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4"/>
        <w:ind w:left="156"/>
      </w:pPr>
      <w:hyperlink w:history="true" w:anchor="_bookmark1">
        <w:r>
          <w:rPr>
            <w:color w:val="0000FF"/>
            <w:w w:val="105"/>
            <w:u w:val="single" w:color="0000FF"/>
          </w:rPr>
          <w:t>Table</w:t>
        </w:r>
        <w:r>
          <w:rPr>
            <w:color w:val="0000FF"/>
            <w:spacing w:val="-6"/>
            <w:w w:val="105"/>
            <w:u w:val="single" w:color="0000FF"/>
          </w:rPr>
          <w:t> </w:t>
        </w:r>
        <w:r>
          <w:rPr>
            <w:color w:val="0000FF"/>
            <w:w w:val="105"/>
            <w:u w:val="single" w:color="0000FF"/>
          </w:rPr>
          <w:t>of</w:t>
        </w:r>
        <w:r>
          <w:rPr>
            <w:color w:val="0000FF"/>
            <w:spacing w:val="-6"/>
            <w:w w:val="105"/>
            <w:u w:val="single" w:color="0000FF"/>
          </w:rPr>
          <w:t> </w:t>
        </w:r>
        <w:r>
          <w:rPr>
            <w:color w:val="0000FF"/>
            <w:spacing w:val="-2"/>
            <w:w w:val="105"/>
            <w:u w:val="single" w:color="0000FF"/>
          </w:rPr>
          <w:t>Contents</w:t>
        </w:r>
      </w:hyperlink>
    </w:p>
    <w:p>
      <w:pPr>
        <w:spacing w:line="240" w:lineRule="auto" w:before="93"/>
        <w:rPr>
          <w:sz w:val="16"/>
        </w:rPr>
      </w:pPr>
      <w:r>
        <w:rPr/>
        <w:br w:type="column"/>
      </w:r>
      <w:r>
        <w:rPr>
          <w:sz w:val="16"/>
        </w:rPr>
      </w:r>
    </w:p>
    <w:p>
      <w:pPr>
        <w:pStyle w:val="Heading1"/>
        <w:spacing w:before="1"/>
        <w:ind w:left="2" w:right="3927"/>
        <w:jc w:val="center"/>
      </w:pPr>
      <w:r>
        <w:rPr/>
        <w:t>UNITED</w:t>
      </w:r>
      <w:r>
        <w:rPr>
          <w:spacing w:val="14"/>
        </w:rPr>
        <w:t> </w:t>
      </w:r>
      <w:r>
        <w:rPr>
          <w:spacing w:val="-2"/>
        </w:rPr>
        <w:t>STATES</w:t>
      </w:r>
    </w:p>
    <w:p>
      <w:pPr>
        <w:spacing w:line="266" w:lineRule="auto" w:before="19"/>
        <w:ind w:left="0" w:right="3927" w:firstLine="0"/>
        <w:jc w:val="center"/>
        <w:rPr>
          <w:b/>
          <w:sz w:val="16"/>
        </w:rPr>
      </w:pPr>
      <w:r>
        <w:rPr>
          <w:b/>
          <w:spacing w:val="-2"/>
          <w:w w:val="105"/>
          <w:sz w:val="16"/>
        </w:rPr>
        <w:t>SECURITIES</w:t>
      </w:r>
      <w:r>
        <w:rPr>
          <w:b/>
          <w:spacing w:val="-9"/>
          <w:w w:val="105"/>
          <w:sz w:val="16"/>
        </w:rPr>
        <w:t> </w:t>
      </w:r>
      <w:r>
        <w:rPr>
          <w:b/>
          <w:spacing w:val="-2"/>
          <w:w w:val="105"/>
          <w:sz w:val="16"/>
        </w:rPr>
        <w:t>AND</w:t>
      </w:r>
      <w:r>
        <w:rPr>
          <w:b/>
          <w:spacing w:val="-8"/>
          <w:w w:val="105"/>
          <w:sz w:val="16"/>
        </w:rPr>
        <w:t> </w:t>
      </w:r>
      <w:r>
        <w:rPr>
          <w:b/>
          <w:spacing w:val="-2"/>
          <w:w w:val="105"/>
          <w:sz w:val="16"/>
        </w:rPr>
        <w:t>EXCHANGE</w:t>
      </w:r>
      <w:r>
        <w:rPr>
          <w:b/>
          <w:spacing w:val="-9"/>
          <w:w w:val="105"/>
          <w:sz w:val="16"/>
        </w:rPr>
        <w:t> </w:t>
      </w:r>
      <w:r>
        <w:rPr>
          <w:b/>
          <w:spacing w:val="-2"/>
          <w:w w:val="105"/>
          <w:sz w:val="16"/>
        </w:rPr>
        <w:t>COMMISSION</w:t>
      </w:r>
      <w:r>
        <w:rPr>
          <w:b/>
          <w:w w:val="105"/>
          <w:sz w:val="16"/>
        </w:rPr>
        <w:t> WASHINGTON, D.C. 20549</w:t>
      </w:r>
    </w:p>
    <w:p>
      <w:pPr>
        <w:pStyle w:val="BodyText"/>
        <w:spacing w:before="8"/>
        <w:rPr>
          <w:b/>
        </w:rPr>
      </w:pPr>
    </w:p>
    <w:p>
      <w:pPr>
        <w:spacing w:before="0"/>
        <w:ind w:left="1363" w:right="0" w:firstLine="0"/>
        <w:jc w:val="left"/>
        <w:rPr>
          <w:b/>
          <w:sz w:val="24"/>
        </w:rPr>
      </w:pPr>
      <w:r>
        <w:rPr>
          <w:b/>
          <w:sz w:val="24"/>
        </w:rPr>
        <w:t>Form</w:t>
      </w:r>
      <w:r>
        <w:rPr>
          <w:b/>
          <w:spacing w:val="-6"/>
          <w:sz w:val="24"/>
        </w:rPr>
        <w:t> </w:t>
      </w:r>
      <w:r>
        <w:rPr>
          <w:b/>
          <w:sz w:val="24"/>
        </w:rPr>
        <w:t>10-</w:t>
      </w:r>
      <w:r>
        <w:rPr>
          <w:b/>
          <w:spacing w:val="-10"/>
          <w:sz w:val="24"/>
        </w:rPr>
        <w:t>K</w:t>
      </w:r>
    </w:p>
    <w:p>
      <w:pPr>
        <w:spacing w:after="0"/>
        <w:jc w:val="left"/>
        <w:rPr>
          <w:sz w:val="24"/>
        </w:rPr>
        <w:sectPr>
          <w:type w:val="continuous"/>
          <w:pgSz w:w="12240" w:h="15840"/>
          <w:pgMar w:top="700" w:bottom="280" w:left="200" w:right="260"/>
          <w:cols w:num="2" w:equalWidth="0">
            <w:col w:w="1384" w:space="2593"/>
            <w:col w:w="7803"/>
          </w:cols>
        </w:sectPr>
      </w:pPr>
    </w:p>
    <w:p>
      <w:pPr>
        <w:pStyle w:val="BodyText"/>
        <w:spacing w:before="25"/>
        <w:rPr>
          <w:b/>
        </w:rPr>
      </w:pPr>
    </w:p>
    <w:p>
      <w:pPr>
        <w:tabs>
          <w:tab w:pos="615" w:val="left" w:leader="none"/>
        </w:tabs>
        <w:spacing w:before="0"/>
        <w:ind w:left="156" w:right="0" w:firstLine="0"/>
        <w:jc w:val="left"/>
        <w:rPr>
          <w:b/>
          <w:sz w:val="16"/>
        </w:rPr>
      </w:pPr>
      <w:r>
        <w:rPr>
          <w:rFonts w:ascii="MS Mincho" w:hAnsi="MS Mincho"/>
          <w:spacing w:val="-10"/>
          <w:sz w:val="16"/>
        </w:rPr>
        <w:t>☒</w:t>
      </w:r>
      <w:r>
        <w:rPr>
          <w:rFonts w:ascii="MS Mincho" w:hAnsi="MS Mincho"/>
          <w:sz w:val="16"/>
        </w:rPr>
        <w:tab/>
      </w:r>
      <w:r>
        <w:rPr>
          <w:b/>
          <w:sz w:val="16"/>
        </w:rPr>
        <w:t>ANNUAL</w:t>
      </w:r>
      <w:r>
        <w:rPr>
          <w:b/>
          <w:spacing w:val="14"/>
          <w:sz w:val="16"/>
        </w:rPr>
        <w:t> </w:t>
      </w:r>
      <w:r>
        <w:rPr>
          <w:b/>
          <w:sz w:val="16"/>
        </w:rPr>
        <w:t>REPORT</w:t>
      </w:r>
      <w:r>
        <w:rPr>
          <w:b/>
          <w:spacing w:val="14"/>
          <w:sz w:val="16"/>
        </w:rPr>
        <w:t> </w:t>
      </w:r>
      <w:r>
        <w:rPr>
          <w:b/>
          <w:sz w:val="16"/>
        </w:rPr>
        <w:t>PURSUANT</w:t>
      </w:r>
      <w:r>
        <w:rPr>
          <w:b/>
          <w:spacing w:val="14"/>
          <w:sz w:val="16"/>
        </w:rPr>
        <w:t> </w:t>
      </w:r>
      <w:r>
        <w:rPr>
          <w:b/>
          <w:sz w:val="16"/>
        </w:rPr>
        <w:t>TO</w:t>
      </w:r>
      <w:r>
        <w:rPr>
          <w:b/>
          <w:spacing w:val="14"/>
          <w:sz w:val="16"/>
        </w:rPr>
        <w:t> </w:t>
      </w:r>
      <w:r>
        <w:rPr>
          <w:b/>
          <w:sz w:val="16"/>
        </w:rPr>
        <w:t>SECTION</w:t>
      </w:r>
      <w:r>
        <w:rPr>
          <w:b/>
          <w:spacing w:val="14"/>
          <w:sz w:val="16"/>
        </w:rPr>
        <w:t> </w:t>
      </w:r>
      <w:r>
        <w:rPr>
          <w:b/>
          <w:sz w:val="16"/>
        </w:rPr>
        <w:t>13</w:t>
      </w:r>
      <w:r>
        <w:rPr>
          <w:b/>
          <w:spacing w:val="14"/>
          <w:sz w:val="16"/>
        </w:rPr>
        <w:t> </w:t>
      </w:r>
      <w:r>
        <w:rPr>
          <w:b/>
          <w:sz w:val="16"/>
        </w:rPr>
        <w:t>OR</w:t>
      </w:r>
      <w:r>
        <w:rPr>
          <w:b/>
          <w:spacing w:val="15"/>
          <w:sz w:val="16"/>
        </w:rPr>
        <w:t> </w:t>
      </w:r>
      <w:r>
        <w:rPr>
          <w:b/>
          <w:sz w:val="16"/>
        </w:rPr>
        <w:t>15(d)</w:t>
      </w:r>
      <w:r>
        <w:rPr>
          <w:b/>
          <w:spacing w:val="14"/>
          <w:sz w:val="16"/>
        </w:rPr>
        <w:t> </w:t>
      </w:r>
      <w:r>
        <w:rPr>
          <w:b/>
          <w:sz w:val="16"/>
        </w:rPr>
        <w:t>OF</w:t>
      </w:r>
      <w:r>
        <w:rPr>
          <w:b/>
          <w:spacing w:val="14"/>
          <w:sz w:val="16"/>
        </w:rPr>
        <w:t> </w:t>
      </w:r>
      <w:r>
        <w:rPr>
          <w:b/>
          <w:sz w:val="16"/>
        </w:rPr>
        <w:t>THE</w:t>
      </w:r>
      <w:r>
        <w:rPr>
          <w:b/>
          <w:spacing w:val="14"/>
          <w:sz w:val="16"/>
        </w:rPr>
        <w:t> </w:t>
      </w:r>
      <w:r>
        <w:rPr>
          <w:b/>
          <w:sz w:val="16"/>
        </w:rPr>
        <w:t>SECURITIES</w:t>
      </w:r>
      <w:r>
        <w:rPr>
          <w:b/>
          <w:spacing w:val="14"/>
          <w:sz w:val="16"/>
        </w:rPr>
        <w:t> </w:t>
      </w:r>
      <w:r>
        <w:rPr>
          <w:b/>
          <w:sz w:val="16"/>
        </w:rPr>
        <w:t>EXCHANGE</w:t>
      </w:r>
      <w:r>
        <w:rPr>
          <w:b/>
          <w:spacing w:val="14"/>
          <w:sz w:val="16"/>
        </w:rPr>
        <w:t> </w:t>
      </w:r>
      <w:r>
        <w:rPr>
          <w:b/>
          <w:sz w:val="16"/>
        </w:rPr>
        <w:t>ACT</w:t>
      </w:r>
      <w:r>
        <w:rPr>
          <w:b/>
          <w:spacing w:val="15"/>
          <w:sz w:val="16"/>
        </w:rPr>
        <w:t> </w:t>
      </w:r>
      <w:r>
        <w:rPr>
          <w:b/>
          <w:sz w:val="16"/>
        </w:rPr>
        <w:t>OF</w:t>
      </w:r>
      <w:r>
        <w:rPr>
          <w:b/>
          <w:spacing w:val="14"/>
          <w:sz w:val="16"/>
        </w:rPr>
        <w:t> </w:t>
      </w:r>
      <w:r>
        <w:rPr>
          <w:b/>
          <w:spacing w:val="-4"/>
          <w:sz w:val="16"/>
        </w:rPr>
        <w:t>1934</w:t>
      </w:r>
    </w:p>
    <w:p>
      <w:pPr>
        <w:spacing w:line="266" w:lineRule="auto" w:before="9"/>
        <w:ind w:left="5790" w:right="4112" w:hanging="1441"/>
        <w:jc w:val="left"/>
        <w:rPr>
          <w:b/>
          <w:sz w:val="16"/>
        </w:rPr>
      </w:pPr>
      <w:r>
        <w:rPr>
          <w:b/>
          <w:w w:val="105"/>
          <w:sz w:val="16"/>
        </w:rPr>
        <w:t>For</w:t>
      </w:r>
      <w:r>
        <w:rPr>
          <w:b/>
          <w:spacing w:val="-11"/>
          <w:w w:val="105"/>
          <w:sz w:val="16"/>
        </w:rPr>
        <w:t> </w:t>
      </w:r>
      <w:r>
        <w:rPr>
          <w:b/>
          <w:w w:val="105"/>
          <w:sz w:val="16"/>
        </w:rPr>
        <w:t>the</w:t>
      </w:r>
      <w:r>
        <w:rPr>
          <w:b/>
          <w:spacing w:val="-10"/>
          <w:w w:val="105"/>
          <w:sz w:val="16"/>
        </w:rPr>
        <w:t> </w:t>
      </w:r>
      <w:r>
        <w:rPr>
          <w:b/>
          <w:w w:val="105"/>
          <w:sz w:val="16"/>
        </w:rPr>
        <w:t>fiscal</w:t>
      </w:r>
      <w:r>
        <w:rPr>
          <w:b/>
          <w:spacing w:val="-11"/>
          <w:w w:val="105"/>
          <w:sz w:val="16"/>
        </w:rPr>
        <w:t> </w:t>
      </w:r>
      <w:r>
        <w:rPr>
          <w:b/>
          <w:w w:val="105"/>
          <w:sz w:val="16"/>
        </w:rPr>
        <w:t>year</w:t>
      </w:r>
      <w:r>
        <w:rPr>
          <w:b/>
          <w:spacing w:val="-10"/>
          <w:w w:val="105"/>
          <w:sz w:val="16"/>
        </w:rPr>
        <w:t> </w:t>
      </w:r>
      <w:r>
        <w:rPr>
          <w:b/>
          <w:w w:val="105"/>
          <w:sz w:val="16"/>
        </w:rPr>
        <w:t>ended</w:t>
      </w:r>
      <w:r>
        <w:rPr>
          <w:b/>
          <w:spacing w:val="-11"/>
          <w:w w:val="105"/>
          <w:sz w:val="16"/>
        </w:rPr>
        <w:t> </w:t>
      </w:r>
      <w:r>
        <w:rPr>
          <w:b/>
          <w:w w:val="105"/>
          <w:sz w:val="16"/>
        </w:rPr>
        <w:t>December</w:t>
      </w:r>
      <w:r>
        <w:rPr>
          <w:b/>
          <w:spacing w:val="-10"/>
          <w:w w:val="105"/>
          <w:sz w:val="16"/>
        </w:rPr>
        <w:t> </w:t>
      </w:r>
      <w:r>
        <w:rPr>
          <w:b/>
          <w:w w:val="105"/>
          <w:sz w:val="16"/>
        </w:rPr>
        <w:t>31,</w:t>
      </w:r>
      <w:r>
        <w:rPr>
          <w:b/>
          <w:spacing w:val="-11"/>
          <w:w w:val="105"/>
          <w:sz w:val="16"/>
        </w:rPr>
        <w:t> </w:t>
      </w:r>
      <w:r>
        <w:rPr>
          <w:b/>
          <w:w w:val="105"/>
          <w:sz w:val="16"/>
        </w:rPr>
        <w:t>2021 </w:t>
      </w:r>
      <w:r>
        <w:rPr>
          <w:b/>
          <w:spacing w:val="-6"/>
          <w:w w:val="105"/>
          <w:sz w:val="16"/>
        </w:rPr>
        <w:t>OR</w:t>
      </w:r>
    </w:p>
    <w:p>
      <w:pPr>
        <w:pStyle w:val="ListParagraph"/>
        <w:numPr>
          <w:ilvl w:val="0"/>
          <w:numId w:val="1"/>
        </w:numPr>
        <w:tabs>
          <w:tab w:pos="615" w:val="left" w:leader="none"/>
        </w:tabs>
        <w:spacing w:line="194" w:lineRule="exact" w:before="0" w:after="0"/>
        <w:ind w:left="615" w:right="0" w:hanging="459"/>
        <w:jc w:val="left"/>
        <w:rPr>
          <w:b/>
          <w:sz w:val="16"/>
        </w:rPr>
      </w:pPr>
      <w:r>
        <w:rPr>
          <w:b/>
          <w:sz w:val="16"/>
        </w:rPr>
        <w:t>TRANSITION</w:t>
      </w:r>
      <w:r>
        <w:rPr>
          <w:b/>
          <w:spacing w:val="14"/>
          <w:sz w:val="16"/>
        </w:rPr>
        <w:t> </w:t>
      </w:r>
      <w:r>
        <w:rPr>
          <w:b/>
          <w:sz w:val="16"/>
        </w:rPr>
        <w:t>REPORT</w:t>
      </w:r>
      <w:r>
        <w:rPr>
          <w:b/>
          <w:spacing w:val="14"/>
          <w:sz w:val="16"/>
        </w:rPr>
        <w:t> </w:t>
      </w:r>
      <w:r>
        <w:rPr>
          <w:b/>
          <w:sz w:val="16"/>
        </w:rPr>
        <w:t>PURSUANT</w:t>
      </w:r>
      <w:r>
        <w:rPr>
          <w:b/>
          <w:spacing w:val="14"/>
          <w:sz w:val="16"/>
        </w:rPr>
        <w:t> </w:t>
      </w:r>
      <w:r>
        <w:rPr>
          <w:b/>
          <w:sz w:val="16"/>
        </w:rPr>
        <w:t>TO</w:t>
      </w:r>
      <w:r>
        <w:rPr>
          <w:b/>
          <w:spacing w:val="14"/>
          <w:sz w:val="16"/>
        </w:rPr>
        <w:t> </w:t>
      </w:r>
      <w:r>
        <w:rPr>
          <w:b/>
          <w:sz w:val="16"/>
        </w:rPr>
        <w:t>SECTION</w:t>
      </w:r>
      <w:r>
        <w:rPr>
          <w:b/>
          <w:spacing w:val="15"/>
          <w:sz w:val="16"/>
        </w:rPr>
        <w:t> </w:t>
      </w:r>
      <w:r>
        <w:rPr>
          <w:b/>
          <w:sz w:val="16"/>
        </w:rPr>
        <w:t>13</w:t>
      </w:r>
      <w:r>
        <w:rPr>
          <w:b/>
          <w:spacing w:val="14"/>
          <w:sz w:val="16"/>
        </w:rPr>
        <w:t> </w:t>
      </w:r>
      <w:r>
        <w:rPr>
          <w:b/>
          <w:sz w:val="16"/>
        </w:rPr>
        <w:t>OR</w:t>
      </w:r>
      <w:r>
        <w:rPr>
          <w:b/>
          <w:spacing w:val="14"/>
          <w:sz w:val="16"/>
        </w:rPr>
        <w:t> </w:t>
      </w:r>
      <w:r>
        <w:rPr>
          <w:b/>
          <w:sz w:val="16"/>
        </w:rPr>
        <w:t>15(d)</w:t>
      </w:r>
      <w:r>
        <w:rPr>
          <w:b/>
          <w:spacing w:val="14"/>
          <w:sz w:val="16"/>
        </w:rPr>
        <w:t> </w:t>
      </w:r>
      <w:r>
        <w:rPr>
          <w:b/>
          <w:sz w:val="16"/>
        </w:rPr>
        <w:t>OF</w:t>
      </w:r>
      <w:r>
        <w:rPr>
          <w:b/>
          <w:spacing w:val="15"/>
          <w:sz w:val="16"/>
        </w:rPr>
        <w:t> </w:t>
      </w:r>
      <w:r>
        <w:rPr>
          <w:b/>
          <w:sz w:val="16"/>
        </w:rPr>
        <w:t>THE</w:t>
      </w:r>
      <w:r>
        <w:rPr>
          <w:b/>
          <w:spacing w:val="14"/>
          <w:sz w:val="16"/>
        </w:rPr>
        <w:t> </w:t>
      </w:r>
      <w:r>
        <w:rPr>
          <w:b/>
          <w:sz w:val="16"/>
        </w:rPr>
        <w:t>SECURITIES</w:t>
      </w:r>
      <w:r>
        <w:rPr>
          <w:b/>
          <w:spacing w:val="14"/>
          <w:sz w:val="16"/>
        </w:rPr>
        <w:t> </w:t>
      </w:r>
      <w:r>
        <w:rPr>
          <w:b/>
          <w:sz w:val="16"/>
        </w:rPr>
        <w:t>EXCHANGE</w:t>
      </w:r>
      <w:r>
        <w:rPr>
          <w:b/>
          <w:spacing w:val="14"/>
          <w:sz w:val="16"/>
        </w:rPr>
        <w:t> </w:t>
      </w:r>
      <w:r>
        <w:rPr>
          <w:b/>
          <w:sz w:val="16"/>
        </w:rPr>
        <w:t>ACT</w:t>
      </w:r>
      <w:r>
        <w:rPr>
          <w:b/>
          <w:spacing w:val="14"/>
          <w:sz w:val="16"/>
        </w:rPr>
        <w:t> </w:t>
      </w:r>
      <w:r>
        <w:rPr>
          <w:b/>
          <w:sz w:val="16"/>
        </w:rPr>
        <w:t>OF</w:t>
      </w:r>
      <w:r>
        <w:rPr>
          <w:b/>
          <w:spacing w:val="15"/>
          <w:sz w:val="16"/>
        </w:rPr>
        <w:t> </w:t>
      </w:r>
      <w:r>
        <w:rPr>
          <w:b/>
          <w:spacing w:val="-4"/>
          <w:sz w:val="16"/>
        </w:rPr>
        <w:t>1934</w:t>
      </w:r>
    </w:p>
    <w:p>
      <w:pPr>
        <w:tabs>
          <w:tab w:pos="2562" w:val="left" w:leader="none"/>
          <w:tab w:pos="3031" w:val="left" w:leader="none"/>
        </w:tabs>
        <w:spacing w:before="10"/>
        <w:ind w:left="88" w:right="0" w:firstLine="0"/>
        <w:jc w:val="center"/>
        <w:rPr>
          <w:sz w:val="16"/>
        </w:rPr>
      </w:pPr>
      <w:r>
        <w:rPr>
          <w:b/>
          <w:spacing w:val="-2"/>
          <w:w w:val="105"/>
          <w:sz w:val="16"/>
        </w:rPr>
        <w:t>For the transition period from </w:t>
      </w:r>
      <w:r>
        <w:rPr>
          <w:sz w:val="16"/>
          <w:u w:val="single"/>
        </w:rPr>
        <w:tab/>
      </w:r>
      <w:r>
        <w:rPr>
          <w:b/>
          <w:w w:val="105"/>
          <w:sz w:val="16"/>
        </w:rPr>
        <w:t>to</w:t>
      </w:r>
      <w:r>
        <w:rPr>
          <w:b/>
          <w:spacing w:val="-1"/>
          <w:w w:val="105"/>
          <w:sz w:val="16"/>
        </w:rPr>
        <w:t> </w:t>
      </w:r>
      <w:r>
        <w:rPr>
          <w:sz w:val="16"/>
          <w:u w:val="single"/>
        </w:rPr>
        <w:tab/>
      </w:r>
    </w:p>
    <w:p>
      <w:pPr>
        <w:spacing w:before="20"/>
        <w:ind w:left="47" w:right="0" w:firstLine="0"/>
        <w:jc w:val="center"/>
        <w:rPr>
          <w:b/>
          <w:sz w:val="16"/>
        </w:rPr>
      </w:pPr>
      <w:r>
        <w:rPr>
          <w:b/>
          <w:sz w:val="16"/>
        </w:rPr>
        <w:t>Commission</w:t>
      </w:r>
      <w:r>
        <w:rPr>
          <w:b/>
          <w:spacing w:val="15"/>
          <w:sz w:val="16"/>
        </w:rPr>
        <w:t> </w:t>
      </w:r>
      <w:r>
        <w:rPr>
          <w:b/>
          <w:sz w:val="16"/>
        </w:rPr>
        <w:t>file</w:t>
      </w:r>
      <w:r>
        <w:rPr>
          <w:b/>
          <w:spacing w:val="16"/>
          <w:sz w:val="16"/>
        </w:rPr>
        <w:t> </w:t>
      </w:r>
      <w:r>
        <w:rPr>
          <w:b/>
          <w:sz w:val="16"/>
        </w:rPr>
        <w:t>number:</w:t>
      </w:r>
      <w:r>
        <w:rPr>
          <w:b/>
          <w:spacing w:val="16"/>
          <w:sz w:val="16"/>
        </w:rPr>
        <w:t> </w:t>
      </w:r>
      <w:r>
        <w:rPr>
          <w:b/>
          <w:sz w:val="16"/>
        </w:rPr>
        <w:t>1-</w:t>
      </w:r>
      <w:r>
        <w:rPr>
          <w:b/>
          <w:spacing w:val="-4"/>
          <w:sz w:val="16"/>
        </w:rPr>
        <w:t>3247</w:t>
      </w:r>
    </w:p>
    <w:p>
      <w:pPr>
        <w:pStyle w:val="BodyText"/>
        <w:spacing w:before="23"/>
        <w:rPr>
          <w:b/>
        </w:rPr>
      </w:pPr>
    </w:p>
    <w:p>
      <w:pPr>
        <w:pStyle w:val="Title"/>
      </w:pPr>
      <w:r>
        <w:rPr/>
        <w:t>CORNING</w:t>
      </w:r>
      <w:r>
        <w:rPr>
          <w:spacing w:val="15"/>
        </w:rPr>
        <w:t> </w:t>
      </w:r>
      <w:r>
        <w:rPr>
          <w:spacing w:val="-2"/>
        </w:rPr>
        <w:t>INCORPORATED</w:t>
      </w:r>
    </w:p>
    <w:p>
      <w:pPr>
        <w:spacing w:before="12"/>
        <w:ind w:left="50" w:right="0" w:firstLine="0"/>
        <w:jc w:val="center"/>
        <w:rPr>
          <w:sz w:val="15"/>
        </w:rPr>
      </w:pPr>
      <w:r>
        <w:rPr>
          <w:sz w:val="15"/>
        </w:rPr>
        <w:t>(Exact</w:t>
      </w:r>
      <w:r>
        <w:rPr>
          <w:spacing w:val="2"/>
          <w:sz w:val="15"/>
        </w:rPr>
        <w:t> </w:t>
      </w:r>
      <w:r>
        <w:rPr>
          <w:sz w:val="15"/>
        </w:rPr>
        <w:t>name</w:t>
      </w:r>
      <w:r>
        <w:rPr>
          <w:spacing w:val="3"/>
          <w:sz w:val="15"/>
        </w:rPr>
        <w:t> </w:t>
      </w:r>
      <w:r>
        <w:rPr>
          <w:sz w:val="15"/>
        </w:rPr>
        <w:t>of</w:t>
      </w:r>
      <w:r>
        <w:rPr>
          <w:spacing w:val="2"/>
          <w:sz w:val="15"/>
        </w:rPr>
        <w:t> </w:t>
      </w:r>
      <w:r>
        <w:rPr>
          <w:sz w:val="15"/>
        </w:rPr>
        <w:t>registrant</w:t>
      </w:r>
      <w:r>
        <w:rPr>
          <w:spacing w:val="3"/>
          <w:sz w:val="15"/>
        </w:rPr>
        <w:t> </w:t>
      </w:r>
      <w:r>
        <w:rPr>
          <w:sz w:val="15"/>
        </w:rPr>
        <w:t>as</w:t>
      </w:r>
      <w:r>
        <w:rPr>
          <w:spacing w:val="2"/>
          <w:sz w:val="15"/>
        </w:rPr>
        <w:t> </w:t>
      </w:r>
      <w:r>
        <w:rPr>
          <w:sz w:val="15"/>
        </w:rPr>
        <w:t>specified</w:t>
      </w:r>
      <w:r>
        <w:rPr>
          <w:spacing w:val="3"/>
          <w:sz w:val="15"/>
        </w:rPr>
        <w:t> </w:t>
      </w:r>
      <w:r>
        <w:rPr>
          <w:sz w:val="15"/>
        </w:rPr>
        <w:t>in</w:t>
      </w:r>
      <w:r>
        <w:rPr>
          <w:spacing w:val="2"/>
          <w:sz w:val="15"/>
        </w:rPr>
        <w:t> </w:t>
      </w:r>
      <w:r>
        <w:rPr>
          <w:sz w:val="15"/>
        </w:rPr>
        <w:t>its</w:t>
      </w:r>
      <w:r>
        <w:rPr>
          <w:spacing w:val="3"/>
          <w:sz w:val="15"/>
        </w:rPr>
        <w:t> </w:t>
      </w:r>
      <w:r>
        <w:rPr>
          <w:spacing w:val="-2"/>
          <w:sz w:val="15"/>
        </w:rPr>
        <w:t>charter)</w:t>
      </w:r>
    </w:p>
    <w:p>
      <w:pPr>
        <w:pStyle w:val="Heading2"/>
        <w:tabs>
          <w:tab w:pos="5806" w:val="left" w:leader="none"/>
        </w:tabs>
        <w:spacing w:before="22"/>
        <w:ind w:left="88"/>
        <w:jc w:val="center"/>
      </w:pPr>
      <w:r>
        <w:rPr/>
        <w:t>New</w:t>
      </w:r>
      <w:r>
        <w:rPr>
          <w:spacing w:val="8"/>
        </w:rPr>
        <w:t> </w:t>
      </w:r>
      <w:r>
        <w:rPr>
          <w:spacing w:val="-4"/>
        </w:rPr>
        <w:t>York</w:t>
      </w:r>
      <w:r>
        <w:rPr>
          <w:b w:val="0"/>
        </w:rPr>
        <w:tab/>
      </w:r>
      <w:r>
        <w:rPr/>
        <w:t>16-</w:t>
      </w:r>
      <w:r>
        <w:rPr>
          <w:spacing w:val="-2"/>
        </w:rPr>
        <w:t>0393470</w:t>
      </w:r>
    </w:p>
    <w:p>
      <w:pPr>
        <w:tabs>
          <w:tab w:pos="6474" w:val="left" w:leader="none"/>
        </w:tabs>
        <w:spacing w:before="16"/>
        <w:ind w:left="0" w:right="666" w:firstLine="0"/>
        <w:jc w:val="center"/>
        <w:rPr>
          <w:sz w:val="15"/>
        </w:rPr>
      </w:pPr>
      <w:r>
        <w:rPr>
          <w:sz w:val="15"/>
        </w:rPr>
        <w:t>(State</w:t>
      </w:r>
      <w:r>
        <w:rPr>
          <w:spacing w:val="3"/>
          <w:sz w:val="15"/>
        </w:rPr>
        <w:t> </w:t>
      </w:r>
      <w:r>
        <w:rPr>
          <w:sz w:val="15"/>
        </w:rPr>
        <w:t>or</w:t>
      </w:r>
      <w:r>
        <w:rPr>
          <w:spacing w:val="4"/>
          <w:sz w:val="15"/>
        </w:rPr>
        <w:t> </w:t>
      </w:r>
      <w:r>
        <w:rPr>
          <w:sz w:val="15"/>
        </w:rPr>
        <w:t>other</w:t>
      </w:r>
      <w:r>
        <w:rPr>
          <w:spacing w:val="3"/>
          <w:sz w:val="15"/>
        </w:rPr>
        <w:t> </w:t>
      </w:r>
      <w:r>
        <w:rPr>
          <w:sz w:val="15"/>
        </w:rPr>
        <w:t>jurisdiction</w:t>
      </w:r>
      <w:r>
        <w:rPr>
          <w:spacing w:val="4"/>
          <w:sz w:val="15"/>
        </w:rPr>
        <w:t> </w:t>
      </w:r>
      <w:r>
        <w:rPr>
          <w:sz w:val="15"/>
        </w:rPr>
        <w:t>of</w:t>
      </w:r>
      <w:r>
        <w:rPr>
          <w:spacing w:val="4"/>
          <w:sz w:val="15"/>
        </w:rPr>
        <w:t> </w:t>
      </w:r>
      <w:r>
        <w:rPr>
          <w:sz w:val="15"/>
        </w:rPr>
        <w:t>incorporation</w:t>
      </w:r>
      <w:r>
        <w:rPr>
          <w:spacing w:val="3"/>
          <w:sz w:val="15"/>
        </w:rPr>
        <w:t> </w:t>
      </w:r>
      <w:r>
        <w:rPr>
          <w:sz w:val="15"/>
        </w:rPr>
        <w:t>or</w:t>
      </w:r>
      <w:r>
        <w:rPr>
          <w:spacing w:val="4"/>
          <w:sz w:val="15"/>
        </w:rPr>
        <w:t> </w:t>
      </w:r>
      <w:r>
        <w:rPr>
          <w:spacing w:val="-2"/>
          <w:sz w:val="15"/>
        </w:rPr>
        <w:t>organization)</w:t>
      </w:r>
      <w:r>
        <w:rPr>
          <w:sz w:val="15"/>
        </w:rPr>
        <w:tab/>
        <w:t>(I.R.S.</w:t>
      </w:r>
      <w:r>
        <w:rPr>
          <w:spacing w:val="5"/>
          <w:sz w:val="15"/>
        </w:rPr>
        <w:t> </w:t>
      </w:r>
      <w:r>
        <w:rPr>
          <w:sz w:val="15"/>
        </w:rPr>
        <w:t>Employer</w:t>
      </w:r>
      <w:r>
        <w:rPr>
          <w:spacing w:val="6"/>
          <w:sz w:val="15"/>
        </w:rPr>
        <w:t> </w:t>
      </w:r>
      <w:r>
        <w:rPr>
          <w:sz w:val="15"/>
        </w:rPr>
        <w:t>Identification</w:t>
      </w:r>
      <w:r>
        <w:rPr>
          <w:spacing w:val="6"/>
          <w:sz w:val="15"/>
        </w:rPr>
        <w:t> </w:t>
      </w:r>
      <w:r>
        <w:rPr>
          <w:spacing w:val="-4"/>
          <w:sz w:val="15"/>
        </w:rPr>
        <w:t>No.)</w:t>
      </w:r>
    </w:p>
    <w:p>
      <w:pPr>
        <w:pStyle w:val="BodyText"/>
        <w:spacing w:before="53"/>
        <w:rPr>
          <w:sz w:val="15"/>
        </w:rPr>
      </w:pPr>
    </w:p>
    <w:p>
      <w:pPr>
        <w:pStyle w:val="Heading2"/>
        <w:tabs>
          <w:tab w:pos="7047" w:val="left" w:leader="none"/>
        </w:tabs>
        <w:ind w:left="0" w:right="1239"/>
        <w:jc w:val="center"/>
      </w:pPr>
      <w:r>
        <w:rPr>
          <w:spacing w:val="-2"/>
          <w:w w:val="105"/>
        </w:rPr>
        <w:t>One</w:t>
      </w:r>
      <w:r>
        <w:rPr>
          <w:spacing w:val="1"/>
          <w:w w:val="105"/>
        </w:rPr>
        <w:t> </w:t>
      </w:r>
      <w:r>
        <w:rPr>
          <w:spacing w:val="-2"/>
          <w:w w:val="105"/>
        </w:rPr>
        <w:t>Riverfront</w:t>
      </w:r>
      <w:r>
        <w:rPr>
          <w:spacing w:val="1"/>
          <w:w w:val="105"/>
        </w:rPr>
        <w:t> </w:t>
      </w:r>
      <w:r>
        <w:rPr>
          <w:spacing w:val="-2"/>
          <w:w w:val="105"/>
        </w:rPr>
        <w:t>Plaza,</w:t>
      </w:r>
      <w:r>
        <w:rPr>
          <w:spacing w:val="1"/>
          <w:w w:val="105"/>
        </w:rPr>
        <w:t> </w:t>
      </w:r>
      <w:r>
        <w:rPr>
          <w:spacing w:val="-2"/>
          <w:w w:val="105"/>
        </w:rPr>
        <w:t>Corning,</w:t>
      </w:r>
      <w:r>
        <w:rPr>
          <w:spacing w:val="2"/>
          <w:w w:val="105"/>
        </w:rPr>
        <w:t> </w:t>
      </w:r>
      <w:r>
        <w:rPr>
          <w:spacing w:val="-2"/>
          <w:w w:val="105"/>
        </w:rPr>
        <w:t>New</w:t>
      </w:r>
      <w:r>
        <w:rPr>
          <w:spacing w:val="1"/>
          <w:w w:val="105"/>
        </w:rPr>
        <w:t> </w:t>
      </w:r>
      <w:r>
        <w:rPr>
          <w:spacing w:val="-4"/>
          <w:w w:val="105"/>
        </w:rPr>
        <w:t>York</w:t>
      </w:r>
      <w:r>
        <w:rPr>
          <w:b w:val="0"/>
        </w:rPr>
        <w:tab/>
      </w:r>
      <w:r>
        <w:rPr>
          <w:spacing w:val="-2"/>
          <w:w w:val="105"/>
        </w:rPr>
        <w:t>14831</w:t>
      </w:r>
    </w:p>
    <w:p>
      <w:pPr>
        <w:tabs>
          <w:tab w:pos="6633" w:val="left" w:leader="none"/>
        </w:tabs>
        <w:spacing w:before="17"/>
        <w:ind w:left="0" w:right="826" w:firstLine="0"/>
        <w:jc w:val="center"/>
        <w:rPr>
          <w:sz w:val="15"/>
        </w:rPr>
      </w:pPr>
      <w:r>
        <w:rPr>
          <w:sz w:val="15"/>
        </w:rPr>
        <w:t>(Address</w:t>
      </w:r>
      <w:r>
        <w:rPr>
          <w:spacing w:val="2"/>
          <w:sz w:val="15"/>
        </w:rPr>
        <w:t> </w:t>
      </w:r>
      <w:r>
        <w:rPr>
          <w:sz w:val="15"/>
        </w:rPr>
        <w:t>of</w:t>
      </w:r>
      <w:r>
        <w:rPr>
          <w:spacing w:val="3"/>
          <w:sz w:val="15"/>
        </w:rPr>
        <w:t> </w:t>
      </w:r>
      <w:r>
        <w:rPr>
          <w:sz w:val="15"/>
        </w:rPr>
        <w:t>principal</w:t>
      </w:r>
      <w:r>
        <w:rPr>
          <w:spacing w:val="3"/>
          <w:sz w:val="15"/>
        </w:rPr>
        <w:t> </w:t>
      </w:r>
      <w:r>
        <w:rPr>
          <w:sz w:val="15"/>
        </w:rPr>
        <w:t>executive</w:t>
      </w:r>
      <w:r>
        <w:rPr>
          <w:spacing w:val="2"/>
          <w:sz w:val="15"/>
        </w:rPr>
        <w:t> </w:t>
      </w:r>
      <w:r>
        <w:rPr>
          <w:spacing w:val="-2"/>
          <w:sz w:val="15"/>
        </w:rPr>
        <w:t>offices)</w:t>
      </w:r>
      <w:r>
        <w:rPr>
          <w:sz w:val="15"/>
        </w:rPr>
        <w:tab/>
        <w:t>(Zip</w:t>
      </w:r>
      <w:r>
        <w:rPr>
          <w:spacing w:val="-1"/>
          <w:sz w:val="15"/>
        </w:rPr>
        <w:t> </w:t>
      </w:r>
      <w:r>
        <w:rPr>
          <w:spacing w:val="-2"/>
          <w:sz w:val="15"/>
        </w:rPr>
        <w:t>Code)</w:t>
      </w:r>
    </w:p>
    <w:p>
      <w:pPr>
        <w:pStyle w:val="Heading2"/>
        <w:spacing w:before="22"/>
        <w:ind w:left="48"/>
        <w:jc w:val="center"/>
      </w:pPr>
      <w:r>
        <w:rPr/>
        <w:t>607-974-</w:t>
      </w:r>
      <w:r>
        <w:rPr>
          <w:spacing w:val="-4"/>
        </w:rPr>
        <w:t>9000</w:t>
      </w:r>
    </w:p>
    <w:p>
      <w:pPr>
        <w:spacing w:line="266" w:lineRule="auto" w:before="16"/>
        <w:ind w:left="4044" w:right="3993" w:firstLine="0"/>
        <w:jc w:val="center"/>
        <w:rPr>
          <w:sz w:val="15"/>
        </w:rPr>
      </w:pPr>
      <w:r>
        <w:rPr>
          <w:sz w:val="15"/>
        </w:rPr>
        <w:t>(Registrant’s telephone number, including area code)</w:t>
      </w:r>
      <w:r>
        <w:rPr>
          <w:spacing w:val="40"/>
          <w:sz w:val="15"/>
        </w:rPr>
        <w:t> </w:t>
      </w:r>
      <w:r>
        <w:rPr>
          <w:sz w:val="15"/>
        </w:rPr>
        <w:t>Securities registered pursuant to Section 12(b) of the Act:</w:t>
      </w:r>
    </w:p>
    <w:p>
      <w:pPr>
        <w:pStyle w:val="BodyText"/>
        <w:spacing w:before="34"/>
        <w:rPr>
          <w:sz w:val="15"/>
        </w:rPr>
      </w:pPr>
    </w:p>
    <w:p>
      <w:pPr>
        <w:pStyle w:val="BodyText"/>
        <w:tabs>
          <w:tab w:pos="5298" w:val="left" w:leader="none"/>
          <w:tab w:pos="8305" w:val="left" w:leader="none"/>
        </w:tabs>
        <w:ind w:left="1460"/>
      </w:pPr>
      <w:r>
        <w:rPr/>
        <mc:AlternateContent>
          <mc:Choice Requires="wps">
            <w:drawing>
              <wp:anchor distT="0" distB="0" distL="0" distR="0" allowOverlap="1" layoutInCell="1" locked="0" behindDoc="1" simplePos="0" relativeHeight="487587840">
                <wp:simplePos x="0" y="0"/>
                <wp:positionH relativeFrom="page">
                  <wp:posOffset>226488</wp:posOffset>
                </wp:positionH>
                <wp:positionV relativeFrom="paragraph">
                  <wp:posOffset>127593</wp:posOffset>
                </wp:positionV>
                <wp:extent cx="2418715" cy="825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2418715" cy="8255"/>
                        </a:xfrm>
                        <a:custGeom>
                          <a:avLst/>
                          <a:gdLst/>
                          <a:ahLst/>
                          <a:cxnLst/>
                          <a:rect l="l" t="t" r="r" b="b"/>
                          <a:pathLst>
                            <a:path w="2418715" h="8255">
                              <a:moveTo>
                                <a:pt x="0" y="0"/>
                              </a:moveTo>
                              <a:lnTo>
                                <a:pt x="2418573" y="0"/>
                              </a:lnTo>
                              <a:lnTo>
                                <a:pt x="2418573"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46750pt;width:190.438884pt;height:.636919pt;mso-position-horizontal-relative:page;mso-position-vertical-relative:paragraph;z-index:-15728640;mso-wrap-distance-left:0;mso-wrap-distance-right:0" id="docshape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8352">
                <wp:simplePos x="0" y="0"/>
                <wp:positionH relativeFrom="page">
                  <wp:posOffset>3017150</wp:posOffset>
                </wp:positionH>
                <wp:positionV relativeFrom="paragraph">
                  <wp:posOffset>127593</wp:posOffset>
                </wp:positionV>
                <wp:extent cx="1747520" cy="825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747520" cy="8255"/>
                        </a:xfrm>
                        <a:custGeom>
                          <a:avLst/>
                          <a:gdLst/>
                          <a:ahLst/>
                          <a:cxnLst/>
                          <a:rect l="l" t="t" r="r" b="b"/>
                          <a:pathLst>
                            <a:path w="1747520" h="8255">
                              <a:moveTo>
                                <a:pt x="0" y="0"/>
                              </a:moveTo>
                              <a:lnTo>
                                <a:pt x="1747197" y="0"/>
                              </a:lnTo>
                              <a:lnTo>
                                <a:pt x="1747197"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7.570908pt;margin-top:10.046750pt;width:137.574578pt;height:.636919pt;mso-position-horizontal-relative:page;mso-position-vertical-relative:paragraph;z-index:-15728128;mso-wrap-distance-left:0;mso-wrap-distance-right:0" id="docshape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8864">
                <wp:simplePos x="0" y="0"/>
                <wp:positionH relativeFrom="page">
                  <wp:posOffset>5128347</wp:posOffset>
                </wp:positionH>
                <wp:positionV relativeFrom="paragraph">
                  <wp:posOffset>127593</wp:posOffset>
                </wp:positionV>
                <wp:extent cx="2411095" cy="825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411095" cy="8255"/>
                        </a:xfrm>
                        <a:custGeom>
                          <a:avLst/>
                          <a:gdLst/>
                          <a:ahLst/>
                          <a:cxnLst/>
                          <a:rect l="l" t="t" r="r" b="b"/>
                          <a:pathLst>
                            <a:path w="2411095" h="8255">
                              <a:moveTo>
                                <a:pt x="0" y="0"/>
                              </a:moveTo>
                              <a:lnTo>
                                <a:pt x="2410484" y="0"/>
                              </a:lnTo>
                              <a:lnTo>
                                <a:pt x="2410484"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806854pt;margin-top:10.046750pt;width:189.801964pt;height:.636919pt;mso-position-horizontal-relative:page;mso-position-vertical-relative:paragraph;z-index:-15727616;mso-wrap-distance-left:0;mso-wrap-distance-right:0" id="docshape3" filled="true" fillcolor="#000000" stroked="false">
                <v:fill type="solid"/>
                <w10:wrap type="topAndBottom"/>
              </v:rect>
            </w:pict>
          </mc:Fallback>
        </mc:AlternateContent>
      </w:r>
      <w:r>
        <w:rPr/>
        <w:t>Title</w:t>
      </w:r>
      <w:r>
        <w:rPr>
          <w:spacing w:val="8"/>
        </w:rPr>
        <w:t> </w:t>
      </w:r>
      <w:r>
        <w:rPr/>
        <w:t>of</w:t>
      </w:r>
      <w:r>
        <w:rPr>
          <w:spacing w:val="8"/>
        </w:rPr>
        <w:t> </w:t>
      </w:r>
      <w:r>
        <w:rPr/>
        <w:t>each</w:t>
      </w:r>
      <w:r>
        <w:rPr>
          <w:spacing w:val="8"/>
        </w:rPr>
        <w:t> </w:t>
      </w:r>
      <w:r>
        <w:rPr>
          <w:spacing w:val="-2"/>
        </w:rPr>
        <w:t>class</w:t>
      </w:r>
      <w:r>
        <w:rPr/>
        <w:tab/>
        <w:t>Trading</w:t>
      </w:r>
      <w:r>
        <w:rPr>
          <w:spacing w:val="16"/>
        </w:rPr>
        <w:t> </w:t>
      </w:r>
      <w:r>
        <w:rPr>
          <w:spacing w:val="-2"/>
        </w:rPr>
        <w:t>Symbol(s)</w:t>
      </w:r>
      <w:r>
        <w:rPr/>
        <w:tab/>
        <w:t>Name</w:t>
      </w:r>
      <w:r>
        <w:rPr>
          <w:spacing w:val="10"/>
        </w:rPr>
        <w:t> </w:t>
      </w:r>
      <w:r>
        <w:rPr/>
        <w:t>of</w:t>
      </w:r>
      <w:r>
        <w:rPr>
          <w:spacing w:val="11"/>
        </w:rPr>
        <w:t> </w:t>
      </w:r>
      <w:r>
        <w:rPr/>
        <w:t>each</w:t>
      </w:r>
      <w:r>
        <w:rPr>
          <w:spacing w:val="11"/>
        </w:rPr>
        <w:t> </w:t>
      </w:r>
      <w:r>
        <w:rPr/>
        <w:t>exchange</w:t>
      </w:r>
      <w:r>
        <w:rPr>
          <w:spacing w:val="11"/>
        </w:rPr>
        <w:t> </w:t>
      </w:r>
      <w:r>
        <w:rPr/>
        <w:t>on</w:t>
      </w:r>
      <w:r>
        <w:rPr>
          <w:spacing w:val="11"/>
        </w:rPr>
        <w:t> </w:t>
      </w:r>
      <w:r>
        <w:rPr/>
        <w:t>which</w:t>
      </w:r>
      <w:r>
        <w:rPr>
          <w:spacing w:val="10"/>
        </w:rPr>
        <w:t> </w:t>
      </w:r>
      <w:r>
        <w:rPr>
          <w:spacing w:val="-2"/>
        </w:rPr>
        <w:t>registered</w:t>
      </w:r>
    </w:p>
    <w:p>
      <w:pPr>
        <w:pStyle w:val="Heading2"/>
        <w:tabs>
          <w:tab w:pos="5724" w:val="left" w:leader="none"/>
          <w:tab w:pos="8532" w:val="left" w:leader="none"/>
        </w:tabs>
        <w:spacing w:before="3"/>
        <w:ind w:left="1516"/>
      </w:pPr>
      <w:r>
        <w:rPr/>
        <w:t>Common</w:t>
      </w:r>
      <w:r>
        <w:rPr>
          <w:spacing w:val="14"/>
        </w:rPr>
        <w:t> </w:t>
      </w:r>
      <w:r>
        <w:rPr>
          <w:spacing w:val="-2"/>
        </w:rPr>
        <w:t>Stock</w:t>
      </w:r>
      <w:r>
        <w:rPr/>
        <w:tab/>
      </w:r>
      <w:r>
        <w:rPr>
          <w:spacing w:val="-5"/>
        </w:rPr>
        <w:t>GLW</w:t>
      </w:r>
      <w:r>
        <w:rPr/>
        <w:tab/>
        <w:t>New</w:t>
      </w:r>
      <w:r>
        <w:rPr>
          <w:spacing w:val="11"/>
        </w:rPr>
        <w:t> </w:t>
      </w:r>
      <w:r>
        <w:rPr/>
        <w:t>York</w:t>
      </w:r>
      <w:r>
        <w:rPr>
          <w:spacing w:val="12"/>
        </w:rPr>
        <w:t> </w:t>
      </w:r>
      <w:r>
        <w:rPr/>
        <w:t>Stock</w:t>
      </w:r>
      <w:r>
        <w:rPr>
          <w:spacing w:val="11"/>
        </w:rPr>
        <w:t> </w:t>
      </w:r>
      <w:r>
        <w:rPr/>
        <w:t>Exchange</w:t>
      </w:r>
      <w:r>
        <w:rPr>
          <w:spacing w:val="12"/>
        </w:rPr>
        <w:t> </w:t>
      </w:r>
      <w:r>
        <w:rPr>
          <w:spacing w:val="-2"/>
        </w:rPr>
        <w:t>(NYSE)</w:t>
      </w:r>
    </w:p>
    <w:p>
      <w:pPr>
        <w:pStyle w:val="BodyText"/>
        <w:spacing w:before="36"/>
        <w:rPr>
          <w:b/>
        </w:rPr>
      </w:pPr>
    </w:p>
    <w:p>
      <w:pPr>
        <w:spacing w:line="266" w:lineRule="auto" w:before="0"/>
        <w:ind w:left="156" w:right="3530" w:firstLine="3811"/>
        <w:jc w:val="left"/>
        <w:rPr>
          <w:sz w:val="15"/>
        </w:rPr>
      </w:pPr>
      <w:r>
        <w:rPr>
          <w:sz w:val="15"/>
        </w:rPr>
        <w:t>Securities registered pursuant to Section 12(g) of the Act: None</w:t>
      </w:r>
      <w:r>
        <w:rPr>
          <w:spacing w:val="40"/>
          <w:sz w:val="15"/>
        </w:rPr>
        <w:t> </w:t>
      </w:r>
      <w:r>
        <w:rPr>
          <w:sz w:val="15"/>
        </w:rPr>
        <w:t>Indicate by check mark if the registrant is a well-known seasoned issuer, as defined in Rule 405 of the Securities Act.</w:t>
      </w:r>
    </w:p>
    <w:p>
      <w:pPr>
        <w:tabs>
          <w:tab w:pos="6589" w:val="left" w:leader="none"/>
        </w:tabs>
        <w:spacing w:line="181" w:lineRule="exact" w:before="0"/>
        <w:ind w:left="4785" w:right="0" w:firstLine="0"/>
        <w:jc w:val="left"/>
        <w:rPr>
          <w:rFonts w:ascii="MS Mincho" w:hAnsi="MS Mincho"/>
          <w:sz w:val="15"/>
        </w:rPr>
      </w:pPr>
      <w:r>
        <w:rPr>
          <w:sz w:val="15"/>
        </w:rPr>
        <w:t>Yes</w:t>
      </w:r>
      <w:r>
        <w:rPr>
          <w:spacing w:val="77"/>
          <w:sz w:val="15"/>
        </w:rPr>
        <w:t> </w:t>
      </w:r>
      <w:r>
        <w:rPr>
          <w:rFonts w:ascii="MS Mincho" w:hAnsi="MS Mincho"/>
          <w:spacing w:val="-10"/>
          <w:sz w:val="15"/>
        </w:rPr>
        <w:t>☒</w:t>
      </w:r>
      <w:r>
        <w:rPr>
          <w:rFonts w:ascii="MS Mincho" w:hAnsi="MS Mincho"/>
          <w:sz w:val="15"/>
        </w:rPr>
        <w:tab/>
      </w:r>
      <w:r>
        <w:rPr>
          <w:sz w:val="15"/>
        </w:rPr>
        <w:t>No</w:t>
      </w:r>
      <w:r>
        <w:rPr>
          <w:spacing w:val="78"/>
          <w:sz w:val="15"/>
        </w:rPr>
        <w:t> </w:t>
      </w:r>
      <w:r>
        <w:rPr>
          <w:rFonts w:ascii="MS Mincho" w:hAnsi="MS Mincho"/>
          <w:spacing w:val="-10"/>
          <w:sz w:val="15"/>
        </w:rPr>
        <w:t>☐</w:t>
      </w:r>
    </w:p>
    <w:p>
      <w:pPr>
        <w:spacing w:before="9"/>
        <w:ind w:left="156" w:right="0" w:firstLine="0"/>
        <w:jc w:val="left"/>
        <w:rPr>
          <w:sz w:val="15"/>
        </w:rPr>
      </w:pPr>
      <w:r>
        <w:rPr>
          <w:sz w:val="15"/>
        </w:rPr>
        <w:t>Indicate</w:t>
      </w:r>
      <w:r>
        <w:rPr>
          <w:spacing w:val="2"/>
          <w:sz w:val="15"/>
        </w:rPr>
        <w:t> </w:t>
      </w:r>
      <w:r>
        <w:rPr>
          <w:sz w:val="15"/>
        </w:rPr>
        <w:t>by</w:t>
      </w:r>
      <w:r>
        <w:rPr>
          <w:spacing w:val="3"/>
          <w:sz w:val="15"/>
        </w:rPr>
        <w:t> </w:t>
      </w:r>
      <w:r>
        <w:rPr>
          <w:sz w:val="15"/>
        </w:rPr>
        <w:t>check</w:t>
      </w:r>
      <w:r>
        <w:rPr>
          <w:spacing w:val="2"/>
          <w:sz w:val="15"/>
        </w:rPr>
        <w:t> </w:t>
      </w:r>
      <w:r>
        <w:rPr>
          <w:sz w:val="15"/>
        </w:rPr>
        <w:t>mark</w:t>
      </w:r>
      <w:r>
        <w:rPr>
          <w:spacing w:val="3"/>
          <w:sz w:val="15"/>
        </w:rPr>
        <w:t> </w:t>
      </w:r>
      <w:r>
        <w:rPr>
          <w:sz w:val="15"/>
        </w:rPr>
        <w:t>if</w:t>
      </w:r>
      <w:r>
        <w:rPr>
          <w:spacing w:val="3"/>
          <w:sz w:val="15"/>
        </w:rPr>
        <w:t> </w:t>
      </w:r>
      <w:r>
        <w:rPr>
          <w:sz w:val="15"/>
        </w:rPr>
        <w:t>the</w:t>
      </w:r>
      <w:r>
        <w:rPr>
          <w:spacing w:val="2"/>
          <w:sz w:val="15"/>
        </w:rPr>
        <w:t> </w:t>
      </w:r>
      <w:r>
        <w:rPr>
          <w:sz w:val="15"/>
        </w:rPr>
        <w:t>registrant</w:t>
      </w:r>
      <w:r>
        <w:rPr>
          <w:spacing w:val="3"/>
          <w:sz w:val="15"/>
        </w:rPr>
        <w:t> </w:t>
      </w:r>
      <w:r>
        <w:rPr>
          <w:sz w:val="15"/>
        </w:rPr>
        <w:t>is</w:t>
      </w:r>
      <w:r>
        <w:rPr>
          <w:spacing w:val="2"/>
          <w:sz w:val="15"/>
        </w:rPr>
        <w:t> </w:t>
      </w:r>
      <w:r>
        <w:rPr>
          <w:sz w:val="15"/>
        </w:rPr>
        <w:t>not</w:t>
      </w:r>
      <w:r>
        <w:rPr>
          <w:spacing w:val="3"/>
          <w:sz w:val="15"/>
        </w:rPr>
        <w:t> </w:t>
      </w:r>
      <w:r>
        <w:rPr>
          <w:sz w:val="15"/>
        </w:rPr>
        <w:t>required</w:t>
      </w:r>
      <w:r>
        <w:rPr>
          <w:spacing w:val="3"/>
          <w:sz w:val="15"/>
        </w:rPr>
        <w:t> </w:t>
      </w:r>
      <w:r>
        <w:rPr>
          <w:sz w:val="15"/>
        </w:rPr>
        <w:t>to</w:t>
      </w:r>
      <w:r>
        <w:rPr>
          <w:spacing w:val="2"/>
          <w:sz w:val="15"/>
        </w:rPr>
        <w:t> </w:t>
      </w:r>
      <w:r>
        <w:rPr>
          <w:sz w:val="15"/>
        </w:rPr>
        <w:t>file</w:t>
      </w:r>
      <w:r>
        <w:rPr>
          <w:spacing w:val="3"/>
          <w:sz w:val="15"/>
        </w:rPr>
        <w:t> </w:t>
      </w:r>
      <w:r>
        <w:rPr>
          <w:sz w:val="15"/>
        </w:rPr>
        <w:t>reports</w:t>
      </w:r>
      <w:r>
        <w:rPr>
          <w:spacing w:val="2"/>
          <w:sz w:val="15"/>
        </w:rPr>
        <w:t> </w:t>
      </w:r>
      <w:r>
        <w:rPr>
          <w:sz w:val="15"/>
        </w:rPr>
        <w:t>pursuant</w:t>
      </w:r>
      <w:r>
        <w:rPr>
          <w:spacing w:val="3"/>
          <w:sz w:val="15"/>
        </w:rPr>
        <w:t> </w:t>
      </w:r>
      <w:r>
        <w:rPr>
          <w:sz w:val="15"/>
        </w:rPr>
        <w:t>to</w:t>
      </w:r>
      <w:r>
        <w:rPr>
          <w:spacing w:val="3"/>
          <w:sz w:val="15"/>
        </w:rPr>
        <w:t> </w:t>
      </w:r>
      <w:r>
        <w:rPr>
          <w:sz w:val="15"/>
        </w:rPr>
        <w:t>Section</w:t>
      </w:r>
      <w:r>
        <w:rPr>
          <w:spacing w:val="2"/>
          <w:sz w:val="15"/>
        </w:rPr>
        <w:t> </w:t>
      </w:r>
      <w:r>
        <w:rPr>
          <w:sz w:val="15"/>
        </w:rPr>
        <w:t>13</w:t>
      </w:r>
      <w:r>
        <w:rPr>
          <w:spacing w:val="3"/>
          <w:sz w:val="15"/>
        </w:rPr>
        <w:t> </w:t>
      </w:r>
      <w:r>
        <w:rPr>
          <w:sz w:val="15"/>
        </w:rPr>
        <w:t>or</w:t>
      </w:r>
      <w:r>
        <w:rPr>
          <w:spacing w:val="2"/>
          <w:sz w:val="15"/>
        </w:rPr>
        <w:t> </w:t>
      </w:r>
      <w:r>
        <w:rPr>
          <w:sz w:val="15"/>
        </w:rPr>
        <w:t>Section</w:t>
      </w:r>
      <w:r>
        <w:rPr>
          <w:spacing w:val="3"/>
          <w:sz w:val="15"/>
        </w:rPr>
        <w:t> </w:t>
      </w:r>
      <w:r>
        <w:rPr>
          <w:sz w:val="15"/>
        </w:rPr>
        <w:t>15(d)</w:t>
      </w:r>
      <w:r>
        <w:rPr>
          <w:spacing w:val="3"/>
          <w:sz w:val="15"/>
        </w:rPr>
        <w:t> </w:t>
      </w:r>
      <w:r>
        <w:rPr>
          <w:sz w:val="15"/>
        </w:rPr>
        <w:t>of</w:t>
      </w:r>
      <w:r>
        <w:rPr>
          <w:spacing w:val="2"/>
          <w:sz w:val="15"/>
        </w:rPr>
        <w:t> </w:t>
      </w:r>
      <w:r>
        <w:rPr>
          <w:sz w:val="15"/>
        </w:rPr>
        <w:t>the</w:t>
      </w:r>
      <w:r>
        <w:rPr>
          <w:spacing w:val="3"/>
          <w:sz w:val="15"/>
        </w:rPr>
        <w:t> </w:t>
      </w:r>
      <w:r>
        <w:rPr>
          <w:sz w:val="15"/>
        </w:rPr>
        <w:t>Exchange</w:t>
      </w:r>
      <w:r>
        <w:rPr>
          <w:spacing w:val="2"/>
          <w:sz w:val="15"/>
        </w:rPr>
        <w:t> </w:t>
      </w:r>
      <w:r>
        <w:rPr>
          <w:spacing w:val="-4"/>
          <w:sz w:val="15"/>
        </w:rPr>
        <w:t>Act.</w:t>
      </w:r>
    </w:p>
    <w:p>
      <w:pPr>
        <w:tabs>
          <w:tab w:pos="6646" w:val="left" w:leader="none"/>
        </w:tabs>
        <w:spacing w:before="9"/>
        <w:ind w:left="4766" w:right="0" w:firstLine="0"/>
        <w:jc w:val="left"/>
        <w:rPr>
          <w:rFonts w:ascii="MS Mincho" w:hAnsi="MS Mincho"/>
          <w:sz w:val="15"/>
        </w:rPr>
      </w:pPr>
      <w:r>
        <w:rPr>
          <w:sz w:val="15"/>
        </w:rPr>
        <w:t>Yes</w:t>
      </w:r>
      <w:r>
        <w:rPr>
          <w:spacing w:val="38"/>
          <w:sz w:val="15"/>
        </w:rPr>
        <w:t>  </w:t>
      </w:r>
      <w:r>
        <w:rPr>
          <w:rFonts w:ascii="MS Mincho" w:hAnsi="MS Mincho"/>
          <w:spacing w:val="-10"/>
          <w:sz w:val="15"/>
        </w:rPr>
        <w:t>☐</w:t>
      </w:r>
      <w:r>
        <w:rPr>
          <w:rFonts w:ascii="MS Mincho" w:hAnsi="MS Mincho"/>
          <w:sz w:val="15"/>
        </w:rPr>
        <w:tab/>
      </w:r>
      <w:r>
        <w:rPr>
          <w:sz w:val="15"/>
        </w:rPr>
        <w:t>No</w:t>
      </w:r>
      <w:r>
        <w:rPr>
          <w:spacing w:val="39"/>
          <w:sz w:val="15"/>
        </w:rPr>
        <w:t> </w:t>
      </w:r>
      <w:r>
        <w:rPr>
          <w:rFonts w:ascii="MS Mincho" w:hAnsi="MS Mincho"/>
          <w:spacing w:val="-10"/>
          <w:sz w:val="15"/>
        </w:rPr>
        <w:t>☒</w:t>
      </w:r>
    </w:p>
    <w:p>
      <w:pPr>
        <w:spacing w:line="266" w:lineRule="auto" w:before="9"/>
        <w:ind w:left="156" w:right="328" w:firstLine="0"/>
        <w:jc w:val="left"/>
        <w:rPr>
          <w:sz w:val="15"/>
        </w:rPr>
      </w:pPr>
      <w:r>
        <w:rPr>
          <w:sz w:val="15"/>
        </w:rPr>
        <w:t>Indicate by check mark whether the registrant (1) has filed all reports required to be filed by Section 13 or 15(d) of the Exchange Act of 1934 during the preceding 12 months (or for such</w:t>
      </w:r>
      <w:r>
        <w:rPr>
          <w:spacing w:val="40"/>
          <w:sz w:val="15"/>
        </w:rPr>
        <w:t> </w:t>
      </w:r>
      <w:r>
        <w:rPr>
          <w:sz w:val="15"/>
        </w:rPr>
        <w:t>shorter period that the registrant was required to file such reports), and (2) has been subject to such filing requirements for the past 90 days.</w:t>
      </w:r>
    </w:p>
    <w:p>
      <w:pPr>
        <w:tabs>
          <w:tab w:pos="6589" w:val="left" w:leader="none"/>
        </w:tabs>
        <w:spacing w:line="181" w:lineRule="exact" w:before="0"/>
        <w:ind w:left="4785" w:right="0" w:firstLine="0"/>
        <w:jc w:val="left"/>
        <w:rPr>
          <w:rFonts w:ascii="MS Mincho" w:hAnsi="MS Mincho"/>
          <w:sz w:val="15"/>
        </w:rPr>
      </w:pPr>
      <w:r>
        <w:rPr>
          <w:sz w:val="15"/>
        </w:rPr>
        <w:t>Yes</w:t>
      </w:r>
      <w:r>
        <w:rPr>
          <w:spacing w:val="77"/>
          <w:sz w:val="15"/>
        </w:rPr>
        <w:t> </w:t>
      </w:r>
      <w:r>
        <w:rPr>
          <w:rFonts w:ascii="MS Mincho" w:hAnsi="MS Mincho"/>
          <w:spacing w:val="-10"/>
          <w:sz w:val="15"/>
        </w:rPr>
        <w:t>☒</w:t>
      </w:r>
      <w:r>
        <w:rPr>
          <w:rFonts w:ascii="MS Mincho" w:hAnsi="MS Mincho"/>
          <w:sz w:val="15"/>
        </w:rPr>
        <w:tab/>
      </w:r>
      <w:r>
        <w:rPr>
          <w:sz w:val="15"/>
        </w:rPr>
        <w:t>No</w:t>
      </w:r>
      <w:r>
        <w:rPr>
          <w:spacing w:val="78"/>
          <w:sz w:val="15"/>
        </w:rPr>
        <w:t> </w:t>
      </w:r>
      <w:r>
        <w:rPr>
          <w:rFonts w:ascii="MS Mincho" w:hAnsi="MS Mincho"/>
          <w:spacing w:val="-10"/>
          <w:sz w:val="15"/>
        </w:rPr>
        <w:t>☐</w:t>
      </w:r>
    </w:p>
    <w:p>
      <w:pPr>
        <w:spacing w:line="266" w:lineRule="auto" w:before="9"/>
        <w:ind w:left="156" w:right="328" w:firstLine="0"/>
        <w:jc w:val="left"/>
        <w:rPr>
          <w:sz w:val="15"/>
        </w:rPr>
      </w:pPr>
      <w:r>
        <w:rPr>
          <w:sz w:val="15"/>
        </w:rPr>
        <w:t>Indicate by check mark whether the registrant has submitted electronically every Interactive Data File required to be submitted pursuant to Rule 405 of Regulation S-T (§ 232.405 of this</w:t>
      </w:r>
      <w:r>
        <w:rPr>
          <w:spacing w:val="40"/>
          <w:sz w:val="15"/>
        </w:rPr>
        <w:t> </w:t>
      </w:r>
      <w:r>
        <w:rPr>
          <w:sz w:val="15"/>
        </w:rPr>
        <w:t>chapter) during the preceding 12 months (or for such shorter period that the registrant was required to submit such files.)</w:t>
      </w:r>
    </w:p>
    <w:p>
      <w:pPr>
        <w:tabs>
          <w:tab w:pos="6589" w:val="left" w:leader="none"/>
        </w:tabs>
        <w:spacing w:line="181" w:lineRule="exact" w:before="0"/>
        <w:ind w:left="4785" w:right="0" w:firstLine="0"/>
        <w:jc w:val="left"/>
        <w:rPr>
          <w:rFonts w:ascii="MS Mincho" w:hAnsi="MS Mincho"/>
          <w:sz w:val="15"/>
        </w:rPr>
      </w:pPr>
      <w:r>
        <w:rPr>
          <w:sz w:val="15"/>
        </w:rPr>
        <w:t>Yes</w:t>
      </w:r>
      <w:r>
        <w:rPr>
          <w:spacing w:val="77"/>
          <w:sz w:val="15"/>
        </w:rPr>
        <w:t> </w:t>
      </w:r>
      <w:r>
        <w:rPr>
          <w:rFonts w:ascii="MS Mincho" w:hAnsi="MS Mincho"/>
          <w:spacing w:val="-10"/>
          <w:sz w:val="15"/>
        </w:rPr>
        <w:t>☒</w:t>
      </w:r>
      <w:r>
        <w:rPr>
          <w:rFonts w:ascii="MS Mincho" w:hAnsi="MS Mincho"/>
          <w:sz w:val="15"/>
        </w:rPr>
        <w:tab/>
      </w:r>
      <w:r>
        <w:rPr>
          <w:sz w:val="15"/>
        </w:rPr>
        <w:t>No</w:t>
      </w:r>
      <w:r>
        <w:rPr>
          <w:spacing w:val="78"/>
          <w:sz w:val="15"/>
        </w:rPr>
        <w:t> </w:t>
      </w:r>
      <w:r>
        <w:rPr>
          <w:rFonts w:ascii="MS Mincho" w:hAnsi="MS Mincho"/>
          <w:spacing w:val="-10"/>
          <w:sz w:val="15"/>
        </w:rPr>
        <w:t>☐</w:t>
      </w:r>
    </w:p>
    <w:p>
      <w:pPr>
        <w:spacing w:line="266" w:lineRule="auto" w:before="8"/>
        <w:ind w:left="156" w:right="0" w:firstLine="0"/>
        <w:jc w:val="left"/>
        <w:rPr>
          <w:sz w:val="15"/>
        </w:rPr>
      </w:pPr>
      <w:r>
        <w:rPr>
          <w:sz w:val="15"/>
        </w:rPr>
        <w:t>Indicate by check mark whether the registrant is a large accelerated filer, an accelerated filer, a non-accelerated filer, smaller reporting company, or an emerging growth company. See the</w:t>
      </w:r>
      <w:r>
        <w:rPr>
          <w:spacing w:val="40"/>
          <w:sz w:val="15"/>
        </w:rPr>
        <w:t> </w:t>
      </w:r>
      <w:r>
        <w:rPr>
          <w:sz w:val="15"/>
        </w:rPr>
        <w:t>definitions of “large accelerated filer,” “accelerated filer,” “smaller reporting company,” and “emerging growth company” in Rule 12b-2 of the Exchange Act.</w:t>
      </w:r>
    </w:p>
    <w:p>
      <w:pPr>
        <w:pStyle w:val="BodyText"/>
        <w:rPr>
          <w:sz w:val="18"/>
        </w:rPr>
      </w:pPr>
    </w:p>
    <w:tbl>
      <w:tblPr>
        <w:tblW w:w="0" w:type="auto"/>
        <w:jc w:val="left"/>
        <w:tblInd w:w="1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1"/>
        <w:gridCol w:w="2260"/>
        <w:gridCol w:w="3697"/>
        <w:gridCol w:w="1189"/>
      </w:tblGrid>
      <w:tr>
        <w:trPr>
          <w:trHeight w:val="180" w:hRule="atLeast"/>
        </w:trPr>
        <w:tc>
          <w:tcPr>
            <w:tcW w:w="2791" w:type="dxa"/>
          </w:tcPr>
          <w:p>
            <w:pPr>
              <w:pStyle w:val="TableParagraph"/>
              <w:spacing w:line="160" w:lineRule="exact"/>
              <w:ind w:left="50"/>
              <w:rPr>
                <w:sz w:val="15"/>
              </w:rPr>
            </w:pPr>
            <w:r>
              <w:rPr>
                <w:sz w:val="15"/>
              </w:rPr>
              <w:t>Large</w:t>
            </w:r>
            <w:r>
              <w:rPr>
                <w:spacing w:val="5"/>
                <w:sz w:val="15"/>
              </w:rPr>
              <w:t> </w:t>
            </w:r>
            <w:r>
              <w:rPr>
                <w:sz w:val="15"/>
              </w:rPr>
              <w:t>accelerated</w:t>
            </w:r>
            <w:r>
              <w:rPr>
                <w:spacing w:val="5"/>
                <w:sz w:val="15"/>
              </w:rPr>
              <w:t> </w:t>
            </w:r>
            <w:r>
              <w:rPr>
                <w:spacing w:val="-2"/>
                <w:sz w:val="15"/>
              </w:rPr>
              <w:t>filer</w:t>
            </w:r>
          </w:p>
        </w:tc>
        <w:tc>
          <w:tcPr>
            <w:tcW w:w="2260" w:type="dxa"/>
          </w:tcPr>
          <w:p>
            <w:pPr>
              <w:pStyle w:val="TableParagraph"/>
              <w:spacing w:line="160" w:lineRule="exact"/>
              <w:ind w:left="28"/>
              <w:jc w:val="center"/>
              <w:rPr>
                <w:rFonts w:ascii="MS Mincho" w:hAnsi="MS Mincho"/>
                <w:sz w:val="15"/>
              </w:rPr>
            </w:pPr>
            <w:r>
              <w:rPr>
                <w:rFonts w:ascii="MS Mincho" w:hAnsi="MS Mincho"/>
                <w:spacing w:val="-10"/>
                <w:sz w:val="15"/>
              </w:rPr>
              <w:t>☒</w:t>
            </w:r>
          </w:p>
        </w:tc>
        <w:tc>
          <w:tcPr>
            <w:tcW w:w="3697" w:type="dxa"/>
          </w:tcPr>
          <w:p>
            <w:pPr>
              <w:pStyle w:val="TableParagraph"/>
              <w:spacing w:line="160" w:lineRule="exact"/>
              <w:ind w:left="1036"/>
              <w:rPr>
                <w:sz w:val="15"/>
              </w:rPr>
            </w:pPr>
            <w:r>
              <w:rPr>
                <w:sz w:val="15"/>
              </w:rPr>
              <w:t>Accelerated</w:t>
            </w:r>
            <w:r>
              <w:rPr>
                <w:spacing w:val="-3"/>
                <w:sz w:val="15"/>
              </w:rPr>
              <w:t> </w:t>
            </w:r>
            <w:r>
              <w:rPr>
                <w:spacing w:val="-2"/>
                <w:sz w:val="15"/>
              </w:rPr>
              <w:t>filer</w:t>
            </w:r>
          </w:p>
        </w:tc>
        <w:tc>
          <w:tcPr>
            <w:tcW w:w="1189" w:type="dxa"/>
          </w:tcPr>
          <w:p>
            <w:pPr>
              <w:pStyle w:val="TableParagraph"/>
              <w:spacing w:line="160" w:lineRule="exact"/>
              <w:ind w:right="50"/>
              <w:jc w:val="right"/>
              <w:rPr>
                <w:rFonts w:ascii="MS Mincho" w:hAnsi="MS Mincho"/>
                <w:sz w:val="15"/>
              </w:rPr>
            </w:pPr>
            <w:r>
              <w:rPr>
                <w:rFonts w:ascii="MS Mincho" w:hAnsi="MS Mincho"/>
                <w:spacing w:val="-10"/>
                <w:sz w:val="15"/>
              </w:rPr>
              <w:t>☐</w:t>
            </w:r>
          </w:p>
        </w:tc>
      </w:tr>
      <w:tr>
        <w:trPr>
          <w:trHeight w:val="191" w:hRule="atLeast"/>
        </w:trPr>
        <w:tc>
          <w:tcPr>
            <w:tcW w:w="2791" w:type="dxa"/>
          </w:tcPr>
          <w:p>
            <w:pPr>
              <w:pStyle w:val="TableParagraph"/>
              <w:spacing w:line="164" w:lineRule="exact" w:before="7"/>
              <w:ind w:left="50"/>
              <w:rPr>
                <w:sz w:val="15"/>
              </w:rPr>
            </w:pPr>
            <w:r>
              <w:rPr>
                <w:sz w:val="15"/>
              </w:rPr>
              <w:t>Non-accelerated</w:t>
            </w:r>
            <w:r>
              <w:rPr>
                <w:spacing w:val="9"/>
                <w:sz w:val="15"/>
              </w:rPr>
              <w:t> </w:t>
            </w:r>
            <w:r>
              <w:rPr>
                <w:spacing w:val="-2"/>
                <w:sz w:val="15"/>
              </w:rPr>
              <w:t>filer</w:t>
            </w:r>
          </w:p>
        </w:tc>
        <w:tc>
          <w:tcPr>
            <w:tcW w:w="2260" w:type="dxa"/>
          </w:tcPr>
          <w:p>
            <w:pPr>
              <w:pStyle w:val="TableParagraph"/>
              <w:spacing w:line="171" w:lineRule="exact"/>
              <w:ind w:left="28"/>
              <w:jc w:val="center"/>
              <w:rPr>
                <w:rFonts w:ascii="MS Mincho" w:hAnsi="MS Mincho"/>
                <w:sz w:val="15"/>
              </w:rPr>
            </w:pPr>
            <w:r>
              <w:rPr>
                <w:rFonts w:ascii="MS Mincho" w:hAnsi="MS Mincho"/>
                <w:spacing w:val="-10"/>
                <w:sz w:val="15"/>
              </w:rPr>
              <w:t>☐</w:t>
            </w:r>
          </w:p>
        </w:tc>
        <w:tc>
          <w:tcPr>
            <w:tcW w:w="3697" w:type="dxa"/>
          </w:tcPr>
          <w:p>
            <w:pPr>
              <w:pStyle w:val="TableParagraph"/>
              <w:spacing w:line="164" w:lineRule="exact" w:before="7"/>
              <w:ind w:left="1036"/>
              <w:rPr>
                <w:sz w:val="15"/>
              </w:rPr>
            </w:pPr>
            <w:r>
              <w:rPr>
                <w:sz w:val="15"/>
              </w:rPr>
              <w:t>Emerging</w:t>
            </w:r>
            <w:r>
              <w:rPr>
                <w:spacing w:val="5"/>
                <w:sz w:val="15"/>
              </w:rPr>
              <w:t> </w:t>
            </w:r>
            <w:r>
              <w:rPr>
                <w:sz w:val="15"/>
              </w:rPr>
              <w:t>growth</w:t>
            </w:r>
            <w:r>
              <w:rPr>
                <w:spacing w:val="5"/>
                <w:sz w:val="15"/>
              </w:rPr>
              <w:t> </w:t>
            </w:r>
            <w:r>
              <w:rPr>
                <w:spacing w:val="-2"/>
                <w:sz w:val="15"/>
              </w:rPr>
              <w:t>company</w:t>
            </w:r>
          </w:p>
        </w:tc>
        <w:tc>
          <w:tcPr>
            <w:tcW w:w="1189" w:type="dxa"/>
          </w:tcPr>
          <w:p>
            <w:pPr>
              <w:pStyle w:val="TableParagraph"/>
              <w:spacing w:line="171" w:lineRule="exact"/>
              <w:ind w:right="50"/>
              <w:jc w:val="right"/>
              <w:rPr>
                <w:rFonts w:ascii="MS Mincho" w:hAnsi="MS Mincho"/>
                <w:sz w:val="15"/>
              </w:rPr>
            </w:pPr>
            <w:r>
              <w:rPr>
                <w:rFonts w:ascii="MS Mincho" w:hAnsi="MS Mincho"/>
                <w:spacing w:val="-10"/>
                <w:sz w:val="15"/>
              </w:rPr>
              <w:t>☐</w:t>
            </w:r>
          </w:p>
        </w:tc>
      </w:tr>
      <w:tr>
        <w:trPr>
          <w:trHeight w:val="180" w:hRule="atLeast"/>
        </w:trPr>
        <w:tc>
          <w:tcPr>
            <w:tcW w:w="2791" w:type="dxa"/>
          </w:tcPr>
          <w:p>
            <w:pPr>
              <w:pStyle w:val="TableParagraph"/>
              <w:spacing w:line="153" w:lineRule="exact" w:before="7"/>
              <w:ind w:left="50"/>
              <w:rPr>
                <w:sz w:val="15"/>
              </w:rPr>
            </w:pPr>
            <w:r>
              <w:rPr>
                <w:sz w:val="15"/>
              </w:rPr>
              <w:t>Smaller</w:t>
            </w:r>
            <w:r>
              <w:rPr>
                <w:spacing w:val="5"/>
                <w:sz w:val="15"/>
              </w:rPr>
              <w:t> </w:t>
            </w:r>
            <w:r>
              <w:rPr>
                <w:sz w:val="15"/>
              </w:rPr>
              <w:t>reporting</w:t>
            </w:r>
            <w:r>
              <w:rPr>
                <w:spacing w:val="5"/>
                <w:sz w:val="15"/>
              </w:rPr>
              <w:t> </w:t>
            </w:r>
            <w:r>
              <w:rPr>
                <w:spacing w:val="-2"/>
                <w:sz w:val="15"/>
              </w:rPr>
              <w:t>company</w:t>
            </w:r>
          </w:p>
        </w:tc>
        <w:tc>
          <w:tcPr>
            <w:tcW w:w="2260" w:type="dxa"/>
          </w:tcPr>
          <w:p>
            <w:pPr>
              <w:pStyle w:val="TableParagraph"/>
              <w:spacing w:line="160" w:lineRule="exact"/>
              <w:ind w:left="28"/>
              <w:jc w:val="center"/>
              <w:rPr>
                <w:rFonts w:ascii="MS Mincho" w:hAnsi="MS Mincho"/>
                <w:sz w:val="15"/>
              </w:rPr>
            </w:pPr>
            <w:r>
              <w:rPr>
                <w:rFonts w:ascii="MS Mincho" w:hAnsi="MS Mincho"/>
                <w:spacing w:val="-10"/>
                <w:sz w:val="15"/>
              </w:rPr>
              <w:t>☐</w:t>
            </w:r>
          </w:p>
        </w:tc>
        <w:tc>
          <w:tcPr>
            <w:tcW w:w="3697" w:type="dxa"/>
          </w:tcPr>
          <w:p>
            <w:pPr>
              <w:pStyle w:val="TableParagraph"/>
              <w:rPr>
                <w:sz w:val="12"/>
              </w:rPr>
            </w:pPr>
          </w:p>
        </w:tc>
        <w:tc>
          <w:tcPr>
            <w:tcW w:w="1189" w:type="dxa"/>
          </w:tcPr>
          <w:p>
            <w:pPr>
              <w:pStyle w:val="TableParagraph"/>
              <w:rPr>
                <w:sz w:val="12"/>
              </w:rPr>
            </w:pPr>
          </w:p>
        </w:tc>
      </w:tr>
    </w:tbl>
    <w:p>
      <w:pPr>
        <w:spacing w:line="252" w:lineRule="auto" w:before="133"/>
        <w:ind w:left="156" w:right="0" w:firstLine="0"/>
        <w:jc w:val="left"/>
        <w:rPr>
          <w:rFonts w:ascii="MS Mincho" w:hAnsi="MS Mincho"/>
          <w:sz w:val="15"/>
        </w:rPr>
      </w:pPr>
      <w:r>
        <w:rPr>
          <w:sz w:val="15"/>
        </w:rPr>
        <w:t>If an emerging growth company, indicate by check mark if the registrant has elected not to use the extended transition period for complying with any new or revised financial accounting</w:t>
      </w:r>
      <w:r>
        <w:rPr>
          <w:spacing w:val="40"/>
          <w:sz w:val="15"/>
        </w:rPr>
        <w:t> </w:t>
      </w:r>
      <w:r>
        <w:rPr>
          <w:sz w:val="15"/>
        </w:rPr>
        <w:t>standards provided pursuant to Section 13(a) of the Exchange Act.</w:t>
      </w:r>
      <w:r>
        <w:rPr>
          <w:spacing w:val="40"/>
          <w:sz w:val="15"/>
        </w:rPr>
        <w:t> </w:t>
      </w:r>
      <w:r>
        <w:rPr>
          <w:rFonts w:ascii="MS Mincho" w:hAnsi="MS Mincho"/>
          <w:sz w:val="15"/>
        </w:rPr>
        <w:t>☐</w:t>
      </w:r>
    </w:p>
    <w:p>
      <w:pPr>
        <w:spacing w:line="252" w:lineRule="auto" w:before="190"/>
        <w:ind w:left="156" w:right="328" w:firstLine="0"/>
        <w:jc w:val="left"/>
        <w:rPr>
          <w:rFonts w:ascii="MS Mincho" w:hAnsi="MS Mincho"/>
          <w:sz w:val="15"/>
        </w:rPr>
      </w:pPr>
      <w:r>
        <w:rPr>
          <w:sz w:val="15"/>
        </w:rPr>
        <w:t>Indicate by check mark whether the registrant has filed a report on and attestation to its management’s assessment of the effectiveness of its internal control over financial reporting under</w:t>
      </w:r>
      <w:r>
        <w:rPr>
          <w:spacing w:val="40"/>
          <w:sz w:val="15"/>
        </w:rPr>
        <w:t> </w:t>
      </w:r>
      <w:r>
        <w:rPr>
          <w:sz w:val="15"/>
        </w:rPr>
        <w:t>Section 404(b) of the Sarbanes-Oxley Act (15 U.S.C. 7262(b)) by the registered public accounting firm that prepared or issued its audit report.</w:t>
      </w:r>
      <w:r>
        <w:rPr>
          <w:spacing w:val="40"/>
          <w:sz w:val="15"/>
        </w:rPr>
        <w:t> </w:t>
      </w:r>
      <w:r>
        <w:rPr>
          <w:rFonts w:ascii="MS Mincho" w:hAnsi="MS Mincho"/>
          <w:sz w:val="15"/>
        </w:rPr>
        <w:t>☒</w:t>
      </w:r>
    </w:p>
    <w:p>
      <w:pPr>
        <w:spacing w:before="190"/>
        <w:ind w:left="0" w:right="4678" w:firstLine="0"/>
        <w:jc w:val="right"/>
        <w:rPr>
          <w:sz w:val="15"/>
        </w:rPr>
      </w:pPr>
      <w:r>
        <w:rPr>
          <w:sz w:val="15"/>
        </w:rPr>
        <w:t>Indicate</w:t>
      </w:r>
      <w:r>
        <w:rPr>
          <w:spacing w:val="2"/>
          <w:sz w:val="15"/>
        </w:rPr>
        <w:t> </w:t>
      </w:r>
      <w:r>
        <w:rPr>
          <w:sz w:val="15"/>
        </w:rPr>
        <w:t>by</w:t>
      </w:r>
      <w:r>
        <w:rPr>
          <w:spacing w:val="3"/>
          <w:sz w:val="15"/>
        </w:rPr>
        <w:t> </w:t>
      </w:r>
      <w:r>
        <w:rPr>
          <w:sz w:val="15"/>
        </w:rPr>
        <w:t>check</w:t>
      </w:r>
      <w:r>
        <w:rPr>
          <w:spacing w:val="3"/>
          <w:sz w:val="15"/>
        </w:rPr>
        <w:t> </w:t>
      </w:r>
      <w:r>
        <w:rPr>
          <w:sz w:val="15"/>
        </w:rPr>
        <w:t>mark</w:t>
      </w:r>
      <w:r>
        <w:rPr>
          <w:spacing w:val="3"/>
          <w:sz w:val="15"/>
        </w:rPr>
        <w:t> </w:t>
      </w:r>
      <w:r>
        <w:rPr>
          <w:sz w:val="15"/>
        </w:rPr>
        <w:t>whether</w:t>
      </w:r>
      <w:r>
        <w:rPr>
          <w:spacing w:val="3"/>
          <w:sz w:val="15"/>
        </w:rPr>
        <w:t> </w:t>
      </w:r>
      <w:r>
        <w:rPr>
          <w:sz w:val="15"/>
        </w:rPr>
        <w:t>the</w:t>
      </w:r>
      <w:r>
        <w:rPr>
          <w:spacing w:val="3"/>
          <w:sz w:val="15"/>
        </w:rPr>
        <w:t> </w:t>
      </w:r>
      <w:r>
        <w:rPr>
          <w:sz w:val="15"/>
        </w:rPr>
        <w:t>registrant</w:t>
      </w:r>
      <w:r>
        <w:rPr>
          <w:spacing w:val="3"/>
          <w:sz w:val="15"/>
        </w:rPr>
        <w:t> </w:t>
      </w:r>
      <w:r>
        <w:rPr>
          <w:sz w:val="15"/>
        </w:rPr>
        <w:t>is</w:t>
      </w:r>
      <w:r>
        <w:rPr>
          <w:spacing w:val="3"/>
          <w:sz w:val="15"/>
        </w:rPr>
        <w:t> </w:t>
      </w:r>
      <w:r>
        <w:rPr>
          <w:sz w:val="15"/>
        </w:rPr>
        <w:t>a</w:t>
      </w:r>
      <w:r>
        <w:rPr>
          <w:spacing w:val="3"/>
          <w:sz w:val="15"/>
        </w:rPr>
        <w:t> </w:t>
      </w:r>
      <w:r>
        <w:rPr>
          <w:sz w:val="15"/>
        </w:rPr>
        <w:t>shell</w:t>
      </w:r>
      <w:r>
        <w:rPr>
          <w:spacing w:val="3"/>
          <w:sz w:val="15"/>
        </w:rPr>
        <w:t> </w:t>
      </w:r>
      <w:r>
        <w:rPr>
          <w:sz w:val="15"/>
        </w:rPr>
        <w:t>company</w:t>
      </w:r>
      <w:r>
        <w:rPr>
          <w:spacing w:val="2"/>
          <w:sz w:val="15"/>
        </w:rPr>
        <w:t> </w:t>
      </w:r>
      <w:r>
        <w:rPr>
          <w:sz w:val="15"/>
        </w:rPr>
        <w:t>(as</w:t>
      </w:r>
      <w:r>
        <w:rPr>
          <w:spacing w:val="3"/>
          <w:sz w:val="15"/>
        </w:rPr>
        <w:t> </w:t>
      </w:r>
      <w:r>
        <w:rPr>
          <w:sz w:val="15"/>
        </w:rPr>
        <w:t>defined</w:t>
      </w:r>
      <w:r>
        <w:rPr>
          <w:spacing w:val="3"/>
          <w:sz w:val="15"/>
        </w:rPr>
        <w:t> </w:t>
      </w:r>
      <w:r>
        <w:rPr>
          <w:sz w:val="15"/>
        </w:rPr>
        <w:t>in</w:t>
      </w:r>
      <w:r>
        <w:rPr>
          <w:spacing w:val="3"/>
          <w:sz w:val="15"/>
        </w:rPr>
        <w:t> </w:t>
      </w:r>
      <w:r>
        <w:rPr>
          <w:sz w:val="15"/>
        </w:rPr>
        <w:t>Rule</w:t>
      </w:r>
      <w:r>
        <w:rPr>
          <w:spacing w:val="3"/>
          <w:sz w:val="15"/>
        </w:rPr>
        <w:t> </w:t>
      </w:r>
      <w:r>
        <w:rPr>
          <w:sz w:val="15"/>
        </w:rPr>
        <w:t>12b-2</w:t>
      </w:r>
      <w:r>
        <w:rPr>
          <w:spacing w:val="3"/>
          <w:sz w:val="15"/>
        </w:rPr>
        <w:t> </w:t>
      </w:r>
      <w:r>
        <w:rPr>
          <w:sz w:val="15"/>
        </w:rPr>
        <w:t>of</w:t>
      </w:r>
      <w:r>
        <w:rPr>
          <w:spacing w:val="3"/>
          <w:sz w:val="15"/>
        </w:rPr>
        <w:t> </w:t>
      </w:r>
      <w:r>
        <w:rPr>
          <w:sz w:val="15"/>
        </w:rPr>
        <w:t>the</w:t>
      </w:r>
      <w:r>
        <w:rPr>
          <w:spacing w:val="3"/>
          <w:sz w:val="15"/>
        </w:rPr>
        <w:t> </w:t>
      </w:r>
      <w:r>
        <w:rPr>
          <w:sz w:val="15"/>
        </w:rPr>
        <w:t>Exchange </w:t>
      </w:r>
      <w:r>
        <w:rPr>
          <w:spacing w:val="-2"/>
          <w:sz w:val="15"/>
        </w:rPr>
        <w:t>Act).</w:t>
      </w:r>
    </w:p>
    <w:p>
      <w:pPr>
        <w:tabs>
          <w:tab w:pos="1842" w:val="left" w:leader="none"/>
        </w:tabs>
        <w:spacing w:before="9"/>
        <w:ind w:left="0" w:right="4715" w:firstLine="0"/>
        <w:jc w:val="right"/>
        <w:rPr>
          <w:rFonts w:ascii="MS Mincho" w:hAnsi="MS Mincho"/>
          <w:sz w:val="15"/>
        </w:rPr>
      </w:pPr>
      <w:r>
        <w:rPr>
          <w:sz w:val="15"/>
        </w:rPr>
        <w:t>Yes</w:t>
      </w:r>
      <w:r>
        <w:rPr>
          <w:spacing w:val="77"/>
          <w:sz w:val="15"/>
        </w:rPr>
        <w:t> </w:t>
      </w:r>
      <w:r>
        <w:rPr>
          <w:rFonts w:ascii="MS Mincho" w:hAnsi="MS Mincho"/>
          <w:spacing w:val="-10"/>
          <w:sz w:val="15"/>
        </w:rPr>
        <w:t>☐</w:t>
      </w:r>
      <w:r>
        <w:rPr>
          <w:rFonts w:ascii="MS Mincho" w:hAnsi="MS Mincho"/>
          <w:sz w:val="15"/>
        </w:rPr>
        <w:tab/>
      </w:r>
      <w:r>
        <w:rPr>
          <w:sz w:val="15"/>
        </w:rPr>
        <w:t>No</w:t>
      </w:r>
      <w:r>
        <w:rPr>
          <w:spacing w:val="78"/>
          <w:sz w:val="15"/>
        </w:rPr>
        <w:t> </w:t>
      </w:r>
      <w:r>
        <w:rPr>
          <w:rFonts w:ascii="MS Mincho" w:hAnsi="MS Mincho"/>
          <w:spacing w:val="-10"/>
          <w:sz w:val="15"/>
        </w:rPr>
        <w:t>☒</w:t>
      </w:r>
    </w:p>
    <w:p>
      <w:pPr>
        <w:spacing w:line="266" w:lineRule="auto" w:before="9"/>
        <w:ind w:left="156" w:right="328" w:firstLine="0"/>
        <w:jc w:val="left"/>
        <w:rPr>
          <w:sz w:val="15"/>
        </w:rPr>
      </w:pPr>
      <w:r>
        <w:rPr>
          <w:sz w:val="15"/>
        </w:rPr>
        <w:t>As of June 30, 2021, the aggregate market value of the registrant’s common stock held by non-affiliates of the registrant was $35 billion based on the $40.90 closing price as reported on</w:t>
      </w:r>
      <w:r>
        <w:rPr>
          <w:spacing w:val="40"/>
          <w:sz w:val="15"/>
        </w:rPr>
        <w:t> </w:t>
      </w:r>
      <w:r>
        <w:rPr>
          <w:sz w:val="15"/>
        </w:rPr>
        <w:t>the New York Stock Exchange.</w:t>
      </w:r>
    </w:p>
    <w:p>
      <w:pPr>
        <w:pStyle w:val="BodyText"/>
        <w:spacing w:before="18"/>
        <w:rPr>
          <w:sz w:val="15"/>
        </w:rPr>
      </w:pPr>
    </w:p>
    <w:p>
      <w:pPr>
        <w:spacing w:before="0"/>
        <w:ind w:left="156" w:right="0" w:firstLine="0"/>
        <w:jc w:val="left"/>
        <w:rPr>
          <w:sz w:val="15"/>
        </w:rPr>
      </w:pPr>
      <w:r>
        <w:rPr>
          <w:sz w:val="15"/>
        </w:rPr>
        <w:t>There</w:t>
      </w:r>
      <w:r>
        <w:rPr>
          <w:spacing w:val="2"/>
          <w:sz w:val="15"/>
        </w:rPr>
        <w:t> </w:t>
      </w:r>
      <w:r>
        <w:rPr>
          <w:sz w:val="15"/>
        </w:rPr>
        <w:t>were</w:t>
      </w:r>
      <w:r>
        <w:rPr>
          <w:spacing w:val="3"/>
          <w:sz w:val="15"/>
        </w:rPr>
        <w:t> </w:t>
      </w:r>
      <w:r>
        <w:rPr>
          <w:sz w:val="15"/>
        </w:rPr>
        <w:t>845,849,498</w:t>
      </w:r>
      <w:r>
        <w:rPr>
          <w:spacing w:val="3"/>
          <w:sz w:val="15"/>
        </w:rPr>
        <w:t> </w:t>
      </w:r>
      <w:r>
        <w:rPr>
          <w:sz w:val="15"/>
        </w:rPr>
        <w:t>shares</w:t>
      </w:r>
      <w:r>
        <w:rPr>
          <w:spacing w:val="3"/>
          <w:sz w:val="15"/>
        </w:rPr>
        <w:t> </w:t>
      </w:r>
      <w:r>
        <w:rPr>
          <w:sz w:val="15"/>
        </w:rPr>
        <w:t>of</w:t>
      </w:r>
      <w:r>
        <w:rPr>
          <w:spacing w:val="2"/>
          <w:sz w:val="15"/>
        </w:rPr>
        <w:t> </w:t>
      </w:r>
      <w:r>
        <w:rPr>
          <w:sz w:val="15"/>
        </w:rPr>
        <w:t>Corning’s</w:t>
      </w:r>
      <w:r>
        <w:rPr>
          <w:spacing w:val="3"/>
          <w:sz w:val="15"/>
        </w:rPr>
        <w:t> </w:t>
      </w:r>
      <w:r>
        <w:rPr>
          <w:sz w:val="15"/>
        </w:rPr>
        <w:t>common</w:t>
      </w:r>
      <w:r>
        <w:rPr>
          <w:spacing w:val="3"/>
          <w:sz w:val="15"/>
        </w:rPr>
        <w:t> </w:t>
      </w:r>
      <w:r>
        <w:rPr>
          <w:sz w:val="15"/>
        </w:rPr>
        <w:t>stock</w:t>
      </w:r>
      <w:r>
        <w:rPr>
          <w:spacing w:val="3"/>
          <w:sz w:val="15"/>
        </w:rPr>
        <w:t> </w:t>
      </w:r>
      <w:r>
        <w:rPr>
          <w:sz w:val="15"/>
        </w:rPr>
        <w:t>issued</w:t>
      </w:r>
      <w:r>
        <w:rPr>
          <w:spacing w:val="2"/>
          <w:sz w:val="15"/>
        </w:rPr>
        <w:t> </w:t>
      </w:r>
      <w:r>
        <w:rPr>
          <w:sz w:val="15"/>
        </w:rPr>
        <w:t>and</w:t>
      </w:r>
      <w:r>
        <w:rPr>
          <w:spacing w:val="3"/>
          <w:sz w:val="15"/>
        </w:rPr>
        <w:t> </w:t>
      </w:r>
      <w:r>
        <w:rPr>
          <w:sz w:val="15"/>
        </w:rPr>
        <w:t>outstanding</w:t>
      </w:r>
      <w:r>
        <w:rPr>
          <w:spacing w:val="3"/>
          <w:sz w:val="15"/>
        </w:rPr>
        <w:t> </w:t>
      </w:r>
      <w:r>
        <w:rPr>
          <w:sz w:val="15"/>
        </w:rPr>
        <w:t>as</w:t>
      </w:r>
      <w:r>
        <w:rPr>
          <w:spacing w:val="3"/>
          <w:sz w:val="15"/>
        </w:rPr>
        <w:t> </w:t>
      </w:r>
      <w:r>
        <w:rPr>
          <w:sz w:val="15"/>
        </w:rPr>
        <w:t>of January</w:t>
      </w:r>
      <w:r>
        <w:rPr>
          <w:spacing w:val="3"/>
          <w:sz w:val="15"/>
        </w:rPr>
        <w:t> </w:t>
      </w:r>
      <w:r>
        <w:rPr>
          <w:sz w:val="15"/>
        </w:rPr>
        <w:t>31,</w:t>
      </w:r>
      <w:r>
        <w:rPr>
          <w:spacing w:val="3"/>
          <w:sz w:val="15"/>
        </w:rPr>
        <w:t> </w:t>
      </w:r>
      <w:r>
        <w:rPr>
          <w:spacing w:val="-2"/>
          <w:sz w:val="15"/>
        </w:rPr>
        <w:t>2022.</w:t>
      </w:r>
    </w:p>
    <w:p>
      <w:pPr>
        <w:pStyle w:val="BodyText"/>
        <w:spacing w:before="53"/>
        <w:rPr>
          <w:sz w:val="15"/>
        </w:rPr>
      </w:pPr>
    </w:p>
    <w:p>
      <w:pPr>
        <w:pStyle w:val="Heading1"/>
        <w:ind w:left="48"/>
        <w:jc w:val="center"/>
      </w:pPr>
      <w:r>
        <w:rPr/>
        <w:t>DOCUMENTS</w:t>
      </w:r>
      <w:r>
        <w:rPr>
          <w:spacing w:val="19"/>
        </w:rPr>
        <w:t> </w:t>
      </w:r>
      <w:r>
        <w:rPr/>
        <w:t>INCORPORATED</w:t>
      </w:r>
      <w:r>
        <w:rPr>
          <w:spacing w:val="20"/>
        </w:rPr>
        <w:t> </w:t>
      </w:r>
      <w:r>
        <w:rPr/>
        <w:t>BY</w:t>
      </w:r>
      <w:r>
        <w:rPr>
          <w:spacing w:val="23"/>
        </w:rPr>
        <w:t> </w:t>
      </w:r>
      <w:r>
        <w:rPr>
          <w:spacing w:val="-2"/>
        </w:rPr>
        <w:t>REFERENCE</w:t>
      </w:r>
    </w:p>
    <w:p>
      <w:pPr>
        <w:pStyle w:val="BodyText"/>
        <w:spacing w:line="266" w:lineRule="auto" w:before="134"/>
        <w:ind w:left="156"/>
      </w:pPr>
      <w:r>
        <w:rPr>
          <w:w w:val="105"/>
        </w:rPr>
        <w:t>Part</w:t>
      </w:r>
      <w:r>
        <w:rPr>
          <w:spacing w:val="-2"/>
          <w:w w:val="105"/>
        </w:rPr>
        <w:t> </w:t>
      </w:r>
      <w:r>
        <w:rPr>
          <w:w w:val="105"/>
        </w:rPr>
        <w:t>III</w:t>
      </w:r>
      <w:r>
        <w:rPr>
          <w:spacing w:val="-2"/>
          <w:w w:val="105"/>
        </w:rPr>
        <w:t> </w:t>
      </w:r>
      <w:r>
        <w:rPr>
          <w:w w:val="105"/>
        </w:rPr>
        <w:t>of</w:t>
      </w:r>
      <w:r>
        <w:rPr>
          <w:spacing w:val="-2"/>
          <w:w w:val="105"/>
        </w:rPr>
        <w:t> </w:t>
      </w:r>
      <w:r>
        <w:rPr>
          <w:w w:val="105"/>
        </w:rPr>
        <w:t>this</w:t>
      </w:r>
      <w:r>
        <w:rPr>
          <w:spacing w:val="-2"/>
          <w:w w:val="105"/>
        </w:rPr>
        <w:t> </w:t>
      </w:r>
      <w:r>
        <w:rPr>
          <w:w w:val="105"/>
        </w:rPr>
        <w:t>Annual</w:t>
      </w:r>
      <w:r>
        <w:rPr>
          <w:spacing w:val="-2"/>
          <w:w w:val="105"/>
        </w:rPr>
        <w:t> </w:t>
      </w:r>
      <w:r>
        <w:rPr>
          <w:w w:val="105"/>
        </w:rPr>
        <w:t>Report</w:t>
      </w:r>
      <w:r>
        <w:rPr>
          <w:spacing w:val="-2"/>
          <w:w w:val="105"/>
        </w:rPr>
        <w:t> </w:t>
      </w:r>
      <w:r>
        <w:rPr>
          <w:w w:val="105"/>
        </w:rPr>
        <w:t>on</w:t>
      </w:r>
      <w:r>
        <w:rPr>
          <w:spacing w:val="-2"/>
          <w:w w:val="105"/>
        </w:rPr>
        <w:t> </w:t>
      </w:r>
      <w:r>
        <w:rPr>
          <w:w w:val="105"/>
        </w:rPr>
        <w:t>Form</w:t>
      </w:r>
      <w:r>
        <w:rPr>
          <w:spacing w:val="-2"/>
          <w:w w:val="105"/>
        </w:rPr>
        <w:t> </w:t>
      </w:r>
      <w:r>
        <w:rPr>
          <w:w w:val="105"/>
        </w:rPr>
        <w:t>10-K</w:t>
      </w:r>
      <w:r>
        <w:rPr>
          <w:spacing w:val="-2"/>
          <w:w w:val="105"/>
        </w:rPr>
        <w:t> </w:t>
      </w:r>
      <w:r>
        <w:rPr>
          <w:w w:val="105"/>
        </w:rPr>
        <w:t>will</w:t>
      </w:r>
      <w:r>
        <w:rPr>
          <w:spacing w:val="-2"/>
          <w:w w:val="105"/>
        </w:rPr>
        <w:t> </w:t>
      </w:r>
      <w:r>
        <w:rPr>
          <w:w w:val="105"/>
        </w:rPr>
        <w:t>be</w:t>
      </w:r>
      <w:r>
        <w:rPr>
          <w:spacing w:val="-2"/>
          <w:w w:val="105"/>
        </w:rPr>
        <w:t> </w:t>
      </w:r>
      <w:r>
        <w:rPr>
          <w:w w:val="105"/>
        </w:rPr>
        <w:t>incorporated</w:t>
      </w:r>
      <w:r>
        <w:rPr>
          <w:spacing w:val="-2"/>
          <w:w w:val="105"/>
        </w:rPr>
        <w:t> </w:t>
      </w:r>
      <w:r>
        <w:rPr>
          <w:w w:val="105"/>
        </w:rPr>
        <w:t>by</w:t>
      </w:r>
      <w:r>
        <w:rPr>
          <w:spacing w:val="-2"/>
          <w:w w:val="105"/>
        </w:rPr>
        <w:t> </w:t>
      </w:r>
      <w:r>
        <w:rPr>
          <w:w w:val="105"/>
        </w:rPr>
        <w:t>reference</w:t>
      </w:r>
      <w:r>
        <w:rPr>
          <w:spacing w:val="-2"/>
          <w:w w:val="105"/>
        </w:rPr>
        <w:t> </w:t>
      </w:r>
      <w:r>
        <w:rPr>
          <w:w w:val="105"/>
        </w:rPr>
        <w:t>from</w:t>
      </w:r>
      <w:r>
        <w:rPr>
          <w:spacing w:val="-2"/>
          <w:w w:val="105"/>
        </w:rPr>
        <w:t> </w:t>
      </w:r>
      <w:r>
        <w:rPr>
          <w:w w:val="105"/>
        </w:rPr>
        <w:t>certain</w:t>
      </w:r>
      <w:r>
        <w:rPr>
          <w:spacing w:val="-2"/>
          <w:w w:val="105"/>
        </w:rPr>
        <w:t> </w:t>
      </w:r>
      <w:r>
        <w:rPr>
          <w:w w:val="105"/>
        </w:rPr>
        <w:t>portions</w:t>
      </w:r>
      <w:r>
        <w:rPr>
          <w:spacing w:val="-2"/>
          <w:w w:val="105"/>
        </w:rPr>
        <w:t> </w:t>
      </w:r>
      <w:r>
        <w:rPr>
          <w:w w:val="105"/>
        </w:rPr>
        <w:t>of</w:t>
      </w:r>
      <w:r>
        <w:rPr>
          <w:spacing w:val="-2"/>
          <w:w w:val="105"/>
        </w:rPr>
        <w:t> </w:t>
      </w:r>
      <w:r>
        <w:rPr>
          <w:w w:val="105"/>
        </w:rPr>
        <w:t>the</w:t>
      </w:r>
      <w:r>
        <w:rPr>
          <w:spacing w:val="-2"/>
          <w:w w:val="105"/>
        </w:rPr>
        <w:t> </w:t>
      </w:r>
      <w:r>
        <w:rPr>
          <w:w w:val="105"/>
        </w:rPr>
        <w:t>definitive</w:t>
      </w:r>
      <w:r>
        <w:rPr>
          <w:spacing w:val="-2"/>
          <w:w w:val="105"/>
        </w:rPr>
        <w:t> </w:t>
      </w:r>
      <w:r>
        <w:rPr>
          <w:w w:val="105"/>
        </w:rPr>
        <w:t>Proxy</w:t>
      </w:r>
      <w:r>
        <w:rPr>
          <w:spacing w:val="-2"/>
          <w:w w:val="105"/>
        </w:rPr>
        <w:t> </w:t>
      </w:r>
      <w:r>
        <w:rPr>
          <w:w w:val="105"/>
        </w:rPr>
        <w:t>Statement</w:t>
      </w:r>
      <w:r>
        <w:rPr>
          <w:spacing w:val="-2"/>
          <w:w w:val="105"/>
        </w:rPr>
        <w:t> </w:t>
      </w:r>
      <w:r>
        <w:rPr>
          <w:w w:val="105"/>
        </w:rPr>
        <w:t>for</w:t>
      </w:r>
      <w:r>
        <w:rPr>
          <w:spacing w:val="-2"/>
          <w:w w:val="105"/>
        </w:rPr>
        <w:t> </w:t>
      </w:r>
      <w:r>
        <w:rPr>
          <w:w w:val="105"/>
        </w:rPr>
        <w:t>the</w:t>
      </w:r>
      <w:r>
        <w:rPr>
          <w:spacing w:val="-2"/>
          <w:w w:val="105"/>
        </w:rPr>
        <w:t> </w:t>
      </w:r>
      <w:r>
        <w:rPr>
          <w:w w:val="105"/>
        </w:rPr>
        <w:t>Registrant’s</w:t>
      </w:r>
      <w:r>
        <w:rPr>
          <w:spacing w:val="-2"/>
          <w:w w:val="105"/>
        </w:rPr>
        <w:t> </w:t>
      </w:r>
      <w:r>
        <w:rPr>
          <w:w w:val="105"/>
        </w:rPr>
        <w:t>2022</w:t>
      </w:r>
      <w:r>
        <w:rPr>
          <w:spacing w:val="-2"/>
          <w:w w:val="105"/>
        </w:rPr>
        <w:t> </w:t>
      </w:r>
      <w:r>
        <w:rPr>
          <w:w w:val="105"/>
        </w:rPr>
        <w:t>Annual Meeting</w:t>
      </w:r>
      <w:r>
        <w:rPr>
          <w:spacing w:val="-8"/>
          <w:w w:val="105"/>
        </w:rPr>
        <w:t> </w:t>
      </w:r>
      <w:r>
        <w:rPr>
          <w:w w:val="105"/>
        </w:rPr>
        <w:t>of</w:t>
      </w:r>
      <w:r>
        <w:rPr>
          <w:spacing w:val="-8"/>
          <w:w w:val="105"/>
        </w:rPr>
        <w:t> </w:t>
      </w:r>
      <w:r>
        <w:rPr>
          <w:w w:val="105"/>
        </w:rPr>
        <w:t>Stockholders,</w:t>
      </w:r>
      <w:r>
        <w:rPr>
          <w:spacing w:val="-8"/>
          <w:w w:val="105"/>
        </w:rPr>
        <w:t> </w:t>
      </w:r>
      <w:r>
        <w:rPr>
          <w:w w:val="105"/>
        </w:rPr>
        <w:t>which</w:t>
      </w:r>
      <w:r>
        <w:rPr>
          <w:spacing w:val="-8"/>
          <w:w w:val="105"/>
        </w:rPr>
        <w:t> </w:t>
      </w:r>
      <w:r>
        <w:rPr>
          <w:w w:val="105"/>
        </w:rPr>
        <w:t>definitive</w:t>
      </w:r>
      <w:r>
        <w:rPr>
          <w:spacing w:val="-8"/>
          <w:w w:val="105"/>
        </w:rPr>
        <w:t> </w:t>
      </w:r>
      <w:r>
        <w:rPr>
          <w:w w:val="105"/>
        </w:rPr>
        <w:t>Proxy</w:t>
      </w:r>
      <w:r>
        <w:rPr>
          <w:spacing w:val="-8"/>
          <w:w w:val="105"/>
        </w:rPr>
        <w:t> </w:t>
      </w:r>
      <w:r>
        <w:rPr>
          <w:w w:val="105"/>
        </w:rPr>
        <w:t>Statement</w:t>
      </w:r>
      <w:r>
        <w:rPr>
          <w:spacing w:val="-8"/>
          <w:w w:val="105"/>
        </w:rPr>
        <w:t> </w:t>
      </w:r>
      <w:r>
        <w:rPr>
          <w:w w:val="105"/>
        </w:rPr>
        <w:t>will</w:t>
      </w:r>
      <w:r>
        <w:rPr>
          <w:spacing w:val="-8"/>
          <w:w w:val="105"/>
        </w:rPr>
        <w:t> </w:t>
      </w:r>
      <w:r>
        <w:rPr>
          <w:w w:val="105"/>
        </w:rPr>
        <w:t>be</w:t>
      </w:r>
      <w:r>
        <w:rPr>
          <w:spacing w:val="-8"/>
          <w:w w:val="105"/>
        </w:rPr>
        <w:t> </w:t>
      </w:r>
      <w:r>
        <w:rPr>
          <w:w w:val="105"/>
        </w:rPr>
        <w:t>filed</w:t>
      </w:r>
      <w:r>
        <w:rPr>
          <w:spacing w:val="-8"/>
          <w:w w:val="105"/>
        </w:rPr>
        <w:t> </w:t>
      </w:r>
      <w:r>
        <w:rPr>
          <w:w w:val="105"/>
        </w:rPr>
        <w:t>with</w:t>
      </w:r>
      <w:r>
        <w:rPr>
          <w:spacing w:val="-8"/>
          <w:w w:val="105"/>
        </w:rPr>
        <w:t> </w:t>
      </w:r>
      <w:r>
        <w:rPr>
          <w:w w:val="105"/>
        </w:rPr>
        <w:t>the</w:t>
      </w:r>
      <w:r>
        <w:rPr>
          <w:spacing w:val="-8"/>
          <w:w w:val="105"/>
        </w:rPr>
        <w:t> </w:t>
      </w:r>
      <w:r>
        <w:rPr>
          <w:w w:val="105"/>
        </w:rPr>
        <w:t>Securities</w:t>
      </w:r>
      <w:r>
        <w:rPr>
          <w:spacing w:val="-8"/>
          <w:w w:val="105"/>
        </w:rPr>
        <w:t> </w:t>
      </w:r>
      <w:r>
        <w:rPr>
          <w:w w:val="105"/>
        </w:rPr>
        <w:t>and</w:t>
      </w:r>
      <w:r>
        <w:rPr>
          <w:spacing w:val="-8"/>
          <w:w w:val="105"/>
        </w:rPr>
        <w:t> </w:t>
      </w:r>
      <w:r>
        <w:rPr>
          <w:w w:val="105"/>
        </w:rPr>
        <w:t>Exchange</w:t>
      </w:r>
      <w:r>
        <w:rPr>
          <w:spacing w:val="-8"/>
          <w:w w:val="105"/>
        </w:rPr>
        <w:t> </w:t>
      </w:r>
      <w:r>
        <w:rPr>
          <w:w w:val="105"/>
        </w:rPr>
        <w:t>Commission</w:t>
      </w:r>
      <w:r>
        <w:rPr>
          <w:spacing w:val="-8"/>
          <w:w w:val="105"/>
        </w:rPr>
        <w:t> </w:t>
      </w:r>
      <w:r>
        <w:rPr>
          <w:w w:val="105"/>
        </w:rPr>
        <w:t>pursuant</w:t>
      </w:r>
      <w:r>
        <w:rPr>
          <w:spacing w:val="-8"/>
          <w:w w:val="105"/>
        </w:rPr>
        <w:t> </w:t>
      </w:r>
      <w:r>
        <w:rPr>
          <w:w w:val="105"/>
        </w:rPr>
        <w:t>to</w:t>
      </w:r>
      <w:r>
        <w:rPr>
          <w:spacing w:val="-8"/>
          <w:w w:val="105"/>
        </w:rPr>
        <w:t> </w:t>
      </w:r>
      <w:r>
        <w:rPr>
          <w:w w:val="105"/>
        </w:rPr>
        <w:t>Regulation</w:t>
      </w:r>
      <w:r>
        <w:rPr>
          <w:spacing w:val="-8"/>
          <w:w w:val="105"/>
        </w:rPr>
        <w:t> </w:t>
      </w:r>
      <w:r>
        <w:rPr>
          <w:w w:val="105"/>
        </w:rPr>
        <w:t>14A</w:t>
      </w:r>
      <w:r>
        <w:rPr>
          <w:spacing w:val="-8"/>
          <w:w w:val="105"/>
        </w:rPr>
        <w:t> </w:t>
      </w:r>
      <w:r>
        <w:rPr>
          <w:w w:val="105"/>
        </w:rPr>
        <w:t>or</w:t>
      </w:r>
      <w:r>
        <w:rPr>
          <w:spacing w:val="-8"/>
          <w:w w:val="105"/>
        </w:rPr>
        <w:t> </w:t>
      </w:r>
      <w:r>
        <w:rPr>
          <w:w w:val="105"/>
        </w:rPr>
        <w:t>will</w:t>
      </w:r>
      <w:r>
        <w:rPr>
          <w:spacing w:val="-8"/>
          <w:w w:val="105"/>
        </w:rPr>
        <w:t> </w:t>
      </w:r>
      <w:r>
        <w:rPr>
          <w:w w:val="105"/>
        </w:rPr>
        <w:t>be</w:t>
      </w:r>
      <w:r>
        <w:rPr>
          <w:spacing w:val="-8"/>
          <w:w w:val="105"/>
        </w:rPr>
        <w:t> </w:t>
      </w:r>
      <w:r>
        <w:rPr>
          <w:w w:val="105"/>
        </w:rPr>
        <w:t>included</w:t>
      </w:r>
      <w:r>
        <w:rPr>
          <w:spacing w:val="-8"/>
          <w:w w:val="105"/>
        </w:rPr>
        <w:t> </w:t>
      </w:r>
      <w:r>
        <w:rPr>
          <w:w w:val="105"/>
        </w:rPr>
        <w:t>in</w:t>
      </w:r>
      <w:r>
        <w:rPr>
          <w:spacing w:val="-8"/>
          <w:w w:val="105"/>
        </w:rPr>
        <w:t> </w:t>
      </w:r>
      <w:r>
        <w:rPr>
          <w:w w:val="105"/>
        </w:rPr>
        <w:t>an amendment to this Report.</w:t>
      </w:r>
    </w:p>
    <w:p>
      <w:pPr>
        <w:pStyle w:val="BodyText"/>
        <w:spacing w:before="19"/>
      </w:pPr>
    </w:p>
    <w:p>
      <w:pPr>
        <w:pStyle w:val="BodyText"/>
        <w:ind w:left="48"/>
        <w:jc w:val="center"/>
      </w:pPr>
      <w:r>
        <w:rPr>
          <w:spacing w:val="-10"/>
          <w:w w:val="105"/>
        </w:rPr>
        <w:t>1</w:t>
      </w:r>
    </w:p>
    <w:p>
      <w:pPr>
        <w:pStyle w:val="BodyText"/>
        <w:rPr>
          <w:sz w:val="6"/>
        </w:rPr>
      </w:pPr>
      <w:r>
        <w:rPr/>
        <mc:AlternateContent>
          <mc:Choice Requires="wps">
            <w:drawing>
              <wp:anchor distT="0" distB="0" distL="0" distR="0" allowOverlap="1" layoutInCell="1" locked="0" behindDoc="1" simplePos="0" relativeHeight="487589376">
                <wp:simplePos x="0" y="0"/>
                <wp:positionH relativeFrom="page">
                  <wp:posOffset>226488</wp:posOffset>
                </wp:positionH>
                <wp:positionV relativeFrom="paragraph">
                  <wp:posOffset>59164</wp:posOffset>
                </wp:positionV>
                <wp:extent cx="7312659" cy="1651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8585pt;width:575.775087pt;height:1.273839pt;mso-position-horizontal-relative:page;mso-position-vertical-relative:paragraph;z-index:-15727104;mso-wrap-distance-left:0;mso-wrap-distance-right:0" id="docshape4" filled="true" fillcolor="#000000" stroked="false">
                <v:fill type="solid"/>
                <w10:wrap type="topAndBottom"/>
              </v:rect>
            </w:pict>
          </mc:Fallback>
        </mc:AlternateContent>
      </w:r>
    </w:p>
    <w:p>
      <w:pPr>
        <w:spacing w:after="0"/>
        <w:rPr>
          <w:sz w:val="6"/>
        </w:rPr>
        <w:sectPr>
          <w:type w:val="continuous"/>
          <w:pgSz w:w="12240" w:h="15840"/>
          <w:pgMar w:top="700" w:bottom="280" w:left="200" w:right="260"/>
        </w:sectPr>
      </w:pPr>
    </w:p>
    <w:p>
      <w:pPr>
        <w:pStyle w:val="BodyText"/>
      </w:pPr>
    </w:p>
    <w:p>
      <w:pPr>
        <w:pStyle w:val="BodyText"/>
        <w:spacing w:before="58"/>
      </w:pPr>
    </w:p>
    <w:p>
      <w:pPr>
        <w:pStyle w:val="Heading1"/>
        <w:ind w:left="48"/>
        <w:jc w:val="center"/>
      </w:pPr>
      <w:r>
        <w:rPr>
          <w:spacing w:val="-2"/>
          <w:w w:val="105"/>
        </w:rPr>
        <w:t>PART</w:t>
      </w:r>
      <w:r>
        <w:rPr>
          <w:spacing w:val="-5"/>
          <w:w w:val="105"/>
        </w:rPr>
        <w:t> </w:t>
      </w:r>
      <w:r>
        <w:rPr>
          <w:spacing w:val="-10"/>
          <w:w w:val="105"/>
        </w:rPr>
        <w:t>I</w:t>
      </w:r>
    </w:p>
    <w:p>
      <w:pPr>
        <w:pStyle w:val="BodyText"/>
        <w:spacing w:before="39"/>
        <w:rPr>
          <w:b/>
        </w:rPr>
      </w:pPr>
    </w:p>
    <w:p>
      <w:pPr>
        <w:pStyle w:val="BodyText"/>
        <w:spacing w:before="1"/>
        <w:ind w:left="156"/>
      </w:pPr>
      <w:r>
        <w:rPr>
          <w:spacing w:val="-2"/>
          <w:w w:val="105"/>
        </w:rPr>
        <w:t>Corning</w:t>
      </w:r>
      <w:r>
        <w:rPr>
          <w:spacing w:val="2"/>
          <w:w w:val="105"/>
        </w:rPr>
        <w:t> </w:t>
      </w:r>
      <w:r>
        <w:rPr>
          <w:spacing w:val="-2"/>
          <w:w w:val="105"/>
        </w:rPr>
        <w:t>Incorporated</w:t>
      </w:r>
      <w:r>
        <w:rPr>
          <w:spacing w:val="3"/>
          <w:w w:val="105"/>
        </w:rPr>
        <w:t> </w:t>
      </w:r>
      <w:r>
        <w:rPr>
          <w:spacing w:val="-2"/>
          <w:w w:val="105"/>
        </w:rPr>
        <w:t>and</w:t>
      </w:r>
      <w:r>
        <w:rPr>
          <w:spacing w:val="3"/>
          <w:w w:val="105"/>
        </w:rPr>
        <w:t> </w:t>
      </w:r>
      <w:r>
        <w:rPr>
          <w:spacing w:val="-2"/>
          <w:w w:val="105"/>
        </w:rPr>
        <w:t>its</w:t>
      </w:r>
      <w:r>
        <w:rPr>
          <w:spacing w:val="3"/>
          <w:w w:val="105"/>
        </w:rPr>
        <w:t> </w:t>
      </w:r>
      <w:r>
        <w:rPr>
          <w:spacing w:val="-2"/>
          <w:w w:val="105"/>
        </w:rPr>
        <w:t>consolidated</w:t>
      </w:r>
      <w:r>
        <w:rPr>
          <w:spacing w:val="3"/>
          <w:w w:val="105"/>
        </w:rPr>
        <w:t> </w:t>
      </w:r>
      <w:r>
        <w:rPr>
          <w:spacing w:val="-2"/>
          <w:w w:val="105"/>
        </w:rPr>
        <w:t>subsidiaries</w:t>
      </w:r>
      <w:r>
        <w:rPr>
          <w:spacing w:val="3"/>
          <w:w w:val="105"/>
        </w:rPr>
        <w:t> </w:t>
      </w:r>
      <w:r>
        <w:rPr>
          <w:spacing w:val="-2"/>
          <w:w w:val="105"/>
        </w:rPr>
        <w:t>are</w:t>
      </w:r>
      <w:r>
        <w:rPr>
          <w:spacing w:val="3"/>
          <w:w w:val="105"/>
        </w:rPr>
        <w:t> </w:t>
      </w:r>
      <w:r>
        <w:rPr>
          <w:spacing w:val="-2"/>
          <w:w w:val="105"/>
        </w:rPr>
        <w:t>hereinafter</w:t>
      </w:r>
      <w:r>
        <w:rPr>
          <w:spacing w:val="3"/>
          <w:w w:val="105"/>
        </w:rPr>
        <w:t> </w:t>
      </w:r>
      <w:r>
        <w:rPr>
          <w:spacing w:val="-2"/>
          <w:w w:val="105"/>
        </w:rPr>
        <w:t>sometimes</w:t>
      </w:r>
      <w:r>
        <w:rPr>
          <w:spacing w:val="2"/>
          <w:w w:val="105"/>
        </w:rPr>
        <w:t> </w:t>
      </w:r>
      <w:r>
        <w:rPr>
          <w:spacing w:val="-2"/>
          <w:w w:val="105"/>
        </w:rPr>
        <w:t>referred</w:t>
      </w:r>
      <w:r>
        <w:rPr>
          <w:spacing w:val="3"/>
          <w:w w:val="105"/>
        </w:rPr>
        <w:t> </w:t>
      </w:r>
      <w:r>
        <w:rPr>
          <w:spacing w:val="-2"/>
          <w:w w:val="105"/>
        </w:rPr>
        <w:t>to</w:t>
      </w:r>
      <w:r>
        <w:rPr>
          <w:spacing w:val="3"/>
          <w:w w:val="105"/>
        </w:rPr>
        <w:t> </w:t>
      </w:r>
      <w:r>
        <w:rPr>
          <w:spacing w:val="-2"/>
          <w:w w:val="105"/>
        </w:rPr>
        <w:t>as</w:t>
      </w:r>
      <w:r>
        <w:rPr>
          <w:spacing w:val="3"/>
          <w:w w:val="105"/>
        </w:rPr>
        <w:t> </w:t>
      </w:r>
      <w:r>
        <w:rPr>
          <w:spacing w:val="-2"/>
          <w:w w:val="105"/>
        </w:rPr>
        <w:t>the</w:t>
      </w:r>
      <w:r>
        <w:rPr>
          <w:spacing w:val="3"/>
          <w:w w:val="105"/>
        </w:rPr>
        <w:t> </w:t>
      </w:r>
      <w:r>
        <w:rPr>
          <w:spacing w:val="-2"/>
          <w:w w:val="105"/>
        </w:rPr>
        <w:t>“Company,”</w:t>
      </w:r>
      <w:r>
        <w:rPr>
          <w:spacing w:val="3"/>
          <w:w w:val="105"/>
        </w:rPr>
        <w:t> </w:t>
      </w:r>
      <w:r>
        <w:rPr>
          <w:spacing w:val="-2"/>
          <w:w w:val="105"/>
        </w:rPr>
        <w:t>the</w:t>
      </w:r>
      <w:r>
        <w:rPr>
          <w:spacing w:val="3"/>
          <w:w w:val="105"/>
        </w:rPr>
        <w:t> </w:t>
      </w:r>
      <w:r>
        <w:rPr>
          <w:spacing w:val="-2"/>
          <w:w w:val="105"/>
        </w:rPr>
        <w:t>“Registrant,”</w:t>
      </w:r>
      <w:r>
        <w:rPr>
          <w:spacing w:val="5"/>
          <w:w w:val="105"/>
        </w:rPr>
        <w:t> </w:t>
      </w:r>
      <w:r>
        <w:rPr>
          <w:spacing w:val="-2"/>
          <w:w w:val="105"/>
        </w:rPr>
        <w:t>“Corning,”</w:t>
      </w:r>
      <w:r>
        <w:rPr>
          <w:spacing w:val="3"/>
          <w:w w:val="105"/>
        </w:rPr>
        <w:t> </w:t>
      </w:r>
      <w:r>
        <w:rPr>
          <w:spacing w:val="-2"/>
          <w:w w:val="105"/>
        </w:rPr>
        <w:t>“we,”</w:t>
      </w:r>
      <w:r>
        <w:rPr>
          <w:spacing w:val="2"/>
          <w:w w:val="105"/>
        </w:rPr>
        <w:t> </w:t>
      </w:r>
      <w:r>
        <w:rPr>
          <w:spacing w:val="-2"/>
          <w:w w:val="105"/>
        </w:rPr>
        <w:t>“our,”</w:t>
      </w:r>
      <w:r>
        <w:rPr>
          <w:spacing w:val="3"/>
          <w:w w:val="105"/>
        </w:rPr>
        <w:t> </w:t>
      </w:r>
      <w:r>
        <w:rPr>
          <w:spacing w:val="-2"/>
          <w:w w:val="105"/>
        </w:rPr>
        <w:t>or</w:t>
      </w:r>
      <w:r>
        <w:rPr>
          <w:spacing w:val="3"/>
          <w:w w:val="105"/>
        </w:rPr>
        <w:t> </w:t>
      </w:r>
      <w:r>
        <w:rPr>
          <w:spacing w:val="-2"/>
          <w:w w:val="105"/>
        </w:rPr>
        <w:t>“us.”</w:t>
      </w:r>
    </w:p>
    <w:p>
      <w:pPr>
        <w:pStyle w:val="BodyText"/>
        <w:spacing w:before="39"/>
      </w:pPr>
    </w:p>
    <w:p>
      <w:pPr>
        <w:pStyle w:val="BodyText"/>
        <w:spacing w:line="266" w:lineRule="auto"/>
        <w:ind w:left="156" w:right="117"/>
      </w:pPr>
      <w:r>
        <w:rPr>
          <w:w w:val="105"/>
        </w:rPr>
        <w:t>This</w:t>
      </w:r>
      <w:r>
        <w:rPr>
          <w:spacing w:val="-8"/>
          <w:w w:val="105"/>
        </w:rPr>
        <w:t> </w:t>
      </w:r>
      <w:r>
        <w:rPr>
          <w:w w:val="105"/>
        </w:rPr>
        <w:t>report</w:t>
      </w:r>
      <w:r>
        <w:rPr>
          <w:spacing w:val="-8"/>
          <w:w w:val="105"/>
        </w:rPr>
        <w:t> </w:t>
      </w:r>
      <w:r>
        <w:rPr>
          <w:w w:val="105"/>
        </w:rPr>
        <w:t>contains</w:t>
      </w:r>
      <w:r>
        <w:rPr>
          <w:spacing w:val="-8"/>
          <w:w w:val="105"/>
        </w:rPr>
        <w:t> </w:t>
      </w:r>
      <w:r>
        <w:rPr>
          <w:w w:val="105"/>
        </w:rPr>
        <w:t>forward-looking</w:t>
      </w:r>
      <w:r>
        <w:rPr>
          <w:spacing w:val="-8"/>
          <w:w w:val="105"/>
        </w:rPr>
        <w:t> </w:t>
      </w:r>
      <w:r>
        <w:rPr>
          <w:w w:val="105"/>
        </w:rPr>
        <w:t>statements</w:t>
      </w:r>
      <w:r>
        <w:rPr>
          <w:spacing w:val="-8"/>
          <w:w w:val="105"/>
        </w:rPr>
        <w:t> </w:t>
      </w:r>
      <w:r>
        <w:rPr>
          <w:w w:val="105"/>
        </w:rPr>
        <w:t>that</w:t>
      </w:r>
      <w:r>
        <w:rPr>
          <w:spacing w:val="-6"/>
          <w:w w:val="105"/>
        </w:rPr>
        <w:t> </w:t>
      </w:r>
      <w:r>
        <w:rPr>
          <w:w w:val="105"/>
        </w:rPr>
        <w:t>involve</w:t>
      </w:r>
      <w:r>
        <w:rPr>
          <w:spacing w:val="-8"/>
          <w:w w:val="105"/>
        </w:rPr>
        <w:t> </w:t>
      </w:r>
      <w:r>
        <w:rPr>
          <w:w w:val="105"/>
        </w:rPr>
        <w:t>a</w:t>
      </w:r>
      <w:r>
        <w:rPr>
          <w:spacing w:val="-8"/>
          <w:w w:val="105"/>
        </w:rPr>
        <w:t> </w:t>
      </w:r>
      <w:r>
        <w:rPr>
          <w:w w:val="105"/>
        </w:rPr>
        <w:t>number</w:t>
      </w:r>
      <w:r>
        <w:rPr>
          <w:spacing w:val="-8"/>
          <w:w w:val="105"/>
        </w:rPr>
        <w:t> </w:t>
      </w:r>
      <w:r>
        <w:rPr>
          <w:w w:val="105"/>
        </w:rPr>
        <w:t>of</w:t>
      </w:r>
      <w:r>
        <w:rPr>
          <w:spacing w:val="-8"/>
          <w:w w:val="105"/>
        </w:rPr>
        <w:t> </w:t>
      </w:r>
      <w:r>
        <w:rPr>
          <w:w w:val="105"/>
        </w:rPr>
        <w:t>risks</w:t>
      </w:r>
      <w:r>
        <w:rPr>
          <w:spacing w:val="-8"/>
          <w:w w:val="105"/>
        </w:rPr>
        <w:t> </w:t>
      </w:r>
      <w:r>
        <w:rPr>
          <w:w w:val="105"/>
        </w:rPr>
        <w:t>and</w:t>
      </w:r>
      <w:r>
        <w:rPr>
          <w:spacing w:val="-8"/>
          <w:w w:val="105"/>
        </w:rPr>
        <w:t> </w:t>
      </w:r>
      <w:r>
        <w:rPr>
          <w:w w:val="105"/>
        </w:rPr>
        <w:t>uncertainties.</w:t>
      </w:r>
      <w:r>
        <w:rPr>
          <w:spacing w:val="-8"/>
          <w:w w:val="105"/>
        </w:rPr>
        <w:t> </w:t>
      </w:r>
      <w:r>
        <w:rPr>
          <w:w w:val="105"/>
        </w:rPr>
        <w:t>These</w:t>
      </w:r>
      <w:r>
        <w:rPr>
          <w:spacing w:val="-8"/>
          <w:w w:val="105"/>
        </w:rPr>
        <w:t> </w:t>
      </w:r>
      <w:r>
        <w:rPr>
          <w:w w:val="105"/>
        </w:rPr>
        <w:t>statements</w:t>
      </w:r>
      <w:r>
        <w:rPr>
          <w:spacing w:val="-8"/>
          <w:w w:val="105"/>
        </w:rPr>
        <w:t> </w:t>
      </w:r>
      <w:r>
        <w:rPr>
          <w:w w:val="105"/>
        </w:rPr>
        <w:t>relate</w:t>
      </w:r>
      <w:r>
        <w:rPr>
          <w:spacing w:val="-8"/>
          <w:w w:val="105"/>
        </w:rPr>
        <w:t> </w:t>
      </w:r>
      <w:r>
        <w:rPr>
          <w:w w:val="105"/>
        </w:rPr>
        <w:t>to</w:t>
      </w:r>
      <w:r>
        <w:rPr>
          <w:spacing w:val="-8"/>
          <w:w w:val="105"/>
        </w:rPr>
        <w:t> </w:t>
      </w:r>
      <w:r>
        <w:rPr>
          <w:w w:val="105"/>
        </w:rPr>
        <w:t>plans,</w:t>
      </w:r>
      <w:r>
        <w:rPr>
          <w:spacing w:val="-8"/>
          <w:w w:val="105"/>
        </w:rPr>
        <w:t> </w:t>
      </w:r>
      <w:r>
        <w:rPr>
          <w:w w:val="105"/>
        </w:rPr>
        <w:t>objectives,</w:t>
      </w:r>
      <w:r>
        <w:rPr>
          <w:spacing w:val="-8"/>
          <w:w w:val="105"/>
        </w:rPr>
        <w:t> </w:t>
      </w:r>
      <w:r>
        <w:rPr>
          <w:w w:val="105"/>
        </w:rPr>
        <w:t>expectations</w:t>
      </w:r>
      <w:r>
        <w:rPr>
          <w:spacing w:val="-8"/>
          <w:w w:val="105"/>
        </w:rPr>
        <w:t> </w:t>
      </w:r>
      <w:r>
        <w:rPr>
          <w:w w:val="105"/>
        </w:rPr>
        <w:t>and</w:t>
      </w:r>
      <w:r>
        <w:rPr>
          <w:spacing w:val="-6"/>
          <w:w w:val="105"/>
        </w:rPr>
        <w:t> </w:t>
      </w:r>
      <w:r>
        <w:rPr>
          <w:w w:val="105"/>
        </w:rPr>
        <w:t>estimates</w:t>
      </w:r>
      <w:r>
        <w:rPr>
          <w:spacing w:val="-8"/>
          <w:w w:val="105"/>
        </w:rPr>
        <w:t> </w:t>
      </w:r>
      <w:r>
        <w:rPr>
          <w:w w:val="105"/>
        </w:rPr>
        <w:t>and may</w:t>
      </w:r>
      <w:r>
        <w:rPr>
          <w:spacing w:val="-9"/>
          <w:w w:val="105"/>
        </w:rPr>
        <w:t> </w:t>
      </w:r>
      <w:r>
        <w:rPr>
          <w:w w:val="105"/>
        </w:rPr>
        <w:t>contain</w:t>
      </w:r>
      <w:r>
        <w:rPr>
          <w:spacing w:val="-9"/>
          <w:w w:val="105"/>
        </w:rPr>
        <w:t> </w:t>
      </w:r>
      <w:r>
        <w:rPr>
          <w:w w:val="105"/>
        </w:rPr>
        <w:t>words</w:t>
      </w:r>
      <w:r>
        <w:rPr>
          <w:spacing w:val="-11"/>
          <w:w w:val="105"/>
        </w:rPr>
        <w:t> </w:t>
      </w:r>
      <w:r>
        <w:rPr>
          <w:w w:val="105"/>
        </w:rPr>
        <w:t>such</w:t>
      </w:r>
      <w:r>
        <w:rPr>
          <w:spacing w:val="-9"/>
          <w:w w:val="105"/>
        </w:rPr>
        <w:t> </w:t>
      </w:r>
      <w:r>
        <w:rPr>
          <w:w w:val="105"/>
        </w:rPr>
        <w:t>as</w:t>
      </w:r>
      <w:r>
        <w:rPr>
          <w:spacing w:val="-9"/>
          <w:w w:val="105"/>
        </w:rPr>
        <w:t> </w:t>
      </w:r>
      <w:r>
        <w:rPr>
          <w:w w:val="105"/>
        </w:rPr>
        <w:t>“believes,”</w:t>
      </w:r>
      <w:r>
        <w:rPr>
          <w:spacing w:val="-9"/>
          <w:w w:val="105"/>
        </w:rPr>
        <w:t> </w:t>
      </w:r>
      <w:r>
        <w:rPr>
          <w:w w:val="105"/>
        </w:rPr>
        <w:t>“expects,”</w:t>
      </w:r>
      <w:r>
        <w:rPr>
          <w:spacing w:val="-9"/>
          <w:w w:val="105"/>
        </w:rPr>
        <w:t> </w:t>
      </w:r>
      <w:r>
        <w:rPr>
          <w:w w:val="105"/>
        </w:rPr>
        <w:t>“anticipates,”</w:t>
      </w:r>
      <w:r>
        <w:rPr>
          <w:spacing w:val="-9"/>
          <w:w w:val="105"/>
        </w:rPr>
        <w:t> </w:t>
      </w:r>
      <w:r>
        <w:rPr>
          <w:w w:val="105"/>
        </w:rPr>
        <w:t>“estimates,”</w:t>
      </w:r>
      <w:r>
        <w:rPr>
          <w:spacing w:val="-9"/>
          <w:w w:val="105"/>
        </w:rPr>
        <w:t> </w:t>
      </w:r>
      <w:r>
        <w:rPr>
          <w:w w:val="105"/>
        </w:rPr>
        <w:t>“forecasts,”</w:t>
      </w:r>
      <w:r>
        <w:rPr>
          <w:spacing w:val="-9"/>
          <w:w w:val="105"/>
        </w:rPr>
        <w:t> </w:t>
      </w:r>
      <w:r>
        <w:rPr>
          <w:w w:val="105"/>
        </w:rPr>
        <w:t>or</w:t>
      </w:r>
      <w:r>
        <w:rPr>
          <w:spacing w:val="-9"/>
          <w:w w:val="105"/>
        </w:rPr>
        <w:t> </w:t>
      </w:r>
      <w:r>
        <w:rPr>
          <w:w w:val="105"/>
        </w:rPr>
        <w:t>similar</w:t>
      </w:r>
      <w:r>
        <w:rPr>
          <w:spacing w:val="-9"/>
          <w:w w:val="105"/>
        </w:rPr>
        <w:t> </w:t>
      </w:r>
      <w:r>
        <w:rPr>
          <w:w w:val="105"/>
        </w:rPr>
        <w:t>expressions.</w:t>
      </w:r>
      <w:r>
        <w:rPr>
          <w:spacing w:val="-9"/>
          <w:w w:val="105"/>
        </w:rPr>
        <w:t> </w:t>
      </w:r>
      <w:r>
        <w:rPr>
          <w:w w:val="105"/>
        </w:rPr>
        <w:t>Actual</w:t>
      </w:r>
      <w:r>
        <w:rPr>
          <w:spacing w:val="-9"/>
          <w:w w:val="105"/>
        </w:rPr>
        <w:t> </w:t>
      </w:r>
      <w:r>
        <w:rPr>
          <w:w w:val="105"/>
        </w:rPr>
        <w:t>results</w:t>
      </w:r>
      <w:r>
        <w:rPr>
          <w:spacing w:val="-9"/>
          <w:w w:val="105"/>
        </w:rPr>
        <w:t> </w:t>
      </w:r>
      <w:r>
        <w:rPr>
          <w:w w:val="105"/>
        </w:rPr>
        <w:t>could</w:t>
      </w:r>
      <w:r>
        <w:rPr>
          <w:spacing w:val="-9"/>
          <w:w w:val="105"/>
        </w:rPr>
        <w:t> </w:t>
      </w:r>
      <w:r>
        <w:rPr>
          <w:w w:val="105"/>
        </w:rPr>
        <w:t>differ</w:t>
      </w:r>
      <w:r>
        <w:rPr>
          <w:spacing w:val="-9"/>
          <w:w w:val="105"/>
        </w:rPr>
        <w:t> </w:t>
      </w:r>
      <w:r>
        <w:rPr>
          <w:w w:val="105"/>
        </w:rPr>
        <w:t>materially</w:t>
      </w:r>
      <w:r>
        <w:rPr>
          <w:spacing w:val="-9"/>
          <w:w w:val="105"/>
        </w:rPr>
        <w:t> </w:t>
      </w:r>
      <w:r>
        <w:rPr>
          <w:w w:val="105"/>
        </w:rPr>
        <w:t>from</w:t>
      </w:r>
      <w:r>
        <w:rPr>
          <w:spacing w:val="-9"/>
          <w:w w:val="105"/>
        </w:rPr>
        <w:t> </w:t>
      </w:r>
      <w:r>
        <w:rPr>
          <w:w w:val="105"/>
        </w:rPr>
        <w:t>what</w:t>
      </w:r>
      <w:r>
        <w:rPr>
          <w:spacing w:val="-9"/>
          <w:w w:val="105"/>
        </w:rPr>
        <w:t> </w:t>
      </w:r>
      <w:r>
        <w:rPr>
          <w:w w:val="105"/>
        </w:rPr>
        <w:t>is</w:t>
      </w:r>
      <w:r>
        <w:rPr>
          <w:spacing w:val="-9"/>
          <w:w w:val="105"/>
        </w:rPr>
        <w:t> </w:t>
      </w:r>
      <w:r>
        <w:rPr>
          <w:w w:val="105"/>
        </w:rPr>
        <w:t>expressed or</w:t>
      </w:r>
      <w:r>
        <w:rPr>
          <w:spacing w:val="-2"/>
          <w:w w:val="105"/>
        </w:rPr>
        <w:t> </w:t>
      </w:r>
      <w:r>
        <w:rPr>
          <w:w w:val="105"/>
        </w:rPr>
        <w:t>forecasted</w:t>
      </w:r>
      <w:r>
        <w:rPr>
          <w:spacing w:val="-2"/>
          <w:w w:val="105"/>
        </w:rPr>
        <w:t> </w:t>
      </w:r>
      <w:r>
        <w:rPr>
          <w:w w:val="105"/>
        </w:rPr>
        <w:t>in</w:t>
      </w:r>
      <w:r>
        <w:rPr>
          <w:spacing w:val="-2"/>
          <w:w w:val="105"/>
        </w:rPr>
        <w:t> </w:t>
      </w:r>
      <w:r>
        <w:rPr>
          <w:w w:val="105"/>
        </w:rPr>
        <w:t>forward-looking</w:t>
      </w:r>
      <w:r>
        <w:rPr>
          <w:spacing w:val="-2"/>
          <w:w w:val="105"/>
        </w:rPr>
        <w:t> </w:t>
      </w:r>
      <w:r>
        <w:rPr>
          <w:w w:val="105"/>
        </w:rPr>
        <w:t>statements.</w:t>
      </w:r>
      <w:r>
        <w:rPr>
          <w:spacing w:val="-2"/>
          <w:w w:val="105"/>
        </w:rPr>
        <w:t> </w:t>
      </w:r>
      <w:r>
        <w:rPr>
          <w:w w:val="105"/>
        </w:rPr>
        <w:t>Some</w:t>
      </w:r>
      <w:r>
        <w:rPr>
          <w:spacing w:val="-2"/>
          <w:w w:val="105"/>
        </w:rPr>
        <w:t> </w:t>
      </w:r>
      <w:r>
        <w:rPr>
          <w:w w:val="105"/>
        </w:rPr>
        <w:t>of</w:t>
      </w:r>
      <w:r>
        <w:rPr>
          <w:spacing w:val="-2"/>
          <w:w w:val="105"/>
        </w:rPr>
        <w:t> </w:t>
      </w:r>
      <w:r>
        <w:rPr>
          <w:w w:val="105"/>
        </w:rPr>
        <w:t>the</w:t>
      </w:r>
      <w:r>
        <w:rPr>
          <w:spacing w:val="-2"/>
          <w:w w:val="105"/>
        </w:rPr>
        <w:t> </w:t>
      </w:r>
      <w:r>
        <w:rPr>
          <w:w w:val="105"/>
        </w:rPr>
        <w:t>factors</w:t>
      </w:r>
      <w:r>
        <w:rPr>
          <w:spacing w:val="-2"/>
          <w:w w:val="105"/>
        </w:rPr>
        <w:t> </w:t>
      </w:r>
      <w:r>
        <w:rPr>
          <w:w w:val="105"/>
        </w:rPr>
        <w:t>that</w:t>
      </w:r>
      <w:r>
        <w:rPr>
          <w:spacing w:val="-2"/>
          <w:w w:val="105"/>
        </w:rPr>
        <w:t> </w:t>
      </w:r>
      <w:r>
        <w:rPr>
          <w:w w:val="105"/>
        </w:rPr>
        <w:t>could</w:t>
      </w:r>
      <w:r>
        <w:rPr>
          <w:spacing w:val="-2"/>
          <w:w w:val="105"/>
        </w:rPr>
        <w:t> </w:t>
      </w:r>
      <w:r>
        <w:rPr>
          <w:w w:val="105"/>
        </w:rPr>
        <w:t>contribute</w:t>
      </w:r>
      <w:r>
        <w:rPr>
          <w:spacing w:val="-2"/>
          <w:w w:val="105"/>
        </w:rPr>
        <w:t> </w:t>
      </w:r>
      <w:r>
        <w:rPr>
          <w:w w:val="105"/>
        </w:rPr>
        <w:t>to</w:t>
      </w:r>
      <w:r>
        <w:rPr>
          <w:spacing w:val="-2"/>
          <w:w w:val="105"/>
        </w:rPr>
        <w:t> </w:t>
      </w:r>
      <w:r>
        <w:rPr>
          <w:w w:val="105"/>
        </w:rPr>
        <w:t>these</w:t>
      </w:r>
      <w:r>
        <w:rPr>
          <w:spacing w:val="-2"/>
          <w:w w:val="105"/>
        </w:rPr>
        <w:t> </w:t>
      </w:r>
      <w:r>
        <w:rPr>
          <w:w w:val="105"/>
        </w:rPr>
        <w:t>differences</w:t>
      </w:r>
      <w:r>
        <w:rPr>
          <w:spacing w:val="-2"/>
          <w:w w:val="105"/>
        </w:rPr>
        <w:t> </w:t>
      </w:r>
      <w:r>
        <w:rPr>
          <w:w w:val="105"/>
        </w:rPr>
        <w:t>include</w:t>
      </w:r>
      <w:r>
        <w:rPr>
          <w:spacing w:val="-2"/>
          <w:w w:val="105"/>
        </w:rPr>
        <w:t> </w:t>
      </w:r>
      <w:r>
        <w:rPr>
          <w:w w:val="105"/>
        </w:rPr>
        <w:t>those</w:t>
      </w:r>
      <w:r>
        <w:rPr>
          <w:spacing w:val="-2"/>
          <w:w w:val="105"/>
        </w:rPr>
        <w:t> </w:t>
      </w:r>
      <w:r>
        <w:rPr>
          <w:w w:val="105"/>
        </w:rPr>
        <w:t>discussed</w:t>
      </w:r>
      <w:r>
        <w:rPr>
          <w:spacing w:val="-2"/>
          <w:w w:val="105"/>
        </w:rPr>
        <w:t> </w:t>
      </w:r>
      <w:r>
        <w:rPr>
          <w:w w:val="105"/>
        </w:rPr>
        <w:t>under</w:t>
      </w:r>
      <w:r>
        <w:rPr>
          <w:spacing w:val="-2"/>
          <w:w w:val="105"/>
        </w:rPr>
        <w:t> </w:t>
      </w:r>
      <w:r>
        <w:rPr>
          <w:w w:val="105"/>
        </w:rPr>
        <w:t>“Forward-Looking</w:t>
      </w:r>
      <w:r>
        <w:rPr>
          <w:spacing w:val="-2"/>
          <w:w w:val="105"/>
        </w:rPr>
        <w:t> </w:t>
      </w:r>
      <w:r>
        <w:rPr>
          <w:w w:val="105"/>
        </w:rPr>
        <w:t>Statements,” “Risk</w:t>
      </w:r>
      <w:r>
        <w:rPr>
          <w:spacing w:val="-1"/>
          <w:w w:val="105"/>
        </w:rPr>
        <w:t> </w:t>
      </w:r>
      <w:r>
        <w:rPr>
          <w:w w:val="105"/>
        </w:rPr>
        <w:t>Factors,”</w:t>
      </w:r>
      <w:r>
        <w:rPr>
          <w:spacing w:val="-1"/>
          <w:w w:val="105"/>
        </w:rPr>
        <w:t> </w:t>
      </w:r>
      <w:r>
        <w:rPr>
          <w:w w:val="105"/>
        </w:rPr>
        <w:t>“Management’s</w:t>
      </w:r>
      <w:r>
        <w:rPr>
          <w:spacing w:val="-1"/>
          <w:w w:val="105"/>
        </w:rPr>
        <w:t> </w:t>
      </w:r>
      <w:r>
        <w:rPr>
          <w:w w:val="105"/>
        </w:rPr>
        <w:t>Discussion</w:t>
      </w:r>
      <w:r>
        <w:rPr>
          <w:spacing w:val="-1"/>
          <w:w w:val="105"/>
        </w:rPr>
        <w:t> </w:t>
      </w:r>
      <w:r>
        <w:rPr>
          <w:w w:val="105"/>
        </w:rPr>
        <w:t>and</w:t>
      </w:r>
      <w:r>
        <w:rPr>
          <w:spacing w:val="-1"/>
          <w:w w:val="105"/>
        </w:rPr>
        <w:t> </w:t>
      </w:r>
      <w:r>
        <w:rPr>
          <w:w w:val="105"/>
        </w:rPr>
        <w:t>Analysis</w:t>
      </w:r>
      <w:r>
        <w:rPr>
          <w:spacing w:val="-1"/>
          <w:w w:val="105"/>
        </w:rPr>
        <w:t> </w:t>
      </w:r>
      <w:r>
        <w:rPr>
          <w:w w:val="105"/>
        </w:rPr>
        <w:t>of</w:t>
      </w:r>
      <w:r>
        <w:rPr>
          <w:spacing w:val="-1"/>
          <w:w w:val="105"/>
        </w:rPr>
        <w:t> </w:t>
      </w:r>
      <w:r>
        <w:rPr>
          <w:w w:val="105"/>
        </w:rPr>
        <w:t>Financial</w:t>
      </w:r>
      <w:r>
        <w:rPr>
          <w:spacing w:val="-1"/>
          <w:w w:val="105"/>
        </w:rPr>
        <w:t> </w:t>
      </w:r>
      <w:r>
        <w:rPr>
          <w:w w:val="105"/>
        </w:rPr>
        <w:t>Condition</w:t>
      </w:r>
      <w:r>
        <w:rPr>
          <w:spacing w:val="-1"/>
          <w:w w:val="105"/>
        </w:rPr>
        <w:t> </w:t>
      </w:r>
      <w:r>
        <w:rPr>
          <w:w w:val="105"/>
        </w:rPr>
        <w:t>and</w:t>
      </w:r>
      <w:r>
        <w:rPr>
          <w:spacing w:val="-1"/>
          <w:w w:val="105"/>
        </w:rPr>
        <w:t> </w:t>
      </w:r>
      <w:r>
        <w:rPr>
          <w:w w:val="105"/>
        </w:rPr>
        <w:t>Results</w:t>
      </w:r>
      <w:r>
        <w:rPr>
          <w:spacing w:val="-1"/>
          <w:w w:val="105"/>
        </w:rPr>
        <w:t> </w:t>
      </w:r>
      <w:r>
        <w:rPr>
          <w:w w:val="105"/>
        </w:rPr>
        <w:t>of</w:t>
      </w:r>
      <w:r>
        <w:rPr>
          <w:spacing w:val="-1"/>
          <w:w w:val="105"/>
        </w:rPr>
        <w:t> </w:t>
      </w:r>
      <w:r>
        <w:rPr>
          <w:w w:val="105"/>
        </w:rPr>
        <w:t>Operations,”</w:t>
      </w:r>
      <w:r>
        <w:rPr>
          <w:spacing w:val="-1"/>
          <w:w w:val="105"/>
        </w:rPr>
        <w:t> </w:t>
      </w:r>
      <w:r>
        <w:rPr>
          <w:w w:val="105"/>
        </w:rPr>
        <w:t>and</w:t>
      </w:r>
      <w:r>
        <w:rPr>
          <w:spacing w:val="-1"/>
          <w:w w:val="105"/>
        </w:rPr>
        <w:t> </w:t>
      </w:r>
      <w:r>
        <w:rPr>
          <w:w w:val="105"/>
        </w:rPr>
        <w:t>elsewhere</w:t>
      </w:r>
      <w:r>
        <w:rPr>
          <w:spacing w:val="-1"/>
          <w:w w:val="105"/>
        </w:rPr>
        <w:t> </w:t>
      </w:r>
      <w:r>
        <w:rPr>
          <w:w w:val="105"/>
        </w:rPr>
        <w:t>in</w:t>
      </w:r>
      <w:r>
        <w:rPr>
          <w:spacing w:val="-1"/>
          <w:w w:val="105"/>
        </w:rPr>
        <w:t> </w:t>
      </w:r>
      <w:r>
        <w:rPr>
          <w:w w:val="105"/>
        </w:rPr>
        <w:t>this</w:t>
      </w:r>
      <w:r>
        <w:rPr>
          <w:spacing w:val="-1"/>
          <w:w w:val="105"/>
        </w:rPr>
        <w:t> </w:t>
      </w:r>
      <w:r>
        <w:rPr>
          <w:w w:val="105"/>
        </w:rPr>
        <w:t>report.</w:t>
      </w:r>
    </w:p>
    <w:p>
      <w:pPr>
        <w:pStyle w:val="BodyText"/>
        <w:spacing w:before="18"/>
      </w:pPr>
    </w:p>
    <w:p>
      <w:pPr>
        <w:spacing w:before="0"/>
        <w:ind w:left="156" w:right="0" w:firstLine="0"/>
        <w:jc w:val="left"/>
        <w:rPr>
          <w:b/>
          <w:sz w:val="16"/>
        </w:rPr>
      </w:pPr>
      <w:r>
        <w:rPr>
          <w:b/>
          <w:w w:val="105"/>
          <w:sz w:val="16"/>
          <w:u w:val="single"/>
        </w:rPr>
        <w:t>Item</w:t>
      </w:r>
      <w:r>
        <w:rPr>
          <w:b/>
          <w:spacing w:val="-6"/>
          <w:w w:val="105"/>
          <w:sz w:val="16"/>
          <w:u w:val="single"/>
        </w:rPr>
        <w:t> </w:t>
      </w:r>
      <w:r>
        <w:rPr>
          <w:b/>
          <w:w w:val="105"/>
          <w:sz w:val="16"/>
          <w:u w:val="single"/>
        </w:rPr>
        <w:t>1.</w:t>
      </w:r>
      <w:r>
        <w:rPr>
          <w:b/>
          <w:spacing w:val="-5"/>
          <w:w w:val="105"/>
          <w:sz w:val="16"/>
          <w:u w:val="single"/>
        </w:rPr>
        <w:t> </w:t>
      </w:r>
      <w:r>
        <w:rPr>
          <w:b/>
          <w:spacing w:val="-2"/>
          <w:w w:val="105"/>
          <w:sz w:val="16"/>
          <w:u w:val="single"/>
        </w:rPr>
        <w:t>Business</w:t>
      </w:r>
    </w:p>
    <w:p>
      <w:pPr>
        <w:pStyle w:val="BodyText"/>
        <w:spacing w:before="40"/>
        <w:rPr>
          <w:b/>
        </w:rPr>
      </w:pPr>
    </w:p>
    <w:p>
      <w:pPr>
        <w:pStyle w:val="Heading3"/>
      </w:pPr>
      <w:r>
        <w:rPr>
          <w:spacing w:val="-2"/>
          <w:w w:val="105"/>
        </w:rPr>
        <w:t>General</w:t>
      </w:r>
    </w:p>
    <w:p>
      <w:pPr>
        <w:pStyle w:val="BodyText"/>
        <w:spacing w:before="40"/>
        <w:rPr>
          <w:b/>
          <w:i/>
        </w:rPr>
      </w:pPr>
    </w:p>
    <w:p>
      <w:pPr>
        <w:pStyle w:val="BodyText"/>
        <w:spacing w:line="266" w:lineRule="auto"/>
        <w:ind w:left="156" w:right="328"/>
      </w:pPr>
      <w:r>
        <w:rPr>
          <w:w w:val="105"/>
        </w:rPr>
        <w:t>Corning</w:t>
      </w:r>
      <w:r>
        <w:rPr>
          <w:spacing w:val="-8"/>
          <w:w w:val="105"/>
        </w:rPr>
        <w:t> </w:t>
      </w:r>
      <w:r>
        <w:rPr>
          <w:w w:val="105"/>
        </w:rPr>
        <w:t>traces</w:t>
      </w:r>
      <w:r>
        <w:rPr>
          <w:spacing w:val="-8"/>
          <w:w w:val="105"/>
        </w:rPr>
        <w:t> </w:t>
      </w:r>
      <w:r>
        <w:rPr>
          <w:w w:val="105"/>
        </w:rPr>
        <w:t>its</w:t>
      </w:r>
      <w:r>
        <w:rPr>
          <w:spacing w:val="-8"/>
          <w:w w:val="105"/>
        </w:rPr>
        <w:t> </w:t>
      </w:r>
      <w:r>
        <w:rPr>
          <w:w w:val="105"/>
        </w:rPr>
        <w:t>origins</w:t>
      </w:r>
      <w:r>
        <w:rPr>
          <w:spacing w:val="-8"/>
          <w:w w:val="105"/>
        </w:rPr>
        <w:t> </w:t>
      </w:r>
      <w:r>
        <w:rPr>
          <w:w w:val="105"/>
        </w:rPr>
        <w:t>to</w:t>
      </w:r>
      <w:r>
        <w:rPr>
          <w:spacing w:val="-6"/>
          <w:w w:val="105"/>
        </w:rPr>
        <w:t> </w:t>
      </w:r>
      <w:r>
        <w:rPr>
          <w:w w:val="105"/>
        </w:rPr>
        <w:t>a</w:t>
      </w:r>
      <w:r>
        <w:rPr>
          <w:spacing w:val="-8"/>
          <w:w w:val="105"/>
        </w:rPr>
        <w:t> </w:t>
      </w:r>
      <w:r>
        <w:rPr>
          <w:w w:val="105"/>
        </w:rPr>
        <w:t>glass</w:t>
      </w:r>
      <w:r>
        <w:rPr>
          <w:spacing w:val="-8"/>
          <w:w w:val="105"/>
        </w:rPr>
        <w:t> </w:t>
      </w:r>
      <w:r>
        <w:rPr>
          <w:w w:val="105"/>
        </w:rPr>
        <w:t>business</w:t>
      </w:r>
      <w:r>
        <w:rPr>
          <w:spacing w:val="-8"/>
          <w:w w:val="105"/>
        </w:rPr>
        <w:t> </w:t>
      </w:r>
      <w:r>
        <w:rPr>
          <w:w w:val="105"/>
        </w:rPr>
        <w:t>established</w:t>
      </w:r>
      <w:r>
        <w:rPr>
          <w:spacing w:val="-8"/>
          <w:w w:val="105"/>
        </w:rPr>
        <w:t> </w:t>
      </w:r>
      <w:r>
        <w:rPr>
          <w:w w:val="105"/>
        </w:rPr>
        <w:t>in</w:t>
      </w:r>
      <w:r>
        <w:rPr>
          <w:spacing w:val="-8"/>
          <w:w w:val="105"/>
        </w:rPr>
        <w:t> </w:t>
      </w:r>
      <w:r>
        <w:rPr>
          <w:w w:val="105"/>
        </w:rPr>
        <w:t>1851.</w:t>
      </w:r>
      <w:r>
        <w:rPr>
          <w:spacing w:val="-8"/>
          <w:w w:val="105"/>
        </w:rPr>
        <w:t> </w:t>
      </w:r>
      <w:r>
        <w:rPr>
          <w:w w:val="105"/>
        </w:rPr>
        <w:t>The</w:t>
      </w:r>
      <w:r>
        <w:rPr>
          <w:spacing w:val="-8"/>
          <w:w w:val="105"/>
        </w:rPr>
        <w:t> </w:t>
      </w:r>
      <w:r>
        <w:rPr>
          <w:w w:val="105"/>
        </w:rPr>
        <w:t>present</w:t>
      </w:r>
      <w:r>
        <w:rPr>
          <w:spacing w:val="-8"/>
          <w:w w:val="105"/>
        </w:rPr>
        <w:t> </w:t>
      </w:r>
      <w:r>
        <w:rPr>
          <w:w w:val="105"/>
        </w:rPr>
        <w:t>corporation</w:t>
      </w:r>
      <w:r>
        <w:rPr>
          <w:spacing w:val="-8"/>
          <w:w w:val="105"/>
        </w:rPr>
        <w:t> </w:t>
      </w:r>
      <w:r>
        <w:rPr>
          <w:w w:val="105"/>
        </w:rPr>
        <w:t>was</w:t>
      </w:r>
      <w:r>
        <w:rPr>
          <w:spacing w:val="-8"/>
          <w:w w:val="105"/>
        </w:rPr>
        <w:t> </w:t>
      </w:r>
      <w:r>
        <w:rPr>
          <w:w w:val="105"/>
        </w:rPr>
        <w:t>incorporated</w:t>
      </w:r>
      <w:r>
        <w:rPr>
          <w:spacing w:val="-8"/>
          <w:w w:val="105"/>
        </w:rPr>
        <w:t> </w:t>
      </w:r>
      <w:r>
        <w:rPr>
          <w:w w:val="105"/>
        </w:rPr>
        <w:t>in</w:t>
      </w:r>
      <w:r>
        <w:rPr>
          <w:spacing w:val="-8"/>
          <w:w w:val="105"/>
        </w:rPr>
        <w:t> </w:t>
      </w:r>
      <w:r>
        <w:rPr>
          <w:w w:val="105"/>
        </w:rPr>
        <w:t>the</w:t>
      </w:r>
      <w:r>
        <w:rPr>
          <w:spacing w:val="-8"/>
          <w:w w:val="105"/>
        </w:rPr>
        <w:t> </w:t>
      </w:r>
      <w:r>
        <w:rPr>
          <w:w w:val="105"/>
        </w:rPr>
        <w:t>State</w:t>
      </w:r>
      <w:r>
        <w:rPr>
          <w:spacing w:val="-8"/>
          <w:w w:val="105"/>
        </w:rPr>
        <w:t> </w:t>
      </w:r>
      <w:r>
        <w:rPr>
          <w:w w:val="105"/>
        </w:rPr>
        <w:t>of</w:t>
      </w:r>
      <w:r>
        <w:rPr>
          <w:spacing w:val="-8"/>
          <w:w w:val="105"/>
        </w:rPr>
        <w:t> </w:t>
      </w:r>
      <w:r>
        <w:rPr>
          <w:w w:val="105"/>
        </w:rPr>
        <w:t>New</w:t>
      </w:r>
      <w:r>
        <w:rPr>
          <w:spacing w:val="-8"/>
          <w:w w:val="105"/>
        </w:rPr>
        <w:t> </w:t>
      </w:r>
      <w:r>
        <w:rPr>
          <w:w w:val="105"/>
        </w:rPr>
        <w:t>York</w:t>
      </w:r>
      <w:r>
        <w:rPr>
          <w:spacing w:val="-8"/>
          <w:w w:val="105"/>
        </w:rPr>
        <w:t> </w:t>
      </w:r>
      <w:r>
        <w:rPr>
          <w:w w:val="105"/>
        </w:rPr>
        <w:t>in</w:t>
      </w:r>
      <w:r>
        <w:rPr>
          <w:spacing w:val="-8"/>
          <w:w w:val="105"/>
        </w:rPr>
        <w:t> </w:t>
      </w:r>
      <w:r>
        <w:rPr>
          <w:w w:val="105"/>
        </w:rPr>
        <w:t>December</w:t>
      </w:r>
      <w:r>
        <w:rPr>
          <w:spacing w:val="-8"/>
          <w:w w:val="105"/>
        </w:rPr>
        <w:t> </w:t>
      </w:r>
      <w:r>
        <w:rPr>
          <w:w w:val="105"/>
        </w:rPr>
        <w:t>1936.</w:t>
      </w:r>
      <w:r>
        <w:rPr>
          <w:spacing w:val="-8"/>
          <w:w w:val="105"/>
        </w:rPr>
        <w:t> </w:t>
      </w:r>
      <w:r>
        <w:rPr>
          <w:w w:val="105"/>
        </w:rPr>
        <w:t>The</w:t>
      </w:r>
      <w:r>
        <w:rPr>
          <w:spacing w:val="-8"/>
          <w:w w:val="105"/>
        </w:rPr>
        <w:t> </w:t>
      </w:r>
      <w:r>
        <w:rPr>
          <w:w w:val="105"/>
        </w:rPr>
        <w:t>Company’s name was changed from Corning Glass Works to Corning Incorporated on April 28, 1989.</w:t>
      </w:r>
    </w:p>
    <w:p>
      <w:pPr>
        <w:pStyle w:val="BodyText"/>
        <w:spacing w:before="19"/>
      </w:pPr>
    </w:p>
    <w:p>
      <w:pPr>
        <w:pStyle w:val="BodyText"/>
        <w:spacing w:line="266" w:lineRule="auto"/>
        <w:ind w:left="156" w:right="117"/>
      </w:pPr>
      <w:r>
        <w:rPr>
          <w:w w:val="105"/>
        </w:rPr>
        <w:t>Corning</w:t>
      </w:r>
      <w:r>
        <w:rPr>
          <w:spacing w:val="-2"/>
          <w:w w:val="105"/>
        </w:rPr>
        <w:t> </w:t>
      </w:r>
      <w:r>
        <w:rPr>
          <w:w w:val="105"/>
        </w:rPr>
        <w:t>Incorporated</w:t>
      </w:r>
      <w:r>
        <w:rPr>
          <w:spacing w:val="-2"/>
          <w:w w:val="105"/>
        </w:rPr>
        <w:t> </w:t>
      </w:r>
      <w:r>
        <w:rPr>
          <w:w w:val="105"/>
        </w:rPr>
        <w:t>is</w:t>
      </w:r>
      <w:r>
        <w:rPr>
          <w:spacing w:val="-2"/>
          <w:w w:val="105"/>
        </w:rPr>
        <w:t> </w:t>
      </w:r>
      <w:r>
        <w:rPr>
          <w:w w:val="105"/>
        </w:rPr>
        <w:t>a</w:t>
      </w:r>
      <w:r>
        <w:rPr>
          <w:spacing w:val="-2"/>
          <w:w w:val="105"/>
        </w:rPr>
        <w:t> </w:t>
      </w:r>
      <w:r>
        <w:rPr>
          <w:w w:val="105"/>
        </w:rPr>
        <w:t>leading</w:t>
      </w:r>
      <w:r>
        <w:rPr>
          <w:spacing w:val="-2"/>
          <w:w w:val="105"/>
        </w:rPr>
        <w:t> </w:t>
      </w:r>
      <w:r>
        <w:rPr>
          <w:w w:val="105"/>
        </w:rPr>
        <w:t>innovator</w:t>
      </w:r>
      <w:r>
        <w:rPr>
          <w:spacing w:val="-2"/>
          <w:w w:val="105"/>
        </w:rPr>
        <w:t> </w:t>
      </w:r>
      <w:r>
        <w:rPr>
          <w:w w:val="105"/>
        </w:rPr>
        <w:t>in</w:t>
      </w:r>
      <w:r>
        <w:rPr>
          <w:spacing w:val="-2"/>
          <w:w w:val="105"/>
        </w:rPr>
        <w:t> </w:t>
      </w:r>
      <w:r>
        <w:rPr>
          <w:w w:val="105"/>
        </w:rPr>
        <w:t>materials</w:t>
      </w:r>
      <w:r>
        <w:rPr>
          <w:spacing w:val="-2"/>
          <w:w w:val="105"/>
        </w:rPr>
        <w:t> </w:t>
      </w:r>
      <w:r>
        <w:rPr>
          <w:w w:val="105"/>
        </w:rPr>
        <w:t>science.</w:t>
      </w:r>
      <w:r>
        <w:rPr>
          <w:spacing w:val="-2"/>
          <w:w w:val="105"/>
        </w:rPr>
        <w:t> </w:t>
      </w:r>
      <w:r>
        <w:rPr>
          <w:w w:val="105"/>
        </w:rPr>
        <w:t>For</w:t>
      </w:r>
      <w:r>
        <w:rPr>
          <w:spacing w:val="-2"/>
          <w:w w:val="105"/>
        </w:rPr>
        <w:t> </w:t>
      </w:r>
      <w:r>
        <w:rPr>
          <w:w w:val="105"/>
        </w:rPr>
        <w:t>170</w:t>
      </w:r>
      <w:r>
        <w:rPr>
          <w:spacing w:val="-2"/>
          <w:w w:val="105"/>
        </w:rPr>
        <w:t> </w:t>
      </w:r>
      <w:r>
        <w:rPr>
          <w:w w:val="105"/>
        </w:rPr>
        <w:t>years,</w:t>
      </w:r>
      <w:r>
        <w:rPr>
          <w:spacing w:val="-2"/>
          <w:w w:val="105"/>
        </w:rPr>
        <w:t> </w:t>
      </w:r>
      <w:r>
        <w:rPr>
          <w:w w:val="105"/>
        </w:rPr>
        <w:t>Corning</w:t>
      </w:r>
      <w:r>
        <w:rPr>
          <w:spacing w:val="-2"/>
          <w:w w:val="105"/>
        </w:rPr>
        <w:t> </w:t>
      </w:r>
      <w:r>
        <w:rPr>
          <w:w w:val="105"/>
        </w:rPr>
        <w:t>has</w:t>
      </w:r>
      <w:r>
        <w:rPr>
          <w:spacing w:val="-2"/>
          <w:w w:val="105"/>
        </w:rPr>
        <w:t> </w:t>
      </w:r>
      <w:r>
        <w:rPr>
          <w:w w:val="105"/>
        </w:rPr>
        <w:t>combined</w:t>
      </w:r>
      <w:r>
        <w:rPr>
          <w:spacing w:val="-2"/>
          <w:w w:val="105"/>
        </w:rPr>
        <w:t> </w:t>
      </w:r>
      <w:r>
        <w:rPr>
          <w:w w:val="105"/>
        </w:rPr>
        <w:t>its</w:t>
      </w:r>
      <w:r>
        <w:rPr>
          <w:spacing w:val="-2"/>
          <w:w w:val="105"/>
        </w:rPr>
        <w:t> </w:t>
      </w:r>
      <w:r>
        <w:rPr>
          <w:w w:val="105"/>
        </w:rPr>
        <w:t>unparalleled expertise</w:t>
      </w:r>
      <w:r>
        <w:rPr>
          <w:spacing w:val="-2"/>
          <w:w w:val="105"/>
        </w:rPr>
        <w:t> </w:t>
      </w:r>
      <w:r>
        <w:rPr>
          <w:w w:val="105"/>
        </w:rPr>
        <w:t>in</w:t>
      </w:r>
      <w:r>
        <w:rPr>
          <w:spacing w:val="-2"/>
          <w:w w:val="105"/>
        </w:rPr>
        <w:t> </w:t>
      </w:r>
      <w:r>
        <w:rPr>
          <w:w w:val="105"/>
        </w:rPr>
        <w:t>glass</w:t>
      </w:r>
      <w:r>
        <w:rPr>
          <w:spacing w:val="-2"/>
          <w:w w:val="105"/>
        </w:rPr>
        <w:t> </w:t>
      </w:r>
      <w:r>
        <w:rPr>
          <w:w w:val="105"/>
        </w:rPr>
        <w:t>science,</w:t>
      </w:r>
      <w:r>
        <w:rPr>
          <w:spacing w:val="-2"/>
          <w:w w:val="105"/>
        </w:rPr>
        <w:t> </w:t>
      </w:r>
      <w:r>
        <w:rPr>
          <w:w w:val="105"/>
        </w:rPr>
        <w:t>ceramic</w:t>
      </w:r>
      <w:r>
        <w:rPr>
          <w:spacing w:val="-2"/>
          <w:w w:val="105"/>
        </w:rPr>
        <w:t> </w:t>
      </w:r>
      <w:r>
        <w:rPr>
          <w:w w:val="105"/>
        </w:rPr>
        <w:t>science, and optical</w:t>
      </w:r>
      <w:r>
        <w:rPr>
          <w:spacing w:val="-10"/>
          <w:w w:val="105"/>
        </w:rPr>
        <w:t> </w:t>
      </w:r>
      <w:r>
        <w:rPr>
          <w:w w:val="105"/>
        </w:rPr>
        <w:t>physics</w:t>
      </w:r>
      <w:r>
        <w:rPr>
          <w:spacing w:val="-10"/>
          <w:w w:val="105"/>
        </w:rPr>
        <w:t> </w:t>
      </w:r>
      <w:r>
        <w:rPr>
          <w:w w:val="105"/>
        </w:rPr>
        <w:t>with</w:t>
      </w:r>
      <w:r>
        <w:rPr>
          <w:spacing w:val="-10"/>
          <w:w w:val="105"/>
        </w:rPr>
        <w:t> </w:t>
      </w:r>
      <w:r>
        <w:rPr>
          <w:w w:val="105"/>
        </w:rPr>
        <w:t>deep</w:t>
      </w:r>
      <w:r>
        <w:rPr>
          <w:spacing w:val="-10"/>
          <w:w w:val="105"/>
        </w:rPr>
        <w:t> </w:t>
      </w:r>
      <w:r>
        <w:rPr>
          <w:w w:val="105"/>
        </w:rPr>
        <w:t>manufacturing</w:t>
      </w:r>
      <w:r>
        <w:rPr>
          <w:spacing w:val="-10"/>
          <w:w w:val="105"/>
        </w:rPr>
        <w:t> </w:t>
      </w:r>
      <w:r>
        <w:rPr>
          <w:w w:val="105"/>
        </w:rPr>
        <w:t>and</w:t>
      </w:r>
      <w:r>
        <w:rPr>
          <w:spacing w:val="-10"/>
          <w:w w:val="105"/>
        </w:rPr>
        <w:t> </w:t>
      </w:r>
      <w:r>
        <w:rPr>
          <w:w w:val="105"/>
        </w:rPr>
        <w:t>engineering</w:t>
      </w:r>
      <w:r>
        <w:rPr>
          <w:spacing w:val="-9"/>
          <w:w w:val="105"/>
        </w:rPr>
        <w:t> </w:t>
      </w:r>
      <w:r>
        <w:rPr>
          <w:w w:val="105"/>
        </w:rPr>
        <w:t>capabilities</w:t>
      </w:r>
      <w:r>
        <w:rPr>
          <w:spacing w:val="-10"/>
          <w:w w:val="105"/>
        </w:rPr>
        <w:t> </w:t>
      </w:r>
      <w:r>
        <w:rPr>
          <w:w w:val="105"/>
        </w:rPr>
        <w:t>to</w:t>
      </w:r>
      <w:r>
        <w:rPr>
          <w:spacing w:val="-10"/>
          <w:w w:val="105"/>
        </w:rPr>
        <w:t> </w:t>
      </w:r>
      <w:r>
        <w:rPr>
          <w:w w:val="105"/>
        </w:rPr>
        <w:t>develop</w:t>
      </w:r>
      <w:r>
        <w:rPr>
          <w:spacing w:val="-9"/>
          <w:w w:val="105"/>
        </w:rPr>
        <w:t> </w:t>
      </w:r>
      <w:r>
        <w:rPr>
          <w:w w:val="105"/>
        </w:rPr>
        <w:t>category-defining</w:t>
      </w:r>
      <w:r>
        <w:rPr>
          <w:spacing w:val="-10"/>
          <w:w w:val="105"/>
        </w:rPr>
        <w:t> </w:t>
      </w:r>
      <w:r>
        <w:rPr>
          <w:w w:val="105"/>
        </w:rPr>
        <w:t>products</w:t>
      </w:r>
      <w:r>
        <w:rPr>
          <w:spacing w:val="-9"/>
          <w:w w:val="105"/>
        </w:rPr>
        <w:t> </w:t>
      </w:r>
      <w:r>
        <w:rPr>
          <w:w w:val="105"/>
        </w:rPr>
        <w:t>that</w:t>
      </w:r>
      <w:r>
        <w:rPr>
          <w:spacing w:val="-10"/>
          <w:w w:val="105"/>
        </w:rPr>
        <w:t> </w:t>
      </w:r>
      <w:r>
        <w:rPr>
          <w:w w:val="105"/>
        </w:rPr>
        <w:t>transform</w:t>
      </w:r>
      <w:r>
        <w:rPr>
          <w:spacing w:val="-10"/>
          <w:w w:val="105"/>
        </w:rPr>
        <w:t> </w:t>
      </w:r>
      <w:r>
        <w:rPr>
          <w:w w:val="105"/>
        </w:rPr>
        <w:t>industries</w:t>
      </w:r>
      <w:r>
        <w:rPr>
          <w:spacing w:val="-10"/>
          <w:w w:val="105"/>
        </w:rPr>
        <w:t> </w:t>
      </w:r>
      <w:r>
        <w:rPr>
          <w:w w:val="105"/>
        </w:rPr>
        <w:t>and</w:t>
      </w:r>
      <w:r>
        <w:rPr>
          <w:spacing w:val="-10"/>
          <w:w w:val="105"/>
        </w:rPr>
        <w:t> </w:t>
      </w:r>
      <w:r>
        <w:rPr>
          <w:w w:val="105"/>
        </w:rPr>
        <w:t>enhance</w:t>
      </w:r>
      <w:r>
        <w:rPr>
          <w:spacing w:val="-10"/>
          <w:w w:val="105"/>
        </w:rPr>
        <w:t> </w:t>
      </w:r>
      <w:r>
        <w:rPr>
          <w:w w:val="105"/>
        </w:rPr>
        <w:t>people's</w:t>
      </w:r>
      <w:r>
        <w:rPr>
          <w:spacing w:val="-10"/>
          <w:w w:val="105"/>
        </w:rPr>
        <w:t> </w:t>
      </w:r>
      <w:r>
        <w:rPr>
          <w:w w:val="105"/>
        </w:rPr>
        <w:t>lives.</w:t>
      </w:r>
      <w:r>
        <w:rPr>
          <w:spacing w:val="-10"/>
          <w:w w:val="105"/>
        </w:rPr>
        <w:t> </w:t>
      </w:r>
      <w:r>
        <w:rPr>
          <w:w w:val="105"/>
        </w:rPr>
        <w:t>We</w:t>
      </w:r>
      <w:r>
        <w:rPr>
          <w:spacing w:val="-10"/>
          <w:w w:val="105"/>
        </w:rPr>
        <w:t> </w:t>
      </w:r>
      <w:r>
        <w:rPr>
          <w:w w:val="105"/>
        </w:rPr>
        <w:t>succeed through</w:t>
      </w:r>
      <w:r>
        <w:rPr>
          <w:spacing w:val="-9"/>
          <w:w w:val="105"/>
        </w:rPr>
        <w:t> </w:t>
      </w:r>
      <w:r>
        <w:rPr>
          <w:w w:val="105"/>
        </w:rPr>
        <w:t>sustained</w:t>
      </w:r>
      <w:r>
        <w:rPr>
          <w:spacing w:val="-9"/>
          <w:w w:val="105"/>
        </w:rPr>
        <w:t> </w:t>
      </w:r>
      <w:r>
        <w:rPr>
          <w:w w:val="105"/>
        </w:rPr>
        <w:t>investment</w:t>
      </w:r>
      <w:r>
        <w:rPr>
          <w:spacing w:val="-8"/>
          <w:w w:val="105"/>
        </w:rPr>
        <w:t> </w:t>
      </w:r>
      <w:r>
        <w:rPr>
          <w:w w:val="105"/>
        </w:rPr>
        <w:t>in</w:t>
      </w:r>
      <w:r>
        <w:rPr>
          <w:spacing w:val="-9"/>
          <w:w w:val="105"/>
        </w:rPr>
        <w:t> </w:t>
      </w:r>
      <w:r>
        <w:rPr>
          <w:w w:val="105"/>
        </w:rPr>
        <w:t>research</w:t>
      </w:r>
      <w:r>
        <w:rPr>
          <w:spacing w:val="-9"/>
          <w:w w:val="105"/>
        </w:rPr>
        <w:t> </w:t>
      </w:r>
      <w:r>
        <w:rPr>
          <w:w w:val="105"/>
        </w:rPr>
        <w:t>and</w:t>
      </w:r>
      <w:r>
        <w:rPr>
          <w:spacing w:val="-9"/>
          <w:w w:val="105"/>
        </w:rPr>
        <w:t> </w:t>
      </w:r>
      <w:r>
        <w:rPr>
          <w:w w:val="105"/>
        </w:rPr>
        <w:t>development,</w:t>
      </w:r>
      <w:r>
        <w:rPr>
          <w:spacing w:val="-9"/>
          <w:w w:val="105"/>
        </w:rPr>
        <w:t> </w:t>
      </w:r>
      <w:r>
        <w:rPr>
          <w:w w:val="105"/>
        </w:rPr>
        <w:t>a</w:t>
      </w:r>
      <w:r>
        <w:rPr>
          <w:spacing w:val="-9"/>
          <w:w w:val="105"/>
        </w:rPr>
        <w:t> </w:t>
      </w:r>
      <w:r>
        <w:rPr>
          <w:w w:val="105"/>
        </w:rPr>
        <w:t>unique</w:t>
      </w:r>
      <w:r>
        <w:rPr>
          <w:spacing w:val="-9"/>
          <w:w w:val="105"/>
        </w:rPr>
        <w:t> </w:t>
      </w:r>
      <w:r>
        <w:rPr>
          <w:w w:val="105"/>
        </w:rPr>
        <w:t>combination</w:t>
      </w:r>
      <w:r>
        <w:rPr>
          <w:spacing w:val="-9"/>
          <w:w w:val="105"/>
        </w:rPr>
        <w:t> </w:t>
      </w:r>
      <w:r>
        <w:rPr>
          <w:w w:val="105"/>
        </w:rPr>
        <w:t>of</w:t>
      </w:r>
      <w:r>
        <w:rPr>
          <w:spacing w:val="-9"/>
          <w:w w:val="105"/>
        </w:rPr>
        <w:t> </w:t>
      </w:r>
      <w:r>
        <w:rPr>
          <w:w w:val="105"/>
        </w:rPr>
        <w:t>material</w:t>
      </w:r>
      <w:r>
        <w:rPr>
          <w:spacing w:val="-9"/>
          <w:w w:val="105"/>
        </w:rPr>
        <w:t> </w:t>
      </w:r>
      <w:r>
        <w:rPr>
          <w:w w:val="105"/>
        </w:rPr>
        <w:t>and</w:t>
      </w:r>
      <w:r>
        <w:rPr>
          <w:spacing w:val="-9"/>
          <w:w w:val="105"/>
        </w:rPr>
        <w:t> </w:t>
      </w:r>
      <w:r>
        <w:rPr>
          <w:w w:val="105"/>
        </w:rPr>
        <w:t>process</w:t>
      </w:r>
      <w:r>
        <w:rPr>
          <w:spacing w:val="-9"/>
          <w:w w:val="105"/>
        </w:rPr>
        <w:t> </w:t>
      </w:r>
      <w:r>
        <w:rPr>
          <w:w w:val="105"/>
        </w:rPr>
        <w:t>innovation,</w:t>
      </w:r>
      <w:r>
        <w:rPr>
          <w:spacing w:val="-9"/>
          <w:w w:val="105"/>
        </w:rPr>
        <w:t> </w:t>
      </w:r>
      <w:r>
        <w:rPr>
          <w:w w:val="105"/>
        </w:rPr>
        <w:t>and</w:t>
      </w:r>
      <w:r>
        <w:rPr>
          <w:spacing w:val="-9"/>
          <w:w w:val="105"/>
        </w:rPr>
        <w:t> </w:t>
      </w:r>
      <w:r>
        <w:rPr>
          <w:w w:val="105"/>
        </w:rPr>
        <w:t>deep,</w:t>
      </w:r>
      <w:r>
        <w:rPr>
          <w:spacing w:val="-9"/>
          <w:w w:val="105"/>
        </w:rPr>
        <w:t> </w:t>
      </w:r>
      <w:r>
        <w:rPr>
          <w:w w:val="105"/>
        </w:rPr>
        <w:t>trust-based</w:t>
      </w:r>
      <w:r>
        <w:rPr>
          <w:spacing w:val="-9"/>
          <w:w w:val="105"/>
        </w:rPr>
        <w:t> </w:t>
      </w:r>
      <w:r>
        <w:rPr>
          <w:w w:val="105"/>
        </w:rPr>
        <w:t>relationships</w:t>
      </w:r>
      <w:r>
        <w:rPr>
          <w:spacing w:val="-9"/>
          <w:w w:val="105"/>
        </w:rPr>
        <w:t> </w:t>
      </w:r>
      <w:r>
        <w:rPr>
          <w:w w:val="105"/>
        </w:rPr>
        <w:t>with</w:t>
      </w:r>
      <w:r>
        <w:rPr>
          <w:spacing w:val="-9"/>
          <w:w w:val="105"/>
        </w:rPr>
        <w:t> </w:t>
      </w:r>
      <w:r>
        <w:rPr>
          <w:w w:val="105"/>
        </w:rPr>
        <w:t>customers</w:t>
      </w:r>
      <w:r>
        <w:rPr>
          <w:spacing w:val="-9"/>
          <w:w w:val="105"/>
        </w:rPr>
        <w:t> </w:t>
      </w:r>
      <w:r>
        <w:rPr>
          <w:w w:val="105"/>
        </w:rPr>
        <w:t>who are global leaders in their industries.</w:t>
      </w:r>
    </w:p>
    <w:p>
      <w:pPr>
        <w:pStyle w:val="BodyText"/>
        <w:spacing w:before="18"/>
      </w:pPr>
    </w:p>
    <w:p>
      <w:pPr>
        <w:pStyle w:val="BodyText"/>
        <w:spacing w:line="266" w:lineRule="auto"/>
        <w:ind w:left="156" w:right="117"/>
      </w:pPr>
      <w:r>
        <w:rPr>
          <w:w w:val="105"/>
        </w:rPr>
        <w:t>Corning’s</w:t>
      </w:r>
      <w:r>
        <w:rPr>
          <w:spacing w:val="-9"/>
          <w:w w:val="105"/>
        </w:rPr>
        <w:t> </w:t>
      </w:r>
      <w:r>
        <w:rPr>
          <w:w w:val="105"/>
        </w:rPr>
        <w:t>capabilities</w:t>
      </w:r>
      <w:r>
        <w:rPr>
          <w:spacing w:val="-9"/>
          <w:w w:val="105"/>
        </w:rPr>
        <w:t> </w:t>
      </w:r>
      <w:r>
        <w:rPr>
          <w:w w:val="105"/>
        </w:rPr>
        <w:t>are</w:t>
      </w:r>
      <w:r>
        <w:rPr>
          <w:spacing w:val="-9"/>
          <w:w w:val="105"/>
        </w:rPr>
        <w:t> </w:t>
      </w:r>
      <w:r>
        <w:rPr>
          <w:w w:val="105"/>
        </w:rPr>
        <w:t>versatile</w:t>
      </w:r>
      <w:r>
        <w:rPr>
          <w:spacing w:val="-9"/>
          <w:w w:val="105"/>
        </w:rPr>
        <w:t> </w:t>
      </w:r>
      <w:r>
        <w:rPr>
          <w:w w:val="105"/>
        </w:rPr>
        <w:t>and</w:t>
      </w:r>
      <w:r>
        <w:rPr>
          <w:spacing w:val="-9"/>
          <w:w w:val="105"/>
        </w:rPr>
        <w:t> </w:t>
      </w:r>
      <w:r>
        <w:rPr>
          <w:w w:val="105"/>
        </w:rPr>
        <w:t>synergistic,</w:t>
      </w:r>
      <w:r>
        <w:rPr>
          <w:spacing w:val="-9"/>
          <w:w w:val="105"/>
        </w:rPr>
        <w:t> </w:t>
      </w:r>
      <w:r>
        <w:rPr>
          <w:w w:val="105"/>
        </w:rPr>
        <w:t>allowing</w:t>
      </w:r>
      <w:r>
        <w:rPr>
          <w:spacing w:val="-9"/>
          <w:w w:val="105"/>
        </w:rPr>
        <w:t> </w:t>
      </w:r>
      <w:r>
        <w:rPr>
          <w:w w:val="105"/>
        </w:rPr>
        <w:t>the</w:t>
      </w:r>
      <w:r>
        <w:rPr>
          <w:spacing w:val="-9"/>
          <w:w w:val="105"/>
        </w:rPr>
        <w:t> </w:t>
      </w:r>
      <w:r>
        <w:rPr>
          <w:w w:val="105"/>
        </w:rPr>
        <w:t>Company</w:t>
      </w:r>
      <w:r>
        <w:rPr>
          <w:spacing w:val="-9"/>
          <w:w w:val="105"/>
        </w:rPr>
        <w:t> </w:t>
      </w:r>
      <w:r>
        <w:rPr>
          <w:w w:val="105"/>
        </w:rPr>
        <w:t>to</w:t>
      </w:r>
      <w:r>
        <w:rPr>
          <w:spacing w:val="-9"/>
          <w:w w:val="105"/>
        </w:rPr>
        <w:t> </w:t>
      </w:r>
      <w:r>
        <w:rPr>
          <w:w w:val="105"/>
        </w:rPr>
        <w:t>evolve</w:t>
      </w:r>
      <w:r>
        <w:rPr>
          <w:spacing w:val="-8"/>
          <w:w w:val="105"/>
        </w:rPr>
        <w:t> </w:t>
      </w:r>
      <w:r>
        <w:rPr>
          <w:w w:val="105"/>
        </w:rPr>
        <w:t>to</w:t>
      </w:r>
      <w:r>
        <w:rPr>
          <w:spacing w:val="-9"/>
          <w:w w:val="105"/>
        </w:rPr>
        <w:t> </w:t>
      </w:r>
      <w:r>
        <w:rPr>
          <w:w w:val="105"/>
        </w:rPr>
        <w:t>meet</w:t>
      </w:r>
      <w:r>
        <w:rPr>
          <w:spacing w:val="-9"/>
          <w:w w:val="105"/>
        </w:rPr>
        <w:t> </w:t>
      </w:r>
      <w:r>
        <w:rPr>
          <w:w w:val="105"/>
        </w:rPr>
        <w:t>changing</w:t>
      </w:r>
      <w:r>
        <w:rPr>
          <w:spacing w:val="-9"/>
          <w:w w:val="105"/>
        </w:rPr>
        <w:t> </w:t>
      </w:r>
      <w:r>
        <w:rPr>
          <w:w w:val="105"/>
        </w:rPr>
        <w:t>market</w:t>
      </w:r>
      <w:r>
        <w:rPr>
          <w:spacing w:val="-9"/>
          <w:w w:val="105"/>
        </w:rPr>
        <w:t> </w:t>
      </w:r>
      <w:r>
        <w:rPr>
          <w:w w:val="105"/>
        </w:rPr>
        <w:t>needs,</w:t>
      </w:r>
      <w:r>
        <w:rPr>
          <w:spacing w:val="-9"/>
          <w:w w:val="105"/>
        </w:rPr>
        <w:t> </w:t>
      </w:r>
      <w:r>
        <w:rPr>
          <w:w w:val="105"/>
        </w:rPr>
        <w:t>while</w:t>
      </w:r>
      <w:r>
        <w:rPr>
          <w:spacing w:val="-9"/>
          <w:w w:val="105"/>
        </w:rPr>
        <w:t> </w:t>
      </w:r>
      <w:r>
        <w:rPr>
          <w:w w:val="105"/>
        </w:rPr>
        <w:t>also</w:t>
      </w:r>
      <w:r>
        <w:rPr>
          <w:spacing w:val="-9"/>
          <w:w w:val="105"/>
        </w:rPr>
        <w:t> </w:t>
      </w:r>
      <w:r>
        <w:rPr>
          <w:w w:val="105"/>
        </w:rPr>
        <w:t>helping</w:t>
      </w:r>
      <w:r>
        <w:rPr>
          <w:spacing w:val="-9"/>
          <w:w w:val="105"/>
        </w:rPr>
        <w:t> </w:t>
      </w:r>
      <w:r>
        <w:rPr>
          <w:w w:val="105"/>
        </w:rPr>
        <w:t>customers</w:t>
      </w:r>
      <w:r>
        <w:rPr>
          <w:spacing w:val="-9"/>
          <w:w w:val="105"/>
        </w:rPr>
        <w:t> </w:t>
      </w:r>
      <w:r>
        <w:rPr>
          <w:w w:val="105"/>
        </w:rPr>
        <w:t>capture</w:t>
      </w:r>
      <w:r>
        <w:rPr>
          <w:spacing w:val="-9"/>
          <w:w w:val="105"/>
        </w:rPr>
        <w:t> </w:t>
      </w:r>
      <w:r>
        <w:rPr>
          <w:w w:val="105"/>
        </w:rPr>
        <w:t>new</w:t>
      </w:r>
      <w:r>
        <w:rPr>
          <w:spacing w:val="-9"/>
          <w:w w:val="105"/>
        </w:rPr>
        <w:t> </w:t>
      </w:r>
      <w:r>
        <w:rPr>
          <w:w w:val="105"/>
        </w:rPr>
        <w:t>opportunities in</w:t>
      </w:r>
      <w:r>
        <w:rPr>
          <w:spacing w:val="-2"/>
          <w:w w:val="105"/>
        </w:rPr>
        <w:t> </w:t>
      </w:r>
      <w:r>
        <w:rPr>
          <w:w w:val="105"/>
        </w:rPr>
        <w:t>dynamic</w:t>
      </w:r>
      <w:r>
        <w:rPr>
          <w:spacing w:val="-2"/>
          <w:w w:val="105"/>
        </w:rPr>
        <w:t> </w:t>
      </w:r>
      <w:r>
        <w:rPr>
          <w:w w:val="105"/>
        </w:rPr>
        <w:t>industries.</w:t>
      </w:r>
      <w:r>
        <w:rPr>
          <w:spacing w:val="-2"/>
          <w:w w:val="105"/>
        </w:rPr>
        <w:t> </w:t>
      </w:r>
      <w:r>
        <w:rPr>
          <w:w w:val="105"/>
        </w:rPr>
        <w:t>Today,</w:t>
      </w:r>
      <w:r>
        <w:rPr>
          <w:spacing w:val="-2"/>
          <w:w w:val="105"/>
        </w:rPr>
        <w:t> </w:t>
      </w:r>
      <w:r>
        <w:rPr>
          <w:w w:val="105"/>
        </w:rPr>
        <w:t>Corning’s</w:t>
      </w:r>
      <w:r>
        <w:rPr>
          <w:spacing w:val="-2"/>
          <w:w w:val="105"/>
        </w:rPr>
        <w:t> </w:t>
      </w:r>
      <w:r>
        <w:rPr>
          <w:w w:val="105"/>
        </w:rPr>
        <w:t>markets</w:t>
      </w:r>
      <w:r>
        <w:rPr>
          <w:spacing w:val="-2"/>
          <w:w w:val="105"/>
        </w:rPr>
        <w:t> </w:t>
      </w:r>
      <w:r>
        <w:rPr>
          <w:w w:val="105"/>
        </w:rPr>
        <w:t>include</w:t>
      </w:r>
      <w:r>
        <w:rPr>
          <w:spacing w:val="-2"/>
          <w:w w:val="105"/>
        </w:rPr>
        <w:t> </w:t>
      </w:r>
      <w:r>
        <w:rPr>
          <w:w w:val="105"/>
        </w:rPr>
        <w:t>optical</w:t>
      </w:r>
      <w:r>
        <w:rPr>
          <w:spacing w:val="-2"/>
          <w:w w:val="105"/>
        </w:rPr>
        <w:t> </w:t>
      </w:r>
      <w:r>
        <w:rPr>
          <w:w w:val="105"/>
        </w:rPr>
        <w:t>communications,</w:t>
      </w:r>
      <w:r>
        <w:rPr>
          <w:spacing w:val="-2"/>
          <w:w w:val="105"/>
        </w:rPr>
        <w:t> </w:t>
      </w:r>
      <w:r>
        <w:rPr>
          <w:w w:val="105"/>
        </w:rPr>
        <w:t>mobile</w:t>
      </w:r>
      <w:r>
        <w:rPr>
          <w:spacing w:val="-2"/>
          <w:w w:val="105"/>
        </w:rPr>
        <w:t> </w:t>
      </w:r>
      <w:r>
        <w:rPr>
          <w:w w:val="105"/>
        </w:rPr>
        <w:t>consumer</w:t>
      </w:r>
      <w:r>
        <w:rPr>
          <w:spacing w:val="-2"/>
          <w:w w:val="105"/>
        </w:rPr>
        <w:t> </w:t>
      </w:r>
      <w:r>
        <w:rPr>
          <w:w w:val="105"/>
        </w:rPr>
        <w:t>electronics,</w:t>
      </w:r>
      <w:r>
        <w:rPr>
          <w:spacing w:val="-2"/>
          <w:w w:val="105"/>
        </w:rPr>
        <w:t> </w:t>
      </w:r>
      <w:r>
        <w:rPr>
          <w:w w:val="105"/>
        </w:rPr>
        <w:t>display</w:t>
      </w:r>
      <w:r>
        <w:rPr>
          <w:spacing w:val="-2"/>
          <w:w w:val="105"/>
        </w:rPr>
        <w:t> </w:t>
      </w:r>
      <w:r>
        <w:rPr>
          <w:w w:val="105"/>
        </w:rPr>
        <w:t>technology,</w:t>
      </w:r>
      <w:r>
        <w:rPr>
          <w:spacing w:val="-2"/>
          <w:w w:val="105"/>
        </w:rPr>
        <w:t> </w:t>
      </w:r>
      <w:r>
        <w:rPr>
          <w:w w:val="105"/>
        </w:rPr>
        <w:t>automotive emissions</w:t>
      </w:r>
      <w:r>
        <w:rPr>
          <w:spacing w:val="-2"/>
          <w:w w:val="105"/>
        </w:rPr>
        <w:t> </w:t>
      </w:r>
      <w:r>
        <w:rPr>
          <w:w w:val="105"/>
        </w:rPr>
        <w:t>control, laboratory</w:t>
      </w:r>
      <w:r>
        <w:rPr>
          <w:spacing w:val="-3"/>
          <w:w w:val="105"/>
        </w:rPr>
        <w:t> </w:t>
      </w:r>
      <w:r>
        <w:rPr>
          <w:w w:val="105"/>
        </w:rPr>
        <w:t>products</w:t>
      </w:r>
      <w:r>
        <w:rPr>
          <w:spacing w:val="-3"/>
          <w:w w:val="105"/>
        </w:rPr>
        <w:t> </w:t>
      </w:r>
      <w:r>
        <w:rPr>
          <w:w w:val="105"/>
        </w:rPr>
        <w:t>and</w:t>
      </w:r>
      <w:r>
        <w:rPr>
          <w:spacing w:val="-3"/>
          <w:w w:val="105"/>
        </w:rPr>
        <w:t> </w:t>
      </w:r>
      <w:r>
        <w:rPr>
          <w:w w:val="105"/>
        </w:rPr>
        <w:t>other</w:t>
      </w:r>
      <w:r>
        <w:rPr>
          <w:spacing w:val="-3"/>
          <w:w w:val="105"/>
        </w:rPr>
        <w:t> </w:t>
      </w:r>
      <w:r>
        <w:rPr>
          <w:w w:val="105"/>
        </w:rPr>
        <w:t>glass</w:t>
      </w:r>
      <w:r>
        <w:rPr>
          <w:spacing w:val="-3"/>
          <w:w w:val="105"/>
        </w:rPr>
        <w:t> </w:t>
      </w:r>
      <w:r>
        <w:rPr>
          <w:w w:val="105"/>
        </w:rPr>
        <w:t>products.</w:t>
      </w:r>
      <w:r>
        <w:rPr>
          <w:spacing w:val="-3"/>
          <w:w w:val="105"/>
        </w:rPr>
        <w:t> </w:t>
      </w:r>
      <w:r>
        <w:rPr>
          <w:w w:val="105"/>
        </w:rPr>
        <w:t>Corning's</w:t>
      </w:r>
      <w:r>
        <w:rPr>
          <w:spacing w:val="-3"/>
          <w:w w:val="105"/>
        </w:rPr>
        <w:t> </w:t>
      </w:r>
      <w:r>
        <w:rPr>
          <w:w w:val="105"/>
        </w:rPr>
        <w:t>industry-leading</w:t>
      </w:r>
      <w:r>
        <w:rPr>
          <w:spacing w:val="-3"/>
          <w:w w:val="105"/>
        </w:rPr>
        <w:t> </w:t>
      </w:r>
      <w:r>
        <w:rPr>
          <w:w w:val="105"/>
        </w:rPr>
        <w:t>products</w:t>
      </w:r>
      <w:r>
        <w:rPr>
          <w:spacing w:val="-3"/>
          <w:w w:val="105"/>
        </w:rPr>
        <w:t> </w:t>
      </w:r>
      <w:r>
        <w:rPr>
          <w:w w:val="105"/>
        </w:rPr>
        <w:t>include</w:t>
      </w:r>
      <w:r>
        <w:rPr>
          <w:spacing w:val="-3"/>
          <w:w w:val="105"/>
        </w:rPr>
        <w:t> </w:t>
      </w:r>
      <w:r>
        <w:rPr>
          <w:w w:val="105"/>
        </w:rPr>
        <w:t>damage-resistant</w:t>
      </w:r>
      <w:r>
        <w:rPr>
          <w:spacing w:val="-3"/>
          <w:w w:val="105"/>
        </w:rPr>
        <w:t> </w:t>
      </w:r>
      <w:r>
        <w:rPr>
          <w:w w:val="105"/>
        </w:rPr>
        <w:t>cover</w:t>
      </w:r>
      <w:r>
        <w:rPr>
          <w:spacing w:val="-3"/>
          <w:w w:val="105"/>
        </w:rPr>
        <w:t> </w:t>
      </w:r>
      <w:r>
        <w:rPr>
          <w:w w:val="105"/>
        </w:rPr>
        <w:t>glass</w:t>
      </w:r>
      <w:r>
        <w:rPr>
          <w:spacing w:val="-3"/>
          <w:w w:val="105"/>
        </w:rPr>
        <w:t> </w:t>
      </w:r>
      <w:r>
        <w:rPr>
          <w:w w:val="105"/>
        </w:rPr>
        <w:t>for</w:t>
      </w:r>
      <w:r>
        <w:rPr>
          <w:spacing w:val="-3"/>
          <w:w w:val="105"/>
        </w:rPr>
        <w:t> </w:t>
      </w:r>
      <w:r>
        <w:rPr>
          <w:w w:val="105"/>
        </w:rPr>
        <w:t>mobile</w:t>
      </w:r>
      <w:r>
        <w:rPr>
          <w:spacing w:val="-3"/>
          <w:w w:val="105"/>
        </w:rPr>
        <w:t> </w:t>
      </w:r>
      <w:r>
        <w:rPr>
          <w:w w:val="105"/>
        </w:rPr>
        <w:t>devices;</w:t>
      </w:r>
      <w:r>
        <w:rPr>
          <w:spacing w:val="-3"/>
          <w:w w:val="105"/>
        </w:rPr>
        <w:t> </w:t>
      </w:r>
      <w:r>
        <w:rPr>
          <w:w w:val="105"/>
        </w:rPr>
        <w:t>precision</w:t>
      </w:r>
      <w:r>
        <w:rPr>
          <w:spacing w:val="-3"/>
          <w:w w:val="105"/>
        </w:rPr>
        <w:t> </w:t>
      </w:r>
      <w:r>
        <w:rPr>
          <w:w w:val="105"/>
        </w:rPr>
        <w:t>glass</w:t>
      </w:r>
      <w:r>
        <w:rPr>
          <w:spacing w:val="-3"/>
          <w:w w:val="105"/>
        </w:rPr>
        <w:t> </w:t>
      </w:r>
      <w:r>
        <w:rPr>
          <w:w w:val="105"/>
        </w:rPr>
        <w:t>for</w:t>
      </w:r>
      <w:r>
        <w:rPr>
          <w:spacing w:val="-3"/>
          <w:w w:val="105"/>
        </w:rPr>
        <w:t> </w:t>
      </w:r>
      <w:r>
        <w:rPr>
          <w:w w:val="105"/>
        </w:rPr>
        <w:t>advanced displays;</w:t>
      </w:r>
      <w:r>
        <w:rPr>
          <w:spacing w:val="-3"/>
          <w:w w:val="105"/>
        </w:rPr>
        <w:t> </w:t>
      </w:r>
      <w:r>
        <w:rPr>
          <w:w w:val="105"/>
        </w:rPr>
        <w:t>optical</w:t>
      </w:r>
      <w:r>
        <w:rPr>
          <w:spacing w:val="-3"/>
          <w:w w:val="105"/>
        </w:rPr>
        <w:t> </w:t>
      </w:r>
      <w:r>
        <w:rPr>
          <w:w w:val="105"/>
        </w:rPr>
        <w:t>fiber</w:t>
      </w:r>
      <w:r>
        <w:rPr>
          <w:spacing w:val="-3"/>
          <w:w w:val="105"/>
        </w:rPr>
        <w:t> </w:t>
      </w:r>
      <w:r>
        <w:rPr>
          <w:w w:val="105"/>
        </w:rPr>
        <w:t>and</w:t>
      </w:r>
      <w:r>
        <w:rPr>
          <w:spacing w:val="-3"/>
          <w:w w:val="105"/>
        </w:rPr>
        <w:t> </w:t>
      </w:r>
      <w:r>
        <w:rPr>
          <w:w w:val="105"/>
        </w:rPr>
        <w:t>cable,</w:t>
      </w:r>
      <w:r>
        <w:rPr>
          <w:spacing w:val="-3"/>
          <w:w w:val="105"/>
        </w:rPr>
        <w:t> </w:t>
      </w:r>
      <w:r>
        <w:rPr>
          <w:w w:val="105"/>
        </w:rPr>
        <w:t>wireless</w:t>
      </w:r>
      <w:r>
        <w:rPr>
          <w:spacing w:val="-3"/>
          <w:w w:val="105"/>
        </w:rPr>
        <w:t> </w:t>
      </w:r>
      <w:r>
        <w:rPr>
          <w:w w:val="105"/>
        </w:rPr>
        <w:t>technologies,</w:t>
      </w:r>
      <w:r>
        <w:rPr>
          <w:spacing w:val="-3"/>
          <w:w w:val="105"/>
        </w:rPr>
        <w:t> </w:t>
      </w:r>
      <w:r>
        <w:rPr>
          <w:w w:val="105"/>
        </w:rPr>
        <w:t>and</w:t>
      </w:r>
      <w:r>
        <w:rPr>
          <w:spacing w:val="-3"/>
          <w:w w:val="105"/>
        </w:rPr>
        <w:t> </w:t>
      </w:r>
      <w:r>
        <w:rPr>
          <w:w w:val="105"/>
        </w:rPr>
        <w:t>connectivity</w:t>
      </w:r>
      <w:r>
        <w:rPr>
          <w:spacing w:val="-3"/>
          <w:w w:val="105"/>
        </w:rPr>
        <w:t> </w:t>
      </w:r>
      <w:r>
        <w:rPr>
          <w:w w:val="105"/>
        </w:rPr>
        <w:t>solutions</w:t>
      </w:r>
      <w:r>
        <w:rPr>
          <w:spacing w:val="-3"/>
          <w:w w:val="105"/>
        </w:rPr>
        <w:t> </w:t>
      </w:r>
      <w:r>
        <w:rPr>
          <w:w w:val="105"/>
        </w:rPr>
        <w:t>for</w:t>
      </w:r>
      <w:r>
        <w:rPr>
          <w:spacing w:val="-3"/>
          <w:w w:val="105"/>
        </w:rPr>
        <w:t> </w:t>
      </w:r>
      <w:r>
        <w:rPr>
          <w:w w:val="105"/>
        </w:rPr>
        <w:t>state-of-the-art</w:t>
      </w:r>
      <w:r>
        <w:rPr>
          <w:spacing w:val="-3"/>
          <w:w w:val="105"/>
        </w:rPr>
        <w:t> </w:t>
      </w:r>
      <w:r>
        <w:rPr>
          <w:w w:val="105"/>
        </w:rPr>
        <w:t>communications</w:t>
      </w:r>
      <w:r>
        <w:rPr>
          <w:spacing w:val="-3"/>
          <w:w w:val="105"/>
        </w:rPr>
        <w:t> </w:t>
      </w:r>
      <w:r>
        <w:rPr>
          <w:w w:val="105"/>
        </w:rPr>
        <w:t>networks;</w:t>
      </w:r>
      <w:r>
        <w:rPr>
          <w:spacing w:val="-3"/>
          <w:w w:val="105"/>
        </w:rPr>
        <w:t> </w:t>
      </w:r>
      <w:r>
        <w:rPr>
          <w:w w:val="105"/>
        </w:rPr>
        <w:t>trusted</w:t>
      </w:r>
      <w:r>
        <w:rPr>
          <w:spacing w:val="-3"/>
          <w:w w:val="105"/>
        </w:rPr>
        <w:t> </w:t>
      </w:r>
      <w:r>
        <w:rPr>
          <w:w w:val="105"/>
        </w:rPr>
        <w:t>products</w:t>
      </w:r>
      <w:r>
        <w:rPr>
          <w:spacing w:val="-3"/>
          <w:w w:val="105"/>
        </w:rPr>
        <w:t> </w:t>
      </w:r>
      <w:r>
        <w:rPr>
          <w:w w:val="105"/>
        </w:rPr>
        <w:t>to</w:t>
      </w:r>
      <w:r>
        <w:rPr>
          <w:spacing w:val="-3"/>
          <w:w w:val="105"/>
        </w:rPr>
        <w:t> </w:t>
      </w:r>
      <w:r>
        <w:rPr>
          <w:w w:val="105"/>
        </w:rPr>
        <w:t>accelerate</w:t>
      </w:r>
      <w:r>
        <w:rPr>
          <w:spacing w:val="-3"/>
          <w:w w:val="105"/>
        </w:rPr>
        <w:t> </w:t>
      </w:r>
      <w:r>
        <w:rPr>
          <w:w w:val="105"/>
        </w:rPr>
        <w:t>drug discovery and delivery; and clean-air technologies for cars and trucks.</w:t>
      </w:r>
    </w:p>
    <w:p>
      <w:pPr>
        <w:pStyle w:val="BodyText"/>
        <w:spacing w:before="18"/>
      </w:pPr>
    </w:p>
    <w:p>
      <w:pPr>
        <w:pStyle w:val="BodyText"/>
        <w:spacing w:line="266" w:lineRule="auto"/>
        <w:ind w:left="156"/>
      </w:pPr>
      <w:r>
        <w:rPr>
          <w:w w:val="105"/>
        </w:rPr>
        <w:t>Corning</w:t>
      </w:r>
      <w:r>
        <w:rPr>
          <w:spacing w:val="-11"/>
          <w:w w:val="105"/>
        </w:rPr>
        <w:t> </w:t>
      </w:r>
      <w:r>
        <w:rPr>
          <w:w w:val="105"/>
        </w:rPr>
        <w:t>operates</w:t>
      </w:r>
      <w:r>
        <w:rPr>
          <w:spacing w:val="-10"/>
          <w:w w:val="105"/>
        </w:rPr>
        <w:t> </w:t>
      </w:r>
      <w:r>
        <w:rPr>
          <w:w w:val="105"/>
        </w:rPr>
        <w:t>in</w:t>
      </w:r>
      <w:r>
        <w:rPr>
          <w:spacing w:val="-11"/>
          <w:w w:val="105"/>
        </w:rPr>
        <w:t> </w:t>
      </w:r>
      <w:r>
        <w:rPr>
          <w:w w:val="105"/>
        </w:rPr>
        <w:t>five</w:t>
      </w:r>
      <w:r>
        <w:rPr>
          <w:spacing w:val="-10"/>
          <w:w w:val="105"/>
        </w:rPr>
        <w:t> </w:t>
      </w:r>
      <w:r>
        <w:rPr>
          <w:w w:val="105"/>
        </w:rPr>
        <w:t>reportable</w:t>
      </w:r>
      <w:r>
        <w:rPr>
          <w:spacing w:val="-11"/>
          <w:w w:val="105"/>
        </w:rPr>
        <w:t> </w:t>
      </w:r>
      <w:r>
        <w:rPr>
          <w:w w:val="105"/>
        </w:rPr>
        <w:t>segments:</w:t>
      </w:r>
      <w:r>
        <w:rPr>
          <w:spacing w:val="-10"/>
          <w:w w:val="105"/>
        </w:rPr>
        <w:t> </w:t>
      </w:r>
      <w:r>
        <w:rPr>
          <w:w w:val="105"/>
        </w:rPr>
        <w:t>Display</w:t>
      </w:r>
      <w:r>
        <w:rPr>
          <w:spacing w:val="-11"/>
          <w:w w:val="105"/>
        </w:rPr>
        <w:t> </w:t>
      </w:r>
      <w:r>
        <w:rPr>
          <w:w w:val="105"/>
        </w:rPr>
        <w:t>Technologies,</w:t>
      </w:r>
      <w:r>
        <w:rPr>
          <w:spacing w:val="-10"/>
          <w:w w:val="105"/>
        </w:rPr>
        <w:t> </w:t>
      </w:r>
      <w:r>
        <w:rPr>
          <w:w w:val="105"/>
        </w:rPr>
        <w:t>Optical</w:t>
      </w:r>
      <w:r>
        <w:rPr>
          <w:spacing w:val="-11"/>
          <w:w w:val="105"/>
        </w:rPr>
        <w:t> </w:t>
      </w:r>
      <w:r>
        <w:rPr>
          <w:w w:val="105"/>
        </w:rPr>
        <w:t>Communications,</w:t>
      </w:r>
      <w:r>
        <w:rPr>
          <w:spacing w:val="-10"/>
          <w:w w:val="105"/>
        </w:rPr>
        <w:t> </w:t>
      </w:r>
      <w:r>
        <w:rPr>
          <w:w w:val="105"/>
        </w:rPr>
        <w:t>Specialty</w:t>
      </w:r>
      <w:r>
        <w:rPr>
          <w:spacing w:val="-11"/>
          <w:w w:val="105"/>
        </w:rPr>
        <w:t> </w:t>
      </w:r>
      <w:r>
        <w:rPr>
          <w:w w:val="105"/>
        </w:rPr>
        <w:t>Materials,</w:t>
      </w:r>
      <w:r>
        <w:rPr>
          <w:spacing w:val="-10"/>
          <w:w w:val="105"/>
        </w:rPr>
        <w:t> </w:t>
      </w:r>
      <w:r>
        <w:rPr>
          <w:w w:val="105"/>
        </w:rPr>
        <w:t>Environmental</w:t>
      </w:r>
      <w:r>
        <w:rPr>
          <w:spacing w:val="-11"/>
          <w:w w:val="105"/>
        </w:rPr>
        <w:t> </w:t>
      </w:r>
      <w:r>
        <w:rPr>
          <w:w w:val="105"/>
        </w:rPr>
        <w:t>Technologies</w:t>
      </w:r>
      <w:r>
        <w:rPr>
          <w:spacing w:val="-10"/>
          <w:w w:val="105"/>
        </w:rPr>
        <w:t> </w:t>
      </w:r>
      <w:r>
        <w:rPr>
          <w:w w:val="105"/>
        </w:rPr>
        <w:t>and</w:t>
      </w:r>
      <w:r>
        <w:rPr>
          <w:spacing w:val="-11"/>
          <w:w w:val="105"/>
        </w:rPr>
        <w:t> </w:t>
      </w:r>
      <w:r>
        <w:rPr>
          <w:w w:val="105"/>
        </w:rPr>
        <w:t>Life</w:t>
      </w:r>
      <w:r>
        <w:rPr>
          <w:spacing w:val="-10"/>
          <w:w w:val="105"/>
        </w:rPr>
        <w:t> </w:t>
      </w:r>
      <w:r>
        <w:rPr>
          <w:w w:val="105"/>
        </w:rPr>
        <w:t>Sciences,</w:t>
      </w:r>
      <w:r>
        <w:rPr>
          <w:spacing w:val="-11"/>
          <w:w w:val="105"/>
        </w:rPr>
        <w:t> </w:t>
      </w:r>
      <w:r>
        <w:rPr>
          <w:w w:val="105"/>
        </w:rPr>
        <w:t>and manufactures products at 119 plants in 15 countries.</w:t>
      </w:r>
    </w:p>
    <w:p>
      <w:pPr>
        <w:pStyle w:val="BodyText"/>
        <w:spacing w:before="19"/>
      </w:pPr>
    </w:p>
    <w:p>
      <w:pPr>
        <w:spacing w:before="0"/>
        <w:ind w:left="156" w:right="0" w:firstLine="0"/>
        <w:jc w:val="left"/>
        <w:rPr>
          <w:i/>
          <w:sz w:val="16"/>
        </w:rPr>
      </w:pPr>
      <w:r>
        <w:rPr>
          <w:i/>
          <w:sz w:val="16"/>
        </w:rPr>
        <w:t>Display</w:t>
      </w:r>
      <w:r>
        <w:rPr>
          <w:i/>
          <w:spacing w:val="15"/>
          <w:sz w:val="16"/>
        </w:rPr>
        <w:t> </w:t>
      </w:r>
      <w:r>
        <w:rPr>
          <w:i/>
          <w:sz w:val="16"/>
        </w:rPr>
        <w:t>Technologies</w:t>
      </w:r>
      <w:r>
        <w:rPr>
          <w:i/>
          <w:spacing w:val="16"/>
          <w:sz w:val="16"/>
        </w:rPr>
        <w:t> </w:t>
      </w:r>
      <w:r>
        <w:rPr>
          <w:i/>
          <w:spacing w:val="-2"/>
          <w:sz w:val="16"/>
        </w:rPr>
        <w:t>Segment</w:t>
      </w:r>
    </w:p>
    <w:p>
      <w:pPr>
        <w:pStyle w:val="BodyText"/>
        <w:spacing w:before="39"/>
        <w:rPr>
          <w:i/>
        </w:rPr>
      </w:pPr>
    </w:p>
    <w:p>
      <w:pPr>
        <w:pStyle w:val="BodyText"/>
        <w:spacing w:line="266" w:lineRule="auto"/>
        <w:ind w:left="156" w:right="228"/>
      </w:pPr>
      <w:r>
        <w:rPr>
          <w:w w:val="105"/>
        </w:rPr>
        <w:t>Corning’s</w:t>
      </w:r>
      <w:r>
        <w:rPr>
          <w:spacing w:val="-10"/>
          <w:w w:val="105"/>
        </w:rPr>
        <w:t> </w:t>
      </w:r>
      <w:r>
        <w:rPr>
          <w:w w:val="105"/>
        </w:rPr>
        <w:t>Display</w:t>
      </w:r>
      <w:r>
        <w:rPr>
          <w:spacing w:val="-10"/>
          <w:w w:val="105"/>
        </w:rPr>
        <w:t> </w:t>
      </w:r>
      <w:r>
        <w:rPr>
          <w:w w:val="105"/>
        </w:rPr>
        <w:t>Technologies</w:t>
      </w:r>
      <w:r>
        <w:rPr>
          <w:spacing w:val="-10"/>
          <w:w w:val="105"/>
        </w:rPr>
        <w:t> </w:t>
      </w:r>
      <w:r>
        <w:rPr>
          <w:w w:val="105"/>
        </w:rPr>
        <w:t>segment</w:t>
      </w:r>
      <w:r>
        <w:rPr>
          <w:spacing w:val="-10"/>
          <w:w w:val="105"/>
        </w:rPr>
        <w:t> </w:t>
      </w:r>
      <w:r>
        <w:rPr>
          <w:w w:val="105"/>
        </w:rPr>
        <w:t>manufactures</w:t>
      </w:r>
      <w:r>
        <w:rPr>
          <w:spacing w:val="-10"/>
          <w:w w:val="105"/>
        </w:rPr>
        <w:t> </w:t>
      </w:r>
      <w:r>
        <w:rPr>
          <w:w w:val="105"/>
        </w:rPr>
        <w:t>glass</w:t>
      </w:r>
      <w:r>
        <w:rPr>
          <w:spacing w:val="-10"/>
          <w:w w:val="105"/>
        </w:rPr>
        <w:t> </w:t>
      </w:r>
      <w:r>
        <w:rPr>
          <w:w w:val="105"/>
        </w:rPr>
        <w:t>substrates</w:t>
      </w:r>
      <w:r>
        <w:rPr>
          <w:spacing w:val="-10"/>
          <w:w w:val="105"/>
        </w:rPr>
        <w:t> </w:t>
      </w:r>
      <w:r>
        <w:rPr>
          <w:w w:val="105"/>
        </w:rPr>
        <w:t>for</w:t>
      </w:r>
      <w:r>
        <w:rPr>
          <w:spacing w:val="-10"/>
          <w:w w:val="105"/>
        </w:rPr>
        <w:t> </w:t>
      </w:r>
      <w:r>
        <w:rPr>
          <w:w w:val="105"/>
        </w:rPr>
        <w:t>flat</w:t>
      </w:r>
      <w:r>
        <w:rPr>
          <w:spacing w:val="-10"/>
          <w:w w:val="105"/>
        </w:rPr>
        <w:t> </w:t>
      </w:r>
      <w:r>
        <w:rPr>
          <w:w w:val="105"/>
        </w:rPr>
        <w:t>panel</w:t>
      </w:r>
      <w:r>
        <w:rPr>
          <w:spacing w:val="-10"/>
          <w:w w:val="105"/>
        </w:rPr>
        <w:t> </w:t>
      </w:r>
      <w:r>
        <w:rPr>
          <w:w w:val="105"/>
        </w:rPr>
        <w:t>displays,</w:t>
      </w:r>
      <w:r>
        <w:rPr>
          <w:spacing w:val="-10"/>
          <w:w w:val="105"/>
        </w:rPr>
        <w:t> </w:t>
      </w:r>
      <w:r>
        <w:rPr>
          <w:w w:val="105"/>
        </w:rPr>
        <w:t>including</w:t>
      </w:r>
      <w:r>
        <w:rPr>
          <w:spacing w:val="-10"/>
          <w:w w:val="105"/>
        </w:rPr>
        <w:t> </w:t>
      </w:r>
      <w:r>
        <w:rPr>
          <w:w w:val="105"/>
        </w:rPr>
        <w:t>liquid</w:t>
      </w:r>
      <w:r>
        <w:rPr>
          <w:spacing w:val="-10"/>
          <w:w w:val="105"/>
        </w:rPr>
        <w:t> </w:t>
      </w:r>
      <w:r>
        <w:rPr>
          <w:w w:val="105"/>
        </w:rPr>
        <w:t>crystal</w:t>
      </w:r>
      <w:r>
        <w:rPr>
          <w:spacing w:val="-10"/>
          <w:w w:val="105"/>
        </w:rPr>
        <w:t> </w:t>
      </w:r>
      <w:r>
        <w:rPr>
          <w:w w:val="105"/>
        </w:rPr>
        <w:t>displays</w:t>
      </w:r>
      <w:r>
        <w:rPr>
          <w:spacing w:val="-10"/>
          <w:w w:val="105"/>
        </w:rPr>
        <w:t> </w:t>
      </w:r>
      <w:r>
        <w:rPr>
          <w:w w:val="105"/>
        </w:rPr>
        <w:t>(“LCDs”)</w:t>
      </w:r>
      <w:r>
        <w:rPr>
          <w:spacing w:val="-10"/>
          <w:w w:val="105"/>
        </w:rPr>
        <w:t> </w:t>
      </w:r>
      <w:r>
        <w:rPr>
          <w:w w:val="105"/>
        </w:rPr>
        <w:t>and</w:t>
      </w:r>
      <w:r>
        <w:rPr>
          <w:spacing w:val="-10"/>
          <w:w w:val="105"/>
        </w:rPr>
        <w:t> </w:t>
      </w:r>
      <w:r>
        <w:rPr>
          <w:w w:val="105"/>
        </w:rPr>
        <w:t>organic</w:t>
      </w:r>
      <w:r>
        <w:rPr>
          <w:spacing w:val="-10"/>
          <w:w w:val="105"/>
        </w:rPr>
        <w:t> </w:t>
      </w:r>
      <w:r>
        <w:rPr>
          <w:w w:val="105"/>
        </w:rPr>
        <w:t>light-emitting</w:t>
      </w:r>
      <w:r>
        <w:rPr>
          <w:spacing w:val="-10"/>
          <w:w w:val="105"/>
        </w:rPr>
        <w:t> </w:t>
      </w:r>
      <w:r>
        <w:rPr>
          <w:w w:val="105"/>
        </w:rPr>
        <w:t>diodes (“OLEDs”)</w:t>
      </w:r>
      <w:r>
        <w:rPr>
          <w:spacing w:val="-10"/>
          <w:w w:val="105"/>
        </w:rPr>
        <w:t> </w:t>
      </w:r>
      <w:r>
        <w:rPr>
          <w:w w:val="105"/>
        </w:rPr>
        <w:t>that</w:t>
      </w:r>
      <w:r>
        <w:rPr>
          <w:spacing w:val="-10"/>
          <w:w w:val="105"/>
        </w:rPr>
        <w:t> </w:t>
      </w:r>
      <w:r>
        <w:rPr>
          <w:w w:val="105"/>
        </w:rPr>
        <w:t>are</w:t>
      </w:r>
      <w:r>
        <w:rPr>
          <w:spacing w:val="-10"/>
          <w:w w:val="105"/>
        </w:rPr>
        <w:t> </w:t>
      </w:r>
      <w:r>
        <w:rPr>
          <w:w w:val="105"/>
        </w:rPr>
        <w:t>used</w:t>
      </w:r>
      <w:r>
        <w:rPr>
          <w:spacing w:val="-10"/>
          <w:w w:val="105"/>
        </w:rPr>
        <w:t> </w:t>
      </w:r>
      <w:r>
        <w:rPr>
          <w:w w:val="105"/>
        </w:rPr>
        <w:t>primarily</w:t>
      </w:r>
      <w:r>
        <w:rPr>
          <w:spacing w:val="-10"/>
          <w:w w:val="105"/>
        </w:rPr>
        <w:t> </w:t>
      </w:r>
      <w:r>
        <w:rPr>
          <w:w w:val="105"/>
        </w:rPr>
        <w:t>in</w:t>
      </w:r>
      <w:r>
        <w:rPr>
          <w:spacing w:val="-10"/>
          <w:w w:val="105"/>
        </w:rPr>
        <w:t> </w:t>
      </w:r>
      <w:r>
        <w:rPr>
          <w:w w:val="105"/>
        </w:rPr>
        <w:t>televisions,</w:t>
      </w:r>
      <w:r>
        <w:rPr>
          <w:spacing w:val="-10"/>
          <w:w w:val="105"/>
        </w:rPr>
        <w:t> </w:t>
      </w:r>
      <w:r>
        <w:rPr>
          <w:w w:val="105"/>
        </w:rPr>
        <w:t>notebook</w:t>
      </w:r>
      <w:r>
        <w:rPr>
          <w:spacing w:val="-8"/>
          <w:w w:val="105"/>
        </w:rPr>
        <w:t> </w:t>
      </w:r>
      <w:r>
        <w:rPr>
          <w:w w:val="105"/>
        </w:rPr>
        <w:t>computers,</w:t>
      </w:r>
      <w:r>
        <w:rPr>
          <w:spacing w:val="-10"/>
          <w:w w:val="105"/>
        </w:rPr>
        <w:t> </w:t>
      </w:r>
      <w:r>
        <w:rPr>
          <w:w w:val="105"/>
        </w:rPr>
        <w:t>desktop</w:t>
      </w:r>
      <w:r>
        <w:rPr>
          <w:spacing w:val="-10"/>
          <w:w w:val="105"/>
        </w:rPr>
        <w:t> </w:t>
      </w:r>
      <w:r>
        <w:rPr>
          <w:w w:val="105"/>
        </w:rPr>
        <w:t>monitors,</w:t>
      </w:r>
      <w:r>
        <w:rPr>
          <w:spacing w:val="-10"/>
          <w:w w:val="105"/>
        </w:rPr>
        <w:t> </w:t>
      </w:r>
      <w:r>
        <w:rPr>
          <w:w w:val="105"/>
        </w:rPr>
        <w:t>tablets</w:t>
      </w:r>
      <w:r>
        <w:rPr>
          <w:spacing w:val="-10"/>
          <w:w w:val="105"/>
        </w:rPr>
        <w:t> </w:t>
      </w:r>
      <w:r>
        <w:rPr>
          <w:w w:val="105"/>
        </w:rPr>
        <w:t>and</w:t>
      </w:r>
      <w:r>
        <w:rPr>
          <w:spacing w:val="-10"/>
          <w:w w:val="105"/>
        </w:rPr>
        <w:t> </w:t>
      </w:r>
      <w:r>
        <w:rPr>
          <w:w w:val="105"/>
        </w:rPr>
        <w:t>handheld</w:t>
      </w:r>
      <w:r>
        <w:rPr>
          <w:spacing w:val="-10"/>
          <w:w w:val="105"/>
        </w:rPr>
        <w:t> </w:t>
      </w:r>
      <w:r>
        <w:rPr>
          <w:w w:val="105"/>
        </w:rPr>
        <w:t>devices.</w:t>
      </w:r>
      <w:r>
        <w:rPr>
          <w:spacing w:val="23"/>
          <w:w w:val="105"/>
        </w:rPr>
        <w:t> </w:t>
      </w:r>
      <w:r>
        <w:rPr>
          <w:w w:val="105"/>
        </w:rPr>
        <w:t>This</w:t>
      </w:r>
      <w:r>
        <w:rPr>
          <w:spacing w:val="-10"/>
          <w:w w:val="105"/>
        </w:rPr>
        <w:t> </w:t>
      </w:r>
      <w:r>
        <w:rPr>
          <w:w w:val="105"/>
        </w:rPr>
        <w:t>segment</w:t>
      </w:r>
      <w:r>
        <w:rPr>
          <w:spacing w:val="-10"/>
          <w:w w:val="105"/>
        </w:rPr>
        <w:t> </w:t>
      </w:r>
      <w:r>
        <w:rPr>
          <w:w w:val="105"/>
        </w:rPr>
        <w:t>develops,</w:t>
      </w:r>
      <w:r>
        <w:rPr>
          <w:spacing w:val="-10"/>
          <w:w w:val="105"/>
        </w:rPr>
        <w:t> </w:t>
      </w:r>
      <w:r>
        <w:rPr>
          <w:w w:val="105"/>
        </w:rPr>
        <w:t>manufactures,</w:t>
      </w:r>
      <w:r>
        <w:rPr>
          <w:spacing w:val="-10"/>
          <w:w w:val="105"/>
        </w:rPr>
        <w:t> </w:t>
      </w:r>
      <w:r>
        <w:rPr>
          <w:w w:val="105"/>
        </w:rPr>
        <w:t>and</w:t>
      </w:r>
      <w:r>
        <w:rPr>
          <w:spacing w:val="-10"/>
          <w:w w:val="105"/>
        </w:rPr>
        <w:t> </w:t>
      </w:r>
      <w:r>
        <w:rPr>
          <w:w w:val="105"/>
        </w:rPr>
        <w:t>supplies high</w:t>
      </w:r>
      <w:r>
        <w:rPr>
          <w:spacing w:val="-3"/>
          <w:w w:val="105"/>
        </w:rPr>
        <w:t> </w:t>
      </w:r>
      <w:r>
        <w:rPr>
          <w:w w:val="105"/>
        </w:rPr>
        <w:t>quality</w:t>
      </w:r>
      <w:r>
        <w:rPr>
          <w:spacing w:val="-3"/>
          <w:w w:val="105"/>
        </w:rPr>
        <w:t> </w:t>
      </w:r>
      <w:r>
        <w:rPr>
          <w:w w:val="105"/>
        </w:rPr>
        <w:t>glass</w:t>
      </w:r>
      <w:r>
        <w:rPr>
          <w:spacing w:val="-3"/>
          <w:w w:val="105"/>
        </w:rPr>
        <w:t> </w:t>
      </w:r>
      <w:r>
        <w:rPr>
          <w:w w:val="105"/>
        </w:rPr>
        <w:t>substrates</w:t>
      </w:r>
      <w:r>
        <w:rPr>
          <w:spacing w:val="-3"/>
          <w:w w:val="105"/>
        </w:rPr>
        <w:t> </w:t>
      </w:r>
      <w:r>
        <w:rPr>
          <w:w w:val="105"/>
        </w:rPr>
        <w:t>using</w:t>
      </w:r>
      <w:r>
        <w:rPr>
          <w:spacing w:val="-3"/>
          <w:w w:val="105"/>
        </w:rPr>
        <w:t> </w:t>
      </w:r>
      <w:r>
        <w:rPr>
          <w:w w:val="105"/>
        </w:rPr>
        <w:t>technology</w:t>
      </w:r>
      <w:r>
        <w:rPr>
          <w:spacing w:val="-3"/>
          <w:w w:val="105"/>
        </w:rPr>
        <w:t> </w:t>
      </w:r>
      <w:r>
        <w:rPr>
          <w:w w:val="105"/>
        </w:rPr>
        <w:t>expertise</w:t>
      </w:r>
      <w:r>
        <w:rPr>
          <w:spacing w:val="-3"/>
          <w:w w:val="105"/>
        </w:rPr>
        <w:t> </w:t>
      </w:r>
      <w:r>
        <w:rPr>
          <w:w w:val="105"/>
        </w:rPr>
        <w:t>and</w:t>
      </w:r>
      <w:r>
        <w:rPr>
          <w:spacing w:val="-3"/>
          <w:w w:val="105"/>
        </w:rPr>
        <w:t> </w:t>
      </w:r>
      <w:r>
        <w:rPr>
          <w:w w:val="105"/>
        </w:rPr>
        <w:t>a</w:t>
      </w:r>
      <w:r>
        <w:rPr>
          <w:spacing w:val="-3"/>
          <w:w w:val="105"/>
        </w:rPr>
        <w:t> </w:t>
      </w:r>
      <w:r>
        <w:rPr>
          <w:w w:val="105"/>
        </w:rPr>
        <w:t>proprietary</w:t>
      </w:r>
      <w:r>
        <w:rPr>
          <w:spacing w:val="-3"/>
          <w:w w:val="105"/>
        </w:rPr>
        <w:t> </w:t>
      </w:r>
      <w:r>
        <w:rPr>
          <w:w w:val="105"/>
        </w:rPr>
        <w:t>fusion</w:t>
      </w:r>
      <w:r>
        <w:rPr>
          <w:spacing w:val="-3"/>
          <w:w w:val="105"/>
        </w:rPr>
        <w:t> </w:t>
      </w:r>
      <w:r>
        <w:rPr>
          <w:w w:val="105"/>
        </w:rPr>
        <w:t>manufacturing</w:t>
      </w:r>
      <w:r>
        <w:rPr>
          <w:spacing w:val="-3"/>
          <w:w w:val="105"/>
        </w:rPr>
        <w:t> </w:t>
      </w:r>
      <w:r>
        <w:rPr>
          <w:w w:val="105"/>
        </w:rPr>
        <w:t>process,</w:t>
      </w:r>
      <w:r>
        <w:rPr>
          <w:spacing w:val="-3"/>
          <w:w w:val="105"/>
        </w:rPr>
        <w:t> </w:t>
      </w:r>
      <w:r>
        <w:rPr>
          <w:w w:val="105"/>
        </w:rPr>
        <w:t>which</w:t>
      </w:r>
      <w:r>
        <w:rPr>
          <w:spacing w:val="-3"/>
          <w:w w:val="105"/>
        </w:rPr>
        <w:t> </w:t>
      </w:r>
      <w:r>
        <w:rPr>
          <w:w w:val="105"/>
        </w:rPr>
        <w:t>Corning</w:t>
      </w:r>
      <w:r>
        <w:rPr>
          <w:spacing w:val="-3"/>
          <w:w w:val="105"/>
        </w:rPr>
        <w:t> </w:t>
      </w:r>
      <w:r>
        <w:rPr>
          <w:w w:val="105"/>
        </w:rPr>
        <w:t>invented</w:t>
      </w:r>
      <w:r>
        <w:rPr>
          <w:spacing w:val="-1"/>
          <w:w w:val="105"/>
        </w:rPr>
        <w:t> </w:t>
      </w:r>
      <w:r>
        <w:rPr>
          <w:w w:val="105"/>
        </w:rPr>
        <w:t>and</w:t>
      </w:r>
      <w:r>
        <w:rPr>
          <w:spacing w:val="-3"/>
          <w:w w:val="105"/>
        </w:rPr>
        <w:t> </w:t>
      </w:r>
      <w:r>
        <w:rPr>
          <w:w w:val="105"/>
        </w:rPr>
        <w:t>is</w:t>
      </w:r>
      <w:r>
        <w:rPr>
          <w:spacing w:val="-3"/>
          <w:w w:val="105"/>
        </w:rPr>
        <w:t> </w:t>
      </w:r>
      <w:r>
        <w:rPr>
          <w:w w:val="105"/>
        </w:rPr>
        <w:t>the</w:t>
      </w:r>
      <w:r>
        <w:rPr>
          <w:spacing w:val="-3"/>
          <w:w w:val="105"/>
        </w:rPr>
        <w:t> </w:t>
      </w:r>
      <w:r>
        <w:rPr>
          <w:w w:val="105"/>
        </w:rPr>
        <w:t>cornerstone</w:t>
      </w:r>
      <w:r>
        <w:rPr>
          <w:spacing w:val="-3"/>
          <w:w w:val="105"/>
        </w:rPr>
        <w:t> </w:t>
      </w:r>
      <w:r>
        <w:rPr>
          <w:w w:val="105"/>
        </w:rPr>
        <w:t>of</w:t>
      </w:r>
      <w:r>
        <w:rPr>
          <w:spacing w:val="-3"/>
          <w:w w:val="105"/>
        </w:rPr>
        <w:t> </w:t>
      </w:r>
      <w:r>
        <w:rPr>
          <w:w w:val="105"/>
        </w:rPr>
        <w:t>the</w:t>
      </w:r>
      <w:r>
        <w:rPr>
          <w:spacing w:val="-3"/>
          <w:w w:val="105"/>
        </w:rPr>
        <w:t> </w:t>
      </w:r>
      <w:r>
        <w:rPr>
          <w:w w:val="105"/>
        </w:rPr>
        <w:t>Company’s technology</w:t>
      </w:r>
      <w:r>
        <w:rPr>
          <w:spacing w:val="-2"/>
          <w:w w:val="105"/>
        </w:rPr>
        <w:t> </w:t>
      </w:r>
      <w:r>
        <w:rPr>
          <w:w w:val="105"/>
        </w:rPr>
        <w:t>leadership</w:t>
      </w:r>
      <w:r>
        <w:rPr>
          <w:spacing w:val="-2"/>
          <w:w w:val="105"/>
        </w:rPr>
        <w:t> </w:t>
      </w:r>
      <w:r>
        <w:rPr>
          <w:w w:val="105"/>
        </w:rPr>
        <w:t>in</w:t>
      </w:r>
      <w:r>
        <w:rPr>
          <w:spacing w:val="-2"/>
          <w:w w:val="105"/>
        </w:rPr>
        <w:t> </w:t>
      </w:r>
      <w:r>
        <w:rPr>
          <w:w w:val="105"/>
        </w:rPr>
        <w:t>the</w:t>
      </w:r>
      <w:r>
        <w:rPr>
          <w:spacing w:val="-2"/>
          <w:w w:val="105"/>
        </w:rPr>
        <w:t> </w:t>
      </w:r>
      <w:r>
        <w:rPr>
          <w:w w:val="105"/>
        </w:rPr>
        <w:t>display</w:t>
      </w:r>
      <w:r>
        <w:rPr>
          <w:spacing w:val="-2"/>
          <w:w w:val="105"/>
        </w:rPr>
        <w:t> </w:t>
      </w:r>
      <w:r>
        <w:rPr>
          <w:w w:val="105"/>
        </w:rPr>
        <w:t>glass</w:t>
      </w:r>
      <w:r>
        <w:rPr>
          <w:spacing w:val="-2"/>
          <w:w w:val="105"/>
        </w:rPr>
        <w:t> </w:t>
      </w:r>
      <w:r>
        <w:rPr>
          <w:w w:val="105"/>
        </w:rPr>
        <w:t>industry.</w:t>
      </w:r>
      <w:r>
        <w:rPr>
          <w:spacing w:val="38"/>
          <w:w w:val="105"/>
        </w:rPr>
        <w:t> </w:t>
      </w:r>
      <w:r>
        <w:rPr>
          <w:w w:val="105"/>
        </w:rPr>
        <w:t>Our</w:t>
      </w:r>
      <w:r>
        <w:rPr>
          <w:spacing w:val="-2"/>
          <w:w w:val="105"/>
        </w:rPr>
        <w:t> </w:t>
      </w:r>
      <w:r>
        <w:rPr>
          <w:w w:val="105"/>
        </w:rPr>
        <w:t>highly</w:t>
      </w:r>
      <w:r>
        <w:rPr>
          <w:spacing w:val="-2"/>
          <w:w w:val="105"/>
        </w:rPr>
        <w:t> </w:t>
      </w:r>
      <w:r>
        <w:rPr>
          <w:w w:val="105"/>
        </w:rPr>
        <w:t>automated</w:t>
      </w:r>
      <w:r>
        <w:rPr>
          <w:spacing w:val="-2"/>
          <w:w w:val="105"/>
        </w:rPr>
        <w:t> </w:t>
      </w:r>
      <w:r>
        <w:rPr>
          <w:w w:val="105"/>
        </w:rPr>
        <w:t>process</w:t>
      </w:r>
      <w:r>
        <w:rPr>
          <w:spacing w:val="-2"/>
          <w:w w:val="105"/>
        </w:rPr>
        <w:t> </w:t>
      </w:r>
      <w:r>
        <w:rPr>
          <w:w w:val="105"/>
        </w:rPr>
        <w:t>yields</w:t>
      </w:r>
      <w:r>
        <w:rPr>
          <w:spacing w:val="-2"/>
          <w:w w:val="105"/>
        </w:rPr>
        <w:t> </w:t>
      </w:r>
      <w:r>
        <w:rPr>
          <w:w w:val="105"/>
        </w:rPr>
        <w:t>glass</w:t>
      </w:r>
      <w:r>
        <w:rPr>
          <w:spacing w:val="-2"/>
          <w:w w:val="105"/>
        </w:rPr>
        <w:t> </w:t>
      </w:r>
      <w:r>
        <w:rPr>
          <w:w w:val="105"/>
        </w:rPr>
        <w:t>substrates</w:t>
      </w:r>
      <w:r>
        <w:rPr>
          <w:spacing w:val="-2"/>
          <w:w w:val="105"/>
        </w:rPr>
        <w:t> </w:t>
      </w:r>
      <w:r>
        <w:rPr>
          <w:w w:val="105"/>
        </w:rPr>
        <w:t>with</w:t>
      </w:r>
      <w:r>
        <w:rPr>
          <w:spacing w:val="-2"/>
          <w:w w:val="105"/>
        </w:rPr>
        <w:t> </w:t>
      </w:r>
      <w:r>
        <w:rPr>
          <w:w w:val="105"/>
        </w:rPr>
        <w:t>a</w:t>
      </w:r>
      <w:r>
        <w:rPr>
          <w:spacing w:val="-2"/>
          <w:w w:val="105"/>
        </w:rPr>
        <w:t> </w:t>
      </w:r>
      <w:r>
        <w:rPr>
          <w:w w:val="105"/>
        </w:rPr>
        <w:t>pristine</w:t>
      </w:r>
      <w:r>
        <w:rPr>
          <w:spacing w:val="-2"/>
          <w:w w:val="105"/>
        </w:rPr>
        <w:t> </w:t>
      </w:r>
      <w:r>
        <w:rPr>
          <w:w w:val="105"/>
        </w:rPr>
        <w:t>surface</w:t>
      </w:r>
      <w:r>
        <w:rPr>
          <w:spacing w:val="-2"/>
          <w:w w:val="105"/>
        </w:rPr>
        <w:t> </w:t>
      </w:r>
      <w:r>
        <w:rPr>
          <w:w w:val="105"/>
        </w:rPr>
        <w:t>and</w:t>
      </w:r>
      <w:r>
        <w:rPr>
          <w:spacing w:val="-2"/>
          <w:w w:val="105"/>
        </w:rPr>
        <w:t> </w:t>
      </w:r>
      <w:r>
        <w:rPr>
          <w:w w:val="105"/>
        </w:rPr>
        <w:t>excellent</w:t>
      </w:r>
      <w:r>
        <w:rPr>
          <w:spacing w:val="-2"/>
          <w:w w:val="105"/>
        </w:rPr>
        <w:t> </w:t>
      </w:r>
      <w:r>
        <w:rPr>
          <w:w w:val="105"/>
        </w:rPr>
        <w:t>thermal</w:t>
      </w:r>
      <w:r>
        <w:rPr>
          <w:spacing w:val="-2"/>
          <w:w w:val="105"/>
        </w:rPr>
        <w:t> </w:t>
      </w:r>
      <w:r>
        <w:rPr>
          <w:w w:val="105"/>
        </w:rPr>
        <w:t>stability</w:t>
      </w:r>
      <w:r>
        <w:rPr>
          <w:spacing w:val="-2"/>
          <w:w w:val="105"/>
        </w:rPr>
        <w:t> </w:t>
      </w:r>
      <w:r>
        <w:rPr>
          <w:w w:val="105"/>
        </w:rPr>
        <w:t>and dimensional</w:t>
      </w:r>
      <w:r>
        <w:rPr>
          <w:spacing w:val="-8"/>
          <w:w w:val="105"/>
        </w:rPr>
        <w:t> </w:t>
      </w:r>
      <w:r>
        <w:rPr>
          <w:w w:val="105"/>
        </w:rPr>
        <w:t>uniformity</w:t>
      </w:r>
      <w:r>
        <w:rPr>
          <w:spacing w:val="-8"/>
          <w:w w:val="105"/>
        </w:rPr>
        <w:t> </w:t>
      </w:r>
      <w:r>
        <w:rPr>
          <w:w w:val="105"/>
        </w:rPr>
        <w:t>–</w:t>
      </w:r>
      <w:r>
        <w:rPr>
          <w:spacing w:val="-6"/>
          <w:w w:val="105"/>
        </w:rPr>
        <w:t> </w:t>
      </w:r>
      <w:r>
        <w:rPr>
          <w:w w:val="105"/>
        </w:rPr>
        <w:t>essential</w:t>
      </w:r>
      <w:r>
        <w:rPr>
          <w:spacing w:val="-8"/>
          <w:w w:val="105"/>
        </w:rPr>
        <w:t> </w:t>
      </w:r>
      <w:r>
        <w:rPr>
          <w:w w:val="105"/>
        </w:rPr>
        <w:t>attributes</w:t>
      </w:r>
      <w:r>
        <w:rPr>
          <w:spacing w:val="-6"/>
          <w:w w:val="105"/>
        </w:rPr>
        <w:t> </w:t>
      </w:r>
      <w:r>
        <w:rPr>
          <w:w w:val="105"/>
        </w:rPr>
        <w:t>in</w:t>
      </w:r>
      <w:r>
        <w:rPr>
          <w:spacing w:val="-8"/>
          <w:w w:val="105"/>
        </w:rPr>
        <w:t> </w:t>
      </w:r>
      <w:r>
        <w:rPr>
          <w:w w:val="105"/>
        </w:rPr>
        <w:t>the</w:t>
      </w:r>
      <w:r>
        <w:rPr>
          <w:spacing w:val="-8"/>
          <w:w w:val="105"/>
        </w:rPr>
        <w:t> </w:t>
      </w:r>
      <w:r>
        <w:rPr>
          <w:w w:val="105"/>
        </w:rPr>
        <w:t>production</w:t>
      </w:r>
      <w:r>
        <w:rPr>
          <w:spacing w:val="-8"/>
          <w:w w:val="105"/>
        </w:rPr>
        <w:t> </w:t>
      </w:r>
      <w:r>
        <w:rPr>
          <w:w w:val="105"/>
        </w:rPr>
        <w:t>of</w:t>
      </w:r>
      <w:r>
        <w:rPr>
          <w:spacing w:val="-8"/>
          <w:w w:val="105"/>
        </w:rPr>
        <w:t> </w:t>
      </w:r>
      <w:r>
        <w:rPr>
          <w:w w:val="105"/>
        </w:rPr>
        <w:t>large,</w:t>
      </w:r>
      <w:r>
        <w:rPr>
          <w:spacing w:val="-8"/>
          <w:w w:val="105"/>
        </w:rPr>
        <w:t> </w:t>
      </w:r>
      <w:r>
        <w:rPr>
          <w:w w:val="105"/>
        </w:rPr>
        <w:t>high-performance</w:t>
      </w:r>
      <w:r>
        <w:rPr>
          <w:spacing w:val="-8"/>
          <w:w w:val="105"/>
        </w:rPr>
        <w:t> </w:t>
      </w:r>
      <w:r>
        <w:rPr>
          <w:w w:val="105"/>
        </w:rPr>
        <w:t>display</w:t>
      </w:r>
      <w:r>
        <w:rPr>
          <w:spacing w:val="-8"/>
          <w:w w:val="105"/>
        </w:rPr>
        <w:t> </w:t>
      </w:r>
      <w:r>
        <w:rPr>
          <w:w w:val="105"/>
        </w:rPr>
        <w:t>panels.</w:t>
      </w:r>
      <w:r>
        <w:rPr>
          <w:spacing w:val="27"/>
          <w:w w:val="105"/>
        </w:rPr>
        <w:t> </w:t>
      </w:r>
      <w:r>
        <w:rPr>
          <w:w w:val="105"/>
        </w:rPr>
        <w:t>Corning’s</w:t>
      </w:r>
      <w:r>
        <w:rPr>
          <w:spacing w:val="-8"/>
          <w:w w:val="105"/>
        </w:rPr>
        <w:t> </w:t>
      </w:r>
      <w:r>
        <w:rPr>
          <w:w w:val="105"/>
        </w:rPr>
        <w:t>fusion</w:t>
      </w:r>
      <w:r>
        <w:rPr>
          <w:spacing w:val="-8"/>
          <w:w w:val="105"/>
        </w:rPr>
        <w:t> </w:t>
      </w:r>
      <w:r>
        <w:rPr>
          <w:w w:val="105"/>
        </w:rPr>
        <w:t>process</w:t>
      </w:r>
      <w:r>
        <w:rPr>
          <w:spacing w:val="-8"/>
          <w:w w:val="105"/>
        </w:rPr>
        <w:t> </w:t>
      </w:r>
      <w:r>
        <w:rPr>
          <w:w w:val="105"/>
        </w:rPr>
        <w:t>is</w:t>
      </w:r>
      <w:r>
        <w:rPr>
          <w:spacing w:val="-8"/>
          <w:w w:val="105"/>
        </w:rPr>
        <w:t> </w:t>
      </w:r>
      <w:r>
        <w:rPr>
          <w:w w:val="105"/>
        </w:rPr>
        <w:t>scalable</w:t>
      </w:r>
      <w:r>
        <w:rPr>
          <w:spacing w:val="-8"/>
          <w:w w:val="105"/>
        </w:rPr>
        <w:t> </w:t>
      </w:r>
      <w:r>
        <w:rPr>
          <w:w w:val="105"/>
        </w:rPr>
        <w:t>and</w:t>
      </w:r>
      <w:r>
        <w:rPr>
          <w:spacing w:val="-8"/>
          <w:w w:val="105"/>
        </w:rPr>
        <w:t> </w:t>
      </w:r>
      <w:r>
        <w:rPr>
          <w:w w:val="105"/>
        </w:rPr>
        <w:t>we</w:t>
      </w:r>
      <w:r>
        <w:rPr>
          <w:spacing w:val="-8"/>
          <w:w w:val="105"/>
        </w:rPr>
        <w:t> </w:t>
      </w:r>
      <w:r>
        <w:rPr>
          <w:w w:val="105"/>
        </w:rPr>
        <w:t>believe</w:t>
      </w:r>
      <w:r>
        <w:rPr>
          <w:spacing w:val="-8"/>
          <w:w w:val="105"/>
        </w:rPr>
        <w:t> </w:t>
      </w:r>
      <w:r>
        <w:rPr>
          <w:w w:val="105"/>
        </w:rPr>
        <w:t>it</w:t>
      </w:r>
      <w:r>
        <w:rPr>
          <w:spacing w:val="-8"/>
          <w:w w:val="105"/>
        </w:rPr>
        <w:t> </w:t>
      </w:r>
      <w:r>
        <w:rPr>
          <w:w w:val="105"/>
        </w:rPr>
        <w:t>is</w:t>
      </w:r>
      <w:r>
        <w:rPr>
          <w:spacing w:val="-8"/>
          <w:w w:val="105"/>
        </w:rPr>
        <w:t> </w:t>
      </w:r>
      <w:r>
        <w:rPr>
          <w:w w:val="105"/>
        </w:rPr>
        <w:t>the</w:t>
      </w:r>
      <w:r>
        <w:rPr>
          <w:spacing w:val="-8"/>
          <w:w w:val="105"/>
        </w:rPr>
        <w:t> </w:t>
      </w:r>
      <w:r>
        <w:rPr>
          <w:w w:val="105"/>
        </w:rPr>
        <w:t>most cost-effective process in producing large size substrates.</w:t>
      </w:r>
    </w:p>
    <w:p>
      <w:pPr>
        <w:pStyle w:val="BodyText"/>
        <w:spacing w:before="18"/>
      </w:pPr>
    </w:p>
    <w:p>
      <w:pPr>
        <w:pStyle w:val="BodyText"/>
        <w:ind w:left="48"/>
        <w:jc w:val="center"/>
      </w:pPr>
      <w:r>
        <w:rPr>
          <w:spacing w:val="-10"/>
          <w:w w:val="105"/>
        </w:rPr>
        <w:t>2</w:t>
      </w:r>
    </w:p>
    <w:p>
      <w:pPr>
        <w:pStyle w:val="BodyText"/>
        <w:spacing w:before="11"/>
        <w:rPr>
          <w:sz w:val="5"/>
        </w:rPr>
      </w:pPr>
      <w:r>
        <w:rPr/>
        <mc:AlternateContent>
          <mc:Choice Requires="wps">
            <w:drawing>
              <wp:anchor distT="0" distB="0" distL="0" distR="0" allowOverlap="1" layoutInCell="1" locked="0" behindDoc="1" simplePos="0" relativeHeight="487589888">
                <wp:simplePos x="0" y="0"/>
                <wp:positionH relativeFrom="page">
                  <wp:posOffset>226488</wp:posOffset>
                </wp:positionH>
                <wp:positionV relativeFrom="paragraph">
                  <wp:posOffset>58734</wp:posOffset>
                </wp:positionV>
                <wp:extent cx="7312659" cy="1651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726592;mso-wrap-distance-left:0;mso-wrap-distance-right:0" id="docshape6" filled="true" fillcolor="#000000" stroked="false">
                <v:fill type="solid"/>
                <w10:wrap type="topAndBottom"/>
              </v:rect>
            </w:pict>
          </mc:Fallback>
        </mc:AlternateContent>
      </w:r>
    </w:p>
    <w:p>
      <w:pPr>
        <w:spacing w:after="0"/>
        <w:rPr>
          <w:sz w:val="5"/>
        </w:rPr>
        <w:sectPr>
          <w:headerReference w:type="default" r:id="rId5"/>
          <w:pgSz w:w="12240" w:h="15840"/>
          <w:pgMar w:header="428" w:footer="0" w:top="620" w:bottom="280" w:left="200" w:right="260"/>
        </w:sectPr>
      </w:pPr>
    </w:p>
    <w:p>
      <w:pPr>
        <w:pStyle w:val="BodyText"/>
        <w:spacing w:before="38"/>
      </w:pPr>
    </w:p>
    <w:p>
      <w:pPr>
        <w:pStyle w:val="BodyText"/>
        <w:spacing w:line="266" w:lineRule="auto"/>
        <w:ind w:left="156" w:right="139"/>
      </w:pPr>
      <w:r>
        <w:rPr>
          <w:w w:val="105"/>
        </w:rPr>
        <w:t>We</w:t>
      </w:r>
      <w:r>
        <w:rPr>
          <w:spacing w:val="-8"/>
          <w:w w:val="105"/>
        </w:rPr>
        <w:t> </w:t>
      </w:r>
      <w:r>
        <w:rPr>
          <w:w w:val="105"/>
        </w:rPr>
        <w:t>are</w:t>
      </w:r>
      <w:r>
        <w:rPr>
          <w:spacing w:val="-8"/>
          <w:w w:val="105"/>
        </w:rPr>
        <w:t> </w:t>
      </w:r>
      <w:r>
        <w:rPr>
          <w:w w:val="105"/>
        </w:rPr>
        <w:t>recognized</w:t>
      </w:r>
      <w:r>
        <w:rPr>
          <w:spacing w:val="-8"/>
          <w:w w:val="105"/>
        </w:rPr>
        <w:t> </w:t>
      </w:r>
      <w:r>
        <w:rPr>
          <w:w w:val="105"/>
        </w:rPr>
        <w:t>as</w:t>
      </w:r>
      <w:r>
        <w:rPr>
          <w:spacing w:val="-7"/>
          <w:w w:val="105"/>
        </w:rPr>
        <w:t> </w:t>
      </w:r>
      <w:r>
        <w:rPr>
          <w:w w:val="105"/>
        </w:rPr>
        <w:t>a</w:t>
      </w:r>
      <w:r>
        <w:rPr>
          <w:spacing w:val="-8"/>
          <w:w w:val="105"/>
        </w:rPr>
        <w:t> </w:t>
      </w:r>
      <w:r>
        <w:rPr>
          <w:w w:val="105"/>
        </w:rPr>
        <w:t>world</w:t>
      </w:r>
      <w:r>
        <w:rPr>
          <w:spacing w:val="-8"/>
          <w:w w:val="105"/>
        </w:rPr>
        <w:t> </w:t>
      </w:r>
      <w:r>
        <w:rPr>
          <w:w w:val="105"/>
        </w:rPr>
        <w:t>leader</w:t>
      </w:r>
      <w:r>
        <w:rPr>
          <w:spacing w:val="-8"/>
          <w:w w:val="105"/>
        </w:rPr>
        <w:t> </w:t>
      </w:r>
      <w:r>
        <w:rPr>
          <w:w w:val="105"/>
        </w:rPr>
        <w:t>in</w:t>
      </w:r>
      <w:r>
        <w:rPr>
          <w:spacing w:val="-8"/>
          <w:w w:val="105"/>
        </w:rPr>
        <w:t> </w:t>
      </w:r>
      <w:r>
        <w:rPr>
          <w:w w:val="105"/>
        </w:rPr>
        <w:t>precision</w:t>
      </w:r>
      <w:r>
        <w:rPr>
          <w:spacing w:val="-8"/>
          <w:w w:val="105"/>
        </w:rPr>
        <w:t> </w:t>
      </w:r>
      <w:r>
        <w:rPr>
          <w:w w:val="105"/>
        </w:rPr>
        <w:t>glass</w:t>
      </w:r>
      <w:r>
        <w:rPr>
          <w:spacing w:val="-8"/>
          <w:w w:val="105"/>
        </w:rPr>
        <w:t> </w:t>
      </w:r>
      <w:r>
        <w:rPr>
          <w:w w:val="105"/>
        </w:rPr>
        <w:t>innovations</w:t>
      </w:r>
      <w:r>
        <w:rPr>
          <w:spacing w:val="-8"/>
          <w:w w:val="105"/>
        </w:rPr>
        <w:t> </w:t>
      </w:r>
      <w:r>
        <w:rPr>
          <w:w w:val="105"/>
        </w:rPr>
        <w:t>that</w:t>
      </w:r>
      <w:r>
        <w:rPr>
          <w:spacing w:val="-8"/>
          <w:w w:val="105"/>
        </w:rPr>
        <w:t> </w:t>
      </w:r>
      <w:r>
        <w:rPr>
          <w:w w:val="105"/>
        </w:rPr>
        <w:t>enable</w:t>
      </w:r>
      <w:r>
        <w:rPr>
          <w:spacing w:val="-8"/>
          <w:w w:val="105"/>
        </w:rPr>
        <w:t> </w:t>
      </w:r>
      <w:r>
        <w:rPr>
          <w:w w:val="105"/>
        </w:rPr>
        <w:t>our</w:t>
      </w:r>
      <w:r>
        <w:rPr>
          <w:spacing w:val="-8"/>
          <w:w w:val="105"/>
        </w:rPr>
        <w:t> </w:t>
      </w:r>
      <w:r>
        <w:rPr>
          <w:w w:val="105"/>
        </w:rPr>
        <w:t>customers</w:t>
      </w:r>
      <w:r>
        <w:rPr>
          <w:spacing w:val="-8"/>
          <w:w w:val="105"/>
        </w:rPr>
        <w:t> </w:t>
      </w:r>
      <w:r>
        <w:rPr>
          <w:w w:val="105"/>
        </w:rPr>
        <w:t>to</w:t>
      </w:r>
      <w:r>
        <w:rPr>
          <w:spacing w:val="-8"/>
          <w:w w:val="105"/>
        </w:rPr>
        <w:t> </w:t>
      </w:r>
      <w:r>
        <w:rPr>
          <w:w w:val="105"/>
        </w:rPr>
        <w:t>produce</w:t>
      </w:r>
      <w:r>
        <w:rPr>
          <w:spacing w:val="-8"/>
          <w:w w:val="105"/>
        </w:rPr>
        <w:t> </w:t>
      </w:r>
      <w:r>
        <w:rPr>
          <w:w w:val="105"/>
        </w:rPr>
        <w:t>larger,</w:t>
      </w:r>
      <w:r>
        <w:rPr>
          <w:spacing w:val="-8"/>
          <w:w w:val="105"/>
        </w:rPr>
        <w:t> </w:t>
      </w:r>
      <w:r>
        <w:rPr>
          <w:w w:val="105"/>
        </w:rPr>
        <w:t>thinner,</w:t>
      </w:r>
      <w:r>
        <w:rPr>
          <w:spacing w:val="-8"/>
          <w:w w:val="105"/>
        </w:rPr>
        <w:t> </w:t>
      </w:r>
      <w:r>
        <w:rPr>
          <w:w w:val="105"/>
        </w:rPr>
        <w:t>more</w:t>
      </w:r>
      <w:r>
        <w:rPr>
          <w:spacing w:val="-8"/>
          <w:w w:val="105"/>
        </w:rPr>
        <w:t> </w:t>
      </w:r>
      <w:r>
        <w:rPr>
          <w:w w:val="105"/>
        </w:rPr>
        <w:t>flexible,</w:t>
      </w:r>
      <w:r>
        <w:rPr>
          <w:spacing w:val="-8"/>
          <w:w w:val="105"/>
        </w:rPr>
        <w:t> </w:t>
      </w:r>
      <w:r>
        <w:rPr>
          <w:w w:val="105"/>
        </w:rPr>
        <w:t>and</w:t>
      </w:r>
      <w:r>
        <w:rPr>
          <w:spacing w:val="-8"/>
          <w:w w:val="105"/>
        </w:rPr>
        <w:t> </w:t>
      </w:r>
      <w:r>
        <w:rPr>
          <w:w w:val="105"/>
        </w:rPr>
        <w:t>higher-resolution</w:t>
      </w:r>
      <w:r>
        <w:rPr>
          <w:spacing w:val="-8"/>
          <w:w w:val="105"/>
        </w:rPr>
        <w:t> </w:t>
      </w:r>
      <w:r>
        <w:rPr>
          <w:w w:val="105"/>
        </w:rPr>
        <w:t>displays.</w:t>
      </w:r>
      <w:r>
        <w:rPr>
          <w:spacing w:val="-8"/>
          <w:w w:val="105"/>
        </w:rPr>
        <w:t> </w:t>
      </w:r>
      <w:r>
        <w:rPr>
          <w:w w:val="105"/>
        </w:rPr>
        <w:t>Some of</w:t>
      </w:r>
      <w:r>
        <w:rPr>
          <w:spacing w:val="-1"/>
          <w:w w:val="105"/>
        </w:rPr>
        <w:t> </w:t>
      </w:r>
      <w:r>
        <w:rPr>
          <w:w w:val="105"/>
        </w:rPr>
        <w:t>the</w:t>
      </w:r>
      <w:r>
        <w:rPr>
          <w:spacing w:val="-1"/>
          <w:w w:val="105"/>
        </w:rPr>
        <w:t> </w:t>
      </w:r>
      <w:r>
        <w:rPr>
          <w:w w:val="105"/>
        </w:rPr>
        <w:t>product</w:t>
      </w:r>
      <w:r>
        <w:rPr>
          <w:spacing w:val="-1"/>
          <w:w w:val="105"/>
        </w:rPr>
        <w:t> </w:t>
      </w:r>
      <w:r>
        <w:rPr>
          <w:w w:val="105"/>
        </w:rPr>
        <w:t>innovations</w:t>
      </w:r>
      <w:r>
        <w:rPr>
          <w:spacing w:val="-1"/>
          <w:w w:val="105"/>
        </w:rPr>
        <w:t> </w:t>
      </w:r>
      <w:r>
        <w:rPr>
          <w:w w:val="105"/>
        </w:rPr>
        <w:t>we</w:t>
      </w:r>
      <w:r>
        <w:rPr>
          <w:spacing w:val="-1"/>
          <w:w w:val="105"/>
        </w:rPr>
        <w:t> </w:t>
      </w:r>
      <w:r>
        <w:rPr>
          <w:w w:val="105"/>
        </w:rPr>
        <w:t>have launched</w:t>
      </w:r>
      <w:r>
        <w:rPr>
          <w:spacing w:val="-1"/>
          <w:w w:val="105"/>
        </w:rPr>
        <w:t> </w:t>
      </w:r>
      <w:r>
        <w:rPr>
          <w:w w:val="105"/>
        </w:rPr>
        <w:t>over</w:t>
      </w:r>
      <w:r>
        <w:rPr>
          <w:spacing w:val="-1"/>
          <w:w w:val="105"/>
        </w:rPr>
        <w:t> </w:t>
      </w:r>
      <w:r>
        <w:rPr>
          <w:w w:val="105"/>
        </w:rPr>
        <w:t>the</w:t>
      </w:r>
      <w:r>
        <w:rPr>
          <w:spacing w:val="-1"/>
          <w:w w:val="105"/>
        </w:rPr>
        <w:t> </w:t>
      </w:r>
      <w:r>
        <w:rPr>
          <w:w w:val="105"/>
        </w:rPr>
        <w:t>past</w:t>
      </w:r>
      <w:r>
        <w:rPr>
          <w:spacing w:val="-1"/>
          <w:w w:val="105"/>
        </w:rPr>
        <w:t> </w:t>
      </w:r>
      <w:r>
        <w:rPr>
          <w:w w:val="105"/>
        </w:rPr>
        <w:t>ten</w:t>
      </w:r>
      <w:r>
        <w:rPr>
          <w:spacing w:val="-1"/>
          <w:w w:val="105"/>
        </w:rPr>
        <w:t> </w:t>
      </w:r>
      <w:r>
        <w:rPr>
          <w:w w:val="105"/>
        </w:rPr>
        <w:t>years</w:t>
      </w:r>
      <w:r>
        <w:rPr>
          <w:spacing w:val="-1"/>
          <w:w w:val="105"/>
        </w:rPr>
        <w:t> </w:t>
      </w:r>
      <w:r>
        <w:rPr>
          <w:w w:val="105"/>
        </w:rPr>
        <w:t>utilizing</w:t>
      </w:r>
      <w:r>
        <w:rPr>
          <w:spacing w:val="-1"/>
          <w:w w:val="105"/>
        </w:rPr>
        <w:t> </w:t>
      </w:r>
      <w:r>
        <w:rPr>
          <w:w w:val="105"/>
        </w:rPr>
        <w:t>our</w:t>
      </w:r>
      <w:r>
        <w:rPr>
          <w:spacing w:val="-1"/>
          <w:w w:val="105"/>
        </w:rPr>
        <w:t> </w:t>
      </w:r>
      <w:r>
        <w:rPr>
          <w:w w:val="105"/>
        </w:rPr>
        <w:t>world-class</w:t>
      </w:r>
      <w:r>
        <w:rPr>
          <w:spacing w:val="-1"/>
          <w:w w:val="105"/>
        </w:rPr>
        <w:t> </w:t>
      </w:r>
      <w:r>
        <w:rPr>
          <w:w w:val="105"/>
        </w:rPr>
        <w:t>processes</w:t>
      </w:r>
      <w:r>
        <w:rPr>
          <w:spacing w:val="-1"/>
          <w:w w:val="105"/>
        </w:rPr>
        <w:t> </w:t>
      </w:r>
      <w:r>
        <w:rPr>
          <w:w w:val="105"/>
        </w:rPr>
        <w:t>and</w:t>
      </w:r>
      <w:r>
        <w:rPr>
          <w:spacing w:val="-1"/>
          <w:w w:val="105"/>
        </w:rPr>
        <w:t> </w:t>
      </w:r>
      <w:r>
        <w:rPr>
          <w:w w:val="105"/>
        </w:rPr>
        <w:t>capabilities</w:t>
      </w:r>
      <w:r>
        <w:rPr>
          <w:spacing w:val="-1"/>
          <w:w w:val="105"/>
        </w:rPr>
        <w:t> </w:t>
      </w:r>
      <w:r>
        <w:rPr>
          <w:w w:val="105"/>
        </w:rPr>
        <w:t>include</w:t>
      </w:r>
      <w:r>
        <w:rPr>
          <w:spacing w:val="-1"/>
          <w:w w:val="105"/>
        </w:rPr>
        <w:t> </w:t>
      </w:r>
      <w:r>
        <w:rPr>
          <w:w w:val="105"/>
        </w:rPr>
        <w:t>the</w:t>
      </w:r>
      <w:r>
        <w:rPr>
          <w:spacing w:val="-1"/>
          <w:w w:val="105"/>
        </w:rPr>
        <w:t> </w:t>
      </w:r>
      <w:r>
        <w:rPr>
          <w:w w:val="105"/>
        </w:rPr>
        <w:t>following:</w:t>
      </w:r>
    </w:p>
    <w:p>
      <w:pPr>
        <w:pStyle w:val="BodyText"/>
        <w:spacing w:before="19"/>
      </w:pPr>
    </w:p>
    <w:p>
      <w:pPr>
        <w:pStyle w:val="ListParagraph"/>
        <w:numPr>
          <w:ilvl w:val="0"/>
          <w:numId w:val="2"/>
        </w:numPr>
        <w:tabs>
          <w:tab w:pos="462" w:val="left" w:leader="none"/>
        </w:tabs>
        <w:spacing w:line="266" w:lineRule="auto" w:before="0" w:after="0"/>
        <w:ind w:left="462" w:right="352" w:hanging="306"/>
        <w:jc w:val="left"/>
        <w:rPr>
          <w:sz w:val="16"/>
        </w:rPr>
      </w:pPr>
      <w:r>
        <w:rPr>
          <w:w w:val="105"/>
          <w:sz w:val="16"/>
        </w:rPr>
        <w:t>Corning®</w:t>
      </w:r>
      <w:r>
        <w:rPr>
          <w:spacing w:val="-9"/>
          <w:w w:val="105"/>
          <w:sz w:val="16"/>
        </w:rPr>
        <w:t> </w:t>
      </w:r>
      <w:r>
        <w:rPr>
          <w:w w:val="105"/>
          <w:sz w:val="16"/>
        </w:rPr>
        <w:t>EAGLE</w:t>
      </w:r>
      <w:r>
        <w:rPr>
          <w:spacing w:val="-9"/>
          <w:w w:val="105"/>
          <w:sz w:val="16"/>
        </w:rPr>
        <w:t> </w:t>
      </w:r>
      <w:r>
        <w:rPr>
          <w:w w:val="105"/>
          <w:sz w:val="16"/>
        </w:rPr>
        <w:t>XG®</w:t>
      </w:r>
      <w:r>
        <w:rPr>
          <w:spacing w:val="-9"/>
          <w:w w:val="105"/>
          <w:sz w:val="16"/>
        </w:rPr>
        <w:t> </w:t>
      </w:r>
      <w:r>
        <w:rPr>
          <w:w w:val="105"/>
          <w:sz w:val="16"/>
        </w:rPr>
        <w:t>Slim</w:t>
      </w:r>
      <w:r>
        <w:rPr>
          <w:spacing w:val="-9"/>
          <w:w w:val="105"/>
          <w:sz w:val="16"/>
        </w:rPr>
        <w:t> </w:t>
      </w:r>
      <w:r>
        <w:rPr>
          <w:w w:val="105"/>
          <w:sz w:val="16"/>
        </w:rPr>
        <w:t>Glass,</w:t>
      </w:r>
      <w:r>
        <w:rPr>
          <w:spacing w:val="-9"/>
          <w:w w:val="105"/>
          <w:sz w:val="16"/>
        </w:rPr>
        <w:t> </w:t>
      </w:r>
      <w:r>
        <w:rPr>
          <w:w w:val="105"/>
          <w:sz w:val="16"/>
        </w:rPr>
        <w:t>Corning’s</w:t>
      </w:r>
      <w:r>
        <w:rPr>
          <w:spacing w:val="-9"/>
          <w:w w:val="105"/>
          <w:sz w:val="16"/>
        </w:rPr>
        <w:t> </w:t>
      </w:r>
      <w:r>
        <w:rPr>
          <w:w w:val="105"/>
          <w:sz w:val="16"/>
        </w:rPr>
        <w:t>flagship</w:t>
      </w:r>
      <w:r>
        <w:rPr>
          <w:spacing w:val="-9"/>
          <w:w w:val="105"/>
          <w:sz w:val="16"/>
        </w:rPr>
        <w:t> </w:t>
      </w:r>
      <w:r>
        <w:rPr>
          <w:w w:val="105"/>
          <w:sz w:val="16"/>
        </w:rPr>
        <w:t>glass</w:t>
      </w:r>
      <w:r>
        <w:rPr>
          <w:spacing w:val="-9"/>
          <w:w w:val="105"/>
          <w:sz w:val="16"/>
        </w:rPr>
        <w:t> </w:t>
      </w:r>
      <w:r>
        <w:rPr>
          <w:w w:val="105"/>
          <w:sz w:val="16"/>
        </w:rPr>
        <w:t>product</w:t>
      </w:r>
      <w:r>
        <w:rPr>
          <w:spacing w:val="-9"/>
          <w:w w:val="105"/>
          <w:sz w:val="16"/>
        </w:rPr>
        <w:t> </w:t>
      </w:r>
      <w:r>
        <w:rPr>
          <w:w w:val="105"/>
          <w:sz w:val="16"/>
        </w:rPr>
        <w:t>enabling</w:t>
      </w:r>
      <w:r>
        <w:rPr>
          <w:spacing w:val="-9"/>
          <w:w w:val="105"/>
          <w:sz w:val="16"/>
        </w:rPr>
        <w:t> </w:t>
      </w:r>
      <w:r>
        <w:rPr>
          <w:w w:val="105"/>
          <w:sz w:val="16"/>
        </w:rPr>
        <w:t>thinner</w:t>
      </w:r>
      <w:r>
        <w:rPr>
          <w:spacing w:val="-9"/>
          <w:w w:val="105"/>
          <w:sz w:val="16"/>
        </w:rPr>
        <w:t> </w:t>
      </w:r>
      <w:r>
        <w:rPr>
          <w:w w:val="105"/>
          <w:sz w:val="16"/>
        </w:rPr>
        <w:t>televisions</w:t>
      </w:r>
      <w:r>
        <w:rPr>
          <w:spacing w:val="-7"/>
          <w:w w:val="105"/>
          <w:sz w:val="16"/>
        </w:rPr>
        <w:t> </w:t>
      </w:r>
      <w:r>
        <w:rPr>
          <w:w w:val="105"/>
          <w:sz w:val="16"/>
        </w:rPr>
        <w:t>and</w:t>
      </w:r>
      <w:r>
        <w:rPr>
          <w:spacing w:val="-9"/>
          <w:w w:val="105"/>
          <w:sz w:val="16"/>
        </w:rPr>
        <w:t> </w:t>
      </w:r>
      <w:r>
        <w:rPr>
          <w:w w:val="105"/>
          <w:sz w:val="16"/>
        </w:rPr>
        <w:t>monitors</w:t>
      </w:r>
      <w:r>
        <w:rPr>
          <w:spacing w:val="-9"/>
          <w:w w:val="105"/>
          <w:sz w:val="16"/>
        </w:rPr>
        <w:t> </w:t>
      </w:r>
      <w:r>
        <w:rPr>
          <w:w w:val="105"/>
          <w:sz w:val="16"/>
        </w:rPr>
        <w:t>with</w:t>
      </w:r>
      <w:r>
        <w:rPr>
          <w:spacing w:val="-9"/>
          <w:w w:val="105"/>
          <w:sz w:val="16"/>
        </w:rPr>
        <w:t> </w:t>
      </w:r>
      <w:r>
        <w:rPr>
          <w:w w:val="105"/>
          <w:sz w:val="16"/>
        </w:rPr>
        <w:t>larger-sized</w:t>
      </w:r>
      <w:r>
        <w:rPr>
          <w:spacing w:val="-9"/>
          <w:w w:val="105"/>
          <w:sz w:val="16"/>
        </w:rPr>
        <w:t> </w:t>
      </w:r>
      <w:r>
        <w:rPr>
          <w:w w:val="105"/>
          <w:sz w:val="16"/>
        </w:rPr>
        <w:t>screens;</w:t>
      </w:r>
      <w:r>
        <w:rPr>
          <w:spacing w:val="-9"/>
          <w:w w:val="105"/>
          <w:sz w:val="16"/>
        </w:rPr>
        <w:t> </w:t>
      </w:r>
      <w:r>
        <w:rPr>
          <w:w w:val="105"/>
          <w:sz w:val="16"/>
        </w:rPr>
        <w:t>it</w:t>
      </w:r>
      <w:r>
        <w:rPr>
          <w:spacing w:val="-9"/>
          <w:w w:val="105"/>
          <w:sz w:val="16"/>
        </w:rPr>
        <w:t> </w:t>
      </w:r>
      <w:r>
        <w:rPr>
          <w:w w:val="105"/>
          <w:sz w:val="16"/>
        </w:rPr>
        <w:t>is</w:t>
      </w:r>
      <w:r>
        <w:rPr>
          <w:spacing w:val="-9"/>
          <w:w w:val="105"/>
          <w:sz w:val="16"/>
        </w:rPr>
        <w:t> </w:t>
      </w:r>
      <w:r>
        <w:rPr>
          <w:w w:val="105"/>
          <w:sz w:val="16"/>
        </w:rPr>
        <w:t>trusted</w:t>
      </w:r>
      <w:r>
        <w:rPr>
          <w:spacing w:val="-9"/>
          <w:w w:val="105"/>
          <w:sz w:val="16"/>
        </w:rPr>
        <w:t> </w:t>
      </w:r>
      <w:r>
        <w:rPr>
          <w:w w:val="105"/>
          <w:sz w:val="16"/>
        </w:rPr>
        <w:t>by</w:t>
      </w:r>
      <w:r>
        <w:rPr>
          <w:spacing w:val="-9"/>
          <w:w w:val="105"/>
          <w:sz w:val="16"/>
        </w:rPr>
        <w:t> </w:t>
      </w:r>
      <w:r>
        <w:rPr>
          <w:w w:val="105"/>
          <w:sz w:val="16"/>
        </w:rPr>
        <w:t>the</w:t>
      </w:r>
      <w:r>
        <w:rPr>
          <w:spacing w:val="-9"/>
          <w:w w:val="105"/>
          <w:sz w:val="16"/>
        </w:rPr>
        <w:t> </w:t>
      </w:r>
      <w:r>
        <w:rPr>
          <w:w w:val="105"/>
          <w:sz w:val="16"/>
        </w:rPr>
        <w:t>world’s leading panel makers for LCD displays with more than 35 billion square feet sold;</w:t>
      </w:r>
    </w:p>
    <w:p>
      <w:pPr>
        <w:pStyle w:val="ListParagraph"/>
        <w:numPr>
          <w:ilvl w:val="0"/>
          <w:numId w:val="2"/>
        </w:numPr>
        <w:tabs>
          <w:tab w:pos="462" w:val="left" w:leader="none"/>
        </w:tabs>
        <w:spacing w:line="266" w:lineRule="auto" w:before="0" w:after="0"/>
        <w:ind w:left="462" w:right="290" w:hanging="306"/>
        <w:jc w:val="left"/>
        <w:rPr>
          <w:sz w:val="16"/>
        </w:rPr>
      </w:pPr>
      <w:r>
        <w:rPr>
          <w:w w:val="105"/>
          <w:sz w:val="16"/>
        </w:rPr>
        <w:t>Corning</w:t>
      </w:r>
      <w:r>
        <w:rPr>
          <w:spacing w:val="-9"/>
          <w:w w:val="105"/>
          <w:sz w:val="16"/>
        </w:rPr>
        <w:t> </w:t>
      </w:r>
      <w:r>
        <w:rPr>
          <w:w w:val="105"/>
          <w:sz w:val="16"/>
        </w:rPr>
        <w:t>Astra®</w:t>
      </w:r>
      <w:r>
        <w:rPr>
          <w:spacing w:val="-9"/>
          <w:w w:val="105"/>
          <w:sz w:val="16"/>
        </w:rPr>
        <w:t> </w:t>
      </w:r>
      <w:r>
        <w:rPr>
          <w:w w:val="105"/>
          <w:sz w:val="16"/>
        </w:rPr>
        <w:t>Glass,</w:t>
      </w:r>
      <w:r>
        <w:rPr>
          <w:spacing w:val="-9"/>
          <w:w w:val="105"/>
          <w:sz w:val="16"/>
        </w:rPr>
        <w:t> </w:t>
      </w:r>
      <w:r>
        <w:rPr>
          <w:w w:val="105"/>
          <w:sz w:val="16"/>
        </w:rPr>
        <w:t>an</w:t>
      </w:r>
      <w:r>
        <w:rPr>
          <w:spacing w:val="-9"/>
          <w:w w:val="105"/>
          <w:sz w:val="16"/>
        </w:rPr>
        <w:t> </w:t>
      </w:r>
      <w:r>
        <w:rPr>
          <w:w w:val="105"/>
          <w:sz w:val="16"/>
        </w:rPr>
        <w:t>innovative</w:t>
      </w:r>
      <w:r>
        <w:rPr>
          <w:spacing w:val="-9"/>
          <w:w w:val="105"/>
          <w:sz w:val="16"/>
        </w:rPr>
        <w:t> </w:t>
      </w:r>
      <w:r>
        <w:rPr>
          <w:w w:val="105"/>
          <w:sz w:val="16"/>
        </w:rPr>
        <w:t>glass</w:t>
      </w:r>
      <w:r>
        <w:rPr>
          <w:spacing w:val="-9"/>
          <w:w w:val="105"/>
          <w:sz w:val="16"/>
        </w:rPr>
        <w:t> </w:t>
      </w:r>
      <w:r>
        <w:rPr>
          <w:w w:val="105"/>
          <w:sz w:val="16"/>
        </w:rPr>
        <w:t>solution</w:t>
      </w:r>
      <w:r>
        <w:rPr>
          <w:spacing w:val="-9"/>
          <w:w w:val="105"/>
          <w:sz w:val="16"/>
        </w:rPr>
        <w:t> </w:t>
      </w:r>
      <w:r>
        <w:rPr>
          <w:w w:val="105"/>
          <w:sz w:val="16"/>
        </w:rPr>
        <w:t>designed</w:t>
      </w:r>
      <w:r>
        <w:rPr>
          <w:spacing w:val="-9"/>
          <w:w w:val="105"/>
          <w:sz w:val="16"/>
        </w:rPr>
        <w:t> </w:t>
      </w:r>
      <w:r>
        <w:rPr>
          <w:w w:val="105"/>
          <w:sz w:val="16"/>
        </w:rPr>
        <w:t>to</w:t>
      </w:r>
      <w:r>
        <w:rPr>
          <w:spacing w:val="-9"/>
          <w:w w:val="105"/>
          <w:sz w:val="16"/>
        </w:rPr>
        <w:t> </w:t>
      </w:r>
      <w:r>
        <w:rPr>
          <w:w w:val="105"/>
          <w:sz w:val="16"/>
        </w:rPr>
        <w:t>meet</w:t>
      </w:r>
      <w:r>
        <w:rPr>
          <w:spacing w:val="-9"/>
          <w:w w:val="105"/>
          <w:sz w:val="16"/>
        </w:rPr>
        <w:t> </w:t>
      </w:r>
      <w:r>
        <w:rPr>
          <w:w w:val="105"/>
          <w:sz w:val="16"/>
        </w:rPr>
        <w:t>the</w:t>
      </w:r>
      <w:r>
        <w:rPr>
          <w:spacing w:val="-7"/>
          <w:w w:val="105"/>
          <w:sz w:val="16"/>
        </w:rPr>
        <w:t> </w:t>
      </w:r>
      <w:r>
        <w:rPr>
          <w:w w:val="105"/>
          <w:sz w:val="16"/>
        </w:rPr>
        <w:t>emerging</w:t>
      </w:r>
      <w:r>
        <w:rPr>
          <w:spacing w:val="-9"/>
          <w:w w:val="105"/>
          <w:sz w:val="16"/>
        </w:rPr>
        <w:t> </w:t>
      </w:r>
      <w:r>
        <w:rPr>
          <w:w w:val="105"/>
          <w:sz w:val="16"/>
        </w:rPr>
        <w:t>needs</w:t>
      </w:r>
      <w:r>
        <w:rPr>
          <w:spacing w:val="-9"/>
          <w:w w:val="105"/>
          <w:sz w:val="16"/>
        </w:rPr>
        <w:t> </w:t>
      </w:r>
      <w:r>
        <w:rPr>
          <w:w w:val="105"/>
          <w:sz w:val="16"/>
        </w:rPr>
        <w:t>for</w:t>
      </w:r>
      <w:r>
        <w:rPr>
          <w:spacing w:val="-9"/>
          <w:w w:val="105"/>
          <w:sz w:val="16"/>
        </w:rPr>
        <w:t> </w:t>
      </w:r>
      <w:r>
        <w:rPr>
          <w:w w:val="105"/>
          <w:sz w:val="16"/>
        </w:rPr>
        <w:t>high-resolution</w:t>
      </w:r>
      <w:r>
        <w:rPr>
          <w:spacing w:val="-9"/>
          <w:w w:val="105"/>
          <w:sz w:val="16"/>
        </w:rPr>
        <w:t> </w:t>
      </w:r>
      <w:r>
        <w:rPr>
          <w:w w:val="105"/>
          <w:sz w:val="16"/>
        </w:rPr>
        <w:t>displays.</w:t>
      </w:r>
      <w:r>
        <w:rPr>
          <w:spacing w:val="-9"/>
          <w:w w:val="105"/>
          <w:sz w:val="16"/>
        </w:rPr>
        <w:t> </w:t>
      </w:r>
      <w:r>
        <w:rPr>
          <w:w w:val="105"/>
          <w:sz w:val="16"/>
        </w:rPr>
        <w:t>This</w:t>
      </w:r>
      <w:r>
        <w:rPr>
          <w:spacing w:val="-9"/>
          <w:w w:val="105"/>
          <w:sz w:val="16"/>
        </w:rPr>
        <w:t> </w:t>
      </w:r>
      <w:r>
        <w:rPr>
          <w:w w:val="105"/>
          <w:sz w:val="16"/>
        </w:rPr>
        <w:t>glass</w:t>
      </w:r>
      <w:r>
        <w:rPr>
          <w:spacing w:val="-9"/>
          <w:w w:val="105"/>
          <w:sz w:val="16"/>
        </w:rPr>
        <w:t> </w:t>
      </w:r>
      <w:r>
        <w:rPr>
          <w:w w:val="105"/>
          <w:sz w:val="16"/>
        </w:rPr>
        <w:t>is</w:t>
      </w:r>
      <w:r>
        <w:rPr>
          <w:spacing w:val="-9"/>
          <w:w w:val="105"/>
          <w:sz w:val="16"/>
        </w:rPr>
        <w:t> </w:t>
      </w:r>
      <w:r>
        <w:rPr>
          <w:w w:val="105"/>
          <w:sz w:val="16"/>
        </w:rPr>
        <w:t>designed</w:t>
      </w:r>
      <w:r>
        <w:rPr>
          <w:spacing w:val="-7"/>
          <w:w w:val="105"/>
          <w:sz w:val="16"/>
        </w:rPr>
        <w:t> </w:t>
      </w:r>
      <w:r>
        <w:rPr>
          <w:w w:val="105"/>
          <w:sz w:val="16"/>
        </w:rPr>
        <w:t>for</w:t>
      </w:r>
      <w:r>
        <w:rPr>
          <w:spacing w:val="-9"/>
          <w:w w:val="105"/>
          <w:sz w:val="16"/>
        </w:rPr>
        <w:t> </w:t>
      </w:r>
      <w:r>
        <w:rPr>
          <w:w w:val="105"/>
          <w:sz w:val="16"/>
        </w:rPr>
        <w:t>oxide</w:t>
      </w:r>
      <w:r>
        <w:rPr>
          <w:spacing w:val="-9"/>
          <w:w w:val="105"/>
          <w:sz w:val="16"/>
        </w:rPr>
        <w:t> </w:t>
      </w:r>
      <w:r>
        <w:rPr>
          <w:w w:val="105"/>
          <w:sz w:val="16"/>
        </w:rPr>
        <w:t>backplanes,</w:t>
      </w:r>
      <w:r>
        <w:rPr>
          <w:spacing w:val="-9"/>
          <w:w w:val="105"/>
          <w:sz w:val="16"/>
        </w:rPr>
        <w:t> </w:t>
      </w:r>
      <w:r>
        <w:rPr>
          <w:w w:val="105"/>
          <w:sz w:val="16"/>
        </w:rPr>
        <w:t>but enables a range of applications made using traditional aluminosilicate to specific low temperature polysilicon processes;</w:t>
      </w:r>
    </w:p>
    <w:p>
      <w:pPr>
        <w:pStyle w:val="ListParagraph"/>
        <w:numPr>
          <w:ilvl w:val="0"/>
          <w:numId w:val="2"/>
        </w:numPr>
        <w:tabs>
          <w:tab w:pos="462" w:val="left" w:leader="none"/>
        </w:tabs>
        <w:spacing w:line="266" w:lineRule="auto" w:before="0" w:after="0"/>
        <w:ind w:left="462" w:right="187" w:hanging="306"/>
        <w:jc w:val="left"/>
        <w:rPr>
          <w:sz w:val="16"/>
        </w:rPr>
      </w:pPr>
      <w:r>
        <w:rPr>
          <w:w w:val="105"/>
          <w:sz w:val="16"/>
        </w:rPr>
        <w:t>Corning</w:t>
      </w:r>
      <w:r>
        <w:rPr>
          <w:spacing w:val="-11"/>
          <w:w w:val="105"/>
          <w:sz w:val="16"/>
        </w:rPr>
        <w:t> </w:t>
      </w:r>
      <w:r>
        <w:rPr>
          <w:w w:val="105"/>
          <w:sz w:val="16"/>
        </w:rPr>
        <w:t>Lotus™</w:t>
      </w:r>
      <w:r>
        <w:rPr>
          <w:spacing w:val="-10"/>
          <w:w w:val="105"/>
          <w:sz w:val="16"/>
        </w:rPr>
        <w:t> </w:t>
      </w:r>
      <w:r>
        <w:rPr>
          <w:w w:val="105"/>
          <w:sz w:val="16"/>
        </w:rPr>
        <w:t>NXT</w:t>
      </w:r>
      <w:r>
        <w:rPr>
          <w:spacing w:val="-11"/>
          <w:w w:val="105"/>
          <w:sz w:val="16"/>
        </w:rPr>
        <w:t> </w:t>
      </w:r>
      <w:r>
        <w:rPr>
          <w:w w:val="105"/>
          <w:sz w:val="16"/>
        </w:rPr>
        <w:t>Glass,</w:t>
      </w:r>
      <w:r>
        <w:rPr>
          <w:spacing w:val="-10"/>
          <w:w w:val="105"/>
          <w:sz w:val="16"/>
        </w:rPr>
        <w:t> </w:t>
      </w:r>
      <w:r>
        <w:rPr>
          <w:w w:val="105"/>
          <w:sz w:val="16"/>
        </w:rPr>
        <w:t>a</w:t>
      </w:r>
      <w:r>
        <w:rPr>
          <w:spacing w:val="-11"/>
          <w:w w:val="105"/>
          <w:sz w:val="16"/>
        </w:rPr>
        <w:t> </w:t>
      </w:r>
      <w:r>
        <w:rPr>
          <w:w w:val="105"/>
          <w:sz w:val="16"/>
        </w:rPr>
        <w:t>high-performance</w:t>
      </w:r>
      <w:r>
        <w:rPr>
          <w:spacing w:val="-10"/>
          <w:w w:val="105"/>
          <w:sz w:val="16"/>
        </w:rPr>
        <w:t> </w:t>
      </w:r>
      <w:r>
        <w:rPr>
          <w:w w:val="105"/>
          <w:sz w:val="16"/>
        </w:rPr>
        <w:t>display</w:t>
      </w:r>
      <w:r>
        <w:rPr>
          <w:spacing w:val="-11"/>
          <w:w w:val="105"/>
          <w:sz w:val="16"/>
        </w:rPr>
        <w:t> </w:t>
      </w:r>
      <w:r>
        <w:rPr>
          <w:w w:val="105"/>
          <w:sz w:val="16"/>
        </w:rPr>
        <w:t>glass</w:t>
      </w:r>
      <w:r>
        <w:rPr>
          <w:spacing w:val="-10"/>
          <w:w w:val="105"/>
          <w:sz w:val="16"/>
        </w:rPr>
        <w:t> </w:t>
      </w:r>
      <w:r>
        <w:rPr>
          <w:w w:val="105"/>
          <w:sz w:val="16"/>
        </w:rPr>
        <w:t>designed</w:t>
      </w:r>
      <w:r>
        <w:rPr>
          <w:spacing w:val="-11"/>
          <w:w w:val="105"/>
          <w:sz w:val="16"/>
        </w:rPr>
        <w:t> </w:t>
      </w:r>
      <w:r>
        <w:rPr>
          <w:w w:val="105"/>
          <w:sz w:val="16"/>
        </w:rPr>
        <w:t>to</w:t>
      </w:r>
      <w:r>
        <w:rPr>
          <w:spacing w:val="-10"/>
          <w:w w:val="105"/>
          <w:sz w:val="16"/>
        </w:rPr>
        <w:t> </w:t>
      </w:r>
      <w:r>
        <w:rPr>
          <w:w w:val="105"/>
          <w:sz w:val="16"/>
        </w:rPr>
        <w:t>withstand</w:t>
      </w:r>
      <w:r>
        <w:rPr>
          <w:spacing w:val="-11"/>
          <w:w w:val="105"/>
          <w:sz w:val="16"/>
        </w:rPr>
        <w:t> </w:t>
      </w:r>
      <w:r>
        <w:rPr>
          <w:w w:val="105"/>
          <w:sz w:val="16"/>
        </w:rPr>
        <w:t>high-temperature</w:t>
      </w:r>
      <w:r>
        <w:rPr>
          <w:spacing w:val="-10"/>
          <w:w w:val="105"/>
          <w:sz w:val="16"/>
        </w:rPr>
        <w:t> </w:t>
      </w:r>
      <w:r>
        <w:rPr>
          <w:w w:val="105"/>
          <w:sz w:val="16"/>
        </w:rPr>
        <w:t>processing</w:t>
      </w:r>
      <w:r>
        <w:rPr>
          <w:spacing w:val="-11"/>
          <w:w w:val="105"/>
          <w:sz w:val="16"/>
        </w:rPr>
        <w:t> </w:t>
      </w:r>
      <w:r>
        <w:rPr>
          <w:w w:val="105"/>
          <w:sz w:val="16"/>
        </w:rPr>
        <w:t>requirements</w:t>
      </w:r>
      <w:r>
        <w:rPr>
          <w:spacing w:val="-10"/>
          <w:w w:val="105"/>
          <w:sz w:val="16"/>
        </w:rPr>
        <w:t> </w:t>
      </w:r>
      <w:r>
        <w:rPr>
          <w:w w:val="105"/>
          <w:sz w:val="16"/>
        </w:rPr>
        <w:t>enabling</w:t>
      </w:r>
      <w:r>
        <w:rPr>
          <w:spacing w:val="-11"/>
          <w:w w:val="105"/>
          <w:sz w:val="16"/>
        </w:rPr>
        <w:t> </w:t>
      </w:r>
      <w:r>
        <w:rPr>
          <w:w w:val="105"/>
          <w:sz w:val="16"/>
        </w:rPr>
        <w:t>highest-resolution</w:t>
      </w:r>
      <w:r>
        <w:rPr>
          <w:spacing w:val="-10"/>
          <w:w w:val="105"/>
          <w:sz w:val="16"/>
        </w:rPr>
        <w:t> </w:t>
      </w:r>
      <w:r>
        <w:rPr>
          <w:w w:val="105"/>
          <w:sz w:val="16"/>
        </w:rPr>
        <w:t>displays</w:t>
      </w:r>
      <w:r>
        <w:rPr>
          <w:spacing w:val="-11"/>
          <w:w w:val="105"/>
          <w:sz w:val="16"/>
        </w:rPr>
        <w:t> </w:t>
      </w:r>
      <w:r>
        <w:rPr>
          <w:w w:val="105"/>
          <w:sz w:val="16"/>
        </w:rPr>
        <w:t>in smaller and flexible devices; and</w:t>
      </w:r>
    </w:p>
    <w:p>
      <w:pPr>
        <w:pStyle w:val="ListParagraph"/>
        <w:numPr>
          <w:ilvl w:val="0"/>
          <w:numId w:val="2"/>
        </w:numPr>
        <w:tabs>
          <w:tab w:pos="462" w:val="left" w:leader="none"/>
        </w:tabs>
        <w:spacing w:line="183" w:lineRule="exact" w:before="0" w:after="0"/>
        <w:ind w:left="462" w:right="0" w:hanging="306"/>
        <w:jc w:val="left"/>
        <w:rPr>
          <w:sz w:val="16"/>
        </w:rPr>
      </w:pPr>
      <w:r>
        <w:rPr>
          <w:w w:val="105"/>
          <w:sz w:val="16"/>
        </w:rPr>
        <w:t>The</w:t>
      </w:r>
      <w:r>
        <w:rPr>
          <w:spacing w:val="-9"/>
          <w:w w:val="105"/>
          <w:sz w:val="16"/>
        </w:rPr>
        <w:t> </w:t>
      </w:r>
      <w:r>
        <w:rPr>
          <w:w w:val="105"/>
          <w:sz w:val="16"/>
        </w:rPr>
        <w:t>world’s</w:t>
      </w:r>
      <w:r>
        <w:rPr>
          <w:spacing w:val="-9"/>
          <w:w w:val="105"/>
          <w:sz w:val="16"/>
        </w:rPr>
        <w:t> </w:t>
      </w:r>
      <w:r>
        <w:rPr>
          <w:w w:val="105"/>
          <w:sz w:val="16"/>
        </w:rPr>
        <w:t>first</w:t>
      </w:r>
      <w:r>
        <w:rPr>
          <w:spacing w:val="-9"/>
          <w:w w:val="105"/>
          <w:sz w:val="16"/>
        </w:rPr>
        <w:t> </w:t>
      </w:r>
      <w:r>
        <w:rPr>
          <w:w w:val="105"/>
          <w:sz w:val="16"/>
        </w:rPr>
        <w:t>Gen</w:t>
      </w:r>
      <w:r>
        <w:rPr>
          <w:spacing w:val="-9"/>
          <w:w w:val="105"/>
          <w:sz w:val="16"/>
        </w:rPr>
        <w:t> </w:t>
      </w:r>
      <w:r>
        <w:rPr>
          <w:w w:val="105"/>
          <w:sz w:val="16"/>
        </w:rPr>
        <w:t>10</w:t>
      </w:r>
      <w:r>
        <w:rPr>
          <w:spacing w:val="-9"/>
          <w:w w:val="105"/>
          <w:sz w:val="16"/>
        </w:rPr>
        <w:t> </w:t>
      </w:r>
      <w:r>
        <w:rPr>
          <w:w w:val="105"/>
          <w:sz w:val="16"/>
        </w:rPr>
        <w:t>and</w:t>
      </w:r>
      <w:r>
        <w:rPr>
          <w:spacing w:val="-9"/>
          <w:w w:val="105"/>
          <w:sz w:val="16"/>
        </w:rPr>
        <w:t> </w:t>
      </w:r>
      <w:r>
        <w:rPr>
          <w:w w:val="105"/>
          <w:sz w:val="16"/>
        </w:rPr>
        <w:t>Gen</w:t>
      </w:r>
      <w:r>
        <w:rPr>
          <w:spacing w:val="-9"/>
          <w:w w:val="105"/>
          <w:sz w:val="16"/>
        </w:rPr>
        <w:t> </w:t>
      </w:r>
      <w:r>
        <w:rPr>
          <w:w w:val="105"/>
          <w:sz w:val="16"/>
        </w:rPr>
        <w:t>10.5</w:t>
      </w:r>
      <w:r>
        <w:rPr>
          <w:spacing w:val="-9"/>
          <w:w w:val="105"/>
          <w:sz w:val="16"/>
        </w:rPr>
        <w:t> </w:t>
      </w:r>
      <w:r>
        <w:rPr>
          <w:w w:val="105"/>
          <w:sz w:val="16"/>
        </w:rPr>
        <w:t>glass</w:t>
      </w:r>
      <w:r>
        <w:rPr>
          <w:spacing w:val="-9"/>
          <w:w w:val="105"/>
          <w:sz w:val="16"/>
        </w:rPr>
        <w:t> </w:t>
      </w:r>
      <w:r>
        <w:rPr>
          <w:w w:val="105"/>
          <w:sz w:val="16"/>
        </w:rPr>
        <w:t>substrate</w:t>
      </w:r>
      <w:r>
        <w:rPr>
          <w:spacing w:val="-9"/>
          <w:w w:val="105"/>
          <w:sz w:val="16"/>
        </w:rPr>
        <w:t> </w:t>
      </w:r>
      <w:r>
        <w:rPr>
          <w:w w:val="105"/>
          <w:sz w:val="16"/>
        </w:rPr>
        <w:t>sizes</w:t>
      </w:r>
      <w:r>
        <w:rPr>
          <w:spacing w:val="-9"/>
          <w:w w:val="105"/>
          <w:sz w:val="16"/>
        </w:rPr>
        <w:t> </w:t>
      </w:r>
      <w:r>
        <w:rPr>
          <w:w w:val="105"/>
          <w:sz w:val="16"/>
        </w:rPr>
        <w:t>in</w:t>
      </w:r>
      <w:r>
        <w:rPr>
          <w:spacing w:val="-9"/>
          <w:w w:val="105"/>
          <w:sz w:val="16"/>
        </w:rPr>
        <w:t> </w:t>
      </w:r>
      <w:r>
        <w:rPr>
          <w:w w:val="105"/>
          <w:sz w:val="16"/>
        </w:rPr>
        <w:t>support</w:t>
      </w:r>
      <w:r>
        <w:rPr>
          <w:spacing w:val="-9"/>
          <w:w w:val="105"/>
          <w:sz w:val="16"/>
        </w:rPr>
        <w:t> </w:t>
      </w:r>
      <w:r>
        <w:rPr>
          <w:w w:val="105"/>
          <w:sz w:val="16"/>
        </w:rPr>
        <w:t>of</w:t>
      </w:r>
      <w:r>
        <w:rPr>
          <w:spacing w:val="-9"/>
          <w:w w:val="105"/>
          <w:sz w:val="16"/>
        </w:rPr>
        <w:t> </w:t>
      </w:r>
      <w:r>
        <w:rPr>
          <w:w w:val="105"/>
          <w:sz w:val="16"/>
        </w:rPr>
        <w:t>improved</w:t>
      </w:r>
      <w:r>
        <w:rPr>
          <w:spacing w:val="-9"/>
          <w:w w:val="105"/>
          <w:sz w:val="16"/>
        </w:rPr>
        <w:t> </w:t>
      </w:r>
      <w:r>
        <w:rPr>
          <w:w w:val="105"/>
          <w:sz w:val="16"/>
        </w:rPr>
        <w:t>efficiency</w:t>
      </w:r>
      <w:r>
        <w:rPr>
          <w:spacing w:val="-9"/>
          <w:w w:val="105"/>
          <w:sz w:val="16"/>
        </w:rPr>
        <w:t> </w:t>
      </w:r>
      <w:r>
        <w:rPr>
          <w:w w:val="105"/>
          <w:sz w:val="16"/>
        </w:rPr>
        <w:t>in</w:t>
      </w:r>
      <w:r>
        <w:rPr>
          <w:spacing w:val="-9"/>
          <w:w w:val="105"/>
          <w:sz w:val="16"/>
        </w:rPr>
        <w:t> </w:t>
      </w:r>
      <w:r>
        <w:rPr>
          <w:w w:val="105"/>
          <w:sz w:val="16"/>
        </w:rPr>
        <w:t>manufacturing</w:t>
      </w:r>
      <w:r>
        <w:rPr>
          <w:spacing w:val="-9"/>
          <w:w w:val="105"/>
          <w:sz w:val="16"/>
        </w:rPr>
        <w:t> </w:t>
      </w:r>
      <w:r>
        <w:rPr>
          <w:w w:val="105"/>
          <w:sz w:val="16"/>
        </w:rPr>
        <w:t>large-sized</w:t>
      </w:r>
      <w:r>
        <w:rPr>
          <w:spacing w:val="-8"/>
          <w:w w:val="105"/>
          <w:sz w:val="16"/>
        </w:rPr>
        <w:t> </w:t>
      </w:r>
      <w:r>
        <w:rPr>
          <w:spacing w:val="-2"/>
          <w:w w:val="105"/>
          <w:sz w:val="16"/>
        </w:rPr>
        <w:t>displays.</w:t>
      </w:r>
    </w:p>
    <w:p>
      <w:pPr>
        <w:pStyle w:val="BodyText"/>
        <w:spacing w:before="38"/>
      </w:pPr>
    </w:p>
    <w:p>
      <w:pPr>
        <w:pStyle w:val="BodyText"/>
        <w:spacing w:line="266" w:lineRule="auto"/>
        <w:ind w:left="156"/>
      </w:pPr>
      <w:r>
        <w:rPr>
          <w:w w:val="105"/>
        </w:rPr>
        <w:t>Corning</w:t>
      </w:r>
      <w:r>
        <w:rPr>
          <w:spacing w:val="-9"/>
          <w:w w:val="105"/>
        </w:rPr>
        <w:t> </w:t>
      </w:r>
      <w:r>
        <w:rPr>
          <w:w w:val="105"/>
        </w:rPr>
        <w:t>has</w:t>
      </w:r>
      <w:r>
        <w:rPr>
          <w:spacing w:val="-9"/>
          <w:w w:val="105"/>
        </w:rPr>
        <w:t> </w:t>
      </w:r>
      <w:r>
        <w:rPr>
          <w:w w:val="105"/>
        </w:rPr>
        <w:t>display</w:t>
      </w:r>
      <w:r>
        <w:rPr>
          <w:spacing w:val="-9"/>
          <w:w w:val="105"/>
        </w:rPr>
        <w:t> </w:t>
      </w:r>
      <w:r>
        <w:rPr>
          <w:w w:val="105"/>
        </w:rPr>
        <w:t>glass</w:t>
      </w:r>
      <w:r>
        <w:rPr>
          <w:spacing w:val="-9"/>
          <w:w w:val="105"/>
        </w:rPr>
        <w:t> </w:t>
      </w:r>
      <w:r>
        <w:rPr>
          <w:w w:val="105"/>
        </w:rPr>
        <w:t>manufacturing</w:t>
      </w:r>
      <w:r>
        <w:rPr>
          <w:spacing w:val="-9"/>
          <w:w w:val="105"/>
        </w:rPr>
        <w:t> </w:t>
      </w:r>
      <w:r>
        <w:rPr>
          <w:w w:val="105"/>
        </w:rPr>
        <w:t>operations</w:t>
      </w:r>
      <w:r>
        <w:rPr>
          <w:spacing w:val="-9"/>
          <w:w w:val="105"/>
        </w:rPr>
        <w:t> </w:t>
      </w:r>
      <w:r>
        <w:rPr>
          <w:w w:val="105"/>
        </w:rPr>
        <w:t>in</w:t>
      </w:r>
      <w:r>
        <w:rPr>
          <w:spacing w:val="-9"/>
          <w:w w:val="105"/>
        </w:rPr>
        <w:t> </w:t>
      </w:r>
      <w:r>
        <w:rPr>
          <w:w w:val="105"/>
        </w:rPr>
        <w:t>China,</w:t>
      </w:r>
      <w:r>
        <w:rPr>
          <w:spacing w:val="-9"/>
          <w:w w:val="105"/>
        </w:rPr>
        <w:t> </w:t>
      </w:r>
      <w:r>
        <w:rPr>
          <w:w w:val="105"/>
        </w:rPr>
        <w:t>South</w:t>
      </w:r>
      <w:r>
        <w:rPr>
          <w:spacing w:val="-9"/>
          <w:w w:val="105"/>
        </w:rPr>
        <w:t> </w:t>
      </w:r>
      <w:r>
        <w:rPr>
          <w:w w:val="105"/>
        </w:rPr>
        <w:t>Korea,</w:t>
      </w:r>
      <w:r>
        <w:rPr>
          <w:spacing w:val="-9"/>
          <w:w w:val="105"/>
        </w:rPr>
        <w:t> </w:t>
      </w:r>
      <w:r>
        <w:rPr>
          <w:w w:val="105"/>
        </w:rPr>
        <w:t>Japan</w:t>
      </w:r>
      <w:r>
        <w:rPr>
          <w:spacing w:val="-9"/>
          <w:w w:val="105"/>
        </w:rPr>
        <w:t> </w:t>
      </w:r>
      <w:r>
        <w:rPr>
          <w:w w:val="105"/>
        </w:rPr>
        <w:t>and</w:t>
      </w:r>
      <w:r>
        <w:rPr>
          <w:spacing w:val="-9"/>
          <w:w w:val="105"/>
        </w:rPr>
        <w:t> </w:t>
      </w:r>
      <w:r>
        <w:rPr>
          <w:w w:val="105"/>
        </w:rPr>
        <w:t>Taiwan,</w:t>
      </w:r>
      <w:r>
        <w:rPr>
          <w:spacing w:val="-9"/>
          <w:w w:val="105"/>
        </w:rPr>
        <w:t> </w:t>
      </w:r>
      <w:r>
        <w:rPr>
          <w:w w:val="105"/>
        </w:rPr>
        <w:t>and</w:t>
      </w:r>
      <w:r>
        <w:rPr>
          <w:spacing w:val="-9"/>
          <w:w w:val="105"/>
        </w:rPr>
        <w:t> </w:t>
      </w:r>
      <w:r>
        <w:rPr>
          <w:w w:val="105"/>
        </w:rPr>
        <w:t>services</w:t>
      </w:r>
      <w:r>
        <w:rPr>
          <w:spacing w:val="-9"/>
          <w:w w:val="105"/>
        </w:rPr>
        <w:t> </w:t>
      </w:r>
      <w:r>
        <w:rPr>
          <w:w w:val="105"/>
        </w:rPr>
        <w:t>its</w:t>
      </w:r>
      <w:r>
        <w:rPr>
          <w:spacing w:val="-9"/>
          <w:w w:val="105"/>
        </w:rPr>
        <w:t> </w:t>
      </w:r>
      <w:r>
        <w:rPr>
          <w:w w:val="105"/>
        </w:rPr>
        <w:t>glass</w:t>
      </w:r>
      <w:r>
        <w:rPr>
          <w:spacing w:val="-9"/>
          <w:w w:val="105"/>
        </w:rPr>
        <w:t> </w:t>
      </w:r>
      <w:r>
        <w:rPr>
          <w:w w:val="105"/>
        </w:rPr>
        <w:t>customers</w:t>
      </w:r>
      <w:r>
        <w:rPr>
          <w:spacing w:val="-9"/>
          <w:w w:val="105"/>
        </w:rPr>
        <w:t> </w:t>
      </w:r>
      <w:r>
        <w:rPr>
          <w:w w:val="105"/>
        </w:rPr>
        <w:t>in</w:t>
      </w:r>
      <w:r>
        <w:rPr>
          <w:spacing w:val="-9"/>
          <w:w w:val="105"/>
        </w:rPr>
        <w:t> </w:t>
      </w:r>
      <w:r>
        <w:rPr>
          <w:w w:val="105"/>
        </w:rPr>
        <w:t>all</w:t>
      </w:r>
      <w:r>
        <w:rPr>
          <w:spacing w:val="-9"/>
          <w:w w:val="105"/>
        </w:rPr>
        <w:t> </w:t>
      </w:r>
      <w:r>
        <w:rPr>
          <w:w w:val="105"/>
        </w:rPr>
        <w:t>regions,</w:t>
      </w:r>
      <w:r>
        <w:rPr>
          <w:spacing w:val="-9"/>
          <w:w w:val="105"/>
        </w:rPr>
        <w:t> </w:t>
      </w:r>
      <w:r>
        <w:rPr>
          <w:w w:val="105"/>
        </w:rPr>
        <w:t>utilizing</w:t>
      </w:r>
      <w:r>
        <w:rPr>
          <w:spacing w:val="-9"/>
          <w:w w:val="105"/>
        </w:rPr>
        <w:t> </w:t>
      </w:r>
      <w:r>
        <w:rPr>
          <w:w w:val="105"/>
        </w:rPr>
        <w:t>its</w:t>
      </w:r>
      <w:r>
        <w:rPr>
          <w:spacing w:val="-9"/>
          <w:w w:val="105"/>
        </w:rPr>
        <w:t> </w:t>
      </w:r>
      <w:r>
        <w:rPr>
          <w:w w:val="105"/>
        </w:rPr>
        <w:t>manufacturing facilities throughout Asia.</w:t>
      </w:r>
    </w:p>
    <w:p>
      <w:pPr>
        <w:pStyle w:val="BodyText"/>
        <w:spacing w:before="19"/>
      </w:pPr>
    </w:p>
    <w:p>
      <w:pPr>
        <w:pStyle w:val="BodyText"/>
        <w:spacing w:line="266" w:lineRule="auto"/>
        <w:ind w:left="156"/>
      </w:pPr>
      <w:r>
        <w:rPr>
          <w:w w:val="105"/>
        </w:rPr>
        <w:t>Patent</w:t>
      </w:r>
      <w:r>
        <w:rPr>
          <w:spacing w:val="-9"/>
          <w:w w:val="105"/>
        </w:rPr>
        <w:t> </w:t>
      </w:r>
      <w:r>
        <w:rPr>
          <w:w w:val="105"/>
        </w:rPr>
        <w:t>protection</w:t>
      </w:r>
      <w:r>
        <w:rPr>
          <w:spacing w:val="-9"/>
          <w:w w:val="105"/>
        </w:rPr>
        <w:t> </w:t>
      </w:r>
      <w:r>
        <w:rPr>
          <w:w w:val="105"/>
        </w:rPr>
        <w:t>and</w:t>
      </w:r>
      <w:r>
        <w:rPr>
          <w:spacing w:val="-9"/>
          <w:w w:val="105"/>
        </w:rPr>
        <w:t> </w:t>
      </w:r>
      <w:r>
        <w:rPr>
          <w:w w:val="105"/>
        </w:rPr>
        <w:t>proprietary</w:t>
      </w:r>
      <w:r>
        <w:rPr>
          <w:spacing w:val="-9"/>
          <w:w w:val="105"/>
        </w:rPr>
        <w:t> </w:t>
      </w:r>
      <w:r>
        <w:rPr>
          <w:w w:val="105"/>
        </w:rPr>
        <w:t>trade</w:t>
      </w:r>
      <w:r>
        <w:rPr>
          <w:spacing w:val="-9"/>
          <w:w w:val="105"/>
        </w:rPr>
        <w:t> </w:t>
      </w:r>
      <w:r>
        <w:rPr>
          <w:w w:val="105"/>
        </w:rPr>
        <w:t>secrets</w:t>
      </w:r>
      <w:r>
        <w:rPr>
          <w:spacing w:val="-9"/>
          <w:w w:val="105"/>
        </w:rPr>
        <w:t> </w:t>
      </w:r>
      <w:r>
        <w:rPr>
          <w:w w:val="105"/>
        </w:rPr>
        <w:t>are</w:t>
      </w:r>
      <w:r>
        <w:rPr>
          <w:spacing w:val="-9"/>
          <w:w w:val="105"/>
        </w:rPr>
        <w:t> </w:t>
      </w:r>
      <w:r>
        <w:rPr>
          <w:w w:val="105"/>
        </w:rPr>
        <w:t>important</w:t>
      </w:r>
      <w:r>
        <w:rPr>
          <w:spacing w:val="-9"/>
          <w:w w:val="105"/>
        </w:rPr>
        <w:t> </w:t>
      </w:r>
      <w:r>
        <w:rPr>
          <w:w w:val="105"/>
        </w:rPr>
        <w:t>to</w:t>
      </w:r>
      <w:r>
        <w:rPr>
          <w:spacing w:val="-9"/>
          <w:w w:val="105"/>
        </w:rPr>
        <w:t> </w:t>
      </w:r>
      <w:r>
        <w:rPr>
          <w:w w:val="105"/>
        </w:rPr>
        <w:t>the</w:t>
      </w:r>
      <w:r>
        <w:rPr>
          <w:spacing w:val="-9"/>
          <w:w w:val="105"/>
        </w:rPr>
        <w:t> </w:t>
      </w:r>
      <w:r>
        <w:rPr>
          <w:w w:val="105"/>
        </w:rPr>
        <w:t>Display</w:t>
      </w:r>
      <w:r>
        <w:rPr>
          <w:spacing w:val="-9"/>
          <w:w w:val="105"/>
        </w:rPr>
        <w:t> </w:t>
      </w:r>
      <w:r>
        <w:rPr>
          <w:w w:val="105"/>
        </w:rPr>
        <w:t>Technologies</w:t>
      </w:r>
      <w:r>
        <w:rPr>
          <w:spacing w:val="-9"/>
          <w:w w:val="105"/>
        </w:rPr>
        <w:t> </w:t>
      </w:r>
      <w:r>
        <w:rPr>
          <w:w w:val="105"/>
        </w:rPr>
        <w:t>segment’s</w:t>
      </w:r>
      <w:r>
        <w:rPr>
          <w:spacing w:val="-9"/>
          <w:w w:val="105"/>
        </w:rPr>
        <w:t> </w:t>
      </w:r>
      <w:r>
        <w:rPr>
          <w:w w:val="105"/>
        </w:rPr>
        <w:t>operations.</w:t>
      </w:r>
      <w:r>
        <w:rPr>
          <w:spacing w:val="-9"/>
          <w:w w:val="105"/>
        </w:rPr>
        <w:t> </w:t>
      </w:r>
      <w:r>
        <w:rPr>
          <w:w w:val="105"/>
        </w:rPr>
        <w:t>Refer</w:t>
      </w:r>
      <w:r>
        <w:rPr>
          <w:spacing w:val="-9"/>
          <w:w w:val="105"/>
        </w:rPr>
        <w:t> </w:t>
      </w:r>
      <w:r>
        <w:rPr>
          <w:w w:val="105"/>
        </w:rPr>
        <w:t>to</w:t>
      </w:r>
      <w:r>
        <w:rPr>
          <w:spacing w:val="-9"/>
          <w:w w:val="105"/>
        </w:rPr>
        <w:t> </w:t>
      </w:r>
      <w:r>
        <w:rPr>
          <w:w w:val="105"/>
        </w:rPr>
        <w:t>the</w:t>
      </w:r>
      <w:r>
        <w:rPr>
          <w:spacing w:val="-9"/>
          <w:w w:val="105"/>
        </w:rPr>
        <w:t> </w:t>
      </w:r>
      <w:r>
        <w:rPr>
          <w:w w:val="105"/>
        </w:rPr>
        <w:t>material</w:t>
      </w:r>
      <w:r>
        <w:rPr>
          <w:spacing w:val="-9"/>
          <w:w w:val="105"/>
        </w:rPr>
        <w:t> </w:t>
      </w:r>
      <w:r>
        <w:rPr>
          <w:w w:val="105"/>
        </w:rPr>
        <w:t>under</w:t>
      </w:r>
      <w:r>
        <w:rPr>
          <w:spacing w:val="-9"/>
          <w:w w:val="105"/>
        </w:rPr>
        <w:t> </w:t>
      </w:r>
      <w:r>
        <w:rPr>
          <w:w w:val="105"/>
        </w:rPr>
        <w:t>the</w:t>
      </w:r>
      <w:r>
        <w:rPr>
          <w:spacing w:val="-9"/>
          <w:w w:val="105"/>
        </w:rPr>
        <w:t> </w:t>
      </w:r>
      <w:r>
        <w:rPr>
          <w:w w:val="105"/>
        </w:rPr>
        <w:t>heading</w:t>
      </w:r>
      <w:r>
        <w:rPr>
          <w:spacing w:val="-9"/>
          <w:w w:val="105"/>
        </w:rPr>
        <w:t> </w:t>
      </w:r>
      <w:r>
        <w:rPr>
          <w:w w:val="105"/>
        </w:rPr>
        <w:t>“Patents</w:t>
      </w:r>
      <w:r>
        <w:rPr>
          <w:spacing w:val="-9"/>
          <w:w w:val="105"/>
        </w:rPr>
        <w:t> </w:t>
      </w:r>
      <w:r>
        <w:rPr>
          <w:w w:val="105"/>
        </w:rPr>
        <w:t>and Trademarks” for information relating to patents and trademarks.</w:t>
      </w:r>
    </w:p>
    <w:p>
      <w:pPr>
        <w:pStyle w:val="BodyText"/>
        <w:spacing w:before="19"/>
      </w:pPr>
    </w:p>
    <w:p>
      <w:pPr>
        <w:pStyle w:val="BodyText"/>
        <w:ind w:left="156"/>
      </w:pPr>
      <w:r>
        <w:rPr>
          <w:spacing w:val="-2"/>
          <w:w w:val="105"/>
        </w:rPr>
        <w:t>The</w:t>
      </w:r>
      <w:r>
        <w:rPr>
          <w:w w:val="105"/>
        </w:rPr>
        <w:t> </w:t>
      </w:r>
      <w:r>
        <w:rPr>
          <w:spacing w:val="-2"/>
          <w:w w:val="105"/>
        </w:rPr>
        <w:t>Display</w:t>
      </w:r>
      <w:r>
        <w:rPr>
          <w:spacing w:val="1"/>
          <w:w w:val="105"/>
        </w:rPr>
        <w:t> </w:t>
      </w:r>
      <w:r>
        <w:rPr>
          <w:spacing w:val="-2"/>
          <w:w w:val="105"/>
        </w:rPr>
        <w:t>Technologies</w:t>
      </w:r>
      <w:r>
        <w:rPr>
          <w:spacing w:val="1"/>
          <w:w w:val="105"/>
        </w:rPr>
        <w:t> </w:t>
      </w:r>
      <w:r>
        <w:rPr>
          <w:spacing w:val="-2"/>
          <w:w w:val="105"/>
        </w:rPr>
        <w:t>segment</w:t>
      </w:r>
      <w:r>
        <w:rPr>
          <w:spacing w:val="3"/>
          <w:w w:val="105"/>
        </w:rPr>
        <w:t> </w:t>
      </w:r>
      <w:r>
        <w:rPr>
          <w:spacing w:val="-2"/>
          <w:w w:val="105"/>
        </w:rPr>
        <w:t>represented</w:t>
      </w:r>
      <w:r>
        <w:rPr>
          <w:spacing w:val="1"/>
          <w:w w:val="105"/>
        </w:rPr>
        <w:t> </w:t>
      </w:r>
      <w:r>
        <w:rPr>
          <w:spacing w:val="-2"/>
          <w:w w:val="105"/>
        </w:rPr>
        <w:t>26%</w:t>
      </w:r>
      <w:r>
        <w:rPr>
          <w:spacing w:val="1"/>
          <w:w w:val="105"/>
        </w:rPr>
        <w:t> </w:t>
      </w:r>
      <w:r>
        <w:rPr>
          <w:spacing w:val="-2"/>
          <w:w w:val="105"/>
        </w:rPr>
        <w:t>of</w:t>
      </w:r>
      <w:r>
        <w:rPr>
          <w:spacing w:val="1"/>
          <w:w w:val="105"/>
        </w:rPr>
        <w:t> </w:t>
      </w:r>
      <w:r>
        <w:rPr>
          <w:spacing w:val="-2"/>
          <w:w w:val="105"/>
        </w:rPr>
        <w:t>Corning’s</w:t>
      </w:r>
      <w:r>
        <w:rPr>
          <w:spacing w:val="1"/>
          <w:w w:val="105"/>
        </w:rPr>
        <w:t> </w:t>
      </w:r>
      <w:r>
        <w:rPr>
          <w:spacing w:val="-2"/>
          <w:w w:val="105"/>
        </w:rPr>
        <w:t>consolidated</w:t>
      </w:r>
      <w:r>
        <w:rPr>
          <w:spacing w:val="1"/>
          <w:w w:val="105"/>
        </w:rPr>
        <w:t> </w:t>
      </w:r>
      <w:r>
        <w:rPr>
          <w:spacing w:val="-2"/>
          <w:w w:val="105"/>
        </w:rPr>
        <w:t>net</w:t>
      </w:r>
      <w:r>
        <w:rPr>
          <w:spacing w:val="1"/>
          <w:w w:val="105"/>
        </w:rPr>
        <w:t> </w:t>
      </w:r>
      <w:r>
        <w:rPr>
          <w:spacing w:val="-2"/>
          <w:w w:val="105"/>
        </w:rPr>
        <w:t>sales</w:t>
      </w:r>
      <w:r>
        <w:rPr>
          <w:spacing w:val="1"/>
          <w:w w:val="105"/>
        </w:rPr>
        <w:t> </w:t>
      </w:r>
      <w:r>
        <w:rPr>
          <w:spacing w:val="-2"/>
          <w:w w:val="105"/>
        </w:rPr>
        <w:t>in</w:t>
      </w:r>
      <w:r>
        <w:rPr>
          <w:spacing w:val="1"/>
          <w:w w:val="105"/>
        </w:rPr>
        <w:t> </w:t>
      </w:r>
      <w:r>
        <w:rPr>
          <w:spacing w:val="-2"/>
          <w:w w:val="105"/>
        </w:rPr>
        <w:t>2021.</w:t>
      </w:r>
    </w:p>
    <w:p>
      <w:pPr>
        <w:pStyle w:val="BodyText"/>
        <w:spacing w:before="40"/>
      </w:pPr>
    </w:p>
    <w:p>
      <w:pPr>
        <w:spacing w:before="0"/>
        <w:ind w:left="156" w:right="0" w:firstLine="0"/>
        <w:jc w:val="left"/>
        <w:rPr>
          <w:i/>
          <w:sz w:val="16"/>
        </w:rPr>
      </w:pPr>
      <w:r>
        <w:rPr>
          <w:i/>
          <w:sz w:val="16"/>
        </w:rPr>
        <w:t>Optical</w:t>
      </w:r>
      <w:r>
        <w:rPr>
          <w:i/>
          <w:spacing w:val="17"/>
          <w:sz w:val="16"/>
        </w:rPr>
        <w:t> </w:t>
      </w:r>
      <w:r>
        <w:rPr>
          <w:i/>
          <w:sz w:val="16"/>
        </w:rPr>
        <w:t>Communications</w:t>
      </w:r>
      <w:r>
        <w:rPr>
          <w:i/>
          <w:spacing w:val="18"/>
          <w:sz w:val="16"/>
        </w:rPr>
        <w:t> </w:t>
      </w:r>
      <w:r>
        <w:rPr>
          <w:i/>
          <w:spacing w:val="-2"/>
          <w:sz w:val="16"/>
        </w:rPr>
        <w:t>Segment</w:t>
      </w:r>
    </w:p>
    <w:p>
      <w:pPr>
        <w:pStyle w:val="BodyText"/>
        <w:spacing w:before="39"/>
        <w:rPr>
          <w:i/>
        </w:rPr>
      </w:pPr>
    </w:p>
    <w:p>
      <w:pPr>
        <w:pStyle w:val="BodyText"/>
        <w:spacing w:line="266" w:lineRule="auto" w:before="1"/>
        <w:ind w:left="156" w:right="328"/>
      </w:pPr>
      <w:r>
        <w:rPr>
          <w:w w:val="105"/>
        </w:rPr>
        <w:t>Corning</w:t>
      </w:r>
      <w:r>
        <w:rPr>
          <w:spacing w:val="-2"/>
          <w:w w:val="105"/>
        </w:rPr>
        <w:t> </w:t>
      </w:r>
      <w:r>
        <w:rPr>
          <w:w w:val="105"/>
        </w:rPr>
        <w:t>invented</w:t>
      </w:r>
      <w:r>
        <w:rPr>
          <w:spacing w:val="-2"/>
          <w:w w:val="105"/>
        </w:rPr>
        <w:t> </w:t>
      </w:r>
      <w:r>
        <w:rPr>
          <w:w w:val="105"/>
        </w:rPr>
        <w:t>the</w:t>
      </w:r>
      <w:r>
        <w:rPr>
          <w:spacing w:val="-2"/>
          <w:w w:val="105"/>
        </w:rPr>
        <w:t> </w:t>
      </w:r>
      <w:r>
        <w:rPr>
          <w:w w:val="105"/>
        </w:rPr>
        <w:t>world’s</w:t>
      </w:r>
      <w:r>
        <w:rPr>
          <w:spacing w:val="-2"/>
          <w:w w:val="105"/>
        </w:rPr>
        <w:t> </w:t>
      </w:r>
      <w:r>
        <w:rPr>
          <w:w w:val="105"/>
        </w:rPr>
        <w:t>first</w:t>
      </w:r>
      <w:r>
        <w:rPr>
          <w:spacing w:val="-2"/>
          <w:w w:val="105"/>
        </w:rPr>
        <w:t> </w:t>
      </w:r>
      <w:r>
        <w:rPr>
          <w:w w:val="105"/>
        </w:rPr>
        <w:t>low-loss</w:t>
      </w:r>
      <w:r>
        <w:rPr>
          <w:spacing w:val="-2"/>
          <w:w w:val="105"/>
        </w:rPr>
        <w:t> </w:t>
      </w:r>
      <w:r>
        <w:rPr>
          <w:w w:val="105"/>
        </w:rPr>
        <w:t>optical</w:t>
      </w:r>
      <w:r>
        <w:rPr>
          <w:spacing w:val="-2"/>
          <w:w w:val="105"/>
        </w:rPr>
        <w:t> </w:t>
      </w:r>
      <w:r>
        <w:rPr>
          <w:w w:val="105"/>
        </w:rPr>
        <w:t>fiber</w:t>
      </w:r>
      <w:r>
        <w:rPr>
          <w:spacing w:val="-2"/>
          <w:w w:val="105"/>
        </w:rPr>
        <w:t> </w:t>
      </w:r>
      <w:r>
        <w:rPr>
          <w:w w:val="105"/>
        </w:rPr>
        <w:t>in</w:t>
      </w:r>
      <w:r>
        <w:rPr>
          <w:spacing w:val="-2"/>
          <w:w w:val="105"/>
        </w:rPr>
        <w:t> </w:t>
      </w:r>
      <w:r>
        <w:rPr>
          <w:w w:val="105"/>
        </w:rPr>
        <w:t>1970.</w:t>
      </w:r>
      <w:r>
        <w:rPr>
          <w:spacing w:val="-2"/>
          <w:w w:val="105"/>
        </w:rPr>
        <w:t> </w:t>
      </w:r>
      <w:r>
        <w:rPr>
          <w:w w:val="105"/>
        </w:rPr>
        <w:t>Since</w:t>
      </w:r>
      <w:r>
        <w:rPr>
          <w:spacing w:val="-2"/>
          <w:w w:val="105"/>
        </w:rPr>
        <w:t> </w:t>
      </w:r>
      <w:r>
        <w:rPr>
          <w:w w:val="105"/>
        </w:rPr>
        <w:t>that</w:t>
      </w:r>
      <w:r>
        <w:rPr>
          <w:spacing w:val="-2"/>
          <w:w w:val="105"/>
        </w:rPr>
        <w:t> </w:t>
      </w:r>
      <w:r>
        <w:rPr>
          <w:w w:val="105"/>
        </w:rPr>
        <w:t>milestone,</w:t>
      </w:r>
      <w:r>
        <w:rPr>
          <w:spacing w:val="-2"/>
          <w:w w:val="105"/>
        </w:rPr>
        <w:t> </w:t>
      </w:r>
      <w:r>
        <w:rPr>
          <w:w w:val="105"/>
        </w:rPr>
        <w:t>we</w:t>
      </w:r>
      <w:r>
        <w:rPr>
          <w:spacing w:val="-2"/>
          <w:w w:val="105"/>
        </w:rPr>
        <w:t> </w:t>
      </w:r>
      <w:r>
        <w:rPr>
          <w:w w:val="105"/>
        </w:rPr>
        <w:t>have continued</w:t>
      </w:r>
      <w:r>
        <w:rPr>
          <w:spacing w:val="-2"/>
          <w:w w:val="105"/>
        </w:rPr>
        <w:t> </w:t>
      </w:r>
      <w:r>
        <w:rPr>
          <w:w w:val="105"/>
        </w:rPr>
        <w:t>to</w:t>
      </w:r>
      <w:r>
        <w:rPr>
          <w:spacing w:val="-2"/>
          <w:w w:val="105"/>
        </w:rPr>
        <w:t> </w:t>
      </w:r>
      <w:r>
        <w:rPr>
          <w:w w:val="105"/>
        </w:rPr>
        <w:t>pioneer</w:t>
      </w:r>
      <w:r>
        <w:rPr>
          <w:spacing w:val="-2"/>
          <w:w w:val="105"/>
        </w:rPr>
        <w:t> </w:t>
      </w:r>
      <w:r>
        <w:rPr>
          <w:w w:val="105"/>
        </w:rPr>
        <w:t>optical</w:t>
      </w:r>
      <w:r>
        <w:rPr>
          <w:spacing w:val="-2"/>
          <w:w w:val="105"/>
        </w:rPr>
        <w:t> </w:t>
      </w:r>
      <w:r>
        <w:rPr>
          <w:w w:val="105"/>
        </w:rPr>
        <w:t>fiber,</w:t>
      </w:r>
      <w:r>
        <w:rPr>
          <w:spacing w:val="-2"/>
          <w:w w:val="105"/>
        </w:rPr>
        <w:t> </w:t>
      </w:r>
      <w:r>
        <w:rPr>
          <w:w w:val="105"/>
        </w:rPr>
        <w:t>cable</w:t>
      </w:r>
      <w:r>
        <w:rPr>
          <w:spacing w:val="-2"/>
          <w:w w:val="105"/>
        </w:rPr>
        <w:t> </w:t>
      </w:r>
      <w:r>
        <w:rPr>
          <w:w w:val="105"/>
        </w:rPr>
        <w:t>and</w:t>
      </w:r>
      <w:r>
        <w:rPr>
          <w:spacing w:val="-2"/>
          <w:w w:val="105"/>
        </w:rPr>
        <w:t> </w:t>
      </w:r>
      <w:r>
        <w:rPr>
          <w:w w:val="105"/>
        </w:rPr>
        <w:t>connectivity</w:t>
      </w:r>
      <w:r>
        <w:rPr>
          <w:spacing w:val="-2"/>
          <w:w w:val="105"/>
        </w:rPr>
        <w:t> </w:t>
      </w:r>
      <w:r>
        <w:rPr>
          <w:w w:val="105"/>
        </w:rPr>
        <w:t>solutions.</w:t>
      </w:r>
      <w:r>
        <w:rPr>
          <w:spacing w:val="-2"/>
          <w:w w:val="105"/>
        </w:rPr>
        <w:t> </w:t>
      </w:r>
      <w:r>
        <w:rPr>
          <w:w w:val="105"/>
        </w:rPr>
        <w:t>As global</w:t>
      </w:r>
      <w:r>
        <w:rPr>
          <w:spacing w:val="-3"/>
          <w:w w:val="105"/>
        </w:rPr>
        <w:t> </w:t>
      </w:r>
      <w:r>
        <w:rPr>
          <w:w w:val="105"/>
        </w:rPr>
        <w:t>demand</w:t>
      </w:r>
      <w:r>
        <w:rPr>
          <w:spacing w:val="-3"/>
          <w:w w:val="105"/>
        </w:rPr>
        <w:t> </w:t>
      </w:r>
      <w:r>
        <w:rPr>
          <w:w w:val="105"/>
        </w:rPr>
        <w:t>driven</w:t>
      </w:r>
      <w:r>
        <w:rPr>
          <w:spacing w:val="-3"/>
          <w:w w:val="105"/>
        </w:rPr>
        <w:t> </w:t>
      </w:r>
      <w:r>
        <w:rPr>
          <w:w w:val="105"/>
        </w:rPr>
        <w:t>by</w:t>
      </w:r>
      <w:r>
        <w:rPr>
          <w:spacing w:val="-3"/>
          <w:w w:val="105"/>
        </w:rPr>
        <w:t> </w:t>
      </w:r>
      <w:r>
        <w:rPr>
          <w:w w:val="105"/>
        </w:rPr>
        <w:t>video</w:t>
      </w:r>
      <w:r>
        <w:rPr>
          <w:spacing w:val="-3"/>
          <w:w w:val="105"/>
        </w:rPr>
        <w:t> </w:t>
      </w:r>
      <w:r>
        <w:rPr>
          <w:w w:val="105"/>
        </w:rPr>
        <w:t>usage</w:t>
      </w:r>
      <w:r>
        <w:rPr>
          <w:spacing w:val="-3"/>
          <w:w w:val="105"/>
        </w:rPr>
        <w:t> </w:t>
      </w:r>
      <w:r>
        <w:rPr>
          <w:w w:val="105"/>
        </w:rPr>
        <w:t>grows</w:t>
      </w:r>
      <w:r>
        <w:rPr>
          <w:spacing w:val="-3"/>
          <w:w w:val="105"/>
        </w:rPr>
        <w:t> </w:t>
      </w:r>
      <w:r>
        <w:rPr>
          <w:w w:val="105"/>
        </w:rPr>
        <w:t>exponentially,</w:t>
      </w:r>
      <w:r>
        <w:rPr>
          <w:spacing w:val="-3"/>
          <w:w w:val="105"/>
        </w:rPr>
        <w:t> </w:t>
      </w:r>
      <w:r>
        <w:rPr>
          <w:w w:val="105"/>
        </w:rPr>
        <w:t>telecommunications</w:t>
      </w:r>
      <w:r>
        <w:rPr>
          <w:spacing w:val="-3"/>
          <w:w w:val="105"/>
        </w:rPr>
        <w:t> </w:t>
      </w:r>
      <w:r>
        <w:rPr>
          <w:w w:val="105"/>
        </w:rPr>
        <w:t>networks</w:t>
      </w:r>
      <w:r>
        <w:rPr>
          <w:spacing w:val="-3"/>
          <w:w w:val="105"/>
        </w:rPr>
        <w:t> </w:t>
      </w:r>
      <w:r>
        <w:rPr>
          <w:w w:val="105"/>
        </w:rPr>
        <w:t>continue</w:t>
      </w:r>
      <w:r>
        <w:rPr>
          <w:spacing w:val="-1"/>
          <w:w w:val="105"/>
        </w:rPr>
        <w:t> </w:t>
      </w:r>
      <w:r>
        <w:rPr>
          <w:w w:val="105"/>
        </w:rPr>
        <w:t>to</w:t>
      </w:r>
      <w:r>
        <w:rPr>
          <w:spacing w:val="-3"/>
          <w:w w:val="105"/>
        </w:rPr>
        <w:t> </w:t>
      </w:r>
      <w:r>
        <w:rPr>
          <w:w w:val="105"/>
        </w:rPr>
        <w:t>migrate</w:t>
      </w:r>
      <w:r>
        <w:rPr>
          <w:spacing w:val="-3"/>
          <w:w w:val="105"/>
        </w:rPr>
        <w:t> </w:t>
      </w:r>
      <w:r>
        <w:rPr>
          <w:w w:val="105"/>
        </w:rPr>
        <w:t>from</w:t>
      </w:r>
      <w:r>
        <w:rPr>
          <w:spacing w:val="-3"/>
          <w:w w:val="105"/>
        </w:rPr>
        <w:t> </w:t>
      </w:r>
      <w:r>
        <w:rPr>
          <w:w w:val="105"/>
        </w:rPr>
        <w:t>copper</w:t>
      </w:r>
      <w:r>
        <w:rPr>
          <w:spacing w:val="-1"/>
          <w:w w:val="105"/>
        </w:rPr>
        <w:t> </w:t>
      </w:r>
      <w:r>
        <w:rPr>
          <w:w w:val="105"/>
        </w:rPr>
        <w:t>to</w:t>
      </w:r>
      <w:r>
        <w:rPr>
          <w:spacing w:val="-3"/>
          <w:w w:val="105"/>
        </w:rPr>
        <w:t> </w:t>
      </w:r>
      <w:r>
        <w:rPr>
          <w:w w:val="105"/>
        </w:rPr>
        <w:t>optical-based</w:t>
      </w:r>
      <w:r>
        <w:rPr>
          <w:spacing w:val="-3"/>
          <w:w w:val="105"/>
        </w:rPr>
        <w:t> </w:t>
      </w:r>
      <w:r>
        <w:rPr>
          <w:w w:val="105"/>
        </w:rPr>
        <w:t>systems</w:t>
      </w:r>
      <w:r>
        <w:rPr>
          <w:spacing w:val="-3"/>
          <w:w w:val="105"/>
        </w:rPr>
        <w:t> </w:t>
      </w:r>
      <w:r>
        <w:rPr>
          <w:w w:val="105"/>
        </w:rPr>
        <w:t>that</w:t>
      </w:r>
      <w:r>
        <w:rPr>
          <w:spacing w:val="-3"/>
          <w:w w:val="105"/>
        </w:rPr>
        <w:t> </w:t>
      </w:r>
      <w:r>
        <w:rPr>
          <w:w w:val="105"/>
        </w:rPr>
        <w:t>can</w:t>
      </w:r>
      <w:r>
        <w:rPr>
          <w:spacing w:val="-3"/>
          <w:w w:val="105"/>
        </w:rPr>
        <w:t> </w:t>
      </w:r>
      <w:r>
        <w:rPr>
          <w:w w:val="105"/>
        </w:rPr>
        <w:t>deliver</w:t>
      </w:r>
      <w:r>
        <w:rPr>
          <w:spacing w:val="-3"/>
          <w:w w:val="105"/>
        </w:rPr>
        <w:t> </w:t>
      </w:r>
      <w:r>
        <w:rPr>
          <w:w w:val="105"/>
        </w:rPr>
        <w:t>the required</w:t>
      </w:r>
      <w:r>
        <w:rPr>
          <w:spacing w:val="-8"/>
          <w:w w:val="105"/>
        </w:rPr>
        <w:t> </w:t>
      </w:r>
      <w:r>
        <w:rPr>
          <w:w w:val="105"/>
        </w:rPr>
        <w:t>cost-effective</w:t>
      </w:r>
      <w:r>
        <w:rPr>
          <w:spacing w:val="-8"/>
          <w:w w:val="105"/>
        </w:rPr>
        <w:t> </w:t>
      </w:r>
      <w:r>
        <w:rPr>
          <w:w w:val="105"/>
        </w:rPr>
        <w:t>capacity.</w:t>
      </w:r>
      <w:r>
        <w:rPr>
          <w:spacing w:val="-8"/>
          <w:w w:val="105"/>
        </w:rPr>
        <w:t> </w:t>
      </w:r>
      <w:r>
        <w:rPr>
          <w:w w:val="105"/>
        </w:rPr>
        <w:t>Our</w:t>
      </w:r>
      <w:r>
        <w:rPr>
          <w:spacing w:val="-8"/>
          <w:w w:val="105"/>
        </w:rPr>
        <w:t> </w:t>
      </w:r>
      <w:r>
        <w:rPr>
          <w:w w:val="105"/>
        </w:rPr>
        <w:t>experience</w:t>
      </w:r>
      <w:r>
        <w:rPr>
          <w:spacing w:val="-8"/>
          <w:w w:val="105"/>
        </w:rPr>
        <w:t> </w:t>
      </w:r>
      <w:r>
        <w:rPr>
          <w:w w:val="105"/>
        </w:rPr>
        <w:t>puts</w:t>
      </w:r>
      <w:r>
        <w:rPr>
          <w:spacing w:val="-8"/>
          <w:w w:val="105"/>
        </w:rPr>
        <w:t> </w:t>
      </w:r>
      <w:r>
        <w:rPr>
          <w:w w:val="105"/>
        </w:rPr>
        <w:t>us</w:t>
      </w:r>
      <w:r>
        <w:rPr>
          <w:spacing w:val="-8"/>
          <w:w w:val="105"/>
        </w:rPr>
        <w:t> </w:t>
      </w:r>
      <w:r>
        <w:rPr>
          <w:w w:val="105"/>
        </w:rPr>
        <w:t>in</w:t>
      </w:r>
      <w:r>
        <w:rPr>
          <w:spacing w:val="-8"/>
          <w:w w:val="105"/>
        </w:rPr>
        <w:t> </w:t>
      </w:r>
      <w:r>
        <w:rPr>
          <w:w w:val="105"/>
        </w:rPr>
        <w:t>a</w:t>
      </w:r>
      <w:r>
        <w:rPr>
          <w:spacing w:val="-8"/>
          <w:w w:val="105"/>
        </w:rPr>
        <w:t> </w:t>
      </w:r>
      <w:r>
        <w:rPr>
          <w:w w:val="105"/>
        </w:rPr>
        <w:t>unique</w:t>
      </w:r>
      <w:r>
        <w:rPr>
          <w:spacing w:val="-8"/>
          <w:w w:val="105"/>
        </w:rPr>
        <w:t> </w:t>
      </w:r>
      <w:r>
        <w:rPr>
          <w:w w:val="105"/>
        </w:rPr>
        <w:t>position</w:t>
      </w:r>
      <w:r>
        <w:rPr>
          <w:spacing w:val="-8"/>
          <w:w w:val="105"/>
        </w:rPr>
        <w:t> </w:t>
      </w:r>
      <w:r>
        <w:rPr>
          <w:w w:val="105"/>
        </w:rPr>
        <w:t>to</w:t>
      </w:r>
      <w:r>
        <w:rPr>
          <w:spacing w:val="-8"/>
          <w:w w:val="105"/>
        </w:rPr>
        <w:t> </w:t>
      </w:r>
      <w:r>
        <w:rPr>
          <w:w w:val="105"/>
        </w:rPr>
        <w:t>design</w:t>
      </w:r>
      <w:r>
        <w:rPr>
          <w:spacing w:val="-8"/>
          <w:w w:val="105"/>
        </w:rPr>
        <w:t> </w:t>
      </w:r>
      <w:r>
        <w:rPr>
          <w:w w:val="105"/>
        </w:rPr>
        <w:t>and</w:t>
      </w:r>
      <w:r>
        <w:rPr>
          <w:spacing w:val="-8"/>
          <w:w w:val="105"/>
        </w:rPr>
        <w:t> </w:t>
      </w:r>
      <w:r>
        <w:rPr>
          <w:w w:val="105"/>
        </w:rPr>
        <w:t>deliver</w:t>
      </w:r>
      <w:r>
        <w:rPr>
          <w:spacing w:val="-8"/>
          <w:w w:val="105"/>
        </w:rPr>
        <w:t> </w:t>
      </w:r>
      <w:r>
        <w:rPr>
          <w:w w:val="105"/>
        </w:rPr>
        <w:t>optical</w:t>
      </w:r>
      <w:r>
        <w:rPr>
          <w:spacing w:val="-8"/>
          <w:w w:val="105"/>
        </w:rPr>
        <w:t> </w:t>
      </w:r>
      <w:r>
        <w:rPr>
          <w:w w:val="105"/>
        </w:rPr>
        <w:t>solutions</w:t>
      </w:r>
      <w:r>
        <w:rPr>
          <w:spacing w:val="-8"/>
          <w:w w:val="105"/>
        </w:rPr>
        <w:t> </w:t>
      </w:r>
      <w:r>
        <w:rPr>
          <w:w w:val="105"/>
        </w:rPr>
        <w:t>that</w:t>
      </w:r>
      <w:r>
        <w:rPr>
          <w:spacing w:val="-8"/>
          <w:w w:val="105"/>
        </w:rPr>
        <w:t> </w:t>
      </w:r>
      <w:r>
        <w:rPr>
          <w:w w:val="105"/>
        </w:rPr>
        <w:t>reach</w:t>
      </w:r>
      <w:r>
        <w:rPr>
          <w:spacing w:val="-8"/>
          <w:w w:val="105"/>
        </w:rPr>
        <w:t> </w:t>
      </w:r>
      <w:r>
        <w:rPr>
          <w:w w:val="105"/>
        </w:rPr>
        <w:t>every</w:t>
      </w:r>
      <w:r>
        <w:rPr>
          <w:spacing w:val="-7"/>
          <w:w w:val="105"/>
        </w:rPr>
        <w:t> </w:t>
      </w:r>
      <w:r>
        <w:rPr>
          <w:w w:val="105"/>
        </w:rPr>
        <w:t>edge</w:t>
      </w:r>
      <w:r>
        <w:rPr>
          <w:spacing w:val="-8"/>
          <w:w w:val="105"/>
        </w:rPr>
        <w:t> </w:t>
      </w:r>
      <w:r>
        <w:rPr>
          <w:w w:val="105"/>
        </w:rPr>
        <w:t>of</w:t>
      </w:r>
      <w:r>
        <w:rPr>
          <w:spacing w:val="-8"/>
          <w:w w:val="105"/>
        </w:rPr>
        <w:t> </w:t>
      </w:r>
      <w:r>
        <w:rPr>
          <w:w w:val="105"/>
        </w:rPr>
        <w:t>the</w:t>
      </w:r>
      <w:r>
        <w:rPr>
          <w:spacing w:val="-8"/>
          <w:w w:val="105"/>
        </w:rPr>
        <w:t> </w:t>
      </w:r>
      <w:r>
        <w:rPr>
          <w:w w:val="105"/>
        </w:rPr>
        <w:t>communications</w:t>
      </w:r>
      <w:r>
        <w:rPr>
          <w:spacing w:val="-8"/>
          <w:w w:val="105"/>
        </w:rPr>
        <w:t> </w:t>
      </w:r>
      <w:r>
        <w:rPr>
          <w:w w:val="105"/>
        </w:rPr>
        <w:t>network.</w:t>
      </w:r>
    </w:p>
    <w:p>
      <w:pPr>
        <w:pStyle w:val="BodyText"/>
        <w:spacing w:before="18"/>
      </w:pPr>
    </w:p>
    <w:p>
      <w:pPr>
        <w:pStyle w:val="BodyText"/>
        <w:spacing w:line="266" w:lineRule="auto"/>
        <w:ind w:left="156" w:right="117"/>
      </w:pPr>
      <w:r>
        <w:rPr>
          <w:w w:val="105"/>
        </w:rPr>
        <w:t>This</w:t>
      </w:r>
      <w:r>
        <w:rPr>
          <w:spacing w:val="-3"/>
          <w:w w:val="105"/>
        </w:rPr>
        <w:t> </w:t>
      </w:r>
      <w:r>
        <w:rPr>
          <w:w w:val="105"/>
        </w:rPr>
        <w:t>segment</w:t>
      </w:r>
      <w:r>
        <w:rPr>
          <w:spacing w:val="-3"/>
          <w:w w:val="105"/>
        </w:rPr>
        <w:t> </w:t>
      </w:r>
      <w:r>
        <w:rPr>
          <w:w w:val="105"/>
        </w:rPr>
        <w:t>is</w:t>
      </w:r>
      <w:r>
        <w:rPr>
          <w:spacing w:val="-3"/>
          <w:w w:val="105"/>
        </w:rPr>
        <w:t> </w:t>
      </w:r>
      <w:r>
        <w:rPr>
          <w:w w:val="105"/>
        </w:rPr>
        <w:t>divided</w:t>
      </w:r>
      <w:r>
        <w:rPr>
          <w:spacing w:val="-3"/>
          <w:w w:val="105"/>
        </w:rPr>
        <w:t> </w:t>
      </w:r>
      <w:r>
        <w:rPr>
          <w:w w:val="105"/>
        </w:rPr>
        <w:t>into</w:t>
      </w:r>
      <w:r>
        <w:rPr>
          <w:spacing w:val="-3"/>
          <w:w w:val="105"/>
        </w:rPr>
        <w:t> </w:t>
      </w:r>
      <w:r>
        <w:rPr>
          <w:w w:val="105"/>
        </w:rPr>
        <w:t>two</w:t>
      </w:r>
      <w:r>
        <w:rPr>
          <w:spacing w:val="-3"/>
          <w:w w:val="105"/>
        </w:rPr>
        <w:t> </w:t>
      </w:r>
      <w:r>
        <w:rPr>
          <w:w w:val="105"/>
        </w:rPr>
        <w:t>main</w:t>
      </w:r>
      <w:r>
        <w:rPr>
          <w:spacing w:val="-3"/>
          <w:w w:val="105"/>
        </w:rPr>
        <w:t> </w:t>
      </w:r>
      <w:r>
        <w:rPr>
          <w:w w:val="105"/>
        </w:rPr>
        <w:t>product</w:t>
      </w:r>
      <w:r>
        <w:rPr>
          <w:spacing w:val="-3"/>
          <w:w w:val="105"/>
        </w:rPr>
        <w:t> </w:t>
      </w:r>
      <w:r>
        <w:rPr>
          <w:w w:val="105"/>
        </w:rPr>
        <w:t>groupings</w:t>
      </w:r>
      <w:r>
        <w:rPr>
          <w:spacing w:val="-3"/>
          <w:w w:val="105"/>
        </w:rPr>
        <w:t> </w:t>
      </w:r>
      <w:r>
        <w:rPr>
          <w:w w:val="105"/>
        </w:rPr>
        <w:t>–</w:t>
      </w:r>
      <w:r>
        <w:rPr>
          <w:spacing w:val="-3"/>
          <w:w w:val="105"/>
        </w:rPr>
        <w:t> </w:t>
      </w:r>
      <w:r>
        <w:rPr>
          <w:w w:val="105"/>
        </w:rPr>
        <w:t>carrier</w:t>
      </w:r>
      <w:r>
        <w:rPr>
          <w:spacing w:val="-3"/>
          <w:w w:val="105"/>
        </w:rPr>
        <w:t> </w:t>
      </w:r>
      <w:r>
        <w:rPr>
          <w:w w:val="105"/>
        </w:rPr>
        <w:t>network</w:t>
      </w:r>
      <w:r>
        <w:rPr>
          <w:spacing w:val="-3"/>
          <w:w w:val="105"/>
        </w:rPr>
        <w:t> </w:t>
      </w:r>
      <w:r>
        <w:rPr>
          <w:w w:val="105"/>
        </w:rPr>
        <w:t>and</w:t>
      </w:r>
      <w:r>
        <w:rPr>
          <w:spacing w:val="-3"/>
          <w:w w:val="105"/>
        </w:rPr>
        <w:t> </w:t>
      </w:r>
      <w:r>
        <w:rPr>
          <w:w w:val="105"/>
        </w:rPr>
        <w:t>enterprise</w:t>
      </w:r>
      <w:r>
        <w:rPr>
          <w:spacing w:val="-3"/>
          <w:w w:val="105"/>
        </w:rPr>
        <w:t> </w:t>
      </w:r>
      <w:r>
        <w:rPr>
          <w:w w:val="105"/>
        </w:rPr>
        <w:t>network.</w:t>
      </w:r>
      <w:r>
        <w:rPr>
          <w:spacing w:val="-3"/>
          <w:w w:val="105"/>
        </w:rPr>
        <w:t> </w:t>
      </w:r>
      <w:r>
        <w:rPr>
          <w:w w:val="105"/>
        </w:rPr>
        <w:t>The</w:t>
      </w:r>
      <w:r>
        <w:rPr>
          <w:spacing w:val="-3"/>
          <w:w w:val="105"/>
        </w:rPr>
        <w:t> </w:t>
      </w:r>
      <w:r>
        <w:rPr>
          <w:w w:val="105"/>
        </w:rPr>
        <w:t>carrier</w:t>
      </w:r>
      <w:r>
        <w:rPr>
          <w:spacing w:val="-3"/>
          <w:w w:val="105"/>
        </w:rPr>
        <w:t> </w:t>
      </w:r>
      <w:r>
        <w:rPr>
          <w:w w:val="105"/>
        </w:rPr>
        <w:t>network</w:t>
      </w:r>
      <w:r>
        <w:rPr>
          <w:spacing w:val="-3"/>
          <w:w w:val="105"/>
        </w:rPr>
        <w:t> </w:t>
      </w:r>
      <w:r>
        <w:rPr>
          <w:w w:val="105"/>
        </w:rPr>
        <w:t>group</w:t>
      </w:r>
      <w:r>
        <w:rPr>
          <w:spacing w:val="-3"/>
          <w:w w:val="105"/>
        </w:rPr>
        <w:t> </w:t>
      </w:r>
      <w:r>
        <w:rPr>
          <w:w w:val="105"/>
        </w:rPr>
        <w:t>consists</w:t>
      </w:r>
      <w:r>
        <w:rPr>
          <w:spacing w:val="-3"/>
          <w:w w:val="105"/>
        </w:rPr>
        <w:t> </w:t>
      </w:r>
      <w:r>
        <w:rPr>
          <w:w w:val="105"/>
        </w:rPr>
        <w:t>primarily</w:t>
      </w:r>
      <w:r>
        <w:rPr>
          <w:spacing w:val="-3"/>
          <w:w w:val="105"/>
        </w:rPr>
        <w:t> </w:t>
      </w:r>
      <w:r>
        <w:rPr>
          <w:w w:val="105"/>
        </w:rPr>
        <w:t>of</w:t>
      </w:r>
      <w:r>
        <w:rPr>
          <w:spacing w:val="-3"/>
          <w:w w:val="105"/>
        </w:rPr>
        <w:t> </w:t>
      </w:r>
      <w:r>
        <w:rPr>
          <w:w w:val="105"/>
        </w:rPr>
        <w:t>products</w:t>
      </w:r>
      <w:r>
        <w:rPr>
          <w:spacing w:val="-3"/>
          <w:w w:val="105"/>
        </w:rPr>
        <w:t> </w:t>
      </w:r>
      <w:r>
        <w:rPr>
          <w:w w:val="105"/>
        </w:rPr>
        <w:t>and</w:t>
      </w:r>
      <w:r>
        <w:rPr>
          <w:spacing w:val="-3"/>
          <w:w w:val="105"/>
        </w:rPr>
        <w:t> </w:t>
      </w:r>
      <w:r>
        <w:rPr>
          <w:w w:val="105"/>
        </w:rPr>
        <w:t>solutions</w:t>
      </w:r>
      <w:r>
        <w:rPr>
          <w:w w:val="105"/>
        </w:rPr>
        <w:t> for</w:t>
      </w:r>
      <w:r>
        <w:rPr>
          <w:spacing w:val="-10"/>
          <w:w w:val="105"/>
        </w:rPr>
        <w:t> </w:t>
      </w:r>
      <w:r>
        <w:rPr>
          <w:w w:val="105"/>
        </w:rPr>
        <w:t>optical-based</w:t>
      </w:r>
      <w:r>
        <w:rPr>
          <w:spacing w:val="-10"/>
          <w:w w:val="105"/>
        </w:rPr>
        <w:t> </w:t>
      </w:r>
      <w:r>
        <w:rPr>
          <w:w w:val="105"/>
        </w:rPr>
        <w:t>communications</w:t>
      </w:r>
      <w:r>
        <w:rPr>
          <w:spacing w:val="-10"/>
          <w:w w:val="105"/>
        </w:rPr>
        <w:t> </w:t>
      </w:r>
      <w:r>
        <w:rPr>
          <w:w w:val="105"/>
        </w:rPr>
        <w:t>infrastructure</w:t>
      </w:r>
      <w:r>
        <w:rPr>
          <w:spacing w:val="-10"/>
          <w:w w:val="105"/>
        </w:rPr>
        <w:t> </w:t>
      </w:r>
      <w:r>
        <w:rPr>
          <w:w w:val="105"/>
        </w:rPr>
        <w:t>for</w:t>
      </w:r>
      <w:r>
        <w:rPr>
          <w:spacing w:val="-10"/>
          <w:w w:val="105"/>
        </w:rPr>
        <w:t> </w:t>
      </w:r>
      <w:r>
        <w:rPr>
          <w:w w:val="105"/>
        </w:rPr>
        <w:t>services</w:t>
      </w:r>
      <w:r>
        <w:rPr>
          <w:spacing w:val="-10"/>
          <w:w w:val="105"/>
        </w:rPr>
        <w:t> </w:t>
      </w:r>
      <w:r>
        <w:rPr>
          <w:w w:val="105"/>
        </w:rPr>
        <w:t>such</w:t>
      </w:r>
      <w:r>
        <w:rPr>
          <w:spacing w:val="-10"/>
          <w:w w:val="105"/>
        </w:rPr>
        <w:t> </w:t>
      </w:r>
      <w:r>
        <w:rPr>
          <w:w w:val="105"/>
        </w:rPr>
        <w:t>as</w:t>
      </w:r>
      <w:r>
        <w:rPr>
          <w:spacing w:val="-10"/>
          <w:w w:val="105"/>
        </w:rPr>
        <w:t> </w:t>
      </w:r>
      <w:r>
        <w:rPr>
          <w:w w:val="105"/>
        </w:rPr>
        <w:t>video,</w:t>
      </w:r>
      <w:r>
        <w:rPr>
          <w:spacing w:val="-10"/>
          <w:w w:val="105"/>
        </w:rPr>
        <w:t> </w:t>
      </w:r>
      <w:r>
        <w:rPr>
          <w:w w:val="105"/>
        </w:rPr>
        <w:t>data</w:t>
      </w:r>
      <w:r>
        <w:rPr>
          <w:spacing w:val="-10"/>
          <w:w w:val="105"/>
        </w:rPr>
        <w:t> </w:t>
      </w:r>
      <w:r>
        <w:rPr>
          <w:w w:val="105"/>
        </w:rPr>
        <w:t>and</w:t>
      </w:r>
      <w:r>
        <w:rPr>
          <w:spacing w:val="-10"/>
          <w:w w:val="105"/>
        </w:rPr>
        <w:t> </w:t>
      </w:r>
      <w:r>
        <w:rPr>
          <w:w w:val="105"/>
        </w:rPr>
        <w:t>voice</w:t>
      </w:r>
      <w:r>
        <w:rPr>
          <w:spacing w:val="-10"/>
          <w:w w:val="105"/>
        </w:rPr>
        <w:t> </w:t>
      </w:r>
      <w:r>
        <w:rPr>
          <w:w w:val="105"/>
        </w:rPr>
        <w:t>communications.</w:t>
      </w:r>
      <w:r>
        <w:rPr>
          <w:spacing w:val="-10"/>
          <w:w w:val="105"/>
        </w:rPr>
        <w:t> </w:t>
      </w:r>
      <w:r>
        <w:rPr>
          <w:w w:val="105"/>
        </w:rPr>
        <w:t>The</w:t>
      </w:r>
      <w:r>
        <w:rPr>
          <w:spacing w:val="-10"/>
          <w:w w:val="105"/>
        </w:rPr>
        <w:t> </w:t>
      </w:r>
      <w:r>
        <w:rPr>
          <w:w w:val="105"/>
        </w:rPr>
        <w:t>enterprise</w:t>
      </w:r>
      <w:r>
        <w:rPr>
          <w:spacing w:val="-10"/>
          <w:w w:val="105"/>
        </w:rPr>
        <w:t> </w:t>
      </w:r>
      <w:r>
        <w:rPr>
          <w:w w:val="105"/>
        </w:rPr>
        <w:t>network</w:t>
      </w:r>
      <w:r>
        <w:rPr>
          <w:spacing w:val="-10"/>
          <w:w w:val="105"/>
        </w:rPr>
        <w:t> </w:t>
      </w:r>
      <w:r>
        <w:rPr>
          <w:w w:val="105"/>
        </w:rPr>
        <w:t>group</w:t>
      </w:r>
      <w:r>
        <w:rPr>
          <w:spacing w:val="-10"/>
          <w:w w:val="105"/>
        </w:rPr>
        <w:t> </w:t>
      </w:r>
      <w:r>
        <w:rPr>
          <w:w w:val="105"/>
        </w:rPr>
        <w:t>consists</w:t>
      </w:r>
      <w:r>
        <w:rPr>
          <w:spacing w:val="-10"/>
          <w:w w:val="105"/>
        </w:rPr>
        <w:t> </w:t>
      </w:r>
      <w:r>
        <w:rPr>
          <w:w w:val="105"/>
        </w:rPr>
        <w:t>primarily</w:t>
      </w:r>
      <w:r>
        <w:rPr>
          <w:spacing w:val="-10"/>
          <w:w w:val="105"/>
        </w:rPr>
        <w:t> </w:t>
      </w:r>
      <w:r>
        <w:rPr>
          <w:w w:val="105"/>
        </w:rPr>
        <w:t>of</w:t>
      </w:r>
      <w:r>
        <w:rPr>
          <w:spacing w:val="-10"/>
          <w:w w:val="105"/>
        </w:rPr>
        <w:t> </w:t>
      </w:r>
      <w:r>
        <w:rPr>
          <w:w w:val="105"/>
        </w:rPr>
        <w:t>optical-based communication networks sold to businesses, governments and individuals for their own use.</w:t>
      </w:r>
    </w:p>
    <w:p>
      <w:pPr>
        <w:pStyle w:val="BodyText"/>
        <w:spacing w:before="19"/>
      </w:pPr>
    </w:p>
    <w:p>
      <w:pPr>
        <w:pStyle w:val="BodyText"/>
        <w:spacing w:line="266" w:lineRule="auto"/>
        <w:ind w:left="156" w:right="117"/>
      </w:pPr>
      <w:r>
        <w:rPr>
          <w:w w:val="105"/>
        </w:rPr>
        <w:t>Our</w:t>
      </w:r>
      <w:r>
        <w:rPr>
          <w:spacing w:val="-9"/>
          <w:w w:val="105"/>
        </w:rPr>
        <w:t> </w:t>
      </w:r>
      <w:r>
        <w:rPr>
          <w:w w:val="105"/>
        </w:rPr>
        <w:t>carrier</w:t>
      </w:r>
      <w:r>
        <w:rPr>
          <w:spacing w:val="-9"/>
          <w:w w:val="105"/>
        </w:rPr>
        <w:t> </w:t>
      </w:r>
      <w:r>
        <w:rPr>
          <w:w w:val="105"/>
        </w:rPr>
        <w:t>network</w:t>
      </w:r>
      <w:r>
        <w:rPr>
          <w:spacing w:val="-9"/>
          <w:w w:val="105"/>
        </w:rPr>
        <w:t> </w:t>
      </w:r>
      <w:r>
        <w:rPr>
          <w:w w:val="105"/>
        </w:rPr>
        <w:t>product</w:t>
      </w:r>
      <w:r>
        <w:rPr>
          <w:spacing w:val="-9"/>
          <w:w w:val="105"/>
        </w:rPr>
        <w:t> </w:t>
      </w:r>
      <w:r>
        <w:rPr>
          <w:w w:val="105"/>
        </w:rPr>
        <w:t>portfolio</w:t>
      </w:r>
      <w:r>
        <w:rPr>
          <w:spacing w:val="-9"/>
          <w:w w:val="105"/>
        </w:rPr>
        <w:t> </w:t>
      </w:r>
      <w:r>
        <w:rPr>
          <w:w w:val="105"/>
        </w:rPr>
        <w:t>encompasses</w:t>
      </w:r>
      <w:r>
        <w:rPr>
          <w:spacing w:val="-9"/>
          <w:w w:val="105"/>
        </w:rPr>
        <w:t> </w:t>
      </w:r>
      <w:r>
        <w:rPr>
          <w:w w:val="105"/>
        </w:rPr>
        <w:t>an</w:t>
      </w:r>
      <w:r>
        <w:rPr>
          <w:spacing w:val="-9"/>
          <w:w w:val="105"/>
        </w:rPr>
        <w:t> </w:t>
      </w:r>
      <w:r>
        <w:rPr>
          <w:w w:val="105"/>
        </w:rPr>
        <w:t>array</w:t>
      </w:r>
      <w:r>
        <w:rPr>
          <w:spacing w:val="-9"/>
          <w:w w:val="105"/>
        </w:rPr>
        <w:t> </w:t>
      </w:r>
      <w:r>
        <w:rPr>
          <w:w w:val="105"/>
        </w:rPr>
        <w:t>of</w:t>
      </w:r>
      <w:r>
        <w:rPr>
          <w:spacing w:val="-9"/>
          <w:w w:val="105"/>
        </w:rPr>
        <w:t> </w:t>
      </w:r>
      <w:r>
        <w:rPr>
          <w:w w:val="105"/>
        </w:rPr>
        <w:t>optical</w:t>
      </w:r>
      <w:r>
        <w:rPr>
          <w:spacing w:val="-9"/>
          <w:w w:val="105"/>
        </w:rPr>
        <w:t> </w:t>
      </w:r>
      <w:r>
        <w:rPr>
          <w:w w:val="105"/>
        </w:rPr>
        <w:t>fiber</w:t>
      </w:r>
      <w:r>
        <w:rPr>
          <w:spacing w:val="-9"/>
          <w:w w:val="105"/>
        </w:rPr>
        <w:t> </w:t>
      </w:r>
      <w:r>
        <w:rPr>
          <w:w w:val="105"/>
        </w:rPr>
        <w:t>products,</w:t>
      </w:r>
      <w:r>
        <w:rPr>
          <w:spacing w:val="-9"/>
          <w:w w:val="105"/>
        </w:rPr>
        <w:t> </w:t>
      </w:r>
      <w:r>
        <w:rPr>
          <w:w w:val="105"/>
        </w:rPr>
        <w:t>including</w:t>
      </w:r>
      <w:r>
        <w:rPr>
          <w:spacing w:val="-9"/>
          <w:w w:val="105"/>
        </w:rPr>
        <w:t> </w:t>
      </w:r>
      <w:r>
        <w:rPr>
          <w:w w:val="105"/>
        </w:rPr>
        <w:t>Vascade®</w:t>
      </w:r>
      <w:r>
        <w:rPr>
          <w:spacing w:val="-9"/>
          <w:w w:val="105"/>
        </w:rPr>
        <w:t> </w:t>
      </w:r>
      <w:r>
        <w:rPr>
          <w:w w:val="105"/>
        </w:rPr>
        <w:t>optical</w:t>
      </w:r>
      <w:r>
        <w:rPr>
          <w:spacing w:val="-9"/>
          <w:w w:val="105"/>
        </w:rPr>
        <w:t> </w:t>
      </w:r>
      <w:r>
        <w:rPr>
          <w:w w:val="105"/>
        </w:rPr>
        <w:t>fibers</w:t>
      </w:r>
      <w:r>
        <w:rPr>
          <w:spacing w:val="-9"/>
          <w:w w:val="105"/>
        </w:rPr>
        <w:t> </w:t>
      </w:r>
      <w:r>
        <w:rPr>
          <w:w w:val="105"/>
        </w:rPr>
        <w:t>for</w:t>
      </w:r>
      <w:r>
        <w:rPr>
          <w:spacing w:val="-9"/>
          <w:w w:val="105"/>
        </w:rPr>
        <w:t> </w:t>
      </w:r>
      <w:r>
        <w:rPr>
          <w:w w:val="105"/>
        </w:rPr>
        <w:t>use</w:t>
      </w:r>
      <w:r>
        <w:rPr>
          <w:spacing w:val="-9"/>
          <w:w w:val="105"/>
        </w:rPr>
        <w:t> </w:t>
      </w:r>
      <w:r>
        <w:rPr>
          <w:w w:val="105"/>
        </w:rPr>
        <w:t>in</w:t>
      </w:r>
      <w:r>
        <w:rPr>
          <w:spacing w:val="-9"/>
          <w:w w:val="105"/>
        </w:rPr>
        <w:t> </w:t>
      </w:r>
      <w:r>
        <w:rPr>
          <w:w w:val="105"/>
        </w:rPr>
        <w:t>submarine</w:t>
      </w:r>
      <w:r>
        <w:rPr>
          <w:spacing w:val="-9"/>
          <w:w w:val="105"/>
        </w:rPr>
        <w:t> </w:t>
      </w:r>
      <w:r>
        <w:rPr>
          <w:w w:val="105"/>
        </w:rPr>
        <w:t>networks;</w:t>
      </w:r>
      <w:r>
        <w:rPr>
          <w:spacing w:val="-9"/>
          <w:w w:val="105"/>
        </w:rPr>
        <w:t> </w:t>
      </w:r>
      <w:r>
        <w:rPr>
          <w:w w:val="105"/>
        </w:rPr>
        <w:t>LEAF®</w:t>
      </w:r>
      <w:r>
        <w:rPr>
          <w:spacing w:val="-9"/>
          <w:w w:val="105"/>
        </w:rPr>
        <w:t> </w:t>
      </w:r>
      <w:r>
        <w:rPr>
          <w:w w:val="105"/>
        </w:rPr>
        <w:t>optical</w:t>
      </w:r>
      <w:r>
        <w:rPr>
          <w:spacing w:val="-9"/>
          <w:w w:val="105"/>
        </w:rPr>
        <w:t> </w:t>
      </w:r>
      <w:r>
        <w:rPr>
          <w:w w:val="105"/>
        </w:rPr>
        <w:t>fiber for</w:t>
      </w:r>
      <w:r>
        <w:rPr>
          <w:spacing w:val="-2"/>
          <w:w w:val="105"/>
        </w:rPr>
        <w:t> </w:t>
      </w:r>
      <w:r>
        <w:rPr>
          <w:w w:val="105"/>
        </w:rPr>
        <w:t>long-haul,</w:t>
      </w:r>
      <w:r>
        <w:rPr>
          <w:spacing w:val="-2"/>
          <w:w w:val="105"/>
        </w:rPr>
        <w:t> </w:t>
      </w:r>
      <w:r>
        <w:rPr>
          <w:w w:val="105"/>
        </w:rPr>
        <w:t>regional</w:t>
      </w:r>
      <w:r>
        <w:rPr>
          <w:spacing w:val="-2"/>
          <w:w w:val="105"/>
        </w:rPr>
        <w:t> </w:t>
      </w:r>
      <w:r>
        <w:rPr>
          <w:w w:val="105"/>
        </w:rPr>
        <w:t>and metropolitan</w:t>
      </w:r>
      <w:r>
        <w:rPr>
          <w:spacing w:val="-2"/>
          <w:w w:val="105"/>
        </w:rPr>
        <w:t> </w:t>
      </w:r>
      <w:r>
        <w:rPr>
          <w:w w:val="105"/>
        </w:rPr>
        <w:t>networks;</w:t>
      </w:r>
      <w:r>
        <w:rPr>
          <w:spacing w:val="-2"/>
          <w:w w:val="105"/>
        </w:rPr>
        <w:t> </w:t>
      </w:r>
      <w:r>
        <w:rPr>
          <w:w w:val="105"/>
        </w:rPr>
        <w:t>SMF-28®</w:t>
      </w:r>
      <w:r>
        <w:rPr>
          <w:spacing w:val="-2"/>
          <w:w w:val="105"/>
        </w:rPr>
        <w:t> </w:t>
      </w:r>
      <w:r>
        <w:rPr>
          <w:w w:val="105"/>
        </w:rPr>
        <w:t>ULL</w:t>
      </w:r>
      <w:r>
        <w:rPr>
          <w:spacing w:val="-2"/>
          <w:w w:val="105"/>
        </w:rPr>
        <w:t> </w:t>
      </w:r>
      <w:r>
        <w:rPr>
          <w:w w:val="105"/>
        </w:rPr>
        <w:t>and</w:t>
      </w:r>
      <w:r>
        <w:rPr>
          <w:spacing w:val="-2"/>
          <w:w w:val="105"/>
        </w:rPr>
        <w:t> </w:t>
      </w:r>
      <w:r>
        <w:rPr>
          <w:w w:val="105"/>
        </w:rPr>
        <w:t>TXF®</w:t>
      </w:r>
      <w:r>
        <w:rPr>
          <w:spacing w:val="-2"/>
          <w:w w:val="105"/>
        </w:rPr>
        <w:t> </w:t>
      </w:r>
      <w:r>
        <w:rPr>
          <w:w w:val="105"/>
        </w:rPr>
        <w:t>fiber</w:t>
      </w:r>
      <w:r>
        <w:rPr>
          <w:spacing w:val="-2"/>
          <w:w w:val="105"/>
        </w:rPr>
        <w:t> </w:t>
      </w:r>
      <w:r>
        <w:rPr>
          <w:w w:val="105"/>
        </w:rPr>
        <w:t>for</w:t>
      </w:r>
      <w:r>
        <w:rPr>
          <w:spacing w:val="-2"/>
          <w:w w:val="105"/>
        </w:rPr>
        <w:t> </w:t>
      </w:r>
      <w:r>
        <w:rPr>
          <w:w w:val="105"/>
        </w:rPr>
        <w:t>more</w:t>
      </w:r>
      <w:r>
        <w:rPr>
          <w:spacing w:val="-2"/>
          <w:w w:val="105"/>
        </w:rPr>
        <w:t> </w:t>
      </w:r>
      <w:r>
        <w:rPr>
          <w:w w:val="105"/>
        </w:rPr>
        <w:t>scalable</w:t>
      </w:r>
      <w:r>
        <w:rPr>
          <w:spacing w:val="-2"/>
          <w:w w:val="105"/>
        </w:rPr>
        <w:t> </w:t>
      </w:r>
      <w:r>
        <w:rPr>
          <w:w w:val="105"/>
        </w:rPr>
        <w:t>long-haul</w:t>
      </w:r>
      <w:r>
        <w:rPr>
          <w:spacing w:val="-2"/>
          <w:w w:val="105"/>
        </w:rPr>
        <w:t> </w:t>
      </w:r>
      <w:r>
        <w:rPr>
          <w:w w:val="105"/>
        </w:rPr>
        <w:t>and</w:t>
      </w:r>
      <w:r>
        <w:rPr>
          <w:spacing w:val="-2"/>
          <w:w w:val="105"/>
        </w:rPr>
        <w:t> </w:t>
      </w:r>
      <w:r>
        <w:rPr>
          <w:w w:val="105"/>
        </w:rPr>
        <w:t>regional</w:t>
      </w:r>
      <w:r>
        <w:rPr>
          <w:spacing w:val="-2"/>
          <w:w w:val="105"/>
        </w:rPr>
        <w:t> </w:t>
      </w:r>
      <w:r>
        <w:rPr>
          <w:w w:val="105"/>
        </w:rPr>
        <w:t>networks;</w:t>
      </w:r>
      <w:r>
        <w:rPr>
          <w:spacing w:val="-2"/>
          <w:w w:val="105"/>
        </w:rPr>
        <w:t> </w:t>
      </w:r>
      <w:r>
        <w:rPr>
          <w:w w:val="105"/>
        </w:rPr>
        <w:t>SMF-28e+™</w:t>
      </w:r>
      <w:r>
        <w:rPr>
          <w:spacing w:val="-2"/>
          <w:w w:val="105"/>
        </w:rPr>
        <w:t> </w:t>
      </w:r>
      <w:r>
        <w:rPr>
          <w:w w:val="105"/>
        </w:rPr>
        <w:t>single-mode</w:t>
      </w:r>
      <w:r>
        <w:rPr>
          <w:spacing w:val="-2"/>
          <w:w w:val="105"/>
        </w:rPr>
        <w:t> </w:t>
      </w:r>
      <w:r>
        <w:rPr>
          <w:w w:val="105"/>
        </w:rPr>
        <w:t>optical fiber</w:t>
      </w:r>
      <w:r>
        <w:rPr>
          <w:spacing w:val="-2"/>
          <w:w w:val="105"/>
        </w:rPr>
        <w:t> </w:t>
      </w:r>
      <w:r>
        <w:rPr>
          <w:w w:val="105"/>
        </w:rPr>
        <w:t>providing</w:t>
      </w:r>
      <w:r>
        <w:rPr>
          <w:spacing w:val="-2"/>
          <w:w w:val="105"/>
        </w:rPr>
        <w:t> </w:t>
      </w:r>
      <w:r>
        <w:rPr>
          <w:w w:val="105"/>
        </w:rPr>
        <w:t>additional</w:t>
      </w:r>
      <w:r>
        <w:rPr>
          <w:spacing w:val="-2"/>
          <w:w w:val="105"/>
        </w:rPr>
        <w:t> </w:t>
      </w:r>
      <w:r>
        <w:rPr>
          <w:w w:val="105"/>
        </w:rPr>
        <w:t>transmission</w:t>
      </w:r>
      <w:r>
        <w:rPr>
          <w:spacing w:val="-2"/>
          <w:w w:val="105"/>
        </w:rPr>
        <w:t> </w:t>
      </w:r>
      <w:r>
        <w:rPr>
          <w:w w:val="105"/>
        </w:rPr>
        <w:t>wavelengths</w:t>
      </w:r>
      <w:r>
        <w:rPr>
          <w:spacing w:val="-2"/>
          <w:w w:val="105"/>
        </w:rPr>
        <w:t> </w:t>
      </w:r>
      <w:r>
        <w:rPr>
          <w:w w:val="105"/>
        </w:rPr>
        <w:t>in</w:t>
      </w:r>
      <w:r>
        <w:rPr>
          <w:spacing w:val="-2"/>
          <w:w w:val="105"/>
        </w:rPr>
        <w:t> </w:t>
      </w:r>
      <w:r>
        <w:rPr>
          <w:w w:val="105"/>
        </w:rPr>
        <w:t>metropolitan</w:t>
      </w:r>
      <w:r>
        <w:rPr>
          <w:spacing w:val="-2"/>
          <w:w w:val="105"/>
        </w:rPr>
        <w:t> </w:t>
      </w:r>
      <w:r>
        <w:rPr>
          <w:w w:val="105"/>
        </w:rPr>
        <w:t>and</w:t>
      </w:r>
      <w:r>
        <w:rPr>
          <w:spacing w:val="-2"/>
          <w:w w:val="105"/>
        </w:rPr>
        <w:t> </w:t>
      </w:r>
      <w:r>
        <w:rPr>
          <w:w w:val="105"/>
        </w:rPr>
        <w:t>access</w:t>
      </w:r>
      <w:r>
        <w:rPr>
          <w:spacing w:val="-2"/>
          <w:w w:val="105"/>
        </w:rPr>
        <w:t> </w:t>
      </w:r>
      <w:r>
        <w:rPr>
          <w:w w:val="105"/>
        </w:rPr>
        <w:t>networks,</w:t>
      </w:r>
      <w:r>
        <w:rPr>
          <w:spacing w:val="-2"/>
          <w:w w:val="105"/>
        </w:rPr>
        <w:t> </w:t>
      </w:r>
      <w:r>
        <w:rPr>
          <w:w w:val="105"/>
        </w:rPr>
        <w:t>and</w:t>
      </w:r>
      <w:r>
        <w:rPr>
          <w:spacing w:val="-2"/>
          <w:w w:val="105"/>
        </w:rPr>
        <w:t> </w:t>
      </w:r>
      <w:r>
        <w:rPr>
          <w:w w:val="105"/>
        </w:rPr>
        <w:t>ClearCurve®</w:t>
      </w:r>
      <w:r>
        <w:rPr>
          <w:spacing w:val="-2"/>
          <w:w w:val="105"/>
        </w:rPr>
        <w:t> </w:t>
      </w:r>
      <w:r>
        <w:rPr>
          <w:w w:val="105"/>
        </w:rPr>
        <w:t>ultra-bendable</w:t>
      </w:r>
      <w:r>
        <w:rPr>
          <w:spacing w:val="-2"/>
          <w:w w:val="105"/>
        </w:rPr>
        <w:t> </w:t>
      </w:r>
      <w:r>
        <w:rPr>
          <w:w w:val="105"/>
        </w:rPr>
        <w:t>single-mode</w:t>
      </w:r>
      <w:r>
        <w:rPr>
          <w:spacing w:val="-2"/>
          <w:w w:val="105"/>
        </w:rPr>
        <w:t> </w:t>
      </w:r>
      <w:r>
        <w:rPr>
          <w:w w:val="105"/>
        </w:rPr>
        <w:t>fiber</w:t>
      </w:r>
      <w:r>
        <w:rPr>
          <w:spacing w:val="-2"/>
          <w:w w:val="105"/>
        </w:rPr>
        <w:t> </w:t>
      </w:r>
      <w:r>
        <w:rPr>
          <w:w w:val="105"/>
        </w:rPr>
        <w:t>for</w:t>
      </w:r>
      <w:r>
        <w:rPr>
          <w:spacing w:val="-2"/>
          <w:w w:val="105"/>
        </w:rPr>
        <w:t> </w:t>
      </w:r>
      <w:r>
        <w:rPr>
          <w:w w:val="105"/>
        </w:rPr>
        <w:t>use</w:t>
      </w:r>
      <w:r>
        <w:rPr>
          <w:spacing w:val="-2"/>
          <w:w w:val="105"/>
        </w:rPr>
        <w:t> </w:t>
      </w:r>
      <w:r>
        <w:rPr>
          <w:w w:val="105"/>
        </w:rPr>
        <w:t>in</w:t>
      </w:r>
      <w:r>
        <w:rPr>
          <w:spacing w:val="-2"/>
          <w:w w:val="105"/>
        </w:rPr>
        <w:t> </w:t>
      </w:r>
      <w:r>
        <w:rPr>
          <w:w w:val="105"/>
        </w:rPr>
        <w:t>multiple-dwelling units</w:t>
      </w:r>
      <w:r>
        <w:rPr>
          <w:spacing w:val="-2"/>
          <w:w w:val="105"/>
        </w:rPr>
        <w:t> </w:t>
      </w:r>
      <w:r>
        <w:rPr>
          <w:w w:val="105"/>
        </w:rPr>
        <w:t>and</w:t>
      </w:r>
      <w:r>
        <w:rPr>
          <w:spacing w:val="-2"/>
          <w:w w:val="105"/>
        </w:rPr>
        <w:t> </w:t>
      </w:r>
      <w:r>
        <w:rPr>
          <w:w w:val="105"/>
        </w:rPr>
        <w:t>fiber-to-the-home</w:t>
      </w:r>
      <w:r>
        <w:rPr>
          <w:spacing w:val="-2"/>
          <w:w w:val="105"/>
        </w:rPr>
        <w:t> </w:t>
      </w:r>
      <w:r>
        <w:rPr>
          <w:w w:val="105"/>
        </w:rPr>
        <w:t>applications.</w:t>
      </w:r>
      <w:r>
        <w:rPr>
          <w:spacing w:val="39"/>
          <w:w w:val="105"/>
        </w:rPr>
        <w:t> </w:t>
      </w:r>
      <w:r>
        <w:rPr>
          <w:w w:val="105"/>
        </w:rPr>
        <w:t>For</w:t>
      </w:r>
      <w:r>
        <w:rPr>
          <w:spacing w:val="-2"/>
          <w:w w:val="105"/>
        </w:rPr>
        <w:t> </w:t>
      </w:r>
      <w:r>
        <w:rPr>
          <w:w w:val="105"/>
        </w:rPr>
        <w:t>high</w:t>
      </w:r>
      <w:r>
        <w:rPr>
          <w:spacing w:val="-2"/>
          <w:w w:val="105"/>
        </w:rPr>
        <w:t> </w:t>
      </w:r>
      <w:r>
        <w:rPr>
          <w:w w:val="105"/>
        </w:rPr>
        <w:t>performance</w:t>
      </w:r>
      <w:r>
        <w:rPr>
          <w:spacing w:val="-2"/>
          <w:w w:val="105"/>
        </w:rPr>
        <w:t> </w:t>
      </w:r>
      <w:r>
        <w:rPr>
          <w:w w:val="105"/>
        </w:rPr>
        <w:t>across</w:t>
      </w:r>
      <w:r>
        <w:rPr>
          <w:spacing w:val="-2"/>
          <w:w w:val="105"/>
        </w:rPr>
        <w:t> </w:t>
      </w:r>
      <w:r>
        <w:rPr>
          <w:w w:val="105"/>
        </w:rPr>
        <w:t>the</w:t>
      </w:r>
      <w:r>
        <w:rPr>
          <w:spacing w:val="-2"/>
          <w:w w:val="105"/>
        </w:rPr>
        <w:t> </w:t>
      </w:r>
      <w:r>
        <w:rPr>
          <w:w w:val="105"/>
        </w:rPr>
        <w:t>range</w:t>
      </w:r>
      <w:r>
        <w:rPr>
          <w:spacing w:val="-2"/>
          <w:w w:val="105"/>
        </w:rPr>
        <w:t> </w:t>
      </w:r>
      <w:r>
        <w:rPr>
          <w:w w:val="105"/>
        </w:rPr>
        <w:t>of</w:t>
      </w:r>
      <w:r>
        <w:rPr>
          <w:spacing w:val="-2"/>
          <w:w w:val="105"/>
        </w:rPr>
        <w:t> </w:t>
      </w:r>
      <w:r>
        <w:rPr>
          <w:w w:val="105"/>
        </w:rPr>
        <w:t>long-haul,</w:t>
      </w:r>
      <w:r>
        <w:rPr>
          <w:spacing w:val="-2"/>
          <w:w w:val="105"/>
        </w:rPr>
        <w:t> </w:t>
      </w:r>
      <w:r>
        <w:rPr>
          <w:w w:val="105"/>
        </w:rPr>
        <w:t>metro,</w:t>
      </w:r>
      <w:r>
        <w:rPr>
          <w:spacing w:val="-2"/>
          <w:w w:val="105"/>
        </w:rPr>
        <w:t> </w:t>
      </w:r>
      <w:r>
        <w:rPr>
          <w:w w:val="105"/>
        </w:rPr>
        <w:t>access,</w:t>
      </w:r>
      <w:r>
        <w:rPr>
          <w:spacing w:val="-2"/>
          <w:w w:val="105"/>
        </w:rPr>
        <w:t> </w:t>
      </w:r>
      <w:r>
        <w:rPr>
          <w:w w:val="105"/>
        </w:rPr>
        <w:t>and</w:t>
      </w:r>
      <w:r>
        <w:rPr>
          <w:spacing w:val="-2"/>
          <w:w w:val="105"/>
        </w:rPr>
        <w:t> </w:t>
      </w:r>
      <w:r>
        <w:rPr>
          <w:w w:val="105"/>
        </w:rPr>
        <w:t>fiber-to-the-home</w:t>
      </w:r>
      <w:r>
        <w:rPr>
          <w:spacing w:val="-2"/>
          <w:w w:val="105"/>
        </w:rPr>
        <w:t> </w:t>
      </w:r>
      <w:r>
        <w:rPr>
          <w:w w:val="105"/>
        </w:rPr>
        <w:t>network</w:t>
      </w:r>
      <w:r>
        <w:rPr>
          <w:spacing w:val="-2"/>
          <w:w w:val="105"/>
        </w:rPr>
        <w:t> </w:t>
      </w:r>
      <w:r>
        <w:rPr>
          <w:w w:val="105"/>
        </w:rPr>
        <w:t>applications,</w:t>
      </w:r>
      <w:r>
        <w:rPr>
          <w:spacing w:val="-2"/>
          <w:w w:val="105"/>
        </w:rPr>
        <w:t> </w:t>
      </w:r>
      <w:r>
        <w:rPr>
          <w:w w:val="105"/>
        </w:rPr>
        <w:t>SMF-28®</w:t>
      </w:r>
      <w:r>
        <w:rPr>
          <w:spacing w:val="-2"/>
          <w:w w:val="105"/>
        </w:rPr>
        <w:t> </w:t>
      </w:r>
      <w:r>
        <w:rPr>
          <w:w w:val="105"/>
        </w:rPr>
        <w:t>Ultra and</w:t>
      </w:r>
      <w:r>
        <w:rPr>
          <w:spacing w:val="-2"/>
          <w:w w:val="105"/>
        </w:rPr>
        <w:t> </w:t>
      </w:r>
      <w:r>
        <w:rPr>
          <w:w w:val="105"/>
        </w:rPr>
        <w:t>SMF-28®</w:t>
      </w:r>
      <w:r>
        <w:rPr>
          <w:spacing w:val="-2"/>
          <w:w w:val="105"/>
        </w:rPr>
        <w:t> </w:t>
      </w:r>
      <w:r>
        <w:rPr>
          <w:w w:val="105"/>
        </w:rPr>
        <w:t>Contour</w:t>
      </w:r>
      <w:r>
        <w:rPr>
          <w:spacing w:val="-2"/>
          <w:w w:val="105"/>
        </w:rPr>
        <w:t> </w:t>
      </w:r>
      <w:r>
        <w:rPr>
          <w:w w:val="105"/>
        </w:rPr>
        <w:t>fibers</w:t>
      </w:r>
      <w:r>
        <w:rPr>
          <w:spacing w:val="-2"/>
          <w:w w:val="105"/>
        </w:rPr>
        <w:t> </w:t>
      </w:r>
      <w:r>
        <w:rPr>
          <w:w w:val="105"/>
        </w:rPr>
        <w:t>deliver</w:t>
      </w:r>
      <w:r>
        <w:rPr>
          <w:spacing w:val="-2"/>
          <w:w w:val="105"/>
        </w:rPr>
        <w:t> </w:t>
      </w:r>
      <w:r>
        <w:rPr>
          <w:w w:val="105"/>
        </w:rPr>
        <w:t>industry-leading</w:t>
      </w:r>
      <w:r>
        <w:rPr>
          <w:spacing w:val="-2"/>
          <w:w w:val="105"/>
        </w:rPr>
        <w:t> </w:t>
      </w:r>
      <w:r>
        <w:rPr>
          <w:w w:val="105"/>
        </w:rPr>
        <w:t>attenuation, compatibility,</w:t>
      </w:r>
      <w:r>
        <w:rPr>
          <w:spacing w:val="-2"/>
          <w:w w:val="105"/>
        </w:rPr>
        <w:t> </w:t>
      </w:r>
      <w:r>
        <w:rPr>
          <w:w w:val="105"/>
        </w:rPr>
        <w:t>and</w:t>
      </w:r>
      <w:r>
        <w:rPr>
          <w:spacing w:val="-2"/>
          <w:w w:val="105"/>
        </w:rPr>
        <w:t> </w:t>
      </w:r>
      <w:r>
        <w:rPr>
          <w:w w:val="105"/>
        </w:rPr>
        <w:t>improved</w:t>
      </w:r>
      <w:r>
        <w:rPr>
          <w:spacing w:val="-2"/>
          <w:w w:val="105"/>
        </w:rPr>
        <w:t> </w:t>
      </w:r>
      <w:r>
        <w:rPr>
          <w:w w:val="105"/>
        </w:rPr>
        <w:t>macrobend</w:t>
      </w:r>
      <w:r>
        <w:rPr>
          <w:spacing w:val="-2"/>
          <w:w w:val="105"/>
        </w:rPr>
        <w:t> </w:t>
      </w:r>
      <w:r>
        <w:rPr>
          <w:w w:val="105"/>
        </w:rPr>
        <w:t>performance</w:t>
      </w:r>
      <w:r>
        <w:rPr>
          <w:spacing w:val="-2"/>
          <w:w w:val="105"/>
        </w:rPr>
        <w:t> </w:t>
      </w:r>
      <w:r>
        <w:rPr>
          <w:w w:val="105"/>
        </w:rPr>
        <w:t>in</w:t>
      </w:r>
      <w:r>
        <w:rPr>
          <w:spacing w:val="-2"/>
          <w:w w:val="105"/>
        </w:rPr>
        <w:t> </w:t>
      </w:r>
      <w:r>
        <w:rPr>
          <w:w w:val="105"/>
        </w:rPr>
        <w:t>one</w:t>
      </w:r>
      <w:r>
        <w:rPr>
          <w:spacing w:val="-2"/>
          <w:w w:val="105"/>
        </w:rPr>
        <w:t> </w:t>
      </w:r>
      <w:r>
        <w:rPr>
          <w:w w:val="105"/>
        </w:rPr>
        <w:t>fiber.</w:t>
      </w:r>
      <w:r>
        <w:rPr>
          <w:spacing w:val="-2"/>
          <w:w w:val="105"/>
        </w:rPr>
        <w:t> </w:t>
      </w:r>
      <w:r>
        <w:rPr>
          <w:w w:val="105"/>
        </w:rPr>
        <w:t>A</w:t>
      </w:r>
      <w:r>
        <w:rPr>
          <w:spacing w:val="-2"/>
          <w:w w:val="105"/>
        </w:rPr>
        <w:t> </w:t>
      </w:r>
      <w:r>
        <w:rPr>
          <w:w w:val="105"/>
        </w:rPr>
        <w:t>portion</w:t>
      </w:r>
      <w:r>
        <w:rPr>
          <w:spacing w:val="-2"/>
          <w:w w:val="105"/>
        </w:rPr>
        <w:t> </w:t>
      </w:r>
      <w:r>
        <w:rPr>
          <w:w w:val="105"/>
        </w:rPr>
        <w:t>of</w:t>
      </w:r>
      <w:r>
        <w:rPr>
          <w:spacing w:val="-2"/>
          <w:w w:val="105"/>
        </w:rPr>
        <w:t> </w:t>
      </w:r>
      <w:r>
        <w:rPr>
          <w:w w:val="105"/>
        </w:rPr>
        <w:t>our</w:t>
      </w:r>
      <w:r>
        <w:rPr>
          <w:spacing w:val="-2"/>
          <w:w w:val="105"/>
        </w:rPr>
        <w:t> </w:t>
      </w:r>
      <w:r>
        <w:rPr>
          <w:w w:val="105"/>
        </w:rPr>
        <w:t>optical</w:t>
      </w:r>
      <w:r>
        <w:rPr>
          <w:spacing w:val="-2"/>
          <w:w w:val="105"/>
        </w:rPr>
        <w:t> </w:t>
      </w:r>
      <w:r>
        <w:rPr>
          <w:w w:val="105"/>
        </w:rPr>
        <w:t>fiber</w:t>
      </w:r>
      <w:r>
        <w:rPr>
          <w:spacing w:val="-2"/>
          <w:w w:val="105"/>
        </w:rPr>
        <w:t> </w:t>
      </w:r>
      <w:r>
        <w:rPr>
          <w:w w:val="105"/>
        </w:rPr>
        <w:t>is</w:t>
      </w:r>
      <w:r>
        <w:rPr>
          <w:spacing w:val="-2"/>
          <w:w w:val="105"/>
        </w:rPr>
        <w:t> </w:t>
      </w:r>
      <w:r>
        <w:rPr>
          <w:w w:val="105"/>
        </w:rPr>
        <w:t>sold directly</w:t>
      </w:r>
      <w:r>
        <w:rPr>
          <w:spacing w:val="-2"/>
          <w:w w:val="105"/>
        </w:rPr>
        <w:t> </w:t>
      </w:r>
      <w:r>
        <w:rPr>
          <w:w w:val="105"/>
        </w:rPr>
        <w:t>to</w:t>
      </w:r>
      <w:r>
        <w:rPr>
          <w:spacing w:val="-2"/>
          <w:w w:val="105"/>
        </w:rPr>
        <w:t> </w:t>
      </w:r>
      <w:r>
        <w:rPr>
          <w:w w:val="105"/>
        </w:rPr>
        <w:t>end</w:t>
      </w:r>
      <w:r>
        <w:rPr>
          <w:spacing w:val="-2"/>
          <w:w w:val="105"/>
        </w:rPr>
        <w:t> </w:t>
      </w:r>
      <w:r>
        <w:rPr>
          <w:w w:val="105"/>
        </w:rPr>
        <w:t>users</w:t>
      </w:r>
      <w:r>
        <w:rPr>
          <w:spacing w:val="-2"/>
          <w:w w:val="105"/>
        </w:rPr>
        <w:t> </w:t>
      </w:r>
      <w:r>
        <w:rPr>
          <w:w w:val="105"/>
        </w:rPr>
        <w:t>and</w:t>
      </w:r>
      <w:r>
        <w:rPr>
          <w:spacing w:val="-2"/>
          <w:w w:val="105"/>
        </w:rPr>
        <w:t> </w:t>
      </w:r>
      <w:r>
        <w:rPr>
          <w:w w:val="105"/>
        </w:rPr>
        <w:t>third-party</w:t>
      </w:r>
      <w:r>
        <w:rPr>
          <w:spacing w:val="-2"/>
          <w:w w:val="105"/>
        </w:rPr>
        <w:t> </w:t>
      </w:r>
      <w:r>
        <w:rPr>
          <w:w w:val="105"/>
        </w:rPr>
        <w:t>cablers</w:t>
      </w:r>
      <w:r>
        <w:rPr>
          <w:spacing w:val="-2"/>
          <w:w w:val="105"/>
        </w:rPr>
        <w:t> </w:t>
      </w:r>
      <w:r>
        <w:rPr>
          <w:w w:val="105"/>
        </w:rPr>
        <w:t>globally.</w:t>
      </w:r>
      <w:r>
        <w:rPr>
          <w:spacing w:val="-2"/>
          <w:w w:val="105"/>
        </w:rPr>
        <w:t> </w:t>
      </w:r>
      <w:r>
        <w:rPr>
          <w:w w:val="105"/>
        </w:rPr>
        <w:t>Corning’s</w:t>
      </w:r>
      <w:r>
        <w:rPr>
          <w:spacing w:val="-2"/>
          <w:w w:val="105"/>
        </w:rPr>
        <w:t> </w:t>
      </w:r>
      <w:r>
        <w:rPr>
          <w:w w:val="105"/>
        </w:rPr>
        <w:t>remaining</w:t>
      </w:r>
      <w:r>
        <w:rPr>
          <w:spacing w:val="-2"/>
          <w:w w:val="105"/>
        </w:rPr>
        <w:t> </w:t>
      </w:r>
      <w:r>
        <w:rPr>
          <w:w w:val="105"/>
        </w:rPr>
        <w:t>fiber</w:t>
      </w:r>
      <w:r>
        <w:rPr>
          <w:spacing w:val="-2"/>
          <w:w w:val="105"/>
        </w:rPr>
        <w:t> </w:t>
      </w:r>
      <w:r>
        <w:rPr>
          <w:w w:val="105"/>
        </w:rPr>
        <w:t>production</w:t>
      </w:r>
      <w:r>
        <w:rPr>
          <w:spacing w:val="-2"/>
          <w:w w:val="105"/>
        </w:rPr>
        <w:t> </w:t>
      </w:r>
      <w:r>
        <w:rPr>
          <w:w w:val="105"/>
        </w:rPr>
        <w:t>is</w:t>
      </w:r>
      <w:r>
        <w:rPr>
          <w:spacing w:val="-2"/>
          <w:w w:val="105"/>
        </w:rPr>
        <w:t> </w:t>
      </w:r>
      <w:r>
        <w:rPr>
          <w:w w:val="105"/>
        </w:rPr>
        <w:t>cabled</w:t>
      </w:r>
      <w:r>
        <w:rPr>
          <w:spacing w:val="-2"/>
          <w:w w:val="105"/>
        </w:rPr>
        <w:t> </w:t>
      </w:r>
      <w:r>
        <w:rPr>
          <w:w w:val="105"/>
        </w:rPr>
        <w:t>internally</w:t>
      </w:r>
      <w:r>
        <w:rPr>
          <w:spacing w:val="-2"/>
          <w:w w:val="105"/>
        </w:rPr>
        <w:t> </w:t>
      </w:r>
      <w:r>
        <w:rPr>
          <w:w w:val="105"/>
        </w:rPr>
        <w:t>and</w:t>
      </w:r>
      <w:r>
        <w:rPr>
          <w:spacing w:val="-2"/>
          <w:w w:val="105"/>
        </w:rPr>
        <w:t> </w:t>
      </w:r>
      <w:r>
        <w:rPr>
          <w:w w:val="105"/>
        </w:rPr>
        <w:t>sold</w:t>
      </w:r>
      <w:r>
        <w:rPr>
          <w:spacing w:val="-2"/>
          <w:w w:val="105"/>
        </w:rPr>
        <w:t> </w:t>
      </w:r>
      <w:r>
        <w:rPr>
          <w:w w:val="105"/>
        </w:rPr>
        <w:t>to</w:t>
      </w:r>
      <w:r>
        <w:rPr>
          <w:spacing w:val="-2"/>
          <w:w w:val="105"/>
        </w:rPr>
        <w:t> </w:t>
      </w:r>
      <w:r>
        <w:rPr>
          <w:w w:val="105"/>
        </w:rPr>
        <w:t>end</w:t>
      </w:r>
      <w:r>
        <w:rPr>
          <w:spacing w:val="-2"/>
          <w:w w:val="105"/>
        </w:rPr>
        <w:t> </w:t>
      </w:r>
      <w:r>
        <w:rPr>
          <w:w w:val="105"/>
        </w:rPr>
        <w:t>users</w:t>
      </w:r>
      <w:r>
        <w:rPr>
          <w:spacing w:val="-2"/>
          <w:w w:val="105"/>
        </w:rPr>
        <w:t> </w:t>
      </w:r>
      <w:r>
        <w:rPr>
          <w:w w:val="105"/>
        </w:rPr>
        <w:t>as</w:t>
      </w:r>
      <w:r>
        <w:rPr>
          <w:spacing w:val="-2"/>
          <w:w w:val="105"/>
        </w:rPr>
        <w:t> </w:t>
      </w:r>
      <w:r>
        <w:rPr>
          <w:w w:val="105"/>
        </w:rPr>
        <w:t>either</w:t>
      </w:r>
      <w:r>
        <w:rPr>
          <w:spacing w:val="-2"/>
          <w:w w:val="105"/>
        </w:rPr>
        <w:t> </w:t>
      </w:r>
      <w:r>
        <w:rPr>
          <w:w w:val="105"/>
        </w:rPr>
        <w:t>bulk</w:t>
      </w:r>
      <w:r>
        <w:rPr>
          <w:spacing w:val="-2"/>
          <w:w w:val="105"/>
        </w:rPr>
        <w:t> </w:t>
      </w:r>
      <w:r>
        <w:rPr>
          <w:w w:val="105"/>
        </w:rPr>
        <w:t>cable</w:t>
      </w:r>
      <w:r>
        <w:rPr>
          <w:spacing w:val="-2"/>
          <w:w w:val="105"/>
        </w:rPr>
        <w:t> </w:t>
      </w:r>
      <w:r>
        <w:rPr>
          <w:w w:val="105"/>
        </w:rPr>
        <w:t>or</w:t>
      </w:r>
      <w:r>
        <w:rPr>
          <w:spacing w:val="-2"/>
          <w:w w:val="105"/>
        </w:rPr>
        <w:t> </w:t>
      </w:r>
      <w:r>
        <w:rPr>
          <w:w w:val="105"/>
        </w:rPr>
        <w:t>as</w:t>
      </w:r>
      <w:r>
        <w:rPr>
          <w:spacing w:val="-2"/>
          <w:w w:val="105"/>
        </w:rPr>
        <w:t> </w:t>
      </w:r>
      <w:r>
        <w:rPr>
          <w:w w:val="105"/>
        </w:rPr>
        <w:t>part</w:t>
      </w:r>
      <w:r>
        <w:rPr>
          <w:spacing w:val="-2"/>
          <w:w w:val="105"/>
        </w:rPr>
        <w:t> </w:t>
      </w:r>
      <w:r>
        <w:rPr>
          <w:w w:val="105"/>
        </w:rPr>
        <w:t>of</w:t>
      </w:r>
      <w:r>
        <w:rPr>
          <w:spacing w:val="-2"/>
          <w:w w:val="105"/>
        </w:rPr>
        <w:t> </w:t>
      </w:r>
      <w:r>
        <w:rPr>
          <w:w w:val="105"/>
        </w:rPr>
        <w:t>an integrated</w:t>
      </w:r>
      <w:r>
        <w:rPr>
          <w:spacing w:val="-2"/>
          <w:w w:val="105"/>
        </w:rPr>
        <w:t> </w:t>
      </w:r>
      <w:r>
        <w:rPr>
          <w:w w:val="105"/>
        </w:rPr>
        <w:t>optical</w:t>
      </w:r>
      <w:r>
        <w:rPr>
          <w:spacing w:val="-2"/>
          <w:w w:val="105"/>
        </w:rPr>
        <w:t> </w:t>
      </w:r>
      <w:r>
        <w:rPr>
          <w:w w:val="105"/>
        </w:rPr>
        <w:t>solution.</w:t>
      </w:r>
      <w:r>
        <w:rPr>
          <w:spacing w:val="-2"/>
          <w:w w:val="105"/>
        </w:rPr>
        <w:t> </w:t>
      </w:r>
      <w:r>
        <w:rPr>
          <w:w w:val="105"/>
        </w:rPr>
        <w:t>Corning’s</w:t>
      </w:r>
      <w:r>
        <w:rPr>
          <w:spacing w:val="-2"/>
          <w:w w:val="105"/>
        </w:rPr>
        <w:t> </w:t>
      </w:r>
      <w:r>
        <w:rPr>
          <w:w w:val="105"/>
        </w:rPr>
        <w:t>cable</w:t>
      </w:r>
      <w:r>
        <w:rPr>
          <w:spacing w:val="-2"/>
          <w:w w:val="105"/>
        </w:rPr>
        <w:t> </w:t>
      </w:r>
      <w:r>
        <w:rPr>
          <w:w w:val="105"/>
        </w:rPr>
        <w:t>products,</w:t>
      </w:r>
      <w:r>
        <w:rPr>
          <w:spacing w:val="-2"/>
          <w:w w:val="105"/>
        </w:rPr>
        <w:t> </w:t>
      </w:r>
      <w:r>
        <w:rPr>
          <w:w w:val="105"/>
        </w:rPr>
        <w:t>including</w:t>
      </w:r>
      <w:r>
        <w:rPr>
          <w:spacing w:val="-2"/>
          <w:w w:val="105"/>
        </w:rPr>
        <w:t> </w:t>
      </w:r>
      <w:r>
        <w:rPr>
          <w:w w:val="105"/>
        </w:rPr>
        <w:t>the</w:t>
      </w:r>
      <w:r>
        <w:rPr>
          <w:spacing w:val="-2"/>
          <w:w w:val="105"/>
        </w:rPr>
        <w:t> </w:t>
      </w:r>
      <w:r>
        <w:rPr>
          <w:w w:val="105"/>
        </w:rPr>
        <w:t>RocketRibbon®</w:t>
      </w:r>
      <w:r>
        <w:rPr>
          <w:spacing w:val="-2"/>
          <w:w w:val="105"/>
        </w:rPr>
        <w:t> </w:t>
      </w:r>
      <w:r>
        <w:rPr>
          <w:w w:val="105"/>
        </w:rPr>
        <w:t>and</w:t>
      </w:r>
      <w:r>
        <w:rPr>
          <w:spacing w:val="-2"/>
          <w:w w:val="105"/>
        </w:rPr>
        <w:t> </w:t>
      </w:r>
      <w:r>
        <w:rPr>
          <w:w w:val="105"/>
        </w:rPr>
        <w:t>miniXtend®</w:t>
      </w:r>
      <w:r>
        <w:rPr>
          <w:spacing w:val="-2"/>
          <w:w w:val="105"/>
        </w:rPr>
        <w:t> </w:t>
      </w:r>
      <w:r>
        <w:rPr>
          <w:w w:val="105"/>
        </w:rPr>
        <w:t>portfolios,</w:t>
      </w:r>
      <w:r>
        <w:rPr>
          <w:spacing w:val="-2"/>
          <w:w w:val="105"/>
        </w:rPr>
        <w:t> </w:t>
      </w:r>
      <w:r>
        <w:rPr>
          <w:w w:val="105"/>
        </w:rPr>
        <w:t>support</w:t>
      </w:r>
      <w:r>
        <w:rPr>
          <w:spacing w:val="-2"/>
          <w:w w:val="105"/>
        </w:rPr>
        <w:t> </w:t>
      </w:r>
      <w:r>
        <w:rPr>
          <w:w w:val="105"/>
        </w:rPr>
        <w:t>various</w:t>
      </w:r>
      <w:r>
        <w:rPr>
          <w:spacing w:val="-2"/>
          <w:w w:val="105"/>
        </w:rPr>
        <w:t> </w:t>
      </w:r>
      <w:r>
        <w:rPr>
          <w:w w:val="105"/>
        </w:rPr>
        <w:t>outdoor,</w:t>
      </w:r>
      <w:r>
        <w:rPr>
          <w:spacing w:val="-2"/>
          <w:w w:val="105"/>
        </w:rPr>
        <w:t> </w:t>
      </w:r>
      <w:r>
        <w:rPr>
          <w:w w:val="105"/>
        </w:rPr>
        <w:t>indoor/outdoor</w:t>
      </w:r>
      <w:r>
        <w:rPr>
          <w:spacing w:val="-2"/>
          <w:w w:val="105"/>
        </w:rPr>
        <w:t> </w:t>
      </w:r>
      <w:r>
        <w:rPr>
          <w:w w:val="105"/>
        </w:rPr>
        <w:t>and</w:t>
      </w:r>
      <w:r>
        <w:rPr>
          <w:spacing w:val="-2"/>
          <w:w w:val="105"/>
        </w:rPr>
        <w:t> </w:t>
      </w:r>
      <w:r>
        <w:rPr>
          <w:w w:val="105"/>
        </w:rPr>
        <w:t>indoor applications</w:t>
      </w:r>
      <w:r>
        <w:rPr>
          <w:spacing w:val="-3"/>
          <w:w w:val="105"/>
        </w:rPr>
        <w:t> </w:t>
      </w:r>
      <w:r>
        <w:rPr>
          <w:w w:val="105"/>
        </w:rPr>
        <w:t>and</w:t>
      </w:r>
      <w:r>
        <w:rPr>
          <w:spacing w:val="-3"/>
          <w:w w:val="105"/>
        </w:rPr>
        <w:t> </w:t>
      </w:r>
      <w:r>
        <w:rPr>
          <w:w w:val="105"/>
        </w:rPr>
        <w:t>include</w:t>
      </w:r>
      <w:r>
        <w:rPr>
          <w:spacing w:val="-1"/>
          <w:w w:val="105"/>
        </w:rPr>
        <w:t> </w:t>
      </w:r>
      <w:r>
        <w:rPr>
          <w:w w:val="105"/>
        </w:rPr>
        <w:t>a</w:t>
      </w:r>
      <w:r>
        <w:rPr>
          <w:spacing w:val="-3"/>
          <w:w w:val="105"/>
        </w:rPr>
        <w:t> </w:t>
      </w:r>
      <w:r>
        <w:rPr>
          <w:w w:val="105"/>
        </w:rPr>
        <w:t>broad</w:t>
      </w:r>
      <w:r>
        <w:rPr>
          <w:spacing w:val="-3"/>
          <w:w w:val="105"/>
        </w:rPr>
        <w:t> </w:t>
      </w:r>
      <w:r>
        <w:rPr>
          <w:w w:val="105"/>
        </w:rPr>
        <w:t>range</w:t>
      </w:r>
      <w:r>
        <w:rPr>
          <w:spacing w:val="-3"/>
          <w:w w:val="105"/>
        </w:rPr>
        <w:t> </w:t>
      </w:r>
      <w:r>
        <w:rPr>
          <w:w w:val="105"/>
        </w:rPr>
        <w:t>of</w:t>
      </w:r>
      <w:r>
        <w:rPr>
          <w:spacing w:val="-3"/>
          <w:w w:val="105"/>
        </w:rPr>
        <w:t> </w:t>
      </w:r>
      <w:r>
        <w:rPr>
          <w:w w:val="105"/>
        </w:rPr>
        <w:t>loose</w:t>
      </w:r>
      <w:r>
        <w:rPr>
          <w:spacing w:val="-3"/>
          <w:w w:val="105"/>
        </w:rPr>
        <w:t> </w:t>
      </w:r>
      <w:r>
        <w:rPr>
          <w:w w:val="105"/>
        </w:rPr>
        <w:t>tube,</w:t>
      </w:r>
      <w:r>
        <w:rPr>
          <w:spacing w:val="-3"/>
          <w:w w:val="105"/>
        </w:rPr>
        <w:t> </w:t>
      </w:r>
      <w:r>
        <w:rPr>
          <w:w w:val="105"/>
        </w:rPr>
        <w:t>ribbon</w:t>
      </w:r>
      <w:r>
        <w:rPr>
          <w:spacing w:val="-1"/>
          <w:w w:val="105"/>
        </w:rPr>
        <w:t> </w:t>
      </w:r>
      <w:r>
        <w:rPr>
          <w:w w:val="105"/>
        </w:rPr>
        <w:t>and</w:t>
      </w:r>
      <w:r>
        <w:rPr>
          <w:spacing w:val="-3"/>
          <w:w w:val="105"/>
        </w:rPr>
        <w:t> </w:t>
      </w:r>
      <w:r>
        <w:rPr>
          <w:w w:val="105"/>
        </w:rPr>
        <w:t>drop</w:t>
      </w:r>
      <w:r>
        <w:rPr>
          <w:spacing w:val="-3"/>
          <w:w w:val="105"/>
        </w:rPr>
        <w:t> </w:t>
      </w:r>
      <w:r>
        <w:rPr>
          <w:w w:val="105"/>
        </w:rPr>
        <w:t>cable</w:t>
      </w:r>
      <w:r>
        <w:rPr>
          <w:spacing w:val="-3"/>
          <w:w w:val="105"/>
        </w:rPr>
        <w:t> </w:t>
      </w:r>
      <w:r>
        <w:rPr>
          <w:w w:val="105"/>
        </w:rPr>
        <w:t>designs</w:t>
      </w:r>
      <w:r>
        <w:rPr>
          <w:spacing w:val="-3"/>
          <w:w w:val="105"/>
        </w:rPr>
        <w:t> </w:t>
      </w:r>
      <w:r>
        <w:rPr>
          <w:w w:val="105"/>
        </w:rPr>
        <w:t>with</w:t>
      </w:r>
      <w:r>
        <w:rPr>
          <w:spacing w:val="-3"/>
          <w:w w:val="105"/>
        </w:rPr>
        <w:t> </w:t>
      </w:r>
      <w:r>
        <w:rPr>
          <w:w w:val="105"/>
        </w:rPr>
        <w:t>flame-retardant</w:t>
      </w:r>
      <w:r>
        <w:rPr>
          <w:spacing w:val="-3"/>
          <w:w w:val="105"/>
        </w:rPr>
        <w:t> </w:t>
      </w:r>
      <w:r>
        <w:rPr>
          <w:w w:val="105"/>
        </w:rPr>
        <w:t>versions</w:t>
      </w:r>
      <w:r>
        <w:rPr>
          <w:spacing w:val="-3"/>
          <w:w w:val="105"/>
        </w:rPr>
        <w:t> </w:t>
      </w:r>
      <w:r>
        <w:rPr>
          <w:w w:val="105"/>
        </w:rPr>
        <w:t>available</w:t>
      </w:r>
      <w:r>
        <w:rPr>
          <w:spacing w:val="-3"/>
          <w:w w:val="105"/>
        </w:rPr>
        <w:t> </w:t>
      </w:r>
      <w:r>
        <w:rPr>
          <w:w w:val="105"/>
        </w:rPr>
        <w:t>for</w:t>
      </w:r>
      <w:r>
        <w:rPr>
          <w:spacing w:val="-3"/>
          <w:w w:val="105"/>
        </w:rPr>
        <w:t> </w:t>
      </w:r>
      <w:r>
        <w:rPr>
          <w:w w:val="105"/>
        </w:rPr>
        <w:t>indoor</w:t>
      </w:r>
      <w:r>
        <w:rPr>
          <w:spacing w:val="-3"/>
          <w:w w:val="105"/>
        </w:rPr>
        <w:t> </w:t>
      </w:r>
      <w:r>
        <w:rPr>
          <w:w w:val="105"/>
        </w:rPr>
        <w:t>and</w:t>
      </w:r>
      <w:r>
        <w:rPr>
          <w:spacing w:val="-3"/>
          <w:w w:val="105"/>
        </w:rPr>
        <w:t> </w:t>
      </w:r>
      <w:r>
        <w:rPr>
          <w:w w:val="105"/>
        </w:rPr>
        <w:t>indoor/outdoor</w:t>
      </w:r>
      <w:r>
        <w:rPr>
          <w:spacing w:val="-3"/>
          <w:w w:val="105"/>
        </w:rPr>
        <w:t> </w:t>
      </w:r>
      <w:r>
        <w:rPr>
          <w:w w:val="105"/>
        </w:rPr>
        <w:t>use</w:t>
      </w:r>
      <w:r>
        <w:rPr>
          <w:spacing w:val="-3"/>
          <w:w w:val="105"/>
        </w:rPr>
        <w:t> </w:t>
      </w:r>
      <w:r>
        <w:rPr>
          <w:w w:val="105"/>
        </w:rPr>
        <w:t>including</w:t>
      </w:r>
      <w:r>
        <w:rPr>
          <w:spacing w:val="-3"/>
          <w:w w:val="105"/>
        </w:rPr>
        <w:t> </w:t>
      </w:r>
      <w:r>
        <w:rPr>
          <w:w w:val="105"/>
        </w:rPr>
        <w:t>5G </w:t>
      </w:r>
      <w:r>
        <w:rPr>
          <w:spacing w:val="-2"/>
          <w:w w:val="105"/>
        </w:rPr>
        <w:t>networks.</w:t>
      </w:r>
    </w:p>
    <w:p>
      <w:pPr>
        <w:pStyle w:val="BodyText"/>
        <w:spacing w:before="16"/>
      </w:pPr>
    </w:p>
    <w:p>
      <w:pPr>
        <w:pStyle w:val="BodyText"/>
        <w:spacing w:line="266" w:lineRule="auto"/>
        <w:ind w:left="156" w:right="139"/>
      </w:pPr>
      <w:r>
        <w:rPr>
          <w:w w:val="105"/>
        </w:rPr>
        <w:t>In</w:t>
      </w:r>
      <w:r>
        <w:rPr>
          <w:spacing w:val="-9"/>
          <w:w w:val="105"/>
        </w:rPr>
        <w:t> </w:t>
      </w:r>
      <w:r>
        <w:rPr>
          <w:w w:val="105"/>
        </w:rPr>
        <w:t>addition</w:t>
      </w:r>
      <w:r>
        <w:rPr>
          <w:spacing w:val="-9"/>
          <w:w w:val="105"/>
        </w:rPr>
        <w:t> </w:t>
      </w:r>
      <w:r>
        <w:rPr>
          <w:w w:val="105"/>
        </w:rPr>
        <w:t>to</w:t>
      </w:r>
      <w:r>
        <w:rPr>
          <w:spacing w:val="-9"/>
          <w:w w:val="105"/>
        </w:rPr>
        <w:t> </w:t>
      </w:r>
      <w:r>
        <w:rPr>
          <w:w w:val="105"/>
        </w:rPr>
        <w:t>optical</w:t>
      </w:r>
      <w:r>
        <w:rPr>
          <w:spacing w:val="-9"/>
          <w:w w:val="105"/>
        </w:rPr>
        <w:t> </w:t>
      </w:r>
      <w:r>
        <w:rPr>
          <w:w w:val="105"/>
        </w:rPr>
        <w:t>fiber</w:t>
      </w:r>
      <w:r>
        <w:rPr>
          <w:spacing w:val="-9"/>
          <w:w w:val="105"/>
        </w:rPr>
        <w:t> </w:t>
      </w:r>
      <w:r>
        <w:rPr>
          <w:w w:val="105"/>
        </w:rPr>
        <w:t>and</w:t>
      </w:r>
      <w:r>
        <w:rPr>
          <w:spacing w:val="-9"/>
          <w:w w:val="105"/>
        </w:rPr>
        <w:t> </w:t>
      </w:r>
      <w:r>
        <w:rPr>
          <w:w w:val="105"/>
        </w:rPr>
        <w:t>cable,</w:t>
      </w:r>
      <w:r>
        <w:rPr>
          <w:spacing w:val="-9"/>
          <w:w w:val="105"/>
        </w:rPr>
        <w:t> </w:t>
      </w:r>
      <w:r>
        <w:rPr>
          <w:w w:val="105"/>
        </w:rPr>
        <w:t>our</w:t>
      </w:r>
      <w:r>
        <w:rPr>
          <w:spacing w:val="-9"/>
          <w:w w:val="105"/>
        </w:rPr>
        <w:t> </w:t>
      </w:r>
      <w:r>
        <w:rPr>
          <w:w w:val="105"/>
        </w:rPr>
        <w:t>carrier</w:t>
      </w:r>
      <w:r>
        <w:rPr>
          <w:spacing w:val="-9"/>
          <w:w w:val="105"/>
        </w:rPr>
        <w:t> </w:t>
      </w:r>
      <w:r>
        <w:rPr>
          <w:w w:val="105"/>
        </w:rPr>
        <w:t>network</w:t>
      </w:r>
      <w:r>
        <w:rPr>
          <w:spacing w:val="-9"/>
          <w:w w:val="105"/>
        </w:rPr>
        <w:t> </w:t>
      </w:r>
      <w:r>
        <w:rPr>
          <w:w w:val="105"/>
        </w:rPr>
        <w:t>product</w:t>
      </w:r>
      <w:r>
        <w:rPr>
          <w:spacing w:val="-9"/>
          <w:w w:val="105"/>
        </w:rPr>
        <w:t> </w:t>
      </w:r>
      <w:r>
        <w:rPr>
          <w:w w:val="105"/>
        </w:rPr>
        <w:t>portfolio</w:t>
      </w:r>
      <w:r>
        <w:rPr>
          <w:spacing w:val="-8"/>
          <w:w w:val="105"/>
        </w:rPr>
        <w:t> </w:t>
      </w:r>
      <w:r>
        <w:rPr>
          <w:w w:val="105"/>
        </w:rPr>
        <w:t>also</w:t>
      </w:r>
      <w:r>
        <w:rPr>
          <w:spacing w:val="-9"/>
          <w:w w:val="105"/>
        </w:rPr>
        <w:t> </w:t>
      </w:r>
      <w:r>
        <w:rPr>
          <w:w w:val="105"/>
        </w:rPr>
        <w:t>includes</w:t>
      </w:r>
      <w:r>
        <w:rPr>
          <w:spacing w:val="-9"/>
          <w:w w:val="105"/>
        </w:rPr>
        <w:t> </w:t>
      </w:r>
      <w:r>
        <w:rPr>
          <w:w w:val="105"/>
        </w:rPr>
        <w:t>hardware</w:t>
      </w:r>
      <w:r>
        <w:rPr>
          <w:spacing w:val="-9"/>
          <w:w w:val="105"/>
        </w:rPr>
        <w:t> </w:t>
      </w:r>
      <w:r>
        <w:rPr>
          <w:w w:val="105"/>
        </w:rPr>
        <w:t>and</w:t>
      </w:r>
      <w:r>
        <w:rPr>
          <w:spacing w:val="-9"/>
          <w:w w:val="105"/>
        </w:rPr>
        <w:t> </w:t>
      </w:r>
      <w:r>
        <w:rPr>
          <w:w w:val="105"/>
        </w:rPr>
        <w:t>equipment</w:t>
      </w:r>
      <w:r>
        <w:rPr>
          <w:spacing w:val="-9"/>
          <w:w w:val="105"/>
        </w:rPr>
        <w:t> </w:t>
      </w:r>
      <w:r>
        <w:rPr>
          <w:w w:val="105"/>
        </w:rPr>
        <w:t>products,</w:t>
      </w:r>
      <w:r>
        <w:rPr>
          <w:spacing w:val="-9"/>
          <w:w w:val="105"/>
        </w:rPr>
        <w:t> </w:t>
      </w:r>
      <w:r>
        <w:rPr>
          <w:w w:val="105"/>
        </w:rPr>
        <w:t>including</w:t>
      </w:r>
      <w:r>
        <w:rPr>
          <w:spacing w:val="-9"/>
          <w:w w:val="105"/>
        </w:rPr>
        <w:t> </w:t>
      </w:r>
      <w:r>
        <w:rPr>
          <w:w w:val="105"/>
        </w:rPr>
        <w:t>cable</w:t>
      </w:r>
      <w:r>
        <w:rPr>
          <w:spacing w:val="-9"/>
          <w:w w:val="105"/>
        </w:rPr>
        <w:t> </w:t>
      </w:r>
      <w:r>
        <w:rPr>
          <w:w w:val="105"/>
        </w:rPr>
        <w:t>assemblies,</w:t>
      </w:r>
      <w:r>
        <w:rPr>
          <w:spacing w:val="-9"/>
          <w:w w:val="105"/>
        </w:rPr>
        <w:t> </w:t>
      </w:r>
      <w:r>
        <w:rPr>
          <w:w w:val="105"/>
        </w:rPr>
        <w:t>fiber-optic</w:t>
      </w:r>
      <w:r>
        <w:rPr>
          <w:spacing w:val="-9"/>
          <w:w w:val="105"/>
        </w:rPr>
        <w:t> </w:t>
      </w:r>
      <w:r>
        <w:rPr>
          <w:w w:val="105"/>
        </w:rPr>
        <w:t>hardware, fiber-optic</w:t>
      </w:r>
      <w:r>
        <w:rPr>
          <w:spacing w:val="-9"/>
          <w:w w:val="105"/>
        </w:rPr>
        <w:t> </w:t>
      </w:r>
      <w:r>
        <w:rPr>
          <w:w w:val="105"/>
        </w:rPr>
        <w:t>connectors,</w:t>
      </w:r>
      <w:r>
        <w:rPr>
          <w:spacing w:val="-9"/>
          <w:w w:val="105"/>
        </w:rPr>
        <w:t> </w:t>
      </w:r>
      <w:r>
        <w:rPr>
          <w:w w:val="105"/>
        </w:rPr>
        <w:t>optical</w:t>
      </w:r>
      <w:r>
        <w:rPr>
          <w:spacing w:val="-9"/>
          <w:w w:val="105"/>
        </w:rPr>
        <w:t> </w:t>
      </w:r>
      <w:r>
        <w:rPr>
          <w:w w:val="105"/>
        </w:rPr>
        <w:t>components</w:t>
      </w:r>
      <w:r>
        <w:rPr>
          <w:spacing w:val="-9"/>
          <w:w w:val="105"/>
        </w:rPr>
        <w:t> </w:t>
      </w:r>
      <w:r>
        <w:rPr>
          <w:w w:val="105"/>
        </w:rPr>
        <w:t>and</w:t>
      </w:r>
      <w:r>
        <w:rPr>
          <w:spacing w:val="-9"/>
          <w:w w:val="105"/>
        </w:rPr>
        <w:t> </w:t>
      </w:r>
      <w:r>
        <w:rPr>
          <w:w w:val="105"/>
        </w:rPr>
        <w:t>couplers,</w:t>
      </w:r>
      <w:r>
        <w:rPr>
          <w:spacing w:val="-9"/>
          <w:w w:val="105"/>
        </w:rPr>
        <w:t> </w:t>
      </w:r>
      <w:r>
        <w:rPr>
          <w:w w:val="105"/>
        </w:rPr>
        <w:t>closures,</w:t>
      </w:r>
      <w:r>
        <w:rPr>
          <w:spacing w:val="-9"/>
          <w:w w:val="105"/>
        </w:rPr>
        <w:t> </w:t>
      </w:r>
      <w:r>
        <w:rPr>
          <w:w w:val="105"/>
        </w:rPr>
        <w:t>network</w:t>
      </w:r>
      <w:r>
        <w:rPr>
          <w:spacing w:val="-9"/>
          <w:w w:val="105"/>
        </w:rPr>
        <w:t> </w:t>
      </w:r>
      <w:r>
        <w:rPr>
          <w:w w:val="105"/>
        </w:rPr>
        <w:t>interface</w:t>
      </w:r>
      <w:r>
        <w:rPr>
          <w:spacing w:val="-9"/>
          <w:w w:val="105"/>
        </w:rPr>
        <w:t> </w:t>
      </w:r>
      <w:r>
        <w:rPr>
          <w:w w:val="105"/>
        </w:rPr>
        <w:t>devices,</w:t>
      </w:r>
      <w:r>
        <w:rPr>
          <w:spacing w:val="-9"/>
          <w:w w:val="105"/>
        </w:rPr>
        <w:t> </w:t>
      </w:r>
      <w:r>
        <w:rPr>
          <w:w w:val="105"/>
        </w:rPr>
        <w:t>and</w:t>
      </w:r>
      <w:r>
        <w:rPr>
          <w:spacing w:val="-9"/>
          <w:w w:val="105"/>
        </w:rPr>
        <w:t> </w:t>
      </w:r>
      <w:r>
        <w:rPr>
          <w:w w:val="105"/>
        </w:rPr>
        <w:t>other</w:t>
      </w:r>
      <w:r>
        <w:rPr>
          <w:spacing w:val="-9"/>
          <w:w w:val="105"/>
        </w:rPr>
        <w:t> </w:t>
      </w:r>
      <w:r>
        <w:rPr>
          <w:w w:val="105"/>
        </w:rPr>
        <w:t>accessories.</w:t>
      </w:r>
      <w:r>
        <w:rPr>
          <w:spacing w:val="-9"/>
          <w:w w:val="105"/>
        </w:rPr>
        <w:t> </w:t>
      </w:r>
      <w:r>
        <w:rPr>
          <w:w w:val="105"/>
        </w:rPr>
        <w:t>These</w:t>
      </w:r>
      <w:r>
        <w:rPr>
          <w:spacing w:val="-9"/>
          <w:w w:val="105"/>
        </w:rPr>
        <w:t> </w:t>
      </w:r>
      <w:r>
        <w:rPr>
          <w:w w:val="105"/>
        </w:rPr>
        <w:t>products</w:t>
      </w:r>
      <w:r>
        <w:rPr>
          <w:spacing w:val="-9"/>
          <w:w w:val="105"/>
        </w:rPr>
        <w:t> </w:t>
      </w:r>
      <w:r>
        <w:rPr>
          <w:w w:val="105"/>
        </w:rPr>
        <w:t>may</w:t>
      </w:r>
      <w:r>
        <w:rPr>
          <w:spacing w:val="-9"/>
          <w:w w:val="105"/>
        </w:rPr>
        <w:t> </w:t>
      </w:r>
      <w:r>
        <w:rPr>
          <w:w w:val="105"/>
        </w:rPr>
        <w:t>be</w:t>
      </w:r>
      <w:r>
        <w:rPr>
          <w:spacing w:val="-9"/>
          <w:w w:val="105"/>
        </w:rPr>
        <w:t> </w:t>
      </w:r>
      <w:r>
        <w:rPr>
          <w:w w:val="105"/>
        </w:rPr>
        <w:t>sold</w:t>
      </w:r>
      <w:r>
        <w:rPr>
          <w:spacing w:val="-9"/>
          <w:w w:val="105"/>
        </w:rPr>
        <w:t> </w:t>
      </w:r>
      <w:r>
        <w:rPr>
          <w:w w:val="105"/>
        </w:rPr>
        <w:t>as</w:t>
      </w:r>
      <w:r>
        <w:rPr>
          <w:spacing w:val="-9"/>
          <w:w w:val="105"/>
        </w:rPr>
        <w:t> </w:t>
      </w:r>
      <w:r>
        <w:rPr>
          <w:w w:val="105"/>
        </w:rPr>
        <w:t>individual</w:t>
      </w:r>
      <w:r>
        <w:rPr>
          <w:spacing w:val="-9"/>
          <w:w w:val="105"/>
        </w:rPr>
        <w:t> </w:t>
      </w:r>
      <w:r>
        <w:rPr>
          <w:w w:val="105"/>
        </w:rPr>
        <w:t>components</w:t>
      </w:r>
      <w:r>
        <w:rPr>
          <w:spacing w:val="-9"/>
          <w:w w:val="105"/>
        </w:rPr>
        <w:t> </w:t>
      </w:r>
      <w:r>
        <w:rPr>
          <w:w w:val="105"/>
        </w:rPr>
        <w:t>or as</w:t>
      </w:r>
      <w:r>
        <w:rPr>
          <w:spacing w:val="-2"/>
          <w:w w:val="105"/>
        </w:rPr>
        <w:t> </w:t>
      </w:r>
      <w:r>
        <w:rPr>
          <w:w w:val="105"/>
        </w:rPr>
        <w:t>part</w:t>
      </w:r>
      <w:r>
        <w:rPr>
          <w:spacing w:val="-2"/>
          <w:w w:val="105"/>
        </w:rPr>
        <w:t> </w:t>
      </w:r>
      <w:r>
        <w:rPr>
          <w:w w:val="105"/>
        </w:rPr>
        <w:t>of</w:t>
      </w:r>
      <w:r>
        <w:rPr>
          <w:spacing w:val="-2"/>
          <w:w w:val="105"/>
        </w:rPr>
        <w:t> </w:t>
      </w:r>
      <w:r>
        <w:rPr>
          <w:w w:val="105"/>
        </w:rPr>
        <w:t>integrated</w:t>
      </w:r>
      <w:r>
        <w:rPr>
          <w:spacing w:val="-2"/>
          <w:w w:val="105"/>
        </w:rPr>
        <w:t> </w:t>
      </w:r>
      <w:r>
        <w:rPr>
          <w:w w:val="105"/>
        </w:rPr>
        <w:t>optical</w:t>
      </w:r>
      <w:r>
        <w:rPr>
          <w:spacing w:val="-2"/>
          <w:w w:val="105"/>
        </w:rPr>
        <w:t> </w:t>
      </w:r>
      <w:r>
        <w:rPr>
          <w:w w:val="105"/>
        </w:rPr>
        <w:t>connectivity</w:t>
      </w:r>
      <w:r>
        <w:rPr>
          <w:spacing w:val="-2"/>
          <w:w w:val="105"/>
        </w:rPr>
        <w:t> </w:t>
      </w:r>
      <w:r>
        <w:rPr>
          <w:w w:val="105"/>
        </w:rPr>
        <w:t>solutions</w:t>
      </w:r>
      <w:r>
        <w:rPr>
          <w:spacing w:val="-2"/>
          <w:w w:val="105"/>
        </w:rPr>
        <w:t> </w:t>
      </w:r>
      <w:r>
        <w:rPr>
          <w:w w:val="105"/>
        </w:rPr>
        <w:t>designed</w:t>
      </w:r>
      <w:r>
        <w:rPr>
          <w:spacing w:val="-2"/>
          <w:w w:val="105"/>
        </w:rPr>
        <w:t> </w:t>
      </w:r>
      <w:r>
        <w:rPr>
          <w:w w:val="105"/>
        </w:rPr>
        <w:t>for</w:t>
      </w:r>
      <w:r>
        <w:rPr>
          <w:spacing w:val="-2"/>
          <w:w w:val="105"/>
        </w:rPr>
        <w:t> </w:t>
      </w:r>
      <w:r>
        <w:rPr>
          <w:w w:val="105"/>
        </w:rPr>
        <w:t>various</w:t>
      </w:r>
      <w:r>
        <w:rPr>
          <w:spacing w:val="-2"/>
          <w:w w:val="105"/>
        </w:rPr>
        <w:t> </w:t>
      </w:r>
      <w:r>
        <w:rPr>
          <w:w w:val="105"/>
        </w:rPr>
        <w:t>carrier</w:t>
      </w:r>
      <w:r>
        <w:rPr>
          <w:spacing w:val="-2"/>
          <w:w w:val="105"/>
        </w:rPr>
        <w:t> </w:t>
      </w:r>
      <w:r>
        <w:rPr>
          <w:w w:val="105"/>
        </w:rPr>
        <w:t>network</w:t>
      </w:r>
      <w:r>
        <w:rPr>
          <w:spacing w:val="-2"/>
          <w:w w:val="105"/>
        </w:rPr>
        <w:t> </w:t>
      </w:r>
      <w:r>
        <w:rPr>
          <w:w w:val="105"/>
        </w:rPr>
        <w:t>applications.</w:t>
      </w:r>
      <w:r>
        <w:rPr>
          <w:spacing w:val="-2"/>
          <w:w w:val="105"/>
        </w:rPr>
        <w:t> </w:t>
      </w:r>
      <w:r>
        <w:rPr>
          <w:w w:val="105"/>
        </w:rPr>
        <w:t>Examples</w:t>
      </w:r>
      <w:r>
        <w:rPr>
          <w:spacing w:val="-2"/>
          <w:w w:val="105"/>
        </w:rPr>
        <w:t> </w:t>
      </w:r>
      <w:r>
        <w:rPr>
          <w:w w:val="105"/>
        </w:rPr>
        <w:t>of</w:t>
      </w:r>
      <w:r>
        <w:rPr>
          <w:spacing w:val="-2"/>
          <w:w w:val="105"/>
        </w:rPr>
        <w:t> </w:t>
      </w:r>
      <w:r>
        <w:rPr>
          <w:w w:val="105"/>
        </w:rPr>
        <w:t>these</w:t>
      </w:r>
      <w:r>
        <w:rPr>
          <w:spacing w:val="-2"/>
          <w:w w:val="105"/>
        </w:rPr>
        <w:t> </w:t>
      </w:r>
      <w:r>
        <w:rPr>
          <w:w w:val="105"/>
        </w:rPr>
        <w:t>solutions</w:t>
      </w:r>
      <w:r>
        <w:rPr>
          <w:spacing w:val="-2"/>
          <w:w w:val="105"/>
        </w:rPr>
        <w:t> </w:t>
      </w:r>
      <w:r>
        <w:rPr>
          <w:w w:val="105"/>
        </w:rPr>
        <w:t>include</w:t>
      </w:r>
      <w:r>
        <w:rPr>
          <w:spacing w:val="-2"/>
          <w:w w:val="105"/>
        </w:rPr>
        <w:t> </w:t>
      </w:r>
      <w:r>
        <w:rPr>
          <w:w w:val="105"/>
        </w:rPr>
        <w:t>our</w:t>
      </w:r>
      <w:r>
        <w:rPr>
          <w:spacing w:val="-2"/>
          <w:w w:val="105"/>
        </w:rPr>
        <w:t> </w:t>
      </w:r>
      <w:r>
        <w:rPr>
          <w:w w:val="105"/>
        </w:rPr>
        <w:t>Evolv™</w:t>
      </w:r>
      <w:r>
        <w:rPr>
          <w:spacing w:val="-2"/>
          <w:w w:val="105"/>
        </w:rPr>
        <w:t> </w:t>
      </w:r>
      <w:r>
        <w:rPr>
          <w:w w:val="105"/>
        </w:rPr>
        <w:t>platform,</w:t>
      </w:r>
      <w:r>
        <w:rPr>
          <w:spacing w:val="-2"/>
          <w:w w:val="105"/>
        </w:rPr>
        <w:t> </w:t>
      </w:r>
      <w:r>
        <w:rPr>
          <w:w w:val="105"/>
        </w:rPr>
        <w:t>which provides</w:t>
      </w:r>
      <w:r>
        <w:rPr>
          <w:spacing w:val="-2"/>
          <w:w w:val="105"/>
        </w:rPr>
        <w:t> </w:t>
      </w:r>
      <w:r>
        <w:rPr>
          <w:w w:val="105"/>
        </w:rPr>
        <w:t>pre-connectorized</w:t>
      </w:r>
      <w:r>
        <w:rPr>
          <w:spacing w:val="-2"/>
          <w:w w:val="105"/>
        </w:rPr>
        <w:t> </w:t>
      </w:r>
      <w:r>
        <w:rPr>
          <w:w w:val="105"/>
        </w:rPr>
        <w:t>solutions</w:t>
      </w:r>
      <w:r>
        <w:rPr>
          <w:spacing w:val="-2"/>
          <w:w w:val="105"/>
        </w:rPr>
        <w:t> </w:t>
      </w:r>
      <w:r>
        <w:rPr>
          <w:w w:val="105"/>
        </w:rPr>
        <w:t>for</w:t>
      </w:r>
      <w:r>
        <w:rPr>
          <w:spacing w:val="-2"/>
          <w:w w:val="105"/>
        </w:rPr>
        <w:t> </w:t>
      </w:r>
      <w:r>
        <w:rPr>
          <w:w w:val="105"/>
        </w:rPr>
        <w:t>cost-effectively</w:t>
      </w:r>
      <w:r>
        <w:rPr>
          <w:spacing w:val="-2"/>
          <w:w w:val="105"/>
        </w:rPr>
        <w:t> </w:t>
      </w:r>
      <w:r>
        <w:rPr>
          <w:w w:val="105"/>
        </w:rPr>
        <w:t>deploying</w:t>
      </w:r>
      <w:r>
        <w:rPr>
          <w:spacing w:val="-2"/>
          <w:w w:val="105"/>
        </w:rPr>
        <w:t> </w:t>
      </w:r>
      <w:r>
        <w:rPr>
          <w:w w:val="105"/>
        </w:rPr>
        <w:t>fiber-to-the-home</w:t>
      </w:r>
      <w:r>
        <w:rPr>
          <w:spacing w:val="-2"/>
          <w:w w:val="105"/>
        </w:rPr>
        <w:t> </w:t>
      </w:r>
      <w:r>
        <w:rPr>
          <w:w w:val="105"/>
        </w:rPr>
        <w:t>and</w:t>
      </w:r>
      <w:r>
        <w:rPr>
          <w:spacing w:val="-2"/>
          <w:w w:val="105"/>
        </w:rPr>
        <w:t> </w:t>
      </w:r>
      <w:r>
        <w:rPr>
          <w:w w:val="105"/>
        </w:rPr>
        <w:t>5G</w:t>
      </w:r>
      <w:r>
        <w:rPr>
          <w:spacing w:val="-2"/>
          <w:w w:val="105"/>
        </w:rPr>
        <w:t> </w:t>
      </w:r>
      <w:r>
        <w:rPr>
          <w:w w:val="105"/>
        </w:rPr>
        <w:t>networks;</w:t>
      </w:r>
      <w:r>
        <w:rPr>
          <w:spacing w:val="-2"/>
          <w:w w:val="105"/>
        </w:rPr>
        <w:t> </w:t>
      </w:r>
      <w:r>
        <w:rPr>
          <w:w w:val="105"/>
        </w:rPr>
        <w:t>and</w:t>
      </w:r>
      <w:r>
        <w:rPr>
          <w:spacing w:val="-2"/>
          <w:w w:val="105"/>
        </w:rPr>
        <w:t> </w:t>
      </w:r>
      <w:r>
        <w:rPr>
          <w:w w:val="105"/>
        </w:rPr>
        <w:t>the</w:t>
      </w:r>
      <w:r>
        <w:rPr>
          <w:spacing w:val="-2"/>
          <w:w w:val="105"/>
        </w:rPr>
        <w:t> </w:t>
      </w:r>
      <w:r>
        <w:rPr>
          <w:w w:val="105"/>
        </w:rPr>
        <w:t>Centrix</w:t>
      </w:r>
      <w:r>
        <w:rPr>
          <w:spacing w:val="-2"/>
          <w:w w:val="105"/>
        </w:rPr>
        <w:t> </w:t>
      </w:r>
      <w:r>
        <w:rPr>
          <w:w w:val="105"/>
        </w:rPr>
        <w:t>platform,</w:t>
      </w:r>
      <w:r>
        <w:rPr>
          <w:spacing w:val="-2"/>
          <w:w w:val="105"/>
        </w:rPr>
        <w:t> </w:t>
      </w:r>
      <w:r>
        <w:rPr>
          <w:w w:val="105"/>
        </w:rPr>
        <w:t>which</w:t>
      </w:r>
      <w:r>
        <w:rPr>
          <w:spacing w:val="-2"/>
          <w:w w:val="105"/>
        </w:rPr>
        <w:t> </w:t>
      </w:r>
      <w:r>
        <w:rPr>
          <w:w w:val="105"/>
        </w:rPr>
        <w:t>provides</w:t>
      </w:r>
      <w:r>
        <w:rPr>
          <w:spacing w:val="-2"/>
          <w:w w:val="105"/>
        </w:rPr>
        <w:t> </w:t>
      </w:r>
      <w:r>
        <w:rPr>
          <w:w w:val="105"/>
        </w:rPr>
        <w:t>a</w:t>
      </w:r>
      <w:r>
        <w:rPr>
          <w:spacing w:val="-2"/>
          <w:w w:val="105"/>
        </w:rPr>
        <w:t> </w:t>
      </w:r>
      <w:r>
        <w:rPr>
          <w:w w:val="105"/>
        </w:rPr>
        <w:t>fiber</w:t>
      </w:r>
      <w:r>
        <w:rPr>
          <w:spacing w:val="-2"/>
          <w:w w:val="105"/>
        </w:rPr>
        <w:t> </w:t>
      </w:r>
      <w:r>
        <w:rPr>
          <w:w w:val="105"/>
        </w:rPr>
        <w:t>management system with industry-leading density and innovative jumper routing that can be deployed in a wide variety of carrier switching centers.</w:t>
      </w:r>
    </w:p>
    <w:p>
      <w:pPr>
        <w:pStyle w:val="BodyText"/>
        <w:spacing w:before="17"/>
      </w:pPr>
    </w:p>
    <w:p>
      <w:pPr>
        <w:pStyle w:val="BodyText"/>
        <w:spacing w:before="1"/>
        <w:ind w:left="48"/>
        <w:jc w:val="center"/>
      </w:pPr>
      <w:r>
        <w:rPr>
          <w:spacing w:val="-10"/>
          <w:w w:val="105"/>
        </w:rPr>
        <w:t>3</w:t>
      </w:r>
    </w:p>
    <w:p>
      <w:pPr>
        <w:pStyle w:val="BodyText"/>
        <w:spacing w:before="11"/>
        <w:rPr>
          <w:sz w:val="5"/>
        </w:rPr>
      </w:pPr>
      <w:r>
        <w:rPr/>
        <mc:AlternateContent>
          <mc:Choice Requires="wps">
            <w:drawing>
              <wp:anchor distT="0" distB="0" distL="0" distR="0" allowOverlap="1" layoutInCell="1" locked="0" behindDoc="1" simplePos="0" relativeHeight="487590400">
                <wp:simplePos x="0" y="0"/>
                <wp:positionH relativeFrom="page">
                  <wp:posOffset>226488</wp:posOffset>
                </wp:positionH>
                <wp:positionV relativeFrom="paragraph">
                  <wp:posOffset>58734</wp:posOffset>
                </wp:positionV>
                <wp:extent cx="7312659" cy="165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726080;mso-wrap-distance-left:0;mso-wrap-distance-right:0" id="docshape7"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BodyText"/>
        <w:spacing w:line="266" w:lineRule="auto"/>
        <w:ind w:left="156"/>
      </w:pPr>
      <w:r>
        <w:rPr>
          <w:w w:val="105"/>
        </w:rPr>
        <w:t>In</w:t>
      </w:r>
      <w:r>
        <w:rPr>
          <w:spacing w:val="-10"/>
          <w:w w:val="105"/>
        </w:rPr>
        <w:t> </w:t>
      </w:r>
      <w:r>
        <w:rPr>
          <w:w w:val="105"/>
        </w:rPr>
        <w:t>addition</w:t>
      </w:r>
      <w:r>
        <w:rPr>
          <w:spacing w:val="-10"/>
          <w:w w:val="105"/>
        </w:rPr>
        <w:t> </w:t>
      </w:r>
      <w:r>
        <w:rPr>
          <w:w w:val="105"/>
        </w:rPr>
        <w:t>to</w:t>
      </w:r>
      <w:r>
        <w:rPr>
          <w:spacing w:val="-10"/>
          <w:w w:val="105"/>
        </w:rPr>
        <w:t> </w:t>
      </w:r>
      <w:r>
        <w:rPr>
          <w:w w:val="105"/>
        </w:rPr>
        <w:t>our</w:t>
      </w:r>
      <w:r>
        <w:rPr>
          <w:spacing w:val="-10"/>
          <w:w w:val="105"/>
        </w:rPr>
        <w:t> </w:t>
      </w:r>
      <w:r>
        <w:rPr>
          <w:w w:val="105"/>
        </w:rPr>
        <w:t>optical-based</w:t>
      </w:r>
      <w:r>
        <w:rPr>
          <w:spacing w:val="-10"/>
          <w:w w:val="105"/>
        </w:rPr>
        <w:t> </w:t>
      </w:r>
      <w:r>
        <w:rPr>
          <w:w w:val="105"/>
        </w:rPr>
        <w:t>portfolio,</w:t>
      </w:r>
      <w:r>
        <w:rPr>
          <w:spacing w:val="-10"/>
          <w:w w:val="105"/>
        </w:rPr>
        <w:t> </w:t>
      </w:r>
      <w:r>
        <w:rPr>
          <w:w w:val="105"/>
        </w:rPr>
        <w:t>Corning’s</w:t>
      </w:r>
      <w:r>
        <w:rPr>
          <w:spacing w:val="-10"/>
          <w:w w:val="105"/>
        </w:rPr>
        <w:t> </w:t>
      </w:r>
      <w:r>
        <w:rPr>
          <w:w w:val="105"/>
        </w:rPr>
        <w:t>carrier</w:t>
      </w:r>
      <w:r>
        <w:rPr>
          <w:spacing w:val="-10"/>
          <w:w w:val="105"/>
        </w:rPr>
        <w:t> </w:t>
      </w:r>
      <w:r>
        <w:rPr>
          <w:w w:val="105"/>
        </w:rPr>
        <w:t>network</w:t>
      </w:r>
      <w:r>
        <w:rPr>
          <w:spacing w:val="-10"/>
          <w:w w:val="105"/>
        </w:rPr>
        <w:t> </w:t>
      </w:r>
      <w:r>
        <w:rPr>
          <w:w w:val="105"/>
        </w:rPr>
        <w:t>portfolio</w:t>
      </w:r>
      <w:r>
        <w:rPr>
          <w:spacing w:val="-10"/>
          <w:w w:val="105"/>
        </w:rPr>
        <w:t> </w:t>
      </w:r>
      <w:r>
        <w:rPr>
          <w:w w:val="105"/>
        </w:rPr>
        <w:t>also</w:t>
      </w:r>
      <w:r>
        <w:rPr>
          <w:spacing w:val="-9"/>
          <w:w w:val="105"/>
        </w:rPr>
        <w:t> </w:t>
      </w:r>
      <w:r>
        <w:rPr>
          <w:w w:val="105"/>
        </w:rPr>
        <w:t>contains</w:t>
      </w:r>
      <w:r>
        <w:rPr>
          <w:spacing w:val="-10"/>
          <w:w w:val="105"/>
        </w:rPr>
        <w:t> </w:t>
      </w:r>
      <w:r>
        <w:rPr>
          <w:w w:val="105"/>
        </w:rPr>
        <w:t>select</w:t>
      </w:r>
      <w:r>
        <w:rPr>
          <w:spacing w:val="-10"/>
          <w:w w:val="105"/>
        </w:rPr>
        <w:t> </w:t>
      </w:r>
      <w:r>
        <w:rPr>
          <w:w w:val="105"/>
        </w:rPr>
        <w:t>copper-based</w:t>
      </w:r>
      <w:r>
        <w:rPr>
          <w:spacing w:val="-10"/>
          <w:w w:val="105"/>
        </w:rPr>
        <w:t> </w:t>
      </w:r>
      <w:r>
        <w:rPr>
          <w:w w:val="105"/>
        </w:rPr>
        <w:t>products</w:t>
      </w:r>
      <w:r>
        <w:rPr>
          <w:spacing w:val="-10"/>
          <w:w w:val="105"/>
        </w:rPr>
        <w:t> </w:t>
      </w:r>
      <w:r>
        <w:rPr>
          <w:w w:val="105"/>
        </w:rPr>
        <w:t>including</w:t>
      </w:r>
      <w:r>
        <w:rPr>
          <w:spacing w:val="-10"/>
          <w:w w:val="105"/>
        </w:rPr>
        <w:t> </w:t>
      </w:r>
      <w:r>
        <w:rPr>
          <w:w w:val="105"/>
        </w:rPr>
        <w:t>subscriber</w:t>
      </w:r>
      <w:r>
        <w:rPr>
          <w:spacing w:val="-10"/>
          <w:w w:val="105"/>
        </w:rPr>
        <w:t> </w:t>
      </w:r>
      <w:r>
        <w:rPr>
          <w:w w:val="105"/>
        </w:rPr>
        <w:t>demarcation,</w:t>
      </w:r>
      <w:r>
        <w:rPr>
          <w:spacing w:val="-10"/>
          <w:w w:val="105"/>
        </w:rPr>
        <w:t> </w:t>
      </w:r>
      <w:r>
        <w:rPr>
          <w:w w:val="105"/>
        </w:rPr>
        <w:t>connection</w:t>
      </w:r>
      <w:r>
        <w:rPr>
          <w:spacing w:val="-10"/>
          <w:w w:val="105"/>
        </w:rPr>
        <w:t> </w:t>
      </w:r>
      <w:r>
        <w:rPr>
          <w:w w:val="105"/>
        </w:rPr>
        <w:t>and protection devices, xDSL (different variations of digital subscriber lines) passive solutions and outside plant enclosures.</w:t>
      </w:r>
    </w:p>
    <w:p>
      <w:pPr>
        <w:pStyle w:val="BodyText"/>
        <w:spacing w:before="19"/>
      </w:pPr>
    </w:p>
    <w:p>
      <w:pPr>
        <w:pStyle w:val="BodyText"/>
        <w:spacing w:line="266" w:lineRule="auto"/>
        <w:ind w:left="156"/>
      </w:pPr>
      <w:r>
        <w:rPr>
          <w:w w:val="105"/>
        </w:rPr>
        <w:t>Our</w:t>
      </w:r>
      <w:r>
        <w:rPr>
          <w:spacing w:val="-10"/>
          <w:w w:val="105"/>
        </w:rPr>
        <w:t> </w:t>
      </w:r>
      <w:r>
        <w:rPr>
          <w:w w:val="105"/>
        </w:rPr>
        <w:t>enterprise</w:t>
      </w:r>
      <w:r>
        <w:rPr>
          <w:spacing w:val="-10"/>
          <w:w w:val="105"/>
        </w:rPr>
        <w:t> </w:t>
      </w:r>
      <w:r>
        <w:rPr>
          <w:w w:val="105"/>
        </w:rPr>
        <w:t>network</w:t>
      </w:r>
      <w:r>
        <w:rPr>
          <w:spacing w:val="-10"/>
          <w:w w:val="105"/>
        </w:rPr>
        <w:t> </w:t>
      </w:r>
      <w:r>
        <w:rPr>
          <w:w w:val="105"/>
        </w:rPr>
        <w:t>portfolio</w:t>
      </w:r>
      <w:r>
        <w:rPr>
          <w:spacing w:val="-10"/>
          <w:w w:val="105"/>
        </w:rPr>
        <w:t> </w:t>
      </w:r>
      <w:r>
        <w:rPr>
          <w:w w:val="105"/>
        </w:rPr>
        <w:t>leverages</w:t>
      </w:r>
      <w:r>
        <w:rPr>
          <w:spacing w:val="-10"/>
          <w:w w:val="105"/>
        </w:rPr>
        <w:t> </w:t>
      </w:r>
      <w:r>
        <w:rPr>
          <w:w w:val="105"/>
        </w:rPr>
        <w:t>optical</w:t>
      </w:r>
      <w:r>
        <w:rPr>
          <w:spacing w:val="-8"/>
          <w:w w:val="105"/>
        </w:rPr>
        <w:t> </w:t>
      </w:r>
      <w:r>
        <w:rPr>
          <w:w w:val="105"/>
        </w:rPr>
        <w:t>fiber</w:t>
      </w:r>
      <w:r>
        <w:rPr>
          <w:spacing w:val="-10"/>
          <w:w w:val="105"/>
        </w:rPr>
        <w:t> </w:t>
      </w:r>
      <w:r>
        <w:rPr>
          <w:w w:val="105"/>
        </w:rPr>
        <w:t>products,</w:t>
      </w:r>
      <w:r>
        <w:rPr>
          <w:spacing w:val="-10"/>
          <w:w w:val="105"/>
        </w:rPr>
        <w:t> </w:t>
      </w:r>
      <w:r>
        <w:rPr>
          <w:w w:val="105"/>
        </w:rPr>
        <w:t>including</w:t>
      </w:r>
      <w:r>
        <w:rPr>
          <w:spacing w:val="-10"/>
          <w:w w:val="105"/>
        </w:rPr>
        <w:t> </w:t>
      </w:r>
      <w:r>
        <w:rPr>
          <w:w w:val="105"/>
        </w:rPr>
        <w:t>ClearCurve®</w:t>
      </w:r>
      <w:r>
        <w:rPr>
          <w:spacing w:val="-10"/>
          <w:w w:val="105"/>
        </w:rPr>
        <w:t> </w:t>
      </w:r>
      <w:r>
        <w:rPr>
          <w:w w:val="105"/>
        </w:rPr>
        <w:t>ultra-bendable</w:t>
      </w:r>
      <w:r>
        <w:rPr>
          <w:spacing w:val="-10"/>
          <w:w w:val="105"/>
        </w:rPr>
        <w:t> </w:t>
      </w:r>
      <w:r>
        <w:rPr>
          <w:w w:val="105"/>
        </w:rPr>
        <w:t>multimode</w:t>
      </w:r>
      <w:r>
        <w:rPr>
          <w:spacing w:val="-10"/>
          <w:w w:val="105"/>
        </w:rPr>
        <w:t> </w:t>
      </w:r>
      <w:r>
        <w:rPr>
          <w:w w:val="105"/>
        </w:rPr>
        <w:t>fiber</w:t>
      </w:r>
      <w:r>
        <w:rPr>
          <w:spacing w:val="-10"/>
          <w:w w:val="105"/>
        </w:rPr>
        <w:t> </w:t>
      </w:r>
      <w:r>
        <w:rPr>
          <w:w w:val="105"/>
        </w:rPr>
        <w:t>for</w:t>
      </w:r>
      <w:r>
        <w:rPr>
          <w:spacing w:val="-10"/>
          <w:w w:val="105"/>
        </w:rPr>
        <w:t> </w:t>
      </w:r>
      <w:r>
        <w:rPr>
          <w:w w:val="105"/>
        </w:rPr>
        <w:t>private</w:t>
      </w:r>
      <w:r>
        <w:rPr>
          <w:spacing w:val="-10"/>
          <w:w w:val="105"/>
        </w:rPr>
        <w:t> </w:t>
      </w:r>
      <w:r>
        <w:rPr>
          <w:w w:val="105"/>
        </w:rPr>
        <w:t>and</w:t>
      </w:r>
      <w:r>
        <w:rPr>
          <w:spacing w:val="-10"/>
          <w:w w:val="105"/>
        </w:rPr>
        <w:t> </w:t>
      </w:r>
      <w:r>
        <w:rPr>
          <w:w w:val="105"/>
        </w:rPr>
        <w:t>hyperscale</w:t>
      </w:r>
      <w:r>
        <w:rPr>
          <w:spacing w:val="-10"/>
          <w:w w:val="105"/>
        </w:rPr>
        <w:t> </w:t>
      </w:r>
      <w:r>
        <w:rPr>
          <w:w w:val="105"/>
        </w:rPr>
        <w:t>data</w:t>
      </w:r>
      <w:r>
        <w:rPr>
          <w:spacing w:val="-10"/>
          <w:w w:val="105"/>
        </w:rPr>
        <w:t> </w:t>
      </w:r>
      <w:r>
        <w:rPr>
          <w:w w:val="105"/>
        </w:rPr>
        <w:t>centers</w:t>
      </w:r>
      <w:r>
        <w:rPr>
          <w:spacing w:val="-10"/>
          <w:w w:val="105"/>
        </w:rPr>
        <w:t> </w:t>
      </w:r>
      <w:r>
        <w:rPr>
          <w:w w:val="105"/>
        </w:rPr>
        <w:t>and</w:t>
      </w:r>
      <w:r>
        <w:rPr>
          <w:spacing w:val="-10"/>
          <w:w w:val="105"/>
        </w:rPr>
        <w:t> </w:t>
      </w:r>
      <w:r>
        <w:rPr>
          <w:w w:val="105"/>
        </w:rPr>
        <w:t>other enterprise network applications.</w:t>
      </w:r>
    </w:p>
    <w:p>
      <w:pPr>
        <w:pStyle w:val="BodyText"/>
        <w:spacing w:before="19"/>
      </w:pPr>
    </w:p>
    <w:p>
      <w:pPr>
        <w:pStyle w:val="BodyText"/>
        <w:spacing w:line="266" w:lineRule="auto"/>
        <w:ind w:left="156"/>
      </w:pPr>
      <w:r>
        <w:rPr>
          <w:w w:val="105"/>
        </w:rPr>
        <w:t>Corning’s</w:t>
      </w:r>
      <w:r>
        <w:rPr>
          <w:spacing w:val="-2"/>
          <w:w w:val="105"/>
        </w:rPr>
        <w:t> </w:t>
      </w:r>
      <w:r>
        <w:rPr>
          <w:w w:val="105"/>
        </w:rPr>
        <w:t>hardware</w:t>
      </w:r>
      <w:r>
        <w:rPr>
          <w:spacing w:val="-2"/>
          <w:w w:val="105"/>
        </w:rPr>
        <w:t> </w:t>
      </w:r>
      <w:r>
        <w:rPr>
          <w:w w:val="105"/>
        </w:rPr>
        <w:t>and</w:t>
      </w:r>
      <w:r>
        <w:rPr>
          <w:spacing w:val="-2"/>
          <w:w w:val="105"/>
        </w:rPr>
        <w:t> </w:t>
      </w:r>
      <w:r>
        <w:rPr>
          <w:w w:val="105"/>
        </w:rPr>
        <w:t>equipment for</w:t>
      </w:r>
      <w:r>
        <w:rPr>
          <w:spacing w:val="-2"/>
          <w:w w:val="105"/>
        </w:rPr>
        <w:t> </w:t>
      </w:r>
      <w:r>
        <w:rPr>
          <w:w w:val="105"/>
        </w:rPr>
        <w:t>enterprise</w:t>
      </w:r>
      <w:r>
        <w:rPr>
          <w:spacing w:val="-2"/>
          <w:w w:val="105"/>
        </w:rPr>
        <w:t> </w:t>
      </w:r>
      <w:r>
        <w:rPr>
          <w:w w:val="105"/>
        </w:rPr>
        <w:t>network</w:t>
      </w:r>
      <w:r>
        <w:rPr>
          <w:spacing w:val="-2"/>
          <w:w w:val="105"/>
        </w:rPr>
        <w:t> </w:t>
      </w:r>
      <w:r>
        <w:rPr>
          <w:w w:val="105"/>
        </w:rPr>
        <w:t>applications</w:t>
      </w:r>
      <w:r>
        <w:rPr>
          <w:spacing w:val="-2"/>
          <w:w w:val="105"/>
        </w:rPr>
        <w:t> </w:t>
      </w:r>
      <w:r>
        <w:rPr>
          <w:w w:val="105"/>
        </w:rPr>
        <w:t>include</w:t>
      </w:r>
      <w:r>
        <w:rPr>
          <w:spacing w:val="-2"/>
          <w:w w:val="105"/>
        </w:rPr>
        <w:t> </w:t>
      </w:r>
      <w:r>
        <w:rPr>
          <w:w w:val="105"/>
        </w:rPr>
        <w:t>cable assemblies,</w:t>
      </w:r>
      <w:r>
        <w:rPr>
          <w:spacing w:val="-2"/>
          <w:w w:val="105"/>
        </w:rPr>
        <w:t> </w:t>
      </w:r>
      <w:r>
        <w:rPr>
          <w:w w:val="105"/>
        </w:rPr>
        <w:t>fiber-optic</w:t>
      </w:r>
      <w:r>
        <w:rPr>
          <w:spacing w:val="-2"/>
          <w:w w:val="105"/>
        </w:rPr>
        <w:t> </w:t>
      </w:r>
      <w:r>
        <w:rPr>
          <w:w w:val="105"/>
        </w:rPr>
        <w:t>hardware,</w:t>
      </w:r>
      <w:r>
        <w:rPr>
          <w:spacing w:val="-2"/>
          <w:w w:val="105"/>
        </w:rPr>
        <w:t> </w:t>
      </w:r>
      <w:r>
        <w:rPr>
          <w:w w:val="105"/>
        </w:rPr>
        <w:t>fiber-optic connectors,</w:t>
      </w:r>
      <w:r>
        <w:rPr>
          <w:spacing w:val="-2"/>
          <w:w w:val="105"/>
        </w:rPr>
        <w:t> </w:t>
      </w:r>
      <w:r>
        <w:rPr>
          <w:w w:val="105"/>
        </w:rPr>
        <w:t>optical</w:t>
      </w:r>
      <w:r>
        <w:rPr>
          <w:spacing w:val="-2"/>
          <w:w w:val="105"/>
        </w:rPr>
        <w:t> </w:t>
      </w:r>
      <w:r>
        <w:rPr>
          <w:w w:val="105"/>
        </w:rPr>
        <w:t>components</w:t>
      </w:r>
      <w:r>
        <w:rPr>
          <w:spacing w:val="-2"/>
          <w:w w:val="105"/>
        </w:rPr>
        <w:t> </w:t>
      </w:r>
      <w:r>
        <w:rPr>
          <w:w w:val="105"/>
        </w:rPr>
        <w:t>and couplers,</w:t>
      </w:r>
      <w:r>
        <w:rPr>
          <w:spacing w:val="-9"/>
          <w:w w:val="105"/>
        </w:rPr>
        <w:t> </w:t>
      </w:r>
      <w:r>
        <w:rPr>
          <w:w w:val="105"/>
        </w:rPr>
        <w:t>closures</w:t>
      </w:r>
      <w:r>
        <w:rPr>
          <w:spacing w:val="-9"/>
          <w:w w:val="105"/>
        </w:rPr>
        <w:t> </w:t>
      </w:r>
      <w:r>
        <w:rPr>
          <w:w w:val="105"/>
        </w:rPr>
        <w:t>and</w:t>
      </w:r>
      <w:r>
        <w:rPr>
          <w:spacing w:val="-9"/>
          <w:w w:val="105"/>
        </w:rPr>
        <w:t> </w:t>
      </w:r>
      <w:r>
        <w:rPr>
          <w:w w:val="105"/>
        </w:rPr>
        <w:t>other</w:t>
      </w:r>
      <w:r>
        <w:rPr>
          <w:spacing w:val="-7"/>
          <w:w w:val="105"/>
        </w:rPr>
        <w:t> </w:t>
      </w:r>
      <w:r>
        <w:rPr>
          <w:w w:val="105"/>
        </w:rPr>
        <w:t>accessories.</w:t>
      </w:r>
      <w:r>
        <w:rPr>
          <w:spacing w:val="-9"/>
          <w:w w:val="105"/>
        </w:rPr>
        <w:t> </w:t>
      </w:r>
      <w:r>
        <w:rPr>
          <w:w w:val="105"/>
        </w:rPr>
        <w:t>These</w:t>
      </w:r>
      <w:r>
        <w:rPr>
          <w:spacing w:val="-9"/>
          <w:w w:val="105"/>
        </w:rPr>
        <w:t> </w:t>
      </w:r>
      <w:r>
        <w:rPr>
          <w:w w:val="105"/>
        </w:rPr>
        <w:t>products</w:t>
      </w:r>
      <w:r>
        <w:rPr>
          <w:spacing w:val="-9"/>
          <w:w w:val="105"/>
        </w:rPr>
        <w:t> </w:t>
      </w:r>
      <w:r>
        <w:rPr>
          <w:w w:val="105"/>
        </w:rPr>
        <w:t>may</w:t>
      </w:r>
      <w:r>
        <w:rPr>
          <w:spacing w:val="-9"/>
          <w:w w:val="105"/>
        </w:rPr>
        <w:t> </w:t>
      </w:r>
      <w:r>
        <w:rPr>
          <w:w w:val="105"/>
        </w:rPr>
        <w:t>be</w:t>
      </w:r>
      <w:r>
        <w:rPr>
          <w:spacing w:val="-9"/>
          <w:w w:val="105"/>
        </w:rPr>
        <w:t> </w:t>
      </w:r>
      <w:r>
        <w:rPr>
          <w:w w:val="105"/>
        </w:rPr>
        <w:t>sold</w:t>
      </w:r>
      <w:r>
        <w:rPr>
          <w:spacing w:val="-9"/>
          <w:w w:val="105"/>
        </w:rPr>
        <w:t> </w:t>
      </w:r>
      <w:r>
        <w:rPr>
          <w:w w:val="105"/>
        </w:rPr>
        <w:t>as</w:t>
      </w:r>
      <w:r>
        <w:rPr>
          <w:spacing w:val="-9"/>
          <w:w w:val="105"/>
        </w:rPr>
        <w:t> </w:t>
      </w:r>
      <w:r>
        <w:rPr>
          <w:w w:val="105"/>
        </w:rPr>
        <w:t>individual</w:t>
      </w:r>
      <w:r>
        <w:rPr>
          <w:spacing w:val="-9"/>
          <w:w w:val="105"/>
        </w:rPr>
        <w:t> </w:t>
      </w:r>
      <w:r>
        <w:rPr>
          <w:w w:val="105"/>
        </w:rPr>
        <w:t>components</w:t>
      </w:r>
      <w:r>
        <w:rPr>
          <w:spacing w:val="-9"/>
          <w:w w:val="105"/>
        </w:rPr>
        <w:t> </w:t>
      </w:r>
      <w:r>
        <w:rPr>
          <w:w w:val="105"/>
        </w:rPr>
        <w:t>or</w:t>
      </w:r>
      <w:r>
        <w:rPr>
          <w:spacing w:val="-9"/>
          <w:w w:val="105"/>
        </w:rPr>
        <w:t> </w:t>
      </w:r>
      <w:r>
        <w:rPr>
          <w:w w:val="105"/>
        </w:rPr>
        <w:t>as</w:t>
      </w:r>
      <w:r>
        <w:rPr>
          <w:spacing w:val="-9"/>
          <w:w w:val="105"/>
        </w:rPr>
        <w:t> </w:t>
      </w:r>
      <w:r>
        <w:rPr>
          <w:w w:val="105"/>
        </w:rPr>
        <w:t>part</w:t>
      </w:r>
      <w:r>
        <w:rPr>
          <w:spacing w:val="-9"/>
          <w:w w:val="105"/>
        </w:rPr>
        <w:t> </w:t>
      </w:r>
      <w:r>
        <w:rPr>
          <w:w w:val="105"/>
        </w:rPr>
        <w:t>of</w:t>
      </w:r>
      <w:r>
        <w:rPr>
          <w:spacing w:val="-9"/>
          <w:w w:val="105"/>
        </w:rPr>
        <w:t> </w:t>
      </w:r>
      <w:r>
        <w:rPr>
          <w:w w:val="105"/>
        </w:rPr>
        <w:t>integrated</w:t>
      </w:r>
      <w:r>
        <w:rPr>
          <w:spacing w:val="-9"/>
          <w:w w:val="105"/>
        </w:rPr>
        <w:t> </w:t>
      </w:r>
      <w:r>
        <w:rPr>
          <w:w w:val="105"/>
        </w:rPr>
        <w:t>optical</w:t>
      </w:r>
      <w:r>
        <w:rPr>
          <w:spacing w:val="-9"/>
          <w:w w:val="105"/>
        </w:rPr>
        <w:t> </w:t>
      </w:r>
      <w:r>
        <w:rPr>
          <w:w w:val="105"/>
        </w:rPr>
        <w:t>connectivity</w:t>
      </w:r>
      <w:r>
        <w:rPr>
          <w:spacing w:val="-9"/>
          <w:w w:val="105"/>
        </w:rPr>
        <w:t> </w:t>
      </w:r>
      <w:r>
        <w:rPr>
          <w:w w:val="105"/>
        </w:rPr>
        <w:t>solutions</w:t>
      </w:r>
      <w:r>
        <w:rPr>
          <w:spacing w:val="-9"/>
          <w:w w:val="105"/>
        </w:rPr>
        <w:t> </w:t>
      </w:r>
      <w:r>
        <w:rPr>
          <w:w w:val="105"/>
        </w:rPr>
        <w:t>designed</w:t>
      </w:r>
      <w:r>
        <w:rPr>
          <w:spacing w:val="-9"/>
          <w:w w:val="105"/>
        </w:rPr>
        <w:t> </w:t>
      </w:r>
      <w:r>
        <w:rPr>
          <w:w w:val="105"/>
        </w:rPr>
        <w:t>for</w:t>
      </w:r>
      <w:r>
        <w:rPr>
          <w:spacing w:val="-9"/>
          <w:w w:val="105"/>
        </w:rPr>
        <w:t> </w:t>
      </w:r>
      <w:r>
        <w:rPr>
          <w:w w:val="105"/>
        </w:rPr>
        <w:t>various network</w:t>
      </w:r>
      <w:r>
        <w:rPr>
          <w:spacing w:val="-3"/>
          <w:w w:val="105"/>
        </w:rPr>
        <w:t> </w:t>
      </w:r>
      <w:r>
        <w:rPr>
          <w:w w:val="105"/>
        </w:rPr>
        <w:t>applications,</w:t>
      </w:r>
      <w:r>
        <w:rPr>
          <w:spacing w:val="-3"/>
          <w:w w:val="105"/>
        </w:rPr>
        <w:t> </w:t>
      </w:r>
      <w:r>
        <w:rPr>
          <w:w w:val="105"/>
        </w:rPr>
        <w:t>including</w:t>
      </w:r>
      <w:r>
        <w:rPr>
          <w:spacing w:val="-3"/>
          <w:w w:val="105"/>
        </w:rPr>
        <w:t> </w:t>
      </w:r>
      <w:r>
        <w:rPr>
          <w:w w:val="105"/>
        </w:rPr>
        <w:t>hyperscale</w:t>
      </w:r>
      <w:r>
        <w:rPr>
          <w:spacing w:val="-3"/>
          <w:w w:val="105"/>
        </w:rPr>
        <w:t> </w:t>
      </w:r>
      <w:r>
        <w:rPr>
          <w:w w:val="105"/>
        </w:rPr>
        <w:t>data</w:t>
      </w:r>
      <w:r>
        <w:rPr>
          <w:spacing w:val="-3"/>
          <w:w w:val="105"/>
        </w:rPr>
        <w:t> </w:t>
      </w:r>
      <w:r>
        <w:rPr>
          <w:w w:val="105"/>
        </w:rPr>
        <w:t>centers.</w:t>
      </w:r>
      <w:r>
        <w:rPr>
          <w:spacing w:val="-3"/>
          <w:w w:val="105"/>
        </w:rPr>
        <w:t> </w:t>
      </w:r>
      <w:r>
        <w:rPr>
          <w:w w:val="105"/>
        </w:rPr>
        <w:t>Examples</w:t>
      </w:r>
      <w:r>
        <w:rPr>
          <w:spacing w:val="-3"/>
          <w:w w:val="105"/>
        </w:rPr>
        <w:t> </w:t>
      </w:r>
      <w:r>
        <w:rPr>
          <w:w w:val="105"/>
        </w:rPr>
        <w:t>of</w:t>
      </w:r>
      <w:r>
        <w:rPr>
          <w:spacing w:val="-3"/>
          <w:w w:val="105"/>
        </w:rPr>
        <w:t> </w:t>
      </w:r>
      <w:r>
        <w:rPr>
          <w:w w:val="105"/>
        </w:rPr>
        <w:t>enterprise</w:t>
      </w:r>
      <w:r>
        <w:rPr>
          <w:spacing w:val="-3"/>
          <w:w w:val="105"/>
        </w:rPr>
        <w:t> </w:t>
      </w:r>
      <w:r>
        <w:rPr>
          <w:w w:val="105"/>
        </w:rPr>
        <w:t>network</w:t>
      </w:r>
      <w:r>
        <w:rPr>
          <w:spacing w:val="-3"/>
          <w:w w:val="105"/>
        </w:rPr>
        <w:t> </w:t>
      </w:r>
      <w:r>
        <w:rPr>
          <w:w w:val="105"/>
        </w:rPr>
        <w:t>solutions</w:t>
      </w:r>
      <w:r>
        <w:rPr>
          <w:spacing w:val="-3"/>
          <w:w w:val="105"/>
        </w:rPr>
        <w:t> </w:t>
      </w:r>
      <w:r>
        <w:rPr>
          <w:w w:val="105"/>
        </w:rPr>
        <w:t>include</w:t>
      </w:r>
      <w:r>
        <w:rPr>
          <w:spacing w:val="-3"/>
          <w:w w:val="105"/>
        </w:rPr>
        <w:t> </w:t>
      </w:r>
      <w:r>
        <w:rPr>
          <w:w w:val="105"/>
        </w:rPr>
        <w:t>the</w:t>
      </w:r>
      <w:r>
        <w:rPr>
          <w:spacing w:val="-3"/>
          <w:w w:val="105"/>
        </w:rPr>
        <w:t> </w:t>
      </w:r>
      <w:r>
        <w:rPr>
          <w:w w:val="105"/>
        </w:rPr>
        <w:t>EDGE®</w:t>
      </w:r>
      <w:r>
        <w:rPr>
          <w:spacing w:val="-3"/>
          <w:w w:val="105"/>
        </w:rPr>
        <w:t> </w:t>
      </w:r>
      <w:r>
        <w:rPr>
          <w:w w:val="105"/>
        </w:rPr>
        <w:t>platform,</w:t>
      </w:r>
      <w:r>
        <w:rPr>
          <w:spacing w:val="-3"/>
          <w:w w:val="105"/>
        </w:rPr>
        <w:t> </w:t>
      </w:r>
      <w:r>
        <w:rPr>
          <w:w w:val="105"/>
        </w:rPr>
        <w:t>which</w:t>
      </w:r>
      <w:r>
        <w:rPr>
          <w:spacing w:val="-3"/>
          <w:w w:val="105"/>
        </w:rPr>
        <w:t> </w:t>
      </w:r>
      <w:r>
        <w:rPr>
          <w:w w:val="105"/>
        </w:rPr>
        <w:t>provides</w:t>
      </w:r>
      <w:r>
        <w:rPr>
          <w:spacing w:val="-3"/>
          <w:w w:val="105"/>
        </w:rPr>
        <w:t> </w:t>
      </w:r>
      <w:r>
        <w:rPr>
          <w:w w:val="105"/>
        </w:rPr>
        <w:t>high-density</w:t>
      </w:r>
      <w:r>
        <w:rPr>
          <w:spacing w:val="-3"/>
          <w:w w:val="105"/>
        </w:rPr>
        <w:t> </w:t>
      </w:r>
      <w:r>
        <w:rPr>
          <w:w w:val="105"/>
        </w:rPr>
        <w:t>pre- connectorized</w:t>
      </w:r>
      <w:r>
        <w:rPr>
          <w:spacing w:val="-2"/>
          <w:w w:val="105"/>
        </w:rPr>
        <w:t> </w:t>
      </w:r>
      <w:r>
        <w:rPr>
          <w:w w:val="105"/>
        </w:rPr>
        <w:t>cabling</w:t>
      </w:r>
      <w:r>
        <w:rPr>
          <w:spacing w:val="-2"/>
          <w:w w:val="105"/>
        </w:rPr>
        <w:t> </w:t>
      </w:r>
      <w:r>
        <w:rPr>
          <w:w w:val="105"/>
        </w:rPr>
        <w:t>solutions</w:t>
      </w:r>
      <w:r>
        <w:rPr>
          <w:spacing w:val="-2"/>
          <w:w w:val="105"/>
        </w:rPr>
        <w:t> </w:t>
      </w:r>
      <w:r>
        <w:rPr>
          <w:w w:val="105"/>
        </w:rPr>
        <w:t>for</w:t>
      </w:r>
      <w:r>
        <w:rPr>
          <w:spacing w:val="-2"/>
          <w:w w:val="105"/>
        </w:rPr>
        <w:t> </w:t>
      </w:r>
      <w:r>
        <w:rPr>
          <w:w w:val="105"/>
        </w:rPr>
        <w:t>data</w:t>
      </w:r>
      <w:r>
        <w:rPr>
          <w:spacing w:val="-2"/>
          <w:w w:val="105"/>
        </w:rPr>
        <w:t> </w:t>
      </w:r>
      <w:r>
        <w:rPr>
          <w:w w:val="105"/>
        </w:rPr>
        <w:t>center applications,</w:t>
      </w:r>
      <w:r>
        <w:rPr>
          <w:spacing w:val="-2"/>
          <w:w w:val="105"/>
        </w:rPr>
        <w:t> </w:t>
      </w:r>
      <w:r>
        <w:rPr>
          <w:w w:val="105"/>
        </w:rPr>
        <w:t>supporting</w:t>
      </w:r>
      <w:r>
        <w:rPr>
          <w:spacing w:val="-2"/>
          <w:w w:val="105"/>
        </w:rPr>
        <w:t> </w:t>
      </w:r>
      <w:r>
        <w:rPr>
          <w:w w:val="105"/>
        </w:rPr>
        <w:t>a</w:t>
      </w:r>
      <w:r>
        <w:rPr>
          <w:spacing w:val="-2"/>
          <w:w w:val="105"/>
        </w:rPr>
        <w:t> </w:t>
      </w:r>
      <w:r>
        <w:rPr>
          <w:w w:val="105"/>
        </w:rPr>
        <w:t>path to</w:t>
      </w:r>
      <w:r>
        <w:rPr>
          <w:spacing w:val="-2"/>
          <w:w w:val="105"/>
        </w:rPr>
        <w:t> </w:t>
      </w:r>
      <w:r>
        <w:rPr>
          <w:w w:val="105"/>
        </w:rPr>
        <w:t>speeds</w:t>
      </w:r>
      <w:r>
        <w:rPr>
          <w:spacing w:val="-2"/>
          <w:w w:val="105"/>
        </w:rPr>
        <w:t> </w:t>
      </w:r>
      <w:r>
        <w:rPr>
          <w:w w:val="105"/>
        </w:rPr>
        <w:t>of</w:t>
      </w:r>
      <w:r>
        <w:rPr>
          <w:spacing w:val="-2"/>
          <w:w w:val="105"/>
        </w:rPr>
        <w:t> </w:t>
      </w:r>
      <w:r>
        <w:rPr>
          <w:w w:val="105"/>
        </w:rPr>
        <w:t>400G</w:t>
      </w:r>
      <w:r>
        <w:rPr>
          <w:spacing w:val="-2"/>
          <w:w w:val="105"/>
        </w:rPr>
        <w:t> </w:t>
      </w:r>
      <w:r>
        <w:rPr>
          <w:w w:val="105"/>
        </w:rPr>
        <w:t>and</w:t>
      </w:r>
      <w:r>
        <w:rPr>
          <w:spacing w:val="-2"/>
          <w:w w:val="105"/>
        </w:rPr>
        <w:t> </w:t>
      </w:r>
      <w:r>
        <w:rPr>
          <w:w w:val="105"/>
        </w:rPr>
        <w:t>beyond,</w:t>
      </w:r>
      <w:r>
        <w:rPr>
          <w:spacing w:val="-2"/>
          <w:w w:val="105"/>
        </w:rPr>
        <w:t> </w:t>
      </w:r>
      <w:r>
        <w:rPr>
          <w:w w:val="105"/>
        </w:rPr>
        <w:t>and</w:t>
      </w:r>
      <w:r>
        <w:rPr>
          <w:spacing w:val="-2"/>
          <w:w w:val="105"/>
        </w:rPr>
        <w:t> </w:t>
      </w:r>
      <w:r>
        <w:rPr>
          <w:w w:val="105"/>
        </w:rPr>
        <w:t>Everon™</w:t>
      </w:r>
      <w:r>
        <w:rPr>
          <w:spacing w:val="-2"/>
          <w:w w:val="105"/>
        </w:rPr>
        <w:t> </w:t>
      </w:r>
      <w:r>
        <w:rPr>
          <w:w w:val="105"/>
        </w:rPr>
        <w:t>Network</w:t>
      </w:r>
      <w:r>
        <w:rPr>
          <w:spacing w:val="-2"/>
          <w:w w:val="105"/>
        </w:rPr>
        <w:t> </w:t>
      </w:r>
      <w:r>
        <w:rPr>
          <w:w w:val="105"/>
        </w:rPr>
        <w:t>Solutions,</w:t>
      </w:r>
      <w:r>
        <w:rPr>
          <w:spacing w:val="-2"/>
          <w:w w:val="105"/>
        </w:rPr>
        <w:t> </w:t>
      </w:r>
      <w:r>
        <w:rPr>
          <w:w w:val="105"/>
        </w:rPr>
        <w:t>which</w:t>
      </w:r>
      <w:r>
        <w:rPr>
          <w:spacing w:val="-2"/>
          <w:w w:val="105"/>
        </w:rPr>
        <w:t> </w:t>
      </w:r>
      <w:r>
        <w:rPr>
          <w:w w:val="105"/>
        </w:rPr>
        <w:t>provide</w:t>
      </w:r>
      <w:r>
        <w:rPr>
          <w:spacing w:val="-2"/>
          <w:w w:val="105"/>
        </w:rPr>
        <w:t> </w:t>
      </w:r>
      <w:r>
        <w:rPr>
          <w:w w:val="105"/>
        </w:rPr>
        <w:t>next- generation cellular connectivity products for interior spaces of all sizes.</w:t>
      </w:r>
    </w:p>
    <w:p>
      <w:pPr>
        <w:pStyle w:val="BodyText"/>
        <w:spacing w:before="18"/>
      </w:pPr>
    </w:p>
    <w:p>
      <w:pPr>
        <w:pStyle w:val="BodyText"/>
        <w:spacing w:line="266" w:lineRule="auto"/>
        <w:ind w:left="156" w:right="328"/>
      </w:pPr>
      <w:r>
        <w:rPr>
          <w:w w:val="105"/>
        </w:rPr>
        <w:t>Our</w:t>
      </w:r>
      <w:r>
        <w:rPr>
          <w:spacing w:val="-1"/>
          <w:w w:val="105"/>
        </w:rPr>
        <w:t> </w:t>
      </w:r>
      <w:r>
        <w:rPr>
          <w:w w:val="105"/>
        </w:rPr>
        <w:t>optical</w:t>
      </w:r>
      <w:r>
        <w:rPr>
          <w:spacing w:val="-1"/>
          <w:w w:val="105"/>
        </w:rPr>
        <w:t> </w:t>
      </w:r>
      <w:r>
        <w:rPr>
          <w:w w:val="105"/>
        </w:rPr>
        <w:t>fiber</w:t>
      </w:r>
      <w:r>
        <w:rPr>
          <w:spacing w:val="-1"/>
          <w:w w:val="105"/>
        </w:rPr>
        <w:t> </w:t>
      </w:r>
      <w:r>
        <w:rPr>
          <w:w w:val="105"/>
        </w:rPr>
        <w:t>manufacturing</w:t>
      </w:r>
      <w:r>
        <w:rPr>
          <w:spacing w:val="-1"/>
          <w:w w:val="105"/>
        </w:rPr>
        <w:t> </w:t>
      </w:r>
      <w:r>
        <w:rPr>
          <w:w w:val="105"/>
        </w:rPr>
        <w:t>facilities</w:t>
      </w:r>
      <w:r>
        <w:rPr>
          <w:spacing w:val="-1"/>
          <w:w w:val="105"/>
        </w:rPr>
        <w:t> </w:t>
      </w:r>
      <w:r>
        <w:rPr>
          <w:w w:val="105"/>
        </w:rPr>
        <w:t>are</w:t>
      </w:r>
      <w:r>
        <w:rPr>
          <w:spacing w:val="-1"/>
          <w:w w:val="105"/>
        </w:rPr>
        <w:t> </w:t>
      </w:r>
      <w:r>
        <w:rPr>
          <w:w w:val="105"/>
        </w:rPr>
        <w:t>in</w:t>
      </w:r>
      <w:r>
        <w:rPr>
          <w:spacing w:val="-1"/>
          <w:w w:val="105"/>
        </w:rPr>
        <w:t> </w:t>
      </w:r>
      <w:r>
        <w:rPr>
          <w:w w:val="105"/>
        </w:rPr>
        <w:t>North</w:t>
      </w:r>
      <w:r>
        <w:rPr>
          <w:spacing w:val="-1"/>
          <w:w w:val="105"/>
        </w:rPr>
        <w:t> </w:t>
      </w:r>
      <w:r>
        <w:rPr>
          <w:w w:val="105"/>
        </w:rPr>
        <w:t>Carolina,</w:t>
      </w:r>
      <w:r>
        <w:rPr>
          <w:spacing w:val="-1"/>
          <w:w w:val="105"/>
        </w:rPr>
        <w:t> </w:t>
      </w:r>
      <w:r>
        <w:rPr>
          <w:w w:val="105"/>
        </w:rPr>
        <w:t>China</w:t>
      </w:r>
      <w:r>
        <w:rPr>
          <w:spacing w:val="-1"/>
          <w:w w:val="105"/>
        </w:rPr>
        <w:t> </w:t>
      </w:r>
      <w:r>
        <w:rPr>
          <w:w w:val="105"/>
        </w:rPr>
        <w:t>and</w:t>
      </w:r>
      <w:r>
        <w:rPr>
          <w:spacing w:val="-1"/>
          <w:w w:val="105"/>
        </w:rPr>
        <w:t> </w:t>
      </w:r>
      <w:r>
        <w:rPr>
          <w:w w:val="105"/>
        </w:rPr>
        <w:t>India,</w:t>
      </w:r>
      <w:r>
        <w:rPr>
          <w:spacing w:val="-1"/>
          <w:w w:val="105"/>
        </w:rPr>
        <w:t> </w:t>
      </w:r>
      <w:r>
        <w:rPr>
          <w:w w:val="105"/>
        </w:rPr>
        <w:t>with</w:t>
      </w:r>
      <w:r>
        <w:rPr>
          <w:spacing w:val="-1"/>
          <w:w w:val="105"/>
        </w:rPr>
        <w:t> </w:t>
      </w:r>
      <w:r>
        <w:rPr>
          <w:w w:val="105"/>
        </w:rPr>
        <w:t>a</w:t>
      </w:r>
      <w:r>
        <w:rPr>
          <w:spacing w:val="-1"/>
          <w:w w:val="105"/>
        </w:rPr>
        <w:t> </w:t>
      </w:r>
      <w:r>
        <w:rPr>
          <w:w w:val="105"/>
        </w:rPr>
        <w:t>new</w:t>
      </w:r>
      <w:r>
        <w:rPr>
          <w:spacing w:val="-1"/>
          <w:w w:val="105"/>
        </w:rPr>
        <w:t> </w:t>
      </w:r>
      <w:r>
        <w:rPr>
          <w:w w:val="105"/>
        </w:rPr>
        <w:t>facility</w:t>
      </w:r>
      <w:r>
        <w:rPr>
          <w:spacing w:val="-1"/>
          <w:w w:val="105"/>
        </w:rPr>
        <w:t> </w:t>
      </w:r>
      <w:r>
        <w:rPr>
          <w:w w:val="105"/>
        </w:rPr>
        <w:t>in</w:t>
      </w:r>
      <w:r>
        <w:rPr>
          <w:spacing w:val="-1"/>
          <w:w w:val="105"/>
        </w:rPr>
        <w:t> </w:t>
      </w:r>
      <w:r>
        <w:rPr>
          <w:w w:val="105"/>
        </w:rPr>
        <w:t>Poland coming</w:t>
      </w:r>
      <w:r>
        <w:rPr>
          <w:spacing w:val="-1"/>
          <w:w w:val="105"/>
        </w:rPr>
        <w:t> </w:t>
      </w:r>
      <w:r>
        <w:rPr>
          <w:w w:val="105"/>
        </w:rPr>
        <w:t>online</w:t>
      </w:r>
      <w:r>
        <w:rPr>
          <w:spacing w:val="-1"/>
          <w:w w:val="105"/>
        </w:rPr>
        <w:t> </w:t>
      </w:r>
      <w:r>
        <w:rPr>
          <w:w w:val="105"/>
        </w:rPr>
        <w:t>in</w:t>
      </w:r>
      <w:r>
        <w:rPr>
          <w:spacing w:val="-1"/>
          <w:w w:val="105"/>
        </w:rPr>
        <w:t> </w:t>
      </w:r>
      <w:r>
        <w:rPr>
          <w:w w:val="105"/>
        </w:rPr>
        <w:t>2022.</w:t>
      </w:r>
      <w:r>
        <w:rPr>
          <w:spacing w:val="-1"/>
          <w:w w:val="105"/>
        </w:rPr>
        <w:t> </w:t>
      </w:r>
      <w:r>
        <w:rPr>
          <w:w w:val="105"/>
        </w:rPr>
        <w:t>Cabling</w:t>
      </w:r>
      <w:r>
        <w:rPr>
          <w:spacing w:val="-1"/>
          <w:w w:val="105"/>
        </w:rPr>
        <w:t> </w:t>
      </w:r>
      <w:r>
        <w:rPr>
          <w:w w:val="105"/>
        </w:rPr>
        <w:t>operations</w:t>
      </w:r>
      <w:r>
        <w:rPr>
          <w:spacing w:val="-1"/>
          <w:w w:val="105"/>
        </w:rPr>
        <w:t> </w:t>
      </w:r>
      <w:r>
        <w:rPr>
          <w:w w:val="105"/>
        </w:rPr>
        <w:t>are</w:t>
      </w:r>
      <w:r>
        <w:rPr>
          <w:spacing w:val="-1"/>
          <w:w w:val="105"/>
        </w:rPr>
        <w:t> </w:t>
      </w:r>
      <w:r>
        <w:rPr>
          <w:w w:val="105"/>
        </w:rPr>
        <w:t>in</w:t>
      </w:r>
      <w:r>
        <w:rPr>
          <w:spacing w:val="-1"/>
          <w:w w:val="105"/>
        </w:rPr>
        <w:t> </w:t>
      </w:r>
      <w:r>
        <w:rPr>
          <w:w w:val="105"/>
        </w:rPr>
        <w:t>North Carolina,</w:t>
      </w:r>
      <w:r>
        <w:rPr>
          <w:spacing w:val="-10"/>
          <w:w w:val="105"/>
        </w:rPr>
        <w:t> </w:t>
      </w:r>
      <w:r>
        <w:rPr>
          <w:w w:val="105"/>
        </w:rPr>
        <w:t>Poland</w:t>
      </w:r>
      <w:r>
        <w:rPr>
          <w:spacing w:val="-10"/>
          <w:w w:val="105"/>
        </w:rPr>
        <w:t> </w:t>
      </w:r>
      <w:r>
        <w:rPr>
          <w:w w:val="105"/>
        </w:rPr>
        <w:t>and</w:t>
      </w:r>
      <w:r>
        <w:rPr>
          <w:spacing w:val="-10"/>
          <w:w w:val="105"/>
        </w:rPr>
        <w:t> </w:t>
      </w:r>
      <w:r>
        <w:rPr>
          <w:w w:val="105"/>
        </w:rPr>
        <w:t>smaller</w:t>
      </w:r>
      <w:r>
        <w:rPr>
          <w:spacing w:val="-8"/>
          <w:w w:val="105"/>
        </w:rPr>
        <w:t> </w:t>
      </w:r>
      <w:r>
        <w:rPr>
          <w:w w:val="105"/>
        </w:rPr>
        <w:t>regional</w:t>
      </w:r>
      <w:r>
        <w:rPr>
          <w:spacing w:val="-10"/>
          <w:w w:val="105"/>
        </w:rPr>
        <w:t> </w:t>
      </w:r>
      <w:r>
        <w:rPr>
          <w:w w:val="105"/>
        </w:rPr>
        <w:t>locations.</w:t>
      </w:r>
      <w:r>
        <w:rPr>
          <w:spacing w:val="-10"/>
          <w:w w:val="105"/>
        </w:rPr>
        <w:t> </w:t>
      </w:r>
      <w:r>
        <w:rPr>
          <w:w w:val="105"/>
        </w:rPr>
        <w:t>Our</w:t>
      </w:r>
      <w:r>
        <w:rPr>
          <w:spacing w:val="-10"/>
          <w:w w:val="105"/>
        </w:rPr>
        <w:t> </w:t>
      </w:r>
      <w:r>
        <w:rPr>
          <w:w w:val="105"/>
        </w:rPr>
        <w:t>manufacturing</w:t>
      </w:r>
      <w:r>
        <w:rPr>
          <w:spacing w:val="-10"/>
          <w:w w:val="105"/>
        </w:rPr>
        <w:t> </w:t>
      </w:r>
      <w:r>
        <w:rPr>
          <w:w w:val="105"/>
        </w:rPr>
        <w:t>operations</w:t>
      </w:r>
      <w:r>
        <w:rPr>
          <w:spacing w:val="-10"/>
          <w:w w:val="105"/>
        </w:rPr>
        <w:t> </w:t>
      </w:r>
      <w:r>
        <w:rPr>
          <w:w w:val="105"/>
        </w:rPr>
        <w:t>for</w:t>
      </w:r>
      <w:r>
        <w:rPr>
          <w:spacing w:val="-10"/>
          <w:w w:val="105"/>
        </w:rPr>
        <w:t> </w:t>
      </w:r>
      <w:r>
        <w:rPr>
          <w:w w:val="105"/>
        </w:rPr>
        <w:t>hardware</w:t>
      </w:r>
      <w:r>
        <w:rPr>
          <w:spacing w:val="-10"/>
          <w:w w:val="105"/>
        </w:rPr>
        <w:t> </w:t>
      </w:r>
      <w:r>
        <w:rPr>
          <w:w w:val="105"/>
        </w:rPr>
        <w:t>and</w:t>
      </w:r>
      <w:r>
        <w:rPr>
          <w:spacing w:val="-10"/>
          <w:w w:val="105"/>
        </w:rPr>
        <w:t> </w:t>
      </w:r>
      <w:r>
        <w:rPr>
          <w:w w:val="105"/>
        </w:rPr>
        <w:t>equipment</w:t>
      </w:r>
      <w:r>
        <w:rPr>
          <w:spacing w:val="-10"/>
          <w:w w:val="105"/>
        </w:rPr>
        <w:t> </w:t>
      </w:r>
      <w:r>
        <w:rPr>
          <w:w w:val="105"/>
        </w:rPr>
        <w:t>products</w:t>
      </w:r>
      <w:r>
        <w:rPr>
          <w:spacing w:val="-10"/>
          <w:w w:val="105"/>
        </w:rPr>
        <w:t> </w:t>
      </w:r>
      <w:r>
        <w:rPr>
          <w:w w:val="105"/>
        </w:rPr>
        <w:t>are</w:t>
      </w:r>
      <w:r>
        <w:rPr>
          <w:spacing w:val="-10"/>
          <w:w w:val="105"/>
        </w:rPr>
        <w:t> </w:t>
      </w:r>
      <w:r>
        <w:rPr>
          <w:w w:val="105"/>
        </w:rPr>
        <w:t>in</w:t>
      </w:r>
      <w:r>
        <w:rPr>
          <w:spacing w:val="-10"/>
          <w:w w:val="105"/>
        </w:rPr>
        <w:t> </w:t>
      </w:r>
      <w:r>
        <w:rPr>
          <w:w w:val="105"/>
        </w:rPr>
        <w:t>Texas,</w:t>
      </w:r>
      <w:r>
        <w:rPr>
          <w:spacing w:val="-10"/>
          <w:w w:val="105"/>
        </w:rPr>
        <w:t> </w:t>
      </w:r>
      <w:r>
        <w:rPr>
          <w:w w:val="105"/>
        </w:rPr>
        <w:t>Mexico,</w:t>
      </w:r>
      <w:r>
        <w:rPr>
          <w:spacing w:val="-10"/>
          <w:w w:val="105"/>
        </w:rPr>
        <w:t> </w:t>
      </w:r>
      <w:r>
        <w:rPr>
          <w:w w:val="105"/>
        </w:rPr>
        <w:t>Brazil,</w:t>
      </w:r>
      <w:r>
        <w:rPr>
          <w:spacing w:val="-10"/>
          <w:w w:val="105"/>
        </w:rPr>
        <w:t> </w:t>
      </w:r>
      <w:r>
        <w:rPr>
          <w:w w:val="105"/>
        </w:rPr>
        <w:t>Germany,</w:t>
      </w:r>
      <w:r>
        <w:rPr>
          <w:spacing w:val="-10"/>
          <w:w w:val="105"/>
        </w:rPr>
        <w:t> </w:t>
      </w:r>
      <w:r>
        <w:rPr>
          <w:w w:val="105"/>
        </w:rPr>
        <w:t>Poland,</w:t>
      </w:r>
      <w:r>
        <w:rPr>
          <w:spacing w:val="-10"/>
          <w:w w:val="105"/>
        </w:rPr>
        <w:t> </w:t>
      </w:r>
      <w:r>
        <w:rPr>
          <w:w w:val="105"/>
        </w:rPr>
        <w:t>and </w:t>
      </w:r>
      <w:r>
        <w:rPr>
          <w:spacing w:val="-2"/>
          <w:w w:val="105"/>
        </w:rPr>
        <w:t>China.</w:t>
      </w:r>
    </w:p>
    <w:p>
      <w:pPr>
        <w:pStyle w:val="BodyText"/>
        <w:spacing w:before="18"/>
      </w:pPr>
    </w:p>
    <w:p>
      <w:pPr>
        <w:pStyle w:val="BodyText"/>
        <w:spacing w:line="266" w:lineRule="auto" w:before="1"/>
        <w:ind w:left="156"/>
      </w:pPr>
      <w:r>
        <w:rPr>
          <w:w w:val="105"/>
        </w:rPr>
        <w:t>Patent</w:t>
      </w:r>
      <w:r>
        <w:rPr>
          <w:spacing w:val="-2"/>
          <w:w w:val="105"/>
        </w:rPr>
        <w:t> </w:t>
      </w:r>
      <w:r>
        <w:rPr>
          <w:w w:val="105"/>
        </w:rPr>
        <w:t>protection</w:t>
      </w:r>
      <w:r>
        <w:rPr>
          <w:spacing w:val="-2"/>
          <w:w w:val="105"/>
        </w:rPr>
        <w:t> </w:t>
      </w:r>
      <w:r>
        <w:rPr>
          <w:w w:val="105"/>
        </w:rPr>
        <w:t>is</w:t>
      </w:r>
      <w:r>
        <w:rPr>
          <w:spacing w:val="-2"/>
          <w:w w:val="105"/>
        </w:rPr>
        <w:t> </w:t>
      </w:r>
      <w:r>
        <w:rPr>
          <w:w w:val="105"/>
        </w:rPr>
        <w:t>important</w:t>
      </w:r>
      <w:r>
        <w:rPr>
          <w:spacing w:val="-2"/>
          <w:w w:val="105"/>
        </w:rPr>
        <w:t> </w:t>
      </w:r>
      <w:r>
        <w:rPr>
          <w:w w:val="105"/>
        </w:rPr>
        <w:t>to</w:t>
      </w:r>
      <w:r>
        <w:rPr>
          <w:spacing w:val="-2"/>
          <w:w w:val="105"/>
        </w:rPr>
        <w:t> </w:t>
      </w:r>
      <w:r>
        <w:rPr>
          <w:w w:val="105"/>
        </w:rPr>
        <w:t>the</w:t>
      </w:r>
      <w:r>
        <w:rPr>
          <w:spacing w:val="-2"/>
          <w:w w:val="105"/>
        </w:rPr>
        <w:t> </w:t>
      </w:r>
      <w:r>
        <w:rPr>
          <w:w w:val="105"/>
        </w:rPr>
        <w:t>segment’s</w:t>
      </w:r>
      <w:r>
        <w:rPr>
          <w:spacing w:val="-2"/>
          <w:w w:val="105"/>
        </w:rPr>
        <w:t> </w:t>
      </w:r>
      <w:r>
        <w:rPr>
          <w:w w:val="105"/>
        </w:rPr>
        <w:t>operations.</w:t>
      </w:r>
      <w:r>
        <w:rPr>
          <w:spacing w:val="-2"/>
          <w:w w:val="105"/>
        </w:rPr>
        <w:t> </w:t>
      </w:r>
      <w:r>
        <w:rPr>
          <w:w w:val="105"/>
        </w:rPr>
        <w:t>The</w:t>
      </w:r>
      <w:r>
        <w:rPr>
          <w:spacing w:val="-2"/>
          <w:w w:val="105"/>
        </w:rPr>
        <w:t> </w:t>
      </w:r>
      <w:r>
        <w:rPr>
          <w:w w:val="105"/>
        </w:rPr>
        <w:t>segment</w:t>
      </w:r>
      <w:r>
        <w:rPr>
          <w:spacing w:val="-2"/>
          <w:w w:val="105"/>
        </w:rPr>
        <w:t> </w:t>
      </w:r>
      <w:r>
        <w:rPr>
          <w:w w:val="105"/>
        </w:rPr>
        <w:t>has</w:t>
      </w:r>
      <w:r>
        <w:rPr>
          <w:spacing w:val="-2"/>
          <w:w w:val="105"/>
        </w:rPr>
        <w:t> </w:t>
      </w:r>
      <w:r>
        <w:rPr>
          <w:w w:val="105"/>
        </w:rPr>
        <w:t>an</w:t>
      </w:r>
      <w:r>
        <w:rPr>
          <w:spacing w:val="-2"/>
          <w:w w:val="105"/>
        </w:rPr>
        <w:t> </w:t>
      </w:r>
      <w:r>
        <w:rPr>
          <w:w w:val="105"/>
        </w:rPr>
        <w:t>extensive</w:t>
      </w:r>
      <w:r>
        <w:rPr>
          <w:spacing w:val="-2"/>
          <w:w w:val="105"/>
        </w:rPr>
        <w:t> </w:t>
      </w:r>
      <w:r>
        <w:rPr>
          <w:w w:val="105"/>
        </w:rPr>
        <w:t>portfolio</w:t>
      </w:r>
      <w:r>
        <w:rPr>
          <w:spacing w:val="-2"/>
          <w:w w:val="105"/>
        </w:rPr>
        <w:t> </w:t>
      </w:r>
      <w:r>
        <w:rPr>
          <w:w w:val="105"/>
        </w:rPr>
        <w:t>of</w:t>
      </w:r>
      <w:r>
        <w:rPr>
          <w:spacing w:val="-2"/>
          <w:w w:val="105"/>
        </w:rPr>
        <w:t> </w:t>
      </w:r>
      <w:r>
        <w:rPr>
          <w:w w:val="105"/>
        </w:rPr>
        <w:t>patents relating</w:t>
      </w:r>
      <w:r>
        <w:rPr>
          <w:spacing w:val="-2"/>
          <w:w w:val="105"/>
        </w:rPr>
        <w:t> </w:t>
      </w:r>
      <w:r>
        <w:rPr>
          <w:w w:val="105"/>
        </w:rPr>
        <w:t>to</w:t>
      </w:r>
      <w:r>
        <w:rPr>
          <w:spacing w:val="-2"/>
          <w:w w:val="105"/>
        </w:rPr>
        <w:t> </w:t>
      </w:r>
      <w:r>
        <w:rPr>
          <w:w w:val="105"/>
        </w:rPr>
        <w:t>its</w:t>
      </w:r>
      <w:r>
        <w:rPr>
          <w:spacing w:val="-2"/>
          <w:w w:val="105"/>
        </w:rPr>
        <w:t> </w:t>
      </w:r>
      <w:r>
        <w:rPr>
          <w:w w:val="105"/>
        </w:rPr>
        <w:t>products,</w:t>
      </w:r>
      <w:r>
        <w:rPr>
          <w:spacing w:val="-2"/>
          <w:w w:val="105"/>
        </w:rPr>
        <w:t> </w:t>
      </w:r>
      <w:r>
        <w:rPr>
          <w:w w:val="105"/>
        </w:rPr>
        <w:t>technologies</w:t>
      </w:r>
      <w:r>
        <w:rPr>
          <w:spacing w:val="-2"/>
          <w:w w:val="105"/>
        </w:rPr>
        <w:t> </w:t>
      </w:r>
      <w:r>
        <w:rPr>
          <w:w w:val="105"/>
        </w:rPr>
        <w:t>and</w:t>
      </w:r>
      <w:r>
        <w:rPr>
          <w:spacing w:val="-2"/>
          <w:w w:val="105"/>
        </w:rPr>
        <w:t> </w:t>
      </w:r>
      <w:r>
        <w:rPr>
          <w:w w:val="105"/>
        </w:rPr>
        <w:t>manufacturing processes.</w:t>
      </w:r>
      <w:r>
        <w:rPr>
          <w:spacing w:val="-8"/>
          <w:w w:val="105"/>
        </w:rPr>
        <w:t> </w:t>
      </w:r>
      <w:r>
        <w:rPr>
          <w:w w:val="105"/>
        </w:rPr>
        <w:t>The</w:t>
      </w:r>
      <w:r>
        <w:rPr>
          <w:spacing w:val="-8"/>
          <w:w w:val="105"/>
        </w:rPr>
        <w:t> </w:t>
      </w:r>
      <w:r>
        <w:rPr>
          <w:w w:val="105"/>
        </w:rPr>
        <w:t>segment</w:t>
      </w:r>
      <w:r>
        <w:rPr>
          <w:spacing w:val="-8"/>
          <w:w w:val="105"/>
        </w:rPr>
        <w:t> </w:t>
      </w:r>
      <w:r>
        <w:rPr>
          <w:w w:val="105"/>
        </w:rPr>
        <w:t>licenses</w:t>
      </w:r>
      <w:r>
        <w:rPr>
          <w:spacing w:val="-8"/>
          <w:w w:val="105"/>
        </w:rPr>
        <w:t> </w:t>
      </w:r>
      <w:r>
        <w:rPr>
          <w:w w:val="105"/>
        </w:rPr>
        <w:t>certain</w:t>
      </w:r>
      <w:r>
        <w:rPr>
          <w:spacing w:val="-8"/>
          <w:w w:val="105"/>
        </w:rPr>
        <w:t> </w:t>
      </w:r>
      <w:r>
        <w:rPr>
          <w:w w:val="105"/>
        </w:rPr>
        <w:t>of</w:t>
      </w:r>
      <w:r>
        <w:rPr>
          <w:spacing w:val="-8"/>
          <w:w w:val="105"/>
        </w:rPr>
        <w:t> </w:t>
      </w:r>
      <w:r>
        <w:rPr>
          <w:w w:val="105"/>
        </w:rPr>
        <w:t>its</w:t>
      </w:r>
      <w:r>
        <w:rPr>
          <w:spacing w:val="-8"/>
          <w:w w:val="105"/>
        </w:rPr>
        <w:t> </w:t>
      </w:r>
      <w:r>
        <w:rPr>
          <w:w w:val="105"/>
        </w:rPr>
        <w:t>patents</w:t>
      </w:r>
      <w:r>
        <w:rPr>
          <w:spacing w:val="-8"/>
          <w:w w:val="105"/>
        </w:rPr>
        <w:t> </w:t>
      </w:r>
      <w:r>
        <w:rPr>
          <w:w w:val="105"/>
        </w:rPr>
        <w:t>to</w:t>
      </w:r>
      <w:r>
        <w:rPr>
          <w:spacing w:val="-8"/>
          <w:w w:val="105"/>
        </w:rPr>
        <w:t> </w:t>
      </w:r>
      <w:r>
        <w:rPr>
          <w:w w:val="105"/>
        </w:rPr>
        <w:t>third</w:t>
      </w:r>
      <w:r>
        <w:rPr>
          <w:spacing w:val="-8"/>
          <w:w w:val="105"/>
        </w:rPr>
        <w:t> </w:t>
      </w:r>
      <w:r>
        <w:rPr>
          <w:w w:val="105"/>
        </w:rPr>
        <w:t>parties</w:t>
      </w:r>
      <w:r>
        <w:rPr>
          <w:spacing w:val="-8"/>
          <w:w w:val="105"/>
        </w:rPr>
        <w:t> </w:t>
      </w:r>
      <w:r>
        <w:rPr>
          <w:w w:val="105"/>
        </w:rPr>
        <w:t>and</w:t>
      </w:r>
      <w:r>
        <w:rPr>
          <w:spacing w:val="-8"/>
          <w:w w:val="105"/>
        </w:rPr>
        <w:t> </w:t>
      </w:r>
      <w:r>
        <w:rPr>
          <w:w w:val="105"/>
        </w:rPr>
        <w:t>generates</w:t>
      </w:r>
      <w:r>
        <w:rPr>
          <w:spacing w:val="-8"/>
          <w:w w:val="105"/>
        </w:rPr>
        <w:t> </w:t>
      </w:r>
      <w:r>
        <w:rPr>
          <w:w w:val="105"/>
        </w:rPr>
        <w:t>revenue</w:t>
      </w:r>
      <w:r>
        <w:rPr>
          <w:spacing w:val="-8"/>
          <w:w w:val="105"/>
        </w:rPr>
        <w:t> </w:t>
      </w:r>
      <w:r>
        <w:rPr>
          <w:w w:val="105"/>
        </w:rPr>
        <w:t>from</w:t>
      </w:r>
      <w:r>
        <w:rPr>
          <w:spacing w:val="-8"/>
          <w:w w:val="105"/>
        </w:rPr>
        <w:t> </w:t>
      </w:r>
      <w:r>
        <w:rPr>
          <w:w w:val="105"/>
        </w:rPr>
        <w:t>these</w:t>
      </w:r>
      <w:r>
        <w:rPr>
          <w:spacing w:val="-8"/>
          <w:w w:val="105"/>
        </w:rPr>
        <w:t> </w:t>
      </w:r>
      <w:r>
        <w:rPr>
          <w:w w:val="105"/>
        </w:rPr>
        <w:t>licenses,</w:t>
      </w:r>
      <w:r>
        <w:rPr>
          <w:spacing w:val="-8"/>
          <w:w w:val="105"/>
        </w:rPr>
        <w:t> </w:t>
      </w:r>
      <w:r>
        <w:rPr>
          <w:w w:val="105"/>
        </w:rPr>
        <w:t>although</w:t>
      </w:r>
      <w:r>
        <w:rPr>
          <w:spacing w:val="-8"/>
          <w:w w:val="105"/>
        </w:rPr>
        <w:t> </w:t>
      </w:r>
      <w:r>
        <w:rPr>
          <w:w w:val="105"/>
        </w:rPr>
        <w:t>the</w:t>
      </w:r>
      <w:r>
        <w:rPr>
          <w:spacing w:val="-8"/>
          <w:w w:val="105"/>
        </w:rPr>
        <w:t> </w:t>
      </w:r>
      <w:r>
        <w:rPr>
          <w:w w:val="105"/>
        </w:rPr>
        <w:t>royalty</w:t>
      </w:r>
      <w:r>
        <w:rPr>
          <w:spacing w:val="-8"/>
          <w:w w:val="105"/>
        </w:rPr>
        <w:t> </w:t>
      </w:r>
      <w:r>
        <w:rPr>
          <w:w w:val="105"/>
        </w:rPr>
        <w:t>income</w:t>
      </w:r>
      <w:r>
        <w:rPr>
          <w:spacing w:val="-8"/>
          <w:w w:val="105"/>
        </w:rPr>
        <w:t> </w:t>
      </w:r>
      <w:r>
        <w:rPr>
          <w:w w:val="105"/>
        </w:rPr>
        <w:t>is</w:t>
      </w:r>
      <w:r>
        <w:rPr>
          <w:spacing w:val="-8"/>
          <w:w w:val="105"/>
        </w:rPr>
        <w:t> </w:t>
      </w:r>
      <w:r>
        <w:rPr>
          <w:w w:val="105"/>
        </w:rPr>
        <w:t>not</w:t>
      </w:r>
      <w:r>
        <w:rPr>
          <w:spacing w:val="-8"/>
          <w:w w:val="105"/>
        </w:rPr>
        <w:t> </w:t>
      </w:r>
      <w:r>
        <w:rPr>
          <w:w w:val="105"/>
        </w:rPr>
        <w:t>currently</w:t>
      </w:r>
      <w:r>
        <w:rPr>
          <w:spacing w:val="-8"/>
          <w:w w:val="105"/>
        </w:rPr>
        <w:t> </w:t>
      </w:r>
      <w:r>
        <w:rPr>
          <w:w w:val="105"/>
        </w:rPr>
        <w:t>material</w:t>
      </w:r>
      <w:r>
        <w:rPr>
          <w:spacing w:val="-8"/>
          <w:w w:val="105"/>
        </w:rPr>
        <w:t> </w:t>
      </w:r>
      <w:r>
        <w:rPr>
          <w:w w:val="105"/>
        </w:rPr>
        <w:t>to</w:t>
      </w:r>
      <w:r>
        <w:rPr>
          <w:spacing w:val="-8"/>
          <w:w w:val="105"/>
        </w:rPr>
        <w:t> </w:t>
      </w:r>
      <w:r>
        <w:rPr>
          <w:w w:val="105"/>
        </w:rPr>
        <w:t>this segment’s</w:t>
      </w:r>
      <w:r>
        <w:rPr>
          <w:spacing w:val="-2"/>
          <w:w w:val="105"/>
        </w:rPr>
        <w:t> </w:t>
      </w:r>
      <w:r>
        <w:rPr>
          <w:w w:val="105"/>
        </w:rPr>
        <w:t>operating</w:t>
      </w:r>
      <w:r>
        <w:rPr>
          <w:spacing w:val="-2"/>
          <w:w w:val="105"/>
        </w:rPr>
        <w:t> </w:t>
      </w:r>
      <w:r>
        <w:rPr>
          <w:w w:val="105"/>
        </w:rPr>
        <w:t>results.</w:t>
      </w:r>
      <w:r>
        <w:rPr>
          <w:spacing w:val="-2"/>
          <w:w w:val="105"/>
        </w:rPr>
        <w:t> </w:t>
      </w:r>
      <w:r>
        <w:rPr>
          <w:w w:val="105"/>
        </w:rPr>
        <w:t>Corning</w:t>
      </w:r>
      <w:r>
        <w:rPr>
          <w:spacing w:val="-2"/>
          <w:w w:val="105"/>
        </w:rPr>
        <w:t> </w:t>
      </w:r>
      <w:r>
        <w:rPr>
          <w:w w:val="105"/>
        </w:rPr>
        <w:t>is</w:t>
      </w:r>
      <w:r>
        <w:rPr>
          <w:spacing w:val="-2"/>
          <w:w w:val="105"/>
        </w:rPr>
        <w:t> </w:t>
      </w:r>
      <w:r>
        <w:rPr>
          <w:w w:val="105"/>
        </w:rPr>
        <w:t>licensed</w:t>
      </w:r>
      <w:r>
        <w:rPr>
          <w:spacing w:val="-2"/>
          <w:w w:val="105"/>
        </w:rPr>
        <w:t> </w:t>
      </w:r>
      <w:r>
        <w:rPr>
          <w:w w:val="105"/>
        </w:rPr>
        <w:t>to</w:t>
      </w:r>
      <w:r>
        <w:rPr>
          <w:spacing w:val="-2"/>
          <w:w w:val="105"/>
        </w:rPr>
        <w:t> </w:t>
      </w:r>
      <w:r>
        <w:rPr>
          <w:w w:val="105"/>
        </w:rPr>
        <w:t>use</w:t>
      </w:r>
      <w:r>
        <w:rPr>
          <w:spacing w:val="-2"/>
          <w:w w:val="105"/>
        </w:rPr>
        <w:t> </w:t>
      </w:r>
      <w:r>
        <w:rPr>
          <w:w w:val="105"/>
        </w:rPr>
        <w:t>certain</w:t>
      </w:r>
      <w:r>
        <w:rPr>
          <w:spacing w:val="-2"/>
          <w:w w:val="105"/>
        </w:rPr>
        <w:t> </w:t>
      </w:r>
      <w:r>
        <w:rPr>
          <w:w w:val="105"/>
        </w:rPr>
        <w:t>patents</w:t>
      </w:r>
      <w:r>
        <w:rPr>
          <w:spacing w:val="-2"/>
          <w:w w:val="105"/>
        </w:rPr>
        <w:t> </w:t>
      </w:r>
      <w:r>
        <w:rPr>
          <w:w w:val="105"/>
        </w:rPr>
        <w:t>owned</w:t>
      </w:r>
      <w:r>
        <w:rPr>
          <w:spacing w:val="-2"/>
          <w:w w:val="105"/>
        </w:rPr>
        <w:t> </w:t>
      </w:r>
      <w:r>
        <w:rPr>
          <w:w w:val="105"/>
        </w:rPr>
        <w:t>by</w:t>
      </w:r>
      <w:r>
        <w:rPr>
          <w:spacing w:val="-2"/>
          <w:w w:val="105"/>
        </w:rPr>
        <w:t> </w:t>
      </w:r>
      <w:r>
        <w:rPr>
          <w:w w:val="105"/>
        </w:rPr>
        <w:t>others,</w:t>
      </w:r>
      <w:r>
        <w:rPr>
          <w:spacing w:val="-2"/>
          <w:w w:val="105"/>
        </w:rPr>
        <w:t> </w:t>
      </w:r>
      <w:r>
        <w:rPr>
          <w:w w:val="105"/>
        </w:rPr>
        <w:t>which</w:t>
      </w:r>
      <w:r>
        <w:rPr>
          <w:spacing w:val="-2"/>
          <w:w w:val="105"/>
        </w:rPr>
        <w:t> </w:t>
      </w:r>
      <w:r>
        <w:rPr>
          <w:w w:val="105"/>
        </w:rPr>
        <w:t>are</w:t>
      </w:r>
      <w:r>
        <w:rPr>
          <w:spacing w:val="-2"/>
          <w:w w:val="105"/>
        </w:rPr>
        <w:t> </w:t>
      </w:r>
      <w:r>
        <w:rPr>
          <w:w w:val="105"/>
        </w:rPr>
        <w:t>considered</w:t>
      </w:r>
      <w:r>
        <w:rPr>
          <w:spacing w:val="-2"/>
          <w:w w:val="105"/>
        </w:rPr>
        <w:t> </w:t>
      </w:r>
      <w:r>
        <w:rPr>
          <w:w w:val="105"/>
        </w:rPr>
        <w:t>important to</w:t>
      </w:r>
      <w:r>
        <w:rPr>
          <w:spacing w:val="-2"/>
          <w:w w:val="105"/>
        </w:rPr>
        <w:t> </w:t>
      </w:r>
      <w:r>
        <w:rPr>
          <w:w w:val="105"/>
        </w:rPr>
        <w:t>the</w:t>
      </w:r>
      <w:r>
        <w:rPr>
          <w:spacing w:val="-2"/>
          <w:w w:val="105"/>
        </w:rPr>
        <w:t> </w:t>
      </w:r>
      <w:r>
        <w:rPr>
          <w:w w:val="105"/>
        </w:rPr>
        <w:t>segment’s</w:t>
      </w:r>
      <w:r>
        <w:rPr>
          <w:spacing w:val="-2"/>
          <w:w w:val="105"/>
        </w:rPr>
        <w:t> </w:t>
      </w:r>
      <w:r>
        <w:rPr>
          <w:w w:val="105"/>
        </w:rPr>
        <w:t>operations.</w:t>
      </w:r>
      <w:r>
        <w:rPr>
          <w:spacing w:val="-2"/>
          <w:w w:val="105"/>
        </w:rPr>
        <w:t> </w:t>
      </w:r>
      <w:r>
        <w:rPr>
          <w:w w:val="105"/>
        </w:rPr>
        <w:t>Refer</w:t>
      </w:r>
      <w:r>
        <w:rPr>
          <w:spacing w:val="-2"/>
          <w:w w:val="105"/>
        </w:rPr>
        <w:t> </w:t>
      </w:r>
      <w:r>
        <w:rPr>
          <w:w w:val="105"/>
        </w:rPr>
        <w:t>to</w:t>
      </w:r>
      <w:r>
        <w:rPr>
          <w:spacing w:val="-2"/>
          <w:w w:val="105"/>
        </w:rPr>
        <w:t> </w:t>
      </w:r>
      <w:r>
        <w:rPr>
          <w:w w:val="105"/>
        </w:rPr>
        <w:t>the</w:t>
      </w:r>
      <w:r>
        <w:rPr>
          <w:spacing w:val="-2"/>
          <w:w w:val="105"/>
        </w:rPr>
        <w:t> </w:t>
      </w:r>
      <w:r>
        <w:rPr>
          <w:w w:val="105"/>
        </w:rPr>
        <w:t>material under the heading “Patents and Trademarks” for information relating to the Company’s patents and trademarks.</w:t>
      </w:r>
    </w:p>
    <w:p>
      <w:pPr>
        <w:pStyle w:val="BodyText"/>
        <w:spacing w:before="18"/>
      </w:pPr>
    </w:p>
    <w:p>
      <w:pPr>
        <w:pStyle w:val="BodyText"/>
        <w:ind w:left="156"/>
      </w:pPr>
      <w:r>
        <w:rPr>
          <w:spacing w:val="-2"/>
          <w:w w:val="105"/>
        </w:rPr>
        <w:t>The</w:t>
      </w:r>
      <w:r>
        <w:rPr>
          <w:spacing w:val="1"/>
          <w:w w:val="105"/>
        </w:rPr>
        <w:t> </w:t>
      </w:r>
      <w:r>
        <w:rPr>
          <w:spacing w:val="-2"/>
          <w:w w:val="105"/>
        </w:rPr>
        <w:t>Optical</w:t>
      </w:r>
      <w:r>
        <w:rPr>
          <w:spacing w:val="2"/>
          <w:w w:val="105"/>
        </w:rPr>
        <w:t> </w:t>
      </w:r>
      <w:r>
        <w:rPr>
          <w:spacing w:val="-2"/>
          <w:w w:val="105"/>
        </w:rPr>
        <w:t>Communications</w:t>
      </w:r>
      <w:r>
        <w:rPr>
          <w:spacing w:val="1"/>
          <w:w w:val="105"/>
        </w:rPr>
        <w:t> </w:t>
      </w:r>
      <w:r>
        <w:rPr>
          <w:spacing w:val="-2"/>
          <w:w w:val="105"/>
        </w:rPr>
        <w:t>segment</w:t>
      </w:r>
      <w:r>
        <w:rPr>
          <w:spacing w:val="2"/>
          <w:w w:val="105"/>
        </w:rPr>
        <w:t> </w:t>
      </w:r>
      <w:r>
        <w:rPr>
          <w:spacing w:val="-2"/>
          <w:w w:val="105"/>
        </w:rPr>
        <w:t>represented</w:t>
      </w:r>
      <w:r>
        <w:rPr>
          <w:spacing w:val="1"/>
          <w:w w:val="105"/>
        </w:rPr>
        <w:t> </w:t>
      </w:r>
      <w:r>
        <w:rPr>
          <w:spacing w:val="-2"/>
          <w:w w:val="105"/>
        </w:rPr>
        <w:t>31%</w:t>
      </w:r>
      <w:r>
        <w:rPr>
          <w:spacing w:val="2"/>
          <w:w w:val="105"/>
        </w:rPr>
        <w:t> </w:t>
      </w:r>
      <w:r>
        <w:rPr>
          <w:spacing w:val="-2"/>
          <w:w w:val="105"/>
        </w:rPr>
        <w:t>of</w:t>
      </w:r>
      <w:r>
        <w:rPr>
          <w:spacing w:val="1"/>
          <w:w w:val="105"/>
        </w:rPr>
        <w:t> </w:t>
      </w:r>
      <w:r>
        <w:rPr>
          <w:spacing w:val="-2"/>
          <w:w w:val="105"/>
        </w:rPr>
        <w:t>Corning’s</w:t>
      </w:r>
      <w:r>
        <w:rPr>
          <w:spacing w:val="2"/>
          <w:w w:val="105"/>
        </w:rPr>
        <w:t> </w:t>
      </w:r>
      <w:r>
        <w:rPr>
          <w:spacing w:val="-2"/>
          <w:w w:val="105"/>
        </w:rPr>
        <w:t>consolidated</w:t>
      </w:r>
      <w:r>
        <w:rPr>
          <w:spacing w:val="1"/>
          <w:w w:val="105"/>
        </w:rPr>
        <w:t> </w:t>
      </w:r>
      <w:r>
        <w:rPr>
          <w:spacing w:val="-2"/>
          <w:w w:val="105"/>
        </w:rPr>
        <w:t>net</w:t>
      </w:r>
      <w:r>
        <w:rPr>
          <w:spacing w:val="2"/>
          <w:w w:val="105"/>
        </w:rPr>
        <w:t> </w:t>
      </w:r>
      <w:r>
        <w:rPr>
          <w:spacing w:val="-2"/>
          <w:w w:val="105"/>
        </w:rPr>
        <w:t>sales</w:t>
      </w:r>
      <w:r>
        <w:rPr>
          <w:spacing w:val="1"/>
          <w:w w:val="105"/>
        </w:rPr>
        <w:t> </w:t>
      </w:r>
      <w:r>
        <w:rPr>
          <w:spacing w:val="-2"/>
          <w:w w:val="105"/>
        </w:rPr>
        <w:t>in</w:t>
      </w:r>
      <w:r>
        <w:rPr>
          <w:spacing w:val="2"/>
          <w:w w:val="105"/>
        </w:rPr>
        <w:t> </w:t>
      </w:r>
      <w:r>
        <w:rPr>
          <w:spacing w:val="-2"/>
          <w:w w:val="105"/>
        </w:rPr>
        <w:t>2021.</w:t>
      </w:r>
    </w:p>
    <w:p>
      <w:pPr>
        <w:pStyle w:val="BodyText"/>
        <w:spacing w:before="39"/>
      </w:pPr>
    </w:p>
    <w:p>
      <w:pPr>
        <w:spacing w:before="0"/>
        <w:ind w:left="156" w:right="0" w:firstLine="0"/>
        <w:jc w:val="left"/>
        <w:rPr>
          <w:i/>
          <w:sz w:val="16"/>
        </w:rPr>
      </w:pPr>
      <w:r>
        <w:rPr>
          <w:i/>
          <w:sz w:val="16"/>
        </w:rPr>
        <w:t>Specialty</w:t>
      </w:r>
      <w:r>
        <w:rPr>
          <w:i/>
          <w:spacing w:val="15"/>
          <w:sz w:val="16"/>
        </w:rPr>
        <w:t> </w:t>
      </w:r>
      <w:r>
        <w:rPr>
          <w:i/>
          <w:sz w:val="16"/>
        </w:rPr>
        <w:t>Materials</w:t>
      </w:r>
      <w:r>
        <w:rPr>
          <w:i/>
          <w:spacing w:val="15"/>
          <w:sz w:val="16"/>
        </w:rPr>
        <w:t> </w:t>
      </w:r>
      <w:r>
        <w:rPr>
          <w:i/>
          <w:spacing w:val="-2"/>
          <w:sz w:val="16"/>
        </w:rPr>
        <w:t>Segment</w:t>
      </w:r>
    </w:p>
    <w:p>
      <w:pPr>
        <w:pStyle w:val="BodyText"/>
        <w:spacing w:before="40"/>
        <w:rPr>
          <w:i/>
        </w:rPr>
      </w:pPr>
    </w:p>
    <w:p>
      <w:pPr>
        <w:pStyle w:val="BodyText"/>
        <w:spacing w:line="266" w:lineRule="auto"/>
        <w:ind w:left="156"/>
      </w:pPr>
      <w:r>
        <w:rPr>
          <w:w w:val="105"/>
        </w:rPr>
        <w:t>The</w:t>
      </w:r>
      <w:r>
        <w:rPr>
          <w:spacing w:val="-2"/>
          <w:w w:val="105"/>
        </w:rPr>
        <w:t> </w:t>
      </w:r>
      <w:r>
        <w:rPr>
          <w:w w:val="105"/>
        </w:rPr>
        <w:t>Specialty</w:t>
      </w:r>
      <w:r>
        <w:rPr>
          <w:spacing w:val="-2"/>
          <w:w w:val="105"/>
        </w:rPr>
        <w:t> </w:t>
      </w:r>
      <w:r>
        <w:rPr>
          <w:w w:val="105"/>
        </w:rPr>
        <w:t>Materials</w:t>
      </w:r>
      <w:r>
        <w:rPr>
          <w:spacing w:val="-2"/>
          <w:w w:val="105"/>
        </w:rPr>
        <w:t> </w:t>
      </w:r>
      <w:r>
        <w:rPr>
          <w:w w:val="105"/>
        </w:rPr>
        <w:t>segment</w:t>
      </w:r>
      <w:r>
        <w:rPr>
          <w:spacing w:val="-2"/>
          <w:w w:val="105"/>
        </w:rPr>
        <w:t> </w:t>
      </w:r>
      <w:r>
        <w:rPr>
          <w:w w:val="105"/>
        </w:rPr>
        <w:t>manufactures</w:t>
      </w:r>
      <w:r>
        <w:rPr>
          <w:spacing w:val="-2"/>
          <w:w w:val="105"/>
        </w:rPr>
        <w:t> </w:t>
      </w:r>
      <w:r>
        <w:rPr>
          <w:w w:val="105"/>
        </w:rPr>
        <w:t>products</w:t>
      </w:r>
      <w:r>
        <w:rPr>
          <w:spacing w:val="-2"/>
          <w:w w:val="105"/>
        </w:rPr>
        <w:t> </w:t>
      </w:r>
      <w:r>
        <w:rPr>
          <w:w w:val="105"/>
        </w:rPr>
        <w:t>that</w:t>
      </w:r>
      <w:r>
        <w:rPr>
          <w:spacing w:val="-2"/>
          <w:w w:val="105"/>
        </w:rPr>
        <w:t> </w:t>
      </w:r>
      <w:r>
        <w:rPr>
          <w:w w:val="105"/>
        </w:rPr>
        <w:t>provide</w:t>
      </w:r>
      <w:r>
        <w:rPr>
          <w:spacing w:val="-2"/>
          <w:w w:val="105"/>
        </w:rPr>
        <w:t> </w:t>
      </w:r>
      <w:r>
        <w:rPr>
          <w:w w:val="105"/>
        </w:rPr>
        <w:t>more</w:t>
      </w:r>
      <w:r>
        <w:rPr>
          <w:spacing w:val="-2"/>
          <w:w w:val="105"/>
        </w:rPr>
        <w:t> </w:t>
      </w:r>
      <w:r>
        <w:rPr>
          <w:w w:val="105"/>
        </w:rPr>
        <w:t>than</w:t>
      </w:r>
      <w:r>
        <w:rPr>
          <w:spacing w:val="-2"/>
          <w:w w:val="105"/>
        </w:rPr>
        <w:t> </w:t>
      </w:r>
      <w:r>
        <w:rPr>
          <w:w w:val="105"/>
        </w:rPr>
        <w:t>150</w:t>
      </w:r>
      <w:r>
        <w:rPr>
          <w:spacing w:val="-2"/>
          <w:w w:val="105"/>
        </w:rPr>
        <w:t> </w:t>
      </w:r>
      <w:r>
        <w:rPr>
          <w:w w:val="105"/>
        </w:rPr>
        <w:t>material</w:t>
      </w:r>
      <w:r>
        <w:rPr>
          <w:spacing w:val="-2"/>
          <w:w w:val="105"/>
        </w:rPr>
        <w:t> </w:t>
      </w:r>
      <w:r>
        <w:rPr>
          <w:w w:val="105"/>
        </w:rPr>
        <w:t>formulations</w:t>
      </w:r>
      <w:r>
        <w:rPr>
          <w:spacing w:val="-2"/>
          <w:w w:val="105"/>
        </w:rPr>
        <w:t> </w:t>
      </w:r>
      <w:r>
        <w:rPr>
          <w:w w:val="105"/>
        </w:rPr>
        <w:t>for</w:t>
      </w:r>
      <w:r>
        <w:rPr>
          <w:spacing w:val="-2"/>
          <w:w w:val="105"/>
        </w:rPr>
        <w:t> </w:t>
      </w:r>
      <w:r>
        <w:rPr>
          <w:w w:val="105"/>
        </w:rPr>
        <w:t>glass,</w:t>
      </w:r>
      <w:r>
        <w:rPr>
          <w:spacing w:val="-2"/>
          <w:w w:val="105"/>
        </w:rPr>
        <w:t> </w:t>
      </w:r>
      <w:r>
        <w:rPr>
          <w:w w:val="105"/>
        </w:rPr>
        <w:t>glass</w:t>
      </w:r>
      <w:r>
        <w:rPr>
          <w:spacing w:val="-2"/>
          <w:w w:val="105"/>
        </w:rPr>
        <w:t> </w:t>
      </w:r>
      <w:r>
        <w:rPr>
          <w:w w:val="105"/>
        </w:rPr>
        <w:t>ceramics,</w:t>
      </w:r>
      <w:r>
        <w:rPr>
          <w:spacing w:val="-2"/>
          <w:w w:val="105"/>
        </w:rPr>
        <w:t> </w:t>
      </w:r>
      <w:r>
        <w:rPr>
          <w:w w:val="105"/>
        </w:rPr>
        <w:t>and</w:t>
      </w:r>
      <w:r>
        <w:rPr>
          <w:spacing w:val="-2"/>
          <w:w w:val="105"/>
        </w:rPr>
        <w:t> </w:t>
      </w:r>
      <w:r>
        <w:rPr>
          <w:w w:val="105"/>
        </w:rPr>
        <w:t>crystals,</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precision metrology</w:t>
      </w:r>
      <w:r>
        <w:rPr>
          <w:spacing w:val="-2"/>
          <w:w w:val="105"/>
        </w:rPr>
        <w:t> </w:t>
      </w:r>
      <w:r>
        <w:rPr>
          <w:w w:val="105"/>
        </w:rPr>
        <w:t>instruments</w:t>
      </w:r>
      <w:r>
        <w:rPr>
          <w:spacing w:val="-2"/>
          <w:w w:val="105"/>
        </w:rPr>
        <w:t> </w:t>
      </w:r>
      <w:r>
        <w:rPr>
          <w:w w:val="105"/>
        </w:rPr>
        <w:t>and</w:t>
      </w:r>
      <w:r>
        <w:rPr>
          <w:spacing w:val="-2"/>
          <w:w w:val="105"/>
        </w:rPr>
        <w:t> </w:t>
      </w:r>
      <w:r>
        <w:rPr>
          <w:w w:val="105"/>
        </w:rPr>
        <w:t>software</w:t>
      </w:r>
      <w:r>
        <w:rPr>
          <w:spacing w:val="-2"/>
          <w:w w:val="105"/>
        </w:rPr>
        <w:t> </w:t>
      </w:r>
      <w:r>
        <w:rPr>
          <w:w w:val="105"/>
        </w:rPr>
        <w:t>to</w:t>
      </w:r>
      <w:r>
        <w:rPr>
          <w:spacing w:val="-2"/>
          <w:w w:val="105"/>
        </w:rPr>
        <w:t> </w:t>
      </w:r>
      <w:r>
        <w:rPr>
          <w:w w:val="105"/>
        </w:rPr>
        <w:t>meet</w:t>
      </w:r>
      <w:r>
        <w:rPr>
          <w:spacing w:val="-2"/>
          <w:w w:val="105"/>
        </w:rPr>
        <w:t> </w:t>
      </w:r>
      <w:r>
        <w:rPr>
          <w:w w:val="105"/>
        </w:rPr>
        <w:t>requirements</w:t>
      </w:r>
      <w:r>
        <w:rPr>
          <w:spacing w:val="-2"/>
          <w:w w:val="105"/>
        </w:rPr>
        <w:t> </w:t>
      </w:r>
      <w:r>
        <w:rPr>
          <w:w w:val="105"/>
        </w:rPr>
        <w:t>for</w:t>
      </w:r>
      <w:r>
        <w:rPr>
          <w:spacing w:val="-2"/>
          <w:w w:val="105"/>
        </w:rPr>
        <w:t> </w:t>
      </w:r>
      <w:r>
        <w:rPr>
          <w:w w:val="105"/>
        </w:rPr>
        <w:t>unique</w:t>
      </w:r>
      <w:r>
        <w:rPr>
          <w:spacing w:val="-2"/>
          <w:w w:val="105"/>
        </w:rPr>
        <w:t> </w:t>
      </w:r>
      <w:r>
        <w:rPr>
          <w:w w:val="105"/>
        </w:rPr>
        <w:t>customer</w:t>
      </w:r>
      <w:r>
        <w:rPr>
          <w:spacing w:val="-2"/>
          <w:w w:val="105"/>
        </w:rPr>
        <w:t> </w:t>
      </w:r>
      <w:r>
        <w:rPr>
          <w:w w:val="105"/>
        </w:rPr>
        <w:t>needs.</w:t>
      </w:r>
      <w:r>
        <w:rPr>
          <w:spacing w:val="-2"/>
          <w:w w:val="105"/>
        </w:rPr>
        <w:t> </w:t>
      </w:r>
      <w:r>
        <w:rPr>
          <w:w w:val="105"/>
        </w:rPr>
        <w:t>Consequently,</w:t>
      </w:r>
      <w:r>
        <w:rPr>
          <w:spacing w:val="-2"/>
          <w:w w:val="105"/>
        </w:rPr>
        <w:t> </w:t>
      </w:r>
      <w:r>
        <w:rPr>
          <w:w w:val="105"/>
        </w:rPr>
        <w:t>this</w:t>
      </w:r>
      <w:r>
        <w:rPr>
          <w:spacing w:val="-2"/>
          <w:w w:val="105"/>
        </w:rPr>
        <w:t> </w:t>
      </w:r>
      <w:r>
        <w:rPr>
          <w:w w:val="105"/>
        </w:rPr>
        <w:t>segment</w:t>
      </w:r>
      <w:r>
        <w:rPr>
          <w:spacing w:val="-2"/>
          <w:w w:val="105"/>
        </w:rPr>
        <w:t> </w:t>
      </w:r>
      <w:r>
        <w:rPr>
          <w:w w:val="105"/>
        </w:rPr>
        <w:t>operates</w:t>
      </w:r>
      <w:r>
        <w:rPr>
          <w:spacing w:val="-2"/>
          <w:w w:val="105"/>
        </w:rPr>
        <w:t> </w:t>
      </w:r>
      <w:r>
        <w:rPr>
          <w:w w:val="105"/>
        </w:rPr>
        <w:t>in</w:t>
      </w:r>
      <w:r>
        <w:rPr>
          <w:spacing w:val="-2"/>
          <w:w w:val="105"/>
        </w:rPr>
        <w:t> </w:t>
      </w:r>
      <w:r>
        <w:rPr>
          <w:w w:val="105"/>
        </w:rPr>
        <w:t>a</w:t>
      </w:r>
      <w:r>
        <w:rPr>
          <w:spacing w:val="-2"/>
          <w:w w:val="105"/>
        </w:rPr>
        <w:t> </w:t>
      </w:r>
      <w:r>
        <w:rPr>
          <w:w w:val="105"/>
        </w:rPr>
        <w:t>wide</w:t>
      </w:r>
      <w:r>
        <w:rPr>
          <w:spacing w:val="-2"/>
          <w:w w:val="105"/>
        </w:rPr>
        <w:t> </w:t>
      </w:r>
      <w:r>
        <w:rPr>
          <w:w w:val="105"/>
        </w:rPr>
        <w:t>variety</w:t>
      </w:r>
      <w:r>
        <w:rPr>
          <w:spacing w:val="-2"/>
          <w:w w:val="105"/>
        </w:rPr>
        <w:t> </w:t>
      </w:r>
      <w:r>
        <w:rPr>
          <w:w w:val="105"/>
        </w:rPr>
        <w:t>of</w:t>
      </w:r>
      <w:r>
        <w:rPr>
          <w:spacing w:val="-2"/>
          <w:w w:val="105"/>
        </w:rPr>
        <w:t> </w:t>
      </w:r>
      <w:r>
        <w:rPr>
          <w:w w:val="105"/>
        </w:rPr>
        <w:t>commercial</w:t>
      </w:r>
      <w:r>
        <w:rPr>
          <w:spacing w:val="-2"/>
          <w:w w:val="105"/>
        </w:rPr>
        <w:t> </w:t>
      </w:r>
      <w:r>
        <w:rPr>
          <w:w w:val="105"/>
        </w:rPr>
        <w:t>and</w:t>
      </w:r>
      <w:r>
        <w:rPr>
          <w:spacing w:val="-2"/>
          <w:w w:val="105"/>
        </w:rPr>
        <w:t> </w:t>
      </w:r>
      <w:r>
        <w:rPr>
          <w:w w:val="105"/>
        </w:rPr>
        <w:t>industrial markets</w:t>
      </w:r>
      <w:r>
        <w:rPr>
          <w:spacing w:val="-13"/>
          <w:w w:val="105"/>
        </w:rPr>
        <w:t> </w:t>
      </w:r>
      <w:r>
        <w:rPr>
          <w:w w:val="105"/>
        </w:rPr>
        <w:t>including</w:t>
      </w:r>
      <w:r>
        <w:rPr>
          <w:spacing w:val="-10"/>
          <w:w w:val="105"/>
        </w:rPr>
        <w:t> </w:t>
      </w:r>
      <w:r>
        <w:rPr>
          <w:w w:val="105"/>
        </w:rPr>
        <w:t>materials</w:t>
      </w:r>
      <w:r>
        <w:rPr>
          <w:spacing w:val="-11"/>
          <w:w w:val="105"/>
        </w:rPr>
        <w:t> </w:t>
      </w:r>
      <w:r>
        <w:rPr>
          <w:w w:val="105"/>
        </w:rPr>
        <w:t>optimized</w:t>
      </w:r>
      <w:r>
        <w:rPr>
          <w:spacing w:val="-10"/>
          <w:w w:val="105"/>
        </w:rPr>
        <w:t> </w:t>
      </w:r>
      <w:r>
        <w:rPr>
          <w:w w:val="105"/>
        </w:rPr>
        <w:t>for</w:t>
      </w:r>
      <w:r>
        <w:rPr>
          <w:spacing w:val="-11"/>
          <w:w w:val="105"/>
        </w:rPr>
        <w:t> </w:t>
      </w:r>
      <w:r>
        <w:rPr>
          <w:w w:val="105"/>
        </w:rPr>
        <w:t>mobile</w:t>
      </w:r>
      <w:r>
        <w:rPr>
          <w:spacing w:val="-10"/>
          <w:w w:val="105"/>
        </w:rPr>
        <w:t> </w:t>
      </w:r>
      <w:r>
        <w:rPr>
          <w:w w:val="105"/>
        </w:rPr>
        <w:t>consumer</w:t>
      </w:r>
      <w:r>
        <w:rPr>
          <w:spacing w:val="-11"/>
          <w:w w:val="105"/>
        </w:rPr>
        <w:t> </w:t>
      </w:r>
      <w:r>
        <w:rPr>
          <w:w w:val="105"/>
        </w:rPr>
        <w:t>electronics,</w:t>
      </w:r>
      <w:r>
        <w:rPr>
          <w:spacing w:val="-10"/>
          <w:w w:val="105"/>
        </w:rPr>
        <w:t> </w:t>
      </w:r>
      <w:r>
        <w:rPr>
          <w:w w:val="105"/>
        </w:rPr>
        <w:t>semiconductor</w:t>
      </w:r>
      <w:r>
        <w:rPr>
          <w:spacing w:val="-11"/>
          <w:w w:val="105"/>
        </w:rPr>
        <w:t> </w:t>
      </w:r>
      <w:r>
        <w:rPr>
          <w:w w:val="105"/>
        </w:rPr>
        <w:t>equipment</w:t>
      </w:r>
      <w:r>
        <w:rPr>
          <w:spacing w:val="-10"/>
          <w:w w:val="105"/>
        </w:rPr>
        <w:t> </w:t>
      </w:r>
      <w:r>
        <w:rPr>
          <w:w w:val="105"/>
        </w:rPr>
        <w:t>optics</w:t>
      </w:r>
      <w:r>
        <w:rPr>
          <w:spacing w:val="-11"/>
          <w:w w:val="105"/>
        </w:rPr>
        <w:t> </w:t>
      </w:r>
      <w:r>
        <w:rPr>
          <w:w w:val="105"/>
        </w:rPr>
        <w:t>and</w:t>
      </w:r>
      <w:r>
        <w:rPr>
          <w:spacing w:val="-10"/>
          <w:w w:val="105"/>
        </w:rPr>
        <w:t> </w:t>
      </w:r>
      <w:r>
        <w:rPr>
          <w:w w:val="105"/>
        </w:rPr>
        <w:t>consumables,</w:t>
      </w:r>
      <w:r>
        <w:rPr>
          <w:spacing w:val="-11"/>
          <w:w w:val="105"/>
        </w:rPr>
        <w:t> </w:t>
      </w:r>
      <w:r>
        <w:rPr>
          <w:w w:val="105"/>
        </w:rPr>
        <w:t>aerospace</w:t>
      </w:r>
      <w:r>
        <w:rPr>
          <w:spacing w:val="-10"/>
          <w:w w:val="105"/>
        </w:rPr>
        <w:t> </w:t>
      </w:r>
      <w:r>
        <w:rPr>
          <w:w w:val="105"/>
        </w:rPr>
        <w:t>and</w:t>
      </w:r>
      <w:r>
        <w:rPr>
          <w:spacing w:val="-11"/>
          <w:w w:val="105"/>
        </w:rPr>
        <w:t> </w:t>
      </w:r>
      <w:r>
        <w:rPr>
          <w:w w:val="105"/>
        </w:rPr>
        <w:t>defense</w:t>
      </w:r>
      <w:r>
        <w:rPr>
          <w:spacing w:val="-10"/>
          <w:w w:val="105"/>
        </w:rPr>
        <w:t> </w:t>
      </w:r>
      <w:r>
        <w:rPr>
          <w:w w:val="105"/>
        </w:rPr>
        <w:t>optics,</w:t>
      </w:r>
      <w:r>
        <w:rPr>
          <w:spacing w:val="-11"/>
          <w:w w:val="105"/>
        </w:rPr>
        <w:t> </w:t>
      </w:r>
      <w:r>
        <w:rPr>
          <w:w w:val="105"/>
        </w:rPr>
        <w:t>radiation</w:t>
      </w:r>
      <w:r>
        <w:rPr>
          <w:spacing w:val="-10"/>
          <w:w w:val="105"/>
        </w:rPr>
        <w:t> </w:t>
      </w:r>
      <w:r>
        <w:rPr>
          <w:w w:val="105"/>
        </w:rPr>
        <w:t>shielding products, sunglasses, and telecommunications components.</w:t>
      </w:r>
    </w:p>
    <w:p>
      <w:pPr>
        <w:pStyle w:val="BodyText"/>
        <w:spacing w:before="18"/>
      </w:pPr>
    </w:p>
    <w:p>
      <w:pPr>
        <w:pStyle w:val="BodyText"/>
        <w:spacing w:line="266" w:lineRule="auto"/>
        <w:ind w:left="156" w:right="228"/>
      </w:pPr>
      <w:r>
        <w:rPr>
          <w:w w:val="105"/>
        </w:rPr>
        <w:t>Our</w:t>
      </w:r>
      <w:r>
        <w:rPr>
          <w:spacing w:val="-8"/>
          <w:w w:val="105"/>
        </w:rPr>
        <w:t> </w:t>
      </w:r>
      <w:r>
        <w:rPr>
          <w:w w:val="105"/>
        </w:rPr>
        <w:t>highly</w:t>
      </w:r>
      <w:r>
        <w:rPr>
          <w:spacing w:val="-8"/>
          <w:w w:val="105"/>
        </w:rPr>
        <w:t> </w:t>
      </w:r>
      <w:r>
        <w:rPr>
          <w:w w:val="105"/>
        </w:rPr>
        <w:t>durable</w:t>
      </w:r>
      <w:r>
        <w:rPr>
          <w:spacing w:val="-8"/>
          <w:w w:val="105"/>
        </w:rPr>
        <w:t> </w:t>
      </w:r>
      <w:r>
        <w:rPr>
          <w:w w:val="105"/>
        </w:rPr>
        <w:t>glass,</w:t>
      </w:r>
      <w:r>
        <w:rPr>
          <w:spacing w:val="-8"/>
          <w:w w:val="105"/>
        </w:rPr>
        <w:t> </w:t>
      </w:r>
      <w:r>
        <w:rPr>
          <w:w w:val="105"/>
        </w:rPr>
        <w:t>known</w:t>
      </w:r>
      <w:r>
        <w:rPr>
          <w:spacing w:val="-8"/>
          <w:w w:val="105"/>
        </w:rPr>
        <w:t> </w:t>
      </w:r>
      <w:r>
        <w:rPr>
          <w:w w:val="105"/>
        </w:rPr>
        <w:t>as</w:t>
      </w:r>
      <w:r>
        <w:rPr>
          <w:spacing w:val="-8"/>
          <w:w w:val="105"/>
        </w:rPr>
        <w:t> </w:t>
      </w:r>
      <w:r>
        <w:rPr>
          <w:w w:val="105"/>
        </w:rPr>
        <w:t>Corning®</w:t>
      </w:r>
      <w:r>
        <w:rPr>
          <w:spacing w:val="-8"/>
          <w:w w:val="105"/>
        </w:rPr>
        <w:t> </w:t>
      </w:r>
      <w:r>
        <w:rPr>
          <w:w w:val="105"/>
        </w:rPr>
        <w:t>Gorilla®</w:t>
      </w:r>
      <w:r>
        <w:rPr>
          <w:spacing w:val="-8"/>
          <w:w w:val="105"/>
        </w:rPr>
        <w:t> </w:t>
      </w:r>
      <w:r>
        <w:rPr>
          <w:w w:val="105"/>
        </w:rPr>
        <w:t>Glass,</w:t>
      </w:r>
      <w:r>
        <w:rPr>
          <w:spacing w:val="-8"/>
          <w:w w:val="105"/>
        </w:rPr>
        <w:t> </w:t>
      </w:r>
      <w:r>
        <w:rPr>
          <w:w w:val="105"/>
        </w:rPr>
        <w:t>is</w:t>
      </w:r>
      <w:r>
        <w:rPr>
          <w:spacing w:val="-8"/>
          <w:w w:val="105"/>
        </w:rPr>
        <w:t> </w:t>
      </w:r>
      <w:r>
        <w:rPr>
          <w:w w:val="105"/>
        </w:rPr>
        <w:t>a</w:t>
      </w:r>
      <w:r>
        <w:rPr>
          <w:spacing w:val="-8"/>
          <w:w w:val="105"/>
        </w:rPr>
        <w:t> </w:t>
      </w:r>
      <w:r>
        <w:rPr>
          <w:w w:val="105"/>
        </w:rPr>
        <w:t>chemically</w:t>
      </w:r>
      <w:r>
        <w:rPr>
          <w:spacing w:val="-8"/>
          <w:w w:val="105"/>
        </w:rPr>
        <w:t> </w:t>
      </w:r>
      <w:r>
        <w:rPr>
          <w:w w:val="105"/>
        </w:rPr>
        <w:t>strengthened</w:t>
      </w:r>
      <w:r>
        <w:rPr>
          <w:spacing w:val="-8"/>
          <w:w w:val="105"/>
        </w:rPr>
        <w:t> </w:t>
      </w:r>
      <w:r>
        <w:rPr>
          <w:w w:val="105"/>
        </w:rPr>
        <w:t>thin</w:t>
      </w:r>
      <w:r>
        <w:rPr>
          <w:spacing w:val="-8"/>
          <w:w w:val="105"/>
        </w:rPr>
        <w:t> </w:t>
      </w:r>
      <w:r>
        <w:rPr>
          <w:w w:val="105"/>
        </w:rPr>
        <w:t>glass</w:t>
      </w:r>
      <w:r>
        <w:rPr>
          <w:spacing w:val="-8"/>
          <w:w w:val="105"/>
        </w:rPr>
        <w:t> </w:t>
      </w:r>
      <w:r>
        <w:rPr>
          <w:w w:val="105"/>
        </w:rPr>
        <w:t>designed</w:t>
      </w:r>
      <w:r>
        <w:rPr>
          <w:spacing w:val="-8"/>
          <w:w w:val="105"/>
        </w:rPr>
        <w:t> </w:t>
      </w:r>
      <w:r>
        <w:rPr>
          <w:w w:val="105"/>
        </w:rPr>
        <w:t>specifically</w:t>
      </w:r>
      <w:r>
        <w:rPr>
          <w:spacing w:val="-8"/>
          <w:w w:val="105"/>
        </w:rPr>
        <w:t> </w:t>
      </w:r>
      <w:r>
        <w:rPr>
          <w:w w:val="105"/>
        </w:rPr>
        <w:t>to</w:t>
      </w:r>
      <w:r>
        <w:rPr>
          <w:spacing w:val="-8"/>
          <w:w w:val="105"/>
        </w:rPr>
        <w:t> </w:t>
      </w:r>
      <w:r>
        <w:rPr>
          <w:w w:val="105"/>
        </w:rPr>
        <w:t>function</w:t>
      </w:r>
      <w:r>
        <w:rPr>
          <w:spacing w:val="-7"/>
          <w:w w:val="105"/>
        </w:rPr>
        <w:t> </w:t>
      </w:r>
      <w:r>
        <w:rPr>
          <w:w w:val="105"/>
        </w:rPr>
        <w:t>as</w:t>
      </w:r>
      <w:r>
        <w:rPr>
          <w:spacing w:val="-8"/>
          <w:w w:val="105"/>
        </w:rPr>
        <w:t> </w:t>
      </w:r>
      <w:r>
        <w:rPr>
          <w:w w:val="105"/>
        </w:rPr>
        <w:t>a</w:t>
      </w:r>
      <w:r>
        <w:rPr>
          <w:spacing w:val="-8"/>
          <w:w w:val="105"/>
        </w:rPr>
        <w:t> </w:t>
      </w:r>
      <w:r>
        <w:rPr>
          <w:w w:val="105"/>
        </w:rPr>
        <w:t>cover,</w:t>
      </w:r>
      <w:r>
        <w:rPr>
          <w:spacing w:val="-8"/>
          <w:w w:val="105"/>
        </w:rPr>
        <w:t> </w:t>
      </w:r>
      <w:r>
        <w:rPr>
          <w:w w:val="105"/>
        </w:rPr>
        <w:t>or</w:t>
      </w:r>
      <w:r>
        <w:rPr>
          <w:spacing w:val="-8"/>
          <w:w w:val="105"/>
        </w:rPr>
        <w:t> </w:t>
      </w:r>
      <w:r>
        <w:rPr>
          <w:w w:val="105"/>
        </w:rPr>
        <w:t>back-enclosure</w:t>
      </w:r>
      <w:r>
        <w:rPr>
          <w:spacing w:val="-8"/>
          <w:w w:val="105"/>
        </w:rPr>
        <w:t> </w:t>
      </w:r>
      <w:r>
        <w:rPr>
          <w:w w:val="105"/>
        </w:rPr>
        <w:t>glass, for</w:t>
      </w:r>
      <w:r>
        <w:rPr>
          <w:spacing w:val="-8"/>
          <w:w w:val="105"/>
        </w:rPr>
        <w:t> </w:t>
      </w:r>
      <w:r>
        <w:rPr>
          <w:w w:val="105"/>
        </w:rPr>
        <w:t>mobile</w:t>
      </w:r>
      <w:r>
        <w:rPr>
          <w:spacing w:val="-8"/>
          <w:w w:val="105"/>
        </w:rPr>
        <w:t> </w:t>
      </w:r>
      <w:r>
        <w:rPr>
          <w:w w:val="105"/>
        </w:rPr>
        <w:t>consumer</w:t>
      </w:r>
      <w:r>
        <w:rPr>
          <w:spacing w:val="-8"/>
          <w:w w:val="105"/>
        </w:rPr>
        <w:t> </w:t>
      </w:r>
      <w:r>
        <w:rPr>
          <w:w w:val="105"/>
        </w:rPr>
        <w:t>electronic</w:t>
      </w:r>
      <w:r>
        <w:rPr>
          <w:spacing w:val="-8"/>
          <w:w w:val="105"/>
        </w:rPr>
        <w:t> </w:t>
      </w:r>
      <w:r>
        <w:rPr>
          <w:w w:val="105"/>
        </w:rPr>
        <w:t>devices</w:t>
      </w:r>
      <w:r>
        <w:rPr>
          <w:spacing w:val="-8"/>
          <w:w w:val="105"/>
        </w:rPr>
        <w:t> </w:t>
      </w:r>
      <w:r>
        <w:rPr>
          <w:w w:val="105"/>
        </w:rPr>
        <w:t>such</w:t>
      </w:r>
      <w:r>
        <w:rPr>
          <w:spacing w:val="-8"/>
          <w:w w:val="105"/>
        </w:rPr>
        <w:t> </w:t>
      </w:r>
      <w:r>
        <w:rPr>
          <w:w w:val="105"/>
        </w:rPr>
        <w:t>as</w:t>
      </w:r>
      <w:r>
        <w:rPr>
          <w:spacing w:val="-8"/>
          <w:w w:val="105"/>
        </w:rPr>
        <w:t> </w:t>
      </w:r>
      <w:r>
        <w:rPr>
          <w:w w:val="105"/>
        </w:rPr>
        <w:t>mobile</w:t>
      </w:r>
      <w:r>
        <w:rPr>
          <w:spacing w:val="-8"/>
          <w:w w:val="105"/>
        </w:rPr>
        <w:t> </w:t>
      </w:r>
      <w:r>
        <w:rPr>
          <w:w w:val="105"/>
        </w:rPr>
        <w:t>phones,</w:t>
      </w:r>
      <w:r>
        <w:rPr>
          <w:spacing w:val="-8"/>
          <w:w w:val="105"/>
        </w:rPr>
        <w:t> </w:t>
      </w:r>
      <w:r>
        <w:rPr>
          <w:w w:val="105"/>
        </w:rPr>
        <w:t>tablets,</w:t>
      </w:r>
      <w:r>
        <w:rPr>
          <w:spacing w:val="-8"/>
          <w:w w:val="105"/>
        </w:rPr>
        <w:t> </w:t>
      </w:r>
      <w:r>
        <w:rPr>
          <w:w w:val="105"/>
        </w:rPr>
        <w:t>laptops</w:t>
      </w:r>
      <w:r>
        <w:rPr>
          <w:spacing w:val="-8"/>
          <w:w w:val="105"/>
        </w:rPr>
        <w:t> </w:t>
      </w:r>
      <w:r>
        <w:rPr>
          <w:w w:val="105"/>
        </w:rPr>
        <w:t>and</w:t>
      </w:r>
      <w:r>
        <w:rPr>
          <w:spacing w:val="-8"/>
          <w:w w:val="105"/>
        </w:rPr>
        <w:t> </w:t>
      </w:r>
      <w:r>
        <w:rPr>
          <w:w w:val="105"/>
        </w:rPr>
        <w:t>smartwatches.</w:t>
      </w:r>
      <w:r>
        <w:rPr>
          <w:spacing w:val="-8"/>
          <w:w w:val="105"/>
        </w:rPr>
        <w:t> </w:t>
      </w:r>
      <w:r>
        <w:rPr>
          <w:w w:val="105"/>
        </w:rPr>
        <w:t>Elegant</w:t>
      </w:r>
      <w:r>
        <w:rPr>
          <w:spacing w:val="-8"/>
          <w:w w:val="105"/>
        </w:rPr>
        <w:t> </w:t>
      </w:r>
      <w:r>
        <w:rPr>
          <w:w w:val="105"/>
        </w:rPr>
        <w:t>and</w:t>
      </w:r>
      <w:r>
        <w:rPr>
          <w:spacing w:val="-8"/>
          <w:w w:val="105"/>
        </w:rPr>
        <w:t> </w:t>
      </w:r>
      <w:r>
        <w:rPr>
          <w:w w:val="105"/>
        </w:rPr>
        <w:t>lightweight,</w:t>
      </w:r>
      <w:r>
        <w:rPr>
          <w:spacing w:val="-8"/>
          <w:w w:val="105"/>
        </w:rPr>
        <w:t> </w:t>
      </w:r>
      <w:r>
        <w:rPr>
          <w:w w:val="105"/>
        </w:rPr>
        <w:t>Corning®</w:t>
      </w:r>
      <w:r>
        <w:rPr>
          <w:spacing w:val="-8"/>
          <w:w w:val="105"/>
        </w:rPr>
        <w:t> </w:t>
      </w:r>
      <w:r>
        <w:rPr>
          <w:w w:val="105"/>
        </w:rPr>
        <w:t>Gorilla®</w:t>
      </w:r>
      <w:r>
        <w:rPr>
          <w:spacing w:val="-8"/>
          <w:w w:val="105"/>
        </w:rPr>
        <w:t> </w:t>
      </w:r>
      <w:r>
        <w:rPr>
          <w:w w:val="105"/>
        </w:rPr>
        <w:t>Glass</w:t>
      </w:r>
      <w:r>
        <w:rPr>
          <w:spacing w:val="-8"/>
          <w:w w:val="105"/>
        </w:rPr>
        <w:t> </w:t>
      </w:r>
      <w:r>
        <w:rPr>
          <w:w w:val="105"/>
        </w:rPr>
        <w:t>is</w:t>
      </w:r>
      <w:r>
        <w:rPr>
          <w:spacing w:val="-8"/>
          <w:w w:val="105"/>
        </w:rPr>
        <w:t> </w:t>
      </w:r>
      <w:r>
        <w:rPr>
          <w:w w:val="105"/>
        </w:rPr>
        <w:t>durable</w:t>
      </w:r>
      <w:r>
        <w:rPr>
          <w:spacing w:val="-8"/>
          <w:w w:val="105"/>
        </w:rPr>
        <w:t> </w:t>
      </w:r>
      <w:r>
        <w:rPr>
          <w:w w:val="105"/>
        </w:rPr>
        <w:t>enough</w:t>
      </w:r>
      <w:r>
        <w:rPr>
          <w:spacing w:val="-8"/>
          <w:w w:val="105"/>
        </w:rPr>
        <w:t> </w:t>
      </w:r>
      <w:r>
        <w:rPr>
          <w:w w:val="105"/>
        </w:rPr>
        <w:t>to resist</w:t>
      </w:r>
      <w:r>
        <w:rPr>
          <w:spacing w:val="-4"/>
          <w:w w:val="105"/>
        </w:rPr>
        <w:t> </w:t>
      </w:r>
      <w:r>
        <w:rPr>
          <w:w w:val="105"/>
        </w:rPr>
        <w:t>many</w:t>
      </w:r>
      <w:r>
        <w:rPr>
          <w:spacing w:val="-4"/>
          <w:w w:val="105"/>
        </w:rPr>
        <w:t> </w:t>
      </w:r>
      <w:r>
        <w:rPr>
          <w:w w:val="105"/>
        </w:rPr>
        <w:t>real-world</w:t>
      </w:r>
      <w:r>
        <w:rPr>
          <w:spacing w:val="-3"/>
          <w:w w:val="105"/>
        </w:rPr>
        <w:t> </w:t>
      </w:r>
      <w:r>
        <w:rPr>
          <w:w w:val="105"/>
        </w:rPr>
        <w:t>events</w:t>
      </w:r>
      <w:r>
        <w:rPr>
          <w:spacing w:val="-4"/>
          <w:w w:val="105"/>
        </w:rPr>
        <w:t> </w:t>
      </w:r>
      <w:r>
        <w:rPr>
          <w:w w:val="105"/>
        </w:rPr>
        <w:t>that</w:t>
      </w:r>
      <w:r>
        <w:rPr>
          <w:spacing w:val="-4"/>
          <w:w w:val="105"/>
        </w:rPr>
        <w:t> </w:t>
      </w:r>
      <w:r>
        <w:rPr>
          <w:w w:val="105"/>
        </w:rPr>
        <w:t>commonly</w:t>
      </w:r>
      <w:r>
        <w:rPr>
          <w:spacing w:val="-4"/>
          <w:w w:val="105"/>
        </w:rPr>
        <w:t> </w:t>
      </w:r>
      <w:r>
        <w:rPr>
          <w:w w:val="105"/>
        </w:rPr>
        <w:t>cause</w:t>
      </w:r>
      <w:r>
        <w:rPr>
          <w:spacing w:val="-4"/>
          <w:w w:val="105"/>
        </w:rPr>
        <w:t> </w:t>
      </w:r>
      <w:r>
        <w:rPr>
          <w:w w:val="105"/>
        </w:rPr>
        <w:t>wear</w:t>
      </w:r>
      <w:r>
        <w:rPr>
          <w:spacing w:val="-4"/>
          <w:w w:val="105"/>
        </w:rPr>
        <w:t> </w:t>
      </w:r>
      <w:r>
        <w:rPr>
          <w:w w:val="105"/>
        </w:rPr>
        <w:t>or</w:t>
      </w:r>
      <w:r>
        <w:rPr>
          <w:spacing w:val="-4"/>
          <w:w w:val="105"/>
        </w:rPr>
        <w:t> </w:t>
      </w:r>
      <w:r>
        <w:rPr>
          <w:w w:val="105"/>
        </w:rPr>
        <w:t>scratch</w:t>
      </w:r>
      <w:r>
        <w:rPr>
          <w:spacing w:val="-4"/>
          <w:w w:val="105"/>
        </w:rPr>
        <w:t> </w:t>
      </w:r>
      <w:r>
        <w:rPr>
          <w:w w:val="105"/>
        </w:rPr>
        <w:t>damage</w:t>
      </w:r>
      <w:r>
        <w:rPr>
          <w:spacing w:val="-4"/>
          <w:w w:val="105"/>
        </w:rPr>
        <w:t> </w:t>
      </w:r>
      <w:r>
        <w:rPr>
          <w:w w:val="105"/>
        </w:rPr>
        <w:t>and</w:t>
      </w:r>
      <w:r>
        <w:rPr>
          <w:spacing w:val="-4"/>
          <w:w w:val="105"/>
        </w:rPr>
        <w:t> </w:t>
      </w:r>
      <w:r>
        <w:rPr>
          <w:w w:val="105"/>
        </w:rPr>
        <w:t>glass</w:t>
      </w:r>
      <w:r>
        <w:rPr>
          <w:spacing w:val="-4"/>
          <w:w w:val="105"/>
        </w:rPr>
        <w:t> </w:t>
      </w:r>
      <w:r>
        <w:rPr>
          <w:w w:val="105"/>
        </w:rPr>
        <w:t>failure,</w:t>
      </w:r>
      <w:r>
        <w:rPr>
          <w:spacing w:val="-4"/>
          <w:w w:val="105"/>
        </w:rPr>
        <w:t> </w:t>
      </w:r>
      <w:r>
        <w:rPr>
          <w:w w:val="105"/>
        </w:rPr>
        <w:t>while</w:t>
      </w:r>
      <w:r>
        <w:rPr>
          <w:spacing w:val="-4"/>
          <w:w w:val="105"/>
        </w:rPr>
        <w:t> </w:t>
      </w:r>
      <w:r>
        <w:rPr>
          <w:w w:val="105"/>
        </w:rPr>
        <w:t>providing</w:t>
      </w:r>
      <w:r>
        <w:rPr>
          <w:spacing w:val="-4"/>
          <w:w w:val="105"/>
        </w:rPr>
        <w:t> </w:t>
      </w:r>
      <w:r>
        <w:rPr>
          <w:w w:val="105"/>
        </w:rPr>
        <w:t>optical</w:t>
      </w:r>
      <w:r>
        <w:rPr>
          <w:spacing w:val="-4"/>
          <w:w w:val="105"/>
        </w:rPr>
        <w:t> </w:t>
      </w:r>
      <w:r>
        <w:rPr>
          <w:w w:val="105"/>
        </w:rPr>
        <w:t>clarity,</w:t>
      </w:r>
      <w:r>
        <w:rPr>
          <w:spacing w:val="-4"/>
          <w:w w:val="105"/>
        </w:rPr>
        <w:t> </w:t>
      </w:r>
      <w:r>
        <w:rPr>
          <w:w w:val="105"/>
        </w:rPr>
        <w:t>touch</w:t>
      </w:r>
      <w:r>
        <w:rPr>
          <w:spacing w:val="-4"/>
          <w:w w:val="105"/>
        </w:rPr>
        <w:t> </w:t>
      </w:r>
      <w:r>
        <w:rPr>
          <w:w w:val="105"/>
        </w:rPr>
        <w:t>sensitivity,</w:t>
      </w:r>
      <w:r>
        <w:rPr>
          <w:spacing w:val="-4"/>
          <w:w w:val="105"/>
        </w:rPr>
        <w:t> </w:t>
      </w:r>
      <w:r>
        <w:rPr>
          <w:w w:val="105"/>
        </w:rPr>
        <w:t>and</w:t>
      </w:r>
      <w:r>
        <w:rPr>
          <w:spacing w:val="-4"/>
          <w:w w:val="105"/>
        </w:rPr>
        <w:t> </w:t>
      </w:r>
      <w:r>
        <w:rPr>
          <w:w w:val="105"/>
        </w:rPr>
        <w:t>RF</w:t>
      </w:r>
      <w:r>
        <w:rPr>
          <w:spacing w:val="-4"/>
          <w:w w:val="105"/>
        </w:rPr>
        <w:t> </w:t>
      </w:r>
      <w:r>
        <w:rPr>
          <w:w w:val="105"/>
        </w:rPr>
        <w:t>transparency,</w:t>
      </w:r>
      <w:r>
        <w:rPr>
          <w:spacing w:val="-4"/>
          <w:w w:val="105"/>
        </w:rPr>
        <w:t> </w:t>
      </w:r>
      <w:r>
        <w:rPr>
          <w:w w:val="105"/>
        </w:rPr>
        <w:t>thus enabling</w:t>
      </w:r>
      <w:r>
        <w:rPr>
          <w:spacing w:val="-2"/>
          <w:w w:val="105"/>
        </w:rPr>
        <w:t> </w:t>
      </w:r>
      <w:r>
        <w:rPr>
          <w:w w:val="105"/>
        </w:rPr>
        <w:t>exciting</w:t>
      </w:r>
      <w:r>
        <w:rPr>
          <w:spacing w:val="-2"/>
          <w:w w:val="105"/>
        </w:rPr>
        <w:t> </w:t>
      </w:r>
      <w:r>
        <w:rPr>
          <w:w w:val="105"/>
        </w:rPr>
        <w:t>new</w:t>
      </w:r>
      <w:r>
        <w:rPr>
          <w:spacing w:val="-2"/>
          <w:w w:val="105"/>
        </w:rPr>
        <w:t> </w:t>
      </w:r>
      <w:r>
        <w:rPr>
          <w:w w:val="105"/>
        </w:rPr>
        <w:t>applications</w:t>
      </w:r>
      <w:r>
        <w:rPr>
          <w:spacing w:val="-2"/>
          <w:w w:val="105"/>
        </w:rPr>
        <w:t> </w:t>
      </w:r>
      <w:r>
        <w:rPr>
          <w:w w:val="105"/>
        </w:rPr>
        <w:t>in</w:t>
      </w:r>
      <w:r>
        <w:rPr>
          <w:spacing w:val="-2"/>
          <w:w w:val="105"/>
        </w:rPr>
        <w:t> </w:t>
      </w:r>
      <w:r>
        <w:rPr>
          <w:w w:val="105"/>
        </w:rPr>
        <w:t>technology</w:t>
      </w:r>
      <w:r>
        <w:rPr>
          <w:spacing w:val="-2"/>
          <w:w w:val="105"/>
        </w:rPr>
        <w:t> </w:t>
      </w:r>
      <w:r>
        <w:rPr>
          <w:w w:val="105"/>
        </w:rPr>
        <w:t>and</w:t>
      </w:r>
      <w:r>
        <w:rPr>
          <w:spacing w:val="-2"/>
          <w:w w:val="105"/>
        </w:rPr>
        <w:t> </w:t>
      </w:r>
      <w:r>
        <w:rPr>
          <w:w w:val="105"/>
        </w:rPr>
        <w:t>design.</w:t>
      </w:r>
      <w:r>
        <w:rPr>
          <w:spacing w:val="-2"/>
          <w:w w:val="105"/>
        </w:rPr>
        <w:t> </w:t>
      </w:r>
      <w:r>
        <w:rPr>
          <w:w w:val="105"/>
        </w:rPr>
        <w:t>In</w:t>
      </w:r>
      <w:r>
        <w:rPr>
          <w:spacing w:val="-2"/>
          <w:w w:val="105"/>
        </w:rPr>
        <w:t> </w:t>
      </w:r>
      <w:r>
        <w:rPr>
          <w:w w:val="105"/>
        </w:rPr>
        <w:t>2020,</w:t>
      </w:r>
      <w:r>
        <w:rPr>
          <w:spacing w:val="-2"/>
          <w:w w:val="105"/>
        </w:rPr>
        <w:t> </w:t>
      </w:r>
      <w:r>
        <w:rPr>
          <w:w w:val="105"/>
        </w:rPr>
        <w:t>Corning</w:t>
      </w:r>
      <w:r>
        <w:rPr>
          <w:spacing w:val="-2"/>
          <w:w w:val="105"/>
        </w:rPr>
        <w:t> </w:t>
      </w:r>
      <w:r>
        <w:rPr>
          <w:w w:val="105"/>
        </w:rPr>
        <w:t>unveiled</w:t>
      </w:r>
      <w:r>
        <w:rPr>
          <w:spacing w:val="-2"/>
          <w:w w:val="105"/>
        </w:rPr>
        <w:t> </w:t>
      </w:r>
      <w:r>
        <w:rPr>
          <w:w w:val="105"/>
        </w:rPr>
        <w:t>its</w:t>
      </w:r>
      <w:r>
        <w:rPr>
          <w:spacing w:val="-2"/>
          <w:w w:val="105"/>
        </w:rPr>
        <w:t> </w:t>
      </w:r>
      <w:r>
        <w:rPr>
          <w:w w:val="105"/>
        </w:rPr>
        <w:t>toughest</w:t>
      </w:r>
      <w:r>
        <w:rPr>
          <w:spacing w:val="-2"/>
          <w:w w:val="105"/>
        </w:rPr>
        <w:t> </w:t>
      </w:r>
      <w:r>
        <w:rPr>
          <w:w w:val="105"/>
        </w:rPr>
        <w:t>Gorilla</w:t>
      </w:r>
      <w:r>
        <w:rPr>
          <w:spacing w:val="-2"/>
          <w:w w:val="105"/>
        </w:rPr>
        <w:t> </w:t>
      </w:r>
      <w:r>
        <w:rPr>
          <w:w w:val="105"/>
        </w:rPr>
        <w:t>Glass</w:t>
      </w:r>
      <w:r>
        <w:rPr>
          <w:spacing w:val="-2"/>
          <w:w w:val="105"/>
        </w:rPr>
        <w:t> </w:t>
      </w:r>
      <w:r>
        <w:rPr>
          <w:w w:val="105"/>
        </w:rPr>
        <w:t>yet,</w:t>
      </w:r>
      <w:r>
        <w:rPr>
          <w:spacing w:val="-2"/>
          <w:w w:val="105"/>
        </w:rPr>
        <w:t> </w:t>
      </w:r>
      <w:r>
        <w:rPr>
          <w:w w:val="105"/>
        </w:rPr>
        <w:t>Corning®</w:t>
      </w:r>
      <w:r>
        <w:rPr>
          <w:spacing w:val="-2"/>
          <w:w w:val="105"/>
        </w:rPr>
        <w:t> </w:t>
      </w:r>
      <w:r>
        <w:rPr>
          <w:w w:val="105"/>
        </w:rPr>
        <w:t>Gorilla®</w:t>
      </w:r>
      <w:r>
        <w:rPr>
          <w:spacing w:val="-2"/>
          <w:w w:val="105"/>
        </w:rPr>
        <w:t> </w:t>
      </w:r>
      <w:r>
        <w:rPr>
          <w:w w:val="105"/>
        </w:rPr>
        <w:t>Glass</w:t>
      </w:r>
      <w:r>
        <w:rPr>
          <w:spacing w:val="-2"/>
          <w:w w:val="105"/>
        </w:rPr>
        <w:t> </w:t>
      </w:r>
      <w:r>
        <w:rPr>
          <w:w w:val="105"/>
        </w:rPr>
        <w:t>Victus®,</w:t>
      </w:r>
      <w:r>
        <w:rPr>
          <w:spacing w:val="-2"/>
          <w:w w:val="105"/>
        </w:rPr>
        <w:t> </w:t>
      </w:r>
      <w:r>
        <w:rPr>
          <w:w w:val="105"/>
        </w:rPr>
        <w:t>which significantly</w:t>
      </w:r>
      <w:r>
        <w:rPr>
          <w:spacing w:val="-8"/>
          <w:w w:val="105"/>
        </w:rPr>
        <w:t> </w:t>
      </w:r>
      <w:r>
        <w:rPr>
          <w:w w:val="105"/>
        </w:rPr>
        <w:t>improves</w:t>
      </w:r>
      <w:r>
        <w:rPr>
          <w:spacing w:val="-8"/>
          <w:w w:val="105"/>
        </w:rPr>
        <w:t> </w:t>
      </w:r>
      <w:r>
        <w:rPr>
          <w:w w:val="105"/>
        </w:rPr>
        <w:t>both</w:t>
      </w:r>
      <w:r>
        <w:rPr>
          <w:spacing w:val="-8"/>
          <w:w w:val="105"/>
        </w:rPr>
        <w:t> </w:t>
      </w:r>
      <w:r>
        <w:rPr>
          <w:w w:val="105"/>
        </w:rPr>
        <w:t>drop</w:t>
      </w:r>
      <w:r>
        <w:rPr>
          <w:spacing w:val="-8"/>
          <w:w w:val="105"/>
        </w:rPr>
        <w:t> </w:t>
      </w:r>
      <w:r>
        <w:rPr>
          <w:w w:val="105"/>
        </w:rPr>
        <w:t>and</w:t>
      </w:r>
      <w:r>
        <w:rPr>
          <w:spacing w:val="-8"/>
          <w:w w:val="105"/>
        </w:rPr>
        <w:t> </w:t>
      </w:r>
      <w:r>
        <w:rPr>
          <w:w w:val="105"/>
        </w:rPr>
        <w:t>scratch</w:t>
      </w:r>
      <w:r>
        <w:rPr>
          <w:spacing w:val="-8"/>
          <w:w w:val="105"/>
        </w:rPr>
        <w:t> </w:t>
      </w:r>
      <w:r>
        <w:rPr>
          <w:w w:val="105"/>
        </w:rPr>
        <w:t>performance,</w:t>
      </w:r>
      <w:r>
        <w:rPr>
          <w:spacing w:val="-8"/>
          <w:w w:val="105"/>
        </w:rPr>
        <w:t> </w:t>
      </w:r>
      <w:r>
        <w:rPr>
          <w:w w:val="105"/>
        </w:rPr>
        <w:t>addressing</w:t>
      </w:r>
      <w:r>
        <w:rPr>
          <w:spacing w:val="-8"/>
          <w:w w:val="105"/>
        </w:rPr>
        <w:t> </w:t>
      </w:r>
      <w:r>
        <w:rPr>
          <w:w w:val="105"/>
        </w:rPr>
        <w:t>consumer</w:t>
      </w:r>
      <w:r>
        <w:rPr>
          <w:spacing w:val="-8"/>
          <w:w w:val="105"/>
        </w:rPr>
        <w:t> </w:t>
      </w:r>
      <w:r>
        <w:rPr>
          <w:w w:val="105"/>
        </w:rPr>
        <w:t>demand</w:t>
      </w:r>
      <w:r>
        <w:rPr>
          <w:spacing w:val="-8"/>
          <w:w w:val="105"/>
        </w:rPr>
        <w:t> </w:t>
      </w:r>
      <w:r>
        <w:rPr>
          <w:w w:val="105"/>
        </w:rPr>
        <w:t>for</w:t>
      </w:r>
      <w:r>
        <w:rPr>
          <w:spacing w:val="-8"/>
          <w:w w:val="105"/>
        </w:rPr>
        <w:t> </w:t>
      </w:r>
      <w:r>
        <w:rPr>
          <w:w w:val="105"/>
        </w:rPr>
        <w:t>improved</w:t>
      </w:r>
      <w:r>
        <w:rPr>
          <w:spacing w:val="-8"/>
          <w:w w:val="105"/>
        </w:rPr>
        <w:t> </w:t>
      </w:r>
      <w:r>
        <w:rPr>
          <w:w w:val="105"/>
        </w:rPr>
        <w:t>durability.</w:t>
      </w:r>
      <w:r>
        <w:rPr>
          <w:spacing w:val="-8"/>
          <w:w w:val="105"/>
        </w:rPr>
        <w:t> </w:t>
      </w:r>
      <w:r>
        <w:rPr>
          <w:w w:val="105"/>
        </w:rPr>
        <w:t>Corning®</w:t>
      </w:r>
      <w:r>
        <w:rPr>
          <w:spacing w:val="-8"/>
          <w:w w:val="105"/>
        </w:rPr>
        <w:t> </w:t>
      </w:r>
      <w:r>
        <w:rPr>
          <w:w w:val="105"/>
        </w:rPr>
        <w:t>Gorilla®</w:t>
      </w:r>
      <w:r>
        <w:rPr>
          <w:spacing w:val="-8"/>
          <w:w w:val="105"/>
        </w:rPr>
        <w:t> </w:t>
      </w:r>
      <w:r>
        <w:rPr>
          <w:w w:val="105"/>
        </w:rPr>
        <w:t>Glass</w:t>
      </w:r>
      <w:r>
        <w:rPr>
          <w:spacing w:val="-8"/>
          <w:w w:val="105"/>
        </w:rPr>
        <w:t> </w:t>
      </w:r>
      <w:r>
        <w:rPr>
          <w:w w:val="105"/>
        </w:rPr>
        <w:t>is</w:t>
      </w:r>
      <w:r>
        <w:rPr>
          <w:spacing w:val="-8"/>
          <w:w w:val="105"/>
        </w:rPr>
        <w:t> </w:t>
      </w:r>
      <w:r>
        <w:rPr>
          <w:w w:val="105"/>
        </w:rPr>
        <w:t>manufactured</w:t>
      </w:r>
      <w:r>
        <w:rPr>
          <w:spacing w:val="-8"/>
          <w:w w:val="105"/>
        </w:rPr>
        <w:t> </w:t>
      </w:r>
      <w:r>
        <w:rPr>
          <w:w w:val="105"/>
        </w:rPr>
        <w:t>in</w:t>
      </w:r>
      <w:r>
        <w:rPr>
          <w:spacing w:val="-8"/>
          <w:w w:val="105"/>
        </w:rPr>
        <w:t> </w:t>
      </w:r>
      <w:r>
        <w:rPr>
          <w:w w:val="105"/>
        </w:rPr>
        <w:t>the</w:t>
      </w:r>
      <w:r>
        <w:rPr>
          <w:spacing w:val="-8"/>
          <w:w w:val="105"/>
        </w:rPr>
        <w:t> </w:t>
      </w:r>
      <w:r>
        <w:rPr>
          <w:w w:val="105"/>
        </w:rPr>
        <w:t>United States ("U.S."), South Korea and Taiwan.</w:t>
      </w:r>
    </w:p>
    <w:p>
      <w:pPr>
        <w:pStyle w:val="BodyText"/>
        <w:spacing w:before="17"/>
      </w:pPr>
    </w:p>
    <w:p>
      <w:pPr>
        <w:pStyle w:val="BodyText"/>
        <w:spacing w:line="266" w:lineRule="auto" w:before="1"/>
        <w:ind w:left="156" w:right="328"/>
      </w:pPr>
      <w:r>
        <w:rPr>
          <w:w w:val="105"/>
        </w:rPr>
        <w:t>In</w:t>
      </w:r>
      <w:r>
        <w:rPr>
          <w:spacing w:val="-9"/>
          <w:w w:val="105"/>
        </w:rPr>
        <w:t> </w:t>
      </w:r>
      <w:r>
        <w:rPr>
          <w:w w:val="105"/>
        </w:rPr>
        <w:t>2020,</w:t>
      </w:r>
      <w:r>
        <w:rPr>
          <w:spacing w:val="-9"/>
          <w:w w:val="105"/>
        </w:rPr>
        <w:t> </w:t>
      </w:r>
      <w:r>
        <w:rPr>
          <w:w w:val="105"/>
        </w:rPr>
        <w:t>Corning</w:t>
      </w:r>
      <w:r>
        <w:rPr>
          <w:spacing w:val="-9"/>
          <w:w w:val="105"/>
        </w:rPr>
        <w:t> </w:t>
      </w:r>
      <w:r>
        <w:rPr>
          <w:w w:val="105"/>
        </w:rPr>
        <w:t>invented</w:t>
      </w:r>
      <w:r>
        <w:rPr>
          <w:spacing w:val="-9"/>
          <w:w w:val="105"/>
        </w:rPr>
        <w:t> </w:t>
      </w:r>
      <w:r>
        <w:rPr>
          <w:w w:val="105"/>
        </w:rPr>
        <w:t>the</w:t>
      </w:r>
      <w:r>
        <w:rPr>
          <w:spacing w:val="-9"/>
          <w:w w:val="105"/>
        </w:rPr>
        <w:t> </w:t>
      </w:r>
      <w:r>
        <w:rPr>
          <w:w w:val="105"/>
        </w:rPr>
        <w:t>world’s</w:t>
      </w:r>
      <w:r>
        <w:rPr>
          <w:spacing w:val="-9"/>
          <w:w w:val="105"/>
        </w:rPr>
        <w:t> </w:t>
      </w:r>
      <w:r>
        <w:rPr>
          <w:w w:val="105"/>
        </w:rPr>
        <w:t>first</w:t>
      </w:r>
      <w:r>
        <w:rPr>
          <w:spacing w:val="-9"/>
          <w:w w:val="105"/>
        </w:rPr>
        <w:t> </w:t>
      </w:r>
      <w:r>
        <w:rPr>
          <w:w w:val="105"/>
        </w:rPr>
        <w:t>transparent,</w:t>
      </w:r>
      <w:r>
        <w:rPr>
          <w:spacing w:val="-9"/>
          <w:w w:val="105"/>
        </w:rPr>
        <w:t> </w:t>
      </w:r>
      <w:r>
        <w:rPr>
          <w:w w:val="105"/>
        </w:rPr>
        <w:t>color-free</w:t>
      </w:r>
      <w:r>
        <w:rPr>
          <w:spacing w:val="-9"/>
          <w:w w:val="105"/>
        </w:rPr>
        <w:t> </w:t>
      </w:r>
      <w:r>
        <w:rPr>
          <w:w w:val="105"/>
        </w:rPr>
        <w:t>glass-ceramic</w:t>
      </w:r>
      <w:r>
        <w:rPr>
          <w:spacing w:val="-9"/>
          <w:w w:val="105"/>
        </w:rPr>
        <w:t> </w:t>
      </w:r>
      <w:r>
        <w:rPr>
          <w:w w:val="105"/>
        </w:rPr>
        <w:t>suitable</w:t>
      </w:r>
      <w:r>
        <w:rPr>
          <w:spacing w:val="-9"/>
          <w:w w:val="105"/>
        </w:rPr>
        <w:t> </w:t>
      </w:r>
      <w:r>
        <w:rPr>
          <w:w w:val="105"/>
        </w:rPr>
        <w:t>for</w:t>
      </w:r>
      <w:r>
        <w:rPr>
          <w:spacing w:val="-9"/>
          <w:w w:val="105"/>
        </w:rPr>
        <w:t> </w:t>
      </w:r>
      <w:r>
        <w:rPr>
          <w:w w:val="105"/>
        </w:rPr>
        <w:t>smartphone</w:t>
      </w:r>
      <w:r>
        <w:rPr>
          <w:spacing w:val="-7"/>
          <w:w w:val="105"/>
        </w:rPr>
        <w:t> </w:t>
      </w:r>
      <w:r>
        <w:rPr>
          <w:w w:val="105"/>
        </w:rPr>
        <w:t>applications,</w:t>
      </w:r>
      <w:r>
        <w:rPr>
          <w:spacing w:val="-9"/>
          <w:w w:val="105"/>
        </w:rPr>
        <w:t> </w:t>
      </w:r>
      <w:r>
        <w:rPr>
          <w:w w:val="105"/>
        </w:rPr>
        <w:t>which</w:t>
      </w:r>
      <w:r>
        <w:rPr>
          <w:spacing w:val="-9"/>
          <w:w w:val="105"/>
        </w:rPr>
        <w:t> </w:t>
      </w:r>
      <w:r>
        <w:rPr>
          <w:w w:val="105"/>
        </w:rPr>
        <w:t>is</w:t>
      </w:r>
      <w:r>
        <w:rPr>
          <w:spacing w:val="-9"/>
          <w:w w:val="105"/>
        </w:rPr>
        <w:t> </w:t>
      </w:r>
      <w:r>
        <w:rPr>
          <w:w w:val="105"/>
        </w:rPr>
        <w:t>featured</w:t>
      </w:r>
      <w:r>
        <w:rPr>
          <w:spacing w:val="-9"/>
          <w:w w:val="105"/>
        </w:rPr>
        <w:t> </w:t>
      </w:r>
      <w:r>
        <w:rPr>
          <w:w w:val="105"/>
        </w:rPr>
        <w:t>as</w:t>
      </w:r>
      <w:r>
        <w:rPr>
          <w:spacing w:val="-9"/>
          <w:w w:val="105"/>
        </w:rPr>
        <w:t> </w:t>
      </w:r>
      <w:r>
        <w:rPr>
          <w:w w:val="105"/>
        </w:rPr>
        <w:t>"Ceramic</w:t>
      </w:r>
      <w:r>
        <w:rPr>
          <w:spacing w:val="-9"/>
          <w:w w:val="105"/>
        </w:rPr>
        <w:t> </w:t>
      </w:r>
      <w:r>
        <w:rPr>
          <w:w w:val="105"/>
        </w:rPr>
        <w:t>Shield"</w:t>
      </w:r>
      <w:r>
        <w:rPr>
          <w:spacing w:val="-9"/>
          <w:w w:val="105"/>
        </w:rPr>
        <w:t> </w:t>
      </w:r>
      <w:r>
        <w:rPr>
          <w:w w:val="105"/>
        </w:rPr>
        <w:t>on</w:t>
      </w:r>
      <w:r>
        <w:rPr>
          <w:spacing w:val="-9"/>
          <w:w w:val="105"/>
        </w:rPr>
        <w:t> </w:t>
      </w:r>
      <w:r>
        <w:rPr>
          <w:w w:val="105"/>
        </w:rPr>
        <w:t>the</w:t>
      </w:r>
      <w:r>
        <w:rPr>
          <w:spacing w:val="-9"/>
          <w:w w:val="105"/>
        </w:rPr>
        <w:t> </w:t>
      </w:r>
      <w:r>
        <w:rPr>
          <w:w w:val="105"/>
        </w:rPr>
        <w:t>front cover</w:t>
      </w:r>
      <w:r>
        <w:rPr>
          <w:spacing w:val="-1"/>
          <w:w w:val="105"/>
        </w:rPr>
        <w:t> </w:t>
      </w:r>
      <w:r>
        <w:rPr>
          <w:w w:val="105"/>
        </w:rPr>
        <w:t>of</w:t>
      </w:r>
      <w:r>
        <w:rPr>
          <w:spacing w:val="-1"/>
          <w:w w:val="105"/>
        </w:rPr>
        <w:t> </w:t>
      </w:r>
      <w:r>
        <w:rPr>
          <w:w w:val="105"/>
        </w:rPr>
        <w:t>the</w:t>
      </w:r>
      <w:r>
        <w:rPr>
          <w:spacing w:val="-1"/>
          <w:w w:val="105"/>
        </w:rPr>
        <w:t> </w:t>
      </w:r>
      <w:r>
        <w:rPr>
          <w:w w:val="105"/>
        </w:rPr>
        <w:t>latest</w:t>
      </w:r>
      <w:r>
        <w:rPr>
          <w:spacing w:val="-1"/>
          <w:w w:val="105"/>
        </w:rPr>
        <w:t> </w:t>
      </w:r>
      <w:r>
        <w:rPr>
          <w:w w:val="105"/>
        </w:rPr>
        <w:t>iPhone models.</w:t>
      </w:r>
      <w:r>
        <w:rPr>
          <w:spacing w:val="-1"/>
          <w:w w:val="105"/>
        </w:rPr>
        <w:t> </w:t>
      </w:r>
      <w:r>
        <w:rPr>
          <w:w w:val="105"/>
        </w:rPr>
        <w:t>Apple</w:t>
      </w:r>
      <w:r>
        <w:rPr>
          <w:spacing w:val="-1"/>
          <w:w w:val="105"/>
        </w:rPr>
        <w:t> </w:t>
      </w:r>
      <w:r>
        <w:rPr>
          <w:w w:val="105"/>
        </w:rPr>
        <w:t>and</w:t>
      </w:r>
      <w:r>
        <w:rPr>
          <w:spacing w:val="-1"/>
          <w:w w:val="105"/>
        </w:rPr>
        <w:t> </w:t>
      </w:r>
      <w:r>
        <w:rPr>
          <w:w w:val="105"/>
        </w:rPr>
        <w:t>Corning</w:t>
      </w:r>
      <w:r>
        <w:rPr>
          <w:spacing w:val="-1"/>
          <w:w w:val="105"/>
        </w:rPr>
        <w:t> </w:t>
      </w:r>
      <w:r>
        <w:rPr>
          <w:w w:val="105"/>
        </w:rPr>
        <w:t>partnered</w:t>
      </w:r>
      <w:r>
        <w:rPr>
          <w:spacing w:val="-1"/>
          <w:w w:val="105"/>
        </w:rPr>
        <w:t> </w:t>
      </w:r>
      <w:r>
        <w:rPr>
          <w:w w:val="105"/>
        </w:rPr>
        <w:t>to</w:t>
      </w:r>
      <w:r>
        <w:rPr>
          <w:spacing w:val="-1"/>
          <w:w w:val="105"/>
        </w:rPr>
        <w:t> </w:t>
      </w:r>
      <w:r>
        <w:rPr>
          <w:w w:val="105"/>
        </w:rPr>
        <w:t>develop</w:t>
      </w:r>
      <w:r>
        <w:rPr>
          <w:spacing w:val="-1"/>
          <w:w w:val="105"/>
        </w:rPr>
        <w:t> </w:t>
      </w:r>
      <w:r>
        <w:rPr>
          <w:w w:val="105"/>
        </w:rPr>
        <w:t>and</w:t>
      </w:r>
      <w:r>
        <w:rPr>
          <w:spacing w:val="-1"/>
          <w:w w:val="105"/>
        </w:rPr>
        <w:t> </w:t>
      </w:r>
      <w:r>
        <w:rPr>
          <w:w w:val="105"/>
        </w:rPr>
        <w:t>scale</w:t>
      </w:r>
      <w:r>
        <w:rPr>
          <w:spacing w:val="-1"/>
          <w:w w:val="105"/>
        </w:rPr>
        <w:t> </w:t>
      </w:r>
      <w:r>
        <w:rPr>
          <w:w w:val="105"/>
        </w:rPr>
        <w:t>the</w:t>
      </w:r>
      <w:r>
        <w:rPr>
          <w:spacing w:val="-1"/>
          <w:w w:val="105"/>
        </w:rPr>
        <w:t> </w:t>
      </w:r>
      <w:r>
        <w:rPr>
          <w:w w:val="105"/>
        </w:rPr>
        <w:t>manufacturing</w:t>
      </w:r>
      <w:r>
        <w:rPr>
          <w:spacing w:val="-1"/>
          <w:w w:val="105"/>
        </w:rPr>
        <w:t> </w:t>
      </w:r>
      <w:r>
        <w:rPr>
          <w:w w:val="105"/>
        </w:rPr>
        <w:t>of</w:t>
      </w:r>
      <w:r>
        <w:rPr>
          <w:spacing w:val="-1"/>
          <w:w w:val="105"/>
        </w:rPr>
        <w:t> </w:t>
      </w:r>
      <w:r>
        <w:rPr>
          <w:w w:val="105"/>
        </w:rPr>
        <w:t>Ceramic</w:t>
      </w:r>
      <w:r>
        <w:rPr>
          <w:spacing w:val="-1"/>
          <w:w w:val="105"/>
        </w:rPr>
        <w:t> </w:t>
      </w:r>
      <w:r>
        <w:rPr>
          <w:w w:val="105"/>
        </w:rPr>
        <w:t>Shield,</w:t>
      </w:r>
      <w:r>
        <w:rPr>
          <w:spacing w:val="-1"/>
          <w:w w:val="105"/>
        </w:rPr>
        <w:t> </w:t>
      </w:r>
      <w:r>
        <w:rPr>
          <w:w w:val="105"/>
        </w:rPr>
        <w:t>which</w:t>
      </w:r>
      <w:r>
        <w:rPr>
          <w:spacing w:val="-1"/>
          <w:w w:val="105"/>
        </w:rPr>
        <w:t> </w:t>
      </w:r>
      <w:r>
        <w:rPr>
          <w:w w:val="105"/>
        </w:rPr>
        <w:t>offers</w:t>
      </w:r>
      <w:r>
        <w:rPr>
          <w:spacing w:val="-1"/>
          <w:w w:val="105"/>
        </w:rPr>
        <w:t> </w:t>
      </w:r>
      <w:r>
        <w:rPr>
          <w:w w:val="105"/>
        </w:rPr>
        <w:t>unparalleled</w:t>
      </w:r>
      <w:r>
        <w:rPr>
          <w:spacing w:val="-1"/>
          <w:w w:val="105"/>
        </w:rPr>
        <w:t> </w:t>
      </w:r>
      <w:r>
        <w:rPr>
          <w:w w:val="105"/>
        </w:rPr>
        <w:t>durability</w:t>
      </w:r>
      <w:r>
        <w:rPr>
          <w:spacing w:val="-1"/>
          <w:w w:val="105"/>
        </w:rPr>
        <w:t> </w:t>
      </w:r>
      <w:r>
        <w:rPr>
          <w:w w:val="105"/>
        </w:rPr>
        <w:t>and </w:t>
      </w:r>
      <w:r>
        <w:rPr>
          <w:spacing w:val="-2"/>
          <w:w w:val="105"/>
        </w:rPr>
        <w:t>toughness.</w:t>
      </w:r>
    </w:p>
    <w:p>
      <w:pPr>
        <w:pStyle w:val="BodyText"/>
        <w:spacing w:before="18"/>
      </w:pPr>
    </w:p>
    <w:p>
      <w:pPr>
        <w:pStyle w:val="BodyText"/>
        <w:spacing w:line="266" w:lineRule="auto"/>
        <w:ind w:left="156" w:right="394"/>
      </w:pPr>
      <w:r>
        <w:rPr>
          <w:w w:val="105"/>
        </w:rPr>
        <w:t>Corning’s</w:t>
      </w:r>
      <w:r>
        <w:rPr>
          <w:spacing w:val="-11"/>
          <w:w w:val="105"/>
        </w:rPr>
        <w:t> </w:t>
      </w:r>
      <w:r>
        <w:rPr>
          <w:w w:val="105"/>
        </w:rPr>
        <w:t>semiconductor</w:t>
      </w:r>
      <w:r>
        <w:rPr>
          <w:spacing w:val="-10"/>
          <w:w w:val="105"/>
        </w:rPr>
        <w:t> </w:t>
      </w:r>
      <w:r>
        <w:rPr>
          <w:w w:val="105"/>
        </w:rPr>
        <w:t>optics</w:t>
      </w:r>
      <w:r>
        <w:rPr>
          <w:spacing w:val="-11"/>
          <w:w w:val="105"/>
        </w:rPr>
        <w:t> </w:t>
      </w:r>
      <w:r>
        <w:rPr>
          <w:w w:val="105"/>
        </w:rPr>
        <w:t>include</w:t>
      </w:r>
      <w:r>
        <w:rPr>
          <w:spacing w:val="-10"/>
          <w:w w:val="105"/>
        </w:rPr>
        <w:t> </w:t>
      </w:r>
      <w:r>
        <w:rPr>
          <w:w w:val="105"/>
        </w:rPr>
        <w:t>high-performance</w:t>
      </w:r>
      <w:r>
        <w:rPr>
          <w:spacing w:val="-11"/>
          <w:w w:val="105"/>
        </w:rPr>
        <w:t> </w:t>
      </w:r>
      <w:r>
        <w:rPr>
          <w:w w:val="105"/>
        </w:rPr>
        <w:t>optical</w:t>
      </w:r>
      <w:r>
        <w:rPr>
          <w:spacing w:val="-10"/>
          <w:w w:val="105"/>
        </w:rPr>
        <w:t> </w:t>
      </w:r>
      <w:r>
        <w:rPr>
          <w:w w:val="105"/>
        </w:rPr>
        <w:t>materials</w:t>
      </w:r>
      <w:r>
        <w:rPr>
          <w:spacing w:val="-11"/>
          <w:w w:val="105"/>
        </w:rPr>
        <w:t> </w:t>
      </w:r>
      <w:r>
        <w:rPr>
          <w:w w:val="105"/>
        </w:rPr>
        <w:t>including</w:t>
      </w:r>
      <w:r>
        <w:rPr>
          <w:spacing w:val="-10"/>
          <w:w w:val="105"/>
        </w:rPr>
        <w:t> </w:t>
      </w:r>
      <w:r>
        <w:rPr>
          <w:w w:val="105"/>
        </w:rPr>
        <w:t>Corning®</w:t>
      </w:r>
      <w:r>
        <w:rPr>
          <w:spacing w:val="-11"/>
          <w:w w:val="105"/>
        </w:rPr>
        <w:t> </w:t>
      </w:r>
      <w:r>
        <w:rPr>
          <w:w w:val="105"/>
        </w:rPr>
        <w:t>HPFS®</w:t>
      </w:r>
      <w:r>
        <w:rPr>
          <w:spacing w:val="-10"/>
          <w:w w:val="105"/>
        </w:rPr>
        <w:t> </w:t>
      </w:r>
      <w:r>
        <w:rPr>
          <w:w w:val="105"/>
        </w:rPr>
        <w:t>Fused</w:t>
      </w:r>
      <w:r>
        <w:rPr>
          <w:spacing w:val="-11"/>
          <w:w w:val="105"/>
        </w:rPr>
        <w:t> </w:t>
      </w:r>
      <w:r>
        <w:rPr>
          <w:w w:val="105"/>
        </w:rPr>
        <w:t>Silica</w:t>
      </w:r>
      <w:r>
        <w:rPr>
          <w:spacing w:val="-10"/>
          <w:w w:val="105"/>
        </w:rPr>
        <w:t> </w:t>
      </w:r>
      <w:r>
        <w:rPr>
          <w:w w:val="105"/>
        </w:rPr>
        <w:t>and</w:t>
      </w:r>
      <w:r>
        <w:rPr>
          <w:spacing w:val="-11"/>
          <w:w w:val="105"/>
        </w:rPr>
        <w:t> </w:t>
      </w:r>
      <w:r>
        <w:rPr>
          <w:w w:val="105"/>
        </w:rPr>
        <w:t>Corning®</w:t>
      </w:r>
      <w:r>
        <w:rPr>
          <w:spacing w:val="-10"/>
          <w:w w:val="105"/>
        </w:rPr>
        <w:t> </w:t>
      </w:r>
      <w:r>
        <w:rPr>
          <w:w w:val="105"/>
        </w:rPr>
        <w:t>ULE®</w:t>
      </w:r>
      <w:r>
        <w:rPr>
          <w:spacing w:val="-11"/>
          <w:w w:val="105"/>
        </w:rPr>
        <w:t> </w:t>
      </w:r>
      <w:r>
        <w:rPr>
          <w:w w:val="105"/>
        </w:rPr>
        <w:t>Ultra-Low</w:t>
      </w:r>
      <w:r>
        <w:rPr>
          <w:spacing w:val="-10"/>
          <w:w w:val="105"/>
        </w:rPr>
        <w:t> </w:t>
      </w:r>
      <w:r>
        <w:rPr>
          <w:w w:val="105"/>
        </w:rPr>
        <w:t>Expansion</w:t>
      </w:r>
      <w:r>
        <w:rPr>
          <w:spacing w:val="-11"/>
          <w:w w:val="105"/>
        </w:rPr>
        <w:t> </w:t>
      </w:r>
      <w:r>
        <w:rPr>
          <w:w w:val="105"/>
        </w:rPr>
        <w:t>Glass, optical-based</w:t>
      </w:r>
      <w:r>
        <w:rPr>
          <w:spacing w:val="-5"/>
          <w:w w:val="105"/>
        </w:rPr>
        <w:t> </w:t>
      </w:r>
      <w:r>
        <w:rPr>
          <w:w w:val="105"/>
        </w:rPr>
        <w:t>metrology</w:t>
      </w:r>
      <w:r>
        <w:rPr>
          <w:spacing w:val="-5"/>
          <w:w w:val="105"/>
        </w:rPr>
        <w:t> </w:t>
      </w:r>
      <w:r>
        <w:rPr>
          <w:w w:val="105"/>
        </w:rPr>
        <w:t>instruments,</w:t>
      </w:r>
      <w:r>
        <w:rPr>
          <w:spacing w:val="-5"/>
          <w:w w:val="105"/>
        </w:rPr>
        <w:t> </w:t>
      </w:r>
      <w:r>
        <w:rPr>
          <w:w w:val="105"/>
        </w:rPr>
        <w:t>and</w:t>
      </w:r>
      <w:r>
        <w:rPr>
          <w:spacing w:val="-5"/>
          <w:w w:val="105"/>
        </w:rPr>
        <w:t> </w:t>
      </w:r>
      <w:r>
        <w:rPr>
          <w:w w:val="105"/>
        </w:rPr>
        <w:t>custom</w:t>
      </w:r>
      <w:r>
        <w:rPr>
          <w:spacing w:val="-5"/>
          <w:w w:val="105"/>
        </w:rPr>
        <w:t> </w:t>
      </w:r>
      <w:r>
        <w:rPr>
          <w:w w:val="105"/>
        </w:rPr>
        <w:t>optical</w:t>
      </w:r>
      <w:r>
        <w:rPr>
          <w:spacing w:val="-5"/>
          <w:w w:val="105"/>
        </w:rPr>
        <w:t> </w:t>
      </w:r>
      <w:r>
        <w:rPr>
          <w:w w:val="105"/>
        </w:rPr>
        <w:t>assemblies</w:t>
      </w:r>
      <w:r>
        <w:rPr>
          <w:spacing w:val="-5"/>
          <w:w w:val="105"/>
        </w:rPr>
        <w:t> </w:t>
      </w:r>
      <w:r>
        <w:rPr>
          <w:w w:val="105"/>
        </w:rPr>
        <w:t>for</w:t>
      </w:r>
      <w:r>
        <w:rPr>
          <w:spacing w:val="-5"/>
          <w:w w:val="105"/>
        </w:rPr>
        <w:t> </w:t>
      </w:r>
      <w:r>
        <w:rPr>
          <w:w w:val="105"/>
        </w:rPr>
        <w:t>applications</w:t>
      </w:r>
      <w:r>
        <w:rPr>
          <w:spacing w:val="-5"/>
          <w:w w:val="105"/>
        </w:rPr>
        <w:t> </w:t>
      </w:r>
      <w:r>
        <w:rPr>
          <w:w w:val="105"/>
        </w:rPr>
        <w:t>in</w:t>
      </w:r>
      <w:r>
        <w:rPr>
          <w:spacing w:val="-5"/>
          <w:w w:val="105"/>
        </w:rPr>
        <w:t> </w:t>
      </w:r>
      <w:r>
        <w:rPr>
          <w:w w:val="105"/>
        </w:rPr>
        <w:t>the</w:t>
      </w:r>
      <w:r>
        <w:rPr>
          <w:spacing w:val="-5"/>
          <w:w w:val="105"/>
        </w:rPr>
        <w:t> </w:t>
      </w:r>
      <w:r>
        <w:rPr>
          <w:w w:val="105"/>
        </w:rPr>
        <w:t>global</w:t>
      </w:r>
      <w:r>
        <w:rPr>
          <w:spacing w:val="-5"/>
          <w:w w:val="105"/>
        </w:rPr>
        <w:t> </w:t>
      </w:r>
      <w:r>
        <w:rPr>
          <w:w w:val="105"/>
        </w:rPr>
        <w:t>semiconductor</w:t>
      </w:r>
      <w:r>
        <w:rPr>
          <w:spacing w:val="-5"/>
          <w:w w:val="105"/>
        </w:rPr>
        <w:t> </w:t>
      </w:r>
      <w:r>
        <w:rPr>
          <w:w w:val="105"/>
        </w:rPr>
        <w:t>industry.</w:t>
      </w:r>
      <w:r>
        <w:rPr>
          <w:spacing w:val="-5"/>
          <w:w w:val="105"/>
        </w:rPr>
        <w:t> </w:t>
      </w:r>
      <w:r>
        <w:rPr>
          <w:w w:val="105"/>
        </w:rPr>
        <w:t>Corning’s</w:t>
      </w:r>
      <w:r>
        <w:rPr>
          <w:spacing w:val="-5"/>
          <w:w w:val="105"/>
        </w:rPr>
        <w:t> </w:t>
      </w:r>
      <w:r>
        <w:rPr>
          <w:w w:val="105"/>
        </w:rPr>
        <w:t>semiconductor</w:t>
      </w:r>
      <w:r>
        <w:rPr>
          <w:spacing w:val="-5"/>
          <w:w w:val="105"/>
        </w:rPr>
        <w:t> </w:t>
      </w:r>
      <w:r>
        <w:rPr>
          <w:w w:val="105"/>
        </w:rPr>
        <w:t>optics</w:t>
      </w:r>
      <w:r>
        <w:rPr>
          <w:spacing w:val="-5"/>
          <w:w w:val="105"/>
        </w:rPr>
        <w:t> </w:t>
      </w:r>
      <w:r>
        <w:rPr>
          <w:w w:val="105"/>
        </w:rPr>
        <w:t>products</w:t>
      </w:r>
      <w:r>
        <w:rPr>
          <w:spacing w:val="-5"/>
          <w:w w:val="105"/>
        </w:rPr>
        <w:t> </w:t>
      </w:r>
      <w:r>
        <w:rPr>
          <w:w w:val="105"/>
        </w:rPr>
        <w:t>are manufactured in New York.</w:t>
      </w:r>
    </w:p>
    <w:p>
      <w:pPr>
        <w:pStyle w:val="BodyText"/>
        <w:spacing w:before="19"/>
      </w:pPr>
    </w:p>
    <w:p>
      <w:pPr>
        <w:pStyle w:val="BodyText"/>
        <w:spacing w:line="266" w:lineRule="auto"/>
        <w:ind w:left="156"/>
      </w:pPr>
      <w:r>
        <w:rPr>
          <w:w w:val="105"/>
        </w:rPr>
        <w:t>Corning</w:t>
      </w:r>
      <w:r>
        <w:rPr>
          <w:spacing w:val="-10"/>
          <w:w w:val="105"/>
        </w:rPr>
        <w:t> </w:t>
      </w:r>
      <w:r>
        <w:rPr>
          <w:w w:val="105"/>
        </w:rPr>
        <w:t>also</w:t>
      </w:r>
      <w:r>
        <w:rPr>
          <w:spacing w:val="-10"/>
          <w:w w:val="105"/>
        </w:rPr>
        <w:t> </w:t>
      </w:r>
      <w:r>
        <w:rPr>
          <w:w w:val="105"/>
        </w:rPr>
        <w:t>manufactures</w:t>
      </w:r>
      <w:r>
        <w:rPr>
          <w:spacing w:val="-10"/>
          <w:w w:val="105"/>
        </w:rPr>
        <w:t> </w:t>
      </w:r>
      <w:r>
        <w:rPr>
          <w:w w:val="105"/>
        </w:rPr>
        <w:t>ultra-flat,</w:t>
      </w:r>
      <w:r>
        <w:rPr>
          <w:spacing w:val="-10"/>
          <w:w w:val="105"/>
        </w:rPr>
        <w:t> </w:t>
      </w:r>
      <w:r>
        <w:rPr>
          <w:w w:val="105"/>
        </w:rPr>
        <w:t>ultra-thin</w:t>
      </w:r>
      <w:r>
        <w:rPr>
          <w:spacing w:val="-10"/>
          <w:w w:val="105"/>
        </w:rPr>
        <w:t> </w:t>
      </w:r>
      <w:r>
        <w:rPr>
          <w:w w:val="105"/>
        </w:rPr>
        <w:t>glass</w:t>
      </w:r>
      <w:r>
        <w:rPr>
          <w:spacing w:val="-10"/>
          <w:w w:val="105"/>
        </w:rPr>
        <w:t> </w:t>
      </w:r>
      <w:r>
        <w:rPr>
          <w:w w:val="105"/>
        </w:rPr>
        <w:t>wafers</w:t>
      </w:r>
      <w:r>
        <w:rPr>
          <w:spacing w:val="-10"/>
          <w:w w:val="105"/>
        </w:rPr>
        <w:t> </w:t>
      </w:r>
      <w:r>
        <w:rPr>
          <w:w w:val="105"/>
        </w:rPr>
        <w:t>and</w:t>
      </w:r>
      <w:r>
        <w:rPr>
          <w:spacing w:val="-10"/>
          <w:w w:val="105"/>
        </w:rPr>
        <w:t> </w:t>
      </w:r>
      <w:r>
        <w:rPr>
          <w:w w:val="105"/>
        </w:rPr>
        <w:t>substrates</w:t>
      </w:r>
      <w:r>
        <w:rPr>
          <w:spacing w:val="-9"/>
          <w:w w:val="105"/>
        </w:rPr>
        <w:t> </w:t>
      </w:r>
      <w:r>
        <w:rPr>
          <w:w w:val="105"/>
        </w:rPr>
        <w:t>for</w:t>
      </w:r>
      <w:r>
        <w:rPr>
          <w:spacing w:val="-10"/>
          <w:w w:val="105"/>
        </w:rPr>
        <w:t> </w:t>
      </w:r>
      <w:r>
        <w:rPr>
          <w:w w:val="105"/>
        </w:rPr>
        <w:t>a</w:t>
      </w:r>
      <w:r>
        <w:rPr>
          <w:spacing w:val="-10"/>
          <w:w w:val="105"/>
        </w:rPr>
        <w:t> </w:t>
      </w:r>
      <w:r>
        <w:rPr>
          <w:w w:val="105"/>
        </w:rPr>
        <w:t>variety</w:t>
      </w:r>
      <w:r>
        <w:rPr>
          <w:spacing w:val="-10"/>
          <w:w w:val="105"/>
        </w:rPr>
        <w:t> </w:t>
      </w:r>
      <w:r>
        <w:rPr>
          <w:w w:val="105"/>
        </w:rPr>
        <w:t>of</w:t>
      </w:r>
      <w:r>
        <w:rPr>
          <w:spacing w:val="-10"/>
          <w:w w:val="105"/>
        </w:rPr>
        <w:t> </w:t>
      </w:r>
      <w:r>
        <w:rPr>
          <w:w w:val="105"/>
        </w:rPr>
        <w:t>applications</w:t>
      </w:r>
      <w:r>
        <w:rPr>
          <w:spacing w:val="-10"/>
          <w:w w:val="105"/>
        </w:rPr>
        <w:t> </w:t>
      </w:r>
      <w:r>
        <w:rPr>
          <w:w w:val="105"/>
        </w:rPr>
        <w:t>including</w:t>
      </w:r>
      <w:r>
        <w:rPr>
          <w:spacing w:val="-10"/>
          <w:w w:val="105"/>
        </w:rPr>
        <w:t> </w:t>
      </w:r>
      <w:r>
        <w:rPr>
          <w:w w:val="105"/>
        </w:rPr>
        <w:t>augmented</w:t>
      </w:r>
      <w:r>
        <w:rPr>
          <w:spacing w:val="-10"/>
          <w:w w:val="105"/>
        </w:rPr>
        <w:t> </w:t>
      </w:r>
      <w:r>
        <w:rPr>
          <w:w w:val="105"/>
        </w:rPr>
        <w:t>reality,</w:t>
      </w:r>
      <w:r>
        <w:rPr>
          <w:spacing w:val="-10"/>
          <w:w w:val="105"/>
        </w:rPr>
        <w:t> </w:t>
      </w:r>
      <w:r>
        <w:rPr>
          <w:w w:val="105"/>
        </w:rPr>
        <w:t>advanced</w:t>
      </w:r>
      <w:r>
        <w:rPr>
          <w:spacing w:val="-10"/>
          <w:w w:val="105"/>
        </w:rPr>
        <w:t> </w:t>
      </w:r>
      <w:r>
        <w:rPr>
          <w:w w:val="105"/>
        </w:rPr>
        <w:t>semiconductor</w:t>
      </w:r>
      <w:r>
        <w:rPr>
          <w:spacing w:val="-10"/>
          <w:w w:val="105"/>
        </w:rPr>
        <w:t> </w:t>
      </w:r>
      <w:r>
        <w:rPr>
          <w:w w:val="105"/>
        </w:rPr>
        <w:t>packaging,</w:t>
      </w:r>
      <w:r>
        <w:rPr>
          <w:spacing w:val="-10"/>
          <w:w w:val="105"/>
        </w:rPr>
        <w:t> </w:t>
      </w:r>
      <w:r>
        <w:rPr>
          <w:w w:val="105"/>
        </w:rPr>
        <w:t>3D sensing, and more. These products are manufactured in New York, France, and China.</w:t>
      </w:r>
    </w:p>
    <w:p>
      <w:pPr>
        <w:pStyle w:val="BodyText"/>
        <w:spacing w:before="19"/>
      </w:pPr>
    </w:p>
    <w:p>
      <w:pPr>
        <w:pStyle w:val="BodyText"/>
        <w:ind w:left="156"/>
      </w:pPr>
      <w:r>
        <w:rPr>
          <w:w w:val="105"/>
        </w:rPr>
        <w:t>Other</w:t>
      </w:r>
      <w:r>
        <w:rPr>
          <w:spacing w:val="-11"/>
          <w:w w:val="105"/>
        </w:rPr>
        <w:t> </w:t>
      </w:r>
      <w:r>
        <w:rPr>
          <w:w w:val="105"/>
        </w:rPr>
        <w:t>specialty</w:t>
      </w:r>
      <w:r>
        <w:rPr>
          <w:spacing w:val="-10"/>
          <w:w w:val="105"/>
        </w:rPr>
        <w:t> </w:t>
      </w:r>
      <w:r>
        <w:rPr>
          <w:w w:val="105"/>
        </w:rPr>
        <w:t>glass</w:t>
      </w:r>
      <w:r>
        <w:rPr>
          <w:spacing w:val="-11"/>
          <w:w w:val="105"/>
        </w:rPr>
        <w:t> </w:t>
      </w:r>
      <w:r>
        <w:rPr>
          <w:w w:val="105"/>
        </w:rPr>
        <w:t>products</w:t>
      </w:r>
      <w:r>
        <w:rPr>
          <w:spacing w:val="-10"/>
          <w:w w:val="105"/>
        </w:rPr>
        <w:t> </w:t>
      </w:r>
      <w:r>
        <w:rPr>
          <w:w w:val="105"/>
        </w:rPr>
        <w:t>include</w:t>
      </w:r>
      <w:r>
        <w:rPr>
          <w:spacing w:val="-11"/>
          <w:w w:val="105"/>
        </w:rPr>
        <w:t> </w:t>
      </w:r>
      <w:r>
        <w:rPr>
          <w:w w:val="105"/>
        </w:rPr>
        <w:t>tinted</w:t>
      </w:r>
      <w:r>
        <w:rPr>
          <w:spacing w:val="-10"/>
          <w:w w:val="105"/>
        </w:rPr>
        <w:t> </w:t>
      </w:r>
      <w:r>
        <w:rPr>
          <w:w w:val="105"/>
        </w:rPr>
        <w:t>sunglasses</w:t>
      </w:r>
      <w:r>
        <w:rPr>
          <w:spacing w:val="-10"/>
          <w:w w:val="105"/>
        </w:rPr>
        <w:t> </w:t>
      </w:r>
      <w:r>
        <w:rPr>
          <w:w w:val="105"/>
        </w:rPr>
        <w:t>and</w:t>
      </w:r>
      <w:r>
        <w:rPr>
          <w:spacing w:val="-9"/>
          <w:w w:val="105"/>
        </w:rPr>
        <w:t> </w:t>
      </w:r>
      <w:r>
        <w:rPr>
          <w:w w:val="105"/>
        </w:rPr>
        <w:t>radiation</w:t>
      </w:r>
      <w:r>
        <w:rPr>
          <w:spacing w:val="-11"/>
          <w:w w:val="105"/>
        </w:rPr>
        <w:t> </w:t>
      </w:r>
      <w:r>
        <w:rPr>
          <w:w w:val="105"/>
        </w:rPr>
        <w:t>shielding</w:t>
      </w:r>
      <w:r>
        <w:rPr>
          <w:spacing w:val="-10"/>
          <w:w w:val="105"/>
        </w:rPr>
        <w:t> </w:t>
      </w:r>
      <w:r>
        <w:rPr>
          <w:w w:val="105"/>
        </w:rPr>
        <w:t>products</w:t>
      </w:r>
      <w:r>
        <w:rPr>
          <w:spacing w:val="-9"/>
          <w:w w:val="105"/>
        </w:rPr>
        <w:t> </w:t>
      </w:r>
      <w:r>
        <w:rPr>
          <w:w w:val="105"/>
        </w:rPr>
        <w:t>that</w:t>
      </w:r>
      <w:r>
        <w:rPr>
          <w:spacing w:val="-10"/>
          <w:w w:val="105"/>
        </w:rPr>
        <w:t> </w:t>
      </w:r>
      <w:r>
        <w:rPr>
          <w:w w:val="105"/>
        </w:rPr>
        <w:t>are</w:t>
      </w:r>
      <w:r>
        <w:rPr>
          <w:spacing w:val="-11"/>
          <w:w w:val="105"/>
        </w:rPr>
        <w:t> </w:t>
      </w:r>
      <w:r>
        <w:rPr>
          <w:w w:val="105"/>
        </w:rPr>
        <w:t>made</w:t>
      </w:r>
      <w:r>
        <w:rPr>
          <w:spacing w:val="-10"/>
          <w:w w:val="105"/>
        </w:rPr>
        <w:t> </w:t>
      </w:r>
      <w:r>
        <w:rPr>
          <w:w w:val="105"/>
        </w:rPr>
        <w:t>in</w:t>
      </w:r>
      <w:r>
        <w:rPr>
          <w:spacing w:val="-11"/>
          <w:w w:val="105"/>
        </w:rPr>
        <w:t> </w:t>
      </w:r>
      <w:r>
        <w:rPr>
          <w:spacing w:val="-2"/>
          <w:w w:val="105"/>
        </w:rPr>
        <w:t>France.</w:t>
      </w:r>
    </w:p>
    <w:p>
      <w:pPr>
        <w:pStyle w:val="BodyText"/>
        <w:spacing w:before="39"/>
      </w:pPr>
    </w:p>
    <w:p>
      <w:pPr>
        <w:pStyle w:val="BodyText"/>
        <w:spacing w:before="1"/>
        <w:ind w:left="48"/>
        <w:jc w:val="center"/>
      </w:pPr>
      <w:r>
        <w:rPr>
          <w:spacing w:val="-10"/>
          <w:w w:val="105"/>
        </w:rPr>
        <w:t>4</w:t>
      </w:r>
    </w:p>
    <w:p>
      <w:pPr>
        <w:pStyle w:val="BodyText"/>
        <w:spacing w:before="11"/>
        <w:rPr>
          <w:sz w:val="5"/>
        </w:rPr>
      </w:pPr>
      <w:r>
        <w:rPr/>
        <mc:AlternateContent>
          <mc:Choice Requires="wps">
            <w:drawing>
              <wp:anchor distT="0" distB="0" distL="0" distR="0" allowOverlap="1" layoutInCell="1" locked="0" behindDoc="1" simplePos="0" relativeHeight="487590912">
                <wp:simplePos x="0" y="0"/>
                <wp:positionH relativeFrom="page">
                  <wp:posOffset>226488</wp:posOffset>
                </wp:positionH>
                <wp:positionV relativeFrom="paragraph">
                  <wp:posOffset>58810</wp:posOffset>
                </wp:positionV>
                <wp:extent cx="7312659" cy="1651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30722pt;width:575.775087pt;height:1.273839pt;mso-position-horizontal-relative:page;mso-position-vertical-relative:paragraph;z-index:-15725568;mso-wrap-distance-left:0;mso-wrap-distance-right:0" id="docshape8"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BodyText"/>
        <w:spacing w:line="266" w:lineRule="auto"/>
        <w:ind w:left="156"/>
      </w:pPr>
      <w:r>
        <w:rPr>
          <w:w w:val="105"/>
        </w:rPr>
        <w:t>Patent</w:t>
      </w:r>
      <w:r>
        <w:rPr>
          <w:spacing w:val="-9"/>
          <w:w w:val="105"/>
        </w:rPr>
        <w:t> </w:t>
      </w:r>
      <w:r>
        <w:rPr>
          <w:w w:val="105"/>
        </w:rPr>
        <w:t>protection</w:t>
      </w:r>
      <w:r>
        <w:rPr>
          <w:spacing w:val="-9"/>
          <w:w w:val="105"/>
        </w:rPr>
        <w:t> </w:t>
      </w:r>
      <w:r>
        <w:rPr>
          <w:w w:val="105"/>
        </w:rPr>
        <w:t>is</w:t>
      </w:r>
      <w:r>
        <w:rPr>
          <w:spacing w:val="-9"/>
          <w:w w:val="105"/>
        </w:rPr>
        <w:t> </w:t>
      </w:r>
      <w:r>
        <w:rPr>
          <w:w w:val="105"/>
        </w:rPr>
        <w:t>important</w:t>
      </w:r>
      <w:r>
        <w:rPr>
          <w:spacing w:val="-9"/>
          <w:w w:val="105"/>
        </w:rPr>
        <w:t> </w:t>
      </w:r>
      <w:r>
        <w:rPr>
          <w:w w:val="105"/>
        </w:rPr>
        <w:t>to</w:t>
      </w:r>
      <w:r>
        <w:rPr>
          <w:spacing w:val="-9"/>
          <w:w w:val="105"/>
        </w:rPr>
        <w:t> </w:t>
      </w:r>
      <w:r>
        <w:rPr>
          <w:w w:val="105"/>
        </w:rPr>
        <w:t>the</w:t>
      </w:r>
      <w:r>
        <w:rPr>
          <w:spacing w:val="-9"/>
          <w:w w:val="105"/>
        </w:rPr>
        <w:t> </w:t>
      </w:r>
      <w:r>
        <w:rPr>
          <w:w w:val="105"/>
        </w:rPr>
        <w:t>segment’s</w:t>
      </w:r>
      <w:r>
        <w:rPr>
          <w:spacing w:val="-9"/>
          <w:w w:val="105"/>
        </w:rPr>
        <w:t> </w:t>
      </w:r>
      <w:r>
        <w:rPr>
          <w:w w:val="105"/>
        </w:rPr>
        <w:t>operations.</w:t>
      </w:r>
      <w:r>
        <w:rPr>
          <w:spacing w:val="-9"/>
          <w:w w:val="105"/>
        </w:rPr>
        <w:t> </w:t>
      </w:r>
      <w:r>
        <w:rPr>
          <w:w w:val="105"/>
        </w:rPr>
        <w:t>The</w:t>
      </w:r>
      <w:r>
        <w:rPr>
          <w:spacing w:val="-9"/>
          <w:w w:val="105"/>
        </w:rPr>
        <w:t> </w:t>
      </w:r>
      <w:r>
        <w:rPr>
          <w:w w:val="105"/>
        </w:rPr>
        <w:t>segment</w:t>
      </w:r>
      <w:r>
        <w:rPr>
          <w:spacing w:val="-9"/>
          <w:w w:val="105"/>
        </w:rPr>
        <w:t> </w:t>
      </w:r>
      <w:r>
        <w:rPr>
          <w:w w:val="105"/>
        </w:rPr>
        <w:t>has</w:t>
      </w:r>
      <w:r>
        <w:rPr>
          <w:spacing w:val="-9"/>
          <w:w w:val="105"/>
        </w:rPr>
        <w:t> </w:t>
      </w:r>
      <w:r>
        <w:rPr>
          <w:w w:val="105"/>
        </w:rPr>
        <w:t>a</w:t>
      </w:r>
      <w:r>
        <w:rPr>
          <w:spacing w:val="-9"/>
          <w:w w:val="105"/>
        </w:rPr>
        <w:t> </w:t>
      </w:r>
      <w:r>
        <w:rPr>
          <w:w w:val="105"/>
        </w:rPr>
        <w:t>growing</w:t>
      </w:r>
      <w:r>
        <w:rPr>
          <w:spacing w:val="-9"/>
          <w:w w:val="105"/>
        </w:rPr>
        <w:t> </w:t>
      </w:r>
      <w:r>
        <w:rPr>
          <w:w w:val="105"/>
        </w:rPr>
        <w:t>portfolio</w:t>
      </w:r>
      <w:r>
        <w:rPr>
          <w:spacing w:val="-9"/>
          <w:w w:val="105"/>
        </w:rPr>
        <w:t> </w:t>
      </w:r>
      <w:r>
        <w:rPr>
          <w:w w:val="105"/>
        </w:rPr>
        <w:t>of</w:t>
      </w:r>
      <w:r>
        <w:rPr>
          <w:spacing w:val="-9"/>
          <w:w w:val="105"/>
        </w:rPr>
        <w:t> </w:t>
      </w:r>
      <w:r>
        <w:rPr>
          <w:w w:val="105"/>
        </w:rPr>
        <w:t>patents</w:t>
      </w:r>
      <w:r>
        <w:rPr>
          <w:spacing w:val="-9"/>
          <w:w w:val="105"/>
        </w:rPr>
        <w:t> </w:t>
      </w:r>
      <w:r>
        <w:rPr>
          <w:w w:val="105"/>
        </w:rPr>
        <w:t>relating</w:t>
      </w:r>
      <w:r>
        <w:rPr>
          <w:spacing w:val="-9"/>
          <w:w w:val="105"/>
        </w:rPr>
        <w:t> </w:t>
      </w:r>
      <w:r>
        <w:rPr>
          <w:w w:val="105"/>
        </w:rPr>
        <w:t>to</w:t>
      </w:r>
      <w:r>
        <w:rPr>
          <w:spacing w:val="-9"/>
          <w:w w:val="105"/>
        </w:rPr>
        <w:t> </w:t>
      </w:r>
      <w:r>
        <w:rPr>
          <w:w w:val="105"/>
        </w:rPr>
        <w:t>its</w:t>
      </w:r>
      <w:r>
        <w:rPr>
          <w:spacing w:val="-9"/>
          <w:w w:val="105"/>
        </w:rPr>
        <w:t> </w:t>
      </w:r>
      <w:r>
        <w:rPr>
          <w:w w:val="105"/>
        </w:rPr>
        <w:t>products,</w:t>
      </w:r>
      <w:r>
        <w:rPr>
          <w:spacing w:val="-9"/>
          <w:w w:val="105"/>
        </w:rPr>
        <w:t> </w:t>
      </w:r>
      <w:r>
        <w:rPr>
          <w:w w:val="105"/>
        </w:rPr>
        <w:t>technologies</w:t>
      </w:r>
      <w:r>
        <w:rPr>
          <w:spacing w:val="-9"/>
          <w:w w:val="105"/>
        </w:rPr>
        <w:t> </w:t>
      </w:r>
      <w:r>
        <w:rPr>
          <w:w w:val="105"/>
        </w:rPr>
        <w:t>and</w:t>
      </w:r>
      <w:r>
        <w:rPr>
          <w:spacing w:val="-9"/>
          <w:w w:val="105"/>
        </w:rPr>
        <w:t> </w:t>
      </w:r>
      <w:r>
        <w:rPr>
          <w:w w:val="105"/>
        </w:rPr>
        <w:t>manufacturing</w:t>
      </w:r>
      <w:r>
        <w:rPr>
          <w:spacing w:val="-9"/>
          <w:w w:val="105"/>
        </w:rPr>
        <w:t> </w:t>
      </w:r>
      <w:r>
        <w:rPr>
          <w:w w:val="105"/>
        </w:rPr>
        <w:t>processes. Brand</w:t>
      </w:r>
      <w:r>
        <w:rPr>
          <w:spacing w:val="-2"/>
          <w:w w:val="105"/>
        </w:rPr>
        <w:t> </w:t>
      </w:r>
      <w:r>
        <w:rPr>
          <w:w w:val="105"/>
        </w:rPr>
        <w:t>recognition</w:t>
      </w:r>
      <w:r>
        <w:rPr>
          <w:spacing w:val="-2"/>
          <w:w w:val="105"/>
        </w:rPr>
        <w:t> </w:t>
      </w:r>
      <w:r>
        <w:rPr>
          <w:w w:val="105"/>
        </w:rPr>
        <w:t>and</w:t>
      </w:r>
      <w:r>
        <w:rPr>
          <w:spacing w:val="-2"/>
          <w:w w:val="105"/>
        </w:rPr>
        <w:t> </w:t>
      </w:r>
      <w:r>
        <w:rPr>
          <w:w w:val="105"/>
        </w:rPr>
        <w:t>loyalty, through</w:t>
      </w:r>
      <w:r>
        <w:rPr>
          <w:spacing w:val="-2"/>
          <w:w w:val="105"/>
        </w:rPr>
        <w:t> </w:t>
      </w:r>
      <w:r>
        <w:rPr>
          <w:w w:val="105"/>
        </w:rPr>
        <w:t>well-known</w:t>
      </w:r>
      <w:r>
        <w:rPr>
          <w:spacing w:val="-2"/>
          <w:w w:val="105"/>
        </w:rPr>
        <w:t> </w:t>
      </w:r>
      <w:r>
        <w:rPr>
          <w:w w:val="105"/>
        </w:rPr>
        <w:t>trademarks,</w:t>
      </w:r>
      <w:r>
        <w:rPr>
          <w:spacing w:val="-2"/>
          <w:w w:val="105"/>
        </w:rPr>
        <w:t> </w:t>
      </w:r>
      <w:r>
        <w:rPr>
          <w:w w:val="105"/>
        </w:rPr>
        <w:t>are</w:t>
      </w:r>
      <w:r>
        <w:rPr>
          <w:spacing w:val="-2"/>
          <w:w w:val="105"/>
        </w:rPr>
        <w:t> </w:t>
      </w:r>
      <w:r>
        <w:rPr>
          <w:w w:val="105"/>
        </w:rPr>
        <w:t>important</w:t>
      </w:r>
      <w:r>
        <w:rPr>
          <w:spacing w:val="-2"/>
          <w:w w:val="105"/>
        </w:rPr>
        <w:t> </w:t>
      </w:r>
      <w:r>
        <w:rPr>
          <w:w w:val="105"/>
        </w:rPr>
        <w:t>to</w:t>
      </w:r>
      <w:r>
        <w:rPr>
          <w:spacing w:val="-2"/>
          <w:w w:val="105"/>
        </w:rPr>
        <w:t> </w:t>
      </w:r>
      <w:r>
        <w:rPr>
          <w:w w:val="105"/>
        </w:rPr>
        <w:t>the</w:t>
      </w:r>
      <w:r>
        <w:rPr>
          <w:spacing w:val="-2"/>
          <w:w w:val="105"/>
        </w:rPr>
        <w:t> </w:t>
      </w:r>
      <w:r>
        <w:rPr>
          <w:w w:val="105"/>
        </w:rPr>
        <w:t>segment.</w:t>
      </w:r>
      <w:r>
        <w:rPr>
          <w:spacing w:val="-2"/>
          <w:w w:val="105"/>
        </w:rPr>
        <w:t> </w:t>
      </w:r>
      <w:r>
        <w:rPr>
          <w:w w:val="105"/>
        </w:rPr>
        <w:t>Refer</w:t>
      </w:r>
      <w:r>
        <w:rPr>
          <w:spacing w:val="-2"/>
          <w:w w:val="105"/>
        </w:rPr>
        <w:t> </w:t>
      </w:r>
      <w:r>
        <w:rPr>
          <w:w w:val="105"/>
        </w:rPr>
        <w:t>to</w:t>
      </w:r>
      <w:r>
        <w:rPr>
          <w:spacing w:val="-2"/>
          <w:w w:val="105"/>
        </w:rPr>
        <w:t> </w:t>
      </w:r>
      <w:r>
        <w:rPr>
          <w:w w:val="105"/>
        </w:rPr>
        <w:t>the</w:t>
      </w:r>
      <w:r>
        <w:rPr>
          <w:spacing w:val="-2"/>
          <w:w w:val="105"/>
        </w:rPr>
        <w:t> </w:t>
      </w:r>
      <w:r>
        <w:rPr>
          <w:w w:val="105"/>
        </w:rPr>
        <w:t>material</w:t>
      </w:r>
      <w:r>
        <w:rPr>
          <w:spacing w:val="-2"/>
          <w:w w:val="105"/>
        </w:rPr>
        <w:t> </w:t>
      </w:r>
      <w:r>
        <w:rPr>
          <w:w w:val="105"/>
        </w:rPr>
        <w:t>under</w:t>
      </w:r>
      <w:r>
        <w:rPr>
          <w:spacing w:val="-2"/>
          <w:w w:val="105"/>
        </w:rPr>
        <w:t> </w:t>
      </w:r>
      <w:r>
        <w:rPr>
          <w:w w:val="105"/>
        </w:rPr>
        <w:t>the</w:t>
      </w:r>
      <w:r>
        <w:rPr>
          <w:spacing w:val="-2"/>
          <w:w w:val="105"/>
        </w:rPr>
        <w:t> </w:t>
      </w:r>
      <w:r>
        <w:rPr>
          <w:w w:val="105"/>
        </w:rPr>
        <w:t>heading</w:t>
      </w:r>
      <w:r>
        <w:rPr>
          <w:spacing w:val="-2"/>
          <w:w w:val="105"/>
        </w:rPr>
        <w:t> </w:t>
      </w:r>
      <w:r>
        <w:rPr>
          <w:w w:val="105"/>
        </w:rPr>
        <w:t>“Patents and</w:t>
      </w:r>
      <w:r>
        <w:rPr>
          <w:spacing w:val="-2"/>
          <w:w w:val="105"/>
        </w:rPr>
        <w:t> </w:t>
      </w:r>
      <w:r>
        <w:rPr>
          <w:w w:val="105"/>
        </w:rPr>
        <w:t>Trademarks”</w:t>
      </w:r>
      <w:r>
        <w:rPr>
          <w:spacing w:val="-2"/>
          <w:w w:val="105"/>
        </w:rPr>
        <w:t> </w:t>
      </w:r>
      <w:r>
        <w:rPr>
          <w:w w:val="105"/>
        </w:rPr>
        <w:t>for information relating to the Company’s patents and trademarks.</w:t>
      </w:r>
    </w:p>
    <w:p>
      <w:pPr>
        <w:pStyle w:val="BodyText"/>
        <w:spacing w:before="19"/>
      </w:pPr>
    </w:p>
    <w:p>
      <w:pPr>
        <w:pStyle w:val="BodyText"/>
        <w:ind w:left="156"/>
      </w:pPr>
      <w:r>
        <w:rPr>
          <w:w w:val="105"/>
        </w:rPr>
        <w:t>The</w:t>
      </w:r>
      <w:r>
        <w:rPr>
          <w:spacing w:val="-11"/>
          <w:w w:val="105"/>
        </w:rPr>
        <w:t> </w:t>
      </w:r>
      <w:r>
        <w:rPr>
          <w:w w:val="105"/>
        </w:rPr>
        <w:t>Specialty</w:t>
      </w:r>
      <w:r>
        <w:rPr>
          <w:spacing w:val="-10"/>
          <w:w w:val="105"/>
        </w:rPr>
        <w:t> </w:t>
      </w:r>
      <w:r>
        <w:rPr>
          <w:w w:val="105"/>
        </w:rPr>
        <w:t>Materials</w:t>
      </w:r>
      <w:r>
        <w:rPr>
          <w:spacing w:val="-10"/>
          <w:w w:val="105"/>
        </w:rPr>
        <w:t> </w:t>
      </w:r>
      <w:r>
        <w:rPr>
          <w:w w:val="105"/>
        </w:rPr>
        <w:t>segment</w:t>
      </w:r>
      <w:r>
        <w:rPr>
          <w:spacing w:val="-10"/>
          <w:w w:val="105"/>
        </w:rPr>
        <w:t> </w:t>
      </w:r>
      <w:r>
        <w:rPr>
          <w:w w:val="105"/>
        </w:rPr>
        <w:t>represented</w:t>
      </w:r>
      <w:r>
        <w:rPr>
          <w:spacing w:val="-10"/>
          <w:w w:val="105"/>
        </w:rPr>
        <w:t> </w:t>
      </w:r>
      <w:r>
        <w:rPr>
          <w:w w:val="105"/>
        </w:rPr>
        <w:t>14%</w:t>
      </w:r>
      <w:r>
        <w:rPr>
          <w:spacing w:val="-10"/>
          <w:w w:val="105"/>
        </w:rPr>
        <w:t> </w:t>
      </w:r>
      <w:r>
        <w:rPr>
          <w:w w:val="105"/>
        </w:rPr>
        <w:t>of</w:t>
      </w:r>
      <w:r>
        <w:rPr>
          <w:spacing w:val="-10"/>
          <w:w w:val="105"/>
        </w:rPr>
        <w:t> </w:t>
      </w:r>
      <w:r>
        <w:rPr>
          <w:w w:val="105"/>
        </w:rPr>
        <w:t>Corning’s</w:t>
      </w:r>
      <w:r>
        <w:rPr>
          <w:spacing w:val="-10"/>
          <w:w w:val="105"/>
        </w:rPr>
        <w:t> </w:t>
      </w:r>
      <w:r>
        <w:rPr>
          <w:w w:val="105"/>
        </w:rPr>
        <w:t>consolidated</w:t>
      </w:r>
      <w:r>
        <w:rPr>
          <w:spacing w:val="-10"/>
          <w:w w:val="105"/>
        </w:rPr>
        <w:t> </w:t>
      </w:r>
      <w:r>
        <w:rPr>
          <w:w w:val="105"/>
        </w:rPr>
        <w:t>net</w:t>
      </w:r>
      <w:r>
        <w:rPr>
          <w:spacing w:val="-10"/>
          <w:w w:val="105"/>
        </w:rPr>
        <w:t> </w:t>
      </w:r>
      <w:r>
        <w:rPr>
          <w:w w:val="105"/>
        </w:rPr>
        <w:t>sales</w:t>
      </w:r>
      <w:r>
        <w:rPr>
          <w:spacing w:val="-10"/>
          <w:w w:val="105"/>
        </w:rPr>
        <w:t> </w:t>
      </w:r>
      <w:r>
        <w:rPr>
          <w:w w:val="105"/>
        </w:rPr>
        <w:t>in</w:t>
      </w:r>
      <w:r>
        <w:rPr>
          <w:spacing w:val="-10"/>
          <w:w w:val="105"/>
        </w:rPr>
        <w:t> </w:t>
      </w:r>
      <w:r>
        <w:rPr>
          <w:spacing w:val="-2"/>
          <w:w w:val="105"/>
        </w:rPr>
        <w:t>2021.</w:t>
      </w:r>
    </w:p>
    <w:p>
      <w:pPr>
        <w:pStyle w:val="BodyText"/>
        <w:spacing w:before="39"/>
      </w:pPr>
    </w:p>
    <w:p>
      <w:pPr>
        <w:spacing w:before="0"/>
        <w:ind w:left="156" w:right="0" w:firstLine="0"/>
        <w:jc w:val="left"/>
        <w:rPr>
          <w:i/>
          <w:sz w:val="16"/>
        </w:rPr>
      </w:pPr>
      <w:r>
        <w:rPr>
          <w:i/>
          <w:sz w:val="16"/>
        </w:rPr>
        <w:t>Environmental</w:t>
      </w:r>
      <w:r>
        <w:rPr>
          <w:i/>
          <w:spacing w:val="22"/>
          <w:sz w:val="16"/>
        </w:rPr>
        <w:t> </w:t>
      </w:r>
      <w:r>
        <w:rPr>
          <w:i/>
          <w:sz w:val="16"/>
        </w:rPr>
        <w:t>Technologies</w:t>
      </w:r>
      <w:r>
        <w:rPr>
          <w:i/>
          <w:spacing w:val="23"/>
          <w:sz w:val="16"/>
        </w:rPr>
        <w:t> </w:t>
      </w:r>
      <w:r>
        <w:rPr>
          <w:i/>
          <w:spacing w:val="-2"/>
          <w:sz w:val="16"/>
        </w:rPr>
        <w:t>Segment</w:t>
      </w:r>
    </w:p>
    <w:p>
      <w:pPr>
        <w:pStyle w:val="BodyText"/>
        <w:spacing w:before="40"/>
        <w:rPr>
          <w:i/>
        </w:rPr>
      </w:pPr>
    </w:p>
    <w:p>
      <w:pPr>
        <w:pStyle w:val="BodyText"/>
        <w:spacing w:line="266" w:lineRule="auto"/>
        <w:ind w:left="156" w:right="228"/>
      </w:pPr>
      <w:r>
        <w:rPr>
          <w:w w:val="105"/>
        </w:rPr>
        <w:t>Corning’s</w:t>
      </w:r>
      <w:r>
        <w:rPr>
          <w:spacing w:val="-10"/>
          <w:w w:val="105"/>
        </w:rPr>
        <w:t> </w:t>
      </w:r>
      <w:r>
        <w:rPr>
          <w:w w:val="105"/>
        </w:rPr>
        <w:t>Environmental</w:t>
      </w:r>
      <w:r>
        <w:rPr>
          <w:spacing w:val="-10"/>
          <w:w w:val="105"/>
        </w:rPr>
        <w:t> </w:t>
      </w:r>
      <w:r>
        <w:rPr>
          <w:w w:val="105"/>
        </w:rPr>
        <w:t>Technologies</w:t>
      </w:r>
      <w:r>
        <w:rPr>
          <w:spacing w:val="-10"/>
          <w:w w:val="105"/>
        </w:rPr>
        <w:t> </w:t>
      </w:r>
      <w:r>
        <w:rPr>
          <w:w w:val="105"/>
        </w:rPr>
        <w:t>segment</w:t>
      </w:r>
      <w:r>
        <w:rPr>
          <w:spacing w:val="-10"/>
          <w:w w:val="105"/>
        </w:rPr>
        <w:t> </w:t>
      </w:r>
      <w:r>
        <w:rPr>
          <w:w w:val="105"/>
        </w:rPr>
        <w:t>manufactures</w:t>
      </w:r>
      <w:r>
        <w:rPr>
          <w:spacing w:val="-10"/>
          <w:w w:val="105"/>
        </w:rPr>
        <w:t> </w:t>
      </w:r>
      <w:r>
        <w:rPr>
          <w:w w:val="105"/>
        </w:rPr>
        <w:t>ceramic</w:t>
      </w:r>
      <w:r>
        <w:rPr>
          <w:spacing w:val="-10"/>
          <w:w w:val="105"/>
        </w:rPr>
        <w:t> </w:t>
      </w:r>
      <w:r>
        <w:rPr>
          <w:w w:val="105"/>
        </w:rPr>
        <w:t>substrates</w:t>
      </w:r>
      <w:r>
        <w:rPr>
          <w:spacing w:val="-8"/>
          <w:w w:val="105"/>
        </w:rPr>
        <w:t> </w:t>
      </w:r>
      <w:r>
        <w:rPr>
          <w:w w:val="105"/>
        </w:rPr>
        <w:t>and</w:t>
      </w:r>
      <w:r>
        <w:rPr>
          <w:spacing w:val="-10"/>
          <w:w w:val="105"/>
        </w:rPr>
        <w:t> </w:t>
      </w:r>
      <w:r>
        <w:rPr>
          <w:w w:val="105"/>
        </w:rPr>
        <w:t>filter</w:t>
      </w:r>
      <w:r>
        <w:rPr>
          <w:spacing w:val="-10"/>
          <w:w w:val="105"/>
        </w:rPr>
        <w:t> </w:t>
      </w:r>
      <w:r>
        <w:rPr>
          <w:w w:val="105"/>
        </w:rPr>
        <w:t>products</w:t>
      </w:r>
      <w:r>
        <w:rPr>
          <w:spacing w:val="-10"/>
          <w:w w:val="105"/>
        </w:rPr>
        <w:t> </w:t>
      </w:r>
      <w:r>
        <w:rPr>
          <w:w w:val="105"/>
        </w:rPr>
        <w:t>for</w:t>
      </w:r>
      <w:r>
        <w:rPr>
          <w:spacing w:val="-10"/>
          <w:w w:val="105"/>
        </w:rPr>
        <w:t> </w:t>
      </w:r>
      <w:r>
        <w:rPr>
          <w:w w:val="105"/>
        </w:rPr>
        <w:t>emissions</w:t>
      </w:r>
      <w:r>
        <w:rPr>
          <w:spacing w:val="-10"/>
          <w:w w:val="105"/>
        </w:rPr>
        <w:t> </w:t>
      </w:r>
      <w:r>
        <w:rPr>
          <w:w w:val="105"/>
        </w:rPr>
        <w:t>control</w:t>
      </w:r>
      <w:r>
        <w:rPr>
          <w:spacing w:val="-10"/>
          <w:w w:val="105"/>
        </w:rPr>
        <w:t> </w:t>
      </w:r>
      <w:r>
        <w:rPr>
          <w:w w:val="105"/>
        </w:rPr>
        <w:t>in</w:t>
      </w:r>
      <w:r>
        <w:rPr>
          <w:spacing w:val="-10"/>
          <w:w w:val="105"/>
        </w:rPr>
        <w:t> </w:t>
      </w:r>
      <w:r>
        <w:rPr>
          <w:w w:val="105"/>
        </w:rPr>
        <w:t>mobile</w:t>
      </w:r>
      <w:r>
        <w:rPr>
          <w:spacing w:val="-10"/>
          <w:w w:val="105"/>
        </w:rPr>
        <w:t> </w:t>
      </w:r>
      <w:r>
        <w:rPr>
          <w:w w:val="105"/>
        </w:rPr>
        <w:t>applications</w:t>
      </w:r>
      <w:r>
        <w:rPr>
          <w:spacing w:val="-10"/>
          <w:w w:val="105"/>
        </w:rPr>
        <w:t> </w:t>
      </w:r>
      <w:r>
        <w:rPr>
          <w:w w:val="105"/>
        </w:rPr>
        <w:t>around</w:t>
      </w:r>
      <w:r>
        <w:rPr>
          <w:spacing w:val="-10"/>
          <w:w w:val="105"/>
        </w:rPr>
        <w:t> </w:t>
      </w:r>
      <w:r>
        <w:rPr>
          <w:w w:val="105"/>
        </w:rPr>
        <w:t>the</w:t>
      </w:r>
      <w:r>
        <w:rPr>
          <w:spacing w:val="-10"/>
          <w:w w:val="105"/>
        </w:rPr>
        <w:t> </w:t>
      </w:r>
      <w:r>
        <w:rPr>
          <w:w w:val="105"/>
        </w:rPr>
        <w:t>world.</w:t>
      </w:r>
      <w:r>
        <w:rPr>
          <w:spacing w:val="23"/>
          <w:w w:val="105"/>
        </w:rPr>
        <w:t> </w:t>
      </w:r>
      <w:r>
        <w:rPr>
          <w:w w:val="105"/>
        </w:rPr>
        <w:t>In</w:t>
      </w:r>
      <w:r>
        <w:rPr>
          <w:spacing w:val="-10"/>
          <w:w w:val="105"/>
        </w:rPr>
        <w:t> </w:t>
      </w:r>
      <w:r>
        <w:rPr>
          <w:w w:val="105"/>
        </w:rPr>
        <w:t>the early</w:t>
      </w:r>
      <w:r>
        <w:rPr>
          <w:spacing w:val="-2"/>
          <w:w w:val="105"/>
        </w:rPr>
        <w:t> </w:t>
      </w:r>
      <w:r>
        <w:rPr>
          <w:w w:val="105"/>
        </w:rPr>
        <w:t>1970s,</w:t>
      </w:r>
      <w:r>
        <w:rPr>
          <w:spacing w:val="-2"/>
          <w:w w:val="105"/>
        </w:rPr>
        <w:t> </w:t>
      </w:r>
      <w:r>
        <w:rPr>
          <w:w w:val="105"/>
        </w:rPr>
        <w:t>Corning</w:t>
      </w:r>
      <w:r>
        <w:rPr>
          <w:spacing w:val="-2"/>
          <w:w w:val="105"/>
        </w:rPr>
        <w:t> </w:t>
      </w:r>
      <w:r>
        <w:rPr>
          <w:w w:val="105"/>
        </w:rPr>
        <w:t>developed</w:t>
      </w:r>
      <w:r>
        <w:rPr>
          <w:spacing w:val="-2"/>
          <w:w w:val="105"/>
        </w:rPr>
        <w:t> </w:t>
      </w:r>
      <w:r>
        <w:rPr>
          <w:w w:val="105"/>
        </w:rPr>
        <w:t>an</w:t>
      </w:r>
      <w:r>
        <w:rPr>
          <w:spacing w:val="-2"/>
          <w:w w:val="105"/>
        </w:rPr>
        <w:t> </w:t>
      </w:r>
      <w:r>
        <w:rPr>
          <w:w w:val="105"/>
        </w:rPr>
        <w:t>economical,</w:t>
      </w:r>
      <w:r>
        <w:rPr>
          <w:spacing w:val="-2"/>
          <w:w w:val="105"/>
        </w:rPr>
        <w:t> </w:t>
      </w:r>
      <w:r>
        <w:rPr>
          <w:w w:val="105"/>
        </w:rPr>
        <w:t>high-performance</w:t>
      </w:r>
      <w:r>
        <w:rPr>
          <w:spacing w:val="-2"/>
          <w:w w:val="105"/>
        </w:rPr>
        <w:t> </w:t>
      </w:r>
      <w:r>
        <w:rPr>
          <w:w w:val="105"/>
        </w:rPr>
        <w:t>cellular</w:t>
      </w:r>
      <w:r>
        <w:rPr>
          <w:spacing w:val="-2"/>
          <w:w w:val="105"/>
        </w:rPr>
        <w:t> </w:t>
      </w:r>
      <w:r>
        <w:rPr>
          <w:w w:val="105"/>
        </w:rPr>
        <w:t>ceramic</w:t>
      </w:r>
      <w:r>
        <w:rPr>
          <w:spacing w:val="-2"/>
          <w:w w:val="105"/>
        </w:rPr>
        <w:t> </w:t>
      </w:r>
      <w:r>
        <w:rPr>
          <w:w w:val="105"/>
        </w:rPr>
        <w:t>substrate</w:t>
      </w:r>
      <w:r>
        <w:rPr>
          <w:spacing w:val="-2"/>
          <w:w w:val="105"/>
        </w:rPr>
        <w:t> </w:t>
      </w:r>
      <w:r>
        <w:rPr>
          <w:w w:val="105"/>
        </w:rPr>
        <w:t>that</w:t>
      </w:r>
      <w:r>
        <w:rPr>
          <w:spacing w:val="-2"/>
          <w:w w:val="105"/>
        </w:rPr>
        <w:t> </w:t>
      </w:r>
      <w:r>
        <w:rPr>
          <w:w w:val="105"/>
        </w:rPr>
        <w:t>is</w:t>
      </w:r>
      <w:r>
        <w:rPr>
          <w:spacing w:val="-2"/>
          <w:w w:val="105"/>
        </w:rPr>
        <w:t> </w:t>
      </w:r>
      <w:r>
        <w:rPr>
          <w:w w:val="105"/>
        </w:rPr>
        <w:t>now</w:t>
      </w:r>
      <w:r>
        <w:rPr>
          <w:spacing w:val="-2"/>
          <w:w w:val="105"/>
        </w:rPr>
        <w:t> </w:t>
      </w:r>
      <w:r>
        <w:rPr>
          <w:w w:val="105"/>
        </w:rPr>
        <w:t>the</w:t>
      </w:r>
      <w:r>
        <w:rPr>
          <w:spacing w:val="-2"/>
          <w:w w:val="105"/>
        </w:rPr>
        <w:t> </w:t>
      </w:r>
      <w:r>
        <w:rPr>
          <w:w w:val="105"/>
        </w:rPr>
        <w:t>standard</w:t>
      </w:r>
      <w:r>
        <w:rPr>
          <w:spacing w:val="-2"/>
          <w:w w:val="105"/>
        </w:rPr>
        <w:t> </w:t>
      </w:r>
      <w:r>
        <w:rPr>
          <w:w w:val="105"/>
        </w:rPr>
        <w:t>for</w:t>
      </w:r>
      <w:r>
        <w:rPr>
          <w:spacing w:val="-2"/>
          <w:w w:val="105"/>
        </w:rPr>
        <w:t> </w:t>
      </w:r>
      <w:r>
        <w:rPr>
          <w:w w:val="105"/>
        </w:rPr>
        <w:t>catalytic</w:t>
      </w:r>
      <w:r>
        <w:rPr>
          <w:spacing w:val="-2"/>
          <w:w w:val="105"/>
        </w:rPr>
        <w:t> </w:t>
      </w:r>
      <w:r>
        <w:rPr>
          <w:w w:val="105"/>
        </w:rPr>
        <w:t>converters</w:t>
      </w:r>
      <w:r>
        <w:rPr>
          <w:spacing w:val="-2"/>
          <w:w w:val="105"/>
        </w:rPr>
        <w:t> </w:t>
      </w:r>
      <w:r>
        <w:rPr>
          <w:w w:val="105"/>
        </w:rPr>
        <w:t>in</w:t>
      </w:r>
      <w:r>
        <w:rPr>
          <w:spacing w:val="-2"/>
          <w:w w:val="105"/>
        </w:rPr>
        <w:t> </w:t>
      </w:r>
      <w:r>
        <w:rPr>
          <w:w w:val="105"/>
        </w:rPr>
        <w:t>vehicles</w:t>
      </w:r>
      <w:r>
        <w:rPr>
          <w:spacing w:val="-2"/>
          <w:w w:val="105"/>
        </w:rPr>
        <w:t> </w:t>
      </w:r>
      <w:r>
        <w:rPr>
          <w:w w:val="105"/>
        </w:rPr>
        <w:t>worldwide.</w:t>
      </w:r>
      <w:r>
        <w:rPr>
          <w:spacing w:val="38"/>
          <w:w w:val="105"/>
        </w:rPr>
        <w:t> </w:t>
      </w:r>
      <w:r>
        <w:rPr>
          <w:w w:val="105"/>
        </w:rPr>
        <w:t>As global</w:t>
      </w:r>
      <w:r>
        <w:rPr>
          <w:spacing w:val="-2"/>
          <w:w w:val="105"/>
        </w:rPr>
        <w:t> </w:t>
      </w:r>
      <w:r>
        <w:rPr>
          <w:w w:val="105"/>
        </w:rPr>
        <w:t>emissions</w:t>
      </w:r>
      <w:r>
        <w:rPr>
          <w:spacing w:val="-2"/>
          <w:w w:val="105"/>
        </w:rPr>
        <w:t> </w:t>
      </w:r>
      <w:r>
        <w:rPr>
          <w:w w:val="105"/>
        </w:rPr>
        <w:t>control</w:t>
      </w:r>
      <w:r>
        <w:rPr>
          <w:spacing w:val="-2"/>
          <w:w w:val="105"/>
        </w:rPr>
        <w:t> </w:t>
      </w:r>
      <w:r>
        <w:rPr>
          <w:w w:val="105"/>
        </w:rPr>
        <w:t>regulations</w:t>
      </w:r>
      <w:r>
        <w:rPr>
          <w:spacing w:val="-2"/>
          <w:w w:val="105"/>
        </w:rPr>
        <w:t> </w:t>
      </w:r>
      <w:r>
        <w:rPr>
          <w:w w:val="105"/>
        </w:rPr>
        <w:t>tighten,</w:t>
      </w:r>
      <w:r>
        <w:rPr>
          <w:spacing w:val="-2"/>
          <w:w w:val="105"/>
        </w:rPr>
        <w:t> </w:t>
      </w:r>
      <w:r>
        <w:rPr>
          <w:w w:val="105"/>
        </w:rPr>
        <w:t>Corning</w:t>
      </w:r>
      <w:r>
        <w:rPr>
          <w:spacing w:val="-2"/>
          <w:w w:val="105"/>
        </w:rPr>
        <w:t> </w:t>
      </w:r>
      <w:r>
        <w:rPr>
          <w:w w:val="105"/>
        </w:rPr>
        <w:t>has</w:t>
      </w:r>
      <w:r>
        <w:rPr>
          <w:spacing w:val="-2"/>
          <w:w w:val="105"/>
        </w:rPr>
        <w:t> </w:t>
      </w:r>
      <w:r>
        <w:rPr>
          <w:w w:val="105"/>
        </w:rPr>
        <w:t>continued</w:t>
      </w:r>
      <w:r>
        <w:rPr>
          <w:spacing w:val="-2"/>
          <w:w w:val="105"/>
        </w:rPr>
        <w:t> </w:t>
      </w:r>
      <w:r>
        <w:rPr>
          <w:w w:val="105"/>
        </w:rPr>
        <w:t>to</w:t>
      </w:r>
      <w:r>
        <w:rPr>
          <w:spacing w:val="-2"/>
          <w:w w:val="105"/>
        </w:rPr>
        <w:t> </w:t>
      </w:r>
      <w:r>
        <w:rPr>
          <w:w w:val="105"/>
        </w:rPr>
        <w:t>develop</w:t>
      </w:r>
      <w:r>
        <w:rPr>
          <w:spacing w:val="-2"/>
          <w:w w:val="105"/>
        </w:rPr>
        <w:t> </w:t>
      </w:r>
      <w:r>
        <w:rPr>
          <w:w w:val="105"/>
        </w:rPr>
        <w:t>more</w:t>
      </w:r>
      <w:r>
        <w:rPr>
          <w:spacing w:val="-2"/>
          <w:w w:val="105"/>
        </w:rPr>
        <w:t> </w:t>
      </w:r>
      <w:r>
        <w:rPr>
          <w:w w:val="105"/>
        </w:rPr>
        <w:t>effective</w:t>
      </w:r>
      <w:r>
        <w:rPr>
          <w:spacing w:val="-2"/>
          <w:w w:val="105"/>
        </w:rPr>
        <w:t> </w:t>
      </w:r>
      <w:r>
        <w:rPr>
          <w:w w:val="105"/>
        </w:rPr>
        <w:t>and</w:t>
      </w:r>
      <w:r>
        <w:rPr>
          <w:spacing w:val="-2"/>
          <w:w w:val="105"/>
        </w:rPr>
        <w:t> </w:t>
      </w:r>
      <w:r>
        <w:rPr>
          <w:w w:val="105"/>
        </w:rPr>
        <w:t>durable</w:t>
      </w:r>
      <w:r>
        <w:rPr>
          <w:spacing w:val="-2"/>
          <w:w w:val="105"/>
        </w:rPr>
        <w:t> </w:t>
      </w:r>
      <w:r>
        <w:rPr>
          <w:w w:val="105"/>
        </w:rPr>
        <w:t>ceramic</w:t>
      </w:r>
      <w:r>
        <w:rPr>
          <w:spacing w:val="-2"/>
          <w:w w:val="105"/>
        </w:rPr>
        <w:t> </w:t>
      </w:r>
      <w:r>
        <w:rPr>
          <w:w w:val="105"/>
        </w:rPr>
        <w:t>substrate</w:t>
      </w:r>
      <w:r>
        <w:rPr>
          <w:spacing w:val="-2"/>
          <w:w w:val="105"/>
        </w:rPr>
        <w:t> </w:t>
      </w:r>
      <w:r>
        <w:rPr>
          <w:w w:val="105"/>
        </w:rPr>
        <w:t>and</w:t>
      </w:r>
      <w:r>
        <w:rPr>
          <w:spacing w:val="-2"/>
          <w:w w:val="105"/>
        </w:rPr>
        <w:t> </w:t>
      </w:r>
      <w:r>
        <w:rPr>
          <w:w w:val="105"/>
        </w:rPr>
        <w:t>filter</w:t>
      </w:r>
      <w:r>
        <w:rPr>
          <w:spacing w:val="-2"/>
          <w:w w:val="105"/>
        </w:rPr>
        <w:t> </w:t>
      </w:r>
      <w:r>
        <w:rPr>
          <w:w w:val="105"/>
        </w:rPr>
        <w:t>products</w:t>
      </w:r>
      <w:r>
        <w:rPr>
          <w:spacing w:val="-2"/>
          <w:w w:val="105"/>
        </w:rPr>
        <w:t> </w:t>
      </w:r>
      <w:r>
        <w:rPr>
          <w:w w:val="105"/>
        </w:rPr>
        <w:t>for</w:t>
      </w:r>
      <w:r>
        <w:rPr>
          <w:spacing w:val="-2"/>
          <w:w w:val="105"/>
        </w:rPr>
        <w:t> </w:t>
      </w:r>
      <w:r>
        <w:rPr>
          <w:w w:val="105"/>
        </w:rPr>
        <w:t>gasoline</w:t>
      </w:r>
      <w:r>
        <w:rPr>
          <w:spacing w:val="-2"/>
          <w:w w:val="105"/>
        </w:rPr>
        <w:t> </w:t>
      </w:r>
      <w:r>
        <w:rPr>
          <w:w w:val="105"/>
        </w:rPr>
        <w:t>and</w:t>
      </w:r>
      <w:r>
        <w:rPr>
          <w:spacing w:val="-2"/>
          <w:w w:val="105"/>
        </w:rPr>
        <w:t> </w:t>
      </w:r>
      <w:r>
        <w:rPr>
          <w:w w:val="105"/>
        </w:rPr>
        <w:t>diesel applications,</w:t>
      </w:r>
      <w:r>
        <w:rPr>
          <w:spacing w:val="-11"/>
          <w:w w:val="105"/>
        </w:rPr>
        <w:t> </w:t>
      </w:r>
      <w:r>
        <w:rPr>
          <w:w w:val="105"/>
        </w:rPr>
        <w:t>most</w:t>
      </w:r>
      <w:r>
        <w:rPr>
          <w:spacing w:val="-10"/>
          <w:w w:val="105"/>
        </w:rPr>
        <w:t> </w:t>
      </w:r>
      <w:r>
        <w:rPr>
          <w:w w:val="105"/>
        </w:rPr>
        <w:t>recently</w:t>
      </w:r>
      <w:r>
        <w:rPr>
          <w:spacing w:val="-11"/>
          <w:w w:val="105"/>
        </w:rPr>
        <w:t> </w:t>
      </w:r>
      <w:r>
        <w:rPr>
          <w:w w:val="105"/>
        </w:rPr>
        <w:t>launching</w:t>
      </w:r>
      <w:r>
        <w:rPr>
          <w:spacing w:val="-10"/>
          <w:w w:val="105"/>
        </w:rPr>
        <w:t> </w:t>
      </w:r>
      <w:r>
        <w:rPr>
          <w:w w:val="105"/>
        </w:rPr>
        <w:t>low-mass</w:t>
      </w:r>
      <w:r>
        <w:rPr>
          <w:spacing w:val="-11"/>
          <w:w w:val="105"/>
        </w:rPr>
        <w:t> </w:t>
      </w:r>
      <w:r>
        <w:rPr>
          <w:w w:val="105"/>
        </w:rPr>
        <w:t>Corning®</w:t>
      </w:r>
      <w:r>
        <w:rPr>
          <w:spacing w:val="-10"/>
          <w:w w:val="105"/>
        </w:rPr>
        <w:t> </w:t>
      </w:r>
      <w:r>
        <w:rPr>
          <w:w w:val="105"/>
        </w:rPr>
        <w:t>FLORA®</w:t>
      </w:r>
      <w:r>
        <w:rPr>
          <w:spacing w:val="-11"/>
          <w:w w:val="105"/>
        </w:rPr>
        <w:t> </w:t>
      </w:r>
      <w:r>
        <w:rPr>
          <w:w w:val="105"/>
        </w:rPr>
        <w:t>substrates</w:t>
      </w:r>
      <w:r>
        <w:rPr>
          <w:spacing w:val="-10"/>
          <w:w w:val="105"/>
        </w:rPr>
        <w:t> </w:t>
      </w:r>
      <w:r>
        <w:rPr>
          <w:w w:val="105"/>
        </w:rPr>
        <w:t>and</w:t>
      </w:r>
      <w:r>
        <w:rPr>
          <w:spacing w:val="-11"/>
          <w:w w:val="105"/>
        </w:rPr>
        <w:t> </w:t>
      </w:r>
      <w:r>
        <w:rPr>
          <w:w w:val="105"/>
        </w:rPr>
        <w:t>Corning®</w:t>
      </w:r>
      <w:r>
        <w:rPr>
          <w:spacing w:val="-10"/>
          <w:w w:val="105"/>
        </w:rPr>
        <w:t> </w:t>
      </w:r>
      <w:r>
        <w:rPr>
          <w:w w:val="105"/>
        </w:rPr>
        <w:t>DuraTrap®</w:t>
      </w:r>
      <w:r>
        <w:rPr>
          <w:spacing w:val="-11"/>
          <w:w w:val="105"/>
        </w:rPr>
        <w:t> </w:t>
      </w:r>
      <w:r>
        <w:rPr>
          <w:w w:val="105"/>
        </w:rPr>
        <w:t>GC</w:t>
      </w:r>
      <w:r>
        <w:rPr>
          <w:spacing w:val="-10"/>
          <w:w w:val="105"/>
        </w:rPr>
        <w:t> </w:t>
      </w:r>
      <w:r>
        <w:rPr>
          <w:w w:val="105"/>
        </w:rPr>
        <w:t>gasoline</w:t>
      </w:r>
      <w:r>
        <w:rPr>
          <w:spacing w:val="-11"/>
          <w:w w:val="105"/>
        </w:rPr>
        <w:t> </w:t>
      </w:r>
      <w:r>
        <w:rPr>
          <w:w w:val="105"/>
        </w:rPr>
        <w:t>particulate</w:t>
      </w:r>
      <w:r>
        <w:rPr>
          <w:spacing w:val="-10"/>
          <w:w w:val="105"/>
        </w:rPr>
        <w:t> </w:t>
      </w:r>
      <w:r>
        <w:rPr>
          <w:w w:val="105"/>
        </w:rPr>
        <w:t>filters.</w:t>
      </w:r>
      <w:r>
        <w:rPr>
          <w:spacing w:val="-11"/>
          <w:w w:val="105"/>
        </w:rPr>
        <w:t> </w:t>
      </w:r>
      <w:r>
        <w:rPr>
          <w:w w:val="105"/>
        </w:rPr>
        <w:t>Corning</w:t>
      </w:r>
      <w:r>
        <w:rPr>
          <w:spacing w:val="-10"/>
          <w:w w:val="105"/>
        </w:rPr>
        <w:t> </w:t>
      </w:r>
      <w:r>
        <w:rPr>
          <w:w w:val="105"/>
        </w:rPr>
        <w:t>manufactures</w:t>
      </w:r>
      <w:r>
        <w:rPr>
          <w:spacing w:val="-11"/>
          <w:w w:val="105"/>
        </w:rPr>
        <w:t> </w:t>
      </w:r>
      <w:r>
        <w:rPr>
          <w:w w:val="105"/>
        </w:rPr>
        <w:t>substrate and</w:t>
      </w:r>
      <w:r>
        <w:rPr>
          <w:spacing w:val="-2"/>
          <w:w w:val="105"/>
        </w:rPr>
        <w:t> </w:t>
      </w:r>
      <w:r>
        <w:rPr>
          <w:w w:val="105"/>
        </w:rPr>
        <w:t>filter</w:t>
      </w:r>
      <w:r>
        <w:rPr>
          <w:spacing w:val="-2"/>
          <w:w w:val="105"/>
        </w:rPr>
        <w:t> </w:t>
      </w:r>
      <w:r>
        <w:rPr>
          <w:w w:val="105"/>
        </w:rPr>
        <w:t>products</w:t>
      </w:r>
      <w:r>
        <w:rPr>
          <w:spacing w:val="-2"/>
          <w:w w:val="105"/>
        </w:rPr>
        <w:t> </w:t>
      </w:r>
      <w:r>
        <w:rPr>
          <w:w w:val="105"/>
        </w:rPr>
        <w:t>in</w:t>
      </w:r>
      <w:r>
        <w:rPr>
          <w:spacing w:val="-2"/>
          <w:w w:val="105"/>
        </w:rPr>
        <w:t> </w:t>
      </w:r>
      <w:r>
        <w:rPr>
          <w:w w:val="105"/>
        </w:rPr>
        <w:t>New</w:t>
      </w:r>
      <w:r>
        <w:rPr>
          <w:spacing w:val="-2"/>
          <w:w w:val="105"/>
        </w:rPr>
        <w:t> </w:t>
      </w:r>
      <w:r>
        <w:rPr>
          <w:w w:val="105"/>
        </w:rPr>
        <w:t>York,</w:t>
      </w:r>
      <w:r>
        <w:rPr>
          <w:spacing w:val="-2"/>
          <w:w w:val="105"/>
        </w:rPr>
        <w:t> </w:t>
      </w:r>
      <w:r>
        <w:rPr>
          <w:w w:val="105"/>
        </w:rPr>
        <w:t>Virginia,</w:t>
      </w:r>
      <w:r>
        <w:rPr>
          <w:spacing w:val="-2"/>
          <w:w w:val="105"/>
        </w:rPr>
        <w:t> </w:t>
      </w:r>
      <w:r>
        <w:rPr>
          <w:w w:val="105"/>
        </w:rPr>
        <w:t>China,</w:t>
      </w:r>
      <w:r>
        <w:rPr>
          <w:spacing w:val="-2"/>
          <w:w w:val="105"/>
        </w:rPr>
        <w:t> </w:t>
      </w:r>
      <w:r>
        <w:rPr>
          <w:w w:val="105"/>
        </w:rPr>
        <w:t>Germany</w:t>
      </w:r>
      <w:r>
        <w:rPr>
          <w:spacing w:val="-2"/>
          <w:w w:val="105"/>
        </w:rPr>
        <w:t> </w:t>
      </w:r>
      <w:r>
        <w:rPr>
          <w:w w:val="105"/>
        </w:rPr>
        <w:t>and</w:t>
      </w:r>
      <w:r>
        <w:rPr>
          <w:spacing w:val="-2"/>
          <w:w w:val="105"/>
        </w:rPr>
        <w:t> </w:t>
      </w:r>
      <w:r>
        <w:rPr>
          <w:w w:val="105"/>
        </w:rPr>
        <w:t>South</w:t>
      </w:r>
      <w:r>
        <w:rPr>
          <w:spacing w:val="-2"/>
          <w:w w:val="105"/>
        </w:rPr>
        <w:t> </w:t>
      </w:r>
      <w:r>
        <w:rPr>
          <w:w w:val="105"/>
        </w:rPr>
        <w:t>Africa.</w:t>
      </w:r>
      <w:r>
        <w:rPr>
          <w:spacing w:val="-2"/>
          <w:w w:val="105"/>
        </w:rPr>
        <w:t> </w:t>
      </w:r>
      <w:r>
        <w:rPr>
          <w:w w:val="105"/>
        </w:rPr>
        <w:t>Corning</w:t>
      </w:r>
      <w:r>
        <w:rPr>
          <w:spacing w:val="-2"/>
          <w:w w:val="105"/>
        </w:rPr>
        <w:t> </w:t>
      </w:r>
      <w:r>
        <w:rPr>
          <w:w w:val="105"/>
        </w:rPr>
        <w:t>sells</w:t>
      </w:r>
      <w:r>
        <w:rPr>
          <w:spacing w:val="-2"/>
          <w:w w:val="105"/>
        </w:rPr>
        <w:t> </w:t>
      </w:r>
      <w:r>
        <w:rPr>
          <w:w w:val="105"/>
        </w:rPr>
        <w:t>its</w:t>
      </w:r>
      <w:r>
        <w:rPr>
          <w:spacing w:val="-2"/>
          <w:w w:val="105"/>
        </w:rPr>
        <w:t> </w:t>
      </w:r>
      <w:r>
        <w:rPr>
          <w:w w:val="105"/>
        </w:rPr>
        <w:t>ceramic</w:t>
      </w:r>
      <w:r>
        <w:rPr>
          <w:spacing w:val="-2"/>
          <w:w w:val="105"/>
        </w:rPr>
        <w:t> </w:t>
      </w:r>
      <w:r>
        <w:rPr>
          <w:w w:val="105"/>
        </w:rPr>
        <w:t>substrate</w:t>
      </w:r>
      <w:r>
        <w:rPr>
          <w:spacing w:val="-2"/>
          <w:w w:val="105"/>
        </w:rPr>
        <w:t> </w:t>
      </w:r>
      <w:r>
        <w:rPr>
          <w:w w:val="105"/>
        </w:rPr>
        <w:t>and</w:t>
      </w:r>
      <w:r>
        <w:rPr>
          <w:spacing w:val="-2"/>
          <w:w w:val="105"/>
        </w:rPr>
        <w:t> </w:t>
      </w:r>
      <w:r>
        <w:rPr>
          <w:w w:val="105"/>
        </w:rPr>
        <w:t>filter</w:t>
      </w:r>
      <w:r>
        <w:rPr>
          <w:spacing w:val="-2"/>
          <w:w w:val="105"/>
        </w:rPr>
        <w:t> </w:t>
      </w:r>
      <w:r>
        <w:rPr>
          <w:w w:val="105"/>
        </w:rPr>
        <w:t>products</w:t>
      </w:r>
      <w:r>
        <w:rPr>
          <w:spacing w:val="-2"/>
          <w:w w:val="105"/>
        </w:rPr>
        <w:t> </w:t>
      </w:r>
      <w:r>
        <w:rPr>
          <w:w w:val="105"/>
        </w:rPr>
        <w:t>worldwide</w:t>
      </w:r>
      <w:r>
        <w:rPr>
          <w:spacing w:val="-2"/>
          <w:w w:val="105"/>
        </w:rPr>
        <w:t> </w:t>
      </w:r>
      <w:r>
        <w:rPr>
          <w:w w:val="105"/>
        </w:rPr>
        <w:t>to</w:t>
      </w:r>
      <w:r>
        <w:rPr>
          <w:spacing w:val="-2"/>
          <w:w w:val="105"/>
        </w:rPr>
        <w:t> </w:t>
      </w:r>
      <w:r>
        <w:rPr>
          <w:w w:val="105"/>
        </w:rPr>
        <w:t>catalyzers</w:t>
      </w:r>
      <w:r>
        <w:rPr>
          <w:spacing w:val="-2"/>
          <w:w w:val="105"/>
        </w:rPr>
        <w:t> </w:t>
      </w:r>
      <w:r>
        <w:rPr>
          <w:w w:val="105"/>
        </w:rPr>
        <w:t>and manufacturers</w:t>
      </w:r>
      <w:r>
        <w:rPr>
          <w:spacing w:val="-7"/>
          <w:w w:val="105"/>
        </w:rPr>
        <w:t> </w:t>
      </w:r>
      <w:r>
        <w:rPr>
          <w:w w:val="105"/>
        </w:rPr>
        <w:t>of</w:t>
      </w:r>
      <w:r>
        <w:rPr>
          <w:spacing w:val="-7"/>
          <w:w w:val="105"/>
        </w:rPr>
        <w:t> </w:t>
      </w:r>
      <w:r>
        <w:rPr>
          <w:w w:val="105"/>
        </w:rPr>
        <w:t>emission</w:t>
      </w:r>
      <w:r>
        <w:rPr>
          <w:spacing w:val="-7"/>
          <w:w w:val="105"/>
        </w:rPr>
        <w:t> </w:t>
      </w:r>
      <w:r>
        <w:rPr>
          <w:w w:val="105"/>
        </w:rPr>
        <w:t>control</w:t>
      </w:r>
      <w:r>
        <w:rPr>
          <w:spacing w:val="-7"/>
          <w:w w:val="105"/>
        </w:rPr>
        <w:t> </w:t>
      </w:r>
      <w:r>
        <w:rPr>
          <w:w w:val="105"/>
        </w:rPr>
        <w:t>systems</w:t>
      </w:r>
      <w:r>
        <w:rPr>
          <w:spacing w:val="-7"/>
          <w:w w:val="105"/>
        </w:rPr>
        <w:t> </w:t>
      </w:r>
      <w:r>
        <w:rPr>
          <w:w w:val="105"/>
        </w:rPr>
        <w:t>who</w:t>
      </w:r>
      <w:r>
        <w:rPr>
          <w:spacing w:val="-7"/>
          <w:w w:val="105"/>
        </w:rPr>
        <w:t> </w:t>
      </w:r>
      <w:r>
        <w:rPr>
          <w:w w:val="105"/>
        </w:rPr>
        <w:t>then</w:t>
      </w:r>
      <w:r>
        <w:rPr>
          <w:spacing w:val="-7"/>
          <w:w w:val="105"/>
        </w:rPr>
        <w:t> </w:t>
      </w:r>
      <w:r>
        <w:rPr>
          <w:w w:val="105"/>
        </w:rPr>
        <w:t>sell</w:t>
      </w:r>
      <w:r>
        <w:rPr>
          <w:spacing w:val="-5"/>
          <w:w w:val="105"/>
        </w:rPr>
        <w:t> </w:t>
      </w:r>
      <w:r>
        <w:rPr>
          <w:w w:val="105"/>
        </w:rPr>
        <w:t>to</w:t>
      </w:r>
      <w:r>
        <w:rPr>
          <w:spacing w:val="-7"/>
          <w:w w:val="105"/>
        </w:rPr>
        <w:t> </w:t>
      </w:r>
      <w:r>
        <w:rPr>
          <w:w w:val="105"/>
        </w:rPr>
        <w:t>automotive</w:t>
      </w:r>
      <w:r>
        <w:rPr>
          <w:spacing w:val="-7"/>
          <w:w w:val="105"/>
        </w:rPr>
        <w:t> </w:t>
      </w:r>
      <w:r>
        <w:rPr>
          <w:w w:val="105"/>
        </w:rPr>
        <w:t>and</w:t>
      </w:r>
      <w:r>
        <w:rPr>
          <w:spacing w:val="-7"/>
          <w:w w:val="105"/>
        </w:rPr>
        <w:t> </w:t>
      </w:r>
      <w:r>
        <w:rPr>
          <w:w w:val="105"/>
        </w:rPr>
        <w:t>diesel</w:t>
      </w:r>
      <w:r>
        <w:rPr>
          <w:spacing w:val="-7"/>
          <w:w w:val="105"/>
        </w:rPr>
        <w:t> </w:t>
      </w:r>
      <w:r>
        <w:rPr>
          <w:w w:val="105"/>
        </w:rPr>
        <w:t>vehicle</w:t>
      </w:r>
      <w:r>
        <w:rPr>
          <w:spacing w:val="-7"/>
          <w:w w:val="105"/>
        </w:rPr>
        <w:t> </w:t>
      </w:r>
      <w:r>
        <w:rPr>
          <w:w w:val="105"/>
        </w:rPr>
        <w:t>or</w:t>
      </w:r>
      <w:r>
        <w:rPr>
          <w:spacing w:val="-7"/>
          <w:w w:val="105"/>
        </w:rPr>
        <w:t> </w:t>
      </w:r>
      <w:r>
        <w:rPr>
          <w:w w:val="105"/>
        </w:rPr>
        <w:t>engine</w:t>
      </w:r>
      <w:r>
        <w:rPr>
          <w:spacing w:val="-7"/>
          <w:w w:val="105"/>
        </w:rPr>
        <w:t> </w:t>
      </w:r>
      <w:r>
        <w:rPr>
          <w:w w:val="105"/>
        </w:rPr>
        <w:t>manufacturers.</w:t>
      </w:r>
      <w:r>
        <w:rPr>
          <w:spacing w:val="28"/>
          <w:w w:val="105"/>
        </w:rPr>
        <w:t> </w:t>
      </w:r>
      <w:r>
        <w:rPr>
          <w:w w:val="105"/>
        </w:rPr>
        <w:t>Although</w:t>
      </w:r>
      <w:r>
        <w:rPr>
          <w:spacing w:val="-7"/>
          <w:w w:val="105"/>
        </w:rPr>
        <w:t> </w:t>
      </w:r>
      <w:r>
        <w:rPr>
          <w:w w:val="105"/>
        </w:rPr>
        <w:t>most</w:t>
      </w:r>
      <w:r>
        <w:rPr>
          <w:spacing w:val="-7"/>
          <w:w w:val="105"/>
        </w:rPr>
        <w:t> </w:t>
      </w:r>
      <w:r>
        <w:rPr>
          <w:w w:val="105"/>
        </w:rPr>
        <w:t>sales</w:t>
      </w:r>
      <w:r>
        <w:rPr>
          <w:spacing w:val="-7"/>
          <w:w w:val="105"/>
        </w:rPr>
        <w:t> </w:t>
      </w:r>
      <w:r>
        <w:rPr>
          <w:w w:val="105"/>
        </w:rPr>
        <w:t>are</w:t>
      </w:r>
      <w:r>
        <w:rPr>
          <w:spacing w:val="-5"/>
          <w:w w:val="105"/>
        </w:rPr>
        <w:t> </w:t>
      </w:r>
      <w:r>
        <w:rPr>
          <w:w w:val="105"/>
        </w:rPr>
        <w:t>made</w:t>
      </w:r>
      <w:r>
        <w:rPr>
          <w:spacing w:val="-7"/>
          <w:w w:val="105"/>
        </w:rPr>
        <w:t> </w:t>
      </w:r>
      <w:r>
        <w:rPr>
          <w:w w:val="105"/>
        </w:rPr>
        <w:t>to</w:t>
      </w:r>
      <w:r>
        <w:rPr>
          <w:spacing w:val="-7"/>
          <w:w w:val="105"/>
        </w:rPr>
        <w:t> </w:t>
      </w:r>
      <w:r>
        <w:rPr>
          <w:w w:val="105"/>
        </w:rPr>
        <w:t>the</w:t>
      </w:r>
      <w:r>
        <w:rPr>
          <w:spacing w:val="-7"/>
          <w:w w:val="105"/>
        </w:rPr>
        <w:t> </w:t>
      </w:r>
      <w:r>
        <w:rPr>
          <w:w w:val="105"/>
        </w:rPr>
        <w:t>emission</w:t>
      </w:r>
      <w:r>
        <w:rPr>
          <w:spacing w:val="-7"/>
          <w:w w:val="105"/>
        </w:rPr>
        <w:t> </w:t>
      </w:r>
      <w:r>
        <w:rPr>
          <w:w w:val="105"/>
        </w:rPr>
        <w:t>control systems</w:t>
      </w:r>
      <w:r>
        <w:rPr>
          <w:spacing w:val="-3"/>
          <w:w w:val="105"/>
        </w:rPr>
        <w:t> </w:t>
      </w:r>
      <w:r>
        <w:rPr>
          <w:w w:val="105"/>
        </w:rPr>
        <w:t>manufacturers,</w:t>
      </w:r>
      <w:r>
        <w:rPr>
          <w:spacing w:val="-1"/>
          <w:w w:val="105"/>
        </w:rPr>
        <w:t> </w:t>
      </w:r>
      <w:r>
        <w:rPr>
          <w:w w:val="105"/>
        </w:rPr>
        <w:t>the</w:t>
      </w:r>
      <w:r>
        <w:rPr>
          <w:spacing w:val="-3"/>
          <w:w w:val="105"/>
        </w:rPr>
        <w:t> </w:t>
      </w:r>
      <w:r>
        <w:rPr>
          <w:w w:val="105"/>
        </w:rPr>
        <w:t>use</w:t>
      </w:r>
      <w:r>
        <w:rPr>
          <w:spacing w:val="-3"/>
          <w:w w:val="105"/>
        </w:rPr>
        <w:t> </w:t>
      </w:r>
      <w:r>
        <w:rPr>
          <w:w w:val="105"/>
        </w:rPr>
        <w:t>of</w:t>
      </w:r>
      <w:r>
        <w:rPr>
          <w:spacing w:val="-3"/>
          <w:w w:val="105"/>
        </w:rPr>
        <w:t> </w:t>
      </w:r>
      <w:r>
        <w:rPr>
          <w:w w:val="105"/>
        </w:rPr>
        <w:t>Corning</w:t>
      </w:r>
      <w:r>
        <w:rPr>
          <w:spacing w:val="-3"/>
          <w:w w:val="105"/>
        </w:rPr>
        <w:t> </w:t>
      </w:r>
      <w:r>
        <w:rPr>
          <w:w w:val="105"/>
        </w:rPr>
        <w:t>substrates</w:t>
      </w:r>
      <w:r>
        <w:rPr>
          <w:spacing w:val="-3"/>
          <w:w w:val="105"/>
        </w:rPr>
        <w:t> </w:t>
      </w:r>
      <w:r>
        <w:rPr>
          <w:w w:val="105"/>
        </w:rPr>
        <w:t>and</w:t>
      </w:r>
      <w:r>
        <w:rPr>
          <w:spacing w:val="-3"/>
          <w:w w:val="105"/>
        </w:rPr>
        <w:t> </w:t>
      </w:r>
      <w:r>
        <w:rPr>
          <w:w w:val="105"/>
        </w:rPr>
        <w:t>filters</w:t>
      </w:r>
      <w:r>
        <w:rPr>
          <w:spacing w:val="-3"/>
          <w:w w:val="105"/>
        </w:rPr>
        <w:t> </w:t>
      </w:r>
      <w:r>
        <w:rPr>
          <w:w w:val="105"/>
        </w:rPr>
        <w:t>is</w:t>
      </w:r>
      <w:r>
        <w:rPr>
          <w:spacing w:val="-3"/>
          <w:w w:val="105"/>
        </w:rPr>
        <w:t> </w:t>
      </w:r>
      <w:r>
        <w:rPr>
          <w:w w:val="105"/>
        </w:rPr>
        <w:t>generally</w:t>
      </w:r>
      <w:r>
        <w:rPr>
          <w:spacing w:val="-3"/>
          <w:w w:val="105"/>
        </w:rPr>
        <w:t> </w:t>
      </w:r>
      <w:r>
        <w:rPr>
          <w:w w:val="105"/>
        </w:rPr>
        <w:t>required</w:t>
      </w:r>
      <w:r>
        <w:rPr>
          <w:spacing w:val="-3"/>
          <w:w w:val="105"/>
        </w:rPr>
        <w:t> </w:t>
      </w:r>
      <w:r>
        <w:rPr>
          <w:w w:val="105"/>
        </w:rPr>
        <w:t>by</w:t>
      </w:r>
      <w:r>
        <w:rPr>
          <w:spacing w:val="-3"/>
          <w:w w:val="105"/>
        </w:rPr>
        <w:t> </w:t>
      </w:r>
      <w:r>
        <w:rPr>
          <w:w w:val="105"/>
        </w:rPr>
        <w:t>the</w:t>
      </w:r>
      <w:r>
        <w:rPr>
          <w:spacing w:val="-3"/>
          <w:w w:val="105"/>
        </w:rPr>
        <w:t> </w:t>
      </w:r>
      <w:r>
        <w:rPr>
          <w:w w:val="105"/>
        </w:rPr>
        <w:t>specifications</w:t>
      </w:r>
      <w:r>
        <w:rPr>
          <w:spacing w:val="-3"/>
          <w:w w:val="105"/>
        </w:rPr>
        <w:t> </w:t>
      </w:r>
      <w:r>
        <w:rPr>
          <w:w w:val="105"/>
        </w:rPr>
        <w:t>of</w:t>
      </w:r>
      <w:r>
        <w:rPr>
          <w:spacing w:val="-3"/>
          <w:w w:val="105"/>
        </w:rPr>
        <w:t> </w:t>
      </w:r>
      <w:r>
        <w:rPr>
          <w:w w:val="105"/>
        </w:rPr>
        <w:t>the</w:t>
      </w:r>
      <w:r>
        <w:rPr>
          <w:spacing w:val="-3"/>
          <w:w w:val="105"/>
        </w:rPr>
        <w:t> </w:t>
      </w:r>
      <w:r>
        <w:rPr>
          <w:w w:val="105"/>
        </w:rPr>
        <w:t>automotive</w:t>
      </w:r>
      <w:r>
        <w:rPr>
          <w:spacing w:val="-3"/>
          <w:w w:val="105"/>
        </w:rPr>
        <w:t> </w:t>
      </w:r>
      <w:r>
        <w:rPr>
          <w:w w:val="105"/>
        </w:rPr>
        <w:t>and</w:t>
      </w:r>
      <w:r>
        <w:rPr>
          <w:spacing w:val="-3"/>
          <w:w w:val="105"/>
        </w:rPr>
        <w:t> </w:t>
      </w:r>
      <w:r>
        <w:rPr>
          <w:w w:val="105"/>
        </w:rPr>
        <w:t>diesel</w:t>
      </w:r>
      <w:r>
        <w:rPr>
          <w:spacing w:val="-3"/>
          <w:w w:val="105"/>
        </w:rPr>
        <w:t> </w:t>
      </w:r>
      <w:r>
        <w:rPr>
          <w:w w:val="105"/>
        </w:rPr>
        <w:t>vehicle</w:t>
      </w:r>
      <w:r>
        <w:rPr>
          <w:spacing w:val="-3"/>
          <w:w w:val="105"/>
        </w:rPr>
        <w:t> </w:t>
      </w:r>
      <w:r>
        <w:rPr>
          <w:w w:val="105"/>
        </w:rPr>
        <w:t>or</w:t>
      </w:r>
      <w:r>
        <w:rPr>
          <w:spacing w:val="-3"/>
          <w:w w:val="105"/>
        </w:rPr>
        <w:t> </w:t>
      </w:r>
      <w:r>
        <w:rPr>
          <w:w w:val="105"/>
        </w:rPr>
        <w:t>engine</w:t>
      </w:r>
      <w:r>
        <w:rPr>
          <w:spacing w:val="-3"/>
          <w:w w:val="105"/>
        </w:rPr>
        <w:t> </w:t>
      </w:r>
      <w:r>
        <w:rPr>
          <w:w w:val="105"/>
        </w:rPr>
        <w:t>manufacturers.</w:t>
      </w:r>
    </w:p>
    <w:p>
      <w:pPr>
        <w:pStyle w:val="BodyText"/>
        <w:spacing w:before="17"/>
      </w:pPr>
    </w:p>
    <w:p>
      <w:pPr>
        <w:pStyle w:val="BodyText"/>
        <w:spacing w:line="266" w:lineRule="auto"/>
        <w:ind w:left="156" w:right="328"/>
      </w:pPr>
      <w:r>
        <w:rPr>
          <w:w w:val="105"/>
        </w:rPr>
        <w:t>Patent</w:t>
      </w:r>
      <w:r>
        <w:rPr>
          <w:spacing w:val="-5"/>
          <w:w w:val="105"/>
        </w:rPr>
        <w:t> </w:t>
      </w:r>
      <w:r>
        <w:rPr>
          <w:w w:val="105"/>
        </w:rPr>
        <w:t>protection</w:t>
      </w:r>
      <w:r>
        <w:rPr>
          <w:spacing w:val="-5"/>
          <w:w w:val="105"/>
        </w:rPr>
        <w:t> </w:t>
      </w:r>
      <w:r>
        <w:rPr>
          <w:w w:val="105"/>
        </w:rPr>
        <w:t>is</w:t>
      </w:r>
      <w:r>
        <w:rPr>
          <w:spacing w:val="-5"/>
          <w:w w:val="105"/>
        </w:rPr>
        <w:t> </w:t>
      </w:r>
      <w:r>
        <w:rPr>
          <w:w w:val="105"/>
        </w:rPr>
        <w:t>important</w:t>
      </w:r>
      <w:r>
        <w:rPr>
          <w:spacing w:val="-5"/>
          <w:w w:val="105"/>
        </w:rPr>
        <w:t> </w:t>
      </w:r>
      <w:r>
        <w:rPr>
          <w:w w:val="105"/>
        </w:rPr>
        <w:t>to</w:t>
      </w:r>
      <w:r>
        <w:rPr>
          <w:spacing w:val="-5"/>
          <w:w w:val="105"/>
        </w:rPr>
        <w:t> </w:t>
      </w:r>
      <w:r>
        <w:rPr>
          <w:w w:val="105"/>
        </w:rPr>
        <w:t>the</w:t>
      </w:r>
      <w:r>
        <w:rPr>
          <w:spacing w:val="-5"/>
          <w:w w:val="105"/>
        </w:rPr>
        <w:t> </w:t>
      </w:r>
      <w:r>
        <w:rPr>
          <w:w w:val="105"/>
        </w:rPr>
        <w:t>segment’s</w:t>
      </w:r>
      <w:r>
        <w:rPr>
          <w:spacing w:val="-5"/>
          <w:w w:val="105"/>
        </w:rPr>
        <w:t> </w:t>
      </w:r>
      <w:r>
        <w:rPr>
          <w:w w:val="105"/>
        </w:rPr>
        <w:t>operations.</w:t>
      </w:r>
      <w:r>
        <w:rPr>
          <w:spacing w:val="-5"/>
          <w:w w:val="105"/>
        </w:rPr>
        <w:t> </w:t>
      </w:r>
      <w:r>
        <w:rPr>
          <w:w w:val="105"/>
        </w:rPr>
        <w:t>The</w:t>
      </w:r>
      <w:r>
        <w:rPr>
          <w:spacing w:val="-5"/>
          <w:w w:val="105"/>
        </w:rPr>
        <w:t> </w:t>
      </w:r>
      <w:r>
        <w:rPr>
          <w:w w:val="105"/>
        </w:rPr>
        <w:t>segment</w:t>
      </w:r>
      <w:r>
        <w:rPr>
          <w:spacing w:val="-5"/>
          <w:w w:val="105"/>
        </w:rPr>
        <w:t> </w:t>
      </w:r>
      <w:r>
        <w:rPr>
          <w:w w:val="105"/>
        </w:rPr>
        <w:t>has</w:t>
      </w:r>
      <w:r>
        <w:rPr>
          <w:spacing w:val="-5"/>
          <w:w w:val="105"/>
        </w:rPr>
        <w:t> </w:t>
      </w:r>
      <w:r>
        <w:rPr>
          <w:w w:val="105"/>
        </w:rPr>
        <w:t>an</w:t>
      </w:r>
      <w:r>
        <w:rPr>
          <w:spacing w:val="-5"/>
          <w:w w:val="105"/>
        </w:rPr>
        <w:t> </w:t>
      </w:r>
      <w:r>
        <w:rPr>
          <w:w w:val="105"/>
        </w:rPr>
        <w:t>extensive</w:t>
      </w:r>
      <w:r>
        <w:rPr>
          <w:spacing w:val="-5"/>
          <w:w w:val="105"/>
        </w:rPr>
        <w:t> </w:t>
      </w:r>
      <w:r>
        <w:rPr>
          <w:w w:val="105"/>
        </w:rPr>
        <w:t>portfolio</w:t>
      </w:r>
      <w:r>
        <w:rPr>
          <w:spacing w:val="-5"/>
          <w:w w:val="105"/>
        </w:rPr>
        <w:t> </w:t>
      </w:r>
      <w:r>
        <w:rPr>
          <w:w w:val="105"/>
        </w:rPr>
        <w:t>of</w:t>
      </w:r>
      <w:r>
        <w:rPr>
          <w:spacing w:val="-5"/>
          <w:w w:val="105"/>
        </w:rPr>
        <w:t> </w:t>
      </w:r>
      <w:r>
        <w:rPr>
          <w:w w:val="105"/>
        </w:rPr>
        <w:t>patents</w:t>
      </w:r>
      <w:r>
        <w:rPr>
          <w:spacing w:val="-3"/>
          <w:w w:val="105"/>
        </w:rPr>
        <w:t> </w:t>
      </w:r>
      <w:r>
        <w:rPr>
          <w:w w:val="105"/>
        </w:rPr>
        <w:t>relating</w:t>
      </w:r>
      <w:r>
        <w:rPr>
          <w:spacing w:val="-5"/>
          <w:w w:val="105"/>
        </w:rPr>
        <w:t> </w:t>
      </w:r>
      <w:r>
        <w:rPr>
          <w:w w:val="105"/>
        </w:rPr>
        <w:t>to</w:t>
      </w:r>
      <w:r>
        <w:rPr>
          <w:spacing w:val="-5"/>
          <w:w w:val="105"/>
        </w:rPr>
        <w:t> </w:t>
      </w:r>
      <w:r>
        <w:rPr>
          <w:w w:val="105"/>
        </w:rPr>
        <w:t>its</w:t>
      </w:r>
      <w:r>
        <w:rPr>
          <w:spacing w:val="-5"/>
          <w:w w:val="105"/>
        </w:rPr>
        <w:t> </w:t>
      </w:r>
      <w:r>
        <w:rPr>
          <w:w w:val="105"/>
        </w:rPr>
        <w:t>products,</w:t>
      </w:r>
      <w:r>
        <w:rPr>
          <w:spacing w:val="-5"/>
          <w:w w:val="105"/>
        </w:rPr>
        <w:t> </w:t>
      </w:r>
      <w:r>
        <w:rPr>
          <w:w w:val="105"/>
        </w:rPr>
        <w:t>technologies</w:t>
      </w:r>
      <w:r>
        <w:rPr>
          <w:spacing w:val="-5"/>
          <w:w w:val="105"/>
        </w:rPr>
        <w:t> </w:t>
      </w:r>
      <w:r>
        <w:rPr>
          <w:w w:val="105"/>
        </w:rPr>
        <w:t>and</w:t>
      </w:r>
      <w:r>
        <w:rPr>
          <w:spacing w:val="-5"/>
          <w:w w:val="105"/>
        </w:rPr>
        <w:t> </w:t>
      </w:r>
      <w:r>
        <w:rPr>
          <w:w w:val="105"/>
        </w:rPr>
        <w:t>manufacturing processes.</w:t>
      </w:r>
      <w:r>
        <w:rPr>
          <w:spacing w:val="-8"/>
          <w:w w:val="105"/>
        </w:rPr>
        <w:t> </w:t>
      </w:r>
      <w:r>
        <w:rPr>
          <w:w w:val="105"/>
        </w:rPr>
        <w:t>Corning</w:t>
      </w:r>
      <w:r>
        <w:rPr>
          <w:spacing w:val="-8"/>
          <w:w w:val="105"/>
        </w:rPr>
        <w:t> </w:t>
      </w:r>
      <w:r>
        <w:rPr>
          <w:w w:val="105"/>
        </w:rPr>
        <w:t>is</w:t>
      </w:r>
      <w:r>
        <w:rPr>
          <w:spacing w:val="-8"/>
          <w:w w:val="105"/>
        </w:rPr>
        <w:t> </w:t>
      </w:r>
      <w:r>
        <w:rPr>
          <w:w w:val="105"/>
        </w:rPr>
        <w:t>licensed</w:t>
      </w:r>
      <w:r>
        <w:rPr>
          <w:spacing w:val="-8"/>
          <w:w w:val="105"/>
        </w:rPr>
        <w:t> </w:t>
      </w:r>
      <w:r>
        <w:rPr>
          <w:w w:val="105"/>
        </w:rPr>
        <w:t>to</w:t>
      </w:r>
      <w:r>
        <w:rPr>
          <w:spacing w:val="-8"/>
          <w:w w:val="105"/>
        </w:rPr>
        <w:t> </w:t>
      </w:r>
      <w:r>
        <w:rPr>
          <w:w w:val="105"/>
        </w:rPr>
        <w:t>use</w:t>
      </w:r>
      <w:r>
        <w:rPr>
          <w:spacing w:val="-8"/>
          <w:w w:val="105"/>
        </w:rPr>
        <w:t> </w:t>
      </w:r>
      <w:r>
        <w:rPr>
          <w:w w:val="105"/>
        </w:rPr>
        <w:t>certain</w:t>
      </w:r>
      <w:r>
        <w:rPr>
          <w:spacing w:val="-8"/>
          <w:w w:val="105"/>
        </w:rPr>
        <w:t> </w:t>
      </w:r>
      <w:r>
        <w:rPr>
          <w:w w:val="105"/>
        </w:rPr>
        <w:t>patents</w:t>
      </w:r>
      <w:r>
        <w:rPr>
          <w:spacing w:val="-8"/>
          <w:w w:val="105"/>
        </w:rPr>
        <w:t> </w:t>
      </w:r>
      <w:r>
        <w:rPr>
          <w:w w:val="105"/>
        </w:rPr>
        <w:t>owned</w:t>
      </w:r>
      <w:r>
        <w:rPr>
          <w:spacing w:val="-8"/>
          <w:w w:val="105"/>
        </w:rPr>
        <w:t> </w:t>
      </w:r>
      <w:r>
        <w:rPr>
          <w:w w:val="105"/>
        </w:rPr>
        <w:t>by</w:t>
      </w:r>
      <w:r>
        <w:rPr>
          <w:spacing w:val="-8"/>
          <w:w w:val="105"/>
        </w:rPr>
        <w:t> </w:t>
      </w:r>
      <w:r>
        <w:rPr>
          <w:w w:val="105"/>
        </w:rPr>
        <w:t>others,</w:t>
      </w:r>
      <w:r>
        <w:rPr>
          <w:spacing w:val="-8"/>
          <w:w w:val="105"/>
        </w:rPr>
        <w:t> </w:t>
      </w:r>
      <w:r>
        <w:rPr>
          <w:w w:val="105"/>
        </w:rPr>
        <w:t>which</w:t>
      </w:r>
      <w:r>
        <w:rPr>
          <w:spacing w:val="-8"/>
          <w:w w:val="105"/>
        </w:rPr>
        <w:t> </w:t>
      </w:r>
      <w:r>
        <w:rPr>
          <w:w w:val="105"/>
        </w:rPr>
        <w:t>are</w:t>
      </w:r>
      <w:r>
        <w:rPr>
          <w:spacing w:val="-8"/>
          <w:w w:val="105"/>
        </w:rPr>
        <w:t> </w:t>
      </w:r>
      <w:r>
        <w:rPr>
          <w:w w:val="105"/>
        </w:rPr>
        <w:t>also</w:t>
      </w:r>
      <w:r>
        <w:rPr>
          <w:spacing w:val="-8"/>
          <w:w w:val="105"/>
        </w:rPr>
        <w:t> </w:t>
      </w:r>
      <w:r>
        <w:rPr>
          <w:w w:val="105"/>
        </w:rPr>
        <w:t>considered</w:t>
      </w:r>
      <w:r>
        <w:rPr>
          <w:spacing w:val="-8"/>
          <w:w w:val="105"/>
        </w:rPr>
        <w:t> </w:t>
      </w:r>
      <w:r>
        <w:rPr>
          <w:w w:val="105"/>
        </w:rPr>
        <w:t>important</w:t>
      </w:r>
      <w:r>
        <w:rPr>
          <w:spacing w:val="-8"/>
          <w:w w:val="105"/>
        </w:rPr>
        <w:t> </w:t>
      </w:r>
      <w:r>
        <w:rPr>
          <w:w w:val="105"/>
        </w:rPr>
        <w:t>to</w:t>
      </w:r>
      <w:r>
        <w:rPr>
          <w:spacing w:val="-8"/>
          <w:w w:val="105"/>
        </w:rPr>
        <w:t> </w:t>
      </w:r>
      <w:r>
        <w:rPr>
          <w:w w:val="105"/>
        </w:rPr>
        <w:t>the</w:t>
      </w:r>
      <w:r>
        <w:rPr>
          <w:spacing w:val="-8"/>
          <w:w w:val="105"/>
        </w:rPr>
        <w:t> </w:t>
      </w:r>
      <w:r>
        <w:rPr>
          <w:w w:val="105"/>
        </w:rPr>
        <w:t>segment’s</w:t>
      </w:r>
      <w:r>
        <w:rPr>
          <w:spacing w:val="-8"/>
          <w:w w:val="105"/>
        </w:rPr>
        <w:t> </w:t>
      </w:r>
      <w:r>
        <w:rPr>
          <w:w w:val="105"/>
        </w:rPr>
        <w:t>operations.</w:t>
      </w:r>
      <w:r>
        <w:rPr>
          <w:spacing w:val="-8"/>
          <w:w w:val="105"/>
        </w:rPr>
        <w:t> </w:t>
      </w:r>
      <w:r>
        <w:rPr>
          <w:w w:val="105"/>
        </w:rPr>
        <w:t>Refer</w:t>
      </w:r>
      <w:r>
        <w:rPr>
          <w:spacing w:val="-8"/>
          <w:w w:val="105"/>
        </w:rPr>
        <w:t> </w:t>
      </w:r>
      <w:r>
        <w:rPr>
          <w:w w:val="105"/>
        </w:rPr>
        <w:t>to</w:t>
      </w:r>
      <w:r>
        <w:rPr>
          <w:spacing w:val="-8"/>
          <w:w w:val="105"/>
        </w:rPr>
        <w:t> </w:t>
      </w:r>
      <w:r>
        <w:rPr>
          <w:w w:val="105"/>
        </w:rPr>
        <w:t>the</w:t>
      </w:r>
      <w:r>
        <w:rPr>
          <w:spacing w:val="-8"/>
          <w:w w:val="105"/>
        </w:rPr>
        <w:t> </w:t>
      </w:r>
      <w:r>
        <w:rPr>
          <w:w w:val="105"/>
        </w:rPr>
        <w:t>material</w:t>
      </w:r>
      <w:r>
        <w:rPr>
          <w:spacing w:val="-8"/>
          <w:w w:val="105"/>
        </w:rPr>
        <w:t> </w:t>
      </w:r>
      <w:r>
        <w:rPr>
          <w:w w:val="105"/>
        </w:rPr>
        <w:t>under</w:t>
      </w:r>
      <w:r>
        <w:rPr>
          <w:spacing w:val="-8"/>
          <w:w w:val="105"/>
        </w:rPr>
        <w:t> </w:t>
      </w:r>
      <w:r>
        <w:rPr>
          <w:w w:val="105"/>
        </w:rPr>
        <w:t>the heading “Patents and Trademarks” for information relating to the Company’s patents and trademarks.</w:t>
      </w:r>
    </w:p>
    <w:p>
      <w:pPr>
        <w:pStyle w:val="BodyText"/>
        <w:spacing w:before="18"/>
      </w:pPr>
    </w:p>
    <w:p>
      <w:pPr>
        <w:pStyle w:val="BodyText"/>
        <w:spacing w:before="1"/>
        <w:ind w:left="156"/>
      </w:pPr>
      <w:r>
        <w:rPr/>
        <w:t>The</w:t>
      </w:r>
      <w:r>
        <w:rPr>
          <w:spacing w:val="15"/>
        </w:rPr>
        <w:t> </w:t>
      </w:r>
      <w:r>
        <w:rPr/>
        <w:t>Environmental</w:t>
      </w:r>
      <w:r>
        <w:rPr>
          <w:spacing w:val="15"/>
        </w:rPr>
        <w:t> </w:t>
      </w:r>
      <w:r>
        <w:rPr/>
        <w:t>Technologies</w:t>
      </w:r>
      <w:r>
        <w:rPr>
          <w:spacing w:val="15"/>
        </w:rPr>
        <w:t> </w:t>
      </w:r>
      <w:r>
        <w:rPr/>
        <w:t>segment</w:t>
      </w:r>
      <w:r>
        <w:rPr>
          <w:spacing w:val="16"/>
        </w:rPr>
        <w:t> </w:t>
      </w:r>
      <w:r>
        <w:rPr/>
        <w:t>represented</w:t>
      </w:r>
      <w:r>
        <w:rPr>
          <w:spacing w:val="15"/>
        </w:rPr>
        <w:t> </w:t>
      </w:r>
      <w:r>
        <w:rPr/>
        <w:t>11%</w:t>
      </w:r>
      <w:r>
        <w:rPr>
          <w:spacing w:val="15"/>
        </w:rPr>
        <w:t> </w:t>
      </w:r>
      <w:r>
        <w:rPr/>
        <w:t>of</w:t>
      </w:r>
      <w:r>
        <w:rPr>
          <w:spacing w:val="15"/>
        </w:rPr>
        <w:t> </w:t>
      </w:r>
      <w:r>
        <w:rPr/>
        <w:t>Corning’s</w:t>
      </w:r>
      <w:r>
        <w:rPr>
          <w:spacing w:val="16"/>
        </w:rPr>
        <w:t> </w:t>
      </w:r>
      <w:r>
        <w:rPr/>
        <w:t>consolidated</w:t>
      </w:r>
      <w:r>
        <w:rPr>
          <w:spacing w:val="15"/>
        </w:rPr>
        <w:t> </w:t>
      </w:r>
      <w:r>
        <w:rPr/>
        <w:t>net</w:t>
      </w:r>
      <w:r>
        <w:rPr>
          <w:spacing w:val="15"/>
        </w:rPr>
        <w:t> </w:t>
      </w:r>
      <w:r>
        <w:rPr/>
        <w:t>sales</w:t>
      </w:r>
      <w:r>
        <w:rPr>
          <w:spacing w:val="15"/>
        </w:rPr>
        <w:t> </w:t>
      </w:r>
      <w:r>
        <w:rPr/>
        <w:t>in</w:t>
      </w:r>
      <w:r>
        <w:rPr>
          <w:spacing w:val="16"/>
        </w:rPr>
        <w:t> </w:t>
      </w:r>
      <w:r>
        <w:rPr>
          <w:spacing w:val="-2"/>
        </w:rPr>
        <w:t>2021.</w:t>
      </w:r>
    </w:p>
    <w:p>
      <w:pPr>
        <w:pStyle w:val="BodyText"/>
        <w:spacing w:before="39"/>
      </w:pPr>
    </w:p>
    <w:p>
      <w:pPr>
        <w:spacing w:before="0"/>
        <w:ind w:left="156" w:right="0" w:firstLine="0"/>
        <w:jc w:val="left"/>
        <w:rPr>
          <w:i/>
          <w:sz w:val="16"/>
        </w:rPr>
      </w:pPr>
      <w:r>
        <w:rPr>
          <w:i/>
          <w:spacing w:val="-2"/>
          <w:w w:val="105"/>
          <w:sz w:val="16"/>
        </w:rPr>
        <w:t>Life</w:t>
      </w:r>
      <w:r>
        <w:rPr>
          <w:i/>
          <w:spacing w:val="-1"/>
          <w:w w:val="105"/>
          <w:sz w:val="16"/>
        </w:rPr>
        <w:t> </w:t>
      </w:r>
      <w:r>
        <w:rPr>
          <w:i/>
          <w:spacing w:val="-2"/>
          <w:w w:val="105"/>
          <w:sz w:val="16"/>
        </w:rPr>
        <w:t>Sciences</w:t>
      </w:r>
      <w:r>
        <w:rPr>
          <w:i/>
          <w:w w:val="105"/>
          <w:sz w:val="16"/>
        </w:rPr>
        <w:t> </w:t>
      </w:r>
      <w:r>
        <w:rPr>
          <w:i/>
          <w:spacing w:val="-2"/>
          <w:w w:val="105"/>
          <w:sz w:val="16"/>
        </w:rPr>
        <w:t>Segment</w:t>
      </w:r>
    </w:p>
    <w:p>
      <w:pPr>
        <w:pStyle w:val="BodyText"/>
        <w:spacing w:before="40"/>
        <w:rPr>
          <w:i/>
        </w:rPr>
      </w:pPr>
    </w:p>
    <w:p>
      <w:pPr>
        <w:pStyle w:val="BodyText"/>
        <w:spacing w:line="266" w:lineRule="auto"/>
        <w:ind w:left="156" w:right="328"/>
      </w:pPr>
      <w:r>
        <w:rPr>
          <w:w w:val="105"/>
        </w:rPr>
        <w:t>As</w:t>
      </w:r>
      <w:r>
        <w:rPr>
          <w:spacing w:val="-2"/>
          <w:w w:val="105"/>
        </w:rPr>
        <w:t> </w:t>
      </w:r>
      <w:r>
        <w:rPr>
          <w:w w:val="105"/>
        </w:rPr>
        <w:t>a</w:t>
      </w:r>
      <w:r>
        <w:rPr>
          <w:spacing w:val="-2"/>
          <w:w w:val="105"/>
        </w:rPr>
        <w:t> </w:t>
      </w:r>
      <w:r>
        <w:rPr>
          <w:w w:val="105"/>
        </w:rPr>
        <w:t>leading</w:t>
      </w:r>
      <w:r>
        <w:rPr>
          <w:spacing w:val="-2"/>
          <w:w w:val="105"/>
        </w:rPr>
        <w:t> </w:t>
      </w:r>
      <w:r>
        <w:rPr>
          <w:w w:val="105"/>
        </w:rPr>
        <w:t>developer,</w:t>
      </w:r>
      <w:r>
        <w:rPr>
          <w:spacing w:val="-2"/>
          <w:w w:val="105"/>
        </w:rPr>
        <w:t> </w:t>
      </w:r>
      <w:r>
        <w:rPr>
          <w:w w:val="105"/>
        </w:rPr>
        <w:t>manufacturer</w:t>
      </w:r>
      <w:r>
        <w:rPr>
          <w:spacing w:val="-2"/>
          <w:w w:val="105"/>
        </w:rPr>
        <w:t> </w:t>
      </w:r>
      <w:r>
        <w:rPr>
          <w:w w:val="105"/>
        </w:rPr>
        <w:t>and</w:t>
      </w:r>
      <w:r>
        <w:rPr>
          <w:spacing w:val="-2"/>
          <w:w w:val="105"/>
        </w:rPr>
        <w:t> </w:t>
      </w:r>
      <w:r>
        <w:rPr>
          <w:w w:val="105"/>
        </w:rPr>
        <w:t>global</w:t>
      </w:r>
      <w:r>
        <w:rPr>
          <w:spacing w:val="-2"/>
          <w:w w:val="105"/>
        </w:rPr>
        <w:t> </w:t>
      </w:r>
      <w:r>
        <w:rPr>
          <w:w w:val="105"/>
        </w:rPr>
        <w:t>supplier</w:t>
      </w:r>
      <w:r>
        <w:rPr>
          <w:spacing w:val="-2"/>
          <w:w w:val="105"/>
        </w:rPr>
        <w:t> </w:t>
      </w:r>
      <w:r>
        <w:rPr>
          <w:w w:val="105"/>
        </w:rPr>
        <w:t>of</w:t>
      </w:r>
      <w:r>
        <w:rPr>
          <w:spacing w:val="-2"/>
          <w:w w:val="105"/>
        </w:rPr>
        <w:t> </w:t>
      </w:r>
      <w:r>
        <w:rPr>
          <w:w w:val="105"/>
        </w:rPr>
        <w:t>laboratory</w:t>
      </w:r>
      <w:r>
        <w:rPr>
          <w:spacing w:val="-2"/>
          <w:w w:val="105"/>
        </w:rPr>
        <w:t> </w:t>
      </w:r>
      <w:r>
        <w:rPr>
          <w:w w:val="105"/>
        </w:rPr>
        <w:t>products</w:t>
      </w:r>
      <w:r>
        <w:rPr>
          <w:spacing w:val="-2"/>
          <w:w w:val="105"/>
        </w:rPr>
        <w:t> </w:t>
      </w:r>
      <w:r>
        <w:rPr>
          <w:w w:val="105"/>
        </w:rPr>
        <w:t>for</w:t>
      </w:r>
      <w:r>
        <w:rPr>
          <w:spacing w:val="-2"/>
          <w:w w:val="105"/>
        </w:rPr>
        <w:t> </w:t>
      </w:r>
      <w:r>
        <w:rPr>
          <w:w w:val="105"/>
        </w:rPr>
        <w:t>over</w:t>
      </w:r>
      <w:r>
        <w:rPr>
          <w:spacing w:val="-2"/>
          <w:w w:val="105"/>
        </w:rPr>
        <w:t> </w:t>
      </w:r>
      <w:r>
        <w:rPr>
          <w:w w:val="105"/>
        </w:rPr>
        <w:t>105</w:t>
      </w:r>
      <w:r>
        <w:rPr>
          <w:spacing w:val="-2"/>
          <w:w w:val="105"/>
        </w:rPr>
        <w:t> </w:t>
      </w:r>
      <w:r>
        <w:rPr>
          <w:w w:val="105"/>
        </w:rPr>
        <w:t>years,</w:t>
      </w:r>
      <w:r>
        <w:rPr>
          <w:spacing w:val="-2"/>
          <w:w w:val="105"/>
        </w:rPr>
        <w:t> </w:t>
      </w:r>
      <w:r>
        <w:rPr>
          <w:w w:val="105"/>
        </w:rPr>
        <w:t>Corning’s</w:t>
      </w:r>
      <w:r>
        <w:rPr>
          <w:spacing w:val="-2"/>
          <w:w w:val="105"/>
        </w:rPr>
        <w:t> </w:t>
      </w:r>
      <w:r>
        <w:rPr>
          <w:w w:val="105"/>
        </w:rPr>
        <w:t>Life</w:t>
      </w:r>
      <w:r>
        <w:rPr>
          <w:spacing w:val="-2"/>
          <w:w w:val="105"/>
        </w:rPr>
        <w:t> </w:t>
      </w:r>
      <w:r>
        <w:rPr>
          <w:w w:val="105"/>
        </w:rPr>
        <w:t>Sciences</w:t>
      </w:r>
      <w:r>
        <w:rPr>
          <w:spacing w:val="-2"/>
          <w:w w:val="105"/>
        </w:rPr>
        <w:t> </w:t>
      </w:r>
      <w:r>
        <w:rPr>
          <w:w w:val="105"/>
        </w:rPr>
        <w:t>segment</w:t>
      </w:r>
      <w:r>
        <w:rPr>
          <w:spacing w:val="-2"/>
          <w:w w:val="105"/>
        </w:rPr>
        <w:t> </w:t>
      </w:r>
      <w:r>
        <w:rPr>
          <w:w w:val="105"/>
        </w:rPr>
        <w:t>works</w:t>
      </w:r>
      <w:r>
        <w:rPr>
          <w:spacing w:val="-2"/>
          <w:w w:val="105"/>
        </w:rPr>
        <w:t> </w:t>
      </w:r>
      <w:r>
        <w:rPr>
          <w:w w:val="105"/>
        </w:rPr>
        <w:t>with</w:t>
      </w:r>
      <w:r>
        <w:rPr>
          <w:spacing w:val="-2"/>
          <w:w w:val="105"/>
        </w:rPr>
        <w:t> </w:t>
      </w:r>
      <w:r>
        <w:rPr>
          <w:w w:val="105"/>
        </w:rPr>
        <w:t>researchers</w:t>
      </w:r>
      <w:r>
        <w:rPr>
          <w:spacing w:val="-2"/>
          <w:w w:val="105"/>
        </w:rPr>
        <w:t> </w:t>
      </w:r>
      <w:r>
        <w:rPr>
          <w:w w:val="105"/>
        </w:rPr>
        <w:t>and</w:t>
      </w:r>
      <w:r>
        <w:rPr>
          <w:spacing w:val="-2"/>
          <w:w w:val="105"/>
        </w:rPr>
        <w:t> </w:t>
      </w:r>
      <w:r>
        <w:rPr>
          <w:w w:val="105"/>
        </w:rPr>
        <w:t>drug manufacturers</w:t>
      </w:r>
      <w:r>
        <w:rPr>
          <w:spacing w:val="-8"/>
          <w:w w:val="105"/>
        </w:rPr>
        <w:t> </w:t>
      </w:r>
      <w:r>
        <w:rPr>
          <w:w w:val="105"/>
        </w:rPr>
        <w:t>seeking</w:t>
      </w:r>
      <w:r>
        <w:rPr>
          <w:spacing w:val="-6"/>
          <w:w w:val="105"/>
        </w:rPr>
        <w:t> </w:t>
      </w:r>
      <w:r>
        <w:rPr>
          <w:w w:val="105"/>
        </w:rPr>
        <w:t>to</w:t>
      </w:r>
      <w:r>
        <w:rPr>
          <w:spacing w:val="-8"/>
          <w:w w:val="105"/>
        </w:rPr>
        <w:t> </w:t>
      </w:r>
      <w:r>
        <w:rPr>
          <w:w w:val="105"/>
        </w:rPr>
        <w:t>drive</w:t>
      </w:r>
      <w:r>
        <w:rPr>
          <w:spacing w:val="-8"/>
          <w:w w:val="105"/>
        </w:rPr>
        <w:t> </w:t>
      </w:r>
      <w:r>
        <w:rPr>
          <w:w w:val="105"/>
        </w:rPr>
        <w:t>innovation,</w:t>
      </w:r>
      <w:r>
        <w:rPr>
          <w:spacing w:val="-8"/>
          <w:w w:val="105"/>
        </w:rPr>
        <w:t> </w:t>
      </w:r>
      <w:r>
        <w:rPr>
          <w:w w:val="105"/>
        </w:rPr>
        <w:t>increase</w:t>
      </w:r>
      <w:r>
        <w:rPr>
          <w:spacing w:val="-8"/>
          <w:w w:val="105"/>
        </w:rPr>
        <w:t> </w:t>
      </w:r>
      <w:r>
        <w:rPr>
          <w:w w:val="105"/>
        </w:rPr>
        <w:t>efficiencies,</w:t>
      </w:r>
      <w:r>
        <w:rPr>
          <w:spacing w:val="-8"/>
          <w:w w:val="105"/>
        </w:rPr>
        <w:t> </w:t>
      </w:r>
      <w:r>
        <w:rPr>
          <w:w w:val="105"/>
        </w:rPr>
        <w:t>reduce</w:t>
      </w:r>
      <w:r>
        <w:rPr>
          <w:spacing w:val="-8"/>
          <w:w w:val="105"/>
        </w:rPr>
        <w:t> </w:t>
      </w:r>
      <w:r>
        <w:rPr>
          <w:w w:val="105"/>
        </w:rPr>
        <w:t>costs</w:t>
      </w:r>
      <w:r>
        <w:rPr>
          <w:spacing w:val="-8"/>
          <w:w w:val="105"/>
        </w:rPr>
        <w:t> </w:t>
      </w:r>
      <w:r>
        <w:rPr>
          <w:w w:val="105"/>
        </w:rPr>
        <w:t>and</w:t>
      </w:r>
      <w:r>
        <w:rPr>
          <w:spacing w:val="-8"/>
          <w:w w:val="105"/>
        </w:rPr>
        <w:t> </w:t>
      </w:r>
      <w:r>
        <w:rPr>
          <w:w w:val="105"/>
        </w:rPr>
        <w:t>compress</w:t>
      </w:r>
      <w:r>
        <w:rPr>
          <w:spacing w:val="-8"/>
          <w:w w:val="105"/>
        </w:rPr>
        <w:t> </w:t>
      </w:r>
      <w:r>
        <w:rPr>
          <w:w w:val="105"/>
        </w:rPr>
        <w:t>timelines.</w:t>
      </w:r>
      <w:r>
        <w:rPr>
          <w:spacing w:val="-8"/>
          <w:w w:val="105"/>
        </w:rPr>
        <w:t> </w:t>
      </w:r>
      <w:r>
        <w:rPr>
          <w:w w:val="105"/>
        </w:rPr>
        <w:t>Using</w:t>
      </w:r>
      <w:r>
        <w:rPr>
          <w:spacing w:val="-8"/>
          <w:w w:val="105"/>
        </w:rPr>
        <w:t> </w:t>
      </w:r>
      <w:r>
        <w:rPr>
          <w:w w:val="105"/>
        </w:rPr>
        <w:t>unique</w:t>
      </w:r>
      <w:r>
        <w:rPr>
          <w:spacing w:val="-8"/>
          <w:w w:val="105"/>
        </w:rPr>
        <w:t> </w:t>
      </w:r>
      <w:r>
        <w:rPr>
          <w:w w:val="105"/>
        </w:rPr>
        <w:t>expertise</w:t>
      </w:r>
      <w:r>
        <w:rPr>
          <w:spacing w:val="-8"/>
          <w:w w:val="105"/>
        </w:rPr>
        <w:t> </w:t>
      </w:r>
      <w:r>
        <w:rPr>
          <w:w w:val="105"/>
        </w:rPr>
        <w:t>in</w:t>
      </w:r>
      <w:r>
        <w:rPr>
          <w:spacing w:val="-8"/>
          <w:w w:val="105"/>
        </w:rPr>
        <w:t> </w:t>
      </w:r>
      <w:r>
        <w:rPr>
          <w:w w:val="105"/>
        </w:rPr>
        <w:t>the</w:t>
      </w:r>
      <w:r>
        <w:rPr>
          <w:spacing w:val="-8"/>
          <w:w w:val="105"/>
        </w:rPr>
        <w:t> </w:t>
      </w:r>
      <w:r>
        <w:rPr>
          <w:w w:val="105"/>
        </w:rPr>
        <w:t>fields</w:t>
      </w:r>
      <w:r>
        <w:rPr>
          <w:spacing w:val="-8"/>
          <w:w w:val="105"/>
        </w:rPr>
        <w:t> </w:t>
      </w:r>
      <w:r>
        <w:rPr>
          <w:w w:val="105"/>
        </w:rPr>
        <w:t>of</w:t>
      </w:r>
      <w:r>
        <w:rPr>
          <w:spacing w:val="-8"/>
          <w:w w:val="105"/>
        </w:rPr>
        <w:t> </w:t>
      </w:r>
      <w:r>
        <w:rPr>
          <w:w w:val="105"/>
        </w:rPr>
        <w:t>materials</w:t>
      </w:r>
      <w:r>
        <w:rPr>
          <w:spacing w:val="-8"/>
          <w:w w:val="105"/>
        </w:rPr>
        <w:t> </w:t>
      </w:r>
      <w:r>
        <w:rPr>
          <w:w w:val="105"/>
        </w:rPr>
        <w:t>science,</w:t>
      </w:r>
      <w:r>
        <w:rPr>
          <w:spacing w:val="-8"/>
          <w:w w:val="105"/>
        </w:rPr>
        <w:t> </w:t>
      </w:r>
      <w:r>
        <w:rPr>
          <w:w w:val="105"/>
        </w:rPr>
        <w:t>polymer surface</w:t>
      </w:r>
      <w:r>
        <w:rPr>
          <w:spacing w:val="-9"/>
          <w:w w:val="105"/>
        </w:rPr>
        <w:t> </w:t>
      </w:r>
      <w:r>
        <w:rPr>
          <w:w w:val="105"/>
        </w:rPr>
        <w:t>science,</w:t>
      </w:r>
      <w:r>
        <w:rPr>
          <w:spacing w:val="-9"/>
          <w:w w:val="105"/>
        </w:rPr>
        <w:t> </w:t>
      </w:r>
      <w:r>
        <w:rPr>
          <w:w w:val="105"/>
        </w:rPr>
        <w:t>cell</w:t>
      </w:r>
      <w:r>
        <w:rPr>
          <w:spacing w:val="-9"/>
          <w:w w:val="105"/>
        </w:rPr>
        <w:t> </w:t>
      </w:r>
      <w:r>
        <w:rPr>
          <w:w w:val="105"/>
        </w:rPr>
        <w:t>culture</w:t>
      </w:r>
      <w:r>
        <w:rPr>
          <w:spacing w:val="-9"/>
          <w:w w:val="105"/>
        </w:rPr>
        <w:t> </w:t>
      </w:r>
      <w:r>
        <w:rPr>
          <w:w w:val="105"/>
        </w:rPr>
        <w:t>and</w:t>
      </w:r>
      <w:r>
        <w:rPr>
          <w:spacing w:val="-9"/>
          <w:w w:val="105"/>
        </w:rPr>
        <w:t> </w:t>
      </w:r>
      <w:r>
        <w:rPr>
          <w:w w:val="105"/>
        </w:rPr>
        <w:t>cell</w:t>
      </w:r>
      <w:r>
        <w:rPr>
          <w:spacing w:val="-9"/>
          <w:w w:val="105"/>
        </w:rPr>
        <w:t> </w:t>
      </w:r>
      <w:r>
        <w:rPr>
          <w:w w:val="105"/>
        </w:rPr>
        <w:t>biology,</w:t>
      </w:r>
      <w:r>
        <w:rPr>
          <w:spacing w:val="-9"/>
          <w:w w:val="105"/>
        </w:rPr>
        <w:t> </w:t>
      </w:r>
      <w:r>
        <w:rPr>
          <w:w w:val="105"/>
        </w:rPr>
        <w:t>the</w:t>
      </w:r>
      <w:r>
        <w:rPr>
          <w:spacing w:val="-9"/>
          <w:w w:val="105"/>
        </w:rPr>
        <w:t> </w:t>
      </w:r>
      <w:r>
        <w:rPr>
          <w:w w:val="105"/>
        </w:rPr>
        <w:t>segment</w:t>
      </w:r>
      <w:r>
        <w:rPr>
          <w:spacing w:val="-9"/>
          <w:w w:val="105"/>
        </w:rPr>
        <w:t> </w:t>
      </w:r>
      <w:r>
        <w:rPr>
          <w:w w:val="105"/>
        </w:rPr>
        <w:t>provides</w:t>
      </w:r>
      <w:r>
        <w:rPr>
          <w:spacing w:val="-9"/>
          <w:w w:val="105"/>
        </w:rPr>
        <w:t> </w:t>
      </w:r>
      <w:r>
        <w:rPr>
          <w:w w:val="105"/>
        </w:rPr>
        <w:t>innovative</w:t>
      </w:r>
      <w:r>
        <w:rPr>
          <w:spacing w:val="-9"/>
          <w:w w:val="105"/>
        </w:rPr>
        <w:t> </w:t>
      </w:r>
      <w:r>
        <w:rPr>
          <w:w w:val="105"/>
        </w:rPr>
        <w:t>solutions</w:t>
      </w:r>
      <w:r>
        <w:rPr>
          <w:spacing w:val="-9"/>
          <w:w w:val="105"/>
        </w:rPr>
        <w:t> </w:t>
      </w:r>
      <w:r>
        <w:rPr>
          <w:w w:val="105"/>
        </w:rPr>
        <w:t>that</w:t>
      </w:r>
      <w:r>
        <w:rPr>
          <w:spacing w:val="-9"/>
          <w:w w:val="105"/>
        </w:rPr>
        <w:t> </w:t>
      </w:r>
      <w:r>
        <w:rPr>
          <w:w w:val="105"/>
        </w:rPr>
        <w:t>improve</w:t>
      </w:r>
      <w:r>
        <w:rPr>
          <w:spacing w:val="-9"/>
          <w:w w:val="105"/>
        </w:rPr>
        <w:t> </w:t>
      </w:r>
      <w:r>
        <w:rPr>
          <w:w w:val="105"/>
        </w:rPr>
        <w:t>productivity</w:t>
      </w:r>
      <w:r>
        <w:rPr>
          <w:spacing w:val="-9"/>
          <w:w w:val="105"/>
        </w:rPr>
        <w:t> </w:t>
      </w:r>
      <w:r>
        <w:rPr>
          <w:w w:val="105"/>
        </w:rPr>
        <w:t>and</w:t>
      </w:r>
      <w:r>
        <w:rPr>
          <w:spacing w:val="-9"/>
          <w:w w:val="105"/>
        </w:rPr>
        <w:t> </w:t>
      </w:r>
      <w:r>
        <w:rPr>
          <w:w w:val="105"/>
        </w:rPr>
        <w:t>enable</w:t>
      </w:r>
      <w:r>
        <w:rPr>
          <w:spacing w:val="-9"/>
          <w:w w:val="105"/>
        </w:rPr>
        <w:t> </w:t>
      </w:r>
      <w:r>
        <w:rPr>
          <w:w w:val="105"/>
        </w:rPr>
        <w:t>breakthrough</w:t>
      </w:r>
      <w:r>
        <w:rPr>
          <w:spacing w:val="-9"/>
          <w:w w:val="105"/>
        </w:rPr>
        <w:t> </w:t>
      </w:r>
      <w:r>
        <w:rPr>
          <w:w w:val="105"/>
        </w:rPr>
        <w:t>research</w:t>
      </w:r>
      <w:r>
        <w:rPr>
          <w:spacing w:val="-9"/>
          <w:w w:val="105"/>
        </w:rPr>
        <w:t> </w:t>
      </w:r>
      <w:r>
        <w:rPr>
          <w:w w:val="105"/>
        </w:rPr>
        <w:t>for</w:t>
      </w:r>
      <w:r>
        <w:rPr>
          <w:spacing w:val="-9"/>
          <w:w w:val="105"/>
        </w:rPr>
        <w:t> </w:t>
      </w:r>
      <w:r>
        <w:rPr>
          <w:w w:val="105"/>
        </w:rPr>
        <w:t>traditional</w:t>
      </w:r>
      <w:r>
        <w:rPr>
          <w:spacing w:val="-9"/>
          <w:w w:val="105"/>
        </w:rPr>
        <w:t> </w:t>
      </w:r>
      <w:r>
        <w:rPr>
          <w:w w:val="105"/>
        </w:rPr>
        <w:t>small molecule, or chemical, drugs, biologics, vaccines, and emerging cell and gene therapies.</w:t>
      </w:r>
    </w:p>
    <w:p>
      <w:pPr>
        <w:pStyle w:val="BodyText"/>
        <w:spacing w:before="18"/>
      </w:pPr>
    </w:p>
    <w:p>
      <w:pPr>
        <w:pStyle w:val="BodyText"/>
        <w:spacing w:line="266" w:lineRule="auto"/>
        <w:ind w:left="156"/>
      </w:pPr>
      <w:r>
        <w:rPr>
          <w:w w:val="105"/>
        </w:rPr>
        <w:t>Life</w:t>
      </w:r>
      <w:r>
        <w:rPr>
          <w:spacing w:val="-9"/>
          <w:w w:val="105"/>
        </w:rPr>
        <w:t> </w:t>
      </w:r>
      <w:r>
        <w:rPr>
          <w:w w:val="105"/>
        </w:rPr>
        <w:t>Sciences</w:t>
      </w:r>
      <w:r>
        <w:rPr>
          <w:spacing w:val="-9"/>
          <w:w w:val="105"/>
        </w:rPr>
        <w:t> </w:t>
      </w:r>
      <w:r>
        <w:rPr>
          <w:w w:val="105"/>
        </w:rPr>
        <w:t>products</w:t>
      </w:r>
      <w:r>
        <w:rPr>
          <w:spacing w:val="-9"/>
          <w:w w:val="105"/>
        </w:rPr>
        <w:t> </w:t>
      </w:r>
      <w:r>
        <w:rPr>
          <w:w w:val="105"/>
        </w:rPr>
        <w:t>include</w:t>
      </w:r>
      <w:r>
        <w:rPr>
          <w:spacing w:val="-9"/>
          <w:w w:val="105"/>
        </w:rPr>
        <w:t> </w:t>
      </w:r>
      <w:r>
        <w:rPr>
          <w:w w:val="105"/>
        </w:rPr>
        <w:t>consumables,</w:t>
      </w:r>
      <w:r>
        <w:rPr>
          <w:spacing w:val="-9"/>
          <w:w w:val="105"/>
        </w:rPr>
        <w:t> </w:t>
      </w:r>
      <w:r>
        <w:rPr>
          <w:w w:val="105"/>
        </w:rPr>
        <w:t>such</w:t>
      </w:r>
      <w:r>
        <w:rPr>
          <w:spacing w:val="-9"/>
          <w:w w:val="105"/>
        </w:rPr>
        <w:t> </w:t>
      </w:r>
      <w:r>
        <w:rPr>
          <w:w w:val="105"/>
        </w:rPr>
        <w:t>as</w:t>
      </w:r>
      <w:r>
        <w:rPr>
          <w:spacing w:val="-9"/>
          <w:w w:val="105"/>
        </w:rPr>
        <w:t> </w:t>
      </w:r>
      <w:r>
        <w:rPr>
          <w:w w:val="105"/>
        </w:rPr>
        <w:t>plastic</w:t>
      </w:r>
      <w:r>
        <w:rPr>
          <w:spacing w:val="-9"/>
          <w:w w:val="105"/>
        </w:rPr>
        <w:t> </w:t>
      </w:r>
      <w:r>
        <w:rPr>
          <w:w w:val="105"/>
        </w:rPr>
        <w:t>vessels,</w:t>
      </w:r>
      <w:r>
        <w:rPr>
          <w:spacing w:val="-9"/>
          <w:w w:val="105"/>
        </w:rPr>
        <w:t> </w:t>
      </w:r>
      <w:r>
        <w:rPr>
          <w:w w:val="105"/>
        </w:rPr>
        <w:t>liquid</w:t>
      </w:r>
      <w:r>
        <w:rPr>
          <w:spacing w:val="-9"/>
          <w:w w:val="105"/>
        </w:rPr>
        <w:t> </w:t>
      </w:r>
      <w:r>
        <w:rPr>
          <w:w w:val="105"/>
        </w:rPr>
        <w:t>handling</w:t>
      </w:r>
      <w:r>
        <w:rPr>
          <w:spacing w:val="-9"/>
          <w:w w:val="105"/>
        </w:rPr>
        <w:t> </w:t>
      </w:r>
      <w:r>
        <w:rPr>
          <w:w w:val="105"/>
        </w:rPr>
        <w:t>plastics,</w:t>
      </w:r>
      <w:r>
        <w:rPr>
          <w:spacing w:val="-9"/>
          <w:w w:val="105"/>
        </w:rPr>
        <w:t> </w:t>
      </w:r>
      <w:r>
        <w:rPr>
          <w:w w:val="105"/>
        </w:rPr>
        <w:t>specialty</w:t>
      </w:r>
      <w:r>
        <w:rPr>
          <w:spacing w:val="-9"/>
          <w:w w:val="105"/>
        </w:rPr>
        <w:t> </w:t>
      </w:r>
      <w:r>
        <w:rPr>
          <w:w w:val="105"/>
        </w:rPr>
        <w:t>surfaces,</w:t>
      </w:r>
      <w:r>
        <w:rPr>
          <w:spacing w:val="-7"/>
          <w:w w:val="105"/>
        </w:rPr>
        <w:t> </w:t>
      </w:r>
      <w:r>
        <w:rPr>
          <w:w w:val="105"/>
        </w:rPr>
        <w:t>cell</w:t>
      </w:r>
      <w:r>
        <w:rPr>
          <w:spacing w:val="-9"/>
          <w:w w:val="105"/>
        </w:rPr>
        <w:t> </w:t>
      </w:r>
      <w:r>
        <w:rPr>
          <w:w w:val="105"/>
        </w:rPr>
        <w:t>culture</w:t>
      </w:r>
      <w:r>
        <w:rPr>
          <w:spacing w:val="-9"/>
          <w:w w:val="105"/>
        </w:rPr>
        <w:t> </w:t>
      </w:r>
      <w:r>
        <w:rPr>
          <w:w w:val="105"/>
        </w:rPr>
        <w:t>media</w:t>
      </w:r>
      <w:r>
        <w:rPr>
          <w:spacing w:val="-7"/>
          <w:w w:val="105"/>
        </w:rPr>
        <w:t> </w:t>
      </w:r>
      <w:r>
        <w:rPr>
          <w:w w:val="105"/>
        </w:rPr>
        <w:t>and</w:t>
      </w:r>
      <w:r>
        <w:rPr>
          <w:spacing w:val="-9"/>
          <w:w w:val="105"/>
        </w:rPr>
        <w:t> </w:t>
      </w:r>
      <w:r>
        <w:rPr>
          <w:w w:val="105"/>
        </w:rPr>
        <w:t>serum,</w:t>
      </w:r>
      <w:r>
        <w:rPr>
          <w:spacing w:val="-9"/>
          <w:w w:val="105"/>
        </w:rPr>
        <w:t> </w:t>
      </w:r>
      <w:r>
        <w:rPr>
          <w:w w:val="105"/>
        </w:rPr>
        <w:t>as</w:t>
      </w:r>
      <w:r>
        <w:rPr>
          <w:spacing w:val="-9"/>
          <w:w w:val="105"/>
        </w:rPr>
        <w:t> </w:t>
      </w:r>
      <w:r>
        <w:rPr>
          <w:w w:val="105"/>
        </w:rPr>
        <w:t>well</w:t>
      </w:r>
      <w:r>
        <w:rPr>
          <w:spacing w:val="-9"/>
          <w:w w:val="105"/>
        </w:rPr>
        <w:t> </w:t>
      </w:r>
      <w:r>
        <w:rPr>
          <w:w w:val="105"/>
        </w:rPr>
        <w:t>as</w:t>
      </w:r>
      <w:r>
        <w:rPr>
          <w:spacing w:val="-9"/>
          <w:w w:val="105"/>
        </w:rPr>
        <w:t> </w:t>
      </w:r>
      <w:r>
        <w:rPr>
          <w:w w:val="105"/>
        </w:rPr>
        <w:t>general</w:t>
      </w:r>
      <w:r>
        <w:rPr>
          <w:spacing w:val="-7"/>
          <w:w w:val="105"/>
        </w:rPr>
        <w:t> </w:t>
      </w:r>
      <w:r>
        <w:rPr>
          <w:w w:val="105"/>
        </w:rPr>
        <w:t>labware</w:t>
      </w:r>
      <w:r>
        <w:rPr>
          <w:spacing w:val="-9"/>
          <w:w w:val="105"/>
        </w:rPr>
        <w:t> </w:t>
      </w:r>
      <w:r>
        <w:rPr>
          <w:w w:val="105"/>
        </w:rPr>
        <w:t>and equipment.</w:t>
      </w:r>
      <w:r>
        <w:rPr>
          <w:spacing w:val="38"/>
          <w:w w:val="105"/>
        </w:rPr>
        <w:t> </w:t>
      </w:r>
      <w:r>
        <w:rPr>
          <w:w w:val="105"/>
        </w:rPr>
        <w:t>These</w:t>
      </w:r>
      <w:r>
        <w:rPr>
          <w:spacing w:val="-2"/>
          <w:w w:val="105"/>
        </w:rPr>
        <w:t> </w:t>
      </w:r>
      <w:r>
        <w:rPr>
          <w:w w:val="105"/>
        </w:rPr>
        <w:t>products</w:t>
      </w:r>
      <w:r>
        <w:rPr>
          <w:spacing w:val="-2"/>
          <w:w w:val="105"/>
        </w:rPr>
        <w:t> </w:t>
      </w:r>
      <w:r>
        <w:rPr>
          <w:w w:val="105"/>
        </w:rPr>
        <w:t>are</w:t>
      </w:r>
      <w:r>
        <w:rPr>
          <w:spacing w:val="-2"/>
          <w:w w:val="105"/>
        </w:rPr>
        <w:t> </w:t>
      </w:r>
      <w:r>
        <w:rPr>
          <w:w w:val="105"/>
        </w:rPr>
        <w:t>used</w:t>
      </w:r>
      <w:r>
        <w:rPr>
          <w:spacing w:val="-2"/>
          <w:w w:val="105"/>
        </w:rPr>
        <w:t> </w:t>
      </w:r>
      <w:r>
        <w:rPr>
          <w:w w:val="105"/>
        </w:rPr>
        <w:t>for</w:t>
      </w:r>
      <w:r>
        <w:rPr>
          <w:spacing w:val="-2"/>
          <w:w w:val="105"/>
        </w:rPr>
        <w:t> </w:t>
      </w:r>
      <w:r>
        <w:rPr>
          <w:w w:val="105"/>
        </w:rPr>
        <w:t>drug</w:t>
      </w:r>
      <w:r>
        <w:rPr>
          <w:spacing w:val="-2"/>
          <w:w w:val="105"/>
        </w:rPr>
        <w:t> </w:t>
      </w:r>
      <w:r>
        <w:rPr>
          <w:w w:val="105"/>
        </w:rPr>
        <w:t>discovery</w:t>
      </w:r>
      <w:r>
        <w:rPr>
          <w:spacing w:val="-2"/>
          <w:w w:val="105"/>
        </w:rPr>
        <w:t> </w:t>
      </w:r>
      <w:r>
        <w:rPr>
          <w:w w:val="105"/>
        </w:rPr>
        <w:t>research</w:t>
      </w:r>
      <w:r>
        <w:rPr>
          <w:spacing w:val="-2"/>
          <w:w w:val="105"/>
        </w:rPr>
        <w:t> </w:t>
      </w:r>
      <w:r>
        <w:rPr>
          <w:w w:val="105"/>
        </w:rPr>
        <w:t>and</w:t>
      </w:r>
      <w:r>
        <w:rPr>
          <w:spacing w:val="-2"/>
          <w:w w:val="105"/>
        </w:rPr>
        <w:t> </w:t>
      </w:r>
      <w:r>
        <w:rPr>
          <w:w w:val="105"/>
        </w:rPr>
        <w:t>development,</w:t>
      </w:r>
      <w:r>
        <w:rPr>
          <w:spacing w:val="-2"/>
          <w:w w:val="105"/>
        </w:rPr>
        <w:t> </w:t>
      </w:r>
      <w:r>
        <w:rPr>
          <w:w w:val="105"/>
        </w:rPr>
        <w:t>compound</w:t>
      </w:r>
      <w:r>
        <w:rPr>
          <w:spacing w:val="-2"/>
          <w:w w:val="105"/>
        </w:rPr>
        <w:t> </w:t>
      </w:r>
      <w:r>
        <w:rPr>
          <w:w w:val="105"/>
        </w:rPr>
        <w:t>screening</w:t>
      </w:r>
      <w:r>
        <w:rPr>
          <w:spacing w:val="-2"/>
          <w:w w:val="105"/>
        </w:rPr>
        <w:t> </w:t>
      </w:r>
      <w:r>
        <w:rPr>
          <w:w w:val="105"/>
        </w:rPr>
        <w:t>and</w:t>
      </w:r>
      <w:r>
        <w:rPr>
          <w:spacing w:val="-2"/>
          <w:w w:val="105"/>
        </w:rPr>
        <w:t> </w:t>
      </w:r>
      <w:r>
        <w:rPr>
          <w:w w:val="105"/>
        </w:rPr>
        <w:t>toxicology</w:t>
      </w:r>
      <w:r>
        <w:rPr>
          <w:spacing w:val="-2"/>
          <w:w w:val="105"/>
        </w:rPr>
        <w:t> </w:t>
      </w:r>
      <w:r>
        <w:rPr>
          <w:w w:val="105"/>
        </w:rPr>
        <w:t>testing,</w:t>
      </w:r>
      <w:r>
        <w:rPr>
          <w:spacing w:val="-2"/>
          <w:w w:val="105"/>
        </w:rPr>
        <w:t> </w:t>
      </w:r>
      <w:r>
        <w:rPr>
          <w:w w:val="105"/>
        </w:rPr>
        <w:t>advanced</w:t>
      </w:r>
      <w:r>
        <w:rPr>
          <w:spacing w:val="-2"/>
          <w:w w:val="105"/>
        </w:rPr>
        <w:t> </w:t>
      </w:r>
      <w:r>
        <w:rPr>
          <w:w w:val="105"/>
        </w:rPr>
        <w:t>cell</w:t>
      </w:r>
      <w:r>
        <w:rPr>
          <w:spacing w:val="-2"/>
          <w:w w:val="105"/>
        </w:rPr>
        <w:t> </w:t>
      </w:r>
      <w:r>
        <w:rPr>
          <w:w w:val="105"/>
        </w:rPr>
        <w:t>culture</w:t>
      </w:r>
      <w:r>
        <w:rPr>
          <w:spacing w:val="-2"/>
          <w:w w:val="105"/>
        </w:rPr>
        <w:t> </w:t>
      </w:r>
      <w:r>
        <w:rPr>
          <w:w w:val="105"/>
        </w:rPr>
        <w:t>research,</w:t>
      </w:r>
      <w:r>
        <w:rPr>
          <w:spacing w:val="-2"/>
          <w:w w:val="105"/>
        </w:rPr>
        <w:t> </w:t>
      </w:r>
      <w:r>
        <w:rPr>
          <w:w w:val="105"/>
        </w:rPr>
        <w:t>genomics applications and mass production of cells for clinical trials and bioproduction.</w:t>
      </w:r>
    </w:p>
    <w:p>
      <w:pPr>
        <w:pStyle w:val="BodyText"/>
        <w:spacing w:before="19"/>
      </w:pPr>
    </w:p>
    <w:p>
      <w:pPr>
        <w:pStyle w:val="BodyText"/>
        <w:spacing w:line="266" w:lineRule="auto"/>
        <w:ind w:left="156" w:right="189"/>
        <w:jc w:val="both"/>
      </w:pPr>
      <w:r>
        <w:rPr>
          <w:w w:val="105"/>
        </w:rPr>
        <w:t>Corning</w:t>
      </w:r>
      <w:r>
        <w:rPr>
          <w:spacing w:val="-7"/>
          <w:w w:val="105"/>
        </w:rPr>
        <w:t> </w:t>
      </w:r>
      <w:r>
        <w:rPr>
          <w:w w:val="105"/>
        </w:rPr>
        <w:t>sells</w:t>
      </w:r>
      <w:r>
        <w:rPr>
          <w:spacing w:val="-7"/>
          <w:w w:val="105"/>
        </w:rPr>
        <w:t> </w:t>
      </w:r>
      <w:r>
        <w:rPr>
          <w:w w:val="105"/>
        </w:rPr>
        <w:t>life</w:t>
      </w:r>
      <w:r>
        <w:rPr>
          <w:spacing w:val="-7"/>
          <w:w w:val="105"/>
        </w:rPr>
        <w:t> </w:t>
      </w:r>
      <w:r>
        <w:rPr>
          <w:w w:val="105"/>
        </w:rPr>
        <w:t>sciences</w:t>
      </w:r>
      <w:r>
        <w:rPr>
          <w:spacing w:val="-7"/>
          <w:w w:val="105"/>
        </w:rPr>
        <w:t> </w:t>
      </w:r>
      <w:r>
        <w:rPr>
          <w:w w:val="105"/>
        </w:rPr>
        <w:t>products</w:t>
      </w:r>
      <w:r>
        <w:rPr>
          <w:spacing w:val="-7"/>
          <w:w w:val="105"/>
        </w:rPr>
        <w:t> </w:t>
      </w:r>
      <w:r>
        <w:rPr>
          <w:w w:val="105"/>
        </w:rPr>
        <w:t>under</w:t>
      </w:r>
      <w:r>
        <w:rPr>
          <w:spacing w:val="-7"/>
          <w:w w:val="105"/>
        </w:rPr>
        <w:t> </w:t>
      </w:r>
      <w:r>
        <w:rPr>
          <w:w w:val="105"/>
        </w:rPr>
        <w:t>these</w:t>
      </w:r>
      <w:r>
        <w:rPr>
          <w:spacing w:val="-7"/>
          <w:w w:val="105"/>
        </w:rPr>
        <w:t> </w:t>
      </w:r>
      <w:r>
        <w:rPr>
          <w:w w:val="105"/>
        </w:rPr>
        <w:t>primary</w:t>
      </w:r>
      <w:r>
        <w:rPr>
          <w:spacing w:val="-7"/>
          <w:w w:val="105"/>
        </w:rPr>
        <w:t> </w:t>
      </w:r>
      <w:r>
        <w:rPr>
          <w:w w:val="105"/>
        </w:rPr>
        <w:t>brands:</w:t>
      </w:r>
      <w:r>
        <w:rPr>
          <w:spacing w:val="-7"/>
          <w:w w:val="105"/>
        </w:rPr>
        <w:t> </w:t>
      </w:r>
      <w:r>
        <w:rPr>
          <w:w w:val="105"/>
        </w:rPr>
        <w:t>Corning,</w:t>
      </w:r>
      <w:r>
        <w:rPr>
          <w:spacing w:val="-7"/>
          <w:w w:val="105"/>
        </w:rPr>
        <w:t> </w:t>
      </w:r>
      <w:r>
        <w:rPr>
          <w:w w:val="105"/>
        </w:rPr>
        <w:t>Falcon,</w:t>
      </w:r>
      <w:r>
        <w:rPr>
          <w:spacing w:val="-7"/>
          <w:w w:val="105"/>
        </w:rPr>
        <w:t> </w:t>
      </w:r>
      <w:r>
        <w:rPr>
          <w:w w:val="105"/>
        </w:rPr>
        <w:t>PYREX</w:t>
      </w:r>
      <w:r>
        <w:rPr>
          <w:spacing w:val="-7"/>
          <w:w w:val="105"/>
        </w:rPr>
        <w:t> </w:t>
      </w:r>
      <w:r>
        <w:rPr>
          <w:w w:val="105"/>
        </w:rPr>
        <w:t>and</w:t>
      </w:r>
      <w:r>
        <w:rPr>
          <w:spacing w:val="-7"/>
          <w:w w:val="105"/>
        </w:rPr>
        <w:t> </w:t>
      </w:r>
      <w:r>
        <w:rPr>
          <w:w w:val="105"/>
        </w:rPr>
        <w:t>Axygen.</w:t>
      </w:r>
      <w:r>
        <w:rPr>
          <w:spacing w:val="-7"/>
          <w:w w:val="105"/>
        </w:rPr>
        <w:t> </w:t>
      </w:r>
      <w:r>
        <w:rPr>
          <w:w w:val="105"/>
        </w:rPr>
        <w:t>The</w:t>
      </w:r>
      <w:r>
        <w:rPr>
          <w:spacing w:val="-7"/>
          <w:w w:val="105"/>
        </w:rPr>
        <w:t> </w:t>
      </w:r>
      <w:r>
        <w:rPr>
          <w:w w:val="105"/>
        </w:rPr>
        <w:t>products</w:t>
      </w:r>
      <w:r>
        <w:rPr>
          <w:spacing w:val="-7"/>
          <w:w w:val="105"/>
        </w:rPr>
        <w:t> </w:t>
      </w:r>
      <w:r>
        <w:rPr>
          <w:w w:val="105"/>
        </w:rPr>
        <w:t>are</w:t>
      </w:r>
      <w:r>
        <w:rPr>
          <w:spacing w:val="-7"/>
          <w:w w:val="105"/>
        </w:rPr>
        <w:t> </w:t>
      </w:r>
      <w:r>
        <w:rPr>
          <w:w w:val="105"/>
        </w:rPr>
        <w:t>marketed</w:t>
      </w:r>
      <w:r>
        <w:rPr>
          <w:spacing w:val="-7"/>
          <w:w w:val="105"/>
        </w:rPr>
        <w:t> </w:t>
      </w:r>
      <w:r>
        <w:rPr>
          <w:w w:val="105"/>
        </w:rPr>
        <w:t>globally,</w:t>
      </w:r>
      <w:r>
        <w:rPr>
          <w:spacing w:val="-7"/>
          <w:w w:val="105"/>
        </w:rPr>
        <w:t> </w:t>
      </w:r>
      <w:r>
        <w:rPr>
          <w:w w:val="105"/>
        </w:rPr>
        <w:t>primarily</w:t>
      </w:r>
      <w:r>
        <w:rPr>
          <w:spacing w:val="-7"/>
          <w:w w:val="105"/>
        </w:rPr>
        <w:t> </w:t>
      </w:r>
      <w:r>
        <w:rPr>
          <w:w w:val="105"/>
        </w:rPr>
        <w:t>through</w:t>
      </w:r>
      <w:r>
        <w:rPr>
          <w:spacing w:val="-7"/>
          <w:w w:val="105"/>
        </w:rPr>
        <w:t> </w:t>
      </w:r>
      <w:r>
        <w:rPr>
          <w:w w:val="105"/>
        </w:rPr>
        <w:t>distributors, to</w:t>
      </w:r>
      <w:r>
        <w:rPr>
          <w:spacing w:val="-7"/>
          <w:w w:val="105"/>
        </w:rPr>
        <w:t> </w:t>
      </w:r>
      <w:r>
        <w:rPr>
          <w:w w:val="105"/>
        </w:rPr>
        <w:t>pharmaceutical</w:t>
      </w:r>
      <w:r>
        <w:rPr>
          <w:spacing w:val="-5"/>
          <w:w w:val="105"/>
        </w:rPr>
        <w:t> </w:t>
      </w:r>
      <w:r>
        <w:rPr>
          <w:w w:val="105"/>
        </w:rPr>
        <w:t>and</w:t>
      </w:r>
      <w:r>
        <w:rPr>
          <w:spacing w:val="-7"/>
          <w:w w:val="105"/>
        </w:rPr>
        <w:t> </w:t>
      </w:r>
      <w:r>
        <w:rPr>
          <w:w w:val="105"/>
        </w:rPr>
        <w:t>biotechnology</w:t>
      </w:r>
      <w:r>
        <w:rPr>
          <w:spacing w:val="-7"/>
          <w:w w:val="105"/>
        </w:rPr>
        <w:t> </w:t>
      </w:r>
      <w:r>
        <w:rPr>
          <w:w w:val="105"/>
        </w:rPr>
        <w:t>companies,</w:t>
      </w:r>
      <w:r>
        <w:rPr>
          <w:spacing w:val="-7"/>
          <w:w w:val="105"/>
        </w:rPr>
        <w:t> </w:t>
      </w:r>
      <w:r>
        <w:rPr>
          <w:w w:val="105"/>
        </w:rPr>
        <w:t>contract</w:t>
      </w:r>
      <w:r>
        <w:rPr>
          <w:spacing w:val="-7"/>
          <w:w w:val="105"/>
        </w:rPr>
        <w:t> </w:t>
      </w:r>
      <w:r>
        <w:rPr>
          <w:w w:val="105"/>
        </w:rPr>
        <w:t>manufacturing</w:t>
      </w:r>
      <w:r>
        <w:rPr>
          <w:spacing w:val="-7"/>
          <w:w w:val="105"/>
        </w:rPr>
        <w:t> </w:t>
      </w:r>
      <w:r>
        <w:rPr>
          <w:w w:val="105"/>
        </w:rPr>
        <w:t>organizations,</w:t>
      </w:r>
      <w:r>
        <w:rPr>
          <w:spacing w:val="-7"/>
          <w:w w:val="105"/>
        </w:rPr>
        <w:t> </w:t>
      </w:r>
      <w:r>
        <w:rPr>
          <w:w w:val="105"/>
        </w:rPr>
        <w:t>central</w:t>
      </w:r>
      <w:r>
        <w:rPr>
          <w:spacing w:val="-7"/>
          <w:w w:val="105"/>
        </w:rPr>
        <w:t> </w:t>
      </w:r>
      <w:r>
        <w:rPr>
          <w:w w:val="105"/>
        </w:rPr>
        <w:t>testing</w:t>
      </w:r>
      <w:r>
        <w:rPr>
          <w:spacing w:val="-7"/>
          <w:w w:val="105"/>
        </w:rPr>
        <w:t> </w:t>
      </w:r>
      <w:r>
        <w:rPr>
          <w:w w:val="105"/>
        </w:rPr>
        <w:t>labs,</w:t>
      </w:r>
      <w:r>
        <w:rPr>
          <w:spacing w:val="-7"/>
          <w:w w:val="105"/>
        </w:rPr>
        <w:t> </w:t>
      </w:r>
      <w:r>
        <w:rPr>
          <w:w w:val="105"/>
        </w:rPr>
        <w:t>academic</w:t>
      </w:r>
      <w:r>
        <w:rPr>
          <w:spacing w:val="-7"/>
          <w:w w:val="105"/>
        </w:rPr>
        <w:t> </w:t>
      </w:r>
      <w:r>
        <w:rPr>
          <w:w w:val="105"/>
        </w:rPr>
        <w:t>institutions,</w:t>
      </w:r>
      <w:r>
        <w:rPr>
          <w:spacing w:val="-7"/>
          <w:w w:val="105"/>
        </w:rPr>
        <w:t> </w:t>
      </w:r>
      <w:r>
        <w:rPr>
          <w:w w:val="105"/>
        </w:rPr>
        <w:t>hospitals,</w:t>
      </w:r>
      <w:r>
        <w:rPr>
          <w:spacing w:val="-7"/>
          <w:w w:val="105"/>
        </w:rPr>
        <w:t> </w:t>
      </w:r>
      <w:r>
        <w:rPr>
          <w:w w:val="105"/>
        </w:rPr>
        <w:t>government</w:t>
      </w:r>
      <w:r>
        <w:rPr>
          <w:spacing w:val="-7"/>
          <w:w w:val="105"/>
        </w:rPr>
        <w:t> </w:t>
      </w:r>
      <w:r>
        <w:rPr>
          <w:w w:val="105"/>
        </w:rPr>
        <w:t>entities,</w:t>
      </w:r>
      <w:r>
        <w:rPr>
          <w:spacing w:val="-7"/>
          <w:w w:val="105"/>
        </w:rPr>
        <w:t> </w:t>
      </w:r>
      <w:r>
        <w:rPr>
          <w:w w:val="105"/>
        </w:rPr>
        <w:t>and</w:t>
      </w:r>
      <w:r>
        <w:rPr>
          <w:spacing w:val="-7"/>
          <w:w w:val="105"/>
        </w:rPr>
        <w:t> </w:t>
      </w:r>
      <w:r>
        <w:rPr>
          <w:w w:val="105"/>
        </w:rPr>
        <w:t>other </w:t>
      </w:r>
      <w:r>
        <w:rPr/>
        <w:t>facilities.</w:t>
      </w:r>
      <w:r>
        <w:rPr>
          <w:spacing w:val="15"/>
        </w:rPr>
        <w:t> </w:t>
      </w:r>
      <w:r>
        <w:rPr/>
        <w:t>Corning</w:t>
      </w:r>
      <w:r>
        <w:rPr>
          <w:spacing w:val="15"/>
        </w:rPr>
        <w:t> </w:t>
      </w:r>
      <w:r>
        <w:rPr/>
        <w:t>manufactures</w:t>
      </w:r>
      <w:r>
        <w:rPr>
          <w:spacing w:val="15"/>
        </w:rPr>
        <w:t> </w:t>
      </w:r>
      <w:r>
        <w:rPr/>
        <w:t>these</w:t>
      </w:r>
      <w:r>
        <w:rPr>
          <w:spacing w:val="15"/>
        </w:rPr>
        <w:t> </w:t>
      </w:r>
      <w:r>
        <w:rPr/>
        <w:t>products</w:t>
      </w:r>
      <w:r>
        <w:rPr>
          <w:spacing w:val="16"/>
        </w:rPr>
        <w:t> </w:t>
      </w:r>
      <w:r>
        <w:rPr/>
        <w:t>in</w:t>
      </w:r>
      <w:r>
        <w:rPr>
          <w:spacing w:val="15"/>
        </w:rPr>
        <w:t> </w:t>
      </w:r>
      <w:r>
        <w:rPr/>
        <w:t>California,</w:t>
      </w:r>
      <w:r>
        <w:rPr>
          <w:spacing w:val="15"/>
        </w:rPr>
        <w:t> </w:t>
      </w:r>
      <w:r>
        <w:rPr/>
        <w:t>Illinois,</w:t>
      </w:r>
      <w:r>
        <w:rPr>
          <w:spacing w:val="15"/>
        </w:rPr>
        <w:t> </w:t>
      </w:r>
      <w:r>
        <w:rPr/>
        <w:t>Maine,</w:t>
      </w:r>
      <w:r>
        <w:rPr>
          <w:spacing w:val="16"/>
        </w:rPr>
        <w:t> </w:t>
      </w:r>
      <w:r>
        <w:rPr/>
        <w:t>Massachusetts,</w:t>
      </w:r>
      <w:r>
        <w:rPr>
          <w:spacing w:val="15"/>
        </w:rPr>
        <w:t> </w:t>
      </w:r>
      <w:r>
        <w:rPr/>
        <w:t>New</w:t>
      </w:r>
      <w:r>
        <w:rPr>
          <w:spacing w:val="15"/>
        </w:rPr>
        <w:t> </w:t>
      </w:r>
      <w:r>
        <w:rPr/>
        <w:t>York,</w:t>
      </w:r>
      <w:r>
        <w:rPr>
          <w:spacing w:val="15"/>
        </w:rPr>
        <w:t> </w:t>
      </w:r>
      <w:r>
        <w:rPr/>
        <w:t>North</w:t>
      </w:r>
      <w:r>
        <w:rPr>
          <w:spacing w:val="15"/>
        </w:rPr>
        <w:t> </w:t>
      </w:r>
      <w:r>
        <w:rPr/>
        <w:t>Carolina,</w:t>
      </w:r>
      <w:r>
        <w:rPr>
          <w:spacing w:val="16"/>
        </w:rPr>
        <w:t> </w:t>
      </w:r>
      <w:r>
        <w:rPr/>
        <w:t>Utah,</w:t>
      </w:r>
      <w:r>
        <w:rPr>
          <w:spacing w:val="15"/>
        </w:rPr>
        <w:t> </w:t>
      </w:r>
      <w:r>
        <w:rPr/>
        <w:t>Virginia,</w:t>
      </w:r>
      <w:r>
        <w:rPr>
          <w:spacing w:val="15"/>
        </w:rPr>
        <w:t> </w:t>
      </w:r>
      <w:r>
        <w:rPr/>
        <w:t>China,</w:t>
      </w:r>
      <w:r>
        <w:rPr>
          <w:spacing w:val="15"/>
        </w:rPr>
        <w:t> </w:t>
      </w:r>
      <w:r>
        <w:rPr/>
        <w:t>France,</w:t>
      </w:r>
      <w:r>
        <w:rPr>
          <w:spacing w:val="16"/>
        </w:rPr>
        <w:t> </w:t>
      </w:r>
      <w:r>
        <w:rPr/>
        <w:t>Mexico</w:t>
      </w:r>
      <w:r>
        <w:rPr>
          <w:spacing w:val="15"/>
        </w:rPr>
        <w:t> </w:t>
      </w:r>
      <w:r>
        <w:rPr/>
        <w:t>and</w:t>
      </w:r>
      <w:r>
        <w:rPr>
          <w:spacing w:val="15"/>
        </w:rPr>
        <w:t> </w:t>
      </w:r>
      <w:r>
        <w:rPr>
          <w:spacing w:val="-2"/>
        </w:rPr>
        <w:t>Poland.</w:t>
      </w:r>
    </w:p>
    <w:p>
      <w:pPr>
        <w:pStyle w:val="BodyText"/>
        <w:spacing w:before="18"/>
      </w:pPr>
    </w:p>
    <w:p>
      <w:pPr>
        <w:pStyle w:val="BodyText"/>
        <w:spacing w:line="266" w:lineRule="auto"/>
        <w:ind w:left="156"/>
      </w:pPr>
      <w:r>
        <w:rPr>
          <w:w w:val="105"/>
        </w:rPr>
        <w:t>Patent</w:t>
      </w:r>
      <w:r>
        <w:rPr>
          <w:spacing w:val="-9"/>
          <w:w w:val="105"/>
        </w:rPr>
        <w:t> </w:t>
      </w:r>
      <w:r>
        <w:rPr>
          <w:w w:val="105"/>
        </w:rPr>
        <w:t>protection</w:t>
      </w:r>
      <w:r>
        <w:rPr>
          <w:spacing w:val="-9"/>
          <w:w w:val="105"/>
        </w:rPr>
        <w:t> </w:t>
      </w:r>
      <w:r>
        <w:rPr>
          <w:w w:val="105"/>
        </w:rPr>
        <w:t>is</w:t>
      </w:r>
      <w:r>
        <w:rPr>
          <w:spacing w:val="-9"/>
          <w:w w:val="105"/>
        </w:rPr>
        <w:t> </w:t>
      </w:r>
      <w:r>
        <w:rPr>
          <w:w w:val="105"/>
        </w:rPr>
        <w:t>important</w:t>
      </w:r>
      <w:r>
        <w:rPr>
          <w:spacing w:val="-9"/>
          <w:w w:val="105"/>
        </w:rPr>
        <w:t> </w:t>
      </w:r>
      <w:r>
        <w:rPr>
          <w:w w:val="105"/>
        </w:rPr>
        <w:t>to</w:t>
      </w:r>
      <w:r>
        <w:rPr>
          <w:spacing w:val="-9"/>
          <w:w w:val="105"/>
        </w:rPr>
        <w:t> </w:t>
      </w:r>
      <w:r>
        <w:rPr>
          <w:w w:val="105"/>
        </w:rPr>
        <w:t>the</w:t>
      </w:r>
      <w:r>
        <w:rPr>
          <w:spacing w:val="-9"/>
          <w:w w:val="105"/>
        </w:rPr>
        <w:t> </w:t>
      </w:r>
      <w:r>
        <w:rPr>
          <w:w w:val="105"/>
        </w:rPr>
        <w:t>segment’s</w:t>
      </w:r>
      <w:r>
        <w:rPr>
          <w:spacing w:val="-9"/>
          <w:w w:val="105"/>
        </w:rPr>
        <w:t> </w:t>
      </w:r>
      <w:r>
        <w:rPr>
          <w:w w:val="105"/>
        </w:rPr>
        <w:t>operations.</w:t>
      </w:r>
      <w:r>
        <w:rPr>
          <w:spacing w:val="-9"/>
          <w:w w:val="105"/>
        </w:rPr>
        <w:t> </w:t>
      </w:r>
      <w:r>
        <w:rPr>
          <w:w w:val="105"/>
        </w:rPr>
        <w:t>The</w:t>
      </w:r>
      <w:r>
        <w:rPr>
          <w:spacing w:val="-9"/>
          <w:w w:val="105"/>
        </w:rPr>
        <w:t> </w:t>
      </w:r>
      <w:r>
        <w:rPr>
          <w:w w:val="105"/>
        </w:rPr>
        <w:t>segment</w:t>
      </w:r>
      <w:r>
        <w:rPr>
          <w:spacing w:val="-9"/>
          <w:w w:val="105"/>
        </w:rPr>
        <w:t> </w:t>
      </w:r>
      <w:r>
        <w:rPr>
          <w:w w:val="105"/>
        </w:rPr>
        <w:t>has</w:t>
      </w:r>
      <w:r>
        <w:rPr>
          <w:spacing w:val="-9"/>
          <w:w w:val="105"/>
        </w:rPr>
        <w:t> </w:t>
      </w:r>
      <w:r>
        <w:rPr>
          <w:w w:val="105"/>
        </w:rPr>
        <w:t>a</w:t>
      </w:r>
      <w:r>
        <w:rPr>
          <w:spacing w:val="-9"/>
          <w:w w:val="105"/>
        </w:rPr>
        <w:t> </w:t>
      </w:r>
      <w:r>
        <w:rPr>
          <w:w w:val="105"/>
        </w:rPr>
        <w:t>growing</w:t>
      </w:r>
      <w:r>
        <w:rPr>
          <w:spacing w:val="-9"/>
          <w:w w:val="105"/>
        </w:rPr>
        <w:t> </w:t>
      </w:r>
      <w:r>
        <w:rPr>
          <w:w w:val="105"/>
        </w:rPr>
        <w:t>portfolio</w:t>
      </w:r>
      <w:r>
        <w:rPr>
          <w:spacing w:val="-9"/>
          <w:w w:val="105"/>
        </w:rPr>
        <w:t> </w:t>
      </w:r>
      <w:r>
        <w:rPr>
          <w:w w:val="105"/>
        </w:rPr>
        <w:t>of</w:t>
      </w:r>
      <w:r>
        <w:rPr>
          <w:spacing w:val="-9"/>
          <w:w w:val="105"/>
        </w:rPr>
        <w:t> </w:t>
      </w:r>
      <w:r>
        <w:rPr>
          <w:w w:val="105"/>
        </w:rPr>
        <w:t>patents</w:t>
      </w:r>
      <w:r>
        <w:rPr>
          <w:spacing w:val="-9"/>
          <w:w w:val="105"/>
        </w:rPr>
        <w:t> </w:t>
      </w:r>
      <w:r>
        <w:rPr>
          <w:w w:val="105"/>
        </w:rPr>
        <w:t>relating</w:t>
      </w:r>
      <w:r>
        <w:rPr>
          <w:spacing w:val="-9"/>
          <w:w w:val="105"/>
        </w:rPr>
        <w:t> </w:t>
      </w:r>
      <w:r>
        <w:rPr>
          <w:w w:val="105"/>
        </w:rPr>
        <w:t>to</w:t>
      </w:r>
      <w:r>
        <w:rPr>
          <w:spacing w:val="-9"/>
          <w:w w:val="105"/>
        </w:rPr>
        <w:t> </w:t>
      </w:r>
      <w:r>
        <w:rPr>
          <w:w w:val="105"/>
        </w:rPr>
        <w:t>its</w:t>
      </w:r>
      <w:r>
        <w:rPr>
          <w:spacing w:val="-9"/>
          <w:w w:val="105"/>
        </w:rPr>
        <w:t> </w:t>
      </w:r>
      <w:r>
        <w:rPr>
          <w:w w:val="105"/>
        </w:rPr>
        <w:t>products,</w:t>
      </w:r>
      <w:r>
        <w:rPr>
          <w:spacing w:val="-9"/>
          <w:w w:val="105"/>
        </w:rPr>
        <w:t> </w:t>
      </w:r>
      <w:r>
        <w:rPr>
          <w:w w:val="105"/>
        </w:rPr>
        <w:t>technologies</w:t>
      </w:r>
      <w:r>
        <w:rPr>
          <w:spacing w:val="-9"/>
          <w:w w:val="105"/>
        </w:rPr>
        <w:t> </w:t>
      </w:r>
      <w:r>
        <w:rPr>
          <w:w w:val="105"/>
        </w:rPr>
        <w:t>and</w:t>
      </w:r>
      <w:r>
        <w:rPr>
          <w:spacing w:val="-9"/>
          <w:w w:val="105"/>
        </w:rPr>
        <w:t> </w:t>
      </w:r>
      <w:r>
        <w:rPr>
          <w:w w:val="105"/>
        </w:rPr>
        <w:t>manufacturing</w:t>
      </w:r>
      <w:r>
        <w:rPr>
          <w:spacing w:val="-9"/>
          <w:w w:val="105"/>
        </w:rPr>
        <w:t> </w:t>
      </w:r>
      <w:r>
        <w:rPr>
          <w:w w:val="105"/>
        </w:rPr>
        <w:t>processes. Brand</w:t>
      </w:r>
      <w:r>
        <w:rPr>
          <w:spacing w:val="-2"/>
          <w:w w:val="105"/>
        </w:rPr>
        <w:t> </w:t>
      </w:r>
      <w:r>
        <w:rPr>
          <w:w w:val="105"/>
        </w:rPr>
        <w:t>recognition</w:t>
      </w:r>
      <w:r>
        <w:rPr>
          <w:spacing w:val="-2"/>
          <w:w w:val="105"/>
        </w:rPr>
        <w:t> </w:t>
      </w:r>
      <w:r>
        <w:rPr>
          <w:w w:val="105"/>
        </w:rPr>
        <w:t>and</w:t>
      </w:r>
      <w:r>
        <w:rPr>
          <w:spacing w:val="-2"/>
          <w:w w:val="105"/>
        </w:rPr>
        <w:t> </w:t>
      </w:r>
      <w:r>
        <w:rPr>
          <w:w w:val="105"/>
        </w:rPr>
        <w:t>loyalty, through</w:t>
      </w:r>
      <w:r>
        <w:rPr>
          <w:spacing w:val="-2"/>
          <w:w w:val="105"/>
        </w:rPr>
        <w:t> </w:t>
      </w:r>
      <w:r>
        <w:rPr>
          <w:w w:val="105"/>
        </w:rPr>
        <w:t>well-known</w:t>
      </w:r>
      <w:r>
        <w:rPr>
          <w:spacing w:val="-2"/>
          <w:w w:val="105"/>
        </w:rPr>
        <w:t> </w:t>
      </w:r>
      <w:r>
        <w:rPr>
          <w:w w:val="105"/>
        </w:rPr>
        <w:t>trademarks,</w:t>
      </w:r>
      <w:r>
        <w:rPr>
          <w:spacing w:val="-2"/>
          <w:w w:val="105"/>
        </w:rPr>
        <w:t> </w:t>
      </w:r>
      <w:r>
        <w:rPr>
          <w:w w:val="105"/>
        </w:rPr>
        <w:t>are</w:t>
      </w:r>
      <w:r>
        <w:rPr>
          <w:spacing w:val="-2"/>
          <w:w w:val="105"/>
        </w:rPr>
        <w:t> </w:t>
      </w:r>
      <w:r>
        <w:rPr>
          <w:w w:val="105"/>
        </w:rPr>
        <w:t>important</w:t>
      </w:r>
      <w:r>
        <w:rPr>
          <w:spacing w:val="-2"/>
          <w:w w:val="105"/>
        </w:rPr>
        <w:t> </w:t>
      </w:r>
      <w:r>
        <w:rPr>
          <w:w w:val="105"/>
        </w:rPr>
        <w:t>to</w:t>
      </w:r>
      <w:r>
        <w:rPr>
          <w:spacing w:val="-2"/>
          <w:w w:val="105"/>
        </w:rPr>
        <w:t> </w:t>
      </w:r>
      <w:r>
        <w:rPr>
          <w:w w:val="105"/>
        </w:rPr>
        <w:t>the</w:t>
      </w:r>
      <w:r>
        <w:rPr>
          <w:spacing w:val="-2"/>
          <w:w w:val="105"/>
        </w:rPr>
        <w:t> </w:t>
      </w:r>
      <w:r>
        <w:rPr>
          <w:w w:val="105"/>
        </w:rPr>
        <w:t>segment.</w:t>
      </w:r>
      <w:r>
        <w:rPr>
          <w:spacing w:val="-2"/>
          <w:w w:val="105"/>
        </w:rPr>
        <w:t> </w:t>
      </w:r>
      <w:r>
        <w:rPr>
          <w:w w:val="105"/>
        </w:rPr>
        <w:t>Refer</w:t>
      </w:r>
      <w:r>
        <w:rPr>
          <w:spacing w:val="-2"/>
          <w:w w:val="105"/>
        </w:rPr>
        <w:t> </w:t>
      </w:r>
      <w:r>
        <w:rPr>
          <w:w w:val="105"/>
        </w:rPr>
        <w:t>to</w:t>
      </w:r>
      <w:r>
        <w:rPr>
          <w:spacing w:val="-2"/>
          <w:w w:val="105"/>
        </w:rPr>
        <w:t> </w:t>
      </w:r>
      <w:r>
        <w:rPr>
          <w:w w:val="105"/>
        </w:rPr>
        <w:t>the</w:t>
      </w:r>
      <w:r>
        <w:rPr>
          <w:spacing w:val="-2"/>
          <w:w w:val="105"/>
        </w:rPr>
        <w:t> </w:t>
      </w:r>
      <w:r>
        <w:rPr>
          <w:w w:val="105"/>
        </w:rPr>
        <w:t>material</w:t>
      </w:r>
      <w:r>
        <w:rPr>
          <w:spacing w:val="-2"/>
          <w:w w:val="105"/>
        </w:rPr>
        <w:t> </w:t>
      </w:r>
      <w:r>
        <w:rPr>
          <w:w w:val="105"/>
        </w:rPr>
        <w:t>under</w:t>
      </w:r>
      <w:r>
        <w:rPr>
          <w:spacing w:val="-2"/>
          <w:w w:val="105"/>
        </w:rPr>
        <w:t> </w:t>
      </w:r>
      <w:r>
        <w:rPr>
          <w:w w:val="105"/>
        </w:rPr>
        <w:t>the</w:t>
      </w:r>
      <w:r>
        <w:rPr>
          <w:spacing w:val="-2"/>
          <w:w w:val="105"/>
        </w:rPr>
        <w:t> </w:t>
      </w:r>
      <w:r>
        <w:rPr>
          <w:w w:val="105"/>
        </w:rPr>
        <w:t>heading</w:t>
      </w:r>
      <w:r>
        <w:rPr>
          <w:spacing w:val="-2"/>
          <w:w w:val="105"/>
        </w:rPr>
        <w:t> </w:t>
      </w:r>
      <w:r>
        <w:rPr>
          <w:w w:val="105"/>
        </w:rPr>
        <w:t>“Patents and</w:t>
      </w:r>
      <w:r>
        <w:rPr>
          <w:spacing w:val="-2"/>
          <w:w w:val="105"/>
        </w:rPr>
        <w:t> </w:t>
      </w:r>
      <w:r>
        <w:rPr>
          <w:w w:val="105"/>
        </w:rPr>
        <w:t>Trademarks”</w:t>
      </w:r>
      <w:r>
        <w:rPr>
          <w:spacing w:val="-2"/>
          <w:w w:val="105"/>
        </w:rPr>
        <w:t> </w:t>
      </w:r>
      <w:r>
        <w:rPr>
          <w:w w:val="105"/>
        </w:rPr>
        <w:t>for</w:t>
      </w:r>
      <w:r>
        <w:rPr>
          <w:spacing w:val="-2"/>
          <w:w w:val="105"/>
        </w:rPr>
        <w:t> </w:t>
      </w:r>
      <w:r>
        <w:rPr>
          <w:w w:val="105"/>
        </w:rPr>
        <w:t>more </w:t>
      </w:r>
      <w:r>
        <w:rPr>
          <w:spacing w:val="-2"/>
          <w:w w:val="105"/>
        </w:rPr>
        <w:t>information.</w:t>
      </w:r>
    </w:p>
    <w:p>
      <w:pPr>
        <w:pStyle w:val="BodyText"/>
        <w:spacing w:before="19"/>
      </w:pPr>
    </w:p>
    <w:p>
      <w:pPr>
        <w:pStyle w:val="BodyText"/>
        <w:ind w:left="156"/>
      </w:pPr>
      <w:r>
        <w:rPr>
          <w:w w:val="105"/>
        </w:rPr>
        <w:t>The</w:t>
      </w:r>
      <w:r>
        <w:rPr>
          <w:spacing w:val="-11"/>
          <w:w w:val="105"/>
        </w:rPr>
        <w:t> </w:t>
      </w:r>
      <w:r>
        <w:rPr>
          <w:w w:val="105"/>
        </w:rPr>
        <w:t>Life</w:t>
      </w:r>
      <w:r>
        <w:rPr>
          <w:spacing w:val="-10"/>
          <w:w w:val="105"/>
        </w:rPr>
        <w:t> </w:t>
      </w:r>
      <w:r>
        <w:rPr>
          <w:w w:val="105"/>
        </w:rPr>
        <w:t>Sciences</w:t>
      </w:r>
      <w:r>
        <w:rPr>
          <w:spacing w:val="-10"/>
          <w:w w:val="105"/>
        </w:rPr>
        <w:t> </w:t>
      </w:r>
      <w:r>
        <w:rPr>
          <w:w w:val="105"/>
        </w:rPr>
        <w:t>segment</w:t>
      </w:r>
      <w:r>
        <w:rPr>
          <w:spacing w:val="-9"/>
          <w:w w:val="105"/>
        </w:rPr>
        <w:t> </w:t>
      </w:r>
      <w:r>
        <w:rPr>
          <w:w w:val="105"/>
        </w:rPr>
        <w:t>represented</w:t>
      </w:r>
      <w:r>
        <w:rPr>
          <w:spacing w:val="-11"/>
          <w:w w:val="105"/>
        </w:rPr>
        <w:t> </w:t>
      </w:r>
      <w:r>
        <w:rPr>
          <w:w w:val="105"/>
        </w:rPr>
        <w:t>9%</w:t>
      </w:r>
      <w:r>
        <w:rPr>
          <w:spacing w:val="-10"/>
          <w:w w:val="105"/>
        </w:rPr>
        <w:t> </w:t>
      </w:r>
      <w:r>
        <w:rPr>
          <w:w w:val="105"/>
        </w:rPr>
        <w:t>of</w:t>
      </w:r>
      <w:r>
        <w:rPr>
          <w:spacing w:val="-10"/>
          <w:w w:val="105"/>
        </w:rPr>
        <w:t> </w:t>
      </w:r>
      <w:r>
        <w:rPr>
          <w:w w:val="105"/>
        </w:rPr>
        <w:t>Corning’s</w:t>
      </w:r>
      <w:r>
        <w:rPr>
          <w:spacing w:val="-11"/>
          <w:w w:val="105"/>
        </w:rPr>
        <w:t> </w:t>
      </w:r>
      <w:r>
        <w:rPr>
          <w:w w:val="105"/>
        </w:rPr>
        <w:t>consolidated</w:t>
      </w:r>
      <w:r>
        <w:rPr>
          <w:spacing w:val="-10"/>
          <w:w w:val="105"/>
        </w:rPr>
        <w:t> </w:t>
      </w:r>
      <w:r>
        <w:rPr>
          <w:w w:val="105"/>
        </w:rPr>
        <w:t>net</w:t>
      </w:r>
      <w:r>
        <w:rPr>
          <w:spacing w:val="-10"/>
          <w:w w:val="105"/>
        </w:rPr>
        <w:t> </w:t>
      </w:r>
      <w:r>
        <w:rPr>
          <w:w w:val="105"/>
        </w:rPr>
        <w:t>sales</w:t>
      </w:r>
      <w:r>
        <w:rPr>
          <w:spacing w:val="-11"/>
          <w:w w:val="105"/>
        </w:rPr>
        <w:t> </w:t>
      </w:r>
      <w:r>
        <w:rPr>
          <w:w w:val="105"/>
        </w:rPr>
        <w:t>in</w:t>
      </w:r>
      <w:r>
        <w:rPr>
          <w:spacing w:val="-10"/>
          <w:w w:val="105"/>
        </w:rPr>
        <w:t> </w:t>
      </w:r>
      <w:r>
        <w:rPr>
          <w:spacing w:val="-2"/>
          <w:w w:val="105"/>
        </w:rPr>
        <w:t>2021.</w:t>
      </w:r>
    </w:p>
    <w:p>
      <w:pPr>
        <w:pStyle w:val="BodyText"/>
        <w:spacing w:before="39"/>
      </w:pPr>
    </w:p>
    <w:p>
      <w:pPr>
        <w:pStyle w:val="BodyText"/>
        <w:spacing w:before="1"/>
        <w:ind w:left="48"/>
        <w:jc w:val="center"/>
      </w:pPr>
      <w:r>
        <w:rPr>
          <w:spacing w:val="-10"/>
          <w:w w:val="105"/>
        </w:rPr>
        <w:t>5</w:t>
      </w:r>
    </w:p>
    <w:p>
      <w:pPr>
        <w:pStyle w:val="BodyText"/>
        <w:spacing w:before="11"/>
        <w:rPr>
          <w:sz w:val="5"/>
        </w:rPr>
      </w:pPr>
      <w:r>
        <w:rPr/>
        <mc:AlternateContent>
          <mc:Choice Requires="wps">
            <w:drawing>
              <wp:anchor distT="0" distB="0" distL="0" distR="0" allowOverlap="1" layoutInCell="1" locked="0" behindDoc="1" simplePos="0" relativeHeight="487591424">
                <wp:simplePos x="0" y="0"/>
                <wp:positionH relativeFrom="page">
                  <wp:posOffset>226488</wp:posOffset>
                </wp:positionH>
                <wp:positionV relativeFrom="paragraph">
                  <wp:posOffset>58734</wp:posOffset>
                </wp:positionV>
                <wp:extent cx="7312659" cy="1651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725056;mso-wrap-distance-left:0;mso-wrap-distance-right:0" id="docshape9"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spacing w:before="0"/>
        <w:ind w:left="156" w:right="0" w:firstLine="0"/>
        <w:jc w:val="left"/>
        <w:rPr>
          <w:i/>
          <w:sz w:val="16"/>
        </w:rPr>
      </w:pPr>
      <w:r>
        <w:rPr>
          <w:i/>
          <w:w w:val="105"/>
          <w:sz w:val="16"/>
        </w:rPr>
        <w:t>All</w:t>
      </w:r>
      <w:r>
        <w:rPr>
          <w:i/>
          <w:spacing w:val="-7"/>
          <w:w w:val="105"/>
          <w:sz w:val="16"/>
        </w:rPr>
        <w:t> </w:t>
      </w:r>
      <w:r>
        <w:rPr>
          <w:i/>
          <w:spacing w:val="-2"/>
          <w:w w:val="105"/>
          <w:sz w:val="16"/>
        </w:rPr>
        <w:t>Other</w:t>
      </w:r>
    </w:p>
    <w:p>
      <w:pPr>
        <w:pStyle w:val="BodyText"/>
        <w:spacing w:before="40"/>
        <w:rPr>
          <w:i/>
        </w:rPr>
      </w:pPr>
    </w:p>
    <w:p>
      <w:pPr>
        <w:pStyle w:val="BodyText"/>
        <w:spacing w:line="266" w:lineRule="auto"/>
        <w:ind w:left="156"/>
      </w:pPr>
      <w:r>
        <w:rPr>
          <w:w w:val="105"/>
        </w:rPr>
        <w:t>All</w:t>
      </w:r>
      <w:r>
        <w:rPr>
          <w:spacing w:val="-2"/>
          <w:w w:val="105"/>
        </w:rPr>
        <w:t> </w:t>
      </w:r>
      <w:r>
        <w:rPr>
          <w:w w:val="105"/>
        </w:rPr>
        <w:t>other</w:t>
      </w:r>
      <w:r>
        <w:rPr>
          <w:spacing w:val="-2"/>
          <w:w w:val="105"/>
        </w:rPr>
        <w:t> </w:t>
      </w:r>
      <w:r>
        <w:rPr>
          <w:w w:val="105"/>
        </w:rPr>
        <w:t>businesses</w:t>
      </w:r>
      <w:r>
        <w:rPr>
          <w:spacing w:val="-2"/>
          <w:w w:val="105"/>
        </w:rPr>
        <w:t> </w:t>
      </w:r>
      <w:r>
        <w:rPr>
          <w:w w:val="105"/>
        </w:rPr>
        <w:t>that</w:t>
      </w:r>
      <w:r>
        <w:rPr>
          <w:spacing w:val="-2"/>
          <w:w w:val="105"/>
        </w:rPr>
        <w:t> </w:t>
      </w:r>
      <w:r>
        <w:rPr>
          <w:w w:val="105"/>
        </w:rPr>
        <w:t>do</w:t>
      </w:r>
      <w:r>
        <w:rPr>
          <w:spacing w:val="-2"/>
          <w:w w:val="105"/>
        </w:rPr>
        <w:t> </w:t>
      </w:r>
      <w:r>
        <w:rPr>
          <w:w w:val="105"/>
        </w:rPr>
        <w:t>not</w:t>
      </w:r>
      <w:r>
        <w:rPr>
          <w:spacing w:val="-2"/>
          <w:w w:val="105"/>
        </w:rPr>
        <w:t> </w:t>
      </w:r>
      <w:r>
        <w:rPr>
          <w:w w:val="105"/>
        </w:rPr>
        <w:t>meet</w:t>
      </w:r>
      <w:r>
        <w:rPr>
          <w:spacing w:val="-2"/>
          <w:w w:val="105"/>
        </w:rPr>
        <w:t> </w:t>
      </w:r>
      <w:r>
        <w:rPr>
          <w:w w:val="105"/>
        </w:rPr>
        <w:t>the</w:t>
      </w:r>
      <w:r>
        <w:rPr>
          <w:spacing w:val="-2"/>
          <w:w w:val="105"/>
        </w:rPr>
        <w:t> </w:t>
      </w:r>
      <w:r>
        <w:rPr>
          <w:w w:val="105"/>
        </w:rPr>
        <w:t>quantitative threshold</w:t>
      </w:r>
      <w:r>
        <w:rPr>
          <w:spacing w:val="-2"/>
          <w:w w:val="105"/>
        </w:rPr>
        <w:t> </w:t>
      </w:r>
      <w:r>
        <w:rPr>
          <w:w w:val="105"/>
        </w:rPr>
        <w:t>for</w:t>
      </w:r>
      <w:r>
        <w:rPr>
          <w:spacing w:val="-2"/>
          <w:w w:val="105"/>
        </w:rPr>
        <w:t> </w:t>
      </w:r>
      <w:r>
        <w:rPr>
          <w:w w:val="105"/>
        </w:rPr>
        <w:t>separate</w:t>
      </w:r>
      <w:r>
        <w:rPr>
          <w:spacing w:val="-2"/>
          <w:w w:val="105"/>
        </w:rPr>
        <w:t> </w:t>
      </w:r>
      <w:r>
        <w:rPr>
          <w:w w:val="105"/>
        </w:rPr>
        <w:t>reporting</w:t>
      </w:r>
      <w:r>
        <w:rPr>
          <w:spacing w:val="-2"/>
          <w:w w:val="105"/>
        </w:rPr>
        <w:t> </w:t>
      </w:r>
      <w:r>
        <w:rPr>
          <w:w w:val="105"/>
        </w:rPr>
        <w:t>have</w:t>
      </w:r>
      <w:r>
        <w:rPr>
          <w:spacing w:val="-2"/>
          <w:w w:val="105"/>
        </w:rPr>
        <w:t> </w:t>
      </w:r>
      <w:r>
        <w:rPr>
          <w:w w:val="105"/>
        </w:rPr>
        <w:t>been</w:t>
      </w:r>
      <w:r>
        <w:rPr>
          <w:spacing w:val="-2"/>
          <w:w w:val="105"/>
        </w:rPr>
        <w:t> </w:t>
      </w:r>
      <w:r>
        <w:rPr>
          <w:w w:val="105"/>
        </w:rPr>
        <w:t>grouped</w:t>
      </w:r>
      <w:r>
        <w:rPr>
          <w:spacing w:val="-2"/>
          <w:w w:val="105"/>
        </w:rPr>
        <w:t> </w:t>
      </w:r>
      <w:r>
        <w:rPr>
          <w:w w:val="105"/>
        </w:rPr>
        <w:t>as</w:t>
      </w:r>
      <w:r>
        <w:rPr>
          <w:spacing w:val="-2"/>
          <w:w w:val="105"/>
        </w:rPr>
        <w:t> </w:t>
      </w:r>
      <w:r>
        <w:rPr>
          <w:w w:val="105"/>
        </w:rPr>
        <w:t>“All</w:t>
      </w:r>
      <w:r>
        <w:rPr>
          <w:spacing w:val="-2"/>
          <w:w w:val="105"/>
        </w:rPr>
        <w:t> </w:t>
      </w:r>
      <w:r>
        <w:rPr>
          <w:w w:val="105"/>
        </w:rPr>
        <w:t>Other.”</w:t>
      </w:r>
      <w:r>
        <w:rPr>
          <w:spacing w:val="-2"/>
          <w:w w:val="105"/>
        </w:rPr>
        <w:t> </w:t>
      </w:r>
      <w:r>
        <w:rPr>
          <w:w w:val="105"/>
        </w:rPr>
        <w:t>The</w:t>
      </w:r>
      <w:r>
        <w:rPr>
          <w:spacing w:val="-2"/>
          <w:w w:val="105"/>
        </w:rPr>
        <w:t> </w:t>
      </w:r>
      <w:r>
        <w:rPr>
          <w:w w:val="105"/>
        </w:rPr>
        <w:t>Company</w:t>
      </w:r>
      <w:r>
        <w:rPr>
          <w:spacing w:val="-2"/>
          <w:w w:val="105"/>
        </w:rPr>
        <w:t> </w:t>
      </w:r>
      <w:r>
        <w:rPr>
          <w:w w:val="105"/>
        </w:rPr>
        <w:t>obtained</w:t>
      </w:r>
      <w:r>
        <w:rPr>
          <w:spacing w:val="-2"/>
          <w:w w:val="105"/>
        </w:rPr>
        <w:t> </w:t>
      </w:r>
      <w:r>
        <w:rPr>
          <w:w w:val="105"/>
        </w:rPr>
        <w:t>a</w:t>
      </w:r>
      <w:r>
        <w:rPr>
          <w:spacing w:val="-2"/>
          <w:w w:val="105"/>
        </w:rPr>
        <w:t> </w:t>
      </w:r>
      <w:r>
        <w:rPr>
          <w:w w:val="105"/>
        </w:rPr>
        <w:t>controlling</w:t>
      </w:r>
      <w:r>
        <w:rPr>
          <w:spacing w:val="-2"/>
          <w:w w:val="105"/>
        </w:rPr>
        <w:t> </w:t>
      </w:r>
      <w:r>
        <w:rPr>
          <w:w w:val="105"/>
        </w:rPr>
        <w:t>interest</w:t>
      </w:r>
      <w:r>
        <w:rPr>
          <w:spacing w:val="-2"/>
          <w:w w:val="105"/>
        </w:rPr>
        <w:t> </w:t>
      </w:r>
      <w:r>
        <w:rPr>
          <w:w w:val="105"/>
        </w:rPr>
        <w:t>in Hemlock</w:t>
      </w:r>
      <w:r>
        <w:rPr>
          <w:spacing w:val="-2"/>
          <w:w w:val="105"/>
        </w:rPr>
        <w:t> </w:t>
      </w:r>
      <w:r>
        <w:rPr>
          <w:w w:val="105"/>
        </w:rPr>
        <w:t>Semiconductor</w:t>
      </w:r>
      <w:r>
        <w:rPr>
          <w:spacing w:val="-2"/>
          <w:w w:val="105"/>
        </w:rPr>
        <w:t> </w:t>
      </w:r>
      <w:r>
        <w:rPr>
          <w:w w:val="105"/>
        </w:rPr>
        <w:t>Group</w:t>
      </w:r>
      <w:r>
        <w:rPr>
          <w:spacing w:val="-2"/>
          <w:w w:val="105"/>
        </w:rPr>
        <w:t> </w:t>
      </w:r>
      <w:r>
        <w:rPr>
          <w:w w:val="105"/>
        </w:rPr>
        <w:t>(“HSG”)</w:t>
      </w:r>
      <w:r>
        <w:rPr>
          <w:spacing w:val="-2"/>
          <w:w w:val="105"/>
        </w:rPr>
        <w:t> </w:t>
      </w:r>
      <w:r>
        <w:rPr>
          <w:w w:val="105"/>
        </w:rPr>
        <w:t>during the</w:t>
      </w:r>
      <w:r>
        <w:rPr>
          <w:spacing w:val="-2"/>
          <w:w w:val="105"/>
        </w:rPr>
        <w:t> </w:t>
      </w:r>
      <w:r>
        <w:rPr>
          <w:w w:val="105"/>
        </w:rPr>
        <w:t>third</w:t>
      </w:r>
      <w:r>
        <w:rPr>
          <w:spacing w:val="-2"/>
          <w:w w:val="105"/>
        </w:rPr>
        <w:t> </w:t>
      </w:r>
      <w:r>
        <w:rPr>
          <w:w w:val="105"/>
        </w:rPr>
        <w:t>quarter</w:t>
      </w:r>
      <w:r>
        <w:rPr>
          <w:spacing w:val="-2"/>
          <w:w w:val="105"/>
        </w:rPr>
        <w:t> </w:t>
      </w:r>
      <w:r>
        <w:rPr>
          <w:w w:val="105"/>
        </w:rPr>
        <w:t>of</w:t>
      </w:r>
      <w:r>
        <w:rPr>
          <w:spacing w:val="-2"/>
          <w:w w:val="105"/>
        </w:rPr>
        <w:t> </w:t>
      </w:r>
      <w:r>
        <w:rPr>
          <w:w w:val="105"/>
        </w:rPr>
        <w:t>2020</w:t>
      </w:r>
      <w:r>
        <w:rPr>
          <w:spacing w:val="-2"/>
          <w:w w:val="105"/>
        </w:rPr>
        <w:t> </w:t>
      </w:r>
      <w:r>
        <w:rPr>
          <w:w w:val="105"/>
        </w:rPr>
        <w:t>and</w:t>
      </w:r>
      <w:r>
        <w:rPr>
          <w:spacing w:val="-2"/>
          <w:w w:val="105"/>
        </w:rPr>
        <w:t> </w:t>
      </w:r>
      <w:r>
        <w:rPr>
          <w:w w:val="105"/>
        </w:rPr>
        <w:t>has consolidated</w:t>
      </w:r>
      <w:r>
        <w:rPr>
          <w:spacing w:val="-2"/>
          <w:w w:val="105"/>
        </w:rPr>
        <w:t> </w:t>
      </w:r>
      <w:r>
        <w:rPr>
          <w:w w:val="105"/>
        </w:rPr>
        <w:t>results</w:t>
      </w:r>
      <w:r>
        <w:rPr>
          <w:spacing w:val="-2"/>
          <w:w w:val="105"/>
        </w:rPr>
        <w:t> </w:t>
      </w:r>
      <w:r>
        <w:rPr>
          <w:w w:val="105"/>
        </w:rPr>
        <w:t>in</w:t>
      </w:r>
      <w:r>
        <w:rPr>
          <w:spacing w:val="-2"/>
          <w:w w:val="105"/>
        </w:rPr>
        <w:t> </w:t>
      </w:r>
      <w:r>
        <w:rPr>
          <w:w w:val="105"/>
        </w:rPr>
        <w:t>“All</w:t>
      </w:r>
      <w:r>
        <w:rPr>
          <w:spacing w:val="-2"/>
          <w:w w:val="105"/>
        </w:rPr>
        <w:t> </w:t>
      </w:r>
      <w:r>
        <w:rPr>
          <w:w w:val="105"/>
        </w:rPr>
        <w:t>Other”</w:t>
      </w:r>
      <w:r>
        <w:rPr>
          <w:spacing w:val="-2"/>
          <w:w w:val="105"/>
        </w:rPr>
        <w:t> </w:t>
      </w:r>
      <w:r>
        <w:rPr>
          <w:w w:val="105"/>
        </w:rPr>
        <w:t>beginning</w:t>
      </w:r>
      <w:r>
        <w:rPr>
          <w:spacing w:val="-2"/>
          <w:w w:val="105"/>
        </w:rPr>
        <w:t> </w:t>
      </w:r>
      <w:r>
        <w:rPr>
          <w:w w:val="105"/>
        </w:rPr>
        <w:t>on</w:t>
      </w:r>
      <w:r>
        <w:rPr>
          <w:spacing w:val="-2"/>
          <w:w w:val="105"/>
        </w:rPr>
        <w:t> </w:t>
      </w:r>
      <w:r>
        <w:rPr>
          <w:w w:val="105"/>
        </w:rPr>
        <w:t>September</w:t>
      </w:r>
      <w:r>
        <w:rPr>
          <w:spacing w:val="-2"/>
          <w:w w:val="105"/>
        </w:rPr>
        <w:t> </w:t>
      </w:r>
      <w:r>
        <w:rPr>
          <w:w w:val="105"/>
        </w:rPr>
        <w:t>9,</w:t>
      </w:r>
      <w:r>
        <w:rPr>
          <w:spacing w:val="-2"/>
          <w:w w:val="105"/>
        </w:rPr>
        <w:t> </w:t>
      </w:r>
      <w:r>
        <w:rPr>
          <w:w w:val="105"/>
        </w:rPr>
        <w:t>2020.</w:t>
      </w:r>
      <w:r>
        <w:rPr>
          <w:spacing w:val="-2"/>
          <w:w w:val="105"/>
        </w:rPr>
        <w:t> </w:t>
      </w:r>
      <w:r>
        <w:rPr>
          <w:w w:val="105"/>
        </w:rPr>
        <w:t>This</w:t>
      </w:r>
      <w:r>
        <w:rPr>
          <w:spacing w:val="-2"/>
          <w:w w:val="105"/>
        </w:rPr>
        <w:t> </w:t>
      </w:r>
      <w:r>
        <w:rPr>
          <w:w w:val="105"/>
        </w:rPr>
        <w:t>group is comprised</w:t>
      </w:r>
      <w:r>
        <w:rPr>
          <w:spacing w:val="-9"/>
          <w:w w:val="105"/>
        </w:rPr>
        <w:t> </w:t>
      </w:r>
      <w:r>
        <w:rPr>
          <w:w w:val="105"/>
        </w:rPr>
        <w:t>of</w:t>
      </w:r>
      <w:r>
        <w:rPr>
          <w:spacing w:val="-9"/>
          <w:w w:val="105"/>
        </w:rPr>
        <w:t> </w:t>
      </w:r>
      <w:r>
        <w:rPr>
          <w:w w:val="105"/>
        </w:rPr>
        <w:t>the</w:t>
      </w:r>
      <w:r>
        <w:rPr>
          <w:spacing w:val="-9"/>
          <w:w w:val="105"/>
        </w:rPr>
        <w:t> </w:t>
      </w:r>
      <w:r>
        <w:rPr>
          <w:w w:val="105"/>
        </w:rPr>
        <w:t>results</w:t>
      </w:r>
      <w:r>
        <w:rPr>
          <w:spacing w:val="-9"/>
          <w:w w:val="105"/>
        </w:rPr>
        <w:t> </w:t>
      </w:r>
      <w:r>
        <w:rPr>
          <w:w w:val="105"/>
        </w:rPr>
        <w:t>of</w:t>
      </w:r>
      <w:r>
        <w:rPr>
          <w:spacing w:val="-9"/>
          <w:w w:val="105"/>
        </w:rPr>
        <w:t> </w:t>
      </w:r>
      <w:r>
        <w:rPr>
          <w:w w:val="105"/>
        </w:rPr>
        <w:t>HSG,</w:t>
      </w:r>
      <w:r>
        <w:rPr>
          <w:spacing w:val="-9"/>
          <w:w w:val="105"/>
        </w:rPr>
        <w:t> </w:t>
      </w:r>
      <w:r>
        <w:rPr>
          <w:w w:val="105"/>
        </w:rPr>
        <w:t>the</w:t>
      </w:r>
      <w:r>
        <w:rPr>
          <w:spacing w:val="-9"/>
          <w:w w:val="105"/>
        </w:rPr>
        <w:t> </w:t>
      </w:r>
      <w:r>
        <w:rPr>
          <w:w w:val="105"/>
        </w:rPr>
        <w:t>pharmaceutical</w:t>
      </w:r>
      <w:r>
        <w:rPr>
          <w:spacing w:val="-9"/>
          <w:w w:val="105"/>
        </w:rPr>
        <w:t> </w:t>
      </w:r>
      <w:r>
        <w:rPr>
          <w:w w:val="105"/>
        </w:rPr>
        <w:t>technologies</w:t>
      </w:r>
      <w:r>
        <w:rPr>
          <w:spacing w:val="-9"/>
          <w:w w:val="105"/>
        </w:rPr>
        <w:t> </w:t>
      </w:r>
      <w:r>
        <w:rPr>
          <w:w w:val="105"/>
        </w:rPr>
        <w:t>business,</w:t>
      </w:r>
      <w:r>
        <w:rPr>
          <w:spacing w:val="-9"/>
          <w:w w:val="105"/>
        </w:rPr>
        <w:t> </w:t>
      </w:r>
      <w:r>
        <w:rPr>
          <w:w w:val="105"/>
        </w:rPr>
        <w:t>auto</w:t>
      </w:r>
      <w:r>
        <w:rPr>
          <w:spacing w:val="-9"/>
          <w:w w:val="105"/>
        </w:rPr>
        <w:t> </w:t>
      </w:r>
      <w:r>
        <w:rPr>
          <w:w w:val="105"/>
        </w:rPr>
        <w:t>glass,</w:t>
      </w:r>
      <w:r>
        <w:rPr>
          <w:spacing w:val="-9"/>
          <w:w w:val="105"/>
        </w:rPr>
        <w:t> </w:t>
      </w:r>
      <w:r>
        <w:rPr>
          <w:w w:val="105"/>
        </w:rPr>
        <w:t>new</w:t>
      </w:r>
      <w:r>
        <w:rPr>
          <w:spacing w:val="-9"/>
          <w:w w:val="105"/>
        </w:rPr>
        <w:t> </w:t>
      </w:r>
      <w:r>
        <w:rPr>
          <w:w w:val="105"/>
        </w:rPr>
        <w:t>product</w:t>
      </w:r>
      <w:r>
        <w:rPr>
          <w:spacing w:val="-7"/>
          <w:w w:val="105"/>
        </w:rPr>
        <w:t> </w:t>
      </w:r>
      <w:r>
        <w:rPr>
          <w:w w:val="105"/>
        </w:rPr>
        <w:t>lines</w:t>
      </w:r>
      <w:r>
        <w:rPr>
          <w:spacing w:val="-9"/>
          <w:w w:val="105"/>
        </w:rPr>
        <w:t> </w:t>
      </w:r>
      <w:r>
        <w:rPr>
          <w:w w:val="105"/>
        </w:rPr>
        <w:t>and</w:t>
      </w:r>
      <w:r>
        <w:rPr>
          <w:spacing w:val="-9"/>
          <w:w w:val="105"/>
        </w:rPr>
        <w:t> </w:t>
      </w:r>
      <w:r>
        <w:rPr>
          <w:w w:val="105"/>
        </w:rPr>
        <w:t>development</w:t>
      </w:r>
      <w:r>
        <w:rPr>
          <w:spacing w:val="-9"/>
          <w:w w:val="105"/>
        </w:rPr>
        <w:t> </w:t>
      </w:r>
      <w:r>
        <w:rPr>
          <w:w w:val="105"/>
        </w:rPr>
        <w:t>projects,</w:t>
      </w:r>
      <w:r>
        <w:rPr>
          <w:spacing w:val="-9"/>
          <w:w w:val="105"/>
        </w:rPr>
        <w:t> </w:t>
      </w:r>
      <w:r>
        <w:rPr>
          <w:w w:val="105"/>
        </w:rPr>
        <w:t>as</w:t>
      </w:r>
      <w:r>
        <w:rPr>
          <w:spacing w:val="-9"/>
          <w:w w:val="105"/>
        </w:rPr>
        <w:t> </w:t>
      </w:r>
      <w:r>
        <w:rPr>
          <w:w w:val="105"/>
        </w:rPr>
        <w:t>well</w:t>
      </w:r>
      <w:r>
        <w:rPr>
          <w:spacing w:val="-9"/>
          <w:w w:val="105"/>
        </w:rPr>
        <w:t> </w:t>
      </w:r>
      <w:r>
        <w:rPr>
          <w:w w:val="105"/>
        </w:rPr>
        <w:t>as</w:t>
      </w:r>
      <w:r>
        <w:rPr>
          <w:spacing w:val="-9"/>
          <w:w w:val="105"/>
        </w:rPr>
        <w:t> </w:t>
      </w:r>
      <w:r>
        <w:rPr>
          <w:w w:val="105"/>
        </w:rPr>
        <w:t>other</w:t>
      </w:r>
      <w:r>
        <w:rPr>
          <w:spacing w:val="-9"/>
          <w:w w:val="105"/>
        </w:rPr>
        <w:t> </w:t>
      </w:r>
      <w:r>
        <w:rPr>
          <w:w w:val="105"/>
        </w:rPr>
        <w:t>businesses</w:t>
      </w:r>
      <w:r>
        <w:rPr>
          <w:spacing w:val="-9"/>
          <w:w w:val="105"/>
        </w:rPr>
        <w:t> </w:t>
      </w:r>
      <w:r>
        <w:rPr>
          <w:w w:val="105"/>
        </w:rPr>
        <w:t>and</w:t>
      </w:r>
      <w:r>
        <w:rPr>
          <w:spacing w:val="-7"/>
          <w:w w:val="105"/>
        </w:rPr>
        <w:t> </w:t>
      </w:r>
      <w:r>
        <w:rPr>
          <w:w w:val="105"/>
        </w:rPr>
        <w:t>certain corporate</w:t>
      </w:r>
      <w:r>
        <w:rPr>
          <w:spacing w:val="-1"/>
          <w:w w:val="105"/>
        </w:rPr>
        <w:t> </w:t>
      </w:r>
      <w:r>
        <w:rPr>
          <w:w w:val="105"/>
        </w:rPr>
        <w:t>investments.</w:t>
      </w:r>
    </w:p>
    <w:p>
      <w:pPr>
        <w:pStyle w:val="BodyText"/>
        <w:spacing w:before="18"/>
      </w:pPr>
    </w:p>
    <w:p>
      <w:pPr>
        <w:pStyle w:val="BodyText"/>
        <w:spacing w:line="532" w:lineRule="auto"/>
        <w:ind w:left="156" w:right="405"/>
      </w:pPr>
      <w:r>
        <w:rPr>
          <w:w w:val="105"/>
        </w:rPr>
        <w:t>Refer</w:t>
      </w:r>
      <w:r>
        <w:rPr>
          <w:spacing w:val="-9"/>
          <w:w w:val="105"/>
        </w:rPr>
        <w:t> </w:t>
      </w:r>
      <w:r>
        <w:rPr>
          <w:w w:val="105"/>
        </w:rPr>
        <w:t>to</w:t>
      </w:r>
      <w:r>
        <w:rPr>
          <w:spacing w:val="-9"/>
          <w:w w:val="105"/>
        </w:rPr>
        <w:t> </w:t>
      </w:r>
      <w:r>
        <w:rPr>
          <w:w w:val="105"/>
        </w:rPr>
        <w:t>Note</w:t>
      </w:r>
      <w:r>
        <w:rPr>
          <w:spacing w:val="-9"/>
          <w:w w:val="105"/>
        </w:rPr>
        <w:t> </w:t>
      </w:r>
      <w:r>
        <w:rPr>
          <w:w w:val="105"/>
        </w:rPr>
        <w:t>3</w:t>
      </w:r>
      <w:r>
        <w:rPr>
          <w:spacing w:val="-9"/>
          <w:w w:val="105"/>
        </w:rPr>
        <w:t> </w:t>
      </w:r>
      <w:r>
        <w:rPr>
          <w:w w:val="105"/>
        </w:rPr>
        <w:t>(Investments)</w:t>
      </w:r>
      <w:r>
        <w:rPr>
          <w:spacing w:val="-9"/>
          <w:w w:val="105"/>
        </w:rPr>
        <w:t> </w:t>
      </w:r>
      <w:r>
        <w:rPr>
          <w:w w:val="105"/>
        </w:rPr>
        <w:t>and</w:t>
      </w:r>
      <w:r>
        <w:rPr>
          <w:spacing w:val="-9"/>
          <w:w w:val="105"/>
        </w:rPr>
        <w:t> </w:t>
      </w:r>
      <w:r>
        <w:rPr>
          <w:w w:val="105"/>
        </w:rPr>
        <w:t>Note</w:t>
      </w:r>
      <w:r>
        <w:rPr>
          <w:spacing w:val="-9"/>
          <w:w w:val="105"/>
        </w:rPr>
        <w:t> </w:t>
      </w:r>
      <w:r>
        <w:rPr>
          <w:w w:val="105"/>
        </w:rPr>
        <w:t>4</w:t>
      </w:r>
      <w:r>
        <w:rPr>
          <w:spacing w:val="-9"/>
          <w:w w:val="105"/>
        </w:rPr>
        <w:t> </w:t>
      </w:r>
      <w:r>
        <w:rPr>
          <w:w w:val="105"/>
        </w:rPr>
        <w:t>(HSG</w:t>
      </w:r>
      <w:r>
        <w:rPr>
          <w:spacing w:val="-9"/>
          <w:w w:val="105"/>
        </w:rPr>
        <w:t> </w:t>
      </w:r>
      <w:r>
        <w:rPr>
          <w:w w:val="105"/>
        </w:rPr>
        <w:t>Transactions</w:t>
      </w:r>
      <w:r>
        <w:rPr>
          <w:spacing w:val="-9"/>
          <w:w w:val="105"/>
        </w:rPr>
        <w:t> </w:t>
      </w:r>
      <w:r>
        <w:rPr>
          <w:w w:val="105"/>
        </w:rPr>
        <w:t>and</w:t>
      </w:r>
      <w:r>
        <w:rPr>
          <w:spacing w:val="-9"/>
          <w:w w:val="105"/>
        </w:rPr>
        <w:t> </w:t>
      </w:r>
      <w:r>
        <w:rPr>
          <w:w w:val="105"/>
        </w:rPr>
        <w:t>Acquisitions)</w:t>
      </w:r>
      <w:r>
        <w:rPr>
          <w:spacing w:val="-7"/>
          <w:w w:val="105"/>
        </w:rPr>
        <w:t> </w:t>
      </w:r>
      <w:r>
        <w:rPr>
          <w:w w:val="105"/>
        </w:rPr>
        <w:t>to</w:t>
      </w:r>
      <w:r>
        <w:rPr>
          <w:spacing w:val="-9"/>
          <w:w w:val="105"/>
        </w:rPr>
        <w:t> </w:t>
      </w:r>
      <w:r>
        <w:rPr>
          <w:w w:val="105"/>
        </w:rPr>
        <w:t>the</w:t>
      </w:r>
      <w:r>
        <w:rPr>
          <w:spacing w:val="-9"/>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for</w:t>
      </w:r>
      <w:r>
        <w:rPr>
          <w:spacing w:val="-9"/>
          <w:w w:val="105"/>
        </w:rPr>
        <w:t> </w:t>
      </w:r>
      <w:r>
        <w:rPr>
          <w:w w:val="105"/>
        </w:rPr>
        <w:t>additional</w:t>
      </w:r>
      <w:r>
        <w:rPr>
          <w:spacing w:val="-9"/>
          <w:w w:val="105"/>
        </w:rPr>
        <w:t> </w:t>
      </w:r>
      <w:r>
        <w:rPr>
          <w:w w:val="105"/>
        </w:rPr>
        <w:t>information</w:t>
      </w:r>
      <w:r>
        <w:rPr>
          <w:spacing w:val="-9"/>
          <w:w w:val="105"/>
        </w:rPr>
        <w:t> </w:t>
      </w:r>
      <w:r>
        <w:rPr>
          <w:w w:val="105"/>
        </w:rPr>
        <w:t>on</w:t>
      </w:r>
      <w:r>
        <w:rPr>
          <w:spacing w:val="-9"/>
          <w:w w:val="105"/>
        </w:rPr>
        <w:t> </w:t>
      </w:r>
      <w:r>
        <w:rPr>
          <w:w w:val="105"/>
        </w:rPr>
        <w:t>this</w:t>
      </w:r>
      <w:r>
        <w:rPr>
          <w:spacing w:val="-9"/>
          <w:w w:val="105"/>
        </w:rPr>
        <w:t> </w:t>
      </w:r>
      <w:r>
        <w:rPr>
          <w:w w:val="105"/>
        </w:rPr>
        <w:t>transaction. “All Other” represented 9% of Corning’s consolidated net sales in 2021.</w:t>
      </w:r>
    </w:p>
    <w:p>
      <w:pPr>
        <w:pStyle w:val="BodyText"/>
        <w:spacing w:line="266" w:lineRule="auto"/>
        <w:ind w:left="156"/>
      </w:pPr>
      <w:r>
        <w:rPr>
          <w:w w:val="105"/>
        </w:rPr>
        <w:t>Additional</w:t>
      </w:r>
      <w:r>
        <w:rPr>
          <w:spacing w:val="-10"/>
          <w:w w:val="105"/>
        </w:rPr>
        <w:t> </w:t>
      </w:r>
      <w:r>
        <w:rPr>
          <w:w w:val="105"/>
        </w:rPr>
        <w:t>explanation</w:t>
      </w:r>
      <w:r>
        <w:rPr>
          <w:spacing w:val="-10"/>
          <w:w w:val="105"/>
        </w:rPr>
        <w:t> </w:t>
      </w:r>
      <w:r>
        <w:rPr>
          <w:w w:val="105"/>
        </w:rPr>
        <w:t>regarding</w:t>
      </w:r>
      <w:r>
        <w:rPr>
          <w:spacing w:val="-10"/>
          <w:w w:val="105"/>
        </w:rPr>
        <w:t> </w:t>
      </w:r>
      <w:r>
        <w:rPr>
          <w:w w:val="105"/>
        </w:rPr>
        <w:t>Corning</w:t>
      </w:r>
      <w:r>
        <w:rPr>
          <w:spacing w:val="-10"/>
          <w:w w:val="105"/>
        </w:rPr>
        <w:t> </w:t>
      </w:r>
      <w:r>
        <w:rPr>
          <w:w w:val="105"/>
        </w:rPr>
        <w:t>and</w:t>
      </w:r>
      <w:r>
        <w:rPr>
          <w:spacing w:val="-10"/>
          <w:w w:val="105"/>
        </w:rPr>
        <w:t> </w:t>
      </w:r>
      <w:r>
        <w:rPr>
          <w:w w:val="105"/>
        </w:rPr>
        <w:t>its</w:t>
      </w:r>
      <w:r>
        <w:rPr>
          <w:spacing w:val="-10"/>
          <w:w w:val="105"/>
        </w:rPr>
        <w:t> </w:t>
      </w:r>
      <w:r>
        <w:rPr>
          <w:w w:val="105"/>
        </w:rPr>
        <w:t>five</w:t>
      </w:r>
      <w:r>
        <w:rPr>
          <w:spacing w:val="-10"/>
          <w:w w:val="105"/>
        </w:rPr>
        <w:t> </w:t>
      </w:r>
      <w:r>
        <w:rPr>
          <w:w w:val="105"/>
        </w:rPr>
        <w:t>reportable</w:t>
      </w:r>
      <w:r>
        <w:rPr>
          <w:spacing w:val="-10"/>
          <w:w w:val="105"/>
        </w:rPr>
        <w:t> </w:t>
      </w:r>
      <w:r>
        <w:rPr>
          <w:w w:val="105"/>
        </w:rPr>
        <w:t>segments,</w:t>
      </w:r>
      <w:r>
        <w:rPr>
          <w:spacing w:val="-10"/>
          <w:w w:val="105"/>
        </w:rPr>
        <w:t> </w:t>
      </w:r>
      <w:r>
        <w:rPr>
          <w:w w:val="105"/>
        </w:rPr>
        <w:t>as</w:t>
      </w:r>
      <w:r>
        <w:rPr>
          <w:spacing w:val="-10"/>
          <w:w w:val="105"/>
        </w:rPr>
        <w:t> </w:t>
      </w:r>
      <w:r>
        <w:rPr>
          <w:w w:val="105"/>
        </w:rPr>
        <w:t>well</w:t>
      </w:r>
      <w:r>
        <w:rPr>
          <w:spacing w:val="-10"/>
          <w:w w:val="105"/>
        </w:rPr>
        <w:t> </w:t>
      </w:r>
      <w:r>
        <w:rPr>
          <w:w w:val="105"/>
        </w:rPr>
        <w:t>as</w:t>
      </w:r>
      <w:r>
        <w:rPr>
          <w:spacing w:val="-10"/>
          <w:w w:val="105"/>
        </w:rPr>
        <w:t> </w:t>
      </w:r>
      <w:r>
        <w:rPr>
          <w:w w:val="105"/>
        </w:rPr>
        <w:t>financial</w:t>
      </w:r>
      <w:r>
        <w:rPr>
          <w:spacing w:val="-10"/>
          <w:w w:val="105"/>
        </w:rPr>
        <w:t> </w:t>
      </w:r>
      <w:r>
        <w:rPr>
          <w:w w:val="105"/>
        </w:rPr>
        <w:t>information</w:t>
      </w:r>
      <w:r>
        <w:rPr>
          <w:spacing w:val="-8"/>
          <w:w w:val="105"/>
        </w:rPr>
        <w:t> </w:t>
      </w:r>
      <w:r>
        <w:rPr>
          <w:w w:val="105"/>
        </w:rPr>
        <w:t>about</w:t>
      </w:r>
      <w:r>
        <w:rPr>
          <w:spacing w:val="-10"/>
          <w:w w:val="105"/>
        </w:rPr>
        <w:t> </w:t>
      </w:r>
      <w:r>
        <w:rPr>
          <w:w w:val="105"/>
        </w:rPr>
        <w:t>geographic</w:t>
      </w:r>
      <w:r>
        <w:rPr>
          <w:spacing w:val="-10"/>
          <w:w w:val="105"/>
        </w:rPr>
        <w:t> </w:t>
      </w:r>
      <w:r>
        <w:rPr>
          <w:w w:val="105"/>
        </w:rPr>
        <w:t>areas,</w:t>
      </w:r>
      <w:r>
        <w:rPr>
          <w:spacing w:val="-10"/>
          <w:w w:val="105"/>
        </w:rPr>
        <w:t> </w:t>
      </w:r>
      <w:r>
        <w:rPr>
          <w:w w:val="105"/>
        </w:rPr>
        <w:t>is</w:t>
      </w:r>
      <w:r>
        <w:rPr>
          <w:spacing w:val="-10"/>
          <w:w w:val="105"/>
        </w:rPr>
        <w:t> </w:t>
      </w:r>
      <w:r>
        <w:rPr>
          <w:w w:val="105"/>
        </w:rPr>
        <w:t>presented</w:t>
      </w:r>
      <w:r>
        <w:rPr>
          <w:spacing w:val="-10"/>
          <w:w w:val="105"/>
        </w:rPr>
        <w:t> </w:t>
      </w:r>
      <w:r>
        <w:rPr>
          <w:w w:val="105"/>
        </w:rPr>
        <w:t>in</w:t>
      </w:r>
      <w:r>
        <w:rPr>
          <w:spacing w:val="-10"/>
          <w:w w:val="105"/>
        </w:rPr>
        <w:t> </w:t>
      </w:r>
      <w:r>
        <w:rPr>
          <w:w w:val="105"/>
        </w:rPr>
        <w:t>Management’s</w:t>
      </w:r>
      <w:r>
        <w:rPr>
          <w:spacing w:val="-10"/>
          <w:w w:val="105"/>
        </w:rPr>
        <w:t> </w:t>
      </w:r>
      <w:r>
        <w:rPr>
          <w:w w:val="105"/>
        </w:rPr>
        <w:t>Discussion and</w:t>
      </w:r>
      <w:r>
        <w:rPr>
          <w:spacing w:val="-1"/>
          <w:w w:val="105"/>
        </w:rPr>
        <w:t> </w:t>
      </w:r>
      <w:r>
        <w:rPr>
          <w:w w:val="105"/>
        </w:rPr>
        <w:t>Analysis</w:t>
      </w:r>
      <w:r>
        <w:rPr>
          <w:spacing w:val="-1"/>
          <w:w w:val="105"/>
        </w:rPr>
        <w:t> </w:t>
      </w:r>
      <w:r>
        <w:rPr>
          <w:w w:val="105"/>
        </w:rPr>
        <w:t>of</w:t>
      </w:r>
      <w:r>
        <w:rPr>
          <w:spacing w:val="-1"/>
          <w:w w:val="105"/>
        </w:rPr>
        <w:t> </w:t>
      </w:r>
      <w:r>
        <w:rPr>
          <w:w w:val="105"/>
        </w:rPr>
        <w:t>Financial</w:t>
      </w:r>
      <w:r>
        <w:rPr>
          <w:spacing w:val="-1"/>
          <w:w w:val="105"/>
        </w:rPr>
        <w:t> </w:t>
      </w:r>
      <w:r>
        <w:rPr>
          <w:w w:val="105"/>
        </w:rPr>
        <w:t>Condition</w:t>
      </w:r>
      <w:r>
        <w:rPr>
          <w:spacing w:val="-1"/>
          <w:w w:val="105"/>
        </w:rPr>
        <w:t> </w:t>
      </w:r>
      <w:r>
        <w:rPr>
          <w:w w:val="105"/>
        </w:rPr>
        <w:t>and</w:t>
      </w:r>
      <w:r>
        <w:rPr>
          <w:spacing w:val="-1"/>
          <w:w w:val="105"/>
        </w:rPr>
        <w:t> </w:t>
      </w:r>
      <w:r>
        <w:rPr>
          <w:w w:val="105"/>
        </w:rPr>
        <w:t>Results</w:t>
      </w:r>
      <w:r>
        <w:rPr>
          <w:spacing w:val="-1"/>
          <w:w w:val="105"/>
        </w:rPr>
        <w:t> </w:t>
      </w:r>
      <w:r>
        <w:rPr>
          <w:w w:val="105"/>
        </w:rPr>
        <w:t>of</w:t>
      </w:r>
      <w:r>
        <w:rPr>
          <w:spacing w:val="-1"/>
          <w:w w:val="105"/>
        </w:rPr>
        <w:t> </w:t>
      </w:r>
      <w:r>
        <w:rPr>
          <w:w w:val="105"/>
        </w:rPr>
        <w:t>Operations</w:t>
      </w:r>
      <w:r>
        <w:rPr>
          <w:spacing w:val="-1"/>
          <w:w w:val="105"/>
        </w:rPr>
        <w:t> </w:t>
      </w:r>
      <w:r>
        <w:rPr>
          <w:w w:val="105"/>
        </w:rPr>
        <w:t>and</w:t>
      </w:r>
      <w:r>
        <w:rPr>
          <w:spacing w:val="-1"/>
          <w:w w:val="105"/>
        </w:rPr>
        <w:t> </w:t>
      </w:r>
      <w:r>
        <w:rPr>
          <w:w w:val="105"/>
        </w:rPr>
        <w:t>Note</w:t>
      </w:r>
      <w:r>
        <w:rPr>
          <w:spacing w:val="-1"/>
          <w:w w:val="105"/>
        </w:rPr>
        <w:t> </w:t>
      </w:r>
      <w:r>
        <w:rPr>
          <w:w w:val="105"/>
        </w:rPr>
        <w:t>20</w:t>
      </w:r>
      <w:r>
        <w:rPr>
          <w:spacing w:val="-1"/>
          <w:w w:val="105"/>
        </w:rPr>
        <w:t> </w:t>
      </w:r>
      <w:r>
        <w:rPr>
          <w:w w:val="105"/>
        </w:rPr>
        <w:t>(Reportable</w:t>
      </w:r>
      <w:r>
        <w:rPr>
          <w:spacing w:val="-1"/>
          <w:w w:val="105"/>
        </w:rPr>
        <w:t> </w:t>
      </w:r>
      <w:r>
        <w:rPr>
          <w:w w:val="105"/>
        </w:rPr>
        <w:t>Segments)</w:t>
      </w:r>
      <w:r>
        <w:rPr>
          <w:spacing w:val="-1"/>
          <w:w w:val="105"/>
        </w:rPr>
        <w:t> </w:t>
      </w:r>
      <w:r>
        <w:rPr>
          <w:w w:val="105"/>
        </w:rPr>
        <w:t>to</w:t>
      </w:r>
      <w:r>
        <w:rPr>
          <w:spacing w:val="-1"/>
          <w:w w:val="105"/>
        </w:rPr>
        <w:t> </w:t>
      </w:r>
      <w:r>
        <w:rPr>
          <w:w w:val="105"/>
        </w:rPr>
        <w:t>the</w:t>
      </w:r>
      <w:r>
        <w:rPr>
          <w:spacing w:val="-1"/>
          <w:w w:val="105"/>
        </w:rPr>
        <w:t> </w:t>
      </w:r>
      <w:r>
        <w:rPr>
          <w:w w:val="105"/>
        </w:rPr>
        <w:t>consolidated</w:t>
      </w:r>
      <w:r>
        <w:rPr>
          <w:spacing w:val="-1"/>
          <w:w w:val="105"/>
        </w:rPr>
        <w:t> </w:t>
      </w:r>
      <w:r>
        <w:rPr>
          <w:w w:val="105"/>
        </w:rPr>
        <w:t>financial</w:t>
      </w:r>
      <w:r>
        <w:rPr>
          <w:spacing w:val="-1"/>
          <w:w w:val="105"/>
        </w:rPr>
        <w:t> </w:t>
      </w:r>
      <w:r>
        <w:rPr>
          <w:w w:val="105"/>
        </w:rPr>
        <w:t>statements.</w:t>
      </w:r>
    </w:p>
    <w:p>
      <w:pPr>
        <w:pStyle w:val="BodyText"/>
        <w:spacing w:before="17"/>
      </w:pPr>
    </w:p>
    <w:p>
      <w:pPr>
        <w:pStyle w:val="Heading3"/>
      </w:pPr>
      <w:r>
        <w:rPr>
          <w:spacing w:val="-2"/>
          <w:w w:val="105"/>
        </w:rPr>
        <w:t>Competition</w:t>
      </w:r>
    </w:p>
    <w:p>
      <w:pPr>
        <w:pStyle w:val="BodyText"/>
        <w:spacing w:before="40"/>
        <w:rPr>
          <w:b/>
          <w:i/>
        </w:rPr>
      </w:pPr>
    </w:p>
    <w:p>
      <w:pPr>
        <w:pStyle w:val="BodyText"/>
        <w:spacing w:line="266" w:lineRule="auto"/>
        <w:ind w:left="156"/>
      </w:pPr>
      <w:r>
        <w:rPr>
          <w:w w:val="105"/>
        </w:rPr>
        <w:t>Corning</w:t>
      </w:r>
      <w:r>
        <w:rPr>
          <w:spacing w:val="-8"/>
          <w:w w:val="105"/>
        </w:rPr>
        <w:t> </w:t>
      </w:r>
      <w:r>
        <w:rPr>
          <w:w w:val="105"/>
        </w:rPr>
        <w:t>competes</w:t>
      </w:r>
      <w:r>
        <w:rPr>
          <w:spacing w:val="-9"/>
          <w:w w:val="105"/>
        </w:rPr>
        <w:t> </w:t>
      </w:r>
      <w:r>
        <w:rPr>
          <w:w w:val="105"/>
        </w:rPr>
        <w:t>with</w:t>
      </w:r>
      <w:r>
        <w:rPr>
          <w:spacing w:val="-8"/>
          <w:w w:val="105"/>
        </w:rPr>
        <w:t> </w:t>
      </w:r>
      <w:r>
        <w:rPr>
          <w:w w:val="105"/>
        </w:rPr>
        <w:t>many</w:t>
      </w:r>
      <w:r>
        <w:rPr>
          <w:spacing w:val="-9"/>
          <w:w w:val="105"/>
        </w:rPr>
        <w:t> </w:t>
      </w:r>
      <w:r>
        <w:rPr>
          <w:w w:val="105"/>
        </w:rPr>
        <w:t>large</w:t>
      </w:r>
      <w:r>
        <w:rPr>
          <w:spacing w:val="-8"/>
          <w:w w:val="105"/>
        </w:rPr>
        <w:t> </w:t>
      </w:r>
      <w:r>
        <w:rPr>
          <w:w w:val="105"/>
        </w:rPr>
        <w:t>and</w:t>
      </w:r>
      <w:r>
        <w:rPr>
          <w:spacing w:val="-9"/>
          <w:w w:val="105"/>
        </w:rPr>
        <w:t> </w:t>
      </w:r>
      <w:r>
        <w:rPr>
          <w:w w:val="105"/>
        </w:rPr>
        <w:t>varied</w:t>
      </w:r>
      <w:r>
        <w:rPr>
          <w:spacing w:val="-8"/>
          <w:w w:val="105"/>
        </w:rPr>
        <w:t> </w:t>
      </w:r>
      <w:r>
        <w:rPr>
          <w:w w:val="105"/>
        </w:rPr>
        <w:t>manufacturers,</w:t>
      </w:r>
      <w:r>
        <w:rPr>
          <w:spacing w:val="-9"/>
          <w:w w:val="105"/>
        </w:rPr>
        <w:t> </w:t>
      </w:r>
      <w:r>
        <w:rPr>
          <w:w w:val="105"/>
        </w:rPr>
        <w:t>both</w:t>
      </w:r>
      <w:r>
        <w:rPr>
          <w:spacing w:val="-8"/>
          <w:w w:val="105"/>
        </w:rPr>
        <w:t> </w:t>
      </w:r>
      <w:r>
        <w:rPr>
          <w:w w:val="105"/>
        </w:rPr>
        <w:t>domestic</w:t>
      </w:r>
      <w:r>
        <w:rPr>
          <w:spacing w:val="-9"/>
          <w:w w:val="105"/>
        </w:rPr>
        <w:t> </w:t>
      </w:r>
      <w:r>
        <w:rPr>
          <w:w w:val="105"/>
        </w:rPr>
        <w:t>and</w:t>
      </w:r>
      <w:r>
        <w:rPr>
          <w:spacing w:val="-8"/>
          <w:w w:val="105"/>
        </w:rPr>
        <w:t> </w:t>
      </w:r>
      <w:r>
        <w:rPr>
          <w:w w:val="105"/>
        </w:rPr>
        <w:t>foreign.</w:t>
      </w:r>
      <w:r>
        <w:rPr>
          <w:spacing w:val="-9"/>
          <w:w w:val="105"/>
        </w:rPr>
        <w:t> </w:t>
      </w:r>
      <w:r>
        <w:rPr>
          <w:w w:val="105"/>
        </w:rPr>
        <w:t>Some</w:t>
      </w:r>
      <w:r>
        <w:rPr>
          <w:spacing w:val="-8"/>
          <w:w w:val="105"/>
        </w:rPr>
        <w:t> </w:t>
      </w:r>
      <w:r>
        <w:rPr>
          <w:w w:val="105"/>
        </w:rPr>
        <w:t>of</w:t>
      </w:r>
      <w:r>
        <w:rPr>
          <w:spacing w:val="-9"/>
          <w:w w:val="105"/>
        </w:rPr>
        <w:t> </w:t>
      </w:r>
      <w:r>
        <w:rPr>
          <w:w w:val="105"/>
        </w:rPr>
        <w:t>these</w:t>
      </w:r>
      <w:r>
        <w:rPr>
          <w:spacing w:val="-8"/>
          <w:w w:val="105"/>
        </w:rPr>
        <w:t> </w:t>
      </w:r>
      <w:r>
        <w:rPr>
          <w:w w:val="105"/>
        </w:rPr>
        <w:t>competitors</w:t>
      </w:r>
      <w:r>
        <w:rPr>
          <w:spacing w:val="-9"/>
          <w:w w:val="105"/>
        </w:rPr>
        <w:t> </w:t>
      </w:r>
      <w:r>
        <w:rPr>
          <w:w w:val="105"/>
        </w:rPr>
        <w:t>are</w:t>
      </w:r>
      <w:r>
        <w:rPr>
          <w:spacing w:val="-8"/>
          <w:w w:val="105"/>
        </w:rPr>
        <w:t> </w:t>
      </w:r>
      <w:r>
        <w:rPr>
          <w:w w:val="105"/>
        </w:rPr>
        <w:t>larger</w:t>
      </w:r>
      <w:r>
        <w:rPr>
          <w:spacing w:val="-9"/>
          <w:w w:val="105"/>
        </w:rPr>
        <w:t> </w:t>
      </w:r>
      <w:r>
        <w:rPr>
          <w:w w:val="105"/>
        </w:rPr>
        <w:t>than</w:t>
      </w:r>
      <w:r>
        <w:rPr>
          <w:spacing w:val="-8"/>
          <w:w w:val="105"/>
        </w:rPr>
        <w:t> </w:t>
      </w:r>
      <w:r>
        <w:rPr>
          <w:w w:val="105"/>
        </w:rPr>
        <w:t>Corning,</w:t>
      </w:r>
      <w:r>
        <w:rPr>
          <w:spacing w:val="-9"/>
          <w:w w:val="105"/>
        </w:rPr>
        <w:t> </w:t>
      </w:r>
      <w:r>
        <w:rPr>
          <w:w w:val="105"/>
        </w:rPr>
        <w:t>and</w:t>
      </w:r>
      <w:r>
        <w:rPr>
          <w:spacing w:val="-8"/>
          <w:w w:val="105"/>
        </w:rPr>
        <w:t> </w:t>
      </w:r>
      <w:r>
        <w:rPr>
          <w:w w:val="105"/>
        </w:rPr>
        <w:t>some</w:t>
      </w:r>
      <w:r>
        <w:rPr>
          <w:spacing w:val="-9"/>
          <w:w w:val="105"/>
        </w:rPr>
        <w:t> </w:t>
      </w:r>
      <w:r>
        <w:rPr>
          <w:w w:val="105"/>
        </w:rPr>
        <w:t>have</w:t>
      </w:r>
      <w:r>
        <w:rPr>
          <w:spacing w:val="-8"/>
          <w:w w:val="105"/>
        </w:rPr>
        <w:t> </w:t>
      </w:r>
      <w:r>
        <w:rPr>
          <w:w w:val="105"/>
        </w:rPr>
        <w:t>broader</w:t>
      </w:r>
      <w:r>
        <w:rPr>
          <w:spacing w:val="-9"/>
          <w:w w:val="105"/>
        </w:rPr>
        <w:t> </w:t>
      </w:r>
      <w:r>
        <w:rPr>
          <w:w w:val="105"/>
        </w:rPr>
        <w:t>product lines.</w:t>
      </w:r>
      <w:r>
        <w:rPr>
          <w:spacing w:val="-2"/>
          <w:w w:val="105"/>
        </w:rPr>
        <w:t> </w:t>
      </w:r>
      <w:r>
        <w:rPr>
          <w:w w:val="105"/>
        </w:rPr>
        <w:t>Corning</w:t>
      </w:r>
      <w:r>
        <w:rPr>
          <w:spacing w:val="-2"/>
          <w:w w:val="105"/>
        </w:rPr>
        <w:t> </w:t>
      </w:r>
      <w:r>
        <w:rPr>
          <w:w w:val="105"/>
        </w:rPr>
        <w:t>strives</w:t>
      </w:r>
      <w:r>
        <w:rPr>
          <w:spacing w:val="-2"/>
          <w:w w:val="105"/>
        </w:rPr>
        <w:t> </w:t>
      </w:r>
      <w:r>
        <w:rPr>
          <w:w w:val="105"/>
        </w:rPr>
        <w:t>to</w:t>
      </w:r>
      <w:r>
        <w:rPr>
          <w:spacing w:val="-2"/>
          <w:w w:val="105"/>
        </w:rPr>
        <w:t> </w:t>
      </w:r>
      <w:r>
        <w:rPr>
          <w:w w:val="105"/>
        </w:rPr>
        <w:t>maintain</w:t>
      </w:r>
      <w:r>
        <w:rPr>
          <w:spacing w:val="-2"/>
          <w:w w:val="105"/>
        </w:rPr>
        <w:t> </w:t>
      </w:r>
      <w:r>
        <w:rPr>
          <w:w w:val="105"/>
        </w:rPr>
        <w:t>and</w:t>
      </w:r>
      <w:r>
        <w:rPr>
          <w:spacing w:val="-2"/>
          <w:w w:val="105"/>
        </w:rPr>
        <w:t> </w:t>
      </w:r>
      <w:r>
        <w:rPr>
          <w:w w:val="105"/>
        </w:rPr>
        <w:t>improve</w:t>
      </w:r>
      <w:r>
        <w:rPr>
          <w:spacing w:val="-2"/>
          <w:w w:val="105"/>
        </w:rPr>
        <w:t> </w:t>
      </w:r>
      <w:r>
        <w:rPr>
          <w:w w:val="105"/>
        </w:rPr>
        <w:t>its</w:t>
      </w:r>
      <w:r>
        <w:rPr>
          <w:spacing w:val="-2"/>
          <w:w w:val="105"/>
        </w:rPr>
        <w:t> </w:t>
      </w:r>
      <w:r>
        <w:rPr>
          <w:w w:val="105"/>
        </w:rPr>
        <w:t>market</w:t>
      </w:r>
      <w:r>
        <w:rPr>
          <w:spacing w:val="-2"/>
          <w:w w:val="105"/>
        </w:rPr>
        <w:t> </w:t>
      </w:r>
      <w:r>
        <w:rPr>
          <w:w w:val="105"/>
        </w:rPr>
        <w:t>position</w:t>
      </w:r>
      <w:r>
        <w:rPr>
          <w:spacing w:val="-2"/>
          <w:w w:val="105"/>
        </w:rPr>
        <w:t> </w:t>
      </w:r>
      <w:r>
        <w:rPr>
          <w:w w:val="105"/>
        </w:rPr>
        <w:t>through</w:t>
      </w:r>
      <w:r>
        <w:rPr>
          <w:spacing w:val="-2"/>
          <w:w w:val="105"/>
        </w:rPr>
        <w:t> </w:t>
      </w:r>
      <w:r>
        <w:rPr>
          <w:w w:val="105"/>
        </w:rPr>
        <w:t>technology</w:t>
      </w:r>
      <w:r>
        <w:rPr>
          <w:spacing w:val="-2"/>
          <w:w w:val="105"/>
        </w:rPr>
        <w:t> </w:t>
      </w:r>
      <w:r>
        <w:rPr>
          <w:w w:val="105"/>
        </w:rPr>
        <w:t>and</w:t>
      </w:r>
      <w:r>
        <w:rPr>
          <w:spacing w:val="-2"/>
          <w:w w:val="105"/>
        </w:rPr>
        <w:t> </w:t>
      </w:r>
      <w:r>
        <w:rPr>
          <w:w w:val="105"/>
        </w:rPr>
        <w:t>product</w:t>
      </w:r>
      <w:r>
        <w:rPr>
          <w:spacing w:val="-2"/>
          <w:w w:val="105"/>
        </w:rPr>
        <w:t> </w:t>
      </w:r>
      <w:r>
        <w:rPr>
          <w:w w:val="105"/>
        </w:rPr>
        <w:t>innovation.</w:t>
      </w:r>
      <w:r>
        <w:rPr>
          <w:spacing w:val="-2"/>
          <w:w w:val="105"/>
        </w:rPr>
        <w:t> </w:t>
      </w:r>
      <w:r>
        <w:rPr>
          <w:w w:val="105"/>
        </w:rPr>
        <w:t>For</w:t>
      </w:r>
      <w:r>
        <w:rPr>
          <w:spacing w:val="-2"/>
          <w:w w:val="105"/>
        </w:rPr>
        <w:t> </w:t>
      </w:r>
      <w:r>
        <w:rPr>
          <w:w w:val="105"/>
        </w:rPr>
        <w:t>the</w:t>
      </w:r>
      <w:r>
        <w:rPr>
          <w:spacing w:val="-2"/>
          <w:w w:val="105"/>
        </w:rPr>
        <w:t> </w:t>
      </w:r>
      <w:r>
        <w:rPr>
          <w:w w:val="105"/>
        </w:rPr>
        <w:t>foreseeable</w:t>
      </w:r>
      <w:r>
        <w:rPr>
          <w:spacing w:val="-2"/>
          <w:w w:val="105"/>
        </w:rPr>
        <w:t> </w:t>
      </w:r>
      <w:r>
        <w:rPr>
          <w:w w:val="105"/>
        </w:rPr>
        <w:t>future,</w:t>
      </w:r>
      <w:r>
        <w:rPr>
          <w:spacing w:val="-2"/>
          <w:w w:val="105"/>
        </w:rPr>
        <w:t> </w:t>
      </w:r>
      <w:r>
        <w:rPr>
          <w:w w:val="105"/>
        </w:rPr>
        <w:t>Corning</w:t>
      </w:r>
      <w:r>
        <w:rPr>
          <w:spacing w:val="-2"/>
          <w:w w:val="105"/>
        </w:rPr>
        <w:t> </w:t>
      </w:r>
      <w:r>
        <w:rPr>
          <w:w w:val="105"/>
        </w:rPr>
        <w:t>believes its</w:t>
      </w:r>
      <w:r>
        <w:rPr>
          <w:spacing w:val="-2"/>
          <w:w w:val="105"/>
        </w:rPr>
        <w:t> </w:t>
      </w:r>
      <w:r>
        <w:rPr>
          <w:w w:val="105"/>
        </w:rPr>
        <w:t>competitive advantage</w:t>
      </w:r>
      <w:r>
        <w:rPr>
          <w:spacing w:val="-1"/>
          <w:w w:val="105"/>
        </w:rPr>
        <w:t> </w:t>
      </w:r>
      <w:r>
        <w:rPr>
          <w:w w:val="105"/>
        </w:rPr>
        <w:t>lies</w:t>
      </w:r>
      <w:r>
        <w:rPr>
          <w:spacing w:val="-1"/>
          <w:w w:val="105"/>
        </w:rPr>
        <w:t> </w:t>
      </w:r>
      <w:r>
        <w:rPr>
          <w:w w:val="105"/>
        </w:rPr>
        <w:t>in</w:t>
      </w:r>
      <w:r>
        <w:rPr>
          <w:spacing w:val="-1"/>
          <w:w w:val="105"/>
        </w:rPr>
        <w:t> </w:t>
      </w:r>
      <w:r>
        <w:rPr>
          <w:w w:val="105"/>
        </w:rPr>
        <w:t>its</w:t>
      </w:r>
      <w:r>
        <w:rPr>
          <w:spacing w:val="-1"/>
          <w:w w:val="105"/>
        </w:rPr>
        <w:t> </w:t>
      </w:r>
      <w:r>
        <w:rPr>
          <w:w w:val="105"/>
        </w:rPr>
        <w:t>commitment</w:t>
      </w:r>
      <w:r>
        <w:rPr>
          <w:spacing w:val="-1"/>
          <w:w w:val="105"/>
        </w:rPr>
        <w:t> </w:t>
      </w:r>
      <w:r>
        <w:rPr>
          <w:w w:val="105"/>
        </w:rPr>
        <w:t>to</w:t>
      </w:r>
      <w:r>
        <w:rPr>
          <w:spacing w:val="-1"/>
          <w:w w:val="105"/>
        </w:rPr>
        <w:t> </w:t>
      </w:r>
      <w:r>
        <w:rPr>
          <w:w w:val="105"/>
        </w:rPr>
        <w:t>research</w:t>
      </w:r>
      <w:r>
        <w:rPr>
          <w:spacing w:val="-1"/>
          <w:w w:val="105"/>
        </w:rPr>
        <w:t> </w:t>
      </w:r>
      <w:r>
        <w:rPr>
          <w:w w:val="105"/>
        </w:rPr>
        <w:t>and</w:t>
      </w:r>
      <w:r>
        <w:rPr>
          <w:spacing w:val="-1"/>
          <w:w w:val="105"/>
        </w:rPr>
        <w:t> </w:t>
      </w:r>
      <w:r>
        <w:rPr>
          <w:w w:val="105"/>
        </w:rPr>
        <w:t>development,</w:t>
      </w:r>
      <w:r>
        <w:rPr>
          <w:spacing w:val="-1"/>
          <w:w w:val="105"/>
        </w:rPr>
        <w:t> </w:t>
      </w:r>
      <w:r>
        <w:rPr>
          <w:w w:val="105"/>
        </w:rPr>
        <w:t>deep</w:t>
      </w:r>
      <w:r>
        <w:rPr>
          <w:spacing w:val="-1"/>
          <w:w w:val="105"/>
        </w:rPr>
        <w:t> </w:t>
      </w:r>
      <w:r>
        <w:rPr>
          <w:w w:val="105"/>
        </w:rPr>
        <w:t>customer</w:t>
      </w:r>
      <w:r>
        <w:rPr>
          <w:spacing w:val="-1"/>
          <w:w w:val="105"/>
        </w:rPr>
        <w:t> </w:t>
      </w:r>
      <w:r>
        <w:rPr>
          <w:w w:val="105"/>
        </w:rPr>
        <w:t>relationships,</w:t>
      </w:r>
      <w:r>
        <w:rPr>
          <w:spacing w:val="-1"/>
          <w:w w:val="105"/>
        </w:rPr>
        <w:t> </w:t>
      </w:r>
      <w:r>
        <w:rPr>
          <w:w w:val="105"/>
        </w:rPr>
        <w:t>reliability</w:t>
      </w:r>
      <w:r>
        <w:rPr>
          <w:spacing w:val="-1"/>
          <w:w w:val="105"/>
        </w:rPr>
        <w:t> </w:t>
      </w:r>
      <w:r>
        <w:rPr>
          <w:w w:val="105"/>
        </w:rPr>
        <w:t>of</w:t>
      </w:r>
      <w:r>
        <w:rPr>
          <w:spacing w:val="-1"/>
          <w:w w:val="105"/>
        </w:rPr>
        <w:t> </w:t>
      </w:r>
      <w:r>
        <w:rPr>
          <w:w w:val="105"/>
        </w:rPr>
        <w:t>supply,</w:t>
      </w:r>
      <w:r>
        <w:rPr>
          <w:spacing w:val="-1"/>
          <w:w w:val="105"/>
        </w:rPr>
        <w:t> </w:t>
      </w:r>
      <w:r>
        <w:rPr>
          <w:w w:val="105"/>
        </w:rPr>
        <w:t>product</w:t>
      </w:r>
      <w:r>
        <w:rPr>
          <w:spacing w:val="-1"/>
          <w:w w:val="105"/>
        </w:rPr>
        <w:t> </w:t>
      </w:r>
      <w:r>
        <w:rPr>
          <w:w w:val="105"/>
        </w:rPr>
        <w:t>quality,</w:t>
      </w:r>
      <w:r>
        <w:rPr>
          <w:spacing w:val="-1"/>
          <w:w w:val="105"/>
        </w:rPr>
        <w:t> </w:t>
      </w:r>
      <w:r>
        <w:rPr>
          <w:w w:val="105"/>
        </w:rPr>
        <w:t>superior</w:t>
      </w:r>
      <w:r>
        <w:rPr>
          <w:spacing w:val="-1"/>
          <w:w w:val="105"/>
        </w:rPr>
        <w:t> </w:t>
      </w:r>
      <w:r>
        <w:rPr>
          <w:w w:val="105"/>
        </w:rPr>
        <w:t>customer</w:t>
      </w:r>
      <w:r>
        <w:rPr>
          <w:spacing w:val="-1"/>
          <w:w w:val="105"/>
        </w:rPr>
        <w:t> </w:t>
      </w:r>
      <w:r>
        <w:rPr>
          <w:w w:val="105"/>
        </w:rPr>
        <w:t>service</w:t>
      </w:r>
      <w:r>
        <w:rPr>
          <w:spacing w:val="-1"/>
          <w:w w:val="105"/>
        </w:rPr>
        <w:t> </w:t>
      </w:r>
      <w:r>
        <w:rPr>
          <w:w w:val="105"/>
        </w:rPr>
        <w:t>and</w:t>
      </w:r>
      <w:r>
        <w:rPr>
          <w:spacing w:val="-1"/>
          <w:w w:val="105"/>
        </w:rPr>
        <w:t> </w:t>
      </w:r>
      <w:r>
        <w:rPr>
          <w:w w:val="105"/>
        </w:rPr>
        <w:t>technical specification of its products. There is no assurance that Corning will be able to maintain or improve its market position or competitive advantage.</w:t>
      </w:r>
    </w:p>
    <w:p>
      <w:pPr>
        <w:pStyle w:val="BodyText"/>
        <w:spacing w:before="18"/>
      </w:pPr>
    </w:p>
    <w:p>
      <w:pPr>
        <w:spacing w:before="0"/>
        <w:ind w:left="156" w:right="0" w:firstLine="0"/>
        <w:jc w:val="left"/>
        <w:rPr>
          <w:i/>
          <w:sz w:val="16"/>
        </w:rPr>
      </w:pPr>
      <w:r>
        <w:rPr>
          <w:i/>
          <w:sz w:val="16"/>
        </w:rPr>
        <w:t>Display</w:t>
      </w:r>
      <w:r>
        <w:rPr>
          <w:i/>
          <w:spacing w:val="15"/>
          <w:sz w:val="16"/>
        </w:rPr>
        <w:t> </w:t>
      </w:r>
      <w:r>
        <w:rPr>
          <w:i/>
          <w:sz w:val="16"/>
        </w:rPr>
        <w:t>Technologies</w:t>
      </w:r>
      <w:r>
        <w:rPr>
          <w:i/>
          <w:spacing w:val="16"/>
          <w:sz w:val="16"/>
        </w:rPr>
        <w:t> </w:t>
      </w:r>
      <w:r>
        <w:rPr>
          <w:i/>
          <w:spacing w:val="-2"/>
          <w:sz w:val="16"/>
        </w:rPr>
        <w:t>Segment</w:t>
      </w:r>
    </w:p>
    <w:p>
      <w:pPr>
        <w:pStyle w:val="BodyText"/>
        <w:spacing w:before="40"/>
        <w:rPr>
          <w:i/>
        </w:rPr>
      </w:pPr>
    </w:p>
    <w:p>
      <w:pPr>
        <w:pStyle w:val="BodyText"/>
        <w:spacing w:line="266" w:lineRule="auto"/>
        <w:ind w:left="156" w:right="457"/>
        <w:jc w:val="both"/>
      </w:pPr>
      <w:r>
        <w:rPr>
          <w:w w:val="105"/>
        </w:rPr>
        <w:t>Corning</w:t>
      </w:r>
      <w:r>
        <w:rPr>
          <w:spacing w:val="-8"/>
          <w:w w:val="105"/>
        </w:rPr>
        <w:t> </w:t>
      </w:r>
      <w:r>
        <w:rPr>
          <w:w w:val="105"/>
        </w:rPr>
        <w:t>is</w:t>
      </w:r>
      <w:r>
        <w:rPr>
          <w:spacing w:val="-8"/>
          <w:w w:val="105"/>
        </w:rPr>
        <w:t> </w:t>
      </w:r>
      <w:r>
        <w:rPr>
          <w:w w:val="105"/>
        </w:rPr>
        <w:t>the</w:t>
      </w:r>
      <w:r>
        <w:rPr>
          <w:spacing w:val="-8"/>
          <w:w w:val="105"/>
        </w:rPr>
        <w:t> </w:t>
      </w:r>
      <w:r>
        <w:rPr>
          <w:w w:val="105"/>
        </w:rPr>
        <w:t>largest</w:t>
      </w:r>
      <w:r>
        <w:rPr>
          <w:spacing w:val="-8"/>
          <w:w w:val="105"/>
        </w:rPr>
        <w:t> </w:t>
      </w:r>
      <w:r>
        <w:rPr>
          <w:w w:val="105"/>
        </w:rPr>
        <w:t>worldwide</w:t>
      </w:r>
      <w:r>
        <w:rPr>
          <w:spacing w:val="-8"/>
          <w:w w:val="105"/>
        </w:rPr>
        <w:t> </w:t>
      </w:r>
      <w:r>
        <w:rPr>
          <w:w w:val="105"/>
        </w:rPr>
        <w:t>producer</w:t>
      </w:r>
      <w:r>
        <w:rPr>
          <w:spacing w:val="-8"/>
          <w:w w:val="105"/>
        </w:rPr>
        <w:t> </w:t>
      </w:r>
      <w:r>
        <w:rPr>
          <w:w w:val="105"/>
        </w:rPr>
        <w:t>of</w:t>
      </w:r>
      <w:r>
        <w:rPr>
          <w:spacing w:val="-8"/>
          <w:w w:val="105"/>
        </w:rPr>
        <w:t> </w:t>
      </w:r>
      <w:r>
        <w:rPr>
          <w:w w:val="105"/>
        </w:rPr>
        <w:t>glass</w:t>
      </w:r>
      <w:r>
        <w:rPr>
          <w:spacing w:val="-8"/>
          <w:w w:val="105"/>
        </w:rPr>
        <w:t> </w:t>
      </w:r>
      <w:r>
        <w:rPr>
          <w:w w:val="105"/>
        </w:rPr>
        <w:t>substrates</w:t>
      </w:r>
      <w:r>
        <w:rPr>
          <w:spacing w:val="-8"/>
          <w:w w:val="105"/>
        </w:rPr>
        <w:t> </w:t>
      </w:r>
      <w:r>
        <w:rPr>
          <w:w w:val="105"/>
        </w:rPr>
        <w:t>for</w:t>
      </w:r>
      <w:r>
        <w:rPr>
          <w:spacing w:val="-6"/>
          <w:w w:val="105"/>
        </w:rPr>
        <w:t> </w:t>
      </w:r>
      <w:r>
        <w:rPr>
          <w:w w:val="105"/>
        </w:rPr>
        <w:t>flat</w:t>
      </w:r>
      <w:r>
        <w:rPr>
          <w:spacing w:val="-8"/>
          <w:w w:val="105"/>
        </w:rPr>
        <w:t> </w:t>
      </w:r>
      <w:r>
        <w:rPr>
          <w:w w:val="105"/>
        </w:rPr>
        <w:t>panel</w:t>
      </w:r>
      <w:r>
        <w:rPr>
          <w:spacing w:val="-8"/>
          <w:w w:val="105"/>
        </w:rPr>
        <w:t> </w:t>
      </w:r>
      <w:r>
        <w:rPr>
          <w:w w:val="105"/>
        </w:rPr>
        <w:t>display</w:t>
      </w:r>
      <w:r>
        <w:rPr>
          <w:spacing w:val="-8"/>
          <w:w w:val="105"/>
        </w:rPr>
        <w:t> </w:t>
      </w:r>
      <w:r>
        <w:rPr>
          <w:w w:val="105"/>
        </w:rPr>
        <w:t>glass.</w:t>
      </w:r>
      <w:r>
        <w:rPr>
          <w:spacing w:val="-8"/>
          <w:w w:val="105"/>
        </w:rPr>
        <w:t> </w:t>
      </w:r>
      <w:r>
        <w:rPr>
          <w:w w:val="105"/>
        </w:rPr>
        <w:t>The</w:t>
      </w:r>
      <w:r>
        <w:rPr>
          <w:spacing w:val="-6"/>
          <w:w w:val="105"/>
        </w:rPr>
        <w:t> </w:t>
      </w:r>
      <w:r>
        <w:rPr>
          <w:w w:val="105"/>
        </w:rPr>
        <w:t>environment</w:t>
      </w:r>
      <w:r>
        <w:rPr>
          <w:spacing w:val="-8"/>
          <w:w w:val="105"/>
        </w:rPr>
        <w:t> </w:t>
      </w:r>
      <w:r>
        <w:rPr>
          <w:w w:val="105"/>
        </w:rPr>
        <w:t>for</w:t>
      </w:r>
      <w:r>
        <w:rPr>
          <w:spacing w:val="-8"/>
          <w:w w:val="105"/>
        </w:rPr>
        <w:t> </w:t>
      </w:r>
      <w:r>
        <w:rPr>
          <w:w w:val="105"/>
        </w:rPr>
        <w:t>high-performance</w:t>
      </w:r>
      <w:r>
        <w:rPr>
          <w:spacing w:val="-8"/>
          <w:w w:val="105"/>
        </w:rPr>
        <w:t> </w:t>
      </w:r>
      <w:r>
        <w:rPr>
          <w:w w:val="105"/>
        </w:rPr>
        <w:t>display</w:t>
      </w:r>
      <w:r>
        <w:rPr>
          <w:spacing w:val="-8"/>
          <w:w w:val="105"/>
        </w:rPr>
        <w:t> </w:t>
      </w:r>
      <w:r>
        <w:rPr>
          <w:w w:val="105"/>
        </w:rPr>
        <w:t>glass</w:t>
      </w:r>
      <w:r>
        <w:rPr>
          <w:spacing w:val="-8"/>
          <w:w w:val="105"/>
        </w:rPr>
        <w:t> </w:t>
      </w:r>
      <w:r>
        <w:rPr>
          <w:w w:val="105"/>
        </w:rPr>
        <w:t>substrate</w:t>
      </w:r>
      <w:r>
        <w:rPr>
          <w:spacing w:val="-8"/>
          <w:w w:val="105"/>
        </w:rPr>
        <w:t> </w:t>
      </w:r>
      <w:r>
        <w:rPr>
          <w:w w:val="105"/>
        </w:rPr>
        <w:t>products</w:t>
      </w:r>
      <w:r>
        <w:rPr>
          <w:spacing w:val="-8"/>
          <w:w w:val="105"/>
        </w:rPr>
        <w:t> </w:t>
      </w:r>
      <w:r>
        <w:rPr>
          <w:w w:val="105"/>
        </w:rPr>
        <w:t>is</w:t>
      </w:r>
      <w:r>
        <w:rPr>
          <w:spacing w:val="-8"/>
          <w:w w:val="105"/>
        </w:rPr>
        <w:t> </w:t>
      </w:r>
      <w:r>
        <w:rPr>
          <w:w w:val="105"/>
        </w:rPr>
        <w:t>very competitive</w:t>
      </w:r>
      <w:r>
        <w:rPr>
          <w:spacing w:val="-10"/>
          <w:w w:val="105"/>
        </w:rPr>
        <w:t> </w:t>
      </w:r>
      <w:r>
        <w:rPr>
          <w:w w:val="105"/>
        </w:rPr>
        <w:t>and</w:t>
      </w:r>
      <w:r>
        <w:rPr>
          <w:spacing w:val="-10"/>
          <w:w w:val="105"/>
        </w:rPr>
        <w:t> </w:t>
      </w:r>
      <w:r>
        <w:rPr>
          <w:w w:val="105"/>
        </w:rPr>
        <w:t>Corning</w:t>
      </w:r>
      <w:r>
        <w:rPr>
          <w:spacing w:val="-10"/>
          <w:w w:val="105"/>
        </w:rPr>
        <w:t> </w:t>
      </w:r>
      <w:r>
        <w:rPr>
          <w:w w:val="105"/>
        </w:rPr>
        <w:t>believes</w:t>
      </w:r>
      <w:r>
        <w:rPr>
          <w:spacing w:val="-10"/>
          <w:w w:val="105"/>
        </w:rPr>
        <w:t> </w:t>
      </w:r>
      <w:r>
        <w:rPr>
          <w:w w:val="105"/>
        </w:rPr>
        <w:t>it</w:t>
      </w:r>
      <w:r>
        <w:rPr>
          <w:spacing w:val="-10"/>
          <w:w w:val="105"/>
        </w:rPr>
        <w:t> </w:t>
      </w:r>
      <w:r>
        <w:rPr>
          <w:w w:val="105"/>
        </w:rPr>
        <w:t>has</w:t>
      </w:r>
      <w:r>
        <w:rPr>
          <w:spacing w:val="-10"/>
          <w:w w:val="105"/>
        </w:rPr>
        <w:t> </w:t>
      </w:r>
      <w:r>
        <w:rPr>
          <w:w w:val="105"/>
        </w:rPr>
        <w:t>maintained</w:t>
      </w:r>
      <w:r>
        <w:rPr>
          <w:spacing w:val="-8"/>
          <w:w w:val="105"/>
        </w:rPr>
        <w:t> </w:t>
      </w:r>
      <w:r>
        <w:rPr>
          <w:w w:val="105"/>
        </w:rPr>
        <w:t>its</w:t>
      </w:r>
      <w:r>
        <w:rPr>
          <w:spacing w:val="-10"/>
          <w:w w:val="105"/>
        </w:rPr>
        <w:t> </w:t>
      </w:r>
      <w:r>
        <w:rPr>
          <w:w w:val="105"/>
        </w:rPr>
        <w:t>competitive</w:t>
      </w:r>
      <w:r>
        <w:rPr>
          <w:spacing w:val="-10"/>
          <w:w w:val="105"/>
        </w:rPr>
        <w:t> </w:t>
      </w:r>
      <w:r>
        <w:rPr>
          <w:w w:val="105"/>
        </w:rPr>
        <w:t>advantages</w:t>
      </w:r>
      <w:r>
        <w:rPr>
          <w:spacing w:val="-10"/>
          <w:w w:val="105"/>
        </w:rPr>
        <w:t> </w:t>
      </w:r>
      <w:r>
        <w:rPr>
          <w:w w:val="105"/>
        </w:rPr>
        <w:t>by</w:t>
      </w:r>
      <w:r>
        <w:rPr>
          <w:spacing w:val="-10"/>
          <w:w w:val="105"/>
        </w:rPr>
        <w:t> </w:t>
      </w:r>
      <w:r>
        <w:rPr>
          <w:w w:val="105"/>
        </w:rPr>
        <w:t>investing</w:t>
      </w:r>
      <w:r>
        <w:rPr>
          <w:spacing w:val="-10"/>
          <w:w w:val="105"/>
        </w:rPr>
        <w:t> </w:t>
      </w:r>
      <w:r>
        <w:rPr>
          <w:w w:val="105"/>
        </w:rPr>
        <w:t>in</w:t>
      </w:r>
      <w:r>
        <w:rPr>
          <w:spacing w:val="-10"/>
          <w:w w:val="105"/>
        </w:rPr>
        <w:t> </w:t>
      </w:r>
      <w:r>
        <w:rPr>
          <w:w w:val="105"/>
        </w:rPr>
        <w:t>new</w:t>
      </w:r>
      <w:r>
        <w:rPr>
          <w:spacing w:val="-10"/>
          <w:w w:val="105"/>
        </w:rPr>
        <w:t> </w:t>
      </w:r>
      <w:r>
        <w:rPr>
          <w:w w:val="105"/>
        </w:rPr>
        <w:t>products,</w:t>
      </w:r>
      <w:r>
        <w:rPr>
          <w:spacing w:val="-10"/>
          <w:w w:val="105"/>
        </w:rPr>
        <w:t> </w:t>
      </w:r>
      <w:r>
        <w:rPr>
          <w:w w:val="105"/>
        </w:rPr>
        <w:t>continually</w:t>
      </w:r>
      <w:r>
        <w:rPr>
          <w:spacing w:val="-10"/>
          <w:w w:val="105"/>
        </w:rPr>
        <w:t> </w:t>
      </w:r>
      <w:r>
        <w:rPr>
          <w:w w:val="105"/>
        </w:rPr>
        <w:t>improving</w:t>
      </w:r>
      <w:r>
        <w:rPr>
          <w:spacing w:val="-10"/>
          <w:w w:val="105"/>
        </w:rPr>
        <w:t> </w:t>
      </w:r>
      <w:r>
        <w:rPr>
          <w:w w:val="105"/>
        </w:rPr>
        <w:t>its</w:t>
      </w:r>
      <w:r>
        <w:rPr>
          <w:spacing w:val="-10"/>
          <w:w w:val="105"/>
        </w:rPr>
        <w:t> </w:t>
      </w:r>
      <w:r>
        <w:rPr>
          <w:w w:val="105"/>
        </w:rPr>
        <w:t>proprietary</w:t>
      </w:r>
      <w:r>
        <w:rPr>
          <w:spacing w:val="-10"/>
          <w:w w:val="105"/>
        </w:rPr>
        <w:t> </w:t>
      </w:r>
      <w:r>
        <w:rPr>
          <w:w w:val="105"/>
        </w:rPr>
        <w:t>fusion</w:t>
      </w:r>
      <w:r>
        <w:rPr>
          <w:spacing w:val="-10"/>
          <w:w w:val="105"/>
        </w:rPr>
        <w:t> </w:t>
      </w:r>
      <w:r>
        <w:rPr>
          <w:w w:val="105"/>
        </w:rPr>
        <w:t>manufacturing process</w:t>
      </w:r>
      <w:r>
        <w:rPr>
          <w:spacing w:val="-8"/>
          <w:w w:val="105"/>
        </w:rPr>
        <w:t> </w:t>
      </w:r>
      <w:r>
        <w:rPr>
          <w:w w:val="105"/>
        </w:rPr>
        <w:t>and</w:t>
      </w:r>
      <w:r>
        <w:rPr>
          <w:spacing w:val="-8"/>
          <w:w w:val="105"/>
        </w:rPr>
        <w:t> </w:t>
      </w:r>
      <w:r>
        <w:rPr>
          <w:w w:val="105"/>
        </w:rPr>
        <w:t>providing</w:t>
      </w:r>
      <w:r>
        <w:rPr>
          <w:spacing w:val="-8"/>
          <w:w w:val="105"/>
        </w:rPr>
        <w:t> </w:t>
      </w:r>
      <w:r>
        <w:rPr>
          <w:w w:val="105"/>
        </w:rPr>
        <w:t>a</w:t>
      </w:r>
      <w:r>
        <w:rPr>
          <w:spacing w:val="-8"/>
          <w:w w:val="105"/>
        </w:rPr>
        <w:t> </w:t>
      </w:r>
      <w:r>
        <w:rPr>
          <w:w w:val="105"/>
        </w:rPr>
        <w:t>consistent</w:t>
      </w:r>
      <w:r>
        <w:rPr>
          <w:spacing w:val="-8"/>
          <w:w w:val="105"/>
        </w:rPr>
        <w:t> </w:t>
      </w:r>
      <w:r>
        <w:rPr>
          <w:w w:val="105"/>
        </w:rPr>
        <w:t>and</w:t>
      </w:r>
      <w:r>
        <w:rPr>
          <w:spacing w:val="-8"/>
          <w:w w:val="105"/>
        </w:rPr>
        <w:t> </w:t>
      </w:r>
      <w:r>
        <w:rPr>
          <w:w w:val="105"/>
        </w:rPr>
        <w:t>reliable</w:t>
      </w:r>
      <w:r>
        <w:rPr>
          <w:spacing w:val="-8"/>
          <w:w w:val="105"/>
        </w:rPr>
        <w:t> </w:t>
      </w:r>
      <w:r>
        <w:rPr>
          <w:w w:val="105"/>
        </w:rPr>
        <w:t>supply</w:t>
      </w:r>
      <w:r>
        <w:rPr>
          <w:spacing w:val="-8"/>
          <w:w w:val="105"/>
        </w:rPr>
        <w:t> </w:t>
      </w:r>
      <w:r>
        <w:rPr>
          <w:w w:val="105"/>
        </w:rPr>
        <w:t>of</w:t>
      </w:r>
      <w:r>
        <w:rPr>
          <w:spacing w:val="-8"/>
          <w:w w:val="105"/>
        </w:rPr>
        <w:t> </w:t>
      </w:r>
      <w:r>
        <w:rPr>
          <w:w w:val="105"/>
        </w:rPr>
        <w:t>high</w:t>
      </w:r>
      <w:r>
        <w:rPr>
          <w:spacing w:val="-8"/>
          <w:w w:val="105"/>
        </w:rPr>
        <w:t> </w:t>
      </w:r>
      <w:r>
        <w:rPr>
          <w:w w:val="105"/>
        </w:rPr>
        <w:t>quality</w:t>
      </w:r>
      <w:r>
        <w:rPr>
          <w:spacing w:val="-8"/>
          <w:w w:val="105"/>
        </w:rPr>
        <w:t> </w:t>
      </w:r>
      <w:r>
        <w:rPr>
          <w:w w:val="105"/>
        </w:rPr>
        <w:t>products.</w:t>
      </w:r>
      <w:r>
        <w:rPr>
          <w:spacing w:val="-8"/>
          <w:w w:val="105"/>
        </w:rPr>
        <w:t> </w:t>
      </w:r>
      <w:r>
        <w:rPr>
          <w:w w:val="105"/>
        </w:rPr>
        <w:t>Our</w:t>
      </w:r>
      <w:r>
        <w:rPr>
          <w:spacing w:val="-8"/>
          <w:w w:val="105"/>
        </w:rPr>
        <w:t> </w:t>
      </w:r>
      <w:r>
        <w:rPr>
          <w:w w:val="105"/>
        </w:rPr>
        <w:t>process</w:t>
      </w:r>
      <w:r>
        <w:rPr>
          <w:spacing w:val="-8"/>
          <w:w w:val="105"/>
        </w:rPr>
        <w:t> </w:t>
      </w:r>
      <w:r>
        <w:rPr>
          <w:w w:val="105"/>
        </w:rPr>
        <w:t>allows</w:t>
      </w:r>
      <w:r>
        <w:rPr>
          <w:spacing w:val="-8"/>
          <w:w w:val="105"/>
        </w:rPr>
        <w:t> </w:t>
      </w:r>
      <w:r>
        <w:rPr>
          <w:w w:val="105"/>
        </w:rPr>
        <w:t>us</w:t>
      </w:r>
      <w:r>
        <w:rPr>
          <w:spacing w:val="-8"/>
          <w:w w:val="105"/>
        </w:rPr>
        <w:t> </w:t>
      </w:r>
      <w:r>
        <w:rPr>
          <w:w w:val="105"/>
        </w:rPr>
        <w:t>to</w:t>
      </w:r>
      <w:r>
        <w:rPr>
          <w:spacing w:val="-8"/>
          <w:w w:val="105"/>
        </w:rPr>
        <w:t> </w:t>
      </w:r>
      <w:r>
        <w:rPr>
          <w:w w:val="105"/>
        </w:rPr>
        <w:t>deliver</w:t>
      </w:r>
      <w:r>
        <w:rPr>
          <w:spacing w:val="-8"/>
          <w:w w:val="105"/>
        </w:rPr>
        <w:t> </w:t>
      </w:r>
      <w:r>
        <w:rPr>
          <w:w w:val="105"/>
        </w:rPr>
        <w:t>glass</w:t>
      </w:r>
      <w:r>
        <w:rPr>
          <w:spacing w:val="-8"/>
          <w:w w:val="105"/>
        </w:rPr>
        <w:t> </w:t>
      </w:r>
      <w:r>
        <w:rPr>
          <w:w w:val="105"/>
        </w:rPr>
        <w:t>that</w:t>
      </w:r>
      <w:r>
        <w:rPr>
          <w:spacing w:val="-8"/>
          <w:w w:val="105"/>
        </w:rPr>
        <w:t> </w:t>
      </w:r>
      <w:r>
        <w:rPr>
          <w:w w:val="105"/>
        </w:rPr>
        <w:t>is</w:t>
      </w:r>
      <w:r>
        <w:rPr>
          <w:spacing w:val="-8"/>
          <w:w w:val="105"/>
        </w:rPr>
        <w:t> </w:t>
      </w:r>
      <w:r>
        <w:rPr>
          <w:w w:val="105"/>
        </w:rPr>
        <w:t>larger,</w:t>
      </w:r>
      <w:r>
        <w:rPr>
          <w:spacing w:val="-8"/>
          <w:w w:val="105"/>
        </w:rPr>
        <w:t> </w:t>
      </w:r>
      <w:r>
        <w:rPr>
          <w:w w:val="105"/>
        </w:rPr>
        <w:t>thinner</w:t>
      </w:r>
      <w:r>
        <w:rPr>
          <w:spacing w:val="-8"/>
          <w:w w:val="105"/>
        </w:rPr>
        <w:t> </w:t>
      </w:r>
      <w:r>
        <w:rPr>
          <w:w w:val="105"/>
        </w:rPr>
        <w:t>and</w:t>
      </w:r>
      <w:r>
        <w:rPr>
          <w:spacing w:val="-8"/>
          <w:w w:val="105"/>
        </w:rPr>
        <w:t> </w:t>
      </w:r>
      <w:r>
        <w:rPr>
          <w:w w:val="105"/>
        </w:rPr>
        <w:t>lighter,</w:t>
      </w:r>
      <w:r>
        <w:rPr>
          <w:spacing w:val="-8"/>
          <w:w w:val="105"/>
        </w:rPr>
        <w:t> </w:t>
      </w:r>
      <w:r>
        <w:rPr>
          <w:w w:val="105"/>
        </w:rPr>
        <w:t>with</w:t>
      </w:r>
      <w:r>
        <w:rPr>
          <w:spacing w:val="-6"/>
          <w:w w:val="105"/>
        </w:rPr>
        <w:t> </w:t>
      </w:r>
      <w:r>
        <w:rPr>
          <w:w w:val="105"/>
        </w:rPr>
        <w:t>exceptional surface</w:t>
      </w:r>
      <w:r>
        <w:rPr>
          <w:spacing w:val="-2"/>
          <w:w w:val="105"/>
        </w:rPr>
        <w:t> </w:t>
      </w:r>
      <w:r>
        <w:rPr>
          <w:w w:val="105"/>
        </w:rPr>
        <w:t>quality</w:t>
      </w:r>
      <w:r>
        <w:rPr>
          <w:spacing w:val="-2"/>
          <w:w w:val="105"/>
        </w:rPr>
        <w:t> </w:t>
      </w:r>
      <w:r>
        <w:rPr>
          <w:w w:val="105"/>
        </w:rPr>
        <w:t>and</w:t>
      </w:r>
      <w:r>
        <w:rPr>
          <w:spacing w:val="-2"/>
          <w:w w:val="105"/>
        </w:rPr>
        <w:t> </w:t>
      </w:r>
      <w:r>
        <w:rPr>
          <w:w w:val="105"/>
        </w:rPr>
        <w:t>without</w:t>
      </w:r>
      <w:r>
        <w:rPr>
          <w:spacing w:val="-2"/>
          <w:w w:val="105"/>
        </w:rPr>
        <w:t> </w:t>
      </w:r>
      <w:r>
        <w:rPr>
          <w:w w:val="105"/>
        </w:rPr>
        <w:t>heavy</w:t>
      </w:r>
      <w:r>
        <w:rPr>
          <w:spacing w:val="-2"/>
          <w:w w:val="105"/>
        </w:rPr>
        <w:t> </w:t>
      </w:r>
      <w:r>
        <w:rPr>
          <w:w w:val="105"/>
        </w:rPr>
        <w:t>metals.</w:t>
      </w:r>
      <w:r>
        <w:rPr>
          <w:spacing w:val="-2"/>
          <w:w w:val="105"/>
        </w:rPr>
        <w:t> </w:t>
      </w:r>
      <w:r>
        <w:rPr>
          <w:w w:val="105"/>
        </w:rPr>
        <w:t>AGC</w:t>
      </w:r>
      <w:r>
        <w:rPr>
          <w:spacing w:val="-2"/>
          <w:w w:val="105"/>
        </w:rPr>
        <w:t> </w:t>
      </w:r>
      <w:r>
        <w:rPr>
          <w:w w:val="105"/>
        </w:rPr>
        <w:t>Inc.</w:t>
      </w:r>
      <w:r>
        <w:rPr>
          <w:spacing w:val="-2"/>
          <w:w w:val="105"/>
        </w:rPr>
        <w:t> </w:t>
      </w:r>
      <w:r>
        <w:rPr>
          <w:w w:val="105"/>
        </w:rPr>
        <w:t>and</w:t>
      </w:r>
      <w:r>
        <w:rPr>
          <w:spacing w:val="-2"/>
          <w:w w:val="105"/>
        </w:rPr>
        <w:t> </w:t>
      </w:r>
      <w:r>
        <w:rPr>
          <w:w w:val="105"/>
        </w:rPr>
        <w:t>Nippon</w:t>
      </w:r>
      <w:r>
        <w:rPr>
          <w:spacing w:val="-2"/>
          <w:w w:val="105"/>
        </w:rPr>
        <w:t> </w:t>
      </w:r>
      <w:r>
        <w:rPr>
          <w:w w:val="105"/>
        </w:rPr>
        <w:t>Electric</w:t>
      </w:r>
      <w:r>
        <w:rPr>
          <w:spacing w:val="-2"/>
          <w:w w:val="105"/>
        </w:rPr>
        <w:t> </w:t>
      </w:r>
      <w:r>
        <w:rPr>
          <w:w w:val="105"/>
        </w:rPr>
        <w:t>Glass</w:t>
      </w:r>
      <w:r>
        <w:rPr>
          <w:spacing w:val="-2"/>
          <w:w w:val="105"/>
        </w:rPr>
        <w:t> </w:t>
      </w:r>
      <w:r>
        <w:rPr>
          <w:w w:val="105"/>
        </w:rPr>
        <w:t>Co.,</w:t>
      </w:r>
      <w:r>
        <w:rPr>
          <w:spacing w:val="-2"/>
          <w:w w:val="105"/>
        </w:rPr>
        <w:t> </w:t>
      </w:r>
      <w:r>
        <w:rPr>
          <w:w w:val="105"/>
        </w:rPr>
        <w:t>Ltd.</w:t>
      </w:r>
      <w:r>
        <w:rPr>
          <w:spacing w:val="-2"/>
          <w:w w:val="105"/>
        </w:rPr>
        <w:t> </w:t>
      </w:r>
      <w:r>
        <w:rPr>
          <w:w w:val="105"/>
        </w:rPr>
        <w:t>are</w:t>
      </w:r>
      <w:r>
        <w:rPr>
          <w:spacing w:val="-2"/>
          <w:w w:val="105"/>
        </w:rPr>
        <w:t> </w:t>
      </w:r>
      <w:r>
        <w:rPr>
          <w:w w:val="105"/>
        </w:rPr>
        <w:t>Corning’s</w:t>
      </w:r>
      <w:r>
        <w:rPr>
          <w:spacing w:val="-2"/>
          <w:w w:val="105"/>
        </w:rPr>
        <w:t> </w:t>
      </w:r>
      <w:r>
        <w:rPr>
          <w:w w:val="105"/>
        </w:rPr>
        <w:t>principal competitors</w:t>
      </w:r>
      <w:r>
        <w:rPr>
          <w:spacing w:val="-2"/>
          <w:w w:val="105"/>
        </w:rPr>
        <w:t> </w:t>
      </w:r>
      <w:r>
        <w:rPr>
          <w:w w:val="105"/>
        </w:rPr>
        <w:t>in</w:t>
      </w:r>
      <w:r>
        <w:rPr>
          <w:spacing w:val="-2"/>
          <w:w w:val="105"/>
        </w:rPr>
        <w:t> </w:t>
      </w:r>
      <w:r>
        <w:rPr>
          <w:w w:val="105"/>
        </w:rPr>
        <w:t>display</w:t>
      </w:r>
      <w:r>
        <w:rPr>
          <w:spacing w:val="-2"/>
          <w:w w:val="105"/>
        </w:rPr>
        <w:t> </w:t>
      </w:r>
      <w:r>
        <w:rPr>
          <w:w w:val="105"/>
        </w:rPr>
        <w:t>glass</w:t>
      </w:r>
      <w:r>
        <w:rPr>
          <w:spacing w:val="-2"/>
          <w:w w:val="105"/>
        </w:rPr>
        <w:t> </w:t>
      </w:r>
      <w:r>
        <w:rPr>
          <w:w w:val="105"/>
        </w:rPr>
        <w:t>substrates.</w:t>
      </w:r>
    </w:p>
    <w:p>
      <w:pPr>
        <w:pStyle w:val="BodyText"/>
        <w:spacing w:before="18"/>
      </w:pPr>
    </w:p>
    <w:p>
      <w:pPr>
        <w:spacing w:before="0"/>
        <w:ind w:left="156" w:right="0" w:firstLine="0"/>
        <w:jc w:val="left"/>
        <w:rPr>
          <w:i/>
          <w:sz w:val="16"/>
        </w:rPr>
      </w:pPr>
      <w:r>
        <w:rPr>
          <w:i/>
          <w:sz w:val="16"/>
        </w:rPr>
        <w:t>Optical</w:t>
      </w:r>
      <w:r>
        <w:rPr>
          <w:i/>
          <w:spacing w:val="17"/>
          <w:sz w:val="16"/>
        </w:rPr>
        <w:t> </w:t>
      </w:r>
      <w:r>
        <w:rPr>
          <w:i/>
          <w:sz w:val="16"/>
        </w:rPr>
        <w:t>Communications</w:t>
      </w:r>
      <w:r>
        <w:rPr>
          <w:i/>
          <w:spacing w:val="18"/>
          <w:sz w:val="16"/>
        </w:rPr>
        <w:t> </w:t>
      </w:r>
      <w:r>
        <w:rPr>
          <w:i/>
          <w:spacing w:val="-2"/>
          <w:sz w:val="16"/>
        </w:rPr>
        <w:t>Segment</w:t>
      </w:r>
    </w:p>
    <w:p>
      <w:pPr>
        <w:pStyle w:val="BodyText"/>
        <w:spacing w:before="40"/>
        <w:rPr>
          <w:i/>
        </w:rPr>
      </w:pPr>
    </w:p>
    <w:p>
      <w:pPr>
        <w:pStyle w:val="BodyText"/>
        <w:spacing w:line="266" w:lineRule="auto"/>
        <w:ind w:left="156" w:right="200"/>
      </w:pPr>
      <w:r>
        <w:rPr>
          <w:w w:val="105"/>
        </w:rPr>
        <w:t>Corning</w:t>
      </w:r>
      <w:r>
        <w:rPr>
          <w:spacing w:val="-2"/>
          <w:w w:val="105"/>
        </w:rPr>
        <w:t> </w:t>
      </w:r>
      <w:r>
        <w:rPr>
          <w:w w:val="105"/>
        </w:rPr>
        <w:t>believes</w:t>
      </w:r>
      <w:r>
        <w:rPr>
          <w:spacing w:val="-2"/>
          <w:w w:val="105"/>
        </w:rPr>
        <w:t> </w:t>
      </w:r>
      <w:r>
        <w:rPr>
          <w:w w:val="105"/>
        </w:rPr>
        <w:t>it</w:t>
      </w:r>
      <w:r>
        <w:rPr>
          <w:spacing w:val="-2"/>
          <w:w w:val="105"/>
        </w:rPr>
        <w:t> </w:t>
      </w:r>
      <w:r>
        <w:rPr>
          <w:w w:val="105"/>
        </w:rPr>
        <w:t>maintains</w:t>
      </w:r>
      <w:r>
        <w:rPr>
          <w:spacing w:val="-2"/>
          <w:w w:val="105"/>
        </w:rPr>
        <w:t> </w:t>
      </w:r>
      <w:r>
        <w:rPr>
          <w:w w:val="105"/>
        </w:rPr>
        <w:t>a</w:t>
      </w:r>
      <w:r>
        <w:rPr>
          <w:spacing w:val="-2"/>
          <w:w w:val="105"/>
        </w:rPr>
        <w:t> </w:t>
      </w:r>
      <w:r>
        <w:rPr>
          <w:w w:val="105"/>
        </w:rPr>
        <w:t>leadership</w:t>
      </w:r>
      <w:r>
        <w:rPr>
          <w:spacing w:val="-2"/>
          <w:w w:val="105"/>
        </w:rPr>
        <w:t> </w:t>
      </w:r>
      <w:r>
        <w:rPr>
          <w:w w:val="105"/>
        </w:rPr>
        <w:t>position</w:t>
      </w:r>
      <w:r>
        <w:rPr>
          <w:spacing w:val="-2"/>
          <w:w w:val="105"/>
        </w:rPr>
        <w:t> </w:t>
      </w:r>
      <w:r>
        <w:rPr>
          <w:w w:val="105"/>
        </w:rPr>
        <w:t>in the</w:t>
      </w:r>
      <w:r>
        <w:rPr>
          <w:spacing w:val="-2"/>
          <w:w w:val="105"/>
        </w:rPr>
        <w:t> </w:t>
      </w:r>
      <w:r>
        <w:rPr>
          <w:w w:val="105"/>
        </w:rPr>
        <w:t>segment’s</w:t>
      </w:r>
      <w:r>
        <w:rPr>
          <w:spacing w:val="-2"/>
          <w:w w:val="105"/>
        </w:rPr>
        <w:t> </w:t>
      </w:r>
      <w:r>
        <w:rPr>
          <w:w w:val="105"/>
        </w:rPr>
        <w:t>principal</w:t>
      </w:r>
      <w:r>
        <w:rPr>
          <w:spacing w:val="-2"/>
          <w:w w:val="105"/>
        </w:rPr>
        <w:t> </w:t>
      </w:r>
      <w:r>
        <w:rPr>
          <w:w w:val="105"/>
        </w:rPr>
        <w:t>product</w:t>
      </w:r>
      <w:r>
        <w:rPr>
          <w:spacing w:val="-2"/>
          <w:w w:val="105"/>
        </w:rPr>
        <w:t> </w:t>
      </w:r>
      <w:r>
        <w:rPr>
          <w:w w:val="105"/>
        </w:rPr>
        <w:t>groups,</w:t>
      </w:r>
      <w:r>
        <w:rPr>
          <w:spacing w:val="-2"/>
          <w:w w:val="105"/>
        </w:rPr>
        <w:t> </w:t>
      </w:r>
      <w:r>
        <w:rPr>
          <w:w w:val="105"/>
        </w:rPr>
        <w:t>which</w:t>
      </w:r>
      <w:r>
        <w:rPr>
          <w:spacing w:val="-2"/>
          <w:w w:val="105"/>
        </w:rPr>
        <w:t> </w:t>
      </w:r>
      <w:r>
        <w:rPr>
          <w:w w:val="105"/>
        </w:rPr>
        <w:t>include</w:t>
      </w:r>
      <w:r>
        <w:rPr>
          <w:spacing w:val="-2"/>
          <w:w w:val="105"/>
        </w:rPr>
        <w:t> </w:t>
      </w:r>
      <w:r>
        <w:rPr>
          <w:w w:val="105"/>
        </w:rPr>
        <w:t>carrier</w:t>
      </w:r>
      <w:r>
        <w:rPr>
          <w:spacing w:val="-2"/>
          <w:w w:val="105"/>
        </w:rPr>
        <w:t> </w:t>
      </w:r>
      <w:r>
        <w:rPr>
          <w:w w:val="105"/>
        </w:rPr>
        <w:t>and</w:t>
      </w:r>
      <w:r>
        <w:rPr>
          <w:spacing w:val="-2"/>
          <w:w w:val="105"/>
        </w:rPr>
        <w:t> </w:t>
      </w:r>
      <w:r>
        <w:rPr>
          <w:w w:val="105"/>
        </w:rPr>
        <w:t>enterprise</w:t>
      </w:r>
      <w:r>
        <w:rPr>
          <w:spacing w:val="-2"/>
          <w:w w:val="105"/>
        </w:rPr>
        <w:t> </w:t>
      </w:r>
      <w:r>
        <w:rPr>
          <w:w w:val="105"/>
        </w:rPr>
        <w:t>networks.</w:t>
      </w:r>
      <w:r>
        <w:rPr>
          <w:spacing w:val="-2"/>
          <w:w w:val="105"/>
        </w:rPr>
        <w:t> </w:t>
      </w:r>
      <w:r>
        <w:rPr>
          <w:w w:val="105"/>
        </w:rPr>
        <w:t>The</w:t>
      </w:r>
      <w:r>
        <w:rPr>
          <w:spacing w:val="-2"/>
          <w:w w:val="105"/>
        </w:rPr>
        <w:t> </w:t>
      </w:r>
      <w:r>
        <w:rPr>
          <w:w w:val="105"/>
        </w:rPr>
        <w:t>competitive</w:t>
      </w:r>
      <w:r>
        <w:rPr>
          <w:spacing w:val="-2"/>
          <w:w w:val="105"/>
        </w:rPr>
        <w:t> </w:t>
      </w:r>
      <w:r>
        <w:rPr>
          <w:w w:val="105"/>
        </w:rPr>
        <w:t>landscape includes</w:t>
      </w:r>
      <w:r>
        <w:rPr>
          <w:spacing w:val="-9"/>
          <w:w w:val="105"/>
        </w:rPr>
        <w:t> </w:t>
      </w:r>
      <w:r>
        <w:rPr>
          <w:w w:val="105"/>
        </w:rPr>
        <w:t>industry</w:t>
      </w:r>
      <w:r>
        <w:rPr>
          <w:spacing w:val="-9"/>
          <w:w w:val="105"/>
        </w:rPr>
        <w:t> </w:t>
      </w:r>
      <w:r>
        <w:rPr>
          <w:w w:val="105"/>
        </w:rPr>
        <w:t>consolidation,</w:t>
      </w:r>
      <w:r>
        <w:rPr>
          <w:spacing w:val="-9"/>
          <w:w w:val="105"/>
        </w:rPr>
        <w:t> </w:t>
      </w:r>
      <w:r>
        <w:rPr>
          <w:w w:val="105"/>
        </w:rPr>
        <w:t>pricing</w:t>
      </w:r>
      <w:r>
        <w:rPr>
          <w:spacing w:val="-9"/>
          <w:w w:val="105"/>
        </w:rPr>
        <w:t> </w:t>
      </w:r>
      <w:r>
        <w:rPr>
          <w:w w:val="105"/>
        </w:rPr>
        <w:t>pressure</w:t>
      </w:r>
      <w:r>
        <w:rPr>
          <w:spacing w:val="-9"/>
          <w:w w:val="105"/>
        </w:rPr>
        <w:t> </w:t>
      </w:r>
      <w:r>
        <w:rPr>
          <w:w w:val="105"/>
        </w:rPr>
        <w:t>and</w:t>
      </w:r>
      <w:r>
        <w:rPr>
          <w:spacing w:val="-9"/>
          <w:w w:val="105"/>
        </w:rPr>
        <w:t> </w:t>
      </w:r>
      <w:r>
        <w:rPr>
          <w:w w:val="105"/>
        </w:rPr>
        <w:t>competition</w:t>
      </w:r>
      <w:r>
        <w:rPr>
          <w:spacing w:val="-9"/>
          <w:w w:val="105"/>
        </w:rPr>
        <w:t> </w:t>
      </w:r>
      <w:r>
        <w:rPr>
          <w:w w:val="105"/>
        </w:rPr>
        <w:t>for</w:t>
      </w:r>
      <w:r>
        <w:rPr>
          <w:spacing w:val="-9"/>
          <w:w w:val="105"/>
        </w:rPr>
        <w:t> </w:t>
      </w:r>
      <w:r>
        <w:rPr>
          <w:w w:val="105"/>
        </w:rPr>
        <w:t>the</w:t>
      </w:r>
      <w:r>
        <w:rPr>
          <w:spacing w:val="-9"/>
          <w:w w:val="105"/>
        </w:rPr>
        <w:t> </w:t>
      </w:r>
      <w:r>
        <w:rPr>
          <w:w w:val="105"/>
        </w:rPr>
        <w:t>innovation</w:t>
      </w:r>
      <w:r>
        <w:rPr>
          <w:spacing w:val="-9"/>
          <w:w w:val="105"/>
        </w:rPr>
        <w:t> </w:t>
      </w:r>
      <w:r>
        <w:rPr>
          <w:w w:val="105"/>
        </w:rPr>
        <w:t>of</w:t>
      </w:r>
      <w:r>
        <w:rPr>
          <w:spacing w:val="-9"/>
          <w:w w:val="105"/>
        </w:rPr>
        <w:t> </w:t>
      </w:r>
      <w:r>
        <w:rPr>
          <w:w w:val="105"/>
        </w:rPr>
        <w:t>new</w:t>
      </w:r>
      <w:r>
        <w:rPr>
          <w:spacing w:val="-9"/>
          <w:w w:val="105"/>
        </w:rPr>
        <w:t> </w:t>
      </w:r>
      <w:r>
        <w:rPr>
          <w:w w:val="105"/>
        </w:rPr>
        <w:t>products.</w:t>
      </w:r>
      <w:r>
        <w:rPr>
          <w:spacing w:val="-9"/>
          <w:w w:val="105"/>
        </w:rPr>
        <w:t> </w:t>
      </w:r>
      <w:r>
        <w:rPr>
          <w:w w:val="105"/>
        </w:rPr>
        <w:t>These</w:t>
      </w:r>
      <w:r>
        <w:rPr>
          <w:spacing w:val="-9"/>
          <w:w w:val="105"/>
        </w:rPr>
        <w:t> </w:t>
      </w:r>
      <w:r>
        <w:rPr>
          <w:w w:val="105"/>
        </w:rPr>
        <w:t>competitive</w:t>
      </w:r>
      <w:r>
        <w:rPr>
          <w:spacing w:val="-8"/>
          <w:w w:val="105"/>
        </w:rPr>
        <w:t> </w:t>
      </w:r>
      <w:r>
        <w:rPr>
          <w:w w:val="105"/>
        </w:rPr>
        <w:t>conditions</w:t>
      </w:r>
      <w:r>
        <w:rPr>
          <w:spacing w:val="-9"/>
          <w:w w:val="105"/>
        </w:rPr>
        <w:t> </w:t>
      </w:r>
      <w:r>
        <w:rPr>
          <w:w w:val="105"/>
        </w:rPr>
        <w:t>are</w:t>
      </w:r>
      <w:r>
        <w:rPr>
          <w:spacing w:val="-9"/>
          <w:w w:val="105"/>
        </w:rPr>
        <w:t> </w:t>
      </w:r>
      <w:r>
        <w:rPr>
          <w:w w:val="105"/>
        </w:rPr>
        <w:t>likely</w:t>
      </w:r>
      <w:r>
        <w:rPr>
          <w:spacing w:val="-9"/>
          <w:w w:val="105"/>
        </w:rPr>
        <w:t> </w:t>
      </w:r>
      <w:r>
        <w:rPr>
          <w:w w:val="105"/>
        </w:rPr>
        <w:t>to</w:t>
      </w:r>
      <w:r>
        <w:rPr>
          <w:spacing w:val="-9"/>
          <w:w w:val="105"/>
        </w:rPr>
        <w:t> </w:t>
      </w:r>
      <w:r>
        <w:rPr>
          <w:w w:val="105"/>
        </w:rPr>
        <w:t>persist.</w:t>
      </w:r>
      <w:r>
        <w:rPr>
          <w:spacing w:val="-9"/>
          <w:w w:val="105"/>
        </w:rPr>
        <w:t> </w:t>
      </w:r>
      <w:r>
        <w:rPr>
          <w:w w:val="105"/>
        </w:rPr>
        <w:t>Corning</w:t>
      </w:r>
      <w:r>
        <w:rPr>
          <w:spacing w:val="-9"/>
          <w:w w:val="105"/>
        </w:rPr>
        <w:t> </w:t>
      </w:r>
      <w:r>
        <w:rPr>
          <w:w w:val="105"/>
        </w:rPr>
        <w:t>believes</w:t>
      </w:r>
      <w:r>
        <w:rPr>
          <w:spacing w:val="-9"/>
          <w:w w:val="105"/>
        </w:rPr>
        <w:t> </w:t>
      </w:r>
      <w:r>
        <w:rPr>
          <w:w w:val="105"/>
        </w:rPr>
        <w:t>its large-scale</w:t>
      </w:r>
      <w:r>
        <w:rPr>
          <w:spacing w:val="-1"/>
          <w:w w:val="105"/>
        </w:rPr>
        <w:t> </w:t>
      </w:r>
      <w:r>
        <w:rPr>
          <w:w w:val="105"/>
        </w:rPr>
        <w:t>manufacturing</w:t>
      </w:r>
      <w:r>
        <w:rPr>
          <w:spacing w:val="-1"/>
          <w:w w:val="105"/>
        </w:rPr>
        <w:t> </w:t>
      </w:r>
      <w:r>
        <w:rPr>
          <w:w w:val="105"/>
        </w:rPr>
        <w:t>experience,</w:t>
      </w:r>
      <w:r>
        <w:rPr>
          <w:spacing w:val="-1"/>
          <w:w w:val="105"/>
        </w:rPr>
        <w:t> </w:t>
      </w:r>
      <w:r>
        <w:rPr>
          <w:w w:val="105"/>
        </w:rPr>
        <w:t>fiber</w:t>
      </w:r>
      <w:r>
        <w:rPr>
          <w:spacing w:val="-1"/>
          <w:w w:val="105"/>
        </w:rPr>
        <w:t> </w:t>
      </w:r>
      <w:r>
        <w:rPr>
          <w:w w:val="105"/>
        </w:rPr>
        <w:t>process,</w:t>
      </w:r>
      <w:r>
        <w:rPr>
          <w:spacing w:val="-1"/>
          <w:w w:val="105"/>
        </w:rPr>
        <w:t> </w:t>
      </w:r>
      <w:r>
        <w:rPr>
          <w:w w:val="105"/>
        </w:rPr>
        <w:t>technology</w:t>
      </w:r>
      <w:r>
        <w:rPr>
          <w:spacing w:val="-1"/>
          <w:w w:val="105"/>
        </w:rPr>
        <w:t> </w:t>
      </w:r>
      <w:r>
        <w:rPr>
          <w:w w:val="105"/>
        </w:rPr>
        <w:t>leadership</w:t>
      </w:r>
      <w:r>
        <w:rPr>
          <w:spacing w:val="-1"/>
          <w:w w:val="105"/>
        </w:rPr>
        <w:t> </w:t>
      </w:r>
      <w:r>
        <w:rPr>
          <w:w w:val="105"/>
        </w:rPr>
        <w:t>and</w:t>
      </w:r>
      <w:r>
        <w:rPr>
          <w:spacing w:val="-1"/>
          <w:w w:val="105"/>
        </w:rPr>
        <w:t> </w:t>
      </w:r>
      <w:r>
        <w:rPr>
          <w:w w:val="105"/>
        </w:rPr>
        <w:t>intellectual</w:t>
      </w:r>
      <w:r>
        <w:rPr>
          <w:spacing w:val="-1"/>
          <w:w w:val="105"/>
        </w:rPr>
        <w:t> </w:t>
      </w:r>
      <w:r>
        <w:rPr>
          <w:w w:val="105"/>
        </w:rPr>
        <w:t>property</w:t>
      </w:r>
      <w:r>
        <w:rPr>
          <w:spacing w:val="-1"/>
          <w:w w:val="105"/>
        </w:rPr>
        <w:t> </w:t>
      </w:r>
      <w:r>
        <w:rPr>
          <w:w w:val="105"/>
        </w:rPr>
        <w:t>provide</w:t>
      </w:r>
      <w:r>
        <w:rPr>
          <w:spacing w:val="-1"/>
          <w:w w:val="105"/>
        </w:rPr>
        <w:t> </w:t>
      </w:r>
      <w:r>
        <w:rPr>
          <w:w w:val="105"/>
        </w:rPr>
        <w:t>cost</w:t>
      </w:r>
      <w:r>
        <w:rPr>
          <w:spacing w:val="-1"/>
          <w:w w:val="105"/>
        </w:rPr>
        <w:t> </w:t>
      </w:r>
      <w:r>
        <w:rPr>
          <w:w w:val="105"/>
        </w:rPr>
        <w:t>advantages</w:t>
      </w:r>
      <w:r>
        <w:rPr>
          <w:spacing w:val="-1"/>
          <w:w w:val="105"/>
        </w:rPr>
        <w:t> </w:t>
      </w:r>
      <w:r>
        <w:rPr>
          <w:w w:val="105"/>
        </w:rPr>
        <w:t>relative</w:t>
      </w:r>
      <w:r>
        <w:rPr>
          <w:spacing w:val="-1"/>
          <w:w w:val="105"/>
        </w:rPr>
        <w:t> </w:t>
      </w:r>
      <w:r>
        <w:rPr>
          <w:w w:val="105"/>
        </w:rPr>
        <w:t>to</w:t>
      </w:r>
      <w:r>
        <w:rPr>
          <w:spacing w:val="-1"/>
          <w:w w:val="105"/>
        </w:rPr>
        <w:t> </w:t>
      </w:r>
      <w:r>
        <w:rPr>
          <w:w w:val="105"/>
        </w:rPr>
        <w:t>several</w:t>
      </w:r>
      <w:r>
        <w:rPr>
          <w:spacing w:val="-1"/>
          <w:w w:val="105"/>
        </w:rPr>
        <w:t> </w:t>
      </w:r>
      <w:r>
        <w:rPr>
          <w:w w:val="105"/>
        </w:rPr>
        <w:t>of</w:t>
      </w:r>
      <w:r>
        <w:rPr>
          <w:spacing w:val="-1"/>
          <w:w w:val="105"/>
        </w:rPr>
        <w:t> </w:t>
      </w:r>
      <w:r>
        <w:rPr>
          <w:w w:val="105"/>
        </w:rPr>
        <w:t>its</w:t>
      </w:r>
      <w:r>
        <w:rPr>
          <w:spacing w:val="-1"/>
          <w:w w:val="105"/>
        </w:rPr>
        <w:t> </w:t>
      </w:r>
      <w:r>
        <w:rPr>
          <w:w w:val="105"/>
        </w:rPr>
        <w:t>competitors.</w:t>
      </w:r>
      <w:r>
        <w:rPr>
          <w:spacing w:val="-1"/>
          <w:w w:val="105"/>
        </w:rPr>
        <w:t> </w:t>
      </w:r>
      <w:r>
        <w:rPr>
          <w:w w:val="105"/>
        </w:rPr>
        <w:t>The primary competitors of the Optical Communications segment are CommScope Inc. and Prysmian Group S.p.A.</w:t>
      </w:r>
    </w:p>
    <w:p>
      <w:pPr>
        <w:pStyle w:val="BodyText"/>
        <w:spacing w:before="18"/>
      </w:pPr>
    </w:p>
    <w:p>
      <w:pPr>
        <w:spacing w:before="0"/>
        <w:ind w:left="156" w:right="0" w:firstLine="0"/>
        <w:jc w:val="left"/>
        <w:rPr>
          <w:i/>
          <w:sz w:val="16"/>
        </w:rPr>
      </w:pPr>
      <w:r>
        <w:rPr>
          <w:i/>
          <w:sz w:val="16"/>
        </w:rPr>
        <w:t>Specialty</w:t>
      </w:r>
      <w:r>
        <w:rPr>
          <w:i/>
          <w:spacing w:val="15"/>
          <w:sz w:val="16"/>
        </w:rPr>
        <w:t> </w:t>
      </w:r>
      <w:r>
        <w:rPr>
          <w:i/>
          <w:sz w:val="16"/>
        </w:rPr>
        <w:t>Materials</w:t>
      </w:r>
      <w:r>
        <w:rPr>
          <w:i/>
          <w:spacing w:val="15"/>
          <w:sz w:val="16"/>
        </w:rPr>
        <w:t> </w:t>
      </w:r>
      <w:r>
        <w:rPr>
          <w:i/>
          <w:spacing w:val="-2"/>
          <w:sz w:val="16"/>
        </w:rPr>
        <w:t>Segment</w:t>
      </w:r>
    </w:p>
    <w:p>
      <w:pPr>
        <w:pStyle w:val="BodyText"/>
        <w:spacing w:before="39"/>
        <w:rPr>
          <w:i/>
        </w:rPr>
      </w:pPr>
    </w:p>
    <w:p>
      <w:pPr>
        <w:pStyle w:val="BodyText"/>
        <w:spacing w:line="266" w:lineRule="auto" w:before="1"/>
        <w:ind w:left="156"/>
      </w:pPr>
      <w:r>
        <w:rPr>
          <w:w w:val="105"/>
        </w:rPr>
        <w:t>Corning</w:t>
      </w:r>
      <w:r>
        <w:rPr>
          <w:spacing w:val="-5"/>
          <w:w w:val="105"/>
        </w:rPr>
        <w:t> </w:t>
      </w:r>
      <w:r>
        <w:rPr>
          <w:w w:val="105"/>
        </w:rPr>
        <w:t>has</w:t>
      </w:r>
      <w:r>
        <w:rPr>
          <w:spacing w:val="-5"/>
          <w:w w:val="105"/>
        </w:rPr>
        <w:t> </w:t>
      </w:r>
      <w:r>
        <w:rPr>
          <w:w w:val="105"/>
        </w:rPr>
        <w:t>deep</w:t>
      </w:r>
      <w:r>
        <w:rPr>
          <w:spacing w:val="-5"/>
          <w:w w:val="105"/>
        </w:rPr>
        <w:t> </w:t>
      </w:r>
      <w:r>
        <w:rPr>
          <w:w w:val="105"/>
        </w:rPr>
        <w:t>capabilities</w:t>
      </w:r>
      <w:r>
        <w:rPr>
          <w:spacing w:val="-5"/>
          <w:w w:val="105"/>
        </w:rPr>
        <w:t> </w:t>
      </w:r>
      <w:r>
        <w:rPr>
          <w:w w:val="105"/>
        </w:rPr>
        <w:t>in</w:t>
      </w:r>
      <w:r>
        <w:rPr>
          <w:spacing w:val="-5"/>
          <w:w w:val="105"/>
        </w:rPr>
        <w:t> </w:t>
      </w:r>
      <w:r>
        <w:rPr>
          <w:w w:val="105"/>
        </w:rPr>
        <w:t>materials</w:t>
      </w:r>
      <w:r>
        <w:rPr>
          <w:spacing w:val="-5"/>
          <w:w w:val="105"/>
        </w:rPr>
        <w:t> </w:t>
      </w:r>
      <w:r>
        <w:rPr>
          <w:w w:val="105"/>
        </w:rPr>
        <w:t>science,</w:t>
      </w:r>
      <w:r>
        <w:rPr>
          <w:spacing w:val="-5"/>
          <w:w w:val="105"/>
        </w:rPr>
        <w:t> </w:t>
      </w:r>
      <w:r>
        <w:rPr>
          <w:w w:val="105"/>
        </w:rPr>
        <w:t>optical</w:t>
      </w:r>
      <w:r>
        <w:rPr>
          <w:spacing w:val="-5"/>
          <w:w w:val="105"/>
        </w:rPr>
        <w:t> </w:t>
      </w:r>
      <w:r>
        <w:rPr>
          <w:w w:val="105"/>
        </w:rPr>
        <w:t>design,</w:t>
      </w:r>
      <w:r>
        <w:rPr>
          <w:spacing w:val="-5"/>
          <w:w w:val="105"/>
        </w:rPr>
        <w:t> </w:t>
      </w:r>
      <w:r>
        <w:rPr>
          <w:w w:val="105"/>
        </w:rPr>
        <w:t>shaping,</w:t>
      </w:r>
      <w:r>
        <w:rPr>
          <w:spacing w:val="-5"/>
          <w:w w:val="105"/>
        </w:rPr>
        <w:t> </w:t>
      </w:r>
      <w:r>
        <w:rPr>
          <w:w w:val="105"/>
        </w:rPr>
        <w:t>coating,</w:t>
      </w:r>
      <w:r>
        <w:rPr>
          <w:spacing w:val="-5"/>
          <w:w w:val="105"/>
        </w:rPr>
        <w:t> </w:t>
      </w:r>
      <w:r>
        <w:rPr>
          <w:w w:val="105"/>
        </w:rPr>
        <w:t>finishing,</w:t>
      </w:r>
      <w:r>
        <w:rPr>
          <w:spacing w:val="-5"/>
          <w:w w:val="105"/>
        </w:rPr>
        <w:t> </w:t>
      </w:r>
      <w:r>
        <w:rPr>
          <w:w w:val="105"/>
        </w:rPr>
        <w:t>metrology,</w:t>
      </w:r>
      <w:r>
        <w:rPr>
          <w:spacing w:val="-5"/>
          <w:w w:val="105"/>
        </w:rPr>
        <w:t> </w:t>
      </w:r>
      <w:r>
        <w:rPr>
          <w:w w:val="105"/>
        </w:rPr>
        <w:t>and</w:t>
      </w:r>
      <w:r>
        <w:rPr>
          <w:spacing w:val="-5"/>
          <w:w w:val="105"/>
        </w:rPr>
        <w:t> </w:t>
      </w:r>
      <w:r>
        <w:rPr>
          <w:w w:val="105"/>
        </w:rPr>
        <w:t>optical</w:t>
      </w:r>
      <w:r>
        <w:rPr>
          <w:spacing w:val="-5"/>
          <w:w w:val="105"/>
        </w:rPr>
        <w:t> </w:t>
      </w:r>
      <w:r>
        <w:rPr>
          <w:w w:val="105"/>
        </w:rPr>
        <w:t>system</w:t>
      </w:r>
      <w:r>
        <w:rPr>
          <w:spacing w:val="-5"/>
          <w:w w:val="105"/>
        </w:rPr>
        <w:t> </w:t>
      </w:r>
      <w:r>
        <w:rPr>
          <w:w w:val="105"/>
        </w:rPr>
        <w:t>assembly.</w:t>
      </w:r>
      <w:r>
        <w:rPr>
          <w:spacing w:val="-5"/>
          <w:w w:val="105"/>
        </w:rPr>
        <w:t> </w:t>
      </w:r>
      <w:r>
        <w:rPr>
          <w:w w:val="105"/>
        </w:rPr>
        <w:t>Our</w:t>
      </w:r>
      <w:r>
        <w:rPr>
          <w:spacing w:val="-5"/>
          <w:w w:val="105"/>
        </w:rPr>
        <w:t> </w:t>
      </w:r>
      <w:r>
        <w:rPr>
          <w:w w:val="105"/>
        </w:rPr>
        <w:t>products</w:t>
      </w:r>
      <w:r>
        <w:rPr>
          <w:spacing w:val="-5"/>
          <w:w w:val="105"/>
        </w:rPr>
        <w:t> </w:t>
      </w:r>
      <w:r>
        <w:rPr>
          <w:w w:val="105"/>
        </w:rPr>
        <w:t>and</w:t>
      </w:r>
      <w:r>
        <w:rPr>
          <w:spacing w:val="-5"/>
          <w:w w:val="105"/>
        </w:rPr>
        <w:t> </w:t>
      </w:r>
      <w:r>
        <w:rPr>
          <w:w w:val="105"/>
        </w:rPr>
        <w:t>capabilities</w:t>
      </w:r>
      <w:r>
        <w:rPr>
          <w:spacing w:val="-5"/>
          <w:w w:val="105"/>
        </w:rPr>
        <w:t> </w:t>
      </w:r>
      <w:r>
        <w:rPr>
          <w:w w:val="105"/>
        </w:rPr>
        <w:t>in</w:t>
      </w:r>
      <w:r>
        <w:rPr>
          <w:spacing w:val="-5"/>
          <w:w w:val="105"/>
        </w:rPr>
        <w:t> </w:t>
      </w:r>
      <w:r>
        <w:rPr>
          <w:w w:val="105"/>
        </w:rPr>
        <w:t>this segment</w:t>
      </w:r>
      <w:r>
        <w:rPr>
          <w:spacing w:val="-10"/>
          <w:w w:val="105"/>
        </w:rPr>
        <w:t> </w:t>
      </w:r>
      <w:r>
        <w:rPr>
          <w:w w:val="105"/>
        </w:rPr>
        <w:t>position</w:t>
      </w:r>
      <w:r>
        <w:rPr>
          <w:spacing w:val="-10"/>
          <w:w w:val="105"/>
        </w:rPr>
        <w:t> </w:t>
      </w:r>
      <w:r>
        <w:rPr>
          <w:w w:val="105"/>
        </w:rPr>
        <w:t>the</w:t>
      </w:r>
      <w:r>
        <w:rPr>
          <w:spacing w:val="-10"/>
          <w:w w:val="105"/>
        </w:rPr>
        <w:t> </w:t>
      </w:r>
      <w:r>
        <w:rPr>
          <w:w w:val="105"/>
        </w:rPr>
        <w:t>Company</w:t>
      </w:r>
      <w:r>
        <w:rPr>
          <w:spacing w:val="-10"/>
          <w:w w:val="105"/>
        </w:rPr>
        <w:t> </w:t>
      </w:r>
      <w:r>
        <w:rPr>
          <w:w w:val="105"/>
        </w:rPr>
        <w:t>to</w:t>
      </w:r>
      <w:r>
        <w:rPr>
          <w:spacing w:val="-10"/>
          <w:w w:val="105"/>
        </w:rPr>
        <w:t> </w:t>
      </w:r>
      <w:r>
        <w:rPr>
          <w:w w:val="105"/>
        </w:rPr>
        <w:t>meet</w:t>
      </w:r>
      <w:r>
        <w:rPr>
          <w:spacing w:val="-10"/>
          <w:w w:val="105"/>
        </w:rPr>
        <w:t> </w:t>
      </w:r>
      <w:r>
        <w:rPr>
          <w:w w:val="105"/>
        </w:rPr>
        <w:t>the</w:t>
      </w:r>
      <w:r>
        <w:rPr>
          <w:spacing w:val="-10"/>
          <w:w w:val="105"/>
        </w:rPr>
        <w:t> </w:t>
      </w:r>
      <w:r>
        <w:rPr>
          <w:w w:val="105"/>
        </w:rPr>
        <w:t>needs</w:t>
      </w:r>
      <w:r>
        <w:rPr>
          <w:spacing w:val="-10"/>
          <w:w w:val="105"/>
        </w:rPr>
        <w:t> </w:t>
      </w:r>
      <w:r>
        <w:rPr>
          <w:w w:val="105"/>
        </w:rPr>
        <w:t>of</w:t>
      </w:r>
      <w:r>
        <w:rPr>
          <w:spacing w:val="-10"/>
          <w:w w:val="105"/>
        </w:rPr>
        <w:t> </w:t>
      </w:r>
      <w:r>
        <w:rPr>
          <w:w w:val="105"/>
        </w:rPr>
        <w:t>a</w:t>
      </w:r>
      <w:r>
        <w:rPr>
          <w:spacing w:val="-10"/>
          <w:w w:val="105"/>
        </w:rPr>
        <w:t> </w:t>
      </w:r>
      <w:r>
        <w:rPr>
          <w:w w:val="105"/>
        </w:rPr>
        <w:t>broad</w:t>
      </w:r>
      <w:r>
        <w:rPr>
          <w:spacing w:val="-10"/>
          <w:w w:val="105"/>
        </w:rPr>
        <w:t> </w:t>
      </w:r>
      <w:r>
        <w:rPr>
          <w:w w:val="105"/>
        </w:rPr>
        <w:t>array</w:t>
      </w:r>
      <w:r>
        <w:rPr>
          <w:spacing w:val="-10"/>
          <w:w w:val="105"/>
        </w:rPr>
        <w:t> </w:t>
      </w:r>
      <w:r>
        <w:rPr>
          <w:w w:val="105"/>
        </w:rPr>
        <w:t>of</w:t>
      </w:r>
      <w:r>
        <w:rPr>
          <w:spacing w:val="-10"/>
          <w:w w:val="105"/>
        </w:rPr>
        <w:t> </w:t>
      </w:r>
      <w:r>
        <w:rPr>
          <w:w w:val="105"/>
        </w:rPr>
        <w:t>markets,</w:t>
      </w:r>
      <w:r>
        <w:rPr>
          <w:spacing w:val="-10"/>
          <w:w w:val="105"/>
        </w:rPr>
        <w:t> </w:t>
      </w:r>
      <w:r>
        <w:rPr>
          <w:w w:val="105"/>
        </w:rPr>
        <w:t>including</w:t>
      </w:r>
      <w:r>
        <w:rPr>
          <w:spacing w:val="-10"/>
          <w:w w:val="105"/>
        </w:rPr>
        <w:t> </w:t>
      </w:r>
      <w:r>
        <w:rPr>
          <w:w w:val="105"/>
        </w:rPr>
        <w:t>semiconductor,</w:t>
      </w:r>
      <w:r>
        <w:rPr>
          <w:spacing w:val="-10"/>
          <w:w w:val="105"/>
        </w:rPr>
        <w:t> </w:t>
      </w:r>
      <w:r>
        <w:rPr>
          <w:w w:val="105"/>
        </w:rPr>
        <w:t>aerospace,</w:t>
      </w:r>
      <w:r>
        <w:rPr>
          <w:spacing w:val="-10"/>
          <w:w w:val="105"/>
        </w:rPr>
        <w:t> </w:t>
      </w:r>
      <w:r>
        <w:rPr>
          <w:w w:val="105"/>
        </w:rPr>
        <w:t>defense,</w:t>
      </w:r>
      <w:r>
        <w:rPr>
          <w:spacing w:val="-10"/>
          <w:w w:val="105"/>
        </w:rPr>
        <w:t> </w:t>
      </w:r>
      <w:r>
        <w:rPr>
          <w:w w:val="105"/>
        </w:rPr>
        <w:t>industrial,</w:t>
      </w:r>
      <w:r>
        <w:rPr>
          <w:spacing w:val="-10"/>
          <w:w w:val="105"/>
        </w:rPr>
        <w:t> </w:t>
      </w:r>
      <w:r>
        <w:rPr>
          <w:w w:val="105"/>
        </w:rPr>
        <w:t>commercial,</w:t>
      </w:r>
      <w:r>
        <w:rPr>
          <w:spacing w:val="-10"/>
          <w:w w:val="105"/>
        </w:rPr>
        <w:t> </w:t>
      </w:r>
      <w:r>
        <w:rPr>
          <w:w w:val="105"/>
        </w:rPr>
        <w:t>and</w:t>
      </w:r>
      <w:r>
        <w:rPr>
          <w:spacing w:val="-10"/>
          <w:w w:val="105"/>
        </w:rPr>
        <w:t> </w:t>
      </w:r>
      <w:r>
        <w:rPr>
          <w:w w:val="105"/>
        </w:rPr>
        <w:t>telecommunications. Schott AG, AGC Inc., Nippon Electric Glass Co., Ltd. and Heraeus are the main competitors for this segment.</w:t>
      </w:r>
    </w:p>
    <w:p>
      <w:pPr>
        <w:pStyle w:val="BodyText"/>
        <w:spacing w:before="18"/>
      </w:pPr>
    </w:p>
    <w:p>
      <w:pPr>
        <w:spacing w:before="0"/>
        <w:ind w:left="156" w:right="0" w:firstLine="0"/>
        <w:jc w:val="left"/>
        <w:rPr>
          <w:i/>
          <w:sz w:val="16"/>
        </w:rPr>
      </w:pPr>
      <w:r>
        <w:rPr>
          <w:i/>
          <w:sz w:val="16"/>
        </w:rPr>
        <w:t>Environmental</w:t>
      </w:r>
      <w:r>
        <w:rPr>
          <w:i/>
          <w:spacing w:val="22"/>
          <w:sz w:val="16"/>
        </w:rPr>
        <w:t> </w:t>
      </w:r>
      <w:r>
        <w:rPr>
          <w:i/>
          <w:sz w:val="16"/>
        </w:rPr>
        <w:t>Technologies</w:t>
      </w:r>
      <w:r>
        <w:rPr>
          <w:i/>
          <w:spacing w:val="23"/>
          <w:sz w:val="16"/>
        </w:rPr>
        <w:t> </w:t>
      </w:r>
      <w:r>
        <w:rPr>
          <w:i/>
          <w:spacing w:val="-2"/>
          <w:sz w:val="16"/>
        </w:rPr>
        <w:t>Segment</w:t>
      </w:r>
    </w:p>
    <w:p>
      <w:pPr>
        <w:pStyle w:val="BodyText"/>
        <w:spacing w:before="40"/>
        <w:rPr>
          <w:i/>
        </w:rPr>
      </w:pPr>
    </w:p>
    <w:p>
      <w:pPr>
        <w:pStyle w:val="BodyText"/>
        <w:spacing w:line="266" w:lineRule="auto"/>
        <w:ind w:left="156" w:right="117"/>
      </w:pPr>
      <w:r>
        <w:rPr>
          <w:w w:val="105"/>
        </w:rPr>
        <w:t>Corning</w:t>
      </w:r>
      <w:r>
        <w:rPr>
          <w:spacing w:val="-2"/>
          <w:w w:val="105"/>
        </w:rPr>
        <w:t> </w:t>
      </w:r>
      <w:r>
        <w:rPr>
          <w:w w:val="105"/>
        </w:rPr>
        <w:t>believes</w:t>
      </w:r>
      <w:r>
        <w:rPr>
          <w:spacing w:val="-2"/>
          <w:w w:val="105"/>
        </w:rPr>
        <w:t> </w:t>
      </w:r>
      <w:r>
        <w:rPr>
          <w:w w:val="105"/>
        </w:rPr>
        <w:t>it</w:t>
      </w:r>
      <w:r>
        <w:rPr>
          <w:spacing w:val="-2"/>
          <w:w w:val="105"/>
        </w:rPr>
        <w:t> </w:t>
      </w:r>
      <w:r>
        <w:rPr>
          <w:w w:val="105"/>
        </w:rPr>
        <w:t>maintains</w:t>
      </w:r>
      <w:r>
        <w:rPr>
          <w:spacing w:val="-2"/>
          <w:w w:val="105"/>
        </w:rPr>
        <w:t> </w:t>
      </w:r>
      <w:r>
        <w:rPr>
          <w:w w:val="105"/>
        </w:rPr>
        <w:t>a</w:t>
      </w:r>
      <w:r>
        <w:rPr>
          <w:spacing w:val="-2"/>
          <w:w w:val="105"/>
        </w:rPr>
        <w:t> </w:t>
      </w:r>
      <w:r>
        <w:rPr>
          <w:w w:val="105"/>
        </w:rPr>
        <w:t>strong</w:t>
      </w:r>
      <w:r>
        <w:rPr>
          <w:spacing w:val="-2"/>
          <w:w w:val="105"/>
        </w:rPr>
        <w:t> </w:t>
      </w:r>
      <w:r>
        <w:rPr>
          <w:w w:val="105"/>
        </w:rPr>
        <w:t>position</w:t>
      </w:r>
      <w:r>
        <w:rPr>
          <w:spacing w:val="-2"/>
          <w:w w:val="105"/>
        </w:rPr>
        <w:t> </w:t>
      </w:r>
      <w:r>
        <w:rPr>
          <w:w w:val="105"/>
        </w:rPr>
        <w:t>in</w:t>
      </w:r>
      <w:r>
        <w:rPr>
          <w:spacing w:val="-2"/>
          <w:w w:val="105"/>
        </w:rPr>
        <w:t> </w:t>
      </w:r>
      <w:r>
        <w:rPr>
          <w:w w:val="105"/>
        </w:rPr>
        <w:t>the</w:t>
      </w:r>
      <w:r>
        <w:rPr>
          <w:spacing w:val="-2"/>
          <w:w w:val="105"/>
        </w:rPr>
        <w:t> </w:t>
      </w:r>
      <w:r>
        <w:rPr>
          <w:w w:val="105"/>
        </w:rPr>
        <w:t>worldwide market</w:t>
      </w:r>
      <w:r>
        <w:rPr>
          <w:spacing w:val="-2"/>
          <w:w w:val="105"/>
        </w:rPr>
        <w:t> </w:t>
      </w:r>
      <w:r>
        <w:rPr>
          <w:w w:val="105"/>
        </w:rPr>
        <w:t>for</w:t>
      </w:r>
      <w:r>
        <w:rPr>
          <w:spacing w:val="-2"/>
          <w:w w:val="105"/>
        </w:rPr>
        <w:t> </w:t>
      </w:r>
      <w:r>
        <w:rPr>
          <w:w w:val="105"/>
        </w:rPr>
        <w:t>automotive ceramic</w:t>
      </w:r>
      <w:r>
        <w:rPr>
          <w:spacing w:val="-2"/>
          <w:w w:val="105"/>
        </w:rPr>
        <w:t> </w:t>
      </w:r>
      <w:r>
        <w:rPr>
          <w:w w:val="105"/>
        </w:rPr>
        <w:t>substrate</w:t>
      </w:r>
      <w:r>
        <w:rPr>
          <w:spacing w:val="-2"/>
          <w:w w:val="105"/>
        </w:rPr>
        <w:t> </w:t>
      </w:r>
      <w:r>
        <w:rPr>
          <w:w w:val="105"/>
        </w:rPr>
        <w:t>and filter</w:t>
      </w:r>
      <w:r>
        <w:rPr>
          <w:spacing w:val="-2"/>
          <w:w w:val="105"/>
        </w:rPr>
        <w:t> </w:t>
      </w:r>
      <w:r>
        <w:rPr>
          <w:w w:val="105"/>
        </w:rPr>
        <w:t>products,</w:t>
      </w:r>
      <w:r>
        <w:rPr>
          <w:spacing w:val="-2"/>
          <w:w w:val="105"/>
        </w:rPr>
        <w:t> </w:t>
      </w:r>
      <w:r>
        <w:rPr>
          <w:w w:val="105"/>
        </w:rPr>
        <w:t>as</w:t>
      </w:r>
      <w:r>
        <w:rPr>
          <w:spacing w:val="-2"/>
          <w:w w:val="105"/>
        </w:rPr>
        <w:t> </w:t>
      </w:r>
      <w:r>
        <w:rPr>
          <w:w w:val="105"/>
        </w:rPr>
        <w:t>well</w:t>
      </w:r>
      <w:r>
        <w:rPr>
          <w:spacing w:val="-2"/>
          <w:w w:val="105"/>
        </w:rPr>
        <w:t> </w:t>
      </w:r>
      <w:r>
        <w:rPr>
          <w:w w:val="105"/>
        </w:rPr>
        <w:t>as in</w:t>
      </w:r>
      <w:r>
        <w:rPr>
          <w:spacing w:val="-2"/>
          <w:w w:val="105"/>
        </w:rPr>
        <w:t> </w:t>
      </w:r>
      <w:r>
        <w:rPr>
          <w:w w:val="105"/>
        </w:rPr>
        <w:t>the</w:t>
      </w:r>
      <w:r>
        <w:rPr>
          <w:spacing w:val="-2"/>
          <w:w w:val="105"/>
        </w:rPr>
        <w:t> </w:t>
      </w:r>
      <w:r>
        <w:rPr>
          <w:w w:val="105"/>
        </w:rPr>
        <w:t>heavy-duty</w:t>
      </w:r>
      <w:r>
        <w:rPr>
          <w:spacing w:val="-2"/>
          <w:w w:val="105"/>
        </w:rPr>
        <w:t> </w:t>
      </w:r>
      <w:r>
        <w:rPr>
          <w:w w:val="105"/>
        </w:rPr>
        <w:t>and</w:t>
      </w:r>
      <w:r>
        <w:rPr>
          <w:spacing w:val="-2"/>
          <w:w w:val="105"/>
        </w:rPr>
        <w:t> </w:t>
      </w:r>
      <w:r>
        <w:rPr>
          <w:w w:val="105"/>
        </w:rPr>
        <w:t>light-duty diesel</w:t>
      </w:r>
      <w:r>
        <w:rPr>
          <w:spacing w:val="-9"/>
          <w:w w:val="105"/>
        </w:rPr>
        <w:t> </w:t>
      </w:r>
      <w:r>
        <w:rPr>
          <w:w w:val="105"/>
        </w:rPr>
        <w:t>vehicle</w:t>
      </w:r>
      <w:r>
        <w:rPr>
          <w:spacing w:val="-9"/>
          <w:w w:val="105"/>
        </w:rPr>
        <w:t> </w:t>
      </w:r>
      <w:r>
        <w:rPr>
          <w:w w:val="105"/>
        </w:rPr>
        <w:t>markets.</w:t>
      </w:r>
      <w:r>
        <w:rPr>
          <w:spacing w:val="26"/>
          <w:w w:val="105"/>
        </w:rPr>
        <w:t> </w:t>
      </w:r>
      <w:r>
        <w:rPr>
          <w:w w:val="105"/>
        </w:rPr>
        <w:t>The</w:t>
      </w:r>
      <w:r>
        <w:rPr>
          <w:spacing w:val="-9"/>
          <w:w w:val="105"/>
        </w:rPr>
        <w:t> </w:t>
      </w:r>
      <w:r>
        <w:rPr>
          <w:w w:val="105"/>
        </w:rPr>
        <w:t>Company</w:t>
      </w:r>
      <w:r>
        <w:rPr>
          <w:spacing w:val="-9"/>
          <w:w w:val="105"/>
        </w:rPr>
        <w:t> </w:t>
      </w:r>
      <w:r>
        <w:rPr>
          <w:w w:val="105"/>
        </w:rPr>
        <w:t>believes</w:t>
      </w:r>
      <w:r>
        <w:rPr>
          <w:spacing w:val="-9"/>
          <w:w w:val="105"/>
        </w:rPr>
        <w:t> </w:t>
      </w:r>
      <w:r>
        <w:rPr>
          <w:w w:val="105"/>
        </w:rPr>
        <w:t>its</w:t>
      </w:r>
      <w:r>
        <w:rPr>
          <w:spacing w:val="-9"/>
          <w:w w:val="105"/>
        </w:rPr>
        <w:t> </w:t>
      </w:r>
      <w:r>
        <w:rPr>
          <w:w w:val="105"/>
        </w:rPr>
        <w:t>competitive</w:t>
      </w:r>
      <w:r>
        <w:rPr>
          <w:spacing w:val="-9"/>
          <w:w w:val="105"/>
        </w:rPr>
        <w:t> </w:t>
      </w:r>
      <w:r>
        <w:rPr>
          <w:w w:val="105"/>
        </w:rPr>
        <w:t>advantage</w:t>
      </w:r>
      <w:r>
        <w:rPr>
          <w:spacing w:val="-9"/>
          <w:w w:val="105"/>
        </w:rPr>
        <w:t> </w:t>
      </w:r>
      <w:r>
        <w:rPr>
          <w:w w:val="105"/>
        </w:rPr>
        <w:t>in</w:t>
      </w:r>
      <w:r>
        <w:rPr>
          <w:spacing w:val="-9"/>
          <w:w w:val="105"/>
        </w:rPr>
        <w:t> </w:t>
      </w:r>
      <w:r>
        <w:rPr>
          <w:w w:val="105"/>
        </w:rPr>
        <w:t>automotive</w:t>
      </w:r>
      <w:r>
        <w:rPr>
          <w:spacing w:val="-9"/>
          <w:w w:val="105"/>
        </w:rPr>
        <w:t> </w:t>
      </w:r>
      <w:r>
        <w:rPr>
          <w:w w:val="105"/>
        </w:rPr>
        <w:t>ceramic</w:t>
      </w:r>
      <w:r>
        <w:rPr>
          <w:spacing w:val="-9"/>
          <w:w w:val="105"/>
        </w:rPr>
        <w:t> </w:t>
      </w:r>
      <w:r>
        <w:rPr>
          <w:w w:val="105"/>
        </w:rPr>
        <w:t>substrate</w:t>
      </w:r>
      <w:r>
        <w:rPr>
          <w:spacing w:val="-9"/>
          <w:w w:val="105"/>
        </w:rPr>
        <w:t> </w:t>
      </w:r>
      <w:r>
        <w:rPr>
          <w:w w:val="105"/>
        </w:rPr>
        <w:t>products</w:t>
      </w:r>
      <w:r>
        <w:rPr>
          <w:spacing w:val="-9"/>
          <w:w w:val="105"/>
        </w:rPr>
        <w:t> </w:t>
      </w:r>
      <w:r>
        <w:rPr>
          <w:w w:val="105"/>
        </w:rPr>
        <w:t>for</w:t>
      </w:r>
      <w:r>
        <w:rPr>
          <w:spacing w:val="-9"/>
          <w:w w:val="105"/>
        </w:rPr>
        <w:t> </w:t>
      </w:r>
      <w:r>
        <w:rPr>
          <w:w w:val="105"/>
        </w:rPr>
        <w:t>catalytic</w:t>
      </w:r>
      <w:r>
        <w:rPr>
          <w:spacing w:val="-9"/>
          <w:w w:val="105"/>
        </w:rPr>
        <w:t> </w:t>
      </w:r>
      <w:r>
        <w:rPr>
          <w:w w:val="105"/>
        </w:rPr>
        <w:t>converters</w:t>
      </w:r>
      <w:r>
        <w:rPr>
          <w:spacing w:val="-9"/>
          <w:w w:val="105"/>
        </w:rPr>
        <w:t> </w:t>
      </w:r>
      <w:r>
        <w:rPr>
          <w:w w:val="105"/>
        </w:rPr>
        <w:t>and</w:t>
      </w:r>
      <w:r>
        <w:rPr>
          <w:spacing w:val="-9"/>
          <w:w w:val="105"/>
        </w:rPr>
        <w:t> </w:t>
      </w:r>
      <w:r>
        <w:rPr>
          <w:w w:val="105"/>
        </w:rPr>
        <w:t>filter</w:t>
      </w:r>
      <w:r>
        <w:rPr>
          <w:spacing w:val="-9"/>
          <w:w w:val="105"/>
        </w:rPr>
        <w:t> </w:t>
      </w:r>
      <w:r>
        <w:rPr>
          <w:w w:val="105"/>
        </w:rPr>
        <w:t>products</w:t>
      </w:r>
      <w:r>
        <w:rPr>
          <w:spacing w:val="-9"/>
          <w:w w:val="105"/>
        </w:rPr>
        <w:t> </w:t>
      </w:r>
      <w:r>
        <w:rPr>
          <w:w w:val="105"/>
        </w:rPr>
        <w:t>for</w:t>
      </w:r>
      <w:r>
        <w:rPr>
          <w:spacing w:val="-9"/>
          <w:w w:val="105"/>
        </w:rPr>
        <w:t> </w:t>
      </w:r>
      <w:r>
        <w:rPr>
          <w:w w:val="105"/>
        </w:rPr>
        <w:t>particulate emissions</w:t>
      </w:r>
      <w:r>
        <w:rPr>
          <w:spacing w:val="-10"/>
          <w:w w:val="105"/>
        </w:rPr>
        <w:t> </w:t>
      </w:r>
      <w:r>
        <w:rPr>
          <w:w w:val="105"/>
        </w:rPr>
        <w:t>in</w:t>
      </w:r>
      <w:r>
        <w:rPr>
          <w:spacing w:val="-10"/>
          <w:w w:val="105"/>
        </w:rPr>
        <w:t> </w:t>
      </w:r>
      <w:r>
        <w:rPr>
          <w:w w:val="105"/>
        </w:rPr>
        <w:t>exhaust</w:t>
      </w:r>
      <w:r>
        <w:rPr>
          <w:spacing w:val="-10"/>
          <w:w w:val="105"/>
        </w:rPr>
        <w:t> </w:t>
      </w:r>
      <w:r>
        <w:rPr>
          <w:w w:val="105"/>
        </w:rPr>
        <w:t>systems</w:t>
      </w:r>
      <w:r>
        <w:rPr>
          <w:spacing w:val="-10"/>
          <w:w w:val="105"/>
        </w:rPr>
        <w:t> </w:t>
      </w:r>
      <w:r>
        <w:rPr>
          <w:w w:val="105"/>
        </w:rPr>
        <w:t>is</w:t>
      </w:r>
      <w:r>
        <w:rPr>
          <w:spacing w:val="-10"/>
          <w:w w:val="105"/>
        </w:rPr>
        <w:t> </w:t>
      </w:r>
      <w:r>
        <w:rPr>
          <w:w w:val="105"/>
        </w:rPr>
        <w:t>based</w:t>
      </w:r>
      <w:r>
        <w:rPr>
          <w:spacing w:val="-10"/>
          <w:w w:val="105"/>
        </w:rPr>
        <w:t> </w:t>
      </w:r>
      <w:r>
        <w:rPr>
          <w:w w:val="105"/>
        </w:rPr>
        <w:t>on</w:t>
      </w:r>
      <w:r>
        <w:rPr>
          <w:spacing w:val="-10"/>
          <w:w w:val="105"/>
        </w:rPr>
        <w:t> </w:t>
      </w:r>
      <w:r>
        <w:rPr>
          <w:w w:val="105"/>
        </w:rPr>
        <w:t>an</w:t>
      </w:r>
      <w:r>
        <w:rPr>
          <w:spacing w:val="-10"/>
          <w:w w:val="105"/>
        </w:rPr>
        <w:t> </w:t>
      </w:r>
      <w:r>
        <w:rPr>
          <w:w w:val="105"/>
        </w:rPr>
        <w:t>advantaged</w:t>
      </w:r>
      <w:r>
        <w:rPr>
          <w:spacing w:val="-10"/>
          <w:w w:val="105"/>
        </w:rPr>
        <w:t> </w:t>
      </w:r>
      <w:r>
        <w:rPr>
          <w:w w:val="105"/>
        </w:rPr>
        <w:t>product</w:t>
      </w:r>
      <w:r>
        <w:rPr>
          <w:spacing w:val="-10"/>
          <w:w w:val="105"/>
        </w:rPr>
        <w:t> </w:t>
      </w:r>
      <w:r>
        <w:rPr>
          <w:w w:val="105"/>
        </w:rPr>
        <w:t>portfolio,</w:t>
      </w:r>
      <w:r>
        <w:rPr>
          <w:spacing w:val="-10"/>
          <w:w w:val="105"/>
        </w:rPr>
        <w:t> </w:t>
      </w:r>
      <w:r>
        <w:rPr>
          <w:w w:val="105"/>
        </w:rPr>
        <w:t>collaborative</w:t>
      </w:r>
      <w:r>
        <w:rPr>
          <w:spacing w:val="-10"/>
          <w:w w:val="105"/>
        </w:rPr>
        <w:t> </w:t>
      </w:r>
      <w:r>
        <w:rPr>
          <w:w w:val="105"/>
        </w:rPr>
        <w:t>engineering</w:t>
      </w:r>
      <w:r>
        <w:rPr>
          <w:spacing w:val="-10"/>
          <w:w w:val="105"/>
        </w:rPr>
        <w:t> </w:t>
      </w:r>
      <w:r>
        <w:rPr>
          <w:w w:val="105"/>
        </w:rPr>
        <w:t>design</w:t>
      </w:r>
      <w:r>
        <w:rPr>
          <w:spacing w:val="-10"/>
          <w:w w:val="105"/>
        </w:rPr>
        <w:t> </w:t>
      </w:r>
      <w:r>
        <w:rPr>
          <w:w w:val="105"/>
        </w:rPr>
        <w:t>services,</w:t>
      </w:r>
      <w:r>
        <w:rPr>
          <w:spacing w:val="-10"/>
          <w:w w:val="105"/>
        </w:rPr>
        <w:t> </w:t>
      </w:r>
      <w:r>
        <w:rPr>
          <w:w w:val="105"/>
        </w:rPr>
        <w:t>customer</w:t>
      </w:r>
      <w:r>
        <w:rPr>
          <w:spacing w:val="-10"/>
          <w:w w:val="105"/>
        </w:rPr>
        <w:t> </w:t>
      </w:r>
      <w:r>
        <w:rPr>
          <w:w w:val="105"/>
        </w:rPr>
        <w:t>service</w:t>
      </w:r>
      <w:r>
        <w:rPr>
          <w:spacing w:val="-10"/>
          <w:w w:val="105"/>
        </w:rPr>
        <w:t> </w:t>
      </w:r>
      <w:r>
        <w:rPr>
          <w:w w:val="105"/>
        </w:rPr>
        <w:t>and</w:t>
      </w:r>
      <w:r>
        <w:rPr>
          <w:spacing w:val="-10"/>
          <w:w w:val="105"/>
        </w:rPr>
        <w:t> </w:t>
      </w:r>
      <w:r>
        <w:rPr>
          <w:w w:val="105"/>
        </w:rPr>
        <w:t>support,</w:t>
      </w:r>
      <w:r>
        <w:rPr>
          <w:spacing w:val="-10"/>
          <w:w w:val="105"/>
        </w:rPr>
        <w:t> </w:t>
      </w:r>
      <w:r>
        <w:rPr>
          <w:w w:val="105"/>
        </w:rPr>
        <w:t>strategic</w:t>
      </w:r>
      <w:r>
        <w:rPr>
          <w:spacing w:val="-10"/>
          <w:w w:val="105"/>
        </w:rPr>
        <w:t> </w:t>
      </w:r>
      <w:r>
        <w:rPr>
          <w:w w:val="105"/>
        </w:rPr>
        <w:t>global</w:t>
      </w:r>
      <w:r>
        <w:rPr>
          <w:spacing w:val="-10"/>
          <w:w w:val="105"/>
        </w:rPr>
        <w:t> </w:t>
      </w:r>
      <w:r>
        <w:rPr>
          <w:w w:val="105"/>
        </w:rPr>
        <w:t>presence and</w:t>
      </w:r>
      <w:r>
        <w:rPr>
          <w:spacing w:val="-2"/>
          <w:w w:val="105"/>
        </w:rPr>
        <w:t> </w:t>
      </w:r>
      <w:r>
        <w:rPr>
          <w:w w:val="105"/>
        </w:rPr>
        <w:t>continued</w:t>
      </w:r>
      <w:r>
        <w:rPr>
          <w:spacing w:val="-2"/>
          <w:w w:val="105"/>
        </w:rPr>
        <w:t> </w:t>
      </w:r>
      <w:r>
        <w:rPr>
          <w:w w:val="105"/>
        </w:rPr>
        <w:t>product</w:t>
      </w:r>
      <w:r>
        <w:rPr>
          <w:spacing w:val="-2"/>
          <w:w w:val="105"/>
        </w:rPr>
        <w:t> </w:t>
      </w:r>
      <w:r>
        <w:rPr>
          <w:w w:val="105"/>
        </w:rPr>
        <w:t>innovation.</w:t>
      </w:r>
      <w:r>
        <w:rPr>
          <w:spacing w:val="39"/>
          <w:w w:val="105"/>
        </w:rPr>
        <w:t> </w:t>
      </w:r>
      <w:r>
        <w:rPr>
          <w:w w:val="105"/>
        </w:rPr>
        <w:t>Corning’s</w:t>
      </w:r>
      <w:r>
        <w:rPr>
          <w:spacing w:val="-2"/>
          <w:w w:val="105"/>
        </w:rPr>
        <w:t> </w:t>
      </w:r>
      <w:r>
        <w:rPr>
          <w:w w:val="105"/>
        </w:rPr>
        <w:t>Environmental</w:t>
      </w:r>
      <w:r>
        <w:rPr>
          <w:spacing w:val="-2"/>
          <w:w w:val="105"/>
        </w:rPr>
        <w:t> </w:t>
      </w:r>
      <w:r>
        <w:rPr>
          <w:w w:val="105"/>
        </w:rPr>
        <w:t>Technologies</w:t>
      </w:r>
      <w:r>
        <w:rPr>
          <w:spacing w:val="-2"/>
          <w:w w:val="105"/>
        </w:rPr>
        <w:t> </w:t>
      </w:r>
      <w:r>
        <w:rPr>
          <w:w w:val="105"/>
        </w:rPr>
        <w:t>products</w:t>
      </w:r>
      <w:r>
        <w:rPr>
          <w:spacing w:val="-2"/>
          <w:w w:val="105"/>
        </w:rPr>
        <w:t> </w:t>
      </w:r>
      <w:r>
        <w:rPr>
          <w:w w:val="105"/>
        </w:rPr>
        <w:t>face</w:t>
      </w:r>
      <w:r>
        <w:rPr>
          <w:spacing w:val="-2"/>
          <w:w w:val="105"/>
        </w:rPr>
        <w:t> </w:t>
      </w:r>
      <w:r>
        <w:rPr>
          <w:w w:val="105"/>
        </w:rPr>
        <w:t>principal</w:t>
      </w:r>
      <w:r>
        <w:rPr>
          <w:spacing w:val="-2"/>
          <w:w w:val="105"/>
        </w:rPr>
        <w:t> </w:t>
      </w:r>
      <w:r>
        <w:rPr>
          <w:w w:val="105"/>
        </w:rPr>
        <w:t>competition</w:t>
      </w:r>
      <w:r>
        <w:rPr>
          <w:spacing w:val="-2"/>
          <w:w w:val="105"/>
        </w:rPr>
        <w:t> </w:t>
      </w:r>
      <w:r>
        <w:rPr>
          <w:w w:val="105"/>
        </w:rPr>
        <w:t>from</w:t>
      </w:r>
      <w:r>
        <w:rPr>
          <w:spacing w:val="-2"/>
          <w:w w:val="105"/>
        </w:rPr>
        <w:t> </w:t>
      </w:r>
      <w:r>
        <w:rPr>
          <w:w w:val="105"/>
        </w:rPr>
        <w:t>NGK</w:t>
      </w:r>
      <w:r>
        <w:rPr>
          <w:spacing w:val="-2"/>
          <w:w w:val="105"/>
        </w:rPr>
        <w:t> </w:t>
      </w:r>
      <w:r>
        <w:rPr>
          <w:w w:val="105"/>
        </w:rPr>
        <w:t>Insulators,</w:t>
      </w:r>
      <w:r>
        <w:rPr>
          <w:spacing w:val="-2"/>
          <w:w w:val="105"/>
        </w:rPr>
        <w:t> </w:t>
      </w:r>
      <w:r>
        <w:rPr>
          <w:w w:val="105"/>
        </w:rPr>
        <w:t>Ltd.</w:t>
      </w:r>
      <w:r>
        <w:rPr>
          <w:spacing w:val="-2"/>
          <w:w w:val="105"/>
        </w:rPr>
        <w:t> </w:t>
      </w:r>
      <w:r>
        <w:rPr>
          <w:w w:val="105"/>
        </w:rPr>
        <w:t>and</w:t>
      </w:r>
      <w:r>
        <w:rPr>
          <w:spacing w:val="-2"/>
          <w:w w:val="105"/>
        </w:rPr>
        <w:t> </w:t>
      </w:r>
      <w:r>
        <w:rPr>
          <w:w w:val="105"/>
        </w:rPr>
        <w:t>Ibiden</w:t>
      </w:r>
      <w:r>
        <w:rPr>
          <w:spacing w:val="-2"/>
          <w:w w:val="105"/>
        </w:rPr>
        <w:t> </w:t>
      </w:r>
      <w:r>
        <w:rPr>
          <w:w w:val="105"/>
        </w:rPr>
        <w:t>Co.,</w:t>
      </w:r>
      <w:r>
        <w:rPr>
          <w:spacing w:val="-2"/>
          <w:w w:val="105"/>
        </w:rPr>
        <w:t> </w:t>
      </w:r>
      <w:r>
        <w:rPr>
          <w:w w:val="105"/>
        </w:rPr>
        <w:t>Ltd.</w:t>
      </w:r>
    </w:p>
    <w:p>
      <w:pPr>
        <w:pStyle w:val="BodyText"/>
        <w:spacing w:before="18"/>
      </w:pPr>
    </w:p>
    <w:p>
      <w:pPr>
        <w:pStyle w:val="BodyText"/>
        <w:ind w:left="48"/>
        <w:jc w:val="center"/>
      </w:pPr>
      <w:r>
        <w:rPr>
          <w:spacing w:val="-10"/>
          <w:w w:val="105"/>
        </w:rPr>
        <w:t>6</w:t>
      </w:r>
    </w:p>
    <w:p>
      <w:pPr>
        <w:pStyle w:val="BodyText"/>
        <w:rPr>
          <w:sz w:val="6"/>
        </w:rPr>
      </w:pPr>
      <w:r>
        <w:rPr/>
        <mc:AlternateContent>
          <mc:Choice Requires="wps">
            <w:drawing>
              <wp:anchor distT="0" distB="0" distL="0" distR="0" allowOverlap="1" layoutInCell="1" locked="0" behindDoc="1" simplePos="0" relativeHeight="487591936">
                <wp:simplePos x="0" y="0"/>
                <wp:positionH relativeFrom="page">
                  <wp:posOffset>226488</wp:posOffset>
                </wp:positionH>
                <wp:positionV relativeFrom="paragraph">
                  <wp:posOffset>59148</wp:posOffset>
                </wp:positionV>
                <wp:extent cx="7312659" cy="165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7382pt;width:575.775087pt;height:1.273839pt;mso-position-horizontal-relative:page;mso-position-vertical-relative:paragraph;z-index:-15724544;mso-wrap-distance-left:0;mso-wrap-distance-right:0" id="docshape10"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spacing w:before="0"/>
        <w:ind w:left="156" w:right="0" w:firstLine="0"/>
        <w:jc w:val="left"/>
        <w:rPr>
          <w:i/>
          <w:sz w:val="16"/>
        </w:rPr>
      </w:pPr>
      <w:r>
        <w:rPr>
          <w:i/>
          <w:spacing w:val="-2"/>
          <w:w w:val="105"/>
          <w:sz w:val="16"/>
        </w:rPr>
        <w:t>Life</w:t>
      </w:r>
      <w:r>
        <w:rPr>
          <w:i/>
          <w:spacing w:val="-1"/>
          <w:w w:val="105"/>
          <w:sz w:val="16"/>
        </w:rPr>
        <w:t> </w:t>
      </w:r>
      <w:r>
        <w:rPr>
          <w:i/>
          <w:spacing w:val="-2"/>
          <w:w w:val="105"/>
          <w:sz w:val="16"/>
        </w:rPr>
        <w:t>Sciences</w:t>
      </w:r>
      <w:r>
        <w:rPr>
          <w:i/>
          <w:w w:val="105"/>
          <w:sz w:val="16"/>
        </w:rPr>
        <w:t> </w:t>
      </w:r>
      <w:r>
        <w:rPr>
          <w:i/>
          <w:spacing w:val="-2"/>
          <w:w w:val="105"/>
          <w:sz w:val="16"/>
        </w:rPr>
        <w:t>Segment</w:t>
      </w:r>
    </w:p>
    <w:p>
      <w:pPr>
        <w:pStyle w:val="BodyText"/>
        <w:spacing w:before="40"/>
        <w:rPr>
          <w:i/>
        </w:rPr>
      </w:pPr>
    </w:p>
    <w:p>
      <w:pPr>
        <w:pStyle w:val="BodyText"/>
        <w:spacing w:line="266" w:lineRule="auto"/>
        <w:ind w:left="156"/>
      </w:pPr>
      <w:r>
        <w:rPr>
          <w:w w:val="105"/>
        </w:rPr>
        <w:t>Corning</w:t>
      </w:r>
      <w:r>
        <w:rPr>
          <w:spacing w:val="-9"/>
          <w:w w:val="105"/>
        </w:rPr>
        <w:t> </w:t>
      </w:r>
      <w:r>
        <w:rPr>
          <w:w w:val="105"/>
        </w:rPr>
        <w:t>seeks</w:t>
      </w:r>
      <w:r>
        <w:rPr>
          <w:spacing w:val="-9"/>
          <w:w w:val="105"/>
        </w:rPr>
        <w:t> </w:t>
      </w:r>
      <w:r>
        <w:rPr>
          <w:w w:val="105"/>
        </w:rPr>
        <w:t>to</w:t>
      </w:r>
      <w:r>
        <w:rPr>
          <w:spacing w:val="-9"/>
          <w:w w:val="105"/>
        </w:rPr>
        <w:t> </w:t>
      </w:r>
      <w:r>
        <w:rPr>
          <w:w w:val="105"/>
        </w:rPr>
        <w:t>maintain</w:t>
      </w:r>
      <w:r>
        <w:rPr>
          <w:spacing w:val="-9"/>
          <w:w w:val="105"/>
        </w:rPr>
        <w:t> </w:t>
      </w:r>
      <w:r>
        <w:rPr>
          <w:w w:val="105"/>
        </w:rPr>
        <w:t>a</w:t>
      </w:r>
      <w:r>
        <w:rPr>
          <w:spacing w:val="-9"/>
          <w:w w:val="105"/>
        </w:rPr>
        <w:t> </w:t>
      </w:r>
      <w:r>
        <w:rPr>
          <w:w w:val="105"/>
        </w:rPr>
        <w:t>competitive</w:t>
      </w:r>
      <w:r>
        <w:rPr>
          <w:spacing w:val="-9"/>
          <w:w w:val="105"/>
        </w:rPr>
        <w:t> </w:t>
      </w:r>
      <w:r>
        <w:rPr>
          <w:w w:val="105"/>
        </w:rPr>
        <w:t>advantage</w:t>
      </w:r>
      <w:r>
        <w:rPr>
          <w:spacing w:val="-9"/>
          <w:w w:val="105"/>
        </w:rPr>
        <w:t> </w:t>
      </w:r>
      <w:r>
        <w:rPr>
          <w:w w:val="105"/>
        </w:rPr>
        <w:t>by</w:t>
      </w:r>
      <w:r>
        <w:rPr>
          <w:spacing w:val="-9"/>
          <w:w w:val="105"/>
        </w:rPr>
        <w:t> </w:t>
      </w:r>
      <w:r>
        <w:rPr>
          <w:w w:val="105"/>
        </w:rPr>
        <w:t>emphasizing</w:t>
      </w:r>
      <w:r>
        <w:rPr>
          <w:spacing w:val="-9"/>
          <w:w w:val="105"/>
        </w:rPr>
        <w:t> </w:t>
      </w:r>
      <w:r>
        <w:rPr>
          <w:w w:val="105"/>
        </w:rPr>
        <w:t>product</w:t>
      </w:r>
      <w:r>
        <w:rPr>
          <w:spacing w:val="-9"/>
          <w:w w:val="105"/>
        </w:rPr>
        <w:t> </w:t>
      </w:r>
      <w:r>
        <w:rPr>
          <w:w w:val="105"/>
        </w:rPr>
        <w:t>quality,</w:t>
      </w:r>
      <w:r>
        <w:rPr>
          <w:spacing w:val="-9"/>
          <w:w w:val="105"/>
        </w:rPr>
        <w:t> </w:t>
      </w:r>
      <w:r>
        <w:rPr>
          <w:w w:val="105"/>
        </w:rPr>
        <w:t>global</w:t>
      </w:r>
      <w:r>
        <w:rPr>
          <w:spacing w:val="-9"/>
          <w:w w:val="105"/>
        </w:rPr>
        <w:t> </w:t>
      </w:r>
      <w:r>
        <w:rPr>
          <w:w w:val="105"/>
        </w:rPr>
        <w:t>distribution,</w:t>
      </w:r>
      <w:r>
        <w:rPr>
          <w:spacing w:val="-9"/>
          <w:w w:val="105"/>
        </w:rPr>
        <w:t> </w:t>
      </w:r>
      <w:r>
        <w:rPr>
          <w:w w:val="105"/>
        </w:rPr>
        <w:t>supply</w:t>
      </w:r>
      <w:r>
        <w:rPr>
          <w:spacing w:val="-9"/>
          <w:w w:val="105"/>
        </w:rPr>
        <w:t> </w:t>
      </w:r>
      <w:r>
        <w:rPr>
          <w:w w:val="105"/>
        </w:rPr>
        <w:t>chain</w:t>
      </w:r>
      <w:r>
        <w:rPr>
          <w:spacing w:val="-9"/>
          <w:w w:val="105"/>
        </w:rPr>
        <w:t> </w:t>
      </w:r>
      <w:r>
        <w:rPr>
          <w:w w:val="105"/>
        </w:rPr>
        <w:t>efficiency,</w:t>
      </w:r>
      <w:r>
        <w:rPr>
          <w:spacing w:val="-9"/>
          <w:w w:val="105"/>
        </w:rPr>
        <w:t> </w:t>
      </w:r>
      <w:r>
        <w:rPr>
          <w:w w:val="105"/>
        </w:rPr>
        <w:t>a</w:t>
      </w:r>
      <w:r>
        <w:rPr>
          <w:spacing w:val="-9"/>
          <w:w w:val="105"/>
        </w:rPr>
        <w:t> </w:t>
      </w:r>
      <w:r>
        <w:rPr>
          <w:w w:val="105"/>
        </w:rPr>
        <w:t>broad</w:t>
      </w:r>
      <w:r>
        <w:rPr>
          <w:spacing w:val="-9"/>
          <w:w w:val="105"/>
        </w:rPr>
        <w:t> </w:t>
      </w:r>
      <w:r>
        <w:rPr>
          <w:w w:val="105"/>
        </w:rPr>
        <w:t>product</w:t>
      </w:r>
      <w:r>
        <w:rPr>
          <w:spacing w:val="-7"/>
          <w:w w:val="105"/>
        </w:rPr>
        <w:t> </w:t>
      </w:r>
      <w:r>
        <w:rPr>
          <w:w w:val="105"/>
        </w:rPr>
        <w:t>line</w:t>
      </w:r>
      <w:r>
        <w:rPr>
          <w:spacing w:val="-9"/>
          <w:w w:val="105"/>
        </w:rPr>
        <w:t> </w:t>
      </w:r>
      <w:r>
        <w:rPr>
          <w:w w:val="105"/>
        </w:rPr>
        <w:t>and</w:t>
      </w:r>
      <w:r>
        <w:rPr>
          <w:spacing w:val="-9"/>
          <w:w w:val="105"/>
        </w:rPr>
        <w:t> </w:t>
      </w:r>
      <w:r>
        <w:rPr>
          <w:w w:val="105"/>
        </w:rPr>
        <w:t>superior</w:t>
      </w:r>
      <w:r>
        <w:rPr>
          <w:spacing w:val="-9"/>
          <w:w w:val="105"/>
        </w:rPr>
        <w:t> </w:t>
      </w:r>
      <w:r>
        <w:rPr>
          <w:w w:val="105"/>
        </w:rPr>
        <w:t>product attributes.</w:t>
      </w:r>
      <w:r>
        <w:rPr>
          <w:spacing w:val="-2"/>
          <w:w w:val="105"/>
        </w:rPr>
        <w:t> </w:t>
      </w:r>
      <w:r>
        <w:rPr>
          <w:w w:val="105"/>
        </w:rPr>
        <w:t>Our</w:t>
      </w:r>
      <w:r>
        <w:rPr>
          <w:spacing w:val="-2"/>
          <w:w w:val="105"/>
        </w:rPr>
        <w:t> </w:t>
      </w:r>
      <w:r>
        <w:rPr>
          <w:w w:val="105"/>
        </w:rPr>
        <w:t>principal</w:t>
      </w:r>
      <w:r>
        <w:rPr>
          <w:spacing w:val="-2"/>
          <w:w w:val="105"/>
        </w:rPr>
        <w:t> </w:t>
      </w:r>
      <w:r>
        <w:rPr>
          <w:w w:val="105"/>
        </w:rPr>
        <w:t>competitors</w:t>
      </w:r>
      <w:r>
        <w:rPr>
          <w:spacing w:val="-2"/>
          <w:w w:val="105"/>
        </w:rPr>
        <w:t> </w:t>
      </w:r>
      <w:r>
        <w:rPr>
          <w:w w:val="105"/>
        </w:rPr>
        <w:t>include</w:t>
      </w:r>
      <w:r>
        <w:rPr>
          <w:spacing w:val="-2"/>
          <w:w w:val="105"/>
        </w:rPr>
        <w:t> </w:t>
      </w:r>
      <w:r>
        <w:rPr>
          <w:w w:val="105"/>
        </w:rPr>
        <w:t>Thermo</w:t>
      </w:r>
      <w:r>
        <w:rPr>
          <w:spacing w:val="-2"/>
          <w:w w:val="105"/>
        </w:rPr>
        <w:t> </w:t>
      </w:r>
      <w:r>
        <w:rPr>
          <w:w w:val="105"/>
        </w:rPr>
        <w:t>Fisher</w:t>
      </w:r>
      <w:r>
        <w:rPr>
          <w:spacing w:val="-2"/>
          <w:w w:val="105"/>
        </w:rPr>
        <w:t> </w:t>
      </w:r>
      <w:r>
        <w:rPr>
          <w:w w:val="105"/>
        </w:rPr>
        <w:t>Scientific,</w:t>
      </w:r>
      <w:r>
        <w:rPr>
          <w:spacing w:val="-2"/>
          <w:w w:val="105"/>
        </w:rPr>
        <w:t> </w:t>
      </w:r>
      <w:r>
        <w:rPr>
          <w:w w:val="105"/>
        </w:rPr>
        <w:t>Inc.,</w:t>
      </w:r>
      <w:r>
        <w:rPr>
          <w:spacing w:val="-2"/>
          <w:w w:val="105"/>
        </w:rPr>
        <w:t> </w:t>
      </w:r>
      <w:r>
        <w:rPr>
          <w:w w:val="105"/>
        </w:rPr>
        <w:t>Greiner</w:t>
      </w:r>
      <w:r>
        <w:rPr>
          <w:spacing w:val="-2"/>
          <w:w w:val="105"/>
        </w:rPr>
        <w:t> </w:t>
      </w:r>
      <w:r>
        <w:rPr>
          <w:w w:val="105"/>
        </w:rPr>
        <w:t>AG,</w:t>
      </w:r>
      <w:r>
        <w:rPr>
          <w:spacing w:val="-2"/>
          <w:w w:val="105"/>
        </w:rPr>
        <w:t> </w:t>
      </w:r>
      <w:r>
        <w:rPr>
          <w:w w:val="105"/>
        </w:rPr>
        <w:t>Eppendorf</w:t>
      </w:r>
      <w:r>
        <w:rPr>
          <w:spacing w:val="-2"/>
          <w:w w:val="105"/>
        </w:rPr>
        <w:t> </w:t>
      </w:r>
      <w:r>
        <w:rPr>
          <w:w w:val="105"/>
        </w:rPr>
        <w:t>AG,</w:t>
      </w:r>
      <w:r>
        <w:rPr>
          <w:spacing w:val="-2"/>
          <w:w w:val="105"/>
        </w:rPr>
        <w:t> </w:t>
      </w:r>
      <w:r>
        <w:rPr>
          <w:w w:val="105"/>
        </w:rPr>
        <w:t>Sarstedt</w:t>
      </w:r>
      <w:r>
        <w:rPr>
          <w:spacing w:val="-2"/>
          <w:w w:val="105"/>
        </w:rPr>
        <w:t> </w:t>
      </w:r>
      <w:r>
        <w:rPr>
          <w:w w:val="105"/>
        </w:rPr>
        <w:t>AG</w:t>
      </w:r>
      <w:r>
        <w:rPr>
          <w:spacing w:val="-2"/>
          <w:w w:val="105"/>
        </w:rPr>
        <w:t> </w:t>
      </w:r>
      <w:r>
        <w:rPr>
          <w:w w:val="105"/>
        </w:rPr>
        <w:t>and</w:t>
      </w:r>
      <w:r>
        <w:rPr>
          <w:spacing w:val="-2"/>
          <w:w w:val="105"/>
        </w:rPr>
        <w:t> </w:t>
      </w:r>
      <w:r>
        <w:rPr>
          <w:w w:val="105"/>
        </w:rPr>
        <w:t>Danaher</w:t>
      </w:r>
      <w:r>
        <w:rPr>
          <w:spacing w:val="-2"/>
          <w:w w:val="105"/>
        </w:rPr>
        <w:t> </w:t>
      </w:r>
      <w:r>
        <w:rPr>
          <w:w w:val="105"/>
        </w:rPr>
        <w:t>Corporation.</w:t>
      </w:r>
      <w:r>
        <w:rPr>
          <w:spacing w:val="-2"/>
          <w:w w:val="105"/>
        </w:rPr>
        <w:t> </w:t>
      </w:r>
      <w:r>
        <w:rPr>
          <w:w w:val="105"/>
        </w:rPr>
        <w:t>Corning</w:t>
      </w:r>
      <w:r>
        <w:rPr>
          <w:spacing w:val="-2"/>
          <w:w w:val="105"/>
        </w:rPr>
        <w:t> </w:t>
      </w:r>
      <w:r>
        <w:rPr>
          <w:w w:val="105"/>
        </w:rPr>
        <w:t>also</w:t>
      </w:r>
      <w:r>
        <w:rPr>
          <w:spacing w:val="-2"/>
          <w:w w:val="105"/>
        </w:rPr>
        <w:t> </w:t>
      </w:r>
      <w:r>
        <w:rPr>
          <w:w w:val="105"/>
        </w:rPr>
        <w:t>faces competition from large distributors that have pursued backward integration or introduced private label products.</w:t>
      </w:r>
    </w:p>
    <w:p>
      <w:pPr>
        <w:pStyle w:val="BodyText"/>
        <w:spacing w:before="18"/>
      </w:pPr>
    </w:p>
    <w:p>
      <w:pPr>
        <w:pStyle w:val="Heading3"/>
      </w:pPr>
      <w:r>
        <w:rPr>
          <w:w w:val="105"/>
        </w:rPr>
        <w:t>Raw</w:t>
      </w:r>
      <w:r>
        <w:rPr>
          <w:spacing w:val="-7"/>
          <w:w w:val="105"/>
        </w:rPr>
        <w:t> </w:t>
      </w:r>
      <w:r>
        <w:rPr>
          <w:spacing w:val="-2"/>
          <w:w w:val="105"/>
        </w:rPr>
        <w:t>Materials</w:t>
      </w:r>
    </w:p>
    <w:p>
      <w:pPr>
        <w:pStyle w:val="BodyText"/>
        <w:spacing w:before="40"/>
        <w:rPr>
          <w:b/>
          <w:i/>
        </w:rPr>
      </w:pPr>
    </w:p>
    <w:p>
      <w:pPr>
        <w:pStyle w:val="BodyText"/>
        <w:spacing w:line="266" w:lineRule="auto"/>
        <w:ind w:left="156" w:right="117"/>
      </w:pPr>
      <w:r>
        <w:rPr>
          <w:w w:val="105"/>
        </w:rPr>
        <w:t>Corning’s</w:t>
      </w:r>
      <w:r>
        <w:rPr>
          <w:spacing w:val="-10"/>
          <w:w w:val="105"/>
        </w:rPr>
        <w:t> </w:t>
      </w:r>
      <w:r>
        <w:rPr>
          <w:w w:val="105"/>
        </w:rPr>
        <w:t>manufacturing</w:t>
      </w:r>
      <w:r>
        <w:rPr>
          <w:spacing w:val="-10"/>
          <w:w w:val="105"/>
        </w:rPr>
        <w:t> </w:t>
      </w:r>
      <w:r>
        <w:rPr>
          <w:w w:val="105"/>
        </w:rPr>
        <w:t>processes</w:t>
      </w:r>
      <w:r>
        <w:rPr>
          <w:spacing w:val="-10"/>
          <w:w w:val="105"/>
        </w:rPr>
        <w:t> </w:t>
      </w:r>
      <w:r>
        <w:rPr>
          <w:w w:val="105"/>
        </w:rPr>
        <w:t>and</w:t>
      </w:r>
      <w:r>
        <w:rPr>
          <w:spacing w:val="-10"/>
          <w:w w:val="105"/>
        </w:rPr>
        <w:t> </w:t>
      </w:r>
      <w:r>
        <w:rPr>
          <w:w w:val="105"/>
        </w:rPr>
        <w:t>products</w:t>
      </w:r>
      <w:r>
        <w:rPr>
          <w:spacing w:val="-10"/>
          <w:w w:val="105"/>
        </w:rPr>
        <w:t> </w:t>
      </w:r>
      <w:r>
        <w:rPr>
          <w:w w:val="105"/>
        </w:rPr>
        <w:t>require</w:t>
      </w:r>
      <w:r>
        <w:rPr>
          <w:spacing w:val="-10"/>
          <w:w w:val="105"/>
        </w:rPr>
        <w:t> </w:t>
      </w:r>
      <w:r>
        <w:rPr>
          <w:w w:val="105"/>
        </w:rPr>
        <w:t>access</w:t>
      </w:r>
      <w:r>
        <w:rPr>
          <w:spacing w:val="-10"/>
          <w:w w:val="105"/>
        </w:rPr>
        <w:t> </w:t>
      </w:r>
      <w:r>
        <w:rPr>
          <w:w w:val="105"/>
        </w:rPr>
        <w:t>to</w:t>
      </w:r>
      <w:r>
        <w:rPr>
          <w:spacing w:val="-10"/>
          <w:w w:val="105"/>
        </w:rPr>
        <w:t> </w:t>
      </w:r>
      <w:r>
        <w:rPr>
          <w:w w:val="105"/>
        </w:rPr>
        <w:t>uninterrupted</w:t>
      </w:r>
      <w:r>
        <w:rPr>
          <w:spacing w:val="-10"/>
          <w:w w:val="105"/>
        </w:rPr>
        <w:t> </w:t>
      </w:r>
      <w:r>
        <w:rPr>
          <w:w w:val="105"/>
        </w:rPr>
        <w:t>power</w:t>
      </w:r>
      <w:r>
        <w:rPr>
          <w:spacing w:val="-10"/>
          <w:w w:val="105"/>
        </w:rPr>
        <w:t> </w:t>
      </w:r>
      <w:r>
        <w:rPr>
          <w:w w:val="105"/>
        </w:rPr>
        <w:t>sources,</w:t>
      </w:r>
      <w:r>
        <w:rPr>
          <w:spacing w:val="-10"/>
          <w:w w:val="105"/>
        </w:rPr>
        <w:t> </w:t>
      </w:r>
      <w:r>
        <w:rPr>
          <w:w w:val="105"/>
        </w:rPr>
        <w:t>significant</w:t>
      </w:r>
      <w:r>
        <w:rPr>
          <w:spacing w:val="-10"/>
          <w:w w:val="105"/>
        </w:rPr>
        <w:t> </w:t>
      </w:r>
      <w:r>
        <w:rPr>
          <w:w w:val="105"/>
        </w:rPr>
        <w:t>quantities</w:t>
      </w:r>
      <w:r>
        <w:rPr>
          <w:spacing w:val="-10"/>
          <w:w w:val="105"/>
        </w:rPr>
        <w:t> </w:t>
      </w:r>
      <w:r>
        <w:rPr>
          <w:w w:val="105"/>
        </w:rPr>
        <w:t>of</w:t>
      </w:r>
      <w:r>
        <w:rPr>
          <w:spacing w:val="-10"/>
          <w:w w:val="105"/>
        </w:rPr>
        <w:t> </w:t>
      </w:r>
      <w:r>
        <w:rPr>
          <w:w w:val="105"/>
        </w:rPr>
        <w:t>industrial</w:t>
      </w:r>
      <w:r>
        <w:rPr>
          <w:spacing w:val="-10"/>
          <w:w w:val="105"/>
        </w:rPr>
        <w:t> </w:t>
      </w:r>
      <w:r>
        <w:rPr>
          <w:w w:val="105"/>
        </w:rPr>
        <w:t>water,</w:t>
      </w:r>
      <w:r>
        <w:rPr>
          <w:spacing w:val="-10"/>
          <w:w w:val="105"/>
        </w:rPr>
        <w:t> </w:t>
      </w:r>
      <w:r>
        <w:rPr>
          <w:w w:val="105"/>
        </w:rPr>
        <w:t>certain</w:t>
      </w:r>
      <w:r>
        <w:rPr>
          <w:spacing w:val="-10"/>
          <w:w w:val="105"/>
        </w:rPr>
        <w:t> </w:t>
      </w:r>
      <w:r>
        <w:rPr>
          <w:w w:val="105"/>
        </w:rPr>
        <w:t>precious</w:t>
      </w:r>
      <w:r>
        <w:rPr>
          <w:spacing w:val="-10"/>
          <w:w w:val="105"/>
        </w:rPr>
        <w:t> </w:t>
      </w:r>
      <w:r>
        <w:rPr>
          <w:w w:val="105"/>
        </w:rPr>
        <w:t>metals</w:t>
      </w:r>
      <w:r>
        <w:rPr>
          <w:spacing w:val="-8"/>
          <w:w w:val="105"/>
        </w:rPr>
        <w:t> </w:t>
      </w:r>
      <w:r>
        <w:rPr>
          <w:w w:val="105"/>
        </w:rPr>
        <w:t>and</w:t>
      </w:r>
      <w:r>
        <w:rPr>
          <w:spacing w:val="-10"/>
          <w:w w:val="105"/>
        </w:rPr>
        <w:t> </w:t>
      </w:r>
      <w:r>
        <w:rPr>
          <w:w w:val="105"/>
        </w:rPr>
        <w:t>various batch</w:t>
      </w:r>
      <w:r>
        <w:rPr>
          <w:spacing w:val="-2"/>
          <w:w w:val="105"/>
        </w:rPr>
        <w:t> </w:t>
      </w:r>
      <w:r>
        <w:rPr>
          <w:w w:val="105"/>
        </w:rPr>
        <w:t>materials.</w:t>
      </w:r>
      <w:r>
        <w:rPr>
          <w:spacing w:val="-2"/>
          <w:w w:val="105"/>
        </w:rPr>
        <w:t> </w:t>
      </w:r>
      <w:r>
        <w:rPr>
          <w:w w:val="105"/>
        </w:rPr>
        <w:t>Availability</w:t>
      </w:r>
      <w:r>
        <w:rPr>
          <w:spacing w:val="-2"/>
          <w:w w:val="105"/>
        </w:rPr>
        <w:t> </w:t>
      </w:r>
      <w:r>
        <w:rPr>
          <w:w w:val="105"/>
        </w:rPr>
        <w:t>of</w:t>
      </w:r>
      <w:r>
        <w:rPr>
          <w:spacing w:val="-2"/>
          <w:w w:val="105"/>
        </w:rPr>
        <w:t> </w:t>
      </w:r>
      <w:r>
        <w:rPr>
          <w:w w:val="105"/>
        </w:rPr>
        <w:t>resources</w:t>
      </w:r>
      <w:r>
        <w:rPr>
          <w:spacing w:val="-2"/>
          <w:w w:val="105"/>
        </w:rPr>
        <w:t> </w:t>
      </w:r>
      <w:r>
        <w:rPr>
          <w:w w:val="105"/>
        </w:rPr>
        <w:t>(ores,</w:t>
      </w:r>
      <w:r>
        <w:rPr>
          <w:spacing w:val="-2"/>
          <w:w w:val="105"/>
        </w:rPr>
        <w:t> </w:t>
      </w:r>
      <w:r>
        <w:rPr>
          <w:w w:val="105"/>
        </w:rPr>
        <w:t>minerals,</w:t>
      </w:r>
      <w:r>
        <w:rPr>
          <w:spacing w:val="-2"/>
          <w:w w:val="105"/>
        </w:rPr>
        <w:t> </w:t>
      </w:r>
      <w:r>
        <w:rPr>
          <w:w w:val="105"/>
        </w:rPr>
        <w:t>polymers,</w:t>
      </w:r>
      <w:r>
        <w:rPr>
          <w:spacing w:val="-2"/>
          <w:w w:val="105"/>
        </w:rPr>
        <w:t> </w:t>
      </w:r>
      <w:r>
        <w:rPr>
          <w:w w:val="105"/>
        </w:rPr>
        <w:t>helium</w:t>
      </w:r>
      <w:r>
        <w:rPr>
          <w:spacing w:val="-2"/>
          <w:w w:val="105"/>
        </w:rPr>
        <w:t> </w:t>
      </w:r>
      <w:r>
        <w:rPr>
          <w:w w:val="105"/>
        </w:rPr>
        <w:t>and</w:t>
      </w:r>
      <w:r>
        <w:rPr>
          <w:spacing w:val="-2"/>
          <w:w w:val="105"/>
        </w:rPr>
        <w:t> </w:t>
      </w:r>
      <w:r>
        <w:rPr>
          <w:w w:val="105"/>
        </w:rPr>
        <w:t>processed</w:t>
      </w:r>
      <w:r>
        <w:rPr>
          <w:spacing w:val="-2"/>
          <w:w w:val="105"/>
        </w:rPr>
        <w:t> </w:t>
      </w:r>
      <w:r>
        <w:rPr>
          <w:w w:val="105"/>
        </w:rPr>
        <w:t>chemicals)</w:t>
      </w:r>
      <w:r>
        <w:rPr>
          <w:spacing w:val="-2"/>
          <w:w w:val="105"/>
        </w:rPr>
        <w:t> </w:t>
      </w:r>
      <w:r>
        <w:rPr>
          <w:w w:val="105"/>
        </w:rPr>
        <w:t>required</w:t>
      </w:r>
      <w:r>
        <w:rPr>
          <w:spacing w:val="-2"/>
          <w:w w:val="105"/>
        </w:rPr>
        <w:t> </w:t>
      </w:r>
      <w:r>
        <w:rPr>
          <w:w w:val="105"/>
        </w:rPr>
        <w:t>in</w:t>
      </w:r>
      <w:r>
        <w:rPr>
          <w:spacing w:val="-2"/>
          <w:w w:val="105"/>
        </w:rPr>
        <w:t> </w:t>
      </w:r>
      <w:r>
        <w:rPr>
          <w:w w:val="105"/>
        </w:rPr>
        <w:t>manufacturing</w:t>
      </w:r>
      <w:r>
        <w:rPr>
          <w:spacing w:val="-2"/>
          <w:w w:val="105"/>
        </w:rPr>
        <w:t> </w:t>
      </w:r>
      <w:r>
        <w:rPr>
          <w:w w:val="105"/>
        </w:rPr>
        <w:t>operations,</w:t>
      </w:r>
      <w:r>
        <w:rPr>
          <w:spacing w:val="-2"/>
          <w:w w:val="105"/>
        </w:rPr>
        <w:t> </w:t>
      </w:r>
      <w:r>
        <w:rPr>
          <w:w w:val="105"/>
        </w:rPr>
        <w:t>appear to</w:t>
      </w:r>
      <w:r>
        <w:rPr>
          <w:spacing w:val="-2"/>
          <w:w w:val="105"/>
        </w:rPr>
        <w:t> </w:t>
      </w:r>
      <w:r>
        <w:rPr>
          <w:w w:val="105"/>
        </w:rPr>
        <w:t>be</w:t>
      </w:r>
      <w:r>
        <w:rPr>
          <w:spacing w:val="-2"/>
          <w:w w:val="105"/>
        </w:rPr>
        <w:t> </w:t>
      </w:r>
      <w:r>
        <w:rPr>
          <w:w w:val="105"/>
        </w:rPr>
        <w:t>adequate.</w:t>
      </w:r>
      <w:r>
        <w:rPr>
          <w:spacing w:val="-2"/>
          <w:w w:val="105"/>
        </w:rPr>
        <w:t> </w:t>
      </w:r>
      <w:r>
        <w:rPr>
          <w:w w:val="105"/>
        </w:rPr>
        <w:t>From time</w:t>
      </w:r>
      <w:r>
        <w:rPr>
          <w:spacing w:val="-3"/>
          <w:w w:val="105"/>
        </w:rPr>
        <w:t> </w:t>
      </w:r>
      <w:r>
        <w:rPr>
          <w:w w:val="105"/>
        </w:rPr>
        <w:t>to</w:t>
      </w:r>
      <w:r>
        <w:rPr>
          <w:spacing w:val="-3"/>
          <w:w w:val="105"/>
        </w:rPr>
        <w:t> </w:t>
      </w:r>
      <w:r>
        <w:rPr>
          <w:w w:val="105"/>
        </w:rPr>
        <w:t>time,</w:t>
      </w:r>
      <w:r>
        <w:rPr>
          <w:spacing w:val="-3"/>
          <w:w w:val="105"/>
        </w:rPr>
        <w:t> </w:t>
      </w:r>
      <w:r>
        <w:rPr>
          <w:w w:val="105"/>
        </w:rPr>
        <w:t>Corning’s</w:t>
      </w:r>
      <w:r>
        <w:rPr>
          <w:spacing w:val="-3"/>
          <w:w w:val="105"/>
        </w:rPr>
        <w:t> </w:t>
      </w:r>
      <w:r>
        <w:rPr>
          <w:w w:val="105"/>
        </w:rPr>
        <w:t>suppliers</w:t>
      </w:r>
      <w:r>
        <w:rPr>
          <w:spacing w:val="-3"/>
          <w:w w:val="105"/>
        </w:rPr>
        <w:t> </w:t>
      </w:r>
      <w:r>
        <w:rPr>
          <w:w w:val="105"/>
        </w:rPr>
        <w:t>may</w:t>
      </w:r>
      <w:r>
        <w:rPr>
          <w:spacing w:val="-3"/>
          <w:w w:val="105"/>
        </w:rPr>
        <w:t> </w:t>
      </w:r>
      <w:r>
        <w:rPr>
          <w:w w:val="105"/>
        </w:rPr>
        <w:t>experience</w:t>
      </w:r>
      <w:r>
        <w:rPr>
          <w:spacing w:val="-3"/>
          <w:w w:val="105"/>
        </w:rPr>
        <w:t> </w:t>
      </w:r>
      <w:r>
        <w:rPr>
          <w:w w:val="105"/>
        </w:rPr>
        <w:t>capacity</w:t>
      </w:r>
      <w:r>
        <w:rPr>
          <w:spacing w:val="-3"/>
          <w:w w:val="105"/>
        </w:rPr>
        <w:t> </w:t>
      </w:r>
      <w:r>
        <w:rPr>
          <w:w w:val="105"/>
        </w:rPr>
        <w:t>limitations</w:t>
      </w:r>
      <w:r>
        <w:rPr>
          <w:spacing w:val="-1"/>
          <w:w w:val="105"/>
        </w:rPr>
        <w:t> </w:t>
      </w:r>
      <w:r>
        <w:rPr>
          <w:w w:val="105"/>
        </w:rPr>
        <w:t>in</w:t>
      </w:r>
      <w:r>
        <w:rPr>
          <w:spacing w:val="-3"/>
          <w:w w:val="105"/>
        </w:rPr>
        <w:t> </w:t>
      </w:r>
      <w:r>
        <w:rPr>
          <w:w w:val="105"/>
        </w:rPr>
        <w:t>their</w:t>
      </w:r>
      <w:r>
        <w:rPr>
          <w:spacing w:val="-3"/>
          <w:w w:val="105"/>
        </w:rPr>
        <w:t> </w:t>
      </w:r>
      <w:r>
        <w:rPr>
          <w:w w:val="105"/>
        </w:rPr>
        <w:t>own</w:t>
      </w:r>
      <w:r>
        <w:rPr>
          <w:spacing w:val="-3"/>
          <w:w w:val="105"/>
        </w:rPr>
        <w:t> </w:t>
      </w:r>
      <w:r>
        <w:rPr>
          <w:w w:val="105"/>
        </w:rPr>
        <w:t>operations</w:t>
      </w:r>
      <w:r>
        <w:rPr>
          <w:spacing w:val="-3"/>
          <w:w w:val="105"/>
        </w:rPr>
        <w:t> </w:t>
      </w:r>
      <w:r>
        <w:rPr>
          <w:w w:val="105"/>
        </w:rPr>
        <w:t>or</w:t>
      </w:r>
      <w:r>
        <w:rPr>
          <w:spacing w:val="-3"/>
          <w:w w:val="105"/>
        </w:rPr>
        <w:t> </w:t>
      </w:r>
      <w:r>
        <w:rPr>
          <w:w w:val="105"/>
        </w:rPr>
        <w:t>may</w:t>
      </w:r>
      <w:r>
        <w:rPr>
          <w:spacing w:val="-3"/>
          <w:w w:val="105"/>
        </w:rPr>
        <w:t> </w:t>
      </w:r>
      <w:r>
        <w:rPr>
          <w:w w:val="105"/>
        </w:rPr>
        <w:t>eliminate</w:t>
      </w:r>
      <w:r>
        <w:rPr>
          <w:spacing w:val="-3"/>
          <w:w w:val="105"/>
        </w:rPr>
        <w:t> </w:t>
      </w:r>
      <w:r>
        <w:rPr>
          <w:w w:val="105"/>
        </w:rPr>
        <w:t>certain</w:t>
      </w:r>
      <w:r>
        <w:rPr>
          <w:spacing w:val="-3"/>
          <w:w w:val="105"/>
        </w:rPr>
        <w:t> </w:t>
      </w:r>
      <w:r>
        <w:rPr>
          <w:w w:val="105"/>
        </w:rPr>
        <w:t>product</w:t>
      </w:r>
      <w:r>
        <w:rPr>
          <w:spacing w:val="-3"/>
          <w:w w:val="105"/>
        </w:rPr>
        <w:t> </w:t>
      </w:r>
      <w:r>
        <w:rPr>
          <w:w w:val="105"/>
        </w:rPr>
        <w:t>lines.</w:t>
      </w:r>
      <w:r>
        <w:rPr>
          <w:spacing w:val="-3"/>
          <w:w w:val="105"/>
        </w:rPr>
        <w:t> </w:t>
      </w:r>
      <w:r>
        <w:rPr>
          <w:w w:val="105"/>
        </w:rPr>
        <w:t>Corning</w:t>
      </w:r>
      <w:r>
        <w:rPr>
          <w:spacing w:val="-3"/>
          <w:w w:val="105"/>
        </w:rPr>
        <w:t> </w:t>
      </w:r>
      <w:r>
        <w:rPr>
          <w:w w:val="105"/>
        </w:rPr>
        <w:t>believes</w:t>
      </w:r>
      <w:r>
        <w:rPr>
          <w:spacing w:val="-3"/>
          <w:w w:val="105"/>
        </w:rPr>
        <w:t> </w:t>
      </w:r>
      <w:r>
        <w:rPr>
          <w:w w:val="105"/>
        </w:rPr>
        <w:t>it</w:t>
      </w:r>
      <w:r>
        <w:rPr>
          <w:spacing w:val="-3"/>
          <w:w w:val="105"/>
        </w:rPr>
        <w:t> </w:t>
      </w:r>
      <w:r>
        <w:rPr>
          <w:w w:val="105"/>
        </w:rPr>
        <w:t>has</w:t>
      </w:r>
      <w:r>
        <w:rPr>
          <w:spacing w:val="-3"/>
          <w:w w:val="105"/>
        </w:rPr>
        <w:t> </w:t>
      </w:r>
      <w:r>
        <w:rPr>
          <w:w w:val="105"/>
        </w:rPr>
        <w:t>adequate programs</w:t>
      </w:r>
      <w:r>
        <w:rPr>
          <w:spacing w:val="-2"/>
          <w:w w:val="105"/>
        </w:rPr>
        <w:t> </w:t>
      </w:r>
      <w:r>
        <w:rPr>
          <w:w w:val="105"/>
        </w:rPr>
        <w:t>to</w:t>
      </w:r>
      <w:r>
        <w:rPr>
          <w:spacing w:val="-2"/>
          <w:w w:val="105"/>
        </w:rPr>
        <w:t> </w:t>
      </w:r>
      <w:r>
        <w:rPr>
          <w:w w:val="105"/>
        </w:rPr>
        <w:t>ensure</w:t>
      </w:r>
      <w:r>
        <w:rPr>
          <w:spacing w:val="-2"/>
          <w:w w:val="105"/>
        </w:rPr>
        <w:t> </w:t>
      </w:r>
      <w:r>
        <w:rPr>
          <w:w w:val="105"/>
        </w:rPr>
        <w:t>a</w:t>
      </w:r>
      <w:r>
        <w:rPr>
          <w:spacing w:val="-2"/>
          <w:w w:val="105"/>
        </w:rPr>
        <w:t> </w:t>
      </w:r>
      <w:r>
        <w:rPr>
          <w:w w:val="105"/>
        </w:rPr>
        <w:t>reliable</w:t>
      </w:r>
      <w:r>
        <w:rPr>
          <w:spacing w:val="-2"/>
          <w:w w:val="105"/>
        </w:rPr>
        <w:t> </w:t>
      </w:r>
      <w:r>
        <w:rPr>
          <w:w w:val="105"/>
        </w:rPr>
        <w:t>supply</w:t>
      </w:r>
      <w:r>
        <w:rPr>
          <w:spacing w:val="-2"/>
          <w:w w:val="105"/>
        </w:rPr>
        <w:t> </w:t>
      </w:r>
      <w:r>
        <w:rPr>
          <w:w w:val="105"/>
        </w:rPr>
        <w:t>of</w:t>
      </w:r>
      <w:r>
        <w:rPr>
          <w:spacing w:val="-2"/>
          <w:w w:val="105"/>
        </w:rPr>
        <w:t> </w:t>
      </w:r>
      <w:r>
        <w:rPr>
          <w:w w:val="105"/>
        </w:rPr>
        <w:t>raw</w:t>
      </w:r>
      <w:r>
        <w:rPr>
          <w:spacing w:val="-2"/>
          <w:w w:val="105"/>
        </w:rPr>
        <w:t> </w:t>
      </w:r>
      <w:r>
        <w:rPr>
          <w:w w:val="105"/>
        </w:rPr>
        <w:t>and</w:t>
      </w:r>
      <w:r>
        <w:rPr>
          <w:spacing w:val="-2"/>
          <w:w w:val="105"/>
        </w:rPr>
        <w:t> </w:t>
      </w:r>
      <w:r>
        <w:rPr>
          <w:w w:val="105"/>
        </w:rPr>
        <w:t>batch</w:t>
      </w:r>
      <w:r>
        <w:rPr>
          <w:spacing w:val="-2"/>
          <w:w w:val="105"/>
        </w:rPr>
        <w:t> </w:t>
      </w:r>
      <w:r>
        <w:rPr>
          <w:w w:val="105"/>
        </w:rPr>
        <w:t>materials,</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precious</w:t>
      </w:r>
      <w:r>
        <w:rPr>
          <w:spacing w:val="-2"/>
          <w:w w:val="105"/>
        </w:rPr>
        <w:t> </w:t>
      </w:r>
      <w:r>
        <w:rPr>
          <w:w w:val="105"/>
        </w:rPr>
        <w:t>metals.</w:t>
      </w:r>
      <w:r>
        <w:rPr>
          <w:spacing w:val="-2"/>
          <w:w w:val="105"/>
        </w:rPr>
        <w:t> </w:t>
      </w:r>
      <w:r>
        <w:rPr>
          <w:w w:val="105"/>
        </w:rPr>
        <w:t>For</w:t>
      </w:r>
      <w:r>
        <w:rPr>
          <w:spacing w:val="-2"/>
          <w:w w:val="105"/>
        </w:rPr>
        <w:t> </w:t>
      </w:r>
      <w:r>
        <w:rPr>
          <w:w w:val="105"/>
        </w:rPr>
        <w:t>many</w:t>
      </w:r>
      <w:r>
        <w:rPr>
          <w:spacing w:val="-2"/>
          <w:w w:val="105"/>
        </w:rPr>
        <w:t> </w:t>
      </w:r>
      <w:r>
        <w:rPr>
          <w:w w:val="105"/>
        </w:rPr>
        <w:t>of</w:t>
      </w:r>
      <w:r>
        <w:rPr>
          <w:spacing w:val="-2"/>
          <w:w w:val="105"/>
        </w:rPr>
        <w:t> </w:t>
      </w:r>
      <w:r>
        <w:rPr>
          <w:w w:val="105"/>
        </w:rPr>
        <w:t>its</w:t>
      </w:r>
      <w:r>
        <w:rPr>
          <w:spacing w:val="-2"/>
          <w:w w:val="105"/>
        </w:rPr>
        <w:t> </w:t>
      </w:r>
      <w:r>
        <w:rPr>
          <w:w w:val="105"/>
        </w:rPr>
        <w:t>materials,</w:t>
      </w:r>
      <w:r>
        <w:rPr>
          <w:spacing w:val="-2"/>
          <w:w w:val="105"/>
        </w:rPr>
        <w:t> </w:t>
      </w:r>
      <w:r>
        <w:rPr>
          <w:w w:val="105"/>
        </w:rPr>
        <w:t>Corning</w:t>
      </w:r>
      <w:r>
        <w:rPr>
          <w:spacing w:val="-2"/>
          <w:w w:val="105"/>
        </w:rPr>
        <w:t> </w:t>
      </w:r>
      <w:r>
        <w:rPr>
          <w:w w:val="105"/>
        </w:rPr>
        <w:t>has</w:t>
      </w:r>
      <w:r>
        <w:rPr>
          <w:spacing w:val="-2"/>
          <w:w w:val="105"/>
        </w:rPr>
        <w:t> </w:t>
      </w:r>
      <w:r>
        <w:rPr>
          <w:w w:val="105"/>
        </w:rPr>
        <w:t>alternate</w:t>
      </w:r>
      <w:r>
        <w:rPr>
          <w:spacing w:val="-2"/>
          <w:w w:val="105"/>
        </w:rPr>
        <w:t> </w:t>
      </w:r>
      <w:r>
        <w:rPr>
          <w:w w:val="105"/>
        </w:rPr>
        <w:t>suppliers</w:t>
      </w:r>
      <w:r>
        <w:rPr>
          <w:spacing w:val="-2"/>
          <w:w w:val="105"/>
        </w:rPr>
        <w:t> </w:t>
      </w:r>
      <w:r>
        <w:rPr>
          <w:w w:val="105"/>
        </w:rPr>
        <w:t>that</w:t>
      </w:r>
      <w:r>
        <w:rPr>
          <w:spacing w:val="-2"/>
          <w:w w:val="105"/>
        </w:rPr>
        <w:t> </w:t>
      </w:r>
      <w:r>
        <w:rPr>
          <w:w w:val="105"/>
        </w:rPr>
        <w:t>would</w:t>
      </w:r>
      <w:r>
        <w:rPr>
          <w:spacing w:val="-2"/>
          <w:w w:val="105"/>
        </w:rPr>
        <w:t> </w:t>
      </w:r>
      <w:r>
        <w:rPr>
          <w:w w:val="105"/>
        </w:rPr>
        <w:t>allow operations to continue without interruption in the event of specific materials shortages.</w:t>
      </w:r>
    </w:p>
    <w:p>
      <w:pPr>
        <w:pStyle w:val="BodyText"/>
        <w:spacing w:before="18"/>
      </w:pPr>
    </w:p>
    <w:p>
      <w:pPr>
        <w:pStyle w:val="BodyText"/>
        <w:spacing w:line="266" w:lineRule="auto"/>
        <w:ind w:left="156"/>
      </w:pPr>
      <w:r>
        <w:rPr>
          <w:w w:val="105"/>
        </w:rPr>
        <w:t>Certain</w:t>
      </w:r>
      <w:r>
        <w:rPr>
          <w:spacing w:val="-8"/>
          <w:w w:val="105"/>
        </w:rPr>
        <w:t> </w:t>
      </w:r>
      <w:r>
        <w:rPr>
          <w:w w:val="105"/>
        </w:rPr>
        <w:t>key</w:t>
      </w:r>
      <w:r>
        <w:rPr>
          <w:spacing w:val="-8"/>
          <w:w w:val="105"/>
        </w:rPr>
        <w:t> </w:t>
      </w:r>
      <w:r>
        <w:rPr>
          <w:w w:val="105"/>
        </w:rPr>
        <w:t>materials</w:t>
      </w:r>
      <w:r>
        <w:rPr>
          <w:spacing w:val="-8"/>
          <w:w w:val="105"/>
        </w:rPr>
        <w:t> </w:t>
      </w:r>
      <w:r>
        <w:rPr>
          <w:w w:val="105"/>
        </w:rPr>
        <w:t>and</w:t>
      </w:r>
      <w:r>
        <w:rPr>
          <w:spacing w:val="-8"/>
          <w:w w:val="105"/>
        </w:rPr>
        <w:t> </w:t>
      </w:r>
      <w:r>
        <w:rPr>
          <w:w w:val="105"/>
        </w:rPr>
        <w:t>proprietary</w:t>
      </w:r>
      <w:r>
        <w:rPr>
          <w:spacing w:val="-8"/>
          <w:w w:val="105"/>
        </w:rPr>
        <w:t> </w:t>
      </w:r>
      <w:r>
        <w:rPr>
          <w:w w:val="105"/>
        </w:rPr>
        <w:t>equipment</w:t>
      </w:r>
      <w:r>
        <w:rPr>
          <w:spacing w:val="-8"/>
          <w:w w:val="105"/>
        </w:rPr>
        <w:t> </w:t>
      </w:r>
      <w:r>
        <w:rPr>
          <w:w w:val="105"/>
        </w:rPr>
        <w:t>used</w:t>
      </w:r>
      <w:r>
        <w:rPr>
          <w:spacing w:val="-8"/>
          <w:w w:val="105"/>
        </w:rPr>
        <w:t> </w:t>
      </w:r>
      <w:r>
        <w:rPr>
          <w:w w:val="105"/>
        </w:rPr>
        <w:t>in</w:t>
      </w:r>
      <w:r>
        <w:rPr>
          <w:spacing w:val="-8"/>
          <w:w w:val="105"/>
        </w:rPr>
        <w:t> </w:t>
      </w:r>
      <w:r>
        <w:rPr>
          <w:w w:val="105"/>
        </w:rPr>
        <w:t>the</w:t>
      </w:r>
      <w:r>
        <w:rPr>
          <w:spacing w:val="-8"/>
          <w:w w:val="105"/>
        </w:rPr>
        <w:t> </w:t>
      </w:r>
      <w:r>
        <w:rPr>
          <w:w w:val="105"/>
        </w:rPr>
        <w:t>manufacturing</w:t>
      </w:r>
      <w:r>
        <w:rPr>
          <w:spacing w:val="-8"/>
          <w:w w:val="105"/>
        </w:rPr>
        <w:t> </w:t>
      </w:r>
      <w:r>
        <w:rPr>
          <w:w w:val="105"/>
        </w:rPr>
        <w:t>of</w:t>
      </w:r>
      <w:r>
        <w:rPr>
          <w:spacing w:val="-8"/>
          <w:w w:val="105"/>
        </w:rPr>
        <w:t> </w:t>
      </w:r>
      <w:r>
        <w:rPr>
          <w:w w:val="105"/>
        </w:rPr>
        <w:t>products</w:t>
      </w:r>
      <w:r>
        <w:rPr>
          <w:spacing w:val="-8"/>
          <w:w w:val="105"/>
        </w:rPr>
        <w:t> </w:t>
      </w:r>
      <w:r>
        <w:rPr>
          <w:w w:val="105"/>
        </w:rPr>
        <w:t>are</w:t>
      </w:r>
      <w:r>
        <w:rPr>
          <w:spacing w:val="-8"/>
          <w:w w:val="105"/>
        </w:rPr>
        <w:t> </w:t>
      </w:r>
      <w:r>
        <w:rPr>
          <w:w w:val="105"/>
        </w:rPr>
        <w:t>currently</w:t>
      </w:r>
      <w:r>
        <w:rPr>
          <w:spacing w:val="-8"/>
          <w:w w:val="105"/>
        </w:rPr>
        <w:t> </w:t>
      </w:r>
      <w:r>
        <w:rPr>
          <w:w w:val="105"/>
        </w:rPr>
        <w:t>sole-sourced</w:t>
      </w:r>
      <w:r>
        <w:rPr>
          <w:spacing w:val="-8"/>
          <w:w w:val="105"/>
        </w:rPr>
        <w:t> </w:t>
      </w:r>
      <w:r>
        <w:rPr>
          <w:w w:val="105"/>
        </w:rPr>
        <w:t>or</w:t>
      </w:r>
      <w:r>
        <w:rPr>
          <w:spacing w:val="-8"/>
          <w:w w:val="105"/>
        </w:rPr>
        <w:t> </w:t>
      </w:r>
      <w:r>
        <w:rPr>
          <w:w w:val="105"/>
        </w:rPr>
        <w:t>available</w:t>
      </w:r>
      <w:r>
        <w:rPr>
          <w:spacing w:val="-8"/>
          <w:w w:val="105"/>
        </w:rPr>
        <w:t> </w:t>
      </w:r>
      <w:r>
        <w:rPr>
          <w:w w:val="105"/>
        </w:rPr>
        <w:t>only</w:t>
      </w:r>
      <w:r>
        <w:rPr>
          <w:spacing w:val="-8"/>
          <w:w w:val="105"/>
        </w:rPr>
        <w:t> </w:t>
      </w:r>
      <w:r>
        <w:rPr>
          <w:w w:val="105"/>
        </w:rPr>
        <w:t>from</w:t>
      </w:r>
      <w:r>
        <w:rPr>
          <w:spacing w:val="-8"/>
          <w:w w:val="105"/>
        </w:rPr>
        <w:t> </w:t>
      </w:r>
      <w:r>
        <w:rPr>
          <w:w w:val="105"/>
        </w:rPr>
        <w:t>a</w:t>
      </w:r>
      <w:r>
        <w:rPr>
          <w:spacing w:val="-8"/>
          <w:w w:val="105"/>
        </w:rPr>
        <w:t> </w:t>
      </w:r>
      <w:r>
        <w:rPr>
          <w:w w:val="105"/>
        </w:rPr>
        <w:t>limited</w:t>
      </w:r>
      <w:r>
        <w:rPr>
          <w:spacing w:val="-8"/>
          <w:w w:val="105"/>
        </w:rPr>
        <w:t> </w:t>
      </w:r>
      <w:r>
        <w:rPr>
          <w:w w:val="105"/>
        </w:rPr>
        <w:t>number</w:t>
      </w:r>
      <w:r>
        <w:rPr>
          <w:spacing w:val="-8"/>
          <w:w w:val="105"/>
        </w:rPr>
        <w:t> </w:t>
      </w:r>
      <w:r>
        <w:rPr>
          <w:w w:val="105"/>
        </w:rPr>
        <w:t>of</w:t>
      </w:r>
      <w:r>
        <w:rPr>
          <w:spacing w:val="-8"/>
          <w:w w:val="105"/>
        </w:rPr>
        <w:t> </w:t>
      </w:r>
      <w:r>
        <w:rPr>
          <w:w w:val="105"/>
        </w:rPr>
        <w:t>suppliers.</w:t>
      </w:r>
      <w:r>
        <w:rPr>
          <w:spacing w:val="26"/>
          <w:w w:val="105"/>
        </w:rPr>
        <w:t> </w:t>
      </w:r>
      <w:r>
        <w:rPr>
          <w:w w:val="105"/>
        </w:rPr>
        <w:t>To minimize</w:t>
      </w:r>
      <w:r>
        <w:rPr>
          <w:spacing w:val="-4"/>
          <w:w w:val="105"/>
        </w:rPr>
        <w:t> </w:t>
      </w:r>
      <w:r>
        <w:rPr>
          <w:w w:val="105"/>
        </w:rPr>
        <w:t>this</w:t>
      </w:r>
      <w:r>
        <w:rPr>
          <w:spacing w:val="-4"/>
          <w:w w:val="105"/>
        </w:rPr>
        <w:t> </w:t>
      </w:r>
      <w:r>
        <w:rPr>
          <w:w w:val="105"/>
        </w:rPr>
        <w:t>risk,</w:t>
      </w:r>
      <w:r>
        <w:rPr>
          <w:spacing w:val="-4"/>
          <w:w w:val="105"/>
        </w:rPr>
        <w:t> </w:t>
      </w:r>
      <w:r>
        <w:rPr>
          <w:w w:val="105"/>
        </w:rPr>
        <w:t>Corning</w:t>
      </w:r>
      <w:r>
        <w:rPr>
          <w:spacing w:val="-2"/>
          <w:w w:val="105"/>
        </w:rPr>
        <w:t> </w:t>
      </w:r>
      <w:r>
        <w:rPr>
          <w:w w:val="105"/>
        </w:rPr>
        <w:t>closely</w:t>
      </w:r>
      <w:r>
        <w:rPr>
          <w:spacing w:val="-4"/>
          <w:w w:val="105"/>
        </w:rPr>
        <w:t> </w:t>
      </w:r>
      <w:r>
        <w:rPr>
          <w:w w:val="105"/>
        </w:rPr>
        <w:t>monitors</w:t>
      </w:r>
      <w:r>
        <w:rPr>
          <w:spacing w:val="-4"/>
          <w:w w:val="105"/>
        </w:rPr>
        <w:t> </w:t>
      </w:r>
      <w:r>
        <w:rPr>
          <w:w w:val="105"/>
        </w:rPr>
        <w:t>raw</w:t>
      </w:r>
      <w:r>
        <w:rPr>
          <w:spacing w:val="-4"/>
          <w:w w:val="105"/>
        </w:rPr>
        <w:t> </w:t>
      </w:r>
      <w:r>
        <w:rPr>
          <w:w w:val="105"/>
        </w:rPr>
        <w:t>materials</w:t>
      </w:r>
      <w:r>
        <w:rPr>
          <w:spacing w:val="-4"/>
          <w:w w:val="105"/>
        </w:rPr>
        <w:t> </w:t>
      </w:r>
      <w:r>
        <w:rPr>
          <w:w w:val="105"/>
        </w:rPr>
        <w:t>and</w:t>
      </w:r>
      <w:r>
        <w:rPr>
          <w:spacing w:val="-4"/>
          <w:w w:val="105"/>
        </w:rPr>
        <w:t> </w:t>
      </w:r>
      <w:r>
        <w:rPr>
          <w:w w:val="105"/>
        </w:rPr>
        <w:t>equipment</w:t>
      </w:r>
      <w:r>
        <w:rPr>
          <w:spacing w:val="-4"/>
          <w:w w:val="105"/>
        </w:rPr>
        <w:t> </w:t>
      </w:r>
      <w:r>
        <w:rPr>
          <w:w w:val="105"/>
        </w:rPr>
        <w:t>with</w:t>
      </w:r>
      <w:r>
        <w:rPr>
          <w:spacing w:val="-4"/>
          <w:w w:val="105"/>
        </w:rPr>
        <w:t> </w:t>
      </w:r>
      <w:r>
        <w:rPr>
          <w:w w:val="105"/>
        </w:rPr>
        <w:t>limited</w:t>
      </w:r>
      <w:r>
        <w:rPr>
          <w:spacing w:val="-4"/>
          <w:w w:val="105"/>
        </w:rPr>
        <w:t> </w:t>
      </w:r>
      <w:r>
        <w:rPr>
          <w:w w:val="105"/>
        </w:rPr>
        <w:t>availability</w:t>
      </w:r>
      <w:r>
        <w:rPr>
          <w:spacing w:val="-4"/>
          <w:w w:val="105"/>
        </w:rPr>
        <w:t> </w:t>
      </w:r>
      <w:r>
        <w:rPr>
          <w:w w:val="105"/>
        </w:rPr>
        <w:t>or</w:t>
      </w:r>
      <w:r>
        <w:rPr>
          <w:spacing w:val="-4"/>
          <w:w w:val="105"/>
        </w:rPr>
        <w:t> </w:t>
      </w:r>
      <w:r>
        <w:rPr>
          <w:w w:val="105"/>
        </w:rPr>
        <w:t>sole-sourced</w:t>
      </w:r>
      <w:r>
        <w:rPr>
          <w:spacing w:val="-4"/>
          <w:w w:val="105"/>
        </w:rPr>
        <w:t> </w:t>
      </w:r>
      <w:r>
        <w:rPr>
          <w:w w:val="105"/>
        </w:rPr>
        <w:t>suppliers.</w:t>
      </w:r>
      <w:r>
        <w:rPr>
          <w:spacing w:val="35"/>
          <w:w w:val="105"/>
        </w:rPr>
        <w:t> </w:t>
      </w:r>
      <w:r>
        <w:rPr>
          <w:w w:val="105"/>
        </w:rPr>
        <w:t>However,</w:t>
      </w:r>
      <w:r>
        <w:rPr>
          <w:spacing w:val="-4"/>
          <w:w w:val="105"/>
        </w:rPr>
        <w:t> </w:t>
      </w:r>
      <w:r>
        <w:rPr>
          <w:w w:val="105"/>
        </w:rPr>
        <w:t>any</w:t>
      </w:r>
      <w:r>
        <w:rPr>
          <w:spacing w:val="-2"/>
          <w:w w:val="105"/>
        </w:rPr>
        <w:t> </w:t>
      </w:r>
      <w:r>
        <w:rPr>
          <w:w w:val="105"/>
        </w:rPr>
        <w:t>future</w:t>
      </w:r>
      <w:r>
        <w:rPr>
          <w:spacing w:val="-4"/>
          <w:w w:val="105"/>
        </w:rPr>
        <w:t> </w:t>
      </w:r>
      <w:r>
        <w:rPr>
          <w:w w:val="105"/>
        </w:rPr>
        <w:t>difficulty</w:t>
      </w:r>
      <w:r>
        <w:rPr>
          <w:spacing w:val="-4"/>
          <w:w w:val="105"/>
        </w:rPr>
        <w:t> </w:t>
      </w:r>
      <w:r>
        <w:rPr>
          <w:w w:val="105"/>
        </w:rPr>
        <w:t>in</w:t>
      </w:r>
      <w:r>
        <w:rPr>
          <w:spacing w:val="-4"/>
          <w:w w:val="105"/>
        </w:rPr>
        <w:t> </w:t>
      </w:r>
      <w:r>
        <w:rPr>
          <w:w w:val="105"/>
        </w:rPr>
        <w:t>obtaining sufficient</w:t>
      </w:r>
      <w:r>
        <w:rPr>
          <w:spacing w:val="-2"/>
          <w:w w:val="105"/>
        </w:rPr>
        <w:t> </w:t>
      </w:r>
      <w:r>
        <w:rPr>
          <w:w w:val="105"/>
        </w:rPr>
        <w:t>and</w:t>
      </w:r>
      <w:r>
        <w:rPr>
          <w:spacing w:val="-2"/>
          <w:w w:val="105"/>
        </w:rPr>
        <w:t> </w:t>
      </w:r>
      <w:r>
        <w:rPr>
          <w:w w:val="105"/>
        </w:rPr>
        <w:t>timely</w:t>
      </w:r>
      <w:r>
        <w:rPr>
          <w:spacing w:val="-2"/>
          <w:w w:val="105"/>
        </w:rPr>
        <w:t> </w:t>
      </w:r>
      <w:r>
        <w:rPr>
          <w:w w:val="105"/>
        </w:rPr>
        <w:t>delivery,</w:t>
      </w:r>
      <w:r>
        <w:rPr>
          <w:spacing w:val="-2"/>
          <w:w w:val="105"/>
        </w:rPr>
        <w:t> </w:t>
      </w:r>
      <w:r>
        <w:rPr>
          <w:w w:val="105"/>
        </w:rPr>
        <w:t>or</w:t>
      </w:r>
      <w:r>
        <w:rPr>
          <w:spacing w:val="-2"/>
          <w:w w:val="105"/>
        </w:rPr>
        <w:t> </w:t>
      </w:r>
      <w:r>
        <w:rPr>
          <w:w w:val="105"/>
        </w:rPr>
        <w:t>inflationary</w:t>
      </w:r>
      <w:r>
        <w:rPr>
          <w:spacing w:val="-2"/>
          <w:w w:val="105"/>
        </w:rPr>
        <w:t> </w:t>
      </w:r>
      <w:r>
        <w:rPr>
          <w:w w:val="105"/>
        </w:rPr>
        <w:t>pricing,</w:t>
      </w:r>
      <w:r>
        <w:rPr>
          <w:spacing w:val="-2"/>
          <w:w w:val="105"/>
        </w:rPr>
        <w:t> </w:t>
      </w:r>
      <w:r>
        <w:rPr>
          <w:w w:val="105"/>
        </w:rPr>
        <w:t>of</w:t>
      </w:r>
      <w:r>
        <w:rPr>
          <w:spacing w:val="-2"/>
          <w:w w:val="105"/>
        </w:rPr>
        <w:t> </w:t>
      </w:r>
      <w:r>
        <w:rPr>
          <w:w w:val="105"/>
        </w:rPr>
        <w:t>components</w:t>
      </w:r>
      <w:r>
        <w:rPr>
          <w:spacing w:val="-2"/>
          <w:w w:val="105"/>
        </w:rPr>
        <w:t> </w:t>
      </w:r>
      <w:r>
        <w:rPr>
          <w:w w:val="105"/>
        </w:rPr>
        <w:t>and/or</w:t>
      </w:r>
      <w:r>
        <w:rPr>
          <w:spacing w:val="-2"/>
          <w:w w:val="105"/>
        </w:rPr>
        <w:t> </w:t>
      </w:r>
      <w:r>
        <w:rPr>
          <w:w w:val="105"/>
        </w:rPr>
        <w:t>raw</w:t>
      </w:r>
      <w:r>
        <w:rPr>
          <w:spacing w:val="-2"/>
          <w:w w:val="105"/>
        </w:rPr>
        <w:t> </w:t>
      </w:r>
      <w:r>
        <w:rPr>
          <w:w w:val="105"/>
        </w:rPr>
        <w:t>materials</w:t>
      </w:r>
      <w:r>
        <w:rPr>
          <w:spacing w:val="-2"/>
          <w:w w:val="105"/>
        </w:rPr>
        <w:t> </w:t>
      </w:r>
      <w:r>
        <w:rPr>
          <w:w w:val="105"/>
        </w:rPr>
        <w:t>could</w:t>
      </w:r>
      <w:r>
        <w:rPr>
          <w:spacing w:val="-2"/>
          <w:w w:val="105"/>
        </w:rPr>
        <w:t> </w:t>
      </w:r>
      <w:r>
        <w:rPr>
          <w:w w:val="105"/>
        </w:rPr>
        <w:t>result</w:t>
      </w:r>
      <w:r>
        <w:rPr>
          <w:spacing w:val="-2"/>
          <w:w w:val="105"/>
        </w:rPr>
        <w:t> </w:t>
      </w:r>
      <w:r>
        <w:rPr>
          <w:w w:val="105"/>
        </w:rPr>
        <w:t>in</w:t>
      </w:r>
      <w:r>
        <w:rPr>
          <w:spacing w:val="-2"/>
          <w:w w:val="105"/>
        </w:rPr>
        <w:t> </w:t>
      </w:r>
      <w:r>
        <w:rPr>
          <w:w w:val="105"/>
        </w:rPr>
        <w:t>lost</w:t>
      </w:r>
      <w:r>
        <w:rPr>
          <w:spacing w:val="-2"/>
          <w:w w:val="105"/>
        </w:rPr>
        <w:t> </w:t>
      </w:r>
      <w:r>
        <w:rPr>
          <w:w w:val="105"/>
        </w:rPr>
        <w:t>sales</w:t>
      </w:r>
      <w:r>
        <w:rPr>
          <w:spacing w:val="-2"/>
          <w:w w:val="105"/>
        </w:rPr>
        <w:t> </w:t>
      </w:r>
      <w:r>
        <w:rPr>
          <w:w w:val="105"/>
        </w:rPr>
        <w:t>due</w:t>
      </w:r>
      <w:r>
        <w:rPr>
          <w:spacing w:val="-2"/>
          <w:w w:val="105"/>
        </w:rPr>
        <w:t> </w:t>
      </w:r>
      <w:r>
        <w:rPr>
          <w:w w:val="105"/>
        </w:rPr>
        <w:t>to</w:t>
      </w:r>
      <w:r>
        <w:rPr>
          <w:spacing w:val="-2"/>
          <w:w w:val="105"/>
        </w:rPr>
        <w:t> </w:t>
      </w:r>
      <w:r>
        <w:rPr>
          <w:w w:val="105"/>
        </w:rPr>
        <w:t>delays</w:t>
      </w:r>
      <w:r>
        <w:rPr>
          <w:spacing w:val="-2"/>
          <w:w w:val="105"/>
        </w:rPr>
        <w:t> </w:t>
      </w:r>
      <w:r>
        <w:rPr>
          <w:w w:val="105"/>
        </w:rPr>
        <w:t>or</w:t>
      </w:r>
      <w:r>
        <w:rPr>
          <w:spacing w:val="-2"/>
          <w:w w:val="105"/>
        </w:rPr>
        <w:t> </w:t>
      </w:r>
      <w:r>
        <w:rPr>
          <w:w w:val="105"/>
        </w:rPr>
        <w:t>reductions</w:t>
      </w:r>
      <w:r>
        <w:rPr>
          <w:spacing w:val="-2"/>
          <w:w w:val="105"/>
        </w:rPr>
        <w:t> </w:t>
      </w:r>
      <w:r>
        <w:rPr>
          <w:w w:val="105"/>
        </w:rPr>
        <w:t>in</w:t>
      </w:r>
      <w:r>
        <w:rPr>
          <w:spacing w:val="-2"/>
          <w:w w:val="105"/>
        </w:rPr>
        <w:t> </w:t>
      </w:r>
      <w:r>
        <w:rPr>
          <w:w w:val="105"/>
        </w:rPr>
        <w:t>product</w:t>
      </w:r>
      <w:r>
        <w:rPr>
          <w:spacing w:val="-2"/>
          <w:w w:val="105"/>
        </w:rPr>
        <w:t> </w:t>
      </w:r>
      <w:r>
        <w:rPr>
          <w:w w:val="105"/>
        </w:rPr>
        <w:t>shipments,</w:t>
      </w:r>
      <w:r>
        <w:rPr>
          <w:spacing w:val="-2"/>
          <w:w w:val="105"/>
        </w:rPr>
        <w:t> </w:t>
      </w:r>
      <w:r>
        <w:rPr>
          <w:w w:val="105"/>
        </w:rPr>
        <w:t>or reductions in Corning’s gross margins.</w:t>
      </w:r>
    </w:p>
    <w:p>
      <w:pPr>
        <w:pStyle w:val="BodyText"/>
        <w:spacing w:before="18"/>
      </w:pPr>
    </w:p>
    <w:p>
      <w:pPr>
        <w:pStyle w:val="Heading3"/>
      </w:pPr>
      <w:r>
        <w:rPr>
          <w:spacing w:val="-2"/>
          <w:w w:val="105"/>
        </w:rPr>
        <w:t>Patents and</w:t>
      </w:r>
      <w:r>
        <w:rPr>
          <w:spacing w:val="-1"/>
          <w:w w:val="105"/>
        </w:rPr>
        <w:t> </w:t>
      </w:r>
      <w:r>
        <w:rPr>
          <w:spacing w:val="-2"/>
          <w:w w:val="105"/>
        </w:rPr>
        <w:t>Trademarks</w:t>
      </w:r>
    </w:p>
    <w:p>
      <w:pPr>
        <w:pStyle w:val="BodyText"/>
        <w:spacing w:before="40"/>
        <w:rPr>
          <w:b/>
          <w:i/>
        </w:rPr>
      </w:pPr>
    </w:p>
    <w:p>
      <w:pPr>
        <w:pStyle w:val="BodyText"/>
        <w:spacing w:line="266" w:lineRule="auto"/>
        <w:ind w:left="156" w:right="328"/>
      </w:pPr>
      <w:r>
        <w:rPr>
          <w:w w:val="105"/>
        </w:rPr>
        <w:t>Inventions</w:t>
      </w:r>
      <w:r>
        <w:rPr>
          <w:spacing w:val="-3"/>
          <w:w w:val="105"/>
        </w:rPr>
        <w:t> </w:t>
      </w:r>
      <w:r>
        <w:rPr>
          <w:w w:val="105"/>
        </w:rPr>
        <w:t>by</w:t>
      </w:r>
      <w:r>
        <w:rPr>
          <w:spacing w:val="-3"/>
          <w:w w:val="105"/>
        </w:rPr>
        <w:t> </w:t>
      </w:r>
      <w:r>
        <w:rPr>
          <w:w w:val="105"/>
        </w:rPr>
        <w:t>members</w:t>
      </w:r>
      <w:r>
        <w:rPr>
          <w:spacing w:val="-3"/>
          <w:w w:val="105"/>
        </w:rPr>
        <w:t> </w:t>
      </w:r>
      <w:r>
        <w:rPr>
          <w:w w:val="105"/>
        </w:rPr>
        <w:t>of</w:t>
      </w:r>
      <w:r>
        <w:rPr>
          <w:spacing w:val="-3"/>
          <w:w w:val="105"/>
        </w:rPr>
        <w:t> </w:t>
      </w:r>
      <w:r>
        <w:rPr>
          <w:w w:val="105"/>
        </w:rPr>
        <w:t>Corning’s</w:t>
      </w:r>
      <w:r>
        <w:rPr>
          <w:spacing w:val="-1"/>
          <w:w w:val="105"/>
        </w:rPr>
        <w:t> </w:t>
      </w:r>
      <w:r>
        <w:rPr>
          <w:w w:val="105"/>
        </w:rPr>
        <w:t>research</w:t>
      </w:r>
      <w:r>
        <w:rPr>
          <w:spacing w:val="-3"/>
          <w:w w:val="105"/>
        </w:rPr>
        <w:t> </w:t>
      </w:r>
      <w:r>
        <w:rPr>
          <w:w w:val="105"/>
        </w:rPr>
        <w:t>and</w:t>
      </w:r>
      <w:r>
        <w:rPr>
          <w:spacing w:val="-3"/>
          <w:w w:val="105"/>
        </w:rPr>
        <w:t> </w:t>
      </w:r>
      <w:r>
        <w:rPr>
          <w:w w:val="105"/>
        </w:rPr>
        <w:t>engineering</w:t>
      </w:r>
      <w:r>
        <w:rPr>
          <w:spacing w:val="-3"/>
          <w:w w:val="105"/>
        </w:rPr>
        <w:t> </w:t>
      </w:r>
      <w:r>
        <w:rPr>
          <w:w w:val="105"/>
        </w:rPr>
        <w:t>staff</w:t>
      </w:r>
      <w:r>
        <w:rPr>
          <w:spacing w:val="-3"/>
          <w:w w:val="105"/>
        </w:rPr>
        <w:t> </w:t>
      </w:r>
      <w:r>
        <w:rPr>
          <w:w w:val="105"/>
        </w:rPr>
        <w:t>continue</w:t>
      </w:r>
      <w:r>
        <w:rPr>
          <w:spacing w:val="-3"/>
          <w:w w:val="105"/>
        </w:rPr>
        <w:t> </w:t>
      </w:r>
      <w:r>
        <w:rPr>
          <w:w w:val="105"/>
        </w:rPr>
        <w:t>to</w:t>
      </w:r>
      <w:r>
        <w:rPr>
          <w:spacing w:val="-3"/>
          <w:w w:val="105"/>
        </w:rPr>
        <w:t> </w:t>
      </w:r>
      <w:r>
        <w:rPr>
          <w:w w:val="105"/>
        </w:rPr>
        <w:t>be</w:t>
      </w:r>
      <w:r>
        <w:rPr>
          <w:spacing w:val="-3"/>
          <w:w w:val="105"/>
        </w:rPr>
        <w:t> </w:t>
      </w:r>
      <w:r>
        <w:rPr>
          <w:w w:val="105"/>
        </w:rPr>
        <w:t>important</w:t>
      </w:r>
      <w:r>
        <w:rPr>
          <w:spacing w:val="-3"/>
          <w:w w:val="105"/>
        </w:rPr>
        <w:t> </w:t>
      </w:r>
      <w:r>
        <w:rPr>
          <w:w w:val="105"/>
        </w:rPr>
        <w:t>to</w:t>
      </w:r>
      <w:r>
        <w:rPr>
          <w:spacing w:val="-3"/>
          <w:w w:val="105"/>
        </w:rPr>
        <w:t> </w:t>
      </w:r>
      <w:r>
        <w:rPr>
          <w:w w:val="105"/>
        </w:rPr>
        <w:t>the</w:t>
      </w:r>
      <w:r>
        <w:rPr>
          <w:spacing w:val="-3"/>
          <w:w w:val="105"/>
        </w:rPr>
        <w:t> </w:t>
      </w:r>
      <w:r>
        <w:rPr>
          <w:w w:val="105"/>
        </w:rPr>
        <w:t>Company’s</w:t>
      </w:r>
      <w:r>
        <w:rPr>
          <w:spacing w:val="-3"/>
          <w:w w:val="105"/>
        </w:rPr>
        <w:t> </w:t>
      </w:r>
      <w:r>
        <w:rPr>
          <w:w w:val="105"/>
        </w:rPr>
        <w:t>growth.</w:t>
      </w:r>
      <w:r>
        <w:rPr>
          <w:spacing w:val="-3"/>
          <w:w w:val="105"/>
        </w:rPr>
        <w:t> </w:t>
      </w:r>
      <w:r>
        <w:rPr>
          <w:w w:val="105"/>
        </w:rPr>
        <w:t>Patents</w:t>
      </w:r>
      <w:r>
        <w:rPr>
          <w:spacing w:val="-3"/>
          <w:w w:val="105"/>
        </w:rPr>
        <w:t> </w:t>
      </w:r>
      <w:r>
        <w:rPr>
          <w:w w:val="105"/>
        </w:rPr>
        <w:t>have</w:t>
      </w:r>
      <w:r>
        <w:rPr>
          <w:spacing w:val="-3"/>
          <w:w w:val="105"/>
        </w:rPr>
        <w:t> </w:t>
      </w:r>
      <w:r>
        <w:rPr>
          <w:w w:val="105"/>
        </w:rPr>
        <w:t>been</w:t>
      </w:r>
      <w:r>
        <w:rPr>
          <w:spacing w:val="-3"/>
          <w:w w:val="105"/>
        </w:rPr>
        <w:t> </w:t>
      </w:r>
      <w:r>
        <w:rPr>
          <w:w w:val="105"/>
        </w:rPr>
        <w:t>granted</w:t>
      </w:r>
      <w:r>
        <w:rPr>
          <w:spacing w:val="-3"/>
          <w:w w:val="105"/>
        </w:rPr>
        <w:t> </w:t>
      </w:r>
      <w:r>
        <w:rPr>
          <w:w w:val="105"/>
        </w:rPr>
        <w:t>on</w:t>
      </w:r>
      <w:r>
        <w:rPr>
          <w:spacing w:val="-3"/>
          <w:w w:val="105"/>
        </w:rPr>
        <w:t> </w:t>
      </w:r>
      <w:r>
        <w:rPr>
          <w:w w:val="105"/>
        </w:rPr>
        <w:t>many</w:t>
      </w:r>
      <w:r>
        <w:rPr>
          <w:spacing w:val="-3"/>
          <w:w w:val="105"/>
        </w:rPr>
        <w:t> </w:t>
      </w:r>
      <w:r>
        <w:rPr>
          <w:w w:val="105"/>
        </w:rPr>
        <w:t>of</w:t>
      </w:r>
      <w:r>
        <w:rPr>
          <w:spacing w:val="-3"/>
          <w:w w:val="105"/>
        </w:rPr>
        <w:t> </w:t>
      </w:r>
      <w:r>
        <w:rPr>
          <w:w w:val="105"/>
        </w:rPr>
        <w:t>these inventions</w:t>
      </w:r>
      <w:r>
        <w:rPr>
          <w:spacing w:val="-2"/>
          <w:w w:val="105"/>
        </w:rPr>
        <w:t> </w:t>
      </w:r>
      <w:r>
        <w:rPr>
          <w:w w:val="105"/>
        </w:rPr>
        <w:t>in</w:t>
      </w:r>
      <w:r>
        <w:rPr>
          <w:spacing w:val="-2"/>
          <w:w w:val="105"/>
        </w:rPr>
        <w:t> </w:t>
      </w:r>
      <w:r>
        <w:rPr>
          <w:w w:val="105"/>
        </w:rPr>
        <w:t>the</w:t>
      </w:r>
      <w:r>
        <w:rPr>
          <w:spacing w:val="-2"/>
          <w:w w:val="105"/>
        </w:rPr>
        <w:t> </w:t>
      </w:r>
      <w:r>
        <w:rPr>
          <w:w w:val="105"/>
        </w:rPr>
        <w:t>U.S.</w:t>
      </w:r>
      <w:r>
        <w:rPr>
          <w:spacing w:val="-2"/>
          <w:w w:val="105"/>
        </w:rPr>
        <w:t> </w:t>
      </w:r>
      <w:r>
        <w:rPr>
          <w:w w:val="105"/>
        </w:rPr>
        <w:t>and</w:t>
      </w:r>
      <w:r>
        <w:rPr>
          <w:spacing w:val="-2"/>
          <w:w w:val="105"/>
        </w:rPr>
        <w:t> </w:t>
      </w:r>
      <w:r>
        <w:rPr>
          <w:w w:val="105"/>
        </w:rPr>
        <w:t>other</w:t>
      </w:r>
      <w:r>
        <w:rPr>
          <w:spacing w:val="-2"/>
          <w:w w:val="105"/>
        </w:rPr>
        <w:t> </w:t>
      </w:r>
      <w:r>
        <w:rPr>
          <w:w w:val="105"/>
        </w:rPr>
        <w:t>countries.</w:t>
      </w:r>
      <w:r>
        <w:rPr>
          <w:spacing w:val="-2"/>
          <w:w w:val="105"/>
        </w:rPr>
        <w:t> </w:t>
      </w:r>
      <w:r>
        <w:rPr>
          <w:w w:val="105"/>
        </w:rPr>
        <w:t>Some</w:t>
      </w:r>
      <w:r>
        <w:rPr>
          <w:spacing w:val="-2"/>
          <w:w w:val="105"/>
        </w:rPr>
        <w:t> </w:t>
      </w:r>
      <w:r>
        <w:rPr>
          <w:w w:val="105"/>
        </w:rPr>
        <w:t>of</w:t>
      </w:r>
      <w:r>
        <w:rPr>
          <w:spacing w:val="-2"/>
          <w:w w:val="105"/>
        </w:rPr>
        <w:t> </w:t>
      </w:r>
      <w:r>
        <w:rPr>
          <w:w w:val="105"/>
        </w:rPr>
        <w:t>these</w:t>
      </w:r>
      <w:r>
        <w:rPr>
          <w:spacing w:val="-2"/>
          <w:w w:val="105"/>
        </w:rPr>
        <w:t> </w:t>
      </w:r>
      <w:r>
        <w:rPr>
          <w:w w:val="105"/>
        </w:rPr>
        <w:t>patents</w:t>
      </w:r>
      <w:r>
        <w:rPr>
          <w:spacing w:val="-2"/>
          <w:w w:val="105"/>
        </w:rPr>
        <w:t> </w:t>
      </w:r>
      <w:r>
        <w:rPr>
          <w:w w:val="105"/>
        </w:rPr>
        <w:t>have</w:t>
      </w:r>
      <w:r>
        <w:rPr>
          <w:spacing w:val="-2"/>
          <w:w w:val="105"/>
        </w:rPr>
        <w:t> </w:t>
      </w:r>
      <w:r>
        <w:rPr>
          <w:w w:val="105"/>
        </w:rPr>
        <w:t>been</w:t>
      </w:r>
      <w:r>
        <w:rPr>
          <w:spacing w:val="-2"/>
          <w:w w:val="105"/>
        </w:rPr>
        <w:t> </w:t>
      </w:r>
      <w:r>
        <w:rPr>
          <w:w w:val="105"/>
        </w:rPr>
        <w:t>licensed</w:t>
      </w:r>
      <w:r>
        <w:rPr>
          <w:spacing w:val="-2"/>
          <w:w w:val="105"/>
        </w:rPr>
        <w:t> </w:t>
      </w:r>
      <w:r>
        <w:rPr>
          <w:w w:val="105"/>
        </w:rPr>
        <w:t>to</w:t>
      </w:r>
      <w:r>
        <w:rPr>
          <w:spacing w:val="-2"/>
          <w:w w:val="105"/>
        </w:rPr>
        <w:t> </w:t>
      </w:r>
      <w:r>
        <w:rPr>
          <w:w w:val="105"/>
        </w:rPr>
        <w:t>other</w:t>
      </w:r>
      <w:r>
        <w:rPr>
          <w:spacing w:val="-2"/>
          <w:w w:val="105"/>
        </w:rPr>
        <w:t> </w:t>
      </w:r>
      <w:r>
        <w:rPr>
          <w:w w:val="105"/>
        </w:rPr>
        <w:t>manufacturers.</w:t>
      </w:r>
      <w:r>
        <w:rPr>
          <w:spacing w:val="-2"/>
          <w:w w:val="105"/>
        </w:rPr>
        <w:t> </w:t>
      </w:r>
      <w:r>
        <w:rPr>
          <w:w w:val="105"/>
        </w:rPr>
        <w:t>Many</w:t>
      </w:r>
      <w:r>
        <w:rPr>
          <w:spacing w:val="-2"/>
          <w:w w:val="105"/>
        </w:rPr>
        <w:t> </w:t>
      </w:r>
      <w:r>
        <w:rPr>
          <w:w w:val="105"/>
        </w:rPr>
        <w:t>of</w:t>
      </w:r>
      <w:r>
        <w:rPr>
          <w:spacing w:val="-2"/>
          <w:w w:val="105"/>
        </w:rPr>
        <w:t> </w:t>
      </w:r>
      <w:r>
        <w:rPr>
          <w:w w:val="105"/>
        </w:rPr>
        <w:t>our</w:t>
      </w:r>
      <w:r>
        <w:rPr>
          <w:spacing w:val="-2"/>
          <w:w w:val="105"/>
        </w:rPr>
        <w:t> </w:t>
      </w:r>
      <w:r>
        <w:rPr>
          <w:w w:val="105"/>
        </w:rPr>
        <w:t>earlier</w:t>
      </w:r>
      <w:r>
        <w:rPr>
          <w:spacing w:val="-2"/>
          <w:w w:val="105"/>
        </w:rPr>
        <w:t> </w:t>
      </w:r>
      <w:r>
        <w:rPr>
          <w:w w:val="105"/>
        </w:rPr>
        <w:t>patents</w:t>
      </w:r>
      <w:r>
        <w:rPr>
          <w:spacing w:val="-2"/>
          <w:w w:val="105"/>
        </w:rPr>
        <w:t> </w:t>
      </w:r>
      <w:r>
        <w:rPr>
          <w:w w:val="105"/>
        </w:rPr>
        <w:t>have</w:t>
      </w:r>
      <w:r>
        <w:rPr>
          <w:spacing w:val="-2"/>
          <w:w w:val="105"/>
        </w:rPr>
        <w:t> </w:t>
      </w:r>
      <w:r>
        <w:rPr>
          <w:w w:val="105"/>
        </w:rPr>
        <w:t>now</w:t>
      </w:r>
      <w:r>
        <w:rPr>
          <w:spacing w:val="-2"/>
          <w:w w:val="105"/>
        </w:rPr>
        <w:t> </w:t>
      </w:r>
      <w:r>
        <w:rPr>
          <w:w w:val="105"/>
        </w:rPr>
        <w:t>expired,</w:t>
      </w:r>
      <w:r>
        <w:rPr>
          <w:spacing w:val="-2"/>
          <w:w w:val="105"/>
        </w:rPr>
        <w:t> </w:t>
      </w:r>
      <w:r>
        <w:rPr>
          <w:w w:val="105"/>
        </w:rPr>
        <w:t>but</w:t>
      </w:r>
      <w:r>
        <w:rPr>
          <w:spacing w:val="-2"/>
          <w:w w:val="105"/>
        </w:rPr>
        <w:t> </w:t>
      </w:r>
      <w:r>
        <w:rPr>
          <w:w w:val="105"/>
        </w:rPr>
        <w:t>Corning continues</w:t>
      </w:r>
      <w:r>
        <w:rPr>
          <w:spacing w:val="-8"/>
          <w:w w:val="105"/>
        </w:rPr>
        <w:t> </w:t>
      </w:r>
      <w:r>
        <w:rPr>
          <w:w w:val="105"/>
        </w:rPr>
        <w:t>to</w:t>
      </w:r>
      <w:r>
        <w:rPr>
          <w:spacing w:val="-8"/>
          <w:w w:val="105"/>
        </w:rPr>
        <w:t> </w:t>
      </w:r>
      <w:r>
        <w:rPr>
          <w:w w:val="105"/>
        </w:rPr>
        <w:t>seek</w:t>
      </w:r>
      <w:r>
        <w:rPr>
          <w:spacing w:val="-8"/>
          <w:w w:val="105"/>
        </w:rPr>
        <w:t> </w:t>
      </w:r>
      <w:r>
        <w:rPr>
          <w:w w:val="105"/>
        </w:rPr>
        <w:t>and</w:t>
      </w:r>
      <w:r>
        <w:rPr>
          <w:spacing w:val="-8"/>
          <w:w w:val="105"/>
        </w:rPr>
        <w:t> </w:t>
      </w:r>
      <w:r>
        <w:rPr>
          <w:w w:val="105"/>
        </w:rPr>
        <w:t>obtain</w:t>
      </w:r>
      <w:r>
        <w:rPr>
          <w:spacing w:val="-8"/>
          <w:w w:val="105"/>
        </w:rPr>
        <w:t> </w:t>
      </w:r>
      <w:r>
        <w:rPr>
          <w:w w:val="105"/>
        </w:rPr>
        <w:t>patents</w:t>
      </w:r>
      <w:r>
        <w:rPr>
          <w:spacing w:val="-8"/>
          <w:w w:val="105"/>
        </w:rPr>
        <w:t> </w:t>
      </w:r>
      <w:r>
        <w:rPr>
          <w:w w:val="105"/>
        </w:rPr>
        <w:t>protecting</w:t>
      </w:r>
      <w:r>
        <w:rPr>
          <w:spacing w:val="-8"/>
          <w:w w:val="105"/>
        </w:rPr>
        <w:t> </w:t>
      </w:r>
      <w:r>
        <w:rPr>
          <w:w w:val="105"/>
        </w:rPr>
        <w:t>its</w:t>
      </w:r>
      <w:r>
        <w:rPr>
          <w:spacing w:val="-8"/>
          <w:w w:val="105"/>
        </w:rPr>
        <w:t> </w:t>
      </w:r>
      <w:r>
        <w:rPr>
          <w:w w:val="105"/>
        </w:rPr>
        <w:t>innovations.</w:t>
      </w:r>
      <w:r>
        <w:rPr>
          <w:spacing w:val="-8"/>
          <w:w w:val="105"/>
        </w:rPr>
        <w:t> </w:t>
      </w:r>
      <w:r>
        <w:rPr>
          <w:w w:val="105"/>
        </w:rPr>
        <w:t>In</w:t>
      </w:r>
      <w:r>
        <w:rPr>
          <w:spacing w:val="-8"/>
          <w:w w:val="105"/>
        </w:rPr>
        <w:t> </w:t>
      </w:r>
      <w:r>
        <w:rPr>
          <w:w w:val="105"/>
        </w:rPr>
        <w:t>2021,</w:t>
      </w:r>
      <w:r>
        <w:rPr>
          <w:spacing w:val="-8"/>
          <w:w w:val="105"/>
        </w:rPr>
        <w:t> </w:t>
      </w:r>
      <w:r>
        <w:rPr>
          <w:w w:val="105"/>
        </w:rPr>
        <w:t>Corning</w:t>
      </w:r>
      <w:r>
        <w:rPr>
          <w:spacing w:val="-8"/>
          <w:w w:val="105"/>
        </w:rPr>
        <w:t> </w:t>
      </w:r>
      <w:r>
        <w:rPr>
          <w:w w:val="105"/>
        </w:rPr>
        <w:t>was</w:t>
      </w:r>
      <w:r>
        <w:rPr>
          <w:spacing w:val="-8"/>
          <w:w w:val="105"/>
        </w:rPr>
        <w:t> </w:t>
      </w:r>
      <w:r>
        <w:rPr>
          <w:w w:val="105"/>
        </w:rPr>
        <w:t>granted</w:t>
      </w:r>
      <w:r>
        <w:rPr>
          <w:spacing w:val="-8"/>
          <w:w w:val="105"/>
        </w:rPr>
        <w:t> </w:t>
      </w:r>
      <w:r>
        <w:rPr>
          <w:w w:val="105"/>
        </w:rPr>
        <w:t>about</w:t>
      </w:r>
      <w:r>
        <w:rPr>
          <w:spacing w:val="-8"/>
          <w:w w:val="105"/>
        </w:rPr>
        <w:t> </w:t>
      </w:r>
      <w:r>
        <w:rPr>
          <w:w w:val="105"/>
        </w:rPr>
        <w:t>420</w:t>
      </w:r>
      <w:r>
        <w:rPr>
          <w:spacing w:val="-8"/>
          <w:w w:val="105"/>
        </w:rPr>
        <w:t> </w:t>
      </w:r>
      <w:r>
        <w:rPr>
          <w:w w:val="105"/>
        </w:rPr>
        <w:t>patents</w:t>
      </w:r>
      <w:r>
        <w:rPr>
          <w:spacing w:val="-8"/>
          <w:w w:val="105"/>
        </w:rPr>
        <w:t> </w:t>
      </w:r>
      <w:r>
        <w:rPr>
          <w:w w:val="105"/>
        </w:rPr>
        <w:t>in</w:t>
      </w:r>
      <w:r>
        <w:rPr>
          <w:spacing w:val="-8"/>
          <w:w w:val="105"/>
        </w:rPr>
        <w:t> </w:t>
      </w:r>
      <w:r>
        <w:rPr>
          <w:w w:val="105"/>
        </w:rPr>
        <w:t>the</w:t>
      </w:r>
      <w:r>
        <w:rPr>
          <w:spacing w:val="-8"/>
          <w:w w:val="105"/>
        </w:rPr>
        <w:t> </w:t>
      </w:r>
      <w:r>
        <w:rPr>
          <w:w w:val="105"/>
        </w:rPr>
        <w:t>U.S.</w:t>
      </w:r>
      <w:r>
        <w:rPr>
          <w:spacing w:val="-8"/>
          <w:w w:val="105"/>
        </w:rPr>
        <w:t> </w:t>
      </w:r>
      <w:r>
        <w:rPr>
          <w:w w:val="105"/>
        </w:rPr>
        <w:t>and</w:t>
      </w:r>
      <w:r>
        <w:rPr>
          <w:spacing w:val="-8"/>
          <w:w w:val="105"/>
        </w:rPr>
        <w:t> </w:t>
      </w:r>
      <w:r>
        <w:rPr>
          <w:w w:val="105"/>
        </w:rPr>
        <w:t>over</w:t>
      </w:r>
      <w:r>
        <w:rPr>
          <w:spacing w:val="-8"/>
          <w:w w:val="105"/>
        </w:rPr>
        <w:t> </w:t>
      </w:r>
      <w:r>
        <w:rPr>
          <w:w w:val="105"/>
        </w:rPr>
        <w:t>1,600</w:t>
      </w:r>
      <w:r>
        <w:rPr>
          <w:spacing w:val="-8"/>
          <w:w w:val="105"/>
        </w:rPr>
        <w:t> </w:t>
      </w:r>
      <w:r>
        <w:rPr>
          <w:w w:val="105"/>
        </w:rPr>
        <w:t>patents</w:t>
      </w:r>
      <w:r>
        <w:rPr>
          <w:spacing w:val="-8"/>
          <w:w w:val="105"/>
        </w:rPr>
        <w:t> </w:t>
      </w:r>
      <w:r>
        <w:rPr>
          <w:w w:val="105"/>
        </w:rPr>
        <w:t>in</w:t>
      </w:r>
      <w:r>
        <w:rPr>
          <w:spacing w:val="-8"/>
          <w:w w:val="105"/>
        </w:rPr>
        <w:t> </w:t>
      </w:r>
      <w:r>
        <w:rPr>
          <w:w w:val="105"/>
        </w:rPr>
        <w:t>countries</w:t>
      </w:r>
      <w:r>
        <w:rPr>
          <w:spacing w:val="-8"/>
          <w:w w:val="105"/>
        </w:rPr>
        <w:t> </w:t>
      </w:r>
      <w:r>
        <w:rPr>
          <w:w w:val="105"/>
        </w:rPr>
        <w:t>outside</w:t>
      </w:r>
      <w:r>
        <w:rPr>
          <w:spacing w:val="-8"/>
          <w:w w:val="105"/>
        </w:rPr>
        <w:t> </w:t>
      </w:r>
      <w:r>
        <w:rPr>
          <w:w w:val="105"/>
        </w:rPr>
        <w:t>the </w:t>
      </w:r>
      <w:r>
        <w:rPr>
          <w:spacing w:val="-4"/>
          <w:w w:val="105"/>
        </w:rPr>
        <w:t>U.S.</w:t>
      </w:r>
    </w:p>
    <w:p>
      <w:pPr>
        <w:pStyle w:val="BodyText"/>
        <w:spacing w:before="18"/>
      </w:pPr>
    </w:p>
    <w:p>
      <w:pPr>
        <w:pStyle w:val="BodyText"/>
        <w:spacing w:line="266" w:lineRule="auto"/>
        <w:ind w:left="156" w:right="117"/>
      </w:pPr>
      <w:r>
        <w:rPr>
          <w:w w:val="105"/>
        </w:rPr>
        <w:t>Each</w:t>
      </w:r>
      <w:r>
        <w:rPr>
          <w:spacing w:val="-10"/>
          <w:w w:val="105"/>
        </w:rPr>
        <w:t> </w:t>
      </w:r>
      <w:r>
        <w:rPr>
          <w:w w:val="105"/>
        </w:rPr>
        <w:t>business</w:t>
      </w:r>
      <w:r>
        <w:rPr>
          <w:spacing w:val="-10"/>
          <w:w w:val="105"/>
        </w:rPr>
        <w:t> </w:t>
      </w:r>
      <w:r>
        <w:rPr>
          <w:w w:val="105"/>
        </w:rPr>
        <w:t>segment</w:t>
      </w:r>
      <w:r>
        <w:rPr>
          <w:spacing w:val="-10"/>
          <w:w w:val="105"/>
        </w:rPr>
        <w:t> </w:t>
      </w:r>
      <w:r>
        <w:rPr>
          <w:w w:val="105"/>
        </w:rPr>
        <w:t>possesses</w:t>
      </w:r>
      <w:r>
        <w:rPr>
          <w:spacing w:val="-10"/>
          <w:w w:val="105"/>
        </w:rPr>
        <w:t> </w:t>
      </w:r>
      <w:r>
        <w:rPr>
          <w:w w:val="105"/>
        </w:rPr>
        <w:t>a</w:t>
      </w:r>
      <w:r>
        <w:rPr>
          <w:spacing w:val="-10"/>
          <w:w w:val="105"/>
        </w:rPr>
        <w:t> </w:t>
      </w:r>
      <w:r>
        <w:rPr>
          <w:w w:val="105"/>
        </w:rPr>
        <w:t>patent</w:t>
      </w:r>
      <w:r>
        <w:rPr>
          <w:spacing w:val="-10"/>
          <w:w w:val="105"/>
        </w:rPr>
        <w:t> </w:t>
      </w:r>
      <w:r>
        <w:rPr>
          <w:w w:val="105"/>
        </w:rPr>
        <w:t>portfolio</w:t>
      </w:r>
      <w:r>
        <w:rPr>
          <w:spacing w:val="-10"/>
          <w:w w:val="105"/>
        </w:rPr>
        <w:t> </w:t>
      </w:r>
      <w:r>
        <w:rPr>
          <w:w w:val="105"/>
        </w:rPr>
        <w:t>that</w:t>
      </w:r>
      <w:r>
        <w:rPr>
          <w:spacing w:val="-10"/>
          <w:w w:val="105"/>
        </w:rPr>
        <w:t> </w:t>
      </w:r>
      <w:r>
        <w:rPr>
          <w:w w:val="105"/>
        </w:rPr>
        <w:t>provides</w:t>
      </w:r>
      <w:r>
        <w:rPr>
          <w:spacing w:val="-10"/>
          <w:w w:val="105"/>
        </w:rPr>
        <w:t> </w:t>
      </w:r>
      <w:r>
        <w:rPr>
          <w:w w:val="105"/>
        </w:rPr>
        <w:t>certain</w:t>
      </w:r>
      <w:r>
        <w:rPr>
          <w:spacing w:val="-10"/>
          <w:w w:val="105"/>
        </w:rPr>
        <w:t> </w:t>
      </w:r>
      <w:r>
        <w:rPr>
          <w:w w:val="105"/>
        </w:rPr>
        <w:t>competitive</w:t>
      </w:r>
      <w:r>
        <w:rPr>
          <w:spacing w:val="-10"/>
          <w:w w:val="105"/>
        </w:rPr>
        <w:t> </w:t>
      </w:r>
      <w:r>
        <w:rPr>
          <w:w w:val="105"/>
        </w:rPr>
        <w:t>advantages</w:t>
      </w:r>
      <w:r>
        <w:rPr>
          <w:spacing w:val="-10"/>
          <w:w w:val="105"/>
        </w:rPr>
        <w:t> </w:t>
      </w:r>
      <w:r>
        <w:rPr>
          <w:w w:val="105"/>
        </w:rPr>
        <w:t>in</w:t>
      </w:r>
      <w:r>
        <w:rPr>
          <w:spacing w:val="-10"/>
          <w:w w:val="105"/>
        </w:rPr>
        <w:t> </w:t>
      </w:r>
      <w:r>
        <w:rPr>
          <w:w w:val="105"/>
        </w:rPr>
        <w:t>protecting</w:t>
      </w:r>
      <w:r>
        <w:rPr>
          <w:spacing w:val="-10"/>
          <w:w w:val="105"/>
        </w:rPr>
        <w:t> </w:t>
      </w:r>
      <w:r>
        <w:rPr>
          <w:w w:val="105"/>
        </w:rPr>
        <w:t>Corning’s</w:t>
      </w:r>
      <w:r>
        <w:rPr>
          <w:spacing w:val="-10"/>
          <w:w w:val="105"/>
        </w:rPr>
        <w:t> </w:t>
      </w:r>
      <w:r>
        <w:rPr>
          <w:w w:val="105"/>
        </w:rPr>
        <w:t>innovations.</w:t>
      </w:r>
      <w:r>
        <w:rPr>
          <w:spacing w:val="23"/>
          <w:w w:val="105"/>
        </w:rPr>
        <w:t> </w:t>
      </w:r>
      <w:r>
        <w:rPr>
          <w:w w:val="105"/>
        </w:rPr>
        <w:t>Corning</w:t>
      </w:r>
      <w:r>
        <w:rPr>
          <w:spacing w:val="-10"/>
          <w:w w:val="105"/>
        </w:rPr>
        <w:t> </w:t>
      </w:r>
      <w:r>
        <w:rPr>
          <w:w w:val="105"/>
        </w:rPr>
        <w:t>has</w:t>
      </w:r>
      <w:r>
        <w:rPr>
          <w:spacing w:val="-10"/>
          <w:w w:val="105"/>
        </w:rPr>
        <w:t> </w:t>
      </w:r>
      <w:r>
        <w:rPr>
          <w:w w:val="105"/>
        </w:rPr>
        <w:t>historically</w:t>
      </w:r>
      <w:r>
        <w:rPr>
          <w:spacing w:val="-10"/>
          <w:w w:val="105"/>
        </w:rPr>
        <w:t> </w:t>
      </w:r>
      <w:r>
        <w:rPr>
          <w:w w:val="105"/>
        </w:rPr>
        <w:t>enforced,</w:t>
      </w:r>
      <w:r>
        <w:rPr>
          <w:spacing w:val="-10"/>
          <w:w w:val="105"/>
        </w:rPr>
        <w:t> </w:t>
      </w:r>
      <w:r>
        <w:rPr>
          <w:w w:val="105"/>
        </w:rPr>
        <w:t>and will</w:t>
      </w:r>
      <w:r>
        <w:rPr>
          <w:spacing w:val="-2"/>
          <w:w w:val="105"/>
        </w:rPr>
        <w:t> </w:t>
      </w:r>
      <w:r>
        <w:rPr>
          <w:w w:val="105"/>
        </w:rPr>
        <w:t>continue</w:t>
      </w:r>
      <w:r>
        <w:rPr>
          <w:spacing w:val="-2"/>
          <w:w w:val="105"/>
        </w:rPr>
        <w:t> </w:t>
      </w:r>
      <w:r>
        <w:rPr>
          <w:w w:val="105"/>
        </w:rPr>
        <w:t>to</w:t>
      </w:r>
      <w:r>
        <w:rPr>
          <w:spacing w:val="-2"/>
          <w:w w:val="105"/>
        </w:rPr>
        <w:t> </w:t>
      </w:r>
      <w:r>
        <w:rPr>
          <w:w w:val="105"/>
        </w:rPr>
        <w:t>enforce, its</w:t>
      </w:r>
      <w:r>
        <w:rPr>
          <w:spacing w:val="-2"/>
          <w:w w:val="105"/>
        </w:rPr>
        <w:t> </w:t>
      </w:r>
      <w:r>
        <w:rPr>
          <w:w w:val="105"/>
        </w:rPr>
        <w:t>intellectual</w:t>
      </w:r>
      <w:r>
        <w:rPr>
          <w:spacing w:val="-2"/>
          <w:w w:val="105"/>
        </w:rPr>
        <w:t> </w:t>
      </w:r>
      <w:r>
        <w:rPr>
          <w:w w:val="105"/>
        </w:rPr>
        <w:t>property</w:t>
      </w:r>
      <w:r>
        <w:rPr>
          <w:spacing w:val="-2"/>
          <w:w w:val="105"/>
        </w:rPr>
        <w:t> </w:t>
      </w:r>
      <w:r>
        <w:rPr>
          <w:w w:val="105"/>
        </w:rPr>
        <w:t>rights.</w:t>
      </w:r>
      <w:r>
        <w:rPr>
          <w:spacing w:val="38"/>
          <w:w w:val="105"/>
        </w:rPr>
        <w:t> </w:t>
      </w:r>
      <w:r>
        <w:rPr>
          <w:w w:val="105"/>
        </w:rPr>
        <w:t>At</w:t>
      </w:r>
      <w:r>
        <w:rPr>
          <w:spacing w:val="-2"/>
          <w:w w:val="105"/>
        </w:rPr>
        <w:t> </w:t>
      </w:r>
      <w:r>
        <w:rPr>
          <w:w w:val="105"/>
        </w:rPr>
        <w:t>the</w:t>
      </w:r>
      <w:r>
        <w:rPr>
          <w:spacing w:val="-2"/>
          <w:w w:val="105"/>
        </w:rPr>
        <w:t> </w:t>
      </w:r>
      <w:r>
        <w:rPr>
          <w:w w:val="105"/>
        </w:rPr>
        <w:t>end</w:t>
      </w:r>
      <w:r>
        <w:rPr>
          <w:spacing w:val="-2"/>
          <w:w w:val="105"/>
        </w:rPr>
        <w:t> </w:t>
      </w:r>
      <w:r>
        <w:rPr>
          <w:w w:val="105"/>
        </w:rPr>
        <w:t>of</w:t>
      </w:r>
      <w:r>
        <w:rPr>
          <w:spacing w:val="-2"/>
          <w:w w:val="105"/>
        </w:rPr>
        <w:t> </w:t>
      </w:r>
      <w:r>
        <w:rPr>
          <w:w w:val="105"/>
        </w:rPr>
        <w:t>2021,</w:t>
      </w:r>
      <w:r>
        <w:rPr>
          <w:spacing w:val="-2"/>
          <w:w w:val="105"/>
        </w:rPr>
        <w:t> </w:t>
      </w:r>
      <w:r>
        <w:rPr>
          <w:w w:val="105"/>
        </w:rPr>
        <w:t>Corning</w:t>
      </w:r>
      <w:r>
        <w:rPr>
          <w:spacing w:val="-2"/>
          <w:w w:val="105"/>
        </w:rPr>
        <w:t> </w:t>
      </w:r>
      <w:r>
        <w:rPr>
          <w:w w:val="105"/>
        </w:rPr>
        <w:t>and</w:t>
      </w:r>
      <w:r>
        <w:rPr>
          <w:spacing w:val="-2"/>
          <w:w w:val="105"/>
        </w:rPr>
        <w:t> </w:t>
      </w:r>
      <w:r>
        <w:rPr>
          <w:w w:val="105"/>
        </w:rPr>
        <w:t>its</w:t>
      </w:r>
      <w:r>
        <w:rPr>
          <w:spacing w:val="-2"/>
          <w:w w:val="105"/>
        </w:rPr>
        <w:t> </w:t>
      </w:r>
      <w:r>
        <w:rPr>
          <w:w w:val="105"/>
        </w:rPr>
        <w:t>wholly</w:t>
      </w:r>
      <w:r>
        <w:rPr>
          <w:spacing w:val="-2"/>
          <w:w w:val="105"/>
        </w:rPr>
        <w:t> </w:t>
      </w:r>
      <w:r>
        <w:rPr>
          <w:w w:val="105"/>
        </w:rPr>
        <w:t>owned</w:t>
      </w:r>
      <w:r>
        <w:rPr>
          <w:spacing w:val="-2"/>
          <w:w w:val="105"/>
        </w:rPr>
        <w:t> </w:t>
      </w:r>
      <w:r>
        <w:rPr>
          <w:w w:val="105"/>
        </w:rPr>
        <w:t>subsidiaries</w:t>
      </w:r>
      <w:r>
        <w:rPr>
          <w:spacing w:val="-2"/>
          <w:w w:val="105"/>
        </w:rPr>
        <w:t> </w:t>
      </w:r>
      <w:r>
        <w:rPr>
          <w:w w:val="105"/>
        </w:rPr>
        <w:t>owned</w:t>
      </w:r>
      <w:r>
        <w:rPr>
          <w:spacing w:val="-2"/>
          <w:w w:val="105"/>
        </w:rPr>
        <w:t> </w:t>
      </w:r>
      <w:r>
        <w:rPr>
          <w:w w:val="105"/>
        </w:rPr>
        <w:t>about</w:t>
      </w:r>
      <w:r>
        <w:rPr>
          <w:spacing w:val="-2"/>
          <w:w w:val="105"/>
        </w:rPr>
        <w:t> </w:t>
      </w:r>
      <w:r>
        <w:rPr>
          <w:w w:val="105"/>
        </w:rPr>
        <w:t>12,150</w:t>
      </w:r>
      <w:r>
        <w:rPr>
          <w:spacing w:val="-2"/>
          <w:w w:val="105"/>
        </w:rPr>
        <w:t> </w:t>
      </w:r>
      <w:r>
        <w:rPr>
          <w:w w:val="105"/>
        </w:rPr>
        <w:t>unexpired</w:t>
      </w:r>
      <w:r>
        <w:rPr>
          <w:spacing w:val="-2"/>
          <w:w w:val="105"/>
        </w:rPr>
        <w:t> </w:t>
      </w:r>
      <w:r>
        <w:rPr>
          <w:w w:val="105"/>
        </w:rPr>
        <w:t>patents</w:t>
      </w:r>
      <w:r>
        <w:rPr>
          <w:spacing w:val="-2"/>
          <w:w w:val="105"/>
        </w:rPr>
        <w:t> </w:t>
      </w:r>
      <w:r>
        <w:rPr>
          <w:w w:val="105"/>
        </w:rPr>
        <w:t>in</w:t>
      </w:r>
      <w:r>
        <w:rPr>
          <w:spacing w:val="-2"/>
          <w:w w:val="105"/>
        </w:rPr>
        <w:t> </w:t>
      </w:r>
      <w:r>
        <w:rPr>
          <w:w w:val="105"/>
        </w:rPr>
        <w:t>various countries</w:t>
      </w:r>
      <w:r>
        <w:rPr>
          <w:spacing w:val="-7"/>
          <w:w w:val="105"/>
        </w:rPr>
        <w:t> </w:t>
      </w:r>
      <w:r>
        <w:rPr>
          <w:w w:val="105"/>
        </w:rPr>
        <w:t>of</w:t>
      </w:r>
      <w:r>
        <w:rPr>
          <w:spacing w:val="-7"/>
          <w:w w:val="105"/>
        </w:rPr>
        <w:t> </w:t>
      </w:r>
      <w:r>
        <w:rPr>
          <w:w w:val="105"/>
        </w:rPr>
        <w:t>which</w:t>
      </w:r>
      <w:r>
        <w:rPr>
          <w:spacing w:val="-7"/>
          <w:w w:val="105"/>
        </w:rPr>
        <w:t> </w:t>
      </w:r>
      <w:r>
        <w:rPr>
          <w:w w:val="105"/>
        </w:rPr>
        <w:t>about</w:t>
      </w:r>
      <w:r>
        <w:rPr>
          <w:spacing w:val="-7"/>
          <w:w w:val="105"/>
        </w:rPr>
        <w:t> </w:t>
      </w:r>
      <w:r>
        <w:rPr>
          <w:w w:val="105"/>
        </w:rPr>
        <w:t>4,350</w:t>
      </w:r>
      <w:r>
        <w:rPr>
          <w:spacing w:val="-7"/>
          <w:w w:val="105"/>
        </w:rPr>
        <w:t> </w:t>
      </w:r>
      <w:r>
        <w:rPr>
          <w:w w:val="105"/>
        </w:rPr>
        <w:t>were</w:t>
      </w:r>
      <w:r>
        <w:rPr>
          <w:spacing w:val="-7"/>
          <w:w w:val="105"/>
        </w:rPr>
        <w:t> </w:t>
      </w:r>
      <w:r>
        <w:rPr>
          <w:w w:val="105"/>
        </w:rPr>
        <w:t>U.S.</w:t>
      </w:r>
      <w:r>
        <w:rPr>
          <w:spacing w:val="-7"/>
          <w:w w:val="105"/>
        </w:rPr>
        <w:t> </w:t>
      </w:r>
      <w:r>
        <w:rPr>
          <w:w w:val="105"/>
        </w:rPr>
        <w:t>patents.</w:t>
      </w:r>
      <w:r>
        <w:rPr>
          <w:spacing w:val="28"/>
          <w:w w:val="105"/>
        </w:rPr>
        <w:t> </w:t>
      </w:r>
      <w:r>
        <w:rPr>
          <w:w w:val="105"/>
        </w:rPr>
        <w:t>Between</w:t>
      </w:r>
      <w:r>
        <w:rPr>
          <w:spacing w:val="-7"/>
          <w:w w:val="105"/>
        </w:rPr>
        <w:t> </w:t>
      </w:r>
      <w:r>
        <w:rPr>
          <w:w w:val="105"/>
        </w:rPr>
        <w:t>2022</w:t>
      </w:r>
      <w:r>
        <w:rPr>
          <w:spacing w:val="-7"/>
          <w:w w:val="105"/>
        </w:rPr>
        <w:t> </w:t>
      </w:r>
      <w:r>
        <w:rPr>
          <w:w w:val="105"/>
        </w:rPr>
        <w:t>and</w:t>
      </w:r>
      <w:r>
        <w:rPr>
          <w:spacing w:val="-7"/>
          <w:w w:val="105"/>
        </w:rPr>
        <w:t> </w:t>
      </w:r>
      <w:r>
        <w:rPr>
          <w:w w:val="105"/>
        </w:rPr>
        <w:t>2024,</w:t>
      </w:r>
      <w:r>
        <w:rPr>
          <w:spacing w:val="-7"/>
          <w:w w:val="105"/>
        </w:rPr>
        <w:t> </w:t>
      </w:r>
      <w:r>
        <w:rPr>
          <w:w w:val="105"/>
        </w:rPr>
        <w:t>approximately</w:t>
      </w:r>
      <w:r>
        <w:rPr>
          <w:spacing w:val="-7"/>
          <w:w w:val="105"/>
        </w:rPr>
        <w:t> </w:t>
      </w:r>
      <w:r>
        <w:rPr>
          <w:w w:val="105"/>
        </w:rPr>
        <w:t>625</w:t>
      </w:r>
      <w:r>
        <w:rPr>
          <w:spacing w:val="-7"/>
          <w:w w:val="105"/>
        </w:rPr>
        <w:t> </w:t>
      </w:r>
      <w:r>
        <w:rPr>
          <w:w w:val="105"/>
        </w:rPr>
        <w:t>(5%)</w:t>
      </w:r>
      <w:r>
        <w:rPr>
          <w:spacing w:val="-7"/>
          <w:w w:val="105"/>
        </w:rPr>
        <w:t> </w:t>
      </w:r>
      <w:r>
        <w:rPr>
          <w:w w:val="105"/>
        </w:rPr>
        <w:t>of</w:t>
      </w:r>
      <w:r>
        <w:rPr>
          <w:spacing w:val="-7"/>
          <w:w w:val="105"/>
        </w:rPr>
        <w:t> </w:t>
      </w:r>
      <w:r>
        <w:rPr>
          <w:w w:val="105"/>
        </w:rPr>
        <w:t>these</w:t>
      </w:r>
      <w:r>
        <w:rPr>
          <w:spacing w:val="-7"/>
          <w:w w:val="105"/>
        </w:rPr>
        <w:t> </w:t>
      </w:r>
      <w:r>
        <w:rPr>
          <w:w w:val="105"/>
        </w:rPr>
        <w:t>worldwide</w:t>
      </w:r>
      <w:r>
        <w:rPr>
          <w:spacing w:val="-7"/>
          <w:w w:val="105"/>
        </w:rPr>
        <w:t> </w:t>
      </w:r>
      <w:r>
        <w:rPr>
          <w:w w:val="105"/>
        </w:rPr>
        <w:t>patents</w:t>
      </w:r>
      <w:r>
        <w:rPr>
          <w:spacing w:val="-7"/>
          <w:w w:val="105"/>
        </w:rPr>
        <w:t> </w:t>
      </w:r>
      <w:r>
        <w:rPr>
          <w:w w:val="105"/>
        </w:rPr>
        <w:t>will</w:t>
      </w:r>
      <w:r>
        <w:rPr>
          <w:spacing w:val="-7"/>
          <w:w w:val="105"/>
        </w:rPr>
        <w:t> </w:t>
      </w:r>
      <w:r>
        <w:rPr>
          <w:w w:val="105"/>
        </w:rPr>
        <w:t>expire,</w:t>
      </w:r>
      <w:r>
        <w:rPr>
          <w:spacing w:val="-7"/>
          <w:w w:val="105"/>
        </w:rPr>
        <w:t> </w:t>
      </w:r>
      <w:r>
        <w:rPr>
          <w:w w:val="105"/>
        </w:rPr>
        <w:t>while</w:t>
      </w:r>
      <w:r>
        <w:rPr>
          <w:spacing w:val="-7"/>
          <w:w w:val="105"/>
        </w:rPr>
        <w:t> </w:t>
      </w:r>
      <w:r>
        <w:rPr>
          <w:w w:val="105"/>
        </w:rPr>
        <w:t>at</w:t>
      </w:r>
      <w:r>
        <w:rPr>
          <w:spacing w:val="-7"/>
          <w:w w:val="105"/>
        </w:rPr>
        <w:t> </w:t>
      </w:r>
      <w:r>
        <w:rPr>
          <w:w w:val="105"/>
        </w:rPr>
        <w:t>the</w:t>
      </w:r>
      <w:r>
        <w:rPr>
          <w:spacing w:val="-7"/>
          <w:w w:val="105"/>
        </w:rPr>
        <w:t> </w:t>
      </w:r>
      <w:r>
        <w:rPr>
          <w:w w:val="105"/>
        </w:rPr>
        <w:t>same</w:t>
      </w:r>
      <w:r>
        <w:rPr>
          <w:spacing w:val="-7"/>
          <w:w w:val="105"/>
        </w:rPr>
        <w:t> </w:t>
      </w:r>
      <w:r>
        <w:rPr>
          <w:w w:val="105"/>
        </w:rPr>
        <w:t>time</w:t>
      </w:r>
      <w:r>
        <w:rPr>
          <w:spacing w:val="-7"/>
          <w:w w:val="105"/>
        </w:rPr>
        <w:t> </w:t>
      </w:r>
      <w:r>
        <w:rPr>
          <w:w w:val="105"/>
        </w:rPr>
        <w:t>Corning intends</w:t>
      </w:r>
      <w:r>
        <w:rPr>
          <w:spacing w:val="-2"/>
          <w:w w:val="105"/>
        </w:rPr>
        <w:t> </w:t>
      </w:r>
      <w:r>
        <w:rPr>
          <w:w w:val="105"/>
        </w:rPr>
        <w:t>to</w:t>
      </w:r>
      <w:r>
        <w:rPr>
          <w:spacing w:val="-2"/>
          <w:w w:val="105"/>
        </w:rPr>
        <w:t> </w:t>
      </w:r>
      <w:r>
        <w:rPr>
          <w:w w:val="105"/>
        </w:rPr>
        <w:t>seek</w:t>
      </w:r>
      <w:r>
        <w:rPr>
          <w:spacing w:val="-2"/>
          <w:w w:val="105"/>
        </w:rPr>
        <w:t> </w:t>
      </w:r>
      <w:r>
        <w:rPr>
          <w:w w:val="105"/>
        </w:rPr>
        <w:t>patents</w:t>
      </w:r>
      <w:r>
        <w:rPr>
          <w:spacing w:val="-2"/>
          <w:w w:val="105"/>
        </w:rPr>
        <w:t> </w:t>
      </w:r>
      <w:r>
        <w:rPr>
          <w:w w:val="105"/>
        </w:rPr>
        <w:t>protecting</w:t>
      </w:r>
      <w:r>
        <w:rPr>
          <w:spacing w:val="-2"/>
          <w:w w:val="105"/>
        </w:rPr>
        <w:t> </w:t>
      </w:r>
      <w:r>
        <w:rPr>
          <w:w w:val="105"/>
        </w:rPr>
        <w:t>its</w:t>
      </w:r>
      <w:r>
        <w:rPr>
          <w:spacing w:val="-2"/>
          <w:w w:val="105"/>
        </w:rPr>
        <w:t> </w:t>
      </w:r>
      <w:r>
        <w:rPr>
          <w:w w:val="105"/>
        </w:rPr>
        <w:t>newer</w:t>
      </w:r>
      <w:r>
        <w:rPr>
          <w:spacing w:val="-2"/>
          <w:w w:val="105"/>
        </w:rPr>
        <w:t> </w:t>
      </w:r>
      <w:r>
        <w:rPr>
          <w:w w:val="105"/>
        </w:rPr>
        <w:t>innovations.</w:t>
      </w:r>
      <w:r>
        <w:rPr>
          <w:spacing w:val="38"/>
          <w:w w:val="105"/>
        </w:rPr>
        <w:t> </w:t>
      </w:r>
      <w:r>
        <w:rPr>
          <w:w w:val="105"/>
        </w:rPr>
        <w:t>Worldwide,</w:t>
      </w:r>
      <w:r>
        <w:rPr>
          <w:spacing w:val="-2"/>
          <w:w w:val="105"/>
        </w:rPr>
        <w:t> </w:t>
      </w:r>
      <w:r>
        <w:rPr>
          <w:w w:val="105"/>
        </w:rPr>
        <w:t>Corning</w:t>
      </w:r>
      <w:r>
        <w:rPr>
          <w:spacing w:val="-2"/>
          <w:w w:val="105"/>
        </w:rPr>
        <w:t> </w:t>
      </w:r>
      <w:r>
        <w:rPr>
          <w:w w:val="105"/>
        </w:rPr>
        <w:t>has</w:t>
      </w:r>
      <w:r>
        <w:rPr>
          <w:spacing w:val="-2"/>
          <w:w w:val="105"/>
        </w:rPr>
        <w:t> </w:t>
      </w:r>
      <w:r>
        <w:rPr>
          <w:w w:val="105"/>
        </w:rPr>
        <w:t>about</w:t>
      </w:r>
      <w:r>
        <w:rPr>
          <w:spacing w:val="-2"/>
          <w:w w:val="105"/>
        </w:rPr>
        <w:t> </w:t>
      </w:r>
      <w:r>
        <w:rPr>
          <w:w w:val="105"/>
        </w:rPr>
        <w:t>9,050</w:t>
      </w:r>
      <w:r>
        <w:rPr>
          <w:spacing w:val="-2"/>
          <w:w w:val="105"/>
        </w:rPr>
        <w:t> </w:t>
      </w:r>
      <w:r>
        <w:rPr>
          <w:w w:val="105"/>
        </w:rPr>
        <w:t>patent</w:t>
      </w:r>
      <w:r>
        <w:rPr>
          <w:spacing w:val="-2"/>
          <w:w w:val="105"/>
        </w:rPr>
        <w:t> </w:t>
      </w:r>
      <w:r>
        <w:rPr>
          <w:w w:val="105"/>
        </w:rPr>
        <w:t>applications</w:t>
      </w:r>
      <w:r>
        <w:rPr>
          <w:spacing w:val="-2"/>
          <w:w w:val="105"/>
        </w:rPr>
        <w:t> </w:t>
      </w:r>
      <w:r>
        <w:rPr>
          <w:w w:val="105"/>
        </w:rPr>
        <w:t>in</w:t>
      </w:r>
      <w:r>
        <w:rPr>
          <w:spacing w:val="-2"/>
          <w:w w:val="105"/>
        </w:rPr>
        <w:t> </w:t>
      </w:r>
      <w:r>
        <w:rPr>
          <w:w w:val="105"/>
        </w:rPr>
        <w:t>process,</w:t>
      </w:r>
      <w:r>
        <w:rPr>
          <w:spacing w:val="-2"/>
          <w:w w:val="105"/>
        </w:rPr>
        <w:t> </w:t>
      </w:r>
      <w:r>
        <w:rPr>
          <w:w w:val="105"/>
        </w:rPr>
        <w:t>with</w:t>
      </w:r>
      <w:r>
        <w:rPr>
          <w:spacing w:val="-2"/>
          <w:w w:val="105"/>
        </w:rPr>
        <w:t> </w:t>
      </w:r>
      <w:r>
        <w:rPr>
          <w:w w:val="105"/>
        </w:rPr>
        <w:t>about</w:t>
      </w:r>
      <w:r>
        <w:rPr>
          <w:spacing w:val="-2"/>
          <w:w w:val="105"/>
        </w:rPr>
        <w:t> </w:t>
      </w:r>
      <w:r>
        <w:rPr>
          <w:w w:val="105"/>
        </w:rPr>
        <w:t>2,150</w:t>
      </w:r>
      <w:r>
        <w:rPr>
          <w:spacing w:val="-2"/>
          <w:w w:val="105"/>
        </w:rPr>
        <w:t> </w:t>
      </w:r>
      <w:r>
        <w:rPr>
          <w:w w:val="105"/>
        </w:rPr>
        <w:t>in</w:t>
      </w:r>
      <w:r>
        <w:rPr>
          <w:spacing w:val="-2"/>
          <w:w w:val="105"/>
        </w:rPr>
        <w:t> </w:t>
      </w:r>
      <w:r>
        <w:rPr>
          <w:w w:val="105"/>
        </w:rPr>
        <w:t>process</w:t>
      </w:r>
      <w:r>
        <w:rPr>
          <w:spacing w:val="-2"/>
          <w:w w:val="105"/>
        </w:rPr>
        <w:t> </w:t>
      </w:r>
      <w:r>
        <w:rPr>
          <w:w w:val="105"/>
        </w:rPr>
        <w:t>in</w:t>
      </w:r>
      <w:r>
        <w:rPr>
          <w:spacing w:val="-2"/>
          <w:w w:val="105"/>
        </w:rPr>
        <w:t> </w:t>
      </w:r>
      <w:r>
        <w:rPr>
          <w:w w:val="105"/>
        </w:rPr>
        <w:t>the</w:t>
      </w:r>
      <w:r>
        <w:rPr>
          <w:spacing w:val="-2"/>
          <w:w w:val="105"/>
        </w:rPr>
        <w:t> </w:t>
      </w:r>
      <w:r>
        <w:rPr>
          <w:w w:val="105"/>
        </w:rPr>
        <w:t>U.S.</w:t>
      </w:r>
      <w:r>
        <w:rPr>
          <w:w w:val="105"/>
        </w:rPr>
        <w:t> Corning</w:t>
      </w:r>
      <w:r>
        <w:rPr>
          <w:spacing w:val="-5"/>
          <w:w w:val="105"/>
        </w:rPr>
        <w:t> </w:t>
      </w:r>
      <w:r>
        <w:rPr>
          <w:w w:val="105"/>
        </w:rPr>
        <w:t>believes</w:t>
      </w:r>
      <w:r>
        <w:rPr>
          <w:spacing w:val="-5"/>
          <w:w w:val="105"/>
        </w:rPr>
        <w:t> </w:t>
      </w:r>
      <w:r>
        <w:rPr>
          <w:w w:val="105"/>
        </w:rPr>
        <w:t>that</w:t>
      </w:r>
      <w:r>
        <w:rPr>
          <w:spacing w:val="-5"/>
          <w:w w:val="105"/>
        </w:rPr>
        <w:t> </w:t>
      </w:r>
      <w:r>
        <w:rPr>
          <w:w w:val="105"/>
        </w:rPr>
        <w:t>its</w:t>
      </w:r>
      <w:r>
        <w:rPr>
          <w:spacing w:val="-5"/>
          <w:w w:val="105"/>
        </w:rPr>
        <w:t> </w:t>
      </w:r>
      <w:r>
        <w:rPr>
          <w:w w:val="105"/>
        </w:rPr>
        <w:t>patent</w:t>
      </w:r>
      <w:r>
        <w:rPr>
          <w:spacing w:val="-5"/>
          <w:w w:val="105"/>
        </w:rPr>
        <w:t> </w:t>
      </w:r>
      <w:r>
        <w:rPr>
          <w:w w:val="105"/>
        </w:rPr>
        <w:t>portfolio</w:t>
      </w:r>
      <w:r>
        <w:rPr>
          <w:spacing w:val="-5"/>
          <w:w w:val="105"/>
        </w:rPr>
        <w:t> </w:t>
      </w:r>
      <w:r>
        <w:rPr>
          <w:w w:val="105"/>
        </w:rPr>
        <w:t>will</w:t>
      </w:r>
      <w:r>
        <w:rPr>
          <w:spacing w:val="-5"/>
          <w:w w:val="105"/>
        </w:rPr>
        <w:t> </w:t>
      </w:r>
      <w:r>
        <w:rPr>
          <w:w w:val="105"/>
        </w:rPr>
        <w:t>continue</w:t>
      </w:r>
      <w:r>
        <w:rPr>
          <w:spacing w:val="-5"/>
          <w:w w:val="105"/>
        </w:rPr>
        <w:t> </w:t>
      </w:r>
      <w:r>
        <w:rPr>
          <w:w w:val="105"/>
        </w:rPr>
        <w:t>to</w:t>
      </w:r>
      <w:r>
        <w:rPr>
          <w:spacing w:val="-5"/>
          <w:w w:val="105"/>
        </w:rPr>
        <w:t> </w:t>
      </w:r>
      <w:r>
        <w:rPr>
          <w:w w:val="105"/>
        </w:rPr>
        <w:t>provide</w:t>
      </w:r>
      <w:r>
        <w:rPr>
          <w:spacing w:val="-5"/>
          <w:w w:val="105"/>
        </w:rPr>
        <w:t> </w:t>
      </w:r>
      <w:r>
        <w:rPr>
          <w:w w:val="105"/>
        </w:rPr>
        <w:t>a</w:t>
      </w:r>
      <w:r>
        <w:rPr>
          <w:spacing w:val="-5"/>
          <w:w w:val="105"/>
        </w:rPr>
        <w:t> </w:t>
      </w:r>
      <w:r>
        <w:rPr>
          <w:w w:val="105"/>
        </w:rPr>
        <w:t>competitive</w:t>
      </w:r>
      <w:r>
        <w:rPr>
          <w:spacing w:val="-5"/>
          <w:w w:val="105"/>
        </w:rPr>
        <w:t> </w:t>
      </w:r>
      <w:r>
        <w:rPr>
          <w:w w:val="105"/>
        </w:rPr>
        <w:t>advantage</w:t>
      </w:r>
      <w:r>
        <w:rPr>
          <w:spacing w:val="-5"/>
          <w:w w:val="105"/>
        </w:rPr>
        <w:t> </w:t>
      </w:r>
      <w:r>
        <w:rPr>
          <w:w w:val="105"/>
        </w:rPr>
        <w:t>in</w:t>
      </w:r>
      <w:r>
        <w:rPr>
          <w:spacing w:val="-5"/>
          <w:w w:val="105"/>
        </w:rPr>
        <w:t> </w:t>
      </w:r>
      <w:r>
        <w:rPr>
          <w:w w:val="105"/>
        </w:rPr>
        <w:t>protecting</w:t>
      </w:r>
      <w:r>
        <w:rPr>
          <w:spacing w:val="-3"/>
          <w:w w:val="105"/>
        </w:rPr>
        <w:t> </w:t>
      </w:r>
      <w:r>
        <w:rPr>
          <w:w w:val="105"/>
        </w:rPr>
        <w:t>the</w:t>
      </w:r>
      <w:r>
        <w:rPr>
          <w:spacing w:val="-5"/>
          <w:w w:val="105"/>
        </w:rPr>
        <w:t> </w:t>
      </w:r>
      <w:r>
        <w:rPr>
          <w:w w:val="105"/>
        </w:rPr>
        <w:t>Company’s</w:t>
      </w:r>
      <w:r>
        <w:rPr>
          <w:spacing w:val="-5"/>
          <w:w w:val="105"/>
        </w:rPr>
        <w:t> </w:t>
      </w:r>
      <w:r>
        <w:rPr>
          <w:w w:val="105"/>
        </w:rPr>
        <w:t>innovation,</w:t>
      </w:r>
      <w:r>
        <w:rPr>
          <w:spacing w:val="-5"/>
          <w:w w:val="105"/>
        </w:rPr>
        <w:t> </w:t>
      </w:r>
      <w:r>
        <w:rPr>
          <w:w w:val="105"/>
        </w:rPr>
        <w:t>although</w:t>
      </w:r>
      <w:r>
        <w:rPr>
          <w:spacing w:val="-5"/>
          <w:w w:val="105"/>
        </w:rPr>
        <w:t> </w:t>
      </w:r>
      <w:r>
        <w:rPr>
          <w:w w:val="105"/>
        </w:rPr>
        <w:t>Corning’s</w:t>
      </w:r>
      <w:r>
        <w:rPr>
          <w:spacing w:val="-3"/>
          <w:w w:val="105"/>
        </w:rPr>
        <w:t> </w:t>
      </w:r>
      <w:r>
        <w:rPr>
          <w:w w:val="105"/>
        </w:rPr>
        <w:t>competitors</w:t>
      </w:r>
      <w:r>
        <w:rPr>
          <w:spacing w:val="-5"/>
          <w:w w:val="105"/>
        </w:rPr>
        <w:t> </w:t>
      </w:r>
      <w:r>
        <w:rPr>
          <w:w w:val="105"/>
        </w:rPr>
        <w:t>in</w:t>
      </w:r>
      <w:r>
        <w:rPr>
          <w:spacing w:val="-5"/>
          <w:w w:val="105"/>
        </w:rPr>
        <w:t> </w:t>
      </w:r>
      <w:r>
        <w:rPr>
          <w:w w:val="105"/>
        </w:rPr>
        <w:t>each of its businesses are actively seeking patent protection as well.</w:t>
      </w:r>
    </w:p>
    <w:p>
      <w:pPr>
        <w:pStyle w:val="BodyText"/>
        <w:spacing w:before="17"/>
      </w:pPr>
    </w:p>
    <w:p>
      <w:pPr>
        <w:pStyle w:val="BodyText"/>
        <w:ind w:left="48"/>
        <w:jc w:val="center"/>
      </w:pPr>
      <w:r>
        <w:rPr>
          <w:spacing w:val="-10"/>
          <w:w w:val="105"/>
        </w:rPr>
        <w:t>7</w:t>
      </w:r>
    </w:p>
    <w:p>
      <w:pPr>
        <w:pStyle w:val="BodyText"/>
        <w:rPr>
          <w:sz w:val="6"/>
        </w:rPr>
      </w:pPr>
      <w:r>
        <w:rPr/>
        <mc:AlternateContent>
          <mc:Choice Requires="wps">
            <w:drawing>
              <wp:anchor distT="0" distB="0" distL="0" distR="0" allowOverlap="1" layoutInCell="1" locked="0" behindDoc="1" simplePos="0" relativeHeight="487592448">
                <wp:simplePos x="0" y="0"/>
                <wp:positionH relativeFrom="page">
                  <wp:posOffset>226488</wp:posOffset>
                </wp:positionH>
                <wp:positionV relativeFrom="paragraph">
                  <wp:posOffset>59051</wp:posOffset>
                </wp:positionV>
                <wp:extent cx="7312659" cy="1651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24032;mso-wrap-distance-left:0;mso-wrap-distance-right:0" id="docshape11"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BodyText"/>
        <w:spacing w:line="266" w:lineRule="auto"/>
        <w:ind w:left="156" w:right="328"/>
      </w:pPr>
      <w:r>
        <w:rPr>
          <w:w w:val="105"/>
        </w:rPr>
        <w:t>While</w:t>
      </w:r>
      <w:r>
        <w:rPr>
          <w:spacing w:val="-8"/>
          <w:w w:val="105"/>
        </w:rPr>
        <w:t> </w:t>
      </w:r>
      <w:r>
        <w:rPr>
          <w:w w:val="105"/>
        </w:rPr>
        <w:t>each</w:t>
      </w:r>
      <w:r>
        <w:rPr>
          <w:spacing w:val="-8"/>
          <w:w w:val="105"/>
        </w:rPr>
        <w:t> </w:t>
      </w:r>
      <w:r>
        <w:rPr>
          <w:w w:val="105"/>
        </w:rPr>
        <w:t>of</w:t>
      </w:r>
      <w:r>
        <w:rPr>
          <w:spacing w:val="-8"/>
          <w:w w:val="105"/>
        </w:rPr>
        <w:t> </w:t>
      </w:r>
      <w:r>
        <w:rPr>
          <w:w w:val="105"/>
        </w:rPr>
        <w:t>our</w:t>
      </w:r>
      <w:r>
        <w:rPr>
          <w:spacing w:val="-8"/>
          <w:w w:val="105"/>
        </w:rPr>
        <w:t> </w:t>
      </w:r>
      <w:r>
        <w:rPr>
          <w:w w:val="105"/>
        </w:rPr>
        <w:t>reportable</w:t>
      </w:r>
      <w:r>
        <w:rPr>
          <w:spacing w:val="-8"/>
          <w:w w:val="105"/>
        </w:rPr>
        <w:t> </w:t>
      </w:r>
      <w:r>
        <w:rPr>
          <w:w w:val="105"/>
        </w:rPr>
        <w:t>segments</w:t>
      </w:r>
      <w:r>
        <w:rPr>
          <w:spacing w:val="-8"/>
          <w:w w:val="105"/>
        </w:rPr>
        <w:t> </w:t>
      </w:r>
      <w:r>
        <w:rPr>
          <w:w w:val="105"/>
        </w:rPr>
        <w:t>has</w:t>
      </w:r>
      <w:r>
        <w:rPr>
          <w:spacing w:val="-8"/>
          <w:w w:val="105"/>
        </w:rPr>
        <w:t> </w:t>
      </w:r>
      <w:r>
        <w:rPr>
          <w:w w:val="105"/>
        </w:rPr>
        <w:t>numerous</w:t>
      </w:r>
      <w:r>
        <w:rPr>
          <w:spacing w:val="-8"/>
          <w:w w:val="105"/>
        </w:rPr>
        <w:t> </w:t>
      </w:r>
      <w:r>
        <w:rPr>
          <w:w w:val="105"/>
        </w:rPr>
        <w:t>patents</w:t>
      </w:r>
      <w:r>
        <w:rPr>
          <w:spacing w:val="-8"/>
          <w:w w:val="105"/>
        </w:rPr>
        <w:t> </w:t>
      </w:r>
      <w:r>
        <w:rPr>
          <w:w w:val="105"/>
        </w:rPr>
        <w:t>in</w:t>
      </w:r>
      <w:r>
        <w:rPr>
          <w:spacing w:val="-8"/>
          <w:w w:val="105"/>
        </w:rPr>
        <w:t> </w:t>
      </w:r>
      <w:r>
        <w:rPr>
          <w:w w:val="105"/>
        </w:rPr>
        <w:t>various</w:t>
      </w:r>
      <w:r>
        <w:rPr>
          <w:spacing w:val="-8"/>
          <w:w w:val="105"/>
        </w:rPr>
        <w:t> </w:t>
      </w:r>
      <w:r>
        <w:rPr>
          <w:w w:val="105"/>
        </w:rPr>
        <w:t>countries,</w:t>
      </w:r>
      <w:r>
        <w:rPr>
          <w:spacing w:val="-8"/>
          <w:w w:val="105"/>
        </w:rPr>
        <w:t> </w:t>
      </w:r>
      <w:r>
        <w:rPr>
          <w:w w:val="105"/>
        </w:rPr>
        <w:t>no</w:t>
      </w:r>
      <w:r>
        <w:rPr>
          <w:spacing w:val="-8"/>
          <w:w w:val="105"/>
        </w:rPr>
        <w:t> </w:t>
      </w:r>
      <w:r>
        <w:rPr>
          <w:w w:val="105"/>
        </w:rPr>
        <w:t>one</w:t>
      </w:r>
      <w:r>
        <w:rPr>
          <w:spacing w:val="-8"/>
          <w:w w:val="105"/>
        </w:rPr>
        <w:t> </w:t>
      </w:r>
      <w:r>
        <w:rPr>
          <w:w w:val="105"/>
        </w:rPr>
        <w:t>patent</w:t>
      </w:r>
      <w:r>
        <w:rPr>
          <w:spacing w:val="-8"/>
          <w:w w:val="105"/>
        </w:rPr>
        <w:t> </w:t>
      </w:r>
      <w:r>
        <w:rPr>
          <w:w w:val="105"/>
        </w:rPr>
        <w:t>is</w:t>
      </w:r>
      <w:r>
        <w:rPr>
          <w:spacing w:val="-8"/>
          <w:w w:val="105"/>
        </w:rPr>
        <w:t> </w:t>
      </w:r>
      <w:r>
        <w:rPr>
          <w:w w:val="105"/>
        </w:rPr>
        <w:t>considered</w:t>
      </w:r>
      <w:r>
        <w:rPr>
          <w:spacing w:val="-8"/>
          <w:w w:val="105"/>
        </w:rPr>
        <w:t> </w:t>
      </w:r>
      <w:r>
        <w:rPr>
          <w:w w:val="105"/>
        </w:rPr>
        <w:t>material</w:t>
      </w:r>
      <w:r>
        <w:rPr>
          <w:spacing w:val="-8"/>
          <w:w w:val="105"/>
        </w:rPr>
        <w:t> </w:t>
      </w:r>
      <w:r>
        <w:rPr>
          <w:w w:val="105"/>
        </w:rPr>
        <w:t>to</w:t>
      </w:r>
      <w:r>
        <w:rPr>
          <w:spacing w:val="-8"/>
          <w:w w:val="105"/>
        </w:rPr>
        <w:t> </w:t>
      </w:r>
      <w:r>
        <w:rPr>
          <w:w w:val="105"/>
        </w:rPr>
        <w:t>any</w:t>
      </w:r>
      <w:r>
        <w:rPr>
          <w:spacing w:val="-8"/>
          <w:w w:val="105"/>
        </w:rPr>
        <w:t> </w:t>
      </w:r>
      <w:r>
        <w:rPr>
          <w:w w:val="105"/>
        </w:rPr>
        <w:t>of</w:t>
      </w:r>
      <w:r>
        <w:rPr>
          <w:spacing w:val="-8"/>
          <w:w w:val="105"/>
        </w:rPr>
        <w:t> </w:t>
      </w:r>
      <w:r>
        <w:rPr>
          <w:w w:val="105"/>
        </w:rPr>
        <w:t>these</w:t>
      </w:r>
      <w:r>
        <w:rPr>
          <w:spacing w:val="-8"/>
          <w:w w:val="105"/>
        </w:rPr>
        <w:t> </w:t>
      </w:r>
      <w:r>
        <w:rPr>
          <w:w w:val="105"/>
        </w:rPr>
        <w:t>segments.</w:t>
      </w:r>
      <w:r>
        <w:rPr>
          <w:spacing w:val="-8"/>
          <w:w w:val="105"/>
        </w:rPr>
        <w:t> </w:t>
      </w:r>
      <w:r>
        <w:rPr>
          <w:w w:val="105"/>
        </w:rPr>
        <w:t>Important</w:t>
      </w:r>
      <w:r>
        <w:rPr>
          <w:spacing w:val="-8"/>
          <w:w w:val="105"/>
        </w:rPr>
        <w:t> </w:t>
      </w:r>
      <w:r>
        <w:rPr>
          <w:w w:val="105"/>
        </w:rPr>
        <w:t>U.S.-issued patents in our reportable segments include the following:</w:t>
      </w:r>
    </w:p>
    <w:p>
      <w:pPr>
        <w:pStyle w:val="BodyText"/>
        <w:spacing w:before="19"/>
      </w:pPr>
    </w:p>
    <w:p>
      <w:pPr>
        <w:pStyle w:val="ListParagraph"/>
        <w:numPr>
          <w:ilvl w:val="0"/>
          <w:numId w:val="3"/>
        </w:numPr>
        <w:tabs>
          <w:tab w:pos="462" w:val="left" w:leader="none"/>
        </w:tabs>
        <w:spacing w:line="240" w:lineRule="auto" w:before="0" w:after="0"/>
        <w:ind w:left="462" w:right="0" w:hanging="306"/>
        <w:jc w:val="left"/>
        <w:rPr>
          <w:sz w:val="16"/>
        </w:rPr>
      </w:pPr>
      <w:r>
        <w:rPr>
          <w:w w:val="105"/>
          <w:sz w:val="16"/>
        </w:rPr>
        <w:t>Display</w:t>
      </w:r>
      <w:r>
        <w:rPr>
          <w:spacing w:val="-11"/>
          <w:w w:val="105"/>
          <w:sz w:val="16"/>
        </w:rPr>
        <w:t> </w:t>
      </w:r>
      <w:r>
        <w:rPr>
          <w:w w:val="105"/>
          <w:sz w:val="16"/>
        </w:rPr>
        <w:t>Technologies:</w:t>
      </w:r>
      <w:r>
        <w:rPr>
          <w:spacing w:val="-10"/>
          <w:w w:val="105"/>
          <w:sz w:val="16"/>
        </w:rPr>
        <w:t> </w:t>
      </w:r>
      <w:r>
        <w:rPr>
          <w:w w:val="105"/>
          <w:sz w:val="16"/>
        </w:rPr>
        <w:t>patents</w:t>
      </w:r>
      <w:r>
        <w:rPr>
          <w:spacing w:val="-8"/>
          <w:w w:val="105"/>
          <w:sz w:val="16"/>
        </w:rPr>
        <w:t> </w:t>
      </w:r>
      <w:r>
        <w:rPr>
          <w:w w:val="105"/>
          <w:sz w:val="16"/>
        </w:rPr>
        <w:t>relating</w:t>
      </w:r>
      <w:r>
        <w:rPr>
          <w:spacing w:val="-10"/>
          <w:w w:val="105"/>
          <w:sz w:val="16"/>
        </w:rPr>
        <w:t> </w:t>
      </w:r>
      <w:r>
        <w:rPr>
          <w:w w:val="105"/>
          <w:sz w:val="16"/>
        </w:rPr>
        <w:t>to</w:t>
      </w:r>
      <w:r>
        <w:rPr>
          <w:spacing w:val="-10"/>
          <w:w w:val="105"/>
          <w:sz w:val="16"/>
        </w:rPr>
        <w:t> </w:t>
      </w:r>
      <w:r>
        <w:rPr>
          <w:w w:val="105"/>
          <w:sz w:val="16"/>
        </w:rPr>
        <w:t>glass</w:t>
      </w:r>
      <w:r>
        <w:rPr>
          <w:spacing w:val="-11"/>
          <w:w w:val="105"/>
          <w:sz w:val="16"/>
        </w:rPr>
        <w:t> </w:t>
      </w:r>
      <w:r>
        <w:rPr>
          <w:w w:val="105"/>
          <w:sz w:val="16"/>
        </w:rPr>
        <w:t>compositions</w:t>
      </w:r>
      <w:r>
        <w:rPr>
          <w:spacing w:val="-10"/>
          <w:w w:val="105"/>
          <w:sz w:val="16"/>
        </w:rPr>
        <w:t> </w:t>
      </w:r>
      <w:r>
        <w:rPr>
          <w:w w:val="105"/>
          <w:sz w:val="16"/>
        </w:rPr>
        <w:t>and</w:t>
      </w:r>
      <w:r>
        <w:rPr>
          <w:spacing w:val="-10"/>
          <w:w w:val="105"/>
          <w:sz w:val="16"/>
        </w:rPr>
        <w:t> </w:t>
      </w:r>
      <w:r>
        <w:rPr>
          <w:w w:val="105"/>
          <w:sz w:val="16"/>
        </w:rPr>
        <w:t>methods</w:t>
      </w:r>
      <w:r>
        <w:rPr>
          <w:spacing w:val="-10"/>
          <w:w w:val="105"/>
          <w:sz w:val="16"/>
        </w:rPr>
        <w:t> </w:t>
      </w:r>
      <w:r>
        <w:rPr>
          <w:w w:val="105"/>
          <w:sz w:val="16"/>
        </w:rPr>
        <w:t>for</w:t>
      </w:r>
      <w:r>
        <w:rPr>
          <w:spacing w:val="-10"/>
          <w:w w:val="105"/>
          <w:sz w:val="16"/>
        </w:rPr>
        <w:t> </w:t>
      </w:r>
      <w:r>
        <w:rPr>
          <w:w w:val="105"/>
          <w:sz w:val="16"/>
        </w:rPr>
        <w:t>the</w:t>
      </w:r>
      <w:r>
        <w:rPr>
          <w:spacing w:val="-10"/>
          <w:w w:val="105"/>
          <w:sz w:val="16"/>
        </w:rPr>
        <w:t> </w:t>
      </w:r>
      <w:r>
        <w:rPr>
          <w:w w:val="105"/>
          <w:sz w:val="16"/>
        </w:rPr>
        <w:t>use</w:t>
      </w:r>
      <w:r>
        <w:rPr>
          <w:spacing w:val="-10"/>
          <w:w w:val="105"/>
          <w:sz w:val="16"/>
        </w:rPr>
        <w:t> </w:t>
      </w:r>
      <w:r>
        <w:rPr>
          <w:w w:val="105"/>
          <w:sz w:val="16"/>
        </w:rPr>
        <w:t>and</w:t>
      </w:r>
      <w:r>
        <w:rPr>
          <w:spacing w:val="-10"/>
          <w:w w:val="105"/>
          <w:sz w:val="16"/>
        </w:rPr>
        <w:t> </w:t>
      </w:r>
      <w:r>
        <w:rPr>
          <w:w w:val="105"/>
          <w:sz w:val="16"/>
        </w:rPr>
        <w:t>manufacture</w:t>
      </w:r>
      <w:r>
        <w:rPr>
          <w:spacing w:val="-10"/>
          <w:w w:val="105"/>
          <w:sz w:val="16"/>
        </w:rPr>
        <w:t> </w:t>
      </w:r>
      <w:r>
        <w:rPr>
          <w:w w:val="105"/>
          <w:sz w:val="16"/>
        </w:rPr>
        <w:t>of</w:t>
      </w:r>
      <w:r>
        <w:rPr>
          <w:spacing w:val="-11"/>
          <w:w w:val="105"/>
          <w:sz w:val="16"/>
        </w:rPr>
        <w:t> </w:t>
      </w:r>
      <w:r>
        <w:rPr>
          <w:w w:val="105"/>
          <w:sz w:val="16"/>
        </w:rPr>
        <w:t>glass</w:t>
      </w:r>
      <w:r>
        <w:rPr>
          <w:spacing w:val="-10"/>
          <w:w w:val="105"/>
          <w:sz w:val="16"/>
        </w:rPr>
        <w:t> </w:t>
      </w:r>
      <w:r>
        <w:rPr>
          <w:w w:val="105"/>
          <w:sz w:val="16"/>
        </w:rPr>
        <w:t>substrates</w:t>
      </w:r>
      <w:r>
        <w:rPr>
          <w:spacing w:val="-10"/>
          <w:w w:val="105"/>
          <w:sz w:val="16"/>
        </w:rPr>
        <w:t> </w:t>
      </w:r>
      <w:r>
        <w:rPr>
          <w:w w:val="105"/>
          <w:sz w:val="16"/>
        </w:rPr>
        <w:t>for</w:t>
      </w:r>
      <w:r>
        <w:rPr>
          <w:spacing w:val="-10"/>
          <w:w w:val="105"/>
          <w:sz w:val="16"/>
        </w:rPr>
        <w:t> </w:t>
      </w:r>
      <w:r>
        <w:rPr>
          <w:w w:val="105"/>
          <w:sz w:val="16"/>
        </w:rPr>
        <w:t>display</w:t>
      </w:r>
      <w:r>
        <w:rPr>
          <w:spacing w:val="-10"/>
          <w:w w:val="105"/>
          <w:sz w:val="16"/>
        </w:rPr>
        <w:t> </w:t>
      </w:r>
      <w:r>
        <w:rPr>
          <w:spacing w:val="-2"/>
          <w:w w:val="105"/>
          <w:sz w:val="16"/>
        </w:rPr>
        <w:t>applications.</w:t>
      </w:r>
    </w:p>
    <w:p>
      <w:pPr>
        <w:pStyle w:val="ListParagraph"/>
        <w:numPr>
          <w:ilvl w:val="0"/>
          <w:numId w:val="3"/>
        </w:numPr>
        <w:tabs>
          <w:tab w:pos="462" w:val="left" w:leader="none"/>
        </w:tabs>
        <w:spacing w:line="266" w:lineRule="auto" w:before="20" w:after="0"/>
        <w:ind w:left="462" w:right="124" w:hanging="306"/>
        <w:jc w:val="left"/>
        <w:rPr>
          <w:sz w:val="16"/>
        </w:rPr>
      </w:pPr>
      <w:r>
        <w:rPr>
          <w:w w:val="105"/>
          <w:sz w:val="16"/>
        </w:rPr>
        <w:t>Optical</w:t>
      </w:r>
      <w:r>
        <w:rPr>
          <w:spacing w:val="-6"/>
          <w:w w:val="105"/>
          <w:sz w:val="16"/>
        </w:rPr>
        <w:t> </w:t>
      </w:r>
      <w:r>
        <w:rPr>
          <w:w w:val="105"/>
          <w:sz w:val="16"/>
        </w:rPr>
        <w:t>Communications:</w:t>
      </w:r>
      <w:r>
        <w:rPr>
          <w:spacing w:val="-6"/>
          <w:w w:val="105"/>
          <w:sz w:val="16"/>
        </w:rPr>
        <w:t> </w:t>
      </w:r>
      <w:r>
        <w:rPr>
          <w:w w:val="105"/>
          <w:sz w:val="16"/>
        </w:rPr>
        <w:t>patents</w:t>
      </w:r>
      <w:r>
        <w:rPr>
          <w:spacing w:val="-6"/>
          <w:w w:val="105"/>
          <w:sz w:val="16"/>
        </w:rPr>
        <w:t> </w:t>
      </w:r>
      <w:r>
        <w:rPr>
          <w:w w:val="105"/>
          <w:sz w:val="16"/>
        </w:rPr>
        <w:t>relating</w:t>
      </w:r>
      <w:r>
        <w:rPr>
          <w:spacing w:val="-6"/>
          <w:w w:val="105"/>
          <w:sz w:val="16"/>
        </w:rPr>
        <w:t> </w:t>
      </w:r>
      <w:r>
        <w:rPr>
          <w:w w:val="105"/>
          <w:sz w:val="16"/>
        </w:rPr>
        <w:t>to</w:t>
      </w:r>
      <w:r>
        <w:rPr>
          <w:spacing w:val="-6"/>
          <w:w w:val="105"/>
          <w:sz w:val="16"/>
        </w:rPr>
        <w:t> </w:t>
      </w:r>
      <w:r>
        <w:rPr>
          <w:w w:val="105"/>
          <w:sz w:val="16"/>
        </w:rPr>
        <w:t>(i)</w:t>
      </w:r>
      <w:r>
        <w:rPr>
          <w:spacing w:val="-4"/>
          <w:w w:val="105"/>
          <w:sz w:val="16"/>
        </w:rPr>
        <w:t> </w:t>
      </w:r>
      <w:r>
        <w:rPr>
          <w:w w:val="105"/>
          <w:sz w:val="16"/>
        </w:rPr>
        <w:t>multimode</w:t>
      </w:r>
      <w:r>
        <w:rPr>
          <w:spacing w:val="-6"/>
          <w:w w:val="105"/>
          <w:sz w:val="16"/>
        </w:rPr>
        <w:t> </w:t>
      </w:r>
      <w:r>
        <w:rPr>
          <w:w w:val="105"/>
          <w:sz w:val="16"/>
        </w:rPr>
        <w:t>and</w:t>
      </w:r>
      <w:r>
        <w:rPr>
          <w:spacing w:val="-6"/>
          <w:w w:val="105"/>
          <w:sz w:val="16"/>
        </w:rPr>
        <w:t> </w:t>
      </w:r>
      <w:r>
        <w:rPr>
          <w:w w:val="105"/>
          <w:sz w:val="16"/>
        </w:rPr>
        <w:t>single</w:t>
      </w:r>
      <w:r>
        <w:rPr>
          <w:spacing w:val="-6"/>
          <w:w w:val="105"/>
          <w:sz w:val="16"/>
        </w:rPr>
        <w:t> </w:t>
      </w:r>
      <w:r>
        <w:rPr>
          <w:w w:val="105"/>
          <w:sz w:val="16"/>
        </w:rPr>
        <w:t>mode</w:t>
      </w:r>
      <w:r>
        <w:rPr>
          <w:spacing w:val="-6"/>
          <w:w w:val="105"/>
          <w:sz w:val="16"/>
        </w:rPr>
        <w:t> </w:t>
      </w:r>
      <w:r>
        <w:rPr>
          <w:w w:val="105"/>
          <w:sz w:val="16"/>
        </w:rPr>
        <w:t>optical</w:t>
      </w:r>
      <w:r>
        <w:rPr>
          <w:spacing w:val="-6"/>
          <w:w w:val="105"/>
          <w:sz w:val="16"/>
        </w:rPr>
        <w:t> </w:t>
      </w:r>
      <w:r>
        <w:rPr>
          <w:w w:val="105"/>
          <w:sz w:val="16"/>
        </w:rPr>
        <w:t>fiber</w:t>
      </w:r>
      <w:r>
        <w:rPr>
          <w:spacing w:val="-6"/>
          <w:w w:val="105"/>
          <w:sz w:val="16"/>
        </w:rPr>
        <w:t> </w:t>
      </w:r>
      <w:r>
        <w:rPr>
          <w:w w:val="105"/>
          <w:sz w:val="16"/>
        </w:rPr>
        <w:t>products</w:t>
      </w:r>
      <w:r>
        <w:rPr>
          <w:spacing w:val="-6"/>
          <w:w w:val="105"/>
          <w:sz w:val="16"/>
        </w:rPr>
        <w:t> </w:t>
      </w:r>
      <w:r>
        <w:rPr>
          <w:w w:val="105"/>
          <w:sz w:val="16"/>
        </w:rPr>
        <w:t>including</w:t>
      </w:r>
      <w:r>
        <w:rPr>
          <w:spacing w:val="-6"/>
          <w:w w:val="105"/>
          <w:sz w:val="16"/>
        </w:rPr>
        <w:t> </w:t>
      </w:r>
      <w:r>
        <w:rPr>
          <w:w w:val="105"/>
          <w:sz w:val="16"/>
        </w:rPr>
        <w:t>low-loss</w:t>
      </w:r>
      <w:r>
        <w:rPr>
          <w:spacing w:val="-6"/>
          <w:w w:val="105"/>
          <w:sz w:val="16"/>
        </w:rPr>
        <w:t> </w:t>
      </w:r>
      <w:r>
        <w:rPr>
          <w:w w:val="105"/>
          <w:sz w:val="16"/>
        </w:rPr>
        <w:t>optical</w:t>
      </w:r>
      <w:r>
        <w:rPr>
          <w:spacing w:val="-6"/>
          <w:w w:val="105"/>
          <w:sz w:val="16"/>
        </w:rPr>
        <w:t> </w:t>
      </w:r>
      <w:r>
        <w:rPr>
          <w:w w:val="105"/>
          <w:sz w:val="16"/>
        </w:rPr>
        <w:t>fiber,</w:t>
      </w:r>
      <w:r>
        <w:rPr>
          <w:spacing w:val="-4"/>
          <w:w w:val="105"/>
          <w:sz w:val="16"/>
        </w:rPr>
        <w:t> </w:t>
      </w:r>
      <w:r>
        <w:rPr>
          <w:w w:val="105"/>
          <w:sz w:val="16"/>
        </w:rPr>
        <w:t>large</w:t>
      </w:r>
      <w:r>
        <w:rPr>
          <w:spacing w:val="-6"/>
          <w:w w:val="105"/>
          <w:sz w:val="16"/>
        </w:rPr>
        <w:t> </w:t>
      </w:r>
      <w:r>
        <w:rPr>
          <w:w w:val="105"/>
          <w:sz w:val="16"/>
        </w:rPr>
        <w:t>effective</w:t>
      </w:r>
      <w:r>
        <w:rPr>
          <w:spacing w:val="-6"/>
          <w:w w:val="105"/>
          <w:sz w:val="16"/>
        </w:rPr>
        <w:t> </w:t>
      </w:r>
      <w:r>
        <w:rPr>
          <w:w w:val="105"/>
          <w:sz w:val="16"/>
        </w:rPr>
        <w:t>area</w:t>
      </w:r>
      <w:r>
        <w:rPr>
          <w:spacing w:val="-6"/>
          <w:w w:val="105"/>
          <w:sz w:val="16"/>
        </w:rPr>
        <w:t> </w:t>
      </w:r>
      <w:r>
        <w:rPr>
          <w:w w:val="105"/>
          <w:sz w:val="16"/>
        </w:rPr>
        <w:t>optical</w:t>
      </w:r>
      <w:r>
        <w:rPr>
          <w:spacing w:val="-6"/>
          <w:w w:val="105"/>
          <w:sz w:val="16"/>
        </w:rPr>
        <w:t> </w:t>
      </w:r>
      <w:r>
        <w:rPr>
          <w:w w:val="105"/>
          <w:sz w:val="16"/>
        </w:rPr>
        <w:t>fiber,</w:t>
      </w:r>
      <w:r>
        <w:rPr>
          <w:spacing w:val="-6"/>
          <w:w w:val="105"/>
          <w:sz w:val="16"/>
        </w:rPr>
        <w:t> </w:t>
      </w:r>
      <w:r>
        <w:rPr>
          <w:w w:val="105"/>
          <w:sz w:val="16"/>
        </w:rPr>
        <w:t>and other</w:t>
      </w:r>
      <w:r>
        <w:rPr>
          <w:spacing w:val="-2"/>
          <w:w w:val="105"/>
          <w:sz w:val="16"/>
        </w:rPr>
        <w:t> </w:t>
      </w:r>
      <w:r>
        <w:rPr>
          <w:w w:val="105"/>
          <w:sz w:val="16"/>
        </w:rPr>
        <w:t>high</w:t>
      </w:r>
      <w:r>
        <w:rPr>
          <w:spacing w:val="-2"/>
          <w:w w:val="105"/>
          <w:sz w:val="16"/>
        </w:rPr>
        <w:t> </w:t>
      </w:r>
      <w:r>
        <w:rPr>
          <w:w w:val="105"/>
          <w:sz w:val="16"/>
        </w:rPr>
        <w:t>data</w:t>
      </w:r>
      <w:r>
        <w:rPr>
          <w:spacing w:val="-2"/>
          <w:w w:val="105"/>
          <w:sz w:val="16"/>
        </w:rPr>
        <w:t> </w:t>
      </w:r>
      <w:r>
        <w:rPr>
          <w:w w:val="105"/>
          <w:sz w:val="16"/>
        </w:rPr>
        <w:t>rate</w:t>
      </w:r>
      <w:r>
        <w:rPr>
          <w:spacing w:val="-2"/>
          <w:w w:val="105"/>
          <w:sz w:val="16"/>
        </w:rPr>
        <w:t> </w:t>
      </w:r>
      <w:r>
        <w:rPr>
          <w:w w:val="105"/>
          <w:sz w:val="16"/>
        </w:rPr>
        <w:t>optical</w:t>
      </w:r>
      <w:r>
        <w:rPr>
          <w:spacing w:val="-2"/>
          <w:w w:val="105"/>
          <w:sz w:val="16"/>
        </w:rPr>
        <w:t> </w:t>
      </w:r>
      <w:r>
        <w:rPr>
          <w:w w:val="105"/>
          <w:sz w:val="16"/>
        </w:rPr>
        <w:t>fiber,</w:t>
      </w:r>
      <w:r>
        <w:rPr>
          <w:spacing w:val="-2"/>
          <w:w w:val="105"/>
          <w:sz w:val="16"/>
        </w:rPr>
        <w:t> </w:t>
      </w:r>
      <w:r>
        <w:rPr>
          <w:w w:val="105"/>
          <w:sz w:val="16"/>
        </w:rPr>
        <w:t>and</w:t>
      </w:r>
      <w:r>
        <w:rPr>
          <w:spacing w:val="-2"/>
          <w:w w:val="105"/>
          <w:sz w:val="16"/>
        </w:rPr>
        <w:t> </w:t>
      </w:r>
      <w:r>
        <w:rPr>
          <w:w w:val="105"/>
          <w:sz w:val="16"/>
        </w:rPr>
        <w:t>processes and</w:t>
      </w:r>
      <w:r>
        <w:rPr>
          <w:spacing w:val="-2"/>
          <w:w w:val="105"/>
          <w:sz w:val="16"/>
        </w:rPr>
        <w:t> </w:t>
      </w:r>
      <w:r>
        <w:rPr>
          <w:w w:val="105"/>
          <w:sz w:val="16"/>
        </w:rPr>
        <w:t>equipment</w:t>
      </w:r>
      <w:r>
        <w:rPr>
          <w:spacing w:val="-2"/>
          <w:w w:val="105"/>
          <w:sz w:val="16"/>
        </w:rPr>
        <w:t> </w:t>
      </w:r>
      <w:r>
        <w:rPr>
          <w:w w:val="105"/>
          <w:sz w:val="16"/>
        </w:rPr>
        <w:t>for</w:t>
      </w:r>
      <w:r>
        <w:rPr>
          <w:spacing w:val="-2"/>
          <w:w w:val="105"/>
          <w:sz w:val="16"/>
        </w:rPr>
        <w:t> </w:t>
      </w:r>
      <w:r>
        <w:rPr>
          <w:w w:val="105"/>
          <w:sz w:val="16"/>
        </w:rPr>
        <w:t>manufacturing</w:t>
      </w:r>
      <w:r>
        <w:rPr>
          <w:spacing w:val="-2"/>
          <w:w w:val="105"/>
          <w:sz w:val="16"/>
        </w:rPr>
        <w:t> </w:t>
      </w:r>
      <w:r>
        <w:rPr>
          <w:w w:val="105"/>
          <w:sz w:val="16"/>
        </w:rPr>
        <w:t>optical</w:t>
      </w:r>
      <w:r>
        <w:rPr>
          <w:spacing w:val="-2"/>
          <w:w w:val="105"/>
          <w:sz w:val="16"/>
        </w:rPr>
        <w:t> </w:t>
      </w:r>
      <w:r>
        <w:rPr>
          <w:w w:val="105"/>
          <w:sz w:val="16"/>
        </w:rPr>
        <w:t>fiber,</w:t>
      </w:r>
      <w:r>
        <w:rPr>
          <w:spacing w:val="-2"/>
          <w:w w:val="105"/>
          <w:sz w:val="16"/>
        </w:rPr>
        <w:t> </w:t>
      </w:r>
      <w:r>
        <w:rPr>
          <w:w w:val="105"/>
          <w:sz w:val="16"/>
        </w:rPr>
        <w:t>including</w:t>
      </w:r>
      <w:r>
        <w:rPr>
          <w:spacing w:val="-2"/>
          <w:w w:val="105"/>
          <w:sz w:val="16"/>
        </w:rPr>
        <w:t> </w:t>
      </w:r>
      <w:r>
        <w:rPr>
          <w:w w:val="105"/>
          <w:sz w:val="16"/>
        </w:rPr>
        <w:t>methods</w:t>
      </w:r>
      <w:r>
        <w:rPr>
          <w:spacing w:val="-2"/>
          <w:w w:val="105"/>
          <w:sz w:val="16"/>
        </w:rPr>
        <w:t> </w:t>
      </w:r>
      <w:r>
        <w:rPr>
          <w:w w:val="105"/>
          <w:sz w:val="16"/>
        </w:rPr>
        <w:t>for</w:t>
      </w:r>
      <w:r>
        <w:rPr>
          <w:spacing w:val="-2"/>
          <w:w w:val="105"/>
          <w:sz w:val="16"/>
        </w:rPr>
        <w:t> </w:t>
      </w:r>
      <w:r>
        <w:rPr>
          <w:w w:val="105"/>
          <w:sz w:val="16"/>
        </w:rPr>
        <w:t>making</w:t>
      </w:r>
      <w:r>
        <w:rPr>
          <w:spacing w:val="-2"/>
          <w:w w:val="105"/>
          <w:sz w:val="16"/>
        </w:rPr>
        <w:t> </w:t>
      </w:r>
      <w:r>
        <w:rPr>
          <w:w w:val="105"/>
          <w:sz w:val="16"/>
        </w:rPr>
        <w:t>optical</w:t>
      </w:r>
      <w:r>
        <w:rPr>
          <w:spacing w:val="-2"/>
          <w:w w:val="105"/>
          <w:sz w:val="16"/>
        </w:rPr>
        <w:t> </w:t>
      </w:r>
      <w:r>
        <w:rPr>
          <w:w w:val="105"/>
          <w:sz w:val="16"/>
        </w:rPr>
        <w:t>fiber</w:t>
      </w:r>
      <w:r>
        <w:rPr>
          <w:spacing w:val="-2"/>
          <w:w w:val="105"/>
          <w:sz w:val="16"/>
        </w:rPr>
        <w:t> </w:t>
      </w:r>
      <w:r>
        <w:rPr>
          <w:w w:val="105"/>
          <w:sz w:val="16"/>
        </w:rPr>
        <w:t>preforms</w:t>
      </w:r>
      <w:r>
        <w:rPr>
          <w:spacing w:val="-2"/>
          <w:w w:val="105"/>
          <w:sz w:val="16"/>
        </w:rPr>
        <w:t> </w:t>
      </w:r>
      <w:r>
        <w:rPr>
          <w:w w:val="105"/>
          <w:sz w:val="16"/>
        </w:rPr>
        <w:t>and methods</w:t>
      </w:r>
      <w:r>
        <w:rPr>
          <w:spacing w:val="-2"/>
          <w:w w:val="105"/>
          <w:sz w:val="16"/>
        </w:rPr>
        <w:t> </w:t>
      </w:r>
      <w:r>
        <w:rPr>
          <w:w w:val="105"/>
          <w:sz w:val="16"/>
        </w:rPr>
        <w:t>for drawing,</w:t>
      </w:r>
      <w:r>
        <w:rPr>
          <w:spacing w:val="-8"/>
          <w:w w:val="105"/>
          <w:sz w:val="16"/>
        </w:rPr>
        <w:t> </w:t>
      </w:r>
      <w:r>
        <w:rPr>
          <w:w w:val="105"/>
          <w:sz w:val="16"/>
        </w:rPr>
        <w:t>cooling</w:t>
      </w:r>
      <w:r>
        <w:rPr>
          <w:spacing w:val="-8"/>
          <w:w w:val="105"/>
          <w:sz w:val="16"/>
        </w:rPr>
        <w:t> </w:t>
      </w:r>
      <w:r>
        <w:rPr>
          <w:w w:val="105"/>
          <w:sz w:val="16"/>
        </w:rPr>
        <w:t>and</w:t>
      </w:r>
      <w:r>
        <w:rPr>
          <w:spacing w:val="-8"/>
          <w:w w:val="105"/>
          <w:sz w:val="16"/>
        </w:rPr>
        <w:t> </w:t>
      </w:r>
      <w:r>
        <w:rPr>
          <w:w w:val="105"/>
          <w:sz w:val="16"/>
        </w:rPr>
        <w:t>winding</w:t>
      </w:r>
      <w:r>
        <w:rPr>
          <w:spacing w:val="-8"/>
          <w:w w:val="105"/>
          <w:sz w:val="16"/>
        </w:rPr>
        <w:t> </w:t>
      </w:r>
      <w:r>
        <w:rPr>
          <w:w w:val="105"/>
          <w:sz w:val="16"/>
        </w:rPr>
        <w:t>optical</w:t>
      </w:r>
      <w:r>
        <w:rPr>
          <w:spacing w:val="-7"/>
          <w:w w:val="105"/>
          <w:sz w:val="16"/>
        </w:rPr>
        <w:t> </w:t>
      </w:r>
      <w:r>
        <w:rPr>
          <w:w w:val="105"/>
          <w:sz w:val="16"/>
        </w:rPr>
        <w:t>fiber;</w:t>
      </w:r>
      <w:r>
        <w:rPr>
          <w:spacing w:val="-8"/>
          <w:w w:val="105"/>
          <w:sz w:val="16"/>
        </w:rPr>
        <w:t> </w:t>
      </w:r>
      <w:r>
        <w:rPr>
          <w:w w:val="105"/>
          <w:sz w:val="16"/>
        </w:rPr>
        <w:t>(ii)</w:t>
      </w:r>
      <w:r>
        <w:rPr>
          <w:spacing w:val="-8"/>
          <w:w w:val="105"/>
          <w:sz w:val="16"/>
        </w:rPr>
        <w:t> </w:t>
      </w:r>
      <w:r>
        <w:rPr>
          <w:w w:val="105"/>
          <w:sz w:val="16"/>
        </w:rPr>
        <w:t>optical</w:t>
      </w:r>
      <w:r>
        <w:rPr>
          <w:spacing w:val="-8"/>
          <w:w w:val="105"/>
          <w:sz w:val="16"/>
        </w:rPr>
        <w:t> </w:t>
      </w:r>
      <w:r>
        <w:rPr>
          <w:w w:val="105"/>
          <w:sz w:val="16"/>
        </w:rPr>
        <w:t>fiber</w:t>
      </w:r>
      <w:r>
        <w:rPr>
          <w:spacing w:val="-8"/>
          <w:w w:val="105"/>
          <w:sz w:val="16"/>
        </w:rPr>
        <w:t> </w:t>
      </w:r>
      <w:r>
        <w:rPr>
          <w:w w:val="105"/>
          <w:sz w:val="16"/>
        </w:rPr>
        <w:t>ribbons</w:t>
      </w:r>
      <w:r>
        <w:rPr>
          <w:spacing w:val="-8"/>
          <w:w w:val="105"/>
          <w:sz w:val="16"/>
        </w:rPr>
        <w:t> </w:t>
      </w:r>
      <w:r>
        <w:rPr>
          <w:w w:val="105"/>
          <w:sz w:val="16"/>
        </w:rPr>
        <w:t>and</w:t>
      </w:r>
      <w:r>
        <w:rPr>
          <w:spacing w:val="-8"/>
          <w:w w:val="105"/>
          <w:sz w:val="16"/>
        </w:rPr>
        <w:t> </w:t>
      </w:r>
      <w:r>
        <w:rPr>
          <w:w w:val="105"/>
          <w:sz w:val="16"/>
        </w:rPr>
        <w:t>methods</w:t>
      </w:r>
      <w:r>
        <w:rPr>
          <w:spacing w:val="-8"/>
          <w:w w:val="105"/>
          <w:sz w:val="16"/>
        </w:rPr>
        <w:t> </w:t>
      </w:r>
      <w:r>
        <w:rPr>
          <w:w w:val="105"/>
          <w:sz w:val="16"/>
        </w:rPr>
        <w:t>for</w:t>
      </w:r>
      <w:r>
        <w:rPr>
          <w:spacing w:val="-7"/>
          <w:w w:val="105"/>
          <w:sz w:val="16"/>
        </w:rPr>
        <w:t> </w:t>
      </w:r>
      <w:r>
        <w:rPr>
          <w:w w:val="105"/>
          <w:sz w:val="16"/>
        </w:rPr>
        <w:t>making</w:t>
      </w:r>
      <w:r>
        <w:rPr>
          <w:spacing w:val="-8"/>
          <w:w w:val="105"/>
          <w:sz w:val="16"/>
        </w:rPr>
        <w:t> </w:t>
      </w:r>
      <w:r>
        <w:rPr>
          <w:w w:val="105"/>
          <w:sz w:val="16"/>
        </w:rPr>
        <w:t>such</w:t>
      </w:r>
      <w:r>
        <w:rPr>
          <w:spacing w:val="-8"/>
          <w:w w:val="105"/>
          <w:sz w:val="16"/>
        </w:rPr>
        <w:t> </w:t>
      </w:r>
      <w:r>
        <w:rPr>
          <w:w w:val="105"/>
          <w:sz w:val="16"/>
        </w:rPr>
        <w:t>ribbon,</w:t>
      </w:r>
      <w:r>
        <w:rPr>
          <w:spacing w:val="-8"/>
          <w:w w:val="105"/>
          <w:sz w:val="16"/>
        </w:rPr>
        <w:t> </w:t>
      </w:r>
      <w:r>
        <w:rPr>
          <w:w w:val="105"/>
          <w:sz w:val="16"/>
        </w:rPr>
        <w:t>indoor</w:t>
      </w:r>
      <w:r>
        <w:rPr>
          <w:spacing w:val="-8"/>
          <w:w w:val="105"/>
          <w:sz w:val="16"/>
        </w:rPr>
        <w:t> </w:t>
      </w:r>
      <w:r>
        <w:rPr>
          <w:w w:val="105"/>
          <w:sz w:val="16"/>
        </w:rPr>
        <w:t>and</w:t>
      </w:r>
      <w:r>
        <w:rPr>
          <w:spacing w:val="-8"/>
          <w:w w:val="105"/>
          <w:sz w:val="16"/>
        </w:rPr>
        <w:t> </w:t>
      </w:r>
      <w:r>
        <w:rPr>
          <w:w w:val="105"/>
          <w:sz w:val="16"/>
        </w:rPr>
        <w:t>outdoor</w:t>
      </w:r>
      <w:r>
        <w:rPr>
          <w:spacing w:val="-8"/>
          <w:w w:val="105"/>
          <w:sz w:val="16"/>
        </w:rPr>
        <w:t> </w:t>
      </w:r>
      <w:r>
        <w:rPr>
          <w:w w:val="105"/>
          <w:sz w:val="16"/>
        </w:rPr>
        <w:t>fiber</w:t>
      </w:r>
      <w:r>
        <w:rPr>
          <w:spacing w:val="-8"/>
          <w:w w:val="105"/>
          <w:sz w:val="16"/>
        </w:rPr>
        <w:t> </w:t>
      </w:r>
      <w:r>
        <w:rPr>
          <w:w w:val="105"/>
          <w:sz w:val="16"/>
        </w:rPr>
        <w:t>optic</w:t>
      </w:r>
      <w:r>
        <w:rPr>
          <w:spacing w:val="-8"/>
          <w:w w:val="105"/>
          <w:sz w:val="16"/>
        </w:rPr>
        <w:t> </w:t>
      </w:r>
      <w:r>
        <w:rPr>
          <w:w w:val="105"/>
          <w:sz w:val="16"/>
        </w:rPr>
        <w:t>cable</w:t>
      </w:r>
      <w:r>
        <w:rPr>
          <w:spacing w:val="-8"/>
          <w:w w:val="105"/>
          <w:sz w:val="16"/>
        </w:rPr>
        <w:t> </w:t>
      </w:r>
      <w:r>
        <w:rPr>
          <w:w w:val="105"/>
          <w:sz w:val="16"/>
        </w:rPr>
        <w:t>products</w:t>
      </w:r>
      <w:r>
        <w:rPr>
          <w:spacing w:val="-8"/>
          <w:w w:val="105"/>
          <w:sz w:val="16"/>
        </w:rPr>
        <w:t> </w:t>
      </w:r>
      <w:r>
        <w:rPr>
          <w:w w:val="105"/>
          <w:sz w:val="16"/>
        </w:rPr>
        <w:t>and</w:t>
      </w:r>
      <w:r>
        <w:rPr>
          <w:spacing w:val="-7"/>
          <w:w w:val="105"/>
          <w:sz w:val="16"/>
        </w:rPr>
        <w:t> </w:t>
      </w:r>
      <w:r>
        <w:rPr>
          <w:w w:val="105"/>
          <w:sz w:val="16"/>
        </w:rPr>
        <w:t>methods</w:t>
      </w:r>
      <w:r>
        <w:rPr>
          <w:spacing w:val="-8"/>
          <w:w w:val="105"/>
          <w:sz w:val="16"/>
        </w:rPr>
        <w:t> </w:t>
      </w:r>
      <w:r>
        <w:rPr>
          <w:w w:val="105"/>
          <w:sz w:val="16"/>
        </w:rPr>
        <w:t>for making</w:t>
      </w:r>
      <w:r>
        <w:rPr>
          <w:spacing w:val="-3"/>
          <w:w w:val="105"/>
          <w:sz w:val="16"/>
        </w:rPr>
        <w:t> </w:t>
      </w:r>
      <w:r>
        <w:rPr>
          <w:w w:val="105"/>
          <w:sz w:val="16"/>
        </w:rPr>
        <w:t>and</w:t>
      </w:r>
      <w:r>
        <w:rPr>
          <w:spacing w:val="-3"/>
          <w:w w:val="105"/>
          <w:sz w:val="16"/>
        </w:rPr>
        <w:t> </w:t>
      </w:r>
      <w:r>
        <w:rPr>
          <w:w w:val="105"/>
          <w:sz w:val="16"/>
        </w:rPr>
        <w:t>installing</w:t>
      </w:r>
      <w:r>
        <w:rPr>
          <w:spacing w:val="-5"/>
          <w:w w:val="105"/>
          <w:sz w:val="16"/>
        </w:rPr>
        <w:t> </w:t>
      </w:r>
      <w:r>
        <w:rPr>
          <w:w w:val="105"/>
          <w:sz w:val="16"/>
        </w:rPr>
        <w:t>optical</w:t>
      </w:r>
      <w:r>
        <w:rPr>
          <w:spacing w:val="-3"/>
          <w:w w:val="105"/>
          <w:sz w:val="16"/>
        </w:rPr>
        <w:t> </w:t>
      </w:r>
      <w:r>
        <w:rPr>
          <w:w w:val="105"/>
          <w:sz w:val="16"/>
        </w:rPr>
        <w:t>fiber</w:t>
      </w:r>
      <w:r>
        <w:rPr>
          <w:spacing w:val="-3"/>
          <w:w w:val="105"/>
          <w:sz w:val="16"/>
        </w:rPr>
        <w:t> </w:t>
      </w:r>
      <w:r>
        <w:rPr>
          <w:w w:val="105"/>
          <w:sz w:val="16"/>
        </w:rPr>
        <w:t>cable;</w:t>
      </w:r>
      <w:r>
        <w:rPr>
          <w:spacing w:val="-3"/>
          <w:w w:val="105"/>
          <w:sz w:val="16"/>
        </w:rPr>
        <w:t> </w:t>
      </w:r>
      <w:r>
        <w:rPr>
          <w:w w:val="105"/>
          <w:sz w:val="16"/>
        </w:rPr>
        <w:t>(iii)</w:t>
      </w:r>
      <w:r>
        <w:rPr>
          <w:spacing w:val="-3"/>
          <w:w w:val="105"/>
          <w:sz w:val="16"/>
        </w:rPr>
        <w:t> </w:t>
      </w:r>
      <w:r>
        <w:rPr>
          <w:w w:val="105"/>
          <w:sz w:val="16"/>
        </w:rPr>
        <w:t>optical</w:t>
      </w:r>
      <w:r>
        <w:rPr>
          <w:spacing w:val="-3"/>
          <w:w w:val="105"/>
          <w:sz w:val="16"/>
        </w:rPr>
        <w:t> </w:t>
      </w:r>
      <w:r>
        <w:rPr>
          <w:w w:val="105"/>
          <w:sz w:val="16"/>
        </w:rPr>
        <w:t>fiber</w:t>
      </w:r>
      <w:r>
        <w:rPr>
          <w:spacing w:val="-3"/>
          <w:w w:val="105"/>
          <w:sz w:val="16"/>
        </w:rPr>
        <w:t> </w:t>
      </w:r>
      <w:r>
        <w:rPr>
          <w:w w:val="105"/>
          <w:sz w:val="16"/>
        </w:rPr>
        <w:t>connectors</w:t>
      </w:r>
      <w:r>
        <w:rPr>
          <w:spacing w:val="-3"/>
          <w:w w:val="105"/>
          <w:sz w:val="16"/>
        </w:rPr>
        <w:t> </w:t>
      </w:r>
      <w:r>
        <w:rPr>
          <w:w w:val="105"/>
          <w:sz w:val="16"/>
        </w:rPr>
        <w:t>and</w:t>
      </w:r>
      <w:r>
        <w:rPr>
          <w:spacing w:val="-3"/>
          <w:w w:val="105"/>
          <w:sz w:val="16"/>
        </w:rPr>
        <w:t> </w:t>
      </w:r>
      <w:r>
        <w:rPr>
          <w:w w:val="105"/>
          <w:sz w:val="16"/>
        </w:rPr>
        <w:t>factory-terminated</w:t>
      </w:r>
      <w:r>
        <w:rPr>
          <w:spacing w:val="-5"/>
          <w:w w:val="105"/>
          <w:sz w:val="16"/>
        </w:rPr>
        <w:t> </w:t>
      </w:r>
      <w:r>
        <w:rPr>
          <w:w w:val="105"/>
          <w:sz w:val="16"/>
        </w:rPr>
        <w:t>assemblies,</w:t>
      </w:r>
      <w:r>
        <w:rPr>
          <w:spacing w:val="-3"/>
          <w:w w:val="105"/>
          <w:sz w:val="16"/>
        </w:rPr>
        <w:t> </w:t>
      </w:r>
      <w:r>
        <w:rPr>
          <w:w w:val="105"/>
          <w:sz w:val="16"/>
        </w:rPr>
        <w:t>hardware,</w:t>
      </w:r>
      <w:r>
        <w:rPr>
          <w:spacing w:val="-3"/>
          <w:w w:val="105"/>
          <w:sz w:val="16"/>
        </w:rPr>
        <w:t> </w:t>
      </w:r>
      <w:r>
        <w:rPr>
          <w:w w:val="105"/>
          <w:sz w:val="16"/>
        </w:rPr>
        <w:t>termination</w:t>
      </w:r>
      <w:r>
        <w:rPr>
          <w:spacing w:val="-3"/>
          <w:w w:val="105"/>
          <w:sz w:val="16"/>
        </w:rPr>
        <w:t> </w:t>
      </w:r>
      <w:r>
        <w:rPr>
          <w:w w:val="105"/>
          <w:sz w:val="16"/>
        </w:rPr>
        <w:t>and</w:t>
      </w:r>
      <w:r>
        <w:rPr>
          <w:spacing w:val="-3"/>
          <w:w w:val="105"/>
          <w:sz w:val="16"/>
        </w:rPr>
        <w:t> </w:t>
      </w:r>
      <w:r>
        <w:rPr>
          <w:w w:val="105"/>
          <w:sz w:val="16"/>
        </w:rPr>
        <w:t>storage</w:t>
      </w:r>
      <w:r>
        <w:rPr>
          <w:spacing w:val="-3"/>
          <w:w w:val="105"/>
          <w:sz w:val="16"/>
        </w:rPr>
        <w:t> </w:t>
      </w:r>
      <w:r>
        <w:rPr>
          <w:w w:val="105"/>
          <w:sz w:val="16"/>
        </w:rPr>
        <w:t>and</w:t>
      </w:r>
      <w:r>
        <w:rPr>
          <w:spacing w:val="-5"/>
          <w:w w:val="105"/>
          <w:sz w:val="16"/>
        </w:rPr>
        <w:t> </w:t>
      </w:r>
      <w:r>
        <w:rPr>
          <w:w w:val="105"/>
          <w:sz w:val="16"/>
        </w:rPr>
        <w:t>associated</w:t>
      </w:r>
      <w:r>
        <w:rPr>
          <w:spacing w:val="-3"/>
          <w:w w:val="105"/>
          <w:sz w:val="16"/>
        </w:rPr>
        <w:t> </w:t>
      </w:r>
      <w:r>
        <w:rPr>
          <w:w w:val="105"/>
          <w:sz w:val="16"/>
        </w:rPr>
        <w:t>methods</w:t>
      </w:r>
      <w:r>
        <w:rPr>
          <w:spacing w:val="-3"/>
          <w:w w:val="105"/>
          <w:sz w:val="16"/>
        </w:rPr>
        <w:t> </w:t>
      </w:r>
      <w:r>
        <w:rPr>
          <w:w w:val="105"/>
          <w:sz w:val="16"/>
        </w:rPr>
        <w:t>of manufacture; and (iv) optical fiber and hybrid fiber-coax wireless communication systems.</w:t>
      </w:r>
    </w:p>
    <w:p>
      <w:pPr>
        <w:pStyle w:val="ListParagraph"/>
        <w:numPr>
          <w:ilvl w:val="0"/>
          <w:numId w:val="3"/>
        </w:numPr>
        <w:tabs>
          <w:tab w:pos="462" w:val="left" w:leader="none"/>
        </w:tabs>
        <w:spacing w:line="266" w:lineRule="auto" w:before="0" w:after="0"/>
        <w:ind w:left="462" w:right="524" w:hanging="306"/>
        <w:jc w:val="left"/>
        <w:rPr>
          <w:sz w:val="16"/>
        </w:rPr>
      </w:pPr>
      <w:r>
        <w:rPr>
          <w:w w:val="105"/>
          <w:sz w:val="16"/>
        </w:rPr>
        <w:t>Specialty</w:t>
      </w:r>
      <w:r>
        <w:rPr>
          <w:spacing w:val="-11"/>
          <w:w w:val="105"/>
          <w:sz w:val="16"/>
        </w:rPr>
        <w:t> </w:t>
      </w:r>
      <w:r>
        <w:rPr>
          <w:w w:val="105"/>
          <w:sz w:val="16"/>
        </w:rPr>
        <w:t>Materials:</w:t>
      </w:r>
      <w:r>
        <w:rPr>
          <w:spacing w:val="-10"/>
          <w:w w:val="105"/>
          <w:sz w:val="16"/>
        </w:rPr>
        <w:t> </w:t>
      </w:r>
      <w:r>
        <w:rPr>
          <w:w w:val="105"/>
          <w:sz w:val="16"/>
        </w:rPr>
        <w:t>patents</w:t>
      </w:r>
      <w:r>
        <w:rPr>
          <w:spacing w:val="-11"/>
          <w:w w:val="105"/>
          <w:sz w:val="16"/>
        </w:rPr>
        <w:t> </w:t>
      </w:r>
      <w:r>
        <w:rPr>
          <w:w w:val="105"/>
          <w:sz w:val="16"/>
        </w:rPr>
        <w:t>relating</w:t>
      </w:r>
      <w:r>
        <w:rPr>
          <w:spacing w:val="-10"/>
          <w:w w:val="105"/>
          <w:sz w:val="16"/>
        </w:rPr>
        <w:t> </w:t>
      </w:r>
      <w:r>
        <w:rPr>
          <w:w w:val="105"/>
          <w:sz w:val="16"/>
        </w:rPr>
        <w:t>to</w:t>
      </w:r>
      <w:r>
        <w:rPr>
          <w:spacing w:val="-11"/>
          <w:w w:val="105"/>
          <w:sz w:val="16"/>
        </w:rPr>
        <w:t> </w:t>
      </w:r>
      <w:r>
        <w:rPr>
          <w:w w:val="105"/>
          <w:sz w:val="16"/>
        </w:rPr>
        <w:t>protective</w:t>
      </w:r>
      <w:r>
        <w:rPr>
          <w:spacing w:val="-10"/>
          <w:w w:val="105"/>
          <w:sz w:val="16"/>
        </w:rPr>
        <w:t> </w:t>
      </w:r>
      <w:r>
        <w:rPr>
          <w:w w:val="105"/>
          <w:sz w:val="16"/>
        </w:rPr>
        <w:t>cover</w:t>
      </w:r>
      <w:r>
        <w:rPr>
          <w:spacing w:val="-11"/>
          <w:w w:val="105"/>
          <w:sz w:val="16"/>
        </w:rPr>
        <w:t> </w:t>
      </w:r>
      <w:r>
        <w:rPr>
          <w:w w:val="105"/>
          <w:sz w:val="16"/>
        </w:rPr>
        <w:t>glass</w:t>
      </w:r>
      <w:r>
        <w:rPr>
          <w:spacing w:val="-10"/>
          <w:w w:val="105"/>
          <w:sz w:val="16"/>
        </w:rPr>
        <w:t> </w:t>
      </w:r>
      <w:r>
        <w:rPr>
          <w:w w:val="105"/>
          <w:sz w:val="16"/>
        </w:rPr>
        <w:t>materials</w:t>
      </w:r>
      <w:r>
        <w:rPr>
          <w:spacing w:val="-11"/>
          <w:w w:val="105"/>
          <w:sz w:val="16"/>
        </w:rPr>
        <w:t> </w:t>
      </w:r>
      <w:r>
        <w:rPr>
          <w:w w:val="105"/>
          <w:sz w:val="16"/>
        </w:rPr>
        <w:t>and</w:t>
      </w:r>
      <w:r>
        <w:rPr>
          <w:spacing w:val="-10"/>
          <w:w w:val="105"/>
          <w:sz w:val="16"/>
        </w:rPr>
        <w:t> </w:t>
      </w:r>
      <w:r>
        <w:rPr>
          <w:w w:val="105"/>
          <w:sz w:val="16"/>
        </w:rPr>
        <w:t>coatings,</w:t>
      </w:r>
      <w:r>
        <w:rPr>
          <w:spacing w:val="-11"/>
          <w:w w:val="105"/>
          <w:sz w:val="16"/>
        </w:rPr>
        <w:t> </w:t>
      </w:r>
      <w:r>
        <w:rPr>
          <w:w w:val="105"/>
          <w:sz w:val="16"/>
        </w:rPr>
        <w:t>ophthalmic</w:t>
      </w:r>
      <w:r>
        <w:rPr>
          <w:spacing w:val="-10"/>
          <w:w w:val="105"/>
          <w:sz w:val="16"/>
        </w:rPr>
        <w:t> </w:t>
      </w:r>
      <w:r>
        <w:rPr>
          <w:w w:val="105"/>
          <w:sz w:val="16"/>
        </w:rPr>
        <w:t>glasses</w:t>
      </w:r>
      <w:r>
        <w:rPr>
          <w:spacing w:val="-10"/>
          <w:w w:val="105"/>
          <w:sz w:val="16"/>
        </w:rPr>
        <w:t> </w:t>
      </w:r>
      <w:r>
        <w:rPr>
          <w:w w:val="105"/>
          <w:sz w:val="16"/>
        </w:rPr>
        <w:t>and</w:t>
      </w:r>
      <w:r>
        <w:rPr>
          <w:spacing w:val="-11"/>
          <w:w w:val="105"/>
          <w:sz w:val="16"/>
        </w:rPr>
        <w:t> </w:t>
      </w:r>
      <w:r>
        <w:rPr>
          <w:w w:val="105"/>
          <w:sz w:val="16"/>
        </w:rPr>
        <w:t>polarizing</w:t>
      </w:r>
      <w:r>
        <w:rPr>
          <w:spacing w:val="-10"/>
          <w:w w:val="105"/>
          <w:sz w:val="16"/>
        </w:rPr>
        <w:t> </w:t>
      </w:r>
      <w:r>
        <w:rPr>
          <w:w w:val="105"/>
          <w:sz w:val="16"/>
        </w:rPr>
        <w:t>dyes,</w:t>
      </w:r>
      <w:r>
        <w:rPr>
          <w:spacing w:val="-10"/>
          <w:w w:val="105"/>
          <w:sz w:val="16"/>
        </w:rPr>
        <w:t> </w:t>
      </w:r>
      <w:r>
        <w:rPr>
          <w:w w:val="105"/>
          <w:sz w:val="16"/>
        </w:rPr>
        <w:t>and</w:t>
      </w:r>
      <w:r>
        <w:rPr>
          <w:spacing w:val="-11"/>
          <w:w w:val="105"/>
          <w:sz w:val="16"/>
        </w:rPr>
        <w:t> </w:t>
      </w:r>
      <w:r>
        <w:rPr>
          <w:w w:val="105"/>
          <w:sz w:val="16"/>
        </w:rPr>
        <w:t>semiconductor/microlithography optics and blanks, metrology instrumentation and laser/precision optics, glass polarizers, specialty fiber, and refractories.</w:t>
      </w:r>
    </w:p>
    <w:p>
      <w:pPr>
        <w:pStyle w:val="ListParagraph"/>
        <w:numPr>
          <w:ilvl w:val="0"/>
          <w:numId w:val="3"/>
        </w:numPr>
        <w:tabs>
          <w:tab w:pos="462" w:val="left" w:leader="none"/>
        </w:tabs>
        <w:spacing w:line="266" w:lineRule="auto" w:before="0" w:after="0"/>
        <w:ind w:left="462" w:right="631" w:hanging="306"/>
        <w:jc w:val="left"/>
        <w:rPr>
          <w:sz w:val="16"/>
        </w:rPr>
      </w:pPr>
      <w:r>
        <w:rPr>
          <w:w w:val="105"/>
          <w:sz w:val="16"/>
        </w:rPr>
        <w:t>Environmental</w:t>
      </w:r>
      <w:r>
        <w:rPr>
          <w:spacing w:val="-11"/>
          <w:w w:val="105"/>
          <w:sz w:val="16"/>
        </w:rPr>
        <w:t> </w:t>
      </w:r>
      <w:r>
        <w:rPr>
          <w:w w:val="105"/>
          <w:sz w:val="16"/>
        </w:rPr>
        <w:t>Technologies:</w:t>
      </w:r>
      <w:r>
        <w:rPr>
          <w:spacing w:val="-10"/>
          <w:w w:val="105"/>
          <w:sz w:val="16"/>
        </w:rPr>
        <w:t> </w:t>
      </w:r>
      <w:r>
        <w:rPr>
          <w:w w:val="105"/>
          <w:sz w:val="16"/>
        </w:rPr>
        <w:t>patents</w:t>
      </w:r>
      <w:r>
        <w:rPr>
          <w:spacing w:val="-11"/>
          <w:w w:val="105"/>
          <w:sz w:val="16"/>
        </w:rPr>
        <w:t> </w:t>
      </w:r>
      <w:r>
        <w:rPr>
          <w:w w:val="105"/>
          <w:sz w:val="16"/>
        </w:rPr>
        <w:t>relating</w:t>
      </w:r>
      <w:r>
        <w:rPr>
          <w:spacing w:val="-10"/>
          <w:w w:val="105"/>
          <w:sz w:val="16"/>
        </w:rPr>
        <w:t> </w:t>
      </w:r>
      <w:r>
        <w:rPr>
          <w:w w:val="105"/>
          <w:sz w:val="16"/>
        </w:rPr>
        <w:t>to</w:t>
      </w:r>
      <w:r>
        <w:rPr>
          <w:spacing w:val="-11"/>
          <w:w w:val="105"/>
          <w:sz w:val="16"/>
        </w:rPr>
        <w:t> </w:t>
      </w:r>
      <w:r>
        <w:rPr>
          <w:w w:val="105"/>
          <w:sz w:val="16"/>
        </w:rPr>
        <w:t>cellular</w:t>
      </w:r>
      <w:r>
        <w:rPr>
          <w:spacing w:val="-10"/>
          <w:w w:val="105"/>
          <w:sz w:val="16"/>
        </w:rPr>
        <w:t> </w:t>
      </w:r>
      <w:r>
        <w:rPr>
          <w:w w:val="105"/>
          <w:sz w:val="16"/>
        </w:rPr>
        <w:t>ceramic</w:t>
      </w:r>
      <w:r>
        <w:rPr>
          <w:spacing w:val="-11"/>
          <w:w w:val="105"/>
          <w:sz w:val="16"/>
        </w:rPr>
        <w:t> </w:t>
      </w:r>
      <w:r>
        <w:rPr>
          <w:w w:val="105"/>
          <w:sz w:val="16"/>
        </w:rPr>
        <w:t>honeycomb</w:t>
      </w:r>
      <w:r>
        <w:rPr>
          <w:spacing w:val="-10"/>
          <w:w w:val="105"/>
          <w:sz w:val="16"/>
        </w:rPr>
        <w:t> </w:t>
      </w:r>
      <w:r>
        <w:rPr>
          <w:w w:val="105"/>
          <w:sz w:val="16"/>
        </w:rPr>
        <w:t>products,</w:t>
      </w:r>
      <w:r>
        <w:rPr>
          <w:spacing w:val="-11"/>
          <w:w w:val="105"/>
          <w:sz w:val="16"/>
        </w:rPr>
        <w:t> </w:t>
      </w:r>
      <w:r>
        <w:rPr>
          <w:w w:val="105"/>
          <w:sz w:val="16"/>
        </w:rPr>
        <w:t>together</w:t>
      </w:r>
      <w:r>
        <w:rPr>
          <w:spacing w:val="-10"/>
          <w:w w:val="105"/>
          <w:sz w:val="16"/>
        </w:rPr>
        <w:t> </w:t>
      </w:r>
      <w:r>
        <w:rPr>
          <w:w w:val="105"/>
          <w:sz w:val="16"/>
        </w:rPr>
        <w:t>with</w:t>
      </w:r>
      <w:r>
        <w:rPr>
          <w:spacing w:val="-11"/>
          <w:w w:val="105"/>
          <w:sz w:val="16"/>
        </w:rPr>
        <w:t> </w:t>
      </w:r>
      <w:r>
        <w:rPr>
          <w:w w:val="105"/>
          <w:sz w:val="16"/>
        </w:rPr>
        <w:t>ceramic</w:t>
      </w:r>
      <w:r>
        <w:rPr>
          <w:spacing w:val="-10"/>
          <w:w w:val="105"/>
          <w:sz w:val="16"/>
        </w:rPr>
        <w:t> </w:t>
      </w:r>
      <w:r>
        <w:rPr>
          <w:w w:val="105"/>
          <w:sz w:val="16"/>
        </w:rPr>
        <w:t>batch</w:t>
      </w:r>
      <w:r>
        <w:rPr>
          <w:spacing w:val="-11"/>
          <w:w w:val="105"/>
          <w:sz w:val="16"/>
        </w:rPr>
        <w:t> </w:t>
      </w:r>
      <w:r>
        <w:rPr>
          <w:w w:val="105"/>
          <w:sz w:val="16"/>
        </w:rPr>
        <w:t>and</w:t>
      </w:r>
      <w:r>
        <w:rPr>
          <w:spacing w:val="-10"/>
          <w:w w:val="105"/>
          <w:sz w:val="16"/>
        </w:rPr>
        <w:t> </w:t>
      </w:r>
      <w:r>
        <w:rPr>
          <w:w w:val="105"/>
          <w:sz w:val="16"/>
        </w:rPr>
        <w:t>binder</w:t>
      </w:r>
      <w:r>
        <w:rPr>
          <w:spacing w:val="-11"/>
          <w:w w:val="105"/>
          <w:sz w:val="16"/>
        </w:rPr>
        <w:t> </w:t>
      </w:r>
      <w:r>
        <w:rPr>
          <w:w w:val="105"/>
          <w:sz w:val="16"/>
        </w:rPr>
        <w:t>system</w:t>
      </w:r>
      <w:r>
        <w:rPr>
          <w:spacing w:val="-10"/>
          <w:w w:val="105"/>
          <w:sz w:val="16"/>
        </w:rPr>
        <w:t> </w:t>
      </w:r>
      <w:r>
        <w:rPr>
          <w:w w:val="105"/>
          <w:sz w:val="16"/>
        </w:rPr>
        <w:t>compositions,</w:t>
      </w:r>
      <w:r>
        <w:rPr>
          <w:spacing w:val="-11"/>
          <w:w w:val="105"/>
          <w:sz w:val="16"/>
        </w:rPr>
        <w:t> </w:t>
      </w:r>
      <w:r>
        <w:rPr>
          <w:w w:val="105"/>
          <w:sz w:val="16"/>
        </w:rPr>
        <w:t>honeycomb extrusion and firing processes, and honeycomb extrusion dies and equipment for the high-volume, low-cost manufacture of such products.</w:t>
      </w:r>
    </w:p>
    <w:p>
      <w:pPr>
        <w:pStyle w:val="ListParagraph"/>
        <w:numPr>
          <w:ilvl w:val="0"/>
          <w:numId w:val="3"/>
        </w:numPr>
        <w:tabs>
          <w:tab w:pos="462" w:val="left" w:leader="none"/>
        </w:tabs>
        <w:spacing w:line="266" w:lineRule="auto" w:before="0" w:after="0"/>
        <w:ind w:left="462" w:right="556" w:hanging="306"/>
        <w:jc w:val="left"/>
        <w:rPr>
          <w:sz w:val="16"/>
        </w:rPr>
      </w:pPr>
      <w:r>
        <w:rPr>
          <w:w w:val="105"/>
          <w:sz w:val="16"/>
        </w:rPr>
        <w:t>Life</w:t>
      </w:r>
      <w:r>
        <w:rPr>
          <w:spacing w:val="-8"/>
          <w:w w:val="105"/>
          <w:sz w:val="16"/>
        </w:rPr>
        <w:t> </w:t>
      </w:r>
      <w:r>
        <w:rPr>
          <w:w w:val="105"/>
          <w:sz w:val="16"/>
        </w:rPr>
        <w:t>Sciences:</w:t>
      </w:r>
      <w:r>
        <w:rPr>
          <w:spacing w:val="-8"/>
          <w:w w:val="105"/>
          <w:sz w:val="16"/>
        </w:rPr>
        <w:t> </w:t>
      </w:r>
      <w:r>
        <w:rPr>
          <w:w w:val="105"/>
          <w:sz w:val="16"/>
        </w:rPr>
        <w:t>patents</w:t>
      </w:r>
      <w:r>
        <w:rPr>
          <w:spacing w:val="-8"/>
          <w:w w:val="105"/>
          <w:sz w:val="16"/>
        </w:rPr>
        <w:t> </w:t>
      </w:r>
      <w:r>
        <w:rPr>
          <w:w w:val="105"/>
          <w:sz w:val="16"/>
        </w:rPr>
        <w:t>relating</w:t>
      </w:r>
      <w:r>
        <w:rPr>
          <w:spacing w:val="-8"/>
          <w:w w:val="105"/>
          <w:sz w:val="16"/>
        </w:rPr>
        <w:t> </w:t>
      </w:r>
      <w:r>
        <w:rPr>
          <w:w w:val="105"/>
          <w:sz w:val="16"/>
        </w:rPr>
        <w:t>to</w:t>
      </w:r>
      <w:r>
        <w:rPr>
          <w:spacing w:val="-8"/>
          <w:w w:val="105"/>
          <w:sz w:val="16"/>
        </w:rPr>
        <w:t> </w:t>
      </w:r>
      <w:r>
        <w:rPr>
          <w:w w:val="105"/>
          <w:sz w:val="16"/>
        </w:rPr>
        <w:t>methods</w:t>
      </w:r>
      <w:r>
        <w:rPr>
          <w:spacing w:val="-8"/>
          <w:w w:val="105"/>
          <w:sz w:val="16"/>
        </w:rPr>
        <w:t> </w:t>
      </w:r>
      <w:r>
        <w:rPr>
          <w:w w:val="105"/>
          <w:sz w:val="16"/>
        </w:rPr>
        <w:t>and</w:t>
      </w:r>
      <w:r>
        <w:rPr>
          <w:spacing w:val="-8"/>
          <w:w w:val="105"/>
          <w:sz w:val="16"/>
        </w:rPr>
        <w:t> </w:t>
      </w:r>
      <w:r>
        <w:rPr>
          <w:w w:val="105"/>
          <w:sz w:val="16"/>
        </w:rPr>
        <w:t>apparatus</w:t>
      </w:r>
      <w:r>
        <w:rPr>
          <w:spacing w:val="-8"/>
          <w:w w:val="105"/>
          <w:sz w:val="16"/>
        </w:rPr>
        <w:t> </w:t>
      </w:r>
      <w:r>
        <w:rPr>
          <w:w w:val="105"/>
          <w:sz w:val="16"/>
        </w:rPr>
        <w:t>for</w:t>
      </w:r>
      <w:r>
        <w:rPr>
          <w:spacing w:val="-8"/>
          <w:w w:val="105"/>
          <w:sz w:val="16"/>
        </w:rPr>
        <w:t> </w:t>
      </w:r>
      <w:r>
        <w:rPr>
          <w:w w:val="105"/>
          <w:sz w:val="16"/>
        </w:rPr>
        <w:t>the</w:t>
      </w:r>
      <w:r>
        <w:rPr>
          <w:spacing w:val="-8"/>
          <w:w w:val="105"/>
          <w:sz w:val="16"/>
        </w:rPr>
        <w:t> </w:t>
      </w:r>
      <w:r>
        <w:rPr>
          <w:w w:val="105"/>
          <w:sz w:val="16"/>
        </w:rPr>
        <w:t>manufacture</w:t>
      </w:r>
      <w:r>
        <w:rPr>
          <w:spacing w:val="-8"/>
          <w:w w:val="105"/>
          <w:sz w:val="16"/>
        </w:rPr>
        <w:t> </w:t>
      </w:r>
      <w:r>
        <w:rPr>
          <w:w w:val="105"/>
          <w:sz w:val="16"/>
        </w:rPr>
        <w:t>and</w:t>
      </w:r>
      <w:r>
        <w:rPr>
          <w:spacing w:val="-8"/>
          <w:w w:val="105"/>
          <w:sz w:val="16"/>
        </w:rPr>
        <w:t> </w:t>
      </w:r>
      <w:r>
        <w:rPr>
          <w:w w:val="105"/>
          <w:sz w:val="16"/>
        </w:rPr>
        <w:t>use</w:t>
      </w:r>
      <w:r>
        <w:rPr>
          <w:spacing w:val="-8"/>
          <w:w w:val="105"/>
          <w:sz w:val="16"/>
        </w:rPr>
        <w:t> </w:t>
      </w:r>
      <w:r>
        <w:rPr>
          <w:w w:val="105"/>
          <w:sz w:val="16"/>
        </w:rPr>
        <w:t>of</w:t>
      </w:r>
      <w:r>
        <w:rPr>
          <w:spacing w:val="-8"/>
          <w:w w:val="105"/>
          <w:sz w:val="16"/>
        </w:rPr>
        <w:t> </w:t>
      </w:r>
      <w:r>
        <w:rPr>
          <w:w w:val="105"/>
          <w:sz w:val="16"/>
        </w:rPr>
        <w:t>scientific</w:t>
      </w:r>
      <w:r>
        <w:rPr>
          <w:spacing w:val="-8"/>
          <w:w w:val="105"/>
          <w:sz w:val="16"/>
        </w:rPr>
        <w:t> </w:t>
      </w:r>
      <w:r>
        <w:rPr>
          <w:w w:val="105"/>
          <w:sz w:val="16"/>
        </w:rPr>
        <w:t>laboratory</w:t>
      </w:r>
      <w:r>
        <w:rPr>
          <w:spacing w:val="-8"/>
          <w:w w:val="105"/>
          <w:sz w:val="16"/>
        </w:rPr>
        <w:t> </w:t>
      </w:r>
      <w:r>
        <w:rPr>
          <w:w w:val="105"/>
          <w:sz w:val="16"/>
        </w:rPr>
        <w:t>equipment</w:t>
      </w:r>
      <w:r>
        <w:rPr>
          <w:spacing w:val="-8"/>
          <w:w w:val="105"/>
          <w:sz w:val="16"/>
        </w:rPr>
        <w:t> </w:t>
      </w:r>
      <w:r>
        <w:rPr>
          <w:w w:val="105"/>
          <w:sz w:val="16"/>
        </w:rPr>
        <w:t>including</w:t>
      </w:r>
      <w:r>
        <w:rPr>
          <w:spacing w:val="-8"/>
          <w:w w:val="105"/>
          <w:sz w:val="16"/>
        </w:rPr>
        <w:t> </w:t>
      </w:r>
      <w:r>
        <w:rPr>
          <w:w w:val="105"/>
          <w:sz w:val="16"/>
        </w:rPr>
        <w:t>multiwell</w:t>
      </w:r>
      <w:r>
        <w:rPr>
          <w:spacing w:val="-8"/>
          <w:w w:val="105"/>
          <w:sz w:val="16"/>
        </w:rPr>
        <w:t> </w:t>
      </w:r>
      <w:r>
        <w:rPr>
          <w:w w:val="105"/>
          <w:sz w:val="16"/>
        </w:rPr>
        <w:t>plates</w:t>
      </w:r>
      <w:r>
        <w:rPr>
          <w:spacing w:val="-8"/>
          <w:w w:val="105"/>
          <w:sz w:val="16"/>
        </w:rPr>
        <w:t> </w:t>
      </w:r>
      <w:r>
        <w:rPr>
          <w:w w:val="105"/>
          <w:sz w:val="16"/>
        </w:rPr>
        <w:t>and</w:t>
      </w:r>
      <w:r>
        <w:rPr>
          <w:spacing w:val="-8"/>
          <w:w w:val="105"/>
          <w:sz w:val="16"/>
        </w:rPr>
        <w:t> </w:t>
      </w:r>
      <w:r>
        <w:rPr>
          <w:w w:val="105"/>
          <w:sz w:val="16"/>
        </w:rPr>
        <w:t>cell</w:t>
      </w:r>
      <w:r>
        <w:rPr>
          <w:spacing w:val="-8"/>
          <w:w w:val="105"/>
          <w:sz w:val="16"/>
        </w:rPr>
        <w:t> </w:t>
      </w:r>
      <w:r>
        <w:rPr>
          <w:w w:val="105"/>
          <w:sz w:val="16"/>
        </w:rPr>
        <w:t>culture products, as well as equipment and processes for cell and gene therapy research.</w:t>
      </w:r>
    </w:p>
    <w:p>
      <w:pPr>
        <w:pStyle w:val="BodyText"/>
        <w:spacing w:before="5" w:after="1"/>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2"/>
        <w:gridCol w:w="2196"/>
        <w:gridCol w:w="1550"/>
        <w:gridCol w:w="1754"/>
      </w:tblGrid>
      <w:tr>
        <w:trPr>
          <w:trHeight w:val="400" w:hRule="atLeast"/>
        </w:trPr>
        <w:tc>
          <w:tcPr>
            <w:tcW w:w="6012" w:type="dxa"/>
            <w:tcBorders>
              <w:bottom w:val="single" w:sz="12" w:space="0" w:color="000000"/>
            </w:tcBorders>
          </w:tcPr>
          <w:p>
            <w:pPr>
              <w:pStyle w:val="TableParagraph"/>
              <w:spacing w:line="182" w:lineRule="exact"/>
              <w:rPr>
                <w:sz w:val="16"/>
              </w:rPr>
            </w:pPr>
            <w:r>
              <w:rPr>
                <w:w w:val="105"/>
                <w:sz w:val="16"/>
              </w:rPr>
              <w:t>Approximate</w:t>
            </w:r>
            <w:r>
              <w:rPr>
                <w:spacing w:val="-10"/>
                <w:w w:val="105"/>
                <w:sz w:val="16"/>
              </w:rPr>
              <w:t> </w:t>
            </w:r>
            <w:r>
              <w:rPr>
                <w:w w:val="105"/>
                <w:sz w:val="16"/>
              </w:rPr>
              <w:t>number</w:t>
            </w:r>
            <w:r>
              <w:rPr>
                <w:spacing w:val="-9"/>
                <w:w w:val="105"/>
                <w:sz w:val="16"/>
              </w:rPr>
              <w:t> </w:t>
            </w:r>
            <w:r>
              <w:rPr>
                <w:w w:val="105"/>
                <w:sz w:val="16"/>
              </w:rPr>
              <w:t>of</w:t>
            </w:r>
            <w:r>
              <w:rPr>
                <w:spacing w:val="-9"/>
                <w:w w:val="105"/>
                <w:sz w:val="16"/>
              </w:rPr>
              <w:t> </w:t>
            </w:r>
            <w:r>
              <w:rPr>
                <w:w w:val="105"/>
                <w:sz w:val="16"/>
              </w:rPr>
              <w:t>patents</w:t>
            </w:r>
            <w:r>
              <w:rPr>
                <w:spacing w:val="-10"/>
                <w:w w:val="105"/>
                <w:sz w:val="16"/>
              </w:rPr>
              <w:t> </w:t>
            </w:r>
            <w:r>
              <w:rPr>
                <w:w w:val="105"/>
                <w:sz w:val="16"/>
              </w:rPr>
              <w:t>granted</w:t>
            </w:r>
            <w:r>
              <w:rPr>
                <w:spacing w:val="-9"/>
                <w:w w:val="105"/>
                <w:sz w:val="16"/>
              </w:rPr>
              <w:t> </w:t>
            </w:r>
            <w:r>
              <w:rPr>
                <w:w w:val="105"/>
                <w:sz w:val="16"/>
              </w:rPr>
              <w:t>to</w:t>
            </w:r>
            <w:r>
              <w:rPr>
                <w:spacing w:val="-9"/>
                <w:w w:val="105"/>
                <w:sz w:val="16"/>
              </w:rPr>
              <w:t> </w:t>
            </w:r>
            <w:r>
              <w:rPr>
                <w:w w:val="105"/>
                <w:sz w:val="16"/>
              </w:rPr>
              <w:t>our</w:t>
            </w:r>
            <w:r>
              <w:rPr>
                <w:spacing w:val="-10"/>
                <w:w w:val="105"/>
                <w:sz w:val="16"/>
              </w:rPr>
              <w:t> </w:t>
            </w:r>
            <w:r>
              <w:rPr>
                <w:w w:val="105"/>
                <w:sz w:val="16"/>
              </w:rPr>
              <w:t>reportable</w:t>
            </w:r>
            <w:r>
              <w:rPr>
                <w:spacing w:val="-9"/>
                <w:w w:val="105"/>
                <w:sz w:val="16"/>
              </w:rPr>
              <w:t> </w:t>
            </w:r>
            <w:r>
              <w:rPr>
                <w:w w:val="105"/>
                <w:sz w:val="16"/>
              </w:rPr>
              <w:t>segments</w:t>
            </w:r>
            <w:r>
              <w:rPr>
                <w:spacing w:val="-9"/>
                <w:w w:val="105"/>
                <w:sz w:val="16"/>
              </w:rPr>
              <w:t> </w:t>
            </w:r>
            <w:r>
              <w:rPr>
                <w:w w:val="105"/>
                <w:sz w:val="16"/>
              </w:rPr>
              <w:t>are</w:t>
            </w:r>
            <w:r>
              <w:rPr>
                <w:spacing w:val="-9"/>
                <w:w w:val="105"/>
                <w:sz w:val="16"/>
              </w:rPr>
              <w:t> </w:t>
            </w:r>
            <w:r>
              <w:rPr>
                <w:w w:val="105"/>
                <w:sz w:val="16"/>
              </w:rPr>
              <w:t>as</w:t>
            </w:r>
            <w:r>
              <w:rPr>
                <w:spacing w:val="-10"/>
                <w:w w:val="105"/>
                <w:sz w:val="16"/>
              </w:rPr>
              <w:t> </w:t>
            </w:r>
            <w:r>
              <w:rPr>
                <w:spacing w:val="-2"/>
                <w:w w:val="105"/>
                <w:sz w:val="16"/>
              </w:rPr>
              <w:t>follows:</w:t>
            </w:r>
          </w:p>
        </w:tc>
        <w:tc>
          <w:tcPr>
            <w:tcW w:w="5500" w:type="dxa"/>
            <w:gridSpan w:val="3"/>
            <w:tcBorders>
              <w:bottom w:val="single" w:sz="12" w:space="0" w:color="000000"/>
            </w:tcBorders>
          </w:tcPr>
          <w:p>
            <w:pPr>
              <w:pStyle w:val="TableParagraph"/>
              <w:rPr>
                <w:sz w:val="16"/>
              </w:rPr>
            </w:pPr>
          </w:p>
        </w:tc>
      </w:tr>
      <w:tr>
        <w:trPr>
          <w:trHeight w:val="400" w:hRule="atLeast"/>
        </w:trPr>
        <w:tc>
          <w:tcPr>
            <w:tcW w:w="6012" w:type="dxa"/>
            <w:tcBorders>
              <w:top w:val="single" w:sz="12" w:space="0" w:color="000000"/>
            </w:tcBorders>
          </w:tcPr>
          <w:p>
            <w:pPr>
              <w:pStyle w:val="TableParagraph"/>
              <w:rPr>
                <w:sz w:val="16"/>
              </w:rPr>
            </w:pPr>
          </w:p>
        </w:tc>
        <w:tc>
          <w:tcPr>
            <w:tcW w:w="2196" w:type="dxa"/>
            <w:tcBorders>
              <w:top w:val="single" w:sz="12" w:space="0" w:color="000000"/>
            </w:tcBorders>
          </w:tcPr>
          <w:p>
            <w:pPr>
              <w:pStyle w:val="TableParagraph"/>
              <w:spacing w:before="21"/>
              <w:rPr>
                <w:sz w:val="16"/>
              </w:rPr>
            </w:pPr>
          </w:p>
          <w:p>
            <w:pPr>
              <w:pStyle w:val="TableParagraph"/>
              <w:spacing w:line="175" w:lineRule="exact"/>
              <w:ind w:left="549"/>
              <w:rPr>
                <w:sz w:val="16"/>
              </w:rPr>
            </w:pPr>
            <w:r>
              <w:rPr>
                <w:w w:val="105"/>
                <w:sz w:val="16"/>
              </w:rPr>
              <w:t>Number</w:t>
            </w:r>
            <w:r>
              <w:rPr>
                <w:spacing w:val="-8"/>
                <w:w w:val="105"/>
                <w:sz w:val="16"/>
              </w:rPr>
              <w:t> </w:t>
            </w:r>
            <w:r>
              <w:rPr>
                <w:w w:val="105"/>
                <w:sz w:val="16"/>
              </w:rPr>
              <w:t>of</w:t>
            </w:r>
            <w:r>
              <w:rPr>
                <w:spacing w:val="-8"/>
                <w:w w:val="105"/>
                <w:sz w:val="16"/>
              </w:rPr>
              <w:t> </w:t>
            </w:r>
            <w:r>
              <w:rPr>
                <w:spacing w:val="-2"/>
                <w:w w:val="105"/>
                <w:sz w:val="16"/>
              </w:rPr>
              <w:t>patents</w:t>
            </w:r>
          </w:p>
        </w:tc>
        <w:tc>
          <w:tcPr>
            <w:tcW w:w="1550" w:type="dxa"/>
            <w:tcBorders>
              <w:top w:val="single" w:sz="12" w:space="0" w:color="000000"/>
            </w:tcBorders>
          </w:tcPr>
          <w:p>
            <w:pPr>
              <w:pStyle w:val="TableParagraph"/>
              <w:rPr>
                <w:sz w:val="16"/>
              </w:rPr>
            </w:pPr>
          </w:p>
        </w:tc>
        <w:tc>
          <w:tcPr>
            <w:tcW w:w="1754" w:type="dxa"/>
            <w:tcBorders>
              <w:top w:val="single" w:sz="12" w:space="0" w:color="000000"/>
            </w:tcBorders>
          </w:tcPr>
          <w:p>
            <w:pPr>
              <w:pStyle w:val="TableParagraph"/>
              <w:spacing w:before="1"/>
              <w:ind w:left="128"/>
              <w:rPr>
                <w:sz w:val="16"/>
              </w:rPr>
            </w:pPr>
            <w:r>
              <w:rPr>
                <w:w w:val="105"/>
                <w:sz w:val="16"/>
              </w:rPr>
              <w:t>Important</w:t>
            </w:r>
            <w:r>
              <w:rPr>
                <w:spacing w:val="-11"/>
                <w:w w:val="105"/>
                <w:sz w:val="16"/>
              </w:rPr>
              <w:t> </w:t>
            </w:r>
            <w:r>
              <w:rPr>
                <w:w w:val="105"/>
                <w:sz w:val="16"/>
              </w:rPr>
              <w:t>U.S.</w:t>
            </w:r>
            <w:r>
              <w:rPr>
                <w:spacing w:val="-10"/>
                <w:w w:val="105"/>
                <w:sz w:val="16"/>
              </w:rPr>
              <w:t> </w:t>
            </w:r>
            <w:r>
              <w:rPr>
                <w:spacing w:val="-2"/>
                <w:w w:val="105"/>
                <w:sz w:val="16"/>
              </w:rPr>
              <w:t>patents</w:t>
            </w:r>
          </w:p>
          <w:p>
            <w:pPr>
              <w:pStyle w:val="TableParagraph"/>
              <w:spacing w:line="175" w:lineRule="exact" w:before="20"/>
              <w:ind w:left="119"/>
              <w:rPr>
                <w:sz w:val="16"/>
              </w:rPr>
            </w:pPr>
            <w:r>
              <w:rPr>
                <w:sz w:val="16"/>
              </w:rPr>
              <w:t>expiring</w:t>
            </w:r>
            <w:r>
              <w:rPr>
                <w:spacing w:val="17"/>
                <w:sz w:val="16"/>
              </w:rPr>
              <w:t> </w:t>
            </w:r>
            <w:r>
              <w:rPr>
                <w:sz w:val="16"/>
              </w:rPr>
              <w:t>between</w:t>
            </w:r>
            <w:r>
              <w:rPr>
                <w:spacing w:val="16"/>
                <w:sz w:val="16"/>
              </w:rPr>
              <w:t> </w:t>
            </w:r>
            <w:r>
              <w:rPr>
                <w:spacing w:val="-4"/>
                <w:sz w:val="16"/>
              </w:rPr>
              <w:t>2022</w:t>
            </w:r>
          </w:p>
        </w:tc>
      </w:tr>
      <w:tr>
        <w:trPr>
          <w:trHeight w:val="207" w:hRule="atLeast"/>
        </w:trPr>
        <w:tc>
          <w:tcPr>
            <w:tcW w:w="6012" w:type="dxa"/>
            <w:tcBorders>
              <w:bottom w:val="single" w:sz="6" w:space="0" w:color="000000"/>
            </w:tcBorders>
          </w:tcPr>
          <w:p>
            <w:pPr>
              <w:pStyle w:val="TableParagraph"/>
              <w:rPr>
                <w:sz w:val="14"/>
              </w:rPr>
            </w:pPr>
          </w:p>
        </w:tc>
        <w:tc>
          <w:tcPr>
            <w:tcW w:w="2196" w:type="dxa"/>
            <w:tcBorders>
              <w:bottom w:val="single" w:sz="6" w:space="0" w:color="000000"/>
            </w:tcBorders>
          </w:tcPr>
          <w:p>
            <w:pPr>
              <w:pStyle w:val="TableParagraph"/>
              <w:spacing w:line="179" w:lineRule="exact" w:before="8"/>
              <w:ind w:left="811"/>
              <w:rPr>
                <w:sz w:val="16"/>
              </w:rPr>
            </w:pPr>
            <w:r>
              <w:rPr>
                <w:spacing w:val="-2"/>
                <w:w w:val="105"/>
                <w:sz w:val="16"/>
              </w:rPr>
              <w:t>worldwide</w:t>
            </w:r>
          </w:p>
        </w:tc>
        <w:tc>
          <w:tcPr>
            <w:tcW w:w="1550" w:type="dxa"/>
            <w:tcBorders>
              <w:bottom w:val="single" w:sz="6" w:space="0" w:color="000000"/>
            </w:tcBorders>
          </w:tcPr>
          <w:p>
            <w:pPr>
              <w:pStyle w:val="TableParagraph"/>
              <w:spacing w:line="179" w:lineRule="exact" w:before="8"/>
              <w:ind w:left="287"/>
              <w:rPr>
                <w:sz w:val="16"/>
              </w:rPr>
            </w:pPr>
            <w:r>
              <w:rPr>
                <w:w w:val="105"/>
                <w:sz w:val="16"/>
              </w:rPr>
              <w:t>U.S.</w:t>
            </w:r>
            <w:r>
              <w:rPr>
                <w:spacing w:val="-7"/>
                <w:w w:val="105"/>
                <w:sz w:val="16"/>
              </w:rPr>
              <w:t> </w:t>
            </w:r>
            <w:r>
              <w:rPr>
                <w:spacing w:val="-2"/>
                <w:w w:val="105"/>
                <w:sz w:val="16"/>
              </w:rPr>
              <w:t>patents</w:t>
            </w:r>
          </w:p>
        </w:tc>
        <w:tc>
          <w:tcPr>
            <w:tcW w:w="1754" w:type="dxa"/>
            <w:tcBorders>
              <w:bottom w:val="single" w:sz="6" w:space="0" w:color="000000"/>
            </w:tcBorders>
          </w:tcPr>
          <w:p>
            <w:pPr>
              <w:pStyle w:val="TableParagraph"/>
              <w:spacing w:line="179" w:lineRule="exact" w:before="8"/>
              <w:ind w:left="572"/>
              <w:rPr>
                <w:sz w:val="16"/>
              </w:rPr>
            </w:pPr>
            <w:r>
              <w:rPr>
                <w:w w:val="105"/>
                <w:sz w:val="16"/>
              </w:rPr>
              <w:t>and</w:t>
            </w:r>
            <w:r>
              <w:rPr>
                <w:spacing w:val="-6"/>
                <w:w w:val="105"/>
                <w:sz w:val="16"/>
              </w:rPr>
              <w:t> </w:t>
            </w:r>
            <w:r>
              <w:rPr>
                <w:spacing w:val="-4"/>
                <w:w w:val="105"/>
                <w:sz w:val="16"/>
              </w:rPr>
              <w:t>2024</w:t>
            </w:r>
          </w:p>
        </w:tc>
      </w:tr>
      <w:tr>
        <w:trPr>
          <w:trHeight w:val="202" w:hRule="atLeast"/>
        </w:trPr>
        <w:tc>
          <w:tcPr>
            <w:tcW w:w="6012" w:type="dxa"/>
            <w:tcBorders>
              <w:top w:val="single" w:sz="6" w:space="0" w:color="000000"/>
            </w:tcBorders>
            <w:shd w:val="clear" w:color="auto" w:fill="CCEDFF"/>
          </w:tcPr>
          <w:p>
            <w:pPr>
              <w:pStyle w:val="TableParagraph"/>
              <w:spacing w:line="180" w:lineRule="exact" w:before="2"/>
              <w:rPr>
                <w:sz w:val="16"/>
              </w:rPr>
            </w:pPr>
            <w:r>
              <w:rPr>
                <w:sz w:val="16"/>
              </w:rPr>
              <w:t>Display</w:t>
            </w:r>
            <w:r>
              <w:rPr>
                <w:spacing w:val="15"/>
                <w:sz w:val="16"/>
              </w:rPr>
              <w:t> </w:t>
            </w:r>
            <w:r>
              <w:rPr>
                <w:spacing w:val="-2"/>
                <w:sz w:val="16"/>
              </w:rPr>
              <w:t>Technologies</w:t>
            </w:r>
          </w:p>
        </w:tc>
        <w:tc>
          <w:tcPr>
            <w:tcW w:w="2196" w:type="dxa"/>
            <w:tcBorders>
              <w:top w:val="single" w:sz="6" w:space="0" w:color="000000"/>
            </w:tcBorders>
            <w:shd w:val="clear" w:color="auto" w:fill="CCEDFF"/>
          </w:tcPr>
          <w:p>
            <w:pPr>
              <w:pStyle w:val="TableParagraph"/>
              <w:spacing w:line="180" w:lineRule="exact" w:before="2"/>
              <w:ind w:right="282"/>
              <w:jc w:val="right"/>
              <w:rPr>
                <w:sz w:val="16"/>
              </w:rPr>
            </w:pPr>
            <w:r>
              <w:rPr>
                <w:spacing w:val="-4"/>
                <w:w w:val="105"/>
                <w:sz w:val="16"/>
              </w:rPr>
              <w:t>1,176</w:t>
            </w:r>
          </w:p>
        </w:tc>
        <w:tc>
          <w:tcPr>
            <w:tcW w:w="1550" w:type="dxa"/>
            <w:tcBorders>
              <w:top w:val="single" w:sz="6" w:space="0" w:color="000000"/>
            </w:tcBorders>
            <w:shd w:val="clear" w:color="auto" w:fill="CCEDFF"/>
          </w:tcPr>
          <w:p>
            <w:pPr>
              <w:pStyle w:val="TableParagraph"/>
              <w:spacing w:line="180" w:lineRule="exact" w:before="2"/>
              <w:ind w:right="113"/>
              <w:jc w:val="right"/>
              <w:rPr>
                <w:sz w:val="16"/>
              </w:rPr>
            </w:pPr>
            <w:r>
              <w:rPr>
                <w:spacing w:val="-5"/>
                <w:w w:val="105"/>
                <w:sz w:val="16"/>
              </w:rPr>
              <w:t>165</w:t>
            </w:r>
          </w:p>
        </w:tc>
        <w:tc>
          <w:tcPr>
            <w:tcW w:w="1754" w:type="dxa"/>
            <w:tcBorders>
              <w:top w:val="single" w:sz="6" w:space="0" w:color="000000"/>
            </w:tcBorders>
            <w:shd w:val="clear" w:color="auto" w:fill="CCEDFF"/>
          </w:tcPr>
          <w:p>
            <w:pPr>
              <w:pStyle w:val="TableParagraph"/>
              <w:spacing w:line="180" w:lineRule="exact" w:before="2"/>
              <w:ind w:right="109"/>
              <w:jc w:val="right"/>
              <w:rPr>
                <w:sz w:val="16"/>
              </w:rPr>
            </w:pPr>
            <w:r>
              <w:rPr>
                <w:spacing w:val="-10"/>
                <w:w w:val="105"/>
                <w:sz w:val="16"/>
              </w:rPr>
              <w:t>3</w:t>
            </w:r>
          </w:p>
        </w:tc>
      </w:tr>
      <w:tr>
        <w:trPr>
          <w:trHeight w:val="203" w:hRule="atLeast"/>
        </w:trPr>
        <w:tc>
          <w:tcPr>
            <w:tcW w:w="6012" w:type="dxa"/>
          </w:tcPr>
          <w:p>
            <w:pPr>
              <w:pStyle w:val="TableParagraph"/>
              <w:spacing w:line="180" w:lineRule="exact" w:before="3"/>
              <w:rPr>
                <w:sz w:val="16"/>
              </w:rPr>
            </w:pPr>
            <w:r>
              <w:rPr>
                <w:w w:val="105"/>
                <w:sz w:val="16"/>
              </w:rPr>
              <w:t>Optical</w:t>
            </w:r>
            <w:r>
              <w:rPr>
                <w:spacing w:val="-11"/>
                <w:w w:val="105"/>
                <w:sz w:val="16"/>
              </w:rPr>
              <w:t> </w:t>
            </w:r>
            <w:r>
              <w:rPr>
                <w:spacing w:val="-2"/>
                <w:w w:val="105"/>
                <w:sz w:val="16"/>
              </w:rPr>
              <w:t>Communications</w:t>
            </w:r>
          </w:p>
        </w:tc>
        <w:tc>
          <w:tcPr>
            <w:tcW w:w="2196" w:type="dxa"/>
          </w:tcPr>
          <w:p>
            <w:pPr>
              <w:pStyle w:val="TableParagraph"/>
              <w:spacing w:line="180" w:lineRule="exact" w:before="3"/>
              <w:ind w:right="282"/>
              <w:jc w:val="right"/>
              <w:rPr>
                <w:sz w:val="16"/>
              </w:rPr>
            </w:pPr>
            <w:r>
              <w:rPr>
                <w:spacing w:val="-4"/>
                <w:w w:val="105"/>
                <w:sz w:val="16"/>
              </w:rPr>
              <w:t>4,562</w:t>
            </w:r>
          </w:p>
        </w:tc>
        <w:tc>
          <w:tcPr>
            <w:tcW w:w="1550" w:type="dxa"/>
          </w:tcPr>
          <w:p>
            <w:pPr>
              <w:pStyle w:val="TableParagraph"/>
              <w:spacing w:line="180" w:lineRule="exact" w:before="3"/>
              <w:ind w:right="113"/>
              <w:jc w:val="right"/>
              <w:rPr>
                <w:sz w:val="16"/>
              </w:rPr>
            </w:pPr>
            <w:r>
              <w:rPr>
                <w:spacing w:val="-4"/>
                <w:w w:val="105"/>
                <w:sz w:val="16"/>
              </w:rPr>
              <w:t>2,110</w:t>
            </w:r>
          </w:p>
        </w:tc>
        <w:tc>
          <w:tcPr>
            <w:tcW w:w="1754" w:type="dxa"/>
          </w:tcPr>
          <w:p>
            <w:pPr>
              <w:pStyle w:val="TableParagraph"/>
              <w:spacing w:line="180" w:lineRule="exact" w:before="3"/>
              <w:ind w:right="109"/>
              <w:jc w:val="right"/>
              <w:rPr>
                <w:sz w:val="16"/>
              </w:rPr>
            </w:pPr>
            <w:r>
              <w:rPr>
                <w:spacing w:val="-5"/>
                <w:w w:val="105"/>
                <w:sz w:val="16"/>
              </w:rPr>
              <w:t>33</w:t>
            </w:r>
          </w:p>
        </w:tc>
      </w:tr>
      <w:tr>
        <w:trPr>
          <w:trHeight w:val="203" w:hRule="atLeast"/>
        </w:trPr>
        <w:tc>
          <w:tcPr>
            <w:tcW w:w="6012" w:type="dxa"/>
            <w:shd w:val="clear" w:color="auto" w:fill="CCEDFF"/>
          </w:tcPr>
          <w:p>
            <w:pPr>
              <w:pStyle w:val="TableParagraph"/>
              <w:spacing w:line="180" w:lineRule="exact" w:before="3"/>
              <w:rPr>
                <w:sz w:val="16"/>
              </w:rPr>
            </w:pPr>
            <w:r>
              <w:rPr>
                <w:sz w:val="16"/>
              </w:rPr>
              <w:t>Specialty</w:t>
            </w:r>
            <w:r>
              <w:rPr>
                <w:spacing w:val="18"/>
                <w:sz w:val="16"/>
              </w:rPr>
              <w:t> </w:t>
            </w:r>
            <w:r>
              <w:rPr>
                <w:spacing w:val="-2"/>
                <w:sz w:val="16"/>
              </w:rPr>
              <w:t>Materials</w:t>
            </w:r>
          </w:p>
        </w:tc>
        <w:tc>
          <w:tcPr>
            <w:tcW w:w="2196" w:type="dxa"/>
            <w:shd w:val="clear" w:color="auto" w:fill="CCEDFF"/>
          </w:tcPr>
          <w:p>
            <w:pPr>
              <w:pStyle w:val="TableParagraph"/>
              <w:spacing w:line="180" w:lineRule="exact" w:before="3"/>
              <w:ind w:right="282"/>
              <w:jc w:val="right"/>
              <w:rPr>
                <w:sz w:val="16"/>
              </w:rPr>
            </w:pPr>
            <w:r>
              <w:rPr>
                <w:spacing w:val="-4"/>
                <w:w w:val="105"/>
                <w:sz w:val="16"/>
              </w:rPr>
              <w:t>2,399</w:t>
            </w:r>
          </w:p>
        </w:tc>
        <w:tc>
          <w:tcPr>
            <w:tcW w:w="1550" w:type="dxa"/>
            <w:shd w:val="clear" w:color="auto" w:fill="CCEDFF"/>
          </w:tcPr>
          <w:p>
            <w:pPr>
              <w:pStyle w:val="TableParagraph"/>
              <w:spacing w:line="180" w:lineRule="exact" w:before="3"/>
              <w:ind w:right="113"/>
              <w:jc w:val="right"/>
              <w:rPr>
                <w:sz w:val="16"/>
              </w:rPr>
            </w:pPr>
            <w:r>
              <w:rPr>
                <w:spacing w:val="-5"/>
                <w:w w:val="105"/>
                <w:sz w:val="16"/>
              </w:rPr>
              <w:t>743</w:t>
            </w:r>
          </w:p>
        </w:tc>
        <w:tc>
          <w:tcPr>
            <w:tcW w:w="1754" w:type="dxa"/>
            <w:shd w:val="clear" w:color="auto" w:fill="CCEDFF"/>
          </w:tcPr>
          <w:p>
            <w:pPr>
              <w:pStyle w:val="TableParagraph"/>
              <w:spacing w:line="180" w:lineRule="exact" w:before="3"/>
              <w:ind w:right="109"/>
              <w:jc w:val="right"/>
              <w:rPr>
                <w:sz w:val="16"/>
              </w:rPr>
            </w:pPr>
            <w:r>
              <w:rPr>
                <w:spacing w:val="-10"/>
                <w:w w:val="105"/>
                <w:sz w:val="16"/>
              </w:rPr>
              <w:t>5</w:t>
            </w:r>
          </w:p>
        </w:tc>
      </w:tr>
      <w:tr>
        <w:trPr>
          <w:trHeight w:val="203" w:hRule="atLeast"/>
        </w:trPr>
        <w:tc>
          <w:tcPr>
            <w:tcW w:w="6012" w:type="dxa"/>
          </w:tcPr>
          <w:p>
            <w:pPr>
              <w:pStyle w:val="TableParagraph"/>
              <w:spacing w:line="180" w:lineRule="exact" w:before="3"/>
              <w:rPr>
                <w:sz w:val="16"/>
              </w:rPr>
            </w:pPr>
            <w:r>
              <w:rPr>
                <w:sz w:val="16"/>
              </w:rPr>
              <w:t>Environmental</w:t>
            </w:r>
            <w:r>
              <w:rPr>
                <w:spacing w:val="29"/>
                <w:sz w:val="16"/>
              </w:rPr>
              <w:t> </w:t>
            </w:r>
            <w:r>
              <w:rPr>
                <w:spacing w:val="-2"/>
                <w:sz w:val="16"/>
              </w:rPr>
              <w:t>Technologies</w:t>
            </w:r>
          </w:p>
        </w:tc>
        <w:tc>
          <w:tcPr>
            <w:tcW w:w="2196" w:type="dxa"/>
          </w:tcPr>
          <w:p>
            <w:pPr>
              <w:pStyle w:val="TableParagraph"/>
              <w:spacing w:line="180" w:lineRule="exact" w:before="3"/>
              <w:ind w:right="282"/>
              <w:jc w:val="right"/>
              <w:rPr>
                <w:sz w:val="16"/>
              </w:rPr>
            </w:pPr>
            <w:r>
              <w:rPr>
                <w:spacing w:val="-4"/>
                <w:w w:val="105"/>
                <w:sz w:val="16"/>
              </w:rPr>
              <w:t>1,050</w:t>
            </w:r>
          </w:p>
        </w:tc>
        <w:tc>
          <w:tcPr>
            <w:tcW w:w="1550" w:type="dxa"/>
          </w:tcPr>
          <w:p>
            <w:pPr>
              <w:pStyle w:val="TableParagraph"/>
              <w:spacing w:line="180" w:lineRule="exact" w:before="3"/>
              <w:ind w:right="113"/>
              <w:jc w:val="right"/>
              <w:rPr>
                <w:sz w:val="16"/>
              </w:rPr>
            </w:pPr>
            <w:r>
              <w:rPr>
                <w:spacing w:val="-5"/>
                <w:w w:val="105"/>
                <w:sz w:val="16"/>
              </w:rPr>
              <w:t>362</w:t>
            </w:r>
          </w:p>
        </w:tc>
        <w:tc>
          <w:tcPr>
            <w:tcW w:w="1754" w:type="dxa"/>
          </w:tcPr>
          <w:p>
            <w:pPr>
              <w:pStyle w:val="TableParagraph"/>
              <w:spacing w:line="180" w:lineRule="exact" w:before="3"/>
              <w:ind w:right="109"/>
              <w:jc w:val="right"/>
              <w:rPr>
                <w:sz w:val="16"/>
              </w:rPr>
            </w:pPr>
            <w:r>
              <w:rPr>
                <w:spacing w:val="-5"/>
                <w:w w:val="105"/>
                <w:sz w:val="16"/>
              </w:rPr>
              <w:t>10</w:t>
            </w:r>
          </w:p>
        </w:tc>
      </w:tr>
      <w:tr>
        <w:trPr>
          <w:trHeight w:val="200" w:hRule="atLeast"/>
        </w:trPr>
        <w:tc>
          <w:tcPr>
            <w:tcW w:w="6012" w:type="dxa"/>
            <w:tcBorders>
              <w:bottom w:val="double" w:sz="6" w:space="0" w:color="000000"/>
            </w:tcBorders>
            <w:shd w:val="clear" w:color="auto" w:fill="CCEDFF"/>
          </w:tcPr>
          <w:p>
            <w:pPr>
              <w:pStyle w:val="TableParagraph"/>
              <w:spacing w:line="177" w:lineRule="exact" w:before="3"/>
              <w:rPr>
                <w:sz w:val="16"/>
              </w:rPr>
            </w:pPr>
            <w:r>
              <w:rPr>
                <w:w w:val="105"/>
                <w:sz w:val="16"/>
              </w:rPr>
              <w:t>Life</w:t>
            </w:r>
            <w:r>
              <w:rPr>
                <w:spacing w:val="-7"/>
                <w:w w:val="105"/>
                <w:sz w:val="16"/>
              </w:rPr>
              <w:t> </w:t>
            </w:r>
            <w:r>
              <w:rPr>
                <w:spacing w:val="-2"/>
                <w:w w:val="105"/>
                <w:sz w:val="16"/>
              </w:rPr>
              <w:t>Sciences</w:t>
            </w:r>
          </w:p>
        </w:tc>
        <w:tc>
          <w:tcPr>
            <w:tcW w:w="2196" w:type="dxa"/>
            <w:tcBorders>
              <w:bottom w:val="double" w:sz="6" w:space="0" w:color="000000"/>
            </w:tcBorders>
            <w:shd w:val="clear" w:color="auto" w:fill="CCEDFF"/>
          </w:tcPr>
          <w:p>
            <w:pPr>
              <w:pStyle w:val="TableParagraph"/>
              <w:spacing w:line="177" w:lineRule="exact" w:before="3"/>
              <w:ind w:right="282"/>
              <w:jc w:val="right"/>
              <w:rPr>
                <w:sz w:val="16"/>
              </w:rPr>
            </w:pPr>
            <w:r>
              <w:rPr>
                <w:spacing w:val="-5"/>
                <w:w w:val="105"/>
                <w:sz w:val="16"/>
              </w:rPr>
              <w:t>567</w:t>
            </w:r>
          </w:p>
        </w:tc>
        <w:tc>
          <w:tcPr>
            <w:tcW w:w="1550" w:type="dxa"/>
            <w:tcBorders>
              <w:bottom w:val="double" w:sz="6" w:space="0" w:color="000000"/>
            </w:tcBorders>
            <w:shd w:val="clear" w:color="auto" w:fill="CCEDFF"/>
          </w:tcPr>
          <w:p>
            <w:pPr>
              <w:pStyle w:val="TableParagraph"/>
              <w:spacing w:line="177" w:lineRule="exact" w:before="3"/>
              <w:ind w:right="113"/>
              <w:jc w:val="right"/>
              <w:rPr>
                <w:sz w:val="16"/>
              </w:rPr>
            </w:pPr>
            <w:r>
              <w:rPr>
                <w:spacing w:val="-5"/>
                <w:w w:val="105"/>
                <w:sz w:val="16"/>
              </w:rPr>
              <w:t>173</w:t>
            </w:r>
          </w:p>
        </w:tc>
        <w:tc>
          <w:tcPr>
            <w:tcW w:w="1754" w:type="dxa"/>
            <w:tcBorders>
              <w:bottom w:val="double" w:sz="6" w:space="0" w:color="000000"/>
            </w:tcBorders>
            <w:shd w:val="clear" w:color="auto" w:fill="CCEDFF"/>
          </w:tcPr>
          <w:p>
            <w:pPr>
              <w:pStyle w:val="TableParagraph"/>
              <w:spacing w:line="177" w:lineRule="exact" w:before="3"/>
              <w:ind w:right="109"/>
              <w:jc w:val="right"/>
              <w:rPr>
                <w:sz w:val="16"/>
              </w:rPr>
            </w:pPr>
            <w:r>
              <w:rPr>
                <w:spacing w:val="-10"/>
                <w:w w:val="105"/>
                <w:sz w:val="16"/>
              </w:rPr>
              <w:t>1</w:t>
            </w:r>
          </w:p>
        </w:tc>
      </w:tr>
    </w:tbl>
    <w:p>
      <w:pPr>
        <w:pStyle w:val="BodyText"/>
        <w:spacing w:before="24"/>
      </w:pPr>
    </w:p>
    <w:p>
      <w:pPr>
        <w:pStyle w:val="BodyText"/>
        <w:spacing w:line="266" w:lineRule="auto"/>
        <w:ind w:left="156" w:right="405"/>
      </w:pPr>
      <w:r>
        <w:rPr>
          <w:w w:val="105"/>
        </w:rPr>
        <w:t>Many</w:t>
      </w:r>
      <w:r>
        <w:rPr>
          <w:spacing w:val="-7"/>
          <w:w w:val="105"/>
        </w:rPr>
        <w:t> </w:t>
      </w:r>
      <w:r>
        <w:rPr>
          <w:w w:val="105"/>
        </w:rPr>
        <w:t>of</w:t>
      </w:r>
      <w:r>
        <w:rPr>
          <w:spacing w:val="-7"/>
          <w:w w:val="105"/>
        </w:rPr>
        <w:t> </w:t>
      </w:r>
      <w:r>
        <w:rPr>
          <w:w w:val="105"/>
        </w:rPr>
        <w:t>the</w:t>
      </w:r>
      <w:r>
        <w:rPr>
          <w:spacing w:val="-7"/>
          <w:w w:val="105"/>
        </w:rPr>
        <w:t> </w:t>
      </w:r>
      <w:r>
        <w:rPr>
          <w:w w:val="105"/>
        </w:rPr>
        <w:t>Company’s</w:t>
      </w:r>
      <w:r>
        <w:rPr>
          <w:spacing w:val="-7"/>
          <w:w w:val="105"/>
        </w:rPr>
        <w:t> </w:t>
      </w:r>
      <w:r>
        <w:rPr>
          <w:w w:val="105"/>
        </w:rPr>
        <w:t>patents</w:t>
      </w:r>
      <w:r>
        <w:rPr>
          <w:spacing w:val="-7"/>
          <w:w w:val="105"/>
        </w:rPr>
        <w:t> </w:t>
      </w:r>
      <w:r>
        <w:rPr>
          <w:w w:val="105"/>
        </w:rPr>
        <w:t>are</w:t>
      </w:r>
      <w:r>
        <w:rPr>
          <w:spacing w:val="-7"/>
          <w:w w:val="105"/>
        </w:rPr>
        <w:t> </w:t>
      </w:r>
      <w:r>
        <w:rPr>
          <w:w w:val="105"/>
        </w:rPr>
        <w:t>used</w:t>
      </w:r>
      <w:r>
        <w:rPr>
          <w:spacing w:val="-7"/>
          <w:w w:val="105"/>
        </w:rPr>
        <w:t> </w:t>
      </w:r>
      <w:r>
        <w:rPr>
          <w:w w:val="105"/>
        </w:rPr>
        <w:t>in</w:t>
      </w:r>
      <w:r>
        <w:rPr>
          <w:spacing w:val="-7"/>
          <w:w w:val="105"/>
        </w:rPr>
        <w:t> </w:t>
      </w:r>
      <w:r>
        <w:rPr>
          <w:w w:val="105"/>
        </w:rPr>
        <w:t>operations</w:t>
      </w:r>
      <w:r>
        <w:rPr>
          <w:spacing w:val="-7"/>
          <w:w w:val="105"/>
        </w:rPr>
        <w:t> </w:t>
      </w:r>
      <w:r>
        <w:rPr>
          <w:w w:val="105"/>
        </w:rPr>
        <w:t>or</w:t>
      </w:r>
      <w:r>
        <w:rPr>
          <w:spacing w:val="-7"/>
          <w:w w:val="105"/>
        </w:rPr>
        <w:t> </w:t>
      </w:r>
      <w:r>
        <w:rPr>
          <w:w w:val="105"/>
        </w:rPr>
        <w:t>are</w:t>
      </w:r>
      <w:r>
        <w:rPr>
          <w:spacing w:val="-7"/>
          <w:w w:val="105"/>
        </w:rPr>
        <w:t> </w:t>
      </w:r>
      <w:r>
        <w:rPr>
          <w:w w:val="105"/>
        </w:rPr>
        <w:t>licensed</w:t>
      </w:r>
      <w:r>
        <w:rPr>
          <w:spacing w:val="-7"/>
          <w:w w:val="105"/>
        </w:rPr>
        <w:t> </w:t>
      </w:r>
      <w:r>
        <w:rPr>
          <w:w w:val="105"/>
        </w:rPr>
        <w:t>for</w:t>
      </w:r>
      <w:r>
        <w:rPr>
          <w:spacing w:val="-7"/>
          <w:w w:val="105"/>
        </w:rPr>
        <w:t> </w:t>
      </w:r>
      <w:r>
        <w:rPr>
          <w:w w:val="105"/>
        </w:rPr>
        <w:t>use</w:t>
      </w:r>
      <w:r>
        <w:rPr>
          <w:spacing w:val="-7"/>
          <w:w w:val="105"/>
        </w:rPr>
        <w:t> </w:t>
      </w:r>
      <w:r>
        <w:rPr>
          <w:w w:val="105"/>
        </w:rPr>
        <w:t>by</w:t>
      </w:r>
      <w:r>
        <w:rPr>
          <w:spacing w:val="-7"/>
          <w:w w:val="105"/>
        </w:rPr>
        <w:t> </w:t>
      </w:r>
      <w:r>
        <w:rPr>
          <w:w w:val="105"/>
        </w:rPr>
        <w:t>others,</w:t>
      </w:r>
      <w:r>
        <w:rPr>
          <w:spacing w:val="-7"/>
          <w:w w:val="105"/>
        </w:rPr>
        <w:t> </w:t>
      </w:r>
      <w:r>
        <w:rPr>
          <w:w w:val="105"/>
        </w:rPr>
        <w:t>and</w:t>
      </w:r>
      <w:r>
        <w:rPr>
          <w:spacing w:val="-7"/>
          <w:w w:val="105"/>
        </w:rPr>
        <w:t> </w:t>
      </w:r>
      <w:r>
        <w:rPr>
          <w:w w:val="105"/>
        </w:rPr>
        <w:t>Corning</w:t>
      </w:r>
      <w:r>
        <w:rPr>
          <w:spacing w:val="-7"/>
          <w:w w:val="105"/>
        </w:rPr>
        <w:t> </w:t>
      </w:r>
      <w:r>
        <w:rPr>
          <w:w w:val="105"/>
        </w:rPr>
        <w:t>is</w:t>
      </w:r>
      <w:r>
        <w:rPr>
          <w:spacing w:val="-5"/>
          <w:w w:val="105"/>
        </w:rPr>
        <w:t> </w:t>
      </w:r>
      <w:r>
        <w:rPr>
          <w:w w:val="105"/>
        </w:rPr>
        <w:t>licensed</w:t>
      </w:r>
      <w:r>
        <w:rPr>
          <w:spacing w:val="-7"/>
          <w:w w:val="105"/>
        </w:rPr>
        <w:t> </w:t>
      </w:r>
      <w:r>
        <w:rPr>
          <w:w w:val="105"/>
        </w:rPr>
        <w:t>to</w:t>
      </w:r>
      <w:r>
        <w:rPr>
          <w:spacing w:val="-7"/>
          <w:w w:val="105"/>
        </w:rPr>
        <w:t> </w:t>
      </w:r>
      <w:r>
        <w:rPr>
          <w:w w:val="105"/>
        </w:rPr>
        <w:t>use</w:t>
      </w:r>
      <w:r>
        <w:rPr>
          <w:spacing w:val="-7"/>
          <w:w w:val="105"/>
        </w:rPr>
        <w:t> </w:t>
      </w:r>
      <w:r>
        <w:rPr>
          <w:w w:val="105"/>
        </w:rPr>
        <w:t>patents</w:t>
      </w:r>
      <w:r>
        <w:rPr>
          <w:spacing w:val="-7"/>
          <w:w w:val="105"/>
        </w:rPr>
        <w:t> </w:t>
      </w:r>
      <w:r>
        <w:rPr>
          <w:w w:val="105"/>
        </w:rPr>
        <w:t>owned</w:t>
      </w:r>
      <w:r>
        <w:rPr>
          <w:spacing w:val="-7"/>
          <w:w w:val="105"/>
        </w:rPr>
        <w:t> </w:t>
      </w:r>
      <w:r>
        <w:rPr>
          <w:w w:val="105"/>
        </w:rPr>
        <w:t>by</w:t>
      </w:r>
      <w:r>
        <w:rPr>
          <w:spacing w:val="-7"/>
          <w:w w:val="105"/>
        </w:rPr>
        <w:t> </w:t>
      </w:r>
      <w:r>
        <w:rPr>
          <w:w w:val="105"/>
        </w:rPr>
        <w:t>others.</w:t>
      </w:r>
      <w:r>
        <w:rPr>
          <w:spacing w:val="-7"/>
          <w:w w:val="105"/>
        </w:rPr>
        <w:t> </w:t>
      </w:r>
      <w:r>
        <w:rPr>
          <w:w w:val="105"/>
        </w:rPr>
        <w:t>Corning</w:t>
      </w:r>
      <w:r>
        <w:rPr>
          <w:spacing w:val="-7"/>
          <w:w w:val="105"/>
        </w:rPr>
        <w:t> </w:t>
      </w:r>
      <w:r>
        <w:rPr>
          <w:w w:val="105"/>
        </w:rPr>
        <w:t>has</w:t>
      </w:r>
      <w:r>
        <w:rPr>
          <w:spacing w:val="-7"/>
          <w:w w:val="105"/>
        </w:rPr>
        <w:t> </w:t>
      </w:r>
      <w:r>
        <w:rPr>
          <w:w w:val="105"/>
        </w:rPr>
        <w:t>entered</w:t>
      </w:r>
      <w:r>
        <w:rPr>
          <w:spacing w:val="-7"/>
          <w:w w:val="105"/>
        </w:rPr>
        <w:t> </w:t>
      </w:r>
      <w:r>
        <w:rPr>
          <w:w w:val="105"/>
        </w:rPr>
        <w:t>into cross-licensing</w:t>
      </w:r>
      <w:r>
        <w:rPr>
          <w:spacing w:val="-1"/>
          <w:w w:val="105"/>
        </w:rPr>
        <w:t> </w:t>
      </w:r>
      <w:r>
        <w:rPr>
          <w:w w:val="105"/>
        </w:rPr>
        <w:t>arrangements</w:t>
      </w:r>
      <w:r>
        <w:rPr>
          <w:spacing w:val="-1"/>
          <w:w w:val="105"/>
        </w:rPr>
        <w:t> </w:t>
      </w:r>
      <w:r>
        <w:rPr>
          <w:w w:val="105"/>
        </w:rPr>
        <w:t>with</w:t>
      </w:r>
      <w:r>
        <w:rPr>
          <w:spacing w:val="-1"/>
          <w:w w:val="105"/>
        </w:rPr>
        <w:t> </w:t>
      </w:r>
      <w:r>
        <w:rPr>
          <w:w w:val="105"/>
        </w:rPr>
        <w:t>some</w:t>
      </w:r>
      <w:r>
        <w:rPr>
          <w:spacing w:val="-1"/>
          <w:w w:val="105"/>
        </w:rPr>
        <w:t> </w:t>
      </w:r>
      <w:r>
        <w:rPr>
          <w:w w:val="105"/>
        </w:rPr>
        <w:t>major</w:t>
      </w:r>
      <w:r>
        <w:rPr>
          <w:spacing w:val="-1"/>
          <w:w w:val="105"/>
        </w:rPr>
        <w:t> </w:t>
      </w:r>
      <w:r>
        <w:rPr>
          <w:w w:val="105"/>
        </w:rPr>
        <w:t>competitors,</w:t>
      </w:r>
      <w:r>
        <w:rPr>
          <w:spacing w:val="-1"/>
          <w:w w:val="105"/>
        </w:rPr>
        <w:t> </w:t>
      </w:r>
      <w:r>
        <w:rPr>
          <w:w w:val="105"/>
        </w:rPr>
        <w:t>but</w:t>
      </w:r>
      <w:r>
        <w:rPr>
          <w:spacing w:val="-1"/>
          <w:w w:val="105"/>
        </w:rPr>
        <w:t> </w:t>
      </w:r>
      <w:r>
        <w:rPr>
          <w:w w:val="105"/>
        </w:rPr>
        <w:t>the</w:t>
      </w:r>
      <w:r>
        <w:rPr>
          <w:spacing w:val="-1"/>
          <w:w w:val="105"/>
        </w:rPr>
        <w:t> </w:t>
      </w:r>
      <w:r>
        <w:rPr>
          <w:w w:val="105"/>
        </w:rPr>
        <w:t>scope</w:t>
      </w:r>
      <w:r>
        <w:rPr>
          <w:spacing w:val="-1"/>
          <w:w w:val="105"/>
        </w:rPr>
        <w:t> </w:t>
      </w:r>
      <w:r>
        <w:rPr>
          <w:w w:val="105"/>
        </w:rPr>
        <w:t>of</w:t>
      </w:r>
      <w:r>
        <w:rPr>
          <w:spacing w:val="-1"/>
          <w:w w:val="105"/>
        </w:rPr>
        <w:t> </w:t>
      </w:r>
      <w:r>
        <w:rPr>
          <w:w w:val="105"/>
        </w:rPr>
        <w:t>such</w:t>
      </w:r>
      <w:r>
        <w:rPr>
          <w:spacing w:val="-1"/>
          <w:w w:val="105"/>
        </w:rPr>
        <w:t> </w:t>
      </w:r>
      <w:r>
        <w:rPr>
          <w:w w:val="105"/>
        </w:rPr>
        <w:t>licenses</w:t>
      </w:r>
      <w:r>
        <w:rPr>
          <w:spacing w:val="-1"/>
          <w:w w:val="105"/>
        </w:rPr>
        <w:t> </w:t>
      </w:r>
      <w:r>
        <w:rPr>
          <w:w w:val="105"/>
        </w:rPr>
        <w:t>has</w:t>
      </w:r>
      <w:r>
        <w:rPr>
          <w:spacing w:val="-1"/>
          <w:w w:val="105"/>
        </w:rPr>
        <w:t> </w:t>
      </w:r>
      <w:r>
        <w:rPr>
          <w:w w:val="105"/>
        </w:rPr>
        <w:t>been</w:t>
      </w:r>
      <w:r>
        <w:rPr>
          <w:spacing w:val="-1"/>
          <w:w w:val="105"/>
        </w:rPr>
        <w:t> </w:t>
      </w:r>
      <w:r>
        <w:rPr>
          <w:w w:val="105"/>
        </w:rPr>
        <w:t>limited to</w:t>
      </w:r>
      <w:r>
        <w:rPr>
          <w:spacing w:val="-1"/>
          <w:w w:val="105"/>
        </w:rPr>
        <w:t> </w:t>
      </w:r>
      <w:r>
        <w:rPr>
          <w:w w:val="105"/>
        </w:rPr>
        <w:t>specific</w:t>
      </w:r>
      <w:r>
        <w:rPr>
          <w:spacing w:val="-1"/>
          <w:w w:val="105"/>
        </w:rPr>
        <w:t> </w:t>
      </w:r>
      <w:r>
        <w:rPr>
          <w:w w:val="105"/>
        </w:rPr>
        <w:t>product</w:t>
      </w:r>
      <w:r>
        <w:rPr>
          <w:spacing w:val="-1"/>
          <w:w w:val="105"/>
        </w:rPr>
        <w:t> </w:t>
      </w:r>
      <w:r>
        <w:rPr>
          <w:w w:val="105"/>
        </w:rPr>
        <w:t>areas</w:t>
      </w:r>
      <w:r>
        <w:rPr>
          <w:spacing w:val="-1"/>
          <w:w w:val="105"/>
        </w:rPr>
        <w:t> </w:t>
      </w:r>
      <w:r>
        <w:rPr>
          <w:w w:val="105"/>
        </w:rPr>
        <w:t>or</w:t>
      </w:r>
      <w:r>
        <w:rPr>
          <w:spacing w:val="-1"/>
          <w:w w:val="105"/>
        </w:rPr>
        <w:t> </w:t>
      </w:r>
      <w:r>
        <w:rPr>
          <w:w w:val="105"/>
        </w:rPr>
        <w:t>technologies.</w:t>
      </w:r>
    </w:p>
    <w:p>
      <w:pPr>
        <w:pStyle w:val="BodyText"/>
        <w:spacing w:before="19"/>
      </w:pPr>
    </w:p>
    <w:p>
      <w:pPr>
        <w:pStyle w:val="BodyText"/>
        <w:spacing w:line="266" w:lineRule="auto"/>
        <w:ind w:left="156" w:right="328"/>
      </w:pPr>
      <w:r>
        <w:rPr>
          <w:w w:val="105"/>
        </w:rPr>
        <w:t>Corning’s</w:t>
      </w:r>
      <w:r>
        <w:rPr>
          <w:spacing w:val="-10"/>
          <w:w w:val="105"/>
        </w:rPr>
        <w:t> </w:t>
      </w:r>
      <w:r>
        <w:rPr>
          <w:w w:val="105"/>
        </w:rPr>
        <w:t>principle</w:t>
      </w:r>
      <w:r>
        <w:rPr>
          <w:spacing w:val="-10"/>
          <w:w w:val="105"/>
        </w:rPr>
        <w:t> </w:t>
      </w:r>
      <w:r>
        <w:rPr>
          <w:w w:val="105"/>
        </w:rPr>
        <w:t>trademarks</w:t>
      </w:r>
      <w:r>
        <w:rPr>
          <w:spacing w:val="-10"/>
          <w:w w:val="105"/>
        </w:rPr>
        <w:t> </w:t>
      </w:r>
      <w:r>
        <w:rPr>
          <w:w w:val="105"/>
        </w:rPr>
        <w:t>include</w:t>
      </w:r>
      <w:r>
        <w:rPr>
          <w:spacing w:val="-10"/>
          <w:w w:val="105"/>
        </w:rPr>
        <w:t> </w:t>
      </w:r>
      <w:r>
        <w:rPr>
          <w:w w:val="105"/>
        </w:rPr>
        <w:t>the</w:t>
      </w:r>
      <w:r>
        <w:rPr>
          <w:spacing w:val="-10"/>
          <w:w w:val="105"/>
        </w:rPr>
        <w:t> </w:t>
      </w:r>
      <w:r>
        <w:rPr>
          <w:w w:val="105"/>
        </w:rPr>
        <w:t>following:</w:t>
      </w:r>
      <w:r>
        <w:rPr>
          <w:spacing w:val="22"/>
          <w:w w:val="105"/>
        </w:rPr>
        <w:t> </w:t>
      </w:r>
      <w:r>
        <w:rPr>
          <w:w w:val="105"/>
        </w:rPr>
        <w:t>Axygen,</w:t>
      </w:r>
      <w:r>
        <w:rPr>
          <w:spacing w:val="-10"/>
          <w:w w:val="105"/>
        </w:rPr>
        <w:t> </w:t>
      </w:r>
      <w:r>
        <w:rPr>
          <w:w w:val="105"/>
        </w:rPr>
        <w:t>Celcor,</w:t>
      </w:r>
      <w:r>
        <w:rPr>
          <w:spacing w:val="-10"/>
          <w:w w:val="105"/>
        </w:rPr>
        <w:t> </w:t>
      </w:r>
      <w:r>
        <w:rPr>
          <w:w w:val="105"/>
        </w:rPr>
        <w:t>ClearCurve,</w:t>
      </w:r>
      <w:r>
        <w:rPr>
          <w:spacing w:val="-10"/>
          <w:w w:val="105"/>
        </w:rPr>
        <w:t> </w:t>
      </w:r>
      <w:r>
        <w:rPr>
          <w:w w:val="105"/>
        </w:rPr>
        <w:t>Corning,</w:t>
      </w:r>
      <w:r>
        <w:rPr>
          <w:spacing w:val="-10"/>
          <w:w w:val="105"/>
        </w:rPr>
        <w:t> </w:t>
      </w:r>
      <w:r>
        <w:rPr>
          <w:w w:val="105"/>
        </w:rPr>
        <w:t>DuraTrap,</w:t>
      </w:r>
      <w:r>
        <w:rPr>
          <w:spacing w:val="-10"/>
          <w:w w:val="105"/>
        </w:rPr>
        <w:t> </w:t>
      </w:r>
      <w:r>
        <w:rPr>
          <w:w w:val="105"/>
        </w:rPr>
        <w:t>Eagle</w:t>
      </w:r>
      <w:r>
        <w:rPr>
          <w:spacing w:val="-10"/>
          <w:w w:val="105"/>
        </w:rPr>
        <w:t> </w:t>
      </w:r>
      <w:r>
        <w:rPr>
          <w:w w:val="105"/>
        </w:rPr>
        <w:t>XG,</w:t>
      </w:r>
      <w:r>
        <w:rPr>
          <w:spacing w:val="-10"/>
          <w:w w:val="105"/>
        </w:rPr>
        <w:t> </w:t>
      </w:r>
      <w:r>
        <w:rPr>
          <w:w w:val="105"/>
        </w:rPr>
        <w:t>Edge8,</w:t>
      </w:r>
      <w:r>
        <w:rPr>
          <w:spacing w:val="-10"/>
          <w:w w:val="105"/>
        </w:rPr>
        <w:t> </w:t>
      </w:r>
      <w:r>
        <w:rPr>
          <w:w w:val="105"/>
        </w:rPr>
        <w:t>Falcon,</w:t>
      </w:r>
      <w:r>
        <w:rPr>
          <w:spacing w:val="-10"/>
          <w:w w:val="105"/>
        </w:rPr>
        <w:t> </w:t>
      </w:r>
      <w:r>
        <w:rPr>
          <w:w w:val="105"/>
        </w:rPr>
        <w:t>Gorilla,</w:t>
      </w:r>
      <w:r>
        <w:rPr>
          <w:spacing w:val="-10"/>
          <w:w w:val="105"/>
        </w:rPr>
        <w:t> </w:t>
      </w:r>
      <w:r>
        <w:rPr>
          <w:w w:val="105"/>
        </w:rPr>
        <w:t>Guardiant,</w:t>
      </w:r>
      <w:r>
        <w:rPr>
          <w:spacing w:val="-10"/>
          <w:w w:val="105"/>
        </w:rPr>
        <w:t> </w:t>
      </w:r>
      <w:r>
        <w:rPr>
          <w:w w:val="105"/>
        </w:rPr>
        <w:t>HPFS,</w:t>
      </w:r>
      <w:r>
        <w:rPr>
          <w:spacing w:val="-10"/>
          <w:w w:val="105"/>
        </w:rPr>
        <w:t> </w:t>
      </w:r>
      <w:r>
        <w:rPr>
          <w:w w:val="105"/>
        </w:rPr>
        <w:t>Leaf, PYREX, RocketRibbon, SMF-28e, Steuben, UniCam, Valor, Velocity, and Victus.</w:t>
      </w:r>
    </w:p>
    <w:p>
      <w:pPr>
        <w:pStyle w:val="BodyText"/>
        <w:spacing w:before="19"/>
      </w:pPr>
    </w:p>
    <w:p>
      <w:pPr>
        <w:pStyle w:val="Heading3"/>
      </w:pPr>
      <w:r>
        <w:rPr>
          <w:spacing w:val="-2"/>
          <w:w w:val="105"/>
        </w:rPr>
        <w:t>Protection</w:t>
      </w:r>
      <w:r>
        <w:rPr>
          <w:spacing w:val="-1"/>
          <w:w w:val="105"/>
        </w:rPr>
        <w:t> </w:t>
      </w:r>
      <w:r>
        <w:rPr>
          <w:spacing w:val="-2"/>
          <w:w w:val="105"/>
        </w:rPr>
        <w:t>of</w:t>
      </w:r>
      <w:r>
        <w:rPr>
          <w:spacing w:val="-1"/>
          <w:w w:val="105"/>
        </w:rPr>
        <w:t> </w:t>
      </w:r>
      <w:r>
        <w:rPr>
          <w:spacing w:val="-2"/>
          <w:w w:val="105"/>
        </w:rPr>
        <w:t>the</w:t>
      </w:r>
      <w:r>
        <w:rPr>
          <w:spacing w:val="-1"/>
          <w:w w:val="105"/>
        </w:rPr>
        <w:t> </w:t>
      </w:r>
      <w:r>
        <w:rPr>
          <w:spacing w:val="-2"/>
          <w:w w:val="105"/>
        </w:rPr>
        <w:t>Environment</w:t>
      </w:r>
    </w:p>
    <w:p>
      <w:pPr>
        <w:pStyle w:val="BodyText"/>
        <w:spacing w:before="40"/>
        <w:rPr>
          <w:b/>
          <w:i/>
        </w:rPr>
      </w:pPr>
    </w:p>
    <w:p>
      <w:pPr>
        <w:pStyle w:val="BodyText"/>
        <w:spacing w:line="266" w:lineRule="auto"/>
        <w:ind w:left="156"/>
      </w:pPr>
      <w:r>
        <w:rPr>
          <w:w w:val="105"/>
        </w:rPr>
        <w:t>Corning</w:t>
      </w:r>
      <w:r>
        <w:rPr>
          <w:spacing w:val="-2"/>
          <w:w w:val="105"/>
        </w:rPr>
        <w:t> </w:t>
      </w:r>
      <w:r>
        <w:rPr>
          <w:w w:val="105"/>
        </w:rPr>
        <w:t>has</w:t>
      </w:r>
      <w:r>
        <w:rPr>
          <w:spacing w:val="-2"/>
          <w:w w:val="105"/>
        </w:rPr>
        <w:t> </w:t>
      </w:r>
      <w:r>
        <w:rPr>
          <w:w w:val="105"/>
        </w:rPr>
        <w:t>an</w:t>
      </w:r>
      <w:r>
        <w:rPr>
          <w:spacing w:val="-2"/>
          <w:w w:val="105"/>
        </w:rPr>
        <w:t> </w:t>
      </w:r>
      <w:r>
        <w:rPr>
          <w:w w:val="105"/>
        </w:rPr>
        <w:t>extensive</w:t>
      </w:r>
      <w:r>
        <w:rPr>
          <w:spacing w:val="-2"/>
          <w:w w:val="105"/>
        </w:rPr>
        <w:t> </w:t>
      </w:r>
      <w:r>
        <w:rPr>
          <w:w w:val="105"/>
        </w:rPr>
        <w:t>program to</w:t>
      </w:r>
      <w:r>
        <w:rPr>
          <w:spacing w:val="-2"/>
          <w:w w:val="105"/>
        </w:rPr>
        <w:t> </w:t>
      </w:r>
      <w:r>
        <w:rPr>
          <w:w w:val="105"/>
        </w:rPr>
        <w:t>ensure</w:t>
      </w:r>
      <w:r>
        <w:rPr>
          <w:spacing w:val="-2"/>
          <w:w w:val="105"/>
        </w:rPr>
        <w:t> </w:t>
      </w:r>
      <w:r>
        <w:rPr>
          <w:w w:val="105"/>
        </w:rPr>
        <w:t>that</w:t>
      </w:r>
      <w:r>
        <w:rPr>
          <w:spacing w:val="-2"/>
          <w:w w:val="105"/>
        </w:rPr>
        <w:t> </w:t>
      </w:r>
      <w:r>
        <w:rPr>
          <w:w w:val="105"/>
        </w:rPr>
        <w:t>its</w:t>
      </w:r>
      <w:r>
        <w:rPr>
          <w:spacing w:val="-2"/>
          <w:w w:val="105"/>
        </w:rPr>
        <w:t> </w:t>
      </w:r>
      <w:r>
        <w:rPr>
          <w:w w:val="105"/>
        </w:rPr>
        <w:t>facilities</w:t>
      </w:r>
      <w:r>
        <w:rPr>
          <w:spacing w:val="-2"/>
          <w:w w:val="105"/>
        </w:rPr>
        <w:t> </w:t>
      </w:r>
      <w:r>
        <w:rPr>
          <w:w w:val="105"/>
        </w:rPr>
        <w:t>comply</w:t>
      </w:r>
      <w:r>
        <w:rPr>
          <w:spacing w:val="-2"/>
          <w:w w:val="105"/>
        </w:rPr>
        <w:t> </w:t>
      </w:r>
      <w:r>
        <w:rPr>
          <w:w w:val="105"/>
        </w:rPr>
        <w:t>with</w:t>
      </w:r>
      <w:r>
        <w:rPr>
          <w:spacing w:val="-2"/>
          <w:w w:val="105"/>
        </w:rPr>
        <w:t> </w:t>
      </w:r>
      <w:r>
        <w:rPr>
          <w:w w:val="105"/>
        </w:rPr>
        <w:t>state, federal</w:t>
      </w:r>
      <w:r>
        <w:rPr>
          <w:spacing w:val="-2"/>
          <w:w w:val="105"/>
        </w:rPr>
        <w:t> </w:t>
      </w:r>
      <w:r>
        <w:rPr>
          <w:w w:val="105"/>
        </w:rPr>
        <w:t>and</w:t>
      </w:r>
      <w:r>
        <w:rPr>
          <w:spacing w:val="-2"/>
          <w:w w:val="105"/>
        </w:rPr>
        <w:t> </w:t>
      </w:r>
      <w:r>
        <w:rPr>
          <w:w w:val="105"/>
        </w:rPr>
        <w:t>foreign</w:t>
      </w:r>
      <w:r>
        <w:rPr>
          <w:spacing w:val="-2"/>
          <w:w w:val="105"/>
        </w:rPr>
        <w:t> </w:t>
      </w:r>
      <w:r>
        <w:rPr>
          <w:w w:val="105"/>
        </w:rPr>
        <w:t>pollution-control</w:t>
      </w:r>
      <w:r>
        <w:rPr>
          <w:spacing w:val="-2"/>
          <w:w w:val="105"/>
        </w:rPr>
        <w:t> </w:t>
      </w:r>
      <w:r>
        <w:rPr>
          <w:w w:val="105"/>
        </w:rPr>
        <w:t>regulations.</w:t>
      </w:r>
      <w:r>
        <w:rPr>
          <w:spacing w:val="-2"/>
          <w:w w:val="105"/>
        </w:rPr>
        <w:t> </w:t>
      </w:r>
      <w:r>
        <w:rPr>
          <w:w w:val="105"/>
        </w:rPr>
        <w:t>This</w:t>
      </w:r>
      <w:r>
        <w:rPr>
          <w:spacing w:val="-2"/>
          <w:w w:val="105"/>
        </w:rPr>
        <w:t> </w:t>
      </w:r>
      <w:r>
        <w:rPr>
          <w:w w:val="105"/>
        </w:rPr>
        <w:t>program</w:t>
      </w:r>
      <w:r>
        <w:rPr>
          <w:spacing w:val="-2"/>
          <w:w w:val="105"/>
        </w:rPr>
        <w:t> </w:t>
      </w:r>
      <w:r>
        <w:rPr>
          <w:w w:val="105"/>
        </w:rPr>
        <w:t>has</w:t>
      </w:r>
      <w:r>
        <w:rPr>
          <w:spacing w:val="-2"/>
          <w:w w:val="105"/>
        </w:rPr>
        <w:t> </w:t>
      </w:r>
      <w:r>
        <w:rPr>
          <w:w w:val="105"/>
        </w:rPr>
        <w:t>resulted</w:t>
      </w:r>
      <w:r>
        <w:rPr>
          <w:spacing w:val="-2"/>
          <w:w w:val="105"/>
        </w:rPr>
        <w:t> </w:t>
      </w:r>
      <w:r>
        <w:rPr>
          <w:w w:val="105"/>
        </w:rPr>
        <w:t>in</w:t>
      </w:r>
      <w:r>
        <w:rPr>
          <w:spacing w:val="-2"/>
          <w:w w:val="105"/>
        </w:rPr>
        <w:t> </w:t>
      </w:r>
      <w:r>
        <w:rPr>
          <w:w w:val="105"/>
        </w:rPr>
        <w:t>capital</w:t>
      </w:r>
      <w:r>
        <w:rPr>
          <w:spacing w:val="-2"/>
          <w:w w:val="105"/>
        </w:rPr>
        <w:t> </w:t>
      </w:r>
      <w:r>
        <w:rPr>
          <w:w w:val="105"/>
        </w:rPr>
        <w:t>and operating</w:t>
      </w:r>
      <w:r>
        <w:rPr>
          <w:spacing w:val="-10"/>
          <w:w w:val="105"/>
        </w:rPr>
        <w:t> </w:t>
      </w:r>
      <w:r>
        <w:rPr>
          <w:w w:val="105"/>
        </w:rPr>
        <w:t>expenditures</w:t>
      </w:r>
      <w:r>
        <w:rPr>
          <w:spacing w:val="-10"/>
          <w:w w:val="105"/>
        </w:rPr>
        <w:t> </w:t>
      </w:r>
      <w:r>
        <w:rPr>
          <w:w w:val="105"/>
        </w:rPr>
        <w:t>each</w:t>
      </w:r>
      <w:r>
        <w:rPr>
          <w:spacing w:val="-10"/>
          <w:w w:val="105"/>
        </w:rPr>
        <w:t> </w:t>
      </w:r>
      <w:r>
        <w:rPr>
          <w:w w:val="105"/>
        </w:rPr>
        <w:t>year.</w:t>
      </w:r>
      <w:r>
        <w:rPr>
          <w:spacing w:val="-10"/>
          <w:w w:val="105"/>
        </w:rPr>
        <w:t> </w:t>
      </w:r>
      <w:r>
        <w:rPr>
          <w:w w:val="105"/>
        </w:rPr>
        <w:t>To</w:t>
      </w:r>
      <w:r>
        <w:rPr>
          <w:spacing w:val="-10"/>
          <w:w w:val="105"/>
        </w:rPr>
        <w:t> </w:t>
      </w:r>
      <w:r>
        <w:rPr>
          <w:w w:val="105"/>
        </w:rPr>
        <w:t>maintain</w:t>
      </w:r>
      <w:r>
        <w:rPr>
          <w:spacing w:val="-10"/>
          <w:w w:val="105"/>
        </w:rPr>
        <w:t> </w:t>
      </w:r>
      <w:r>
        <w:rPr>
          <w:w w:val="105"/>
        </w:rPr>
        <w:t>compliance</w:t>
      </w:r>
      <w:r>
        <w:rPr>
          <w:spacing w:val="-10"/>
          <w:w w:val="105"/>
        </w:rPr>
        <w:t> </w:t>
      </w:r>
      <w:r>
        <w:rPr>
          <w:w w:val="105"/>
        </w:rPr>
        <w:t>with</w:t>
      </w:r>
      <w:r>
        <w:rPr>
          <w:spacing w:val="-10"/>
          <w:w w:val="105"/>
        </w:rPr>
        <w:t> </w:t>
      </w:r>
      <w:r>
        <w:rPr>
          <w:w w:val="105"/>
        </w:rPr>
        <w:t>such</w:t>
      </w:r>
      <w:r>
        <w:rPr>
          <w:spacing w:val="-10"/>
          <w:w w:val="105"/>
        </w:rPr>
        <w:t> </w:t>
      </w:r>
      <w:r>
        <w:rPr>
          <w:w w:val="105"/>
        </w:rPr>
        <w:t>regulations,</w:t>
      </w:r>
      <w:r>
        <w:rPr>
          <w:spacing w:val="-8"/>
          <w:w w:val="105"/>
        </w:rPr>
        <w:t> </w:t>
      </w:r>
      <w:r>
        <w:rPr>
          <w:w w:val="105"/>
        </w:rPr>
        <w:t>capital</w:t>
      </w:r>
      <w:r>
        <w:rPr>
          <w:spacing w:val="-10"/>
          <w:w w:val="105"/>
        </w:rPr>
        <w:t> </w:t>
      </w:r>
      <w:r>
        <w:rPr>
          <w:w w:val="105"/>
        </w:rPr>
        <w:t>expenditures</w:t>
      </w:r>
      <w:r>
        <w:rPr>
          <w:spacing w:val="-10"/>
          <w:w w:val="105"/>
        </w:rPr>
        <w:t> </w:t>
      </w:r>
      <w:r>
        <w:rPr>
          <w:w w:val="105"/>
        </w:rPr>
        <w:t>for</w:t>
      </w:r>
      <w:r>
        <w:rPr>
          <w:spacing w:val="-10"/>
          <w:w w:val="105"/>
        </w:rPr>
        <w:t> </w:t>
      </w:r>
      <w:r>
        <w:rPr>
          <w:w w:val="105"/>
        </w:rPr>
        <w:t>pollution</w:t>
      </w:r>
      <w:r>
        <w:rPr>
          <w:spacing w:val="-10"/>
          <w:w w:val="105"/>
        </w:rPr>
        <w:t> </w:t>
      </w:r>
      <w:r>
        <w:rPr>
          <w:w w:val="105"/>
        </w:rPr>
        <w:t>control</w:t>
      </w:r>
      <w:r>
        <w:rPr>
          <w:spacing w:val="-10"/>
          <w:w w:val="105"/>
        </w:rPr>
        <w:t> </w:t>
      </w:r>
      <w:r>
        <w:rPr>
          <w:w w:val="105"/>
        </w:rPr>
        <w:t>in</w:t>
      </w:r>
      <w:r>
        <w:rPr>
          <w:spacing w:val="-10"/>
          <w:w w:val="105"/>
        </w:rPr>
        <w:t> </w:t>
      </w:r>
      <w:r>
        <w:rPr>
          <w:w w:val="105"/>
        </w:rPr>
        <w:t>operations</w:t>
      </w:r>
      <w:r>
        <w:rPr>
          <w:spacing w:val="-10"/>
          <w:w w:val="105"/>
        </w:rPr>
        <w:t> </w:t>
      </w:r>
      <w:r>
        <w:rPr>
          <w:w w:val="105"/>
        </w:rPr>
        <w:t>were</w:t>
      </w:r>
      <w:r>
        <w:rPr>
          <w:spacing w:val="-10"/>
          <w:w w:val="105"/>
        </w:rPr>
        <w:t> </w:t>
      </w:r>
      <w:r>
        <w:rPr>
          <w:w w:val="105"/>
        </w:rPr>
        <w:t>approximately</w:t>
      </w:r>
      <w:r>
        <w:rPr>
          <w:spacing w:val="-10"/>
          <w:w w:val="105"/>
        </w:rPr>
        <w:t> </w:t>
      </w:r>
      <w:r>
        <w:rPr>
          <w:w w:val="105"/>
        </w:rPr>
        <w:t>$18.4</w:t>
      </w:r>
      <w:r>
        <w:rPr>
          <w:spacing w:val="-10"/>
          <w:w w:val="105"/>
        </w:rPr>
        <w:t> </w:t>
      </w:r>
      <w:r>
        <w:rPr>
          <w:w w:val="105"/>
        </w:rPr>
        <w:t>million</w:t>
      </w:r>
      <w:r>
        <w:rPr>
          <w:spacing w:val="-10"/>
          <w:w w:val="105"/>
        </w:rPr>
        <w:t> </w:t>
      </w:r>
      <w:r>
        <w:rPr>
          <w:w w:val="105"/>
        </w:rPr>
        <w:t>in 2021 and are estimated to be $23.3 million in 2022.</w:t>
      </w:r>
    </w:p>
    <w:p>
      <w:pPr>
        <w:pStyle w:val="BodyText"/>
        <w:spacing w:before="18"/>
      </w:pPr>
    </w:p>
    <w:p>
      <w:pPr>
        <w:pStyle w:val="BodyText"/>
        <w:spacing w:line="266" w:lineRule="auto" w:before="1"/>
        <w:ind w:left="156"/>
      </w:pPr>
      <w:r>
        <w:rPr>
          <w:w w:val="105"/>
        </w:rPr>
        <w:t>Corning’s</w:t>
      </w:r>
      <w:r>
        <w:rPr>
          <w:spacing w:val="-10"/>
          <w:w w:val="105"/>
        </w:rPr>
        <w:t> </w:t>
      </w:r>
      <w:r>
        <w:rPr>
          <w:w w:val="105"/>
        </w:rPr>
        <w:t>2021</w:t>
      </w:r>
      <w:r>
        <w:rPr>
          <w:spacing w:val="-10"/>
          <w:w w:val="105"/>
        </w:rPr>
        <w:t> </w:t>
      </w:r>
      <w:r>
        <w:rPr>
          <w:w w:val="105"/>
        </w:rPr>
        <w:t>consolidated</w:t>
      </w:r>
      <w:r>
        <w:rPr>
          <w:spacing w:val="-10"/>
          <w:w w:val="105"/>
        </w:rPr>
        <w:t> </w:t>
      </w:r>
      <w:r>
        <w:rPr>
          <w:w w:val="105"/>
        </w:rPr>
        <w:t>operating</w:t>
      </w:r>
      <w:r>
        <w:rPr>
          <w:spacing w:val="-10"/>
          <w:w w:val="105"/>
        </w:rPr>
        <w:t> </w:t>
      </w:r>
      <w:r>
        <w:rPr>
          <w:w w:val="105"/>
        </w:rPr>
        <w:t>results</w:t>
      </w:r>
      <w:r>
        <w:rPr>
          <w:spacing w:val="-10"/>
          <w:w w:val="105"/>
        </w:rPr>
        <w:t> </w:t>
      </w:r>
      <w:r>
        <w:rPr>
          <w:w w:val="105"/>
        </w:rPr>
        <w:t>were</w:t>
      </w:r>
      <w:r>
        <w:rPr>
          <w:spacing w:val="-10"/>
          <w:w w:val="105"/>
        </w:rPr>
        <w:t> </w:t>
      </w:r>
      <w:r>
        <w:rPr>
          <w:w w:val="105"/>
        </w:rPr>
        <w:t>charged</w:t>
      </w:r>
      <w:r>
        <w:rPr>
          <w:spacing w:val="-10"/>
          <w:w w:val="105"/>
        </w:rPr>
        <w:t> </w:t>
      </w:r>
      <w:r>
        <w:rPr>
          <w:w w:val="105"/>
        </w:rPr>
        <w:t>with</w:t>
      </w:r>
      <w:r>
        <w:rPr>
          <w:spacing w:val="-10"/>
          <w:w w:val="105"/>
        </w:rPr>
        <w:t> </w:t>
      </w:r>
      <w:r>
        <w:rPr>
          <w:w w:val="105"/>
        </w:rPr>
        <w:t>approximately</w:t>
      </w:r>
      <w:r>
        <w:rPr>
          <w:spacing w:val="-10"/>
          <w:w w:val="105"/>
        </w:rPr>
        <w:t> </w:t>
      </w:r>
      <w:r>
        <w:rPr>
          <w:w w:val="105"/>
        </w:rPr>
        <w:t>$54.9</w:t>
      </w:r>
      <w:r>
        <w:rPr>
          <w:spacing w:val="-10"/>
          <w:w w:val="105"/>
        </w:rPr>
        <w:t> </w:t>
      </w:r>
      <w:r>
        <w:rPr>
          <w:w w:val="105"/>
        </w:rPr>
        <w:t>million</w:t>
      </w:r>
      <w:r>
        <w:rPr>
          <w:spacing w:val="-10"/>
          <w:w w:val="105"/>
        </w:rPr>
        <w:t> </w:t>
      </w:r>
      <w:r>
        <w:rPr>
          <w:w w:val="105"/>
        </w:rPr>
        <w:t>for</w:t>
      </w:r>
      <w:r>
        <w:rPr>
          <w:spacing w:val="-10"/>
          <w:w w:val="105"/>
        </w:rPr>
        <w:t> </w:t>
      </w:r>
      <w:r>
        <w:rPr>
          <w:w w:val="105"/>
        </w:rPr>
        <w:t>depreciation,</w:t>
      </w:r>
      <w:r>
        <w:rPr>
          <w:spacing w:val="-10"/>
          <w:w w:val="105"/>
        </w:rPr>
        <w:t> </w:t>
      </w:r>
      <w:r>
        <w:rPr>
          <w:w w:val="105"/>
        </w:rPr>
        <w:t>maintenance,</w:t>
      </w:r>
      <w:r>
        <w:rPr>
          <w:spacing w:val="-10"/>
          <w:w w:val="105"/>
        </w:rPr>
        <w:t> </w:t>
      </w:r>
      <w:r>
        <w:rPr>
          <w:w w:val="105"/>
        </w:rPr>
        <w:t>waste</w:t>
      </w:r>
      <w:r>
        <w:rPr>
          <w:spacing w:val="-10"/>
          <w:w w:val="105"/>
        </w:rPr>
        <w:t> </w:t>
      </w:r>
      <w:r>
        <w:rPr>
          <w:w w:val="105"/>
        </w:rPr>
        <w:t>disposal</w:t>
      </w:r>
      <w:r>
        <w:rPr>
          <w:spacing w:val="-10"/>
          <w:w w:val="105"/>
        </w:rPr>
        <w:t> </w:t>
      </w:r>
      <w:r>
        <w:rPr>
          <w:w w:val="105"/>
        </w:rPr>
        <w:t>and</w:t>
      </w:r>
      <w:r>
        <w:rPr>
          <w:spacing w:val="-10"/>
          <w:w w:val="105"/>
        </w:rPr>
        <w:t> </w:t>
      </w:r>
      <w:r>
        <w:rPr>
          <w:w w:val="105"/>
        </w:rPr>
        <w:t>other</w:t>
      </w:r>
      <w:r>
        <w:rPr>
          <w:spacing w:val="-10"/>
          <w:w w:val="105"/>
        </w:rPr>
        <w:t> </w:t>
      </w:r>
      <w:r>
        <w:rPr>
          <w:w w:val="105"/>
        </w:rPr>
        <w:t>operating</w:t>
      </w:r>
      <w:r>
        <w:rPr>
          <w:spacing w:val="-10"/>
          <w:w w:val="105"/>
        </w:rPr>
        <w:t> </w:t>
      </w:r>
      <w:r>
        <w:rPr>
          <w:w w:val="105"/>
        </w:rPr>
        <w:t>expenses associated with pollution control.</w:t>
      </w:r>
    </w:p>
    <w:p>
      <w:pPr>
        <w:pStyle w:val="BodyText"/>
        <w:spacing w:before="18"/>
      </w:pPr>
    </w:p>
    <w:p>
      <w:pPr>
        <w:pStyle w:val="BodyText"/>
        <w:spacing w:before="1"/>
        <w:ind w:left="48"/>
        <w:jc w:val="center"/>
      </w:pPr>
      <w:r>
        <w:rPr>
          <w:spacing w:val="-10"/>
          <w:w w:val="105"/>
        </w:rPr>
        <w:t>8</w:t>
      </w:r>
    </w:p>
    <w:p>
      <w:pPr>
        <w:pStyle w:val="BodyText"/>
        <w:spacing w:before="11"/>
        <w:rPr>
          <w:sz w:val="5"/>
        </w:rPr>
      </w:pPr>
      <w:r>
        <w:rPr/>
        <mc:AlternateContent>
          <mc:Choice Requires="wps">
            <w:drawing>
              <wp:anchor distT="0" distB="0" distL="0" distR="0" allowOverlap="1" layoutInCell="1" locked="0" behindDoc="1" simplePos="0" relativeHeight="487592960">
                <wp:simplePos x="0" y="0"/>
                <wp:positionH relativeFrom="page">
                  <wp:posOffset>226488</wp:posOffset>
                </wp:positionH>
                <wp:positionV relativeFrom="paragraph">
                  <wp:posOffset>58849</wp:posOffset>
                </wp:positionV>
                <wp:extent cx="7312659" cy="165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33843pt;width:575.775087pt;height:1.273839pt;mso-position-horizontal-relative:page;mso-position-vertical-relative:paragraph;z-index:-15723520;mso-wrap-distance-left:0;mso-wrap-distance-right:0" id="docshape12"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3"/>
      </w:pPr>
      <w:r>
        <w:rPr/>
        <w:t>Human</w:t>
      </w:r>
      <w:r>
        <w:rPr>
          <w:spacing w:val="18"/>
        </w:rPr>
        <w:t> </w:t>
      </w:r>
      <w:r>
        <w:rPr/>
        <w:t>Capital</w:t>
      </w:r>
      <w:r>
        <w:rPr>
          <w:spacing w:val="18"/>
        </w:rPr>
        <w:t> </w:t>
      </w:r>
      <w:r>
        <w:rPr/>
        <w:t>Management</w:t>
      </w:r>
      <w:r>
        <w:rPr>
          <w:spacing w:val="18"/>
        </w:rPr>
        <w:t> </w:t>
      </w:r>
      <w:r>
        <w:rPr>
          <w:spacing w:val="-2"/>
        </w:rPr>
        <w:t>Overview</w:t>
      </w:r>
    </w:p>
    <w:p>
      <w:pPr>
        <w:pStyle w:val="BodyText"/>
        <w:spacing w:before="40"/>
        <w:rPr>
          <w:b/>
          <w:i/>
        </w:rPr>
      </w:pPr>
    </w:p>
    <w:p>
      <w:pPr>
        <w:pStyle w:val="BodyText"/>
        <w:spacing w:line="266" w:lineRule="auto"/>
        <w:ind w:left="156"/>
      </w:pPr>
      <w:r>
        <w:rPr>
          <w:w w:val="105"/>
        </w:rPr>
        <w:t>At</w:t>
      </w:r>
      <w:r>
        <w:rPr>
          <w:spacing w:val="-8"/>
          <w:w w:val="105"/>
        </w:rPr>
        <w:t> </w:t>
      </w:r>
      <w:r>
        <w:rPr>
          <w:w w:val="105"/>
        </w:rPr>
        <w:t>Corning,</w:t>
      </w:r>
      <w:r>
        <w:rPr>
          <w:spacing w:val="-8"/>
          <w:w w:val="105"/>
        </w:rPr>
        <w:t> </w:t>
      </w:r>
      <w:r>
        <w:rPr>
          <w:w w:val="105"/>
        </w:rPr>
        <w:t>we</w:t>
      </w:r>
      <w:r>
        <w:rPr>
          <w:spacing w:val="-8"/>
          <w:w w:val="105"/>
        </w:rPr>
        <w:t> </w:t>
      </w:r>
      <w:r>
        <w:rPr>
          <w:w w:val="105"/>
        </w:rPr>
        <w:t>are</w:t>
      </w:r>
      <w:r>
        <w:rPr>
          <w:spacing w:val="-8"/>
          <w:w w:val="105"/>
        </w:rPr>
        <w:t> </w:t>
      </w:r>
      <w:r>
        <w:rPr>
          <w:w w:val="105"/>
        </w:rPr>
        <w:t>proud</w:t>
      </w:r>
      <w:r>
        <w:rPr>
          <w:spacing w:val="-8"/>
          <w:w w:val="105"/>
        </w:rPr>
        <w:t> </w:t>
      </w:r>
      <w:r>
        <w:rPr>
          <w:w w:val="105"/>
        </w:rPr>
        <w:t>of</w:t>
      </w:r>
      <w:r>
        <w:rPr>
          <w:spacing w:val="-8"/>
          <w:w w:val="105"/>
        </w:rPr>
        <w:t> </w:t>
      </w:r>
      <w:r>
        <w:rPr>
          <w:w w:val="105"/>
        </w:rPr>
        <w:t>the</w:t>
      </w:r>
      <w:r>
        <w:rPr>
          <w:spacing w:val="-8"/>
          <w:w w:val="105"/>
        </w:rPr>
        <w:t> </w:t>
      </w:r>
      <w:r>
        <w:rPr>
          <w:w w:val="105"/>
        </w:rPr>
        <w:t>life-changing</w:t>
      </w:r>
      <w:r>
        <w:rPr>
          <w:spacing w:val="-8"/>
          <w:w w:val="105"/>
        </w:rPr>
        <w:t> </w:t>
      </w:r>
      <w:r>
        <w:rPr>
          <w:w w:val="105"/>
        </w:rPr>
        <w:t>innovations</w:t>
      </w:r>
      <w:r>
        <w:rPr>
          <w:spacing w:val="-8"/>
          <w:w w:val="105"/>
        </w:rPr>
        <w:t> </w:t>
      </w:r>
      <w:r>
        <w:rPr>
          <w:w w:val="105"/>
        </w:rPr>
        <w:t>we</w:t>
      </w:r>
      <w:r>
        <w:rPr>
          <w:spacing w:val="-8"/>
          <w:w w:val="105"/>
        </w:rPr>
        <w:t> </w:t>
      </w:r>
      <w:r>
        <w:rPr>
          <w:w w:val="105"/>
        </w:rPr>
        <w:t>bring</w:t>
      </w:r>
      <w:r>
        <w:rPr>
          <w:spacing w:val="-8"/>
          <w:w w:val="105"/>
        </w:rPr>
        <w:t> </w:t>
      </w:r>
      <w:r>
        <w:rPr>
          <w:w w:val="105"/>
        </w:rPr>
        <w:t>to</w:t>
      </w:r>
      <w:r>
        <w:rPr>
          <w:spacing w:val="-8"/>
          <w:w w:val="105"/>
        </w:rPr>
        <w:t> </w:t>
      </w:r>
      <w:r>
        <w:rPr>
          <w:w w:val="105"/>
        </w:rPr>
        <w:t>the</w:t>
      </w:r>
      <w:r>
        <w:rPr>
          <w:spacing w:val="-8"/>
          <w:w w:val="105"/>
        </w:rPr>
        <w:t> </w:t>
      </w:r>
      <w:r>
        <w:rPr>
          <w:w w:val="105"/>
        </w:rPr>
        <w:t>world.</w:t>
      </w:r>
      <w:r>
        <w:rPr>
          <w:spacing w:val="27"/>
          <w:w w:val="105"/>
        </w:rPr>
        <w:t> </w:t>
      </w:r>
      <w:r>
        <w:rPr>
          <w:w w:val="105"/>
        </w:rPr>
        <w:t>Our</w:t>
      </w:r>
      <w:r>
        <w:rPr>
          <w:spacing w:val="-8"/>
          <w:w w:val="105"/>
        </w:rPr>
        <w:t> </w:t>
      </w:r>
      <w:r>
        <w:rPr>
          <w:w w:val="105"/>
        </w:rPr>
        <w:t>unparalleled</w:t>
      </w:r>
      <w:r>
        <w:rPr>
          <w:spacing w:val="-8"/>
          <w:w w:val="105"/>
        </w:rPr>
        <w:t> </w:t>
      </w:r>
      <w:r>
        <w:rPr>
          <w:w w:val="105"/>
        </w:rPr>
        <w:t>expertise</w:t>
      </w:r>
      <w:r>
        <w:rPr>
          <w:spacing w:val="-8"/>
          <w:w w:val="105"/>
        </w:rPr>
        <w:t> </w:t>
      </w:r>
      <w:r>
        <w:rPr>
          <w:w w:val="105"/>
        </w:rPr>
        <w:t>in</w:t>
      </w:r>
      <w:r>
        <w:rPr>
          <w:spacing w:val="-8"/>
          <w:w w:val="105"/>
        </w:rPr>
        <w:t> </w:t>
      </w:r>
      <w:r>
        <w:rPr>
          <w:w w:val="105"/>
        </w:rPr>
        <w:t>our</w:t>
      </w:r>
      <w:r>
        <w:rPr>
          <w:spacing w:val="-8"/>
          <w:w w:val="105"/>
        </w:rPr>
        <w:t> </w:t>
      </w:r>
      <w:r>
        <w:rPr>
          <w:w w:val="105"/>
        </w:rPr>
        <w:t>core</w:t>
      </w:r>
      <w:r>
        <w:rPr>
          <w:spacing w:val="-8"/>
          <w:w w:val="105"/>
        </w:rPr>
        <w:t> </w:t>
      </w:r>
      <w:r>
        <w:rPr>
          <w:w w:val="105"/>
        </w:rPr>
        <w:t>technologies</w:t>
      </w:r>
      <w:r>
        <w:rPr>
          <w:spacing w:val="-6"/>
          <w:w w:val="105"/>
        </w:rPr>
        <w:t> </w:t>
      </w:r>
      <w:r>
        <w:rPr>
          <w:w w:val="105"/>
        </w:rPr>
        <w:t>along</w:t>
      </w:r>
      <w:r>
        <w:rPr>
          <w:spacing w:val="-8"/>
          <w:w w:val="105"/>
        </w:rPr>
        <w:t> </w:t>
      </w:r>
      <w:r>
        <w:rPr>
          <w:w w:val="105"/>
        </w:rPr>
        <w:t>with</w:t>
      </w:r>
      <w:r>
        <w:rPr>
          <w:spacing w:val="-8"/>
          <w:w w:val="105"/>
        </w:rPr>
        <w:t> </w:t>
      </w:r>
      <w:r>
        <w:rPr>
          <w:w w:val="105"/>
        </w:rPr>
        <w:t>deep</w:t>
      </w:r>
      <w:r>
        <w:rPr>
          <w:spacing w:val="-8"/>
          <w:w w:val="105"/>
        </w:rPr>
        <w:t> </w:t>
      </w:r>
      <w:r>
        <w:rPr>
          <w:w w:val="105"/>
        </w:rPr>
        <w:t>manufacturing</w:t>
      </w:r>
      <w:r>
        <w:rPr>
          <w:spacing w:val="-6"/>
          <w:w w:val="105"/>
        </w:rPr>
        <w:t> </w:t>
      </w:r>
      <w:r>
        <w:rPr>
          <w:w w:val="105"/>
        </w:rPr>
        <w:t>and engineering</w:t>
      </w:r>
      <w:r>
        <w:rPr>
          <w:spacing w:val="-5"/>
          <w:w w:val="105"/>
        </w:rPr>
        <w:t> </w:t>
      </w:r>
      <w:r>
        <w:rPr>
          <w:w w:val="105"/>
        </w:rPr>
        <w:t>capabilities</w:t>
      </w:r>
      <w:r>
        <w:rPr>
          <w:spacing w:val="-5"/>
          <w:w w:val="105"/>
        </w:rPr>
        <w:t> </w:t>
      </w:r>
      <w:r>
        <w:rPr>
          <w:w w:val="105"/>
        </w:rPr>
        <w:t>require</w:t>
      </w:r>
      <w:r>
        <w:rPr>
          <w:spacing w:val="-7"/>
          <w:w w:val="105"/>
        </w:rPr>
        <w:t> </w:t>
      </w:r>
      <w:r>
        <w:rPr>
          <w:w w:val="105"/>
        </w:rPr>
        <w:t>a</w:t>
      </w:r>
      <w:r>
        <w:rPr>
          <w:spacing w:val="-5"/>
          <w:w w:val="105"/>
        </w:rPr>
        <w:t> </w:t>
      </w:r>
      <w:r>
        <w:rPr>
          <w:w w:val="105"/>
        </w:rPr>
        <w:t>talent</w:t>
      </w:r>
      <w:r>
        <w:rPr>
          <w:spacing w:val="-5"/>
          <w:w w:val="105"/>
        </w:rPr>
        <w:t> </w:t>
      </w:r>
      <w:r>
        <w:rPr>
          <w:w w:val="105"/>
        </w:rPr>
        <w:t>strategy</w:t>
      </w:r>
      <w:r>
        <w:rPr>
          <w:spacing w:val="-5"/>
          <w:w w:val="105"/>
        </w:rPr>
        <w:t> </w:t>
      </w:r>
      <w:r>
        <w:rPr>
          <w:w w:val="105"/>
        </w:rPr>
        <w:t>focused</w:t>
      </w:r>
      <w:r>
        <w:rPr>
          <w:spacing w:val="-7"/>
          <w:w w:val="105"/>
        </w:rPr>
        <w:t> </w:t>
      </w:r>
      <w:r>
        <w:rPr>
          <w:w w:val="105"/>
        </w:rPr>
        <w:t>on</w:t>
      </w:r>
      <w:r>
        <w:rPr>
          <w:spacing w:val="-5"/>
          <w:w w:val="105"/>
        </w:rPr>
        <w:t> </w:t>
      </w:r>
      <w:r>
        <w:rPr>
          <w:w w:val="105"/>
        </w:rPr>
        <w:t>attracting</w:t>
      </w:r>
      <w:r>
        <w:rPr>
          <w:spacing w:val="-5"/>
          <w:w w:val="105"/>
        </w:rPr>
        <w:t> </w:t>
      </w:r>
      <w:r>
        <w:rPr>
          <w:w w:val="105"/>
        </w:rPr>
        <w:t>and</w:t>
      </w:r>
      <w:r>
        <w:rPr>
          <w:spacing w:val="-5"/>
          <w:w w:val="105"/>
        </w:rPr>
        <w:t> </w:t>
      </w:r>
      <w:r>
        <w:rPr>
          <w:w w:val="105"/>
        </w:rPr>
        <w:t>retaining</w:t>
      </w:r>
      <w:r>
        <w:rPr>
          <w:spacing w:val="-5"/>
          <w:w w:val="105"/>
        </w:rPr>
        <w:t> </w:t>
      </w:r>
      <w:r>
        <w:rPr>
          <w:w w:val="105"/>
        </w:rPr>
        <w:t>exceptional</w:t>
      </w:r>
      <w:r>
        <w:rPr>
          <w:spacing w:val="-5"/>
          <w:w w:val="105"/>
        </w:rPr>
        <w:t> </w:t>
      </w:r>
      <w:r>
        <w:rPr>
          <w:w w:val="105"/>
        </w:rPr>
        <w:t>people,</w:t>
      </w:r>
      <w:r>
        <w:rPr>
          <w:spacing w:val="-5"/>
          <w:w w:val="105"/>
        </w:rPr>
        <w:t> </w:t>
      </w:r>
      <w:r>
        <w:rPr>
          <w:w w:val="105"/>
        </w:rPr>
        <w:t>fostering</w:t>
      </w:r>
      <w:r>
        <w:rPr>
          <w:spacing w:val="-5"/>
          <w:w w:val="105"/>
        </w:rPr>
        <w:t> </w:t>
      </w:r>
      <w:r>
        <w:rPr>
          <w:w w:val="105"/>
        </w:rPr>
        <w:t>a</w:t>
      </w:r>
      <w:r>
        <w:rPr>
          <w:spacing w:val="-5"/>
          <w:w w:val="105"/>
        </w:rPr>
        <w:t> </w:t>
      </w:r>
      <w:r>
        <w:rPr>
          <w:w w:val="105"/>
        </w:rPr>
        <w:t>culture</w:t>
      </w:r>
      <w:r>
        <w:rPr>
          <w:spacing w:val="-5"/>
          <w:w w:val="105"/>
        </w:rPr>
        <w:t> </w:t>
      </w:r>
      <w:r>
        <w:rPr>
          <w:w w:val="105"/>
        </w:rPr>
        <w:t>that</w:t>
      </w:r>
      <w:r>
        <w:rPr>
          <w:spacing w:val="-5"/>
          <w:w w:val="105"/>
        </w:rPr>
        <w:t> </w:t>
      </w:r>
      <w:r>
        <w:rPr>
          <w:w w:val="105"/>
        </w:rPr>
        <w:t>enables</w:t>
      </w:r>
      <w:r>
        <w:rPr>
          <w:spacing w:val="-5"/>
          <w:w w:val="105"/>
        </w:rPr>
        <w:t> </w:t>
      </w:r>
      <w:r>
        <w:rPr>
          <w:w w:val="105"/>
        </w:rPr>
        <w:t>innovation</w:t>
      </w:r>
      <w:r>
        <w:rPr>
          <w:spacing w:val="-5"/>
          <w:w w:val="105"/>
        </w:rPr>
        <w:t> </w:t>
      </w:r>
      <w:r>
        <w:rPr>
          <w:w w:val="105"/>
        </w:rPr>
        <w:t>and</w:t>
      </w:r>
      <w:r>
        <w:rPr>
          <w:spacing w:val="-5"/>
          <w:w w:val="105"/>
        </w:rPr>
        <w:t> </w:t>
      </w:r>
      <w:r>
        <w:rPr>
          <w:w w:val="105"/>
        </w:rPr>
        <w:t>collaboration</w:t>
      </w:r>
      <w:r>
        <w:rPr>
          <w:spacing w:val="-5"/>
          <w:w w:val="105"/>
        </w:rPr>
        <w:t> </w:t>
      </w:r>
      <w:r>
        <w:rPr>
          <w:w w:val="105"/>
        </w:rPr>
        <w:t>and supporting long and successful careers.</w:t>
      </w:r>
    </w:p>
    <w:p>
      <w:pPr>
        <w:pStyle w:val="BodyText"/>
        <w:spacing w:before="18"/>
      </w:pPr>
    </w:p>
    <w:p>
      <w:pPr>
        <w:pStyle w:val="BodyText"/>
        <w:spacing w:line="266" w:lineRule="auto"/>
        <w:ind w:left="156"/>
      </w:pPr>
      <w:r>
        <w:rPr>
          <w:w w:val="105"/>
        </w:rPr>
        <w:t>Each</w:t>
      </w:r>
      <w:r>
        <w:rPr>
          <w:spacing w:val="-8"/>
          <w:w w:val="105"/>
        </w:rPr>
        <w:t> </w:t>
      </w:r>
      <w:r>
        <w:rPr>
          <w:w w:val="105"/>
        </w:rPr>
        <w:t>of</w:t>
      </w:r>
      <w:r>
        <w:rPr>
          <w:spacing w:val="-8"/>
          <w:w w:val="105"/>
        </w:rPr>
        <w:t> </w:t>
      </w:r>
      <w:r>
        <w:rPr>
          <w:w w:val="105"/>
        </w:rPr>
        <w:t>our</w:t>
      </w:r>
      <w:r>
        <w:rPr>
          <w:spacing w:val="-8"/>
          <w:w w:val="105"/>
        </w:rPr>
        <w:t> </w:t>
      </w:r>
      <w:r>
        <w:rPr>
          <w:w w:val="105"/>
        </w:rPr>
        <w:t>61,200</w:t>
      </w:r>
      <w:r>
        <w:rPr>
          <w:spacing w:val="-8"/>
          <w:w w:val="105"/>
        </w:rPr>
        <w:t> </w:t>
      </w:r>
      <w:r>
        <w:rPr>
          <w:w w:val="105"/>
        </w:rPr>
        <w:t>full-</w:t>
      </w:r>
      <w:r>
        <w:rPr>
          <w:spacing w:val="-8"/>
          <w:w w:val="105"/>
        </w:rPr>
        <w:t> </w:t>
      </w:r>
      <w:r>
        <w:rPr>
          <w:w w:val="105"/>
        </w:rPr>
        <w:t>and</w:t>
      </w:r>
      <w:r>
        <w:rPr>
          <w:spacing w:val="-8"/>
          <w:w w:val="105"/>
        </w:rPr>
        <w:t> </w:t>
      </w:r>
      <w:r>
        <w:rPr>
          <w:w w:val="105"/>
        </w:rPr>
        <w:t>part-time</w:t>
      </w:r>
      <w:r>
        <w:rPr>
          <w:spacing w:val="-8"/>
          <w:w w:val="105"/>
        </w:rPr>
        <w:t> </w:t>
      </w:r>
      <w:r>
        <w:rPr>
          <w:w w:val="105"/>
        </w:rPr>
        <w:t>employees</w:t>
      </w:r>
      <w:r>
        <w:rPr>
          <w:spacing w:val="-8"/>
          <w:w w:val="105"/>
        </w:rPr>
        <w:t> </w:t>
      </w:r>
      <w:r>
        <w:rPr>
          <w:w w:val="105"/>
        </w:rPr>
        <w:t>in</w:t>
      </w:r>
      <w:r>
        <w:rPr>
          <w:spacing w:val="-8"/>
          <w:w w:val="105"/>
        </w:rPr>
        <w:t> </w:t>
      </w:r>
      <w:r>
        <w:rPr>
          <w:w w:val="105"/>
        </w:rPr>
        <w:t>44</w:t>
      </w:r>
      <w:r>
        <w:rPr>
          <w:spacing w:val="-8"/>
          <w:w w:val="105"/>
        </w:rPr>
        <w:t> </w:t>
      </w:r>
      <w:r>
        <w:rPr>
          <w:w w:val="105"/>
        </w:rPr>
        <w:t>countries</w:t>
      </w:r>
      <w:r>
        <w:rPr>
          <w:spacing w:val="-8"/>
          <w:w w:val="105"/>
        </w:rPr>
        <w:t> </w:t>
      </w:r>
      <w:r>
        <w:rPr>
          <w:w w:val="105"/>
        </w:rPr>
        <w:t>make</w:t>
      </w:r>
      <w:r>
        <w:rPr>
          <w:spacing w:val="-8"/>
          <w:w w:val="105"/>
        </w:rPr>
        <w:t> </w:t>
      </w:r>
      <w:r>
        <w:rPr>
          <w:w w:val="105"/>
        </w:rPr>
        <w:t>an</w:t>
      </w:r>
      <w:r>
        <w:rPr>
          <w:spacing w:val="-8"/>
          <w:w w:val="105"/>
        </w:rPr>
        <w:t> </w:t>
      </w:r>
      <w:r>
        <w:rPr>
          <w:w w:val="105"/>
        </w:rPr>
        <w:t>important</w:t>
      </w:r>
      <w:r>
        <w:rPr>
          <w:spacing w:val="-7"/>
          <w:w w:val="105"/>
        </w:rPr>
        <w:t> </w:t>
      </w:r>
      <w:r>
        <w:rPr>
          <w:w w:val="105"/>
        </w:rPr>
        <w:t>contribution,</w:t>
      </w:r>
      <w:r>
        <w:rPr>
          <w:spacing w:val="-8"/>
          <w:w w:val="105"/>
        </w:rPr>
        <w:t> </w:t>
      </w:r>
      <w:r>
        <w:rPr>
          <w:w w:val="105"/>
        </w:rPr>
        <w:t>whether</w:t>
      </w:r>
      <w:r>
        <w:rPr>
          <w:spacing w:val="-8"/>
          <w:w w:val="105"/>
        </w:rPr>
        <w:t> </w:t>
      </w:r>
      <w:r>
        <w:rPr>
          <w:w w:val="105"/>
        </w:rPr>
        <w:t>in</w:t>
      </w:r>
      <w:r>
        <w:rPr>
          <w:spacing w:val="-8"/>
          <w:w w:val="105"/>
        </w:rPr>
        <w:t> </w:t>
      </w:r>
      <w:r>
        <w:rPr>
          <w:w w:val="105"/>
        </w:rPr>
        <w:t>one</w:t>
      </w:r>
      <w:r>
        <w:rPr>
          <w:spacing w:val="-8"/>
          <w:w w:val="105"/>
        </w:rPr>
        <w:t> </w:t>
      </w:r>
      <w:r>
        <w:rPr>
          <w:w w:val="105"/>
        </w:rPr>
        <w:t>of</w:t>
      </w:r>
      <w:r>
        <w:rPr>
          <w:spacing w:val="-8"/>
          <w:w w:val="105"/>
        </w:rPr>
        <w:t> </w:t>
      </w:r>
      <w:r>
        <w:rPr>
          <w:w w:val="105"/>
        </w:rPr>
        <w:t>our</w:t>
      </w:r>
      <w:r>
        <w:rPr>
          <w:spacing w:val="-7"/>
          <w:w w:val="105"/>
        </w:rPr>
        <w:t> </w:t>
      </w:r>
      <w:r>
        <w:rPr>
          <w:w w:val="105"/>
        </w:rPr>
        <w:t>manufacturing</w:t>
      </w:r>
      <w:r>
        <w:rPr>
          <w:spacing w:val="-8"/>
          <w:w w:val="105"/>
        </w:rPr>
        <w:t> </w:t>
      </w:r>
      <w:r>
        <w:rPr>
          <w:w w:val="105"/>
        </w:rPr>
        <w:t>or</w:t>
      </w:r>
      <w:r>
        <w:rPr>
          <w:spacing w:val="-8"/>
          <w:w w:val="105"/>
        </w:rPr>
        <w:t> </w:t>
      </w:r>
      <w:r>
        <w:rPr>
          <w:w w:val="105"/>
        </w:rPr>
        <w:t>processing</w:t>
      </w:r>
      <w:r>
        <w:rPr>
          <w:spacing w:val="-7"/>
          <w:w w:val="105"/>
        </w:rPr>
        <w:t> </w:t>
      </w:r>
      <w:r>
        <w:rPr>
          <w:w w:val="105"/>
        </w:rPr>
        <w:t>facilities,</w:t>
      </w:r>
      <w:r>
        <w:rPr>
          <w:spacing w:val="-8"/>
          <w:w w:val="105"/>
        </w:rPr>
        <w:t> </w:t>
      </w:r>
      <w:r>
        <w:rPr>
          <w:w w:val="105"/>
        </w:rPr>
        <w:t>research</w:t>
      </w:r>
      <w:r>
        <w:rPr>
          <w:spacing w:val="-8"/>
          <w:w w:val="105"/>
        </w:rPr>
        <w:t> </w:t>
      </w:r>
      <w:r>
        <w:rPr>
          <w:w w:val="105"/>
        </w:rPr>
        <w:t>labs, sales</w:t>
      </w:r>
      <w:r>
        <w:rPr>
          <w:spacing w:val="-2"/>
          <w:w w:val="105"/>
        </w:rPr>
        <w:t> </w:t>
      </w:r>
      <w:r>
        <w:rPr>
          <w:w w:val="105"/>
        </w:rPr>
        <w:t>offices</w:t>
      </w:r>
      <w:r>
        <w:rPr>
          <w:spacing w:val="-2"/>
          <w:w w:val="105"/>
        </w:rPr>
        <w:t> </w:t>
      </w:r>
      <w:r>
        <w:rPr>
          <w:w w:val="105"/>
        </w:rPr>
        <w:t>or</w:t>
      </w:r>
      <w:r>
        <w:rPr>
          <w:spacing w:val="-2"/>
          <w:w w:val="105"/>
        </w:rPr>
        <w:t> </w:t>
      </w:r>
      <w:r>
        <w:rPr>
          <w:w w:val="105"/>
        </w:rPr>
        <w:t>other facilities.</w:t>
      </w:r>
      <w:r>
        <w:rPr>
          <w:spacing w:val="38"/>
          <w:w w:val="105"/>
        </w:rPr>
        <w:t> </w:t>
      </w:r>
      <w:r>
        <w:rPr>
          <w:w w:val="105"/>
        </w:rPr>
        <w:t>Approximately</w:t>
      </w:r>
      <w:r>
        <w:rPr>
          <w:spacing w:val="-2"/>
          <w:w w:val="105"/>
        </w:rPr>
        <w:t> </w:t>
      </w:r>
      <w:r>
        <w:rPr>
          <w:w w:val="105"/>
        </w:rPr>
        <w:t>68%</w:t>
      </w:r>
      <w:r>
        <w:rPr>
          <w:spacing w:val="-2"/>
          <w:w w:val="105"/>
        </w:rPr>
        <w:t> </w:t>
      </w:r>
      <w:r>
        <w:rPr>
          <w:w w:val="105"/>
        </w:rPr>
        <w:t>of</w:t>
      </w:r>
      <w:r>
        <w:rPr>
          <w:spacing w:val="-2"/>
          <w:w w:val="105"/>
        </w:rPr>
        <w:t> </w:t>
      </w:r>
      <w:r>
        <w:rPr>
          <w:w w:val="105"/>
        </w:rPr>
        <w:t>our</w:t>
      </w:r>
      <w:r>
        <w:rPr>
          <w:spacing w:val="-2"/>
          <w:w w:val="105"/>
        </w:rPr>
        <w:t> </w:t>
      </w:r>
      <w:r>
        <w:rPr>
          <w:w w:val="105"/>
        </w:rPr>
        <w:t>employees</w:t>
      </w:r>
      <w:r>
        <w:rPr>
          <w:spacing w:val="-2"/>
          <w:w w:val="105"/>
        </w:rPr>
        <w:t> </w:t>
      </w:r>
      <w:r>
        <w:rPr>
          <w:w w:val="105"/>
        </w:rPr>
        <w:t>are</w:t>
      </w:r>
      <w:r>
        <w:rPr>
          <w:spacing w:val="-2"/>
          <w:w w:val="105"/>
        </w:rPr>
        <w:t> </w:t>
      </w:r>
      <w:r>
        <w:rPr>
          <w:w w:val="105"/>
        </w:rPr>
        <w:t>production</w:t>
      </w:r>
      <w:r>
        <w:rPr>
          <w:spacing w:val="-2"/>
          <w:w w:val="105"/>
        </w:rPr>
        <w:t> </w:t>
      </w:r>
      <w:r>
        <w:rPr>
          <w:w w:val="105"/>
        </w:rPr>
        <w:t>and</w:t>
      </w:r>
      <w:r>
        <w:rPr>
          <w:spacing w:val="-2"/>
          <w:w w:val="105"/>
        </w:rPr>
        <w:t> </w:t>
      </w:r>
      <w:r>
        <w:rPr>
          <w:w w:val="105"/>
        </w:rPr>
        <w:t>maintenance and</w:t>
      </w:r>
      <w:r>
        <w:rPr>
          <w:spacing w:val="-2"/>
          <w:w w:val="105"/>
        </w:rPr>
        <w:t> </w:t>
      </w:r>
      <w:r>
        <w:rPr>
          <w:w w:val="105"/>
        </w:rPr>
        <w:t>an</w:t>
      </w:r>
      <w:r>
        <w:rPr>
          <w:spacing w:val="-2"/>
          <w:w w:val="105"/>
        </w:rPr>
        <w:t> </w:t>
      </w:r>
      <w:r>
        <w:rPr>
          <w:w w:val="105"/>
        </w:rPr>
        <w:t>estimated</w:t>
      </w:r>
      <w:r>
        <w:rPr>
          <w:spacing w:val="-2"/>
          <w:w w:val="105"/>
        </w:rPr>
        <w:t> </w:t>
      </w:r>
      <w:r>
        <w:rPr>
          <w:w w:val="105"/>
        </w:rPr>
        <w:t>66%</w:t>
      </w:r>
      <w:r>
        <w:rPr>
          <w:spacing w:val="-2"/>
          <w:w w:val="105"/>
        </w:rPr>
        <w:t> </w:t>
      </w:r>
      <w:r>
        <w:rPr>
          <w:w w:val="105"/>
        </w:rPr>
        <w:t>are represented</w:t>
      </w:r>
      <w:r>
        <w:rPr>
          <w:spacing w:val="-2"/>
          <w:w w:val="105"/>
        </w:rPr>
        <w:t> </w:t>
      </w:r>
      <w:r>
        <w:rPr>
          <w:w w:val="105"/>
        </w:rPr>
        <w:t>by</w:t>
      </w:r>
      <w:r>
        <w:rPr>
          <w:spacing w:val="-2"/>
          <w:w w:val="105"/>
        </w:rPr>
        <w:t> </w:t>
      </w:r>
      <w:r>
        <w:rPr>
          <w:w w:val="105"/>
        </w:rPr>
        <w:t>a</w:t>
      </w:r>
      <w:r>
        <w:rPr>
          <w:spacing w:val="-2"/>
          <w:w w:val="105"/>
        </w:rPr>
        <w:t> </w:t>
      </w:r>
      <w:r>
        <w:rPr>
          <w:w w:val="105"/>
        </w:rPr>
        <w:t>union</w:t>
      </w:r>
      <w:r>
        <w:rPr>
          <w:spacing w:val="-2"/>
          <w:w w:val="105"/>
        </w:rPr>
        <w:t> </w:t>
      </w:r>
      <w:r>
        <w:rPr>
          <w:w w:val="105"/>
        </w:rPr>
        <w:t>or</w:t>
      </w:r>
      <w:r>
        <w:rPr>
          <w:spacing w:val="-2"/>
          <w:w w:val="105"/>
        </w:rPr>
        <w:t> </w:t>
      </w:r>
      <w:r>
        <w:rPr>
          <w:w w:val="105"/>
        </w:rPr>
        <w:t>works</w:t>
      </w:r>
      <w:r>
        <w:rPr>
          <w:spacing w:val="-2"/>
          <w:w w:val="105"/>
        </w:rPr>
        <w:t> </w:t>
      </w:r>
      <w:r>
        <w:rPr>
          <w:w w:val="105"/>
        </w:rPr>
        <w:t>council. Our global workforce is concentrated in North America, the Asia Pacific region and EMEA.</w:t>
      </w:r>
    </w:p>
    <w:p>
      <w:pPr>
        <w:pStyle w:val="BodyText"/>
        <w:spacing w:before="19"/>
      </w:pPr>
    </w:p>
    <w:p>
      <w:pPr>
        <w:spacing w:before="0"/>
        <w:ind w:left="156" w:right="0" w:firstLine="0"/>
        <w:jc w:val="left"/>
        <w:rPr>
          <w:i/>
          <w:sz w:val="16"/>
        </w:rPr>
      </w:pPr>
      <w:r>
        <w:rPr>
          <w:i/>
          <w:spacing w:val="-2"/>
          <w:w w:val="105"/>
          <w:sz w:val="16"/>
        </w:rPr>
        <w:t>Values</w:t>
      </w:r>
    </w:p>
    <w:p>
      <w:pPr>
        <w:pStyle w:val="BodyText"/>
        <w:spacing w:before="39"/>
        <w:rPr>
          <w:i/>
        </w:rPr>
      </w:pPr>
    </w:p>
    <w:p>
      <w:pPr>
        <w:pStyle w:val="BodyText"/>
        <w:spacing w:line="266" w:lineRule="auto" w:before="1"/>
        <w:ind w:left="156"/>
      </w:pPr>
      <w:r>
        <w:rPr>
          <w:w w:val="105"/>
        </w:rPr>
        <w:t>Corning</w:t>
      </w:r>
      <w:r>
        <w:rPr>
          <w:spacing w:val="-9"/>
          <w:w w:val="105"/>
        </w:rPr>
        <w:t> </w:t>
      </w:r>
      <w:r>
        <w:rPr>
          <w:w w:val="105"/>
        </w:rPr>
        <w:t>is</w:t>
      </w:r>
      <w:r>
        <w:rPr>
          <w:spacing w:val="-9"/>
          <w:w w:val="105"/>
        </w:rPr>
        <w:t> </w:t>
      </w:r>
      <w:r>
        <w:rPr>
          <w:w w:val="105"/>
        </w:rPr>
        <w:t>guided</w:t>
      </w:r>
      <w:r>
        <w:rPr>
          <w:spacing w:val="-9"/>
          <w:w w:val="105"/>
        </w:rPr>
        <w:t> </w:t>
      </w:r>
      <w:r>
        <w:rPr>
          <w:w w:val="105"/>
        </w:rPr>
        <w:t>by</w:t>
      </w:r>
      <w:r>
        <w:rPr>
          <w:spacing w:val="-9"/>
          <w:w w:val="105"/>
        </w:rPr>
        <w:t> </w:t>
      </w:r>
      <w:r>
        <w:rPr>
          <w:w w:val="105"/>
        </w:rPr>
        <w:t>an</w:t>
      </w:r>
      <w:r>
        <w:rPr>
          <w:spacing w:val="-9"/>
          <w:w w:val="105"/>
        </w:rPr>
        <w:t> </w:t>
      </w:r>
      <w:r>
        <w:rPr>
          <w:w w:val="105"/>
        </w:rPr>
        <w:t>enduring</w:t>
      </w:r>
      <w:r>
        <w:rPr>
          <w:spacing w:val="-9"/>
          <w:w w:val="105"/>
        </w:rPr>
        <w:t> </w:t>
      </w:r>
      <w:r>
        <w:rPr>
          <w:w w:val="105"/>
        </w:rPr>
        <w:t>set</w:t>
      </w:r>
      <w:r>
        <w:rPr>
          <w:spacing w:val="-9"/>
          <w:w w:val="105"/>
        </w:rPr>
        <w:t> </w:t>
      </w:r>
      <w:r>
        <w:rPr>
          <w:w w:val="105"/>
        </w:rPr>
        <w:t>of</w:t>
      </w:r>
      <w:r>
        <w:rPr>
          <w:spacing w:val="-9"/>
          <w:w w:val="105"/>
        </w:rPr>
        <w:t> </w:t>
      </w:r>
      <w:r>
        <w:rPr>
          <w:w w:val="105"/>
        </w:rPr>
        <w:t>Values</w:t>
      </w:r>
      <w:r>
        <w:rPr>
          <w:spacing w:val="-9"/>
          <w:w w:val="105"/>
        </w:rPr>
        <w:t> </w:t>
      </w:r>
      <w:r>
        <w:rPr>
          <w:w w:val="105"/>
        </w:rPr>
        <w:t>that</w:t>
      </w:r>
      <w:r>
        <w:rPr>
          <w:spacing w:val="-9"/>
          <w:w w:val="105"/>
        </w:rPr>
        <w:t> </w:t>
      </w:r>
      <w:r>
        <w:rPr>
          <w:w w:val="105"/>
        </w:rPr>
        <w:t>defines</w:t>
      </w:r>
      <w:r>
        <w:rPr>
          <w:spacing w:val="-9"/>
          <w:w w:val="105"/>
        </w:rPr>
        <w:t> </w:t>
      </w:r>
      <w:r>
        <w:rPr>
          <w:w w:val="105"/>
        </w:rPr>
        <w:t>our</w:t>
      </w:r>
      <w:r>
        <w:rPr>
          <w:spacing w:val="-9"/>
          <w:w w:val="105"/>
        </w:rPr>
        <w:t> </w:t>
      </w:r>
      <w:r>
        <w:rPr>
          <w:w w:val="105"/>
        </w:rPr>
        <w:t>relationship</w:t>
      </w:r>
      <w:r>
        <w:rPr>
          <w:spacing w:val="-9"/>
          <w:w w:val="105"/>
        </w:rPr>
        <w:t> </w:t>
      </w:r>
      <w:r>
        <w:rPr>
          <w:w w:val="105"/>
        </w:rPr>
        <w:t>with</w:t>
      </w:r>
      <w:r>
        <w:rPr>
          <w:spacing w:val="-9"/>
          <w:w w:val="105"/>
        </w:rPr>
        <w:t> </w:t>
      </w:r>
      <w:r>
        <w:rPr>
          <w:w w:val="105"/>
        </w:rPr>
        <w:t>employees,</w:t>
      </w:r>
      <w:r>
        <w:rPr>
          <w:spacing w:val="-9"/>
          <w:w w:val="105"/>
        </w:rPr>
        <w:t> </w:t>
      </w:r>
      <w:r>
        <w:rPr>
          <w:w w:val="105"/>
        </w:rPr>
        <w:t>customers,</w:t>
      </w:r>
      <w:r>
        <w:rPr>
          <w:spacing w:val="-9"/>
          <w:w w:val="105"/>
        </w:rPr>
        <w:t> </w:t>
      </w:r>
      <w:r>
        <w:rPr>
          <w:w w:val="105"/>
        </w:rPr>
        <w:t>and</w:t>
      </w:r>
      <w:r>
        <w:rPr>
          <w:spacing w:val="-9"/>
          <w:w w:val="105"/>
        </w:rPr>
        <w:t> </w:t>
      </w:r>
      <w:r>
        <w:rPr>
          <w:w w:val="105"/>
        </w:rPr>
        <w:t>our</w:t>
      </w:r>
      <w:r>
        <w:rPr>
          <w:spacing w:val="-9"/>
          <w:w w:val="105"/>
        </w:rPr>
        <w:t> </w:t>
      </w:r>
      <w:r>
        <w:rPr>
          <w:w w:val="105"/>
        </w:rPr>
        <w:t>communities:</w:t>
      </w:r>
      <w:r>
        <w:rPr>
          <w:spacing w:val="25"/>
          <w:w w:val="105"/>
        </w:rPr>
        <w:t> </w:t>
      </w:r>
      <w:r>
        <w:rPr>
          <w:w w:val="105"/>
        </w:rPr>
        <w:t>Quality,</w:t>
      </w:r>
      <w:r>
        <w:rPr>
          <w:spacing w:val="-9"/>
          <w:w w:val="105"/>
        </w:rPr>
        <w:t> </w:t>
      </w:r>
      <w:r>
        <w:rPr>
          <w:w w:val="105"/>
        </w:rPr>
        <w:t>Integrity,</w:t>
      </w:r>
      <w:r>
        <w:rPr>
          <w:spacing w:val="-9"/>
          <w:w w:val="105"/>
        </w:rPr>
        <w:t> </w:t>
      </w:r>
      <w:r>
        <w:rPr>
          <w:w w:val="105"/>
        </w:rPr>
        <w:t>Performance,</w:t>
      </w:r>
      <w:r>
        <w:rPr>
          <w:spacing w:val="-9"/>
          <w:w w:val="105"/>
        </w:rPr>
        <w:t> </w:t>
      </w:r>
      <w:r>
        <w:rPr>
          <w:w w:val="105"/>
        </w:rPr>
        <w:t>Leadership, Innovation,</w:t>
      </w:r>
      <w:r>
        <w:rPr>
          <w:spacing w:val="-2"/>
          <w:w w:val="105"/>
        </w:rPr>
        <w:t> </w:t>
      </w:r>
      <w:r>
        <w:rPr>
          <w:w w:val="105"/>
        </w:rPr>
        <w:t>Independence</w:t>
      </w:r>
      <w:r>
        <w:rPr>
          <w:spacing w:val="-2"/>
          <w:w w:val="105"/>
        </w:rPr>
        <w:t> </w:t>
      </w:r>
      <w:r>
        <w:rPr>
          <w:w w:val="105"/>
        </w:rPr>
        <w:t>and</w:t>
      </w:r>
      <w:r>
        <w:rPr>
          <w:spacing w:val="-2"/>
          <w:w w:val="105"/>
        </w:rPr>
        <w:t> </w:t>
      </w:r>
      <w:r>
        <w:rPr>
          <w:w w:val="105"/>
        </w:rPr>
        <w:t>the</w:t>
      </w:r>
      <w:r>
        <w:rPr>
          <w:spacing w:val="-2"/>
          <w:w w:val="105"/>
        </w:rPr>
        <w:t> </w:t>
      </w:r>
      <w:r>
        <w:rPr>
          <w:w w:val="105"/>
        </w:rPr>
        <w:t>Individual.</w:t>
      </w:r>
      <w:r>
        <w:rPr>
          <w:spacing w:val="39"/>
          <w:w w:val="105"/>
        </w:rPr>
        <w:t> </w:t>
      </w:r>
      <w:r>
        <w:rPr>
          <w:w w:val="105"/>
        </w:rPr>
        <w:t>Our</w:t>
      </w:r>
      <w:r>
        <w:rPr>
          <w:spacing w:val="-2"/>
          <w:w w:val="105"/>
        </w:rPr>
        <w:t> </w:t>
      </w:r>
      <w:r>
        <w:rPr>
          <w:w w:val="105"/>
        </w:rPr>
        <w:t>Values</w:t>
      </w:r>
      <w:r>
        <w:rPr>
          <w:spacing w:val="-2"/>
          <w:w w:val="105"/>
        </w:rPr>
        <w:t> </w:t>
      </w:r>
      <w:r>
        <w:rPr>
          <w:w w:val="105"/>
        </w:rPr>
        <w:t>are</w:t>
      </w:r>
      <w:r>
        <w:rPr>
          <w:spacing w:val="-2"/>
          <w:w w:val="105"/>
        </w:rPr>
        <w:t> </w:t>
      </w:r>
      <w:r>
        <w:rPr>
          <w:w w:val="105"/>
        </w:rPr>
        <w:t>the</w:t>
      </w:r>
      <w:r>
        <w:rPr>
          <w:spacing w:val="-2"/>
          <w:w w:val="105"/>
        </w:rPr>
        <w:t> </w:t>
      </w:r>
      <w:r>
        <w:rPr>
          <w:w w:val="105"/>
        </w:rPr>
        <w:t>key</w:t>
      </w:r>
      <w:r>
        <w:rPr>
          <w:spacing w:val="-2"/>
          <w:w w:val="105"/>
        </w:rPr>
        <w:t> </w:t>
      </w:r>
      <w:r>
        <w:rPr>
          <w:w w:val="105"/>
        </w:rPr>
        <w:t>to</w:t>
      </w:r>
      <w:r>
        <w:rPr>
          <w:spacing w:val="-2"/>
          <w:w w:val="105"/>
        </w:rPr>
        <w:t> </w:t>
      </w:r>
      <w:r>
        <w:rPr>
          <w:w w:val="105"/>
        </w:rPr>
        <w:t>our</w:t>
      </w:r>
      <w:r>
        <w:rPr>
          <w:spacing w:val="-2"/>
          <w:w w:val="105"/>
        </w:rPr>
        <w:t> </w:t>
      </w:r>
      <w:r>
        <w:rPr>
          <w:w w:val="105"/>
        </w:rPr>
        <w:t>business</w:t>
      </w:r>
      <w:r>
        <w:rPr>
          <w:spacing w:val="-2"/>
          <w:w w:val="105"/>
        </w:rPr>
        <w:t> </w:t>
      </w:r>
      <w:r>
        <w:rPr>
          <w:w w:val="105"/>
        </w:rPr>
        <w:t>success,</w:t>
      </w:r>
      <w:r>
        <w:rPr>
          <w:spacing w:val="-2"/>
          <w:w w:val="105"/>
        </w:rPr>
        <w:t> </w:t>
      </w:r>
      <w:r>
        <w:rPr>
          <w:w w:val="105"/>
        </w:rPr>
        <w:t>a</w:t>
      </w:r>
      <w:r>
        <w:rPr>
          <w:spacing w:val="-2"/>
          <w:w w:val="105"/>
        </w:rPr>
        <w:t> </w:t>
      </w:r>
      <w:r>
        <w:rPr>
          <w:w w:val="105"/>
        </w:rPr>
        <w:t>source</w:t>
      </w:r>
      <w:r>
        <w:rPr>
          <w:spacing w:val="-2"/>
          <w:w w:val="105"/>
        </w:rPr>
        <w:t> </w:t>
      </w:r>
      <w:r>
        <w:rPr>
          <w:w w:val="105"/>
        </w:rPr>
        <w:t>of</w:t>
      </w:r>
      <w:r>
        <w:rPr>
          <w:spacing w:val="-2"/>
          <w:w w:val="105"/>
        </w:rPr>
        <w:t> </w:t>
      </w:r>
      <w:r>
        <w:rPr>
          <w:w w:val="105"/>
        </w:rPr>
        <w:t>pride</w:t>
      </w:r>
      <w:r>
        <w:rPr>
          <w:spacing w:val="-2"/>
          <w:w w:val="105"/>
        </w:rPr>
        <w:t> </w:t>
      </w:r>
      <w:r>
        <w:rPr>
          <w:w w:val="105"/>
        </w:rPr>
        <w:t>and</w:t>
      </w:r>
      <w:r>
        <w:rPr>
          <w:spacing w:val="-2"/>
          <w:w w:val="105"/>
        </w:rPr>
        <w:t> </w:t>
      </w:r>
      <w:r>
        <w:rPr>
          <w:w w:val="105"/>
        </w:rPr>
        <w:t>excitement</w:t>
      </w:r>
      <w:r>
        <w:rPr>
          <w:spacing w:val="-2"/>
          <w:w w:val="105"/>
        </w:rPr>
        <w:t> </w:t>
      </w:r>
      <w:r>
        <w:rPr>
          <w:w w:val="105"/>
        </w:rPr>
        <w:t>for</w:t>
      </w:r>
      <w:r>
        <w:rPr>
          <w:spacing w:val="-2"/>
          <w:w w:val="105"/>
        </w:rPr>
        <w:t> </w:t>
      </w:r>
      <w:r>
        <w:rPr>
          <w:w w:val="105"/>
        </w:rPr>
        <w:t>our</w:t>
      </w:r>
      <w:r>
        <w:rPr>
          <w:spacing w:val="-2"/>
          <w:w w:val="105"/>
        </w:rPr>
        <w:t> </w:t>
      </w:r>
      <w:r>
        <w:rPr>
          <w:w w:val="105"/>
        </w:rPr>
        <w:t>employees,</w:t>
      </w:r>
      <w:r>
        <w:rPr>
          <w:spacing w:val="-2"/>
          <w:w w:val="105"/>
        </w:rPr>
        <w:t> </w:t>
      </w:r>
      <w:r>
        <w:rPr>
          <w:w w:val="105"/>
        </w:rPr>
        <w:t>and</w:t>
      </w:r>
      <w:r>
        <w:rPr>
          <w:spacing w:val="-2"/>
          <w:w w:val="105"/>
        </w:rPr>
        <w:t> </w:t>
      </w:r>
      <w:r>
        <w:rPr>
          <w:w w:val="105"/>
        </w:rPr>
        <w:t>the</w:t>
      </w:r>
      <w:r>
        <w:rPr>
          <w:spacing w:val="-2"/>
          <w:w w:val="105"/>
        </w:rPr>
        <w:t> </w:t>
      </w:r>
      <w:r>
        <w:rPr>
          <w:w w:val="105"/>
        </w:rPr>
        <w:t>factor</w:t>
      </w:r>
      <w:r>
        <w:rPr>
          <w:spacing w:val="-2"/>
          <w:w w:val="105"/>
        </w:rPr>
        <w:t> </w:t>
      </w:r>
      <w:r>
        <w:rPr>
          <w:w w:val="105"/>
        </w:rPr>
        <w:t>that ultimately</w:t>
      </w:r>
      <w:r>
        <w:rPr>
          <w:spacing w:val="-2"/>
          <w:w w:val="105"/>
        </w:rPr>
        <w:t> </w:t>
      </w:r>
      <w:r>
        <w:rPr>
          <w:w w:val="105"/>
        </w:rPr>
        <w:t>sets</w:t>
      </w:r>
      <w:r>
        <w:rPr>
          <w:spacing w:val="-2"/>
          <w:w w:val="105"/>
        </w:rPr>
        <w:t> </w:t>
      </w:r>
      <w:r>
        <w:rPr>
          <w:w w:val="105"/>
        </w:rPr>
        <w:t>us</w:t>
      </w:r>
      <w:r>
        <w:rPr>
          <w:spacing w:val="-2"/>
          <w:w w:val="105"/>
        </w:rPr>
        <w:t> </w:t>
      </w:r>
      <w:r>
        <w:rPr>
          <w:w w:val="105"/>
        </w:rPr>
        <w:t>apart</w:t>
      </w:r>
      <w:r>
        <w:rPr>
          <w:spacing w:val="-2"/>
          <w:w w:val="105"/>
        </w:rPr>
        <w:t> </w:t>
      </w:r>
      <w:r>
        <w:rPr>
          <w:w w:val="105"/>
        </w:rPr>
        <w:t>from</w:t>
      </w:r>
      <w:r>
        <w:rPr>
          <w:spacing w:val="-2"/>
          <w:w w:val="105"/>
        </w:rPr>
        <w:t> </w:t>
      </w:r>
      <w:r>
        <w:rPr>
          <w:w w:val="105"/>
        </w:rPr>
        <w:t>our</w:t>
      </w:r>
      <w:r>
        <w:rPr>
          <w:spacing w:val="-2"/>
          <w:w w:val="105"/>
        </w:rPr>
        <w:t> </w:t>
      </w:r>
      <w:r>
        <w:rPr>
          <w:w w:val="105"/>
        </w:rPr>
        <w:t>competitors.</w:t>
      </w:r>
      <w:r>
        <w:rPr>
          <w:spacing w:val="40"/>
          <w:w w:val="105"/>
        </w:rPr>
        <w:t> </w:t>
      </w:r>
      <w:r>
        <w:rPr>
          <w:w w:val="105"/>
        </w:rPr>
        <w:t>In</w:t>
      </w:r>
      <w:r>
        <w:rPr>
          <w:spacing w:val="-2"/>
          <w:w w:val="105"/>
        </w:rPr>
        <w:t> </w:t>
      </w:r>
      <w:r>
        <w:rPr>
          <w:w w:val="105"/>
        </w:rPr>
        <w:t>short,</w:t>
      </w:r>
      <w:r>
        <w:rPr>
          <w:spacing w:val="-2"/>
          <w:w w:val="105"/>
        </w:rPr>
        <w:t> </w:t>
      </w:r>
      <w:r>
        <w:rPr>
          <w:w w:val="105"/>
        </w:rPr>
        <w:t>we</w:t>
      </w:r>
      <w:r>
        <w:rPr>
          <w:spacing w:val="-2"/>
          <w:w w:val="105"/>
        </w:rPr>
        <w:t> </w:t>
      </w:r>
      <w:r>
        <w:rPr>
          <w:w w:val="105"/>
        </w:rPr>
        <w:t>believe</w:t>
      </w:r>
      <w:r>
        <w:rPr>
          <w:spacing w:val="-2"/>
          <w:w w:val="105"/>
        </w:rPr>
        <w:t> </w:t>
      </w:r>
      <w:r>
        <w:rPr>
          <w:w w:val="105"/>
        </w:rPr>
        <w:t>that</w:t>
      </w:r>
      <w:r>
        <w:rPr>
          <w:spacing w:val="-2"/>
          <w:w w:val="105"/>
        </w:rPr>
        <w:t> </w:t>
      </w:r>
      <w:r>
        <w:rPr>
          <w:w w:val="105"/>
        </w:rPr>
        <w:t>how</w:t>
      </w:r>
      <w:r>
        <w:rPr>
          <w:spacing w:val="-2"/>
          <w:w w:val="105"/>
        </w:rPr>
        <w:t> </w:t>
      </w:r>
      <w:r>
        <w:rPr>
          <w:w w:val="105"/>
        </w:rPr>
        <w:t>we</w:t>
      </w:r>
      <w:r>
        <w:rPr>
          <w:spacing w:val="-2"/>
          <w:w w:val="105"/>
        </w:rPr>
        <w:t> </w:t>
      </w:r>
      <w:r>
        <w:rPr>
          <w:w w:val="105"/>
        </w:rPr>
        <w:t>do</w:t>
      </w:r>
      <w:r>
        <w:rPr>
          <w:spacing w:val="-2"/>
          <w:w w:val="105"/>
        </w:rPr>
        <w:t> </w:t>
      </w:r>
      <w:r>
        <w:rPr>
          <w:w w:val="105"/>
        </w:rPr>
        <w:t>things</w:t>
      </w:r>
      <w:r>
        <w:rPr>
          <w:spacing w:val="-2"/>
          <w:w w:val="105"/>
        </w:rPr>
        <w:t> </w:t>
      </w:r>
      <w:r>
        <w:rPr>
          <w:w w:val="105"/>
        </w:rPr>
        <w:t>is as</w:t>
      </w:r>
      <w:r>
        <w:rPr>
          <w:spacing w:val="-2"/>
          <w:w w:val="105"/>
        </w:rPr>
        <w:t> </w:t>
      </w:r>
      <w:r>
        <w:rPr>
          <w:w w:val="105"/>
        </w:rPr>
        <w:t>important</w:t>
      </w:r>
      <w:r>
        <w:rPr>
          <w:spacing w:val="-2"/>
          <w:w w:val="105"/>
        </w:rPr>
        <w:t> </w:t>
      </w:r>
      <w:r>
        <w:rPr>
          <w:w w:val="105"/>
        </w:rPr>
        <w:t>as</w:t>
      </w:r>
      <w:r>
        <w:rPr>
          <w:spacing w:val="-2"/>
          <w:w w:val="105"/>
        </w:rPr>
        <w:t> </w:t>
      </w:r>
      <w:r>
        <w:rPr>
          <w:w w:val="105"/>
        </w:rPr>
        <w:t>what</w:t>
      </w:r>
      <w:r>
        <w:rPr>
          <w:spacing w:val="-2"/>
          <w:w w:val="105"/>
        </w:rPr>
        <w:t> </w:t>
      </w:r>
      <w:r>
        <w:rPr>
          <w:w w:val="105"/>
        </w:rPr>
        <w:t>we</w:t>
      </w:r>
      <w:r>
        <w:rPr>
          <w:spacing w:val="-2"/>
          <w:w w:val="105"/>
        </w:rPr>
        <w:t> </w:t>
      </w:r>
      <w:r>
        <w:rPr>
          <w:w w:val="105"/>
        </w:rPr>
        <w:t>do.</w:t>
      </w:r>
      <w:r>
        <w:rPr>
          <w:spacing w:val="38"/>
          <w:w w:val="105"/>
        </w:rPr>
        <w:t> </w:t>
      </w:r>
      <w:r>
        <w:rPr>
          <w:w w:val="105"/>
        </w:rPr>
        <w:t>We</w:t>
      </w:r>
      <w:r>
        <w:rPr>
          <w:spacing w:val="-2"/>
          <w:w w:val="105"/>
        </w:rPr>
        <w:t> </w:t>
      </w:r>
      <w:r>
        <w:rPr>
          <w:w w:val="105"/>
        </w:rPr>
        <w:t>measure</w:t>
      </w:r>
      <w:r>
        <w:rPr>
          <w:spacing w:val="-2"/>
          <w:w w:val="105"/>
        </w:rPr>
        <w:t> </w:t>
      </w:r>
      <w:r>
        <w:rPr>
          <w:w w:val="105"/>
        </w:rPr>
        <w:t>how</w:t>
      </w:r>
      <w:r>
        <w:rPr>
          <w:spacing w:val="-2"/>
          <w:w w:val="105"/>
        </w:rPr>
        <w:t> </w:t>
      </w:r>
      <w:r>
        <w:rPr>
          <w:w w:val="105"/>
        </w:rPr>
        <w:t>we</w:t>
      </w:r>
      <w:r>
        <w:rPr>
          <w:spacing w:val="-2"/>
          <w:w w:val="105"/>
        </w:rPr>
        <w:t> </w:t>
      </w:r>
      <w:r>
        <w:rPr>
          <w:w w:val="105"/>
        </w:rPr>
        <w:t>live</w:t>
      </w:r>
      <w:r>
        <w:rPr>
          <w:spacing w:val="-2"/>
          <w:w w:val="105"/>
        </w:rPr>
        <w:t> </w:t>
      </w:r>
      <w:r>
        <w:rPr>
          <w:w w:val="105"/>
        </w:rPr>
        <w:t>our</w:t>
      </w:r>
      <w:r>
        <w:rPr>
          <w:spacing w:val="-2"/>
          <w:w w:val="105"/>
        </w:rPr>
        <w:t> </w:t>
      </w:r>
      <w:r>
        <w:rPr>
          <w:w w:val="105"/>
        </w:rPr>
        <w:t>Values</w:t>
      </w:r>
      <w:r>
        <w:rPr>
          <w:spacing w:val="-2"/>
          <w:w w:val="105"/>
        </w:rPr>
        <w:t> </w:t>
      </w:r>
      <w:r>
        <w:rPr>
          <w:w w:val="105"/>
        </w:rPr>
        <w:t>through</w:t>
      </w:r>
      <w:r>
        <w:rPr>
          <w:spacing w:val="-2"/>
          <w:w w:val="105"/>
        </w:rPr>
        <w:t> </w:t>
      </w:r>
      <w:r>
        <w:rPr>
          <w:w w:val="105"/>
        </w:rPr>
        <w:t>the annual</w:t>
      </w:r>
      <w:r>
        <w:rPr>
          <w:spacing w:val="-2"/>
          <w:w w:val="105"/>
        </w:rPr>
        <w:t> </w:t>
      </w:r>
      <w:r>
        <w:rPr>
          <w:w w:val="105"/>
        </w:rPr>
        <w:t>Corporate</w:t>
      </w:r>
      <w:r>
        <w:rPr>
          <w:spacing w:val="-2"/>
          <w:w w:val="105"/>
        </w:rPr>
        <w:t> </w:t>
      </w:r>
      <w:r>
        <w:rPr>
          <w:w w:val="105"/>
        </w:rPr>
        <w:t>Values</w:t>
      </w:r>
      <w:r>
        <w:rPr>
          <w:spacing w:val="-2"/>
          <w:w w:val="105"/>
        </w:rPr>
        <w:t> </w:t>
      </w:r>
      <w:r>
        <w:rPr>
          <w:w w:val="105"/>
        </w:rPr>
        <w:t>Survey.</w:t>
      </w:r>
      <w:r>
        <w:rPr>
          <w:spacing w:val="38"/>
          <w:w w:val="105"/>
        </w:rPr>
        <w:t> </w:t>
      </w:r>
      <w:r>
        <w:rPr>
          <w:w w:val="105"/>
        </w:rPr>
        <w:t>We</w:t>
      </w:r>
      <w:r>
        <w:rPr>
          <w:spacing w:val="-2"/>
          <w:w w:val="105"/>
        </w:rPr>
        <w:t> </w:t>
      </w:r>
      <w:r>
        <w:rPr>
          <w:w w:val="105"/>
        </w:rPr>
        <w:t>use</w:t>
      </w:r>
      <w:r>
        <w:rPr>
          <w:spacing w:val="-2"/>
          <w:w w:val="105"/>
        </w:rPr>
        <w:t> </w:t>
      </w:r>
      <w:r>
        <w:rPr>
          <w:w w:val="105"/>
        </w:rPr>
        <w:t>the</w:t>
      </w:r>
      <w:r>
        <w:rPr>
          <w:spacing w:val="-2"/>
          <w:w w:val="105"/>
        </w:rPr>
        <w:t> </w:t>
      </w:r>
      <w:r>
        <w:rPr>
          <w:w w:val="105"/>
        </w:rPr>
        <w:t>results</w:t>
      </w:r>
      <w:r>
        <w:rPr>
          <w:spacing w:val="-2"/>
          <w:w w:val="105"/>
        </w:rPr>
        <w:t> </w:t>
      </w:r>
      <w:r>
        <w:rPr>
          <w:w w:val="105"/>
        </w:rPr>
        <w:t>to</w:t>
      </w:r>
      <w:r>
        <w:rPr>
          <w:spacing w:val="-2"/>
          <w:w w:val="105"/>
        </w:rPr>
        <w:t> </w:t>
      </w:r>
      <w:r>
        <w:rPr>
          <w:w w:val="105"/>
        </w:rPr>
        <w:t>see</w:t>
      </w:r>
      <w:r>
        <w:rPr>
          <w:spacing w:val="-2"/>
          <w:w w:val="105"/>
        </w:rPr>
        <w:t> </w:t>
      </w:r>
      <w:r>
        <w:rPr>
          <w:w w:val="105"/>
        </w:rPr>
        <w:t>what</w:t>
      </w:r>
      <w:r>
        <w:rPr>
          <w:spacing w:val="-2"/>
          <w:w w:val="105"/>
        </w:rPr>
        <w:t> </w:t>
      </w:r>
      <w:r>
        <w:rPr>
          <w:w w:val="105"/>
        </w:rPr>
        <w:t>actions</w:t>
      </w:r>
      <w:r>
        <w:rPr>
          <w:spacing w:val="-2"/>
          <w:w w:val="105"/>
        </w:rPr>
        <w:t> </w:t>
      </w:r>
      <w:r>
        <w:rPr>
          <w:w w:val="105"/>
        </w:rPr>
        <w:t>can</w:t>
      </w:r>
      <w:r>
        <w:rPr>
          <w:spacing w:val="-2"/>
          <w:w w:val="105"/>
        </w:rPr>
        <w:t> </w:t>
      </w:r>
      <w:r>
        <w:rPr>
          <w:w w:val="105"/>
        </w:rPr>
        <w:t>be</w:t>
      </w:r>
      <w:r>
        <w:rPr>
          <w:spacing w:val="-2"/>
          <w:w w:val="105"/>
        </w:rPr>
        <w:t> </w:t>
      </w:r>
      <w:r>
        <w:rPr>
          <w:w w:val="105"/>
        </w:rPr>
        <w:t>taken</w:t>
      </w:r>
      <w:r>
        <w:rPr>
          <w:spacing w:val="-2"/>
          <w:w w:val="105"/>
        </w:rPr>
        <w:t> </w:t>
      </w:r>
      <w:r>
        <w:rPr>
          <w:w w:val="105"/>
        </w:rPr>
        <w:t>toward</w:t>
      </w:r>
      <w:r>
        <w:rPr>
          <w:spacing w:val="-2"/>
          <w:w w:val="105"/>
        </w:rPr>
        <w:t> </w:t>
      </w:r>
      <w:r>
        <w:rPr>
          <w:w w:val="105"/>
        </w:rPr>
        <w:t>better</w:t>
      </w:r>
      <w:r>
        <w:rPr>
          <w:spacing w:val="-2"/>
          <w:w w:val="105"/>
        </w:rPr>
        <w:t> </w:t>
      </w:r>
      <w:r>
        <w:rPr>
          <w:w w:val="105"/>
        </w:rPr>
        <w:t>achievement</w:t>
      </w:r>
      <w:r>
        <w:rPr>
          <w:spacing w:val="-2"/>
          <w:w w:val="105"/>
        </w:rPr>
        <w:t> </w:t>
      </w:r>
      <w:r>
        <w:rPr>
          <w:w w:val="105"/>
        </w:rPr>
        <w:t>of</w:t>
      </w:r>
      <w:r>
        <w:rPr>
          <w:spacing w:val="-2"/>
          <w:w w:val="105"/>
        </w:rPr>
        <w:t> </w:t>
      </w:r>
      <w:r>
        <w:rPr>
          <w:w w:val="105"/>
        </w:rPr>
        <w:t>the</w:t>
      </w:r>
      <w:r>
        <w:rPr>
          <w:spacing w:val="-2"/>
          <w:w w:val="105"/>
        </w:rPr>
        <w:t> </w:t>
      </w:r>
      <w:r>
        <w:rPr>
          <w:w w:val="105"/>
        </w:rPr>
        <w:t>Values.</w:t>
      </w:r>
      <w:r>
        <w:rPr>
          <w:spacing w:val="-2"/>
          <w:w w:val="105"/>
        </w:rPr>
        <w:t> </w:t>
      </w:r>
      <w:r>
        <w:rPr>
          <w:w w:val="105"/>
        </w:rPr>
        <w:t>Corning</w:t>
      </w:r>
      <w:r>
        <w:rPr>
          <w:spacing w:val="-2"/>
          <w:w w:val="105"/>
        </w:rPr>
        <w:t> </w:t>
      </w:r>
      <w:r>
        <w:rPr>
          <w:w w:val="105"/>
        </w:rPr>
        <w:t>employees</w:t>
      </w:r>
      <w:r>
        <w:rPr>
          <w:spacing w:val="-2"/>
          <w:w w:val="105"/>
        </w:rPr>
        <w:t> </w:t>
      </w:r>
      <w:r>
        <w:rPr>
          <w:w w:val="105"/>
        </w:rPr>
        <w:t>all</w:t>
      </w:r>
      <w:r>
        <w:rPr>
          <w:spacing w:val="-2"/>
          <w:w w:val="105"/>
        </w:rPr>
        <w:t> </w:t>
      </w:r>
      <w:r>
        <w:rPr>
          <w:w w:val="105"/>
        </w:rPr>
        <w:t>contribute</w:t>
      </w:r>
      <w:r>
        <w:rPr>
          <w:spacing w:val="-2"/>
          <w:w w:val="105"/>
        </w:rPr>
        <w:t> </w:t>
      </w:r>
      <w:r>
        <w:rPr>
          <w:w w:val="105"/>
        </w:rPr>
        <w:t>to</w:t>
      </w:r>
      <w:r>
        <w:rPr>
          <w:spacing w:val="-2"/>
          <w:w w:val="105"/>
        </w:rPr>
        <w:t> </w:t>
      </w:r>
      <w:r>
        <w:rPr>
          <w:w w:val="105"/>
        </w:rPr>
        <w:t>the success of the Company by living our Values—all seven, all the time, all around the world.</w:t>
      </w:r>
    </w:p>
    <w:p>
      <w:pPr>
        <w:pStyle w:val="BodyText"/>
        <w:spacing w:before="17"/>
      </w:pPr>
    </w:p>
    <w:p>
      <w:pPr>
        <w:spacing w:before="0"/>
        <w:ind w:left="156" w:right="0" w:firstLine="0"/>
        <w:jc w:val="left"/>
        <w:rPr>
          <w:i/>
          <w:sz w:val="16"/>
        </w:rPr>
      </w:pPr>
      <w:r>
        <w:rPr>
          <w:i/>
          <w:w w:val="105"/>
          <w:sz w:val="16"/>
        </w:rPr>
        <w:t>Diversity,</w:t>
      </w:r>
      <w:r>
        <w:rPr>
          <w:i/>
          <w:spacing w:val="-10"/>
          <w:w w:val="105"/>
          <w:sz w:val="16"/>
        </w:rPr>
        <w:t> </w:t>
      </w:r>
      <w:r>
        <w:rPr>
          <w:i/>
          <w:w w:val="105"/>
          <w:sz w:val="16"/>
        </w:rPr>
        <w:t>Equity</w:t>
      </w:r>
      <w:r>
        <w:rPr>
          <w:i/>
          <w:spacing w:val="-10"/>
          <w:w w:val="105"/>
          <w:sz w:val="16"/>
        </w:rPr>
        <w:t> </w:t>
      </w:r>
      <w:r>
        <w:rPr>
          <w:i/>
          <w:w w:val="105"/>
          <w:sz w:val="16"/>
        </w:rPr>
        <w:t>and</w:t>
      </w:r>
      <w:r>
        <w:rPr>
          <w:i/>
          <w:spacing w:val="-9"/>
          <w:w w:val="105"/>
          <w:sz w:val="16"/>
        </w:rPr>
        <w:t> </w:t>
      </w:r>
      <w:r>
        <w:rPr>
          <w:i/>
          <w:spacing w:val="-2"/>
          <w:w w:val="105"/>
          <w:sz w:val="16"/>
        </w:rPr>
        <w:t>Inclusion</w:t>
      </w:r>
    </w:p>
    <w:p>
      <w:pPr>
        <w:pStyle w:val="BodyText"/>
        <w:spacing w:before="40"/>
        <w:rPr>
          <w:i/>
        </w:rPr>
      </w:pPr>
    </w:p>
    <w:p>
      <w:pPr>
        <w:pStyle w:val="BodyText"/>
        <w:spacing w:line="266" w:lineRule="auto"/>
        <w:ind w:left="156" w:right="117"/>
      </w:pPr>
      <w:r>
        <w:rPr>
          <w:w w:val="105"/>
        </w:rPr>
        <w:t>We</w:t>
      </w:r>
      <w:r>
        <w:rPr>
          <w:spacing w:val="-1"/>
          <w:w w:val="105"/>
        </w:rPr>
        <w:t> </w:t>
      </w:r>
      <w:r>
        <w:rPr>
          <w:w w:val="105"/>
        </w:rPr>
        <w:t>are</w:t>
      </w:r>
      <w:r>
        <w:rPr>
          <w:spacing w:val="-1"/>
          <w:w w:val="105"/>
        </w:rPr>
        <w:t> </w:t>
      </w:r>
      <w:r>
        <w:rPr>
          <w:w w:val="105"/>
        </w:rPr>
        <w:t>focused</w:t>
      </w:r>
      <w:r>
        <w:rPr>
          <w:spacing w:val="-1"/>
          <w:w w:val="105"/>
        </w:rPr>
        <w:t> </w:t>
      </w:r>
      <w:r>
        <w:rPr>
          <w:w w:val="105"/>
        </w:rPr>
        <w:t>on</w:t>
      </w:r>
      <w:r>
        <w:rPr>
          <w:spacing w:val="-1"/>
          <w:w w:val="105"/>
        </w:rPr>
        <w:t> </w:t>
      </w:r>
      <w:r>
        <w:rPr>
          <w:w w:val="105"/>
        </w:rPr>
        <w:t>leveraging</w:t>
      </w:r>
      <w:r>
        <w:rPr>
          <w:spacing w:val="-1"/>
          <w:w w:val="105"/>
        </w:rPr>
        <w:t> </w:t>
      </w:r>
      <w:r>
        <w:rPr>
          <w:w w:val="105"/>
        </w:rPr>
        <w:t>globally</w:t>
      </w:r>
      <w:r>
        <w:rPr>
          <w:spacing w:val="-1"/>
          <w:w w:val="105"/>
        </w:rPr>
        <w:t> </w:t>
      </w:r>
      <w:r>
        <w:rPr>
          <w:w w:val="105"/>
        </w:rPr>
        <w:t>diverse</w:t>
      </w:r>
      <w:r>
        <w:rPr>
          <w:spacing w:val="-1"/>
          <w:w w:val="105"/>
        </w:rPr>
        <w:t> </w:t>
      </w:r>
      <w:r>
        <w:rPr>
          <w:w w:val="105"/>
        </w:rPr>
        <w:t>teams</w:t>
      </w:r>
      <w:r>
        <w:rPr>
          <w:spacing w:val="-1"/>
          <w:w w:val="105"/>
        </w:rPr>
        <w:t> </w:t>
      </w:r>
      <w:r>
        <w:rPr>
          <w:w w:val="105"/>
        </w:rPr>
        <w:t>and</w:t>
      </w:r>
      <w:r>
        <w:rPr>
          <w:spacing w:val="-1"/>
          <w:w w:val="105"/>
        </w:rPr>
        <w:t> </w:t>
      </w:r>
      <w:r>
        <w:rPr>
          <w:w w:val="105"/>
        </w:rPr>
        <w:t>creating</w:t>
      </w:r>
      <w:r>
        <w:rPr>
          <w:spacing w:val="-1"/>
          <w:w w:val="105"/>
        </w:rPr>
        <w:t> </w:t>
      </w:r>
      <w:r>
        <w:rPr>
          <w:w w:val="105"/>
        </w:rPr>
        <w:t>an</w:t>
      </w:r>
      <w:r>
        <w:rPr>
          <w:spacing w:val="-1"/>
          <w:w w:val="105"/>
        </w:rPr>
        <w:t> </w:t>
      </w:r>
      <w:r>
        <w:rPr>
          <w:w w:val="105"/>
        </w:rPr>
        <w:t>inclusive</w:t>
      </w:r>
      <w:r>
        <w:rPr>
          <w:spacing w:val="-1"/>
          <w:w w:val="105"/>
        </w:rPr>
        <w:t> </w:t>
      </w:r>
      <w:r>
        <w:rPr>
          <w:w w:val="105"/>
        </w:rPr>
        <w:t>environment</w:t>
      </w:r>
      <w:r>
        <w:rPr>
          <w:spacing w:val="-1"/>
          <w:w w:val="105"/>
        </w:rPr>
        <w:t> </w:t>
      </w:r>
      <w:r>
        <w:rPr>
          <w:w w:val="105"/>
        </w:rPr>
        <w:t>for</w:t>
      </w:r>
      <w:r>
        <w:rPr>
          <w:spacing w:val="-1"/>
          <w:w w:val="105"/>
        </w:rPr>
        <w:t> </w:t>
      </w:r>
      <w:r>
        <w:rPr>
          <w:w w:val="105"/>
        </w:rPr>
        <w:t>all</w:t>
      </w:r>
      <w:r>
        <w:rPr>
          <w:spacing w:val="-1"/>
          <w:w w:val="105"/>
        </w:rPr>
        <w:t> </w:t>
      </w:r>
      <w:r>
        <w:rPr>
          <w:w w:val="105"/>
        </w:rPr>
        <w:t>employees.</w:t>
      </w:r>
      <w:r>
        <w:rPr>
          <w:spacing w:val="40"/>
          <w:w w:val="105"/>
        </w:rPr>
        <w:t> </w:t>
      </w:r>
      <w:r>
        <w:rPr>
          <w:w w:val="105"/>
        </w:rPr>
        <w:t>Our</w:t>
      </w:r>
      <w:r>
        <w:rPr>
          <w:spacing w:val="-1"/>
          <w:w w:val="105"/>
        </w:rPr>
        <w:t> </w:t>
      </w:r>
      <w:r>
        <w:rPr>
          <w:w w:val="105"/>
        </w:rPr>
        <w:t>global</w:t>
      </w:r>
      <w:r>
        <w:rPr>
          <w:spacing w:val="-1"/>
          <w:w w:val="105"/>
        </w:rPr>
        <w:t> </w:t>
      </w:r>
      <w:r>
        <w:rPr>
          <w:w w:val="105"/>
        </w:rPr>
        <w:t>workforce</w:t>
      </w:r>
      <w:r>
        <w:rPr>
          <w:spacing w:val="-1"/>
          <w:w w:val="105"/>
        </w:rPr>
        <w:t> </w:t>
      </w:r>
      <w:r>
        <w:rPr>
          <w:w w:val="105"/>
        </w:rPr>
        <w:t>is</w:t>
      </w:r>
      <w:r>
        <w:rPr>
          <w:spacing w:val="-1"/>
          <w:w w:val="105"/>
        </w:rPr>
        <w:t> </w:t>
      </w:r>
      <w:r>
        <w:rPr>
          <w:w w:val="105"/>
        </w:rPr>
        <w:t>comprised</w:t>
      </w:r>
      <w:r>
        <w:rPr>
          <w:spacing w:val="-1"/>
          <w:w w:val="105"/>
        </w:rPr>
        <w:t> </w:t>
      </w:r>
      <w:r>
        <w:rPr>
          <w:w w:val="105"/>
        </w:rPr>
        <w:t>of</w:t>
      </w:r>
      <w:r>
        <w:rPr>
          <w:spacing w:val="-1"/>
          <w:w w:val="105"/>
        </w:rPr>
        <w:t> </w:t>
      </w:r>
      <w:r>
        <w:rPr>
          <w:w w:val="105"/>
        </w:rPr>
        <w:t>61%</w:t>
      </w:r>
      <w:r>
        <w:rPr>
          <w:spacing w:val="-1"/>
          <w:w w:val="105"/>
        </w:rPr>
        <w:t> </w:t>
      </w:r>
      <w:r>
        <w:rPr>
          <w:w w:val="105"/>
        </w:rPr>
        <w:t>men</w:t>
      </w:r>
      <w:r>
        <w:rPr>
          <w:spacing w:val="-1"/>
          <w:w w:val="105"/>
        </w:rPr>
        <w:t> </w:t>
      </w:r>
      <w:r>
        <w:rPr>
          <w:w w:val="105"/>
        </w:rPr>
        <w:t>and</w:t>
      </w:r>
      <w:r>
        <w:rPr>
          <w:spacing w:val="-1"/>
          <w:w w:val="105"/>
        </w:rPr>
        <w:t> </w:t>
      </w:r>
      <w:r>
        <w:rPr>
          <w:w w:val="105"/>
        </w:rPr>
        <w:t>39% women.</w:t>
      </w:r>
      <w:r>
        <w:rPr>
          <w:spacing w:val="40"/>
          <w:w w:val="105"/>
        </w:rPr>
        <w:t> </w:t>
      </w:r>
      <w:r>
        <w:rPr>
          <w:w w:val="105"/>
        </w:rPr>
        <w:t>In</w:t>
      </w:r>
      <w:r>
        <w:rPr>
          <w:spacing w:val="-1"/>
          <w:w w:val="105"/>
        </w:rPr>
        <w:t> </w:t>
      </w:r>
      <w:r>
        <w:rPr>
          <w:w w:val="105"/>
        </w:rPr>
        <w:t>all</w:t>
      </w:r>
      <w:r>
        <w:rPr>
          <w:spacing w:val="-1"/>
          <w:w w:val="105"/>
        </w:rPr>
        <w:t> </w:t>
      </w:r>
      <w:r>
        <w:rPr>
          <w:w w:val="105"/>
        </w:rPr>
        <w:t>regions</w:t>
      </w:r>
      <w:r>
        <w:rPr>
          <w:spacing w:val="-1"/>
          <w:w w:val="105"/>
        </w:rPr>
        <w:t> </w:t>
      </w:r>
      <w:r>
        <w:rPr>
          <w:w w:val="105"/>
        </w:rPr>
        <w:t>of</w:t>
      </w:r>
      <w:r>
        <w:rPr>
          <w:spacing w:val="-1"/>
          <w:w w:val="105"/>
        </w:rPr>
        <w:t> </w:t>
      </w:r>
      <w:r>
        <w:rPr>
          <w:w w:val="105"/>
        </w:rPr>
        <w:t>the</w:t>
      </w:r>
      <w:r>
        <w:rPr>
          <w:spacing w:val="-1"/>
          <w:w w:val="105"/>
        </w:rPr>
        <w:t> </w:t>
      </w:r>
      <w:r>
        <w:rPr>
          <w:w w:val="105"/>
        </w:rPr>
        <w:t>world,</w:t>
      </w:r>
      <w:r>
        <w:rPr>
          <w:spacing w:val="-1"/>
          <w:w w:val="105"/>
        </w:rPr>
        <w:t> </w:t>
      </w:r>
      <w:r>
        <w:rPr>
          <w:w w:val="105"/>
        </w:rPr>
        <w:t>we are</w:t>
      </w:r>
      <w:r>
        <w:rPr>
          <w:spacing w:val="-1"/>
          <w:w w:val="105"/>
        </w:rPr>
        <w:t> </w:t>
      </w:r>
      <w:r>
        <w:rPr>
          <w:w w:val="105"/>
        </w:rPr>
        <w:t>continuing</w:t>
      </w:r>
      <w:r>
        <w:rPr>
          <w:spacing w:val="-1"/>
          <w:w w:val="105"/>
        </w:rPr>
        <w:t> </w:t>
      </w:r>
      <w:r>
        <w:rPr>
          <w:w w:val="105"/>
        </w:rPr>
        <w:t>to</w:t>
      </w:r>
      <w:r>
        <w:rPr>
          <w:spacing w:val="-1"/>
          <w:w w:val="105"/>
        </w:rPr>
        <w:t> </w:t>
      </w:r>
      <w:r>
        <w:rPr>
          <w:w w:val="105"/>
        </w:rPr>
        <w:t>invest</w:t>
      </w:r>
      <w:r>
        <w:rPr>
          <w:spacing w:val="-1"/>
          <w:w w:val="105"/>
        </w:rPr>
        <w:t> </w:t>
      </w:r>
      <w:r>
        <w:rPr>
          <w:w w:val="105"/>
        </w:rPr>
        <w:t>in</w:t>
      </w:r>
      <w:r>
        <w:rPr>
          <w:spacing w:val="-1"/>
          <w:w w:val="105"/>
        </w:rPr>
        <w:t> </w:t>
      </w:r>
      <w:r>
        <w:rPr>
          <w:w w:val="105"/>
        </w:rPr>
        <w:t>building</w:t>
      </w:r>
      <w:r>
        <w:rPr>
          <w:spacing w:val="-1"/>
          <w:w w:val="105"/>
        </w:rPr>
        <w:t> </w:t>
      </w:r>
      <w:r>
        <w:rPr>
          <w:w w:val="105"/>
        </w:rPr>
        <w:t>our</w:t>
      </w:r>
      <w:r>
        <w:rPr>
          <w:spacing w:val="-1"/>
          <w:w w:val="105"/>
        </w:rPr>
        <w:t> </w:t>
      </w:r>
      <w:r>
        <w:rPr>
          <w:w w:val="105"/>
        </w:rPr>
        <w:t>pipeline</w:t>
      </w:r>
      <w:r>
        <w:rPr>
          <w:spacing w:val="-1"/>
          <w:w w:val="105"/>
        </w:rPr>
        <w:t> </w:t>
      </w:r>
      <w:r>
        <w:rPr>
          <w:w w:val="105"/>
        </w:rPr>
        <w:t>of</w:t>
      </w:r>
      <w:r>
        <w:rPr>
          <w:spacing w:val="-1"/>
          <w:w w:val="105"/>
        </w:rPr>
        <w:t> </w:t>
      </w:r>
      <w:r>
        <w:rPr>
          <w:w w:val="105"/>
        </w:rPr>
        <w:t>female</w:t>
      </w:r>
      <w:r>
        <w:rPr>
          <w:spacing w:val="-1"/>
          <w:w w:val="105"/>
        </w:rPr>
        <w:t> </w:t>
      </w:r>
      <w:r>
        <w:rPr>
          <w:w w:val="105"/>
        </w:rPr>
        <w:t>and</w:t>
      </w:r>
      <w:r>
        <w:rPr>
          <w:spacing w:val="-1"/>
          <w:w w:val="105"/>
        </w:rPr>
        <w:t> </w:t>
      </w:r>
      <w:r>
        <w:rPr>
          <w:w w:val="105"/>
        </w:rPr>
        <w:t>underrepresented</w:t>
      </w:r>
      <w:r>
        <w:rPr>
          <w:spacing w:val="-1"/>
          <w:w w:val="105"/>
        </w:rPr>
        <w:t> </w:t>
      </w:r>
      <w:r>
        <w:rPr>
          <w:w w:val="105"/>
        </w:rPr>
        <w:t>talent</w:t>
      </w:r>
      <w:r>
        <w:rPr>
          <w:spacing w:val="-1"/>
          <w:w w:val="105"/>
        </w:rPr>
        <w:t> </w:t>
      </w:r>
      <w:r>
        <w:rPr>
          <w:w w:val="105"/>
        </w:rPr>
        <w:t>through</w:t>
      </w:r>
      <w:r>
        <w:rPr>
          <w:spacing w:val="-1"/>
          <w:w w:val="105"/>
        </w:rPr>
        <w:t> </w:t>
      </w:r>
      <w:r>
        <w:rPr>
          <w:w w:val="105"/>
        </w:rPr>
        <w:t>targeted</w:t>
      </w:r>
      <w:r>
        <w:rPr>
          <w:spacing w:val="-1"/>
          <w:w w:val="105"/>
        </w:rPr>
        <w:t> </w:t>
      </w:r>
      <w:r>
        <w:rPr>
          <w:w w:val="105"/>
        </w:rPr>
        <w:t>recruitment</w:t>
      </w:r>
      <w:r>
        <w:rPr>
          <w:spacing w:val="-1"/>
          <w:w w:val="105"/>
        </w:rPr>
        <w:t> </w:t>
      </w:r>
      <w:r>
        <w:rPr>
          <w:w w:val="105"/>
        </w:rPr>
        <w:t>efforts, mentoring</w:t>
      </w:r>
      <w:r>
        <w:rPr>
          <w:spacing w:val="-8"/>
          <w:w w:val="105"/>
        </w:rPr>
        <w:t> </w:t>
      </w:r>
      <w:r>
        <w:rPr>
          <w:w w:val="105"/>
        </w:rPr>
        <w:t>and</w:t>
      </w:r>
      <w:r>
        <w:rPr>
          <w:spacing w:val="-8"/>
          <w:w w:val="105"/>
        </w:rPr>
        <w:t> </w:t>
      </w:r>
      <w:r>
        <w:rPr>
          <w:w w:val="105"/>
        </w:rPr>
        <w:t>coaching</w:t>
      </w:r>
      <w:r>
        <w:rPr>
          <w:spacing w:val="-8"/>
          <w:w w:val="105"/>
        </w:rPr>
        <w:t> </w:t>
      </w:r>
      <w:r>
        <w:rPr>
          <w:w w:val="105"/>
        </w:rPr>
        <w:t>programs,</w:t>
      </w:r>
      <w:r>
        <w:rPr>
          <w:spacing w:val="-8"/>
          <w:w w:val="105"/>
        </w:rPr>
        <w:t> </w:t>
      </w:r>
      <w:r>
        <w:rPr>
          <w:w w:val="105"/>
        </w:rPr>
        <w:t>networking</w:t>
      </w:r>
      <w:r>
        <w:rPr>
          <w:spacing w:val="-8"/>
          <w:w w:val="105"/>
        </w:rPr>
        <w:t> </w:t>
      </w:r>
      <w:r>
        <w:rPr>
          <w:w w:val="105"/>
        </w:rPr>
        <w:t>opportunities,</w:t>
      </w:r>
      <w:r>
        <w:rPr>
          <w:spacing w:val="-8"/>
          <w:w w:val="105"/>
        </w:rPr>
        <w:t> </w:t>
      </w:r>
      <w:r>
        <w:rPr>
          <w:w w:val="105"/>
        </w:rPr>
        <w:t>personalized</w:t>
      </w:r>
      <w:r>
        <w:rPr>
          <w:spacing w:val="-8"/>
          <w:w w:val="105"/>
        </w:rPr>
        <w:t> </w:t>
      </w:r>
      <w:r>
        <w:rPr>
          <w:w w:val="105"/>
        </w:rPr>
        <w:t>development</w:t>
      </w:r>
      <w:r>
        <w:rPr>
          <w:spacing w:val="-8"/>
          <w:w w:val="105"/>
        </w:rPr>
        <w:t> </w:t>
      </w:r>
      <w:r>
        <w:rPr>
          <w:w w:val="105"/>
        </w:rPr>
        <w:t>plans</w:t>
      </w:r>
      <w:r>
        <w:rPr>
          <w:spacing w:val="-6"/>
          <w:w w:val="105"/>
        </w:rPr>
        <w:t> </w:t>
      </w:r>
      <w:r>
        <w:rPr>
          <w:w w:val="105"/>
        </w:rPr>
        <w:t>and</w:t>
      </w:r>
      <w:r>
        <w:rPr>
          <w:spacing w:val="-8"/>
          <w:w w:val="105"/>
        </w:rPr>
        <w:t> </w:t>
      </w:r>
      <w:r>
        <w:rPr>
          <w:w w:val="105"/>
        </w:rPr>
        <w:t>proactive</w:t>
      </w:r>
      <w:r>
        <w:rPr>
          <w:spacing w:val="-8"/>
          <w:w w:val="105"/>
        </w:rPr>
        <w:t> </w:t>
      </w:r>
      <w:r>
        <w:rPr>
          <w:w w:val="105"/>
        </w:rPr>
        <w:t>career</w:t>
      </w:r>
      <w:r>
        <w:rPr>
          <w:spacing w:val="-6"/>
          <w:w w:val="105"/>
        </w:rPr>
        <w:t> </w:t>
      </w:r>
      <w:r>
        <w:rPr>
          <w:w w:val="105"/>
        </w:rPr>
        <w:t>management.</w:t>
      </w:r>
      <w:r>
        <w:rPr>
          <w:spacing w:val="62"/>
          <w:w w:val="105"/>
        </w:rPr>
        <w:t> </w:t>
      </w:r>
      <w:r>
        <w:rPr>
          <w:w w:val="105"/>
        </w:rPr>
        <w:t>As</w:t>
      </w:r>
      <w:r>
        <w:rPr>
          <w:spacing w:val="-8"/>
          <w:w w:val="105"/>
        </w:rPr>
        <w:t> </w:t>
      </w:r>
      <w:r>
        <w:rPr>
          <w:w w:val="105"/>
        </w:rPr>
        <w:t>a</w:t>
      </w:r>
      <w:r>
        <w:rPr>
          <w:spacing w:val="-8"/>
          <w:w w:val="105"/>
        </w:rPr>
        <w:t> </w:t>
      </w:r>
      <w:r>
        <w:rPr>
          <w:w w:val="105"/>
        </w:rPr>
        <w:t>result</w:t>
      </w:r>
      <w:r>
        <w:rPr>
          <w:spacing w:val="-8"/>
          <w:w w:val="105"/>
        </w:rPr>
        <w:t> </w:t>
      </w:r>
      <w:r>
        <w:rPr>
          <w:w w:val="105"/>
        </w:rPr>
        <w:t>of</w:t>
      </w:r>
      <w:r>
        <w:rPr>
          <w:spacing w:val="-8"/>
          <w:w w:val="105"/>
        </w:rPr>
        <w:t> </w:t>
      </w:r>
      <w:r>
        <w:rPr>
          <w:w w:val="105"/>
        </w:rPr>
        <w:t>these</w:t>
      </w:r>
      <w:r>
        <w:rPr>
          <w:spacing w:val="-8"/>
          <w:w w:val="105"/>
        </w:rPr>
        <w:t> </w:t>
      </w:r>
      <w:r>
        <w:rPr>
          <w:w w:val="105"/>
        </w:rPr>
        <w:t>efforts,</w:t>
      </w:r>
      <w:r>
        <w:rPr>
          <w:spacing w:val="-8"/>
          <w:w w:val="105"/>
        </w:rPr>
        <w:t> </w:t>
      </w:r>
      <w:r>
        <w:rPr>
          <w:w w:val="105"/>
        </w:rPr>
        <w:t>we</w:t>
      </w:r>
      <w:r>
        <w:rPr>
          <w:spacing w:val="-8"/>
          <w:w w:val="105"/>
        </w:rPr>
        <w:t> </w:t>
      </w:r>
      <w:r>
        <w:rPr>
          <w:w w:val="105"/>
        </w:rPr>
        <w:t>have</w:t>
      </w:r>
      <w:r>
        <w:rPr>
          <w:spacing w:val="-8"/>
          <w:w w:val="105"/>
        </w:rPr>
        <w:t> </w:t>
      </w:r>
      <w:r>
        <w:rPr>
          <w:w w:val="105"/>
        </w:rPr>
        <w:t>made significant</w:t>
      </w:r>
      <w:r>
        <w:rPr>
          <w:spacing w:val="-9"/>
          <w:w w:val="105"/>
        </w:rPr>
        <w:t> </w:t>
      </w:r>
      <w:r>
        <w:rPr>
          <w:w w:val="105"/>
        </w:rPr>
        <w:t>diversity</w:t>
      </w:r>
      <w:r>
        <w:rPr>
          <w:spacing w:val="-9"/>
          <w:w w:val="105"/>
        </w:rPr>
        <w:t> </w:t>
      </w:r>
      <w:r>
        <w:rPr>
          <w:w w:val="105"/>
        </w:rPr>
        <w:t>gains</w:t>
      </w:r>
      <w:r>
        <w:rPr>
          <w:spacing w:val="-9"/>
          <w:w w:val="105"/>
        </w:rPr>
        <w:t> </w:t>
      </w:r>
      <w:r>
        <w:rPr>
          <w:w w:val="105"/>
        </w:rPr>
        <w:t>within</w:t>
      </w:r>
      <w:r>
        <w:rPr>
          <w:spacing w:val="-9"/>
          <w:w w:val="105"/>
        </w:rPr>
        <w:t> </w:t>
      </w:r>
      <w:r>
        <w:rPr>
          <w:w w:val="105"/>
        </w:rPr>
        <w:t>our</w:t>
      </w:r>
      <w:r>
        <w:rPr>
          <w:spacing w:val="-9"/>
          <w:w w:val="105"/>
        </w:rPr>
        <w:t> </w:t>
      </w:r>
      <w:r>
        <w:rPr>
          <w:w w:val="105"/>
        </w:rPr>
        <w:t>leadership</w:t>
      </w:r>
      <w:r>
        <w:rPr>
          <w:spacing w:val="-9"/>
          <w:w w:val="105"/>
        </w:rPr>
        <w:t> </w:t>
      </w:r>
      <w:r>
        <w:rPr>
          <w:w w:val="105"/>
        </w:rPr>
        <w:t>teams.</w:t>
      </w:r>
      <w:r>
        <w:rPr>
          <w:spacing w:val="25"/>
          <w:w w:val="105"/>
        </w:rPr>
        <w:t> </w:t>
      </w:r>
      <w:r>
        <w:rPr>
          <w:w w:val="105"/>
        </w:rPr>
        <w:t>Since</w:t>
      </w:r>
      <w:r>
        <w:rPr>
          <w:spacing w:val="-9"/>
          <w:w w:val="105"/>
        </w:rPr>
        <w:t> </w:t>
      </w:r>
      <w:r>
        <w:rPr>
          <w:w w:val="105"/>
        </w:rPr>
        <w:t>2010,</w:t>
      </w:r>
      <w:r>
        <w:rPr>
          <w:spacing w:val="-9"/>
          <w:w w:val="105"/>
        </w:rPr>
        <w:t> </w:t>
      </w:r>
      <w:r>
        <w:rPr>
          <w:w w:val="105"/>
        </w:rPr>
        <w:t>gender</w:t>
      </w:r>
      <w:r>
        <w:rPr>
          <w:spacing w:val="-9"/>
          <w:w w:val="105"/>
        </w:rPr>
        <w:t> </w:t>
      </w:r>
      <w:r>
        <w:rPr>
          <w:w w:val="105"/>
        </w:rPr>
        <w:t>and</w:t>
      </w:r>
      <w:r>
        <w:rPr>
          <w:spacing w:val="-9"/>
          <w:w w:val="105"/>
        </w:rPr>
        <w:t> </w:t>
      </w:r>
      <w:r>
        <w:rPr>
          <w:w w:val="105"/>
        </w:rPr>
        <w:t>ethnic</w:t>
      </w:r>
      <w:r>
        <w:rPr>
          <w:spacing w:val="-9"/>
          <w:w w:val="105"/>
        </w:rPr>
        <w:t> </w:t>
      </w:r>
      <w:r>
        <w:rPr>
          <w:w w:val="105"/>
        </w:rPr>
        <w:t>diversity</w:t>
      </w:r>
      <w:r>
        <w:rPr>
          <w:spacing w:val="-9"/>
          <w:w w:val="105"/>
        </w:rPr>
        <w:t> </w:t>
      </w:r>
      <w:r>
        <w:rPr>
          <w:w w:val="105"/>
        </w:rPr>
        <w:t>among</w:t>
      </w:r>
      <w:r>
        <w:rPr>
          <w:spacing w:val="-9"/>
          <w:w w:val="105"/>
        </w:rPr>
        <w:t> </w:t>
      </w:r>
      <w:r>
        <w:rPr>
          <w:w w:val="105"/>
        </w:rPr>
        <w:t>members</w:t>
      </w:r>
      <w:r>
        <w:rPr>
          <w:spacing w:val="-9"/>
          <w:w w:val="105"/>
        </w:rPr>
        <w:t> </w:t>
      </w:r>
      <w:r>
        <w:rPr>
          <w:w w:val="105"/>
        </w:rPr>
        <w:t>of</w:t>
      </w:r>
      <w:r>
        <w:rPr>
          <w:spacing w:val="-9"/>
          <w:w w:val="105"/>
        </w:rPr>
        <w:t> </w:t>
      </w:r>
      <w:r>
        <w:rPr>
          <w:w w:val="105"/>
        </w:rPr>
        <w:t>the</w:t>
      </w:r>
      <w:r>
        <w:rPr>
          <w:spacing w:val="-9"/>
          <w:w w:val="105"/>
        </w:rPr>
        <w:t> </w:t>
      </w:r>
      <w:r>
        <w:rPr>
          <w:w w:val="105"/>
        </w:rPr>
        <w:t>Corporate</w:t>
      </w:r>
      <w:r>
        <w:rPr>
          <w:spacing w:val="-9"/>
          <w:w w:val="105"/>
        </w:rPr>
        <w:t> </w:t>
      </w:r>
      <w:r>
        <w:rPr>
          <w:w w:val="105"/>
        </w:rPr>
        <w:t>Management</w:t>
      </w:r>
      <w:r>
        <w:rPr>
          <w:spacing w:val="-9"/>
          <w:w w:val="105"/>
        </w:rPr>
        <w:t> </w:t>
      </w:r>
      <w:r>
        <w:rPr>
          <w:w w:val="105"/>
        </w:rPr>
        <w:t>Group,</w:t>
      </w:r>
      <w:r>
        <w:rPr>
          <w:spacing w:val="-9"/>
          <w:w w:val="105"/>
        </w:rPr>
        <w:t> </w:t>
      </w:r>
      <w:r>
        <w:rPr>
          <w:w w:val="105"/>
        </w:rPr>
        <w:t>which</w:t>
      </w:r>
      <w:r>
        <w:rPr>
          <w:spacing w:val="-9"/>
          <w:w w:val="105"/>
        </w:rPr>
        <w:t> </w:t>
      </w:r>
      <w:r>
        <w:rPr>
          <w:w w:val="105"/>
        </w:rPr>
        <w:t>includes</w:t>
      </w:r>
      <w:r>
        <w:rPr>
          <w:spacing w:val="-9"/>
          <w:w w:val="105"/>
        </w:rPr>
        <w:t> </w:t>
      </w:r>
      <w:r>
        <w:rPr>
          <w:w w:val="105"/>
        </w:rPr>
        <w:t>about 230</w:t>
      </w:r>
      <w:r>
        <w:rPr>
          <w:spacing w:val="-1"/>
          <w:w w:val="105"/>
        </w:rPr>
        <w:t> </w:t>
      </w:r>
      <w:r>
        <w:rPr>
          <w:w w:val="105"/>
        </w:rPr>
        <w:t>of</w:t>
      </w:r>
      <w:r>
        <w:rPr>
          <w:spacing w:val="-1"/>
          <w:w w:val="105"/>
        </w:rPr>
        <w:t> </w:t>
      </w:r>
      <w:r>
        <w:rPr>
          <w:w w:val="105"/>
        </w:rPr>
        <w:t>the</w:t>
      </w:r>
      <w:r>
        <w:rPr>
          <w:spacing w:val="-1"/>
          <w:w w:val="105"/>
        </w:rPr>
        <w:t> </w:t>
      </w:r>
      <w:r>
        <w:rPr>
          <w:w w:val="105"/>
        </w:rPr>
        <w:t>Company’s</w:t>
      </w:r>
      <w:r>
        <w:rPr>
          <w:spacing w:val="-1"/>
          <w:w w:val="105"/>
        </w:rPr>
        <w:t> </w:t>
      </w:r>
      <w:r>
        <w:rPr>
          <w:w w:val="105"/>
        </w:rPr>
        <w:t>top</w:t>
      </w:r>
      <w:r>
        <w:rPr>
          <w:spacing w:val="-1"/>
          <w:w w:val="105"/>
        </w:rPr>
        <w:t> </w:t>
      </w:r>
      <w:r>
        <w:rPr>
          <w:w w:val="105"/>
        </w:rPr>
        <w:t>global</w:t>
      </w:r>
      <w:r>
        <w:rPr>
          <w:spacing w:val="-1"/>
          <w:w w:val="105"/>
        </w:rPr>
        <w:t> </w:t>
      </w:r>
      <w:r>
        <w:rPr>
          <w:w w:val="105"/>
        </w:rPr>
        <w:t>leaders,</w:t>
      </w:r>
      <w:r>
        <w:rPr>
          <w:spacing w:val="-1"/>
          <w:w w:val="105"/>
        </w:rPr>
        <w:t> </w:t>
      </w:r>
      <w:r>
        <w:rPr>
          <w:w w:val="105"/>
        </w:rPr>
        <w:t>increased</w:t>
      </w:r>
      <w:r>
        <w:rPr>
          <w:spacing w:val="-1"/>
          <w:w w:val="105"/>
        </w:rPr>
        <w:t> </w:t>
      </w:r>
      <w:r>
        <w:rPr>
          <w:w w:val="105"/>
        </w:rPr>
        <w:t>from</w:t>
      </w:r>
      <w:r>
        <w:rPr>
          <w:spacing w:val="-1"/>
          <w:w w:val="105"/>
        </w:rPr>
        <w:t> </w:t>
      </w:r>
      <w:r>
        <w:rPr>
          <w:w w:val="105"/>
        </w:rPr>
        <w:t>28%</w:t>
      </w:r>
      <w:r>
        <w:rPr>
          <w:spacing w:val="-1"/>
          <w:w w:val="105"/>
        </w:rPr>
        <w:t> </w:t>
      </w:r>
      <w:r>
        <w:rPr>
          <w:w w:val="105"/>
        </w:rPr>
        <w:t>to</w:t>
      </w:r>
      <w:r>
        <w:rPr>
          <w:spacing w:val="-1"/>
          <w:w w:val="105"/>
        </w:rPr>
        <w:t> </w:t>
      </w:r>
      <w:r>
        <w:rPr>
          <w:w w:val="105"/>
        </w:rPr>
        <w:t>50%;</w:t>
      </w:r>
      <w:r>
        <w:rPr>
          <w:spacing w:val="-1"/>
          <w:w w:val="105"/>
        </w:rPr>
        <w:t> </w:t>
      </w:r>
      <w:r>
        <w:rPr>
          <w:w w:val="105"/>
        </w:rPr>
        <w:t>corporate</w:t>
      </w:r>
      <w:r>
        <w:rPr>
          <w:spacing w:val="-1"/>
          <w:w w:val="105"/>
        </w:rPr>
        <w:t> </w:t>
      </w:r>
      <w:r>
        <w:rPr>
          <w:w w:val="105"/>
        </w:rPr>
        <w:t>officer</w:t>
      </w:r>
      <w:r>
        <w:rPr>
          <w:spacing w:val="-1"/>
          <w:w w:val="105"/>
        </w:rPr>
        <w:t> </w:t>
      </w:r>
      <w:r>
        <w:rPr>
          <w:w w:val="105"/>
        </w:rPr>
        <w:t>diverse</w:t>
      </w:r>
      <w:r>
        <w:rPr>
          <w:spacing w:val="-1"/>
          <w:w w:val="105"/>
        </w:rPr>
        <w:t> </w:t>
      </w:r>
      <w:r>
        <w:rPr>
          <w:w w:val="105"/>
        </w:rPr>
        <w:t>representation</w:t>
      </w:r>
      <w:r>
        <w:rPr>
          <w:spacing w:val="-1"/>
          <w:w w:val="105"/>
        </w:rPr>
        <w:t> </w:t>
      </w:r>
      <w:r>
        <w:rPr>
          <w:w w:val="105"/>
        </w:rPr>
        <w:t>has</w:t>
      </w:r>
      <w:r>
        <w:rPr>
          <w:spacing w:val="-1"/>
          <w:w w:val="105"/>
        </w:rPr>
        <w:t> </w:t>
      </w:r>
      <w:r>
        <w:rPr>
          <w:w w:val="105"/>
        </w:rPr>
        <w:t>increased</w:t>
      </w:r>
      <w:r>
        <w:rPr>
          <w:spacing w:val="-1"/>
          <w:w w:val="105"/>
        </w:rPr>
        <w:t> </w:t>
      </w:r>
      <w:r>
        <w:rPr>
          <w:w w:val="105"/>
        </w:rPr>
        <w:t>from</w:t>
      </w:r>
      <w:r>
        <w:rPr>
          <w:spacing w:val="-1"/>
          <w:w w:val="105"/>
        </w:rPr>
        <w:t> </w:t>
      </w:r>
      <w:r>
        <w:rPr>
          <w:w w:val="105"/>
        </w:rPr>
        <w:t>21%</w:t>
      </w:r>
      <w:r>
        <w:rPr>
          <w:spacing w:val="-1"/>
          <w:w w:val="105"/>
        </w:rPr>
        <w:t> </w:t>
      </w:r>
      <w:r>
        <w:rPr>
          <w:w w:val="105"/>
        </w:rPr>
        <w:t>to</w:t>
      </w:r>
      <w:r>
        <w:rPr>
          <w:spacing w:val="-1"/>
          <w:w w:val="105"/>
        </w:rPr>
        <w:t> </w:t>
      </w:r>
      <w:r>
        <w:rPr>
          <w:w w:val="105"/>
        </w:rPr>
        <w:t>38%.</w:t>
      </w:r>
    </w:p>
    <w:p>
      <w:pPr>
        <w:pStyle w:val="BodyText"/>
        <w:spacing w:before="18"/>
      </w:pPr>
    </w:p>
    <w:p>
      <w:pPr>
        <w:pStyle w:val="BodyText"/>
        <w:spacing w:line="266" w:lineRule="auto"/>
        <w:ind w:left="156"/>
      </w:pPr>
      <w:r>
        <w:rPr>
          <w:w w:val="105"/>
        </w:rPr>
        <w:t>In</w:t>
      </w:r>
      <w:r>
        <w:rPr>
          <w:spacing w:val="-3"/>
          <w:w w:val="105"/>
        </w:rPr>
        <w:t> </w:t>
      </w:r>
      <w:r>
        <w:rPr>
          <w:w w:val="105"/>
        </w:rPr>
        <w:t>2021,</w:t>
      </w:r>
      <w:r>
        <w:rPr>
          <w:spacing w:val="-3"/>
          <w:w w:val="105"/>
        </w:rPr>
        <w:t> </w:t>
      </w:r>
      <w:r>
        <w:rPr>
          <w:w w:val="105"/>
        </w:rPr>
        <w:t>as</w:t>
      </w:r>
      <w:r>
        <w:rPr>
          <w:spacing w:val="-3"/>
          <w:w w:val="105"/>
        </w:rPr>
        <w:t> </w:t>
      </w:r>
      <w:r>
        <w:rPr>
          <w:w w:val="105"/>
        </w:rPr>
        <w:t>planned,</w:t>
      </w:r>
      <w:r>
        <w:rPr>
          <w:spacing w:val="-3"/>
          <w:w w:val="105"/>
        </w:rPr>
        <w:t> </w:t>
      </w:r>
      <w:r>
        <w:rPr>
          <w:w w:val="105"/>
        </w:rPr>
        <w:t>we</w:t>
      </w:r>
      <w:r>
        <w:rPr>
          <w:spacing w:val="-3"/>
          <w:w w:val="105"/>
        </w:rPr>
        <w:t> </w:t>
      </w:r>
      <w:r>
        <w:rPr>
          <w:w w:val="105"/>
        </w:rPr>
        <w:t>achieved</w:t>
      </w:r>
      <w:r>
        <w:rPr>
          <w:spacing w:val="-3"/>
          <w:w w:val="105"/>
        </w:rPr>
        <w:t> </w:t>
      </w:r>
      <w:r>
        <w:rPr>
          <w:w w:val="105"/>
        </w:rPr>
        <w:t>100%</w:t>
      </w:r>
      <w:r>
        <w:rPr>
          <w:spacing w:val="-3"/>
          <w:w w:val="105"/>
        </w:rPr>
        <w:t> </w:t>
      </w:r>
      <w:r>
        <w:rPr>
          <w:w w:val="105"/>
        </w:rPr>
        <w:t>pay</w:t>
      </w:r>
      <w:r>
        <w:rPr>
          <w:spacing w:val="-1"/>
          <w:w w:val="105"/>
        </w:rPr>
        <w:t> </w:t>
      </w:r>
      <w:r>
        <w:rPr>
          <w:w w:val="105"/>
        </w:rPr>
        <w:t>equity</w:t>
      </w:r>
      <w:r>
        <w:rPr>
          <w:spacing w:val="-3"/>
          <w:w w:val="105"/>
        </w:rPr>
        <w:t> </w:t>
      </w:r>
      <w:r>
        <w:rPr>
          <w:w w:val="105"/>
        </w:rPr>
        <w:t>for</w:t>
      </w:r>
      <w:r>
        <w:rPr>
          <w:spacing w:val="-3"/>
          <w:w w:val="105"/>
        </w:rPr>
        <w:t> </w:t>
      </w:r>
      <w:r>
        <w:rPr>
          <w:w w:val="105"/>
        </w:rPr>
        <w:t>all</w:t>
      </w:r>
      <w:r>
        <w:rPr>
          <w:spacing w:val="-3"/>
          <w:w w:val="105"/>
        </w:rPr>
        <w:t> </w:t>
      </w:r>
      <w:r>
        <w:rPr>
          <w:w w:val="105"/>
        </w:rPr>
        <w:t>salaried</w:t>
      </w:r>
      <w:r>
        <w:rPr>
          <w:spacing w:val="-3"/>
          <w:w w:val="105"/>
        </w:rPr>
        <w:t> </w:t>
      </w:r>
      <w:r>
        <w:rPr>
          <w:w w:val="105"/>
        </w:rPr>
        <w:t>men</w:t>
      </w:r>
      <w:r>
        <w:rPr>
          <w:spacing w:val="-3"/>
          <w:w w:val="105"/>
        </w:rPr>
        <w:t> </w:t>
      </w:r>
      <w:r>
        <w:rPr>
          <w:w w:val="105"/>
        </w:rPr>
        <w:t>and</w:t>
      </w:r>
      <w:r>
        <w:rPr>
          <w:spacing w:val="-3"/>
          <w:w w:val="105"/>
        </w:rPr>
        <w:t> </w:t>
      </w:r>
      <w:r>
        <w:rPr>
          <w:w w:val="105"/>
        </w:rPr>
        <w:t>women</w:t>
      </w:r>
      <w:r>
        <w:rPr>
          <w:spacing w:val="-3"/>
          <w:w w:val="105"/>
        </w:rPr>
        <w:t> </w:t>
      </w:r>
      <w:r>
        <w:rPr>
          <w:w w:val="105"/>
        </w:rPr>
        <w:t>in</w:t>
      </w:r>
      <w:r>
        <w:rPr>
          <w:spacing w:val="-3"/>
          <w:w w:val="105"/>
        </w:rPr>
        <w:t> </w:t>
      </w:r>
      <w:r>
        <w:rPr>
          <w:w w:val="105"/>
        </w:rPr>
        <w:t>our</w:t>
      </w:r>
      <w:r>
        <w:rPr>
          <w:spacing w:val="-3"/>
          <w:w w:val="105"/>
        </w:rPr>
        <w:t> </w:t>
      </w:r>
      <w:r>
        <w:rPr>
          <w:w w:val="105"/>
        </w:rPr>
        <w:t>worldwide</w:t>
      </w:r>
      <w:r>
        <w:rPr>
          <w:spacing w:val="-3"/>
          <w:w w:val="105"/>
        </w:rPr>
        <w:t> </w:t>
      </w:r>
      <w:r>
        <w:rPr>
          <w:w w:val="105"/>
        </w:rPr>
        <w:t>operations</w:t>
      </w:r>
      <w:r>
        <w:rPr>
          <w:spacing w:val="-3"/>
          <w:w w:val="105"/>
        </w:rPr>
        <w:t> </w:t>
      </w:r>
      <w:r>
        <w:rPr>
          <w:w w:val="105"/>
        </w:rPr>
        <w:t>and</w:t>
      </w:r>
      <w:r>
        <w:rPr>
          <w:spacing w:val="-3"/>
          <w:w w:val="105"/>
        </w:rPr>
        <w:t> </w:t>
      </w:r>
      <w:r>
        <w:rPr>
          <w:w w:val="105"/>
        </w:rPr>
        <w:t>we</w:t>
      </w:r>
      <w:r>
        <w:rPr>
          <w:spacing w:val="-3"/>
          <w:w w:val="105"/>
        </w:rPr>
        <w:t> </w:t>
      </w:r>
      <w:r>
        <w:rPr>
          <w:w w:val="105"/>
        </w:rPr>
        <w:t>continued</w:t>
      </w:r>
      <w:r>
        <w:rPr>
          <w:spacing w:val="-3"/>
          <w:w w:val="105"/>
        </w:rPr>
        <w:t> </w:t>
      </w:r>
      <w:r>
        <w:rPr>
          <w:w w:val="105"/>
        </w:rPr>
        <w:t>to</w:t>
      </w:r>
      <w:r>
        <w:rPr>
          <w:spacing w:val="-3"/>
          <w:w w:val="105"/>
        </w:rPr>
        <w:t> </w:t>
      </w:r>
      <w:r>
        <w:rPr>
          <w:w w:val="105"/>
        </w:rPr>
        <w:t>maintain</w:t>
      </w:r>
      <w:r>
        <w:rPr>
          <w:spacing w:val="-3"/>
          <w:w w:val="105"/>
        </w:rPr>
        <w:t> </w:t>
      </w:r>
      <w:r>
        <w:rPr>
          <w:w w:val="105"/>
        </w:rPr>
        <w:t>pay</w:t>
      </w:r>
      <w:r>
        <w:rPr>
          <w:spacing w:val="-3"/>
          <w:w w:val="105"/>
        </w:rPr>
        <w:t> </w:t>
      </w:r>
      <w:r>
        <w:rPr>
          <w:w w:val="105"/>
        </w:rPr>
        <w:t>equity</w:t>
      </w:r>
      <w:r>
        <w:rPr>
          <w:spacing w:val="-3"/>
          <w:w w:val="105"/>
        </w:rPr>
        <w:t> </w:t>
      </w:r>
      <w:r>
        <w:rPr>
          <w:w w:val="105"/>
        </w:rPr>
        <w:t>across</w:t>
      </w:r>
      <w:r>
        <w:rPr>
          <w:spacing w:val="-3"/>
          <w:w w:val="105"/>
        </w:rPr>
        <w:t> </w:t>
      </w:r>
      <w:r>
        <w:rPr>
          <w:w w:val="105"/>
        </w:rPr>
        <w:t>minority groups</w:t>
      </w:r>
      <w:r>
        <w:rPr>
          <w:spacing w:val="-8"/>
          <w:w w:val="105"/>
        </w:rPr>
        <w:t> </w:t>
      </w:r>
      <w:r>
        <w:rPr>
          <w:w w:val="105"/>
        </w:rPr>
        <w:t>compared</w:t>
      </w:r>
      <w:r>
        <w:rPr>
          <w:spacing w:val="-8"/>
          <w:w w:val="105"/>
        </w:rPr>
        <w:t> </w:t>
      </w:r>
      <w:r>
        <w:rPr>
          <w:w w:val="105"/>
        </w:rPr>
        <w:t>with</w:t>
      </w:r>
      <w:r>
        <w:rPr>
          <w:spacing w:val="-8"/>
          <w:w w:val="105"/>
        </w:rPr>
        <w:t> </w:t>
      </w:r>
      <w:r>
        <w:rPr>
          <w:w w:val="105"/>
        </w:rPr>
        <w:t>white</w:t>
      </w:r>
      <w:r>
        <w:rPr>
          <w:spacing w:val="-8"/>
          <w:w w:val="105"/>
        </w:rPr>
        <w:t> </w:t>
      </w:r>
      <w:r>
        <w:rPr>
          <w:w w:val="105"/>
        </w:rPr>
        <w:t>salaried</w:t>
      </w:r>
      <w:r>
        <w:rPr>
          <w:spacing w:val="-8"/>
          <w:w w:val="105"/>
        </w:rPr>
        <w:t> </w:t>
      </w:r>
      <w:r>
        <w:rPr>
          <w:w w:val="105"/>
        </w:rPr>
        <w:t>employees</w:t>
      </w:r>
      <w:r>
        <w:rPr>
          <w:spacing w:val="-8"/>
          <w:w w:val="105"/>
        </w:rPr>
        <w:t> </w:t>
      </w:r>
      <w:r>
        <w:rPr>
          <w:w w:val="105"/>
        </w:rPr>
        <w:t>in</w:t>
      </w:r>
      <w:r>
        <w:rPr>
          <w:spacing w:val="-8"/>
          <w:w w:val="105"/>
        </w:rPr>
        <w:t> </w:t>
      </w:r>
      <w:r>
        <w:rPr>
          <w:w w:val="105"/>
        </w:rPr>
        <w:t>the</w:t>
      </w:r>
      <w:r>
        <w:rPr>
          <w:spacing w:val="-8"/>
          <w:w w:val="105"/>
        </w:rPr>
        <w:t> </w:t>
      </w:r>
      <w:r>
        <w:rPr>
          <w:w w:val="105"/>
        </w:rPr>
        <w:t>U.S.</w:t>
      </w:r>
      <w:r>
        <w:rPr>
          <w:spacing w:val="-8"/>
          <w:w w:val="105"/>
        </w:rPr>
        <w:t> </w:t>
      </w:r>
      <w:r>
        <w:rPr>
          <w:w w:val="105"/>
        </w:rPr>
        <w:t>We</w:t>
      </w:r>
      <w:r>
        <w:rPr>
          <w:spacing w:val="-8"/>
          <w:w w:val="105"/>
        </w:rPr>
        <w:t> </w:t>
      </w:r>
      <w:r>
        <w:rPr>
          <w:w w:val="105"/>
        </w:rPr>
        <w:t>furthered</w:t>
      </w:r>
      <w:r>
        <w:rPr>
          <w:spacing w:val="-8"/>
          <w:w w:val="105"/>
        </w:rPr>
        <w:t> </w:t>
      </w:r>
      <w:r>
        <w:rPr>
          <w:w w:val="105"/>
        </w:rPr>
        <w:t>our</w:t>
      </w:r>
      <w:r>
        <w:rPr>
          <w:spacing w:val="-8"/>
          <w:w w:val="105"/>
        </w:rPr>
        <w:t> </w:t>
      </w:r>
      <w:r>
        <w:rPr>
          <w:w w:val="105"/>
        </w:rPr>
        <w:t>longstanding</w:t>
      </w:r>
      <w:r>
        <w:rPr>
          <w:spacing w:val="-8"/>
          <w:w w:val="105"/>
        </w:rPr>
        <w:t> </w:t>
      </w:r>
      <w:r>
        <w:rPr>
          <w:w w:val="105"/>
        </w:rPr>
        <w:t>commitment</w:t>
      </w:r>
      <w:r>
        <w:rPr>
          <w:spacing w:val="-8"/>
          <w:w w:val="105"/>
        </w:rPr>
        <w:t> </w:t>
      </w:r>
      <w:r>
        <w:rPr>
          <w:w w:val="105"/>
        </w:rPr>
        <w:t>to</w:t>
      </w:r>
      <w:r>
        <w:rPr>
          <w:spacing w:val="-8"/>
          <w:w w:val="105"/>
        </w:rPr>
        <w:t> </w:t>
      </w:r>
      <w:r>
        <w:rPr>
          <w:w w:val="105"/>
        </w:rPr>
        <w:t>diversity,</w:t>
      </w:r>
      <w:r>
        <w:rPr>
          <w:spacing w:val="-8"/>
          <w:w w:val="105"/>
        </w:rPr>
        <w:t> </w:t>
      </w:r>
      <w:r>
        <w:rPr>
          <w:w w:val="105"/>
        </w:rPr>
        <w:t>equity</w:t>
      </w:r>
      <w:r>
        <w:rPr>
          <w:spacing w:val="-6"/>
          <w:w w:val="105"/>
        </w:rPr>
        <w:t> </w:t>
      </w:r>
      <w:r>
        <w:rPr>
          <w:w w:val="105"/>
        </w:rPr>
        <w:t>and</w:t>
      </w:r>
      <w:r>
        <w:rPr>
          <w:spacing w:val="-8"/>
          <w:w w:val="105"/>
        </w:rPr>
        <w:t> </w:t>
      </w:r>
      <w:r>
        <w:rPr>
          <w:w w:val="105"/>
        </w:rPr>
        <w:t>inclusion</w:t>
      </w:r>
      <w:r>
        <w:rPr>
          <w:spacing w:val="-8"/>
          <w:w w:val="105"/>
        </w:rPr>
        <w:t> </w:t>
      </w:r>
      <w:r>
        <w:rPr>
          <w:w w:val="105"/>
        </w:rPr>
        <w:t>in</w:t>
      </w:r>
      <w:r>
        <w:rPr>
          <w:spacing w:val="-8"/>
          <w:w w:val="105"/>
        </w:rPr>
        <w:t> </w:t>
      </w:r>
      <w:r>
        <w:rPr>
          <w:w w:val="105"/>
        </w:rPr>
        <w:t>2020</w:t>
      </w:r>
      <w:r>
        <w:rPr>
          <w:spacing w:val="-8"/>
          <w:w w:val="105"/>
        </w:rPr>
        <w:t> </w:t>
      </w:r>
      <w:r>
        <w:rPr>
          <w:w w:val="105"/>
        </w:rPr>
        <w:t>by</w:t>
      </w:r>
      <w:r>
        <w:rPr>
          <w:spacing w:val="-8"/>
          <w:w w:val="105"/>
        </w:rPr>
        <w:t> </w:t>
      </w:r>
      <w:r>
        <w:rPr>
          <w:w w:val="105"/>
        </w:rPr>
        <w:t>creating</w:t>
      </w:r>
      <w:r>
        <w:rPr>
          <w:spacing w:val="-8"/>
          <w:w w:val="105"/>
        </w:rPr>
        <w:t> </w:t>
      </w:r>
      <w:r>
        <w:rPr>
          <w:w w:val="105"/>
        </w:rPr>
        <w:t>the</w:t>
      </w:r>
      <w:r>
        <w:rPr>
          <w:spacing w:val="-8"/>
          <w:w w:val="105"/>
        </w:rPr>
        <w:t> </w:t>
      </w:r>
      <w:r>
        <w:rPr>
          <w:w w:val="105"/>
        </w:rPr>
        <w:t>Office</w:t>
      </w:r>
      <w:r>
        <w:rPr>
          <w:spacing w:val="-8"/>
          <w:w w:val="105"/>
        </w:rPr>
        <w:t> </w:t>
      </w:r>
      <w:r>
        <w:rPr>
          <w:w w:val="105"/>
        </w:rPr>
        <w:t>of Racial</w:t>
      </w:r>
      <w:r>
        <w:rPr>
          <w:spacing w:val="-1"/>
          <w:w w:val="105"/>
        </w:rPr>
        <w:t> </w:t>
      </w:r>
      <w:r>
        <w:rPr>
          <w:w w:val="105"/>
        </w:rPr>
        <w:t>Equality</w:t>
      </w:r>
      <w:r>
        <w:rPr>
          <w:spacing w:val="-1"/>
          <w:w w:val="105"/>
        </w:rPr>
        <w:t> </w:t>
      </w:r>
      <w:r>
        <w:rPr>
          <w:w w:val="105"/>
        </w:rPr>
        <w:t>and</w:t>
      </w:r>
      <w:r>
        <w:rPr>
          <w:spacing w:val="-1"/>
          <w:w w:val="105"/>
        </w:rPr>
        <w:t> </w:t>
      </w:r>
      <w:r>
        <w:rPr>
          <w:w w:val="105"/>
        </w:rPr>
        <w:t>Social</w:t>
      </w:r>
      <w:r>
        <w:rPr>
          <w:spacing w:val="-1"/>
          <w:w w:val="105"/>
        </w:rPr>
        <w:t> </w:t>
      </w:r>
      <w:r>
        <w:rPr>
          <w:w w:val="105"/>
        </w:rPr>
        <w:t>Unity</w:t>
      </w:r>
      <w:r>
        <w:rPr>
          <w:spacing w:val="-1"/>
          <w:w w:val="105"/>
        </w:rPr>
        <w:t> </w:t>
      </w:r>
      <w:r>
        <w:rPr>
          <w:w w:val="105"/>
        </w:rPr>
        <w:t>(ORESU)</w:t>
      </w:r>
      <w:r>
        <w:rPr>
          <w:spacing w:val="-1"/>
          <w:w w:val="105"/>
        </w:rPr>
        <w:t> </w:t>
      </w:r>
      <w:r>
        <w:rPr>
          <w:w w:val="105"/>
        </w:rPr>
        <w:t>to</w:t>
      </w:r>
      <w:r>
        <w:rPr>
          <w:spacing w:val="-1"/>
          <w:w w:val="105"/>
        </w:rPr>
        <w:t> </w:t>
      </w:r>
      <w:r>
        <w:rPr>
          <w:w w:val="105"/>
        </w:rPr>
        <w:t>further</w:t>
      </w:r>
      <w:r>
        <w:rPr>
          <w:spacing w:val="-1"/>
          <w:w w:val="105"/>
        </w:rPr>
        <w:t> </w:t>
      </w:r>
      <w:r>
        <w:rPr>
          <w:w w:val="105"/>
        </w:rPr>
        <w:t>our</w:t>
      </w:r>
      <w:r>
        <w:rPr>
          <w:spacing w:val="-1"/>
          <w:w w:val="105"/>
        </w:rPr>
        <w:t> </w:t>
      </w:r>
      <w:r>
        <w:rPr>
          <w:w w:val="105"/>
        </w:rPr>
        <w:t>goal</w:t>
      </w:r>
      <w:r>
        <w:rPr>
          <w:spacing w:val="-1"/>
          <w:w w:val="105"/>
        </w:rPr>
        <w:t> </w:t>
      </w:r>
      <w:r>
        <w:rPr>
          <w:w w:val="105"/>
        </w:rPr>
        <w:t>of</w:t>
      </w:r>
      <w:r>
        <w:rPr>
          <w:spacing w:val="-1"/>
          <w:w w:val="105"/>
        </w:rPr>
        <w:t> </w:t>
      </w:r>
      <w:r>
        <w:rPr>
          <w:w w:val="105"/>
        </w:rPr>
        <w:t>a</w:t>
      </w:r>
      <w:r>
        <w:rPr>
          <w:spacing w:val="-1"/>
          <w:w w:val="105"/>
        </w:rPr>
        <w:t> </w:t>
      </w:r>
      <w:r>
        <w:rPr>
          <w:w w:val="105"/>
        </w:rPr>
        <w:t>more equitable</w:t>
      </w:r>
      <w:r>
        <w:rPr>
          <w:spacing w:val="-1"/>
          <w:w w:val="105"/>
        </w:rPr>
        <w:t> </w:t>
      </w:r>
      <w:r>
        <w:rPr>
          <w:w w:val="105"/>
        </w:rPr>
        <w:t>and</w:t>
      </w:r>
      <w:r>
        <w:rPr>
          <w:spacing w:val="-1"/>
          <w:w w:val="105"/>
        </w:rPr>
        <w:t> </w:t>
      </w:r>
      <w:r>
        <w:rPr>
          <w:w w:val="105"/>
        </w:rPr>
        <w:t>inclusive</w:t>
      </w:r>
      <w:r>
        <w:rPr>
          <w:spacing w:val="-1"/>
          <w:w w:val="105"/>
        </w:rPr>
        <w:t> </w:t>
      </w:r>
      <w:r>
        <w:rPr>
          <w:w w:val="105"/>
        </w:rPr>
        <w:t>culture</w:t>
      </w:r>
      <w:r>
        <w:rPr>
          <w:spacing w:val="-1"/>
          <w:w w:val="105"/>
        </w:rPr>
        <w:t> </w:t>
      </w:r>
      <w:r>
        <w:rPr>
          <w:w w:val="105"/>
        </w:rPr>
        <w:t>at</w:t>
      </w:r>
      <w:r>
        <w:rPr>
          <w:spacing w:val="-1"/>
          <w:w w:val="105"/>
        </w:rPr>
        <w:t> </w:t>
      </w:r>
      <w:r>
        <w:rPr>
          <w:w w:val="105"/>
        </w:rPr>
        <w:t>Corning</w:t>
      </w:r>
      <w:r>
        <w:rPr>
          <w:spacing w:val="-1"/>
          <w:w w:val="105"/>
        </w:rPr>
        <w:t> </w:t>
      </w:r>
      <w:r>
        <w:rPr>
          <w:w w:val="105"/>
        </w:rPr>
        <w:t>and</w:t>
      </w:r>
      <w:r>
        <w:rPr>
          <w:spacing w:val="-1"/>
          <w:w w:val="105"/>
        </w:rPr>
        <w:t> </w:t>
      </w:r>
      <w:r>
        <w:rPr>
          <w:w w:val="105"/>
        </w:rPr>
        <w:t>beyond.</w:t>
      </w:r>
      <w:r>
        <w:rPr>
          <w:spacing w:val="-1"/>
          <w:w w:val="105"/>
        </w:rPr>
        <w:t> </w:t>
      </w:r>
      <w:r>
        <w:rPr>
          <w:w w:val="105"/>
        </w:rPr>
        <w:t>The</w:t>
      </w:r>
      <w:r>
        <w:rPr>
          <w:spacing w:val="-1"/>
          <w:w w:val="105"/>
        </w:rPr>
        <w:t> </w:t>
      </w:r>
      <w:r>
        <w:rPr>
          <w:w w:val="105"/>
        </w:rPr>
        <w:t>efforts</w:t>
      </w:r>
      <w:r>
        <w:rPr>
          <w:spacing w:val="-1"/>
          <w:w w:val="105"/>
        </w:rPr>
        <w:t> </w:t>
      </w:r>
      <w:r>
        <w:rPr>
          <w:w w:val="105"/>
        </w:rPr>
        <w:t>of</w:t>
      </w:r>
      <w:r>
        <w:rPr>
          <w:spacing w:val="-1"/>
          <w:w w:val="105"/>
        </w:rPr>
        <w:t> </w:t>
      </w:r>
      <w:r>
        <w:rPr>
          <w:w w:val="105"/>
        </w:rPr>
        <w:t>this</w:t>
      </w:r>
      <w:r>
        <w:rPr>
          <w:spacing w:val="-1"/>
          <w:w w:val="105"/>
        </w:rPr>
        <w:t> </w:t>
      </w:r>
      <w:r>
        <w:rPr>
          <w:w w:val="105"/>
        </w:rPr>
        <w:t>office</w:t>
      </w:r>
      <w:r>
        <w:rPr>
          <w:spacing w:val="-1"/>
          <w:w w:val="105"/>
        </w:rPr>
        <w:t> </w:t>
      </w:r>
      <w:r>
        <w:rPr>
          <w:w w:val="105"/>
        </w:rPr>
        <w:t>have</w:t>
      </w:r>
      <w:r>
        <w:rPr>
          <w:spacing w:val="-1"/>
          <w:w w:val="105"/>
        </w:rPr>
        <w:t> </w:t>
      </w:r>
      <w:r>
        <w:rPr>
          <w:w w:val="105"/>
        </w:rPr>
        <w:t>not</w:t>
      </w:r>
      <w:r>
        <w:rPr>
          <w:spacing w:val="-1"/>
          <w:w w:val="105"/>
        </w:rPr>
        <w:t> </w:t>
      </w:r>
      <w:r>
        <w:rPr>
          <w:w w:val="105"/>
        </w:rPr>
        <w:t>only impacted</w:t>
      </w:r>
      <w:r>
        <w:rPr>
          <w:spacing w:val="-9"/>
          <w:w w:val="105"/>
        </w:rPr>
        <w:t> </w:t>
      </w:r>
      <w:r>
        <w:rPr>
          <w:w w:val="105"/>
        </w:rPr>
        <w:t>policies,</w:t>
      </w:r>
      <w:r>
        <w:rPr>
          <w:spacing w:val="-9"/>
          <w:w w:val="105"/>
        </w:rPr>
        <w:t> </w:t>
      </w:r>
      <w:r>
        <w:rPr>
          <w:w w:val="105"/>
        </w:rPr>
        <w:t>practices,</w:t>
      </w:r>
      <w:r>
        <w:rPr>
          <w:spacing w:val="-9"/>
          <w:w w:val="105"/>
        </w:rPr>
        <w:t> </w:t>
      </w:r>
      <w:r>
        <w:rPr>
          <w:w w:val="105"/>
        </w:rPr>
        <w:t>communications,</w:t>
      </w:r>
      <w:r>
        <w:rPr>
          <w:spacing w:val="-9"/>
          <w:w w:val="105"/>
        </w:rPr>
        <w:t> </w:t>
      </w:r>
      <w:r>
        <w:rPr>
          <w:w w:val="105"/>
        </w:rPr>
        <w:t>and</w:t>
      </w:r>
      <w:r>
        <w:rPr>
          <w:spacing w:val="-9"/>
          <w:w w:val="105"/>
        </w:rPr>
        <w:t> </w:t>
      </w:r>
      <w:r>
        <w:rPr>
          <w:w w:val="105"/>
        </w:rPr>
        <w:t>our</w:t>
      </w:r>
      <w:r>
        <w:rPr>
          <w:spacing w:val="-9"/>
          <w:w w:val="105"/>
        </w:rPr>
        <w:t> </w:t>
      </w:r>
      <w:r>
        <w:rPr>
          <w:w w:val="105"/>
        </w:rPr>
        <w:t>corporate</w:t>
      </w:r>
      <w:r>
        <w:rPr>
          <w:spacing w:val="-9"/>
          <w:w w:val="105"/>
        </w:rPr>
        <w:t> </w:t>
      </w:r>
      <w:r>
        <w:rPr>
          <w:w w:val="105"/>
        </w:rPr>
        <w:t>culture,</w:t>
      </w:r>
      <w:r>
        <w:rPr>
          <w:spacing w:val="-9"/>
          <w:w w:val="105"/>
        </w:rPr>
        <w:t> </w:t>
      </w:r>
      <w:r>
        <w:rPr>
          <w:w w:val="105"/>
        </w:rPr>
        <w:t>but</w:t>
      </w:r>
      <w:r>
        <w:rPr>
          <w:spacing w:val="-9"/>
          <w:w w:val="105"/>
        </w:rPr>
        <w:t> </w:t>
      </w:r>
      <w:r>
        <w:rPr>
          <w:w w:val="105"/>
        </w:rPr>
        <w:t>have</w:t>
      </w:r>
      <w:r>
        <w:rPr>
          <w:spacing w:val="-9"/>
          <w:w w:val="105"/>
        </w:rPr>
        <w:t> </w:t>
      </w:r>
      <w:r>
        <w:rPr>
          <w:w w:val="105"/>
        </w:rPr>
        <w:t>championed</w:t>
      </w:r>
      <w:r>
        <w:rPr>
          <w:spacing w:val="-9"/>
          <w:w w:val="105"/>
        </w:rPr>
        <w:t> </w:t>
      </w:r>
      <w:r>
        <w:rPr>
          <w:w w:val="105"/>
        </w:rPr>
        <w:t>diversity</w:t>
      </w:r>
      <w:r>
        <w:rPr>
          <w:spacing w:val="-9"/>
          <w:w w:val="105"/>
        </w:rPr>
        <w:t> </w:t>
      </w:r>
      <w:r>
        <w:rPr>
          <w:w w:val="105"/>
        </w:rPr>
        <w:t>and</w:t>
      </w:r>
      <w:r>
        <w:rPr>
          <w:spacing w:val="-9"/>
          <w:w w:val="105"/>
        </w:rPr>
        <w:t> </w:t>
      </w:r>
      <w:r>
        <w:rPr>
          <w:w w:val="105"/>
        </w:rPr>
        <w:t>inclusion</w:t>
      </w:r>
      <w:r>
        <w:rPr>
          <w:spacing w:val="-9"/>
          <w:w w:val="105"/>
        </w:rPr>
        <w:t> </w:t>
      </w:r>
      <w:r>
        <w:rPr>
          <w:w w:val="105"/>
        </w:rPr>
        <w:t>in</w:t>
      </w:r>
      <w:r>
        <w:rPr>
          <w:spacing w:val="-9"/>
          <w:w w:val="105"/>
        </w:rPr>
        <w:t> </w:t>
      </w:r>
      <w:r>
        <w:rPr>
          <w:w w:val="105"/>
        </w:rPr>
        <w:t>the</w:t>
      </w:r>
      <w:r>
        <w:rPr>
          <w:spacing w:val="-9"/>
          <w:w w:val="105"/>
        </w:rPr>
        <w:t> </w:t>
      </w:r>
      <w:r>
        <w:rPr>
          <w:w w:val="105"/>
        </w:rPr>
        <w:t>communities</w:t>
      </w:r>
      <w:r>
        <w:rPr>
          <w:spacing w:val="-9"/>
          <w:w w:val="105"/>
        </w:rPr>
        <w:t> </w:t>
      </w:r>
      <w:r>
        <w:rPr>
          <w:w w:val="105"/>
        </w:rPr>
        <w:t>in</w:t>
      </w:r>
      <w:r>
        <w:rPr>
          <w:spacing w:val="-9"/>
          <w:w w:val="105"/>
        </w:rPr>
        <w:t> </w:t>
      </w:r>
      <w:r>
        <w:rPr>
          <w:w w:val="105"/>
        </w:rPr>
        <w:t>which</w:t>
      </w:r>
      <w:r>
        <w:rPr>
          <w:spacing w:val="-9"/>
          <w:w w:val="105"/>
        </w:rPr>
        <w:t> </w:t>
      </w:r>
      <w:r>
        <w:rPr>
          <w:w w:val="105"/>
        </w:rPr>
        <w:t>our</w:t>
      </w:r>
      <w:r>
        <w:rPr>
          <w:spacing w:val="-9"/>
          <w:w w:val="105"/>
        </w:rPr>
        <w:t> </w:t>
      </w:r>
      <w:r>
        <w:rPr>
          <w:w w:val="105"/>
        </w:rPr>
        <w:t>employees</w:t>
      </w:r>
      <w:r>
        <w:rPr>
          <w:spacing w:val="-9"/>
          <w:w w:val="105"/>
        </w:rPr>
        <w:t> </w:t>
      </w:r>
      <w:r>
        <w:rPr>
          <w:w w:val="105"/>
        </w:rPr>
        <w:t>live</w:t>
      </w:r>
      <w:r>
        <w:rPr>
          <w:spacing w:val="-9"/>
          <w:w w:val="105"/>
        </w:rPr>
        <w:t> </w:t>
      </w:r>
      <w:r>
        <w:rPr>
          <w:w w:val="105"/>
        </w:rPr>
        <w:t>and work.</w:t>
      </w:r>
      <w:r>
        <w:rPr>
          <w:spacing w:val="39"/>
          <w:w w:val="105"/>
        </w:rPr>
        <w:t> </w:t>
      </w:r>
      <w:r>
        <w:rPr>
          <w:w w:val="105"/>
        </w:rPr>
        <w:t>Since</w:t>
      </w:r>
      <w:r>
        <w:rPr>
          <w:spacing w:val="-2"/>
          <w:w w:val="105"/>
        </w:rPr>
        <w:t> </w:t>
      </w:r>
      <w:r>
        <w:rPr>
          <w:w w:val="105"/>
        </w:rPr>
        <w:t>its</w:t>
      </w:r>
      <w:r>
        <w:rPr>
          <w:spacing w:val="-2"/>
          <w:w w:val="105"/>
        </w:rPr>
        <w:t> </w:t>
      </w:r>
      <w:r>
        <w:rPr>
          <w:w w:val="105"/>
        </w:rPr>
        <w:t>creation,</w:t>
      </w:r>
      <w:r>
        <w:rPr>
          <w:spacing w:val="-2"/>
          <w:w w:val="105"/>
        </w:rPr>
        <w:t> </w:t>
      </w:r>
      <w:r>
        <w:rPr>
          <w:w w:val="105"/>
        </w:rPr>
        <w:t>in</w:t>
      </w:r>
      <w:r>
        <w:rPr>
          <w:spacing w:val="-2"/>
          <w:w w:val="105"/>
        </w:rPr>
        <w:t> </w:t>
      </w:r>
      <w:r>
        <w:rPr>
          <w:w w:val="105"/>
        </w:rPr>
        <w:t>addition</w:t>
      </w:r>
      <w:r>
        <w:rPr>
          <w:spacing w:val="-2"/>
          <w:w w:val="105"/>
        </w:rPr>
        <w:t> </w:t>
      </w:r>
      <w:r>
        <w:rPr>
          <w:w w:val="105"/>
        </w:rPr>
        <w:t>to</w:t>
      </w:r>
      <w:r>
        <w:rPr>
          <w:spacing w:val="-2"/>
          <w:w w:val="105"/>
        </w:rPr>
        <w:t> </w:t>
      </w:r>
      <w:r>
        <w:rPr>
          <w:w w:val="105"/>
        </w:rPr>
        <w:t>launching</w:t>
      </w:r>
      <w:r>
        <w:rPr>
          <w:spacing w:val="-2"/>
          <w:w w:val="105"/>
        </w:rPr>
        <w:t> </w:t>
      </w:r>
      <w:r>
        <w:rPr>
          <w:w w:val="105"/>
        </w:rPr>
        <w:t>enterprise-wide</w:t>
      </w:r>
      <w:r>
        <w:rPr>
          <w:spacing w:val="-2"/>
          <w:w w:val="105"/>
        </w:rPr>
        <w:t> </w:t>
      </w:r>
      <w:r>
        <w:rPr>
          <w:w w:val="105"/>
        </w:rPr>
        <w:t>Unconscious</w:t>
      </w:r>
      <w:r>
        <w:rPr>
          <w:spacing w:val="-2"/>
          <w:w w:val="105"/>
        </w:rPr>
        <w:t> </w:t>
      </w:r>
      <w:r>
        <w:rPr>
          <w:w w:val="105"/>
        </w:rPr>
        <w:t>Bias</w:t>
      </w:r>
      <w:r>
        <w:rPr>
          <w:spacing w:val="-2"/>
          <w:w w:val="105"/>
        </w:rPr>
        <w:t> </w:t>
      </w:r>
      <w:r>
        <w:rPr>
          <w:w w:val="105"/>
        </w:rPr>
        <w:t>training</w:t>
      </w:r>
      <w:r>
        <w:rPr>
          <w:spacing w:val="-2"/>
          <w:w w:val="105"/>
        </w:rPr>
        <w:t> </w:t>
      </w:r>
      <w:r>
        <w:rPr>
          <w:w w:val="105"/>
        </w:rPr>
        <w:t>and entering</w:t>
      </w:r>
      <w:r>
        <w:rPr>
          <w:spacing w:val="-2"/>
          <w:w w:val="105"/>
        </w:rPr>
        <w:t> </w:t>
      </w:r>
      <w:r>
        <w:rPr>
          <w:w w:val="105"/>
        </w:rPr>
        <w:t>a</w:t>
      </w:r>
      <w:r>
        <w:rPr>
          <w:spacing w:val="-2"/>
          <w:w w:val="105"/>
        </w:rPr>
        <w:t> </w:t>
      </w:r>
      <w:r>
        <w:rPr>
          <w:w w:val="105"/>
        </w:rPr>
        <w:t>$5.5</w:t>
      </w:r>
      <w:r>
        <w:rPr>
          <w:spacing w:val="-2"/>
          <w:w w:val="105"/>
        </w:rPr>
        <w:t> </w:t>
      </w:r>
      <w:r>
        <w:rPr>
          <w:w w:val="105"/>
        </w:rPr>
        <w:t>million</w:t>
      </w:r>
      <w:r>
        <w:rPr>
          <w:spacing w:val="-2"/>
          <w:w w:val="105"/>
        </w:rPr>
        <w:t> </w:t>
      </w:r>
      <w:r>
        <w:rPr>
          <w:w w:val="105"/>
        </w:rPr>
        <w:t>strategic</w:t>
      </w:r>
      <w:r>
        <w:rPr>
          <w:spacing w:val="-2"/>
          <w:w w:val="105"/>
        </w:rPr>
        <w:t> </w:t>
      </w:r>
      <w:r>
        <w:rPr>
          <w:w w:val="105"/>
        </w:rPr>
        <w:t>partnership</w:t>
      </w:r>
      <w:r>
        <w:rPr>
          <w:spacing w:val="-2"/>
          <w:w w:val="105"/>
        </w:rPr>
        <w:t> </w:t>
      </w:r>
      <w:r>
        <w:rPr>
          <w:w w:val="105"/>
        </w:rPr>
        <w:t>with</w:t>
      </w:r>
      <w:r>
        <w:rPr>
          <w:spacing w:val="-2"/>
          <w:w w:val="105"/>
        </w:rPr>
        <w:t> </w:t>
      </w:r>
      <w:r>
        <w:rPr>
          <w:w w:val="105"/>
        </w:rPr>
        <w:t>North</w:t>
      </w:r>
      <w:r>
        <w:rPr>
          <w:spacing w:val="-2"/>
          <w:w w:val="105"/>
        </w:rPr>
        <w:t> </w:t>
      </w:r>
      <w:r>
        <w:rPr>
          <w:w w:val="105"/>
        </w:rPr>
        <w:t>Carolina</w:t>
      </w:r>
      <w:r>
        <w:rPr>
          <w:spacing w:val="-2"/>
          <w:w w:val="105"/>
        </w:rPr>
        <w:t> </w:t>
      </w:r>
      <w:r>
        <w:rPr>
          <w:w w:val="105"/>
        </w:rPr>
        <w:t>A&amp;T University,</w:t>
      </w:r>
      <w:r>
        <w:rPr>
          <w:spacing w:val="-1"/>
          <w:w w:val="105"/>
        </w:rPr>
        <w:t> </w:t>
      </w:r>
      <w:r>
        <w:rPr>
          <w:w w:val="105"/>
        </w:rPr>
        <w:t>ORESU</w:t>
      </w:r>
      <w:r>
        <w:rPr>
          <w:spacing w:val="-1"/>
          <w:w w:val="105"/>
        </w:rPr>
        <w:t> </w:t>
      </w:r>
      <w:r>
        <w:rPr>
          <w:w w:val="105"/>
        </w:rPr>
        <w:t>is</w:t>
      </w:r>
      <w:r>
        <w:rPr>
          <w:spacing w:val="-1"/>
          <w:w w:val="105"/>
        </w:rPr>
        <w:t> </w:t>
      </w:r>
      <w:r>
        <w:rPr>
          <w:w w:val="105"/>
        </w:rPr>
        <w:t>also</w:t>
      </w:r>
      <w:r>
        <w:rPr>
          <w:spacing w:val="-1"/>
          <w:w w:val="105"/>
        </w:rPr>
        <w:t> </w:t>
      </w:r>
      <w:r>
        <w:rPr>
          <w:w w:val="105"/>
        </w:rPr>
        <w:t>engaging</w:t>
      </w:r>
      <w:r>
        <w:rPr>
          <w:spacing w:val="-1"/>
          <w:w w:val="105"/>
        </w:rPr>
        <w:t> </w:t>
      </w:r>
      <w:r>
        <w:rPr>
          <w:w w:val="105"/>
        </w:rPr>
        <w:t>with</w:t>
      </w:r>
      <w:r>
        <w:rPr>
          <w:spacing w:val="-1"/>
          <w:w w:val="105"/>
        </w:rPr>
        <w:t> </w:t>
      </w:r>
      <w:r>
        <w:rPr>
          <w:w w:val="105"/>
        </w:rPr>
        <w:t>local</w:t>
      </w:r>
      <w:r>
        <w:rPr>
          <w:spacing w:val="-1"/>
          <w:w w:val="105"/>
        </w:rPr>
        <w:t> </w:t>
      </w:r>
      <w:r>
        <w:rPr>
          <w:w w:val="105"/>
        </w:rPr>
        <w:t>communities</w:t>
      </w:r>
      <w:r>
        <w:rPr>
          <w:spacing w:val="-1"/>
          <w:w w:val="105"/>
        </w:rPr>
        <w:t> </w:t>
      </w:r>
      <w:r>
        <w:rPr>
          <w:w w:val="105"/>
        </w:rPr>
        <w:t>to</w:t>
      </w:r>
      <w:r>
        <w:rPr>
          <w:spacing w:val="-1"/>
          <w:w w:val="105"/>
        </w:rPr>
        <w:t> </w:t>
      </w:r>
      <w:r>
        <w:rPr>
          <w:w w:val="105"/>
        </w:rPr>
        <w:t>enhance</w:t>
      </w:r>
      <w:r>
        <w:rPr>
          <w:spacing w:val="-1"/>
          <w:w w:val="105"/>
        </w:rPr>
        <w:t> </w:t>
      </w:r>
      <w:r>
        <w:rPr>
          <w:w w:val="105"/>
        </w:rPr>
        <w:t>public</w:t>
      </w:r>
      <w:r>
        <w:rPr>
          <w:spacing w:val="-1"/>
          <w:w w:val="105"/>
        </w:rPr>
        <w:t> </w:t>
      </w:r>
      <w:r>
        <w:rPr>
          <w:w w:val="105"/>
        </w:rPr>
        <w:t>safety</w:t>
      </w:r>
      <w:r>
        <w:rPr>
          <w:spacing w:val="-1"/>
          <w:w w:val="105"/>
        </w:rPr>
        <w:t> </w:t>
      </w:r>
      <w:r>
        <w:rPr>
          <w:w w:val="105"/>
        </w:rPr>
        <w:t>and</w:t>
      </w:r>
      <w:r>
        <w:rPr>
          <w:spacing w:val="-1"/>
          <w:w w:val="105"/>
        </w:rPr>
        <w:t> </w:t>
      </w:r>
      <w:r>
        <w:rPr>
          <w:w w:val="105"/>
        </w:rPr>
        <w:t>create</w:t>
      </w:r>
      <w:r>
        <w:rPr>
          <w:spacing w:val="-1"/>
          <w:w w:val="105"/>
        </w:rPr>
        <w:t> </w:t>
      </w:r>
      <w:r>
        <w:rPr>
          <w:w w:val="105"/>
        </w:rPr>
        <w:t>places</w:t>
      </w:r>
      <w:r>
        <w:rPr>
          <w:spacing w:val="-1"/>
          <w:w w:val="105"/>
        </w:rPr>
        <w:t> </w:t>
      </w:r>
      <w:r>
        <w:rPr>
          <w:w w:val="105"/>
        </w:rPr>
        <w:t>where</w:t>
      </w:r>
      <w:r>
        <w:rPr>
          <w:spacing w:val="-1"/>
          <w:w w:val="105"/>
        </w:rPr>
        <w:t> </w:t>
      </w:r>
      <w:r>
        <w:rPr>
          <w:w w:val="105"/>
        </w:rPr>
        <w:t>students</w:t>
      </w:r>
      <w:r>
        <w:rPr>
          <w:spacing w:val="-1"/>
          <w:w w:val="105"/>
        </w:rPr>
        <w:t> </w:t>
      </w:r>
      <w:r>
        <w:rPr>
          <w:w w:val="105"/>
        </w:rPr>
        <w:t>of</w:t>
      </w:r>
      <w:r>
        <w:rPr>
          <w:spacing w:val="-1"/>
          <w:w w:val="105"/>
        </w:rPr>
        <w:t> </w:t>
      </w:r>
      <w:r>
        <w:rPr>
          <w:w w:val="105"/>
        </w:rPr>
        <w:t>color</w:t>
      </w:r>
      <w:r>
        <w:rPr>
          <w:spacing w:val="-1"/>
          <w:w w:val="105"/>
        </w:rPr>
        <w:t> </w:t>
      </w:r>
      <w:r>
        <w:rPr>
          <w:w w:val="105"/>
        </w:rPr>
        <w:t>can</w:t>
      </w:r>
      <w:r>
        <w:rPr>
          <w:spacing w:val="-1"/>
          <w:w w:val="105"/>
        </w:rPr>
        <w:t> </w:t>
      </w:r>
      <w:r>
        <w:rPr>
          <w:w w:val="105"/>
        </w:rPr>
        <w:t>thrive.</w:t>
      </w:r>
    </w:p>
    <w:p>
      <w:pPr>
        <w:pStyle w:val="BodyText"/>
        <w:spacing w:before="17"/>
      </w:pPr>
    </w:p>
    <w:p>
      <w:pPr>
        <w:pStyle w:val="BodyText"/>
        <w:spacing w:line="266" w:lineRule="auto"/>
        <w:ind w:left="156"/>
      </w:pPr>
      <w:r>
        <w:rPr>
          <w:w w:val="105"/>
        </w:rPr>
        <w:t>Corning</w:t>
      </w:r>
      <w:r>
        <w:rPr>
          <w:spacing w:val="-10"/>
          <w:w w:val="105"/>
        </w:rPr>
        <w:t> </w:t>
      </w:r>
      <w:r>
        <w:rPr>
          <w:w w:val="105"/>
        </w:rPr>
        <w:t>proudly</w:t>
      </w:r>
      <w:r>
        <w:rPr>
          <w:spacing w:val="-10"/>
          <w:w w:val="105"/>
        </w:rPr>
        <w:t> </w:t>
      </w:r>
      <w:r>
        <w:rPr>
          <w:w w:val="105"/>
        </w:rPr>
        <w:t>sponsors</w:t>
      </w:r>
      <w:r>
        <w:rPr>
          <w:spacing w:val="-10"/>
          <w:w w:val="105"/>
        </w:rPr>
        <w:t> </w:t>
      </w:r>
      <w:r>
        <w:rPr>
          <w:w w:val="105"/>
        </w:rPr>
        <w:t>16</w:t>
      </w:r>
      <w:r>
        <w:rPr>
          <w:spacing w:val="-10"/>
          <w:w w:val="105"/>
        </w:rPr>
        <w:t> </w:t>
      </w:r>
      <w:r>
        <w:rPr>
          <w:w w:val="105"/>
        </w:rPr>
        <w:t>different</w:t>
      </w:r>
      <w:r>
        <w:rPr>
          <w:spacing w:val="-10"/>
          <w:w w:val="105"/>
        </w:rPr>
        <w:t> </w:t>
      </w:r>
      <w:r>
        <w:rPr>
          <w:w w:val="105"/>
        </w:rPr>
        <w:t>Employee</w:t>
      </w:r>
      <w:r>
        <w:rPr>
          <w:spacing w:val="-10"/>
          <w:w w:val="105"/>
        </w:rPr>
        <w:t> </w:t>
      </w:r>
      <w:r>
        <w:rPr>
          <w:w w:val="105"/>
        </w:rPr>
        <w:t>Resource</w:t>
      </w:r>
      <w:r>
        <w:rPr>
          <w:spacing w:val="-10"/>
          <w:w w:val="105"/>
        </w:rPr>
        <w:t> </w:t>
      </w:r>
      <w:r>
        <w:rPr>
          <w:w w:val="105"/>
        </w:rPr>
        <w:t>Groups</w:t>
      </w:r>
      <w:r>
        <w:rPr>
          <w:spacing w:val="-10"/>
          <w:w w:val="105"/>
        </w:rPr>
        <w:t> </w:t>
      </w:r>
      <w:r>
        <w:rPr>
          <w:w w:val="105"/>
        </w:rPr>
        <w:t>("ERGs")</w:t>
      </w:r>
      <w:r>
        <w:rPr>
          <w:spacing w:val="-10"/>
          <w:w w:val="105"/>
        </w:rPr>
        <w:t> </w:t>
      </w:r>
      <w:r>
        <w:rPr>
          <w:w w:val="105"/>
        </w:rPr>
        <w:t>with</w:t>
      </w:r>
      <w:r>
        <w:rPr>
          <w:spacing w:val="-10"/>
          <w:w w:val="105"/>
        </w:rPr>
        <w:t> </w:t>
      </w:r>
      <w:r>
        <w:rPr>
          <w:w w:val="105"/>
        </w:rPr>
        <w:t>59</w:t>
      </w:r>
      <w:r>
        <w:rPr>
          <w:spacing w:val="-10"/>
          <w:w w:val="105"/>
        </w:rPr>
        <w:t> </w:t>
      </w:r>
      <w:r>
        <w:rPr>
          <w:w w:val="105"/>
        </w:rPr>
        <w:t>chapters</w:t>
      </w:r>
      <w:r>
        <w:rPr>
          <w:spacing w:val="-10"/>
          <w:w w:val="105"/>
        </w:rPr>
        <w:t> </w:t>
      </w:r>
      <w:r>
        <w:rPr>
          <w:w w:val="105"/>
        </w:rPr>
        <w:t>worldwide.</w:t>
      </w:r>
      <w:r>
        <w:rPr>
          <w:spacing w:val="-10"/>
          <w:w w:val="105"/>
        </w:rPr>
        <w:t> </w:t>
      </w:r>
      <w:r>
        <w:rPr>
          <w:w w:val="105"/>
        </w:rPr>
        <w:t>They</w:t>
      </w:r>
      <w:r>
        <w:rPr>
          <w:spacing w:val="-10"/>
          <w:w w:val="105"/>
        </w:rPr>
        <w:t> </w:t>
      </w:r>
      <w:r>
        <w:rPr>
          <w:w w:val="105"/>
        </w:rPr>
        <w:t>represent</w:t>
      </w:r>
      <w:r>
        <w:rPr>
          <w:spacing w:val="-10"/>
          <w:w w:val="105"/>
        </w:rPr>
        <w:t> </w:t>
      </w:r>
      <w:r>
        <w:rPr>
          <w:w w:val="105"/>
        </w:rPr>
        <w:t>employees</w:t>
      </w:r>
      <w:r>
        <w:rPr>
          <w:spacing w:val="-10"/>
          <w:w w:val="105"/>
        </w:rPr>
        <w:t> </w:t>
      </w:r>
      <w:r>
        <w:rPr>
          <w:w w:val="105"/>
        </w:rPr>
        <w:t>who</w:t>
      </w:r>
      <w:r>
        <w:rPr>
          <w:spacing w:val="-10"/>
          <w:w w:val="105"/>
        </w:rPr>
        <w:t> </w:t>
      </w:r>
      <w:r>
        <w:rPr>
          <w:w w:val="105"/>
        </w:rPr>
        <w:t>are</w:t>
      </w:r>
      <w:r>
        <w:rPr>
          <w:spacing w:val="-10"/>
          <w:w w:val="105"/>
        </w:rPr>
        <w:t> </w:t>
      </w:r>
      <w:r>
        <w:rPr>
          <w:w w:val="105"/>
        </w:rPr>
        <w:t>women,</w:t>
      </w:r>
      <w:r>
        <w:rPr>
          <w:spacing w:val="-10"/>
          <w:w w:val="105"/>
        </w:rPr>
        <w:t> </w:t>
      </w:r>
      <w:r>
        <w:rPr>
          <w:w w:val="105"/>
        </w:rPr>
        <w:t>Black,</w:t>
      </w:r>
      <w:r>
        <w:rPr>
          <w:spacing w:val="-10"/>
          <w:w w:val="105"/>
        </w:rPr>
        <w:t> </w:t>
      </w:r>
      <w:r>
        <w:rPr>
          <w:w w:val="105"/>
        </w:rPr>
        <w:t>Asian,</w:t>
      </w:r>
      <w:r>
        <w:rPr>
          <w:spacing w:val="-10"/>
          <w:w w:val="105"/>
        </w:rPr>
        <w:t> </w:t>
      </w:r>
      <w:r>
        <w:rPr>
          <w:w w:val="105"/>
        </w:rPr>
        <w:t>Latino, Native</w:t>
      </w:r>
      <w:r>
        <w:rPr>
          <w:spacing w:val="-2"/>
          <w:w w:val="105"/>
        </w:rPr>
        <w:t> </w:t>
      </w:r>
      <w:r>
        <w:rPr>
          <w:w w:val="105"/>
        </w:rPr>
        <w:t>American,</w:t>
      </w:r>
      <w:r>
        <w:rPr>
          <w:spacing w:val="-2"/>
          <w:w w:val="105"/>
        </w:rPr>
        <w:t> </w:t>
      </w:r>
      <w:r>
        <w:rPr>
          <w:w w:val="105"/>
        </w:rPr>
        <w:t>people</w:t>
      </w:r>
      <w:r>
        <w:rPr>
          <w:spacing w:val="-2"/>
          <w:w w:val="105"/>
        </w:rPr>
        <w:t> </w:t>
      </w:r>
      <w:r>
        <w:rPr>
          <w:w w:val="105"/>
        </w:rPr>
        <w:t>with</w:t>
      </w:r>
      <w:r>
        <w:rPr>
          <w:spacing w:val="-2"/>
          <w:w w:val="105"/>
        </w:rPr>
        <w:t> </w:t>
      </w:r>
      <w:r>
        <w:rPr>
          <w:w w:val="105"/>
        </w:rPr>
        <w:t>disabilities,</w:t>
      </w:r>
      <w:r>
        <w:rPr>
          <w:spacing w:val="-2"/>
          <w:w w:val="105"/>
        </w:rPr>
        <w:t> </w:t>
      </w:r>
      <w:r>
        <w:rPr>
          <w:w w:val="105"/>
        </w:rPr>
        <w:t>members</w:t>
      </w:r>
      <w:r>
        <w:rPr>
          <w:spacing w:val="-2"/>
          <w:w w:val="105"/>
        </w:rPr>
        <w:t> </w:t>
      </w:r>
      <w:r>
        <w:rPr>
          <w:w w:val="105"/>
        </w:rPr>
        <w:t>of</w:t>
      </w:r>
      <w:r>
        <w:rPr>
          <w:spacing w:val="-2"/>
          <w:w w:val="105"/>
        </w:rPr>
        <w:t> </w:t>
      </w:r>
      <w:r>
        <w:rPr>
          <w:w w:val="105"/>
        </w:rPr>
        <w:t>the</w:t>
      </w:r>
      <w:r>
        <w:rPr>
          <w:spacing w:val="-2"/>
          <w:w w:val="105"/>
        </w:rPr>
        <w:t> </w:t>
      </w:r>
      <w:r>
        <w:rPr>
          <w:w w:val="105"/>
        </w:rPr>
        <w:t>LGBTQ+</w:t>
      </w:r>
      <w:r>
        <w:rPr>
          <w:spacing w:val="-2"/>
          <w:w w:val="105"/>
        </w:rPr>
        <w:t> </w:t>
      </w:r>
      <w:r>
        <w:rPr>
          <w:w w:val="105"/>
        </w:rPr>
        <w:t>community,</w:t>
      </w:r>
      <w:r>
        <w:rPr>
          <w:spacing w:val="-2"/>
          <w:w w:val="105"/>
        </w:rPr>
        <w:t> </w:t>
      </w:r>
      <w:r>
        <w:rPr>
          <w:w w:val="105"/>
        </w:rPr>
        <w:t>and</w:t>
      </w:r>
      <w:r>
        <w:rPr>
          <w:spacing w:val="-2"/>
          <w:w w:val="105"/>
        </w:rPr>
        <w:t> </w:t>
      </w:r>
      <w:r>
        <w:rPr>
          <w:w w:val="105"/>
        </w:rPr>
        <w:t>veterans,</w:t>
      </w:r>
      <w:r>
        <w:rPr>
          <w:spacing w:val="-2"/>
          <w:w w:val="105"/>
        </w:rPr>
        <w:t> </w:t>
      </w:r>
      <w:r>
        <w:rPr>
          <w:w w:val="105"/>
        </w:rPr>
        <w:t>among</w:t>
      </w:r>
      <w:r>
        <w:rPr>
          <w:spacing w:val="-2"/>
          <w:w w:val="105"/>
        </w:rPr>
        <w:t> </w:t>
      </w:r>
      <w:r>
        <w:rPr>
          <w:w w:val="105"/>
        </w:rPr>
        <w:t>others.</w:t>
      </w:r>
      <w:r>
        <w:rPr>
          <w:spacing w:val="-2"/>
          <w:w w:val="105"/>
        </w:rPr>
        <w:t> </w:t>
      </w:r>
      <w:r>
        <w:rPr>
          <w:w w:val="105"/>
        </w:rPr>
        <w:t>The</w:t>
      </w:r>
      <w:r>
        <w:rPr>
          <w:spacing w:val="-2"/>
          <w:w w:val="105"/>
        </w:rPr>
        <w:t> </w:t>
      </w:r>
      <w:r>
        <w:rPr>
          <w:w w:val="105"/>
        </w:rPr>
        <w:t>ERGs</w:t>
      </w:r>
      <w:r>
        <w:rPr>
          <w:spacing w:val="-2"/>
          <w:w w:val="105"/>
        </w:rPr>
        <w:t> </w:t>
      </w:r>
      <w:r>
        <w:rPr>
          <w:w w:val="105"/>
        </w:rPr>
        <w:t>are</w:t>
      </w:r>
      <w:r>
        <w:rPr>
          <w:spacing w:val="-2"/>
          <w:w w:val="105"/>
        </w:rPr>
        <w:t> </w:t>
      </w:r>
      <w:r>
        <w:rPr>
          <w:w w:val="105"/>
        </w:rPr>
        <w:t>vital</w:t>
      </w:r>
      <w:r>
        <w:rPr>
          <w:spacing w:val="-2"/>
          <w:w w:val="105"/>
        </w:rPr>
        <w:t> </w:t>
      </w:r>
      <w:r>
        <w:rPr>
          <w:w w:val="105"/>
        </w:rPr>
        <w:t>in</w:t>
      </w:r>
      <w:r>
        <w:rPr>
          <w:spacing w:val="-2"/>
          <w:w w:val="105"/>
        </w:rPr>
        <w:t> </w:t>
      </w:r>
      <w:r>
        <w:rPr>
          <w:w w:val="105"/>
        </w:rPr>
        <w:t>raising</w:t>
      </w:r>
      <w:r>
        <w:rPr>
          <w:spacing w:val="-2"/>
          <w:w w:val="105"/>
        </w:rPr>
        <w:t> </w:t>
      </w:r>
      <w:r>
        <w:rPr>
          <w:w w:val="105"/>
        </w:rPr>
        <w:t>awareness,</w:t>
      </w:r>
      <w:r>
        <w:rPr>
          <w:spacing w:val="-2"/>
          <w:w w:val="105"/>
        </w:rPr>
        <w:t> </w:t>
      </w:r>
      <w:r>
        <w:rPr>
          <w:w w:val="105"/>
        </w:rPr>
        <w:t>recruiting and retaining diverse talent, and inspiring corporate leadership to adopt new policies, practices, and services.</w:t>
      </w:r>
    </w:p>
    <w:p>
      <w:pPr>
        <w:pStyle w:val="BodyText"/>
        <w:spacing w:before="19"/>
      </w:pPr>
    </w:p>
    <w:p>
      <w:pPr>
        <w:spacing w:before="0"/>
        <w:ind w:left="156" w:right="0" w:firstLine="0"/>
        <w:jc w:val="left"/>
        <w:rPr>
          <w:i/>
          <w:sz w:val="16"/>
        </w:rPr>
      </w:pPr>
      <w:r>
        <w:rPr>
          <w:i/>
          <w:w w:val="105"/>
          <w:sz w:val="16"/>
        </w:rPr>
        <w:t>Talent</w:t>
      </w:r>
      <w:r>
        <w:rPr>
          <w:i/>
          <w:spacing w:val="-10"/>
          <w:w w:val="105"/>
          <w:sz w:val="16"/>
        </w:rPr>
        <w:t> </w:t>
      </w:r>
      <w:r>
        <w:rPr>
          <w:i/>
          <w:spacing w:val="-2"/>
          <w:w w:val="105"/>
          <w:sz w:val="16"/>
        </w:rPr>
        <w:t>Management</w:t>
      </w:r>
    </w:p>
    <w:p>
      <w:pPr>
        <w:pStyle w:val="BodyText"/>
        <w:spacing w:before="39"/>
        <w:rPr>
          <w:i/>
        </w:rPr>
      </w:pPr>
    </w:p>
    <w:p>
      <w:pPr>
        <w:pStyle w:val="BodyText"/>
        <w:spacing w:line="266" w:lineRule="auto" w:before="1"/>
        <w:ind w:left="156" w:right="314"/>
        <w:jc w:val="both"/>
      </w:pPr>
      <w:r>
        <w:rPr>
          <w:w w:val="105"/>
        </w:rPr>
        <w:t>Each</w:t>
      </w:r>
      <w:r>
        <w:rPr>
          <w:spacing w:val="-8"/>
          <w:w w:val="105"/>
        </w:rPr>
        <w:t> </w:t>
      </w:r>
      <w:r>
        <w:rPr>
          <w:w w:val="105"/>
        </w:rPr>
        <w:t>year</w:t>
      </w:r>
      <w:r>
        <w:rPr>
          <w:spacing w:val="-8"/>
          <w:w w:val="105"/>
        </w:rPr>
        <w:t> </w:t>
      </w:r>
      <w:r>
        <w:rPr>
          <w:w w:val="105"/>
        </w:rPr>
        <w:t>we</w:t>
      </w:r>
      <w:r>
        <w:rPr>
          <w:spacing w:val="-8"/>
          <w:w w:val="105"/>
        </w:rPr>
        <w:t> </w:t>
      </w:r>
      <w:r>
        <w:rPr>
          <w:w w:val="105"/>
        </w:rPr>
        <w:t>formally</w:t>
      </w:r>
      <w:r>
        <w:rPr>
          <w:spacing w:val="-8"/>
          <w:w w:val="105"/>
        </w:rPr>
        <w:t> </w:t>
      </w:r>
      <w:r>
        <w:rPr>
          <w:w w:val="105"/>
        </w:rPr>
        <w:t>evaluate</w:t>
      </w:r>
      <w:r>
        <w:rPr>
          <w:spacing w:val="-8"/>
          <w:w w:val="105"/>
        </w:rPr>
        <w:t> </w:t>
      </w:r>
      <w:r>
        <w:rPr>
          <w:w w:val="105"/>
        </w:rPr>
        <w:t>the</w:t>
      </w:r>
      <w:r>
        <w:rPr>
          <w:spacing w:val="-8"/>
          <w:w w:val="105"/>
        </w:rPr>
        <w:t> </w:t>
      </w:r>
      <w:r>
        <w:rPr>
          <w:w w:val="105"/>
        </w:rPr>
        <w:t>talent</w:t>
      </w:r>
      <w:r>
        <w:rPr>
          <w:spacing w:val="-8"/>
          <w:w w:val="105"/>
        </w:rPr>
        <w:t> </w:t>
      </w:r>
      <w:r>
        <w:rPr>
          <w:w w:val="105"/>
        </w:rPr>
        <w:t>implications</w:t>
      </w:r>
      <w:r>
        <w:rPr>
          <w:spacing w:val="-8"/>
          <w:w w:val="105"/>
        </w:rPr>
        <w:t> </w:t>
      </w:r>
      <w:r>
        <w:rPr>
          <w:w w:val="105"/>
        </w:rPr>
        <w:t>of</w:t>
      </w:r>
      <w:r>
        <w:rPr>
          <w:spacing w:val="-8"/>
          <w:w w:val="105"/>
        </w:rPr>
        <w:t> </w:t>
      </w:r>
      <w:r>
        <w:rPr>
          <w:w w:val="105"/>
        </w:rPr>
        <w:t>our</w:t>
      </w:r>
      <w:r>
        <w:rPr>
          <w:spacing w:val="-8"/>
          <w:w w:val="105"/>
        </w:rPr>
        <w:t> </w:t>
      </w:r>
      <w:r>
        <w:rPr>
          <w:w w:val="105"/>
        </w:rPr>
        <w:t>strategic</w:t>
      </w:r>
      <w:r>
        <w:rPr>
          <w:spacing w:val="-8"/>
          <w:w w:val="105"/>
        </w:rPr>
        <w:t> </w:t>
      </w:r>
      <w:r>
        <w:rPr>
          <w:w w:val="105"/>
        </w:rPr>
        <w:t>business</w:t>
      </w:r>
      <w:r>
        <w:rPr>
          <w:spacing w:val="-8"/>
          <w:w w:val="105"/>
        </w:rPr>
        <w:t> </w:t>
      </w:r>
      <w:r>
        <w:rPr>
          <w:w w:val="105"/>
        </w:rPr>
        <w:t>plans</w:t>
      </w:r>
      <w:r>
        <w:rPr>
          <w:spacing w:val="-8"/>
          <w:w w:val="105"/>
        </w:rPr>
        <w:t> </w:t>
      </w:r>
      <w:r>
        <w:rPr>
          <w:w w:val="105"/>
        </w:rPr>
        <w:t>and</w:t>
      </w:r>
      <w:r>
        <w:rPr>
          <w:spacing w:val="-8"/>
          <w:w w:val="105"/>
        </w:rPr>
        <w:t> </w:t>
      </w:r>
      <w:r>
        <w:rPr>
          <w:w w:val="105"/>
        </w:rPr>
        <w:t>align</w:t>
      </w:r>
      <w:r>
        <w:rPr>
          <w:spacing w:val="-8"/>
          <w:w w:val="105"/>
        </w:rPr>
        <w:t> </w:t>
      </w:r>
      <w:r>
        <w:rPr>
          <w:w w:val="105"/>
        </w:rPr>
        <w:t>our</w:t>
      </w:r>
      <w:r>
        <w:rPr>
          <w:spacing w:val="-8"/>
          <w:w w:val="105"/>
        </w:rPr>
        <w:t> </w:t>
      </w:r>
      <w:r>
        <w:rPr>
          <w:w w:val="105"/>
        </w:rPr>
        <w:t>actions</w:t>
      </w:r>
      <w:r>
        <w:rPr>
          <w:spacing w:val="-8"/>
          <w:w w:val="105"/>
        </w:rPr>
        <w:t> </w:t>
      </w:r>
      <w:r>
        <w:rPr>
          <w:w w:val="105"/>
        </w:rPr>
        <w:t>and</w:t>
      </w:r>
      <w:r>
        <w:rPr>
          <w:spacing w:val="-8"/>
          <w:w w:val="105"/>
        </w:rPr>
        <w:t> </w:t>
      </w:r>
      <w:r>
        <w:rPr>
          <w:w w:val="105"/>
        </w:rPr>
        <w:t>objectives</w:t>
      </w:r>
      <w:r>
        <w:rPr>
          <w:spacing w:val="-8"/>
          <w:w w:val="105"/>
        </w:rPr>
        <w:t> </w:t>
      </w:r>
      <w:r>
        <w:rPr>
          <w:w w:val="105"/>
        </w:rPr>
        <w:t>accordingly.</w:t>
      </w:r>
      <w:r>
        <w:rPr>
          <w:spacing w:val="27"/>
          <w:w w:val="105"/>
        </w:rPr>
        <w:t> </w:t>
      </w:r>
      <w:r>
        <w:rPr>
          <w:w w:val="105"/>
        </w:rPr>
        <w:t>As</w:t>
      </w:r>
      <w:r>
        <w:rPr>
          <w:spacing w:val="-8"/>
          <w:w w:val="105"/>
        </w:rPr>
        <w:t> </w:t>
      </w:r>
      <w:r>
        <w:rPr>
          <w:w w:val="105"/>
        </w:rPr>
        <w:t>businesses</w:t>
      </w:r>
      <w:r>
        <w:rPr>
          <w:spacing w:val="-8"/>
          <w:w w:val="105"/>
        </w:rPr>
        <w:t> </w:t>
      </w:r>
      <w:r>
        <w:rPr>
          <w:w w:val="105"/>
        </w:rPr>
        <w:t>grow</w:t>
      </w:r>
      <w:r>
        <w:rPr>
          <w:spacing w:val="-8"/>
          <w:w w:val="105"/>
        </w:rPr>
        <w:t> </w:t>
      </w:r>
      <w:r>
        <w:rPr>
          <w:w w:val="105"/>
        </w:rPr>
        <w:t>organically</w:t>
      </w:r>
      <w:r>
        <w:rPr>
          <w:spacing w:val="-8"/>
          <w:w w:val="105"/>
        </w:rPr>
        <w:t> </w:t>
      </w:r>
      <w:r>
        <w:rPr>
          <w:w w:val="105"/>
        </w:rPr>
        <w:t>or through</w:t>
      </w:r>
      <w:r>
        <w:rPr>
          <w:spacing w:val="-7"/>
          <w:w w:val="105"/>
        </w:rPr>
        <w:t> </w:t>
      </w:r>
      <w:r>
        <w:rPr>
          <w:w w:val="105"/>
        </w:rPr>
        <w:t>acquisition,</w:t>
      </w:r>
      <w:r>
        <w:rPr>
          <w:spacing w:val="-7"/>
          <w:w w:val="105"/>
        </w:rPr>
        <w:t> </w:t>
      </w:r>
      <w:r>
        <w:rPr>
          <w:w w:val="105"/>
        </w:rPr>
        <w:t>we</w:t>
      </w:r>
      <w:r>
        <w:rPr>
          <w:spacing w:val="-7"/>
          <w:w w:val="105"/>
        </w:rPr>
        <w:t> </w:t>
      </w:r>
      <w:r>
        <w:rPr>
          <w:w w:val="105"/>
        </w:rPr>
        <w:t>create</w:t>
      </w:r>
      <w:r>
        <w:rPr>
          <w:spacing w:val="-7"/>
          <w:w w:val="105"/>
        </w:rPr>
        <w:t> </w:t>
      </w:r>
      <w:r>
        <w:rPr>
          <w:w w:val="105"/>
        </w:rPr>
        <w:t>human</w:t>
      </w:r>
      <w:r>
        <w:rPr>
          <w:spacing w:val="-7"/>
          <w:w w:val="105"/>
        </w:rPr>
        <w:t> </w:t>
      </w:r>
      <w:r>
        <w:rPr>
          <w:w w:val="105"/>
        </w:rPr>
        <w:t>capital</w:t>
      </w:r>
      <w:r>
        <w:rPr>
          <w:spacing w:val="-7"/>
          <w:w w:val="105"/>
        </w:rPr>
        <w:t> </w:t>
      </w:r>
      <w:r>
        <w:rPr>
          <w:w w:val="105"/>
        </w:rPr>
        <w:t>objectives</w:t>
      </w:r>
      <w:r>
        <w:rPr>
          <w:spacing w:val="-7"/>
          <w:w w:val="105"/>
        </w:rPr>
        <w:t> </w:t>
      </w:r>
      <w:r>
        <w:rPr>
          <w:w w:val="105"/>
        </w:rPr>
        <w:t>to</w:t>
      </w:r>
      <w:r>
        <w:rPr>
          <w:spacing w:val="-7"/>
          <w:w w:val="105"/>
        </w:rPr>
        <w:t> </w:t>
      </w:r>
      <w:r>
        <w:rPr>
          <w:w w:val="105"/>
        </w:rPr>
        <w:t>ensure</w:t>
      </w:r>
      <w:r>
        <w:rPr>
          <w:spacing w:val="-7"/>
          <w:w w:val="105"/>
        </w:rPr>
        <w:t> </w:t>
      </w:r>
      <w:r>
        <w:rPr>
          <w:w w:val="105"/>
        </w:rPr>
        <w:t>we</w:t>
      </w:r>
      <w:r>
        <w:rPr>
          <w:spacing w:val="-7"/>
          <w:w w:val="105"/>
        </w:rPr>
        <w:t> </w:t>
      </w:r>
      <w:r>
        <w:rPr>
          <w:w w:val="105"/>
        </w:rPr>
        <w:t>have</w:t>
      </w:r>
      <w:r>
        <w:rPr>
          <w:spacing w:val="-7"/>
          <w:w w:val="105"/>
        </w:rPr>
        <w:t> </w:t>
      </w:r>
      <w:r>
        <w:rPr>
          <w:w w:val="105"/>
        </w:rPr>
        <w:t>the</w:t>
      </w:r>
      <w:r>
        <w:rPr>
          <w:spacing w:val="-7"/>
          <w:w w:val="105"/>
        </w:rPr>
        <w:t> </w:t>
      </w:r>
      <w:r>
        <w:rPr>
          <w:w w:val="105"/>
        </w:rPr>
        <w:t>right</w:t>
      </w:r>
      <w:r>
        <w:rPr>
          <w:spacing w:val="-7"/>
          <w:w w:val="105"/>
        </w:rPr>
        <w:t> </w:t>
      </w:r>
      <w:r>
        <w:rPr>
          <w:w w:val="105"/>
        </w:rPr>
        <w:t>people</w:t>
      </w:r>
      <w:r>
        <w:rPr>
          <w:spacing w:val="-7"/>
          <w:w w:val="105"/>
        </w:rPr>
        <w:t> </w:t>
      </w:r>
      <w:r>
        <w:rPr>
          <w:w w:val="105"/>
        </w:rPr>
        <w:t>with</w:t>
      </w:r>
      <w:r>
        <w:rPr>
          <w:spacing w:val="-7"/>
          <w:w w:val="105"/>
        </w:rPr>
        <w:t> </w:t>
      </w:r>
      <w:r>
        <w:rPr>
          <w:w w:val="105"/>
        </w:rPr>
        <w:t>the</w:t>
      </w:r>
      <w:r>
        <w:rPr>
          <w:spacing w:val="-7"/>
          <w:w w:val="105"/>
        </w:rPr>
        <w:t> </w:t>
      </w:r>
      <w:r>
        <w:rPr>
          <w:w w:val="105"/>
        </w:rPr>
        <w:t>right</w:t>
      </w:r>
      <w:r>
        <w:rPr>
          <w:spacing w:val="-7"/>
          <w:w w:val="105"/>
        </w:rPr>
        <w:t> </w:t>
      </w:r>
      <w:r>
        <w:rPr>
          <w:w w:val="105"/>
        </w:rPr>
        <w:t>skills</w:t>
      </w:r>
      <w:r>
        <w:rPr>
          <w:spacing w:val="-5"/>
          <w:w w:val="105"/>
        </w:rPr>
        <w:t> </w:t>
      </w:r>
      <w:r>
        <w:rPr>
          <w:w w:val="105"/>
        </w:rPr>
        <w:t>in</w:t>
      </w:r>
      <w:r>
        <w:rPr>
          <w:spacing w:val="-7"/>
          <w:w w:val="105"/>
        </w:rPr>
        <w:t> </w:t>
      </w:r>
      <w:r>
        <w:rPr>
          <w:w w:val="105"/>
        </w:rPr>
        <w:t>place</w:t>
      </w:r>
      <w:r>
        <w:rPr>
          <w:spacing w:val="-7"/>
          <w:w w:val="105"/>
        </w:rPr>
        <w:t> </w:t>
      </w:r>
      <w:r>
        <w:rPr>
          <w:w w:val="105"/>
        </w:rPr>
        <w:t>to</w:t>
      </w:r>
      <w:r>
        <w:rPr>
          <w:spacing w:val="-7"/>
          <w:w w:val="105"/>
        </w:rPr>
        <w:t> </w:t>
      </w:r>
      <w:r>
        <w:rPr>
          <w:w w:val="105"/>
        </w:rPr>
        <w:t>deliver</w:t>
      </w:r>
      <w:r>
        <w:rPr>
          <w:spacing w:val="-7"/>
          <w:w w:val="105"/>
        </w:rPr>
        <w:t> </w:t>
      </w:r>
      <w:r>
        <w:rPr>
          <w:w w:val="105"/>
        </w:rPr>
        <w:t>that</w:t>
      </w:r>
      <w:r>
        <w:rPr>
          <w:spacing w:val="-7"/>
          <w:w w:val="105"/>
        </w:rPr>
        <w:t> </w:t>
      </w:r>
      <w:r>
        <w:rPr>
          <w:w w:val="105"/>
        </w:rPr>
        <w:t>growth.</w:t>
      </w:r>
      <w:r>
        <w:rPr>
          <w:spacing w:val="29"/>
          <w:w w:val="105"/>
        </w:rPr>
        <w:t> </w:t>
      </w:r>
      <w:r>
        <w:rPr>
          <w:w w:val="105"/>
        </w:rPr>
        <w:t>In</w:t>
      </w:r>
      <w:r>
        <w:rPr>
          <w:spacing w:val="-7"/>
          <w:w w:val="105"/>
        </w:rPr>
        <w:t> </w:t>
      </w:r>
      <w:r>
        <w:rPr>
          <w:w w:val="105"/>
        </w:rPr>
        <w:t>2021,</w:t>
      </w:r>
      <w:r>
        <w:rPr>
          <w:spacing w:val="-7"/>
          <w:w w:val="105"/>
        </w:rPr>
        <w:t> </w:t>
      </w:r>
      <w:r>
        <w:rPr>
          <w:w w:val="105"/>
        </w:rPr>
        <w:t>as</w:t>
      </w:r>
      <w:r>
        <w:rPr>
          <w:spacing w:val="-7"/>
          <w:w w:val="105"/>
        </w:rPr>
        <w:t> </w:t>
      </w:r>
      <w:r>
        <w:rPr>
          <w:w w:val="105"/>
        </w:rPr>
        <w:t>a</w:t>
      </w:r>
      <w:r>
        <w:rPr>
          <w:spacing w:val="-7"/>
          <w:w w:val="105"/>
        </w:rPr>
        <w:t> </w:t>
      </w:r>
      <w:r>
        <w:rPr>
          <w:w w:val="105"/>
        </w:rPr>
        <w:t>result</w:t>
      </w:r>
      <w:r>
        <w:rPr>
          <w:spacing w:val="-7"/>
          <w:w w:val="105"/>
        </w:rPr>
        <w:t> </w:t>
      </w:r>
      <w:r>
        <w:rPr>
          <w:w w:val="105"/>
        </w:rPr>
        <w:t>of</w:t>
      </w:r>
      <w:r>
        <w:rPr>
          <w:spacing w:val="-7"/>
          <w:w w:val="105"/>
        </w:rPr>
        <w:t> </w:t>
      </w:r>
      <w:r>
        <w:rPr>
          <w:w w:val="105"/>
        </w:rPr>
        <w:t>these objectives,</w:t>
      </w:r>
      <w:r>
        <w:rPr>
          <w:spacing w:val="-1"/>
          <w:w w:val="105"/>
        </w:rPr>
        <w:t> </w:t>
      </w:r>
      <w:r>
        <w:rPr>
          <w:w w:val="105"/>
        </w:rPr>
        <w:t>our</w:t>
      </w:r>
      <w:r>
        <w:rPr>
          <w:spacing w:val="-1"/>
          <w:w w:val="105"/>
        </w:rPr>
        <w:t> </w:t>
      </w:r>
      <w:r>
        <w:rPr>
          <w:w w:val="105"/>
        </w:rPr>
        <w:t>talent</w:t>
      </w:r>
      <w:r>
        <w:rPr>
          <w:spacing w:val="-1"/>
          <w:w w:val="105"/>
        </w:rPr>
        <w:t> </w:t>
      </w:r>
      <w:r>
        <w:rPr>
          <w:w w:val="105"/>
        </w:rPr>
        <w:t>processes</w:t>
      </w:r>
      <w:r>
        <w:rPr>
          <w:spacing w:val="-1"/>
          <w:w w:val="105"/>
        </w:rPr>
        <w:t> </w:t>
      </w:r>
      <w:r>
        <w:rPr>
          <w:w w:val="105"/>
        </w:rPr>
        <w:t>supported</w:t>
      </w:r>
      <w:r>
        <w:rPr>
          <w:spacing w:val="-1"/>
          <w:w w:val="105"/>
        </w:rPr>
        <w:t> </w:t>
      </w:r>
      <w:r>
        <w:rPr>
          <w:w w:val="105"/>
        </w:rPr>
        <w:t>the</w:t>
      </w:r>
      <w:r>
        <w:rPr>
          <w:spacing w:val="-1"/>
          <w:w w:val="105"/>
        </w:rPr>
        <w:t> </w:t>
      </w:r>
      <w:r>
        <w:rPr>
          <w:w w:val="105"/>
        </w:rPr>
        <w:t>net</w:t>
      </w:r>
      <w:r>
        <w:rPr>
          <w:spacing w:val="-1"/>
          <w:w w:val="105"/>
        </w:rPr>
        <w:t> </w:t>
      </w:r>
      <w:r>
        <w:rPr>
          <w:w w:val="105"/>
        </w:rPr>
        <w:t>addition</w:t>
      </w:r>
      <w:r>
        <w:rPr>
          <w:spacing w:val="-1"/>
          <w:w w:val="105"/>
        </w:rPr>
        <w:t> </w:t>
      </w:r>
      <w:r>
        <w:rPr>
          <w:w w:val="105"/>
        </w:rPr>
        <w:t>of</w:t>
      </w:r>
      <w:r>
        <w:rPr>
          <w:spacing w:val="-1"/>
          <w:w w:val="105"/>
        </w:rPr>
        <w:t> </w:t>
      </w:r>
      <w:r>
        <w:rPr>
          <w:w w:val="105"/>
        </w:rPr>
        <w:t>approximately</w:t>
      </w:r>
      <w:r>
        <w:rPr>
          <w:spacing w:val="-1"/>
          <w:w w:val="105"/>
        </w:rPr>
        <w:t> </w:t>
      </w:r>
      <w:r>
        <w:rPr>
          <w:w w:val="105"/>
        </w:rPr>
        <w:t>11,100</w:t>
      </w:r>
      <w:r>
        <w:rPr>
          <w:spacing w:val="-1"/>
          <w:w w:val="105"/>
        </w:rPr>
        <w:t> </w:t>
      </w:r>
      <w:r>
        <w:rPr>
          <w:w w:val="105"/>
        </w:rPr>
        <w:t>employees</w:t>
      </w:r>
      <w:r>
        <w:rPr>
          <w:spacing w:val="-1"/>
          <w:w w:val="105"/>
        </w:rPr>
        <w:t> </w:t>
      </w:r>
      <w:r>
        <w:rPr>
          <w:w w:val="105"/>
        </w:rPr>
        <w:t>worldwide,</w:t>
      </w:r>
      <w:r>
        <w:rPr>
          <w:spacing w:val="-1"/>
          <w:w w:val="105"/>
        </w:rPr>
        <w:t> </w:t>
      </w:r>
      <w:r>
        <w:rPr>
          <w:w w:val="105"/>
        </w:rPr>
        <w:t>with</w:t>
      </w:r>
      <w:r>
        <w:rPr>
          <w:spacing w:val="-1"/>
          <w:w w:val="105"/>
        </w:rPr>
        <w:t> </w:t>
      </w:r>
      <w:r>
        <w:rPr>
          <w:w w:val="105"/>
        </w:rPr>
        <w:t>significant</w:t>
      </w:r>
      <w:r>
        <w:rPr>
          <w:spacing w:val="-1"/>
          <w:w w:val="105"/>
        </w:rPr>
        <w:t> </w:t>
      </w:r>
      <w:r>
        <w:rPr>
          <w:w w:val="105"/>
        </w:rPr>
        <w:t>growth</w:t>
      </w:r>
      <w:r>
        <w:rPr>
          <w:spacing w:val="-1"/>
          <w:w w:val="105"/>
        </w:rPr>
        <w:t> </w:t>
      </w:r>
      <w:r>
        <w:rPr>
          <w:w w:val="105"/>
        </w:rPr>
        <w:t>in</w:t>
      </w:r>
      <w:r>
        <w:rPr>
          <w:spacing w:val="-1"/>
          <w:w w:val="105"/>
        </w:rPr>
        <w:t> </w:t>
      </w:r>
      <w:r>
        <w:rPr>
          <w:w w:val="105"/>
        </w:rPr>
        <w:t>all</w:t>
      </w:r>
      <w:r>
        <w:rPr>
          <w:spacing w:val="-1"/>
          <w:w w:val="105"/>
        </w:rPr>
        <w:t> </w:t>
      </w:r>
      <w:r>
        <w:rPr>
          <w:w w:val="105"/>
        </w:rPr>
        <w:t>regions.</w:t>
      </w:r>
    </w:p>
    <w:p>
      <w:pPr>
        <w:pStyle w:val="BodyText"/>
        <w:spacing w:before="18"/>
      </w:pPr>
    </w:p>
    <w:p>
      <w:pPr>
        <w:pStyle w:val="BodyText"/>
        <w:ind w:left="48"/>
        <w:jc w:val="center"/>
      </w:pPr>
      <w:r>
        <w:rPr>
          <w:spacing w:val="-10"/>
          <w:w w:val="105"/>
        </w:rPr>
        <w:t>9</w:t>
      </w:r>
    </w:p>
    <w:p>
      <w:pPr>
        <w:pStyle w:val="BodyText"/>
        <w:rPr>
          <w:sz w:val="6"/>
        </w:rPr>
      </w:pPr>
      <w:r>
        <w:rPr/>
        <mc:AlternateContent>
          <mc:Choice Requires="wps">
            <w:drawing>
              <wp:anchor distT="0" distB="0" distL="0" distR="0" allowOverlap="1" layoutInCell="1" locked="0" behindDoc="1" simplePos="0" relativeHeight="487593472">
                <wp:simplePos x="0" y="0"/>
                <wp:positionH relativeFrom="page">
                  <wp:posOffset>226488</wp:posOffset>
                </wp:positionH>
                <wp:positionV relativeFrom="paragraph">
                  <wp:posOffset>59051</wp:posOffset>
                </wp:positionV>
                <wp:extent cx="7312659" cy="1651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23008;mso-wrap-distance-left:0;mso-wrap-distance-right:0" id="docshape13"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BodyText"/>
        <w:spacing w:line="266" w:lineRule="auto"/>
        <w:ind w:left="156" w:right="228"/>
      </w:pPr>
      <w:r>
        <w:rPr>
          <w:w w:val="105"/>
        </w:rPr>
        <w:t>Corning</w:t>
      </w:r>
      <w:r>
        <w:rPr>
          <w:spacing w:val="-4"/>
          <w:w w:val="105"/>
        </w:rPr>
        <w:t> </w:t>
      </w:r>
      <w:r>
        <w:rPr>
          <w:w w:val="105"/>
        </w:rPr>
        <w:t>strives</w:t>
      </w:r>
      <w:r>
        <w:rPr>
          <w:spacing w:val="-4"/>
          <w:w w:val="105"/>
        </w:rPr>
        <w:t> </w:t>
      </w:r>
      <w:r>
        <w:rPr>
          <w:w w:val="105"/>
        </w:rPr>
        <w:t>to</w:t>
      </w:r>
      <w:r>
        <w:rPr>
          <w:spacing w:val="-6"/>
          <w:w w:val="105"/>
        </w:rPr>
        <w:t> </w:t>
      </w:r>
      <w:r>
        <w:rPr>
          <w:w w:val="105"/>
        </w:rPr>
        <w:t>attract</w:t>
      </w:r>
      <w:r>
        <w:rPr>
          <w:spacing w:val="-4"/>
          <w:w w:val="105"/>
        </w:rPr>
        <w:t> </w:t>
      </w:r>
      <w:r>
        <w:rPr>
          <w:w w:val="105"/>
        </w:rPr>
        <w:t>and</w:t>
      </w:r>
      <w:r>
        <w:rPr>
          <w:spacing w:val="-4"/>
          <w:w w:val="105"/>
        </w:rPr>
        <w:t> </w:t>
      </w:r>
      <w:r>
        <w:rPr>
          <w:w w:val="105"/>
        </w:rPr>
        <w:t>recruit</w:t>
      </w:r>
      <w:r>
        <w:rPr>
          <w:spacing w:val="-4"/>
          <w:w w:val="105"/>
        </w:rPr>
        <w:t> </w:t>
      </w:r>
      <w:r>
        <w:rPr>
          <w:w w:val="105"/>
        </w:rPr>
        <w:t>diverse</w:t>
      </w:r>
      <w:r>
        <w:rPr>
          <w:spacing w:val="-4"/>
          <w:w w:val="105"/>
        </w:rPr>
        <w:t> </w:t>
      </w:r>
      <w:r>
        <w:rPr>
          <w:w w:val="105"/>
        </w:rPr>
        <w:t>qualified</w:t>
      </w:r>
      <w:r>
        <w:rPr>
          <w:spacing w:val="-4"/>
          <w:w w:val="105"/>
        </w:rPr>
        <w:t> </w:t>
      </w:r>
      <w:r>
        <w:rPr>
          <w:w w:val="105"/>
        </w:rPr>
        <w:t>candidates</w:t>
      </w:r>
      <w:r>
        <w:rPr>
          <w:spacing w:val="-4"/>
          <w:w w:val="105"/>
        </w:rPr>
        <w:t> </w:t>
      </w:r>
      <w:r>
        <w:rPr>
          <w:w w:val="105"/>
        </w:rPr>
        <w:t>to</w:t>
      </w:r>
      <w:r>
        <w:rPr>
          <w:spacing w:val="-4"/>
          <w:w w:val="105"/>
        </w:rPr>
        <w:t> </w:t>
      </w:r>
      <w:r>
        <w:rPr>
          <w:w w:val="105"/>
        </w:rPr>
        <w:t>maintain</w:t>
      </w:r>
      <w:r>
        <w:rPr>
          <w:spacing w:val="-4"/>
          <w:w w:val="105"/>
        </w:rPr>
        <w:t> </w:t>
      </w:r>
      <w:r>
        <w:rPr>
          <w:w w:val="105"/>
        </w:rPr>
        <w:t>our</w:t>
      </w:r>
      <w:r>
        <w:rPr>
          <w:spacing w:val="-4"/>
          <w:w w:val="105"/>
        </w:rPr>
        <w:t> </w:t>
      </w:r>
      <w:r>
        <w:rPr>
          <w:w w:val="105"/>
        </w:rPr>
        <w:t>culture</w:t>
      </w:r>
      <w:r>
        <w:rPr>
          <w:spacing w:val="-4"/>
          <w:w w:val="105"/>
        </w:rPr>
        <w:t> </w:t>
      </w:r>
      <w:r>
        <w:rPr>
          <w:w w:val="105"/>
        </w:rPr>
        <w:t>of</w:t>
      </w:r>
      <w:r>
        <w:rPr>
          <w:spacing w:val="-4"/>
          <w:w w:val="105"/>
        </w:rPr>
        <w:t> </w:t>
      </w:r>
      <w:r>
        <w:rPr>
          <w:w w:val="105"/>
        </w:rPr>
        <w:t>innovation</w:t>
      </w:r>
      <w:r>
        <w:rPr>
          <w:spacing w:val="-6"/>
          <w:w w:val="105"/>
        </w:rPr>
        <w:t> </w:t>
      </w:r>
      <w:r>
        <w:rPr>
          <w:w w:val="105"/>
        </w:rPr>
        <w:t>and</w:t>
      </w:r>
      <w:r>
        <w:rPr>
          <w:spacing w:val="-4"/>
          <w:w w:val="105"/>
        </w:rPr>
        <w:t> </w:t>
      </w:r>
      <w:r>
        <w:rPr>
          <w:w w:val="105"/>
        </w:rPr>
        <w:t>to</w:t>
      </w:r>
      <w:r>
        <w:rPr>
          <w:spacing w:val="-4"/>
          <w:w w:val="105"/>
        </w:rPr>
        <w:t> </w:t>
      </w:r>
      <w:r>
        <w:rPr>
          <w:w w:val="105"/>
        </w:rPr>
        <w:t>foster</w:t>
      </w:r>
      <w:r>
        <w:rPr>
          <w:spacing w:val="-4"/>
          <w:w w:val="105"/>
        </w:rPr>
        <w:t> </w:t>
      </w:r>
      <w:r>
        <w:rPr>
          <w:w w:val="105"/>
        </w:rPr>
        <w:t>creativity.</w:t>
      </w:r>
      <w:r>
        <w:rPr>
          <w:spacing w:val="34"/>
          <w:w w:val="105"/>
        </w:rPr>
        <w:t> </w:t>
      </w:r>
      <w:r>
        <w:rPr>
          <w:w w:val="105"/>
        </w:rPr>
        <w:t>We</w:t>
      </w:r>
      <w:r>
        <w:rPr>
          <w:spacing w:val="-4"/>
          <w:w w:val="105"/>
        </w:rPr>
        <w:t> </w:t>
      </w:r>
      <w:r>
        <w:rPr>
          <w:w w:val="105"/>
        </w:rPr>
        <w:t>have</w:t>
      </w:r>
      <w:r>
        <w:rPr>
          <w:spacing w:val="-4"/>
          <w:w w:val="105"/>
        </w:rPr>
        <w:t> </w:t>
      </w:r>
      <w:r>
        <w:rPr>
          <w:w w:val="105"/>
        </w:rPr>
        <w:t>created</w:t>
      </w:r>
      <w:r>
        <w:rPr>
          <w:spacing w:val="-4"/>
          <w:w w:val="105"/>
        </w:rPr>
        <w:t> </w:t>
      </w:r>
      <w:r>
        <w:rPr>
          <w:w w:val="105"/>
        </w:rPr>
        <w:t>a</w:t>
      </w:r>
      <w:r>
        <w:rPr>
          <w:spacing w:val="-4"/>
          <w:w w:val="105"/>
        </w:rPr>
        <w:t> </w:t>
      </w:r>
      <w:r>
        <w:rPr>
          <w:w w:val="105"/>
        </w:rPr>
        <w:t>strategic</w:t>
      </w:r>
      <w:r>
        <w:rPr>
          <w:spacing w:val="-4"/>
          <w:w w:val="105"/>
        </w:rPr>
        <w:t> </w:t>
      </w:r>
      <w:r>
        <w:rPr>
          <w:w w:val="105"/>
        </w:rPr>
        <w:t>talent</w:t>
      </w:r>
      <w:r>
        <w:rPr>
          <w:spacing w:val="-6"/>
          <w:w w:val="105"/>
        </w:rPr>
        <w:t> </w:t>
      </w:r>
      <w:r>
        <w:rPr>
          <w:w w:val="105"/>
        </w:rPr>
        <w:t>pipeline through</w:t>
      </w:r>
      <w:r>
        <w:rPr>
          <w:spacing w:val="-3"/>
          <w:w w:val="105"/>
        </w:rPr>
        <w:t> </w:t>
      </w:r>
      <w:r>
        <w:rPr>
          <w:w w:val="105"/>
        </w:rPr>
        <w:t>internships,</w:t>
      </w:r>
      <w:r>
        <w:rPr>
          <w:spacing w:val="-3"/>
          <w:w w:val="105"/>
        </w:rPr>
        <w:t> </w:t>
      </w:r>
      <w:r>
        <w:rPr>
          <w:w w:val="105"/>
        </w:rPr>
        <w:t>co-operatives,</w:t>
      </w:r>
      <w:r>
        <w:rPr>
          <w:spacing w:val="-3"/>
          <w:w w:val="105"/>
        </w:rPr>
        <w:t> </w:t>
      </w:r>
      <w:r>
        <w:rPr>
          <w:w w:val="105"/>
        </w:rPr>
        <w:t>rotational</w:t>
      </w:r>
      <w:r>
        <w:rPr>
          <w:spacing w:val="-3"/>
          <w:w w:val="105"/>
        </w:rPr>
        <w:t> </w:t>
      </w:r>
      <w:r>
        <w:rPr>
          <w:w w:val="105"/>
        </w:rPr>
        <w:t>leadership</w:t>
      </w:r>
      <w:r>
        <w:rPr>
          <w:spacing w:val="-3"/>
          <w:w w:val="105"/>
        </w:rPr>
        <w:t> </w:t>
      </w:r>
      <w:r>
        <w:rPr>
          <w:w w:val="105"/>
        </w:rPr>
        <w:t>programs,</w:t>
      </w:r>
      <w:r>
        <w:rPr>
          <w:spacing w:val="-3"/>
          <w:w w:val="105"/>
        </w:rPr>
        <w:t> </w:t>
      </w:r>
      <w:r>
        <w:rPr>
          <w:w w:val="105"/>
        </w:rPr>
        <w:t>and</w:t>
      </w:r>
      <w:r>
        <w:rPr>
          <w:spacing w:val="-3"/>
          <w:w w:val="105"/>
        </w:rPr>
        <w:t> </w:t>
      </w:r>
      <w:r>
        <w:rPr>
          <w:w w:val="105"/>
        </w:rPr>
        <w:t>partnerships</w:t>
      </w:r>
      <w:r>
        <w:rPr>
          <w:spacing w:val="-3"/>
          <w:w w:val="105"/>
        </w:rPr>
        <w:t> </w:t>
      </w:r>
      <w:r>
        <w:rPr>
          <w:w w:val="105"/>
        </w:rPr>
        <w:t>with</w:t>
      </w:r>
      <w:r>
        <w:rPr>
          <w:spacing w:val="-3"/>
          <w:w w:val="105"/>
        </w:rPr>
        <w:t> </w:t>
      </w:r>
      <w:r>
        <w:rPr>
          <w:w w:val="105"/>
        </w:rPr>
        <w:t>various</w:t>
      </w:r>
      <w:r>
        <w:rPr>
          <w:spacing w:val="-3"/>
          <w:w w:val="105"/>
        </w:rPr>
        <w:t> </w:t>
      </w:r>
      <w:r>
        <w:rPr>
          <w:w w:val="105"/>
        </w:rPr>
        <w:t>universities,</w:t>
      </w:r>
      <w:r>
        <w:rPr>
          <w:spacing w:val="-3"/>
          <w:w w:val="105"/>
        </w:rPr>
        <w:t> </w:t>
      </w:r>
      <w:r>
        <w:rPr>
          <w:w w:val="105"/>
        </w:rPr>
        <w:t>including</w:t>
      </w:r>
      <w:r>
        <w:rPr>
          <w:spacing w:val="-3"/>
          <w:w w:val="105"/>
        </w:rPr>
        <w:t> </w:t>
      </w:r>
      <w:r>
        <w:rPr>
          <w:w w:val="105"/>
        </w:rPr>
        <w:t>Historically</w:t>
      </w:r>
      <w:r>
        <w:rPr>
          <w:spacing w:val="-3"/>
          <w:w w:val="105"/>
        </w:rPr>
        <w:t> </w:t>
      </w:r>
      <w:r>
        <w:rPr>
          <w:w w:val="105"/>
        </w:rPr>
        <w:t>Black</w:t>
      </w:r>
      <w:r>
        <w:rPr>
          <w:spacing w:val="-3"/>
          <w:w w:val="105"/>
        </w:rPr>
        <w:t> </w:t>
      </w:r>
      <w:r>
        <w:rPr>
          <w:w w:val="105"/>
        </w:rPr>
        <w:t>Colleges</w:t>
      </w:r>
      <w:r>
        <w:rPr>
          <w:spacing w:val="-3"/>
          <w:w w:val="105"/>
        </w:rPr>
        <w:t> </w:t>
      </w:r>
      <w:r>
        <w:rPr>
          <w:w w:val="105"/>
        </w:rPr>
        <w:t>&amp;</w:t>
      </w:r>
      <w:r>
        <w:rPr>
          <w:spacing w:val="-3"/>
          <w:w w:val="105"/>
        </w:rPr>
        <w:t> </w:t>
      </w:r>
      <w:r>
        <w:rPr>
          <w:w w:val="105"/>
        </w:rPr>
        <w:t>Universities (HBCUs).</w:t>
      </w:r>
      <w:r>
        <w:rPr>
          <w:spacing w:val="25"/>
          <w:w w:val="105"/>
        </w:rPr>
        <w:t> </w:t>
      </w:r>
      <w:r>
        <w:rPr>
          <w:w w:val="105"/>
        </w:rPr>
        <w:t>In</w:t>
      </w:r>
      <w:r>
        <w:rPr>
          <w:spacing w:val="-9"/>
          <w:w w:val="105"/>
        </w:rPr>
        <w:t> </w:t>
      </w:r>
      <w:r>
        <w:rPr>
          <w:w w:val="105"/>
        </w:rPr>
        <w:t>addition,</w:t>
      </w:r>
      <w:r>
        <w:rPr>
          <w:spacing w:val="-9"/>
          <w:w w:val="105"/>
        </w:rPr>
        <w:t> </w:t>
      </w:r>
      <w:r>
        <w:rPr>
          <w:w w:val="105"/>
        </w:rPr>
        <w:t>we</w:t>
      </w:r>
      <w:r>
        <w:rPr>
          <w:spacing w:val="-9"/>
          <w:w w:val="105"/>
        </w:rPr>
        <w:t> </w:t>
      </w:r>
      <w:r>
        <w:rPr>
          <w:w w:val="105"/>
        </w:rPr>
        <w:t>collaborate</w:t>
      </w:r>
      <w:r>
        <w:rPr>
          <w:spacing w:val="-9"/>
          <w:w w:val="105"/>
        </w:rPr>
        <w:t> </w:t>
      </w:r>
      <w:r>
        <w:rPr>
          <w:w w:val="105"/>
        </w:rPr>
        <w:t>with</w:t>
      </w:r>
      <w:r>
        <w:rPr>
          <w:spacing w:val="-9"/>
          <w:w w:val="105"/>
        </w:rPr>
        <w:t> </w:t>
      </w:r>
      <w:r>
        <w:rPr>
          <w:w w:val="105"/>
        </w:rPr>
        <w:t>organizations</w:t>
      </w:r>
      <w:r>
        <w:rPr>
          <w:spacing w:val="-9"/>
          <w:w w:val="105"/>
        </w:rPr>
        <w:t> </w:t>
      </w:r>
      <w:r>
        <w:rPr>
          <w:w w:val="105"/>
        </w:rPr>
        <w:t>such</w:t>
      </w:r>
      <w:r>
        <w:rPr>
          <w:spacing w:val="-9"/>
          <w:w w:val="105"/>
        </w:rPr>
        <w:t> </w:t>
      </w:r>
      <w:r>
        <w:rPr>
          <w:w w:val="105"/>
        </w:rPr>
        <w:t>as</w:t>
      </w:r>
      <w:r>
        <w:rPr>
          <w:spacing w:val="-9"/>
          <w:w w:val="105"/>
        </w:rPr>
        <w:t> </w:t>
      </w:r>
      <w:r>
        <w:rPr>
          <w:w w:val="105"/>
        </w:rPr>
        <w:t>the</w:t>
      </w:r>
      <w:r>
        <w:rPr>
          <w:spacing w:val="-9"/>
          <w:w w:val="105"/>
        </w:rPr>
        <w:t> </w:t>
      </w:r>
      <w:r>
        <w:rPr>
          <w:w w:val="105"/>
        </w:rPr>
        <w:t>Society</w:t>
      </w:r>
      <w:r>
        <w:rPr>
          <w:spacing w:val="-9"/>
          <w:w w:val="105"/>
        </w:rPr>
        <w:t> </w:t>
      </w:r>
      <w:r>
        <w:rPr>
          <w:w w:val="105"/>
        </w:rPr>
        <w:t>of</w:t>
      </w:r>
      <w:r>
        <w:rPr>
          <w:spacing w:val="-9"/>
          <w:w w:val="105"/>
        </w:rPr>
        <w:t> </w:t>
      </w:r>
      <w:r>
        <w:rPr>
          <w:w w:val="105"/>
        </w:rPr>
        <w:t>Women</w:t>
      </w:r>
      <w:r>
        <w:rPr>
          <w:spacing w:val="-9"/>
          <w:w w:val="105"/>
        </w:rPr>
        <w:t> </w:t>
      </w:r>
      <w:r>
        <w:rPr>
          <w:w w:val="105"/>
        </w:rPr>
        <w:t>Engineers,</w:t>
      </w:r>
      <w:r>
        <w:rPr>
          <w:spacing w:val="-9"/>
          <w:w w:val="105"/>
        </w:rPr>
        <w:t> </w:t>
      </w:r>
      <w:r>
        <w:rPr>
          <w:w w:val="105"/>
        </w:rPr>
        <w:t>The</w:t>
      </w:r>
      <w:r>
        <w:rPr>
          <w:spacing w:val="-9"/>
          <w:w w:val="105"/>
        </w:rPr>
        <w:t> </w:t>
      </w:r>
      <w:r>
        <w:rPr>
          <w:w w:val="105"/>
        </w:rPr>
        <w:t>Association</w:t>
      </w:r>
      <w:r>
        <w:rPr>
          <w:spacing w:val="-9"/>
          <w:w w:val="105"/>
        </w:rPr>
        <w:t> </w:t>
      </w:r>
      <w:r>
        <w:rPr>
          <w:w w:val="105"/>
        </w:rPr>
        <w:t>of</w:t>
      </w:r>
      <w:r>
        <w:rPr>
          <w:spacing w:val="-9"/>
          <w:w w:val="105"/>
        </w:rPr>
        <w:t> </w:t>
      </w:r>
      <w:r>
        <w:rPr>
          <w:w w:val="105"/>
        </w:rPr>
        <w:t>Latino</w:t>
      </w:r>
      <w:r>
        <w:rPr>
          <w:spacing w:val="-9"/>
          <w:w w:val="105"/>
        </w:rPr>
        <w:t> </w:t>
      </w:r>
      <w:r>
        <w:rPr>
          <w:w w:val="105"/>
        </w:rPr>
        <w:t>Professionals</w:t>
      </w:r>
      <w:r>
        <w:rPr>
          <w:spacing w:val="-9"/>
          <w:w w:val="105"/>
        </w:rPr>
        <w:t> </w:t>
      </w:r>
      <w:r>
        <w:rPr>
          <w:w w:val="105"/>
        </w:rPr>
        <w:t>for</w:t>
      </w:r>
      <w:r>
        <w:rPr>
          <w:spacing w:val="-9"/>
          <w:w w:val="105"/>
        </w:rPr>
        <w:t> </w:t>
      </w:r>
      <w:r>
        <w:rPr>
          <w:w w:val="105"/>
        </w:rPr>
        <w:t>America,</w:t>
      </w:r>
      <w:r>
        <w:rPr>
          <w:spacing w:val="-9"/>
          <w:w w:val="105"/>
        </w:rPr>
        <w:t> </w:t>
      </w:r>
      <w:r>
        <w:rPr>
          <w:w w:val="105"/>
        </w:rPr>
        <w:t>National</w:t>
      </w:r>
      <w:r>
        <w:rPr>
          <w:spacing w:val="-9"/>
          <w:w w:val="105"/>
        </w:rPr>
        <w:t> </w:t>
      </w:r>
      <w:r>
        <w:rPr>
          <w:w w:val="105"/>
        </w:rPr>
        <w:t>Society of</w:t>
      </w:r>
      <w:r>
        <w:rPr>
          <w:spacing w:val="-1"/>
          <w:w w:val="105"/>
        </w:rPr>
        <w:t> </w:t>
      </w:r>
      <w:r>
        <w:rPr>
          <w:w w:val="105"/>
        </w:rPr>
        <w:t>Black</w:t>
      </w:r>
      <w:r>
        <w:rPr>
          <w:spacing w:val="-1"/>
          <w:w w:val="105"/>
        </w:rPr>
        <w:t> </w:t>
      </w:r>
      <w:r>
        <w:rPr>
          <w:w w:val="105"/>
        </w:rPr>
        <w:t>Engineers,</w:t>
      </w:r>
      <w:r>
        <w:rPr>
          <w:spacing w:val="-1"/>
          <w:w w:val="105"/>
        </w:rPr>
        <w:t> </w:t>
      </w:r>
      <w:r>
        <w:rPr>
          <w:w w:val="105"/>
        </w:rPr>
        <w:t>National</w:t>
      </w:r>
      <w:r>
        <w:rPr>
          <w:spacing w:val="-1"/>
          <w:w w:val="105"/>
        </w:rPr>
        <w:t> </w:t>
      </w:r>
      <w:r>
        <w:rPr>
          <w:w w:val="105"/>
        </w:rPr>
        <w:t>Association</w:t>
      </w:r>
      <w:r>
        <w:rPr>
          <w:spacing w:val="-1"/>
          <w:w w:val="105"/>
        </w:rPr>
        <w:t> </w:t>
      </w:r>
      <w:r>
        <w:rPr>
          <w:w w:val="105"/>
        </w:rPr>
        <w:t>of</w:t>
      </w:r>
      <w:r>
        <w:rPr>
          <w:spacing w:val="-1"/>
          <w:w w:val="105"/>
        </w:rPr>
        <w:t> </w:t>
      </w:r>
      <w:r>
        <w:rPr>
          <w:w w:val="105"/>
        </w:rPr>
        <w:t>Black</w:t>
      </w:r>
      <w:r>
        <w:rPr>
          <w:spacing w:val="-1"/>
          <w:w w:val="105"/>
        </w:rPr>
        <w:t> </w:t>
      </w:r>
      <w:r>
        <w:rPr>
          <w:w w:val="105"/>
        </w:rPr>
        <w:t>Accountants,</w:t>
      </w:r>
      <w:r>
        <w:rPr>
          <w:spacing w:val="-1"/>
          <w:w w:val="105"/>
        </w:rPr>
        <w:t> </w:t>
      </w:r>
      <w:r>
        <w:rPr>
          <w:w w:val="105"/>
        </w:rPr>
        <w:t>Out</w:t>
      </w:r>
      <w:r>
        <w:rPr>
          <w:spacing w:val="-1"/>
          <w:w w:val="105"/>
        </w:rPr>
        <w:t> </w:t>
      </w:r>
      <w:r>
        <w:rPr>
          <w:w w:val="105"/>
        </w:rPr>
        <w:t>for</w:t>
      </w:r>
      <w:r>
        <w:rPr>
          <w:spacing w:val="-1"/>
          <w:w w:val="105"/>
        </w:rPr>
        <w:t> </w:t>
      </w:r>
      <w:r>
        <w:rPr>
          <w:w w:val="105"/>
        </w:rPr>
        <w:t>Undergrad,</w:t>
      </w:r>
      <w:r>
        <w:rPr>
          <w:spacing w:val="-1"/>
          <w:w w:val="105"/>
        </w:rPr>
        <w:t> </w:t>
      </w:r>
      <w:r>
        <w:rPr>
          <w:w w:val="105"/>
        </w:rPr>
        <w:t>and</w:t>
      </w:r>
      <w:r>
        <w:rPr>
          <w:spacing w:val="-1"/>
          <w:w w:val="105"/>
        </w:rPr>
        <w:t> </w:t>
      </w:r>
      <w:r>
        <w:rPr>
          <w:w w:val="105"/>
        </w:rPr>
        <w:t>military</w:t>
      </w:r>
      <w:r>
        <w:rPr>
          <w:spacing w:val="-1"/>
          <w:w w:val="105"/>
        </w:rPr>
        <w:t> </w:t>
      </w:r>
      <w:r>
        <w:rPr>
          <w:w w:val="105"/>
        </w:rPr>
        <w:t>veterans’</w:t>
      </w:r>
      <w:r>
        <w:rPr>
          <w:spacing w:val="-1"/>
          <w:w w:val="105"/>
        </w:rPr>
        <w:t> </w:t>
      </w:r>
      <w:r>
        <w:rPr>
          <w:w w:val="105"/>
        </w:rPr>
        <w:t>groups</w:t>
      </w:r>
      <w:r>
        <w:rPr>
          <w:spacing w:val="-1"/>
          <w:w w:val="105"/>
        </w:rPr>
        <w:t> </w:t>
      </w:r>
      <w:r>
        <w:rPr>
          <w:w w:val="105"/>
        </w:rPr>
        <w:t>to</w:t>
      </w:r>
      <w:r>
        <w:rPr>
          <w:spacing w:val="-1"/>
          <w:w w:val="105"/>
        </w:rPr>
        <w:t> </w:t>
      </w:r>
      <w:r>
        <w:rPr>
          <w:w w:val="105"/>
        </w:rPr>
        <w:t>introduce</w:t>
      </w:r>
      <w:r>
        <w:rPr>
          <w:spacing w:val="-1"/>
          <w:w w:val="105"/>
        </w:rPr>
        <w:t> </w:t>
      </w:r>
      <w:r>
        <w:rPr>
          <w:w w:val="105"/>
        </w:rPr>
        <w:t>us</w:t>
      </w:r>
      <w:r>
        <w:rPr>
          <w:spacing w:val="-1"/>
          <w:w w:val="105"/>
        </w:rPr>
        <w:t> </w:t>
      </w:r>
      <w:r>
        <w:rPr>
          <w:w w:val="105"/>
        </w:rPr>
        <w:t>to</w:t>
      </w:r>
      <w:r>
        <w:rPr>
          <w:spacing w:val="-1"/>
          <w:w w:val="105"/>
        </w:rPr>
        <w:t> </w:t>
      </w:r>
      <w:r>
        <w:rPr>
          <w:w w:val="105"/>
        </w:rPr>
        <w:t>qualified,</w:t>
      </w:r>
      <w:r>
        <w:rPr>
          <w:spacing w:val="-1"/>
          <w:w w:val="105"/>
        </w:rPr>
        <w:t> </w:t>
      </w:r>
      <w:r>
        <w:rPr>
          <w:w w:val="105"/>
        </w:rPr>
        <w:t>diverse</w:t>
      </w:r>
      <w:r>
        <w:rPr>
          <w:spacing w:val="-1"/>
          <w:w w:val="105"/>
        </w:rPr>
        <w:t> </w:t>
      </w:r>
      <w:r>
        <w:rPr>
          <w:w w:val="105"/>
        </w:rPr>
        <w:t>candidates.</w:t>
      </w:r>
    </w:p>
    <w:p>
      <w:pPr>
        <w:pStyle w:val="BodyText"/>
        <w:spacing w:before="18"/>
      </w:pPr>
    </w:p>
    <w:p>
      <w:pPr>
        <w:pStyle w:val="BodyText"/>
        <w:spacing w:line="266" w:lineRule="auto"/>
        <w:ind w:left="156" w:right="117"/>
      </w:pPr>
      <w:r>
        <w:rPr>
          <w:w w:val="105"/>
        </w:rPr>
        <w:t>Businesses</w:t>
      </w:r>
      <w:r>
        <w:rPr>
          <w:spacing w:val="-2"/>
          <w:w w:val="105"/>
        </w:rPr>
        <w:t> </w:t>
      </w:r>
      <w:r>
        <w:rPr>
          <w:w w:val="105"/>
        </w:rPr>
        <w:t>conduct</w:t>
      </w:r>
      <w:r>
        <w:rPr>
          <w:spacing w:val="-2"/>
          <w:w w:val="105"/>
        </w:rPr>
        <w:t> </w:t>
      </w:r>
      <w:r>
        <w:rPr>
          <w:w w:val="105"/>
        </w:rPr>
        <w:t>climate</w:t>
      </w:r>
      <w:r>
        <w:rPr>
          <w:spacing w:val="-2"/>
          <w:w w:val="105"/>
        </w:rPr>
        <w:t> </w:t>
      </w:r>
      <w:r>
        <w:rPr>
          <w:w w:val="105"/>
        </w:rPr>
        <w:t>surveys</w:t>
      </w:r>
      <w:r>
        <w:rPr>
          <w:spacing w:val="-2"/>
          <w:w w:val="105"/>
        </w:rPr>
        <w:t> </w:t>
      </w:r>
      <w:r>
        <w:rPr>
          <w:w w:val="105"/>
        </w:rPr>
        <w:t>at</w:t>
      </w:r>
      <w:r>
        <w:rPr>
          <w:spacing w:val="-2"/>
          <w:w w:val="105"/>
        </w:rPr>
        <w:t> </w:t>
      </w:r>
      <w:r>
        <w:rPr>
          <w:w w:val="105"/>
        </w:rPr>
        <w:t>least</w:t>
      </w:r>
      <w:r>
        <w:rPr>
          <w:spacing w:val="-2"/>
          <w:w w:val="105"/>
        </w:rPr>
        <w:t> </w:t>
      </w:r>
      <w:r>
        <w:rPr>
          <w:w w:val="105"/>
        </w:rPr>
        <w:t>every</w:t>
      </w:r>
      <w:r>
        <w:rPr>
          <w:spacing w:val="-2"/>
          <w:w w:val="105"/>
        </w:rPr>
        <w:t> </w:t>
      </w:r>
      <w:r>
        <w:rPr>
          <w:w w:val="105"/>
        </w:rPr>
        <w:t>two</w:t>
      </w:r>
      <w:r>
        <w:rPr>
          <w:spacing w:val="-2"/>
          <w:w w:val="105"/>
        </w:rPr>
        <w:t> </w:t>
      </w:r>
      <w:r>
        <w:rPr>
          <w:w w:val="105"/>
        </w:rPr>
        <w:t>years,</w:t>
      </w:r>
      <w:r>
        <w:rPr>
          <w:spacing w:val="-2"/>
          <w:w w:val="105"/>
        </w:rPr>
        <w:t> </w:t>
      </w:r>
      <w:r>
        <w:rPr>
          <w:w w:val="105"/>
        </w:rPr>
        <w:t>and</w:t>
      </w:r>
      <w:r>
        <w:rPr>
          <w:spacing w:val="-2"/>
          <w:w w:val="105"/>
        </w:rPr>
        <w:t> </w:t>
      </w:r>
      <w:r>
        <w:rPr>
          <w:w w:val="105"/>
        </w:rPr>
        <w:t>ad</w:t>
      </w:r>
      <w:r>
        <w:rPr>
          <w:spacing w:val="-2"/>
          <w:w w:val="105"/>
        </w:rPr>
        <w:t> </w:t>
      </w:r>
      <w:r>
        <w:rPr>
          <w:w w:val="105"/>
        </w:rPr>
        <w:t>hoc</w:t>
      </w:r>
      <w:r>
        <w:rPr>
          <w:spacing w:val="-2"/>
          <w:w w:val="105"/>
        </w:rPr>
        <w:t> </w:t>
      </w:r>
      <w:r>
        <w:rPr>
          <w:w w:val="105"/>
        </w:rPr>
        <w:t>pulse</w:t>
      </w:r>
      <w:r>
        <w:rPr>
          <w:spacing w:val="-2"/>
          <w:w w:val="105"/>
        </w:rPr>
        <w:t> </w:t>
      </w:r>
      <w:r>
        <w:rPr>
          <w:w w:val="105"/>
        </w:rPr>
        <w:t>surveys</w:t>
      </w:r>
      <w:r>
        <w:rPr>
          <w:spacing w:val="-2"/>
          <w:w w:val="105"/>
        </w:rPr>
        <w:t> </w:t>
      </w:r>
      <w:r>
        <w:rPr>
          <w:w w:val="105"/>
        </w:rPr>
        <w:t>as</w:t>
      </w:r>
      <w:r>
        <w:rPr>
          <w:spacing w:val="-2"/>
          <w:w w:val="105"/>
        </w:rPr>
        <w:t> </w:t>
      </w:r>
      <w:r>
        <w:rPr>
          <w:w w:val="105"/>
        </w:rPr>
        <w:t>needed,</w:t>
      </w:r>
      <w:r>
        <w:rPr>
          <w:spacing w:val="-2"/>
          <w:w w:val="105"/>
        </w:rPr>
        <w:t> </w:t>
      </w:r>
      <w:r>
        <w:rPr>
          <w:w w:val="105"/>
        </w:rPr>
        <w:t>to measure</w:t>
      </w:r>
      <w:r>
        <w:rPr>
          <w:spacing w:val="-2"/>
          <w:w w:val="105"/>
        </w:rPr>
        <w:t> </w:t>
      </w:r>
      <w:r>
        <w:rPr>
          <w:w w:val="105"/>
        </w:rPr>
        <w:t>engagement,</w:t>
      </w:r>
      <w:r>
        <w:rPr>
          <w:spacing w:val="-2"/>
          <w:w w:val="105"/>
        </w:rPr>
        <w:t> </w:t>
      </w:r>
      <w:r>
        <w:rPr>
          <w:w w:val="105"/>
        </w:rPr>
        <w:t>satisfaction</w:t>
      </w:r>
      <w:r>
        <w:rPr>
          <w:spacing w:val="-2"/>
          <w:w w:val="105"/>
        </w:rPr>
        <w:t> </w:t>
      </w:r>
      <w:r>
        <w:rPr>
          <w:w w:val="105"/>
        </w:rPr>
        <w:t>and</w:t>
      </w:r>
      <w:r>
        <w:rPr>
          <w:spacing w:val="-2"/>
          <w:w w:val="105"/>
        </w:rPr>
        <w:t> </w:t>
      </w:r>
      <w:r>
        <w:rPr>
          <w:w w:val="105"/>
        </w:rPr>
        <w:t>alignment</w:t>
      </w:r>
      <w:r>
        <w:rPr>
          <w:spacing w:val="-2"/>
          <w:w w:val="105"/>
        </w:rPr>
        <w:t> </w:t>
      </w:r>
      <w:r>
        <w:rPr>
          <w:w w:val="105"/>
        </w:rPr>
        <w:t>with</w:t>
      </w:r>
      <w:r>
        <w:rPr>
          <w:spacing w:val="-2"/>
          <w:w w:val="105"/>
        </w:rPr>
        <w:t> </w:t>
      </w:r>
      <w:r>
        <w:rPr>
          <w:w w:val="105"/>
        </w:rPr>
        <w:t>our</w:t>
      </w:r>
      <w:r>
        <w:rPr>
          <w:spacing w:val="-2"/>
          <w:w w:val="105"/>
        </w:rPr>
        <w:t> </w:t>
      </w:r>
      <w:r>
        <w:rPr>
          <w:w w:val="105"/>
        </w:rPr>
        <w:t>Values.</w:t>
      </w:r>
      <w:r>
        <w:rPr>
          <w:spacing w:val="38"/>
          <w:w w:val="105"/>
        </w:rPr>
        <w:t> </w:t>
      </w:r>
      <w:r>
        <w:rPr>
          <w:w w:val="105"/>
        </w:rPr>
        <w:t>It</w:t>
      </w:r>
      <w:r>
        <w:rPr>
          <w:spacing w:val="-2"/>
          <w:w w:val="105"/>
        </w:rPr>
        <w:t> </w:t>
      </w:r>
      <w:r>
        <w:rPr>
          <w:w w:val="105"/>
        </w:rPr>
        <w:t>is important</w:t>
      </w:r>
      <w:r>
        <w:rPr>
          <w:spacing w:val="-2"/>
          <w:w w:val="105"/>
        </w:rPr>
        <w:t> </w:t>
      </w:r>
      <w:r>
        <w:rPr>
          <w:w w:val="105"/>
        </w:rPr>
        <w:t>to</w:t>
      </w:r>
      <w:r>
        <w:rPr>
          <w:spacing w:val="-2"/>
          <w:w w:val="105"/>
        </w:rPr>
        <w:t> </w:t>
      </w:r>
      <w:r>
        <w:rPr>
          <w:w w:val="105"/>
        </w:rPr>
        <w:t>Corning</w:t>
      </w:r>
      <w:r>
        <w:rPr>
          <w:spacing w:val="-2"/>
          <w:w w:val="105"/>
        </w:rPr>
        <w:t> </w:t>
      </w:r>
      <w:r>
        <w:rPr>
          <w:w w:val="105"/>
        </w:rPr>
        <w:t>that</w:t>
      </w:r>
      <w:r>
        <w:rPr>
          <w:spacing w:val="-2"/>
          <w:w w:val="105"/>
        </w:rPr>
        <w:t> </w:t>
      </w:r>
      <w:r>
        <w:rPr>
          <w:w w:val="105"/>
        </w:rPr>
        <w:t>employees</w:t>
      </w:r>
      <w:r>
        <w:rPr>
          <w:spacing w:val="-2"/>
          <w:w w:val="105"/>
        </w:rPr>
        <w:t> </w:t>
      </w:r>
      <w:r>
        <w:rPr>
          <w:w w:val="105"/>
        </w:rPr>
        <w:t>develop,</w:t>
      </w:r>
      <w:r>
        <w:rPr>
          <w:spacing w:val="-2"/>
          <w:w w:val="105"/>
        </w:rPr>
        <w:t> </w:t>
      </w:r>
      <w:r>
        <w:rPr>
          <w:w w:val="105"/>
        </w:rPr>
        <w:t>grow</w:t>
      </w:r>
      <w:r>
        <w:rPr>
          <w:spacing w:val="-2"/>
          <w:w w:val="105"/>
        </w:rPr>
        <w:t> </w:t>
      </w:r>
      <w:r>
        <w:rPr>
          <w:w w:val="105"/>
        </w:rPr>
        <w:t>and</w:t>
      </w:r>
      <w:r>
        <w:rPr>
          <w:spacing w:val="-2"/>
          <w:w w:val="105"/>
        </w:rPr>
        <w:t> </w:t>
      </w:r>
      <w:r>
        <w:rPr>
          <w:w w:val="105"/>
        </w:rPr>
        <w:t>are</w:t>
      </w:r>
      <w:r>
        <w:rPr>
          <w:spacing w:val="-2"/>
          <w:w w:val="105"/>
        </w:rPr>
        <w:t> </w:t>
      </w:r>
      <w:r>
        <w:rPr>
          <w:w w:val="105"/>
        </w:rPr>
        <w:t>inspired</w:t>
      </w:r>
      <w:r>
        <w:rPr>
          <w:spacing w:val="-2"/>
          <w:w w:val="105"/>
        </w:rPr>
        <w:t> </w:t>
      </w:r>
      <w:r>
        <w:rPr>
          <w:w w:val="105"/>
        </w:rPr>
        <w:t>to</w:t>
      </w:r>
      <w:r>
        <w:rPr>
          <w:spacing w:val="-2"/>
          <w:w w:val="105"/>
        </w:rPr>
        <w:t> </w:t>
      </w:r>
      <w:r>
        <w:rPr>
          <w:w w:val="105"/>
        </w:rPr>
        <w:t>continue</w:t>
      </w:r>
      <w:r>
        <w:rPr>
          <w:spacing w:val="-2"/>
          <w:w w:val="105"/>
        </w:rPr>
        <w:t> </w:t>
      </w:r>
      <w:r>
        <w:rPr>
          <w:w w:val="105"/>
        </w:rPr>
        <w:t>their</w:t>
      </w:r>
      <w:r>
        <w:rPr>
          <w:spacing w:val="-2"/>
          <w:w w:val="105"/>
        </w:rPr>
        <w:t> </w:t>
      </w:r>
      <w:r>
        <w:rPr>
          <w:w w:val="105"/>
        </w:rPr>
        <w:t>careers</w:t>
      </w:r>
      <w:r>
        <w:rPr>
          <w:spacing w:val="-2"/>
          <w:w w:val="105"/>
        </w:rPr>
        <w:t> </w:t>
      </w:r>
      <w:r>
        <w:rPr>
          <w:w w:val="105"/>
        </w:rPr>
        <w:t>at</w:t>
      </w:r>
      <w:r>
        <w:rPr>
          <w:spacing w:val="-2"/>
          <w:w w:val="105"/>
        </w:rPr>
        <w:t> </w:t>
      </w:r>
      <w:r>
        <w:rPr>
          <w:w w:val="105"/>
        </w:rPr>
        <w:t>the</w:t>
      </w:r>
      <w:r>
        <w:rPr>
          <w:spacing w:val="-2"/>
          <w:w w:val="105"/>
        </w:rPr>
        <w:t> </w:t>
      </w:r>
      <w:r>
        <w:rPr>
          <w:w w:val="105"/>
        </w:rPr>
        <w:t>Company</w:t>
      </w:r>
      <w:r>
        <w:rPr>
          <w:spacing w:val="-2"/>
          <w:w w:val="105"/>
        </w:rPr>
        <w:t> </w:t>
      </w:r>
      <w:r>
        <w:rPr>
          <w:w w:val="105"/>
        </w:rPr>
        <w:t>over</w:t>
      </w:r>
      <w:r>
        <w:rPr>
          <w:spacing w:val="-2"/>
          <w:w w:val="105"/>
        </w:rPr>
        <w:t> </w:t>
      </w:r>
      <w:r>
        <w:rPr>
          <w:w w:val="105"/>
        </w:rPr>
        <w:t>the long-term.</w:t>
      </w:r>
      <w:r>
        <w:rPr>
          <w:spacing w:val="39"/>
          <w:w w:val="105"/>
        </w:rPr>
        <w:t> </w:t>
      </w:r>
      <w:r>
        <w:rPr>
          <w:w w:val="105"/>
        </w:rPr>
        <w:t>We</w:t>
      </w:r>
      <w:r>
        <w:rPr>
          <w:spacing w:val="-2"/>
          <w:w w:val="105"/>
        </w:rPr>
        <w:t> </w:t>
      </w:r>
      <w:r>
        <w:rPr>
          <w:w w:val="105"/>
        </w:rPr>
        <w:t>offer</w:t>
      </w:r>
      <w:r>
        <w:rPr>
          <w:spacing w:val="-2"/>
          <w:w w:val="105"/>
        </w:rPr>
        <w:t> </w:t>
      </w:r>
      <w:r>
        <w:rPr>
          <w:w w:val="105"/>
        </w:rPr>
        <w:t>rich</w:t>
      </w:r>
      <w:r>
        <w:rPr>
          <w:spacing w:val="-2"/>
          <w:w w:val="105"/>
        </w:rPr>
        <w:t> </w:t>
      </w:r>
      <w:r>
        <w:rPr>
          <w:w w:val="105"/>
        </w:rPr>
        <w:t>simulations,</w:t>
      </w:r>
      <w:r>
        <w:rPr>
          <w:spacing w:val="-2"/>
          <w:w w:val="105"/>
        </w:rPr>
        <w:t> </w:t>
      </w:r>
      <w:r>
        <w:rPr>
          <w:w w:val="105"/>
        </w:rPr>
        <w:t>assessments, and</w:t>
      </w:r>
      <w:r>
        <w:rPr>
          <w:spacing w:val="-4"/>
          <w:w w:val="105"/>
        </w:rPr>
        <w:t> </w:t>
      </w:r>
      <w:r>
        <w:rPr>
          <w:w w:val="105"/>
        </w:rPr>
        <w:t>experiences</w:t>
      </w:r>
      <w:r>
        <w:rPr>
          <w:spacing w:val="-4"/>
          <w:w w:val="105"/>
        </w:rPr>
        <w:t> </w:t>
      </w:r>
      <w:r>
        <w:rPr>
          <w:w w:val="105"/>
        </w:rPr>
        <w:t>that</w:t>
      </w:r>
      <w:r>
        <w:rPr>
          <w:spacing w:val="-4"/>
          <w:w w:val="105"/>
        </w:rPr>
        <w:t> </w:t>
      </w:r>
      <w:r>
        <w:rPr>
          <w:w w:val="105"/>
        </w:rPr>
        <w:t>are</w:t>
      </w:r>
      <w:r>
        <w:rPr>
          <w:spacing w:val="-4"/>
          <w:w w:val="105"/>
        </w:rPr>
        <w:t> </w:t>
      </w:r>
      <w:r>
        <w:rPr>
          <w:w w:val="105"/>
        </w:rPr>
        <w:t>digital,</w:t>
      </w:r>
      <w:r>
        <w:rPr>
          <w:spacing w:val="-4"/>
          <w:w w:val="105"/>
        </w:rPr>
        <w:t> </w:t>
      </w:r>
      <w:r>
        <w:rPr>
          <w:w w:val="105"/>
        </w:rPr>
        <w:t>classroom,</w:t>
      </w:r>
      <w:r>
        <w:rPr>
          <w:spacing w:val="-4"/>
          <w:w w:val="105"/>
        </w:rPr>
        <w:t> </w:t>
      </w:r>
      <w:r>
        <w:rPr>
          <w:w w:val="105"/>
        </w:rPr>
        <w:t>and</w:t>
      </w:r>
      <w:r>
        <w:rPr>
          <w:spacing w:val="-3"/>
          <w:w w:val="105"/>
        </w:rPr>
        <w:t> </w:t>
      </w:r>
      <w:r>
        <w:rPr>
          <w:w w:val="105"/>
        </w:rPr>
        <w:t>a</w:t>
      </w:r>
      <w:r>
        <w:rPr>
          <w:spacing w:val="-4"/>
          <w:w w:val="105"/>
        </w:rPr>
        <w:t> </w:t>
      </w:r>
      <w:r>
        <w:rPr>
          <w:w w:val="105"/>
        </w:rPr>
        <w:t>blend</w:t>
      </w:r>
      <w:r>
        <w:rPr>
          <w:spacing w:val="-4"/>
          <w:w w:val="105"/>
        </w:rPr>
        <w:t> </w:t>
      </w:r>
      <w:r>
        <w:rPr>
          <w:w w:val="105"/>
        </w:rPr>
        <w:t>of</w:t>
      </w:r>
      <w:r>
        <w:rPr>
          <w:spacing w:val="-4"/>
          <w:w w:val="105"/>
        </w:rPr>
        <w:t> </w:t>
      </w:r>
      <w:r>
        <w:rPr>
          <w:w w:val="105"/>
        </w:rPr>
        <w:t>both,</w:t>
      </w:r>
      <w:r>
        <w:rPr>
          <w:spacing w:val="-4"/>
          <w:w w:val="105"/>
        </w:rPr>
        <w:t> </w:t>
      </w:r>
      <w:r>
        <w:rPr>
          <w:w w:val="105"/>
        </w:rPr>
        <w:t>targeted</w:t>
      </w:r>
      <w:r>
        <w:rPr>
          <w:spacing w:val="-4"/>
          <w:w w:val="105"/>
        </w:rPr>
        <w:t> </w:t>
      </w:r>
      <w:r>
        <w:rPr>
          <w:w w:val="105"/>
        </w:rPr>
        <w:t>to</w:t>
      </w:r>
      <w:r>
        <w:rPr>
          <w:spacing w:val="-4"/>
          <w:w w:val="105"/>
        </w:rPr>
        <w:t> </w:t>
      </w:r>
      <w:r>
        <w:rPr>
          <w:w w:val="105"/>
        </w:rPr>
        <w:t>all</w:t>
      </w:r>
      <w:r>
        <w:rPr>
          <w:spacing w:val="-4"/>
          <w:w w:val="105"/>
        </w:rPr>
        <w:t> </w:t>
      </w:r>
      <w:r>
        <w:rPr>
          <w:w w:val="105"/>
        </w:rPr>
        <w:t>levels</w:t>
      </w:r>
      <w:r>
        <w:rPr>
          <w:spacing w:val="-4"/>
          <w:w w:val="105"/>
        </w:rPr>
        <w:t> </w:t>
      </w:r>
      <w:r>
        <w:rPr>
          <w:w w:val="105"/>
        </w:rPr>
        <w:t>in</w:t>
      </w:r>
      <w:r>
        <w:rPr>
          <w:spacing w:val="-4"/>
          <w:w w:val="105"/>
        </w:rPr>
        <w:t> </w:t>
      </w:r>
      <w:r>
        <w:rPr>
          <w:w w:val="105"/>
        </w:rPr>
        <w:t>the</w:t>
      </w:r>
      <w:r>
        <w:rPr>
          <w:spacing w:val="-4"/>
          <w:w w:val="105"/>
        </w:rPr>
        <w:t> </w:t>
      </w:r>
      <w:r>
        <w:rPr>
          <w:w w:val="105"/>
        </w:rPr>
        <w:t>organization.</w:t>
      </w:r>
      <w:r>
        <w:rPr>
          <w:spacing w:val="34"/>
          <w:w w:val="105"/>
        </w:rPr>
        <w:t> </w:t>
      </w:r>
      <w:r>
        <w:rPr>
          <w:w w:val="105"/>
        </w:rPr>
        <w:t>We</w:t>
      </w:r>
      <w:r>
        <w:rPr>
          <w:spacing w:val="-4"/>
          <w:w w:val="105"/>
        </w:rPr>
        <w:t> </w:t>
      </w:r>
      <w:r>
        <w:rPr>
          <w:w w:val="105"/>
        </w:rPr>
        <w:t>provide</w:t>
      </w:r>
      <w:r>
        <w:rPr>
          <w:spacing w:val="-4"/>
          <w:w w:val="105"/>
        </w:rPr>
        <w:t> </w:t>
      </w:r>
      <w:r>
        <w:rPr>
          <w:w w:val="105"/>
        </w:rPr>
        <w:t>on-the-job</w:t>
      </w:r>
      <w:r>
        <w:rPr>
          <w:spacing w:val="-3"/>
          <w:w w:val="105"/>
        </w:rPr>
        <w:t> </w:t>
      </w:r>
      <w:r>
        <w:rPr>
          <w:w w:val="105"/>
        </w:rPr>
        <w:t>learning</w:t>
      </w:r>
      <w:r>
        <w:rPr>
          <w:spacing w:val="-4"/>
          <w:w w:val="105"/>
        </w:rPr>
        <w:t> </w:t>
      </w:r>
      <w:r>
        <w:rPr>
          <w:w w:val="105"/>
        </w:rPr>
        <w:t>experience,</w:t>
      </w:r>
      <w:r>
        <w:rPr>
          <w:spacing w:val="-4"/>
          <w:w w:val="105"/>
        </w:rPr>
        <w:t> </w:t>
      </w:r>
      <w:r>
        <w:rPr>
          <w:w w:val="105"/>
        </w:rPr>
        <w:t>mentoring,</w:t>
      </w:r>
      <w:r>
        <w:rPr>
          <w:spacing w:val="-4"/>
          <w:w w:val="105"/>
        </w:rPr>
        <w:t> </w:t>
      </w:r>
      <w:r>
        <w:rPr>
          <w:w w:val="105"/>
        </w:rPr>
        <w:t>and</w:t>
      </w:r>
      <w:r>
        <w:rPr>
          <w:spacing w:val="-4"/>
          <w:w w:val="105"/>
        </w:rPr>
        <w:t> </w:t>
      </w:r>
      <w:r>
        <w:rPr>
          <w:w w:val="105"/>
        </w:rPr>
        <w:t>career planning</w:t>
      </w:r>
      <w:r>
        <w:rPr>
          <w:spacing w:val="-2"/>
          <w:w w:val="105"/>
        </w:rPr>
        <w:t> </w:t>
      </w:r>
      <w:r>
        <w:rPr>
          <w:w w:val="105"/>
        </w:rPr>
        <w:t>to</w:t>
      </w:r>
      <w:r>
        <w:rPr>
          <w:spacing w:val="-2"/>
          <w:w w:val="105"/>
        </w:rPr>
        <w:t> </w:t>
      </w:r>
      <w:r>
        <w:rPr>
          <w:w w:val="105"/>
        </w:rPr>
        <w:t>ensure</w:t>
      </w:r>
      <w:r>
        <w:rPr>
          <w:spacing w:val="-2"/>
          <w:w w:val="105"/>
        </w:rPr>
        <w:t> </w:t>
      </w:r>
      <w:r>
        <w:rPr>
          <w:w w:val="105"/>
        </w:rPr>
        <w:t>immediate</w:t>
      </w:r>
      <w:r>
        <w:rPr>
          <w:spacing w:val="-2"/>
          <w:w w:val="105"/>
        </w:rPr>
        <w:t> </w:t>
      </w:r>
      <w:r>
        <w:rPr>
          <w:w w:val="105"/>
        </w:rPr>
        <w:t>application</w:t>
      </w:r>
      <w:r>
        <w:rPr>
          <w:spacing w:val="-2"/>
          <w:w w:val="105"/>
        </w:rPr>
        <w:t> </w:t>
      </w:r>
      <w:r>
        <w:rPr>
          <w:w w:val="105"/>
        </w:rPr>
        <w:t>and</w:t>
      </w:r>
      <w:r>
        <w:rPr>
          <w:spacing w:val="-2"/>
          <w:w w:val="105"/>
        </w:rPr>
        <w:t> </w:t>
      </w:r>
      <w:r>
        <w:rPr>
          <w:w w:val="105"/>
        </w:rPr>
        <w:t>lasting</w:t>
      </w:r>
      <w:r>
        <w:rPr>
          <w:spacing w:val="-2"/>
          <w:w w:val="105"/>
        </w:rPr>
        <w:t> </w:t>
      </w:r>
      <w:r>
        <w:rPr>
          <w:w w:val="105"/>
        </w:rPr>
        <w:t>impact.</w:t>
      </w:r>
      <w:r>
        <w:rPr>
          <w:spacing w:val="39"/>
          <w:w w:val="105"/>
        </w:rPr>
        <w:t> </w:t>
      </w:r>
      <w:r>
        <w:rPr>
          <w:w w:val="105"/>
        </w:rPr>
        <w:t>Talent</w:t>
      </w:r>
      <w:r>
        <w:rPr>
          <w:spacing w:val="-2"/>
          <w:w w:val="105"/>
        </w:rPr>
        <w:t> </w:t>
      </w:r>
      <w:r>
        <w:rPr>
          <w:w w:val="105"/>
        </w:rPr>
        <w:t>retention</w:t>
      </w:r>
      <w:r>
        <w:rPr>
          <w:spacing w:val="-2"/>
          <w:w w:val="105"/>
        </w:rPr>
        <w:t> </w:t>
      </w:r>
      <w:r>
        <w:rPr>
          <w:w w:val="105"/>
        </w:rPr>
        <w:t>is</w:t>
      </w:r>
      <w:r>
        <w:rPr>
          <w:spacing w:val="-2"/>
          <w:w w:val="105"/>
        </w:rPr>
        <w:t> </w:t>
      </w:r>
      <w:r>
        <w:rPr>
          <w:w w:val="105"/>
        </w:rPr>
        <w:t>an</w:t>
      </w:r>
      <w:r>
        <w:rPr>
          <w:spacing w:val="-2"/>
          <w:w w:val="105"/>
        </w:rPr>
        <w:t> </w:t>
      </w:r>
      <w:r>
        <w:rPr>
          <w:w w:val="105"/>
        </w:rPr>
        <w:t>ongoing</w:t>
      </w:r>
      <w:r>
        <w:rPr>
          <w:spacing w:val="-2"/>
          <w:w w:val="105"/>
        </w:rPr>
        <w:t> </w:t>
      </w:r>
      <w:r>
        <w:rPr>
          <w:w w:val="105"/>
        </w:rPr>
        <w:t>important focus</w:t>
      </w:r>
      <w:r>
        <w:rPr>
          <w:spacing w:val="-2"/>
          <w:w w:val="105"/>
        </w:rPr>
        <w:t> </w:t>
      </w:r>
      <w:r>
        <w:rPr>
          <w:w w:val="105"/>
        </w:rPr>
        <w:t>area</w:t>
      </w:r>
      <w:r>
        <w:rPr>
          <w:spacing w:val="-2"/>
          <w:w w:val="105"/>
        </w:rPr>
        <w:t> </w:t>
      </w:r>
      <w:r>
        <w:rPr>
          <w:w w:val="105"/>
        </w:rPr>
        <w:t>which</w:t>
      </w:r>
      <w:r>
        <w:rPr>
          <w:spacing w:val="-2"/>
          <w:w w:val="105"/>
        </w:rPr>
        <w:t> </w:t>
      </w:r>
      <w:r>
        <w:rPr>
          <w:w w:val="105"/>
        </w:rPr>
        <w:t>aligns</w:t>
      </w:r>
      <w:r>
        <w:rPr>
          <w:spacing w:val="-2"/>
          <w:w w:val="105"/>
        </w:rPr>
        <w:t> </w:t>
      </w:r>
      <w:r>
        <w:rPr>
          <w:w w:val="105"/>
        </w:rPr>
        <w:t>with</w:t>
      </w:r>
      <w:r>
        <w:rPr>
          <w:spacing w:val="-2"/>
          <w:w w:val="105"/>
        </w:rPr>
        <w:t> </w:t>
      </w:r>
      <w:r>
        <w:rPr>
          <w:w w:val="105"/>
        </w:rPr>
        <w:t>our</w:t>
      </w:r>
      <w:r>
        <w:rPr>
          <w:spacing w:val="-2"/>
          <w:w w:val="105"/>
        </w:rPr>
        <w:t> </w:t>
      </w:r>
      <w:r>
        <w:rPr>
          <w:w w:val="105"/>
        </w:rPr>
        <w:t>strategy</w:t>
      </w:r>
      <w:r>
        <w:rPr>
          <w:spacing w:val="-2"/>
          <w:w w:val="105"/>
        </w:rPr>
        <w:t> </w:t>
      </w:r>
      <w:r>
        <w:rPr>
          <w:w w:val="105"/>
        </w:rPr>
        <w:t>of</w:t>
      </w:r>
      <w:r>
        <w:rPr>
          <w:spacing w:val="-2"/>
          <w:w w:val="105"/>
        </w:rPr>
        <w:t> </w:t>
      </w:r>
      <w:r>
        <w:rPr>
          <w:w w:val="105"/>
        </w:rPr>
        <w:t>encouraging</w:t>
      </w:r>
      <w:r>
        <w:rPr>
          <w:spacing w:val="-2"/>
          <w:w w:val="105"/>
        </w:rPr>
        <w:t> </w:t>
      </w:r>
      <w:r>
        <w:rPr>
          <w:w w:val="105"/>
        </w:rPr>
        <w:t>and supporting</w:t>
      </w:r>
      <w:r>
        <w:rPr>
          <w:spacing w:val="-8"/>
          <w:w w:val="105"/>
        </w:rPr>
        <w:t> </w:t>
      </w:r>
      <w:r>
        <w:rPr>
          <w:w w:val="105"/>
        </w:rPr>
        <w:t>longer-term</w:t>
      </w:r>
      <w:r>
        <w:rPr>
          <w:spacing w:val="-8"/>
          <w:w w:val="105"/>
        </w:rPr>
        <w:t> </w:t>
      </w:r>
      <w:r>
        <w:rPr>
          <w:w w:val="105"/>
        </w:rPr>
        <w:t>careers</w:t>
      </w:r>
      <w:r>
        <w:rPr>
          <w:spacing w:val="-8"/>
          <w:w w:val="105"/>
        </w:rPr>
        <w:t> </w:t>
      </w:r>
      <w:r>
        <w:rPr>
          <w:w w:val="105"/>
        </w:rPr>
        <w:t>with</w:t>
      </w:r>
      <w:r>
        <w:rPr>
          <w:spacing w:val="-8"/>
          <w:w w:val="105"/>
        </w:rPr>
        <w:t> </w:t>
      </w:r>
      <w:r>
        <w:rPr>
          <w:w w:val="105"/>
        </w:rPr>
        <w:t>Corning.</w:t>
      </w:r>
      <w:r>
        <w:rPr>
          <w:spacing w:val="26"/>
          <w:w w:val="105"/>
        </w:rPr>
        <w:t> </w:t>
      </w:r>
      <w:r>
        <w:rPr>
          <w:w w:val="105"/>
        </w:rPr>
        <w:t>Historically,</w:t>
      </w:r>
      <w:r>
        <w:rPr>
          <w:spacing w:val="-8"/>
          <w:w w:val="105"/>
        </w:rPr>
        <w:t> </w:t>
      </w:r>
      <w:r>
        <w:rPr>
          <w:w w:val="105"/>
        </w:rPr>
        <w:t>our</w:t>
      </w:r>
      <w:r>
        <w:rPr>
          <w:spacing w:val="-8"/>
          <w:w w:val="105"/>
        </w:rPr>
        <w:t> </w:t>
      </w:r>
      <w:r>
        <w:rPr>
          <w:w w:val="105"/>
        </w:rPr>
        <w:t>talent</w:t>
      </w:r>
      <w:r>
        <w:rPr>
          <w:spacing w:val="-8"/>
          <w:w w:val="105"/>
        </w:rPr>
        <w:t> </w:t>
      </w:r>
      <w:r>
        <w:rPr>
          <w:w w:val="105"/>
        </w:rPr>
        <w:t>retention</w:t>
      </w:r>
      <w:r>
        <w:rPr>
          <w:spacing w:val="-8"/>
          <w:w w:val="105"/>
        </w:rPr>
        <w:t> </w:t>
      </w:r>
      <w:r>
        <w:rPr>
          <w:w w:val="105"/>
        </w:rPr>
        <w:t>has</w:t>
      </w:r>
      <w:r>
        <w:rPr>
          <w:spacing w:val="-8"/>
          <w:w w:val="105"/>
        </w:rPr>
        <w:t> </w:t>
      </w:r>
      <w:r>
        <w:rPr>
          <w:w w:val="105"/>
        </w:rPr>
        <w:t>been</w:t>
      </w:r>
      <w:r>
        <w:rPr>
          <w:spacing w:val="-8"/>
          <w:w w:val="105"/>
        </w:rPr>
        <w:t> </w:t>
      </w:r>
      <w:r>
        <w:rPr>
          <w:w w:val="105"/>
        </w:rPr>
        <w:t>consistently</w:t>
      </w:r>
      <w:r>
        <w:rPr>
          <w:spacing w:val="-8"/>
          <w:w w:val="105"/>
        </w:rPr>
        <w:t> </w:t>
      </w:r>
      <w:r>
        <w:rPr>
          <w:w w:val="105"/>
        </w:rPr>
        <w:t>higher</w:t>
      </w:r>
      <w:r>
        <w:rPr>
          <w:spacing w:val="-8"/>
          <w:w w:val="105"/>
        </w:rPr>
        <w:t> </w:t>
      </w:r>
      <w:r>
        <w:rPr>
          <w:w w:val="105"/>
        </w:rPr>
        <w:t>than</w:t>
      </w:r>
      <w:r>
        <w:rPr>
          <w:spacing w:val="-8"/>
          <w:w w:val="105"/>
        </w:rPr>
        <w:t> </w:t>
      </w:r>
      <w:r>
        <w:rPr>
          <w:w w:val="105"/>
        </w:rPr>
        <w:t>the</w:t>
      </w:r>
      <w:r>
        <w:rPr>
          <w:spacing w:val="-8"/>
          <w:w w:val="105"/>
        </w:rPr>
        <w:t> </w:t>
      </w:r>
      <w:r>
        <w:rPr>
          <w:w w:val="105"/>
        </w:rPr>
        <w:t>markets</w:t>
      </w:r>
      <w:r>
        <w:rPr>
          <w:spacing w:val="-8"/>
          <w:w w:val="105"/>
        </w:rPr>
        <w:t> </w:t>
      </w:r>
      <w:r>
        <w:rPr>
          <w:w w:val="105"/>
        </w:rPr>
        <w:t>in</w:t>
      </w:r>
      <w:r>
        <w:rPr>
          <w:spacing w:val="-8"/>
          <w:w w:val="105"/>
        </w:rPr>
        <w:t> </w:t>
      </w:r>
      <w:r>
        <w:rPr>
          <w:w w:val="105"/>
        </w:rPr>
        <w:t>which</w:t>
      </w:r>
      <w:r>
        <w:rPr>
          <w:spacing w:val="-8"/>
          <w:w w:val="105"/>
        </w:rPr>
        <w:t> </w:t>
      </w:r>
      <w:r>
        <w:rPr>
          <w:w w:val="105"/>
        </w:rPr>
        <w:t>we</w:t>
      </w:r>
      <w:r>
        <w:rPr>
          <w:spacing w:val="-8"/>
          <w:w w:val="105"/>
        </w:rPr>
        <w:t> </w:t>
      </w:r>
      <w:r>
        <w:rPr>
          <w:w w:val="105"/>
        </w:rPr>
        <w:t>compete</w:t>
      </w:r>
      <w:r>
        <w:rPr>
          <w:spacing w:val="-8"/>
          <w:w w:val="105"/>
        </w:rPr>
        <w:t> </w:t>
      </w:r>
      <w:r>
        <w:rPr>
          <w:w w:val="105"/>
        </w:rPr>
        <w:t>for</w:t>
      </w:r>
      <w:r>
        <w:rPr>
          <w:spacing w:val="-8"/>
          <w:w w:val="105"/>
        </w:rPr>
        <w:t> </w:t>
      </w:r>
      <w:r>
        <w:rPr>
          <w:w w:val="105"/>
        </w:rPr>
        <w:t>talent.</w:t>
      </w:r>
      <w:r>
        <w:rPr>
          <w:spacing w:val="26"/>
          <w:w w:val="105"/>
        </w:rPr>
        <w:t> </w:t>
      </w:r>
      <w:r>
        <w:rPr>
          <w:w w:val="105"/>
        </w:rPr>
        <w:t>Although</w:t>
      </w:r>
      <w:r>
        <w:rPr>
          <w:spacing w:val="-8"/>
          <w:w w:val="105"/>
        </w:rPr>
        <w:t> </w:t>
      </w:r>
      <w:r>
        <w:rPr>
          <w:w w:val="105"/>
        </w:rPr>
        <w:t>2021 yielded</w:t>
      </w:r>
      <w:r>
        <w:rPr>
          <w:spacing w:val="-2"/>
          <w:w w:val="105"/>
        </w:rPr>
        <w:t> </w:t>
      </w:r>
      <w:r>
        <w:rPr>
          <w:w w:val="105"/>
        </w:rPr>
        <w:t>some</w:t>
      </w:r>
      <w:r>
        <w:rPr>
          <w:spacing w:val="-2"/>
          <w:w w:val="105"/>
        </w:rPr>
        <w:t> </w:t>
      </w:r>
      <w:r>
        <w:rPr>
          <w:w w:val="105"/>
        </w:rPr>
        <w:t>recruitment</w:t>
      </w:r>
      <w:r>
        <w:rPr>
          <w:spacing w:val="-2"/>
          <w:w w:val="105"/>
        </w:rPr>
        <w:t> </w:t>
      </w:r>
      <w:r>
        <w:rPr>
          <w:w w:val="105"/>
        </w:rPr>
        <w:t>and</w:t>
      </w:r>
      <w:r>
        <w:rPr>
          <w:spacing w:val="-2"/>
          <w:w w:val="105"/>
        </w:rPr>
        <w:t> </w:t>
      </w:r>
      <w:r>
        <w:rPr>
          <w:w w:val="105"/>
        </w:rPr>
        <w:t>retention</w:t>
      </w:r>
      <w:r>
        <w:rPr>
          <w:spacing w:val="-2"/>
          <w:w w:val="105"/>
        </w:rPr>
        <w:t> </w:t>
      </w:r>
      <w:r>
        <w:rPr>
          <w:w w:val="105"/>
        </w:rPr>
        <w:t>challenges</w:t>
      </w:r>
      <w:r>
        <w:rPr>
          <w:spacing w:val="-2"/>
          <w:w w:val="105"/>
        </w:rPr>
        <w:t> </w:t>
      </w:r>
      <w:r>
        <w:rPr>
          <w:w w:val="105"/>
        </w:rPr>
        <w:t>primarily</w:t>
      </w:r>
      <w:r>
        <w:rPr>
          <w:spacing w:val="-2"/>
          <w:w w:val="105"/>
        </w:rPr>
        <w:t> </w:t>
      </w:r>
      <w:r>
        <w:rPr>
          <w:w w:val="105"/>
        </w:rPr>
        <w:t>in</w:t>
      </w:r>
      <w:r>
        <w:rPr>
          <w:spacing w:val="-2"/>
          <w:w w:val="105"/>
        </w:rPr>
        <w:t> </w:t>
      </w:r>
      <w:r>
        <w:rPr>
          <w:w w:val="105"/>
        </w:rPr>
        <w:t>specific</w:t>
      </w:r>
      <w:r>
        <w:rPr>
          <w:spacing w:val="-2"/>
          <w:w w:val="105"/>
        </w:rPr>
        <w:t> </w:t>
      </w:r>
      <w:r>
        <w:rPr>
          <w:w w:val="105"/>
        </w:rPr>
        <w:t>locations</w:t>
      </w:r>
      <w:r>
        <w:rPr>
          <w:spacing w:val="-2"/>
          <w:w w:val="105"/>
        </w:rPr>
        <w:t> </w:t>
      </w:r>
      <w:r>
        <w:rPr>
          <w:w w:val="105"/>
        </w:rPr>
        <w:t>within</w:t>
      </w:r>
      <w:r>
        <w:rPr>
          <w:spacing w:val="-2"/>
          <w:w w:val="105"/>
        </w:rPr>
        <w:t> </w:t>
      </w:r>
      <w:r>
        <w:rPr>
          <w:w w:val="105"/>
        </w:rPr>
        <w:t>our</w:t>
      </w:r>
      <w:r>
        <w:rPr>
          <w:spacing w:val="-2"/>
          <w:w w:val="105"/>
        </w:rPr>
        <w:t> </w:t>
      </w:r>
      <w:r>
        <w:rPr>
          <w:w w:val="105"/>
        </w:rPr>
        <w:t>US</w:t>
      </w:r>
      <w:r>
        <w:rPr>
          <w:spacing w:val="-2"/>
          <w:w w:val="105"/>
        </w:rPr>
        <w:t> </w:t>
      </w:r>
      <w:r>
        <w:rPr>
          <w:w w:val="105"/>
        </w:rPr>
        <w:t>operations,</w:t>
      </w:r>
      <w:r>
        <w:rPr>
          <w:spacing w:val="-2"/>
          <w:w w:val="105"/>
        </w:rPr>
        <w:t> </w:t>
      </w:r>
      <w:r>
        <w:rPr>
          <w:w w:val="105"/>
        </w:rPr>
        <w:t>our</w:t>
      </w:r>
      <w:r>
        <w:rPr>
          <w:spacing w:val="-2"/>
          <w:w w:val="105"/>
        </w:rPr>
        <w:t> </w:t>
      </w:r>
      <w:r>
        <w:rPr>
          <w:w w:val="105"/>
        </w:rPr>
        <w:t>talent</w:t>
      </w:r>
      <w:r>
        <w:rPr>
          <w:spacing w:val="-2"/>
          <w:w w:val="105"/>
        </w:rPr>
        <w:t> </w:t>
      </w:r>
      <w:r>
        <w:rPr>
          <w:w w:val="105"/>
        </w:rPr>
        <w:t>management</w:t>
      </w:r>
      <w:r>
        <w:rPr>
          <w:spacing w:val="-2"/>
          <w:w w:val="105"/>
        </w:rPr>
        <w:t> </w:t>
      </w:r>
      <w:r>
        <w:rPr>
          <w:w w:val="105"/>
        </w:rPr>
        <w:t>approach</w:t>
      </w:r>
      <w:r>
        <w:rPr>
          <w:spacing w:val="-2"/>
          <w:w w:val="105"/>
        </w:rPr>
        <w:t> </w:t>
      </w:r>
      <w:r>
        <w:rPr>
          <w:w w:val="105"/>
        </w:rPr>
        <w:t>enabled</w:t>
      </w:r>
      <w:r>
        <w:rPr>
          <w:spacing w:val="-2"/>
          <w:w w:val="105"/>
        </w:rPr>
        <w:t> </w:t>
      </w:r>
      <w:r>
        <w:rPr>
          <w:w w:val="105"/>
        </w:rPr>
        <w:t>our</w:t>
      </w:r>
      <w:r>
        <w:rPr>
          <w:spacing w:val="-2"/>
          <w:w w:val="105"/>
        </w:rPr>
        <w:t> </w:t>
      </w:r>
      <w:r>
        <w:rPr>
          <w:w w:val="105"/>
        </w:rPr>
        <w:t>HR</w:t>
      </w:r>
      <w:r>
        <w:rPr>
          <w:spacing w:val="-2"/>
          <w:w w:val="105"/>
        </w:rPr>
        <w:t> </w:t>
      </w:r>
      <w:r>
        <w:rPr>
          <w:w w:val="105"/>
        </w:rPr>
        <w:t>teams to mobilize quickly with plans in place to address those issues.</w:t>
      </w:r>
      <w:r>
        <w:rPr>
          <w:spacing w:val="40"/>
          <w:w w:val="105"/>
        </w:rPr>
        <w:t> </w:t>
      </w:r>
      <w:r>
        <w:rPr>
          <w:w w:val="105"/>
        </w:rPr>
        <w:t>Salaried talent retention in 2021 was 94%.</w:t>
      </w:r>
    </w:p>
    <w:p>
      <w:pPr>
        <w:pStyle w:val="BodyText"/>
        <w:spacing w:before="17"/>
      </w:pPr>
    </w:p>
    <w:p>
      <w:pPr>
        <w:pStyle w:val="BodyText"/>
        <w:spacing w:line="266" w:lineRule="auto"/>
        <w:ind w:left="156" w:right="228"/>
      </w:pPr>
      <w:r>
        <w:rPr>
          <w:w w:val="105"/>
        </w:rPr>
        <w:t>At</w:t>
      </w:r>
      <w:r>
        <w:rPr>
          <w:spacing w:val="-4"/>
          <w:w w:val="105"/>
        </w:rPr>
        <w:t> </w:t>
      </w:r>
      <w:r>
        <w:rPr>
          <w:w w:val="105"/>
        </w:rPr>
        <w:t>Corning,</w:t>
      </w:r>
      <w:r>
        <w:rPr>
          <w:spacing w:val="-4"/>
          <w:w w:val="105"/>
        </w:rPr>
        <w:t> </w:t>
      </w:r>
      <w:r>
        <w:rPr>
          <w:w w:val="105"/>
        </w:rPr>
        <w:t>the</w:t>
      </w:r>
      <w:r>
        <w:rPr>
          <w:spacing w:val="-4"/>
          <w:w w:val="105"/>
        </w:rPr>
        <w:t> </w:t>
      </w:r>
      <w:r>
        <w:rPr>
          <w:w w:val="105"/>
        </w:rPr>
        <w:t>health</w:t>
      </w:r>
      <w:r>
        <w:rPr>
          <w:spacing w:val="-4"/>
          <w:w w:val="105"/>
        </w:rPr>
        <w:t> </w:t>
      </w:r>
      <w:r>
        <w:rPr>
          <w:w w:val="105"/>
        </w:rPr>
        <w:t>and</w:t>
      </w:r>
      <w:r>
        <w:rPr>
          <w:spacing w:val="-4"/>
          <w:w w:val="105"/>
        </w:rPr>
        <w:t> </w:t>
      </w:r>
      <w:r>
        <w:rPr>
          <w:w w:val="105"/>
        </w:rPr>
        <w:t>safety</w:t>
      </w:r>
      <w:r>
        <w:rPr>
          <w:spacing w:val="-4"/>
          <w:w w:val="105"/>
        </w:rPr>
        <w:t> </w:t>
      </w:r>
      <w:r>
        <w:rPr>
          <w:w w:val="105"/>
        </w:rPr>
        <w:t>of</w:t>
      </w:r>
      <w:r>
        <w:rPr>
          <w:spacing w:val="-4"/>
          <w:w w:val="105"/>
        </w:rPr>
        <w:t> </w:t>
      </w:r>
      <w:r>
        <w:rPr>
          <w:w w:val="105"/>
        </w:rPr>
        <w:t>our</w:t>
      </w:r>
      <w:r>
        <w:rPr>
          <w:spacing w:val="-4"/>
          <w:w w:val="105"/>
        </w:rPr>
        <w:t> </w:t>
      </w:r>
      <w:r>
        <w:rPr>
          <w:w w:val="105"/>
        </w:rPr>
        <w:t>workforce</w:t>
      </w:r>
      <w:r>
        <w:rPr>
          <w:spacing w:val="-4"/>
          <w:w w:val="105"/>
        </w:rPr>
        <w:t> </w:t>
      </w:r>
      <w:r>
        <w:rPr>
          <w:w w:val="105"/>
        </w:rPr>
        <w:t>is</w:t>
      </w:r>
      <w:r>
        <w:rPr>
          <w:spacing w:val="-4"/>
          <w:w w:val="105"/>
        </w:rPr>
        <w:t> </w:t>
      </w:r>
      <w:r>
        <w:rPr>
          <w:w w:val="105"/>
        </w:rPr>
        <w:t>always</w:t>
      </w:r>
      <w:r>
        <w:rPr>
          <w:spacing w:val="-4"/>
          <w:w w:val="105"/>
        </w:rPr>
        <w:t> </w:t>
      </w:r>
      <w:r>
        <w:rPr>
          <w:w w:val="105"/>
        </w:rPr>
        <w:t>of</w:t>
      </w:r>
      <w:r>
        <w:rPr>
          <w:spacing w:val="-4"/>
          <w:w w:val="105"/>
        </w:rPr>
        <w:t> </w:t>
      </w:r>
      <w:r>
        <w:rPr>
          <w:w w:val="105"/>
        </w:rPr>
        <w:t>paramount</w:t>
      </w:r>
      <w:r>
        <w:rPr>
          <w:spacing w:val="-4"/>
          <w:w w:val="105"/>
        </w:rPr>
        <w:t> </w:t>
      </w:r>
      <w:r>
        <w:rPr>
          <w:w w:val="105"/>
        </w:rPr>
        <w:t>consideration.</w:t>
      </w:r>
      <w:r>
        <w:rPr>
          <w:spacing w:val="34"/>
          <w:w w:val="105"/>
        </w:rPr>
        <w:t> </w:t>
      </w:r>
      <w:r>
        <w:rPr>
          <w:w w:val="105"/>
        </w:rPr>
        <w:t>Our</w:t>
      </w:r>
      <w:r>
        <w:rPr>
          <w:spacing w:val="-4"/>
          <w:w w:val="105"/>
        </w:rPr>
        <w:t> </w:t>
      </w:r>
      <w:r>
        <w:rPr>
          <w:w w:val="105"/>
        </w:rPr>
        <w:t>safety</w:t>
      </w:r>
      <w:r>
        <w:rPr>
          <w:spacing w:val="-4"/>
          <w:w w:val="105"/>
        </w:rPr>
        <w:t> </w:t>
      </w:r>
      <w:r>
        <w:rPr>
          <w:w w:val="105"/>
        </w:rPr>
        <w:t>standards</w:t>
      </w:r>
      <w:r>
        <w:rPr>
          <w:spacing w:val="-4"/>
          <w:w w:val="105"/>
        </w:rPr>
        <w:t> </w:t>
      </w:r>
      <w:r>
        <w:rPr>
          <w:w w:val="105"/>
        </w:rPr>
        <w:t>always</w:t>
      </w:r>
      <w:r>
        <w:rPr>
          <w:spacing w:val="-4"/>
          <w:w w:val="105"/>
        </w:rPr>
        <w:t> </w:t>
      </w:r>
      <w:r>
        <w:rPr>
          <w:w w:val="105"/>
        </w:rPr>
        <w:t>meet,</w:t>
      </w:r>
      <w:r>
        <w:rPr>
          <w:spacing w:val="-4"/>
          <w:w w:val="105"/>
        </w:rPr>
        <w:t> </w:t>
      </w:r>
      <w:r>
        <w:rPr>
          <w:w w:val="105"/>
        </w:rPr>
        <w:t>and</w:t>
      </w:r>
      <w:r>
        <w:rPr>
          <w:spacing w:val="-4"/>
          <w:w w:val="105"/>
        </w:rPr>
        <w:t> </w:t>
      </w:r>
      <w:r>
        <w:rPr>
          <w:w w:val="105"/>
        </w:rPr>
        <w:t>often</w:t>
      </w:r>
      <w:r>
        <w:rPr>
          <w:spacing w:val="-4"/>
          <w:w w:val="105"/>
        </w:rPr>
        <w:t> </w:t>
      </w:r>
      <w:r>
        <w:rPr>
          <w:w w:val="105"/>
        </w:rPr>
        <w:t>exceed,</w:t>
      </w:r>
      <w:r>
        <w:rPr>
          <w:spacing w:val="-4"/>
          <w:w w:val="105"/>
        </w:rPr>
        <w:t> </w:t>
      </w:r>
      <w:r>
        <w:rPr>
          <w:w w:val="105"/>
        </w:rPr>
        <w:t>local</w:t>
      </w:r>
      <w:r>
        <w:rPr>
          <w:spacing w:val="-4"/>
          <w:w w:val="105"/>
        </w:rPr>
        <w:t> </w:t>
      </w:r>
      <w:r>
        <w:rPr>
          <w:w w:val="105"/>
        </w:rPr>
        <w:t>regulatory</w:t>
      </w:r>
      <w:r>
        <w:rPr>
          <w:spacing w:val="-4"/>
          <w:w w:val="105"/>
        </w:rPr>
        <w:t> </w:t>
      </w:r>
      <w:r>
        <w:rPr>
          <w:w w:val="105"/>
        </w:rPr>
        <w:t>standards. We</w:t>
      </w:r>
      <w:r>
        <w:rPr>
          <w:spacing w:val="-2"/>
          <w:w w:val="105"/>
        </w:rPr>
        <w:t> </w:t>
      </w:r>
      <w:r>
        <w:rPr>
          <w:w w:val="105"/>
        </w:rPr>
        <w:t>continue</w:t>
      </w:r>
      <w:r>
        <w:rPr>
          <w:spacing w:val="-2"/>
          <w:w w:val="105"/>
        </w:rPr>
        <w:t> </w:t>
      </w:r>
      <w:r>
        <w:rPr>
          <w:w w:val="105"/>
        </w:rPr>
        <w:t>to</w:t>
      </w:r>
      <w:r>
        <w:rPr>
          <w:spacing w:val="-2"/>
          <w:w w:val="105"/>
        </w:rPr>
        <w:t> </w:t>
      </w:r>
      <w:r>
        <w:rPr>
          <w:w w:val="105"/>
        </w:rPr>
        <w:t>rank</w:t>
      </w:r>
      <w:r>
        <w:rPr>
          <w:spacing w:val="-2"/>
          <w:w w:val="105"/>
        </w:rPr>
        <w:t> </w:t>
      </w:r>
      <w:r>
        <w:rPr>
          <w:w w:val="105"/>
        </w:rPr>
        <w:t>within</w:t>
      </w:r>
      <w:r>
        <w:rPr>
          <w:spacing w:val="-2"/>
          <w:w w:val="105"/>
        </w:rPr>
        <w:t> </w:t>
      </w:r>
      <w:r>
        <w:rPr>
          <w:w w:val="105"/>
        </w:rPr>
        <w:t>the</w:t>
      </w:r>
      <w:r>
        <w:rPr>
          <w:spacing w:val="-2"/>
          <w:w w:val="105"/>
        </w:rPr>
        <w:t> </w:t>
      </w:r>
      <w:r>
        <w:rPr>
          <w:w w:val="105"/>
        </w:rPr>
        <w:t>top</w:t>
      </w:r>
      <w:r>
        <w:rPr>
          <w:spacing w:val="-2"/>
          <w:w w:val="105"/>
        </w:rPr>
        <w:t> </w:t>
      </w:r>
      <w:r>
        <w:rPr>
          <w:w w:val="105"/>
        </w:rPr>
        <w:t>quartile</w:t>
      </w:r>
      <w:r>
        <w:rPr>
          <w:spacing w:val="-2"/>
          <w:w w:val="105"/>
        </w:rPr>
        <w:t> </w:t>
      </w:r>
      <w:r>
        <w:rPr>
          <w:w w:val="105"/>
        </w:rPr>
        <w:t>of</w:t>
      </w:r>
      <w:r>
        <w:rPr>
          <w:spacing w:val="-2"/>
          <w:w w:val="105"/>
        </w:rPr>
        <w:t> </w:t>
      </w:r>
      <w:r>
        <w:rPr>
          <w:w w:val="105"/>
        </w:rPr>
        <w:t>our</w:t>
      </w:r>
      <w:r>
        <w:rPr>
          <w:spacing w:val="-2"/>
          <w:w w:val="105"/>
        </w:rPr>
        <w:t> </w:t>
      </w:r>
      <w:r>
        <w:rPr>
          <w:w w:val="105"/>
        </w:rPr>
        <w:t>ORCHSE</w:t>
      </w:r>
      <w:r>
        <w:rPr>
          <w:spacing w:val="-2"/>
          <w:w w:val="105"/>
        </w:rPr>
        <w:t> </w:t>
      </w:r>
      <w:r>
        <w:rPr>
          <w:w w:val="105"/>
        </w:rPr>
        <w:t>Strategies,</w:t>
      </w:r>
      <w:r>
        <w:rPr>
          <w:spacing w:val="-2"/>
          <w:w w:val="105"/>
        </w:rPr>
        <w:t> </w:t>
      </w:r>
      <w:r>
        <w:rPr>
          <w:w w:val="105"/>
        </w:rPr>
        <w:t>LLC.</w:t>
      </w:r>
      <w:r>
        <w:rPr>
          <w:spacing w:val="-2"/>
          <w:w w:val="105"/>
        </w:rPr>
        <w:t> </w:t>
      </w:r>
      <w:r>
        <w:rPr>
          <w:w w:val="105"/>
        </w:rPr>
        <w:t>(a</w:t>
      </w:r>
      <w:r>
        <w:rPr>
          <w:spacing w:val="-2"/>
          <w:w w:val="105"/>
        </w:rPr>
        <w:t> </w:t>
      </w:r>
      <w:r>
        <w:rPr>
          <w:w w:val="105"/>
        </w:rPr>
        <w:t>National</w:t>
      </w:r>
      <w:r>
        <w:rPr>
          <w:spacing w:val="-2"/>
          <w:w w:val="105"/>
        </w:rPr>
        <w:t> </w:t>
      </w:r>
      <w:r>
        <w:rPr>
          <w:w w:val="105"/>
        </w:rPr>
        <w:t>Safety</w:t>
      </w:r>
      <w:r>
        <w:rPr>
          <w:spacing w:val="-2"/>
          <w:w w:val="105"/>
        </w:rPr>
        <w:t> </w:t>
      </w:r>
      <w:r>
        <w:rPr>
          <w:w w:val="105"/>
        </w:rPr>
        <w:t>Council</w:t>
      </w:r>
      <w:r>
        <w:rPr>
          <w:spacing w:val="-2"/>
          <w:w w:val="105"/>
        </w:rPr>
        <w:t> </w:t>
      </w:r>
      <w:r>
        <w:rPr>
          <w:w w:val="105"/>
        </w:rPr>
        <w:t>membership-based</w:t>
      </w:r>
      <w:r>
        <w:rPr>
          <w:spacing w:val="-2"/>
          <w:w w:val="105"/>
        </w:rPr>
        <w:t> </w:t>
      </w:r>
      <w:r>
        <w:rPr>
          <w:w w:val="105"/>
        </w:rPr>
        <w:t>workplace</w:t>
      </w:r>
      <w:r>
        <w:rPr>
          <w:spacing w:val="-2"/>
          <w:w w:val="105"/>
        </w:rPr>
        <w:t> </w:t>
      </w:r>
      <w:r>
        <w:rPr>
          <w:w w:val="105"/>
        </w:rPr>
        <w:t>safety</w:t>
      </w:r>
      <w:r>
        <w:rPr>
          <w:spacing w:val="-2"/>
          <w:w w:val="105"/>
        </w:rPr>
        <w:t> </w:t>
      </w:r>
      <w:r>
        <w:rPr>
          <w:w w:val="105"/>
        </w:rPr>
        <w:t>group)</w:t>
      </w:r>
      <w:r>
        <w:rPr>
          <w:spacing w:val="-2"/>
          <w:w w:val="105"/>
        </w:rPr>
        <w:t> </w:t>
      </w:r>
      <w:r>
        <w:rPr>
          <w:w w:val="105"/>
        </w:rPr>
        <w:t>peer</w:t>
      </w:r>
      <w:r>
        <w:rPr>
          <w:spacing w:val="-2"/>
          <w:w w:val="105"/>
        </w:rPr>
        <w:t> </w:t>
      </w:r>
      <w:r>
        <w:rPr>
          <w:w w:val="105"/>
        </w:rPr>
        <w:t>group</w:t>
      </w:r>
      <w:r>
        <w:rPr>
          <w:spacing w:val="-2"/>
          <w:w w:val="105"/>
        </w:rPr>
        <w:t> </w:t>
      </w:r>
      <w:r>
        <w:rPr>
          <w:w w:val="105"/>
        </w:rPr>
        <w:t>in</w:t>
      </w:r>
      <w:r>
        <w:rPr>
          <w:spacing w:val="-2"/>
          <w:w w:val="105"/>
        </w:rPr>
        <w:t> </w:t>
      </w:r>
      <w:r>
        <w:rPr>
          <w:w w:val="105"/>
        </w:rPr>
        <w:t>terms of</w:t>
      </w:r>
      <w:r>
        <w:rPr>
          <w:spacing w:val="-9"/>
          <w:w w:val="105"/>
        </w:rPr>
        <w:t> </w:t>
      </w:r>
      <w:r>
        <w:rPr>
          <w:w w:val="105"/>
        </w:rPr>
        <w:t>total</w:t>
      </w:r>
      <w:r>
        <w:rPr>
          <w:spacing w:val="-9"/>
          <w:w w:val="105"/>
        </w:rPr>
        <w:t> </w:t>
      </w:r>
      <w:r>
        <w:rPr>
          <w:w w:val="105"/>
        </w:rPr>
        <w:t>recordable</w:t>
      </w:r>
      <w:r>
        <w:rPr>
          <w:spacing w:val="-7"/>
          <w:w w:val="105"/>
        </w:rPr>
        <w:t> </w:t>
      </w:r>
      <w:r>
        <w:rPr>
          <w:w w:val="105"/>
        </w:rPr>
        <w:t>incident</w:t>
      </w:r>
      <w:r>
        <w:rPr>
          <w:spacing w:val="-9"/>
          <w:w w:val="105"/>
        </w:rPr>
        <w:t> </w:t>
      </w:r>
      <w:r>
        <w:rPr>
          <w:w w:val="105"/>
        </w:rPr>
        <w:t>rate</w:t>
      </w:r>
      <w:r>
        <w:rPr>
          <w:spacing w:val="-9"/>
          <w:w w:val="105"/>
        </w:rPr>
        <w:t> </w:t>
      </w:r>
      <w:r>
        <w:rPr>
          <w:w w:val="105"/>
        </w:rPr>
        <w:t>(TRIR)</w:t>
      </w:r>
      <w:r>
        <w:rPr>
          <w:spacing w:val="-9"/>
          <w:w w:val="105"/>
        </w:rPr>
        <w:t> </w:t>
      </w:r>
      <w:r>
        <w:rPr>
          <w:w w:val="105"/>
        </w:rPr>
        <w:t>performance</w:t>
      </w:r>
      <w:r>
        <w:rPr>
          <w:spacing w:val="-9"/>
          <w:w w:val="105"/>
        </w:rPr>
        <w:t> </w:t>
      </w:r>
      <w:r>
        <w:rPr>
          <w:w w:val="105"/>
        </w:rPr>
        <w:t>with</w:t>
      </w:r>
      <w:r>
        <w:rPr>
          <w:spacing w:val="-9"/>
          <w:w w:val="105"/>
        </w:rPr>
        <w:t> </w:t>
      </w:r>
      <w:r>
        <w:rPr>
          <w:w w:val="105"/>
        </w:rPr>
        <w:t>a</w:t>
      </w:r>
      <w:r>
        <w:rPr>
          <w:spacing w:val="-9"/>
          <w:w w:val="105"/>
        </w:rPr>
        <w:t> </w:t>
      </w:r>
      <w:r>
        <w:rPr>
          <w:w w:val="105"/>
        </w:rPr>
        <w:t>Company-wide</w:t>
      </w:r>
      <w:r>
        <w:rPr>
          <w:spacing w:val="-9"/>
          <w:w w:val="105"/>
        </w:rPr>
        <w:t> </w:t>
      </w:r>
      <w:r>
        <w:rPr>
          <w:w w:val="105"/>
        </w:rPr>
        <w:t>TRIR</w:t>
      </w:r>
      <w:r>
        <w:rPr>
          <w:spacing w:val="-9"/>
          <w:w w:val="105"/>
        </w:rPr>
        <w:t> </w:t>
      </w:r>
      <w:r>
        <w:rPr>
          <w:w w:val="105"/>
        </w:rPr>
        <w:t>of</w:t>
      </w:r>
      <w:r>
        <w:rPr>
          <w:spacing w:val="-9"/>
          <w:w w:val="105"/>
        </w:rPr>
        <w:t> </w:t>
      </w:r>
      <w:r>
        <w:rPr>
          <w:w w:val="105"/>
        </w:rPr>
        <w:t>just</w:t>
      </w:r>
      <w:r>
        <w:rPr>
          <w:spacing w:val="-9"/>
          <w:w w:val="105"/>
        </w:rPr>
        <w:t> </w:t>
      </w:r>
      <w:r>
        <w:rPr>
          <w:w w:val="105"/>
        </w:rPr>
        <w:t>0.50</w:t>
      </w:r>
      <w:r>
        <w:rPr>
          <w:spacing w:val="-9"/>
          <w:w w:val="105"/>
        </w:rPr>
        <w:t> </w:t>
      </w:r>
      <w:r>
        <w:rPr>
          <w:w w:val="105"/>
        </w:rPr>
        <w:t>in</w:t>
      </w:r>
      <w:r>
        <w:rPr>
          <w:spacing w:val="-9"/>
          <w:w w:val="105"/>
        </w:rPr>
        <w:t> </w:t>
      </w:r>
      <w:r>
        <w:rPr>
          <w:w w:val="105"/>
        </w:rPr>
        <w:t>2021.</w:t>
      </w:r>
      <w:r>
        <w:rPr>
          <w:spacing w:val="27"/>
          <w:w w:val="105"/>
        </w:rPr>
        <w:t> </w:t>
      </w:r>
      <w:r>
        <w:rPr>
          <w:w w:val="105"/>
        </w:rPr>
        <w:t>We</w:t>
      </w:r>
      <w:r>
        <w:rPr>
          <w:spacing w:val="-9"/>
          <w:w w:val="105"/>
        </w:rPr>
        <w:t> </w:t>
      </w:r>
      <w:r>
        <w:rPr>
          <w:w w:val="105"/>
        </w:rPr>
        <w:t>promote</w:t>
      </w:r>
      <w:r>
        <w:rPr>
          <w:spacing w:val="-9"/>
          <w:w w:val="105"/>
        </w:rPr>
        <w:t> </w:t>
      </w:r>
      <w:r>
        <w:rPr>
          <w:w w:val="105"/>
        </w:rPr>
        <w:t>employee</w:t>
      </w:r>
      <w:r>
        <w:rPr>
          <w:spacing w:val="-9"/>
          <w:w w:val="105"/>
        </w:rPr>
        <w:t> </w:t>
      </w:r>
      <w:r>
        <w:rPr>
          <w:w w:val="105"/>
        </w:rPr>
        <w:t>wellbeing</w:t>
      </w:r>
      <w:r>
        <w:rPr>
          <w:spacing w:val="-9"/>
          <w:w w:val="105"/>
        </w:rPr>
        <w:t> </w:t>
      </w:r>
      <w:r>
        <w:rPr>
          <w:w w:val="105"/>
        </w:rPr>
        <w:t>through</w:t>
      </w:r>
      <w:r>
        <w:rPr>
          <w:spacing w:val="-9"/>
          <w:w w:val="105"/>
        </w:rPr>
        <w:t> </w:t>
      </w:r>
      <w:r>
        <w:rPr>
          <w:w w:val="105"/>
        </w:rPr>
        <w:t>wellness</w:t>
      </w:r>
      <w:r>
        <w:rPr>
          <w:spacing w:val="-9"/>
          <w:w w:val="105"/>
        </w:rPr>
        <w:t> </w:t>
      </w:r>
      <w:r>
        <w:rPr>
          <w:w w:val="105"/>
        </w:rPr>
        <w:t>programs</w:t>
      </w:r>
      <w:r>
        <w:rPr>
          <w:spacing w:val="-9"/>
          <w:w w:val="105"/>
        </w:rPr>
        <w:t> </w:t>
      </w:r>
      <w:r>
        <w:rPr>
          <w:w w:val="105"/>
        </w:rPr>
        <w:t>which</w:t>
      </w:r>
    </w:p>
    <w:p>
      <w:pPr>
        <w:pStyle w:val="BodyText"/>
        <w:spacing w:line="266" w:lineRule="auto"/>
        <w:ind w:left="156" w:right="200"/>
      </w:pPr>
      <w:r>
        <w:rPr>
          <w:w w:val="105"/>
        </w:rPr>
        <w:t>vary</w:t>
      </w:r>
      <w:r>
        <w:rPr>
          <w:spacing w:val="-9"/>
          <w:w w:val="105"/>
        </w:rPr>
        <w:t> </w:t>
      </w:r>
      <w:r>
        <w:rPr>
          <w:w w:val="105"/>
        </w:rPr>
        <w:t>by</w:t>
      </w:r>
      <w:r>
        <w:rPr>
          <w:spacing w:val="-9"/>
          <w:w w:val="105"/>
        </w:rPr>
        <w:t> </w:t>
      </w:r>
      <w:r>
        <w:rPr>
          <w:w w:val="105"/>
        </w:rPr>
        <w:t>region</w:t>
      </w:r>
      <w:r>
        <w:rPr>
          <w:spacing w:val="-9"/>
          <w:w w:val="105"/>
        </w:rPr>
        <w:t> </w:t>
      </w:r>
      <w:r>
        <w:rPr>
          <w:w w:val="105"/>
        </w:rPr>
        <w:t>such</w:t>
      </w:r>
      <w:r>
        <w:rPr>
          <w:spacing w:val="-9"/>
          <w:w w:val="105"/>
        </w:rPr>
        <w:t> </w:t>
      </w:r>
      <w:r>
        <w:rPr>
          <w:w w:val="105"/>
        </w:rPr>
        <w:t>as</w:t>
      </w:r>
      <w:r>
        <w:rPr>
          <w:spacing w:val="-9"/>
          <w:w w:val="105"/>
        </w:rPr>
        <w:t> </w:t>
      </w:r>
      <w:r>
        <w:rPr>
          <w:w w:val="105"/>
        </w:rPr>
        <w:t>nutrition,</w:t>
      </w:r>
      <w:r>
        <w:rPr>
          <w:spacing w:val="-7"/>
          <w:w w:val="105"/>
        </w:rPr>
        <w:t> </w:t>
      </w:r>
      <w:r>
        <w:rPr>
          <w:w w:val="105"/>
        </w:rPr>
        <w:t>mental</w:t>
      </w:r>
      <w:r>
        <w:rPr>
          <w:spacing w:val="-9"/>
          <w:w w:val="105"/>
        </w:rPr>
        <w:t> </w:t>
      </w:r>
      <w:r>
        <w:rPr>
          <w:w w:val="105"/>
        </w:rPr>
        <w:t>health,</w:t>
      </w:r>
      <w:r>
        <w:rPr>
          <w:spacing w:val="-9"/>
          <w:w w:val="105"/>
        </w:rPr>
        <w:t> </w:t>
      </w:r>
      <w:r>
        <w:rPr>
          <w:w w:val="105"/>
        </w:rPr>
        <w:t>and</w:t>
      </w:r>
      <w:r>
        <w:rPr>
          <w:spacing w:val="-9"/>
          <w:w w:val="105"/>
        </w:rPr>
        <w:t> </w:t>
      </w:r>
      <w:r>
        <w:rPr>
          <w:w w:val="105"/>
        </w:rPr>
        <w:t>fitness-related</w:t>
      </w:r>
      <w:r>
        <w:rPr>
          <w:spacing w:val="-9"/>
          <w:w w:val="105"/>
        </w:rPr>
        <w:t> </w:t>
      </w:r>
      <w:r>
        <w:rPr>
          <w:w w:val="105"/>
        </w:rPr>
        <w:t>offerings,</w:t>
      </w:r>
      <w:r>
        <w:rPr>
          <w:spacing w:val="-9"/>
          <w:w w:val="105"/>
        </w:rPr>
        <w:t> </w:t>
      </w:r>
      <w:r>
        <w:rPr>
          <w:w w:val="105"/>
        </w:rPr>
        <w:t>smoking</w:t>
      </w:r>
      <w:r>
        <w:rPr>
          <w:spacing w:val="-9"/>
          <w:w w:val="105"/>
        </w:rPr>
        <w:t> </w:t>
      </w:r>
      <w:r>
        <w:rPr>
          <w:w w:val="105"/>
        </w:rPr>
        <w:t>cessation</w:t>
      </w:r>
      <w:r>
        <w:rPr>
          <w:spacing w:val="-9"/>
          <w:w w:val="105"/>
        </w:rPr>
        <w:t> </w:t>
      </w:r>
      <w:r>
        <w:rPr>
          <w:w w:val="105"/>
        </w:rPr>
        <w:t>programs,</w:t>
      </w:r>
      <w:r>
        <w:rPr>
          <w:spacing w:val="-9"/>
          <w:w w:val="105"/>
        </w:rPr>
        <w:t> </w:t>
      </w:r>
      <w:r>
        <w:rPr>
          <w:w w:val="105"/>
        </w:rPr>
        <w:t>and</w:t>
      </w:r>
      <w:r>
        <w:rPr>
          <w:spacing w:val="-9"/>
          <w:w w:val="105"/>
        </w:rPr>
        <w:t> </w:t>
      </w:r>
      <w:r>
        <w:rPr>
          <w:w w:val="105"/>
        </w:rPr>
        <w:t>smoke</w:t>
      </w:r>
      <w:r>
        <w:rPr>
          <w:spacing w:val="-9"/>
          <w:w w:val="105"/>
        </w:rPr>
        <w:t> </w:t>
      </w:r>
      <w:r>
        <w:rPr>
          <w:w w:val="105"/>
        </w:rPr>
        <w:t>free</w:t>
      </w:r>
      <w:r>
        <w:rPr>
          <w:spacing w:val="-9"/>
          <w:w w:val="105"/>
        </w:rPr>
        <w:t> </w:t>
      </w:r>
      <w:r>
        <w:rPr>
          <w:w w:val="105"/>
        </w:rPr>
        <w:t>campuses.</w:t>
      </w:r>
      <w:r>
        <w:rPr>
          <w:spacing w:val="-9"/>
          <w:w w:val="105"/>
        </w:rPr>
        <w:t> </w:t>
      </w:r>
      <w:r>
        <w:rPr>
          <w:w w:val="105"/>
        </w:rPr>
        <w:t>With</w:t>
      </w:r>
      <w:r>
        <w:rPr>
          <w:spacing w:val="-9"/>
          <w:w w:val="105"/>
        </w:rPr>
        <w:t> </w:t>
      </w:r>
      <w:r>
        <w:rPr>
          <w:w w:val="105"/>
        </w:rPr>
        <w:t>the</w:t>
      </w:r>
      <w:r>
        <w:rPr>
          <w:spacing w:val="-9"/>
          <w:w w:val="105"/>
        </w:rPr>
        <w:t> </w:t>
      </w:r>
      <w:r>
        <w:rPr>
          <w:w w:val="105"/>
        </w:rPr>
        <w:t>continuation</w:t>
      </w:r>
      <w:r>
        <w:rPr>
          <w:spacing w:val="-9"/>
          <w:w w:val="105"/>
        </w:rPr>
        <w:t> </w:t>
      </w:r>
      <w:r>
        <w:rPr>
          <w:w w:val="105"/>
        </w:rPr>
        <w:t>of</w:t>
      </w:r>
      <w:r>
        <w:rPr>
          <w:spacing w:val="-9"/>
          <w:w w:val="105"/>
        </w:rPr>
        <w:t> </w:t>
      </w:r>
      <w:r>
        <w:rPr>
          <w:w w:val="105"/>
        </w:rPr>
        <w:t>the</w:t>
      </w:r>
      <w:r>
        <w:rPr>
          <w:spacing w:val="-9"/>
          <w:w w:val="105"/>
        </w:rPr>
        <w:t> </w:t>
      </w:r>
      <w:r>
        <w:rPr>
          <w:w w:val="105"/>
        </w:rPr>
        <w:t>pandemic in</w:t>
      </w:r>
      <w:r>
        <w:rPr>
          <w:spacing w:val="-2"/>
          <w:w w:val="105"/>
        </w:rPr>
        <w:t> </w:t>
      </w:r>
      <w:r>
        <w:rPr>
          <w:w w:val="105"/>
        </w:rPr>
        <w:t>2021,</w:t>
      </w:r>
      <w:r>
        <w:rPr>
          <w:spacing w:val="-2"/>
          <w:w w:val="105"/>
        </w:rPr>
        <w:t> </w:t>
      </w:r>
      <w:r>
        <w:rPr>
          <w:w w:val="105"/>
        </w:rPr>
        <w:t>we</w:t>
      </w:r>
      <w:r>
        <w:rPr>
          <w:spacing w:val="-2"/>
          <w:w w:val="105"/>
        </w:rPr>
        <w:t> </w:t>
      </w:r>
      <w:r>
        <w:rPr>
          <w:w w:val="105"/>
        </w:rPr>
        <w:t>continued</w:t>
      </w:r>
      <w:r>
        <w:rPr>
          <w:spacing w:val="-2"/>
          <w:w w:val="105"/>
        </w:rPr>
        <w:t> </w:t>
      </w:r>
      <w:r>
        <w:rPr>
          <w:w w:val="105"/>
        </w:rPr>
        <w:t>our</w:t>
      </w:r>
      <w:r>
        <w:rPr>
          <w:spacing w:val="-2"/>
          <w:w w:val="105"/>
        </w:rPr>
        <w:t> </w:t>
      </w:r>
      <w:r>
        <w:rPr>
          <w:w w:val="105"/>
        </w:rPr>
        <w:t>Responsible</w:t>
      </w:r>
      <w:r>
        <w:rPr>
          <w:spacing w:val="-2"/>
          <w:w w:val="105"/>
        </w:rPr>
        <w:t> </w:t>
      </w:r>
      <w:r>
        <w:rPr>
          <w:w w:val="105"/>
        </w:rPr>
        <w:t>Corning</w:t>
      </w:r>
      <w:r>
        <w:rPr>
          <w:spacing w:val="-2"/>
          <w:w w:val="105"/>
        </w:rPr>
        <w:t> </w:t>
      </w:r>
      <w:r>
        <w:rPr>
          <w:w w:val="105"/>
        </w:rPr>
        <w:t>program</w:t>
      </w:r>
      <w:r>
        <w:rPr>
          <w:spacing w:val="-2"/>
          <w:w w:val="105"/>
        </w:rPr>
        <w:t> </w:t>
      </w:r>
      <w:r>
        <w:rPr>
          <w:w w:val="105"/>
        </w:rPr>
        <w:t>with</w:t>
      </w:r>
      <w:r>
        <w:rPr>
          <w:spacing w:val="-2"/>
          <w:w w:val="105"/>
        </w:rPr>
        <w:t> </w:t>
      </w:r>
      <w:r>
        <w:rPr>
          <w:w w:val="105"/>
        </w:rPr>
        <w:t>enhanced</w:t>
      </w:r>
      <w:r>
        <w:rPr>
          <w:spacing w:val="-2"/>
          <w:w w:val="105"/>
        </w:rPr>
        <w:t> </w:t>
      </w:r>
      <w:r>
        <w:rPr>
          <w:w w:val="105"/>
        </w:rPr>
        <w:t>cleaning,</w:t>
      </w:r>
      <w:r>
        <w:rPr>
          <w:spacing w:val="-2"/>
          <w:w w:val="105"/>
        </w:rPr>
        <w:t> </w:t>
      </w:r>
      <w:r>
        <w:rPr>
          <w:w w:val="105"/>
        </w:rPr>
        <w:t>screening,</w:t>
      </w:r>
      <w:r>
        <w:rPr>
          <w:spacing w:val="-2"/>
          <w:w w:val="105"/>
        </w:rPr>
        <w:t> </w:t>
      </w:r>
      <w:r>
        <w:rPr>
          <w:w w:val="105"/>
        </w:rPr>
        <w:t>testing</w:t>
      </w:r>
      <w:r>
        <w:rPr>
          <w:spacing w:val="-2"/>
          <w:w w:val="105"/>
        </w:rPr>
        <w:t> </w:t>
      </w:r>
      <w:r>
        <w:rPr>
          <w:w w:val="105"/>
        </w:rPr>
        <w:t>and</w:t>
      </w:r>
      <w:r>
        <w:rPr>
          <w:spacing w:val="-2"/>
          <w:w w:val="105"/>
        </w:rPr>
        <w:t> </w:t>
      </w:r>
      <w:r>
        <w:rPr>
          <w:w w:val="105"/>
        </w:rPr>
        <w:t>other</w:t>
      </w:r>
      <w:r>
        <w:rPr>
          <w:spacing w:val="-2"/>
          <w:w w:val="105"/>
        </w:rPr>
        <w:t> </w:t>
      </w:r>
      <w:r>
        <w:rPr>
          <w:w w:val="105"/>
        </w:rPr>
        <w:t>measures</w:t>
      </w:r>
      <w:r>
        <w:rPr>
          <w:spacing w:val="-2"/>
          <w:w w:val="105"/>
        </w:rPr>
        <w:t> </w:t>
      </w:r>
      <w:r>
        <w:rPr>
          <w:w w:val="105"/>
        </w:rPr>
        <w:t>initiated</w:t>
      </w:r>
      <w:r>
        <w:rPr>
          <w:spacing w:val="-2"/>
          <w:w w:val="105"/>
        </w:rPr>
        <w:t> </w:t>
      </w:r>
      <w:r>
        <w:rPr>
          <w:w w:val="105"/>
        </w:rPr>
        <w:t>in</w:t>
      </w:r>
      <w:r>
        <w:rPr>
          <w:spacing w:val="-2"/>
          <w:w w:val="105"/>
        </w:rPr>
        <w:t> </w:t>
      </w:r>
      <w:r>
        <w:rPr>
          <w:w w:val="105"/>
        </w:rPr>
        <w:t>2020.</w:t>
      </w:r>
      <w:r>
        <w:rPr>
          <w:spacing w:val="-2"/>
          <w:w w:val="105"/>
        </w:rPr>
        <w:t> </w:t>
      </w:r>
      <w:r>
        <w:rPr>
          <w:w w:val="105"/>
        </w:rPr>
        <w:t>In addition,</w:t>
      </w:r>
      <w:r>
        <w:rPr>
          <w:spacing w:val="-2"/>
          <w:w w:val="105"/>
        </w:rPr>
        <w:t> </w:t>
      </w:r>
      <w:r>
        <w:rPr>
          <w:w w:val="105"/>
        </w:rPr>
        <w:t>we</w:t>
      </w:r>
      <w:r>
        <w:rPr>
          <w:spacing w:val="-2"/>
          <w:w w:val="105"/>
        </w:rPr>
        <w:t> </w:t>
      </w:r>
      <w:r>
        <w:rPr>
          <w:w w:val="105"/>
        </w:rPr>
        <w:t>encouraged COVID</w:t>
      </w:r>
      <w:r>
        <w:rPr>
          <w:spacing w:val="-3"/>
          <w:w w:val="105"/>
        </w:rPr>
        <w:t> </w:t>
      </w:r>
      <w:r>
        <w:rPr>
          <w:w w:val="105"/>
        </w:rPr>
        <w:t>vaccinations</w:t>
      </w:r>
      <w:r>
        <w:rPr>
          <w:spacing w:val="-3"/>
          <w:w w:val="105"/>
        </w:rPr>
        <w:t> </w:t>
      </w:r>
      <w:r>
        <w:rPr>
          <w:w w:val="105"/>
        </w:rPr>
        <w:t>and</w:t>
      </w:r>
      <w:r>
        <w:rPr>
          <w:spacing w:val="-3"/>
          <w:w w:val="105"/>
        </w:rPr>
        <w:t> </w:t>
      </w:r>
      <w:r>
        <w:rPr>
          <w:w w:val="105"/>
        </w:rPr>
        <w:t>boosters</w:t>
      </w:r>
      <w:r>
        <w:rPr>
          <w:spacing w:val="-3"/>
          <w:w w:val="105"/>
        </w:rPr>
        <w:t> </w:t>
      </w:r>
      <w:r>
        <w:rPr>
          <w:w w:val="105"/>
        </w:rPr>
        <w:t>among</w:t>
      </w:r>
      <w:r>
        <w:rPr>
          <w:spacing w:val="-3"/>
          <w:w w:val="105"/>
        </w:rPr>
        <w:t> </w:t>
      </w:r>
      <w:r>
        <w:rPr>
          <w:w w:val="105"/>
        </w:rPr>
        <w:t>our</w:t>
      </w:r>
      <w:r>
        <w:rPr>
          <w:spacing w:val="-3"/>
          <w:w w:val="105"/>
        </w:rPr>
        <w:t> </w:t>
      </w:r>
      <w:r>
        <w:rPr>
          <w:w w:val="105"/>
        </w:rPr>
        <w:t>employees</w:t>
      </w:r>
      <w:r>
        <w:rPr>
          <w:spacing w:val="-3"/>
          <w:w w:val="105"/>
        </w:rPr>
        <w:t> </w:t>
      </w:r>
      <w:r>
        <w:rPr>
          <w:w w:val="105"/>
        </w:rPr>
        <w:t>and</w:t>
      </w:r>
      <w:r>
        <w:rPr>
          <w:spacing w:val="-3"/>
          <w:w w:val="105"/>
        </w:rPr>
        <w:t> </w:t>
      </w:r>
      <w:r>
        <w:rPr>
          <w:w w:val="105"/>
        </w:rPr>
        <w:t>in</w:t>
      </w:r>
      <w:r>
        <w:rPr>
          <w:spacing w:val="-3"/>
          <w:w w:val="105"/>
        </w:rPr>
        <w:t> </w:t>
      </w:r>
      <w:r>
        <w:rPr>
          <w:w w:val="105"/>
        </w:rPr>
        <w:t>the</w:t>
      </w:r>
      <w:r>
        <w:rPr>
          <w:spacing w:val="-3"/>
          <w:w w:val="105"/>
        </w:rPr>
        <w:t> </w:t>
      </w:r>
      <w:r>
        <w:rPr>
          <w:w w:val="105"/>
        </w:rPr>
        <w:t>communities</w:t>
      </w:r>
      <w:r>
        <w:rPr>
          <w:spacing w:val="-3"/>
          <w:w w:val="105"/>
        </w:rPr>
        <w:t> </w:t>
      </w:r>
      <w:r>
        <w:rPr>
          <w:w w:val="105"/>
        </w:rPr>
        <w:t>in</w:t>
      </w:r>
      <w:r>
        <w:rPr>
          <w:spacing w:val="-3"/>
          <w:w w:val="105"/>
        </w:rPr>
        <w:t> </w:t>
      </w:r>
      <w:r>
        <w:rPr>
          <w:w w:val="105"/>
        </w:rPr>
        <w:t>which</w:t>
      </w:r>
      <w:r>
        <w:rPr>
          <w:spacing w:val="-3"/>
          <w:w w:val="105"/>
        </w:rPr>
        <w:t> </w:t>
      </w:r>
      <w:r>
        <w:rPr>
          <w:w w:val="105"/>
        </w:rPr>
        <w:t>we</w:t>
      </w:r>
      <w:r>
        <w:rPr>
          <w:spacing w:val="-3"/>
          <w:w w:val="105"/>
        </w:rPr>
        <w:t> </w:t>
      </w:r>
      <w:r>
        <w:rPr>
          <w:w w:val="105"/>
        </w:rPr>
        <w:t>operate,</w:t>
      </w:r>
      <w:r>
        <w:rPr>
          <w:spacing w:val="-3"/>
          <w:w w:val="105"/>
        </w:rPr>
        <w:t> </w:t>
      </w:r>
      <w:r>
        <w:rPr>
          <w:w w:val="105"/>
        </w:rPr>
        <w:t>supplying</w:t>
      </w:r>
      <w:r>
        <w:rPr>
          <w:spacing w:val="-3"/>
          <w:w w:val="105"/>
        </w:rPr>
        <w:t> </w:t>
      </w:r>
      <w:r>
        <w:rPr>
          <w:w w:val="105"/>
        </w:rPr>
        <w:t>more</w:t>
      </w:r>
      <w:r>
        <w:rPr>
          <w:spacing w:val="-3"/>
          <w:w w:val="105"/>
        </w:rPr>
        <w:t> </w:t>
      </w:r>
      <w:r>
        <w:rPr>
          <w:w w:val="105"/>
        </w:rPr>
        <w:t>than</w:t>
      </w:r>
      <w:r>
        <w:rPr>
          <w:spacing w:val="-3"/>
          <w:w w:val="105"/>
        </w:rPr>
        <w:t> </w:t>
      </w:r>
      <w:r>
        <w:rPr>
          <w:w w:val="105"/>
        </w:rPr>
        <w:t>100,000</w:t>
      </w:r>
      <w:r>
        <w:rPr>
          <w:spacing w:val="-3"/>
          <w:w w:val="105"/>
        </w:rPr>
        <w:t> </w:t>
      </w:r>
      <w:r>
        <w:rPr>
          <w:w w:val="105"/>
        </w:rPr>
        <w:t>vaccines</w:t>
      </w:r>
      <w:r>
        <w:rPr>
          <w:spacing w:val="-3"/>
          <w:w w:val="105"/>
        </w:rPr>
        <w:t> </w:t>
      </w:r>
      <w:r>
        <w:rPr>
          <w:w w:val="105"/>
        </w:rPr>
        <w:t>to</w:t>
      </w:r>
      <w:r>
        <w:rPr>
          <w:spacing w:val="-3"/>
          <w:w w:val="105"/>
        </w:rPr>
        <w:t> </w:t>
      </w:r>
      <w:r>
        <w:rPr>
          <w:w w:val="105"/>
        </w:rPr>
        <w:t>employees,</w:t>
      </w:r>
      <w:r>
        <w:rPr>
          <w:spacing w:val="-3"/>
          <w:w w:val="105"/>
        </w:rPr>
        <w:t> </w:t>
      </w:r>
      <w:r>
        <w:rPr>
          <w:w w:val="105"/>
        </w:rPr>
        <w:t>families</w:t>
      </w:r>
      <w:r>
        <w:rPr>
          <w:spacing w:val="-3"/>
          <w:w w:val="105"/>
        </w:rPr>
        <w:t> </w:t>
      </w:r>
      <w:r>
        <w:rPr>
          <w:w w:val="105"/>
        </w:rPr>
        <w:t>and community members in locations such as Reynosa Mexico, Asan Korea and Pune India.</w:t>
      </w:r>
    </w:p>
    <w:p>
      <w:pPr>
        <w:pStyle w:val="BodyText"/>
        <w:spacing w:before="17"/>
      </w:pPr>
    </w:p>
    <w:p>
      <w:pPr>
        <w:pStyle w:val="BodyText"/>
        <w:ind w:left="48"/>
        <w:jc w:val="center"/>
      </w:pPr>
      <w:r>
        <w:rPr>
          <w:spacing w:val="-5"/>
          <w:w w:val="105"/>
        </w:rPr>
        <w:t>10</w:t>
      </w:r>
    </w:p>
    <w:p>
      <w:pPr>
        <w:pStyle w:val="BodyText"/>
        <w:rPr>
          <w:sz w:val="6"/>
        </w:rPr>
      </w:pPr>
      <w:r>
        <w:rPr/>
        <mc:AlternateContent>
          <mc:Choice Requires="wps">
            <w:drawing>
              <wp:anchor distT="0" distB="0" distL="0" distR="0" allowOverlap="1" layoutInCell="1" locked="0" behindDoc="1" simplePos="0" relativeHeight="487593984">
                <wp:simplePos x="0" y="0"/>
                <wp:positionH relativeFrom="page">
                  <wp:posOffset>226488</wp:posOffset>
                </wp:positionH>
                <wp:positionV relativeFrom="paragraph">
                  <wp:posOffset>59051</wp:posOffset>
                </wp:positionV>
                <wp:extent cx="7312659" cy="1651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22496;mso-wrap-distance-left:0;mso-wrap-distance-right:0" id="docshape14"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3"/>
      </w:pPr>
      <w:r>
        <w:rPr>
          <w:w w:val="105"/>
        </w:rPr>
        <w:t>Executive</w:t>
      </w:r>
      <w:r>
        <w:rPr>
          <w:spacing w:val="-11"/>
          <w:w w:val="105"/>
        </w:rPr>
        <w:t> </w:t>
      </w:r>
      <w:r>
        <w:rPr>
          <w:w w:val="105"/>
        </w:rPr>
        <w:t>Officers</w:t>
      </w:r>
      <w:r>
        <w:rPr>
          <w:spacing w:val="-10"/>
          <w:w w:val="105"/>
        </w:rPr>
        <w:t> </w:t>
      </w:r>
      <w:r>
        <w:rPr>
          <w:w w:val="105"/>
        </w:rPr>
        <w:t>of</w:t>
      </w:r>
      <w:r>
        <w:rPr>
          <w:spacing w:val="-11"/>
          <w:w w:val="105"/>
        </w:rPr>
        <w:t> </w:t>
      </w:r>
      <w:r>
        <w:rPr>
          <w:w w:val="105"/>
        </w:rPr>
        <w:t>the</w:t>
      </w:r>
      <w:r>
        <w:rPr>
          <w:spacing w:val="-10"/>
          <w:w w:val="105"/>
        </w:rPr>
        <w:t> </w:t>
      </w:r>
      <w:r>
        <w:rPr>
          <w:spacing w:val="-2"/>
          <w:w w:val="105"/>
        </w:rPr>
        <w:t>Registrant</w:t>
      </w:r>
    </w:p>
    <w:p>
      <w:pPr>
        <w:pStyle w:val="BodyText"/>
        <w:spacing w:before="40"/>
        <w:rPr>
          <w:b/>
          <w:i/>
        </w:rPr>
      </w:pPr>
    </w:p>
    <w:p>
      <w:pPr>
        <w:spacing w:before="0"/>
        <w:ind w:left="156" w:right="0" w:firstLine="0"/>
        <w:jc w:val="left"/>
        <w:rPr>
          <w:i/>
          <w:sz w:val="16"/>
        </w:rPr>
      </w:pPr>
      <w:r>
        <w:rPr>
          <w:w w:val="105"/>
          <w:sz w:val="16"/>
        </w:rPr>
        <w:t>John</w:t>
      </w:r>
      <w:r>
        <w:rPr>
          <w:spacing w:val="-10"/>
          <w:w w:val="105"/>
          <w:sz w:val="16"/>
        </w:rPr>
        <w:t> </w:t>
      </w:r>
      <w:r>
        <w:rPr>
          <w:w w:val="105"/>
          <w:sz w:val="16"/>
        </w:rPr>
        <w:t>P.</w:t>
      </w:r>
      <w:r>
        <w:rPr>
          <w:spacing w:val="-9"/>
          <w:w w:val="105"/>
          <w:sz w:val="16"/>
        </w:rPr>
        <w:t> </w:t>
      </w:r>
      <w:r>
        <w:rPr>
          <w:w w:val="105"/>
          <w:sz w:val="16"/>
        </w:rPr>
        <w:t>Bayne,</w:t>
      </w:r>
      <w:r>
        <w:rPr>
          <w:spacing w:val="-9"/>
          <w:w w:val="105"/>
          <w:sz w:val="16"/>
        </w:rPr>
        <w:t> </w:t>
      </w:r>
      <w:r>
        <w:rPr>
          <w:w w:val="105"/>
          <w:sz w:val="16"/>
        </w:rPr>
        <w:t>Jr.</w:t>
      </w:r>
      <w:r>
        <w:rPr>
          <w:spacing w:val="25"/>
          <w:w w:val="105"/>
          <w:sz w:val="16"/>
        </w:rPr>
        <w:t> </w:t>
      </w:r>
      <w:r>
        <w:rPr>
          <w:i/>
          <w:w w:val="105"/>
          <w:sz w:val="16"/>
        </w:rPr>
        <w:t>Senior</w:t>
      </w:r>
      <w:r>
        <w:rPr>
          <w:i/>
          <w:spacing w:val="-10"/>
          <w:w w:val="105"/>
          <w:sz w:val="16"/>
        </w:rPr>
        <w:t> </w:t>
      </w:r>
      <w:r>
        <w:rPr>
          <w:i/>
          <w:w w:val="105"/>
          <w:sz w:val="16"/>
        </w:rPr>
        <w:t>Vice</w:t>
      </w:r>
      <w:r>
        <w:rPr>
          <w:i/>
          <w:spacing w:val="-9"/>
          <w:w w:val="105"/>
          <w:sz w:val="16"/>
        </w:rPr>
        <w:t> </w:t>
      </w:r>
      <w:r>
        <w:rPr>
          <w:i/>
          <w:w w:val="105"/>
          <w:sz w:val="16"/>
        </w:rPr>
        <w:t>President</w:t>
      </w:r>
      <w:r>
        <w:rPr>
          <w:i/>
          <w:spacing w:val="-9"/>
          <w:w w:val="105"/>
          <w:sz w:val="16"/>
        </w:rPr>
        <w:t> </w:t>
      </w:r>
      <w:r>
        <w:rPr>
          <w:i/>
          <w:w w:val="105"/>
          <w:sz w:val="16"/>
        </w:rPr>
        <w:t>&amp;</w:t>
      </w:r>
      <w:r>
        <w:rPr>
          <w:i/>
          <w:spacing w:val="-9"/>
          <w:w w:val="105"/>
          <w:sz w:val="16"/>
        </w:rPr>
        <w:t> </w:t>
      </w:r>
      <w:r>
        <w:rPr>
          <w:i/>
          <w:w w:val="105"/>
          <w:sz w:val="16"/>
        </w:rPr>
        <w:t>General</w:t>
      </w:r>
      <w:r>
        <w:rPr>
          <w:i/>
          <w:spacing w:val="-9"/>
          <w:w w:val="105"/>
          <w:sz w:val="16"/>
        </w:rPr>
        <w:t> </w:t>
      </w:r>
      <w:r>
        <w:rPr>
          <w:i/>
          <w:w w:val="105"/>
          <w:sz w:val="16"/>
        </w:rPr>
        <w:t>manager,</w:t>
      </w:r>
      <w:r>
        <w:rPr>
          <w:i/>
          <w:spacing w:val="-8"/>
          <w:w w:val="105"/>
          <w:sz w:val="16"/>
        </w:rPr>
        <w:t> </w:t>
      </w:r>
      <w:r>
        <w:rPr>
          <w:i/>
          <w:w w:val="105"/>
          <w:sz w:val="16"/>
        </w:rPr>
        <w:t>Mobile</w:t>
      </w:r>
      <w:r>
        <w:rPr>
          <w:i/>
          <w:spacing w:val="-9"/>
          <w:w w:val="105"/>
          <w:sz w:val="16"/>
        </w:rPr>
        <w:t> </w:t>
      </w:r>
      <w:r>
        <w:rPr>
          <w:i/>
          <w:w w:val="105"/>
          <w:sz w:val="16"/>
        </w:rPr>
        <w:t>Consumer</w:t>
      </w:r>
      <w:r>
        <w:rPr>
          <w:i/>
          <w:spacing w:val="-9"/>
          <w:w w:val="105"/>
          <w:sz w:val="16"/>
        </w:rPr>
        <w:t> </w:t>
      </w:r>
      <w:r>
        <w:rPr>
          <w:i/>
          <w:spacing w:val="-2"/>
          <w:w w:val="105"/>
          <w:sz w:val="16"/>
        </w:rPr>
        <w:t>Electronics</w:t>
      </w:r>
    </w:p>
    <w:p>
      <w:pPr>
        <w:pStyle w:val="BodyText"/>
        <w:spacing w:line="266" w:lineRule="auto" w:before="20"/>
        <w:ind w:left="156" w:right="117"/>
      </w:pPr>
      <w:r>
        <w:rPr>
          <w:w w:val="105"/>
        </w:rPr>
        <w:t>Mr.</w:t>
      </w:r>
      <w:r>
        <w:rPr>
          <w:spacing w:val="-8"/>
          <w:w w:val="105"/>
        </w:rPr>
        <w:t> </w:t>
      </w:r>
      <w:r>
        <w:rPr>
          <w:w w:val="105"/>
        </w:rPr>
        <w:t>Bayne</w:t>
      </w:r>
      <w:r>
        <w:rPr>
          <w:spacing w:val="-8"/>
          <w:w w:val="105"/>
        </w:rPr>
        <w:t> </w:t>
      </w:r>
      <w:r>
        <w:rPr>
          <w:w w:val="105"/>
        </w:rPr>
        <w:t>joined</w:t>
      </w:r>
      <w:r>
        <w:rPr>
          <w:spacing w:val="-8"/>
          <w:w w:val="105"/>
        </w:rPr>
        <w:t> </w:t>
      </w:r>
      <w:r>
        <w:rPr>
          <w:w w:val="105"/>
        </w:rPr>
        <w:t>Corning</w:t>
      </w:r>
      <w:r>
        <w:rPr>
          <w:spacing w:val="-8"/>
          <w:w w:val="105"/>
        </w:rPr>
        <w:t> </w:t>
      </w:r>
      <w:r>
        <w:rPr>
          <w:w w:val="105"/>
        </w:rPr>
        <w:t>in</w:t>
      </w:r>
      <w:r>
        <w:rPr>
          <w:spacing w:val="-8"/>
          <w:w w:val="105"/>
        </w:rPr>
        <w:t> </w:t>
      </w:r>
      <w:r>
        <w:rPr>
          <w:w w:val="105"/>
        </w:rPr>
        <w:t>1995</w:t>
      </w:r>
      <w:r>
        <w:rPr>
          <w:spacing w:val="-8"/>
          <w:w w:val="105"/>
        </w:rPr>
        <w:t> </w:t>
      </w:r>
      <w:r>
        <w:rPr>
          <w:w w:val="105"/>
        </w:rPr>
        <w:t>as</w:t>
      </w:r>
      <w:r>
        <w:rPr>
          <w:spacing w:val="-8"/>
          <w:w w:val="105"/>
        </w:rPr>
        <w:t> </w:t>
      </w:r>
      <w:r>
        <w:rPr>
          <w:w w:val="105"/>
        </w:rPr>
        <w:t>the</w:t>
      </w:r>
      <w:r>
        <w:rPr>
          <w:spacing w:val="-8"/>
          <w:w w:val="105"/>
        </w:rPr>
        <w:t> </w:t>
      </w:r>
      <w:r>
        <w:rPr>
          <w:w w:val="105"/>
        </w:rPr>
        <w:t>Fallbrook</w:t>
      </w:r>
      <w:r>
        <w:rPr>
          <w:spacing w:val="-8"/>
          <w:w w:val="105"/>
        </w:rPr>
        <w:t> </w:t>
      </w:r>
      <w:r>
        <w:rPr>
          <w:w w:val="105"/>
        </w:rPr>
        <w:t>plant</w:t>
      </w:r>
      <w:r>
        <w:rPr>
          <w:spacing w:val="-8"/>
          <w:w w:val="105"/>
        </w:rPr>
        <w:t> </w:t>
      </w:r>
      <w:r>
        <w:rPr>
          <w:w w:val="105"/>
        </w:rPr>
        <w:t>controller,</w:t>
      </w:r>
      <w:r>
        <w:rPr>
          <w:spacing w:val="-8"/>
          <w:w w:val="105"/>
        </w:rPr>
        <w:t> </w:t>
      </w:r>
      <w:r>
        <w:rPr>
          <w:w w:val="105"/>
        </w:rPr>
        <w:t>and</w:t>
      </w:r>
      <w:r>
        <w:rPr>
          <w:spacing w:val="-8"/>
          <w:w w:val="105"/>
        </w:rPr>
        <w:t> </w:t>
      </w:r>
      <w:r>
        <w:rPr>
          <w:w w:val="105"/>
        </w:rPr>
        <w:t>in</w:t>
      </w:r>
      <w:r>
        <w:rPr>
          <w:spacing w:val="-8"/>
          <w:w w:val="105"/>
        </w:rPr>
        <w:t> </w:t>
      </w:r>
      <w:r>
        <w:rPr>
          <w:w w:val="105"/>
        </w:rPr>
        <w:t>1997</w:t>
      </w:r>
      <w:r>
        <w:rPr>
          <w:spacing w:val="-8"/>
          <w:w w:val="105"/>
        </w:rPr>
        <w:t> </w:t>
      </w:r>
      <w:r>
        <w:rPr>
          <w:w w:val="105"/>
        </w:rPr>
        <w:t>became</w:t>
      </w:r>
      <w:r>
        <w:rPr>
          <w:spacing w:val="-8"/>
          <w:w w:val="105"/>
        </w:rPr>
        <w:t> </w:t>
      </w:r>
      <w:r>
        <w:rPr>
          <w:w w:val="105"/>
        </w:rPr>
        <w:t>an</w:t>
      </w:r>
      <w:r>
        <w:rPr>
          <w:spacing w:val="-8"/>
          <w:w w:val="105"/>
        </w:rPr>
        <w:t> </w:t>
      </w:r>
      <w:r>
        <w:rPr>
          <w:w w:val="105"/>
        </w:rPr>
        <w:t>international</w:t>
      </w:r>
      <w:r>
        <w:rPr>
          <w:spacing w:val="-8"/>
          <w:w w:val="105"/>
        </w:rPr>
        <w:t> </w:t>
      </w:r>
      <w:r>
        <w:rPr>
          <w:w w:val="105"/>
        </w:rPr>
        <w:t>business</w:t>
      </w:r>
      <w:r>
        <w:rPr>
          <w:spacing w:val="-8"/>
          <w:w w:val="105"/>
        </w:rPr>
        <w:t> </w:t>
      </w:r>
      <w:r>
        <w:rPr>
          <w:w w:val="105"/>
        </w:rPr>
        <w:t>controller</w:t>
      </w:r>
      <w:r>
        <w:rPr>
          <w:spacing w:val="-8"/>
          <w:w w:val="105"/>
        </w:rPr>
        <w:t> </w:t>
      </w:r>
      <w:r>
        <w:rPr>
          <w:w w:val="105"/>
        </w:rPr>
        <w:t>in</w:t>
      </w:r>
      <w:r>
        <w:rPr>
          <w:spacing w:val="-8"/>
          <w:w w:val="105"/>
        </w:rPr>
        <w:t> </w:t>
      </w:r>
      <w:r>
        <w:rPr>
          <w:w w:val="105"/>
        </w:rPr>
        <w:t>the</w:t>
      </w:r>
      <w:r>
        <w:rPr>
          <w:spacing w:val="-8"/>
          <w:w w:val="105"/>
        </w:rPr>
        <w:t> </w:t>
      </w:r>
      <w:r>
        <w:rPr>
          <w:w w:val="105"/>
        </w:rPr>
        <w:t>Optical</w:t>
      </w:r>
      <w:r>
        <w:rPr>
          <w:spacing w:val="-8"/>
          <w:w w:val="105"/>
        </w:rPr>
        <w:t> </w:t>
      </w:r>
      <w:r>
        <w:rPr>
          <w:w w:val="105"/>
        </w:rPr>
        <w:t>Fiber</w:t>
      </w:r>
      <w:r>
        <w:rPr>
          <w:spacing w:val="-8"/>
          <w:w w:val="105"/>
        </w:rPr>
        <w:t> </w:t>
      </w:r>
      <w:r>
        <w:rPr>
          <w:w w:val="105"/>
        </w:rPr>
        <w:t>division.</w:t>
      </w:r>
      <w:r>
        <w:rPr>
          <w:spacing w:val="-8"/>
          <w:w w:val="105"/>
        </w:rPr>
        <w:t> </w:t>
      </w:r>
      <w:r>
        <w:rPr>
          <w:w w:val="105"/>
        </w:rPr>
        <w:t>From</w:t>
      </w:r>
      <w:r>
        <w:rPr>
          <w:spacing w:val="-8"/>
          <w:w w:val="105"/>
        </w:rPr>
        <w:t> </w:t>
      </w:r>
      <w:r>
        <w:rPr>
          <w:w w:val="105"/>
        </w:rPr>
        <w:t>1999</w:t>
      </w:r>
      <w:r>
        <w:rPr>
          <w:spacing w:val="-8"/>
          <w:w w:val="105"/>
        </w:rPr>
        <w:t> </w:t>
      </w:r>
      <w:r>
        <w:rPr>
          <w:w w:val="105"/>
        </w:rPr>
        <w:t>to</w:t>
      </w:r>
      <w:r>
        <w:rPr>
          <w:spacing w:val="-8"/>
          <w:w w:val="105"/>
        </w:rPr>
        <w:t> </w:t>
      </w:r>
      <w:r>
        <w:rPr>
          <w:w w:val="105"/>
        </w:rPr>
        <w:t>2003 he</w:t>
      </w:r>
      <w:r>
        <w:rPr>
          <w:spacing w:val="-2"/>
          <w:w w:val="105"/>
        </w:rPr>
        <w:t> </w:t>
      </w:r>
      <w:r>
        <w:rPr>
          <w:w w:val="105"/>
        </w:rPr>
        <w:t>held</w:t>
      </w:r>
      <w:r>
        <w:rPr>
          <w:spacing w:val="-2"/>
          <w:w w:val="105"/>
        </w:rPr>
        <w:t> </w:t>
      </w:r>
      <w:r>
        <w:rPr>
          <w:w w:val="105"/>
        </w:rPr>
        <w:t>a</w:t>
      </w:r>
      <w:r>
        <w:rPr>
          <w:spacing w:val="-2"/>
          <w:w w:val="105"/>
        </w:rPr>
        <w:t> </w:t>
      </w:r>
      <w:r>
        <w:rPr>
          <w:w w:val="105"/>
        </w:rPr>
        <w:t>variety</w:t>
      </w:r>
      <w:r>
        <w:rPr>
          <w:spacing w:val="-2"/>
          <w:w w:val="105"/>
        </w:rPr>
        <w:t> </w:t>
      </w:r>
      <w:r>
        <w:rPr>
          <w:w w:val="105"/>
        </w:rPr>
        <w:t>of</w:t>
      </w:r>
      <w:r>
        <w:rPr>
          <w:spacing w:val="-2"/>
          <w:w w:val="105"/>
        </w:rPr>
        <w:t> </w:t>
      </w:r>
      <w:r>
        <w:rPr>
          <w:w w:val="105"/>
        </w:rPr>
        <w:t>management</w:t>
      </w:r>
      <w:r>
        <w:rPr>
          <w:spacing w:val="-2"/>
          <w:w w:val="105"/>
        </w:rPr>
        <w:t> </w:t>
      </w:r>
      <w:r>
        <w:rPr>
          <w:w w:val="105"/>
        </w:rPr>
        <w:t>positions</w:t>
      </w:r>
      <w:r>
        <w:rPr>
          <w:spacing w:val="-2"/>
          <w:w w:val="105"/>
        </w:rPr>
        <w:t> </w:t>
      </w:r>
      <w:r>
        <w:rPr>
          <w:w w:val="105"/>
        </w:rPr>
        <w:t>in</w:t>
      </w:r>
      <w:r>
        <w:rPr>
          <w:spacing w:val="-2"/>
          <w:w w:val="105"/>
        </w:rPr>
        <w:t> </w:t>
      </w:r>
      <w:r>
        <w:rPr>
          <w:w w:val="105"/>
        </w:rPr>
        <w:t>Photonic</w:t>
      </w:r>
      <w:r>
        <w:rPr>
          <w:spacing w:val="-2"/>
          <w:w w:val="105"/>
        </w:rPr>
        <w:t> </w:t>
      </w:r>
      <w:r>
        <w:rPr>
          <w:w w:val="105"/>
        </w:rPr>
        <w:t>Technologies.</w:t>
      </w:r>
      <w:r>
        <w:rPr>
          <w:spacing w:val="-2"/>
          <w:w w:val="105"/>
        </w:rPr>
        <w:t> </w:t>
      </w:r>
      <w:r>
        <w:rPr>
          <w:w w:val="105"/>
        </w:rPr>
        <w:t>In</w:t>
      </w:r>
      <w:r>
        <w:rPr>
          <w:spacing w:val="-2"/>
          <w:w w:val="105"/>
        </w:rPr>
        <w:t> </w:t>
      </w:r>
      <w:r>
        <w:rPr>
          <w:w w:val="105"/>
        </w:rPr>
        <w:t>2003</w:t>
      </w:r>
      <w:r>
        <w:rPr>
          <w:spacing w:val="-2"/>
          <w:w w:val="105"/>
        </w:rPr>
        <w:t> </w:t>
      </w:r>
      <w:r>
        <w:rPr>
          <w:w w:val="105"/>
        </w:rPr>
        <w:t>he</w:t>
      </w:r>
      <w:r>
        <w:rPr>
          <w:spacing w:val="-2"/>
          <w:w w:val="105"/>
        </w:rPr>
        <w:t> </w:t>
      </w:r>
      <w:r>
        <w:rPr>
          <w:w w:val="105"/>
        </w:rPr>
        <w:t>joined</w:t>
      </w:r>
      <w:r>
        <w:rPr>
          <w:spacing w:val="-2"/>
          <w:w w:val="105"/>
        </w:rPr>
        <w:t> </w:t>
      </w:r>
      <w:r>
        <w:rPr>
          <w:w w:val="105"/>
        </w:rPr>
        <w:t>Display</w:t>
      </w:r>
      <w:r>
        <w:rPr>
          <w:spacing w:val="-2"/>
          <w:w w:val="105"/>
        </w:rPr>
        <w:t> </w:t>
      </w:r>
      <w:r>
        <w:rPr>
          <w:w w:val="105"/>
        </w:rPr>
        <w:t>Technologies</w:t>
      </w:r>
      <w:r>
        <w:rPr>
          <w:spacing w:val="-2"/>
          <w:w w:val="105"/>
        </w:rPr>
        <w:t> </w:t>
      </w:r>
      <w:r>
        <w:rPr>
          <w:w w:val="105"/>
        </w:rPr>
        <w:t>and</w:t>
      </w:r>
      <w:r>
        <w:rPr>
          <w:spacing w:val="-2"/>
          <w:w w:val="105"/>
        </w:rPr>
        <w:t> </w:t>
      </w:r>
      <w:r>
        <w:rPr>
          <w:w w:val="105"/>
        </w:rPr>
        <w:t>in</w:t>
      </w:r>
      <w:r>
        <w:rPr>
          <w:spacing w:val="-2"/>
          <w:w w:val="105"/>
        </w:rPr>
        <w:t> </w:t>
      </w:r>
      <w:r>
        <w:rPr>
          <w:w w:val="105"/>
        </w:rPr>
        <w:t>2006,</w:t>
      </w:r>
      <w:r>
        <w:rPr>
          <w:spacing w:val="-2"/>
          <w:w w:val="105"/>
        </w:rPr>
        <w:t> </w:t>
      </w:r>
      <w:r>
        <w:rPr>
          <w:w w:val="105"/>
        </w:rPr>
        <w:t>he</w:t>
      </w:r>
      <w:r>
        <w:rPr>
          <w:spacing w:val="-2"/>
          <w:w w:val="105"/>
        </w:rPr>
        <w:t> </w:t>
      </w:r>
      <w:r>
        <w:rPr>
          <w:w w:val="105"/>
        </w:rPr>
        <w:t>was</w:t>
      </w:r>
      <w:r>
        <w:rPr>
          <w:spacing w:val="-2"/>
          <w:w w:val="105"/>
        </w:rPr>
        <w:t> </w:t>
      </w:r>
      <w:r>
        <w:rPr>
          <w:w w:val="105"/>
        </w:rPr>
        <w:t>named</w:t>
      </w:r>
      <w:r>
        <w:rPr>
          <w:spacing w:val="-2"/>
          <w:w w:val="105"/>
        </w:rPr>
        <w:t> </w:t>
      </w:r>
      <w:r>
        <w:rPr>
          <w:w w:val="105"/>
        </w:rPr>
        <w:t>president,</w:t>
      </w:r>
      <w:r>
        <w:rPr>
          <w:spacing w:val="-2"/>
          <w:w w:val="105"/>
        </w:rPr>
        <w:t> </w:t>
      </w:r>
      <w:r>
        <w:rPr>
          <w:w w:val="105"/>
        </w:rPr>
        <w:t>Display</w:t>
      </w:r>
      <w:r>
        <w:rPr>
          <w:spacing w:val="-2"/>
          <w:w w:val="105"/>
        </w:rPr>
        <w:t> </w:t>
      </w:r>
      <w:r>
        <w:rPr>
          <w:w w:val="105"/>
        </w:rPr>
        <w:t>Technologies, China.</w:t>
      </w:r>
      <w:r>
        <w:rPr>
          <w:spacing w:val="-2"/>
          <w:w w:val="105"/>
        </w:rPr>
        <w:t> </w:t>
      </w:r>
      <w:r>
        <w:rPr>
          <w:w w:val="105"/>
        </w:rPr>
        <w:t>In</w:t>
      </w:r>
      <w:r>
        <w:rPr>
          <w:spacing w:val="-2"/>
          <w:w w:val="105"/>
        </w:rPr>
        <w:t> </w:t>
      </w:r>
      <w:r>
        <w:rPr>
          <w:w w:val="105"/>
        </w:rPr>
        <w:t>2009</w:t>
      </w:r>
      <w:r>
        <w:rPr>
          <w:spacing w:val="-2"/>
          <w:w w:val="105"/>
        </w:rPr>
        <w:t> </w:t>
      </w:r>
      <w:r>
        <w:rPr>
          <w:w w:val="105"/>
        </w:rPr>
        <w:t>he</w:t>
      </w:r>
      <w:r>
        <w:rPr>
          <w:spacing w:val="-2"/>
          <w:w w:val="105"/>
        </w:rPr>
        <w:t> </w:t>
      </w:r>
      <w:r>
        <w:rPr>
          <w:w w:val="105"/>
        </w:rPr>
        <w:t>became</w:t>
      </w:r>
      <w:r>
        <w:rPr>
          <w:spacing w:val="-2"/>
          <w:w w:val="105"/>
        </w:rPr>
        <w:t> </w:t>
      </w:r>
      <w:r>
        <w:rPr>
          <w:w w:val="105"/>
        </w:rPr>
        <w:t>director</w:t>
      </w:r>
      <w:r>
        <w:rPr>
          <w:spacing w:val="-2"/>
          <w:w w:val="105"/>
        </w:rPr>
        <w:t> </w:t>
      </w:r>
      <w:r>
        <w:rPr>
          <w:w w:val="105"/>
        </w:rPr>
        <w:t>of</w:t>
      </w:r>
      <w:r>
        <w:rPr>
          <w:spacing w:val="-2"/>
          <w:w w:val="105"/>
        </w:rPr>
        <w:t> </w:t>
      </w:r>
      <w:r>
        <w:rPr>
          <w:w w:val="105"/>
        </w:rPr>
        <w:t>strategy,</w:t>
      </w:r>
      <w:r>
        <w:rPr>
          <w:spacing w:val="-2"/>
          <w:w w:val="105"/>
        </w:rPr>
        <w:t> </w:t>
      </w:r>
      <w:r>
        <w:rPr>
          <w:w w:val="105"/>
        </w:rPr>
        <w:t>Display</w:t>
      </w:r>
      <w:r>
        <w:rPr>
          <w:spacing w:val="-2"/>
          <w:w w:val="105"/>
        </w:rPr>
        <w:t> </w:t>
      </w:r>
      <w:r>
        <w:rPr>
          <w:w w:val="105"/>
        </w:rPr>
        <w:t>Technologies.</w:t>
      </w:r>
      <w:r>
        <w:rPr>
          <w:spacing w:val="-2"/>
          <w:w w:val="105"/>
        </w:rPr>
        <w:t> </w:t>
      </w:r>
      <w:r>
        <w:rPr>
          <w:w w:val="105"/>
        </w:rPr>
        <w:t>Beginning</w:t>
      </w:r>
      <w:r>
        <w:rPr>
          <w:spacing w:val="-2"/>
          <w:w w:val="105"/>
        </w:rPr>
        <w:t> </w:t>
      </w:r>
      <w:r>
        <w:rPr>
          <w:w w:val="105"/>
        </w:rPr>
        <w:t>in</w:t>
      </w:r>
      <w:r>
        <w:rPr>
          <w:spacing w:val="-2"/>
          <w:w w:val="105"/>
        </w:rPr>
        <w:t> </w:t>
      </w:r>
      <w:r>
        <w:rPr>
          <w:w w:val="105"/>
        </w:rPr>
        <w:t>2012</w:t>
      </w:r>
      <w:r>
        <w:rPr>
          <w:spacing w:val="-2"/>
          <w:w w:val="105"/>
        </w:rPr>
        <w:t> </w:t>
      </w:r>
      <w:r>
        <w:rPr>
          <w:w w:val="105"/>
        </w:rPr>
        <w:t>he</w:t>
      </w:r>
      <w:r>
        <w:rPr>
          <w:spacing w:val="-2"/>
          <w:w w:val="105"/>
        </w:rPr>
        <w:t> </w:t>
      </w:r>
      <w:r>
        <w:rPr>
          <w:w w:val="105"/>
        </w:rPr>
        <w:t>was</w:t>
      </w:r>
      <w:r>
        <w:rPr>
          <w:spacing w:val="-2"/>
          <w:w w:val="105"/>
        </w:rPr>
        <w:t> </w:t>
      </w:r>
      <w:r>
        <w:rPr>
          <w:w w:val="105"/>
        </w:rPr>
        <w:t>vice</w:t>
      </w:r>
      <w:r>
        <w:rPr>
          <w:spacing w:val="-2"/>
          <w:w w:val="105"/>
        </w:rPr>
        <w:t> </w:t>
      </w:r>
      <w:r>
        <w:rPr>
          <w:w w:val="105"/>
        </w:rPr>
        <w:t>president</w:t>
      </w:r>
      <w:r>
        <w:rPr>
          <w:spacing w:val="-2"/>
          <w:w w:val="105"/>
        </w:rPr>
        <w:t> </w:t>
      </w:r>
      <w:r>
        <w:rPr>
          <w:w w:val="105"/>
        </w:rPr>
        <w:t>and</w:t>
      </w:r>
      <w:r>
        <w:rPr>
          <w:spacing w:val="-2"/>
          <w:w w:val="105"/>
        </w:rPr>
        <w:t> </w:t>
      </w:r>
      <w:r>
        <w:rPr>
          <w:w w:val="105"/>
        </w:rPr>
        <w:t>general</w:t>
      </w:r>
      <w:r>
        <w:rPr>
          <w:spacing w:val="-2"/>
          <w:w w:val="105"/>
        </w:rPr>
        <w:t> </w:t>
      </w:r>
      <w:r>
        <w:rPr>
          <w:w w:val="105"/>
        </w:rPr>
        <w:t>manager</w:t>
      </w:r>
      <w:r>
        <w:rPr>
          <w:spacing w:val="-2"/>
          <w:w w:val="105"/>
        </w:rPr>
        <w:t> </w:t>
      </w:r>
      <w:r>
        <w:rPr>
          <w:w w:val="105"/>
        </w:rPr>
        <w:t>for</w:t>
      </w:r>
      <w:r>
        <w:rPr>
          <w:spacing w:val="-2"/>
          <w:w w:val="105"/>
        </w:rPr>
        <w:t> </w:t>
      </w:r>
      <w:r>
        <w:rPr>
          <w:w w:val="105"/>
        </w:rPr>
        <w:t>High</w:t>
      </w:r>
      <w:r>
        <w:rPr>
          <w:spacing w:val="-2"/>
          <w:w w:val="105"/>
        </w:rPr>
        <w:t> </w:t>
      </w:r>
      <w:r>
        <w:rPr>
          <w:w w:val="105"/>
        </w:rPr>
        <w:t>Performance</w:t>
      </w:r>
      <w:r>
        <w:rPr>
          <w:spacing w:val="-2"/>
          <w:w w:val="105"/>
        </w:rPr>
        <w:t> </w:t>
      </w:r>
      <w:r>
        <w:rPr>
          <w:w w:val="105"/>
        </w:rPr>
        <w:t>Displays</w:t>
      </w:r>
      <w:r>
        <w:rPr>
          <w:spacing w:val="-2"/>
          <w:w w:val="105"/>
        </w:rPr>
        <w:t> </w:t>
      </w:r>
      <w:r>
        <w:rPr>
          <w:w w:val="105"/>
        </w:rPr>
        <w:t>and</w:t>
      </w:r>
      <w:r>
        <w:rPr>
          <w:spacing w:val="-2"/>
          <w:w w:val="105"/>
        </w:rPr>
        <w:t> </w:t>
      </w:r>
      <w:r>
        <w:rPr>
          <w:w w:val="105"/>
        </w:rPr>
        <w:t>in 2014</w:t>
      </w:r>
      <w:r>
        <w:rPr>
          <w:spacing w:val="-5"/>
          <w:w w:val="105"/>
        </w:rPr>
        <w:t> </w:t>
      </w:r>
      <w:r>
        <w:rPr>
          <w:w w:val="105"/>
        </w:rPr>
        <w:t>he</w:t>
      </w:r>
      <w:r>
        <w:rPr>
          <w:spacing w:val="-5"/>
          <w:w w:val="105"/>
        </w:rPr>
        <w:t> </w:t>
      </w:r>
      <w:r>
        <w:rPr>
          <w:w w:val="105"/>
        </w:rPr>
        <w:t>assumed</w:t>
      </w:r>
      <w:r>
        <w:rPr>
          <w:spacing w:val="-5"/>
          <w:w w:val="105"/>
        </w:rPr>
        <w:t> </w:t>
      </w:r>
      <w:r>
        <w:rPr>
          <w:w w:val="105"/>
        </w:rPr>
        <w:t>responsibility</w:t>
      </w:r>
      <w:r>
        <w:rPr>
          <w:spacing w:val="-5"/>
          <w:w w:val="105"/>
        </w:rPr>
        <w:t> </w:t>
      </w:r>
      <w:r>
        <w:rPr>
          <w:w w:val="105"/>
        </w:rPr>
        <w:t>for</w:t>
      </w:r>
      <w:r>
        <w:rPr>
          <w:spacing w:val="-5"/>
          <w:w w:val="105"/>
        </w:rPr>
        <w:t> </w:t>
      </w:r>
      <w:r>
        <w:rPr>
          <w:w w:val="105"/>
        </w:rPr>
        <w:t>the</w:t>
      </w:r>
      <w:r>
        <w:rPr>
          <w:spacing w:val="-5"/>
          <w:w w:val="105"/>
        </w:rPr>
        <w:t> </w:t>
      </w:r>
      <w:r>
        <w:rPr>
          <w:w w:val="105"/>
        </w:rPr>
        <w:t>Advanced</w:t>
      </w:r>
      <w:r>
        <w:rPr>
          <w:spacing w:val="-5"/>
          <w:w w:val="105"/>
        </w:rPr>
        <w:t> </w:t>
      </w:r>
      <w:r>
        <w:rPr>
          <w:w w:val="105"/>
        </w:rPr>
        <w:t>Glass</w:t>
      </w:r>
      <w:r>
        <w:rPr>
          <w:spacing w:val="-5"/>
          <w:w w:val="105"/>
        </w:rPr>
        <w:t> </w:t>
      </w:r>
      <w:r>
        <w:rPr>
          <w:w w:val="105"/>
        </w:rPr>
        <w:t>Innovations</w:t>
      </w:r>
      <w:r>
        <w:rPr>
          <w:spacing w:val="-5"/>
          <w:w w:val="105"/>
        </w:rPr>
        <w:t> </w:t>
      </w:r>
      <w:r>
        <w:rPr>
          <w:w w:val="105"/>
        </w:rPr>
        <w:t>group.</w:t>
      </w:r>
      <w:r>
        <w:rPr>
          <w:spacing w:val="-5"/>
          <w:w w:val="105"/>
        </w:rPr>
        <w:t> </w:t>
      </w:r>
      <w:r>
        <w:rPr>
          <w:w w:val="105"/>
        </w:rPr>
        <w:t>In</w:t>
      </w:r>
      <w:r>
        <w:rPr>
          <w:spacing w:val="-5"/>
          <w:w w:val="105"/>
        </w:rPr>
        <w:t> </w:t>
      </w:r>
      <w:r>
        <w:rPr>
          <w:w w:val="105"/>
        </w:rPr>
        <w:t>2015</w:t>
      </w:r>
      <w:r>
        <w:rPr>
          <w:spacing w:val="-5"/>
          <w:w w:val="105"/>
        </w:rPr>
        <w:t> </w:t>
      </w:r>
      <w:r>
        <w:rPr>
          <w:w w:val="105"/>
        </w:rPr>
        <w:t>he</w:t>
      </w:r>
      <w:r>
        <w:rPr>
          <w:spacing w:val="-5"/>
          <w:w w:val="105"/>
        </w:rPr>
        <w:t> </w:t>
      </w:r>
      <w:r>
        <w:rPr>
          <w:w w:val="105"/>
        </w:rPr>
        <w:t>was</w:t>
      </w:r>
      <w:r>
        <w:rPr>
          <w:spacing w:val="-5"/>
          <w:w w:val="105"/>
        </w:rPr>
        <w:t> </w:t>
      </w:r>
      <w:r>
        <w:rPr>
          <w:w w:val="105"/>
        </w:rPr>
        <w:t>named</w:t>
      </w:r>
      <w:r>
        <w:rPr>
          <w:spacing w:val="-5"/>
          <w:w w:val="105"/>
        </w:rPr>
        <w:t> </w:t>
      </w:r>
      <w:r>
        <w:rPr>
          <w:w w:val="105"/>
        </w:rPr>
        <w:t>vice</w:t>
      </w:r>
      <w:r>
        <w:rPr>
          <w:spacing w:val="-5"/>
          <w:w w:val="105"/>
        </w:rPr>
        <w:t> </w:t>
      </w:r>
      <w:r>
        <w:rPr>
          <w:w w:val="105"/>
        </w:rPr>
        <w:t>president</w:t>
      </w:r>
      <w:r>
        <w:rPr>
          <w:spacing w:val="-5"/>
          <w:w w:val="105"/>
        </w:rPr>
        <w:t> </w:t>
      </w:r>
      <w:r>
        <w:rPr>
          <w:w w:val="105"/>
        </w:rPr>
        <w:t>and</w:t>
      </w:r>
      <w:r>
        <w:rPr>
          <w:spacing w:val="-5"/>
          <w:w w:val="105"/>
        </w:rPr>
        <w:t> </w:t>
      </w:r>
      <w:r>
        <w:rPr>
          <w:w w:val="105"/>
        </w:rPr>
        <w:t>general</w:t>
      </w:r>
      <w:r>
        <w:rPr>
          <w:spacing w:val="-5"/>
          <w:w w:val="105"/>
        </w:rPr>
        <w:t> </w:t>
      </w:r>
      <w:r>
        <w:rPr>
          <w:w w:val="105"/>
        </w:rPr>
        <w:t>manager</w:t>
      </w:r>
      <w:r>
        <w:rPr>
          <w:spacing w:val="-5"/>
          <w:w w:val="105"/>
        </w:rPr>
        <w:t> </w:t>
      </w:r>
      <w:r>
        <w:rPr>
          <w:w w:val="105"/>
        </w:rPr>
        <w:t>of</w:t>
      </w:r>
      <w:r>
        <w:rPr>
          <w:spacing w:val="-5"/>
          <w:w w:val="105"/>
        </w:rPr>
        <w:t> </w:t>
      </w:r>
      <w:r>
        <w:rPr>
          <w:w w:val="105"/>
        </w:rPr>
        <w:t>the</w:t>
      </w:r>
      <w:r>
        <w:rPr>
          <w:spacing w:val="-5"/>
          <w:w w:val="105"/>
        </w:rPr>
        <w:t> </w:t>
      </w:r>
      <w:r>
        <w:rPr>
          <w:w w:val="105"/>
        </w:rPr>
        <w:t>Gorilla</w:t>
      </w:r>
      <w:r>
        <w:rPr>
          <w:spacing w:val="-5"/>
          <w:w w:val="105"/>
        </w:rPr>
        <w:t> </w:t>
      </w:r>
      <w:r>
        <w:rPr>
          <w:w w:val="105"/>
        </w:rPr>
        <w:t>Glass</w:t>
      </w:r>
      <w:r>
        <w:rPr>
          <w:spacing w:val="-5"/>
          <w:w w:val="105"/>
        </w:rPr>
        <w:t> </w:t>
      </w:r>
      <w:r>
        <w:rPr>
          <w:w w:val="105"/>
        </w:rPr>
        <w:t>business.</w:t>
      </w:r>
      <w:r>
        <w:rPr>
          <w:spacing w:val="-5"/>
          <w:w w:val="105"/>
        </w:rPr>
        <w:t> </w:t>
      </w:r>
      <w:r>
        <w:rPr>
          <w:w w:val="105"/>
        </w:rPr>
        <w:t>He</w:t>
      </w:r>
      <w:r>
        <w:rPr>
          <w:spacing w:val="-5"/>
          <w:w w:val="105"/>
        </w:rPr>
        <w:t> </w:t>
      </w:r>
      <w:r>
        <w:rPr>
          <w:w w:val="105"/>
        </w:rPr>
        <w:t>was appointed senior vice president and general manager of Mobile Consumer Electronics in April 2020. Age 56.</w:t>
      </w:r>
    </w:p>
    <w:p>
      <w:pPr>
        <w:pStyle w:val="BodyText"/>
        <w:spacing w:before="17"/>
      </w:pPr>
    </w:p>
    <w:p>
      <w:pPr>
        <w:spacing w:before="0"/>
        <w:ind w:left="156" w:right="0" w:firstLine="0"/>
        <w:jc w:val="left"/>
        <w:rPr>
          <w:i/>
          <w:sz w:val="16"/>
        </w:rPr>
      </w:pPr>
      <w:r>
        <w:rPr>
          <w:w w:val="105"/>
          <w:sz w:val="16"/>
        </w:rPr>
        <w:t>Stefan</w:t>
      </w:r>
      <w:r>
        <w:rPr>
          <w:spacing w:val="-11"/>
          <w:w w:val="105"/>
          <w:sz w:val="16"/>
        </w:rPr>
        <w:t> </w:t>
      </w:r>
      <w:r>
        <w:rPr>
          <w:w w:val="105"/>
          <w:sz w:val="16"/>
        </w:rPr>
        <w:t>Becker</w:t>
      </w:r>
      <w:r>
        <w:rPr>
          <w:spacing w:val="22"/>
          <w:w w:val="105"/>
          <w:sz w:val="16"/>
        </w:rPr>
        <w:t> </w:t>
      </w:r>
      <w:r>
        <w:rPr>
          <w:i/>
          <w:w w:val="105"/>
          <w:sz w:val="16"/>
        </w:rPr>
        <w:t>Senior</w:t>
      </w:r>
      <w:r>
        <w:rPr>
          <w:i/>
          <w:spacing w:val="-10"/>
          <w:w w:val="105"/>
          <w:sz w:val="16"/>
        </w:rPr>
        <w:t> </w:t>
      </w:r>
      <w:r>
        <w:rPr>
          <w:i/>
          <w:w w:val="105"/>
          <w:sz w:val="16"/>
        </w:rPr>
        <w:t>Vice</w:t>
      </w:r>
      <w:r>
        <w:rPr>
          <w:i/>
          <w:spacing w:val="-10"/>
          <w:w w:val="105"/>
          <w:sz w:val="16"/>
        </w:rPr>
        <w:t> </w:t>
      </w:r>
      <w:r>
        <w:rPr>
          <w:i/>
          <w:w w:val="105"/>
          <w:sz w:val="16"/>
        </w:rPr>
        <w:t>President</w:t>
      </w:r>
      <w:r>
        <w:rPr>
          <w:i/>
          <w:spacing w:val="-10"/>
          <w:w w:val="105"/>
          <w:sz w:val="16"/>
        </w:rPr>
        <w:t> </w:t>
      </w:r>
      <w:r>
        <w:rPr>
          <w:i/>
          <w:w w:val="105"/>
          <w:sz w:val="16"/>
        </w:rPr>
        <w:t>&amp;</w:t>
      </w:r>
      <w:r>
        <w:rPr>
          <w:i/>
          <w:spacing w:val="-11"/>
          <w:w w:val="105"/>
          <w:sz w:val="16"/>
        </w:rPr>
        <w:t> </w:t>
      </w:r>
      <w:r>
        <w:rPr>
          <w:i/>
          <w:w w:val="105"/>
          <w:sz w:val="16"/>
        </w:rPr>
        <w:t>Operations</w:t>
      </w:r>
      <w:r>
        <w:rPr>
          <w:i/>
          <w:spacing w:val="-10"/>
          <w:w w:val="105"/>
          <w:sz w:val="16"/>
        </w:rPr>
        <w:t> </w:t>
      </w:r>
      <w:r>
        <w:rPr>
          <w:i/>
          <w:spacing w:val="-2"/>
          <w:w w:val="105"/>
          <w:sz w:val="16"/>
        </w:rPr>
        <w:t>Controller</w:t>
      </w:r>
    </w:p>
    <w:p>
      <w:pPr>
        <w:pStyle w:val="BodyText"/>
        <w:spacing w:line="266" w:lineRule="auto" w:before="20"/>
        <w:ind w:left="156" w:right="117"/>
      </w:pPr>
      <w:r>
        <w:rPr>
          <w:w w:val="105"/>
        </w:rPr>
        <w:t>Mr.</w:t>
      </w:r>
      <w:r>
        <w:rPr>
          <w:spacing w:val="-2"/>
          <w:w w:val="105"/>
        </w:rPr>
        <w:t> </w:t>
      </w:r>
      <w:r>
        <w:rPr>
          <w:w w:val="105"/>
        </w:rPr>
        <w:t>Becker</w:t>
      </w:r>
      <w:r>
        <w:rPr>
          <w:spacing w:val="-2"/>
          <w:w w:val="105"/>
        </w:rPr>
        <w:t> </w:t>
      </w:r>
      <w:r>
        <w:rPr>
          <w:w w:val="105"/>
        </w:rPr>
        <w:t>joined</w:t>
      </w:r>
      <w:r>
        <w:rPr>
          <w:spacing w:val="-2"/>
          <w:w w:val="105"/>
        </w:rPr>
        <w:t> </w:t>
      </w:r>
      <w:r>
        <w:rPr>
          <w:w w:val="105"/>
        </w:rPr>
        <w:t>Corning</w:t>
      </w:r>
      <w:r>
        <w:rPr>
          <w:spacing w:val="-2"/>
          <w:w w:val="105"/>
        </w:rPr>
        <w:t> </w:t>
      </w:r>
      <w:r>
        <w:rPr>
          <w:w w:val="105"/>
        </w:rPr>
        <w:t>in</w:t>
      </w:r>
      <w:r>
        <w:rPr>
          <w:spacing w:val="-2"/>
          <w:w w:val="105"/>
        </w:rPr>
        <w:t> </w:t>
      </w:r>
      <w:r>
        <w:rPr>
          <w:w w:val="105"/>
        </w:rPr>
        <w:t>2000</w:t>
      </w:r>
      <w:r>
        <w:rPr>
          <w:spacing w:val="-2"/>
          <w:w w:val="105"/>
        </w:rPr>
        <w:t> </w:t>
      </w:r>
      <w:r>
        <w:rPr>
          <w:w w:val="105"/>
        </w:rPr>
        <w:t>through</w:t>
      </w:r>
      <w:r>
        <w:rPr>
          <w:spacing w:val="-2"/>
          <w:w w:val="105"/>
        </w:rPr>
        <w:t> </w:t>
      </w:r>
      <w:r>
        <w:rPr>
          <w:w w:val="105"/>
        </w:rPr>
        <w:t>Corning’s</w:t>
      </w:r>
      <w:r>
        <w:rPr>
          <w:spacing w:val="-2"/>
          <w:w w:val="105"/>
        </w:rPr>
        <w:t> </w:t>
      </w:r>
      <w:r>
        <w:rPr>
          <w:w w:val="105"/>
        </w:rPr>
        <w:t>acquisition</w:t>
      </w:r>
      <w:r>
        <w:rPr>
          <w:spacing w:val="-2"/>
          <w:w w:val="105"/>
        </w:rPr>
        <w:t> </w:t>
      </w:r>
      <w:r>
        <w:rPr>
          <w:w w:val="105"/>
        </w:rPr>
        <w:t>of</w:t>
      </w:r>
      <w:r>
        <w:rPr>
          <w:spacing w:val="-2"/>
          <w:w w:val="105"/>
        </w:rPr>
        <w:t> </w:t>
      </w:r>
      <w:r>
        <w:rPr>
          <w:w w:val="105"/>
        </w:rPr>
        <w:t>Siemens</w:t>
      </w:r>
      <w:r>
        <w:rPr>
          <w:spacing w:val="-2"/>
          <w:w w:val="105"/>
        </w:rPr>
        <w:t> </w:t>
      </w:r>
      <w:r>
        <w:rPr>
          <w:w w:val="105"/>
        </w:rPr>
        <w:t>Communication</w:t>
      </w:r>
      <w:r>
        <w:rPr>
          <w:spacing w:val="-2"/>
          <w:w w:val="105"/>
        </w:rPr>
        <w:t> </w:t>
      </w:r>
      <w:r>
        <w:rPr>
          <w:w w:val="105"/>
        </w:rPr>
        <w:t>Cable</w:t>
      </w:r>
      <w:r>
        <w:rPr>
          <w:spacing w:val="-2"/>
          <w:w w:val="105"/>
        </w:rPr>
        <w:t> </w:t>
      </w:r>
      <w:r>
        <w:rPr>
          <w:w w:val="105"/>
        </w:rPr>
        <w:t>Division.</w:t>
      </w:r>
      <w:r>
        <w:rPr>
          <w:spacing w:val="-2"/>
          <w:w w:val="105"/>
        </w:rPr>
        <w:t> </w:t>
      </w:r>
      <w:r>
        <w:rPr>
          <w:w w:val="105"/>
        </w:rPr>
        <w:t>From</w:t>
      </w:r>
      <w:r>
        <w:rPr>
          <w:spacing w:val="-2"/>
          <w:w w:val="105"/>
        </w:rPr>
        <w:t> </w:t>
      </w:r>
      <w:r>
        <w:rPr>
          <w:w w:val="105"/>
        </w:rPr>
        <w:t>2001,</w:t>
      </w:r>
      <w:r>
        <w:rPr>
          <w:spacing w:val="-2"/>
          <w:w w:val="105"/>
        </w:rPr>
        <w:t> </w:t>
      </w:r>
      <w:r>
        <w:rPr>
          <w:w w:val="105"/>
        </w:rPr>
        <w:t>he</w:t>
      </w:r>
      <w:r>
        <w:rPr>
          <w:spacing w:val="-2"/>
          <w:w w:val="105"/>
        </w:rPr>
        <w:t> </w:t>
      </w:r>
      <w:r>
        <w:rPr>
          <w:w w:val="105"/>
        </w:rPr>
        <w:t>held</w:t>
      </w:r>
      <w:r>
        <w:rPr>
          <w:spacing w:val="-2"/>
          <w:w w:val="105"/>
        </w:rPr>
        <w:t> </w:t>
      </w:r>
      <w:r>
        <w:rPr>
          <w:w w:val="105"/>
        </w:rPr>
        <w:t>positions</w:t>
      </w:r>
      <w:r>
        <w:rPr>
          <w:spacing w:val="-2"/>
          <w:w w:val="105"/>
        </w:rPr>
        <w:t> </w:t>
      </w:r>
      <w:r>
        <w:rPr>
          <w:w w:val="105"/>
        </w:rPr>
        <w:t>as</w:t>
      </w:r>
      <w:r>
        <w:rPr>
          <w:spacing w:val="-2"/>
          <w:w w:val="105"/>
        </w:rPr>
        <w:t> </w:t>
      </w:r>
      <w:r>
        <w:rPr>
          <w:w w:val="105"/>
        </w:rPr>
        <w:t>manager,</w:t>
      </w:r>
      <w:r>
        <w:rPr>
          <w:spacing w:val="-2"/>
          <w:w w:val="105"/>
        </w:rPr>
        <w:t> </w:t>
      </w:r>
      <w:r>
        <w:rPr>
          <w:w w:val="105"/>
        </w:rPr>
        <w:t>Planning</w:t>
      </w:r>
      <w:r>
        <w:rPr>
          <w:spacing w:val="-2"/>
          <w:w w:val="105"/>
        </w:rPr>
        <w:t> </w:t>
      </w:r>
      <w:r>
        <w:rPr>
          <w:w w:val="105"/>
        </w:rPr>
        <w:t>and Analysis</w:t>
      </w:r>
      <w:r>
        <w:rPr>
          <w:spacing w:val="-2"/>
          <w:w w:val="105"/>
        </w:rPr>
        <w:t> </w:t>
      </w:r>
      <w:r>
        <w:rPr>
          <w:w w:val="105"/>
        </w:rPr>
        <w:t>and</w:t>
      </w:r>
      <w:r>
        <w:rPr>
          <w:spacing w:val="-2"/>
          <w:w w:val="105"/>
        </w:rPr>
        <w:t> </w:t>
      </w:r>
      <w:r>
        <w:rPr>
          <w:w w:val="105"/>
        </w:rPr>
        <w:t>later</w:t>
      </w:r>
      <w:r>
        <w:rPr>
          <w:spacing w:val="-2"/>
          <w:w w:val="105"/>
        </w:rPr>
        <w:t> </w:t>
      </w:r>
      <w:r>
        <w:rPr>
          <w:w w:val="105"/>
        </w:rPr>
        <w:t>director</w:t>
      </w:r>
      <w:r>
        <w:rPr>
          <w:spacing w:val="-2"/>
          <w:w w:val="105"/>
        </w:rPr>
        <w:t> </w:t>
      </w:r>
      <w:r>
        <w:rPr>
          <w:w w:val="105"/>
        </w:rPr>
        <w:t>of</w:t>
      </w:r>
      <w:r>
        <w:rPr>
          <w:spacing w:val="-2"/>
          <w:w w:val="105"/>
        </w:rPr>
        <w:t> </w:t>
      </w:r>
      <w:r>
        <w:rPr>
          <w:w w:val="105"/>
        </w:rPr>
        <w:t>Finance,</w:t>
      </w:r>
      <w:r>
        <w:rPr>
          <w:spacing w:val="-2"/>
          <w:w w:val="105"/>
        </w:rPr>
        <w:t> </w:t>
      </w:r>
      <w:r>
        <w:rPr>
          <w:w w:val="105"/>
        </w:rPr>
        <w:t>Corning</w:t>
      </w:r>
      <w:r>
        <w:rPr>
          <w:spacing w:val="-2"/>
          <w:w w:val="105"/>
        </w:rPr>
        <w:t> </w:t>
      </w:r>
      <w:r>
        <w:rPr>
          <w:w w:val="105"/>
        </w:rPr>
        <w:t>Cable</w:t>
      </w:r>
      <w:r>
        <w:rPr>
          <w:spacing w:val="-2"/>
          <w:w w:val="105"/>
        </w:rPr>
        <w:t> </w:t>
      </w:r>
      <w:r>
        <w:rPr>
          <w:w w:val="105"/>
        </w:rPr>
        <w:t>Systems.</w:t>
      </w:r>
      <w:r>
        <w:rPr>
          <w:spacing w:val="-2"/>
          <w:w w:val="105"/>
        </w:rPr>
        <w:t> </w:t>
      </w:r>
      <w:r>
        <w:rPr>
          <w:w w:val="105"/>
        </w:rPr>
        <w:t>He</w:t>
      </w:r>
      <w:r>
        <w:rPr>
          <w:spacing w:val="-2"/>
          <w:w w:val="105"/>
        </w:rPr>
        <w:t> </w:t>
      </w:r>
      <w:r>
        <w:rPr>
          <w:w w:val="105"/>
        </w:rPr>
        <w:t>joined</w:t>
      </w:r>
      <w:r>
        <w:rPr>
          <w:spacing w:val="-2"/>
          <w:w w:val="105"/>
        </w:rPr>
        <w:t> </w:t>
      </w:r>
      <w:r>
        <w:rPr>
          <w:w w:val="105"/>
        </w:rPr>
        <w:t>the</w:t>
      </w:r>
      <w:r>
        <w:rPr>
          <w:spacing w:val="-2"/>
          <w:w w:val="105"/>
        </w:rPr>
        <w:t> </w:t>
      </w:r>
      <w:r>
        <w:rPr>
          <w:w w:val="105"/>
        </w:rPr>
        <w:t>Display</w:t>
      </w:r>
      <w:r>
        <w:rPr>
          <w:spacing w:val="-2"/>
          <w:w w:val="105"/>
        </w:rPr>
        <w:t> </w:t>
      </w:r>
      <w:r>
        <w:rPr>
          <w:w w:val="105"/>
        </w:rPr>
        <w:t>Technologies</w:t>
      </w:r>
      <w:r>
        <w:rPr>
          <w:spacing w:val="-2"/>
          <w:w w:val="105"/>
        </w:rPr>
        <w:t> </w:t>
      </w:r>
      <w:r>
        <w:rPr>
          <w:w w:val="105"/>
        </w:rPr>
        <w:t>division in</w:t>
      </w:r>
      <w:r>
        <w:rPr>
          <w:spacing w:val="-2"/>
          <w:w w:val="105"/>
        </w:rPr>
        <w:t> </w:t>
      </w:r>
      <w:r>
        <w:rPr>
          <w:w w:val="105"/>
        </w:rPr>
        <w:t>2005</w:t>
      </w:r>
      <w:r>
        <w:rPr>
          <w:spacing w:val="-2"/>
          <w:w w:val="105"/>
        </w:rPr>
        <w:t> </w:t>
      </w:r>
      <w:r>
        <w:rPr>
          <w:w w:val="105"/>
        </w:rPr>
        <w:t>as</w:t>
      </w:r>
      <w:r>
        <w:rPr>
          <w:spacing w:val="-2"/>
          <w:w w:val="105"/>
        </w:rPr>
        <w:t> </w:t>
      </w:r>
      <w:r>
        <w:rPr>
          <w:w w:val="105"/>
        </w:rPr>
        <w:t>U.S.</w:t>
      </w:r>
      <w:r>
        <w:rPr>
          <w:spacing w:val="-2"/>
          <w:w w:val="105"/>
        </w:rPr>
        <w:t> </w:t>
      </w:r>
      <w:r>
        <w:rPr>
          <w:w w:val="105"/>
        </w:rPr>
        <w:t>Controller.</w:t>
      </w:r>
      <w:r>
        <w:rPr>
          <w:spacing w:val="-2"/>
          <w:w w:val="105"/>
        </w:rPr>
        <w:t> </w:t>
      </w:r>
      <w:r>
        <w:rPr>
          <w:w w:val="105"/>
        </w:rPr>
        <w:t>In</w:t>
      </w:r>
      <w:r>
        <w:rPr>
          <w:spacing w:val="-2"/>
          <w:w w:val="105"/>
        </w:rPr>
        <w:t> </w:t>
      </w:r>
      <w:r>
        <w:rPr>
          <w:w w:val="105"/>
        </w:rPr>
        <w:t>2007</w:t>
      </w:r>
      <w:r>
        <w:rPr>
          <w:spacing w:val="-2"/>
          <w:w w:val="105"/>
        </w:rPr>
        <w:t> </w:t>
      </w:r>
      <w:r>
        <w:rPr>
          <w:w w:val="105"/>
        </w:rPr>
        <w:t>he</w:t>
      </w:r>
      <w:r>
        <w:rPr>
          <w:spacing w:val="-2"/>
          <w:w w:val="105"/>
        </w:rPr>
        <w:t> </w:t>
      </w:r>
      <w:r>
        <w:rPr>
          <w:w w:val="105"/>
        </w:rPr>
        <w:t>was</w:t>
      </w:r>
      <w:r>
        <w:rPr>
          <w:spacing w:val="-2"/>
          <w:w w:val="105"/>
        </w:rPr>
        <w:t> </w:t>
      </w:r>
      <w:r>
        <w:rPr>
          <w:w w:val="105"/>
        </w:rPr>
        <w:t>appointed</w:t>
      </w:r>
      <w:r>
        <w:rPr>
          <w:spacing w:val="-2"/>
          <w:w w:val="105"/>
        </w:rPr>
        <w:t> </w:t>
      </w:r>
      <w:r>
        <w:rPr>
          <w:w w:val="105"/>
        </w:rPr>
        <w:t>CFO, Corning</w:t>
      </w:r>
      <w:r>
        <w:rPr>
          <w:spacing w:val="-9"/>
          <w:w w:val="105"/>
        </w:rPr>
        <w:t> </w:t>
      </w:r>
      <w:r>
        <w:rPr>
          <w:w w:val="105"/>
        </w:rPr>
        <w:t>Display</w:t>
      </w:r>
      <w:r>
        <w:rPr>
          <w:spacing w:val="-9"/>
          <w:w w:val="105"/>
        </w:rPr>
        <w:t> </w:t>
      </w:r>
      <w:r>
        <w:rPr>
          <w:w w:val="105"/>
        </w:rPr>
        <w:t>Technologies</w:t>
      </w:r>
      <w:r>
        <w:rPr>
          <w:spacing w:val="-9"/>
          <w:w w:val="105"/>
        </w:rPr>
        <w:t> </w:t>
      </w:r>
      <w:r>
        <w:rPr>
          <w:w w:val="105"/>
        </w:rPr>
        <w:t>Taiwan.</w:t>
      </w:r>
      <w:r>
        <w:rPr>
          <w:spacing w:val="-9"/>
          <w:w w:val="105"/>
        </w:rPr>
        <w:t> </w:t>
      </w:r>
      <w:r>
        <w:rPr>
          <w:w w:val="105"/>
        </w:rPr>
        <w:t>In</w:t>
      </w:r>
      <w:r>
        <w:rPr>
          <w:spacing w:val="-9"/>
          <w:w w:val="105"/>
        </w:rPr>
        <w:t> </w:t>
      </w:r>
      <w:r>
        <w:rPr>
          <w:w w:val="105"/>
        </w:rPr>
        <w:t>2009</w:t>
      </w:r>
      <w:r>
        <w:rPr>
          <w:spacing w:val="-9"/>
          <w:w w:val="105"/>
        </w:rPr>
        <w:t> </w:t>
      </w:r>
      <w:r>
        <w:rPr>
          <w:w w:val="105"/>
        </w:rPr>
        <w:t>he</w:t>
      </w:r>
      <w:r>
        <w:rPr>
          <w:spacing w:val="-9"/>
          <w:w w:val="105"/>
        </w:rPr>
        <w:t> </w:t>
      </w:r>
      <w:r>
        <w:rPr>
          <w:w w:val="105"/>
        </w:rPr>
        <w:t>was</w:t>
      </w:r>
      <w:r>
        <w:rPr>
          <w:spacing w:val="-9"/>
          <w:w w:val="105"/>
        </w:rPr>
        <w:t> </w:t>
      </w:r>
      <w:r>
        <w:rPr>
          <w:w w:val="105"/>
        </w:rPr>
        <w:t>named</w:t>
      </w:r>
      <w:r>
        <w:rPr>
          <w:spacing w:val="-9"/>
          <w:w w:val="105"/>
        </w:rPr>
        <w:t> </w:t>
      </w:r>
      <w:r>
        <w:rPr>
          <w:w w:val="105"/>
        </w:rPr>
        <w:t>director</w:t>
      </w:r>
      <w:r>
        <w:rPr>
          <w:spacing w:val="-9"/>
          <w:w w:val="105"/>
        </w:rPr>
        <w:t> </w:t>
      </w:r>
      <w:r>
        <w:rPr>
          <w:w w:val="105"/>
        </w:rPr>
        <w:t>of</w:t>
      </w:r>
      <w:r>
        <w:rPr>
          <w:spacing w:val="-9"/>
          <w:w w:val="105"/>
        </w:rPr>
        <w:t> </w:t>
      </w:r>
      <w:r>
        <w:rPr>
          <w:w w:val="105"/>
        </w:rPr>
        <w:t>Finance,</w:t>
      </w:r>
      <w:r>
        <w:rPr>
          <w:spacing w:val="-9"/>
          <w:w w:val="105"/>
        </w:rPr>
        <w:t> </w:t>
      </w:r>
      <w:r>
        <w:rPr>
          <w:w w:val="105"/>
        </w:rPr>
        <w:t>Corning</w:t>
      </w:r>
      <w:r>
        <w:rPr>
          <w:spacing w:val="-9"/>
          <w:w w:val="105"/>
        </w:rPr>
        <w:t> </w:t>
      </w:r>
      <w:r>
        <w:rPr>
          <w:w w:val="105"/>
        </w:rPr>
        <w:t>Display</w:t>
      </w:r>
      <w:r>
        <w:rPr>
          <w:spacing w:val="-9"/>
          <w:w w:val="105"/>
        </w:rPr>
        <w:t> </w:t>
      </w:r>
      <w:r>
        <w:rPr>
          <w:w w:val="105"/>
        </w:rPr>
        <w:t>Technologies</w:t>
      </w:r>
      <w:r>
        <w:rPr>
          <w:spacing w:val="-9"/>
          <w:w w:val="105"/>
        </w:rPr>
        <w:t> </w:t>
      </w:r>
      <w:r>
        <w:rPr>
          <w:w w:val="105"/>
        </w:rPr>
        <w:t>(“CDT”)</w:t>
      </w:r>
      <w:r>
        <w:rPr>
          <w:spacing w:val="-9"/>
          <w:w w:val="105"/>
        </w:rPr>
        <w:t> </w:t>
      </w:r>
      <w:r>
        <w:rPr>
          <w:w w:val="105"/>
        </w:rPr>
        <w:t>and</w:t>
      </w:r>
      <w:r>
        <w:rPr>
          <w:spacing w:val="-9"/>
          <w:w w:val="105"/>
        </w:rPr>
        <w:t> </w:t>
      </w:r>
      <w:r>
        <w:rPr>
          <w:w w:val="105"/>
        </w:rPr>
        <w:t>in</w:t>
      </w:r>
      <w:r>
        <w:rPr>
          <w:spacing w:val="-9"/>
          <w:w w:val="105"/>
        </w:rPr>
        <w:t> </w:t>
      </w:r>
      <w:r>
        <w:rPr>
          <w:w w:val="105"/>
        </w:rPr>
        <w:t>2010</w:t>
      </w:r>
      <w:r>
        <w:rPr>
          <w:spacing w:val="-9"/>
          <w:w w:val="105"/>
        </w:rPr>
        <w:t> </w:t>
      </w:r>
      <w:r>
        <w:rPr>
          <w:w w:val="105"/>
        </w:rPr>
        <w:t>was</w:t>
      </w:r>
      <w:r>
        <w:rPr>
          <w:spacing w:val="-9"/>
          <w:w w:val="105"/>
        </w:rPr>
        <w:t> </w:t>
      </w:r>
      <w:r>
        <w:rPr>
          <w:w w:val="105"/>
        </w:rPr>
        <w:t>appointed</w:t>
      </w:r>
      <w:r>
        <w:rPr>
          <w:spacing w:val="-9"/>
          <w:w w:val="105"/>
        </w:rPr>
        <w:t> </w:t>
      </w:r>
      <w:r>
        <w:rPr>
          <w:w w:val="105"/>
        </w:rPr>
        <w:t>division</w:t>
      </w:r>
      <w:r>
        <w:rPr>
          <w:spacing w:val="-9"/>
          <w:w w:val="105"/>
        </w:rPr>
        <w:t> </w:t>
      </w:r>
      <w:r>
        <w:rPr>
          <w:w w:val="105"/>
        </w:rPr>
        <w:t>controller, CDT.</w:t>
      </w:r>
      <w:r>
        <w:rPr>
          <w:spacing w:val="-2"/>
          <w:w w:val="105"/>
        </w:rPr>
        <w:t> </w:t>
      </w:r>
      <w:r>
        <w:rPr>
          <w:w w:val="105"/>
        </w:rPr>
        <w:t>Between</w:t>
      </w:r>
      <w:r>
        <w:rPr>
          <w:spacing w:val="-2"/>
          <w:w w:val="105"/>
        </w:rPr>
        <w:t> </w:t>
      </w:r>
      <w:r>
        <w:rPr>
          <w:w w:val="105"/>
        </w:rPr>
        <w:t>2012</w:t>
      </w:r>
      <w:r>
        <w:rPr>
          <w:spacing w:val="-2"/>
          <w:w w:val="105"/>
        </w:rPr>
        <w:t> </w:t>
      </w:r>
      <w:r>
        <w:rPr>
          <w:w w:val="105"/>
        </w:rPr>
        <w:t>and</w:t>
      </w:r>
      <w:r>
        <w:rPr>
          <w:spacing w:val="-2"/>
          <w:w w:val="105"/>
        </w:rPr>
        <w:t> </w:t>
      </w:r>
      <w:r>
        <w:rPr>
          <w:w w:val="105"/>
        </w:rPr>
        <w:t>2015,</w:t>
      </w:r>
      <w:r>
        <w:rPr>
          <w:spacing w:val="-2"/>
          <w:w w:val="105"/>
        </w:rPr>
        <w:t> </w:t>
      </w:r>
      <w:r>
        <w:rPr>
          <w:w w:val="105"/>
        </w:rPr>
        <w:t>he</w:t>
      </w:r>
      <w:r>
        <w:rPr>
          <w:spacing w:val="-2"/>
          <w:w w:val="105"/>
        </w:rPr>
        <w:t> </w:t>
      </w:r>
      <w:r>
        <w:rPr>
          <w:w w:val="105"/>
        </w:rPr>
        <w:t>served</w:t>
      </w:r>
      <w:r>
        <w:rPr>
          <w:spacing w:val="-2"/>
          <w:w w:val="105"/>
        </w:rPr>
        <w:t> </w:t>
      </w:r>
      <w:r>
        <w:rPr>
          <w:w w:val="105"/>
        </w:rPr>
        <w:t>as</w:t>
      </w:r>
      <w:r>
        <w:rPr>
          <w:spacing w:val="-2"/>
          <w:w w:val="105"/>
        </w:rPr>
        <w:t> </w:t>
      </w:r>
      <w:r>
        <w:rPr>
          <w:w w:val="105"/>
        </w:rPr>
        <w:t>international</w:t>
      </w:r>
      <w:r>
        <w:rPr>
          <w:spacing w:val="-2"/>
          <w:w w:val="105"/>
        </w:rPr>
        <w:t> </w:t>
      </w:r>
      <w:r>
        <w:rPr>
          <w:w w:val="105"/>
        </w:rPr>
        <w:t>division</w:t>
      </w:r>
      <w:r>
        <w:rPr>
          <w:spacing w:val="-2"/>
          <w:w w:val="105"/>
        </w:rPr>
        <w:t> </w:t>
      </w:r>
      <w:r>
        <w:rPr>
          <w:w w:val="105"/>
        </w:rPr>
        <w:t>vice</w:t>
      </w:r>
      <w:r>
        <w:rPr>
          <w:spacing w:val="-2"/>
          <w:w w:val="105"/>
        </w:rPr>
        <w:t> </w:t>
      </w:r>
      <w:r>
        <w:rPr>
          <w:w w:val="105"/>
        </w:rPr>
        <w:t>president,</w:t>
      </w:r>
      <w:r>
        <w:rPr>
          <w:spacing w:val="-2"/>
          <w:w w:val="105"/>
        </w:rPr>
        <w:t> </w:t>
      </w:r>
      <w:r>
        <w:rPr>
          <w:w w:val="105"/>
        </w:rPr>
        <w:t>Finance,</w:t>
      </w:r>
      <w:r>
        <w:rPr>
          <w:spacing w:val="-2"/>
          <w:w w:val="105"/>
        </w:rPr>
        <w:t> </w:t>
      </w:r>
      <w:r>
        <w:rPr>
          <w:w w:val="105"/>
        </w:rPr>
        <w:t>Corning</w:t>
      </w:r>
      <w:r>
        <w:rPr>
          <w:spacing w:val="-2"/>
          <w:w w:val="105"/>
        </w:rPr>
        <w:t> </w:t>
      </w:r>
      <w:r>
        <w:rPr>
          <w:w w:val="105"/>
        </w:rPr>
        <w:t>Glass</w:t>
      </w:r>
      <w:r>
        <w:rPr>
          <w:spacing w:val="-2"/>
          <w:w w:val="105"/>
        </w:rPr>
        <w:t> </w:t>
      </w:r>
      <w:r>
        <w:rPr>
          <w:w w:val="105"/>
        </w:rPr>
        <w:t>Technologies.</w:t>
      </w:r>
      <w:r>
        <w:rPr>
          <w:spacing w:val="-2"/>
          <w:w w:val="105"/>
        </w:rPr>
        <w:t> </w:t>
      </w:r>
      <w:r>
        <w:rPr>
          <w:w w:val="105"/>
        </w:rPr>
        <w:t>He</w:t>
      </w:r>
      <w:r>
        <w:rPr>
          <w:spacing w:val="-2"/>
          <w:w w:val="105"/>
        </w:rPr>
        <w:t> </w:t>
      </w:r>
      <w:r>
        <w:rPr>
          <w:w w:val="105"/>
        </w:rPr>
        <w:t>was</w:t>
      </w:r>
      <w:r>
        <w:rPr>
          <w:spacing w:val="-2"/>
          <w:w w:val="105"/>
        </w:rPr>
        <w:t> </w:t>
      </w:r>
      <w:r>
        <w:rPr>
          <w:w w:val="105"/>
        </w:rPr>
        <w:t>appointed</w:t>
      </w:r>
      <w:r>
        <w:rPr>
          <w:spacing w:val="-2"/>
          <w:w w:val="105"/>
        </w:rPr>
        <w:t> </w:t>
      </w:r>
      <w:r>
        <w:rPr>
          <w:w w:val="105"/>
        </w:rPr>
        <w:t>as</w:t>
      </w:r>
      <w:r>
        <w:rPr>
          <w:spacing w:val="-2"/>
          <w:w w:val="105"/>
        </w:rPr>
        <w:t> </w:t>
      </w:r>
      <w:r>
        <w:rPr>
          <w:w w:val="105"/>
        </w:rPr>
        <w:t>Corning’s</w:t>
      </w:r>
      <w:r>
        <w:rPr>
          <w:spacing w:val="-2"/>
          <w:w w:val="105"/>
        </w:rPr>
        <w:t> </w:t>
      </w:r>
      <w:r>
        <w:rPr>
          <w:w w:val="105"/>
        </w:rPr>
        <w:t>Operations Controller in 2015 and senior vice president in 2019. Age 50.</w:t>
      </w:r>
    </w:p>
    <w:p>
      <w:pPr>
        <w:pStyle w:val="BodyText"/>
        <w:spacing w:before="18"/>
      </w:pPr>
    </w:p>
    <w:p>
      <w:pPr>
        <w:spacing w:before="0"/>
        <w:ind w:left="156" w:right="0" w:firstLine="0"/>
        <w:jc w:val="left"/>
        <w:rPr>
          <w:i/>
          <w:sz w:val="16"/>
        </w:rPr>
      </w:pPr>
      <w:r>
        <w:rPr>
          <w:w w:val="105"/>
          <w:sz w:val="16"/>
        </w:rPr>
        <w:t>Michael</w:t>
      </w:r>
      <w:r>
        <w:rPr>
          <w:spacing w:val="-9"/>
          <w:w w:val="105"/>
          <w:sz w:val="16"/>
        </w:rPr>
        <w:t> </w:t>
      </w:r>
      <w:r>
        <w:rPr>
          <w:w w:val="105"/>
          <w:sz w:val="16"/>
        </w:rPr>
        <w:t>A.</w:t>
      </w:r>
      <w:r>
        <w:rPr>
          <w:spacing w:val="-9"/>
          <w:w w:val="105"/>
          <w:sz w:val="16"/>
        </w:rPr>
        <w:t> </w:t>
      </w:r>
      <w:r>
        <w:rPr>
          <w:w w:val="105"/>
          <w:sz w:val="16"/>
        </w:rPr>
        <w:t>Bell</w:t>
      </w:r>
      <w:r>
        <w:rPr>
          <w:spacing w:val="25"/>
          <w:w w:val="105"/>
          <w:sz w:val="16"/>
        </w:rPr>
        <w:t> </w:t>
      </w:r>
      <w:r>
        <w:rPr>
          <w:i/>
          <w:w w:val="105"/>
          <w:sz w:val="16"/>
        </w:rPr>
        <w:t>Senior</w:t>
      </w:r>
      <w:r>
        <w:rPr>
          <w:i/>
          <w:spacing w:val="-8"/>
          <w:w w:val="105"/>
          <w:sz w:val="16"/>
        </w:rPr>
        <w:t> </w:t>
      </w:r>
      <w:r>
        <w:rPr>
          <w:i/>
          <w:w w:val="105"/>
          <w:sz w:val="16"/>
        </w:rPr>
        <w:t>Vice</w:t>
      </w:r>
      <w:r>
        <w:rPr>
          <w:i/>
          <w:spacing w:val="-9"/>
          <w:w w:val="105"/>
          <w:sz w:val="16"/>
        </w:rPr>
        <w:t> </w:t>
      </w:r>
      <w:r>
        <w:rPr>
          <w:i/>
          <w:w w:val="105"/>
          <w:sz w:val="16"/>
        </w:rPr>
        <w:t>President</w:t>
      </w:r>
      <w:r>
        <w:rPr>
          <w:i/>
          <w:spacing w:val="-9"/>
          <w:w w:val="105"/>
          <w:sz w:val="16"/>
        </w:rPr>
        <w:t> </w:t>
      </w:r>
      <w:r>
        <w:rPr>
          <w:i/>
          <w:w w:val="105"/>
          <w:sz w:val="16"/>
        </w:rPr>
        <w:t>&amp;</w:t>
      </w:r>
      <w:r>
        <w:rPr>
          <w:i/>
          <w:spacing w:val="-8"/>
          <w:w w:val="105"/>
          <w:sz w:val="16"/>
        </w:rPr>
        <w:t> </w:t>
      </w:r>
      <w:r>
        <w:rPr>
          <w:i/>
          <w:w w:val="105"/>
          <w:sz w:val="16"/>
        </w:rPr>
        <w:t>General</w:t>
      </w:r>
      <w:r>
        <w:rPr>
          <w:i/>
          <w:spacing w:val="-7"/>
          <w:w w:val="105"/>
          <w:sz w:val="16"/>
        </w:rPr>
        <w:t> </w:t>
      </w:r>
      <w:r>
        <w:rPr>
          <w:i/>
          <w:w w:val="105"/>
          <w:sz w:val="16"/>
        </w:rPr>
        <w:t>Manager,</w:t>
      </w:r>
      <w:r>
        <w:rPr>
          <w:i/>
          <w:spacing w:val="-9"/>
          <w:w w:val="105"/>
          <w:sz w:val="16"/>
        </w:rPr>
        <w:t> </w:t>
      </w:r>
      <w:r>
        <w:rPr>
          <w:i/>
          <w:w w:val="105"/>
          <w:sz w:val="16"/>
        </w:rPr>
        <w:t>Optical</w:t>
      </w:r>
      <w:r>
        <w:rPr>
          <w:i/>
          <w:spacing w:val="-9"/>
          <w:w w:val="105"/>
          <w:sz w:val="16"/>
        </w:rPr>
        <w:t> </w:t>
      </w:r>
      <w:r>
        <w:rPr>
          <w:i/>
          <w:spacing w:val="-2"/>
          <w:w w:val="105"/>
          <w:sz w:val="16"/>
        </w:rPr>
        <w:t>Communications</w:t>
      </w:r>
    </w:p>
    <w:p>
      <w:pPr>
        <w:pStyle w:val="BodyText"/>
        <w:spacing w:line="266" w:lineRule="auto" w:before="20"/>
        <w:ind w:left="156"/>
      </w:pPr>
      <w:r>
        <w:rPr>
          <w:w w:val="105"/>
        </w:rPr>
        <w:t>Mr.</w:t>
      </w:r>
      <w:r>
        <w:rPr>
          <w:spacing w:val="-2"/>
          <w:w w:val="105"/>
        </w:rPr>
        <w:t> </w:t>
      </w:r>
      <w:r>
        <w:rPr>
          <w:w w:val="105"/>
        </w:rPr>
        <w:t>Bell</w:t>
      </w:r>
      <w:r>
        <w:rPr>
          <w:spacing w:val="-2"/>
          <w:w w:val="105"/>
        </w:rPr>
        <w:t> </w:t>
      </w:r>
      <w:r>
        <w:rPr>
          <w:w w:val="105"/>
        </w:rPr>
        <w:t>joined</w:t>
      </w:r>
      <w:r>
        <w:rPr>
          <w:spacing w:val="-2"/>
          <w:w w:val="105"/>
        </w:rPr>
        <w:t> </w:t>
      </w:r>
      <w:r>
        <w:rPr>
          <w:w w:val="105"/>
        </w:rPr>
        <w:t>Corning</w:t>
      </w:r>
      <w:r>
        <w:rPr>
          <w:spacing w:val="-2"/>
          <w:w w:val="105"/>
        </w:rPr>
        <w:t> </w:t>
      </w:r>
      <w:r>
        <w:rPr>
          <w:w w:val="105"/>
        </w:rPr>
        <w:t>in</w:t>
      </w:r>
      <w:r>
        <w:rPr>
          <w:spacing w:val="-2"/>
          <w:w w:val="105"/>
        </w:rPr>
        <w:t> </w:t>
      </w:r>
      <w:r>
        <w:rPr>
          <w:w w:val="105"/>
        </w:rPr>
        <w:t>1991</w:t>
      </w:r>
      <w:r>
        <w:rPr>
          <w:spacing w:val="-2"/>
          <w:w w:val="105"/>
        </w:rPr>
        <w:t> </w:t>
      </w:r>
      <w:r>
        <w:rPr>
          <w:w w:val="105"/>
        </w:rPr>
        <w:t>as</w:t>
      </w:r>
      <w:r>
        <w:rPr>
          <w:spacing w:val="-2"/>
          <w:w w:val="105"/>
        </w:rPr>
        <w:t> </w:t>
      </w:r>
      <w:r>
        <w:rPr>
          <w:w w:val="105"/>
        </w:rPr>
        <w:t>a</w:t>
      </w:r>
      <w:r>
        <w:rPr>
          <w:spacing w:val="-2"/>
          <w:w w:val="105"/>
        </w:rPr>
        <w:t> </w:t>
      </w:r>
      <w:r>
        <w:rPr>
          <w:w w:val="105"/>
        </w:rPr>
        <w:t>process</w:t>
      </w:r>
      <w:r>
        <w:rPr>
          <w:spacing w:val="-2"/>
          <w:w w:val="105"/>
        </w:rPr>
        <w:t> </w:t>
      </w:r>
      <w:r>
        <w:rPr>
          <w:w w:val="105"/>
        </w:rPr>
        <w:t>engineer</w:t>
      </w:r>
      <w:r>
        <w:rPr>
          <w:spacing w:val="-2"/>
          <w:w w:val="105"/>
        </w:rPr>
        <w:t> </w:t>
      </w:r>
      <w:r>
        <w:rPr>
          <w:w w:val="105"/>
        </w:rPr>
        <w:t>for</w:t>
      </w:r>
      <w:r>
        <w:rPr>
          <w:spacing w:val="-2"/>
          <w:w w:val="105"/>
        </w:rPr>
        <w:t> </w:t>
      </w:r>
      <w:r>
        <w:rPr>
          <w:w w:val="105"/>
        </w:rPr>
        <w:t>the</w:t>
      </w:r>
      <w:r>
        <w:rPr>
          <w:spacing w:val="-2"/>
          <w:w w:val="105"/>
        </w:rPr>
        <w:t> </w:t>
      </w:r>
      <w:r>
        <w:rPr>
          <w:w w:val="105"/>
        </w:rPr>
        <w:t>Telecommunications</w:t>
      </w:r>
      <w:r>
        <w:rPr>
          <w:spacing w:val="-2"/>
          <w:w w:val="105"/>
        </w:rPr>
        <w:t> </w:t>
      </w:r>
      <w:r>
        <w:rPr>
          <w:w w:val="105"/>
        </w:rPr>
        <w:t>Cable</w:t>
      </w:r>
      <w:r>
        <w:rPr>
          <w:spacing w:val="-2"/>
          <w:w w:val="105"/>
        </w:rPr>
        <w:t> </w:t>
      </w:r>
      <w:r>
        <w:rPr>
          <w:w w:val="105"/>
        </w:rPr>
        <w:t>Plant</w:t>
      </w:r>
      <w:r>
        <w:rPr>
          <w:spacing w:val="-2"/>
          <w:w w:val="105"/>
        </w:rPr>
        <w:t> </w:t>
      </w:r>
      <w:r>
        <w:rPr>
          <w:w w:val="105"/>
        </w:rPr>
        <w:t>in</w:t>
      </w:r>
      <w:r>
        <w:rPr>
          <w:spacing w:val="-2"/>
          <w:w w:val="105"/>
        </w:rPr>
        <w:t> </w:t>
      </w:r>
      <w:r>
        <w:rPr>
          <w:w w:val="105"/>
        </w:rPr>
        <w:t>Hickory,</w:t>
      </w:r>
      <w:r>
        <w:rPr>
          <w:spacing w:val="-2"/>
          <w:w w:val="105"/>
        </w:rPr>
        <w:t> </w:t>
      </w:r>
      <w:r>
        <w:rPr>
          <w:w w:val="105"/>
        </w:rPr>
        <w:t>North</w:t>
      </w:r>
      <w:r>
        <w:rPr>
          <w:spacing w:val="-2"/>
          <w:w w:val="105"/>
        </w:rPr>
        <w:t> </w:t>
      </w:r>
      <w:r>
        <w:rPr>
          <w:w w:val="105"/>
        </w:rPr>
        <w:t>Carolina.</w:t>
      </w:r>
      <w:r>
        <w:rPr>
          <w:spacing w:val="-2"/>
          <w:w w:val="105"/>
        </w:rPr>
        <w:t> </w:t>
      </w:r>
      <w:r>
        <w:rPr>
          <w:w w:val="105"/>
        </w:rPr>
        <w:t>He</w:t>
      </w:r>
      <w:r>
        <w:rPr>
          <w:spacing w:val="-2"/>
          <w:w w:val="105"/>
        </w:rPr>
        <w:t> </w:t>
      </w:r>
      <w:r>
        <w:rPr>
          <w:w w:val="105"/>
        </w:rPr>
        <w:t>has</w:t>
      </w:r>
      <w:r>
        <w:rPr>
          <w:spacing w:val="-2"/>
          <w:w w:val="105"/>
        </w:rPr>
        <w:t> </w:t>
      </w:r>
      <w:r>
        <w:rPr>
          <w:w w:val="105"/>
        </w:rPr>
        <w:t>held</w:t>
      </w:r>
      <w:r>
        <w:rPr>
          <w:spacing w:val="-2"/>
          <w:w w:val="105"/>
        </w:rPr>
        <w:t> </w:t>
      </w:r>
      <w:r>
        <w:rPr>
          <w:w w:val="105"/>
        </w:rPr>
        <w:t>a</w:t>
      </w:r>
      <w:r>
        <w:rPr>
          <w:spacing w:val="-2"/>
          <w:w w:val="105"/>
        </w:rPr>
        <w:t> </w:t>
      </w:r>
      <w:r>
        <w:rPr>
          <w:w w:val="105"/>
        </w:rPr>
        <w:t>variety</w:t>
      </w:r>
      <w:r>
        <w:rPr>
          <w:spacing w:val="-2"/>
          <w:w w:val="105"/>
        </w:rPr>
        <w:t> </w:t>
      </w:r>
      <w:r>
        <w:rPr>
          <w:w w:val="105"/>
        </w:rPr>
        <w:t>of</w:t>
      </w:r>
      <w:r>
        <w:rPr>
          <w:spacing w:val="-2"/>
          <w:w w:val="105"/>
        </w:rPr>
        <w:t> </w:t>
      </w:r>
      <w:r>
        <w:rPr>
          <w:w w:val="105"/>
        </w:rPr>
        <w:t>positions</w:t>
      </w:r>
      <w:r>
        <w:rPr>
          <w:spacing w:val="-2"/>
          <w:w w:val="105"/>
        </w:rPr>
        <w:t> </w:t>
      </w:r>
      <w:r>
        <w:rPr>
          <w:w w:val="105"/>
        </w:rPr>
        <w:t>in manufacturing</w:t>
      </w:r>
      <w:r>
        <w:rPr>
          <w:spacing w:val="-9"/>
          <w:w w:val="105"/>
        </w:rPr>
        <w:t> </w:t>
      </w:r>
      <w:r>
        <w:rPr>
          <w:w w:val="105"/>
        </w:rPr>
        <w:t>and</w:t>
      </w:r>
      <w:r>
        <w:rPr>
          <w:spacing w:val="-9"/>
          <w:w w:val="105"/>
        </w:rPr>
        <w:t> </w:t>
      </w:r>
      <w:r>
        <w:rPr>
          <w:w w:val="105"/>
        </w:rPr>
        <w:t>engineering.</w:t>
      </w:r>
      <w:r>
        <w:rPr>
          <w:spacing w:val="-9"/>
          <w:w w:val="105"/>
        </w:rPr>
        <w:t> </w:t>
      </w:r>
      <w:r>
        <w:rPr>
          <w:w w:val="105"/>
        </w:rPr>
        <w:t>He</w:t>
      </w:r>
      <w:r>
        <w:rPr>
          <w:spacing w:val="-9"/>
          <w:w w:val="105"/>
        </w:rPr>
        <w:t> </w:t>
      </w:r>
      <w:r>
        <w:rPr>
          <w:w w:val="105"/>
        </w:rPr>
        <w:t>was</w:t>
      </w:r>
      <w:r>
        <w:rPr>
          <w:spacing w:val="-9"/>
          <w:w w:val="105"/>
        </w:rPr>
        <w:t> </w:t>
      </w:r>
      <w:r>
        <w:rPr>
          <w:w w:val="105"/>
        </w:rPr>
        <w:t>appointed</w:t>
      </w:r>
      <w:r>
        <w:rPr>
          <w:spacing w:val="-9"/>
          <w:w w:val="105"/>
        </w:rPr>
        <w:t> </w:t>
      </w:r>
      <w:r>
        <w:rPr>
          <w:w w:val="105"/>
        </w:rPr>
        <w:t>to</w:t>
      </w:r>
      <w:r>
        <w:rPr>
          <w:spacing w:val="-9"/>
          <w:w w:val="105"/>
        </w:rPr>
        <w:t> </w:t>
      </w:r>
      <w:r>
        <w:rPr>
          <w:w w:val="105"/>
        </w:rPr>
        <w:t>CCS</w:t>
      </w:r>
      <w:r>
        <w:rPr>
          <w:spacing w:val="-9"/>
          <w:w w:val="105"/>
        </w:rPr>
        <w:t> </w:t>
      </w:r>
      <w:r>
        <w:rPr>
          <w:w w:val="105"/>
        </w:rPr>
        <w:t>Americas</w:t>
      </w:r>
      <w:r>
        <w:rPr>
          <w:spacing w:val="-9"/>
          <w:w w:val="105"/>
        </w:rPr>
        <w:t> </w:t>
      </w:r>
      <w:r>
        <w:rPr>
          <w:w w:val="105"/>
        </w:rPr>
        <w:t>Cable</w:t>
      </w:r>
      <w:r>
        <w:rPr>
          <w:spacing w:val="-9"/>
          <w:w w:val="105"/>
        </w:rPr>
        <w:t> </w:t>
      </w:r>
      <w:r>
        <w:rPr>
          <w:w w:val="105"/>
        </w:rPr>
        <w:t>Manufacturing</w:t>
      </w:r>
      <w:r>
        <w:rPr>
          <w:spacing w:val="-9"/>
          <w:w w:val="105"/>
        </w:rPr>
        <w:t> </w:t>
      </w:r>
      <w:r>
        <w:rPr>
          <w:w w:val="105"/>
        </w:rPr>
        <w:t>Manager</w:t>
      </w:r>
      <w:r>
        <w:rPr>
          <w:spacing w:val="-9"/>
          <w:w w:val="105"/>
        </w:rPr>
        <w:t> </w:t>
      </w:r>
      <w:r>
        <w:rPr>
          <w:w w:val="105"/>
        </w:rPr>
        <w:t>in</w:t>
      </w:r>
      <w:r>
        <w:rPr>
          <w:spacing w:val="-9"/>
          <w:w w:val="105"/>
        </w:rPr>
        <w:t> </w:t>
      </w:r>
      <w:r>
        <w:rPr>
          <w:w w:val="105"/>
        </w:rPr>
        <w:t>2004,</w:t>
      </w:r>
      <w:r>
        <w:rPr>
          <w:spacing w:val="-9"/>
          <w:w w:val="105"/>
        </w:rPr>
        <w:t> </w:t>
      </w:r>
      <w:r>
        <w:rPr>
          <w:w w:val="105"/>
        </w:rPr>
        <w:t>which</w:t>
      </w:r>
      <w:r>
        <w:rPr>
          <w:spacing w:val="-9"/>
          <w:w w:val="105"/>
        </w:rPr>
        <w:t> </w:t>
      </w:r>
      <w:r>
        <w:rPr>
          <w:w w:val="105"/>
        </w:rPr>
        <w:t>expanded</w:t>
      </w:r>
      <w:r>
        <w:rPr>
          <w:spacing w:val="-9"/>
          <w:w w:val="105"/>
        </w:rPr>
        <w:t> </w:t>
      </w:r>
      <w:r>
        <w:rPr>
          <w:w w:val="105"/>
        </w:rPr>
        <w:t>to</w:t>
      </w:r>
      <w:r>
        <w:rPr>
          <w:spacing w:val="-9"/>
          <w:w w:val="105"/>
        </w:rPr>
        <w:t> </w:t>
      </w:r>
      <w:r>
        <w:rPr>
          <w:w w:val="105"/>
        </w:rPr>
        <w:t>include</w:t>
      </w:r>
      <w:r>
        <w:rPr>
          <w:spacing w:val="-9"/>
          <w:w w:val="105"/>
        </w:rPr>
        <w:t> </w:t>
      </w:r>
      <w:r>
        <w:rPr>
          <w:w w:val="105"/>
        </w:rPr>
        <w:t>hardware</w:t>
      </w:r>
      <w:r>
        <w:rPr>
          <w:spacing w:val="-9"/>
          <w:w w:val="105"/>
        </w:rPr>
        <w:t> </w:t>
      </w:r>
      <w:r>
        <w:rPr>
          <w:w w:val="105"/>
        </w:rPr>
        <w:t>manufacturing</w:t>
      </w:r>
      <w:r>
        <w:rPr>
          <w:spacing w:val="-9"/>
          <w:w w:val="105"/>
        </w:rPr>
        <w:t> </w:t>
      </w:r>
      <w:r>
        <w:rPr>
          <w:w w:val="105"/>
        </w:rPr>
        <w:t>in</w:t>
      </w:r>
      <w:r>
        <w:rPr>
          <w:spacing w:val="-9"/>
          <w:w w:val="105"/>
        </w:rPr>
        <w:t> </w:t>
      </w:r>
      <w:r>
        <w:rPr>
          <w:w w:val="105"/>
        </w:rPr>
        <w:t>2009.</w:t>
      </w:r>
      <w:r>
        <w:rPr>
          <w:spacing w:val="-9"/>
          <w:w w:val="105"/>
        </w:rPr>
        <w:t> </w:t>
      </w:r>
      <w:r>
        <w:rPr>
          <w:w w:val="105"/>
        </w:rPr>
        <w:t>In 2012</w:t>
      </w:r>
      <w:r>
        <w:rPr>
          <w:spacing w:val="-2"/>
          <w:w w:val="105"/>
        </w:rPr>
        <w:t> </w:t>
      </w:r>
      <w:r>
        <w:rPr>
          <w:w w:val="105"/>
        </w:rPr>
        <w:t>he</w:t>
      </w:r>
      <w:r>
        <w:rPr>
          <w:spacing w:val="-2"/>
          <w:w w:val="105"/>
        </w:rPr>
        <w:t> </w:t>
      </w:r>
      <w:r>
        <w:rPr>
          <w:w w:val="105"/>
        </w:rPr>
        <w:t>was</w:t>
      </w:r>
      <w:r>
        <w:rPr>
          <w:spacing w:val="-2"/>
          <w:w w:val="105"/>
        </w:rPr>
        <w:t> </w:t>
      </w:r>
      <w:r>
        <w:rPr>
          <w:w w:val="105"/>
        </w:rPr>
        <w:t>appointed</w:t>
      </w:r>
      <w:r>
        <w:rPr>
          <w:spacing w:val="-2"/>
          <w:w w:val="105"/>
        </w:rPr>
        <w:t> </w:t>
      </w:r>
      <w:r>
        <w:rPr>
          <w:w w:val="105"/>
        </w:rPr>
        <w:t>senior</w:t>
      </w:r>
      <w:r>
        <w:rPr>
          <w:spacing w:val="-2"/>
          <w:w w:val="105"/>
        </w:rPr>
        <w:t> </w:t>
      </w:r>
      <w:r>
        <w:rPr>
          <w:w w:val="105"/>
        </w:rPr>
        <w:t>vice</w:t>
      </w:r>
      <w:r>
        <w:rPr>
          <w:spacing w:val="-2"/>
          <w:w w:val="105"/>
        </w:rPr>
        <w:t> </w:t>
      </w:r>
      <w:r>
        <w:rPr>
          <w:w w:val="105"/>
        </w:rPr>
        <w:t>president</w:t>
      </w:r>
      <w:r>
        <w:rPr>
          <w:spacing w:val="-2"/>
          <w:w w:val="105"/>
        </w:rPr>
        <w:t> </w:t>
      </w:r>
      <w:r>
        <w:rPr>
          <w:w w:val="105"/>
        </w:rPr>
        <w:t>and</w:t>
      </w:r>
      <w:r>
        <w:rPr>
          <w:spacing w:val="-2"/>
          <w:w w:val="105"/>
        </w:rPr>
        <w:t> </w:t>
      </w:r>
      <w:r>
        <w:rPr>
          <w:w w:val="105"/>
        </w:rPr>
        <w:t>general</w:t>
      </w:r>
      <w:r>
        <w:rPr>
          <w:spacing w:val="-2"/>
          <w:w w:val="105"/>
        </w:rPr>
        <w:t> </w:t>
      </w:r>
      <w:r>
        <w:rPr>
          <w:w w:val="105"/>
        </w:rPr>
        <w:t>manager,</w:t>
      </w:r>
      <w:r>
        <w:rPr>
          <w:spacing w:val="-2"/>
          <w:w w:val="105"/>
        </w:rPr>
        <w:t> </w:t>
      </w:r>
      <w:r>
        <w:rPr>
          <w:w w:val="105"/>
        </w:rPr>
        <w:t>Optical</w:t>
      </w:r>
      <w:r>
        <w:rPr>
          <w:spacing w:val="-2"/>
          <w:w w:val="105"/>
        </w:rPr>
        <w:t> </w:t>
      </w:r>
      <w:r>
        <w:rPr>
          <w:w w:val="105"/>
        </w:rPr>
        <w:t>Connectivity</w:t>
      </w:r>
      <w:r>
        <w:rPr>
          <w:spacing w:val="-2"/>
          <w:w w:val="105"/>
        </w:rPr>
        <w:t> </w:t>
      </w:r>
      <w:r>
        <w:rPr>
          <w:w w:val="105"/>
        </w:rPr>
        <w:t>Solutions for</w:t>
      </w:r>
      <w:r>
        <w:rPr>
          <w:spacing w:val="-2"/>
          <w:w w:val="105"/>
        </w:rPr>
        <w:t> </w:t>
      </w:r>
      <w:r>
        <w:rPr>
          <w:w w:val="105"/>
        </w:rPr>
        <w:t>Corning</w:t>
      </w:r>
      <w:r>
        <w:rPr>
          <w:spacing w:val="-2"/>
          <w:w w:val="105"/>
        </w:rPr>
        <w:t> </w:t>
      </w:r>
      <w:r>
        <w:rPr>
          <w:w w:val="105"/>
        </w:rPr>
        <w:t>Optical</w:t>
      </w:r>
      <w:r>
        <w:rPr>
          <w:spacing w:val="-2"/>
          <w:w w:val="105"/>
        </w:rPr>
        <w:t> </w:t>
      </w:r>
      <w:r>
        <w:rPr>
          <w:w w:val="105"/>
        </w:rPr>
        <w:t>Communications.</w:t>
      </w:r>
      <w:r>
        <w:rPr>
          <w:spacing w:val="-2"/>
          <w:w w:val="105"/>
        </w:rPr>
        <w:t> </w:t>
      </w:r>
      <w:r>
        <w:rPr>
          <w:w w:val="105"/>
        </w:rPr>
        <w:t>He</w:t>
      </w:r>
      <w:r>
        <w:rPr>
          <w:spacing w:val="-2"/>
          <w:w w:val="105"/>
        </w:rPr>
        <w:t> </w:t>
      </w:r>
      <w:r>
        <w:rPr>
          <w:w w:val="105"/>
        </w:rPr>
        <w:t>was appointed</w:t>
      </w:r>
      <w:r>
        <w:rPr>
          <w:spacing w:val="-2"/>
          <w:w w:val="105"/>
        </w:rPr>
        <w:t> </w:t>
      </w:r>
      <w:r>
        <w:rPr>
          <w:w w:val="105"/>
        </w:rPr>
        <w:t>senior</w:t>
      </w:r>
      <w:r>
        <w:rPr>
          <w:spacing w:val="-2"/>
          <w:w w:val="105"/>
        </w:rPr>
        <w:t> </w:t>
      </w:r>
      <w:r>
        <w:rPr>
          <w:w w:val="105"/>
        </w:rPr>
        <w:t>vice president and general manager, Optical Communications in April 2020. Age 57.</w:t>
      </w:r>
    </w:p>
    <w:p>
      <w:pPr>
        <w:pStyle w:val="BodyText"/>
        <w:spacing w:before="18"/>
      </w:pPr>
    </w:p>
    <w:p>
      <w:pPr>
        <w:spacing w:before="0"/>
        <w:ind w:left="156" w:right="0" w:firstLine="0"/>
        <w:jc w:val="left"/>
        <w:rPr>
          <w:i/>
          <w:sz w:val="16"/>
        </w:rPr>
      </w:pPr>
      <w:r>
        <w:rPr>
          <w:w w:val="105"/>
          <w:sz w:val="16"/>
        </w:rPr>
        <w:t>Cheryl</w:t>
      </w:r>
      <w:r>
        <w:rPr>
          <w:spacing w:val="-9"/>
          <w:w w:val="105"/>
          <w:sz w:val="16"/>
        </w:rPr>
        <w:t> </w:t>
      </w:r>
      <w:r>
        <w:rPr>
          <w:w w:val="105"/>
          <w:sz w:val="16"/>
        </w:rPr>
        <w:t>C.</w:t>
      </w:r>
      <w:r>
        <w:rPr>
          <w:spacing w:val="-9"/>
          <w:w w:val="105"/>
          <w:sz w:val="16"/>
        </w:rPr>
        <w:t> </w:t>
      </w:r>
      <w:r>
        <w:rPr>
          <w:w w:val="105"/>
          <w:sz w:val="16"/>
        </w:rPr>
        <w:t>Capps</w:t>
      </w:r>
      <w:r>
        <w:rPr>
          <w:spacing w:val="24"/>
          <w:w w:val="105"/>
          <w:sz w:val="16"/>
        </w:rPr>
        <w:t> </w:t>
      </w:r>
      <w:r>
        <w:rPr>
          <w:i/>
          <w:w w:val="105"/>
          <w:sz w:val="16"/>
        </w:rPr>
        <w:t>Senior</w:t>
      </w:r>
      <w:r>
        <w:rPr>
          <w:i/>
          <w:spacing w:val="-8"/>
          <w:w w:val="105"/>
          <w:sz w:val="16"/>
        </w:rPr>
        <w:t> </w:t>
      </w:r>
      <w:r>
        <w:rPr>
          <w:i/>
          <w:w w:val="105"/>
          <w:sz w:val="16"/>
        </w:rPr>
        <w:t>Vice</w:t>
      </w:r>
      <w:r>
        <w:rPr>
          <w:i/>
          <w:spacing w:val="-9"/>
          <w:w w:val="105"/>
          <w:sz w:val="16"/>
        </w:rPr>
        <w:t> </w:t>
      </w:r>
      <w:r>
        <w:rPr>
          <w:i/>
          <w:w w:val="105"/>
          <w:sz w:val="16"/>
        </w:rPr>
        <w:t>President</w:t>
      </w:r>
      <w:r>
        <w:rPr>
          <w:i/>
          <w:spacing w:val="-9"/>
          <w:w w:val="105"/>
          <w:sz w:val="16"/>
        </w:rPr>
        <w:t> </w:t>
      </w:r>
      <w:r>
        <w:rPr>
          <w:i/>
          <w:w w:val="105"/>
          <w:sz w:val="16"/>
        </w:rPr>
        <w:t>and</w:t>
      </w:r>
      <w:r>
        <w:rPr>
          <w:i/>
          <w:spacing w:val="-9"/>
          <w:w w:val="105"/>
          <w:sz w:val="16"/>
        </w:rPr>
        <w:t> </w:t>
      </w:r>
      <w:r>
        <w:rPr>
          <w:i/>
          <w:w w:val="105"/>
          <w:sz w:val="16"/>
        </w:rPr>
        <w:t>Chief</w:t>
      </w:r>
      <w:r>
        <w:rPr>
          <w:i/>
          <w:spacing w:val="-8"/>
          <w:w w:val="105"/>
          <w:sz w:val="16"/>
        </w:rPr>
        <w:t> </w:t>
      </w:r>
      <w:r>
        <w:rPr>
          <w:i/>
          <w:w w:val="105"/>
          <w:sz w:val="16"/>
        </w:rPr>
        <w:t>Supply</w:t>
      </w:r>
      <w:r>
        <w:rPr>
          <w:i/>
          <w:spacing w:val="-9"/>
          <w:w w:val="105"/>
          <w:sz w:val="16"/>
        </w:rPr>
        <w:t> </w:t>
      </w:r>
      <w:r>
        <w:rPr>
          <w:i/>
          <w:w w:val="105"/>
          <w:sz w:val="16"/>
        </w:rPr>
        <w:t>Chain</w:t>
      </w:r>
      <w:r>
        <w:rPr>
          <w:i/>
          <w:spacing w:val="-9"/>
          <w:w w:val="105"/>
          <w:sz w:val="16"/>
        </w:rPr>
        <w:t> </w:t>
      </w:r>
      <w:r>
        <w:rPr>
          <w:i/>
          <w:w w:val="105"/>
          <w:sz w:val="16"/>
        </w:rPr>
        <w:t>Officer,</w:t>
      </w:r>
      <w:r>
        <w:rPr>
          <w:i/>
          <w:spacing w:val="-9"/>
          <w:w w:val="105"/>
          <w:sz w:val="16"/>
        </w:rPr>
        <w:t> </w:t>
      </w:r>
      <w:r>
        <w:rPr>
          <w:i/>
          <w:w w:val="105"/>
          <w:sz w:val="16"/>
        </w:rPr>
        <w:t>Global</w:t>
      </w:r>
      <w:r>
        <w:rPr>
          <w:i/>
          <w:spacing w:val="-8"/>
          <w:w w:val="105"/>
          <w:sz w:val="16"/>
        </w:rPr>
        <w:t> </w:t>
      </w:r>
      <w:r>
        <w:rPr>
          <w:i/>
          <w:w w:val="105"/>
          <w:sz w:val="16"/>
        </w:rPr>
        <w:t>Supply</w:t>
      </w:r>
      <w:r>
        <w:rPr>
          <w:i/>
          <w:spacing w:val="-9"/>
          <w:w w:val="105"/>
          <w:sz w:val="16"/>
        </w:rPr>
        <w:t> </w:t>
      </w:r>
      <w:r>
        <w:rPr>
          <w:i/>
          <w:spacing w:val="-2"/>
          <w:w w:val="105"/>
          <w:sz w:val="16"/>
        </w:rPr>
        <w:t>Chain</w:t>
      </w:r>
    </w:p>
    <w:p>
      <w:pPr>
        <w:pStyle w:val="BodyText"/>
        <w:spacing w:line="266" w:lineRule="auto" w:before="20"/>
        <w:ind w:left="156"/>
      </w:pPr>
      <w:r>
        <w:rPr>
          <w:w w:val="105"/>
        </w:rPr>
        <w:t>Ms.</w:t>
      </w:r>
      <w:r>
        <w:rPr>
          <w:spacing w:val="-2"/>
          <w:w w:val="105"/>
        </w:rPr>
        <w:t> </w:t>
      </w:r>
      <w:r>
        <w:rPr>
          <w:w w:val="105"/>
        </w:rPr>
        <w:t>Capps</w:t>
      </w:r>
      <w:r>
        <w:rPr>
          <w:spacing w:val="-2"/>
          <w:w w:val="105"/>
        </w:rPr>
        <w:t> </w:t>
      </w:r>
      <w:r>
        <w:rPr>
          <w:w w:val="105"/>
        </w:rPr>
        <w:t>joined</w:t>
      </w:r>
      <w:r>
        <w:rPr>
          <w:spacing w:val="-2"/>
          <w:w w:val="105"/>
        </w:rPr>
        <w:t> </w:t>
      </w:r>
      <w:r>
        <w:rPr>
          <w:w w:val="105"/>
        </w:rPr>
        <w:t>Corning</w:t>
      </w:r>
      <w:r>
        <w:rPr>
          <w:spacing w:val="-2"/>
          <w:w w:val="105"/>
        </w:rPr>
        <w:t> </w:t>
      </w:r>
      <w:r>
        <w:rPr>
          <w:w w:val="105"/>
        </w:rPr>
        <w:t>in</w:t>
      </w:r>
      <w:r>
        <w:rPr>
          <w:spacing w:val="-2"/>
          <w:w w:val="105"/>
        </w:rPr>
        <w:t> </w:t>
      </w:r>
      <w:r>
        <w:rPr>
          <w:w w:val="105"/>
        </w:rPr>
        <w:t>2011</w:t>
      </w:r>
      <w:r>
        <w:rPr>
          <w:spacing w:val="-2"/>
          <w:w w:val="105"/>
        </w:rPr>
        <w:t> </w:t>
      </w:r>
      <w:r>
        <w:rPr>
          <w:w w:val="105"/>
        </w:rPr>
        <w:t>as</w:t>
      </w:r>
      <w:r>
        <w:rPr>
          <w:spacing w:val="-2"/>
          <w:w w:val="105"/>
        </w:rPr>
        <w:t> </w:t>
      </w:r>
      <w:r>
        <w:rPr>
          <w:w w:val="105"/>
        </w:rPr>
        <w:t>vice</w:t>
      </w:r>
      <w:r>
        <w:rPr>
          <w:spacing w:val="-2"/>
          <w:w w:val="105"/>
        </w:rPr>
        <w:t> </w:t>
      </w:r>
      <w:r>
        <w:rPr>
          <w:w w:val="105"/>
        </w:rPr>
        <w:t>president,</w:t>
      </w:r>
      <w:r>
        <w:rPr>
          <w:spacing w:val="-2"/>
          <w:w w:val="105"/>
        </w:rPr>
        <w:t> </w:t>
      </w:r>
      <w:r>
        <w:rPr>
          <w:w w:val="105"/>
        </w:rPr>
        <w:t>procurement</w:t>
      </w:r>
      <w:r>
        <w:rPr>
          <w:spacing w:val="-2"/>
          <w:w w:val="105"/>
        </w:rPr>
        <w:t> </w:t>
      </w:r>
      <w:r>
        <w:rPr>
          <w:w w:val="105"/>
        </w:rPr>
        <w:t>and</w:t>
      </w:r>
      <w:r>
        <w:rPr>
          <w:spacing w:val="-2"/>
          <w:w w:val="105"/>
        </w:rPr>
        <w:t> </w:t>
      </w:r>
      <w:r>
        <w:rPr>
          <w:w w:val="105"/>
        </w:rPr>
        <w:t>transportation</w:t>
      </w:r>
      <w:r>
        <w:rPr>
          <w:spacing w:val="-2"/>
          <w:w w:val="105"/>
        </w:rPr>
        <w:t> </w:t>
      </w:r>
      <w:r>
        <w:rPr>
          <w:w w:val="105"/>
        </w:rPr>
        <w:t>and</w:t>
      </w:r>
      <w:r>
        <w:rPr>
          <w:spacing w:val="-2"/>
          <w:w w:val="105"/>
        </w:rPr>
        <w:t> </w:t>
      </w:r>
      <w:r>
        <w:rPr>
          <w:w w:val="105"/>
        </w:rPr>
        <w:t>in</w:t>
      </w:r>
      <w:r>
        <w:rPr>
          <w:spacing w:val="-2"/>
          <w:w w:val="105"/>
        </w:rPr>
        <w:t> </w:t>
      </w:r>
      <w:r>
        <w:rPr>
          <w:w w:val="105"/>
        </w:rPr>
        <w:t>2018</w:t>
      </w:r>
      <w:r>
        <w:rPr>
          <w:spacing w:val="-2"/>
          <w:w w:val="105"/>
        </w:rPr>
        <w:t> </w:t>
      </w:r>
      <w:r>
        <w:rPr>
          <w:w w:val="105"/>
        </w:rPr>
        <w:t>she</w:t>
      </w:r>
      <w:r>
        <w:rPr>
          <w:spacing w:val="-2"/>
          <w:w w:val="105"/>
        </w:rPr>
        <w:t> </w:t>
      </w:r>
      <w:r>
        <w:rPr>
          <w:w w:val="105"/>
        </w:rPr>
        <w:t>was</w:t>
      </w:r>
      <w:r>
        <w:rPr>
          <w:spacing w:val="-2"/>
          <w:w w:val="105"/>
        </w:rPr>
        <w:t> </w:t>
      </w:r>
      <w:r>
        <w:rPr>
          <w:w w:val="105"/>
        </w:rPr>
        <w:t>appointed</w:t>
      </w:r>
      <w:r>
        <w:rPr>
          <w:spacing w:val="-2"/>
          <w:w w:val="105"/>
        </w:rPr>
        <w:t> </w:t>
      </w:r>
      <w:r>
        <w:rPr>
          <w:w w:val="105"/>
        </w:rPr>
        <w:t>as</w:t>
      </w:r>
      <w:r>
        <w:rPr>
          <w:spacing w:val="-2"/>
          <w:w w:val="105"/>
        </w:rPr>
        <w:t> </w:t>
      </w:r>
      <w:r>
        <w:rPr>
          <w:w w:val="105"/>
        </w:rPr>
        <w:t>senior</w:t>
      </w:r>
      <w:r>
        <w:rPr>
          <w:spacing w:val="-2"/>
          <w:w w:val="105"/>
        </w:rPr>
        <w:t> </w:t>
      </w:r>
      <w:r>
        <w:rPr>
          <w:w w:val="105"/>
        </w:rPr>
        <w:t>vice</w:t>
      </w:r>
      <w:r>
        <w:rPr>
          <w:spacing w:val="-2"/>
          <w:w w:val="105"/>
        </w:rPr>
        <w:t> </w:t>
      </w:r>
      <w:r>
        <w:rPr>
          <w:w w:val="105"/>
        </w:rPr>
        <w:t>president,</w:t>
      </w:r>
      <w:r>
        <w:rPr>
          <w:spacing w:val="-2"/>
          <w:w w:val="105"/>
        </w:rPr>
        <w:t> </w:t>
      </w:r>
      <w:r>
        <w:rPr>
          <w:w w:val="105"/>
        </w:rPr>
        <w:t>global</w:t>
      </w:r>
      <w:r>
        <w:rPr>
          <w:spacing w:val="-2"/>
          <w:w w:val="105"/>
        </w:rPr>
        <w:t> </w:t>
      </w:r>
      <w:r>
        <w:rPr>
          <w:w w:val="105"/>
        </w:rPr>
        <w:t>supply</w:t>
      </w:r>
      <w:r>
        <w:rPr>
          <w:spacing w:val="-2"/>
          <w:w w:val="105"/>
        </w:rPr>
        <w:t> </w:t>
      </w:r>
      <w:r>
        <w:rPr>
          <w:w w:val="105"/>
        </w:rPr>
        <w:t>chain.</w:t>
      </w:r>
      <w:r>
        <w:rPr>
          <w:spacing w:val="39"/>
          <w:w w:val="105"/>
        </w:rPr>
        <w:t> </w:t>
      </w:r>
      <w:r>
        <w:rPr>
          <w:w w:val="105"/>
        </w:rPr>
        <w:t>Since joining</w:t>
      </w:r>
      <w:r>
        <w:rPr>
          <w:spacing w:val="-8"/>
          <w:w w:val="105"/>
        </w:rPr>
        <w:t> </w:t>
      </w:r>
      <w:r>
        <w:rPr>
          <w:w w:val="105"/>
        </w:rPr>
        <w:t>Corning,</w:t>
      </w:r>
      <w:r>
        <w:rPr>
          <w:spacing w:val="-8"/>
          <w:w w:val="105"/>
        </w:rPr>
        <w:t> </w:t>
      </w:r>
      <w:r>
        <w:rPr>
          <w:w w:val="105"/>
        </w:rPr>
        <w:t>Ms.</w:t>
      </w:r>
      <w:r>
        <w:rPr>
          <w:spacing w:val="-8"/>
          <w:w w:val="105"/>
        </w:rPr>
        <w:t> </w:t>
      </w:r>
      <w:r>
        <w:rPr>
          <w:w w:val="105"/>
        </w:rPr>
        <w:t>Capps</w:t>
      </w:r>
      <w:r>
        <w:rPr>
          <w:spacing w:val="-8"/>
          <w:w w:val="105"/>
        </w:rPr>
        <w:t> </w:t>
      </w:r>
      <w:r>
        <w:rPr>
          <w:w w:val="105"/>
        </w:rPr>
        <w:t>has</w:t>
      </w:r>
      <w:r>
        <w:rPr>
          <w:spacing w:val="-8"/>
          <w:w w:val="105"/>
        </w:rPr>
        <w:t> </w:t>
      </w:r>
      <w:r>
        <w:rPr>
          <w:w w:val="105"/>
        </w:rPr>
        <w:t>worked</w:t>
      </w:r>
      <w:r>
        <w:rPr>
          <w:spacing w:val="-8"/>
          <w:w w:val="105"/>
        </w:rPr>
        <w:t> </w:t>
      </w:r>
      <w:r>
        <w:rPr>
          <w:w w:val="105"/>
        </w:rPr>
        <w:t>to</w:t>
      </w:r>
      <w:r>
        <w:rPr>
          <w:spacing w:val="-8"/>
          <w:w w:val="105"/>
        </w:rPr>
        <w:t> </w:t>
      </w:r>
      <w:r>
        <w:rPr>
          <w:w w:val="105"/>
        </w:rPr>
        <w:t>develop</w:t>
      </w:r>
      <w:r>
        <w:rPr>
          <w:spacing w:val="-8"/>
          <w:w w:val="105"/>
        </w:rPr>
        <w:t> </w:t>
      </w:r>
      <w:r>
        <w:rPr>
          <w:w w:val="105"/>
        </w:rPr>
        <w:t>the</w:t>
      </w:r>
      <w:r>
        <w:rPr>
          <w:spacing w:val="-7"/>
          <w:w w:val="105"/>
        </w:rPr>
        <w:t> </w:t>
      </w:r>
      <w:r>
        <w:rPr>
          <w:w w:val="105"/>
        </w:rPr>
        <w:t>capabilities</w:t>
      </w:r>
      <w:r>
        <w:rPr>
          <w:spacing w:val="-8"/>
          <w:w w:val="105"/>
        </w:rPr>
        <w:t> </w:t>
      </w:r>
      <w:r>
        <w:rPr>
          <w:w w:val="105"/>
        </w:rPr>
        <w:t>within</w:t>
      </w:r>
      <w:r>
        <w:rPr>
          <w:spacing w:val="-8"/>
          <w:w w:val="105"/>
        </w:rPr>
        <w:t> </w:t>
      </w:r>
      <w:r>
        <w:rPr>
          <w:w w:val="105"/>
        </w:rPr>
        <w:t>the</w:t>
      </w:r>
      <w:r>
        <w:rPr>
          <w:spacing w:val="-8"/>
          <w:w w:val="105"/>
        </w:rPr>
        <w:t> </w:t>
      </w:r>
      <w:r>
        <w:rPr>
          <w:w w:val="105"/>
        </w:rPr>
        <w:t>global</w:t>
      </w:r>
      <w:r>
        <w:rPr>
          <w:spacing w:val="-8"/>
          <w:w w:val="105"/>
        </w:rPr>
        <w:t> </w:t>
      </w:r>
      <w:r>
        <w:rPr>
          <w:w w:val="105"/>
        </w:rPr>
        <w:t>supply</w:t>
      </w:r>
      <w:r>
        <w:rPr>
          <w:spacing w:val="-8"/>
          <w:w w:val="105"/>
        </w:rPr>
        <w:t> </w:t>
      </w:r>
      <w:r>
        <w:rPr>
          <w:w w:val="105"/>
        </w:rPr>
        <w:t>management</w:t>
      </w:r>
      <w:r>
        <w:rPr>
          <w:spacing w:val="-8"/>
          <w:w w:val="105"/>
        </w:rPr>
        <w:t> </w:t>
      </w:r>
      <w:r>
        <w:rPr>
          <w:w w:val="105"/>
        </w:rPr>
        <w:t>function</w:t>
      </w:r>
      <w:r>
        <w:rPr>
          <w:spacing w:val="-8"/>
          <w:w w:val="105"/>
        </w:rPr>
        <w:t> </w:t>
      </w:r>
      <w:r>
        <w:rPr>
          <w:w w:val="105"/>
        </w:rPr>
        <w:t>and</w:t>
      </w:r>
      <w:r>
        <w:rPr>
          <w:spacing w:val="-8"/>
          <w:w w:val="105"/>
        </w:rPr>
        <w:t> </w:t>
      </w:r>
      <w:r>
        <w:rPr>
          <w:w w:val="105"/>
        </w:rPr>
        <w:t>across</w:t>
      </w:r>
      <w:r>
        <w:rPr>
          <w:spacing w:val="-8"/>
          <w:w w:val="105"/>
        </w:rPr>
        <w:t> </w:t>
      </w:r>
      <w:r>
        <w:rPr>
          <w:w w:val="105"/>
        </w:rPr>
        <w:t>the</w:t>
      </w:r>
      <w:r>
        <w:rPr>
          <w:spacing w:val="-8"/>
          <w:w w:val="105"/>
        </w:rPr>
        <w:t> </w:t>
      </w:r>
      <w:r>
        <w:rPr>
          <w:w w:val="105"/>
        </w:rPr>
        <w:t>corporation</w:t>
      </w:r>
      <w:r>
        <w:rPr>
          <w:spacing w:val="-8"/>
          <w:w w:val="105"/>
        </w:rPr>
        <w:t> </w:t>
      </w:r>
      <w:r>
        <w:rPr>
          <w:w w:val="105"/>
        </w:rPr>
        <w:t>to</w:t>
      </w:r>
      <w:r>
        <w:rPr>
          <w:spacing w:val="-8"/>
          <w:w w:val="105"/>
        </w:rPr>
        <w:t> </w:t>
      </w:r>
      <w:r>
        <w:rPr>
          <w:w w:val="105"/>
        </w:rPr>
        <w:t>transform</w:t>
      </w:r>
      <w:r>
        <w:rPr>
          <w:spacing w:val="-8"/>
          <w:w w:val="105"/>
        </w:rPr>
        <w:t> </w:t>
      </w:r>
      <w:r>
        <w:rPr>
          <w:w w:val="105"/>
        </w:rPr>
        <w:t>supply</w:t>
      </w:r>
      <w:r>
        <w:rPr>
          <w:spacing w:val="-8"/>
          <w:w w:val="105"/>
        </w:rPr>
        <w:t> </w:t>
      </w:r>
      <w:r>
        <w:rPr>
          <w:w w:val="105"/>
        </w:rPr>
        <w:t>chain</w:t>
      </w:r>
      <w:r>
        <w:rPr>
          <w:spacing w:val="-8"/>
          <w:w w:val="105"/>
        </w:rPr>
        <w:t> </w:t>
      </w:r>
      <w:r>
        <w:rPr>
          <w:w w:val="105"/>
        </w:rPr>
        <w:t>into</w:t>
      </w:r>
      <w:r>
        <w:rPr>
          <w:spacing w:val="-8"/>
          <w:w w:val="105"/>
        </w:rPr>
        <w:t> </w:t>
      </w:r>
      <w:r>
        <w:rPr>
          <w:w w:val="105"/>
        </w:rPr>
        <w:t>a competitive</w:t>
      </w:r>
      <w:r>
        <w:rPr>
          <w:spacing w:val="-2"/>
          <w:w w:val="105"/>
        </w:rPr>
        <w:t> </w:t>
      </w:r>
      <w:r>
        <w:rPr>
          <w:w w:val="105"/>
        </w:rPr>
        <w:t>advantage</w:t>
      </w:r>
      <w:r>
        <w:rPr>
          <w:spacing w:val="-2"/>
          <w:w w:val="105"/>
        </w:rPr>
        <w:t> </w:t>
      </w:r>
      <w:r>
        <w:rPr>
          <w:w w:val="105"/>
        </w:rPr>
        <w:t>for</w:t>
      </w:r>
      <w:r>
        <w:rPr>
          <w:spacing w:val="-2"/>
          <w:w w:val="105"/>
        </w:rPr>
        <w:t> </w:t>
      </w:r>
      <w:r>
        <w:rPr>
          <w:w w:val="105"/>
        </w:rPr>
        <w:t>enabling</w:t>
      </w:r>
      <w:r>
        <w:rPr>
          <w:spacing w:val="-2"/>
          <w:w w:val="105"/>
        </w:rPr>
        <w:t> </w:t>
      </w:r>
      <w:r>
        <w:rPr>
          <w:w w:val="105"/>
        </w:rPr>
        <w:t>innovation,</w:t>
      </w:r>
      <w:r>
        <w:rPr>
          <w:spacing w:val="-2"/>
          <w:w w:val="105"/>
        </w:rPr>
        <w:t> </w:t>
      </w:r>
      <w:r>
        <w:rPr>
          <w:w w:val="105"/>
        </w:rPr>
        <w:t>growth,</w:t>
      </w:r>
      <w:r>
        <w:rPr>
          <w:spacing w:val="-2"/>
          <w:w w:val="105"/>
        </w:rPr>
        <w:t> </w:t>
      </w:r>
      <w:r>
        <w:rPr>
          <w:w w:val="105"/>
        </w:rPr>
        <w:t>and financial</w:t>
      </w:r>
      <w:r>
        <w:rPr>
          <w:spacing w:val="-2"/>
          <w:w w:val="105"/>
        </w:rPr>
        <w:t> </w:t>
      </w:r>
      <w:r>
        <w:rPr>
          <w:w w:val="105"/>
        </w:rPr>
        <w:t>success.</w:t>
      </w:r>
      <w:r>
        <w:rPr>
          <w:spacing w:val="39"/>
          <w:w w:val="105"/>
        </w:rPr>
        <w:t> </w:t>
      </w:r>
      <w:r>
        <w:rPr>
          <w:w w:val="105"/>
        </w:rPr>
        <w:t>She</w:t>
      </w:r>
      <w:r>
        <w:rPr>
          <w:spacing w:val="-2"/>
          <w:w w:val="105"/>
        </w:rPr>
        <w:t> </w:t>
      </w:r>
      <w:r>
        <w:rPr>
          <w:w w:val="105"/>
        </w:rPr>
        <w:t>has</w:t>
      </w:r>
      <w:r>
        <w:rPr>
          <w:spacing w:val="-2"/>
          <w:w w:val="105"/>
        </w:rPr>
        <w:t> </w:t>
      </w:r>
      <w:r>
        <w:rPr>
          <w:w w:val="105"/>
        </w:rPr>
        <w:t>many</w:t>
      </w:r>
      <w:r>
        <w:rPr>
          <w:spacing w:val="-2"/>
          <w:w w:val="105"/>
        </w:rPr>
        <w:t> </w:t>
      </w:r>
      <w:r>
        <w:rPr>
          <w:w w:val="105"/>
        </w:rPr>
        <w:t>years</w:t>
      </w:r>
      <w:r>
        <w:rPr>
          <w:spacing w:val="-2"/>
          <w:w w:val="105"/>
        </w:rPr>
        <w:t> </w:t>
      </w:r>
      <w:r>
        <w:rPr>
          <w:w w:val="105"/>
        </w:rPr>
        <w:t>of</w:t>
      </w:r>
      <w:r>
        <w:rPr>
          <w:spacing w:val="-2"/>
          <w:w w:val="105"/>
        </w:rPr>
        <w:t> </w:t>
      </w:r>
      <w:r>
        <w:rPr>
          <w:w w:val="105"/>
        </w:rPr>
        <w:t>diverse</w:t>
      </w:r>
      <w:r>
        <w:rPr>
          <w:spacing w:val="-2"/>
          <w:w w:val="105"/>
        </w:rPr>
        <w:t> </w:t>
      </w:r>
      <w:r>
        <w:rPr>
          <w:w w:val="105"/>
        </w:rPr>
        <w:t>leadership</w:t>
      </w:r>
      <w:r>
        <w:rPr>
          <w:spacing w:val="-2"/>
          <w:w w:val="105"/>
        </w:rPr>
        <w:t> </w:t>
      </w:r>
      <w:r>
        <w:rPr>
          <w:w w:val="105"/>
        </w:rPr>
        <w:t>experience</w:t>
      </w:r>
      <w:r>
        <w:rPr>
          <w:spacing w:val="-2"/>
          <w:w w:val="105"/>
        </w:rPr>
        <w:t> </w:t>
      </w:r>
      <w:r>
        <w:rPr>
          <w:w w:val="105"/>
        </w:rPr>
        <w:t>in</w:t>
      </w:r>
      <w:r>
        <w:rPr>
          <w:spacing w:val="-2"/>
          <w:w w:val="105"/>
        </w:rPr>
        <w:t> </w:t>
      </w:r>
      <w:r>
        <w:rPr>
          <w:w w:val="105"/>
        </w:rPr>
        <w:t>business</w:t>
      </w:r>
      <w:r>
        <w:rPr>
          <w:spacing w:val="-2"/>
          <w:w w:val="105"/>
        </w:rPr>
        <w:t> </w:t>
      </w:r>
      <w:r>
        <w:rPr>
          <w:w w:val="105"/>
        </w:rPr>
        <w:t>management,</w:t>
      </w:r>
      <w:r>
        <w:rPr>
          <w:spacing w:val="-2"/>
          <w:w w:val="105"/>
        </w:rPr>
        <w:t> </w:t>
      </w:r>
      <w:r>
        <w:rPr>
          <w:w w:val="105"/>
        </w:rPr>
        <w:t>strategic planning,</w:t>
      </w:r>
      <w:r>
        <w:rPr>
          <w:spacing w:val="-2"/>
          <w:w w:val="105"/>
        </w:rPr>
        <w:t> </w:t>
      </w:r>
      <w:r>
        <w:rPr>
          <w:w w:val="105"/>
        </w:rPr>
        <w:t>manufacturing,</w:t>
      </w:r>
      <w:r>
        <w:rPr>
          <w:spacing w:val="-2"/>
          <w:w w:val="105"/>
        </w:rPr>
        <w:t> </w:t>
      </w:r>
      <w:r>
        <w:rPr>
          <w:w w:val="105"/>
        </w:rPr>
        <w:t>supply chain,</w:t>
      </w:r>
      <w:r>
        <w:rPr>
          <w:spacing w:val="-2"/>
          <w:w w:val="105"/>
        </w:rPr>
        <w:t> </w:t>
      </w:r>
      <w:r>
        <w:rPr>
          <w:w w:val="105"/>
        </w:rPr>
        <w:t>quality,</w:t>
      </w:r>
      <w:r>
        <w:rPr>
          <w:spacing w:val="-2"/>
          <w:w w:val="105"/>
        </w:rPr>
        <w:t> </w:t>
      </w:r>
      <w:r>
        <w:rPr>
          <w:w w:val="105"/>
        </w:rPr>
        <w:t>research, and</w:t>
      </w:r>
      <w:r>
        <w:rPr>
          <w:spacing w:val="-2"/>
          <w:w w:val="105"/>
        </w:rPr>
        <w:t> </w:t>
      </w:r>
      <w:r>
        <w:rPr>
          <w:w w:val="105"/>
        </w:rPr>
        <w:t>development.</w:t>
      </w:r>
      <w:r>
        <w:rPr>
          <w:spacing w:val="39"/>
          <w:w w:val="105"/>
        </w:rPr>
        <w:t> </w:t>
      </w:r>
      <w:r>
        <w:rPr>
          <w:w w:val="105"/>
        </w:rPr>
        <w:t>Ms.</w:t>
      </w:r>
      <w:r>
        <w:rPr>
          <w:spacing w:val="-2"/>
          <w:w w:val="105"/>
        </w:rPr>
        <w:t> </w:t>
      </w:r>
      <w:r>
        <w:rPr>
          <w:w w:val="105"/>
        </w:rPr>
        <w:t>Capps</w:t>
      </w:r>
      <w:r>
        <w:rPr>
          <w:spacing w:val="-2"/>
          <w:w w:val="105"/>
        </w:rPr>
        <w:t> </w:t>
      </w:r>
      <w:r>
        <w:rPr>
          <w:w w:val="105"/>
        </w:rPr>
        <w:t>was</w:t>
      </w:r>
      <w:r>
        <w:rPr>
          <w:spacing w:val="-2"/>
          <w:w w:val="105"/>
        </w:rPr>
        <w:t> </w:t>
      </w:r>
      <w:r>
        <w:rPr>
          <w:w w:val="105"/>
        </w:rPr>
        <w:t>appointed</w:t>
      </w:r>
      <w:r>
        <w:rPr>
          <w:spacing w:val="-2"/>
          <w:w w:val="105"/>
        </w:rPr>
        <w:t> </w:t>
      </w:r>
      <w:r>
        <w:rPr>
          <w:w w:val="105"/>
        </w:rPr>
        <w:t>as</w:t>
      </w:r>
      <w:r>
        <w:rPr>
          <w:spacing w:val="-2"/>
          <w:w w:val="105"/>
        </w:rPr>
        <w:t> </w:t>
      </w:r>
      <w:r>
        <w:rPr>
          <w:w w:val="105"/>
        </w:rPr>
        <w:t>senior</w:t>
      </w:r>
      <w:r>
        <w:rPr>
          <w:spacing w:val="-2"/>
          <w:w w:val="105"/>
        </w:rPr>
        <w:t> </w:t>
      </w:r>
      <w:r>
        <w:rPr>
          <w:w w:val="105"/>
        </w:rPr>
        <w:t>vice</w:t>
      </w:r>
      <w:r>
        <w:rPr>
          <w:spacing w:val="-2"/>
          <w:w w:val="105"/>
        </w:rPr>
        <w:t> </w:t>
      </w:r>
      <w:r>
        <w:rPr>
          <w:w w:val="105"/>
        </w:rPr>
        <w:t>president</w:t>
      </w:r>
      <w:r>
        <w:rPr>
          <w:spacing w:val="-2"/>
          <w:w w:val="105"/>
        </w:rPr>
        <w:t> </w:t>
      </w:r>
      <w:r>
        <w:rPr>
          <w:w w:val="105"/>
        </w:rPr>
        <w:t>and</w:t>
      </w:r>
      <w:r>
        <w:rPr>
          <w:spacing w:val="-2"/>
          <w:w w:val="105"/>
        </w:rPr>
        <w:t> </w:t>
      </w:r>
      <w:r>
        <w:rPr>
          <w:w w:val="105"/>
        </w:rPr>
        <w:t>chief</w:t>
      </w:r>
      <w:r>
        <w:rPr>
          <w:spacing w:val="-2"/>
          <w:w w:val="105"/>
        </w:rPr>
        <w:t> </w:t>
      </w:r>
      <w:r>
        <w:rPr>
          <w:w w:val="105"/>
        </w:rPr>
        <w:t>supply</w:t>
      </w:r>
      <w:r>
        <w:rPr>
          <w:spacing w:val="-2"/>
          <w:w w:val="105"/>
        </w:rPr>
        <w:t> </w:t>
      </w:r>
      <w:r>
        <w:rPr>
          <w:w w:val="105"/>
        </w:rPr>
        <w:t>chain</w:t>
      </w:r>
      <w:r>
        <w:rPr>
          <w:spacing w:val="-2"/>
          <w:w w:val="105"/>
        </w:rPr>
        <w:t> </w:t>
      </w:r>
      <w:r>
        <w:rPr>
          <w:w w:val="105"/>
        </w:rPr>
        <w:t>officer</w:t>
      </w:r>
      <w:r>
        <w:rPr>
          <w:spacing w:val="-2"/>
          <w:w w:val="105"/>
        </w:rPr>
        <w:t> </w:t>
      </w:r>
      <w:r>
        <w:rPr>
          <w:w w:val="105"/>
        </w:rPr>
        <w:t>in</w:t>
      </w:r>
      <w:r>
        <w:rPr>
          <w:spacing w:val="-2"/>
          <w:w w:val="105"/>
        </w:rPr>
        <w:t> </w:t>
      </w:r>
      <w:r>
        <w:rPr>
          <w:w w:val="105"/>
        </w:rPr>
        <w:t>2020.</w:t>
      </w:r>
      <w:r>
        <w:rPr>
          <w:spacing w:val="39"/>
          <w:w w:val="105"/>
        </w:rPr>
        <w:t> </w:t>
      </w:r>
      <w:r>
        <w:rPr>
          <w:w w:val="105"/>
        </w:rPr>
        <w:t>Age </w:t>
      </w:r>
      <w:r>
        <w:rPr>
          <w:spacing w:val="-4"/>
          <w:w w:val="105"/>
        </w:rPr>
        <w:t>60.</w:t>
      </w:r>
    </w:p>
    <w:p>
      <w:pPr>
        <w:pStyle w:val="BodyText"/>
        <w:spacing w:before="17"/>
      </w:pPr>
    </w:p>
    <w:p>
      <w:pPr>
        <w:spacing w:before="1"/>
        <w:ind w:left="156" w:right="0" w:firstLine="0"/>
        <w:jc w:val="left"/>
        <w:rPr>
          <w:i/>
          <w:sz w:val="16"/>
        </w:rPr>
      </w:pPr>
      <w:r>
        <w:rPr>
          <w:w w:val="105"/>
          <w:sz w:val="16"/>
        </w:rPr>
        <w:t>Martin</w:t>
      </w:r>
      <w:r>
        <w:rPr>
          <w:spacing w:val="-9"/>
          <w:w w:val="105"/>
          <w:sz w:val="16"/>
        </w:rPr>
        <w:t> </w:t>
      </w:r>
      <w:r>
        <w:rPr>
          <w:w w:val="105"/>
          <w:sz w:val="16"/>
        </w:rPr>
        <w:t>J.</w:t>
      </w:r>
      <w:r>
        <w:rPr>
          <w:spacing w:val="-8"/>
          <w:w w:val="105"/>
          <w:sz w:val="16"/>
        </w:rPr>
        <w:t> </w:t>
      </w:r>
      <w:r>
        <w:rPr>
          <w:w w:val="105"/>
          <w:sz w:val="16"/>
        </w:rPr>
        <w:t>Curran</w:t>
      </w:r>
      <w:r>
        <w:rPr>
          <w:spacing w:val="26"/>
          <w:w w:val="105"/>
          <w:sz w:val="16"/>
        </w:rPr>
        <w:t> </w:t>
      </w:r>
      <w:r>
        <w:rPr>
          <w:i/>
          <w:w w:val="105"/>
          <w:sz w:val="16"/>
        </w:rPr>
        <w:t>Executive</w:t>
      </w:r>
      <w:r>
        <w:rPr>
          <w:i/>
          <w:spacing w:val="-9"/>
          <w:w w:val="105"/>
          <w:sz w:val="16"/>
        </w:rPr>
        <w:t> </w:t>
      </w:r>
      <w:r>
        <w:rPr>
          <w:i/>
          <w:w w:val="105"/>
          <w:sz w:val="16"/>
        </w:rPr>
        <w:t>Vice</w:t>
      </w:r>
      <w:r>
        <w:rPr>
          <w:i/>
          <w:spacing w:val="-8"/>
          <w:w w:val="105"/>
          <w:sz w:val="16"/>
        </w:rPr>
        <w:t> </w:t>
      </w:r>
      <w:r>
        <w:rPr>
          <w:i/>
          <w:w w:val="105"/>
          <w:sz w:val="16"/>
        </w:rPr>
        <w:t>President</w:t>
      </w:r>
      <w:r>
        <w:rPr>
          <w:i/>
          <w:spacing w:val="-8"/>
          <w:w w:val="105"/>
          <w:sz w:val="16"/>
        </w:rPr>
        <w:t> </w:t>
      </w:r>
      <w:r>
        <w:rPr>
          <w:i/>
          <w:w w:val="105"/>
          <w:sz w:val="16"/>
        </w:rPr>
        <w:t>and</w:t>
      </w:r>
      <w:r>
        <w:rPr>
          <w:i/>
          <w:spacing w:val="-9"/>
          <w:w w:val="105"/>
          <w:sz w:val="16"/>
        </w:rPr>
        <w:t> </w:t>
      </w:r>
      <w:r>
        <w:rPr>
          <w:i/>
          <w:w w:val="105"/>
          <w:sz w:val="16"/>
        </w:rPr>
        <w:t>Innovation</w:t>
      </w:r>
      <w:r>
        <w:rPr>
          <w:i/>
          <w:spacing w:val="-8"/>
          <w:w w:val="105"/>
          <w:sz w:val="16"/>
        </w:rPr>
        <w:t> </w:t>
      </w:r>
      <w:r>
        <w:rPr>
          <w:i/>
          <w:spacing w:val="-2"/>
          <w:w w:val="105"/>
          <w:sz w:val="16"/>
        </w:rPr>
        <w:t>Officer</w:t>
      </w:r>
    </w:p>
    <w:p>
      <w:pPr>
        <w:pStyle w:val="BodyText"/>
        <w:spacing w:line="266" w:lineRule="auto" w:before="20"/>
        <w:ind w:left="156" w:right="117"/>
      </w:pPr>
      <w:r>
        <w:rPr>
          <w:w w:val="105"/>
        </w:rPr>
        <w:t>Mr.</w:t>
      </w:r>
      <w:r>
        <w:rPr>
          <w:spacing w:val="-2"/>
          <w:w w:val="105"/>
        </w:rPr>
        <w:t> </w:t>
      </w:r>
      <w:r>
        <w:rPr>
          <w:w w:val="105"/>
        </w:rPr>
        <w:t>Curran</w:t>
      </w:r>
      <w:r>
        <w:rPr>
          <w:spacing w:val="-2"/>
          <w:w w:val="105"/>
        </w:rPr>
        <w:t> </w:t>
      </w:r>
      <w:r>
        <w:rPr>
          <w:w w:val="105"/>
        </w:rPr>
        <w:t>joined</w:t>
      </w:r>
      <w:r>
        <w:rPr>
          <w:spacing w:val="-2"/>
          <w:w w:val="105"/>
        </w:rPr>
        <w:t> </w:t>
      </w:r>
      <w:r>
        <w:rPr>
          <w:w w:val="105"/>
        </w:rPr>
        <w:t>Corning</w:t>
      </w:r>
      <w:r>
        <w:rPr>
          <w:spacing w:val="-2"/>
          <w:w w:val="105"/>
        </w:rPr>
        <w:t> </w:t>
      </w:r>
      <w:r>
        <w:rPr>
          <w:w w:val="105"/>
        </w:rPr>
        <w:t>in</w:t>
      </w:r>
      <w:r>
        <w:rPr>
          <w:spacing w:val="-2"/>
          <w:w w:val="105"/>
        </w:rPr>
        <w:t> </w:t>
      </w:r>
      <w:r>
        <w:rPr>
          <w:w w:val="105"/>
        </w:rPr>
        <w:t>1984</w:t>
      </w:r>
      <w:r>
        <w:rPr>
          <w:spacing w:val="-2"/>
          <w:w w:val="105"/>
        </w:rPr>
        <w:t> </w:t>
      </w:r>
      <w:r>
        <w:rPr>
          <w:w w:val="105"/>
        </w:rPr>
        <w:t>and</w:t>
      </w:r>
      <w:r>
        <w:rPr>
          <w:spacing w:val="-2"/>
          <w:w w:val="105"/>
        </w:rPr>
        <w:t> </w:t>
      </w:r>
      <w:r>
        <w:rPr>
          <w:w w:val="105"/>
        </w:rPr>
        <w:t>has</w:t>
      </w:r>
      <w:r>
        <w:rPr>
          <w:spacing w:val="-2"/>
          <w:w w:val="105"/>
        </w:rPr>
        <w:t> </w:t>
      </w:r>
      <w:r>
        <w:rPr>
          <w:w w:val="105"/>
        </w:rPr>
        <w:t>held a</w:t>
      </w:r>
      <w:r>
        <w:rPr>
          <w:spacing w:val="-2"/>
          <w:w w:val="105"/>
        </w:rPr>
        <w:t> </w:t>
      </w:r>
      <w:r>
        <w:rPr>
          <w:w w:val="105"/>
        </w:rPr>
        <w:t>variety</w:t>
      </w:r>
      <w:r>
        <w:rPr>
          <w:spacing w:val="-2"/>
          <w:w w:val="105"/>
        </w:rPr>
        <w:t> </w:t>
      </w:r>
      <w:r>
        <w:rPr>
          <w:w w:val="105"/>
        </w:rPr>
        <w:t>of</w:t>
      </w:r>
      <w:r>
        <w:rPr>
          <w:spacing w:val="-2"/>
          <w:w w:val="105"/>
        </w:rPr>
        <w:t> </w:t>
      </w:r>
      <w:r>
        <w:rPr>
          <w:w w:val="105"/>
        </w:rPr>
        <w:t>roles</w:t>
      </w:r>
      <w:r>
        <w:rPr>
          <w:spacing w:val="-2"/>
          <w:w w:val="105"/>
        </w:rPr>
        <w:t> </w:t>
      </w:r>
      <w:r>
        <w:rPr>
          <w:w w:val="105"/>
        </w:rPr>
        <w:t>in</w:t>
      </w:r>
      <w:r>
        <w:rPr>
          <w:spacing w:val="-2"/>
          <w:w w:val="105"/>
        </w:rPr>
        <w:t> </w:t>
      </w:r>
      <w:r>
        <w:rPr>
          <w:w w:val="105"/>
        </w:rPr>
        <w:t>finance,</w:t>
      </w:r>
      <w:r>
        <w:rPr>
          <w:spacing w:val="-2"/>
          <w:w w:val="105"/>
        </w:rPr>
        <w:t> </w:t>
      </w:r>
      <w:r>
        <w:rPr>
          <w:w w:val="105"/>
        </w:rPr>
        <w:t>manufacturing,</w:t>
      </w:r>
      <w:r>
        <w:rPr>
          <w:spacing w:val="-2"/>
          <w:w w:val="105"/>
        </w:rPr>
        <w:t> </w:t>
      </w:r>
      <w:r>
        <w:rPr>
          <w:w w:val="105"/>
        </w:rPr>
        <w:t>and</w:t>
      </w:r>
      <w:r>
        <w:rPr>
          <w:spacing w:val="-2"/>
          <w:w w:val="105"/>
        </w:rPr>
        <w:t> </w:t>
      </w:r>
      <w:r>
        <w:rPr>
          <w:w w:val="105"/>
        </w:rPr>
        <w:t>marketing.</w:t>
      </w:r>
      <w:r>
        <w:rPr>
          <w:spacing w:val="39"/>
          <w:w w:val="105"/>
        </w:rPr>
        <w:t> </w:t>
      </w:r>
      <w:r>
        <w:rPr>
          <w:w w:val="105"/>
        </w:rPr>
        <w:t>He</w:t>
      </w:r>
      <w:r>
        <w:rPr>
          <w:spacing w:val="-2"/>
          <w:w w:val="105"/>
        </w:rPr>
        <w:t> </w:t>
      </w:r>
      <w:r>
        <w:rPr>
          <w:w w:val="105"/>
        </w:rPr>
        <w:t>has</w:t>
      </w:r>
      <w:r>
        <w:rPr>
          <w:spacing w:val="-2"/>
          <w:w w:val="105"/>
        </w:rPr>
        <w:t> </w:t>
      </w:r>
      <w:r>
        <w:rPr>
          <w:w w:val="105"/>
        </w:rPr>
        <w:t>served</w:t>
      </w:r>
      <w:r>
        <w:rPr>
          <w:spacing w:val="-2"/>
          <w:w w:val="105"/>
        </w:rPr>
        <w:t> </w:t>
      </w:r>
      <w:r>
        <w:rPr>
          <w:w w:val="105"/>
        </w:rPr>
        <w:t>as</w:t>
      </w:r>
      <w:r>
        <w:rPr>
          <w:spacing w:val="-2"/>
          <w:w w:val="105"/>
        </w:rPr>
        <w:t> </w:t>
      </w:r>
      <w:r>
        <w:rPr>
          <w:w w:val="105"/>
        </w:rPr>
        <w:t>senior</w:t>
      </w:r>
      <w:r>
        <w:rPr>
          <w:spacing w:val="-2"/>
          <w:w w:val="105"/>
        </w:rPr>
        <w:t> </w:t>
      </w:r>
      <w:r>
        <w:rPr>
          <w:w w:val="105"/>
        </w:rPr>
        <w:t>vice</w:t>
      </w:r>
      <w:r>
        <w:rPr>
          <w:spacing w:val="-2"/>
          <w:w w:val="105"/>
        </w:rPr>
        <w:t> </w:t>
      </w:r>
      <w:r>
        <w:rPr>
          <w:w w:val="105"/>
        </w:rPr>
        <w:t>president,</w:t>
      </w:r>
      <w:r>
        <w:rPr>
          <w:spacing w:val="-2"/>
          <w:w w:val="105"/>
        </w:rPr>
        <w:t> </w:t>
      </w:r>
      <w:r>
        <w:rPr>
          <w:w w:val="105"/>
        </w:rPr>
        <w:t>general manager</w:t>
      </w:r>
      <w:r>
        <w:rPr>
          <w:spacing w:val="-2"/>
          <w:w w:val="105"/>
        </w:rPr>
        <w:t> </w:t>
      </w:r>
      <w:r>
        <w:rPr>
          <w:w w:val="105"/>
        </w:rPr>
        <w:t>for Corning</w:t>
      </w:r>
      <w:r>
        <w:rPr>
          <w:spacing w:val="-3"/>
          <w:w w:val="105"/>
        </w:rPr>
        <w:t> </w:t>
      </w:r>
      <w:r>
        <w:rPr>
          <w:w w:val="105"/>
        </w:rPr>
        <w:t>Cable</w:t>
      </w:r>
      <w:r>
        <w:rPr>
          <w:spacing w:val="-3"/>
          <w:w w:val="105"/>
        </w:rPr>
        <w:t> </w:t>
      </w:r>
      <w:r>
        <w:rPr>
          <w:w w:val="105"/>
        </w:rPr>
        <w:t>Systems</w:t>
      </w:r>
      <w:r>
        <w:rPr>
          <w:spacing w:val="-3"/>
          <w:w w:val="105"/>
        </w:rPr>
        <w:t> </w:t>
      </w:r>
      <w:r>
        <w:rPr>
          <w:w w:val="105"/>
        </w:rPr>
        <w:t>Hardware</w:t>
      </w:r>
      <w:r>
        <w:rPr>
          <w:spacing w:val="-3"/>
          <w:w w:val="105"/>
        </w:rPr>
        <w:t> </w:t>
      </w:r>
      <w:r>
        <w:rPr>
          <w:w w:val="105"/>
        </w:rPr>
        <w:t>and</w:t>
      </w:r>
      <w:r>
        <w:rPr>
          <w:spacing w:val="-3"/>
          <w:w w:val="105"/>
        </w:rPr>
        <w:t> </w:t>
      </w:r>
      <w:r>
        <w:rPr>
          <w:w w:val="105"/>
        </w:rPr>
        <w:t>Equipment</w:t>
      </w:r>
      <w:r>
        <w:rPr>
          <w:spacing w:val="-3"/>
          <w:w w:val="105"/>
        </w:rPr>
        <w:t> </w:t>
      </w:r>
      <w:r>
        <w:rPr>
          <w:w w:val="105"/>
        </w:rPr>
        <w:t>Operations</w:t>
      </w:r>
      <w:r>
        <w:rPr>
          <w:spacing w:val="-3"/>
          <w:w w:val="105"/>
        </w:rPr>
        <w:t> </w:t>
      </w:r>
      <w:r>
        <w:rPr>
          <w:w w:val="105"/>
        </w:rPr>
        <w:t>in</w:t>
      </w:r>
      <w:r>
        <w:rPr>
          <w:spacing w:val="-3"/>
          <w:w w:val="105"/>
        </w:rPr>
        <w:t> </w:t>
      </w:r>
      <w:r>
        <w:rPr>
          <w:w w:val="105"/>
        </w:rPr>
        <w:t>the</w:t>
      </w:r>
      <w:r>
        <w:rPr>
          <w:spacing w:val="-3"/>
          <w:w w:val="105"/>
        </w:rPr>
        <w:t> </w:t>
      </w:r>
      <w:r>
        <w:rPr>
          <w:w w:val="105"/>
        </w:rPr>
        <w:t>Americas,</w:t>
      </w:r>
      <w:r>
        <w:rPr>
          <w:spacing w:val="-1"/>
          <w:w w:val="105"/>
        </w:rPr>
        <w:t> </w:t>
      </w:r>
      <w:r>
        <w:rPr>
          <w:w w:val="105"/>
        </w:rPr>
        <w:t>responsible</w:t>
      </w:r>
      <w:r>
        <w:rPr>
          <w:spacing w:val="-3"/>
          <w:w w:val="105"/>
        </w:rPr>
        <w:t> </w:t>
      </w:r>
      <w:r>
        <w:rPr>
          <w:w w:val="105"/>
        </w:rPr>
        <w:t>for</w:t>
      </w:r>
      <w:r>
        <w:rPr>
          <w:spacing w:val="-3"/>
          <w:w w:val="105"/>
        </w:rPr>
        <w:t> </w:t>
      </w:r>
      <w:r>
        <w:rPr>
          <w:w w:val="105"/>
        </w:rPr>
        <w:t>operations</w:t>
      </w:r>
      <w:r>
        <w:rPr>
          <w:spacing w:val="-3"/>
          <w:w w:val="105"/>
        </w:rPr>
        <w:t> </w:t>
      </w:r>
      <w:r>
        <w:rPr>
          <w:w w:val="105"/>
        </w:rPr>
        <w:t>in</w:t>
      </w:r>
      <w:r>
        <w:rPr>
          <w:spacing w:val="-3"/>
          <w:w w:val="105"/>
        </w:rPr>
        <w:t> </w:t>
      </w:r>
      <w:r>
        <w:rPr>
          <w:w w:val="105"/>
        </w:rPr>
        <w:t>Hickory,</w:t>
      </w:r>
      <w:r>
        <w:rPr>
          <w:spacing w:val="-3"/>
          <w:w w:val="105"/>
        </w:rPr>
        <w:t> </w:t>
      </w:r>
      <w:r>
        <w:rPr>
          <w:w w:val="105"/>
        </w:rPr>
        <w:t>North</w:t>
      </w:r>
      <w:r>
        <w:rPr>
          <w:spacing w:val="-3"/>
          <w:w w:val="105"/>
        </w:rPr>
        <w:t> </w:t>
      </w:r>
      <w:r>
        <w:rPr>
          <w:w w:val="105"/>
        </w:rPr>
        <w:t>Carolina;</w:t>
      </w:r>
      <w:r>
        <w:rPr>
          <w:spacing w:val="-3"/>
          <w:w w:val="105"/>
        </w:rPr>
        <w:t> </w:t>
      </w:r>
      <w:r>
        <w:rPr>
          <w:w w:val="105"/>
        </w:rPr>
        <w:t>Keller,</w:t>
      </w:r>
      <w:r>
        <w:rPr>
          <w:spacing w:val="-3"/>
          <w:w w:val="105"/>
        </w:rPr>
        <w:t> </w:t>
      </w:r>
      <w:r>
        <w:rPr>
          <w:w w:val="105"/>
        </w:rPr>
        <w:t>Texas;</w:t>
      </w:r>
      <w:r>
        <w:rPr>
          <w:spacing w:val="-3"/>
          <w:w w:val="105"/>
        </w:rPr>
        <w:t> </w:t>
      </w:r>
      <w:r>
        <w:rPr>
          <w:w w:val="105"/>
        </w:rPr>
        <w:t>Reynosa,</w:t>
      </w:r>
      <w:r>
        <w:rPr>
          <w:spacing w:val="-3"/>
          <w:w w:val="105"/>
        </w:rPr>
        <w:t> </w:t>
      </w:r>
      <w:r>
        <w:rPr>
          <w:w w:val="105"/>
        </w:rPr>
        <w:t>Mexico; Shanghai,</w:t>
      </w:r>
      <w:r>
        <w:rPr>
          <w:spacing w:val="-8"/>
          <w:w w:val="105"/>
        </w:rPr>
        <w:t> </w:t>
      </w:r>
      <w:r>
        <w:rPr>
          <w:w w:val="105"/>
        </w:rPr>
        <w:t>China;</w:t>
      </w:r>
      <w:r>
        <w:rPr>
          <w:spacing w:val="-8"/>
          <w:w w:val="105"/>
        </w:rPr>
        <w:t> </w:t>
      </w:r>
      <w:r>
        <w:rPr>
          <w:w w:val="105"/>
        </w:rPr>
        <w:t>and</w:t>
      </w:r>
      <w:r>
        <w:rPr>
          <w:spacing w:val="-8"/>
          <w:w w:val="105"/>
        </w:rPr>
        <w:t> </w:t>
      </w:r>
      <w:r>
        <w:rPr>
          <w:w w:val="105"/>
        </w:rPr>
        <w:t>the</w:t>
      </w:r>
      <w:r>
        <w:rPr>
          <w:spacing w:val="-8"/>
          <w:w w:val="105"/>
        </w:rPr>
        <w:t> </w:t>
      </w:r>
      <w:r>
        <w:rPr>
          <w:w w:val="105"/>
        </w:rPr>
        <w:t>Dominican</w:t>
      </w:r>
      <w:r>
        <w:rPr>
          <w:spacing w:val="-8"/>
          <w:w w:val="105"/>
        </w:rPr>
        <w:t> </w:t>
      </w:r>
      <w:r>
        <w:rPr>
          <w:w w:val="105"/>
        </w:rPr>
        <w:t>Republic.</w:t>
      </w:r>
      <w:r>
        <w:rPr>
          <w:spacing w:val="27"/>
          <w:w w:val="105"/>
        </w:rPr>
        <w:t> </w:t>
      </w:r>
      <w:r>
        <w:rPr>
          <w:w w:val="105"/>
        </w:rPr>
        <w:t>In</w:t>
      </w:r>
      <w:r>
        <w:rPr>
          <w:spacing w:val="-8"/>
          <w:w w:val="105"/>
        </w:rPr>
        <w:t> </w:t>
      </w:r>
      <w:r>
        <w:rPr>
          <w:w w:val="105"/>
        </w:rPr>
        <w:t>2007,</w:t>
      </w:r>
      <w:r>
        <w:rPr>
          <w:spacing w:val="-8"/>
          <w:w w:val="105"/>
        </w:rPr>
        <w:t> </w:t>
      </w:r>
      <w:r>
        <w:rPr>
          <w:w w:val="105"/>
        </w:rPr>
        <w:t>he</w:t>
      </w:r>
      <w:r>
        <w:rPr>
          <w:spacing w:val="-8"/>
          <w:w w:val="105"/>
        </w:rPr>
        <w:t> </w:t>
      </w:r>
      <w:r>
        <w:rPr>
          <w:w w:val="105"/>
        </w:rPr>
        <w:t>was</w:t>
      </w:r>
      <w:r>
        <w:rPr>
          <w:spacing w:val="-8"/>
          <w:w w:val="105"/>
        </w:rPr>
        <w:t> </w:t>
      </w:r>
      <w:r>
        <w:rPr>
          <w:w w:val="105"/>
        </w:rPr>
        <w:t>appointed</w:t>
      </w:r>
      <w:r>
        <w:rPr>
          <w:spacing w:val="-8"/>
          <w:w w:val="105"/>
        </w:rPr>
        <w:t> </w:t>
      </w:r>
      <w:r>
        <w:rPr>
          <w:w w:val="105"/>
        </w:rPr>
        <w:t>as</w:t>
      </w:r>
      <w:r>
        <w:rPr>
          <w:spacing w:val="-8"/>
          <w:w w:val="105"/>
        </w:rPr>
        <w:t> </w:t>
      </w:r>
      <w:r>
        <w:rPr>
          <w:w w:val="105"/>
        </w:rPr>
        <w:t>senior</w:t>
      </w:r>
      <w:r>
        <w:rPr>
          <w:spacing w:val="-8"/>
          <w:w w:val="105"/>
        </w:rPr>
        <w:t> </w:t>
      </w:r>
      <w:r>
        <w:rPr>
          <w:w w:val="105"/>
        </w:rPr>
        <w:t>vice</w:t>
      </w:r>
      <w:r>
        <w:rPr>
          <w:spacing w:val="-8"/>
          <w:w w:val="105"/>
        </w:rPr>
        <w:t> </w:t>
      </w:r>
      <w:r>
        <w:rPr>
          <w:w w:val="105"/>
        </w:rPr>
        <w:t>president</w:t>
      </w:r>
      <w:r>
        <w:rPr>
          <w:spacing w:val="-8"/>
          <w:w w:val="105"/>
        </w:rPr>
        <w:t> </w:t>
      </w:r>
      <w:r>
        <w:rPr>
          <w:w w:val="105"/>
        </w:rPr>
        <w:t>and</w:t>
      </w:r>
      <w:r>
        <w:rPr>
          <w:spacing w:val="-8"/>
          <w:w w:val="105"/>
        </w:rPr>
        <w:t> </w:t>
      </w:r>
      <w:r>
        <w:rPr>
          <w:w w:val="105"/>
        </w:rPr>
        <w:t>general</w:t>
      </w:r>
      <w:r>
        <w:rPr>
          <w:spacing w:val="-6"/>
          <w:w w:val="105"/>
        </w:rPr>
        <w:t> </w:t>
      </w:r>
      <w:r>
        <w:rPr>
          <w:w w:val="105"/>
        </w:rPr>
        <w:t>manager</w:t>
      </w:r>
      <w:r>
        <w:rPr>
          <w:spacing w:val="-8"/>
          <w:w w:val="105"/>
        </w:rPr>
        <w:t> </w:t>
      </w:r>
      <w:r>
        <w:rPr>
          <w:w w:val="105"/>
        </w:rPr>
        <w:t>of</w:t>
      </w:r>
      <w:r>
        <w:rPr>
          <w:spacing w:val="-8"/>
          <w:w w:val="105"/>
        </w:rPr>
        <w:t> </w:t>
      </w:r>
      <w:r>
        <w:rPr>
          <w:w w:val="105"/>
        </w:rPr>
        <w:t>Corning</w:t>
      </w:r>
      <w:r>
        <w:rPr>
          <w:spacing w:val="-8"/>
          <w:w w:val="105"/>
        </w:rPr>
        <w:t> </w:t>
      </w:r>
      <w:r>
        <w:rPr>
          <w:w w:val="105"/>
        </w:rPr>
        <w:t>Optical</w:t>
      </w:r>
      <w:r>
        <w:rPr>
          <w:spacing w:val="-8"/>
          <w:w w:val="105"/>
        </w:rPr>
        <w:t> </w:t>
      </w:r>
      <w:r>
        <w:rPr>
          <w:w w:val="105"/>
        </w:rPr>
        <w:t>Fiber.</w:t>
      </w:r>
      <w:r>
        <w:rPr>
          <w:spacing w:val="27"/>
          <w:w w:val="105"/>
        </w:rPr>
        <w:t> </w:t>
      </w:r>
      <w:r>
        <w:rPr>
          <w:w w:val="105"/>
        </w:rPr>
        <w:t>Mr.</w:t>
      </w:r>
      <w:r>
        <w:rPr>
          <w:spacing w:val="-8"/>
          <w:w w:val="105"/>
        </w:rPr>
        <w:t> </w:t>
      </w:r>
      <w:r>
        <w:rPr>
          <w:w w:val="105"/>
        </w:rPr>
        <w:t>Curran</w:t>
      </w:r>
      <w:r>
        <w:rPr>
          <w:spacing w:val="-8"/>
          <w:w w:val="105"/>
        </w:rPr>
        <w:t> </w:t>
      </w:r>
      <w:r>
        <w:rPr>
          <w:w w:val="105"/>
        </w:rPr>
        <w:t>was</w:t>
      </w:r>
      <w:r>
        <w:rPr>
          <w:spacing w:val="-8"/>
          <w:w w:val="105"/>
        </w:rPr>
        <w:t> </w:t>
      </w:r>
      <w:r>
        <w:rPr>
          <w:w w:val="105"/>
        </w:rPr>
        <w:t>appointed as executive vice president and innovation officer in August 2012.</w:t>
      </w:r>
      <w:r>
        <w:rPr>
          <w:spacing w:val="40"/>
          <w:w w:val="105"/>
        </w:rPr>
        <w:t> </w:t>
      </w:r>
      <w:r>
        <w:rPr>
          <w:w w:val="105"/>
        </w:rPr>
        <w:t>Age 63.</w:t>
      </w:r>
    </w:p>
    <w:p>
      <w:pPr>
        <w:pStyle w:val="BodyText"/>
        <w:spacing w:before="18"/>
      </w:pPr>
    </w:p>
    <w:p>
      <w:pPr>
        <w:spacing w:before="0"/>
        <w:ind w:left="156" w:right="0" w:firstLine="0"/>
        <w:jc w:val="left"/>
        <w:rPr>
          <w:i/>
          <w:sz w:val="16"/>
        </w:rPr>
      </w:pPr>
      <w:r>
        <w:rPr>
          <w:w w:val="105"/>
          <w:sz w:val="16"/>
        </w:rPr>
        <w:t>Jeffrey</w:t>
      </w:r>
      <w:r>
        <w:rPr>
          <w:spacing w:val="-9"/>
          <w:w w:val="105"/>
          <w:sz w:val="16"/>
        </w:rPr>
        <w:t> </w:t>
      </w:r>
      <w:r>
        <w:rPr>
          <w:w w:val="105"/>
          <w:sz w:val="16"/>
        </w:rPr>
        <w:t>W.</w:t>
      </w:r>
      <w:r>
        <w:rPr>
          <w:spacing w:val="-8"/>
          <w:w w:val="105"/>
          <w:sz w:val="16"/>
        </w:rPr>
        <w:t> </w:t>
      </w:r>
      <w:r>
        <w:rPr>
          <w:w w:val="105"/>
          <w:sz w:val="16"/>
        </w:rPr>
        <w:t>Evenson</w:t>
      </w:r>
      <w:r>
        <w:rPr>
          <w:spacing w:val="26"/>
          <w:w w:val="105"/>
          <w:sz w:val="16"/>
        </w:rPr>
        <w:t> </w:t>
      </w:r>
      <w:r>
        <w:rPr>
          <w:i/>
          <w:w w:val="105"/>
          <w:sz w:val="16"/>
        </w:rPr>
        <w:t>Executive</w:t>
      </w:r>
      <w:r>
        <w:rPr>
          <w:i/>
          <w:spacing w:val="-9"/>
          <w:w w:val="105"/>
          <w:sz w:val="16"/>
        </w:rPr>
        <w:t> </w:t>
      </w:r>
      <w:r>
        <w:rPr>
          <w:i/>
          <w:w w:val="105"/>
          <w:sz w:val="16"/>
        </w:rPr>
        <w:t>Vice</w:t>
      </w:r>
      <w:r>
        <w:rPr>
          <w:i/>
          <w:spacing w:val="-8"/>
          <w:w w:val="105"/>
          <w:sz w:val="16"/>
        </w:rPr>
        <w:t> </w:t>
      </w:r>
      <w:r>
        <w:rPr>
          <w:i/>
          <w:w w:val="105"/>
          <w:sz w:val="16"/>
        </w:rPr>
        <w:t>President</w:t>
      </w:r>
      <w:r>
        <w:rPr>
          <w:i/>
          <w:spacing w:val="-9"/>
          <w:w w:val="105"/>
          <w:sz w:val="16"/>
        </w:rPr>
        <w:t> </w:t>
      </w:r>
      <w:r>
        <w:rPr>
          <w:i/>
          <w:w w:val="105"/>
          <w:sz w:val="16"/>
        </w:rPr>
        <w:t>and</w:t>
      </w:r>
      <w:r>
        <w:rPr>
          <w:i/>
          <w:spacing w:val="-8"/>
          <w:w w:val="105"/>
          <w:sz w:val="16"/>
        </w:rPr>
        <w:t> </w:t>
      </w:r>
      <w:r>
        <w:rPr>
          <w:i/>
          <w:w w:val="105"/>
          <w:sz w:val="16"/>
        </w:rPr>
        <w:t>Chief</w:t>
      </w:r>
      <w:r>
        <w:rPr>
          <w:i/>
          <w:spacing w:val="-9"/>
          <w:w w:val="105"/>
          <w:sz w:val="16"/>
        </w:rPr>
        <w:t> </w:t>
      </w:r>
      <w:r>
        <w:rPr>
          <w:i/>
          <w:w w:val="105"/>
          <w:sz w:val="16"/>
        </w:rPr>
        <w:t>Strategy</w:t>
      </w:r>
      <w:r>
        <w:rPr>
          <w:i/>
          <w:spacing w:val="-8"/>
          <w:w w:val="105"/>
          <w:sz w:val="16"/>
        </w:rPr>
        <w:t> </w:t>
      </w:r>
      <w:r>
        <w:rPr>
          <w:i/>
          <w:spacing w:val="-2"/>
          <w:w w:val="105"/>
          <w:sz w:val="16"/>
        </w:rPr>
        <w:t>Officer</w:t>
      </w:r>
    </w:p>
    <w:p>
      <w:pPr>
        <w:pStyle w:val="BodyText"/>
        <w:spacing w:line="266" w:lineRule="auto" w:before="20"/>
        <w:ind w:left="156" w:right="117"/>
      </w:pPr>
      <w:r>
        <w:rPr>
          <w:w w:val="105"/>
        </w:rPr>
        <w:t>Dr.</w:t>
      </w:r>
      <w:r>
        <w:rPr>
          <w:spacing w:val="-3"/>
          <w:w w:val="105"/>
        </w:rPr>
        <w:t> </w:t>
      </w:r>
      <w:r>
        <w:rPr>
          <w:w w:val="105"/>
        </w:rPr>
        <w:t>Evenson</w:t>
      </w:r>
      <w:r>
        <w:rPr>
          <w:spacing w:val="-3"/>
          <w:w w:val="105"/>
        </w:rPr>
        <w:t> </w:t>
      </w:r>
      <w:r>
        <w:rPr>
          <w:w w:val="105"/>
        </w:rPr>
        <w:t>joined</w:t>
      </w:r>
      <w:r>
        <w:rPr>
          <w:spacing w:val="-3"/>
          <w:w w:val="105"/>
        </w:rPr>
        <w:t> </w:t>
      </w:r>
      <w:r>
        <w:rPr>
          <w:w w:val="105"/>
        </w:rPr>
        <w:t>Corning</w:t>
      </w:r>
      <w:r>
        <w:rPr>
          <w:spacing w:val="-3"/>
          <w:w w:val="105"/>
        </w:rPr>
        <w:t> </w:t>
      </w:r>
      <w:r>
        <w:rPr>
          <w:w w:val="105"/>
        </w:rPr>
        <w:t>in</w:t>
      </w:r>
      <w:r>
        <w:rPr>
          <w:spacing w:val="-3"/>
          <w:w w:val="105"/>
        </w:rPr>
        <w:t> </w:t>
      </w:r>
      <w:r>
        <w:rPr>
          <w:w w:val="105"/>
        </w:rPr>
        <w:t>2011</w:t>
      </w:r>
      <w:r>
        <w:rPr>
          <w:spacing w:val="-3"/>
          <w:w w:val="105"/>
        </w:rPr>
        <w:t> </w:t>
      </w:r>
      <w:r>
        <w:rPr>
          <w:w w:val="105"/>
        </w:rPr>
        <w:t>as</w:t>
      </w:r>
      <w:r>
        <w:rPr>
          <w:spacing w:val="-3"/>
          <w:w w:val="105"/>
        </w:rPr>
        <w:t> </w:t>
      </w:r>
      <w:r>
        <w:rPr>
          <w:w w:val="105"/>
        </w:rPr>
        <w:t>senior</w:t>
      </w:r>
      <w:r>
        <w:rPr>
          <w:spacing w:val="-3"/>
          <w:w w:val="105"/>
        </w:rPr>
        <w:t> </w:t>
      </w:r>
      <w:r>
        <w:rPr>
          <w:w w:val="105"/>
        </w:rPr>
        <w:t>vice</w:t>
      </w:r>
      <w:r>
        <w:rPr>
          <w:spacing w:val="-3"/>
          <w:w w:val="105"/>
        </w:rPr>
        <w:t> </w:t>
      </w:r>
      <w:r>
        <w:rPr>
          <w:w w:val="105"/>
        </w:rPr>
        <w:t>president</w:t>
      </w:r>
      <w:r>
        <w:rPr>
          <w:spacing w:val="-3"/>
          <w:w w:val="105"/>
        </w:rPr>
        <w:t> </w:t>
      </w:r>
      <w:r>
        <w:rPr>
          <w:w w:val="105"/>
        </w:rPr>
        <w:t>and</w:t>
      </w:r>
      <w:r>
        <w:rPr>
          <w:spacing w:val="-3"/>
          <w:w w:val="105"/>
        </w:rPr>
        <w:t> </w:t>
      </w:r>
      <w:r>
        <w:rPr>
          <w:w w:val="105"/>
        </w:rPr>
        <w:t>operations</w:t>
      </w:r>
      <w:r>
        <w:rPr>
          <w:spacing w:val="-3"/>
          <w:w w:val="105"/>
        </w:rPr>
        <w:t> </w:t>
      </w:r>
      <w:r>
        <w:rPr>
          <w:w w:val="105"/>
        </w:rPr>
        <w:t>chief</w:t>
      </w:r>
      <w:r>
        <w:rPr>
          <w:spacing w:val="-3"/>
          <w:w w:val="105"/>
        </w:rPr>
        <w:t> </w:t>
      </w:r>
      <w:r>
        <w:rPr>
          <w:w w:val="105"/>
        </w:rPr>
        <w:t>of</w:t>
      </w:r>
      <w:r>
        <w:rPr>
          <w:spacing w:val="-3"/>
          <w:w w:val="105"/>
        </w:rPr>
        <w:t> </w:t>
      </w:r>
      <w:r>
        <w:rPr>
          <w:w w:val="105"/>
        </w:rPr>
        <w:t>staff.</w:t>
      </w:r>
      <w:r>
        <w:rPr>
          <w:spacing w:val="37"/>
          <w:w w:val="105"/>
        </w:rPr>
        <w:t> </w:t>
      </w:r>
      <w:r>
        <w:rPr>
          <w:w w:val="105"/>
        </w:rPr>
        <w:t>In</w:t>
      </w:r>
      <w:r>
        <w:rPr>
          <w:spacing w:val="-3"/>
          <w:w w:val="105"/>
        </w:rPr>
        <w:t> </w:t>
      </w:r>
      <w:r>
        <w:rPr>
          <w:w w:val="105"/>
        </w:rPr>
        <w:t>2015,</w:t>
      </w:r>
      <w:r>
        <w:rPr>
          <w:spacing w:val="-3"/>
          <w:w w:val="105"/>
        </w:rPr>
        <w:t> </w:t>
      </w:r>
      <w:r>
        <w:rPr>
          <w:w w:val="105"/>
        </w:rPr>
        <w:t>he</w:t>
      </w:r>
      <w:r>
        <w:rPr>
          <w:spacing w:val="-3"/>
          <w:w w:val="105"/>
        </w:rPr>
        <w:t> </w:t>
      </w:r>
      <w:r>
        <w:rPr>
          <w:w w:val="105"/>
        </w:rPr>
        <w:t>was</w:t>
      </w:r>
      <w:r>
        <w:rPr>
          <w:spacing w:val="-3"/>
          <w:w w:val="105"/>
        </w:rPr>
        <w:t> </w:t>
      </w:r>
      <w:r>
        <w:rPr>
          <w:w w:val="105"/>
        </w:rPr>
        <w:t>named</w:t>
      </w:r>
      <w:r>
        <w:rPr>
          <w:spacing w:val="-1"/>
          <w:w w:val="105"/>
        </w:rPr>
        <w:t> </w:t>
      </w:r>
      <w:r>
        <w:rPr>
          <w:w w:val="105"/>
        </w:rPr>
        <w:t>chief</w:t>
      </w:r>
      <w:r>
        <w:rPr>
          <w:spacing w:val="-3"/>
          <w:w w:val="105"/>
        </w:rPr>
        <w:t> </w:t>
      </w:r>
      <w:r>
        <w:rPr>
          <w:w w:val="105"/>
        </w:rPr>
        <w:t>strategy</w:t>
      </w:r>
      <w:r>
        <w:rPr>
          <w:spacing w:val="-3"/>
          <w:w w:val="105"/>
        </w:rPr>
        <w:t> </w:t>
      </w:r>
      <w:r>
        <w:rPr>
          <w:w w:val="105"/>
        </w:rPr>
        <w:t>officer.</w:t>
      </w:r>
      <w:r>
        <w:rPr>
          <w:spacing w:val="37"/>
          <w:w w:val="105"/>
        </w:rPr>
        <w:t> </w:t>
      </w:r>
      <w:r>
        <w:rPr>
          <w:w w:val="105"/>
        </w:rPr>
        <w:t>He</w:t>
      </w:r>
      <w:r>
        <w:rPr>
          <w:spacing w:val="-3"/>
          <w:w w:val="105"/>
        </w:rPr>
        <w:t> </w:t>
      </w:r>
      <w:r>
        <w:rPr>
          <w:w w:val="105"/>
        </w:rPr>
        <w:t>was</w:t>
      </w:r>
      <w:r>
        <w:rPr>
          <w:spacing w:val="-3"/>
          <w:w w:val="105"/>
        </w:rPr>
        <w:t> </w:t>
      </w:r>
      <w:r>
        <w:rPr>
          <w:w w:val="105"/>
        </w:rPr>
        <w:t>appointed</w:t>
      </w:r>
      <w:r>
        <w:rPr>
          <w:spacing w:val="-3"/>
          <w:w w:val="105"/>
        </w:rPr>
        <w:t> </w:t>
      </w:r>
      <w:r>
        <w:rPr>
          <w:w w:val="105"/>
        </w:rPr>
        <w:t>executive</w:t>
      </w:r>
      <w:r>
        <w:rPr>
          <w:spacing w:val="-3"/>
          <w:w w:val="105"/>
        </w:rPr>
        <w:t> </w:t>
      </w:r>
      <w:r>
        <w:rPr>
          <w:w w:val="105"/>
        </w:rPr>
        <w:t>vice president</w:t>
      </w:r>
      <w:r>
        <w:rPr>
          <w:spacing w:val="-2"/>
          <w:w w:val="105"/>
        </w:rPr>
        <w:t> </w:t>
      </w:r>
      <w:r>
        <w:rPr>
          <w:w w:val="105"/>
        </w:rPr>
        <w:t>in</w:t>
      </w:r>
      <w:r>
        <w:rPr>
          <w:spacing w:val="-2"/>
          <w:w w:val="105"/>
        </w:rPr>
        <w:t> </w:t>
      </w:r>
      <w:r>
        <w:rPr>
          <w:w w:val="105"/>
        </w:rPr>
        <w:t>2018.</w:t>
      </w:r>
      <w:r>
        <w:rPr>
          <w:spacing w:val="-2"/>
          <w:w w:val="105"/>
        </w:rPr>
        <w:t> </w:t>
      </w:r>
      <w:r>
        <w:rPr>
          <w:w w:val="105"/>
        </w:rPr>
        <w:t>He</w:t>
      </w:r>
      <w:r>
        <w:rPr>
          <w:spacing w:val="-2"/>
          <w:w w:val="105"/>
        </w:rPr>
        <w:t> </w:t>
      </w:r>
      <w:r>
        <w:rPr>
          <w:w w:val="105"/>
        </w:rPr>
        <w:t>oversees</w:t>
      </w:r>
      <w:r>
        <w:rPr>
          <w:spacing w:val="-2"/>
          <w:w w:val="105"/>
        </w:rPr>
        <w:t> </w:t>
      </w:r>
      <w:r>
        <w:rPr>
          <w:w w:val="105"/>
        </w:rPr>
        <w:t>corporate</w:t>
      </w:r>
      <w:r>
        <w:rPr>
          <w:spacing w:val="-2"/>
          <w:w w:val="105"/>
        </w:rPr>
        <w:t> </w:t>
      </w:r>
      <w:r>
        <w:rPr>
          <w:w w:val="105"/>
        </w:rPr>
        <w:t>strategy,</w:t>
      </w:r>
      <w:r>
        <w:rPr>
          <w:spacing w:val="-2"/>
          <w:w w:val="105"/>
        </w:rPr>
        <w:t> </w:t>
      </w:r>
      <w:r>
        <w:rPr>
          <w:w w:val="105"/>
        </w:rPr>
        <w:t>corporate</w:t>
      </w:r>
      <w:r>
        <w:rPr>
          <w:spacing w:val="-2"/>
          <w:w w:val="105"/>
        </w:rPr>
        <w:t> </w:t>
      </w:r>
      <w:r>
        <w:rPr>
          <w:w w:val="105"/>
        </w:rPr>
        <w:t>communications,</w:t>
      </w:r>
      <w:r>
        <w:rPr>
          <w:spacing w:val="-2"/>
          <w:w w:val="105"/>
        </w:rPr>
        <w:t> </w:t>
      </w:r>
      <w:r>
        <w:rPr>
          <w:w w:val="105"/>
        </w:rPr>
        <w:t>and</w:t>
      </w:r>
      <w:r>
        <w:rPr>
          <w:spacing w:val="-2"/>
          <w:w w:val="105"/>
        </w:rPr>
        <w:t> </w:t>
      </w:r>
      <w:r>
        <w:rPr>
          <w:w w:val="105"/>
        </w:rPr>
        <w:t>advanced</w:t>
      </w:r>
      <w:r>
        <w:rPr>
          <w:spacing w:val="-2"/>
          <w:w w:val="105"/>
        </w:rPr>
        <w:t> </w:t>
      </w:r>
      <w:r>
        <w:rPr>
          <w:w w:val="105"/>
        </w:rPr>
        <w:t>analytics.</w:t>
      </w:r>
      <w:r>
        <w:rPr>
          <w:spacing w:val="39"/>
          <w:w w:val="105"/>
        </w:rPr>
        <w:t> </w:t>
      </w:r>
      <w:r>
        <w:rPr>
          <w:w w:val="105"/>
        </w:rPr>
        <w:t>Prior</w:t>
      </w:r>
      <w:r>
        <w:rPr>
          <w:spacing w:val="-2"/>
          <w:w w:val="105"/>
        </w:rPr>
        <w:t> </w:t>
      </w:r>
      <w:r>
        <w:rPr>
          <w:w w:val="105"/>
        </w:rPr>
        <w:t>to</w:t>
      </w:r>
      <w:r>
        <w:rPr>
          <w:spacing w:val="-2"/>
          <w:w w:val="105"/>
        </w:rPr>
        <w:t> </w:t>
      </w:r>
      <w:r>
        <w:rPr>
          <w:w w:val="105"/>
        </w:rPr>
        <w:t>joining</w:t>
      </w:r>
      <w:r>
        <w:rPr>
          <w:spacing w:val="-2"/>
          <w:w w:val="105"/>
        </w:rPr>
        <w:t> </w:t>
      </w:r>
      <w:r>
        <w:rPr>
          <w:w w:val="105"/>
        </w:rPr>
        <w:t>Corning,</w:t>
      </w:r>
      <w:r>
        <w:rPr>
          <w:spacing w:val="-2"/>
          <w:w w:val="105"/>
        </w:rPr>
        <w:t> </w:t>
      </w:r>
      <w:r>
        <w:rPr>
          <w:w w:val="105"/>
        </w:rPr>
        <w:t>Dr.</w:t>
      </w:r>
      <w:r>
        <w:rPr>
          <w:spacing w:val="-2"/>
          <w:w w:val="105"/>
        </w:rPr>
        <w:t> </w:t>
      </w:r>
      <w:r>
        <w:rPr>
          <w:w w:val="105"/>
        </w:rPr>
        <w:t>Evenson</w:t>
      </w:r>
      <w:r>
        <w:rPr>
          <w:spacing w:val="-2"/>
          <w:w w:val="105"/>
        </w:rPr>
        <w:t> </w:t>
      </w:r>
      <w:r>
        <w:rPr>
          <w:w w:val="105"/>
        </w:rPr>
        <w:t>was</w:t>
      </w:r>
      <w:r>
        <w:rPr>
          <w:spacing w:val="-2"/>
          <w:w w:val="105"/>
        </w:rPr>
        <w:t> </w:t>
      </w:r>
      <w:r>
        <w:rPr>
          <w:w w:val="105"/>
        </w:rPr>
        <w:t>a</w:t>
      </w:r>
      <w:r>
        <w:rPr>
          <w:spacing w:val="-2"/>
          <w:w w:val="105"/>
        </w:rPr>
        <w:t> </w:t>
      </w:r>
      <w:r>
        <w:rPr>
          <w:w w:val="105"/>
        </w:rPr>
        <w:t>senior</w:t>
      </w:r>
      <w:r>
        <w:rPr>
          <w:spacing w:val="-2"/>
          <w:w w:val="105"/>
        </w:rPr>
        <w:t> </w:t>
      </w:r>
      <w:r>
        <w:rPr>
          <w:w w:val="105"/>
        </w:rPr>
        <w:t>vice</w:t>
      </w:r>
      <w:r>
        <w:rPr>
          <w:spacing w:val="-2"/>
          <w:w w:val="105"/>
        </w:rPr>
        <w:t> </w:t>
      </w:r>
      <w:r>
        <w:rPr>
          <w:w w:val="105"/>
        </w:rPr>
        <w:t>president with</w:t>
      </w:r>
      <w:r>
        <w:rPr>
          <w:spacing w:val="-7"/>
          <w:w w:val="105"/>
        </w:rPr>
        <w:t> </w:t>
      </w:r>
      <w:r>
        <w:rPr>
          <w:w w:val="105"/>
        </w:rPr>
        <w:t>Sanford</w:t>
      </w:r>
      <w:r>
        <w:rPr>
          <w:spacing w:val="-7"/>
          <w:w w:val="105"/>
        </w:rPr>
        <w:t> </w:t>
      </w:r>
      <w:r>
        <w:rPr>
          <w:w w:val="105"/>
        </w:rPr>
        <w:t>C.</w:t>
      </w:r>
      <w:r>
        <w:rPr>
          <w:spacing w:val="-7"/>
          <w:w w:val="105"/>
        </w:rPr>
        <w:t> </w:t>
      </w:r>
      <w:r>
        <w:rPr>
          <w:w w:val="105"/>
        </w:rPr>
        <w:t>Bernstein</w:t>
      </w:r>
      <w:r>
        <w:rPr>
          <w:spacing w:val="-7"/>
          <w:w w:val="105"/>
        </w:rPr>
        <w:t> </w:t>
      </w:r>
      <w:r>
        <w:rPr>
          <w:w w:val="105"/>
        </w:rPr>
        <w:t>&amp;</w:t>
      </w:r>
      <w:r>
        <w:rPr>
          <w:spacing w:val="-7"/>
          <w:w w:val="105"/>
        </w:rPr>
        <w:t> </w:t>
      </w:r>
      <w:r>
        <w:rPr>
          <w:w w:val="105"/>
        </w:rPr>
        <w:t>Co.,</w:t>
      </w:r>
      <w:r>
        <w:rPr>
          <w:spacing w:val="-7"/>
          <w:w w:val="105"/>
        </w:rPr>
        <w:t> </w:t>
      </w:r>
      <w:r>
        <w:rPr>
          <w:w w:val="105"/>
        </w:rPr>
        <w:t>LLC,</w:t>
      </w:r>
      <w:r>
        <w:rPr>
          <w:spacing w:val="-7"/>
          <w:w w:val="105"/>
        </w:rPr>
        <w:t> </w:t>
      </w:r>
      <w:r>
        <w:rPr>
          <w:w w:val="105"/>
        </w:rPr>
        <w:t>where</w:t>
      </w:r>
      <w:r>
        <w:rPr>
          <w:spacing w:val="-7"/>
          <w:w w:val="105"/>
        </w:rPr>
        <w:t> </w:t>
      </w:r>
      <w:r>
        <w:rPr>
          <w:w w:val="105"/>
        </w:rPr>
        <w:t>he</w:t>
      </w:r>
      <w:r>
        <w:rPr>
          <w:spacing w:val="-7"/>
          <w:w w:val="105"/>
        </w:rPr>
        <w:t> </w:t>
      </w:r>
      <w:r>
        <w:rPr>
          <w:w w:val="105"/>
        </w:rPr>
        <w:t>served</w:t>
      </w:r>
      <w:r>
        <w:rPr>
          <w:spacing w:val="-7"/>
          <w:w w:val="105"/>
        </w:rPr>
        <w:t> </w:t>
      </w:r>
      <w:r>
        <w:rPr>
          <w:w w:val="105"/>
        </w:rPr>
        <w:t>as</w:t>
      </w:r>
      <w:r>
        <w:rPr>
          <w:spacing w:val="-5"/>
          <w:w w:val="105"/>
        </w:rPr>
        <w:t> </w:t>
      </w:r>
      <w:r>
        <w:rPr>
          <w:w w:val="105"/>
        </w:rPr>
        <w:t>a</w:t>
      </w:r>
      <w:r>
        <w:rPr>
          <w:spacing w:val="-7"/>
          <w:w w:val="105"/>
        </w:rPr>
        <w:t> </w:t>
      </w:r>
      <w:r>
        <w:rPr>
          <w:w w:val="105"/>
        </w:rPr>
        <w:t>senior</w:t>
      </w:r>
      <w:r>
        <w:rPr>
          <w:spacing w:val="-7"/>
          <w:w w:val="105"/>
        </w:rPr>
        <w:t> </w:t>
      </w:r>
      <w:r>
        <w:rPr>
          <w:w w:val="105"/>
        </w:rPr>
        <w:t>analyst.</w:t>
      </w:r>
      <w:r>
        <w:rPr>
          <w:spacing w:val="28"/>
          <w:w w:val="105"/>
        </w:rPr>
        <w:t> </w:t>
      </w:r>
      <w:r>
        <w:rPr>
          <w:w w:val="105"/>
        </w:rPr>
        <w:t>Before</w:t>
      </w:r>
      <w:r>
        <w:rPr>
          <w:spacing w:val="-7"/>
          <w:w w:val="105"/>
        </w:rPr>
        <w:t> </w:t>
      </w:r>
      <w:r>
        <w:rPr>
          <w:w w:val="105"/>
        </w:rPr>
        <w:t>that,</w:t>
      </w:r>
      <w:r>
        <w:rPr>
          <w:spacing w:val="-7"/>
          <w:w w:val="105"/>
        </w:rPr>
        <w:t> </w:t>
      </w:r>
      <w:r>
        <w:rPr>
          <w:w w:val="105"/>
        </w:rPr>
        <w:t>Dr.</w:t>
      </w:r>
      <w:r>
        <w:rPr>
          <w:spacing w:val="-7"/>
          <w:w w:val="105"/>
        </w:rPr>
        <w:t> </w:t>
      </w:r>
      <w:r>
        <w:rPr>
          <w:w w:val="105"/>
        </w:rPr>
        <w:t>Evenson</w:t>
      </w:r>
      <w:r>
        <w:rPr>
          <w:spacing w:val="-7"/>
          <w:w w:val="105"/>
        </w:rPr>
        <w:t> </w:t>
      </w:r>
      <w:r>
        <w:rPr>
          <w:w w:val="105"/>
        </w:rPr>
        <w:t>was</w:t>
      </w:r>
      <w:r>
        <w:rPr>
          <w:spacing w:val="-7"/>
          <w:w w:val="105"/>
        </w:rPr>
        <w:t> </w:t>
      </w:r>
      <w:r>
        <w:rPr>
          <w:w w:val="105"/>
        </w:rPr>
        <w:t>a</w:t>
      </w:r>
      <w:r>
        <w:rPr>
          <w:spacing w:val="-7"/>
          <w:w w:val="105"/>
        </w:rPr>
        <w:t> </w:t>
      </w:r>
      <w:r>
        <w:rPr>
          <w:w w:val="105"/>
        </w:rPr>
        <w:t>partner</w:t>
      </w:r>
      <w:r>
        <w:rPr>
          <w:spacing w:val="-7"/>
          <w:w w:val="105"/>
        </w:rPr>
        <w:t> </w:t>
      </w:r>
      <w:r>
        <w:rPr>
          <w:w w:val="105"/>
        </w:rPr>
        <w:t>at</w:t>
      </w:r>
      <w:r>
        <w:rPr>
          <w:spacing w:val="-7"/>
          <w:w w:val="105"/>
        </w:rPr>
        <w:t> </w:t>
      </w:r>
      <w:r>
        <w:rPr>
          <w:w w:val="105"/>
        </w:rPr>
        <w:t>McKinsey</w:t>
      </w:r>
      <w:r>
        <w:rPr>
          <w:spacing w:val="-7"/>
          <w:w w:val="105"/>
        </w:rPr>
        <w:t> </w:t>
      </w:r>
      <w:r>
        <w:rPr>
          <w:w w:val="105"/>
        </w:rPr>
        <w:t>&amp;</w:t>
      </w:r>
      <w:r>
        <w:rPr>
          <w:spacing w:val="-7"/>
          <w:w w:val="105"/>
        </w:rPr>
        <w:t> </w:t>
      </w:r>
      <w:r>
        <w:rPr>
          <w:w w:val="105"/>
        </w:rPr>
        <w:t>Company,</w:t>
      </w:r>
      <w:r>
        <w:rPr>
          <w:spacing w:val="-7"/>
          <w:w w:val="105"/>
        </w:rPr>
        <w:t> </w:t>
      </w:r>
      <w:r>
        <w:rPr>
          <w:w w:val="105"/>
        </w:rPr>
        <w:t>where</w:t>
      </w:r>
      <w:r>
        <w:rPr>
          <w:spacing w:val="-7"/>
          <w:w w:val="105"/>
        </w:rPr>
        <w:t> </w:t>
      </w:r>
      <w:r>
        <w:rPr>
          <w:w w:val="105"/>
        </w:rPr>
        <w:t>he</w:t>
      </w:r>
      <w:r>
        <w:rPr>
          <w:spacing w:val="-7"/>
          <w:w w:val="105"/>
        </w:rPr>
        <w:t> </w:t>
      </w:r>
      <w:r>
        <w:rPr>
          <w:w w:val="105"/>
        </w:rPr>
        <w:t>led</w:t>
      </w:r>
      <w:r>
        <w:rPr>
          <w:spacing w:val="-7"/>
          <w:w w:val="105"/>
        </w:rPr>
        <w:t> </w:t>
      </w:r>
      <w:r>
        <w:rPr>
          <w:w w:val="105"/>
        </w:rPr>
        <w:t>technology</w:t>
      </w:r>
      <w:r>
        <w:rPr>
          <w:spacing w:val="-7"/>
          <w:w w:val="105"/>
        </w:rPr>
        <w:t> </w:t>
      </w:r>
      <w:r>
        <w:rPr>
          <w:w w:val="105"/>
        </w:rPr>
        <w:t>and market assessment for early-stage technologies.</w:t>
      </w:r>
      <w:r>
        <w:rPr>
          <w:spacing w:val="80"/>
          <w:w w:val="105"/>
        </w:rPr>
        <w:t> </w:t>
      </w:r>
      <w:r>
        <w:rPr>
          <w:w w:val="105"/>
        </w:rPr>
        <w:t>Age 56.</w:t>
      </w:r>
    </w:p>
    <w:p>
      <w:pPr>
        <w:pStyle w:val="BodyText"/>
        <w:spacing w:before="18"/>
      </w:pPr>
    </w:p>
    <w:p>
      <w:pPr>
        <w:spacing w:before="0"/>
        <w:ind w:left="156" w:right="0" w:firstLine="0"/>
        <w:jc w:val="left"/>
        <w:rPr>
          <w:i/>
          <w:sz w:val="16"/>
        </w:rPr>
      </w:pPr>
      <w:r>
        <w:rPr>
          <w:w w:val="105"/>
          <w:sz w:val="16"/>
        </w:rPr>
        <w:t>Li</w:t>
      </w:r>
      <w:r>
        <w:rPr>
          <w:spacing w:val="-10"/>
          <w:w w:val="105"/>
          <w:sz w:val="16"/>
        </w:rPr>
        <w:t> </w:t>
      </w:r>
      <w:r>
        <w:rPr>
          <w:w w:val="105"/>
          <w:sz w:val="16"/>
        </w:rPr>
        <w:t>Fang</w:t>
      </w:r>
      <w:r>
        <w:rPr>
          <w:spacing w:val="23"/>
          <w:w w:val="105"/>
          <w:sz w:val="16"/>
        </w:rPr>
        <w:t> </w:t>
      </w:r>
      <w:r>
        <w:rPr>
          <w:i/>
          <w:w w:val="105"/>
          <w:sz w:val="16"/>
        </w:rPr>
        <w:t>President</w:t>
      </w:r>
      <w:r>
        <w:rPr>
          <w:i/>
          <w:spacing w:val="-9"/>
          <w:w w:val="105"/>
          <w:sz w:val="16"/>
        </w:rPr>
        <w:t> </w:t>
      </w:r>
      <w:r>
        <w:rPr>
          <w:i/>
          <w:w w:val="105"/>
          <w:sz w:val="16"/>
        </w:rPr>
        <w:t>&amp;</w:t>
      </w:r>
      <w:r>
        <w:rPr>
          <w:i/>
          <w:spacing w:val="-10"/>
          <w:w w:val="105"/>
          <w:sz w:val="16"/>
        </w:rPr>
        <w:t> </w:t>
      </w:r>
      <w:r>
        <w:rPr>
          <w:i/>
          <w:w w:val="105"/>
          <w:sz w:val="16"/>
        </w:rPr>
        <w:t>General</w:t>
      </w:r>
      <w:r>
        <w:rPr>
          <w:i/>
          <w:spacing w:val="-9"/>
          <w:w w:val="105"/>
          <w:sz w:val="16"/>
        </w:rPr>
        <w:t> </w:t>
      </w:r>
      <w:r>
        <w:rPr>
          <w:i/>
          <w:w w:val="105"/>
          <w:sz w:val="16"/>
        </w:rPr>
        <w:t>Manager,</w:t>
      </w:r>
      <w:r>
        <w:rPr>
          <w:i/>
          <w:spacing w:val="-10"/>
          <w:w w:val="105"/>
          <w:sz w:val="16"/>
        </w:rPr>
        <w:t> </w:t>
      </w:r>
      <w:r>
        <w:rPr>
          <w:i/>
          <w:w w:val="105"/>
          <w:sz w:val="16"/>
        </w:rPr>
        <w:t>Corning</w:t>
      </w:r>
      <w:r>
        <w:rPr>
          <w:i/>
          <w:spacing w:val="-10"/>
          <w:w w:val="105"/>
          <w:sz w:val="16"/>
        </w:rPr>
        <w:t> </w:t>
      </w:r>
      <w:r>
        <w:rPr>
          <w:i/>
          <w:w w:val="105"/>
          <w:sz w:val="16"/>
        </w:rPr>
        <w:t>Greater</w:t>
      </w:r>
      <w:r>
        <w:rPr>
          <w:i/>
          <w:spacing w:val="-9"/>
          <w:w w:val="105"/>
          <w:sz w:val="16"/>
        </w:rPr>
        <w:t> </w:t>
      </w:r>
      <w:r>
        <w:rPr>
          <w:i/>
          <w:spacing w:val="-2"/>
          <w:w w:val="105"/>
          <w:sz w:val="16"/>
        </w:rPr>
        <w:t>China</w:t>
      </w:r>
    </w:p>
    <w:p>
      <w:pPr>
        <w:pStyle w:val="BodyText"/>
        <w:spacing w:line="266" w:lineRule="auto" w:before="20"/>
        <w:ind w:left="156" w:right="200"/>
      </w:pPr>
      <w:r>
        <w:rPr>
          <w:w w:val="105"/>
        </w:rPr>
        <w:t>Mr.</w:t>
      </w:r>
      <w:r>
        <w:rPr>
          <w:spacing w:val="-2"/>
          <w:w w:val="105"/>
        </w:rPr>
        <w:t> </w:t>
      </w:r>
      <w:r>
        <w:rPr>
          <w:w w:val="105"/>
        </w:rPr>
        <w:t>Fang</w:t>
      </w:r>
      <w:r>
        <w:rPr>
          <w:spacing w:val="-2"/>
          <w:w w:val="105"/>
        </w:rPr>
        <w:t> </w:t>
      </w:r>
      <w:r>
        <w:rPr>
          <w:w w:val="105"/>
        </w:rPr>
        <w:t>joined</w:t>
      </w:r>
      <w:r>
        <w:rPr>
          <w:spacing w:val="-2"/>
          <w:w w:val="105"/>
        </w:rPr>
        <w:t> </w:t>
      </w:r>
      <w:r>
        <w:rPr>
          <w:w w:val="105"/>
        </w:rPr>
        <w:t>Corning</w:t>
      </w:r>
      <w:r>
        <w:rPr>
          <w:spacing w:val="-2"/>
          <w:w w:val="105"/>
        </w:rPr>
        <w:t> </w:t>
      </w:r>
      <w:r>
        <w:rPr>
          <w:w w:val="105"/>
        </w:rPr>
        <w:t>International</w:t>
      </w:r>
      <w:r>
        <w:rPr>
          <w:spacing w:val="-2"/>
          <w:w w:val="105"/>
        </w:rPr>
        <w:t> </w:t>
      </w:r>
      <w:r>
        <w:rPr>
          <w:w w:val="105"/>
        </w:rPr>
        <w:t>in</w:t>
      </w:r>
      <w:r>
        <w:rPr>
          <w:spacing w:val="-2"/>
          <w:w w:val="105"/>
        </w:rPr>
        <w:t> </w:t>
      </w:r>
      <w:r>
        <w:rPr>
          <w:w w:val="105"/>
        </w:rPr>
        <w:t>1997</w:t>
      </w:r>
      <w:r>
        <w:rPr>
          <w:spacing w:val="-2"/>
          <w:w w:val="105"/>
        </w:rPr>
        <w:t> </w:t>
      </w:r>
      <w:r>
        <w:rPr>
          <w:w w:val="105"/>
        </w:rPr>
        <w:t>as</w:t>
      </w:r>
      <w:r>
        <w:rPr>
          <w:spacing w:val="-2"/>
          <w:w w:val="105"/>
        </w:rPr>
        <w:t> </w:t>
      </w:r>
      <w:r>
        <w:rPr>
          <w:w w:val="105"/>
        </w:rPr>
        <w:t>business</w:t>
      </w:r>
      <w:r>
        <w:rPr>
          <w:spacing w:val="-2"/>
          <w:w w:val="105"/>
        </w:rPr>
        <w:t> </w:t>
      </w:r>
      <w:r>
        <w:rPr>
          <w:w w:val="105"/>
        </w:rPr>
        <w:t>development</w:t>
      </w:r>
      <w:r>
        <w:rPr>
          <w:spacing w:val="-2"/>
          <w:w w:val="105"/>
        </w:rPr>
        <w:t> </w:t>
      </w:r>
      <w:r>
        <w:rPr>
          <w:w w:val="105"/>
        </w:rPr>
        <w:t>manager,</w:t>
      </w:r>
      <w:r>
        <w:rPr>
          <w:spacing w:val="-2"/>
          <w:w w:val="105"/>
        </w:rPr>
        <w:t> </w:t>
      </w:r>
      <w:r>
        <w:rPr>
          <w:w w:val="105"/>
        </w:rPr>
        <w:t>China.</w:t>
      </w:r>
      <w:r>
        <w:rPr>
          <w:spacing w:val="-2"/>
          <w:w w:val="105"/>
        </w:rPr>
        <w:t> </w:t>
      </w:r>
      <w:r>
        <w:rPr>
          <w:w w:val="105"/>
        </w:rPr>
        <w:t>In</w:t>
      </w:r>
      <w:r>
        <w:rPr>
          <w:spacing w:val="-2"/>
          <w:w w:val="105"/>
        </w:rPr>
        <w:t> </w:t>
      </w:r>
      <w:r>
        <w:rPr>
          <w:w w:val="105"/>
        </w:rPr>
        <w:t>1999</w:t>
      </w:r>
      <w:r>
        <w:rPr>
          <w:spacing w:val="-2"/>
          <w:w w:val="105"/>
        </w:rPr>
        <w:t> </w:t>
      </w:r>
      <w:r>
        <w:rPr>
          <w:w w:val="105"/>
        </w:rPr>
        <w:t>he</w:t>
      </w:r>
      <w:r>
        <w:rPr>
          <w:spacing w:val="-2"/>
          <w:w w:val="105"/>
        </w:rPr>
        <w:t> </w:t>
      </w:r>
      <w:r>
        <w:rPr>
          <w:w w:val="105"/>
        </w:rPr>
        <w:t>transferred</w:t>
      </w:r>
      <w:r>
        <w:rPr>
          <w:spacing w:val="-2"/>
          <w:w w:val="105"/>
        </w:rPr>
        <w:t> </w:t>
      </w:r>
      <w:r>
        <w:rPr>
          <w:w w:val="105"/>
        </w:rPr>
        <w:t>to</w:t>
      </w:r>
      <w:r>
        <w:rPr>
          <w:spacing w:val="-2"/>
          <w:w w:val="105"/>
        </w:rPr>
        <w:t> </w:t>
      </w:r>
      <w:r>
        <w:rPr>
          <w:w w:val="105"/>
        </w:rPr>
        <w:t>the</w:t>
      </w:r>
      <w:r>
        <w:rPr>
          <w:spacing w:val="-2"/>
          <w:w w:val="105"/>
        </w:rPr>
        <w:t> </w:t>
      </w:r>
      <w:r>
        <w:rPr>
          <w:w w:val="105"/>
        </w:rPr>
        <w:t>Environmental</w:t>
      </w:r>
      <w:r>
        <w:rPr>
          <w:spacing w:val="-2"/>
          <w:w w:val="105"/>
        </w:rPr>
        <w:t> </w:t>
      </w:r>
      <w:r>
        <w:rPr>
          <w:w w:val="105"/>
        </w:rPr>
        <w:t>Products</w:t>
      </w:r>
      <w:r>
        <w:rPr>
          <w:spacing w:val="-2"/>
          <w:w w:val="105"/>
        </w:rPr>
        <w:t> </w:t>
      </w:r>
      <w:r>
        <w:rPr>
          <w:w w:val="105"/>
        </w:rPr>
        <w:t>Division</w:t>
      </w:r>
      <w:r>
        <w:rPr>
          <w:spacing w:val="-2"/>
          <w:w w:val="105"/>
        </w:rPr>
        <w:t> </w:t>
      </w:r>
      <w:r>
        <w:rPr>
          <w:w w:val="105"/>
        </w:rPr>
        <w:t>and</w:t>
      </w:r>
      <w:r>
        <w:rPr>
          <w:spacing w:val="-2"/>
          <w:w w:val="105"/>
        </w:rPr>
        <w:t> </w:t>
      </w:r>
      <w:r>
        <w:rPr>
          <w:w w:val="105"/>
        </w:rPr>
        <w:t>became production</w:t>
      </w:r>
      <w:r>
        <w:rPr>
          <w:spacing w:val="-3"/>
          <w:w w:val="105"/>
        </w:rPr>
        <w:t> </w:t>
      </w:r>
      <w:r>
        <w:rPr>
          <w:w w:val="105"/>
        </w:rPr>
        <w:t>manager</w:t>
      </w:r>
      <w:r>
        <w:rPr>
          <w:spacing w:val="-3"/>
          <w:w w:val="105"/>
        </w:rPr>
        <w:t> </w:t>
      </w:r>
      <w:r>
        <w:rPr>
          <w:w w:val="105"/>
        </w:rPr>
        <w:t>of</w:t>
      </w:r>
      <w:r>
        <w:rPr>
          <w:spacing w:val="-3"/>
          <w:w w:val="105"/>
        </w:rPr>
        <w:t> </w:t>
      </w:r>
      <w:r>
        <w:rPr>
          <w:w w:val="105"/>
        </w:rPr>
        <w:t>CET’s</w:t>
      </w:r>
      <w:r>
        <w:rPr>
          <w:spacing w:val="-3"/>
          <w:w w:val="105"/>
        </w:rPr>
        <w:t> </w:t>
      </w:r>
      <w:r>
        <w:rPr>
          <w:w w:val="105"/>
        </w:rPr>
        <w:t>China</w:t>
      </w:r>
      <w:r>
        <w:rPr>
          <w:spacing w:val="-3"/>
          <w:w w:val="105"/>
        </w:rPr>
        <w:t> </w:t>
      </w:r>
      <w:r>
        <w:rPr>
          <w:w w:val="105"/>
        </w:rPr>
        <w:t>Plant</w:t>
      </w:r>
      <w:r>
        <w:rPr>
          <w:spacing w:val="-3"/>
          <w:w w:val="105"/>
        </w:rPr>
        <w:t> </w:t>
      </w:r>
      <w:r>
        <w:rPr>
          <w:w w:val="105"/>
        </w:rPr>
        <w:t>-</w:t>
      </w:r>
      <w:r>
        <w:rPr>
          <w:spacing w:val="-3"/>
          <w:w w:val="105"/>
        </w:rPr>
        <w:t> </w:t>
      </w:r>
      <w:r>
        <w:rPr>
          <w:w w:val="105"/>
        </w:rPr>
        <w:t>Corning</w:t>
      </w:r>
      <w:r>
        <w:rPr>
          <w:spacing w:val="-3"/>
          <w:w w:val="105"/>
        </w:rPr>
        <w:t> </w:t>
      </w:r>
      <w:r>
        <w:rPr>
          <w:w w:val="105"/>
        </w:rPr>
        <w:t>(Shanghai)</w:t>
      </w:r>
      <w:r>
        <w:rPr>
          <w:spacing w:val="-3"/>
          <w:w w:val="105"/>
        </w:rPr>
        <w:t> </w:t>
      </w:r>
      <w:r>
        <w:rPr>
          <w:w w:val="105"/>
        </w:rPr>
        <w:t>Company</w:t>
      </w:r>
      <w:r>
        <w:rPr>
          <w:spacing w:val="-3"/>
          <w:w w:val="105"/>
        </w:rPr>
        <w:t> </w:t>
      </w:r>
      <w:r>
        <w:rPr>
          <w:w w:val="105"/>
        </w:rPr>
        <w:t>Ltd.</w:t>
      </w:r>
      <w:r>
        <w:rPr>
          <w:spacing w:val="-3"/>
          <w:w w:val="105"/>
        </w:rPr>
        <w:t> </w:t>
      </w:r>
      <w:r>
        <w:rPr>
          <w:w w:val="105"/>
        </w:rPr>
        <w:t>In</w:t>
      </w:r>
      <w:r>
        <w:rPr>
          <w:spacing w:val="-3"/>
          <w:w w:val="105"/>
        </w:rPr>
        <w:t> </w:t>
      </w:r>
      <w:r>
        <w:rPr>
          <w:w w:val="105"/>
        </w:rPr>
        <w:t>July</w:t>
      </w:r>
      <w:r>
        <w:rPr>
          <w:spacing w:val="-3"/>
          <w:w w:val="105"/>
        </w:rPr>
        <w:t> </w:t>
      </w:r>
      <w:r>
        <w:rPr>
          <w:w w:val="105"/>
        </w:rPr>
        <w:t>2004,</w:t>
      </w:r>
      <w:r>
        <w:rPr>
          <w:spacing w:val="-3"/>
          <w:w w:val="105"/>
        </w:rPr>
        <w:t> </w:t>
      </w:r>
      <w:r>
        <w:rPr>
          <w:w w:val="105"/>
        </w:rPr>
        <w:t>he</w:t>
      </w:r>
      <w:r>
        <w:rPr>
          <w:spacing w:val="-3"/>
          <w:w w:val="105"/>
        </w:rPr>
        <w:t> </w:t>
      </w:r>
      <w:r>
        <w:rPr>
          <w:w w:val="105"/>
        </w:rPr>
        <w:t>was</w:t>
      </w:r>
      <w:r>
        <w:rPr>
          <w:spacing w:val="-3"/>
          <w:w w:val="105"/>
        </w:rPr>
        <w:t> </w:t>
      </w:r>
      <w:r>
        <w:rPr>
          <w:w w:val="105"/>
        </w:rPr>
        <w:t>appointed</w:t>
      </w:r>
      <w:r>
        <w:rPr>
          <w:spacing w:val="-3"/>
          <w:w w:val="105"/>
        </w:rPr>
        <w:t> </w:t>
      </w:r>
      <w:r>
        <w:rPr>
          <w:w w:val="105"/>
        </w:rPr>
        <w:t>operations</w:t>
      </w:r>
      <w:r>
        <w:rPr>
          <w:spacing w:val="-3"/>
          <w:w w:val="105"/>
        </w:rPr>
        <w:t> </w:t>
      </w:r>
      <w:r>
        <w:rPr>
          <w:w w:val="105"/>
        </w:rPr>
        <w:t>manager</w:t>
      </w:r>
      <w:r>
        <w:rPr>
          <w:spacing w:val="-2"/>
          <w:w w:val="105"/>
        </w:rPr>
        <w:t> </w:t>
      </w:r>
      <w:r>
        <w:rPr>
          <w:w w:val="105"/>
        </w:rPr>
        <w:t>and</w:t>
      </w:r>
      <w:r>
        <w:rPr>
          <w:spacing w:val="-3"/>
          <w:w w:val="105"/>
        </w:rPr>
        <w:t> </w:t>
      </w:r>
      <w:r>
        <w:rPr>
          <w:w w:val="105"/>
        </w:rPr>
        <w:t>in</w:t>
      </w:r>
      <w:r>
        <w:rPr>
          <w:spacing w:val="-3"/>
          <w:w w:val="105"/>
        </w:rPr>
        <w:t> </w:t>
      </w:r>
      <w:r>
        <w:rPr>
          <w:w w:val="105"/>
        </w:rPr>
        <w:t>October</w:t>
      </w:r>
      <w:r>
        <w:rPr>
          <w:spacing w:val="-3"/>
          <w:w w:val="105"/>
        </w:rPr>
        <w:t> </w:t>
      </w:r>
      <w:r>
        <w:rPr>
          <w:w w:val="105"/>
        </w:rPr>
        <w:t>2004</w:t>
      </w:r>
      <w:r>
        <w:rPr>
          <w:spacing w:val="-3"/>
          <w:w w:val="105"/>
        </w:rPr>
        <w:t> </w:t>
      </w:r>
      <w:r>
        <w:rPr>
          <w:w w:val="105"/>
        </w:rPr>
        <w:t>he</w:t>
      </w:r>
      <w:r>
        <w:rPr>
          <w:spacing w:val="-3"/>
          <w:w w:val="105"/>
        </w:rPr>
        <w:t> </w:t>
      </w:r>
      <w:r>
        <w:rPr>
          <w:w w:val="105"/>
        </w:rPr>
        <w:t>was</w:t>
      </w:r>
      <w:r>
        <w:rPr>
          <w:spacing w:val="-3"/>
          <w:w w:val="105"/>
        </w:rPr>
        <w:t> </w:t>
      </w:r>
      <w:r>
        <w:rPr>
          <w:w w:val="105"/>
        </w:rPr>
        <w:t>appointed director</w:t>
      </w:r>
      <w:r>
        <w:rPr>
          <w:spacing w:val="-9"/>
          <w:w w:val="105"/>
        </w:rPr>
        <w:t> </w:t>
      </w:r>
      <w:r>
        <w:rPr>
          <w:w w:val="105"/>
        </w:rPr>
        <w:t>of</w:t>
      </w:r>
      <w:r>
        <w:rPr>
          <w:spacing w:val="-9"/>
          <w:w w:val="105"/>
        </w:rPr>
        <w:t> </w:t>
      </w:r>
      <w:r>
        <w:rPr>
          <w:w w:val="105"/>
        </w:rPr>
        <w:t>operations</w:t>
      </w:r>
      <w:r>
        <w:rPr>
          <w:spacing w:val="-7"/>
          <w:w w:val="105"/>
        </w:rPr>
        <w:t> </w:t>
      </w:r>
      <w:r>
        <w:rPr>
          <w:w w:val="105"/>
        </w:rPr>
        <w:t>and</w:t>
      </w:r>
      <w:r>
        <w:rPr>
          <w:spacing w:val="-9"/>
          <w:w w:val="105"/>
        </w:rPr>
        <w:t> </w:t>
      </w:r>
      <w:r>
        <w:rPr>
          <w:w w:val="105"/>
        </w:rPr>
        <w:t>plant</w:t>
      </w:r>
      <w:r>
        <w:rPr>
          <w:spacing w:val="-9"/>
          <w:w w:val="105"/>
        </w:rPr>
        <w:t> </w:t>
      </w:r>
      <w:r>
        <w:rPr>
          <w:w w:val="105"/>
        </w:rPr>
        <w:t>manager</w:t>
      </w:r>
      <w:r>
        <w:rPr>
          <w:spacing w:val="-9"/>
          <w:w w:val="105"/>
        </w:rPr>
        <w:t> </w:t>
      </w:r>
      <w:r>
        <w:rPr>
          <w:w w:val="105"/>
        </w:rPr>
        <w:t>of</w:t>
      </w:r>
      <w:r>
        <w:rPr>
          <w:spacing w:val="-9"/>
          <w:w w:val="105"/>
        </w:rPr>
        <w:t> </w:t>
      </w:r>
      <w:r>
        <w:rPr>
          <w:w w:val="105"/>
        </w:rPr>
        <w:t>Corning</w:t>
      </w:r>
      <w:r>
        <w:rPr>
          <w:spacing w:val="-9"/>
          <w:w w:val="105"/>
        </w:rPr>
        <w:t> </w:t>
      </w:r>
      <w:r>
        <w:rPr>
          <w:w w:val="105"/>
        </w:rPr>
        <w:t>(Shanghai)</w:t>
      </w:r>
      <w:r>
        <w:rPr>
          <w:spacing w:val="-9"/>
          <w:w w:val="105"/>
        </w:rPr>
        <w:t> </w:t>
      </w:r>
      <w:r>
        <w:rPr>
          <w:w w:val="105"/>
        </w:rPr>
        <w:t>Company</w:t>
      </w:r>
      <w:r>
        <w:rPr>
          <w:spacing w:val="-9"/>
          <w:w w:val="105"/>
        </w:rPr>
        <w:t> </w:t>
      </w:r>
      <w:r>
        <w:rPr>
          <w:w w:val="105"/>
        </w:rPr>
        <w:t>Ltd.</w:t>
      </w:r>
      <w:r>
        <w:rPr>
          <w:spacing w:val="-9"/>
          <w:w w:val="105"/>
        </w:rPr>
        <w:t> </w:t>
      </w:r>
      <w:r>
        <w:rPr>
          <w:w w:val="105"/>
        </w:rPr>
        <w:t>In</w:t>
      </w:r>
      <w:r>
        <w:rPr>
          <w:spacing w:val="-9"/>
          <w:w w:val="105"/>
        </w:rPr>
        <w:t> </w:t>
      </w:r>
      <w:r>
        <w:rPr>
          <w:w w:val="105"/>
        </w:rPr>
        <w:t>2007,</w:t>
      </w:r>
      <w:r>
        <w:rPr>
          <w:spacing w:val="-9"/>
          <w:w w:val="105"/>
        </w:rPr>
        <w:t> </w:t>
      </w:r>
      <w:r>
        <w:rPr>
          <w:w w:val="105"/>
        </w:rPr>
        <w:t>he</w:t>
      </w:r>
      <w:r>
        <w:rPr>
          <w:spacing w:val="-9"/>
          <w:w w:val="105"/>
        </w:rPr>
        <w:t> </w:t>
      </w:r>
      <w:r>
        <w:rPr>
          <w:w w:val="105"/>
        </w:rPr>
        <w:t>was</w:t>
      </w:r>
      <w:r>
        <w:rPr>
          <w:spacing w:val="-9"/>
          <w:w w:val="105"/>
        </w:rPr>
        <w:t> </w:t>
      </w:r>
      <w:r>
        <w:rPr>
          <w:w w:val="105"/>
        </w:rPr>
        <w:t>appointed</w:t>
      </w:r>
      <w:r>
        <w:rPr>
          <w:spacing w:val="-9"/>
          <w:w w:val="105"/>
        </w:rPr>
        <w:t> </w:t>
      </w:r>
      <w:r>
        <w:rPr>
          <w:w w:val="105"/>
        </w:rPr>
        <w:t>vice</w:t>
      </w:r>
      <w:r>
        <w:rPr>
          <w:spacing w:val="-9"/>
          <w:w w:val="105"/>
        </w:rPr>
        <w:t> </w:t>
      </w:r>
      <w:r>
        <w:rPr>
          <w:w w:val="105"/>
        </w:rPr>
        <w:t>president,</w:t>
      </w:r>
      <w:r>
        <w:rPr>
          <w:spacing w:val="-9"/>
          <w:w w:val="105"/>
        </w:rPr>
        <w:t> </w:t>
      </w:r>
      <w:r>
        <w:rPr>
          <w:w w:val="105"/>
        </w:rPr>
        <w:t>Corning</w:t>
      </w:r>
      <w:r>
        <w:rPr>
          <w:spacing w:val="-9"/>
          <w:w w:val="105"/>
        </w:rPr>
        <w:t> </w:t>
      </w:r>
      <w:r>
        <w:rPr>
          <w:w w:val="105"/>
        </w:rPr>
        <w:t>Display</w:t>
      </w:r>
      <w:r>
        <w:rPr>
          <w:spacing w:val="-9"/>
          <w:w w:val="105"/>
        </w:rPr>
        <w:t> </w:t>
      </w:r>
      <w:r>
        <w:rPr>
          <w:w w:val="105"/>
        </w:rPr>
        <w:t>Technologies</w:t>
      </w:r>
      <w:r>
        <w:rPr>
          <w:spacing w:val="-9"/>
          <w:w w:val="105"/>
        </w:rPr>
        <w:t> </w:t>
      </w:r>
      <w:r>
        <w:rPr>
          <w:w w:val="105"/>
        </w:rPr>
        <w:t>China,</w:t>
      </w:r>
      <w:r>
        <w:rPr>
          <w:spacing w:val="-9"/>
          <w:w w:val="105"/>
        </w:rPr>
        <w:t> </w:t>
      </w:r>
      <w:r>
        <w:rPr>
          <w:w w:val="105"/>
        </w:rPr>
        <w:t>and</w:t>
      </w:r>
      <w:r>
        <w:rPr>
          <w:spacing w:val="-9"/>
          <w:w w:val="105"/>
        </w:rPr>
        <w:t> </w:t>
      </w:r>
      <w:r>
        <w:rPr>
          <w:w w:val="105"/>
        </w:rPr>
        <w:t>director of</w:t>
      </w:r>
      <w:r>
        <w:rPr>
          <w:spacing w:val="-2"/>
          <w:w w:val="105"/>
        </w:rPr>
        <w:t> </w:t>
      </w:r>
      <w:r>
        <w:rPr>
          <w:w w:val="105"/>
        </w:rPr>
        <w:t>commercial</w:t>
      </w:r>
      <w:r>
        <w:rPr>
          <w:spacing w:val="-2"/>
          <w:w w:val="105"/>
        </w:rPr>
        <w:t> </w:t>
      </w:r>
      <w:r>
        <w:rPr>
          <w:w w:val="105"/>
        </w:rPr>
        <w:t>operations,</w:t>
      </w:r>
      <w:r>
        <w:rPr>
          <w:spacing w:val="-2"/>
          <w:w w:val="105"/>
        </w:rPr>
        <w:t> </w:t>
      </w:r>
      <w:r>
        <w:rPr>
          <w:w w:val="105"/>
        </w:rPr>
        <w:t>government</w:t>
      </w:r>
      <w:r>
        <w:rPr>
          <w:spacing w:val="-2"/>
          <w:w w:val="105"/>
        </w:rPr>
        <w:t> </w:t>
      </w:r>
      <w:r>
        <w:rPr>
          <w:w w:val="105"/>
        </w:rPr>
        <w:t>affairs</w:t>
      </w:r>
      <w:r>
        <w:rPr>
          <w:spacing w:val="-2"/>
          <w:w w:val="105"/>
        </w:rPr>
        <w:t> </w:t>
      </w:r>
      <w:r>
        <w:rPr>
          <w:w w:val="105"/>
        </w:rPr>
        <w:t>and</w:t>
      </w:r>
      <w:r>
        <w:rPr>
          <w:spacing w:val="-2"/>
          <w:w w:val="105"/>
        </w:rPr>
        <w:t> </w:t>
      </w:r>
      <w:r>
        <w:rPr>
          <w:w w:val="105"/>
        </w:rPr>
        <w:t>supply</w:t>
      </w:r>
      <w:r>
        <w:rPr>
          <w:spacing w:val="-2"/>
          <w:w w:val="105"/>
        </w:rPr>
        <w:t> </w:t>
      </w:r>
      <w:r>
        <w:rPr>
          <w:w w:val="105"/>
        </w:rPr>
        <w:t>chain.</w:t>
      </w:r>
      <w:r>
        <w:rPr>
          <w:spacing w:val="-2"/>
          <w:w w:val="105"/>
        </w:rPr>
        <w:t> </w:t>
      </w:r>
      <w:r>
        <w:rPr>
          <w:w w:val="105"/>
        </w:rPr>
        <w:t>In</w:t>
      </w:r>
      <w:r>
        <w:rPr>
          <w:spacing w:val="-2"/>
          <w:w w:val="105"/>
        </w:rPr>
        <w:t> </w:t>
      </w:r>
      <w:r>
        <w:rPr>
          <w:w w:val="105"/>
        </w:rPr>
        <w:t>2009</w:t>
      </w:r>
      <w:r>
        <w:rPr>
          <w:spacing w:val="-2"/>
          <w:w w:val="105"/>
        </w:rPr>
        <w:t> </w:t>
      </w:r>
      <w:r>
        <w:rPr>
          <w:w w:val="105"/>
        </w:rPr>
        <w:t>he</w:t>
      </w:r>
      <w:r>
        <w:rPr>
          <w:spacing w:val="-2"/>
          <w:w w:val="105"/>
        </w:rPr>
        <w:t> </w:t>
      </w:r>
      <w:r>
        <w:rPr>
          <w:w w:val="105"/>
        </w:rPr>
        <w:t>was</w:t>
      </w:r>
      <w:r>
        <w:rPr>
          <w:spacing w:val="-2"/>
          <w:w w:val="105"/>
        </w:rPr>
        <w:t> </w:t>
      </w:r>
      <w:r>
        <w:rPr>
          <w:w w:val="105"/>
        </w:rPr>
        <w:t>named</w:t>
      </w:r>
      <w:r>
        <w:rPr>
          <w:spacing w:val="-2"/>
          <w:w w:val="105"/>
        </w:rPr>
        <w:t> </w:t>
      </w:r>
      <w:r>
        <w:rPr>
          <w:w w:val="105"/>
        </w:rPr>
        <w:t>president,</w:t>
      </w:r>
      <w:r>
        <w:rPr>
          <w:spacing w:val="-2"/>
          <w:w w:val="105"/>
        </w:rPr>
        <w:t> </w:t>
      </w:r>
      <w:r>
        <w:rPr>
          <w:w w:val="105"/>
        </w:rPr>
        <w:t>Corning</w:t>
      </w:r>
      <w:r>
        <w:rPr>
          <w:spacing w:val="-2"/>
          <w:w w:val="105"/>
        </w:rPr>
        <w:t> </w:t>
      </w:r>
      <w:r>
        <w:rPr>
          <w:w w:val="105"/>
        </w:rPr>
        <w:t>Display</w:t>
      </w:r>
      <w:r>
        <w:rPr>
          <w:spacing w:val="-2"/>
          <w:w w:val="105"/>
        </w:rPr>
        <w:t> </w:t>
      </w:r>
      <w:r>
        <w:rPr>
          <w:w w:val="105"/>
        </w:rPr>
        <w:t>Technologies</w:t>
      </w:r>
      <w:r>
        <w:rPr>
          <w:spacing w:val="-2"/>
          <w:w w:val="105"/>
        </w:rPr>
        <w:t> </w:t>
      </w:r>
      <w:r>
        <w:rPr>
          <w:w w:val="105"/>
        </w:rPr>
        <w:t>China.</w:t>
      </w:r>
      <w:r>
        <w:rPr>
          <w:spacing w:val="-2"/>
          <w:w w:val="105"/>
        </w:rPr>
        <w:t> </w:t>
      </w:r>
      <w:r>
        <w:rPr>
          <w:w w:val="105"/>
        </w:rPr>
        <w:t>He</w:t>
      </w:r>
      <w:r>
        <w:rPr>
          <w:spacing w:val="-2"/>
          <w:w w:val="105"/>
        </w:rPr>
        <w:t> </w:t>
      </w:r>
      <w:r>
        <w:rPr>
          <w:w w:val="105"/>
        </w:rPr>
        <w:t>was</w:t>
      </w:r>
      <w:r>
        <w:rPr>
          <w:spacing w:val="-2"/>
          <w:w w:val="105"/>
        </w:rPr>
        <w:t> </w:t>
      </w:r>
      <w:r>
        <w:rPr>
          <w:w w:val="105"/>
        </w:rPr>
        <w:t>appointed</w:t>
      </w:r>
      <w:r>
        <w:rPr>
          <w:spacing w:val="-2"/>
          <w:w w:val="105"/>
        </w:rPr>
        <w:t> </w:t>
      </w:r>
      <w:r>
        <w:rPr>
          <w:w w:val="105"/>
        </w:rPr>
        <w:t>president</w:t>
      </w:r>
      <w:r>
        <w:rPr>
          <w:spacing w:val="-2"/>
          <w:w w:val="105"/>
        </w:rPr>
        <w:t> </w:t>
      </w:r>
      <w:r>
        <w:rPr>
          <w:w w:val="105"/>
        </w:rPr>
        <w:t>and general manager of Corning Greater China in 2012. Age 59.</w:t>
      </w:r>
    </w:p>
    <w:p>
      <w:pPr>
        <w:pStyle w:val="BodyText"/>
        <w:spacing w:before="17"/>
      </w:pPr>
    </w:p>
    <w:p>
      <w:pPr>
        <w:pStyle w:val="BodyText"/>
        <w:ind w:left="48"/>
        <w:jc w:val="center"/>
      </w:pPr>
      <w:r>
        <w:rPr>
          <w:spacing w:val="-5"/>
          <w:w w:val="105"/>
        </w:rPr>
        <w:t>11</w:t>
      </w:r>
    </w:p>
    <w:p>
      <w:pPr>
        <w:pStyle w:val="BodyText"/>
        <w:rPr>
          <w:sz w:val="6"/>
        </w:rPr>
      </w:pPr>
      <w:r>
        <w:rPr/>
        <mc:AlternateContent>
          <mc:Choice Requires="wps">
            <w:drawing>
              <wp:anchor distT="0" distB="0" distL="0" distR="0" allowOverlap="1" layoutInCell="1" locked="0" behindDoc="1" simplePos="0" relativeHeight="487594496">
                <wp:simplePos x="0" y="0"/>
                <wp:positionH relativeFrom="page">
                  <wp:posOffset>226488</wp:posOffset>
                </wp:positionH>
                <wp:positionV relativeFrom="paragraph">
                  <wp:posOffset>59051</wp:posOffset>
                </wp:positionV>
                <wp:extent cx="7312659" cy="1651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21984;mso-wrap-distance-left:0;mso-wrap-distance-right:0" id="docshape15"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spacing w:before="0"/>
        <w:ind w:left="156" w:right="0" w:firstLine="0"/>
        <w:jc w:val="left"/>
        <w:rPr>
          <w:i/>
          <w:sz w:val="16"/>
        </w:rPr>
      </w:pPr>
      <w:r>
        <w:rPr>
          <w:w w:val="105"/>
          <w:sz w:val="16"/>
        </w:rPr>
        <w:t>Robert</w:t>
      </w:r>
      <w:r>
        <w:rPr>
          <w:spacing w:val="-9"/>
          <w:w w:val="105"/>
          <w:sz w:val="16"/>
        </w:rPr>
        <w:t> </w:t>
      </w:r>
      <w:r>
        <w:rPr>
          <w:w w:val="105"/>
          <w:sz w:val="16"/>
        </w:rPr>
        <w:t>P.</w:t>
      </w:r>
      <w:r>
        <w:rPr>
          <w:spacing w:val="-9"/>
          <w:w w:val="105"/>
          <w:sz w:val="16"/>
        </w:rPr>
        <w:t> </w:t>
      </w:r>
      <w:r>
        <w:rPr>
          <w:w w:val="105"/>
          <w:sz w:val="16"/>
        </w:rPr>
        <w:t>France</w:t>
      </w:r>
      <w:r>
        <w:rPr>
          <w:spacing w:val="26"/>
          <w:w w:val="105"/>
          <w:sz w:val="16"/>
        </w:rPr>
        <w:t> </w:t>
      </w:r>
      <w:r>
        <w:rPr>
          <w:i/>
          <w:w w:val="105"/>
          <w:sz w:val="16"/>
        </w:rPr>
        <w:t>Senior</w:t>
      </w:r>
      <w:r>
        <w:rPr>
          <w:i/>
          <w:spacing w:val="-9"/>
          <w:w w:val="105"/>
          <w:sz w:val="16"/>
        </w:rPr>
        <w:t> </w:t>
      </w:r>
      <w:r>
        <w:rPr>
          <w:i/>
          <w:w w:val="105"/>
          <w:sz w:val="16"/>
        </w:rPr>
        <w:t>Vice</w:t>
      </w:r>
      <w:r>
        <w:rPr>
          <w:i/>
          <w:spacing w:val="-9"/>
          <w:w w:val="105"/>
          <w:sz w:val="16"/>
        </w:rPr>
        <w:t> </w:t>
      </w:r>
      <w:r>
        <w:rPr>
          <w:i/>
          <w:w w:val="105"/>
          <w:sz w:val="16"/>
        </w:rPr>
        <w:t>President,</w:t>
      </w:r>
      <w:r>
        <w:rPr>
          <w:i/>
          <w:spacing w:val="-8"/>
          <w:w w:val="105"/>
          <w:sz w:val="16"/>
        </w:rPr>
        <w:t> </w:t>
      </w:r>
      <w:r>
        <w:rPr>
          <w:i/>
          <w:w w:val="105"/>
          <w:sz w:val="16"/>
        </w:rPr>
        <w:t>Human</w:t>
      </w:r>
      <w:r>
        <w:rPr>
          <w:i/>
          <w:spacing w:val="-9"/>
          <w:w w:val="105"/>
          <w:sz w:val="16"/>
        </w:rPr>
        <w:t> </w:t>
      </w:r>
      <w:r>
        <w:rPr>
          <w:i/>
          <w:spacing w:val="-2"/>
          <w:w w:val="105"/>
          <w:sz w:val="16"/>
        </w:rPr>
        <w:t>Resources</w:t>
      </w:r>
    </w:p>
    <w:p>
      <w:pPr>
        <w:pStyle w:val="BodyText"/>
        <w:spacing w:line="266" w:lineRule="auto" w:before="20"/>
        <w:ind w:left="156"/>
      </w:pPr>
      <w:r>
        <w:rPr>
          <w:w w:val="105"/>
        </w:rPr>
        <w:t>Mr.</w:t>
      </w:r>
      <w:r>
        <w:rPr>
          <w:spacing w:val="-2"/>
          <w:w w:val="105"/>
        </w:rPr>
        <w:t> </w:t>
      </w:r>
      <w:r>
        <w:rPr>
          <w:w w:val="105"/>
        </w:rPr>
        <w:t>France</w:t>
      </w:r>
      <w:r>
        <w:rPr>
          <w:spacing w:val="-2"/>
          <w:w w:val="105"/>
        </w:rPr>
        <w:t> </w:t>
      </w:r>
      <w:r>
        <w:rPr>
          <w:w w:val="105"/>
        </w:rPr>
        <w:t>joined</w:t>
      </w:r>
      <w:r>
        <w:rPr>
          <w:spacing w:val="-2"/>
          <w:w w:val="105"/>
        </w:rPr>
        <w:t> </w:t>
      </w:r>
      <w:r>
        <w:rPr>
          <w:w w:val="105"/>
        </w:rPr>
        <w:t>Corning</w:t>
      </w:r>
      <w:r>
        <w:rPr>
          <w:spacing w:val="-2"/>
          <w:w w:val="105"/>
        </w:rPr>
        <w:t> </w:t>
      </w:r>
      <w:r>
        <w:rPr>
          <w:w w:val="105"/>
        </w:rPr>
        <w:t>in</w:t>
      </w:r>
      <w:r>
        <w:rPr>
          <w:spacing w:val="-2"/>
          <w:w w:val="105"/>
        </w:rPr>
        <w:t> </w:t>
      </w:r>
      <w:r>
        <w:rPr>
          <w:w w:val="105"/>
        </w:rPr>
        <w:t>2000</w:t>
      </w:r>
      <w:r>
        <w:rPr>
          <w:spacing w:val="-2"/>
          <w:w w:val="105"/>
        </w:rPr>
        <w:t> </w:t>
      </w:r>
      <w:r>
        <w:rPr>
          <w:w w:val="105"/>
        </w:rPr>
        <w:t>as</w:t>
      </w:r>
      <w:r>
        <w:rPr>
          <w:spacing w:val="-2"/>
          <w:w w:val="105"/>
        </w:rPr>
        <w:t> </w:t>
      </w:r>
      <w:r>
        <w:rPr>
          <w:w w:val="105"/>
        </w:rPr>
        <w:t>a</w:t>
      </w:r>
      <w:r>
        <w:rPr>
          <w:spacing w:val="-2"/>
          <w:w w:val="105"/>
        </w:rPr>
        <w:t> </w:t>
      </w:r>
      <w:r>
        <w:rPr>
          <w:w w:val="105"/>
        </w:rPr>
        <w:t>commercial</w:t>
      </w:r>
      <w:r>
        <w:rPr>
          <w:spacing w:val="-2"/>
          <w:w w:val="105"/>
        </w:rPr>
        <w:t> </w:t>
      </w:r>
      <w:r>
        <w:rPr>
          <w:w w:val="105"/>
        </w:rPr>
        <w:t>Human</w:t>
      </w:r>
      <w:r>
        <w:rPr>
          <w:spacing w:val="-2"/>
          <w:w w:val="105"/>
        </w:rPr>
        <w:t> </w:t>
      </w:r>
      <w:r>
        <w:rPr>
          <w:w w:val="105"/>
        </w:rPr>
        <w:t>Resources</w:t>
      </w:r>
      <w:r>
        <w:rPr>
          <w:spacing w:val="-2"/>
          <w:w w:val="105"/>
        </w:rPr>
        <w:t> </w:t>
      </w:r>
      <w:r>
        <w:rPr>
          <w:w w:val="105"/>
        </w:rPr>
        <w:t>manager</w:t>
      </w:r>
      <w:r>
        <w:rPr>
          <w:spacing w:val="-2"/>
          <w:w w:val="105"/>
        </w:rPr>
        <w:t> </w:t>
      </w:r>
      <w:r>
        <w:rPr>
          <w:w w:val="105"/>
        </w:rPr>
        <w:t>for</w:t>
      </w:r>
      <w:r>
        <w:rPr>
          <w:spacing w:val="-2"/>
          <w:w w:val="105"/>
        </w:rPr>
        <w:t> </w:t>
      </w:r>
      <w:r>
        <w:rPr>
          <w:w w:val="105"/>
        </w:rPr>
        <w:t>Optical</w:t>
      </w:r>
      <w:r>
        <w:rPr>
          <w:spacing w:val="-2"/>
          <w:w w:val="105"/>
        </w:rPr>
        <w:t> </w:t>
      </w:r>
      <w:r>
        <w:rPr>
          <w:w w:val="105"/>
        </w:rPr>
        <w:t>Fiber.</w:t>
      </w:r>
      <w:r>
        <w:rPr>
          <w:spacing w:val="-2"/>
          <w:w w:val="105"/>
        </w:rPr>
        <w:t> </w:t>
      </w:r>
      <w:r>
        <w:rPr>
          <w:w w:val="105"/>
        </w:rPr>
        <w:t>He</w:t>
      </w:r>
      <w:r>
        <w:rPr>
          <w:spacing w:val="-2"/>
          <w:w w:val="105"/>
        </w:rPr>
        <w:t> </w:t>
      </w:r>
      <w:r>
        <w:rPr>
          <w:w w:val="105"/>
        </w:rPr>
        <w:t>moved</w:t>
      </w:r>
      <w:r>
        <w:rPr>
          <w:spacing w:val="-2"/>
          <w:w w:val="105"/>
        </w:rPr>
        <w:t> </w:t>
      </w:r>
      <w:r>
        <w:rPr>
          <w:w w:val="105"/>
        </w:rPr>
        <w:t>to</w:t>
      </w:r>
      <w:r>
        <w:rPr>
          <w:spacing w:val="-2"/>
          <w:w w:val="105"/>
        </w:rPr>
        <w:t> </w:t>
      </w:r>
      <w:r>
        <w:rPr>
          <w:w w:val="105"/>
        </w:rPr>
        <w:t>Display</w:t>
      </w:r>
      <w:r>
        <w:rPr>
          <w:spacing w:val="-2"/>
          <w:w w:val="105"/>
        </w:rPr>
        <w:t> </w:t>
      </w:r>
      <w:r>
        <w:rPr>
          <w:w w:val="105"/>
        </w:rPr>
        <w:t>Technologies</w:t>
      </w:r>
      <w:r>
        <w:rPr>
          <w:spacing w:val="-2"/>
          <w:w w:val="105"/>
        </w:rPr>
        <w:t> </w:t>
      </w:r>
      <w:r>
        <w:rPr>
          <w:w w:val="105"/>
        </w:rPr>
        <w:t>in</w:t>
      </w:r>
      <w:r>
        <w:rPr>
          <w:spacing w:val="-2"/>
          <w:w w:val="105"/>
        </w:rPr>
        <w:t> </w:t>
      </w:r>
      <w:r>
        <w:rPr>
          <w:w w:val="105"/>
        </w:rPr>
        <w:t>2004</w:t>
      </w:r>
      <w:r>
        <w:rPr>
          <w:spacing w:val="-2"/>
          <w:w w:val="105"/>
        </w:rPr>
        <w:t> </w:t>
      </w:r>
      <w:r>
        <w:rPr>
          <w:w w:val="105"/>
        </w:rPr>
        <w:t>as</w:t>
      </w:r>
      <w:r>
        <w:rPr>
          <w:spacing w:val="-2"/>
          <w:w w:val="105"/>
        </w:rPr>
        <w:t> </w:t>
      </w:r>
      <w:r>
        <w:rPr>
          <w:w w:val="105"/>
        </w:rPr>
        <w:t>the</w:t>
      </w:r>
      <w:r>
        <w:rPr>
          <w:spacing w:val="-2"/>
          <w:w w:val="105"/>
        </w:rPr>
        <w:t> </w:t>
      </w:r>
      <w:r>
        <w:rPr>
          <w:w w:val="105"/>
        </w:rPr>
        <w:t>division</w:t>
      </w:r>
      <w:r>
        <w:rPr>
          <w:spacing w:val="-2"/>
          <w:w w:val="105"/>
        </w:rPr>
        <w:t> </w:t>
      </w:r>
      <w:r>
        <w:rPr>
          <w:w w:val="105"/>
        </w:rPr>
        <w:t>Human Resources</w:t>
      </w:r>
      <w:r>
        <w:rPr>
          <w:spacing w:val="-8"/>
          <w:w w:val="105"/>
        </w:rPr>
        <w:t> </w:t>
      </w:r>
      <w:r>
        <w:rPr>
          <w:w w:val="105"/>
        </w:rPr>
        <w:t>manager.</w:t>
      </w:r>
      <w:r>
        <w:rPr>
          <w:spacing w:val="-8"/>
          <w:w w:val="105"/>
        </w:rPr>
        <w:t> </w:t>
      </w:r>
      <w:r>
        <w:rPr>
          <w:w w:val="105"/>
        </w:rPr>
        <w:t>He</w:t>
      </w:r>
      <w:r>
        <w:rPr>
          <w:spacing w:val="-8"/>
          <w:w w:val="105"/>
        </w:rPr>
        <w:t> </w:t>
      </w:r>
      <w:r>
        <w:rPr>
          <w:w w:val="105"/>
        </w:rPr>
        <w:t>was</w:t>
      </w:r>
      <w:r>
        <w:rPr>
          <w:spacing w:val="-8"/>
          <w:w w:val="105"/>
        </w:rPr>
        <w:t> </w:t>
      </w:r>
      <w:r>
        <w:rPr>
          <w:w w:val="105"/>
        </w:rPr>
        <w:t>Human</w:t>
      </w:r>
      <w:r>
        <w:rPr>
          <w:spacing w:val="-8"/>
          <w:w w:val="105"/>
        </w:rPr>
        <w:t> </w:t>
      </w:r>
      <w:r>
        <w:rPr>
          <w:w w:val="105"/>
        </w:rPr>
        <w:t>Resources</w:t>
      </w:r>
      <w:r>
        <w:rPr>
          <w:spacing w:val="-8"/>
          <w:w w:val="105"/>
        </w:rPr>
        <w:t> </w:t>
      </w:r>
      <w:r>
        <w:rPr>
          <w:w w:val="105"/>
        </w:rPr>
        <w:t>director</w:t>
      </w:r>
      <w:r>
        <w:rPr>
          <w:spacing w:val="-8"/>
          <w:w w:val="105"/>
        </w:rPr>
        <w:t> </w:t>
      </w:r>
      <w:r>
        <w:rPr>
          <w:w w:val="105"/>
        </w:rPr>
        <w:t>for</w:t>
      </w:r>
      <w:r>
        <w:rPr>
          <w:spacing w:val="-8"/>
          <w:w w:val="105"/>
        </w:rPr>
        <w:t> </w:t>
      </w:r>
      <w:r>
        <w:rPr>
          <w:w w:val="105"/>
        </w:rPr>
        <w:t>Corning</w:t>
      </w:r>
      <w:r>
        <w:rPr>
          <w:spacing w:val="-8"/>
          <w:w w:val="105"/>
        </w:rPr>
        <w:t> </w:t>
      </w:r>
      <w:r>
        <w:rPr>
          <w:w w:val="105"/>
        </w:rPr>
        <w:t>Glass</w:t>
      </w:r>
      <w:r>
        <w:rPr>
          <w:spacing w:val="-8"/>
          <w:w w:val="105"/>
        </w:rPr>
        <w:t> </w:t>
      </w:r>
      <w:r>
        <w:rPr>
          <w:w w:val="105"/>
        </w:rPr>
        <w:t>Technologies</w:t>
      </w:r>
      <w:r>
        <w:rPr>
          <w:spacing w:val="-8"/>
          <w:w w:val="105"/>
        </w:rPr>
        <w:t> </w:t>
      </w:r>
      <w:r>
        <w:rPr>
          <w:w w:val="105"/>
        </w:rPr>
        <w:t>and</w:t>
      </w:r>
      <w:r>
        <w:rPr>
          <w:spacing w:val="-8"/>
          <w:w w:val="105"/>
        </w:rPr>
        <w:t> </w:t>
      </w:r>
      <w:r>
        <w:rPr>
          <w:w w:val="105"/>
        </w:rPr>
        <w:t>Asia</w:t>
      </w:r>
      <w:r>
        <w:rPr>
          <w:spacing w:val="-8"/>
          <w:w w:val="105"/>
        </w:rPr>
        <w:t> </w:t>
      </w:r>
      <w:r>
        <w:rPr>
          <w:w w:val="105"/>
        </w:rPr>
        <w:t>from</w:t>
      </w:r>
      <w:r>
        <w:rPr>
          <w:spacing w:val="-8"/>
          <w:w w:val="105"/>
        </w:rPr>
        <w:t> </w:t>
      </w:r>
      <w:r>
        <w:rPr>
          <w:w w:val="105"/>
        </w:rPr>
        <w:t>2004</w:t>
      </w:r>
      <w:r>
        <w:rPr>
          <w:spacing w:val="-8"/>
          <w:w w:val="105"/>
        </w:rPr>
        <w:t> </w:t>
      </w:r>
      <w:r>
        <w:rPr>
          <w:w w:val="105"/>
        </w:rPr>
        <w:t>to</w:t>
      </w:r>
      <w:r>
        <w:rPr>
          <w:spacing w:val="-8"/>
          <w:w w:val="105"/>
        </w:rPr>
        <w:t> </w:t>
      </w:r>
      <w:r>
        <w:rPr>
          <w:w w:val="105"/>
        </w:rPr>
        <w:t>2016.</w:t>
      </w:r>
      <w:r>
        <w:rPr>
          <w:spacing w:val="-8"/>
          <w:w w:val="105"/>
        </w:rPr>
        <w:t> </w:t>
      </w:r>
      <w:r>
        <w:rPr>
          <w:w w:val="105"/>
        </w:rPr>
        <w:t>From</w:t>
      </w:r>
      <w:r>
        <w:rPr>
          <w:spacing w:val="-8"/>
          <w:w w:val="105"/>
        </w:rPr>
        <w:t> </w:t>
      </w:r>
      <w:r>
        <w:rPr>
          <w:w w:val="105"/>
        </w:rPr>
        <w:t>2016</w:t>
      </w:r>
      <w:r>
        <w:rPr>
          <w:spacing w:val="-8"/>
          <w:w w:val="105"/>
        </w:rPr>
        <w:t> </w:t>
      </w:r>
      <w:r>
        <w:rPr>
          <w:w w:val="105"/>
        </w:rPr>
        <w:t>to</w:t>
      </w:r>
      <w:r>
        <w:rPr>
          <w:spacing w:val="-8"/>
          <w:w w:val="105"/>
        </w:rPr>
        <w:t> </w:t>
      </w:r>
      <w:r>
        <w:rPr>
          <w:w w:val="105"/>
        </w:rPr>
        <w:t>2018,</w:t>
      </w:r>
      <w:r>
        <w:rPr>
          <w:spacing w:val="-8"/>
          <w:w w:val="105"/>
        </w:rPr>
        <w:t> </w:t>
      </w:r>
      <w:r>
        <w:rPr>
          <w:w w:val="105"/>
        </w:rPr>
        <w:t>Mr.</w:t>
      </w:r>
      <w:r>
        <w:rPr>
          <w:spacing w:val="-8"/>
          <w:w w:val="105"/>
        </w:rPr>
        <w:t> </w:t>
      </w:r>
      <w:r>
        <w:rPr>
          <w:w w:val="105"/>
        </w:rPr>
        <w:t>France</w:t>
      </w:r>
      <w:r>
        <w:rPr>
          <w:spacing w:val="-8"/>
          <w:w w:val="105"/>
        </w:rPr>
        <w:t> </w:t>
      </w:r>
      <w:r>
        <w:rPr>
          <w:w w:val="105"/>
        </w:rPr>
        <w:t>was</w:t>
      </w:r>
      <w:r>
        <w:rPr>
          <w:spacing w:val="-8"/>
          <w:w w:val="105"/>
        </w:rPr>
        <w:t> </w:t>
      </w:r>
      <w:r>
        <w:rPr>
          <w:w w:val="105"/>
        </w:rPr>
        <w:t>Human</w:t>
      </w:r>
      <w:r>
        <w:rPr>
          <w:spacing w:val="-8"/>
          <w:w w:val="105"/>
        </w:rPr>
        <w:t> </w:t>
      </w:r>
      <w:r>
        <w:rPr>
          <w:w w:val="105"/>
        </w:rPr>
        <w:t>Resources senior</w:t>
      </w:r>
      <w:r>
        <w:rPr>
          <w:spacing w:val="-3"/>
          <w:w w:val="105"/>
        </w:rPr>
        <w:t> </w:t>
      </w:r>
      <w:r>
        <w:rPr>
          <w:w w:val="105"/>
        </w:rPr>
        <w:t>vice</w:t>
      </w:r>
      <w:r>
        <w:rPr>
          <w:spacing w:val="-3"/>
          <w:w w:val="105"/>
        </w:rPr>
        <w:t> </w:t>
      </w:r>
      <w:r>
        <w:rPr>
          <w:w w:val="105"/>
        </w:rPr>
        <w:t>president</w:t>
      </w:r>
      <w:r>
        <w:rPr>
          <w:spacing w:val="-3"/>
          <w:w w:val="105"/>
        </w:rPr>
        <w:t> </w:t>
      </w:r>
      <w:r>
        <w:rPr>
          <w:w w:val="105"/>
        </w:rPr>
        <w:t>for</w:t>
      </w:r>
      <w:r>
        <w:rPr>
          <w:spacing w:val="-3"/>
          <w:w w:val="105"/>
        </w:rPr>
        <w:t> </w:t>
      </w:r>
      <w:r>
        <w:rPr>
          <w:w w:val="105"/>
        </w:rPr>
        <w:t>Corning</w:t>
      </w:r>
      <w:r>
        <w:rPr>
          <w:spacing w:val="-3"/>
          <w:w w:val="105"/>
        </w:rPr>
        <w:t> </w:t>
      </w:r>
      <w:r>
        <w:rPr>
          <w:w w:val="105"/>
        </w:rPr>
        <w:t>Optical</w:t>
      </w:r>
      <w:r>
        <w:rPr>
          <w:spacing w:val="-3"/>
          <w:w w:val="105"/>
        </w:rPr>
        <w:t> </w:t>
      </w:r>
      <w:r>
        <w:rPr>
          <w:w w:val="105"/>
        </w:rPr>
        <w:t>Communications,</w:t>
      </w:r>
      <w:r>
        <w:rPr>
          <w:spacing w:val="-3"/>
          <w:w w:val="105"/>
        </w:rPr>
        <w:t> </w:t>
      </w:r>
      <w:r>
        <w:rPr>
          <w:w w:val="105"/>
        </w:rPr>
        <w:t>responsible</w:t>
      </w:r>
      <w:r>
        <w:rPr>
          <w:spacing w:val="-3"/>
          <w:w w:val="105"/>
        </w:rPr>
        <w:t> </w:t>
      </w:r>
      <w:r>
        <w:rPr>
          <w:w w:val="105"/>
        </w:rPr>
        <w:t>for</w:t>
      </w:r>
      <w:r>
        <w:rPr>
          <w:spacing w:val="-3"/>
          <w:w w:val="105"/>
        </w:rPr>
        <w:t> </w:t>
      </w:r>
      <w:r>
        <w:rPr>
          <w:w w:val="105"/>
        </w:rPr>
        <w:t>leading</w:t>
      </w:r>
      <w:r>
        <w:rPr>
          <w:spacing w:val="-3"/>
          <w:w w:val="105"/>
        </w:rPr>
        <w:t> </w:t>
      </w:r>
      <w:r>
        <w:rPr>
          <w:w w:val="105"/>
        </w:rPr>
        <w:t>all</w:t>
      </w:r>
      <w:r>
        <w:rPr>
          <w:spacing w:val="-1"/>
          <w:w w:val="105"/>
        </w:rPr>
        <w:t> </w:t>
      </w:r>
      <w:r>
        <w:rPr>
          <w:w w:val="105"/>
        </w:rPr>
        <w:t>aspects</w:t>
      </w:r>
      <w:r>
        <w:rPr>
          <w:spacing w:val="-3"/>
          <w:w w:val="105"/>
        </w:rPr>
        <w:t> </w:t>
      </w:r>
      <w:r>
        <w:rPr>
          <w:w w:val="105"/>
        </w:rPr>
        <w:t>of</w:t>
      </w:r>
      <w:r>
        <w:rPr>
          <w:spacing w:val="-3"/>
          <w:w w:val="105"/>
        </w:rPr>
        <w:t> </w:t>
      </w:r>
      <w:r>
        <w:rPr>
          <w:w w:val="105"/>
        </w:rPr>
        <w:t>the</w:t>
      </w:r>
      <w:r>
        <w:rPr>
          <w:spacing w:val="-3"/>
          <w:w w:val="105"/>
        </w:rPr>
        <w:t> </w:t>
      </w:r>
      <w:r>
        <w:rPr>
          <w:w w:val="105"/>
        </w:rPr>
        <w:t>Human</w:t>
      </w:r>
      <w:r>
        <w:rPr>
          <w:spacing w:val="-3"/>
          <w:w w:val="105"/>
        </w:rPr>
        <w:t> </w:t>
      </w:r>
      <w:r>
        <w:rPr>
          <w:w w:val="105"/>
        </w:rPr>
        <w:t>Resources</w:t>
      </w:r>
      <w:r>
        <w:rPr>
          <w:spacing w:val="-3"/>
          <w:w w:val="105"/>
        </w:rPr>
        <w:t> </w:t>
      </w:r>
      <w:r>
        <w:rPr>
          <w:w w:val="105"/>
        </w:rPr>
        <w:t>function</w:t>
      </w:r>
      <w:r>
        <w:rPr>
          <w:spacing w:val="-3"/>
          <w:w w:val="105"/>
        </w:rPr>
        <w:t> </w:t>
      </w:r>
      <w:r>
        <w:rPr>
          <w:w w:val="105"/>
        </w:rPr>
        <w:t>across</w:t>
      </w:r>
      <w:r>
        <w:rPr>
          <w:spacing w:val="-3"/>
          <w:w w:val="105"/>
        </w:rPr>
        <w:t> </w:t>
      </w:r>
      <w:r>
        <w:rPr>
          <w:w w:val="105"/>
        </w:rPr>
        <w:t>several</w:t>
      </w:r>
      <w:r>
        <w:rPr>
          <w:spacing w:val="-3"/>
          <w:w w:val="105"/>
        </w:rPr>
        <w:t> </w:t>
      </w:r>
      <w:r>
        <w:rPr>
          <w:w w:val="105"/>
        </w:rPr>
        <w:t>businesses</w:t>
      </w:r>
      <w:r>
        <w:rPr>
          <w:spacing w:val="-1"/>
          <w:w w:val="105"/>
        </w:rPr>
        <w:t> </w:t>
      </w:r>
      <w:r>
        <w:rPr>
          <w:w w:val="105"/>
        </w:rPr>
        <w:t>and</w:t>
      </w:r>
      <w:r>
        <w:rPr>
          <w:spacing w:val="-3"/>
          <w:w w:val="105"/>
        </w:rPr>
        <w:t> </w:t>
      </w:r>
      <w:r>
        <w:rPr>
          <w:w w:val="105"/>
        </w:rPr>
        <w:t>had</w:t>
      </w:r>
      <w:r>
        <w:rPr>
          <w:spacing w:val="-3"/>
          <w:w w:val="105"/>
        </w:rPr>
        <w:t> </w:t>
      </w:r>
      <w:r>
        <w:rPr>
          <w:w w:val="105"/>
        </w:rPr>
        <w:t>HR Generalist</w:t>
      </w:r>
      <w:r>
        <w:rPr>
          <w:spacing w:val="-9"/>
          <w:w w:val="105"/>
        </w:rPr>
        <w:t> </w:t>
      </w:r>
      <w:r>
        <w:rPr>
          <w:w w:val="105"/>
        </w:rPr>
        <w:t>responsibility</w:t>
      </w:r>
      <w:r>
        <w:rPr>
          <w:spacing w:val="-9"/>
          <w:w w:val="105"/>
        </w:rPr>
        <w:t> </w:t>
      </w:r>
      <w:r>
        <w:rPr>
          <w:w w:val="105"/>
        </w:rPr>
        <w:t>for</w:t>
      </w:r>
      <w:r>
        <w:rPr>
          <w:spacing w:val="-9"/>
          <w:w w:val="105"/>
        </w:rPr>
        <w:t> </w:t>
      </w:r>
      <w:r>
        <w:rPr>
          <w:w w:val="105"/>
        </w:rPr>
        <w:t>the</w:t>
      </w:r>
      <w:r>
        <w:rPr>
          <w:spacing w:val="-9"/>
          <w:w w:val="105"/>
        </w:rPr>
        <w:t> </w:t>
      </w:r>
      <w:r>
        <w:rPr>
          <w:w w:val="105"/>
        </w:rPr>
        <w:t>Corning</w:t>
      </w:r>
      <w:r>
        <w:rPr>
          <w:spacing w:val="-9"/>
          <w:w w:val="105"/>
        </w:rPr>
        <w:t> </w:t>
      </w:r>
      <w:r>
        <w:rPr>
          <w:w w:val="105"/>
        </w:rPr>
        <w:t>China</w:t>
      </w:r>
      <w:r>
        <w:rPr>
          <w:spacing w:val="-9"/>
          <w:w w:val="105"/>
        </w:rPr>
        <w:t> </w:t>
      </w:r>
      <w:r>
        <w:rPr>
          <w:w w:val="105"/>
        </w:rPr>
        <w:t>organization.</w:t>
      </w:r>
      <w:r>
        <w:rPr>
          <w:spacing w:val="-9"/>
          <w:w w:val="105"/>
        </w:rPr>
        <w:t> </w:t>
      </w:r>
      <w:r>
        <w:rPr>
          <w:w w:val="105"/>
        </w:rPr>
        <w:t>In</w:t>
      </w:r>
      <w:r>
        <w:rPr>
          <w:spacing w:val="-9"/>
          <w:w w:val="105"/>
        </w:rPr>
        <w:t> </w:t>
      </w:r>
      <w:r>
        <w:rPr>
          <w:w w:val="105"/>
        </w:rPr>
        <w:t>2018</w:t>
      </w:r>
      <w:r>
        <w:rPr>
          <w:spacing w:val="-9"/>
          <w:w w:val="105"/>
        </w:rPr>
        <w:t> </w:t>
      </w:r>
      <w:r>
        <w:rPr>
          <w:w w:val="105"/>
        </w:rPr>
        <w:t>he</w:t>
      </w:r>
      <w:r>
        <w:rPr>
          <w:spacing w:val="-9"/>
          <w:w w:val="105"/>
        </w:rPr>
        <w:t> </w:t>
      </w:r>
      <w:r>
        <w:rPr>
          <w:w w:val="105"/>
        </w:rPr>
        <w:t>was</w:t>
      </w:r>
      <w:r>
        <w:rPr>
          <w:spacing w:val="-9"/>
          <w:w w:val="105"/>
        </w:rPr>
        <w:t> </w:t>
      </w:r>
      <w:r>
        <w:rPr>
          <w:w w:val="105"/>
        </w:rPr>
        <w:t>appointed</w:t>
      </w:r>
      <w:r>
        <w:rPr>
          <w:spacing w:val="-9"/>
          <w:w w:val="105"/>
        </w:rPr>
        <w:t> </w:t>
      </w:r>
      <w:r>
        <w:rPr>
          <w:w w:val="105"/>
        </w:rPr>
        <w:t>as</w:t>
      </w:r>
      <w:r>
        <w:rPr>
          <w:spacing w:val="-9"/>
          <w:w w:val="105"/>
        </w:rPr>
        <w:t> </w:t>
      </w:r>
      <w:r>
        <w:rPr>
          <w:w w:val="105"/>
        </w:rPr>
        <w:t>vice</w:t>
      </w:r>
      <w:r>
        <w:rPr>
          <w:spacing w:val="-9"/>
          <w:w w:val="105"/>
        </w:rPr>
        <w:t> </w:t>
      </w:r>
      <w:r>
        <w:rPr>
          <w:w w:val="105"/>
        </w:rPr>
        <w:t>president,</w:t>
      </w:r>
      <w:r>
        <w:rPr>
          <w:spacing w:val="-9"/>
          <w:w w:val="105"/>
        </w:rPr>
        <w:t> </w:t>
      </w:r>
      <w:r>
        <w:rPr>
          <w:w w:val="105"/>
        </w:rPr>
        <w:t>Human</w:t>
      </w:r>
      <w:r>
        <w:rPr>
          <w:spacing w:val="-9"/>
          <w:w w:val="105"/>
        </w:rPr>
        <w:t> </w:t>
      </w:r>
      <w:r>
        <w:rPr>
          <w:w w:val="105"/>
        </w:rPr>
        <w:t>Resources</w:t>
      </w:r>
      <w:r>
        <w:rPr>
          <w:spacing w:val="-9"/>
          <w:w w:val="105"/>
        </w:rPr>
        <w:t> </w:t>
      </w:r>
      <w:r>
        <w:rPr>
          <w:w w:val="105"/>
        </w:rPr>
        <w:t>and</w:t>
      </w:r>
      <w:r>
        <w:rPr>
          <w:spacing w:val="-9"/>
          <w:w w:val="105"/>
        </w:rPr>
        <w:t> </w:t>
      </w:r>
      <w:r>
        <w:rPr>
          <w:w w:val="105"/>
        </w:rPr>
        <w:t>was</w:t>
      </w:r>
      <w:r>
        <w:rPr>
          <w:spacing w:val="-9"/>
          <w:w w:val="105"/>
        </w:rPr>
        <w:t> </w:t>
      </w:r>
      <w:r>
        <w:rPr>
          <w:w w:val="105"/>
        </w:rPr>
        <w:t>appointed</w:t>
      </w:r>
      <w:r>
        <w:rPr>
          <w:spacing w:val="-9"/>
          <w:w w:val="105"/>
        </w:rPr>
        <w:t> </w:t>
      </w:r>
      <w:r>
        <w:rPr>
          <w:w w:val="105"/>
        </w:rPr>
        <w:t>senior</w:t>
      </w:r>
      <w:r>
        <w:rPr>
          <w:spacing w:val="-9"/>
          <w:w w:val="105"/>
        </w:rPr>
        <w:t> </w:t>
      </w:r>
      <w:r>
        <w:rPr>
          <w:w w:val="105"/>
        </w:rPr>
        <w:t>vice</w:t>
      </w:r>
      <w:r>
        <w:rPr>
          <w:spacing w:val="-9"/>
          <w:w w:val="105"/>
        </w:rPr>
        <w:t> </w:t>
      </w:r>
      <w:r>
        <w:rPr>
          <w:w w:val="105"/>
        </w:rPr>
        <w:t>president,</w:t>
      </w:r>
      <w:r>
        <w:rPr>
          <w:spacing w:val="-9"/>
          <w:w w:val="105"/>
        </w:rPr>
        <w:t> </w:t>
      </w:r>
      <w:r>
        <w:rPr>
          <w:w w:val="105"/>
        </w:rPr>
        <w:t>Human Resources in 2019. Age 56.</w:t>
      </w:r>
    </w:p>
    <w:p>
      <w:pPr>
        <w:pStyle w:val="BodyText"/>
        <w:spacing w:before="18"/>
      </w:pPr>
    </w:p>
    <w:p>
      <w:pPr>
        <w:spacing w:before="0"/>
        <w:ind w:left="156" w:right="0" w:firstLine="0"/>
        <w:jc w:val="left"/>
        <w:rPr>
          <w:i/>
          <w:sz w:val="16"/>
        </w:rPr>
      </w:pPr>
      <w:r>
        <w:rPr>
          <w:w w:val="105"/>
          <w:sz w:val="16"/>
        </w:rPr>
        <w:t>Lawrence</w:t>
      </w:r>
      <w:r>
        <w:rPr>
          <w:spacing w:val="-10"/>
          <w:w w:val="105"/>
          <w:sz w:val="16"/>
        </w:rPr>
        <w:t> </w:t>
      </w:r>
      <w:r>
        <w:rPr>
          <w:w w:val="105"/>
          <w:sz w:val="16"/>
        </w:rPr>
        <w:t>D.</w:t>
      </w:r>
      <w:r>
        <w:rPr>
          <w:spacing w:val="-10"/>
          <w:w w:val="105"/>
          <w:sz w:val="16"/>
        </w:rPr>
        <w:t> </w:t>
      </w:r>
      <w:r>
        <w:rPr>
          <w:w w:val="105"/>
          <w:sz w:val="16"/>
        </w:rPr>
        <w:t>McRae</w:t>
      </w:r>
      <w:r>
        <w:rPr>
          <w:spacing w:val="23"/>
          <w:w w:val="105"/>
          <w:sz w:val="16"/>
        </w:rPr>
        <w:t> </w:t>
      </w:r>
      <w:r>
        <w:rPr>
          <w:i/>
          <w:w w:val="105"/>
          <w:sz w:val="16"/>
        </w:rPr>
        <w:t>Vice</w:t>
      </w:r>
      <w:r>
        <w:rPr>
          <w:i/>
          <w:spacing w:val="-9"/>
          <w:w w:val="105"/>
          <w:sz w:val="16"/>
        </w:rPr>
        <w:t> </w:t>
      </w:r>
      <w:r>
        <w:rPr>
          <w:i/>
          <w:w w:val="105"/>
          <w:sz w:val="16"/>
        </w:rPr>
        <w:t>Chairman</w:t>
      </w:r>
      <w:r>
        <w:rPr>
          <w:i/>
          <w:spacing w:val="-10"/>
          <w:w w:val="105"/>
          <w:sz w:val="16"/>
        </w:rPr>
        <w:t> </w:t>
      </w:r>
      <w:r>
        <w:rPr>
          <w:i/>
          <w:w w:val="105"/>
          <w:sz w:val="16"/>
        </w:rPr>
        <w:t>and</w:t>
      </w:r>
      <w:r>
        <w:rPr>
          <w:i/>
          <w:spacing w:val="-10"/>
          <w:w w:val="105"/>
          <w:sz w:val="16"/>
        </w:rPr>
        <w:t> </w:t>
      </w:r>
      <w:r>
        <w:rPr>
          <w:i/>
          <w:w w:val="105"/>
          <w:sz w:val="16"/>
        </w:rPr>
        <w:t>Corporate</w:t>
      </w:r>
      <w:r>
        <w:rPr>
          <w:i/>
          <w:spacing w:val="-9"/>
          <w:w w:val="105"/>
          <w:sz w:val="16"/>
        </w:rPr>
        <w:t> </w:t>
      </w:r>
      <w:r>
        <w:rPr>
          <w:i/>
          <w:w w:val="105"/>
          <w:sz w:val="16"/>
        </w:rPr>
        <w:t>Development</w:t>
      </w:r>
      <w:r>
        <w:rPr>
          <w:i/>
          <w:spacing w:val="-10"/>
          <w:w w:val="105"/>
          <w:sz w:val="16"/>
        </w:rPr>
        <w:t> </w:t>
      </w:r>
      <w:r>
        <w:rPr>
          <w:i/>
          <w:spacing w:val="-2"/>
          <w:w w:val="105"/>
          <w:sz w:val="16"/>
        </w:rPr>
        <w:t>Officer</w:t>
      </w:r>
    </w:p>
    <w:p>
      <w:pPr>
        <w:pStyle w:val="BodyText"/>
        <w:spacing w:line="266" w:lineRule="auto" w:before="20"/>
        <w:ind w:left="156" w:right="328"/>
      </w:pPr>
      <w:r>
        <w:rPr>
          <w:w w:val="105"/>
        </w:rPr>
        <w:t>Mr.</w:t>
      </w:r>
      <w:r>
        <w:rPr>
          <w:spacing w:val="-2"/>
          <w:w w:val="105"/>
        </w:rPr>
        <w:t> </w:t>
      </w:r>
      <w:r>
        <w:rPr>
          <w:w w:val="105"/>
        </w:rPr>
        <w:t>McRae</w:t>
      </w:r>
      <w:r>
        <w:rPr>
          <w:spacing w:val="-2"/>
          <w:w w:val="105"/>
        </w:rPr>
        <w:t> </w:t>
      </w:r>
      <w:r>
        <w:rPr>
          <w:w w:val="105"/>
        </w:rPr>
        <w:t>joined</w:t>
      </w:r>
      <w:r>
        <w:rPr>
          <w:spacing w:val="-2"/>
          <w:w w:val="105"/>
        </w:rPr>
        <w:t> </w:t>
      </w:r>
      <w:r>
        <w:rPr>
          <w:w w:val="105"/>
        </w:rPr>
        <w:t>Corning</w:t>
      </w:r>
      <w:r>
        <w:rPr>
          <w:spacing w:val="-2"/>
          <w:w w:val="105"/>
        </w:rPr>
        <w:t> </w:t>
      </w:r>
      <w:r>
        <w:rPr>
          <w:w w:val="105"/>
        </w:rPr>
        <w:t>in</w:t>
      </w:r>
      <w:r>
        <w:rPr>
          <w:spacing w:val="-2"/>
          <w:w w:val="105"/>
        </w:rPr>
        <w:t> </w:t>
      </w:r>
      <w:r>
        <w:rPr>
          <w:w w:val="105"/>
        </w:rPr>
        <w:t>1985</w:t>
      </w:r>
      <w:r>
        <w:rPr>
          <w:spacing w:val="-2"/>
          <w:w w:val="105"/>
        </w:rPr>
        <w:t> </w:t>
      </w:r>
      <w:r>
        <w:rPr>
          <w:w w:val="105"/>
        </w:rPr>
        <w:t>and</w:t>
      </w:r>
      <w:r>
        <w:rPr>
          <w:spacing w:val="-2"/>
          <w:w w:val="105"/>
        </w:rPr>
        <w:t> </w:t>
      </w:r>
      <w:r>
        <w:rPr>
          <w:w w:val="105"/>
        </w:rPr>
        <w:t>has</w:t>
      </w:r>
      <w:r>
        <w:rPr>
          <w:spacing w:val="-2"/>
          <w:w w:val="105"/>
        </w:rPr>
        <w:t> </w:t>
      </w:r>
      <w:r>
        <w:rPr>
          <w:w w:val="105"/>
        </w:rPr>
        <w:t>held</w:t>
      </w:r>
      <w:r>
        <w:rPr>
          <w:spacing w:val="-1"/>
          <w:w w:val="105"/>
        </w:rPr>
        <w:t> </w:t>
      </w:r>
      <w:r>
        <w:rPr>
          <w:w w:val="105"/>
        </w:rPr>
        <w:t>a</w:t>
      </w:r>
      <w:r>
        <w:rPr>
          <w:spacing w:val="-2"/>
          <w:w w:val="105"/>
        </w:rPr>
        <w:t> </w:t>
      </w:r>
      <w:r>
        <w:rPr>
          <w:w w:val="105"/>
        </w:rPr>
        <w:t>broad</w:t>
      </w:r>
      <w:r>
        <w:rPr>
          <w:spacing w:val="-2"/>
          <w:w w:val="105"/>
        </w:rPr>
        <w:t> </w:t>
      </w:r>
      <w:r>
        <w:rPr>
          <w:w w:val="105"/>
        </w:rPr>
        <w:t>range</w:t>
      </w:r>
      <w:r>
        <w:rPr>
          <w:spacing w:val="-2"/>
          <w:w w:val="105"/>
        </w:rPr>
        <w:t> </w:t>
      </w:r>
      <w:r>
        <w:rPr>
          <w:w w:val="105"/>
        </w:rPr>
        <w:t>of</w:t>
      </w:r>
      <w:r>
        <w:rPr>
          <w:spacing w:val="-2"/>
          <w:w w:val="105"/>
        </w:rPr>
        <w:t> </w:t>
      </w:r>
      <w:r>
        <w:rPr>
          <w:w w:val="105"/>
        </w:rPr>
        <w:t>leadership</w:t>
      </w:r>
      <w:r>
        <w:rPr>
          <w:spacing w:val="-2"/>
          <w:w w:val="105"/>
        </w:rPr>
        <w:t> </w:t>
      </w:r>
      <w:r>
        <w:rPr>
          <w:w w:val="105"/>
        </w:rPr>
        <w:t>positions</w:t>
      </w:r>
      <w:r>
        <w:rPr>
          <w:spacing w:val="-2"/>
          <w:w w:val="105"/>
        </w:rPr>
        <w:t> </w:t>
      </w:r>
      <w:r>
        <w:rPr>
          <w:w w:val="105"/>
        </w:rPr>
        <w:t>in</w:t>
      </w:r>
      <w:r>
        <w:rPr>
          <w:spacing w:val="-2"/>
          <w:w w:val="105"/>
        </w:rPr>
        <w:t> </w:t>
      </w:r>
      <w:r>
        <w:rPr>
          <w:w w:val="105"/>
        </w:rPr>
        <w:t>various</w:t>
      </w:r>
      <w:r>
        <w:rPr>
          <w:spacing w:val="-2"/>
          <w:w w:val="105"/>
        </w:rPr>
        <w:t> </w:t>
      </w:r>
      <w:r>
        <w:rPr>
          <w:w w:val="105"/>
        </w:rPr>
        <w:t>finance,</w:t>
      </w:r>
      <w:r>
        <w:rPr>
          <w:spacing w:val="-2"/>
          <w:w w:val="105"/>
        </w:rPr>
        <w:t> </w:t>
      </w:r>
      <w:r>
        <w:rPr>
          <w:w w:val="105"/>
        </w:rPr>
        <w:t>sales,</w:t>
      </w:r>
      <w:r>
        <w:rPr>
          <w:spacing w:val="-2"/>
          <w:w w:val="105"/>
        </w:rPr>
        <w:t> </w:t>
      </w:r>
      <w:r>
        <w:rPr>
          <w:w w:val="105"/>
        </w:rPr>
        <w:t>marketing,</w:t>
      </w:r>
      <w:r>
        <w:rPr>
          <w:spacing w:val="-2"/>
          <w:w w:val="105"/>
        </w:rPr>
        <w:t> </w:t>
      </w:r>
      <w:r>
        <w:rPr>
          <w:w w:val="105"/>
        </w:rPr>
        <w:t>and</w:t>
      </w:r>
      <w:r>
        <w:rPr>
          <w:spacing w:val="-3"/>
          <w:w w:val="105"/>
        </w:rPr>
        <w:t> </w:t>
      </w:r>
      <w:r>
        <w:rPr>
          <w:w w:val="105"/>
        </w:rPr>
        <w:t>general</w:t>
      </w:r>
      <w:r>
        <w:rPr>
          <w:spacing w:val="-2"/>
          <w:w w:val="105"/>
        </w:rPr>
        <w:t> </w:t>
      </w:r>
      <w:r>
        <w:rPr>
          <w:w w:val="105"/>
        </w:rPr>
        <w:t>management</w:t>
      </w:r>
      <w:r>
        <w:rPr>
          <w:spacing w:val="-2"/>
          <w:w w:val="105"/>
        </w:rPr>
        <w:t> </w:t>
      </w:r>
      <w:r>
        <w:rPr>
          <w:w w:val="105"/>
        </w:rPr>
        <w:t>across</w:t>
      </w:r>
      <w:r>
        <w:rPr>
          <w:spacing w:val="-2"/>
          <w:w w:val="105"/>
        </w:rPr>
        <w:t> </w:t>
      </w:r>
      <w:r>
        <w:rPr>
          <w:w w:val="105"/>
        </w:rPr>
        <w:t>Corning’s businesses.</w:t>
      </w:r>
      <w:r>
        <w:rPr>
          <w:spacing w:val="-1"/>
          <w:w w:val="105"/>
        </w:rPr>
        <w:t> </w:t>
      </w:r>
      <w:r>
        <w:rPr>
          <w:w w:val="105"/>
        </w:rPr>
        <w:t>In</w:t>
      </w:r>
      <w:r>
        <w:rPr>
          <w:spacing w:val="-1"/>
          <w:w w:val="105"/>
        </w:rPr>
        <w:t> </w:t>
      </w:r>
      <w:r>
        <w:rPr>
          <w:w w:val="105"/>
        </w:rPr>
        <w:t>1995</w:t>
      </w:r>
      <w:r>
        <w:rPr>
          <w:spacing w:val="-1"/>
          <w:w w:val="105"/>
        </w:rPr>
        <w:t> </w:t>
      </w:r>
      <w:r>
        <w:rPr>
          <w:w w:val="105"/>
        </w:rPr>
        <w:t>he</w:t>
      </w:r>
      <w:r>
        <w:rPr>
          <w:spacing w:val="-1"/>
          <w:w w:val="105"/>
        </w:rPr>
        <w:t> </w:t>
      </w:r>
      <w:r>
        <w:rPr>
          <w:w w:val="105"/>
        </w:rPr>
        <w:t>was</w:t>
      </w:r>
      <w:r>
        <w:rPr>
          <w:spacing w:val="-1"/>
          <w:w w:val="105"/>
        </w:rPr>
        <w:t> </w:t>
      </w:r>
      <w:r>
        <w:rPr>
          <w:w w:val="105"/>
        </w:rPr>
        <w:t>appointed</w:t>
      </w:r>
      <w:r>
        <w:rPr>
          <w:spacing w:val="-1"/>
          <w:w w:val="105"/>
        </w:rPr>
        <w:t> </w:t>
      </w:r>
      <w:r>
        <w:rPr>
          <w:w w:val="105"/>
        </w:rPr>
        <w:t>vice</w:t>
      </w:r>
      <w:r>
        <w:rPr>
          <w:spacing w:val="-1"/>
          <w:w w:val="105"/>
        </w:rPr>
        <w:t> </w:t>
      </w:r>
      <w:r>
        <w:rPr>
          <w:w w:val="105"/>
        </w:rPr>
        <w:t>president</w:t>
      </w:r>
      <w:r>
        <w:rPr>
          <w:spacing w:val="-1"/>
          <w:w w:val="105"/>
        </w:rPr>
        <w:t> </w:t>
      </w:r>
      <w:r>
        <w:rPr>
          <w:w w:val="105"/>
        </w:rPr>
        <w:t>of</w:t>
      </w:r>
      <w:r>
        <w:rPr>
          <w:spacing w:val="-1"/>
          <w:w w:val="105"/>
        </w:rPr>
        <w:t> </w:t>
      </w:r>
      <w:r>
        <w:rPr>
          <w:w w:val="105"/>
        </w:rPr>
        <w:t>Corning</w:t>
      </w:r>
      <w:r>
        <w:rPr>
          <w:spacing w:val="-1"/>
          <w:w w:val="105"/>
        </w:rPr>
        <w:t> </w:t>
      </w:r>
      <w:r>
        <w:rPr>
          <w:w w:val="105"/>
        </w:rPr>
        <w:t>Consumer</w:t>
      </w:r>
      <w:r>
        <w:rPr>
          <w:spacing w:val="-1"/>
          <w:w w:val="105"/>
        </w:rPr>
        <w:t> </w:t>
      </w:r>
      <w:r>
        <w:rPr>
          <w:w w:val="105"/>
        </w:rPr>
        <w:t>Products</w:t>
      </w:r>
      <w:r>
        <w:rPr>
          <w:spacing w:val="-1"/>
          <w:w w:val="105"/>
        </w:rPr>
        <w:t> </w:t>
      </w:r>
      <w:r>
        <w:rPr>
          <w:w w:val="105"/>
        </w:rPr>
        <w:t>Company</w:t>
      </w:r>
      <w:r>
        <w:rPr>
          <w:spacing w:val="-1"/>
          <w:w w:val="105"/>
        </w:rPr>
        <w:t> </w:t>
      </w:r>
      <w:r>
        <w:rPr>
          <w:w w:val="105"/>
        </w:rPr>
        <w:t>and</w:t>
      </w:r>
      <w:r>
        <w:rPr>
          <w:spacing w:val="-1"/>
          <w:w w:val="105"/>
        </w:rPr>
        <w:t> </w:t>
      </w:r>
      <w:r>
        <w:rPr>
          <w:w w:val="105"/>
        </w:rPr>
        <w:t>president</w:t>
      </w:r>
      <w:r>
        <w:rPr>
          <w:spacing w:val="-1"/>
          <w:w w:val="105"/>
        </w:rPr>
        <w:t> </w:t>
      </w:r>
      <w:r>
        <w:rPr>
          <w:w w:val="105"/>
        </w:rPr>
        <w:t>of</w:t>
      </w:r>
      <w:r>
        <w:rPr>
          <w:spacing w:val="-1"/>
          <w:w w:val="105"/>
        </w:rPr>
        <w:t> </w:t>
      </w:r>
      <w:r>
        <w:rPr>
          <w:w w:val="105"/>
        </w:rPr>
        <w:t>Revere</w:t>
      </w:r>
      <w:r>
        <w:rPr>
          <w:spacing w:val="-1"/>
          <w:w w:val="105"/>
        </w:rPr>
        <w:t> </w:t>
      </w:r>
      <w:r>
        <w:rPr>
          <w:w w:val="105"/>
        </w:rPr>
        <w:t>Ware</w:t>
      </w:r>
      <w:r>
        <w:rPr>
          <w:spacing w:val="-1"/>
          <w:w w:val="105"/>
        </w:rPr>
        <w:t> </w:t>
      </w:r>
      <w:r>
        <w:rPr>
          <w:w w:val="105"/>
        </w:rPr>
        <w:t>Corporation.</w:t>
      </w:r>
      <w:r>
        <w:rPr>
          <w:spacing w:val="-1"/>
          <w:w w:val="105"/>
        </w:rPr>
        <w:t> </w:t>
      </w:r>
      <w:r>
        <w:rPr>
          <w:w w:val="105"/>
        </w:rPr>
        <w:t>He</w:t>
      </w:r>
      <w:r>
        <w:rPr>
          <w:spacing w:val="-1"/>
          <w:w w:val="105"/>
        </w:rPr>
        <w:t> </w:t>
      </w:r>
      <w:r>
        <w:rPr>
          <w:w w:val="105"/>
        </w:rPr>
        <w:t>then</w:t>
      </w:r>
      <w:r>
        <w:rPr>
          <w:spacing w:val="-1"/>
          <w:w w:val="105"/>
        </w:rPr>
        <w:t> </w:t>
      </w:r>
      <w:r>
        <w:rPr>
          <w:w w:val="105"/>
        </w:rPr>
        <w:t>moved</w:t>
      </w:r>
      <w:r>
        <w:rPr>
          <w:spacing w:val="-1"/>
          <w:w w:val="105"/>
        </w:rPr>
        <w:t> </w:t>
      </w:r>
      <w:r>
        <w:rPr>
          <w:w w:val="105"/>
        </w:rPr>
        <w:t>to Telecommunications</w:t>
      </w:r>
      <w:r>
        <w:rPr>
          <w:spacing w:val="-3"/>
          <w:w w:val="105"/>
        </w:rPr>
        <w:t> </w:t>
      </w:r>
      <w:r>
        <w:rPr>
          <w:w w:val="105"/>
        </w:rPr>
        <w:t>Products,</w:t>
      </w:r>
      <w:r>
        <w:rPr>
          <w:spacing w:val="-3"/>
          <w:w w:val="105"/>
        </w:rPr>
        <w:t> </w:t>
      </w:r>
      <w:r>
        <w:rPr>
          <w:w w:val="105"/>
        </w:rPr>
        <w:t>where</w:t>
      </w:r>
      <w:r>
        <w:rPr>
          <w:spacing w:val="-3"/>
          <w:w w:val="105"/>
        </w:rPr>
        <w:t> </w:t>
      </w:r>
      <w:r>
        <w:rPr>
          <w:w w:val="105"/>
        </w:rPr>
        <w:t>he</w:t>
      </w:r>
      <w:r>
        <w:rPr>
          <w:spacing w:val="-3"/>
          <w:w w:val="105"/>
        </w:rPr>
        <w:t> </w:t>
      </w:r>
      <w:r>
        <w:rPr>
          <w:w w:val="105"/>
        </w:rPr>
        <w:t>served</w:t>
      </w:r>
      <w:r>
        <w:rPr>
          <w:spacing w:val="-3"/>
          <w:w w:val="105"/>
        </w:rPr>
        <w:t> </w:t>
      </w:r>
      <w:r>
        <w:rPr>
          <w:w w:val="105"/>
        </w:rPr>
        <w:t>as</w:t>
      </w:r>
      <w:r>
        <w:rPr>
          <w:spacing w:val="-3"/>
          <w:w w:val="105"/>
        </w:rPr>
        <w:t> </w:t>
      </w:r>
      <w:r>
        <w:rPr>
          <w:w w:val="105"/>
        </w:rPr>
        <w:t>vice</w:t>
      </w:r>
      <w:r>
        <w:rPr>
          <w:spacing w:val="-3"/>
          <w:w w:val="105"/>
        </w:rPr>
        <w:t> </w:t>
      </w:r>
      <w:r>
        <w:rPr>
          <w:w w:val="105"/>
        </w:rPr>
        <w:t>president,</w:t>
      </w:r>
      <w:r>
        <w:rPr>
          <w:spacing w:val="-3"/>
          <w:w w:val="105"/>
        </w:rPr>
        <w:t> </w:t>
      </w:r>
      <w:r>
        <w:rPr>
          <w:w w:val="105"/>
        </w:rPr>
        <w:t>Global</w:t>
      </w:r>
      <w:r>
        <w:rPr>
          <w:spacing w:val="-3"/>
          <w:w w:val="105"/>
        </w:rPr>
        <w:t> </w:t>
      </w:r>
      <w:r>
        <w:rPr>
          <w:w w:val="105"/>
        </w:rPr>
        <w:t>Development,</w:t>
      </w:r>
      <w:r>
        <w:rPr>
          <w:spacing w:val="-3"/>
          <w:w w:val="105"/>
        </w:rPr>
        <w:t> </w:t>
      </w:r>
      <w:r>
        <w:rPr>
          <w:w w:val="105"/>
        </w:rPr>
        <w:t>from</w:t>
      </w:r>
      <w:r>
        <w:rPr>
          <w:spacing w:val="-3"/>
          <w:w w:val="105"/>
        </w:rPr>
        <w:t> </w:t>
      </w:r>
      <w:r>
        <w:rPr>
          <w:w w:val="105"/>
        </w:rPr>
        <w:t>1996</w:t>
      </w:r>
      <w:r>
        <w:rPr>
          <w:spacing w:val="-1"/>
          <w:w w:val="105"/>
        </w:rPr>
        <w:t> </w:t>
      </w:r>
      <w:r>
        <w:rPr>
          <w:w w:val="105"/>
        </w:rPr>
        <w:t>to</w:t>
      </w:r>
      <w:r>
        <w:rPr>
          <w:spacing w:val="-3"/>
          <w:w w:val="105"/>
        </w:rPr>
        <w:t> </w:t>
      </w:r>
      <w:r>
        <w:rPr>
          <w:w w:val="105"/>
        </w:rPr>
        <w:t>2000.</w:t>
      </w:r>
      <w:r>
        <w:rPr>
          <w:spacing w:val="-3"/>
          <w:w w:val="105"/>
        </w:rPr>
        <w:t> </w:t>
      </w:r>
      <w:r>
        <w:rPr>
          <w:w w:val="105"/>
        </w:rPr>
        <w:t>He</w:t>
      </w:r>
      <w:r>
        <w:rPr>
          <w:spacing w:val="-3"/>
          <w:w w:val="105"/>
        </w:rPr>
        <w:t> </w:t>
      </w:r>
      <w:r>
        <w:rPr>
          <w:w w:val="105"/>
        </w:rPr>
        <w:t>was</w:t>
      </w:r>
      <w:r>
        <w:rPr>
          <w:spacing w:val="-3"/>
          <w:w w:val="105"/>
        </w:rPr>
        <w:t> </w:t>
      </w:r>
      <w:r>
        <w:rPr>
          <w:w w:val="105"/>
        </w:rPr>
        <w:t>appointed</w:t>
      </w:r>
      <w:r>
        <w:rPr>
          <w:spacing w:val="-3"/>
          <w:w w:val="105"/>
        </w:rPr>
        <w:t> </w:t>
      </w:r>
      <w:r>
        <w:rPr>
          <w:w w:val="105"/>
        </w:rPr>
        <w:t>vice</w:t>
      </w:r>
      <w:r>
        <w:rPr>
          <w:spacing w:val="-3"/>
          <w:w w:val="105"/>
        </w:rPr>
        <w:t> </w:t>
      </w:r>
      <w:r>
        <w:rPr>
          <w:w w:val="105"/>
        </w:rPr>
        <w:t>president</w:t>
      </w:r>
      <w:r>
        <w:rPr>
          <w:spacing w:val="-3"/>
          <w:w w:val="105"/>
        </w:rPr>
        <w:t> </w:t>
      </w:r>
      <w:r>
        <w:rPr>
          <w:w w:val="105"/>
        </w:rPr>
        <w:t>Corporate</w:t>
      </w:r>
      <w:r>
        <w:rPr>
          <w:spacing w:val="-3"/>
          <w:w w:val="105"/>
        </w:rPr>
        <w:t> </w:t>
      </w:r>
      <w:r>
        <w:rPr>
          <w:w w:val="105"/>
        </w:rPr>
        <w:t>Development</w:t>
      </w:r>
      <w:r>
        <w:rPr>
          <w:spacing w:val="-3"/>
          <w:w w:val="105"/>
        </w:rPr>
        <w:t> </w:t>
      </w:r>
      <w:r>
        <w:rPr>
          <w:w w:val="105"/>
        </w:rPr>
        <w:t>in 2000</w:t>
      </w:r>
      <w:r>
        <w:rPr>
          <w:spacing w:val="-8"/>
          <w:w w:val="105"/>
        </w:rPr>
        <w:t> </w:t>
      </w:r>
      <w:r>
        <w:rPr>
          <w:w w:val="105"/>
        </w:rPr>
        <w:t>and</w:t>
      </w:r>
      <w:r>
        <w:rPr>
          <w:spacing w:val="-8"/>
          <w:w w:val="105"/>
        </w:rPr>
        <w:t> </w:t>
      </w:r>
      <w:r>
        <w:rPr>
          <w:w w:val="105"/>
        </w:rPr>
        <w:t>progressed</w:t>
      </w:r>
      <w:r>
        <w:rPr>
          <w:spacing w:val="-8"/>
          <w:w w:val="105"/>
        </w:rPr>
        <w:t> </w:t>
      </w:r>
      <w:r>
        <w:rPr>
          <w:w w:val="105"/>
        </w:rPr>
        <w:t>through</w:t>
      </w:r>
      <w:r>
        <w:rPr>
          <w:spacing w:val="-8"/>
          <w:w w:val="105"/>
        </w:rPr>
        <w:t> </w:t>
      </w:r>
      <w:r>
        <w:rPr>
          <w:w w:val="105"/>
        </w:rPr>
        <w:t>a</w:t>
      </w:r>
      <w:r>
        <w:rPr>
          <w:spacing w:val="-8"/>
          <w:w w:val="105"/>
        </w:rPr>
        <w:t> </w:t>
      </w:r>
      <w:r>
        <w:rPr>
          <w:w w:val="105"/>
        </w:rPr>
        <w:t>series</w:t>
      </w:r>
      <w:r>
        <w:rPr>
          <w:spacing w:val="-8"/>
          <w:w w:val="105"/>
        </w:rPr>
        <w:t> </w:t>
      </w:r>
      <w:r>
        <w:rPr>
          <w:w w:val="105"/>
        </w:rPr>
        <w:t>of</w:t>
      </w:r>
      <w:r>
        <w:rPr>
          <w:spacing w:val="-8"/>
          <w:w w:val="105"/>
        </w:rPr>
        <w:t> </w:t>
      </w:r>
      <w:r>
        <w:rPr>
          <w:w w:val="105"/>
        </w:rPr>
        <w:t>senior</w:t>
      </w:r>
      <w:r>
        <w:rPr>
          <w:spacing w:val="-8"/>
          <w:w w:val="105"/>
        </w:rPr>
        <w:t> </w:t>
      </w:r>
      <w:r>
        <w:rPr>
          <w:w w:val="105"/>
        </w:rPr>
        <w:t>leadership</w:t>
      </w:r>
      <w:r>
        <w:rPr>
          <w:spacing w:val="-8"/>
          <w:w w:val="105"/>
        </w:rPr>
        <w:t> </w:t>
      </w:r>
      <w:r>
        <w:rPr>
          <w:w w:val="105"/>
        </w:rPr>
        <w:t>positions.</w:t>
      </w:r>
      <w:r>
        <w:rPr>
          <w:spacing w:val="-8"/>
          <w:w w:val="105"/>
        </w:rPr>
        <w:t> </w:t>
      </w:r>
      <w:r>
        <w:rPr>
          <w:w w:val="105"/>
        </w:rPr>
        <w:t>He</w:t>
      </w:r>
      <w:r>
        <w:rPr>
          <w:spacing w:val="-8"/>
          <w:w w:val="105"/>
        </w:rPr>
        <w:t> </w:t>
      </w:r>
      <w:r>
        <w:rPr>
          <w:w w:val="105"/>
        </w:rPr>
        <w:t>has</w:t>
      </w:r>
      <w:r>
        <w:rPr>
          <w:spacing w:val="-8"/>
          <w:w w:val="105"/>
        </w:rPr>
        <w:t> </w:t>
      </w:r>
      <w:r>
        <w:rPr>
          <w:w w:val="105"/>
        </w:rPr>
        <w:t>led</w:t>
      </w:r>
      <w:r>
        <w:rPr>
          <w:spacing w:val="-8"/>
          <w:w w:val="105"/>
        </w:rPr>
        <w:t> </w:t>
      </w:r>
      <w:r>
        <w:rPr>
          <w:w w:val="105"/>
        </w:rPr>
        <w:t>strategy</w:t>
      </w:r>
      <w:r>
        <w:rPr>
          <w:spacing w:val="-8"/>
          <w:w w:val="105"/>
        </w:rPr>
        <w:t> </w:t>
      </w:r>
      <w:r>
        <w:rPr>
          <w:w w:val="105"/>
        </w:rPr>
        <w:t>and</w:t>
      </w:r>
      <w:r>
        <w:rPr>
          <w:spacing w:val="-8"/>
          <w:w w:val="105"/>
        </w:rPr>
        <w:t> </w:t>
      </w:r>
      <w:r>
        <w:rPr>
          <w:w w:val="105"/>
        </w:rPr>
        <w:t>corporate</w:t>
      </w:r>
      <w:r>
        <w:rPr>
          <w:spacing w:val="-8"/>
          <w:w w:val="105"/>
        </w:rPr>
        <w:t> </w:t>
      </w:r>
      <w:r>
        <w:rPr>
          <w:w w:val="105"/>
        </w:rPr>
        <w:t>development</w:t>
      </w:r>
      <w:r>
        <w:rPr>
          <w:spacing w:val="-8"/>
          <w:w w:val="105"/>
        </w:rPr>
        <w:t> </w:t>
      </w:r>
      <w:r>
        <w:rPr>
          <w:w w:val="105"/>
        </w:rPr>
        <w:t>since</w:t>
      </w:r>
      <w:r>
        <w:rPr>
          <w:spacing w:val="-8"/>
          <w:w w:val="105"/>
        </w:rPr>
        <w:t> </w:t>
      </w:r>
      <w:r>
        <w:rPr>
          <w:w w:val="105"/>
        </w:rPr>
        <w:t>2010.</w:t>
      </w:r>
      <w:r>
        <w:rPr>
          <w:spacing w:val="27"/>
          <w:w w:val="105"/>
        </w:rPr>
        <w:t> </w:t>
      </w:r>
      <w:r>
        <w:rPr>
          <w:w w:val="105"/>
        </w:rPr>
        <w:t>He</w:t>
      </w:r>
      <w:r>
        <w:rPr>
          <w:spacing w:val="-8"/>
          <w:w w:val="105"/>
        </w:rPr>
        <w:t> </w:t>
      </w:r>
      <w:r>
        <w:rPr>
          <w:w w:val="105"/>
        </w:rPr>
        <w:t>was</w:t>
      </w:r>
      <w:r>
        <w:rPr>
          <w:spacing w:val="-8"/>
          <w:w w:val="105"/>
        </w:rPr>
        <w:t> </w:t>
      </w:r>
      <w:r>
        <w:rPr>
          <w:w w:val="105"/>
        </w:rPr>
        <w:t>named</w:t>
      </w:r>
      <w:r>
        <w:rPr>
          <w:spacing w:val="-8"/>
          <w:w w:val="105"/>
        </w:rPr>
        <w:t> </w:t>
      </w:r>
      <w:r>
        <w:rPr>
          <w:w w:val="105"/>
        </w:rPr>
        <w:t>vice</w:t>
      </w:r>
      <w:r>
        <w:rPr>
          <w:spacing w:val="-8"/>
          <w:w w:val="105"/>
        </w:rPr>
        <w:t> </w:t>
      </w:r>
      <w:r>
        <w:rPr>
          <w:w w:val="105"/>
        </w:rPr>
        <w:t>chairman</w:t>
      </w:r>
      <w:r>
        <w:rPr>
          <w:spacing w:val="-8"/>
          <w:w w:val="105"/>
        </w:rPr>
        <w:t> </w:t>
      </w:r>
      <w:r>
        <w:rPr>
          <w:w w:val="105"/>
        </w:rPr>
        <w:t>in</w:t>
      </w:r>
      <w:r>
        <w:rPr>
          <w:spacing w:val="-8"/>
          <w:w w:val="105"/>
        </w:rPr>
        <w:t> </w:t>
      </w:r>
      <w:r>
        <w:rPr>
          <w:w w:val="105"/>
        </w:rPr>
        <w:t>2015</w:t>
      </w:r>
      <w:r>
        <w:rPr>
          <w:spacing w:val="-8"/>
          <w:w w:val="105"/>
        </w:rPr>
        <w:t> </w:t>
      </w:r>
      <w:r>
        <w:rPr>
          <w:w w:val="105"/>
        </w:rPr>
        <w:t>and first vice chairman and corporate development officer in April 2020.</w:t>
      </w:r>
      <w:r>
        <w:rPr>
          <w:spacing w:val="40"/>
          <w:w w:val="105"/>
        </w:rPr>
        <w:t> </w:t>
      </w:r>
      <w:r>
        <w:rPr>
          <w:w w:val="105"/>
        </w:rPr>
        <w:t>Age 63.</w:t>
      </w:r>
    </w:p>
    <w:p>
      <w:pPr>
        <w:pStyle w:val="BodyText"/>
        <w:spacing w:before="17"/>
      </w:pPr>
    </w:p>
    <w:p>
      <w:pPr>
        <w:spacing w:before="0"/>
        <w:ind w:left="156" w:right="0" w:firstLine="0"/>
        <w:jc w:val="left"/>
        <w:rPr>
          <w:i/>
          <w:sz w:val="16"/>
        </w:rPr>
      </w:pPr>
      <w:r>
        <w:rPr>
          <w:w w:val="105"/>
          <w:sz w:val="16"/>
        </w:rPr>
        <w:t>David</w:t>
      </w:r>
      <w:r>
        <w:rPr>
          <w:spacing w:val="-9"/>
          <w:w w:val="105"/>
          <w:sz w:val="16"/>
        </w:rPr>
        <w:t> </w:t>
      </w:r>
      <w:r>
        <w:rPr>
          <w:w w:val="105"/>
          <w:sz w:val="16"/>
        </w:rPr>
        <w:t>L.</w:t>
      </w:r>
      <w:r>
        <w:rPr>
          <w:spacing w:val="-8"/>
          <w:w w:val="105"/>
          <w:sz w:val="16"/>
        </w:rPr>
        <w:t> </w:t>
      </w:r>
      <w:r>
        <w:rPr>
          <w:w w:val="105"/>
          <w:sz w:val="16"/>
        </w:rPr>
        <w:t>Morse</w:t>
      </w:r>
      <w:r>
        <w:rPr>
          <w:spacing w:val="26"/>
          <w:w w:val="105"/>
          <w:sz w:val="16"/>
        </w:rPr>
        <w:t> </w:t>
      </w:r>
      <w:r>
        <w:rPr>
          <w:i/>
          <w:w w:val="105"/>
          <w:sz w:val="16"/>
        </w:rPr>
        <w:t>Executive</w:t>
      </w:r>
      <w:r>
        <w:rPr>
          <w:i/>
          <w:spacing w:val="-8"/>
          <w:w w:val="105"/>
          <w:sz w:val="16"/>
        </w:rPr>
        <w:t> </w:t>
      </w:r>
      <w:r>
        <w:rPr>
          <w:i/>
          <w:w w:val="105"/>
          <w:sz w:val="16"/>
        </w:rPr>
        <w:t>Vice</w:t>
      </w:r>
      <w:r>
        <w:rPr>
          <w:i/>
          <w:spacing w:val="-9"/>
          <w:w w:val="105"/>
          <w:sz w:val="16"/>
        </w:rPr>
        <w:t> </w:t>
      </w:r>
      <w:r>
        <w:rPr>
          <w:i/>
          <w:w w:val="105"/>
          <w:sz w:val="16"/>
        </w:rPr>
        <w:t>President</w:t>
      </w:r>
      <w:r>
        <w:rPr>
          <w:i/>
          <w:spacing w:val="-8"/>
          <w:w w:val="105"/>
          <w:sz w:val="16"/>
        </w:rPr>
        <w:t> </w:t>
      </w:r>
      <w:r>
        <w:rPr>
          <w:i/>
          <w:w w:val="105"/>
          <w:sz w:val="16"/>
        </w:rPr>
        <w:t>and</w:t>
      </w:r>
      <w:r>
        <w:rPr>
          <w:i/>
          <w:spacing w:val="-9"/>
          <w:w w:val="105"/>
          <w:sz w:val="16"/>
        </w:rPr>
        <w:t> </w:t>
      </w:r>
      <w:r>
        <w:rPr>
          <w:i/>
          <w:w w:val="105"/>
          <w:sz w:val="16"/>
        </w:rPr>
        <w:t>Chief</w:t>
      </w:r>
      <w:r>
        <w:rPr>
          <w:i/>
          <w:spacing w:val="-8"/>
          <w:w w:val="105"/>
          <w:sz w:val="16"/>
        </w:rPr>
        <w:t> </w:t>
      </w:r>
      <w:r>
        <w:rPr>
          <w:i/>
          <w:w w:val="105"/>
          <w:sz w:val="16"/>
        </w:rPr>
        <w:t>Technology</w:t>
      </w:r>
      <w:r>
        <w:rPr>
          <w:i/>
          <w:spacing w:val="-8"/>
          <w:w w:val="105"/>
          <w:sz w:val="16"/>
        </w:rPr>
        <w:t> </w:t>
      </w:r>
      <w:r>
        <w:rPr>
          <w:i/>
          <w:spacing w:val="-2"/>
          <w:w w:val="105"/>
          <w:sz w:val="16"/>
        </w:rPr>
        <w:t>Officer</w:t>
      </w:r>
    </w:p>
    <w:p>
      <w:pPr>
        <w:pStyle w:val="BodyText"/>
        <w:spacing w:line="266" w:lineRule="auto" w:before="20"/>
        <w:ind w:left="156" w:right="117"/>
      </w:pPr>
      <w:r>
        <w:rPr>
          <w:w w:val="105"/>
        </w:rPr>
        <w:t>Dr.</w:t>
      </w:r>
      <w:r>
        <w:rPr>
          <w:spacing w:val="-8"/>
          <w:w w:val="105"/>
        </w:rPr>
        <w:t> </w:t>
      </w:r>
      <w:r>
        <w:rPr>
          <w:w w:val="105"/>
        </w:rPr>
        <w:t>Morse</w:t>
      </w:r>
      <w:r>
        <w:rPr>
          <w:spacing w:val="-8"/>
          <w:w w:val="105"/>
        </w:rPr>
        <w:t> </w:t>
      </w:r>
      <w:r>
        <w:rPr>
          <w:w w:val="105"/>
        </w:rPr>
        <w:t>joined</w:t>
      </w:r>
      <w:r>
        <w:rPr>
          <w:spacing w:val="-8"/>
          <w:w w:val="105"/>
        </w:rPr>
        <w:t> </w:t>
      </w:r>
      <w:r>
        <w:rPr>
          <w:w w:val="105"/>
        </w:rPr>
        <w:t>Corning</w:t>
      </w:r>
      <w:r>
        <w:rPr>
          <w:spacing w:val="-8"/>
          <w:w w:val="105"/>
        </w:rPr>
        <w:t> </w:t>
      </w:r>
      <w:r>
        <w:rPr>
          <w:w w:val="105"/>
        </w:rPr>
        <w:t>in</w:t>
      </w:r>
      <w:r>
        <w:rPr>
          <w:spacing w:val="-8"/>
          <w:w w:val="105"/>
        </w:rPr>
        <w:t> </w:t>
      </w:r>
      <w:r>
        <w:rPr>
          <w:w w:val="105"/>
        </w:rPr>
        <w:t>1976</w:t>
      </w:r>
      <w:r>
        <w:rPr>
          <w:spacing w:val="-8"/>
          <w:w w:val="105"/>
        </w:rPr>
        <w:t> </w:t>
      </w:r>
      <w:r>
        <w:rPr>
          <w:w w:val="105"/>
        </w:rPr>
        <w:t>as</w:t>
      </w:r>
      <w:r>
        <w:rPr>
          <w:spacing w:val="-8"/>
          <w:w w:val="105"/>
        </w:rPr>
        <w:t> </w:t>
      </w:r>
      <w:r>
        <w:rPr>
          <w:w w:val="105"/>
        </w:rPr>
        <w:t>a</w:t>
      </w:r>
      <w:r>
        <w:rPr>
          <w:spacing w:val="-8"/>
          <w:w w:val="105"/>
        </w:rPr>
        <w:t> </w:t>
      </w:r>
      <w:r>
        <w:rPr>
          <w:w w:val="105"/>
        </w:rPr>
        <w:t>composition</w:t>
      </w:r>
      <w:r>
        <w:rPr>
          <w:spacing w:val="-8"/>
          <w:w w:val="105"/>
        </w:rPr>
        <w:t> </w:t>
      </w:r>
      <w:r>
        <w:rPr>
          <w:w w:val="105"/>
        </w:rPr>
        <w:t>scientist</w:t>
      </w:r>
      <w:r>
        <w:rPr>
          <w:spacing w:val="-8"/>
          <w:w w:val="105"/>
        </w:rPr>
        <w:t> </w:t>
      </w:r>
      <w:r>
        <w:rPr>
          <w:w w:val="105"/>
        </w:rPr>
        <w:t>in</w:t>
      </w:r>
      <w:r>
        <w:rPr>
          <w:spacing w:val="-8"/>
          <w:w w:val="105"/>
        </w:rPr>
        <w:t> </w:t>
      </w:r>
      <w:r>
        <w:rPr>
          <w:w w:val="105"/>
        </w:rPr>
        <w:t>glass</w:t>
      </w:r>
      <w:r>
        <w:rPr>
          <w:spacing w:val="-8"/>
          <w:w w:val="105"/>
        </w:rPr>
        <w:t> </w:t>
      </w:r>
      <w:r>
        <w:rPr>
          <w:w w:val="105"/>
        </w:rPr>
        <w:t>research.</w:t>
      </w:r>
      <w:r>
        <w:rPr>
          <w:spacing w:val="27"/>
          <w:w w:val="105"/>
        </w:rPr>
        <w:t> </w:t>
      </w:r>
      <w:r>
        <w:rPr>
          <w:w w:val="105"/>
        </w:rPr>
        <w:t>In</w:t>
      </w:r>
      <w:r>
        <w:rPr>
          <w:spacing w:val="-8"/>
          <w:w w:val="105"/>
        </w:rPr>
        <w:t> </w:t>
      </w:r>
      <w:r>
        <w:rPr>
          <w:w w:val="105"/>
        </w:rPr>
        <w:t>1985,</w:t>
      </w:r>
      <w:r>
        <w:rPr>
          <w:spacing w:val="-8"/>
          <w:w w:val="105"/>
        </w:rPr>
        <w:t> </w:t>
      </w:r>
      <w:r>
        <w:rPr>
          <w:w w:val="105"/>
        </w:rPr>
        <w:t>he</w:t>
      </w:r>
      <w:r>
        <w:rPr>
          <w:spacing w:val="-8"/>
          <w:w w:val="105"/>
        </w:rPr>
        <w:t> </w:t>
      </w:r>
      <w:r>
        <w:rPr>
          <w:w w:val="105"/>
        </w:rPr>
        <w:t>was</w:t>
      </w:r>
      <w:r>
        <w:rPr>
          <w:spacing w:val="-8"/>
          <w:w w:val="105"/>
        </w:rPr>
        <w:t> </w:t>
      </w:r>
      <w:r>
        <w:rPr>
          <w:w w:val="105"/>
        </w:rPr>
        <w:t>named</w:t>
      </w:r>
      <w:r>
        <w:rPr>
          <w:spacing w:val="-8"/>
          <w:w w:val="105"/>
        </w:rPr>
        <w:t> </w:t>
      </w:r>
      <w:r>
        <w:rPr>
          <w:w w:val="105"/>
        </w:rPr>
        <w:t>senior</w:t>
      </w:r>
      <w:r>
        <w:rPr>
          <w:spacing w:val="-8"/>
          <w:w w:val="105"/>
        </w:rPr>
        <w:t> </w:t>
      </w:r>
      <w:r>
        <w:rPr>
          <w:w w:val="105"/>
        </w:rPr>
        <w:t>research</w:t>
      </w:r>
      <w:r>
        <w:rPr>
          <w:spacing w:val="-8"/>
          <w:w w:val="105"/>
        </w:rPr>
        <w:t> </w:t>
      </w:r>
      <w:r>
        <w:rPr>
          <w:w w:val="105"/>
        </w:rPr>
        <w:t>associate,</w:t>
      </w:r>
      <w:r>
        <w:rPr>
          <w:spacing w:val="-8"/>
          <w:w w:val="105"/>
        </w:rPr>
        <w:t> </w:t>
      </w:r>
      <w:r>
        <w:rPr>
          <w:w w:val="105"/>
        </w:rPr>
        <w:t>manager</w:t>
      </w:r>
      <w:r>
        <w:rPr>
          <w:spacing w:val="-8"/>
          <w:w w:val="105"/>
        </w:rPr>
        <w:t> </w:t>
      </w:r>
      <w:r>
        <w:rPr>
          <w:w w:val="105"/>
        </w:rPr>
        <w:t>of</w:t>
      </w:r>
      <w:r>
        <w:rPr>
          <w:spacing w:val="-8"/>
          <w:w w:val="105"/>
        </w:rPr>
        <w:t> </w:t>
      </w:r>
      <w:r>
        <w:rPr>
          <w:w w:val="105"/>
        </w:rPr>
        <w:t>consumer</w:t>
      </w:r>
      <w:r>
        <w:rPr>
          <w:spacing w:val="-8"/>
          <w:w w:val="105"/>
        </w:rPr>
        <w:t> </w:t>
      </w:r>
      <w:r>
        <w:rPr>
          <w:w w:val="105"/>
        </w:rPr>
        <w:t>products</w:t>
      </w:r>
      <w:r>
        <w:rPr>
          <w:spacing w:val="-8"/>
          <w:w w:val="105"/>
        </w:rPr>
        <w:t> </w:t>
      </w:r>
      <w:r>
        <w:rPr>
          <w:w w:val="105"/>
        </w:rPr>
        <w:t>development in</w:t>
      </w:r>
      <w:r>
        <w:rPr>
          <w:spacing w:val="-3"/>
          <w:w w:val="105"/>
        </w:rPr>
        <w:t> </w:t>
      </w:r>
      <w:r>
        <w:rPr>
          <w:w w:val="105"/>
        </w:rPr>
        <w:t>1987</w:t>
      </w:r>
      <w:r>
        <w:rPr>
          <w:spacing w:val="-3"/>
          <w:w w:val="105"/>
        </w:rPr>
        <w:t> </w:t>
      </w:r>
      <w:r>
        <w:rPr>
          <w:w w:val="105"/>
        </w:rPr>
        <w:t>and</w:t>
      </w:r>
      <w:r>
        <w:rPr>
          <w:spacing w:val="-3"/>
          <w:w w:val="105"/>
        </w:rPr>
        <w:t> </w:t>
      </w:r>
      <w:r>
        <w:rPr>
          <w:w w:val="105"/>
        </w:rPr>
        <w:t>director</w:t>
      </w:r>
      <w:r>
        <w:rPr>
          <w:spacing w:val="-3"/>
          <w:w w:val="105"/>
        </w:rPr>
        <w:t> </w:t>
      </w:r>
      <w:r>
        <w:rPr>
          <w:w w:val="105"/>
        </w:rPr>
        <w:t>of</w:t>
      </w:r>
      <w:r>
        <w:rPr>
          <w:spacing w:val="-3"/>
          <w:w w:val="105"/>
        </w:rPr>
        <w:t> </w:t>
      </w:r>
      <w:r>
        <w:rPr>
          <w:w w:val="105"/>
        </w:rPr>
        <w:t>materials</w:t>
      </w:r>
      <w:r>
        <w:rPr>
          <w:spacing w:val="-3"/>
          <w:w w:val="105"/>
        </w:rPr>
        <w:t> </w:t>
      </w:r>
      <w:r>
        <w:rPr>
          <w:w w:val="105"/>
        </w:rPr>
        <w:t>research</w:t>
      </w:r>
      <w:r>
        <w:rPr>
          <w:spacing w:val="-3"/>
          <w:w w:val="105"/>
        </w:rPr>
        <w:t> </w:t>
      </w:r>
      <w:r>
        <w:rPr>
          <w:w w:val="105"/>
        </w:rPr>
        <w:t>in</w:t>
      </w:r>
      <w:r>
        <w:rPr>
          <w:spacing w:val="-3"/>
          <w:w w:val="105"/>
        </w:rPr>
        <w:t> </w:t>
      </w:r>
      <w:r>
        <w:rPr>
          <w:w w:val="105"/>
        </w:rPr>
        <w:t>1990.</w:t>
      </w:r>
      <w:r>
        <w:rPr>
          <w:spacing w:val="37"/>
          <w:w w:val="105"/>
        </w:rPr>
        <w:t> </w:t>
      </w:r>
      <w:r>
        <w:rPr>
          <w:w w:val="105"/>
        </w:rPr>
        <w:t>He</w:t>
      </w:r>
      <w:r>
        <w:rPr>
          <w:spacing w:val="-3"/>
          <w:w w:val="105"/>
        </w:rPr>
        <w:t> </w:t>
      </w:r>
      <w:r>
        <w:rPr>
          <w:w w:val="105"/>
        </w:rPr>
        <w:t>served</w:t>
      </w:r>
      <w:r>
        <w:rPr>
          <w:spacing w:val="-3"/>
          <w:w w:val="105"/>
        </w:rPr>
        <w:t> </w:t>
      </w:r>
      <w:r>
        <w:rPr>
          <w:w w:val="105"/>
        </w:rPr>
        <w:t>in</w:t>
      </w:r>
      <w:r>
        <w:rPr>
          <w:spacing w:val="-3"/>
          <w:w w:val="105"/>
        </w:rPr>
        <w:t> </w:t>
      </w:r>
      <w:r>
        <w:rPr>
          <w:w w:val="105"/>
        </w:rPr>
        <w:t>a</w:t>
      </w:r>
      <w:r>
        <w:rPr>
          <w:spacing w:val="-3"/>
          <w:w w:val="105"/>
        </w:rPr>
        <w:t> </w:t>
      </w:r>
      <w:r>
        <w:rPr>
          <w:w w:val="105"/>
        </w:rPr>
        <w:t>variety</w:t>
      </w:r>
      <w:r>
        <w:rPr>
          <w:spacing w:val="-3"/>
          <w:w w:val="105"/>
        </w:rPr>
        <w:t> </w:t>
      </w:r>
      <w:r>
        <w:rPr>
          <w:w w:val="105"/>
        </w:rPr>
        <w:t>of</w:t>
      </w:r>
      <w:r>
        <w:rPr>
          <w:spacing w:val="-3"/>
          <w:w w:val="105"/>
        </w:rPr>
        <w:t> </w:t>
      </w:r>
      <w:r>
        <w:rPr>
          <w:w w:val="105"/>
        </w:rPr>
        <w:t>technology</w:t>
      </w:r>
      <w:r>
        <w:rPr>
          <w:spacing w:val="-3"/>
          <w:w w:val="105"/>
        </w:rPr>
        <w:t> </w:t>
      </w:r>
      <w:r>
        <w:rPr>
          <w:w w:val="105"/>
        </w:rPr>
        <w:t>leadership</w:t>
      </w:r>
      <w:r>
        <w:rPr>
          <w:spacing w:val="-3"/>
          <w:w w:val="105"/>
        </w:rPr>
        <w:t> </w:t>
      </w:r>
      <w:r>
        <w:rPr>
          <w:w w:val="105"/>
        </w:rPr>
        <w:t>positions</w:t>
      </w:r>
      <w:r>
        <w:rPr>
          <w:spacing w:val="-3"/>
          <w:w w:val="105"/>
        </w:rPr>
        <w:t> </w:t>
      </w:r>
      <w:r>
        <w:rPr>
          <w:w w:val="105"/>
        </w:rPr>
        <w:t>in</w:t>
      </w:r>
      <w:r>
        <w:rPr>
          <w:spacing w:val="-3"/>
          <w:w w:val="105"/>
        </w:rPr>
        <w:t> </w:t>
      </w:r>
      <w:r>
        <w:rPr>
          <w:w w:val="105"/>
        </w:rPr>
        <w:t>organic</w:t>
      </w:r>
      <w:r>
        <w:rPr>
          <w:spacing w:val="-3"/>
          <w:w w:val="105"/>
        </w:rPr>
        <w:t> </w:t>
      </w:r>
      <w:r>
        <w:rPr>
          <w:w w:val="105"/>
        </w:rPr>
        <w:t>materials</w:t>
      </w:r>
      <w:r>
        <w:rPr>
          <w:spacing w:val="-3"/>
          <w:w w:val="105"/>
        </w:rPr>
        <w:t> </w:t>
      </w:r>
      <w:r>
        <w:rPr>
          <w:w w:val="105"/>
        </w:rPr>
        <w:t>and</w:t>
      </w:r>
      <w:r>
        <w:rPr>
          <w:spacing w:val="-3"/>
          <w:w w:val="105"/>
        </w:rPr>
        <w:t> </w:t>
      </w:r>
      <w:r>
        <w:rPr>
          <w:w w:val="105"/>
        </w:rPr>
        <w:t>telecommunications</w:t>
      </w:r>
      <w:r>
        <w:rPr>
          <w:spacing w:val="-3"/>
          <w:w w:val="105"/>
        </w:rPr>
        <w:t> </w:t>
      </w:r>
      <w:r>
        <w:rPr>
          <w:w w:val="105"/>
        </w:rPr>
        <w:t>before</w:t>
      </w:r>
      <w:r>
        <w:rPr>
          <w:spacing w:val="-3"/>
          <w:w w:val="105"/>
        </w:rPr>
        <w:t> </w:t>
      </w:r>
      <w:r>
        <w:rPr>
          <w:w w:val="105"/>
        </w:rPr>
        <w:t>joining Corporate</w:t>
      </w:r>
      <w:r>
        <w:rPr>
          <w:spacing w:val="-2"/>
          <w:w w:val="105"/>
        </w:rPr>
        <w:t> </w:t>
      </w:r>
      <w:r>
        <w:rPr>
          <w:w w:val="105"/>
        </w:rPr>
        <w:t>Research</w:t>
      </w:r>
      <w:r>
        <w:rPr>
          <w:spacing w:val="-2"/>
          <w:w w:val="105"/>
        </w:rPr>
        <w:t> </w:t>
      </w:r>
      <w:r>
        <w:rPr>
          <w:w w:val="105"/>
        </w:rPr>
        <w:t>in</w:t>
      </w:r>
      <w:r>
        <w:rPr>
          <w:spacing w:val="-2"/>
          <w:w w:val="105"/>
        </w:rPr>
        <w:t> </w:t>
      </w:r>
      <w:r>
        <w:rPr>
          <w:w w:val="105"/>
        </w:rPr>
        <w:t>2001.</w:t>
      </w:r>
      <w:r>
        <w:rPr>
          <w:spacing w:val="39"/>
          <w:w w:val="105"/>
        </w:rPr>
        <w:t> </w:t>
      </w:r>
      <w:r>
        <w:rPr>
          <w:w w:val="105"/>
        </w:rPr>
        <w:t>From</w:t>
      </w:r>
      <w:r>
        <w:rPr>
          <w:spacing w:val="-2"/>
          <w:w w:val="105"/>
        </w:rPr>
        <w:t> </w:t>
      </w:r>
      <w:r>
        <w:rPr>
          <w:w w:val="105"/>
        </w:rPr>
        <w:t>2006</w:t>
      </w:r>
      <w:r>
        <w:rPr>
          <w:spacing w:val="-2"/>
          <w:w w:val="105"/>
        </w:rPr>
        <w:t> </w:t>
      </w:r>
      <w:r>
        <w:rPr>
          <w:w w:val="105"/>
        </w:rPr>
        <w:t>to</w:t>
      </w:r>
      <w:r>
        <w:rPr>
          <w:spacing w:val="-2"/>
          <w:w w:val="105"/>
        </w:rPr>
        <w:t> </w:t>
      </w:r>
      <w:r>
        <w:rPr>
          <w:w w:val="105"/>
        </w:rPr>
        <w:t>2012,</w:t>
      </w:r>
      <w:r>
        <w:rPr>
          <w:spacing w:val="-2"/>
          <w:w w:val="105"/>
        </w:rPr>
        <w:t> </w:t>
      </w:r>
      <w:r>
        <w:rPr>
          <w:w w:val="105"/>
        </w:rPr>
        <w:t>he</w:t>
      </w:r>
      <w:r>
        <w:rPr>
          <w:spacing w:val="-2"/>
          <w:w w:val="105"/>
        </w:rPr>
        <w:t> </w:t>
      </w:r>
      <w:r>
        <w:rPr>
          <w:w w:val="105"/>
        </w:rPr>
        <w:t>served</w:t>
      </w:r>
      <w:r>
        <w:rPr>
          <w:spacing w:val="-2"/>
          <w:w w:val="105"/>
        </w:rPr>
        <w:t> </w:t>
      </w:r>
      <w:r>
        <w:rPr>
          <w:w w:val="105"/>
        </w:rPr>
        <w:t>as</w:t>
      </w:r>
      <w:r>
        <w:rPr>
          <w:spacing w:val="-2"/>
          <w:w w:val="105"/>
        </w:rPr>
        <w:t> </w:t>
      </w:r>
      <w:r>
        <w:rPr>
          <w:w w:val="105"/>
        </w:rPr>
        <w:t>senior</w:t>
      </w:r>
      <w:r>
        <w:rPr>
          <w:spacing w:val="-2"/>
          <w:w w:val="105"/>
        </w:rPr>
        <w:t> </w:t>
      </w:r>
      <w:r>
        <w:rPr>
          <w:w w:val="105"/>
        </w:rPr>
        <w:t>vice</w:t>
      </w:r>
      <w:r>
        <w:rPr>
          <w:spacing w:val="-2"/>
          <w:w w:val="105"/>
        </w:rPr>
        <w:t> </w:t>
      </w:r>
      <w:r>
        <w:rPr>
          <w:w w:val="105"/>
        </w:rPr>
        <w:t>president</w:t>
      </w:r>
      <w:r>
        <w:rPr>
          <w:spacing w:val="-2"/>
          <w:w w:val="105"/>
        </w:rPr>
        <w:t> </w:t>
      </w:r>
      <w:r>
        <w:rPr>
          <w:w w:val="105"/>
        </w:rPr>
        <w:t>and</w:t>
      </w:r>
      <w:r>
        <w:rPr>
          <w:spacing w:val="-2"/>
          <w:w w:val="105"/>
        </w:rPr>
        <w:t> </w:t>
      </w:r>
      <w:r>
        <w:rPr>
          <w:w w:val="105"/>
        </w:rPr>
        <w:t>director,</w:t>
      </w:r>
      <w:r>
        <w:rPr>
          <w:spacing w:val="-2"/>
          <w:w w:val="105"/>
        </w:rPr>
        <w:t> </w:t>
      </w:r>
      <w:r>
        <w:rPr>
          <w:w w:val="105"/>
        </w:rPr>
        <w:t>Corporate</w:t>
      </w:r>
      <w:r>
        <w:rPr>
          <w:spacing w:val="-2"/>
          <w:w w:val="105"/>
        </w:rPr>
        <w:t> </w:t>
      </w:r>
      <w:r>
        <w:rPr>
          <w:w w:val="105"/>
        </w:rPr>
        <w:t>Research.</w:t>
      </w:r>
      <w:r>
        <w:rPr>
          <w:spacing w:val="39"/>
          <w:w w:val="105"/>
        </w:rPr>
        <w:t> </w:t>
      </w:r>
      <w:r>
        <w:rPr>
          <w:w w:val="105"/>
        </w:rPr>
        <w:t>Dr.</w:t>
      </w:r>
      <w:r>
        <w:rPr>
          <w:spacing w:val="-2"/>
          <w:w w:val="105"/>
        </w:rPr>
        <w:t> </w:t>
      </w:r>
      <w:r>
        <w:rPr>
          <w:w w:val="105"/>
        </w:rPr>
        <w:t>Morse</w:t>
      </w:r>
      <w:r>
        <w:rPr>
          <w:spacing w:val="-2"/>
          <w:w w:val="105"/>
        </w:rPr>
        <w:t> </w:t>
      </w:r>
      <w:r>
        <w:rPr>
          <w:w w:val="105"/>
        </w:rPr>
        <w:t>was</w:t>
      </w:r>
      <w:r>
        <w:rPr>
          <w:spacing w:val="-2"/>
          <w:w w:val="105"/>
        </w:rPr>
        <w:t> </w:t>
      </w:r>
      <w:r>
        <w:rPr>
          <w:w w:val="105"/>
        </w:rPr>
        <w:t>appointed</w:t>
      </w:r>
      <w:r>
        <w:rPr>
          <w:spacing w:val="-2"/>
          <w:w w:val="105"/>
        </w:rPr>
        <w:t> </w:t>
      </w:r>
      <w:r>
        <w:rPr>
          <w:w w:val="105"/>
        </w:rPr>
        <w:t>to</w:t>
      </w:r>
      <w:r>
        <w:rPr>
          <w:spacing w:val="-2"/>
          <w:w w:val="105"/>
        </w:rPr>
        <w:t> </w:t>
      </w:r>
      <w:r>
        <w:rPr>
          <w:w w:val="105"/>
        </w:rPr>
        <w:t>his</w:t>
      </w:r>
      <w:r>
        <w:rPr>
          <w:spacing w:val="-2"/>
          <w:w w:val="105"/>
        </w:rPr>
        <w:t> </w:t>
      </w:r>
      <w:r>
        <w:rPr>
          <w:w w:val="105"/>
        </w:rPr>
        <w:t>current</w:t>
      </w:r>
      <w:r>
        <w:rPr>
          <w:spacing w:val="-2"/>
          <w:w w:val="105"/>
        </w:rPr>
        <w:t> </w:t>
      </w:r>
      <w:r>
        <w:rPr>
          <w:w w:val="105"/>
        </w:rPr>
        <w:t>position</w:t>
      </w:r>
      <w:r>
        <w:rPr>
          <w:spacing w:val="-2"/>
          <w:w w:val="105"/>
        </w:rPr>
        <w:t> </w:t>
      </w:r>
      <w:r>
        <w:rPr>
          <w:w w:val="105"/>
        </w:rPr>
        <w:t>in 2012.</w:t>
      </w:r>
      <w:r>
        <w:rPr>
          <w:spacing w:val="40"/>
          <w:w w:val="105"/>
        </w:rPr>
        <w:t> </w:t>
      </w:r>
      <w:r>
        <w:rPr>
          <w:w w:val="105"/>
        </w:rPr>
        <w:t>Age 69.</w:t>
      </w:r>
    </w:p>
    <w:p>
      <w:pPr>
        <w:pStyle w:val="BodyText"/>
        <w:spacing w:before="18"/>
      </w:pPr>
    </w:p>
    <w:p>
      <w:pPr>
        <w:spacing w:before="0"/>
        <w:ind w:left="156" w:right="0" w:firstLine="0"/>
        <w:jc w:val="both"/>
        <w:rPr>
          <w:i/>
          <w:sz w:val="16"/>
        </w:rPr>
      </w:pPr>
      <w:r>
        <w:rPr>
          <w:w w:val="105"/>
          <w:sz w:val="16"/>
        </w:rPr>
        <w:t>Anne</w:t>
      </w:r>
      <w:r>
        <w:rPr>
          <w:spacing w:val="-10"/>
          <w:w w:val="105"/>
          <w:sz w:val="16"/>
        </w:rPr>
        <w:t> </w:t>
      </w:r>
      <w:r>
        <w:rPr>
          <w:w w:val="105"/>
          <w:sz w:val="16"/>
        </w:rPr>
        <w:t>Mullins</w:t>
      </w:r>
      <w:r>
        <w:rPr>
          <w:spacing w:val="25"/>
          <w:w w:val="105"/>
          <w:sz w:val="16"/>
        </w:rPr>
        <w:t> </w:t>
      </w:r>
      <w:r>
        <w:rPr>
          <w:i/>
          <w:w w:val="105"/>
          <w:sz w:val="16"/>
        </w:rPr>
        <w:t>Senior</w:t>
      </w:r>
      <w:r>
        <w:rPr>
          <w:i/>
          <w:spacing w:val="-9"/>
          <w:w w:val="105"/>
          <w:sz w:val="16"/>
        </w:rPr>
        <w:t> </w:t>
      </w:r>
      <w:r>
        <w:rPr>
          <w:i/>
          <w:w w:val="105"/>
          <w:sz w:val="16"/>
        </w:rPr>
        <w:t>Vice</w:t>
      </w:r>
      <w:r>
        <w:rPr>
          <w:i/>
          <w:spacing w:val="-9"/>
          <w:w w:val="105"/>
          <w:sz w:val="16"/>
        </w:rPr>
        <w:t> </w:t>
      </w:r>
      <w:r>
        <w:rPr>
          <w:i/>
          <w:w w:val="105"/>
          <w:sz w:val="16"/>
        </w:rPr>
        <w:t>President</w:t>
      </w:r>
      <w:r>
        <w:rPr>
          <w:i/>
          <w:spacing w:val="-9"/>
          <w:w w:val="105"/>
          <w:sz w:val="16"/>
        </w:rPr>
        <w:t> </w:t>
      </w:r>
      <w:r>
        <w:rPr>
          <w:i/>
          <w:w w:val="105"/>
          <w:sz w:val="16"/>
        </w:rPr>
        <w:t>&amp;</w:t>
      </w:r>
      <w:r>
        <w:rPr>
          <w:i/>
          <w:spacing w:val="-9"/>
          <w:w w:val="105"/>
          <w:sz w:val="16"/>
        </w:rPr>
        <w:t> </w:t>
      </w:r>
      <w:r>
        <w:rPr>
          <w:i/>
          <w:w w:val="105"/>
          <w:sz w:val="16"/>
        </w:rPr>
        <w:t>Chief</w:t>
      </w:r>
      <w:r>
        <w:rPr>
          <w:i/>
          <w:spacing w:val="-9"/>
          <w:w w:val="105"/>
          <w:sz w:val="16"/>
        </w:rPr>
        <w:t> </w:t>
      </w:r>
      <w:r>
        <w:rPr>
          <w:i/>
          <w:w w:val="105"/>
          <w:sz w:val="16"/>
        </w:rPr>
        <w:t>Digital</w:t>
      </w:r>
      <w:r>
        <w:rPr>
          <w:i/>
          <w:spacing w:val="-9"/>
          <w:w w:val="105"/>
          <w:sz w:val="16"/>
        </w:rPr>
        <w:t> </w:t>
      </w:r>
      <w:r>
        <w:rPr>
          <w:i/>
          <w:w w:val="105"/>
          <w:sz w:val="16"/>
        </w:rPr>
        <w:t>&amp;</w:t>
      </w:r>
      <w:r>
        <w:rPr>
          <w:i/>
          <w:spacing w:val="-9"/>
          <w:w w:val="105"/>
          <w:sz w:val="16"/>
        </w:rPr>
        <w:t> </w:t>
      </w:r>
      <w:r>
        <w:rPr>
          <w:i/>
          <w:w w:val="105"/>
          <w:sz w:val="16"/>
        </w:rPr>
        <w:t>Information</w:t>
      </w:r>
      <w:r>
        <w:rPr>
          <w:i/>
          <w:spacing w:val="-9"/>
          <w:w w:val="105"/>
          <w:sz w:val="16"/>
        </w:rPr>
        <w:t> </w:t>
      </w:r>
      <w:r>
        <w:rPr>
          <w:i/>
          <w:spacing w:val="-2"/>
          <w:w w:val="105"/>
          <w:sz w:val="16"/>
        </w:rPr>
        <w:t>Officer</w:t>
      </w:r>
    </w:p>
    <w:p>
      <w:pPr>
        <w:pStyle w:val="BodyText"/>
        <w:spacing w:line="266" w:lineRule="auto" w:before="20"/>
        <w:ind w:left="156" w:right="126"/>
        <w:jc w:val="both"/>
      </w:pPr>
      <w:r>
        <w:rPr>
          <w:w w:val="105"/>
        </w:rPr>
        <w:t>Ms.</w:t>
      </w:r>
      <w:r>
        <w:rPr>
          <w:spacing w:val="-6"/>
          <w:w w:val="105"/>
        </w:rPr>
        <w:t> </w:t>
      </w:r>
      <w:r>
        <w:rPr>
          <w:w w:val="105"/>
        </w:rPr>
        <w:t>Mullins</w:t>
      </w:r>
      <w:r>
        <w:rPr>
          <w:spacing w:val="-6"/>
          <w:w w:val="105"/>
        </w:rPr>
        <w:t> </w:t>
      </w:r>
      <w:r>
        <w:rPr>
          <w:w w:val="105"/>
        </w:rPr>
        <w:t>joined</w:t>
      </w:r>
      <w:r>
        <w:rPr>
          <w:spacing w:val="-6"/>
          <w:w w:val="105"/>
        </w:rPr>
        <w:t> </w:t>
      </w:r>
      <w:r>
        <w:rPr>
          <w:w w:val="105"/>
        </w:rPr>
        <w:t>Corning</w:t>
      </w:r>
      <w:r>
        <w:rPr>
          <w:spacing w:val="-6"/>
          <w:w w:val="105"/>
        </w:rPr>
        <w:t> </w:t>
      </w:r>
      <w:r>
        <w:rPr>
          <w:w w:val="105"/>
        </w:rPr>
        <w:t>as</w:t>
      </w:r>
      <w:r>
        <w:rPr>
          <w:spacing w:val="-6"/>
          <w:w w:val="105"/>
        </w:rPr>
        <w:t> </w:t>
      </w:r>
      <w:r>
        <w:rPr>
          <w:w w:val="105"/>
        </w:rPr>
        <w:t>senior</w:t>
      </w:r>
      <w:r>
        <w:rPr>
          <w:spacing w:val="-6"/>
          <w:w w:val="105"/>
        </w:rPr>
        <w:t> </w:t>
      </w:r>
      <w:r>
        <w:rPr>
          <w:w w:val="105"/>
        </w:rPr>
        <w:t>vice</w:t>
      </w:r>
      <w:r>
        <w:rPr>
          <w:spacing w:val="-6"/>
          <w:w w:val="105"/>
        </w:rPr>
        <w:t> </w:t>
      </w:r>
      <w:r>
        <w:rPr>
          <w:w w:val="105"/>
        </w:rPr>
        <w:t>president</w:t>
      </w:r>
      <w:r>
        <w:rPr>
          <w:spacing w:val="-6"/>
          <w:w w:val="105"/>
        </w:rPr>
        <w:t> </w:t>
      </w:r>
      <w:r>
        <w:rPr>
          <w:w w:val="105"/>
        </w:rPr>
        <w:t>&amp;</w:t>
      </w:r>
      <w:r>
        <w:rPr>
          <w:spacing w:val="-6"/>
          <w:w w:val="105"/>
        </w:rPr>
        <w:t> </w:t>
      </w:r>
      <w:r>
        <w:rPr>
          <w:w w:val="105"/>
        </w:rPr>
        <w:t>chief</w:t>
      </w:r>
      <w:r>
        <w:rPr>
          <w:spacing w:val="-6"/>
          <w:w w:val="105"/>
        </w:rPr>
        <w:t> </w:t>
      </w:r>
      <w:r>
        <w:rPr>
          <w:w w:val="105"/>
        </w:rPr>
        <w:t>digital</w:t>
      </w:r>
      <w:r>
        <w:rPr>
          <w:spacing w:val="-6"/>
          <w:w w:val="105"/>
        </w:rPr>
        <w:t> </w:t>
      </w:r>
      <w:r>
        <w:rPr>
          <w:w w:val="105"/>
        </w:rPr>
        <w:t>&amp;</w:t>
      </w:r>
      <w:r>
        <w:rPr>
          <w:spacing w:val="-6"/>
          <w:w w:val="105"/>
        </w:rPr>
        <w:t> </w:t>
      </w:r>
      <w:r>
        <w:rPr>
          <w:w w:val="105"/>
        </w:rPr>
        <w:t>information</w:t>
      </w:r>
      <w:r>
        <w:rPr>
          <w:spacing w:val="-6"/>
          <w:w w:val="105"/>
        </w:rPr>
        <w:t> </w:t>
      </w:r>
      <w:r>
        <w:rPr>
          <w:w w:val="105"/>
        </w:rPr>
        <w:t>officer</w:t>
      </w:r>
      <w:r>
        <w:rPr>
          <w:spacing w:val="-6"/>
          <w:w w:val="105"/>
        </w:rPr>
        <w:t> </w:t>
      </w:r>
      <w:r>
        <w:rPr>
          <w:w w:val="105"/>
        </w:rPr>
        <w:t>in</w:t>
      </w:r>
      <w:r>
        <w:rPr>
          <w:spacing w:val="-6"/>
          <w:w w:val="105"/>
        </w:rPr>
        <w:t> </w:t>
      </w:r>
      <w:r>
        <w:rPr>
          <w:w w:val="105"/>
        </w:rPr>
        <w:t>August</w:t>
      </w:r>
      <w:r>
        <w:rPr>
          <w:spacing w:val="-6"/>
          <w:w w:val="105"/>
        </w:rPr>
        <w:t> </w:t>
      </w:r>
      <w:r>
        <w:rPr>
          <w:w w:val="105"/>
        </w:rPr>
        <w:t>2019.</w:t>
      </w:r>
      <w:r>
        <w:rPr>
          <w:spacing w:val="-6"/>
          <w:w w:val="105"/>
        </w:rPr>
        <w:t> </w:t>
      </w:r>
      <w:r>
        <w:rPr>
          <w:w w:val="105"/>
        </w:rPr>
        <w:t>In</w:t>
      </w:r>
      <w:r>
        <w:rPr>
          <w:spacing w:val="-6"/>
          <w:w w:val="105"/>
        </w:rPr>
        <w:t> </w:t>
      </w:r>
      <w:r>
        <w:rPr>
          <w:w w:val="105"/>
        </w:rPr>
        <w:t>this</w:t>
      </w:r>
      <w:r>
        <w:rPr>
          <w:spacing w:val="-6"/>
          <w:w w:val="105"/>
        </w:rPr>
        <w:t> </w:t>
      </w:r>
      <w:r>
        <w:rPr>
          <w:w w:val="105"/>
        </w:rPr>
        <w:t>role,</w:t>
      </w:r>
      <w:r>
        <w:rPr>
          <w:spacing w:val="-6"/>
          <w:w w:val="105"/>
        </w:rPr>
        <w:t> </w:t>
      </w:r>
      <w:r>
        <w:rPr>
          <w:w w:val="105"/>
        </w:rPr>
        <w:t>she</w:t>
      </w:r>
      <w:r>
        <w:rPr>
          <w:spacing w:val="-5"/>
          <w:w w:val="105"/>
        </w:rPr>
        <w:t> </w:t>
      </w:r>
      <w:r>
        <w:rPr>
          <w:w w:val="105"/>
        </w:rPr>
        <w:t>is</w:t>
      </w:r>
      <w:r>
        <w:rPr>
          <w:spacing w:val="-6"/>
          <w:w w:val="105"/>
        </w:rPr>
        <w:t> </w:t>
      </w:r>
      <w:r>
        <w:rPr>
          <w:w w:val="105"/>
        </w:rPr>
        <w:t>responsible</w:t>
      </w:r>
      <w:r>
        <w:rPr>
          <w:spacing w:val="-6"/>
          <w:w w:val="105"/>
        </w:rPr>
        <w:t> </w:t>
      </w:r>
      <w:r>
        <w:rPr>
          <w:w w:val="105"/>
        </w:rPr>
        <w:t>for</w:t>
      </w:r>
      <w:r>
        <w:rPr>
          <w:spacing w:val="-6"/>
          <w:w w:val="105"/>
        </w:rPr>
        <w:t> </w:t>
      </w:r>
      <w:r>
        <w:rPr>
          <w:w w:val="105"/>
        </w:rPr>
        <w:t>leading</w:t>
      </w:r>
      <w:r>
        <w:rPr>
          <w:spacing w:val="-6"/>
          <w:w w:val="105"/>
        </w:rPr>
        <w:t> </w:t>
      </w:r>
      <w:r>
        <w:rPr>
          <w:w w:val="105"/>
        </w:rPr>
        <w:t>the</w:t>
      </w:r>
      <w:r>
        <w:rPr>
          <w:spacing w:val="-6"/>
          <w:w w:val="105"/>
        </w:rPr>
        <w:t> </w:t>
      </w:r>
      <w:r>
        <w:rPr>
          <w:w w:val="105"/>
        </w:rPr>
        <w:t>strategic</w:t>
      </w:r>
      <w:r>
        <w:rPr>
          <w:spacing w:val="-6"/>
          <w:w w:val="105"/>
        </w:rPr>
        <w:t> </w:t>
      </w:r>
      <w:r>
        <w:rPr>
          <w:w w:val="105"/>
        </w:rPr>
        <w:t>direction</w:t>
      </w:r>
      <w:r>
        <w:rPr>
          <w:spacing w:val="-6"/>
          <w:w w:val="105"/>
        </w:rPr>
        <w:t> </w:t>
      </w:r>
      <w:r>
        <w:rPr>
          <w:w w:val="105"/>
        </w:rPr>
        <w:t>of Corning’s</w:t>
      </w:r>
      <w:r>
        <w:rPr>
          <w:spacing w:val="-9"/>
          <w:w w:val="105"/>
        </w:rPr>
        <w:t> </w:t>
      </w:r>
      <w:r>
        <w:rPr>
          <w:w w:val="105"/>
        </w:rPr>
        <w:t>global</w:t>
      </w:r>
      <w:r>
        <w:rPr>
          <w:spacing w:val="-9"/>
          <w:w w:val="105"/>
        </w:rPr>
        <w:t> </w:t>
      </w:r>
      <w:r>
        <w:rPr>
          <w:w w:val="105"/>
        </w:rPr>
        <w:t>information</w:t>
      </w:r>
      <w:r>
        <w:rPr>
          <w:spacing w:val="-8"/>
          <w:w w:val="105"/>
        </w:rPr>
        <w:t> </w:t>
      </w:r>
      <w:r>
        <w:rPr>
          <w:w w:val="105"/>
        </w:rPr>
        <w:t>technology</w:t>
      </w:r>
      <w:r>
        <w:rPr>
          <w:spacing w:val="-9"/>
          <w:w w:val="105"/>
        </w:rPr>
        <w:t> </w:t>
      </w:r>
      <w:r>
        <w:rPr>
          <w:w w:val="105"/>
        </w:rPr>
        <w:t>function</w:t>
      </w:r>
      <w:r>
        <w:rPr>
          <w:spacing w:val="-9"/>
          <w:w w:val="105"/>
        </w:rPr>
        <w:t> </w:t>
      </w:r>
      <w:r>
        <w:rPr>
          <w:w w:val="105"/>
        </w:rPr>
        <w:t>and</w:t>
      </w:r>
      <w:r>
        <w:rPr>
          <w:spacing w:val="-9"/>
          <w:w w:val="105"/>
        </w:rPr>
        <w:t> </w:t>
      </w:r>
      <w:r>
        <w:rPr>
          <w:w w:val="105"/>
        </w:rPr>
        <w:t>evolving</w:t>
      </w:r>
      <w:r>
        <w:rPr>
          <w:spacing w:val="-9"/>
          <w:w w:val="105"/>
        </w:rPr>
        <w:t> </w:t>
      </w:r>
      <w:r>
        <w:rPr>
          <w:w w:val="105"/>
        </w:rPr>
        <w:t>the</w:t>
      </w:r>
      <w:r>
        <w:rPr>
          <w:spacing w:val="-9"/>
          <w:w w:val="105"/>
        </w:rPr>
        <w:t> </w:t>
      </w:r>
      <w:r>
        <w:rPr>
          <w:w w:val="105"/>
        </w:rPr>
        <w:t>Company’s</w:t>
      </w:r>
      <w:r>
        <w:rPr>
          <w:spacing w:val="-9"/>
          <w:w w:val="105"/>
        </w:rPr>
        <w:t> </w:t>
      </w:r>
      <w:r>
        <w:rPr>
          <w:w w:val="105"/>
        </w:rPr>
        <w:t>digital</w:t>
      </w:r>
      <w:r>
        <w:rPr>
          <w:spacing w:val="-9"/>
          <w:w w:val="105"/>
        </w:rPr>
        <w:t> </w:t>
      </w:r>
      <w:r>
        <w:rPr>
          <w:w w:val="105"/>
        </w:rPr>
        <w:t>footprint.</w:t>
      </w:r>
      <w:r>
        <w:rPr>
          <w:spacing w:val="-9"/>
          <w:w w:val="105"/>
        </w:rPr>
        <w:t> </w:t>
      </w:r>
      <w:r>
        <w:rPr>
          <w:w w:val="105"/>
        </w:rPr>
        <w:t>Prior</w:t>
      </w:r>
      <w:r>
        <w:rPr>
          <w:spacing w:val="-9"/>
          <w:w w:val="105"/>
        </w:rPr>
        <w:t> </w:t>
      </w:r>
      <w:r>
        <w:rPr>
          <w:w w:val="105"/>
        </w:rPr>
        <w:t>to</w:t>
      </w:r>
      <w:r>
        <w:rPr>
          <w:spacing w:val="-9"/>
          <w:w w:val="105"/>
        </w:rPr>
        <w:t> </w:t>
      </w:r>
      <w:r>
        <w:rPr>
          <w:w w:val="105"/>
        </w:rPr>
        <w:t>joining</w:t>
      </w:r>
      <w:r>
        <w:rPr>
          <w:spacing w:val="-9"/>
          <w:w w:val="105"/>
        </w:rPr>
        <w:t> </w:t>
      </w:r>
      <w:r>
        <w:rPr>
          <w:w w:val="105"/>
        </w:rPr>
        <w:t>Corning,</w:t>
      </w:r>
      <w:r>
        <w:rPr>
          <w:spacing w:val="-9"/>
          <w:w w:val="105"/>
        </w:rPr>
        <w:t> </w:t>
      </w:r>
      <w:r>
        <w:rPr>
          <w:w w:val="105"/>
        </w:rPr>
        <w:t>Ms.</w:t>
      </w:r>
      <w:r>
        <w:rPr>
          <w:spacing w:val="-9"/>
          <w:w w:val="105"/>
        </w:rPr>
        <w:t> </w:t>
      </w:r>
      <w:r>
        <w:rPr>
          <w:w w:val="105"/>
        </w:rPr>
        <w:t>Mullins</w:t>
      </w:r>
      <w:r>
        <w:rPr>
          <w:spacing w:val="-9"/>
          <w:w w:val="105"/>
        </w:rPr>
        <w:t> </w:t>
      </w:r>
      <w:r>
        <w:rPr>
          <w:w w:val="105"/>
        </w:rPr>
        <w:t>served</w:t>
      </w:r>
      <w:r>
        <w:rPr>
          <w:spacing w:val="-8"/>
          <w:w w:val="105"/>
        </w:rPr>
        <w:t> </w:t>
      </w:r>
      <w:r>
        <w:rPr>
          <w:w w:val="105"/>
        </w:rPr>
        <w:t>as</w:t>
      </w:r>
      <w:r>
        <w:rPr>
          <w:spacing w:val="-9"/>
          <w:w w:val="105"/>
        </w:rPr>
        <w:t> </w:t>
      </w:r>
      <w:r>
        <w:rPr>
          <w:w w:val="105"/>
        </w:rPr>
        <w:t>chief</w:t>
      </w:r>
      <w:r>
        <w:rPr>
          <w:spacing w:val="-9"/>
          <w:w w:val="105"/>
        </w:rPr>
        <w:t> </w:t>
      </w:r>
      <w:r>
        <w:rPr>
          <w:w w:val="105"/>
        </w:rPr>
        <w:t>information</w:t>
      </w:r>
      <w:r>
        <w:rPr>
          <w:spacing w:val="-9"/>
          <w:w w:val="105"/>
        </w:rPr>
        <w:t> </w:t>
      </w:r>
      <w:r>
        <w:rPr>
          <w:w w:val="105"/>
        </w:rPr>
        <w:t>officer</w:t>
      </w:r>
      <w:r>
        <w:rPr>
          <w:spacing w:val="-9"/>
          <w:w w:val="105"/>
        </w:rPr>
        <w:t> </w:t>
      </w:r>
      <w:r>
        <w:rPr>
          <w:w w:val="105"/>
        </w:rPr>
        <w:t>for Lockheed Martin and previously served as Lockheed Martin’s chief information security officer. Age 59.</w:t>
      </w:r>
    </w:p>
    <w:p>
      <w:pPr>
        <w:pStyle w:val="BodyText"/>
        <w:spacing w:before="19"/>
      </w:pPr>
    </w:p>
    <w:p>
      <w:pPr>
        <w:spacing w:before="0"/>
        <w:ind w:left="156" w:right="0" w:firstLine="0"/>
        <w:jc w:val="left"/>
        <w:rPr>
          <w:i/>
          <w:sz w:val="16"/>
        </w:rPr>
      </w:pPr>
      <w:r>
        <w:rPr>
          <w:w w:val="105"/>
          <w:sz w:val="16"/>
        </w:rPr>
        <w:t>Eric</w:t>
      </w:r>
      <w:r>
        <w:rPr>
          <w:spacing w:val="-8"/>
          <w:w w:val="105"/>
          <w:sz w:val="16"/>
        </w:rPr>
        <w:t> </w:t>
      </w:r>
      <w:r>
        <w:rPr>
          <w:w w:val="105"/>
          <w:sz w:val="16"/>
        </w:rPr>
        <w:t>S.</w:t>
      </w:r>
      <w:r>
        <w:rPr>
          <w:spacing w:val="-7"/>
          <w:w w:val="105"/>
          <w:sz w:val="16"/>
        </w:rPr>
        <w:t> </w:t>
      </w:r>
      <w:r>
        <w:rPr>
          <w:w w:val="105"/>
          <w:sz w:val="16"/>
        </w:rPr>
        <w:t>Musser</w:t>
      </w:r>
      <w:r>
        <w:rPr>
          <w:spacing w:val="27"/>
          <w:w w:val="105"/>
          <w:sz w:val="16"/>
        </w:rPr>
        <w:t> </w:t>
      </w:r>
      <w:r>
        <w:rPr>
          <w:i/>
          <w:w w:val="105"/>
          <w:sz w:val="16"/>
        </w:rPr>
        <w:t>President</w:t>
      </w:r>
      <w:r>
        <w:rPr>
          <w:i/>
          <w:spacing w:val="-7"/>
          <w:w w:val="105"/>
          <w:sz w:val="16"/>
        </w:rPr>
        <w:t> </w:t>
      </w:r>
      <w:r>
        <w:rPr>
          <w:i/>
          <w:w w:val="105"/>
          <w:sz w:val="16"/>
        </w:rPr>
        <w:t>&amp;</w:t>
      </w:r>
      <w:r>
        <w:rPr>
          <w:i/>
          <w:spacing w:val="-8"/>
          <w:w w:val="105"/>
          <w:sz w:val="16"/>
        </w:rPr>
        <w:t> </w:t>
      </w:r>
      <w:r>
        <w:rPr>
          <w:i/>
          <w:w w:val="105"/>
          <w:sz w:val="16"/>
        </w:rPr>
        <w:t>Chief</w:t>
      </w:r>
      <w:r>
        <w:rPr>
          <w:i/>
          <w:spacing w:val="-7"/>
          <w:w w:val="105"/>
          <w:sz w:val="16"/>
        </w:rPr>
        <w:t> </w:t>
      </w:r>
      <w:r>
        <w:rPr>
          <w:i/>
          <w:w w:val="105"/>
          <w:sz w:val="16"/>
        </w:rPr>
        <w:t>Operating</w:t>
      </w:r>
      <w:r>
        <w:rPr>
          <w:i/>
          <w:spacing w:val="-8"/>
          <w:w w:val="105"/>
          <w:sz w:val="16"/>
        </w:rPr>
        <w:t> </w:t>
      </w:r>
      <w:r>
        <w:rPr>
          <w:i/>
          <w:spacing w:val="-2"/>
          <w:w w:val="105"/>
          <w:sz w:val="16"/>
        </w:rPr>
        <w:t>Officer</w:t>
      </w:r>
    </w:p>
    <w:p>
      <w:pPr>
        <w:pStyle w:val="BodyText"/>
        <w:spacing w:line="266" w:lineRule="auto" w:before="20"/>
        <w:ind w:left="156" w:right="117"/>
      </w:pPr>
      <w:r>
        <w:rPr>
          <w:w w:val="105"/>
        </w:rPr>
        <w:t>Mr.</w:t>
      </w:r>
      <w:r>
        <w:rPr>
          <w:spacing w:val="-2"/>
          <w:w w:val="105"/>
        </w:rPr>
        <w:t> </w:t>
      </w:r>
      <w:r>
        <w:rPr>
          <w:w w:val="105"/>
        </w:rPr>
        <w:t>Musser</w:t>
      </w:r>
      <w:r>
        <w:rPr>
          <w:spacing w:val="-2"/>
          <w:w w:val="105"/>
        </w:rPr>
        <w:t> </w:t>
      </w:r>
      <w:r>
        <w:rPr>
          <w:w w:val="105"/>
        </w:rPr>
        <w:t>joined</w:t>
      </w:r>
      <w:r>
        <w:rPr>
          <w:spacing w:val="-2"/>
          <w:w w:val="105"/>
        </w:rPr>
        <w:t> </w:t>
      </w:r>
      <w:r>
        <w:rPr>
          <w:w w:val="105"/>
        </w:rPr>
        <w:t>Corning</w:t>
      </w:r>
      <w:r>
        <w:rPr>
          <w:spacing w:val="-2"/>
          <w:w w:val="105"/>
        </w:rPr>
        <w:t> </w:t>
      </w:r>
      <w:r>
        <w:rPr>
          <w:w w:val="105"/>
        </w:rPr>
        <w:t>in</w:t>
      </w:r>
      <w:r>
        <w:rPr>
          <w:spacing w:val="-2"/>
          <w:w w:val="105"/>
        </w:rPr>
        <w:t> </w:t>
      </w:r>
      <w:r>
        <w:rPr>
          <w:w w:val="105"/>
        </w:rPr>
        <w:t>1986</w:t>
      </w:r>
      <w:r>
        <w:rPr>
          <w:spacing w:val="-2"/>
          <w:w w:val="105"/>
        </w:rPr>
        <w:t> </w:t>
      </w:r>
      <w:r>
        <w:rPr>
          <w:w w:val="105"/>
        </w:rPr>
        <w:t>and</w:t>
      </w:r>
      <w:r>
        <w:rPr>
          <w:spacing w:val="-2"/>
          <w:w w:val="105"/>
        </w:rPr>
        <w:t> </w:t>
      </w:r>
      <w:r>
        <w:rPr>
          <w:w w:val="105"/>
        </w:rPr>
        <w:t>served in</w:t>
      </w:r>
      <w:r>
        <w:rPr>
          <w:spacing w:val="-2"/>
          <w:w w:val="105"/>
        </w:rPr>
        <w:t> </w:t>
      </w:r>
      <w:r>
        <w:rPr>
          <w:w w:val="105"/>
        </w:rPr>
        <w:t>a</w:t>
      </w:r>
      <w:r>
        <w:rPr>
          <w:spacing w:val="-2"/>
          <w:w w:val="105"/>
        </w:rPr>
        <w:t> </w:t>
      </w:r>
      <w:r>
        <w:rPr>
          <w:w w:val="105"/>
        </w:rPr>
        <w:t>variety</w:t>
      </w:r>
      <w:r>
        <w:rPr>
          <w:spacing w:val="-2"/>
          <w:w w:val="105"/>
        </w:rPr>
        <w:t> </w:t>
      </w:r>
      <w:r>
        <w:rPr>
          <w:w w:val="105"/>
        </w:rPr>
        <w:t>of</w:t>
      </w:r>
      <w:r>
        <w:rPr>
          <w:spacing w:val="-2"/>
          <w:w w:val="105"/>
        </w:rPr>
        <w:t> </w:t>
      </w:r>
      <w:r>
        <w:rPr>
          <w:w w:val="105"/>
        </w:rPr>
        <w:t>manufacturing</w:t>
      </w:r>
      <w:r>
        <w:rPr>
          <w:spacing w:val="-2"/>
          <w:w w:val="105"/>
        </w:rPr>
        <w:t> </w:t>
      </w:r>
      <w:r>
        <w:rPr>
          <w:w w:val="105"/>
        </w:rPr>
        <w:t>and</w:t>
      </w:r>
      <w:r>
        <w:rPr>
          <w:spacing w:val="-2"/>
          <w:w w:val="105"/>
        </w:rPr>
        <w:t> </w:t>
      </w:r>
      <w:r>
        <w:rPr>
          <w:w w:val="105"/>
        </w:rPr>
        <w:t>general</w:t>
      </w:r>
      <w:r>
        <w:rPr>
          <w:spacing w:val="-2"/>
          <w:w w:val="105"/>
        </w:rPr>
        <w:t> </w:t>
      </w:r>
      <w:r>
        <w:rPr>
          <w:w w:val="105"/>
        </w:rPr>
        <w:t>management</w:t>
      </w:r>
      <w:r>
        <w:rPr>
          <w:spacing w:val="-2"/>
          <w:w w:val="105"/>
        </w:rPr>
        <w:t> </w:t>
      </w:r>
      <w:r>
        <w:rPr>
          <w:w w:val="105"/>
        </w:rPr>
        <w:t>roles</w:t>
      </w:r>
      <w:r>
        <w:rPr>
          <w:spacing w:val="-2"/>
          <w:w w:val="105"/>
        </w:rPr>
        <w:t> </w:t>
      </w:r>
      <w:r>
        <w:rPr>
          <w:w w:val="105"/>
        </w:rPr>
        <w:t>in</w:t>
      </w:r>
      <w:r>
        <w:rPr>
          <w:spacing w:val="-2"/>
          <w:w w:val="105"/>
        </w:rPr>
        <w:t> </w:t>
      </w:r>
      <w:r>
        <w:rPr>
          <w:w w:val="105"/>
        </w:rPr>
        <w:t>Corning’s</w:t>
      </w:r>
      <w:r>
        <w:rPr>
          <w:spacing w:val="-2"/>
          <w:w w:val="105"/>
        </w:rPr>
        <w:t> </w:t>
      </w:r>
      <w:r>
        <w:rPr>
          <w:w w:val="105"/>
        </w:rPr>
        <w:t>Optical</w:t>
      </w:r>
      <w:r>
        <w:rPr>
          <w:spacing w:val="-2"/>
          <w:w w:val="105"/>
        </w:rPr>
        <w:t> </w:t>
      </w:r>
      <w:r>
        <w:rPr>
          <w:w w:val="105"/>
        </w:rPr>
        <w:t>Communications</w:t>
      </w:r>
      <w:r>
        <w:rPr>
          <w:spacing w:val="-2"/>
          <w:w w:val="105"/>
        </w:rPr>
        <w:t> </w:t>
      </w:r>
      <w:r>
        <w:rPr>
          <w:w w:val="105"/>
        </w:rPr>
        <w:t>businesses.</w:t>
      </w:r>
      <w:r>
        <w:rPr>
          <w:spacing w:val="38"/>
          <w:w w:val="105"/>
        </w:rPr>
        <w:t> </w:t>
      </w:r>
      <w:r>
        <w:rPr>
          <w:w w:val="105"/>
        </w:rPr>
        <w:t>In</w:t>
      </w:r>
      <w:r>
        <w:rPr>
          <w:spacing w:val="-2"/>
          <w:w w:val="105"/>
        </w:rPr>
        <w:t> </w:t>
      </w:r>
      <w:r>
        <w:rPr>
          <w:w w:val="105"/>
        </w:rPr>
        <w:t>2005,</w:t>
      </w:r>
      <w:r>
        <w:rPr>
          <w:spacing w:val="-2"/>
          <w:w w:val="105"/>
        </w:rPr>
        <w:t> </w:t>
      </w:r>
      <w:r>
        <w:rPr>
          <w:w w:val="105"/>
        </w:rPr>
        <w:t>he was</w:t>
      </w:r>
      <w:r>
        <w:rPr>
          <w:spacing w:val="-8"/>
          <w:w w:val="105"/>
        </w:rPr>
        <w:t> </w:t>
      </w:r>
      <w:r>
        <w:rPr>
          <w:w w:val="105"/>
        </w:rPr>
        <w:t>named</w:t>
      </w:r>
      <w:r>
        <w:rPr>
          <w:spacing w:val="-8"/>
          <w:w w:val="105"/>
        </w:rPr>
        <w:t> </w:t>
      </w:r>
      <w:r>
        <w:rPr>
          <w:w w:val="105"/>
        </w:rPr>
        <w:t>vice</w:t>
      </w:r>
      <w:r>
        <w:rPr>
          <w:spacing w:val="-8"/>
          <w:w w:val="105"/>
        </w:rPr>
        <w:t> </w:t>
      </w:r>
      <w:r>
        <w:rPr>
          <w:w w:val="105"/>
        </w:rPr>
        <w:t>president</w:t>
      </w:r>
      <w:r>
        <w:rPr>
          <w:spacing w:val="-8"/>
          <w:w w:val="105"/>
        </w:rPr>
        <w:t> </w:t>
      </w:r>
      <w:r>
        <w:rPr>
          <w:w w:val="105"/>
        </w:rPr>
        <w:t>and</w:t>
      </w:r>
      <w:r>
        <w:rPr>
          <w:spacing w:val="-8"/>
          <w:w w:val="105"/>
        </w:rPr>
        <w:t> </w:t>
      </w:r>
      <w:r>
        <w:rPr>
          <w:w w:val="105"/>
        </w:rPr>
        <w:t>general</w:t>
      </w:r>
      <w:r>
        <w:rPr>
          <w:spacing w:val="-8"/>
          <w:w w:val="105"/>
        </w:rPr>
        <w:t> </w:t>
      </w:r>
      <w:r>
        <w:rPr>
          <w:w w:val="105"/>
        </w:rPr>
        <w:t>manager</w:t>
      </w:r>
      <w:r>
        <w:rPr>
          <w:spacing w:val="-8"/>
          <w:w w:val="105"/>
        </w:rPr>
        <w:t> </w:t>
      </w:r>
      <w:r>
        <w:rPr>
          <w:w w:val="105"/>
        </w:rPr>
        <w:t>of</w:t>
      </w:r>
      <w:r>
        <w:rPr>
          <w:spacing w:val="-8"/>
          <w:w w:val="105"/>
        </w:rPr>
        <w:t> </w:t>
      </w:r>
      <w:r>
        <w:rPr>
          <w:w w:val="105"/>
        </w:rPr>
        <w:t>Optical</w:t>
      </w:r>
      <w:r>
        <w:rPr>
          <w:spacing w:val="-8"/>
          <w:w w:val="105"/>
        </w:rPr>
        <w:t> </w:t>
      </w:r>
      <w:r>
        <w:rPr>
          <w:w w:val="105"/>
        </w:rPr>
        <w:t>Fiber.</w:t>
      </w:r>
      <w:r>
        <w:rPr>
          <w:spacing w:val="27"/>
          <w:w w:val="105"/>
        </w:rPr>
        <w:t> </w:t>
      </w:r>
      <w:r>
        <w:rPr>
          <w:w w:val="105"/>
        </w:rPr>
        <w:t>Mr.</w:t>
      </w:r>
      <w:r>
        <w:rPr>
          <w:spacing w:val="-8"/>
          <w:w w:val="105"/>
        </w:rPr>
        <w:t> </w:t>
      </w:r>
      <w:r>
        <w:rPr>
          <w:w w:val="105"/>
        </w:rPr>
        <w:t>Musser</w:t>
      </w:r>
      <w:r>
        <w:rPr>
          <w:spacing w:val="-8"/>
          <w:w w:val="105"/>
        </w:rPr>
        <w:t> </w:t>
      </w:r>
      <w:r>
        <w:rPr>
          <w:w w:val="105"/>
        </w:rPr>
        <w:t>served</w:t>
      </w:r>
      <w:r>
        <w:rPr>
          <w:spacing w:val="-8"/>
          <w:w w:val="105"/>
        </w:rPr>
        <w:t> </w:t>
      </w:r>
      <w:r>
        <w:rPr>
          <w:w w:val="105"/>
        </w:rPr>
        <w:t>as</w:t>
      </w:r>
      <w:r>
        <w:rPr>
          <w:spacing w:val="-8"/>
          <w:w w:val="105"/>
        </w:rPr>
        <w:t> </w:t>
      </w:r>
      <w:r>
        <w:rPr>
          <w:w w:val="105"/>
        </w:rPr>
        <w:t>general</w:t>
      </w:r>
      <w:r>
        <w:rPr>
          <w:spacing w:val="-8"/>
          <w:w w:val="105"/>
        </w:rPr>
        <w:t> </w:t>
      </w:r>
      <w:r>
        <w:rPr>
          <w:w w:val="105"/>
        </w:rPr>
        <w:t>manager,</w:t>
      </w:r>
      <w:r>
        <w:rPr>
          <w:spacing w:val="-8"/>
          <w:w w:val="105"/>
        </w:rPr>
        <w:t> </w:t>
      </w:r>
      <w:r>
        <w:rPr>
          <w:w w:val="105"/>
        </w:rPr>
        <w:t>Corning</w:t>
      </w:r>
      <w:r>
        <w:rPr>
          <w:spacing w:val="-8"/>
          <w:w w:val="105"/>
        </w:rPr>
        <w:t> </w:t>
      </w:r>
      <w:r>
        <w:rPr>
          <w:w w:val="105"/>
        </w:rPr>
        <w:t>Greater</w:t>
      </w:r>
      <w:r>
        <w:rPr>
          <w:spacing w:val="-8"/>
          <w:w w:val="105"/>
        </w:rPr>
        <w:t> </w:t>
      </w:r>
      <w:r>
        <w:rPr>
          <w:w w:val="105"/>
        </w:rPr>
        <w:t>China</w:t>
      </w:r>
      <w:r>
        <w:rPr>
          <w:spacing w:val="-8"/>
          <w:w w:val="105"/>
        </w:rPr>
        <w:t> </w:t>
      </w:r>
      <w:r>
        <w:rPr>
          <w:w w:val="105"/>
        </w:rPr>
        <w:t>from</w:t>
      </w:r>
      <w:r>
        <w:rPr>
          <w:spacing w:val="-8"/>
          <w:w w:val="105"/>
        </w:rPr>
        <w:t> </w:t>
      </w:r>
      <w:r>
        <w:rPr>
          <w:w w:val="105"/>
        </w:rPr>
        <w:t>2007</w:t>
      </w:r>
      <w:r>
        <w:rPr>
          <w:spacing w:val="-8"/>
          <w:w w:val="105"/>
        </w:rPr>
        <w:t> </w:t>
      </w:r>
      <w:r>
        <w:rPr>
          <w:w w:val="105"/>
        </w:rPr>
        <w:t>to</w:t>
      </w:r>
      <w:r>
        <w:rPr>
          <w:spacing w:val="-8"/>
          <w:w w:val="105"/>
        </w:rPr>
        <w:t> </w:t>
      </w:r>
      <w:r>
        <w:rPr>
          <w:w w:val="105"/>
        </w:rPr>
        <w:t>2012</w:t>
      </w:r>
      <w:r>
        <w:rPr>
          <w:spacing w:val="-8"/>
          <w:w w:val="105"/>
        </w:rPr>
        <w:t> </w:t>
      </w:r>
      <w:r>
        <w:rPr>
          <w:w w:val="105"/>
        </w:rPr>
        <w:t>and</w:t>
      </w:r>
      <w:r>
        <w:rPr>
          <w:spacing w:val="-8"/>
          <w:w w:val="105"/>
        </w:rPr>
        <w:t> </w:t>
      </w:r>
      <w:r>
        <w:rPr>
          <w:w w:val="105"/>
        </w:rPr>
        <w:t>president</w:t>
      </w:r>
      <w:r>
        <w:rPr>
          <w:spacing w:val="-8"/>
          <w:w w:val="105"/>
        </w:rPr>
        <w:t> </w:t>
      </w:r>
      <w:r>
        <w:rPr>
          <w:w w:val="105"/>
        </w:rPr>
        <w:t>of</w:t>
      </w:r>
      <w:r>
        <w:rPr>
          <w:spacing w:val="-8"/>
          <w:w w:val="105"/>
        </w:rPr>
        <w:t> </w:t>
      </w:r>
      <w:r>
        <w:rPr>
          <w:w w:val="105"/>
        </w:rPr>
        <w:t>Corning International</w:t>
      </w:r>
      <w:r>
        <w:rPr>
          <w:spacing w:val="-5"/>
          <w:w w:val="105"/>
        </w:rPr>
        <w:t> </w:t>
      </w:r>
      <w:r>
        <w:rPr>
          <w:w w:val="105"/>
        </w:rPr>
        <w:t>from</w:t>
      </w:r>
      <w:r>
        <w:rPr>
          <w:spacing w:val="-5"/>
          <w:w w:val="105"/>
        </w:rPr>
        <w:t> </w:t>
      </w:r>
      <w:r>
        <w:rPr>
          <w:w w:val="105"/>
        </w:rPr>
        <w:t>2012</w:t>
      </w:r>
      <w:r>
        <w:rPr>
          <w:spacing w:val="-3"/>
          <w:w w:val="105"/>
        </w:rPr>
        <w:t> </w:t>
      </w:r>
      <w:r>
        <w:rPr>
          <w:w w:val="105"/>
        </w:rPr>
        <w:t>to</w:t>
      </w:r>
      <w:r>
        <w:rPr>
          <w:spacing w:val="-5"/>
          <w:w w:val="105"/>
        </w:rPr>
        <w:t> </w:t>
      </w:r>
      <w:r>
        <w:rPr>
          <w:w w:val="105"/>
        </w:rPr>
        <w:t>2014.</w:t>
      </w:r>
      <w:r>
        <w:rPr>
          <w:spacing w:val="33"/>
          <w:w w:val="105"/>
        </w:rPr>
        <w:t> </w:t>
      </w:r>
      <w:r>
        <w:rPr>
          <w:w w:val="105"/>
        </w:rPr>
        <w:t>In</w:t>
      </w:r>
      <w:r>
        <w:rPr>
          <w:spacing w:val="-5"/>
          <w:w w:val="105"/>
        </w:rPr>
        <w:t> </w:t>
      </w:r>
      <w:r>
        <w:rPr>
          <w:w w:val="105"/>
        </w:rPr>
        <w:t>2014,</w:t>
      </w:r>
      <w:r>
        <w:rPr>
          <w:spacing w:val="-5"/>
          <w:w w:val="105"/>
        </w:rPr>
        <w:t> </w:t>
      </w:r>
      <w:r>
        <w:rPr>
          <w:w w:val="105"/>
        </w:rPr>
        <w:t>he</w:t>
      </w:r>
      <w:r>
        <w:rPr>
          <w:spacing w:val="-5"/>
          <w:w w:val="105"/>
        </w:rPr>
        <w:t> </w:t>
      </w:r>
      <w:r>
        <w:rPr>
          <w:w w:val="105"/>
        </w:rPr>
        <w:t>was</w:t>
      </w:r>
      <w:r>
        <w:rPr>
          <w:spacing w:val="-5"/>
          <w:w w:val="105"/>
        </w:rPr>
        <w:t> </w:t>
      </w:r>
      <w:r>
        <w:rPr>
          <w:w w:val="105"/>
        </w:rPr>
        <w:t>appointed</w:t>
      </w:r>
      <w:r>
        <w:rPr>
          <w:spacing w:val="-5"/>
          <w:w w:val="105"/>
        </w:rPr>
        <w:t> </w:t>
      </w:r>
      <w:r>
        <w:rPr>
          <w:w w:val="105"/>
        </w:rPr>
        <w:t>executive</w:t>
      </w:r>
      <w:r>
        <w:rPr>
          <w:spacing w:val="-5"/>
          <w:w w:val="105"/>
        </w:rPr>
        <w:t> </w:t>
      </w:r>
      <w:r>
        <w:rPr>
          <w:w w:val="105"/>
        </w:rPr>
        <w:t>vice</w:t>
      </w:r>
      <w:r>
        <w:rPr>
          <w:spacing w:val="-5"/>
          <w:w w:val="105"/>
        </w:rPr>
        <w:t> </w:t>
      </w:r>
      <w:r>
        <w:rPr>
          <w:w w:val="105"/>
        </w:rPr>
        <w:t>president,</w:t>
      </w:r>
      <w:r>
        <w:rPr>
          <w:spacing w:val="-5"/>
          <w:w w:val="105"/>
        </w:rPr>
        <w:t> </w:t>
      </w:r>
      <w:r>
        <w:rPr>
          <w:w w:val="105"/>
        </w:rPr>
        <w:t>Corning</w:t>
      </w:r>
      <w:r>
        <w:rPr>
          <w:spacing w:val="-5"/>
          <w:w w:val="105"/>
        </w:rPr>
        <w:t> </w:t>
      </w:r>
      <w:r>
        <w:rPr>
          <w:w w:val="105"/>
        </w:rPr>
        <w:t>Technologies</w:t>
      </w:r>
      <w:r>
        <w:rPr>
          <w:spacing w:val="-5"/>
          <w:w w:val="105"/>
        </w:rPr>
        <w:t> </w:t>
      </w:r>
      <w:r>
        <w:rPr>
          <w:w w:val="105"/>
        </w:rPr>
        <w:t>and</w:t>
      </w:r>
      <w:r>
        <w:rPr>
          <w:spacing w:val="-5"/>
          <w:w w:val="105"/>
        </w:rPr>
        <w:t> </w:t>
      </w:r>
      <w:r>
        <w:rPr>
          <w:w w:val="105"/>
        </w:rPr>
        <w:t>International.</w:t>
      </w:r>
      <w:r>
        <w:rPr>
          <w:spacing w:val="-5"/>
          <w:w w:val="105"/>
        </w:rPr>
        <w:t> </w:t>
      </w:r>
      <w:r>
        <w:rPr>
          <w:w w:val="105"/>
        </w:rPr>
        <w:t>In</w:t>
      </w:r>
      <w:r>
        <w:rPr>
          <w:spacing w:val="-5"/>
          <w:w w:val="105"/>
        </w:rPr>
        <w:t> </w:t>
      </w:r>
      <w:r>
        <w:rPr>
          <w:w w:val="105"/>
        </w:rPr>
        <w:t>April</w:t>
      </w:r>
      <w:r>
        <w:rPr>
          <w:spacing w:val="-5"/>
          <w:w w:val="105"/>
        </w:rPr>
        <w:t> </w:t>
      </w:r>
      <w:r>
        <w:rPr>
          <w:w w:val="105"/>
        </w:rPr>
        <w:t>2020,</w:t>
      </w:r>
      <w:r>
        <w:rPr>
          <w:spacing w:val="-5"/>
          <w:w w:val="105"/>
        </w:rPr>
        <w:t> </w:t>
      </w:r>
      <w:r>
        <w:rPr>
          <w:w w:val="105"/>
        </w:rPr>
        <w:t>he</w:t>
      </w:r>
      <w:r>
        <w:rPr>
          <w:spacing w:val="-5"/>
          <w:w w:val="105"/>
        </w:rPr>
        <w:t> </w:t>
      </w:r>
      <w:r>
        <w:rPr>
          <w:w w:val="105"/>
        </w:rPr>
        <w:t>was</w:t>
      </w:r>
      <w:r>
        <w:rPr>
          <w:spacing w:val="-5"/>
          <w:w w:val="105"/>
        </w:rPr>
        <w:t> </w:t>
      </w:r>
      <w:r>
        <w:rPr>
          <w:w w:val="105"/>
        </w:rPr>
        <w:t>appointed</w:t>
      </w:r>
      <w:r>
        <w:rPr>
          <w:spacing w:val="-5"/>
          <w:w w:val="105"/>
        </w:rPr>
        <w:t> </w:t>
      </w:r>
      <w:r>
        <w:rPr>
          <w:w w:val="105"/>
        </w:rPr>
        <w:t>as</w:t>
      </w:r>
      <w:r>
        <w:rPr>
          <w:spacing w:val="-5"/>
          <w:w w:val="105"/>
        </w:rPr>
        <w:t> </w:t>
      </w:r>
      <w:r>
        <w:rPr>
          <w:w w:val="105"/>
        </w:rPr>
        <w:t>president &amp; chief operating officer.</w:t>
      </w:r>
      <w:r>
        <w:rPr>
          <w:spacing w:val="40"/>
          <w:w w:val="105"/>
        </w:rPr>
        <w:t> </w:t>
      </w:r>
      <w:r>
        <w:rPr>
          <w:w w:val="105"/>
        </w:rPr>
        <w:t>Age 62.</w:t>
      </w:r>
    </w:p>
    <w:p>
      <w:pPr>
        <w:pStyle w:val="BodyText"/>
        <w:spacing w:before="18"/>
      </w:pPr>
    </w:p>
    <w:p>
      <w:pPr>
        <w:spacing w:before="0"/>
        <w:ind w:left="156" w:right="0" w:firstLine="0"/>
        <w:jc w:val="left"/>
        <w:rPr>
          <w:i/>
          <w:sz w:val="16"/>
        </w:rPr>
      </w:pPr>
      <w:r>
        <w:rPr>
          <w:w w:val="105"/>
          <w:sz w:val="16"/>
        </w:rPr>
        <w:t>Avery</w:t>
      </w:r>
      <w:r>
        <w:rPr>
          <w:spacing w:val="-9"/>
          <w:w w:val="105"/>
          <w:sz w:val="16"/>
        </w:rPr>
        <w:t> </w:t>
      </w:r>
      <w:r>
        <w:rPr>
          <w:w w:val="105"/>
          <w:sz w:val="16"/>
        </w:rPr>
        <w:t>H.</w:t>
      </w:r>
      <w:r>
        <w:rPr>
          <w:spacing w:val="-8"/>
          <w:w w:val="105"/>
          <w:sz w:val="16"/>
        </w:rPr>
        <w:t> </w:t>
      </w:r>
      <w:r>
        <w:rPr>
          <w:w w:val="105"/>
          <w:sz w:val="16"/>
        </w:rPr>
        <w:t>Nelson</w:t>
      </w:r>
      <w:r>
        <w:rPr>
          <w:spacing w:val="-8"/>
          <w:w w:val="105"/>
          <w:sz w:val="16"/>
        </w:rPr>
        <w:t> </w:t>
      </w:r>
      <w:r>
        <w:rPr>
          <w:w w:val="105"/>
          <w:sz w:val="16"/>
        </w:rPr>
        <w:t>III</w:t>
      </w:r>
      <w:r>
        <w:rPr>
          <w:spacing w:val="26"/>
          <w:w w:val="105"/>
          <w:sz w:val="16"/>
        </w:rPr>
        <w:t> </w:t>
      </w:r>
      <w:r>
        <w:rPr>
          <w:i/>
          <w:w w:val="105"/>
          <w:sz w:val="16"/>
        </w:rPr>
        <w:t>Senior</w:t>
      </w:r>
      <w:r>
        <w:rPr>
          <w:i/>
          <w:spacing w:val="-8"/>
          <w:w w:val="105"/>
          <w:sz w:val="16"/>
        </w:rPr>
        <w:t> </w:t>
      </w:r>
      <w:r>
        <w:rPr>
          <w:i/>
          <w:w w:val="105"/>
          <w:sz w:val="16"/>
        </w:rPr>
        <w:t>Vice</w:t>
      </w:r>
      <w:r>
        <w:rPr>
          <w:i/>
          <w:spacing w:val="-8"/>
          <w:w w:val="105"/>
          <w:sz w:val="16"/>
        </w:rPr>
        <w:t> </w:t>
      </w:r>
      <w:r>
        <w:rPr>
          <w:i/>
          <w:w w:val="105"/>
          <w:sz w:val="16"/>
        </w:rPr>
        <w:t>President</w:t>
      </w:r>
      <w:r>
        <w:rPr>
          <w:i/>
          <w:spacing w:val="-9"/>
          <w:w w:val="105"/>
          <w:sz w:val="16"/>
        </w:rPr>
        <w:t> </w:t>
      </w:r>
      <w:r>
        <w:rPr>
          <w:i/>
          <w:w w:val="105"/>
          <w:sz w:val="16"/>
        </w:rPr>
        <w:t>&amp;</w:t>
      </w:r>
      <w:r>
        <w:rPr>
          <w:i/>
          <w:spacing w:val="-8"/>
          <w:w w:val="105"/>
          <w:sz w:val="16"/>
        </w:rPr>
        <w:t> </w:t>
      </w:r>
      <w:r>
        <w:rPr>
          <w:i/>
          <w:w w:val="105"/>
          <w:sz w:val="16"/>
        </w:rPr>
        <w:t>General</w:t>
      </w:r>
      <w:r>
        <w:rPr>
          <w:i/>
          <w:spacing w:val="-6"/>
          <w:w w:val="105"/>
          <w:sz w:val="16"/>
        </w:rPr>
        <w:t> </w:t>
      </w:r>
      <w:r>
        <w:rPr>
          <w:i/>
          <w:w w:val="105"/>
          <w:sz w:val="16"/>
        </w:rPr>
        <w:t>Manager,</w:t>
      </w:r>
      <w:r>
        <w:rPr>
          <w:i/>
          <w:spacing w:val="-9"/>
          <w:w w:val="105"/>
          <w:sz w:val="16"/>
        </w:rPr>
        <w:t> </w:t>
      </w:r>
      <w:r>
        <w:rPr>
          <w:i/>
          <w:spacing w:val="-2"/>
          <w:w w:val="105"/>
          <w:sz w:val="16"/>
        </w:rPr>
        <w:t>Automotive</w:t>
      </w:r>
    </w:p>
    <w:p>
      <w:pPr>
        <w:pStyle w:val="BodyText"/>
        <w:spacing w:line="266" w:lineRule="auto" w:before="20"/>
        <w:ind w:left="156"/>
      </w:pPr>
      <w:r>
        <w:rPr>
          <w:w w:val="105"/>
        </w:rPr>
        <w:t>Mr.</w:t>
      </w:r>
      <w:r>
        <w:rPr>
          <w:spacing w:val="-9"/>
          <w:w w:val="105"/>
        </w:rPr>
        <w:t> </w:t>
      </w:r>
      <w:r>
        <w:rPr>
          <w:w w:val="105"/>
        </w:rPr>
        <w:t>Nelson</w:t>
      </w:r>
      <w:r>
        <w:rPr>
          <w:spacing w:val="-9"/>
          <w:w w:val="105"/>
        </w:rPr>
        <w:t> </w:t>
      </w:r>
      <w:r>
        <w:rPr>
          <w:w w:val="105"/>
        </w:rPr>
        <w:t>joined</w:t>
      </w:r>
      <w:r>
        <w:rPr>
          <w:spacing w:val="-9"/>
          <w:w w:val="105"/>
        </w:rPr>
        <w:t> </w:t>
      </w:r>
      <w:r>
        <w:rPr>
          <w:w w:val="105"/>
        </w:rPr>
        <w:t>Corning</w:t>
      </w:r>
      <w:r>
        <w:rPr>
          <w:spacing w:val="-9"/>
          <w:w w:val="105"/>
        </w:rPr>
        <w:t> </w:t>
      </w:r>
      <w:r>
        <w:rPr>
          <w:w w:val="105"/>
        </w:rPr>
        <w:t>in</w:t>
      </w:r>
      <w:r>
        <w:rPr>
          <w:spacing w:val="-9"/>
          <w:w w:val="105"/>
        </w:rPr>
        <w:t> </w:t>
      </w:r>
      <w:r>
        <w:rPr>
          <w:w w:val="105"/>
        </w:rPr>
        <w:t>1991</w:t>
      </w:r>
      <w:r>
        <w:rPr>
          <w:spacing w:val="-9"/>
          <w:w w:val="105"/>
        </w:rPr>
        <w:t> </w:t>
      </w:r>
      <w:r>
        <w:rPr>
          <w:w w:val="105"/>
        </w:rPr>
        <w:t>as</w:t>
      </w:r>
      <w:r>
        <w:rPr>
          <w:spacing w:val="-9"/>
          <w:w w:val="105"/>
        </w:rPr>
        <w:t> </w:t>
      </w:r>
      <w:r>
        <w:rPr>
          <w:w w:val="105"/>
        </w:rPr>
        <w:t>shift</w:t>
      </w:r>
      <w:r>
        <w:rPr>
          <w:spacing w:val="-9"/>
          <w:w w:val="105"/>
        </w:rPr>
        <w:t> </w:t>
      </w:r>
      <w:r>
        <w:rPr>
          <w:w w:val="105"/>
        </w:rPr>
        <w:t>supervisor</w:t>
      </w:r>
      <w:r>
        <w:rPr>
          <w:spacing w:val="-9"/>
          <w:w w:val="105"/>
        </w:rPr>
        <w:t> </w:t>
      </w:r>
      <w:r>
        <w:rPr>
          <w:w w:val="105"/>
        </w:rPr>
        <w:t>at</w:t>
      </w:r>
      <w:r>
        <w:rPr>
          <w:spacing w:val="-9"/>
          <w:w w:val="105"/>
        </w:rPr>
        <w:t> </w:t>
      </w:r>
      <w:r>
        <w:rPr>
          <w:w w:val="105"/>
        </w:rPr>
        <w:t>the</w:t>
      </w:r>
      <w:r>
        <w:rPr>
          <w:spacing w:val="-9"/>
          <w:w w:val="105"/>
        </w:rPr>
        <w:t> </w:t>
      </w:r>
      <w:r>
        <w:rPr>
          <w:w w:val="105"/>
        </w:rPr>
        <w:t>Harrodsburg,</w:t>
      </w:r>
      <w:r>
        <w:rPr>
          <w:spacing w:val="-9"/>
          <w:w w:val="105"/>
        </w:rPr>
        <w:t> </w:t>
      </w:r>
      <w:r>
        <w:rPr>
          <w:w w:val="105"/>
        </w:rPr>
        <w:t>Kentucky</w:t>
      </w:r>
      <w:r>
        <w:rPr>
          <w:spacing w:val="-9"/>
          <w:w w:val="105"/>
        </w:rPr>
        <w:t> </w:t>
      </w:r>
      <w:r>
        <w:rPr>
          <w:w w:val="105"/>
        </w:rPr>
        <w:t>plant</w:t>
      </w:r>
      <w:r>
        <w:rPr>
          <w:spacing w:val="-9"/>
          <w:w w:val="105"/>
        </w:rPr>
        <w:t> </w:t>
      </w:r>
      <w:r>
        <w:rPr>
          <w:w w:val="105"/>
        </w:rPr>
        <w:t>and</w:t>
      </w:r>
      <w:r>
        <w:rPr>
          <w:spacing w:val="-9"/>
          <w:w w:val="105"/>
        </w:rPr>
        <w:t> </w:t>
      </w:r>
      <w:r>
        <w:rPr>
          <w:w w:val="105"/>
        </w:rPr>
        <w:t>subsequently</w:t>
      </w:r>
      <w:r>
        <w:rPr>
          <w:spacing w:val="-9"/>
          <w:w w:val="105"/>
        </w:rPr>
        <w:t> </w:t>
      </w:r>
      <w:r>
        <w:rPr>
          <w:w w:val="105"/>
        </w:rPr>
        <w:t>served</w:t>
      </w:r>
      <w:r>
        <w:rPr>
          <w:spacing w:val="-9"/>
          <w:w w:val="105"/>
        </w:rPr>
        <w:t> </w:t>
      </w:r>
      <w:r>
        <w:rPr>
          <w:w w:val="105"/>
        </w:rPr>
        <w:t>in</w:t>
      </w:r>
      <w:r>
        <w:rPr>
          <w:spacing w:val="-9"/>
          <w:w w:val="105"/>
        </w:rPr>
        <w:t> </w:t>
      </w:r>
      <w:r>
        <w:rPr>
          <w:w w:val="105"/>
        </w:rPr>
        <w:t>progressive</w:t>
      </w:r>
      <w:r>
        <w:rPr>
          <w:spacing w:val="-9"/>
          <w:w w:val="105"/>
        </w:rPr>
        <w:t> </w:t>
      </w:r>
      <w:r>
        <w:rPr>
          <w:w w:val="105"/>
        </w:rPr>
        <w:t>roles</w:t>
      </w:r>
      <w:r>
        <w:rPr>
          <w:spacing w:val="-9"/>
          <w:w w:val="105"/>
        </w:rPr>
        <w:t> </w:t>
      </w:r>
      <w:r>
        <w:rPr>
          <w:w w:val="105"/>
        </w:rPr>
        <w:t>in</w:t>
      </w:r>
      <w:r>
        <w:rPr>
          <w:spacing w:val="-9"/>
          <w:w w:val="105"/>
        </w:rPr>
        <w:t> </w:t>
      </w:r>
      <w:r>
        <w:rPr>
          <w:w w:val="105"/>
        </w:rPr>
        <w:t>Corning</w:t>
      </w:r>
      <w:r>
        <w:rPr>
          <w:spacing w:val="-9"/>
          <w:w w:val="105"/>
        </w:rPr>
        <w:t> </w:t>
      </w:r>
      <w:r>
        <w:rPr>
          <w:w w:val="105"/>
        </w:rPr>
        <w:t>Display</w:t>
      </w:r>
      <w:r>
        <w:rPr>
          <w:spacing w:val="-9"/>
          <w:w w:val="105"/>
        </w:rPr>
        <w:t> </w:t>
      </w:r>
      <w:r>
        <w:rPr>
          <w:w w:val="105"/>
        </w:rPr>
        <w:t>Technologies.</w:t>
      </w:r>
      <w:r>
        <w:rPr>
          <w:spacing w:val="-9"/>
          <w:w w:val="105"/>
        </w:rPr>
        <w:t> </w:t>
      </w:r>
      <w:r>
        <w:rPr>
          <w:w w:val="105"/>
        </w:rPr>
        <w:t>In 2007,</w:t>
      </w:r>
      <w:r>
        <w:rPr>
          <w:spacing w:val="-1"/>
          <w:w w:val="105"/>
        </w:rPr>
        <w:t> </w:t>
      </w:r>
      <w:r>
        <w:rPr>
          <w:w w:val="105"/>
        </w:rPr>
        <w:t>he</w:t>
      </w:r>
      <w:r>
        <w:rPr>
          <w:spacing w:val="-1"/>
          <w:w w:val="105"/>
        </w:rPr>
        <w:t> </w:t>
      </w:r>
      <w:r>
        <w:rPr>
          <w:w w:val="105"/>
        </w:rPr>
        <w:t>joined</w:t>
      </w:r>
      <w:r>
        <w:rPr>
          <w:spacing w:val="-1"/>
          <w:w w:val="105"/>
        </w:rPr>
        <w:t> </w:t>
      </w:r>
      <w:r>
        <w:rPr>
          <w:w w:val="105"/>
        </w:rPr>
        <w:t>CET</w:t>
      </w:r>
      <w:r>
        <w:rPr>
          <w:spacing w:val="-1"/>
          <w:w w:val="105"/>
        </w:rPr>
        <w:t> </w:t>
      </w:r>
      <w:r>
        <w:rPr>
          <w:w w:val="105"/>
        </w:rPr>
        <w:t>as</w:t>
      </w:r>
      <w:r>
        <w:rPr>
          <w:spacing w:val="-1"/>
          <w:w w:val="105"/>
        </w:rPr>
        <w:t> </w:t>
      </w:r>
      <w:r>
        <w:rPr>
          <w:w w:val="105"/>
        </w:rPr>
        <w:t>general</w:t>
      </w:r>
      <w:r>
        <w:rPr>
          <w:spacing w:val="-1"/>
          <w:w w:val="105"/>
        </w:rPr>
        <w:t> </w:t>
      </w:r>
      <w:r>
        <w:rPr>
          <w:w w:val="105"/>
        </w:rPr>
        <w:t>manager,</w:t>
      </w:r>
      <w:r>
        <w:rPr>
          <w:spacing w:val="-1"/>
          <w:w w:val="105"/>
        </w:rPr>
        <w:t> </w:t>
      </w:r>
      <w:r>
        <w:rPr>
          <w:w w:val="105"/>
        </w:rPr>
        <w:t>Corning</w:t>
      </w:r>
      <w:r>
        <w:rPr>
          <w:spacing w:val="-1"/>
          <w:w w:val="105"/>
        </w:rPr>
        <w:t> </w:t>
      </w:r>
      <w:r>
        <w:rPr>
          <w:w w:val="105"/>
        </w:rPr>
        <w:t>(Shanghai)</w:t>
      </w:r>
      <w:r>
        <w:rPr>
          <w:spacing w:val="-1"/>
          <w:w w:val="105"/>
        </w:rPr>
        <w:t> </w:t>
      </w:r>
      <w:r>
        <w:rPr>
          <w:w w:val="105"/>
        </w:rPr>
        <w:t>Company</w:t>
      </w:r>
      <w:r>
        <w:rPr>
          <w:spacing w:val="-1"/>
          <w:w w:val="105"/>
        </w:rPr>
        <w:t> </w:t>
      </w:r>
      <w:r>
        <w:rPr>
          <w:w w:val="105"/>
        </w:rPr>
        <w:t>Limited. In</w:t>
      </w:r>
      <w:r>
        <w:rPr>
          <w:spacing w:val="-1"/>
          <w:w w:val="105"/>
        </w:rPr>
        <w:t> </w:t>
      </w:r>
      <w:r>
        <w:rPr>
          <w:w w:val="105"/>
        </w:rPr>
        <w:t>2009,</w:t>
      </w:r>
      <w:r>
        <w:rPr>
          <w:spacing w:val="-1"/>
          <w:w w:val="105"/>
        </w:rPr>
        <w:t> </w:t>
      </w:r>
      <w:r>
        <w:rPr>
          <w:w w:val="105"/>
        </w:rPr>
        <w:t>he</w:t>
      </w:r>
      <w:r>
        <w:rPr>
          <w:spacing w:val="-1"/>
          <w:w w:val="105"/>
        </w:rPr>
        <w:t> </w:t>
      </w:r>
      <w:r>
        <w:rPr>
          <w:w w:val="105"/>
        </w:rPr>
        <w:t>became</w:t>
      </w:r>
      <w:r>
        <w:rPr>
          <w:spacing w:val="-1"/>
          <w:w w:val="105"/>
        </w:rPr>
        <w:t> </w:t>
      </w:r>
      <w:r>
        <w:rPr>
          <w:w w:val="105"/>
        </w:rPr>
        <w:t>general</w:t>
      </w:r>
      <w:r>
        <w:rPr>
          <w:spacing w:val="-1"/>
          <w:w w:val="105"/>
        </w:rPr>
        <w:t> </w:t>
      </w:r>
      <w:r>
        <w:rPr>
          <w:w w:val="105"/>
        </w:rPr>
        <w:t>manager</w:t>
      </w:r>
      <w:r>
        <w:rPr>
          <w:spacing w:val="-1"/>
          <w:w w:val="105"/>
        </w:rPr>
        <w:t> </w:t>
      </w:r>
      <w:r>
        <w:rPr>
          <w:w w:val="105"/>
        </w:rPr>
        <w:t>and</w:t>
      </w:r>
      <w:r>
        <w:rPr>
          <w:spacing w:val="-1"/>
          <w:w w:val="105"/>
        </w:rPr>
        <w:t> </w:t>
      </w:r>
      <w:r>
        <w:rPr>
          <w:w w:val="105"/>
        </w:rPr>
        <w:t>regional</w:t>
      </w:r>
      <w:r>
        <w:rPr>
          <w:spacing w:val="-1"/>
          <w:w w:val="105"/>
        </w:rPr>
        <w:t> </w:t>
      </w:r>
      <w:r>
        <w:rPr>
          <w:w w:val="105"/>
        </w:rPr>
        <w:t>director</w:t>
      </w:r>
      <w:r>
        <w:rPr>
          <w:spacing w:val="-1"/>
          <w:w w:val="105"/>
        </w:rPr>
        <w:t> </w:t>
      </w:r>
      <w:r>
        <w:rPr>
          <w:w w:val="105"/>
        </w:rPr>
        <w:t>of</w:t>
      </w:r>
      <w:r>
        <w:rPr>
          <w:spacing w:val="-1"/>
          <w:w w:val="105"/>
        </w:rPr>
        <w:t> </w:t>
      </w:r>
      <w:r>
        <w:rPr>
          <w:w w:val="105"/>
        </w:rPr>
        <w:t>China</w:t>
      </w:r>
      <w:r>
        <w:rPr>
          <w:spacing w:val="-1"/>
          <w:w w:val="105"/>
        </w:rPr>
        <w:t> </w:t>
      </w:r>
      <w:r>
        <w:rPr>
          <w:w w:val="105"/>
        </w:rPr>
        <w:t>and</w:t>
      </w:r>
      <w:r>
        <w:rPr>
          <w:spacing w:val="-1"/>
          <w:w w:val="105"/>
        </w:rPr>
        <w:t> </w:t>
      </w:r>
      <w:r>
        <w:rPr>
          <w:w w:val="105"/>
        </w:rPr>
        <w:t>India,</w:t>
      </w:r>
      <w:r>
        <w:rPr>
          <w:spacing w:val="-1"/>
          <w:w w:val="105"/>
        </w:rPr>
        <w:t> </w:t>
      </w:r>
      <w:r>
        <w:rPr>
          <w:w w:val="105"/>
        </w:rPr>
        <w:t>CET.</w:t>
      </w:r>
      <w:r>
        <w:rPr>
          <w:spacing w:val="-1"/>
          <w:w w:val="105"/>
        </w:rPr>
        <w:t> </w:t>
      </w:r>
      <w:r>
        <w:rPr>
          <w:w w:val="105"/>
        </w:rPr>
        <w:t>In 2010</w:t>
      </w:r>
      <w:r>
        <w:rPr>
          <w:spacing w:val="-2"/>
          <w:w w:val="105"/>
        </w:rPr>
        <w:t> </w:t>
      </w:r>
      <w:r>
        <w:rPr>
          <w:w w:val="105"/>
        </w:rPr>
        <w:t>he</w:t>
      </w:r>
      <w:r>
        <w:rPr>
          <w:spacing w:val="-2"/>
          <w:w w:val="105"/>
        </w:rPr>
        <w:t> </w:t>
      </w:r>
      <w:r>
        <w:rPr>
          <w:w w:val="105"/>
        </w:rPr>
        <w:t>returned</w:t>
      </w:r>
      <w:r>
        <w:rPr>
          <w:spacing w:val="-2"/>
          <w:w w:val="105"/>
        </w:rPr>
        <w:t> </w:t>
      </w:r>
      <w:r>
        <w:rPr>
          <w:w w:val="105"/>
        </w:rPr>
        <w:t>to</w:t>
      </w:r>
      <w:r>
        <w:rPr>
          <w:spacing w:val="-2"/>
          <w:w w:val="105"/>
        </w:rPr>
        <w:t> </w:t>
      </w:r>
      <w:r>
        <w:rPr>
          <w:w w:val="105"/>
        </w:rPr>
        <w:t>the</w:t>
      </w:r>
      <w:r>
        <w:rPr>
          <w:spacing w:val="-2"/>
          <w:w w:val="105"/>
        </w:rPr>
        <w:t> </w:t>
      </w:r>
      <w:r>
        <w:rPr>
          <w:w w:val="105"/>
        </w:rPr>
        <w:t>U.S.</w:t>
      </w:r>
      <w:r>
        <w:rPr>
          <w:spacing w:val="-2"/>
          <w:w w:val="105"/>
        </w:rPr>
        <w:t> </w:t>
      </w:r>
      <w:r>
        <w:rPr>
          <w:w w:val="105"/>
        </w:rPr>
        <w:t>as</w:t>
      </w:r>
      <w:r>
        <w:rPr>
          <w:spacing w:val="-2"/>
          <w:w w:val="105"/>
        </w:rPr>
        <w:t> </w:t>
      </w:r>
      <w:r>
        <w:rPr>
          <w:w w:val="105"/>
        </w:rPr>
        <w:t>program</w:t>
      </w:r>
      <w:r>
        <w:rPr>
          <w:spacing w:val="-2"/>
          <w:w w:val="105"/>
        </w:rPr>
        <w:t> </w:t>
      </w:r>
      <w:r>
        <w:rPr>
          <w:w w:val="105"/>
        </w:rPr>
        <w:t>director,</w:t>
      </w:r>
      <w:r>
        <w:rPr>
          <w:spacing w:val="-2"/>
          <w:w w:val="105"/>
        </w:rPr>
        <w:t> </w:t>
      </w:r>
      <w:r>
        <w:rPr>
          <w:w w:val="105"/>
        </w:rPr>
        <w:t>CET.</w:t>
      </w:r>
      <w:r>
        <w:rPr>
          <w:spacing w:val="-2"/>
          <w:w w:val="105"/>
        </w:rPr>
        <w:t> </w:t>
      </w:r>
      <w:r>
        <w:rPr>
          <w:w w:val="105"/>
        </w:rPr>
        <w:t>In</w:t>
      </w:r>
      <w:r>
        <w:rPr>
          <w:spacing w:val="-2"/>
          <w:w w:val="105"/>
        </w:rPr>
        <w:t> </w:t>
      </w:r>
      <w:r>
        <w:rPr>
          <w:w w:val="105"/>
        </w:rPr>
        <w:t>2011,</w:t>
      </w:r>
      <w:r>
        <w:rPr>
          <w:spacing w:val="-2"/>
          <w:w w:val="105"/>
        </w:rPr>
        <w:t> </w:t>
      </w:r>
      <w:r>
        <w:rPr>
          <w:w w:val="105"/>
        </w:rPr>
        <w:t>he</w:t>
      </w:r>
      <w:r>
        <w:rPr>
          <w:spacing w:val="-2"/>
          <w:w w:val="105"/>
        </w:rPr>
        <w:t> </w:t>
      </w:r>
      <w:r>
        <w:rPr>
          <w:w w:val="105"/>
        </w:rPr>
        <w:t>assumed</w:t>
      </w:r>
      <w:r>
        <w:rPr>
          <w:spacing w:val="-2"/>
          <w:w w:val="105"/>
        </w:rPr>
        <w:t> </w:t>
      </w:r>
      <w:r>
        <w:rPr>
          <w:w w:val="105"/>
        </w:rPr>
        <w:t>the</w:t>
      </w:r>
      <w:r>
        <w:rPr>
          <w:spacing w:val="-2"/>
          <w:w w:val="105"/>
        </w:rPr>
        <w:t> </w:t>
      </w:r>
      <w:r>
        <w:rPr>
          <w:w w:val="105"/>
        </w:rPr>
        <w:t>role</w:t>
      </w:r>
      <w:r>
        <w:rPr>
          <w:spacing w:val="-2"/>
          <w:w w:val="105"/>
        </w:rPr>
        <w:t> </w:t>
      </w:r>
      <w:r>
        <w:rPr>
          <w:w w:val="105"/>
        </w:rPr>
        <w:t>of</w:t>
      </w:r>
      <w:r>
        <w:rPr>
          <w:spacing w:val="-2"/>
          <w:w w:val="105"/>
        </w:rPr>
        <w:t> </w:t>
      </w:r>
      <w:r>
        <w:rPr>
          <w:w w:val="105"/>
        </w:rPr>
        <w:t>business</w:t>
      </w:r>
      <w:r>
        <w:rPr>
          <w:spacing w:val="-2"/>
          <w:w w:val="105"/>
        </w:rPr>
        <w:t> </w:t>
      </w:r>
      <w:r>
        <w:rPr>
          <w:w w:val="105"/>
        </w:rPr>
        <w:t>director,</w:t>
      </w:r>
      <w:r>
        <w:rPr>
          <w:spacing w:val="-2"/>
          <w:w w:val="105"/>
        </w:rPr>
        <w:t> </w:t>
      </w:r>
      <w:r>
        <w:rPr>
          <w:w w:val="105"/>
        </w:rPr>
        <w:t>AAA</w:t>
      </w:r>
      <w:r>
        <w:rPr>
          <w:spacing w:val="-2"/>
          <w:w w:val="105"/>
        </w:rPr>
        <w:t> </w:t>
      </w:r>
      <w:r>
        <w:rPr>
          <w:w w:val="105"/>
        </w:rPr>
        <w:t>Corning®</w:t>
      </w:r>
      <w:r>
        <w:rPr>
          <w:spacing w:val="-2"/>
          <w:w w:val="105"/>
        </w:rPr>
        <w:t> </w:t>
      </w:r>
      <w:r>
        <w:rPr>
          <w:w w:val="105"/>
        </w:rPr>
        <w:t>Gorilla®</w:t>
      </w:r>
      <w:r>
        <w:rPr>
          <w:spacing w:val="-2"/>
          <w:w w:val="105"/>
        </w:rPr>
        <w:t> </w:t>
      </w:r>
      <w:r>
        <w:rPr>
          <w:w w:val="105"/>
        </w:rPr>
        <w:t>Glass,</w:t>
      </w:r>
      <w:r>
        <w:rPr>
          <w:spacing w:val="-2"/>
          <w:w w:val="105"/>
        </w:rPr>
        <w:t> </w:t>
      </w:r>
      <w:r>
        <w:rPr>
          <w:w w:val="105"/>
        </w:rPr>
        <w:t>New</w:t>
      </w:r>
      <w:r>
        <w:rPr>
          <w:spacing w:val="-2"/>
          <w:w w:val="105"/>
        </w:rPr>
        <w:t> </w:t>
      </w:r>
      <w:r>
        <w:rPr>
          <w:w w:val="105"/>
        </w:rPr>
        <w:t>Business</w:t>
      </w:r>
      <w:r>
        <w:rPr>
          <w:spacing w:val="-2"/>
          <w:w w:val="105"/>
        </w:rPr>
        <w:t> </w:t>
      </w:r>
      <w:r>
        <w:rPr>
          <w:w w:val="105"/>
        </w:rPr>
        <w:t>Development.</w:t>
      </w:r>
    </w:p>
    <w:p>
      <w:pPr>
        <w:pStyle w:val="BodyText"/>
        <w:spacing w:line="266" w:lineRule="auto"/>
        <w:ind w:left="156" w:right="328"/>
      </w:pPr>
      <w:r>
        <w:rPr>
          <w:w w:val="105"/>
        </w:rPr>
        <w:t>Later</w:t>
      </w:r>
      <w:r>
        <w:rPr>
          <w:spacing w:val="-8"/>
          <w:w w:val="105"/>
        </w:rPr>
        <w:t> </w:t>
      </w:r>
      <w:r>
        <w:rPr>
          <w:w w:val="105"/>
        </w:rPr>
        <w:t>that</w:t>
      </w:r>
      <w:r>
        <w:rPr>
          <w:spacing w:val="-8"/>
          <w:w w:val="105"/>
        </w:rPr>
        <w:t> </w:t>
      </w:r>
      <w:r>
        <w:rPr>
          <w:w w:val="105"/>
        </w:rPr>
        <w:t>year,</w:t>
      </w:r>
      <w:r>
        <w:rPr>
          <w:spacing w:val="-8"/>
          <w:w w:val="105"/>
        </w:rPr>
        <w:t> </w:t>
      </w:r>
      <w:r>
        <w:rPr>
          <w:w w:val="105"/>
        </w:rPr>
        <w:t>he</w:t>
      </w:r>
      <w:r>
        <w:rPr>
          <w:spacing w:val="-8"/>
          <w:w w:val="105"/>
        </w:rPr>
        <w:t> </w:t>
      </w:r>
      <w:r>
        <w:rPr>
          <w:w w:val="105"/>
        </w:rPr>
        <w:t>was</w:t>
      </w:r>
      <w:r>
        <w:rPr>
          <w:spacing w:val="-8"/>
          <w:w w:val="105"/>
        </w:rPr>
        <w:t> </w:t>
      </w:r>
      <w:r>
        <w:rPr>
          <w:w w:val="105"/>
        </w:rPr>
        <w:t>appointed</w:t>
      </w:r>
      <w:r>
        <w:rPr>
          <w:spacing w:val="-8"/>
          <w:w w:val="105"/>
        </w:rPr>
        <w:t> </w:t>
      </w:r>
      <w:r>
        <w:rPr>
          <w:w w:val="105"/>
        </w:rPr>
        <w:t>division</w:t>
      </w:r>
      <w:r>
        <w:rPr>
          <w:spacing w:val="-8"/>
          <w:w w:val="105"/>
        </w:rPr>
        <w:t> </w:t>
      </w:r>
      <w:r>
        <w:rPr>
          <w:w w:val="105"/>
        </w:rPr>
        <w:t>vice</w:t>
      </w:r>
      <w:r>
        <w:rPr>
          <w:spacing w:val="-8"/>
          <w:w w:val="105"/>
        </w:rPr>
        <w:t> </w:t>
      </w:r>
      <w:r>
        <w:rPr>
          <w:w w:val="105"/>
        </w:rPr>
        <w:t>president,</w:t>
      </w:r>
      <w:r>
        <w:rPr>
          <w:spacing w:val="-8"/>
          <w:w w:val="105"/>
        </w:rPr>
        <w:t> </w:t>
      </w:r>
      <w:r>
        <w:rPr>
          <w:w w:val="105"/>
        </w:rPr>
        <w:t>Heavy</w:t>
      </w:r>
      <w:r>
        <w:rPr>
          <w:spacing w:val="-8"/>
          <w:w w:val="105"/>
        </w:rPr>
        <w:t> </w:t>
      </w:r>
      <w:r>
        <w:rPr>
          <w:w w:val="105"/>
        </w:rPr>
        <w:t>Duty</w:t>
      </w:r>
      <w:r>
        <w:rPr>
          <w:spacing w:val="-8"/>
          <w:w w:val="105"/>
        </w:rPr>
        <w:t> </w:t>
      </w:r>
      <w:r>
        <w:rPr>
          <w:w w:val="105"/>
        </w:rPr>
        <w:t>Diesel</w:t>
      </w:r>
      <w:r>
        <w:rPr>
          <w:spacing w:val="-8"/>
          <w:w w:val="105"/>
        </w:rPr>
        <w:t> </w:t>
      </w:r>
      <w:r>
        <w:rPr>
          <w:w w:val="105"/>
        </w:rPr>
        <w:t>(HDD).</w:t>
      </w:r>
      <w:r>
        <w:rPr>
          <w:spacing w:val="-8"/>
          <w:w w:val="105"/>
        </w:rPr>
        <w:t> </w:t>
      </w:r>
      <w:r>
        <w:rPr>
          <w:w w:val="105"/>
        </w:rPr>
        <w:t>In</w:t>
      </w:r>
      <w:r>
        <w:rPr>
          <w:spacing w:val="-8"/>
          <w:w w:val="105"/>
        </w:rPr>
        <w:t> </w:t>
      </w:r>
      <w:r>
        <w:rPr>
          <w:w w:val="105"/>
        </w:rPr>
        <w:t>2013,</w:t>
      </w:r>
      <w:r>
        <w:rPr>
          <w:spacing w:val="-8"/>
          <w:w w:val="105"/>
        </w:rPr>
        <w:t> </w:t>
      </w:r>
      <w:r>
        <w:rPr>
          <w:w w:val="105"/>
        </w:rPr>
        <w:t>he</w:t>
      </w:r>
      <w:r>
        <w:rPr>
          <w:spacing w:val="-8"/>
          <w:w w:val="105"/>
        </w:rPr>
        <w:t> </w:t>
      </w:r>
      <w:r>
        <w:rPr>
          <w:w w:val="105"/>
        </w:rPr>
        <w:t>was</w:t>
      </w:r>
      <w:r>
        <w:rPr>
          <w:spacing w:val="-8"/>
          <w:w w:val="105"/>
        </w:rPr>
        <w:t> </w:t>
      </w:r>
      <w:r>
        <w:rPr>
          <w:w w:val="105"/>
        </w:rPr>
        <w:t>appointed</w:t>
      </w:r>
      <w:r>
        <w:rPr>
          <w:spacing w:val="-8"/>
          <w:w w:val="105"/>
        </w:rPr>
        <w:t> </w:t>
      </w:r>
      <w:r>
        <w:rPr>
          <w:w w:val="105"/>
        </w:rPr>
        <w:t>division</w:t>
      </w:r>
      <w:r>
        <w:rPr>
          <w:spacing w:val="-8"/>
          <w:w w:val="105"/>
        </w:rPr>
        <w:t> </w:t>
      </w:r>
      <w:r>
        <w:rPr>
          <w:w w:val="105"/>
        </w:rPr>
        <w:t>vice</w:t>
      </w:r>
      <w:r>
        <w:rPr>
          <w:spacing w:val="-8"/>
          <w:w w:val="105"/>
        </w:rPr>
        <w:t> </w:t>
      </w:r>
      <w:r>
        <w:rPr>
          <w:w w:val="105"/>
        </w:rPr>
        <w:t>president</w:t>
      </w:r>
      <w:r>
        <w:rPr>
          <w:spacing w:val="-8"/>
          <w:w w:val="105"/>
        </w:rPr>
        <w:t> </w:t>
      </w:r>
      <w:r>
        <w:rPr>
          <w:w w:val="105"/>
        </w:rPr>
        <w:t>and</w:t>
      </w:r>
      <w:r>
        <w:rPr>
          <w:spacing w:val="-8"/>
          <w:w w:val="105"/>
        </w:rPr>
        <w:t> </w:t>
      </w:r>
      <w:r>
        <w:rPr>
          <w:w w:val="105"/>
        </w:rPr>
        <w:t>business</w:t>
      </w:r>
      <w:r>
        <w:rPr>
          <w:spacing w:val="-8"/>
          <w:w w:val="105"/>
        </w:rPr>
        <w:t> </w:t>
      </w:r>
      <w:r>
        <w:rPr>
          <w:w w:val="105"/>
        </w:rPr>
        <w:t>director.</w:t>
      </w:r>
      <w:r>
        <w:rPr>
          <w:spacing w:val="-8"/>
          <w:w w:val="105"/>
        </w:rPr>
        <w:t> </w:t>
      </w:r>
      <w:r>
        <w:rPr>
          <w:w w:val="105"/>
        </w:rPr>
        <w:t>In</w:t>
      </w:r>
      <w:r>
        <w:rPr>
          <w:spacing w:val="-8"/>
          <w:w w:val="105"/>
        </w:rPr>
        <w:t> </w:t>
      </w:r>
      <w:r>
        <w:rPr>
          <w:w w:val="105"/>
        </w:rPr>
        <w:t>2014,</w:t>
      </w:r>
      <w:r>
        <w:rPr>
          <w:spacing w:val="-8"/>
          <w:w w:val="105"/>
        </w:rPr>
        <w:t> </w:t>
      </w:r>
      <w:r>
        <w:rPr>
          <w:w w:val="105"/>
        </w:rPr>
        <w:t>he was</w:t>
      </w:r>
      <w:r>
        <w:rPr>
          <w:spacing w:val="-1"/>
          <w:w w:val="105"/>
        </w:rPr>
        <w:t> </w:t>
      </w:r>
      <w:r>
        <w:rPr>
          <w:w w:val="105"/>
        </w:rPr>
        <w:t>appointed</w:t>
      </w:r>
      <w:r>
        <w:rPr>
          <w:spacing w:val="-1"/>
          <w:w w:val="105"/>
        </w:rPr>
        <w:t> </w:t>
      </w:r>
      <w:r>
        <w:rPr>
          <w:w w:val="105"/>
        </w:rPr>
        <w:t>vice</w:t>
      </w:r>
      <w:r>
        <w:rPr>
          <w:spacing w:val="-1"/>
          <w:w w:val="105"/>
        </w:rPr>
        <w:t> </w:t>
      </w:r>
      <w:r>
        <w:rPr>
          <w:w w:val="105"/>
        </w:rPr>
        <w:t>president and</w:t>
      </w:r>
      <w:r>
        <w:rPr>
          <w:spacing w:val="-1"/>
          <w:w w:val="105"/>
        </w:rPr>
        <w:t> </w:t>
      </w:r>
      <w:r>
        <w:rPr>
          <w:w w:val="105"/>
        </w:rPr>
        <w:t>general</w:t>
      </w:r>
      <w:r>
        <w:rPr>
          <w:spacing w:val="-1"/>
          <w:w w:val="105"/>
        </w:rPr>
        <w:t> </w:t>
      </w:r>
      <w:r>
        <w:rPr>
          <w:w w:val="105"/>
        </w:rPr>
        <w:t>manager</w:t>
      </w:r>
      <w:r>
        <w:rPr>
          <w:spacing w:val="-1"/>
          <w:w w:val="105"/>
        </w:rPr>
        <w:t> </w:t>
      </w:r>
      <w:r>
        <w:rPr>
          <w:w w:val="105"/>
        </w:rPr>
        <w:t>for</w:t>
      </w:r>
      <w:r>
        <w:rPr>
          <w:spacing w:val="-1"/>
          <w:w w:val="105"/>
        </w:rPr>
        <w:t> </w:t>
      </w:r>
      <w:r>
        <w:rPr>
          <w:w w:val="105"/>
        </w:rPr>
        <w:t>Environmental</w:t>
      </w:r>
      <w:r>
        <w:rPr>
          <w:spacing w:val="-1"/>
          <w:w w:val="105"/>
        </w:rPr>
        <w:t> </w:t>
      </w:r>
      <w:r>
        <w:rPr>
          <w:w w:val="105"/>
        </w:rPr>
        <w:t>Technologies.</w:t>
      </w:r>
      <w:r>
        <w:rPr>
          <w:spacing w:val="-1"/>
          <w:w w:val="105"/>
        </w:rPr>
        <w:t> </w:t>
      </w:r>
      <w:r>
        <w:rPr>
          <w:w w:val="105"/>
        </w:rPr>
        <w:t>He</w:t>
      </w:r>
      <w:r>
        <w:rPr>
          <w:spacing w:val="-1"/>
          <w:w w:val="105"/>
        </w:rPr>
        <w:t> </w:t>
      </w:r>
      <w:r>
        <w:rPr>
          <w:w w:val="105"/>
        </w:rPr>
        <w:t>was</w:t>
      </w:r>
      <w:r>
        <w:rPr>
          <w:spacing w:val="-1"/>
          <w:w w:val="105"/>
        </w:rPr>
        <w:t> </w:t>
      </w:r>
      <w:r>
        <w:rPr>
          <w:w w:val="105"/>
        </w:rPr>
        <w:t>appointed</w:t>
      </w:r>
      <w:r>
        <w:rPr>
          <w:spacing w:val="-1"/>
          <w:w w:val="105"/>
        </w:rPr>
        <w:t> </w:t>
      </w:r>
      <w:r>
        <w:rPr>
          <w:w w:val="105"/>
        </w:rPr>
        <w:t>to</w:t>
      </w:r>
      <w:r>
        <w:rPr>
          <w:spacing w:val="-1"/>
          <w:w w:val="105"/>
        </w:rPr>
        <w:t> </w:t>
      </w:r>
      <w:r>
        <w:rPr>
          <w:w w:val="105"/>
        </w:rPr>
        <w:t>his</w:t>
      </w:r>
      <w:r>
        <w:rPr>
          <w:spacing w:val="-1"/>
          <w:w w:val="105"/>
        </w:rPr>
        <w:t> </w:t>
      </w:r>
      <w:r>
        <w:rPr>
          <w:w w:val="105"/>
        </w:rPr>
        <w:t>current</w:t>
      </w:r>
      <w:r>
        <w:rPr>
          <w:spacing w:val="-1"/>
          <w:w w:val="105"/>
        </w:rPr>
        <w:t> </w:t>
      </w:r>
      <w:r>
        <w:rPr>
          <w:w w:val="105"/>
        </w:rPr>
        <w:t>position in</w:t>
      </w:r>
      <w:r>
        <w:rPr>
          <w:spacing w:val="-1"/>
          <w:w w:val="105"/>
        </w:rPr>
        <w:t> </w:t>
      </w:r>
      <w:r>
        <w:rPr>
          <w:w w:val="105"/>
        </w:rPr>
        <w:t>April</w:t>
      </w:r>
      <w:r>
        <w:rPr>
          <w:spacing w:val="-1"/>
          <w:w w:val="105"/>
        </w:rPr>
        <w:t> </w:t>
      </w:r>
      <w:r>
        <w:rPr>
          <w:w w:val="105"/>
        </w:rPr>
        <w:t>2020.</w:t>
      </w:r>
      <w:r>
        <w:rPr>
          <w:spacing w:val="-1"/>
          <w:w w:val="105"/>
        </w:rPr>
        <w:t> </w:t>
      </w:r>
      <w:r>
        <w:rPr>
          <w:w w:val="105"/>
        </w:rPr>
        <w:t>Age</w:t>
      </w:r>
      <w:r>
        <w:rPr>
          <w:spacing w:val="-1"/>
          <w:w w:val="105"/>
        </w:rPr>
        <w:t> </w:t>
      </w:r>
      <w:r>
        <w:rPr>
          <w:w w:val="105"/>
        </w:rPr>
        <w:t>53.</w:t>
      </w:r>
    </w:p>
    <w:p>
      <w:pPr>
        <w:pStyle w:val="BodyText"/>
        <w:spacing w:before="17"/>
      </w:pPr>
    </w:p>
    <w:p>
      <w:pPr>
        <w:spacing w:before="0"/>
        <w:ind w:left="156" w:right="0" w:firstLine="0"/>
        <w:jc w:val="left"/>
        <w:rPr>
          <w:i/>
          <w:sz w:val="16"/>
        </w:rPr>
      </w:pPr>
      <w:r>
        <w:rPr>
          <w:w w:val="105"/>
          <w:sz w:val="16"/>
        </w:rPr>
        <w:t>Edward</w:t>
      </w:r>
      <w:r>
        <w:rPr>
          <w:spacing w:val="-10"/>
          <w:w w:val="105"/>
          <w:sz w:val="16"/>
        </w:rPr>
        <w:t> </w:t>
      </w:r>
      <w:r>
        <w:rPr>
          <w:w w:val="105"/>
          <w:sz w:val="16"/>
        </w:rPr>
        <w:t>A.</w:t>
      </w:r>
      <w:r>
        <w:rPr>
          <w:spacing w:val="-10"/>
          <w:w w:val="105"/>
          <w:sz w:val="16"/>
        </w:rPr>
        <w:t> </w:t>
      </w:r>
      <w:r>
        <w:rPr>
          <w:w w:val="105"/>
          <w:sz w:val="16"/>
        </w:rPr>
        <w:t>Schlesinger</w:t>
      </w:r>
      <w:r>
        <w:rPr>
          <w:spacing w:val="24"/>
          <w:w w:val="105"/>
          <w:sz w:val="16"/>
        </w:rPr>
        <w:t> </w:t>
      </w:r>
      <w:r>
        <w:rPr>
          <w:i/>
          <w:w w:val="105"/>
          <w:sz w:val="16"/>
        </w:rPr>
        <w:t>Senior</w:t>
      </w:r>
      <w:r>
        <w:rPr>
          <w:i/>
          <w:spacing w:val="-10"/>
          <w:w w:val="105"/>
          <w:sz w:val="16"/>
        </w:rPr>
        <w:t> </w:t>
      </w:r>
      <w:r>
        <w:rPr>
          <w:i/>
          <w:w w:val="105"/>
          <w:sz w:val="16"/>
        </w:rPr>
        <w:t>Vice</w:t>
      </w:r>
      <w:r>
        <w:rPr>
          <w:i/>
          <w:spacing w:val="-9"/>
          <w:w w:val="105"/>
          <w:sz w:val="16"/>
        </w:rPr>
        <w:t> </w:t>
      </w:r>
      <w:r>
        <w:rPr>
          <w:i/>
          <w:w w:val="105"/>
          <w:sz w:val="16"/>
        </w:rPr>
        <w:t>President</w:t>
      </w:r>
      <w:r>
        <w:rPr>
          <w:i/>
          <w:spacing w:val="-10"/>
          <w:w w:val="105"/>
          <w:sz w:val="16"/>
        </w:rPr>
        <w:t> </w:t>
      </w:r>
      <w:r>
        <w:rPr>
          <w:i/>
          <w:w w:val="105"/>
          <w:sz w:val="16"/>
        </w:rPr>
        <w:t>and</w:t>
      </w:r>
      <w:r>
        <w:rPr>
          <w:i/>
          <w:spacing w:val="-9"/>
          <w:w w:val="105"/>
          <w:sz w:val="16"/>
        </w:rPr>
        <w:t> </w:t>
      </w:r>
      <w:r>
        <w:rPr>
          <w:i/>
          <w:w w:val="105"/>
          <w:sz w:val="16"/>
        </w:rPr>
        <w:t>Corporate</w:t>
      </w:r>
      <w:r>
        <w:rPr>
          <w:i/>
          <w:spacing w:val="-10"/>
          <w:w w:val="105"/>
          <w:sz w:val="16"/>
        </w:rPr>
        <w:t> </w:t>
      </w:r>
      <w:r>
        <w:rPr>
          <w:i/>
          <w:spacing w:val="-2"/>
          <w:w w:val="105"/>
          <w:sz w:val="16"/>
        </w:rPr>
        <w:t>Controller</w:t>
      </w:r>
    </w:p>
    <w:p>
      <w:pPr>
        <w:pStyle w:val="BodyText"/>
        <w:spacing w:line="266" w:lineRule="auto" w:before="20"/>
        <w:ind w:left="156"/>
      </w:pPr>
      <w:r>
        <w:rPr>
          <w:w w:val="105"/>
        </w:rPr>
        <w:t>Mr.</w:t>
      </w:r>
      <w:r>
        <w:rPr>
          <w:spacing w:val="-8"/>
          <w:w w:val="105"/>
        </w:rPr>
        <w:t> </w:t>
      </w:r>
      <w:r>
        <w:rPr>
          <w:w w:val="105"/>
        </w:rPr>
        <w:t>Schlesinger</w:t>
      </w:r>
      <w:r>
        <w:rPr>
          <w:spacing w:val="-8"/>
          <w:w w:val="105"/>
        </w:rPr>
        <w:t> </w:t>
      </w:r>
      <w:r>
        <w:rPr>
          <w:w w:val="105"/>
        </w:rPr>
        <w:t>joined</w:t>
      </w:r>
      <w:r>
        <w:rPr>
          <w:spacing w:val="-8"/>
          <w:w w:val="105"/>
        </w:rPr>
        <w:t> </w:t>
      </w:r>
      <w:r>
        <w:rPr>
          <w:w w:val="105"/>
        </w:rPr>
        <w:t>Corning</w:t>
      </w:r>
      <w:r>
        <w:rPr>
          <w:spacing w:val="-8"/>
          <w:w w:val="105"/>
        </w:rPr>
        <w:t> </w:t>
      </w:r>
      <w:r>
        <w:rPr>
          <w:w w:val="105"/>
        </w:rPr>
        <w:t>in</w:t>
      </w:r>
      <w:r>
        <w:rPr>
          <w:spacing w:val="-8"/>
          <w:w w:val="105"/>
        </w:rPr>
        <w:t> </w:t>
      </w:r>
      <w:r>
        <w:rPr>
          <w:w w:val="105"/>
        </w:rPr>
        <w:t>2013</w:t>
      </w:r>
      <w:r>
        <w:rPr>
          <w:spacing w:val="-8"/>
          <w:w w:val="105"/>
        </w:rPr>
        <w:t> </w:t>
      </w:r>
      <w:r>
        <w:rPr>
          <w:w w:val="105"/>
        </w:rPr>
        <w:t>as</w:t>
      </w:r>
      <w:r>
        <w:rPr>
          <w:spacing w:val="-8"/>
          <w:w w:val="105"/>
        </w:rPr>
        <w:t> </w:t>
      </w:r>
      <w:r>
        <w:rPr>
          <w:w w:val="105"/>
        </w:rPr>
        <w:t>senior</w:t>
      </w:r>
      <w:r>
        <w:rPr>
          <w:spacing w:val="-8"/>
          <w:w w:val="105"/>
        </w:rPr>
        <w:t> </w:t>
      </w:r>
      <w:r>
        <w:rPr>
          <w:w w:val="105"/>
        </w:rPr>
        <w:t>vice</w:t>
      </w:r>
      <w:r>
        <w:rPr>
          <w:spacing w:val="-8"/>
          <w:w w:val="105"/>
        </w:rPr>
        <w:t> </w:t>
      </w:r>
      <w:r>
        <w:rPr>
          <w:w w:val="105"/>
        </w:rPr>
        <w:t>president</w:t>
      </w:r>
      <w:r>
        <w:rPr>
          <w:spacing w:val="-8"/>
          <w:w w:val="105"/>
        </w:rPr>
        <w:t> </w:t>
      </w:r>
      <w:r>
        <w:rPr>
          <w:w w:val="105"/>
        </w:rPr>
        <w:t>and</w:t>
      </w:r>
      <w:r>
        <w:rPr>
          <w:spacing w:val="-8"/>
          <w:w w:val="105"/>
        </w:rPr>
        <w:t> </w:t>
      </w:r>
      <w:r>
        <w:rPr>
          <w:w w:val="105"/>
        </w:rPr>
        <w:t>chief</w:t>
      </w:r>
      <w:r>
        <w:rPr>
          <w:spacing w:val="-8"/>
          <w:w w:val="105"/>
        </w:rPr>
        <w:t> </w:t>
      </w:r>
      <w:r>
        <w:rPr>
          <w:w w:val="105"/>
        </w:rPr>
        <w:t>financial</w:t>
      </w:r>
      <w:r>
        <w:rPr>
          <w:spacing w:val="-8"/>
          <w:w w:val="105"/>
        </w:rPr>
        <w:t> </w:t>
      </w:r>
      <w:r>
        <w:rPr>
          <w:w w:val="105"/>
        </w:rPr>
        <w:t>officer</w:t>
      </w:r>
      <w:r>
        <w:rPr>
          <w:spacing w:val="-8"/>
          <w:w w:val="105"/>
        </w:rPr>
        <w:t> </w:t>
      </w:r>
      <w:r>
        <w:rPr>
          <w:w w:val="105"/>
        </w:rPr>
        <w:t>of</w:t>
      </w:r>
      <w:r>
        <w:rPr>
          <w:spacing w:val="-8"/>
          <w:w w:val="105"/>
        </w:rPr>
        <w:t> </w:t>
      </w:r>
      <w:r>
        <w:rPr>
          <w:w w:val="105"/>
        </w:rPr>
        <w:t>Corning</w:t>
      </w:r>
      <w:r>
        <w:rPr>
          <w:spacing w:val="-8"/>
          <w:w w:val="105"/>
        </w:rPr>
        <w:t> </w:t>
      </w:r>
      <w:r>
        <w:rPr>
          <w:w w:val="105"/>
        </w:rPr>
        <w:t>Optical</w:t>
      </w:r>
      <w:r>
        <w:rPr>
          <w:spacing w:val="-8"/>
          <w:w w:val="105"/>
        </w:rPr>
        <w:t> </w:t>
      </w:r>
      <w:r>
        <w:rPr>
          <w:w w:val="105"/>
        </w:rPr>
        <w:t>Communications.</w:t>
      </w:r>
      <w:r>
        <w:rPr>
          <w:spacing w:val="26"/>
          <w:w w:val="105"/>
        </w:rPr>
        <w:t> </w:t>
      </w:r>
      <w:r>
        <w:rPr>
          <w:w w:val="105"/>
        </w:rPr>
        <w:t>He</w:t>
      </w:r>
      <w:r>
        <w:rPr>
          <w:spacing w:val="-8"/>
          <w:w w:val="105"/>
        </w:rPr>
        <w:t> </w:t>
      </w:r>
      <w:r>
        <w:rPr>
          <w:w w:val="105"/>
        </w:rPr>
        <w:t>was</w:t>
      </w:r>
      <w:r>
        <w:rPr>
          <w:spacing w:val="-8"/>
          <w:w w:val="105"/>
        </w:rPr>
        <w:t> </w:t>
      </w:r>
      <w:r>
        <w:rPr>
          <w:w w:val="105"/>
        </w:rPr>
        <w:t>elected</w:t>
      </w:r>
      <w:r>
        <w:rPr>
          <w:spacing w:val="-8"/>
          <w:w w:val="105"/>
        </w:rPr>
        <w:t> </w:t>
      </w:r>
      <w:r>
        <w:rPr>
          <w:w w:val="105"/>
        </w:rPr>
        <w:t>vice</w:t>
      </w:r>
      <w:r>
        <w:rPr>
          <w:spacing w:val="-8"/>
          <w:w w:val="105"/>
        </w:rPr>
        <w:t> </w:t>
      </w:r>
      <w:r>
        <w:rPr>
          <w:w w:val="105"/>
        </w:rPr>
        <w:t>president</w:t>
      </w:r>
      <w:r>
        <w:rPr>
          <w:spacing w:val="-8"/>
          <w:w w:val="105"/>
        </w:rPr>
        <w:t> </w:t>
      </w:r>
      <w:r>
        <w:rPr>
          <w:w w:val="105"/>
        </w:rPr>
        <w:t>and</w:t>
      </w:r>
      <w:r>
        <w:rPr>
          <w:spacing w:val="-8"/>
          <w:w w:val="105"/>
        </w:rPr>
        <w:t> </w:t>
      </w:r>
      <w:r>
        <w:rPr>
          <w:w w:val="105"/>
        </w:rPr>
        <w:t>corporate controller</w:t>
      </w:r>
      <w:r>
        <w:rPr>
          <w:spacing w:val="-1"/>
          <w:w w:val="105"/>
        </w:rPr>
        <w:t> </w:t>
      </w:r>
      <w:r>
        <w:rPr>
          <w:w w:val="105"/>
        </w:rPr>
        <w:t>in</w:t>
      </w:r>
      <w:r>
        <w:rPr>
          <w:spacing w:val="-1"/>
          <w:w w:val="105"/>
        </w:rPr>
        <w:t> </w:t>
      </w:r>
      <w:r>
        <w:rPr>
          <w:w w:val="105"/>
        </w:rPr>
        <w:t>September</w:t>
      </w:r>
      <w:r>
        <w:rPr>
          <w:spacing w:val="-1"/>
          <w:w w:val="105"/>
        </w:rPr>
        <w:t> </w:t>
      </w:r>
      <w:r>
        <w:rPr>
          <w:w w:val="105"/>
        </w:rPr>
        <w:t>2015</w:t>
      </w:r>
      <w:r>
        <w:rPr>
          <w:spacing w:val="-1"/>
          <w:w w:val="105"/>
        </w:rPr>
        <w:t> </w:t>
      </w:r>
      <w:r>
        <w:rPr>
          <w:w w:val="105"/>
        </w:rPr>
        <w:t>and</w:t>
      </w:r>
      <w:r>
        <w:rPr>
          <w:spacing w:val="-1"/>
          <w:w w:val="105"/>
        </w:rPr>
        <w:t> </w:t>
      </w:r>
      <w:r>
        <w:rPr>
          <w:w w:val="105"/>
        </w:rPr>
        <w:t>principal</w:t>
      </w:r>
      <w:r>
        <w:rPr>
          <w:spacing w:val="-1"/>
          <w:w w:val="105"/>
        </w:rPr>
        <w:t> </w:t>
      </w:r>
      <w:r>
        <w:rPr>
          <w:w w:val="105"/>
        </w:rPr>
        <w:t>accounting</w:t>
      </w:r>
      <w:r>
        <w:rPr>
          <w:spacing w:val="-1"/>
          <w:w w:val="105"/>
        </w:rPr>
        <w:t> </w:t>
      </w:r>
      <w:r>
        <w:rPr>
          <w:w w:val="105"/>
        </w:rPr>
        <w:t>officer</w:t>
      </w:r>
      <w:r>
        <w:rPr>
          <w:spacing w:val="-1"/>
          <w:w w:val="105"/>
        </w:rPr>
        <w:t> </w:t>
      </w:r>
      <w:r>
        <w:rPr>
          <w:w w:val="105"/>
        </w:rPr>
        <w:t>in</w:t>
      </w:r>
      <w:r>
        <w:rPr>
          <w:spacing w:val="-1"/>
          <w:w w:val="105"/>
        </w:rPr>
        <w:t> </w:t>
      </w:r>
      <w:r>
        <w:rPr>
          <w:w w:val="105"/>
        </w:rPr>
        <w:t>December</w:t>
      </w:r>
      <w:r>
        <w:rPr>
          <w:spacing w:val="-1"/>
          <w:w w:val="105"/>
        </w:rPr>
        <w:t> </w:t>
      </w:r>
      <w:r>
        <w:rPr>
          <w:w w:val="105"/>
        </w:rPr>
        <w:t>2015.</w:t>
      </w:r>
      <w:r>
        <w:rPr>
          <w:spacing w:val="-1"/>
          <w:w w:val="105"/>
        </w:rPr>
        <w:t> </w:t>
      </w:r>
      <w:r>
        <w:rPr>
          <w:w w:val="105"/>
        </w:rPr>
        <w:t>He</w:t>
      </w:r>
      <w:r>
        <w:rPr>
          <w:spacing w:val="-1"/>
          <w:w w:val="105"/>
        </w:rPr>
        <w:t> </w:t>
      </w:r>
      <w:r>
        <w:rPr>
          <w:w w:val="105"/>
        </w:rPr>
        <w:t>was</w:t>
      </w:r>
      <w:r>
        <w:rPr>
          <w:spacing w:val="-1"/>
          <w:w w:val="105"/>
        </w:rPr>
        <w:t> </w:t>
      </w:r>
      <w:r>
        <w:rPr>
          <w:w w:val="105"/>
        </w:rPr>
        <w:t>named</w:t>
      </w:r>
      <w:r>
        <w:rPr>
          <w:spacing w:val="-1"/>
          <w:w w:val="105"/>
        </w:rPr>
        <w:t> </w:t>
      </w:r>
      <w:r>
        <w:rPr>
          <w:w w:val="105"/>
        </w:rPr>
        <w:t>senior</w:t>
      </w:r>
      <w:r>
        <w:rPr>
          <w:spacing w:val="-1"/>
          <w:w w:val="105"/>
        </w:rPr>
        <w:t> </w:t>
      </w:r>
      <w:r>
        <w:rPr>
          <w:w w:val="105"/>
        </w:rPr>
        <w:t>vice</w:t>
      </w:r>
      <w:r>
        <w:rPr>
          <w:spacing w:val="-1"/>
          <w:w w:val="105"/>
        </w:rPr>
        <w:t> </w:t>
      </w:r>
      <w:r>
        <w:rPr>
          <w:w w:val="105"/>
        </w:rPr>
        <w:t>president in</w:t>
      </w:r>
      <w:r>
        <w:rPr>
          <w:spacing w:val="-1"/>
          <w:w w:val="105"/>
        </w:rPr>
        <w:t> </w:t>
      </w:r>
      <w:r>
        <w:rPr>
          <w:w w:val="105"/>
        </w:rPr>
        <w:t>February</w:t>
      </w:r>
      <w:r>
        <w:rPr>
          <w:spacing w:val="-1"/>
          <w:w w:val="105"/>
        </w:rPr>
        <w:t> </w:t>
      </w:r>
      <w:r>
        <w:rPr>
          <w:w w:val="105"/>
        </w:rPr>
        <w:t>2019.</w:t>
      </w:r>
      <w:r>
        <w:rPr>
          <w:spacing w:val="40"/>
          <w:w w:val="105"/>
        </w:rPr>
        <w:t> </w:t>
      </w:r>
      <w:r>
        <w:rPr>
          <w:w w:val="105"/>
        </w:rPr>
        <w:t>Prior</w:t>
      </w:r>
      <w:r>
        <w:rPr>
          <w:spacing w:val="-1"/>
          <w:w w:val="105"/>
        </w:rPr>
        <w:t> </w:t>
      </w:r>
      <w:r>
        <w:rPr>
          <w:w w:val="105"/>
        </w:rPr>
        <w:t>to</w:t>
      </w:r>
      <w:r>
        <w:rPr>
          <w:spacing w:val="-1"/>
          <w:w w:val="105"/>
        </w:rPr>
        <w:t> </w:t>
      </w:r>
      <w:r>
        <w:rPr>
          <w:w w:val="105"/>
        </w:rPr>
        <w:t>joining</w:t>
      </w:r>
      <w:r>
        <w:rPr>
          <w:spacing w:val="-1"/>
          <w:w w:val="105"/>
        </w:rPr>
        <w:t> </w:t>
      </w:r>
      <w:r>
        <w:rPr>
          <w:w w:val="105"/>
        </w:rPr>
        <w:t>Corning,</w:t>
      </w:r>
      <w:r>
        <w:rPr>
          <w:spacing w:val="-1"/>
          <w:w w:val="105"/>
        </w:rPr>
        <w:t> </w:t>
      </w:r>
      <w:r>
        <w:rPr>
          <w:w w:val="105"/>
        </w:rPr>
        <w:t>Mr.</w:t>
      </w:r>
    </w:p>
    <w:p>
      <w:pPr>
        <w:pStyle w:val="BodyText"/>
        <w:spacing w:line="266" w:lineRule="auto"/>
        <w:ind w:left="156"/>
      </w:pPr>
      <w:r>
        <w:rPr>
          <w:w w:val="105"/>
        </w:rPr>
        <w:t>Schlesinger</w:t>
      </w:r>
      <w:r>
        <w:rPr>
          <w:spacing w:val="-8"/>
          <w:w w:val="105"/>
        </w:rPr>
        <w:t> </w:t>
      </w:r>
      <w:r>
        <w:rPr>
          <w:w w:val="105"/>
        </w:rPr>
        <w:t>served</w:t>
      </w:r>
      <w:r>
        <w:rPr>
          <w:spacing w:val="-8"/>
          <w:w w:val="105"/>
        </w:rPr>
        <w:t> </w:t>
      </w:r>
      <w:r>
        <w:rPr>
          <w:w w:val="105"/>
        </w:rPr>
        <w:t>as</w:t>
      </w:r>
      <w:r>
        <w:rPr>
          <w:spacing w:val="-8"/>
          <w:w w:val="105"/>
        </w:rPr>
        <w:t> </w:t>
      </w:r>
      <w:r>
        <w:rPr>
          <w:w w:val="105"/>
        </w:rPr>
        <w:t>Vice</w:t>
      </w:r>
      <w:r>
        <w:rPr>
          <w:spacing w:val="-8"/>
          <w:w w:val="105"/>
        </w:rPr>
        <w:t> </w:t>
      </w:r>
      <w:r>
        <w:rPr>
          <w:w w:val="105"/>
        </w:rPr>
        <w:t>President,</w:t>
      </w:r>
      <w:r>
        <w:rPr>
          <w:spacing w:val="-8"/>
          <w:w w:val="105"/>
        </w:rPr>
        <w:t> </w:t>
      </w:r>
      <w:r>
        <w:rPr>
          <w:w w:val="105"/>
        </w:rPr>
        <w:t>Finance</w:t>
      </w:r>
      <w:r>
        <w:rPr>
          <w:spacing w:val="-8"/>
          <w:w w:val="105"/>
        </w:rPr>
        <w:t> </w:t>
      </w:r>
      <w:r>
        <w:rPr>
          <w:w w:val="105"/>
        </w:rPr>
        <w:t>and</w:t>
      </w:r>
      <w:r>
        <w:rPr>
          <w:spacing w:val="-8"/>
          <w:w w:val="105"/>
        </w:rPr>
        <w:t> </w:t>
      </w:r>
      <w:r>
        <w:rPr>
          <w:w w:val="105"/>
        </w:rPr>
        <w:t>Sector</w:t>
      </w:r>
      <w:r>
        <w:rPr>
          <w:spacing w:val="-8"/>
          <w:w w:val="105"/>
        </w:rPr>
        <w:t> </w:t>
      </w:r>
      <w:r>
        <w:rPr>
          <w:w w:val="105"/>
        </w:rPr>
        <w:t>Chief</w:t>
      </w:r>
      <w:r>
        <w:rPr>
          <w:spacing w:val="-8"/>
          <w:w w:val="105"/>
        </w:rPr>
        <w:t> </w:t>
      </w:r>
      <w:r>
        <w:rPr>
          <w:w w:val="105"/>
        </w:rPr>
        <w:t>Financial</w:t>
      </w:r>
      <w:r>
        <w:rPr>
          <w:spacing w:val="-8"/>
          <w:w w:val="105"/>
        </w:rPr>
        <w:t> </w:t>
      </w:r>
      <w:r>
        <w:rPr>
          <w:w w:val="105"/>
        </w:rPr>
        <w:t>Officer</w:t>
      </w:r>
      <w:r>
        <w:rPr>
          <w:spacing w:val="-8"/>
          <w:w w:val="105"/>
        </w:rPr>
        <w:t> </w:t>
      </w:r>
      <w:r>
        <w:rPr>
          <w:w w:val="105"/>
        </w:rPr>
        <w:t>for</w:t>
      </w:r>
      <w:r>
        <w:rPr>
          <w:spacing w:val="-8"/>
          <w:w w:val="105"/>
        </w:rPr>
        <w:t> </w:t>
      </w:r>
      <w:r>
        <w:rPr>
          <w:w w:val="105"/>
        </w:rPr>
        <w:t>the</w:t>
      </w:r>
      <w:r>
        <w:rPr>
          <w:spacing w:val="-8"/>
          <w:w w:val="105"/>
        </w:rPr>
        <w:t> </w:t>
      </w:r>
      <w:r>
        <w:rPr>
          <w:w w:val="105"/>
        </w:rPr>
        <w:t>Climate</w:t>
      </w:r>
      <w:r>
        <w:rPr>
          <w:spacing w:val="-8"/>
          <w:w w:val="105"/>
        </w:rPr>
        <w:t> </w:t>
      </w:r>
      <w:r>
        <w:rPr>
          <w:w w:val="105"/>
        </w:rPr>
        <w:t>Solutions</w:t>
      </w:r>
      <w:r>
        <w:rPr>
          <w:spacing w:val="-8"/>
          <w:w w:val="105"/>
        </w:rPr>
        <w:t> </w:t>
      </w:r>
      <w:r>
        <w:rPr>
          <w:w w:val="105"/>
        </w:rPr>
        <w:t>Sector</w:t>
      </w:r>
      <w:r>
        <w:rPr>
          <w:spacing w:val="-8"/>
          <w:w w:val="105"/>
        </w:rPr>
        <w:t> </w:t>
      </w:r>
      <w:r>
        <w:rPr>
          <w:w w:val="105"/>
        </w:rPr>
        <w:t>for</w:t>
      </w:r>
      <w:r>
        <w:rPr>
          <w:spacing w:val="-8"/>
          <w:w w:val="105"/>
        </w:rPr>
        <w:t> </w:t>
      </w:r>
      <w:r>
        <w:rPr>
          <w:w w:val="105"/>
        </w:rPr>
        <w:t>Ingersoll</w:t>
      </w:r>
      <w:r>
        <w:rPr>
          <w:spacing w:val="-8"/>
          <w:w w:val="105"/>
        </w:rPr>
        <w:t> </w:t>
      </w:r>
      <w:r>
        <w:rPr>
          <w:w w:val="105"/>
        </w:rPr>
        <w:t>Rand.</w:t>
      </w:r>
      <w:r>
        <w:rPr>
          <w:spacing w:val="26"/>
          <w:w w:val="105"/>
        </w:rPr>
        <w:t> </w:t>
      </w:r>
      <w:r>
        <w:rPr>
          <w:w w:val="105"/>
        </w:rPr>
        <w:t>Mr.</w:t>
      </w:r>
      <w:r>
        <w:rPr>
          <w:spacing w:val="-8"/>
          <w:w w:val="105"/>
        </w:rPr>
        <w:t> </w:t>
      </w:r>
      <w:r>
        <w:rPr>
          <w:w w:val="105"/>
        </w:rPr>
        <w:t>Schlesinger</w:t>
      </w:r>
      <w:r>
        <w:rPr>
          <w:spacing w:val="-8"/>
          <w:w w:val="105"/>
        </w:rPr>
        <w:t> </w:t>
      </w:r>
      <w:r>
        <w:rPr>
          <w:w w:val="105"/>
        </w:rPr>
        <w:t>has</w:t>
      </w:r>
      <w:r>
        <w:rPr>
          <w:spacing w:val="-8"/>
          <w:w w:val="105"/>
        </w:rPr>
        <w:t> </w:t>
      </w:r>
      <w:r>
        <w:rPr>
          <w:w w:val="105"/>
        </w:rPr>
        <w:t>a</w:t>
      </w:r>
      <w:r>
        <w:rPr>
          <w:spacing w:val="-8"/>
          <w:w w:val="105"/>
        </w:rPr>
        <w:t> </w:t>
      </w:r>
      <w:r>
        <w:rPr>
          <w:w w:val="105"/>
        </w:rPr>
        <w:t>financial</w:t>
      </w:r>
      <w:r>
        <w:rPr>
          <w:spacing w:val="-8"/>
          <w:w w:val="105"/>
        </w:rPr>
        <w:t> </w:t>
      </w:r>
      <w:r>
        <w:rPr>
          <w:w w:val="105"/>
        </w:rPr>
        <w:t>career that spans more than 20 years garnering extensive expertise in accounting, technical financial management and reporting.</w:t>
      </w:r>
      <w:r>
        <w:rPr>
          <w:spacing w:val="40"/>
          <w:w w:val="105"/>
        </w:rPr>
        <w:t> </w:t>
      </w:r>
      <w:r>
        <w:rPr>
          <w:w w:val="105"/>
        </w:rPr>
        <w:t>Age 54.</w:t>
      </w:r>
    </w:p>
    <w:p>
      <w:pPr>
        <w:pStyle w:val="BodyText"/>
        <w:spacing w:before="18"/>
      </w:pPr>
    </w:p>
    <w:p>
      <w:pPr>
        <w:pStyle w:val="BodyText"/>
        <w:spacing w:before="1"/>
        <w:ind w:left="156"/>
        <w:jc w:val="both"/>
      </w:pPr>
      <w:r>
        <w:rPr>
          <w:w w:val="105"/>
        </w:rPr>
        <w:t>On</w:t>
      </w:r>
      <w:r>
        <w:rPr>
          <w:spacing w:val="-10"/>
          <w:w w:val="105"/>
        </w:rPr>
        <w:t> </w:t>
      </w:r>
      <w:r>
        <w:rPr>
          <w:w w:val="105"/>
        </w:rPr>
        <w:t>December</w:t>
      </w:r>
      <w:r>
        <w:rPr>
          <w:spacing w:val="-10"/>
          <w:w w:val="105"/>
        </w:rPr>
        <w:t> </w:t>
      </w:r>
      <w:r>
        <w:rPr>
          <w:w w:val="105"/>
        </w:rPr>
        <w:t>7,</w:t>
      </w:r>
      <w:r>
        <w:rPr>
          <w:spacing w:val="-10"/>
          <w:w w:val="105"/>
        </w:rPr>
        <w:t> </w:t>
      </w:r>
      <w:r>
        <w:rPr>
          <w:w w:val="105"/>
        </w:rPr>
        <w:t>2021,</w:t>
      </w:r>
      <w:r>
        <w:rPr>
          <w:spacing w:val="-10"/>
          <w:w w:val="105"/>
        </w:rPr>
        <w:t> </w:t>
      </w:r>
      <w:r>
        <w:rPr>
          <w:w w:val="105"/>
        </w:rPr>
        <w:t>Corning's</w:t>
      </w:r>
      <w:r>
        <w:rPr>
          <w:spacing w:val="-10"/>
          <w:w w:val="105"/>
        </w:rPr>
        <w:t> </w:t>
      </w:r>
      <w:r>
        <w:rPr>
          <w:w w:val="105"/>
        </w:rPr>
        <w:t>Board</w:t>
      </w:r>
      <w:r>
        <w:rPr>
          <w:spacing w:val="-9"/>
          <w:w w:val="105"/>
        </w:rPr>
        <w:t> </w:t>
      </w:r>
      <w:r>
        <w:rPr>
          <w:w w:val="105"/>
        </w:rPr>
        <w:t>of</w:t>
      </w:r>
      <w:r>
        <w:rPr>
          <w:spacing w:val="-10"/>
          <w:w w:val="105"/>
        </w:rPr>
        <w:t> </w:t>
      </w:r>
      <w:r>
        <w:rPr>
          <w:w w:val="105"/>
        </w:rPr>
        <w:t>Directors</w:t>
      </w:r>
      <w:r>
        <w:rPr>
          <w:spacing w:val="-8"/>
          <w:w w:val="105"/>
        </w:rPr>
        <w:t> </w:t>
      </w:r>
      <w:r>
        <w:rPr>
          <w:w w:val="105"/>
        </w:rPr>
        <w:t>appointed</w:t>
      </w:r>
      <w:r>
        <w:rPr>
          <w:spacing w:val="-10"/>
          <w:w w:val="105"/>
        </w:rPr>
        <w:t> </w:t>
      </w:r>
      <w:r>
        <w:rPr>
          <w:w w:val="105"/>
        </w:rPr>
        <w:t>Mr.</w:t>
      </w:r>
      <w:r>
        <w:rPr>
          <w:spacing w:val="-10"/>
          <w:w w:val="105"/>
        </w:rPr>
        <w:t> </w:t>
      </w:r>
      <w:r>
        <w:rPr>
          <w:w w:val="105"/>
        </w:rPr>
        <w:t>Schlesinger</w:t>
      </w:r>
      <w:r>
        <w:rPr>
          <w:spacing w:val="-10"/>
          <w:w w:val="105"/>
        </w:rPr>
        <w:t> </w:t>
      </w:r>
      <w:r>
        <w:rPr>
          <w:w w:val="105"/>
        </w:rPr>
        <w:t>as</w:t>
      </w:r>
      <w:r>
        <w:rPr>
          <w:spacing w:val="-10"/>
          <w:w w:val="105"/>
        </w:rPr>
        <w:t> </w:t>
      </w:r>
      <w:r>
        <w:rPr>
          <w:w w:val="105"/>
        </w:rPr>
        <w:t>executive</w:t>
      </w:r>
      <w:r>
        <w:rPr>
          <w:spacing w:val="-10"/>
          <w:w w:val="105"/>
        </w:rPr>
        <w:t> </w:t>
      </w:r>
      <w:r>
        <w:rPr>
          <w:w w:val="105"/>
        </w:rPr>
        <w:t>vice</w:t>
      </w:r>
      <w:r>
        <w:rPr>
          <w:spacing w:val="-9"/>
          <w:w w:val="105"/>
        </w:rPr>
        <w:t> </w:t>
      </w:r>
      <w:r>
        <w:rPr>
          <w:w w:val="105"/>
        </w:rPr>
        <w:t>president</w:t>
      </w:r>
      <w:r>
        <w:rPr>
          <w:spacing w:val="-10"/>
          <w:w w:val="105"/>
        </w:rPr>
        <w:t> </w:t>
      </w:r>
      <w:r>
        <w:rPr>
          <w:w w:val="105"/>
        </w:rPr>
        <w:t>and</w:t>
      </w:r>
      <w:r>
        <w:rPr>
          <w:spacing w:val="-8"/>
          <w:w w:val="105"/>
        </w:rPr>
        <w:t> </w:t>
      </w:r>
      <w:r>
        <w:rPr>
          <w:w w:val="105"/>
        </w:rPr>
        <w:t>chief</w:t>
      </w:r>
      <w:r>
        <w:rPr>
          <w:spacing w:val="-10"/>
          <w:w w:val="105"/>
        </w:rPr>
        <w:t> </w:t>
      </w:r>
      <w:r>
        <w:rPr>
          <w:w w:val="105"/>
        </w:rPr>
        <w:t>financial</w:t>
      </w:r>
      <w:r>
        <w:rPr>
          <w:spacing w:val="-10"/>
          <w:w w:val="105"/>
        </w:rPr>
        <w:t> </w:t>
      </w:r>
      <w:r>
        <w:rPr>
          <w:w w:val="105"/>
        </w:rPr>
        <w:t>officer,</w:t>
      </w:r>
      <w:r>
        <w:rPr>
          <w:spacing w:val="-10"/>
          <w:w w:val="105"/>
        </w:rPr>
        <w:t> </w:t>
      </w:r>
      <w:r>
        <w:rPr>
          <w:w w:val="105"/>
        </w:rPr>
        <w:t>effective</w:t>
      </w:r>
      <w:r>
        <w:rPr>
          <w:spacing w:val="-10"/>
          <w:w w:val="105"/>
        </w:rPr>
        <w:t> </w:t>
      </w:r>
      <w:r>
        <w:rPr>
          <w:w w:val="105"/>
        </w:rPr>
        <w:t>February</w:t>
      </w:r>
      <w:r>
        <w:rPr>
          <w:spacing w:val="-10"/>
          <w:w w:val="105"/>
        </w:rPr>
        <w:t> </w:t>
      </w:r>
      <w:r>
        <w:rPr>
          <w:w w:val="105"/>
        </w:rPr>
        <w:t>18,</w:t>
      </w:r>
      <w:r>
        <w:rPr>
          <w:spacing w:val="-9"/>
          <w:w w:val="105"/>
        </w:rPr>
        <w:t> </w:t>
      </w:r>
      <w:r>
        <w:rPr>
          <w:spacing w:val="-2"/>
          <w:w w:val="105"/>
        </w:rPr>
        <w:t>2022.</w:t>
      </w:r>
    </w:p>
    <w:p>
      <w:pPr>
        <w:pStyle w:val="BodyText"/>
        <w:spacing w:before="39"/>
      </w:pPr>
    </w:p>
    <w:p>
      <w:pPr>
        <w:pStyle w:val="BodyText"/>
        <w:ind w:left="48"/>
        <w:jc w:val="center"/>
      </w:pPr>
      <w:r>
        <w:rPr>
          <w:spacing w:val="-5"/>
          <w:w w:val="105"/>
        </w:rPr>
        <w:t>12</w:t>
      </w:r>
    </w:p>
    <w:p>
      <w:pPr>
        <w:pStyle w:val="BodyText"/>
        <w:rPr>
          <w:sz w:val="6"/>
        </w:rPr>
      </w:pPr>
      <w:r>
        <w:rPr/>
        <mc:AlternateContent>
          <mc:Choice Requires="wps">
            <w:drawing>
              <wp:anchor distT="0" distB="0" distL="0" distR="0" allowOverlap="1" layoutInCell="1" locked="0" behindDoc="1" simplePos="0" relativeHeight="487595008">
                <wp:simplePos x="0" y="0"/>
                <wp:positionH relativeFrom="page">
                  <wp:posOffset>226488</wp:posOffset>
                </wp:positionH>
                <wp:positionV relativeFrom="paragraph">
                  <wp:posOffset>59051</wp:posOffset>
                </wp:positionV>
                <wp:extent cx="7312659" cy="1651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21472;mso-wrap-distance-left:0;mso-wrap-distance-right:0" id="docshape16"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spacing w:before="0"/>
        <w:ind w:left="156" w:right="0" w:firstLine="0"/>
        <w:jc w:val="left"/>
        <w:rPr>
          <w:i/>
          <w:sz w:val="16"/>
        </w:rPr>
      </w:pPr>
      <w:r>
        <w:rPr>
          <w:w w:val="105"/>
          <w:sz w:val="16"/>
        </w:rPr>
        <w:t>Lewis</w:t>
      </w:r>
      <w:r>
        <w:rPr>
          <w:spacing w:val="-9"/>
          <w:w w:val="105"/>
          <w:sz w:val="16"/>
        </w:rPr>
        <w:t> </w:t>
      </w:r>
      <w:r>
        <w:rPr>
          <w:w w:val="105"/>
          <w:sz w:val="16"/>
        </w:rPr>
        <w:t>A.</w:t>
      </w:r>
      <w:r>
        <w:rPr>
          <w:spacing w:val="-10"/>
          <w:w w:val="105"/>
          <w:sz w:val="16"/>
        </w:rPr>
        <w:t> </w:t>
      </w:r>
      <w:r>
        <w:rPr>
          <w:w w:val="105"/>
          <w:sz w:val="16"/>
        </w:rPr>
        <w:t>Steverson</w:t>
      </w:r>
      <w:r>
        <w:rPr>
          <w:spacing w:val="25"/>
          <w:w w:val="105"/>
          <w:sz w:val="16"/>
        </w:rPr>
        <w:t> </w:t>
      </w:r>
      <w:r>
        <w:rPr>
          <w:i/>
          <w:w w:val="105"/>
          <w:sz w:val="16"/>
        </w:rPr>
        <w:t>Executive</w:t>
      </w:r>
      <w:r>
        <w:rPr>
          <w:i/>
          <w:spacing w:val="-9"/>
          <w:w w:val="105"/>
          <w:sz w:val="16"/>
        </w:rPr>
        <w:t> </w:t>
      </w:r>
      <w:r>
        <w:rPr>
          <w:i/>
          <w:w w:val="105"/>
          <w:sz w:val="16"/>
        </w:rPr>
        <w:t>Vice</w:t>
      </w:r>
      <w:r>
        <w:rPr>
          <w:i/>
          <w:spacing w:val="-9"/>
          <w:w w:val="105"/>
          <w:sz w:val="16"/>
        </w:rPr>
        <w:t> </w:t>
      </w:r>
      <w:r>
        <w:rPr>
          <w:i/>
          <w:w w:val="105"/>
          <w:sz w:val="16"/>
        </w:rPr>
        <w:t>President</w:t>
      </w:r>
      <w:r>
        <w:rPr>
          <w:i/>
          <w:spacing w:val="-9"/>
          <w:w w:val="105"/>
          <w:sz w:val="16"/>
        </w:rPr>
        <w:t> </w:t>
      </w:r>
      <w:r>
        <w:rPr>
          <w:i/>
          <w:w w:val="105"/>
          <w:sz w:val="16"/>
        </w:rPr>
        <w:t>and</w:t>
      </w:r>
      <w:r>
        <w:rPr>
          <w:i/>
          <w:spacing w:val="-9"/>
          <w:w w:val="105"/>
          <w:sz w:val="16"/>
        </w:rPr>
        <w:t> </w:t>
      </w:r>
      <w:r>
        <w:rPr>
          <w:i/>
          <w:w w:val="105"/>
          <w:sz w:val="16"/>
        </w:rPr>
        <w:t>Chief</w:t>
      </w:r>
      <w:r>
        <w:rPr>
          <w:i/>
          <w:spacing w:val="-9"/>
          <w:w w:val="105"/>
          <w:sz w:val="16"/>
        </w:rPr>
        <w:t> </w:t>
      </w:r>
      <w:r>
        <w:rPr>
          <w:i/>
          <w:w w:val="105"/>
          <w:sz w:val="16"/>
        </w:rPr>
        <w:t>Legal</w:t>
      </w:r>
      <w:r>
        <w:rPr>
          <w:i/>
          <w:spacing w:val="-9"/>
          <w:w w:val="105"/>
          <w:sz w:val="16"/>
        </w:rPr>
        <w:t> </w:t>
      </w:r>
      <w:r>
        <w:rPr>
          <w:i/>
          <w:w w:val="105"/>
          <w:sz w:val="16"/>
        </w:rPr>
        <w:t>&amp;</w:t>
      </w:r>
      <w:r>
        <w:rPr>
          <w:i/>
          <w:spacing w:val="-9"/>
          <w:w w:val="105"/>
          <w:sz w:val="16"/>
        </w:rPr>
        <w:t> </w:t>
      </w:r>
      <w:r>
        <w:rPr>
          <w:i/>
          <w:w w:val="105"/>
          <w:sz w:val="16"/>
        </w:rPr>
        <w:t>Administrative</w:t>
      </w:r>
      <w:r>
        <w:rPr>
          <w:i/>
          <w:spacing w:val="-9"/>
          <w:w w:val="105"/>
          <w:sz w:val="16"/>
        </w:rPr>
        <w:t> </w:t>
      </w:r>
      <w:r>
        <w:rPr>
          <w:i/>
          <w:spacing w:val="-2"/>
          <w:w w:val="105"/>
          <w:sz w:val="16"/>
        </w:rPr>
        <w:t>Officer</w:t>
      </w:r>
    </w:p>
    <w:p>
      <w:pPr>
        <w:pStyle w:val="BodyText"/>
        <w:spacing w:line="266" w:lineRule="auto" w:before="20"/>
        <w:ind w:left="156" w:right="228"/>
      </w:pPr>
      <w:r>
        <w:rPr>
          <w:w w:val="105"/>
        </w:rPr>
        <w:t>Mr.</w:t>
      </w:r>
      <w:r>
        <w:rPr>
          <w:spacing w:val="-2"/>
          <w:w w:val="105"/>
        </w:rPr>
        <w:t> </w:t>
      </w:r>
      <w:r>
        <w:rPr>
          <w:w w:val="105"/>
        </w:rPr>
        <w:t>Steverson</w:t>
      </w:r>
      <w:r>
        <w:rPr>
          <w:spacing w:val="-2"/>
          <w:w w:val="105"/>
        </w:rPr>
        <w:t> </w:t>
      </w:r>
      <w:r>
        <w:rPr>
          <w:w w:val="105"/>
        </w:rPr>
        <w:t>joined</w:t>
      </w:r>
      <w:r>
        <w:rPr>
          <w:spacing w:val="-2"/>
          <w:w w:val="105"/>
        </w:rPr>
        <w:t> </w:t>
      </w:r>
      <w:r>
        <w:rPr>
          <w:w w:val="105"/>
        </w:rPr>
        <w:t>Corning</w:t>
      </w:r>
      <w:r>
        <w:rPr>
          <w:spacing w:val="-2"/>
          <w:w w:val="105"/>
        </w:rPr>
        <w:t> </w:t>
      </w:r>
      <w:r>
        <w:rPr>
          <w:w w:val="105"/>
        </w:rPr>
        <w:t>in</w:t>
      </w:r>
      <w:r>
        <w:rPr>
          <w:spacing w:val="-2"/>
          <w:w w:val="105"/>
        </w:rPr>
        <w:t> </w:t>
      </w:r>
      <w:r>
        <w:rPr>
          <w:w w:val="105"/>
        </w:rPr>
        <w:t>2013</w:t>
      </w:r>
      <w:r>
        <w:rPr>
          <w:spacing w:val="-2"/>
          <w:w w:val="105"/>
        </w:rPr>
        <w:t> </w:t>
      </w:r>
      <w:r>
        <w:rPr>
          <w:w w:val="105"/>
        </w:rPr>
        <w:t>as</w:t>
      </w:r>
      <w:r>
        <w:rPr>
          <w:spacing w:val="-2"/>
          <w:w w:val="105"/>
        </w:rPr>
        <w:t> </w:t>
      </w:r>
      <w:r>
        <w:rPr>
          <w:w w:val="105"/>
        </w:rPr>
        <w:t>senior</w:t>
      </w:r>
      <w:r>
        <w:rPr>
          <w:spacing w:val="-2"/>
          <w:w w:val="105"/>
        </w:rPr>
        <w:t> </w:t>
      </w:r>
      <w:r>
        <w:rPr>
          <w:w w:val="105"/>
        </w:rPr>
        <w:t>vice</w:t>
      </w:r>
      <w:r>
        <w:rPr>
          <w:spacing w:val="-2"/>
          <w:w w:val="105"/>
        </w:rPr>
        <w:t> </w:t>
      </w:r>
      <w:r>
        <w:rPr>
          <w:w w:val="105"/>
        </w:rPr>
        <w:t>president</w:t>
      </w:r>
      <w:r>
        <w:rPr>
          <w:spacing w:val="-2"/>
          <w:w w:val="105"/>
        </w:rPr>
        <w:t> </w:t>
      </w:r>
      <w:r>
        <w:rPr>
          <w:w w:val="105"/>
        </w:rPr>
        <w:t>and</w:t>
      </w:r>
      <w:r>
        <w:rPr>
          <w:spacing w:val="-2"/>
          <w:w w:val="105"/>
        </w:rPr>
        <w:t> </w:t>
      </w:r>
      <w:r>
        <w:rPr>
          <w:w w:val="105"/>
        </w:rPr>
        <w:t>general</w:t>
      </w:r>
      <w:r>
        <w:rPr>
          <w:spacing w:val="-2"/>
          <w:w w:val="105"/>
        </w:rPr>
        <w:t> </w:t>
      </w:r>
      <w:r>
        <w:rPr>
          <w:w w:val="105"/>
        </w:rPr>
        <w:t>counsel.</w:t>
      </w:r>
      <w:r>
        <w:rPr>
          <w:spacing w:val="39"/>
          <w:w w:val="105"/>
        </w:rPr>
        <w:t> </w:t>
      </w:r>
      <w:r>
        <w:rPr>
          <w:w w:val="105"/>
        </w:rPr>
        <w:t>In</w:t>
      </w:r>
      <w:r>
        <w:rPr>
          <w:spacing w:val="-2"/>
          <w:w w:val="105"/>
        </w:rPr>
        <w:t> </w:t>
      </w:r>
      <w:r>
        <w:rPr>
          <w:w w:val="105"/>
        </w:rPr>
        <w:t>2018</w:t>
      </w:r>
      <w:r>
        <w:rPr>
          <w:spacing w:val="-2"/>
          <w:w w:val="105"/>
        </w:rPr>
        <w:t> </w:t>
      </w:r>
      <w:r>
        <w:rPr>
          <w:w w:val="105"/>
        </w:rPr>
        <w:t>he</w:t>
      </w:r>
      <w:r>
        <w:rPr>
          <w:spacing w:val="-2"/>
          <w:w w:val="105"/>
        </w:rPr>
        <w:t> </w:t>
      </w:r>
      <w:r>
        <w:rPr>
          <w:w w:val="105"/>
        </w:rPr>
        <w:t>was</w:t>
      </w:r>
      <w:r>
        <w:rPr>
          <w:spacing w:val="-2"/>
          <w:w w:val="105"/>
        </w:rPr>
        <w:t> </w:t>
      </w:r>
      <w:r>
        <w:rPr>
          <w:w w:val="105"/>
        </w:rPr>
        <w:t>named</w:t>
      </w:r>
      <w:r>
        <w:rPr>
          <w:spacing w:val="-2"/>
          <w:w w:val="105"/>
        </w:rPr>
        <w:t> </w:t>
      </w:r>
      <w:r>
        <w:rPr>
          <w:w w:val="105"/>
        </w:rPr>
        <w:t>executive</w:t>
      </w:r>
      <w:r>
        <w:rPr>
          <w:spacing w:val="-2"/>
          <w:w w:val="105"/>
        </w:rPr>
        <w:t> </w:t>
      </w:r>
      <w:r>
        <w:rPr>
          <w:w w:val="105"/>
        </w:rPr>
        <w:t>vice</w:t>
      </w:r>
      <w:r>
        <w:rPr>
          <w:spacing w:val="-2"/>
          <w:w w:val="105"/>
        </w:rPr>
        <w:t> </w:t>
      </w:r>
      <w:r>
        <w:rPr>
          <w:w w:val="105"/>
        </w:rPr>
        <w:t>president</w:t>
      </w:r>
      <w:r>
        <w:rPr>
          <w:spacing w:val="-2"/>
          <w:w w:val="105"/>
        </w:rPr>
        <w:t> </w:t>
      </w:r>
      <w:r>
        <w:rPr>
          <w:w w:val="105"/>
        </w:rPr>
        <w:t>and</w:t>
      </w:r>
      <w:r>
        <w:rPr>
          <w:spacing w:val="-2"/>
          <w:w w:val="105"/>
        </w:rPr>
        <w:t> </w:t>
      </w:r>
      <w:r>
        <w:rPr>
          <w:w w:val="105"/>
        </w:rPr>
        <w:t>general</w:t>
      </w:r>
      <w:r>
        <w:rPr>
          <w:spacing w:val="-2"/>
          <w:w w:val="105"/>
        </w:rPr>
        <w:t> </w:t>
      </w:r>
      <w:r>
        <w:rPr>
          <w:w w:val="105"/>
        </w:rPr>
        <w:t>counsel.</w:t>
      </w:r>
      <w:r>
        <w:rPr>
          <w:spacing w:val="-2"/>
          <w:w w:val="105"/>
        </w:rPr>
        <w:t> </w:t>
      </w:r>
      <w:r>
        <w:rPr>
          <w:w w:val="105"/>
        </w:rPr>
        <w:t>Prior</w:t>
      </w:r>
      <w:r>
        <w:rPr>
          <w:spacing w:val="-2"/>
          <w:w w:val="105"/>
        </w:rPr>
        <w:t> </w:t>
      </w:r>
      <w:r>
        <w:rPr>
          <w:w w:val="105"/>
        </w:rPr>
        <w:t>to</w:t>
      </w:r>
      <w:r>
        <w:rPr>
          <w:spacing w:val="-2"/>
          <w:w w:val="105"/>
        </w:rPr>
        <w:t> </w:t>
      </w:r>
      <w:r>
        <w:rPr>
          <w:w w:val="105"/>
        </w:rPr>
        <w:t>joining Corning,</w:t>
      </w:r>
      <w:r>
        <w:rPr>
          <w:spacing w:val="-6"/>
          <w:w w:val="105"/>
        </w:rPr>
        <w:t> </w:t>
      </w:r>
      <w:r>
        <w:rPr>
          <w:w w:val="105"/>
        </w:rPr>
        <w:t>Mr.</w:t>
      </w:r>
      <w:r>
        <w:rPr>
          <w:spacing w:val="-6"/>
          <w:w w:val="105"/>
        </w:rPr>
        <w:t> </w:t>
      </w:r>
      <w:r>
        <w:rPr>
          <w:w w:val="105"/>
        </w:rPr>
        <w:t>Steverson</w:t>
      </w:r>
      <w:r>
        <w:rPr>
          <w:spacing w:val="-6"/>
          <w:w w:val="105"/>
        </w:rPr>
        <w:t> </w:t>
      </w:r>
      <w:r>
        <w:rPr>
          <w:w w:val="105"/>
        </w:rPr>
        <w:t>served</w:t>
      </w:r>
      <w:r>
        <w:rPr>
          <w:spacing w:val="-6"/>
          <w:w w:val="105"/>
        </w:rPr>
        <w:t> </w:t>
      </w:r>
      <w:r>
        <w:rPr>
          <w:w w:val="105"/>
        </w:rPr>
        <w:t>as</w:t>
      </w:r>
      <w:r>
        <w:rPr>
          <w:spacing w:val="-6"/>
          <w:w w:val="105"/>
        </w:rPr>
        <w:t> </w:t>
      </w:r>
      <w:r>
        <w:rPr>
          <w:w w:val="105"/>
        </w:rPr>
        <w:t>senior</w:t>
      </w:r>
      <w:r>
        <w:rPr>
          <w:spacing w:val="-6"/>
          <w:w w:val="105"/>
        </w:rPr>
        <w:t> </w:t>
      </w:r>
      <w:r>
        <w:rPr>
          <w:w w:val="105"/>
        </w:rPr>
        <w:t>vice</w:t>
      </w:r>
      <w:r>
        <w:rPr>
          <w:spacing w:val="-6"/>
          <w:w w:val="105"/>
        </w:rPr>
        <w:t> </w:t>
      </w:r>
      <w:r>
        <w:rPr>
          <w:w w:val="105"/>
        </w:rPr>
        <w:t>president,</w:t>
      </w:r>
      <w:r>
        <w:rPr>
          <w:spacing w:val="-6"/>
          <w:w w:val="105"/>
        </w:rPr>
        <w:t> </w:t>
      </w:r>
      <w:r>
        <w:rPr>
          <w:w w:val="105"/>
        </w:rPr>
        <w:t>general</w:t>
      </w:r>
      <w:r>
        <w:rPr>
          <w:spacing w:val="-4"/>
          <w:w w:val="105"/>
        </w:rPr>
        <w:t> </w:t>
      </w:r>
      <w:r>
        <w:rPr>
          <w:w w:val="105"/>
        </w:rPr>
        <w:t>counsel,</w:t>
      </w:r>
      <w:r>
        <w:rPr>
          <w:spacing w:val="-6"/>
          <w:w w:val="105"/>
        </w:rPr>
        <w:t> </w:t>
      </w:r>
      <w:r>
        <w:rPr>
          <w:w w:val="105"/>
        </w:rPr>
        <w:t>and</w:t>
      </w:r>
      <w:r>
        <w:rPr>
          <w:spacing w:val="-6"/>
          <w:w w:val="105"/>
        </w:rPr>
        <w:t> </w:t>
      </w:r>
      <w:r>
        <w:rPr>
          <w:w w:val="105"/>
        </w:rPr>
        <w:t>corporate</w:t>
      </w:r>
      <w:r>
        <w:rPr>
          <w:spacing w:val="-6"/>
          <w:w w:val="105"/>
        </w:rPr>
        <w:t> </w:t>
      </w:r>
      <w:r>
        <w:rPr>
          <w:w w:val="105"/>
        </w:rPr>
        <w:t>secretary</w:t>
      </w:r>
      <w:r>
        <w:rPr>
          <w:spacing w:val="-6"/>
          <w:w w:val="105"/>
        </w:rPr>
        <w:t> </w:t>
      </w:r>
      <w:r>
        <w:rPr>
          <w:w w:val="105"/>
        </w:rPr>
        <w:t>of</w:t>
      </w:r>
      <w:r>
        <w:rPr>
          <w:spacing w:val="-6"/>
          <w:w w:val="105"/>
        </w:rPr>
        <w:t> </w:t>
      </w:r>
      <w:r>
        <w:rPr>
          <w:w w:val="105"/>
        </w:rPr>
        <w:t>Motorola</w:t>
      </w:r>
      <w:r>
        <w:rPr>
          <w:spacing w:val="-6"/>
          <w:w w:val="105"/>
        </w:rPr>
        <w:t> </w:t>
      </w:r>
      <w:r>
        <w:rPr>
          <w:w w:val="105"/>
        </w:rPr>
        <w:t>Solutions,</w:t>
      </w:r>
      <w:r>
        <w:rPr>
          <w:spacing w:val="-6"/>
          <w:w w:val="105"/>
        </w:rPr>
        <w:t> </w:t>
      </w:r>
      <w:r>
        <w:rPr>
          <w:w w:val="105"/>
        </w:rPr>
        <w:t>Inc.</w:t>
      </w:r>
      <w:r>
        <w:rPr>
          <w:spacing w:val="31"/>
          <w:w w:val="105"/>
        </w:rPr>
        <w:t> </w:t>
      </w:r>
      <w:r>
        <w:rPr>
          <w:w w:val="105"/>
        </w:rPr>
        <w:t>During</w:t>
      </w:r>
      <w:r>
        <w:rPr>
          <w:spacing w:val="-6"/>
          <w:w w:val="105"/>
        </w:rPr>
        <w:t> </w:t>
      </w:r>
      <w:r>
        <w:rPr>
          <w:w w:val="105"/>
        </w:rPr>
        <w:t>his</w:t>
      </w:r>
      <w:r>
        <w:rPr>
          <w:spacing w:val="-6"/>
          <w:w w:val="105"/>
        </w:rPr>
        <w:t> </w:t>
      </w:r>
      <w:r>
        <w:rPr>
          <w:w w:val="105"/>
        </w:rPr>
        <w:t>18</w:t>
      </w:r>
      <w:r>
        <w:rPr>
          <w:spacing w:val="-6"/>
          <w:w w:val="105"/>
        </w:rPr>
        <w:t> </w:t>
      </w:r>
      <w:r>
        <w:rPr>
          <w:w w:val="105"/>
        </w:rPr>
        <w:t>years</w:t>
      </w:r>
      <w:r>
        <w:rPr>
          <w:spacing w:val="-6"/>
          <w:w w:val="105"/>
        </w:rPr>
        <w:t> </w:t>
      </w:r>
      <w:r>
        <w:rPr>
          <w:w w:val="105"/>
        </w:rPr>
        <w:t>with</w:t>
      </w:r>
      <w:r>
        <w:rPr>
          <w:spacing w:val="-6"/>
          <w:w w:val="105"/>
        </w:rPr>
        <w:t> </w:t>
      </w:r>
      <w:r>
        <w:rPr>
          <w:w w:val="105"/>
        </w:rPr>
        <w:t>Motorola,</w:t>
      </w:r>
      <w:r>
        <w:rPr>
          <w:spacing w:val="-6"/>
          <w:w w:val="105"/>
        </w:rPr>
        <w:t> </w:t>
      </w:r>
      <w:r>
        <w:rPr>
          <w:w w:val="105"/>
        </w:rPr>
        <w:t>he</w:t>
      </w:r>
      <w:r>
        <w:rPr>
          <w:spacing w:val="-6"/>
          <w:w w:val="105"/>
        </w:rPr>
        <w:t> </w:t>
      </w:r>
      <w:r>
        <w:rPr>
          <w:w w:val="105"/>
        </w:rPr>
        <w:t>held</w:t>
      </w:r>
      <w:r>
        <w:rPr>
          <w:spacing w:val="-6"/>
          <w:w w:val="105"/>
        </w:rPr>
        <w:t> </w:t>
      </w:r>
      <w:r>
        <w:rPr>
          <w:w w:val="105"/>
        </w:rPr>
        <w:t>a variety</w:t>
      </w:r>
      <w:r>
        <w:rPr>
          <w:spacing w:val="-7"/>
          <w:w w:val="105"/>
        </w:rPr>
        <w:t> </w:t>
      </w:r>
      <w:r>
        <w:rPr>
          <w:w w:val="105"/>
        </w:rPr>
        <w:t>of</w:t>
      </w:r>
      <w:r>
        <w:rPr>
          <w:spacing w:val="-7"/>
          <w:w w:val="105"/>
        </w:rPr>
        <w:t> </w:t>
      </w:r>
      <w:r>
        <w:rPr>
          <w:w w:val="105"/>
        </w:rPr>
        <w:t>law</w:t>
      </w:r>
      <w:r>
        <w:rPr>
          <w:spacing w:val="-7"/>
          <w:w w:val="105"/>
        </w:rPr>
        <w:t> </w:t>
      </w:r>
      <w:r>
        <w:rPr>
          <w:w w:val="105"/>
        </w:rPr>
        <w:t>leadership</w:t>
      </w:r>
      <w:r>
        <w:rPr>
          <w:spacing w:val="-7"/>
          <w:w w:val="105"/>
        </w:rPr>
        <w:t> </w:t>
      </w:r>
      <w:r>
        <w:rPr>
          <w:w w:val="105"/>
        </w:rPr>
        <w:t>roles</w:t>
      </w:r>
      <w:r>
        <w:rPr>
          <w:spacing w:val="-7"/>
          <w:w w:val="105"/>
        </w:rPr>
        <w:t> </w:t>
      </w:r>
      <w:r>
        <w:rPr>
          <w:w w:val="105"/>
        </w:rPr>
        <w:t>across</w:t>
      </w:r>
      <w:r>
        <w:rPr>
          <w:spacing w:val="-7"/>
          <w:w w:val="105"/>
        </w:rPr>
        <w:t> </w:t>
      </w:r>
      <w:r>
        <w:rPr>
          <w:w w:val="105"/>
        </w:rPr>
        <w:t>the</w:t>
      </w:r>
      <w:r>
        <w:rPr>
          <w:spacing w:val="-7"/>
          <w:w w:val="105"/>
        </w:rPr>
        <w:t> </w:t>
      </w:r>
      <w:r>
        <w:rPr>
          <w:w w:val="105"/>
        </w:rPr>
        <w:t>company’s</w:t>
      </w:r>
      <w:r>
        <w:rPr>
          <w:spacing w:val="-7"/>
          <w:w w:val="105"/>
        </w:rPr>
        <w:t> </w:t>
      </w:r>
      <w:r>
        <w:rPr>
          <w:w w:val="105"/>
        </w:rPr>
        <w:t>numerous</w:t>
      </w:r>
      <w:r>
        <w:rPr>
          <w:spacing w:val="-7"/>
          <w:w w:val="105"/>
        </w:rPr>
        <w:t> </w:t>
      </w:r>
      <w:r>
        <w:rPr>
          <w:w w:val="105"/>
        </w:rPr>
        <w:t>business</w:t>
      </w:r>
      <w:r>
        <w:rPr>
          <w:spacing w:val="-7"/>
          <w:w w:val="105"/>
        </w:rPr>
        <w:t> </w:t>
      </w:r>
      <w:r>
        <w:rPr>
          <w:w w:val="105"/>
        </w:rPr>
        <w:t>units.</w:t>
      </w:r>
      <w:r>
        <w:rPr>
          <w:spacing w:val="28"/>
          <w:w w:val="105"/>
        </w:rPr>
        <w:t> </w:t>
      </w:r>
      <w:r>
        <w:rPr>
          <w:w w:val="105"/>
        </w:rPr>
        <w:t>Prior</w:t>
      </w:r>
      <w:r>
        <w:rPr>
          <w:spacing w:val="-7"/>
          <w:w w:val="105"/>
        </w:rPr>
        <w:t> </w:t>
      </w:r>
      <w:r>
        <w:rPr>
          <w:w w:val="105"/>
        </w:rPr>
        <w:t>to</w:t>
      </w:r>
      <w:r>
        <w:rPr>
          <w:spacing w:val="-7"/>
          <w:w w:val="105"/>
        </w:rPr>
        <w:t> </w:t>
      </w:r>
      <w:r>
        <w:rPr>
          <w:w w:val="105"/>
        </w:rPr>
        <w:t>Motorola,</w:t>
      </w:r>
      <w:r>
        <w:rPr>
          <w:spacing w:val="-7"/>
          <w:w w:val="105"/>
        </w:rPr>
        <w:t> </w:t>
      </w:r>
      <w:r>
        <w:rPr>
          <w:w w:val="105"/>
        </w:rPr>
        <w:t>Mr.</w:t>
      </w:r>
      <w:r>
        <w:rPr>
          <w:spacing w:val="-7"/>
          <w:w w:val="105"/>
        </w:rPr>
        <w:t> </w:t>
      </w:r>
      <w:r>
        <w:rPr>
          <w:w w:val="105"/>
        </w:rPr>
        <w:t>Steverson</w:t>
      </w:r>
      <w:r>
        <w:rPr>
          <w:spacing w:val="-7"/>
          <w:w w:val="105"/>
        </w:rPr>
        <w:t> </w:t>
      </w:r>
      <w:r>
        <w:rPr>
          <w:w w:val="105"/>
        </w:rPr>
        <w:t>was</w:t>
      </w:r>
      <w:r>
        <w:rPr>
          <w:spacing w:val="-7"/>
          <w:w w:val="105"/>
        </w:rPr>
        <w:t> </w:t>
      </w:r>
      <w:r>
        <w:rPr>
          <w:w w:val="105"/>
        </w:rPr>
        <w:t>in</w:t>
      </w:r>
      <w:r>
        <w:rPr>
          <w:spacing w:val="-7"/>
          <w:w w:val="105"/>
        </w:rPr>
        <w:t> </w:t>
      </w:r>
      <w:r>
        <w:rPr>
          <w:w w:val="105"/>
        </w:rPr>
        <w:t>private</w:t>
      </w:r>
      <w:r>
        <w:rPr>
          <w:spacing w:val="-7"/>
          <w:w w:val="105"/>
        </w:rPr>
        <w:t> </w:t>
      </w:r>
      <w:r>
        <w:rPr>
          <w:w w:val="105"/>
        </w:rPr>
        <w:t>practice</w:t>
      </w:r>
      <w:r>
        <w:rPr>
          <w:spacing w:val="-7"/>
          <w:w w:val="105"/>
        </w:rPr>
        <w:t> </w:t>
      </w:r>
      <w:r>
        <w:rPr>
          <w:w w:val="105"/>
        </w:rPr>
        <w:t>at</w:t>
      </w:r>
      <w:r>
        <w:rPr>
          <w:spacing w:val="-7"/>
          <w:w w:val="105"/>
        </w:rPr>
        <w:t> </w:t>
      </w:r>
      <w:r>
        <w:rPr>
          <w:w w:val="105"/>
        </w:rPr>
        <w:t>the</w:t>
      </w:r>
      <w:r>
        <w:rPr>
          <w:spacing w:val="-7"/>
          <w:w w:val="105"/>
        </w:rPr>
        <w:t> </w:t>
      </w:r>
      <w:r>
        <w:rPr>
          <w:w w:val="105"/>
        </w:rPr>
        <w:t>law</w:t>
      </w:r>
      <w:r>
        <w:rPr>
          <w:spacing w:val="-7"/>
          <w:w w:val="105"/>
        </w:rPr>
        <w:t> </w:t>
      </w:r>
      <w:r>
        <w:rPr>
          <w:w w:val="105"/>
        </w:rPr>
        <w:t>firm</w:t>
      </w:r>
      <w:r>
        <w:rPr>
          <w:spacing w:val="-7"/>
          <w:w w:val="105"/>
        </w:rPr>
        <w:t> </w:t>
      </w:r>
      <w:r>
        <w:rPr>
          <w:w w:val="105"/>
        </w:rPr>
        <w:t>of</w:t>
      </w:r>
      <w:r>
        <w:rPr>
          <w:spacing w:val="-7"/>
          <w:w w:val="105"/>
        </w:rPr>
        <w:t> </w:t>
      </w:r>
      <w:r>
        <w:rPr>
          <w:w w:val="105"/>
        </w:rPr>
        <w:t>Arnold</w:t>
      </w:r>
      <w:r>
        <w:rPr>
          <w:spacing w:val="-7"/>
          <w:w w:val="105"/>
        </w:rPr>
        <w:t> </w:t>
      </w:r>
      <w:r>
        <w:rPr>
          <w:w w:val="105"/>
        </w:rPr>
        <w:t>&amp;</w:t>
      </w:r>
      <w:r>
        <w:rPr>
          <w:spacing w:val="-7"/>
          <w:w w:val="105"/>
        </w:rPr>
        <w:t> </w:t>
      </w:r>
      <w:r>
        <w:rPr>
          <w:w w:val="105"/>
        </w:rPr>
        <w:t>Porter. He was appointed Executive Vice President and Chief Legal &amp; Administrative Officer in April 2020.</w:t>
      </w:r>
      <w:r>
        <w:rPr>
          <w:spacing w:val="40"/>
          <w:w w:val="105"/>
        </w:rPr>
        <w:t> </w:t>
      </w:r>
      <w:r>
        <w:rPr>
          <w:w w:val="105"/>
        </w:rPr>
        <w:t>Age 58.</w:t>
      </w:r>
    </w:p>
    <w:p>
      <w:pPr>
        <w:pStyle w:val="BodyText"/>
        <w:spacing w:before="18"/>
      </w:pPr>
    </w:p>
    <w:p>
      <w:pPr>
        <w:spacing w:before="0"/>
        <w:ind w:left="156" w:right="0" w:firstLine="0"/>
        <w:jc w:val="left"/>
        <w:rPr>
          <w:i/>
          <w:sz w:val="16"/>
        </w:rPr>
      </w:pPr>
      <w:r>
        <w:rPr>
          <w:w w:val="105"/>
          <w:sz w:val="16"/>
        </w:rPr>
        <w:t>R.</w:t>
      </w:r>
      <w:r>
        <w:rPr>
          <w:spacing w:val="-9"/>
          <w:w w:val="105"/>
          <w:sz w:val="16"/>
        </w:rPr>
        <w:t> </w:t>
      </w:r>
      <w:r>
        <w:rPr>
          <w:w w:val="105"/>
          <w:sz w:val="16"/>
        </w:rPr>
        <w:t>Tony</w:t>
      </w:r>
      <w:r>
        <w:rPr>
          <w:spacing w:val="-8"/>
          <w:w w:val="105"/>
          <w:sz w:val="16"/>
        </w:rPr>
        <w:t> </w:t>
      </w:r>
      <w:r>
        <w:rPr>
          <w:w w:val="105"/>
          <w:sz w:val="16"/>
        </w:rPr>
        <w:t>Tripeny</w:t>
      </w:r>
      <w:r>
        <w:rPr>
          <w:spacing w:val="26"/>
          <w:w w:val="105"/>
          <w:sz w:val="16"/>
        </w:rPr>
        <w:t> </w:t>
      </w:r>
      <w:r>
        <w:rPr>
          <w:i/>
          <w:w w:val="105"/>
          <w:sz w:val="16"/>
        </w:rPr>
        <w:t>Executive</w:t>
      </w:r>
      <w:r>
        <w:rPr>
          <w:i/>
          <w:spacing w:val="-8"/>
          <w:w w:val="105"/>
          <w:sz w:val="16"/>
        </w:rPr>
        <w:t> </w:t>
      </w:r>
      <w:r>
        <w:rPr>
          <w:i/>
          <w:w w:val="105"/>
          <w:sz w:val="16"/>
        </w:rPr>
        <w:t>Vice</w:t>
      </w:r>
      <w:r>
        <w:rPr>
          <w:i/>
          <w:spacing w:val="-8"/>
          <w:w w:val="105"/>
          <w:sz w:val="16"/>
        </w:rPr>
        <w:t> </w:t>
      </w:r>
      <w:r>
        <w:rPr>
          <w:i/>
          <w:w w:val="105"/>
          <w:sz w:val="16"/>
        </w:rPr>
        <w:t>President</w:t>
      </w:r>
      <w:r>
        <w:rPr>
          <w:i/>
          <w:spacing w:val="-8"/>
          <w:w w:val="105"/>
          <w:sz w:val="16"/>
        </w:rPr>
        <w:t> </w:t>
      </w:r>
      <w:r>
        <w:rPr>
          <w:i/>
          <w:w w:val="105"/>
          <w:sz w:val="16"/>
        </w:rPr>
        <w:t>and</w:t>
      </w:r>
      <w:r>
        <w:rPr>
          <w:i/>
          <w:spacing w:val="-8"/>
          <w:w w:val="105"/>
          <w:sz w:val="16"/>
        </w:rPr>
        <w:t> </w:t>
      </w:r>
      <w:r>
        <w:rPr>
          <w:i/>
          <w:w w:val="105"/>
          <w:sz w:val="16"/>
        </w:rPr>
        <w:t>Chief</w:t>
      </w:r>
      <w:r>
        <w:rPr>
          <w:i/>
          <w:spacing w:val="-9"/>
          <w:w w:val="105"/>
          <w:sz w:val="16"/>
        </w:rPr>
        <w:t> </w:t>
      </w:r>
      <w:r>
        <w:rPr>
          <w:i/>
          <w:w w:val="105"/>
          <w:sz w:val="16"/>
        </w:rPr>
        <w:t>Financial</w:t>
      </w:r>
      <w:r>
        <w:rPr>
          <w:i/>
          <w:spacing w:val="-8"/>
          <w:w w:val="105"/>
          <w:sz w:val="16"/>
        </w:rPr>
        <w:t> </w:t>
      </w:r>
      <w:r>
        <w:rPr>
          <w:i/>
          <w:spacing w:val="-2"/>
          <w:w w:val="105"/>
          <w:sz w:val="16"/>
        </w:rPr>
        <w:t>Officer</w:t>
      </w:r>
    </w:p>
    <w:p>
      <w:pPr>
        <w:pStyle w:val="BodyText"/>
        <w:spacing w:line="266" w:lineRule="auto" w:before="20"/>
        <w:ind w:left="156" w:right="117"/>
      </w:pPr>
      <w:r>
        <w:rPr>
          <w:w w:val="105"/>
        </w:rPr>
        <w:t>Mr.</w:t>
      </w:r>
      <w:r>
        <w:rPr>
          <w:spacing w:val="-2"/>
          <w:w w:val="105"/>
        </w:rPr>
        <w:t> </w:t>
      </w:r>
      <w:r>
        <w:rPr>
          <w:w w:val="105"/>
        </w:rPr>
        <w:t>Tripeny</w:t>
      </w:r>
      <w:r>
        <w:rPr>
          <w:spacing w:val="-2"/>
          <w:w w:val="105"/>
        </w:rPr>
        <w:t> </w:t>
      </w:r>
      <w:r>
        <w:rPr>
          <w:w w:val="105"/>
        </w:rPr>
        <w:t>joined</w:t>
      </w:r>
      <w:r>
        <w:rPr>
          <w:spacing w:val="-2"/>
          <w:w w:val="105"/>
        </w:rPr>
        <w:t> </w:t>
      </w:r>
      <w:r>
        <w:rPr>
          <w:w w:val="105"/>
        </w:rPr>
        <w:t>Corning</w:t>
      </w:r>
      <w:r>
        <w:rPr>
          <w:spacing w:val="-2"/>
          <w:w w:val="105"/>
        </w:rPr>
        <w:t> </w:t>
      </w:r>
      <w:r>
        <w:rPr>
          <w:w w:val="105"/>
        </w:rPr>
        <w:t>Cable</w:t>
      </w:r>
      <w:r>
        <w:rPr>
          <w:spacing w:val="-2"/>
          <w:w w:val="105"/>
        </w:rPr>
        <w:t> </w:t>
      </w:r>
      <w:r>
        <w:rPr>
          <w:w w:val="105"/>
        </w:rPr>
        <w:t>Systems in</w:t>
      </w:r>
      <w:r>
        <w:rPr>
          <w:spacing w:val="-2"/>
          <w:w w:val="105"/>
        </w:rPr>
        <w:t> </w:t>
      </w:r>
      <w:r>
        <w:rPr>
          <w:w w:val="105"/>
        </w:rPr>
        <w:t>1985</w:t>
      </w:r>
      <w:r>
        <w:rPr>
          <w:spacing w:val="-2"/>
          <w:w w:val="105"/>
        </w:rPr>
        <w:t> </w:t>
      </w:r>
      <w:r>
        <w:rPr>
          <w:w w:val="105"/>
        </w:rPr>
        <w:t>as</w:t>
      </w:r>
      <w:r>
        <w:rPr>
          <w:spacing w:val="-2"/>
          <w:w w:val="105"/>
        </w:rPr>
        <w:t> </w:t>
      </w:r>
      <w:r>
        <w:rPr>
          <w:w w:val="105"/>
        </w:rPr>
        <w:t>the</w:t>
      </w:r>
      <w:r>
        <w:rPr>
          <w:spacing w:val="-2"/>
          <w:w w:val="105"/>
        </w:rPr>
        <w:t> </w:t>
      </w:r>
      <w:r>
        <w:rPr>
          <w:w w:val="105"/>
        </w:rPr>
        <w:t>corporate</w:t>
      </w:r>
      <w:r>
        <w:rPr>
          <w:spacing w:val="-2"/>
          <w:w w:val="105"/>
        </w:rPr>
        <w:t> </w:t>
      </w:r>
      <w:r>
        <w:rPr>
          <w:w w:val="105"/>
        </w:rPr>
        <w:t>accounting</w:t>
      </w:r>
      <w:r>
        <w:rPr>
          <w:spacing w:val="-2"/>
          <w:w w:val="105"/>
        </w:rPr>
        <w:t> </w:t>
      </w:r>
      <w:r>
        <w:rPr>
          <w:w w:val="105"/>
        </w:rPr>
        <w:t>manager</w:t>
      </w:r>
      <w:r>
        <w:rPr>
          <w:spacing w:val="-2"/>
          <w:w w:val="105"/>
        </w:rPr>
        <w:t> </w:t>
      </w:r>
      <w:r>
        <w:rPr>
          <w:w w:val="105"/>
        </w:rPr>
        <w:t>and</w:t>
      </w:r>
      <w:r>
        <w:rPr>
          <w:spacing w:val="-2"/>
          <w:w w:val="105"/>
        </w:rPr>
        <w:t> </w:t>
      </w:r>
      <w:r>
        <w:rPr>
          <w:w w:val="105"/>
        </w:rPr>
        <w:t>became the</w:t>
      </w:r>
      <w:r>
        <w:rPr>
          <w:spacing w:val="-2"/>
          <w:w w:val="105"/>
        </w:rPr>
        <w:t> </w:t>
      </w:r>
      <w:r>
        <w:rPr>
          <w:w w:val="105"/>
        </w:rPr>
        <w:t>Keller,</w:t>
      </w:r>
      <w:r>
        <w:rPr>
          <w:spacing w:val="-2"/>
          <w:w w:val="105"/>
        </w:rPr>
        <w:t> </w:t>
      </w:r>
      <w:r>
        <w:rPr>
          <w:w w:val="105"/>
        </w:rPr>
        <w:t>Texas</w:t>
      </w:r>
      <w:r>
        <w:rPr>
          <w:spacing w:val="-2"/>
          <w:w w:val="105"/>
        </w:rPr>
        <w:t> </w:t>
      </w:r>
      <w:r>
        <w:rPr>
          <w:w w:val="105"/>
        </w:rPr>
        <w:t>facility’s</w:t>
      </w:r>
      <w:r>
        <w:rPr>
          <w:spacing w:val="-2"/>
          <w:w w:val="105"/>
        </w:rPr>
        <w:t> </w:t>
      </w:r>
      <w:r>
        <w:rPr>
          <w:w w:val="105"/>
        </w:rPr>
        <w:t>plant</w:t>
      </w:r>
      <w:r>
        <w:rPr>
          <w:spacing w:val="-2"/>
          <w:w w:val="105"/>
        </w:rPr>
        <w:t> </w:t>
      </w:r>
      <w:r>
        <w:rPr>
          <w:w w:val="105"/>
        </w:rPr>
        <w:t>controller in</w:t>
      </w:r>
      <w:r>
        <w:rPr>
          <w:spacing w:val="-2"/>
          <w:w w:val="105"/>
        </w:rPr>
        <w:t> </w:t>
      </w:r>
      <w:r>
        <w:rPr>
          <w:w w:val="105"/>
        </w:rPr>
        <w:t>1989.</w:t>
      </w:r>
      <w:r>
        <w:rPr>
          <w:spacing w:val="38"/>
          <w:w w:val="105"/>
        </w:rPr>
        <w:t> </w:t>
      </w:r>
      <w:r>
        <w:rPr>
          <w:w w:val="105"/>
        </w:rPr>
        <w:t>In</w:t>
      </w:r>
      <w:r>
        <w:rPr>
          <w:spacing w:val="-2"/>
          <w:w w:val="105"/>
        </w:rPr>
        <w:t> </w:t>
      </w:r>
      <w:r>
        <w:rPr>
          <w:w w:val="105"/>
        </w:rPr>
        <w:t>1993,</w:t>
      </w:r>
      <w:r>
        <w:rPr>
          <w:spacing w:val="-2"/>
          <w:w w:val="105"/>
        </w:rPr>
        <w:t> </w:t>
      </w:r>
      <w:r>
        <w:rPr>
          <w:w w:val="105"/>
        </w:rPr>
        <w:t>he</w:t>
      </w:r>
      <w:r>
        <w:rPr>
          <w:spacing w:val="-2"/>
          <w:w w:val="105"/>
        </w:rPr>
        <w:t> </w:t>
      </w:r>
      <w:r>
        <w:rPr>
          <w:w w:val="105"/>
        </w:rPr>
        <w:t>was appointed</w:t>
      </w:r>
      <w:r>
        <w:rPr>
          <w:spacing w:val="-8"/>
          <w:w w:val="105"/>
        </w:rPr>
        <w:t> </w:t>
      </w:r>
      <w:r>
        <w:rPr>
          <w:w w:val="105"/>
        </w:rPr>
        <w:t>equipment</w:t>
      </w:r>
      <w:r>
        <w:rPr>
          <w:spacing w:val="-8"/>
          <w:w w:val="105"/>
        </w:rPr>
        <w:t> </w:t>
      </w:r>
      <w:r>
        <w:rPr>
          <w:w w:val="105"/>
        </w:rPr>
        <w:t>division</w:t>
      </w:r>
      <w:r>
        <w:rPr>
          <w:spacing w:val="-7"/>
          <w:w w:val="105"/>
        </w:rPr>
        <w:t> </w:t>
      </w:r>
      <w:r>
        <w:rPr>
          <w:w w:val="105"/>
        </w:rPr>
        <w:t>controller</w:t>
      </w:r>
      <w:r>
        <w:rPr>
          <w:spacing w:val="-8"/>
          <w:w w:val="105"/>
        </w:rPr>
        <w:t> </w:t>
      </w:r>
      <w:r>
        <w:rPr>
          <w:w w:val="105"/>
        </w:rPr>
        <w:t>and,</w:t>
      </w:r>
      <w:r>
        <w:rPr>
          <w:spacing w:val="-8"/>
          <w:w w:val="105"/>
        </w:rPr>
        <w:t> </w:t>
      </w:r>
      <w:r>
        <w:rPr>
          <w:w w:val="105"/>
        </w:rPr>
        <w:t>in</w:t>
      </w:r>
      <w:r>
        <w:rPr>
          <w:spacing w:val="-8"/>
          <w:w w:val="105"/>
        </w:rPr>
        <w:t> </w:t>
      </w:r>
      <w:r>
        <w:rPr>
          <w:w w:val="105"/>
        </w:rPr>
        <w:t>1996,</w:t>
      </w:r>
      <w:r>
        <w:rPr>
          <w:spacing w:val="-8"/>
          <w:w w:val="105"/>
        </w:rPr>
        <w:t> </w:t>
      </w:r>
      <w:r>
        <w:rPr>
          <w:w w:val="105"/>
        </w:rPr>
        <w:t>corporate</w:t>
      </w:r>
      <w:r>
        <w:rPr>
          <w:spacing w:val="-8"/>
          <w:w w:val="105"/>
        </w:rPr>
        <w:t> </w:t>
      </w:r>
      <w:r>
        <w:rPr>
          <w:w w:val="105"/>
        </w:rPr>
        <w:t>controller.</w:t>
      </w:r>
      <w:r>
        <w:rPr>
          <w:spacing w:val="26"/>
          <w:w w:val="105"/>
        </w:rPr>
        <w:t> </w:t>
      </w:r>
      <w:r>
        <w:rPr>
          <w:w w:val="105"/>
        </w:rPr>
        <w:t>Mr.</w:t>
      </w:r>
      <w:r>
        <w:rPr>
          <w:spacing w:val="-8"/>
          <w:w w:val="105"/>
        </w:rPr>
        <w:t> </w:t>
      </w:r>
      <w:r>
        <w:rPr>
          <w:w w:val="105"/>
        </w:rPr>
        <w:t>Tripeny</w:t>
      </w:r>
      <w:r>
        <w:rPr>
          <w:spacing w:val="-8"/>
          <w:w w:val="105"/>
        </w:rPr>
        <w:t> </w:t>
      </w:r>
      <w:r>
        <w:rPr>
          <w:w w:val="105"/>
        </w:rPr>
        <w:t>was</w:t>
      </w:r>
      <w:r>
        <w:rPr>
          <w:spacing w:val="-7"/>
          <w:w w:val="105"/>
        </w:rPr>
        <w:t> </w:t>
      </w:r>
      <w:r>
        <w:rPr>
          <w:w w:val="105"/>
        </w:rPr>
        <w:t>appointed</w:t>
      </w:r>
      <w:r>
        <w:rPr>
          <w:spacing w:val="-8"/>
          <w:w w:val="105"/>
        </w:rPr>
        <w:t> </w:t>
      </w:r>
      <w:r>
        <w:rPr>
          <w:w w:val="105"/>
        </w:rPr>
        <w:t>chief</w:t>
      </w:r>
      <w:r>
        <w:rPr>
          <w:spacing w:val="-8"/>
          <w:w w:val="105"/>
        </w:rPr>
        <w:t> </w:t>
      </w:r>
      <w:r>
        <w:rPr>
          <w:w w:val="105"/>
        </w:rPr>
        <w:t>financial</w:t>
      </w:r>
      <w:r>
        <w:rPr>
          <w:spacing w:val="-8"/>
          <w:w w:val="105"/>
        </w:rPr>
        <w:t> </w:t>
      </w:r>
      <w:r>
        <w:rPr>
          <w:w w:val="105"/>
        </w:rPr>
        <w:t>officer</w:t>
      </w:r>
      <w:r>
        <w:rPr>
          <w:spacing w:val="-8"/>
          <w:w w:val="105"/>
        </w:rPr>
        <w:t> </w:t>
      </w:r>
      <w:r>
        <w:rPr>
          <w:w w:val="105"/>
        </w:rPr>
        <w:t>of</w:t>
      </w:r>
      <w:r>
        <w:rPr>
          <w:spacing w:val="-8"/>
          <w:w w:val="105"/>
        </w:rPr>
        <w:t> </w:t>
      </w:r>
      <w:r>
        <w:rPr>
          <w:w w:val="105"/>
        </w:rPr>
        <w:t>Corning</w:t>
      </w:r>
      <w:r>
        <w:rPr>
          <w:spacing w:val="-8"/>
          <w:w w:val="105"/>
        </w:rPr>
        <w:t> </w:t>
      </w:r>
      <w:r>
        <w:rPr>
          <w:w w:val="105"/>
        </w:rPr>
        <w:t>Cable</w:t>
      </w:r>
      <w:r>
        <w:rPr>
          <w:spacing w:val="-8"/>
          <w:w w:val="105"/>
        </w:rPr>
        <w:t> </w:t>
      </w:r>
      <w:r>
        <w:rPr>
          <w:w w:val="105"/>
        </w:rPr>
        <w:t>Systems</w:t>
      </w:r>
      <w:r>
        <w:rPr>
          <w:spacing w:val="-8"/>
          <w:w w:val="105"/>
        </w:rPr>
        <w:t> </w:t>
      </w:r>
      <w:r>
        <w:rPr>
          <w:w w:val="105"/>
        </w:rPr>
        <w:t>in</w:t>
      </w:r>
      <w:r>
        <w:rPr>
          <w:spacing w:val="-8"/>
          <w:w w:val="105"/>
        </w:rPr>
        <w:t> </w:t>
      </w:r>
      <w:r>
        <w:rPr>
          <w:w w:val="105"/>
        </w:rPr>
        <w:t>July</w:t>
      </w:r>
      <w:r>
        <w:rPr>
          <w:spacing w:val="-8"/>
          <w:w w:val="105"/>
        </w:rPr>
        <w:t> </w:t>
      </w:r>
      <w:r>
        <w:rPr>
          <w:w w:val="105"/>
        </w:rPr>
        <w:t>2000</w:t>
      </w:r>
      <w:r>
        <w:rPr>
          <w:spacing w:val="-8"/>
          <w:w w:val="105"/>
        </w:rPr>
        <w:t> </w:t>
      </w:r>
      <w:r>
        <w:rPr>
          <w:w w:val="105"/>
        </w:rPr>
        <w:t>and,</w:t>
      </w:r>
      <w:r>
        <w:rPr>
          <w:spacing w:val="-8"/>
          <w:w w:val="105"/>
        </w:rPr>
        <w:t> </w:t>
      </w:r>
      <w:r>
        <w:rPr>
          <w:w w:val="105"/>
        </w:rPr>
        <w:t>in 2003,</w:t>
      </w:r>
      <w:r>
        <w:rPr>
          <w:spacing w:val="-1"/>
          <w:w w:val="105"/>
        </w:rPr>
        <w:t> </w:t>
      </w:r>
      <w:r>
        <w:rPr>
          <w:w w:val="105"/>
        </w:rPr>
        <w:t>he</w:t>
      </w:r>
      <w:r>
        <w:rPr>
          <w:spacing w:val="-1"/>
          <w:w w:val="105"/>
        </w:rPr>
        <w:t> </w:t>
      </w:r>
      <w:r>
        <w:rPr>
          <w:w w:val="105"/>
        </w:rPr>
        <w:t>took</w:t>
      </w:r>
      <w:r>
        <w:rPr>
          <w:spacing w:val="-1"/>
          <w:w w:val="105"/>
        </w:rPr>
        <w:t> </w:t>
      </w:r>
      <w:r>
        <w:rPr>
          <w:w w:val="105"/>
        </w:rPr>
        <w:t>on</w:t>
      </w:r>
      <w:r>
        <w:rPr>
          <w:spacing w:val="-1"/>
          <w:w w:val="105"/>
        </w:rPr>
        <w:t> </w:t>
      </w:r>
      <w:r>
        <w:rPr>
          <w:w w:val="105"/>
        </w:rPr>
        <w:t>the</w:t>
      </w:r>
      <w:r>
        <w:rPr>
          <w:spacing w:val="-1"/>
          <w:w w:val="105"/>
        </w:rPr>
        <w:t> </w:t>
      </w:r>
      <w:r>
        <w:rPr>
          <w:w w:val="105"/>
        </w:rPr>
        <w:t>additional</w:t>
      </w:r>
      <w:r>
        <w:rPr>
          <w:spacing w:val="-1"/>
          <w:w w:val="105"/>
        </w:rPr>
        <w:t> </w:t>
      </w:r>
      <w:r>
        <w:rPr>
          <w:w w:val="105"/>
        </w:rPr>
        <w:t>role</w:t>
      </w:r>
      <w:r>
        <w:rPr>
          <w:spacing w:val="-1"/>
          <w:w w:val="105"/>
        </w:rPr>
        <w:t> </w:t>
      </w:r>
      <w:r>
        <w:rPr>
          <w:w w:val="105"/>
        </w:rPr>
        <w:t>of</w:t>
      </w:r>
      <w:r>
        <w:rPr>
          <w:spacing w:val="-1"/>
          <w:w w:val="105"/>
        </w:rPr>
        <w:t> </w:t>
      </w:r>
      <w:r>
        <w:rPr>
          <w:w w:val="105"/>
        </w:rPr>
        <w:t>group</w:t>
      </w:r>
      <w:r>
        <w:rPr>
          <w:spacing w:val="-1"/>
          <w:w w:val="105"/>
        </w:rPr>
        <w:t> </w:t>
      </w:r>
      <w:r>
        <w:rPr>
          <w:w w:val="105"/>
        </w:rPr>
        <w:t>controller,</w:t>
      </w:r>
      <w:r>
        <w:rPr>
          <w:spacing w:val="-1"/>
          <w:w w:val="105"/>
        </w:rPr>
        <w:t> </w:t>
      </w:r>
      <w:r>
        <w:rPr>
          <w:w w:val="105"/>
        </w:rPr>
        <w:t>Telecommunications.</w:t>
      </w:r>
      <w:r>
        <w:rPr>
          <w:spacing w:val="40"/>
          <w:w w:val="105"/>
        </w:rPr>
        <w:t> </w:t>
      </w:r>
      <w:r>
        <w:rPr>
          <w:w w:val="105"/>
        </w:rPr>
        <w:t>He</w:t>
      </w:r>
      <w:r>
        <w:rPr>
          <w:spacing w:val="-1"/>
          <w:w w:val="105"/>
        </w:rPr>
        <w:t> </w:t>
      </w:r>
      <w:r>
        <w:rPr>
          <w:w w:val="105"/>
        </w:rPr>
        <w:t>was</w:t>
      </w:r>
      <w:r>
        <w:rPr>
          <w:spacing w:val="-1"/>
          <w:w w:val="105"/>
        </w:rPr>
        <w:t> </w:t>
      </w:r>
      <w:r>
        <w:rPr>
          <w:w w:val="105"/>
        </w:rPr>
        <w:t>appointed</w:t>
      </w:r>
      <w:r>
        <w:rPr>
          <w:spacing w:val="-1"/>
          <w:w w:val="105"/>
        </w:rPr>
        <w:t> </w:t>
      </w:r>
      <w:r>
        <w:rPr>
          <w:w w:val="105"/>
        </w:rPr>
        <w:t>division</w:t>
      </w:r>
      <w:r>
        <w:rPr>
          <w:spacing w:val="-1"/>
          <w:w w:val="105"/>
        </w:rPr>
        <w:t> </w:t>
      </w:r>
      <w:r>
        <w:rPr>
          <w:w w:val="105"/>
        </w:rPr>
        <w:t>vice</w:t>
      </w:r>
      <w:r>
        <w:rPr>
          <w:spacing w:val="-1"/>
          <w:w w:val="105"/>
        </w:rPr>
        <w:t> </w:t>
      </w:r>
      <w:r>
        <w:rPr>
          <w:w w:val="105"/>
        </w:rPr>
        <w:t>president,</w:t>
      </w:r>
      <w:r>
        <w:rPr>
          <w:spacing w:val="-1"/>
          <w:w w:val="105"/>
        </w:rPr>
        <w:t> </w:t>
      </w:r>
      <w:r>
        <w:rPr>
          <w:w w:val="105"/>
        </w:rPr>
        <w:t>Operations</w:t>
      </w:r>
      <w:r>
        <w:rPr>
          <w:spacing w:val="-1"/>
          <w:w w:val="105"/>
        </w:rPr>
        <w:t> </w:t>
      </w:r>
      <w:r>
        <w:rPr>
          <w:w w:val="105"/>
        </w:rPr>
        <w:t>Controller</w:t>
      </w:r>
      <w:r>
        <w:rPr>
          <w:spacing w:val="-1"/>
          <w:w w:val="105"/>
        </w:rPr>
        <w:t> </w:t>
      </w:r>
      <w:r>
        <w:rPr>
          <w:w w:val="105"/>
        </w:rPr>
        <w:t>in</w:t>
      </w:r>
      <w:r>
        <w:rPr>
          <w:spacing w:val="-1"/>
          <w:w w:val="105"/>
        </w:rPr>
        <w:t> </w:t>
      </w:r>
      <w:r>
        <w:rPr>
          <w:w w:val="105"/>
        </w:rPr>
        <w:t>August</w:t>
      </w:r>
      <w:r>
        <w:rPr>
          <w:spacing w:val="-1"/>
          <w:w w:val="105"/>
        </w:rPr>
        <w:t> </w:t>
      </w:r>
      <w:r>
        <w:rPr>
          <w:w w:val="105"/>
        </w:rPr>
        <w:t>2004,</w:t>
      </w:r>
      <w:r>
        <w:rPr>
          <w:spacing w:val="-1"/>
          <w:w w:val="105"/>
        </w:rPr>
        <w:t> </w:t>
      </w:r>
      <w:r>
        <w:rPr>
          <w:w w:val="105"/>
        </w:rPr>
        <w:t>vice president,</w:t>
      </w:r>
      <w:r>
        <w:rPr>
          <w:spacing w:val="-2"/>
          <w:w w:val="105"/>
        </w:rPr>
        <w:t> </w:t>
      </w:r>
      <w:r>
        <w:rPr>
          <w:w w:val="105"/>
        </w:rPr>
        <w:t>corporate</w:t>
      </w:r>
      <w:r>
        <w:rPr>
          <w:spacing w:val="-2"/>
          <w:w w:val="105"/>
        </w:rPr>
        <w:t> </w:t>
      </w:r>
      <w:r>
        <w:rPr>
          <w:w w:val="105"/>
        </w:rPr>
        <w:t>controller</w:t>
      </w:r>
      <w:r>
        <w:rPr>
          <w:spacing w:val="-2"/>
          <w:w w:val="105"/>
        </w:rPr>
        <w:t> </w:t>
      </w:r>
      <w:r>
        <w:rPr>
          <w:w w:val="105"/>
        </w:rPr>
        <w:t>in</w:t>
      </w:r>
      <w:r>
        <w:rPr>
          <w:spacing w:val="-2"/>
          <w:w w:val="105"/>
        </w:rPr>
        <w:t> </w:t>
      </w:r>
      <w:r>
        <w:rPr>
          <w:w w:val="105"/>
        </w:rPr>
        <w:t>October</w:t>
      </w:r>
      <w:r>
        <w:rPr>
          <w:spacing w:val="-2"/>
          <w:w w:val="105"/>
        </w:rPr>
        <w:t> </w:t>
      </w:r>
      <w:r>
        <w:rPr>
          <w:w w:val="105"/>
        </w:rPr>
        <w:t>2005,</w:t>
      </w:r>
      <w:r>
        <w:rPr>
          <w:spacing w:val="-2"/>
          <w:w w:val="105"/>
        </w:rPr>
        <w:t> </w:t>
      </w:r>
      <w:r>
        <w:rPr>
          <w:w w:val="105"/>
        </w:rPr>
        <w:t>and</w:t>
      </w:r>
      <w:r>
        <w:rPr>
          <w:spacing w:val="-2"/>
          <w:w w:val="105"/>
        </w:rPr>
        <w:t> </w:t>
      </w:r>
      <w:r>
        <w:rPr>
          <w:w w:val="105"/>
        </w:rPr>
        <w:t>senior</w:t>
      </w:r>
      <w:r>
        <w:rPr>
          <w:spacing w:val="-2"/>
          <w:w w:val="105"/>
        </w:rPr>
        <w:t> </w:t>
      </w:r>
      <w:r>
        <w:rPr>
          <w:w w:val="105"/>
        </w:rPr>
        <w:t>vice</w:t>
      </w:r>
      <w:r>
        <w:rPr>
          <w:spacing w:val="-2"/>
          <w:w w:val="105"/>
        </w:rPr>
        <w:t> </w:t>
      </w:r>
      <w:r>
        <w:rPr>
          <w:w w:val="105"/>
        </w:rPr>
        <w:t>president</w:t>
      </w:r>
      <w:r>
        <w:rPr>
          <w:spacing w:val="-2"/>
          <w:w w:val="105"/>
        </w:rPr>
        <w:t> </w:t>
      </w:r>
      <w:r>
        <w:rPr>
          <w:w w:val="105"/>
        </w:rPr>
        <w:t>and</w:t>
      </w:r>
      <w:r>
        <w:rPr>
          <w:spacing w:val="-2"/>
          <w:w w:val="105"/>
        </w:rPr>
        <w:t> </w:t>
      </w:r>
      <w:r>
        <w:rPr>
          <w:w w:val="105"/>
        </w:rPr>
        <w:t>principal</w:t>
      </w:r>
      <w:r>
        <w:rPr>
          <w:spacing w:val="-2"/>
          <w:w w:val="105"/>
        </w:rPr>
        <w:t> </w:t>
      </w:r>
      <w:r>
        <w:rPr>
          <w:w w:val="105"/>
        </w:rPr>
        <w:t>accounting</w:t>
      </w:r>
      <w:r>
        <w:rPr>
          <w:spacing w:val="-2"/>
          <w:w w:val="105"/>
        </w:rPr>
        <w:t> </w:t>
      </w:r>
      <w:r>
        <w:rPr>
          <w:w w:val="105"/>
        </w:rPr>
        <w:t>officer</w:t>
      </w:r>
      <w:r>
        <w:rPr>
          <w:spacing w:val="-2"/>
          <w:w w:val="105"/>
        </w:rPr>
        <w:t> </w:t>
      </w:r>
      <w:r>
        <w:rPr>
          <w:w w:val="105"/>
        </w:rPr>
        <w:t>in</w:t>
      </w:r>
      <w:r>
        <w:rPr>
          <w:spacing w:val="-2"/>
          <w:w w:val="105"/>
        </w:rPr>
        <w:t> </w:t>
      </w:r>
      <w:r>
        <w:rPr>
          <w:w w:val="105"/>
        </w:rPr>
        <w:t>April</w:t>
      </w:r>
      <w:r>
        <w:rPr>
          <w:spacing w:val="-2"/>
          <w:w w:val="105"/>
        </w:rPr>
        <w:t> </w:t>
      </w:r>
      <w:r>
        <w:rPr>
          <w:w w:val="105"/>
        </w:rPr>
        <w:t>2009.</w:t>
      </w:r>
      <w:r>
        <w:rPr>
          <w:spacing w:val="39"/>
          <w:w w:val="105"/>
        </w:rPr>
        <w:t> </w:t>
      </w:r>
      <w:r>
        <w:rPr>
          <w:w w:val="105"/>
        </w:rPr>
        <w:t>Mr.</w:t>
      </w:r>
      <w:r>
        <w:rPr>
          <w:spacing w:val="-2"/>
          <w:w w:val="105"/>
        </w:rPr>
        <w:t> </w:t>
      </w:r>
      <w:r>
        <w:rPr>
          <w:w w:val="105"/>
        </w:rPr>
        <w:t>Tripeny</w:t>
      </w:r>
      <w:r>
        <w:rPr>
          <w:spacing w:val="-2"/>
          <w:w w:val="105"/>
        </w:rPr>
        <w:t> </w:t>
      </w:r>
      <w:r>
        <w:rPr>
          <w:w w:val="105"/>
        </w:rPr>
        <w:t>was</w:t>
      </w:r>
      <w:r>
        <w:rPr>
          <w:spacing w:val="-2"/>
          <w:w w:val="105"/>
        </w:rPr>
        <w:t> </w:t>
      </w:r>
      <w:r>
        <w:rPr>
          <w:w w:val="105"/>
        </w:rPr>
        <w:t>then</w:t>
      </w:r>
      <w:r>
        <w:rPr>
          <w:spacing w:val="-2"/>
          <w:w w:val="105"/>
        </w:rPr>
        <w:t> </w:t>
      </w:r>
      <w:r>
        <w:rPr>
          <w:w w:val="105"/>
        </w:rPr>
        <w:t>appointed</w:t>
      </w:r>
      <w:r>
        <w:rPr>
          <w:spacing w:val="-2"/>
          <w:w w:val="105"/>
        </w:rPr>
        <w:t> </w:t>
      </w:r>
      <w:r>
        <w:rPr>
          <w:w w:val="105"/>
        </w:rPr>
        <w:t>as</w:t>
      </w:r>
      <w:r>
        <w:rPr>
          <w:spacing w:val="-2"/>
          <w:w w:val="105"/>
        </w:rPr>
        <w:t> </w:t>
      </w:r>
      <w:r>
        <w:rPr>
          <w:w w:val="105"/>
        </w:rPr>
        <w:t>Corning’s senior vice president and chief financial officer in September 2015.</w:t>
      </w:r>
      <w:r>
        <w:rPr>
          <w:spacing w:val="40"/>
          <w:w w:val="105"/>
        </w:rPr>
        <w:t> </w:t>
      </w:r>
      <w:r>
        <w:rPr>
          <w:w w:val="105"/>
        </w:rPr>
        <w:t>He was appointed executive vice president in 2018.</w:t>
      </w:r>
      <w:r>
        <w:rPr>
          <w:spacing w:val="40"/>
          <w:w w:val="105"/>
        </w:rPr>
        <w:t> </w:t>
      </w:r>
      <w:r>
        <w:rPr>
          <w:w w:val="105"/>
        </w:rPr>
        <w:t>Age 62.</w:t>
      </w:r>
    </w:p>
    <w:p>
      <w:pPr>
        <w:pStyle w:val="BodyText"/>
        <w:spacing w:before="18"/>
      </w:pPr>
    </w:p>
    <w:p>
      <w:pPr>
        <w:pStyle w:val="BodyText"/>
        <w:spacing w:line="266" w:lineRule="auto"/>
        <w:ind w:left="156" w:right="328"/>
      </w:pPr>
      <w:r>
        <w:rPr>
          <w:w w:val="105"/>
        </w:rPr>
        <w:t>On</w:t>
      </w:r>
      <w:r>
        <w:rPr>
          <w:spacing w:val="-7"/>
          <w:w w:val="105"/>
        </w:rPr>
        <w:t> </w:t>
      </w:r>
      <w:r>
        <w:rPr>
          <w:w w:val="105"/>
        </w:rPr>
        <w:t>December</w:t>
      </w:r>
      <w:r>
        <w:rPr>
          <w:spacing w:val="-7"/>
          <w:w w:val="105"/>
        </w:rPr>
        <w:t> </w:t>
      </w:r>
      <w:r>
        <w:rPr>
          <w:w w:val="105"/>
        </w:rPr>
        <w:t>9,</w:t>
      </w:r>
      <w:r>
        <w:rPr>
          <w:spacing w:val="-7"/>
          <w:w w:val="105"/>
        </w:rPr>
        <w:t> </w:t>
      </w:r>
      <w:r>
        <w:rPr>
          <w:w w:val="105"/>
        </w:rPr>
        <w:t>2021,</w:t>
      </w:r>
      <w:r>
        <w:rPr>
          <w:spacing w:val="-7"/>
          <w:w w:val="105"/>
        </w:rPr>
        <w:t> </w:t>
      </w:r>
      <w:r>
        <w:rPr>
          <w:w w:val="105"/>
        </w:rPr>
        <w:t>the</w:t>
      </w:r>
      <w:r>
        <w:rPr>
          <w:spacing w:val="-7"/>
          <w:w w:val="105"/>
        </w:rPr>
        <w:t> </w:t>
      </w:r>
      <w:r>
        <w:rPr>
          <w:w w:val="105"/>
        </w:rPr>
        <w:t>Company</w:t>
      </w:r>
      <w:r>
        <w:rPr>
          <w:spacing w:val="-7"/>
          <w:w w:val="105"/>
        </w:rPr>
        <w:t> </w:t>
      </w:r>
      <w:r>
        <w:rPr>
          <w:w w:val="105"/>
        </w:rPr>
        <w:t>announced</w:t>
      </w:r>
      <w:r>
        <w:rPr>
          <w:spacing w:val="-7"/>
          <w:w w:val="105"/>
        </w:rPr>
        <w:t> </w:t>
      </w:r>
      <w:r>
        <w:rPr>
          <w:w w:val="105"/>
        </w:rPr>
        <w:t>that</w:t>
      </w:r>
      <w:r>
        <w:rPr>
          <w:spacing w:val="-7"/>
          <w:w w:val="105"/>
        </w:rPr>
        <w:t> </w:t>
      </w:r>
      <w:r>
        <w:rPr>
          <w:w w:val="105"/>
        </w:rPr>
        <w:t>Mr.</w:t>
      </w:r>
      <w:r>
        <w:rPr>
          <w:spacing w:val="-7"/>
          <w:w w:val="105"/>
        </w:rPr>
        <w:t> </w:t>
      </w:r>
      <w:r>
        <w:rPr>
          <w:w w:val="105"/>
        </w:rPr>
        <w:t>Tripeny</w:t>
      </w:r>
      <w:r>
        <w:rPr>
          <w:spacing w:val="-7"/>
          <w:w w:val="105"/>
        </w:rPr>
        <w:t> </w:t>
      </w:r>
      <w:r>
        <w:rPr>
          <w:w w:val="105"/>
        </w:rPr>
        <w:t>will</w:t>
      </w:r>
      <w:r>
        <w:rPr>
          <w:spacing w:val="-7"/>
          <w:w w:val="105"/>
        </w:rPr>
        <w:t> </w:t>
      </w:r>
      <w:r>
        <w:rPr>
          <w:w w:val="105"/>
        </w:rPr>
        <w:t>relinquish</w:t>
      </w:r>
      <w:r>
        <w:rPr>
          <w:spacing w:val="-7"/>
          <w:w w:val="105"/>
        </w:rPr>
        <w:t> </w:t>
      </w:r>
      <w:r>
        <w:rPr>
          <w:w w:val="105"/>
        </w:rPr>
        <w:t>the</w:t>
      </w:r>
      <w:r>
        <w:rPr>
          <w:spacing w:val="-7"/>
          <w:w w:val="105"/>
        </w:rPr>
        <w:t> </w:t>
      </w:r>
      <w:r>
        <w:rPr>
          <w:w w:val="105"/>
        </w:rPr>
        <w:t>chief</w:t>
      </w:r>
      <w:r>
        <w:rPr>
          <w:spacing w:val="-7"/>
          <w:w w:val="105"/>
        </w:rPr>
        <w:t> </w:t>
      </w:r>
      <w:r>
        <w:rPr>
          <w:w w:val="105"/>
        </w:rPr>
        <w:t>financial</w:t>
      </w:r>
      <w:r>
        <w:rPr>
          <w:spacing w:val="-7"/>
          <w:w w:val="105"/>
        </w:rPr>
        <w:t> </w:t>
      </w:r>
      <w:r>
        <w:rPr>
          <w:w w:val="105"/>
        </w:rPr>
        <w:t>officer</w:t>
      </w:r>
      <w:r>
        <w:rPr>
          <w:spacing w:val="-7"/>
          <w:w w:val="105"/>
        </w:rPr>
        <w:t> </w:t>
      </w:r>
      <w:r>
        <w:rPr>
          <w:w w:val="105"/>
        </w:rPr>
        <w:t>title</w:t>
      </w:r>
      <w:r>
        <w:rPr>
          <w:spacing w:val="-7"/>
          <w:w w:val="105"/>
        </w:rPr>
        <w:t> </w:t>
      </w:r>
      <w:r>
        <w:rPr>
          <w:w w:val="105"/>
        </w:rPr>
        <w:t>effective</w:t>
      </w:r>
      <w:r>
        <w:rPr>
          <w:spacing w:val="-7"/>
          <w:w w:val="105"/>
        </w:rPr>
        <w:t> </w:t>
      </w:r>
      <w:r>
        <w:rPr>
          <w:w w:val="105"/>
        </w:rPr>
        <w:t>February</w:t>
      </w:r>
      <w:r>
        <w:rPr>
          <w:spacing w:val="-7"/>
          <w:w w:val="105"/>
        </w:rPr>
        <w:t> </w:t>
      </w:r>
      <w:r>
        <w:rPr>
          <w:w w:val="105"/>
        </w:rPr>
        <w:t>18,</w:t>
      </w:r>
      <w:r>
        <w:rPr>
          <w:spacing w:val="-7"/>
          <w:w w:val="105"/>
        </w:rPr>
        <w:t> </w:t>
      </w:r>
      <w:r>
        <w:rPr>
          <w:w w:val="105"/>
        </w:rPr>
        <w:t>2022,</w:t>
      </w:r>
      <w:r>
        <w:rPr>
          <w:spacing w:val="-7"/>
          <w:w w:val="105"/>
        </w:rPr>
        <w:t> </w:t>
      </w:r>
      <w:r>
        <w:rPr>
          <w:w w:val="105"/>
        </w:rPr>
        <w:t>as</w:t>
      </w:r>
      <w:r>
        <w:rPr>
          <w:spacing w:val="-7"/>
          <w:w w:val="105"/>
        </w:rPr>
        <w:t> </w:t>
      </w:r>
      <w:r>
        <w:rPr>
          <w:w w:val="105"/>
        </w:rPr>
        <w:t>part</w:t>
      </w:r>
      <w:r>
        <w:rPr>
          <w:spacing w:val="-7"/>
          <w:w w:val="105"/>
        </w:rPr>
        <w:t> </w:t>
      </w:r>
      <w:r>
        <w:rPr>
          <w:w w:val="105"/>
        </w:rPr>
        <w:t>of</w:t>
      </w:r>
      <w:r>
        <w:rPr>
          <w:spacing w:val="-7"/>
          <w:w w:val="105"/>
        </w:rPr>
        <w:t> </w:t>
      </w:r>
      <w:r>
        <w:rPr>
          <w:w w:val="105"/>
        </w:rPr>
        <w:t>his</w:t>
      </w:r>
      <w:r>
        <w:rPr>
          <w:spacing w:val="-7"/>
          <w:w w:val="105"/>
        </w:rPr>
        <w:t> </w:t>
      </w:r>
      <w:r>
        <w:rPr>
          <w:w w:val="105"/>
        </w:rPr>
        <w:t>plan</w:t>
      </w:r>
      <w:r>
        <w:rPr>
          <w:spacing w:val="-7"/>
          <w:w w:val="105"/>
        </w:rPr>
        <w:t> </w:t>
      </w:r>
      <w:r>
        <w:rPr>
          <w:w w:val="105"/>
        </w:rPr>
        <w:t>to</w:t>
      </w:r>
      <w:r>
        <w:rPr>
          <w:spacing w:val="-7"/>
          <w:w w:val="105"/>
        </w:rPr>
        <w:t> </w:t>
      </w:r>
      <w:r>
        <w:rPr>
          <w:w w:val="105"/>
        </w:rPr>
        <w:t>retire</w:t>
      </w:r>
      <w:r>
        <w:rPr>
          <w:spacing w:val="-7"/>
          <w:w w:val="105"/>
        </w:rPr>
        <w:t> </w:t>
      </w:r>
      <w:r>
        <w:rPr>
          <w:w w:val="105"/>
        </w:rPr>
        <w:t>in March 2022 after a successful 36-year tenure with Corning.</w:t>
      </w:r>
    </w:p>
    <w:p>
      <w:pPr>
        <w:pStyle w:val="BodyText"/>
        <w:spacing w:before="19"/>
      </w:pPr>
    </w:p>
    <w:p>
      <w:pPr>
        <w:spacing w:before="0"/>
        <w:ind w:left="156" w:right="0" w:firstLine="0"/>
        <w:jc w:val="left"/>
        <w:rPr>
          <w:i/>
          <w:sz w:val="16"/>
        </w:rPr>
      </w:pPr>
      <w:r>
        <w:rPr>
          <w:w w:val="105"/>
          <w:sz w:val="16"/>
        </w:rPr>
        <w:t>Ronald</w:t>
      </w:r>
      <w:r>
        <w:rPr>
          <w:spacing w:val="-10"/>
          <w:w w:val="105"/>
          <w:sz w:val="16"/>
        </w:rPr>
        <w:t> </w:t>
      </w:r>
      <w:r>
        <w:rPr>
          <w:w w:val="105"/>
          <w:sz w:val="16"/>
        </w:rPr>
        <w:t>L.</w:t>
      </w:r>
      <w:r>
        <w:rPr>
          <w:spacing w:val="-10"/>
          <w:w w:val="105"/>
          <w:sz w:val="16"/>
        </w:rPr>
        <w:t> </w:t>
      </w:r>
      <w:r>
        <w:rPr>
          <w:w w:val="105"/>
          <w:sz w:val="16"/>
        </w:rPr>
        <w:t>Verkleeren</w:t>
      </w:r>
      <w:r>
        <w:rPr>
          <w:spacing w:val="23"/>
          <w:w w:val="105"/>
          <w:sz w:val="16"/>
        </w:rPr>
        <w:t> </w:t>
      </w:r>
      <w:r>
        <w:rPr>
          <w:i/>
          <w:w w:val="105"/>
          <w:sz w:val="16"/>
        </w:rPr>
        <w:t>Senior</w:t>
      </w:r>
      <w:r>
        <w:rPr>
          <w:i/>
          <w:spacing w:val="-10"/>
          <w:w w:val="105"/>
          <w:sz w:val="16"/>
        </w:rPr>
        <w:t> </w:t>
      </w:r>
      <w:r>
        <w:rPr>
          <w:i/>
          <w:w w:val="105"/>
          <w:sz w:val="16"/>
        </w:rPr>
        <w:t>Vice</w:t>
      </w:r>
      <w:r>
        <w:rPr>
          <w:i/>
          <w:spacing w:val="-9"/>
          <w:w w:val="105"/>
          <w:sz w:val="16"/>
        </w:rPr>
        <w:t> </w:t>
      </w:r>
      <w:r>
        <w:rPr>
          <w:i/>
          <w:w w:val="105"/>
          <w:sz w:val="16"/>
        </w:rPr>
        <w:t>President</w:t>
      </w:r>
      <w:r>
        <w:rPr>
          <w:i/>
          <w:spacing w:val="-10"/>
          <w:w w:val="105"/>
          <w:sz w:val="16"/>
        </w:rPr>
        <w:t> </w:t>
      </w:r>
      <w:r>
        <w:rPr>
          <w:i/>
          <w:w w:val="105"/>
          <w:sz w:val="16"/>
        </w:rPr>
        <w:t>&amp;</w:t>
      </w:r>
      <w:r>
        <w:rPr>
          <w:i/>
          <w:spacing w:val="-10"/>
          <w:w w:val="105"/>
          <w:sz w:val="16"/>
        </w:rPr>
        <w:t> </w:t>
      </w:r>
      <w:r>
        <w:rPr>
          <w:i/>
          <w:w w:val="105"/>
          <w:sz w:val="16"/>
        </w:rPr>
        <w:t>General</w:t>
      </w:r>
      <w:r>
        <w:rPr>
          <w:i/>
          <w:spacing w:val="-8"/>
          <w:w w:val="105"/>
          <w:sz w:val="16"/>
        </w:rPr>
        <w:t> </w:t>
      </w:r>
      <w:r>
        <w:rPr>
          <w:i/>
          <w:w w:val="105"/>
          <w:sz w:val="16"/>
        </w:rPr>
        <w:t>Manager,</w:t>
      </w:r>
      <w:r>
        <w:rPr>
          <w:i/>
          <w:spacing w:val="-10"/>
          <w:w w:val="105"/>
          <w:sz w:val="16"/>
        </w:rPr>
        <w:t> </w:t>
      </w:r>
      <w:r>
        <w:rPr>
          <w:i/>
          <w:w w:val="105"/>
          <w:sz w:val="16"/>
        </w:rPr>
        <w:t>Life</w:t>
      </w:r>
      <w:r>
        <w:rPr>
          <w:i/>
          <w:spacing w:val="-10"/>
          <w:w w:val="105"/>
          <w:sz w:val="16"/>
        </w:rPr>
        <w:t> </w:t>
      </w:r>
      <w:r>
        <w:rPr>
          <w:i/>
          <w:w w:val="105"/>
          <w:sz w:val="16"/>
        </w:rPr>
        <w:t>Sciences</w:t>
      </w:r>
      <w:r>
        <w:rPr>
          <w:i/>
          <w:spacing w:val="-10"/>
          <w:w w:val="105"/>
          <w:sz w:val="16"/>
        </w:rPr>
        <w:t> </w:t>
      </w:r>
      <w:r>
        <w:rPr>
          <w:i/>
          <w:spacing w:val="-2"/>
          <w:w w:val="105"/>
          <w:sz w:val="16"/>
        </w:rPr>
        <w:t>Technologies</w:t>
      </w:r>
    </w:p>
    <w:p>
      <w:pPr>
        <w:pStyle w:val="BodyText"/>
        <w:spacing w:line="266" w:lineRule="auto" w:before="20"/>
        <w:ind w:left="156"/>
      </w:pPr>
      <w:r>
        <w:rPr>
          <w:w w:val="105"/>
        </w:rPr>
        <w:t>Mr.</w:t>
      </w:r>
      <w:r>
        <w:rPr>
          <w:spacing w:val="-4"/>
          <w:w w:val="105"/>
        </w:rPr>
        <w:t> </w:t>
      </w:r>
      <w:r>
        <w:rPr>
          <w:w w:val="105"/>
        </w:rPr>
        <w:t>Verkleeren</w:t>
      </w:r>
      <w:r>
        <w:rPr>
          <w:spacing w:val="-4"/>
          <w:w w:val="105"/>
        </w:rPr>
        <w:t> </w:t>
      </w:r>
      <w:r>
        <w:rPr>
          <w:w w:val="105"/>
        </w:rPr>
        <w:t>joined</w:t>
      </w:r>
      <w:r>
        <w:rPr>
          <w:spacing w:val="-4"/>
          <w:w w:val="105"/>
        </w:rPr>
        <w:t> </w:t>
      </w:r>
      <w:r>
        <w:rPr>
          <w:w w:val="105"/>
        </w:rPr>
        <w:t>Corning</w:t>
      </w:r>
      <w:r>
        <w:rPr>
          <w:spacing w:val="-4"/>
          <w:w w:val="105"/>
        </w:rPr>
        <w:t> </w:t>
      </w:r>
      <w:r>
        <w:rPr>
          <w:w w:val="105"/>
        </w:rPr>
        <w:t>in</w:t>
      </w:r>
      <w:r>
        <w:rPr>
          <w:spacing w:val="-4"/>
          <w:w w:val="105"/>
        </w:rPr>
        <w:t> </w:t>
      </w:r>
      <w:r>
        <w:rPr>
          <w:w w:val="105"/>
        </w:rPr>
        <w:t>2001</w:t>
      </w:r>
      <w:r>
        <w:rPr>
          <w:spacing w:val="-3"/>
          <w:w w:val="105"/>
        </w:rPr>
        <w:t> </w:t>
      </w:r>
      <w:r>
        <w:rPr>
          <w:w w:val="105"/>
        </w:rPr>
        <w:t>in</w:t>
      </w:r>
      <w:r>
        <w:rPr>
          <w:spacing w:val="-4"/>
          <w:w w:val="105"/>
        </w:rPr>
        <w:t> </w:t>
      </w:r>
      <w:r>
        <w:rPr>
          <w:w w:val="105"/>
        </w:rPr>
        <w:t>the</w:t>
      </w:r>
      <w:r>
        <w:rPr>
          <w:spacing w:val="-4"/>
          <w:w w:val="105"/>
        </w:rPr>
        <w:t> </w:t>
      </w:r>
      <w:r>
        <w:rPr>
          <w:w w:val="105"/>
        </w:rPr>
        <w:t>Optical</w:t>
      </w:r>
      <w:r>
        <w:rPr>
          <w:spacing w:val="-4"/>
          <w:w w:val="105"/>
        </w:rPr>
        <w:t> </w:t>
      </w:r>
      <w:r>
        <w:rPr>
          <w:w w:val="105"/>
        </w:rPr>
        <w:t>Communications</w:t>
      </w:r>
      <w:r>
        <w:rPr>
          <w:spacing w:val="-4"/>
          <w:w w:val="105"/>
        </w:rPr>
        <w:t> </w:t>
      </w:r>
      <w:r>
        <w:rPr>
          <w:w w:val="105"/>
        </w:rPr>
        <w:t>segment.</w:t>
      </w:r>
      <w:r>
        <w:rPr>
          <w:spacing w:val="-4"/>
          <w:w w:val="105"/>
        </w:rPr>
        <w:t> </w:t>
      </w:r>
      <w:r>
        <w:rPr>
          <w:w w:val="105"/>
        </w:rPr>
        <w:t>He</w:t>
      </w:r>
      <w:r>
        <w:rPr>
          <w:spacing w:val="-4"/>
          <w:w w:val="105"/>
        </w:rPr>
        <w:t> </w:t>
      </w:r>
      <w:r>
        <w:rPr>
          <w:w w:val="105"/>
        </w:rPr>
        <w:t>joined</w:t>
      </w:r>
      <w:r>
        <w:rPr>
          <w:spacing w:val="-4"/>
          <w:w w:val="105"/>
        </w:rPr>
        <w:t> </w:t>
      </w:r>
      <w:r>
        <w:rPr>
          <w:w w:val="105"/>
        </w:rPr>
        <w:t>the</w:t>
      </w:r>
      <w:r>
        <w:rPr>
          <w:spacing w:val="-4"/>
          <w:w w:val="105"/>
        </w:rPr>
        <w:t> </w:t>
      </w:r>
      <w:r>
        <w:rPr>
          <w:w w:val="105"/>
        </w:rPr>
        <w:t>Life</w:t>
      </w:r>
      <w:r>
        <w:rPr>
          <w:spacing w:val="-4"/>
          <w:w w:val="105"/>
        </w:rPr>
        <w:t> </w:t>
      </w:r>
      <w:r>
        <w:rPr>
          <w:w w:val="105"/>
        </w:rPr>
        <w:t>Sciences</w:t>
      </w:r>
      <w:r>
        <w:rPr>
          <w:spacing w:val="-4"/>
          <w:w w:val="105"/>
        </w:rPr>
        <w:t> </w:t>
      </w:r>
      <w:r>
        <w:rPr>
          <w:w w:val="105"/>
        </w:rPr>
        <w:t>segment</w:t>
      </w:r>
      <w:r>
        <w:rPr>
          <w:spacing w:val="-4"/>
          <w:w w:val="105"/>
        </w:rPr>
        <w:t> </w:t>
      </w:r>
      <w:r>
        <w:rPr>
          <w:w w:val="105"/>
        </w:rPr>
        <w:t>in</w:t>
      </w:r>
      <w:r>
        <w:rPr>
          <w:spacing w:val="-4"/>
          <w:w w:val="105"/>
        </w:rPr>
        <w:t> </w:t>
      </w:r>
      <w:r>
        <w:rPr>
          <w:w w:val="105"/>
        </w:rPr>
        <w:t>2004</w:t>
      </w:r>
      <w:r>
        <w:rPr>
          <w:spacing w:val="-4"/>
          <w:w w:val="105"/>
        </w:rPr>
        <w:t> </w:t>
      </w:r>
      <w:r>
        <w:rPr>
          <w:w w:val="105"/>
        </w:rPr>
        <w:t>and</w:t>
      </w:r>
      <w:r>
        <w:rPr>
          <w:spacing w:val="-4"/>
          <w:w w:val="105"/>
        </w:rPr>
        <w:t> </w:t>
      </w:r>
      <w:r>
        <w:rPr>
          <w:w w:val="105"/>
        </w:rPr>
        <w:t>has</w:t>
      </w:r>
      <w:r>
        <w:rPr>
          <w:spacing w:val="-4"/>
          <w:w w:val="105"/>
        </w:rPr>
        <w:t> </w:t>
      </w:r>
      <w:r>
        <w:rPr>
          <w:w w:val="105"/>
        </w:rPr>
        <w:t>held</w:t>
      </w:r>
      <w:r>
        <w:rPr>
          <w:spacing w:val="-4"/>
          <w:w w:val="105"/>
        </w:rPr>
        <w:t> </w:t>
      </w:r>
      <w:r>
        <w:rPr>
          <w:w w:val="105"/>
        </w:rPr>
        <w:t>a</w:t>
      </w:r>
      <w:r>
        <w:rPr>
          <w:spacing w:val="-4"/>
          <w:w w:val="105"/>
        </w:rPr>
        <w:t> </w:t>
      </w:r>
      <w:r>
        <w:rPr>
          <w:w w:val="105"/>
        </w:rPr>
        <w:t>variety</w:t>
      </w:r>
      <w:r>
        <w:rPr>
          <w:spacing w:val="-4"/>
          <w:w w:val="105"/>
        </w:rPr>
        <w:t> </w:t>
      </w:r>
      <w:r>
        <w:rPr>
          <w:w w:val="105"/>
        </w:rPr>
        <w:t>of</w:t>
      </w:r>
      <w:r>
        <w:rPr>
          <w:spacing w:val="-4"/>
          <w:w w:val="105"/>
        </w:rPr>
        <w:t> </w:t>
      </w:r>
      <w:r>
        <w:rPr>
          <w:w w:val="105"/>
        </w:rPr>
        <w:t>progressive</w:t>
      </w:r>
      <w:r>
        <w:rPr>
          <w:spacing w:val="-4"/>
          <w:w w:val="105"/>
        </w:rPr>
        <w:t> </w:t>
      </w:r>
      <w:r>
        <w:rPr>
          <w:w w:val="105"/>
        </w:rPr>
        <w:t>roles</w:t>
      </w:r>
      <w:r>
        <w:rPr>
          <w:spacing w:val="-4"/>
          <w:w w:val="105"/>
        </w:rPr>
        <w:t> </w:t>
      </w:r>
      <w:r>
        <w:rPr>
          <w:w w:val="105"/>
        </w:rPr>
        <w:t>in that</w:t>
      </w:r>
      <w:r>
        <w:rPr>
          <w:spacing w:val="-8"/>
          <w:w w:val="105"/>
        </w:rPr>
        <w:t> </w:t>
      </w:r>
      <w:r>
        <w:rPr>
          <w:w w:val="105"/>
        </w:rPr>
        <w:t>segment.</w:t>
      </w:r>
      <w:r>
        <w:rPr>
          <w:spacing w:val="-8"/>
          <w:w w:val="105"/>
        </w:rPr>
        <w:t> </w:t>
      </w:r>
      <w:r>
        <w:rPr>
          <w:w w:val="105"/>
        </w:rPr>
        <w:t>In</w:t>
      </w:r>
      <w:r>
        <w:rPr>
          <w:spacing w:val="-8"/>
          <w:w w:val="105"/>
        </w:rPr>
        <w:t> </w:t>
      </w:r>
      <w:r>
        <w:rPr>
          <w:w w:val="105"/>
        </w:rPr>
        <w:t>2010,</w:t>
      </w:r>
      <w:r>
        <w:rPr>
          <w:spacing w:val="-8"/>
          <w:w w:val="105"/>
        </w:rPr>
        <w:t> </w:t>
      </w:r>
      <w:r>
        <w:rPr>
          <w:w w:val="105"/>
        </w:rPr>
        <w:t>he</w:t>
      </w:r>
      <w:r>
        <w:rPr>
          <w:spacing w:val="-8"/>
          <w:w w:val="105"/>
        </w:rPr>
        <w:t> </w:t>
      </w:r>
      <w:r>
        <w:rPr>
          <w:w w:val="105"/>
        </w:rPr>
        <w:t>was</w:t>
      </w:r>
      <w:r>
        <w:rPr>
          <w:spacing w:val="-8"/>
          <w:w w:val="105"/>
        </w:rPr>
        <w:t> </w:t>
      </w:r>
      <w:r>
        <w:rPr>
          <w:w w:val="105"/>
        </w:rPr>
        <w:t>named</w:t>
      </w:r>
      <w:r>
        <w:rPr>
          <w:spacing w:val="-8"/>
          <w:w w:val="105"/>
        </w:rPr>
        <w:t> </w:t>
      </w:r>
      <w:r>
        <w:rPr>
          <w:w w:val="105"/>
        </w:rPr>
        <w:t>division</w:t>
      </w:r>
      <w:r>
        <w:rPr>
          <w:spacing w:val="-8"/>
          <w:w w:val="105"/>
        </w:rPr>
        <w:t> </w:t>
      </w:r>
      <w:r>
        <w:rPr>
          <w:w w:val="105"/>
        </w:rPr>
        <w:t>vice</w:t>
      </w:r>
      <w:r>
        <w:rPr>
          <w:spacing w:val="-8"/>
          <w:w w:val="105"/>
        </w:rPr>
        <w:t> </w:t>
      </w:r>
      <w:r>
        <w:rPr>
          <w:w w:val="105"/>
        </w:rPr>
        <w:t>president</w:t>
      </w:r>
      <w:r>
        <w:rPr>
          <w:spacing w:val="-8"/>
          <w:w w:val="105"/>
        </w:rPr>
        <w:t> </w:t>
      </w:r>
      <w:r>
        <w:rPr>
          <w:w w:val="105"/>
        </w:rPr>
        <w:t>and</w:t>
      </w:r>
      <w:r>
        <w:rPr>
          <w:spacing w:val="-8"/>
          <w:w w:val="105"/>
        </w:rPr>
        <w:t> </w:t>
      </w:r>
      <w:r>
        <w:rPr>
          <w:w w:val="105"/>
        </w:rPr>
        <w:t>director</w:t>
      </w:r>
      <w:r>
        <w:rPr>
          <w:spacing w:val="-8"/>
          <w:w w:val="105"/>
        </w:rPr>
        <w:t> </w:t>
      </w:r>
      <w:r>
        <w:rPr>
          <w:w w:val="105"/>
        </w:rPr>
        <w:t>of</w:t>
      </w:r>
      <w:r>
        <w:rPr>
          <w:spacing w:val="-8"/>
          <w:w w:val="105"/>
        </w:rPr>
        <w:t> </w:t>
      </w:r>
      <w:r>
        <w:rPr>
          <w:w w:val="105"/>
        </w:rPr>
        <w:t>Advanced</w:t>
      </w:r>
      <w:r>
        <w:rPr>
          <w:spacing w:val="-8"/>
          <w:w w:val="105"/>
        </w:rPr>
        <w:t> </w:t>
      </w:r>
      <w:r>
        <w:rPr>
          <w:w w:val="105"/>
        </w:rPr>
        <w:t>Life</w:t>
      </w:r>
      <w:r>
        <w:rPr>
          <w:spacing w:val="-8"/>
          <w:w w:val="105"/>
        </w:rPr>
        <w:t> </w:t>
      </w:r>
      <w:r>
        <w:rPr>
          <w:w w:val="105"/>
        </w:rPr>
        <w:t>Sciences.</w:t>
      </w:r>
      <w:r>
        <w:rPr>
          <w:spacing w:val="-8"/>
          <w:w w:val="105"/>
        </w:rPr>
        <w:t> </w:t>
      </w:r>
      <w:r>
        <w:rPr>
          <w:w w:val="105"/>
        </w:rPr>
        <w:t>In</w:t>
      </w:r>
      <w:r>
        <w:rPr>
          <w:spacing w:val="-8"/>
          <w:w w:val="105"/>
        </w:rPr>
        <w:t> </w:t>
      </w:r>
      <w:r>
        <w:rPr>
          <w:w w:val="105"/>
        </w:rPr>
        <w:t>2012</w:t>
      </w:r>
      <w:r>
        <w:rPr>
          <w:spacing w:val="-8"/>
          <w:w w:val="105"/>
        </w:rPr>
        <w:t> </w:t>
      </w:r>
      <w:r>
        <w:rPr>
          <w:w w:val="105"/>
        </w:rPr>
        <w:t>he</w:t>
      </w:r>
      <w:r>
        <w:rPr>
          <w:spacing w:val="-8"/>
          <w:w w:val="105"/>
        </w:rPr>
        <w:t> </w:t>
      </w:r>
      <w:r>
        <w:rPr>
          <w:w w:val="105"/>
        </w:rPr>
        <w:t>was</w:t>
      </w:r>
      <w:r>
        <w:rPr>
          <w:spacing w:val="-8"/>
          <w:w w:val="105"/>
        </w:rPr>
        <w:t> </w:t>
      </w:r>
      <w:r>
        <w:rPr>
          <w:w w:val="105"/>
        </w:rPr>
        <w:t>named</w:t>
      </w:r>
      <w:r>
        <w:rPr>
          <w:spacing w:val="-8"/>
          <w:w w:val="105"/>
        </w:rPr>
        <w:t> </w:t>
      </w:r>
      <w:r>
        <w:rPr>
          <w:w w:val="105"/>
        </w:rPr>
        <w:t>division</w:t>
      </w:r>
      <w:r>
        <w:rPr>
          <w:spacing w:val="-8"/>
          <w:w w:val="105"/>
        </w:rPr>
        <w:t> </w:t>
      </w:r>
      <w:r>
        <w:rPr>
          <w:w w:val="105"/>
        </w:rPr>
        <w:t>vice</w:t>
      </w:r>
      <w:r>
        <w:rPr>
          <w:spacing w:val="-8"/>
          <w:w w:val="105"/>
        </w:rPr>
        <w:t> </w:t>
      </w:r>
      <w:r>
        <w:rPr>
          <w:w w:val="105"/>
        </w:rPr>
        <w:t>president</w:t>
      </w:r>
      <w:r>
        <w:rPr>
          <w:spacing w:val="-8"/>
          <w:w w:val="105"/>
        </w:rPr>
        <w:t> </w:t>
      </w:r>
      <w:r>
        <w:rPr>
          <w:w w:val="105"/>
        </w:rPr>
        <w:t>and</w:t>
      </w:r>
      <w:r>
        <w:rPr>
          <w:spacing w:val="-8"/>
          <w:w w:val="105"/>
        </w:rPr>
        <w:t> </w:t>
      </w:r>
      <w:r>
        <w:rPr>
          <w:w w:val="105"/>
        </w:rPr>
        <w:t>program</w:t>
      </w:r>
      <w:r>
        <w:rPr>
          <w:spacing w:val="-8"/>
          <w:w w:val="105"/>
        </w:rPr>
        <w:t> </w:t>
      </w:r>
      <w:r>
        <w:rPr>
          <w:w w:val="105"/>
        </w:rPr>
        <w:t>director</w:t>
      </w:r>
      <w:r>
        <w:rPr>
          <w:spacing w:val="-8"/>
          <w:w w:val="105"/>
        </w:rPr>
        <w:t> </w:t>
      </w:r>
      <w:r>
        <w:rPr>
          <w:w w:val="105"/>
        </w:rPr>
        <w:t>for Corning</w:t>
      </w:r>
      <w:r>
        <w:rPr>
          <w:spacing w:val="-3"/>
          <w:w w:val="105"/>
        </w:rPr>
        <w:t> </w:t>
      </w:r>
      <w:r>
        <w:rPr>
          <w:w w:val="105"/>
        </w:rPr>
        <w:t>Pharmaceutical</w:t>
      </w:r>
      <w:r>
        <w:rPr>
          <w:spacing w:val="-3"/>
          <w:w w:val="105"/>
        </w:rPr>
        <w:t> </w:t>
      </w:r>
      <w:r>
        <w:rPr>
          <w:w w:val="105"/>
        </w:rPr>
        <w:t>Technologies.</w:t>
      </w:r>
      <w:r>
        <w:rPr>
          <w:spacing w:val="-3"/>
          <w:w w:val="105"/>
        </w:rPr>
        <w:t> </w:t>
      </w:r>
      <w:r>
        <w:rPr>
          <w:w w:val="105"/>
        </w:rPr>
        <w:t>In</w:t>
      </w:r>
      <w:r>
        <w:rPr>
          <w:spacing w:val="-3"/>
          <w:w w:val="105"/>
        </w:rPr>
        <w:t> </w:t>
      </w:r>
      <w:r>
        <w:rPr>
          <w:w w:val="105"/>
        </w:rPr>
        <w:t>2015,</w:t>
      </w:r>
      <w:r>
        <w:rPr>
          <w:spacing w:val="-3"/>
          <w:w w:val="105"/>
        </w:rPr>
        <w:t> </w:t>
      </w:r>
      <w:r>
        <w:rPr>
          <w:w w:val="105"/>
        </w:rPr>
        <w:t>he</w:t>
      </w:r>
      <w:r>
        <w:rPr>
          <w:spacing w:val="-3"/>
          <w:w w:val="105"/>
        </w:rPr>
        <w:t> </w:t>
      </w:r>
      <w:r>
        <w:rPr>
          <w:w w:val="105"/>
        </w:rPr>
        <w:t>became</w:t>
      </w:r>
      <w:r>
        <w:rPr>
          <w:spacing w:val="-3"/>
          <w:w w:val="105"/>
        </w:rPr>
        <w:t> </w:t>
      </w:r>
      <w:r>
        <w:rPr>
          <w:w w:val="105"/>
        </w:rPr>
        <w:t>vice</w:t>
      </w:r>
      <w:r>
        <w:rPr>
          <w:spacing w:val="-3"/>
          <w:w w:val="105"/>
        </w:rPr>
        <w:t> </w:t>
      </w:r>
      <w:r>
        <w:rPr>
          <w:w w:val="105"/>
        </w:rPr>
        <w:t>president</w:t>
      </w:r>
      <w:r>
        <w:rPr>
          <w:spacing w:val="-3"/>
          <w:w w:val="105"/>
        </w:rPr>
        <w:t> </w:t>
      </w:r>
      <w:r>
        <w:rPr>
          <w:w w:val="105"/>
        </w:rPr>
        <w:t>and</w:t>
      </w:r>
      <w:r>
        <w:rPr>
          <w:spacing w:val="-3"/>
          <w:w w:val="105"/>
        </w:rPr>
        <w:t> </w:t>
      </w:r>
      <w:r>
        <w:rPr>
          <w:w w:val="105"/>
        </w:rPr>
        <w:t>general</w:t>
      </w:r>
      <w:r>
        <w:rPr>
          <w:spacing w:val="-3"/>
          <w:w w:val="105"/>
        </w:rPr>
        <w:t> </w:t>
      </w:r>
      <w:r>
        <w:rPr>
          <w:w w:val="105"/>
        </w:rPr>
        <w:t>manager</w:t>
      </w:r>
      <w:r>
        <w:rPr>
          <w:spacing w:val="-3"/>
          <w:w w:val="105"/>
        </w:rPr>
        <w:t> </w:t>
      </w:r>
      <w:r>
        <w:rPr>
          <w:w w:val="105"/>
        </w:rPr>
        <w:t>of</w:t>
      </w:r>
      <w:r>
        <w:rPr>
          <w:spacing w:val="-3"/>
          <w:w w:val="105"/>
        </w:rPr>
        <w:t> </w:t>
      </w:r>
      <w:r>
        <w:rPr>
          <w:w w:val="105"/>
        </w:rPr>
        <w:t>the</w:t>
      </w:r>
      <w:r>
        <w:rPr>
          <w:spacing w:val="-3"/>
          <w:w w:val="105"/>
        </w:rPr>
        <w:t> </w:t>
      </w:r>
      <w:r>
        <w:rPr>
          <w:w w:val="105"/>
        </w:rPr>
        <w:t>Pharmaceutical</w:t>
      </w:r>
      <w:r>
        <w:rPr>
          <w:spacing w:val="-3"/>
          <w:w w:val="105"/>
        </w:rPr>
        <w:t> </w:t>
      </w:r>
      <w:r>
        <w:rPr>
          <w:w w:val="105"/>
        </w:rPr>
        <w:t>Technologies</w:t>
      </w:r>
      <w:r>
        <w:rPr>
          <w:spacing w:val="-3"/>
          <w:w w:val="105"/>
        </w:rPr>
        <w:t> </w:t>
      </w:r>
      <w:r>
        <w:rPr>
          <w:w w:val="105"/>
        </w:rPr>
        <w:t>division.</w:t>
      </w:r>
      <w:r>
        <w:rPr>
          <w:spacing w:val="-3"/>
          <w:w w:val="105"/>
        </w:rPr>
        <w:t> </w:t>
      </w:r>
      <w:r>
        <w:rPr>
          <w:w w:val="105"/>
        </w:rPr>
        <w:t>He</w:t>
      </w:r>
      <w:r>
        <w:rPr>
          <w:spacing w:val="-3"/>
          <w:w w:val="105"/>
        </w:rPr>
        <w:t> </w:t>
      </w:r>
      <w:r>
        <w:rPr>
          <w:w w:val="105"/>
        </w:rPr>
        <w:t>was</w:t>
      </w:r>
      <w:r>
        <w:rPr>
          <w:spacing w:val="-3"/>
          <w:w w:val="105"/>
        </w:rPr>
        <w:t> </w:t>
      </w:r>
      <w:r>
        <w:rPr>
          <w:w w:val="105"/>
        </w:rPr>
        <w:t>elected</w:t>
      </w:r>
      <w:r>
        <w:rPr>
          <w:spacing w:val="-3"/>
          <w:w w:val="105"/>
        </w:rPr>
        <w:t> </w:t>
      </w:r>
      <w:r>
        <w:rPr>
          <w:w w:val="105"/>
        </w:rPr>
        <w:t>as</w:t>
      </w:r>
      <w:r>
        <w:rPr>
          <w:spacing w:val="-3"/>
          <w:w w:val="105"/>
        </w:rPr>
        <w:t> </w:t>
      </w:r>
      <w:r>
        <w:rPr>
          <w:w w:val="105"/>
        </w:rPr>
        <w:t>senior</w:t>
      </w:r>
      <w:r>
        <w:rPr>
          <w:spacing w:val="-3"/>
          <w:w w:val="105"/>
        </w:rPr>
        <w:t> </w:t>
      </w:r>
      <w:r>
        <w:rPr>
          <w:w w:val="105"/>
        </w:rPr>
        <w:t>vice president &amp; general manager, Life Sciences in April 2020. Age 51.</w:t>
      </w:r>
    </w:p>
    <w:p>
      <w:pPr>
        <w:pStyle w:val="BodyText"/>
        <w:spacing w:before="18"/>
      </w:pPr>
    </w:p>
    <w:p>
      <w:pPr>
        <w:spacing w:before="0"/>
        <w:ind w:left="156" w:right="0" w:firstLine="0"/>
        <w:jc w:val="left"/>
        <w:rPr>
          <w:i/>
          <w:sz w:val="16"/>
        </w:rPr>
      </w:pPr>
      <w:r>
        <w:rPr>
          <w:w w:val="105"/>
          <w:sz w:val="16"/>
        </w:rPr>
        <w:t>Wendell</w:t>
      </w:r>
      <w:r>
        <w:rPr>
          <w:spacing w:val="-9"/>
          <w:w w:val="105"/>
          <w:sz w:val="16"/>
        </w:rPr>
        <w:t> </w:t>
      </w:r>
      <w:r>
        <w:rPr>
          <w:w w:val="105"/>
          <w:sz w:val="16"/>
        </w:rPr>
        <w:t>P.</w:t>
      </w:r>
      <w:r>
        <w:rPr>
          <w:spacing w:val="-9"/>
          <w:w w:val="105"/>
          <w:sz w:val="16"/>
        </w:rPr>
        <w:t> </w:t>
      </w:r>
      <w:r>
        <w:rPr>
          <w:w w:val="105"/>
          <w:sz w:val="16"/>
        </w:rPr>
        <w:t>Weeks</w:t>
      </w:r>
      <w:r>
        <w:rPr>
          <w:spacing w:val="25"/>
          <w:w w:val="105"/>
          <w:sz w:val="16"/>
        </w:rPr>
        <w:t> </w:t>
      </w:r>
      <w:r>
        <w:rPr>
          <w:i/>
          <w:w w:val="105"/>
          <w:sz w:val="16"/>
        </w:rPr>
        <w:t>Chairman</w:t>
      </w:r>
      <w:r>
        <w:rPr>
          <w:i/>
          <w:spacing w:val="-9"/>
          <w:w w:val="105"/>
          <w:sz w:val="16"/>
        </w:rPr>
        <w:t> </w:t>
      </w:r>
      <w:r>
        <w:rPr>
          <w:i/>
          <w:w w:val="105"/>
          <w:sz w:val="16"/>
        </w:rPr>
        <w:t>and</w:t>
      </w:r>
      <w:r>
        <w:rPr>
          <w:i/>
          <w:spacing w:val="-9"/>
          <w:w w:val="105"/>
          <w:sz w:val="16"/>
        </w:rPr>
        <w:t> </w:t>
      </w:r>
      <w:r>
        <w:rPr>
          <w:i/>
          <w:w w:val="105"/>
          <w:sz w:val="16"/>
        </w:rPr>
        <w:t>Chief</w:t>
      </w:r>
      <w:r>
        <w:rPr>
          <w:i/>
          <w:spacing w:val="-9"/>
          <w:w w:val="105"/>
          <w:sz w:val="16"/>
        </w:rPr>
        <w:t> </w:t>
      </w:r>
      <w:r>
        <w:rPr>
          <w:i/>
          <w:w w:val="105"/>
          <w:sz w:val="16"/>
        </w:rPr>
        <w:t>Executive</w:t>
      </w:r>
      <w:r>
        <w:rPr>
          <w:i/>
          <w:spacing w:val="-9"/>
          <w:w w:val="105"/>
          <w:sz w:val="16"/>
        </w:rPr>
        <w:t> </w:t>
      </w:r>
      <w:r>
        <w:rPr>
          <w:i/>
          <w:spacing w:val="-2"/>
          <w:w w:val="105"/>
          <w:sz w:val="16"/>
        </w:rPr>
        <w:t>Officer</w:t>
      </w:r>
    </w:p>
    <w:p>
      <w:pPr>
        <w:pStyle w:val="BodyText"/>
        <w:spacing w:line="266" w:lineRule="auto" w:before="20"/>
        <w:ind w:left="156" w:right="328"/>
      </w:pPr>
      <w:r>
        <w:rPr>
          <w:w w:val="105"/>
        </w:rPr>
        <w:t>Mr.</w:t>
      </w:r>
      <w:r>
        <w:rPr>
          <w:spacing w:val="-2"/>
          <w:w w:val="105"/>
        </w:rPr>
        <w:t> </w:t>
      </w:r>
      <w:r>
        <w:rPr>
          <w:w w:val="105"/>
        </w:rPr>
        <w:t>Weeks</w:t>
      </w:r>
      <w:r>
        <w:rPr>
          <w:spacing w:val="-2"/>
          <w:w w:val="105"/>
        </w:rPr>
        <w:t> </w:t>
      </w:r>
      <w:r>
        <w:rPr>
          <w:w w:val="105"/>
        </w:rPr>
        <w:t>joined</w:t>
      </w:r>
      <w:r>
        <w:rPr>
          <w:spacing w:val="-2"/>
          <w:w w:val="105"/>
        </w:rPr>
        <w:t> </w:t>
      </w:r>
      <w:r>
        <w:rPr>
          <w:w w:val="105"/>
        </w:rPr>
        <w:t>Corning</w:t>
      </w:r>
      <w:r>
        <w:rPr>
          <w:spacing w:val="-2"/>
          <w:w w:val="105"/>
        </w:rPr>
        <w:t> </w:t>
      </w:r>
      <w:r>
        <w:rPr>
          <w:w w:val="105"/>
        </w:rPr>
        <w:t>in</w:t>
      </w:r>
      <w:r>
        <w:rPr>
          <w:spacing w:val="-2"/>
          <w:w w:val="105"/>
        </w:rPr>
        <w:t> </w:t>
      </w:r>
      <w:r>
        <w:rPr>
          <w:w w:val="105"/>
        </w:rPr>
        <w:t>1983</w:t>
      </w:r>
      <w:r>
        <w:rPr>
          <w:spacing w:val="-2"/>
          <w:w w:val="105"/>
        </w:rPr>
        <w:t> </w:t>
      </w:r>
      <w:r>
        <w:rPr>
          <w:w w:val="105"/>
        </w:rPr>
        <w:t>in</w:t>
      </w:r>
      <w:r>
        <w:rPr>
          <w:spacing w:val="-2"/>
          <w:w w:val="105"/>
        </w:rPr>
        <w:t> </w:t>
      </w:r>
      <w:r>
        <w:rPr>
          <w:w w:val="105"/>
        </w:rPr>
        <w:t>the finance</w:t>
      </w:r>
      <w:r>
        <w:rPr>
          <w:spacing w:val="-2"/>
          <w:w w:val="105"/>
        </w:rPr>
        <w:t> </w:t>
      </w:r>
      <w:r>
        <w:rPr>
          <w:w w:val="105"/>
        </w:rPr>
        <w:t>group.</w:t>
      </w:r>
      <w:r>
        <w:rPr>
          <w:spacing w:val="39"/>
          <w:w w:val="105"/>
        </w:rPr>
        <w:t> </w:t>
      </w:r>
      <w:r>
        <w:rPr>
          <w:w w:val="105"/>
        </w:rPr>
        <w:t>He</w:t>
      </w:r>
      <w:r>
        <w:rPr>
          <w:spacing w:val="-2"/>
          <w:w w:val="105"/>
        </w:rPr>
        <w:t> </w:t>
      </w:r>
      <w:r>
        <w:rPr>
          <w:w w:val="105"/>
        </w:rPr>
        <w:t>has</w:t>
      </w:r>
      <w:r>
        <w:rPr>
          <w:spacing w:val="-2"/>
          <w:w w:val="105"/>
        </w:rPr>
        <w:t> </w:t>
      </w:r>
      <w:r>
        <w:rPr>
          <w:w w:val="105"/>
        </w:rPr>
        <w:t>held</w:t>
      </w:r>
      <w:r>
        <w:rPr>
          <w:spacing w:val="-2"/>
          <w:w w:val="105"/>
        </w:rPr>
        <w:t> </w:t>
      </w:r>
      <w:r>
        <w:rPr>
          <w:w w:val="105"/>
        </w:rPr>
        <w:t>a</w:t>
      </w:r>
      <w:r>
        <w:rPr>
          <w:spacing w:val="-2"/>
          <w:w w:val="105"/>
        </w:rPr>
        <w:t> </w:t>
      </w:r>
      <w:r>
        <w:rPr>
          <w:w w:val="105"/>
        </w:rPr>
        <w:t>variety</w:t>
      </w:r>
      <w:r>
        <w:rPr>
          <w:spacing w:val="-2"/>
          <w:w w:val="105"/>
        </w:rPr>
        <w:t> </w:t>
      </w:r>
      <w:r>
        <w:rPr>
          <w:w w:val="105"/>
        </w:rPr>
        <w:t>of</w:t>
      </w:r>
      <w:r>
        <w:rPr>
          <w:spacing w:val="-2"/>
          <w:w w:val="105"/>
        </w:rPr>
        <w:t> </w:t>
      </w:r>
      <w:r>
        <w:rPr>
          <w:w w:val="105"/>
        </w:rPr>
        <w:t>financial,</w:t>
      </w:r>
      <w:r>
        <w:rPr>
          <w:spacing w:val="-2"/>
          <w:w w:val="105"/>
        </w:rPr>
        <w:t> </w:t>
      </w:r>
      <w:r>
        <w:rPr>
          <w:w w:val="105"/>
        </w:rPr>
        <w:t>business</w:t>
      </w:r>
      <w:r>
        <w:rPr>
          <w:spacing w:val="-2"/>
          <w:w w:val="105"/>
        </w:rPr>
        <w:t> </w:t>
      </w:r>
      <w:r>
        <w:rPr>
          <w:w w:val="105"/>
        </w:rPr>
        <w:t>development,</w:t>
      </w:r>
      <w:r>
        <w:rPr>
          <w:spacing w:val="-2"/>
          <w:w w:val="105"/>
        </w:rPr>
        <w:t> </w:t>
      </w:r>
      <w:r>
        <w:rPr>
          <w:w w:val="105"/>
        </w:rPr>
        <w:t>commercial,</w:t>
      </w:r>
      <w:r>
        <w:rPr>
          <w:spacing w:val="-2"/>
          <w:w w:val="105"/>
        </w:rPr>
        <w:t> </w:t>
      </w:r>
      <w:r>
        <w:rPr>
          <w:w w:val="105"/>
        </w:rPr>
        <w:t>and</w:t>
      </w:r>
      <w:r>
        <w:rPr>
          <w:spacing w:val="-2"/>
          <w:w w:val="105"/>
        </w:rPr>
        <w:t> </w:t>
      </w:r>
      <w:r>
        <w:rPr>
          <w:w w:val="105"/>
        </w:rPr>
        <w:t>general</w:t>
      </w:r>
      <w:r>
        <w:rPr>
          <w:spacing w:val="-2"/>
          <w:w w:val="105"/>
        </w:rPr>
        <w:t> </w:t>
      </w:r>
      <w:r>
        <w:rPr>
          <w:w w:val="105"/>
        </w:rPr>
        <w:t>management</w:t>
      </w:r>
      <w:r>
        <w:rPr>
          <w:spacing w:val="-2"/>
          <w:w w:val="105"/>
        </w:rPr>
        <w:t> </w:t>
      </w:r>
      <w:r>
        <w:rPr>
          <w:w w:val="105"/>
        </w:rPr>
        <w:t>roles.</w:t>
      </w:r>
      <w:r>
        <w:rPr>
          <w:spacing w:val="39"/>
          <w:w w:val="105"/>
        </w:rPr>
        <w:t> </w:t>
      </w:r>
      <w:r>
        <w:rPr>
          <w:w w:val="105"/>
        </w:rPr>
        <w:t>He</w:t>
      </w:r>
      <w:r>
        <w:rPr>
          <w:spacing w:val="-2"/>
          <w:w w:val="105"/>
        </w:rPr>
        <w:t> </w:t>
      </w:r>
      <w:r>
        <w:rPr>
          <w:w w:val="105"/>
        </w:rPr>
        <w:t>was named</w:t>
      </w:r>
      <w:r>
        <w:rPr>
          <w:spacing w:val="-2"/>
          <w:w w:val="105"/>
        </w:rPr>
        <w:t> </w:t>
      </w:r>
      <w:r>
        <w:rPr>
          <w:w w:val="105"/>
        </w:rPr>
        <w:t>vice</w:t>
      </w:r>
      <w:r>
        <w:rPr>
          <w:spacing w:val="-2"/>
          <w:w w:val="105"/>
        </w:rPr>
        <w:t> </w:t>
      </w:r>
      <w:r>
        <w:rPr>
          <w:w w:val="105"/>
        </w:rPr>
        <w:t>president</w:t>
      </w:r>
      <w:r>
        <w:rPr>
          <w:spacing w:val="-2"/>
          <w:w w:val="105"/>
        </w:rPr>
        <w:t> </w:t>
      </w:r>
      <w:r>
        <w:rPr>
          <w:w w:val="105"/>
        </w:rPr>
        <w:t>and</w:t>
      </w:r>
      <w:r>
        <w:rPr>
          <w:spacing w:val="-2"/>
          <w:w w:val="105"/>
        </w:rPr>
        <w:t> </w:t>
      </w:r>
      <w:r>
        <w:rPr>
          <w:w w:val="105"/>
        </w:rPr>
        <w:t>general</w:t>
      </w:r>
      <w:r>
        <w:rPr>
          <w:spacing w:val="-2"/>
          <w:w w:val="105"/>
        </w:rPr>
        <w:t> </w:t>
      </w:r>
      <w:r>
        <w:rPr>
          <w:w w:val="105"/>
        </w:rPr>
        <w:t>manager</w:t>
      </w:r>
      <w:r>
        <w:rPr>
          <w:spacing w:val="-2"/>
          <w:w w:val="105"/>
        </w:rPr>
        <w:t> </w:t>
      </w:r>
      <w:r>
        <w:rPr>
          <w:w w:val="105"/>
        </w:rPr>
        <w:t>of</w:t>
      </w:r>
      <w:r>
        <w:rPr>
          <w:spacing w:val="-2"/>
          <w:w w:val="105"/>
        </w:rPr>
        <w:t> </w:t>
      </w:r>
      <w:r>
        <w:rPr>
          <w:w w:val="105"/>
        </w:rPr>
        <w:t>the</w:t>
      </w:r>
      <w:r>
        <w:rPr>
          <w:spacing w:val="-2"/>
          <w:w w:val="105"/>
        </w:rPr>
        <w:t> </w:t>
      </w:r>
      <w:r>
        <w:rPr>
          <w:w w:val="105"/>
        </w:rPr>
        <w:t>Optical</w:t>
      </w:r>
      <w:r>
        <w:rPr>
          <w:spacing w:val="-2"/>
          <w:w w:val="105"/>
        </w:rPr>
        <w:t> </w:t>
      </w:r>
      <w:r>
        <w:rPr>
          <w:w w:val="105"/>
        </w:rPr>
        <w:t>Fiber</w:t>
      </w:r>
      <w:r>
        <w:rPr>
          <w:spacing w:val="-2"/>
          <w:w w:val="105"/>
        </w:rPr>
        <w:t> </w:t>
      </w:r>
      <w:r>
        <w:rPr>
          <w:w w:val="105"/>
        </w:rPr>
        <w:t>business</w:t>
      </w:r>
      <w:r>
        <w:rPr>
          <w:spacing w:val="-2"/>
          <w:w w:val="105"/>
        </w:rPr>
        <w:t> </w:t>
      </w:r>
      <w:r>
        <w:rPr>
          <w:w w:val="105"/>
        </w:rPr>
        <w:t>in</w:t>
      </w:r>
      <w:r>
        <w:rPr>
          <w:spacing w:val="-2"/>
          <w:w w:val="105"/>
        </w:rPr>
        <w:t> </w:t>
      </w:r>
      <w:r>
        <w:rPr>
          <w:w w:val="105"/>
        </w:rPr>
        <w:t>1996</w:t>
      </w:r>
      <w:r>
        <w:rPr>
          <w:spacing w:val="-2"/>
          <w:w w:val="105"/>
        </w:rPr>
        <w:t> </w:t>
      </w:r>
      <w:r>
        <w:rPr>
          <w:w w:val="105"/>
        </w:rPr>
        <w:t>and</w:t>
      </w:r>
      <w:r>
        <w:rPr>
          <w:spacing w:val="-2"/>
          <w:w w:val="105"/>
        </w:rPr>
        <w:t> </w:t>
      </w:r>
      <w:r>
        <w:rPr>
          <w:w w:val="105"/>
        </w:rPr>
        <w:t>president</w:t>
      </w:r>
      <w:r>
        <w:rPr>
          <w:spacing w:val="-2"/>
          <w:w w:val="105"/>
        </w:rPr>
        <w:t> </w:t>
      </w:r>
      <w:r>
        <w:rPr>
          <w:w w:val="105"/>
        </w:rPr>
        <w:t>of</w:t>
      </w:r>
      <w:r>
        <w:rPr>
          <w:spacing w:val="-2"/>
          <w:w w:val="105"/>
        </w:rPr>
        <w:t> </w:t>
      </w:r>
      <w:r>
        <w:rPr>
          <w:w w:val="105"/>
        </w:rPr>
        <w:t>Corning’s</w:t>
      </w:r>
      <w:r>
        <w:rPr>
          <w:spacing w:val="-2"/>
          <w:w w:val="105"/>
        </w:rPr>
        <w:t> </w:t>
      </w:r>
      <w:r>
        <w:rPr>
          <w:w w:val="105"/>
        </w:rPr>
        <w:t>Optical</w:t>
      </w:r>
      <w:r>
        <w:rPr>
          <w:spacing w:val="-2"/>
          <w:w w:val="105"/>
        </w:rPr>
        <w:t> </w:t>
      </w:r>
      <w:r>
        <w:rPr>
          <w:w w:val="105"/>
        </w:rPr>
        <w:t>Communications</w:t>
      </w:r>
      <w:r>
        <w:rPr>
          <w:spacing w:val="-2"/>
          <w:w w:val="105"/>
        </w:rPr>
        <w:t> </w:t>
      </w:r>
      <w:r>
        <w:rPr>
          <w:w w:val="105"/>
        </w:rPr>
        <w:t>division</w:t>
      </w:r>
      <w:r>
        <w:rPr>
          <w:spacing w:val="-2"/>
          <w:w w:val="105"/>
        </w:rPr>
        <w:t> </w:t>
      </w:r>
      <w:r>
        <w:rPr>
          <w:w w:val="105"/>
        </w:rPr>
        <w:t>in</w:t>
      </w:r>
      <w:r>
        <w:rPr>
          <w:spacing w:val="-2"/>
          <w:w w:val="105"/>
        </w:rPr>
        <w:t> </w:t>
      </w:r>
      <w:r>
        <w:rPr>
          <w:w w:val="105"/>
        </w:rPr>
        <w:t>2001.</w:t>
      </w:r>
      <w:r>
        <w:rPr>
          <w:spacing w:val="39"/>
          <w:w w:val="105"/>
        </w:rPr>
        <w:t> </w:t>
      </w:r>
      <w:r>
        <w:rPr>
          <w:w w:val="105"/>
        </w:rPr>
        <w:t>He</w:t>
      </w:r>
      <w:r>
        <w:rPr>
          <w:spacing w:val="-2"/>
          <w:w w:val="105"/>
        </w:rPr>
        <w:t> </w:t>
      </w:r>
      <w:r>
        <w:rPr>
          <w:w w:val="105"/>
        </w:rPr>
        <w:t>became Corning’s</w:t>
      </w:r>
      <w:r>
        <w:rPr>
          <w:spacing w:val="-8"/>
          <w:w w:val="105"/>
        </w:rPr>
        <w:t> </w:t>
      </w:r>
      <w:r>
        <w:rPr>
          <w:w w:val="105"/>
        </w:rPr>
        <w:t>president</w:t>
      </w:r>
      <w:r>
        <w:rPr>
          <w:spacing w:val="-8"/>
          <w:w w:val="105"/>
        </w:rPr>
        <w:t> </w:t>
      </w:r>
      <w:r>
        <w:rPr>
          <w:w w:val="105"/>
        </w:rPr>
        <w:t>and</w:t>
      </w:r>
      <w:r>
        <w:rPr>
          <w:spacing w:val="-8"/>
          <w:w w:val="105"/>
        </w:rPr>
        <w:t> </w:t>
      </w:r>
      <w:r>
        <w:rPr>
          <w:w w:val="105"/>
        </w:rPr>
        <w:t>chief</w:t>
      </w:r>
      <w:r>
        <w:rPr>
          <w:spacing w:val="-8"/>
          <w:w w:val="105"/>
        </w:rPr>
        <w:t> </w:t>
      </w:r>
      <w:r>
        <w:rPr>
          <w:w w:val="105"/>
        </w:rPr>
        <w:t>operation</w:t>
      </w:r>
      <w:r>
        <w:rPr>
          <w:spacing w:val="-8"/>
          <w:w w:val="105"/>
        </w:rPr>
        <w:t> </w:t>
      </w:r>
      <w:r>
        <w:rPr>
          <w:w w:val="105"/>
        </w:rPr>
        <w:t>officer</w:t>
      </w:r>
      <w:r>
        <w:rPr>
          <w:spacing w:val="-8"/>
          <w:w w:val="105"/>
        </w:rPr>
        <w:t> </w:t>
      </w:r>
      <w:r>
        <w:rPr>
          <w:w w:val="105"/>
        </w:rPr>
        <w:t>in</w:t>
      </w:r>
      <w:r>
        <w:rPr>
          <w:spacing w:val="-8"/>
          <w:w w:val="105"/>
        </w:rPr>
        <w:t> </w:t>
      </w:r>
      <w:r>
        <w:rPr>
          <w:w w:val="105"/>
        </w:rPr>
        <w:t>April</w:t>
      </w:r>
      <w:r>
        <w:rPr>
          <w:spacing w:val="-8"/>
          <w:w w:val="105"/>
        </w:rPr>
        <w:t> </w:t>
      </w:r>
      <w:r>
        <w:rPr>
          <w:w w:val="105"/>
        </w:rPr>
        <w:t>2002.</w:t>
      </w:r>
      <w:r>
        <w:rPr>
          <w:spacing w:val="-8"/>
          <w:w w:val="105"/>
        </w:rPr>
        <w:t> </w:t>
      </w:r>
      <w:r>
        <w:rPr>
          <w:w w:val="105"/>
        </w:rPr>
        <w:t>Mr.</w:t>
      </w:r>
      <w:r>
        <w:rPr>
          <w:spacing w:val="-8"/>
          <w:w w:val="105"/>
        </w:rPr>
        <w:t> </w:t>
      </w:r>
      <w:r>
        <w:rPr>
          <w:w w:val="105"/>
        </w:rPr>
        <w:t>Weeks</w:t>
      </w:r>
      <w:r>
        <w:rPr>
          <w:spacing w:val="-8"/>
          <w:w w:val="105"/>
        </w:rPr>
        <w:t> </w:t>
      </w:r>
      <w:r>
        <w:rPr>
          <w:w w:val="105"/>
        </w:rPr>
        <w:t>has</w:t>
      </w:r>
      <w:r>
        <w:rPr>
          <w:spacing w:val="-8"/>
          <w:w w:val="105"/>
        </w:rPr>
        <w:t> </w:t>
      </w:r>
      <w:r>
        <w:rPr>
          <w:w w:val="105"/>
        </w:rPr>
        <w:t>been</w:t>
      </w:r>
      <w:r>
        <w:rPr>
          <w:spacing w:val="-8"/>
          <w:w w:val="105"/>
        </w:rPr>
        <w:t> </w:t>
      </w:r>
      <w:r>
        <w:rPr>
          <w:w w:val="105"/>
        </w:rPr>
        <w:t>a</w:t>
      </w:r>
      <w:r>
        <w:rPr>
          <w:spacing w:val="-8"/>
          <w:w w:val="105"/>
        </w:rPr>
        <w:t> </w:t>
      </w:r>
      <w:r>
        <w:rPr>
          <w:w w:val="105"/>
        </w:rPr>
        <w:t>member</w:t>
      </w:r>
      <w:r>
        <w:rPr>
          <w:spacing w:val="-8"/>
          <w:w w:val="105"/>
        </w:rPr>
        <w:t> </w:t>
      </w:r>
      <w:r>
        <w:rPr>
          <w:w w:val="105"/>
        </w:rPr>
        <w:t>of</w:t>
      </w:r>
      <w:r>
        <w:rPr>
          <w:spacing w:val="-8"/>
          <w:w w:val="105"/>
        </w:rPr>
        <w:t> </w:t>
      </w:r>
      <w:r>
        <w:rPr>
          <w:w w:val="105"/>
        </w:rPr>
        <w:t>Corning’s</w:t>
      </w:r>
      <w:r>
        <w:rPr>
          <w:spacing w:val="-8"/>
          <w:w w:val="105"/>
        </w:rPr>
        <w:t> </w:t>
      </w:r>
      <w:r>
        <w:rPr>
          <w:w w:val="105"/>
        </w:rPr>
        <w:t>Board</w:t>
      </w:r>
      <w:r>
        <w:rPr>
          <w:spacing w:val="-8"/>
          <w:w w:val="105"/>
        </w:rPr>
        <w:t> </w:t>
      </w:r>
      <w:r>
        <w:rPr>
          <w:w w:val="105"/>
        </w:rPr>
        <w:t>of</w:t>
      </w:r>
      <w:r>
        <w:rPr>
          <w:spacing w:val="-8"/>
          <w:w w:val="105"/>
        </w:rPr>
        <w:t> </w:t>
      </w:r>
      <w:r>
        <w:rPr>
          <w:w w:val="105"/>
        </w:rPr>
        <w:t>Directors</w:t>
      </w:r>
      <w:r>
        <w:rPr>
          <w:spacing w:val="-8"/>
          <w:w w:val="105"/>
        </w:rPr>
        <w:t> </w:t>
      </w:r>
      <w:r>
        <w:rPr>
          <w:w w:val="105"/>
        </w:rPr>
        <w:t>since</w:t>
      </w:r>
      <w:r>
        <w:rPr>
          <w:spacing w:val="-8"/>
          <w:w w:val="105"/>
        </w:rPr>
        <w:t> </w:t>
      </w:r>
      <w:r>
        <w:rPr>
          <w:w w:val="105"/>
        </w:rPr>
        <w:t>December</w:t>
      </w:r>
      <w:r>
        <w:rPr>
          <w:spacing w:val="-8"/>
          <w:w w:val="105"/>
        </w:rPr>
        <w:t> </w:t>
      </w:r>
      <w:r>
        <w:rPr>
          <w:w w:val="105"/>
        </w:rPr>
        <w:t>2000.</w:t>
      </w:r>
      <w:r>
        <w:rPr>
          <w:spacing w:val="27"/>
          <w:w w:val="105"/>
        </w:rPr>
        <w:t> </w:t>
      </w:r>
      <w:r>
        <w:rPr>
          <w:w w:val="105"/>
        </w:rPr>
        <w:t>He</w:t>
      </w:r>
      <w:r>
        <w:rPr>
          <w:spacing w:val="-8"/>
          <w:w w:val="105"/>
        </w:rPr>
        <w:t> </w:t>
      </w:r>
      <w:r>
        <w:rPr>
          <w:w w:val="105"/>
        </w:rPr>
        <w:t>was</w:t>
      </w:r>
      <w:r>
        <w:rPr>
          <w:spacing w:val="-8"/>
          <w:w w:val="105"/>
        </w:rPr>
        <w:t> </w:t>
      </w:r>
      <w:r>
        <w:rPr>
          <w:w w:val="105"/>
        </w:rPr>
        <w:t>named</w:t>
      </w:r>
      <w:r>
        <w:rPr>
          <w:spacing w:val="-8"/>
          <w:w w:val="105"/>
        </w:rPr>
        <w:t> </w:t>
      </w:r>
      <w:r>
        <w:rPr>
          <w:w w:val="105"/>
        </w:rPr>
        <w:t>chief executive officer in April 2005 and chairman of the board in April 2007.</w:t>
      </w:r>
      <w:r>
        <w:rPr>
          <w:spacing w:val="40"/>
          <w:w w:val="105"/>
        </w:rPr>
        <w:t> </w:t>
      </w:r>
      <w:r>
        <w:rPr>
          <w:w w:val="105"/>
        </w:rPr>
        <w:t>Mr. Weeks is a director of Amazon.com, Inc.</w:t>
      </w:r>
      <w:r>
        <w:rPr>
          <w:spacing w:val="40"/>
          <w:w w:val="105"/>
        </w:rPr>
        <w:t> </w:t>
      </w:r>
      <w:r>
        <w:rPr>
          <w:w w:val="105"/>
        </w:rPr>
        <w:t>Age 62.</w:t>
      </w:r>
    </w:p>
    <w:p>
      <w:pPr>
        <w:pStyle w:val="BodyText"/>
        <w:spacing w:before="18"/>
      </w:pPr>
    </w:p>
    <w:p>
      <w:pPr>
        <w:spacing w:before="0"/>
        <w:ind w:left="156" w:right="0" w:firstLine="0"/>
        <w:jc w:val="both"/>
        <w:rPr>
          <w:i/>
          <w:sz w:val="16"/>
        </w:rPr>
      </w:pPr>
      <w:r>
        <w:rPr>
          <w:w w:val="105"/>
          <w:sz w:val="16"/>
        </w:rPr>
        <w:t>John</w:t>
      </w:r>
      <w:r>
        <w:rPr>
          <w:spacing w:val="-9"/>
          <w:w w:val="105"/>
          <w:sz w:val="16"/>
        </w:rPr>
        <w:t> </w:t>
      </w:r>
      <w:r>
        <w:rPr>
          <w:w w:val="105"/>
          <w:sz w:val="16"/>
        </w:rPr>
        <w:t>Z.</w:t>
      </w:r>
      <w:r>
        <w:rPr>
          <w:spacing w:val="-9"/>
          <w:w w:val="105"/>
          <w:sz w:val="16"/>
        </w:rPr>
        <w:t> </w:t>
      </w:r>
      <w:r>
        <w:rPr>
          <w:w w:val="105"/>
          <w:sz w:val="16"/>
        </w:rPr>
        <w:t>Zhang</w:t>
      </w:r>
      <w:r>
        <w:rPr>
          <w:spacing w:val="25"/>
          <w:w w:val="105"/>
          <w:sz w:val="16"/>
        </w:rPr>
        <w:t> </w:t>
      </w:r>
      <w:r>
        <w:rPr>
          <w:i/>
          <w:w w:val="105"/>
          <w:sz w:val="16"/>
        </w:rPr>
        <w:t>Senior</w:t>
      </w:r>
      <w:r>
        <w:rPr>
          <w:i/>
          <w:spacing w:val="-8"/>
          <w:w w:val="105"/>
          <w:sz w:val="16"/>
        </w:rPr>
        <w:t> </w:t>
      </w:r>
      <w:r>
        <w:rPr>
          <w:i/>
          <w:w w:val="105"/>
          <w:sz w:val="16"/>
        </w:rPr>
        <w:t>Vice</w:t>
      </w:r>
      <w:r>
        <w:rPr>
          <w:i/>
          <w:spacing w:val="-9"/>
          <w:w w:val="105"/>
          <w:sz w:val="16"/>
        </w:rPr>
        <w:t> </w:t>
      </w:r>
      <w:r>
        <w:rPr>
          <w:i/>
          <w:w w:val="105"/>
          <w:sz w:val="16"/>
        </w:rPr>
        <w:t>President</w:t>
      </w:r>
      <w:r>
        <w:rPr>
          <w:i/>
          <w:spacing w:val="-9"/>
          <w:w w:val="105"/>
          <w:sz w:val="16"/>
        </w:rPr>
        <w:t> </w:t>
      </w:r>
      <w:r>
        <w:rPr>
          <w:i/>
          <w:w w:val="105"/>
          <w:sz w:val="16"/>
        </w:rPr>
        <w:t>&amp;</w:t>
      </w:r>
      <w:r>
        <w:rPr>
          <w:i/>
          <w:spacing w:val="-8"/>
          <w:w w:val="105"/>
          <w:sz w:val="16"/>
        </w:rPr>
        <w:t> </w:t>
      </w:r>
      <w:r>
        <w:rPr>
          <w:i/>
          <w:w w:val="105"/>
          <w:sz w:val="16"/>
        </w:rPr>
        <w:t>General</w:t>
      </w:r>
      <w:r>
        <w:rPr>
          <w:i/>
          <w:spacing w:val="-7"/>
          <w:w w:val="105"/>
          <w:sz w:val="16"/>
        </w:rPr>
        <w:t> </w:t>
      </w:r>
      <w:r>
        <w:rPr>
          <w:i/>
          <w:w w:val="105"/>
          <w:sz w:val="16"/>
        </w:rPr>
        <w:t>Manager,</w:t>
      </w:r>
      <w:r>
        <w:rPr>
          <w:i/>
          <w:spacing w:val="-9"/>
          <w:w w:val="105"/>
          <w:sz w:val="16"/>
        </w:rPr>
        <w:t> </w:t>
      </w:r>
      <w:r>
        <w:rPr>
          <w:i/>
          <w:w w:val="105"/>
          <w:sz w:val="16"/>
        </w:rPr>
        <w:t>Display</w:t>
      </w:r>
      <w:r>
        <w:rPr>
          <w:i/>
          <w:spacing w:val="-8"/>
          <w:w w:val="105"/>
          <w:sz w:val="16"/>
        </w:rPr>
        <w:t> </w:t>
      </w:r>
      <w:r>
        <w:rPr>
          <w:i/>
          <w:spacing w:val="-2"/>
          <w:w w:val="105"/>
          <w:sz w:val="16"/>
        </w:rPr>
        <w:t>Technologies</w:t>
      </w:r>
    </w:p>
    <w:p>
      <w:pPr>
        <w:pStyle w:val="BodyText"/>
        <w:spacing w:line="266" w:lineRule="auto" w:before="20"/>
        <w:ind w:left="156" w:right="145"/>
        <w:jc w:val="both"/>
      </w:pPr>
      <w:r>
        <w:rPr>
          <w:w w:val="105"/>
        </w:rPr>
        <w:t>Mr.</w:t>
      </w:r>
      <w:r>
        <w:rPr>
          <w:spacing w:val="-9"/>
          <w:w w:val="105"/>
        </w:rPr>
        <w:t> </w:t>
      </w:r>
      <w:r>
        <w:rPr>
          <w:w w:val="105"/>
        </w:rPr>
        <w:t>Zhang</w:t>
      </w:r>
      <w:r>
        <w:rPr>
          <w:spacing w:val="-9"/>
          <w:w w:val="105"/>
        </w:rPr>
        <w:t> </w:t>
      </w:r>
      <w:r>
        <w:rPr>
          <w:w w:val="105"/>
        </w:rPr>
        <w:t>joined</w:t>
      </w:r>
      <w:r>
        <w:rPr>
          <w:spacing w:val="-9"/>
          <w:w w:val="105"/>
        </w:rPr>
        <w:t> </w:t>
      </w:r>
      <w:r>
        <w:rPr>
          <w:w w:val="105"/>
        </w:rPr>
        <w:t>Corning</w:t>
      </w:r>
      <w:r>
        <w:rPr>
          <w:spacing w:val="-9"/>
          <w:w w:val="105"/>
        </w:rPr>
        <w:t> </w:t>
      </w:r>
      <w:r>
        <w:rPr>
          <w:w w:val="105"/>
        </w:rPr>
        <w:t>in</w:t>
      </w:r>
      <w:r>
        <w:rPr>
          <w:spacing w:val="-9"/>
          <w:w w:val="105"/>
        </w:rPr>
        <w:t> </w:t>
      </w:r>
      <w:r>
        <w:rPr>
          <w:w w:val="105"/>
        </w:rPr>
        <w:t>2008</w:t>
      </w:r>
      <w:r>
        <w:rPr>
          <w:spacing w:val="-9"/>
          <w:w w:val="105"/>
        </w:rPr>
        <w:t> </w:t>
      </w:r>
      <w:r>
        <w:rPr>
          <w:w w:val="105"/>
        </w:rPr>
        <w:t>as</w:t>
      </w:r>
      <w:r>
        <w:rPr>
          <w:spacing w:val="-9"/>
          <w:w w:val="105"/>
        </w:rPr>
        <w:t> </w:t>
      </w:r>
      <w:r>
        <w:rPr>
          <w:w w:val="105"/>
        </w:rPr>
        <w:t>director,</w:t>
      </w:r>
      <w:r>
        <w:rPr>
          <w:spacing w:val="-9"/>
          <w:w w:val="105"/>
        </w:rPr>
        <w:t> </w:t>
      </w:r>
      <w:r>
        <w:rPr>
          <w:w w:val="105"/>
        </w:rPr>
        <w:t>corporate</w:t>
      </w:r>
      <w:r>
        <w:rPr>
          <w:spacing w:val="-9"/>
          <w:w w:val="105"/>
        </w:rPr>
        <w:t> </w:t>
      </w:r>
      <w:r>
        <w:rPr>
          <w:w w:val="105"/>
        </w:rPr>
        <w:t>development.</w:t>
      </w:r>
      <w:r>
        <w:rPr>
          <w:spacing w:val="-9"/>
          <w:w w:val="105"/>
        </w:rPr>
        <w:t> </w:t>
      </w:r>
      <w:r>
        <w:rPr>
          <w:w w:val="105"/>
        </w:rPr>
        <w:t>In</w:t>
      </w:r>
      <w:r>
        <w:rPr>
          <w:spacing w:val="-9"/>
          <w:w w:val="105"/>
        </w:rPr>
        <w:t> </w:t>
      </w:r>
      <w:r>
        <w:rPr>
          <w:w w:val="105"/>
        </w:rPr>
        <w:t>2009,</w:t>
      </w:r>
      <w:r>
        <w:rPr>
          <w:spacing w:val="-9"/>
          <w:w w:val="105"/>
        </w:rPr>
        <w:t> </w:t>
      </w:r>
      <w:r>
        <w:rPr>
          <w:w w:val="105"/>
        </w:rPr>
        <w:t>he</w:t>
      </w:r>
      <w:r>
        <w:rPr>
          <w:spacing w:val="-9"/>
          <w:w w:val="105"/>
        </w:rPr>
        <w:t> </w:t>
      </w:r>
      <w:r>
        <w:rPr>
          <w:w w:val="105"/>
        </w:rPr>
        <w:t>was</w:t>
      </w:r>
      <w:r>
        <w:rPr>
          <w:spacing w:val="-9"/>
          <w:w w:val="105"/>
        </w:rPr>
        <w:t> </w:t>
      </w:r>
      <w:r>
        <w:rPr>
          <w:w w:val="105"/>
        </w:rPr>
        <w:t>appointed</w:t>
      </w:r>
      <w:r>
        <w:rPr>
          <w:spacing w:val="-9"/>
          <w:w w:val="105"/>
        </w:rPr>
        <w:t> </w:t>
      </w:r>
      <w:r>
        <w:rPr>
          <w:w w:val="105"/>
        </w:rPr>
        <w:t>director,</w:t>
      </w:r>
      <w:r>
        <w:rPr>
          <w:spacing w:val="-7"/>
          <w:w w:val="105"/>
        </w:rPr>
        <w:t> </w:t>
      </w:r>
      <w:r>
        <w:rPr>
          <w:w w:val="105"/>
        </w:rPr>
        <w:t>corporate</w:t>
      </w:r>
      <w:r>
        <w:rPr>
          <w:spacing w:val="-9"/>
          <w:w w:val="105"/>
        </w:rPr>
        <w:t> </w:t>
      </w:r>
      <w:r>
        <w:rPr>
          <w:w w:val="105"/>
        </w:rPr>
        <w:t>development</w:t>
      </w:r>
      <w:r>
        <w:rPr>
          <w:spacing w:val="-9"/>
          <w:w w:val="105"/>
        </w:rPr>
        <w:t> </w:t>
      </w:r>
      <w:r>
        <w:rPr>
          <w:w w:val="105"/>
        </w:rPr>
        <w:t>Asia</w:t>
      </w:r>
      <w:r>
        <w:rPr>
          <w:spacing w:val="-9"/>
          <w:w w:val="105"/>
        </w:rPr>
        <w:t> </w:t>
      </w:r>
      <w:r>
        <w:rPr>
          <w:w w:val="105"/>
        </w:rPr>
        <w:t>Pacific.</w:t>
      </w:r>
      <w:r>
        <w:rPr>
          <w:spacing w:val="-9"/>
          <w:w w:val="105"/>
        </w:rPr>
        <w:t> </w:t>
      </w:r>
      <w:r>
        <w:rPr>
          <w:w w:val="105"/>
        </w:rPr>
        <w:t>In</w:t>
      </w:r>
      <w:r>
        <w:rPr>
          <w:spacing w:val="-9"/>
          <w:w w:val="105"/>
        </w:rPr>
        <w:t> </w:t>
      </w:r>
      <w:r>
        <w:rPr>
          <w:w w:val="105"/>
        </w:rPr>
        <w:t>2010,</w:t>
      </w:r>
      <w:r>
        <w:rPr>
          <w:spacing w:val="-9"/>
          <w:w w:val="105"/>
        </w:rPr>
        <w:t> </w:t>
      </w:r>
      <w:r>
        <w:rPr>
          <w:w w:val="105"/>
        </w:rPr>
        <w:t>he</w:t>
      </w:r>
      <w:r>
        <w:rPr>
          <w:spacing w:val="-9"/>
          <w:w w:val="105"/>
        </w:rPr>
        <w:t> </w:t>
      </w:r>
      <w:r>
        <w:rPr>
          <w:w w:val="105"/>
        </w:rPr>
        <w:t>further</w:t>
      </w:r>
      <w:r>
        <w:rPr>
          <w:spacing w:val="-9"/>
          <w:w w:val="105"/>
        </w:rPr>
        <w:t> </w:t>
      </w:r>
      <w:r>
        <w:rPr>
          <w:w w:val="105"/>
        </w:rPr>
        <w:t>expanded his</w:t>
      </w:r>
      <w:r>
        <w:rPr>
          <w:spacing w:val="-8"/>
          <w:w w:val="105"/>
        </w:rPr>
        <w:t> </w:t>
      </w:r>
      <w:r>
        <w:rPr>
          <w:w w:val="105"/>
        </w:rPr>
        <w:t>role</w:t>
      </w:r>
      <w:r>
        <w:rPr>
          <w:spacing w:val="-8"/>
          <w:w w:val="105"/>
        </w:rPr>
        <w:t> </w:t>
      </w:r>
      <w:r>
        <w:rPr>
          <w:w w:val="105"/>
        </w:rPr>
        <w:t>to</w:t>
      </w:r>
      <w:r>
        <w:rPr>
          <w:spacing w:val="-8"/>
          <w:w w:val="105"/>
        </w:rPr>
        <w:t> </w:t>
      </w:r>
      <w:r>
        <w:rPr>
          <w:w w:val="105"/>
        </w:rPr>
        <w:t>lead</w:t>
      </w:r>
      <w:r>
        <w:rPr>
          <w:spacing w:val="-8"/>
          <w:w w:val="105"/>
        </w:rPr>
        <w:t> </w:t>
      </w:r>
      <w:r>
        <w:rPr>
          <w:w w:val="105"/>
        </w:rPr>
        <w:t>the</w:t>
      </w:r>
      <w:r>
        <w:rPr>
          <w:spacing w:val="-8"/>
          <w:w w:val="105"/>
        </w:rPr>
        <w:t> </w:t>
      </w:r>
      <w:r>
        <w:rPr>
          <w:w w:val="105"/>
        </w:rPr>
        <w:t>strategy</w:t>
      </w:r>
      <w:r>
        <w:rPr>
          <w:spacing w:val="-8"/>
          <w:w w:val="105"/>
        </w:rPr>
        <w:t> </w:t>
      </w:r>
      <w:r>
        <w:rPr>
          <w:w w:val="105"/>
        </w:rPr>
        <w:t>&amp;</w:t>
      </w:r>
      <w:r>
        <w:rPr>
          <w:spacing w:val="-8"/>
          <w:w w:val="105"/>
        </w:rPr>
        <w:t> </w:t>
      </w:r>
      <w:r>
        <w:rPr>
          <w:w w:val="105"/>
        </w:rPr>
        <w:t>corporate</w:t>
      </w:r>
      <w:r>
        <w:rPr>
          <w:spacing w:val="-8"/>
          <w:w w:val="105"/>
        </w:rPr>
        <w:t> </w:t>
      </w:r>
      <w:r>
        <w:rPr>
          <w:w w:val="105"/>
        </w:rPr>
        <w:t>development</w:t>
      </w:r>
      <w:r>
        <w:rPr>
          <w:spacing w:val="-8"/>
          <w:w w:val="105"/>
        </w:rPr>
        <w:t> </w:t>
      </w:r>
      <w:r>
        <w:rPr>
          <w:w w:val="105"/>
        </w:rPr>
        <w:t>organization</w:t>
      </w:r>
      <w:r>
        <w:rPr>
          <w:spacing w:val="-8"/>
          <w:w w:val="105"/>
        </w:rPr>
        <w:t> </w:t>
      </w:r>
      <w:r>
        <w:rPr>
          <w:w w:val="105"/>
        </w:rPr>
        <w:t>of</w:t>
      </w:r>
      <w:r>
        <w:rPr>
          <w:spacing w:val="-8"/>
          <w:w w:val="105"/>
        </w:rPr>
        <w:t> </w:t>
      </w:r>
      <w:r>
        <w:rPr>
          <w:w w:val="105"/>
        </w:rPr>
        <w:t>Corning</w:t>
      </w:r>
      <w:r>
        <w:rPr>
          <w:spacing w:val="-8"/>
          <w:w w:val="105"/>
        </w:rPr>
        <w:t> </w:t>
      </w:r>
      <w:r>
        <w:rPr>
          <w:w w:val="105"/>
        </w:rPr>
        <w:t>International.</w:t>
      </w:r>
      <w:r>
        <w:rPr>
          <w:spacing w:val="-8"/>
          <w:w w:val="105"/>
        </w:rPr>
        <w:t> </w:t>
      </w:r>
      <w:r>
        <w:rPr>
          <w:w w:val="105"/>
        </w:rPr>
        <w:t>In</w:t>
      </w:r>
      <w:r>
        <w:rPr>
          <w:spacing w:val="-8"/>
          <w:w w:val="105"/>
        </w:rPr>
        <w:t> </w:t>
      </w:r>
      <w:r>
        <w:rPr>
          <w:w w:val="105"/>
        </w:rPr>
        <w:t>2014,</w:t>
      </w:r>
      <w:r>
        <w:rPr>
          <w:spacing w:val="-8"/>
          <w:w w:val="105"/>
        </w:rPr>
        <w:t> </w:t>
      </w:r>
      <w:r>
        <w:rPr>
          <w:w w:val="105"/>
        </w:rPr>
        <w:t>he</w:t>
      </w:r>
      <w:r>
        <w:rPr>
          <w:spacing w:val="-8"/>
          <w:w w:val="105"/>
        </w:rPr>
        <w:t> </w:t>
      </w:r>
      <w:r>
        <w:rPr>
          <w:w w:val="105"/>
        </w:rPr>
        <w:t>was</w:t>
      </w:r>
      <w:r>
        <w:rPr>
          <w:spacing w:val="-8"/>
          <w:w w:val="105"/>
        </w:rPr>
        <w:t> </w:t>
      </w:r>
      <w:r>
        <w:rPr>
          <w:w w:val="105"/>
        </w:rPr>
        <w:t>named</w:t>
      </w:r>
      <w:r>
        <w:rPr>
          <w:spacing w:val="-8"/>
          <w:w w:val="105"/>
        </w:rPr>
        <w:t> </w:t>
      </w:r>
      <w:r>
        <w:rPr>
          <w:w w:val="105"/>
        </w:rPr>
        <w:t>deputy</w:t>
      </w:r>
      <w:r>
        <w:rPr>
          <w:spacing w:val="-8"/>
          <w:w w:val="105"/>
        </w:rPr>
        <w:t> </w:t>
      </w:r>
      <w:r>
        <w:rPr>
          <w:w w:val="105"/>
        </w:rPr>
        <w:t>general</w:t>
      </w:r>
      <w:r>
        <w:rPr>
          <w:spacing w:val="-8"/>
          <w:w w:val="105"/>
        </w:rPr>
        <w:t> </w:t>
      </w:r>
      <w:r>
        <w:rPr>
          <w:w w:val="105"/>
        </w:rPr>
        <w:t>manager,</w:t>
      </w:r>
      <w:r>
        <w:rPr>
          <w:spacing w:val="-8"/>
          <w:w w:val="105"/>
        </w:rPr>
        <w:t> </w:t>
      </w:r>
      <w:r>
        <w:rPr>
          <w:w w:val="105"/>
        </w:rPr>
        <w:t>Corning</w:t>
      </w:r>
      <w:r>
        <w:rPr>
          <w:spacing w:val="-8"/>
          <w:w w:val="105"/>
        </w:rPr>
        <w:t> </w:t>
      </w:r>
      <w:r>
        <w:rPr>
          <w:w w:val="105"/>
        </w:rPr>
        <w:t>Display</w:t>
      </w:r>
      <w:r>
        <w:rPr>
          <w:spacing w:val="-8"/>
          <w:w w:val="105"/>
        </w:rPr>
        <w:t> </w:t>
      </w:r>
      <w:r>
        <w:rPr>
          <w:w w:val="105"/>
        </w:rPr>
        <w:t>Technologies. In 2015, he was elected as senior vice president and general manager, Corning Display Technologies. Age 49.</w:t>
      </w:r>
    </w:p>
    <w:p>
      <w:pPr>
        <w:pStyle w:val="BodyText"/>
        <w:spacing w:before="18"/>
      </w:pPr>
    </w:p>
    <w:p>
      <w:pPr>
        <w:pStyle w:val="Heading3"/>
        <w:jc w:val="both"/>
      </w:pPr>
      <w:r>
        <w:rPr/>
        <w:t>Document</w:t>
      </w:r>
      <w:r>
        <w:rPr>
          <w:spacing w:val="21"/>
        </w:rPr>
        <w:t> </w:t>
      </w:r>
      <w:r>
        <w:rPr>
          <w:spacing w:val="-2"/>
        </w:rPr>
        <w:t>Availability</w:t>
      </w:r>
    </w:p>
    <w:p>
      <w:pPr>
        <w:pStyle w:val="BodyText"/>
        <w:spacing w:before="40"/>
        <w:rPr>
          <w:b/>
          <w:i/>
        </w:rPr>
      </w:pPr>
    </w:p>
    <w:p>
      <w:pPr>
        <w:pStyle w:val="BodyText"/>
        <w:spacing w:line="266" w:lineRule="auto"/>
        <w:ind w:left="156" w:right="117"/>
      </w:pPr>
      <w:r>
        <w:rPr>
          <w:w w:val="105"/>
        </w:rPr>
        <w:t>A</w:t>
      </w:r>
      <w:r>
        <w:rPr>
          <w:spacing w:val="-2"/>
          <w:w w:val="105"/>
        </w:rPr>
        <w:t> </w:t>
      </w:r>
      <w:r>
        <w:rPr>
          <w:w w:val="105"/>
        </w:rPr>
        <w:t>copy</w:t>
      </w:r>
      <w:r>
        <w:rPr>
          <w:spacing w:val="-2"/>
          <w:w w:val="105"/>
        </w:rPr>
        <w:t> </w:t>
      </w:r>
      <w:r>
        <w:rPr>
          <w:w w:val="105"/>
        </w:rPr>
        <w:t>of</w:t>
      </w:r>
      <w:r>
        <w:rPr>
          <w:spacing w:val="-2"/>
          <w:w w:val="105"/>
        </w:rPr>
        <w:t> </w:t>
      </w:r>
      <w:r>
        <w:rPr>
          <w:w w:val="105"/>
        </w:rPr>
        <w:t>Corning’s</w:t>
      </w:r>
      <w:r>
        <w:rPr>
          <w:spacing w:val="-2"/>
          <w:w w:val="105"/>
        </w:rPr>
        <w:t> </w:t>
      </w:r>
      <w:r>
        <w:rPr>
          <w:w w:val="105"/>
        </w:rPr>
        <w:t>2021</w:t>
      </w:r>
      <w:r>
        <w:rPr>
          <w:spacing w:val="-2"/>
          <w:w w:val="105"/>
        </w:rPr>
        <w:t> </w:t>
      </w:r>
      <w:r>
        <w:rPr>
          <w:w w:val="105"/>
        </w:rPr>
        <w:t>Annual</w:t>
      </w:r>
      <w:r>
        <w:rPr>
          <w:spacing w:val="-2"/>
          <w:w w:val="105"/>
        </w:rPr>
        <w:t> </w:t>
      </w:r>
      <w:r>
        <w:rPr>
          <w:w w:val="105"/>
        </w:rPr>
        <w:t>Report</w:t>
      </w:r>
      <w:r>
        <w:rPr>
          <w:spacing w:val="-2"/>
          <w:w w:val="105"/>
        </w:rPr>
        <w:t> </w:t>
      </w:r>
      <w:r>
        <w:rPr>
          <w:w w:val="105"/>
        </w:rPr>
        <w:t>on</w:t>
      </w:r>
      <w:r>
        <w:rPr>
          <w:spacing w:val="-2"/>
          <w:w w:val="105"/>
        </w:rPr>
        <w:t> </w:t>
      </w:r>
      <w:r>
        <w:rPr>
          <w:w w:val="105"/>
        </w:rPr>
        <w:t>Form</w:t>
      </w:r>
      <w:r>
        <w:rPr>
          <w:spacing w:val="-2"/>
          <w:w w:val="105"/>
        </w:rPr>
        <w:t> </w:t>
      </w:r>
      <w:r>
        <w:rPr>
          <w:w w:val="105"/>
        </w:rPr>
        <w:t>10-K</w:t>
      </w:r>
      <w:r>
        <w:rPr>
          <w:spacing w:val="-2"/>
          <w:w w:val="105"/>
        </w:rPr>
        <w:t> </w:t>
      </w:r>
      <w:r>
        <w:rPr>
          <w:w w:val="105"/>
        </w:rPr>
        <w:t>filed</w:t>
      </w:r>
      <w:r>
        <w:rPr>
          <w:spacing w:val="-2"/>
          <w:w w:val="105"/>
        </w:rPr>
        <w:t> </w:t>
      </w:r>
      <w:r>
        <w:rPr>
          <w:w w:val="105"/>
        </w:rPr>
        <w:t>with the</w:t>
      </w:r>
      <w:r>
        <w:rPr>
          <w:spacing w:val="-2"/>
          <w:w w:val="105"/>
        </w:rPr>
        <w:t> </w:t>
      </w:r>
      <w:r>
        <w:rPr>
          <w:w w:val="105"/>
        </w:rPr>
        <w:t>Securities</w:t>
      </w:r>
      <w:r>
        <w:rPr>
          <w:spacing w:val="-2"/>
          <w:w w:val="105"/>
        </w:rPr>
        <w:t> </w:t>
      </w:r>
      <w:r>
        <w:rPr>
          <w:w w:val="105"/>
        </w:rPr>
        <w:t>and</w:t>
      </w:r>
      <w:r>
        <w:rPr>
          <w:spacing w:val="-2"/>
          <w:w w:val="105"/>
        </w:rPr>
        <w:t> </w:t>
      </w:r>
      <w:r>
        <w:rPr>
          <w:w w:val="105"/>
        </w:rPr>
        <w:t>Exchange</w:t>
      </w:r>
      <w:r>
        <w:rPr>
          <w:spacing w:val="-2"/>
          <w:w w:val="105"/>
        </w:rPr>
        <w:t> </w:t>
      </w:r>
      <w:r>
        <w:rPr>
          <w:w w:val="105"/>
        </w:rPr>
        <w:t>Commission</w:t>
      </w:r>
      <w:r>
        <w:rPr>
          <w:spacing w:val="-2"/>
          <w:w w:val="105"/>
        </w:rPr>
        <w:t> </w:t>
      </w:r>
      <w:r>
        <w:rPr>
          <w:w w:val="105"/>
        </w:rPr>
        <w:t>is</w:t>
      </w:r>
      <w:r>
        <w:rPr>
          <w:spacing w:val="-2"/>
          <w:w w:val="105"/>
        </w:rPr>
        <w:t> </w:t>
      </w:r>
      <w:r>
        <w:rPr>
          <w:w w:val="105"/>
        </w:rPr>
        <w:t>available</w:t>
      </w:r>
      <w:r>
        <w:rPr>
          <w:spacing w:val="-2"/>
          <w:w w:val="105"/>
        </w:rPr>
        <w:t> </w:t>
      </w:r>
      <w:r>
        <w:rPr>
          <w:w w:val="105"/>
        </w:rPr>
        <w:t>upon</w:t>
      </w:r>
      <w:r>
        <w:rPr>
          <w:spacing w:val="-2"/>
          <w:w w:val="105"/>
        </w:rPr>
        <w:t> </w:t>
      </w:r>
      <w:r>
        <w:rPr>
          <w:w w:val="105"/>
        </w:rPr>
        <w:t>written</w:t>
      </w:r>
      <w:r>
        <w:rPr>
          <w:spacing w:val="-2"/>
          <w:w w:val="105"/>
        </w:rPr>
        <w:t> </w:t>
      </w:r>
      <w:r>
        <w:rPr>
          <w:w w:val="105"/>
        </w:rPr>
        <w:t>request</w:t>
      </w:r>
      <w:r>
        <w:rPr>
          <w:spacing w:val="-2"/>
          <w:w w:val="105"/>
        </w:rPr>
        <w:t> </w:t>
      </w:r>
      <w:r>
        <w:rPr>
          <w:w w:val="105"/>
        </w:rPr>
        <w:t>to</w:t>
      </w:r>
      <w:r>
        <w:rPr>
          <w:spacing w:val="-2"/>
          <w:w w:val="105"/>
        </w:rPr>
        <w:t> </w:t>
      </w:r>
      <w:r>
        <w:rPr>
          <w:w w:val="105"/>
        </w:rPr>
        <w:t>Corporate</w:t>
      </w:r>
      <w:r>
        <w:rPr>
          <w:spacing w:val="-2"/>
          <w:w w:val="105"/>
        </w:rPr>
        <w:t> </w:t>
      </w:r>
      <w:r>
        <w:rPr>
          <w:w w:val="105"/>
        </w:rPr>
        <w:t>Secretary, Corning</w:t>
      </w:r>
      <w:r>
        <w:rPr>
          <w:spacing w:val="-2"/>
          <w:w w:val="105"/>
        </w:rPr>
        <w:t> </w:t>
      </w:r>
      <w:r>
        <w:rPr>
          <w:w w:val="105"/>
        </w:rPr>
        <w:t>Incorporated,</w:t>
      </w:r>
      <w:r>
        <w:rPr>
          <w:spacing w:val="-2"/>
          <w:w w:val="105"/>
        </w:rPr>
        <w:t> </w:t>
      </w:r>
      <w:r>
        <w:rPr>
          <w:w w:val="105"/>
        </w:rPr>
        <w:t>One</w:t>
      </w:r>
      <w:r>
        <w:rPr>
          <w:spacing w:val="-2"/>
          <w:w w:val="105"/>
        </w:rPr>
        <w:t> </w:t>
      </w:r>
      <w:r>
        <w:rPr>
          <w:w w:val="105"/>
        </w:rPr>
        <w:t>Riverfront</w:t>
      </w:r>
      <w:r>
        <w:rPr>
          <w:spacing w:val="-2"/>
          <w:w w:val="105"/>
        </w:rPr>
        <w:t> </w:t>
      </w:r>
      <w:r>
        <w:rPr>
          <w:w w:val="105"/>
        </w:rPr>
        <w:t>Plaza,</w:t>
      </w:r>
      <w:r>
        <w:rPr>
          <w:spacing w:val="-2"/>
          <w:w w:val="105"/>
        </w:rPr>
        <w:t> </w:t>
      </w:r>
      <w:r>
        <w:rPr>
          <w:w w:val="105"/>
        </w:rPr>
        <w:t>Corning,</w:t>
      </w:r>
      <w:r>
        <w:rPr>
          <w:spacing w:val="-2"/>
          <w:w w:val="105"/>
        </w:rPr>
        <w:t> </w:t>
      </w:r>
      <w:r>
        <w:rPr>
          <w:w w:val="105"/>
        </w:rPr>
        <w:t>NY</w:t>
      </w:r>
      <w:r>
        <w:rPr>
          <w:spacing w:val="-2"/>
          <w:w w:val="105"/>
        </w:rPr>
        <w:t> </w:t>
      </w:r>
      <w:r>
        <w:rPr>
          <w:w w:val="105"/>
        </w:rPr>
        <w:t>14831.</w:t>
      </w:r>
      <w:r>
        <w:rPr>
          <w:spacing w:val="-2"/>
          <w:w w:val="105"/>
        </w:rPr>
        <w:t> </w:t>
      </w:r>
      <w:r>
        <w:rPr>
          <w:w w:val="105"/>
        </w:rPr>
        <w:t>The</w:t>
      </w:r>
      <w:r>
        <w:rPr>
          <w:spacing w:val="-2"/>
          <w:w w:val="105"/>
        </w:rPr>
        <w:t> </w:t>
      </w:r>
      <w:r>
        <w:rPr>
          <w:w w:val="105"/>
        </w:rPr>
        <w:t>Annual</w:t>
      </w:r>
      <w:r>
        <w:rPr>
          <w:spacing w:val="-2"/>
          <w:w w:val="105"/>
        </w:rPr>
        <w:t> </w:t>
      </w:r>
      <w:r>
        <w:rPr>
          <w:w w:val="105"/>
        </w:rPr>
        <w:t>Report</w:t>
      </w:r>
      <w:r>
        <w:rPr>
          <w:spacing w:val="-2"/>
          <w:w w:val="105"/>
        </w:rPr>
        <w:t> </w:t>
      </w:r>
      <w:r>
        <w:rPr>
          <w:w w:val="105"/>
        </w:rPr>
        <w:t>on</w:t>
      </w:r>
      <w:r>
        <w:rPr>
          <w:spacing w:val="-2"/>
          <w:w w:val="105"/>
        </w:rPr>
        <w:t> </w:t>
      </w:r>
      <w:r>
        <w:rPr>
          <w:w w:val="105"/>
        </w:rPr>
        <w:t>Form</w:t>
      </w:r>
      <w:r>
        <w:rPr>
          <w:spacing w:val="-2"/>
          <w:w w:val="105"/>
        </w:rPr>
        <w:t> </w:t>
      </w:r>
      <w:r>
        <w:rPr>
          <w:w w:val="105"/>
        </w:rPr>
        <w:t>10-K,</w:t>
      </w:r>
      <w:r>
        <w:rPr>
          <w:spacing w:val="-2"/>
          <w:w w:val="105"/>
        </w:rPr>
        <w:t> </w:t>
      </w:r>
      <w:r>
        <w:rPr>
          <w:w w:val="105"/>
        </w:rPr>
        <w:t>quarterly</w:t>
      </w:r>
      <w:r>
        <w:rPr>
          <w:spacing w:val="-2"/>
          <w:w w:val="105"/>
        </w:rPr>
        <w:t> </w:t>
      </w:r>
      <w:r>
        <w:rPr>
          <w:w w:val="105"/>
        </w:rPr>
        <w:t>reports</w:t>
      </w:r>
      <w:r>
        <w:rPr>
          <w:spacing w:val="-2"/>
          <w:w w:val="105"/>
        </w:rPr>
        <w:t> </w:t>
      </w:r>
      <w:r>
        <w:rPr>
          <w:w w:val="105"/>
        </w:rPr>
        <w:t>on</w:t>
      </w:r>
      <w:r>
        <w:rPr>
          <w:spacing w:val="-2"/>
          <w:w w:val="105"/>
        </w:rPr>
        <w:t> </w:t>
      </w:r>
      <w:r>
        <w:rPr>
          <w:w w:val="105"/>
        </w:rPr>
        <w:t>Form</w:t>
      </w:r>
      <w:r>
        <w:rPr>
          <w:spacing w:val="-2"/>
          <w:w w:val="105"/>
        </w:rPr>
        <w:t> </w:t>
      </w:r>
      <w:r>
        <w:rPr>
          <w:w w:val="105"/>
        </w:rPr>
        <w:t>10-Q,</w:t>
      </w:r>
      <w:r>
        <w:rPr>
          <w:spacing w:val="-2"/>
          <w:w w:val="105"/>
        </w:rPr>
        <w:t> </w:t>
      </w:r>
      <w:r>
        <w:rPr>
          <w:w w:val="105"/>
        </w:rPr>
        <w:t>current</w:t>
      </w:r>
      <w:r>
        <w:rPr>
          <w:spacing w:val="-2"/>
          <w:w w:val="105"/>
        </w:rPr>
        <w:t> </w:t>
      </w:r>
      <w:r>
        <w:rPr>
          <w:w w:val="105"/>
        </w:rPr>
        <w:t>reports</w:t>
      </w:r>
      <w:r>
        <w:rPr>
          <w:spacing w:val="-2"/>
          <w:w w:val="105"/>
        </w:rPr>
        <w:t> </w:t>
      </w:r>
      <w:r>
        <w:rPr>
          <w:w w:val="105"/>
        </w:rPr>
        <w:t>on</w:t>
      </w:r>
      <w:r>
        <w:rPr>
          <w:spacing w:val="-2"/>
          <w:w w:val="105"/>
        </w:rPr>
        <w:t> </w:t>
      </w:r>
      <w:r>
        <w:rPr>
          <w:w w:val="105"/>
        </w:rPr>
        <w:t>Form</w:t>
      </w:r>
      <w:r>
        <w:rPr>
          <w:spacing w:val="-2"/>
          <w:w w:val="105"/>
        </w:rPr>
        <w:t> </w:t>
      </w:r>
      <w:r>
        <w:rPr>
          <w:w w:val="105"/>
        </w:rPr>
        <w:t>8-K,</w:t>
      </w:r>
      <w:r>
        <w:rPr>
          <w:spacing w:val="-2"/>
          <w:w w:val="105"/>
        </w:rPr>
        <w:t> </w:t>
      </w:r>
      <w:r>
        <w:rPr>
          <w:w w:val="105"/>
        </w:rPr>
        <w:t>and amendments</w:t>
      </w:r>
      <w:r>
        <w:rPr>
          <w:spacing w:val="-2"/>
          <w:w w:val="105"/>
        </w:rPr>
        <w:t> </w:t>
      </w:r>
      <w:r>
        <w:rPr>
          <w:w w:val="105"/>
        </w:rPr>
        <w:t>pursuant</w:t>
      </w:r>
      <w:r>
        <w:rPr>
          <w:spacing w:val="-2"/>
          <w:w w:val="105"/>
        </w:rPr>
        <w:t> </w:t>
      </w:r>
      <w:r>
        <w:rPr>
          <w:w w:val="105"/>
        </w:rPr>
        <w:t>to</w:t>
      </w:r>
      <w:r>
        <w:rPr>
          <w:spacing w:val="-2"/>
          <w:w w:val="105"/>
        </w:rPr>
        <w:t> </w:t>
      </w:r>
      <w:r>
        <w:rPr>
          <w:w w:val="105"/>
        </w:rPr>
        <w:t>Section</w:t>
      </w:r>
      <w:r>
        <w:rPr>
          <w:spacing w:val="-2"/>
          <w:w w:val="105"/>
        </w:rPr>
        <w:t> </w:t>
      </w:r>
      <w:r>
        <w:rPr>
          <w:w w:val="105"/>
        </w:rPr>
        <w:t>13(a)</w:t>
      </w:r>
      <w:r>
        <w:rPr>
          <w:spacing w:val="-2"/>
          <w:w w:val="105"/>
        </w:rPr>
        <w:t> </w:t>
      </w:r>
      <w:r>
        <w:rPr>
          <w:w w:val="105"/>
        </w:rPr>
        <w:t>or</w:t>
      </w:r>
      <w:r>
        <w:rPr>
          <w:spacing w:val="-2"/>
          <w:w w:val="105"/>
        </w:rPr>
        <w:t> </w:t>
      </w:r>
      <w:r>
        <w:rPr>
          <w:w w:val="105"/>
        </w:rPr>
        <w:t>15(d)</w:t>
      </w:r>
      <w:r>
        <w:rPr>
          <w:spacing w:val="-2"/>
          <w:w w:val="105"/>
        </w:rPr>
        <w:t> </w:t>
      </w:r>
      <w:r>
        <w:rPr>
          <w:w w:val="105"/>
        </w:rPr>
        <w:t>of</w:t>
      </w:r>
      <w:r>
        <w:rPr>
          <w:spacing w:val="-2"/>
          <w:w w:val="105"/>
        </w:rPr>
        <w:t> </w:t>
      </w:r>
      <w:r>
        <w:rPr>
          <w:w w:val="105"/>
        </w:rPr>
        <w:t>the</w:t>
      </w:r>
      <w:r>
        <w:rPr>
          <w:spacing w:val="-2"/>
          <w:w w:val="105"/>
        </w:rPr>
        <w:t> </w:t>
      </w:r>
      <w:r>
        <w:rPr>
          <w:w w:val="105"/>
        </w:rPr>
        <w:t>Exchange</w:t>
      </w:r>
      <w:r>
        <w:rPr>
          <w:spacing w:val="-2"/>
          <w:w w:val="105"/>
        </w:rPr>
        <w:t> </w:t>
      </w:r>
      <w:r>
        <w:rPr>
          <w:w w:val="105"/>
        </w:rPr>
        <w:t>Act</w:t>
      </w:r>
      <w:r>
        <w:rPr>
          <w:spacing w:val="-2"/>
          <w:w w:val="105"/>
        </w:rPr>
        <w:t> </w:t>
      </w:r>
      <w:r>
        <w:rPr>
          <w:w w:val="105"/>
        </w:rPr>
        <w:t>of</w:t>
      </w:r>
      <w:r>
        <w:rPr>
          <w:spacing w:val="-2"/>
          <w:w w:val="105"/>
        </w:rPr>
        <w:t> </w:t>
      </w:r>
      <w:r>
        <w:rPr>
          <w:w w:val="105"/>
        </w:rPr>
        <w:t>1934</w:t>
      </w:r>
      <w:r>
        <w:rPr>
          <w:spacing w:val="-2"/>
          <w:w w:val="105"/>
        </w:rPr>
        <w:t> </w:t>
      </w:r>
      <w:r>
        <w:rPr>
          <w:w w:val="105"/>
        </w:rPr>
        <w:t>and</w:t>
      </w:r>
      <w:r>
        <w:rPr>
          <w:spacing w:val="-2"/>
          <w:w w:val="105"/>
        </w:rPr>
        <w:t> </w:t>
      </w:r>
      <w:r>
        <w:rPr>
          <w:w w:val="105"/>
        </w:rPr>
        <w:t>other</w:t>
      </w:r>
      <w:r>
        <w:rPr>
          <w:spacing w:val="-2"/>
          <w:w w:val="105"/>
        </w:rPr>
        <w:t> </w:t>
      </w:r>
      <w:r>
        <w:rPr>
          <w:w w:val="105"/>
        </w:rPr>
        <w:t>filings</w:t>
      </w:r>
      <w:r>
        <w:rPr>
          <w:spacing w:val="-2"/>
          <w:w w:val="105"/>
        </w:rPr>
        <w:t> </w:t>
      </w:r>
      <w:r>
        <w:rPr>
          <w:w w:val="105"/>
        </w:rPr>
        <w:t>are available</w:t>
      </w:r>
      <w:r>
        <w:rPr>
          <w:spacing w:val="-2"/>
          <w:w w:val="105"/>
        </w:rPr>
        <w:t> </w:t>
      </w:r>
      <w:r>
        <w:rPr>
          <w:w w:val="105"/>
        </w:rPr>
        <w:t>as</w:t>
      </w:r>
      <w:r>
        <w:rPr>
          <w:spacing w:val="-2"/>
          <w:w w:val="105"/>
        </w:rPr>
        <w:t> </w:t>
      </w:r>
      <w:r>
        <w:rPr>
          <w:w w:val="105"/>
        </w:rPr>
        <w:t>soon</w:t>
      </w:r>
      <w:r>
        <w:rPr>
          <w:spacing w:val="-2"/>
          <w:w w:val="105"/>
        </w:rPr>
        <w:t> </w:t>
      </w:r>
      <w:r>
        <w:rPr>
          <w:w w:val="105"/>
        </w:rPr>
        <w:t>as</w:t>
      </w:r>
      <w:r>
        <w:rPr>
          <w:spacing w:val="-2"/>
          <w:w w:val="105"/>
        </w:rPr>
        <w:t> </w:t>
      </w:r>
      <w:r>
        <w:rPr>
          <w:w w:val="105"/>
        </w:rPr>
        <w:t>reasonably</w:t>
      </w:r>
      <w:r>
        <w:rPr>
          <w:spacing w:val="-2"/>
          <w:w w:val="105"/>
        </w:rPr>
        <w:t> </w:t>
      </w:r>
      <w:r>
        <w:rPr>
          <w:w w:val="105"/>
        </w:rPr>
        <w:t>practicable</w:t>
      </w:r>
      <w:r>
        <w:rPr>
          <w:spacing w:val="-2"/>
          <w:w w:val="105"/>
        </w:rPr>
        <w:t> </w:t>
      </w:r>
      <w:r>
        <w:rPr>
          <w:w w:val="105"/>
        </w:rPr>
        <w:t>after</w:t>
      </w:r>
      <w:r>
        <w:rPr>
          <w:spacing w:val="-2"/>
          <w:w w:val="105"/>
        </w:rPr>
        <w:t> </w:t>
      </w:r>
      <w:r>
        <w:rPr>
          <w:w w:val="105"/>
        </w:rPr>
        <w:t>such</w:t>
      </w:r>
      <w:r>
        <w:rPr>
          <w:spacing w:val="-2"/>
          <w:w w:val="105"/>
        </w:rPr>
        <w:t> </w:t>
      </w:r>
      <w:r>
        <w:rPr>
          <w:w w:val="105"/>
        </w:rPr>
        <w:t>material</w:t>
      </w:r>
      <w:r>
        <w:rPr>
          <w:spacing w:val="-2"/>
          <w:w w:val="105"/>
        </w:rPr>
        <w:t> </w:t>
      </w:r>
      <w:r>
        <w:rPr>
          <w:w w:val="105"/>
        </w:rPr>
        <w:t>is electronically</w:t>
      </w:r>
      <w:r>
        <w:rPr>
          <w:spacing w:val="-8"/>
          <w:w w:val="105"/>
        </w:rPr>
        <w:t> </w:t>
      </w:r>
      <w:r>
        <w:rPr>
          <w:w w:val="105"/>
        </w:rPr>
        <w:t>filed</w:t>
      </w:r>
      <w:r>
        <w:rPr>
          <w:spacing w:val="-8"/>
          <w:w w:val="105"/>
        </w:rPr>
        <w:t> </w:t>
      </w:r>
      <w:r>
        <w:rPr>
          <w:w w:val="105"/>
        </w:rPr>
        <w:t>or</w:t>
      </w:r>
      <w:r>
        <w:rPr>
          <w:spacing w:val="-8"/>
          <w:w w:val="105"/>
        </w:rPr>
        <w:t> </w:t>
      </w:r>
      <w:r>
        <w:rPr>
          <w:w w:val="105"/>
        </w:rPr>
        <w:t>furnished</w:t>
      </w:r>
      <w:r>
        <w:rPr>
          <w:spacing w:val="-8"/>
          <w:w w:val="105"/>
        </w:rPr>
        <w:t> </w:t>
      </w:r>
      <w:r>
        <w:rPr>
          <w:w w:val="105"/>
        </w:rPr>
        <w:t>to</w:t>
      </w:r>
      <w:r>
        <w:rPr>
          <w:spacing w:val="-8"/>
          <w:w w:val="105"/>
        </w:rPr>
        <w:t> </w:t>
      </w:r>
      <w:r>
        <w:rPr>
          <w:w w:val="105"/>
        </w:rPr>
        <w:t>the</w:t>
      </w:r>
      <w:r>
        <w:rPr>
          <w:spacing w:val="-8"/>
          <w:w w:val="105"/>
        </w:rPr>
        <w:t> </w:t>
      </w:r>
      <w:r>
        <w:rPr>
          <w:w w:val="105"/>
        </w:rPr>
        <w:t>SEC,</w:t>
      </w:r>
      <w:r>
        <w:rPr>
          <w:spacing w:val="-8"/>
          <w:w w:val="105"/>
        </w:rPr>
        <w:t> </w:t>
      </w:r>
      <w:r>
        <w:rPr>
          <w:w w:val="105"/>
        </w:rPr>
        <w:t>and</w:t>
      </w:r>
      <w:r>
        <w:rPr>
          <w:spacing w:val="-8"/>
          <w:w w:val="105"/>
        </w:rPr>
        <w:t> </w:t>
      </w:r>
      <w:r>
        <w:rPr>
          <w:w w:val="105"/>
        </w:rPr>
        <w:t>can</w:t>
      </w:r>
      <w:r>
        <w:rPr>
          <w:spacing w:val="-8"/>
          <w:w w:val="105"/>
        </w:rPr>
        <w:t> </w:t>
      </w:r>
      <w:r>
        <w:rPr>
          <w:w w:val="105"/>
        </w:rPr>
        <w:t>be</w:t>
      </w:r>
      <w:r>
        <w:rPr>
          <w:spacing w:val="-8"/>
          <w:w w:val="105"/>
        </w:rPr>
        <w:t> </w:t>
      </w:r>
      <w:r>
        <w:rPr>
          <w:w w:val="105"/>
        </w:rPr>
        <w:t>accessed</w:t>
      </w:r>
      <w:r>
        <w:rPr>
          <w:spacing w:val="-8"/>
          <w:w w:val="105"/>
        </w:rPr>
        <w:t> </w:t>
      </w:r>
      <w:r>
        <w:rPr>
          <w:w w:val="105"/>
        </w:rPr>
        <w:t>electronically</w:t>
      </w:r>
      <w:r>
        <w:rPr>
          <w:spacing w:val="-8"/>
          <w:w w:val="105"/>
        </w:rPr>
        <w:t> </w:t>
      </w:r>
      <w:r>
        <w:rPr>
          <w:w w:val="105"/>
        </w:rPr>
        <w:t>free</w:t>
      </w:r>
      <w:r>
        <w:rPr>
          <w:spacing w:val="-8"/>
          <w:w w:val="105"/>
        </w:rPr>
        <w:t> </w:t>
      </w:r>
      <w:r>
        <w:rPr>
          <w:w w:val="105"/>
        </w:rPr>
        <w:t>of</w:t>
      </w:r>
      <w:r>
        <w:rPr>
          <w:spacing w:val="-8"/>
          <w:w w:val="105"/>
        </w:rPr>
        <w:t> </w:t>
      </w:r>
      <w:r>
        <w:rPr>
          <w:w w:val="105"/>
        </w:rPr>
        <w:t>charge</w:t>
      </w:r>
      <w:r>
        <w:rPr>
          <w:spacing w:val="-8"/>
          <w:w w:val="105"/>
        </w:rPr>
        <w:t> </w:t>
      </w:r>
      <w:r>
        <w:rPr>
          <w:w w:val="105"/>
        </w:rPr>
        <w:t>at</w:t>
      </w:r>
      <w:r>
        <w:rPr>
          <w:spacing w:val="-10"/>
          <w:w w:val="105"/>
        </w:rPr>
        <w:t> </w:t>
      </w:r>
      <w:hyperlink r:id="rId6">
        <w:r>
          <w:rPr>
            <w:w w:val="105"/>
            <w:u w:val="single"/>
          </w:rPr>
          <w:t>www.SEC.gov</w:t>
        </w:r>
        <w:r>
          <w:rPr>
            <w:w w:val="105"/>
          </w:rPr>
          <w:t>,</w:t>
        </w:r>
      </w:hyperlink>
      <w:r>
        <w:rPr>
          <w:spacing w:val="-8"/>
          <w:w w:val="105"/>
        </w:rPr>
        <w:t> </w:t>
      </w:r>
      <w:r>
        <w:rPr>
          <w:w w:val="105"/>
        </w:rPr>
        <w:t>or</w:t>
      </w:r>
      <w:r>
        <w:rPr>
          <w:spacing w:val="-8"/>
          <w:w w:val="105"/>
        </w:rPr>
        <w:t> </w:t>
      </w:r>
      <w:r>
        <w:rPr>
          <w:w w:val="105"/>
        </w:rPr>
        <w:t>through</w:t>
      </w:r>
      <w:r>
        <w:rPr>
          <w:spacing w:val="-8"/>
          <w:w w:val="105"/>
        </w:rPr>
        <w:t> </w:t>
      </w:r>
      <w:r>
        <w:rPr>
          <w:w w:val="105"/>
        </w:rPr>
        <w:t>the</w:t>
      </w:r>
      <w:r>
        <w:rPr>
          <w:spacing w:val="-8"/>
          <w:w w:val="105"/>
        </w:rPr>
        <w:t> </w:t>
      </w:r>
      <w:r>
        <w:rPr>
          <w:w w:val="105"/>
        </w:rPr>
        <w:t>Investor</w:t>
      </w:r>
      <w:r>
        <w:rPr>
          <w:spacing w:val="-8"/>
          <w:w w:val="105"/>
        </w:rPr>
        <w:t> </w:t>
      </w:r>
      <w:r>
        <w:rPr>
          <w:w w:val="105"/>
        </w:rPr>
        <w:t>Relations</w:t>
      </w:r>
      <w:r>
        <w:rPr>
          <w:spacing w:val="-8"/>
          <w:w w:val="105"/>
        </w:rPr>
        <w:t> </w:t>
      </w:r>
      <w:r>
        <w:rPr>
          <w:w w:val="105"/>
        </w:rPr>
        <w:t>page</w:t>
      </w:r>
      <w:r>
        <w:rPr>
          <w:spacing w:val="-8"/>
          <w:w w:val="105"/>
        </w:rPr>
        <w:t> </w:t>
      </w:r>
      <w:r>
        <w:rPr>
          <w:w w:val="105"/>
        </w:rPr>
        <w:t>on</w:t>
      </w:r>
      <w:r>
        <w:rPr>
          <w:spacing w:val="-8"/>
          <w:w w:val="105"/>
        </w:rPr>
        <w:t> </w:t>
      </w:r>
      <w:r>
        <w:rPr>
          <w:w w:val="105"/>
        </w:rPr>
        <w:t>Corning’s</w:t>
      </w:r>
      <w:r>
        <w:rPr>
          <w:spacing w:val="-8"/>
          <w:w w:val="105"/>
        </w:rPr>
        <w:t> </w:t>
      </w:r>
      <w:r>
        <w:rPr>
          <w:w w:val="105"/>
        </w:rPr>
        <w:t>website at</w:t>
      </w:r>
      <w:r>
        <w:rPr>
          <w:spacing w:val="-2"/>
          <w:w w:val="105"/>
        </w:rPr>
        <w:t> </w:t>
      </w:r>
      <w:hyperlink r:id="rId7">
        <w:r>
          <w:rPr>
            <w:w w:val="105"/>
            <w:u w:val="single"/>
          </w:rPr>
          <w:t>www.corning.com</w:t>
        </w:r>
        <w:r>
          <w:rPr>
            <w:w w:val="105"/>
          </w:rPr>
          <w:t>.</w:t>
        </w:r>
      </w:hyperlink>
      <w:r>
        <w:rPr>
          <w:spacing w:val="-2"/>
          <w:w w:val="105"/>
        </w:rPr>
        <w:t> </w:t>
      </w:r>
      <w:r>
        <w:rPr>
          <w:w w:val="105"/>
        </w:rPr>
        <w:t>The</w:t>
      </w:r>
      <w:r>
        <w:rPr>
          <w:spacing w:val="-2"/>
          <w:w w:val="105"/>
        </w:rPr>
        <w:t> </w:t>
      </w:r>
      <w:r>
        <w:rPr>
          <w:w w:val="105"/>
        </w:rPr>
        <w:t>information</w:t>
      </w:r>
      <w:r>
        <w:rPr>
          <w:spacing w:val="-2"/>
          <w:w w:val="105"/>
        </w:rPr>
        <w:t> </w:t>
      </w:r>
      <w:r>
        <w:rPr>
          <w:w w:val="105"/>
        </w:rPr>
        <w:t>contained</w:t>
      </w:r>
      <w:r>
        <w:rPr>
          <w:spacing w:val="-2"/>
          <w:w w:val="105"/>
        </w:rPr>
        <w:t> </w:t>
      </w:r>
      <w:r>
        <w:rPr>
          <w:w w:val="105"/>
        </w:rPr>
        <w:t>on</w:t>
      </w:r>
      <w:r>
        <w:rPr>
          <w:spacing w:val="-2"/>
          <w:w w:val="105"/>
        </w:rPr>
        <w:t> </w:t>
      </w:r>
      <w:r>
        <w:rPr>
          <w:w w:val="105"/>
        </w:rPr>
        <w:t>the</w:t>
      </w:r>
      <w:r>
        <w:rPr>
          <w:spacing w:val="-2"/>
          <w:w w:val="105"/>
        </w:rPr>
        <w:t> </w:t>
      </w:r>
      <w:r>
        <w:rPr>
          <w:w w:val="105"/>
        </w:rPr>
        <w:t>Company’s</w:t>
      </w:r>
      <w:r>
        <w:rPr>
          <w:spacing w:val="-2"/>
          <w:w w:val="105"/>
        </w:rPr>
        <w:t> </w:t>
      </w:r>
      <w:r>
        <w:rPr>
          <w:w w:val="105"/>
        </w:rPr>
        <w:t>website</w:t>
      </w:r>
      <w:r>
        <w:rPr>
          <w:spacing w:val="-2"/>
          <w:w w:val="105"/>
        </w:rPr>
        <w:t> </w:t>
      </w:r>
      <w:r>
        <w:rPr>
          <w:w w:val="105"/>
        </w:rPr>
        <w:t>is</w:t>
      </w:r>
      <w:r>
        <w:rPr>
          <w:spacing w:val="-2"/>
          <w:w w:val="105"/>
        </w:rPr>
        <w:t> </w:t>
      </w:r>
      <w:r>
        <w:rPr>
          <w:w w:val="105"/>
        </w:rPr>
        <w:t>not</w:t>
      </w:r>
      <w:r>
        <w:rPr>
          <w:spacing w:val="-2"/>
          <w:w w:val="105"/>
        </w:rPr>
        <w:t> </w:t>
      </w:r>
      <w:r>
        <w:rPr>
          <w:w w:val="105"/>
        </w:rPr>
        <w:t>included</w:t>
      </w:r>
      <w:r>
        <w:rPr>
          <w:spacing w:val="-2"/>
          <w:w w:val="105"/>
        </w:rPr>
        <w:t> </w:t>
      </w:r>
      <w:r>
        <w:rPr>
          <w:w w:val="105"/>
        </w:rPr>
        <w:t>in,</w:t>
      </w:r>
      <w:r>
        <w:rPr>
          <w:spacing w:val="-2"/>
          <w:w w:val="105"/>
        </w:rPr>
        <w:t> </w:t>
      </w:r>
      <w:r>
        <w:rPr>
          <w:w w:val="105"/>
        </w:rPr>
        <w:t>or</w:t>
      </w:r>
      <w:r>
        <w:rPr>
          <w:spacing w:val="-2"/>
          <w:w w:val="105"/>
        </w:rPr>
        <w:t> </w:t>
      </w:r>
      <w:r>
        <w:rPr>
          <w:w w:val="105"/>
        </w:rPr>
        <w:t>incorporated</w:t>
      </w:r>
      <w:r>
        <w:rPr>
          <w:spacing w:val="-2"/>
          <w:w w:val="105"/>
        </w:rPr>
        <w:t> </w:t>
      </w:r>
      <w:r>
        <w:rPr>
          <w:w w:val="105"/>
        </w:rPr>
        <w:t>by</w:t>
      </w:r>
      <w:r>
        <w:rPr>
          <w:spacing w:val="-2"/>
          <w:w w:val="105"/>
        </w:rPr>
        <w:t> </w:t>
      </w:r>
      <w:r>
        <w:rPr>
          <w:w w:val="105"/>
        </w:rPr>
        <w:t>reference</w:t>
      </w:r>
      <w:r>
        <w:rPr>
          <w:spacing w:val="-2"/>
          <w:w w:val="105"/>
        </w:rPr>
        <w:t> </w:t>
      </w:r>
      <w:r>
        <w:rPr>
          <w:w w:val="105"/>
        </w:rPr>
        <w:t>into,</w:t>
      </w:r>
      <w:r>
        <w:rPr>
          <w:spacing w:val="-2"/>
          <w:w w:val="105"/>
        </w:rPr>
        <w:t> </w:t>
      </w:r>
      <w:r>
        <w:rPr>
          <w:w w:val="105"/>
        </w:rPr>
        <w:t>this</w:t>
      </w:r>
      <w:r>
        <w:rPr>
          <w:spacing w:val="-2"/>
          <w:w w:val="105"/>
        </w:rPr>
        <w:t> </w:t>
      </w:r>
      <w:r>
        <w:rPr>
          <w:w w:val="105"/>
        </w:rPr>
        <w:t>Annual</w:t>
      </w:r>
      <w:r>
        <w:rPr>
          <w:spacing w:val="-2"/>
          <w:w w:val="105"/>
        </w:rPr>
        <w:t> </w:t>
      </w:r>
      <w:r>
        <w:rPr>
          <w:w w:val="105"/>
        </w:rPr>
        <w:t>Report</w:t>
      </w:r>
      <w:r>
        <w:rPr>
          <w:spacing w:val="-2"/>
          <w:w w:val="105"/>
        </w:rPr>
        <w:t> </w:t>
      </w:r>
      <w:r>
        <w:rPr>
          <w:w w:val="105"/>
        </w:rPr>
        <w:t>on</w:t>
      </w:r>
      <w:r>
        <w:rPr>
          <w:spacing w:val="-2"/>
          <w:w w:val="105"/>
        </w:rPr>
        <w:t> </w:t>
      </w:r>
      <w:r>
        <w:rPr>
          <w:w w:val="105"/>
        </w:rPr>
        <w:t>Form</w:t>
      </w:r>
      <w:r>
        <w:rPr>
          <w:spacing w:val="-2"/>
          <w:w w:val="105"/>
        </w:rPr>
        <w:t> </w:t>
      </w:r>
      <w:r>
        <w:rPr>
          <w:w w:val="105"/>
        </w:rPr>
        <w:t>10-K.</w:t>
      </w:r>
    </w:p>
    <w:p>
      <w:pPr>
        <w:pStyle w:val="BodyText"/>
        <w:spacing w:before="18"/>
      </w:pPr>
    </w:p>
    <w:p>
      <w:pPr>
        <w:pStyle w:val="Heading3"/>
      </w:pPr>
      <w:r>
        <w:rPr>
          <w:spacing w:val="-2"/>
          <w:w w:val="105"/>
        </w:rPr>
        <w:t>Other</w:t>
      </w:r>
    </w:p>
    <w:p>
      <w:pPr>
        <w:pStyle w:val="BodyText"/>
        <w:spacing w:before="39"/>
        <w:rPr>
          <w:b/>
          <w:i/>
        </w:rPr>
      </w:pPr>
    </w:p>
    <w:p>
      <w:pPr>
        <w:pStyle w:val="BodyText"/>
        <w:ind w:left="156"/>
      </w:pPr>
      <w:r>
        <w:rPr>
          <w:w w:val="105"/>
        </w:rPr>
        <w:t>Additional</w:t>
      </w:r>
      <w:r>
        <w:rPr>
          <w:spacing w:val="-9"/>
          <w:w w:val="105"/>
        </w:rPr>
        <w:t> </w:t>
      </w:r>
      <w:r>
        <w:rPr>
          <w:w w:val="105"/>
        </w:rPr>
        <w:t>information</w:t>
      </w:r>
      <w:r>
        <w:rPr>
          <w:spacing w:val="-8"/>
          <w:w w:val="105"/>
        </w:rPr>
        <w:t> </w:t>
      </w:r>
      <w:r>
        <w:rPr>
          <w:w w:val="105"/>
        </w:rPr>
        <w:t>in</w:t>
      </w:r>
      <w:r>
        <w:rPr>
          <w:spacing w:val="-7"/>
          <w:w w:val="105"/>
        </w:rPr>
        <w:t> </w:t>
      </w:r>
      <w:r>
        <w:rPr>
          <w:w w:val="105"/>
        </w:rPr>
        <w:t>response</w:t>
      </w:r>
      <w:r>
        <w:rPr>
          <w:spacing w:val="-8"/>
          <w:w w:val="105"/>
        </w:rPr>
        <w:t> </w:t>
      </w:r>
      <w:r>
        <w:rPr>
          <w:w w:val="105"/>
        </w:rPr>
        <w:t>to</w:t>
      </w:r>
      <w:r>
        <w:rPr>
          <w:spacing w:val="-9"/>
          <w:w w:val="105"/>
        </w:rPr>
        <w:t> </w:t>
      </w:r>
      <w:r>
        <w:rPr>
          <w:w w:val="105"/>
        </w:rPr>
        <w:t>Item</w:t>
      </w:r>
      <w:r>
        <w:rPr>
          <w:spacing w:val="-8"/>
          <w:w w:val="105"/>
        </w:rPr>
        <w:t> </w:t>
      </w:r>
      <w:r>
        <w:rPr>
          <w:w w:val="105"/>
        </w:rPr>
        <w:t>1</w:t>
      </w:r>
      <w:r>
        <w:rPr>
          <w:spacing w:val="-9"/>
          <w:w w:val="105"/>
        </w:rPr>
        <w:t> </w:t>
      </w:r>
      <w:r>
        <w:rPr>
          <w:w w:val="105"/>
        </w:rPr>
        <w:t>is</w:t>
      </w:r>
      <w:r>
        <w:rPr>
          <w:spacing w:val="-8"/>
          <w:w w:val="105"/>
        </w:rPr>
        <w:t> </w:t>
      </w:r>
      <w:r>
        <w:rPr>
          <w:w w:val="105"/>
        </w:rPr>
        <w:t>found</w:t>
      </w:r>
      <w:r>
        <w:rPr>
          <w:spacing w:val="-8"/>
          <w:w w:val="105"/>
        </w:rPr>
        <w:t> </w:t>
      </w:r>
      <w:r>
        <w:rPr>
          <w:w w:val="105"/>
        </w:rPr>
        <w:t>in</w:t>
      </w:r>
      <w:r>
        <w:rPr>
          <w:spacing w:val="-9"/>
          <w:w w:val="105"/>
        </w:rPr>
        <w:t> </w:t>
      </w:r>
      <w:r>
        <w:rPr>
          <w:w w:val="105"/>
        </w:rPr>
        <w:t>Note</w:t>
      </w:r>
      <w:r>
        <w:rPr>
          <w:spacing w:val="-8"/>
          <w:w w:val="105"/>
        </w:rPr>
        <w:t> </w:t>
      </w:r>
      <w:r>
        <w:rPr>
          <w:w w:val="105"/>
        </w:rPr>
        <w:t>20</w:t>
      </w:r>
      <w:r>
        <w:rPr>
          <w:spacing w:val="-8"/>
          <w:w w:val="105"/>
        </w:rPr>
        <w:t> </w:t>
      </w:r>
      <w:r>
        <w:rPr>
          <w:w w:val="105"/>
        </w:rPr>
        <w:t>(Reportable</w:t>
      </w:r>
      <w:r>
        <w:rPr>
          <w:spacing w:val="-9"/>
          <w:w w:val="105"/>
        </w:rPr>
        <w:t> </w:t>
      </w:r>
      <w:r>
        <w:rPr>
          <w:w w:val="105"/>
        </w:rPr>
        <w:t>Segments)</w:t>
      </w:r>
      <w:r>
        <w:rPr>
          <w:spacing w:val="-8"/>
          <w:w w:val="105"/>
        </w:rPr>
        <w:t> </w:t>
      </w:r>
      <w:r>
        <w:rPr>
          <w:w w:val="105"/>
        </w:rPr>
        <w:t>to</w:t>
      </w:r>
      <w:r>
        <w:rPr>
          <w:spacing w:val="-9"/>
          <w:w w:val="105"/>
        </w:rPr>
        <w:t> </w:t>
      </w:r>
      <w:r>
        <w:rPr>
          <w:w w:val="105"/>
        </w:rPr>
        <w:t>the</w:t>
      </w:r>
      <w:r>
        <w:rPr>
          <w:spacing w:val="-8"/>
          <w:w w:val="105"/>
        </w:rPr>
        <w:t> </w:t>
      </w:r>
      <w:r>
        <w:rPr>
          <w:w w:val="105"/>
        </w:rPr>
        <w:t>consolidated</w:t>
      </w:r>
      <w:r>
        <w:rPr>
          <w:spacing w:val="-8"/>
          <w:w w:val="105"/>
        </w:rPr>
        <w:t> </w:t>
      </w:r>
      <w:r>
        <w:rPr>
          <w:w w:val="105"/>
        </w:rPr>
        <w:t>financial</w:t>
      </w:r>
      <w:r>
        <w:rPr>
          <w:spacing w:val="-9"/>
          <w:w w:val="105"/>
        </w:rPr>
        <w:t> </w:t>
      </w:r>
      <w:r>
        <w:rPr>
          <w:spacing w:val="-2"/>
          <w:w w:val="105"/>
        </w:rPr>
        <w:t>statements.</w:t>
      </w:r>
    </w:p>
    <w:p>
      <w:pPr>
        <w:pStyle w:val="BodyText"/>
        <w:spacing w:before="40"/>
      </w:pPr>
    </w:p>
    <w:p>
      <w:pPr>
        <w:pStyle w:val="BodyText"/>
        <w:ind w:left="48"/>
        <w:jc w:val="center"/>
      </w:pPr>
      <w:r>
        <w:rPr>
          <w:spacing w:val="-5"/>
          <w:w w:val="105"/>
        </w:rPr>
        <w:t>13</w:t>
      </w:r>
    </w:p>
    <w:p>
      <w:pPr>
        <w:pStyle w:val="BodyText"/>
        <w:rPr>
          <w:sz w:val="6"/>
        </w:rPr>
      </w:pPr>
      <w:r>
        <w:rPr/>
        <mc:AlternateContent>
          <mc:Choice Requires="wps">
            <w:drawing>
              <wp:anchor distT="0" distB="0" distL="0" distR="0" allowOverlap="1" layoutInCell="1" locked="0" behindDoc="1" simplePos="0" relativeHeight="487595520">
                <wp:simplePos x="0" y="0"/>
                <wp:positionH relativeFrom="page">
                  <wp:posOffset>226488</wp:posOffset>
                </wp:positionH>
                <wp:positionV relativeFrom="paragraph">
                  <wp:posOffset>59143</wp:posOffset>
                </wp:positionV>
                <wp:extent cx="7312659" cy="1651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6953pt;width:575.775087pt;height:1.273839pt;mso-position-horizontal-relative:page;mso-position-vertical-relative:paragraph;z-index:-15720960;mso-wrap-distance-left:0;mso-wrap-distance-right:0" id="docshape17"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spacing w:before="0"/>
        <w:ind w:left="156" w:right="0" w:firstLine="0"/>
        <w:jc w:val="left"/>
        <w:rPr>
          <w:b/>
          <w:sz w:val="16"/>
        </w:rPr>
      </w:pPr>
      <w:r>
        <w:rPr>
          <w:b/>
          <w:w w:val="105"/>
          <w:sz w:val="16"/>
          <w:u w:val="single"/>
        </w:rPr>
        <w:t>Item</w:t>
      </w:r>
      <w:r>
        <w:rPr>
          <w:b/>
          <w:spacing w:val="-8"/>
          <w:w w:val="105"/>
          <w:sz w:val="16"/>
          <w:u w:val="single"/>
        </w:rPr>
        <w:t> </w:t>
      </w:r>
      <w:r>
        <w:rPr>
          <w:b/>
          <w:w w:val="105"/>
          <w:sz w:val="16"/>
          <w:u w:val="single"/>
        </w:rPr>
        <w:t>1A.</w:t>
      </w:r>
      <w:r>
        <w:rPr>
          <w:b/>
          <w:spacing w:val="-8"/>
          <w:w w:val="105"/>
          <w:sz w:val="16"/>
          <w:u w:val="single"/>
        </w:rPr>
        <w:t> </w:t>
      </w:r>
      <w:r>
        <w:rPr>
          <w:b/>
          <w:w w:val="105"/>
          <w:sz w:val="16"/>
          <w:u w:val="single"/>
        </w:rPr>
        <w:t>Risk</w:t>
      </w:r>
      <w:r>
        <w:rPr>
          <w:b/>
          <w:spacing w:val="-8"/>
          <w:w w:val="105"/>
          <w:sz w:val="16"/>
          <w:u w:val="single"/>
        </w:rPr>
        <w:t> </w:t>
      </w:r>
      <w:r>
        <w:rPr>
          <w:b/>
          <w:spacing w:val="-2"/>
          <w:w w:val="105"/>
          <w:sz w:val="16"/>
          <w:u w:val="single"/>
        </w:rPr>
        <w:t>Factors</w:t>
      </w:r>
    </w:p>
    <w:p>
      <w:pPr>
        <w:pStyle w:val="BodyText"/>
        <w:spacing w:before="40"/>
        <w:rPr>
          <w:b/>
        </w:rPr>
      </w:pPr>
    </w:p>
    <w:p>
      <w:pPr>
        <w:pStyle w:val="BodyText"/>
        <w:spacing w:line="266" w:lineRule="auto"/>
        <w:ind w:left="156" w:right="117"/>
      </w:pPr>
      <w:r>
        <w:rPr>
          <w:w w:val="105"/>
        </w:rPr>
        <w:t>We</w:t>
      </w:r>
      <w:r>
        <w:rPr>
          <w:spacing w:val="-9"/>
          <w:w w:val="105"/>
        </w:rPr>
        <w:t> </w:t>
      </w:r>
      <w:r>
        <w:rPr>
          <w:w w:val="105"/>
        </w:rPr>
        <w:t>operate</w:t>
      </w:r>
      <w:r>
        <w:rPr>
          <w:spacing w:val="-9"/>
          <w:w w:val="105"/>
        </w:rPr>
        <w:t> </w:t>
      </w:r>
      <w:r>
        <w:rPr>
          <w:w w:val="105"/>
        </w:rPr>
        <w:t>in</w:t>
      </w:r>
      <w:r>
        <w:rPr>
          <w:spacing w:val="-9"/>
          <w:w w:val="105"/>
        </w:rPr>
        <w:t> </w:t>
      </w:r>
      <w:r>
        <w:rPr>
          <w:w w:val="105"/>
        </w:rPr>
        <w:t>rapidly</w:t>
      </w:r>
      <w:r>
        <w:rPr>
          <w:spacing w:val="-7"/>
          <w:w w:val="105"/>
        </w:rPr>
        <w:t> </w:t>
      </w:r>
      <w:r>
        <w:rPr>
          <w:w w:val="105"/>
        </w:rPr>
        <w:t>changing</w:t>
      </w:r>
      <w:r>
        <w:rPr>
          <w:spacing w:val="-9"/>
          <w:w w:val="105"/>
        </w:rPr>
        <w:t> </w:t>
      </w:r>
      <w:r>
        <w:rPr>
          <w:w w:val="105"/>
        </w:rPr>
        <w:t>economic,</w:t>
      </w:r>
      <w:r>
        <w:rPr>
          <w:spacing w:val="-9"/>
          <w:w w:val="105"/>
        </w:rPr>
        <w:t> </w:t>
      </w:r>
      <w:r>
        <w:rPr>
          <w:w w:val="105"/>
        </w:rPr>
        <w:t>political,</w:t>
      </w:r>
      <w:r>
        <w:rPr>
          <w:spacing w:val="-9"/>
          <w:w w:val="105"/>
        </w:rPr>
        <w:t> </w:t>
      </w:r>
      <w:r>
        <w:rPr>
          <w:w w:val="105"/>
        </w:rPr>
        <w:t>and</w:t>
      </w:r>
      <w:r>
        <w:rPr>
          <w:spacing w:val="-9"/>
          <w:w w:val="105"/>
        </w:rPr>
        <w:t> </w:t>
      </w:r>
      <w:r>
        <w:rPr>
          <w:w w:val="105"/>
        </w:rPr>
        <w:t>technological</w:t>
      </w:r>
      <w:r>
        <w:rPr>
          <w:spacing w:val="-9"/>
          <w:w w:val="105"/>
        </w:rPr>
        <w:t> </w:t>
      </w:r>
      <w:r>
        <w:rPr>
          <w:w w:val="105"/>
        </w:rPr>
        <w:t>environments</w:t>
      </w:r>
      <w:r>
        <w:rPr>
          <w:spacing w:val="-9"/>
          <w:w w:val="105"/>
        </w:rPr>
        <w:t> </w:t>
      </w:r>
      <w:r>
        <w:rPr>
          <w:w w:val="105"/>
        </w:rPr>
        <w:t>that</w:t>
      </w:r>
      <w:r>
        <w:rPr>
          <w:spacing w:val="-9"/>
          <w:w w:val="105"/>
        </w:rPr>
        <w:t> </w:t>
      </w:r>
      <w:r>
        <w:rPr>
          <w:w w:val="105"/>
        </w:rPr>
        <w:t>present</w:t>
      </w:r>
      <w:r>
        <w:rPr>
          <w:spacing w:val="-9"/>
          <w:w w:val="105"/>
        </w:rPr>
        <w:t> </w:t>
      </w:r>
      <w:r>
        <w:rPr>
          <w:w w:val="105"/>
        </w:rPr>
        <w:t>numerous</w:t>
      </w:r>
      <w:r>
        <w:rPr>
          <w:spacing w:val="-9"/>
          <w:w w:val="105"/>
        </w:rPr>
        <w:t> </w:t>
      </w:r>
      <w:r>
        <w:rPr>
          <w:w w:val="105"/>
        </w:rPr>
        <w:t>risks.</w:t>
      </w:r>
      <w:r>
        <w:rPr>
          <w:spacing w:val="-9"/>
          <w:w w:val="105"/>
        </w:rPr>
        <w:t> </w:t>
      </w:r>
      <w:r>
        <w:rPr>
          <w:w w:val="105"/>
        </w:rPr>
        <w:t>Our</w:t>
      </w:r>
      <w:r>
        <w:rPr>
          <w:spacing w:val="-9"/>
          <w:w w:val="105"/>
        </w:rPr>
        <w:t> </w:t>
      </w:r>
      <w:r>
        <w:rPr>
          <w:w w:val="105"/>
        </w:rPr>
        <w:t>operations</w:t>
      </w:r>
      <w:r>
        <w:rPr>
          <w:spacing w:val="-9"/>
          <w:w w:val="105"/>
        </w:rPr>
        <w:t> </w:t>
      </w:r>
      <w:r>
        <w:rPr>
          <w:w w:val="105"/>
        </w:rPr>
        <w:t>and</w:t>
      </w:r>
      <w:r>
        <w:rPr>
          <w:spacing w:val="-9"/>
          <w:w w:val="105"/>
        </w:rPr>
        <w:t> </w:t>
      </w:r>
      <w:r>
        <w:rPr>
          <w:w w:val="105"/>
        </w:rPr>
        <w:t>financial</w:t>
      </w:r>
      <w:r>
        <w:rPr>
          <w:spacing w:val="-9"/>
          <w:w w:val="105"/>
        </w:rPr>
        <w:t> </w:t>
      </w:r>
      <w:r>
        <w:rPr>
          <w:w w:val="105"/>
        </w:rPr>
        <w:t>results</w:t>
      </w:r>
      <w:r>
        <w:rPr>
          <w:spacing w:val="-9"/>
          <w:w w:val="105"/>
        </w:rPr>
        <w:t> </w:t>
      </w:r>
      <w:r>
        <w:rPr>
          <w:w w:val="105"/>
        </w:rPr>
        <w:t>are</w:t>
      </w:r>
      <w:r>
        <w:rPr>
          <w:spacing w:val="-9"/>
          <w:w w:val="105"/>
        </w:rPr>
        <w:t> </w:t>
      </w:r>
      <w:r>
        <w:rPr>
          <w:w w:val="105"/>
        </w:rPr>
        <w:t>subject</w:t>
      </w:r>
      <w:r>
        <w:rPr>
          <w:spacing w:val="-9"/>
          <w:w w:val="105"/>
        </w:rPr>
        <w:t> </w:t>
      </w:r>
      <w:r>
        <w:rPr>
          <w:w w:val="105"/>
        </w:rPr>
        <w:t>to</w:t>
      </w:r>
      <w:r>
        <w:rPr>
          <w:spacing w:val="-9"/>
          <w:w w:val="105"/>
        </w:rPr>
        <w:t> </w:t>
      </w:r>
      <w:r>
        <w:rPr>
          <w:w w:val="105"/>
        </w:rPr>
        <w:t>risks</w:t>
      </w:r>
      <w:r>
        <w:rPr>
          <w:spacing w:val="-9"/>
          <w:w w:val="105"/>
        </w:rPr>
        <w:t> </w:t>
      </w:r>
      <w:r>
        <w:rPr>
          <w:w w:val="105"/>
        </w:rPr>
        <w:t>and uncertainties,</w:t>
      </w:r>
      <w:r>
        <w:rPr>
          <w:spacing w:val="-2"/>
          <w:w w:val="105"/>
        </w:rPr>
        <w:t> </w:t>
      </w:r>
      <w:r>
        <w:rPr>
          <w:w w:val="105"/>
        </w:rPr>
        <w:t>including</w:t>
      </w:r>
      <w:r>
        <w:rPr>
          <w:spacing w:val="-2"/>
          <w:w w:val="105"/>
        </w:rPr>
        <w:t> </w:t>
      </w:r>
      <w:r>
        <w:rPr>
          <w:w w:val="105"/>
        </w:rPr>
        <w:t>those</w:t>
      </w:r>
      <w:r>
        <w:rPr>
          <w:spacing w:val="-2"/>
          <w:w w:val="105"/>
        </w:rPr>
        <w:t> </w:t>
      </w:r>
      <w:r>
        <w:rPr>
          <w:w w:val="105"/>
        </w:rPr>
        <w:t>described</w:t>
      </w:r>
      <w:r>
        <w:rPr>
          <w:spacing w:val="-2"/>
          <w:w w:val="105"/>
        </w:rPr>
        <w:t> </w:t>
      </w:r>
      <w:r>
        <w:rPr>
          <w:w w:val="105"/>
        </w:rPr>
        <w:t>below,</w:t>
      </w:r>
      <w:r>
        <w:rPr>
          <w:spacing w:val="-2"/>
          <w:w w:val="105"/>
        </w:rPr>
        <w:t> </w:t>
      </w:r>
      <w:r>
        <w:rPr>
          <w:w w:val="105"/>
        </w:rPr>
        <w:t>that</w:t>
      </w:r>
      <w:r>
        <w:rPr>
          <w:spacing w:val="-2"/>
          <w:w w:val="105"/>
        </w:rPr>
        <w:t> </w:t>
      </w:r>
      <w:r>
        <w:rPr>
          <w:w w:val="105"/>
        </w:rPr>
        <w:t>could</w:t>
      </w:r>
      <w:r>
        <w:rPr>
          <w:spacing w:val="-2"/>
          <w:w w:val="105"/>
        </w:rPr>
        <w:t> </w:t>
      </w:r>
      <w:r>
        <w:rPr>
          <w:w w:val="105"/>
        </w:rPr>
        <w:t>adversely</w:t>
      </w:r>
      <w:r>
        <w:rPr>
          <w:spacing w:val="-2"/>
          <w:w w:val="105"/>
        </w:rPr>
        <w:t> </w:t>
      </w:r>
      <w:r>
        <w:rPr>
          <w:w w:val="105"/>
        </w:rPr>
        <w:t>affect</w:t>
      </w:r>
      <w:r>
        <w:rPr>
          <w:spacing w:val="-2"/>
          <w:w w:val="105"/>
        </w:rPr>
        <w:t> </w:t>
      </w:r>
      <w:r>
        <w:rPr>
          <w:w w:val="105"/>
        </w:rPr>
        <w:t>our</w:t>
      </w:r>
      <w:r>
        <w:rPr>
          <w:spacing w:val="-2"/>
          <w:w w:val="105"/>
        </w:rPr>
        <w:t> </w:t>
      </w:r>
      <w:r>
        <w:rPr>
          <w:w w:val="105"/>
        </w:rPr>
        <w:t>business,</w:t>
      </w:r>
      <w:r>
        <w:rPr>
          <w:spacing w:val="-2"/>
          <w:w w:val="105"/>
        </w:rPr>
        <w:t> </w:t>
      </w:r>
      <w:r>
        <w:rPr>
          <w:w w:val="105"/>
        </w:rPr>
        <w:t>financial</w:t>
      </w:r>
      <w:r>
        <w:rPr>
          <w:spacing w:val="-2"/>
          <w:w w:val="105"/>
        </w:rPr>
        <w:t> </w:t>
      </w:r>
      <w:r>
        <w:rPr>
          <w:w w:val="105"/>
        </w:rPr>
        <w:t>condition, results</w:t>
      </w:r>
      <w:r>
        <w:rPr>
          <w:spacing w:val="-2"/>
          <w:w w:val="105"/>
        </w:rPr>
        <w:t> </w:t>
      </w:r>
      <w:r>
        <w:rPr>
          <w:w w:val="105"/>
        </w:rPr>
        <w:t>of</w:t>
      </w:r>
      <w:r>
        <w:rPr>
          <w:spacing w:val="-2"/>
          <w:w w:val="105"/>
        </w:rPr>
        <w:t> </w:t>
      </w:r>
      <w:r>
        <w:rPr>
          <w:w w:val="105"/>
        </w:rPr>
        <w:t>operations,</w:t>
      </w:r>
      <w:r>
        <w:rPr>
          <w:spacing w:val="-2"/>
          <w:w w:val="105"/>
        </w:rPr>
        <w:t> </w:t>
      </w:r>
      <w:r>
        <w:rPr>
          <w:w w:val="105"/>
        </w:rPr>
        <w:t>cash</w:t>
      </w:r>
      <w:r>
        <w:rPr>
          <w:spacing w:val="-2"/>
          <w:w w:val="105"/>
        </w:rPr>
        <w:t> </w:t>
      </w:r>
      <w:r>
        <w:rPr>
          <w:w w:val="105"/>
        </w:rPr>
        <w:t>flows,</w:t>
      </w:r>
      <w:r>
        <w:rPr>
          <w:spacing w:val="-2"/>
          <w:w w:val="105"/>
        </w:rPr>
        <w:t> </w:t>
      </w:r>
      <w:r>
        <w:rPr>
          <w:w w:val="105"/>
        </w:rPr>
        <w:t>our</w:t>
      </w:r>
      <w:r>
        <w:rPr>
          <w:spacing w:val="-2"/>
          <w:w w:val="105"/>
        </w:rPr>
        <w:t> </w:t>
      </w:r>
      <w:r>
        <w:rPr>
          <w:w w:val="105"/>
        </w:rPr>
        <w:t>ability</w:t>
      </w:r>
      <w:r>
        <w:rPr>
          <w:spacing w:val="-2"/>
          <w:w w:val="105"/>
        </w:rPr>
        <w:t> </w:t>
      </w:r>
      <w:r>
        <w:rPr>
          <w:w w:val="105"/>
        </w:rPr>
        <w:t>to</w:t>
      </w:r>
      <w:r>
        <w:rPr>
          <w:spacing w:val="-2"/>
          <w:w w:val="105"/>
        </w:rPr>
        <w:t> </w:t>
      </w:r>
      <w:r>
        <w:rPr>
          <w:w w:val="105"/>
        </w:rPr>
        <w:t>successfully execute</w:t>
      </w:r>
      <w:r>
        <w:rPr>
          <w:spacing w:val="-2"/>
          <w:w w:val="105"/>
        </w:rPr>
        <w:t> </w:t>
      </w:r>
      <w:r>
        <w:rPr>
          <w:w w:val="105"/>
        </w:rPr>
        <w:t>our</w:t>
      </w:r>
      <w:r>
        <w:rPr>
          <w:spacing w:val="-2"/>
          <w:w w:val="105"/>
        </w:rPr>
        <w:t> </w:t>
      </w:r>
      <w:r>
        <w:rPr>
          <w:w w:val="105"/>
        </w:rPr>
        <w:t>strategy</w:t>
      </w:r>
      <w:r>
        <w:rPr>
          <w:spacing w:val="-2"/>
          <w:w w:val="105"/>
        </w:rPr>
        <w:t> </w:t>
      </w:r>
      <w:r>
        <w:rPr>
          <w:w w:val="105"/>
        </w:rPr>
        <w:t>and the</w:t>
      </w:r>
      <w:r>
        <w:rPr>
          <w:spacing w:val="-2"/>
          <w:w w:val="105"/>
        </w:rPr>
        <w:t> </w:t>
      </w:r>
      <w:r>
        <w:rPr>
          <w:w w:val="105"/>
        </w:rPr>
        <w:t>trading</w:t>
      </w:r>
      <w:r>
        <w:rPr>
          <w:spacing w:val="-2"/>
          <w:w w:val="105"/>
        </w:rPr>
        <w:t> </w:t>
      </w:r>
      <w:r>
        <w:rPr>
          <w:w w:val="105"/>
        </w:rPr>
        <w:t>price</w:t>
      </w:r>
      <w:r>
        <w:rPr>
          <w:spacing w:val="-2"/>
          <w:w w:val="105"/>
        </w:rPr>
        <w:t> </w:t>
      </w:r>
      <w:r>
        <w:rPr>
          <w:w w:val="105"/>
        </w:rPr>
        <w:t>of</w:t>
      </w:r>
      <w:r>
        <w:rPr>
          <w:spacing w:val="-2"/>
          <w:w w:val="105"/>
        </w:rPr>
        <w:t> </w:t>
      </w:r>
      <w:r>
        <w:rPr>
          <w:w w:val="105"/>
        </w:rPr>
        <w:t>our</w:t>
      </w:r>
      <w:r>
        <w:rPr>
          <w:spacing w:val="-2"/>
          <w:w w:val="105"/>
        </w:rPr>
        <w:t> </w:t>
      </w:r>
      <w:r>
        <w:rPr>
          <w:w w:val="105"/>
        </w:rPr>
        <w:t>common</w:t>
      </w:r>
      <w:r>
        <w:rPr>
          <w:spacing w:val="-2"/>
          <w:w w:val="105"/>
        </w:rPr>
        <w:t> </w:t>
      </w:r>
      <w:r>
        <w:rPr>
          <w:w w:val="105"/>
        </w:rPr>
        <w:t>stock</w:t>
      </w:r>
      <w:r>
        <w:rPr>
          <w:spacing w:val="-2"/>
          <w:w w:val="105"/>
        </w:rPr>
        <w:t> </w:t>
      </w:r>
      <w:r>
        <w:rPr>
          <w:w w:val="105"/>
        </w:rPr>
        <w:t>or</w:t>
      </w:r>
      <w:r>
        <w:rPr>
          <w:spacing w:val="-2"/>
          <w:w w:val="105"/>
        </w:rPr>
        <w:t> </w:t>
      </w:r>
      <w:r>
        <w:rPr>
          <w:w w:val="105"/>
        </w:rPr>
        <w:t>debt.</w:t>
      </w:r>
      <w:r>
        <w:rPr>
          <w:spacing w:val="-2"/>
          <w:w w:val="105"/>
        </w:rPr>
        <w:t> </w:t>
      </w:r>
      <w:r>
        <w:rPr>
          <w:w w:val="105"/>
        </w:rPr>
        <w:t>The</w:t>
      </w:r>
      <w:r>
        <w:rPr>
          <w:spacing w:val="-2"/>
          <w:w w:val="105"/>
        </w:rPr>
        <w:t> </w:t>
      </w:r>
      <w:r>
        <w:rPr>
          <w:w w:val="105"/>
        </w:rPr>
        <w:t>following</w:t>
      </w:r>
      <w:r>
        <w:rPr>
          <w:spacing w:val="-2"/>
          <w:w w:val="105"/>
        </w:rPr>
        <w:t> </w:t>
      </w:r>
      <w:r>
        <w:rPr>
          <w:w w:val="105"/>
        </w:rPr>
        <w:t>discussion</w:t>
      </w:r>
      <w:r>
        <w:rPr>
          <w:spacing w:val="-2"/>
          <w:w w:val="105"/>
        </w:rPr>
        <w:t> </w:t>
      </w:r>
      <w:r>
        <w:rPr>
          <w:w w:val="105"/>
        </w:rPr>
        <w:t>identifies</w:t>
      </w:r>
      <w:r>
        <w:rPr>
          <w:spacing w:val="-2"/>
          <w:w w:val="105"/>
        </w:rPr>
        <w:t> </w:t>
      </w:r>
      <w:r>
        <w:rPr>
          <w:w w:val="105"/>
        </w:rPr>
        <w:t>the</w:t>
      </w:r>
      <w:r>
        <w:rPr>
          <w:spacing w:val="-2"/>
          <w:w w:val="105"/>
        </w:rPr>
        <w:t> </w:t>
      </w:r>
      <w:r>
        <w:rPr>
          <w:w w:val="105"/>
        </w:rPr>
        <w:t>most</w:t>
      </w:r>
      <w:r>
        <w:rPr>
          <w:spacing w:val="-2"/>
          <w:w w:val="105"/>
        </w:rPr>
        <w:t> </w:t>
      </w:r>
      <w:r>
        <w:rPr>
          <w:w w:val="105"/>
        </w:rPr>
        <w:t>significant</w:t>
      </w:r>
      <w:r>
        <w:rPr>
          <w:spacing w:val="-2"/>
          <w:w w:val="105"/>
        </w:rPr>
        <w:t> </w:t>
      </w:r>
      <w:r>
        <w:rPr>
          <w:w w:val="105"/>
        </w:rPr>
        <w:t>factors</w:t>
      </w:r>
      <w:r>
        <w:rPr>
          <w:spacing w:val="-2"/>
          <w:w w:val="105"/>
        </w:rPr>
        <w:t> </w:t>
      </w:r>
      <w:r>
        <w:rPr>
          <w:w w:val="105"/>
        </w:rPr>
        <w:t>that</w:t>
      </w:r>
      <w:r>
        <w:rPr>
          <w:spacing w:val="-2"/>
          <w:w w:val="105"/>
        </w:rPr>
        <w:t> </w:t>
      </w:r>
      <w:r>
        <w:rPr>
          <w:w w:val="105"/>
        </w:rPr>
        <w:t>may</w:t>
      </w:r>
      <w:r>
        <w:rPr>
          <w:spacing w:val="-2"/>
          <w:w w:val="105"/>
        </w:rPr>
        <w:t> </w:t>
      </w:r>
      <w:r>
        <w:rPr>
          <w:w w:val="105"/>
        </w:rPr>
        <w:t>adversely</w:t>
      </w:r>
      <w:r>
        <w:rPr>
          <w:spacing w:val="-2"/>
          <w:w w:val="105"/>
        </w:rPr>
        <w:t> </w:t>
      </w:r>
      <w:r>
        <w:rPr>
          <w:w w:val="105"/>
        </w:rPr>
        <w:t>affect</w:t>
      </w:r>
      <w:r>
        <w:rPr>
          <w:spacing w:val="-2"/>
          <w:w w:val="105"/>
        </w:rPr>
        <w:t> </w:t>
      </w:r>
      <w:r>
        <w:rPr>
          <w:w w:val="105"/>
        </w:rPr>
        <w:t>the Company.</w:t>
      </w:r>
      <w:r>
        <w:rPr>
          <w:spacing w:val="-3"/>
          <w:w w:val="105"/>
        </w:rPr>
        <w:t> </w:t>
      </w:r>
      <w:r>
        <w:rPr>
          <w:w w:val="105"/>
        </w:rPr>
        <w:t>This</w:t>
      </w:r>
      <w:r>
        <w:rPr>
          <w:spacing w:val="-3"/>
          <w:w w:val="105"/>
        </w:rPr>
        <w:t> </w:t>
      </w:r>
      <w:r>
        <w:rPr>
          <w:w w:val="105"/>
        </w:rPr>
        <w:t>information</w:t>
      </w:r>
      <w:r>
        <w:rPr>
          <w:spacing w:val="-3"/>
          <w:w w:val="105"/>
        </w:rPr>
        <w:t> </w:t>
      </w:r>
      <w:r>
        <w:rPr>
          <w:w w:val="105"/>
        </w:rPr>
        <w:t>should</w:t>
      </w:r>
      <w:r>
        <w:rPr>
          <w:spacing w:val="-3"/>
          <w:w w:val="105"/>
        </w:rPr>
        <w:t> </w:t>
      </w:r>
      <w:r>
        <w:rPr>
          <w:w w:val="105"/>
        </w:rPr>
        <w:t>be</w:t>
      </w:r>
      <w:r>
        <w:rPr>
          <w:spacing w:val="-3"/>
          <w:w w:val="105"/>
        </w:rPr>
        <w:t> </w:t>
      </w:r>
      <w:r>
        <w:rPr>
          <w:w w:val="105"/>
        </w:rPr>
        <w:t>read</w:t>
      </w:r>
      <w:r>
        <w:rPr>
          <w:spacing w:val="-3"/>
          <w:w w:val="105"/>
        </w:rPr>
        <w:t> </w:t>
      </w:r>
      <w:r>
        <w:rPr>
          <w:w w:val="105"/>
        </w:rPr>
        <w:t>in</w:t>
      </w:r>
      <w:r>
        <w:rPr>
          <w:spacing w:val="-3"/>
          <w:w w:val="105"/>
        </w:rPr>
        <w:t> </w:t>
      </w:r>
      <w:r>
        <w:rPr>
          <w:w w:val="105"/>
        </w:rPr>
        <w:t>conjunction</w:t>
      </w:r>
      <w:r>
        <w:rPr>
          <w:spacing w:val="-3"/>
          <w:w w:val="105"/>
        </w:rPr>
        <w:t> </w:t>
      </w:r>
      <w:r>
        <w:rPr>
          <w:w w:val="105"/>
        </w:rPr>
        <w:t>with</w:t>
      </w:r>
      <w:r>
        <w:rPr>
          <w:spacing w:val="-3"/>
          <w:w w:val="105"/>
        </w:rPr>
        <w:t> </w:t>
      </w:r>
      <w:r>
        <w:rPr>
          <w:w w:val="105"/>
        </w:rPr>
        <w:t>Management's</w:t>
      </w:r>
      <w:r>
        <w:rPr>
          <w:spacing w:val="-3"/>
          <w:w w:val="105"/>
        </w:rPr>
        <w:t> </w:t>
      </w:r>
      <w:r>
        <w:rPr>
          <w:w w:val="105"/>
        </w:rPr>
        <w:t>Discussion</w:t>
      </w:r>
      <w:r>
        <w:rPr>
          <w:spacing w:val="-3"/>
          <w:w w:val="105"/>
        </w:rPr>
        <w:t> </w:t>
      </w:r>
      <w:r>
        <w:rPr>
          <w:w w:val="105"/>
        </w:rPr>
        <w:t>and</w:t>
      </w:r>
      <w:r>
        <w:rPr>
          <w:spacing w:val="-3"/>
          <w:w w:val="105"/>
        </w:rPr>
        <w:t> </w:t>
      </w:r>
      <w:r>
        <w:rPr>
          <w:w w:val="105"/>
        </w:rPr>
        <w:t>Analysis</w:t>
      </w:r>
      <w:r>
        <w:rPr>
          <w:spacing w:val="-3"/>
          <w:w w:val="105"/>
        </w:rPr>
        <w:t> </w:t>
      </w:r>
      <w:r>
        <w:rPr>
          <w:w w:val="105"/>
        </w:rPr>
        <w:t>of</w:t>
      </w:r>
      <w:r>
        <w:rPr>
          <w:spacing w:val="-3"/>
          <w:w w:val="105"/>
        </w:rPr>
        <w:t> </w:t>
      </w:r>
      <w:r>
        <w:rPr>
          <w:w w:val="105"/>
        </w:rPr>
        <w:t>Financial</w:t>
      </w:r>
      <w:r>
        <w:rPr>
          <w:spacing w:val="-3"/>
          <w:w w:val="105"/>
        </w:rPr>
        <w:t> </w:t>
      </w:r>
      <w:r>
        <w:rPr>
          <w:w w:val="105"/>
        </w:rPr>
        <w:t>Conditions</w:t>
      </w:r>
      <w:r>
        <w:rPr>
          <w:spacing w:val="-3"/>
          <w:w w:val="105"/>
        </w:rPr>
        <w:t> </w:t>
      </w:r>
      <w:r>
        <w:rPr>
          <w:w w:val="105"/>
        </w:rPr>
        <w:t>and</w:t>
      </w:r>
      <w:r>
        <w:rPr>
          <w:spacing w:val="-3"/>
          <w:w w:val="105"/>
        </w:rPr>
        <w:t> </w:t>
      </w:r>
      <w:r>
        <w:rPr>
          <w:w w:val="105"/>
        </w:rPr>
        <w:t>Results</w:t>
      </w:r>
      <w:r>
        <w:rPr>
          <w:spacing w:val="-3"/>
          <w:w w:val="105"/>
        </w:rPr>
        <w:t> </w:t>
      </w:r>
      <w:r>
        <w:rPr>
          <w:w w:val="105"/>
        </w:rPr>
        <w:t>of</w:t>
      </w:r>
      <w:r>
        <w:rPr>
          <w:spacing w:val="-3"/>
          <w:w w:val="105"/>
        </w:rPr>
        <w:t> </w:t>
      </w:r>
      <w:r>
        <w:rPr>
          <w:w w:val="105"/>
        </w:rPr>
        <w:t>Operations</w:t>
      </w:r>
      <w:r>
        <w:rPr>
          <w:spacing w:val="-3"/>
          <w:w w:val="105"/>
        </w:rPr>
        <w:t> </w:t>
      </w:r>
      <w:r>
        <w:rPr>
          <w:w w:val="105"/>
        </w:rPr>
        <w:t>("MD&amp;A")</w:t>
      </w:r>
      <w:r>
        <w:rPr>
          <w:spacing w:val="-3"/>
          <w:w w:val="105"/>
        </w:rPr>
        <w:t> </w:t>
      </w:r>
      <w:r>
        <w:rPr>
          <w:w w:val="105"/>
        </w:rPr>
        <w:t>and the</w:t>
      </w:r>
      <w:r>
        <w:rPr>
          <w:spacing w:val="-2"/>
          <w:w w:val="105"/>
        </w:rPr>
        <w:t> </w:t>
      </w:r>
      <w:r>
        <w:rPr>
          <w:w w:val="105"/>
        </w:rPr>
        <w:t>consolidated</w:t>
      </w:r>
      <w:r>
        <w:rPr>
          <w:spacing w:val="-2"/>
          <w:w w:val="105"/>
        </w:rPr>
        <w:t> </w:t>
      </w:r>
      <w:r>
        <w:rPr>
          <w:w w:val="105"/>
        </w:rPr>
        <w:t>financial</w:t>
      </w:r>
      <w:r>
        <w:rPr>
          <w:spacing w:val="-2"/>
          <w:w w:val="105"/>
        </w:rPr>
        <w:t> </w:t>
      </w:r>
      <w:r>
        <w:rPr>
          <w:w w:val="105"/>
        </w:rPr>
        <w:t>statements</w:t>
      </w:r>
      <w:r>
        <w:rPr>
          <w:spacing w:val="-2"/>
          <w:w w:val="105"/>
        </w:rPr>
        <w:t> </w:t>
      </w:r>
      <w:r>
        <w:rPr>
          <w:w w:val="105"/>
        </w:rPr>
        <w:t>and</w:t>
      </w:r>
      <w:r>
        <w:rPr>
          <w:spacing w:val="-2"/>
          <w:w w:val="105"/>
        </w:rPr>
        <w:t> </w:t>
      </w:r>
      <w:r>
        <w:rPr>
          <w:w w:val="105"/>
        </w:rPr>
        <w:t>related</w:t>
      </w:r>
      <w:r>
        <w:rPr>
          <w:spacing w:val="-2"/>
          <w:w w:val="105"/>
        </w:rPr>
        <w:t> </w:t>
      </w:r>
      <w:r>
        <w:rPr>
          <w:w w:val="105"/>
        </w:rPr>
        <w:t>notes</w:t>
      </w:r>
      <w:r>
        <w:rPr>
          <w:spacing w:val="-2"/>
          <w:w w:val="105"/>
        </w:rPr>
        <w:t> </w:t>
      </w:r>
      <w:r>
        <w:rPr>
          <w:w w:val="105"/>
        </w:rPr>
        <w:t>incorporated</w:t>
      </w:r>
      <w:r>
        <w:rPr>
          <w:spacing w:val="-2"/>
          <w:w w:val="105"/>
        </w:rPr>
        <w:t> </w:t>
      </w:r>
      <w:r>
        <w:rPr>
          <w:w w:val="105"/>
        </w:rPr>
        <w:t>by reference</w:t>
      </w:r>
      <w:r>
        <w:rPr>
          <w:spacing w:val="-2"/>
          <w:w w:val="105"/>
        </w:rPr>
        <w:t> </w:t>
      </w:r>
      <w:r>
        <w:rPr>
          <w:w w:val="105"/>
        </w:rPr>
        <w:t>into</w:t>
      </w:r>
      <w:r>
        <w:rPr>
          <w:spacing w:val="-2"/>
          <w:w w:val="105"/>
        </w:rPr>
        <w:t> </w:t>
      </w:r>
      <w:r>
        <w:rPr>
          <w:w w:val="105"/>
        </w:rPr>
        <w:t>this</w:t>
      </w:r>
      <w:r>
        <w:rPr>
          <w:spacing w:val="-2"/>
          <w:w w:val="105"/>
        </w:rPr>
        <w:t> </w:t>
      </w:r>
      <w:r>
        <w:rPr>
          <w:w w:val="105"/>
        </w:rPr>
        <w:t>report.</w:t>
      </w:r>
      <w:r>
        <w:rPr>
          <w:spacing w:val="-2"/>
          <w:w w:val="105"/>
        </w:rPr>
        <w:t> </w:t>
      </w:r>
      <w:r>
        <w:rPr>
          <w:w w:val="105"/>
        </w:rPr>
        <w:t>The</w:t>
      </w:r>
      <w:r>
        <w:rPr>
          <w:spacing w:val="-2"/>
          <w:w w:val="105"/>
        </w:rPr>
        <w:t> </w:t>
      </w:r>
      <w:r>
        <w:rPr>
          <w:w w:val="105"/>
        </w:rPr>
        <w:t>following</w:t>
      </w:r>
      <w:r>
        <w:rPr>
          <w:spacing w:val="-2"/>
          <w:w w:val="105"/>
        </w:rPr>
        <w:t> </w:t>
      </w:r>
      <w:r>
        <w:rPr>
          <w:w w:val="105"/>
        </w:rPr>
        <w:t>discussion</w:t>
      </w:r>
      <w:r>
        <w:rPr>
          <w:spacing w:val="-2"/>
          <w:w w:val="105"/>
        </w:rPr>
        <w:t> </w:t>
      </w:r>
      <w:r>
        <w:rPr>
          <w:w w:val="105"/>
        </w:rPr>
        <w:t>of</w:t>
      </w:r>
      <w:r>
        <w:rPr>
          <w:spacing w:val="-2"/>
          <w:w w:val="105"/>
        </w:rPr>
        <w:t> </w:t>
      </w:r>
      <w:r>
        <w:rPr>
          <w:w w:val="105"/>
        </w:rPr>
        <w:t>risks is</w:t>
      </w:r>
      <w:r>
        <w:rPr>
          <w:spacing w:val="-2"/>
          <w:w w:val="105"/>
        </w:rPr>
        <w:t> </w:t>
      </w:r>
      <w:r>
        <w:rPr>
          <w:w w:val="105"/>
        </w:rPr>
        <w:t>not</w:t>
      </w:r>
      <w:r>
        <w:rPr>
          <w:spacing w:val="-2"/>
          <w:w w:val="105"/>
        </w:rPr>
        <w:t> </w:t>
      </w:r>
      <w:r>
        <w:rPr>
          <w:w w:val="105"/>
        </w:rPr>
        <w:t>all</w:t>
      </w:r>
      <w:r>
        <w:rPr>
          <w:spacing w:val="-2"/>
          <w:w w:val="105"/>
        </w:rPr>
        <w:t> </w:t>
      </w:r>
      <w:r>
        <w:rPr>
          <w:w w:val="105"/>
        </w:rPr>
        <w:t>inclusive</w:t>
      </w:r>
      <w:r>
        <w:rPr>
          <w:spacing w:val="-2"/>
          <w:w w:val="105"/>
        </w:rPr>
        <w:t> </w:t>
      </w:r>
      <w:r>
        <w:rPr>
          <w:w w:val="105"/>
        </w:rPr>
        <w:t>but</w:t>
      </w:r>
      <w:r>
        <w:rPr>
          <w:spacing w:val="-2"/>
          <w:w w:val="105"/>
        </w:rPr>
        <w:t> </w:t>
      </w:r>
      <w:r>
        <w:rPr>
          <w:w w:val="105"/>
        </w:rPr>
        <w:t>is</w:t>
      </w:r>
      <w:r>
        <w:rPr>
          <w:spacing w:val="-2"/>
          <w:w w:val="105"/>
        </w:rPr>
        <w:t> </w:t>
      </w:r>
      <w:r>
        <w:rPr>
          <w:w w:val="105"/>
        </w:rPr>
        <w:t>designed</w:t>
      </w:r>
      <w:r>
        <w:rPr>
          <w:spacing w:val="-2"/>
          <w:w w:val="105"/>
        </w:rPr>
        <w:t> </w:t>
      </w:r>
      <w:r>
        <w:rPr>
          <w:w w:val="105"/>
        </w:rPr>
        <w:t>to highlight</w:t>
      </w:r>
      <w:r>
        <w:rPr>
          <w:spacing w:val="-2"/>
          <w:w w:val="105"/>
        </w:rPr>
        <w:t> </w:t>
      </w:r>
      <w:r>
        <w:rPr>
          <w:w w:val="105"/>
        </w:rPr>
        <w:t>what</w:t>
      </w:r>
      <w:r>
        <w:rPr>
          <w:spacing w:val="-2"/>
          <w:w w:val="105"/>
        </w:rPr>
        <w:t> </w:t>
      </w:r>
      <w:r>
        <w:rPr>
          <w:w w:val="105"/>
        </w:rPr>
        <w:t>we</w:t>
      </w:r>
      <w:r>
        <w:rPr>
          <w:spacing w:val="-2"/>
          <w:w w:val="105"/>
        </w:rPr>
        <w:t> </w:t>
      </w:r>
      <w:r>
        <w:rPr>
          <w:w w:val="105"/>
        </w:rPr>
        <w:t>believe</w:t>
      </w:r>
      <w:r>
        <w:rPr>
          <w:spacing w:val="-2"/>
          <w:w w:val="105"/>
        </w:rPr>
        <w:t> </w:t>
      </w:r>
      <w:r>
        <w:rPr>
          <w:w w:val="105"/>
        </w:rPr>
        <w:t>are</w:t>
      </w:r>
      <w:r>
        <w:rPr>
          <w:spacing w:val="-2"/>
          <w:w w:val="105"/>
        </w:rPr>
        <w:t> </w:t>
      </w:r>
      <w:r>
        <w:rPr>
          <w:w w:val="105"/>
        </w:rPr>
        <w:t>important</w:t>
      </w:r>
      <w:r>
        <w:rPr>
          <w:spacing w:val="-2"/>
          <w:w w:val="105"/>
        </w:rPr>
        <w:t> </w:t>
      </w:r>
      <w:r>
        <w:rPr>
          <w:w w:val="105"/>
        </w:rPr>
        <w:t>factors</w:t>
      </w:r>
      <w:r>
        <w:rPr>
          <w:spacing w:val="-2"/>
          <w:w w:val="105"/>
        </w:rPr>
        <w:t> </w:t>
      </w:r>
      <w:r>
        <w:rPr>
          <w:w w:val="105"/>
        </w:rPr>
        <w:t>to consider,</w:t>
      </w:r>
      <w:r>
        <w:rPr>
          <w:spacing w:val="-2"/>
          <w:w w:val="105"/>
        </w:rPr>
        <w:t> </w:t>
      </w:r>
      <w:r>
        <w:rPr>
          <w:w w:val="105"/>
        </w:rPr>
        <w:t>as</w:t>
      </w:r>
      <w:r>
        <w:rPr>
          <w:spacing w:val="-2"/>
          <w:w w:val="105"/>
        </w:rPr>
        <w:t> </w:t>
      </w:r>
      <w:r>
        <w:rPr>
          <w:w w:val="105"/>
        </w:rPr>
        <w:t>these</w:t>
      </w:r>
      <w:r>
        <w:rPr>
          <w:spacing w:val="-2"/>
          <w:w w:val="105"/>
        </w:rPr>
        <w:t> </w:t>
      </w:r>
      <w:r>
        <w:rPr>
          <w:w w:val="105"/>
        </w:rPr>
        <w:t>factors could</w:t>
      </w:r>
      <w:r>
        <w:rPr>
          <w:spacing w:val="-2"/>
          <w:w w:val="105"/>
        </w:rPr>
        <w:t> </w:t>
      </w:r>
      <w:r>
        <w:rPr>
          <w:w w:val="105"/>
        </w:rPr>
        <w:t>cause</w:t>
      </w:r>
      <w:r>
        <w:rPr>
          <w:spacing w:val="-2"/>
          <w:w w:val="105"/>
        </w:rPr>
        <w:t> </w:t>
      </w:r>
      <w:r>
        <w:rPr>
          <w:w w:val="105"/>
        </w:rPr>
        <w:t>our</w:t>
      </w:r>
      <w:r>
        <w:rPr>
          <w:spacing w:val="-2"/>
          <w:w w:val="105"/>
        </w:rPr>
        <w:t> </w:t>
      </w:r>
      <w:r>
        <w:rPr>
          <w:w w:val="105"/>
        </w:rPr>
        <w:t>future</w:t>
      </w:r>
      <w:r>
        <w:rPr>
          <w:spacing w:val="-2"/>
          <w:w w:val="105"/>
        </w:rPr>
        <w:t> </w:t>
      </w:r>
      <w:r>
        <w:rPr>
          <w:w w:val="105"/>
        </w:rPr>
        <w:t>results</w:t>
      </w:r>
      <w:r>
        <w:rPr>
          <w:spacing w:val="-2"/>
          <w:w w:val="105"/>
        </w:rPr>
        <w:t> </w:t>
      </w:r>
      <w:r>
        <w:rPr>
          <w:w w:val="105"/>
        </w:rPr>
        <w:t>to</w:t>
      </w:r>
      <w:r>
        <w:rPr>
          <w:spacing w:val="-2"/>
          <w:w w:val="105"/>
        </w:rPr>
        <w:t> </w:t>
      </w:r>
      <w:r>
        <w:rPr>
          <w:w w:val="105"/>
        </w:rPr>
        <w:t>differ</w:t>
      </w:r>
      <w:r>
        <w:rPr>
          <w:spacing w:val="-2"/>
          <w:w w:val="105"/>
        </w:rPr>
        <w:t> </w:t>
      </w:r>
      <w:r>
        <w:rPr>
          <w:w w:val="105"/>
        </w:rPr>
        <w:t>from</w:t>
      </w:r>
      <w:r>
        <w:rPr>
          <w:spacing w:val="-2"/>
          <w:w w:val="105"/>
        </w:rPr>
        <w:t> </w:t>
      </w:r>
      <w:r>
        <w:rPr>
          <w:w w:val="105"/>
        </w:rPr>
        <w:t>those</w:t>
      </w:r>
      <w:r>
        <w:rPr>
          <w:spacing w:val="-2"/>
          <w:w w:val="105"/>
        </w:rPr>
        <w:t> </w:t>
      </w:r>
      <w:r>
        <w:rPr>
          <w:w w:val="105"/>
        </w:rPr>
        <w:t>in</w:t>
      </w:r>
      <w:r>
        <w:rPr>
          <w:spacing w:val="-2"/>
          <w:w w:val="105"/>
        </w:rPr>
        <w:t> </w:t>
      </w:r>
      <w:r>
        <w:rPr>
          <w:w w:val="105"/>
        </w:rPr>
        <w:t>our</w:t>
      </w:r>
      <w:r>
        <w:rPr>
          <w:spacing w:val="-2"/>
          <w:w w:val="105"/>
        </w:rPr>
        <w:t> </w:t>
      </w:r>
      <w:r>
        <w:rPr>
          <w:w w:val="105"/>
        </w:rPr>
        <w:t>forward-looking</w:t>
      </w:r>
      <w:r>
        <w:rPr>
          <w:spacing w:val="-2"/>
          <w:w w:val="105"/>
        </w:rPr>
        <w:t> </w:t>
      </w:r>
      <w:r>
        <w:rPr>
          <w:w w:val="105"/>
        </w:rPr>
        <w:t>statements</w:t>
      </w:r>
      <w:r>
        <w:rPr>
          <w:spacing w:val="-2"/>
          <w:w w:val="105"/>
        </w:rPr>
        <w:t> </w:t>
      </w:r>
      <w:r>
        <w:rPr>
          <w:w w:val="105"/>
        </w:rPr>
        <w:t>and</w:t>
      </w:r>
      <w:r>
        <w:rPr>
          <w:spacing w:val="-2"/>
          <w:w w:val="105"/>
        </w:rPr>
        <w:t> </w:t>
      </w:r>
      <w:r>
        <w:rPr>
          <w:w w:val="105"/>
        </w:rPr>
        <w:t>from historical</w:t>
      </w:r>
      <w:r>
        <w:rPr>
          <w:spacing w:val="-1"/>
          <w:w w:val="105"/>
        </w:rPr>
        <w:t> </w:t>
      </w:r>
      <w:r>
        <w:rPr>
          <w:w w:val="105"/>
        </w:rPr>
        <w:t>trends.</w:t>
      </w:r>
    </w:p>
    <w:p>
      <w:pPr>
        <w:pStyle w:val="BodyText"/>
        <w:spacing w:before="17"/>
      </w:pPr>
    </w:p>
    <w:p>
      <w:pPr>
        <w:pStyle w:val="Heading2"/>
      </w:pPr>
      <w:r>
        <w:rPr>
          <w:w w:val="105"/>
        </w:rPr>
        <w:t>Risks</w:t>
      </w:r>
      <w:r>
        <w:rPr>
          <w:spacing w:val="-11"/>
          <w:w w:val="105"/>
        </w:rPr>
        <w:t> </w:t>
      </w:r>
      <w:r>
        <w:rPr>
          <w:w w:val="105"/>
        </w:rPr>
        <w:t>Related</w:t>
      </w:r>
      <w:r>
        <w:rPr>
          <w:spacing w:val="-10"/>
          <w:w w:val="105"/>
        </w:rPr>
        <w:t> </w:t>
      </w:r>
      <w:r>
        <w:rPr>
          <w:w w:val="105"/>
        </w:rPr>
        <w:t>to</w:t>
      </w:r>
      <w:r>
        <w:rPr>
          <w:spacing w:val="-10"/>
          <w:w w:val="105"/>
        </w:rPr>
        <w:t> </w:t>
      </w:r>
      <w:r>
        <w:rPr>
          <w:w w:val="105"/>
        </w:rPr>
        <w:t>Our</w:t>
      </w:r>
      <w:r>
        <w:rPr>
          <w:spacing w:val="-10"/>
          <w:w w:val="105"/>
        </w:rPr>
        <w:t> </w:t>
      </w:r>
      <w:r>
        <w:rPr>
          <w:spacing w:val="-2"/>
          <w:w w:val="105"/>
        </w:rPr>
        <w:t>Business</w:t>
      </w:r>
    </w:p>
    <w:p>
      <w:pPr>
        <w:spacing w:line="266" w:lineRule="auto" w:before="20"/>
        <w:ind w:left="156" w:right="117" w:firstLine="0"/>
        <w:jc w:val="left"/>
        <w:rPr>
          <w:b/>
          <w:sz w:val="16"/>
        </w:rPr>
      </w:pPr>
      <w:r>
        <w:rPr>
          <w:b/>
          <w:w w:val="105"/>
          <w:sz w:val="16"/>
        </w:rPr>
        <w:t>The</w:t>
      </w:r>
      <w:r>
        <w:rPr>
          <w:b/>
          <w:spacing w:val="-9"/>
          <w:w w:val="105"/>
          <w:sz w:val="16"/>
        </w:rPr>
        <w:t> </w:t>
      </w:r>
      <w:r>
        <w:rPr>
          <w:b/>
          <w:w w:val="105"/>
          <w:sz w:val="16"/>
        </w:rPr>
        <w:t>ongoing</w:t>
      </w:r>
      <w:r>
        <w:rPr>
          <w:b/>
          <w:spacing w:val="-9"/>
          <w:w w:val="105"/>
          <w:sz w:val="16"/>
        </w:rPr>
        <w:t> </w:t>
      </w:r>
      <w:r>
        <w:rPr>
          <w:b/>
          <w:w w:val="105"/>
          <w:sz w:val="16"/>
        </w:rPr>
        <w:t>COVID-19</w:t>
      </w:r>
      <w:r>
        <w:rPr>
          <w:b/>
          <w:spacing w:val="-9"/>
          <w:w w:val="105"/>
          <w:sz w:val="16"/>
        </w:rPr>
        <w:t> </w:t>
      </w:r>
      <w:r>
        <w:rPr>
          <w:b/>
          <w:w w:val="105"/>
          <w:sz w:val="16"/>
        </w:rPr>
        <w:t>pandemic</w:t>
      </w:r>
      <w:r>
        <w:rPr>
          <w:b/>
          <w:spacing w:val="-9"/>
          <w:w w:val="105"/>
          <w:sz w:val="16"/>
        </w:rPr>
        <w:t> </w:t>
      </w:r>
      <w:r>
        <w:rPr>
          <w:b/>
          <w:w w:val="105"/>
          <w:sz w:val="16"/>
        </w:rPr>
        <w:t>has,</w:t>
      </w:r>
      <w:r>
        <w:rPr>
          <w:b/>
          <w:spacing w:val="-9"/>
          <w:w w:val="105"/>
          <w:sz w:val="16"/>
        </w:rPr>
        <w:t> </w:t>
      </w:r>
      <w:r>
        <w:rPr>
          <w:b/>
          <w:w w:val="105"/>
          <w:sz w:val="16"/>
        </w:rPr>
        <w:t>and</w:t>
      </w:r>
      <w:r>
        <w:rPr>
          <w:b/>
          <w:spacing w:val="-9"/>
          <w:w w:val="105"/>
          <w:sz w:val="16"/>
        </w:rPr>
        <w:t> </w:t>
      </w:r>
      <w:r>
        <w:rPr>
          <w:b/>
          <w:w w:val="105"/>
          <w:sz w:val="16"/>
        </w:rPr>
        <w:t>may</w:t>
      </w:r>
      <w:r>
        <w:rPr>
          <w:b/>
          <w:spacing w:val="-9"/>
          <w:w w:val="105"/>
          <w:sz w:val="16"/>
        </w:rPr>
        <w:t> </w:t>
      </w:r>
      <w:r>
        <w:rPr>
          <w:b/>
          <w:w w:val="105"/>
          <w:sz w:val="16"/>
        </w:rPr>
        <w:t>continue</w:t>
      </w:r>
      <w:r>
        <w:rPr>
          <w:b/>
          <w:spacing w:val="-9"/>
          <w:w w:val="105"/>
          <w:sz w:val="16"/>
        </w:rPr>
        <w:t> </w:t>
      </w:r>
      <w:r>
        <w:rPr>
          <w:b/>
          <w:w w:val="105"/>
          <w:sz w:val="16"/>
        </w:rPr>
        <w:t>to,</w:t>
      </w:r>
      <w:r>
        <w:rPr>
          <w:b/>
          <w:spacing w:val="-9"/>
          <w:w w:val="105"/>
          <w:sz w:val="16"/>
        </w:rPr>
        <w:t> </w:t>
      </w:r>
      <w:r>
        <w:rPr>
          <w:b/>
          <w:w w:val="105"/>
          <w:sz w:val="16"/>
        </w:rPr>
        <w:t>adversely</w:t>
      </w:r>
      <w:r>
        <w:rPr>
          <w:b/>
          <w:spacing w:val="-9"/>
          <w:w w:val="105"/>
          <w:sz w:val="16"/>
        </w:rPr>
        <w:t> </w:t>
      </w:r>
      <w:r>
        <w:rPr>
          <w:b/>
          <w:w w:val="105"/>
          <w:sz w:val="16"/>
        </w:rPr>
        <w:t>impact</w:t>
      </w:r>
      <w:r>
        <w:rPr>
          <w:b/>
          <w:spacing w:val="-9"/>
          <w:w w:val="105"/>
          <w:sz w:val="16"/>
        </w:rPr>
        <w:t> </w:t>
      </w:r>
      <w:r>
        <w:rPr>
          <w:b/>
          <w:w w:val="105"/>
          <w:sz w:val="16"/>
        </w:rPr>
        <w:t>the</w:t>
      </w:r>
      <w:r>
        <w:rPr>
          <w:b/>
          <w:spacing w:val="-9"/>
          <w:w w:val="105"/>
          <w:sz w:val="16"/>
        </w:rPr>
        <w:t> </w:t>
      </w:r>
      <w:r>
        <w:rPr>
          <w:b/>
          <w:w w:val="105"/>
          <w:sz w:val="16"/>
        </w:rPr>
        <w:t>global</w:t>
      </w:r>
      <w:r>
        <w:rPr>
          <w:b/>
          <w:spacing w:val="-9"/>
          <w:w w:val="105"/>
          <w:sz w:val="16"/>
        </w:rPr>
        <w:t> </w:t>
      </w:r>
      <w:r>
        <w:rPr>
          <w:b/>
          <w:w w:val="105"/>
          <w:sz w:val="16"/>
        </w:rPr>
        <w:t>economy</w:t>
      </w:r>
      <w:r>
        <w:rPr>
          <w:b/>
          <w:spacing w:val="-9"/>
          <w:w w:val="105"/>
          <w:sz w:val="16"/>
        </w:rPr>
        <w:t> </w:t>
      </w:r>
      <w:r>
        <w:rPr>
          <w:b/>
          <w:w w:val="105"/>
          <w:sz w:val="16"/>
        </w:rPr>
        <w:t>and</w:t>
      </w:r>
      <w:r>
        <w:rPr>
          <w:b/>
          <w:spacing w:val="-9"/>
          <w:w w:val="105"/>
          <w:sz w:val="16"/>
        </w:rPr>
        <w:t> </w:t>
      </w:r>
      <w:r>
        <w:rPr>
          <w:b/>
          <w:w w:val="105"/>
          <w:sz w:val="16"/>
        </w:rPr>
        <w:t>disrupt</w:t>
      </w:r>
      <w:r>
        <w:rPr>
          <w:b/>
          <w:spacing w:val="-9"/>
          <w:w w:val="105"/>
          <w:sz w:val="16"/>
        </w:rPr>
        <w:t> </w:t>
      </w:r>
      <w:r>
        <w:rPr>
          <w:b/>
          <w:w w:val="105"/>
          <w:sz w:val="16"/>
        </w:rPr>
        <w:t>our</w:t>
      </w:r>
      <w:r>
        <w:rPr>
          <w:b/>
          <w:spacing w:val="-9"/>
          <w:w w:val="105"/>
          <w:sz w:val="16"/>
        </w:rPr>
        <w:t> </w:t>
      </w:r>
      <w:r>
        <w:rPr>
          <w:b/>
          <w:w w:val="105"/>
          <w:sz w:val="16"/>
        </w:rPr>
        <w:t>operations</w:t>
      </w:r>
      <w:r>
        <w:rPr>
          <w:b/>
          <w:spacing w:val="-9"/>
          <w:w w:val="105"/>
          <w:sz w:val="16"/>
        </w:rPr>
        <w:t> </w:t>
      </w:r>
      <w:r>
        <w:rPr>
          <w:b/>
          <w:w w:val="105"/>
          <w:sz w:val="16"/>
        </w:rPr>
        <w:t>and</w:t>
      </w:r>
      <w:r>
        <w:rPr>
          <w:b/>
          <w:spacing w:val="-9"/>
          <w:w w:val="105"/>
          <w:sz w:val="16"/>
        </w:rPr>
        <w:t> </w:t>
      </w:r>
      <w:r>
        <w:rPr>
          <w:b/>
          <w:w w:val="105"/>
          <w:sz w:val="16"/>
        </w:rPr>
        <w:t>supply</w:t>
      </w:r>
      <w:r>
        <w:rPr>
          <w:b/>
          <w:spacing w:val="-9"/>
          <w:w w:val="105"/>
          <w:sz w:val="16"/>
        </w:rPr>
        <w:t> </w:t>
      </w:r>
      <w:r>
        <w:rPr>
          <w:b/>
          <w:w w:val="105"/>
          <w:sz w:val="16"/>
        </w:rPr>
        <w:t>chains,</w:t>
      </w:r>
      <w:r>
        <w:rPr>
          <w:b/>
          <w:spacing w:val="-9"/>
          <w:w w:val="105"/>
          <w:sz w:val="16"/>
        </w:rPr>
        <w:t> </w:t>
      </w:r>
      <w:r>
        <w:rPr>
          <w:b/>
          <w:w w:val="105"/>
          <w:sz w:val="16"/>
        </w:rPr>
        <w:t>which</w:t>
      </w:r>
      <w:r>
        <w:rPr>
          <w:b/>
          <w:spacing w:val="-9"/>
          <w:w w:val="105"/>
          <w:sz w:val="16"/>
        </w:rPr>
        <w:t> </w:t>
      </w:r>
      <w:r>
        <w:rPr>
          <w:b/>
          <w:w w:val="105"/>
          <w:sz w:val="16"/>
        </w:rPr>
        <w:t>may</w:t>
      </w:r>
      <w:r>
        <w:rPr>
          <w:b/>
          <w:spacing w:val="-9"/>
          <w:w w:val="105"/>
          <w:sz w:val="16"/>
        </w:rPr>
        <w:t> </w:t>
      </w:r>
      <w:r>
        <w:rPr>
          <w:b/>
          <w:w w:val="105"/>
          <w:sz w:val="16"/>
        </w:rPr>
        <w:t>have an adverse effect on our results of operations</w:t>
      </w:r>
    </w:p>
    <w:p>
      <w:pPr>
        <w:pStyle w:val="BodyText"/>
        <w:spacing w:before="18"/>
        <w:rPr>
          <w:b/>
        </w:rPr>
      </w:pPr>
    </w:p>
    <w:p>
      <w:pPr>
        <w:pStyle w:val="BodyText"/>
        <w:spacing w:line="266" w:lineRule="auto" w:before="1"/>
        <w:ind w:left="156" w:right="117"/>
      </w:pPr>
      <w:r>
        <w:rPr>
          <w:w w:val="105"/>
        </w:rPr>
        <w:t>COVID-19</w:t>
      </w:r>
      <w:r>
        <w:rPr>
          <w:spacing w:val="-8"/>
          <w:w w:val="105"/>
        </w:rPr>
        <w:t> </w:t>
      </w:r>
      <w:r>
        <w:rPr>
          <w:w w:val="105"/>
        </w:rPr>
        <w:t>has</w:t>
      </w:r>
      <w:r>
        <w:rPr>
          <w:spacing w:val="-8"/>
          <w:w w:val="105"/>
        </w:rPr>
        <w:t> </w:t>
      </w:r>
      <w:r>
        <w:rPr>
          <w:w w:val="105"/>
        </w:rPr>
        <w:t>impacted</w:t>
      </w:r>
      <w:r>
        <w:rPr>
          <w:spacing w:val="-8"/>
          <w:w w:val="105"/>
        </w:rPr>
        <w:t> </w:t>
      </w:r>
      <w:r>
        <w:rPr>
          <w:w w:val="105"/>
        </w:rPr>
        <w:t>and</w:t>
      </w:r>
      <w:r>
        <w:rPr>
          <w:spacing w:val="-8"/>
          <w:w w:val="105"/>
        </w:rPr>
        <w:t> </w:t>
      </w:r>
      <w:r>
        <w:rPr>
          <w:w w:val="105"/>
        </w:rPr>
        <w:t>may</w:t>
      </w:r>
      <w:r>
        <w:rPr>
          <w:spacing w:val="-8"/>
          <w:w w:val="105"/>
        </w:rPr>
        <w:t> </w:t>
      </w:r>
      <w:r>
        <w:rPr>
          <w:w w:val="105"/>
        </w:rPr>
        <w:t>further</w:t>
      </w:r>
      <w:r>
        <w:rPr>
          <w:spacing w:val="-8"/>
          <w:w w:val="105"/>
        </w:rPr>
        <w:t> </w:t>
      </w:r>
      <w:r>
        <w:rPr>
          <w:w w:val="105"/>
        </w:rPr>
        <w:t>impact</w:t>
      </w:r>
      <w:r>
        <w:rPr>
          <w:spacing w:val="-8"/>
          <w:w w:val="105"/>
        </w:rPr>
        <w:t> </w:t>
      </w:r>
      <w:r>
        <w:rPr>
          <w:w w:val="105"/>
        </w:rPr>
        <w:t>the</w:t>
      </w:r>
      <w:r>
        <w:rPr>
          <w:spacing w:val="-8"/>
          <w:w w:val="105"/>
        </w:rPr>
        <w:t> </w:t>
      </w:r>
      <w:r>
        <w:rPr>
          <w:w w:val="105"/>
        </w:rPr>
        <w:t>global</w:t>
      </w:r>
      <w:r>
        <w:rPr>
          <w:spacing w:val="-8"/>
          <w:w w:val="105"/>
        </w:rPr>
        <w:t> </w:t>
      </w:r>
      <w:r>
        <w:rPr>
          <w:w w:val="105"/>
        </w:rPr>
        <w:t>economy</w:t>
      </w:r>
      <w:r>
        <w:rPr>
          <w:spacing w:val="-8"/>
          <w:w w:val="105"/>
        </w:rPr>
        <w:t> </w:t>
      </w:r>
      <w:r>
        <w:rPr>
          <w:w w:val="105"/>
        </w:rPr>
        <w:t>and</w:t>
      </w:r>
      <w:r>
        <w:rPr>
          <w:spacing w:val="-8"/>
          <w:w w:val="105"/>
        </w:rPr>
        <w:t> </w:t>
      </w:r>
      <w:r>
        <w:rPr>
          <w:w w:val="105"/>
        </w:rPr>
        <w:t>could</w:t>
      </w:r>
      <w:r>
        <w:rPr>
          <w:spacing w:val="-8"/>
          <w:w w:val="105"/>
        </w:rPr>
        <w:t> </w:t>
      </w:r>
      <w:r>
        <w:rPr>
          <w:w w:val="105"/>
        </w:rPr>
        <w:t>have</w:t>
      </w:r>
      <w:r>
        <w:rPr>
          <w:spacing w:val="-8"/>
          <w:w w:val="105"/>
        </w:rPr>
        <w:t> </w:t>
      </w:r>
      <w:r>
        <w:rPr>
          <w:w w:val="105"/>
        </w:rPr>
        <w:t>additional</w:t>
      </w:r>
      <w:r>
        <w:rPr>
          <w:spacing w:val="-8"/>
          <w:w w:val="105"/>
        </w:rPr>
        <w:t> </w:t>
      </w:r>
      <w:r>
        <w:rPr>
          <w:w w:val="105"/>
        </w:rPr>
        <w:t>impacts</w:t>
      </w:r>
      <w:r>
        <w:rPr>
          <w:spacing w:val="-8"/>
          <w:w w:val="105"/>
        </w:rPr>
        <w:t> </w:t>
      </w:r>
      <w:r>
        <w:rPr>
          <w:w w:val="105"/>
        </w:rPr>
        <w:t>on</w:t>
      </w:r>
      <w:r>
        <w:rPr>
          <w:spacing w:val="-8"/>
          <w:w w:val="105"/>
        </w:rPr>
        <w:t> </w:t>
      </w:r>
      <w:r>
        <w:rPr>
          <w:w w:val="105"/>
        </w:rPr>
        <w:t>economic</w:t>
      </w:r>
      <w:r>
        <w:rPr>
          <w:spacing w:val="-8"/>
          <w:w w:val="105"/>
        </w:rPr>
        <w:t> </w:t>
      </w:r>
      <w:r>
        <w:rPr>
          <w:w w:val="105"/>
        </w:rPr>
        <w:t>growth,</w:t>
      </w:r>
      <w:r>
        <w:rPr>
          <w:spacing w:val="-8"/>
          <w:w w:val="105"/>
        </w:rPr>
        <w:t> </w:t>
      </w:r>
      <w:r>
        <w:rPr>
          <w:w w:val="105"/>
        </w:rPr>
        <w:t>the</w:t>
      </w:r>
      <w:r>
        <w:rPr>
          <w:spacing w:val="-8"/>
          <w:w w:val="105"/>
        </w:rPr>
        <w:t> </w:t>
      </w:r>
      <w:r>
        <w:rPr>
          <w:w w:val="105"/>
        </w:rPr>
        <w:t>proper</w:t>
      </w:r>
      <w:r>
        <w:rPr>
          <w:spacing w:val="-8"/>
          <w:w w:val="105"/>
        </w:rPr>
        <w:t> </w:t>
      </w:r>
      <w:r>
        <w:rPr>
          <w:w w:val="105"/>
        </w:rPr>
        <w:t>functioning</w:t>
      </w:r>
      <w:r>
        <w:rPr>
          <w:spacing w:val="-8"/>
          <w:w w:val="105"/>
        </w:rPr>
        <w:t> </w:t>
      </w:r>
      <w:r>
        <w:rPr>
          <w:w w:val="105"/>
        </w:rPr>
        <w:t>of</w:t>
      </w:r>
      <w:r>
        <w:rPr>
          <w:spacing w:val="-8"/>
          <w:w w:val="105"/>
        </w:rPr>
        <w:t> </w:t>
      </w:r>
      <w:r>
        <w:rPr>
          <w:w w:val="105"/>
        </w:rPr>
        <w:t>financial</w:t>
      </w:r>
      <w:r>
        <w:rPr>
          <w:spacing w:val="-8"/>
          <w:w w:val="105"/>
        </w:rPr>
        <w:t> </w:t>
      </w:r>
      <w:r>
        <w:rPr>
          <w:w w:val="105"/>
        </w:rPr>
        <w:t>and</w:t>
      </w:r>
      <w:r>
        <w:rPr>
          <w:spacing w:val="-8"/>
          <w:w w:val="105"/>
        </w:rPr>
        <w:t> </w:t>
      </w:r>
      <w:r>
        <w:rPr>
          <w:w w:val="105"/>
        </w:rPr>
        <w:t>capital markets,</w:t>
      </w:r>
      <w:r>
        <w:rPr>
          <w:spacing w:val="-2"/>
          <w:w w:val="105"/>
        </w:rPr>
        <w:t> </w:t>
      </w:r>
      <w:r>
        <w:rPr>
          <w:w w:val="105"/>
        </w:rPr>
        <w:t>foreign</w:t>
      </w:r>
      <w:r>
        <w:rPr>
          <w:spacing w:val="-2"/>
          <w:w w:val="105"/>
        </w:rPr>
        <w:t> </w:t>
      </w:r>
      <w:r>
        <w:rPr>
          <w:w w:val="105"/>
        </w:rPr>
        <w:t>currency</w:t>
      </w:r>
      <w:r>
        <w:rPr>
          <w:spacing w:val="-2"/>
          <w:w w:val="105"/>
        </w:rPr>
        <w:t> </w:t>
      </w:r>
      <w:r>
        <w:rPr>
          <w:w w:val="105"/>
        </w:rPr>
        <w:t>exchange</w:t>
      </w:r>
      <w:r>
        <w:rPr>
          <w:spacing w:val="-2"/>
          <w:w w:val="105"/>
        </w:rPr>
        <w:t> </w:t>
      </w:r>
      <w:r>
        <w:rPr>
          <w:w w:val="105"/>
        </w:rPr>
        <w:t>rates,</w:t>
      </w:r>
      <w:r>
        <w:rPr>
          <w:spacing w:val="-2"/>
          <w:w w:val="105"/>
        </w:rPr>
        <w:t> </w:t>
      </w:r>
      <w:r>
        <w:rPr>
          <w:w w:val="105"/>
        </w:rPr>
        <w:t>and</w:t>
      </w:r>
      <w:r>
        <w:rPr>
          <w:spacing w:val="-2"/>
          <w:w w:val="105"/>
        </w:rPr>
        <w:t> </w:t>
      </w:r>
      <w:r>
        <w:rPr>
          <w:w w:val="105"/>
        </w:rPr>
        <w:t>interest</w:t>
      </w:r>
      <w:r>
        <w:rPr>
          <w:spacing w:val="-2"/>
          <w:w w:val="105"/>
        </w:rPr>
        <w:t> </w:t>
      </w:r>
      <w:r>
        <w:rPr>
          <w:w w:val="105"/>
        </w:rPr>
        <w:t>rates.</w:t>
      </w:r>
      <w:r>
        <w:rPr>
          <w:spacing w:val="-2"/>
          <w:w w:val="105"/>
        </w:rPr>
        <w:t> </w:t>
      </w:r>
      <w:r>
        <w:rPr>
          <w:w w:val="105"/>
        </w:rPr>
        <w:t>The</w:t>
      </w:r>
      <w:r>
        <w:rPr>
          <w:spacing w:val="-2"/>
          <w:w w:val="105"/>
        </w:rPr>
        <w:t> </w:t>
      </w:r>
      <w:r>
        <w:rPr>
          <w:w w:val="105"/>
        </w:rPr>
        <w:t>pandemic</w:t>
      </w:r>
      <w:r>
        <w:rPr>
          <w:spacing w:val="-2"/>
          <w:w w:val="105"/>
        </w:rPr>
        <w:t> </w:t>
      </w:r>
      <w:r>
        <w:rPr>
          <w:w w:val="105"/>
        </w:rPr>
        <w:t>has</w:t>
      </w:r>
      <w:r>
        <w:rPr>
          <w:spacing w:val="-2"/>
          <w:w w:val="105"/>
        </w:rPr>
        <w:t> </w:t>
      </w:r>
      <w:r>
        <w:rPr>
          <w:w w:val="105"/>
        </w:rPr>
        <w:t>resulted</w:t>
      </w:r>
      <w:r>
        <w:rPr>
          <w:spacing w:val="-2"/>
          <w:w w:val="105"/>
        </w:rPr>
        <w:t> </w:t>
      </w:r>
      <w:r>
        <w:rPr>
          <w:w w:val="105"/>
        </w:rPr>
        <w:t>in</w:t>
      </w:r>
      <w:r>
        <w:rPr>
          <w:spacing w:val="-2"/>
          <w:w w:val="105"/>
        </w:rPr>
        <w:t> </w:t>
      </w:r>
      <w:r>
        <w:rPr>
          <w:w w:val="105"/>
        </w:rPr>
        <w:t>authorities</w:t>
      </w:r>
      <w:r>
        <w:rPr>
          <w:spacing w:val="-2"/>
          <w:w w:val="105"/>
        </w:rPr>
        <w:t> </w:t>
      </w:r>
      <w:r>
        <w:rPr>
          <w:w w:val="105"/>
        </w:rPr>
        <w:t>around</w:t>
      </w:r>
      <w:r>
        <w:rPr>
          <w:spacing w:val="-2"/>
          <w:w w:val="105"/>
        </w:rPr>
        <w:t> </w:t>
      </w:r>
      <w:r>
        <w:rPr>
          <w:w w:val="105"/>
        </w:rPr>
        <w:t>the</w:t>
      </w:r>
      <w:r>
        <w:rPr>
          <w:spacing w:val="-2"/>
          <w:w w:val="105"/>
        </w:rPr>
        <w:t> </w:t>
      </w:r>
      <w:r>
        <w:rPr>
          <w:w w:val="105"/>
        </w:rPr>
        <w:t>world</w:t>
      </w:r>
      <w:r>
        <w:rPr>
          <w:spacing w:val="-2"/>
          <w:w w:val="105"/>
        </w:rPr>
        <w:t> </w:t>
      </w:r>
      <w:r>
        <w:rPr>
          <w:w w:val="105"/>
        </w:rPr>
        <w:t>implementing</w:t>
      </w:r>
      <w:r>
        <w:rPr>
          <w:spacing w:val="-2"/>
          <w:w w:val="105"/>
        </w:rPr>
        <w:t> </w:t>
      </w:r>
      <w:r>
        <w:rPr>
          <w:w w:val="105"/>
        </w:rPr>
        <w:t>numerous</w:t>
      </w:r>
      <w:r>
        <w:rPr>
          <w:spacing w:val="-2"/>
          <w:w w:val="105"/>
        </w:rPr>
        <w:t> </w:t>
      </w:r>
      <w:r>
        <w:rPr>
          <w:w w:val="105"/>
        </w:rPr>
        <w:t>unprecedented</w:t>
      </w:r>
      <w:r>
        <w:rPr>
          <w:spacing w:val="-2"/>
          <w:w w:val="105"/>
        </w:rPr>
        <w:t> </w:t>
      </w:r>
      <w:r>
        <w:rPr>
          <w:w w:val="105"/>
        </w:rPr>
        <w:t>measures such</w:t>
      </w:r>
      <w:r>
        <w:rPr>
          <w:spacing w:val="-2"/>
          <w:w w:val="105"/>
        </w:rPr>
        <w:t> </w:t>
      </w:r>
      <w:r>
        <w:rPr>
          <w:w w:val="105"/>
        </w:rPr>
        <w:t>as</w:t>
      </w:r>
      <w:r>
        <w:rPr>
          <w:spacing w:val="-2"/>
          <w:w w:val="105"/>
        </w:rPr>
        <w:t> </w:t>
      </w:r>
      <w:r>
        <w:rPr>
          <w:w w:val="105"/>
        </w:rPr>
        <w:t>travel</w:t>
      </w:r>
      <w:r>
        <w:rPr>
          <w:spacing w:val="-2"/>
          <w:w w:val="105"/>
        </w:rPr>
        <w:t> </w:t>
      </w:r>
      <w:r>
        <w:rPr>
          <w:w w:val="105"/>
        </w:rPr>
        <w:t>restrictions,</w:t>
      </w:r>
      <w:r>
        <w:rPr>
          <w:spacing w:val="-2"/>
          <w:w w:val="105"/>
        </w:rPr>
        <w:t> </w:t>
      </w:r>
      <w:r>
        <w:rPr>
          <w:w w:val="105"/>
        </w:rPr>
        <w:t>quarantines,</w:t>
      </w:r>
      <w:r>
        <w:rPr>
          <w:spacing w:val="-2"/>
          <w:w w:val="105"/>
        </w:rPr>
        <w:t> </w:t>
      </w:r>
      <w:r>
        <w:rPr>
          <w:w w:val="105"/>
        </w:rPr>
        <w:t>shelter</w:t>
      </w:r>
      <w:r>
        <w:rPr>
          <w:spacing w:val="-2"/>
          <w:w w:val="105"/>
        </w:rPr>
        <w:t> </w:t>
      </w:r>
      <w:r>
        <w:rPr>
          <w:w w:val="105"/>
        </w:rPr>
        <w:t>in</w:t>
      </w:r>
      <w:r>
        <w:rPr>
          <w:spacing w:val="-2"/>
          <w:w w:val="105"/>
        </w:rPr>
        <w:t> </w:t>
      </w:r>
      <w:r>
        <w:rPr>
          <w:w w:val="105"/>
        </w:rPr>
        <w:t>place</w:t>
      </w:r>
      <w:r>
        <w:rPr>
          <w:spacing w:val="-2"/>
          <w:w w:val="105"/>
        </w:rPr>
        <w:t> </w:t>
      </w:r>
      <w:r>
        <w:rPr>
          <w:w w:val="105"/>
        </w:rPr>
        <w:t>orders,</w:t>
      </w:r>
      <w:r>
        <w:rPr>
          <w:spacing w:val="-2"/>
          <w:w w:val="105"/>
        </w:rPr>
        <w:t> </w:t>
      </w:r>
      <w:r>
        <w:rPr>
          <w:w w:val="105"/>
        </w:rPr>
        <w:t>vaccine</w:t>
      </w:r>
      <w:r>
        <w:rPr>
          <w:spacing w:val="-2"/>
          <w:w w:val="105"/>
        </w:rPr>
        <w:t> </w:t>
      </w:r>
      <w:r>
        <w:rPr>
          <w:w w:val="105"/>
        </w:rPr>
        <w:t>mandates</w:t>
      </w:r>
      <w:r>
        <w:rPr>
          <w:spacing w:val="-2"/>
          <w:w w:val="105"/>
        </w:rPr>
        <w:t> </w:t>
      </w:r>
      <w:r>
        <w:rPr>
          <w:w w:val="105"/>
        </w:rPr>
        <w:t>and</w:t>
      </w:r>
      <w:r>
        <w:rPr>
          <w:spacing w:val="-2"/>
          <w:w w:val="105"/>
        </w:rPr>
        <w:t> </w:t>
      </w:r>
      <w:r>
        <w:rPr>
          <w:w w:val="105"/>
        </w:rPr>
        <w:t>facility</w:t>
      </w:r>
      <w:r>
        <w:rPr>
          <w:spacing w:val="-2"/>
          <w:w w:val="105"/>
        </w:rPr>
        <w:t> </w:t>
      </w:r>
      <w:r>
        <w:rPr>
          <w:w w:val="105"/>
        </w:rPr>
        <w:t>shutdowns.</w:t>
      </w:r>
      <w:r>
        <w:rPr>
          <w:spacing w:val="-2"/>
          <w:w w:val="105"/>
        </w:rPr>
        <w:t> </w:t>
      </w:r>
      <w:r>
        <w:rPr>
          <w:w w:val="105"/>
        </w:rPr>
        <w:t>These</w:t>
      </w:r>
      <w:r>
        <w:rPr>
          <w:spacing w:val="-2"/>
          <w:w w:val="105"/>
        </w:rPr>
        <w:t> </w:t>
      </w:r>
      <w:r>
        <w:rPr>
          <w:w w:val="105"/>
        </w:rPr>
        <w:t>measures</w:t>
      </w:r>
      <w:r>
        <w:rPr>
          <w:spacing w:val="-2"/>
          <w:w w:val="105"/>
        </w:rPr>
        <w:t> </w:t>
      </w:r>
      <w:r>
        <w:rPr>
          <w:w w:val="105"/>
        </w:rPr>
        <w:t>have</w:t>
      </w:r>
      <w:r>
        <w:rPr>
          <w:spacing w:val="-2"/>
          <w:w w:val="105"/>
        </w:rPr>
        <w:t> </w:t>
      </w:r>
      <w:r>
        <w:rPr>
          <w:w w:val="105"/>
        </w:rPr>
        <w:t>impacted,</w:t>
      </w:r>
      <w:r>
        <w:rPr>
          <w:spacing w:val="-2"/>
          <w:w w:val="105"/>
        </w:rPr>
        <w:t> </w:t>
      </w:r>
      <w:r>
        <w:rPr>
          <w:w w:val="105"/>
        </w:rPr>
        <w:t>and</w:t>
      </w:r>
      <w:r>
        <w:rPr>
          <w:spacing w:val="-2"/>
          <w:w w:val="105"/>
        </w:rPr>
        <w:t> </w:t>
      </w:r>
      <w:r>
        <w:rPr>
          <w:w w:val="105"/>
        </w:rPr>
        <w:t>may</w:t>
      </w:r>
      <w:r>
        <w:rPr>
          <w:spacing w:val="-2"/>
          <w:w w:val="105"/>
        </w:rPr>
        <w:t> </w:t>
      </w:r>
      <w:r>
        <w:rPr>
          <w:w w:val="105"/>
        </w:rPr>
        <w:t>continue</w:t>
      </w:r>
      <w:r>
        <w:rPr>
          <w:spacing w:val="-2"/>
          <w:w w:val="105"/>
        </w:rPr>
        <w:t> </w:t>
      </w:r>
      <w:r>
        <w:rPr>
          <w:w w:val="105"/>
        </w:rPr>
        <w:t>to</w:t>
      </w:r>
      <w:r>
        <w:rPr>
          <w:spacing w:val="-2"/>
          <w:w w:val="105"/>
        </w:rPr>
        <w:t> </w:t>
      </w:r>
      <w:r>
        <w:rPr>
          <w:w w:val="105"/>
        </w:rPr>
        <w:t>impact</w:t>
      </w:r>
      <w:r>
        <w:rPr>
          <w:spacing w:val="-2"/>
          <w:w w:val="105"/>
        </w:rPr>
        <w:t> </w:t>
      </w:r>
      <w:r>
        <w:rPr>
          <w:w w:val="105"/>
        </w:rPr>
        <w:t>our workforce,</w:t>
      </w:r>
      <w:r>
        <w:rPr>
          <w:spacing w:val="-7"/>
          <w:w w:val="105"/>
        </w:rPr>
        <w:t> </w:t>
      </w:r>
      <w:r>
        <w:rPr>
          <w:w w:val="105"/>
        </w:rPr>
        <w:t>operations</w:t>
      </w:r>
      <w:r>
        <w:rPr>
          <w:spacing w:val="-7"/>
          <w:w w:val="105"/>
        </w:rPr>
        <w:t> </w:t>
      </w:r>
      <w:r>
        <w:rPr>
          <w:w w:val="105"/>
        </w:rPr>
        <w:t>and</w:t>
      </w:r>
      <w:r>
        <w:rPr>
          <w:spacing w:val="-7"/>
          <w:w w:val="105"/>
        </w:rPr>
        <w:t> </w:t>
      </w:r>
      <w:r>
        <w:rPr>
          <w:w w:val="105"/>
        </w:rPr>
        <w:t>supply</w:t>
      </w:r>
      <w:r>
        <w:rPr>
          <w:spacing w:val="-7"/>
          <w:w w:val="105"/>
        </w:rPr>
        <w:t> </w:t>
      </w:r>
      <w:r>
        <w:rPr>
          <w:w w:val="105"/>
        </w:rPr>
        <w:t>chains,</w:t>
      </w:r>
      <w:r>
        <w:rPr>
          <w:spacing w:val="-7"/>
          <w:w w:val="105"/>
        </w:rPr>
        <w:t> </w:t>
      </w:r>
      <w:r>
        <w:rPr>
          <w:w w:val="105"/>
        </w:rPr>
        <w:t>and</w:t>
      </w:r>
      <w:r>
        <w:rPr>
          <w:spacing w:val="-7"/>
          <w:w w:val="105"/>
        </w:rPr>
        <w:t> </w:t>
      </w:r>
      <w:r>
        <w:rPr>
          <w:w w:val="105"/>
        </w:rPr>
        <w:t>those</w:t>
      </w:r>
      <w:r>
        <w:rPr>
          <w:spacing w:val="-7"/>
          <w:w w:val="105"/>
        </w:rPr>
        <w:t> </w:t>
      </w:r>
      <w:r>
        <w:rPr>
          <w:w w:val="105"/>
        </w:rPr>
        <w:t>of</w:t>
      </w:r>
      <w:r>
        <w:rPr>
          <w:spacing w:val="-7"/>
          <w:w w:val="105"/>
        </w:rPr>
        <w:t> </w:t>
      </w:r>
      <w:r>
        <w:rPr>
          <w:w w:val="105"/>
        </w:rPr>
        <w:t>our</w:t>
      </w:r>
      <w:r>
        <w:rPr>
          <w:spacing w:val="-7"/>
          <w:w w:val="105"/>
        </w:rPr>
        <w:t> </w:t>
      </w:r>
      <w:r>
        <w:rPr>
          <w:w w:val="105"/>
        </w:rPr>
        <w:t>customers,</w:t>
      </w:r>
      <w:r>
        <w:rPr>
          <w:spacing w:val="-7"/>
          <w:w w:val="105"/>
        </w:rPr>
        <w:t> </w:t>
      </w:r>
      <w:r>
        <w:rPr>
          <w:w w:val="105"/>
        </w:rPr>
        <w:t>contract</w:t>
      </w:r>
      <w:r>
        <w:rPr>
          <w:spacing w:val="-7"/>
          <w:w w:val="105"/>
        </w:rPr>
        <w:t> </w:t>
      </w:r>
      <w:r>
        <w:rPr>
          <w:w w:val="105"/>
        </w:rPr>
        <w:t>manufacturers</w:t>
      </w:r>
      <w:r>
        <w:rPr>
          <w:spacing w:val="-7"/>
          <w:w w:val="105"/>
        </w:rPr>
        <w:t> </w:t>
      </w:r>
      <w:r>
        <w:rPr>
          <w:w w:val="105"/>
        </w:rPr>
        <w:t>and</w:t>
      </w:r>
      <w:r>
        <w:rPr>
          <w:spacing w:val="-7"/>
          <w:w w:val="105"/>
        </w:rPr>
        <w:t> </w:t>
      </w:r>
      <w:r>
        <w:rPr>
          <w:w w:val="105"/>
        </w:rPr>
        <w:t>suppliers,</w:t>
      </w:r>
      <w:r>
        <w:rPr>
          <w:spacing w:val="-7"/>
          <w:w w:val="105"/>
        </w:rPr>
        <w:t> </w:t>
      </w:r>
      <w:r>
        <w:rPr>
          <w:w w:val="105"/>
        </w:rPr>
        <w:t>particularly</w:t>
      </w:r>
      <w:r>
        <w:rPr>
          <w:spacing w:val="-7"/>
          <w:w w:val="105"/>
        </w:rPr>
        <w:t> </w:t>
      </w:r>
      <w:r>
        <w:rPr>
          <w:w w:val="105"/>
        </w:rPr>
        <w:t>in</w:t>
      </w:r>
      <w:r>
        <w:rPr>
          <w:spacing w:val="-7"/>
          <w:w w:val="105"/>
        </w:rPr>
        <w:t> </w:t>
      </w:r>
      <w:r>
        <w:rPr>
          <w:w w:val="105"/>
        </w:rPr>
        <w:t>the</w:t>
      </w:r>
      <w:r>
        <w:rPr>
          <w:spacing w:val="-7"/>
          <w:w w:val="105"/>
        </w:rPr>
        <w:t> </w:t>
      </w:r>
      <w:r>
        <w:rPr>
          <w:w w:val="105"/>
        </w:rPr>
        <w:t>event</w:t>
      </w:r>
      <w:r>
        <w:rPr>
          <w:spacing w:val="-7"/>
          <w:w w:val="105"/>
        </w:rPr>
        <w:t> </w:t>
      </w:r>
      <w:r>
        <w:rPr>
          <w:w w:val="105"/>
        </w:rPr>
        <w:t>of</w:t>
      </w:r>
      <w:r>
        <w:rPr>
          <w:spacing w:val="-7"/>
          <w:w w:val="105"/>
        </w:rPr>
        <w:t> </w:t>
      </w:r>
      <w:r>
        <w:rPr>
          <w:w w:val="105"/>
        </w:rPr>
        <w:t>a</w:t>
      </w:r>
      <w:r>
        <w:rPr>
          <w:spacing w:val="-7"/>
          <w:w w:val="105"/>
        </w:rPr>
        <w:t> </w:t>
      </w:r>
      <w:r>
        <w:rPr>
          <w:w w:val="105"/>
        </w:rPr>
        <w:t>significant</w:t>
      </w:r>
      <w:r>
        <w:rPr>
          <w:spacing w:val="-7"/>
          <w:w w:val="105"/>
        </w:rPr>
        <w:t> </w:t>
      </w:r>
      <w:r>
        <w:rPr>
          <w:w w:val="105"/>
        </w:rPr>
        <w:t>global</w:t>
      </w:r>
      <w:r>
        <w:rPr>
          <w:spacing w:val="-7"/>
          <w:w w:val="105"/>
        </w:rPr>
        <w:t> </w:t>
      </w:r>
      <w:r>
        <w:rPr>
          <w:w w:val="105"/>
        </w:rPr>
        <w:t>resurgence</w:t>
      </w:r>
      <w:r>
        <w:rPr>
          <w:spacing w:val="-7"/>
          <w:w w:val="105"/>
        </w:rPr>
        <w:t> </w:t>
      </w:r>
      <w:r>
        <w:rPr>
          <w:w w:val="105"/>
        </w:rPr>
        <w:t>of</w:t>
      </w:r>
      <w:r>
        <w:rPr>
          <w:spacing w:val="-7"/>
          <w:w w:val="105"/>
        </w:rPr>
        <w:t> </w:t>
      </w:r>
      <w:r>
        <w:rPr>
          <w:w w:val="105"/>
        </w:rPr>
        <w:t>the illness.</w:t>
      </w:r>
      <w:r>
        <w:rPr>
          <w:spacing w:val="-2"/>
          <w:w w:val="105"/>
        </w:rPr>
        <w:t> </w:t>
      </w:r>
      <w:r>
        <w:rPr>
          <w:w w:val="105"/>
        </w:rPr>
        <w:t>There</w:t>
      </w:r>
      <w:r>
        <w:rPr>
          <w:spacing w:val="-2"/>
          <w:w w:val="105"/>
        </w:rPr>
        <w:t> </w:t>
      </w:r>
      <w:r>
        <w:rPr>
          <w:w w:val="105"/>
        </w:rPr>
        <w:t>is</w:t>
      </w:r>
      <w:r>
        <w:rPr>
          <w:spacing w:val="-2"/>
          <w:w w:val="105"/>
        </w:rPr>
        <w:t> </w:t>
      </w:r>
      <w:r>
        <w:rPr>
          <w:w w:val="105"/>
        </w:rPr>
        <w:t>considerable</w:t>
      </w:r>
      <w:r>
        <w:rPr>
          <w:spacing w:val="-2"/>
          <w:w w:val="105"/>
        </w:rPr>
        <w:t> </w:t>
      </w:r>
      <w:r>
        <w:rPr>
          <w:w w:val="105"/>
        </w:rPr>
        <w:t>uncertainty</w:t>
      </w:r>
      <w:r>
        <w:rPr>
          <w:spacing w:val="-2"/>
          <w:w w:val="105"/>
        </w:rPr>
        <w:t> </w:t>
      </w:r>
      <w:r>
        <w:rPr>
          <w:w w:val="105"/>
        </w:rPr>
        <w:t>regarding</w:t>
      </w:r>
      <w:r>
        <w:rPr>
          <w:spacing w:val="-2"/>
          <w:w w:val="105"/>
        </w:rPr>
        <w:t> </w:t>
      </w:r>
      <w:r>
        <w:rPr>
          <w:w w:val="105"/>
        </w:rPr>
        <w:t>the</w:t>
      </w:r>
      <w:r>
        <w:rPr>
          <w:spacing w:val="-2"/>
          <w:w w:val="105"/>
        </w:rPr>
        <w:t> </w:t>
      </w:r>
      <w:r>
        <w:rPr>
          <w:w w:val="105"/>
        </w:rPr>
        <w:t>duration,</w:t>
      </w:r>
      <w:r>
        <w:rPr>
          <w:spacing w:val="-2"/>
          <w:w w:val="105"/>
        </w:rPr>
        <w:t> </w:t>
      </w:r>
      <w:r>
        <w:rPr>
          <w:w w:val="105"/>
        </w:rPr>
        <w:t>scope</w:t>
      </w:r>
      <w:r>
        <w:rPr>
          <w:spacing w:val="-2"/>
          <w:w w:val="105"/>
        </w:rPr>
        <w:t> </w:t>
      </w:r>
      <w:r>
        <w:rPr>
          <w:w w:val="105"/>
        </w:rPr>
        <w:t>and</w:t>
      </w:r>
      <w:r>
        <w:rPr>
          <w:spacing w:val="-2"/>
          <w:w w:val="105"/>
        </w:rPr>
        <w:t> </w:t>
      </w:r>
      <w:r>
        <w:rPr>
          <w:w w:val="105"/>
        </w:rPr>
        <w:t>severity</w:t>
      </w:r>
      <w:r>
        <w:rPr>
          <w:spacing w:val="-2"/>
          <w:w w:val="105"/>
        </w:rPr>
        <w:t> </w:t>
      </w:r>
      <w:r>
        <w:rPr>
          <w:w w:val="105"/>
        </w:rPr>
        <w:t>of</w:t>
      </w:r>
      <w:r>
        <w:rPr>
          <w:spacing w:val="-2"/>
          <w:w w:val="105"/>
        </w:rPr>
        <w:t> </w:t>
      </w:r>
      <w:r>
        <w:rPr>
          <w:w w:val="105"/>
        </w:rPr>
        <w:t>the</w:t>
      </w:r>
      <w:r>
        <w:rPr>
          <w:spacing w:val="-2"/>
          <w:w w:val="105"/>
        </w:rPr>
        <w:t> </w:t>
      </w:r>
      <w:r>
        <w:rPr>
          <w:w w:val="105"/>
        </w:rPr>
        <w:t>pandemic</w:t>
      </w:r>
      <w:r>
        <w:rPr>
          <w:spacing w:val="-2"/>
          <w:w w:val="105"/>
        </w:rPr>
        <w:t> </w:t>
      </w:r>
      <w:r>
        <w:rPr>
          <w:w w:val="105"/>
        </w:rPr>
        <w:t>and</w:t>
      </w:r>
      <w:r>
        <w:rPr>
          <w:spacing w:val="-2"/>
          <w:w w:val="105"/>
        </w:rPr>
        <w:t> </w:t>
      </w:r>
      <w:r>
        <w:rPr>
          <w:w w:val="105"/>
        </w:rPr>
        <w:t>the</w:t>
      </w:r>
      <w:r>
        <w:rPr>
          <w:spacing w:val="-2"/>
          <w:w w:val="105"/>
        </w:rPr>
        <w:t> </w:t>
      </w:r>
      <w:r>
        <w:rPr>
          <w:w w:val="105"/>
        </w:rPr>
        <w:t>impacts</w:t>
      </w:r>
      <w:r>
        <w:rPr>
          <w:spacing w:val="-2"/>
          <w:w w:val="105"/>
        </w:rPr>
        <w:t> </w:t>
      </w:r>
      <w:r>
        <w:rPr>
          <w:w w:val="105"/>
        </w:rPr>
        <w:t>on</w:t>
      </w:r>
      <w:r>
        <w:rPr>
          <w:spacing w:val="-2"/>
          <w:w w:val="105"/>
        </w:rPr>
        <w:t> </w:t>
      </w:r>
      <w:r>
        <w:rPr>
          <w:w w:val="105"/>
        </w:rPr>
        <w:t>our</w:t>
      </w:r>
      <w:r>
        <w:rPr>
          <w:spacing w:val="-2"/>
          <w:w w:val="105"/>
        </w:rPr>
        <w:t> </w:t>
      </w:r>
      <w:r>
        <w:rPr>
          <w:w w:val="105"/>
        </w:rPr>
        <w:t>business</w:t>
      </w:r>
      <w:r>
        <w:rPr>
          <w:spacing w:val="-2"/>
          <w:w w:val="105"/>
        </w:rPr>
        <w:t> </w:t>
      </w:r>
      <w:r>
        <w:rPr>
          <w:w w:val="105"/>
        </w:rPr>
        <w:t>and</w:t>
      </w:r>
      <w:r>
        <w:rPr>
          <w:spacing w:val="-2"/>
          <w:w w:val="105"/>
        </w:rPr>
        <w:t> </w:t>
      </w:r>
      <w:r>
        <w:rPr>
          <w:w w:val="105"/>
        </w:rPr>
        <w:t>the</w:t>
      </w:r>
      <w:r>
        <w:rPr>
          <w:spacing w:val="-2"/>
          <w:w w:val="105"/>
        </w:rPr>
        <w:t> </w:t>
      </w:r>
      <w:r>
        <w:rPr>
          <w:w w:val="105"/>
        </w:rPr>
        <w:t>global</w:t>
      </w:r>
      <w:r>
        <w:rPr>
          <w:spacing w:val="-2"/>
          <w:w w:val="105"/>
        </w:rPr>
        <w:t> </w:t>
      </w:r>
      <w:r>
        <w:rPr>
          <w:w w:val="105"/>
        </w:rPr>
        <w:t>economy</w:t>
      </w:r>
      <w:r>
        <w:rPr>
          <w:spacing w:val="-2"/>
          <w:w w:val="105"/>
        </w:rPr>
        <w:t> </w:t>
      </w:r>
      <w:r>
        <w:rPr>
          <w:w w:val="105"/>
        </w:rPr>
        <w:t>from</w:t>
      </w:r>
      <w:r>
        <w:rPr>
          <w:spacing w:val="-2"/>
          <w:w w:val="105"/>
        </w:rPr>
        <w:t> </w:t>
      </w:r>
      <w:r>
        <w:rPr>
          <w:w w:val="105"/>
        </w:rPr>
        <w:t>the effects of the ongoing pandemic and response measures.</w:t>
      </w:r>
    </w:p>
    <w:p>
      <w:pPr>
        <w:pStyle w:val="BodyText"/>
        <w:spacing w:before="17"/>
      </w:pPr>
    </w:p>
    <w:p>
      <w:pPr>
        <w:pStyle w:val="Heading2"/>
        <w:spacing w:line="266" w:lineRule="auto"/>
      </w:pPr>
      <w:r>
        <w:rPr>
          <w:w w:val="105"/>
        </w:rPr>
        <w:t>Inflationary</w:t>
      </w:r>
      <w:r>
        <w:rPr>
          <w:spacing w:val="-9"/>
          <w:w w:val="105"/>
        </w:rPr>
        <w:t> </w:t>
      </w:r>
      <w:r>
        <w:rPr>
          <w:w w:val="105"/>
        </w:rPr>
        <w:t>price</w:t>
      </w:r>
      <w:r>
        <w:rPr>
          <w:spacing w:val="-9"/>
          <w:w w:val="105"/>
        </w:rPr>
        <w:t> </w:t>
      </w:r>
      <w:r>
        <w:rPr>
          <w:w w:val="105"/>
        </w:rPr>
        <w:t>pressures</w:t>
      </w:r>
      <w:r>
        <w:rPr>
          <w:spacing w:val="-9"/>
          <w:w w:val="105"/>
        </w:rPr>
        <w:t> </w:t>
      </w:r>
      <w:r>
        <w:rPr>
          <w:w w:val="105"/>
        </w:rPr>
        <w:t>and</w:t>
      </w:r>
      <w:r>
        <w:rPr>
          <w:spacing w:val="-9"/>
          <w:w w:val="105"/>
        </w:rPr>
        <w:t> </w:t>
      </w:r>
      <w:r>
        <w:rPr>
          <w:w w:val="105"/>
        </w:rPr>
        <w:t>uncertain</w:t>
      </w:r>
      <w:r>
        <w:rPr>
          <w:spacing w:val="-9"/>
          <w:w w:val="105"/>
        </w:rPr>
        <w:t> </w:t>
      </w:r>
      <w:r>
        <w:rPr>
          <w:w w:val="105"/>
        </w:rPr>
        <w:t>availability</w:t>
      </w:r>
      <w:r>
        <w:rPr>
          <w:spacing w:val="-9"/>
          <w:w w:val="105"/>
        </w:rPr>
        <w:t> </w:t>
      </w:r>
      <w:r>
        <w:rPr>
          <w:w w:val="105"/>
        </w:rPr>
        <w:t>of</w:t>
      </w:r>
      <w:r>
        <w:rPr>
          <w:spacing w:val="-9"/>
          <w:w w:val="105"/>
        </w:rPr>
        <w:t> </w:t>
      </w:r>
      <w:r>
        <w:rPr>
          <w:w w:val="105"/>
        </w:rPr>
        <w:t>commodities,</w:t>
      </w:r>
      <w:r>
        <w:rPr>
          <w:spacing w:val="-9"/>
          <w:w w:val="105"/>
        </w:rPr>
        <w:t> </w:t>
      </w:r>
      <w:r>
        <w:rPr>
          <w:w w:val="105"/>
        </w:rPr>
        <w:t>raw</w:t>
      </w:r>
      <w:r>
        <w:rPr>
          <w:spacing w:val="-9"/>
          <w:w w:val="105"/>
        </w:rPr>
        <w:t> </w:t>
      </w:r>
      <w:r>
        <w:rPr>
          <w:w w:val="105"/>
        </w:rPr>
        <w:t>materials,</w:t>
      </w:r>
      <w:r>
        <w:rPr>
          <w:spacing w:val="-9"/>
          <w:w w:val="105"/>
        </w:rPr>
        <w:t> </w:t>
      </w:r>
      <w:r>
        <w:rPr>
          <w:w w:val="105"/>
        </w:rPr>
        <w:t>utilities,</w:t>
      </w:r>
      <w:r>
        <w:rPr>
          <w:spacing w:val="-9"/>
          <w:w w:val="105"/>
        </w:rPr>
        <w:t> </w:t>
      </w:r>
      <w:r>
        <w:rPr>
          <w:w w:val="105"/>
        </w:rPr>
        <w:t>labor</w:t>
      </w:r>
      <w:r>
        <w:rPr>
          <w:spacing w:val="-9"/>
          <w:w w:val="105"/>
        </w:rPr>
        <w:t> </w:t>
      </w:r>
      <w:r>
        <w:rPr>
          <w:w w:val="105"/>
        </w:rPr>
        <w:t>or</w:t>
      </w:r>
      <w:r>
        <w:rPr>
          <w:spacing w:val="-9"/>
          <w:w w:val="105"/>
        </w:rPr>
        <w:t> </w:t>
      </w:r>
      <w:r>
        <w:rPr>
          <w:w w:val="105"/>
        </w:rPr>
        <w:t>other</w:t>
      </w:r>
      <w:r>
        <w:rPr>
          <w:spacing w:val="-9"/>
          <w:w w:val="105"/>
        </w:rPr>
        <w:t> </w:t>
      </w:r>
      <w:r>
        <w:rPr>
          <w:w w:val="105"/>
        </w:rPr>
        <w:t>inputs</w:t>
      </w:r>
      <w:r>
        <w:rPr>
          <w:spacing w:val="-9"/>
          <w:w w:val="105"/>
        </w:rPr>
        <w:t> </w:t>
      </w:r>
      <w:r>
        <w:rPr>
          <w:w w:val="105"/>
        </w:rPr>
        <w:t>used</w:t>
      </w:r>
      <w:r>
        <w:rPr>
          <w:spacing w:val="-9"/>
          <w:w w:val="105"/>
        </w:rPr>
        <w:t> </w:t>
      </w:r>
      <w:r>
        <w:rPr>
          <w:w w:val="105"/>
        </w:rPr>
        <w:t>by</w:t>
      </w:r>
      <w:r>
        <w:rPr>
          <w:spacing w:val="-9"/>
          <w:w w:val="105"/>
        </w:rPr>
        <w:t> </w:t>
      </w:r>
      <w:r>
        <w:rPr>
          <w:w w:val="105"/>
        </w:rPr>
        <w:t>us</w:t>
      </w:r>
      <w:r>
        <w:rPr>
          <w:spacing w:val="-9"/>
          <w:w w:val="105"/>
        </w:rPr>
        <w:t> </w:t>
      </w:r>
      <w:r>
        <w:rPr>
          <w:w w:val="105"/>
        </w:rPr>
        <w:t>and</w:t>
      </w:r>
      <w:r>
        <w:rPr>
          <w:spacing w:val="-9"/>
          <w:w w:val="105"/>
        </w:rPr>
        <w:t> </w:t>
      </w:r>
      <w:r>
        <w:rPr>
          <w:w w:val="105"/>
        </w:rPr>
        <w:t>our</w:t>
      </w:r>
      <w:r>
        <w:rPr>
          <w:spacing w:val="-9"/>
          <w:w w:val="105"/>
        </w:rPr>
        <w:t> </w:t>
      </w:r>
      <w:r>
        <w:rPr>
          <w:w w:val="105"/>
        </w:rPr>
        <w:t>suppliers,</w:t>
      </w:r>
      <w:r>
        <w:rPr>
          <w:spacing w:val="-9"/>
          <w:w w:val="105"/>
        </w:rPr>
        <w:t> </w:t>
      </w:r>
      <w:r>
        <w:rPr>
          <w:w w:val="105"/>
        </w:rPr>
        <w:t>or</w:t>
      </w:r>
      <w:r>
        <w:rPr>
          <w:spacing w:val="-9"/>
          <w:w w:val="105"/>
        </w:rPr>
        <w:t> </w:t>
      </w:r>
      <w:r>
        <w:rPr>
          <w:w w:val="105"/>
        </w:rPr>
        <w:t>instability</w:t>
      </w:r>
      <w:r>
        <w:rPr>
          <w:spacing w:val="-9"/>
          <w:w w:val="105"/>
        </w:rPr>
        <w:t> </w:t>
      </w:r>
      <w:r>
        <w:rPr>
          <w:w w:val="105"/>
        </w:rPr>
        <w:t>in logistics and related costs, could negatively impact our profitability.</w:t>
      </w:r>
    </w:p>
    <w:p>
      <w:pPr>
        <w:pStyle w:val="BodyText"/>
        <w:spacing w:before="19"/>
        <w:rPr>
          <w:b/>
        </w:rPr>
      </w:pPr>
    </w:p>
    <w:p>
      <w:pPr>
        <w:pStyle w:val="BodyText"/>
        <w:spacing w:line="266" w:lineRule="auto"/>
        <w:ind w:left="156"/>
      </w:pPr>
      <w:r>
        <w:rPr>
          <w:w w:val="105"/>
        </w:rPr>
        <w:t>Increases</w:t>
      </w:r>
      <w:r>
        <w:rPr>
          <w:spacing w:val="-2"/>
          <w:w w:val="105"/>
        </w:rPr>
        <w:t> </w:t>
      </w:r>
      <w:r>
        <w:rPr>
          <w:w w:val="105"/>
        </w:rPr>
        <w:t>in</w:t>
      </w:r>
      <w:r>
        <w:rPr>
          <w:spacing w:val="-2"/>
          <w:w w:val="105"/>
        </w:rPr>
        <w:t> </w:t>
      </w:r>
      <w:r>
        <w:rPr>
          <w:w w:val="105"/>
        </w:rPr>
        <w:t>the</w:t>
      </w:r>
      <w:r>
        <w:rPr>
          <w:spacing w:val="-2"/>
          <w:w w:val="105"/>
        </w:rPr>
        <w:t> </w:t>
      </w:r>
      <w:r>
        <w:rPr>
          <w:w w:val="105"/>
        </w:rPr>
        <w:t>price</w:t>
      </w:r>
      <w:r>
        <w:rPr>
          <w:spacing w:val="-2"/>
          <w:w w:val="105"/>
        </w:rPr>
        <w:t> </w:t>
      </w:r>
      <w:r>
        <w:rPr>
          <w:w w:val="105"/>
        </w:rPr>
        <w:t>of</w:t>
      </w:r>
      <w:r>
        <w:rPr>
          <w:spacing w:val="-2"/>
          <w:w w:val="105"/>
        </w:rPr>
        <w:t> </w:t>
      </w:r>
      <w:r>
        <w:rPr>
          <w:w w:val="105"/>
        </w:rPr>
        <w:t>commodities,</w:t>
      </w:r>
      <w:r>
        <w:rPr>
          <w:spacing w:val="-2"/>
          <w:w w:val="105"/>
        </w:rPr>
        <w:t> </w:t>
      </w:r>
      <w:r>
        <w:rPr>
          <w:w w:val="105"/>
        </w:rPr>
        <w:t>raw</w:t>
      </w:r>
      <w:r>
        <w:rPr>
          <w:spacing w:val="-2"/>
          <w:w w:val="105"/>
        </w:rPr>
        <w:t> </w:t>
      </w:r>
      <w:r>
        <w:rPr>
          <w:w w:val="105"/>
        </w:rPr>
        <w:t>materials,</w:t>
      </w:r>
      <w:r>
        <w:rPr>
          <w:spacing w:val="-2"/>
          <w:w w:val="105"/>
        </w:rPr>
        <w:t> </w:t>
      </w:r>
      <w:r>
        <w:rPr>
          <w:w w:val="105"/>
        </w:rPr>
        <w:t>utilities,</w:t>
      </w:r>
      <w:r>
        <w:rPr>
          <w:spacing w:val="-2"/>
          <w:w w:val="105"/>
        </w:rPr>
        <w:t> </w:t>
      </w:r>
      <w:r>
        <w:rPr>
          <w:w w:val="105"/>
        </w:rPr>
        <w:t>labor</w:t>
      </w:r>
      <w:r>
        <w:rPr>
          <w:spacing w:val="-2"/>
          <w:w w:val="105"/>
        </w:rPr>
        <w:t> </w:t>
      </w:r>
      <w:r>
        <w:rPr>
          <w:w w:val="105"/>
        </w:rPr>
        <w:t>or</w:t>
      </w:r>
      <w:r>
        <w:rPr>
          <w:spacing w:val="-2"/>
          <w:w w:val="105"/>
        </w:rPr>
        <w:t> </w:t>
      </w:r>
      <w:r>
        <w:rPr>
          <w:w w:val="105"/>
        </w:rPr>
        <w:t>other</w:t>
      </w:r>
      <w:r>
        <w:rPr>
          <w:spacing w:val="-2"/>
          <w:w w:val="105"/>
        </w:rPr>
        <w:t> </w:t>
      </w:r>
      <w:r>
        <w:rPr>
          <w:w w:val="105"/>
        </w:rPr>
        <w:t>inputs</w:t>
      </w:r>
      <w:r>
        <w:rPr>
          <w:spacing w:val="-2"/>
          <w:w w:val="105"/>
        </w:rPr>
        <w:t> </w:t>
      </w:r>
      <w:r>
        <w:rPr>
          <w:w w:val="105"/>
        </w:rPr>
        <w:t>that</w:t>
      </w:r>
      <w:r>
        <w:rPr>
          <w:spacing w:val="-2"/>
          <w:w w:val="105"/>
        </w:rPr>
        <w:t> </w:t>
      </w:r>
      <w:r>
        <w:rPr>
          <w:w w:val="105"/>
        </w:rPr>
        <w:t>we</w:t>
      </w:r>
      <w:r>
        <w:rPr>
          <w:spacing w:val="-2"/>
          <w:w w:val="105"/>
        </w:rPr>
        <w:t> </w:t>
      </w:r>
      <w:r>
        <w:rPr>
          <w:w w:val="105"/>
        </w:rPr>
        <w:t>or</w:t>
      </w:r>
      <w:r>
        <w:rPr>
          <w:spacing w:val="-2"/>
          <w:w w:val="105"/>
        </w:rPr>
        <w:t> </w:t>
      </w:r>
      <w:r>
        <w:rPr>
          <w:w w:val="105"/>
        </w:rPr>
        <w:t>our</w:t>
      </w:r>
      <w:r>
        <w:rPr>
          <w:spacing w:val="-2"/>
          <w:w w:val="105"/>
        </w:rPr>
        <w:t> </w:t>
      </w:r>
      <w:r>
        <w:rPr>
          <w:w w:val="105"/>
        </w:rPr>
        <w:t>suppliers</w:t>
      </w:r>
      <w:r>
        <w:rPr>
          <w:spacing w:val="-2"/>
          <w:w w:val="105"/>
        </w:rPr>
        <w:t> </w:t>
      </w:r>
      <w:r>
        <w:rPr>
          <w:w w:val="105"/>
        </w:rPr>
        <w:t>use</w:t>
      </w:r>
      <w:r>
        <w:rPr>
          <w:spacing w:val="-2"/>
          <w:w w:val="105"/>
        </w:rPr>
        <w:t> </w:t>
      </w:r>
      <w:r>
        <w:rPr>
          <w:w w:val="105"/>
        </w:rPr>
        <w:t>in</w:t>
      </w:r>
      <w:r>
        <w:rPr>
          <w:spacing w:val="-2"/>
          <w:w w:val="105"/>
        </w:rPr>
        <w:t> </w:t>
      </w:r>
      <w:r>
        <w:rPr>
          <w:w w:val="105"/>
        </w:rPr>
        <w:t>manufacturing</w:t>
      </w:r>
      <w:r>
        <w:rPr>
          <w:spacing w:val="-2"/>
          <w:w w:val="105"/>
        </w:rPr>
        <w:t> </w:t>
      </w:r>
      <w:r>
        <w:rPr>
          <w:w w:val="105"/>
        </w:rPr>
        <w:t>and</w:t>
      </w:r>
      <w:r>
        <w:rPr>
          <w:spacing w:val="-2"/>
          <w:w w:val="105"/>
        </w:rPr>
        <w:t> </w:t>
      </w:r>
      <w:r>
        <w:rPr>
          <w:w w:val="105"/>
        </w:rPr>
        <w:t>supplying</w:t>
      </w:r>
      <w:r>
        <w:rPr>
          <w:spacing w:val="-2"/>
          <w:w w:val="105"/>
        </w:rPr>
        <w:t> </w:t>
      </w:r>
      <w:r>
        <w:rPr>
          <w:w w:val="105"/>
        </w:rPr>
        <w:t>products,</w:t>
      </w:r>
      <w:r>
        <w:rPr>
          <w:spacing w:val="-2"/>
          <w:w w:val="105"/>
        </w:rPr>
        <w:t> </w:t>
      </w:r>
      <w:r>
        <w:rPr>
          <w:w w:val="105"/>
        </w:rPr>
        <w:t>components</w:t>
      </w:r>
      <w:r>
        <w:rPr>
          <w:spacing w:val="-2"/>
          <w:w w:val="105"/>
        </w:rPr>
        <w:t> </w:t>
      </w:r>
      <w:r>
        <w:rPr>
          <w:w w:val="105"/>
        </w:rPr>
        <w:t>and parts,</w:t>
      </w:r>
      <w:r>
        <w:rPr>
          <w:spacing w:val="-2"/>
          <w:w w:val="105"/>
        </w:rPr>
        <w:t> </w:t>
      </w:r>
      <w:r>
        <w:rPr>
          <w:w w:val="105"/>
        </w:rPr>
        <w:t>along</w:t>
      </w:r>
      <w:r>
        <w:rPr>
          <w:spacing w:val="-2"/>
          <w:w w:val="105"/>
        </w:rPr>
        <w:t> </w:t>
      </w:r>
      <w:r>
        <w:rPr>
          <w:w w:val="105"/>
        </w:rPr>
        <w:t>with</w:t>
      </w:r>
      <w:r>
        <w:rPr>
          <w:spacing w:val="-2"/>
          <w:w w:val="105"/>
        </w:rPr>
        <w:t> </w:t>
      </w:r>
      <w:r>
        <w:rPr>
          <w:w w:val="105"/>
        </w:rPr>
        <w:t>logistics</w:t>
      </w:r>
      <w:r>
        <w:rPr>
          <w:spacing w:val="-2"/>
          <w:w w:val="105"/>
        </w:rPr>
        <w:t> </w:t>
      </w:r>
      <w:r>
        <w:rPr>
          <w:w w:val="105"/>
        </w:rPr>
        <w:t>and</w:t>
      </w:r>
      <w:r>
        <w:rPr>
          <w:spacing w:val="-2"/>
          <w:w w:val="105"/>
        </w:rPr>
        <w:t> </w:t>
      </w:r>
      <w:r>
        <w:rPr>
          <w:w w:val="105"/>
        </w:rPr>
        <w:t>other</w:t>
      </w:r>
      <w:r>
        <w:rPr>
          <w:spacing w:val="-2"/>
          <w:w w:val="105"/>
        </w:rPr>
        <w:t> </w:t>
      </w:r>
      <w:r>
        <w:rPr>
          <w:w w:val="105"/>
        </w:rPr>
        <w:t>related</w:t>
      </w:r>
      <w:r>
        <w:rPr>
          <w:spacing w:val="-2"/>
          <w:w w:val="105"/>
        </w:rPr>
        <w:t> </w:t>
      </w:r>
      <w:r>
        <w:rPr>
          <w:w w:val="105"/>
        </w:rPr>
        <w:t>costs,</w:t>
      </w:r>
      <w:r>
        <w:rPr>
          <w:spacing w:val="-2"/>
          <w:w w:val="105"/>
        </w:rPr>
        <w:t> </w:t>
      </w:r>
      <w:r>
        <w:rPr>
          <w:w w:val="105"/>
        </w:rPr>
        <w:t>may lead</w:t>
      </w:r>
      <w:r>
        <w:rPr>
          <w:spacing w:val="-2"/>
          <w:w w:val="105"/>
        </w:rPr>
        <w:t> </w:t>
      </w:r>
      <w:r>
        <w:rPr>
          <w:w w:val="105"/>
        </w:rPr>
        <w:t>to</w:t>
      </w:r>
      <w:r>
        <w:rPr>
          <w:spacing w:val="-2"/>
          <w:w w:val="105"/>
        </w:rPr>
        <w:t> </w:t>
      </w:r>
      <w:r>
        <w:rPr>
          <w:w w:val="105"/>
        </w:rPr>
        <w:t>higher</w:t>
      </w:r>
      <w:r>
        <w:rPr>
          <w:spacing w:val="-2"/>
          <w:w w:val="105"/>
        </w:rPr>
        <w:t> </w:t>
      </w:r>
      <w:r>
        <w:rPr>
          <w:w w:val="105"/>
        </w:rPr>
        <w:t>production</w:t>
      </w:r>
      <w:r>
        <w:rPr>
          <w:spacing w:val="-2"/>
          <w:w w:val="105"/>
        </w:rPr>
        <w:t> </w:t>
      </w:r>
      <w:r>
        <w:rPr>
          <w:w w:val="105"/>
        </w:rPr>
        <w:t>and</w:t>
      </w:r>
      <w:r>
        <w:rPr>
          <w:spacing w:val="-2"/>
          <w:w w:val="105"/>
        </w:rPr>
        <w:t> </w:t>
      </w:r>
      <w:r>
        <w:rPr>
          <w:w w:val="105"/>
        </w:rPr>
        <w:t>shipping</w:t>
      </w:r>
      <w:r>
        <w:rPr>
          <w:spacing w:val="-2"/>
          <w:w w:val="105"/>
        </w:rPr>
        <w:t> </w:t>
      </w:r>
      <w:r>
        <w:rPr>
          <w:w w:val="105"/>
        </w:rPr>
        <w:t>costs</w:t>
      </w:r>
      <w:r>
        <w:rPr>
          <w:spacing w:val="-2"/>
          <w:w w:val="105"/>
        </w:rPr>
        <w:t> </w:t>
      </w:r>
      <w:r>
        <w:rPr>
          <w:w w:val="105"/>
        </w:rPr>
        <w:t>for</w:t>
      </w:r>
      <w:r>
        <w:rPr>
          <w:spacing w:val="-2"/>
          <w:w w:val="105"/>
        </w:rPr>
        <w:t> </w:t>
      </w:r>
      <w:r>
        <w:rPr>
          <w:w w:val="105"/>
        </w:rPr>
        <w:t>our</w:t>
      </w:r>
      <w:r>
        <w:rPr>
          <w:spacing w:val="-2"/>
          <w:w w:val="105"/>
        </w:rPr>
        <w:t> </w:t>
      </w:r>
      <w:r>
        <w:rPr>
          <w:w w:val="105"/>
        </w:rPr>
        <w:t>products,</w:t>
      </w:r>
      <w:r>
        <w:rPr>
          <w:spacing w:val="-2"/>
          <w:w w:val="105"/>
        </w:rPr>
        <w:t> </w:t>
      </w:r>
      <w:r>
        <w:rPr>
          <w:w w:val="105"/>
        </w:rPr>
        <w:t>parts,</w:t>
      </w:r>
      <w:r>
        <w:rPr>
          <w:spacing w:val="-2"/>
          <w:w w:val="105"/>
        </w:rPr>
        <w:t> </w:t>
      </w:r>
      <w:r>
        <w:rPr>
          <w:w w:val="105"/>
        </w:rPr>
        <w:t>and components.</w:t>
      </w:r>
      <w:r>
        <w:rPr>
          <w:spacing w:val="-2"/>
          <w:w w:val="105"/>
        </w:rPr>
        <w:t> </w:t>
      </w:r>
      <w:r>
        <w:rPr>
          <w:w w:val="105"/>
        </w:rPr>
        <w:t>Further,</w:t>
      </w:r>
      <w:r>
        <w:rPr>
          <w:spacing w:val="-2"/>
          <w:w w:val="105"/>
        </w:rPr>
        <w:t> </w:t>
      </w:r>
      <w:r>
        <w:rPr>
          <w:w w:val="105"/>
        </w:rPr>
        <w:t>increasing</w:t>
      </w:r>
      <w:r>
        <w:rPr>
          <w:spacing w:val="-2"/>
          <w:w w:val="105"/>
        </w:rPr>
        <w:t> </w:t>
      </w:r>
      <w:r>
        <w:rPr>
          <w:w w:val="105"/>
        </w:rPr>
        <w:t>global demand</w:t>
      </w:r>
      <w:r>
        <w:rPr>
          <w:spacing w:val="-2"/>
          <w:w w:val="105"/>
        </w:rPr>
        <w:t> </w:t>
      </w:r>
      <w:r>
        <w:rPr>
          <w:w w:val="105"/>
        </w:rPr>
        <w:t>for,</w:t>
      </w:r>
      <w:r>
        <w:rPr>
          <w:spacing w:val="-2"/>
          <w:w w:val="105"/>
        </w:rPr>
        <w:t> </w:t>
      </w:r>
      <w:r>
        <w:rPr>
          <w:w w:val="105"/>
        </w:rPr>
        <w:t>and</w:t>
      </w:r>
      <w:r>
        <w:rPr>
          <w:spacing w:val="-2"/>
          <w:w w:val="105"/>
        </w:rPr>
        <w:t> </w:t>
      </w:r>
      <w:r>
        <w:rPr>
          <w:w w:val="105"/>
        </w:rPr>
        <w:t>uncertain</w:t>
      </w:r>
      <w:r>
        <w:rPr>
          <w:spacing w:val="-2"/>
          <w:w w:val="105"/>
        </w:rPr>
        <w:t> </w:t>
      </w:r>
      <w:r>
        <w:rPr>
          <w:w w:val="105"/>
        </w:rPr>
        <w:t>supply</w:t>
      </w:r>
      <w:r>
        <w:rPr>
          <w:spacing w:val="-2"/>
          <w:w w:val="105"/>
        </w:rPr>
        <w:t> </w:t>
      </w:r>
      <w:r>
        <w:rPr>
          <w:w w:val="105"/>
        </w:rPr>
        <w:t>of,</w:t>
      </w:r>
      <w:r>
        <w:rPr>
          <w:spacing w:val="-2"/>
          <w:w w:val="105"/>
        </w:rPr>
        <w:t> </w:t>
      </w:r>
      <w:r>
        <w:rPr>
          <w:w w:val="105"/>
        </w:rPr>
        <w:t>such</w:t>
      </w:r>
      <w:r>
        <w:rPr>
          <w:spacing w:val="-2"/>
          <w:w w:val="105"/>
        </w:rPr>
        <w:t> </w:t>
      </w:r>
      <w:r>
        <w:rPr>
          <w:w w:val="105"/>
        </w:rPr>
        <w:t>materials</w:t>
      </w:r>
      <w:r>
        <w:rPr>
          <w:spacing w:val="-2"/>
          <w:w w:val="105"/>
        </w:rPr>
        <w:t> </w:t>
      </w:r>
      <w:r>
        <w:rPr>
          <w:w w:val="105"/>
        </w:rPr>
        <w:t>could</w:t>
      </w:r>
      <w:r>
        <w:rPr>
          <w:spacing w:val="-2"/>
          <w:w w:val="105"/>
        </w:rPr>
        <w:t> </w:t>
      </w:r>
      <w:r>
        <w:rPr>
          <w:w w:val="105"/>
        </w:rPr>
        <w:t>disrupt</w:t>
      </w:r>
      <w:r>
        <w:rPr>
          <w:spacing w:val="-2"/>
          <w:w w:val="105"/>
        </w:rPr>
        <w:t> </w:t>
      </w:r>
      <w:r>
        <w:rPr>
          <w:w w:val="105"/>
        </w:rPr>
        <w:t>our</w:t>
      </w:r>
      <w:r>
        <w:rPr>
          <w:spacing w:val="-2"/>
          <w:w w:val="105"/>
        </w:rPr>
        <w:t> </w:t>
      </w:r>
      <w:r>
        <w:rPr>
          <w:w w:val="105"/>
        </w:rPr>
        <w:t>or</w:t>
      </w:r>
      <w:r>
        <w:rPr>
          <w:spacing w:val="-2"/>
          <w:w w:val="105"/>
        </w:rPr>
        <w:t> </w:t>
      </w:r>
      <w:r>
        <w:rPr>
          <w:w w:val="105"/>
        </w:rPr>
        <w:t>our</w:t>
      </w:r>
      <w:r>
        <w:rPr>
          <w:spacing w:val="-2"/>
          <w:w w:val="105"/>
        </w:rPr>
        <w:t> </w:t>
      </w:r>
      <w:r>
        <w:rPr>
          <w:w w:val="105"/>
        </w:rPr>
        <w:t>suppliers’</w:t>
      </w:r>
      <w:r>
        <w:rPr>
          <w:spacing w:val="-2"/>
          <w:w w:val="105"/>
        </w:rPr>
        <w:t> </w:t>
      </w:r>
      <w:r>
        <w:rPr>
          <w:w w:val="105"/>
        </w:rPr>
        <w:t>ability</w:t>
      </w:r>
      <w:r>
        <w:rPr>
          <w:spacing w:val="-2"/>
          <w:w w:val="105"/>
        </w:rPr>
        <w:t> </w:t>
      </w:r>
      <w:r>
        <w:rPr>
          <w:w w:val="105"/>
        </w:rPr>
        <w:t>to</w:t>
      </w:r>
      <w:r>
        <w:rPr>
          <w:spacing w:val="-2"/>
          <w:w w:val="105"/>
        </w:rPr>
        <w:t> </w:t>
      </w:r>
      <w:r>
        <w:rPr>
          <w:w w:val="105"/>
        </w:rPr>
        <w:t>obtain</w:t>
      </w:r>
      <w:r>
        <w:rPr>
          <w:spacing w:val="-2"/>
          <w:w w:val="105"/>
        </w:rPr>
        <w:t> </w:t>
      </w:r>
      <w:r>
        <w:rPr>
          <w:w w:val="105"/>
        </w:rPr>
        <w:t>such</w:t>
      </w:r>
      <w:r>
        <w:rPr>
          <w:spacing w:val="-2"/>
          <w:w w:val="105"/>
        </w:rPr>
        <w:t> </w:t>
      </w:r>
      <w:r>
        <w:rPr>
          <w:w w:val="105"/>
        </w:rPr>
        <w:t>materials</w:t>
      </w:r>
      <w:r>
        <w:rPr>
          <w:spacing w:val="-2"/>
          <w:w w:val="105"/>
        </w:rPr>
        <w:t> </w:t>
      </w:r>
      <w:r>
        <w:rPr>
          <w:w w:val="105"/>
        </w:rPr>
        <w:t>in</w:t>
      </w:r>
      <w:r>
        <w:rPr>
          <w:spacing w:val="-2"/>
          <w:w w:val="105"/>
        </w:rPr>
        <w:t> </w:t>
      </w:r>
      <w:r>
        <w:rPr>
          <w:w w:val="105"/>
        </w:rPr>
        <w:t>a</w:t>
      </w:r>
      <w:r>
        <w:rPr>
          <w:spacing w:val="-2"/>
          <w:w w:val="105"/>
        </w:rPr>
        <w:t> </w:t>
      </w:r>
      <w:r>
        <w:rPr>
          <w:w w:val="105"/>
        </w:rPr>
        <w:t>timely</w:t>
      </w:r>
      <w:r>
        <w:rPr>
          <w:spacing w:val="-2"/>
          <w:w w:val="105"/>
        </w:rPr>
        <w:t> </w:t>
      </w:r>
      <w:r>
        <w:rPr>
          <w:w w:val="105"/>
        </w:rPr>
        <w:t>manner</w:t>
      </w:r>
      <w:r>
        <w:rPr>
          <w:spacing w:val="-2"/>
          <w:w w:val="105"/>
        </w:rPr>
        <w:t> </w:t>
      </w:r>
      <w:r>
        <w:rPr>
          <w:w w:val="105"/>
        </w:rPr>
        <w:t>to</w:t>
      </w:r>
      <w:r>
        <w:rPr>
          <w:spacing w:val="-2"/>
          <w:w w:val="105"/>
        </w:rPr>
        <w:t> </w:t>
      </w:r>
      <w:r>
        <w:rPr>
          <w:w w:val="105"/>
        </w:rPr>
        <w:t>meet</w:t>
      </w:r>
      <w:r>
        <w:rPr>
          <w:spacing w:val="-2"/>
          <w:w w:val="105"/>
        </w:rPr>
        <w:t> </w:t>
      </w:r>
      <w:r>
        <w:rPr>
          <w:w w:val="105"/>
        </w:rPr>
        <w:t>our</w:t>
      </w:r>
      <w:r>
        <w:rPr>
          <w:spacing w:val="-2"/>
          <w:w w:val="105"/>
        </w:rPr>
        <w:t> </w:t>
      </w:r>
      <w:r>
        <w:rPr>
          <w:w w:val="105"/>
        </w:rPr>
        <w:t>supply</w:t>
      </w:r>
      <w:r>
        <w:rPr>
          <w:spacing w:val="-2"/>
          <w:w w:val="105"/>
        </w:rPr>
        <w:t> </w:t>
      </w:r>
      <w:r>
        <w:rPr>
          <w:w w:val="105"/>
        </w:rPr>
        <w:t>needs</w:t>
      </w:r>
      <w:r>
        <w:rPr>
          <w:spacing w:val="-2"/>
          <w:w w:val="105"/>
        </w:rPr>
        <w:t> </w:t>
      </w:r>
      <w:r>
        <w:rPr>
          <w:w w:val="105"/>
        </w:rPr>
        <w:t>and/or could</w:t>
      </w:r>
      <w:r>
        <w:rPr>
          <w:spacing w:val="-2"/>
          <w:w w:val="105"/>
        </w:rPr>
        <w:t> </w:t>
      </w:r>
      <w:r>
        <w:rPr>
          <w:w w:val="105"/>
        </w:rPr>
        <w:t>lead</w:t>
      </w:r>
      <w:r>
        <w:rPr>
          <w:spacing w:val="-2"/>
          <w:w w:val="105"/>
        </w:rPr>
        <w:t> </w:t>
      </w:r>
      <w:r>
        <w:rPr>
          <w:w w:val="105"/>
        </w:rPr>
        <w:t>to</w:t>
      </w:r>
      <w:r>
        <w:rPr>
          <w:spacing w:val="-2"/>
          <w:w w:val="105"/>
        </w:rPr>
        <w:t> </w:t>
      </w:r>
      <w:r>
        <w:rPr>
          <w:w w:val="105"/>
        </w:rPr>
        <w:t>increased costs.</w:t>
      </w:r>
      <w:r>
        <w:rPr>
          <w:spacing w:val="-2"/>
          <w:w w:val="105"/>
        </w:rPr>
        <w:t> </w:t>
      </w:r>
      <w:r>
        <w:rPr>
          <w:w w:val="105"/>
        </w:rPr>
        <w:t>Any</w:t>
      </w:r>
      <w:r>
        <w:rPr>
          <w:spacing w:val="-2"/>
          <w:w w:val="105"/>
        </w:rPr>
        <w:t> </w:t>
      </w:r>
      <w:r>
        <w:rPr>
          <w:w w:val="105"/>
        </w:rPr>
        <w:t>increase</w:t>
      </w:r>
      <w:r>
        <w:rPr>
          <w:spacing w:val="-2"/>
          <w:w w:val="105"/>
        </w:rPr>
        <w:t> </w:t>
      </w:r>
      <w:r>
        <w:rPr>
          <w:w w:val="105"/>
        </w:rPr>
        <w:t>in</w:t>
      </w:r>
      <w:r>
        <w:rPr>
          <w:spacing w:val="-2"/>
          <w:w w:val="105"/>
        </w:rPr>
        <w:t> </w:t>
      </w:r>
      <w:r>
        <w:rPr>
          <w:w w:val="105"/>
        </w:rPr>
        <w:t>the</w:t>
      </w:r>
      <w:r>
        <w:rPr>
          <w:spacing w:val="-2"/>
          <w:w w:val="105"/>
        </w:rPr>
        <w:t> </w:t>
      </w:r>
      <w:r>
        <w:rPr>
          <w:w w:val="105"/>
        </w:rPr>
        <w:t>cost</w:t>
      </w:r>
      <w:r>
        <w:rPr>
          <w:spacing w:val="-2"/>
          <w:w w:val="105"/>
        </w:rPr>
        <w:t> </w:t>
      </w:r>
      <w:r>
        <w:rPr>
          <w:w w:val="105"/>
        </w:rPr>
        <w:t>of inputs</w:t>
      </w:r>
      <w:r>
        <w:rPr>
          <w:spacing w:val="-2"/>
          <w:w w:val="105"/>
        </w:rPr>
        <w:t> </w:t>
      </w:r>
      <w:r>
        <w:rPr>
          <w:w w:val="105"/>
        </w:rPr>
        <w:t>to</w:t>
      </w:r>
      <w:r>
        <w:rPr>
          <w:spacing w:val="-2"/>
          <w:w w:val="105"/>
        </w:rPr>
        <w:t> </w:t>
      </w:r>
      <w:r>
        <w:rPr>
          <w:w w:val="105"/>
        </w:rPr>
        <w:t>our</w:t>
      </w:r>
      <w:r>
        <w:rPr>
          <w:spacing w:val="-2"/>
          <w:w w:val="105"/>
        </w:rPr>
        <w:t> </w:t>
      </w:r>
      <w:r>
        <w:rPr>
          <w:w w:val="105"/>
        </w:rPr>
        <w:t>production</w:t>
      </w:r>
      <w:r>
        <w:rPr>
          <w:spacing w:val="-2"/>
          <w:w w:val="105"/>
        </w:rPr>
        <w:t> </w:t>
      </w:r>
      <w:r>
        <w:rPr>
          <w:w w:val="105"/>
        </w:rPr>
        <w:t>could</w:t>
      </w:r>
      <w:r>
        <w:rPr>
          <w:spacing w:val="-2"/>
          <w:w w:val="105"/>
        </w:rPr>
        <w:t> </w:t>
      </w:r>
      <w:r>
        <w:rPr>
          <w:w w:val="105"/>
        </w:rPr>
        <w:t>lead to</w:t>
      </w:r>
      <w:r>
        <w:rPr>
          <w:spacing w:val="-2"/>
          <w:w w:val="105"/>
        </w:rPr>
        <w:t> </w:t>
      </w:r>
      <w:r>
        <w:rPr>
          <w:w w:val="105"/>
        </w:rPr>
        <w:t>higher</w:t>
      </w:r>
      <w:r>
        <w:rPr>
          <w:spacing w:val="-2"/>
          <w:w w:val="105"/>
        </w:rPr>
        <w:t> </w:t>
      </w:r>
      <w:r>
        <w:rPr>
          <w:w w:val="105"/>
        </w:rPr>
        <w:t>costs</w:t>
      </w:r>
      <w:r>
        <w:rPr>
          <w:spacing w:val="-2"/>
          <w:w w:val="105"/>
        </w:rPr>
        <w:t> </w:t>
      </w:r>
      <w:r>
        <w:rPr>
          <w:w w:val="105"/>
        </w:rPr>
        <w:t>for</w:t>
      </w:r>
      <w:r>
        <w:rPr>
          <w:spacing w:val="-2"/>
          <w:w w:val="105"/>
        </w:rPr>
        <w:t> </w:t>
      </w:r>
      <w:r>
        <w:rPr>
          <w:w w:val="105"/>
        </w:rPr>
        <w:t>our</w:t>
      </w:r>
      <w:r>
        <w:rPr>
          <w:spacing w:val="-2"/>
          <w:w w:val="105"/>
        </w:rPr>
        <w:t> </w:t>
      </w:r>
      <w:r>
        <w:rPr>
          <w:w w:val="105"/>
        </w:rPr>
        <w:t>products</w:t>
      </w:r>
      <w:r>
        <w:rPr>
          <w:spacing w:val="-2"/>
          <w:w w:val="105"/>
        </w:rPr>
        <w:t> </w:t>
      </w:r>
      <w:r>
        <w:rPr>
          <w:w w:val="105"/>
        </w:rPr>
        <w:t>and could</w:t>
      </w:r>
      <w:r>
        <w:rPr>
          <w:spacing w:val="-2"/>
          <w:w w:val="105"/>
        </w:rPr>
        <w:t> </w:t>
      </w:r>
      <w:r>
        <w:rPr>
          <w:w w:val="105"/>
        </w:rPr>
        <w:t>negatively</w:t>
      </w:r>
      <w:r>
        <w:rPr>
          <w:spacing w:val="-2"/>
          <w:w w:val="105"/>
        </w:rPr>
        <w:t> </w:t>
      </w:r>
      <w:r>
        <w:rPr>
          <w:w w:val="105"/>
        </w:rPr>
        <w:t>impact</w:t>
      </w:r>
      <w:r>
        <w:rPr>
          <w:spacing w:val="-2"/>
          <w:w w:val="105"/>
        </w:rPr>
        <w:t> </w:t>
      </w:r>
      <w:r>
        <w:rPr>
          <w:w w:val="105"/>
        </w:rPr>
        <w:t>our</w:t>
      </w:r>
      <w:r>
        <w:rPr>
          <w:spacing w:val="-2"/>
          <w:w w:val="105"/>
        </w:rPr>
        <w:t> </w:t>
      </w:r>
      <w:r>
        <w:rPr>
          <w:w w:val="105"/>
        </w:rPr>
        <w:t>operating results,</w:t>
      </w:r>
      <w:r>
        <w:rPr>
          <w:spacing w:val="-8"/>
          <w:w w:val="105"/>
        </w:rPr>
        <w:t> </w:t>
      </w:r>
      <w:r>
        <w:rPr>
          <w:w w:val="105"/>
        </w:rPr>
        <w:t>future</w:t>
      </w:r>
      <w:r>
        <w:rPr>
          <w:spacing w:val="-8"/>
          <w:w w:val="105"/>
        </w:rPr>
        <w:t> </w:t>
      </w:r>
      <w:r>
        <w:rPr>
          <w:w w:val="105"/>
        </w:rPr>
        <w:t>profitability</w:t>
      </w:r>
      <w:r>
        <w:rPr>
          <w:spacing w:val="-8"/>
          <w:w w:val="105"/>
        </w:rPr>
        <w:t> </w:t>
      </w:r>
      <w:r>
        <w:rPr>
          <w:w w:val="105"/>
        </w:rPr>
        <w:t>and</w:t>
      </w:r>
      <w:r>
        <w:rPr>
          <w:spacing w:val="-8"/>
          <w:w w:val="105"/>
        </w:rPr>
        <w:t> </w:t>
      </w:r>
      <w:r>
        <w:rPr>
          <w:w w:val="105"/>
        </w:rPr>
        <w:t>ability</w:t>
      </w:r>
      <w:r>
        <w:rPr>
          <w:spacing w:val="-8"/>
          <w:w w:val="105"/>
        </w:rPr>
        <w:t> </w:t>
      </w:r>
      <w:r>
        <w:rPr>
          <w:w w:val="105"/>
        </w:rPr>
        <w:t>to</w:t>
      </w:r>
      <w:r>
        <w:rPr>
          <w:spacing w:val="-8"/>
          <w:w w:val="105"/>
        </w:rPr>
        <w:t> </w:t>
      </w:r>
      <w:r>
        <w:rPr>
          <w:w w:val="105"/>
        </w:rPr>
        <w:t>successfully</w:t>
      </w:r>
      <w:r>
        <w:rPr>
          <w:spacing w:val="-8"/>
          <w:w w:val="105"/>
        </w:rPr>
        <w:t> </w:t>
      </w:r>
      <w:r>
        <w:rPr>
          <w:w w:val="105"/>
        </w:rPr>
        <w:t>deliver</w:t>
      </w:r>
      <w:r>
        <w:rPr>
          <w:spacing w:val="-8"/>
          <w:w w:val="105"/>
        </w:rPr>
        <w:t> </w:t>
      </w:r>
      <w:r>
        <w:rPr>
          <w:w w:val="105"/>
        </w:rPr>
        <w:t>on</w:t>
      </w:r>
      <w:r>
        <w:rPr>
          <w:spacing w:val="-8"/>
          <w:w w:val="105"/>
        </w:rPr>
        <w:t> </w:t>
      </w:r>
      <w:r>
        <w:rPr>
          <w:w w:val="105"/>
        </w:rPr>
        <w:t>our</w:t>
      </w:r>
      <w:r>
        <w:rPr>
          <w:spacing w:val="-8"/>
          <w:w w:val="105"/>
        </w:rPr>
        <w:t> </w:t>
      </w:r>
      <w:r>
        <w:rPr>
          <w:w w:val="105"/>
        </w:rPr>
        <w:t>strategy.</w:t>
      </w:r>
      <w:r>
        <w:rPr>
          <w:spacing w:val="-8"/>
          <w:w w:val="105"/>
        </w:rPr>
        <w:t> </w:t>
      </w:r>
      <w:r>
        <w:rPr>
          <w:w w:val="105"/>
        </w:rPr>
        <w:t>Increasing</w:t>
      </w:r>
      <w:r>
        <w:rPr>
          <w:spacing w:val="-8"/>
          <w:w w:val="105"/>
        </w:rPr>
        <w:t> </w:t>
      </w:r>
      <w:r>
        <w:rPr>
          <w:w w:val="105"/>
        </w:rPr>
        <w:t>prices</w:t>
      </w:r>
      <w:r>
        <w:rPr>
          <w:spacing w:val="-6"/>
          <w:w w:val="105"/>
        </w:rPr>
        <w:t> </w:t>
      </w:r>
      <w:r>
        <w:rPr>
          <w:w w:val="105"/>
        </w:rPr>
        <w:t>to</w:t>
      </w:r>
      <w:r>
        <w:rPr>
          <w:spacing w:val="-8"/>
          <w:w w:val="105"/>
        </w:rPr>
        <w:t> </w:t>
      </w:r>
      <w:r>
        <w:rPr>
          <w:w w:val="105"/>
        </w:rPr>
        <w:t>our</w:t>
      </w:r>
      <w:r>
        <w:rPr>
          <w:spacing w:val="-8"/>
          <w:w w:val="105"/>
        </w:rPr>
        <w:t> </w:t>
      </w:r>
      <w:r>
        <w:rPr>
          <w:w w:val="105"/>
        </w:rPr>
        <w:t>customers</w:t>
      </w:r>
      <w:r>
        <w:rPr>
          <w:spacing w:val="-8"/>
          <w:w w:val="105"/>
        </w:rPr>
        <w:t> </w:t>
      </w:r>
      <w:r>
        <w:rPr>
          <w:w w:val="105"/>
        </w:rPr>
        <w:t>to</w:t>
      </w:r>
      <w:r>
        <w:rPr>
          <w:spacing w:val="-8"/>
          <w:w w:val="105"/>
        </w:rPr>
        <w:t> </w:t>
      </w:r>
      <w:r>
        <w:rPr>
          <w:w w:val="105"/>
        </w:rPr>
        <w:t>offset</w:t>
      </w:r>
      <w:r>
        <w:rPr>
          <w:spacing w:val="-8"/>
          <w:w w:val="105"/>
        </w:rPr>
        <w:t> </w:t>
      </w:r>
      <w:r>
        <w:rPr>
          <w:w w:val="105"/>
        </w:rPr>
        <w:t>the</w:t>
      </w:r>
      <w:r>
        <w:rPr>
          <w:spacing w:val="-8"/>
          <w:w w:val="105"/>
        </w:rPr>
        <w:t> </w:t>
      </w:r>
      <w:r>
        <w:rPr>
          <w:w w:val="105"/>
        </w:rPr>
        <w:t>impact</w:t>
      </w:r>
      <w:r>
        <w:rPr>
          <w:spacing w:val="-8"/>
          <w:w w:val="105"/>
        </w:rPr>
        <w:t> </w:t>
      </w:r>
      <w:r>
        <w:rPr>
          <w:w w:val="105"/>
        </w:rPr>
        <w:t>of</w:t>
      </w:r>
      <w:r>
        <w:rPr>
          <w:spacing w:val="-8"/>
          <w:w w:val="105"/>
        </w:rPr>
        <w:t> </w:t>
      </w:r>
      <w:r>
        <w:rPr>
          <w:w w:val="105"/>
        </w:rPr>
        <w:t>higher</w:t>
      </w:r>
      <w:r>
        <w:rPr>
          <w:spacing w:val="-8"/>
          <w:w w:val="105"/>
        </w:rPr>
        <w:t> </w:t>
      </w:r>
      <w:r>
        <w:rPr>
          <w:w w:val="105"/>
        </w:rPr>
        <w:t>costs,</w:t>
      </w:r>
      <w:r>
        <w:rPr>
          <w:spacing w:val="-8"/>
          <w:w w:val="105"/>
        </w:rPr>
        <w:t> </w:t>
      </w:r>
      <w:r>
        <w:rPr>
          <w:w w:val="105"/>
        </w:rPr>
        <w:t>may</w:t>
      </w:r>
      <w:r>
        <w:rPr>
          <w:spacing w:val="-8"/>
          <w:w w:val="105"/>
        </w:rPr>
        <w:t> </w:t>
      </w:r>
      <w:r>
        <w:rPr>
          <w:w w:val="105"/>
        </w:rPr>
        <w:t>cause</w:t>
      </w:r>
      <w:r>
        <w:rPr>
          <w:spacing w:val="-8"/>
          <w:w w:val="105"/>
        </w:rPr>
        <w:t> </w:t>
      </w:r>
      <w:r>
        <w:rPr>
          <w:w w:val="105"/>
        </w:rPr>
        <w:t>certain</w:t>
      </w:r>
      <w:r>
        <w:rPr>
          <w:spacing w:val="-8"/>
          <w:w w:val="105"/>
        </w:rPr>
        <w:t> </w:t>
      </w:r>
      <w:r>
        <w:rPr>
          <w:w w:val="105"/>
        </w:rPr>
        <w:t>of</w:t>
      </w:r>
      <w:r>
        <w:rPr>
          <w:spacing w:val="-8"/>
          <w:w w:val="105"/>
        </w:rPr>
        <w:t> </w:t>
      </w:r>
      <w:r>
        <w:rPr>
          <w:w w:val="105"/>
        </w:rPr>
        <w:t>our customers</w:t>
      </w:r>
      <w:r>
        <w:rPr>
          <w:spacing w:val="-2"/>
          <w:w w:val="105"/>
        </w:rPr>
        <w:t> </w:t>
      </w:r>
      <w:r>
        <w:rPr>
          <w:w w:val="105"/>
        </w:rPr>
        <w:t>to</w:t>
      </w:r>
      <w:r>
        <w:rPr>
          <w:spacing w:val="-2"/>
          <w:w w:val="105"/>
        </w:rPr>
        <w:t> </w:t>
      </w:r>
      <w:r>
        <w:rPr>
          <w:w w:val="105"/>
        </w:rPr>
        <w:t>push</w:t>
      </w:r>
      <w:r>
        <w:rPr>
          <w:spacing w:val="-2"/>
          <w:w w:val="105"/>
        </w:rPr>
        <w:t> </w:t>
      </w:r>
      <w:r>
        <w:rPr>
          <w:w w:val="105"/>
        </w:rPr>
        <w:t>out,</w:t>
      </w:r>
      <w:r>
        <w:rPr>
          <w:spacing w:val="-2"/>
          <w:w w:val="105"/>
        </w:rPr>
        <w:t> </w:t>
      </w:r>
      <w:r>
        <w:rPr>
          <w:w w:val="105"/>
        </w:rPr>
        <w:t>cancel</w:t>
      </w:r>
      <w:r>
        <w:rPr>
          <w:spacing w:val="-2"/>
          <w:w w:val="105"/>
        </w:rPr>
        <w:t> </w:t>
      </w:r>
      <w:r>
        <w:rPr>
          <w:w w:val="105"/>
        </w:rPr>
        <w:t>or</w:t>
      </w:r>
      <w:r>
        <w:rPr>
          <w:spacing w:val="-2"/>
          <w:w w:val="105"/>
        </w:rPr>
        <w:t> </w:t>
      </w:r>
      <w:r>
        <w:rPr>
          <w:w w:val="105"/>
        </w:rPr>
        <w:t>refrain</w:t>
      </w:r>
      <w:r>
        <w:rPr>
          <w:spacing w:val="-2"/>
          <w:w w:val="105"/>
        </w:rPr>
        <w:t> </w:t>
      </w:r>
      <w:r>
        <w:rPr>
          <w:w w:val="105"/>
        </w:rPr>
        <w:t>from</w:t>
      </w:r>
      <w:r>
        <w:rPr>
          <w:spacing w:val="-2"/>
          <w:w w:val="105"/>
        </w:rPr>
        <w:t> </w:t>
      </w:r>
      <w:r>
        <w:rPr>
          <w:w w:val="105"/>
        </w:rPr>
        <w:t>purchasing</w:t>
      </w:r>
      <w:r>
        <w:rPr>
          <w:spacing w:val="-2"/>
          <w:w w:val="105"/>
        </w:rPr>
        <w:t> </w:t>
      </w:r>
      <w:r>
        <w:rPr>
          <w:w w:val="105"/>
        </w:rPr>
        <w:t>our</w:t>
      </w:r>
      <w:r>
        <w:rPr>
          <w:spacing w:val="-2"/>
          <w:w w:val="105"/>
        </w:rPr>
        <w:t> </w:t>
      </w:r>
      <w:r>
        <w:rPr>
          <w:w w:val="105"/>
        </w:rPr>
        <w:t>products,</w:t>
      </w:r>
      <w:r>
        <w:rPr>
          <w:spacing w:val="-2"/>
          <w:w w:val="105"/>
        </w:rPr>
        <w:t> </w:t>
      </w:r>
      <w:r>
        <w:rPr>
          <w:w w:val="105"/>
        </w:rPr>
        <w:t>which</w:t>
      </w:r>
      <w:r>
        <w:rPr>
          <w:spacing w:val="-2"/>
          <w:w w:val="105"/>
        </w:rPr>
        <w:t> </w:t>
      </w:r>
      <w:r>
        <w:rPr>
          <w:w w:val="105"/>
        </w:rPr>
        <w:t>could</w:t>
      </w:r>
      <w:r>
        <w:rPr>
          <w:spacing w:val="-2"/>
          <w:w w:val="105"/>
        </w:rPr>
        <w:t> </w:t>
      </w:r>
      <w:r>
        <w:rPr>
          <w:w w:val="105"/>
        </w:rPr>
        <w:t>materially</w:t>
      </w:r>
      <w:r>
        <w:rPr>
          <w:spacing w:val="-2"/>
          <w:w w:val="105"/>
        </w:rPr>
        <w:t> </w:t>
      </w:r>
      <w:r>
        <w:rPr>
          <w:w w:val="105"/>
        </w:rPr>
        <w:t>adversely</w:t>
      </w:r>
      <w:r>
        <w:rPr>
          <w:spacing w:val="-2"/>
          <w:w w:val="105"/>
        </w:rPr>
        <w:t> </w:t>
      </w:r>
      <w:r>
        <w:rPr>
          <w:w w:val="105"/>
        </w:rPr>
        <w:t>impact</w:t>
      </w:r>
      <w:r>
        <w:rPr>
          <w:spacing w:val="-2"/>
          <w:w w:val="105"/>
        </w:rPr>
        <w:t> </w:t>
      </w:r>
      <w:r>
        <w:rPr>
          <w:w w:val="105"/>
        </w:rPr>
        <w:t>demand</w:t>
      </w:r>
      <w:r>
        <w:rPr>
          <w:spacing w:val="-2"/>
          <w:w w:val="105"/>
        </w:rPr>
        <w:t> </w:t>
      </w:r>
      <w:r>
        <w:rPr>
          <w:w w:val="105"/>
        </w:rPr>
        <w:t>for</w:t>
      </w:r>
      <w:r>
        <w:rPr>
          <w:spacing w:val="-2"/>
          <w:w w:val="105"/>
        </w:rPr>
        <w:t> </w:t>
      </w:r>
      <w:r>
        <w:rPr>
          <w:w w:val="105"/>
        </w:rPr>
        <w:t>our</w:t>
      </w:r>
      <w:r>
        <w:rPr>
          <w:spacing w:val="-2"/>
          <w:w w:val="105"/>
        </w:rPr>
        <w:t> </w:t>
      </w:r>
      <w:r>
        <w:rPr>
          <w:w w:val="105"/>
        </w:rPr>
        <w:t>products,</w:t>
      </w:r>
      <w:r>
        <w:rPr>
          <w:spacing w:val="-2"/>
          <w:w w:val="105"/>
        </w:rPr>
        <w:t> </w:t>
      </w:r>
      <w:r>
        <w:rPr>
          <w:w w:val="105"/>
        </w:rPr>
        <w:t>and</w:t>
      </w:r>
      <w:r>
        <w:rPr>
          <w:spacing w:val="-2"/>
          <w:w w:val="105"/>
        </w:rPr>
        <w:t> </w:t>
      </w:r>
      <w:r>
        <w:rPr>
          <w:w w:val="105"/>
        </w:rPr>
        <w:t>therefore</w:t>
      </w:r>
      <w:r>
        <w:rPr>
          <w:spacing w:val="-2"/>
          <w:w w:val="105"/>
        </w:rPr>
        <w:t> </w:t>
      </w:r>
      <w:r>
        <w:rPr>
          <w:w w:val="105"/>
        </w:rPr>
        <w:t>also</w:t>
      </w:r>
      <w:r>
        <w:rPr>
          <w:spacing w:val="-2"/>
          <w:w w:val="105"/>
        </w:rPr>
        <w:t> </w:t>
      </w:r>
      <w:r>
        <w:rPr>
          <w:w w:val="105"/>
        </w:rPr>
        <w:t>negatively impact our operating results, future profitability and ability to successfully deliver on our strategy.</w:t>
      </w:r>
    </w:p>
    <w:p>
      <w:pPr>
        <w:pStyle w:val="BodyText"/>
        <w:spacing w:before="17"/>
      </w:pPr>
    </w:p>
    <w:p>
      <w:pPr>
        <w:pStyle w:val="Heading2"/>
        <w:spacing w:line="266" w:lineRule="auto"/>
      </w:pPr>
      <w:r>
        <w:rPr>
          <w:w w:val="105"/>
        </w:rPr>
        <w:t>Supply</w:t>
      </w:r>
      <w:r>
        <w:rPr>
          <w:spacing w:val="-10"/>
          <w:w w:val="105"/>
        </w:rPr>
        <w:t> </w:t>
      </w:r>
      <w:r>
        <w:rPr>
          <w:w w:val="105"/>
        </w:rPr>
        <w:t>chain</w:t>
      </w:r>
      <w:r>
        <w:rPr>
          <w:spacing w:val="-10"/>
          <w:w w:val="105"/>
        </w:rPr>
        <w:t> </w:t>
      </w:r>
      <w:r>
        <w:rPr>
          <w:w w:val="105"/>
        </w:rPr>
        <w:t>disruptions,</w:t>
      </w:r>
      <w:r>
        <w:rPr>
          <w:spacing w:val="-10"/>
          <w:w w:val="105"/>
        </w:rPr>
        <w:t> </w:t>
      </w:r>
      <w:r>
        <w:rPr>
          <w:w w:val="105"/>
        </w:rPr>
        <w:t>manufacturing</w:t>
      </w:r>
      <w:r>
        <w:rPr>
          <w:spacing w:val="-10"/>
          <w:w w:val="105"/>
        </w:rPr>
        <w:t> </w:t>
      </w:r>
      <w:r>
        <w:rPr>
          <w:w w:val="105"/>
        </w:rPr>
        <w:t>interruptions</w:t>
      </w:r>
      <w:r>
        <w:rPr>
          <w:spacing w:val="-10"/>
          <w:w w:val="105"/>
        </w:rPr>
        <w:t> </w:t>
      </w:r>
      <w:r>
        <w:rPr>
          <w:w w:val="105"/>
        </w:rPr>
        <w:t>or</w:t>
      </w:r>
      <w:r>
        <w:rPr>
          <w:spacing w:val="-10"/>
          <w:w w:val="105"/>
        </w:rPr>
        <w:t> </w:t>
      </w:r>
      <w:r>
        <w:rPr>
          <w:w w:val="105"/>
        </w:rPr>
        <w:t>delays,</w:t>
      </w:r>
      <w:r>
        <w:rPr>
          <w:spacing w:val="-10"/>
          <w:w w:val="105"/>
        </w:rPr>
        <w:t> </w:t>
      </w:r>
      <w:r>
        <w:rPr>
          <w:w w:val="105"/>
        </w:rPr>
        <w:t>or</w:t>
      </w:r>
      <w:r>
        <w:rPr>
          <w:spacing w:val="-10"/>
          <w:w w:val="105"/>
        </w:rPr>
        <w:t> </w:t>
      </w:r>
      <w:r>
        <w:rPr>
          <w:w w:val="105"/>
        </w:rPr>
        <w:t>the</w:t>
      </w:r>
      <w:r>
        <w:rPr>
          <w:spacing w:val="-10"/>
          <w:w w:val="105"/>
        </w:rPr>
        <w:t> </w:t>
      </w:r>
      <w:r>
        <w:rPr>
          <w:w w:val="105"/>
        </w:rPr>
        <w:t>failure</w:t>
      </w:r>
      <w:r>
        <w:rPr>
          <w:spacing w:val="-10"/>
          <w:w w:val="105"/>
        </w:rPr>
        <w:t> </w:t>
      </w:r>
      <w:r>
        <w:rPr>
          <w:w w:val="105"/>
        </w:rPr>
        <w:t>to</w:t>
      </w:r>
      <w:r>
        <w:rPr>
          <w:spacing w:val="-10"/>
          <w:w w:val="105"/>
        </w:rPr>
        <w:t> </w:t>
      </w:r>
      <w:r>
        <w:rPr>
          <w:w w:val="105"/>
        </w:rPr>
        <w:t>accurately</w:t>
      </w:r>
      <w:r>
        <w:rPr>
          <w:spacing w:val="-10"/>
          <w:w w:val="105"/>
        </w:rPr>
        <w:t> </w:t>
      </w:r>
      <w:r>
        <w:rPr>
          <w:w w:val="105"/>
        </w:rPr>
        <w:t>forecast</w:t>
      </w:r>
      <w:r>
        <w:rPr>
          <w:spacing w:val="-10"/>
          <w:w w:val="105"/>
        </w:rPr>
        <w:t> </w:t>
      </w:r>
      <w:r>
        <w:rPr>
          <w:w w:val="105"/>
        </w:rPr>
        <w:t>customer</w:t>
      </w:r>
      <w:r>
        <w:rPr>
          <w:spacing w:val="-10"/>
          <w:w w:val="105"/>
        </w:rPr>
        <w:t> </w:t>
      </w:r>
      <w:r>
        <w:rPr>
          <w:w w:val="105"/>
        </w:rPr>
        <w:t>demand,</w:t>
      </w:r>
      <w:r>
        <w:rPr>
          <w:spacing w:val="-10"/>
          <w:w w:val="105"/>
        </w:rPr>
        <w:t> </w:t>
      </w:r>
      <w:r>
        <w:rPr>
          <w:w w:val="105"/>
        </w:rPr>
        <w:t>could</w:t>
      </w:r>
      <w:r>
        <w:rPr>
          <w:spacing w:val="-10"/>
          <w:w w:val="105"/>
        </w:rPr>
        <w:t> </w:t>
      </w:r>
      <w:r>
        <w:rPr>
          <w:w w:val="105"/>
        </w:rPr>
        <w:t>affect</w:t>
      </w:r>
      <w:r>
        <w:rPr>
          <w:spacing w:val="-10"/>
          <w:w w:val="105"/>
        </w:rPr>
        <w:t> </w:t>
      </w:r>
      <w:r>
        <w:rPr>
          <w:w w:val="105"/>
        </w:rPr>
        <w:t>our</w:t>
      </w:r>
      <w:r>
        <w:rPr>
          <w:spacing w:val="-10"/>
          <w:w w:val="105"/>
        </w:rPr>
        <w:t> </w:t>
      </w:r>
      <w:r>
        <w:rPr>
          <w:w w:val="105"/>
        </w:rPr>
        <w:t>ability</w:t>
      </w:r>
      <w:r>
        <w:rPr>
          <w:spacing w:val="-10"/>
          <w:w w:val="105"/>
        </w:rPr>
        <w:t> </w:t>
      </w:r>
      <w:r>
        <w:rPr>
          <w:w w:val="105"/>
        </w:rPr>
        <w:t>to</w:t>
      </w:r>
      <w:r>
        <w:rPr>
          <w:spacing w:val="-10"/>
          <w:w w:val="105"/>
        </w:rPr>
        <w:t> </w:t>
      </w:r>
      <w:r>
        <w:rPr>
          <w:w w:val="105"/>
        </w:rPr>
        <w:t>meet</w:t>
      </w:r>
      <w:r>
        <w:rPr>
          <w:spacing w:val="-10"/>
          <w:w w:val="105"/>
        </w:rPr>
        <w:t> </w:t>
      </w:r>
      <w:r>
        <w:rPr>
          <w:w w:val="105"/>
        </w:rPr>
        <w:t>customer demand,</w:t>
      </w:r>
      <w:r>
        <w:rPr>
          <w:spacing w:val="-2"/>
          <w:w w:val="105"/>
        </w:rPr>
        <w:t> </w:t>
      </w:r>
      <w:r>
        <w:rPr>
          <w:w w:val="105"/>
        </w:rPr>
        <w:t>lead</w:t>
      </w:r>
      <w:r>
        <w:rPr>
          <w:spacing w:val="-2"/>
          <w:w w:val="105"/>
        </w:rPr>
        <w:t> </w:t>
      </w:r>
      <w:r>
        <w:rPr>
          <w:w w:val="105"/>
        </w:rPr>
        <w:t>to</w:t>
      </w:r>
      <w:r>
        <w:rPr>
          <w:spacing w:val="-2"/>
          <w:w w:val="105"/>
        </w:rPr>
        <w:t> </w:t>
      </w:r>
      <w:r>
        <w:rPr>
          <w:w w:val="105"/>
        </w:rPr>
        <w:t>higher</w:t>
      </w:r>
      <w:r>
        <w:rPr>
          <w:spacing w:val="-2"/>
          <w:w w:val="105"/>
        </w:rPr>
        <w:t> </w:t>
      </w:r>
      <w:r>
        <w:rPr>
          <w:w w:val="105"/>
        </w:rPr>
        <w:t>costs,</w:t>
      </w:r>
      <w:r>
        <w:rPr>
          <w:spacing w:val="-2"/>
          <w:w w:val="105"/>
        </w:rPr>
        <w:t> </w:t>
      </w:r>
      <w:r>
        <w:rPr>
          <w:w w:val="105"/>
        </w:rPr>
        <w:t>or</w:t>
      </w:r>
      <w:r>
        <w:rPr>
          <w:spacing w:val="-2"/>
          <w:w w:val="105"/>
        </w:rPr>
        <w:t> </w:t>
      </w:r>
      <w:r>
        <w:rPr>
          <w:w w:val="105"/>
        </w:rPr>
        <w:t>result</w:t>
      </w:r>
      <w:r>
        <w:rPr>
          <w:spacing w:val="-2"/>
          <w:w w:val="105"/>
        </w:rPr>
        <w:t> </w:t>
      </w:r>
      <w:r>
        <w:rPr>
          <w:w w:val="105"/>
        </w:rPr>
        <w:t>in</w:t>
      </w:r>
      <w:r>
        <w:rPr>
          <w:spacing w:val="-2"/>
          <w:w w:val="105"/>
        </w:rPr>
        <w:t> </w:t>
      </w:r>
      <w:r>
        <w:rPr>
          <w:w w:val="105"/>
        </w:rPr>
        <w:t>excess</w:t>
      </w:r>
      <w:r>
        <w:rPr>
          <w:spacing w:val="-2"/>
          <w:w w:val="105"/>
        </w:rPr>
        <w:t> </w:t>
      </w:r>
      <w:r>
        <w:rPr>
          <w:w w:val="105"/>
        </w:rPr>
        <w:t>or</w:t>
      </w:r>
      <w:r>
        <w:rPr>
          <w:spacing w:val="-2"/>
          <w:w w:val="105"/>
        </w:rPr>
        <w:t> </w:t>
      </w:r>
      <w:r>
        <w:rPr>
          <w:w w:val="105"/>
        </w:rPr>
        <w:t>obsolete</w:t>
      </w:r>
      <w:r>
        <w:rPr>
          <w:spacing w:val="-2"/>
          <w:w w:val="105"/>
        </w:rPr>
        <w:t> </w:t>
      </w:r>
      <w:r>
        <w:rPr>
          <w:w w:val="105"/>
        </w:rPr>
        <w:t>inventory;</w:t>
      </w:r>
      <w:r>
        <w:rPr>
          <w:spacing w:val="-2"/>
          <w:w w:val="105"/>
        </w:rPr>
        <w:t> </w:t>
      </w:r>
      <w:r>
        <w:rPr>
          <w:w w:val="105"/>
        </w:rPr>
        <w:t>if</w:t>
      </w:r>
      <w:r>
        <w:rPr>
          <w:spacing w:val="-2"/>
          <w:w w:val="105"/>
        </w:rPr>
        <w:t> </w:t>
      </w:r>
      <w:r>
        <w:rPr>
          <w:w w:val="105"/>
        </w:rPr>
        <w:t>we</w:t>
      </w:r>
      <w:r>
        <w:rPr>
          <w:spacing w:val="-2"/>
          <w:w w:val="105"/>
        </w:rPr>
        <w:t> </w:t>
      </w:r>
      <w:r>
        <w:rPr>
          <w:w w:val="105"/>
        </w:rPr>
        <w:t>are</w:t>
      </w:r>
      <w:r>
        <w:rPr>
          <w:spacing w:val="-2"/>
          <w:w w:val="105"/>
        </w:rPr>
        <w:t> </w:t>
      </w:r>
      <w:r>
        <w:rPr>
          <w:w w:val="105"/>
        </w:rPr>
        <w:t>unable</w:t>
      </w:r>
      <w:r>
        <w:rPr>
          <w:spacing w:val="-2"/>
          <w:w w:val="105"/>
        </w:rPr>
        <w:t> </w:t>
      </w:r>
      <w:r>
        <w:rPr>
          <w:w w:val="105"/>
        </w:rPr>
        <w:t>to</w:t>
      </w:r>
      <w:r>
        <w:rPr>
          <w:spacing w:val="-2"/>
          <w:w w:val="105"/>
        </w:rPr>
        <w:t> </w:t>
      </w:r>
      <w:r>
        <w:rPr>
          <w:w w:val="105"/>
        </w:rPr>
        <w:t>obtain</w:t>
      </w:r>
      <w:r>
        <w:rPr>
          <w:spacing w:val="-2"/>
          <w:w w:val="105"/>
        </w:rPr>
        <w:t> </w:t>
      </w:r>
      <w:r>
        <w:rPr>
          <w:w w:val="105"/>
        </w:rPr>
        <w:t>the</w:t>
      </w:r>
      <w:r>
        <w:rPr>
          <w:spacing w:val="-2"/>
          <w:w w:val="105"/>
        </w:rPr>
        <w:t> </w:t>
      </w:r>
      <w:r>
        <w:rPr>
          <w:w w:val="105"/>
        </w:rPr>
        <w:t>necessary</w:t>
      </w:r>
      <w:r>
        <w:rPr>
          <w:spacing w:val="-2"/>
          <w:w w:val="105"/>
        </w:rPr>
        <w:t> </w:t>
      </w:r>
      <w:r>
        <w:rPr>
          <w:w w:val="105"/>
        </w:rPr>
        <w:t>equipment,</w:t>
      </w:r>
      <w:r>
        <w:rPr>
          <w:spacing w:val="-2"/>
          <w:w w:val="105"/>
        </w:rPr>
        <w:t> </w:t>
      </w:r>
      <w:r>
        <w:rPr>
          <w:w w:val="105"/>
        </w:rPr>
        <w:t>raw</w:t>
      </w:r>
      <w:r>
        <w:rPr>
          <w:spacing w:val="-2"/>
          <w:w w:val="105"/>
        </w:rPr>
        <w:t> </w:t>
      </w:r>
      <w:r>
        <w:rPr>
          <w:w w:val="105"/>
        </w:rPr>
        <w:t>and</w:t>
      </w:r>
      <w:r>
        <w:rPr>
          <w:spacing w:val="-2"/>
          <w:w w:val="105"/>
        </w:rPr>
        <w:t> </w:t>
      </w:r>
      <w:r>
        <w:rPr>
          <w:w w:val="105"/>
        </w:rPr>
        <w:t>batch</w:t>
      </w:r>
      <w:r>
        <w:rPr>
          <w:spacing w:val="-2"/>
          <w:w w:val="105"/>
        </w:rPr>
        <w:t> </w:t>
      </w:r>
      <w:r>
        <w:rPr>
          <w:w w:val="105"/>
        </w:rPr>
        <w:t>materials,</w:t>
      </w:r>
      <w:r>
        <w:rPr>
          <w:spacing w:val="-2"/>
          <w:w w:val="105"/>
        </w:rPr>
        <w:t> </w:t>
      </w:r>
      <w:r>
        <w:rPr>
          <w:w w:val="105"/>
        </w:rPr>
        <w:t>natural resources or utilities required in our products or processes, our business will be negatively impacted</w:t>
      </w:r>
    </w:p>
    <w:p>
      <w:pPr>
        <w:pStyle w:val="BodyText"/>
        <w:spacing w:before="18"/>
        <w:rPr>
          <w:b/>
        </w:rPr>
      </w:pPr>
    </w:p>
    <w:p>
      <w:pPr>
        <w:pStyle w:val="BodyText"/>
        <w:spacing w:line="266" w:lineRule="auto" w:before="1"/>
        <w:ind w:left="156" w:right="117"/>
      </w:pPr>
      <w:r>
        <w:rPr>
          <w:w w:val="105"/>
        </w:rPr>
        <w:t>Corning’s</w:t>
      </w:r>
      <w:r>
        <w:rPr>
          <w:spacing w:val="-3"/>
          <w:w w:val="105"/>
        </w:rPr>
        <w:t> </w:t>
      </w:r>
      <w:r>
        <w:rPr>
          <w:w w:val="105"/>
        </w:rPr>
        <w:t>business</w:t>
      </w:r>
      <w:r>
        <w:rPr>
          <w:spacing w:val="-3"/>
          <w:w w:val="105"/>
        </w:rPr>
        <w:t> </w:t>
      </w:r>
      <w:r>
        <w:rPr>
          <w:w w:val="105"/>
        </w:rPr>
        <w:t>relies</w:t>
      </w:r>
      <w:r>
        <w:rPr>
          <w:spacing w:val="-3"/>
          <w:w w:val="105"/>
        </w:rPr>
        <w:t> </w:t>
      </w:r>
      <w:r>
        <w:rPr>
          <w:w w:val="105"/>
        </w:rPr>
        <w:t>on</w:t>
      </w:r>
      <w:r>
        <w:rPr>
          <w:spacing w:val="-3"/>
          <w:w w:val="105"/>
        </w:rPr>
        <w:t> </w:t>
      </w:r>
      <w:r>
        <w:rPr>
          <w:w w:val="105"/>
        </w:rPr>
        <w:t>its</w:t>
      </w:r>
      <w:r>
        <w:rPr>
          <w:spacing w:val="-3"/>
          <w:w w:val="105"/>
        </w:rPr>
        <w:t> </w:t>
      </w:r>
      <w:r>
        <w:rPr>
          <w:w w:val="105"/>
        </w:rPr>
        <w:t>timely</w:t>
      </w:r>
      <w:r>
        <w:rPr>
          <w:spacing w:val="-3"/>
          <w:w w:val="105"/>
        </w:rPr>
        <w:t> </w:t>
      </w:r>
      <w:r>
        <w:rPr>
          <w:w w:val="105"/>
        </w:rPr>
        <w:t>supply</w:t>
      </w:r>
      <w:r>
        <w:rPr>
          <w:spacing w:val="-3"/>
          <w:w w:val="105"/>
        </w:rPr>
        <w:t> </w:t>
      </w:r>
      <w:r>
        <w:rPr>
          <w:w w:val="105"/>
        </w:rPr>
        <w:t>of</w:t>
      </w:r>
      <w:r>
        <w:rPr>
          <w:spacing w:val="-3"/>
          <w:w w:val="105"/>
        </w:rPr>
        <w:t> </w:t>
      </w:r>
      <w:r>
        <w:rPr>
          <w:w w:val="105"/>
        </w:rPr>
        <w:t>materials,</w:t>
      </w:r>
      <w:r>
        <w:rPr>
          <w:spacing w:val="-3"/>
          <w:w w:val="105"/>
        </w:rPr>
        <w:t> </w:t>
      </w:r>
      <w:r>
        <w:rPr>
          <w:w w:val="105"/>
        </w:rPr>
        <w:t>equipment,</w:t>
      </w:r>
      <w:r>
        <w:rPr>
          <w:spacing w:val="-3"/>
          <w:w w:val="105"/>
        </w:rPr>
        <w:t> </w:t>
      </w:r>
      <w:r>
        <w:rPr>
          <w:w w:val="105"/>
        </w:rPr>
        <w:t>services</w:t>
      </w:r>
      <w:r>
        <w:rPr>
          <w:spacing w:val="-3"/>
          <w:w w:val="105"/>
        </w:rPr>
        <w:t> </w:t>
      </w:r>
      <w:r>
        <w:rPr>
          <w:w w:val="105"/>
        </w:rPr>
        <w:t>and</w:t>
      </w:r>
      <w:r>
        <w:rPr>
          <w:spacing w:val="-3"/>
          <w:w w:val="105"/>
        </w:rPr>
        <w:t> </w:t>
      </w:r>
      <w:r>
        <w:rPr>
          <w:w w:val="105"/>
        </w:rPr>
        <w:t>related</w:t>
      </w:r>
      <w:r>
        <w:rPr>
          <w:spacing w:val="-3"/>
          <w:w w:val="105"/>
        </w:rPr>
        <w:t> </w:t>
      </w:r>
      <w:r>
        <w:rPr>
          <w:w w:val="105"/>
        </w:rPr>
        <w:t>products</w:t>
      </w:r>
      <w:r>
        <w:rPr>
          <w:spacing w:val="-3"/>
          <w:w w:val="105"/>
        </w:rPr>
        <w:t> </w:t>
      </w:r>
      <w:r>
        <w:rPr>
          <w:w w:val="105"/>
        </w:rPr>
        <w:t>to</w:t>
      </w:r>
      <w:r>
        <w:rPr>
          <w:spacing w:val="-3"/>
          <w:w w:val="105"/>
        </w:rPr>
        <w:t> </w:t>
      </w:r>
      <w:r>
        <w:rPr>
          <w:w w:val="105"/>
        </w:rPr>
        <w:t>meet</w:t>
      </w:r>
      <w:r>
        <w:rPr>
          <w:spacing w:val="-1"/>
          <w:w w:val="105"/>
        </w:rPr>
        <w:t> </w:t>
      </w:r>
      <w:r>
        <w:rPr>
          <w:w w:val="105"/>
        </w:rPr>
        <w:t>the</w:t>
      </w:r>
      <w:r>
        <w:rPr>
          <w:spacing w:val="-3"/>
          <w:w w:val="105"/>
        </w:rPr>
        <w:t> </w:t>
      </w:r>
      <w:r>
        <w:rPr>
          <w:w w:val="105"/>
        </w:rPr>
        <w:t>changing</w:t>
      </w:r>
      <w:r>
        <w:rPr>
          <w:spacing w:val="-3"/>
          <w:w w:val="105"/>
        </w:rPr>
        <w:t> </w:t>
      </w:r>
      <w:r>
        <w:rPr>
          <w:w w:val="105"/>
        </w:rPr>
        <w:t>technical</w:t>
      </w:r>
      <w:r>
        <w:rPr>
          <w:spacing w:val="-3"/>
          <w:w w:val="105"/>
        </w:rPr>
        <w:t> </w:t>
      </w:r>
      <w:r>
        <w:rPr>
          <w:w w:val="105"/>
        </w:rPr>
        <w:t>and</w:t>
      </w:r>
      <w:r>
        <w:rPr>
          <w:spacing w:val="-3"/>
          <w:w w:val="105"/>
        </w:rPr>
        <w:t> </w:t>
      </w:r>
      <w:r>
        <w:rPr>
          <w:w w:val="105"/>
        </w:rPr>
        <w:t>volume</w:t>
      </w:r>
      <w:r>
        <w:rPr>
          <w:spacing w:val="-3"/>
          <w:w w:val="105"/>
        </w:rPr>
        <w:t> </w:t>
      </w:r>
      <w:r>
        <w:rPr>
          <w:w w:val="105"/>
        </w:rPr>
        <w:t>requirements</w:t>
      </w:r>
      <w:r>
        <w:rPr>
          <w:spacing w:val="-3"/>
          <w:w w:val="105"/>
        </w:rPr>
        <w:t> </w:t>
      </w:r>
      <w:r>
        <w:rPr>
          <w:w w:val="105"/>
        </w:rPr>
        <w:t>of</w:t>
      </w:r>
      <w:r>
        <w:rPr>
          <w:spacing w:val="-3"/>
          <w:w w:val="105"/>
        </w:rPr>
        <w:t> </w:t>
      </w:r>
      <w:r>
        <w:rPr>
          <w:w w:val="105"/>
        </w:rPr>
        <w:t>its</w:t>
      </w:r>
      <w:r>
        <w:rPr>
          <w:w w:val="105"/>
        </w:rPr>
        <w:t> customers,</w:t>
      </w:r>
      <w:r>
        <w:rPr>
          <w:spacing w:val="-9"/>
          <w:w w:val="105"/>
        </w:rPr>
        <w:t> </w:t>
      </w:r>
      <w:r>
        <w:rPr>
          <w:w w:val="105"/>
        </w:rPr>
        <w:t>which</w:t>
      </w:r>
      <w:r>
        <w:rPr>
          <w:spacing w:val="-9"/>
          <w:w w:val="105"/>
        </w:rPr>
        <w:t> </w:t>
      </w:r>
      <w:r>
        <w:rPr>
          <w:w w:val="105"/>
        </w:rPr>
        <w:t>depends</w:t>
      </w:r>
      <w:r>
        <w:rPr>
          <w:spacing w:val="-9"/>
          <w:w w:val="105"/>
        </w:rPr>
        <w:t> </w:t>
      </w:r>
      <w:r>
        <w:rPr>
          <w:w w:val="105"/>
        </w:rPr>
        <w:t>in</w:t>
      </w:r>
      <w:r>
        <w:rPr>
          <w:spacing w:val="-9"/>
          <w:w w:val="105"/>
        </w:rPr>
        <w:t> </w:t>
      </w:r>
      <w:r>
        <w:rPr>
          <w:w w:val="105"/>
        </w:rPr>
        <w:t>part</w:t>
      </w:r>
      <w:r>
        <w:rPr>
          <w:spacing w:val="-9"/>
          <w:w w:val="105"/>
        </w:rPr>
        <w:t> </w:t>
      </w:r>
      <w:r>
        <w:rPr>
          <w:w w:val="105"/>
        </w:rPr>
        <w:t>on</w:t>
      </w:r>
      <w:r>
        <w:rPr>
          <w:spacing w:val="-7"/>
          <w:w w:val="105"/>
        </w:rPr>
        <w:t> </w:t>
      </w:r>
      <w:r>
        <w:rPr>
          <w:w w:val="105"/>
        </w:rPr>
        <w:t>the</w:t>
      </w:r>
      <w:r>
        <w:rPr>
          <w:spacing w:val="-9"/>
          <w:w w:val="105"/>
        </w:rPr>
        <w:t> </w:t>
      </w:r>
      <w:r>
        <w:rPr>
          <w:w w:val="105"/>
        </w:rPr>
        <w:t>timely</w:t>
      </w:r>
      <w:r>
        <w:rPr>
          <w:spacing w:val="-9"/>
          <w:w w:val="105"/>
        </w:rPr>
        <w:t> </w:t>
      </w:r>
      <w:r>
        <w:rPr>
          <w:w w:val="105"/>
        </w:rPr>
        <w:t>delivery</w:t>
      </w:r>
      <w:r>
        <w:rPr>
          <w:spacing w:val="-9"/>
          <w:w w:val="105"/>
        </w:rPr>
        <w:t> </w:t>
      </w:r>
      <w:r>
        <w:rPr>
          <w:w w:val="105"/>
        </w:rPr>
        <w:t>of</w:t>
      </w:r>
      <w:r>
        <w:rPr>
          <w:spacing w:val="-7"/>
          <w:w w:val="105"/>
        </w:rPr>
        <w:t> </w:t>
      </w:r>
      <w:r>
        <w:rPr>
          <w:w w:val="105"/>
        </w:rPr>
        <w:t>materials,</w:t>
      </w:r>
      <w:r>
        <w:rPr>
          <w:spacing w:val="-9"/>
          <w:w w:val="105"/>
        </w:rPr>
        <w:t> </w:t>
      </w:r>
      <w:r>
        <w:rPr>
          <w:w w:val="105"/>
        </w:rPr>
        <w:t>equipment</w:t>
      </w:r>
      <w:r>
        <w:rPr>
          <w:spacing w:val="-7"/>
          <w:w w:val="105"/>
        </w:rPr>
        <w:t> </w:t>
      </w:r>
      <w:r>
        <w:rPr>
          <w:w w:val="105"/>
        </w:rPr>
        <w:t>and</w:t>
      </w:r>
      <w:r>
        <w:rPr>
          <w:spacing w:val="-9"/>
          <w:w w:val="105"/>
        </w:rPr>
        <w:t> </w:t>
      </w:r>
      <w:r>
        <w:rPr>
          <w:w w:val="105"/>
        </w:rPr>
        <w:t>services,</w:t>
      </w:r>
      <w:r>
        <w:rPr>
          <w:spacing w:val="-9"/>
          <w:w w:val="105"/>
        </w:rPr>
        <w:t> </w:t>
      </w:r>
      <w:r>
        <w:rPr>
          <w:w w:val="105"/>
        </w:rPr>
        <w:t>from</w:t>
      </w:r>
      <w:r>
        <w:rPr>
          <w:spacing w:val="-9"/>
          <w:w w:val="105"/>
        </w:rPr>
        <w:t> </w:t>
      </w:r>
      <w:r>
        <w:rPr>
          <w:w w:val="105"/>
        </w:rPr>
        <w:t>suppliers</w:t>
      </w:r>
      <w:r>
        <w:rPr>
          <w:spacing w:val="-7"/>
          <w:w w:val="105"/>
        </w:rPr>
        <w:t> </w:t>
      </w:r>
      <w:r>
        <w:rPr>
          <w:w w:val="105"/>
        </w:rPr>
        <w:t>and</w:t>
      </w:r>
      <w:r>
        <w:rPr>
          <w:spacing w:val="-9"/>
          <w:w w:val="105"/>
        </w:rPr>
        <w:t> </w:t>
      </w:r>
      <w:r>
        <w:rPr>
          <w:w w:val="105"/>
        </w:rPr>
        <w:t>contract</w:t>
      </w:r>
      <w:r>
        <w:rPr>
          <w:spacing w:val="-9"/>
          <w:w w:val="105"/>
        </w:rPr>
        <w:t> </w:t>
      </w:r>
      <w:r>
        <w:rPr>
          <w:w w:val="105"/>
        </w:rPr>
        <w:t>manufacturers.</w:t>
      </w:r>
      <w:r>
        <w:rPr>
          <w:spacing w:val="-9"/>
          <w:w w:val="105"/>
        </w:rPr>
        <w:t> </w:t>
      </w:r>
      <w:r>
        <w:rPr>
          <w:w w:val="105"/>
        </w:rPr>
        <w:t>Significant</w:t>
      </w:r>
      <w:r>
        <w:rPr>
          <w:spacing w:val="-9"/>
          <w:w w:val="105"/>
        </w:rPr>
        <w:t> </w:t>
      </w:r>
      <w:r>
        <w:rPr>
          <w:w w:val="105"/>
        </w:rPr>
        <w:t>and</w:t>
      </w:r>
      <w:r>
        <w:rPr>
          <w:spacing w:val="-9"/>
          <w:w w:val="105"/>
        </w:rPr>
        <w:t> </w:t>
      </w:r>
      <w:r>
        <w:rPr>
          <w:w w:val="105"/>
        </w:rPr>
        <w:t>sudden</w:t>
      </w:r>
      <w:r>
        <w:rPr>
          <w:spacing w:val="-9"/>
          <w:w w:val="105"/>
        </w:rPr>
        <w:t> </w:t>
      </w:r>
      <w:r>
        <w:rPr>
          <w:w w:val="105"/>
        </w:rPr>
        <w:t>increases</w:t>
      </w:r>
      <w:r>
        <w:rPr>
          <w:spacing w:val="-9"/>
          <w:w w:val="105"/>
        </w:rPr>
        <w:t> </w:t>
      </w:r>
      <w:r>
        <w:rPr>
          <w:w w:val="105"/>
        </w:rPr>
        <w:t>in demand</w:t>
      </w:r>
      <w:r>
        <w:rPr>
          <w:spacing w:val="-2"/>
          <w:w w:val="105"/>
        </w:rPr>
        <w:t> </w:t>
      </w:r>
      <w:r>
        <w:rPr>
          <w:w w:val="105"/>
        </w:rPr>
        <w:t>for</w:t>
      </w:r>
      <w:r>
        <w:rPr>
          <w:spacing w:val="-2"/>
          <w:w w:val="105"/>
        </w:rPr>
        <w:t> </w:t>
      </w:r>
      <w:r>
        <w:rPr>
          <w:w w:val="105"/>
        </w:rPr>
        <w:t>such</w:t>
      </w:r>
      <w:r>
        <w:rPr>
          <w:spacing w:val="-2"/>
          <w:w w:val="105"/>
        </w:rPr>
        <w:t> </w:t>
      </w:r>
      <w:r>
        <w:rPr>
          <w:w w:val="105"/>
        </w:rPr>
        <w:t>materials,</w:t>
      </w:r>
      <w:r>
        <w:rPr>
          <w:spacing w:val="-2"/>
          <w:w w:val="105"/>
        </w:rPr>
        <w:t> </w:t>
      </w:r>
      <w:r>
        <w:rPr>
          <w:w w:val="105"/>
        </w:rPr>
        <w:t>equipment</w:t>
      </w:r>
      <w:r>
        <w:rPr>
          <w:spacing w:val="-2"/>
          <w:w w:val="105"/>
        </w:rPr>
        <w:t> </w:t>
      </w:r>
      <w:r>
        <w:rPr>
          <w:w w:val="105"/>
        </w:rPr>
        <w:t>and</w:t>
      </w:r>
      <w:r>
        <w:rPr>
          <w:spacing w:val="-2"/>
          <w:w w:val="105"/>
        </w:rPr>
        <w:t> </w:t>
      </w:r>
      <w:r>
        <w:rPr>
          <w:w w:val="105"/>
        </w:rPr>
        <w:t>services, as</w:t>
      </w:r>
      <w:r>
        <w:rPr>
          <w:spacing w:val="-2"/>
          <w:w w:val="105"/>
        </w:rPr>
        <w:t> </w:t>
      </w:r>
      <w:r>
        <w:rPr>
          <w:w w:val="105"/>
        </w:rPr>
        <w:t>well</w:t>
      </w:r>
      <w:r>
        <w:rPr>
          <w:spacing w:val="-2"/>
          <w:w w:val="105"/>
        </w:rPr>
        <w:t> </w:t>
      </w:r>
      <w:r>
        <w:rPr>
          <w:w w:val="105"/>
        </w:rPr>
        <w:t>as</w:t>
      </w:r>
      <w:r>
        <w:rPr>
          <w:spacing w:val="-2"/>
          <w:w w:val="105"/>
        </w:rPr>
        <w:t> </w:t>
      </w:r>
      <w:r>
        <w:rPr>
          <w:w w:val="105"/>
        </w:rPr>
        <w:t>delays</w:t>
      </w:r>
      <w:r>
        <w:rPr>
          <w:spacing w:val="-2"/>
          <w:w w:val="105"/>
        </w:rPr>
        <w:t> </w:t>
      </w:r>
      <w:r>
        <w:rPr>
          <w:w w:val="105"/>
        </w:rPr>
        <w:t>in</w:t>
      </w:r>
      <w:r>
        <w:rPr>
          <w:spacing w:val="-2"/>
          <w:w w:val="105"/>
        </w:rPr>
        <w:t> </w:t>
      </w:r>
      <w:r>
        <w:rPr>
          <w:w w:val="105"/>
        </w:rPr>
        <w:t>and</w:t>
      </w:r>
      <w:r>
        <w:rPr>
          <w:spacing w:val="-2"/>
          <w:w w:val="105"/>
        </w:rPr>
        <w:t> </w:t>
      </w:r>
      <w:r>
        <w:rPr>
          <w:w w:val="105"/>
        </w:rPr>
        <w:t>unpredictability</w:t>
      </w:r>
      <w:r>
        <w:rPr>
          <w:spacing w:val="-2"/>
          <w:w w:val="105"/>
        </w:rPr>
        <w:t> </w:t>
      </w:r>
      <w:r>
        <w:rPr>
          <w:w w:val="105"/>
        </w:rPr>
        <w:t>of</w:t>
      </w:r>
      <w:r>
        <w:rPr>
          <w:spacing w:val="-2"/>
          <w:w w:val="105"/>
        </w:rPr>
        <w:t> </w:t>
      </w:r>
      <w:r>
        <w:rPr>
          <w:w w:val="105"/>
        </w:rPr>
        <w:t>shipments</w:t>
      </w:r>
      <w:r>
        <w:rPr>
          <w:spacing w:val="-2"/>
          <w:w w:val="105"/>
        </w:rPr>
        <w:t> </w:t>
      </w:r>
      <w:r>
        <w:rPr>
          <w:w w:val="105"/>
        </w:rPr>
        <w:t>due</w:t>
      </w:r>
      <w:r>
        <w:rPr>
          <w:spacing w:val="-2"/>
          <w:w w:val="105"/>
        </w:rPr>
        <w:t> </w:t>
      </w:r>
      <w:r>
        <w:rPr>
          <w:w w:val="105"/>
        </w:rPr>
        <w:t>to transportation</w:t>
      </w:r>
      <w:r>
        <w:rPr>
          <w:spacing w:val="-2"/>
          <w:w w:val="105"/>
        </w:rPr>
        <w:t> </w:t>
      </w:r>
      <w:r>
        <w:rPr>
          <w:w w:val="105"/>
        </w:rPr>
        <w:t>interruptions,</w:t>
      </w:r>
      <w:r>
        <w:rPr>
          <w:spacing w:val="-2"/>
          <w:w w:val="105"/>
        </w:rPr>
        <w:t> </w:t>
      </w:r>
      <w:r>
        <w:rPr>
          <w:w w:val="105"/>
        </w:rPr>
        <w:t>have</w:t>
      </w:r>
      <w:r>
        <w:rPr>
          <w:spacing w:val="-2"/>
          <w:w w:val="105"/>
        </w:rPr>
        <w:t> </w:t>
      </w:r>
      <w:r>
        <w:rPr>
          <w:w w:val="105"/>
        </w:rPr>
        <w:t>resulted</w:t>
      </w:r>
      <w:r>
        <w:rPr>
          <w:spacing w:val="-2"/>
          <w:w w:val="105"/>
        </w:rPr>
        <w:t> </w:t>
      </w:r>
      <w:r>
        <w:rPr>
          <w:w w:val="105"/>
        </w:rPr>
        <w:t>in,</w:t>
      </w:r>
      <w:r>
        <w:rPr>
          <w:spacing w:val="-2"/>
          <w:w w:val="105"/>
        </w:rPr>
        <w:t> </w:t>
      </w:r>
      <w:r>
        <w:rPr>
          <w:w w:val="105"/>
        </w:rPr>
        <w:t>and</w:t>
      </w:r>
      <w:r>
        <w:rPr>
          <w:spacing w:val="-2"/>
          <w:w w:val="105"/>
        </w:rPr>
        <w:t> </w:t>
      </w:r>
      <w:r>
        <w:rPr>
          <w:w w:val="105"/>
        </w:rPr>
        <w:t>may continue</w:t>
      </w:r>
      <w:r>
        <w:rPr>
          <w:spacing w:val="-6"/>
          <w:w w:val="105"/>
        </w:rPr>
        <w:t> </w:t>
      </w:r>
      <w:r>
        <w:rPr>
          <w:w w:val="105"/>
        </w:rPr>
        <w:t>to</w:t>
      </w:r>
      <w:r>
        <w:rPr>
          <w:spacing w:val="-6"/>
          <w:w w:val="105"/>
        </w:rPr>
        <w:t> </w:t>
      </w:r>
      <w:r>
        <w:rPr>
          <w:w w:val="105"/>
        </w:rPr>
        <w:t>result</w:t>
      </w:r>
      <w:r>
        <w:rPr>
          <w:spacing w:val="-6"/>
          <w:w w:val="105"/>
        </w:rPr>
        <w:t> </w:t>
      </w:r>
      <w:r>
        <w:rPr>
          <w:w w:val="105"/>
        </w:rPr>
        <w:t>in,</w:t>
      </w:r>
      <w:r>
        <w:rPr>
          <w:spacing w:val="-6"/>
          <w:w w:val="105"/>
        </w:rPr>
        <w:t> </w:t>
      </w:r>
      <w:r>
        <w:rPr>
          <w:w w:val="105"/>
        </w:rPr>
        <w:t>a</w:t>
      </w:r>
      <w:r>
        <w:rPr>
          <w:spacing w:val="-6"/>
          <w:w w:val="105"/>
        </w:rPr>
        <w:t> </w:t>
      </w:r>
      <w:r>
        <w:rPr>
          <w:w w:val="105"/>
        </w:rPr>
        <w:t>shortage</w:t>
      </w:r>
      <w:r>
        <w:rPr>
          <w:spacing w:val="-6"/>
          <w:w w:val="105"/>
        </w:rPr>
        <w:t> </w:t>
      </w:r>
      <w:r>
        <w:rPr>
          <w:w w:val="105"/>
        </w:rPr>
        <w:t>of</w:t>
      </w:r>
      <w:r>
        <w:rPr>
          <w:spacing w:val="-6"/>
          <w:w w:val="105"/>
        </w:rPr>
        <w:t> </w:t>
      </w:r>
      <w:r>
        <w:rPr>
          <w:w w:val="105"/>
        </w:rPr>
        <w:t>materials,</w:t>
      </w:r>
      <w:r>
        <w:rPr>
          <w:spacing w:val="-6"/>
          <w:w w:val="105"/>
        </w:rPr>
        <w:t> </w:t>
      </w:r>
      <w:r>
        <w:rPr>
          <w:w w:val="105"/>
        </w:rPr>
        <w:t>equipment</w:t>
      </w:r>
      <w:r>
        <w:rPr>
          <w:spacing w:val="-6"/>
          <w:w w:val="105"/>
        </w:rPr>
        <w:t> </w:t>
      </w:r>
      <w:r>
        <w:rPr>
          <w:w w:val="105"/>
        </w:rPr>
        <w:t>and</w:t>
      </w:r>
      <w:r>
        <w:rPr>
          <w:spacing w:val="-6"/>
          <w:w w:val="105"/>
        </w:rPr>
        <w:t> </w:t>
      </w:r>
      <w:r>
        <w:rPr>
          <w:w w:val="105"/>
        </w:rPr>
        <w:t>services</w:t>
      </w:r>
      <w:r>
        <w:rPr>
          <w:spacing w:val="-6"/>
          <w:w w:val="105"/>
        </w:rPr>
        <w:t> </w:t>
      </w:r>
      <w:r>
        <w:rPr>
          <w:w w:val="105"/>
        </w:rPr>
        <w:t>needed</w:t>
      </w:r>
      <w:r>
        <w:rPr>
          <w:spacing w:val="-5"/>
          <w:w w:val="105"/>
        </w:rPr>
        <w:t> </w:t>
      </w:r>
      <w:r>
        <w:rPr>
          <w:w w:val="105"/>
        </w:rPr>
        <w:t>to</w:t>
      </w:r>
      <w:r>
        <w:rPr>
          <w:spacing w:val="-6"/>
          <w:w w:val="105"/>
        </w:rPr>
        <w:t> </w:t>
      </w:r>
      <w:r>
        <w:rPr>
          <w:w w:val="105"/>
        </w:rPr>
        <w:t>manufacture</w:t>
      </w:r>
      <w:r>
        <w:rPr>
          <w:spacing w:val="-6"/>
          <w:w w:val="105"/>
        </w:rPr>
        <w:t> </w:t>
      </w:r>
      <w:r>
        <w:rPr>
          <w:w w:val="105"/>
        </w:rPr>
        <w:t>Corning’s</w:t>
      </w:r>
      <w:r>
        <w:rPr>
          <w:spacing w:val="-6"/>
          <w:w w:val="105"/>
        </w:rPr>
        <w:t> </w:t>
      </w:r>
      <w:r>
        <w:rPr>
          <w:w w:val="105"/>
        </w:rPr>
        <w:t>products.</w:t>
      </w:r>
      <w:r>
        <w:rPr>
          <w:spacing w:val="-6"/>
          <w:w w:val="105"/>
        </w:rPr>
        <w:t> </w:t>
      </w:r>
      <w:r>
        <w:rPr>
          <w:w w:val="105"/>
        </w:rPr>
        <w:t>Such</w:t>
      </w:r>
      <w:r>
        <w:rPr>
          <w:spacing w:val="-6"/>
          <w:w w:val="105"/>
        </w:rPr>
        <w:t> </w:t>
      </w:r>
      <w:r>
        <w:rPr>
          <w:w w:val="105"/>
        </w:rPr>
        <w:t>shortages</w:t>
      </w:r>
      <w:r>
        <w:rPr>
          <w:spacing w:val="-6"/>
          <w:w w:val="105"/>
        </w:rPr>
        <w:t> </w:t>
      </w:r>
      <w:r>
        <w:rPr>
          <w:w w:val="105"/>
        </w:rPr>
        <w:t>have</w:t>
      </w:r>
      <w:r>
        <w:rPr>
          <w:spacing w:val="-6"/>
          <w:w w:val="105"/>
        </w:rPr>
        <w:t> </w:t>
      </w:r>
      <w:r>
        <w:rPr>
          <w:w w:val="105"/>
        </w:rPr>
        <w:t>adversely</w:t>
      </w:r>
      <w:r>
        <w:rPr>
          <w:spacing w:val="-6"/>
          <w:w w:val="105"/>
        </w:rPr>
        <w:t> </w:t>
      </w:r>
      <w:r>
        <w:rPr>
          <w:w w:val="105"/>
        </w:rPr>
        <w:t>impacted,</w:t>
      </w:r>
      <w:r>
        <w:rPr>
          <w:spacing w:val="-6"/>
          <w:w w:val="105"/>
        </w:rPr>
        <w:t> </w:t>
      </w:r>
      <w:r>
        <w:rPr>
          <w:w w:val="105"/>
        </w:rPr>
        <w:t>and</w:t>
      </w:r>
      <w:r>
        <w:rPr>
          <w:spacing w:val="-6"/>
          <w:w w:val="105"/>
        </w:rPr>
        <w:t> </w:t>
      </w:r>
      <w:r>
        <w:rPr>
          <w:w w:val="105"/>
        </w:rPr>
        <w:t>may</w:t>
      </w:r>
      <w:r>
        <w:rPr>
          <w:spacing w:val="-6"/>
          <w:w w:val="105"/>
        </w:rPr>
        <w:t> </w:t>
      </w:r>
      <w:r>
        <w:rPr>
          <w:w w:val="105"/>
        </w:rPr>
        <w:t>continue to</w:t>
      </w:r>
      <w:r>
        <w:rPr>
          <w:spacing w:val="-2"/>
          <w:w w:val="105"/>
        </w:rPr>
        <w:t> </w:t>
      </w:r>
      <w:r>
        <w:rPr>
          <w:w w:val="105"/>
        </w:rPr>
        <w:t>adversely</w:t>
      </w:r>
      <w:r>
        <w:rPr>
          <w:spacing w:val="-2"/>
          <w:w w:val="105"/>
        </w:rPr>
        <w:t> </w:t>
      </w:r>
      <w:r>
        <w:rPr>
          <w:w w:val="105"/>
        </w:rPr>
        <w:t>impact,</w:t>
      </w:r>
      <w:r>
        <w:rPr>
          <w:spacing w:val="-2"/>
          <w:w w:val="105"/>
        </w:rPr>
        <w:t> </w:t>
      </w:r>
      <w:r>
        <w:rPr>
          <w:w w:val="105"/>
        </w:rPr>
        <w:t>our</w:t>
      </w:r>
      <w:r>
        <w:rPr>
          <w:spacing w:val="-2"/>
          <w:w w:val="105"/>
        </w:rPr>
        <w:t> </w:t>
      </w:r>
      <w:r>
        <w:rPr>
          <w:w w:val="105"/>
        </w:rPr>
        <w:t>suppliers’</w:t>
      </w:r>
      <w:r>
        <w:rPr>
          <w:spacing w:val="-2"/>
          <w:w w:val="105"/>
        </w:rPr>
        <w:t> </w:t>
      </w:r>
      <w:r>
        <w:rPr>
          <w:w w:val="105"/>
        </w:rPr>
        <w:t>ability</w:t>
      </w:r>
      <w:r>
        <w:rPr>
          <w:spacing w:val="-2"/>
          <w:w w:val="105"/>
        </w:rPr>
        <w:t> </w:t>
      </w:r>
      <w:r>
        <w:rPr>
          <w:w w:val="105"/>
        </w:rPr>
        <w:t>to</w:t>
      </w:r>
      <w:r>
        <w:rPr>
          <w:spacing w:val="-2"/>
          <w:w w:val="105"/>
        </w:rPr>
        <w:t> </w:t>
      </w:r>
      <w:r>
        <w:rPr>
          <w:w w:val="105"/>
        </w:rPr>
        <w:t>meet</w:t>
      </w:r>
      <w:r>
        <w:rPr>
          <w:spacing w:val="-2"/>
          <w:w w:val="105"/>
        </w:rPr>
        <w:t> </w:t>
      </w:r>
      <w:r>
        <w:rPr>
          <w:w w:val="105"/>
        </w:rPr>
        <w:t>our</w:t>
      </w:r>
      <w:r>
        <w:rPr>
          <w:spacing w:val="-2"/>
          <w:w w:val="105"/>
        </w:rPr>
        <w:t> </w:t>
      </w:r>
      <w:r>
        <w:rPr>
          <w:w w:val="105"/>
        </w:rPr>
        <w:t>demand</w:t>
      </w:r>
      <w:r>
        <w:rPr>
          <w:spacing w:val="-2"/>
          <w:w w:val="105"/>
        </w:rPr>
        <w:t> </w:t>
      </w:r>
      <w:r>
        <w:rPr>
          <w:w w:val="105"/>
        </w:rPr>
        <w:t>requirements</w:t>
      </w:r>
      <w:r>
        <w:rPr>
          <w:spacing w:val="-2"/>
          <w:w w:val="105"/>
        </w:rPr>
        <w:t> </w:t>
      </w:r>
      <w:r>
        <w:rPr>
          <w:w w:val="105"/>
        </w:rPr>
        <w:t>and</w:t>
      </w:r>
      <w:r>
        <w:rPr>
          <w:spacing w:val="-2"/>
          <w:w w:val="105"/>
        </w:rPr>
        <w:t> </w:t>
      </w:r>
      <w:r>
        <w:rPr>
          <w:w w:val="105"/>
        </w:rPr>
        <w:t>Corning’s</w:t>
      </w:r>
      <w:r>
        <w:rPr>
          <w:spacing w:val="-2"/>
          <w:w w:val="105"/>
        </w:rPr>
        <w:t> </w:t>
      </w:r>
      <w:r>
        <w:rPr>
          <w:w w:val="105"/>
        </w:rPr>
        <w:t>manufacturing</w:t>
      </w:r>
      <w:r>
        <w:rPr>
          <w:spacing w:val="-2"/>
          <w:w w:val="105"/>
        </w:rPr>
        <w:t> </w:t>
      </w:r>
      <w:r>
        <w:rPr>
          <w:w w:val="105"/>
        </w:rPr>
        <w:t>operations</w:t>
      </w:r>
      <w:r>
        <w:rPr>
          <w:spacing w:val="-2"/>
          <w:w w:val="105"/>
        </w:rPr>
        <w:t> </w:t>
      </w:r>
      <w:r>
        <w:rPr>
          <w:w w:val="105"/>
        </w:rPr>
        <w:t>and</w:t>
      </w:r>
      <w:r>
        <w:rPr>
          <w:spacing w:val="-2"/>
          <w:w w:val="105"/>
        </w:rPr>
        <w:t> </w:t>
      </w:r>
      <w:r>
        <w:rPr>
          <w:w w:val="105"/>
        </w:rPr>
        <w:t>its</w:t>
      </w:r>
      <w:r>
        <w:rPr>
          <w:spacing w:val="-2"/>
          <w:w w:val="105"/>
        </w:rPr>
        <w:t> </w:t>
      </w:r>
      <w:r>
        <w:rPr>
          <w:w w:val="105"/>
        </w:rPr>
        <w:t>ability</w:t>
      </w:r>
      <w:r>
        <w:rPr>
          <w:spacing w:val="-2"/>
          <w:w w:val="105"/>
        </w:rPr>
        <w:t> </w:t>
      </w:r>
      <w:r>
        <w:rPr>
          <w:w w:val="105"/>
        </w:rPr>
        <w:t>to meet</w:t>
      </w:r>
      <w:r>
        <w:rPr>
          <w:spacing w:val="-2"/>
          <w:w w:val="105"/>
        </w:rPr>
        <w:t> </w:t>
      </w:r>
      <w:r>
        <w:rPr>
          <w:w w:val="105"/>
        </w:rPr>
        <w:t>customer</w:t>
      </w:r>
      <w:r>
        <w:rPr>
          <w:spacing w:val="-2"/>
          <w:w w:val="105"/>
        </w:rPr>
        <w:t> </w:t>
      </w:r>
      <w:r>
        <w:rPr>
          <w:w w:val="105"/>
        </w:rPr>
        <w:t>demand.</w:t>
      </w:r>
      <w:r>
        <w:rPr>
          <w:spacing w:val="-2"/>
          <w:w w:val="105"/>
        </w:rPr>
        <w:t> </w:t>
      </w:r>
      <w:r>
        <w:rPr>
          <w:w w:val="105"/>
        </w:rPr>
        <w:t>Some</w:t>
      </w:r>
      <w:r>
        <w:rPr>
          <w:spacing w:val="-2"/>
          <w:w w:val="105"/>
        </w:rPr>
        <w:t> </w:t>
      </w:r>
      <w:r>
        <w:rPr>
          <w:w w:val="105"/>
        </w:rPr>
        <w:t>key materials,</w:t>
      </w:r>
      <w:r>
        <w:rPr>
          <w:spacing w:val="-1"/>
          <w:w w:val="105"/>
        </w:rPr>
        <w:t> </w:t>
      </w:r>
      <w:r>
        <w:rPr>
          <w:w w:val="105"/>
        </w:rPr>
        <w:t>equipment</w:t>
      </w:r>
      <w:r>
        <w:rPr>
          <w:spacing w:val="-1"/>
          <w:w w:val="105"/>
        </w:rPr>
        <w:t> </w:t>
      </w:r>
      <w:r>
        <w:rPr>
          <w:w w:val="105"/>
        </w:rPr>
        <w:t>and</w:t>
      </w:r>
      <w:r>
        <w:rPr>
          <w:spacing w:val="-1"/>
          <w:w w:val="105"/>
        </w:rPr>
        <w:t> </w:t>
      </w:r>
      <w:r>
        <w:rPr>
          <w:w w:val="105"/>
        </w:rPr>
        <w:t>services</w:t>
      </w:r>
      <w:r>
        <w:rPr>
          <w:spacing w:val="-1"/>
          <w:w w:val="105"/>
        </w:rPr>
        <w:t> </w:t>
      </w:r>
      <w:r>
        <w:rPr>
          <w:w w:val="105"/>
        </w:rPr>
        <w:t>are</w:t>
      </w:r>
      <w:r>
        <w:rPr>
          <w:spacing w:val="-1"/>
          <w:w w:val="105"/>
        </w:rPr>
        <w:t> </w:t>
      </w:r>
      <w:r>
        <w:rPr>
          <w:w w:val="105"/>
        </w:rPr>
        <w:t>subject</w:t>
      </w:r>
      <w:r>
        <w:rPr>
          <w:spacing w:val="-1"/>
          <w:w w:val="105"/>
        </w:rPr>
        <w:t> </w:t>
      </w:r>
      <w:r>
        <w:rPr>
          <w:w w:val="105"/>
        </w:rPr>
        <w:t>to</w:t>
      </w:r>
      <w:r>
        <w:rPr>
          <w:spacing w:val="-1"/>
          <w:w w:val="105"/>
        </w:rPr>
        <w:t> </w:t>
      </w:r>
      <w:r>
        <w:rPr>
          <w:w w:val="105"/>
        </w:rPr>
        <w:t>long</w:t>
      </w:r>
      <w:r>
        <w:rPr>
          <w:spacing w:val="-1"/>
          <w:w w:val="105"/>
        </w:rPr>
        <w:t> </w:t>
      </w:r>
      <w:r>
        <w:rPr>
          <w:w w:val="105"/>
        </w:rPr>
        <w:t>lead-times</w:t>
      </w:r>
      <w:r>
        <w:rPr>
          <w:spacing w:val="-1"/>
          <w:w w:val="105"/>
        </w:rPr>
        <w:t> </w:t>
      </w:r>
      <w:r>
        <w:rPr>
          <w:w w:val="105"/>
        </w:rPr>
        <w:t>or</w:t>
      </w:r>
      <w:r>
        <w:rPr>
          <w:spacing w:val="-1"/>
          <w:w w:val="105"/>
        </w:rPr>
        <w:t> </w:t>
      </w:r>
      <w:r>
        <w:rPr>
          <w:w w:val="105"/>
        </w:rPr>
        <w:t>available</w:t>
      </w:r>
      <w:r>
        <w:rPr>
          <w:spacing w:val="-1"/>
          <w:w w:val="105"/>
        </w:rPr>
        <w:t> </w:t>
      </w:r>
      <w:r>
        <w:rPr>
          <w:w w:val="105"/>
        </w:rPr>
        <w:t>only</w:t>
      </w:r>
      <w:r>
        <w:rPr>
          <w:spacing w:val="-1"/>
          <w:w w:val="105"/>
        </w:rPr>
        <w:t> </w:t>
      </w:r>
      <w:r>
        <w:rPr>
          <w:w w:val="105"/>
        </w:rPr>
        <w:t>from</w:t>
      </w:r>
      <w:r>
        <w:rPr>
          <w:spacing w:val="-1"/>
          <w:w w:val="105"/>
        </w:rPr>
        <w:t> </w:t>
      </w:r>
      <w:r>
        <w:rPr>
          <w:w w:val="105"/>
        </w:rPr>
        <w:t>a</w:t>
      </w:r>
      <w:r>
        <w:rPr>
          <w:spacing w:val="-1"/>
          <w:w w:val="105"/>
        </w:rPr>
        <w:t> </w:t>
      </w:r>
      <w:r>
        <w:rPr>
          <w:w w:val="105"/>
        </w:rPr>
        <w:t>single</w:t>
      </w:r>
      <w:r>
        <w:rPr>
          <w:spacing w:val="-1"/>
          <w:w w:val="105"/>
        </w:rPr>
        <w:t> </w:t>
      </w:r>
      <w:r>
        <w:rPr>
          <w:w w:val="105"/>
        </w:rPr>
        <w:t>supplier</w:t>
      </w:r>
      <w:r>
        <w:rPr>
          <w:spacing w:val="-1"/>
          <w:w w:val="105"/>
        </w:rPr>
        <w:t> </w:t>
      </w:r>
      <w:r>
        <w:rPr>
          <w:w w:val="105"/>
        </w:rPr>
        <w:t>or</w:t>
      </w:r>
      <w:r>
        <w:rPr>
          <w:spacing w:val="-1"/>
          <w:w w:val="105"/>
        </w:rPr>
        <w:t> </w:t>
      </w:r>
      <w:r>
        <w:rPr>
          <w:w w:val="105"/>
        </w:rPr>
        <w:t>limited</w:t>
      </w:r>
      <w:r>
        <w:rPr>
          <w:spacing w:val="-1"/>
          <w:w w:val="105"/>
        </w:rPr>
        <w:t> </w:t>
      </w:r>
      <w:r>
        <w:rPr>
          <w:w w:val="105"/>
        </w:rPr>
        <w:t>group</w:t>
      </w:r>
      <w:r>
        <w:rPr>
          <w:spacing w:val="-1"/>
          <w:w w:val="105"/>
        </w:rPr>
        <w:t> </w:t>
      </w:r>
      <w:r>
        <w:rPr>
          <w:w w:val="105"/>
        </w:rPr>
        <w:t>of</w:t>
      </w:r>
      <w:r>
        <w:rPr>
          <w:spacing w:val="-1"/>
          <w:w w:val="105"/>
        </w:rPr>
        <w:t> </w:t>
      </w:r>
      <w:r>
        <w:rPr>
          <w:w w:val="105"/>
        </w:rPr>
        <w:t>suppliers.</w:t>
      </w:r>
      <w:r>
        <w:rPr>
          <w:spacing w:val="-1"/>
          <w:w w:val="105"/>
        </w:rPr>
        <w:t> </w:t>
      </w:r>
      <w:r>
        <w:rPr>
          <w:w w:val="105"/>
        </w:rPr>
        <w:t>Volatility</w:t>
      </w:r>
      <w:r>
        <w:rPr>
          <w:spacing w:val="-1"/>
          <w:w w:val="105"/>
        </w:rPr>
        <w:t> </w:t>
      </w:r>
      <w:r>
        <w:rPr>
          <w:w w:val="105"/>
        </w:rPr>
        <w:t>of</w:t>
      </w:r>
      <w:r>
        <w:rPr>
          <w:spacing w:val="-1"/>
          <w:w w:val="105"/>
        </w:rPr>
        <w:t> </w:t>
      </w:r>
      <w:r>
        <w:rPr>
          <w:w w:val="105"/>
        </w:rPr>
        <w:t>demand</w:t>
      </w:r>
      <w:r>
        <w:rPr>
          <w:spacing w:val="-1"/>
          <w:w w:val="105"/>
        </w:rPr>
        <w:t> </w:t>
      </w:r>
      <w:r>
        <w:rPr>
          <w:w w:val="105"/>
        </w:rPr>
        <w:t>for manufacturing</w:t>
      </w:r>
      <w:r>
        <w:rPr>
          <w:spacing w:val="-2"/>
          <w:w w:val="105"/>
        </w:rPr>
        <w:t> </w:t>
      </w:r>
      <w:r>
        <w:rPr>
          <w:w w:val="105"/>
        </w:rPr>
        <w:t>equipment</w:t>
      </w:r>
      <w:r>
        <w:rPr>
          <w:spacing w:val="-2"/>
          <w:w w:val="105"/>
        </w:rPr>
        <w:t> </w:t>
      </w:r>
      <w:r>
        <w:rPr>
          <w:w w:val="105"/>
        </w:rPr>
        <w:t>can</w:t>
      </w:r>
      <w:r>
        <w:rPr>
          <w:spacing w:val="-2"/>
          <w:w w:val="105"/>
        </w:rPr>
        <w:t> </w:t>
      </w:r>
      <w:r>
        <w:rPr>
          <w:w w:val="105"/>
        </w:rPr>
        <w:t>increase</w:t>
      </w:r>
      <w:r>
        <w:rPr>
          <w:spacing w:val="-2"/>
          <w:w w:val="105"/>
        </w:rPr>
        <w:t> </w:t>
      </w:r>
      <w:r>
        <w:rPr>
          <w:w w:val="105"/>
        </w:rPr>
        <w:t>capital,</w:t>
      </w:r>
      <w:r>
        <w:rPr>
          <w:spacing w:val="-2"/>
          <w:w w:val="105"/>
        </w:rPr>
        <w:t> </w:t>
      </w:r>
      <w:r>
        <w:rPr>
          <w:w w:val="105"/>
        </w:rPr>
        <w:t>technical,</w:t>
      </w:r>
      <w:r>
        <w:rPr>
          <w:spacing w:val="-2"/>
          <w:w w:val="105"/>
        </w:rPr>
        <w:t> </w:t>
      </w:r>
      <w:r>
        <w:rPr>
          <w:w w:val="105"/>
        </w:rPr>
        <w:t>operational</w:t>
      </w:r>
      <w:r>
        <w:rPr>
          <w:spacing w:val="-2"/>
          <w:w w:val="105"/>
        </w:rPr>
        <w:t> </w:t>
      </w:r>
      <w:r>
        <w:rPr>
          <w:w w:val="105"/>
        </w:rPr>
        <w:t>and</w:t>
      </w:r>
      <w:r>
        <w:rPr>
          <w:spacing w:val="-2"/>
          <w:w w:val="105"/>
        </w:rPr>
        <w:t> </w:t>
      </w:r>
      <w:r>
        <w:rPr>
          <w:w w:val="105"/>
        </w:rPr>
        <w:t>other</w:t>
      </w:r>
      <w:r>
        <w:rPr>
          <w:spacing w:val="-2"/>
          <w:w w:val="105"/>
        </w:rPr>
        <w:t> </w:t>
      </w:r>
      <w:r>
        <w:rPr>
          <w:w w:val="105"/>
        </w:rPr>
        <w:t>risks</w:t>
      </w:r>
      <w:r>
        <w:rPr>
          <w:spacing w:val="-2"/>
          <w:w w:val="105"/>
        </w:rPr>
        <w:t> </w:t>
      </w:r>
      <w:r>
        <w:rPr>
          <w:w w:val="105"/>
        </w:rPr>
        <w:t>for</w:t>
      </w:r>
      <w:r>
        <w:rPr>
          <w:spacing w:val="-2"/>
          <w:w w:val="105"/>
        </w:rPr>
        <w:t> </w:t>
      </w:r>
      <w:r>
        <w:rPr>
          <w:w w:val="105"/>
        </w:rPr>
        <w:t>Corning</w:t>
      </w:r>
      <w:r>
        <w:rPr>
          <w:spacing w:val="-2"/>
          <w:w w:val="105"/>
        </w:rPr>
        <w:t> </w:t>
      </w:r>
      <w:r>
        <w:rPr>
          <w:w w:val="105"/>
        </w:rPr>
        <w:t>and for</w:t>
      </w:r>
      <w:r>
        <w:rPr>
          <w:spacing w:val="-2"/>
          <w:w w:val="105"/>
        </w:rPr>
        <w:t> </w:t>
      </w:r>
      <w:r>
        <w:rPr>
          <w:w w:val="105"/>
        </w:rPr>
        <w:t>companies</w:t>
      </w:r>
      <w:r>
        <w:rPr>
          <w:spacing w:val="-2"/>
          <w:w w:val="105"/>
        </w:rPr>
        <w:t> </w:t>
      </w:r>
      <w:r>
        <w:rPr>
          <w:w w:val="105"/>
        </w:rPr>
        <w:t>throughout</w:t>
      </w:r>
      <w:r>
        <w:rPr>
          <w:spacing w:val="-2"/>
          <w:w w:val="105"/>
        </w:rPr>
        <w:t> </w:t>
      </w:r>
      <w:r>
        <w:rPr>
          <w:w w:val="105"/>
        </w:rPr>
        <w:t>our</w:t>
      </w:r>
      <w:r>
        <w:rPr>
          <w:spacing w:val="-2"/>
          <w:w w:val="105"/>
        </w:rPr>
        <w:t> </w:t>
      </w:r>
      <w:r>
        <w:rPr>
          <w:w w:val="105"/>
        </w:rPr>
        <w:t>supply</w:t>
      </w:r>
      <w:r>
        <w:rPr>
          <w:spacing w:val="-2"/>
          <w:w w:val="105"/>
        </w:rPr>
        <w:t> </w:t>
      </w:r>
      <w:r>
        <w:rPr>
          <w:w w:val="105"/>
        </w:rPr>
        <w:t>chain,</w:t>
      </w:r>
      <w:r>
        <w:rPr>
          <w:spacing w:val="-2"/>
          <w:w w:val="105"/>
        </w:rPr>
        <w:t> </w:t>
      </w:r>
      <w:r>
        <w:rPr>
          <w:w w:val="105"/>
        </w:rPr>
        <w:t>and</w:t>
      </w:r>
      <w:r>
        <w:rPr>
          <w:spacing w:val="-2"/>
          <w:w w:val="105"/>
        </w:rPr>
        <w:t> </w:t>
      </w:r>
      <w:r>
        <w:rPr>
          <w:w w:val="105"/>
        </w:rPr>
        <w:t>may</w:t>
      </w:r>
      <w:r>
        <w:rPr>
          <w:spacing w:val="-2"/>
          <w:w w:val="105"/>
        </w:rPr>
        <w:t> </w:t>
      </w:r>
      <w:r>
        <w:rPr>
          <w:w w:val="105"/>
        </w:rPr>
        <w:t>cause</w:t>
      </w:r>
      <w:r>
        <w:rPr>
          <w:spacing w:val="-2"/>
          <w:w w:val="105"/>
        </w:rPr>
        <w:t> </w:t>
      </w:r>
      <w:r>
        <w:rPr>
          <w:w w:val="105"/>
        </w:rPr>
        <w:t>some suppliers to exit businesses, or scale back or cease operations, which could impact our ability to meet customer demand.</w:t>
      </w:r>
    </w:p>
    <w:p>
      <w:pPr>
        <w:pStyle w:val="BodyText"/>
        <w:spacing w:before="16"/>
      </w:pPr>
    </w:p>
    <w:p>
      <w:pPr>
        <w:pStyle w:val="BodyText"/>
        <w:ind w:left="48"/>
        <w:jc w:val="center"/>
      </w:pPr>
      <w:r>
        <w:rPr>
          <w:spacing w:val="-5"/>
          <w:w w:val="105"/>
        </w:rPr>
        <w:t>14</w:t>
      </w:r>
    </w:p>
    <w:p>
      <w:pPr>
        <w:pStyle w:val="BodyText"/>
        <w:rPr>
          <w:sz w:val="6"/>
        </w:rPr>
      </w:pPr>
      <w:r>
        <w:rPr/>
        <mc:AlternateContent>
          <mc:Choice Requires="wps">
            <w:drawing>
              <wp:anchor distT="0" distB="0" distL="0" distR="0" allowOverlap="1" layoutInCell="1" locked="0" behindDoc="1" simplePos="0" relativeHeight="487596032">
                <wp:simplePos x="0" y="0"/>
                <wp:positionH relativeFrom="page">
                  <wp:posOffset>226488</wp:posOffset>
                </wp:positionH>
                <wp:positionV relativeFrom="paragraph">
                  <wp:posOffset>59051</wp:posOffset>
                </wp:positionV>
                <wp:extent cx="7312659" cy="1651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20448;mso-wrap-distance-left:0;mso-wrap-distance-right:0" id="docshape18"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BodyText"/>
        <w:spacing w:line="266" w:lineRule="auto"/>
        <w:ind w:left="156" w:right="117"/>
      </w:pPr>
      <w:r>
        <w:rPr>
          <w:w w:val="105"/>
        </w:rPr>
        <w:t>Our</w:t>
      </w:r>
      <w:r>
        <w:rPr>
          <w:spacing w:val="-1"/>
          <w:w w:val="105"/>
        </w:rPr>
        <w:t> </w:t>
      </w:r>
      <w:r>
        <w:rPr>
          <w:w w:val="105"/>
        </w:rPr>
        <w:t>ability</w:t>
      </w:r>
      <w:r>
        <w:rPr>
          <w:spacing w:val="-1"/>
          <w:w w:val="105"/>
        </w:rPr>
        <w:t> </w:t>
      </w:r>
      <w:r>
        <w:rPr>
          <w:w w:val="105"/>
        </w:rPr>
        <w:t>to</w:t>
      </w:r>
      <w:r>
        <w:rPr>
          <w:spacing w:val="-1"/>
          <w:w w:val="105"/>
        </w:rPr>
        <w:t> </w:t>
      </w:r>
      <w:r>
        <w:rPr>
          <w:w w:val="105"/>
        </w:rPr>
        <w:t>meet</w:t>
      </w:r>
      <w:r>
        <w:rPr>
          <w:spacing w:val="-1"/>
          <w:w w:val="105"/>
        </w:rPr>
        <w:t> </w:t>
      </w:r>
      <w:r>
        <w:rPr>
          <w:w w:val="105"/>
        </w:rPr>
        <w:t>customer</w:t>
      </w:r>
      <w:r>
        <w:rPr>
          <w:spacing w:val="-1"/>
          <w:w w:val="105"/>
        </w:rPr>
        <w:t> </w:t>
      </w:r>
      <w:r>
        <w:rPr>
          <w:w w:val="105"/>
        </w:rPr>
        <w:t>demand</w:t>
      </w:r>
      <w:r>
        <w:rPr>
          <w:spacing w:val="-1"/>
          <w:w w:val="105"/>
        </w:rPr>
        <w:t> </w:t>
      </w:r>
      <w:r>
        <w:rPr>
          <w:w w:val="105"/>
        </w:rPr>
        <w:t>depends,</w:t>
      </w:r>
      <w:r>
        <w:rPr>
          <w:spacing w:val="-1"/>
          <w:w w:val="105"/>
        </w:rPr>
        <w:t> </w:t>
      </w:r>
      <w:r>
        <w:rPr>
          <w:w w:val="105"/>
        </w:rPr>
        <w:t>in</w:t>
      </w:r>
      <w:r>
        <w:rPr>
          <w:spacing w:val="-1"/>
          <w:w w:val="105"/>
        </w:rPr>
        <w:t> </w:t>
      </w:r>
      <w:r>
        <w:rPr>
          <w:w w:val="105"/>
        </w:rPr>
        <w:t>part,</w:t>
      </w:r>
      <w:r>
        <w:rPr>
          <w:spacing w:val="-1"/>
          <w:w w:val="105"/>
        </w:rPr>
        <w:t> </w:t>
      </w:r>
      <w:r>
        <w:rPr>
          <w:w w:val="105"/>
        </w:rPr>
        <w:t>on</w:t>
      </w:r>
      <w:r>
        <w:rPr>
          <w:spacing w:val="-1"/>
          <w:w w:val="105"/>
        </w:rPr>
        <w:t> </w:t>
      </w:r>
      <w:r>
        <w:rPr>
          <w:w w:val="105"/>
        </w:rPr>
        <w:t>our ability</w:t>
      </w:r>
      <w:r>
        <w:rPr>
          <w:spacing w:val="-1"/>
          <w:w w:val="105"/>
        </w:rPr>
        <w:t> </w:t>
      </w:r>
      <w:r>
        <w:rPr>
          <w:w w:val="105"/>
        </w:rPr>
        <w:t>to</w:t>
      </w:r>
      <w:r>
        <w:rPr>
          <w:spacing w:val="-1"/>
          <w:w w:val="105"/>
        </w:rPr>
        <w:t> </w:t>
      </w:r>
      <w:r>
        <w:rPr>
          <w:w w:val="105"/>
        </w:rPr>
        <w:t>obtain</w:t>
      </w:r>
      <w:r>
        <w:rPr>
          <w:spacing w:val="-1"/>
          <w:w w:val="105"/>
        </w:rPr>
        <w:t> </w:t>
      </w:r>
      <w:r>
        <w:rPr>
          <w:w w:val="105"/>
        </w:rPr>
        <w:t>timely</w:t>
      </w:r>
      <w:r>
        <w:rPr>
          <w:spacing w:val="-1"/>
          <w:w w:val="105"/>
        </w:rPr>
        <w:t> </w:t>
      </w:r>
      <w:r>
        <w:rPr>
          <w:w w:val="105"/>
        </w:rPr>
        <w:t>and</w:t>
      </w:r>
      <w:r>
        <w:rPr>
          <w:spacing w:val="-1"/>
          <w:w w:val="105"/>
        </w:rPr>
        <w:t> </w:t>
      </w:r>
      <w:r>
        <w:rPr>
          <w:w w:val="105"/>
        </w:rPr>
        <w:t>adequate</w:t>
      </w:r>
      <w:r>
        <w:rPr>
          <w:spacing w:val="-1"/>
          <w:w w:val="105"/>
        </w:rPr>
        <w:t> </w:t>
      </w:r>
      <w:r>
        <w:rPr>
          <w:w w:val="105"/>
        </w:rPr>
        <w:t>delivery</w:t>
      </w:r>
      <w:r>
        <w:rPr>
          <w:spacing w:val="-1"/>
          <w:w w:val="105"/>
        </w:rPr>
        <w:t> </w:t>
      </w:r>
      <w:r>
        <w:rPr>
          <w:w w:val="105"/>
        </w:rPr>
        <w:t>of equipment,</w:t>
      </w:r>
      <w:r>
        <w:rPr>
          <w:spacing w:val="-1"/>
          <w:w w:val="105"/>
        </w:rPr>
        <w:t> </w:t>
      </w:r>
      <w:r>
        <w:rPr>
          <w:w w:val="105"/>
        </w:rPr>
        <w:t>raw</w:t>
      </w:r>
      <w:r>
        <w:rPr>
          <w:spacing w:val="-1"/>
          <w:w w:val="105"/>
        </w:rPr>
        <w:t> </w:t>
      </w:r>
      <w:r>
        <w:rPr>
          <w:w w:val="105"/>
        </w:rPr>
        <w:t>and</w:t>
      </w:r>
      <w:r>
        <w:rPr>
          <w:spacing w:val="-1"/>
          <w:w w:val="105"/>
        </w:rPr>
        <w:t> </w:t>
      </w:r>
      <w:r>
        <w:rPr>
          <w:w w:val="105"/>
        </w:rPr>
        <w:t>batch</w:t>
      </w:r>
      <w:r>
        <w:rPr>
          <w:spacing w:val="-1"/>
          <w:w w:val="105"/>
        </w:rPr>
        <w:t> </w:t>
      </w:r>
      <w:r>
        <w:rPr>
          <w:w w:val="105"/>
        </w:rPr>
        <w:t>materials,</w:t>
      </w:r>
      <w:r>
        <w:rPr>
          <w:spacing w:val="-1"/>
          <w:w w:val="105"/>
        </w:rPr>
        <w:t> </w:t>
      </w:r>
      <w:r>
        <w:rPr>
          <w:w w:val="105"/>
        </w:rPr>
        <w:t>natural</w:t>
      </w:r>
      <w:r>
        <w:rPr>
          <w:spacing w:val="-1"/>
          <w:w w:val="105"/>
        </w:rPr>
        <w:t> </w:t>
      </w:r>
      <w:r>
        <w:rPr>
          <w:w w:val="105"/>
        </w:rPr>
        <w:t>resources</w:t>
      </w:r>
      <w:r>
        <w:rPr>
          <w:spacing w:val="-1"/>
          <w:w w:val="105"/>
        </w:rPr>
        <w:t> </w:t>
      </w:r>
      <w:r>
        <w:rPr>
          <w:w w:val="105"/>
        </w:rPr>
        <w:t>or utilities,</w:t>
      </w:r>
      <w:r>
        <w:rPr>
          <w:spacing w:val="-10"/>
          <w:w w:val="105"/>
        </w:rPr>
        <w:t> </w:t>
      </w:r>
      <w:r>
        <w:rPr>
          <w:w w:val="105"/>
        </w:rPr>
        <w:t>equipment,</w:t>
      </w:r>
      <w:r>
        <w:rPr>
          <w:spacing w:val="-10"/>
          <w:w w:val="105"/>
        </w:rPr>
        <w:t> </w:t>
      </w:r>
      <w:r>
        <w:rPr>
          <w:w w:val="105"/>
        </w:rPr>
        <w:t>parts,</w:t>
      </w:r>
      <w:r>
        <w:rPr>
          <w:spacing w:val="-10"/>
          <w:w w:val="105"/>
        </w:rPr>
        <w:t> </w:t>
      </w:r>
      <w:r>
        <w:rPr>
          <w:w w:val="105"/>
        </w:rPr>
        <w:t>components</w:t>
      </w:r>
      <w:r>
        <w:rPr>
          <w:spacing w:val="-10"/>
          <w:w w:val="105"/>
        </w:rPr>
        <w:t> </w:t>
      </w:r>
      <w:r>
        <w:rPr>
          <w:w w:val="105"/>
        </w:rPr>
        <w:t>and</w:t>
      </w:r>
      <w:r>
        <w:rPr>
          <w:spacing w:val="-10"/>
          <w:w w:val="105"/>
        </w:rPr>
        <w:t> </w:t>
      </w:r>
      <w:r>
        <w:rPr>
          <w:w w:val="105"/>
        </w:rPr>
        <w:t>raw</w:t>
      </w:r>
      <w:r>
        <w:rPr>
          <w:spacing w:val="-10"/>
          <w:w w:val="105"/>
        </w:rPr>
        <w:t> </w:t>
      </w:r>
      <w:r>
        <w:rPr>
          <w:w w:val="105"/>
        </w:rPr>
        <w:t>materials</w:t>
      </w:r>
      <w:r>
        <w:rPr>
          <w:spacing w:val="-10"/>
          <w:w w:val="105"/>
        </w:rPr>
        <w:t> </w:t>
      </w:r>
      <w:r>
        <w:rPr>
          <w:w w:val="105"/>
        </w:rPr>
        <w:t>from</w:t>
      </w:r>
      <w:r>
        <w:rPr>
          <w:spacing w:val="-10"/>
          <w:w w:val="105"/>
        </w:rPr>
        <w:t> </w:t>
      </w:r>
      <w:r>
        <w:rPr>
          <w:w w:val="105"/>
        </w:rPr>
        <w:t>our</w:t>
      </w:r>
      <w:r>
        <w:rPr>
          <w:spacing w:val="-10"/>
          <w:w w:val="105"/>
        </w:rPr>
        <w:t> </w:t>
      </w:r>
      <w:r>
        <w:rPr>
          <w:w w:val="105"/>
        </w:rPr>
        <w:t>suppliers.</w:t>
      </w:r>
      <w:r>
        <w:rPr>
          <w:spacing w:val="-10"/>
          <w:w w:val="105"/>
        </w:rPr>
        <w:t> </w:t>
      </w:r>
      <w:r>
        <w:rPr>
          <w:w w:val="105"/>
        </w:rPr>
        <w:t>We</w:t>
      </w:r>
      <w:r>
        <w:rPr>
          <w:spacing w:val="-10"/>
          <w:w w:val="105"/>
        </w:rPr>
        <w:t> </w:t>
      </w:r>
      <w:r>
        <w:rPr>
          <w:w w:val="105"/>
        </w:rPr>
        <w:t>may</w:t>
      </w:r>
      <w:r>
        <w:rPr>
          <w:spacing w:val="-10"/>
          <w:w w:val="105"/>
        </w:rPr>
        <w:t> </w:t>
      </w:r>
      <w:r>
        <w:rPr>
          <w:w w:val="105"/>
        </w:rPr>
        <w:t>experience</w:t>
      </w:r>
      <w:r>
        <w:rPr>
          <w:spacing w:val="-10"/>
          <w:w w:val="105"/>
        </w:rPr>
        <w:t> </w:t>
      </w:r>
      <w:r>
        <w:rPr>
          <w:w w:val="105"/>
        </w:rPr>
        <w:t>shortages</w:t>
      </w:r>
      <w:r>
        <w:rPr>
          <w:spacing w:val="-10"/>
          <w:w w:val="105"/>
        </w:rPr>
        <w:t> </w:t>
      </w:r>
      <w:r>
        <w:rPr>
          <w:w w:val="105"/>
        </w:rPr>
        <w:t>that</w:t>
      </w:r>
      <w:r>
        <w:rPr>
          <w:spacing w:val="-10"/>
          <w:w w:val="105"/>
        </w:rPr>
        <w:t> </w:t>
      </w:r>
      <w:r>
        <w:rPr>
          <w:w w:val="105"/>
        </w:rPr>
        <w:t>could</w:t>
      </w:r>
      <w:r>
        <w:rPr>
          <w:spacing w:val="-10"/>
          <w:w w:val="105"/>
        </w:rPr>
        <w:t> </w:t>
      </w:r>
      <w:r>
        <w:rPr>
          <w:w w:val="105"/>
        </w:rPr>
        <w:t>adversely</w:t>
      </w:r>
      <w:r>
        <w:rPr>
          <w:spacing w:val="-10"/>
          <w:w w:val="105"/>
        </w:rPr>
        <w:t> </w:t>
      </w:r>
      <w:r>
        <w:rPr>
          <w:w w:val="105"/>
        </w:rPr>
        <w:t>affect</w:t>
      </w:r>
      <w:r>
        <w:rPr>
          <w:spacing w:val="-10"/>
          <w:w w:val="105"/>
        </w:rPr>
        <w:t> </w:t>
      </w:r>
      <w:r>
        <w:rPr>
          <w:w w:val="105"/>
        </w:rPr>
        <w:t>our</w:t>
      </w:r>
      <w:r>
        <w:rPr>
          <w:spacing w:val="-10"/>
          <w:w w:val="105"/>
        </w:rPr>
        <w:t> </w:t>
      </w:r>
      <w:r>
        <w:rPr>
          <w:w w:val="105"/>
        </w:rPr>
        <w:t>operations.</w:t>
      </w:r>
      <w:r>
        <w:rPr>
          <w:spacing w:val="-10"/>
          <w:w w:val="105"/>
        </w:rPr>
        <w:t> </w:t>
      </w:r>
      <w:r>
        <w:rPr>
          <w:w w:val="105"/>
        </w:rPr>
        <w:t>Certain</w:t>
      </w:r>
      <w:r>
        <w:rPr>
          <w:spacing w:val="-10"/>
          <w:w w:val="105"/>
        </w:rPr>
        <w:t> </w:t>
      </w:r>
      <w:r>
        <w:rPr>
          <w:w w:val="105"/>
        </w:rPr>
        <w:t>manufacturing equipment,</w:t>
      </w:r>
      <w:r>
        <w:rPr>
          <w:spacing w:val="-2"/>
          <w:w w:val="105"/>
        </w:rPr>
        <w:t> </w:t>
      </w:r>
      <w:r>
        <w:rPr>
          <w:w w:val="105"/>
        </w:rPr>
        <w:t>components</w:t>
      </w:r>
      <w:r>
        <w:rPr>
          <w:spacing w:val="-2"/>
          <w:w w:val="105"/>
        </w:rPr>
        <w:t> </w:t>
      </w:r>
      <w:r>
        <w:rPr>
          <w:w w:val="105"/>
        </w:rPr>
        <w:t>and</w:t>
      </w:r>
      <w:r>
        <w:rPr>
          <w:spacing w:val="-2"/>
          <w:w w:val="105"/>
        </w:rPr>
        <w:t> </w:t>
      </w:r>
      <w:r>
        <w:rPr>
          <w:w w:val="105"/>
        </w:rPr>
        <w:t>raw</w:t>
      </w:r>
      <w:r>
        <w:rPr>
          <w:spacing w:val="-2"/>
          <w:w w:val="105"/>
        </w:rPr>
        <w:t> </w:t>
      </w:r>
      <w:r>
        <w:rPr>
          <w:w w:val="105"/>
        </w:rPr>
        <w:t>materials</w:t>
      </w:r>
      <w:r>
        <w:rPr>
          <w:spacing w:val="-2"/>
          <w:w w:val="105"/>
        </w:rPr>
        <w:t> </w:t>
      </w:r>
      <w:r>
        <w:rPr>
          <w:w w:val="105"/>
        </w:rPr>
        <w:t>are</w:t>
      </w:r>
      <w:r>
        <w:rPr>
          <w:spacing w:val="-2"/>
          <w:w w:val="105"/>
        </w:rPr>
        <w:t> </w:t>
      </w:r>
      <w:r>
        <w:rPr>
          <w:w w:val="105"/>
        </w:rPr>
        <w:t>available</w:t>
      </w:r>
      <w:r>
        <w:rPr>
          <w:spacing w:val="-2"/>
          <w:w w:val="105"/>
        </w:rPr>
        <w:t> </w:t>
      </w:r>
      <w:r>
        <w:rPr>
          <w:w w:val="105"/>
        </w:rPr>
        <w:t>only</w:t>
      </w:r>
      <w:r>
        <w:rPr>
          <w:spacing w:val="-2"/>
          <w:w w:val="105"/>
        </w:rPr>
        <w:t> </w:t>
      </w:r>
      <w:r>
        <w:rPr>
          <w:w w:val="105"/>
        </w:rPr>
        <w:t>from</w:t>
      </w:r>
      <w:r>
        <w:rPr>
          <w:spacing w:val="-2"/>
          <w:w w:val="105"/>
        </w:rPr>
        <w:t> </w:t>
      </w:r>
      <w:r>
        <w:rPr>
          <w:w w:val="105"/>
        </w:rPr>
        <w:t>single</w:t>
      </w:r>
      <w:r>
        <w:rPr>
          <w:spacing w:val="-2"/>
          <w:w w:val="105"/>
        </w:rPr>
        <w:t> </w:t>
      </w:r>
      <w:r>
        <w:rPr>
          <w:w w:val="105"/>
        </w:rPr>
        <w:t>or</w:t>
      </w:r>
      <w:r>
        <w:rPr>
          <w:spacing w:val="-2"/>
          <w:w w:val="105"/>
        </w:rPr>
        <w:t> </w:t>
      </w:r>
      <w:r>
        <w:rPr>
          <w:w w:val="105"/>
        </w:rPr>
        <w:t>limited</w:t>
      </w:r>
      <w:r>
        <w:rPr>
          <w:spacing w:val="-2"/>
          <w:w w:val="105"/>
        </w:rPr>
        <w:t> </w:t>
      </w:r>
      <w:r>
        <w:rPr>
          <w:w w:val="105"/>
        </w:rPr>
        <w:t>sources,</w:t>
      </w:r>
      <w:r>
        <w:rPr>
          <w:spacing w:val="-2"/>
          <w:w w:val="105"/>
        </w:rPr>
        <w:t> </w:t>
      </w:r>
      <w:r>
        <w:rPr>
          <w:w w:val="105"/>
        </w:rPr>
        <w:t>and</w:t>
      </w:r>
      <w:r>
        <w:rPr>
          <w:spacing w:val="-2"/>
          <w:w w:val="105"/>
        </w:rPr>
        <w:t> </w:t>
      </w:r>
      <w:r>
        <w:rPr>
          <w:w w:val="105"/>
        </w:rPr>
        <w:t>we</w:t>
      </w:r>
      <w:r>
        <w:rPr>
          <w:spacing w:val="-2"/>
          <w:w w:val="105"/>
        </w:rPr>
        <w:t> </w:t>
      </w:r>
      <w:r>
        <w:rPr>
          <w:w w:val="105"/>
        </w:rPr>
        <w:t>may</w:t>
      </w:r>
      <w:r>
        <w:rPr>
          <w:spacing w:val="-2"/>
          <w:w w:val="105"/>
        </w:rPr>
        <w:t> </w:t>
      </w:r>
      <w:r>
        <w:rPr>
          <w:w w:val="105"/>
        </w:rPr>
        <w:t>not</w:t>
      </w:r>
      <w:r>
        <w:rPr>
          <w:spacing w:val="-2"/>
          <w:w w:val="105"/>
        </w:rPr>
        <w:t> </w:t>
      </w:r>
      <w:r>
        <w:rPr>
          <w:w w:val="105"/>
        </w:rPr>
        <w:t>be able</w:t>
      </w:r>
      <w:r>
        <w:rPr>
          <w:spacing w:val="-2"/>
          <w:w w:val="105"/>
        </w:rPr>
        <w:t> </w:t>
      </w:r>
      <w:r>
        <w:rPr>
          <w:w w:val="105"/>
        </w:rPr>
        <w:t>to</w:t>
      </w:r>
      <w:r>
        <w:rPr>
          <w:spacing w:val="-2"/>
          <w:w w:val="105"/>
        </w:rPr>
        <w:t> </w:t>
      </w:r>
      <w:r>
        <w:rPr>
          <w:w w:val="105"/>
        </w:rPr>
        <w:t>find</w:t>
      </w:r>
      <w:r>
        <w:rPr>
          <w:spacing w:val="-2"/>
          <w:w w:val="105"/>
        </w:rPr>
        <w:t> </w:t>
      </w:r>
      <w:r>
        <w:rPr>
          <w:w w:val="105"/>
        </w:rPr>
        <w:t>alternate</w:t>
      </w:r>
      <w:r>
        <w:rPr>
          <w:spacing w:val="-2"/>
          <w:w w:val="105"/>
        </w:rPr>
        <w:t> </w:t>
      </w:r>
      <w:r>
        <w:rPr>
          <w:w w:val="105"/>
        </w:rPr>
        <w:t>sources</w:t>
      </w:r>
      <w:r>
        <w:rPr>
          <w:spacing w:val="-2"/>
          <w:w w:val="105"/>
        </w:rPr>
        <w:t> </w:t>
      </w:r>
      <w:r>
        <w:rPr>
          <w:w w:val="105"/>
        </w:rPr>
        <w:t>in</w:t>
      </w:r>
      <w:r>
        <w:rPr>
          <w:spacing w:val="-2"/>
          <w:w w:val="105"/>
        </w:rPr>
        <w:t> </w:t>
      </w:r>
      <w:r>
        <w:rPr>
          <w:w w:val="105"/>
        </w:rPr>
        <w:t>a</w:t>
      </w:r>
      <w:r>
        <w:rPr>
          <w:spacing w:val="-2"/>
          <w:w w:val="105"/>
        </w:rPr>
        <w:t> </w:t>
      </w:r>
      <w:r>
        <w:rPr>
          <w:w w:val="105"/>
        </w:rPr>
        <w:t>timely</w:t>
      </w:r>
      <w:r>
        <w:rPr>
          <w:spacing w:val="-2"/>
          <w:w w:val="105"/>
        </w:rPr>
        <w:t> </w:t>
      </w:r>
      <w:r>
        <w:rPr>
          <w:w w:val="105"/>
        </w:rPr>
        <w:t>manner.</w:t>
      </w:r>
      <w:r>
        <w:rPr>
          <w:spacing w:val="-2"/>
          <w:w w:val="105"/>
        </w:rPr>
        <w:t> </w:t>
      </w:r>
      <w:r>
        <w:rPr>
          <w:w w:val="105"/>
        </w:rPr>
        <w:t>A</w:t>
      </w:r>
      <w:r>
        <w:rPr>
          <w:w w:val="105"/>
        </w:rPr>
        <w:t> reduction,</w:t>
      </w:r>
      <w:r>
        <w:rPr>
          <w:spacing w:val="-2"/>
          <w:w w:val="105"/>
        </w:rPr>
        <w:t> </w:t>
      </w:r>
      <w:r>
        <w:rPr>
          <w:w w:val="105"/>
        </w:rPr>
        <w:t>interruption</w:t>
      </w:r>
      <w:r>
        <w:rPr>
          <w:spacing w:val="-2"/>
          <w:w w:val="105"/>
        </w:rPr>
        <w:t> </w:t>
      </w:r>
      <w:r>
        <w:rPr>
          <w:w w:val="105"/>
        </w:rPr>
        <w:t>or</w:t>
      </w:r>
      <w:r>
        <w:rPr>
          <w:spacing w:val="-2"/>
          <w:w w:val="105"/>
        </w:rPr>
        <w:t> </w:t>
      </w:r>
      <w:r>
        <w:rPr>
          <w:w w:val="105"/>
        </w:rPr>
        <w:t>delay</w:t>
      </w:r>
      <w:r>
        <w:rPr>
          <w:spacing w:val="-2"/>
          <w:w w:val="105"/>
        </w:rPr>
        <w:t> </w:t>
      </w:r>
      <w:r>
        <w:rPr>
          <w:w w:val="105"/>
        </w:rPr>
        <w:t>of</w:t>
      </w:r>
      <w:r>
        <w:rPr>
          <w:spacing w:val="-2"/>
          <w:w w:val="105"/>
        </w:rPr>
        <w:t> </w:t>
      </w:r>
      <w:r>
        <w:rPr>
          <w:w w:val="105"/>
        </w:rPr>
        <w:t>supply,</w:t>
      </w:r>
      <w:r>
        <w:rPr>
          <w:spacing w:val="-2"/>
          <w:w w:val="105"/>
        </w:rPr>
        <w:t> </w:t>
      </w:r>
      <w:r>
        <w:rPr>
          <w:w w:val="105"/>
        </w:rPr>
        <w:t>or</w:t>
      </w:r>
      <w:r>
        <w:rPr>
          <w:spacing w:val="-2"/>
          <w:w w:val="105"/>
        </w:rPr>
        <w:t> </w:t>
      </w:r>
      <w:r>
        <w:rPr>
          <w:w w:val="105"/>
        </w:rPr>
        <w:t>a</w:t>
      </w:r>
      <w:r>
        <w:rPr>
          <w:spacing w:val="-2"/>
          <w:w w:val="105"/>
        </w:rPr>
        <w:t> </w:t>
      </w:r>
      <w:r>
        <w:rPr>
          <w:w w:val="105"/>
        </w:rPr>
        <w:t>significant</w:t>
      </w:r>
      <w:r>
        <w:rPr>
          <w:spacing w:val="-2"/>
          <w:w w:val="105"/>
        </w:rPr>
        <w:t> </w:t>
      </w:r>
      <w:r>
        <w:rPr>
          <w:w w:val="105"/>
        </w:rPr>
        <w:t>increase</w:t>
      </w:r>
      <w:r>
        <w:rPr>
          <w:spacing w:val="-2"/>
          <w:w w:val="105"/>
        </w:rPr>
        <w:t> </w:t>
      </w:r>
      <w:r>
        <w:rPr>
          <w:w w:val="105"/>
        </w:rPr>
        <w:t>in</w:t>
      </w:r>
      <w:r>
        <w:rPr>
          <w:spacing w:val="-2"/>
          <w:w w:val="105"/>
        </w:rPr>
        <w:t> </w:t>
      </w:r>
      <w:r>
        <w:rPr>
          <w:w w:val="105"/>
        </w:rPr>
        <w:t>the</w:t>
      </w:r>
      <w:r>
        <w:rPr>
          <w:spacing w:val="-2"/>
          <w:w w:val="105"/>
        </w:rPr>
        <w:t> </w:t>
      </w:r>
      <w:r>
        <w:rPr>
          <w:w w:val="105"/>
        </w:rPr>
        <w:t>price</w:t>
      </w:r>
      <w:r>
        <w:rPr>
          <w:spacing w:val="-2"/>
          <w:w w:val="105"/>
        </w:rPr>
        <w:t> </w:t>
      </w:r>
      <w:r>
        <w:rPr>
          <w:w w:val="105"/>
        </w:rPr>
        <w:t>for</w:t>
      </w:r>
      <w:r>
        <w:rPr>
          <w:spacing w:val="-2"/>
          <w:w w:val="105"/>
        </w:rPr>
        <w:t> </w:t>
      </w:r>
      <w:r>
        <w:rPr>
          <w:w w:val="105"/>
        </w:rPr>
        <w:t>supplies,</w:t>
      </w:r>
      <w:r>
        <w:rPr>
          <w:spacing w:val="-2"/>
          <w:w w:val="105"/>
        </w:rPr>
        <w:t> </w:t>
      </w:r>
      <w:r>
        <w:rPr>
          <w:w w:val="105"/>
        </w:rPr>
        <w:t>such</w:t>
      </w:r>
      <w:r>
        <w:rPr>
          <w:spacing w:val="-2"/>
          <w:w w:val="105"/>
        </w:rPr>
        <w:t> </w:t>
      </w:r>
      <w:r>
        <w:rPr>
          <w:w w:val="105"/>
        </w:rPr>
        <w:t>as</w:t>
      </w:r>
      <w:r>
        <w:rPr>
          <w:spacing w:val="-2"/>
          <w:w w:val="105"/>
        </w:rPr>
        <w:t> </w:t>
      </w:r>
      <w:r>
        <w:rPr>
          <w:w w:val="105"/>
        </w:rPr>
        <w:t>manufacturing</w:t>
      </w:r>
      <w:r>
        <w:rPr>
          <w:spacing w:val="-2"/>
          <w:w w:val="105"/>
        </w:rPr>
        <w:t> </w:t>
      </w:r>
      <w:r>
        <w:rPr>
          <w:w w:val="105"/>
        </w:rPr>
        <w:t>equipment,</w:t>
      </w:r>
      <w:r>
        <w:rPr>
          <w:spacing w:val="-2"/>
          <w:w w:val="105"/>
        </w:rPr>
        <w:t> </w:t>
      </w:r>
      <w:r>
        <w:rPr>
          <w:w w:val="105"/>
        </w:rPr>
        <w:t>precious metals,</w:t>
      </w:r>
      <w:r>
        <w:rPr>
          <w:spacing w:val="-2"/>
          <w:w w:val="105"/>
        </w:rPr>
        <w:t> </w:t>
      </w:r>
      <w:r>
        <w:rPr>
          <w:w w:val="105"/>
        </w:rPr>
        <w:t>raw</w:t>
      </w:r>
      <w:r>
        <w:rPr>
          <w:spacing w:val="-2"/>
          <w:w w:val="105"/>
        </w:rPr>
        <w:t> </w:t>
      </w:r>
      <w:r>
        <w:rPr>
          <w:w w:val="105"/>
        </w:rPr>
        <w:t>materials,</w:t>
      </w:r>
      <w:r>
        <w:rPr>
          <w:spacing w:val="-2"/>
          <w:w w:val="105"/>
        </w:rPr>
        <w:t> </w:t>
      </w:r>
      <w:r>
        <w:rPr>
          <w:w w:val="105"/>
        </w:rPr>
        <w:t>utilities including energy and industrial water, could have a material adverse effect on our business.</w:t>
      </w:r>
    </w:p>
    <w:p>
      <w:pPr>
        <w:pStyle w:val="BodyText"/>
        <w:spacing w:before="18"/>
      </w:pPr>
    </w:p>
    <w:p>
      <w:pPr>
        <w:pStyle w:val="BodyText"/>
        <w:spacing w:line="266" w:lineRule="auto"/>
        <w:ind w:left="156"/>
      </w:pPr>
      <w:r>
        <w:rPr>
          <w:w w:val="105"/>
        </w:rPr>
        <w:t>Corning</w:t>
      </w:r>
      <w:r>
        <w:rPr>
          <w:spacing w:val="-9"/>
          <w:w w:val="105"/>
        </w:rPr>
        <w:t> </w:t>
      </w:r>
      <w:r>
        <w:rPr>
          <w:w w:val="105"/>
        </w:rPr>
        <w:t>may</w:t>
      </w:r>
      <w:r>
        <w:rPr>
          <w:spacing w:val="-9"/>
          <w:w w:val="105"/>
        </w:rPr>
        <w:t> </w:t>
      </w:r>
      <w:r>
        <w:rPr>
          <w:w w:val="105"/>
        </w:rPr>
        <w:t>also</w:t>
      </w:r>
      <w:r>
        <w:rPr>
          <w:spacing w:val="-9"/>
          <w:w w:val="105"/>
        </w:rPr>
        <w:t> </w:t>
      </w:r>
      <w:r>
        <w:rPr>
          <w:w w:val="105"/>
        </w:rPr>
        <w:t>experience</w:t>
      </w:r>
      <w:r>
        <w:rPr>
          <w:spacing w:val="-9"/>
          <w:w w:val="105"/>
        </w:rPr>
        <w:t> </w:t>
      </w:r>
      <w:r>
        <w:rPr>
          <w:w w:val="105"/>
        </w:rPr>
        <w:t>significant</w:t>
      </w:r>
      <w:r>
        <w:rPr>
          <w:spacing w:val="-9"/>
          <w:w w:val="105"/>
        </w:rPr>
        <w:t> </w:t>
      </w:r>
      <w:r>
        <w:rPr>
          <w:w w:val="105"/>
        </w:rPr>
        <w:t>interruptions</w:t>
      </w:r>
      <w:r>
        <w:rPr>
          <w:spacing w:val="-9"/>
          <w:w w:val="105"/>
        </w:rPr>
        <w:t> </w:t>
      </w:r>
      <w:r>
        <w:rPr>
          <w:w w:val="105"/>
        </w:rPr>
        <w:t>of</w:t>
      </w:r>
      <w:r>
        <w:rPr>
          <w:spacing w:val="-9"/>
          <w:w w:val="105"/>
        </w:rPr>
        <w:t> </w:t>
      </w:r>
      <w:r>
        <w:rPr>
          <w:w w:val="105"/>
        </w:rPr>
        <w:t>its</w:t>
      </w:r>
      <w:r>
        <w:rPr>
          <w:spacing w:val="-9"/>
          <w:w w:val="105"/>
        </w:rPr>
        <w:t> </w:t>
      </w:r>
      <w:r>
        <w:rPr>
          <w:w w:val="105"/>
        </w:rPr>
        <w:t>manufacturing</w:t>
      </w:r>
      <w:r>
        <w:rPr>
          <w:spacing w:val="-9"/>
          <w:w w:val="105"/>
        </w:rPr>
        <w:t> </w:t>
      </w:r>
      <w:r>
        <w:rPr>
          <w:w w:val="105"/>
        </w:rPr>
        <w:t>operations,</w:t>
      </w:r>
      <w:r>
        <w:rPr>
          <w:spacing w:val="-9"/>
          <w:w w:val="105"/>
        </w:rPr>
        <w:t> </w:t>
      </w:r>
      <w:r>
        <w:rPr>
          <w:w w:val="105"/>
        </w:rPr>
        <w:t>delays</w:t>
      </w:r>
      <w:r>
        <w:rPr>
          <w:spacing w:val="-9"/>
          <w:w w:val="105"/>
        </w:rPr>
        <w:t> </w:t>
      </w:r>
      <w:r>
        <w:rPr>
          <w:w w:val="105"/>
        </w:rPr>
        <w:t>in</w:t>
      </w:r>
      <w:r>
        <w:rPr>
          <w:spacing w:val="-9"/>
          <w:w w:val="105"/>
        </w:rPr>
        <w:t> </w:t>
      </w:r>
      <w:r>
        <w:rPr>
          <w:w w:val="105"/>
        </w:rPr>
        <w:t>its</w:t>
      </w:r>
      <w:r>
        <w:rPr>
          <w:spacing w:val="-9"/>
          <w:w w:val="105"/>
        </w:rPr>
        <w:t> </w:t>
      </w:r>
      <w:r>
        <w:rPr>
          <w:w w:val="105"/>
        </w:rPr>
        <w:t>ability</w:t>
      </w:r>
      <w:r>
        <w:rPr>
          <w:spacing w:val="-9"/>
          <w:w w:val="105"/>
        </w:rPr>
        <w:t> </w:t>
      </w:r>
      <w:r>
        <w:rPr>
          <w:w w:val="105"/>
        </w:rPr>
        <w:t>to</w:t>
      </w:r>
      <w:r>
        <w:rPr>
          <w:spacing w:val="-9"/>
          <w:w w:val="105"/>
        </w:rPr>
        <w:t> </w:t>
      </w:r>
      <w:r>
        <w:rPr>
          <w:w w:val="105"/>
        </w:rPr>
        <w:t>deliver</w:t>
      </w:r>
      <w:r>
        <w:rPr>
          <w:spacing w:val="-9"/>
          <w:w w:val="105"/>
        </w:rPr>
        <w:t> </w:t>
      </w:r>
      <w:r>
        <w:rPr>
          <w:w w:val="105"/>
        </w:rPr>
        <w:t>products</w:t>
      </w:r>
      <w:r>
        <w:rPr>
          <w:spacing w:val="-9"/>
          <w:w w:val="105"/>
        </w:rPr>
        <w:t> </w:t>
      </w:r>
      <w:r>
        <w:rPr>
          <w:w w:val="105"/>
        </w:rPr>
        <w:t>or</w:t>
      </w:r>
      <w:r>
        <w:rPr>
          <w:spacing w:val="-9"/>
          <w:w w:val="105"/>
        </w:rPr>
        <w:t> </w:t>
      </w:r>
      <w:r>
        <w:rPr>
          <w:w w:val="105"/>
        </w:rPr>
        <w:t>services,</w:t>
      </w:r>
      <w:r>
        <w:rPr>
          <w:spacing w:val="-9"/>
          <w:w w:val="105"/>
        </w:rPr>
        <w:t> </w:t>
      </w:r>
      <w:r>
        <w:rPr>
          <w:w w:val="105"/>
        </w:rPr>
        <w:t>increased</w:t>
      </w:r>
      <w:r>
        <w:rPr>
          <w:spacing w:val="-9"/>
          <w:w w:val="105"/>
        </w:rPr>
        <w:t> </w:t>
      </w:r>
      <w:r>
        <w:rPr>
          <w:w w:val="105"/>
        </w:rPr>
        <w:t>costs</w:t>
      </w:r>
      <w:r>
        <w:rPr>
          <w:spacing w:val="-9"/>
          <w:w w:val="105"/>
        </w:rPr>
        <w:t> </w:t>
      </w:r>
      <w:r>
        <w:rPr>
          <w:w w:val="105"/>
        </w:rPr>
        <w:t>or</w:t>
      </w:r>
      <w:r>
        <w:rPr>
          <w:spacing w:val="-7"/>
          <w:w w:val="105"/>
        </w:rPr>
        <w:t> </w:t>
      </w:r>
      <w:r>
        <w:rPr>
          <w:w w:val="105"/>
        </w:rPr>
        <w:t>customer</w:t>
      </w:r>
      <w:r>
        <w:rPr>
          <w:spacing w:val="-9"/>
          <w:w w:val="105"/>
        </w:rPr>
        <w:t> </w:t>
      </w:r>
      <w:r>
        <w:rPr>
          <w:w w:val="105"/>
        </w:rPr>
        <w:t>order cancellations as a result of:</w:t>
      </w:r>
    </w:p>
    <w:p>
      <w:pPr>
        <w:pStyle w:val="BodyText"/>
        <w:spacing w:before="19"/>
      </w:pPr>
    </w:p>
    <w:p>
      <w:pPr>
        <w:pStyle w:val="ListParagraph"/>
        <w:numPr>
          <w:ilvl w:val="0"/>
          <w:numId w:val="4"/>
        </w:numPr>
        <w:tabs>
          <w:tab w:pos="462" w:val="left" w:leader="none"/>
        </w:tabs>
        <w:spacing w:line="240" w:lineRule="auto" w:before="0" w:after="0"/>
        <w:ind w:left="462" w:right="0" w:hanging="306"/>
        <w:jc w:val="left"/>
        <w:rPr>
          <w:sz w:val="16"/>
        </w:rPr>
      </w:pPr>
      <w:r>
        <w:rPr>
          <w:w w:val="105"/>
          <w:sz w:val="16"/>
        </w:rPr>
        <w:t>The</w:t>
      </w:r>
      <w:r>
        <w:rPr>
          <w:spacing w:val="-11"/>
          <w:w w:val="105"/>
          <w:sz w:val="16"/>
        </w:rPr>
        <w:t> </w:t>
      </w:r>
      <w:r>
        <w:rPr>
          <w:w w:val="105"/>
          <w:sz w:val="16"/>
        </w:rPr>
        <w:t>failure</w:t>
      </w:r>
      <w:r>
        <w:rPr>
          <w:spacing w:val="-10"/>
          <w:w w:val="105"/>
          <w:sz w:val="16"/>
        </w:rPr>
        <w:t> </w:t>
      </w:r>
      <w:r>
        <w:rPr>
          <w:w w:val="105"/>
          <w:sz w:val="16"/>
        </w:rPr>
        <w:t>or</w:t>
      </w:r>
      <w:r>
        <w:rPr>
          <w:spacing w:val="-10"/>
          <w:w w:val="105"/>
          <w:sz w:val="16"/>
        </w:rPr>
        <w:t> </w:t>
      </w:r>
      <w:r>
        <w:rPr>
          <w:w w:val="105"/>
          <w:sz w:val="16"/>
        </w:rPr>
        <w:t>inability</w:t>
      </w:r>
      <w:r>
        <w:rPr>
          <w:spacing w:val="-9"/>
          <w:w w:val="105"/>
          <w:sz w:val="16"/>
        </w:rPr>
        <w:t> </w:t>
      </w:r>
      <w:r>
        <w:rPr>
          <w:w w:val="105"/>
          <w:sz w:val="16"/>
        </w:rPr>
        <w:t>to</w:t>
      </w:r>
      <w:r>
        <w:rPr>
          <w:spacing w:val="-11"/>
          <w:w w:val="105"/>
          <w:sz w:val="16"/>
        </w:rPr>
        <w:t> </w:t>
      </w:r>
      <w:r>
        <w:rPr>
          <w:w w:val="105"/>
          <w:sz w:val="16"/>
        </w:rPr>
        <w:t>accurately</w:t>
      </w:r>
      <w:r>
        <w:rPr>
          <w:spacing w:val="-9"/>
          <w:w w:val="105"/>
          <w:sz w:val="16"/>
        </w:rPr>
        <w:t> </w:t>
      </w:r>
      <w:r>
        <w:rPr>
          <w:w w:val="105"/>
          <w:sz w:val="16"/>
        </w:rPr>
        <w:t>forecast</w:t>
      </w:r>
      <w:r>
        <w:rPr>
          <w:spacing w:val="-10"/>
          <w:w w:val="105"/>
          <w:sz w:val="16"/>
        </w:rPr>
        <w:t> </w:t>
      </w:r>
      <w:r>
        <w:rPr>
          <w:w w:val="105"/>
          <w:sz w:val="16"/>
        </w:rPr>
        <w:t>demand</w:t>
      </w:r>
      <w:r>
        <w:rPr>
          <w:spacing w:val="-9"/>
          <w:w w:val="105"/>
          <w:sz w:val="16"/>
        </w:rPr>
        <w:t> </w:t>
      </w:r>
      <w:r>
        <w:rPr>
          <w:w w:val="105"/>
          <w:sz w:val="16"/>
        </w:rPr>
        <w:t>and</w:t>
      </w:r>
      <w:r>
        <w:rPr>
          <w:spacing w:val="-10"/>
          <w:w w:val="105"/>
          <w:sz w:val="16"/>
        </w:rPr>
        <w:t> </w:t>
      </w:r>
      <w:r>
        <w:rPr>
          <w:w w:val="105"/>
          <w:sz w:val="16"/>
        </w:rPr>
        <w:t>obtain</w:t>
      </w:r>
      <w:r>
        <w:rPr>
          <w:spacing w:val="-10"/>
          <w:w w:val="105"/>
          <w:sz w:val="16"/>
        </w:rPr>
        <w:t> </w:t>
      </w:r>
      <w:r>
        <w:rPr>
          <w:w w:val="105"/>
          <w:sz w:val="16"/>
        </w:rPr>
        <w:t>sufficient</w:t>
      </w:r>
      <w:r>
        <w:rPr>
          <w:spacing w:val="-9"/>
          <w:w w:val="105"/>
          <w:sz w:val="16"/>
        </w:rPr>
        <w:t> </w:t>
      </w:r>
      <w:r>
        <w:rPr>
          <w:w w:val="105"/>
          <w:sz w:val="16"/>
        </w:rPr>
        <w:t>quantities</w:t>
      </w:r>
      <w:r>
        <w:rPr>
          <w:spacing w:val="-11"/>
          <w:w w:val="105"/>
          <w:sz w:val="16"/>
        </w:rPr>
        <w:t> </w:t>
      </w:r>
      <w:r>
        <w:rPr>
          <w:w w:val="105"/>
          <w:sz w:val="16"/>
        </w:rPr>
        <w:t>of</w:t>
      </w:r>
      <w:r>
        <w:rPr>
          <w:spacing w:val="-9"/>
          <w:w w:val="105"/>
          <w:sz w:val="16"/>
        </w:rPr>
        <w:t> </w:t>
      </w:r>
      <w:r>
        <w:rPr>
          <w:w w:val="105"/>
          <w:sz w:val="16"/>
        </w:rPr>
        <w:t>materials,</w:t>
      </w:r>
      <w:r>
        <w:rPr>
          <w:spacing w:val="-9"/>
          <w:w w:val="105"/>
          <w:sz w:val="16"/>
        </w:rPr>
        <w:t> </w:t>
      </w:r>
      <w:r>
        <w:rPr>
          <w:w w:val="105"/>
          <w:sz w:val="16"/>
        </w:rPr>
        <w:t>equipment</w:t>
      </w:r>
      <w:r>
        <w:rPr>
          <w:spacing w:val="-10"/>
          <w:w w:val="105"/>
          <w:sz w:val="16"/>
        </w:rPr>
        <w:t> </w:t>
      </w:r>
      <w:r>
        <w:rPr>
          <w:w w:val="105"/>
          <w:sz w:val="16"/>
        </w:rPr>
        <w:t>and</w:t>
      </w:r>
      <w:r>
        <w:rPr>
          <w:spacing w:val="-10"/>
          <w:w w:val="105"/>
          <w:sz w:val="16"/>
        </w:rPr>
        <w:t> </w:t>
      </w:r>
      <w:r>
        <w:rPr>
          <w:w w:val="105"/>
          <w:sz w:val="16"/>
        </w:rPr>
        <w:t>services</w:t>
      </w:r>
      <w:r>
        <w:rPr>
          <w:spacing w:val="-10"/>
          <w:w w:val="105"/>
          <w:sz w:val="16"/>
        </w:rPr>
        <w:t> </w:t>
      </w:r>
      <w:r>
        <w:rPr>
          <w:w w:val="105"/>
          <w:sz w:val="16"/>
        </w:rPr>
        <w:t>on</w:t>
      </w:r>
      <w:r>
        <w:rPr>
          <w:spacing w:val="-9"/>
          <w:w w:val="105"/>
          <w:sz w:val="16"/>
        </w:rPr>
        <w:t> </w:t>
      </w:r>
      <w:r>
        <w:rPr>
          <w:w w:val="105"/>
          <w:sz w:val="16"/>
        </w:rPr>
        <w:t>a</w:t>
      </w:r>
      <w:r>
        <w:rPr>
          <w:spacing w:val="-9"/>
          <w:w w:val="105"/>
          <w:sz w:val="16"/>
        </w:rPr>
        <w:t> </w:t>
      </w:r>
      <w:r>
        <w:rPr>
          <w:w w:val="105"/>
          <w:sz w:val="16"/>
        </w:rPr>
        <w:t>cost-effective</w:t>
      </w:r>
      <w:r>
        <w:rPr>
          <w:spacing w:val="-11"/>
          <w:w w:val="105"/>
          <w:sz w:val="16"/>
        </w:rPr>
        <w:t> </w:t>
      </w:r>
      <w:r>
        <w:rPr>
          <w:spacing w:val="-2"/>
          <w:w w:val="105"/>
          <w:sz w:val="16"/>
        </w:rPr>
        <w:t>basis;</w:t>
      </w:r>
    </w:p>
    <w:p>
      <w:pPr>
        <w:pStyle w:val="ListParagraph"/>
        <w:numPr>
          <w:ilvl w:val="0"/>
          <w:numId w:val="4"/>
        </w:numPr>
        <w:tabs>
          <w:tab w:pos="462" w:val="left" w:leader="none"/>
        </w:tabs>
        <w:spacing w:line="240" w:lineRule="auto" w:before="20" w:after="0"/>
        <w:ind w:left="462" w:right="0" w:hanging="306"/>
        <w:jc w:val="left"/>
        <w:rPr>
          <w:sz w:val="16"/>
        </w:rPr>
      </w:pPr>
      <w:r>
        <w:rPr>
          <w:w w:val="105"/>
          <w:sz w:val="16"/>
        </w:rPr>
        <w:t>Volatility</w:t>
      </w:r>
      <w:r>
        <w:rPr>
          <w:spacing w:val="-8"/>
          <w:w w:val="105"/>
          <w:sz w:val="16"/>
        </w:rPr>
        <w:t> </w:t>
      </w:r>
      <w:r>
        <w:rPr>
          <w:w w:val="105"/>
          <w:sz w:val="16"/>
        </w:rPr>
        <w:t>in</w:t>
      </w:r>
      <w:r>
        <w:rPr>
          <w:spacing w:val="-8"/>
          <w:w w:val="105"/>
          <w:sz w:val="16"/>
        </w:rPr>
        <w:t> </w:t>
      </w:r>
      <w:r>
        <w:rPr>
          <w:w w:val="105"/>
          <w:sz w:val="16"/>
        </w:rPr>
        <w:t>the</w:t>
      </w:r>
      <w:r>
        <w:rPr>
          <w:spacing w:val="-8"/>
          <w:w w:val="105"/>
          <w:sz w:val="16"/>
        </w:rPr>
        <w:t> </w:t>
      </w:r>
      <w:r>
        <w:rPr>
          <w:w w:val="105"/>
          <w:sz w:val="16"/>
        </w:rPr>
        <w:t>availability</w:t>
      </w:r>
      <w:r>
        <w:rPr>
          <w:spacing w:val="-8"/>
          <w:w w:val="105"/>
          <w:sz w:val="16"/>
        </w:rPr>
        <w:t> </w:t>
      </w:r>
      <w:r>
        <w:rPr>
          <w:w w:val="105"/>
          <w:sz w:val="16"/>
        </w:rPr>
        <w:t>and</w:t>
      </w:r>
      <w:r>
        <w:rPr>
          <w:spacing w:val="-8"/>
          <w:w w:val="105"/>
          <w:sz w:val="16"/>
        </w:rPr>
        <w:t> </w:t>
      </w:r>
      <w:r>
        <w:rPr>
          <w:w w:val="105"/>
          <w:sz w:val="16"/>
        </w:rPr>
        <w:t>cost</w:t>
      </w:r>
      <w:r>
        <w:rPr>
          <w:spacing w:val="-8"/>
          <w:w w:val="105"/>
          <w:sz w:val="16"/>
        </w:rPr>
        <w:t> </w:t>
      </w:r>
      <w:r>
        <w:rPr>
          <w:w w:val="105"/>
          <w:sz w:val="16"/>
        </w:rPr>
        <w:t>of</w:t>
      </w:r>
      <w:r>
        <w:rPr>
          <w:spacing w:val="-8"/>
          <w:w w:val="105"/>
          <w:sz w:val="16"/>
        </w:rPr>
        <w:t> </w:t>
      </w:r>
      <w:r>
        <w:rPr>
          <w:w w:val="105"/>
          <w:sz w:val="16"/>
        </w:rPr>
        <w:t>materials,</w:t>
      </w:r>
      <w:r>
        <w:rPr>
          <w:spacing w:val="-8"/>
          <w:w w:val="105"/>
          <w:sz w:val="16"/>
        </w:rPr>
        <w:t> </w:t>
      </w:r>
      <w:r>
        <w:rPr>
          <w:w w:val="105"/>
          <w:sz w:val="16"/>
        </w:rPr>
        <w:t>equipment</w:t>
      </w:r>
      <w:r>
        <w:rPr>
          <w:spacing w:val="-8"/>
          <w:w w:val="105"/>
          <w:sz w:val="16"/>
        </w:rPr>
        <w:t> </w:t>
      </w:r>
      <w:r>
        <w:rPr>
          <w:w w:val="105"/>
          <w:sz w:val="16"/>
        </w:rPr>
        <w:t>and</w:t>
      </w:r>
      <w:r>
        <w:rPr>
          <w:spacing w:val="-8"/>
          <w:w w:val="105"/>
          <w:sz w:val="16"/>
        </w:rPr>
        <w:t> </w:t>
      </w:r>
      <w:r>
        <w:rPr>
          <w:w w:val="105"/>
          <w:sz w:val="16"/>
        </w:rPr>
        <w:t>services,</w:t>
      </w:r>
      <w:r>
        <w:rPr>
          <w:spacing w:val="-8"/>
          <w:w w:val="105"/>
          <w:sz w:val="16"/>
        </w:rPr>
        <w:t> </w:t>
      </w:r>
      <w:r>
        <w:rPr>
          <w:w w:val="105"/>
          <w:sz w:val="16"/>
        </w:rPr>
        <w:t>including</w:t>
      </w:r>
      <w:r>
        <w:rPr>
          <w:spacing w:val="-8"/>
          <w:w w:val="105"/>
          <w:sz w:val="16"/>
        </w:rPr>
        <w:t> </w:t>
      </w:r>
      <w:r>
        <w:rPr>
          <w:w w:val="105"/>
          <w:sz w:val="16"/>
        </w:rPr>
        <w:t>rising</w:t>
      </w:r>
      <w:r>
        <w:rPr>
          <w:spacing w:val="-8"/>
          <w:w w:val="105"/>
          <w:sz w:val="16"/>
        </w:rPr>
        <w:t> </w:t>
      </w:r>
      <w:r>
        <w:rPr>
          <w:w w:val="105"/>
          <w:sz w:val="16"/>
        </w:rPr>
        <w:t>prices</w:t>
      </w:r>
      <w:r>
        <w:rPr>
          <w:spacing w:val="-7"/>
          <w:w w:val="105"/>
          <w:sz w:val="16"/>
        </w:rPr>
        <w:t> </w:t>
      </w:r>
      <w:r>
        <w:rPr>
          <w:w w:val="105"/>
          <w:sz w:val="16"/>
        </w:rPr>
        <w:t>due</w:t>
      </w:r>
      <w:r>
        <w:rPr>
          <w:spacing w:val="-8"/>
          <w:w w:val="105"/>
          <w:sz w:val="16"/>
        </w:rPr>
        <w:t> </w:t>
      </w:r>
      <w:r>
        <w:rPr>
          <w:w w:val="105"/>
          <w:sz w:val="16"/>
        </w:rPr>
        <w:t>to</w:t>
      </w:r>
      <w:r>
        <w:rPr>
          <w:spacing w:val="-8"/>
          <w:w w:val="105"/>
          <w:sz w:val="16"/>
        </w:rPr>
        <w:t> </w:t>
      </w:r>
      <w:r>
        <w:rPr>
          <w:w w:val="105"/>
          <w:sz w:val="16"/>
        </w:rPr>
        <w:t>inflation</w:t>
      </w:r>
      <w:r>
        <w:rPr>
          <w:spacing w:val="-8"/>
          <w:w w:val="105"/>
          <w:sz w:val="16"/>
        </w:rPr>
        <w:t> </w:t>
      </w:r>
      <w:r>
        <w:rPr>
          <w:w w:val="105"/>
          <w:sz w:val="16"/>
        </w:rPr>
        <w:t>or</w:t>
      </w:r>
      <w:r>
        <w:rPr>
          <w:spacing w:val="-8"/>
          <w:w w:val="105"/>
          <w:sz w:val="16"/>
        </w:rPr>
        <w:t> </w:t>
      </w:r>
      <w:r>
        <w:rPr>
          <w:w w:val="105"/>
          <w:sz w:val="16"/>
        </w:rPr>
        <w:t>scarcity</w:t>
      </w:r>
      <w:r>
        <w:rPr>
          <w:spacing w:val="-8"/>
          <w:w w:val="105"/>
          <w:sz w:val="16"/>
        </w:rPr>
        <w:t> </w:t>
      </w:r>
      <w:r>
        <w:rPr>
          <w:w w:val="105"/>
          <w:sz w:val="16"/>
        </w:rPr>
        <w:t>of</w:t>
      </w:r>
      <w:r>
        <w:rPr>
          <w:spacing w:val="-8"/>
          <w:w w:val="105"/>
          <w:sz w:val="16"/>
        </w:rPr>
        <w:t> </w:t>
      </w:r>
      <w:r>
        <w:rPr>
          <w:spacing w:val="-2"/>
          <w:w w:val="105"/>
          <w:sz w:val="16"/>
        </w:rPr>
        <w:t>availability;</w:t>
      </w:r>
    </w:p>
    <w:p>
      <w:pPr>
        <w:pStyle w:val="ListParagraph"/>
        <w:numPr>
          <w:ilvl w:val="0"/>
          <w:numId w:val="4"/>
        </w:numPr>
        <w:tabs>
          <w:tab w:pos="462" w:val="left" w:leader="none"/>
        </w:tabs>
        <w:spacing w:line="240" w:lineRule="auto" w:before="20" w:after="0"/>
        <w:ind w:left="462" w:right="0" w:hanging="306"/>
        <w:jc w:val="left"/>
        <w:rPr>
          <w:sz w:val="16"/>
        </w:rPr>
      </w:pPr>
      <w:r>
        <w:rPr>
          <w:w w:val="105"/>
          <w:sz w:val="16"/>
        </w:rPr>
        <w:t>Difficulties</w:t>
      </w:r>
      <w:r>
        <w:rPr>
          <w:spacing w:val="-11"/>
          <w:w w:val="105"/>
          <w:sz w:val="16"/>
        </w:rPr>
        <w:t> </w:t>
      </w:r>
      <w:r>
        <w:rPr>
          <w:w w:val="105"/>
          <w:sz w:val="16"/>
        </w:rPr>
        <w:t>or</w:t>
      </w:r>
      <w:r>
        <w:rPr>
          <w:spacing w:val="-10"/>
          <w:w w:val="105"/>
          <w:sz w:val="16"/>
        </w:rPr>
        <w:t> </w:t>
      </w:r>
      <w:r>
        <w:rPr>
          <w:w w:val="105"/>
          <w:sz w:val="16"/>
        </w:rPr>
        <w:t>delays</w:t>
      </w:r>
      <w:r>
        <w:rPr>
          <w:spacing w:val="-9"/>
          <w:w w:val="105"/>
          <w:sz w:val="16"/>
        </w:rPr>
        <w:t> </w:t>
      </w:r>
      <w:r>
        <w:rPr>
          <w:w w:val="105"/>
          <w:sz w:val="16"/>
        </w:rPr>
        <w:t>in</w:t>
      </w:r>
      <w:r>
        <w:rPr>
          <w:spacing w:val="-10"/>
          <w:w w:val="105"/>
          <w:sz w:val="16"/>
        </w:rPr>
        <w:t> </w:t>
      </w:r>
      <w:r>
        <w:rPr>
          <w:w w:val="105"/>
          <w:sz w:val="16"/>
        </w:rPr>
        <w:t>obtaining</w:t>
      </w:r>
      <w:r>
        <w:rPr>
          <w:spacing w:val="-10"/>
          <w:w w:val="105"/>
          <w:sz w:val="16"/>
        </w:rPr>
        <w:t> </w:t>
      </w:r>
      <w:r>
        <w:rPr>
          <w:w w:val="105"/>
          <w:sz w:val="16"/>
        </w:rPr>
        <w:t>required</w:t>
      </w:r>
      <w:r>
        <w:rPr>
          <w:spacing w:val="-11"/>
          <w:w w:val="105"/>
          <w:sz w:val="16"/>
        </w:rPr>
        <w:t> </w:t>
      </w:r>
      <w:r>
        <w:rPr>
          <w:w w:val="105"/>
          <w:sz w:val="16"/>
        </w:rPr>
        <w:t>import</w:t>
      </w:r>
      <w:r>
        <w:rPr>
          <w:spacing w:val="-10"/>
          <w:w w:val="105"/>
          <w:sz w:val="16"/>
        </w:rPr>
        <w:t> </w:t>
      </w:r>
      <w:r>
        <w:rPr>
          <w:w w:val="105"/>
          <w:sz w:val="16"/>
        </w:rPr>
        <w:t>or</w:t>
      </w:r>
      <w:r>
        <w:rPr>
          <w:spacing w:val="-10"/>
          <w:w w:val="105"/>
          <w:sz w:val="16"/>
        </w:rPr>
        <w:t> </w:t>
      </w:r>
      <w:r>
        <w:rPr>
          <w:w w:val="105"/>
          <w:sz w:val="16"/>
        </w:rPr>
        <w:t>export</w:t>
      </w:r>
      <w:r>
        <w:rPr>
          <w:spacing w:val="-11"/>
          <w:w w:val="105"/>
          <w:sz w:val="16"/>
        </w:rPr>
        <w:t> </w:t>
      </w:r>
      <w:r>
        <w:rPr>
          <w:spacing w:val="-2"/>
          <w:w w:val="105"/>
          <w:sz w:val="16"/>
        </w:rPr>
        <w:t>approvals;</w:t>
      </w:r>
    </w:p>
    <w:p>
      <w:pPr>
        <w:pStyle w:val="ListParagraph"/>
        <w:numPr>
          <w:ilvl w:val="0"/>
          <w:numId w:val="4"/>
        </w:numPr>
        <w:tabs>
          <w:tab w:pos="462" w:val="left" w:leader="none"/>
        </w:tabs>
        <w:spacing w:line="240" w:lineRule="auto" w:before="19" w:after="0"/>
        <w:ind w:left="462" w:right="0" w:hanging="306"/>
        <w:jc w:val="left"/>
        <w:rPr>
          <w:sz w:val="16"/>
        </w:rPr>
      </w:pPr>
      <w:r>
        <w:rPr>
          <w:sz w:val="16"/>
        </w:rPr>
        <w:t>Shipment</w:t>
      </w:r>
      <w:r>
        <w:rPr>
          <w:spacing w:val="13"/>
          <w:sz w:val="16"/>
        </w:rPr>
        <w:t> </w:t>
      </w:r>
      <w:r>
        <w:rPr>
          <w:sz w:val="16"/>
        </w:rPr>
        <w:t>delays</w:t>
      </w:r>
      <w:r>
        <w:rPr>
          <w:spacing w:val="13"/>
          <w:sz w:val="16"/>
        </w:rPr>
        <w:t> </w:t>
      </w:r>
      <w:r>
        <w:rPr>
          <w:sz w:val="16"/>
        </w:rPr>
        <w:t>due</w:t>
      </w:r>
      <w:r>
        <w:rPr>
          <w:spacing w:val="14"/>
          <w:sz w:val="16"/>
        </w:rPr>
        <w:t> </w:t>
      </w:r>
      <w:r>
        <w:rPr>
          <w:sz w:val="16"/>
        </w:rPr>
        <w:t>to</w:t>
      </w:r>
      <w:r>
        <w:rPr>
          <w:spacing w:val="13"/>
          <w:sz w:val="16"/>
        </w:rPr>
        <w:t> </w:t>
      </w:r>
      <w:r>
        <w:rPr>
          <w:sz w:val="16"/>
        </w:rPr>
        <w:t>transportation</w:t>
      </w:r>
      <w:r>
        <w:rPr>
          <w:spacing w:val="14"/>
          <w:sz w:val="16"/>
        </w:rPr>
        <w:t> </w:t>
      </w:r>
      <w:r>
        <w:rPr>
          <w:sz w:val="16"/>
        </w:rPr>
        <w:t>interruptions</w:t>
      </w:r>
      <w:r>
        <w:rPr>
          <w:spacing w:val="13"/>
          <w:sz w:val="16"/>
        </w:rPr>
        <w:t> </w:t>
      </w:r>
      <w:r>
        <w:rPr>
          <w:sz w:val="16"/>
        </w:rPr>
        <w:t>or</w:t>
      </w:r>
      <w:r>
        <w:rPr>
          <w:spacing w:val="14"/>
          <w:sz w:val="16"/>
        </w:rPr>
        <w:t> </w:t>
      </w:r>
      <w:r>
        <w:rPr>
          <w:sz w:val="16"/>
        </w:rPr>
        <w:t>capacity</w:t>
      </w:r>
      <w:r>
        <w:rPr>
          <w:spacing w:val="13"/>
          <w:sz w:val="16"/>
        </w:rPr>
        <w:t> </w:t>
      </w:r>
      <w:r>
        <w:rPr>
          <w:spacing w:val="-2"/>
          <w:sz w:val="16"/>
        </w:rPr>
        <w:t>constraints;</w:t>
      </w:r>
    </w:p>
    <w:p>
      <w:pPr>
        <w:pStyle w:val="ListParagraph"/>
        <w:numPr>
          <w:ilvl w:val="0"/>
          <w:numId w:val="4"/>
        </w:numPr>
        <w:tabs>
          <w:tab w:pos="462" w:val="left" w:leader="none"/>
        </w:tabs>
        <w:spacing w:line="240" w:lineRule="auto" w:before="20" w:after="0"/>
        <w:ind w:left="462" w:right="0" w:hanging="306"/>
        <w:jc w:val="left"/>
        <w:rPr>
          <w:sz w:val="16"/>
        </w:rPr>
      </w:pPr>
      <w:r>
        <w:rPr>
          <w:w w:val="105"/>
          <w:sz w:val="16"/>
        </w:rPr>
        <w:t>A</w:t>
      </w:r>
      <w:r>
        <w:rPr>
          <w:spacing w:val="-11"/>
          <w:w w:val="105"/>
          <w:sz w:val="16"/>
        </w:rPr>
        <w:t> </w:t>
      </w:r>
      <w:r>
        <w:rPr>
          <w:w w:val="105"/>
          <w:sz w:val="16"/>
        </w:rPr>
        <w:t>worldwide</w:t>
      </w:r>
      <w:r>
        <w:rPr>
          <w:spacing w:val="-10"/>
          <w:w w:val="105"/>
          <w:sz w:val="16"/>
        </w:rPr>
        <w:t> </w:t>
      </w:r>
      <w:r>
        <w:rPr>
          <w:w w:val="105"/>
          <w:sz w:val="16"/>
        </w:rPr>
        <w:t>shortage</w:t>
      </w:r>
      <w:r>
        <w:rPr>
          <w:spacing w:val="-10"/>
          <w:w w:val="105"/>
          <w:sz w:val="16"/>
        </w:rPr>
        <w:t> </w:t>
      </w:r>
      <w:r>
        <w:rPr>
          <w:w w:val="105"/>
          <w:sz w:val="16"/>
        </w:rPr>
        <w:t>of</w:t>
      </w:r>
      <w:r>
        <w:rPr>
          <w:spacing w:val="-10"/>
          <w:w w:val="105"/>
          <w:sz w:val="16"/>
        </w:rPr>
        <w:t> </w:t>
      </w:r>
      <w:r>
        <w:rPr>
          <w:w w:val="105"/>
          <w:sz w:val="16"/>
        </w:rPr>
        <w:t>semiconductor</w:t>
      </w:r>
      <w:r>
        <w:rPr>
          <w:spacing w:val="-10"/>
          <w:w w:val="105"/>
          <w:sz w:val="16"/>
        </w:rPr>
        <w:t> </w:t>
      </w:r>
      <w:r>
        <w:rPr>
          <w:w w:val="105"/>
          <w:sz w:val="16"/>
        </w:rPr>
        <w:t>components</w:t>
      </w:r>
      <w:r>
        <w:rPr>
          <w:spacing w:val="-10"/>
          <w:w w:val="105"/>
          <w:sz w:val="16"/>
        </w:rPr>
        <w:t> </w:t>
      </w:r>
      <w:r>
        <w:rPr>
          <w:w w:val="105"/>
          <w:sz w:val="16"/>
        </w:rPr>
        <w:t>as</w:t>
      </w:r>
      <w:r>
        <w:rPr>
          <w:spacing w:val="-10"/>
          <w:w w:val="105"/>
          <w:sz w:val="16"/>
        </w:rPr>
        <w:t> </w:t>
      </w:r>
      <w:r>
        <w:rPr>
          <w:w w:val="105"/>
          <w:sz w:val="16"/>
        </w:rPr>
        <w:t>a</w:t>
      </w:r>
      <w:r>
        <w:rPr>
          <w:spacing w:val="-10"/>
          <w:w w:val="105"/>
          <w:sz w:val="16"/>
        </w:rPr>
        <w:t> </w:t>
      </w:r>
      <w:r>
        <w:rPr>
          <w:w w:val="105"/>
          <w:sz w:val="16"/>
        </w:rPr>
        <w:t>result</w:t>
      </w:r>
      <w:r>
        <w:rPr>
          <w:spacing w:val="-11"/>
          <w:w w:val="105"/>
          <w:sz w:val="16"/>
        </w:rPr>
        <w:t> </w:t>
      </w:r>
      <w:r>
        <w:rPr>
          <w:w w:val="105"/>
          <w:sz w:val="16"/>
        </w:rPr>
        <w:t>of</w:t>
      </w:r>
      <w:r>
        <w:rPr>
          <w:spacing w:val="-10"/>
          <w:w w:val="105"/>
          <w:sz w:val="16"/>
        </w:rPr>
        <w:t> </w:t>
      </w:r>
      <w:r>
        <w:rPr>
          <w:w w:val="105"/>
          <w:sz w:val="16"/>
        </w:rPr>
        <w:t>sharp</w:t>
      </w:r>
      <w:r>
        <w:rPr>
          <w:spacing w:val="-10"/>
          <w:w w:val="105"/>
          <w:sz w:val="16"/>
        </w:rPr>
        <w:t> </w:t>
      </w:r>
      <w:r>
        <w:rPr>
          <w:w w:val="105"/>
          <w:sz w:val="16"/>
        </w:rPr>
        <w:t>increases</w:t>
      </w:r>
      <w:r>
        <w:rPr>
          <w:spacing w:val="-10"/>
          <w:w w:val="105"/>
          <w:sz w:val="16"/>
        </w:rPr>
        <w:t> </w:t>
      </w:r>
      <w:r>
        <w:rPr>
          <w:w w:val="105"/>
          <w:sz w:val="16"/>
        </w:rPr>
        <w:t>in</w:t>
      </w:r>
      <w:r>
        <w:rPr>
          <w:spacing w:val="-10"/>
          <w:w w:val="105"/>
          <w:sz w:val="16"/>
        </w:rPr>
        <w:t> </w:t>
      </w:r>
      <w:r>
        <w:rPr>
          <w:w w:val="105"/>
          <w:sz w:val="16"/>
        </w:rPr>
        <w:t>demand</w:t>
      </w:r>
      <w:r>
        <w:rPr>
          <w:spacing w:val="-10"/>
          <w:w w:val="105"/>
          <w:sz w:val="16"/>
        </w:rPr>
        <w:t> </w:t>
      </w:r>
      <w:r>
        <w:rPr>
          <w:w w:val="105"/>
          <w:sz w:val="16"/>
        </w:rPr>
        <w:t>for</w:t>
      </w:r>
      <w:r>
        <w:rPr>
          <w:spacing w:val="-10"/>
          <w:w w:val="105"/>
          <w:sz w:val="16"/>
        </w:rPr>
        <w:t> </w:t>
      </w:r>
      <w:r>
        <w:rPr>
          <w:w w:val="105"/>
          <w:sz w:val="16"/>
        </w:rPr>
        <w:t>semiconductor</w:t>
      </w:r>
      <w:r>
        <w:rPr>
          <w:spacing w:val="-10"/>
          <w:w w:val="105"/>
          <w:sz w:val="16"/>
        </w:rPr>
        <w:t> </w:t>
      </w:r>
      <w:r>
        <w:rPr>
          <w:w w:val="105"/>
          <w:sz w:val="16"/>
        </w:rPr>
        <w:t>products</w:t>
      </w:r>
      <w:r>
        <w:rPr>
          <w:spacing w:val="-10"/>
          <w:w w:val="105"/>
          <w:sz w:val="16"/>
        </w:rPr>
        <w:t> </w:t>
      </w:r>
      <w:r>
        <w:rPr>
          <w:w w:val="105"/>
          <w:sz w:val="16"/>
        </w:rPr>
        <w:t>in</w:t>
      </w:r>
      <w:r>
        <w:rPr>
          <w:spacing w:val="-11"/>
          <w:w w:val="105"/>
          <w:sz w:val="16"/>
        </w:rPr>
        <w:t> </w:t>
      </w:r>
      <w:r>
        <w:rPr>
          <w:spacing w:val="-2"/>
          <w:w w:val="105"/>
          <w:sz w:val="16"/>
        </w:rPr>
        <w:t>general;</w:t>
      </w:r>
    </w:p>
    <w:p>
      <w:pPr>
        <w:pStyle w:val="ListParagraph"/>
        <w:numPr>
          <w:ilvl w:val="0"/>
          <w:numId w:val="4"/>
        </w:numPr>
        <w:tabs>
          <w:tab w:pos="462" w:val="left" w:leader="none"/>
        </w:tabs>
        <w:spacing w:line="240" w:lineRule="auto" w:before="20" w:after="0"/>
        <w:ind w:left="462" w:right="0" w:hanging="306"/>
        <w:jc w:val="left"/>
        <w:rPr>
          <w:sz w:val="16"/>
        </w:rPr>
      </w:pPr>
      <w:r>
        <w:rPr>
          <w:w w:val="105"/>
          <w:sz w:val="16"/>
        </w:rPr>
        <w:t>Information</w:t>
      </w:r>
      <w:r>
        <w:rPr>
          <w:spacing w:val="-10"/>
          <w:w w:val="105"/>
          <w:sz w:val="16"/>
        </w:rPr>
        <w:t> </w:t>
      </w:r>
      <w:r>
        <w:rPr>
          <w:w w:val="105"/>
          <w:sz w:val="16"/>
        </w:rPr>
        <w:t>technology</w:t>
      </w:r>
      <w:r>
        <w:rPr>
          <w:spacing w:val="-10"/>
          <w:w w:val="105"/>
          <w:sz w:val="16"/>
        </w:rPr>
        <w:t> </w:t>
      </w:r>
      <w:r>
        <w:rPr>
          <w:w w:val="105"/>
          <w:sz w:val="16"/>
        </w:rPr>
        <w:t>or</w:t>
      </w:r>
      <w:r>
        <w:rPr>
          <w:spacing w:val="-8"/>
          <w:w w:val="105"/>
          <w:sz w:val="16"/>
        </w:rPr>
        <w:t> </w:t>
      </w:r>
      <w:r>
        <w:rPr>
          <w:w w:val="105"/>
          <w:sz w:val="16"/>
        </w:rPr>
        <w:t>infrastructure</w:t>
      </w:r>
      <w:r>
        <w:rPr>
          <w:spacing w:val="-10"/>
          <w:w w:val="105"/>
          <w:sz w:val="16"/>
        </w:rPr>
        <w:t> </w:t>
      </w:r>
      <w:r>
        <w:rPr>
          <w:w w:val="105"/>
          <w:sz w:val="16"/>
        </w:rPr>
        <w:t>failures,</w:t>
      </w:r>
      <w:r>
        <w:rPr>
          <w:spacing w:val="-10"/>
          <w:w w:val="105"/>
          <w:sz w:val="16"/>
        </w:rPr>
        <w:t> </w:t>
      </w:r>
      <w:r>
        <w:rPr>
          <w:w w:val="105"/>
          <w:sz w:val="16"/>
        </w:rPr>
        <w:t>including</w:t>
      </w:r>
      <w:r>
        <w:rPr>
          <w:spacing w:val="-10"/>
          <w:w w:val="105"/>
          <w:sz w:val="16"/>
        </w:rPr>
        <w:t> </w:t>
      </w:r>
      <w:r>
        <w:rPr>
          <w:w w:val="105"/>
          <w:sz w:val="16"/>
        </w:rPr>
        <w:t>those</w:t>
      </w:r>
      <w:r>
        <w:rPr>
          <w:spacing w:val="-10"/>
          <w:w w:val="105"/>
          <w:sz w:val="16"/>
        </w:rPr>
        <w:t> </w:t>
      </w:r>
      <w:r>
        <w:rPr>
          <w:w w:val="105"/>
          <w:sz w:val="16"/>
        </w:rPr>
        <w:t>of</w:t>
      </w:r>
      <w:r>
        <w:rPr>
          <w:spacing w:val="-10"/>
          <w:w w:val="105"/>
          <w:sz w:val="16"/>
        </w:rPr>
        <w:t> </w:t>
      </w:r>
      <w:r>
        <w:rPr>
          <w:w w:val="105"/>
          <w:sz w:val="16"/>
        </w:rPr>
        <w:t>a</w:t>
      </w:r>
      <w:r>
        <w:rPr>
          <w:spacing w:val="-9"/>
          <w:w w:val="105"/>
          <w:sz w:val="16"/>
        </w:rPr>
        <w:t> </w:t>
      </w:r>
      <w:r>
        <w:rPr>
          <w:w w:val="105"/>
          <w:sz w:val="16"/>
        </w:rPr>
        <w:t>third-party</w:t>
      </w:r>
      <w:r>
        <w:rPr>
          <w:spacing w:val="-10"/>
          <w:w w:val="105"/>
          <w:sz w:val="16"/>
        </w:rPr>
        <w:t> </w:t>
      </w:r>
      <w:r>
        <w:rPr>
          <w:w w:val="105"/>
          <w:sz w:val="16"/>
        </w:rPr>
        <w:t>supplier</w:t>
      </w:r>
      <w:r>
        <w:rPr>
          <w:spacing w:val="-10"/>
          <w:w w:val="105"/>
          <w:sz w:val="16"/>
        </w:rPr>
        <w:t> </w:t>
      </w:r>
      <w:r>
        <w:rPr>
          <w:w w:val="105"/>
          <w:sz w:val="16"/>
        </w:rPr>
        <w:t>or</w:t>
      </w:r>
      <w:r>
        <w:rPr>
          <w:spacing w:val="-10"/>
          <w:w w:val="105"/>
          <w:sz w:val="16"/>
        </w:rPr>
        <w:t> </w:t>
      </w:r>
      <w:r>
        <w:rPr>
          <w:w w:val="105"/>
          <w:sz w:val="16"/>
        </w:rPr>
        <w:t>service</w:t>
      </w:r>
      <w:r>
        <w:rPr>
          <w:spacing w:val="-10"/>
          <w:w w:val="105"/>
          <w:sz w:val="16"/>
        </w:rPr>
        <w:t> </w:t>
      </w:r>
      <w:r>
        <w:rPr>
          <w:w w:val="105"/>
          <w:sz w:val="16"/>
        </w:rPr>
        <w:t>provider;</w:t>
      </w:r>
      <w:r>
        <w:rPr>
          <w:spacing w:val="-10"/>
          <w:w w:val="105"/>
          <w:sz w:val="16"/>
        </w:rPr>
        <w:t> </w:t>
      </w:r>
      <w:r>
        <w:rPr>
          <w:spacing w:val="-5"/>
          <w:w w:val="105"/>
          <w:sz w:val="16"/>
        </w:rPr>
        <w:t>and</w:t>
      </w:r>
    </w:p>
    <w:p>
      <w:pPr>
        <w:pStyle w:val="ListParagraph"/>
        <w:numPr>
          <w:ilvl w:val="0"/>
          <w:numId w:val="4"/>
        </w:numPr>
        <w:tabs>
          <w:tab w:pos="462" w:val="left" w:leader="none"/>
        </w:tabs>
        <w:spacing w:line="266" w:lineRule="auto" w:before="20" w:after="0"/>
        <w:ind w:left="462" w:right="145" w:hanging="306"/>
        <w:jc w:val="left"/>
        <w:rPr>
          <w:sz w:val="16"/>
        </w:rPr>
      </w:pPr>
      <w:r>
        <w:rPr>
          <w:w w:val="105"/>
          <w:sz w:val="16"/>
        </w:rPr>
        <w:t>Natural</w:t>
      </w:r>
      <w:r>
        <w:rPr>
          <w:spacing w:val="-2"/>
          <w:w w:val="105"/>
          <w:sz w:val="16"/>
        </w:rPr>
        <w:t> </w:t>
      </w:r>
      <w:r>
        <w:rPr>
          <w:w w:val="105"/>
          <w:sz w:val="16"/>
        </w:rPr>
        <w:t>disasters,</w:t>
      </w:r>
      <w:r>
        <w:rPr>
          <w:spacing w:val="-2"/>
          <w:w w:val="105"/>
          <w:sz w:val="16"/>
        </w:rPr>
        <w:t> </w:t>
      </w:r>
      <w:r>
        <w:rPr>
          <w:w w:val="105"/>
          <w:sz w:val="16"/>
        </w:rPr>
        <w:t>the</w:t>
      </w:r>
      <w:r>
        <w:rPr>
          <w:spacing w:val="-2"/>
          <w:w w:val="105"/>
          <w:sz w:val="16"/>
        </w:rPr>
        <w:t> </w:t>
      </w:r>
      <w:r>
        <w:rPr>
          <w:w w:val="105"/>
          <w:sz w:val="16"/>
        </w:rPr>
        <w:t>impacts</w:t>
      </w:r>
      <w:r>
        <w:rPr>
          <w:spacing w:val="-2"/>
          <w:w w:val="105"/>
          <w:sz w:val="16"/>
        </w:rPr>
        <w:t> </w:t>
      </w:r>
      <w:r>
        <w:rPr>
          <w:w w:val="105"/>
          <w:sz w:val="16"/>
        </w:rPr>
        <w:t>of</w:t>
      </w:r>
      <w:r>
        <w:rPr>
          <w:spacing w:val="-2"/>
          <w:w w:val="105"/>
          <w:sz w:val="16"/>
        </w:rPr>
        <w:t> </w:t>
      </w:r>
      <w:r>
        <w:rPr>
          <w:w w:val="105"/>
          <w:sz w:val="16"/>
        </w:rPr>
        <w:t>climate</w:t>
      </w:r>
      <w:r>
        <w:rPr>
          <w:spacing w:val="-2"/>
          <w:w w:val="105"/>
          <w:sz w:val="16"/>
        </w:rPr>
        <w:t> </w:t>
      </w:r>
      <w:r>
        <w:rPr>
          <w:w w:val="105"/>
          <w:sz w:val="16"/>
        </w:rPr>
        <w:t>change,</w:t>
      </w:r>
      <w:r>
        <w:rPr>
          <w:spacing w:val="-2"/>
          <w:w w:val="105"/>
          <w:sz w:val="16"/>
        </w:rPr>
        <w:t> </w:t>
      </w:r>
      <w:r>
        <w:rPr>
          <w:w w:val="105"/>
          <w:sz w:val="16"/>
        </w:rPr>
        <w:t>or</w:t>
      </w:r>
      <w:r>
        <w:rPr>
          <w:spacing w:val="-2"/>
          <w:w w:val="105"/>
          <w:sz w:val="16"/>
        </w:rPr>
        <w:t> </w:t>
      </w:r>
      <w:r>
        <w:rPr>
          <w:w w:val="105"/>
          <w:sz w:val="16"/>
        </w:rPr>
        <w:t>other</w:t>
      </w:r>
      <w:r>
        <w:rPr>
          <w:spacing w:val="-2"/>
          <w:w w:val="105"/>
          <w:sz w:val="16"/>
        </w:rPr>
        <w:t> </w:t>
      </w:r>
      <w:r>
        <w:rPr>
          <w:w w:val="105"/>
          <w:sz w:val="16"/>
        </w:rPr>
        <w:t>events</w:t>
      </w:r>
      <w:r>
        <w:rPr>
          <w:spacing w:val="-2"/>
          <w:w w:val="105"/>
          <w:sz w:val="16"/>
        </w:rPr>
        <w:t> </w:t>
      </w:r>
      <w:r>
        <w:rPr>
          <w:w w:val="105"/>
          <w:sz w:val="16"/>
        </w:rPr>
        <w:t>beyond</w:t>
      </w:r>
      <w:r>
        <w:rPr>
          <w:spacing w:val="-2"/>
          <w:w w:val="105"/>
          <w:sz w:val="16"/>
        </w:rPr>
        <w:t> </w:t>
      </w:r>
      <w:r>
        <w:rPr>
          <w:w w:val="105"/>
          <w:sz w:val="16"/>
        </w:rPr>
        <w:t>Corning’s</w:t>
      </w:r>
      <w:r>
        <w:rPr>
          <w:spacing w:val="-2"/>
          <w:w w:val="105"/>
          <w:sz w:val="16"/>
        </w:rPr>
        <w:t> </w:t>
      </w:r>
      <w:r>
        <w:rPr>
          <w:w w:val="105"/>
          <w:sz w:val="16"/>
        </w:rPr>
        <w:t>control</w:t>
      </w:r>
      <w:r>
        <w:rPr>
          <w:spacing w:val="-2"/>
          <w:w w:val="105"/>
          <w:sz w:val="16"/>
        </w:rPr>
        <w:t> </w:t>
      </w:r>
      <w:r>
        <w:rPr>
          <w:w w:val="105"/>
          <w:sz w:val="16"/>
        </w:rPr>
        <w:t>(such</w:t>
      </w:r>
      <w:r>
        <w:rPr>
          <w:spacing w:val="-2"/>
          <w:w w:val="105"/>
          <w:sz w:val="16"/>
        </w:rPr>
        <w:t> </w:t>
      </w:r>
      <w:r>
        <w:rPr>
          <w:w w:val="105"/>
          <w:sz w:val="16"/>
        </w:rPr>
        <w:t>as</w:t>
      </w:r>
      <w:r>
        <w:rPr>
          <w:spacing w:val="-2"/>
          <w:w w:val="105"/>
          <w:sz w:val="16"/>
        </w:rPr>
        <w:t> </w:t>
      </w:r>
      <w:r>
        <w:rPr>
          <w:w w:val="105"/>
          <w:sz w:val="16"/>
        </w:rPr>
        <w:t>earthquakes,</w:t>
      </w:r>
      <w:r>
        <w:rPr>
          <w:spacing w:val="-2"/>
          <w:w w:val="105"/>
          <w:sz w:val="16"/>
        </w:rPr>
        <w:t> </w:t>
      </w:r>
      <w:r>
        <w:rPr>
          <w:w w:val="105"/>
          <w:sz w:val="16"/>
        </w:rPr>
        <w:t>utility</w:t>
      </w:r>
      <w:r>
        <w:rPr>
          <w:spacing w:val="-2"/>
          <w:w w:val="105"/>
          <w:sz w:val="16"/>
        </w:rPr>
        <w:t> </w:t>
      </w:r>
      <w:r>
        <w:rPr>
          <w:w w:val="105"/>
          <w:sz w:val="16"/>
        </w:rPr>
        <w:t>interruptions,</w:t>
      </w:r>
      <w:r>
        <w:rPr>
          <w:spacing w:val="-2"/>
          <w:w w:val="105"/>
          <w:sz w:val="16"/>
        </w:rPr>
        <w:t> </w:t>
      </w:r>
      <w:r>
        <w:rPr>
          <w:w w:val="105"/>
          <w:sz w:val="16"/>
        </w:rPr>
        <w:t>tsunamis,</w:t>
      </w:r>
      <w:r>
        <w:rPr>
          <w:spacing w:val="-2"/>
          <w:w w:val="105"/>
          <w:sz w:val="16"/>
        </w:rPr>
        <w:t> </w:t>
      </w:r>
      <w:r>
        <w:rPr>
          <w:w w:val="105"/>
          <w:sz w:val="16"/>
        </w:rPr>
        <w:t>hurricanes,</w:t>
      </w:r>
      <w:r>
        <w:rPr>
          <w:spacing w:val="-2"/>
          <w:w w:val="105"/>
          <w:sz w:val="16"/>
        </w:rPr>
        <w:t> </w:t>
      </w:r>
      <w:r>
        <w:rPr>
          <w:w w:val="105"/>
          <w:sz w:val="16"/>
        </w:rPr>
        <w:t>typhoons, floods,</w:t>
      </w:r>
      <w:r>
        <w:rPr>
          <w:spacing w:val="-1"/>
          <w:w w:val="105"/>
          <w:sz w:val="16"/>
        </w:rPr>
        <w:t> </w:t>
      </w:r>
      <w:r>
        <w:rPr>
          <w:w w:val="105"/>
          <w:sz w:val="16"/>
        </w:rPr>
        <w:t>storms</w:t>
      </w:r>
      <w:r>
        <w:rPr>
          <w:spacing w:val="-1"/>
          <w:w w:val="105"/>
          <w:sz w:val="16"/>
        </w:rPr>
        <w:t> </w:t>
      </w:r>
      <w:r>
        <w:rPr>
          <w:w w:val="105"/>
          <w:sz w:val="16"/>
        </w:rPr>
        <w:t>or</w:t>
      </w:r>
      <w:r>
        <w:rPr>
          <w:spacing w:val="-1"/>
          <w:w w:val="105"/>
          <w:sz w:val="16"/>
        </w:rPr>
        <w:t> </w:t>
      </w:r>
      <w:r>
        <w:rPr>
          <w:w w:val="105"/>
          <w:sz w:val="16"/>
        </w:rPr>
        <w:t>extreme</w:t>
      </w:r>
      <w:r>
        <w:rPr>
          <w:spacing w:val="-1"/>
          <w:w w:val="105"/>
          <w:sz w:val="16"/>
        </w:rPr>
        <w:t> </w:t>
      </w:r>
      <w:r>
        <w:rPr>
          <w:w w:val="105"/>
          <w:sz w:val="16"/>
        </w:rPr>
        <w:t>weather</w:t>
      </w:r>
      <w:r>
        <w:rPr>
          <w:spacing w:val="-1"/>
          <w:w w:val="105"/>
          <w:sz w:val="16"/>
        </w:rPr>
        <w:t> </w:t>
      </w:r>
      <w:r>
        <w:rPr>
          <w:w w:val="105"/>
          <w:sz w:val="16"/>
        </w:rPr>
        <w:t>conditions,</w:t>
      </w:r>
      <w:r>
        <w:rPr>
          <w:spacing w:val="-1"/>
          <w:w w:val="105"/>
          <w:sz w:val="16"/>
        </w:rPr>
        <w:t> </w:t>
      </w:r>
      <w:r>
        <w:rPr>
          <w:w w:val="105"/>
          <w:sz w:val="16"/>
        </w:rPr>
        <w:t>fires,</w:t>
      </w:r>
      <w:r>
        <w:rPr>
          <w:spacing w:val="-1"/>
          <w:w w:val="105"/>
          <w:sz w:val="16"/>
        </w:rPr>
        <w:t> </w:t>
      </w:r>
      <w:r>
        <w:rPr>
          <w:w w:val="105"/>
          <w:sz w:val="16"/>
        </w:rPr>
        <w:t>regional</w:t>
      </w:r>
      <w:r>
        <w:rPr>
          <w:spacing w:val="-1"/>
          <w:w w:val="105"/>
          <w:sz w:val="16"/>
        </w:rPr>
        <w:t> </w:t>
      </w:r>
      <w:r>
        <w:rPr>
          <w:w w:val="105"/>
          <w:sz w:val="16"/>
        </w:rPr>
        <w:t>economic</w:t>
      </w:r>
      <w:r>
        <w:rPr>
          <w:spacing w:val="-1"/>
          <w:w w:val="105"/>
          <w:sz w:val="16"/>
        </w:rPr>
        <w:t> </w:t>
      </w:r>
      <w:r>
        <w:rPr>
          <w:w w:val="105"/>
          <w:sz w:val="16"/>
        </w:rPr>
        <w:t>downturns,</w:t>
      </w:r>
      <w:r>
        <w:rPr>
          <w:spacing w:val="-1"/>
          <w:w w:val="105"/>
          <w:sz w:val="16"/>
        </w:rPr>
        <w:t> </w:t>
      </w:r>
      <w:r>
        <w:rPr>
          <w:w w:val="105"/>
          <w:sz w:val="16"/>
        </w:rPr>
        <w:t>regional</w:t>
      </w:r>
      <w:r>
        <w:rPr>
          <w:spacing w:val="-1"/>
          <w:w w:val="105"/>
          <w:sz w:val="16"/>
        </w:rPr>
        <w:t> </w:t>
      </w:r>
      <w:r>
        <w:rPr>
          <w:w w:val="105"/>
          <w:sz w:val="16"/>
        </w:rPr>
        <w:t>or</w:t>
      </w:r>
      <w:r>
        <w:rPr>
          <w:spacing w:val="-1"/>
          <w:w w:val="105"/>
          <w:sz w:val="16"/>
        </w:rPr>
        <w:t> </w:t>
      </w:r>
      <w:r>
        <w:rPr>
          <w:w w:val="105"/>
          <w:sz w:val="16"/>
        </w:rPr>
        <w:t>global</w:t>
      </w:r>
      <w:r>
        <w:rPr>
          <w:spacing w:val="-1"/>
          <w:w w:val="105"/>
          <w:sz w:val="16"/>
        </w:rPr>
        <w:t> </w:t>
      </w:r>
      <w:r>
        <w:rPr>
          <w:w w:val="105"/>
          <w:sz w:val="16"/>
        </w:rPr>
        <w:t>health</w:t>
      </w:r>
      <w:r>
        <w:rPr>
          <w:spacing w:val="-1"/>
          <w:w w:val="105"/>
          <w:sz w:val="16"/>
        </w:rPr>
        <w:t> </w:t>
      </w:r>
      <w:r>
        <w:rPr>
          <w:w w:val="105"/>
          <w:sz w:val="16"/>
        </w:rPr>
        <w:t>epidemics,</w:t>
      </w:r>
      <w:r>
        <w:rPr>
          <w:spacing w:val="-1"/>
          <w:w w:val="105"/>
          <w:sz w:val="16"/>
        </w:rPr>
        <w:t> </w:t>
      </w:r>
      <w:r>
        <w:rPr>
          <w:w w:val="105"/>
          <w:sz w:val="16"/>
        </w:rPr>
        <w:t>including</w:t>
      </w:r>
      <w:r>
        <w:rPr>
          <w:spacing w:val="-1"/>
          <w:w w:val="105"/>
          <w:sz w:val="16"/>
        </w:rPr>
        <w:t> </w:t>
      </w:r>
      <w:r>
        <w:rPr>
          <w:w w:val="105"/>
          <w:sz w:val="16"/>
        </w:rPr>
        <w:t>the</w:t>
      </w:r>
      <w:r>
        <w:rPr>
          <w:spacing w:val="-1"/>
          <w:w w:val="105"/>
          <w:sz w:val="16"/>
        </w:rPr>
        <w:t> </w:t>
      </w:r>
      <w:r>
        <w:rPr>
          <w:w w:val="105"/>
          <w:sz w:val="16"/>
        </w:rPr>
        <w:t>ongoing</w:t>
      </w:r>
      <w:r>
        <w:rPr>
          <w:spacing w:val="-1"/>
          <w:w w:val="105"/>
          <w:sz w:val="16"/>
        </w:rPr>
        <w:t> </w:t>
      </w:r>
      <w:r>
        <w:rPr>
          <w:w w:val="105"/>
          <w:sz w:val="16"/>
        </w:rPr>
        <w:t>COVID-19</w:t>
      </w:r>
      <w:r>
        <w:rPr>
          <w:spacing w:val="-1"/>
          <w:w w:val="105"/>
          <w:sz w:val="16"/>
        </w:rPr>
        <w:t> </w:t>
      </w:r>
      <w:r>
        <w:rPr>
          <w:w w:val="105"/>
          <w:sz w:val="16"/>
        </w:rPr>
        <w:t>pandemic, geopolitical</w:t>
      </w:r>
      <w:r>
        <w:rPr>
          <w:spacing w:val="-9"/>
          <w:w w:val="105"/>
          <w:sz w:val="16"/>
        </w:rPr>
        <w:t> </w:t>
      </w:r>
      <w:r>
        <w:rPr>
          <w:w w:val="105"/>
          <w:sz w:val="16"/>
        </w:rPr>
        <w:t>turmoil,</w:t>
      </w:r>
      <w:r>
        <w:rPr>
          <w:spacing w:val="-9"/>
          <w:w w:val="105"/>
          <w:sz w:val="16"/>
        </w:rPr>
        <w:t> </w:t>
      </w:r>
      <w:r>
        <w:rPr>
          <w:w w:val="105"/>
          <w:sz w:val="16"/>
        </w:rPr>
        <w:t>increased</w:t>
      </w:r>
      <w:r>
        <w:rPr>
          <w:spacing w:val="-9"/>
          <w:w w:val="105"/>
          <w:sz w:val="16"/>
        </w:rPr>
        <w:t> </w:t>
      </w:r>
      <w:r>
        <w:rPr>
          <w:w w:val="105"/>
          <w:sz w:val="16"/>
        </w:rPr>
        <w:t>trade</w:t>
      </w:r>
      <w:r>
        <w:rPr>
          <w:spacing w:val="-9"/>
          <w:w w:val="105"/>
          <w:sz w:val="16"/>
        </w:rPr>
        <w:t> </w:t>
      </w:r>
      <w:r>
        <w:rPr>
          <w:w w:val="105"/>
          <w:sz w:val="16"/>
        </w:rPr>
        <w:t>restrictions</w:t>
      </w:r>
      <w:r>
        <w:rPr>
          <w:spacing w:val="-9"/>
          <w:w w:val="105"/>
          <w:sz w:val="16"/>
        </w:rPr>
        <w:t> </w:t>
      </w:r>
      <w:r>
        <w:rPr>
          <w:w w:val="105"/>
          <w:sz w:val="16"/>
        </w:rPr>
        <w:t>between</w:t>
      </w:r>
      <w:r>
        <w:rPr>
          <w:spacing w:val="-9"/>
          <w:w w:val="105"/>
          <w:sz w:val="16"/>
        </w:rPr>
        <w:t> </w:t>
      </w:r>
      <w:r>
        <w:rPr>
          <w:w w:val="105"/>
          <w:sz w:val="16"/>
        </w:rPr>
        <w:t>the</w:t>
      </w:r>
      <w:r>
        <w:rPr>
          <w:spacing w:val="-9"/>
          <w:w w:val="105"/>
          <w:sz w:val="16"/>
        </w:rPr>
        <w:t> </w:t>
      </w:r>
      <w:r>
        <w:rPr>
          <w:w w:val="105"/>
          <w:sz w:val="16"/>
        </w:rPr>
        <w:t>U.S.</w:t>
      </w:r>
      <w:r>
        <w:rPr>
          <w:spacing w:val="-9"/>
          <w:w w:val="105"/>
          <w:sz w:val="16"/>
        </w:rPr>
        <w:t> </w:t>
      </w:r>
      <w:r>
        <w:rPr>
          <w:w w:val="105"/>
          <w:sz w:val="16"/>
        </w:rPr>
        <w:t>and</w:t>
      </w:r>
      <w:r>
        <w:rPr>
          <w:spacing w:val="-9"/>
          <w:w w:val="105"/>
          <w:sz w:val="16"/>
        </w:rPr>
        <w:t> </w:t>
      </w:r>
      <w:r>
        <w:rPr>
          <w:w w:val="105"/>
          <w:sz w:val="16"/>
        </w:rPr>
        <w:t>China</w:t>
      </w:r>
      <w:r>
        <w:rPr>
          <w:spacing w:val="-9"/>
          <w:w w:val="105"/>
          <w:sz w:val="16"/>
        </w:rPr>
        <w:t> </w:t>
      </w:r>
      <w:r>
        <w:rPr>
          <w:w w:val="105"/>
          <w:sz w:val="16"/>
        </w:rPr>
        <w:t>and</w:t>
      </w:r>
      <w:r>
        <w:rPr>
          <w:spacing w:val="-9"/>
          <w:w w:val="105"/>
          <w:sz w:val="16"/>
        </w:rPr>
        <w:t> </w:t>
      </w:r>
      <w:r>
        <w:rPr>
          <w:w w:val="105"/>
          <w:sz w:val="16"/>
        </w:rPr>
        <w:t>other</w:t>
      </w:r>
      <w:r>
        <w:rPr>
          <w:spacing w:val="-9"/>
          <w:w w:val="105"/>
          <w:sz w:val="16"/>
        </w:rPr>
        <w:t> </w:t>
      </w:r>
      <w:r>
        <w:rPr>
          <w:w w:val="105"/>
          <w:sz w:val="16"/>
        </w:rPr>
        <w:t>countries,</w:t>
      </w:r>
      <w:r>
        <w:rPr>
          <w:spacing w:val="-9"/>
          <w:w w:val="105"/>
          <w:sz w:val="16"/>
        </w:rPr>
        <w:t> </w:t>
      </w:r>
      <w:r>
        <w:rPr>
          <w:w w:val="105"/>
          <w:sz w:val="16"/>
        </w:rPr>
        <w:t>social</w:t>
      </w:r>
      <w:r>
        <w:rPr>
          <w:spacing w:val="-9"/>
          <w:w w:val="105"/>
          <w:sz w:val="16"/>
        </w:rPr>
        <w:t> </w:t>
      </w:r>
      <w:r>
        <w:rPr>
          <w:w w:val="105"/>
          <w:sz w:val="16"/>
        </w:rPr>
        <w:t>unrest,</w:t>
      </w:r>
      <w:r>
        <w:rPr>
          <w:spacing w:val="-9"/>
          <w:w w:val="105"/>
          <w:sz w:val="16"/>
        </w:rPr>
        <w:t> </w:t>
      </w:r>
      <w:r>
        <w:rPr>
          <w:w w:val="105"/>
          <w:sz w:val="16"/>
        </w:rPr>
        <w:t>political</w:t>
      </w:r>
      <w:r>
        <w:rPr>
          <w:spacing w:val="-9"/>
          <w:w w:val="105"/>
          <w:sz w:val="16"/>
        </w:rPr>
        <w:t> </w:t>
      </w:r>
      <w:r>
        <w:rPr>
          <w:w w:val="105"/>
          <w:sz w:val="16"/>
        </w:rPr>
        <w:t>instability,</w:t>
      </w:r>
      <w:r>
        <w:rPr>
          <w:spacing w:val="-9"/>
          <w:w w:val="105"/>
          <w:sz w:val="16"/>
        </w:rPr>
        <w:t> </w:t>
      </w:r>
      <w:r>
        <w:rPr>
          <w:w w:val="105"/>
          <w:sz w:val="16"/>
        </w:rPr>
        <w:t>terrorism,</w:t>
      </w:r>
      <w:r>
        <w:rPr>
          <w:spacing w:val="-9"/>
          <w:w w:val="105"/>
          <w:sz w:val="16"/>
        </w:rPr>
        <w:t> </w:t>
      </w:r>
      <w:r>
        <w:rPr>
          <w:w w:val="105"/>
          <w:sz w:val="16"/>
        </w:rPr>
        <w:t>or</w:t>
      </w:r>
      <w:r>
        <w:rPr>
          <w:spacing w:val="-9"/>
          <w:w w:val="105"/>
          <w:sz w:val="16"/>
        </w:rPr>
        <w:t> </w:t>
      </w:r>
      <w:r>
        <w:rPr>
          <w:w w:val="105"/>
          <w:sz w:val="16"/>
        </w:rPr>
        <w:t>acts</w:t>
      </w:r>
      <w:r>
        <w:rPr>
          <w:spacing w:val="-9"/>
          <w:w w:val="105"/>
          <w:sz w:val="16"/>
        </w:rPr>
        <w:t> </w:t>
      </w:r>
      <w:r>
        <w:rPr>
          <w:w w:val="105"/>
          <w:sz w:val="16"/>
        </w:rPr>
        <w:t>of</w:t>
      </w:r>
      <w:r>
        <w:rPr>
          <w:spacing w:val="-9"/>
          <w:w w:val="105"/>
          <w:sz w:val="16"/>
        </w:rPr>
        <w:t> </w:t>
      </w:r>
      <w:r>
        <w:rPr>
          <w:w w:val="105"/>
          <w:sz w:val="16"/>
        </w:rPr>
        <w:t>war)</w:t>
      </w:r>
      <w:r>
        <w:rPr>
          <w:spacing w:val="-9"/>
          <w:w w:val="105"/>
          <w:sz w:val="16"/>
        </w:rPr>
        <w:t> </w:t>
      </w:r>
      <w:r>
        <w:rPr>
          <w:w w:val="105"/>
          <w:sz w:val="16"/>
        </w:rPr>
        <w:t>in</w:t>
      </w:r>
      <w:r>
        <w:rPr>
          <w:spacing w:val="-9"/>
          <w:w w:val="105"/>
          <w:sz w:val="16"/>
        </w:rPr>
        <w:t> </w:t>
      </w:r>
      <w:r>
        <w:rPr>
          <w:w w:val="105"/>
          <w:sz w:val="16"/>
        </w:rPr>
        <w:t>locations where it or its customers or suppliers have manufacturing, research, engineering or other operations.</w:t>
      </w:r>
    </w:p>
    <w:p>
      <w:pPr>
        <w:pStyle w:val="BodyText"/>
        <w:spacing w:before="18"/>
      </w:pPr>
    </w:p>
    <w:p>
      <w:pPr>
        <w:pStyle w:val="Heading2"/>
        <w:spacing w:line="266" w:lineRule="auto"/>
      </w:pPr>
      <w:r>
        <w:rPr>
          <w:w w:val="105"/>
        </w:rPr>
        <w:t>Corning</w:t>
      </w:r>
      <w:r>
        <w:rPr>
          <w:b w:val="0"/>
          <w:w w:val="105"/>
        </w:rPr>
        <w:t>’</w:t>
      </w:r>
      <w:r>
        <w:rPr>
          <w:w w:val="105"/>
        </w:rPr>
        <w:t>s</w:t>
      </w:r>
      <w:r>
        <w:rPr>
          <w:spacing w:val="-10"/>
          <w:w w:val="105"/>
        </w:rPr>
        <w:t> </w:t>
      </w:r>
      <w:r>
        <w:rPr>
          <w:w w:val="105"/>
        </w:rPr>
        <w:t>Display</w:t>
      </w:r>
      <w:r>
        <w:rPr>
          <w:spacing w:val="-10"/>
          <w:w w:val="105"/>
        </w:rPr>
        <w:t> </w:t>
      </w:r>
      <w:r>
        <w:rPr>
          <w:w w:val="105"/>
        </w:rPr>
        <w:t>Technologies</w:t>
      </w:r>
      <w:r>
        <w:rPr>
          <w:spacing w:val="-10"/>
          <w:w w:val="105"/>
        </w:rPr>
        <w:t> </w:t>
      </w:r>
      <w:r>
        <w:rPr>
          <w:w w:val="105"/>
        </w:rPr>
        <w:t>segment</w:t>
      </w:r>
      <w:r>
        <w:rPr>
          <w:spacing w:val="-10"/>
          <w:w w:val="105"/>
        </w:rPr>
        <w:t> </w:t>
      </w:r>
      <w:r>
        <w:rPr>
          <w:w w:val="105"/>
        </w:rPr>
        <w:t>generates</w:t>
      </w:r>
      <w:r>
        <w:rPr>
          <w:spacing w:val="-10"/>
          <w:w w:val="105"/>
        </w:rPr>
        <w:t> </w:t>
      </w:r>
      <w:r>
        <w:rPr>
          <w:w w:val="105"/>
        </w:rPr>
        <w:t>a</w:t>
      </w:r>
      <w:r>
        <w:rPr>
          <w:spacing w:val="-10"/>
          <w:w w:val="105"/>
        </w:rPr>
        <w:t> </w:t>
      </w:r>
      <w:r>
        <w:rPr>
          <w:w w:val="105"/>
        </w:rPr>
        <w:t>significant</w:t>
      </w:r>
      <w:r>
        <w:rPr>
          <w:spacing w:val="-10"/>
          <w:w w:val="105"/>
        </w:rPr>
        <w:t> </w:t>
      </w:r>
      <w:r>
        <w:rPr>
          <w:w w:val="105"/>
        </w:rPr>
        <w:t>amount</w:t>
      </w:r>
      <w:r>
        <w:rPr>
          <w:spacing w:val="-10"/>
          <w:w w:val="105"/>
        </w:rPr>
        <w:t> </w:t>
      </w:r>
      <w:r>
        <w:rPr>
          <w:w w:val="105"/>
        </w:rPr>
        <w:t>of</w:t>
      </w:r>
      <w:r>
        <w:rPr>
          <w:spacing w:val="-10"/>
          <w:w w:val="105"/>
        </w:rPr>
        <w:t> </w:t>
      </w:r>
      <w:r>
        <w:rPr>
          <w:w w:val="105"/>
        </w:rPr>
        <w:t>the</w:t>
      </w:r>
      <w:r>
        <w:rPr>
          <w:spacing w:val="-10"/>
          <w:w w:val="105"/>
        </w:rPr>
        <w:t> </w:t>
      </w:r>
      <w:r>
        <w:rPr>
          <w:w w:val="105"/>
        </w:rPr>
        <w:t>Company</w:t>
      </w:r>
      <w:r>
        <w:rPr>
          <w:b w:val="0"/>
          <w:w w:val="105"/>
        </w:rPr>
        <w:t>’</w:t>
      </w:r>
      <w:r>
        <w:rPr>
          <w:w w:val="105"/>
        </w:rPr>
        <w:t>s</w:t>
      </w:r>
      <w:r>
        <w:rPr>
          <w:spacing w:val="-10"/>
          <w:w w:val="105"/>
        </w:rPr>
        <w:t> </w:t>
      </w:r>
      <w:r>
        <w:rPr>
          <w:w w:val="105"/>
        </w:rPr>
        <w:t>profits</w:t>
      </w:r>
      <w:r>
        <w:rPr>
          <w:spacing w:val="-10"/>
          <w:w w:val="105"/>
        </w:rPr>
        <w:t> </w:t>
      </w:r>
      <w:r>
        <w:rPr>
          <w:w w:val="105"/>
        </w:rPr>
        <w:t>and</w:t>
      </w:r>
      <w:r>
        <w:rPr>
          <w:spacing w:val="-10"/>
          <w:w w:val="105"/>
        </w:rPr>
        <w:t> </w:t>
      </w:r>
      <w:r>
        <w:rPr>
          <w:w w:val="105"/>
        </w:rPr>
        <w:t>cash</w:t>
      </w:r>
      <w:r>
        <w:rPr>
          <w:spacing w:val="-10"/>
          <w:w w:val="105"/>
        </w:rPr>
        <w:t> </w:t>
      </w:r>
      <w:r>
        <w:rPr>
          <w:w w:val="105"/>
        </w:rPr>
        <w:t>flow;</w:t>
      </w:r>
      <w:r>
        <w:rPr>
          <w:spacing w:val="-10"/>
          <w:w w:val="105"/>
        </w:rPr>
        <w:t> </w:t>
      </w:r>
      <w:r>
        <w:rPr>
          <w:w w:val="105"/>
        </w:rPr>
        <w:t>any</w:t>
      </w:r>
      <w:r>
        <w:rPr>
          <w:spacing w:val="-10"/>
          <w:w w:val="105"/>
        </w:rPr>
        <w:t> </w:t>
      </w:r>
      <w:r>
        <w:rPr>
          <w:w w:val="105"/>
        </w:rPr>
        <w:t>significant</w:t>
      </w:r>
      <w:r>
        <w:rPr>
          <w:spacing w:val="-10"/>
          <w:w w:val="105"/>
        </w:rPr>
        <w:t> </w:t>
      </w:r>
      <w:r>
        <w:rPr>
          <w:w w:val="105"/>
        </w:rPr>
        <w:t>decrease</w:t>
      </w:r>
      <w:r>
        <w:rPr>
          <w:spacing w:val="-10"/>
          <w:w w:val="105"/>
        </w:rPr>
        <w:t> </w:t>
      </w:r>
      <w:r>
        <w:rPr>
          <w:w w:val="105"/>
        </w:rPr>
        <w:t>in</w:t>
      </w:r>
      <w:r>
        <w:rPr>
          <w:spacing w:val="-10"/>
          <w:w w:val="105"/>
        </w:rPr>
        <w:t> </w:t>
      </w:r>
      <w:r>
        <w:rPr>
          <w:w w:val="105"/>
        </w:rPr>
        <w:t>display</w:t>
      </w:r>
      <w:r>
        <w:rPr>
          <w:spacing w:val="-10"/>
          <w:w w:val="105"/>
        </w:rPr>
        <w:t> </w:t>
      </w:r>
      <w:r>
        <w:rPr>
          <w:w w:val="105"/>
        </w:rPr>
        <w:t>glass</w:t>
      </w:r>
      <w:r>
        <w:rPr>
          <w:spacing w:val="-10"/>
          <w:w w:val="105"/>
        </w:rPr>
        <w:t> </w:t>
      </w:r>
      <w:r>
        <w:rPr>
          <w:w w:val="105"/>
        </w:rPr>
        <w:t>pricing</w:t>
      </w:r>
      <w:r>
        <w:rPr>
          <w:spacing w:val="-10"/>
          <w:w w:val="105"/>
        </w:rPr>
        <w:t> </w:t>
      </w:r>
      <w:r>
        <w:rPr>
          <w:w w:val="105"/>
        </w:rPr>
        <w:t>or market share could have a material and negative impact on our financial results</w:t>
      </w:r>
    </w:p>
    <w:p>
      <w:pPr>
        <w:pStyle w:val="BodyText"/>
        <w:spacing w:before="19"/>
        <w:rPr>
          <w:b/>
        </w:rPr>
      </w:pPr>
    </w:p>
    <w:p>
      <w:pPr>
        <w:pStyle w:val="BodyText"/>
        <w:spacing w:line="266" w:lineRule="auto"/>
        <w:ind w:left="156" w:right="113"/>
        <w:jc w:val="both"/>
      </w:pPr>
      <w:r>
        <w:rPr>
          <w:w w:val="105"/>
        </w:rPr>
        <w:t>Corning’s</w:t>
      </w:r>
      <w:r>
        <w:rPr>
          <w:spacing w:val="-8"/>
          <w:w w:val="105"/>
        </w:rPr>
        <w:t> </w:t>
      </w:r>
      <w:r>
        <w:rPr>
          <w:w w:val="105"/>
        </w:rPr>
        <w:t>ability</w:t>
      </w:r>
      <w:r>
        <w:rPr>
          <w:spacing w:val="-8"/>
          <w:w w:val="105"/>
        </w:rPr>
        <w:t> </w:t>
      </w:r>
      <w:r>
        <w:rPr>
          <w:w w:val="105"/>
        </w:rPr>
        <w:t>to</w:t>
      </w:r>
      <w:r>
        <w:rPr>
          <w:spacing w:val="-8"/>
          <w:w w:val="105"/>
        </w:rPr>
        <w:t> </w:t>
      </w:r>
      <w:r>
        <w:rPr>
          <w:w w:val="105"/>
        </w:rPr>
        <w:t>generate</w:t>
      </w:r>
      <w:r>
        <w:rPr>
          <w:spacing w:val="-8"/>
          <w:w w:val="105"/>
        </w:rPr>
        <w:t> </w:t>
      </w:r>
      <w:r>
        <w:rPr>
          <w:w w:val="105"/>
        </w:rPr>
        <w:t>profits</w:t>
      </w:r>
      <w:r>
        <w:rPr>
          <w:spacing w:val="-8"/>
          <w:w w:val="105"/>
        </w:rPr>
        <w:t> </w:t>
      </w:r>
      <w:r>
        <w:rPr>
          <w:w w:val="105"/>
        </w:rPr>
        <w:t>and</w:t>
      </w:r>
      <w:r>
        <w:rPr>
          <w:spacing w:val="-8"/>
          <w:w w:val="105"/>
        </w:rPr>
        <w:t> </w:t>
      </w:r>
      <w:r>
        <w:rPr>
          <w:w w:val="105"/>
        </w:rPr>
        <w:t>operating</w:t>
      </w:r>
      <w:r>
        <w:rPr>
          <w:spacing w:val="-8"/>
          <w:w w:val="105"/>
        </w:rPr>
        <w:t> </w:t>
      </w:r>
      <w:r>
        <w:rPr>
          <w:w w:val="105"/>
        </w:rPr>
        <w:t>cash</w:t>
      </w:r>
      <w:r>
        <w:rPr>
          <w:spacing w:val="-8"/>
          <w:w w:val="105"/>
        </w:rPr>
        <w:t> </w:t>
      </w:r>
      <w:r>
        <w:rPr>
          <w:w w:val="105"/>
        </w:rPr>
        <w:t>flow</w:t>
      </w:r>
      <w:r>
        <w:rPr>
          <w:spacing w:val="-8"/>
          <w:w w:val="105"/>
        </w:rPr>
        <w:t> </w:t>
      </w:r>
      <w:r>
        <w:rPr>
          <w:w w:val="105"/>
        </w:rPr>
        <w:t>depends</w:t>
      </w:r>
      <w:r>
        <w:rPr>
          <w:spacing w:val="-8"/>
          <w:w w:val="105"/>
        </w:rPr>
        <w:t> </w:t>
      </w:r>
      <w:r>
        <w:rPr>
          <w:w w:val="105"/>
        </w:rPr>
        <w:t>largely</w:t>
      </w:r>
      <w:r>
        <w:rPr>
          <w:spacing w:val="-8"/>
          <w:w w:val="105"/>
        </w:rPr>
        <w:t> </w:t>
      </w:r>
      <w:r>
        <w:rPr>
          <w:w w:val="105"/>
        </w:rPr>
        <w:t>on</w:t>
      </w:r>
      <w:r>
        <w:rPr>
          <w:spacing w:val="-8"/>
          <w:w w:val="105"/>
        </w:rPr>
        <w:t> </w:t>
      </w:r>
      <w:r>
        <w:rPr>
          <w:w w:val="105"/>
        </w:rPr>
        <w:t>the</w:t>
      </w:r>
      <w:r>
        <w:rPr>
          <w:spacing w:val="-8"/>
          <w:w w:val="105"/>
        </w:rPr>
        <w:t> </w:t>
      </w:r>
      <w:r>
        <w:rPr>
          <w:w w:val="105"/>
        </w:rPr>
        <w:t>profitability</w:t>
      </w:r>
      <w:r>
        <w:rPr>
          <w:spacing w:val="-8"/>
          <w:w w:val="105"/>
        </w:rPr>
        <w:t> </w:t>
      </w:r>
      <w:r>
        <w:rPr>
          <w:w w:val="105"/>
        </w:rPr>
        <w:t>of</w:t>
      </w:r>
      <w:r>
        <w:rPr>
          <w:spacing w:val="-8"/>
          <w:w w:val="105"/>
        </w:rPr>
        <w:t> </w:t>
      </w:r>
      <w:r>
        <w:rPr>
          <w:w w:val="105"/>
        </w:rPr>
        <w:t>our</w:t>
      </w:r>
      <w:r>
        <w:rPr>
          <w:spacing w:val="-8"/>
          <w:w w:val="105"/>
        </w:rPr>
        <w:t> </w:t>
      </w:r>
      <w:r>
        <w:rPr>
          <w:w w:val="105"/>
        </w:rPr>
        <w:t>display</w:t>
      </w:r>
      <w:r>
        <w:rPr>
          <w:spacing w:val="-8"/>
          <w:w w:val="105"/>
        </w:rPr>
        <w:t> </w:t>
      </w:r>
      <w:r>
        <w:rPr>
          <w:w w:val="105"/>
        </w:rPr>
        <w:t>glass</w:t>
      </w:r>
      <w:r>
        <w:rPr>
          <w:spacing w:val="-8"/>
          <w:w w:val="105"/>
        </w:rPr>
        <w:t> </w:t>
      </w:r>
      <w:r>
        <w:rPr>
          <w:w w:val="105"/>
        </w:rPr>
        <w:t>business,</w:t>
      </w:r>
      <w:r>
        <w:rPr>
          <w:spacing w:val="-8"/>
          <w:w w:val="105"/>
        </w:rPr>
        <w:t> </w:t>
      </w:r>
      <w:r>
        <w:rPr>
          <w:w w:val="105"/>
        </w:rPr>
        <w:t>which</w:t>
      </w:r>
      <w:r>
        <w:rPr>
          <w:spacing w:val="-8"/>
          <w:w w:val="105"/>
        </w:rPr>
        <w:t> </w:t>
      </w:r>
      <w:r>
        <w:rPr>
          <w:w w:val="105"/>
        </w:rPr>
        <w:t>is</w:t>
      </w:r>
      <w:r>
        <w:rPr>
          <w:spacing w:val="-8"/>
          <w:w w:val="105"/>
        </w:rPr>
        <w:t> </w:t>
      </w:r>
      <w:r>
        <w:rPr>
          <w:w w:val="105"/>
        </w:rPr>
        <w:t>subject</w:t>
      </w:r>
      <w:r>
        <w:rPr>
          <w:spacing w:val="-8"/>
          <w:w w:val="105"/>
        </w:rPr>
        <w:t> </w:t>
      </w:r>
      <w:r>
        <w:rPr>
          <w:w w:val="105"/>
        </w:rPr>
        <w:t>to</w:t>
      </w:r>
      <w:r>
        <w:rPr>
          <w:spacing w:val="-8"/>
          <w:w w:val="105"/>
        </w:rPr>
        <w:t> </w:t>
      </w:r>
      <w:r>
        <w:rPr>
          <w:w w:val="105"/>
        </w:rPr>
        <w:t>continuous</w:t>
      </w:r>
      <w:r>
        <w:rPr>
          <w:spacing w:val="-8"/>
          <w:w w:val="105"/>
        </w:rPr>
        <w:t> </w:t>
      </w:r>
      <w:r>
        <w:rPr>
          <w:w w:val="105"/>
        </w:rPr>
        <w:t>pricing</w:t>
      </w:r>
      <w:r>
        <w:rPr>
          <w:spacing w:val="-8"/>
          <w:w w:val="105"/>
        </w:rPr>
        <w:t> </w:t>
      </w:r>
      <w:r>
        <w:rPr>
          <w:w w:val="105"/>
        </w:rPr>
        <w:t>pressure due</w:t>
      </w:r>
      <w:r>
        <w:rPr>
          <w:spacing w:val="-8"/>
          <w:w w:val="105"/>
        </w:rPr>
        <w:t> </w:t>
      </w:r>
      <w:r>
        <w:rPr>
          <w:w w:val="105"/>
        </w:rPr>
        <w:t>to</w:t>
      </w:r>
      <w:r>
        <w:rPr>
          <w:spacing w:val="-8"/>
          <w:w w:val="105"/>
        </w:rPr>
        <w:t> </w:t>
      </w:r>
      <w:r>
        <w:rPr>
          <w:w w:val="105"/>
        </w:rPr>
        <w:t>industry</w:t>
      </w:r>
      <w:r>
        <w:rPr>
          <w:spacing w:val="-8"/>
          <w:w w:val="105"/>
        </w:rPr>
        <w:t> </w:t>
      </w:r>
      <w:r>
        <w:rPr>
          <w:w w:val="105"/>
        </w:rPr>
        <w:t>competition,</w:t>
      </w:r>
      <w:r>
        <w:rPr>
          <w:spacing w:val="-8"/>
          <w:w w:val="105"/>
        </w:rPr>
        <w:t> </w:t>
      </w:r>
      <w:r>
        <w:rPr>
          <w:w w:val="105"/>
        </w:rPr>
        <w:t>potential</w:t>
      </w:r>
      <w:r>
        <w:rPr>
          <w:spacing w:val="-8"/>
          <w:w w:val="105"/>
        </w:rPr>
        <w:t> </w:t>
      </w:r>
      <w:r>
        <w:rPr>
          <w:w w:val="105"/>
        </w:rPr>
        <w:t>over-capacity,</w:t>
      </w:r>
      <w:r>
        <w:rPr>
          <w:spacing w:val="-8"/>
          <w:w w:val="105"/>
        </w:rPr>
        <w:t> </w:t>
      </w:r>
      <w:r>
        <w:rPr>
          <w:w w:val="105"/>
        </w:rPr>
        <w:t>and</w:t>
      </w:r>
      <w:r>
        <w:rPr>
          <w:spacing w:val="-8"/>
          <w:w w:val="105"/>
        </w:rPr>
        <w:t> </w:t>
      </w:r>
      <w:r>
        <w:rPr>
          <w:w w:val="105"/>
        </w:rPr>
        <w:t>development</w:t>
      </w:r>
      <w:r>
        <w:rPr>
          <w:spacing w:val="-8"/>
          <w:w w:val="105"/>
        </w:rPr>
        <w:t> </w:t>
      </w:r>
      <w:r>
        <w:rPr>
          <w:w w:val="105"/>
        </w:rPr>
        <w:t>of</w:t>
      </w:r>
      <w:r>
        <w:rPr>
          <w:spacing w:val="-8"/>
          <w:w w:val="105"/>
        </w:rPr>
        <w:t> </w:t>
      </w:r>
      <w:r>
        <w:rPr>
          <w:w w:val="105"/>
        </w:rPr>
        <w:t>new</w:t>
      </w:r>
      <w:r>
        <w:rPr>
          <w:spacing w:val="-8"/>
          <w:w w:val="105"/>
        </w:rPr>
        <w:t> </w:t>
      </w:r>
      <w:r>
        <w:rPr>
          <w:w w:val="105"/>
        </w:rPr>
        <w:t>technologies.</w:t>
      </w:r>
      <w:r>
        <w:rPr>
          <w:spacing w:val="-8"/>
          <w:w w:val="105"/>
        </w:rPr>
        <w:t> </w:t>
      </w:r>
      <w:r>
        <w:rPr>
          <w:w w:val="105"/>
        </w:rPr>
        <w:t>If</w:t>
      </w:r>
      <w:r>
        <w:rPr>
          <w:spacing w:val="-8"/>
          <w:w w:val="105"/>
        </w:rPr>
        <w:t> </w:t>
      </w:r>
      <w:r>
        <w:rPr>
          <w:w w:val="105"/>
        </w:rPr>
        <w:t>we</w:t>
      </w:r>
      <w:r>
        <w:rPr>
          <w:spacing w:val="-8"/>
          <w:w w:val="105"/>
        </w:rPr>
        <w:t> </w:t>
      </w:r>
      <w:r>
        <w:rPr>
          <w:w w:val="105"/>
        </w:rPr>
        <w:t>are</w:t>
      </w:r>
      <w:r>
        <w:rPr>
          <w:spacing w:val="-8"/>
          <w:w w:val="105"/>
        </w:rPr>
        <w:t> </w:t>
      </w:r>
      <w:r>
        <w:rPr>
          <w:w w:val="105"/>
        </w:rPr>
        <w:t>not</w:t>
      </w:r>
      <w:r>
        <w:rPr>
          <w:spacing w:val="-8"/>
          <w:w w:val="105"/>
        </w:rPr>
        <w:t> </w:t>
      </w:r>
      <w:r>
        <w:rPr>
          <w:w w:val="105"/>
        </w:rPr>
        <w:t>able</w:t>
      </w:r>
      <w:r>
        <w:rPr>
          <w:spacing w:val="-8"/>
          <w:w w:val="105"/>
        </w:rPr>
        <w:t> </w:t>
      </w:r>
      <w:r>
        <w:rPr>
          <w:w w:val="105"/>
        </w:rPr>
        <w:t>to</w:t>
      </w:r>
      <w:r>
        <w:rPr>
          <w:spacing w:val="-6"/>
          <w:w w:val="105"/>
        </w:rPr>
        <w:t> </w:t>
      </w:r>
      <w:r>
        <w:rPr>
          <w:w w:val="105"/>
        </w:rPr>
        <w:t>achieve</w:t>
      </w:r>
      <w:r>
        <w:rPr>
          <w:spacing w:val="-8"/>
          <w:w w:val="105"/>
        </w:rPr>
        <w:t> </w:t>
      </w:r>
      <w:r>
        <w:rPr>
          <w:w w:val="105"/>
        </w:rPr>
        <w:t>proportionate</w:t>
      </w:r>
      <w:r>
        <w:rPr>
          <w:spacing w:val="-8"/>
          <w:w w:val="105"/>
        </w:rPr>
        <w:t> </w:t>
      </w:r>
      <w:r>
        <w:rPr>
          <w:w w:val="105"/>
        </w:rPr>
        <w:t>reductions</w:t>
      </w:r>
      <w:r>
        <w:rPr>
          <w:spacing w:val="-8"/>
          <w:w w:val="105"/>
        </w:rPr>
        <w:t> </w:t>
      </w:r>
      <w:r>
        <w:rPr>
          <w:w w:val="105"/>
        </w:rPr>
        <w:t>in</w:t>
      </w:r>
      <w:r>
        <w:rPr>
          <w:spacing w:val="-8"/>
          <w:w w:val="105"/>
        </w:rPr>
        <w:t> </w:t>
      </w:r>
      <w:r>
        <w:rPr>
          <w:w w:val="105"/>
        </w:rPr>
        <w:t>costs</w:t>
      </w:r>
      <w:r>
        <w:rPr>
          <w:spacing w:val="-8"/>
          <w:w w:val="105"/>
        </w:rPr>
        <w:t> </w:t>
      </w:r>
      <w:r>
        <w:rPr>
          <w:w w:val="105"/>
        </w:rPr>
        <w:t>and/or</w:t>
      </w:r>
      <w:r>
        <w:rPr>
          <w:spacing w:val="-8"/>
          <w:w w:val="105"/>
        </w:rPr>
        <w:t> </w:t>
      </w:r>
      <w:r>
        <w:rPr>
          <w:w w:val="105"/>
        </w:rPr>
        <w:t>increases</w:t>
      </w:r>
      <w:r>
        <w:rPr>
          <w:spacing w:val="-8"/>
          <w:w w:val="105"/>
        </w:rPr>
        <w:t> </w:t>
      </w:r>
      <w:r>
        <w:rPr>
          <w:w w:val="105"/>
        </w:rPr>
        <w:t>in volume to offset ongoing pricing pressure, it could have a material adverse impact on our financial results.</w:t>
      </w:r>
    </w:p>
    <w:p>
      <w:pPr>
        <w:pStyle w:val="BodyText"/>
        <w:spacing w:before="19"/>
      </w:pPr>
    </w:p>
    <w:p>
      <w:pPr>
        <w:pStyle w:val="Heading2"/>
      </w:pPr>
      <w:r>
        <w:rPr>
          <w:w w:val="105"/>
        </w:rPr>
        <w:t>Because</w:t>
      </w:r>
      <w:r>
        <w:rPr>
          <w:spacing w:val="-10"/>
          <w:w w:val="105"/>
        </w:rPr>
        <w:t> </w:t>
      </w:r>
      <w:r>
        <w:rPr>
          <w:w w:val="105"/>
        </w:rPr>
        <w:t>we</w:t>
      </w:r>
      <w:r>
        <w:rPr>
          <w:spacing w:val="-9"/>
          <w:w w:val="105"/>
        </w:rPr>
        <w:t> </w:t>
      </w:r>
      <w:r>
        <w:rPr>
          <w:w w:val="105"/>
        </w:rPr>
        <w:t>have</w:t>
      </w:r>
      <w:r>
        <w:rPr>
          <w:spacing w:val="-9"/>
          <w:w w:val="105"/>
        </w:rPr>
        <w:t> </w:t>
      </w:r>
      <w:r>
        <w:rPr>
          <w:w w:val="105"/>
        </w:rPr>
        <w:t>a</w:t>
      </w:r>
      <w:r>
        <w:rPr>
          <w:spacing w:val="-10"/>
          <w:w w:val="105"/>
        </w:rPr>
        <w:t> </w:t>
      </w:r>
      <w:r>
        <w:rPr>
          <w:w w:val="105"/>
        </w:rPr>
        <w:t>concentrated</w:t>
      </w:r>
      <w:r>
        <w:rPr>
          <w:spacing w:val="-9"/>
          <w:w w:val="105"/>
        </w:rPr>
        <w:t> </w:t>
      </w:r>
      <w:r>
        <w:rPr>
          <w:w w:val="105"/>
        </w:rPr>
        <w:t>customer</w:t>
      </w:r>
      <w:r>
        <w:rPr>
          <w:spacing w:val="-9"/>
          <w:w w:val="105"/>
        </w:rPr>
        <w:t> </w:t>
      </w:r>
      <w:r>
        <w:rPr>
          <w:w w:val="105"/>
        </w:rPr>
        <w:t>base,</w:t>
      </w:r>
      <w:r>
        <w:rPr>
          <w:spacing w:val="-10"/>
          <w:w w:val="105"/>
        </w:rPr>
        <w:t> </w:t>
      </w:r>
      <w:r>
        <w:rPr>
          <w:w w:val="105"/>
        </w:rPr>
        <w:t>future</w:t>
      </w:r>
      <w:r>
        <w:rPr>
          <w:spacing w:val="-9"/>
          <w:w w:val="105"/>
        </w:rPr>
        <w:t> </w:t>
      </w:r>
      <w:r>
        <w:rPr>
          <w:w w:val="105"/>
        </w:rPr>
        <w:t>sales</w:t>
      </w:r>
      <w:r>
        <w:rPr>
          <w:spacing w:val="-9"/>
          <w:w w:val="105"/>
        </w:rPr>
        <w:t> </w:t>
      </w:r>
      <w:r>
        <w:rPr>
          <w:w w:val="105"/>
        </w:rPr>
        <w:t>and</w:t>
      </w:r>
      <w:r>
        <w:rPr>
          <w:spacing w:val="-10"/>
          <w:w w:val="105"/>
        </w:rPr>
        <w:t> </w:t>
      </w:r>
      <w:r>
        <w:rPr>
          <w:w w:val="105"/>
        </w:rPr>
        <w:t>cash</w:t>
      </w:r>
      <w:r>
        <w:rPr>
          <w:spacing w:val="-9"/>
          <w:w w:val="105"/>
        </w:rPr>
        <w:t> </w:t>
      </w:r>
      <w:r>
        <w:rPr>
          <w:w w:val="105"/>
        </w:rPr>
        <w:t>flows</w:t>
      </w:r>
      <w:r>
        <w:rPr>
          <w:spacing w:val="-9"/>
          <w:w w:val="105"/>
        </w:rPr>
        <w:t> </w:t>
      </w:r>
      <w:r>
        <w:rPr>
          <w:w w:val="105"/>
        </w:rPr>
        <w:t>could</w:t>
      </w:r>
      <w:r>
        <w:rPr>
          <w:spacing w:val="-10"/>
          <w:w w:val="105"/>
        </w:rPr>
        <w:t> </w:t>
      </w:r>
      <w:r>
        <w:rPr>
          <w:w w:val="105"/>
        </w:rPr>
        <w:t>be</w:t>
      </w:r>
      <w:r>
        <w:rPr>
          <w:spacing w:val="-9"/>
          <w:w w:val="105"/>
        </w:rPr>
        <w:t> </w:t>
      </w:r>
      <w:r>
        <w:rPr>
          <w:w w:val="105"/>
        </w:rPr>
        <w:t>negatively</w:t>
      </w:r>
      <w:r>
        <w:rPr>
          <w:spacing w:val="-9"/>
          <w:w w:val="105"/>
        </w:rPr>
        <w:t> </w:t>
      </w:r>
      <w:r>
        <w:rPr>
          <w:w w:val="105"/>
        </w:rPr>
        <w:t>impacted</w:t>
      </w:r>
      <w:r>
        <w:rPr>
          <w:spacing w:val="-10"/>
          <w:w w:val="105"/>
        </w:rPr>
        <w:t> </w:t>
      </w:r>
      <w:r>
        <w:rPr>
          <w:w w:val="105"/>
        </w:rPr>
        <w:t>by</w:t>
      </w:r>
      <w:r>
        <w:rPr>
          <w:spacing w:val="-9"/>
          <w:w w:val="105"/>
        </w:rPr>
        <w:t> </w:t>
      </w:r>
      <w:r>
        <w:rPr>
          <w:w w:val="105"/>
        </w:rPr>
        <w:t>the</w:t>
      </w:r>
      <w:r>
        <w:rPr>
          <w:spacing w:val="-9"/>
          <w:w w:val="105"/>
        </w:rPr>
        <w:t> </w:t>
      </w:r>
      <w:r>
        <w:rPr>
          <w:w w:val="105"/>
        </w:rPr>
        <w:t>actions</w:t>
      </w:r>
      <w:r>
        <w:rPr>
          <w:spacing w:val="-10"/>
          <w:w w:val="105"/>
        </w:rPr>
        <w:t> </w:t>
      </w:r>
      <w:r>
        <w:rPr>
          <w:w w:val="105"/>
        </w:rPr>
        <w:t>or</w:t>
      </w:r>
      <w:r>
        <w:rPr>
          <w:spacing w:val="-9"/>
          <w:w w:val="105"/>
        </w:rPr>
        <w:t> </w:t>
      </w:r>
      <w:r>
        <w:rPr>
          <w:w w:val="105"/>
        </w:rPr>
        <w:t>loss</w:t>
      </w:r>
      <w:r>
        <w:rPr>
          <w:spacing w:val="-9"/>
          <w:w w:val="105"/>
        </w:rPr>
        <w:t> </w:t>
      </w:r>
      <w:r>
        <w:rPr>
          <w:w w:val="105"/>
        </w:rPr>
        <w:t>of</w:t>
      </w:r>
      <w:r>
        <w:rPr>
          <w:spacing w:val="-10"/>
          <w:w w:val="105"/>
        </w:rPr>
        <w:t> </w:t>
      </w:r>
      <w:r>
        <w:rPr>
          <w:w w:val="105"/>
        </w:rPr>
        <w:t>one</w:t>
      </w:r>
      <w:r>
        <w:rPr>
          <w:spacing w:val="-9"/>
          <w:w w:val="105"/>
        </w:rPr>
        <w:t> </w:t>
      </w:r>
      <w:r>
        <w:rPr>
          <w:w w:val="105"/>
        </w:rPr>
        <w:t>or</w:t>
      </w:r>
      <w:r>
        <w:rPr>
          <w:spacing w:val="-8"/>
          <w:w w:val="105"/>
        </w:rPr>
        <w:t> </w:t>
      </w:r>
      <w:r>
        <w:rPr>
          <w:w w:val="105"/>
        </w:rPr>
        <w:t>more</w:t>
      </w:r>
      <w:r>
        <w:rPr>
          <w:spacing w:val="-9"/>
          <w:w w:val="105"/>
        </w:rPr>
        <w:t> </w:t>
      </w:r>
      <w:r>
        <w:rPr>
          <w:w w:val="105"/>
        </w:rPr>
        <w:t>key</w:t>
      </w:r>
      <w:r>
        <w:rPr>
          <w:spacing w:val="-10"/>
          <w:w w:val="105"/>
        </w:rPr>
        <w:t> </w:t>
      </w:r>
      <w:r>
        <w:rPr>
          <w:spacing w:val="-2"/>
          <w:w w:val="105"/>
        </w:rPr>
        <w:t>customers</w:t>
      </w:r>
    </w:p>
    <w:p>
      <w:pPr>
        <w:pStyle w:val="BodyText"/>
        <w:spacing w:before="39"/>
        <w:rPr>
          <w:b/>
        </w:rPr>
      </w:pPr>
    </w:p>
    <w:p>
      <w:pPr>
        <w:pStyle w:val="BodyText"/>
        <w:ind w:left="156"/>
      </w:pPr>
      <w:r>
        <w:rPr>
          <w:w w:val="105"/>
        </w:rPr>
        <w:t>A</w:t>
      </w:r>
      <w:r>
        <w:rPr>
          <w:spacing w:val="-8"/>
          <w:w w:val="105"/>
        </w:rPr>
        <w:t> </w:t>
      </w:r>
      <w:r>
        <w:rPr>
          <w:w w:val="105"/>
        </w:rPr>
        <w:t>relatively</w:t>
      </w:r>
      <w:r>
        <w:rPr>
          <w:spacing w:val="-8"/>
          <w:w w:val="105"/>
        </w:rPr>
        <w:t> </w:t>
      </w:r>
      <w:r>
        <w:rPr>
          <w:w w:val="105"/>
        </w:rPr>
        <w:t>small</w:t>
      </w:r>
      <w:r>
        <w:rPr>
          <w:spacing w:val="-8"/>
          <w:w w:val="105"/>
        </w:rPr>
        <w:t> </w:t>
      </w:r>
      <w:r>
        <w:rPr>
          <w:w w:val="105"/>
        </w:rPr>
        <w:t>number</w:t>
      </w:r>
      <w:r>
        <w:rPr>
          <w:spacing w:val="-8"/>
          <w:w w:val="105"/>
        </w:rPr>
        <w:t> </w:t>
      </w:r>
      <w:r>
        <w:rPr>
          <w:w w:val="105"/>
        </w:rPr>
        <w:t>of</w:t>
      </w:r>
      <w:r>
        <w:rPr>
          <w:spacing w:val="-8"/>
          <w:w w:val="105"/>
        </w:rPr>
        <w:t> </w:t>
      </w:r>
      <w:r>
        <w:rPr>
          <w:w w:val="105"/>
        </w:rPr>
        <w:t>end</w:t>
      </w:r>
      <w:r>
        <w:rPr>
          <w:spacing w:val="-7"/>
          <w:w w:val="105"/>
        </w:rPr>
        <w:t> </w:t>
      </w:r>
      <w:r>
        <w:rPr>
          <w:w w:val="105"/>
        </w:rPr>
        <w:t>customers</w:t>
      </w:r>
      <w:r>
        <w:rPr>
          <w:spacing w:val="-8"/>
          <w:w w:val="105"/>
        </w:rPr>
        <w:t> </w:t>
      </w:r>
      <w:r>
        <w:rPr>
          <w:w w:val="105"/>
        </w:rPr>
        <w:t>accounted</w:t>
      </w:r>
      <w:r>
        <w:rPr>
          <w:spacing w:val="-8"/>
          <w:w w:val="105"/>
        </w:rPr>
        <w:t> </w:t>
      </w:r>
      <w:r>
        <w:rPr>
          <w:w w:val="105"/>
        </w:rPr>
        <w:t>for</w:t>
      </w:r>
      <w:r>
        <w:rPr>
          <w:spacing w:val="-8"/>
          <w:w w:val="105"/>
        </w:rPr>
        <w:t> </w:t>
      </w:r>
      <w:r>
        <w:rPr>
          <w:w w:val="105"/>
        </w:rPr>
        <w:t>a</w:t>
      </w:r>
      <w:r>
        <w:rPr>
          <w:spacing w:val="-8"/>
          <w:w w:val="105"/>
        </w:rPr>
        <w:t> </w:t>
      </w:r>
      <w:r>
        <w:rPr>
          <w:w w:val="105"/>
        </w:rPr>
        <w:t>high</w:t>
      </w:r>
      <w:r>
        <w:rPr>
          <w:spacing w:val="-8"/>
          <w:w w:val="105"/>
        </w:rPr>
        <w:t> </w:t>
      </w:r>
      <w:r>
        <w:rPr>
          <w:w w:val="105"/>
        </w:rPr>
        <w:t>percentage</w:t>
      </w:r>
      <w:r>
        <w:rPr>
          <w:spacing w:val="-7"/>
          <w:w w:val="105"/>
        </w:rPr>
        <w:t> </w:t>
      </w:r>
      <w:r>
        <w:rPr>
          <w:w w:val="105"/>
        </w:rPr>
        <w:t>of</w:t>
      </w:r>
      <w:r>
        <w:rPr>
          <w:spacing w:val="-8"/>
          <w:w w:val="105"/>
        </w:rPr>
        <w:t> </w:t>
      </w:r>
      <w:r>
        <w:rPr>
          <w:w w:val="105"/>
        </w:rPr>
        <w:t>our</w:t>
      </w:r>
      <w:r>
        <w:rPr>
          <w:spacing w:val="-8"/>
          <w:w w:val="105"/>
        </w:rPr>
        <w:t> </w:t>
      </w:r>
      <w:r>
        <w:rPr>
          <w:w w:val="105"/>
        </w:rPr>
        <w:t>net</w:t>
      </w:r>
      <w:r>
        <w:rPr>
          <w:spacing w:val="-8"/>
          <w:w w:val="105"/>
        </w:rPr>
        <w:t> </w:t>
      </w:r>
      <w:r>
        <w:rPr>
          <w:w w:val="105"/>
        </w:rPr>
        <w:t>sales.</w:t>
      </w:r>
      <w:r>
        <w:rPr>
          <w:spacing w:val="26"/>
          <w:w w:val="105"/>
        </w:rPr>
        <w:t> </w:t>
      </w:r>
      <w:r>
        <w:rPr>
          <w:w w:val="105"/>
        </w:rPr>
        <w:t>This</w:t>
      </w:r>
      <w:r>
        <w:rPr>
          <w:spacing w:val="-7"/>
          <w:w w:val="105"/>
        </w:rPr>
        <w:t> </w:t>
      </w:r>
      <w:r>
        <w:rPr>
          <w:w w:val="105"/>
        </w:rPr>
        <w:t>concentration</w:t>
      </w:r>
      <w:r>
        <w:rPr>
          <w:spacing w:val="-8"/>
          <w:w w:val="105"/>
        </w:rPr>
        <w:t> </w:t>
      </w:r>
      <w:r>
        <w:rPr>
          <w:w w:val="105"/>
        </w:rPr>
        <w:t>subjects</w:t>
      </w:r>
      <w:r>
        <w:rPr>
          <w:spacing w:val="-8"/>
          <w:w w:val="105"/>
        </w:rPr>
        <w:t> </w:t>
      </w:r>
      <w:r>
        <w:rPr>
          <w:w w:val="105"/>
        </w:rPr>
        <w:t>us</w:t>
      </w:r>
      <w:r>
        <w:rPr>
          <w:spacing w:val="-8"/>
          <w:w w:val="105"/>
        </w:rPr>
        <w:t> </w:t>
      </w:r>
      <w:r>
        <w:rPr>
          <w:w w:val="105"/>
        </w:rPr>
        <w:t>to</w:t>
      </w:r>
      <w:r>
        <w:rPr>
          <w:spacing w:val="-8"/>
          <w:w w:val="105"/>
        </w:rPr>
        <w:t> </w:t>
      </w:r>
      <w:r>
        <w:rPr>
          <w:w w:val="105"/>
        </w:rPr>
        <w:t>a</w:t>
      </w:r>
      <w:r>
        <w:rPr>
          <w:spacing w:val="-8"/>
          <w:w w:val="105"/>
        </w:rPr>
        <w:t> </w:t>
      </w:r>
      <w:r>
        <w:rPr>
          <w:w w:val="105"/>
        </w:rPr>
        <w:t>variety</w:t>
      </w:r>
      <w:r>
        <w:rPr>
          <w:spacing w:val="-7"/>
          <w:w w:val="105"/>
        </w:rPr>
        <w:t> </w:t>
      </w:r>
      <w:r>
        <w:rPr>
          <w:w w:val="105"/>
        </w:rPr>
        <w:t>of</w:t>
      </w:r>
      <w:r>
        <w:rPr>
          <w:spacing w:val="-8"/>
          <w:w w:val="105"/>
        </w:rPr>
        <w:t> </w:t>
      </w:r>
      <w:r>
        <w:rPr>
          <w:w w:val="105"/>
        </w:rPr>
        <w:t>risks</w:t>
      </w:r>
      <w:r>
        <w:rPr>
          <w:spacing w:val="-8"/>
          <w:w w:val="105"/>
        </w:rPr>
        <w:t> </w:t>
      </w:r>
      <w:r>
        <w:rPr>
          <w:spacing w:val="-2"/>
          <w:w w:val="105"/>
        </w:rPr>
        <w:t>including:</w:t>
      </w:r>
    </w:p>
    <w:p>
      <w:pPr>
        <w:pStyle w:val="BodyText"/>
        <w:spacing w:before="40"/>
      </w:pPr>
    </w:p>
    <w:p>
      <w:pPr>
        <w:pStyle w:val="ListParagraph"/>
        <w:numPr>
          <w:ilvl w:val="0"/>
          <w:numId w:val="4"/>
        </w:numPr>
        <w:tabs>
          <w:tab w:pos="462" w:val="left" w:leader="none"/>
        </w:tabs>
        <w:spacing w:line="240" w:lineRule="auto" w:before="0" w:after="0"/>
        <w:ind w:left="462" w:right="0" w:hanging="306"/>
        <w:jc w:val="left"/>
        <w:rPr>
          <w:sz w:val="16"/>
        </w:rPr>
      </w:pPr>
      <w:r>
        <w:rPr>
          <w:w w:val="105"/>
          <w:sz w:val="16"/>
        </w:rPr>
        <w:t>The</w:t>
      </w:r>
      <w:r>
        <w:rPr>
          <w:spacing w:val="-8"/>
          <w:w w:val="105"/>
          <w:sz w:val="16"/>
        </w:rPr>
        <w:t> </w:t>
      </w:r>
      <w:r>
        <w:rPr>
          <w:w w:val="105"/>
          <w:sz w:val="16"/>
        </w:rPr>
        <w:t>loss</w:t>
      </w:r>
      <w:r>
        <w:rPr>
          <w:spacing w:val="-7"/>
          <w:w w:val="105"/>
          <w:sz w:val="16"/>
        </w:rPr>
        <w:t> </w:t>
      </w:r>
      <w:r>
        <w:rPr>
          <w:w w:val="105"/>
          <w:sz w:val="16"/>
        </w:rPr>
        <w:t>or</w:t>
      </w:r>
      <w:r>
        <w:rPr>
          <w:spacing w:val="-7"/>
          <w:w w:val="105"/>
          <w:sz w:val="16"/>
        </w:rPr>
        <w:t> </w:t>
      </w:r>
      <w:r>
        <w:rPr>
          <w:w w:val="105"/>
          <w:sz w:val="16"/>
        </w:rPr>
        <w:t>insolvency</w:t>
      </w:r>
      <w:r>
        <w:rPr>
          <w:spacing w:val="-7"/>
          <w:w w:val="105"/>
          <w:sz w:val="16"/>
        </w:rPr>
        <w:t> </w:t>
      </w:r>
      <w:r>
        <w:rPr>
          <w:w w:val="105"/>
          <w:sz w:val="16"/>
        </w:rPr>
        <w:t>of</w:t>
      </w:r>
      <w:r>
        <w:rPr>
          <w:spacing w:val="-7"/>
          <w:w w:val="105"/>
          <w:sz w:val="16"/>
        </w:rPr>
        <w:t> </w:t>
      </w:r>
      <w:r>
        <w:rPr>
          <w:w w:val="105"/>
          <w:sz w:val="16"/>
        </w:rPr>
        <w:t>one</w:t>
      </w:r>
      <w:r>
        <w:rPr>
          <w:spacing w:val="-7"/>
          <w:w w:val="105"/>
          <w:sz w:val="16"/>
        </w:rPr>
        <w:t> </w:t>
      </w:r>
      <w:r>
        <w:rPr>
          <w:w w:val="105"/>
          <w:sz w:val="16"/>
        </w:rPr>
        <w:t>or</w:t>
      </w:r>
      <w:r>
        <w:rPr>
          <w:spacing w:val="-7"/>
          <w:w w:val="105"/>
          <w:sz w:val="16"/>
        </w:rPr>
        <w:t> </w:t>
      </w:r>
      <w:r>
        <w:rPr>
          <w:w w:val="105"/>
          <w:sz w:val="16"/>
        </w:rPr>
        <w:t>more</w:t>
      </w:r>
      <w:r>
        <w:rPr>
          <w:spacing w:val="-7"/>
          <w:w w:val="105"/>
          <w:sz w:val="16"/>
        </w:rPr>
        <w:t> </w:t>
      </w:r>
      <w:r>
        <w:rPr>
          <w:w w:val="105"/>
          <w:sz w:val="16"/>
        </w:rPr>
        <w:t>of</w:t>
      </w:r>
      <w:r>
        <w:rPr>
          <w:spacing w:val="-8"/>
          <w:w w:val="105"/>
          <w:sz w:val="16"/>
        </w:rPr>
        <w:t> </w:t>
      </w:r>
      <w:r>
        <w:rPr>
          <w:w w:val="105"/>
          <w:sz w:val="16"/>
        </w:rPr>
        <w:t>our</w:t>
      </w:r>
      <w:r>
        <w:rPr>
          <w:spacing w:val="-7"/>
          <w:w w:val="105"/>
          <w:sz w:val="16"/>
        </w:rPr>
        <w:t> </w:t>
      </w:r>
      <w:r>
        <w:rPr>
          <w:w w:val="105"/>
          <w:sz w:val="16"/>
        </w:rPr>
        <w:t>key</w:t>
      </w:r>
      <w:r>
        <w:rPr>
          <w:spacing w:val="-7"/>
          <w:w w:val="105"/>
          <w:sz w:val="16"/>
        </w:rPr>
        <w:t> </w:t>
      </w:r>
      <w:r>
        <w:rPr>
          <w:w w:val="105"/>
          <w:sz w:val="16"/>
        </w:rPr>
        <w:t>customers,</w:t>
      </w:r>
      <w:r>
        <w:rPr>
          <w:spacing w:val="-7"/>
          <w:w w:val="105"/>
          <w:sz w:val="16"/>
        </w:rPr>
        <w:t> </w:t>
      </w:r>
      <w:r>
        <w:rPr>
          <w:w w:val="105"/>
          <w:sz w:val="16"/>
        </w:rPr>
        <w:t>could</w:t>
      </w:r>
      <w:r>
        <w:rPr>
          <w:spacing w:val="-7"/>
          <w:w w:val="105"/>
          <w:sz w:val="16"/>
        </w:rPr>
        <w:t> </w:t>
      </w:r>
      <w:r>
        <w:rPr>
          <w:w w:val="105"/>
          <w:sz w:val="16"/>
        </w:rPr>
        <w:t>result</w:t>
      </w:r>
      <w:r>
        <w:rPr>
          <w:spacing w:val="-7"/>
          <w:w w:val="105"/>
          <w:sz w:val="16"/>
        </w:rPr>
        <w:t> </w:t>
      </w:r>
      <w:r>
        <w:rPr>
          <w:w w:val="105"/>
          <w:sz w:val="16"/>
        </w:rPr>
        <w:t>in</w:t>
      </w:r>
      <w:r>
        <w:rPr>
          <w:spacing w:val="-7"/>
          <w:w w:val="105"/>
          <w:sz w:val="16"/>
        </w:rPr>
        <w:t> </w:t>
      </w:r>
      <w:r>
        <w:rPr>
          <w:w w:val="105"/>
          <w:sz w:val="16"/>
        </w:rPr>
        <w:t>a</w:t>
      </w:r>
      <w:r>
        <w:rPr>
          <w:spacing w:val="-7"/>
          <w:w w:val="105"/>
          <w:sz w:val="16"/>
        </w:rPr>
        <w:t> </w:t>
      </w:r>
      <w:r>
        <w:rPr>
          <w:w w:val="105"/>
          <w:sz w:val="16"/>
        </w:rPr>
        <w:t>substantial</w:t>
      </w:r>
      <w:r>
        <w:rPr>
          <w:spacing w:val="-7"/>
          <w:w w:val="105"/>
          <w:sz w:val="16"/>
        </w:rPr>
        <w:t> </w:t>
      </w:r>
      <w:r>
        <w:rPr>
          <w:w w:val="105"/>
          <w:sz w:val="16"/>
        </w:rPr>
        <w:t>loss</w:t>
      </w:r>
      <w:r>
        <w:rPr>
          <w:spacing w:val="-8"/>
          <w:w w:val="105"/>
          <w:sz w:val="16"/>
        </w:rPr>
        <w:t> </w:t>
      </w:r>
      <w:r>
        <w:rPr>
          <w:w w:val="105"/>
          <w:sz w:val="16"/>
        </w:rPr>
        <w:t>of</w:t>
      </w:r>
      <w:r>
        <w:rPr>
          <w:spacing w:val="-7"/>
          <w:w w:val="105"/>
          <w:sz w:val="16"/>
        </w:rPr>
        <w:t> </w:t>
      </w:r>
      <w:r>
        <w:rPr>
          <w:w w:val="105"/>
          <w:sz w:val="16"/>
        </w:rPr>
        <w:t>sales</w:t>
      </w:r>
      <w:r>
        <w:rPr>
          <w:spacing w:val="-7"/>
          <w:w w:val="105"/>
          <w:sz w:val="16"/>
        </w:rPr>
        <w:t> </w:t>
      </w:r>
      <w:r>
        <w:rPr>
          <w:w w:val="105"/>
          <w:sz w:val="16"/>
        </w:rPr>
        <w:t>and</w:t>
      </w:r>
      <w:r>
        <w:rPr>
          <w:spacing w:val="-7"/>
          <w:w w:val="105"/>
          <w:sz w:val="16"/>
        </w:rPr>
        <w:t> </w:t>
      </w:r>
      <w:r>
        <w:rPr>
          <w:w w:val="105"/>
          <w:sz w:val="16"/>
        </w:rPr>
        <w:t>reduction</w:t>
      </w:r>
      <w:r>
        <w:rPr>
          <w:spacing w:val="-7"/>
          <w:w w:val="105"/>
          <w:sz w:val="16"/>
        </w:rPr>
        <w:t> </w:t>
      </w:r>
      <w:r>
        <w:rPr>
          <w:w w:val="105"/>
          <w:sz w:val="16"/>
        </w:rPr>
        <w:t>in</w:t>
      </w:r>
      <w:r>
        <w:rPr>
          <w:spacing w:val="-7"/>
          <w:w w:val="105"/>
          <w:sz w:val="16"/>
        </w:rPr>
        <w:t> </w:t>
      </w:r>
      <w:r>
        <w:rPr>
          <w:w w:val="105"/>
          <w:sz w:val="16"/>
        </w:rPr>
        <w:t>anticipated</w:t>
      </w:r>
      <w:r>
        <w:rPr>
          <w:spacing w:val="-7"/>
          <w:w w:val="105"/>
          <w:sz w:val="16"/>
        </w:rPr>
        <w:t> </w:t>
      </w:r>
      <w:r>
        <w:rPr>
          <w:w w:val="105"/>
          <w:sz w:val="16"/>
        </w:rPr>
        <w:t>cash</w:t>
      </w:r>
      <w:r>
        <w:rPr>
          <w:spacing w:val="-7"/>
          <w:w w:val="105"/>
          <w:sz w:val="16"/>
        </w:rPr>
        <w:t> </w:t>
      </w:r>
      <w:r>
        <w:rPr>
          <w:spacing w:val="-2"/>
          <w:w w:val="105"/>
          <w:sz w:val="16"/>
        </w:rPr>
        <w:t>flows;</w:t>
      </w:r>
    </w:p>
    <w:p>
      <w:pPr>
        <w:pStyle w:val="ListParagraph"/>
        <w:numPr>
          <w:ilvl w:val="0"/>
          <w:numId w:val="4"/>
        </w:numPr>
        <w:tabs>
          <w:tab w:pos="462" w:val="left" w:leader="none"/>
        </w:tabs>
        <w:spacing w:line="240" w:lineRule="auto" w:before="20" w:after="0"/>
        <w:ind w:left="462" w:right="0" w:hanging="306"/>
        <w:jc w:val="left"/>
        <w:rPr>
          <w:sz w:val="16"/>
        </w:rPr>
      </w:pPr>
      <w:r>
        <w:rPr>
          <w:sz w:val="16"/>
        </w:rPr>
        <w:t>Customers</w:t>
      </w:r>
      <w:r>
        <w:rPr>
          <w:spacing w:val="16"/>
          <w:sz w:val="16"/>
        </w:rPr>
        <w:t> </w:t>
      </w:r>
      <w:r>
        <w:rPr>
          <w:sz w:val="16"/>
        </w:rPr>
        <w:t>may</w:t>
      </w:r>
      <w:r>
        <w:rPr>
          <w:spacing w:val="16"/>
          <w:sz w:val="16"/>
        </w:rPr>
        <w:t> </w:t>
      </w:r>
      <w:r>
        <w:rPr>
          <w:sz w:val="16"/>
        </w:rPr>
        <w:t>possess</w:t>
      </w:r>
      <w:r>
        <w:rPr>
          <w:spacing w:val="17"/>
          <w:sz w:val="16"/>
        </w:rPr>
        <w:t> </w:t>
      </w:r>
      <w:r>
        <w:rPr>
          <w:sz w:val="16"/>
        </w:rPr>
        <w:t>substantial</w:t>
      </w:r>
      <w:r>
        <w:rPr>
          <w:spacing w:val="19"/>
          <w:sz w:val="16"/>
        </w:rPr>
        <w:t> </w:t>
      </w:r>
      <w:r>
        <w:rPr>
          <w:sz w:val="16"/>
        </w:rPr>
        <w:t>leverage</w:t>
      </w:r>
      <w:r>
        <w:rPr>
          <w:spacing w:val="16"/>
          <w:sz w:val="16"/>
        </w:rPr>
        <w:t> </w:t>
      </w:r>
      <w:r>
        <w:rPr>
          <w:sz w:val="16"/>
        </w:rPr>
        <w:t>in</w:t>
      </w:r>
      <w:r>
        <w:rPr>
          <w:spacing w:val="16"/>
          <w:sz w:val="16"/>
        </w:rPr>
        <w:t> </w:t>
      </w:r>
      <w:r>
        <w:rPr>
          <w:sz w:val="16"/>
        </w:rPr>
        <w:t>negotiating</w:t>
      </w:r>
      <w:r>
        <w:rPr>
          <w:spacing w:val="20"/>
          <w:sz w:val="16"/>
        </w:rPr>
        <w:t> </w:t>
      </w:r>
      <w:r>
        <w:rPr>
          <w:sz w:val="16"/>
        </w:rPr>
        <w:t>contractual</w:t>
      </w:r>
      <w:r>
        <w:rPr>
          <w:spacing w:val="16"/>
          <w:sz w:val="16"/>
        </w:rPr>
        <w:t> </w:t>
      </w:r>
      <w:r>
        <w:rPr>
          <w:sz w:val="16"/>
        </w:rPr>
        <w:t>obligations,</w:t>
      </w:r>
      <w:r>
        <w:rPr>
          <w:spacing w:val="19"/>
          <w:sz w:val="16"/>
        </w:rPr>
        <w:t> </w:t>
      </w:r>
      <w:r>
        <w:rPr>
          <w:sz w:val="16"/>
        </w:rPr>
        <w:t>including</w:t>
      </w:r>
      <w:r>
        <w:rPr>
          <w:spacing w:val="16"/>
          <w:sz w:val="16"/>
        </w:rPr>
        <w:t> </w:t>
      </w:r>
      <w:r>
        <w:rPr>
          <w:sz w:val="16"/>
        </w:rPr>
        <w:t>liability</w:t>
      </w:r>
      <w:r>
        <w:rPr>
          <w:spacing w:val="17"/>
          <w:sz w:val="16"/>
        </w:rPr>
        <w:t> </w:t>
      </w:r>
      <w:r>
        <w:rPr>
          <w:sz w:val="16"/>
        </w:rPr>
        <w:t>provisions;</w:t>
      </w:r>
      <w:r>
        <w:rPr>
          <w:spacing w:val="16"/>
          <w:sz w:val="16"/>
        </w:rPr>
        <w:t> </w:t>
      </w:r>
      <w:r>
        <w:rPr>
          <w:spacing w:val="-5"/>
          <w:sz w:val="16"/>
        </w:rPr>
        <w:t>and</w:t>
      </w:r>
    </w:p>
    <w:p>
      <w:pPr>
        <w:pStyle w:val="ListParagraph"/>
        <w:numPr>
          <w:ilvl w:val="0"/>
          <w:numId w:val="4"/>
        </w:numPr>
        <w:tabs>
          <w:tab w:pos="462" w:val="left" w:leader="none"/>
        </w:tabs>
        <w:spacing w:line="240" w:lineRule="auto" w:before="20" w:after="0"/>
        <w:ind w:left="462" w:right="0" w:hanging="306"/>
        <w:jc w:val="left"/>
        <w:rPr>
          <w:sz w:val="16"/>
        </w:rPr>
      </w:pPr>
      <w:r>
        <w:rPr>
          <w:spacing w:val="-2"/>
          <w:w w:val="105"/>
          <w:sz w:val="16"/>
        </w:rPr>
        <w:t>Mergers</w:t>
      </w:r>
      <w:r>
        <w:rPr>
          <w:spacing w:val="1"/>
          <w:w w:val="105"/>
          <w:sz w:val="16"/>
        </w:rPr>
        <w:t> </w:t>
      </w:r>
      <w:r>
        <w:rPr>
          <w:spacing w:val="-2"/>
          <w:w w:val="105"/>
          <w:sz w:val="16"/>
        </w:rPr>
        <w:t>and</w:t>
      </w:r>
      <w:r>
        <w:rPr>
          <w:spacing w:val="1"/>
          <w:w w:val="105"/>
          <w:sz w:val="16"/>
        </w:rPr>
        <w:t> </w:t>
      </w:r>
      <w:r>
        <w:rPr>
          <w:spacing w:val="-2"/>
          <w:w w:val="105"/>
          <w:sz w:val="16"/>
        </w:rPr>
        <w:t>consolidations</w:t>
      </w:r>
      <w:r>
        <w:rPr>
          <w:spacing w:val="2"/>
          <w:w w:val="105"/>
          <w:sz w:val="16"/>
        </w:rPr>
        <w:t> </w:t>
      </w:r>
      <w:r>
        <w:rPr>
          <w:spacing w:val="-2"/>
          <w:w w:val="105"/>
          <w:sz w:val="16"/>
        </w:rPr>
        <w:t>between</w:t>
      </w:r>
      <w:r>
        <w:rPr>
          <w:spacing w:val="1"/>
          <w:w w:val="105"/>
          <w:sz w:val="16"/>
        </w:rPr>
        <w:t> </w:t>
      </w:r>
      <w:r>
        <w:rPr>
          <w:spacing w:val="-2"/>
          <w:w w:val="105"/>
          <w:sz w:val="16"/>
        </w:rPr>
        <w:t>customers</w:t>
      </w:r>
      <w:r>
        <w:rPr>
          <w:spacing w:val="1"/>
          <w:w w:val="105"/>
          <w:sz w:val="16"/>
        </w:rPr>
        <w:t> </w:t>
      </w:r>
      <w:r>
        <w:rPr>
          <w:spacing w:val="-2"/>
          <w:w w:val="105"/>
          <w:sz w:val="16"/>
        </w:rPr>
        <w:t>could</w:t>
      </w:r>
      <w:r>
        <w:rPr>
          <w:spacing w:val="2"/>
          <w:w w:val="105"/>
          <w:sz w:val="16"/>
        </w:rPr>
        <w:t> </w:t>
      </w:r>
      <w:r>
        <w:rPr>
          <w:spacing w:val="-2"/>
          <w:w w:val="105"/>
          <w:sz w:val="16"/>
        </w:rPr>
        <w:t>result</w:t>
      </w:r>
      <w:r>
        <w:rPr>
          <w:spacing w:val="3"/>
          <w:w w:val="105"/>
          <w:sz w:val="16"/>
        </w:rPr>
        <w:t> </w:t>
      </w:r>
      <w:r>
        <w:rPr>
          <w:spacing w:val="-2"/>
          <w:w w:val="105"/>
          <w:sz w:val="16"/>
        </w:rPr>
        <w:t>in</w:t>
      </w:r>
      <w:r>
        <w:rPr>
          <w:spacing w:val="1"/>
          <w:w w:val="105"/>
          <w:sz w:val="16"/>
        </w:rPr>
        <w:t> </w:t>
      </w:r>
      <w:r>
        <w:rPr>
          <w:spacing w:val="-2"/>
          <w:w w:val="105"/>
          <w:sz w:val="16"/>
        </w:rPr>
        <w:t>further</w:t>
      </w:r>
      <w:r>
        <w:rPr>
          <w:spacing w:val="2"/>
          <w:w w:val="105"/>
          <w:sz w:val="16"/>
        </w:rPr>
        <w:t> </w:t>
      </w:r>
      <w:r>
        <w:rPr>
          <w:spacing w:val="-2"/>
          <w:w w:val="105"/>
          <w:sz w:val="16"/>
        </w:rPr>
        <w:t>concentration</w:t>
      </w:r>
      <w:r>
        <w:rPr>
          <w:spacing w:val="1"/>
          <w:w w:val="105"/>
          <w:sz w:val="16"/>
        </w:rPr>
        <w:t> </w:t>
      </w:r>
      <w:r>
        <w:rPr>
          <w:spacing w:val="-2"/>
          <w:w w:val="105"/>
          <w:sz w:val="16"/>
        </w:rPr>
        <w:t>of</w:t>
      </w:r>
      <w:r>
        <w:rPr>
          <w:spacing w:val="1"/>
          <w:w w:val="105"/>
          <w:sz w:val="16"/>
        </w:rPr>
        <w:t> </w:t>
      </w:r>
      <w:r>
        <w:rPr>
          <w:spacing w:val="-2"/>
          <w:w w:val="105"/>
          <w:sz w:val="16"/>
        </w:rPr>
        <w:t>the</w:t>
      </w:r>
      <w:r>
        <w:rPr>
          <w:spacing w:val="2"/>
          <w:w w:val="105"/>
          <w:sz w:val="16"/>
        </w:rPr>
        <w:t> </w:t>
      </w:r>
      <w:r>
        <w:rPr>
          <w:spacing w:val="-2"/>
          <w:w w:val="105"/>
          <w:sz w:val="16"/>
        </w:rPr>
        <w:t>customer</w:t>
      </w:r>
      <w:r>
        <w:rPr>
          <w:spacing w:val="1"/>
          <w:w w:val="105"/>
          <w:sz w:val="16"/>
        </w:rPr>
        <w:t> </w:t>
      </w:r>
      <w:r>
        <w:rPr>
          <w:spacing w:val="-2"/>
          <w:w w:val="105"/>
          <w:sz w:val="16"/>
        </w:rPr>
        <w:t>base.</w:t>
      </w:r>
    </w:p>
    <w:p>
      <w:pPr>
        <w:pStyle w:val="BodyText"/>
        <w:spacing w:before="39"/>
      </w:pPr>
    </w:p>
    <w:p>
      <w:pPr>
        <w:pStyle w:val="BodyText"/>
        <w:ind w:left="156"/>
      </w:pPr>
      <w:r>
        <w:rPr>
          <w:w w:val="105"/>
        </w:rPr>
        <w:t>The</w:t>
      </w:r>
      <w:r>
        <w:rPr>
          <w:spacing w:val="-9"/>
          <w:w w:val="105"/>
        </w:rPr>
        <w:t> </w:t>
      </w:r>
      <w:r>
        <w:rPr>
          <w:w w:val="105"/>
        </w:rPr>
        <w:t>following</w:t>
      </w:r>
      <w:r>
        <w:rPr>
          <w:spacing w:val="-8"/>
          <w:w w:val="105"/>
        </w:rPr>
        <w:t> </w:t>
      </w:r>
      <w:r>
        <w:rPr>
          <w:w w:val="105"/>
        </w:rPr>
        <w:t>table</w:t>
      </w:r>
      <w:r>
        <w:rPr>
          <w:spacing w:val="-9"/>
          <w:w w:val="105"/>
        </w:rPr>
        <w:t> </w:t>
      </w:r>
      <w:r>
        <w:rPr>
          <w:w w:val="105"/>
        </w:rPr>
        <w:t>details</w:t>
      </w:r>
      <w:r>
        <w:rPr>
          <w:spacing w:val="-8"/>
          <w:w w:val="105"/>
        </w:rPr>
        <w:t> </w:t>
      </w:r>
      <w:r>
        <w:rPr>
          <w:w w:val="105"/>
        </w:rPr>
        <w:t>the</w:t>
      </w:r>
      <w:r>
        <w:rPr>
          <w:spacing w:val="-9"/>
          <w:w w:val="105"/>
        </w:rPr>
        <w:t> </w:t>
      </w:r>
      <w:r>
        <w:rPr>
          <w:w w:val="105"/>
        </w:rPr>
        <w:t>number</w:t>
      </w:r>
      <w:r>
        <w:rPr>
          <w:spacing w:val="-8"/>
          <w:w w:val="105"/>
        </w:rPr>
        <w:t> </w:t>
      </w:r>
      <w:r>
        <w:rPr>
          <w:w w:val="105"/>
        </w:rPr>
        <w:t>of</w:t>
      </w:r>
      <w:r>
        <w:rPr>
          <w:spacing w:val="-9"/>
          <w:w w:val="105"/>
        </w:rPr>
        <w:t> </w:t>
      </w:r>
      <w:r>
        <w:rPr>
          <w:w w:val="105"/>
        </w:rPr>
        <w:t>combined</w:t>
      </w:r>
      <w:r>
        <w:rPr>
          <w:spacing w:val="-8"/>
          <w:w w:val="105"/>
        </w:rPr>
        <w:t> </w:t>
      </w:r>
      <w:r>
        <w:rPr>
          <w:w w:val="105"/>
        </w:rPr>
        <w:t>customers</w:t>
      </w:r>
      <w:r>
        <w:rPr>
          <w:spacing w:val="-8"/>
          <w:w w:val="105"/>
        </w:rPr>
        <w:t> </w:t>
      </w:r>
      <w:r>
        <w:rPr>
          <w:w w:val="105"/>
        </w:rPr>
        <w:t>of</w:t>
      </w:r>
      <w:r>
        <w:rPr>
          <w:spacing w:val="-9"/>
          <w:w w:val="105"/>
        </w:rPr>
        <w:t> </w:t>
      </w:r>
      <w:r>
        <w:rPr>
          <w:w w:val="105"/>
        </w:rPr>
        <w:t>our</w:t>
      </w:r>
      <w:r>
        <w:rPr>
          <w:spacing w:val="-8"/>
          <w:w w:val="105"/>
        </w:rPr>
        <w:t> </w:t>
      </w:r>
      <w:r>
        <w:rPr>
          <w:w w:val="105"/>
        </w:rPr>
        <w:t>segments</w:t>
      </w:r>
      <w:r>
        <w:rPr>
          <w:spacing w:val="-9"/>
          <w:w w:val="105"/>
        </w:rPr>
        <w:t> </w:t>
      </w:r>
      <w:r>
        <w:rPr>
          <w:w w:val="105"/>
        </w:rPr>
        <w:t>that</w:t>
      </w:r>
      <w:r>
        <w:rPr>
          <w:spacing w:val="-8"/>
          <w:w w:val="105"/>
        </w:rPr>
        <w:t> </w:t>
      </w:r>
      <w:r>
        <w:rPr>
          <w:w w:val="105"/>
        </w:rPr>
        <w:t>accounted</w:t>
      </w:r>
      <w:r>
        <w:rPr>
          <w:spacing w:val="-9"/>
          <w:w w:val="105"/>
        </w:rPr>
        <w:t> </w:t>
      </w:r>
      <w:r>
        <w:rPr>
          <w:w w:val="105"/>
        </w:rPr>
        <w:t>for</w:t>
      </w:r>
      <w:r>
        <w:rPr>
          <w:spacing w:val="-8"/>
          <w:w w:val="105"/>
        </w:rPr>
        <w:t> </w:t>
      </w:r>
      <w:r>
        <w:rPr>
          <w:w w:val="105"/>
        </w:rPr>
        <w:t>a</w:t>
      </w:r>
      <w:r>
        <w:rPr>
          <w:spacing w:val="-8"/>
          <w:w w:val="105"/>
        </w:rPr>
        <w:t> </w:t>
      </w:r>
      <w:r>
        <w:rPr>
          <w:w w:val="105"/>
        </w:rPr>
        <w:t>large</w:t>
      </w:r>
      <w:r>
        <w:rPr>
          <w:spacing w:val="-9"/>
          <w:w w:val="105"/>
        </w:rPr>
        <w:t> </w:t>
      </w:r>
      <w:r>
        <w:rPr>
          <w:w w:val="105"/>
        </w:rPr>
        <w:t>percentage</w:t>
      </w:r>
      <w:r>
        <w:rPr>
          <w:spacing w:val="-8"/>
          <w:w w:val="105"/>
        </w:rPr>
        <w:t> </w:t>
      </w:r>
      <w:r>
        <w:rPr>
          <w:w w:val="105"/>
        </w:rPr>
        <w:t>of</w:t>
      </w:r>
      <w:r>
        <w:rPr>
          <w:spacing w:val="-9"/>
          <w:w w:val="105"/>
        </w:rPr>
        <w:t> </w:t>
      </w:r>
      <w:r>
        <w:rPr>
          <w:w w:val="105"/>
        </w:rPr>
        <w:t>segment</w:t>
      </w:r>
      <w:r>
        <w:rPr>
          <w:spacing w:val="-8"/>
          <w:w w:val="105"/>
        </w:rPr>
        <w:t> </w:t>
      </w:r>
      <w:r>
        <w:rPr>
          <w:w w:val="105"/>
        </w:rPr>
        <w:t>net</w:t>
      </w:r>
      <w:r>
        <w:rPr>
          <w:spacing w:val="-9"/>
          <w:w w:val="105"/>
        </w:rPr>
        <w:t> </w:t>
      </w:r>
      <w:r>
        <w:rPr>
          <w:spacing w:val="-2"/>
          <w:w w:val="105"/>
        </w:rPr>
        <w:t>sales:</w:t>
      </w:r>
    </w:p>
    <w:p>
      <w:pPr>
        <w:pStyle w:val="BodyText"/>
        <w:spacing w:before="6"/>
        <w:rPr>
          <w:sz w:val="12"/>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6"/>
        <w:gridCol w:w="3488"/>
        <w:gridCol w:w="2654"/>
        <w:gridCol w:w="1576"/>
      </w:tblGrid>
      <w:tr>
        <w:trPr>
          <w:trHeight w:val="608" w:hRule="atLeast"/>
        </w:trPr>
        <w:tc>
          <w:tcPr>
            <w:tcW w:w="7284" w:type="dxa"/>
            <w:gridSpan w:val="2"/>
            <w:tcBorders>
              <w:top w:val="single" w:sz="12" w:space="0" w:color="000000"/>
              <w:bottom w:val="single" w:sz="6" w:space="0" w:color="000000"/>
            </w:tcBorders>
          </w:tcPr>
          <w:p>
            <w:pPr>
              <w:pStyle w:val="TableParagraph"/>
              <w:rPr>
                <w:sz w:val="16"/>
              </w:rPr>
            </w:pPr>
          </w:p>
        </w:tc>
        <w:tc>
          <w:tcPr>
            <w:tcW w:w="2654" w:type="dxa"/>
            <w:tcBorders>
              <w:top w:val="single" w:sz="12" w:space="0" w:color="000000"/>
              <w:bottom w:val="single" w:sz="6" w:space="0" w:color="000000"/>
            </w:tcBorders>
          </w:tcPr>
          <w:p>
            <w:pPr>
              <w:pStyle w:val="TableParagraph"/>
              <w:spacing w:line="266" w:lineRule="auto" w:before="1"/>
              <w:ind w:left="1444" w:right="217" w:firstLine="110"/>
              <w:rPr>
                <w:b/>
                <w:sz w:val="16"/>
              </w:rPr>
            </w:pPr>
            <w:r>
              <w:rPr>
                <w:b/>
                <w:w w:val="105"/>
                <w:sz w:val="16"/>
              </w:rPr>
              <w:t>Number</w:t>
            </w:r>
            <w:r>
              <w:rPr>
                <w:b/>
                <w:spacing w:val="-1"/>
                <w:w w:val="105"/>
                <w:sz w:val="16"/>
              </w:rPr>
              <w:t> </w:t>
            </w:r>
            <w:r>
              <w:rPr>
                <w:b/>
                <w:w w:val="105"/>
                <w:sz w:val="16"/>
              </w:rPr>
              <w:t>of </w:t>
            </w:r>
            <w:r>
              <w:rPr>
                <w:b/>
                <w:spacing w:val="-2"/>
                <w:w w:val="105"/>
                <w:sz w:val="16"/>
              </w:rPr>
              <w:t>combined</w:t>
            </w:r>
            <w:r>
              <w:rPr>
                <w:b/>
                <w:spacing w:val="-9"/>
                <w:w w:val="105"/>
                <w:sz w:val="16"/>
              </w:rPr>
              <w:t> </w:t>
            </w:r>
            <w:r>
              <w:rPr>
                <w:b/>
                <w:spacing w:val="-2"/>
                <w:w w:val="105"/>
                <w:sz w:val="16"/>
              </w:rPr>
              <w:t>end</w:t>
            </w:r>
          </w:p>
          <w:p>
            <w:pPr>
              <w:pStyle w:val="TableParagraph"/>
              <w:spacing w:line="178" w:lineRule="exact"/>
              <w:ind w:left="1579"/>
              <w:rPr>
                <w:b/>
                <w:sz w:val="16"/>
              </w:rPr>
            </w:pPr>
            <w:r>
              <w:rPr>
                <w:b/>
                <w:spacing w:val="-2"/>
                <w:w w:val="105"/>
                <w:sz w:val="16"/>
              </w:rPr>
              <w:t>customers</w:t>
            </w:r>
          </w:p>
        </w:tc>
        <w:tc>
          <w:tcPr>
            <w:tcW w:w="1576" w:type="dxa"/>
            <w:tcBorders>
              <w:top w:val="single" w:sz="12" w:space="0" w:color="000000"/>
              <w:bottom w:val="single" w:sz="6" w:space="0" w:color="000000"/>
            </w:tcBorders>
          </w:tcPr>
          <w:p>
            <w:pPr>
              <w:pStyle w:val="TableParagraph"/>
              <w:spacing w:before="4"/>
              <w:rPr>
                <w:sz w:val="16"/>
              </w:rPr>
            </w:pPr>
          </w:p>
          <w:p>
            <w:pPr>
              <w:pStyle w:val="TableParagraph"/>
              <w:spacing w:line="200" w:lineRule="atLeast"/>
              <w:ind w:left="316" w:right="20" w:hanging="93"/>
              <w:rPr>
                <w:b/>
                <w:sz w:val="16"/>
              </w:rPr>
            </w:pPr>
            <w:r>
              <w:rPr>
                <w:b/>
                <w:w w:val="105"/>
                <w:sz w:val="16"/>
              </w:rPr>
              <w:t>%</w:t>
            </w:r>
            <w:r>
              <w:rPr>
                <w:b/>
                <w:spacing w:val="-11"/>
                <w:w w:val="105"/>
                <w:sz w:val="16"/>
              </w:rPr>
              <w:t> </w:t>
            </w:r>
            <w:r>
              <w:rPr>
                <w:b/>
                <w:w w:val="105"/>
                <w:sz w:val="16"/>
              </w:rPr>
              <w:t>of</w:t>
            </w:r>
            <w:r>
              <w:rPr>
                <w:b/>
                <w:spacing w:val="-10"/>
                <w:w w:val="105"/>
                <w:sz w:val="16"/>
              </w:rPr>
              <w:t> </w:t>
            </w:r>
            <w:r>
              <w:rPr>
                <w:b/>
                <w:w w:val="105"/>
                <w:sz w:val="16"/>
              </w:rPr>
              <w:t>total</w:t>
            </w:r>
            <w:r>
              <w:rPr>
                <w:b/>
                <w:spacing w:val="-11"/>
                <w:w w:val="105"/>
                <w:sz w:val="16"/>
              </w:rPr>
              <w:t> </w:t>
            </w:r>
            <w:r>
              <w:rPr>
                <w:b/>
                <w:w w:val="105"/>
                <w:sz w:val="16"/>
              </w:rPr>
              <w:t>segment net sales in 2021</w:t>
            </w:r>
          </w:p>
        </w:tc>
      </w:tr>
      <w:tr>
        <w:trPr>
          <w:trHeight w:val="202" w:hRule="atLeast"/>
        </w:trPr>
        <w:tc>
          <w:tcPr>
            <w:tcW w:w="3796" w:type="dxa"/>
            <w:tcBorders>
              <w:top w:val="single" w:sz="6" w:space="0" w:color="000000"/>
            </w:tcBorders>
            <w:shd w:val="clear" w:color="auto" w:fill="CCEDFF"/>
          </w:tcPr>
          <w:p>
            <w:pPr>
              <w:pStyle w:val="TableParagraph"/>
              <w:spacing w:line="180" w:lineRule="exact" w:before="2"/>
              <w:rPr>
                <w:sz w:val="16"/>
              </w:rPr>
            </w:pPr>
            <w:r>
              <w:rPr>
                <w:sz w:val="16"/>
              </w:rPr>
              <w:t>Display</w:t>
            </w:r>
            <w:r>
              <w:rPr>
                <w:spacing w:val="15"/>
                <w:sz w:val="16"/>
              </w:rPr>
              <w:t> </w:t>
            </w:r>
            <w:r>
              <w:rPr>
                <w:spacing w:val="-2"/>
                <w:sz w:val="16"/>
              </w:rPr>
              <w:t>Technologies</w:t>
            </w:r>
          </w:p>
        </w:tc>
        <w:tc>
          <w:tcPr>
            <w:tcW w:w="3488" w:type="dxa"/>
            <w:tcBorders>
              <w:top w:val="single" w:sz="6" w:space="0" w:color="000000"/>
            </w:tcBorders>
            <w:shd w:val="clear" w:color="auto" w:fill="CCEDFF"/>
          </w:tcPr>
          <w:p>
            <w:pPr>
              <w:pStyle w:val="TableParagraph"/>
              <w:rPr>
                <w:sz w:val="14"/>
              </w:rPr>
            </w:pPr>
          </w:p>
        </w:tc>
        <w:tc>
          <w:tcPr>
            <w:tcW w:w="2654" w:type="dxa"/>
            <w:tcBorders>
              <w:top w:val="single" w:sz="6" w:space="0" w:color="000000"/>
            </w:tcBorders>
            <w:shd w:val="clear" w:color="auto" w:fill="CCEDFF"/>
          </w:tcPr>
          <w:p>
            <w:pPr>
              <w:pStyle w:val="TableParagraph"/>
              <w:spacing w:line="180" w:lineRule="exact" w:before="2"/>
              <w:ind w:right="672"/>
              <w:jc w:val="right"/>
              <w:rPr>
                <w:sz w:val="16"/>
              </w:rPr>
            </w:pPr>
            <w:r>
              <w:rPr>
                <w:spacing w:val="-10"/>
                <w:w w:val="105"/>
                <w:sz w:val="16"/>
              </w:rPr>
              <w:t>3</w:t>
            </w:r>
          </w:p>
        </w:tc>
        <w:tc>
          <w:tcPr>
            <w:tcW w:w="1576" w:type="dxa"/>
            <w:tcBorders>
              <w:top w:val="single" w:sz="6" w:space="0" w:color="000000"/>
            </w:tcBorders>
            <w:shd w:val="clear" w:color="auto" w:fill="CCEDFF"/>
          </w:tcPr>
          <w:p>
            <w:pPr>
              <w:pStyle w:val="TableParagraph"/>
              <w:spacing w:line="180" w:lineRule="exact" w:before="2"/>
              <w:ind w:right="532"/>
              <w:jc w:val="right"/>
              <w:rPr>
                <w:sz w:val="16"/>
              </w:rPr>
            </w:pPr>
            <w:r>
              <w:rPr>
                <w:spacing w:val="-5"/>
                <w:w w:val="105"/>
                <w:sz w:val="16"/>
              </w:rPr>
              <w:t>55%</w:t>
            </w:r>
          </w:p>
        </w:tc>
      </w:tr>
      <w:tr>
        <w:trPr>
          <w:trHeight w:val="203" w:hRule="atLeast"/>
        </w:trPr>
        <w:tc>
          <w:tcPr>
            <w:tcW w:w="3796" w:type="dxa"/>
          </w:tcPr>
          <w:p>
            <w:pPr>
              <w:pStyle w:val="TableParagraph"/>
              <w:spacing w:line="180" w:lineRule="exact" w:before="3"/>
              <w:rPr>
                <w:sz w:val="16"/>
              </w:rPr>
            </w:pPr>
            <w:r>
              <w:rPr>
                <w:w w:val="105"/>
                <w:sz w:val="16"/>
              </w:rPr>
              <w:t>Optical</w:t>
            </w:r>
            <w:r>
              <w:rPr>
                <w:spacing w:val="-11"/>
                <w:w w:val="105"/>
                <w:sz w:val="16"/>
              </w:rPr>
              <w:t> </w:t>
            </w:r>
            <w:r>
              <w:rPr>
                <w:spacing w:val="-2"/>
                <w:w w:val="105"/>
                <w:sz w:val="16"/>
              </w:rPr>
              <w:t>Communications</w:t>
            </w:r>
          </w:p>
        </w:tc>
        <w:tc>
          <w:tcPr>
            <w:tcW w:w="3488" w:type="dxa"/>
          </w:tcPr>
          <w:p>
            <w:pPr>
              <w:pStyle w:val="TableParagraph"/>
              <w:rPr>
                <w:sz w:val="14"/>
              </w:rPr>
            </w:pPr>
          </w:p>
        </w:tc>
        <w:tc>
          <w:tcPr>
            <w:tcW w:w="2654" w:type="dxa"/>
          </w:tcPr>
          <w:p>
            <w:pPr>
              <w:pStyle w:val="TableParagraph"/>
              <w:spacing w:line="180" w:lineRule="exact" w:before="3"/>
              <w:ind w:right="672"/>
              <w:jc w:val="right"/>
              <w:rPr>
                <w:sz w:val="16"/>
              </w:rPr>
            </w:pPr>
            <w:r>
              <w:rPr>
                <w:spacing w:val="-10"/>
                <w:w w:val="105"/>
                <w:sz w:val="16"/>
              </w:rPr>
              <w:t>2</w:t>
            </w:r>
          </w:p>
        </w:tc>
        <w:tc>
          <w:tcPr>
            <w:tcW w:w="1576" w:type="dxa"/>
          </w:tcPr>
          <w:p>
            <w:pPr>
              <w:pStyle w:val="TableParagraph"/>
              <w:spacing w:line="180" w:lineRule="exact" w:before="3"/>
              <w:ind w:right="532"/>
              <w:jc w:val="right"/>
              <w:rPr>
                <w:sz w:val="16"/>
              </w:rPr>
            </w:pPr>
            <w:r>
              <w:rPr>
                <w:spacing w:val="-5"/>
                <w:w w:val="105"/>
                <w:sz w:val="16"/>
              </w:rPr>
              <w:t>27%</w:t>
            </w:r>
          </w:p>
        </w:tc>
      </w:tr>
      <w:tr>
        <w:trPr>
          <w:trHeight w:val="203" w:hRule="atLeast"/>
        </w:trPr>
        <w:tc>
          <w:tcPr>
            <w:tcW w:w="3796" w:type="dxa"/>
            <w:shd w:val="clear" w:color="auto" w:fill="CCEDFF"/>
          </w:tcPr>
          <w:p>
            <w:pPr>
              <w:pStyle w:val="TableParagraph"/>
              <w:spacing w:line="180" w:lineRule="exact" w:before="3"/>
              <w:rPr>
                <w:sz w:val="16"/>
              </w:rPr>
            </w:pPr>
            <w:r>
              <w:rPr>
                <w:sz w:val="16"/>
              </w:rPr>
              <w:t>Specialty</w:t>
            </w:r>
            <w:r>
              <w:rPr>
                <w:spacing w:val="18"/>
                <w:sz w:val="16"/>
              </w:rPr>
              <w:t> </w:t>
            </w:r>
            <w:r>
              <w:rPr>
                <w:spacing w:val="-2"/>
                <w:sz w:val="16"/>
              </w:rPr>
              <w:t>Materials</w:t>
            </w:r>
          </w:p>
        </w:tc>
        <w:tc>
          <w:tcPr>
            <w:tcW w:w="3488" w:type="dxa"/>
            <w:shd w:val="clear" w:color="auto" w:fill="CCEDFF"/>
          </w:tcPr>
          <w:p>
            <w:pPr>
              <w:pStyle w:val="TableParagraph"/>
              <w:rPr>
                <w:sz w:val="14"/>
              </w:rPr>
            </w:pPr>
          </w:p>
        </w:tc>
        <w:tc>
          <w:tcPr>
            <w:tcW w:w="2654" w:type="dxa"/>
            <w:shd w:val="clear" w:color="auto" w:fill="CCEDFF"/>
          </w:tcPr>
          <w:p>
            <w:pPr>
              <w:pStyle w:val="TableParagraph"/>
              <w:spacing w:line="180" w:lineRule="exact" w:before="3"/>
              <w:ind w:right="672"/>
              <w:jc w:val="right"/>
              <w:rPr>
                <w:sz w:val="16"/>
              </w:rPr>
            </w:pPr>
            <w:r>
              <w:rPr>
                <w:spacing w:val="-10"/>
                <w:w w:val="105"/>
                <w:sz w:val="16"/>
              </w:rPr>
              <w:t>2</w:t>
            </w:r>
          </w:p>
        </w:tc>
        <w:tc>
          <w:tcPr>
            <w:tcW w:w="1576" w:type="dxa"/>
            <w:shd w:val="clear" w:color="auto" w:fill="CCEDFF"/>
          </w:tcPr>
          <w:p>
            <w:pPr>
              <w:pStyle w:val="TableParagraph"/>
              <w:spacing w:line="180" w:lineRule="exact" w:before="3"/>
              <w:ind w:right="532"/>
              <w:jc w:val="right"/>
              <w:rPr>
                <w:sz w:val="16"/>
              </w:rPr>
            </w:pPr>
            <w:r>
              <w:rPr>
                <w:spacing w:val="-5"/>
                <w:w w:val="105"/>
                <w:sz w:val="16"/>
              </w:rPr>
              <w:t>43%</w:t>
            </w:r>
          </w:p>
        </w:tc>
      </w:tr>
      <w:tr>
        <w:trPr>
          <w:trHeight w:val="203" w:hRule="atLeast"/>
        </w:trPr>
        <w:tc>
          <w:tcPr>
            <w:tcW w:w="3796" w:type="dxa"/>
          </w:tcPr>
          <w:p>
            <w:pPr>
              <w:pStyle w:val="TableParagraph"/>
              <w:spacing w:line="180" w:lineRule="exact" w:before="3"/>
              <w:rPr>
                <w:sz w:val="16"/>
              </w:rPr>
            </w:pPr>
            <w:r>
              <w:rPr>
                <w:sz w:val="16"/>
              </w:rPr>
              <w:t>Environmental</w:t>
            </w:r>
            <w:r>
              <w:rPr>
                <w:spacing w:val="29"/>
                <w:sz w:val="16"/>
              </w:rPr>
              <w:t> </w:t>
            </w:r>
            <w:r>
              <w:rPr>
                <w:spacing w:val="-2"/>
                <w:sz w:val="16"/>
              </w:rPr>
              <w:t>Technologies</w:t>
            </w:r>
          </w:p>
        </w:tc>
        <w:tc>
          <w:tcPr>
            <w:tcW w:w="3488" w:type="dxa"/>
          </w:tcPr>
          <w:p>
            <w:pPr>
              <w:pStyle w:val="TableParagraph"/>
              <w:rPr>
                <w:sz w:val="14"/>
              </w:rPr>
            </w:pPr>
          </w:p>
        </w:tc>
        <w:tc>
          <w:tcPr>
            <w:tcW w:w="2654" w:type="dxa"/>
          </w:tcPr>
          <w:p>
            <w:pPr>
              <w:pStyle w:val="TableParagraph"/>
              <w:spacing w:line="180" w:lineRule="exact" w:before="3"/>
              <w:ind w:right="672"/>
              <w:jc w:val="right"/>
              <w:rPr>
                <w:sz w:val="16"/>
              </w:rPr>
            </w:pPr>
            <w:r>
              <w:rPr>
                <w:spacing w:val="-10"/>
                <w:w w:val="105"/>
                <w:sz w:val="16"/>
              </w:rPr>
              <w:t>3</w:t>
            </w:r>
          </w:p>
        </w:tc>
        <w:tc>
          <w:tcPr>
            <w:tcW w:w="1576" w:type="dxa"/>
          </w:tcPr>
          <w:p>
            <w:pPr>
              <w:pStyle w:val="TableParagraph"/>
              <w:spacing w:line="180" w:lineRule="exact" w:before="3"/>
              <w:ind w:right="532"/>
              <w:jc w:val="right"/>
              <w:rPr>
                <w:sz w:val="16"/>
              </w:rPr>
            </w:pPr>
            <w:r>
              <w:rPr>
                <w:spacing w:val="-5"/>
                <w:w w:val="105"/>
                <w:sz w:val="16"/>
              </w:rPr>
              <w:t>77%</w:t>
            </w:r>
          </w:p>
        </w:tc>
      </w:tr>
      <w:tr>
        <w:trPr>
          <w:trHeight w:val="200" w:hRule="atLeast"/>
        </w:trPr>
        <w:tc>
          <w:tcPr>
            <w:tcW w:w="3796" w:type="dxa"/>
            <w:tcBorders>
              <w:bottom w:val="double" w:sz="6" w:space="0" w:color="000000"/>
            </w:tcBorders>
            <w:shd w:val="clear" w:color="auto" w:fill="CCEDFF"/>
          </w:tcPr>
          <w:p>
            <w:pPr>
              <w:pStyle w:val="TableParagraph"/>
              <w:spacing w:line="177" w:lineRule="exact" w:before="3"/>
              <w:rPr>
                <w:sz w:val="16"/>
              </w:rPr>
            </w:pPr>
            <w:r>
              <w:rPr>
                <w:w w:val="105"/>
                <w:sz w:val="16"/>
              </w:rPr>
              <w:t>Life</w:t>
            </w:r>
            <w:r>
              <w:rPr>
                <w:spacing w:val="-7"/>
                <w:w w:val="105"/>
                <w:sz w:val="16"/>
              </w:rPr>
              <w:t> </w:t>
            </w:r>
            <w:r>
              <w:rPr>
                <w:spacing w:val="-2"/>
                <w:w w:val="105"/>
                <w:sz w:val="16"/>
              </w:rPr>
              <w:t>Sciences</w:t>
            </w:r>
          </w:p>
        </w:tc>
        <w:tc>
          <w:tcPr>
            <w:tcW w:w="3488" w:type="dxa"/>
            <w:tcBorders>
              <w:bottom w:val="double" w:sz="6" w:space="0" w:color="000000"/>
            </w:tcBorders>
            <w:shd w:val="clear" w:color="auto" w:fill="CCEDFF"/>
          </w:tcPr>
          <w:p>
            <w:pPr>
              <w:pStyle w:val="TableParagraph"/>
              <w:rPr>
                <w:sz w:val="12"/>
              </w:rPr>
            </w:pPr>
          </w:p>
        </w:tc>
        <w:tc>
          <w:tcPr>
            <w:tcW w:w="2654" w:type="dxa"/>
            <w:tcBorders>
              <w:bottom w:val="double" w:sz="6" w:space="0" w:color="000000"/>
            </w:tcBorders>
            <w:shd w:val="clear" w:color="auto" w:fill="CCEDFF"/>
          </w:tcPr>
          <w:p>
            <w:pPr>
              <w:pStyle w:val="TableParagraph"/>
              <w:spacing w:line="177" w:lineRule="exact" w:before="3"/>
              <w:ind w:right="672"/>
              <w:jc w:val="right"/>
              <w:rPr>
                <w:sz w:val="16"/>
              </w:rPr>
            </w:pPr>
            <w:r>
              <w:rPr>
                <w:spacing w:val="-10"/>
                <w:w w:val="105"/>
                <w:sz w:val="16"/>
              </w:rPr>
              <w:t>2</w:t>
            </w:r>
          </w:p>
        </w:tc>
        <w:tc>
          <w:tcPr>
            <w:tcW w:w="1576" w:type="dxa"/>
            <w:tcBorders>
              <w:bottom w:val="double" w:sz="6" w:space="0" w:color="000000"/>
            </w:tcBorders>
            <w:shd w:val="clear" w:color="auto" w:fill="CCEDFF"/>
          </w:tcPr>
          <w:p>
            <w:pPr>
              <w:pStyle w:val="TableParagraph"/>
              <w:spacing w:line="177" w:lineRule="exact" w:before="3"/>
              <w:ind w:right="532"/>
              <w:jc w:val="right"/>
              <w:rPr>
                <w:sz w:val="16"/>
              </w:rPr>
            </w:pPr>
            <w:r>
              <w:rPr>
                <w:spacing w:val="-5"/>
                <w:w w:val="105"/>
                <w:sz w:val="16"/>
              </w:rPr>
              <w:t>40%</w:t>
            </w:r>
          </w:p>
        </w:tc>
      </w:tr>
    </w:tbl>
    <w:p>
      <w:pPr>
        <w:pStyle w:val="BodyText"/>
        <w:spacing w:before="8"/>
      </w:pPr>
    </w:p>
    <w:p>
      <w:pPr>
        <w:pStyle w:val="BodyText"/>
        <w:ind w:left="48"/>
        <w:jc w:val="center"/>
      </w:pPr>
      <w:r>
        <w:rPr>
          <w:spacing w:val="-5"/>
          <w:w w:val="105"/>
        </w:rPr>
        <w:t>15</w:t>
      </w:r>
    </w:p>
    <w:p>
      <w:pPr>
        <w:pStyle w:val="BodyText"/>
        <w:rPr>
          <w:sz w:val="6"/>
        </w:rPr>
      </w:pPr>
      <w:r>
        <w:rPr/>
        <mc:AlternateContent>
          <mc:Choice Requires="wps">
            <w:drawing>
              <wp:anchor distT="0" distB="0" distL="0" distR="0" allowOverlap="1" layoutInCell="1" locked="0" behindDoc="1" simplePos="0" relativeHeight="487596544">
                <wp:simplePos x="0" y="0"/>
                <wp:positionH relativeFrom="page">
                  <wp:posOffset>226488</wp:posOffset>
                </wp:positionH>
                <wp:positionV relativeFrom="paragraph">
                  <wp:posOffset>59051</wp:posOffset>
                </wp:positionV>
                <wp:extent cx="7312659" cy="1651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19936;mso-wrap-distance-left:0;mso-wrap-distance-right:0" id="docshape19"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spacing w:line="266" w:lineRule="auto"/>
      </w:pPr>
      <w:r>
        <w:rPr>
          <w:w w:val="105"/>
        </w:rPr>
        <w:t>Events</w:t>
      </w:r>
      <w:r>
        <w:rPr>
          <w:spacing w:val="-10"/>
          <w:w w:val="105"/>
        </w:rPr>
        <w:t> </w:t>
      </w:r>
      <w:r>
        <w:rPr>
          <w:w w:val="105"/>
        </w:rPr>
        <w:t>outside</w:t>
      </w:r>
      <w:r>
        <w:rPr>
          <w:spacing w:val="-10"/>
          <w:w w:val="105"/>
        </w:rPr>
        <w:t> </w:t>
      </w:r>
      <w:r>
        <w:rPr>
          <w:w w:val="105"/>
        </w:rPr>
        <w:t>of</w:t>
      </w:r>
      <w:r>
        <w:rPr>
          <w:spacing w:val="-10"/>
          <w:w w:val="105"/>
        </w:rPr>
        <w:t> </w:t>
      </w:r>
      <w:r>
        <w:rPr>
          <w:w w:val="105"/>
        </w:rPr>
        <w:t>Corning</w:t>
      </w:r>
      <w:r>
        <w:rPr>
          <w:b w:val="0"/>
          <w:w w:val="105"/>
        </w:rPr>
        <w:t>’</w:t>
      </w:r>
      <w:r>
        <w:rPr>
          <w:w w:val="105"/>
        </w:rPr>
        <w:t>s</w:t>
      </w:r>
      <w:r>
        <w:rPr>
          <w:spacing w:val="-10"/>
          <w:w w:val="105"/>
        </w:rPr>
        <w:t> </w:t>
      </w:r>
      <w:r>
        <w:rPr>
          <w:w w:val="105"/>
        </w:rPr>
        <w:t>control,</w:t>
      </w:r>
      <w:r>
        <w:rPr>
          <w:spacing w:val="-10"/>
          <w:w w:val="105"/>
        </w:rPr>
        <w:t> </w:t>
      </w:r>
      <w:r>
        <w:rPr>
          <w:w w:val="105"/>
        </w:rPr>
        <w:t>or</w:t>
      </w:r>
      <w:r>
        <w:rPr>
          <w:spacing w:val="-10"/>
          <w:w w:val="105"/>
        </w:rPr>
        <w:t> </w:t>
      </w:r>
      <w:r>
        <w:rPr>
          <w:w w:val="105"/>
        </w:rPr>
        <w:t>those</w:t>
      </w:r>
      <w:r>
        <w:rPr>
          <w:spacing w:val="-10"/>
          <w:w w:val="105"/>
        </w:rPr>
        <w:t> </w:t>
      </w:r>
      <w:r>
        <w:rPr>
          <w:w w:val="105"/>
        </w:rPr>
        <w:t>of</w:t>
      </w:r>
      <w:r>
        <w:rPr>
          <w:spacing w:val="-10"/>
          <w:w w:val="105"/>
        </w:rPr>
        <w:t> </w:t>
      </w:r>
      <w:r>
        <w:rPr>
          <w:w w:val="105"/>
        </w:rPr>
        <w:t>our</w:t>
      </w:r>
      <w:r>
        <w:rPr>
          <w:spacing w:val="-10"/>
          <w:w w:val="105"/>
        </w:rPr>
        <w:t> </w:t>
      </w:r>
      <w:r>
        <w:rPr>
          <w:w w:val="105"/>
        </w:rPr>
        <w:t>contract</w:t>
      </w:r>
      <w:r>
        <w:rPr>
          <w:spacing w:val="-10"/>
          <w:w w:val="105"/>
        </w:rPr>
        <w:t> </w:t>
      </w:r>
      <w:r>
        <w:rPr>
          <w:w w:val="105"/>
        </w:rPr>
        <w:t>manufacturers,</w:t>
      </w:r>
      <w:r>
        <w:rPr>
          <w:spacing w:val="-10"/>
          <w:w w:val="105"/>
        </w:rPr>
        <w:t> </w:t>
      </w:r>
      <w:r>
        <w:rPr>
          <w:w w:val="105"/>
        </w:rPr>
        <w:t>could</w:t>
      </w:r>
      <w:r>
        <w:rPr>
          <w:spacing w:val="-10"/>
          <w:w w:val="105"/>
        </w:rPr>
        <w:t> </w:t>
      </w:r>
      <w:r>
        <w:rPr>
          <w:w w:val="105"/>
        </w:rPr>
        <w:t>cause</w:t>
      </w:r>
      <w:r>
        <w:rPr>
          <w:spacing w:val="-10"/>
          <w:w w:val="105"/>
        </w:rPr>
        <w:t> </w:t>
      </w:r>
      <w:r>
        <w:rPr>
          <w:w w:val="105"/>
        </w:rPr>
        <w:t>a</w:t>
      </w:r>
      <w:r>
        <w:rPr>
          <w:spacing w:val="-10"/>
          <w:w w:val="105"/>
        </w:rPr>
        <w:t> </w:t>
      </w:r>
      <w:r>
        <w:rPr>
          <w:w w:val="105"/>
        </w:rPr>
        <w:t>disruption</w:t>
      </w:r>
      <w:r>
        <w:rPr>
          <w:spacing w:val="-10"/>
          <w:w w:val="105"/>
        </w:rPr>
        <w:t> </w:t>
      </w:r>
      <w:r>
        <w:rPr>
          <w:w w:val="105"/>
        </w:rPr>
        <w:t>to</w:t>
      </w:r>
      <w:r>
        <w:rPr>
          <w:spacing w:val="-10"/>
          <w:w w:val="105"/>
        </w:rPr>
        <w:t> </w:t>
      </w:r>
      <w:r>
        <w:rPr>
          <w:w w:val="105"/>
        </w:rPr>
        <w:t>our</w:t>
      </w:r>
      <w:r>
        <w:rPr>
          <w:spacing w:val="-10"/>
          <w:w w:val="105"/>
        </w:rPr>
        <w:t> </w:t>
      </w:r>
      <w:r>
        <w:rPr>
          <w:w w:val="105"/>
        </w:rPr>
        <w:t>manufacturing</w:t>
      </w:r>
      <w:r>
        <w:rPr>
          <w:spacing w:val="-10"/>
          <w:w w:val="105"/>
        </w:rPr>
        <w:t> </w:t>
      </w:r>
      <w:r>
        <w:rPr>
          <w:w w:val="105"/>
        </w:rPr>
        <w:t>operations</w:t>
      </w:r>
      <w:r>
        <w:rPr>
          <w:spacing w:val="-10"/>
          <w:w w:val="105"/>
        </w:rPr>
        <w:t> </w:t>
      </w:r>
      <w:r>
        <w:rPr>
          <w:w w:val="105"/>
        </w:rPr>
        <w:t>and</w:t>
      </w:r>
      <w:r>
        <w:rPr>
          <w:spacing w:val="-10"/>
          <w:w w:val="105"/>
        </w:rPr>
        <w:t> </w:t>
      </w:r>
      <w:r>
        <w:rPr>
          <w:w w:val="105"/>
        </w:rPr>
        <w:t>adversely</w:t>
      </w:r>
      <w:r>
        <w:rPr>
          <w:spacing w:val="-10"/>
          <w:w w:val="105"/>
        </w:rPr>
        <w:t> </w:t>
      </w:r>
      <w:r>
        <w:rPr>
          <w:w w:val="105"/>
        </w:rPr>
        <w:t>impact</w:t>
      </w:r>
      <w:r>
        <w:rPr>
          <w:spacing w:val="-10"/>
          <w:w w:val="105"/>
        </w:rPr>
        <w:t> </w:t>
      </w:r>
      <w:r>
        <w:rPr>
          <w:w w:val="105"/>
        </w:rPr>
        <w:t>our customers, resulting in a negative impact to Corning</w:t>
      </w:r>
      <w:r>
        <w:rPr>
          <w:b w:val="0"/>
          <w:w w:val="105"/>
        </w:rPr>
        <w:t>’</w:t>
      </w:r>
      <w:r>
        <w:rPr>
          <w:w w:val="105"/>
        </w:rPr>
        <w:t>s net sales, net income, asset values and liquidity</w:t>
      </w:r>
    </w:p>
    <w:p>
      <w:pPr>
        <w:pStyle w:val="BodyText"/>
        <w:spacing w:before="19"/>
        <w:rPr>
          <w:b/>
        </w:rPr>
      </w:pPr>
    </w:p>
    <w:p>
      <w:pPr>
        <w:pStyle w:val="BodyText"/>
        <w:spacing w:line="266" w:lineRule="auto"/>
        <w:ind w:left="156" w:right="191"/>
      </w:pPr>
      <w:r>
        <w:rPr>
          <w:w w:val="105"/>
        </w:rPr>
        <w:t>Disruption</w:t>
      </w:r>
      <w:r>
        <w:rPr>
          <w:spacing w:val="-9"/>
          <w:w w:val="105"/>
        </w:rPr>
        <w:t> </w:t>
      </w:r>
      <w:r>
        <w:rPr>
          <w:w w:val="105"/>
        </w:rPr>
        <w:t>to</w:t>
      </w:r>
      <w:r>
        <w:rPr>
          <w:spacing w:val="-9"/>
          <w:w w:val="105"/>
        </w:rPr>
        <w:t> </w:t>
      </w:r>
      <w:r>
        <w:rPr>
          <w:w w:val="105"/>
        </w:rPr>
        <w:t>our</w:t>
      </w:r>
      <w:r>
        <w:rPr>
          <w:spacing w:val="-9"/>
          <w:w w:val="105"/>
        </w:rPr>
        <w:t> </w:t>
      </w:r>
      <w:r>
        <w:rPr>
          <w:w w:val="105"/>
        </w:rPr>
        <w:t>manufacturing</w:t>
      </w:r>
      <w:r>
        <w:rPr>
          <w:spacing w:val="-9"/>
          <w:w w:val="105"/>
        </w:rPr>
        <w:t> </w:t>
      </w:r>
      <w:r>
        <w:rPr>
          <w:w w:val="105"/>
        </w:rPr>
        <w:t>operations,</w:t>
      </w:r>
      <w:r>
        <w:rPr>
          <w:spacing w:val="-9"/>
          <w:w w:val="105"/>
        </w:rPr>
        <w:t> </w:t>
      </w:r>
      <w:r>
        <w:rPr>
          <w:w w:val="105"/>
        </w:rPr>
        <w:t>or</w:t>
      </w:r>
      <w:r>
        <w:rPr>
          <w:spacing w:val="-9"/>
          <w:w w:val="105"/>
        </w:rPr>
        <w:t> </w:t>
      </w:r>
      <w:r>
        <w:rPr>
          <w:w w:val="105"/>
        </w:rPr>
        <w:t>those</w:t>
      </w:r>
      <w:r>
        <w:rPr>
          <w:spacing w:val="-9"/>
          <w:w w:val="105"/>
        </w:rPr>
        <w:t> </w:t>
      </w:r>
      <w:r>
        <w:rPr>
          <w:w w:val="105"/>
        </w:rPr>
        <w:t>of</w:t>
      </w:r>
      <w:r>
        <w:rPr>
          <w:spacing w:val="-9"/>
          <w:w w:val="105"/>
        </w:rPr>
        <w:t> </w:t>
      </w:r>
      <w:r>
        <w:rPr>
          <w:w w:val="105"/>
        </w:rPr>
        <w:t>our</w:t>
      </w:r>
      <w:r>
        <w:rPr>
          <w:spacing w:val="-9"/>
          <w:w w:val="105"/>
        </w:rPr>
        <w:t> </w:t>
      </w:r>
      <w:r>
        <w:rPr>
          <w:w w:val="105"/>
        </w:rPr>
        <w:t>contract</w:t>
      </w:r>
      <w:r>
        <w:rPr>
          <w:spacing w:val="-9"/>
          <w:w w:val="105"/>
        </w:rPr>
        <w:t> </w:t>
      </w:r>
      <w:r>
        <w:rPr>
          <w:w w:val="105"/>
        </w:rPr>
        <w:t>manufacturers,</w:t>
      </w:r>
      <w:r>
        <w:rPr>
          <w:spacing w:val="-7"/>
          <w:w w:val="105"/>
        </w:rPr>
        <w:t> </w:t>
      </w:r>
      <w:r>
        <w:rPr>
          <w:w w:val="105"/>
        </w:rPr>
        <w:t>could</w:t>
      </w:r>
      <w:r>
        <w:rPr>
          <w:spacing w:val="-9"/>
          <w:w w:val="105"/>
        </w:rPr>
        <w:t> </w:t>
      </w:r>
      <w:r>
        <w:rPr>
          <w:w w:val="105"/>
        </w:rPr>
        <w:t>significantly</w:t>
      </w:r>
      <w:r>
        <w:rPr>
          <w:spacing w:val="-9"/>
          <w:w w:val="105"/>
        </w:rPr>
        <w:t> </w:t>
      </w:r>
      <w:r>
        <w:rPr>
          <w:w w:val="105"/>
        </w:rPr>
        <w:t>impact</w:t>
      </w:r>
      <w:r>
        <w:rPr>
          <w:spacing w:val="-9"/>
          <w:w w:val="105"/>
        </w:rPr>
        <w:t> </w:t>
      </w:r>
      <w:r>
        <w:rPr>
          <w:w w:val="105"/>
        </w:rPr>
        <w:t>Corning’s</w:t>
      </w:r>
      <w:r>
        <w:rPr>
          <w:spacing w:val="-9"/>
          <w:w w:val="105"/>
        </w:rPr>
        <w:t> </w:t>
      </w:r>
      <w:r>
        <w:rPr>
          <w:w w:val="105"/>
        </w:rPr>
        <w:t>ability</w:t>
      </w:r>
      <w:r>
        <w:rPr>
          <w:spacing w:val="-9"/>
          <w:w w:val="105"/>
        </w:rPr>
        <w:t> </w:t>
      </w:r>
      <w:r>
        <w:rPr>
          <w:w w:val="105"/>
        </w:rPr>
        <w:t>to</w:t>
      </w:r>
      <w:r>
        <w:rPr>
          <w:spacing w:val="-9"/>
          <w:w w:val="105"/>
        </w:rPr>
        <w:t> </w:t>
      </w:r>
      <w:r>
        <w:rPr>
          <w:w w:val="105"/>
        </w:rPr>
        <w:t>supply</w:t>
      </w:r>
      <w:r>
        <w:rPr>
          <w:spacing w:val="-9"/>
          <w:w w:val="105"/>
        </w:rPr>
        <w:t> </w:t>
      </w:r>
      <w:r>
        <w:rPr>
          <w:w w:val="105"/>
        </w:rPr>
        <w:t>its</w:t>
      </w:r>
      <w:r>
        <w:rPr>
          <w:spacing w:val="-7"/>
          <w:w w:val="105"/>
        </w:rPr>
        <w:t> </w:t>
      </w:r>
      <w:r>
        <w:rPr>
          <w:w w:val="105"/>
        </w:rPr>
        <w:t>customers</w:t>
      </w:r>
      <w:r>
        <w:rPr>
          <w:spacing w:val="-9"/>
          <w:w w:val="105"/>
        </w:rPr>
        <w:t> </w:t>
      </w:r>
      <w:r>
        <w:rPr>
          <w:w w:val="105"/>
        </w:rPr>
        <w:t>and</w:t>
      </w:r>
      <w:r>
        <w:rPr>
          <w:spacing w:val="-9"/>
          <w:w w:val="105"/>
        </w:rPr>
        <w:t> </w:t>
      </w:r>
      <w:r>
        <w:rPr>
          <w:w w:val="105"/>
        </w:rPr>
        <w:t>could</w:t>
      </w:r>
      <w:r>
        <w:rPr>
          <w:spacing w:val="-9"/>
          <w:w w:val="105"/>
        </w:rPr>
        <w:t> </w:t>
      </w:r>
      <w:r>
        <w:rPr>
          <w:w w:val="105"/>
        </w:rPr>
        <w:t>produce</w:t>
      </w:r>
      <w:r>
        <w:rPr>
          <w:spacing w:val="-9"/>
          <w:w w:val="105"/>
        </w:rPr>
        <w:t> </w:t>
      </w:r>
      <w:r>
        <w:rPr>
          <w:w w:val="105"/>
        </w:rPr>
        <w:t>a near-term</w:t>
      </w:r>
      <w:r>
        <w:rPr>
          <w:spacing w:val="-2"/>
          <w:w w:val="105"/>
        </w:rPr>
        <w:t> </w:t>
      </w:r>
      <w:r>
        <w:rPr>
          <w:w w:val="105"/>
        </w:rPr>
        <w:t>severe impact</w:t>
      </w:r>
      <w:r>
        <w:rPr>
          <w:spacing w:val="-2"/>
          <w:w w:val="105"/>
        </w:rPr>
        <w:t> </w:t>
      </w:r>
      <w:r>
        <w:rPr>
          <w:w w:val="105"/>
        </w:rPr>
        <w:t>on</w:t>
      </w:r>
      <w:r>
        <w:rPr>
          <w:spacing w:val="-2"/>
          <w:w w:val="105"/>
        </w:rPr>
        <w:t> </w:t>
      </w:r>
      <w:r>
        <w:rPr>
          <w:w w:val="105"/>
        </w:rPr>
        <w:t>our</w:t>
      </w:r>
      <w:r>
        <w:rPr>
          <w:spacing w:val="-2"/>
          <w:w w:val="105"/>
        </w:rPr>
        <w:t> </w:t>
      </w:r>
      <w:r>
        <w:rPr>
          <w:w w:val="105"/>
        </w:rPr>
        <w:t>individual</w:t>
      </w:r>
      <w:r>
        <w:rPr>
          <w:spacing w:val="-2"/>
          <w:w w:val="105"/>
        </w:rPr>
        <w:t> </w:t>
      </w:r>
      <w:r>
        <w:rPr>
          <w:w w:val="105"/>
        </w:rPr>
        <w:t>business</w:t>
      </w:r>
      <w:r>
        <w:rPr>
          <w:spacing w:val="-2"/>
          <w:w w:val="105"/>
        </w:rPr>
        <w:t> </w:t>
      </w:r>
      <w:r>
        <w:rPr>
          <w:w w:val="105"/>
        </w:rPr>
        <w:t>units</w:t>
      </w:r>
      <w:r>
        <w:rPr>
          <w:spacing w:val="-2"/>
          <w:w w:val="105"/>
        </w:rPr>
        <w:t> </w:t>
      </w:r>
      <w:r>
        <w:rPr>
          <w:w w:val="105"/>
        </w:rPr>
        <w:t>and</w:t>
      </w:r>
      <w:r>
        <w:rPr>
          <w:spacing w:val="-2"/>
          <w:w w:val="105"/>
        </w:rPr>
        <w:t> </w:t>
      </w:r>
      <w:r>
        <w:rPr>
          <w:w w:val="105"/>
        </w:rPr>
        <w:t>the</w:t>
      </w:r>
      <w:r>
        <w:rPr>
          <w:spacing w:val="-2"/>
          <w:w w:val="105"/>
        </w:rPr>
        <w:t> </w:t>
      </w:r>
      <w:r>
        <w:rPr>
          <w:w w:val="105"/>
        </w:rPr>
        <w:t>Company.</w:t>
      </w:r>
      <w:r>
        <w:rPr>
          <w:spacing w:val="-2"/>
          <w:w w:val="105"/>
        </w:rPr>
        <w:t> </w:t>
      </w:r>
      <w:r>
        <w:rPr>
          <w:w w:val="105"/>
        </w:rPr>
        <w:t>Given</w:t>
      </w:r>
      <w:r>
        <w:rPr>
          <w:spacing w:val="-2"/>
          <w:w w:val="105"/>
        </w:rPr>
        <w:t> </w:t>
      </w:r>
      <w:r>
        <w:rPr>
          <w:w w:val="105"/>
        </w:rPr>
        <w:t>the</w:t>
      </w:r>
      <w:r>
        <w:rPr>
          <w:spacing w:val="-2"/>
          <w:w w:val="105"/>
        </w:rPr>
        <w:t> </w:t>
      </w:r>
      <w:r>
        <w:rPr>
          <w:w w:val="105"/>
        </w:rPr>
        <w:t>geographical</w:t>
      </w:r>
      <w:r>
        <w:rPr>
          <w:spacing w:val="-2"/>
          <w:w w:val="105"/>
        </w:rPr>
        <w:t> </w:t>
      </w:r>
      <w:r>
        <w:rPr>
          <w:w w:val="105"/>
        </w:rPr>
        <w:t>concentration</w:t>
      </w:r>
      <w:r>
        <w:rPr>
          <w:spacing w:val="-2"/>
          <w:w w:val="105"/>
        </w:rPr>
        <w:t> </w:t>
      </w:r>
      <w:r>
        <w:rPr>
          <w:w w:val="105"/>
        </w:rPr>
        <w:t>of</w:t>
      </w:r>
      <w:r>
        <w:rPr>
          <w:spacing w:val="-2"/>
          <w:w w:val="105"/>
        </w:rPr>
        <w:t> </w:t>
      </w:r>
      <w:r>
        <w:rPr>
          <w:w w:val="105"/>
        </w:rPr>
        <w:t>certain</w:t>
      </w:r>
      <w:r>
        <w:rPr>
          <w:spacing w:val="-2"/>
          <w:w w:val="105"/>
        </w:rPr>
        <w:t> </w:t>
      </w:r>
      <w:r>
        <w:rPr>
          <w:w w:val="105"/>
        </w:rPr>
        <w:t>of</w:t>
      </w:r>
      <w:r>
        <w:rPr>
          <w:spacing w:val="-2"/>
          <w:w w:val="105"/>
        </w:rPr>
        <w:t> </w:t>
      </w:r>
      <w:r>
        <w:rPr>
          <w:w w:val="105"/>
        </w:rPr>
        <w:t>the</w:t>
      </w:r>
      <w:r>
        <w:rPr>
          <w:spacing w:val="-2"/>
          <w:w w:val="105"/>
        </w:rPr>
        <w:t> </w:t>
      </w:r>
      <w:r>
        <w:rPr>
          <w:w w:val="105"/>
        </w:rPr>
        <w:t>Company's</w:t>
      </w:r>
      <w:r>
        <w:rPr>
          <w:spacing w:val="-2"/>
          <w:w w:val="105"/>
        </w:rPr>
        <w:t> </w:t>
      </w:r>
      <w:r>
        <w:rPr>
          <w:w w:val="105"/>
        </w:rPr>
        <w:t>and</w:t>
      </w:r>
      <w:r>
        <w:rPr>
          <w:spacing w:val="-2"/>
          <w:w w:val="105"/>
        </w:rPr>
        <w:t> </w:t>
      </w:r>
      <w:r>
        <w:rPr>
          <w:w w:val="105"/>
        </w:rPr>
        <w:t>our</w:t>
      </w:r>
      <w:r>
        <w:rPr>
          <w:spacing w:val="-2"/>
          <w:w w:val="105"/>
        </w:rPr>
        <w:t> </w:t>
      </w:r>
      <w:r>
        <w:rPr>
          <w:w w:val="105"/>
        </w:rPr>
        <w:t>contract manufacturers'</w:t>
      </w:r>
      <w:r>
        <w:rPr>
          <w:spacing w:val="-2"/>
          <w:w w:val="105"/>
        </w:rPr>
        <w:t> </w:t>
      </w:r>
      <w:r>
        <w:rPr>
          <w:w w:val="105"/>
        </w:rPr>
        <w:t>plants,</w:t>
      </w:r>
      <w:r>
        <w:rPr>
          <w:spacing w:val="-2"/>
          <w:w w:val="105"/>
        </w:rPr>
        <w:t> </w:t>
      </w:r>
      <w:r>
        <w:rPr>
          <w:w w:val="105"/>
        </w:rPr>
        <w:t>the</w:t>
      </w:r>
      <w:r>
        <w:rPr>
          <w:spacing w:val="-4"/>
          <w:w w:val="105"/>
        </w:rPr>
        <w:t> </w:t>
      </w:r>
      <w:r>
        <w:rPr>
          <w:w w:val="105"/>
        </w:rPr>
        <w:t>highly</w:t>
      </w:r>
      <w:r>
        <w:rPr>
          <w:spacing w:val="-2"/>
          <w:w w:val="105"/>
        </w:rPr>
        <w:t> </w:t>
      </w:r>
      <w:r>
        <w:rPr>
          <w:w w:val="105"/>
        </w:rPr>
        <w:t>engineered</w:t>
      </w:r>
      <w:r>
        <w:rPr>
          <w:spacing w:val="-2"/>
          <w:w w:val="105"/>
        </w:rPr>
        <w:t> </w:t>
      </w:r>
      <w:r>
        <w:rPr>
          <w:w w:val="105"/>
        </w:rPr>
        <w:t>nature</w:t>
      </w:r>
      <w:r>
        <w:rPr>
          <w:spacing w:val="-4"/>
          <w:w w:val="105"/>
        </w:rPr>
        <w:t> </w:t>
      </w:r>
      <w:r>
        <w:rPr>
          <w:w w:val="105"/>
        </w:rPr>
        <w:t>of</w:t>
      </w:r>
      <w:r>
        <w:rPr>
          <w:spacing w:val="-2"/>
          <w:w w:val="105"/>
        </w:rPr>
        <w:t> </w:t>
      </w:r>
      <w:r>
        <w:rPr>
          <w:w w:val="105"/>
        </w:rPr>
        <w:t>the</w:t>
      </w:r>
      <w:r>
        <w:rPr>
          <w:spacing w:val="-2"/>
          <w:w w:val="105"/>
        </w:rPr>
        <w:t> </w:t>
      </w:r>
      <w:r>
        <w:rPr>
          <w:w w:val="105"/>
        </w:rPr>
        <w:t>facilities</w:t>
      </w:r>
      <w:r>
        <w:rPr>
          <w:spacing w:val="-2"/>
          <w:w w:val="105"/>
        </w:rPr>
        <w:t> </w:t>
      </w:r>
      <w:r>
        <w:rPr>
          <w:w w:val="105"/>
        </w:rPr>
        <w:t>and</w:t>
      </w:r>
      <w:r>
        <w:rPr>
          <w:spacing w:val="-2"/>
          <w:w w:val="105"/>
        </w:rPr>
        <w:t> </w:t>
      </w:r>
      <w:r>
        <w:rPr>
          <w:w w:val="105"/>
        </w:rPr>
        <w:t>the</w:t>
      </w:r>
      <w:r>
        <w:rPr>
          <w:spacing w:val="-2"/>
          <w:w w:val="105"/>
        </w:rPr>
        <w:t> </w:t>
      </w:r>
      <w:r>
        <w:rPr>
          <w:w w:val="105"/>
        </w:rPr>
        <w:t>globally</w:t>
      </w:r>
      <w:r>
        <w:rPr>
          <w:spacing w:val="-2"/>
          <w:w w:val="105"/>
        </w:rPr>
        <w:t> </w:t>
      </w:r>
      <w:r>
        <w:rPr>
          <w:w w:val="105"/>
        </w:rPr>
        <w:t>dispersed</w:t>
      </w:r>
      <w:r>
        <w:rPr>
          <w:spacing w:val="-2"/>
          <w:w w:val="105"/>
        </w:rPr>
        <w:t> </w:t>
      </w:r>
      <w:r>
        <w:rPr>
          <w:w w:val="105"/>
        </w:rPr>
        <w:t>talent</w:t>
      </w:r>
      <w:r>
        <w:rPr>
          <w:spacing w:val="-2"/>
          <w:w w:val="105"/>
        </w:rPr>
        <w:t> </w:t>
      </w:r>
      <w:r>
        <w:rPr>
          <w:w w:val="105"/>
        </w:rPr>
        <w:t>required</w:t>
      </w:r>
      <w:r>
        <w:rPr>
          <w:spacing w:val="-2"/>
          <w:w w:val="105"/>
        </w:rPr>
        <w:t> </w:t>
      </w:r>
      <w:r>
        <w:rPr>
          <w:w w:val="105"/>
        </w:rPr>
        <w:t>to</w:t>
      </w:r>
      <w:r>
        <w:rPr>
          <w:spacing w:val="-2"/>
          <w:w w:val="105"/>
        </w:rPr>
        <w:t> </w:t>
      </w:r>
      <w:r>
        <w:rPr>
          <w:w w:val="105"/>
        </w:rPr>
        <w:t>run</w:t>
      </w:r>
      <w:r>
        <w:rPr>
          <w:spacing w:val="-2"/>
          <w:w w:val="105"/>
        </w:rPr>
        <w:t> </w:t>
      </w:r>
      <w:r>
        <w:rPr>
          <w:w w:val="105"/>
        </w:rPr>
        <w:t>these</w:t>
      </w:r>
      <w:r>
        <w:rPr>
          <w:spacing w:val="-2"/>
          <w:w w:val="105"/>
        </w:rPr>
        <w:t> </w:t>
      </w:r>
      <w:r>
        <w:rPr>
          <w:w w:val="105"/>
        </w:rPr>
        <w:t>facilities,</w:t>
      </w:r>
      <w:r>
        <w:rPr>
          <w:spacing w:val="-4"/>
          <w:w w:val="105"/>
        </w:rPr>
        <w:t> </w:t>
      </w:r>
      <w:r>
        <w:rPr>
          <w:w w:val="105"/>
        </w:rPr>
        <w:t>any</w:t>
      </w:r>
      <w:r>
        <w:rPr>
          <w:spacing w:val="-2"/>
          <w:w w:val="105"/>
        </w:rPr>
        <w:t> </w:t>
      </w:r>
      <w:r>
        <w:rPr>
          <w:w w:val="105"/>
        </w:rPr>
        <w:t>event</w:t>
      </w:r>
      <w:r>
        <w:rPr>
          <w:spacing w:val="-2"/>
          <w:w w:val="105"/>
        </w:rPr>
        <w:t> </w:t>
      </w:r>
      <w:r>
        <w:rPr>
          <w:w w:val="105"/>
        </w:rPr>
        <w:t>that</w:t>
      </w:r>
      <w:r>
        <w:rPr>
          <w:spacing w:val="-2"/>
          <w:w w:val="105"/>
        </w:rPr>
        <w:t> </w:t>
      </w:r>
      <w:r>
        <w:rPr>
          <w:w w:val="105"/>
        </w:rPr>
        <w:t>adversely</w:t>
      </w:r>
      <w:r>
        <w:rPr>
          <w:spacing w:val="-4"/>
          <w:w w:val="105"/>
        </w:rPr>
        <w:t> </w:t>
      </w:r>
      <w:r>
        <w:rPr>
          <w:w w:val="105"/>
        </w:rPr>
        <w:t>affects</w:t>
      </w:r>
      <w:r>
        <w:rPr>
          <w:spacing w:val="-2"/>
          <w:w w:val="105"/>
        </w:rPr>
        <w:t> </w:t>
      </w:r>
      <w:r>
        <w:rPr>
          <w:w w:val="105"/>
        </w:rPr>
        <w:t>or restricts</w:t>
      </w:r>
      <w:r>
        <w:rPr>
          <w:spacing w:val="-5"/>
          <w:w w:val="105"/>
        </w:rPr>
        <w:t> </w:t>
      </w:r>
      <w:r>
        <w:rPr>
          <w:w w:val="105"/>
        </w:rPr>
        <w:t>movement</w:t>
      </w:r>
      <w:r>
        <w:rPr>
          <w:spacing w:val="-3"/>
          <w:w w:val="105"/>
        </w:rPr>
        <w:t> </w:t>
      </w:r>
      <w:r>
        <w:rPr>
          <w:w w:val="105"/>
        </w:rPr>
        <w:t>into</w:t>
      </w:r>
      <w:r>
        <w:rPr>
          <w:spacing w:val="-5"/>
          <w:w w:val="105"/>
        </w:rPr>
        <w:t> </w:t>
      </w:r>
      <w:r>
        <w:rPr>
          <w:w w:val="105"/>
        </w:rPr>
        <w:t>or</w:t>
      </w:r>
      <w:r>
        <w:rPr>
          <w:spacing w:val="-5"/>
          <w:w w:val="105"/>
        </w:rPr>
        <w:t> </w:t>
      </w:r>
      <w:r>
        <w:rPr>
          <w:w w:val="105"/>
        </w:rPr>
        <w:t>out</w:t>
      </w:r>
      <w:r>
        <w:rPr>
          <w:spacing w:val="-5"/>
          <w:w w:val="105"/>
        </w:rPr>
        <w:t> </w:t>
      </w:r>
      <w:r>
        <w:rPr>
          <w:w w:val="105"/>
        </w:rPr>
        <w:t>of</w:t>
      </w:r>
      <w:r>
        <w:rPr>
          <w:spacing w:val="-5"/>
          <w:w w:val="105"/>
        </w:rPr>
        <w:t> </w:t>
      </w:r>
      <w:r>
        <w:rPr>
          <w:w w:val="105"/>
        </w:rPr>
        <w:t>a</w:t>
      </w:r>
      <w:r>
        <w:rPr>
          <w:spacing w:val="-5"/>
          <w:w w:val="105"/>
        </w:rPr>
        <w:t> </w:t>
      </w:r>
      <w:r>
        <w:rPr>
          <w:w w:val="105"/>
        </w:rPr>
        <w:t>specific</w:t>
      </w:r>
      <w:r>
        <w:rPr>
          <w:spacing w:val="-5"/>
          <w:w w:val="105"/>
        </w:rPr>
        <w:t> </w:t>
      </w:r>
      <w:r>
        <w:rPr>
          <w:w w:val="105"/>
        </w:rPr>
        <w:t>geographic</w:t>
      </w:r>
      <w:r>
        <w:rPr>
          <w:spacing w:val="-5"/>
          <w:w w:val="105"/>
        </w:rPr>
        <w:t> </w:t>
      </w:r>
      <w:r>
        <w:rPr>
          <w:w w:val="105"/>
        </w:rPr>
        <w:t>area</w:t>
      </w:r>
      <w:r>
        <w:rPr>
          <w:spacing w:val="-5"/>
          <w:w w:val="105"/>
        </w:rPr>
        <w:t> </w:t>
      </w:r>
      <w:r>
        <w:rPr>
          <w:w w:val="105"/>
        </w:rPr>
        <w:t>where</w:t>
      </w:r>
      <w:r>
        <w:rPr>
          <w:spacing w:val="-5"/>
          <w:w w:val="105"/>
        </w:rPr>
        <w:t> </w:t>
      </w:r>
      <w:r>
        <w:rPr>
          <w:w w:val="105"/>
        </w:rPr>
        <w:t>we,</w:t>
      </w:r>
      <w:r>
        <w:rPr>
          <w:spacing w:val="-5"/>
          <w:w w:val="105"/>
        </w:rPr>
        <w:t> </w:t>
      </w:r>
      <w:r>
        <w:rPr>
          <w:w w:val="105"/>
        </w:rPr>
        <w:t>our</w:t>
      </w:r>
      <w:r>
        <w:rPr>
          <w:spacing w:val="-5"/>
          <w:w w:val="105"/>
        </w:rPr>
        <w:t> </w:t>
      </w:r>
      <w:r>
        <w:rPr>
          <w:w w:val="105"/>
        </w:rPr>
        <w:t>contract</w:t>
      </w:r>
      <w:r>
        <w:rPr>
          <w:spacing w:val="-5"/>
          <w:w w:val="105"/>
        </w:rPr>
        <w:t> </w:t>
      </w:r>
      <w:r>
        <w:rPr>
          <w:w w:val="105"/>
        </w:rPr>
        <w:t>manufacturers,</w:t>
      </w:r>
      <w:r>
        <w:rPr>
          <w:spacing w:val="-5"/>
          <w:w w:val="105"/>
        </w:rPr>
        <w:t> </w:t>
      </w:r>
      <w:r>
        <w:rPr>
          <w:w w:val="105"/>
        </w:rPr>
        <w:t>our</w:t>
      </w:r>
      <w:r>
        <w:rPr>
          <w:spacing w:val="-5"/>
          <w:w w:val="105"/>
        </w:rPr>
        <w:t> </w:t>
      </w:r>
      <w:r>
        <w:rPr>
          <w:w w:val="105"/>
        </w:rPr>
        <w:t>suppliers,</w:t>
      </w:r>
      <w:r>
        <w:rPr>
          <w:spacing w:val="-5"/>
          <w:w w:val="105"/>
        </w:rPr>
        <w:t> </w:t>
      </w:r>
      <w:r>
        <w:rPr>
          <w:w w:val="105"/>
        </w:rPr>
        <w:t>or</w:t>
      </w:r>
      <w:r>
        <w:rPr>
          <w:spacing w:val="-5"/>
          <w:w w:val="105"/>
        </w:rPr>
        <w:t> </w:t>
      </w:r>
      <w:r>
        <w:rPr>
          <w:w w:val="105"/>
        </w:rPr>
        <w:t>our</w:t>
      </w:r>
      <w:r>
        <w:rPr>
          <w:spacing w:val="-5"/>
          <w:w w:val="105"/>
        </w:rPr>
        <w:t> </w:t>
      </w:r>
      <w:r>
        <w:rPr>
          <w:w w:val="105"/>
        </w:rPr>
        <w:t>customers</w:t>
      </w:r>
      <w:r>
        <w:rPr>
          <w:spacing w:val="-5"/>
          <w:w w:val="105"/>
        </w:rPr>
        <w:t> </w:t>
      </w:r>
      <w:r>
        <w:rPr>
          <w:w w:val="105"/>
        </w:rPr>
        <w:t>have</w:t>
      </w:r>
      <w:r>
        <w:rPr>
          <w:spacing w:val="-5"/>
          <w:w w:val="105"/>
        </w:rPr>
        <w:t> </w:t>
      </w:r>
      <w:r>
        <w:rPr>
          <w:w w:val="105"/>
        </w:rPr>
        <w:t>a</w:t>
      </w:r>
      <w:r>
        <w:rPr>
          <w:spacing w:val="-5"/>
          <w:w w:val="105"/>
        </w:rPr>
        <w:t> </w:t>
      </w:r>
      <w:r>
        <w:rPr>
          <w:w w:val="105"/>
        </w:rPr>
        <w:t>presence,</w:t>
      </w:r>
      <w:r>
        <w:rPr>
          <w:spacing w:val="-5"/>
          <w:w w:val="105"/>
        </w:rPr>
        <w:t> </w:t>
      </w:r>
      <w:r>
        <w:rPr>
          <w:w w:val="105"/>
        </w:rPr>
        <w:t>could</w:t>
      </w:r>
      <w:r>
        <w:rPr>
          <w:spacing w:val="-5"/>
          <w:w w:val="105"/>
        </w:rPr>
        <w:t> </w:t>
      </w:r>
      <w:r>
        <w:rPr>
          <w:w w:val="105"/>
        </w:rPr>
        <w:t>adversely</w:t>
      </w:r>
      <w:r>
        <w:rPr>
          <w:spacing w:val="-5"/>
          <w:w w:val="105"/>
        </w:rPr>
        <w:t> </w:t>
      </w:r>
      <w:r>
        <w:rPr>
          <w:w w:val="105"/>
        </w:rPr>
        <w:t>impact our</w:t>
      </w:r>
      <w:r>
        <w:rPr>
          <w:spacing w:val="-2"/>
          <w:w w:val="105"/>
        </w:rPr>
        <w:t> </w:t>
      </w:r>
      <w:r>
        <w:rPr>
          <w:w w:val="105"/>
        </w:rPr>
        <w:t>results.</w:t>
      </w:r>
      <w:r>
        <w:rPr>
          <w:spacing w:val="-2"/>
          <w:w w:val="105"/>
        </w:rPr>
        <w:t> </w:t>
      </w:r>
      <w:r>
        <w:rPr>
          <w:w w:val="105"/>
        </w:rPr>
        <w:t>Due</w:t>
      </w:r>
      <w:r>
        <w:rPr>
          <w:spacing w:val="-2"/>
          <w:w w:val="105"/>
        </w:rPr>
        <w:t> </w:t>
      </w:r>
      <w:r>
        <w:rPr>
          <w:w w:val="105"/>
        </w:rPr>
        <w:t>to</w:t>
      </w:r>
      <w:r>
        <w:rPr>
          <w:spacing w:val="-2"/>
          <w:w w:val="105"/>
        </w:rPr>
        <w:t> </w:t>
      </w:r>
      <w:r>
        <w:rPr>
          <w:w w:val="105"/>
        </w:rPr>
        <w:t>the</w:t>
      </w:r>
      <w:r>
        <w:rPr>
          <w:spacing w:val="-2"/>
          <w:w w:val="105"/>
        </w:rPr>
        <w:t> </w:t>
      </w:r>
      <w:r>
        <w:rPr>
          <w:w w:val="105"/>
        </w:rPr>
        <w:t>specialized</w:t>
      </w:r>
      <w:r>
        <w:rPr>
          <w:spacing w:val="-2"/>
          <w:w w:val="105"/>
        </w:rPr>
        <w:t> </w:t>
      </w:r>
      <w:r>
        <w:rPr>
          <w:w w:val="105"/>
        </w:rPr>
        <w:t>nature</w:t>
      </w:r>
      <w:r>
        <w:rPr>
          <w:spacing w:val="-2"/>
          <w:w w:val="105"/>
        </w:rPr>
        <w:t> </w:t>
      </w:r>
      <w:r>
        <w:rPr>
          <w:w w:val="105"/>
        </w:rPr>
        <w:t>of</w:t>
      </w:r>
      <w:r>
        <w:rPr>
          <w:spacing w:val="-2"/>
          <w:w w:val="105"/>
        </w:rPr>
        <w:t> </w:t>
      </w:r>
      <w:r>
        <w:rPr>
          <w:w w:val="105"/>
        </w:rPr>
        <w:t>our</w:t>
      </w:r>
      <w:r>
        <w:rPr>
          <w:spacing w:val="-2"/>
          <w:w w:val="105"/>
        </w:rPr>
        <w:t> </w:t>
      </w:r>
      <w:r>
        <w:rPr>
          <w:w w:val="105"/>
        </w:rPr>
        <w:t>products and</w:t>
      </w:r>
      <w:r>
        <w:rPr>
          <w:spacing w:val="-2"/>
          <w:w w:val="105"/>
        </w:rPr>
        <w:t> </w:t>
      </w:r>
      <w:r>
        <w:rPr>
          <w:w w:val="105"/>
        </w:rPr>
        <w:t>single-site</w:t>
      </w:r>
      <w:r>
        <w:rPr>
          <w:spacing w:val="-2"/>
          <w:w w:val="105"/>
        </w:rPr>
        <w:t> </w:t>
      </w:r>
      <w:r>
        <w:rPr>
          <w:w w:val="105"/>
        </w:rPr>
        <w:t>manufacturing</w:t>
      </w:r>
      <w:r>
        <w:rPr>
          <w:spacing w:val="-2"/>
          <w:w w:val="105"/>
        </w:rPr>
        <w:t> </w:t>
      </w:r>
      <w:r>
        <w:rPr>
          <w:w w:val="105"/>
        </w:rPr>
        <w:t>locations,</w:t>
      </w:r>
      <w:r>
        <w:rPr>
          <w:spacing w:val="-2"/>
          <w:w w:val="105"/>
        </w:rPr>
        <w:t> </w:t>
      </w:r>
      <w:r>
        <w:rPr>
          <w:w w:val="105"/>
        </w:rPr>
        <w:t>in</w:t>
      </w:r>
      <w:r>
        <w:rPr>
          <w:spacing w:val="-2"/>
          <w:w w:val="105"/>
        </w:rPr>
        <w:t> </w:t>
      </w:r>
      <w:r>
        <w:rPr>
          <w:w w:val="105"/>
        </w:rPr>
        <w:t>the</w:t>
      </w:r>
      <w:r>
        <w:rPr>
          <w:spacing w:val="-2"/>
          <w:w w:val="105"/>
        </w:rPr>
        <w:t> </w:t>
      </w:r>
      <w:r>
        <w:rPr>
          <w:w w:val="105"/>
        </w:rPr>
        <w:t>event</w:t>
      </w:r>
      <w:r>
        <w:rPr>
          <w:spacing w:val="-2"/>
          <w:w w:val="105"/>
        </w:rPr>
        <w:t> </w:t>
      </w:r>
      <w:r>
        <w:rPr>
          <w:w w:val="105"/>
        </w:rPr>
        <w:t>such</w:t>
      </w:r>
      <w:r>
        <w:rPr>
          <w:spacing w:val="-2"/>
          <w:w w:val="105"/>
        </w:rPr>
        <w:t> </w:t>
      </w:r>
      <w:r>
        <w:rPr>
          <w:w w:val="105"/>
        </w:rPr>
        <w:t>a</w:t>
      </w:r>
      <w:r>
        <w:rPr>
          <w:spacing w:val="-2"/>
          <w:w w:val="105"/>
        </w:rPr>
        <w:t> </w:t>
      </w:r>
      <w:r>
        <w:rPr>
          <w:w w:val="105"/>
        </w:rPr>
        <w:t>location</w:t>
      </w:r>
      <w:r>
        <w:rPr>
          <w:spacing w:val="-2"/>
          <w:w w:val="105"/>
        </w:rPr>
        <w:t> </w:t>
      </w:r>
      <w:r>
        <w:rPr>
          <w:w w:val="105"/>
        </w:rPr>
        <w:t>experiences</w:t>
      </w:r>
      <w:r>
        <w:rPr>
          <w:spacing w:val="-2"/>
          <w:w w:val="105"/>
        </w:rPr>
        <w:t> </w:t>
      </w:r>
      <w:r>
        <w:rPr>
          <w:w w:val="105"/>
        </w:rPr>
        <w:t>disruption,</w:t>
      </w:r>
      <w:r>
        <w:rPr>
          <w:spacing w:val="-2"/>
          <w:w w:val="105"/>
        </w:rPr>
        <w:t> </w:t>
      </w:r>
      <w:r>
        <w:rPr>
          <w:w w:val="105"/>
        </w:rPr>
        <w:t>it</w:t>
      </w:r>
      <w:r>
        <w:rPr>
          <w:spacing w:val="-2"/>
          <w:w w:val="105"/>
        </w:rPr>
        <w:t> </w:t>
      </w:r>
      <w:r>
        <w:rPr>
          <w:w w:val="105"/>
        </w:rPr>
        <w:t>we</w:t>
      </w:r>
      <w:r>
        <w:rPr>
          <w:spacing w:val="-2"/>
          <w:w w:val="105"/>
        </w:rPr>
        <w:t> </w:t>
      </w:r>
      <w:r>
        <w:rPr>
          <w:w w:val="105"/>
        </w:rPr>
        <w:t>may</w:t>
      </w:r>
      <w:r>
        <w:rPr>
          <w:spacing w:val="-2"/>
          <w:w w:val="105"/>
        </w:rPr>
        <w:t> </w:t>
      </w:r>
      <w:r>
        <w:rPr>
          <w:w w:val="105"/>
        </w:rPr>
        <w:t>not</w:t>
      </w:r>
      <w:r>
        <w:rPr>
          <w:spacing w:val="-2"/>
          <w:w w:val="105"/>
        </w:rPr>
        <w:t> </w:t>
      </w:r>
      <w:r>
        <w:rPr>
          <w:w w:val="105"/>
        </w:rPr>
        <w:t>be possible to find replacement capacity or substitute production from other facilities.</w:t>
      </w:r>
    </w:p>
    <w:p>
      <w:pPr>
        <w:pStyle w:val="BodyText"/>
        <w:spacing w:before="17"/>
      </w:pPr>
    </w:p>
    <w:p>
      <w:pPr>
        <w:pStyle w:val="Heading2"/>
        <w:spacing w:line="266" w:lineRule="auto" w:before="1"/>
      </w:pPr>
      <w:r>
        <w:rPr>
          <w:w w:val="105"/>
        </w:rPr>
        <w:t>We</w:t>
      </w:r>
      <w:r>
        <w:rPr>
          <w:spacing w:val="-8"/>
          <w:w w:val="105"/>
        </w:rPr>
        <w:t> </w:t>
      </w:r>
      <w:r>
        <w:rPr>
          <w:w w:val="105"/>
        </w:rPr>
        <w:t>may</w:t>
      </w:r>
      <w:r>
        <w:rPr>
          <w:spacing w:val="-8"/>
          <w:w w:val="105"/>
        </w:rPr>
        <w:t> </w:t>
      </w:r>
      <w:r>
        <w:rPr>
          <w:w w:val="105"/>
        </w:rPr>
        <w:t>experience</w:t>
      </w:r>
      <w:r>
        <w:rPr>
          <w:spacing w:val="-8"/>
          <w:w w:val="105"/>
        </w:rPr>
        <w:t> </w:t>
      </w:r>
      <w:r>
        <w:rPr>
          <w:w w:val="105"/>
        </w:rPr>
        <w:t>difficulties</w:t>
      </w:r>
      <w:r>
        <w:rPr>
          <w:spacing w:val="-8"/>
          <w:w w:val="105"/>
        </w:rPr>
        <w:t> </w:t>
      </w:r>
      <w:r>
        <w:rPr>
          <w:w w:val="105"/>
        </w:rPr>
        <w:t>in</w:t>
      </w:r>
      <w:r>
        <w:rPr>
          <w:spacing w:val="-8"/>
          <w:w w:val="105"/>
        </w:rPr>
        <w:t> </w:t>
      </w:r>
      <w:r>
        <w:rPr>
          <w:w w:val="105"/>
        </w:rPr>
        <w:t>enforcing</w:t>
      </w:r>
      <w:r>
        <w:rPr>
          <w:spacing w:val="-8"/>
          <w:w w:val="105"/>
        </w:rPr>
        <w:t> </w:t>
      </w:r>
      <w:r>
        <w:rPr>
          <w:w w:val="105"/>
        </w:rPr>
        <w:t>our</w:t>
      </w:r>
      <w:r>
        <w:rPr>
          <w:spacing w:val="-8"/>
          <w:w w:val="105"/>
        </w:rPr>
        <w:t> </w:t>
      </w:r>
      <w:r>
        <w:rPr>
          <w:w w:val="105"/>
        </w:rPr>
        <w:t>intellectual</w:t>
      </w:r>
      <w:r>
        <w:rPr>
          <w:spacing w:val="-8"/>
          <w:w w:val="105"/>
        </w:rPr>
        <w:t> </w:t>
      </w:r>
      <w:r>
        <w:rPr>
          <w:w w:val="105"/>
        </w:rPr>
        <w:t>property</w:t>
      </w:r>
      <w:r>
        <w:rPr>
          <w:spacing w:val="-8"/>
          <w:w w:val="105"/>
        </w:rPr>
        <w:t> </w:t>
      </w:r>
      <w:r>
        <w:rPr>
          <w:w w:val="105"/>
        </w:rPr>
        <w:t>rights,</w:t>
      </w:r>
      <w:r>
        <w:rPr>
          <w:spacing w:val="-8"/>
          <w:w w:val="105"/>
        </w:rPr>
        <w:t> </w:t>
      </w:r>
      <w:r>
        <w:rPr>
          <w:w w:val="105"/>
        </w:rPr>
        <w:t>which</w:t>
      </w:r>
      <w:r>
        <w:rPr>
          <w:spacing w:val="-8"/>
          <w:w w:val="105"/>
        </w:rPr>
        <w:t> </w:t>
      </w:r>
      <w:r>
        <w:rPr>
          <w:w w:val="105"/>
        </w:rPr>
        <w:t>could</w:t>
      </w:r>
      <w:r>
        <w:rPr>
          <w:spacing w:val="-8"/>
          <w:w w:val="105"/>
        </w:rPr>
        <w:t> </w:t>
      </w:r>
      <w:r>
        <w:rPr>
          <w:w w:val="105"/>
        </w:rPr>
        <w:t>result</w:t>
      </w:r>
      <w:r>
        <w:rPr>
          <w:spacing w:val="-8"/>
          <w:w w:val="105"/>
        </w:rPr>
        <w:t> </w:t>
      </w:r>
      <w:r>
        <w:rPr>
          <w:w w:val="105"/>
        </w:rPr>
        <w:t>in</w:t>
      </w:r>
      <w:r>
        <w:rPr>
          <w:spacing w:val="-8"/>
          <w:w w:val="105"/>
        </w:rPr>
        <w:t> </w:t>
      </w:r>
      <w:r>
        <w:rPr>
          <w:w w:val="105"/>
        </w:rPr>
        <w:t>loss</w:t>
      </w:r>
      <w:r>
        <w:rPr>
          <w:spacing w:val="-8"/>
          <w:w w:val="105"/>
        </w:rPr>
        <w:t> </w:t>
      </w:r>
      <w:r>
        <w:rPr>
          <w:w w:val="105"/>
        </w:rPr>
        <w:t>of</w:t>
      </w:r>
      <w:r>
        <w:rPr>
          <w:spacing w:val="-8"/>
          <w:w w:val="105"/>
        </w:rPr>
        <w:t> </w:t>
      </w:r>
      <w:r>
        <w:rPr>
          <w:w w:val="105"/>
        </w:rPr>
        <w:t>market</w:t>
      </w:r>
      <w:r>
        <w:rPr>
          <w:spacing w:val="-8"/>
          <w:w w:val="105"/>
        </w:rPr>
        <w:t> </w:t>
      </w:r>
      <w:r>
        <w:rPr>
          <w:w w:val="105"/>
        </w:rPr>
        <w:t>share,</w:t>
      </w:r>
      <w:r>
        <w:rPr>
          <w:spacing w:val="-8"/>
          <w:w w:val="105"/>
        </w:rPr>
        <w:t> </w:t>
      </w:r>
      <w:r>
        <w:rPr>
          <w:w w:val="105"/>
        </w:rPr>
        <w:t>and</w:t>
      </w:r>
      <w:r>
        <w:rPr>
          <w:spacing w:val="-8"/>
          <w:w w:val="105"/>
        </w:rPr>
        <w:t> </w:t>
      </w:r>
      <w:r>
        <w:rPr>
          <w:w w:val="105"/>
        </w:rPr>
        <w:t>we</w:t>
      </w:r>
      <w:r>
        <w:rPr>
          <w:spacing w:val="-8"/>
          <w:w w:val="105"/>
        </w:rPr>
        <w:t> </w:t>
      </w:r>
      <w:r>
        <w:rPr>
          <w:w w:val="105"/>
        </w:rPr>
        <w:t>may</w:t>
      </w:r>
      <w:r>
        <w:rPr>
          <w:spacing w:val="-8"/>
          <w:w w:val="105"/>
        </w:rPr>
        <w:t> </w:t>
      </w:r>
      <w:r>
        <w:rPr>
          <w:w w:val="105"/>
        </w:rPr>
        <w:t>be</w:t>
      </w:r>
      <w:r>
        <w:rPr>
          <w:spacing w:val="-8"/>
          <w:w w:val="105"/>
        </w:rPr>
        <w:t> </w:t>
      </w:r>
      <w:r>
        <w:rPr>
          <w:w w:val="105"/>
        </w:rPr>
        <w:t>subject</w:t>
      </w:r>
      <w:r>
        <w:rPr>
          <w:spacing w:val="-8"/>
          <w:w w:val="105"/>
        </w:rPr>
        <w:t> </w:t>
      </w:r>
      <w:r>
        <w:rPr>
          <w:w w:val="105"/>
        </w:rPr>
        <w:t>to</w:t>
      </w:r>
      <w:r>
        <w:rPr>
          <w:spacing w:val="-6"/>
          <w:w w:val="105"/>
        </w:rPr>
        <w:t> </w:t>
      </w:r>
      <w:r>
        <w:rPr>
          <w:w w:val="105"/>
        </w:rPr>
        <w:t>claims</w:t>
      </w:r>
      <w:r>
        <w:rPr>
          <w:spacing w:val="-8"/>
          <w:w w:val="105"/>
        </w:rPr>
        <w:t> </w:t>
      </w:r>
      <w:r>
        <w:rPr>
          <w:w w:val="105"/>
        </w:rPr>
        <w:t>of infringement of the intellectual property rights of others</w:t>
      </w:r>
    </w:p>
    <w:p>
      <w:pPr>
        <w:pStyle w:val="BodyText"/>
        <w:spacing w:before="18"/>
        <w:rPr>
          <w:b/>
        </w:rPr>
      </w:pPr>
    </w:p>
    <w:p>
      <w:pPr>
        <w:pStyle w:val="BodyText"/>
        <w:spacing w:line="266" w:lineRule="auto" w:before="1"/>
        <w:ind w:left="156" w:right="117"/>
      </w:pPr>
      <w:r>
        <w:rPr>
          <w:w w:val="105"/>
        </w:rPr>
        <w:t>We</w:t>
      </w:r>
      <w:r>
        <w:rPr>
          <w:spacing w:val="-2"/>
          <w:w w:val="105"/>
        </w:rPr>
        <w:t> </w:t>
      </w:r>
      <w:r>
        <w:rPr>
          <w:w w:val="105"/>
        </w:rPr>
        <w:t>rely</w:t>
      </w:r>
      <w:r>
        <w:rPr>
          <w:spacing w:val="-2"/>
          <w:w w:val="105"/>
        </w:rPr>
        <w:t> </w:t>
      </w:r>
      <w:r>
        <w:rPr>
          <w:w w:val="105"/>
        </w:rPr>
        <w:t>on</w:t>
      </w:r>
      <w:r>
        <w:rPr>
          <w:spacing w:val="-2"/>
          <w:w w:val="105"/>
        </w:rPr>
        <w:t> </w:t>
      </w:r>
      <w:r>
        <w:rPr>
          <w:w w:val="105"/>
        </w:rPr>
        <w:t>patent</w:t>
      </w:r>
      <w:r>
        <w:rPr>
          <w:spacing w:val="-2"/>
          <w:w w:val="105"/>
        </w:rPr>
        <w:t> </w:t>
      </w:r>
      <w:r>
        <w:rPr>
          <w:w w:val="105"/>
        </w:rPr>
        <w:t>and</w:t>
      </w:r>
      <w:r>
        <w:rPr>
          <w:spacing w:val="-2"/>
          <w:w w:val="105"/>
        </w:rPr>
        <w:t> </w:t>
      </w:r>
      <w:r>
        <w:rPr>
          <w:w w:val="105"/>
        </w:rPr>
        <w:t>trade</w:t>
      </w:r>
      <w:r>
        <w:rPr>
          <w:spacing w:val="-2"/>
          <w:w w:val="105"/>
        </w:rPr>
        <w:t> </w:t>
      </w:r>
      <w:r>
        <w:rPr>
          <w:w w:val="105"/>
        </w:rPr>
        <w:t>secret</w:t>
      </w:r>
      <w:r>
        <w:rPr>
          <w:spacing w:val="-2"/>
          <w:w w:val="105"/>
        </w:rPr>
        <w:t> </w:t>
      </w:r>
      <w:r>
        <w:rPr>
          <w:w w:val="105"/>
        </w:rPr>
        <w:t>laws,</w:t>
      </w:r>
      <w:r>
        <w:rPr>
          <w:spacing w:val="-2"/>
          <w:w w:val="105"/>
        </w:rPr>
        <w:t> </w:t>
      </w:r>
      <w:r>
        <w:rPr>
          <w:w w:val="105"/>
        </w:rPr>
        <w:t>copyright,</w:t>
      </w:r>
      <w:r>
        <w:rPr>
          <w:spacing w:val="-2"/>
          <w:w w:val="105"/>
        </w:rPr>
        <w:t> </w:t>
      </w:r>
      <w:r>
        <w:rPr>
          <w:w w:val="105"/>
        </w:rPr>
        <w:t>trademark,</w:t>
      </w:r>
      <w:r>
        <w:rPr>
          <w:spacing w:val="-2"/>
          <w:w w:val="105"/>
        </w:rPr>
        <w:t> </w:t>
      </w:r>
      <w:r>
        <w:rPr>
          <w:w w:val="105"/>
        </w:rPr>
        <w:t>confidentiality</w:t>
      </w:r>
      <w:r>
        <w:rPr>
          <w:spacing w:val="-4"/>
          <w:w w:val="105"/>
        </w:rPr>
        <w:t> </w:t>
      </w:r>
      <w:r>
        <w:rPr>
          <w:w w:val="105"/>
        </w:rPr>
        <w:t>procedures,</w:t>
      </w:r>
      <w:r>
        <w:rPr>
          <w:spacing w:val="-2"/>
          <w:w w:val="105"/>
        </w:rPr>
        <w:t> </w:t>
      </w:r>
      <w:r>
        <w:rPr>
          <w:w w:val="105"/>
        </w:rPr>
        <w:t>controls</w:t>
      </w:r>
      <w:r>
        <w:rPr>
          <w:spacing w:val="-2"/>
          <w:w w:val="105"/>
        </w:rPr>
        <w:t> </w:t>
      </w:r>
      <w:r>
        <w:rPr>
          <w:w w:val="105"/>
        </w:rPr>
        <w:t>and</w:t>
      </w:r>
      <w:r>
        <w:rPr>
          <w:spacing w:val="-2"/>
          <w:w w:val="105"/>
        </w:rPr>
        <w:t> </w:t>
      </w:r>
      <w:r>
        <w:rPr>
          <w:w w:val="105"/>
        </w:rPr>
        <w:t>contractual</w:t>
      </w:r>
      <w:r>
        <w:rPr>
          <w:spacing w:val="-2"/>
          <w:w w:val="105"/>
        </w:rPr>
        <w:t> </w:t>
      </w:r>
      <w:r>
        <w:rPr>
          <w:w w:val="105"/>
        </w:rPr>
        <w:t>commitments</w:t>
      </w:r>
      <w:r>
        <w:rPr>
          <w:spacing w:val="-2"/>
          <w:w w:val="105"/>
        </w:rPr>
        <w:t> </w:t>
      </w:r>
      <w:r>
        <w:rPr>
          <w:w w:val="105"/>
        </w:rPr>
        <w:t>to</w:t>
      </w:r>
      <w:r>
        <w:rPr>
          <w:spacing w:val="-2"/>
          <w:w w:val="105"/>
        </w:rPr>
        <w:t> </w:t>
      </w:r>
      <w:r>
        <w:rPr>
          <w:w w:val="105"/>
        </w:rPr>
        <w:t>protect</w:t>
      </w:r>
      <w:r>
        <w:rPr>
          <w:spacing w:val="-2"/>
          <w:w w:val="105"/>
        </w:rPr>
        <w:t> </w:t>
      </w:r>
      <w:r>
        <w:rPr>
          <w:w w:val="105"/>
        </w:rPr>
        <w:t>our</w:t>
      </w:r>
      <w:r>
        <w:rPr>
          <w:spacing w:val="-2"/>
          <w:w w:val="105"/>
        </w:rPr>
        <w:t> </w:t>
      </w:r>
      <w:r>
        <w:rPr>
          <w:w w:val="105"/>
        </w:rPr>
        <w:t>intellectual</w:t>
      </w:r>
      <w:r>
        <w:rPr>
          <w:spacing w:val="-2"/>
          <w:w w:val="105"/>
        </w:rPr>
        <w:t> </w:t>
      </w:r>
      <w:r>
        <w:rPr>
          <w:w w:val="105"/>
        </w:rPr>
        <w:t>property</w:t>
      </w:r>
      <w:r>
        <w:rPr>
          <w:spacing w:val="-2"/>
          <w:w w:val="105"/>
        </w:rPr>
        <w:t> </w:t>
      </w:r>
      <w:r>
        <w:rPr>
          <w:w w:val="105"/>
        </w:rPr>
        <w:t>rights. Despite</w:t>
      </w:r>
      <w:r>
        <w:rPr>
          <w:spacing w:val="-2"/>
          <w:w w:val="105"/>
        </w:rPr>
        <w:t> </w:t>
      </w:r>
      <w:r>
        <w:rPr>
          <w:w w:val="105"/>
        </w:rPr>
        <w:t>our</w:t>
      </w:r>
      <w:r>
        <w:rPr>
          <w:spacing w:val="-2"/>
          <w:w w:val="105"/>
        </w:rPr>
        <w:t> </w:t>
      </w:r>
      <w:r>
        <w:rPr>
          <w:w w:val="105"/>
        </w:rPr>
        <w:t>efforts,</w:t>
      </w:r>
      <w:r>
        <w:rPr>
          <w:spacing w:val="-2"/>
          <w:w w:val="105"/>
        </w:rPr>
        <w:t> </w:t>
      </w:r>
      <w:r>
        <w:rPr>
          <w:w w:val="105"/>
        </w:rPr>
        <w:t>these</w:t>
      </w:r>
      <w:r>
        <w:rPr>
          <w:spacing w:val="-2"/>
          <w:w w:val="105"/>
        </w:rPr>
        <w:t> </w:t>
      </w:r>
      <w:r>
        <w:rPr>
          <w:w w:val="105"/>
        </w:rPr>
        <w:t>protections</w:t>
      </w:r>
      <w:r>
        <w:rPr>
          <w:spacing w:val="-2"/>
          <w:w w:val="105"/>
        </w:rPr>
        <w:t> </w:t>
      </w:r>
      <w:r>
        <w:rPr>
          <w:w w:val="105"/>
        </w:rPr>
        <w:t>may</w:t>
      </w:r>
      <w:r>
        <w:rPr>
          <w:spacing w:val="-2"/>
          <w:w w:val="105"/>
        </w:rPr>
        <w:t> </w:t>
      </w:r>
      <w:r>
        <w:rPr>
          <w:w w:val="105"/>
        </w:rPr>
        <w:t>be</w:t>
      </w:r>
      <w:r>
        <w:rPr>
          <w:spacing w:val="-2"/>
          <w:w w:val="105"/>
        </w:rPr>
        <w:t> </w:t>
      </w:r>
      <w:r>
        <w:rPr>
          <w:w w:val="105"/>
        </w:rPr>
        <w:t>limited</w:t>
      </w:r>
      <w:r>
        <w:rPr>
          <w:spacing w:val="-2"/>
          <w:w w:val="105"/>
        </w:rPr>
        <w:t> </w:t>
      </w:r>
      <w:r>
        <w:rPr>
          <w:w w:val="105"/>
        </w:rPr>
        <w:t>and</w:t>
      </w:r>
      <w:r>
        <w:rPr>
          <w:spacing w:val="-2"/>
          <w:w w:val="105"/>
        </w:rPr>
        <w:t> </w:t>
      </w:r>
      <w:r>
        <w:rPr>
          <w:w w:val="105"/>
        </w:rPr>
        <w:t>we</w:t>
      </w:r>
      <w:r>
        <w:rPr>
          <w:spacing w:val="-2"/>
          <w:w w:val="105"/>
        </w:rPr>
        <w:t> </w:t>
      </w:r>
      <w:r>
        <w:rPr>
          <w:w w:val="105"/>
        </w:rPr>
        <w:t>may</w:t>
      </w:r>
      <w:r>
        <w:rPr>
          <w:spacing w:val="-2"/>
          <w:w w:val="105"/>
        </w:rPr>
        <w:t> </w:t>
      </w:r>
      <w:r>
        <w:rPr>
          <w:w w:val="105"/>
        </w:rPr>
        <w:t>encounter</w:t>
      </w:r>
      <w:r>
        <w:rPr>
          <w:spacing w:val="-2"/>
          <w:w w:val="105"/>
        </w:rPr>
        <w:t> </w:t>
      </w:r>
      <w:r>
        <w:rPr>
          <w:w w:val="105"/>
        </w:rPr>
        <w:t>difficulties</w:t>
      </w:r>
      <w:r>
        <w:rPr>
          <w:spacing w:val="-2"/>
          <w:w w:val="105"/>
        </w:rPr>
        <w:t> </w:t>
      </w:r>
      <w:r>
        <w:rPr>
          <w:w w:val="105"/>
        </w:rPr>
        <w:t>in</w:t>
      </w:r>
      <w:r>
        <w:rPr>
          <w:spacing w:val="-2"/>
          <w:w w:val="105"/>
        </w:rPr>
        <w:t> </w:t>
      </w:r>
      <w:r>
        <w:rPr>
          <w:w w:val="105"/>
        </w:rPr>
        <w:t>protecting</w:t>
      </w:r>
      <w:r>
        <w:rPr>
          <w:spacing w:val="-2"/>
          <w:w w:val="105"/>
        </w:rPr>
        <w:t> </w:t>
      </w:r>
      <w:r>
        <w:rPr>
          <w:w w:val="105"/>
        </w:rPr>
        <w:t>our</w:t>
      </w:r>
      <w:r>
        <w:rPr>
          <w:spacing w:val="-2"/>
          <w:w w:val="105"/>
        </w:rPr>
        <w:t> </w:t>
      </w:r>
      <w:r>
        <w:rPr>
          <w:w w:val="105"/>
        </w:rPr>
        <w:t>intellectual</w:t>
      </w:r>
      <w:r>
        <w:rPr>
          <w:spacing w:val="-2"/>
          <w:w w:val="105"/>
        </w:rPr>
        <w:t> </w:t>
      </w:r>
      <w:r>
        <w:rPr>
          <w:w w:val="105"/>
        </w:rPr>
        <w:t>property</w:t>
      </w:r>
      <w:r>
        <w:rPr>
          <w:spacing w:val="-2"/>
          <w:w w:val="105"/>
        </w:rPr>
        <w:t> </w:t>
      </w:r>
      <w:r>
        <w:rPr>
          <w:w w:val="105"/>
        </w:rPr>
        <w:t>rights</w:t>
      </w:r>
      <w:r>
        <w:rPr>
          <w:spacing w:val="-2"/>
          <w:w w:val="105"/>
        </w:rPr>
        <w:t> </w:t>
      </w:r>
      <w:r>
        <w:rPr>
          <w:w w:val="105"/>
        </w:rPr>
        <w:t>or</w:t>
      </w:r>
      <w:r>
        <w:rPr>
          <w:spacing w:val="-2"/>
          <w:w w:val="105"/>
        </w:rPr>
        <w:t> </w:t>
      </w:r>
      <w:r>
        <w:rPr>
          <w:w w:val="105"/>
        </w:rPr>
        <w:t>obtaining</w:t>
      </w:r>
      <w:r>
        <w:rPr>
          <w:spacing w:val="-2"/>
          <w:w w:val="105"/>
        </w:rPr>
        <w:t> </w:t>
      </w:r>
      <w:r>
        <w:rPr>
          <w:w w:val="105"/>
        </w:rPr>
        <w:t>rights to</w:t>
      </w:r>
      <w:r>
        <w:rPr>
          <w:spacing w:val="-2"/>
          <w:w w:val="105"/>
        </w:rPr>
        <w:t> </w:t>
      </w:r>
      <w:r>
        <w:rPr>
          <w:w w:val="105"/>
        </w:rPr>
        <w:t>additional intellectual</w:t>
      </w:r>
      <w:r>
        <w:rPr>
          <w:spacing w:val="-2"/>
          <w:w w:val="105"/>
        </w:rPr>
        <w:t> </w:t>
      </w:r>
      <w:r>
        <w:rPr>
          <w:w w:val="105"/>
        </w:rPr>
        <w:t>property</w:t>
      </w:r>
      <w:r>
        <w:rPr>
          <w:spacing w:val="-2"/>
          <w:w w:val="105"/>
        </w:rPr>
        <w:t> </w:t>
      </w:r>
      <w:r>
        <w:rPr>
          <w:w w:val="105"/>
        </w:rPr>
        <w:t>necessary</w:t>
      </w:r>
      <w:r>
        <w:rPr>
          <w:spacing w:val="-2"/>
          <w:w w:val="105"/>
        </w:rPr>
        <w:t> </w:t>
      </w:r>
      <w:r>
        <w:rPr>
          <w:w w:val="105"/>
        </w:rPr>
        <w:t>to</w:t>
      </w:r>
      <w:r>
        <w:rPr>
          <w:spacing w:val="-2"/>
          <w:w w:val="105"/>
        </w:rPr>
        <w:t> </w:t>
      </w:r>
      <w:r>
        <w:rPr>
          <w:w w:val="105"/>
        </w:rPr>
        <w:t>permit</w:t>
      </w:r>
      <w:r>
        <w:rPr>
          <w:spacing w:val="-2"/>
          <w:w w:val="105"/>
        </w:rPr>
        <w:t> </w:t>
      </w:r>
      <w:r>
        <w:rPr>
          <w:w w:val="105"/>
        </w:rPr>
        <w:t>us to</w:t>
      </w:r>
      <w:r>
        <w:rPr>
          <w:spacing w:val="-2"/>
          <w:w w:val="105"/>
        </w:rPr>
        <w:t> </w:t>
      </w:r>
      <w:r>
        <w:rPr>
          <w:w w:val="105"/>
        </w:rPr>
        <w:t>continue</w:t>
      </w:r>
      <w:r>
        <w:rPr>
          <w:spacing w:val="-2"/>
          <w:w w:val="105"/>
        </w:rPr>
        <w:t> </w:t>
      </w:r>
      <w:r>
        <w:rPr>
          <w:w w:val="105"/>
        </w:rPr>
        <w:t>or</w:t>
      </w:r>
      <w:r>
        <w:rPr>
          <w:spacing w:val="-2"/>
          <w:w w:val="105"/>
        </w:rPr>
        <w:t> </w:t>
      </w:r>
      <w:r>
        <w:rPr>
          <w:w w:val="105"/>
        </w:rPr>
        <w:t>expand</w:t>
      </w:r>
      <w:r>
        <w:rPr>
          <w:spacing w:val="-2"/>
          <w:w w:val="105"/>
        </w:rPr>
        <w:t> </w:t>
      </w:r>
      <w:r>
        <w:rPr>
          <w:w w:val="105"/>
        </w:rPr>
        <w:t>our</w:t>
      </w:r>
      <w:r>
        <w:rPr>
          <w:spacing w:val="-2"/>
          <w:w w:val="105"/>
        </w:rPr>
        <w:t> </w:t>
      </w:r>
      <w:r>
        <w:rPr>
          <w:w w:val="105"/>
        </w:rPr>
        <w:t>businesses.</w:t>
      </w:r>
      <w:r>
        <w:rPr>
          <w:spacing w:val="-2"/>
          <w:w w:val="105"/>
        </w:rPr>
        <w:t> </w:t>
      </w:r>
      <w:r>
        <w:rPr>
          <w:w w:val="105"/>
        </w:rPr>
        <w:t>We</w:t>
      </w:r>
      <w:r>
        <w:rPr>
          <w:spacing w:val="-2"/>
          <w:w w:val="105"/>
        </w:rPr>
        <w:t> </w:t>
      </w:r>
      <w:r>
        <w:rPr>
          <w:w w:val="105"/>
        </w:rPr>
        <w:t>cannot</w:t>
      </w:r>
      <w:r>
        <w:rPr>
          <w:spacing w:val="-2"/>
          <w:w w:val="105"/>
        </w:rPr>
        <w:t> </w:t>
      </w:r>
      <w:r>
        <w:rPr>
          <w:w w:val="105"/>
        </w:rPr>
        <w:t>provide</w:t>
      </w:r>
      <w:r>
        <w:rPr>
          <w:spacing w:val="-2"/>
          <w:w w:val="105"/>
        </w:rPr>
        <w:t> </w:t>
      </w:r>
      <w:r>
        <w:rPr>
          <w:w w:val="105"/>
        </w:rPr>
        <w:t>assurance</w:t>
      </w:r>
      <w:r>
        <w:rPr>
          <w:spacing w:val="-2"/>
          <w:w w:val="105"/>
        </w:rPr>
        <w:t> </w:t>
      </w:r>
      <w:r>
        <w:rPr>
          <w:w w:val="105"/>
        </w:rPr>
        <w:t>that</w:t>
      </w:r>
      <w:r>
        <w:rPr>
          <w:spacing w:val="-2"/>
          <w:w w:val="105"/>
        </w:rPr>
        <w:t> </w:t>
      </w:r>
      <w:r>
        <w:rPr>
          <w:w w:val="105"/>
        </w:rPr>
        <w:t>the</w:t>
      </w:r>
      <w:r>
        <w:rPr>
          <w:spacing w:val="-2"/>
          <w:w w:val="105"/>
        </w:rPr>
        <w:t> </w:t>
      </w:r>
      <w:r>
        <w:rPr>
          <w:w w:val="105"/>
        </w:rPr>
        <w:t>patents</w:t>
      </w:r>
      <w:r>
        <w:rPr>
          <w:spacing w:val="-2"/>
          <w:w w:val="105"/>
        </w:rPr>
        <w:t> </w:t>
      </w:r>
      <w:r>
        <w:rPr>
          <w:w w:val="105"/>
        </w:rPr>
        <w:t>that</w:t>
      </w:r>
      <w:r>
        <w:rPr>
          <w:spacing w:val="-2"/>
          <w:w w:val="105"/>
        </w:rPr>
        <w:t> </w:t>
      </w:r>
      <w:r>
        <w:rPr>
          <w:w w:val="105"/>
        </w:rPr>
        <w:t>we</w:t>
      </w:r>
      <w:r>
        <w:rPr>
          <w:spacing w:val="-2"/>
          <w:w w:val="105"/>
        </w:rPr>
        <w:t> </w:t>
      </w:r>
      <w:r>
        <w:rPr>
          <w:w w:val="105"/>
        </w:rPr>
        <w:t>hold</w:t>
      </w:r>
      <w:r>
        <w:rPr>
          <w:spacing w:val="-2"/>
          <w:w w:val="105"/>
        </w:rPr>
        <w:t> </w:t>
      </w:r>
      <w:r>
        <w:rPr>
          <w:w w:val="105"/>
        </w:rPr>
        <w:t>or may</w:t>
      </w:r>
      <w:r>
        <w:rPr>
          <w:spacing w:val="-2"/>
          <w:w w:val="105"/>
        </w:rPr>
        <w:t> </w:t>
      </w:r>
      <w:r>
        <w:rPr>
          <w:w w:val="105"/>
        </w:rPr>
        <w:t>obtain</w:t>
      </w:r>
      <w:r>
        <w:rPr>
          <w:spacing w:val="-2"/>
          <w:w w:val="105"/>
        </w:rPr>
        <w:t> </w:t>
      </w:r>
      <w:r>
        <w:rPr>
          <w:w w:val="105"/>
        </w:rPr>
        <w:t>will</w:t>
      </w:r>
      <w:r>
        <w:rPr>
          <w:spacing w:val="-2"/>
          <w:w w:val="105"/>
        </w:rPr>
        <w:t> </w:t>
      </w:r>
      <w:r>
        <w:rPr>
          <w:w w:val="105"/>
        </w:rPr>
        <w:t>provide meaningful</w:t>
      </w:r>
      <w:r>
        <w:rPr>
          <w:spacing w:val="-2"/>
          <w:w w:val="105"/>
        </w:rPr>
        <w:t> </w:t>
      </w:r>
      <w:r>
        <w:rPr>
          <w:w w:val="105"/>
        </w:rPr>
        <w:t>protection against</w:t>
      </w:r>
      <w:r>
        <w:rPr>
          <w:spacing w:val="-2"/>
          <w:w w:val="105"/>
        </w:rPr>
        <w:t> </w:t>
      </w:r>
      <w:r>
        <w:rPr>
          <w:w w:val="105"/>
        </w:rPr>
        <w:t>our</w:t>
      </w:r>
      <w:r>
        <w:rPr>
          <w:spacing w:val="-2"/>
          <w:w w:val="105"/>
        </w:rPr>
        <w:t> </w:t>
      </w:r>
      <w:r>
        <w:rPr>
          <w:w w:val="105"/>
        </w:rPr>
        <w:t>competitors.</w:t>
      </w:r>
      <w:r>
        <w:rPr>
          <w:spacing w:val="-2"/>
          <w:w w:val="105"/>
        </w:rPr>
        <w:t> </w:t>
      </w:r>
      <w:r>
        <w:rPr>
          <w:w w:val="105"/>
        </w:rPr>
        <w:t>Changes in</w:t>
      </w:r>
      <w:r>
        <w:rPr>
          <w:spacing w:val="-2"/>
          <w:w w:val="105"/>
        </w:rPr>
        <w:t> </w:t>
      </w:r>
      <w:r>
        <w:rPr>
          <w:w w:val="105"/>
        </w:rPr>
        <w:t>or</w:t>
      </w:r>
      <w:r>
        <w:rPr>
          <w:spacing w:val="-2"/>
          <w:w w:val="105"/>
        </w:rPr>
        <w:t> </w:t>
      </w:r>
      <w:r>
        <w:rPr>
          <w:w w:val="105"/>
        </w:rPr>
        <w:t>enforcement</w:t>
      </w:r>
      <w:r>
        <w:rPr>
          <w:spacing w:val="-2"/>
          <w:w w:val="105"/>
        </w:rPr>
        <w:t> </w:t>
      </w:r>
      <w:r>
        <w:rPr>
          <w:w w:val="105"/>
        </w:rPr>
        <w:t>of</w:t>
      </w:r>
      <w:r>
        <w:rPr>
          <w:spacing w:val="-2"/>
          <w:w w:val="105"/>
        </w:rPr>
        <w:t> </w:t>
      </w:r>
      <w:r>
        <w:rPr>
          <w:w w:val="105"/>
        </w:rPr>
        <w:t>laws</w:t>
      </w:r>
      <w:r>
        <w:rPr>
          <w:spacing w:val="-2"/>
          <w:w w:val="105"/>
        </w:rPr>
        <w:t> </w:t>
      </w:r>
      <w:r>
        <w:rPr>
          <w:w w:val="105"/>
        </w:rPr>
        <w:t>concerning</w:t>
      </w:r>
      <w:r>
        <w:rPr>
          <w:spacing w:val="-2"/>
          <w:w w:val="105"/>
        </w:rPr>
        <w:t> </w:t>
      </w:r>
      <w:r>
        <w:rPr>
          <w:w w:val="105"/>
        </w:rPr>
        <w:t>intellectual</w:t>
      </w:r>
      <w:r>
        <w:rPr>
          <w:spacing w:val="-2"/>
          <w:w w:val="105"/>
        </w:rPr>
        <w:t> </w:t>
      </w:r>
      <w:r>
        <w:rPr>
          <w:w w:val="105"/>
        </w:rPr>
        <w:t>property</w:t>
      </w:r>
      <w:r>
        <w:rPr>
          <w:spacing w:val="-2"/>
          <w:w w:val="105"/>
        </w:rPr>
        <w:t> </w:t>
      </w:r>
      <w:r>
        <w:rPr>
          <w:w w:val="105"/>
        </w:rPr>
        <w:t>may</w:t>
      </w:r>
      <w:r>
        <w:rPr>
          <w:spacing w:val="-2"/>
          <w:w w:val="105"/>
        </w:rPr>
        <w:t> </w:t>
      </w:r>
      <w:r>
        <w:rPr>
          <w:w w:val="105"/>
        </w:rPr>
        <w:t>affect</w:t>
      </w:r>
      <w:r>
        <w:rPr>
          <w:spacing w:val="-2"/>
          <w:w w:val="105"/>
        </w:rPr>
        <w:t> </w:t>
      </w:r>
      <w:r>
        <w:rPr>
          <w:w w:val="105"/>
        </w:rPr>
        <w:t>our</w:t>
      </w:r>
      <w:r>
        <w:rPr>
          <w:spacing w:val="-2"/>
          <w:w w:val="105"/>
        </w:rPr>
        <w:t> </w:t>
      </w:r>
      <w:r>
        <w:rPr>
          <w:w w:val="105"/>
        </w:rPr>
        <w:t>ability</w:t>
      </w:r>
      <w:r>
        <w:rPr>
          <w:spacing w:val="-2"/>
          <w:w w:val="105"/>
        </w:rPr>
        <w:t> </w:t>
      </w:r>
      <w:r>
        <w:rPr>
          <w:w w:val="105"/>
        </w:rPr>
        <w:t>to</w:t>
      </w:r>
      <w:r>
        <w:rPr>
          <w:spacing w:val="-2"/>
          <w:w w:val="105"/>
        </w:rPr>
        <w:t> </w:t>
      </w:r>
      <w:r>
        <w:rPr>
          <w:w w:val="105"/>
        </w:rPr>
        <w:t>prevent</w:t>
      </w:r>
      <w:r>
        <w:rPr>
          <w:spacing w:val="-2"/>
          <w:w w:val="105"/>
        </w:rPr>
        <w:t> </w:t>
      </w:r>
      <w:r>
        <w:rPr>
          <w:w w:val="105"/>
        </w:rPr>
        <w:t>or</w:t>
      </w:r>
      <w:r>
        <w:rPr>
          <w:spacing w:val="-2"/>
          <w:w w:val="105"/>
        </w:rPr>
        <w:t> </w:t>
      </w:r>
      <w:r>
        <w:rPr>
          <w:w w:val="105"/>
        </w:rPr>
        <w:t>address</w:t>
      </w:r>
      <w:r>
        <w:rPr>
          <w:spacing w:val="-2"/>
          <w:w w:val="105"/>
        </w:rPr>
        <w:t> </w:t>
      </w:r>
      <w:r>
        <w:rPr>
          <w:w w:val="105"/>
        </w:rPr>
        <w:t>the misappropriation</w:t>
      </w:r>
      <w:r>
        <w:rPr>
          <w:spacing w:val="-8"/>
          <w:w w:val="105"/>
        </w:rPr>
        <w:t> </w:t>
      </w:r>
      <w:r>
        <w:rPr>
          <w:w w:val="105"/>
        </w:rPr>
        <w:t>of,</w:t>
      </w:r>
      <w:r>
        <w:rPr>
          <w:spacing w:val="-8"/>
          <w:w w:val="105"/>
        </w:rPr>
        <w:t> </w:t>
      </w:r>
      <w:r>
        <w:rPr>
          <w:w w:val="105"/>
        </w:rPr>
        <w:t>or</w:t>
      </w:r>
      <w:r>
        <w:rPr>
          <w:spacing w:val="-8"/>
          <w:w w:val="105"/>
        </w:rPr>
        <w:t> </w:t>
      </w:r>
      <w:r>
        <w:rPr>
          <w:w w:val="105"/>
        </w:rPr>
        <w:t>the</w:t>
      </w:r>
      <w:r>
        <w:rPr>
          <w:spacing w:val="-8"/>
          <w:w w:val="105"/>
        </w:rPr>
        <w:t> </w:t>
      </w:r>
      <w:r>
        <w:rPr>
          <w:w w:val="105"/>
        </w:rPr>
        <w:t>unauthorized</w:t>
      </w:r>
      <w:r>
        <w:rPr>
          <w:spacing w:val="-8"/>
          <w:w w:val="105"/>
        </w:rPr>
        <w:t> </w:t>
      </w:r>
      <w:r>
        <w:rPr>
          <w:w w:val="105"/>
        </w:rPr>
        <w:t>use</w:t>
      </w:r>
      <w:r>
        <w:rPr>
          <w:spacing w:val="-8"/>
          <w:w w:val="105"/>
        </w:rPr>
        <w:t> </w:t>
      </w:r>
      <w:r>
        <w:rPr>
          <w:w w:val="105"/>
        </w:rPr>
        <w:t>of,</w:t>
      </w:r>
      <w:r>
        <w:rPr>
          <w:spacing w:val="-8"/>
          <w:w w:val="105"/>
        </w:rPr>
        <w:t> </w:t>
      </w:r>
      <w:r>
        <w:rPr>
          <w:w w:val="105"/>
        </w:rPr>
        <w:t>our</w:t>
      </w:r>
      <w:r>
        <w:rPr>
          <w:spacing w:val="-8"/>
          <w:w w:val="105"/>
        </w:rPr>
        <w:t> </w:t>
      </w:r>
      <w:r>
        <w:rPr>
          <w:w w:val="105"/>
        </w:rPr>
        <w:t>intellectual</w:t>
      </w:r>
      <w:r>
        <w:rPr>
          <w:spacing w:val="-8"/>
          <w:w w:val="105"/>
        </w:rPr>
        <w:t> </w:t>
      </w:r>
      <w:r>
        <w:rPr>
          <w:w w:val="105"/>
        </w:rPr>
        <w:t>property,</w:t>
      </w:r>
      <w:r>
        <w:rPr>
          <w:spacing w:val="-8"/>
          <w:w w:val="105"/>
        </w:rPr>
        <w:t> </w:t>
      </w:r>
      <w:r>
        <w:rPr>
          <w:w w:val="105"/>
        </w:rPr>
        <w:t>potentially</w:t>
      </w:r>
      <w:r>
        <w:rPr>
          <w:spacing w:val="-8"/>
          <w:w w:val="105"/>
        </w:rPr>
        <w:t> </w:t>
      </w:r>
      <w:r>
        <w:rPr>
          <w:w w:val="105"/>
        </w:rPr>
        <w:t>resulting</w:t>
      </w:r>
      <w:r>
        <w:rPr>
          <w:spacing w:val="-8"/>
          <w:w w:val="105"/>
        </w:rPr>
        <w:t> </w:t>
      </w:r>
      <w:r>
        <w:rPr>
          <w:w w:val="105"/>
        </w:rPr>
        <w:t>in</w:t>
      </w:r>
      <w:r>
        <w:rPr>
          <w:spacing w:val="-8"/>
          <w:w w:val="105"/>
        </w:rPr>
        <w:t> </w:t>
      </w:r>
      <w:r>
        <w:rPr>
          <w:w w:val="105"/>
        </w:rPr>
        <w:t>loss</w:t>
      </w:r>
      <w:r>
        <w:rPr>
          <w:spacing w:val="-8"/>
          <w:w w:val="105"/>
        </w:rPr>
        <w:t> </w:t>
      </w:r>
      <w:r>
        <w:rPr>
          <w:w w:val="105"/>
        </w:rPr>
        <w:t>of</w:t>
      </w:r>
      <w:r>
        <w:rPr>
          <w:spacing w:val="-7"/>
          <w:w w:val="105"/>
        </w:rPr>
        <w:t> </w:t>
      </w:r>
      <w:r>
        <w:rPr>
          <w:w w:val="105"/>
        </w:rPr>
        <w:t>market</w:t>
      </w:r>
      <w:r>
        <w:rPr>
          <w:spacing w:val="-8"/>
          <w:w w:val="105"/>
        </w:rPr>
        <w:t> </w:t>
      </w:r>
      <w:r>
        <w:rPr>
          <w:w w:val="105"/>
        </w:rPr>
        <w:t>share.</w:t>
      </w:r>
      <w:r>
        <w:rPr>
          <w:spacing w:val="-8"/>
          <w:w w:val="105"/>
        </w:rPr>
        <w:t> </w:t>
      </w:r>
      <w:r>
        <w:rPr>
          <w:w w:val="105"/>
        </w:rPr>
        <w:t>Litigation</w:t>
      </w:r>
      <w:r>
        <w:rPr>
          <w:spacing w:val="-8"/>
          <w:w w:val="105"/>
        </w:rPr>
        <w:t> </w:t>
      </w:r>
      <w:r>
        <w:rPr>
          <w:w w:val="105"/>
        </w:rPr>
        <w:t>may</w:t>
      </w:r>
      <w:r>
        <w:rPr>
          <w:spacing w:val="-8"/>
          <w:w w:val="105"/>
        </w:rPr>
        <w:t> </w:t>
      </w:r>
      <w:r>
        <w:rPr>
          <w:w w:val="105"/>
        </w:rPr>
        <w:t>be</w:t>
      </w:r>
      <w:r>
        <w:rPr>
          <w:spacing w:val="-8"/>
          <w:w w:val="105"/>
        </w:rPr>
        <w:t> </w:t>
      </w:r>
      <w:r>
        <w:rPr>
          <w:w w:val="105"/>
        </w:rPr>
        <w:t>necessary</w:t>
      </w:r>
      <w:r>
        <w:rPr>
          <w:spacing w:val="-8"/>
          <w:w w:val="105"/>
        </w:rPr>
        <w:t> </w:t>
      </w:r>
      <w:r>
        <w:rPr>
          <w:w w:val="105"/>
        </w:rPr>
        <w:t>to</w:t>
      </w:r>
      <w:r>
        <w:rPr>
          <w:spacing w:val="-8"/>
          <w:w w:val="105"/>
        </w:rPr>
        <w:t> </w:t>
      </w:r>
      <w:r>
        <w:rPr>
          <w:w w:val="105"/>
        </w:rPr>
        <w:t>enforce</w:t>
      </w:r>
      <w:r>
        <w:rPr>
          <w:spacing w:val="-8"/>
          <w:w w:val="105"/>
        </w:rPr>
        <w:t> </w:t>
      </w:r>
      <w:r>
        <w:rPr>
          <w:w w:val="105"/>
        </w:rPr>
        <w:t>our</w:t>
      </w:r>
      <w:r>
        <w:rPr>
          <w:spacing w:val="-8"/>
          <w:w w:val="105"/>
        </w:rPr>
        <w:t> </w:t>
      </w:r>
      <w:r>
        <w:rPr>
          <w:w w:val="105"/>
        </w:rPr>
        <w:t>intellectual property</w:t>
      </w:r>
      <w:r>
        <w:rPr>
          <w:spacing w:val="-3"/>
          <w:w w:val="105"/>
        </w:rPr>
        <w:t> </w:t>
      </w:r>
      <w:r>
        <w:rPr>
          <w:w w:val="105"/>
        </w:rPr>
        <w:t>rights.</w:t>
      </w:r>
      <w:r>
        <w:rPr>
          <w:spacing w:val="-3"/>
          <w:w w:val="105"/>
        </w:rPr>
        <w:t> </w:t>
      </w:r>
      <w:r>
        <w:rPr>
          <w:w w:val="105"/>
        </w:rPr>
        <w:t>Litigation</w:t>
      </w:r>
      <w:r>
        <w:rPr>
          <w:spacing w:val="-3"/>
          <w:w w:val="105"/>
        </w:rPr>
        <w:t> </w:t>
      </w:r>
      <w:r>
        <w:rPr>
          <w:w w:val="105"/>
        </w:rPr>
        <w:t>is</w:t>
      </w:r>
      <w:r>
        <w:rPr>
          <w:spacing w:val="-3"/>
          <w:w w:val="105"/>
        </w:rPr>
        <w:t> </w:t>
      </w:r>
      <w:r>
        <w:rPr>
          <w:w w:val="105"/>
        </w:rPr>
        <w:t>inherently</w:t>
      </w:r>
      <w:r>
        <w:rPr>
          <w:spacing w:val="-3"/>
          <w:w w:val="105"/>
        </w:rPr>
        <w:t> </w:t>
      </w:r>
      <w:r>
        <w:rPr>
          <w:w w:val="105"/>
        </w:rPr>
        <w:t>uncertain</w:t>
      </w:r>
      <w:r>
        <w:rPr>
          <w:spacing w:val="-3"/>
          <w:w w:val="105"/>
        </w:rPr>
        <w:t> </w:t>
      </w:r>
      <w:r>
        <w:rPr>
          <w:w w:val="105"/>
        </w:rPr>
        <w:t>and</w:t>
      </w:r>
      <w:r>
        <w:rPr>
          <w:spacing w:val="-3"/>
          <w:w w:val="105"/>
        </w:rPr>
        <w:t> </w:t>
      </w:r>
      <w:r>
        <w:rPr>
          <w:w w:val="105"/>
        </w:rPr>
        <w:t>outcomes</w:t>
      </w:r>
      <w:r>
        <w:rPr>
          <w:spacing w:val="-3"/>
          <w:w w:val="105"/>
        </w:rPr>
        <w:t> </w:t>
      </w:r>
      <w:r>
        <w:rPr>
          <w:w w:val="105"/>
        </w:rPr>
        <w:t>are</w:t>
      </w:r>
      <w:r>
        <w:rPr>
          <w:spacing w:val="-3"/>
          <w:w w:val="105"/>
        </w:rPr>
        <w:t> </w:t>
      </w:r>
      <w:r>
        <w:rPr>
          <w:w w:val="105"/>
        </w:rPr>
        <w:t>unpredictable.</w:t>
      </w:r>
      <w:r>
        <w:rPr>
          <w:spacing w:val="-3"/>
          <w:w w:val="105"/>
        </w:rPr>
        <w:t> </w:t>
      </w:r>
      <w:r>
        <w:rPr>
          <w:w w:val="105"/>
        </w:rPr>
        <w:t>If</w:t>
      </w:r>
      <w:r>
        <w:rPr>
          <w:spacing w:val="-3"/>
          <w:w w:val="105"/>
        </w:rPr>
        <w:t> </w:t>
      </w:r>
      <w:r>
        <w:rPr>
          <w:w w:val="105"/>
        </w:rPr>
        <w:t>we</w:t>
      </w:r>
      <w:r>
        <w:rPr>
          <w:spacing w:val="-3"/>
          <w:w w:val="105"/>
        </w:rPr>
        <w:t> </w:t>
      </w:r>
      <w:r>
        <w:rPr>
          <w:w w:val="105"/>
        </w:rPr>
        <w:t>cannot</w:t>
      </w:r>
      <w:r>
        <w:rPr>
          <w:spacing w:val="-3"/>
          <w:w w:val="105"/>
        </w:rPr>
        <w:t> </w:t>
      </w:r>
      <w:r>
        <w:rPr>
          <w:w w:val="105"/>
        </w:rPr>
        <w:t>protect</w:t>
      </w:r>
      <w:r>
        <w:rPr>
          <w:spacing w:val="-3"/>
          <w:w w:val="105"/>
        </w:rPr>
        <w:t> </w:t>
      </w:r>
      <w:r>
        <w:rPr>
          <w:w w:val="105"/>
        </w:rPr>
        <w:t>our</w:t>
      </w:r>
      <w:r>
        <w:rPr>
          <w:spacing w:val="-3"/>
          <w:w w:val="105"/>
        </w:rPr>
        <w:t> </w:t>
      </w:r>
      <w:r>
        <w:rPr>
          <w:w w:val="105"/>
        </w:rPr>
        <w:t>intellectual</w:t>
      </w:r>
      <w:r>
        <w:rPr>
          <w:spacing w:val="-3"/>
          <w:w w:val="105"/>
        </w:rPr>
        <w:t> </w:t>
      </w:r>
      <w:r>
        <w:rPr>
          <w:w w:val="105"/>
        </w:rPr>
        <w:t>property</w:t>
      </w:r>
      <w:r>
        <w:rPr>
          <w:spacing w:val="-3"/>
          <w:w w:val="105"/>
        </w:rPr>
        <w:t> </w:t>
      </w:r>
      <w:r>
        <w:rPr>
          <w:w w:val="105"/>
        </w:rPr>
        <w:t>rights</w:t>
      </w:r>
      <w:r>
        <w:rPr>
          <w:spacing w:val="-3"/>
          <w:w w:val="105"/>
        </w:rPr>
        <w:t> </w:t>
      </w:r>
      <w:r>
        <w:rPr>
          <w:w w:val="105"/>
        </w:rPr>
        <w:t>against</w:t>
      </w:r>
      <w:r>
        <w:rPr>
          <w:spacing w:val="-3"/>
          <w:w w:val="105"/>
        </w:rPr>
        <w:t> </w:t>
      </w:r>
      <w:r>
        <w:rPr>
          <w:w w:val="105"/>
        </w:rPr>
        <w:t>unauthorized</w:t>
      </w:r>
      <w:r>
        <w:rPr>
          <w:spacing w:val="-3"/>
          <w:w w:val="105"/>
        </w:rPr>
        <w:t> </w:t>
      </w:r>
      <w:r>
        <w:rPr>
          <w:w w:val="105"/>
        </w:rPr>
        <w:t>copying</w:t>
      </w:r>
      <w:r>
        <w:rPr>
          <w:spacing w:val="-3"/>
          <w:w w:val="105"/>
        </w:rPr>
        <w:t> </w:t>
      </w:r>
      <w:r>
        <w:rPr>
          <w:w w:val="105"/>
        </w:rPr>
        <w:t>or</w:t>
      </w:r>
      <w:r>
        <w:rPr>
          <w:spacing w:val="-3"/>
          <w:w w:val="105"/>
        </w:rPr>
        <w:t> </w:t>
      </w:r>
      <w:r>
        <w:rPr>
          <w:w w:val="105"/>
        </w:rPr>
        <w:t>use, or other misappropriation, we may not remain competitive.</w:t>
      </w:r>
    </w:p>
    <w:p>
      <w:pPr>
        <w:pStyle w:val="BodyText"/>
        <w:spacing w:before="16"/>
      </w:pPr>
    </w:p>
    <w:p>
      <w:pPr>
        <w:pStyle w:val="BodyText"/>
        <w:spacing w:line="266" w:lineRule="auto" w:before="1"/>
        <w:ind w:left="156" w:right="200"/>
      </w:pPr>
      <w:r>
        <w:rPr>
          <w:w w:val="105"/>
        </w:rPr>
        <w:t>The</w:t>
      </w:r>
      <w:r>
        <w:rPr>
          <w:spacing w:val="-3"/>
          <w:w w:val="105"/>
        </w:rPr>
        <w:t> </w:t>
      </w:r>
      <w:r>
        <w:rPr>
          <w:w w:val="105"/>
        </w:rPr>
        <w:t>intellectual</w:t>
      </w:r>
      <w:r>
        <w:rPr>
          <w:spacing w:val="-3"/>
          <w:w w:val="105"/>
        </w:rPr>
        <w:t> </w:t>
      </w:r>
      <w:r>
        <w:rPr>
          <w:w w:val="105"/>
        </w:rPr>
        <w:t>property</w:t>
      </w:r>
      <w:r>
        <w:rPr>
          <w:spacing w:val="-3"/>
          <w:w w:val="105"/>
        </w:rPr>
        <w:t> </w:t>
      </w:r>
      <w:r>
        <w:rPr>
          <w:w w:val="105"/>
        </w:rPr>
        <w:t>rights</w:t>
      </w:r>
      <w:r>
        <w:rPr>
          <w:spacing w:val="-3"/>
          <w:w w:val="105"/>
        </w:rPr>
        <w:t> </w:t>
      </w:r>
      <w:r>
        <w:rPr>
          <w:w w:val="105"/>
        </w:rPr>
        <w:t>of</w:t>
      </w:r>
      <w:r>
        <w:rPr>
          <w:spacing w:val="-3"/>
          <w:w w:val="105"/>
        </w:rPr>
        <w:t> </w:t>
      </w:r>
      <w:r>
        <w:rPr>
          <w:w w:val="105"/>
        </w:rPr>
        <w:t>others</w:t>
      </w:r>
      <w:r>
        <w:rPr>
          <w:spacing w:val="-3"/>
          <w:w w:val="105"/>
        </w:rPr>
        <w:t> </w:t>
      </w:r>
      <w:r>
        <w:rPr>
          <w:w w:val="105"/>
        </w:rPr>
        <w:t>could</w:t>
      </w:r>
      <w:r>
        <w:rPr>
          <w:spacing w:val="-3"/>
          <w:w w:val="105"/>
        </w:rPr>
        <w:t> </w:t>
      </w:r>
      <w:r>
        <w:rPr>
          <w:w w:val="105"/>
        </w:rPr>
        <w:t>inhibit</w:t>
      </w:r>
      <w:r>
        <w:rPr>
          <w:spacing w:val="-3"/>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introduce</w:t>
      </w:r>
      <w:r>
        <w:rPr>
          <w:spacing w:val="-3"/>
          <w:w w:val="105"/>
        </w:rPr>
        <w:t> </w:t>
      </w:r>
      <w:r>
        <w:rPr>
          <w:w w:val="105"/>
        </w:rPr>
        <w:t>new</w:t>
      </w:r>
      <w:r>
        <w:rPr>
          <w:spacing w:val="-3"/>
          <w:w w:val="105"/>
        </w:rPr>
        <w:t> </w:t>
      </w:r>
      <w:r>
        <w:rPr>
          <w:w w:val="105"/>
        </w:rPr>
        <w:t>products.</w:t>
      </w:r>
      <w:r>
        <w:rPr>
          <w:spacing w:val="-3"/>
          <w:w w:val="105"/>
        </w:rPr>
        <w:t> </w:t>
      </w:r>
      <w:r>
        <w:rPr>
          <w:w w:val="105"/>
        </w:rPr>
        <w:t>Other</w:t>
      </w:r>
      <w:r>
        <w:rPr>
          <w:spacing w:val="-3"/>
          <w:w w:val="105"/>
        </w:rPr>
        <w:t> </w:t>
      </w:r>
      <w:r>
        <w:rPr>
          <w:w w:val="105"/>
        </w:rPr>
        <w:t>companies</w:t>
      </w:r>
      <w:r>
        <w:rPr>
          <w:spacing w:val="-3"/>
          <w:w w:val="105"/>
        </w:rPr>
        <w:t> </w:t>
      </w:r>
      <w:r>
        <w:rPr>
          <w:w w:val="105"/>
        </w:rPr>
        <w:t>hold</w:t>
      </w:r>
      <w:r>
        <w:rPr>
          <w:spacing w:val="-3"/>
          <w:w w:val="105"/>
        </w:rPr>
        <w:t> </w:t>
      </w:r>
      <w:r>
        <w:rPr>
          <w:w w:val="105"/>
        </w:rPr>
        <w:t>patents</w:t>
      </w:r>
      <w:r>
        <w:rPr>
          <w:spacing w:val="-3"/>
          <w:w w:val="105"/>
        </w:rPr>
        <w:t> </w:t>
      </w:r>
      <w:r>
        <w:rPr>
          <w:w w:val="105"/>
        </w:rPr>
        <w:t>on</w:t>
      </w:r>
      <w:r>
        <w:rPr>
          <w:spacing w:val="-3"/>
          <w:w w:val="105"/>
        </w:rPr>
        <w:t> </w:t>
      </w:r>
      <w:r>
        <w:rPr>
          <w:w w:val="105"/>
        </w:rPr>
        <w:t>technologies</w:t>
      </w:r>
      <w:r>
        <w:rPr>
          <w:spacing w:val="-3"/>
          <w:w w:val="105"/>
        </w:rPr>
        <w:t> </w:t>
      </w:r>
      <w:r>
        <w:rPr>
          <w:w w:val="105"/>
        </w:rPr>
        <w:t>used</w:t>
      </w:r>
      <w:r>
        <w:rPr>
          <w:spacing w:val="-3"/>
          <w:w w:val="105"/>
        </w:rPr>
        <w:t> </w:t>
      </w:r>
      <w:r>
        <w:rPr>
          <w:w w:val="105"/>
        </w:rPr>
        <w:t>in</w:t>
      </w:r>
      <w:r>
        <w:rPr>
          <w:spacing w:val="-3"/>
          <w:w w:val="105"/>
        </w:rPr>
        <w:t> </w:t>
      </w:r>
      <w:r>
        <w:rPr>
          <w:w w:val="105"/>
        </w:rPr>
        <w:t>our</w:t>
      </w:r>
      <w:r>
        <w:rPr>
          <w:spacing w:val="-1"/>
          <w:w w:val="105"/>
        </w:rPr>
        <w:t> </w:t>
      </w:r>
      <w:r>
        <w:rPr>
          <w:w w:val="105"/>
        </w:rPr>
        <w:t>industries</w:t>
      </w:r>
      <w:r>
        <w:rPr>
          <w:spacing w:val="-3"/>
          <w:w w:val="105"/>
        </w:rPr>
        <w:t> </w:t>
      </w:r>
      <w:r>
        <w:rPr>
          <w:w w:val="105"/>
        </w:rPr>
        <w:t>and</w:t>
      </w:r>
      <w:r>
        <w:rPr>
          <w:spacing w:val="-3"/>
          <w:w w:val="105"/>
        </w:rPr>
        <w:t> </w:t>
      </w:r>
      <w:r>
        <w:rPr>
          <w:w w:val="105"/>
        </w:rPr>
        <w:t>are aggressively</w:t>
      </w:r>
      <w:r>
        <w:rPr>
          <w:spacing w:val="-5"/>
          <w:w w:val="105"/>
        </w:rPr>
        <w:t> </w:t>
      </w:r>
      <w:r>
        <w:rPr>
          <w:w w:val="105"/>
        </w:rPr>
        <w:t>seeking</w:t>
      </w:r>
      <w:r>
        <w:rPr>
          <w:spacing w:val="-5"/>
          <w:w w:val="105"/>
        </w:rPr>
        <w:t> </w:t>
      </w:r>
      <w:r>
        <w:rPr>
          <w:w w:val="105"/>
        </w:rPr>
        <w:t>to</w:t>
      </w:r>
      <w:r>
        <w:rPr>
          <w:spacing w:val="-5"/>
          <w:w w:val="105"/>
        </w:rPr>
        <w:t> </w:t>
      </w:r>
      <w:r>
        <w:rPr>
          <w:w w:val="105"/>
        </w:rPr>
        <w:t>expand,</w:t>
      </w:r>
      <w:r>
        <w:rPr>
          <w:spacing w:val="-3"/>
          <w:w w:val="105"/>
        </w:rPr>
        <w:t> </w:t>
      </w:r>
      <w:r>
        <w:rPr>
          <w:w w:val="105"/>
        </w:rPr>
        <w:t>enforce</w:t>
      </w:r>
      <w:r>
        <w:rPr>
          <w:spacing w:val="-5"/>
          <w:w w:val="105"/>
        </w:rPr>
        <w:t> </w:t>
      </w:r>
      <w:r>
        <w:rPr>
          <w:w w:val="105"/>
        </w:rPr>
        <w:t>and</w:t>
      </w:r>
      <w:r>
        <w:rPr>
          <w:spacing w:val="-5"/>
          <w:w w:val="105"/>
        </w:rPr>
        <w:t> </w:t>
      </w:r>
      <w:r>
        <w:rPr>
          <w:w w:val="105"/>
        </w:rPr>
        <w:t>license</w:t>
      </w:r>
      <w:r>
        <w:rPr>
          <w:spacing w:val="-5"/>
          <w:w w:val="105"/>
        </w:rPr>
        <w:t> </w:t>
      </w:r>
      <w:r>
        <w:rPr>
          <w:w w:val="105"/>
        </w:rPr>
        <w:t>their</w:t>
      </w:r>
      <w:r>
        <w:rPr>
          <w:spacing w:val="-5"/>
          <w:w w:val="105"/>
        </w:rPr>
        <w:t> </w:t>
      </w:r>
      <w:r>
        <w:rPr>
          <w:w w:val="105"/>
        </w:rPr>
        <w:t>patent</w:t>
      </w:r>
      <w:r>
        <w:rPr>
          <w:spacing w:val="-5"/>
          <w:w w:val="105"/>
        </w:rPr>
        <w:t> </w:t>
      </w:r>
      <w:r>
        <w:rPr>
          <w:w w:val="105"/>
        </w:rPr>
        <w:t>portfolios.</w:t>
      </w:r>
      <w:r>
        <w:rPr>
          <w:spacing w:val="-5"/>
          <w:w w:val="105"/>
        </w:rPr>
        <w:t> </w:t>
      </w:r>
      <w:r>
        <w:rPr>
          <w:w w:val="105"/>
        </w:rPr>
        <w:t>We</w:t>
      </w:r>
      <w:r>
        <w:rPr>
          <w:spacing w:val="-5"/>
          <w:w w:val="105"/>
        </w:rPr>
        <w:t> </w:t>
      </w:r>
      <w:r>
        <w:rPr>
          <w:w w:val="105"/>
        </w:rPr>
        <w:t>periodically</w:t>
      </w:r>
      <w:r>
        <w:rPr>
          <w:spacing w:val="-5"/>
          <w:w w:val="105"/>
        </w:rPr>
        <w:t> </w:t>
      </w:r>
      <w:r>
        <w:rPr>
          <w:w w:val="105"/>
        </w:rPr>
        <w:t>receive</w:t>
      </w:r>
      <w:r>
        <w:rPr>
          <w:spacing w:val="-5"/>
          <w:w w:val="105"/>
        </w:rPr>
        <w:t> </w:t>
      </w:r>
      <w:r>
        <w:rPr>
          <w:w w:val="105"/>
        </w:rPr>
        <w:t>notices</w:t>
      </w:r>
      <w:r>
        <w:rPr>
          <w:spacing w:val="-5"/>
          <w:w w:val="105"/>
        </w:rPr>
        <w:t> </w:t>
      </w:r>
      <w:r>
        <w:rPr>
          <w:w w:val="105"/>
        </w:rPr>
        <w:t>from,</w:t>
      </w:r>
      <w:r>
        <w:rPr>
          <w:spacing w:val="-5"/>
          <w:w w:val="105"/>
        </w:rPr>
        <w:t> </w:t>
      </w:r>
      <w:r>
        <w:rPr>
          <w:w w:val="105"/>
        </w:rPr>
        <w:t>or</w:t>
      </w:r>
      <w:r>
        <w:rPr>
          <w:spacing w:val="-5"/>
          <w:w w:val="105"/>
        </w:rPr>
        <w:t> </w:t>
      </w:r>
      <w:r>
        <w:rPr>
          <w:w w:val="105"/>
        </w:rPr>
        <w:t>have</w:t>
      </w:r>
      <w:r>
        <w:rPr>
          <w:spacing w:val="-5"/>
          <w:w w:val="105"/>
        </w:rPr>
        <w:t> </w:t>
      </w:r>
      <w:r>
        <w:rPr>
          <w:w w:val="105"/>
        </w:rPr>
        <w:t>lawsuits</w:t>
      </w:r>
      <w:r>
        <w:rPr>
          <w:spacing w:val="-5"/>
          <w:w w:val="105"/>
        </w:rPr>
        <w:t> </w:t>
      </w:r>
      <w:r>
        <w:rPr>
          <w:w w:val="105"/>
        </w:rPr>
        <w:t>filed</w:t>
      </w:r>
      <w:r>
        <w:rPr>
          <w:spacing w:val="-5"/>
          <w:w w:val="105"/>
        </w:rPr>
        <w:t> </w:t>
      </w:r>
      <w:r>
        <w:rPr>
          <w:w w:val="105"/>
        </w:rPr>
        <w:t>against</w:t>
      </w:r>
      <w:r>
        <w:rPr>
          <w:spacing w:val="-5"/>
          <w:w w:val="105"/>
        </w:rPr>
        <w:t> </w:t>
      </w:r>
      <w:r>
        <w:rPr>
          <w:w w:val="105"/>
        </w:rPr>
        <w:t>us</w:t>
      </w:r>
      <w:r>
        <w:rPr>
          <w:spacing w:val="-5"/>
          <w:w w:val="105"/>
        </w:rPr>
        <w:t> </w:t>
      </w:r>
      <w:r>
        <w:rPr>
          <w:w w:val="105"/>
        </w:rPr>
        <w:t>by</w:t>
      </w:r>
      <w:r>
        <w:rPr>
          <w:spacing w:val="-5"/>
          <w:w w:val="105"/>
        </w:rPr>
        <w:t> </w:t>
      </w:r>
      <w:r>
        <w:rPr>
          <w:w w:val="105"/>
        </w:rPr>
        <w:t>third</w:t>
      </w:r>
      <w:r>
        <w:rPr>
          <w:spacing w:val="-5"/>
          <w:w w:val="105"/>
        </w:rPr>
        <w:t> </w:t>
      </w:r>
      <w:r>
        <w:rPr>
          <w:w w:val="105"/>
        </w:rPr>
        <w:t>parties</w:t>
      </w:r>
      <w:r>
        <w:rPr>
          <w:spacing w:val="-5"/>
          <w:w w:val="105"/>
        </w:rPr>
        <w:t> </w:t>
      </w:r>
      <w:r>
        <w:rPr>
          <w:w w:val="105"/>
        </w:rPr>
        <w:t>claiming infringement,</w:t>
      </w:r>
      <w:r>
        <w:rPr>
          <w:spacing w:val="-8"/>
          <w:w w:val="105"/>
        </w:rPr>
        <w:t> </w:t>
      </w:r>
      <w:r>
        <w:rPr>
          <w:w w:val="105"/>
        </w:rPr>
        <w:t>misappropriation</w:t>
      </w:r>
      <w:r>
        <w:rPr>
          <w:spacing w:val="-8"/>
          <w:w w:val="105"/>
        </w:rPr>
        <w:t> </w:t>
      </w:r>
      <w:r>
        <w:rPr>
          <w:w w:val="105"/>
        </w:rPr>
        <w:t>or</w:t>
      </w:r>
      <w:r>
        <w:rPr>
          <w:spacing w:val="-9"/>
          <w:w w:val="105"/>
        </w:rPr>
        <w:t> </w:t>
      </w:r>
      <w:r>
        <w:rPr>
          <w:w w:val="105"/>
        </w:rPr>
        <w:t>other</w:t>
      </w:r>
      <w:r>
        <w:rPr>
          <w:spacing w:val="-8"/>
          <w:w w:val="105"/>
        </w:rPr>
        <w:t> </w:t>
      </w:r>
      <w:r>
        <w:rPr>
          <w:w w:val="105"/>
        </w:rPr>
        <w:t>misuse</w:t>
      </w:r>
      <w:r>
        <w:rPr>
          <w:spacing w:val="-8"/>
          <w:w w:val="105"/>
        </w:rPr>
        <w:t> </w:t>
      </w:r>
      <w:r>
        <w:rPr>
          <w:w w:val="105"/>
        </w:rPr>
        <w:t>of</w:t>
      </w:r>
      <w:r>
        <w:rPr>
          <w:spacing w:val="-9"/>
          <w:w w:val="105"/>
        </w:rPr>
        <w:t> </w:t>
      </w:r>
      <w:r>
        <w:rPr>
          <w:w w:val="105"/>
        </w:rPr>
        <w:t>their</w:t>
      </w:r>
      <w:r>
        <w:rPr>
          <w:spacing w:val="-8"/>
          <w:w w:val="105"/>
        </w:rPr>
        <w:t> </w:t>
      </w:r>
      <w:r>
        <w:rPr>
          <w:w w:val="105"/>
        </w:rPr>
        <w:t>intellectual</w:t>
      </w:r>
      <w:r>
        <w:rPr>
          <w:spacing w:val="-8"/>
          <w:w w:val="105"/>
        </w:rPr>
        <w:t> </w:t>
      </w:r>
      <w:r>
        <w:rPr>
          <w:w w:val="105"/>
        </w:rPr>
        <w:t>property</w:t>
      </w:r>
      <w:r>
        <w:rPr>
          <w:spacing w:val="-9"/>
          <w:w w:val="105"/>
        </w:rPr>
        <w:t> </w:t>
      </w:r>
      <w:r>
        <w:rPr>
          <w:w w:val="105"/>
        </w:rPr>
        <w:t>rights</w:t>
      </w:r>
      <w:r>
        <w:rPr>
          <w:spacing w:val="-10"/>
          <w:w w:val="105"/>
        </w:rPr>
        <w:t> </w:t>
      </w:r>
      <w:r>
        <w:rPr>
          <w:w w:val="105"/>
        </w:rPr>
        <w:t>and/or</w:t>
      </w:r>
      <w:r>
        <w:rPr>
          <w:spacing w:val="-8"/>
          <w:w w:val="105"/>
        </w:rPr>
        <w:t> </w:t>
      </w:r>
      <w:r>
        <w:rPr>
          <w:w w:val="105"/>
        </w:rPr>
        <w:t>breach</w:t>
      </w:r>
      <w:r>
        <w:rPr>
          <w:spacing w:val="-8"/>
          <w:w w:val="105"/>
        </w:rPr>
        <w:t> </w:t>
      </w:r>
      <w:r>
        <w:rPr>
          <w:w w:val="105"/>
        </w:rPr>
        <w:t>of</w:t>
      </w:r>
      <w:r>
        <w:rPr>
          <w:spacing w:val="-9"/>
          <w:w w:val="105"/>
        </w:rPr>
        <w:t> </w:t>
      </w:r>
      <w:r>
        <w:rPr>
          <w:w w:val="105"/>
        </w:rPr>
        <w:t>our</w:t>
      </w:r>
      <w:r>
        <w:rPr>
          <w:spacing w:val="-8"/>
          <w:w w:val="105"/>
        </w:rPr>
        <w:t> </w:t>
      </w:r>
      <w:r>
        <w:rPr>
          <w:w w:val="105"/>
        </w:rPr>
        <w:t>agreements</w:t>
      </w:r>
      <w:r>
        <w:rPr>
          <w:spacing w:val="-8"/>
          <w:w w:val="105"/>
        </w:rPr>
        <w:t> </w:t>
      </w:r>
      <w:r>
        <w:rPr>
          <w:w w:val="105"/>
        </w:rPr>
        <w:t>with</w:t>
      </w:r>
      <w:r>
        <w:rPr>
          <w:spacing w:val="-9"/>
          <w:w w:val="105"/>
        </w:rPr>
        <w:t> </w:t>
      </w:r>
      <w:r>
        <w:rPr>
          <w:w w:val="105"/>
        </w:rPr>
        <w:t>them.</w:t>
      </w:r>
      <w:r>
        <w:rPr>
          <w:spacing w:val="-8"/>
          <w:w w:val="105"/>
        </w:rPr>
        <w:t> </w:t>
      </w:r>
      <w:r>
        <w:rPr>
          <w:w w:val="105"/>
        </w:rPr>
        <w:t>These</w:t>
      </w:r>
      <w:r>
        <w:rPr>
          <w:spacing w:val="-8"/>
          <w:w w:val="105"/>
        </w:rPr>
        <w:t> </w:t>
      </w:r>
      <w:r>
        <w:rPr>
          <w:w w:val="105"/>
        </w:rPr>
        <w:t>third</w:t>
      </w:r>
      <w:r>
        <w:rPr>
          <w:spacing w:val="-9"/>
          <w:w w:val="105"/>
        </w:rPr>
        <w:t> </w:t>
      </w:r>
      <w:r>
        <w:rPr>
          <w:w w:val="105"/>
        </w:rPr>
        <w:t>parties</w:t>
      </w:r>
      <w:r>
        <w:rPr>
          <w:spacing w:val="-8"/>
          <w:w w:val="105"/>
        </w:rPr>
        <w:t> </w:t>
      </w:r>
      <w:r>
        <w:rPr>
          <w:w w:val="105"/>
        </w:rPr>
        <w:t>often</w:t>
      </w:r>
      <w:r>
        <w:rPr>
          <w:spacing w:val="-8"/>
          <w:w w:val="105"/>
        </w:rPr>
        <w:t> </w:t>
      </w:r>
      <w:r>
        <w:rPr>
          <w:w w:val="105"/>
        </w:rPr>
        <w:t>include</w:t>
      </w:r>
      <w:r>
        <w:rPr>
          <w:spacing w:val="-9"/>
          <w:w w:val="105"/>
        </w:rPr>
        <w:t> </w:t>
      </w:r>
      <w:r>
        <w:rPr>
          <w:w w:val="105"/>
        </w:rPr>
        <w:t>entities</w:t>
      </w:r>
      <w:r>
        <w:rPr>
          <w:spacing w:val="-8"/>
          <w:w w:val="105"/>
        </w:rPr>
        <w:t> </w:t>
      </w:r>
      <w:r>
        <w:rPr>
          <w:w w:val="105"/>
        </w:rPr>
        <w:t>that do</w:t>
      </w:r>
      <w:r>
        <w:rPr>
          <w:spacing w:val="-5"/>
          <w:w w:val="105"/>
        </w:rPr>
        <w:t> </w:t>
      </w:r>
      <w:r>
        <w:rPr>
          <w:w w:val="105"/>
        </w:rPr>
        <w:t>not</w:t>
      </w:r>
      <w:r>
        <w:rPr>
          <w:spacing w:val="-5"/>
          <w:w w:val="105"/>
        </w:rPr>
        <w:t> </w:t>
      </w:r>
      <w:r>
        <w:rPr>
          <w:w w:val="105"/>
        </w:rPr>
        <w:t>have</w:t>
      </w:r>
      <w:r>
        <w:rPr>
          <w:spacing w:val="-5"/>
          <w:w w:val="105"/>
        </w:rPr>
        <w:t> </w:t>
      </w:r>
      <w:r>
        <w:rPr>
          <w:w w:val="105"/>
        </w:rPr>
        <w:t>the</w:t>
      </w:r>
      <w:r>
        <w:rPr>
          <w:spacing w:val="-5"/>
          <w:w w:val="105"/>
        </w:rPr>
        <w:t> </w:t>
      </w:r>
      <w:r>
        <w:rPr>
          <w:w w:val="105"/>
        </w:rPr>
        <w:t>capabilities</w:t>
      </w:r>
      <w:r>
        <w:rPr>
          <w:spacing w:val="-5"/>
          <w:w w:val="105"/>
        </w:rPr>
        <w:t> </w:t>
      </w:r>
      <w:r>
        <w:rPr>
          <w:w w:val="105"/>
        </w:rPr>
        <w:t>to</w:t>
      </w:r>
      <w:r>
        <w:rPr>
          <w:spacing w:val="-5"/>
          <w:w w:val="105"/>
        </w:rPr>
        <w:t> </w:t>
      </w:r>
      <w:r>
        <w:rPr>
          <w:w w:val="105"/>
        </w:rPr>
        <w:t>design,</w:t>
      </w:r>
      <w:r>
        <w:rPr>
          <w:spacing w:val="-5"/>
          <w:w w:val="105"/>
        </w:rPr>
        <w:t> </w:t>
      </w:r>
      <w:r>
        <w:rPr>
          <w:w w:val="105"/>
        </w:rPr>
        <w:t>manufacture,</w:t>
      </w:r>
      <w:r>
        <w:rPr>
          <w:spacing w:val="-5"/>
          <w:w w:val="105"/>
        </w:rPr>
        <w:t> </w:t>
      </w:r>
      <w:r>
        <w:rPr>
          <w:w w:val="105"/>
        </w:rPr>
        <w:t>or</w:t>
      </w:r>
      <w:r>
        <w:rPr>
          <w:spacing w:val="-5"/>
          <w:w w:val="105"/>
        </w:rPr>
        <w:t> </w:t>
      </w:r>
      <w:r>
        <w:rPr>
          <w:w w:val="105"/>
        </w:rPr>
        <w:t>distribute</w:t>
      </w:r>
      <w:r>
        <w:rPr>
          <w:spacing w:val="-5"/>
          <w:w w:val="105"/>
        </w:rPr>
        <w:t> </w:t>
      </w:r>
      <w:r>
        <w:rPr>
          <w:w w:val="105"/>
        </w:rPr>
        <w:t>products</w:t>
      </w:r>
      <w:r>
        <w:rPr>
          <w:spacing w:val="-5"/>
          <w:w w:val="105"/>
        </w:rPr>
        <w:t> </w:t>
      </w:r>
      <w:r>
        <w:rPr>
          <w:w w:val="105"/>
        </w:rPr>
        <w:t>or</w:t>
      </w:r>
      <w:r>
        <w:rPr>
          <w:spacing w:val="-5"/>
          <w:w w:val="105"/>
        </w:rPr>
        <w:t> </w:t>
      </w:r>
      <w:r>
        <w:rPr>
          <w:w w:val="105"/>
        </w:rPr>
        <w:t>that</w:t>
      </w:r>
      <w:r>
        <w:rPr>
          <w:spacing w:val="-5"/>
          <w:w w:val="105"/>
        </w:rPr>
        <w:t> </w:t>
      </w:r>
      <w:r>
        <w:rPr>
          <w:w w:val="105"/>
        </w:rPr>
        <w:t>acquire</w:t>
      </w:r>
      <w:r>
        <w:rPr>
          <w:spacing w:val="-5"/>
          <w:w w:val="105"/>
        </w:rPr>
        <w:t> </w:t>
      </w:r>
      <w:r>
        <w:rPr>
          <w:w w:val="105"/>
        </w:rPr>
        <w:t>intellectual</w:t>
      </w:r>
      <w:r>
        <w:rPr>
          <w:spacing w:val="-5"/>
          <w:w w:val="105"/>
        </w:rPr>
        <w:t> </w:t>
      </w:r>
      <w:r>
        <w:rPr>
          <w:w w:val="105"/>
        </w:rPr>
        <w:t>property</w:t>
      </w:r>
      <w:r>
        <w:rPr>
          <w:spacing w:val="-5"/>
          <w:w w:val="105"/>
        </w:rPr>
        <w:t> </w:t>
      </w:r>
      <w:r>
        <w:rPr>
          <w:w w:val="105"/>
        </w:rPr>
        <w:t>like</w:t>
      </w:r>
      <w:r>
        <w:rPr>
          <w:spacing w:val="-5"/>
          <w:w w:val="105"/>
        </w:rPr>
        <w:t> </w:t>
      </w:r>
      <w:r>
        <w:rPr>
          <w:w w:val="105"/>
        </w:rPr>
        <w:t>patents</w:t>
      </w:r>
      <w:r>
        <w:rPr>
          <w:spacing w:val="-5"/>
          <w:w w:val="105"/>
        </w:rPr>
        <w:t> </w:t>
      </w:r>
      <w:r>
        <w:rPr>
          <w:w w:val="105"/>
        </w:rPr>
        <w:t>for</w:t>
      </w:r>
      <w:r>
        <w:rPr>
          <w:spacing w:val="-5"/>
          <w:w w:val="105"/>
        </w:rPr>
        <w:t> </w:t>
      </w:r>
      <w:r>
        <w:rPr>
          <w:w w:val="105"/>
        </w:rPr>
        <w:t>the</w:t>
      </w:r>
      <w:r>
        <w:rPr>
          <w:spacing w:val="-5"/>
          <w:w w:val="105"/>
        </w:rPr>
        <w:t> </w:t>
      </w:r>
      <w:r>
        <w:rPr>
          <w:w w:val="105"/>
        </w:rPr>
        <w:t>sole</w:t>
      </w:r>
      <w:r>
        <w:rPr>
          <w:spacing w:val="-5"/>
          <w:w w:val="105"/>
        </w:rPr>
        <w:t> </w:t>
      </w:r>
      <w:r>
        <w:rPr>
          <w:w w:val="105"/>
        </w:rPr>
        <w:t>purpose</w:t>
      </w:r>
      <w:r>
        <w:rPr>
          <w:spacing w:val="-5"/>
          <w:w w:val="105"/>
        </w:rPr>
        <w:t> </w:t>
      </w:r>
      <w:r>
        <w:rPr>
          <w:w w:val="105"/>
        </w:rPr>
        <w:t>of</w:t>
      </w:r>
      <w:r>
        <w:rPr>
          <w:spacing w:val="-5"/>
          <w:w w:val="105"/>
        </w:rPr>
        <w:t> </w:t>
      </w:r>
      <w:r>
        <w:rPr>
          <w:w w:val="105"/>
        </w:rPr>
        <w:t>monetizing</w:t>
      </w:r>
      <w:r>
        <w:rPr>
          <w:spacing w:val="-5"/>
          <w:w w:val="105"/>
        </w:rPr>
        <w:t> </w:t>
      </w:r>
      <w:r>
        <w:rPr>
          <w:w w:val="105"/>
        </w:rPr>
        <w:t>their</w:t>
      </w:r>
      <w:r>
        <w:rPr>
          <w:spacing w:val="-5"/>
          <w:w w:val="105"/>
        </w:rPr>
        <w:t> </w:t>
      </w:r>
      <w:r>
        <w:rPr>
          <w:w w:val="105"/>
        </w:rPr>
        <w:t>acquired intellectual</w:t>
      </w:r>
      <w:r>
        <w:rPr>
          <w:spacing w:val="-6"/>
          <w:w w:val="105"/>
        </w:rPr>
        <w:t> </w:t>
      </w:r>
      <w:r>
        <w:rPr>
          <w:w w:val="105"/>
        </w:rPr>
        <w:t>property</w:t>
      </w:r>
      <w:r>
        <w:rPr>
          <w:spacing w:val="-6"/>
          <w:w w:val="105"/>
        </w:rPr>
        <w:t> </w:t>
      </w:r>
      <w:r>
        <w:rPr>
          <w:w w:val="105"/>
        </w:rPr>
        <w:t>through</w:t>
      </w:r>
      <w:r>
        <w:rPr>
          <w:spacing w:val="-6"/>
          <w:w w:val="105"/>
        </w:rPr>
        <w:t> </w:t>
      </w:r>
      <w:r>
        <w:rPr>
          <w:w w:val="105"/>
        </w:rPr>
        <w:t>asserting</w:t>
      </w:r>
      <w:r>
        <w:rPr>
          <w:spacing w:val="-6"/>
          <w:w w:val="105"/>
        </w:rPr>
        <w:t> </w:t>
      </w:r>
      <w:r>
        <w:rPr>
          <w:w w:val="105"/>
        </w:rPr>
        <w:t>claims</w:t>
      </w:r>
      <w:r>
        <w:rPr>
          <w:spacing w:val="-6"/>
          <w:w w:val="105"/>
        </w:rPr>
        <w:t> </w:t>
      </w:r>
      <w:r>
        <w:rPr>
          <w:w w:val="105"/>
        </w:rPr>
        <w:t>of</w:t>
      </w:r>
      <w:r>
        <w:rPr>
          <w:spacing w:val="-6"/>
          <w:w w:val="105"/>
        </w:rPr>
        <w:t> </w:t>
      </w:r>
      <w:r>
        <w:rPr>
          <w:w w:val="105"/>
        </w:rPr>
        <w:t>infringement</w:t>
      </w:r>
      <w:r>
        <w:rPr>
          <w:spacing w:val="-6"/>
          <w:w w:val="105"/>
        </w:rPr>
        <w:t> </w:t>
      </w:r>
      <w:r>
        <w:rPr>
          <w:w w:val="105"/>
        </w:rPr>
        <w:t>and</w:t>
      </w:r>
      <w:r>
        <w:rPr>
          <w:spacing w:val="-6"/>
          <w:w w:val="105"/>
        </w:rPr>
        <w:t> </w:t>
      </w:r>
      <w:r>
        <w:rPr>
          <w:w w:val="105"/>
        </w:rPr>
        <w:t>misuse.</w:t>
      </w:r>
      <w:r>
        <w:rPr>
          <w:spacing w:val="-6"/>
          <w:w w:val="105"/>
        </w:rPr>
        <w:t> </w:t>
      </w:r>
      <w:r>
        <w:rPr>
          <w:w w:val="105"/>
        </w:rPr>
        <w:t>Such</w:t>
      </w:r>
      <w:r>
        <w:rPr>
          <w:spacing w:val="-6"/>
          <w:w w:val="105"/>
        </w:rPr>
        <w:t> </w:t>
      </w:r>
      <w:r>
        <w:rPr>
          <w:w w:val="105"/>
        </w:rPr>
        <w:t>claims</w:t>
      </w:r>
      <w:r>
        <w:rPr>
          <w:spacing w:val="-6"/>
          <w:w w:val="105"/>
        </w:rPr>
        <w:t> </w:t>
      </w:r>
      <w:r>
        <w:rPr>
          <w:w w:val="105"/>
        </w:rPr>
        <w:t>of</w:t>
      </w:r>
      <w:r>
        <w:rPr>
          <w:spacing w:val="-6"/>
          <w:w w:val="105"/>
        </w:rPr>
        <w:t> </w:t>
      </w:r>
      <w:r>
        <w:rPr>
          <w:w w:val="105"/>
        </w:rPr>
        <w:t>infringement</w:t>
      </w:r>
      <w:r>
        <w:rPr>
          <w:spacing w:val="-6"/>
          <w:w w:val="105"/>
        </w:rPr>
        <w:t> </w:t>
      </w:r>
      <w:r>
        <w:rPr>
          <w:w w:val="105"/>
        </w:rPr>
        <w:t>or</w:t>
      </w:r>
      <w:r>
        <w:rPr>
          <w:spacing w:val="-6"/>
          <w:w w:val="105"/>
        </w:rPr>
        <w:t> </w:t>
      </w:r>
      <w:r>
        <w:rPr>
          <w:w w:val="105"/>
        </w:rPr>
        <w:t>misappropriation</w:t>
      </w:r>
      <w:r>
        <w:rPr>
          <w:spacing w:val="-6"/>
          <w:w w:val="105"/>
        </w:rPr>
        <w:t> </w:t>
      </w:r>
      <w:r>
        <w:rPr>
          <w:w w:val="105"/>
        </w:rPr>
        <w:t>may</w:t>
      </w:r>
      <w:r>
        <w:rPr>
          <w:spacing w:val="-6"/>
          <w:w w:val="105"/>
        </w:rPr>
        <w:t> </w:t>
      </w:r>
      <w:r>
        <w:rPr>
          <w:w w:val="105"/>
        </w:rPr>
        <w:t>result</w:t>
      </w:r>
      <w:r>
        <w:rPr>
          <w:spacing w:val="-6"/>
          <w:w w:val="105"/>
        </w:rPr>
        <w:t> </w:t>
      </w:r>
      <w:r>
        <w:rPr>
          <w:w w:val="105"/>
        </w:rPr>
        <w:t>in</w:t>
      </w:r>
      <w:r>
        <w:rPr>
          <w:spacing w:val="-6"/>
          <w:w w:val="105"/>
        </w:rPr>
        <w:t> </w:t>
      </w:r>
      <w:r>
        <w:rPr>
          <w:w w:val="105"/>
        </w:rPr>
        <w:t>loss</w:t>
      </w:r>
      <w:r>
        <w:rPr>
          <w:spacing w:val="-6"/>
          <w:w w:val="105"/>
        </w:rPr>
        <w:t> </w:t>
      </w:r>
      <w:r>
        <w:rPr>
          <w:w w:val="105"/>
        </w:rPr>
        <w:t>of</w:t>
      </w:r>
      <w:r>
        <w:rPr>
          <w:spacing w:val="-6"/>
          <w:w w:val="105"/>
        </w:rPr>
        <w:t> </w:t>
      </w:r>
      <w:r>
        <w:rPr>
          <w:w w:val="105"/>
        </w:rPr>
        <w:t>revenue,</w:t>
      </w:r>
      <w:r>
        <w:rPr>
          <w:spacing w:val="-6"/>
          <w:w w:val="105"/>
        </w:rPr>
        <w:t> </w:t>
      </w:r>
      <w:r>
        <w:rPr>
          <w:w w:val="105"/>
        </w:rPr>
        <w:t>substantial</w:t>
      </w:r>
      <w:r>
        <w:rPr>
          <w:spacing w:val="-6"/>
          <w:w w:val="105"/>
        </w:rPr>
        <w:t> </w:t>
      </w:r>
      <w:r>
        <w:rPr>
          <w:w w:val="105"/>
        </w:rPr>
        <w:t>costs, or lead to monetary damages or injunctive relief against us.</w:t>
      </w:r>
    </w:p>
    <w:p>
      <w:pPr>
        <w:pStyle w:val="BodyText"/>
        <w:spacing w:before="17"/>
      </w:pPr>
    </w:p>
    <w:p>
      <w:pPr>
        <w:pStyle w:val="Heading2"/>
        <w:spacing w:line="266" w:lineRule="auto"/>
        <w:ind w:right="117"/>
      </w:pPr>
      <w:r>
        <w:rPr>
          <w:w w:val="105"/>
        </w:rPr>
        <w:t>Information</w:t>
      </w:r>
      <w:r>
        <w:rPr>
          <w:spacing w:val="-13"/>
          <w:w w:val="105"/>
        </w:rPr>
        <w:t> </w:t>
      </w:r>
      <w:r>
        <w:rPr>
          <w:w w:val="105"/>
        </w:rPr>
        <w:t>technology</w:t>
      </w:r>
      <w:r>
        <w:rPr>
          <w:spacing w:val="-10"/>
          <w:w w:val="105"/>
        </w:rPr>
        <w:t> </w:t>
      </w:r>
      <w:r>
        <w:rPr>
          <w:w w:val="105"/>
        </w:rPr>
        <w:t>dependency</w:t>
      </w:r>
      <w:r>
        <w:rPr>
          <w:spacing w:val="-11"/>
          <w:w w:val="105"/>
        </w:rPr>
        <w:t> </w:t>
      </w:r>
      <w:r>
        <w:rPr>
          <w:w w:val="105"/>
        </w:rPr>
        <w:t>and</w:t>
      </w:r>
      <w:r>
        <w:rPr>
          <w:spacing w:val="-10"/>
          <w:w w:val="105"/>
        </w:rPr>
        <w:t> </w:t>
      </w:r>
      <w:r>
        <w:rPr>
          <w:w w:val="105"/>
        </w:rPr>
        <w:t>cybersecurity</w:t>
      </w:r>
      <w:r>
        <w:rPr>
          <w:spacing w:val="-11"/>
          <w:w w:val="105"/>
        </w:rPr>
        <w:t> </w:t>
      </w:r>
      <w:r>
        <w:rPr>
          <w:w w:val="105"/>
        </w:rPr>
        <w:t>vulnerabilities</w:t>
      </w:r>
      <w:r>
        <w:rPr>
          <w:spacing w:val="-10"/>
          <w:w w:val="105"/>
        </w:rPr>
        <w:t> </w:t>
      </w:r>
      <w:r>
        <w:rPr>
          <w:w w:val="105"/>
        </w:rPr>
        <w:t>could</w:t>
      </w:r>
      <w:r>
        <w:rPr>
          <w:spacing w:val="-11"/>
          <w:w w:val="105"/>
        </w:rPr>
        <w:t> </w:t>
      </w:r>
      <w:r>
        <w:rPr>
          <w:w w:val="105"/>
        </w:rPr>
        <w:t>lead</w:t>
      </w:r>
      <w:r>
        <w:rPr>
          <w:spacing w:val="-10"/>
          <w:w w:val="105"/>
        </w:rPr>
        <w:t> </w:t>
      </w:r>
      <w:r>
        <w:rPr>
          <w:w w:val="105"/>
        </w:rPr>
        <w:t>to</w:t>
      </w:r>
      <w:r>
        <w:rPr>
          <w:spacing w:val="-11"/>
          <w:w w:val="105"/>
        </w:rPr>
        <w:t> </w:t>
      </w:r>
      <w:r>
        <w:rPr>
          <w:w w:val="105"/>
        </w:rPr>
        <w:t>reduced</w:t>
      </w:r>
      <w:r>
        <w:rPr>
          <w:spacing w:val="-10"/>
          <w:w w:val="105"/>
        </w:rPr>
        <w:t> </w:t>
      </w:r>
      <w:r>
        <w:rPr>
          <w:w w:val="105"/>
        </w:rPr>
        <w:t>revenue,</w:t>
      </w:r>
      <w:r>
        <w:rPr>
          <w:spacing w:val="-11"/>
          <w:w w:val="105"/>
        </w:rPr>
        <w:t> </w:t>
      </w:r>
      <w:r>
        <w:rPr>
          <w:w w:val="105"/>
        </w:rPr>
        <w:t>liability</w:t>
      </w:r>
      <w:r>
        <w:rPr>
          <w:spacing w:val="-10"/>
          <w:w w:val="105"/>
        </w:rPr>
        <w:t> </w:t>
      </w:r>
      <w:r>
        <w:rPr>
          <w:w w:val="105"/>
        </w:rPr>
        <w:t>claims,</w:t>
      </w:r>
      <w:r>
        <w:rPr>
          <w:spacing w:val="-11"/>
          <w:w w:val="105"/>
        </w:rPr>
        <w:t> </w:t>
      </w:r>
      <w:r>
        <w:rPr>
          <w:w w:val="105"/>
        </w:rPr>
        <w:t>competitive</w:t>
      </w:r>
      <w:r>
        <w:rPr>
          <w:spacing w:val="-10"/>
          <w:w w:val="105"/>
        </w:rPr>
        <w:t> </w:t>
      </w:r>
      <w:r>
        <w:rPr>
          <w:w w:val="105"/>
        </w:rPr>
        <w:t>or</w:t>
      </w:r>
      <w:r>
        <w:rPr>
          <w:spacing w:val="-11"/>
          <w:w w:val="105"/>
        </w:rPr>
        <w:t> </w:t>
      </w:r>
      <w:r>
        <w:rPr>
          <w:w w:val="105"/>
        </w:rPr>
        <w:t>reputational</w:t>
      </w:r>
      <w:r>
        <w:rPr>
          <w:spacing w:val="-10"/>
          <w:w w:val="105"/>
        </w:rPr>
        <w:t> </w:t>
      </w:r>
      <w:r>
        <w:rPr>
          <w:w w:val="105"/>
        </w:rPr>
        <w:t>harm,</w:t>
      </w:r>
      <w:r>
        <w:rPr>
          <w:spacing w:val="-11"/>
          <w:w w:val="105"/>
        </w:rPr>
        <w:t> </w:t>
      </w:r>
      <w:r>
        <w:rPr>
          <w:w w:val="105"/>
        </w:rPr>
        <w:t>and</w:t>
      </w:r>
      <w:r>
        <w:rPr>
          <w:spacing w:val="-10"/>
          <w:w w:val="105"/>
        </w:rPr>
        <w:t> </w:t>
      </w:r>
      <w:r>
        <w:rPr>
          <w:w w:val="105"/>
        </w:rPr>
        <w:t>result in material adverse effects on our operations and financial results</w:t>
      </w:r>
    </w:p>
    <w:p>
      <w:pPr>
        <w:pStyle w:val="BodyText"/>
        <w:spacing w:before="19"/>
        <w:rPr>
          <w:b/>
        </w:rPr>
      </w:pPr>
    </w:p>
    <w:p>
      <w:pPr>
        <w:pStyle w:val="BodyText"/>
        <w:spacing w:line="266" w:lineRule="auto"/>
        <w:ind w:left="156" w:right="228"/>
      </w:pPr>
      <w:r>
        <w:rPr>
          <w:w w:val="105"/>
        </w:rPr>
        <w:t>The</w:t>
      </w:r>
      <w:r>
        <w:rPr>
          <w:spacing w:val="-2"/>
          <w:w w:val="105"/>
        </w:rPr>
        <w:t> </w:t>
      </w:r>
      <w:r>
        <w:rPr>
          <w:w w:val="105"/>
        </w:rPr>
        <w:t>Company</w:t>
      </w:r>
      <w:r>
        <w:rPr>
          <w:spacing w:val="-2"/>
          <w:w w:val="105"/>
        </w:rPr>
        <w:t> </w:t>
      </w:r>
      <w:r>
        <w:rPr>
          <w:w w:val="105"/>
        </w:rPr>
        <w:t>is</w:t>
      </w:r>
      <w:r>
        <w:rPr>
          <w:spacing w:val="-2"/>
          <w:w w:val="105"/>
        </w:rPr>
        <w:t> </w:t>
      </w:r>
      <w:r>
        <w:rPr>
          <w:w w:val="105"/>
        </w:rPr>
        <w:t>dependent</w:t>
      </w:r>
      <w:r>
        <w:rPr>
          <w:spacing w:val="-2"/>
          <w:w w:val="105"/>
        </w:rPr>
        <w:t> </w:t>
      </w:r>
      <w:r>
        <w:rPr>
          <w:w w:val="105"/>
        </w:rPr>
        <w:t>on</w:t>
      </w:r>
      <w:r>
        <w:rPr>
          <w:spacing w:val="-2"/>
          <w:w w:val="105"/>
        </w:rPr>
        <w:t> </w:t>
      </w:r>
      <w:r>
        <w:rPr>
          <w:w w:val="105"/>
        </w:rPr>
        <w:t>information</w:t>
      </w:r>
      <w:r>
        <w:rPr>
          <w:spacing w:val="-2"/>
          <w:w w:val="105"/>
        </w:rPr>
        <w:t> </w:t>
      </w:r>
      <w:r>
        <w:rPr>
          <w:w w:val="105"/>
        </w:rPr>
        <w:t>technology</w:t>
      </w:r>
      <w:r>
        <w:rPr>
          <w:spacing w:val="-2"/>
          <w:w w:val="105"/>
        </w:rPr>
        <w:t> </w:t>
      </w:r>
      <w:r>
        <w:rPr>
          <w:w w:val="105"/>
        </w:rPr>
        <w:t>systems</w:t>
      </w:r>
      <w:r>
        <w:rPr>
          <w:spacing w:val="-2"/>
          <w:w w:val="105"/>
        </w:rPr>
        <w:t> </w:t>
      </w:r>
      <w:r>
        <w:rPr>
          <w:w w:val="105"/>
        </w:rPr>
        <w:t>and</w:t>
      </w:r>
      <w:r>
        <w:rPr>
          <w:spacing w:val="-2"/>
          <w:w w:val="105"/>
        </w:rPr>
        <w:t> </w:t>
      </w:r>
      <w:r>
        <w:rPr>
          <w:w w:val="105"/>
        </w:rPr>
        <w:t>infrastructure</w:t>
      </w:r>
      <w:r>
        <w:rPr>
          <w:spacing w:val="-2"/>
          <w:w w:val="105"/>
        </w:rPr>
        <w:t> </w:t>
      </w:r>
      <w:r>
        <w:rPr>
          <w:w w:val="105"/>
        </w:rPr>
        <w:t>(“IT</w:t>
      </w:r>
      <w:r>
        <w:rPr>
          <w:spacing w:val="-2"/>
          <w:w w:val="105"/>
        </w:rPr>
        <w:t> </w:t>
      </w:r>
      <w:r>
        <w:rPr>
          <w:w w:val="105"/>
        </w:rPr>
        <w:t>systems”)</w:t>
      </w:r>
      <w:r>
        <w:rPr>
          <w:spacing w:val="-2"/>
          <w:w w:val="105"/>
        </w:rPr>
        <w:t> </w:t>
      </w:r>
      <w:r>
        <w:rPr>
          <w:w w:val="105"/>
        </w:rPr>
        <w:t>owned</w:t>
      </w:r>
      <w:r>
        <w:rPr>
          <w:spacing w:val="-2"/>
          <w:w w:val="105"/>
        </w:rPr>
        <w:t> </w:t>
      </w:r>
      <w:r>
        <w:rPr>
          <w:w w:val="105"/>
        </w:rPr>
        <w:t>and</w:t>
      </w:r>
      <w:r>
        <w:rPr>
          <w:spacing w:val="-2"/>
          <w:w w:val="105"/>
        </w:rPr>
        <w:t> </w:t>
      </w:r>
      <w:r>
        <w:rPr>
          <w:w w:val="105"/>
        </w:rPr>
        <w:t>operated</w:t>
      </w:r>
      <w:r>
        <w:rPr>
          <w:spacing w:val="-2"/>
          <w:w w:val="105"/>
        </w:rPr>
        <w:t> </w:t>
      </w:r>
      <w:r>
        <w:rPr>
          <w:w w:val="105"/>
        </w:rPr>
        <w:t>by</w:t>
      </w:r>
      <w:r>
        <w:rPr>
          <w:spacing w:val="-2"/>
          <w:w w:val="105"/>
        </w:rPr>
        <w:t> </w:t>
      </w:r>
      <w:r>
        <w:rPr>
          <w:w w:val="105"/>
        </w:rPr>
        <w:t>the</w:t>
      </w:r>
      <w:r>
        <w:rPr>
          <w:spacing w:val="-2"/>
          <w:w w:val="105"/>
        </w:rPr>
        <w:t> </w:t>
      </w:r>
      <w:r>
        <w:rPr>
          <w:w w:val="105"/>
        </w:rPr>
        <w:t>Company</w:t>
      </w:r>
      <w:r>
        <w:rPr>
          <w:spacing w:val="-2"/>
          <w:w w:val="105"/>
        </w:rPr>
        <w:t> </w:t>
      </w:r>
      <w:r>
        <w:rPr>
          <w:w w:val="105"/>
        </w:rPr>
        <w:t>or</w:t>
      </w:r>
      <w:r>
        <w:rPr>
          <w:spacing w:val="-2"/>
          <w:w w:val="105"/>
        </w:rPr>
        <w:t> </w:t>
      </w:r>
      <w:r>
        <w:rPr>
          <w:w w:val="105"/>
        </w:rPr>
        <w:t>managed</w:t>
      </w:r>
      <w:r>
        <w:rPr>
          <w:spacing w:val="-2"/>
          <w:w w:val="105"/>
        </w:rPr>
        <w:t> </w:t>
      </w:r>
      <w:r>
        <w:rPr>
          <w:w w:val="105"/>
        </w:rPr>
        <w:t>by</w:t>
      </w:r>
      <w:r>
        <w:rPr>
          <w:spacing w:val="-2"/>
          <w:w w:val="105"/>
        </w:rPr>
        <w:t> </w:t>
      </w:r>
      <w:r>
        <w:rPr>
          <w:w w:val="105"/>
        </w:rPr>
        <w:t>third-party</w:t>
      </w:r>
      <w:r>
        <w:rPr>
          <w:spacing w:val="-2"/>
          <w:w w:val="105"/>
        </w:rPr>
        <w:t> </w:t>
      </w:r>
      <w:r>
        <w:rPr>
          <w:w w:val="105"/>
        </w:rPr>
        <w:t>service providers,</w:t>
      </w:r>
      <w:r>
        <w:rPr>
          <w:spacing w:val="-2"/>
          <w:w w:val="105"/>
        </w:rPr>
        <w:t> </w:t>
      </w:r>
      <w:r>
        <w:rPr>
          <w:w w:val="105"/>
        </w:rPr>
        <w:t>suppliers</w:t>
      </w:r>
      <w:r>
        <w:rPr>
          <w:spacing w:val="-2"/>
          <w:w w:val="105"/>
        </w:rPr>
        <w:t> </w:t>
      </w:r>
      <w:r>
        <w:rPr>
          <w:w w:val="105"/>
        </w:rPr>
        <w:t>and</w:t>
      </w:r>
      <w:r>
        <w:rPr>
          <w:spacing w:val="-2"/>
          <w:w w:val="105"/>
        </w:rPr>
        <w:t> </w:t>
      </w:r>
      <w:r>
        <w:rPr>
          <w:w w:val="105"/>
        </w:rPr>
        <w:t>contract</w:t>
      </w:r>
      <w:r>
        <w:rPr>
          <w:spacing w:val="-2"/>
          <w:w w:val="105"/>
        </w:rPr>
        <w:t> </w:t>
      </w:r>
      <w:r>
        <w:rPr>
          <w:w w:val="105"/>
        </w:rPr>
        <w:t>manufacturers.</w:t>
      </w:r>
      <w:r>
        <w:rPr>
          <w:spacing w:val="-2"/>
          <w:w w:val="105"/>
        </w:rPr>
        <w:t> </w:t>
      </w:r>
      <w:r>
        <w:rPr>
          <w:w w:val="105"/>
        </w:rPr>
        <w:t>IT</w:t>
      </w:r>
      <w:r>
        <w:rPr>
          <w:spacing w:val="-2"/>
          <w:w w:val="105"/>
        </w:rPr>
        <w:t> </w:t>
      </w:r>
      <w:r>
        <w:rPr>
          <w:w w:val="105"/>
        </w:rPr>
        <w:t>systems</w:t>
      </w:r>
      <w:r>
        <w:rPr>
          <w:spacing w:val="-2"/>
          <w:w w:val="105"/>
        </w:rPr>
        <w:t> </w:t>
      </w:r>
      <w:r>
        <w:rPr>
          <w:w w:val="105"/>
        </w:rPr>
        <w:t>enable</w:t>
      </w:r>
      <w:r>
        <w:rPr>
          <w:spacing w:val="-2"/>
          <w:w w:val="105"/>
        </w:rPr>
        <w:t> </w:t>
      </w:r>
      <w:r>
        <w:rPr>
          <w:w w:val="105"/>
        </w:rPr>
        <w:t>us</w:t>
      </w:r>
      <w:r>
        <w:rPr>
          <w:spacing w:val="-2"/>
          <w:w w:val="105"/>
        </w:rPr>
        <w:t> </w:t>
      </w:r>
      <w:r>
        <w:rPr>
          <w:w w:val="105"/>
        </w:rPr>
        <w:t>to</w:t>
      </w:r>
      <w:r>
        <w:rPr>
          <w:spacing w:val="-2"/>
          <w:w w:val="105"/>
        </w:rPr>
        <w:t> </w:t>
      </w:r>
      <w:r>
        <w:rPr>
          <w:w w:val="105"/>
        </w:rPr>
        <w:t>conduct,</w:t>
      </w:r>
      <w:r>
        <w:rPr>
          <w:spacing w:val="-2"/>
          <w:w w:val="105"/>
        </w:rPr>
        <w:t> </w:t>
      </w:r>
      <w:r>
        <w:rPr>
          <w:w w:val="105"/>
        </w:rPr>
        <w:t>monitor</w:t>
      </w:r>
      <w:r>
        <w:rPr>
          <w:spacing w:val="-2"/>
          <w:w w:val="105"/>
        </w:rPr>
        <w:t> </w:t>
      </w:r>
      <w:r>
        <w:rPr>
          <w:w w:val="105"/>
        </w:rPr>
        <w:t>and/or</w:t>
      </w:r>
      <w:r>
        <w:rPr>
          <w:spacing w:val="-2"/>
          <w:w w:val="105"/>
        </w:rPr>
        <w:t> </w:t>
      </w:r>
      <w:r>
        <w:rPr>
          <w:w w:val="105"/>
        </w:rPr>
        <w:t>protect</w:t>
      </w:r>
      <w:r>
        <w:rPr>
          <w:spacing w:val="-2"/>
          <w:w w:val="105"/>
        </w:rPr>
        <w:t> </w:t>
      </w:r>
      <w:r>
        <w:rPr>
          <w:w w:val="105"/>
        </w:rPr>
        <w:t>our</w:t>
      </w:r>
      <w:r>
        <w:rPr>
          <w:spacing w:val="-2"/>
          <w:w w:val="105"/>
        </w:rPr>
        <w:t> </w:t>
      </w:r>
      <w:r>
        <w:rPr>
          <w:w w:val="105"/>
        </w:rPr>
        <w:t>business,</w:t>
      </w:r>
      <w:r>
        <w:rPr>
          <w:spacing w:val="-2"/>
          <w:w w:val="105"/>
        </w:rPr>
        <w:t> </w:t>
      </w:r>
      <w:r>
        <w:rPr>
          <w:w w:val="105"/>
        </w:rPr>
        <w:t>operations,</w:t>
      </w:r>
      <w:r>
        <w:rPr>
          <w:spacing w:val="-2"/>
          <w:w w:val="105"/>
        </w:rPr>
        <w:t> </w:t>
      </w:r>
      <w:r>
        <w:rPr>
          <w:w w:val="105"/>
        </w:rPr>
        <w:t>systems,</w:t>
      </w:r>
      <w:r>
        <w:rPr>
          <w:spacing w:val="-2"/>
          <w:w w:val="105"/>
        </w:rPr>
        <w:t> </w:t>
      </w:r>
      <w:r>
        <w:rPr>
          <w:w w:val="105"/>
        </w:rPr>
        <w:t>data</w:t>
      </w:r>
      <w:r>
        <w:rPr>
          <w:spacing w:val="-2"/>
          <w:w w:val="105"/>
        </w:rPr>
        <w:t> </w:t>
      </w:r>
      <w:r>
        <w:rPr>
          <w:w w:val="105"/>
        </w:rPr>
        <w:t>and</w:t>
      </w:r>
      <w:r>
        <w:rPr>
          <w:spacing w:val="-2"/>
          <w:w w:val="105"/>
        </w:rPr>
        <w:t> </w:t>
      </w:r>
      <w:r>
        <w:rPr>
          <w:w w:val="105"/>
        </w:rPr>
        <w:t>other</w:t>
      </w:r>
      <w:r>
        <w:rPr>
          <w:spacing w:val="-2"/>
          <w:w w:val="105"/>
        </w:rPr>
        <w:t> </w:t>
      </w:r>
      <w:r>
        <w:rPr>
          <w:w w:val="105"/>
        </w:rPr>
        <w:t>assets.</w:t>
      </w:r>
      <w:r>
        <w:rPr>
          <w:spacing w:val="-2"/>
          <w:w w:val="105"/>
        </w:rPr>
        <w:t> </w:t>
      </w:r>
      <w:r>
        <w:rPr>
          <w:w w:val="105"/>
        </w:rPr>
        <w:t>In</w:t>
      </w:r>
      <w:r>
        <w:rPr>
          <w:spacing w:val="-2"/>
          <w:w w:val="105"/>
        </w:rPr>
        <w:t> </w:t>
      </w:r>
      <w:r>
        <w:rPr>
          <w:w w:val="105"/>
        </w:rPr>
        <w:t>the ordinary</w:t>
      </w:r>
      <w:r>
        <w:rPr>
          <w:spacing w:val="-9"/>
          <w:w w:val="105"/>
        </w:rPr>
        <w:t> </w:t>
      </w:r>
      <w:r>
        <w:rPr>
          <w:w w:val="105"/>
        </w:rPr>
        <w:t>course</w:t>
      </w:r>
      <w:r>
        <w:rPr>
          <w:spacing w:val="-9"/>
          <w:w w:val="105"/>
        </w:rPr>
        <w:t> </w:t>
      </w:r>
      <w:r>
        <w:rPr>
          <w:w w:val="105"/>
        </w:rPr>
        <w:t>of</w:t>
      </w:r>
      <w:r>
        <w:rPr>
          <w:spacing w:val="-9"/>
          <w:w w:val="105"/>
        </w:rPr>
        <w:t> </w:t>
      </w:r>
      <w:r>
        <w:rPr>
          <w:w w:val="105"/>
        </w:rPr>
        <w:t>our</w:t>
      </w:r>
      <w:r>
        <w:rPr>
          <w:spacing w:val="-9"/>
          <w:w w:val="105"/>
        </w:rPr>
        <w:t> </w:t>
      </w:r>
      <w:r>
        <w:rPr>
          <w:w w:val="105"/>
        </w:rPr>
        <w:t>business,</w:t>
      </w:r>
      <w:r>
        <w:rPr>
          <w:spacing w:val="-9"/>
          <w:w w:val="105"/>
        </w:rPr>
        <w:t> </w:t>
      </w:r>
      <w:r>
        <w:rPr>
          <w:w w:val="105"/>
        </w:rPr>
        <w:t>we</w:t>
      </w:r>
      <w:r>
        <w:rPr>
          <w:spacing w:val="-9"/>
          <w:w w:val="105"/>
        </w:rPr>
        <w:t> </w:t>
      </w:r>
      <w:r>
        <w:rPr>
          <w:w w:val="105"/>
        </w:rPr>
        <w:t>and</w:t>
      </w:r>
      <w:r>
        <w:rPr>
          <w:spacing w:val="-9"/>
          <w:w w:val="105"/>
        </w:rPr>
        <w:t> </w:t>
      </w:r>
      <w:r>
        <w:rPr>
          <w:w w:val="105"/>
        </w:rPr>
        <w:t>our</w:t>
      </w:r>
      <w:r>
        <w:rPr>
          <w:spacing w:val="-9"/>
          <w:w w:val="105"/>
        </w:rPr>
        <w:t> </w:t>
      </w:r>
      <w:r>
        <w:rPr>
          <w:w w:val="105"/>
        </w:rPr>
        <w:t>providers</w:t>
      </w:r>
      <w:r>
        <w:rPr>
          <w:spacing w:val="-9"/>
          <w:w w:val="105"/>
        </w:rPr>
        <w:t> </w:t>
      </w:r>
      <w:r>
        <w:rPr>
          <w:w w:val="105"/>
        </w:rPr>
        <w:t>collect,</w:t>
      </w:r>
      <w:r>
        <w:rPr>
          <w:spacing w:val="-9"/>
          <w:w w:val="105"/>
        </w:rPr>
        <w:t> </w:t>
      </w:r>
      <w:r>
        <w:rPr>
          <w:w w:val="105"/>
        </w:rPr>
        <w:t>process,</w:t>
      </w:r>
      <w:r>
        <w:rPr>
          <w:spacing w:val="-9"/>
          <w:w w:val="105"/>
        </w:rPr>
        <w:t> </w:t>
      </w:r>
      <w:r>
        <w:rPr>
          <w:w w:val="105"/>
        </w:rPr>
        <w:t>transmit</w:t>
      </w:r>
      <w:r>
        <w:rPr>
          <w:spacing w:val="-9"/>
          <w:w w:val="105"/>
        </w:rPr>
        <w:t> </w:t>
      </w:r>
      <w:r>
        <w:rPr>
          <w:w w:val="105"/>
        </w:rPr>
        <w:t>and</w:t>
      </w:r>
      <w:r>
        <w:rPr>
          <w:spacing w:val="-9"/>
          <w:w w:val="105"/>
        </w:rPr>
        <w:t> </w:t>
      </w:r>
      <w:r>
        <w:rPr>
          <w:w w:val="105"/>
        </w:rPr>
        <w:t>store</w:t>
      </w:r>
      <w:r>
        <w:rPr>
          <w:spacing w:val="-9"/>
          <w:w w:val="105"/>
        </w:rPr>
        <w:t> </w:t>
      </w:r>
      <w:r>
        <w:rPr>
          <w:w w:val="105"/>
        </w:rPr>
        <w:t>sensitive</w:t>
      </w:r>
      <w:r>
        <w:rPr>
          <w:spacing w:val="-9"/>
          <w:w w:val="105"/>
        </w:rPr>
        <w:t> </w:t>
      </w:r>
      <w:r>
        <w:rPr>
          <w:w w:val="105"/>
        </w:rPr>
        <w:t>data,</w:t>
      </w:r>
      <w:r>
        <w:rPr>
          <w:spacing w:val="-9"/>
          <w:w w:val="105"/>
        </w:rPr>
        <w:t> </w:t>
      </w:r>
      <w:r>
        <w:rPr>
          <w:w w:val="105"/>
        </w:rPr>
        <w:t>including</w:t>
      </w:r>
      <w:r>
        <w:rPr>
          <w:spacing w:val="-9"/>
          <w:w w:val="105"/>
        </w:rPr>
        <w:t> </w:t>
      </w:r>
      <w:r>
        <w:rPr>
          <w:w w:val="105"/>
        </w:rPr>
        <w:t>intellectual</w:t>
      </w:r>
      <w:r>
        <w:rPr>
          <w:spacing w:val="-9"/>
          <w:w w:val="105"/>
        </w:rPr>
        <w:t> </w:t>
      </w:r>
      <w:r>
        <w:rPr>
          <w:w w:val="105"/>
        </w:rPr>
        <w:t>property,</w:t>
      </w:r>
      <w:r>
        <w:rPr>
          <w:spacing w:val="-9"/>
          <w:w w:val="105"/>
        </w:rPr>
        <w:t> </w:t>
      </w:r>
      <w:r>
        <w:rPr>
          <w:w w:val="105"/>
        </w:rPr>
        <w:t>our</w:t>
      </w:r>
      <w:r>
        <w:rPr>
          <w:spacing w:val="-9"/>
          <w:w w:val="105"/>
        </w:rPr>
        <w:t> </w:t>
      </w:r>
      <w:r>
        <w:rPr>
          <w:w w:val="105"/>
        </w:rPr>
        <w:t>proprietary</w:t>
      </w:r>
      <w:r>
        <w:rPr>
          <w:spacing w:val="-9"/>
          <w:w w:val="105"/>
        </w:rPr>
        <w:t> </w:t>
      </w:r>
      <w:r>
        <w:rPr>
          <w:w w:val="105"/>
        </w:rPr>
        <w:t>information</w:t>
      </w:r>
      <w:r>
        <w:rPr>
          <w:spacing w:val="-7"/>
          <w:w w:val="105"/>
        </w:rPr>
        <w:t> </w:t>
      </w:r>
      <w:r>
        <w:rPr>
          <w:w w:val="105"/>
        </w:rPr>
        <w:t>and</w:t>
      </w:r>
      <w:r>
        <w:rPr>
          <w:spacing w:val="-9"/>
          <w:w w:val="105"/>
        </w:rPr>
        <w:t> </w:t>
      </w:r>
      <w:r>
        <w:rPr>
          <w:w w:val="105"/>
        </w:rPr>
        <w:t>that of</w:t>
      </w:r>
      <w:r>
        <w:rPr>
          <w:spacing w:val="-2"/>
          <w:w w:val="105"/>
        </w:rPr>
        <w:t> </w:t>
      </w:r>
      <w:r>
        <w:rPr>
          <w:w w:val="105"/>
        </w:rPr>
        <w:t>our</w:t>
      </w:r>
      <w:r>
        <w:rPr>
          <w:spacing w:val="-2"/>
          <w:w w:val="105"/>
        </w:rPr>
        <w:t> </w:t>
      </w:r>
      <w:r>
        <w:rPr>
          <w:w w:val="105"/>
        </w:rPr>
        <w:t>customers,</w:t>
      </w:r>
      <w:r>
        <w:rPr>
          <w:spacing w:val="-2"/>
          <w:w w:val="105"/>
        </w:rPr>
        <w:t> </w:t>
      </w:r>
      <w:r>
        <w:rPr>
          <w:w w:val="105"/>
        </w:rPr>
        <w:t>suppliers</w:t>
      </w:r>
      <w:r>
        <w:rPr>
          <w:spacing w:val="-2"/>
          <w:w w:val="105"/>
        </w:rPr>
        <w:t> </w:t>
      </w:r>
      <w:r>
        <w:rPr>
          <w:w w:val="105"/>
        </w:rPr>
        <w:t>and</w:t>
      </w:r>
      <w:r>
        <w:rPr>
          <w:spacing w:val="-2"/>
          <w:w w:val="105"/>
        </w:rPr>
        <w:t> </w:t>
      </w:r>
      <w:r>
        <w:rPr>
          <w:w w:val="105"/>
        </w:rPr>
        <w:t>business</w:t>
      </w:r>
      <w:r>
        <w:rPr>
          <w:spacing w:val="-2"/>
          <w:w w:val="105"/>
        </w:rPr>
        <w:t> </w:t>
      </w:r>
      <w:r>
        <w:rPr>
          <w:w w:val="105"/>
        </w:rPr>
        <w:t>partners,</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personally</w:t>
      </w:r>
      <w:r>
        <w:rPr>
          <w:spacing w:val="-2"/>
          <w:w w:val="105"/>
        </w:rPr>
        <w:t> </w:t>
      </w:r>
      <w:r>
        <w:rPr>
          <w:w w:val="105"/>
        </w:rPr>
        <w:t>identifiable</w:t>
      </w:r>
      <w:r>
        <w:rPr>
          <w:spacing w:val="-2"/>
          <w:w w:val="105"/>
        </w:rPr>
        <w:t> </w:t>
      </w:r>
      <w:r>
        <w:rPr>
          <w:w w:val="105"/>
        </w:rPr>
        <w:t>information.</w:t>
      </w:r>
      <w:r>
        <w:rPr>
          <w:spacing w:val="39"/>
          <w:w w:val="105"/>
        </w:rPr>
        <w:t> </w:t>
      </w:r>
      <w:r>
        <w:rPr>
          <w:w w:val="105"/>
        </w:rPr>
        <w:t>Intrusion</w:t>
      </w:r>
      <w:r>
        <w:rPr>
          <w:spacing w:val="-2"/>
          <w:w w:val="105"/>
        </w:rPr>
        <w:t> </w:t>
      </w:r>
      <w:r>
        <w:rPr>
          <w:w w:val="105"/>
        </w:rPr>
        <w:t>into</w:t>
      </w:r>
      <w:r>
        <w:rPr>
          <w:spacing w:val="-2"/>
          <w:w w:val="105"/>
        </w:rPr>
        <w:t> </w:t>
      </w:r>
      <w:r>
        <w:rPr>
          <w:w w:val="105"/>
        </w:rPr>
        <w:t>a</w:t>
      </w:r>
      <w:r>
        <w:rPr>
          <w:spacing w:val="-2"/>
          <w:w w:val="105"/>
        </w:rPr>
        <w:t> </w:t>
      </w:r>
      <w:r>
        <w:rPr>
          <w:w w:val="105"/>
        </w:rPr>
        <w:t>supplier</w:t>
      </w:r>
      <w:r>
        <w:rPr>
          <w:spacing w:val="-2"/>
          <w:w w:val="105"/>
        </w:rPr>
        <w:t> </w:t>
      </w:r>
      <w:r>
        <w:rPr>
          <w:w w:val="105"/>
        </w:rPr>
        <w:t>or</w:t>
      </w:r>
      <w:r>
        <w:rPr>
          <w:spacing w:val="-2"/>
          <w:w w:val="105"/>
        </w:rPr>
        <w:t> </w:t>
      </w:r>
      <w:r>
        <w:rPr>
          <w:w w:val="105"/>
        </w:rPr>
        <w:t>contract</w:t>
      </w:r>
      <w:r>
        <w:rPr>
          <w:spacing w:val="-2"/>
          <w:w w:val="105"/>
        </w:rPr>
        <w:t> </w:t>
      </w:r>
      <w:r>
        <w:rPr>
          <w:w w:val="105"/>
        </w:rPr>
        <w:t>manufacturer</w:t>
      </w:r>
      <w:r>
        <w:rPr>
          <w:spacing w:val="-2"/>
          <w:w w:val="105"/>
        </w:rPr>
        <w:t> </w:t>
      </w:r>
      <w:r>
        <w:rPr>
          <w:w w:val="105"/>
        </w:rPr>
        <w:t>system</w:t>
      </w:r>
      <w:r>
        <w:rPr>
          <w:spacing w:val="-2"/>
          <w:w w:val="105"/>
        </w:rPr>
        <w:t> </w:t>
      </w:r>
      <w:r>
        <w:rPr>
          <w:w w:val="105"/>
        </w:rPr>
        <w:t>not</w:t>
      </w:r>
      <w:r>
        <w:rPr>
          <w:spacing w:val="-2"/>
          <w:w w:val="105"/>
        </w:rPr>
        <w:t> </w:t>
      </w:r>
      <w:r>
        <w:rPr>
          <w:w w:val="105"/>
        </w:rPr>
        <w:t>integrated with a Corning IT system could result in service disruption and/or loss of financial control.</w:t>
      </w:r>
    </w:p>
    <w:p>
      <w:pPr>
        <w:pStyle w:val="BodyText"/>
        <w:spacing w:before="18"/>
      </w:pPr>
    </w:p>
    <w:p>
      <w:pPr>
        <w:pStyle w:val="BodyText"/>
        <w:spacing w:line="266" w:lineRule="auto"/>
        <w:ind w:left="156" w:right="117"/>
      </w:pPr>
      <w:r>
        <w:rPr>
          <w:w w:val="105"/>
        </w:rPr>
        <w:t>Our</w:t>
      </w:r>
      <w:r>
        <w:rPr>
          <w:spacing w:val="-2"/>
          <w:w w:val="105"/>
        </w:rPr>
        <w:t> </w:t>
      </w:r>
      <w:r>
        <w:rPr>
          <w:w w:val="105"/>
        </w:rPr>
        <w:t>IT</w:t>
      </w:r>
      <w:r>
        <w:rPr>
          <w:spacing w:val="-2"/>
          <w:w w:val="105"/>
        </w:rPr>
        <w:t> </w:t>
      </w:r>
      <w:r>
        <w:rPr>
          <w:w w:val="105"/>
        </w:rPr>
        <w:t>systems,</w:t>
      </w:r>
      <w:r>
        <w:rPr>
          <w:spacing w:val="-2"/>
          <w:w w:val="105"/>
        </w:rPr>
        <w:t> </w:t>
      </w:r>
      <w:r>
        <w:rPr>
          <w:w w:val="105"/>
        </w:rPr>
        <w:t>and</w:t>
      </w:r>
      <w:r>
        <w:rPr>
          <w:spacing w:val="-2"/>
          <w:w w:val="105"/>
        </w:rPr>
        <w:t> </w:t>
      </w:r>
      <w:r>
        <w:rPr>
          <w:w w:val="105"/>
        </w:rPr>
        <w:t>those</w:t>
      </w:r>
      <w:r>
        <w:rPr>
          <w:spacing w:val="-2"/>
          <w:w w:val="105"/>
        </w:rPr>
        <w:t> </w:t>
      </w:r>
      <w:r>
        <w:rPr>
          <w:w w:val="105"/>
        </w:rPr>
        <w:t>of</w:t>
      </w:r>
      <w:r>
        <w:rPr>
          <w:spacing w:val="-2"/>
          <w:w w:val="105"/>
        </w:rPr>
        <w:t> </w:t>
      </w:r>
      <w:r>
        <w:rPr>
          <w:w w:val="105"/>
        </w:rPr>
        <w:t>our</w:t>
      </w:r>
      <w:r>
        <w:rPr>
          <w:spacing w:val="-2"/>
          <w:w w:val="105"/>
        </w:rPr>
        <w:t> </w:t>
      </w:r>
      <w:r>
        <w:rPr>
          <w:w w:val="105"/>
        </w:rPr>
        <w:t>providers,</w:t>
      </w:r>
      <w:r>
        <w:rPr>
          <w:spacing w:val="-2"/>
          <w:w w:val="105"/>
        </w:rPr>
        <w:t> </w:t>
      </w:r>
      <w:r>
        <w:rPr>
          <w:w w:val="105"/>
        </w:rPr>
        <w:t>may</w:t>
      </w:r>
      <w:r>
        <w:rPr>
          <w:spacing w:val="-2"/>
          <w:w w:val="105"/>
        </w:rPr>
        <w:t> </w:t>
      </w:r>
      <w:r>
        <w:rPr>
          <w:w w:val="105"/>
        </w:rPr>
        <w:t>be</w:t>
      </w:r>
      <w:r>
        <w:rPr>
          <w:spacing w:val="-2"/>
          <w:w w:val="105"/>
        </w:rPr>
        <w:t> </w:t>
      </w:r>
      <w:r>
        <w:rPr>
          <w:w w:val="105"/>
        </w:rPr>
        <w:t>vulnerable</w:t>
      </w:r>
      <w:r>
        <w:rPr>
          <w:spacing w:val="-2"/>
          <w:w w:val="105"/>
        </w:rPr>
        <w:t> </w:t>
      </w:r>
      <w:r>
        <w:rPr>
          <w:w w:val="105"/>
        </w:rPr>
        <w:t>to</w:t>
      </w:r>
      <w:r>
        <w:rPr>
          <w:spacing w:val="-2"/>
          <w:w w:val="105"/>
        </w:rPr>
        <w:t> </w:t>
      </w:r>
      <w:r>
        <w:rPr>
          <w:w w:val="105"/>
        </w:rPr>
        <w:t>compromise</w:t>
      </w:r>
      <w:r>
        <w:rPr>
          <w:spacing w:val="-2"/>
          <w:w w:val="105"/>
        </w:rPr>
        <w:t> </w:t>
      </w:r>
      <w:r>
        <w:rPr>
          <w:w w:val="105"/>
        </w:rPr>
        <w:t>or</w:t>
      </w:r>
      <w:r>
        <w:rPr>
          <w:spacing w:val="-2"/>
          <w:w w:val="105"/>
        </w:rPr>
        <w:t> </w:t>
      </w:r>
      <w:r>
        <w:rPr>
          <w:w w:val="105"/>
        </w:rPr>
        <w:t>disruption</w:t>
      </w:r>
      <w:r>
        <w:rPr>
          <w:spacing w:val="-2"/>
          <w:w w:val="105"/>
        </w:rPr>
        <w:t> </w:t>
      </w:r>
      <w:r>
        <w:rPr>
          <w:w w:val="105"/>
        </w:rPr>
        <w:t>due</w:t>
      </w:r>
      <w:r>
        <w:rPr>
          <w:spacing w:val="-2"/>
          <w:w w:val="105"/>
        </w:rPr>
        <w:t> </w:t>
      </w:r>
      <w:r>
        <w:rPr>
          <w:w w:val="105"/>
        </w:rPr>
        <w:t>to</w:t>
      </w:r>
      <w:r>
        <w:rPr>
          <w:spacing w:val="-2"/>
          <w:w w:val="105"/>
        </w:rPr>
        <w:t> </w:t>
      </w:r>
      <w:r>
        <w:rPr>
          <w:w w:val="105"/>
        </w:rPr>
        <w:t>human error</w:t>
      </w:r>
      <w:r>
        <w:rPr>
          <w:spacing w:val="-2"/>
          <w:w w:val="105"/>
        </w:rPr>
        <w:t> </w:t>
      </w:r>
      <w:r>
        <w:rPr>
          <w:w w:val="105"/>
        </w:rPr>
        <w:t>or</w:t>
      </w:r>
      <w:r>
        <w:rPr>
          <w:spacing w:val="-2"/>
          <w:w w:val="105"/>
        </w:rPr>
        <w:t> </w:t>
      </w:r>
      <w:r>
        <w:rPr>
          <w:w w:val="105"/>
        </w:rPr>
        <w:t>malfeasance,</w:t>
      </w:r>
      <w:r>
        <w:rPr>
          <w:spacing w:val="-2"/>
          <w:w w:val="105"/>
        </w:rPr>
        <w:t> </w:t>
      </w:r>
      <w:r>
        <w:rPr>
          <w:w w:val="105"/>
        </w:rPr>
        <w:t>outdated</w:t>
      </w:r>
      <w:r>
        <w:rPr>
          <w:spacing w:val="-2"/>
          <w:w w:val="105"/>
        </w:rPr>
        <w:t> </w:t>
      </w:r>
      <w:r>
        <w:rPr>
          <w:w w:val="105"/>
        </w:rPr>
        <w:t>applications,</w:t>
      </w:r>
      <w:r>
        <w:rPr>
          <w:spacing w:val="-2"/>
          <w:w w:val="105"/>
        </w:rPr>
        <w:t> </w:t>
      </w:r>
      <w:r>
        <w:rPr>
          <w:w w:val="105"/>
        </w:rPr>
        <w:t>computer</w:t>
      </w:r>
      <w:r>
        <w:rPr>
          <w:spacing w:val="-2"/>
          <w:w w:val="105"/>
        </w:rPr>
        <w:t> </w:t>
      </w:r>
      <w:r>
        <w:rPr>
          <w:w w:val="105"/>
        </w:rPr>
        <w:t>viruses</w:t>
      </w:r>
      <w:r>
        <w:rPr>
          <w:spacing w:val="-2"/>
          <w:w w:val="105"/>
        </w:rPr>
        <w:t> </w:t>
      </w:r>
      <w:r>
        <w:rPr>
          <w:w w:val="105"/>
        </w:rPr>
        <w:t>or malware</w:t>
      </w:r>
      <w:r>
        <w:rPr>
          <w:spacing w:val="-2"/>
          <w:w w:val="105"/>
        </w:rPr>
        <w:t> </w:t>
      </w:r>
      <w:r>
        <w:rPr>
          <w:w w:val="105"/>
        </w:rPr>
        <w:t>(e.g.,</w:t>
      </w:r>
      <w:r>
        <w:rPr>
          <w:spacing w:val="-2"/>
          <w:w w:val="105"/>
        </w:rPr>
        <w:t> </w:t>
      </w:r>
      <w:r>
        <w:rPr>
          <w:w w:val="105"/>
        </w:rPr>
        <w:t>ransomware),</w:t>
      </w:r>
      <w:r>
        <w:rPr>
          <w:spacing w:val="-2"/>
          <w:w w:val="105"/>
        </w:rPr>
        <w:t> </w:t>
      </w:r>
      <w:r>
        <w:rPr>
          <w:w w:val="105"/>
        </w:rPr>
        <w:t>natural</w:t>
      </w:r>
      <w:r>
        <w:rPr>
          <w:spacing w:val="-2"/>
          <w:w w:val="105"/>
        </w:rPr>
        <w:t> </w:t>
      </w:r>
      <w:r>
        <w:rPr>
          <w:w w:val="105"/>
        </w:rPr>
        <w:t>disasters,</w:t>
      </w:r>
      <w:r>
        <w:rPr>
          <w:spacing w:val="-2"/>
          <w:w w:val="105"/>
        </w:rPr>
        <w:t> </w:t>
      </w:r>
      <w:r>
        <w:rPr>
          <w:w w:val="105"/>
        </w:rPr>
        <w:t>unauthorized</w:t>
      </w:r>
      <w:r>
        <w:rPr>
          <w:spacing w:val="-2"/>
          <w:w w:val="105"/>
        </w:rPr>
        <w:t> </w:t>
      </w:r>
      <w:r>
        <w:rPr>
          <w:w w:val="105"/>
        </w:rPr>
        <w:t>access,</w:t>
      </w:r>
      <w:r>
        <w:rPr>
          <w:spacing w:val="-2"/>
          <w:w w:val="105"/>
        </w:rPr>
        <w:t> </w:t>
      </w:r>
      <w:r>
        <w:rPr>
          <w:w w:val="105"/>
        </w:rPr>
        <w:t>cyber-attacks</w:t>
      </w:r>
      <w:r>
        <w:rPr>
          <w:spacing w:val="-2"/>
          <w:w w:val="105"/>
        </w:rPr>
        <w:t> </w:t>
      </w:r>
      <w:r>
        <w:rPr>
          <w:w w:val="105"/>
        </w:rPr>
        <w:t>and</w:t>
      </w:r>
      <w:r>
        <w:rPr>
          <w:spacing w:val="-2"/>
          <w:w w:val="105"/>
        </w:rPr>
        <w:t> </w:t>
      </w:r>
      <w:r>
        <w:rPr>
          <w:w w:val="105"/>
        </w:rPr>
        <w:t>other</w:t>
      </w:r>
      <w:r>
        <w:rPr>
          <w:spacing w:val="-2"/>
          <w:w w:val="105"/>
        </w:rPr>
        <w:t> </w:t>
      </w:r>
      <w:r>
        <w:rPr>
          <w:w w:val="105"/>
        </w:rPr>
        <w:t>similar</w:t>
      </w:r>
      <w:r>
        <w:rPr>
          <w:spacing w:val="-2"/>
          <w:w w:val="105"/>
        </w:rPr>
        <w:t> </w:t>
      </w:r>
      <w:r>
        <w:rPr>
          <w:w w:val="105"/>
        </w:rPr>
        <w:t>incidents</w:t>
      </w:r>
      <w:r>
        <w:rPr>
          <w:spacing w:val="-2"/>
          <w:w w:val="105"/>
        </w:rPr>
        <w:t> </w:t>
      </w:r>
      <w:r>
        <w:rPr>
          <w:w w:val="105"/>
        </w:rPr>
        <w:t>and</w:t>
      </w:r>
      <w:r>
        <w:rPr>
          <w:spacing w:val="-2"/>
          <w:w w:val="105"/>
        </w:rPr>
        <w:t> </w:t>
      </w:r>
      <w:r>
        <w:rPr>
          <w:w w:val="105"/>
        </w:rPr>
        <w:t>disruptions.</w:t>
      </w:r>
      <w:r>
        <w:rPr>
          <w:spacing w:val="-2"/>
          <w:w w:val="105"/>
        </w:rPr>
        <w:t> </w:t>
      </w:r>
      <w:r>
        <w:rPr>
          <w:w w:val="105"/>
        </w:rPr>
        <w:t>Increased</w:t>
      </w:r>
      <w:r>
        <w:rPr>
          <w:spacing w:val="-2"/>
          <w:w w:val="105"/>
        </w:rPr>
        <w:t> </w:t>
      </w:r>
      <w:r>
        <w:rPr>
          <w:w w:val="105"/>
        </w:rPr>
        <w:t>work-from-home,</w:t>
      </w:r>
      <w:r>
        <w:rPr>
          <w:spacing w:val="-2"/>
          <w:w w:val="105"/>
        </w:rPr>
        <w:t> </w:t>
      </w:r>
      <w:r>
        <w:rPr>
          <w:w w:val="105"/>
        </w:rPr>
        <w:t>at</w:t>
      </w:r>
      <w:r>
        <w:rPr>
          <w:spacing w:val="-2"/>
          <w:w w:val="105"/>
        </w:rPr>
        <w:t> </w:t>
      </w:r>
      <w:r>
        <w:rPr>
          <w:w w:val="105"/>
        </w:rPr>
        <w:t>both</w:t>
      </w:r>
      <w:r>
        <w:rPr>
          <w:spacing w:val="-2"/>
          <w:w w:val="105"/>
        </w:rPr>
        <w:t> </w:t>
      </w:r>
      <w:r>
        <w:rPr>
          <w:w w:val="105"/>
        </w:rPr>
        <w:t>the Company</w:t>
      </w:r>
      <w:r>
        <w:rPr>
          <w:spacing w:val="-9"/>
          <w:w w:val="105"/>
        </w:rPr>
        <w:t> </w:t>
      </w:r>
      <w:r>
        <w:rPr>
          <w:w w:val="105"/>
        </w:rPr>
        <w:t>and</w:t>
      </w:r>
      <w:r>
        <w:rPr>
          <w:spacing w:val="-9"/>
          <w:w w:val="105"/>
        </w:rPr>
        <w:t> </w:t>
      </w:r>
      <w:r>
        <w:rPr>
          <w:w w:val="105"/>
        </w:rPr>
        <w:t>our</w:t>
      </w:r>
      <w:r>
        <w:rPr>
          <w:spacing w:val="-9"/>
          <w:w w:val="105"/>
        </w:rPr>
        <w:t> </w:t>
      </w:r>
      <w:r>
        <w:rPr>
          <w:w w:val="105"/>
        </w:rPr>
        <w:t>providers,</w:t>
      </w:r>
      <w:r>
        <w:rPr>
          <w:spacing w:val="-9"/>
          <w:w w:val="105"/>
        </w:rPr>
        <w:t> </w:t>
      </w:r>
      <w:r>
        <w:rPr>
          <w:w w:val="105"/>
        </w:rPr>
        <w:t>presents</w:t>
      </w:r>
      <w:r>
        <w:rPr>
          <w:spacing w:val="-9"/>
          <w:w w:val="105"/>
        </w:rPr>
        <w:t> </w:t>
      </w:r>
      <w:r>
        <w:rPr>
          <w:w w:val="105"/>
        </w:rPr>
        <w:t>additional</w:t>
      </w:r>
      <w:r>
        <w:rPr>
          <w:spacing w:val="-9"/>
          <w:w w:val="105"/>
        </w:rPr>
        <w:t> </w:t>
      </w:r>
      <w:r>
        <w:rPr>
          <w:w w:val="105"/>
        </w:rPr>
        <w:t>operational</w:t>
      </w:r>
      <w:r>
        <w:rPr>
          <w:spacing w:val="-9"/>
          <w:w w:val="105"/>
        </w:rPr>
        <w:t> </w:t>
      </w:r>
      <w:r>
        <w:rPr>
          <w:w w:val="105"/>
        </w:rPr>
        <w:t>risk.</w:t>
      </w:r>
      <w:r>
        <w:rPr>
          <w:spacing w:val="25"/>
          <w:w w:val="105"/>
        </w:rPr>
        <w:t> </w:t>
      </w:r>
      <w:r>
        <w:rPr>
          <w:w w:val="105"/>
        </w:rPr>
        <w:t>Companies</w:t>
      </w:r>
      <w:r>
        <w:rPr>
          <w:spacing w:val="-9"/>
          <w:w w:val="105"/>
        </w:rPr>
        <w:t> </w:t>
      </w:r>
      <w:r>
        <w:rPr>
          <w:w w:val="105"/>
        </w:rPr>
        <w:t>that</w:t>
      </w:r>
      <w:r>
        <w:rPr>
          <w:spacing w:val="-9"/>
          <w:w w:val="105"/>
        </w:rPr>
        <w:t> </w:t>
      </w:r>
      <w:r>
        <w:rPr>
          <w:w w:val="105"/>
        </w:rPr>
        <w:t>provide</w:t>
      </w:r>
      <w:r>
        <w:rPr>
          <w:spacing w:val="-9"/>
          <w:w w:val="105"/>
        </w:rPr>
        <w:t> </w:t>
      </w:r>
      <w:r>
        <w:rPr>
          <w:w w:val="105"/>
        </w:rPr>
        <w:t>utilities,</w:t>
      </w:r>
      <w:r>
        <w:rPr>
          <w:spacing w:val="-9"/>
          <w:w w:val="105"/>
        </w:rPr>
        <w:t> </w:t>
      </w:r>
      <w:r>
        <w:rPr>
          <w:w w:val="105"/>
        </w:rPr>
        <w:t>water,</w:t>
      </w:r>
      <w:r>
        <w:rPr>
          <w:spacing w:val="-9"/>
          <w:w w:val="105"/>
        </w:rPr>
        <w:t> </w:t>
      </w:r>
      <w:r>
        <w:rPr>
          <w:w w:val="105"/>
        </w:rPr>
        <w:t>transportation,</w:t>
      </w:r>
      <w:r>
        <w:rPr>
          <w:spacing w:val="-9"/>
          <w:w w:val="105"/>
        </w:rPr>
        <w:t> </w:t>
      </w:r>
      <w:r>
        <w:rPr>
          <w:w w:val="105"/>
        </w:rPr>
        <w:t>natural</w:t>
      </w:r>
      <w:r>
        <w:rPr>
          <w:spacing w:val="-9"/>
          <w:w w:val="105"/>
        </w:rPr>
        <w:t> </w:t>
      </w:r>
      <w:r>
        <w:rPr>
          <w:w w:val="105"/>
        </w:rPr>
        <w:t>gas,</w:t>
      </w:r>
      <w:r>
        <w:rPr>
          <w:spacing w:val="-9"/>
          <w:w w:val="105"/>
        </w:rPr>
        <w:t> </w:t>
      </w:r>
      <w:r>
        <w:rPr>
          <w:w w:val="105"/>
        </w:rPr>
        <w:t>and</w:t>
      </w:r>
      <w:r>
        <w:rPr>
          <w:spacing w:val="-9"/>
          <w:w w:val="105"/>
        </w:rPr>
        <w:t> </w:t>
      </w:r>
      <w:r>
        <w:rPr>
          <w:w w:val="105"/>
        </w:rPr>
        <w:t>other</w:t>
      </w:r>
      <w:r>
        <w:rPr>
          <w:spacing w:val="-9"/>
          <w:w w:val="105"/>
        </w:rPr>
        <w:t> </w:t>
      </w:r>
      <w:r>
        <w:rPr>
          <w:w w:val="105"/>
        </w:rPr>
        <w:t>resources</w:t>
      </w:r>
      <w:r>
        <w:rPr>
          <w:spacing w:val="-9"/>
          <w:w w:val="105"/>
        </w:rPr>
        <w:t> </w:t>
      </w:r>
      <w:r>
        <w:rPr>
          <w:w w:val="105"/>
        </w:rPr>
        <w:t>and</w:t>
      </w:r>
      <w:r>
        <w:rPr>
          <w:spacing w:val="-9"/>
          <w:w w:val="105"/>
        </w:rPr>
        <w:t> </w:t>
      </w:r>
      <w:r>
        <w:rPr>
          <w:w w:val="105"/>
        </w:rPr>
        <w:t>services</w:t>
      </w:r>
      <w:r>
        <w:rPr>
          <w:spacing w:val="-9"/>
          <w:w w:val="105"/>
        </w:rPr>
        <w:t> </w:t>
      </w:r>
      <w:r>
        <w:rPr>
          <w:w w:val="105"/>
        </w:rPr>
        <w:t>across our</w:t>
      </w:r>
      <w:r>
        <w:rPr>
          <w:spacing w:val="-8"/>
          <w:w w:val="105"/>
        </w:rPr>
        <w:t> </w:t>
      </w:r>
      <w:r>
        <w:rPr>
          <w:w w:val="105"/>
        </w:rPr>
        <w:t>supply</w:t>
      </w:r>
      <w:r>
        <w:rPr>
          <w:spacing w:val="-8"/>
          <w:w w:val="105"/>
        </w:rPr>
        <w:t> </w:t>
      </w:r>
      <w:r>
        <w:rPr>
          <w:w w:val="105"/>
        </w:rPr>
        <w:t>chain,</w:t>
      </w:r>
      <w:r>
        <w:rPr>
          <w:spacing w:val="-8"/>
          <w:w w:val="105"/>
        </w:rPr>
        <w:t> </w:t>
      </w:r>
      <w:r>
        <w:rPr>
          <w:w w:val="105"/>
        </w:rPr>
        <w:t>are</w:t>
      </w:r>
      <w:r>
        <w:rPr>
          <w:spacing w:val="-8"/>
          <w:w w:val="105"/>
        </w:rPr>
        <w:t> </w:t>
      </w:r>
      <w:r>
        <w:rPr>
          <w:w w:val="105"/>
        </w:rPr>
        <w:t>critical</w:t>
      </w:r>
      <w:r>
        <w:rPr>
          <w:spacing w:val="-8"/>
          <w:w w:val="105"/>
        </w:rPr>
        <w:t> </w:t>
      </w:r>
      <w:r>
        <w:rPr>
          <w:w w:val="105"/>
        </w:rPr>
        <w:t>to</w:t>
      </w:r>
      <w:r>
        <w:rPr>
          <w:spacing w:val="-8"/>
          <w:w w:val="105"/>
        </w:rPr>
        <w:t> </w:t>
      </w:r>
      <w:r>
        <w:rPr>
          <w:w w:val="105"/>
        </w:rPr>
        <w:t>our</w:t>
      </w:r>
      <w:r>
        <w:rPr>
          <w:spacing w:val="-8"/>
          <w:w w:val="105"/>
        </w:rPr>
        <w:t> </w:t>
      </w:r>
      <w:r>
        <w:rPr>
          <w:w w:val="105"/>
        </w:rPr>
        <w:t>manufacturing</w:t>
      </w:r>
      <w:r>
        <w:rPr>
          <w:spacing w:val="-8"/>
          <w:w w:val="105"/>
        </w:rPr>
        <w:t> </w:t>
      </w:r>
      <w:r>
        <w:rPr>
          <w:w w:val="105"/>
        </w:rPr>
        <w:t>operations</w:t>
      </w:r>
      <w:r>
        <w:rPr>
          <w:spacing w:val="-8"/>
          <w:w w:val="105"/>
        </w:rPr>
        <w:t> </w:t>
      </w:r>
      <w:r>
        <w:rPr>
          <w:w w:val="105"/>
        </w:rPr>
        <w:t>and</w:t>
      </w:r>
      <w:r>
        <w:rPr>
          <w:spacing w:val="-8"/>
          <w:w w:val="105"/>
        </w:rPr>
        <w:t> </w:t>
      </w:r>
      <w:r>
        <w:rPr>
          <w:w w:val="105"/>
        </w:rPr>
        <w:t>are</w:t>
      </w:r>
      <w:r>
        <w:rPr>
          <w:spacing w:val="-8"/>
          <w:w w:val="105"/>
        </w:rPr>
        <w:t> </w:t>
      </w:r>
      <w:r>
        <w:rPr>
          <w:w w:val="105"/>
        </w:rPr>
        <w:t>vulnerable</w:t>
      </w:r>
      <w:r>
        <w:rPr>
          <w:spacing w:val="-8"/>
          <w:w w:val="105"/>
        </w:rPr>
        <w:t> </w:t>
      </w:r>
      <w:r>
        <w:rPr>
          <w:w w:val="105"/>
        </w:rPr>
        <w:t>to</w:t>
      </w:r>
      <w:r>
        <w:rPr>
          <w:spacing w:val="-8"/>
          <w:w w:val="105"/>
        </w:rPr>
        <w:t> </w:t>
      </w:r>
      <w:r>
        <w:rPr>
          <w:w w:val="105"/>
        </w:rPr>
        <w:t>cyber-attacks.</w:t>
      </w:r>
      <w:r>
        <w:rPr>
          <w:spacing w:val="-8"/>
          <w:w w:val="105"/>
        </w:rPr>
        <w:t> </w:t>
      </w:r>
      <w:r>
        <w:rPr>
          <w:w w:val="105"/>
        </w:rPr>
        <w:t>From</w:t>
      </w:r>
      <w:r>
        <w:rPr>
          <w:spacing w:val="-8"/>
          <w:w w:val="105"/>
        </w:rPr>
        <w:t> </w:t>
      </w:r>
      <w:r>
        <w:rPr>
          <w:w w:val="105"/>
        </w:rPr>
        <w:t>time</w:t>
      </w:r>
      <w:r>
        <w:rPr>
          <w:spacing w:val="-8"/>
          <w:w w:val="105"/>
        </w:rPr>
        <w:t> </w:t>
      </w:r>
      <w:r>
        <w:rPr>
          <w:w w:val="105"/>
        </w:rPr>
        <w:t>to</w:t>
      </w:r>
      <w:r>
        <w:rPr>
          <w:spacing w:val="-8"/>
          <w:w w:val="105"/>
        </w:rPr>
        <w:t> </w:t>
      </w:r>
      <w:r>
        <w:rPr>
          <w:w w:val="105"/>
        </w:rPr>
        <w:t>time,</w:t>
      </w:r>
      <w:r>
        <w:rPr>
          <w:spacing w:val="-8"/>
          <w:w w:val="105"/>
        </w:rPr>
        <w:t> </w:t>
      </w:r>
      <w:r>
        <w:rPr>
          <w:w w:val="105"/>
        </w:rPr>
        <w:t>both</w:t>
      </w:r>
      <w:r>
        <w:rPr>
          <w:spacing w:val="-8"/>
          <w:w w:val="105"/>
        </w:rPr>
        <w:t> </w:t>
      </w:r>
      <w:r>
        <w:rPr>
          <w:w w:val="105"/>
        </w:rPr>
        <w:t>we</w:t>
      </w:r>
      <w:r>
        <w:rPr>
          <w:spacing w:val="-8"/>
          <w:w w:val="105"/>
        </w:rPr>
        <w:t> </w:t>
      </w:r>
      <w:r>
        <w:rPr>
          <w:w w:val="105"/>
        </w:rPr>
        <w:t>and</w:t>
      </w:r>
      <w:r>
        <w:rPr>
          <w:spacing w:val="-8"/>
          <w:w w:val="105"/>
        </w:rPr>
        <w:t> </w:t>
      </w:r>
      <w:r>
        <w:rPr>
          <w:w w:val="105"/>
        </w:rPr>
        <w:t>certain</w:t>
      </w:r>
      <w:r>
        <w:rPr>
          <w:spacing w:val="-8"/>
          <w:w w:val="105"/>
        </w:rPr>
        <w:t> </w:t>
      </w:r>
      <w:r>
        <w:rPr>
          <w:w w:val="105"/>
        </w:rPr>
        <w:t>of</w:t>
      </w:r>
      <w:r>
        <w:rPr>
          <w:spacing w:val="-8"/>
          <w:w w:val="105"/>
        </w:rPr>
        <w:t> </w:t>
      </w:r>
      <w:r>
        <w:rPr>
          <w:w w:val="105"/>
        </w:rPr>
        <w:t>our</w:t>
      </w:r>
      <w:r>
        <w:rPr>
          <w:spacing w:val="-8"/>
          <w:w w:val="105"/>
        </w:rPr>
        <w:t> </w:t>
      </w:r>
      <w:r>
        <w:rPr>
          <w:w w:val="105"/>
        </w:rPr>
        <w:t>providers,</w:t>
      </w:r>
      <w:r>
        <w:rPr>
          <w:spacing w:val="-8"/>
          <w:w w:val="105"/>
        </w:rPr>
        <w:t> </w:t>
      </w:r>
      <w:r>
        <w:rPr>
          <w:w w:val="105"/>
        </w:rPr>
        <w:t>have</w:t>
      </w:r>
      <w:r>
        <w:rPr>
          <w:spacing w:val="-8"/>
          <w:w w:val="105"/>
        </w:rPr>
        <w:t> </w:t>
      </w:r>
      <w:r>
        <w:rPr>
          <w:w w:val="105"/>
        </w:rPr>
        <w:t>been</w:t>
      </w:r>
      <w:r>
        <w:rPr>
          <w:spacing w:val="-8"/>
          <w:w w:val="105"/>
        </w:rPr>
        <w:t> </w:t>
      </w:r>
      <w:r>
        <w:rPr>
          <w:w w:val="105"/>
        </w:rPr>
        <w:t>subject to</w:t>
      </w:r>
      <w:r>
        <w:rPr>
          <w:spacing w:val="-8"/>
          <w:w w:val="105"/>
        </w:rPr>
        <w:t> </w:t>
      </w:r>
      <w:r>
        <w:rPr>
          <w:w w:val="105"/>
        </w:rPr>
        <w:t>cyberattacks</w:t>
      </w:r>
      <w:r>
        <w:rPr>
          <w:spacing w:val="-8"/>
          <w:w w:val="105"/>
        </w:rPr>
        <w:t> </w:t>
      </w:r>
      <w:r>
        <w:rPr>
          <w:w w:val="105"/>
        </w:rPr>
        <w:t>and</w:t>
      </w:r>
      <w:r>
        <w:rPr>
          <w:spacing w:val="-8"/>
          <w:w w:val="105"/>
        </w:rPr>
        <w:t> </w:t>
      </w:r>
      <w:r>
        <w:rPr>
          <w:w w:val="105"/>
        </w:rPr>
        <w:t>security</w:t>
      </w:r>
      <w:r>
        <w:rPr>
          <w:spacing w:val="-8"/>
          <w:w w:val="105"/>
        </w:rPr>
        <w:t> </w:t>
      </w:r>
      <w:r>
        <w:rPr>
          <w:w w:val="105"/>
        </w:rPr>
        <w:t>incidents.</w:t>
      </w:r>
      <w:r>
        <w:rPr>
          <w:spacing w:val="27"/>
          <w:w w:val="105"/>
        </w:rPr>
        <w:t> </w:t>
      </w:r>
      <w:r>
        <w:rPr>
          <w:w w:val="105"/>
        </w:rPr>
        <w:t>We</w:t>
      </w:r>
      <w:r>
        <w:rPr>
          <w:spacing w:val="-8"/>
          <w:w w:val="105"/>
        </w:rPr>
        <w:t> </w:t>
      </w:r>
      <w:r>
        <w:rPr>
          <w:w w:val="105"/>
        </w:rPr>
        <w:t>may</w:t>
      </w:r>
      <w:r>
        <w:rPr>
          <w:spacing w:val="-8"/>
          <w:w w:val="105"/>
        </w:rPr>
        <w:t> </w:t>
      </w:r>
      <w:r>
        <w:rPr>
          <w:w w:val="105"/>
        </w:rPr>
        <w:t>be</w:t>
      </w:r>
      <w:r>
        <w:rPr>
          <w:spacing w:val="-10"/>
          <w:w w:val="105"/>
        </w:rPr>
        <w:t> </w:t>
      </w:r>
      <w:r>
        <w:rPr>
          <w:w w:val="105"/>
        </w:rPr>
        <w:t>unable</w:t>
      </w:r>
      <w:r>
        <w:rPr>
          <w:spacing w:val="-8"/>
          <w:w w:val="105"/>
        </w:rPr>
        <w:t> </w:t>
      </w:r>
      <w:r>
        <w:rPr>
          <w:w w:val="105"/>
        </w:rPr>
        <w:t>to</w:t>
      </w:r>
      <w:r>
        <w:rPr>
          <w:spacing w:val="-8"/>
          <w:w w:val="105"/>
        </w:rPr>
        <w:t> </w:t>
      </w:r>
      <w:r>
        <w:rPr>
          <w:w w:val="105"/>
        </w:rPr>
        <w:t>anticipate,</w:t>
      </w:r>
      <w:r>
        <w:rPr>
          <w:spacing w:val="-8"/>
          <w:w w:val="105"/>
        </w:rPr>
        <w:t> </w:t>
      </w:r>
      <w:r>
        <w:rPr>
          <w:w w:val="105"/>
        </w:rPr>
        <w:t>detect,</w:t>
      </w:r>
      <w:r>
        <w:rPr>
          <w:spacing w:val="-10"/>
          <w:w w:val="105"/>
        </w:rPr>
        <w:t> </w:t>
      </w:r>
      <w:r>
        <w:rPr>
          <w:w w:val="105"/>
        </w:rPr>
        <w:t>prevent</w:t>
      </w:r>
      <w:r>
        <w:rPr>
          <w:spacing w:val="-8"/>
          <w:w w:val="105"/>
        </w:rPr>
        <w:t> </w:t>
      </w:r>
      <w:r>
        <w:rPr>
          <w:w w:val="105"/>
        </w:rPr>
        <w:t>or</w:t>
      </w:r>
      <w:r>
        <w:rPr>
          <w:spacing w:val="-8"/>
          <w:w w:val="105"/>
        </w:rPr>
        <w:t> </w:t>
      </w:r>
      <w:r>
        <w:rPr>
          <w:w w:val="105"/>
        </w:rPr>
        <w:t>remediate</w:t>
      </w:r>
      <w:r>
        <w:rPr>
          <w:spacing w:val="-8"/>
          <w:w w:val="105"/>
        </w:rPr>
        <w:t> </w:t>
      </w:r>
      <w:r>
        <w:rPr>
          <w:w w:val="105"/>
        </w:rPr>
        <w:t>future</w:t>
      </w:r>
      <w:r>
        <w:rPr>
          <w:spacing w:val="-8"/>
          <w:w w:val="105"/>
        </w:rPr>
        <w:t> </w:t>
      </w:r>
      <w:r>
        <w:rPr>
          <w:w w:val="105"/>
        </w:rPr>
        <w:t>attacks,</w:t>
      </w:r>
      <w:r>
        <w:rPr>
          <w:spacing w:val="-8"/>
          <w:w w:val="105"/>
        </w:rPr>
        <w:t> </w:t>
      </w:r>
      <w:r>
        <w:rPr>
          <w:w w:val="105"/>
        </w:rPr>
        <w:t>particularly</w:t>
      </w:r>
      <w:r>
        <w:rPr>
          <w:spacing w:val="-8"/>
          <w:w w:val="105"/>
        </w:rPr>
        <w:t> </w:t>
      </w:r>
      <w:r>
        <w:rPr>
          <w:w w:val="105"/>
        </w:rPr>
        <w:t>as</w:t>
      </w:r>
      <w:r>
        <w:rPr>
          <w:spacing w:val="-8"/>
          <w:w w:val="105"/>
        </w:rPr>
        <w:t> </w:t>
      </w:r>
      <w:r>
        <w:rPr>
          <w:w w:val="105"/>
        </w:rPr>
        <w:t>attackers</w:t>
      </w:r>
      <w:r>
        <w:rPr>
          <w:spacing w:val="-8"/>
          <w:w w:val="105"/>
        </w:rPr>
        <w:t> </w:t>
      </w:r>
      <w:r>
        <w:rPr>
          <w:w w:val="105"/>
        </w:rPr>
        <w:t>are</w:t>
      </w:r>
      <w:r>
        <w:rPr>
          <w:spacing w:val="-10"/>
          <w:w w:val="105"/>
        </w:rPr>
        <w:t> </w:t>
      </w:r>
      <w:r>
        <w:rPr>
          <w:w w:val="105"/>
        </w:rPr>
        <w:t>becoming</w:t>
      </w:r>
      <w:r>
        <w:rPr>
          <w:spacing w:val="-8"/>
          <w:w w:val="105"/>
        </w:rPr>
        <w:t> </w:t>
      </w:r>
      <w:r>
        <w:rPr>
          <w:w w:val="105"/>
        </w:rPr>
        <w:t>more</w:t>
      </w:r>
      <w:r>
        <w:rPr>
          <w:spacing w:val="-8"/>
          <w:w w:val="105"/>
        </w:rPr>
        <w:t> </w:t>
      </w:r>
      <w:r>
        <w:rPr>
          <w:w w:val="105"/>
        </w:rPr>
        <w:t>sophisticated in their ability to circumvent controls and remove forensic evidence.</w:t>
      </w:r>
    </w:p>
    <w:p>
      <w:pPr>
        <w:pStyle w:val="BodyText"/>
        <w:spacing w:before="17"/>
      </w:pPr>
    </w:p>
    <w:p>
      <w:pPr>
        <w:pStyle w:val="BodyText"/>
        <w:ind w:left="48"/>
        <w:jc w:val="center"/>
      </w:pPr>
      <w:r>
        <w:rPr>
          <w:spacing w:val="-5"/>
          <w:w w:val="105"/>
        </w:rPr>
        <w:t>16</w:t>
      </w:r>
    </w:p>
    <w:p>
      <w:pPr>
        <w:pStyle w:val="BodyText"/>
        <w:rPr>
          <w:sz w:val="6"/>
        </w:rPr>
      </w:pPr>
      <w:r>
        <w:rPr/>
        <mc:AlternateContent>
          <mc:Choice Requires="wps">
            <w:drawing>
              <wp:anchor distT="0" distB="0" distL="0" distR="0" allowOverlap="1" layoutInCell="1" locked="0" behindDoc="1" simplePos="0" relativeHeight="487597056">
                <wp:simplePos x="0" y="0"/>
                <wp:positionH relativeFrom="page">
                  <wp:posOffset>226488</wp:posOffset>
                </wp:positionH>
                <wp:positionV relativeFrom="paragraph">
                  <wp:posOffset>59154</wp:posOffset>
                </wp:positionV>
                <wp:extent cx="7312659" cy="1651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7804pt;width:575.775087pt;height:1.273839pt;mso-position-horizontal-relative:page;mso-position-vertical-relative:paragraph;z-index:-15719424;mso-wrap-distance-left:0;mso-wrap-distance-right:0" id="docshape20"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BodyText"/>
        <w:spacing w:line="266" w:lineRule="auto"/>
        <w:ind w:left="156" w:right="117"/>
      </w:pPr>
      <w:r>
        <w:rPr>
          <w:w w:val="105"/>
        </w:rPr>
        <w:t>Any</w:t>
      </w:r>
      <w:r>
        <w:rPr>
          <w:spacing w:val="-9"/>
          <w:w w:val="105"/>
        </w:rPr>
        <w:t> </w:t>
      </w:r>
      <w:r>
        <w:rPr>
          <w:w w:val="105"/>
        </w:rPr>
        <w:t>significant</w:t>
      </w:r>
      <w:r>
        <w:rPr>
          <w:spacing w:val="-9"/>
          <w:w w:val="105"/>
        </w:rPr>
        <w:t> </w:t>
      </w:r>
      <w:r>
        <w:rPr>
          <w:w w:val="105"/>
        </w:rPr>
        <w:t>disruption,</w:t>
      </w:r>
      <w:r>
        <w:rPr>
          <w:spacing w:val="-9"/>
          <w:w w:val="105"/>
        </w:rPr>
        <w:t> </w:t>
      </w:r>
      <w:r>
        <w:rPr>
          <w:w w:val="105"/>
        </w:rPr>
        <w:t>breakdown,</w:t>
      </w:r>
      <w:r>
        <w:rPr>
          <w:spacing w:val="-9"/>
          <w:w w:val="105"/>
        </w:rPr>
        <w:t> </w:t>
      </w:r>
      <w:r>
        <w:rPr>
          <w:w w:val="105"/>
        </w:rPr>
        <w:t>intrusion,</w:t>
      </w:r>
      <w:r>
        <w:rPr>
          <w:spacing w:val="-9"/>
          <w:w w:val="105"/>
        </w:rPr>
        <w:t> </w:t>
      </w:r>
      <w:r>
        <w:rPr>
          <w:w w:val="105"/>
        </w:rPr>
        <w:t>interruption</w:t>
      </w:r>
      <w:r>
        <w:rPr>
          <w:spacing w:val="-9"/>
          <w:w w:val="105"/>
        </w:rPr>
        <w:t> </w:t>
      </w:r>
      <w:r>
        <w:rPr>
          <w:w w:val="105"/>
        </w:rPr>
        <w:t>or</w:t>
      </w:r>
      <w:r>
        <w:rPr>
          <w:spacing w:val="-9"/>
          <w:w w:val="105"/>
        </w:rPr>
        <w:t> </w:t>
      </w:r>
      <w:r>
        <w:rPr>
          <w:w w:val="105"/>
        </w:rPr>
        <w:t>corruption,</w:t>
      </w:r>
      <w:r>
        <w:rPr>
          <w:spacing w:val="-9"/>
          <w:w w:val="105"/>
        </w:rPr>
        <w:t> </w:t>
      </w:r>
      <w:r>
        <w:rPr>
          <w:w w:val="105"/>
        </w:rPr>
        <w:t>data</w:t>
      </w:r>
      <w:r>
        <w:rPr>
          <w:spacing w:val="-9"/>
          <w:w w:val="105"/>
        </w:rPr>
        <w:t> </w:t>
      </w:r>
      <w:r>
        <w:rPr>
          <w:w w:val="105"/>
        </w:rPr>
        <w:t>breach,</w:t>
      </w:r>
      <w:r>
        <w:rPr>
          <w:spacing w:val="-9"/>
          <w:w w:val="105"/>
        </w:rPr>
        <w:t> </w:t>
      </w:r>
      <w:r>
        <w:rPr>
          <w:w w:val="105"/>
        </w:rPr>
        <w:t>or</w:t>
      </w:r>
      <w:r>
        <w:rPr>
          <w:spacing w:val="-9"/>
          <w:w w:val="105"/>
        </w:rPr>
        <w:t> </w:t>
      </w:r>
      <w:r>
        <w:rPr>
          <w:w w:val="105"/>
        </w:rPr>
        <w:t>compromise</w:t>
      </w:r>
      <w:r>
        <w:rPr>
          <w:spacing w:val="-9"/>
          <w:w w:val="105"/>
        </w:rPr>
        <w:t> </w:t>
      </w:r>
      <w:r>
        <w:rPr>
          <w:w w:val="105"/>
        </w:rPr>
        <w:t>to</w:t>
      </w:r>
      <w:r>
        <w:rPr>
          <w:spacing w:val="-9"/>
          <w:w w:val="105"/>
        </w:rPr>
        <w:t> </w:t>
      </w:r>
      <w:r>
        <w:rPr>
          <w:w w:val="105"/>
        </w:rPr>
        <w:t>the</w:t>
      </w:r>
      <w:r>
        <w:rPr>
          <w:spacing w:val="-9"/>
          <w:w w:val="105"/>
        </w:rPr>
        <w:t> </w:t>
      </w:r>
      <w:r>
        <w:rPr>
          <w:w w:val="105"/>
        </w:rPr>
        <w:t>accessibility,</w:t>
      </w:r>
      <w:r>
        <w:rPr>
          <w:spacing w:val="-9"/>
          <w:w w:val="105"/>
        </w:rPr>
        <w:t> </w:t>
      </w:r>
      <w:r>
        <w:rPr>
          <w:w w:val="105"/>
        </w:rPr>
        <w:t>security</w:t>
      </w:r>
      <w:r>
        <w:rPr>
          <w:spacing w:val="-9"/>
          <w:w w:val="105"/>
        </w:rPr>
        <w:t> </w:t>
      </w:r>
      <w:r>
        <w:rPr>
          <w:w w:val="105"/>
        </w:rPr>
        <w:t>or</w:t>
      </w:r>
      <w:r>
        <w:rPr>
          <w:spacing w:val="-9"/>
          <w:w w:val="105"/>
        </w:rPr>
        <w:t> </w:t>
      </w:r>
      <w:r>
        <w:rPr>
          <w:w w:val="105"/>
        </w:rPr>
        <w:t>integrity</w:t>
      </w:r>
      <w:r>
        <w:rPr>
          <w:spacing w:val="-9"/>
          <w:w w:val="105"/>
        </w:rPr>
        <w:t> </w:t>
      </w:r>
      <w:r>
        <w:rPr>
          <w:w w:val="105"/>
        </w:rPr>
        <w:t>of</w:t>
      </w:r>
      <w:r>
        <w:rPr>
          <w:spacing w:val="-9"/>
          <w:w w:val="105"/>
        </w:rPr>
        <w:t> </w:t>
      </w:r>
      <w:r>
        <w:rPr>
          <w:w w:val="105"/>
        </w:rPr>
        <w:t>our</w:t>
      </w:r>
      <w:r>
        <w:rPr>
          <w:spacing w:val="-9"/>
          <w:w w:val="105"/>
        </w:rPr>
        <w:t> </w:t>
      </w:r>
      <w:r>
        <w:rPr>
          <w:w w:val="105"/>
        </w:rPr>
        <w:t>or</w:t>
      </w:r>
      <w:r>
        <w:rPr>
          <w:spacing w:val="-9"/>
          <w:w w:val="105"/>
        </w:rPr>
        <w:t> </w:t>
      </w:r>
      <w:r>
        <w:rPr>
          <w:w w:val="105"/>
        </w:rPr>
        <w:t>our</w:t>
      </w:r>
      <w:r>
        <w:rPr>
          <w:spacing w:val="-9"/>
          <w:w w:val="105"/>
        </w:rPr>
        <w:t> </w:t>
      </w:r>
      <w:r>
        <w:rPr>
          <w:w w:val="105"/>
        </w:rPr>
        <w:t>providers’</w:t>
      </w:r>
      <w:r>
        <w:rPr>
          <w:spacing w:val="-9"/>
          <w:w w:val="105"/>
        </w:rPr>
        <w:t> </w:t>
      </w:r>
      <w:r>
        <w:rPr>
          <w:w w:val="105"/>
        </w:rPr>
        <w:t>IT systems,</w:t>
      </w:r>
      <w:r>
        <w:rPr>
          <w:spacing w:val="-8"/>
          <w:w w:val="105"/>
        </w:rPr>
        <w:t> </w:t>
      </w:r>
      <w:r>
        <w:rPr>
          <w:w w:val="105"/>
        </w:rPr>
        <w:t>or</w:t>
      </w:r>
      <w:r>
        <w:rPr>
          <w:spacing w:val="-8"/>
          <w:w w:val="105"/>
        </w:rPr>
        <w:t> </w:t>
      </w:r>
      <w:r>
        <w:rPr>
          <w:w w:val="105"/>
        </w:rPr>
        <w:t>the</w:t>
      </w:r>
      <w:r>
        <w:rPr>
          <w:spacing w:val="-8"/>
          <w:w w:val="105"/>
        </w:rPr>
        <w:t> </w:t>
      </w:r>
      <w:r>
        <w:rPr>
          <w:w w:val="105"/>
        </w:rPr>
        <w:t>misappropriation</w:t>
      </w:r>
      <w:r>
        <w:rPr>
          <w:spacing w:val="-8"/>
          <w:w w:val="105"/>
        </w:rPr>
        <w:t> </w:t>
      </w:r>
      <w:r>
        <w:rPr>
          <w:w w:val="105"/>
        </w:rPr>
        <w:t>or</w:t>
      </w:r>
      <w:r>
        <w:rPr>
          <w:spacing w:val="-8"/>
          <w:w w:val="105"/>
        </w:rPr>
        <w:t> </w:t>
      </w:r>
      <w:r>
        <w:rPr>
          <w:w w:val="105"/>
        </w:rPr>
        <w:t>disclosure</w:t>
      </w:r>
      <w:r>
        <w:rPr>
          <w:spacing w:val="-8"/>
          <w:w w:val="105"/>
        </w:rPr>
        <w:t> </w:t>
      </w:r>
      <w:r>
        <w:rPr>
          <w:w w:val="105"/>
        </w:rPr>
        <w:t>of</w:t>
      </w:r>
      <w:r>
        <w:rPr>
          <w:spacing w:val="-8"/>
          <w:w w:val="105"/>
        </w:rPr>
        <w:t> </w:t>
      </w:r>
      <w:r>
        <w:rPr>
          <w:w w:val="105"/>
        </w:rPr>
        <w:t>any</w:t>
      </w:r>
      <w:r>
        <w:rPr>
          <w:spacing w:val="-8"/>
          <w:w w:val="105"/>
        </w:rPr>
        <w:t> </w:t>
      </w:r>
      <w:r>
        <w:rPr>
          <w:w w:val="105"/>
        </w:rPr>
        <w:t>confidential,</w:t>
      </w:r>
      <w:r>
        <w:rPr>
          <w:spacing w:val="-8"/>
          <w:w w:val="105"/>
        </w:rPr>
        <w:t> </w:t>
      </w:r>
      <w:r>
        <w:rPr>
          <w:w w:val="105"/>
        </w:rPr>
        <w:t>proprietary</w:t>
      </w:r>
      <w:r>
        <w:rPr>
          <w:spacing w:val="-8"/>
          <w:w w:val="105"/>
        </w:rPr>
        <w:t> </w:t>
      </w:r>
      <w:r>
        <w:rPr>
          <w:w w:val="105"/>
        </w:rPr>
        <w:t>or</w:t>
      </w:r>
      <w:r>
        <w:rPr>
          <w:spacing w:val="-8"/>
          <w:w w:val="105"/>
        </w:rPr>
        <w:t> </w:t>
      </w:r>
      <w:r>
        <w:rPr>
          <w:w w:val="105"/>
        </w:rPr>
        <w:t>personally</w:t>
      </w:r>
      <w:r>
        <w:rPr>
          <w:spacing w:val="-8"/>
          <w:w w:val="105"/>
        </w:rPr>
        <w:t> </w:t>
      </w:r>
      <w:r>
        <w:rPr>
          <w:w w:val="105"/>
        </w:rPr>
        <w:t>identifiable</w:t>
      </w:r>
      <w:r>
        <w:rPr>
          <w:spacing w:val="-8"/>
          <w:w w:val="105"/>
        </w:rPr>
        <w:t> </w:t>
      </w:r>
      <w:r>
        <w:rPr>
          <w:w w:val="105"/>
        </w:rPr>
        <w:t>information,</w:t>
      </w:r>
      <w:r>
        <w:rPr>
          <w:spacing w:val="-8"/>
          <w:w w:val="105"/>
        </w:rPr>
        <w:t> </w:t>
      </w:r>
      <w:r>
        <w:rPr>
          <w:w w:val="105"/>
        </w:rPr>
        <w:t>could</w:t>
      </w:r>
      <w:r>
        <w:rPr>
          <w:spacing w:val="-8"/>
          <w:w w:val="105"/>
        </w:rPr>
        <w:t> </w:t>
      </w:r>
      <w:r>
        <w:rPr>
          <w:w w:val="105"/>
        </w:rPr>
        <w:t>result</w:t>
      </w:r>
      <w:r>
        <w:rPr>
          <w:spacing w:val="-8"/>
          <w:w w:val="105"/>
        </w:rPr>
        <w:t> </w:t>
      </w:r>
      <w:r>
        <w:rPr>
          <w:w w:val="105"/>
        </w:rPr>
        <w:t>in</w:t>
      </w:r>
      <w:r>
        <w:rPr>
          <w:spacing w:val="-8"/>
          <w:w w:val="105"/>
        </w:rPr>
        <w:t> </w:t>
      </w:r>
      <w:r>
        <w:rPr>
          <w:w w:val="105"/>
        </w:rPr>
        <w:t>the</w:t>
      </w:r>
      <w:r>
        <w:rPr>
          <w:spacing w:val="-8"/>
          <w:w w:val="105"/>
        </w:rPr>
        <w:t> </w:t>
      </w:r>
      <w:r>
        <w:rPr>
          <w:w w:val="105"/>
        </w:rPr>
        <w:t>loss</w:t>
      </w:r>
      <w:r>
        <w:rPr>
          <w:spacing w:val="-8"/>
          <w:w w:val="105"/>
        </w:rPr>
        <w:t> </w:t>
      </w:r>
      <w:r>
        <w:rPr>
          <w:w w:val="105"/>
        </w:rPr>
        <w:t>of</w:t>
      </w:r>
      <w:r>
        <w:rPr>
          <w:spacing w:val="-8"/>
          <w:w w:val="105"/>
        </w:rPr>
        <w:t> </w:t>
      </w:r>
      <w:r>
        <w:rPr>
          <w:w w:val="105"/>
        </w:rPr>
        <w:t>data</w:t>
      </w:r>
      <w:r>
        <w:rPr>
          <w:spacing w:val="-8"/>
          <w:w w:val="105"/>
        </w:rPr>
        <w:t> </w:t>
      </w:r>
      <w:r>
        <w:rPr>
          <w:w w:val="105"/>
        </w:rPr>
        <w:t>or</w:t>
      </w:r>
      <w:r>
        <w:rPr>
          <w:spacing w:val="-8"/>
          <w:w w:val="105"/>
        </w:rPr>
        <w:t> </w:t>
      </w:r>
      <w:r>
        <w:rPr>
          <w:w w:val="105"/>
        </w:rPr>
        <w:t>intellectual</w:t>
      </w:r>
      <w:r>
        <w:rPr>
          <w:spacing w:val="-8"/>
          <w:w w:val="105"/>
        </w:rPr>
        <w:t> </w:t>
      </w:r>
      <w:r>
        <w:rPr>
          <w:w w:val="105"/>
        </w:rPr>
        <w:t>property, equipment</w:t>
      </w:r>
      <w:r>
        <w:rPr>
          <w:spacing w:val="-8"/>
          <w:w w:val="105"/>
        </w:rPr>
        <w:t> </w:t>
      </w:r>
      <w:r>
        <w:rPr>
          <w:w w:val="105"/>
        </w:rPr>
        <w:t>or</w:t>
      </w:r>
      <w:r>
        <w:rPr>
          <w:spacing w:val="-8"/>
          <w:w w:val="105"/>
        </w:rPr>
        <w:t> </w:t>
      </w:r>
      <w:r>
        <w:rPr>
          <w:w w:val="105"/>
        </w:rPr>
        <w:t>systems</w:t>
      </w:r>
      <w:r>
        <w:rPr>
          <w:spacing w:val="-8"/>
          <w:w w:val="105"/>
        </w:rPr>
        <w:t> </w:t>
      </w:r>
      <w:r>
        <w:rPr>
          <w:w w:val="105"/>
        </w:rPr>
        <w:t>damage,</w:t>
      </w:r>
      <w:r>
        <w:rPr>
          <w:spacing w:val="-8"/>
          <w:w w:val="105"/>
        </w:rPr>
        <w:t> </w:t>
      </w:r>
      <w:r>
        <w:rPr>
          <w:w w:val="105"/>
        </w:rPr>
        <w:t>downtime,</w:t>
      </w:r>
      <w:r>
        <w:rPr>
          <w:spacing w:val="-8"/>
          <w:w w:val="105"/>
        </w:rPr>
        <w:t> </w:t>
      </w:r>
      <w:r>
        <w:rPr>
          <w:w w:val="105"/>
        </w:rPr>
        <w:t>safety</w:t>
      </w:r>
      <w:r>
        <w:rPr>
          <w:spacing w:val="-8"/>
          <w:w w:val="105"/>
        </w:rPr>
        <w:t> </w:t>
      </w:r>
      <w:r>
        <w:rPr>
          <w:w w:val="105"/>
        </w:rPr>
        <w:t>related</w:t>
      </w:r>
      <w:r>
        <w:rPr>
          <w:spacing w:val="-8"/>
          <w:w w:val="105"/>
        </w:rPr>
        <w:t> </w:t>
      </w:r>
      <w:r>
        <w:rPr>
          <w:w w:val="105"/>
        </w:rPr>
        <w:t>issues</w:t>
      </w:r>
      <w:r>
        <w:rPr>
          <w:spacing w:val="-8"/>
          <w:w w:val="105"/>
        </w:rPr>
        <w:t> </w:t>
      </w:r>
      <w:r>
        <w:rPr>
          <w:w w:val="105"/>
        </w:rPr>
        <w:t>and</w:t>
      </w:r>
      <w:r>
        <w:rPr>
          <w:spacing w:val="-8"/>
          <w:w w:val="105"/>
        </w:rPr>
        <w:t> </w:t>
      </w:r>
      <w:r>
        <w:rPr>
          <w:w w:val="105"/>
        </w:rPr>
        <w:t>could</w:t>
      </w:r>
      <w:r>
        <w:rPr>
          <w:spacing w:val="-8"/>
          <w:w w:val="105"/>
        </w:rPr>
        <w:t> </w:t>
      </w:r>
      <w:r>
        <w:rPr>
          <w:w w:val="105"/>
        </w:rPr>
        <w:t>have</w:t>
      </w:r>
      <w:r>
        <w:rPr>
          <w:spacing w:val="-8"/>
          <w:w w:val="105"/>
        </w:rPr>
        <w:t> </w:t>
      </w:r>
      <w:r>
        <w:rPr>
          <w:w w:val="105"/>
        </w:rPr>
        <w:t>a</w:t>
      </w:r>
      <w:r>
        <w:rPr>
          <w:spacing w:val="-8"/>
          <w:w w:val="105"/>
        </w:rPr>
        <w:t> </w:t>
      </w:r>
      <w:r>
        <w:rPr>
          <w:w w:val="105"/>
        </w:rPr>
        <w:t>material</w:t>
      </w:r>
      <w:r>
        <w:rPr>
          <w:spacing w:val="-8"/>
          <w:w w:val="105"/>
        </w:rPr>
        <w:t> </w:t>
      </w:r>
      <w:r>
        <w:rPr>
          <w:w w:val="105"/>
        </w:rPr>
        <w:t>adverse</w:t>
      </w:r>
      <w:r>
        <w:rPr>
          <w:spacing w:val="-8"/>
          <w:w w:val="105"/>
        </w:rPr>
        <w:t> </w:t>
      </w:r>
      <w:r>
        <w:rPr>
          <w:w w:val="105"/>
        </w:rPr>
        <w:t>effect</w:t>
      </w:r>
      <w:r>
        <w:rPr>
          <w:spacing w:val="-8"/>
          <w:w w:val="105"/>
        </w:rPr>
        <w:t> </w:t>
      </w:r>
      <w:r>
        <w:rPr>
          <w:w w:val="105"/>
        </w:rPr>
        <w:t>on</w:t>
      </w:r>
      <w:r>
        <w:rPr>
          <w:spacing w:val="-8"/>
          <w:w w:val="105"/>
        </w:rPr>
        <w:t> </w:t>
      </w:r>
      <w:r>
        <w:rPr>
          <w:w w:val="105"/>
        </w:rPr>
        <w:t>our</w:t>
      </w:r>
      <w:r>
        <w:rPr>
          <w:spacing w:val="-8"/>
          <w:w w:val="105"/>
        </w:rPr>
        <w:t> </w:t>
      </w:r>
      <w:r>
        <w:rPr>
          <w:w w:val="105"/>
        </w:rPr>
        <w:t>business,</w:t>
      </w:r>
      <w:r>
        <w:rPr>
          <w:spacing w:val="-8"/>
          <w:w w:val="105"/>
        </w:rPr>
        <w:t> </w:t>
      </w:r>
      <w:r>
        <w:rPr>
          <w:w w:val="105"/>
        </w:rPr>
        <w:t>including</w:t>
      </w:r>
      <w:r>
        <w:rPr>
          <w:spacing w:val="-8"/>
          <w:w w:val="105"/>
        </w:rPr>
        <w:t> </w:t>
      </w:r>
      <w:r>
        <w:rPr>
          <w:w w:val="105"/>
        </w:rPr>
        <w:t>by</w:t>
      </w:r>
      <w:r>
        <w:rPr>
          <w:spacing w:val="-8"/>
          <w:w w:val="105"/>
        </w:rPr>
        <w:t> </w:t>
      </w:r>
      <w:r>
        <w:rPr>
          <w:w w:val="105"/>
        </w:rPr>
        <w:t>harming</w:t>
      </w:r>
      <w:r>
        <w:rPr>
          <w:spacing w:val="-8"/>
          <w:w w:val="105"/>
        </w:rPr>
        <w:t> </w:t>
      </w:r>
      <w:r>
        <w:rPr>
          <w:w w:val="105"/>
        </w:rPr>
        <w:t>our</w:t>
      </w:r>
      <w:r>
        <w:rPr>
          <w:spacing w:val="-6"/>
          <w:w w:val="105"/>
        </w:rPr>
        <w:t> </w:t>
      </w:r>
      <w:r>
        <w:rPr>
          <w:w w:val="105"/>
        </w:rPr>
        <w:t>competitive</w:t>
      </w:r>
      <w:r>
        <w:rPr>
          <w:spacing w:val="-8"/>
          <w:w w:val="105"/>
        </w:rPr>
        <w:t> </w:t>
      </w:r>
      <w:r>
        <w:rPr>
          <w:w w:val="105"/>
        </w:rPr>
        <w:t>position</w:t>
      </w:r>
      <w:r>
        <w:rPr>
          <w:spacing w:val="-8"/>
          <w:w w:val="105"/>
        </w:rPr>
        <w:t> </w:t>
      </w:r>
      <w:r>
        <w:rPr>
          <w:w w:val="105"/>
        </w:rPr>
        <w:t>and reputation,</w:t>
      </w:r>
      <w:r>
        <w:rPr>
          <w:spacing w:val="-1"/>
          <w:w w:val="105"/>
        </w:rPr>
        <w:t> </w:t>
      </w:r>
      <w:r>
        <w:rPr>
          <w:w w:val="105"/>
        </w:rPr>
        <w:t>disrupting</w:t>
      </w:r>
      <w:r>
        <w:rPr>
          <w:spacing w:val="-1"/>
          <w:w w:val="105"/>
        </w:rPr>
        <w:t> </w:t>
      </w:r>
      <w:r>
        <w:rPr>
          <w:w w:val="105"/>
        </w:rPr>
        <w:t>our</w:t>
      </w:r>
      <w:r>
        <w:rPr>
          <w:spacing w:val="-1"/>
          <w:w w:val="105"/>
        </w:rPr>
        <w:t> </w:t>
      </w:r>
      <w:r>
        <w:rPr>
          <w:w w:val="105"/>
        </w:rPr>
        <w:t>manufacturing,</w:t>
      </w:r>
      <w:r>
        <w:rPr>
          <w:spacing w:val="-1"/>
          <w:w w:val="105"/>
        </w:rPr>
        <w:t> </w:t>
      </w:r>
      <w:r>
        <w:rPr>
          <w:w w:val="105"/>
        </w:rPr>
        <w:t>reducing</w:t>
      </w:r>
      <w:r>
        <w:rPr>
          <w:spacing w:val="-1"/>
          <w:w w:val="105"/>
        </w:rPr>
        <w:t> </w:t>
      </w:r>
      <w:r>
        <w:rPr>
          <w:w w:val="105"/>
        </w:rPr>
        <w:t>the</w:t>
      </w:r>
      <w:r>
        <w:rPr>
          <w:spacing w:val="-1"/>
          <w:w w:val="105"/>
        </w:rPr>
        <w:t> </w:t>
      </w:r>
      <w:r>
        <w:rPr>
          <w:w w:val="105"/>
        </w:rPr>
        <w:t>value</w:t>
      </w:r>
      <w:r>
        <w:rPr>
          <w:spacing w:val="-1"/>
          <w:w w:val="105"/>
        </w:rPr>
        <w:t> </w:t>
      </w:r>
      <w:r>
        <w:rPr>
          <w:w w:val="105"/>
        </w:rPr>
        <w:t>of</w:t>
      </w:r>
      <w:r>
        <w:rPr>
          <w:spacing w:val="-1"/>
          <w:w w:val="105"/>
        </w:rPr>
        <w:t> </w:t>
      </w:r>
      <w:r>
        <w:rPr>
          <w:w w:val="105"/>
        </w:rPr>
        <w:t>our</w:t>
      </w:r>
      <w:r>
        <w:rPr>
          <w:spacing w:val="-1"/>
          <w:w w:val="105"/>
        </w:rPr>
        <w:t> </w:t>
      </w:r>
      <w:r>
        <w:rPr>
          <w:w w:val="105"/>
        </w:rPr>
        <w:t>investment</w:t>
      </w:r>
      <w:r>
        <w:rPr>
          <w:spacing w:val="-1"/>
          <w:w w:val="105"/>
        </w:rPr>
        <w:t> </w:t>
      </w:r>
      <w:r>
        <w:rPr>
          <w:w w:val="105"/>
        </w:rPr>
        <w:t>in</w:t>
      </w:r>
      <w:r>
        <w:rPr>
          <w:spacing w:val="-1"/>
          <w:w w:val="105"/>
        </w:rPr>
        <w:t> </w:t>
      </w:r>
      <w:r>
        <w:rPr>
          <w:w w:val="105"/>
        </w:rPr>
        <w:t>research</w:t>
      </w:r>
      <w:r>
        <w:rPr>
          <w:spacing w:val="-1"/>
          <w:w w:val="105"/>
        </w:rPr>
        <w:t> </w:t>
      </w:r>
      <w:r>
        <w:rPr>
          <w:w w:val="105"/>
        </w:rPr>
        <w:t>and</w:t>
      </w:r>
      <w:r>
        <w:rPr>
          <w:spacing w:val="-1"/>
          <w:w w:val="105"/>
        </w:rPr>
        <w:t> </w:t>
      </w:r>
      <w:r>
        <w:rPr>
          <w:w w:val="105"/>
        </w:rPr>
        <w:t>development</w:t>
      </w:r>
      <w:r>
        <w:rPr>
          <w:spacing w:val="-1"/>
          <w:w w:val="105"/>
        </w:rPr>
        <w:t> </w:t>
      </w:r>
      <w:r>
        <w:rPr>
          <w:w w:val="105"/>
        </w:rPr>
        <w:t>and</w:t>
      </w:r>
      <w:r>
        <w:rPr>
          <w:spacing w:val="-1"/>
          <w:w w:val="105"/>
        </w:rPr>
        <w:t> </w:t>
      </w:r>
      <w:r>
        <w:rPr>
          <w:w w:val="105"/>
        </w:rPr>
        <w:t>other</w:t>
      </w:r>
      <w:r>
        <w:rPr>
          <w:spacing w:val="-1"/>
          <w:w w:val="105"/>
        </w:rPr>
        <w:t> </w:t>
      </w:r>
      <w:r>
        <w:rPr>
          <w:w w:val="105"/>
        </w:rPr>
        <w:t>strategic</w:t>
      </w:r>
      <w:r>
        <w:rPr>
          <w:spacing w:val="-1"/>
          <w:w w:val="105"/>
        </w:rPr>
        <w:t> </w:t>
      </w:r>
      <w:r>
        <w:rPr>
          <w:w w:val="105"/>
        </w:rPr>
        <w:t>initiatives,</w:t>
      </w:r>
      <w:r>
        <w:rPr>
          <w:spacing w:val="-1"/>
          <w:w w:val="105"/>
        </w:rPr>
        <w:t> </w:t>
      </w:r>
      <w:r>
        <w:rPr>
          <w:w w:val="105"/>
        </w:rPr>
        <w:t>impairing</w:t>
      </w:r>
      <w:r>
        <w:rPr>
          <w:spacing w:val="-1"/>
          <w:w w:val="105"/>
        </w:rPr>
        <w:t> </w:t>
      </w:r>
      <w:r>
        <w:rPr>
          <w:w w:val="105"/>
        </w:rPr>
        <w:t>our</w:t>
      </w:r>
      <w:r>
        <w:rPr>
          <w:spacing w:val="-1"/>
          <w:w w:val="105"/>
        </w:rPr>
        <w:t> </w:t>
      </w:r>
      <w:r>
        <w:rPr>
          <w:w w:val="105"/>
        </w:rPr>
        <w:t>ability</w:t>
      </w:r>
      <w:r>
        <w:rPr>
          <w:spacing w:val="-1"/>
          <w:w w:val="105"/>
        </w:rPr>
        <w:t> </w:t>
      </w:r>
      <w:r>
        <w:rPr>
          <w:w w:val="105"/>
        </w:rPr>
        <w:t>to</w:t>
      </w:r>
      <w:r>
        <w:rPr>
          <w:spacing w:val="-1"/>
          <w:w w:val="105"/>
        </w:rPr>
        <w:t> </w:t>
      </w:r>
      <w:r>
        <w:rPr>
          <w:w w:val="105"/>
        </w:rPr>
        <w:t>access suppliers,</w:t>
      </w:r>
      <w:r>
        <w:rPr>
          <w:spacing w:val="-2"/>
          <w:w w:val="105"/>
        </w:rPr>
        <w:t> </w:t>
      </w:r>
      <w:r>
        <w:rPr>
          <w:w w:val="105"/>
        </w:rPr>
        <w:t>contract</w:t>
      </w:r>
      <w:r>
        <w:rPr>
          <w:spacing w:val="-2"/>
          <w:w w:val="105"/>
        </w:rPr>
        <w:t> </w:t>
      </w:r>
      <w:r>
        <w:rPr>
          <w:w w:val="105"/>
        </w:rPr>
        <w:t>manufacturers,</w:t>
      </w:r>
      <w:r>
        <w:rPr>
          <w:spacing w:val="-2"/>
          <w:w w:val="105"/>
        </w:rPr>
        <w:t> </w:t>
      </w:r>
      <w:r>
        <w:rPr>
          <w:w w:val="105"/>
        </w:rPr>
        <w:t>customers,</w:t>
      </w:r>
      <w:r>
        <w:rPr>
          <w:spacing w:val="-2"/>
          <w:w w:val="105"/>
        </w:rPr>
        <w:t> </w:t>
      </w:r>
      <w:r>
        <w:rPr>
          <w:w w:val="105"/>
        </w:rPr>
        <w:t>and cloud-based</w:t>
      </w:r>
      <w:r>
        <w:rPr>
          <w:spacing w:val="-2"/>
          <w:w w:val="105"/>
        </w:rPr>
        <w:t> </w:t>
      </w:r>
      <w:r>
        <w:rPr>
          <w:w w:val="105"/>
        </w:rPr>
        <w:t>services,</w:t>
      </w:r>
      <w:r>
        <w:rPr>
          <w:spacing w:val="-2"/>
          <w:w w:val="105"/>
        </w:rPr>
        <w:t> </w:t>
      </w:r>
      <w:r>
        <w:rPr>
          <w:w w:val="105"/>
        </w:rPr>
        <w:t>subjecting</w:t>
      </w:r>
      <w:r>
        <w:rPr>
          <w:spacing w:val="-2"/>
          <w:w w:val="105"/>
        </w:rPr>
        <w:t> </w:t>
      </w:r>
      <w:r>
        <w:rPr>
          <w:w w:val="105"/>
        </w:rPr>
        <w:t>us</w:t>
      </w:r>
      <w:r>
        <w:rPr>
          <w:spacing w:val="-2"/>
          <w:w w:val="105"/>
        </w:rPr>
        <w:t> </w:t>
      </w:r>
      <w:r>
        <w:rPr>
          <w:w w:val="105"/>
        </w:rPr>
        <w:t>to</w:t>
      </w:r>
      <w:r>
        <w:rPr>
          <w:spacing w:val="-2"/>
          <w:w w:val="105"/>
        </w:rPr>
        <w:t> </w:t>
      </w:r>
      <w:r>
        <w:rPr>
          <w:w w:val="105"/>
        </w:rPr>
        <w:t>litigation</w:t>
      </w:r>
      <w:r>
        <w:rPr>
          <w:spacing w:val="-2"/>
          <w:w w:val="105"/>
        </w:rPr>
        <w:t> </w:t>
      </w:r>
      <w:r>
        <w:rPr>
          <w:w w:val="105"/>
        </w:rPr>
        <w:t>or</w:t>
      </w:r>
      <w:r>
        <w:rPr>
          <w:spacing w:val="-2"/>
          <w:w w:val="105"/>
        </w:rPr>
        <w:t> </w:t>
      </w:r>
      <w:r>
        <w:rPr>
          <w:w w:val="105"/>
        </w:rPr>
        <w:t>regulatory</w:t>
      </w:r>
      <w:r>
        <w:rPr>
          <w:spacing w:val="-2"/>
          <w:w w:val="105"/>
        </w:rPr>
        <w:t> </w:t>
      </w:r>
      <w:r>
        <w:rPr>
          <w:w w:val="105"/>
        </w:rPr>
        <w:t>investigations</w:t>
      </w:r>
      <w:r>
        <w:rPr>
          <w:spacing w:val="-2"/>
          <w:w w:val="105"/>
        </w:rPr>
        <w:t> </w:t>
      </w:r>
      <w:r>
        <w:rPr>
          <w:w w:val="105"/>
        </w:rPr>
        <w:t>or</w:t>
      </w:r>
      <w:r>
        <w:rPr>
          <w:spacing w:val="-2"/>
          <w:w w:val="105"/>
        </w:rPr>
        <w:t> </w:t>
      </w:r>
      <w:r>
        <w:rPr>
          <w:w w:val="105"/>
        </w:rPr>
        <w:t>fines,</w:t>
      </w:r>
      <w:r>
        <w:rPr>
          <w:spacing w:val="-2"/>
          <w:w w:val="105"/>
        </w:rPr>
        <w:t> </w:t>
      </w:r>
      <w:r>
        <w:rPr>
          <w:w w:val="105"/>
        </w:rPr>
        <w:t>increasing</w:t>
      </w:r>
      <w:r>
        <w:rPr>
          <w:spacing w:val="-2"/>
          <w:w w:val="105"/>
        </w:rPr>
        <w:t> </w:t>
      </w:r>
      <w:r>
        <w:rPr>
          <w:w w:val="105"/>
        </w:rPr>
        <w:t>the</w:t>
      </w:r>
      <w:r>
        <w:rPr>
          <w:spacing w:val="-2"/>
          <w:w w:val="105"/>
        </w:rPr>
        <w:t> </w:t>
      </w:r>
      <w:r>
        <w:rPr>
          <w:w w:val="105"/>
        </w:rPr>
        <w:t>costs</w:t>
      </w:r>
      <w:r>
        <w:rPr>
          <w:spacing w:val="-2"/>
          <w:w w:val="105"/>
        </w:rPr>
        <w:t> </w:t>
      </w:r>
      <w:r>
        <w:rPr>
          <w:w w:val="105"/>
        </w:rPr>
        <w:t>of compliance and</w:t>
      </w:r>
      <w:r>
        <w:rPr>
          <w:spacing w:val="-2"/>
          <w:w w:val="105"/>
        </w:rPr>
        <w:t> </w:t>
      </w:r>
      <w:r>
        <w:rPr>
          <w:w w:val="105"/>
        </w:rPr>
        <w:t>remediation,</w:t>
      </w:r>
      <w:r>
        <w:rPr>
          <w:spacing w:val="-2"/>
          <w:w w:val="105"/>
        </w:rPr>
        <w:t> </w:t>
      </w:r>
      <w:r>
        <w:rPr>
          <w:w w:val="105"/>
        </w:rPr>
        <w:t>or</w:t>
      </w:r>
      <w:r>
        <w:rPr>
          <w:spacing w:val="-2"/>
          <w:w w:val="105"/>
        </w:rPr>
        <w:t> </w:t>
      </w:r>
      <w:r>
        <w:rPr>
          <w:w w:val="105"/>
        </w:rPr>
        <w:t>otherwise</w:t>
      </w:r>
      <w:r>
        <w:rPr>
          <w:spacing w:val="-2"/>
          <w:w w:val="105"/>
        </w:rPr>
        <w:t> </w:t>
      </w:r>
      <w:r>
        <w:rPr>
          <w:w w:val="105"/>
        </w:rPr>
        <w:t>adversely</w:t>
      </w:r>
      <w:r>
        <w:rPr>
          <w:spacing w:val="-2"/>
          <w:w w:val="105"/>
        </w:rPr>
        <w:t> </w:t>
      </w:r>
      <w:r>
        <w:rPr>
          <w:w w:val="105"/>
        </w:rPr>
        <w:t>affecting</w:t>
      </w:r>
      <w:r>
        <w:rPr>
          <w:spacing w:val="-2"/>
          <w:w w:val="105"/>
        </w:rPr>
        <w:t> </w:t>
      </w:r>
      <w:r>
        <w:rPr>
          <w:w w:val="105"/>
        </w:rPr>
        <w:t>our</w:t>
      </w:r>
      <w:r>
        <w:rPr>
          <w:spacing w:val="-2"/>
          <w:w w:val="105"/>
        </w:rPr>
        <w:t> </w:t>
      </w:r>
      <w:r>
        <w:rPr>
          <w:w w:val="105"/>
        </w:rPr>
        <w:t>business.</w:t>
      </w:r>
      <w:r>
        <w:rPr>
          <w:spacing w:val="31"/>
          <w:w w:val="105"/>
        </w:rPr>
        <w:t> </w:t>
      </w:r>
      <w:r>
        <w:rPr>
          <w:w w:val="105"/>
        </w:rPr>
        <w:t>We</w:t>
      </w:r>
      <w:r>
        <w:rPr>
          <w:spacing w:val="-2"/>
          <w:w w:val="105"/>
        </w:rPr>
        <w:t> </w:t>
      </w:r>
      <w:r>
        <w:rPr>
          <w:w w:val="105"/>
        </w:rPr>
        <w:t>may</w:t>
      </w:r>
      <w:r>
        <w:rPr>
          <w:spacing w:val="-2"/>
          <w:w w:val="105"/>
        </w:rPr>
        <w:t> </w:t>
      </w:r>
      <w:r>
        <w:rPr>
          <w:w w:val="105"/>
        </w:rPr>
        <w:t>be</w:t>
      </w:r>
      <w:r>
        <w:rPr>
          <w:spacing w:val="-2"/>
          <w:w w:val="105"/>
        </w:rPr>
        <w:t> </w:t>
      </w:r>
      <w:r>
        <w:rPr>
          <w:w w:val="105"/>
        </w:rPr>
        <w:t>required to</w:t>
      </w:r>
      <w:r>
        <w:rPr>
          <w:spacing w:val="-2"/>
          <w:w w:val="105"/>
        </w:rPr>
        <w:t> </w:t>
      </w:r>
      <w:r>
        <w:rPr>
          <w:w w:val="105"/>
        </w:rPr>
        <w:t>invest</w:t>
      </w:r>
      <w:r>
        <w:rPr>
          <w:spacing w:val="-2"/>
          <w:w w:val="105"/>
        </w:rPr>
        <w:t> </w:t>
      </w:r>
      <w:r>
        <w:rPr>
          <w:w w:val="105"/>
        </w:rPr>
        <w:t>significant</w:t>
      </w:r>
      <w:r>
        <w:rPr>
          <w:spacing w:val="-2"/>
          <w:w w:val="105"/>
        </w:rPr>
        <w:t> </w:t>
      </w:r>
      <w:r>
        <w:rPr>
          <w:w w:val="105"/>
        </w:rPr>
        <w:t>additional</w:t>
      </w:r>
      <w:r>
        <w:rPr>
          <w:spacing w:val="-2"/>
          <w:w w:val="105"/>
        </w:rPr>
        <w:t> </w:t>
      </w:r>
      <w:r>
        <w:rPr>
          <w:w w:val="105"/>
        </w:rPr>
        <w:t>resources</w:t>
      </w:r>
      <w:r>
        <w:rPr>
          <w:spacing w:val="-2"/>
          <w:w w:val="105"/>
        </w:rPr>
        <w:t> </w:t>
      </w:r>
      <w:r>
        <w:rPr>
          <w:w w:val="105"/>
        </w:rPr>
        <w:t>to</w:t>
      </w:r>
      <w:r>
        <w:rPr>
          <w:spacing w:val="-2"/>
          <w:w w:val="105"/>
        </w:rPr>
        <w:t> </w:t>
      </w:r>
      <w:r>
        <w:rPr>
          <w:w w:val="105"/>
        </w:rPr>
        <w:t>comply</w:t>
      </w:r>
      <w:r>
        <w:rPr>
          <w:spacing w:val="-2"/>
          <w:w w:val="105"/>
        </w:rPr>
        <w:t> </w:t>
      </w:r>
      <w:r>
        <w:rPr>
          <w:w w:val="105"/>
        </w:rPr>
        <w:t>with</w:t>
      </w:r>
      <w:r>
        <w:rPr>
          <w:spacing w:val="-2"/>
          <w:w w:val="105"/>
        </w:rPr>
        <w:t> </w:t>
      </w:r>
      <w:r>
        <w:rPr>
          <w:w w:val="105"/>
        </w:rPr>
        <w:t>evolving</w:t>
      </w:r>
      <w:r>
        <w:rPr>
          <w:spacing w:val="-2"/>
          <w:w w:val="105"/>
        </w:rPr>
        <w:t> </w:t>
      </w:r>
      <w:r>
        <w:rPr>
          <w:w w:val="105"/>
        </w:rPr>
        <w:t>cybersecurity regulations</w:t>
      </w:r>
      <w:r>
        <w:rPr>
          <w:spacing w:val="-6"/>
          <w:w w:val="105"/>
        </w:rPr>
        <w:t> </w:t>
      </w:r>
      <w:r>
        <w:rPr>
          <w:w w:val="105"/>
        </w:rPr>
        <w:t>and</w:t>
      </w:r>
      <w:r>
        <w:rPr>
          <w:spacing w:val="-6"/>
          <w:w w:val="105"/>
        </w:rPr>
        <w:t> </w:t>
      </w:r>
      <w:r>
        <w:rPr>
          <w:w w:val="105"/>
        </w:rPr>
        <w:t>to</w:t>
      </w:r>
      <w:r>
        <w:rPr>
          <w:spacing w:val="-6"/>
          <w:w w:val="105"/>
        </w:rPr>
        <w:t> </w:t>
      </w:r>
      <w:r>
        <w:rPr>
          <w:w w:val="105"/>
        </w:rPr>
        <w:t>modify</w:t>
      </w:r>
      <w:r>
        <w:rPr>
          <w:spacing w:val="-6"/>
          <w:w w:val="105"/>
        </w:rPr>
        <w:t> </w:t>
      </w:r>
      <w:r>
        <w:rPr>
          <w:w w:val="105"/>
        </w:rPr>
        <w:t>and</w:t>
      </w:r>
      <w:r>
        <w:rPr>
          <w:spacing w:val="-5"/>
          <w:w w:val="105"/>
        </w:rPr>
        <w:t> </w:t>
      </w:r>
      <w:r>
        <w:rPr>
          <w:w w:val="105"/>
        </w:rPr>
        <w:t>enhance</w:t>
      </w:r>
      <w:r>
        <w:rPr>
          <w:spacing w:val="-6"/>
          <w:w w:val="105"/>
        </w:rPr>
        <w:t> </w:t>
      </w:r>
      <w:r>
        <w:rPr>
          <w:w w:val="105"/>
        </w:rPr>
        <w:t>our</w:t>
      </w:r>
      <w:r>
        <w:rPr>
          <w:spacing w:val="-6"/>
          <w:w w:val="105"/>
        </w:rPr>
        <w:t> </w:t>
      </w:r>
      <w:r>
        <w:rPr>
          <w:w w:val="105"/>
        </w:rPr>
        <w:t>IT</w:t>
      </w:r>
      <w:r>
        <w:rPr>
          <w:spacing w:val="-6"/>
          <w:w w:val="105"/>
        </w:rPr>
        <w:t> </w:t>
      </w:r>
      <w:r>
        <w:rPr>
          <w:w w:val="105"/>
        </w:rPr>
        <w:t>systems,</w:t>
      </w:r>
      <w:r>
        <w:rPr>
          <w:spacing w:val="-6"/>
          <w:w w:val="105"/>
        </w:rPr>
        <w:t> </w:t>
      </w:r>
      <w:r>
        <w:rPr>
          <w:w w:val="105"/>
        </w:rPr>
        <w:t>information</w:t>
      </w:r>
      <w:r>
        <w:rPr>
          <w:spacing w:val="-6"/>
          <w:w w:val="105"/>
        </w:rPr>
        <w:t> </w:t>
      </w:r>
      <w:r>
        <w:rPr>
          <w:w w:val="105"/>
        </w:rPr>
        <w:t>security</w:t>
      </w:r>
      <w:r>
        <w:rPr>
          <w:spacing w:val="-6"/>
          <w:w w:val="105"/>
        </w:rPr>
        <w:t> </w:t>
      </w:r>
      <w:r>
        <w:rPr>
          <w:w w:val="105"/>
        </w:rPr>
        <w:t>and</w:t>
      </w:r>
      <w:r>
        <w:rPr>
          <w:spacing w:val="-6"/>
          <w:w w:val="105"/>
        </w:rPr>
        <w:t> </w:t>
      </w:r>
      <w:r>
        <w:rPr>
          <w:w w:val="105"/>
        </w:rPr>
        <w:t>controls,</w:t>
      </w:r>
      <w:r>
        <w:rPr>
          <w:spacing w:val="-5"/>
          <w:w w:val="105"/>
        </w:rPr>
        <w:t> </w:t>
      </w:r>
      <w:r>
        <w:rPr>
          <w:w w:val="105"/>
        </w:rPr>
        <w:t>and</w:t>
      </w:r>
      <w:r>
        <w:rPr>
          <w:spacing w:val="-6"/>
          <w:w w:val="105"/>
        </w:rPr>
        <w:t> </w:t>
      </w:r>
      <w:r>
        <w:rPr>
          <w:w w:val="105"/>
        </w:rPr>
        <w:t>to</w:t>
      </w:r>
      <w:r>
        <w:rPr>
          <w:spacing w:val="-6"/>
          <w:w w:val="105"/>
        </w:rPr>
        <w:t> </w:t>
      </w:r>
      <w:r>
        <w:rPr>
          <w:w w:val="105"/>
        </w:rPr>
        <w:t>investigate</w:t>
      </w:r>
      <w:r>
        <w:rPr>
          <w:spacing w:val="-6"/>
          <w:w w:val="105"/>
        </w:rPr>
        <w:t> </w:t>
      </w:r>
      <w:r>
        <w:rPr>
          <w:w w:val="105"/>
        </w:rPr>
        <w:t>and</w:t>
      </w:r>
      <w:r>
        <w:rPr>
          <w:spacing w:val="-6"/>
          <w:w w:val="105"/>
        </w:rPr>
        <w:t> </w:t>
      </w:r>
      <w:r>
        <w:rPr>
          <w:w w:val="105"/>
        </w:rPr>
        <w:t>remediate</w:t>
      </w:r>
      <w:r>
        <w:rPr>
          <w:spacing w:val="-6"/>
          <w:w w:val="105"/>
        </w:rPr>
        <w:t> </w:t>
      </w:r>
      <w:r>
        <w:rPr>
          <w:w w:val="105"/>
        </w:rPr>
        <w:t>any</w:t>
      </w:r>
      <w:r>
        <w:rPr>
          <w:spacing w:val="-6"/>
          <w:w w:val="105"/>
        </w:rPr>
        <w:t> </w:t>
      </w:r>
      <w:r>
        <w:rPr>
          <w:w w:val="105"/>
        </w:rPr>
        <w:t>security</w:t>
      </w:r>
      <w:r>
        <w:rPr>
          <w:spacing w:val="-6"/>
          <w:w w:val="105"/>
        </w:rPr>
        <w:t> </w:t>
      </w:r>
      <w:r>
        <w:rPr>
          <w:w w:val="105"/>
        </w:rPr>
        <w:t>vulnerabilities.</w:t>
      </w:r>
      <w:r>
        <w:rPr>
          <w:spacing w:val="-6"/>
          <w:w w:val="105"/>
        </w:rPr>
        <w:t> </w:t>
      </w:r>
      <w:r>
        <w:rPr>
          <w:w w:val="105"/>
        </w:rPr>
        <w:t>Any</w:t>
      </w:r>
      <w:r>
        <w:rPr>
          <w:spacing w:val="-6"/>
          <w:w w:val="105"/>
        </w:rPr>
        <w:t> </w:t>
      </w:r>
      <w:r>
        <w:rPr>
          <w:w w:val="105"/>
        </w:rPr>
        <w:t>losses,</w:t>
      </w:r>
      <w:r>
        <w:rPr>
          <w:spacing w:val="-6"/>
          <w:w w:val="105"/>
        </w:rPr>
        <w:t> </w:t>
      </w:r>
      <w:r>
        <w:rPr>
          <w:w w:val="105"/>
        </w:rPr>
        <w:t>costs</w:t>
      </w:r>
      <w:r>
        <w:rPr>
          <w:spacing w:val="-6"/>
          <w:w w:val="105"/>
        </w:rPr>
        <w:t> </w:t>
      </w:r>
      <w:r>
        <w:rPr>
          <w:w w:val="105"/>
        </w:rPr>
        <w:t>or liabilities may not be covered by, or may exceed the coverage limits of, any, or all, of our applicable insurance policies.</w:t>
      </w:r>
    </w:p>
    <w:p>
      <w:pPr>
        <w:pStyle w:val="BodyText"/>
        <w:spacing w:before="17"/>
      </w:pPr>
    </w:p>
    <w:p>
      <w:pPr>
        <w:pStyle w:val="Heading2"/>
      </w:pPr>
      <w:r>
        <w:rPr>
          <w:w w:val="105"/>
        </w:rPr>
        <w:t>We</w:t>
      </w:r>
      <w:r>
        <w:rPr>
          <w:spacing w:val="-10"/>
          <w:w w:val="105"/>
        </w:rPr>
        <w:t> </w:t>
      </w:r>
      <w:r>
        <w:rPr>
          <w:w w:val="105"/>
        </w:rPr>
        <w:t>may</w:t>
      </w:r>
      <w:r>
        <w:rPr>
          <w:spacing w:val="-10"/>
          <w:w w:val="105"/>
        </w:rPr>
        <w:t> </w:t>
      </w:r>
      <w:r>
        <w:rPr>
          <w:w w:val="105"/>
        </w:rPr>
        <w:t>not</w:t>
      </w:r>
      <w:r>
        <w:rPr>
          <w:spacing w:val="-10"/>
          <w:w w:val="105"/>
        </w:rPr>
        <w:t> </w:t>
      </w:r>
      <w:r>
        <w:rPr>
          <w:w w:val="105"/>
        </w:rPr>
        <w:t>earn</w:t>
      </w:r>
      <w:r>
        <w:rPr>
          <w:spacing w:val="-9"/>
          <w:w w:val="105"/>
        </w:rPr>
        <w:t> </w:t>
      </w:r>
      <w:r>
        <w:rPr>
          <w:w w:val="105"/>
        </w:rPr>
        <w:t>a</w:t>
      </w:r>
      <w:r>
        <w:rPr>
          <w:spacing w:val="-10"/>
          <w:w w:val="105"/>
        </w:rPr>
        <w:t> </w:t>
      </w:r>
      <w:r>
        <w:rPr>
          <w:w w:val="105"/>
        </w:rPr>
        <w:t>positive</w:t>
      </w:r>
      <w:r>
        <w:rPr>
          <w:spacing w:val="-10"/>
          <w:w w:val="105"/>
        </w:rPr>
        <w:t> </w:t>
      </w:r>
      <w:r>
        <w:rPr>
          <w:w w:val="105"/>
        </w:rPr>
        <w:t>return</w:t>
      </w:r>
      <w:r>
        <w:rPr>
          <w:spacing w:val="-9"/>
          <w:w w:val="105"/>
        </w:rPr>
        <w:t> </w:t>
      </w:r>
      <w:r>
        <w:rPr>
          <w:w w:val="105"/>
        </w:rPr>
        <w:t>from</w:t>
      </w:r>
      <w:r>
        <w:rPr>
          <w:spacing w:val="-10"/>
          <w:w w:val="105"/>
        </w:rPr>
        <w:t> </w:t>
      </w:r>
      <w:r>
        <w:rPr>
          <w:w w:val="105"/>
        </w:rPr>
        <w:t>our</w:t>
      </w:r>
      <w:r>
        <w:rPr>
          <w:spacing w:val="-10"/>
          <w:w w:val="105"/>
        </w:rPr>
        <w:t> </w:t>
      </w:r>
      <w:r>
        <w:rPr>
          <w:w w:val="105"/>
        </w:rPr>
        <w:t>research,</w:t>
      </w:r>
      <w:r>
        <w:rPr>
          <w:spacing w:val="-9"/>
          <w:w w:val="105"/>
        </w:rPr>
        <w:t> </w:t>
      </w:r>
      <w:r>
        <w:rPr>
          <w:w w:val="105"/>
        </w:rPr>
        <w:t>development</w:t>
      </w:r>
      <w:r>
        <w:rPr>
          <w:spacing w:val="-10"/>
          <w:w w:val="105"/>
        </w:rPr>
        <w:t> </w:t>
      </w:r>
      <w:r>
        <w:rPr>
          <w:w w:val="105"/>
        </w:rPr>
        <w:t>and</w:t>
      </w:r>
      <w:r>
        <w:rPr>
          <w:spacing w:val="-10"/>
          <w:w w:val="105"/>
        </w:rPr>
        <w:t> </w:t>
      </w:r>
      <w:r>
        <w:rPr>
          <w:w w:val="105"/>
        </w:rPr>
        <w:t>engineering</w:t>
      </w:r>
      <w:r>
        <w:rPr>
          <w:spacing w:val="-9"/>
          <w:w w:val="105"/>
        </w:rPr>
        <w:t> </w:t>
      </w:r>
      <w:r>
        <w:rPr>
          <w:spacing w:val="-2"/>
          <w:w w:val="105"/>
        </w:rPr>
        <w:t>investments</w:t>
      </w:r>
    </w:p>
    <w:p>
      <w:pPr>
        <w:pStyle w:val="BodyText"/>
        <w:spacing w:before="39"/>
        <w:rPr>
          <w:b/>
        </w:rPr>
      </w:pPr>
    </w:p>
    <w:p>
      <w:pPr>
        <w:pStyle w:val="BodyText"/>
        <w:spacing w:line="266" w:lineRule="auto"/>
        <w:ind w:left="156" w:right="231"/>
        <w:jc w:val="both"/>
      </w:pPr>
      <w:r>
        <w:rPr>
          <w:w w:val="105"/>
        </w:rPr>
        <w:t>Developing</w:t>
      </w:r>
      <w:r>
        <w:rPr>
          <w:spacing w:val="-8"/>
          <w:w w:val="105"/>
        </w:rPr>
        <w:t> </w:t>
      </w:r>
      <w:r>
        <w:rPr>
          <w:w w:val="105"/>
        </w:rPr>
        <w:t>our</w:t>
      </w:r>
      <w:r>
        <w:rPr>
          <w:spacing w:val="-8"/>
          <w:w w:val="105"/>
        </w:rPr>
        <w:t> </w:t>
      </w:r>
      <w:r>
        <w:rPr>
          <w:w w:val="105"/>
        </w:rPr>
        <w:t>products</w:t>
      </w:r>
      <w:r>
        <w:rPr>
          <w:spacing w:val="-8"/>
          <w:w w:val="105"/>
        </w:rPr>
        <w:t> </w:t>
      </w:r>
      <w:r>
        <w:rPr>
          <w:w w:val="105"/>
        </w:rPr>
        <w:t>through</w:t>
      </w:r>
      <w:r>
        <w:rPr>
          <w:spacing w:val="-8"/>
          <w:w w:val="105"/>
        </w:rPr>
        <w:t> </w:t>
      </w:r>
      <w:r>
        <w:rPr>
          <w:w w:val="105"/>
        </w:rPr>
        <w:t>our</w:t>
      </w:r>
      <w:r>
        <w:rPr>
          <w:spacing w:val="-8"/>
          <w:w w:val="105"/>
        </w:rPr>
        <w:t> </w:t>
      </w:r>
      <w:r>
        <w:rPr>
          <w:w w:val="105"/>
        </w:rPr>
        <w:t>innovation</w:t>
      </w:r>
      <w:r>
        <w:rPr>
          <w:spacing w:val="-8"/>
          <w:w w:val="105"/>
        </w:rPr>
        <w:t> </w:t>
      </w:r>
      <w:r>
        <w:rPr>
          <w:w w:val="105"/>
        </w:rPr>
        <w:t>model</w:t>
      </w:r>
      <w:r>
        <w:rPr>
          <w:spacing w:val="-8"/>
          <w:w w:val="105"/>
        </w:rPr>
        <w:t> </w:t>
      </w:r>
      <w:r>
        <w:rPr>
          <w:w w:val="105"/>
        </w:rPr>
        <w:t>of</w:t>
      </w:r>
      <w:r>
        <w:rPr>
          <w:spacing w:val="-8"/>
          <w:w w:val="105"/>
        </w:rPr>
        <w:t> </w:t>
      </w:r>
      <w:r>
        <w:rPr>
          <w:w w:val="105"/>
        </w:rPr>
        <w:t>research</w:t>
      </w:r>
      <w:r>
        <w:rPr>
          <w:spacing w:val="-8"/>
          <w:w w:val="105"/>
        </w:rPr>
        <w:t> </w:t>
      </w:r>
      <w:r>
        <w:rPr>
          <w:w w:val="105"/>
        </w:rPr>
        <w:t>and</w:t>
      </w:r>
      <w:r>
        <w:rPr>
          <w:spacing w:val="-8"/>
          <w:w w:val="105"/>
        </w:rPr>
        <w:t> </w:t>
      </w:r>
      <w:r>
        <w:rPr>
          <w:w w:val="105"/>
        </w:rPr>
        <w:t>development</w:t>
      </w:r>
      <w:r>
        <w:rPr>
          <w:spacing w:val="-8"/>
          <w:w w:val="105"/>
        </w:rPr>
        <w:t> </w:t>
      </w:r>
      <w:r>
        <w:rPr>
          <w:w w:val="105"/>
        </w:rPr>
        <w:t>is</w:t>
      </w:r>
      <w:r>
        <w:rPr>
          <w:spacing w:val="-8"/>
          <w:w w:val="105"/>
        </w:rPr>
        <w:t> </w:t>
      </w:r>
      <w:r>
        <w:rPr>
          <w:w w:val="105"/>
        </w:rPr>
        <w:t>costly</w:t>
      </w:r>
      <w:r>
        <w:rPr>
          <w:spacing w:val="-8"/>
          <w:w w:val="105"/>
        </w:rPr>
        <w:t> </w:t>
      </w:r>
      <w:r>
        <w:rPr>
          <w:w w:val="105"/>
        </w:rPr>
        <w:t>and</w:t>
      </w:r>
      <w:r>
        <w:rPr>
          <w:spacing w:val="-8"/>
          <w:w w:val="105"/>
        </w:rPr>
        <w:t> </w:t>
      </w:r>
      <w:r>
        <w:rPr>
          <w:w w:val="105"/>
        </w:rPr>
        <w:t>often</w:t>
      </w:r>
      <w:r>
        <w:rPr>
          <w:spacing w:val="-8"/>
          <w:w w:val="105"/>
        </w:rPr>
        <w:t> </w:t>
      </w:r>
      <w:r>
        <w:rPr>
          <w:w w:val="105"/>
        </w:rPr>
        <w:t>involves</w:t>
      </w:r>
      <w:r>
        <w:rPr>
          <w:spacing w:val="-8"/>
          <w:w w:val="105"/>
        </w:rPr>
        <w:t> </w:t>
      </w:r>
      <w:r>
        <w:rPr>
          <w:w w:val="105"/>
        </w:rPr>
        <w:t>a</w:t>
      </w:r>
      <w:r>
        <w:rPr>
          <w:spacing w:val="-8"/>
          <w:w w:val="105"/>
        </w:rPr>
        <w:t> </w:t>
      </w:r>
      <w:r>
        <w:rPr>
          <w:w w:val="105"/>
        </w:rPr>
        <w:t>long</w:t>
      </w:r>
      <w:r>
        <w:rPr>
          <w:spacing w:val="-8"/>
          <w:w w:val="105"/>
        </w:rPr>
        <w:t> </w:t>
      </w:r>
      <w:r>
        <w:rPr>
          <w:w w:val="105"/>
        </w:rPr>
        <w:t>investment</w:t>
      </w:r>
      <w:r>
        <w:rPr>
          <w:spacing w:val="-8"/>
          <w:w w:val="105"/>
        </w:rPr>
        <w:t> </w:t>
      </w:r>
      <w:r>
        <w:rPr>
          <w:w w:val="105"/>
        </w:rPr>
        <w:t>cycle.</w:t>
      </w:r>
      <w:r>
        <w:rPr>
          <w:spacing w:val="-8"/>
          <w:w w:val="105"/>
        </w:rPr>
        <w:t> </w:t>
      </w:r>
      <w:r>
        <w:rPr>
          <w:w w:val="105"/>
        </w:rPr>
        <w:t>We</w:t>
      </w:r>
      <w:r>
        <w:rPr>
          <w:spacing w:val="-8"/>
          <w:w w:val="105"/>
        </w:rPr>
        <w:t> </w:t>
      </w:r>
      <w:r>
        <w:rPr>
          <w:w w:val="105"/>
        </w:rPr>
        <w:t>make</w:t>
      </w:r>
      <w:r>
        <w:rPr>
          <w:spacing w:val="-8"/>
          <w:w w:val="105"/>
        </w:rPr>
        <w:t> </w:t>
      </w:r>
      <w:r>
        <w:rPr>
          <w:w w:val="105"/>
        </w:rPr>
        <w:t>significant</w:t>
      </w:r>
      <w:r>
        <w:rPr>
          <w:spacing w:val="-8"/>
          <w:w w:val="105"/>
        </w:rPr>
        <w:t> </w:t>
      </w:r>
      <w:r>
        <w:rPr>
          <w:w w:val="105"/>
        </w:rPr>
        <w:t>investments in</w:t>
      </w:r>
      <w:r>
        <w:rPr>
          <w:spacing w:val="-8"/>
          <w:w w:val="105"/>
        </w:rPr>
        <w:t> </w:t>
      </w:r>
      <w:r>
        <w:rPr>
          <w:w w:val="105"/>
        </w:rPr>
        <w:t>research,</w:t>
      </w:r>
      <w:r>
        <w:rPr>
          <w:spacing w:val="-8"/>
          <w:w w:val="105"/>
        </w:rPr>
        <w:t> </w:t>
      </w:r>
      <w:r>
        <w:rPr>
          <w:w w:val="105"/>
        </w:rPr>
        <w:t>development</w:t>
      </w:r>
      <w:r>
        <w:rPr>
          <w:spacing w:val="-8"/>
          <w:w w:val="105"/>
        </w:rPr>
        <w:t> </w:t>
      </w:r>
      <w:r>
        <w:rPr>
          <w:w w:val="105"/>
        </w:rPr>
        <w:t>and</w:t>
      </w:r>
      <w:r>
        <w:rPr>
          <w:spacing w:val="-8"/>
          <w:w w:val="105"/>
        </w:rPr>
        <w:t> </w:t>
      </w:r>
      <w:r>
        <w:rPr>
          <w:w w:val="105"/>
        </w:rPr>
        <w:t>engineering</w:t>
      </w:r>
      <w:r>
        <w:rPr>
          <w:spacing w:val="-8"/>
          <w:w w:val="105"/>
        </w:rPr>
        <w:t> </w:t>
      </w:r>
      <w:r>
        <w:rPr>
          <w:w w:val="105"/>
        </w:rPr>
        <w:t>that</w:t>
      </w:r>
      <w:r>
        <w:rPr>
          <w:spacing w:val="-8"/>
          <w:w w:val="105"/>
        </w:rPr>
        <w:t> </w:t>
      </w:r>
      <w:r>
        <w:rPr>
          <w:w w:val="105"/>
        </w:rPr>
        <w:t>may</w:t>
      </w:r>
      <w:r>
        <w:rPr>
          <w:spacing w:val="-8"/>
          <w:w w:val="105"/>
        </w:rPr>
        <w:t> </w:t>
      </w:r>
      <w:r>
        <w:rPr>
          <w:w w:val="105"/>
        </w:rPr>
        <w:t>not</w:t>
      </w:r>
      <w:r>
        <w:rPr>
          <w:spacing w:val="-8"/>
          <w:w w:val="105"/>
        </w:rPr>
        <w:t> </w:t>
      </w:r>
      <w:r>
        <w:rPr>
          <w:w w:val="105"/>
        </w:rPr>
        <w:t>earn</w:t>
      </w:r>
      <w:r>
        <w:rPr>
          <w:spacing w:val="-8"/>
          <w:w w:val="105"/>
        </w:rPr>
        <w:t> </w:t>
      </w:r>
      <w:r>
        <w:rPr>
          <w:w w:val="105"/>
        </w:rPr>
        <w:t>an</w:t>
      </w:r>
      <w:r>
        <w:rPr>
          <w:spacing w:val="-8"/>
          <w:w w:val="105"/>
        </w:rPr>
        <w:t> </w:t>
      </w:r>
      <w:r>
        <w:rPr>
          <w:w w:val="105"/>
        </w:rPr>
        <w:t>economic</w:t>
      </w:r>
      <w:r>
        <w:rPr>
          <w:spacing w:val="-8"/>
          <w:w w:val="105"/>
        </w:rPr>
        <w:t> </w:t>
      </w:r>
      <w:r>
        <w:rPr>
          <w:w w:val="105"/>
        </w:rPr>
        <w:t>return.</w:t>
      </w:r>
      <w:r>
        <w:rPr>
          <w:spacing w:val="-8"/>
          <w:w w:val="105"/>
        </w:rPr>
        <w:t> </w:t>
      </w:r>
      <w:r>
        <w:rPr>
          <w:w w:val="105"/>
        </w:rPr>
        <w:t>If</w:t>
      </w:r>
      <w:r>
        <w:rPr>
          <w:spacing w:val="-8"/>
          <w:w w:val="105"/>
        </w:rPr>
        <w:t> </w:t>
      </w:r>
      <w:r>
        <w:rPr>
          <w:w w:val="105"/>
        </w:rPr>
        <w:t>our</w:t>
      </w:r>
      <w:r>
        <w:rPr>
          <w:spacing w:val="-8"/>
          <w:w w:val="105"/>
        </w:rPr>
        <w:t> </w:t>
      </w:r>
      <w:r>
        <w:rPr>
          <w:w w:val="105"/>
        </w:rPr>
        <w:t>investments</w:t>
      </w:r>
      <w:r>
        <w:rPr>
          <w:spacing w:val="-8"/>
          <w:w w:val="105"/>
        </w:rPr>
        <w:t> </w:t>
      </w:r>
      <w:r>
        <w:rPr>
          <w:w w:val="105"/>
        </w:rPr>
        <w:t>do</w:t>
      </w:r>
      <w:r>
        <w:rPr>
          <w:spacing w:val="-8"/>
          <w:w w:val="105"/>
        </w:rPr>
        <w:t> </w:t>
      </w:r>
      <w:r>
        <w:rPr>
          <w:w w:val="105"/>
        </w:rPr>
        <w:t>not</w:t>
      </w:r>
      <w:r>
        <w:rPr>
          <w:spacing w:val="-8"/>
          <w:w w:val="105"/>
        </w:rPr>
        <w:t> </w:t>
      </w:r>
      <w:r>
        <w:rPr>
          <w:w w:val="105"/>
        </w:rPr>
        <w:t>provide</w:t>
      </w:r>
      <w:r>
        <w:rPr>
          <w:spacing w:val="-8"/>
          <w:w w:val="105"/>
        </w:rPr>
        <w:t> </w:t>
      </w:r>
      <w:r>
        <w:rPr>
          <w:w w:val="105"/>
        </w:rPr>
        <w:t>a</w:t>
      </w:r>
      <w:r>
        <w:rPr>
          <w:spacing w:val="-8"/>
          <w:w w:val="105"/>
        </w:rPr>
        <w:t> </w:t>
      </w:r>
      <w:r>
        <w:rPr>
          <w:w w:val="105"/>
        </w:rPr>
        <w:t>pipeline</w:t>
      </w:r>
      <w:r>
        <w:rPr>
          <w:spacing w:val="-8"/>
          <w:w w:val="105"/>
        </w:rPr>
        <w:t> </w:t>
      </w:r>
      <w:r>
        <w:rPr>
          <w:w w:val="105"/>
        </w:rPr>
        <w:t>of</w:t>
      </w:r>
      <w:r>
        <w:rPr>
          <w:spacing w:val="-8"/>
          <w:w w:val="105"/>
        </w:rPr>
        <w:t> </w:t>
      </w:r>
      <w:r>
        <w:rPr>
          <w:w w:val="105"/>
        </w:rPr>
        <w:t>products</w:t>
      </w:r>
      <w:r>
        <w:rPr>
          <w:spacing w:val="-8"/>
          <w:w w:val="105"/>
        </w:rPr>
        <w:t> </w:t>
      </w:r>
      <w:r>
        <w:rPr>
          <w:w w:val="105"/>
        </w:rPr>
        <w:t>or</w:t>
      </w:r>
      <w:r>
        <w:rPr>
          <w:spacing w:val="-8"/>
          <w:w w:val="105"/>
        </w:rPr>
        <w:t> </w:t>
      </w:r>
      <w:r>
        <w:rPr>
          <w:w w:val="105"/>
        </w:rPr>
        <w:t>technologies</w:t>
      </w:r>
      <w:r>
        <w:rPr>
          <w:spacing w:val="-8"/>
          <w:w w:val="105"/>
        </w:rPr>
        <w:t> </w:t>
      </w:r>
      <w:r>
        <w:rPr>
          <w:w w:val="105"/>
        </w:rPr>
        <w:t>that</w:t>
      </w:r>
      <w:r>
        <w:rPr>
          <w:spacing w:val="-8"/>
          <w:w w:val="105"/>
        </w:rPr>
        <w:t> </w:t>
      </w:r>
      <w:r>
        <w:rPr>
          <w:w w:val="105"/>
        </w:rPr>
        <w:t>our</w:t>
      </w:r>
      <w:r>
        <w:rPr>
          <w:spacing w:val="-8"/>
          <w:w w:val="105"/>
        </w:rPr>
        <w:t> </w:t>
      </w:r>
      <w:r>
        <w:rPr>
          <w:w w:val="105"/>
        </w:rPr>
        <w:t>customers demand or lower our manufacturing costs, it could negatively impact our revenue and operating margins for both near- and long-term.</w:t>
      </w:r>
    </w:p>
    <w:p>
      <w:pPr>
        <w:pStyle w:val="BodyText"/>
        <w:spacing w:before="19"/>
      </w:pPr>
    </w:p>
    <w:p>
      <w:pPr>
        <w:pStyle w:val="Heading2"/>
      </w:pPr>
      <w:r>
        <w:rPr>
          <w:w w:val="105"/>
        </w:rPr>
        <w:t>Our</w:t>
      </w:r>
      <w:r>
        <w:rPr>
          <w:spacing w:val="-11"/>
          <w:w w:val="105"/>
        </w:rPr>
        <w:t> </w:t>
      </w:r>
      <w:r>
        <w:rPr>
          <w:w w:val="105"/>
        </w:rPr>
        <w:t>innovation</w:t>
      </w:r>
      <w:r>
        <w:rPr>
          <w:spacing w:val="-10"/>
          <w:w w:val="105"/>
        </w:rPr>
        <w:t> </w:t>
      </w:r>
      <w:r>
        <w:rPr>
          <w:w w:val="105"/>
        </w:rPr>
        <w:t>model</w:t>
      </w:r>
      <w:r>
        <w:rPr>
          <w:spacing w:val="-11"/>
          <w:w w:val="105"/>
        </w:rPr>
        <w:t> </w:t>
      </w:r>
      <w:r>
        <w:rPr>
          <w:w w:val="105"/>
        </w:rPr>
        <w:t>depends</w:t>
      </w:r>
      <w:r>
        <w:rPr>
          <w:spacing w:val="-10"/>
          <w:w w:val="105"/>
        </w:rPr>
        <w:t> </w:t>
      </w:r>
      <w:r>
        <w:rPr>
          <w:w w:val="105"/>
        </w:rPr>
        <w:t>on</w:t>
      </w:r>
      <w:r>
        <w:rPr>
          <w:spacing w:val="-11"/>
          <w:w w:val="105"/>
        </w:rPr>
        <w:t> </w:t>
      </w:r>
      <w:r>
        <w:rPr>
          <w:w w:val="105"/>
        </w:rPr>
        <w:t>our</w:t>
      </w:r>
      <w:r>
        <w:rPr>
          <w:spacing w:val="-10"/>
          <w:w w:val="105"/>
        </w:rPr>
        <w:t> </w:t>
      </w:r>
      <w:r>
        <w:rPr>
          <w:w w:val="105"/>
        </w:rPr>
        <w:t>ability</w:t>
      </w:r>
      <w:r>
        <w:rPr>
          <w:spacing w:val="-11"/>
          <w:w w:val="105"/>
        </w:rPr>
        <w:t> </w:t>
      </w:r>
      <w:r>
        <w:rPr>
          <w:w w:val="105"/>
        </w:rPr>
        <w:t>to</w:t>
      </w:r>
      <w:r>
        <w:rPr>
          <w:spacing w:val="-10"/>
          <w:w w:val="105"/>
        </w:rPr>
        <w:t> </w:t>
      </w:r>
      <w:r>
        <w:rPr>
          <w:w w:val="105"/>
        </w:rPr>
        <w:t>attract</w:t>
      </w:r>
      <w:r>
        <w:rPr>
          <w:spacing w:val="-11"/>
          <w:w w:val="105"/>
        </w:rPr>
        <w:t> </w:t>
      </w:r>
      <w:r>
        <w:rPr>
          <w:w w:val="105"/>
        </w:rPr>
        <w:t>and</w:t>
      </w:r>
      <w:r>
        <w:rPr>
          <w:spacing w:val="-10"/>
          <w:w w:val="105"/>
        </w:rPr>
        <w:t> </w:t>
      </w:r>
      <w:r>
        <w:rPr>
          <w:w w:val="105"/>
        </w:rPr>
        <w:t>retain</w:t>
      </w:r>
      <w:r>
        <w:rPr>
          <w:spacing w:val="-11"/>
          <w:w w:val="105"/>
        </w:rPr>
        <w:t> </w:t>
      </w:r>
      <w:r>
        <w:rPr>
          <w:w w:val="105"/>
        </w:rPr>
        <w:t>specialized</w:t>
      </w:r>
      <w:r>
        <w:rPr>
          <w:spacing w:val="-10"/>
          <w:w w:val="105"/>
        </w:rPr>
        <w:t> </w:t>
      </w:r>
      <w:r>
        <w:rPr>
          <w:w w:val="105"/>
        </w:rPr>
        <w:t>experts</w:t>
      </w:r>
      <w:r>
        <w:rPr>
          <w:spacing w:val="-11"/>
          <w:w w:val="105"/>
        </w:rPr>
        <w:t> </w:t>
      </w:r>
      <w:r>
        <w:rPr>
          <w:w w:val="105"/>
        </w:rPr>
        <w:t>in</w:t>
      </w:r>
      <w:r>
        <w:rPr>
          <w:spacing w:val="-10"/>
          <w:w w:val="105"/>
        </w:rPr>
        <w:t> </w:t>
      </w:r>
      <w:r>
        <w:rPr>
          <w:w w:val="105"/>
        </w:rPr>
        <w:t>our</w:t>
      </w:r>
      <w:r>
        <w:rPr>
          <w:spacing w:val="-11"/>
          <w:w w:val="105"/>
        </w:rPr>
        <w:t> </w:t>
      </w:r>
      <w:r>
        <w:rPr>
          <w:w w:val="105"/>
        </w:rPr>
        <w:t>core</w:t>
      </w:r>
      <w:r>
        <w:rPr>
          <w:spacing w:val="-10"/>
          <w:w w:val="105"/>
        </w:rPr>
        <w:t> </w:t>
      </w:r>
      <w:r>
        <w:rPr>
          <w:spacing w:val="-2"/>
          <w:w w:val="105"/>
        </w:rPr>
        <w:t>technologies</w:t>
      </w:r>
    </w:p>
    <w:p>
      <w:pPr>
        <w:pStyle w:val="BodyText"/>
        <w:spacing w:before="39"/>
        <w:rPr>
          <w:b/>
        </w:rPr>
      </w:pPr>
    </w:p>
    <w:p>
      <w:pPr>
        <w:pStyle w:val="BodyText"/>
        <w:spacing w:line="266" w:lineRule="auto" w:before="1"/>
        <w:ind w:left="156"/>
      </w:pPr>
      <w:r>
        <w:rPr>
          <w:w w:val="105"/>
        </w:rPr>
        <w:t>Our</w:t>
      </w:r>
      <w:r>
        <w:rPr>
          <w:spacing w:val="-9"/>
          <w:w w:val="105"/>
        </w:rPr>
        <w:t> </w:t>
      </w:r>
      <w:r>
        <w:rPr>
          <w:w w:val="105"/>
        </w:rPr>
        <w:t>innovation</w:t>
      </w:r>
      <w:r>
        <w:rPr>
          <w:spacing w:val="-9"/>
          <w:w w:val="105"/>
        </w:rPr>
        <w:t> </w:t>
      </w:r>
      <w:r>
        <w:rPr>
          <w:w w:val="105"/>
        </w:rPr>
        <w:t>model</w:t>
      </w:r>
      <w:r>
        <w:rPr>
          <w:spacing w:val="-9"/>
          <w:w w:val="105"/>
        </w:rPr>
        <w:t> </w:t>
      </w:r>
      <w:r>
        <w:rPr>
          <w:w w:val="105"/>
        </w:rPr>
        <w:t>requires</w:t>
      </w:r>
      <w:r>
        <w:rPr>
          <w:spacing w:val="-9"/>
          <w:w w:val="105"/>
        </w:rPr>
        <w:t> </w:t>
      </w:r>
      <w:r>
        <w:rPr>
          <w:w w:val="105"/>
        </w:rPr>
        <w:t>us</w:t>
      </w:r>
      <w:r>
        <w:rPr>
          <w:spacing w:val="-7"/>
          <w:w w:val="105"/>
        </w:rPr>
        <w:t> </w:t>
      </w:r>
      <w:r>
        <w:rPr>
          <w:w w:val="105"/>
        </w:rPr>
        <w:t>to</w:t>
      </w:r>
      <w:r>
        <w:rPr>
          <w:spacing w:val="-9"/>
          <w:w w:val="105"/>
        </w:rPr>
        <w:t> </w:t>
      </w:r>
      <w:r>
        <w:rPr>
          <w:w w:val="105"/>
        </w:rPr>
        <w:t>employ</w:t>
      </w:r>
      <w:r>
        <w:rPr>
          <w:spacing w:val="-9"/>
          <w:w w:val="105"/>
        </w:rPr>
        <w:t> </w:t>
      </w:r>
      <w:r>
        <w:rPr>
          <w:w w:val="105"/>
        </w:rPr>
        <w:t>highly</w:t>
      </w:r>
      <w:r>
        <w:rPr>
          <w:spacing w:val="-9"/>
          <w:w w:val="105"/>
        </w:rPr>
        <w:t> </w:t>
      </w:r>
      <w:r>
        <w:rPr>
          <w:w w:val="105"/>
        </w:rPr>
        <w:t>specialized</w:t>
      </w:r>
      <w:r>
        <w:rPr>
          <w:spacing w:val="-9"/>
          <w:w w:val="105"/>
        </w:rPr>
        <w:t> </w:t>
      </w:r>
      <w:r>
        <w:rPr>
          <w:w w:val="105"/>
        </w:rPr>
        <w:t>experts</w:t>
      </w:r>
      <w:r>
        <w:rPr>
          <w:spacing w:val="-9"/>
          <w:w w:val="105"/>
        </w:rPr>
        <w:t> </w:t>
      </w:r>
      <w:r>
        <w:rPr>
          <w:w w:val="105"/>
        </w:rPr>
        <w:t>in</w:t>
      </w:r>
      <w:r>
        <w:rPr>
          <w:spacing w:val="-9"/>
          <w:w w:val="105"/>
        </w:rPr>
        <w:t> </w:t>
      </w:r>
      <w:r>
        <w:rPr>
          <w:w w:val="105"/>
        </w:rPr>
        <w:t>glass</w:t>
      </w:r>
      <w:r>
        <w:rPr>
          <w:spacing w:val="-9"/>
          <w:w w:val="105"/>
        </w:rPr>
        <w:t> </w:t>
      </w:r>
      <w:r>
        <w:rPr>
          <w:w w:val="105"/>
        </w:rPr>
        <w:t>science,</w:t>
      </w:r>
      <w:r>
        <w:rPr>
          <w:spacing w:val="-7"/>
          <w:w w:val="105"/>
        </w:rPr>
        <w:t> </w:t>
      </w:r>
      <w:r>
        <w:rPr>
          <w:w w:val="105"/>
        </w:rPr>
        <w:t>ceramic</w:t>
      </w:r>
      <w:r>
        <w:rPr>
          <w:spacing w:val="-9"/>
          <w:w w:val="105"/>
        </w:rPr>
        <w:t> </w:t>
      </w:r>
      <w:r>
        <w:rPr>
          <w:w w:val="105"/>
        </w:rPr>
        <w:t>science,</w:t>
      </w:r>
      <w:r>
        <w:rPr>
          <w:spacing w:val="-9"/>
          <w:w w:val="105"/>
        </w:rPr>
        <w:t> </w:t>
      </w:r>
      <w:r>
        <w:rPr>
          <w:w w:val="105"/>
        </w:rPr>
        <w:t>and</w:t>
      </w:r>
      <w:r>
        <w:rPr>
          <w:spacing w:val="-9"/>
          <w:w w:val="105"/>
        </w:rPr>
        <w:t> </w:t>
      </w:r>
      <w:r>
        <w:rPr>
          <w:w w:val="105"/>
        </w:rPr>
        <w:t>optical</w:t>
      </w:r>
      <w:r>
        <w:rPr>
          <w:spacing w:val="-9"/>
          <w:w w:val="105"/>
        </w:rPr>
        <w:t> </w:t>
      </w:r>
      <w:r>
        <w:rPr>
          <w:w w:val="105"/>
        </w:rPr>
        <w:t>physics</w:t>
      </w:r>
      <w:r>
        <w:rPr>
          <w:spacing w:val="-9"/>
          <w:w w:val="105"/>
        </w:rPr>
        <w:t> </w:t>
      </w:r>
      <w:r>
        <w:rPr>
          <w:w w:val="105"/>
        </w:rPr>
        <w:t>to</w:t>
      </w:r>
      <w:r>
        <w:rPr>
          <w:spacing w:val="-9"/>
          <w:w w:val="105"/>
        </w:rPr>
        <w:t> </w:t>
      </w:r>
      <w:r>
        <w:rPr>
          <w:w w:val="105"/>
        </w:rPr>
        <w:t>conduct</w:t>
      </w:r>
      <w:r>
        <w:rPr>
          <w:spacing w:val="-9"/>
          <w:w w:val="105"/>
        </w:rPr>
        <w:t> </w:t>
      </w:r>
      <w:r>
        <w:rPr>
          <w:w w:val="105"/>
        </w:rPr>
        <w:t>our</w:t>
      </w:r>
      <w:r>
        <w:rPr>
          <w:spacing w:val="-9"/>
          <w:w w:val="105"/>
        </w:rPr>
        <w:t> </w:t>
      </w:r>
      <w:r>
        <w:rPr>
          <w:w w:val="105"/>
        </w:rPr>
        <w:t>research</w:t>
      </w:r>
      <w:r>
        <w:rPr>
          <w:spacing w:val="-9"/>
          <w:w w:val="105"/>
        </w:rPr>
        <w:t> </w:t>
      </w:r>
      <w:r>
        <w:rPr>
          <w:w w:val="105"/>
        </w:rPr>
        <w:t>and</w:t>
      </w:r>
      <w:r>
        <w:rPr>
          <w:spacing w:val="-9"/>
          <w:w w:val="105"/>
        </w:rPr>
        <w:t> </w:t>
      </w:r>
      <w:r>
        <w:rPr>
          <w:w w:val="105"/>
        </w:rPr>
        <w:t>development</w:t>
      </w:r>
      <w:r>
        <w:rPr>
          <w:spacing w:val="-9"/>
          <w:w w:val="105"/>
        </w:rPr>
        <w:t> </w:t>
      </w:r>
      <w:r>
        <w:rPr>
          <w:w w:val="105"/>
        </w:rPr>
        <w:t>and engineer</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design</w:t>
      </w:r>
      <w:r>
        <w:rPr>
          <w:spacing w:val="-3"/>
          <w:w w:val="105"/>
        </w:rPr>
        <w:t> </w:t>
      </w:r>
      <w:r>
        <w:rPr>
          <w:w w:val="105"/>
        </w:rPr>
        <w:t>our</w:t>
      </w:r>
      <w:r>
        <w:rPr>
          <w:spacing w:val="-3"/>
          <w:w w:val="105"/>
        </w:rPr>
        <w:t> </w:t>
      </w:r>
      <w:r>
        <w:rPr>
          <w:w w:val="105"/>
        </w:rPr>
        <w:t>manufacturing</w:t>
      </w:r>
      <w:r>
        <w:rPr>
          <w:spacing w:val="-3"/>
          <w:w w:val="105"/>
        </w:rPr>
        <w:t> </w:t>
      </w:r>
      <w:r>
        <w:rPr>
          <w:w w:val="105"/>
        </w:rPr>
        <w:t>facilities.</w:t>
      </w:r>
      <w:r>
        <w:rPr>
          <w:spacing w:val="-3"/>
          <w:w w:val="105"/>
        </w:rPr>
        <w:t> </w:t>
      </w:r>
      <w:r>
        <w:rPr>
          <w:w w:val="105"/>
        </w:rPr>
        <w:t>The</w:t>
      </w:r>
      <w:r>
        <w:rPr>
          <w:spacing w:val="-3"/>
          <w:w w:val="105"/>
        </w:rPr>
        <w:t> </w:t>
      </w:r>
      <w:r>
        <w:rPr>
          <w:w w:val="105"/>
        </w:rPr>
        <w:t>loss</w:t>
      </w:r>
      <w:r>
        <w:rPr>
          <w:spacing w:val="-3"/>
          <w:w w:val="105"/>
        </w:rPr>
        <w:t> </w:t>
      </w:r>
      <w:r>
        <w:rPr>
          <w:w w:val="105"/>
        </w:rPr>
        <w:t>of</w:t>
      </w:r>
      <w:r>
        <w:rPr>
          <w:spacing w:val="-3"/>
          <w:w w:val="105"/>
        </w:rPr>
        <w:t> </w:t>
      </w:r>
      <w:r>
        <w:rPr>
          <w:w w:val="105"/>
        </w:rPr>
        <w:t>the</w:t>
      </w:r>
      <w:r>
        <w:rPr>
          <w:spacing w:val="-3"/>
          <w:w w:val="105"/>
        </w:rPr>
        <w:t> </w:t>
      </w:r>
      <w:r>
        <w:rPr>
          <w:w w:val="105"/>
        </w:rPr>
        <w:t>services</w:t>
      </w:r>
      <w:r>
        <w:rPr>
          <w:spacing w:val="-3"/>
          <w:w w:val="105"/>
        </w:rPr>
        <w:t> </w:t>
      </w:r>
      <w:r>
        <w:rPr>
          <w:w w:val="105"/>
        </w:rPr>
        <w:t>of</w:t>
      </w:r>
      <w:r>
        <w:rPr>
          <w:spacing w:val="-3"/>
          <w:w w:val="105"/>
        </w:rPr>
        <w:t> </w:t>
      </w:r>
      <w:r>
        <w:rPr>
          <w:w w:val="105"/>
        </w:rPr>
        <w:t>any</w:t>
      </w:r>
      <w:r>
        <w:rPr>
          <w:spacing w:val="-3"/>
          <w:w w:val="105"/>
        </w:rPr>
        <w:t> </w:t>
      </w:r>
      <w:r>
        <w:rPr>
          <w:w w:val="105"/>
        </w:rPr>
        <w:t>member</w:t>
      </w:r>
      <w:r>
        <w:rPr>
          <w:spacing w:val="-3"/>
          <w:w w:val="105"/>
        </w:rPr>
        <w:t> </w:t>
      </w:r>
      <w:r>
        <w:rPr>
          <w:w w:val="105"/>
        </w:rPr>
        <w:t>of</w:t>
      </w:r>
      <w:r>
        <w:rPr>
          <w:spacing w:val="-3"/>
          <w:w w:val="105"/>
        </w:rPr>
        <w:t> </w:t>
      </w:r>
      <w:r>
        <w:rPr>
          <w:w w:val="105"/>
        </w:rPr>
        <w:t>our</w:t>
      </w:r>
      <w:r>
        <w:rPr>
          <w:spacing w:val="-3"/>
          <w:w w:val="105"/>
        </w:rPr>
        <w:t> </w:t>
      </w:r>
      <w:r>
        <w:rPr>
          <w:w w:val="105"/>
        </w:rPr>
        <w:t>key</w:t>
      </w:r>
      <w:r>
        <w:rPr>
          <w:spacing w:val="-3"/>
          <w:w w:val="105"/>
        </w:rPr>
        <w:t> </w:t>
      </w:r>
      <w:r>
        <w:rPr>
          <w:w w:val="105"/>
        </w:rPr>
        <w:t>research</w:t>
      </w:r>
      <w:r>
        <w:rPr>
          <w:spacing w:val="-3"/>
          <w:w w:val="105"/>
        </w:rPr>
        <w:t> </w:t>
      </w:r>
      <w:r>
        <w:rPr>
          <w:w w:val="105"/>
        </w:rPr>
        <w:t>and</w:t>
      </w:r>
      <w:r>
        <w:rPr>
          <w:spacing w:val="-3"/>
          <w:w w:val="105"/>
        </w:rPr>
        <w:t> </w:t>
      </w:r>
      <w:r>
        <w:rPr>
          <w:w w:val="105"/>
        </w:rPr>
        <w:t>development</w:t>
      </w:r>
      <w:r>
        <w:rPr>
          <w:spacing w:val="-3"/>
          <w:w w:val="105"/>
        </w:rPr>
        <w:t> </w:t>
      </w:r>
      <w:r>
        <w:rPr>
          <w:w w:val="105"/>
        </w:rPr>
        <w:t>or</w:t>
      </w:r>
      <w:r>
        <w:rPr>
          <w:spacing w:val="-1"/>
          <w:w w:val="105"/>
        </w:rPr>
        <w:t> </w:t>
      </w:r>
      <w:r>
        <w:rPr>
          <w:w w:val="105"/>
        </w:rPr>
        <w:t>engineering</w:t>
      </w:r>
      <w:r>
        <w:rPr>
          <w:spacing w:val="-3"/>
          <w:w w:val="105"/>
        </w:rPr>
        <w:t> </w:t>
      </w:r>
      <w:r>
        <w:rPr>
          <w:w w:val="105"/>
        </w:rPr>
        <w:t>team</w:t>
      </w:r>
      <w:r>
        <w:rPr>
          <w:spacing w:val="-3"/>
          <w:w w:val="105"/>
        </w:rPr>
        <w:t> </w:t>
      </w:r>
      <w:r>
        <w:rPr>
          <w:w w:val="105"/>
        </w:rPr>
        <w:t>without adequate</w:t>
      </w:r>
      <w:r>
        <w:rPr>
          <w:spacing w:val="-1"/>
          <w:w w:val="105"/>
        </w:rPr>
        <w:t> </w:t>
      </w:r>
      <w:r>
        <w:rPr>
          <w:w w:val="105"/>
        </w:rPr>
        <w:t>replacement,</w:t>
      </w:r>
      <w:r>
        <w:rPr>
          <w:spacing w:val="-1"/>
          <w:w w:val="105"/>
        </w:rPr>
        <w:t> </w:t>
      </w:r>
      <w:r>
        <w:rPr>
          <w:w w:val="105"/>
        </w:rPr>
        <w:t>or</w:t>
      </w:r>
      <w:r>
        <w:rPr>
          <w:spacing w:val="-1"/>
          <w:w w:val="105"/>
        </w:rPr>
        <w:t> </w:t>
      </w:r>
      <w:r>
        <w:rPr>
          <w:w w:val="105"/>
        </w:rPr>
        <w:t>the</w:t>
      </w:r>
      <w:r>
        <w:rPr>
          <w:spacing w:val="-1"/>
          <w:w w:val="105"/>
        </w:rPr>
        <w:t> </w:t>
      </w:r>
      <w:r>
        <w:rPr>
          <w:w w:val="105"/>
        </w:rPr>
        <w:t>inability</w:t>
      </w:r>
      <w:r>
        <w:rPr>
          <w:spacing w:val="-1"/>
          <w:w w:val="105"/>
        </w:rPr>
        <w:t> </w:t>
      </w:r>
      <w:r>
        <w:rPr>
          <w:w w:val="105"/>
        </w:rPr>
        <w:t>to</w:t>
      </w:r>
      <w:r>
        <w:rPr>
          <w:spacing w:val="-1"/>
          <w:w w:val="105"/>
        </w:rPr>
        <w:t> </w:t>
      </w:r>
      <w:r>
        <w:rPr>
          <w:w w:val="105"/>
        </w:rPr>
        <w:t>attract</w:t>
      </w:r>
      <w:r>
        <w:rPr>
          <w:spacing w:val="-1"/>
          <w:w w:val="105"/>
        </w:rPr>
        <w:t> </w:t>
      </w:r>
      <w:r>
        <w:rPr>
          <w:w w:val="105"/>
        </w:rPr>
        <w:t>new</w:t>
      </w:r>
      <w:r>
        <w:rPr>
          <w:spacing w:val="-1"/>
          <w:w w:val="105"/>
        </w:rPr>
        <w:t> </w:t>
      </w:r>
      <w:r>
        <w:rPr>
          <w:w w:val="105"/>
        </w:rPr>
        <w:t>qualified</w:t>
      </w:r>
      <w:r>
        <w:rPr>
          <w:spacing w:val="-1"/>
          <w:w w:val="105"/>
        </w:rPr>
        <w:t> </w:t>
      </w:r>
      <w:r>
        <w:rPr>
          <w:w w:val="105"/>
        </w:rPr>
        <w:t>personnel,</w:t>
      </w:r>
      <w:r>
        <w:rPr>
          <w:spacing w:val="-1"/>
          <w:w w:val="105"/>
        </w:rPr>
        <w:t> </w:t>
      </w:r>
      <w:r>
        <w:rPr>
          <w:w w:val="105"/>
        </w:rPr>
        <w:t>could</w:t>
      </w:r>
      <w:r>
        <w:rPr>
          <w:spacing w:val="-3"/>
          <w:w w:val="105"/>
        </w:rPr>
        <w:t> </w:t>
      </w:r>
      <w:r>
        <w:rPr>
          <w:w w:val="105"/>
        </w:rPr>
        <w:t>have</w:t>
      </w:r>
      <w:r>
        <w:rPr>
          <w:spacing w:val="-1"/>
          <w:w w:val="105"/>
        </w:rPr>
        <w:t> </w:t>
      </w:r>
      <w:r>
        <w:rPr>
          <w:w w:val="105"/>
        </w:rPr>
        <w:t>a</w:t>
      </w:r>
      <w:r>
        <w:rPr>
          <w:spacing w:val="-1"/>
          <w:w w:val="105"/>
        </w:rPr>
        <w:t> </w:t>
      </w:r>
      <w:r>
        <w:rPr>
          <w:w w:val="105"/>
        </w:rPr>
        <w:t>material</w:t>
      </w:r>
      <w:r>
        <w:rPr>
          <w:spacing w:val="-1"/>
          <w:w w:val="105"/>
        </w:rPr>
        <w:t> </w:t>
      </w:r>
      <w:r>
        <w:rPr>
          <w:w w:val="105"/>
        </w:rPr>
        <w:t>adverse</w:t>
      </w:r>
      <w:r>
        <w:rPr>
          <w:spacing w:val="-1"/>
          <w:w w:val="105"/>
        </w:rPr>
        <w:t> </w:t>
      </w:r>
      <w:r>
        <w:rPr>
          <w:w w:val="105"/>
        </w:rPr>
        <w:t>effect</w:t>
      </w:r>
      <w:r>
        <w:rPr>
          <w:spacing w:val="-1"/>
          <w:w w:val="105"/>
        </w:rPr>
        <w:t> </w:t>
      </w:r>
      <w:r>
        <w:rPr>
          <w:w w:val="105"/>
        </w:rPr>
        <w:t>on</w:t>
      </w:r>
      <w:r>
        <w:rPr>
          <w:spacing w:val="-3"/>
          <w:w w:val="105"/>
        </w:rPr>
        <w:t> </w:t>
      </w:r>
      <w:r>
        <w:rPr>
          <w:w w:val="105"/>
        </w:rPr>
        <w:t>our</w:t>
      </w:r>
      <w:r>
        <w:rPr>
          <w:spacing w:val="-1"/>
          <w:w w:val="105"/>
        </w:rPr>
        <w:t> </w:t>
      </w:r>
      <w:r>
        <w:rPr>
          <w:w w:val="105"/>
        </w:rPr>
        <w:t>operations</w:t>
      </w:r>
      <w:r>
        <w:rPr>
          <w:spacing w:val="-1"/>
          <w:w w:val="105"/>
        </w:rPr>
        <w:t> </w:t>
      </w:r>
      <w:r>
        <w:rPr>
          <w:w w:val="105"/>
        </w:rPr>
        <w:t>and</w:t>
      </w:r>
      <w:r>
        <w:rPr>
          <w:spacing w:val="-1"/>
          <w:w w:val="105"/>
        </w:rPr>
        <w:t> </w:t>
      </w:r>
      <w:r>
        <w:rPr>
          <w:w w:val="105"/>
        </w:rPr>
        <w:t>financial</w:t>
      </w:r>
      <w:r>
        <w:rPr>
          <w:spacing w:val="-1"/>
          <w:w w:val="105"/>
        </w:rPr>
        <w:t> </w:t>
      </w:r>
      <w:r>
        <w:rPr>
          <w:w w:val="105"/>
        </w:rPr>
        <w:t>performance.</w:t>
      </w:r>
    </w:p>
    <w:p>
      <w:pPr>
        <w:pStyle w:val="BodyText"/>
        <w:spacing w:before="18"/>
      </w:pPr>
    </w:p>
    <w:p>
      <w:pPr>
        <w:pStyle w:val="Heading2"/>
      </w:pPr>
      <w:r>
        <w:rPr>
          <w:spacing w:val="-2"/>
          <w:w w:val="105"/>
        </w:rPr>
        <w:t>We</w:t>
      </w:r>
      <w:r>
        <w:rPr>
          <w:w w:val="105"/>
        </w:rPr>
        <w:t> </w:t>
      </w:r>
      <w:r>
        <w:rPr>
          <w:spacing w:val="-2"/>
          <w:w w:val="105"/>
        </w:rPr>
        <w:t>are</w:t>
      </w:r>
      <w:r>
        <w:rPr>
          <w:spacing w:val="1"/>
          <w:w w:val="105"/>
        </w:rPr>
        <w:t> </w:t>
      </w:r>
      <w:r>
        <w:rPr>
          <w:spacing w:val="-2"/>
          <w:w w:val="105"/>
        </w:rPr>
        <w:t>subject</w:t>
      </w:r>
      <w:r>
        <w:rPr>
          <w:spacing w:val="1"/>
          <w:w w:val="105"/>
        </w:rPr>
        <w:t> </w:t>
      </w:r>
      <w:r>
        <w:rPr>
          <w:spacing w:val="-2"/>
          <w:w w:val="105"/>
        </w:rPr>
        <w:t>to</w:t>
      </w:r>
      <w:r>
        <w:rPr>
          <w:spacing w:val="1"/>
          <w:w w:val="105"/>
        </w:rPr>
        <w:t> </w:t>
      </w:r>
      <w:r>
        <w:rPr>
          <w:spacing w:val="-2"/>
          <w:w w:val="105"/>
        </w:rPr>
        <w:t>strict</w:t>
      </w:r>
      <w:r>
        <w:rPr>
          <w:w w:val="105"/>
        </w:rPr>
        <w:t> </w:t>
      </w:r>
      <w:r>
        <w:rPr>
          <w:spacing w:val="-2"/>
          <w:w w:val="105"/>
        </w:rPr>
        <w:t>environmental</w:t>
      </w:r>
      <w:r>
        <w:rPr>
          <w:spacing w:val="1"/>
          <w:w w:val="105"/>
        </w:rPr>
        <w:t> </w:t>
      </w:r>
      <w:r>
        <w:rPr>
          <w:spacing w:val="-2"/>
          <w:w w:val="105"/>
        </w:rPr>
        <w:t>regulations</w:t>
      </w:r>
      <w:r>
        <w:rPr>
          <w:spacing w:val="1"/>
          <w:w w:val="105"/>
        </w:rPr>
        <w:t> </w:t>
      </w:r>
      <w:r>
        <w:rPr>
          <w:spacing w:val="-2"/>
          <w:w w:val="105"/>
        </w:rPr>
        <w:t>and</w:t>
      </w:r>
      <w:r>
        <w:rPr>
          <w:spacing w:val="1"/>
          <w:w w:val="105"/>
        </w:rPr>
        <w:t> </w:t>
      </w:r>
      <w:r>
        <w:rPr>
          <w:spacing w:val="-2"/>
          <w:w w:val="105"/>
        </w:rPr>
        <w:t>regulatory</w:t>
      </w:r>
      <w:r>
        <w:rPr>
          <w:w w:val="105"/>
        </w:rPr>
        <w:t> </w:t>
      </w:r>
      <w:r>
        <w:rPr>
          <w:spacing w:val="-2"/>
          <w:w w:val="105"/>
        </w:rPr>
        <w:t>changes</w:t>
      </w:r>
      <w:r>
        <w:rPr>
          <w:spacing w:val="1"/>
          <w:w w:val="105"/>
        </w:rPr>
        <w:t> </w:t>
      </w:r>
      <w:r>
        <w:rPr>
          <w:spacing w:val="-2"/>
          <w:w w:val="105"/>
        </w:rPr>
        <w:t>that</w:t>
      </w:r>
      <w:r>
        <w:rPr>
          <w:spacing w:val="1"/>
          <w:w w:val="105"/>
        </w:rPr>
        <w:t> </w:t>
      </w:r>
      <w:r>
        <w:rPr>
          <w:spacing w:val="-2"/>
          <w:w w:val="105"/>
        </w:rPr>
        <w:t>could</w:t>
      </w:r>
      <w:r>
        <w:rPr>
          <w:spacing w:val="1"/>
          <w:w w:val="105"/>
        </w:rPr>
        <w:t> </w:t>
      </w:r>
      <w:r>
        <w:rPr>
          <w:spacing w:val="-2"/>
          <w:w w:val="105"/>
        </w:rPr>
        <w:t>result</w:t>
      </w:r>
      <w:r>
        <w:rPr>
          <w:spacing w:val="1"/>
          <w:w w:val="105"/>
        </w:rPr>
        <w:t> </w:t>
      </w:r>
      <w:r>
        <w:rPr>
          <w:spacing w:val="-2"/>
          <w:w w:val="105"/>
        </w:rPr>
        <w:t>in</w:t>
      </w:r>
      <w:r>
        <w:rPr>
          <w:w w:val="105"/>
        </w:rPr>
        <w:t> </w:t>
      </w:r>
      <w:r>
        <w:rPr>
          <w:spacing w:val="-2"/>
          <w:w w:val="105"/>
        </w:rPr>
        <w:t>fines</w:t>
      </w:r>
      <w:r>
        <w:rPr>
          <w:spacing w:val="1"/>
          <w:w w:val="105"/>
        </w:rPr>
        <w:t> </w:t>
      </w:r>
      <w:r>
        <w:rPr>
          <w:spacing w:val="-2"/>
          <w:w w:val="105"/>
        </w:rPr>
        <w:t>or</w:t>
      </w:r>
      <w:r>
        <w:rPr>
          <w:spacing w:val="1"/>
          <w:w w:val="105"/>
        </w:rPr>
        <w:t> </w:t>
      </w:r>
      <w:r>
        <w:rPr>
          <w:spacing w:val="-2"/>
          <w:w w:val="105"/>
        </w:rPr>
        <w:t>restrictions</w:t>
      </w:r>
      <w:r>
        <w:rPr>
          <w:spacing w:val="1"/>
          <w:w w:val="105"/>
        </w:rPr>
        <w:t> </w:t>
      </w:r>
      <w:r>
        <w:rPr>
          <w:spacing w:val="-2"/>
          <w:w w:val="105"/>
        </w:rPr>
        <w:t>that</w:t>
      </w:r>
      <w:r>
        <w:rPr>
          <w:w w:val="105"/>
        </w:rPr>
        <w:t> </w:t>
      </w:r>
      <w:r>
        <w:rPr>
          <w:spacing w:val="-2"/>
          <w:w w:val="105"/>
        </w:rPr>
        <w:t>interrupt</w:t>
      </w:r>
      <w:r>
        <w:rPr>
          <w:spacing w:val="1"/>
          <w:w w:val="105"/>
        </w:rPr>
        <w:t> </w:t>
      </w:r>
      <w:r>
        <w:rPr>
          <w:spacing w:val="-2"/>
          <w:w w:val="105"/>
        </w:rPr>
        <w:t>our</w:t>
      </w:r>
      <w:r>
        <w:rPr>
          <w:spacing w:val="1"/>
          <w:w w:val="105"/>
        </w:rPr>
        <w:t> </w:t>
      </w:r>
      <w:r>
        <w:rPr>
          <w:spacing w:val="-2"/>
          <w:w w:val="105"/>
        </w:rPr>
        <w:t>operations</w:t>
      </w:r>
    </w:p>
    <w:p>
      <w:pPr>
        <w:pStyle w:val="BodyText"/>
        <w:spacing w:before="40"/>
        <w:rPr>
          <w:b/>
        </w:rPr>
      </w:pPr>
    </w:p>
    <w:p>
      <w:pPr>
        <w:pStyle w:val="BodyText"/>
        <w:spacing w:line="266" w:lineRule="auto"/>
        <w:ind w:left="156"/>
      </w:pPr>
      <w:r>
        <w:rPr>
          <w:w w:val="105"/>
        </w:rPr>
        <w:t>Some</w:t>
      </w:r>
      <w:r>
        <w:rPr>
          <w:spacing w:val="-9"/>
          <w:w w:val="105"/>
        </w:rPr>
        <w:t> </w:t>
      </w:r>
      <w:r>
        <w:rPr>
          <w:w w:val="105"/>
        </w:rPr>
        <w:t>of</w:t>
      </w:r>
      <w:r>
        <w:rPr>
          <w:spacing w:val="-9"/>
          <w:w w:val="105"/>
        </w:rPr>
        <w:t> </w:t>
      </w:r>
      <w:r>
        <w:rPr>
          <w:w w:val="105"/>
        </w:rPr>
        <w:t>our</w:t>
      </w:r>
      <w:r>
        <w:rPr>
          <w:spacing w:val="-9"/>
          <w:w w:val="105"/>
        </w:rPr>
        <w:t> </w:t>
      </w:r>
      <w:r>
        <w:rPr>
          <w:w w:val="105"/>
        </w:rPr>
        <w:t>manufacturing</w:t>
      </w:r>
      <w:r>
        <w:rPr>
          <w:spacing w:val="-9"/>
          <w:w w:val="105"/>
        </w:rPr>
        <w:t> </w:t>
      </w:r>
      <w:r>
        <w:rPr>
          <w:w w:val="105"/>
        </w:rPr>
        <w:t>processes</w:t>
      </w:r>
      <w:r>
        <w:rPr>
          <w:spacing w:val="-9"/>
          <w:w w:val="105"/>
        </w:rPr>
        <w:t> </w:t>
      </w:r>
      <w:r>
        <w:rPr>
          <w:w w:val="105"/>
        </w:rPr>
        <w:t>generate</w:t>
      </w:r>
      <w:r>
        <w:rPr>
          <w:spacing w:val="-9"/>
          <w:w w:val="105"/>
        </w:rPr>
        <w:t> </w:t>
      </w:r>
      <w:r>
        <w:rPr>
          <w:w w:val="105"/>
        </w:rPr>
        <w:t>chemical</w:t>
      </w:r>
      <w:r>
        <w:rPr>
          <w:spacing w:val="-9"/>
          <w:w w:val="105"/>
        </w:rPr>
        <w:t> </w:t>
      </w:r>
      <w:r>
        <w:rPr>
          <w:w w:val="105"/>
        </w:rPr>
        <w:t>waste,</w:t>
      </w:r>
      <w:r>
        <w:rPr>
          <w:spacing w:val="-9"/>
          <w:w w:val="105"/>
        </w:rPr>
        <w:t> </w:t>
      </w:r>
      <w:r>
        <w:rPr>
          <w:w w:val="105"/>
        </w:rPr>
        <w:t>wastewater,</w:t>
      </w:r>
      <w:r>
        <w:rPr>
          <w:spacing w:val="-9"/>
          <w:w w:val="105"/>
        </w:rPr>
        <w:t> </w:t>
      </w:r>
      <w:r>
        <w:rPr>
          <w:w w:val="105"/>
        </w:rPr>
        <w:t>other</w:t>
      </w:r>
      <w:r>
        <w:rPr>
          <w:spacing w:val="-7"/>
          <w:w w:val="105"/>
        </w:rPr>
        <w:t> </w:t>
      </w:r>
      <w:r>
        <w:rPr>
          <w:w w:val="105"/>
        </w:rPr>
        <w:t>industrial</w:t>
      </w:r>
      <w:r>
        <w:rPr>
          <w:spacing w:val="-9"/>
          <w:w w:val="105"/>
        </w:rPr>
        <w:t> </w:t>
      </w:r>
      <w:r>
        <w:rPr>
          <w:w w:val="105"/>
        </w:rPr>
        <w:t>waste</w:t>
      </w:r>
      <w:r>
        <w:rPr>
          <w:spacing w:val="-9"/>
          <w:w w:val="105"/>
        </w:rPr>
        <w:t> </w:t>
      </w:r>
      <w:r>
        <w:rPr>
          <w:w w:val="105"/>
        </w:rPr>
        <w:t>or</w:t>
      </w:r>
      <w:r>
        <w:rPr>
          <w:spacing w:val="-9"/>
          <w:w w:val="105"/>
        </w:rPr>
        <w:t> </w:t>
      </w:r>
      <w:r>
        <w:rPr>
          <w:w w:val="105"/>
        </w:rPr>
        <w:t>greenhouse</w:t>
      </w:r>
      <w:r>
        <w:rPr>
          <w:spacing w:val="-9"/>
          <w:w w:val="105"/>
        </w:rPr>
        <w:t> </w:t>
      </w:r>
      <w:r>
        <w:rPr>
          <w:w w:val="105"/>
        </w:rPr>
        <w:t>gases,</w:t>
      </w:r>
      <w:r>
        <w:rPr>
          <w:spacing w:val="-9"/>
          <w:w w:val="105"/>
        </w:rPr>
        <w:t> </w:t>
      </w:r>
      <w:r>
        <w:rPr>
          <w:w w:val="105"/>
        </w:rPr>
        <w:t>and</w:t>
      </w:r>
      <w:r>
        <w:rPr>
          <w:spacing w:val="-9"/>
          <w:w w:val="105"/>
        </w:rPr>
        <w:t> </w:t>
      </w:r>
      <w:r>
        <w:rPr>
          <w:w w:val="105"/>
        </w:rPr>
        <w:t>we</w:t>
      </w:r>
      <w:r>
        <w:rPr>
          <w:spacing w:val="-9"/>
          <w:w w:val="105"/>
        </w:rPr>
        <w:t> </w:t>
      </w:r>
      <w:r>
        <w:rPr>
          <w:w w:val="105"/>
        </w:rPr>
        <w:t>are</w:t>
      </w:r>
      <w:r>
        <w:rPr>
          <w:spacing w:val="-9"/>
          <w:w w:val="105"/>
        </w:rPr>
        <w:t> </w:t>
      </w:r>
      <w:r>
        <w:rPr>
          <w:w w:val="105"/>
        </w:rPr>
        <w:t>subject</w:t>
      </w:r>
      <w:r>
        <w:rPr>
          <w:spacing w:val="-9"/>
          <w:w w:val="105"/>
        </w:rPr>
        <w:t> </w:t>
      </w:r>
      <w:r>
        <w:rPr>
          <w:w w:val="105"/>
        </w:rPr>
        <w:t>to</w:t>
      </w:r>
      <w:r>
        <w:rPr>
          <w:spacing w:val="-9"/>
          <w:w w:val="105"/>
        </w:rPr>
        <w:t> </w:t>
      </w:r>
      <w:r>
        <w:rPr>
          <w:w w:val="105"/>
        </w:rPr>
        <w:t>numerous</w:t>
      </w:r>
      <w:r>
        <w:rPr>
          <w:spacing w:val="-9"/>
          <w:w w:val="105"/>
        </w:rPr>
        <w:t> </w:t>
      </w:r>
      <w:r>
        <w:rPr>
          <w:w w:val="105"/>
        </w:rPr>
        <w:t>laws</w:t>
      </w:r>
      <w:r>
        <w:rPr>
          <w:spacing w:val="-9"/>
          <w:w w:val="105"/>
        </w:rPr>
        <w:t> </w:t>
      </w:r>
      <w:r>
        <w:rPr>
          <w:w w:val="105"/>
        </w:rPr>
        <w:t>and</w:t>
      </w:r>
      <w:r>
        <w:rPr>
          <w:spacing w:val="-9"/>
          <w:w w:val="105"/>
        </w:rPr>
        <w:t> </w:t>
      </w:r>
      <w:r>
        <w:rPr>
          <w:w w:val="105"/>
        </w:rPr>
        <w:t>regulations relating</w:t>
      </w:r>
      <w:r>
        <w:rPr>
          <w:spacing w:val="-7"/>
          <w:w w:val="105"/>
        </w:rPr>
        <w:t> </w:t>
      </w:r>
      <w:r>
        <w:rPr>
          <w:w w:val="105"/>
        </w:rPr>
        <w:t>to</w:t>
      </w:r>
      <w:r>
        <w:rPr>
          <w:spacing w:val="-7"/>
          <w:w w:val="105"/>
        </w:rPr>
        <w:t> </w:t>
      </w:r>
      <w:r>
        <w:rPr>
          <w:w w:val="105"/>
        </w:rPr>
        <w:t>the</w:t>
      </w:r>
      <w:r>
        <w:rPr>
          <w:spacing w:val="-7"/>
          <w:w w:val="105"/>
        </w:rPr>
        <w:t> </w:t>
      </w:r>
      <w:r>
        <w:rPr>
          <w:w w:val="105"/>
        </w:rPr>
        <w:t>use,</w:t>
      </w:r>
      <w:r>
        <w:rPr>
          <w:spacing w:val="-7"/>
          <w:w w:val="105"/>
        </w:rPr>
        <w:t> </w:t>
      </w:r>
      <w:r>
        <w:rPr>
          <w:w w:val="105"/>
        </w:rPr>
        <w:t>storage,</w:t>
      </w:r>
      <w:r>
        <w:rPr>
          <w:spacing w:val="-7"/>
          <w:w w:val="105"/>
        </w:rPr>
        <w:t> </w:t>
      </w:r>
      <w:r>
        <w:rPr>
          <w:w w:val="105"/>
        </w:rPr>
        <w:t>discharge</w:t>
      </w:r>
      <w:r>
        <w:rPr>
          <w:spacing w:val="-7"/>
          <w:w w:val="105"/>
        </w:rPr>
        <w:t> </w:t>
      </w:r>
      <w:r>
        <w:rPr>
          <w:w w:val="105"/>
        </w:rPr>
        <w:t>and</w:t>
      </w:r>
      <w:r>
        <w:rPr>
          <w:spacing w:val="-7"/>
          <w:w w:val="105"/>
        </w:rPr>
        <w:t> </w:t>
      </w:r>
      <w:r>
        <w:rPr>
          <w:w w:val="105"/>
        </w:rPr>
        <w:t>disposal</w:t>
      </w:r>
      <w:r>
        <w:rPr>
          <w:spacing w:val="-7"/>
          <w:w w:val="105"/>
        </w:rPr>
        <w:t> </w:t>
      </w:r>
      <w:r>
        <w:rPr>
          <w:w w:val="105"/>
        </w:rPr>
        <w:t>of</w:t>
      </w:r>
      <w:r>
        <w:rPr>
          <w:spacing w:val="-7"/>
          <w:w w:val="105"/>
        </w:rPr>
        <w:t> </w:t>
      </w:r>
      <w:r>
        <w:rPr>
          <w:w w:val="105"/>
        </w:rPr>
        <w:t>such</w:t>
      </w:r>
      <w:r>
        <w:rPr>
          <w:spacing w:val="-7"/>
          <w:w w:val="105"/>
        </w:rPr>
        <w:t> </w:t>
      </w:r>
      <w:r>
        <w:rPr>
          <w:w w:val="105"/>
        </w:rPr>
        <w:t>substances.</w:t>
      </w:r>
      <w:r>
        <w:rPr>
          <w:spacing w:val="-7"/>
          <w:w w:val="105"/>
        </w:rPr>
        <w:t> </w:t>
      </w:r>
      <w:r>
        <w:rPr>
          <w:w w:val="105"/>
        </w:rPr>
        <w:t>We</w:t>
      </w:r>
      <w:r>
        <w:rPr>
          <w:spacing w:val="-7"/>
          <w:w w:val="105"/>
        </w:rPr>
        <w:t> </w:t>
      </w:r>
      <w:r>
        <w:rPr>
          <w:w w:val="105"/>
        </w:rPr>
        <w:t>have</w:t>
      </w:r>
      <w:r>
        <w:rPr>
          <w:spacing w:val="-7"/>
          <w:w w:val="105"/>
        </w:rPr>
        <w:t> </w:t>
      </w:r>
      <w:r>
        <w:rPr>
          <w:w w:val="105"/>
        </w:rPr>
        <w:t>installed</w:t>
      </w:r>
      <w:r>
        <w:rPr>
          <w:spacing w:val="-7"/>
          <w:w w:val="105"/>
        </w:rPr>
        <w:t> </w:t>
      </w:r>
      <w:r>
        <w:rPr>
          <w:w w:val="105"/>
        </w:rPr>
        <w:t>anti-pollution</w:t>
      </w:r>
      <w:r>
        <w:rPr>
          <w:spacing w:val="-7"/>
          <w:w w:val="105"/>
        </w:rPr>
        <w:t> </w:t>
      </w:r>
      <w:r>
        <w:rPr>
          <w:w w:val="105"/>
        </w:rPr>
        <w:t>equipment</w:t>
      </w:r>
      <w:r>
        <w:rPr>
          <w:spacing w:val="-7"/>
          <w:w w:val="105"/>
        </w:rPr>
        <w:t> </w:t>
      </w:r>
      <w:r>
        <w:rPr>
          <w:w w:val="105"/>
        </w:rPr>
        <w:t>for</w:t>
      </w:r>
      <w:r>
        <w:rPr>
          <w:spacing w:val="-7"/>
          <w:w w:val="105"/>
        </w:rPr>
        <w:t> </w:t>
      </w:r>
      <w:r>
        <w:rPr>
          <w:w w:val="105"/>
        </w:rPr>
        <w:t>the</w:t>
      </w:r>
      <w:r>
        <w:rPr>
          <w:spacing w:val="-7"/>
          <w:w w:val="105"/>
        </w:rPr>
        <w:t> </w:t>
      </w:r>
      <w:r>
        <w:rPr>
          <w:w w:val="105"/>
        </w:rPr>
        <w:t>treatment</w:t>
      </w:r>
      <w:r>
        <w:rPr>
          <w:spacing w:val="-7"/>
          <w:w w:val="105"/>
        </w:rPr>
        <w:t> </w:t>
      </w:r>
      <w:r>
        <w:rPr>
          <w:w w:val="105"/>
        </w:rPr>
        <w:t>of</w:t>
      </w:r>
      <w:r>
        <w:rPr>
          <w:spacing w:val="-7"/>
          <w:w w:val="105"/>
        </w:rPr>
        <w:t> </w:t>
      </w:r>
      <w:r>
        <w:rPr>
          <w:w w:val="105"/>
        </w:rPr>
        <w:t>chemical</w:t>
      </w:r>
      <w:r>
        <w:rPr>
          <w:spacing w:val="-7"/>
          <w:w w:val="105"/>
        </w:rPr>
        <w:t> </w:t>
      </w:r>
      <w:r>
        <w:rPr>
          <w:w w:val="105"/>
        </w:rPr>
        <w:t>waste</w:t>
      </w:r>
      <w:r>
        <w:rPr>
          <w:spacing w:val="-7"/>
          <w:w w:val="105"/>
        </w:rPr>
        <w:t> </w:t>
      </w:r>
      <w:r>
        <w:rPr>
          <w:w w:val="105"/>
        </w:rPr>
        <w:t>and</w:t>
      </w:r>
      <w:r>
        <w:rPr>
          <w:spacing w:val="-7"/>
          <w:w w:val="105"/>
        </w:rPr>
        <w:t> </w:t>
      </w:r>
      <w:r>
        <w:rPr>
          <w:w w:val="105"/>
        </w:rPr>
        <w:t>wastewater</w:t>
      </w:r>
      <w:r>
        <w:rPr>
          <w:spacing w:val="-7"/>
          <w:w w:val="105"/>
        </w:rPr>
        <w:t> </w:t>
      </w:r>
      <w:r>
        <w:rPr>
          <w:w w:val="105"/>
        </w:rPr>
        <w:t>at</w:t>
      </w:r>
      <w:r>
        <w:rPr>
          <w:spacing w:val="-7"/>
          <w:w w:val="105"/>
        </w:rPr>
        <w:t> </w:t>
      </w:r>
      <w:r>
        <w:rPr>
          <w:w w:val="105"/>
        </w:rPr>
        <w:t>our facilities.</w:t>
      </w:r>
      <w:r>
        <w:rPr>
          <w:spacing w:val="-1"/>
          <w:w w:val="105"/>
        </w:rPr>
        <w:t> </w:t>
      </w:r>
      <w:r>
        <w:rPr>
          <w:w w:val="105"/>
        </w:rPr>
        <w:t>We</w:t>
      </w:r>
      <w:r>
        <w:rPr>
          <w:spacing w:val="-1"/>
          <w:w w:val="105"/>
        </w:rPr>
        <w:t> </w:t>
      </w:r>
      <w:r>
        <w:rPr>
          <w:w w:val="105"/>
        </w:rPr>
        <w:t>have</w:t>
      </w:r>
      <w:r>
        <w:rPr>
          <w:spacing w:val="-1"/>
          <w:w w:val="105"/>
        </w:rPr>
        <w:t> </w:t>
      </w:r>
      <w:r>
        <w:rPr>
          <w:w w:val="105"/>
        </w:rPr>
        <w:t>taken</w:t>
      </w:r>
      <w:r>
        <w:rPr>
          <w:spacing w:val="-1"/>
          <w:w w:val="105"/>
        </w:rPr>
        <w:t> </w:t>
      </w:r>
      <w:r>
        <w:rPr>
          <w:w w:val="105"/>
        </w:rPr>
        <w:t>steps</w:t>
      </w:r>
      <w:r>
        <w:rPr>
          <w:spacing w:val="-1"/>
          <w:w w:val="105"/>
        </w:rPr>
        <w:t> </w:t>
      </w:r>
      <w:r>
        <w:rPr>
          <w:w w:val="105"/>
        </w:rPr>
        <w:t>to</w:t>
      </w:r>
      <w:r>
        <w:rPr>
          <w:spacing w:val="-1"/>
          <w:w w:val="105"/>
        </w:rPr>
        <w:t> </w:t>
      </w:r>
      <w:r>
        <w:rPr>
          <w:w w:val="105"/>
        </w:rPr>
        <w:t>control</w:t>
      </w:r>
      <w:r>
        <w:rPr>
          <w:spacing w:val="-1"/>
          <w:w w:val="105"/>
        </w:rPr>
        <w:t> </w:t>
      </w:r>
      <w:r>
        <w:rPr>
          <w:w w:val="105"/>
        </w:rPr>
        <w:t>the amount</w:t>
      </w:r>
      <w:r>
        <w:rPr>
          <w:spacing w:val="-1"/>
          <w:w w:val="105"/>
        </w:rPr>
        <w:t> </w:t>
      </w:r>
      <w:r>
        <w:rPr>
          <w:w w:val="105"/>
        </w:rPr>
        <w:t>of</w:t>
      </w:r>
      <w:r>
        <w:rPr>
          <w:spacing w:val="-1"/>
          <w:w w:val="105"/>
        </w:rPr>
        <w:t> </w:t>
      </w:r>
      <w:r>
        <w:rPr>
          <w:w w:val="105"/>
        </w:rPr>
        <w:t>greenhouse</w:t>
      </w:r>
      <w:r>
        <w:rPr>
          <w:spacing w:val="-1"/>
          <w:w w:val="105"/>
        </w:rPr>
        <w:t> </w:t>
      </w:r>
      <w:r>
        <w:rPr>
          <w:w w:val="105"/>
        </w:rPr>
        <w:t>gases</w:t>
      </w:r>
      <w:r>
        <w:rPr>
          <w:spacing w:val="-1"/>
          <w:w w:val="105"/>
        </w:rPr>
        <w:t> </w:t>
      </w:r>
      <w:r>
        <w:rPr>
          <w:w w:val="105"/>
        </w:rPr>
        <w:t>created</w:t>
      </w:r>
      <w:r>
        <w:rPr>
          <w:spacing w:val="-1"/>
          <w:w w:val="105"/>
        </w:rPr>
        <w:t> </w:t>
      </w:r>
      <w:r>
        <w:rPr>
          <w:w w:val="105"/>
        </w:rPr>
        <w:t>by</w:t>
      </w:r>
      <w:r>
        <w:rPr>
          <w:spacing w:val="-1"/>
          <w:w w:val="105"/>
        </w:rPr>
        <w:t> </w:t>
      </w:r>
      <w:r>
        <w:rPr>
          <w:w w:val="105"/>
        </w:rPr>
        <w:t>our</w:t>
      </w:r>
      <w:r>
        <w:rPr>
          <w:spacing w:val="-1"/>
          <w:w w:val="105"/>
        </w:rPr>
        <w:t> </w:t>
      </w:r>
      <w:r>
        <w:rPr>
          <w:w w:val="105"/>
        </w:rPr>
        <w:t>manufacturing</w:t>
      </w:r>
      <w:r>
        <w:rPr>
          <w:spacing w:val="-1"/>
          <w:w w:val="105"/>
        </w:rPr>
        <w:t> </w:t>
      </w:r>
      <w:r>
        <w:rPr>
          <w:w w:val="105"/>
        </w:rPr>
        <w:t>operations.</w:t>
      </w:r>
      <w:r>
        <w:rPr>
          <w:spacing w:val="-1"/>
          <w:w w:val="105"/>
        </w:rPr>
        <w:t> </w:t>
      </w:r>
      <w:r>
        <w:rPr>
          <w:w w:val="105"/>
        </w:rPr>
        <w:t>However,</w:t>
      </w:r>
      <w:r>
        <w:rPr>
          <w:spacing w:val="-1"/>
          <w:w w:val="105"/>
        </w:rPr>
        <w:t> </w:t>
      </w:r>
      <w:r>
        <w:rPr>
          <w:w w:val="105"/>
        </w:rPr>
        <w:t>we</w:t>
      </w:r>
      <w:r>
        <w:rPr>
          <w:spacing w:val="-1"/>
          <w:w w:val="105"/>
        </w:rPr>
        <w:t> </w:t>
      </w:r>
      <w:r>
        <w:rPr>
          <w:w w:val="105"/>
        </w:rPr>
        <w:t>cannot</w:t>
      </w:r>
      <w:r>
        <w:rPr>
          <w:spacing w:val="-1"/>
          <w:w w:val="105"/>
        </w:rPr>
        <w:t> </w:t>
      </w:r>
      <w:r>
        <w:rPr>
          <w:w w:val="105"/>
        </w:rPr>
        <w:t>provide</w:t>
      </w:r>
      <w:r>
        <w:rPr>
          <w:spacing w:val="-1"/>
          <w:w w:val="105"/>
        </w:rPr>
        <w:t> </w:t>
      </w:r>
      <w:r>
        <w:rPr>
          <w:w w:val="105"/>
        </w:rPr>
        <w:t>assurance</w:t>
      </w:r>
      <w:r>
        <w:rPr>
          <w:spacing w:val="-1"/>
          <w:w w:val="105"/>
        </w:rPr>
        <w:t> </w:t>
      </w:r>
      <w:r>
        <w:rPr>
          <w:w w:val="105"/>
        </w:rPr>
        <w:t>that environmental</w:t>
      </w:r>
      <w:r>
        <w:rPr>
          <w:spacing w:val="-1"/>
          <w:w w:val="105"/>
        </w:rPr>
        <w:t> </w:t>
      </w:r>
      <w:r>
        <w:rPr>
          <w:w w:val="105"/>
        </w:rPr>
        <w:t>claims</w:t>
      </w:r>
      <w:r>
        <w:rPr>
          <w:spacing w:val="-1"/>
          <w:w w:val="105"/>
        </w:rPr>
        <w:t> </w:t>
      </w:r>
      <w:r>
        <w:rPr>
          <w:w w:val="105"/>
        </w:rPr>
        <w:t>will</w:t>
      </w:r>
      <w:r>
        <w:rPr>
          <w:spacing w:val="-1"/>
          <w:w w:val="105"/>
        </w:rPr>
        <w:t> </w:t>
      </w:r>
      <w:r>
        <w:rPr>
          <w:w w:val="105"/>
        </w:rPr>
        <w:t>not</w:t>
      </w:r>
      <w:r>
        <w:rPr>
          <w:spacing w:val="-1"/>
          <w:w w:val="105"/>
        </w:rPr>
        <w:t> </w:t>
      </w:r>
      <w:r>
        <w:rPr>
          <w:w w:val="105"/>
        </w:rPr>
        <w:t>be</w:t>
      </w:r>
      <w:r>
        <w:rPr>
          <w:spacing w:val="-1"/>
          <w:w w:val="105"/>
        </w:rPr>
        <w:t> </w:t>
      </w:r>
      <w:r>
        <w:rPr>
          <w:w w:val="105"/>
        </w:rPr>
        <w:t>brought</w:t>
      </w:r>
      <w:r>
        <w:rPr>
          <w:spacing w:val="-1"/>
          <w:w w:val="105"/>
        </w:rPr>
        <w:t> </w:t>
      </w:r>
      <w:r>
        <w:rPr>
          <w:w w:val="105"/>
        </w:rPr>
        <w:t>against</w:t>
      </w:r>
      <w:r>
        <w:rPr>
          <w:spacing w:val="-1"/>
          <w:w w:val="105"/>
        </w:rPr>
        <w:t> </w:t>
      </w:r>
      <w:r>
        <w:rPr>
          <w:w w:val="105"/>
        </w:rPr>
        <w:t>us</w:t>
      </w:r>
      <w:r>
        <w:rPr>
          <w:spacing w:val="-1"/>
          <w:w w:val="105"/>
        </w:rPr>
        <w:t> </w:t>
      </w:r>
      <w:r>
        <w:rPr>
          <w:w w:val="105"/>
        </w:rPr>
        <w:t>or</w:t>
      </w:r>
      <w:r>
        <w:rPr>
          <w:spacing w:val="-1"/>
          <w:w w:val="105"/>
        </w:rPr>
        <w:t> </w:t>
      </w:r>
      <w:r>
        <w:rPr>
          <w:w w:val="105"/>
        </w:rPr>
        <w:t>that</w:t>
      </w:r>
      <w:r>
        <w:rPr>
          <w:spacing w:val="-1"/>
          <w:w w:val="105"/>
        </w:rPr>
        <w:t> </w:t>
      </w:r>
      <w:r>
        <w:rPr>
          <w:w w:val="105"/>
        </w:rPr>
        <w:t>government</w:t>
      </w:r>
      <w:r>
        <w:rPr>
          <w:spacing w:val="-1"/>
          <w:w w:val="105"/>
        </w:rPr>
        <w:t> </w:t>
      </w:r>
      <w:r>
        <w:rPr>
          <w:w w:val="105"/>
        </w:rPr>
        <w:t>regulators</w:t>
      </w:r>
      <w:r>
        <w:rPr>
          <w:spacing w:val="-1"/>
          <w:w w:val="105"/>
        </w:rPr>
        <w:t> </w:t>
      </w:r>
      <w:r>
        <w:rPr>
          <w:w w:val="105"/>
        </w:rPr>
        <w:t>will</w:t>
      </w:r>
      <w:r>
        <w:rPr>
          <w:spacing w:val="-1"/>
          <w:w w:val="105"/>
        </w:rPr>
        <w:t> </w:t>
      </w:r>
      <w:r>
        <w:rPr>
          <w:w w:val="105"/>
        </w:rPr>
        <w:t>not</w:t>
      </w:r>
      <w:r>
        <w:rPr>
          <w:spacing w:val="-1"/>
          <w:w w:val="105"/>
        </w:rPr>
        <w:t> </w:t>
      </w:r>
      <w:r>
        <w:rPr>
          <w:w w:val="105"/>
        </w:rPr>
        <w:t>take</w:t>
      </w:r>
      <w:r>
        <w:rPr>
          <w:spacing w:val="-1"/>
          <w:w w:val="105"/>
        </w:rPr>
        <w:t> </w:t>
      </w:r>
      <w:r>
        <w:rPr>
          <w:w w:val="105"/>
        </w:rPr>
        <w:t>steps</w:t>
      </w:r>
      <w:r>
        <w:rPr>
          <w:spacing w:val="-1"/>
          <w:w w:val="105"/>
        </w:rPr>
        <w:t> </w:t>
      </w:r>
      <w:r>
        <w:rPr>
          <w:w w:val="105"/>
        </w:rPr>
        <w:t>to</w:t>
      </w:r>
      <w:r>
        <w:rPr>
          <w:spacing w:val="-1"/>
          <w:w w:val="105"/>
        </w:rPr>
        <w:t> </w:t>
      </w:r>
      <w:r>
        <w:rPr>
          <w:w w:val="105"/>
        </w:rPr>
        <w:t>adopt</w:t>
      </w:r>
      <w:r>
        <w:rPr>
          <w:spacing w:val="-1"/>
          <w:w w:val="105"/>
        </w:rPr>
        <w:t> </w:t>
      </w:r>
      <w:r>
        <w:rPr>
          <w:w w:val="105"/>
        </w:rPr>
        <w:t>more</w:t>
      </w:r>
      <w:r>
        <w:rPr>
          <w:spacing w:val="-1"/>
          <w:w w:val="105"/>
        </w:rPr>
        <w:t> </w:t>
      </w:r>
      <w:r>
        <w:rPr>
          <w:w w:val="105"/>
        </w:rPr>
        <w:t>stringent</w:t>
      </w:r>
      <w:r>
        <w:rPr>
          <w:spacing w:val="-1"/>
          <w:w w:val="105"/>
        </w:rPr>
        <w:t> </w:t>
      </w:r>
      <w:r>
        <w:rPr>
          <w:w w:val="105"/>
        </w:rPr>
        <w:t>environmental</w:t>
      </w:r>
      <w:r>
        <w:rPr>
          <w:spacing w:val="-1"/>
          <w:w w:val="105"/>
        </w:rPr>
        <w:t> </w:t>
      </w:r>
      <w:r>
        <w:rPr>
          <w:w w:val="105"/>
        </w:rPr>
        <w:t>standards.</w:t>
      </w:r>
    </w:p>
    <w:p>
      <w:pPr>
        <w:pStyle w:val="BodyText"/>
        <w:spacing w:before="18"/>
      </w:pPr>
    </w:p>
    <w:p>
      <w:pPr>
        <w:pStyle w:val="BodyText"/>
        <w:spacing w:line="266" w:lineRule="auto"/>
        <w:ind w:left="156" w:right="402"/>
        <w:jc w:val="both"/>
      </w:pPr>
      <w:r>
        <w:rPr>
          <w:w w:val="105"/>
        </w:rPr>
        <w:t>Any</w:t>
      </w:r>
      <w:r>
        <w:rPr>
          <w:spacing w:val="-7"/>
          <w:w w:val="105"/>
        </w:rPr>
        <w:t> </w:t>
      </w:r>
      <w:r>
        <w:rPr>
          <w:w w:val="105"/>
        </w:rPr>
        <w:t>failure</w:t>
      </w:r>
      <w:r>
        <w:rPr>
          <w:spacing w:val="-7"/>
          <w:w w:val="105"/>
        </w:rPr>
        <w:t> </w:t>
      </w:r>
      <w:r>
        <w:rPr>
          <w:w w:val="105"/>
        </w:rPr>
        <w:t>on</w:t>
      </w:r>
      <w:r>
        <w:rPr>
          <w:spacing w:val="-7"/>
          <w:w w:val="105"/>
        </w:rPr>
        <w:t> </w:t>
      </w:r>
      <w:r>
        <w:rPr>
          <w:w w:val="105"/>
        </w:rPr>
        <w:t>our</w:t>
      </w:r>
      <w:r>
        <w:rPr>
          <w:spacing w:val="-7"/>
          <w:w w:val="105"/>
        </w:rPr>
        <w:t> </w:t>
      </w:r>
      <w:r>
        <w:rPr>
          <w:w w:val="105"/>
        </w:rPr>
        <w:t>part</w:t>
      </w:r>
      <w:r>
        <w:rPr>
          <w:spacing w:val="-7"/>
          <w:w w:val="105"/>
        </w:rPr>
        <w:t> </w:t>
      </w:r>
      <w:r>
        <w:rPr>
          <w:w w:val="105"/>
        </w:rPr>
        <w:t>to</w:t>
      </w:r>
      <w:r>
        <w:rPr>
          <w:spacing w:val="-7"/>
          <w:w w:val="105"/>
        </w:rPr>
        <w:t> </w:t>
      </w:r>
      <w:r>
        <w:rPr>
          <w:w w:val="105"/>
        </w:rPr>
        <w:t>comply</w:t>
      </w:r>
      <w:r>
        <w:rPr>
          <w:spacing w:val="-7"/>
          <w:w w:val="105"/>
        </w:rPr>
        <w:t> </w:t>
      </w:r>
      <w:r>
        <w:rPr>
          <w:w w:val="105"/>
        </w:rPr>
        <w:t>with</w:t>
      </w:r>
      <w:r>
        <w:rPr>
          <w:spacing w:val="-7"/>
          <w:w w:val="105"/>
        </w:rPr>
        <w:t> </w:t>
      </w:r>
      <w:r>
        <w:rPr>
          <w:w w:val="105"/>
        </w:rPr>
        <w:t>any</w:t>
      </w:r>
      <w:r>
        <w:rPr>
          <w:spacing w:val="-7"/>
          <w:w w:val="105"/>
        </w:rPr>
        <w:t> </w:t>
      </w:r>
      <w:r>
        <w:rPr>
          <w:w w:val="105"/>
        </w:rPr>
        <w:t>present</w:t>
      </w:r>
      <w:r>
        <w:rPr>
          <w:spacing w:val="-7"/>
          <w:w w:val="105"/>
        </w:rPr>
        <w:t> </w:t>
      </w:r>
      <w:r>
        <w:rPr>
          <w:w w:val="105"/>
        </w:rPr>
        <w:t>or</w:t>
      </w:r>
      <w:r>
        <w:rPr>
          <w:spacing w:val="-7"/>
          <w:w w:val="105"/>
        </w:rPr>
        <w:t> </w:t>
      </w:r>
      <w:r>
        <w:rPr>
          <w:w w:val="105"/>
        </w:rPr>
        <w:t>future</w:t>
      </w:r>
      <w:r>
        <w:rPr>
          <w:spacing w:val="-7"/>
          <w:w w:val="105"/>
        </w:rPr>
        <w:t> </w:t>
      </w:r>
      <w:r>
        <w:rPr>
          <w:w w:val="105"/>
        </w:rPr>
        <w:t>environmental</w:t>
      </w:r>
      <w:r>
        <w:rPr>
          <w:spacing w:val="-7"/>
          <w:w w:val="105"/>
        </w:rPr>
        <w:t> </w:t>
      </w:r>
      <w:r>
        <w:rPr>
          <w:w w:val="105"/>
        </w:rPr>
        <w:t>regulations</w:t>
      </w:r>
      <w:r>
        <w:rPr>
          <w:spacing w:val="-6"/>
          <w:w w:val="105"/>
        </w:rPr>
        <w:t> </w:t>
      </w:r>
      <w:r>
        <w:rPr>
          <w:w w:val="105"/>
        </w:rPr>
        <w:t>could</w:t>
      </w:r>
      <w:r>
        <w:rPr>
          <w:spacing w:val="-7"/>
          <w:w w:val="105"/>
        </w:rPr>
        <w:t> </w:t>
      </w:r>
      <w:r>
        <w:rPr>
          <w:w w:val="105"/>
        </w:rPr>
        <w:t>result</w:t>
      </w:r>
      <w:r>
        <w:rPr>
          <w:spacing w:val="-7"/>
          <w:w w:val="105"/>
        </w:rPr>
        <w:t> </w:t>
      </w:r>
      <w:r>
        <w:rPr>
          <w:w w:val="105"/>
        </w:rPr>
        <w:t>in</w:t>
      </w:r>
      <w:r>
        <w:rPr>
          <w:spacing w:val="-7"/>
          <w:w w:val="105"/>
        </w:rPr>
        <w:t> </w:t>
      </w:r>
      <w:r>
        <w:rPr>
          <w:w w:val="105"/>
        </w:rPr>
        <w:t>the</w:t>
      </w:r>
      <w:r>
        <w:rPr>
          <w:spacing w:val="-7"/>
          <w:w w:val="105"/>
        </w:rPr>
        <w:t> </w:t>
      </w:r>
      <w:r>
        <w:rPr>
          <w:w w:val="105"/>
        </w:rPr>
        <w:t>assessment</w:t>
      </w:r>
      <w:r>
        <w:rPr>
          <w:spacing w:val="-7"/>
          <w:w w:val="105"/>
        </w:rPr>
        <w:t> </w:t>
      </w:r>
      <w:r>
        <w:rPr>
          <w:w w:val="105"/>
        </w:rPr>
        <w:t>of</w:t>
      </w:r>
      <w:r>
        <w:rPr>
          <w:spacing w:val="-7"/>
          <w:w w:val="105"/>
        </w:rPr>
        <w:t> </w:t>
      </w:r>
      <w:r>
        <w:rPr>
          <w:w w:val="105"/>
        </w:rPr>
        <w:t>damages</w:t>
      </w:r>
      <w:r>
        <w:rPr>
          <w:spacing w:val="-7"/>
          <w:w w:val="105"/>
        </w:rPr>
        <w:t> </w:t>
      </w:r>
      <w:r>
        <w:rPr>
          <w:w w:val="105"/>
        </w:rPr>
        <w:t>or</w:t>
      </w:r>
      <w:r>
        <w:rPr>
          <w:spacing w:val="-7"/>
          <w:w w:val="105"/>
        </w:rPr>
        <w:t> </w:t>
      </w:r>
      <w:r>
        <w:rPr>
          <w:w w:val="105"/>
        </w:rPr>
        <w:t>imposition</w:t>
      </w:r>
      <w:r>
        <w:rPr>
          <w:spacing w:val="-7"/>
          <w:w w:val="105"/>
        </w:rPr>
        <w:t> </w:t>
      </w:r>
      <w:r>
        <w:rPr>
          <w:w w:val="105"/>
        </w:rPr>
        <w:t>of</w:t>
      </w:r>
      <w:r>
        <w:rPr>
          <w:spacing w:val="-6"/>
          <w:w w:val="105"/>
        </w:rPr>
        <w:t> </w:t>
      </w:r>
      <w:r>
        <w:rPr>
          <w:w w:val="105"/>
        </w:rPr>
        <w:t>fines</w:t>
      </w:r>
      <w:r>
        <w:rPr>
          <w:spacing w:val="-7"/>
          <w:w w:val="105"/>
        </w:rPr>
        <w:t> </w:t>
      </w:r>
      <w:r>
        <w:rPr>
          <w:w w:val="105"/>
        </w:rPr>
        <w:t>against</w:t>
      </w:r>
      <w:r>
        <w:rPr>
          <w:spacing w:val="-7"/>
          <w:w w:val="105"/>
        </w:rPr>
        <w:t> </w:t>
      </w:r>
      <w:r>
        <w:rPr>
          <w:w w:val="105"/>
        </w:rPr>
        <w:t>us,</w:t>
      </w:r>
      <w:r>
        <w:rPr>
          <w:spacing w:val="-7"/>
          <w:w w:val="105"/>
        </w:rPr>
        <w:t> </w:t>
      </w:r>
      <w:r>
        <w:rPr>
          <w:w w:val="105"/>
        </w:rPr>
        <w:t>or</w:t>
      </w:r>
      <w:r>
        <w:rPr>
          <w:spacing w:val="-7"/>
          <w:w w:val="105"/>
        </w:rPr>
        <w:t> </w:t>
      </w:r>
      <w:r>
        <w:rPr>
          <w:w w:val="105"/>
        </w:rPr>
        <w:t>the suspension/cessation</w:t>
      </w:r>
      <w:r>
        <w:rPr>
          <w:spacing w:val="-9"/>
          <w:w w:val="105"/>
        </w:rPr>
        <w:t> </w:t>
      </w:r>
      <w:r>
        <w:rPr>
          <w:w w:val="105"/>
        </w:rPr>
        <w:t>of</w:t>
      </w:r>
      <w:r>
        <w:rPr>
          <w:spacing w:val="-9"/>
          <w:w w:val="105"/>
        </w:rPr>
        <w:t> </w:t>
      </w:r>
      <w:r>
        <w:rPr>
          <w:w w:val="105"/>
        </w:rPr>
        <w:t>production</w:t>
      </w:r>
      <w:r>
        <w:rPr>
          <w:spacing w:val="-9"/>
          <w:w w:val="105"/>
        </w:rPr>
        <w:t> </w:t>
      </w:r>
      <w:r>
        <w:rPr>
          <w:w w:val="105"/>
        </w:rPr>
        <w:t>or</w:t>
      </w:r>
      <w:r>
        <w:rPr>
          <w:spacing w:val="-9"/>
          <w:w w:val="105"/>
        </w:rPr>
        <w:t> </w:t>
      </w:r>
      <w:r>
        <w:rPr>
          <w:w w:val="105"/>
        </w:rPr>
        <w:t>operations.</w:t>
      </w:r>
      <w:r>
        <w:rPr>
          <w:spacing w:val="-9"/>
          <w:w w:val="105"/>
        </w:rPr>
        <w:t> </w:t>
      </w:r>
      <w:r>
        <w:rPr>
          <w:w w:val="105"/>
        </w:rPr>
        <w:t>In</w:t>
      </w:r>
      <w:r>
        <w:rPr>
          <w:spacing w:val="-9"/>
          <w:w w:val="105"/>
        </w:rPr>
        <w:t> </w:t>
      </w:r>
      <w:r>
        <w:rPr>
          <w:w w:val="105"/>
        </w:rPr>
        <w:t>addition,</w:t>
      </w:r>
      <w:r>
        <w:rPr>
          <w:spacing w:val="-9"/>
          <w:w w:val="105"/>
        </w:rPr>
        <w:t> </w:t>
      </w:r>
      <w:r>
        <w:rPr>
          <w:w w:val="105"/>
        </w:rPr>
        <w:t>environmental</w:t>
      </w:r>
      <w:r>
        <w:rPr>
          <w:spacing w:val="-9"/>
          <w:w w:val="105"/>
        </w:rPr>
        <w:t> </w:t>
      </w:r>
      <w:r>
        <w:rPr>
          <w:w w:val="105"/>
        </w:rPr>
        <w:t>regulations</w:t>
      </w:r>
      <w:r>
        <w:rPr>
          <w:spacing w:val="-8"/>
          <w:w w:val="105"/>
        </w:rPr>
        <w:t> </w:t>
      </w:r>
      <w:r>
        <w:rPr>
          <w:w w:val="105"/>
        </w:rPr>
        <w:t>could</w:t>
      </w:r>
      <w:r>
        <w:rPr>
          <w:spacing w:val="-9"/>
          <w:w w:val="105"/>
        </w:rPr>
        <w:t> </w:t>
      </w:r>
      <w:r>
        <w:rPr>
          <w:w w:val="105"/>
        </w:rPr>
        <w:t>require</w:t>
      </w:r>
      <w:r>
        <w:rPr>
          <w:spacing w:val="-9"/>
          <w:w w:val="105"/>
        </w:rPr>
        <w:t> </w:t>
      </w:r>
      <w:r>
        <w:rPr>
          <w:w w:val="105"/>
        </w:rPr>
        <w:t>us</w:t>
      </w:r>
      <w:r>
        <w:rPr>
          <w:spacing w:val="-9"/>
          <w:w w:val="105"/>
        </w:rPr>
        <w:t> </w:t>
      </w:r>
      <w:r>
        <w:rPr>
          <w:w w:val="105"/>
        </w:rPr>
        <w:t>to</w:t>
      </w:r>
      <w:r>
        <w:rPr>
          <w:spacing w:val="-9"/>
          <w:w w:val="105"/>
        </w:rPr>
        <w:t> </w:t>
      </w:r>
      <w:r>
        <w:rPr>
          <w:w w:val="105"/>
        </w:rPr>
        <w:t>acquire</w:t>
      </w:r>
      <w:r>
        <w:rPr>
          <w:spacing w:val="-8"/>
          <w:w w:val="105"/>
        </w:rPr>
        <w:t> </w:t>
      </w:r>
      <w:r>
        <w:rPr>
          <w:w w:val="105"/>
        </w:rPr>
        <w:t>costly</w:t>
      </w:r>
      <w:r>
        <w:rPr>
          <w:spacing w:val="-9"/>
          <w:w w:val="105"/>
        </w:rPr>
        <w:t> </w:t>
      </w:r>
      <w:r>
        <w:rPr>
          <w:w w:val="105"/>
        </w:rPr>
        <w:t>equipment,</w:t>
      </w:r>
      <w:r>
        <w:rPr>
          <w:spacing w:val="-9"/>
          <w:w w:val="105"/>
        </w:rPr>
        <w:t> </w:t>
      </w:r>
      <w:r>
        <w:rPr>
          <w:w w:val="105"/>
        </w:rPr>
        <w:t>incur</w:t>
      </w:r>
      <w:r>
        <w:rPr>
          <w:spacing w:val="-9"/>
          <w:w w:val="105"/>
        </w:rPr>
        <w:t> </w:t>
      </w:r>
      <w:r>
        <w:rPr>
          <w:w w:val="105"/>
        </w:rPr>
        <w:t>other</w:t>
      </w:r>
      <w:r>
        <w:rPr>
          <w:spacing w:val="-9"/>
          <w:w w:val="105"/>
        </w:rPr>
        <w:t> </w:t>
      </w:r>
      <w:r>
        <w:rPr>
          <w:w w:val="105"/>
        </w:rPr>
        <w:t>significant</w:t>
      </w:r>
      <w:r>
        <w:rPr>
          <w:spacing w:val="-9"/>
          <w:w w:val="105"/>
        </w:rPr>
        <w:t> </w:t>
      </w:r>
      <w:r>
        <w:rPr>
          <w:w w:val="105"/>
        </w:rPr>
        <w:t>compliance expenses</w:t>
      </w:r>
      <w:r>
        <w:rPr>
          <w:spacing w:val="-1"/>
          <w:w w:val="105"/>
        </w:rPr>
        <w:t> </w:t>
      </w:r>
      <w:r>
        <w:rPr>
          <w:w w:val="105"/>
        </w:rPr>
        <w:t>or</w:t>
      </w:r>
      <w:r>
        <w:rPr>
          <w:spacing w:val="-1"/>
          <w:w w:val="105"/>
        </w:rPr>
        <w:t> </w:t>
      </w:r>
      <w:r>
        <w:rPr>
          <w:w w:val="105"/>
        </w:rPr>
        <w:t>limit</w:t>
      </w:r>
      <w:r>
        <w:rPr>
          <w:spacing w:val="-1"/>
          <w:w w:val="105"/>
        </w:rPr>
        <w:t> </w:t>
      </w:r>
      <w:r>
        <w:rPr>
          <w:w w:val="105"/>
        </w:rPr>
        <w:t>or</w:t>
      </w:r>
      <w:r>
        <w:rPr>
          <w:spacing w:val="-1"/>
          <w:w w:val="105"/>
        </w:rPr>
        <w:t> </w:t>
      </w:r>
      <w:r>
        <w:rPr>
          <w:w w:val="105"/>
        </w:rPr>
        <w:t>restrict</w:t>
      </w:r>
      <w:r>
        <w:rPr>
          <w:spacing w:val="-1"/>
          <w:w w:val="105"/>
        </w:rPr>
        <w:t> </w:t>
      </w:r>
      <w:r>
        <w:rPr>
          <w:w w:val="105"/>
        </w:rPr>
        <w:t>production</w:t>
      </w:r>
      <w:r>
        <w:rPr>
          <w:spacing w:val="-1"/>
          <w:w w:val="105"/>
        </w:rPr>
        <w:t> </w:t>
      </w:r>
      <w:r>
        <w:rPr>
          <w:w w:val="105"/>
        </w:rPr>
        <w:t>or</w:t>
      </w:r>
      <w:r>
        <w:rPr>
          <w:spacing w:val="-1"/>
          <w:w w:val="105"/>
        </w:rPr>
        <w:t> </w:t>
      </w:r>
      <w:r>
        <w:rPr>
          <w:w w:val="105"/>
        </w:rPr>
        <w:t>operations</w:t>
      </w:r>
      <w:r>
        <w:rPr>
          <w:spacing w:val="-1"/>
          <w:w w:val="105"/>
        </w:rPr>
        <w:t> </w:t>
      </w:r>
      <w:r>
        <w:rPr>
          <w:w w:val="105"/>
        </w:rPr>
        <w:t>and</w:t>
      </w:r>
      <w:r>
        <w:rPr>
          <w:spacing w:val="-1"/>
          <w:w w:val="105"/>
        </w:rPr>
        <w:t> </w:t>
      </w:r>
      <w:r>
        <w:rPr>
          <w:w w:val="105"/>
        </w:rPr>
        <w:t>thus</w:t>
      </w:r>
      <w:r>
        <w:rPr>
          <w:spacing w:val="-1"/>
          <w:w w:val="105"/>
        </w:rPr>
        <w:t> </w:t>
      </w:r>
      <w:r>
        <w:rPr>
          <w:w w:val="105"/>
        </w:rPr>
        <w:t>materially and</w:t>
      </w:r>
      <w:r>
        <w:rPr>
          <w:spacing w:val="-1"/>
          <w:w w:val="105"/>
        </w:rPr>
        <w:t> </w:t>
      </w:r>
      <w:r>
        <w:rPr>
          <w:w w:val="105"/>
        </w:rPr>
        <w:t>negatively</w:t>
      </w:r>
      <w:r>
        <w:rPr>
          <w:spacing w:val="-1"/>
          <w:w w:val="105"/>
        </w:rPr>
        <w:t> </w:t>
      </w:r>
      <w:r>
        <w:rPr>
          <w:w w:val="105"/>
        </w:rPr>
        <w:t>affect</w:t>
      </w:r>
      <w:r>
        <w:rPr>
          <w:spacing w:val="-1"/>
          <w:w w:val="105"/>
        </w:rPr>
        <w:t> </w:t>
      </w:r>
      <w:r>
        <w:rPr>
          <w:w w:val="105"/>
        </w:rPr>
        <w:t>our</w:t>
      </w:r>
      <w:r>
        <w:rPr>
          <w:spacing w:val="-1"/>
          <w:w w:val="105"/>
        </w:rPr>
        <w:t> </w:t>
      </w:r>
      <w:r>
        <w:rPr>
          <w:w w:val="105"/>
        </w:rPr>
        <w:t>financial</w:t>
      </w:r>
      <w:r>
        <w:rPr>
          <w:spacing w:val="-1"/>
          <w:w w:val="105"/>
        </w:rPr>
        <w:t> </w:t>
      </w:r>
      <w:r>
        <w:rPr>
          <w:w w:val="105"/>
        </w:rPr>
        <w:t>condition</w:t>
      </w:r>
      <w:r>
        <w:rPr>
          <w:spacing w:val="-1"/>
          <w:w w:val="105"/>
        </w:rPr>
        <w:t> </w:t>
      </w:r>
      <w:r>
        <w:rPr>
          <w:w w:val="105"/>
        </w:rPr>
        <w:t>and results</w:t>
      </w:r>
      <w:r>
        <w:rPr>
          <w:spacing w:val="-1"/>
          <w:w w:val="105"/>
        </w:rPr>
        <w:t> </w:t>
      </w:r>
      <w:r>
        <w:rPr>
          <w:w w:val="105"/>
        </w:rPr>
        <w:t>of</w:t>
      </w:r>
      <w:r>
        <w:rPr>
          <w:spacing w:val="-1"/>
          <w:w w:val="105"/>
        </w:rPr>
        <w:t> </w:t>
      </w:r>
      <w:r>
        <w:rPr>
          <w:w w:val="105"/>
        </w:rPr>
        <w:t>operations.</w:t>
      </w:r>
    </w:p>
    <w:p>
      <w:pPr>
        <w:pStyle w:val="BodyText"/>
        <w:spacing w:before="19"/>
      </w:pPr>
    </w:p>
    <w:p>
      <w:pPr>
        <w:pStyle w:val="BodyText"/>
        <w:spacing w:line="252" w:lineRule="auto"/>
        <w:ind w:left="156" w:right="322"/>
        <w:jc w:val="both"/>
      </w:pPr>
      <w:r>
        <w:rPr>
          <w:w w:val="105"/>
        </w:rPr>
        <w:t>Changes</w:t>
      </w:r>
      <w:r>
        <w:rPr>
          <w:spacing w:val="-7"/>
          <w:w w:val="105"/>
        </w:rPr>
        <w:t> </w:t>
      </w:r>
      <w:r>
        <w:rPr>
          <w:w w:val="105"/>
        </w:rPr>
        <w:t>in</w:t>
      </w:r>
      <w:r>
        <w:rPr>
          <w:spacing w:val="-7"/>
          <w:w w:val="105"/>
        </w:rPr>
        <w:t> </w:t>
      </w:r>
      <w:r>
        <w:rPr>
          <w:w w:val="105"/>
        </w:rPr>
        <w:t>regulations</w:t>
      </w:r>
      <w:r>
        <w:rPr>
          <w:spacing w:val="-7"/>
          <w:w w:val="105"/>
        </w:rPr>
        <w:t> </w:t>
      </w:r>
      <w:r>
        <w:rPr>
          <w:w w:val="105"/>
        </w:rPr>
        <w:t>and</w:t>
      </w:r>
      <w:r>
        <w:rPr>
          <w:spacing w:val="-7"/>
          <w:w w:val="105"/>
        </w:rPr>
        <w:t> </w:t>
      </w:r>
      <w:r>
        <w:rPr>
          <w:w w:val="105"/>
        </w:rPr>
        <w:t>the</w:t>
      </w:r>
      <w:r>
        <w:rPr>
          <w:spacing w:val="-7"/>
          <w:w w:val="105"/>
        </w:rPr>
        <w:t> </w:t>
      </w:r>
      <w:r>
        <w:rPr>
          <w:w w:val="105"/>
        </w:rPr>
        <w:t>regulatory</w:t>
      </w:r>
      <w:r>
        <w:rPr>
          <w:spacing w:val="-7"/>
          <w:w w:val="105"/>
        </w:rPr>
        <w:t> </w:t>
      </w:r>
      <w:r>
        <w:rPr>
          <w:w w:val="105"/>
        </w:rPr>
        <w:t>environment</w:t>
      </w:r>
      <w:r>
        <w:rPr>
          <w:spacing w:val="-7"/>
          <w:w w:val="105"/>
        </w:rPr>
        <w:t> </w:t>
      </w:r>
      <w:r>
        <w:rPr>
          <w:w w:val="105"/>
        </w:rPr>
        <w:t>in</w:t>
      </w:r>
      <w:r>
        <w:rPr>
          <w:spacing w:val="-7"/>
          <w:w w:val="105"/>
        </w:rPr>
        <w:t> </w:t>
      </w:r>
      <w:r>
        <w:rPr>
          <w:w w:val="105"/>
        </w:rPr>
        <w:t>the</w:t>
      </w:r>
      <w:r>
        <w:rPr>
          <w:spacing w:val="-7"/>
          <w:w w:val="105"/>
        </w:rPr>
        <w:t> </w:t>
      </w:r>
      <w:r>
        <w:rPr>
          <w:w w:val="105"/>
        </w:rPr>
        <w:t>U.S.</w:t>
      </w:r>
      <w:r>
        <w:rPr>
          <w:spacing w:val="-7"/>
          <w:w w:val="105"/>
        </w:rPr>
        <w:t> </w:t>
      </w:r>
      <w:r>
        <w:rPr>
          <w:w w:val="105"/>
        </w:rPr>
        <w:t>and</w:t>
      </w:r>
      <w:r>
        <w:rPr>
          <w:spacing w:val="-7"/>
          <w:w w:val="105"/>
        </w:rPr>
        <w:t> </w:t>
      </w:r>
      <w:r>
        <w:rPr>
          <w:w w:val="105"/>
        </w:rPr>
        <w:t>other</w:t>
      </w:r>
      <w:r>
        <w:rPr>
          <w:spacing w:val="-7"/>
          <w:w w:val="105"/>
        </w:rPr>
        <w:t> </w:t>
      </w:r>
      <w:r>
        <w:rPr>
          <w:w w:val="105"/>
        </w:rPr>
        <w:t>countries,</w:t>
      </w:r>
      <w:r>
        <w:rPr>
          <w:spacing w:val="-7"/>
          <w:w w:val="105"/>
        </w:rPr>
        <w:t> </w:t>
      </w:r>
      <w:r>
        <w:rPr>
          <w:w w:val="105"/>
        </w:rPr>
        <w:t>such</w:t>
      </w:r>
      <w:r>
        <w:rPr>
          <w:spacing w:val="-7"/>
          <w:w w:val="105"/>
        </w:rPr>
        <w:t> </w:t>
      </w:r>
      <w:r>
        <w:rPr>
          <w:w w:val="105"/>
        </w:rPr>
        <w:t>as</w:t>
      </w:r>
      <w:r>
        <w:rPr>
          <w:spacing w:val="-7"/>
          <w:w w:val="105"/>
        </w:rPr>
        <w:t> </w:t>
      </w:r>
      <w:r>
        <w:rPr>
          <w:w w:val="105"/>
        </w:rPr>
        <w:t>those</w:t>
      </w:r>
      <w:r>
        <w:rPr>
          <w:spacing w:val="-7"/>
          <w:w w:val="105"/>
        </w:rPr>
        <w:t> </w:t>
      </w:r>
      <w:r>
        <w:rPr>
          <w:w w:val="105"/>
        </w:rPr>
        <w:t>resulting</w:t>
      </w:r>
      <w:r>
        <w:rPr>
          <w:spacing w:val="-7"/>
          <w:w w:val="105"/>
        </w:rPr>
        <w:t> </w:t>
      </w:r>
      <w:r>
        <w:rPr>
          <w:w w:val="105"/>
        </w:rPr>
        <w:t>from</w:t>
      </w:r>
      <w:r>
        <w:rPr>
          <w:spacing w:val="-7"/>
          <w:w w:val="105"/>
        </w:rPr>
        <w:t> </w:t>
      </w:r>
      <w:r>
        <w:rPr>
          <w:w w:val="105"/>
        </w:rPr>
        <w:t>the</w:t>
      </w:r>
      <w:r>
        <w:rPr>
          <w:spacing w:val="-7"/>
          <w:w w:val="105"/>
        </w:rPr>
        <w:t> </w:t>
      </w:r>
      <w:r>
        <w:rPr>
          <w:w w:val="105"/>
        </w:rPr>
        <w:t>regulation</w:t>
      </w:r>
      <w:r>
        <w:rPr>
          <w:spacing w:val="-7"/>
          <w:w w:val="105"/>
        </w:rPr>
        <w:t> </w:t>
      </w:r>
      <w:r>
        <w:rPr>
          <w:w w:val="105"/>
        </w:rPr>
        <w:t>and</w:t>
      </w:r>
      <w:r>
        <w:rPr>
          <w:spacing w:val="-7"/>
          <w:w w:val="105"/>
        </w:rPr>
        <w:t> </w:t>
      </w:r>
      <w:r>
        <w:rPr>
          <w:w w:val="105"/>
        </w:rPr>
        <w:t>impact</w:t>
      </w:r>
      <w:r>
        <w:rPr>
          <w:spacing w:val="-7"/>
          <w:w w:val="105"/>
        </w:rPr>
        <w:t> </w:t>
      </w:r>
      <w:r>
        <w:rPr>
          <w:w w:val="105"/>
        </w:rPr>
        <w:t>of</w:t>
      </w:r>
      <w:r>
        <w:rPr>
          <w:spacing w:val="-7"/>
          <w:w w:val="105"/>
        </w:rPr>
        <w:t> </w:t>
      </w:r>
      <w:r>
        <w:rPr>
          <w:w w:val="105"/>
        </w:rPr>
        <w:t>global</w:t>
      </w:r>
      <w:r>
        <w:rPr>
          <w:spacing w:val="-7"/>
          <w:w w:val="105"/>
        </w:rPr>
        <w:t> </w:t>
      </w:r>
      <w:r>
        <w:rPr>
          <w:w w:val="105"/>
        </w:rPr>
        <w:t>warming</w:t>
      </w:r>
      <w:r>
        <w:rPr>
          <w:spacing w:val="-7"/>
          <w:w w:val="105"/>
        </w:rPr>
        <w:t> </w:t>
      </w:r>
      <w:r>
        <w:rPr>
          <w:w w:val="105"/>
        </w:rPr>
        <w:t>and</w:t>
      </w:r>
      <w:r>
        <w:rPr>
          <w:spacing w:val="-7"/>
          <w:w w:val="105"/>
        </w:rPr>
        <w:t> </w:t>
      </w:r>
      <w:r>
        <w:rPr>
          <w:w w:val="105"/>
        </w:rPr>
        <w:t>CO</w:t>
      </w:r>
      <w:r>
        <w:rPr>
          <w:w w:val="105"/>
          <w:position w:val="-3"/>
          <w:sz w:val="14"/>
        </w:rPr>
        <w:t>2</w:t>
      </w:r>
      <w:r>
        <w:rPr>
          <w:spacing w:val="40"/>
          <w:w w:val="105"/>
          <w:position w:val="-3"/>
          <w:sz w:val="14"/>
        </w:rPr>
        <w:t> </w:t>
      </w:r>
      <w:r>
        <w:rPr>
          <w:w w:val="105"/>
        </w:rPr>
        <w:t>abatement,</w:t>
      </w:r>
      <w:r>
        <w:rPr>
          <w:spacing w:val="-9"/>
          <w:w w:val="105"/>
        </w:rPr>
        <w:t> </w:t>
      </w:r>
      <w:r>
        <w:rPr>
          <w:w w:val="105"/>
        </w:rPr>
        <w:t>may</w:t>
      </w:r>
      <w:r>
        <w:rPr>
          <w:spacing w:val="-9"/>
          <w:w w:val="105"/>
        </w:rPr>
        <w:t> </w:t>
      </w:r>
      <w:r>
        <w:rPr>
          <w:w w:val="105"/>
        </w:rPr>
        <w:t>affect</w:t>
      </w:r>
      <w:r>
        <w:rPr>
          <w:spacing w:val="-9"/>
          <w:w w:val="105"/>
        </w:rPr>
        <w:t> </w:t>
      </w:r>
      <w:r>
        <w:rPr>
          <w:w w:val="105"/>
        </w:rPr>
        <w:t>our</w:t>
      </w:r>
      <w:r>
        <w:rPr>
          <w:spacing w:val="-9"/>
          <w:w w:val="105"/>
        </w:rPr>
        <w:t> </w:t>
      </w:r>
      <w:r>
        <w:rPr>
          <w:w w:val="105"/>
        </w:rPr>
        <w:t>businesses</w:t>
      </w:r>
      <w:r>
        <w:rPr>
          <w:spacing w:val="-9"/>
          <w:w w:val="105"/>
        </w:rPr>
        <w:t> </w:t>
      </w:r>
      <w:r>
        <w:rPr>
          <w:w w:val="105"/>
        </w:rPr>
        <w:t>and</w:t>
      </w:r>
      <w:r>
        <w:rPr>
          <w:spacing w:val="-9"/>
          <w:w w:val="105"/>
        </w:rPr>
        <w:t> </w:t>
      </w:r>
      <w:r>
        <w:rPr>
          <w:w w:val="105"/>
        </w:rPr>
        <w:t>their</w:t>
      </w:r>
      <w:r>
        <w:rPr>
          <w:spacing w:val="-9"/>
          <w:w w:val="105"/>
        </w:rPr>
        <w:t> </w:t>
      </w:r>
      <w:r>
        <w:rPr>
          <w:w w:val="105"/>
        </w:rPr>
        <w:t>results</w:t>
      </w:r>
      <w:r>
        <w:rPr>
          <w:spacing w:val="-9"/>
          <w:w w:val="105"/>
        </w:rPr>
        <w:t> </w:t>
      </w:r>
      <w:r>
        <w:rPr>
          <w:w w:val="105"/>
        </w:rPr>
        <w:t>in</w:t>
      </w:r>
      <w:r>
        <w:rPr>
          <w:spacing w:val="-9"/>
          <w:w w:val="105"/>
        </w:rPr>
        <w:t> </w:t>
      </w:r>
      <w:r>
        <w:rPr>
          <w:w w:val="105"/>
        </w:rPr>
        <w:t>adverse</w:t>
      </w:r>
      <w:r>
        <w:rPr>
          <w:spacing w:val="-9"/>
          <w:w w:val="105"/>
        </w:rPr>
        <w:t> </w:t>
      </w:r>
      <w:r>
        <w:rPr>
          <w:w w:val="105"/>
        </w:rPr>
        <w:t>ways</w:t>
      </w:r>
      <w:r>
        <w:rPr>
          <w:spacing w:val="-9"/>
          <w:w w:val="105"/>
        </w:rPr>
        <w:t> </w:t>
      </w:r>
      <w:r>
        <w:rPr>
          <w:w w:val="105"/>
        </w:rPr>
        <w:t>by,</w:t>
      </w:r>
      <w:r>
        <w:rPr>
          <w:spacing w:val="-9"/>
          <w:w w:val="105"/>
        </w:rPr>
        <w:t> </w:t>
      </w:r>
      <w:r>
        <w:rPr>
          <w:w w:val="105"/>
        </w:rPr>
        <w:t>among</w:t>
      </w:r>
      <w:r>
        <w:rPr>
          <w:spacing w:val="-9"/>
          <w:w w:val="105"/>
        </w:rPr>
        <w:t> </w:t>
      </w:r>
      <w:r>
        <w:rPr>
          <w:w w:val="105"/>
        </w:rPr>
        <w:t>other</w:t>
      </w:r>
      <w:r>
        <w:rPr>
          <w:spacing w:val="-7"/>
          <w:w w:val="105"/>
        </w:rPr>
        <w:t> </w:t>
      </w:r>
      <w:r>
        <w:rPr>
          <w:w w:val="105"/>
        </w:rPr>
        <w:t>things,</w:t>
      </w:r>
      <w:r>
        <w:rPr>
          <w:spacing w:val="-9"/>
          <w:w w:val="105"/>
        </w:rPr>
        <w:t> </w:t>
      </w:r>
      <w:r>
        <w:rPr>
          <w:w w:val="105"/>
        </w:rPr>
        <w:t>substantially</w:t>
      </w:r>
      <w:r>
        <w:rPr>
          <w:spacing w:val="-9"/>
          <w:w w:val="105"/>
        </w:rPr>
        <w:t> </w:t>
      </w:r>
      <w:r>
        <w:rPr>
          <w:w w:val="105"/>
        </w:rPr>
        <w:t>increasing</w:t>
      </w:r>
      <w:r>
        <w:rPr>
          <w:spacing w:val="-9"/>
          <w:w w:val="105"/>
        </w:rPr>
        <w:t> </w:t>
      </w:r>
      <w:r>
        <w:rPr>
          <w:w w:val="105"/>
        </w:rPr>
        <w:t>manufacturing</w:t>
      </w:r>
      <w:r>
        <w:rPr>
          <w:spacing w:val="-9"/>
          <w:w w:val="105"/>
        </w:rPr>
        <w:t> </w:t>
      </w:r>
      <w:r>
        <w:rPr>
          <w:w w:val="105"/>
        </w:rPr>
        <w:t>costs,</w:t>
      </w:r>
      <w:r>
        <w:rPr>
          <w:spacing w:val="-9"/>
          <w:w w:val="105"/>
        </w:rPr>
        <w:t> </w:t>
      </w:r>
      <w:r>
        <w:rPr>
          <w:w w:val="105"/>
        </w:rPr>
        <w:t>limiting</w:t>
      </w:r>
      <w:r>
        <w:rPr>
          <w:spacing w:val="-9"/>
          <w:w w:val="105"/>
        </w:rPr>
        <w:t> </w:t>
      </w:r>
      <w:r>
        <w:rPr>
          <w:w w:val="105"/>
        </w:rPr>
        <w:t>availability</w:t>
      </w:r>
      <w:r>
        <w:rPr>
          <w:spacing w:val="-9"/>
          <w:w w:val="105"/>
        </w:rPr>
        <w:t> </w:t>
      </w:r>
      <w:r>
        <w:rPr>
          <w:w w:val="105"/>
        </w:rPr>
        <w:t>of</w:t>
      </w:r>
      <w:r>
        <w:rPr>
          <w:spacing w:val="-9"/>
          <w:w w:val="105"/>
        </w:rPr>
        <w:t> </w:t>
      </w:r>
      <w:r>
        <w:rPr>
          <w:w w:val="105"/>
        </w:rPr>
        <w:t>scarce resources, especially energy, or requiring limitations on production and sale of our products or those of our customers.</w:t>
      </w:r>
    </w:p>
    <w:p>
      <w:pPr>
        <w:pStyle w:val="BodyText"/>
        <w:spacing w:before="28"/>
      </w:pPr>
    </w:p>
    <w:p>
      <w:pPr>
        <w:pStyle w:val="BodyText"/>
        <w:ind w:left="48"/>
        <w:jc w:val="center"/>
      </w:pPr>
      <w:r>
        <w:rPr>
          <w:spacing w:val="-5"/>
          <w:w w:val="105"/>
        </w:rPr>
        <w:t>17</w:t>
      </w:r>
    </w:p>
    <w:p>
      <w:pPr>
        <w:pStyle w:val="BodyText"/>
        <w:rPr>
          <w:sz w:val="6"/>
        </w:rPr>
      </w:pPr>
      <w:r>
        <w:rPr/>
        <mc:AlternateContent>
          <mc:Choice Requires="wps">
            <w:drawing>
              <wp:anchor distT="0" distB="0" distL="0" distR="0" allowOverlap="1" layoutInCell="1" locked="0" behindDoc="1" simplePos="0" relativeHeight="487597568">
                <wp:simplePos x="0" y="0"/>
                <wp:positionH relativeFrom="page">
                  <wp:posOffset>226488</wp:posOffset>
                </wp:positionH>
                <wp:positionV relativeFrom="paragraph">
                  <wp:posOffset>59051</wp:posOffset>
                </wp:positionV>
                <wp:extent cx="7312659" cy="1651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18912;mso-wrap-distance-left:0;mso-wrap-distance-right:0" id="docshape21"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pPr>
      <w:r>
        <w:rPr>
          <w:spacing w:val="-2"/>
          <w:w w:val="105"/>
        </w:rPr>
        <w:t>General</w:t>
      </w:r>
      <w:r>
        <w:rPr>
          <w:spacing w:val="-1"/>
          <w:w w:val="105"/>
        </w:rPr>
        <w:t> </w:t>
      </w:r>
      <w:r>
        <w:rPr>
          <w:spacing w:val="-2"/>
          <w:w w:val="105"/>
        </w:rPr>
        <w:t>Risk</w:t>
      </w:r>
      <w:r>
        <w:rPr>
          <w:w w:val="105"/>
        </w:rPr>
        <w:t> </w:t>
      </w:r>
      <w:r>
        <w:rPr>
          <w:spacing w:val="-2"/>
          <w:w w:val="105"/>
        </w:rPr>
        <w:t>Factors</w:t>
      </w:r>
    </w:p>
    <w:p>
      <w:pPr>
        <w:pStyle w:val="BodyText"/>
        <w:spacing w:before="40"/>
        <w:rPr>
          <w:b/>
        </w:rPr>
      </w:pPr>
    </w:p>
    <w:p>
      <w:pPr>
        <w:spacing w:before="0"/>
        <w:ind w:left="156" w:right="0" w:firstLine="0"/>
        <w:jc w:val="left"/>
        <w:rPr>
          <w:b/>
          <w:sz w:val="16"/>
        </w:rPr>
      </w:pPr>
      <w:r>
        <w:rPr>
          <w:b/>
          <w:w w:val="105"/>
          <w:sz w:val="16"/>
        </w:rPr>
        <w:t>We</w:t>
      </w:r>
      <w:r>
        <w:rPr>
          <w:b/>
          <w:spacing w:val="-8"/>
          <w:w w:val="105"/>
          <w:sz w:val="16"/>
        </w:rPr>
        <w:t> </w:t>
      </w:r>
      <w:r>
        <w:rPr>
          <w:b/>
          <w:w w:val="105"/>
          <w:sz w:val="16"/>
        </w:rPr>
        <w:t>may</w:t>
      </w:r>
      <w:r>
        <w:rPr>
          <w:b/>
          <w:spacing w:val="-8"/>
          <w:w w:val="105"/>
          <w:sz w:val="16"/>
        </w:rPr>
        <w:t> </w:t>
      </w:r>
      <w:r>
        <w:rPr>
          <w:b/>
          <w:w w:val="105"/>
          <w:sz w:val="16"/>
        </w:rPr>
        <w:t>have</w:t>
      </w:r>
      <w:r>
        <w:rPr>
          <w:b/>
          <w:spacing w:val="-9"/>
          <w:w w:val="105"/>
          <w:sz w:val="16"/>
        </w:rPr>
        <w:t> </w:t>
      </w:r>
      <w:r>
        <w:rPr>
          <w:b/>
          <w:w w:val="105"/>
          <w:sz w:val="16"/>
        </w:rPr>
        <w:t>additional</w:t>
      </w:r>
      <w:r>
        <w:rPr>
          <w:b/>
          <w:spacing w:val="-8"/>
          <w:w w:val="105"/>
          <w:sz w:val="16"/>
        </w:rPr>
        <w:t> </w:t>
      </w:r>
      <w:r>
        <w:rPr>
          <w:b/>
          <w:w w:val="105"/>
          <w:sz w:val="16"/>
        </w:rPr>
        <w:t>tax</w:t>
      </w:r>
      <w:r>
        <w:rPr>
          <w:b/>
          <w:spacing w:val="-8"/>
          <w:w w:val="105"/>
          <w:sz w:val="16"/>
        </w:rPr>
        <w:t> </w:t>
      </w:r>
      <w:r>
        <w:rPr>
          <w:b/>
          <w:spacing w:val="-2"/>
          <w:w w:val="105"/>
          <w:sz w:val="16"/>
        </w:rPr>
        <w:t>liabilities</w:t>
      </w:r>
    </w:p>
    <w:p>
      <w:pPr>
        <w:pStyle w:val="BodyText"/>
        <w:spacing w:before="39"/>
        <w:rPr>
          <w:b/>
        </w:rPr>
      </w:pPr>
    </w:p>
    <w:p>
      <w:pPr>
        <w:pStyle w:val="BodyText"/>
        <w:spacing w:line="266" w:lineRule="auto"/>
        <w:ind w:left="156" w:right="117"/>
      </w:pPr>
      <w:r>
        <w:rPr>
          <w:w w:val="105"/>
        </w:rPr>
        <w:t>We</w:t>
      </w:r>
      <w:r>
        <w:rPr>
          <w:spacing w:val="-2"/>
          <w:w w:val="105"/>
        </w:rPr>
        <w:t> </w:t>
      </w:r>
      <w:r>
        <w:rPr>
          <w:w w:val="105"/>
        </w:rPr>
        <w:t>are</w:t>
      </w:r>
      <w:r>
        <w:rPr>
          <w:spacing w:val="-2"/>
          <w:w w:val="105"/>
        </w:rPr>
        <w:t> </w:t>
      </w:r>
      <w:r>
        <w:rPr>
          <w:w w:val="105"/>
        </w:rPr>
        <w:t>subject</w:t>
      </w:r>
      <w:r>
        <w:rPr>
          <w:spacing w:val="-2"/>
          <w:w w:val="105"/>
        </w:rPr>
        <w:t> </w:t>
      </w:r>
      <w:r>
        <w:rPr>
          <w:w w:val="105"/>
        </w:rPr>
        <w:t>to</w:t>
      </w:r>
      <w:r>
        <w:rPr>
          <w:spacing w:val="-2"/>
          <w:w w:val="105"/>
        </w:rPr>
        <w:t> </w:t>
      </w:r>
      <w:r>
        <w:rPr>
          <w:w w:val="105"/>
        </w:rPr>
        <w:t>income</w:t>
      </w:r>
      <w:r>
        <w:rPr>
          <w:spacing w:val="-2"/>
          <w:w w:val="105"/>
        </w:rPr>
        <w:t> </w:t>
      </w:r>
      <w:r>
        <w:rPr>
          <w:w w:val="105"/>
        </w:rPr>
        <w:t>taxes</w:t>
      </w:r>
      <w:r>
        <w:rPr>
          <w:spacing w:val="-2"/>
          <w:w w:val="105"/>
        </w:rPr>
        <w:t> </w:t>
      </w:r>
      <w:r>
        <w:rPr>
          <w:w w:val="105"/>
        </w:rPr>
        <w:t>in</w:t>
      </w:r>
      <w:r>
        <w:rPr>
          <w:spacing w:val="-2"/>
          <w:w w:val="105"/>
        </w:rPr>
        <w:t> </w:t>
      </w:r>
      <w:r>
        <w:rPr>
          <w:w w:val="105"/>
        </w:rPr>
        <w:t>the</w:t>
      </w:r>
      <w:r>
        <w:rPr>
          <w:spacing w:val="-2"/>
          <w:w w:val="105"/>
        </w:rPr>
        <w:t> </w:t>
      </w:r>
      <w:r>
        <w:rPr>
          <w:w w:val="105"/>
        </w:rPr>
        <w:t>U.S.</w:t>
      </w:r>
      <w:r>
        <w:rPr>
          <w:spacing w:val="-2"/>
          <w:w w:val="105"/>
        </w:rPr>
        <w:t> </w:t>
      </w:r>
      <w:r>
        <w:rPr>
          <w:w w:val="105"/>
        </w:rPr>
        <w:t>and</w:t>
      </w:r>
      <w:r>
        <w:rPr>
          <w:spacing w:val="-2"/>
          <w:w w:val="105"/>
        </w:rPr>
        <w:t> </w:t>
      </w:r>
      <w:r>
        <w:rPr>
          <w:w w:val="105"/>
        </w:rPr>
        <w:t>many</w:t>
      </w:r>
      <w:r>
        <w:rPr>
          <w:spacing w:val="-2"/>
          <w:w w:val="105"/>
        </w:rPr>
        <w:t> </w:t>
      </w:r>
      <w:r>
        <w:rPr>
          <w:w w:val="105"/>
        </w:rPr>
        <w:t>foreign jurisdictions,</w:t>
      </w:r>
      <w:r>
        <w:rPr>
          <w:spacing w:val="-2"/>
          <w:w w:val="105"/>
        </w:rPr>
        <w:t> </w:t>
      </w:r>
      <w:r>
        <w:rPr>
          <w:w w:val="105"/>
        </w:rPr>
        <w:t>and</w:t>
      </w:r>
      <w:r>
        <w:rPr>
          <w:spacing w:val="-2"/>
          <w:w w:val="105"/>
        </w:rPr>
        <w:t> </w:t>
      </w:r>
      <w:r>
        <w:rPr>
          <w:w w:val="105"/>
        </w:rPr>
        <w:t>are</w:t>
      </w:r>
      <w:r>
        <w:rPr>
          <w:spacing w:val="-2"/>
          <w:w w:val="105"/>
        </w:rPr>
        <w:t> </w:t>
      </w:r>
      <w:r>
        <w:rPr>
          <w:w w:val="105"/>
        </w:rPr>
        <w:t>commonly</w:t>
      </w:r>
      <w:r>
        <w:rPr>
          <w:spacing w:val="-2"/>
          <w:w w:val="105"/>
        </w:rPr>
        <w:t> </w:t>
      </w:r>
      <w:r>
        <w:rPr>
          <w:w w:val="105"/>
        </w:rPr>
        <w:t>audited</w:t>
      </w:r>
      <w:r>
        <w:rPr>
          <w:spacing w:val="-2"/>
          <w:w w:val="105"/>
        </w:rPr>
        <w:t> </w:t>
      </w:r>
      <w:r>
        <w:rPr>
          <w:w w:val="105"/>
        </w:rPr>
        <w:t>by</w:t>
      </w:r>
      <w:r>
        <w:rPr>
          <w:spacing w:val="-2"/>
          <w:w w:val="105"/>
        </w:rPr>
        <w:t> </w:t>
      </w:r>
      <w:r>
        <w:rPr>
          <w:w w:val="105"/>
        </w:rPr>
        <w:t>various</w:t>
      </w:r>
      <w:r>
        <w:rPr>
          <w:spacing w:val="-2"/>
          <w:w w:val="105"/>
        </w:rPr>
        <w:t> </w:t>
      </w:r>
      <w:r>
        <w:rPr>
          <w:w w:val="105"/>
        </w:rPr>
        <w:t>tax</w:t>
      </w:r>
      <w:r>
        <w:rPr>
          <w:spacing w:val="-2"/>
          <w:w w:val="105"/>
        </w:rPr>
        <w:t> </w:t>
      </w:r>
      <w:r>
        <w:rPr>
          <w:w w:val="105"/>
        </w:rPr>
        <w:t>authorities.</w:t>
      </w:r>
      <w:r>
        <w:rPr>
          <w:spacing w:val="31"/>
          <w:w w:val="105"/>
        </w:rPr>
        <w:t> </w:t>
      </w:r>
      <w:r>
        <w:rPr>
          <w:w w:val="105"/>
        </w:rPr>
        <w:t>There</w:t>
      </w:r>
      <w:r>
        <w:rPr>
          <w:spacing w:val="-2"/>
          <w:w w:val="105"/>
        </w:rPr>
        <w:t> </w:t>
      </w:r>
      <w:r>
        <w:rPr>
          <w:w w:val="105"/>
        </w:rPr>
        <w:t>are</w:t>
      </w:r>
      <w:r>
        <w:rPr>
          <w:spacing w:val="-2"/>
          <w:w w:val="105"/>
        </w:rPr>
        <w:t> </w:t>
      </w:r>
      <w:r>
        <w:rPr>
          <w:w w:val="105"/>
        </w:rPr>
        <w:t>many</w:t>
      </w:r>
      <w:r>
        <w:rPr>
          <w:spacing w:val="-2"/>
          <w:w w:val="105"/>
        </w:rPr>
        <w:t> </w:t>
      </w:r>
      <w:r>
        <w:rPr>
          <w:w w:val="105"/>
        </w:rPr>
        <w:t>transactions</w:t>
      </w:r>
      <w:r>
        <w:rPr>
          <w:spacing w:val="-2"/>
          <w:w w:val="105"/>
        </w:rPr>
        <w:t> </w:t>
      </w:r>
      <w:r>
        <w:rPr>
          <w:w w:val="105"/>
        </w:rPr>
        <w:t>and calculations</w:t>
      </w:r>
      <w:r>
        <w:rPr>
          <w:spacing w:val="-2"/>
          <w:w w:val="105"/>
        </w:rPr>
        <w:t> </w:t>
      </w:r>
      <w:r>
        <w:rPr>
          <w:w w:val="105"/>
        </w:rPr>
        <w:t>where</w:t>
      </w:r>
      <w:r>
        <w:rPr>
          <w:spacing w:val="-2"/>
          <w:w w:val="105"/>
        </w:rPr>
        <w:t> </w:t>
      </w:r>
      <w:r>
        <w:rPr>
          <w:w w:val="105"/>
        </w:rPr>
        <w:t>the</w:t>
      </w:r>
      <w:r>
        <w:rPr>
          <w:spacing w:val="-2"/>
          <w:w w:val="105"/>
        </w:rPr>
        <w:t> </w:t>
      </w:r>
      <w:r>
        <w:rPr>
          <w:w w:val="105"/>
        </w:rPr>
        <w:t>ultimate</w:t>
      </w:r>
      <w:r>
        <w:rPr>
          <w:spacing w:val="-2"/>
          <w:w w:val="105"/>
        </w:rPr>
        <w:t> </w:t>
      </w:r>
      <w:r>
        <w:rPr>
          <w:w w:val="105"/>
        </w:rPr>
        <w:t>tax</w:t>
      </w:r>
      <w:r>
        <w:rPr>
          <w:spacing w:val="-2"/>
          <w:w w:val="105"/>
        </w:rPr>
        <w:t> </w:t>
      </w:r>
      <w:r>
        <w:rPr>
          <w:w w:val="105"/>
        </w:rPr>
        <w:t>treatment</w:t>
      </w:r>
      <w:r>
        <w:rPr>
          <w:spacing w:val="-2"/>
          <w:w w:val="105"/>
        </w:rPr>
        <w:t> </w:t>
      </w:r>
      <w:r>
        <w:rPr>
          <w:w w:val="105"/>
        </w:rPr>
        <w:t>is</w:t>
      </w:r>
      <w:r>
        <w:rPr>
          <w:spacing w:val="-2"/>
          <w:w w:val="105"/>
        </w:rPr>
        <w:t> </w:t>
      </w:r>
      <w:r>
        <w:rPr>
          <w:w w:val="105"/>
        </w:rPr>
        <w:t>uncertain.</w:t>
      </w:r>
      <w:r>
        <w:rPr>
          <w:spacing w:val="31"/>
          <w:w w:val="105"/>
        </w:rPr>
        <w:t> </w:t>
      </w:r>
      <w:r>
        <w:rPr>
          <w:w w:val="105"/>
        </w:rPr>
        <w:t>Judgment is</w:t>
      </w:r>
      <w:r>
        <w:rPr>
          <w:spacing w:val="-2"/>
          <w:w w:val="105"/>
        </w:rPr>
        <w:t> </w:t>
      </w:r>
      <w:r>
        <w:rPr>
          <w:w w:val="105"/>
        </w:rPr>
        <w:t>required</w:t>
      </w:r>
      <w:r>
        <w:rPr>
          <w:spacing w:val="-2"/>
          <w:w w:val="105"/>
        </w:rPr>
        <w:t> </w:t>
      </w:r>
      <w:r>
        <w:rPr>
          <w:w w:val="105"/>
        </w:rPr>
        <w:t>in</w:t>
      </w:r>
      <w:r>
        <w:rPr>
          <w:spacing w:val="-2"/>
          <w:w w:val="105"/>
        </w:rPr>
        <w:t> </w:t>
      </w:r>
      <w:r>
        <w:rPr>
          <w:w w:val="105"/>
        </w:rPr>
        <w:t>determining</w:t>
      </w:r>
      <w:r>
        <w:rPr>
          <w:spacing w:val="-2"/>
          <w:w w:val="105"/>
        </w:rPr>
        <w:t> </w:t>
      </w:r>
      <w:r>
        <w:rPr>
          <w:w w:val="105"/>
        </w:rPr>
        <w:t>our</w:t>
      </w:r>
      <w:r>
        <w:rPr>
          <w:spacing w:val="-2"/>
          <w:w w:val="105"/>
        </w:rPr>
        <w:t> </w:t>
      </w:r>
      <w:r>
        <w:rPr>
          <w:w w:val="105"/>
        </w:rPr>
        <w:t>worldwide</w:t>
      </w:r>
      <w:r>
        <w:rPr>
          <w:spacing w:val="-2"/>
          <w:w w:val="105"/>
        </w:rPr>
        <w:t> </w:t>
      </w:r>
      <w:r>
        <w:rPr>
          <w:w w:val="105"/>
        </w:rPr>
        <w:t>provision</w:t>
      </w:r>
      <w:r>
        <w:rPr>
          <w:spacing w:val="-2"/>
          <w:w w:val="105"/>
        </w:rPr>
        <w:t> </w:t>
      </w:r>
      <w:r>
        <w:rPr>
          <w:w w:val="105"/>
        </w:rPr>
        <w:t>for</w:t>
      </w:r>
      <w:r>
        <w:rPr>
          <w:spacing w:val="-2"/>
          <w:w w:val="105"/>
        </w:rPr>
        <w:t> </w:t>
      </w:r>
      <w:r>
        <w:rPr>
          <w:w w:val="105"/>
        </w:rPr>
        <w:t>income taxes.</w:t>
      </w:r>
      <w:r>
        <w:rPr>
          <w:spacing w:val="31"/>
          <w:w w:val="105"/>
        </w:rPr>
        <w:t> </w:t>
      </w:r>
      <w:r>
        <w:rPr>
          <w:w w:val="105"/>
        </w:rPr>
        <w:t>Although</w:t>
      </w:r>
      <w:r>
        <w:rPr>
          <w:spacing w:val="-2"/>
          <w:w w:val="105"/>
        </w:rPr>
        <w:t> </w:t>
      </w:r>
      <w:r>
        <w:rPr>
          <w:w w:val="105"/>
        </w:rPr>
        <w:t>we</w:t>
      </w:r>
      <w:r>
        <w:rPr>
          <w:spacing w:val="-2"/>
          <w:w w:val="105"/>
        </w:rPr>
        <w:t> </w:t>
      </w:r>
      <w:r>
        <w:rPr>
          <w:w w:val="105"/>
        </w:rPr>
        <w:t>believe</w:t>
      </w:r>
      <w:r>
        <w:rPr>
          <w:spacing w:val="-2"/>
          <w:w w:val="105"/>
        </w:rPr>
        <w:t> </w:t>
      </w:r>
      <w:r>
        <w:rPr>
          <w:w w:val="105"/>
        </w:rPr>
        <w:t>our</w:t>
      </w:r>
      <w:r>
        <w:rPr>
          <w:spacing w:val="-2"/>
          <w:w w:val="105"/>
        </w:rPr>
        <w:t> </w:t>
      </w:r>
      <w:r>
        <w:rPr>
          <w:w w:val="105"/>
        </w:rPr>
        <w:t>tax estimates</w:t>
      </w:r>
      <w:r>
        <w:rPr>
          <w:spacing w:val="-8"/>
          <w:w w:val="105"/>
        </w:rPr>
        <w:t> </w:t>
      </w:r>
      <w:r>
        <w:rPr>
          <w:w w:val="105"/>
        </w:rPr>
        <w:t>are</w:t>
      </w:r>
      <w:r>
        <w:rPr>
          <w:spacing w:val="-8"/>
          <w:w w:val="105"/>
        </w:rPr>
        <w:t> </w:t>
      </w:r>
      <w:r>
        <w:rPr>
          <w:w w:val="105"/>
        </w:rPr>
        <w:t>reasonable,</w:t>
      </w:r>
      <w:r>
        <w:rPr>
          <w:spacing w:val="-8"/>
          <w:w w:val="105"/>
        </w:rPr>
        <w:t> </w:t>
      </w:r>
      <w:r>
        <w:rPr>
          <w:w w:val="105"/>
        </w:rPr>
        <w:t>the</w:t>
      </w:r>
      <w:r>
        <w:rPr>
          <w:spacing w:val="-8"/>
          <w:w w:val="105"/>
        </w:rPr>
        <w:t> </w:t>
      </w:r>
      <w:r>
        <w:rPr>
          <w:w w:val="105"/>
        </w:rPr>
        <w:t>final</w:t>
      </w:r>
      <w:r>
        <w:rPr>
          <w:spacing w:val="-8"/>
          <w:w w:val="105"/>
        </w:rPr>
        <w:t> </w:t>
      </w:r>
      <w:r>
        <w:rPr>
          <w:w w:val="105"/>
        </w:rPr>
        <w:t>determination</w:t>
      </w:r>
      <w:r>
        <w:rPr>
          <w:spacing w:val="-8"/>
          <w:w w:val="105"/>
        </w:rPr>
        <w:t> </w:t>
      </w:r>
      <w:r>
        <w:rPr>
          <w:w w:val="105"/>
        </w:rPr>
        <w:t>of</w:t>
      </w:r>
      <w:r>
        <w:rPr>
          <w:spacing w:val="-8"/>
          <w:w w:val="105"/>
        </w:rPr>
        <w:t> </w:t>
      </w:r>
      <w:r>
        <w:rPr>
          <w:w w:val="105"/>
        </w:rPr>
        <w:t>tax,</w:t>
      </w:r>
      <w:r>
        <w:rPr>
          <w:spacing w:val="-8"/>
          <w:w w:val="105"/>
        </w:rPr>
        <w:t> </w:t>
      </w:r>
      <w:r>
        <w:rPr>
          <w:w w:val="105"/>
        </w:rPr>
        <w:t>assessments,</w:t>
      </w:r>
      <w:r>
        <w:rPr>
          <w:spacing w:val="-8"/>
          <w:w w:val="105"/>
        </w:rPr>
        <w:t> </w:t>
      </w:r>
      <w:r>
        <w:rPr>
          <w:w w:val="105"/>
        </w:rPr>
        <w:t>audits</w:t>
      </w:r>
      <w:r>
        <w:rPr>
          <w:spacing w:val="-8"/>
          <w:w w:val="105"/>
        </w:rPr>
        <w:t> </w:t>
      </w:r>
      <w:r>
        <w:rPr>
          <w:w w:val="105"/>
        </w:rPr>
        <w:t>and</w:t>
      </w:r>
      <w:r>
        <w:rPr>
          <w:spacing w:val="-10"/>
          <w:w w:val="105"/>
        </w:rPr>
        <w:t> </w:t>
      </w:r>
      <w:r>
        <w:rPr>
          <w:w w:val="105"/>
        </w:rPr>
        <w:t>any</w:t>
      </w:r>
      <w:r>
        <w:rPr>
          <w:spacing w:val="-8"/>
          <w:w w:val="105"/>
        </w:rPr>
        <w:t> </w:t>
      </w:r>
      <w:r>
        <w:rPr>
          <w:w w:val="105"/>
        </w:rPr>
        <w:t>related</w:t>
      </w:r>
      <w:r>
        <w:rPr>
          <w:spacing w:val="-8"/>
          <w:w w:val="105"/>
        </w:rPr>
        <w:t> </w:t>
      </w:r>
      <w:r>
        <w:rPr>
          <w:w w:val="105"/>
        </w:rPr>
        <w:t>litigation</w:t>
      </w:r>
      <w:r>
        <w:rPr>
          <w:spacing w:val="-8"/>
          <w:w w:val="105"/>
        </w:rPr>
        <w:t> </w:t>
      </w:r>
      <w:r>
        <w:rPr>
          <w:w w:val="105"/>
        </w:rPr>
        <w:t>could</w:t>
      </w:r>
      <w:r>
        <w:rPr>
          <w:spacing w:val="-10"/>
          <w:w w:val="105"/>
        </w:rPr>
        <w:t> </w:t>
      </w:r>
      <w:r>
        <w:rPr>
          <w:w w:val="105"/>
        </w:rPr>
        <w:t>be</w:t>
      </w:r>
      <w:r>
        <w:rPr>
          <w:spacing w:val="-8"/>
          <w:w w:val="105"/>
        </w:rPr>
        <w:t> </w:t>
      </w:r>
      <w:r>
        <w:rPr>
          <w:w w:val="105"/>
        </w:rPr>
        <w:t>materially</w:t>
      </w:r>
      <w:r>
        <w:rPr>
          <w:spacing w:val="-8"/>
          <w:w w:val="105"/>
        </w:rPr>
        <w:t> </w:t>
      </w:r>
      <w:r>
        <w:rPr>
          <w:w w:val="105"/>
        </w:rPr>
        <w:t>different</w:t>
      </w:r>
      <w:r>
        <w:rPr>
          <w:spacing w:val="-8"/>
          <w:w w:val="105"/>
        </w:rPr>
        <w:t> </w:t>
      </w:r>
      <w:r>
        <w:rPr>
          <w:w w:val="105"/>
        </w:rPr>
        <w:t>from</w:t>
      </w:r>
      <w:r>
        <w:rPr>
          <w:spacing w:val="-8"/>
          <w:w w:val="105"/>
        </w:rPr>
        <w:t> </w:t>
      </w:r>
      <w:r>
        <w:rPr>
          <w:w w:val="105"/>
        </w:rPr>
        <w:t>our</w:t>
      </w:r>
      <w:r>
        <w:rPr>
          <w:spacing w:val="-10"/>
          <w:w w:val="105"/>
        </w:rPr>
        <w:t> </w:t>
      </w:r>
      <w:r>
        <w:rPr>
          <w:w w:val="105"/>
        </w:rPr>
        <w:t>historical</w:t>
      </w:r>
      <w:r>
        <w:rPr>
          <w:spacing w:val="-8"/>
          <w:w w:val="105"/>
        </w:rPr>
        <w:t> </w:t>
      </w:r>
      <w:r>
        <w:rPr>
          <w:w w:val="105"/>
        </w:rPr>
        <w:t>income</w:t>
      </w:r>
      <w:r>
        <w:rPr>
          <w:spacing w:val="-8"/>
          <w:w w:val="105"/>
        </w:rPr>
        <w:t> </w:t>
      </w:r>
      <w:r>
        <w:rPr>
          <w:w w:val="105"/>
        </w:rPr>
        <w:t>tax</w:t>
      </w:r>
      <w:r>
        <w:rPr>
          <w:spacing w:val="-8"/>
          <w:w w:val="105"/>
        </w:rPr>
        <w:t> </w:t>
      </w:r>
      <w:r>
        <w:rPr>
          <w:w w:val="105"/>
        </w:rPr>
        <w:t>provisions and</w:t>
      </w:r>
      <w:r>
        <w:rPr>
          <w:spacing w:val="-3"/>
          <w:w w:val="105"/>
        </w:rPr>
        <w:t> </w:t>
      </w:r>
      <w:r>
        <w:rPr>
          <w:w w:val="105"/>
        </w:rPr>
        <w:t>accruals,</w:t>
      </w:r>
      <w:r>
        <w:rPr>
          <w:spacing w:val="-3"/>
          <w:w w:val="105"/>
        </w:rPr>
        <w:t> </w:t>
      </w:r>
      <w:r>
        <w:rPr>
          <w:w w:val="105"/>
        </w:rPr>
        <w:t>or</w:t>
      </w:r>
      <w:r>
        <w:rPr>
          <w:spacing w:val="-3"/>
          <w:w w:val="105"/>
        </w:rPr>
        <w:t> </w:t>
      </w:r>
      <w:r>
        <w:rPr>
          <w:w w:val="105"/>
        </w:rPr>
        <w:t>result</w:t>
      </w:r>
      <w:r>
        <w:rPr>
          <w:spacing w:val="-1"/>
          <w:w w:val="105"/>
        </w:rPr>
        <w:t> </w:t>
      </w:r>
      <w:r>
        <w:rPr>
          <w:w w:val="105"/>
        </w:rPr>
        <w:t>in</w:t>
      </w:r>
      <w:r>
        <w:rPr>
          <w:spacing w:val="-3"/>
          <w:w w:val="105"/>
        </w:rPr>
        <w:t> </w:t>
      </w:r>
      <w:r>
        <w:rPr>
          <w:w w:val="105"/>
        </w:rPr>
        <w:t>the</w:t>
      </w:r>
      <w:r>
        <w:rPr>
          <w:spacing w:val="-3"/>
          <w:w w:val="105"/>
        </w:rPr>
        <w:t> </w:t>
      </w:r>
      <w:r>
        <w:rPr>
          <w:w w:val="105"/>
        </w:rPr>
        <w:t>forfeiture</w:t>
      </w:r>
      <w:r>
        <w:rPr>
          <w:spacing w:val="-3"/>
          <w:w w:val="105"/>
        </w:rPr>
        <w:t> </w:t>
      </w:r>
      <w:r>
        <w:rPr>
          <w:w w:val="105"/>
        </w:rPr>
        <w:t>of</w:t>
      </w:r>
      <w:r>
        <w:rPr>
          <w:spacing w:val="-3"/>
          <w:w w:val="105"/>
        </w:rPr>
        <w:t> </w:t>
      </w:r>
      <w:r>
        <w:rPr>
          <w:w w:val="105"/>
        </w:rPr>
        <w:t>funds</w:t>
      </w:r>
      <w:r>
        <w:rPr>
          <w:spacing w:val="-3"/>
          <w:w w:val="105"/>
        </w:rPr>
        <w:t> </w:t>
      </w:r>
      <w:r>
        <w:rPr>
          <w:w w:val="105"/>
        </w:rPr>
        <w:t>deposited</w:t>
      </w:r>
      <w:r>
        <w:rPr>
          <w:spacing w:val="-3"/>
          <w:w w:val="105"/>
        </w:rPr>
        <w:t> </w:t>
      </w:r>
      <w:r>
        <w:rPr>
          <w:w w:val="105"/>
        </w:rPr>
        <w:t>with</w:t>
      </w:r>
      <w:r>
        <w:rPr>
          <w:spacing w:val="-3"/>
          <w:w w:val="105"/>
        </w:rPr>
        <w:t> </w:t>
      </w:r>
      <w:r>
        <w:rPr>
          <w:w w:val="105"/>
        </w:rPr>
        <w:t>the</w:t>
      </w:r>
      <w:r>
        <w:rPr>
          <w:spacing w:val="-3"/>
          <w:w w:val="105"/>
        </w:rPr>
        <w:t> </w:t>
      </w:r>
      <w:r>
        <w:rPr>
          <w:w w:val="105"/>
        </w:rPr>
        <w:t>relevant</w:t>
      </w:r>
      <w:r>
        <w:rPr>
          <w:spacing w:val="-3"/>
          <w:w w:val="105"/>
        </w:rPr>
        <w:t> </w:t>
      </w:r>
      <w:r>
        <w:rPr>
          <w:w w:val="105"/>
        </w:rPr>
        <w:t>government</w:t>
      </w:r>
      <w:r>
        <w:rPr>
          <w:spacing w:val="-3"/>
          <w:w w:val="105"/>
        </w:rPr>
        <w:t> </w:t>
      </w:r>
      <w:r>
        <w:rPr>
          <w:w w:val="105"/>
        </w:rPr>
        <w:t>authorities.</w:t>
      </w:r>
      <w:r>
        <w:rPr>
          <w:spacing w:val="28"/>
          <w:w w:val="105"/>
        </w:rPr>
        <w:t> </w:t>
      </w:r>
      <w:r>
        <w:rPr>
          <w:w w:val="105"/>
        </w:rPr>
        <w:t>The</w:t>
      </w:r>
      <w:r>
        <w:rPr>
          <w:spacing w:val="-3"/>
          <w:w w:val="105"/>
        </w:rPr>
        <w:t> </w:t>
      </w:r>
      <w:r>
        <w:rPr>
          <w:w w:val="105"/>
        </w:rPr>
        <w:t>results</w:t>
      </w:r>
      <w:r>
        <w:rPr>
          <w:spacing w:val="-3"/>
          <w:w w:val="105"/>
        </w:rPr>
        <w:t> </w:t>
      </w:r>
      <w:r>
        <w:rPr>
          <w:w w:val="105"/>
        </w:rPr>
        <w:t>of</w:t>
      </w:r>
      <w:r>
        <w:rPr>
          <w:spacing w:val="-3"/>
          <w:w w:val="105"/>
        </w:rPr>
        <w:t> </w:t>
      </w:r>
      <w:r>
        <w:rPr>
          <w:w w:val="105"/>
        </w:rPr>
        <w:t>an</w:t>
      </w:r>
      <w:r>
        <w:rPr>
          <w:spacing w:val="-3"/>
          <w:w w:val="105"/>
        </w:rPr>
        <w:t> </w:t>
      </w:r>
      <w:r>
        <w:rPr>
          <w:w w:val="105"/>
        </w:rPr>
        <w:t>audit</w:t>
      </w:r>
      <w:r>
        <w:rPr>
          <w:spacing w:val="-3"/>
          <w:w w:val="105"/>
        </w:rPr>
        <w:t> </w:t>
      </w:r>
      <w:r>
        <w:rPr>
          <w:w w:val="105"/>
        </w:rPr>
        <w:t>or</w:t>
      </w:r>
      <w:r>
        <w:rPr>
          <w:spacing w:val="-3"/>
          <w:w w:val="105"/>
        </w:rPr>
        <w:t> </w:t>
      </w:r>
      <w:r>
        <w:rPr>
          <w:w w:val="105"/>
        </w:rPr>
        <w:t>litigation</w:t>
      </w:r>
      <w:r>
        <w:rPr>
          <w:spacing w:val="-3"/>
          <w:w w:val="105"/>
        </w:rPr>
        <w:t> </w:t>
      </w:r>
      <w:r>
        <w:rPr>
          <w:w w:val="105"/>
        </w:rPr>
        <w:t>could</w:t>
      </w:r>
      <w:r>
        <w:rPr>
          <w:spacing w:val="-3"/>
          <w:w w:val="105"/>
        </w:rPr>
        <w:t> </w:t>
      </w:r>
      <w:r>
        <w:rPr>
          <w:w w:val="105"/>
        </w:rPr>
        <w:t>have</w:t>
      </w:r>
      <w:r>
        <w:rPr>
          <w:spacing w:val="-3"/>
          <w:w w:val="105"/>
        </w:rPr>
        <w:t> </w:t>
      </w:r>
      <w:r>
        <w:rPr>
          <w:w w:val="105"/>
        </w:rPr>
        <w:t>a</w:t>
      </w:r>
      <w:r>
        <w:rPr>
          <w:spacing w:val="-3"/>
          <w:w w:val="105"/>
        </w:rPr>
        <w:t> </w:t>
      </w:r>
      <w:r>
        <w:rPr>
          <w:w w:val="105"/>
        </w:rPr>
        <w:t>material</w:t>
      </w:r>
      <w:r>
        <w:rPr>
          <w:spacing w:val="-3"/>
          <w:w w:val="105"/>
        </w:rPr>
        <w:t> </w:t>
      </w:r>
      <w:r>
        <w:rPr>
          <w:w w:val="105"/>
        </w:rPr>
        <w:t>effect</w:t>
      </w:r>
      <w:r>
        <w:rPr>
          <w:spacing w:val="-3"/>
          <w:w w:val="105"/>
        </w:rPr>
        <w:t> </w:t>
      </w:r>
      <w:r>
        <w:rPr>
          <w:w w:val="105"/>
        </w:rPr>
        <w:t>on</w:t>
      </w:r>
      <w:r>
        <w:rPr>
          <w:spacing w:val="-3"/>
          <w:w w:val="105"/>
        </w:rPr>
        <w:t> </w:t>
      </w:r>
      <w:r>
        <w:rPr>
          <w:w w:val="105"/>
        </w:rPr>
        <w:t>our financial statements in the period or periods for which such a determination is made.</w:t>
      </w:r>
    </w:p>
    <w:p>
      <w:pPr>
        <w:pStyle w:val="BodyText"/>
        <w:spacing w:before="18"/>
      </w:pPr>
    </w:p>
    <w:p>
      <w:pPr>
        <w:pStyle w:val="BodyText"/>
        <w:spacing w:line="266" w:lineRule="auto"/>
        <w:ind w:left="156"/>
      </w:pPr>
      <w:r>
        <w:rPr>
          <w:w w:val="105"/>
        </w:rPr>
        <w:t>The</w:t>
      </w:r>
      <w:r>
        <w:rPr>
          <w:spacing w:val="-9"/>
          <w:w w:val="105"/>
        </w:rPr>
        <w:t> </w:t>
      </w:r>
      <w:r>
        <w:rPr>
          <w:w w:val="105"/>
        </w:rPr>
        <w:t>U.S.,</w:t>
      </w:r>
      <w:r>
        <w:rPr>
          <w:spacing w:val="-9"/>
          <w:w w:val="105"/>
        </w:rPr>
        <w:t> </w:t>
      </w:r>
      <w:r>
        <w:rPr>
          <w:w w:val="105"/>
        </w:rPr>
        <w:t>other</w:t>
      </w:r>
      <w:r>
        <w:rPr>
          <w:spacing w:val="-9"/>
          <w:w w:val="105"/>
        </w:rPr>
        <w:t> </w:t>
      </w:r>
      <w:r>
        <w:rPr>
          <w:w w:val="105"/>
        </w:rPr>
        <w:t>countries</w:t>
      </w:r>
      <w:r>
        <w:rPr>
          <w:spacing w:val="-9"/>
          <w:w w:val="105"/>
        </w:rPr>
        <w:t> </w:t>
      </w:r>
      <w:r>
        <w:rPr>
          <w:w w:val="105"/>
        </w:rPr>
        <w:t>and</w:t>
      </w:r>
      <w:r>
        <w:rPr>
          <w:spacing w:val="-9"/>
          <w:w w:val="105"/>
        </w:rPr>
        <w:t> </w:t>
      </w:r>
      <w:r>
        <w:rPr>
          <w:w w:val="105"/>
        </w:rPr>
        <w:t>international</w:t>
      </w:r>
      <w:r>
        <w:rPr>
          <w:spacing w:val="-9"/>
          <w:w w:val="105"/>
        </w:rPr>
        <w:t> </w:t>
      </w:r>
      <w:r>
        <w:rPr>
          <w:w w:val="105"/>
        </w:rPr>
        <w:t>organizations,</w:t>
      </w:r>
      <w:r>
        <w:rPr>
          <w:spacing w:val="-9"/>
          <w:w w:val="105"/>
        </w:rPr>
        <w:t> </w:t>
      </w:r>
      <w:r>
        <w:rPr>
          <w:w w:val="105"/>
        </w:rPr>
        <w:t>such</w:t>
      </w:r>
      <w:r>
        <w:rPr>
          <w:spacing w:val="-8"/>
          <w:w w:val="105"/>
        </w:rPr>
        <w:t> </w:t>
      </w:r>
      <w:r>
        <w:rPr>
          <w:w w:val="105"/>
        </w:rPr>
        <w:t>as</w:t>
      </w:r>
      <w:r>
        <w:rPr>
          <w:spacing w:val="-9"/>
          <w:w w:val="105"/>
        </w:rPr>
        <w:t> </w:t>
      </w:r>
      <w:r>
        <w:rPr>
          <w:w w:val="105"/>
        </w:rPr>
        <w:t>Organisation</w:t>
      </w:r>
      <w:r>
        <w:rPr>
          <w:spacing w:val="-9"/>
          <w:w w:val="105"/>
        </w:rPr>
        <w:t> </w:t>
      </w:r>
      <w:r>
        <w:rPr>
          <w:w w:val="105"/>
        </w:rPr>
        <w:t>for</w:t>
      </w:r>
      <w:r>
        <w:rPr>
          <w:spacing w:val="-9"/>
          <w:w w:val="105"/>
        </w:rPr>
        <w:t> </w:t>
      </w:r>
      <w:r>
        <w:rPr>
          <w:w w:val="105"/>
        </w:rPr>
        <w:t>Economic</w:t>
      </w:r>
      <w:r>
        <w:rPr>
          <w:spacing w:val="-9"/>
          <w:w w:val="105"/>
        </w:rPr>
        <w:t> </w:t>
      </w:r>
      <w:r>
        <w:rPr>
          <w:w w:val="105"/>
        </w:rPr>
        <w:t>Co-operation</w:t>
      </w:r>
      <w:r>
        <w:rPr>
          <w:spacing w:val="-9"/>
          <w:w w:val="105"/>
        </w:rPr>
        <w:t> </w:t>
      </w:r>
      <w:r>
        <w:rPr>
          <w:w w:val="105"/>
        </w:rPr>
        <w:t>and</w:t>
      </w:r>
      <w:r>
        <w:rPr>
          <w:spacing w:val="-9"/>
          <w:w w:val="105"/>
        </w:rPr>
        <w:t> </w:t>
      </w:r>
      <w:r>
        <w:rPr>
          <w:w w:val="105"/>
        </w:rPr>
        <w:t>Development</w:t>
      </w:r>
      <w:r>
        <w:rPr>
          <w:spacing w:val="-9"/>
          <w:w w:val="105"/>
        </w:rPr>
        <w:t> </w:t>
      </w:r>
      <w:r>
        <w:rPr>
          <w:w w:val="105"/>
        </w:rPr>
        <w:t>(“OECD”),</w:t>
      </w:r>
      <w:r>
        <w:rPr>
          <w:spacing w:val="-9"/>
          <w:w w:val="105"/>
        </w:rPr>
        <w:t> </w:t>
      </w:r>
      <w:r>
        <w:rPr>
          <w:w w:val="105"/>
        </w:rPr>
        <w:t>may</w:t>
      </w:r>
      <w:r>
        <w:rPr>
          <w:spacing w:val="-8"/>
          <w:w w:val="105"/>
        </w:rPr>
        <w:t> </w:t>
      </w:r>
      <w:r>
        <w:rPr>
          <w:w w:val="105"/>
        </w:rPr>
        <w:t>change</w:t>
      </w:r>
      <w:r>
        <w:rPr>
          <w:spacing w:val="-9"/>
          <w:w w:val="105"/>
        </w:rPr>
        <w:t> </w:t>
      </w:r>
      <w:r>
        <w:rPr>
          <w:w w:val="105"/>
        </w:rPr>
        <w:t>their</w:t>
      </w:r>
      <w:r>
        <w:rPr>
          <w:spacing w:val="-9"/>
          <w:w w:val="105"/>
        </w:rPr>
        <w:t> </w:t>
      </w:r>
      <w:r>
        <w:rPr>
          <w:w w:val="105"/>
        </w:rPr>
        <w:t>laws</w:t>
      </w:r>
      <w:r>
        <w:rPr>
          <w:spacing w:val="-9"/>
          <w:w w:val="105"/>
        </w:rPr>
        <w:t> </w:t>
      </w:r>
      <w:r>
        <w:rPr>
          <w:w w:val="105"/>
        </w:rPr>
        <w:t>or</w:t>
      </w:r>
      <w:r>
        <w:rPr>
          <w:spacing w:val="-9"/>
          <w:w w:val="105"/>
        </w:rPr>
        <w:t> </w:t>
      </w:r>
      <w:r>
        <w:rPr>
          <w:w w:val="105"/>
        </w:rPr>
        <w:t>issue</w:t>
      </w:r>
      <w:r>
        <w:rPr>
          <w:spacing w:val="-9"/>
          <w:w w:val="105"/>
        </w:rPr>
        <w:t> </w:t>
      </w:r>
      <w:r>
        <w:rPr>
          <w:w w:val="105"/>
        </w:rPr>
        <w:t>new international tax standards that may also impact our taxes.</w:t>
      </w:r>
    </w:p>
    <w:p>
      <w:pPr>
        <w:pStyle w:val="BodyText"/>
        <w:spacing w:before="19"/>
      </w:pPr>
    </w:p>
    <w:p>
      <w:pPr>
        <w:pStyle w:val="Heading2"/>
      </w:pPr>
      <w:r>
        <w:rPr>
          <w:w w:val="105"/>
        </w:rPr>
        <w:t>As</w:t>
      </w:r>
      <w:r>
        <w:rPr>
          <w:spacing w:val="-11"/>
          <w:w w:val="105"/>
        </w:rPr>
        <w:t> </w:t>
      </w:r>
      <w:r>
        <w:rPr>
          <w:w w:val="105"/>
        </w:rPr>
        <w:t>a</w:t>
      </w:r>
      <w:r>
        <w:rPr>
          <w:spacing w:val="-10"/>
          <w:w w:val="105"/>
        </w:rPr>
        <w:t> </w:t>
      </w:r>
      <w:r>
        <w:rPr>
          <w:w w:val="105"/>
        </w:rPr>
        <w:t>global</w:t>
      </w:r>
      <w:r>
        <w:rPr>
          <w:spacing w:val="-10"/>
          <w:w w:val="105"/>
        </w:rPr>
        <w:t> </w:t>
      </w:r>
      <w:r>
        <w:rPr>
          <w:w w:val="105"/>
        </w:rPr>
        <w:t>company,</w:t>
      </w:r>
      <w:r>
        <w:rPr>
          <w:spacing w:val="-11"/>
          <w:w w:val="105"/>
        </w:rPr>
        <w:t> </w:t>
      </w:r>
      <w:r>
        <w:rPr>
          <w:w w:val="105"/>
        </w:rPr>
        <w:t>we</w:t>
      </w:r>
      <w:r>
        <w:rPr>
          <w:spacing w:val="-10"/>
          <w:w w:val="105"/>
        </w:rPr>
        <w:t> </w:t>
      </w:r>
      <w:r>
        <w:rPr>
          <w:w w:val="105"/>
        </w:rPr>
        <w:t>face</w:t>
      </w:r>
      <w:r>
        <w:rPr>
          <w:spacing w:val="-10"/>
          <w:w w:val="105"/>
        </w:rPr>
        <w:t> </w:t>
      </w:r>
      <w:r>
        <w:rPr>
          <w:w w:val="105"/>
        </w:rPr>
        <w:t>many</w:t>
      </w:r>
      <w:r>
        <w:rPr>
          <w:spacing w:val="-10"/>
          <w:w w:val="105"/>
        </w:rPr>
        <w:t> </w:t>
      </w:r>
      <w:r>
        <w:rPr>
          <w:w w:val="105"/>
        </w:rPr>
        <w:t>risks</w:t>
      </w:r>
      <w:r>
        <w:rPr>
          <w:spacing w:val="-11"/>
          <w:w w:val="105"/>
        </w:rPr>
        <w:t> </w:t>
      </w:r>
      <w:r>
        <w:rPr>
          <w:w w:val="105"/>
        </w:rPr>
        <w:t>which</w:t>
      </w:r>
      <w:r>
        <w:rPr>
          <w:spacing w:val="-10"/>
          <w:w w:val="105"/>
        </w:rPr>
        <w:t> </w:t>
      </w:r>
      <w:r>
        <w:rPr>
          <w:w w:val="105"/>
        </w:rPr>
        <w:t>could</w:t>
      </w:r>
      <w:r>
        <w:rPr>
          <w:spacing w:val="-10"/>
          <w:w w:val="105"/>
        </w:rPr>
        <w:t> </w:t>
      </w:r>
      <w:r>
        <w:rPr>
          <w:w w:val="105"/>
        </w:rPr>
        <w:t>adversely</w:t>
      </w:r>
      <w:r>
        <w:rPr>
          <w:spacing w:val="-10"/>
          <w:w w:val="105"/>
        </w:rPr>
        <w:t> </w:t>
      </w:r>
      <w:r>
        <w:rPr>
          <w:w w:val="105"/>
        </w:rPr>
        <w:t>impact</w:t>
      </w:r>
      <w:r>
        <w:rPr>
          <w:spacing w:val="-11"/>
          <w:w w:val="105"/>
        </w:rPr>
        <w:t> </w:t>
      </w:r>
      <w:r>
        <w:rPr>
          <w:w w:val="105"/>
        </w:rPr>
        <w:t>our</w:t>
      </w:r>
      <w:r>
        <w:rPr>
          <w:spacing w:val="-10"/>
          <w:w w:val="105"/>
        </w:rPr>
        <w:t> </w:t>
      </w:r>
      <w:r>
        <w:rPr>
          <w:w w:val="105"/>
        </w:rPr>
        <w:t>operations</w:t>
      </w:r>
      <w:r>
        <w:rPr>
          <w:spacing w:val="-10"/>
          <w:w w:val="105"/>
        </w:rPr>
        <w:t> </w:t>
      </w:r>
      <w:r>
        <w:rPr>
          <w:w w:val="105"/>
        </w:rPr>
        <w:t>and</w:t>
      </w:r>
      <w:r>
        <w:rPr>
          <w:spacing w:val="-10"/>
          <w:w w:val="105"/>
        </w:rPr>
        <w:t> </w:t>
      </w:r>
      <w:r>
        <w:rPr>
          <w:w w:val="105"/>
        </w:rPr>
        <w:t>financial</w:t>
      </w:r>
      <w:r>
        <w:rPr>
          <w:spacing w:val="-9"/>
          <w:w w:val="105"/>
        </w:rPr>
        <w:t> </w:t>
      </w:r>
      <w:r>
        <w:rPr>
          <w:spacing w:val="-2"/>
          <w:w w:val="105"/>
        </w:rPr>
        <w:t>results</w:t>
      </w:r>
    </w:p>
    <w:p>
      <w:pPr>
        <w:pStyle w:val="BodyText"/>
        <w:spacing w:before="40"/>
        <w:rPr>
          <w:b/>
        </w:rPr>
      </w:pPr>
    </w:p>
    <w:p>
      <w:pPr>
        <w:pStyle w:val="BodyText"/>
        <w:spacing w:line="266" w:lineRule="auto"/>
        <w:ind w:left="156" w:right="228"/>
      </w:pPr>
      <w:r>
        <w:rPr>
          <w:w w:val="105"/>
        </w:rPr>
        <w:t>We</w:t>
      </w:r>
      <w:r>
        <w:rPr>
          <w:spacing w:val="-2"/>
          <w:w w:val="105"/>
        </w:rPr>
        <w:t> </w:t>
      </w:r>
      <w:r>
        <w:rPr>
          <w:w w:val="105"/>
        </w:rPr>
        <w:t>are</w:t>
      </w:r>
      <w:r>
        <w:rPr>
          <w:spacing w:val="-2"/>
          <w:w w:val="105"/>
        </w:rPr>
        <w:t> </w:t>
      </w:r>
      <w:r>
        <w:rPr>
          <w:w w:val="105"/>
        </w:rPr>
        <w:t>a</w:t>
      </w:r>
      <w:r>
        <w:rPr>
          <w:spacing w:val="-2"/>
          <w:w w:val="105"/>
        </w:rPr>
        <w:t> </w:t>
      </w:r>
      <w:r>
        <w:rPr>
          <w:w w:val="105"/>
        </w:rPr>
        <w:t>global</w:t>
      </w:r>
      <w:r>
        <w:rPr>
          <w:spacing w:val="-2"/>
          <w:w w:val="105"/>
        </w:rPr>
        <w:t> </w:t>
      </w:r>
      <w:r>
        <w:rPr>
          <w:w w:val="105"/>
        </w:rPr>
        <w:t>company and</w:t>
      </w:r>
      <w:r>
        <w:rPr>
          <w:spacing w:val="-2"/>
          <w:w w:val="105"/>
        </w:rPr>
        <w:t> </w:t>
      </w:r>
      <w:r>
        <w:rPr>
          <w:w w:val="105"/>
        </w:rPr>
        <w:t>derive</w:t>
      </w:r>
      <w:r>
        <w:rPr>
          <w:spacing w:val="-2"/>
          <w:w w:val="105"/>
        </w:rPr>
        <w:t> </w:t>
      </w:r>
      <w:r>
        <w:rPr>
          <w:w w:val="105"/>
        </w:rPr>
        <w:t>a</w:t>
      </w:r>
      <w:r>
        <w:rPr>
          <w:spacing w:val="-2"/>
          <w:w w:val="105"/>
        </w:rPr>
        <w:t> </w:t>
      </w:r>
      <w:r>
        <w:rPr>
          <w:w w:val="105"/>
        </w:rPr>
        <w:t>substantial</w:t>
      </w:r>
      <w:r>
        <w:rPr>
          <w:spacing w:val="-2"/>
          <w:w w:val="105"/>
        </w:rPr>
        <w:t> </w:t>
      </w:r>
      <w:r>
        <w:rPr>
          <w:w w:val="105"/>
        </w:rPr>
        <w:t>portion</w:t>
      </w:r>
      <w:r>
        <w:rPr>
          <w:spacing w:val="-2"/>
          <w:w w:val="105"/>
        </w:rPr>
        <w:t> </w:t>
      </w:r>
      <w:r>
        <w:rPr>
          <w:w w:val="105"/>
        </w:rPr>
        <w:t>of</w:t>
      </w:r>
      <w:r>
        <w:rPr>
          <w:spacing w:val="-2"/>
          <w:w w:val="105"/>
        </w:rPr>
        <w:t> </w:t>
      </w:r>
      <w:r>
        <w:rPr>
          <w:w w:val="105"/>
        </w:rPr>
        <w:t>our</w:t>
      </w:r>
      <w:r>
        <w:rPr>
          <w:spacing w:val="-2"/>
          <w:w w:val="105"/>
        </w:rPr>
        <w:t> </w:t>
      </w:r>
      <w:r>
        <w:rPr>
          <w:w w:val="105"/>
        </w:rPr>
        <w:t>revenue</w:t>
      </w:r>
      <w:r>
        <w:rPr>
          <w:spacing w:val="-2"/>
          <w:w w:val="105"/>
        </w:rPr>
        <w:t> </w:t>
      </w:r>
      <w:r>
        <w:rPr>
          <w:w w:val="105"/>
        </w:rPr>
        <w:t>from,</w:t>
      </w:r>
      <w:r>
        <w:rPr>
          <w:spacing w:val="-2"/>
          <w:w w:val="105"/>
        </w:rPr>
        <w:t> </w:t>
      </w:r>
      <w:r>
        <w:rPr>
          <w:w w:val="105"/>
        </w:rPr>
        <w:t>and</w:t>
      </w:r>
      <w:r>
        <w:rPr>
          <w:spacing w:val="-2"/>
          <w:w w:val="105"/>
        </w:rPr>
        <w:t> </w:t>
      </w:r>
      <w:r>
        <w:rPr>
          <w:w w:val="105"/>
        </w:rPr>
        <w:t>have</w:t>
      </w:r>
      <w:r>
        <w:rPr>
          <w:spacing w:val="-2"/>
          <w:w w:val="105"/>
        </w:rPr>
        <w:t> </w:t>
      </w:r>
      <w:r>
        <w:rPr>
          <w:w w:val="105"/>
        </w:rPr>
        <w:t>significant</w:t>
      </w:r>
      <w:r>
        <w:rPr>
          <w:spacing w:val="-2"/>
          <w:w w:val="105"/>
        </w:rPr>
        <w:t> </w:t>
      </w:r>
      <w:r>
        <w:rPr>
          <w:w w:val="105"/>
        </w:rPr>
        <w:t>operations,</w:t>
      </w:r>
      <w:r>
        <w:rPr>
          <w:spacing w:val="-2"/>
          <w:w w:val="105"/>
        </w:rPr>
        <w:t> </w:t>
      </w:r>
      <w:r>
        <w:rPr>
          <w:w w:val="105"/>
        </w:rPr>
        <w:t>outside</w:t>
      </w:r>
      <w:r>
        <w:rPr>
          <w:spacing w:val="-2"/>
          <w:w w:val="105"/>
        </w:rPr>
        <w:t> </w:t>
      </w:r>
      <w:r>
        <w:rPr>
          <w:w w:val="105"/>
        </w:rPr>
        <w:t>of</w:t>
      </w:r>
      <w:r>
        <w:rPr>
          <w:spacing w:val="-2"/>
          <w:w w:val="105"/>
        </w:rPr>
        <w:t> </w:t>
      </w:r>
      <w:r>
        <w:rPr>
          <w:w w:val="105"/>
        </w:rPr>
        <w:t>the</w:t>
      </w:r>
      <w:r>
        <w:rPr>
          <w:spacing w:val="-2"/>
          <w:w w:val="105"/>
        </w:rPr>
        <w:t> </w:t>
      </w:r>
      <w:r>
        <w:rPr>
          <w:w w:val="105"/>
        </w:rPr>
        <w:t>U.S.</w:t>
      </w:r>
      <w:r>
        <w:rPr>
          <w:spacing w:val="-2"/>
          <w:w w:val="105"/>
        </w:rPr>
        <w:t> </w:t>
      </w:r>
      <w:r>
        <w:rPr>
          <w:w w:val="105"/>
        </w:rPr>
        <w:t>Our</w:t>
      </w:r>
      <w:r>
        <w:rPr>
          <w:spacing w:val="-2"/>
          <w:w w:val="105"/>
        </w:rPr>
        <w:t> </w:t>
      </w:r>
      <w:r>
        <w:rPr>
          <w:w w:val="105"/>
        </w:rPr>
        <w:t>international</w:t>
      </w:r>
      <w:r>
        <w:rPr>
          <w:spacing w:val="-2"/>
          <w:w w:val="105"/>
        </w:rPr>
        <w:t> </w:t>
      </w:r>
      <w:r>
        <w:rPr>
          <w:w w:val="105"/>
        </w:rPr>
        <w:t>operations</w:t>
      </w:r>
      <w:r>
        <w:rPr>
          <w:spacing w:val="-2"/>
          <w:w w:val="105"/>
        </w:rPr>
        <w:t> </w:t>
      </w:r>
      <w:r>
        <w:rPr>
          <w:w w:val="105"/>
        </w:rPr>
        <w:t>include manufacturing,</w:t>
      </w:r>
      <w:r>
        <w:rPr>
          <w:spacing w:val="-10"/>
          <w:w w:val="105"/>
        </w:rPr>
        <w:t> </w:t>
      </w:r>
      <w:r>
        <w:rPr>
          <w:w w:val="105"/>
        </w:rPr>
        <w:t>assembly,</w:t>
      </w:r>
      <w:r>
        <w:rPr>
          <w:spacing w:val="-10"/>
          <w:w w:val="105"/>
        </w:rPr>
        <w:t> </w:t>
      </w:r>
      <w:r>
        <w:rPr>
          <w:w w:val="105"/>
        </w:rPr>
        <w:t>sales,</w:t>
      </w:r>
      <w:r>
        <w:rPr>
          <w:spacing w:val="-10"/>
          <w:w w:val="105"/>
        </w:rPr>
        <w:t> </w:t>
      </w:r>
      <w:r>
        <w:rPr>
          <w:w w:val="105"/>
        </w:rPr>
        <w:t>research</w:t>
      </w:r>
      <w:r>
        <w:rPr>
          <w:spacing w:val="-10"/>
          <w:w w:val="105"/>
        </w:rPr>
        <w:t> </w:t>
      </w:r>
      <w:r>
        <w:rPr>
          <w:w w:val="105"/>
        </w:rPr>
        <w:t>and</w:t>
      </w:r>
      <w:r>
        <w:rPr>
          <w:spacing w:val="-10"/>
          <w:w w:val="105"/>
        </w:rPr>
        <w:t> </w:t>
      </w:r>
      <w:r>
        <w:rPr>
          <w:w w:val="105"/>
        </w:rPr>
        <w:t>development,</w:t>
      </w:r>
      <w:r>
        <w:rPr>
          <w:spacing w:val="-10"/>
          <w:w w:val="105"/>
        </w:rPr>
        <w:t> </w:t>
      </w:r>
      <w:r>
        <w:rPr>
          <w:w w:val="105"/>
        </w:rPr>
        <w:t>customer</w:t>
      </w:r>
      <w:r>
        <w:rPr>
          <w:spacing w:val="-10"/>
          <w:w w:val="105"/>
        </w:rPr>
        <w:t> </w:t>
      </w:r>
      <w:r>
        <w:rPr>
          <w:w w:val="105"/>
        </w:rPr>
        <w:t>support,</w:t>
      </w:r>
      <w:r>
        <w:rPr>
          <w:spacing w:val="-10"/>
          <w:w w:val="105"/>
        </w:rPr>
        <w:t> </w:t>
      </w:r>
      <w:r>
        <w:rPr>
          <w:w w:val="105"/>
        </w:rPr>
        <w:t>and</w:t>
      </w:r>
      <w:r>
        <w:rPr>
          <w:spacing w:val="-10"/>
          <w:w w:val="105"/>
        </w:rPr>
        <w:t> </w:t>
      </w:r>
      <w:r>
        <w:rPr>
          <w:w w:val="105"/>
        </w:rPr>
        <w:t>shared</w:t>
      </w:r>
      <w:r>
        <w:rPr>
          <w:spacing w:val="-10"/>
          <w:w w:val="105"/>
        </w:rPr>
        <w:t> </w:t>
      </w:r>
      <w:r>
        <w:rPr>
          <w:w w:val="105"/>
        </w:rPr>
        <w:t>administrative</w:t>
      </w:r>
      <w:r>
        <w:rPr>
          <w:spacing w:val="-10"/>
          <w:w w:val="105"/>
        </w:rPr>
        <w:t> </w:t>
      </w:r>
      <w:r>
        <w:rPr>
          <w:w w:val="105"/>
        </w:rPr>
        <w:t>service</w:t>
      </w:r>
      <w:r>
        <w:rPr>
          <w:spacing w:val="-10"/>
          <w:w w:val="105"/>
        </w:rPr>
        <w:t> </w:t>
      </w:r>
      <w:r>
        <w:rPr>
          <w:w w:val="105"/>
        </w:rPr>
        <w:t>centers.</w:t>
      </w:r>
      <w:r>
        <w:rPr>
          <w:spacing w:val="-10"/>
          <w:w w:val="105"/>
        </w:rPr>
        <w:t> </w:t>
      </w:r>
      <w:r>
        <w:rPr>
          <w:w w:val="105"/>
        </w:rPr>
        <w:t>Additionally,</w:t>
      </w:r>
      <w:r>
        <w:rPr>
          <w:spacing w:val="-10"/>
          <w:w w:val="105"/>
        </w:rPr>
        <w:t> </w:t>
      </w:r>
      <w:r>
        <w:rPr>
          <w:w w:val="105"/>
        </w:rPr>
        <w:t>we</w:t>
      </w:r>
      <w:r>
        <w:rPr>
          <w:spacing w:val="-8"/>
          <w:w w:val="105"/>
        </w:rPr>
        <w:t> </w:t>
      </w:r>
      <w:r>
        <w:rPr>
          <w:w w:val="105"/>
        </w:rPr>
        <w:t>rely</w:t>
      </w:r>
      <w:r>
        <w:rPr>
          <w:spacing w:val="-10"/>
          <w:w w:val="105"/>
        </w:rPr>
        <w:t> </w:t>
      </w:r>
      <w:r>
        <w:rPr>
          <w:w w:val="105"/>
        </w:rPr>
        <w:t>on</w:t>
      </w:r>
      <w:r>
        <w:rPr>
          <w:spacing w:val="-10"/>
          <w:w w:val="105"/>
        </w:rPr>
        <w:t> </w:t>
      </w:r>
      <w:r>
        <w:rPr>
          <w:w w:val="105"/>
        </w:rPr>
        <w:t>a</w:t>
      </w:r>
      <w:r>
        <w:rPr>
          <w:spacing w:val="-10"/>
          <w:w w:val="105"/>
        </w:rPr>
        <w:t> </w:t>
      </w:r>
      <w:r>
        <w:rPr>
          <w:w w:val="105"/>
        </w:rPr>
        <w:t>global</w:t>
      </w:r>
      <w:r>
        <w:rPr>
          <w:spacing w:val="-10"/>
          <w:w w:val="105"/>
        </w:rPr>
        <w:t> </w:t>
      </w:r>
      <w:r>
        <w:rPr>
          <w:w w:val="105"/>
        </w:rPr>
        <w:t>supply</w:t>
      </w:r>
      <w:r>
        <w:rPr>
          <w:spacing w:val="-10"/>
          <w:w w:val="105"/>
        </w:rPr>
        <w:t> </w:t>
      </w:r>
      <w:r>
        <w:rPr>
          <w:w w:val="105"/>
        </w:rPr>
        <w:t>chain</w:t>
      </w:r>
      <w:r>
        <w:rPr>
          <w:spacing w:val="-10"/>
          <w:w w:val="105"/>
        </w:rPr>
        <w:t> </w:t>
      </w:r>
      <w:r>
        <w:rPr>
          <w:w w:val="105"/>
        </w:rPr>
        <w:t>for key components and capabilities that are central to our ability to invent, make and sell products.</w:t>
      </w:r>
    </w:p>
    <w:p>
      <w:pPr>
        <w:pStyle w:val="BodyText"/>
        <w:spacing w:before="18"/>
      </w:pPr>
    </w:p>
    <w:p>
      <w:pPr>
        <w:pStyle w:val="BodyText"/>
        <w:spacing w:line="266" w:lineRule="auto" w:before="1"/>
        <w:ind w:left="156" w:right="117"/>
      </w:pPr>
      <w:r>
        <w:rPr>
          <w:w w:val="105"/>
        </w:rPr>
        <w:t>Compliance</w:t>
      </w:r>
      <w:r>
        <w:rPr>
          <w:spacing w:val="-2"/>
          <w:w w:val="105"/>
        </w:rPr>
        <w:t> </w:t>
      </w:r>
      <w:r>
        <w:rPr>
          <w:w w:val="105"/>
        </w:rPr>
        <w:t>with</w:t>
      </w:r>
      <w:r>
        <w:rPr>
          <w:spacing w:val="-2"/>
          <w:w w:val="105"/>
        </w:rPr>
        <w:t> </w:t>
      </w:r>
      <w:r>
        <w:rPr>
          <w:w w:val="105"/>
        </w:rPr>
        <w:t>laws</w:t>
      </w:r>
      <w:r>
        <w:rPr>
          <w:spacing w:val="-2"/>
          <w:w w:val="105"/>
        </w:rPr>
        <w:t> </w:t>
      </w:r>
      <w:r>
        <w:rPr>
          <w:w w:val="105"/>
        </w:rPr>
        <w:t>and</w:t>
      </w:r>
      <w:r>
        <w:rPr>
          <w:spacing w:val="-2"/>
          <w:w w:val="105"/>
        </w:rPr>
        <w:t> </w:t>
      </w:r>
      <w:r>
        <w:rPr>
          <w:w w:val="105"/>
        </w:rPr>
        <w:t>regulations</w:t>
      </w:r>
      <w:r>
        <w:rPr>
          <w:spacing w:val="-2"/>
          <w:w w:val="105"/>
        </w:rPr>
        <w:t> </w:t>
      </w:r>
      <w:r>
        <w:rPr>
          <w:w w:val="105"/>
        </w:rPr>
        <w:t>increases</w:t>
      </w:r>
      <w:r>
        <w:rPr>
          <w:spacing w:val="-2"/>
          <w:w w:val="105"/>
        </w:rPr>
        <w:t> </w:t>
      </w:r>
      <w:r>
        <w:rPr>
          <w:w w:val="105"/>
        </w:rPr>
        <w:t>our</w:t>
      </w:r>
      <w:r>
        <w:rPr>
          <w:spacing w:val="-2"/>
          <w:w w:val="105"/>
        </w:rPr>
        <w:t> </w:t>
      </w:r>
      <w:r>
        <w:rPr>
          <w:w w:val="105"/>
        </w:rPr>
        <w:t>costs.</w:t>
      </w:r>
      <w:r>
        <w:rPr>
          <w:spacing w:val="-2"/>
          <w:w w:val="105"/>
        </w:rPr>
        <w:t> </w:t>
      </w:r>
      <w:r>
        <w:rPr>
          <w:w w:val="105"/>
        </w:rPr>
        <w:t>We are</w:t>
      </w:r>
      <w:r>
        <w:rPr>
          <w:spacing w:val="-2"/>
          <w:w w:val="105"/>
        </w:rPr>
        <w:t> </w:t>
      </w:r>
      <w:r>
        <w:rPr>
          <w:w w:val="105"/>
        </w:rPr>
        <w:t>subject</w:t>
      </w:r>
      <w:r>
        <w:rPr>
          <w:spacing w:val="-2"/>
          <w:w w:val="105"/>
        </w:rPr>
        <w:t> </w:t>
      </w:r>
      <w:r>
        <w:rPr>
          <w:w w:val="105"/>
        </w:rPr>
        <w:t>to</w:t>
      </w:r>
      <w:r>
        <w:rPr>
          <w:spacing w:val="-2"/>
          <w:w w:val="105"/>
        </w:rPr>
        <w:t> </w:t>
      </w:r>
      <w:r>
        <w:rPr>
          <w:w w:val="105"/>
        </w:rPr>
        <w:t>both</w:t>
      </w:r>
      <w:r>
        <w:rPr>
          <w:spacing w:val="-2"/>
          <w:w w:val="105"/>
        </w:rPr>
        <w:t> </w:t>
      </w:r>
      <w:r>
        <w:rPr>
          <w:w w:val="105"/>
        </w:rPr>
        <w:t>U.S.</w:t>
      </w:r>
      <w:r>
        <w:rPr>
          <w:spacing w:val="-2"/>
          <w:w w:val="105"/>
        </w:rPr>
        <w:t> </w:t>
      </w:r>
      <w:r>
        <w:rPr>
          <w:w w:val="105"/>
        </w:rPr>
        <w:t>laws</w:t>
      </w:r>
      <w:r>
        <w:rPr>
          <w:spacing w:val="-2"/>
          <w:w w:val="105"/>
        </w:rPr>
        <w:t> </w:t>
      </w:r>
      <w:r>
        <w:rPr>
          <w:w w:val="105"/>
        </w:rPr>
        <w:t>and</w:t>
      </w:r>
      <w:r>
        <w:rPr>
          <w:spacing w:val="-2"/>
          <w:w w:val="105"/>
        </w:rPr>
        <w:t> </w:t>
      </w:r>
      <w:r>
        <w:rPr>
          <w:w w:val="105"/>
        </w:rPr>
        <w:t>the</w:t>
      </w:r>
      <w:r>
        <w:rPr>
          <w:spacing w:val="-2"/>
          <w:w w:val="105"/>
        </w:rPr>
        <w:t> </w:t>
      </w:r>
      <w:r>
        <w:rPr>
          <w:w w:val="105"/>
        </w:rPr>
        <w:t>local</w:t>
      </w:r>
      <w:r>
        <w:rPr>
          <w:spacing w:val="-2"/>
          <w:w w:val="105"/>
        </w:rPr>
        <w:t> </w:t>
      </w:r>
      <w:r>
        <w:rPr>
          <w:w w:val="105"/>
        </w:rPr>
        <w:t>laws</w:t>
      </w:r>
      <w:r>
        <w:rPr>
          <w:spacing w:val="-2"/>
          <w:w w:val="105"/>
        </w:rPr>
        <w:t> </w:t>
      </w:r>
      <w:r>
        <w:rPr>
          <w:w w:val="105"/>
        </w:rPr>
        <w:t>where</w:t>
      </w:r>
      <w:r>
        <w:rPr>
          <w:spacing w:val="-2"/>
          <w:w w:val="105"/>
        </w:rPr>
        <w:t> </w:t>
      </w:r>
      <w:r>
        <w:rPr>
          <w:w w:val="105"/>
        </w:rPr>
        <w:t>we</w:t>
      </w:r>
      <w:r>
        <w:rPr>
          <w:spacing w:val="-2"/>
          <w:w w:val="105"/>
        </w:rPr>
        <w:t> </w:t>
      </w:r>
      <w:r>
        <w:rPr>
          <w:w w:val="105"/>
        </w:rPr>
        <w:t>operate</w:t>
      </w:r>
      <w:r>
        <w:rPr>
          <w:spacing w:val="-2"/>
          <w:w w:val="105"/>
        </w:rPr>
        <w:t> </w:t>
      </w:r>
      <w:r>
        <w:rPr>
          <w:w w:val="105"/>
        </w:rPr>
        <w:t>which,</w:t>
      </w:r>
      <w:r>
        <w:rPr>
          <w:spacing w:val="-2"/>
          <w:w w:val="105"/>
        </w:rPr>
        <w:t> </w:t>
      </w:r>
      <w:r>
        <w:rPr>
          <w:w w:val="105"/>
        </w:rPr>
        <w:t>among</w:t>
      </w:r>
      <w:r>
        <w:rPr>
          <w:spacing w:val="-2"/>
          <w:w w:val="105"/>
        </w:rPr>
        <w:t> </w:t>
      </w:r>
      <w:r>
        <w:rPr>
          <w:w w:val="105"/>
        </w:rPr>
        <w:t>other</w:t>
      </w:r>
      <w:r>
        <w:rPr>
          <w:spacing w:val="-2"/>
          <w:w w:val="105"/>
        </w:rPr>
        <w:t> </w:t>
      </w:r>
      <w:r>
        <w:rPr>
          <w:w w:val="105"/>
        </w:rPr>
        <w:t>things,</w:t>
      </w:r>
      <w:r>
        <w:rPr>
          <w:spacing w:val="-2"/>
          <w:w w:val="105"/>
        </w:rPr>
        <w:t> </w:t>
      </w:r>
      <w:r>
        <w:rPr>
          <w:w w:val="105"/>
        </w:rPr>
        <w:t>include</w:t>
      </w:r>
      <w:r>
        <w:rPr>
          <w:spacing w:val="-2"/>
          <w:w w:val="105"/>
        </w:rPr>
        <w:t> </w:t>
      </w:r>
      <w:r>
        <w:rPr>
          <w:w w:val="105"/>
        </w:rPr>
        <w:t>data privacy</w:t>
      </w:r>
      <w:r>
        <w:rPr>
          <w:spacing w:val="-6"/>
          <w:w w:val="105"/>
        </w:rPr>
        <w:t> </w:t>
      </w:r>
      <w:r>
        <w:rPr>
          <w:w w:val="105"/>
        </w:rPr>
        <w:t>requirements,</w:t>
      </w:r>
      <w:r>
        <w:rPr>
          <w:spacing w:val="-5"/>
          <w:w w:val="105"/>
        </w:rPr>
        <w:t> </w:t>
      </w:r>
      <w:r>
        <w:rPr>
          <w:w w:val="105"/>
        </w:rPr>
        <w:t>employment</w:t>
      </w:r>
      <w:r>
        <w:rPr>
          <w:spacing w:val="-6"/>
          <w:w w:val="105"/>
        </w:rPr>
        <w:t> </w:t>
      </w:r>
      <w:r>
        <w:rPr>
          <w:w w:val="105"/>
        </w:rPr>
        <w:t>and</w:t>
      </w:r>
      <w:r>
        <w:rPr>
          <w:spacing w:val="-6"/>
          <w:w w:val="105"/>
        </w:rPr>
        <w:t> </w:t>
      </w:r>
      <w:r>
        <w:rPr>
          <w:w w:val="105"/>
        </w:rPr>
        <w:t>labor</w:t>
      </w:r>
      <w:r>
        <w:rPr>
          <w:spacing w:val="-6"/>
          <w:w w:val="105"/>
        </w:rPr>
        <w:t> </w:t>
      </w:r>
      <w:r>
        <w:rPr>
          <w:w w:val="105"/>
        </w:rPr>
        <w:t>laws,</w:t>
      </w:r>
      <w:r>
        <w:rPr>
          <w:spacing w:val="-6"/>
          <w:w w:val="105"/>
        </w:rPr>
        <w:t> </w:t>
      </w:r>
      <w:r>
        <w:rPr>
          <w:w w:val="105"/>
        </w:rPr>
        <w:t>tax</w:t>
      </w:r>
      <w:r>
        <w:rPr>
          <w:spacing w:val="-5"/>
          <w:w w:val="105"/>
        </w:rPr>
        <w:t> </w:t>
      </w:r>
      <w:r>
        <w:rPr>
          <w:w w:val="105"/>
        </w:rPr>
        <w:t>laws,</w:t>
      </w:r>
      <w:r>
        <w:rPr>
          <w:spacing w:val="-6"/>
          <w:w w:val="105"/>
        </w:rPr>
        <w:t> </w:t>
      </w:r>
      <w:r>
        <w:rPr>
          <w:w w:val="105"/>
        </w:rPr>
        <w:t>anti-competition</w:t>
      </w:r>
      <w:r>
        <w:rPr>
          <w:spacing w:val="-6"/>
          <w:w w:val="105"/>
        </w:rPr>
        <w:t> </w:t>
      </w:r>
      <w:r>
        <w:rPr>
          <w:w w:val="105"/>
        </w:rPr>
        <w:t>regulations,</w:t>
      </w:r>
      <w:r>
        <w:rPr>
          <w:spacing w:val="-6"/>
          <w:w w:val="105"/>
        </w:rPr>
        <w:t> </w:t>
      </w:r>
      <w:r>
        <w:rPr>
          <w:w w:val="105"/>
        </w:rPr>
        <w:t>prohibitions</w:t>
      </w:r>
      <w:r>
        <w:rPr>
          <w:spacing w:val="-6"/>
          <w:w w:val="105"/>
        </w:rPr>
        <w:t> </w:t>
      </w:r>
      <w:r>
        <w:rPr>
          <w:w w:val="105"/>
        </w:rPr>
        <w:t>on</w:t>
      </w:r>
      <w:r>
        <w:rPr>
          <w:spacing w:val="-6"/>
          <w:w w:val="105"/>
        </w:rPr>
        <w:t> </w:t>
      </w:r>
      <w:r>
        <w:rPr>
          <w:w w:val="105"/>
        </w:rPr>
        <w:t>payments</w:t>
      </w:r>
      <w:r>
        <w:rPr>
          <w:spacing w:val="-6"/>
          <w:w w:val="105"/>
        </w:rPr>
        <w:t> </w:t>
      </w:r>
      <w:r>
        <w:rPr>
          <w:w w:val="105"/>
        </w:rPr>
        <w:t>to</w:t>
      </w:r>
      <w:r>
        <w:rPr>
          <w:spacing w:val="-6"/>
          <w:w w:val="105"/>
        </w:rPr>
        <w:t> </w:t>
      </w:r>
      <w:r>
        <w:rPr>
          <w:w w:val="105"/>
        </w:rPr>
        <w:t>governmental</w:t>
      </w:r>
      <w:r>
        <w:rPr>
          <w:spacing w:val="-6"/>
          <w:w w:val="105"/>
        </w:rPr>
        <w:t> </w:t>
      </w:r>
      <w:r>
        <w:rPr>
          <w:w w:val="105"/>
        </w:rPr>
        <w:t>officials,</w:t>
      </w:r>
      <w:r>
        <w:rPr>
          <w:spacing w:val="-6"/>
          <w:w w:val="105"/>
        </w:rPr>
        <w:t> </w:t>
      </w:r>
      <w:r>
        <w:rPr>
          <w:w w:val="105"/>
        </w:rPr>
        <w:t>import</w:t>
      </w:r>
      <w:r>
        <w:rPr>
          <w:spacing w:val="-6"/>
          <w:w w:val="105"/>
        </w:rPr>
        <w:t> </w:t>
      </w:r>
      <w:r>
        <w:rPr>
          <w:w w:val="105"/>
        </w:rPr>
        <w:t>and</w:t>
      </w:r>
      <w:r>
        <w:rPr>
          <w:spacing w:val="-6"/>
          <w:w w:val="105"/>
        </w:rPr>
        <w:t> </w:t>
      </w:r>
      <w:r>
        <w:rPr>
          <w:w w:val="105"/>
        </w:rPr>
        <w:t>trade</w:t>
      </w:r>
      <w:r>
        <w:rPr>
          <w:spacing w:val="-6"/>
          <w:w w:val="105"/>
        </w:rPr>
        <w:t> </w:t>
      </w:r>
      <w:r>
        <w:rPr>
          <w:w w:val="105"/>
        </w:rPr>
        <w:t>restrictions and</w:t>
      </w:r>
      <w:r>
        <w:rPr>
          <w:spacing w:val="-9"/>
          <w:w w:val="105"/>
        </w:rPr>
        <w:t> </w:t>
      </w:r>
      <w:r>
        <w:rPr>
          <w:w w:val="105"/>
        </w:rPr>
        <w:t>export</w:t>
      </w:r>
      <w:r>
        <w:rPr>
          <w:spacing w:val="-9"/>
          <w:w w:val="105"/>
        </w:rPr>
        <w:t> </w:t>
      </w:r>
      <w:r>
        <w:rPr>
          <w:w w:val="105"/>
        </w:rPr>
        <w:t>requirements.</w:t>
      </w:r>
      <w:r>
        <w:rPr>
          <w:spacing w:val="-9"/>
          <w:w w:val="105"/>
        </w:rPr>
        <w:t> </w:t>
      </w:r>
      <w:r>
        <w:rPr>
          <w:w w:val="105"/>
        </w:rPr>
        <w:t>Non-compliance</w:t>
      </w:r>
      <w:r>
        <w:rPr>
          <w:spacing w:val="-9"/>
          <w:w w:val="105"/>
        </w:rPr>
        <w:t> </w:t>
      </w:r>
      <w:r>
        <w:rPr>
          <w:w w:val="105"/>
        </w:rPr>
        <w:t>or</w:t>
      </w:r>
      <w:r>
        <w:rPr>
          <w:spacing w:val="-9"/>
          <w:w w:val="105"/>
        </w:rPr>
        <w:t> </w:t>
      </w:r>
      <w:r>
        <w:rPr>
          <w:w w:val="105"/>
        </w:rPr>
        <w:t>violations</w:t>
      </w:r>
      <w:r>
        <w:rPr>
          <w:spacing w:val="-7"/>
          <w:w w:val="105"/>
        </w:rPr>
        <w:t> </w:t>
      </w:r>
      <w:r>
        <w:rPr>
          <w:w w:val="105"/>
        </w:rPr>
        <w:t>could</w:t>
      </w:r>
      <w:r>
        <w:rPr>
          <w:spacing w:val="-9"/>
          <w:w w:val="105"/>
        </w:rPr>
        <w:t> </w:t>
      </w:r>
      <w:r>
        <w:rPr>
          <w:w w:val="105"/>
        </w:rPr>
        <w:t>result</w:t>
      </w:r>
      <w:r>
        <w:rPr>
          <w:spacing w:val="-9"/>
          <w:w w:val="105"/>
        </w:rPr>
        <w:t> </w:t>
      </w:r>
      <w:r>
        <w:rPr>
          <w:w w:val="105"/>
        </w:rPr>
        <w:t>in</w:t>
      </w:r>
      <w:r>
        <w:rPr>
          <w:spacing w:val="-9"/>
          <w:w w:val="105"/>
        </w:rPr>
        <w:t> </w:t>
      </w:r>
      <w:r>
        <w:rPr>
          <w:w w:val="105"/>
        </w:rPr>
        <w:t>fines,</w:t>
      </w:r>
      <w:r>
        <w:rPr>
          <w:spacing w:val="-9"/>
          <w:w w:val="105"/>
        </w:rPr>
        <w:t> </w:t>
      </w:r>
      <w:r>
        <w:rPr>
          <w:w w:val="105"/>
        </w:rPr>
        <w:t>criminal</w:t>
      </w:r>
      <w:r>
        <w:rPr>
          <w:spacing w:val="-9"/>
          <w:w w:val="105"/>
        </w:rPr>
        <w:t> </w:t>
      </w:r>
      <w:r>
        <w:rPr>
          <w:w w:val="105"/>
        </w:rPr>
        <w:t>sanctions</w:t>
      </w:r>
      <w:r>
        <w:rPr>
          <w:spacing w:val="-9"/>
          <w:w w:val="105"/>
        </w:rPr>
        <w:t> </w:t>
      </w:r>
      <w:r>
        <w:rPr>
          <w:w w:val="105"/>
        </w:rPr>
        <w:t>against</w:t>
      </w:r>
      <w:r>
        <w:rPr>
          <w:spacing w:val="-9"/>
          <w:w w:val="105"/>
        </w:rPr>
        <w:t> </w:t>
      </w:r>
      <w:r>
        <w:rPr>
          <w:w w:val="105"/>
        </w:rPr>
        <w:t>us,</w:t>
      </w:r>
      <w:r>
        <w:rPr>
          <w:spacing w:val="-9"/>
          <w:w w:val="105"/>
        </w:rPr>
        <w:t> </w:t>
      </w:r>
      <w:r>
        <w:rPr>
          <w:w w:val="105"/>
        </w:rPr>
        <w:t>our</w:t>
      </w:r>
      <w:r>
        <w:rPr>
          <w:spacing w:val="-9"/>
          <w:w w:val="105"/>
        </w:rPr>
        <w:t> </w:t>
      </w:r>
      <w:r>
        <w:rPr>
          <w:w w:val="105"/>
        </w:rPr>
        <w:t>officers</w:t>
      </w:r>
      <w:r>
        <w:rPr>
          <w:spacing w:val="-9"/>
          <w:w w:val="105"/>
        </w:rPr>
        <w:t> </w:t>
      </w:r>
      <w:r>
        <w:rPr>
          <w:w w:val="105"/>
        </w:rPr>
        <w:t>or</w:t>
      </w:r>
      <w:r>
        <w:rPr>
          <w:spacing w:val="-9"/>
          <w:w w:val="105"/>
        </w:rPr>
        <w:t> </w:t>
      </w:r>
      <w:r>
        <w:rPr>
          <w:w w:val="105"/>
        </w:rPr>
        <w:t>employees,</w:t>
      </w:r>
      <w:r>
        <w:rPr>
          <w:spacing w:val="-9"/>
          <w:w w:val="105"/>
        </w:rPr>
        <w:t> </w:t>
      </w:r>
      <w:r>
        <w:rPr>
          <w:w w:val="105"/>
        </w:rPr>
        <w:t>and</w:t>
      </w:r>
      <w:r>
        <w:rPr>
          <w:spacing w:val="-9"/>
          <w:w w:val="105"/>
        </w:rPr>
        <w:t> </w:t>
      </w:r>
      <w:r>
        <w:rPr>
          <w:w w:val="105"/>
        </w:rPr>
        <w:t>prohibitions</w:t>
      </w:r>
      <w:r>
        <w:rPr>
          <w:spacing w:val="-9"/>
          <w:w w:val="105"/>
        </w:rPr>
        <w:t> </w:t>
      </w:r>
      <w:r>
        <w:rPr>
          <w:w w:val="105"/>
        </w:rPr>
        <w:t>on</w:t>
      </w:r>
      <w:r>
        <w:rPr>
          <w:spacing w:val="-9"/>
          <w:w w:val="105"/>
        </w:rPr>
        <w:t> </w:t>
      </w:r>
      <w:r>
        <w:rPr>
          <w:w w:val="105"/>
        </w:rPr>
        <w:t>the</w:t>
      </w:r>
      <w:r>
        <w:rPr>
          <w:spacing w:val="-9"/>
          <w:w w:val="105"/>
        </w:rPr>
        <w:t> </w:t>
      </w:r>
      <w:r>
        <w:rPr>
          <w:w w:val="105"/>
        </w:rPr>
        <w:t>conduct</w:t>
      </w:r>
      <w:r>
        <w:rPr>
          <w:spacing w:val="-9"/>
          <w:w w:val="105"/>
        </w:rPr>
        <w:t> </w:t>
      </w:r>
      <w:r>
        <w:rPr>
          <w:w w:val="105"/>
        </w:rPr>
        <w:t>of</w:t>
      </w:r>
      <w:r>
        <w:rPr>
          <w:spacing w:val="-9"/>
          <w:w w:val="105"/>
        </w:rPr>
        <w:t> </w:t>
      </w:r>
      <w:r>
        <w:rPr>
          <w:w w:val="105"/>
        </w:rPr>
        <w:t>our business.</w:t>
      </w:r>
      <w:r>
        <w:rPr>
          <w:spacing w:val="-3"/>
          <w:w w:val="105"/>
        </w:rPr>
        <w:t> </w:t>
      </w:r>
      <w:r>
        <w:rPr>
          <w:w w:val="105"/>
        </w:rPr>
        <w:t>Such</w:t>
      </w:r>
      <w:r>
        <w:rPr>
          <w:spacing w:val="-3"/>
          <w:w w:val="105"/>
        </w:rPr>
        <w:t> </w:t>
      </w:r>
      <w:r>
        <w:rPr>
          <w:w w:val="105"/>
        </w:rPr>
        <w:t>violations</w:t>
      </w:r>
      <w:r>
        <w:rPr>
          <w:spacing w:val="-3"/>
          <w:w w:val="105"/>
        </w:rPr>
        <w:t> </w:t>
      </w:r>
      <w:r>
        <w:rPr>
          <w:w w:val="105"/>
        </w:rPr>
        <w:t>could</w:t>
      </w:r>
      <w:r>
        <w:rPr>
          <w:spacing w:val="-3"/>
          <w:w w:val="105"/>
        </w:rPr>
        <w:t> </w:t>
      </w:r>
      <w:r>
        <w:rPr>
          <w:w w:val="105"/>
        </w:rPr>
        <w:t>result</w:t>
      </w:r>
      <w:r>
        <w:rPr>
          <w:spacing w:val="-3"/>
          <w:w w:val="105"/>
        </w:rPr>
        <w:t> </w:t>
      </w:r>
      <w:r>
        <w:rPr>
          <w:w w:val="105"/>
        </w:rPr>
        <w:t>in</w:t>
      </w:r>
      <w:r>
        <w:rPr>
          <w:spacing w:val="-3"/>
          <w:w w:val="105"/>
        </w:rPr>
        <w:t> </w:t>
      </w:r>
      <w:r>
        <w:rPr>
          <w:w w:val="105"/>
        </w:rPr>
        <w:t>prohibitions</w:t>
      </w:r>
      <w:r>
        <w:rPr>
          <w:spacing w:val="-3"/>
          <w:w w:val="105"/>
        </w:rPr>
        <w:t> </w:t>
      </w:r>
      <w:r>
        <w:rPr>
          <w:w w:val="105"/>
        </w:rPr>
        <w:t>on</w:t>
      </w:r>
      <w:r>
        <w:rPr>
          <w:spacing w:val="-3"/>
          <w:w w:val="105"/>
        </w:rPr>
        <w:t> </w:t>
      </w:r>
      <w:r>
        <w:rPr>
          <w:w w:val="105"/>
        </w:rPr>
        <w:t>our</w:t>
      </w:r>
      <w:r>
        <w:rPr>
          <w:spacing w:val="-3"/>
          <w:w w:val="105"/>
        </w:rPr>
        <w:t> </w:t>
      </w:r>
      <w:r>
        <w:rPr>
          <w:w w:val="105"/>
        </w:rPr>
        <w:t>ability</w:t>
      </w:r>
      <w:r>
        <w:rPr>
          <w:spacing w:val="-1"/>
          <w:w w:val="105"/>
        </w:rPr>
        <w:t> </w:t>
      </w:r>
      <w:r>
        <w:rPr>
          <w:w w:val="105"/>
        </w:rPr>
        <w:t>to</w:t>
      </w:r>
      <w:r>
        <w:rPr>
          <w:spacing w:val="-3"/>
          <w:w w:val="105"/>
        </w:rPr>
        <w:t> </w:t>
      </w:r>
      <w:r>
        <w:rPr>
          <w:w w:val="105"/>
        </w:rPr>
        <w:t>offer</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in</w:t>
      </w:r>
      <w:r>
        <w:rPr>
          <w:spacing w:val="-3"/>
          <w:w w:val="105"/>
        </w:rPr>
        <w:t> </w:t>
      </w:r>
      <w:r>
        <w:rPr>
          <w:w w:val="105"/>
        </w:rPr>
        <w:t>one</w:t>
      </w:r>
      <w:r>
        <w:rPr>
          <w:spacing w:val="-3"/>
          <w:w w:val="105"/>
        </w:rPr>
        <w:t> </w:t>
      </w:r>
      <w:r>
        <w:rPr>
          <w:w w:val="105"/>
        </w:rPr>
        <w:t>or</w:t>
      </w:r>
      <w:r>
        <w:rPr>
          <w:spacing w:val="-3"/>
          <w:w w:val="105"/>
        </w:rPr>
        <w:t> </w:t>
      </w:r>
      <w:r>
        <w:rPr>
          <w:w w:val="105"/>
        </w:rPr>
        <w:t>more</w:t>
      </w:r>
      <w:r>
        <w:rPr>
          <w:spacing w:val="-3"/>
          <w:w w:val="105"/>
        </w:rPr>
        <w:t> </w:t>
      </w:r>
      <w:r>
        <w:rPr>
          <w:w w:val="105"/>
        </w:rPr>
        <w:t>countries</w:t>
      </w:r>
      <w:r>
        <w:rPr>
          <w:spacing w:val="-1"/>
          <w:w w:val="105"/>
        </w:rPr>
        <w:t> </w:t>
      </w:r>
      <w:r>
        <w:rPr>
          <w:w w:val="105"/>
        </w:rPr>
        <w:t>and</w:t>
      </w:r>
      <w:r>
        <w:rPr>
          <w:spacing w:val="-3"/>
          <w:w w:val="105"/>
        </w:rPr>
        <w:t> </w:t>
      </w:r>
      <w:r>
        <w:rPr>
          <w:w w:val="105"/>
        </w:rPr>
        <w:t>could</w:t>
      </w:r>
      <w:r>
        <w:rPr>
          <w:spacing w:val="-3"/>
          <w:w w:val="105"/>
        </w:rPr>
        <w:t> </w:t>
      </w:r>
      <w:r>
        <w:rPr>
          <w:w w:val="105"/>
        </w:rPr>
        <w:t>also</w:t>
      </w:r>
      <w:r>
        <w:rPr>
          <w:spacing w:val="-3"/>
          <w:w w:val="105"/>
        </w:rPr>
        <w:t> </w:t>
      </w:r>
      <w:r>
        <w:rPr>
          <w:w w:val="105"/>
        </w:rPr>
        <w:t>materially</w:t>
      </w:r>
      <w:r>
        <w:rPr>
          <w:spacing w:val="-3"/>
          <w:w w:val="105"/>
        </w:rPr>
        <w:t> </w:t>
      </w:r>
      <w:r>
        <w:rPr>
          <w:w w:val="105"/>
        </w:rPr>
        <w:t>damage</w:t>
      </w:r>
      <w:r>
        <w:rPr>
          <w:spacing w:val="-3"/>
          <w:w w:val="105"/>
        </w:rPr>
        <w:t> </w:t>
      </w:r>
      <w:r>
        <w:rPr>
          <w:w w:val="105"/>
        </w:rPr>
        <w:t>our reputation,</w:t>
      </w:r>
      <w:r>
        <w:rPr>
          <w:spacing w:val="-3"/>
          <w:w w:val="105"/>
        </w:rPr>
        <w:t> </w:t>
      </w:r>
      <w:r>
        <w:rPr>
          <w:w w:val="105"/>
        </w:rPr>
        <w:t>our</w:t>
      </w:r>
      <w:r>
        <w:rPr>
          <w:spacing w:val="-3"/>
          <w:w w:val="105"/>
        </w:rPr>
        <w:t> </w:t>
      </w:r>
      <w:r>
        <w:rPr>
          <w:w w:val="105"/>
        </w:rPr>
        <w:t>brand,</w:t>
      </w:r>
      <w:r>
        <w:rPr>
          <w:spacing w:val="-3"/>
          <w:w w:val="105"/>
        </w:rPr>
        <w:t> </w:t>
      </w:r>
      <w:r>
        <w:rPr>
          <w:w w:val="105"/>
        </w:rPr>
        <w:t>our</w:t>
      </w:r>
      <w:r>
        <w:rPr>
          <w:spacing w:val="-3"/>
          <w:w w:val="105"/>
        </w:rPr>
        <w:t> </w:t>
      </w:r>
      <w:r>
        <w:rPr>
          <w:w w:val="105"/>
        </w:rPr>
        <w:t>international</w:t>
      </w:r>
      <w:r>
        <w:rPr>
          <w:spacing w:val="-3"/>
          <w:w w:val="105"/>
        </w:rPr>
        <w:t> </w:t>
      </w:r>
      <w:r>
        <w:rPr>
          <w:w w:val="105"/>
        </w:rPr>
        <w:t>expansion</w:t>
      </w:r>
      <w:r>
        <w:rPr>
          <w:spacing w:val="-3"/>
          <w:w w:val="105"/>
        </w:rPr>
        <w:t> </w:t>
      </w:r>
      <w:r>
        <w:rPr>
          <w:w w:val="105"/>
        </w:rPr>
        <w:t>efforts,</w:t>
      </w:r>
      <w:r>
        <w:rPr>
          <w:spacing w:val="-3"/>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attract</w:t>
      </w:r>
      <w:r>
        <w:rPr>
          <w:spacing w:val="-3"/>
          <w:w w:val="105"/>
        </w:rPr>
        <w:t> </w:t>
      </w:r>
      <w:r>
        <w:rPr>
          <w:w w:val="105"/>
        </w:rPr>
        <w:t>and</w:t>
      </w:r>
      <w:r>
        <w:rPr>
          <w:spacing w:val="-3"/>
          <w:w w:val="105"/>
        </w:rPr>
        <w:t> </w:t>
      </w:r>
      <w:r>
        <w:rPr>
          <w:w w:val="105"/>
        </w:rPr>
        <w:t>retain</w:t>
      </w:r>
      <w:r>
        <w:rPr>
          <w:spacing w:val="-3"/>
          <w:w w:val="105"/>
        </w:rPr>
        <w:t> </w:t>
      </w:r>
      <w:r>
        <w:rPr>
          <w:w w:val="105"/>
        </w:rPr>
        <w:t>employees,</w:t>
      </w:r>
      <w:r>
        <w:rPr>
          <w:spacing w:val="-3"/>
          <w:w w:val="105"/>
        </w:rPr>
        <w:t> </w:t>
      </w:r>
      <w:r>
        <w:rPr>
          <w:w w:val="105"/>
        </w:rPr>
        <w:t>our</w:t>
      </w:r>
      <w:r>
        <w:rPr>
          <w:spacing w:val="-3"/>
          <w:w w:val="105"/>
        </w:rPr>
        <w:t> </w:t>
      </w:r>
      <w:r>
        <w:rPr>
          <w:w w:val="105"/>
        </w:rPr>
        <w:t>businesses</w:t>
      </w:r>
      <w:r>
        <w:rPr>
          <w:spacing w:val="-3"/>
          <w:w w:val="105"/>
        </w:rPr>
        <w:t> </w:t>
      </w:r>
      <w:r>
        <w:rPr>
          <w:w w:val="105"/>
        </w:rPr>
        <w:t>and</w:t>
      </w:r>
      <w:r>
        <w:rPr>
          <w:spacing w:val="-3"/>
          <w:w w:val="105"/>
        </w:rPr>
        <w:t> </w:t>
      </w:r>
      <w:r>
        <w:rPr>
          <w:w w:val="105"/>
        </w:rPr>
        <w:t>operating</w:t>
      </w:r>
      <w:r>
        <w:rPr>
          <w:spacing w:val="-3"/>
          <w:w w:val="105"/>
        </w:rPr>
        <w:t> </w:t>
      </w:r>
      <w:r>
        <w:rPr>
          <w:w w:val="105"/>
        </w:rPr>
        <w:t>results.</w:t>
      </w:r>
      <w:r>
        <w:rPr>
          <w:spacing w:val="-3"/>
          <w:w w:val="105"/>
        </w:rPr>
        <w:t> </w:t>
      </w:r>
      <w:r>
        <w:rPr>
          <w:w w:val="105"/>
        </w:rPr>
        <w:t>Our</w:t>
      </w:r>
      <w:r>
        <w:rPr>
          <w:spacing w:val="-3"/>
          <w:w w:val="105"/>
        </w:rPr>
        <w:t> </w:t>
      </w:r>
      <w:r>
        <w:rPr>
          <w:w w:val="105"/>
        </w:rPr>
        <w:t>success</w:t>
      </w:r>
      <w:r>
        <w:rPr>
          <w:spacing w:val="-3"/>
          <w:w w:val="105"/>
        </w:rPr>
        <w:t> </w:t>
      </w:r>
      <w:r>
        <w:rPr>
          <w:w w:val="105"/>
        </w:rPr>
        <w:t>depends,</w:t>
      </w:r>
      <w:r>
        <w:rPr>
          <w:spacing w:val="-3"/>
          <w:w w:val="105"/>
        </w:rPr>
        <w:t> </w:t>
      </w:r>
      <w:r>
        <w:rPr>
          <w:w w:val="105"/>
        </w:rPr>
        <w:t>in</w:t>
      </w:r>
      <w:r>
        <w:rPr>
          <w:spacing w:val="-3"/>
          <w:w w:val="105"/>
        </w:rPr>
        <w:t> </w:t>
      </w:r>
      <w:r>
        <w:rPr>
          <w:w w:val="105"/>
        </w:rPr>
        <w:t>part,</w:t>
      </w:r>
      <w:r>
        <w:rPr>
          <w:spacing w:val="-3"/>
          <w:w w:val="105"/>
        </w:rPr>
        <w:t> </w:t>
      </w:r>
      <w:r>
        <w:rPr>
          <w:w w:val="105"/>
        </w:rPr>
        <w:t>on our ability to anticipate and manage these risks.</w:t>
      </w:r>
    </w:p>
    <w:p>
      <w:pPr>
        <w:pStyle w:val="BodyText"/>
        <w:spacing w:before="17"/>
      </w:pPr>
    </w:p>
    <w:p>
      <w:pPr>
        <w:pStyle w:val="Heading2"/>
      </w:pPr>
      <w:r>
        <w:rPr>
          <w:spacing w:val="-2"/>
          <w:w w:val="105"/>
        </w:rPr>
        <w:t>Corning</w:t>
      </w:r>
      <w:r>
        <w:rPr>
          <w:spacing w:val="-1"/>
          <w:w w:val="105"/>
        </w:rPr>
        <w:t> </w:t>
      </w:r>
      <w:r>
        <w:rPr>
          <w:spacing w:val="-2"/>
          <w:w w:val="105"/>
        </w:rPr>
        <w:t>is</w:t>
      </w:r>
      <w:r>
        <w:rPr>
          <w:spacing w:val="-1"/>
          <w:w w:val="105"/>
        </w:rPr>
        <w:t> </w:t>
      </w:r>
      <w:r>
        <w:rPr>
          <w:spacing w:val="-2"/>
          <w:w w:val="105"/>
        </w:rPr>
        <w:t>exposed</w:t>
      </w:r>
      <w:r>
        <w:rPr>
          <w:w w:val="105"/>
        </w:rPr>
        <w:t> </w:t>
      </w:r>
      <w:r>
        <w:rPr>
          <w:spacing w:val="-2"/>
          <w:w w:val="105"/>
        </w:rPr>
        <w:t>to</w:t>
      </w:r>
      <w:r>
        <w:rPr>
          <w:spacing w:val="-1"/>
          <w:w w:val="105"/>
        </w:rPr>
        <w:t> </w:t>
      </w:r>
      <w:r>
        <w:rPr>
          <w:spacing w:val="-2"/>
          <w:w w:val="105"/>
        </w:rPr>
        <w:t>risks</w:t>
      </w:r>
      <w:r>
        <w:rPr>
          <w:spacing w:val="-1"/>
          <w:w w:val="105"/>
        </w:rPr>
        <w:t> </w:t>
      </w:r>
      <w:r>
        <w:rPr>
          <w:spacing w:val="-2"/>
          <w:w w:val="105"/>
        </w:rPr>
        <w:t>associated</w:t>
      </w:r>
      <w:r>
        <w:rPr>
          <w:w w:val="105"/>
        </w:rPr>
        <w:t> </w:t>
      </w:r>
      <w:r>
        <w:rPr>
          <w:spacing w:val="-2"/>
          <w:w w:val="105"/>
        </w:rPr>
        <w:t>with</w:t>
      </w:r>
      <w:r>
        <w:rPr>
          <w:spacing w:val="-1"/>
          <w:w w:val="105"/>
        </w:rPr>
        <w:t> </w:t>
      </w:r>
      <w:r>
        <w:rPr>
          <w:spacing w:val="-2"/>
          <w:w w:val="105"/>
        </w:rPr>
        <w:t>an</w:t>
      </w:r>
      <w:r>
        <w:rPr>
          <w:spacing w:val="-1"/>
          <w:w w:val="105"/>
        </w:rPr>
        <w:t> </w:t>
      </w:r>
      <w:r>
        <w:rPr>
          <w:spacing w:val="-2"/>
          <w:w w:val="105"/>
        </w:rPr>
        <w:t>uncertain</w:t>
      </w:r>
      <w:r>
        <w:rPr>
          <w:w w:val="105"/>
        </w:rPr>
        <w:t> </w:t>
      </w:r>
      <w:r>
        <w:rPr>
          <w:spacing w:val="-2"/>
          <w:w w:val="105"/>
        </w:rPr>
        <w:t>and</w:t>
      </w:r>
      <w:r>
        <w:rPr>
          <w:spacing w:val="-1"/>
          <w:w w:val="105"/>
        </w:rPr>
        <w:t> </w:t>
      </w:r>
      <w:r>
        <w:rPr>
          <w:spacing w:val="-2"/>
          <w:w w:val="105"/>
        </w:rPr>
        <w:t>inflationary</w:t>
      </w:r>
      <w:r>
        <w:rPr>
          <w:spacing w:val="-1"/>
          <w:w w:val="105"/>
        </w:rPr>
        <w:t> </w:t>
      </w:r>
      <w:r>
        <w:rPr>
          <w:spacing w:val="-2"/>
          <w:w w:val="105"/>
        </w:rPr>
        <w:t>global</w:t>
      </w:r>
      <w:r>
        <w:rPr>
          <w:w w:val="105"/>
        </w:rPr>
        <w:t> </w:t>
      </w:r>
      <w:r>
        <w:rPr>
          <w:spacing w:val="-2"/>
          <w:w w:val="105"/>
        </w:rPr>
        <w:t>economy</w:t>
      </w:r>
    </w:p>
    <w:p>
      <w:pPr>
        <w:pStyle w:val="BodyText"/>
        <w:spacing w:before="39"/>
        <w:rPr>
          <w:b/>
        </w:rPr>
      </w:pPr>
    </w:p>
    <w:p>
      <w:pPr>
        <w:pStyle w:val="BodyText"/>
        <w:spacing w:line="266" w:lineRule="auto" w:before="1"/>
        <w:ind w:left="156" w:right="117"/>
      </w:pPr>
      <w:r>
        <w:rPr>
          <w:w w:val="105"/>
        </w:rPr>
        <w:t>Uncertain</w:t>
      </w:r>
      <w:r>
        <w:rPr>
          <w:spacing w:val="-2"/>
          <w:w w:val="105"/>
        </w:rPr>
        <w:t> </w:t>
      </w:r>
      <w:r>
        <w:rPr>
          <w:w w:val="105"/>
        </w:rPr>
        <w:t>or</w:t>
      </w:r>
      <w:r>
        <w:rPr>
          <w:spacing w:val="-2"/>
          <w:w w:val="105"/>
        </w:rPr>
        <w:t> </w:t>
      </w:r>
      <w:r>
        <w:rPr>
          <w:w w:val="105"/>
        </w:rPr>
        <w:t>adverse</w:t>
      </w:r>
      <w:r>
        <w:rPr>
          <w:spacing w:val="-2"/>
          <w:w w:val="105"/>
        </w:rPr>
        <w:t> </w:t>
      </w:r>
      <w:r>
        <w:rPr>
          <w:w w:val="105"/>
        </w:rPr>
        <w:t>economic</w:t>
      </w:r>
      <w:r>
        <w:rPr>
          <w:spacing w:val="-2"/>
          <w:w w:val="105"/>
        </w:rPr>
        <w:t> </w:t>
      </w:r>
      <w:r>
        <w:rPr>
          <w:w w:val="105"/>
        </w:rPr>
        <w:t>and</w:t>
      </w:r>
      <w:r>
        <w:rPr>
          <w:spacing w:val="-2"/>
          <w:w w:val="105"/>
        </w:rPr>
        <w:t> </w:t>
      </w:r>
      <w:r>
        <w:rPr>
          <w:w w:val="105"/>
        </w:rPr>
        <w:t>business</w:t>
      </w:r>
      <w:r>
        <w:rPr>
          <w:spacing w:val="-2"/>
          <w:w w:val="105"/>
        </w:rPr>
        <w:t> </w:t>
      </w:r>
      <w:r>
        <w:rPr>
          <w:w w:val="105"/>
        </w:rPr>
        <w:t>conditions,</w:t>
      </w:r>
      <w:r>
        <w:rPr>
          <w:spacing w:val="-2"/>
          <w:w w:val="105"/>
        </w:rPr>
        <w:t> </w:t>
      </w:r>
      <w:r>
        <w:rPr>
          <w:w w:val="105"/>
        </w:rPr>
        <w:t>including</w:t>
      </w:r>
      <w:r>
        <w:rPr>
          <w:spacing w:val="-2"/>
          <w:w w:val="105"/>
        </w:rPr>
        <w:t> </w:t>
      </w:r>
      <w:r>
        <w:rPr>
          <w:w w:val="105"/>
        </w:rPr>
        <w:t>uncertainties</w:t>
      </w:r>
      <w:r>
        <w:rPr>
          <w:spacing w:val="-2"/>
          <w:w w:val="105"/>
        </w:rPr>
        <w:t> </w:t>
      </w:r>
      <w:r>
        <w:rPr>
          <w:w w:val="105"/>
        </w:rPr>
        <w:t>and</w:t>
      </w:r>
      <w:r>
        <w:rPr>
          <w:spacing w:val="-2"/>
          <w:w w:val="105"/>
        </w:rPr>
        <w:t> </w:t>
      </w:r>
      <w:r>
        <w:rPr>
          <w:w w:val="105"/>
        </w:rPr>
        <w:t>volatility</w:t>
      </w:r>
      <w:r>
        <w:rPr>
          <w:spacing w:val="-2"/>
          <w:w w:val="105"/>
        </w:rPr>
        <w:t> </w:t>
      </w:r>
      <w:r>
        <w:rPr>
          <w:w w:val="105"/>
        </w:rPr>
        <w:t>in</w:t>
      </w:r>
      <w:r>
        <w:rPr>
          <w:spacing w:val="-2"/>
          <w:w w:val="105"/>
        </w:rPr>
        <w:t> </w:t>
      </w:r>
      <w:r>
        <w:rPr>
          <w:w w:val="105"/>
        </w:rPr>
        <w:t>the</w:t>
      </w:r>
      <w:r>
        <w:rPr>
          <w:spacing w:val="-2"/>
          <w:w w:val="105"/>
        </w:rPr>
        <w:t> </w:t>
      </w:r>
      <w:r>
        <w:rPr>
          <w:w w:val="105"/>
        </w:rPr>
        <w:t>financial</w:t>
      </w:r>
      <w:r>
        <w:rPr>
          <w:spacing w:val="-2"/>
          <w:w w:val="105"/>
        </w:rPr>
        <w:t> </w:t>
      </w:r>
      <w:r>
        <w:rPr>
          <w:w w:val="105"/>
        </w:rPr>
        <w:t>markets,</w:t>
      </w:r>
      <w:r>
        <w:rPr>
          <w:spacing w:val="-2"/>
          <w:w w:val="105"/>
        </w:rPr>
        <w:t> </w:t>
      </w:r>
      <w:r>
        <w:rPr>
          <w:w w:val="105"/>
        </w:rPr>
        <w:t>national</w:t>
      </w:r>
      <w:r>
        <w:rPr>
          <w:spacing w:val="-2"/>
          <w:w w:val="105"/>
        </w:rPr>
        <w:t> </w:t>
      </w:r>
      <w:r>
        <w:rPr>
          <w:w w:val="105"/>
        </w:rPr>
        <w:t>debt,</w:t>
      </w:r>
      <w:r>
        <w:rPr>
          <w:spacing w:val="-2"/>
          <w:w w:val="105"/>
        </w:rPr>
        <w:t> </w:t>
      </w:r>
      <w:r>
        <w:rPr>
          <w:w w:val="105"/>
        </w:rPr>
        <w:t>fiscal</w:t>
      </w:r>
      <w:r>
        <w:rPr>
          <w:spacing w:val="-2"/>
          <w:w w:val="105"/>
        </w:rPr>
        <w:t> </w:t>
      </w:r>
      <w:r>
        <w:rPr>
          <w:w w:val="105"/>
        </w:rPr>
        <w:t>or</w:t>
      </w:r>
      <w:r>
        <w:rPr>
          <w:spacing w:val="-2"/>
          <w:w w:val="105"/>
        </w:rPr>
        <w:t> </w:t>
      </w:r>
      <w:r>
        <w:rPr>
          <w:w w:val="105"/>
        </w:rPr>
        <w:t>monetary</w:t>
      </w:r>
      <w:r>
        <w:rPr>
          <w:spacing w:val="-2"/>
          <w:w w:val="105"/>
        </w:rPr>
        <w:t> </w:t>
      </w:r>
      <w:r>
        <w:rPr>
          <w:w w:val="105"/>
        </w:rPr>
        <w:t>concerns,</w:t>
      </w:r>
      <w:r>
        <w:rPr>
          <w:spacing w:val="-2"/>
          <w:w w:val="105"/>
        </w:rPr>
        <w:t> </w:t>
      </w:r>
      <w:r>
        <w:rPr>
          <w:w w:val="105"/>
        </w:rPr>
        <w:t>inflation and</w:t>
      </w:r>
      <w:r>
        <w:rPr>
          <w:spacing w:val="-8"/>
          <w:w w:val="105"/>
        </w:rPr>
        <w:t> </w:t>
      </w:r>
      <w:r>
        <w:rPr>
          <w:w w:val="105"/>
        </w:rPr>
        <w:t>rising</w:t>
      </w:r>
      <w:r>
        <w:rPr>
          <w:spacing w:val="-8"/>
          <w:w w:val="105"/>
        </w:rPr>
        <w:t> </w:t>
      </w:r>
      <w:r>
        <w:rPr>
          <w:w w:val="105"/>
        </w:rPr>
        <w:t>interest</w:t>
      </w:r>
      <w:r>
        <w:rPr>
          <w:spacing w:val="-8"/>
          <w:w w:val="105"/>
        </w:rPr>
        <w:t> </w:t>
      </w:r>
      <w:r>
        <w:rPr>
          <w:w w:val="105"/>
        </w:rPr>
        <w:t>rates</w:t>
      </w:r>
      <w:r>
        <w:rPr>
          <w:spacing w:val="-8"/>
          <w:w w:val="105"/>
        </w:rPr>
        <w:t> </w:t>
      </w:r>
      <w:r>
        <w:rPr>
          <w:w w:val="105"/>
        </w:rPr>
        <w:t>in</w:t>
      </w:r>
      <w:r>
        <w:rPr>
          <w:spacing w:val="-8"/>
          <w:w w:val="105"/>
        </w:rPr>
        <w:t> </w:t>
      </w:r>
      <w:r>
        <w:rPr>
          <w:w w:val="105"/>
        </w:rPr>
        <w:t>various</w:t>
      </w:r>
      <w:r>
        <w:rPr>
          <w:spacing w:val="-8"/>
          <w:w w:val="105"/>
        </w:rPr>
        <w:t> </w:t>
      </w:r>
      <w:r>
        <w:rPr>
          <w:w w:val="105"/>
        </w:rPr>
        <w:t>regions,</w:t>
      </w:r>
      <w:r>
        <w:rPr>
          <w:spacing w:val="-8"/>
          <w:w w:val="105"/>
        </w:rPr>
        <w:t> </w:t>
      </w:r>
      <w:r>
        <w:rPr>
          <w:w w:val="105"/>
        </w:rPr>
        <w:t>could</w:t>
      </w:r>
      <w:r>
        <w:rPr>
          <w:spacing w:val="-8"/>
          <w:w w:val="105"/>
        </w:rPr>
        <w:t> </w:t>
      </w:r>
      <w:r>
        <w:rPr>
          <w:w w:val="105"/>
        </w:rPr>
        <w:t>materially</w:t>
      </w:r>
      <w:r>
        <w:rPr>
          <w:spacing w:val="-8"/>
          <w:w w:val="105"/>
        </w:rPr>
        <w:t> </w:t>
      </w:r>
      <w:r>
        <w:rPr>
          <w:w w:val="105"/>
        </w:rPr>
        <w:t>adversely</w:t>
      </w:r>
      <w:r>
        <w:rPr>
          <w:spacing w:val="-8"/>
          <w:w w:val="105"/>
        </w:rPr>
        <w:t> </w:t>
      </w:r>
      <w:r>
        <w:rPr>
          <w:w w:val="105"/>
        </w:rPr>
        <w:t>impact</w:t>
      </w:r>
      <w:r>
        <w:rPr>
          <w:spacing w:val="-8"/>
          <w:w w:val="105"/>
        </w:rPr>
        <w:t> </w:t>
      </w:r>
      <w:r>
        <w:rPr>
          <w:w w:val="105"/>
        </w:rPr>
        <w:t>Corning’s</w:t>
      </w:r>
      <w:r>
        <w:rPr>
          <w:spacing w:val="-8"/>
          <w:w w:val="105"/>
        </w:rPr>
        <w:t> </w:t>
      </w:r>
      <w:r>
        <w:rPr>
          <w:w w:val="105"/>
        </w:rPr>
        <w:t>operating</w:t>
      </w:r>
      <w:r>
        <w:rPr>
          <w:spacing w:val="-8"/>
          <w:w w:val="105"/>
        </w:rPr>
        <w:t> </w:t>
      </w:r>
      <w:r>
        <w:rPr>
          <w:w w:val="105"/>
        </w:rPr>
        <w:t>results.</w:t>
      </w:r>
      <w:r>
        <w:rPr>
          <w:spacing w:val="-8"/>
          <w:w w:val="105"/>
        </w:rPr>
        <w:t> </w:t>
      </w:r>
      <w:r>
        <w:rPr>
          <w:w w:val="105"/>
        </w:rPr>
        <w:t>Markets</w:t>
      </w:r>
      <w:r>
        <w:rPr>
          <w:spacing w:val="-8"/>
          <w:w w:val="105"/>
        </w:rPr>
        <w:t> </w:t>
      </w:r>
      <w:r>
        <w:rPr>
          <w:w w:val="105"/>
        </w:rPr>
        <w:t>for</w:t>
      </w:r>
      <w:r>
        <w:rPr>
          <w:spacing w:val="-8"/>
          <w:w w:val="105"/>
        </w:rPr>
        <w:t> </w:t>
      </w:r>
      <w:r>
        <w:rPr>
          <w:w w:val="105"/>
        </w:rPr>
        <w:t>our</w:t>
      </w:r>
      <w:r>
        <w:rPr>
          <w:spacing w:val="-8"/>
          <w:w w:val="105"/>
        </w:rPr>
        <w:t> </w:t>
      </w:r>
      <w:r>
        <w:rPr>
          <w:w w:val="105"/>
        </w:rPr>
        <w:t>products</w:t>
      </w:r>
      <w:r>
        <w:rPr>
          <w:spacing w:val="-8"/>
          <w:w w:val="105"/>
        </w:rPr>
        <w:t> </w:t>
      </w:r>
      <w:r>
        <w:rPr>
          <w:w w:val="105"/>
        </w:rPr>
        <w:t>depend</w:t>
      </w:r>
      <w:r>
        <w:rPr>
          <w:spacing w:val="-8"/>
          <w:w w:val="105"/>
        </w:rPr>
        <w:t> </w:t>
      </w:r>
      <w:r>
        <w:rPr>
          <w:w w:val="105"/>
        </w:rPr>
        <w:t>largely</w:t>
      </w:r>
      <w:r>
        <w:rPr>
          <w:spacing w:val="-8"/>
          <w:w w:val="105"/>
        </w:rPr>
        <w:t> </w:t>
      </w:r>
      <w:r>
        <w:rPr>
          <w:w w:val="105"/>
        </w:rPr>
        <w:t>on</w:t>
      </w:r>
      <w:r>
        <w:rPr>
          <w:spacing w:val="-8"/>
          <w:w w:val="105"/>
        </w:rPr>
        <w:t> </w:t>
      </w:r>
      <w:r>
        <w:rPr>
          <w:w w:val="105"/>
        </w:rPr>
        <w:t>business</w:t>
      </w:r>
      <w:r>
        <w:rPr>
          <w:spacing w:val="-8"/>
          <w:w w:val="105"/>
        </w:rPr>
        <w:t> </w:t>
      </w:r>
      <w:r>
        <w:rPr>
          <w:w w:val="105"/>
        </w:rPr>
        <w:t>and</w:t>
      </w:r>
      <w:r>
        <w:rPr>
          <w:spacing w:val="-8"/>
          <w:w w:val="105"/>
        </w:rPr>
        <w:t> </w:t>
      </w:r>
      <w:r>
        <w:rPr>
          <w:w w:val="105"/>
        </w:rPr>
        <w:t>consumer spending</w:t>
      </w:r>
      <w:r>
        <w:rPr>
          <w:spacing w:val="-9"/>
          <w:w w:val="105"/>
        </w:rPr>
        <w:t> </w:t>
      </w:r>
      <w:r>
        <w:rPr>
          <w:w w:val="105"/>
        </w:rPr>
        <w:t>and</w:t>
      </w:r>
      <w:r>
        <w:rPr>
          <w:spacing w:val="-9"/>
          <w:w w:val="105"/>
        </w:rPr>
        <w:t> </w:t>
      </w:r>
      <w:r>
        <w:rPr>
          <w:w w:val="105"/>
        </w:rPr>
        <w:t>demand</w:t>
      </w:r>
      <w:r>
        <w:rPr>
          <w:spacing w:val="-9"/>
          <w:w w:val="105"/>
        </w:rPr>
        <w:t> </w:t>
      </w:r>
      <w:r>
        <w:rPr>
          <w:w w:val="105"/>
        </w:rPr>
        <w:t>for</w:t>
      </w:r>
      <w:r>
        <w:rPr>
          <w:spacing w:val="-9"/>
          <w:w w:val="105"/>
        </w:rPr>
        <w:t> </w:t>
      </w:r>
      <w:r>
        <w:rPr>
          <w:w w:val="105"/>
        </w:rPr>
        <w:t>network</w:t>
      </w:r>
      <w:r>
        <w:rPr>
          <w:spacing w:val="-9"/>
          <w:w w:val="105"/>
        </w:rPr>
        <w:t> </w:t>
      </w:r>
      <w:r>
        <w:rPr>
          <w:w w:val="105"/>
        </w:rPr>
        <w:t>capacity,</w:t>
      </w:r>
      <w:r>
        <w:rPr>
          <w:spacing w:val="-9"/>
          <w:w w:val="105"/>
        </w:rPr>
        <w:t> </w:t>
      </w:r>
      <w:r>
        <w:rPr>
          <w:w w:val="105"/>
        </w:rPr>
        <w:t>electronics</w:t>
      </w:r>
      <w:r>
        <w:rPr>
          <w:spacing w:val="-9"/>
          <w:w w:val="105"/>
        </w:rPr>
        <w:t> </w:t>
      </w:r>
      <w:r>
        <w:rPr>
          <w:w w:val="105"/>
        </w:rPr>
        <w:t>and</w:t>
      </w:r>
      <w:r>
        <w:rPr>
          <w:spacing w:val="-8"/>
          <w:w w:val="105"/>
        </w:rPr>
        <w:t> </w:t>
      </w:r>
      <w:r>
        <w:rPr>
          <w:w w:val="105"/>
        </w:rPr>
        <w:t>automotive</w:t>
      </w:r>
      <w:r>
        <w:rPr>
          <w:spacing w:val="-9"/>
          <w:w w:val="105"/>
        </w:rPr>
        <w:t> </w:t>
      </w:r>
      <w:r>
        <w:rPr>
          <w:w w:val="105"/>
        </w:rPr>
        <w:t>products.</w:t>
      </w:r>
      <w:r>
        <w:rPr>
          <w:spacing w:val="-9"/>
          <w:w w:val="105"/>
        </w:rPr>
        <w:t> </w:t>
      </w:r>
      <w:r>
        <w:rPr>
          <w:w w:val="105"/>
        </w:rPr>
        <w:t>Uncertain</w:t>
      </w:r>
      <w:r>
        <w:rPr>
          <w:spacing w:val="-9"/>
          <w:w w:val="105"/>
        </w:rPr>
        <w:t> </w:t>
      </w:r>
      <w:r>
        <w:rPr>
          <w:w w:val="105"/>
        </w:rPr>
        <w:t>or</w:t>
      </w:r>
      <w:r>
        <w:rPr>
          <w:spacing w:val="-9"/>
          <w:w w:val="105"/>
        </w:rPr>
        <w:t> </w:t>
      </w:r>
      <w:r>
        <w:rPr>
          <w:w w:val="105"/>
        </w:rPr>
        <w:t>adverse</w:t>
      </w:r>
      <w:r>
        <w:rPr>
          <w:spacing w:val="-9"/>
          <w:w w:val="105"/>
        </w:rPr>
        <w:t> </w:t>
      </w:r>
      <w:r>
        <w:rPr>
          <w:w w:val="105"/>
        </w:rPr>
        <w:t>economic</w:t>
      </w:r>
      <w:r>
        <w:rPr>
          <w:spacing w:val="-9"/>
          <w:w w:val="105"/>
        </w:rPr>
        <w:t> </w:t>
      </w:r>
      <w:r>
        <w:rPr>
          <w:w w:val="105"/>
        </w:rPr>
        <w:t>and</w:t>
      </w:r>
      <w:r>
        <w:rPr>
          <w:spacing w:val="-9"/>
          <w:w w:val="105"/>
        </w:rPr>
        <w:t> </w:t>
      </w:r>
      <w:r>
        <w:rPr>
          <w:w w:val="105"/>
        </w:rPr>
        <w:t>business</w:t>
      </w:r>
      <w:r>
        <w:rPr>
          <w:spacing w:val="-9"/>
          <w:w w:val="105"/>
        </w:rPr>
        <w:t> </w:t>
      </w:r>
      <w:r>
        <w:rPr>
          <w:w w:val="105"/>
        </w:rPr>
        <w:t>conditions</w:t>
      </w:r>
      <w:r>
        <w:rPr>
          <w:spacing w:val="-9"/>
          <w:w w:val="105"/>
        </w:rPr>
        <w:t> </w:t>
      </w:r>
      <w:r>
        <w:rPr>
          <w:w w:val="105"/>
        </w:rPr>
        <w:t>that</w:t>
      </w:r>
      <w:r>
        <w:rPr>
          <w:spacing w:val="-9"/>
          <w:w w:val="105"/>
        </w:rPr>
        <w:t> </w:t>
      </w:r>
      <w:r>
        <w:rPr>
          <w:w w:val="105"/>
        </w:rPr>
        <w:t>result</w:t>
      </w:r>
      <w:r>
        <w:rPr>
          <w:spacing w:val="-9"/>
          <w:w w:val="105"/>
        </w:rPr>
        <w:t> </w:t>
      </w:r>
      <w:r>
        <w:rPr>
          <w:w w:val="105"/>
        </w:rPr>
        <w:t>in</w:t>
      </w:r>
      <w:r>
        <w:rPr>
          <w:spacing w:val="-9"/>
          <w:w w:val="105"/>
        </w:rPr>
        <w:t> </w:t>
      </w:r>
      <w:r>
        <w:rPr>
          <w:w w:val="105"/>
        </w:rPr>
        <w:t>decreases</w:t>
      </w:r>
      <w:r>
        <w:rPr>
          <w:spacing w:val="-9"/>
          <w:w w:val="105"/>
        </w:rPr>
        <w:t> </w:t>
      </w:r>
      <w:r>
        <w:rPr>
          <w:w w:val="105"/>
        </w:rPr>
        <w:t>in</w:t>
      </w:r>
      <w:r>
        <w:rPr>
          <w:spacing w:val="-9"/>
          <w:w w:val="105"/>
        </w:rPr>
        <w:t> </w:t>
      </w:r>
      <w:r>
        <w:rPr>
          <w:w w:val="105"/>
        </w:rPr>
        <w:t>consumer spending</w:t>
      </w:r>
      <w:r>
        <w:rPr>
          <w:spacing w:val="-2"/>
          <w:w w:val="105"/>
        </w:rPr>
        <w:t> </w:t>
      </w:r>
      <w:r>
        <w:rPr>
          <w:w w:val="105"/>
        </w:rPr>
        <w:t>and</w:t>
      </w:r>
      <w:r>
        <w:rPr>
          <w:spacing w:val="-2"/>
          <w:w w:val="105"/>
        </w:rPr>
        <w:t> </w:t>
      </w:r>
      <w:r>
        <w:rPr>
          <w:w w:val="105"/>
        </w:rPr>
        <w:t>demand,</w:t>
      </w:r>
      <w:r>
        <w:rPr>
          <w:spacing w:val="-2"/>
          <w:w w:val="105"/>
        </w:rPr>
        <w:t> </w:t>
      </w:r>
      <w:r>
        <w:rPr>
          <w:w w:val="105"/>
        </w:rPr>
        <w:t>or</w:t>
      </w:r>
      <w:r>
        <w:rPr>
          <w:spacing w:val="-2"/>
          <w:w w:val="105"/>
        </w:rPr>
        <w:t> </w:t>
      </w:r>
      <w:r>
        <w:rPr>
          <w:w w:val="105"/>
        </w:rPr>
        <w:t>cause</w:t>
      </w:r>
      <w:r>
        <w:rPr>
          <w:spacing w:val="-2"/>
          <w:w w:val="105"/>
        </w:rPr>
        <w:t> </w:t>
      </w:r>
      <w:r>
        <w:rPr>
          <w:w w:val="105"/>
        </w:rPr>
        <w:t>us</w:t>
      </w:r>
      <w:r>
        <w:rPr>
          <w:spacing w:val="-2"/>
          <w:w w:val="105"/>
        </w:rPr>
        <w:t> </w:t>
      </w:r>
      <w:r>
        <w:rPr>
          <w:w w:val="105"/>
        </w:rPr>
        <w:t>to</w:t>
      </w:r>
      <w:r>
        <w:rPr>
          <w:spacing w:val="-2"/>
          <w:w w:val="105"/>
        </w:rPr>
        <w:t> </w:t>
      </w:r>
      <w:r>
        <w:rPr>
          <w:w w:val="105"/>
        </w:rPr>
        <w:t>pass</w:t>
      </w:r>
      <w:r>
        <w:rPr>
          <w:spacing w:val="-2"/>
          <w:w w:val="105"/>
        </w:rPr>
        <w:t> </w:t>
      </w:r>
      <w:r>
        <w:rPr>
          <w:w w:val="105"/>
        </w:rPr>
        <w:t>on increased</w:t>
      </w:r>
      <w:r>
        <w:rPr>
          <w:spacing w:val="-2"/>
          <w:w w:val="105"/>
        </w:rPr>
        <w:t> </w:t>
      </w:r>
      <w:r>
        <w:rPr>
          <w:w w:val="105"/>
        </w:rPr>
        <w:t>costs</w:t>
      </w:r>
      <w:r>
        <w:rPr>
          <w:spacing w:val="-2"/>
          <w:w w:val="105"/>
        </w:rPr>
        <w:t> </w:t>
      </w:r>
      <w:r>
        <w:rPr>
          <w:w w:val="105"/>
        </w:rPr>
        <w:t>to</w:t>
      </w:r>
      <w:r>
        <w:rPr>
          <w:spacing w:val="-2"/>
          <w:w w:val="105"/>
        </w:rPr>
        <w:t> </w:t>
      </w:r>
      <w:r>
        <w:rPr>
          <w:w w:val="105"/>
        </w:rPr>
        <w:t>our</w:t>
      </w:r>
      <w:r>
        <w:rPr>
          <w:spacing w:val="-2"/>
          <w:w w:val="105"/>
        </w:rPr>
        <w:t> </w:t>
      </w:r>
      <w:r>
        <w:rPr>
          <w:w w:val="105"/>
        </w:rPr>
        <w:t>customers,</w:t>
      </w:r>
      <w:r>
        <w:rPr>
          <w:spacing w:val="-2"/>
          <w:w w:val="105"/>
        </w:rPr>
        <w:t> </w:t>
      </w:r>
      <w:r>
        <w:rPr>
          <w:w w:val="105"/>
        </w:rPr>
        <w:t>may</w:t>
      </w:r>
      <w:r>
        <w:rPr>
          <w:spacing w:val="-2"/>
          <w:w w:val="105"/>
        </w:rPr>
        <w:t> </w:t>
      </w:r>
      <w:r>
        <w:rPr>
          <w:w w:val="105"/>
        </w:rPr>
        <w:t>cause</w:t>
      </w:r>
      <w:r>
        <w:rPr>
          <w:spacing w:val="-2"/>
          <w:w w:val="105"/>
        </w:rPr>
        <w:t> </w:t>
      </w:r>
      <w:r>
        <w:rPr>
          <w:w w:val="105"/>
        </w:rPr>
        <w:t>certain</w:t>
      </w:r>
      <w:r>
        <w:rPr>
          <w:spacing w:val="-2"/>
          <w:w w:val="105"/>
        </w:rPr>
        <w:t> </w:t>
      </w:r>
      <w:r>
        <w:rPr>
          <w:w w:val="105"/>
        </w:rPr>
        <w:t>of</w:t>
      </w:r>
      <w:r>
        <w:rPr>
          <w:spacing w:val="-2"/>
          <w:w w:val="105"/>
        </w:rPr>
        <w:t> </w:t>
      </w:r>
      <w:r>
        <w:rPr>
          <w:w w:val="105"/>
        </w:rPr>
        <w:t>our</w:t>
      </w:r>
      <w:r>
        <w:rPr>
          <w:spacing w:val="-2"/>
          <w:w w:val="105"/>
        </w:rPr>
        <w:t> </w:t>
      </w:r>
      <w:r>
        <w:rPr>
          <w:w w:val="105"/>
        </w:rPr>
        <w:t>customers</w:t>
      </w:r>
      <w:r>
        <w:rPr>
          <w:spacing w:val="-2"/>
          <w:w w:val="105"/>
        </w:rPr>
        <w:t> </w:t>
      </w:r>
      <w:r>
        <w:rPr>
          <w:w w:val="105"/>
        </w:rPr>
        <w:t>to</w:t>
      </w:r>
      <w:r>
        <w:rPr>
          <w:spacing w:val="-2"/>
          <w:w w:val="105"/>
        </w:rPr>
        <w:t> </w:t>
      </w:r>
      <w:r>
        <w:rPr>
          <w:w w:val="105"/>
        </w:rPr>
        <w:t>push</w:t>
      </w:r>
      <w:r>
        <w:rPr>
          <w:spacing w:val="-2"/>
          <w:w w:val="105"/>
        </w:rPr>
        <w:t> </w:t>
      </w:r>
      <w:r>
        <w:rPr>
          <w:w w:val="105"/>
        </w:rPr>
        <w:t>out,</w:t>
      </w:r>
      <w:r>
        <w:rPr>
          <w:spacing w:val="-2"/>
          <w:w w:val="105"/>
        </w:rPr>
        <w:t> </w:t>
      </w:r>
      <w:r>
        <w:rPr>
          <w:w w:val="105"/>
        </w:rPr>
        <w:t>cancel</w:t>
      </w:r>
      <w:r>
        <w:rPr>
          <w:spacing w:val="-2"/>
          <w:w w:val="105"/>
        </w:rPr>
        <w:t> </w:t>
      </w:r>
      <w:r>
        <w:rPr>
          <w:w w:val="105"/>
        </w:rPr>
        <w:t>or</w:t>
      </w:r>
      <w:r>
        <w:rPr>
          <w:spacing w:val="-2"/>
          <w:w w:val="105"/>
        </w:rPr>
        <w:t> </w:t>
      </w:r>
      <w:r>
        <w:rPr>
          <w:w w:val="105"/>
        </w:rPr>
        <w:t>refrain</w:t>
      </w:r>
      <w:r>
        <w:rPr>
          <w:spacing w:val="-2"/>
          <w:w w:val="105"/>
        </w:rPr>
        <w:t> </w:t>
      </w:r>
      <w:r>
        <w:rPr>
          <w:w w:val="105"/>
        </w:rPr>
        <w:t>from</w:t>
      </w:r>
      <w:r>
        <w:rPr>
          <w:spacing w:val="-2"/>
          <w:w w:val="105"/>
        </w:rPr>
        <w:t> </w:t>
      </w:r>
      <w:r>
        <w:rPr>
          <w:w w:val="105"/>
        </w:rPr>
        <w:t>purchasing</w:t>
      </w:r>
      <w:r>
        <w:rPr>
          <w:spacing w:val="-2"/>
          <w:w w:val="105"/>
        </w:rPr>
        <w:t> </w:t>
      </w:r>
      <w:r>
        <w:rPr>
          <w:w w:val="105"/>
        </w:rPr>
        <w:t>our products,</w:t>
      </w:r>
      <w:r>
        <w:rPr>
          <w:spacing w:val="-7"/>
          <w:w w:val="105"/>
        </w:rPr>
        <w:t> </w:t>
      </w:r>
      <w:r>
        <w:rPr>
          <w:w w:val="105"/>
        </w:rPr>
        <w:t>which</w:t>
      </w:r>
      <w:r>
        <w:rPr>
          <w:spacing w:val="-7"/>
          <w:w w:val="105"/>
        </w:rPr>
        <w:t> </w:t>
      </w:r>
      <w:r>
        <w:rPr>
          <w:w w:val="105"/>
        </w:rPr>
        <w:t>could</w:t>
      </w:r>
      <w:r>
        <w:rPr>
          <w:spacing w:val="-7"/>
          <w:w w:val="105"/>
        </w:rPr>
        <w:t> </w:t>
      </w:r>
      <w:r>
        <w:rPr>
          <w:w w:val="105"/>
        </w:rPr>
        <w:t>materially</w:t>
      </w:r>
      <w:r>
        <w:rPr>
          <w:spacing w:val="-7"/>
          <w:w w:val="105"/>
        </w:rPr>
        <w:t> </w:t>
      </w:r>
      <w:r>
        <w:rPr>
          <w:w w:val="105"/>
        </w:rPr>
        <w:t>adversely</w:t>
      </w:r>
      <w:r>
        <w:rPr>
          <w:spacing w:val="-7"/>
          <w:w w:val="105"/>
        </w:rPr>
        <w:t> </w:t>
      </w:r>
      <w:r>
        <w:rPr>
          <w:w w:val="105"/>
        </w:rPr>
        <w:t>impact</w:t>
      </w:r>
      <w:r>
        <w:rPr>
          <w:spacing w:val="-7"/>
          <w:w w:val="105"/>
        </w:rPr>
        <w:t> </w:t>
      </w:r>
      <w:r>
        <w:rPr>
          <w:w w:val="105"/>
        </w:rPr>
        <w:t>demand</w:t>
      </w:r>
      <w:r>
        <w:rPr>
          <w:spacing w:val="-7"/>
          <w:w w:val="105"/>
        </w:rPr>
        <w:t> </w:t>
      </w:r>
      <w:r>
        <w:rPr>
          <w:w w:val="105"/>
        </w:rPr>
        <w:t>for</w:t>
      </w:r>
      <w:r>
        <w:rPr>
          <w:spacing w:val="-7"/>
          <w:w w:val="105"/>
        </w:rPr>
        <w:t> </w:t>
      </w:r>
      <w:r>
        <w:rPr>
          <w:w w:val="105"/>
        </w:rPr>
        <w:t>our</w:t>
      </w:r>
      <w:r>
        <w:rPr>
          <w:spacing w:val="-7"/>
          <w:w w:val="105"/>
        </w:rPr>
        <w:t> </w:t>
      </w:r>
      <w:r>
        <w:rPr>
          <w:w w:val="105"/>
        </w:rPr>
        <w:t>products</w:t>
      </w:r>
      <w:r>
        <w:rPr>
          <w:spacing w:val="-7"/>
          <w:w w:val="105"/>
        </w:rPr>
        <w:t> </w:t>
      </w:r>
      <w:r>
        <w:rPr>
          <w:w w:val="105"/>
        </w:rPr>
        <w:t>and</w:t>
      </w:r>
      <w:r>
        <w:rPr>
          <w:spacing w:val="-7"/>
          <w:w w:val="105"/>
        </w:rPr>
        <w:t> </w:t>
      </w:r>
      <w:r>
        <w:rPr>
          <w:w w:val="105"/>
        </w:rPr>
        <w:t>our</w:t>
      </w:r>
      <w:r>
        <w:rPr>
          <w:spacing w:val="-7"/>
          <w:w w:val="105"/>
        </w:rPr>
        <w:t> </w:t>
      </w:r>
      <w:r>
        <w:rPr>
          <w:w w:val="105"/>
        </w:rPr>
        <w:t>operating</w:t>
      </w:r>
      <w:r>
        <w:rPr>
          <w:spacing w:val="-7"/>
          <w:w w:val="105"/>
        </w:rPr>
        <w:t> </w:t>
      </w:r>
      <w:r>
        <w:rPr>
          <w:w w:val="105"/>
        </w:rPr>
        <w:t>results.</w:t>
      </w:r>
      <w:r>
        <w:rPr>
          <w:spacing w:val="-7"/>
          <w:w w:val="105"/>
        </w:rPr>
        <w:t> </w:t>
      </w:r>
      <w:r>
        <w:rPr>
          <w:w w:val="105"/>
        </w:rPr>
        <w:t>In</w:t>
      </w:r>
      <w:r>
        <w:rPr>
          <w:spacing w:val="-7"/>
          <w:w w:val="105"/>
        </w:rPr>
        <w:t> </w:t>
      </w:r>
      <w:r>
        <w:rPr>
          <w:w w:val="105"/>
        </w:rPr>
        <w:t>addition,</w:t>
      </w:r>
      <w:r>
        <w:rPr>
          <w:spacing w:val="-7"/>
          <w:w w:val="105"/>
        </w:rPr>
        <w:t> </w:t>
      </w:r>
      <w:r>
        <w:rPr>
          <w:w w:val="105"/>
        </w:rPr>
        <w:t>the</w:t>
      </w:r>
      <w:r>
        <w:rPr>
          <w:spacing w:val="-7"/>
          <w:w w:val="105"/>
        </w:rPr>
        <w:t> </w:t>
      </w:r>
      <w:r>
        <w:rPr>
          <w:w w:val="105"/>
        </w:rPr>
        <w:t>COVID-19</w:t>
      </w:r>
      <w:r>
        <w:rPr>
          <w:spacing w:val="-7"/>
          <w:w w:val="105"/>
        </w:rPr>
        <w:t> </w:t>
      </w:r>
      <w:r>
        <w:rPr>
          <w:w w:val="105"/>
        </w:rPr>
        <w:t>pandemic,</w:t>
      </w:r>
      <w:r>
        <w:rPr>
          <w:spacing w:val="-7"/>
          <w:w w:val="105"/>
        </w:rPr>
        <w:t> </w:t>
      </w:r>
      <w:r>
        <w:rPr>
          <w:w w:val="105"/>
        </w:rPr>
        <w:t>and</w:t>
      </w:r>
      <w:r>
        <w:rPr>
          <w:spacing w:val="-7"/>
          <w:w w:val="105"/>
        </w:rPr>
        <w:t> </w:t>
      </w:r>
      <w:r>
        <w:rPr>
          <w:w w:val="105"/>
        </w:rPr>
        <w:t>transportation</w:t>
      </w:r>
      <w:r>
        <w:rPr>
          <w:spacing w:val="-5"/>
          <w:w w:val="105"/>
        </w:rPr>
        <w:t> </w:t>
      </w:r>
      <w:r>
        <w:rPr>
          <w:w w:val="105"/>
        </w:rPr>
        <w:t>interruptions and</w:t>
      </w:r>
      <w:r>
        <w:rPr>
          <w:spacing w:val="-2"/>
          <w:w w:val="105"/>
        </w:rPr>
        <w:t> </w:t>
      </w:r>
      <w:r>
        <w:rPr>
          <w:w w:val="105"/>
        </w:rPr>
        <w:t>other</w:t>
      </w:r>
      <w:r>
        <w:rPr>
          <w:spacing w:val="-2"/>
          <w:w w:val="105"/>
        </w:rPr>
        <w:t> </w:t>
      </w:r>
      <w:r>
        <w:rPr>
          <w:w w:val="105"/>
        </w:rPr>
        <w:t>measures</w:t>
      </w:r>
      <w:r>
        <w:rPr>
          <w:spacing w:val="-2"/>
          <w:w w:val="105"/>
        </w:rPr>
        <w:t> </w:t>
      </w:r>
      <w:r>
        <w:rPr>
          <w:w w:val="105"/>
        </w:rPr>
        <w:t>taken in</w:t>
      </w:r>
      <w:r>
        <w:rPr>
          <w:spacing w:val="-2"/>
          <w:w w:val="105"/>
        </w:rPr>
        <w:t> </w:t>
      </w:r>
      <w:r>
        <w:rPr>
          <w:w w:val="105"/>
        </w:rPr>
        <w:t>response</w:t>
      </w:r>
      <w:r>
        <w:rPr>
          <w:spacing w:val="-2"/>
          <w:w w:val="105"/>
        </w:rPr>
        <w:t> </w:t>
      </w:r>
      <w:r>
        <w:rPr>
          <w:w w:val="105"/>
        </w:rPr>
        <w:t>thereto,</w:t>
      </w:r>
      <w:r>
        <w:rPr>
          <w:spacing w:val="-2"/>
          <w:w w:val="105"/>
        </w:rPr>
        <w:t> </w:t>
      </w:r>
      <w:r>
        <w:rPr>
          <w:w w:val="105"/>
        </w:rPr>
        <w:t>have</w:t>
      </w:r>
      <w:r>
        <w:rPr>
          <w:spacing w:val="-2"/>
          <w:w w:val="105"/>
        </w:rPr>
        <w:t> </w:t>
      </w:r>
      <w:r>
        <w:rPr>
          <w:w w:val="105"/>
        </w:rPr>
        <w:t>had,</w:t>
      </w:r>
      <w:r>
        <w:rPr>
          <w:spacing w:val="-2"/>
          <w:w w:val="105"/>
        </w:rPr>
        <w:t> </w:t>
      </w:r>
      <w:r>
        <w:rPr>
          <w:w w:val="105"/>
        </w:rPr>
        <w:t>and may</w:t>
      </w:r>
      <w:r>
        <w:rPr>
          <w:spacing w:val="-2"/>
          <w:w w:val="105"/>
        </w:rPr>
        <w:t> </w:t>
      </w:r>
      <w:r>
        <w:rPr>
          <w:w w:val="105"/>
        </w:rPr>
        <w:t>continue</w:t>
      </w:r>
      <w:r>
        <w:rPr>
          <w:spacing w:val="-2"/>
          <w:w w:val="105"/>
        </w:rPr>
        <w:t> </w:t>
      </w:r>
      <w:r>
        <w:rPr>
          <w:w w:val="105"/>
        </w:rPr>
        <w:t>to</w:t>
      </w:r>
      <w:r>
        <w:rPr>
          <w:spacing w:val="-2"/>
          <w:w w:val="105"/>
        </w:rPr>
        <w:t> </w:t>
      </w:r>
      <w:r>
        <w:rPr>
          <w:w w:val="105"/>
        </w:rPr>
        <w:t>have,</w:t>
      </w:r>
      <w:r>
        <w:rPr>
          <w:spacing w:val="-2"/>
          <w:w w:val="105"/>
        </w:rPr>
        <w:t> </w:t>
      </w:r>
      <w:r>
        <w:rPr>
          <w:w w:val="105"/>
        </w:rPr>
        <w:t>a</w:t>
      </w:r>
      <w:r>
        <w:rPr>
          <w:spacing w:val="-2"/>
          <w:w w:val="105"/>
        </w:rPr>
        <w:t> </w:t>
      </w:r>
      <w:r>
        <w:rPr>
          <w:w w:val="105"/>
        </w:rPr>
        <w:t>significant</w:t>
      </w:r>
      <w:r>
        <w:rPr>
          <w:spacing w:val="-2"/>
          <w:w w:val="105"/>
        </w:rPr>
        <w:t> </w:t>
      </w:r>
      <w:r>
        <w:rPr>
          <w:w w:val="105"/>
        </w:rPr>
        <w:t>adverse</w:t>
      </w:r>
      <w:r>
        <w:rPr>
          <w:spacing w:val="-2"/>
          <w:w w:val="105"/>
        </w:rPr>
        <w:t> </w:t>
      </w:r>
      <w:r>
        <w:rPr>
          <w:w w:val="105"/>
        </w:rPr>
        <w:t>impact</w:t>
      </w:r>
      <w:r>
        <w:rPr>
          <w:spacing w:val="-2"/>
          <w:w w:val="105"/>
        </w:rPr>
        <w:t> </w:t>
      </w:r>
      <w:r>
        <w:rPr>
          <w:w w:val="105"/>
        </w:rPr>
        <w:t>on the</w:t>
      </w:r>
      <w:r>
        <w:rPr>
          <w:spacing w:val="-2"/>
          <w:w w:val="105"/>
        </w:rPr>
        <w:t> </w:t>
      </w:r>
      <w:r>
        <w:rPr>
          <w:w w:val="105"/>
        </w:rPr>
        <w:t>global</w:t>
      </w:r>
      <w:r>
        <w:rPr>
          <w:spacing w:val="-2"/>
          <w:w w:val="105"/>
        </w:rPr>
        <w:t> </w:t>
      </w:r>
      <w:r>
        <w:rPr>
          <w:w w:val="105"/>
        </w:rPr>
        <w:t>and</w:t>
      </w:r>
      <w:r>
        <w:rPr>
          <w:spacing w:val="-2"/>
          <w:w w:val="105"/>
        </w:rPr>
        <w:t> </w:t>
      </w:r>
      <w:r>
        <w:rPr>
          <w:w w:val="105"/>
        </w:rPr>
        <w:t>regional</w:t>
      </w:r>
      <w:r>
        <w:rPr>
          <w:spacing w:val="-2"/>
          <w:w w:val="105"/>
        </w:rPr>
        <w:t> </w:t>
      </w:r>
      <w:r>
        <w:rPr>
          <w:w w:val="105"/>
        </w:rPr>
        <w:t>economic</w:t>
      </w:r>
      <w:r>
        <w:rPr>
          <w:spacing w:val="-2"/>
          <w:w w:val="105"/>
        </w:rPr>
        <w:t> </w:t>
      </w:r>
      <w:r>
        <w:rPr>
          <w:w w:val="105"/>
        </w:rPr>
        <w:t>activity,</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our ability to meet our customer demand.</w:t>
      </w:r>
    </w:p>
    <w:p>
      <w:pPr>
        <w:pStyle w:val="BodyText"/>
        <w:spacing w:before="16"/>
      </w:pPr>
    </w:p>
    <w:p>
      <w:pPr>
        <w:pStyle w:val="BodyText"/>
        <w:spacing w:line="266" w:lineRule="auto" w:before="1"/>
        <w:ind w:left="156" w:right="117"/>
      </w:pPr>
      <w:r>
        <w:rPr>
          <w:w w:val="105"/>
        </w:rPr>
        <w:t>Similarly,</w:t>
      </w:r>
      <w:r>
        <w:rPr>
          <w:spacing w:val="-2"/>
          <w:w w:val="105"/>
        </w:rPr>
        <w:t> </w:t>
      </w:r>
      <w:r>
        <w:rPr>
          <w:w w:val="105"/>
        </w:rPr>
        <w:t>changes</w:t>
      </w:r>
      <w:r>
        <w:rPr>
          <w:spacing w:val="-2"/>
          <w:w w:val="105"/>
        </w:rPr>
        <w:t> </w:t>
      </w:r>
      <w:r>
        <w:rPr>
          <w:w w:val="105"/>
        </w:rPr>
        <w:t>that result</w:t>
      </w:r>
      <w:r>
        <w:rPr>
          <w:spacing w:val="-2"/>
          <w:w w:val="105"/>
        </w:rPr>
        <w:t> </w:t>
      </w:r>
      <w:r>
        <w:rPr>
          <w:w w:val="105"/>
        </w:rPr>
        <w:t>in</w:t>
      </w:r>
      <w:r>
        <w:rPr>
          <w:spacing w:val="-2"/>
          <w:w w:val="105"/>
        </w:rPr>
        <w:t> </w:t>
      </w:r>
      <w:r>
        <w:rPr>
          <w:w w:val="105"/>
        </w:rPr>
        <w:t>sudden</w:t>
      </w:r>
      <w:r>
        <w:rPr>
          <w:spacing w:val="-2"/>
          <w:w w:val="105"/>
        </w:rPr>
        <w:t> </w:t>
      </w:r>
      <w:r>
        <w:rPr>
          <w:w w:val="105"/>
        </w:rPr>
        <w:t>increases</w:t>
      </w:r>
      <w:r>
        <w:rPr>
          <w:spacing w:val="-2"/>
          <w:w w:val="105"/>
        </w:rPr>
        <w:t> </w:t>
      </w:r>
      <w:r>
        <w:rPr>
          <w:w w:val="105"/>
        </w:rPr>
        <w:t>in consumer</w:t>
      </w:r>
      <w:r>
        <w:rPr>
          <w:spacing w:val="-2"/>
          <w:w w:val="105"/>
        </w:rPr>
        <w:t> </w:t>
      </w:r>
      <w:r>
        <w:rPr>
          <w:w w:val="105"/>
        </w:rPr>
        <w:t>demand</w:t>
      </w:r>
      <w:r>
        <w:rPr>
          <w:spacing w:val="-2"/>
          <w:w w:val="105"/>
        </w:rPr>
        <w:t> </w:t>
      </w:r>
      <w:r>
        <w:rPr>
          <w:w w:val="105"/>
        </w:rPr>
        <w:t>for</w:t>
      </w:r>
      <w:r>
        <w:rPr>
          <w:spacing w:val="-2"/>
          <w:w w:val="105"/>
        </w:rPr>
        <w:t> </w:t>
      </w:r>
      <w:r>
        <w:rPr>
          <w:w w:val="105"/>
        </w:rPr>
        <w:t>electronic</w:t>
      </w:r>
      <w:r>
        <w:rPr>
          <w:spacing w:val="-2"/>
          <w:w w:val="105"/>
        </w:rPr>
        <w:t> </w:t>
      </w:r>
      <w:r>
        <w:rPr>
          <w:w w:val="105"/>
        </w:rPr>
        <w:t>products</w:t>
      </w:r>
      <w:r>
        <w:rPr>
          <w:spacing w:val="-2"/>
          <w:w w:val="105"/>
        </w:rPr>
        <w:t> </w:t>
      </w:r>
      <w:r>
        <w:rPr>
          <w:w w:val="105"/>
        </w:rPr>
        <w:t>have</w:t>
      </w:r>
      <w:r>
        <w:rPr>
          <w:spacing w:val="-2"/>
          <w:w w:val="105"/>
        </w:rPr>
        <w:t> </w:t>
      </w:r>
      <w:r>
        <w:rPr>
          <w:w w:val="105"/>
        </w:rPr>
        <w:t>resulted</w:t>
      </w:r>
      <w:r>
        <w:rPr>
          <w:spacing w:val="-2"/>
          <w:w w:val="105"/>
        </w:rPr>
        <w:t> </w:t>
      </w:r>
      <w:r>
        <w:rPr>
          <w:w w:val="105"/>
        </w:rPr>
        <w:t>in,</w:t>
      </w:r>
      <w:r>
        <w:rPr>
          <w:spacing w:val="-2"/>
          <w:w w:val="105"/>
        </w:rPr>
        <w:t> </w:t>
      </w:r>
      <w:r>
        <w:rPr>
          <w:w w:val="105"/>
        </w:rPr>
        <w:t>and</w:t>
      </w:r>
      <w:r>
        <w:rPr>
          <w:spacing w:val="-2"/>
          <w:w w:val="105"/>
        </w:rPr>
        <w:t> </w:t>
      </w:r>
      <w:r>
        <w:rPr>
          <w:w w:val="105"/>
        </w:rPr>
        <w:t>may</w:t>
      </w:r>
      <w:r>
        <w:rPr>
          <w:spacing w:val="-2"/>
          <w:w w:val="105"/>
        </w:rPr>
        <w:t> </w:t>
      </w:r>
      <w:r>
        <w:rPr>
          <w:w w:val="105"/>
        </w:rPr>
        <w:t>continue</w:t>
      </w:r>
      <w:r>
        <w:rPr>
          <w:spacing w:val="-2"/>
          <w:w w:val="105"/>
        </w:rPr>
        <w:t> </w:t>
      </w:r>
      <w:r>
        <w:rPr>
          <w:w w:val="105"/>
        </w:rPr>
        <w:t>to</w:t>
      </w:r>
      <w:r>
        <w:rPr>
          <w:spacing w:val="-2"/>
          <w:w w:val="105"/>
        </w:rPr>
        <w:t> </w:t>
      </w:r>
      <w:r>
        <w:rPr>
          <w:w w:val="105"/>
        </w:rPr>
        <w:t>result</w:t>
      </w:r>
      <w:r>
        <w:rPr>
          <w:spacing w:val="-2"/>
          <w:w w:val="105"/>
        </w:rPr>
        <w:t> </w:t>
      </w:r>
      <w:r>
        <w:rPr>
          <w:w w:val="105"/>
        </w:rPr>
        <w:t>in,</w:t>
      </w:r>
      <w:r>
        <w:rPr>
          <w:spacing w:val="-2"/>
          <w:w w:val="105"/>
        </w:rPr>
        <w:t> </w:t>
      </w:r>
      <w:r>
        <w:rPr>
          <w:w w:val="105"/>
        </w:rPr>
        <w:t>a</w:t>
      </w:r>
      <w:r>
        <w:rPr>
          <w:spacing w:val="-2"/>
          <w:w w:val="105"/>
        </w:rPr>
        <w:t> </w:t>
      </w:r>
      <w:r>
        <w:rPr>
          <w:w w:val="105"/>
        </w:rPr>
        <w:t>shortage</w:t>
      </w:r>
      <w:r>
        <w:rPr>
          <w:spacing w:val="-2"/>
          <w:w w:val="105"/>
        </w:rPr>
        <w:t> </w:t>
      </w:r>
      <w:r>
        <w:rPr>
          <w:w w:val="105"/>
        </w:rPr>
        <w:t>of</w:t>
      </w:r>
      <w:r>
        <w:rPr>
          <w:spacing w:val="-2"/>
          <w:w w:val="105"/>
        </w:rPr>
        <w:t> </w:t>
      </w:r>
      <w:r>
        <w:rPr>
          <w:w w:val="105"/>
        </w:rPr>
        <w:t>parts</w:t>
      </w:r>
      <w:r>
        <w:rPr>
          <w:spacing w:val="-2"/>
          <w:w w:val="105"/>
        </w:rPr>
        <w:t> </w:t>
      </w:r>
      <w:r>
        <w:rPr>
          <w:w w:val="105"/>
        </w:rPr>
        <w:t>and materials</w:t>
      </w:r>
      <w:r>
        <w:rPr>
          <w:spacing w:val="-8"/>
          <w:w w:val="105"/>
        </w:rPr>
        <w:t> </w:t>
      </w:r>
      <w:r>
        <w:rPr>
          <w:w w:val="105"/>
        </w:rPr>
        <w:t>needed</w:t>
      </w:r>
      <w:r>
        <w:rPr>
          <w:spacing w:val="-8"/>
          <w:w w:val="105"/>
        </w:rPr>
        <w:t> </w:t>
      </w:r>
      <w:r>
        <w:rPr>
          <w:w w:val="105"/>
        </w:rPr>
        <w:t>to</w:t>
      </w:r>
      <w:r>
        <w:rPr>
          <w:spacing w:val="-7"/>
          <w:w w:val="105"/>
        </w:rPr>
        <w:t> </w:t>
      </w:r>
      <w:r>
        <w:rPr>
          <w:w w:val="105"/>
        </w:rPr>
        <w:t>manufacture</w:t>
      </w:r>
      <w:r>
        <w:rPr>
          <w:spacing w:val="-8"/>
          <w:w w:val="105"/>
        </w:rPr>
        <w:t> </w:t>
      </w:r>
      <w:r>
        <w:rPr>
          <w:w w:val="105"/>
        </w:rPr>
        <w:t>our</w:t>
      </w:r>
      <w:r>
        <w:rPr>
          <w:spacing w:val="-8"/>
          <w:w w:val="105"/>
        </w:rPr>
        <w:t> </w:t>
      </w:r>
      <w:r>
        <w:rPr>
          <w:w w:val="105"/>
        </w:rPr>
        <w:t>products</w:t>
      </w:r>
      <w:r>
        <w:rPr>
          <w:spacing w:val="-8"/>
          <w:w w:val="105"/>
        </w:rPr>
        <w:t> </w:t>
      </w:r>
      <w:r>
        <w:rPr>
          <w:w w:val="105"/>
        </w:rPr>
        <w:t>or</w:t>
      </w:r>
      <w:r>
        <w:rPr>
          <w:spacing w:val="-7"/>
          <w:w w:val="105"/>
        </w:rPr>
        <w:t> </w:t>
      </w:r>
      <w:r>
        <w:rPr>
          <w:w w:val="105"/>
        </w:rPr>
        <w:t>the</w:t>
      </w:r>
      <w:r>
        <w:rPr>
          <w:spacing w:val="-8"/>
          <w:w w:val="105"/>
        </w:rPr>
        <w:t> </w:t>
      </w:r>
      <w:r>
        <w:rPr>
          <w:w w:val="105"/>
        </w:rPr>
        <w:t>products</w:t>
      </w:r>
      <w:r>
        <w:rPr>
          <w:spacing w:val="-8"/>
          <w:w w:val="105"/>
        </w:rPr>
        <w:t> </w:t>
      </w:r>
      <w:r>
        <w:rPr>
          <w:w w:val="105"/>
        </w:rPr>
        <w:t>in</w:t>
      </w:r>
      <w:r>
        <w:rPr>
          <w:spacing w:val="-8"/>
          <w:w w:val="105"/>
        </w:rPr>
        <w:t> </w:t>
      </w:r>
      <w:r>
        <w:rPr>
          <w:w w:val="105"/>
        </w:rPr>
        <w:t>which</w:t>
      </w:r>
      <w:r>
        <w:rPr>
          <w:spacing w:val="-8"/>
          <w:w w:val="105"/>
        </w:rPr>
        <w:t> </w:t>
      </w:r>
      <w:r>
        <w:rPr>
          <w:w w:val="105"/>
        </w:rPr>
        <w:t>our</w:t>
      </w:r>
      <w:r>
        <w:rPr>
          <w:spacing w:val="-8"/>
          <w:w w:val="105"/>
        </w:rPr>
        <w:t> </w:t>
      </w:r>
      <w:r>
        <w:rPr>
          <w:w w:val="105"/>
        </w:rPr>
        <w:t>products</w:t>
      </w:r>
      <w:r>
        <w:rPr>
          <w:spacing w:val="-8"/>
          <w:w w:val="105"/>
        </w:rPr>
        <w:t> </w:t>
      </w:r>
      <w:r>
        <w:rPr>
          <w:w w:val="105"/>
        </w:rPr>
        <w:t>are</w:t>
      </w:r>
      <w:r>
        <w:rPr>
          <w:spacing w:val="-8"/>
          <w:w w:val="105"/>
        </w:rPr>
        <w:t> </w:t>
      </w:r>
      <w:r>
        <w:rPr>
          <w:w w:val="105"/>
        </w:rPr>
        <w:t>used.</w:t>
      </w:r>
      <w:r>
        <w:rPr>
          <w:spacing w:val="-8"/>
          <w:w w:val="105"/>
        </w:rPr>
        <w:t> </w:t>
      </w:r>
      <w:r>
        <w:rPr>
          <w:w w:val="105"/>
        </w:rPr>
        <w:t>Such</w:t>
      </w:r>
      <w:r>
        <w:rPr>
          <w:spacing w:val="-8"/>
          <w:w w:val="105"/>
        </w:rPr>
        <w:t> </w:t>
      </w:r>
      <w:r>
        <w:rPr>
          <w:w w:val="105"/>
        </w:rPr>
        <w:t>shortages,</w:t>
      </w:r>
      <w:r>
        <w:rPr>
          <w:spacing w:val="-8"/>
          <w:w w:val="105"/>
        </w:rPr>
        <w:t> </w:t>
      </w:r>
      <w:r>
        <w:rPr>
          <w:w w:val="105"/>
        </w:rPr>
        <w:t>as</w:t>
      </w:r>
      <w:r>
        <w:rPr>
          <w:spacing w:val="-8"/>
          <w:w w:val="105"/>
        </w:rPr>
        <w:t> </w:t>
      </w:r>
      <w:r>
        <w:rPr>
          <w:w w:val="105"/>
        </w:rPr>
        <w:t>well</w:t>
      </w:r>
      <w:r>
        <w:rPr>
          <w:spacing w:val="-8"/>
          <w:w w:val="105"/>
        </w:rPr>
        <w:t> </w:t>
      </w:r>
      <w:r>
        <w:rPr>
          <w:w w:val="105"/>
        </w:rPr>
        <w:t>as</w:t>
      </w:r>
      <w:r>
        <w:rPr>
          <w:spacing w:val="-8"/>
          <w:w w:val="105"/>
        </w:rPr>
        <w:t> </w:t>
      </w:r>
      <w:r>
        <w:rPr>
          <w:w w:val="105"/>
        </w:rPr>
        <w:t>shipment</w:t>
      </w:r>
      <w:r>
        <w:rPr>
          <w:spacing w:val="-8"/>
          <w:w w:val="105"/>
        </w:rPr>
        <w:t> </w:t>
      </w:r>
      <w:r>
        <w:rPr>
          <w:w w:val="105"/>
        </w:rPr>
        <w:t>delays</w:t>
      </w:r>
      <w:r>
        <w:rPr>
          <w:spacing w:val="-8"/>
          <w:w w:val="105"/>
        </w:rPr>
        <w:t> </w:t>
      </w:r>
      <w:r>
        <w:rPr>
          <w:w w:val="105"/>
        </w:rPr>
        <w:t>due</w:t>
      </w:r>
      <w:r>
        <w:rPr>
          <w:spacing w:val="-8"/>
          <w:w w:val="105"/>
        </w:rPr>
        <w:t> </w:t>
      </w:r>
      <w:r>
        <w:rPr>
          <w:w w:val="105"/>
        </w:rPr>
        <w:t>to</w:t>
      </w:r>
      <w:r>
        <w:rPr>
          <w:spacing w:val="-8"/>
          <w:w w:val="105"/>
        </w:rPr>
        <w:t> </w:t>
      </w:r>
      <w:r>
        <w:rPr>
          <w:w w:val="105"/>
        </w:rPr>
        <w:t>transportation</w:t>
      </w:r>
      <w:r>
        <w:rPr>
          <w:spacing w:val="-8"/>
          <w:w w:val="105"/>
        </w:rPr>
        <w:t> </w:t>
      </w:r>
      <w:r>
        <w:rPr>
          <w:w w:val="105"/>
        </w:rPr>
        <w:t>interruptions, have adversely impacted, and may continue to adversely impact, our ability to meet our demand requirements.</w:t>
      </w:r>
    </w:p>
    <w:p>
      <w:pPr>
        <w:pStyle w:val="BodyText"/>
        <w:spacing w:before="18"/>
      </w:pPr>
    </w:p>
    <w:p>
      <w:pPr>
        <w:pStyle w:val="BodyText"/>
        <w:spacing w:line="266" w:lineRule="auto"/>
        <w:ind w:left="156" w:right="117"/>
      </w:pPr>
      <w:r>
        <w:rPr>
          <w:w w:val="105"/>
        </w:rPr>
        <w:t>Uncertain</w:t>
      </w:r>
      <w:r>
        <w:rPr>
          <w:spacing w:val="-9"/>
          <w:w w:val="105"/>
        </w:rPr>
        <w:t> </w:t>
      </w:r>
      <w:r>
        <w:rPr>
          <w:w w:val="105"/>
        </w:rPr>
        <w:t>economic</w:t>
      </w:r>
      <w:r>
        <w:rPr>
          <w:spacing w:val="-9"/>
          <w:w w:val="105"/>
        </w:rPr>
        <w:t> </w:t>
      </w:r>
      <w:r>
        <w:rPr>
          <w:w w:val="105"/>
        </w:rPr>
        <w:t>and</w:t>
      </w:r>
      <w:r>
        <w:rPr>
          <w:spacing w:val="-9"/>
          <w:w w:val="105"/>
        </w:rPr>
        <w:t> </w:t>
      </w:r>
      <w:r>
        <w:rPr>
          <w:w w:val="105"/>
        </w:rPr>
        <w:t>industry</w:t>
      </w:r>
      <w:r>
        <w:rPr>
          <w:spacing w:val="-9"/>
          <w:w w:val="105"/>
        </w:rPr>
        <w:t> </w:t>
      </w:r>
      <w:r>
        <w:rPr>
          <w:w w:val="105"/>
        </w:rPr>
        <w:t>conditions</w:t>
      </w:r>
      <w:r>
        <w:rPr>
          <w:spacing w:val="-9"/>
          <w:w w:val="105"/>
        </w:rPr>
        <w:t> </w:t>
      </w:r>
      <w:r>
        <w:rPr>
          <w:w w:val="105"/>
        </w:rPr>
        <w:t>also</w:t>
      </w:r>
      <w:r>
        <w:rPr>
          <w:spacing w:val="-9"/>
          <w:w w:val="105"/>
        </w:rPr>
        <w:t> </w:t>
      </w:r>
      <w:r>
        <w:rPr>
          <w:w w:val="105"/>
        </w:rPr>
        <w:t>make</w:t>
      </w:r>
      <w:r>
        <w:rPr>
          <w:spacing w:val="-9"/>
          <w:w w:val="105"/>
        </w:rPr>
        <w:t> </w:t>
      </w:r>
      <w:r>
        <w:rPr>
          <w:w w:val="105"/>
        </w:rPr>
        <w:t>it</w:t>
      </w:r>
      <w:r>
        <w:rPr>
          <w:spacing w:val="-7"/>
          <w:w w:val="105"/>
        </w:rPr>
        <w:t> </w:t>
      </w:r>
      <w:r>
        <w:rPr>
          <w:w w:val="105"/>
        </w:rPr>
        <w:t>more</w:t>
      </w:r>
      <w:r>
        <w:rPr>
          <w:spacing w:val="-9"/>
          <w:w w:val="105"/>
        </w:rPr>
        <w:t> </w:t>
      </w:r>
      <w:r>
        <w:rPr>
          <w:w w:val="105"/>
        </w:rPr>
        <w:t>challenging</w:t>
      </w:r>
      <w:r>
        <w:rPr>
          <w:spacing w:val="-9"/>
          <w:w w:val="105"/>
        </w:rPr>
        <w:t> </w:t>
      </w:r>
      <w:r>
        <w:rPr>
          <w:w w:val="105"/>
        </w:rPr>
        <w:t>for</w:t>
      </w:r>
      <w:r>
        <w:rPr>
          <w:spacing w:val="-9"/>
          <w:w w:val="105"/>
        </w:rPr>
        <w:t> </w:t>
      </w:r>
      <w:r>
        <w:rPr>
          <w:w w:val="105"/>
        </w:rPr>
        <w:t>Corning</w:t>
      </w:r>
      <w:r>
        <w:rPr>
          <w:spacing w:val="-9"/>
          <w:w w:val="105"/>
        </w:rPr>
        <w:t> </w:t>
      </w:r>
      <w:r>
        <w:rPr>
          <w:w w:val="105"/>
        </w:rPr>
        <w:t>to</w:t>
      </w:r>
      <w:r>
        <w:rPr>
          <w:spacing w:val="-7"/>
          <w:w w:val="105"/>
        </w:rPr>
        <w:t> </w:t>
      </w:r>
      <w:r>
        <w:rPr>
          <w:w w:val="105"/>
        </w:rPr>
        <w:t>forecast</w:t>
      </w:r>
      <w:r>
        <w:rPr>
          <w:spacing w:val="-9"/>
          <w:w w:val="105"/>
        </w:rPr>
        <w:t> </w:t>
      </w:r>
      <w:r>
        <w:rPr>
          <w:w w:val="105"/>
        </w:rPr>
        <w:t>its</w:t>
      </w:r>
      <w:r>
        <w:rPr>
          <w:spacing w:val="-9"/>
          <w:w w:val="105"/>
        </w:rPr>
        <w:t> </w:t>
      </w:r>
      <w:r>
        <w:rPr>
          <w:w w:val="105"/>
        </w:rPr>
        <w:t>operating</w:t>
      </w:r>
      <w:r>
        <w:rPr>
          <w:spacing w:val="-7"/>
          <w:w w:val="105"/>
        </w:rPr>
        <w:t> </w:t>
      </w:r>
      <w:r>
        <w:rPr>
          <w:w w:val="105"/>
        </w:rPr>
        <w:t>results,</w:t>
      </w:r>
      <w:r>
        <w:rPr>
          <w:spacing w:val="-9"/>
          <w:w w:val="105"/>
        </w:rPr>
        <w:t> </w:t>
      </w:r>
      <w:r>
        <w:rPr>
          <w:w w:val="105"/>
        </w:rPr>
        <w:t>make</w:t>
      </w:r>
      <w:r>
        <w:rPr>
          <w:spacing w:val="-9"/>
          <w:w w:val="105"/>
        </w:rPr>
        <w:t> </w:t>
      </w:r>
      <w:r>
        <w:rPr>
          <w:w w:val="105"/>
        </w:rPr>
        <w:t>business</w:t>
      </w:r>
      <w:r>
        <w:rPr>
          <w:spacing w:val="-9"/>
          <w:w w:val="105"/>
        </w:rPr>
        <w:t> </w:t>
      </w:r>
      <w:r>
        <w:rPr>
          <w:w w:val="105"/>
        </w:rPr>
        <w:t>decisions,</w:t>
      </w:r>
      <w:r>
        <w:rPr>
          <w:spacing w:val="-7"/>
          <w:w w:val="105"/>
        </w:rPr>
        <w:t> </w:t>
      </w:r>
      <w:r>
        <w:rPr>
          <w:w w:val="105"/>
        </w:rPr>
        <w:t>and</w:t>
      </w:r>
      <w:r>
        <w:rPr>
          <w:spacing w:val="-9"/>
          <w:w w:val="105"/>
        </w:rPr>
        <w:t> </w:t>
      </w:r>
      <w:r>
        <w:rPr>
          <w:w w:val="105"/>
        </w:rPr>
        <w:t>identify</w:t>
      </w:r>
      <w:r>
        <w:rPr>
          <w:spacing w:val="-9"/>
          <w:w w:val="105"/>
        </w:rPr>
        <w:t> </w:t>
      </w:r>
      <w:r>
        <w:rPr>
          <w:w w:val="105"/>
        </w:rPr>
        <w:t>and</w:t>
      </w:r>
      <w:r>
        <w:rPr>
          <w:spacing w:val="-9"/>
          <w:w w:val="105"/>
        </w:rPr>
        <w:t> </w:t>
      </w:r>
      <w:r>
        <w:rPr>
          <w:w w:val="105"/>
        </w:rPr>
        <w:t>prioritize the</w:t>
      </w:r>
      <w:r>
        <w:rPr>
          <w:spacing w:val="-2"/>
          <w:w w:val="105"/>
        </w:rPr>
        <w:t> </w:t>
      </w:r>
      <w:r>
        <w:rPr>
          <w:w w:val="105"/>
        </w:rPr>
        <w:t>risks</w:t>
      </w:r>
      <w:r>
        <w:rPr>
          <w:spacing w:val="-2"/>
          <w:w w:val="105"/>
        </w:rPr>
        <w:t> </w:t>
      </w:r>
      <w:r>
        <w:rPr>
          <w:w w:val="105"/>
        </w:rPr>
        <w:t>that</w:t>
      </w:r>
      <w:r>
        <w:rPr>
          <w:spacing w:val="-2"/>
          <w:w w:val="105"/>
        </w:rPr>
        <w:t> </w:t>
      </w:r>
      <w:r>
        <w:rPr>
          <w:w w:val="105"/>
        </w:rPr>
        <w:t>may</w:t>
      </w:r>
      <w:r>
        <w:rPr>
          <w:spacing w:val="-2"/>
          <w:w w:val="105"/>
        </w:rPr>
        <w:t> </w:t>
      </w:r>
      <w:r>
        <w:rPr>
          <w:w w:val="105"/>
        </w:rPr>
        <w:t>affect</w:t>
      </w:r>
      <w:r>
        <w:rPr>
          <w:spacing w:val="-2"/>
          <w:w w:val="105"/>
        </w:rPr>
        <w:t> </w:t>
      </w:r>
      <w:r>
        <w:rPr>
          <w:w w:val="105"/>
        </w:rPr>
        <w:t>its</w:t>
      </w:r>
      <w:r>
        <w:rPr>
          <w:spacing w:val="-2"/>
          <w:w w:val="105"/>
        </w:rPr>
        <w:t> </w:t>
      </w:r>
      <w:r>
        <w:rPr>
          <w:w w:val="105"/>
        </w:rPr>
        <w:t>businesses,</w:t>
      </w:r>
      <w:r>
        <w:rPr>
          <w:spacing w:val="-2"/>
          <w:w w:val="105"/>
        </w:rPr>
        <w:t> </w:t>
      </w:r>
      <w:r>
        <w:rPr>
          <w:w w:val="105"/>
        </w:rPr>
        <w:t>sources</w:t>
      </w:r>
      <w:r>
        <w:rPr>
          <w:spacing w:val="-2"/>
          <w:w w:val="105"/>
        </w:rPr>
        <w:t> </w:t>
      </w:r>
      <w:r>
        <w:rPr>
          <w:w w:val="105"/>
        </w:rPr>
        <w:t>and</w:t>
      </w:r>
      <w:r>
        <w:rPr>
          <w:spacing w:val="-2"/>
          <w:w w:val="105"/>
        </w:rPr>
        <w:t> </w:t>
      </w:r>
      <w:r>
        <w:rPr>
          <w:w w:val="105"/>
        </w:rPr>
        <w:t>uses</w:t>
      </w:r>
      <w:r>
        <w:rPr>
          <w:spacing w:val="-2"/>
          <w:w w:val="105"/>
        </w:rPr>
        <w:t> </w:t>
      </w:r>
      <w:r>
        <w:rPr>
          <w:w w:val="105"/>
        </w:rPr>
        <w:t>of</w:t>
      </w:r>
      <w:r>
        <w:rPr>
          <w:spacing w:val="-2"/>
          <w:w w:val="105"/>
        </w:rPr>
        <w:t> </w:t>
      </w:r>
      <w:r>
        <w:rPr>
          <w:w w:val="105"/>
        </w:rPr>
        <w:t>cash,</w:t>
      </w:r>
      <w:r>
        <w:rPr>
          <w:spacing w:val="-2"/>
          <w:w w:val="105"/>
        </w:rPr>
        <w:t> </w:t>
      </w:r>
      <w:r>
        <w:rPr>
          <w:w w:val="105"/>
        </w:rPr>
        <w:t>financial</w:t>
      </w:r>
      <w:r>
        <w:rPr>
          <w:spacing w:val="-2"/>
          <w:w w:val="105"/>
        </w:rPr>
        <w:t> </w:t>
      </w:r>
      <w:r>
        <w:rPr>
          <w:w w:val="105"/>
        </w:rPr>
        <w:t>condition</w:t>
      </w:r>
      <w:r>
        <w:rPr>
          <w:spacing w:val="-2"/>
          <w:w w:val="105"/>
        </w:rPr>
        <w:t> </w:t>
      </w:r>
      <w:r>
        <w:rPr>
          <w:w w:val="105"/>
        </w:rPr>
        <w:t>and</w:t>
      </w:r>
      <w:r>
        <w:rPr>
          <w:spacing w:val="-2"/>
          <w:w w:val="105"/>
        </w:rPr>
        <w:t> </w:t>
      </w:r>
      <w:r>
        <w:rPr>
          <w:w w:val="105"/>
        </w:rPr>
        <w:t>results</w:t>
      </w:r>
      <w:r>
        <w:rPr>
          <w:spacing w:val="-2"/>
          <w:w w:val="105"/>
        </w:rPr>
        <w:t> </w:t>
      </w:r>
      <w:r>
        <w:rPr>
          <w:w w:val="105"/>
        </w:rPr>
        <w:t>of</w:t>
      </w:r>
      <w:r>
        <w:rPr>
          <w:spacing w:val="-2"/>
          <w:w w:val="105"/>
        </w:rPr>
        <w:t> </w:t>
      </w:r>
      <w:r>
        <w:rPr>
          <w:w w:val="105"/>
        </w:rPr>
        <w:t>operations.</w:t>
      </w:r>
      <w:r>
        <w:rPr>
          <w:spacing w:val="-2"/>
          <w:w w:val="105"/>
        </w:rPr>
        <w:t> </w:t>
      </w:r>
      <w:r>
        <w:rPr>
          <w:w w:val="105"/>
        </w:rPr>
        <w:t>If</w:t>
      </w:r>
      <w:r>
        <w:rPr>
          <w:spacing w:val="-2"/>
          <w:w w:val="105"/>
        </w:rPr>
        <w:t> </w:t>
      </w:r>
      <w:r>
        <w:rPr>
          <w:w w:val="105"/>
        </w:rPr>
        <w:t>Corning</w:t>
      </w:r>
      <w:r>
        <w:rPr>
          <w:spacing w:val="-2"/>
          <w:w w:val="105"/>
        </w:rPr>
        <w:t> </w:t>
      </w:r>
      <w:r>
        <w:rPr>
          <w:w w:val="105"/>
        </w:rPr>
        <w:t>does</w:t>
      </w:r>
      <w:r>
        <w:rPr>
          <w:spacing w:val="-2"/>
          <w:w w:val="105"/>
        </w:rPr>
        <w:t> </w:t>
      </w:r>
      <w:r>
        <w:rPr>
          <w:w w:val="105"/>
        </w:rPr>
        <w:t>not</w:t>
      </w:r>
      <w:r>
        <w:rPr>
          <w:spacing w:val="-2"/>
          <w:w w:val="105"/>
        </w:rPr>
        <w:t> </w:t>
      </w:r>
      <w:r>
        <w:rPr>
          <w:w w:val="105"/>
        </w:rPr>
        <w:t>appropriately</w:t>
      </w:r>
      <w:r>
        <w:rPr>
          <w:spacing w:val="-2"/>
          <w:w w:val="105"/>
        </w:rPr>
        <w:t> </w:t>
      </w:r>
      <w:r>
        <w:rPr>
          <w:w w:val="105"/>
        </w:rPr>
        <w:t>manage</w:t>
      </w:r>
      <w:r>
        <w:rPr>
          <w:spacing w:val="-2"/>
          <w:w w:val="105"/>
        </w:rPr>
        <w:t> </w:t>
      </w:r>
      <w:r>
        <w:rPr>
          <w:w w:val="105"/>
        </w:rPr>
        <w:t>its</w:t>
      </w:r>
      <w:r>
        <w:rPr>
          <w:spacing w:val="-2"/>
          <w:w w:val="105"/>
        </w:rPr>
        <w:t> </w:t>
      </w:r>
      <w:r>
        <w:rPr>
          <w:w w:val="105"/>
        </w:rPr>
        <w:t>business operations</w:t>
      </w:r>
      <w:r>
        <w:rPr>
          <w:spacing w:val="-7"/>
          <w:w w:val="105"/>
        </w:rPr>
        <w:t> </w:t>
      </w:r>
      <w:r>
        <w:rPr>
          <w:w w:val="105"/>
        </w:rPr>
        <w:t>in</w:t>
      </w:r>
      <w:r>
        <w:rPr>
          <w:spacing w:val="-7"/>
          <w:w w:val="105"/>
        </w:rPr>
        <w:t> </w:t>
      </w:r>
      <w:r>
        <w:rPr>
          <w:w w:val="105"/>
        </w:rPr>
        <w:t>response</w:t>
      </w:r>
      <w:r>
        <w:rPr>
          <w:spacing w:val="-7"/>
          <w:w w:val="105"/>
        </w:rPr>
        <w:t> </w:t>
      </w:r>
      <w:r>
        <w:rPr>
          <w:w w:val="105"/>
        </w:rPr>
        <w:t>to</w:t>
      </w:r>
      <w:r>
        <w:rPr>
          <w:spacing w:val="-7"/>
          <w:w w:val="105"/>
        </w:rPr>
        <w:t> </w:t>
      </w:r>
      <w:r>
        <w:rPr>
          <w:w w:val="105"/>
        </w:rPr>
        <w:t>changing</w:t>
      </w:r>
      <w:r>
        <w:rPr>
          <w:spacing w:val="-7"/>
          <w:w w:val="105"/>
        </w:rPr>
        <w:t> </w:t>
      </w:r>
      <w:r>
        <w:rPr>
          <w:w w:val="105"/>
        </w:rPr>
        <w:t>economic</w:t>
      </w:r>
      <w:r>
        <w:rPr>
          <w:spacing w:val="-7"/>
          <w:w w:val="105"/>
        </w:rPr>
        <w:t> </w:t>
      </w:r>
      <w:r>
        <w:rPr>
          <w:w w:val="105"/>
        </w:rPr>
        <w:t>and</w:t>
      </w:r>
      <w:r>
        <w:rPr>
          <w:spacing w:val="-7"/>
          <w:w w:val="105"/>
        </w:rPr>
        <w:t> </w:t>
      </w:r>
      <w:r>
        <w:rPr>
          <w:w w:val="105"/>
        </w:rPr>
        <w:t>industry</w:t>
      </w:r>
      <w:r>
        <w:rPr>
          <w:spacing w:val="-7"/>
          <w:w w:val="105"/>
        </w:rPr>
        <w:t> </w:t>
      </w:r>
      <w:r>
        <w:rPr>
          <w:w w:val="105"/>
        </w:rPr>
        <w:t>conditions,</w:t>
      </w:r>
      <w:r>
        <w:rPr>
          <w:spacing w:val="-7"/>
          <w:w w:val="105"/>
        </w:rPr>
        <w:t> </w:t>
      </w:r>
      <w:r>
        <w:rPr>
          <w:w w:val="105"/>
        </w:rPr>
        <w:t>it</w:t>
      </w:r>
      <w:r>
        <w:rPr>
          <w:spacing w:val="-7"/>
          <w:w w:val="105"/>
        </w:rPr>
        <w:t> </w:t>
      </w:r>
      <w:r>
        <w:rPr>
          <w:w w:val="105"/>
        </w:rPr>
        <w:t>could</w:t>
      </w:r>
      <w:r>
        <w:rPr>
          <w:spacing w:val="-7"/>
          <w:w w:val="105"/>
        </w:rPr>
        <w:t> </w:t>
      </w:r>
      <w:r>
        <w:rPr>
          <w:w w:val="105"/>
        </w:rPr>
        <w:t>have</w:t>
      </w:r>
      <w:r>
        <w:rPr>
          <w:spacing w:val="-7"/>
          <w:w w:val="105"/>
        </w:rPr>
        <w:t> </w:t>
      </w:r>
      <w:r>
        <w:rPr>
          <w:w w:val="105"/>
        </w:rPr>
        <w:t>a</w:t>
      </w:r>
      <w:r>
        <w:rPr>
          <w:spacing w:val="-7"/>
          <w:w w:val="105"/>
        </w:rPr>
        <w:t> </w:t>
      </w:r>
      <w:r>
        <w:rPr>
          <w:w w:val="105"/>
        </w:rPr>
        <w:t>significant</w:t>
      </w:r>
      <w:r>
        <w:rPr>
          <w:spacing w:val="-7"/>
          <w:w w:val="105"/>
        </w:rPr>
        <w:t> </w:t>
      </w:r>
      <w:r>
        <w:rPr>
          <w:w w:val="105"/>
        </w:rPr>
        <w:t>negative</w:t>
      </w:r>
      <w:r>
        <w:rPr>
          <w:spacing w:val="-7"/>
          <w:w w:val="105"/>
        </w:rPr>
        <w:t> </w:t>
      </w:r>
      <w:r>
        <w:rPr>
          <w:w w:val="105"/>
        </w:rPr>
        <w:t>impact</w:t>
      </w:r>
      <w:r>
        <w:rPr>
          <w:spacing w:val="-7"/>
          <w:w w:val="105"/>
        </w:rPr>
        <w:t> </w:t>
      </w:r>
      <w:r>
        <w:rPr>
          <w:w w:val="105"/>
        </w:rPr>
        <w:t>on</w:t>
      </w:r>
      <w:r>
        <w:rPr>
          <w:spacing w:val="-7"/>
          <w:w w:val="105"/>
        </w:rPr>
        <w:t> </w:t>
      </w:r>
      <w:r>
        <w:rPr>
          <w:w w:val="105"/>
        </w:rPr>
        <w:t>its</w:t>
      </w:r>
      <w:r>
        <w:rPr>
          <w:spacing w:val="-7"/>
          <w:w w:val="105"/>
        </w:rPr>
        <w:t> </w:t>
      </w:r>
      <w:r>
        <w:rPr>
          <w:w w:val="105"/>
        </w:rPr>
        <w:t>business</w:t>
      </w:r>
      <w:r>
        <w:rPr>
          <w:spacing w:val="-7"/>
          <w:w w:val="105"/>
        </w:rPr>
        <w:t> </w:t>
      </w:r>
      <w:r>
        <w:rPr>
          <w:w w:val="105"/>
        </w:rPr>
        <w:t>performance</w:t>
      </w:r>
      <w:r>
        <w:rPr>
          <w:spacing w:val="-7"/>
          <w:w w:val="105"/>
        </w:rPr>
        <w:t> </w:t>
      </w:r>
      <w:r>
        <w:rPr>
          <w:w w:val="105"/>
        </w:rPr>
        <w:t>and</w:t>
      </w:r>
      <w:r>
        <w:rPr>
          <w:spacing w:val="-7"/>
          <w:w w:val="105"/>
        </w:rPr>
        <w:t> </w:t>
      </w:r>
      <w:r>
        <w:rPr>
          <w:w w:val="105"/>
        </w:rPr>
        <w:t>financial</w:t>
      </w:r>
      <w:r>
        <w:rPr>
          <w:spacing w:val="-7"/>
          <w:w w:val="105"/>
        </w:rPr>
        <w:t> </w:t>
      </w:r>
      <w:r>
        <w:rPr>
          <w:w w:val="105"/>
        </w:rPr>
        <w:t>condition.</w:t>
      </w:r>
      <w:r>
        <w:rPr>
          <w:spacing w:val="-7"/>
          <w:w w:val="105"/>
        </w:rPr>
        <w:t> </w:t>
      </w:r>
      <w:r>
        <w:rPr>
          <w:w w:val="105"/>
        </w:rPr>
        <w:t>Even during</w:t>
      </w:r>
      <w:r>
        <w:rPr>
          <w:spacing w:val="-2"/>
          <w:w w:val="105"/>
        </w:rPr>
        <w:t> </w:t>
      </w:r>
      <w:r>
        <w:rPr>
          <w:w w:val="105"/>
        </w:rPr>
        <w:t>periods</w:t>
      </w:r>
      <w:r>
        <w:rPr>
          <w:spacing w:val="-2"/>
          <w:w w:val="105"/>
        </w:rPr>
        <w:t> </w:t>
      </w:r>
      <w:r>
        <w:rPr>
          <w:w w:val="105"/>
        </w:rPr>
        <w:t>of</w:t>
      </w:r>
      <w:r>
        <w:rPr>
          <w:spacing w:val="-2"/>
          <w:w w:val="105"/>
        </w:rPr>
        <w:t> </w:t>
      </w:r>
      <w:r>
        <w:rPr>
          <w:w w:val="105"/>
        </w:rPr>
        <w:t>economic</w:t>
      </w:r>
      <w:r>
        <w:rPr>
          <w:spacing w:val="-2"/>
          <w:w w:val="105"/>
        </w:rPr>
        <w:t> </w:t>
      </w:r>
      <w:r>
        <w:rPr>
          <w:w w:val="105"/>
        </w:rPr>
        <w:t>uncertainty</w:t>
      </w:r>
      <w:r>
        <w:rPr>
          <w:spacing w:val="-2"/>
          <w:w w:val="105"/>
        </w:rPr>
        <w:t> </w:t>
      </w:r>
      <w:r>
        <w:rPr>
          <w:w w:val="105"/>
        </w:rPr>
        <w:t>or</w:t>
      </w:r>
      <w:r>
        <w:rPr>
          <w:spacing w:val="-2"/>
          <w:w w:val="105"/>
        </w:rPr>
        <w:t> </w:t>
      </w:r>
      <w:r>
        <w:rPr>
          <w:w w:val="105"/>
        </w:rPr>
        <w:t>lower</w:t>
      </w:r>
      <w:r>
        <w:rPr>
          <w:spacing w:val="-2"/>
          <w:w w:val="105"/>
        </w:rPr>
        <w:t> </w:t>
      </w:r>
      <w:r>
        <w:rPr>
          <w:w w:val="105"/>
        </w:rPr>
        <w:t>revenues,</w:t>
      </w:r>
      <w:r>
        <w:rPr>
          <w:spacing w:val="-2"/>
          <w:w w:val="105"/>
        </w:rPr>
        <w:t> </w:t>
      </w:r>
      <w:r>
        <w:rPr>
          <w:w w:val="105"/>
        </w:rPr>
        <w:t>Corning</w:t>
      </w:r>
      <w:r>
        <w:rPr>
          <w:spacing w:val="-2"/>
          <w:w w:val="105"/>
        </w:rPr>
        <w:t> </w:t>
      </w:r>
      <w:r>
        <w:rPr>
          <w:w w:val="105"/>
        </w:rPr>
        <w:t>must</w:t>
      </w:r>
      <w:r>
        <w:rPr>
          <w:spacing w:val="-2"/>
          <w:w w:val="105"/>
        </w:rPr>
        <w:t> </w:t>
      </w:r>
      <w:r>
        <w:rPr>
          <w:w w:val="105"/>
        </w:rPr>
        <w:t>continue</w:t>
      </w:r>
      <w:r>
        <w:rPr>
          <w:spacing w:val="-2"/>
          <w:w w:val="105"/>
        </w:rPr>
        <w:t> </w:t>
      </w:r>
      <w:r>
        <w:rPr>
          <w:w w:val="105"/>
        </w:rPr>
        <w:t>to</w:t>
      </w:r>
      <w:r>
        <w:rPr>
          <w:spacing w:val="-2"/>
          <w:w w:val="105"/>
        </w:rPr>
        <w:t> </w:t>
      </w:r>
      <w:r>
        <w:rPr>
          <w:w w:val="105"/>
        </w:rPr>
        <w:t>invest</w:t>
      </w:r>
      <w:r>
        <w:rPr>
          <w:spacing w:val="-2"/>
          <w:w w:val="105"/>
        </w:rPr>
        <w:t> </w:t>
      </w:r>
      <w:r>
        <w:rPr>
          <w:w w:val="105"/>
        </w:rPr>
        <w:t>in</w:t>
      </w:r>
      <w:r>
        <w:rPr>
          <w:spacing w:val="-2"/>
          <w:w w:val="105"/>
        </w:rPr>
        <w:t> </w:t>
      </w:r>
      <w:r>
        <w:rPr>
          <w:w w:val="105"/>
        </w:rPr>
        <w:t>research</w:t>
      </w:r>
      <w:r>
        <w:rPr>
          <w:spacing w:val="-2"/>
          <w:w w:val="105"/>
        </w:rPr>
        <w:t> </w:t>
      </w:r>
      <w:r>
        <w:rPr>
          <w:w w:val="105"/>
        </w:rPr>
        <w:t>and</w:t>
      </w:r>
      <w:r>
        <w:rPr>
          <w:spacing w:val="-2"/>
          <w:w w:val="105"/>
        </w:rPr>
        <w:t> </w:t>
      </w:r>
      <w:r>
        <w:rPr>
          <w:w w:val="105"/>
        </w:rPr>
        <w:t>development</w:t>
      </w:r>
      <w:r>
        <w:rPr>
          <w:spacing w:val="-2"/>
          <w:w w:val="105"/>
        </w:rPr>
        <w:t> </w:t>
      </w:r>
      <w:r>
        <w:rPr>
          <w:w w:val="105"/>
        </w:rPr>
        <w:t>and maintain</w:t>
      </w:r>
      <w:r>
        <w:rPr>
          <w:spacing w:val="-2"/>
          <w:w w:val="105"/>
        </w:rPr>
        <w:t> </w:t>
      </w:r>
      <w:r>
        <w:rPr>
          <w:w w:val="105"/>
        </w:rPr>
        <w:t>a</w:t>
      </w:r>
      <w:r>
        <w:rPr>
          <w:spacing w:val="-2"/>
          <w:w w:val="105"/>
        </w:rPr>
        <w:t> </w:t>
      </w:r>
      <w:r>
        <w:rPr>
          <w:w w:val="105"/>
        </w:rPr>
        <w:t>global</w:t>
      </w:r>
      <w:r>
        <w:rPr>
          <w:spacing w:val="-2"/>
          <w:w w:val="105"/>
        </w:rPr>
        <w:t> </w:t>
      </w:r>
      <w:r>
        <w:rPr>
          <w:w w:val="105"/>
        </w:rPr>
        <w:t>business</w:t>
      </w:r>
      <w:r>
        <w:rPr>
          <w:spacing w:val="-2"/>
          <w:w w:val="105"/>
        </w:rPr>
        <w:t> </w:t>
      </w:r>
      <w:r>
        <w:rPr>
          <w:w w:val="105"/>
        </w:rPr>
        <w:t>infrastructure</w:t>
      </w:r>
      <w:r>
        <w:rPr>
          <w:spacing w:val="-2"/>
          <w:w w:val="105"/>
        </w:rPr>
        <w:t> </w:t>
      </w:r>
      <w:r>
        <w:rPr>
          <w:w w:val="105"/>
        </w:rPr>
        <w:t>to compete effectively and support its customers, which can have a negative impact on its operating margins and earnings.</w:t>
      </w:r>
    </w:p>
    <w:p>
      <w:pPr>
        <w:pStyle w:val="BodyText"/>
        <w:spacing w:before="18"/>
      </w:pPr>
    </w:p>
    <w:p>
      <w:pPr>
        <w:pStyle w:val="BodyText"/>
        <w:ind w:left="48"/>
        <w:jc w:val="center"/>
      </w:pPr>
      <w:r>
        <w:rPr>
          <w:spacing w:val="-5"/>
          <w:w w:val="105"/>
        </w:rPr>
        <w:t>18</w:t>
      </w:r>
    </w:p>
    <w:p>
      <w:pPr>
        <w:pStyle w:val="BodyText"/>
        <w:rPr>
          <w:sz w:val="6"/>
        </w:rPr>
      </w:pPr>
      <w:r>
        <w:rPr/>
        <mc:AlternateContent>
          <mc:Choice Requires="wps">
            <w:drawing>
              <wp:anchor distT="0" distB="0" distL="0" distR="0" allowOverlap="1" layoutInCell="1" locked="0" behindDoc="1" simplePos="0" relativeHeight="487598080">
                <wp:simplePos x="0" y="0"/>
                <wp:positionH relativeFrom="page">
                  <wp:posOffset>226488</wp:posOffset>
                </wp:positionH>
                <wp:positionV relativeFrom="paragraph">
                  <wp:posOffset>59059</wp:posOffset>
                </wp:positionV>
                <wp:extent cx="7312659" cy="1651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0355pt;width:575.775087pt;height:1.273839pt;mso-position-horizontal-relative:page;mso-position-vertical-relative:paragraph;z-index:-15718400;mso-wrap-distance-left:0;mso-wrap-distance-right:0" id="docshape22"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BodyText"/>
        <w:ind w:left="156"/>
      </w:pPr>
      <w:r>
        <w:rPr>
          <w:w w:val="105"/>
        </w:rPr>
        <w:t>We</w:t>
      </w:r>
      <w:r>
        <w:rPr>
          <w:spacing w:val="-8"/>
          <w:w w:val="105"/>
        </w:rPr>
        <w:t> </w:t>
      </w:r>
      <w:r>
        <w:rPr>
          <w:w w:val="105"/>
        </w:rPr>
        <w:t>are</w:t>
      </w:r>
      <w:r>
        <w:rPr>
          <w:spacing w:val="-8"/>
          <w:w w:val="105"/>
        </w:rPr>
        <w:t> </w:t>
      </w:r>
      <w:r>
        <w:rPr>
          <w:w w:val="105"/>
        </w:rPr>
        <w:t>also</w:t>
      </w:r>
      <w:r>
        <w:rPr>
          <w:spacing w:val="-7"/>
          <w:w w:val="105"/>
        </w:rPr>
        <w:t> </w:t>
      </w:r>
      <w:r>
        <w:rPr>
          <w:w w:val="105"/>
        </w:rPr>
        <w:t>subject</w:t>
      </w:r>
      <w:r>
        <w:rPr>
          <w:spacing w:val="-8"/>
          <w:w w:val="105"/>
        </w:rPr>
        <w:t> </w:t>
      </w:r>
      <w:r>
        <w:rPr>
          <w:w w:val="105"/>
        </w:rPr>
        <w:t>to</w:t>
      </w:r>
      <w:r>
        <w:rPr>
          <w:spacing w:val="-6"/>
          <w:w w:val="105"/>
        </w:rPr>
        <w:t> </w:t>
      </w:r>
      <w:r>
        <w:rPr>
          <w:w w:val="105"/>
        </w:rPr>
        <w:t>a</w:t>
      </w:r>
      <w:r>
        <w:rPr>
          <w:spacing w:val="-7"/>
          <w:w w:val="105"/>
        </w:rPr>
        <w:t> </w:t>
      </w:r>
      <w:r>
        <w:rPr>
          <w:w w:val="105"/>
        </w:rPr>
        <w:t>variety</w:t>
      </w:r>
      <w:r>
        <w:rPr>
          <w:spacing w:val="-8"/>
          <w:w w:val="105"/>
        </w:rPr>
        <w:t> </w:t>
      </w:r>
      <w:r>
        <w:rPr>
          <w:w w:val="105"/>
        </w:rPr>
        <w:t>of</w:t>
      </w:r>
      <w:r>
        <w:rPr>
          <w:spacing w:val="-8"/>
          <w:w w:val="105"/>
        </w:rPr>
        <w:t> </w:t>
      </w:r>
      <w:r>
        <w:rPr>
          <w:w w:val="105"/>
        </w:rPr>
        <w:t>other</w:t>
      </w:r>
      <w:r>
        <w:rPr>
          <w:spacing w:val="-7"/>
          <w:w w:val="105"/>
        </w:rPr>
        <w:t> </w:t>
      </w:r>
      <w:r>
        <w:rPr>
          <w:w w:val="105"/>
        </w:rPr>
        <w:t>risks</w:t>
      </w:r>
      <w:r>
        <w:rPr>
          <w:spacing w:val="-8"/>
          <w:w w:val="105"/>
        </w:rPr>
        <w:t> </w:t>
      </w:r>
      <w:r>
        <w:rPr>
          <w:w w:val="105"/>
        </w:rPr>
        <w:t>in</w:t>
      </w:r>
      <w:r>
        <w:rPr>
          <w:spacing w:val="-6"/>
          <w:w w:val="105"/>
        </w:rPr>
        <w:t> </w:t>
      </w:r>
      <w:r>
        <w:rPr>
          <w:w w:val="105"/>
        </w:rPr>
        <w:t>managing</w:t>
      </w:r>
      <w:r>
        <w:rPr>
          <w:spacing w:val="-7"/>
          <w:w w:val="105"/>
        </w:rPr>
        <w:t> </w:t>
      </w:r>
      <w:r>
        <w:rPr>
          <w:w w:val="105"/>
        </w:rPr>
        <w:t>a</w:t>
      </w:r>
      <w:r>
        <w:rPr>
          <w:spacing w:val="-8"/>
          <w:w w:val="105"/>
        </w:rPr>
        <w:t> </w:t>
      </w:r>
      <w:r>
        <w:rPr>
          <w:w w:val="105"/>
        </w:rPr>
        <w:t>global</w:t>
      </w:r>
      <w:r>
        <w:rPr>
          <w:spacing w:val="-8"/>
          <w:w w:val="105"/>
        </w:rPr>
        <w:t> </w:t>
      </w:r>
      <w:r>
        <w:rPr>
          <w:w w:val="105"/>
        </w:rPr>
        <w:t>organization,</w:t>
      </w:r>
      <w:r>
        <w:rPr>
          <w:spacing w:val="-7"/>
          <w:w w:val="105"/>
        </w:rPr>
        <w:t> </w:t>
      </w:r>
      <w:r>
        <w:rPr>
          <w:w w:val="105"/>
        </w:rPr>
        <w:t>including</w:t>
      </w:r>
      <w:r>
        <w:rPr>
          <w:spacing w:val="-8"/>
          <w:w w:val="105"/>
        </w:rPr>
        <w:t> </w:t>
      </w:r>
      <w:r>
        <w:rPr>
          <w:w w:val="105"/>
        </w:rPr>
        <w:t>those</w:t>
      </w:r>
      <w:r>
        <w:rPr>
          <w:spacing w:val="-7"/>
          <w:w w:val="105"/>
        </w:rPr>
        <w:t> </w:t>
      </w:r>
      <w:r>
        <w:rPr>
          <w:w w:val="105"/>
        </w:rPr>
        <w:t>related</w:t>
      </w:r>
      <w:r>
        <w:rPr>
          <w:spacing w:val="-8"/>
          <w:w w:val="105"/>
        </w:rPr>
        <w:t> </w:t>
      </w:r>
      <w:r>
        <w:rPr>
          <w:spacing w:val="-5"/>
          <w:w w:val="105"/>
        </w:rPr>
        <w:t>to:</w:t>
      </w:r>
    </w:p>
    <w:p>
      <w:pPr>
        <w:pStyle w:val="BodyText"/>
        <w:spacing w:before="40"/>
      </w:pPr>
    </w:p>
    <w:p>
      <w:pPr>
        <w:pStyle w:val="ListParagraph"/>
        <w:numPr>
          <w:ilvl w:val="0"/>
          <w:numId w:val="5"/>
        </w:numPr>
        <w:tabs>
          <w:tab w:pos="462" w:val="left" w:leader="none"/>
        </w:tabs>
        <w:spacing w:line="240" w:lineRule="auto" w:before="0" w:after="0"/>
        <w:ind w:left="462" w:right="0" w:hanging="306"/>
        <w:jc w:val="left"/>
        <w:rPr>
          <w:sz w:val="16"/>
        </w:rPr>
      </w:pPr>
      <w:r>
        <w:rPr>
          <w:w w:val="105"/>
          <w:sz w:val="16"/>
        </w:rPr>
        <w:t>The</w:t>
      </w:r>
      <w:r>
        <w:rPr>
          <w:spacing w:val="-9"/>
          <w:w w:val="105"/>
          <w:sz w:val="16"/>
        </w:rPr>
        <w:t> </w:t>
      </w:r>
      <w:r>
        <w:rPr>
          <w:w w:val="105"/>
          <w:sz w:val="16"/>
        </w:rPr>
        <w:t>economic</w:t>
      </w:r>
      <w:r>
        <w:rPr>
          <w:spacing w:val="-9"/>
          <w:w w:val="105"/>
          <w:sz w:val="16"/>
        </w:rPr>
        <w:t> </w:t>
      </w:r>
      <w:r>
        <w:rPr>
          <w:w w:val="105"/>
          <w:sz w:val="16"/>
        </w:rPr>
        <w:t>and</w:t>
      </w:r>
      <w:r>
        <w:rPr>
          <w:spacing w:val="-9"/>
          <w:w w:val="105"/>
          <w:sz w:val="16"/>
        </w:rPr>
        <w:t> </w:t>
      </w:r>
      <w:r>
        <w:rPr>
          <w:w w:val="105"/>
          <w:sz w:val="16"/>
        </w:rPr>
        <w:t>political</w:t>
      </w:r>
      <w:r>
        <w:rPr>
          <w:spacing w:val="-9"/>
          <w:w w:val="105"/>
          <w:sz w:val="16"/>
        </w:rPr>
        <w:t> </w:t>
      </w:r>
      <w:r>
        <w:rPr>
          <w:w w:val="105"/>
          <w:sz w:val="16"/>
        </w:rPr>
        <w:t>conditions</w:t>
      </w:r>
      <w:r>
        <w:rPr>
          <w:spacing w:val="-8"/>
          <w:w w:val="105"/>
          <w:sz w:val="16"/>
        </w:rPr>
        <w:t> </w:t>
      </w:r>
      <w:r>
        <w:rPr>
          <w:w w:val="105"/>
          <w:sz w:val="16"/>
        </w:rPr>
        <w:t>in</w:t>
      </w:r>
      <w:r>
        <w:rPr>
          <w:spacing w:val="-9"/>
          <w:w w:val="105"/>
          <w:sz w:val="16"/>
        </w:rPr>
        <w:t> </w:t>
      </w:r>
      <w:r>
        <w:rPr>
          <w:w w:val="105"/>
          <w:sz w:val="16"/>
        </w:rPr>
        <w:t>each</w:t>
      </w:r>
      <w:r>
        <w:rPr>
          <w:spacing w:val="-9"/>
          <w:w w:val="105"/>
          <w:sz w:val="16"/>
        </w:rPr>
        <w:t> </w:t>
      </w:r>
      <w:r>
        <w:rPr>
          <w:w w:val="105"/>
          <w:sz w:val="16"/>
        </w:rPr>
        <w:t>country</w:t>
      </w:r>
      <w:r>
        <w:rPr>
          <w:spacing w:val="-9"/>
          <w:w w:val="105"/>
          <w:sz w:val="16"/>
        </w:rPr>
        <w:t> </w:t>
      </w:r>
      <w:r>
        <w:rPr>
          <w:w w:val="105"/>
          <w:sz w:val="16"/>
        </w:rPr>
        <w:t>or</w:t>
      </w:r>
      <w:r>
        <w:rPr>
          <w:spacing w:val="-8"/>
          <w:w w:val="105"/>
          <w:sz w:val="16"/>
        </w:rPr>
        <w:t> </w:t>
      </w:r>
      <w:r>
        <w:rPr>
          <w:w w:val="105"/>
          <w:sz w:val="16"/>
        </w:rPr>
        <w:t>region</w:t>
      </w:r>
      <w:r>
        <w:rPr>
          <w:spacing w:val="-9"/>
          <w:w w:val="105"/>
          <w:sz w:val="16"/>
        </w:rPr>
        <w:t> </w:t>
      </w:r>
      <w:r>
        <w:rPr>
          <w:w w:val="105"/>
          <w:sz w:val="16"/>
        </w:rPr>
        <w:t>and</w:t>
      </w:r>
      <w:r>
        <w:rPr>
          <w:spacing w:val="-9"/>
          <w:w w:val="105"/>
          <w:sz w:val="16"/>
        </w:rPr>
        <w:t> </w:t>
      </w:r>
      <w:r>
        <w:rPr>
          <w:w w:val="105"/>
          <w:sz w:val="16"/>
        </w:rPr>
        <w:t>among</w:t>
      </w:r>
      <w:r>
        <w:rPr>
          <w:spacing w:val="-9"/>
          <w:w w:val="105"/>
          <w:sz w:val="16"/>
        </w:rPr>
        <w:t> </w:t>
      </w:r>
      <w:r>
        <w:rPr>
          <w:spacing w:val="-2"/>
          <w:w w:val="105"/>
          <w:sz w:val="16"/>
        </w:rPr>
        <w:t>countries;</w:t>
      </w:r>
    </w:p>
    <w:p>
      <w:pPr>
        <w:pStyle w:val="ListParagraph"/>
        <w:numPr>
          <w:ilvl w:val="0"/>
          <w:numId w:val="5"/>
        </w:numPr>
        <w:tabs>
          <w:tab w:pos="462" w:val="left" w:leader="none"/>
        </w:tabs>
        <w:spacing w:line="266" w:lineRule="auto" w:before="20" w:after="0"/>
        <w:ind w:left="462" w:right="108" w:hanging="306"/>
        <w:jc w:val="left"/>
        <w:rPr>
          <w:sz w:val="16"/>
        </w:rPr>
      </w:pPr>
      <w:r>
        <w:rPr>
          <w:w w:val="105"/>
          <w:sz w:val="16"/>
        </w:rPr>
        <w:t>Complex</w:t>
      </w:r>
      <w:r>
        <w:rPr>
          <w:spacing w:val="-10"/>
          <w:w w:val="105"/>
          <w:sz w:val="16"/>
        </w:rPr>
        <w:t> </w:t>
      </w:r>
      <w:r>
        <w:rPr>
          <w:w w:val="105"/>
          <w:sz w:val="16"/>
        </w:rPr>
        <w:t>regulatory</w:t>
      </w:r>
      <w:r>
        <w:rPr>
          <w:spacing w:val="-10"/>
          <w:w w:val="105"/>
          <w:sz w:val="16"/>
        </w:rPr>
        <w:t> </w:t>
      </w:r>
      <w:r>
        <w:rPr>
          <w:w w:val="105"/>
          <w:sz w:val="16"/>
        </w:rPr>
        <w:t>requirements</w:t>
      </w:r>
      <w:r>
        <w:rPr>
          <w:spacing w:val="-10"/>
          <w:w w:val="105"/>
          <w:sz w:val="16"/>
        </w:rPr>
        <w:t> </w:t>
      </w:r>
      <w:r>
        <w:rPr>
          <w:w w:val="105"/>
          <w:sz w:val="16"/>
        </w:rPr>
        <w:t>affecting</w:t>
      </w:r>
      <w:r>
        <w:rPr>
          <w:spacing w:val="-10"/>
          <w:w w:val="105"/>
          <w:sz w:val="16"/>
        </w:rPr>
        <w:t> </w:t>
      </w:r>
      <w:r>
        <w:rPr>
          <w:w w:val="105"/>
          <w:sz w:val="16"/>
        </w:rPr>
        <w:t>international</w:t>
      </w:r>
      <w:r>
        <w:rPr>
          <w:spacing w:val="-10"/>
          <w:w w:val="105"/>
          <w:sz w:val="16"/>
        </w:rPr>
        <w:t> </w:t>
      </w:r>
      <w:r>
        <w:rPr>
          <w:w w:val="105"/>
          <w:sz w:val="16"/>
        </w:rPr>
        <w:t>trade</w:t>
      </w:r>
      <w:r>
        <w:rPr>
          <w:spacing w:val="-10"/>
          <w:w w:val="105"/>
          <w:sz w:val="16"/>
        </w:rPr>
        <w:t> </w:t>
      </w:r>
      <w:r>
        <w:rPr>
          <w:w w:val="105"/>
          <w:sz w:val="16"/>
        </w:rPr>
        <w:t>and</w:t>
      </w:r>
      <w:r>
        <w:rPr>
          <w:spacing w:val="-10"/>
          <w:w w:val="105"/>
          <w:sz w:val="16"/>
        </w:rPr>
        <w:t> </w:t>
      </w:r>
      <w:r>
        <w:rPr>
          <w:w w:val="105"/>
          <w:sz w:val="16"/>
        </w:rPr>
        <w:t>investment,</w:t>
      </w:r>
      <w:r>
        <w:rPr>
          <w:spacing w:val="-10"/>
          <w:w w:val="105"/>
          <w:sz w:val="16"/>
        </w:rPr>
        <w:t> </w:t>
      </w:r>
      <w:r>
        <w:rPr>
          <w:w w:val="105"/>
          <w:sz w:val="16"/>
        </w:rPr>
        <w:t>including</w:t>
      </w:r>
      <w:r>
        <w:rPr>
          <w:spacing w:val="-10"/>
          <w:w w:val="105"/>
          <w:sz w:val="16"/>
        </w:rPr>
        <w:t> </w:t>
      </w:r>
      <w:r>
        <w:rPr>
          <w:w w:val="105"/>
          <w:sz w:val="16"/>
        </w:rPr>
        <w:t>anti-dumping</w:t>
      </w:r>
      <w:r>
        <w:rPr>
          <w:spacing w:val="-10"/>
          <w:w w:val="105"/>
          <w:sz w:val="16"/>
        </w:rPr>
        <w:t> </w:t>
      </w:r>
      <w:r>
        <w:rPr>
          <w:w w:val="105"/>
          <w:sz w:val="16"/>
        </w:rPr>
        <w:t>laws,</w:t>
      </w:r>
      <w:r>
        <w:rPr>
          <w:spacing w:val="-10"/>
          <w:w w:val="105"/>
          <w:sz w:val="16"/>
        </w:rPr>
        <w:t> </w:t>
      </w:r>
      <w:r>
        <w:rPr>
          <w:w w:val="105"/>
          <w:sz w:val="16"/>
        </w:rPr>
        <w:t>export</w:t>
      </w:r>
      <w:r>
        <w:rPr>
          <w:spacing w:val="-10"/>
          <w:w w:val="105"/>
          <w:sz w:val="16"/>
        </w:rPr>
        <w:t> </w:t>
      </w:r>
      <w:r>
        <w:rPr>
          <w:w w:val="105"/>
          <w:sz w:val="16"/>
        </w:rPr>
        <w:t>controls,</w:t>
      </w:r>
      <w:r>
        <w:rPr>
          <w:spacing w:val="-10"/>
          <w:w w:val="105"/>
          <w:sz w:val="16"/>
        </w:rPr>
        <w:t> </w:t>
      </w:r>
      <w:r>
        <w:rPr>
          <w:w w:val="105"/>
          <w:sz w:val="16"/>
        </w:rPr>
        <w:t>the</w:t>
      </w:r>
      <w:r>
        <w:rPr>
          <w:spacing w:val="-10"/>
          <w:w w:val="105"/>
          <w:sz w:val="16"/>
        </w:rPr>
        <w:t> </w:t>
      </w:r>
      <w:r>
        <w:rPr>
          <w:w w:val="105"/>
          <w:sz w:val="16"/>
        </w:rPr>
        <w:t>Foreign</w:t>
      </w:r>
      <w:r>
        <w:rPr>
          <w:spacing w:val="-10"/>
          <w:w w:val="105"/>
          <w:sz w:val="16"/>
        </w:rPr>
        <w:t> </w:t>
      </w:r>
      <w:r>
        <w:rPr>
          <w:w w:val="105"/>
          <w:sz w:val="16"/>
        </w:rPr>
        <w:t>Corrupt</w:t>
      </w:r>
      <w:r>
        <w:rPr>
          <w:spacing w:val="-10"/>
          <w:w w:val="105"/>
          <w:sz w:val="16"/>
        </w:rPr>
        <w:t> </w:t>
      </w:r>
      <w:r>
        <w:rPr>
          <w:w w:val="105"/>
          <w:sz w:val="16"/>
        </w:rPr>
        <w:t>Practices</w:t>
      </w:r>
      <w:r>
        <w:rPr>
          <w:spacing w:val="-10"/>
          <w:w w:val="105"/>
          <w:sz w:val="16"/>
        </w:rPr>
        <w:t> </w:t>
      </w:r>
      <w:r>
        <w:rPr>
          <w:w w:val="105"/>
          <w:sz w:val="16"/>
        </w:rPr>
        <w:t>Act</w:t>
      </w:r>
      <w:r>
        <w:rPr>
          <w:spacing w:val="-10"/>
          <w:w w:val="105"/>
          <w:sz w:val="16"/>
        </w:rPr>
        <w:t> </w:t>
      </w:r>
      <w:r>
        <w:rPr>
          <w:w w:val="105"/>
          <w:sz w:val="16"/>
        </w:rPr>
        <w:t>and</w:t>
      </w:r>
      <w:r>
        <w:rPr>
          <w:spacing w:val="-10"/>
          <w:w w:val="105"/>
          <w:sz w:val="16"/>
        </w:rPr>
        <w:t> </w:t>
      </w:r>
      <w:r>
        <w:rPr>
          <w:w w:val="105"/>
          <w:sz w:val="16"/>
        </w:rPr>
        <w:t>local laws</w:t>
      </w:r>
      <w:r>
        <w:rPr>
          <w:spacing w:val="-2"/>
          <w:w w:val="105"/>
          <w:sz w:val="16"/>
        </w:rPr>
        <w:t> </w:t>
      </w:r>
      <w:r>
        <w:rPr>
          <w:w w:val="105"/>
          <w:sz w:val="16"/>
        </w:rPr>
        <w:t>prohibiting</w:t>
      </w:r>
      <w:r>
        <w:rPr>
          <w:spacing w:val="-2"/>
          <w:w w:val="105"/>
          <w:sz w:val="16"/>
        </w:rPr>
        <w:t> </w:t>
      </w:r>
      <w:r>
        <w:rPr>
          <w:w w:val="105"/>
          <w:sz w:val="16"/>
        </w:rPr>
        <w:t>improper</w:t>
      </w:r>
      <w:r>
        <w:rPr>
          <w:spacing w:val="-2"/>
          <w:w w:val="105"/>
          <w:sz w:val="16"/>
        </w:rPr>
        <w:t> </w:t>
      </w:r>
      <w:r>
        <w:rPr>
          <w:w w:val="105"/>
          <w:sz w:val="16"/>
        </w:rPr>
        <w:t>payments.</w:t>
      </w:r>
      <w:r>
        <w:rPr>
          <w:spacing w:val="-2"/>
          <w:w w:val="105"/>
          <w:sz w:val="16"/>
        </w:rPr>
        <w:t> </w:t>
      </w:r>
      <w:r>
        <w:rPr>
          <w:w w:val="105"/>
          <w:sz w:val="16"/>
        </w:rPr>
        <w:t>Our</w:t>
      </w:r>
      <w:r>
        <w:rPr>
          <w:spacing w:val="-2"/>
          <w:w w:val="105"/>
          <w:sz w:val="16"/>
        </w:rPr>
        <w:t> </w:t>
      </w:r>
      <w:r>
        <w:rPr>
          <w:w w:val="105"/>
          <w:sz w:val="16"/>
        </w:rPr>
        <w:t>operations</w:t>
      </w:r>
      <w:r>
        <w:rPr>
          <w:spacing w:val="-2"/>
          <w:w w:val="105"/>
          <w:sz w:val="16"/>
        </w:rPr>
        <w:t> </w:t>
      </w:r>
      <w:r>
        <w:rPr>
          <w:w w:val="105"/>
          <w:sz w:val="16"/>
        </w:rPr>
        <w:t>may</w:t>
      </w:r>
      <w:r>
        <w:rPr>
          <w:spacing w:val="-2"/>
          <w:w w:val="105"/>
          <w:sz w:val="16"/>
        </w:rPr>
        <w:t> </w:t>
      </w:r>
      <w:r>
        <w:rPr>
          <w:w w:val="105"/>
          <w:sz w:val="16"/>
        </w:rPr>
        <w:t>be</w:t>
      </w:r>
      <w:r>
        <w:rPr>
          <w:spacing w:val="-2"/>
          <w:w w:val="105"/>
          <w:sz w:val="16"/>
        </w:rPr>
        <w:t> </w:t>
      </w:r>
      <w:r>
        <w:rPr>
          <w:w w:val="105"/>
          <w:sz w:val="16"/>
        </w:rPr>
        <w:t>adversely</w:t>
      </w:r>
      <w:r>
        <w:rPr>
          <w:spacing w:val="-2"/>
          <w:w w:val="105"/>
          <w:sz w:val="16"/>
        </w:rPr>
        <w:t> </w:t>
      </w:r>
      <w:r>
        <w:rPr>
          <w:w w:val="105"/>
          <w:sz w:val="16"/>
        </w:rPr>
        <w:t>affected</w:t>
      </w:r>
      <w:r>
        <w:rPr>
          <w:spacing w:val="-2"/>
          <w:w w:val="105"/>
          <w:sz w:val="16"/>
        </w:rPr>
        <w:t> </w:t>
      </w:r>
      <w:r>
        <w:rPr>
          <w:w w:val="105"/>
          <w:sz w:val="16"/>
        </w:rPr>
        <w:t>by</w:t>
      </w:r>
      <w:r>
        <w:rPr>
          <w:spacing w:val="-2"/>
          <w:w w:val="105"/>
          <w:sz w:val="16"/>
        </w:rPr>
        <w:t> </w:t>
      </w:r>
      <w:r>
        <w:rPr>
          <w:w w:val="105"/>
          <w:sz w:val="16"/>
        </w:rPr>
        <w:t>changes in</w:t>
      </w:r>
      <w:r>
        <w:rPr>
          <w:spacing w:val="-2"/>
          <w:w w:val="105"/>
          <w:sz w:val="16"/>
        </w:rPr>
        <w:t> </w:t>
      </w:r>
      <w:r>
        <w:rPr>
          <w:w w:val="105"/>
          <w:sz w:val="16"/>
        </w:rPr>
        <w:t>the</w:t>
      </w:r>
      <w:r>
        <w:rPr>
          <w:spacing w:val="-2"/>
          <w:w w:val="105"/>
          <w:sz w:val="16"/>
        </w:rPr>
        <w:t> </w:t>
      </w:r>
      <w:r>
        <w:rPr>
          <w:w w:val="105"/>
          <w:sz w:val="16"/>
        </w:rPr>
        <w:t>substance</w:t>
      </w:r>
      <w:r>
        <w:rPr>
          <w:spacing w:val="-2"/>
          <w:w w:val="105"/>
          <w:sz w:val="16"/>
        </w:rPr>
        <w:t> </w:t>
      </w:r>
      <w:r>
        <w:rPr>
          <w:w w:val="105"/>
          <w:sz w:val="16"/>
        </w:rPr>
        <w:t>or</w:t>
      </w:r>
      <w:r>
        <w:rPr>
          <w:spacing w:val="-2"/>
          <w:w w:val="105"/>
          <w:sz w:val="16"/>
        </w:rPr>
        <w:t> </w:t>
      </w:r>
      <w:r>
        <w:rPr>
          <w:w w:val="105"/>
          <w:sz w:val="16"/>
        </w:rPr>
        <w:t>enforcement</w:t>
      </w:r>
      <w:r>
        <w:rPr>
          <w:spacing w:val="-2"/>
          <w:w w:val="105"/>
          <w:sz w:val="16"/>
        </w:rPr>
        <w:t> </w:t>
      </w:r>
      <w:r>
        <w:rPr>
          <w:w w:val="105"/>
          <w:sz w:val="16"/>
        </w:rPr>
        <w:t>of</w:t>
      </w:r>
      <w:r>
        <w:rPr>
          <w:spacing w:val="-2"/>
          <w:w w:val="105"/>
          <w:sz w:val="16"/>
        </w:rPr>
        <w:t> </w:t>
      </w:r>
      <w:r>
        <w:rPr>
          <w:w w:val="105"/>
          <w:sz w:val="16"/>
        </w:rPr>
        <w:t>these</w:t>
      </w:r>
      <w:r>
        <w:rPr>
          <w:spacing w:val="-2"/>
          <w:w w:val="105"/>
          <w:sz w:val="16"/>
        </w:rPr>
        <w:t> </w:t>
      </w:r>
      <w:r>
        <w:rPr>
          <w:w w:val="105"/>
          <w:sz w:val="16"/>
        </w:rPr>
        <w:t>regulatory requirements,</w:t>
      </w:r>
      <w:r>
        <w:rPr>
          <w:spacing w:val="-2"/>
          <w:w w:val="105"/>
          <w:sz w:val="16"/>
        </w:rPr>
        <w:t> </w:t>
      </w:r>
      <w:r>
        <w:rPr>
          <w:w w:val="105"/>
          <w:sz w:val="16"/>
        </w:rPr>
        <w:t>and</w:t>
      </w:r>
      <w:r>
        <w:rPr>
          <w:spacing w:val="-2"/>
          <w:w w:val="105"/>
          <w:sz w:val="16"/>
        </w:rPr>
        <w:t> </w:t>
      </w:r>
      <w:r>
        <w:rPr>
          <w:w w:val="105"/>
          <w:sz w:val="16"/>
        </w:rPr>
        <w:t>by actual or alleged violations of them;</w:t>
      </w:r>
    </w:p>
    <w:p>
      <w:pPr>
        <w:pStyle w:val="ListParagraph"/>
        <w:numPr>
          <w:ilvl w:val="0"/>
          <w:numId w:val="5"/>
        </w:numPr>
        <w:tabs>
          <w:tab w:pos="462" w:val="left" w:leader="none"/>
        </w:tabs>
        <w:spacing w:line="183" w:lineRule="exact" w:before="0" w:after="0"/>
        <w:ind w:left="462" w:right="0" w:hanging="306"/>
        <w:jc w:val="left"/>
        <w:rPr>
          <w:sz w:val="16"/>
        </w:rPr>
      </w:pPr>
      <w:r>
        <w:rPr>
          <w:sz w:val="16"/>
        </w:rPr>
        <w:t>Fluctuations</w:t>
      </w:r>
      <w:r>
        <w:rPr>
          <w:spacing w:val="13"/>
          <w:sz w:val="16"/>
        </w:rPr>
        <w:t> </w:t>
      </w:r>
      <w:r>
        <w:rPr>
          <w:sz w:val="16"/>
        </w:rPr>
        <w:t>in</w:t>
      </w:r>
      <w:r>
        <w:rPr>
          <w:spacing w:val="14"/>
          <w:sz w:val="16"/>
        </w:rPr>
        <w:t> </w:t>
      </w:r>
      <w:r>
        <w:rPr>
          <w:sz w:val="16"/>
        </w:rPr>
        <w:t>currency</w:t>
      </w:r>
      <w:r>
        <w:rPr>
          <w:spacing w:val="13"/>
          <w:sz w:val="16"/>
        </w:rPr>
        <w:t> </w:t>
      </w:r>
      <w:r>
        <w:rPr>
          <w:sz w:val="16"/>
        </w:rPr>
        <w:t>exchange</w:t>
      </w:r>
      <w:r>
        <w:rPr>
          <w:spacing w:val="14"/>
          <w:sz w:val="16"/>
        </w:rPr>
        <w:t> </w:t>
      </w:r>
      <w:r>
        <w:rPr>
          <w:sz w:val="16"/>
        </w:rPr>
        <w:t>rates,</w:t>
      </w:r>
      <w:r>
        <w:rPr>
          <w:spacing w:val="14"/>
          <w:sz w:val="16"/>
        </w:rPr>
        <w:t> </w:t>
      </w:r>
      <w:r>
        <w:rPr>
          <w:sz w:val="16"/>
        </w:rPr>
        <w:t>convertibility</w:t>
      </w:r>
      <w:r>
        <w:rPr>
          <w:spacing w:val="13"/>
          <w:sz w:val="16"/>
        </w:rPr>
        <w:t> </w:t>
      </w:r>
      <w:r>
        <w:rPr>
          <w:sz w:val="16"/>
        </w:rPr>
        <w:t>of</w:t>
      </w:r>
      <w:r>
        <w:rPr>
          <w:spacing w:val="14"/>
          <w:sz w:val="16"/>
        </w:rPr>
        <w:t> </w:t>
      </w:r>
      <w:r>
        <w:rPr>
          <w:sz w:val="16"/>
        </w:rPr>
        <w:t>currencies</w:t>
      </w:r>
      <w:r>
        <w:rPr>
          <w:spacing w:val="14"/>
          <w:sz w:val="16"/>
        </w:rPr>
        <w:t> </w:t>
      </w:r>
      <w:r>
        <w:rPr>
          <w:sz w:val="16"/>
        </w:rPr>
        <w:t>and</w:t>
      </w:r>
      <w:r>
        <w:rPr>
          <w:spacing w:val="13"/>
          <w:sz w:val="16"/>
        </w:rPr>
        <w:t> </w:t>
      </w:r>
      <w:r>
        <w:rPr>
          <w:sz w:val="16"/>
        </w:rPr>
        <w:t>restrictions</w:t>
      </w:r>
      <w:r>
        <w:rPr>
          <w:spacing w:val="14"/>
          <w:sz w:val="16"/>
        </w:rPr>
        <w:t> </w:t>
      </w:r>
      <w:r>
        <w:rPr>
          <w:sz w:val="16"/>
        </w:rPr>
        <w:t>involving</w:t>
      </w:r>
      <w:r>
        <w:rPr>
          <w:spacing w:val="13"/>
          <w:sz w:val="16"/>
        </w:rPr>
        <w:t> </w:t>
      </w:r>
      <w:r>
        <w:rPr>
          <w:sz w:val="16"/>
        </w:rPr>
        <w:t>the</w:t>
      </w:r>
      <w:r>
        <w:rPr>
          <w:spacing w:val="14"/>
          <w:sz w:val="16"/>
        </w:rPr>
        <w:t> </w:t>
      </w:r>
      <w:r>
        <w:rPr>
          <w:sz w:val="16"/>
        </w:rPr>
        <w:t>movement</w:t>
      </w:r>
      <w:r>
        <w:rPr>
          <w:spacing w:val="14"/>
          <w:sz w:val="16"/>
        </w:rPr>
        <w:t> </w:t>
      </w:r>
      <w:r>
        <w:rPr>
          <w:sz w:val="16"/>
        </w:rPr>
        <w:t>of</w:t>
      </w:r>
      <w:r>
        <w:rPr>
          <w:spacing w:val="13"/>
          <w:sz w:val="16"/>
        </w:rPr>
        <w:t> </w:t>
      </w:r>
      <w:r>
        <w:rPr>
          <w:sz w:val="16"/>
        </w:rPr>
        <w:t>funds</w:t>
      </w:r>
      <w:r>
        <w:rPr>
          <w:spacing w:val="14"/>
          <w:sz w:val="16"/>
        </w:rPr>
        <w:t> </w:t>
      </w:r>
      <w:r>
        <w:rPr>
          <w:sz w:val="16"/>
        </w:rPr>
        <w:t>between</w:t>
      </w:r>
      <w:r>
        <w:rPr>
          <w:spacing w:val="14"/>
          <w:sz w:val="16"/>
        </w:rPr>
        <w:t> </w:t>
      </w:r>
      <w:r>
        <w:rPr>
          <w:sz w:val="16"/>
        </w:rPr>
        <w:t>jurisdictions</w:t>
      </w:r>
      <w:r>
        <w:rPr>
          <w:spacing w:val="13"/>
          <w:sz w:val="16"/>
        </w:rPr>
        <w:t> </w:t>
      </w:r>
      <w:r>
        <w:rPr>
          <w:sz w:val="16"/>
        </w:rPr>
        <w:t>and</w:t>
      </w:r>
      <w:r>
        <w:rPr>
          <w:spacing w:val="14"/>
          <w:sz w:val="16"/>
        </w:rPr>
        <w:t> </w:t>
      </w:r>
      <w:r>
        <w:rPr>
          <w:spacing w:val="-2"/>
          <w:sz w:val="16"/>
        </w:rPr>
        <w:t>countries;</w:t>
      </w:r>
    </w:p>
    <w:p>
      <w:pPr>
        <w:pStyle w:val="ListParagraph"/>
        <w:numPr>
          <w:ilvl w:val="0"/>
          <w:numId w:val="5"/>
        </w:numPr>
        <w:tabs>
          <w:tab w:pos="462" w:val="left" w:leader="none"/>
        </w:tabs>
        <w:spacing w:line="240" w:lineRule="auto" w:before="19" w:after="0"/>
        <w:ind w:left="462" w:right="0" w:hanging="306"/>
        <w:jc w:val="left"/>
        <w:rPr>
          <w:sz w:val="16"/>
        </w:rPr>
      </w:pPr>
      <w:r>
        <w:rPr>
          <w:sz w:val="16"/>
        </w:rPr>
        <w:t>Governmental</w:t>
      </w:r>
      <w:r>
        <w:rPr>
          <w:spacing w:val="15"/>
          <w:sz w:val="16"/>
        </w:rPr>
        <w:t> </w:t>
      </w:r>
      <w:r>
        <w:rPr>
          <w:sz w:val="16"/>
        </w:rPr>
        <w:t>protectionist</w:t>
      </w:r>
      <w:r>
        <w:rPr>
          <w:spacing w:val="15"/>
          <w:sz w:val="16"/>
        </w:rPr>
        <w:t> </w:t>
      </w:r>
      <w:r>
        <w:rPr>
          <w:sz w:val="16"/>
        </w:rPr>
        <w:t>policies</w:t>
      </w:r>
      <w:r>
        <w:rPr>
          <w:spacing w:val="15"/>
          <w:sz w:val="16"/>
        </w:rPr>
        <w:t> </w:t>
      </w:r>
      <w:r>
        <w:rPr>
          <w:sz w:val="16"/>
        </w:rPr>
        <w:t>and</w:t>
      </w:r>
      <w:r>
        <w:rPr>
          <w:spacing w:val="15"/>
          <w:sz w:val="16"/>
        </w:rPr>
        <w:t> </w:t>
      </w:r>
      <w:r>
        <w:rPr>
          <w:sz w:val="16"/>
        </w:rPr>
        <w:t>sovereign</w:t>
      </w:r>
      <w:r>
        <w:rPr>
          <w:spacing w:val="16"/>
          <w:sz w:val="16"/>
        </w:rPr>
        <w:t> </w:t>
      </w:r>
      <w:r>
        <w:rPr>
          <w:sz w:val="16"/>
        </w:rPr>
        <w:t>and</w:t>
      </w:r>
      <w:r>
        <w:rPr>
          <w:spacing w:val="15"/>
          <w:sz w:val="16"/>
        </w:rPr>
        <w:t> </w:t>
      </w:r>
      <w:r>
        <w:rPr>
          <w:sz w:val="16"/>
        </w:rPr>
        <w:t>political</w:t>
      </w:r>
      <w:r>
        <w:rPr>
          <w:spacing w:val="15"/>
          <w:sz w:val="16"/>
        </w:rPr>
        <w:t> </w:t>
      </w:r>
      <w:r>
        <w:rPr>
          <w:sz w:val="16"/>
        </w:rPr>
        <w:t>risks</w:t>
      </w:r>
      <w:r>
        <w:rPr>
          <w:spacing w:val="15"/>
          <w:sz w:val="16"/>
        </w:rPr>
        <w:t> </w:t>
      </w:r>
      <w:r>
        <w:rPr>
          <w:sz w:val="16"/>
        </w:rPr>
        <w:t>that</w:t>
      </w:r>
      <w:r>
        <w:rPr>
          <w:spacing w:val="16"/>
          <w:sz w:val="16"/>
        </w:rPr>
        <w:t> </w:t>
      </w:r>
      <w:r>
        <w:rPr>
          <w:sz w:val="16"/>
        </w:rPr>
        <w:t>may</w:t>
      </w:r>
      <w:r>
        <w:rPr>
          <w:spacing w:val="15"/>
          <w:sz w:val="16"/>
        </w:rPr>
        <w:t> </w:t>
      </w:r>
      <w:r>
        <w:rPr>
          <w:sz w:val="16"/>
        </w:rPr>
        <w:t>adversely</w:t>
      </w:r>
      <w:r>
        <w:rPr>
          <w:spacing w:val="15"/>
          <w:sz w:val="16"/>
        </w:rPr>
        <w:t> </w:t>
      </w:r>
      <w:r>
        <w:rPr>
          <w:sz w:val="16"/>
        </w:rPr>
        <w:t>affect</w:t>
      </w:r>
      <w:r>
        <w:rPr>
          <w:spacing w:val="15"/>
          <w:sz w:val="16"/>
        </w:rPr>
        <w:t> </w:t>
      </w:r>
      <w:r>
        <w:rPr>
          <w:sz w:val="16"/>
        </w:rPr>
        <w:t>Corning’s</w:t>
      </w:r>
      <w:r>
        <w:rPr>
          <w:spacing w:val="16"/>
          <w:sz w:val="16"/>
        </w:rPr>
        <w:t> </w:t>
      </w:r>
      <w:r>
        <w:rPr>
          <w:sz w:val="16"/>
        </w:rPr>
        <w:t>profitability</w:t>
      </w:r>
      <w:r>
        <w:rPr>
          <w:spacing w:val="15"/>
          <w:sz w:val="16"/>
        </w:rPr>
        <w:t> </w:t>
      </w:r>
      <w:r>
        <w:rPr>
          <w:sz w:val="16"/>
        </w:rPr>
        <w:t>and</w:t>
      </w:r>
      <w:r>
        <w:rPr>
          <w:spacing w:val="15"/>
          <w:sz w:val="16"/>
        </w:rPr>
        <w:t> </w:t>
      </w:r>
      <w:r>
        <w:rPr>
          <w:spacing w:val="-2"/>
          <w:sz w:val="16"/>
        </w:rPr>
        <w:t>assets;</w:t>
      </w:r>
    </w:p>
    <w:p>
      <w:pPr>
        <w:pStyle w:val="ListParagraph"/>
        <w:numPr>
          <w:ilvl w:val="0"/>
          <w:numId w:val="5"/>
        </w:numPr>
        <w:tabs>
          <w:tab w:pos="462" w:val="left" w:leader="none"/>
        </w:tabs>
        <w:spacing w:line="240" w:lineRule="auto" w:before="20" w:after="0"/>
        <w:ind w:left="462" w:right="0" w:hanging="306"/>
        <w:jc w:val="left"/>
        <w:rPr>
          <w:sz w:val="16"/>
        </w:rPr>
      </w:pPr>
      <w:r>
        <w:rPr>
          <w:w w:val="105"/>
          <w:sz w:val="16"/>
        </w:rPr>
        <w:t>Tariffs,</w:t>
      </w:r>
      <w:r>
        <w:rPr>
          <w:spacing w:val="-11"/>
          <w:w w:val="105"/>
          <w:sz w:val="16"/>
        </w:rPr>
        <w:t> </w:t>
      </w:r>
      <w:r>
        <w:rPr>
          <w:w w:val="105"/>
          <w:sz w:val="16"/>
        </w:rPr>
        <w:t>trade</w:t>
      </w:r>
      <w:r>
        <w:rPr>
          <w:spacing w:val="-10"/>
          <w:w w:val="105"/>
          <w:sz w:val="16"/>
        </w:rPr>
        <w:t> </w:t>
      </w:r>
      <w:r>
        <w:rPr>
          <w:w w:val="105"/>
          <w:sz w:val="16"/>
        </w:rPr>
        <w:t>duties</w:t>
      </w:r>
      <w:r>
        <w:rPr>
          <w:spacing w:val="-11"/>
          <w:w w:val="105"/>
          <w:sz w:val="16"/>
        </w:rPr>
        <w:t> </w:t>
      </w:r>
      <w:r>
        <w:rPr>
          <w:w w:val="105"/>
          <w:sz w:val="16"/>
        </w:rPr>
        <w:t>and</w:t>
      </w:r>
      <w:r>
        <w:rPr>
          <w:spacing w:val="-10"/>
          <w:w w:val="105"/>
          <w:sz w:val="16"/>
        </w:rPr>
        <w:t> </w:t>
      </w:r>
      <w:r>
        <w:rPr>
          <w:w w:val="105"/>
          <w:sz w:val="16"/>
        </w:rPr>
        <w:t>other</w:t>
      </w:r>
      <w:r>
        <w:rPr>
          <w:spacing w:val="-11"/>
          <w:w w:val="105"/>
          <w:sz w:val="16"/>
        </w:rPr>
        <w:t> </w:t>
      </w:r>
      <w:r>
        <w:rPr>
          <w:w w:val="105"/>
          <w:sz w:val="16"/>
        </w:rPr>
        <w:t>trade</w:t>
      </w:r>
      <w:r>
        <w:rPr>
          <w:spacing w:val="-10"/>
          <w:w w:val="105"/>
          <w:sz w:val="16"/>
        </w:rPr>
        <w:t> </w:t>
      </w:r>
      <w:r>
        <w:rPr>
          <w:w w:val="105"/>
          <w:sz w:val="16"/>
        </w:rPr>
        <w:t>barriers</w:t>
      </w:r>
      <w:r>
        <w:rPr>
          <w:spacing w:val="-10"/>
          <w:w w:val="105"/>
          <w:sz w:val="16"/>
        </w:rPr>
        <w:t> </w:t>
      </w:r>
      <w:r>
        <w:rPr>
          <w:w w:val="105"/>
          <w:sz w:val="16"/>
        </w:rPr>
        <w:t>including</w:t>
      </w:r>
      <w:r>
        <w:rPr>
          <w:spacing w:val="-11"/>
          <w:w w:val="105"/>
          <w:sz w:val="16"/>
        </w:rPr>
        <w:t> </w:t>
      </w:r>
      <w:r>
        <w:rPr>
          <w:w w:val="105"/>
          <w:sz w:val="16"/>
        </w:rPr>
        <w:t>anti-dumping</w:t>
      </w:r>
      <w:r>
        <w:rPr>
          <w:spacing w:val="-10"/>
          <w:w w:val="105"/>
          <w:sz w:val="16"/>
        </w:rPr>
        <w:t> </w:t>
      </w:r>
      <w:r>
        <w:rPr>
          <w:spacing w:val="-2"/>
          <w:w w:val="105"/>
          <w:sz w:val="16"/>
        </w:rPr>
        <w:t>duties;</w:t>
      </w:r>
    </w:p>
    <w:p>
      <w:pPr>
        <w:pStyle w:val="ListParagraph"/>
        <w:numPr>
          <w:ilvl w:val="0"/>
          <w:numId w:val="5"/>
        </w:numPr>
        <w:tabs>
          <w:tab w:pos="462" w:val="left" w:leader="none"/>
        </w:tabs>
        <w:spacing w:line="240" w:lineRule="auto" w:before="20" w:after="0"/>
        <w:ind w:left="462" w:right="0" w:hanging="306"/>
        <w:jc w:val="left"/>
        <w:rPr>
          <w:sz w:val="16"/>
        </w:rPr>
      </w:pPr>
      <w:r>
        <w:rPr>
          <w:w w:val="105"/>
          <w:sz w:val="16"/>
        </w:rPr>
        <w:t>Geographical</w:t>
      </w:r>
      <w:r>
        <w:rPr>
          <w:spacing w:val="-11"/>
          <w:w w:val="105"/>
          <w:sz w:val="16"/>
        </w:rPr>
        <w:t> </w:t>
      </w:r>
      <w:r>
        <w:rPr>
          <w:w w:val="105"/>
          <w:sz w:val="16"/>
        </w:rPr>
        <w:t>concentration</w:t>
      </w:r>
      <w:r>
        <w:rPr>
          <w:spacing w:val="-10"/>
          <w:w w:val="105"/>
          <w:sz w:val="16"/>
        </w:rPr>
        <w:t> </w:t>
      </w:r>
      <w:r>
        <w:rPr>
          <w:w w:val="105"/>
          <w:sz w:val="16"/>
        </w:rPr>
        <w:t>of</w:t>
      </w:r>
      <w:r>
        <w:rPr>
          <w:spacing w:val="-10"/>
          <w:w w:val="105"/>
          <w:sz w:val="16"/>
        </w:rPr>
        <w:t> </w:t>
      </w:r>
      <w:r>
        <w:rPr>
          <w:w w:val="105"/>
          <w:sz w:val="16"/>
        </w:rPr>
        <w:t>our</w:t>
      </w:r>
      <w:r>
        <w:rPr>
          <w:spacing w:val="-11"/>
          <w:w w:val="105"/>
          <w:sz w:val="16"/>
        </w:rPr>
        <w:t> </w:t>
      </w:r>
      <w:r>
        <w:rPr>
          <w:w w:val="105"/>
          <w:sz w:val="16"/>
        </w:rPr>
        <w:t>factories</w:t>
      </w:r>
      <w:r>
        <w:rPr>
          <w:spacing w:val="-10"/>
          <w:w w:val="105"/>
          <w:sz w:val="16"/>
        </w:rPr>
        <w:t> </w:t>
      </w:r>
      <w:r>
        <w:rPr>
          <w:w w:val="105"/>
          <w:sz w:val="16"/>
        </w:rPr>
        <w:t>and</w:t>
      </w:r>
      <w:r>
        <w:rPr>
          <w:spacing w:val="-10"/>
          <w:w w:val="105"/>
          <w:sz w:val="16"/>
        </w:rPr>
        <w:t> </w:t>
      </w:r>
      <w:r>
        <w:rPr>
          <w:w w:val="105"/>
          <w:sz w:val="16"/>
        </w:rPr>
        <w:t>operations,</w:t>
      </w:r>
      <w:r>
        <w:rPr>
          <w:spacing w:val="-10"/>
          <w:w w:val="105"/>
          <w:sz w:val="16"/>
        </w:rPr>
        <w:t> </w:t>
      </w:r>
      <w:r>
        <w:rPr>
          <w:w w:val="105"/>
          <w:sz w:val="16"/>
        </w:rPr>
        <w:t>and</w:t>
      </w:r>
      <w:r>
        <w:rPr>
          <w:spacing w:val="-11"/>
          <w:w w:val="105"/>
          <w:sz w:val="16"/>
        </w:rPr>
        <w:t> </w:t>
      </w:r>
      <w:r>
        <w:rPr>
          <w:w w:val="105"/>
          <w:sz w:val="16"/>
        </w:rPr>
        <w:t>regional</w:t>
      </w:r>
      <w:r>
        <w:rPr>
          <w:spacing w:val="-10"/>
          <w:w w:val="105"/>
          <w:sz w:val="16"/>
        </w:rPr>
        <w:t> </w:t>
      </w:r>
      <w:r>
        <w:rPr>
          <w:w w:val="105"/>
          <w:sz w:val="16"/>
        </w:rPr>
        <w:t>shifts</w:t>
      </w:r>
      <w:r>
        <w:rPr>
          <w:spacing w:val="-9"/>
          <w:w w:val="105"/>
          <w:sz w:val="16"/>
        </w:rPr>
        <w:t> </w:t>
      </w:r>
      <w:r>
        <w:rPr>
          <w:w w:val="105"/>
          <w:sz w:val="16"/>
        </w:rPr>
        <w:t>in</w:t>
      </w:r>
      <w:r>
        <w:rPr>
          <w:spacing w:val="-10"/>
          <w:w w:val="105"/>
          <w:sz w:val="16"/>
        </w:rPr>
        <w:t> </w:t>
      </w:r>
      <w:r>
        <w:rPr>
          <w:w w:val="105"/>
          <w:sz w:val="16"/>
        </w:rPr>
        <w:t>our</w:t>
      </w:r>
      <w:r>
        <w:rPr>
          <w:spacing w:val="-10"/>
          <w:w w:val="105"/>
          <w:sz w:val="16"/>
        </w:rPr>
        <w:t> </w:t>
      </w:r>
      <w:r>
        <w:rPr>
          <w:w w:val="105"/>
          <w:sz w:val="16"/>
        </w:rPr>
        <w:t>customer</w:t>
      </w:r>
      <w:r>
        <w:rPr>
          <w:spacing w:val="-10"/>
          <w:w w:val="105"/>
          <w:sz w:val="16"/>
        </w:rPr>
        <w:t> </w:t>
      </w:r>
      <w:r>
        <w:rPr>
          <w:spacing w:val="-2"/>
          <w:w w:val="105"/>
          <w:sz w:val="16"/>
        </w:rPr>
        <w:t>base;</w:t>
      </w:r>
    </w:p>
    <w:p>
      <w:pPr>
        <w:pStyle w:val="ListParagraph"/>
        <w:numPr>
          <w:ilvl w:val="0"/>
          <w:numId w:val="5"/>
        </w:numPr>
        <w:tabs>
          <w:tab w:pos="462" w:val="left" w:leader="none"/>
        </w:tabs>
        <w:spacing w:line="240" w:lineRule="auto" w:before="20" w:after="0"/>
        <w:ind w:left="462" w:right="0" w:hanging="306"/>
        <w:jc w:val="left"/>
        <w:rPr>
          <w:sz w:val="16"/>
        </w:rPr>
      </w:pPr>
      <w:r>
        <w:rPr>
          <w:w w:val="105"/>
          <w:sz w:val="16"/>
        </w:rPr>
        <w:t>Periodic</w:t>
      </w:r>
      <w:r>
        <w:rPr>
          <w:spacing w:val="-11"/>
          <w:w w:val="105"/>
          <w:sz w:val="16"/>
        </w:rPr>
        <w:t> </w:t>
      </w:r>
      <w:r>
        <w:rPr>
          <w:w w:val="105"/>
          <w:sz w:val="16"/>
        </w:rPr>
        <w:t>health</w:t>
      </w:r>
      <w:r>
        <w:rPr>
          <w:spacing w:val="-10"/>
          <w:w w:val="105"/>
          <w:sz w:val="16"/>
        </w:rPr>
        <w:t> </w:t>
      </w:r>
      <w:r>
        <w:rPr>
          <w:w w:val="105"/>
          <w:sz w:val="16"/>
        </w:rPr>
        <w:t>epidemic</w:t>
      </w:r>
      <w:r>
        <w:rPr>
          <w:spacing w:val="-11"/>
          <w:w w:val="105"/>
          <w:sz w:val="16"/>
        </w:rPr>
        <w:t> </w:t>
      </w:r>
      <w:r>
        <w:rPr>
          <w:w w:val="105"/>
          <w:sz w:val="16"/>
        </w:rPr>
        <w:t>or</w:t>
      </w:r>
      <w:r>
        <w:rPr>
          <w:spacing w:val="-10"/>
          <w:w w:val="105"/>
          <w:sz w:val="16"/>
        </w:rPr>
        <w:t> </w:t>
      </w:r>
      <w:r>
        <w:rPr>
          <w:w w:val="105"/>
          <w:sz w:val="16"/>
        </w:rPr>
        <w:t>pandemic</w:t>
      </w:r>
      <w:r>
        <w:rPr>
          <w:spacing w:val="-11"/>
          <w:w w:val="105"/>
          <w:sz w:val="16"/>
        </w:rPr>
        <w:t> </w:t>
      </w:r>
      <w:r>
        <w:rPr>
          <w:w w:val="105"/>
          <w:sz w:val="16"/>
        </w:rPr>
        <w:t>concerns,</w:t>
      </w:r>
      <w:r>
        <w:rPr>
          <w:spacing w:val="-10"/>
          <w:w w:val="105"/>
          <w:sz w:val="16"/>
        </w:rPr>
        <w:t> </w:t>
      </w:r>
      <w:r>
        <w:rPr>
          <w:w w:val="105"/>
          <w:sz w:val="16"/>
        </w:rPr>
        <w:t>such</w:t>
      </w:r>
      <w:r>
        <w:rPr>
          <w:spacing w:val="-9"/>
          <w:w w:val="105"/>
          <w:sz w:val="16"/>
        </w:rPr>
        <w:t> </w:t>
      </w:r>
      <w:r>
        <w:rPr>
          <w:w w:val="105"/>
          <w:sz w:val="16"/>
        </w:rPr>
        <w:t>as</w:t>
      </w:r>
      <w:r>
        <w:rPr>
          <w:spacing w:val="-11"/>
          <w:w w:val="105"/>
          <w:sz w:val="16"/>
        </w:rPr>
        <w:t> </w:t>
      </w:r>
      <w:r>
        <w:rPr>
          <w:w w:val="105"/>
          <w:sz w:val="16"/>
        </w:rPr>
        <w:t>COVID-</w:t>
      </w:r>
      <w:r>
        <w:rPr>
          <w:spacing w:val="-5"/>
          <w:w w:val="105"/>
          <w:sz w:val="16"/>
        </w:rPr>
        <w:t>19;</w:t>
      </w:r>
    </w:p>
    <w:p>
      <w:pPr>
        <w:pStyle w:val="ListParagraph"/>
        <w:numPr>
          <w:ilvl w:val="0"/>
          <w:numId w:val="5"/>
        </w:numPr>
        <w:tabs>
          <w:tab w:pos="462" w:val="left" w:leader="none"/>
        </w:tabs>
        <w:spacing w:line="240" w:lineRule="auto" w:before="20" w:after="0"/>
        <w:ind w:left="462" w:right="0" w:hanging="306"/>
        <w:jc w:val="left"/>
        <w:rPr>
          <w:sz w:val="16"/>
        </w:rPr>
      </w:pPr>
      <w:r>
        <w:rPr>
          <w:w w:val="105"/>
          <w:sz w:val="16"/>
        </w:rPr>
        <w:t>Political</w:t>
      </w:r>
      <w:r>
        <w:rPr>
          <w:spacing w:val="-10"/>
          <w:w w:val="105"/>
          <w:sz w:val="16"/>
        </w:rPr>
        <w:t> </w:t>
      </w:r>
      <w:r>
        <w:rPr>
          <w:w w:val="105"/>
          <w:sz w:val="16"/>
        </w:rPr>
        <w:t>unrest,</w:t>
      </w:r>
      <w:r>
        <w:rPr>
          <w:spacing w:val="-10"/>
          <w:w w:val="105"/>
          <w:sz w:val="16"/>
        </w:rPr>
        <w:t> </w:t>
      </w:r>
      <w:r>
        <w:rPr>
          <w:w w:val="105"/>
          <w:sz w:val="16"/>
        </w:rPr>
        <w:t>geopolitical</w:t>
      </w:r>
      <w:r>
        <w:rPr>
          <w:spacing w:val="-9"/>
          <w:w w:val="105"/>
          <w:sz w:val="16"/>
        </w:rPr>
        <w:t> </w:t>
      </w:r>
      <w:r>
        <w:rPr>
          <w:w w:val="105"/>
          <w:sz w:val="16"/>
        </w:rPr>
        <w:t>tensions,</w:t>
      </w:r>
      <w:r>
        <w:rPr>
          <w:spacing w:val="-10"/>
          <w:w w:val="105"/>
          <w:sz w:val="16"/>
        </w:rPr>
        <w:t> </w:t>
      </w:r>
      <w:r>
        <w:rPr>
          <w:w w:val="105"/>
          <w:sz w:val="16"/>
        </w:rPr>
        <w:t>confiscation</w:t>
      </w:r>
      <w:r>
        <w:rPr>
          <w:spacing w:val="-10"/>
          <w:w w:val="105"/>
          <w:sz w:val="16"/>
        </w:rPr>
        <w:t> </w:t>
      </w:r>
      <w:r>
        <w:rPr>
          <w:w w:val="105"/>
          <w:sz w:val="16"/>
        </w:rPr>
        <w:t>or</w:t>
      </w:r>
      <w:r>
        <w:rPr>
          <w:spacing w:val="-9"/>
          <w:w w:val="105"/>
          <w:sz w:val="16"/>
        </w:rPr>
        <w:t> </w:t>
      </w:r>
      <w:r>
        <w:rPr>
          <w:w w:val="105"/>
          <w:sz w:val="16"/>
        </w:rPr>
        <w:t>expropriation</w:t>
      </w:r>
      <w:r>
        <w:rPr>
          <w:spacing w:val="-10"/>
          <w:w w:val="105"/>
          <w:sz w:val="16"/>
        </w:rPr>
        <w:t> </w:t>
      </w:r>
      <w:r>
        <w:rPr>
          <w:w w:val="105"/>
          <w:sz w:val="16"/>
        </w:rPr>
        <w:t>of</w:t>
      </w:r>
      <w:r>
        <w:rPr>
          <w:spacing w:val="-10"/>
          <w:w w:val="105"/>
          <w:sz w:val="16"/>
        </w:rPr>
        <w:t> </w:t>
      </w:r>
      <w:r>
        <w:rPr>
          <w:w w:val="105"/>
          <w:sz w:val="16"/>
        </w:rPr>
        <w:t>assets</w:t>
      </w:r>
      <w:r>
        <w:rPr>
          <w:spacing w:val="-9"/>
          <w:w w:val="105"/>
          <w:sz w:val="16"/>
        </w:rPr>
        <w:t> </w:t>
      </w:r>
      <w:r>
        <w:rPr>
          <w:w w:val="105"/>
          <w:sz w:val="16"/>
        </w:rPr>
        <w:t>by</w:t>
      </w:r>
      <w:r>
        <w:rPr>
          <w:spacing w:val="-10"/>
          <w:w w:val="105"/>
          <w:sz w:val="16"/>
        </w:rPr>
        <w:t> </w:t>
      </w:r>
      <w:r>
        <w:rPr>
          <w:w w:val="105"/>
          <w:sz w:val="16"/>
        </w:rPr>
        <w:t>foreign</w:t>
      </w:r>
      <w:r>
        <w:rPr>
          <w:spacing w:val="-9"/>
          <w:w w:val="105"/>
          <w:sz w:val="16"/>
        </w:rPr>
        <w:t> </w:t>
      </w:r>
      <w:r>
        <w:rPr>
          <w:w w:val="105"/>
          <w:sz w:val="16"/>
        </w:rPr>
        <w:t>governments,</w:t>
      </w:r>
      <w:r>
        <w:rPr>
          <w:spacing w:val="-10"/>
          <w:w w:val="105"/>
          <w:sz w:val="16"/>
        </w:rPr>
        <w:t> </w:t>
      </w:r>
      <w:r>
        <w:rPr>
          <w:w w:val="105"/>
          <w:sz w:val="16"/>
        </w:rPr>
        <w:t>terrorism</w:t>
      </w:r>
      <w:r>
        <w:rPr>
          <w:spacing w:val="-10"/>
          <w:w w:val="105"/>
          <w:sz w:val="16"/>
        </w:rPr>
        <w:t> </w:t>
      </w:r>
      <w:r>
        <w:rPr>
          <w:w w:val="105"/>
          <w:sz w:val="16"/>
        </w:rPr>
        <w:t>and</w:t>
      </w:r>
      <w:r>
        <w:rPr>
          <w:spacing w:val="-9"/>
          <w:w w:val="105"/>
          <w:sz w:val="16"/>
        </w:rPr>
        <w:t> </w:t>
      </w:r>
      <w:r>
        <w:rPr>
          <w:w w:val="105"/>
          <w:sz w:val="16"/>
        </w:rPr>
        <w:t>the</w:t>
      </w:r>
      <w:r>
        <w:rPr>
          <w:spacing w:val="-10"/>
          <w:w w:val="105"/>
          <w:sz w:val="16"/>
        </w:rPr>
        <w:t> </w:t>
      </w:r>
      <w:r>
        <w:rPr>
          <w:w w:val="105"/>
          <w:sz w:val="16"/>
        </w:rPr>
        <w:t>potential</w:t>
      </w:r>
      <w:r>
        <w:rPr>
          <w:spacing w:val="-8"/>
          <w:w w:val="105"/>
          <w:sz w:val="16"/>
        </w:rPr>
        <w:t> </w:t>
      </w:r>
      <w:r>
        <w:rPr>
          <w:w w:val="105"/>
          <w:sz w:val="16"/>
        </w:rPr>
        <w:t>for</w:t>
      </w:r>
      <w:r>
        <w:rPr>
          <w:spacing w:val="-10"/>
          <w:w w:val="105"/>
          <w:sz w:val="16"/>
        </w:rPr>
        <w:t> </w:t>
      </w:r>
      <w:r>
        <w:rPr>
          <w:w w:val="105"/>
          <w:sz w:val="16"/>
        </w:rPr>
        <w:t>other</w:t>
      </w:r>
      <w:r>
        <w:rPr>
          <w:spacing w:val="-9"/>
          <w:w w:val="105"/>
          <w:sz w:val="16"/>
        </w:rPr>
        <w:t> </w:t>
      </w:r>
      <w:r>
        <w:rPr>
          <w:spacing w:val="-2"/>
          <w:w w:val="105"/>
          <w:sz w:val="16"/>
        </w:rPr>
        <w:t>hostilities;</w:t>
      </w:r>
    </w:p>
    <w:p>
      <w:pPr>
        <w:pStyle w:val="ListParagraph"/>
        <w:numPr>
          <w:ilvl w:val="0"/>
          <w:numId w:val="5"/>
        </w:numPr>
        <w:tabs>
          <w:tab w:pos="462" w:val="left" w:leader="none"/>
        </w:tabs>
        <w:spacing w:line="240" w:lineRule="auto" w:before="20" w:after="0"/>
        <w:ind w:left="462" w:right="0" w:hanging="306"/>
        <w:jc w:val="left"/>
        <w:rPr>
          <w:sz w:val="16"/>
        </w:rPr>
      </w:pPr>
      <w:r>
        <w:rPr>
          <w:sz w:val="16"/>
        </w:rPr>
        <w:t>Difficulty</w:t>
      </w:r>
      <w:r>
        <w:rPr>
          <w:spacing w:val="16"/>
          <w:sz w:val="16"/>
        </w:rPr>
        <w:t> </w:t>
      </w:r>
      <w:r>
        <w:rPr>
          <w:sz w:val="16"/>
        </w:rPr>
        <w:t>in</w:t>
      </w:r>
      <w:r>
        <w:rPr>
          <w:spacing w:val="17"/>
          <w:sz w:val="16"/>
        </w:rPr>
        <w:t> </w:t>
      </w:r>
      <w:r>
        <w:rPr>
          <w:sz w:val="16"/>
        </w:rPr>
        <w:t>protecting</w:t>
      </w:r>
      <w:r>
        <w:rPr>
          <w:spacing w:val="16"/>
          <w:sz w:val="16"/>
        </w:rPr>
        <w:t> </w:t>
      </w:r>
      <w:r>
        <w:rPr>
          <w:sz w:val="16"/>
        </w:rPr>
        <w:t>intellectual</w:t>
      </w:r>
      <w:r>
        <w:rPr>
          <w:spacing w:val="17"/>
          <w:sz w:val="16"/>
        </w:rPr>
        <w:t> </w:t>
      </w:r>
      <w:r>
        <w:rPr>
          <w:sz w:val="16"/>
        </w:rPr>
        <w:t>property,</w:t>
      </w:r>
      <w:r>
        <w:rPr>
          <w:spacing w:val="16"/>
          <w:sz w:val="16"/>
        </w:rPr>
        <w:t> </w:t>
      </w:r>
      <w:r>
        <w:rPr>
          <w:sz w:val="16"/>
        </w:rPr>
        <w:t>sensitive</w:t>
      </w:r>
      <w:r>
        <w:rPr>
          <w:spacing w:val="14"/>
          <w:sz w:val="16"/>
        </w:rPr>
        <w:t> </w:t>
      </w:r>
      <w:r>
        <w:rPr>
          <w:sz w:val="16"/>
        </w:rPr>
        <w:t>commercial</w:t>
      </w:r>
      <w:r>
        <w:rPr>
          <w:spacing w:val="17"/>
          <w:sz w:val="16"/>
        </w:rPr>
        <w:t> </w:t>
      </w:r>
      <w:r>
        <w:rPr>
          <w:sz w:val="16"/>
        </w:rPr>
        <w:t>and</w:t>
      </w:r>
      <w:r>
        <w:rPr>
          <w:spacing w:val="16"/>
          <w:sz w:val="16"/>
        </w:rPr>
        <w:t> </w:t>
      </w:r>
      <w:r>
        <w:rPr>
          <w:sz w:val="16"/>
        </w:rPr>
        <w:t>operations</w:t>
      </w:r>
      <w:r>
        <w:rPr>
          <w:spacing w:val="17"/>
          <w:sz w:val="16"/>
        </w:rPr>
        <w:t> </w:t>
      </w:r>
      <w:r>
        <w:rPr>
          <w:sz w:val="16"/>
        </w:rPr>
        <w:t>data,</w:t>
      </w:r>
      <w:r>
        <w:rPr>
          <w:spacing w:val="16"/>
          <w:sz w:val="16"/>
        </w:rPr>
        <w:t> </w:t>
      </w:r>
      <w:r>
        <w:rPr>
          <w:sz w:val="16"/>
        </w:rPr>
        <w:t>and</w:t>
      </w:r>
      <w:r>
        <w:rPr>
          <w:spacing w:val="17"/>
          <w:sz w:val="16"/>
        </w:rPr>
        <w:t> </w:t>
      </w:r>
      <w:r>
        <w:rPr>
          <w:sz w:val="16"/>
        </w:rPr>
        <w:t>information</w:t>
      </w:r>
      <w:r>
        <w:rPr>
          <w:spacing w:val="16"/>
          <w:sz w:val="16"/>
        </w:rPr>
        <w:t> </w:t>
      </w:r>
      <w:r>
        <w:rPr>
          <w:sz w:val="16"/>
        </w:rPr>
        <w:t>technology</w:t>
      </w:r>
      <w:r>
        <w:rPr>
          <w:spacing w:val="17"/>
          <w:sz w:val="16"/>
        </w:rPr>
        <w:t> </w:t>
      </w:r>
      <w:r>
        <w:rPr>
          <w:spacing w:val="-2"/>
          <w:sz w:val="16"/>
        </w:rPr>
        <w:t>systems;</w:t>
      </w:r>
    </w:p>
    <w:p>
      <w:pPr>
        <w:pStyle w:val="ListParagraph"/>
        <w:numPr>
          <w:ilvl w:val="0"/>
          <w:numId w:val="5"/>
        </w:numPr>
        <w:tabs>
          <w:tab w:pos="462" w:val="left" w:leader="none"/>
        </w:tabs>
        <w:spacing w:line="240" w:lineRule="auto" w:before="19" w:after="0"/>
        <w:ind w:left="462" w:right="0" w:hanging="306"/>
        <w:jc w:val="left"/>
        <w:rPr>
          <w:sz w:val="16"/>
        </w:rPr>
      </w:pPr>
      <w:r>
        <w:rPr>
          <w:w w:val="105"/>
          <w:sz w:val="16"/>
        </w:rPr>
        <w:t>Differing</w:t>
      </w:r>
      <w:r>
        <w:rPr>
          <w:spacing w:val="-10"/>
          <w:w w:val="105"/>
          <w:sz w:val="16"/>
        </w:rPr>
        <w:t> </w:t>
      </w:r>
      <w:r>
        <w:rPr>
          <w:w w:val="105"/>
          <w:sz w:val="16"/>
        </w:rPr>
        <w:t>legal</w:t>
      </w:r>
      <w:r>
        <w:rPr>
          <w:spacing w:val="-10"/>
          <w:w w:val="105"/>
          <w:sz w:val="16"/>
        </w:rPr>
        <w:t> </w:t>
      </w:r>
      <w:r>
        <w:rPr>
          <w:w w:val="105"/>
          <w:sz w:val="16"/>
        </w:rPr>
        <w:t>systems,</w:t>
      </w:r>
      <w:r>
        <w:rPr>
          <w:spacing w:val="-9"/>
          <w:w w:val="105"/>
          <w:sz w:val="16"/>
        </w:rPr>
        <w:t> </w:t>
      </w:r>
      <w:r>
        <w:rPr>
          <w:w w:val="105"/>
          <w:sz w:val="16"/>
        </w:rPr>
        <w:t>including</w:t>
      </w:r>
      <w:r>
        <w:rPr>
          <w:spacing w:val="-10"/>
          <w:w w:val="105"/>
          <w:sz w:val="16"/>
        </w:rPr>
        <w:t> </w:t>
      </w:r>
      <w:r>
        <w:rPr>
          <w:w w:val="105"/>
          <w:sz w:val="16"/>
        </w:rPr>
        <w:t>protection</w:t>
      </w:r>
      <w:r>
        <w:rPr>
          <w:spacing w:val="-10"/>
          <w:w w:val="105"/>
          <w:sz w:val="16"/>
        </w:rPr>
        <w:t> </w:t>
      </w:r>
      <w:r>
        <w:rPr>
          <w:w w:val="105"/>
          <w:sz w:val="16"/>
        </w:rPr>
        <w:t>and</w:t>
      </w:r>
      <w:r>
        <w:rPr>
          <w:spacing w:val="-10"/>
          <w:w w:val="105"/>
          <w:sz w:val="16"/>
        </w:rPr>
        <w:t> </w:t>
      </w:r>
      <w:r>
        <w:rPr>
          <w:w w:val="105"/>
          <w:sz w:val="16"/>
        </w:rPr>
        <w:t>treatment</w:t>
      </w:r>
      <w:r>
        <w:rPr>
          <w:spacing w:val="-10"/>
          <w:w w:val="105"/>
          <w:sz w:val="16"/>
        </w:rPr>
        <w:t> </w:t>
      </w:r>
      <w:r>
        <w:rPr>
          <w:w w:val="105"/>
          <w:sz w:val="16"/>
        </w:rPr>
        <w:t>of</w:t>
      </w:r>
      <w:r>
        <w:rPr>
          <w:spacing w:val="-10"/>
          <w:w w:val="105"/>
          <w:sz w:val="16"/>
        </w:rPr>
        <w:t> </w:t>
      </w:r>
      <w:r>
        <w:rPr>
          <w:w w:val="105"/>
          <w:sz w:val="16"/>
        </w:rPr>
        <w:t>intellectual</w:t>
      </w:r>
      <w:r>
        <w:rPr>
          <w:spacing w:val="-10"/>
          <w:w w:val="105"/>
          <w:sz w:val="16"/>
        </w:rPr>
        <w:t> </w:t>
      </w:r>
      <w:r>
        <w:rPr>
          <w:w w:val="105"/>
          <w:sz w:val="16"/>
        </w:rPr>
        <w:t>property</w:t>
      </w:r>
      <w:r>
        <w:rPr>
          <w:spacing w:val="-10"/>
          <w:w w:val="105"/>
          <w:sz w:val="16"/>
        </w:rPr>
        <w:t> </w:t>
      </w:r>
      <w:r>
        <w:rPr>
          <w:w w:val="105"/>
          <w:sz w:val="16"/>
        </w:rPr>
        <w:t>and</w:t>
      </w:r>
      <w:r>
        <w:rPr>
          <w:spacing w:val="-10"/>
          <w:w w:val="105"/>
          <w:sz w:val="16"/>
        </w:rPr>
        <w:t> </w:t>
      </w:r>
      <w:r>
        <w:rPr>
          <w:spacing w:val="-2"/>
          <w:w w:val="105"/>
          <w:sz w:val="16"/>
        </w:rPr>
        <w:t>patents;</w:t>
      </w:r>
    </w:p>
    <w:p>
      <w:pPr>
        <w:pStyle w:val="ListParagraph"/>
        <w:numPr>
          <w:ilvl w:val="0"/>
          <w:numId w:val="5"/>
        </w:numPr>
        <w:tabs>
          <w:tab w:pos="462" w:val="left" w:leader="none"/>
        </w:tabs>
        <w:spacing w:line="240" w:lineRule="auto" w:before="20" w:after="0"/>
        <w:ind w:left="462" w:right="0" w:hanging="306"/>
        <w:jc w:val="left"/>
        <w:rPr>
          <w:sz w:val="16"/>
        </w:rPr>
      </w:pPr>
      <w:r>
        <w:rPr>
          <w:w w:val="105"/>
          <w:sz w:val="16"/>
        </w:rPr>
        <w:t>Complex,</w:t>
      </w:r>
      <w:r>
        <w:rPr>
          <w:spacing w:val="-10"/>
          <w:w w:val="105"/>
          <w:sz w:val="16"/>
        </w:rPr>
        <w:t> </w:t>
      </w:r>
      <w:r>
        <w:rPr>
          <w:w w:val="105"/>
          <w:sz w:val="16"/>
        </w:rPr>
        <w:t>changing</w:t>
      </w:r>
      <w:r>
        <w:rPr>
          <w:spacing w:val="-9"/>
          <w:w w:val="105"/>
          <w:sz w:val="16"/>
        </w:rPr>
        <w:t> </w:t>
      </w:r>
      <w:r>
        <w:rPr>
          <w:w w:val="105"/>
          <w:sz w:val="16"/>
        </w:rPr>
        <w:t>or</w:t>
      </w:r>
      <w:r>
        <w:rPr>
          <w:spacing w:val="-10"/>
          <w:w w:val="105"/>
          <w:sz w:val="16"/>
        </w:rPr>
        <w:t> </w:t>
      </w:r>
      <w:r>
        <w:rPr>
          <w:w w:val="105"/>
          <w:sz w:val="16"/>
        </w:rPr>
        <w:t>competing</w:t>
      </w:r>
      <w:r>
        <w:rPr>
          <w:spacing w:val="-9"/>
          <w:w w:val="105"/>
          <w:sz w:val="16"/>
        </w:rPr>
        <w:t> </w:t>
      </w:r>
      <w:r>
        <w:rPr>
          <w:w w:val="105"/>
          <w:sz w:val="16"/>
        </w:rPr>
        <w:t>tax</w:t>
      </w:r>
      <w:r>
        <w:rPr>
          <w:spacing w:val="-10"/>
          <w:w w:val="105"/>
          <w:sz w:val="16"/>
        </w:rPr>
        <w:t> </w:t>
      </w:r>
      <w:r>
        <w:rPr>
          <w:spacing w:val="-2"/>
          <w:w w:val="105"/>
          <w:sz w:val="16"/>
        </w:rPr>
        <w:t>regimes;</w:t>
      </w:r>
    </w:p>
    <w:p>
      <w:pPr>
        <w:pStyle w:val="ListParagraph"/>
        <w:numPr>
          <w:ilvl w:val="0"/>
          <w:numId w:val="5"/>
        </w:numPr>
        <w:tabs>
          <w:tab w:pos="462" w:val="left" w:leader="none"/>
        </w:tabs>
        <w:spacing w:line="240" w:lineRule="auto" w:before="20" w:after="0"/>
        <w:ind w:left="462" w:right="0" w:hanging="306"/>
        <w:jc w:val="left"/>
        <w:rPr>
          <w:sz w:val="16"/>
        </w:rPr>
      </w:pPr>
      <w:r>
        <w:rPr>
          <w:spacing w:val="-2"/>
          <w:w w:val="105"/>
          <w:sz w:val="16"/>
        </w:rPr>
        <w:t>Difficulty</w:t>
      </w:r>
      <w:r>
        <w:rPr>
          <w:spacing w:val="2"/>
          <w:w w:val="105"/>
          <w:sz w:val="16"/>
        </w:rPr>
        <w:t> </w:t>
      </w:r>
      <w:r>
        <w:rPr>
          <w:spacing w:val="-2"/>
          <w:w w:val="105"/>
          <w:sz w:val="16"/>
        </w:rPr>
        <w:t>in</w:t>
      </w:r>
      <w:r>
        <w:rPr>
          <w:spacing w:val="2"/>
          <w:w w:val="105"/>
          <w:sz w:val="16"/>
        </w:rPr>
        <w:t> </w:t>
      </w:r>
      <w:r>
        <w:rPr>
          <w:spacing w:val="-2"/>
          <w:w w:val="105"/>
          <w:sz w:val="16"/>
        </w:rPr>
        <w:t>collecting</w:t>
      </w:r>
      <w:r>
        <w:rPr>
          <w:spacing w:val="2"/>
          <w:w w:val="105"/>
          <w:sz w:val="16"/>
        </w:rPr>
        <w:t> </w:t>
      </w:r>
      <w:r>
        <w:rPr>
          <w:spacing w:val="-2"/>
          <w:w w:val="105"/>
          <w:sz w:val="16"/>
        </w:rPr>
        <w:t>obligations</w:t>
      </w:r>
      <w:r>
        <w:rPr>
          <w:spacing w:val="2"/>
          <w:w w:val="105"/>
          <w:sz w:val="16"/>
        </w:rPr>
        <w:t> </w:t>
      </w:r>
      <w:r>
        <w:rPr>
          <w:spacing w:val="-2"/>
          <w:w w:val="105"/>
          <w:sz w:val="16"/>
        </w:rPr>
        <w:t>owed</w:t>
      </w:r>
      <w:r>
        <w:rPr>
          <w:spacing w:val="2"/>
          <w:w w:val="105"/>
          <w:sz w:val="16"/>
        </w:rPr>
        <w:t> </w:t>
      </w:r>
      <w:r>
        <w:rPr>
          <w:spacing w:val="-2"/>
          <w:w w:val="105"/>
          <w:sz w:val="16"/>
        </w:rPr>
        <w:t>to</w:t>
      </w:r>
      <w:r>
        <w:rPr>
          <w:spacing w:val="2"/>
          <w:w w:val="105"/>
          <w:sz w:val="16"/>
        </w:rPr>
        <w:t> </w:t>
      </w:r>
      <w:r>
        <w:rPr>
          <w:spacing w:val="-5"/>
          <w:w w:val="105"/>
          <w:sz w:val="16"/>
        </w:rPr>
        <w:t>us;</w:t>
      </w:r>
    </w:p>
    <w:p>
      <w:pPr>
        <w:pStyle w:val="ListParagraph"/>
        <w:numPr>
          <w:ilvl w:val="0"/>
          <w:numId w:val="5"/>
        </w:numPr>
        <w:tabs>
          <w:tab w:pos="462" w:val="left" w:leader="none"/>
        </w:tabs>
        <w:spacing w:line="240" w:lineRule="auto" w:before="20" w:after="0"/>
        <w:ind w:left="462" w:right="0" w:hanging="306"/>
        <w:jc w:val="left"/>
        <w:rPr>
          <w:sz w:val="16"/>
        </w:rPr>
      </w:pPr>
      <w:r>
        <w:rPr>
          <w:sz w:val="16"/>
        </w:rPr>
        <w:t>Natural</w:t>
      </w:r>
      <w:r>
        <w:rPr>
          <w:spacing w:val="13"/>
          <w:sz w:val="16"/>
        </w:rPr>
        <w:t> </w:t>
      </w:r>
      <w:r>
        <w:rPr>
          <w:sz w:val="16"/>
        </w:rPr>
        <w:t>disasters</w:t>
      </w:r>
      <w:r>
        <w:rPr>
          <w:spacing w:val="14"/>
          <w:sz w:val="16"/>
        </w:rPr>
        <w:t> </w:t>
      </w:r>
      <w:r>
        <w:rPr>
          <w:sz w:val="16"/>
        </w:rPr>
        <w:t>such</w:t>
      </w:r>
      <w:r>
        <w:rPr>
          <w:spacing w:val="14"/>
          <w:sz w:val="16"/>
        </w:rPr>
        <w:t> </w:t>
      </w:r>
      <w:r>
        <w:rPr>
          <w:sz w:val="16"/>
        </w:rPr>
        <w:t>as</w:t>
      </w:r>
      <w:r>
        <w:rPr>
          <w:spacing w:val="14"/>
          <w:sz w:val="16"/>
        </w:rPr>
        <w:t> </w:t>
      </w:r>
      <w:r>
        <w:rPr>
          <w:sz w:val="16"/>
        </w:rPr>
        <w:t>floods,</w:t>
      </w:r>
      <w:r>
        <w:rPr>
          <w:spacing w:val="14"/>
          <w:sz w:val="16"/>
        </w:rPr>
        <w:t> </w:t>
      </w:r>
      <w:r>
        <w:rPr>
          <w:sz w:val="16"/>
        </w:rPr>
        <w:t>earthquakes,</w:t>
      </w:r>
      <w:r>
        <w:rPr>
          <w:spacing w:val="14"/>
          <w:sz w:val="16"/>
        </w:rPr>
        <w:t> </w:t>
      </w:r>
      <w:r>
        <w:rPr>
          <w:sz w:val="16"/>
        </w:rPr>
        <w:t>tsunamis</w:t>
      </w:r>
      <w:r>
        <w:rPr>
          <w:spacing w:val="14"/>
          <w:sz w:val="16"/>
        </w:rPr>
        <w:t> </w:t>
      </w:r>
      <w:r>
        <w:rPr>
          <w:sz w:val="16"/>
        </w:rPr>
        <w:t>and</w:t>
      </w:r>
      <w:r>
        <w:rPr>
          <w:spacing w:val="14"/>
          <w:sz w:val="16"/>
        </w:rPr>
        <w:t> </w:t>
      </w:r>
      <w:r>
        <w:rPr>
          <w:sz w:val="16"/>
        </w:rPr>
        <w:t>windstorms;</w:t>
      </w:r>
      <w:r>
        <w:rPr>
          <w:spacing w:val="14"/>
          <w:sz w:val="16"/>
        </w:rPr>
        <w:t> </w:t>
      </w:r>
      <w:r>
        <w:rPr>
          <w:spacing w:val="-5"/>
          <w:sz w:val="16"/>
        </w:rPr>
        <w:t>and</w:t>
      </w:r>
    </w:p>
    <w:p>
      <w:pPr>
        <w:pStyle w:val="ListParagraph"/>
        <w:numPr>
          <w:ilvl w:val="0"/>
          <w:numId w:val="5"/>
        </w:numPr>
        <w:tabs>
          <w:tab w:pos="462" w:val="left" w:leader="none"/>
        </w:tabs>
        <w:spacing w:line="240" w:lineRule="auto" w:before="20" w:after="0"/>
        <w:ind w:left="462" w:right="0" w:hanging="306"/>
        <w:jc w:val="left"/>
        <w:rPr>
          <w:sz w:val="16"/>
        </w:rPr>
      </w:pPr>
      <w:r>
        <w:rPr>
          <w:w w:val="105"/>
          <w:sz w:val="16"/>
        </w:rPr>
        <w:t>Potential</w:t>
      </w:r>
      <w:r>
        <w:rPr>
          <w:spacing w:val="-9"/>
          <w:w w:val="105"/>
          <w:sz w:val="16"/>
        </w:rPr>
        <w:t> </w:t>
      </w:r>
      <w:r>
        <w:rPr>
          <w:w w:val="105"/>
          <w:sz w:val="16"/>
        </w:rPr>
        <w:t>loss</w:t>
      </w:r>
      <w:r>
        <w:rPr>
          <w:spacing w:val="-9"/>
          <w:w w:val="105"/>
          <w:sz w:val="16"/>
        </w:rPr>
        <w:t> </w:t>
      </w:r>
      <w:r>
        <w:rPr>
          <w:w w:val="105"/>
          <w:sz w:val="16"/>
        </w:rPr>
        <w:t>of</w:t>
      </w:r>
      <w:r>
        <w:rPr>
          <w:spacing w:val="-9"/>
          <w:w w:val="105"/>
          <w:sz w:val="16"/>
        </w:rPr>
        <w:t> </w:t>
      </w:r>
      <w:r>
        <w:rPr>
          <w:w w:val="105"/>
          <w:sz w:val="16"/>
        </w:rPr>
        <w:t>utilities</w:t>
      </w:r>
      <w:r>
        <w:rPr>
          <w:spacing w:val="-9"/>
          <w:w w:val="105"/>
          <w:sz w:val="16"/>
        </w:rPr>
        <w:t> </w:t>
      </w:r>
      <w:r>
        <w:rPr>
          <w:w w:val="105"/>
          <w:sz w:val="16"/>
        </w:rPr>
        <w:t>or</w:t>
      </w:r>
      <w:r>
        <w:rPr>
          <w:spacing w:val="-9"/>
          <w:w w:val="105"/>
          <w:sz w:val="16"/>
        </w:rPr>
        <w:t> </w:t>
      </w:r>
      <w:r>
        <w:rPr>
          <w:w w:val="105"/>
          <w:sz w:val="16"/>
        </w:rPr>
        <w:t>other</w:t>
      </w:r>
      <w:r>
        <w:rPr>
          <w:spacing w:val="-9"/>
          <w:w w:val="105"/>
          <w:sz w:val="16"/>
        </w:rPr>
        <w:t> </w:t>
      </w:r>
      <w:r>
        <w:rPr>
          <w:w w:val="105"/>
          <w:sz w:val="16"/>
        </w:rPr>
        <w:t>disruption</w:t>
      </w:r>
      <w:r>
        <w:rPr>
          <w:spacing w:val="-9"/>
          <w:w w:val="105"/>
          <w:sz w:val="16"/>
        </w:rPr>
        <w:t> </w:t>
      </w:r>
      <w:r>
        <w:rPr>
          <w:w w:val="105"/>
          <w:sz w:val="16"/>
        </w:rPr>
        <w:t>affecting</w:t>
      </w:r>
      <w:r>
        <w:rPr>
          <w:spacing w:val="-9"/>
          <w:w w:val="105"/>
          <w:sz w:val="16"/>
        </w:rPr>
        <w:t> </w:t>
      </w:r>
      <w:r>
        <w:rPr>
          <w:spacing w:val="-2"/>
          <w:w w:val="105"/>
          <w:sz w:val="16"/>
        </w:rPr>
        <w:t>manufacturing.</w:t>
      </w:r>
    </w:p>
    <w:p>
      <w:pPr>
        <w:pStyle w:val="BodyText"/>
        <w:spacing w:before="39"/>
      </w:pPr>
    </w:p>
    <w:p>
      <w:pPr>
        <w:pStyle w:val="Heading2"/>
      </w:pPr>
      <w:r>
        <w:rPr>
          <w:w w:val="105"/>
        </w:rPr>
        <w:t>We</w:t>
      </w:r>
      <w:r>
        <w:rPr>
          <w:spacing w:val="-11"/>
          <w:w w:val="105"/>
        </w:rPr>
        <w:t> </w:t>
      </w:r>
      <w:r>
        <w:rPr>
          <w:w w:val="105"/>
        </w:rPr>
        <w:t>have</w:t>
      </w:r>
      <w:r>
        <w:rPr>
          <w:spacing w:val="-10"/>
          <w:w w:val="105"/>
        </w:rPr>
        <w:t> </w:t>
      </w:r>
      <w:r>
        <w:rPr>
          <w:w w:val="105"/>
        </w:rPr>
        <w:t>significant</w:t>
      </w:r>
      <w:r>
        <w:rPr>
          <w:spacing w:val="-11"/>
          <w:w w:val="105"/>
        </w:rPr>
        <w:t> </w:t>
      </w:r>
      <w:r>
        <w:rPr>
          <w:w w:val="105"/>
        </w:rPr>
        <w:t>exposure</w:t>
      </w:r>
      <w:r>
        <w:rPr>
          <w:spacing w:val="-10"/>
          <w:w w:val="105"/>
        </w:rPr>
        <w:t> </w:t>
      </w:r>
      <w:r>
        <w:rPr>
          <w:w w:val="105"/>
        </w:rPr>
        <w:t>to</w:t>
      </w:r>
      <w:r>
        <w:rPr>
          <w:spacing w:val="-11"/>
          <w:w w:val="105"/>
        </w:rPr>
        <w:t> </w:t>
      </w:r>
      <w:r>
        <w:rPr>
          <w:w w:val="105"/>
        </w:rPr>
        <w:t>foreign</w:t>
      </w:r>
      <w:r>
        <w:rPr>
          <w:spacing w:val="-10"/>
          <w:w w:val="105"/>
        </w:rPr>
        <w:t> </w:t>
      </w:r>
      <w:r>
        <w:rPr>
          <w:w w:val="105"/>
        </w:rPr>
        <w:t>currency</w:t>
      </w:r>
      <w:r>
        <w:rPr>
          <w:spacing w:val="-11"/>
          <w:w w:val="105"/>
        </w:rPr>
        <w:t> </w:t>
      </w:r>
      <w:r>
        <w:rPr>
          <w:spacing w:val="-2"/>
          <w:w w:val="105"/>
        </w:rPr>
        <w:t>movements</w:t>
      </w:r>
    </w:p>
    <w:p>
      <w:pPr>
        <w:pStyle w:val="BodyText"/>
        <w:spacing w:before="40"/>
        <w:rPr>
          <w:b/>
        </w:rPr>
      </w:pPr>
    </w:p>
    <w:p>
      <w:pPr>
        <w:pStyle w:val="BodyText"/>
        <w:spacing w:line="266" w:lineRule="auto"/>
        <w:ind w:left="156"/>
      </w:pPr>
      <w:r>
        <w:rPr>
          <w:w w:val="105"/>
        </w:rPr>
        <w:t>A</w:t>
      </w:r>
      <w:r>
        <w:rPr>
          <w:spacing w:val="-8"/>
          <w:w w:val="105"/>
        </w:rPr>
        <w:t> </w:t>
      </w:r>
      <w:r>
        <w:rPr>
          <w:w w:val="105"/>
        </w:rPr>
        <w:t>large</w:t>
      </w:r>
      <w:r>
        <w:rPr>
          <w:spacing w:val="-8"/>
          <w:w w:val="105"/>
        </w:rPr>
        <w:t> </w:t>
      </w:r>
      <w:r>
        <w:rPr>
          <w:w w:val="105"/>
        </w:rPr>
        <w:t>portion</w:t>
      </w:r>
      <w:r>
        <w:rPr>
          <w:spacing w:val="-8"/>
          <w:w w:val="105"/>
        </w:rPr>
        <w:t> </w:t>
      </w:r>
      <w:r>
        <w:rPr>
          <w:w w:val="105"/>
        </w:rPr>
        <w:t>of</w:t>
      </w:r>
      <w:r>
        <w:rPr>
          <w:spacing w:val="-8"/>
          <w:w w:val="105"/>
        </w:rPr>
        <w:t> </w:t>
      </w:r>
      <w:r>
        <w:rPr>
          <w:w w:val="105"/>
        </w:rPr>
        <w:t>our</w:t>
      </w:r>
      <w:r>
        <w:rPr>
          <w:spacing w:val="-8"/>
          <w:w w:val="105"/>
        </w:rPr>
        <w:t> </w:t>
      </w:r>
      <w:r>
        <w:rPr>
          <w:w w:val="105"/>
        </w:rPr>
        <w:t>sales,</w:t>
      </w:r>
      <w:r>
        <w:rPr>
          <w:spacing w:val="-8"/>
          <w:w w:val="105"/>
        </w:rPr>
        <w:t> </w:t>
      </w:r>
      <w:r>
        <w:rPr>
          <w:w w:val="105"/>
        </w:rPr>
        <w:t>profit</w:t>
      </w:r>
      <w:r>
        <w:rPr>
          <w:spacing w:val="-8"/>
          <w:w w:val="105"/>
        </w:rPr>
        <w:t> </w:t>
      </w:r>
      <w:r>
        <w:rPr>
          <w:w w:val="105"/>
        </w:rPr>
        <w:t>and</w:t>
      </w:r>
      <w:r>
        <w:rPr>
          <w:spacing w:val="-8"/>
          <w:w w:val="105"/>
        </w:rPr>
        <w:t> </w:t>
      </w:r>
      <w:r>
        <w:rPr>
          <w:w w:val="105"/>
        </w:rPr>
        <w:t>cash</w:t>
      </w:r>
      <w:r>
        <w:rPr>
          <w:spacing w:val="-8"/>
          <w:w w:val="105"/>
        </w:rPr>
        <w:t> </w:t>
      </w:r>
      <w:r>
        <w:rPr>
          <w:w w:val="105"/>
        </w:rPr>
        <w:t>flows</w:t>
      </w:r>
      <w:r>
        <w:rPr>
          <w:spacing w:val="-8"/>
          <w:w w:val="105"/>
        </w:rPr>
        <w:t> </w:t>
      </w:r>
      <w:r>
        <w:rPr>
          <w:w w:val="105"/>
        </w:rPr>
        <w:t>are</w:t>
      </w:r>
      <w:r>
        <w:rPr>
          <w:spacing w:val="-8"/>
          <w:w w:val="105"/>
        </w:rPr>
        <w:t> </w:t>
      </w:r>
      <w:r>
        <w:rPr>
          <w:w w:val="105"/>
        </w:rPr>
        <w:t>transacted</w:t>
      </w:r>
      <w:r>
        <w:rPr>
          <w:spacing w:val="-8"/>
          <w:w w:val="105"/>
        </w:rPr>
        <w:t> </w:t>
      </w:r>
      <w:r>
        <w:rPr>
          <w:w w:val="105"/>
        </w:rPr>
        <w:t>in</w:t>
      </w:r>
      <w:r>
        <w:rPr>
          <w:spacing w:val="-8"/>
          <w:w w:val="105"/>
        </w:rPr>
        <w:t> </w:t>
      </w:r>
      <w:r>
        <w:rPr>
          <w:w w:val="105"/>
        </w:rPr>
        <w:t>non-U.S.</w:t>
      </w:r>
      <w:r>
        <w:rPr>
          <w:spacing w:val="-8"/>
          <w:w w:val="105"/>
        </w:rPr>
        <w:t> </w:t>
      </w:r>
      <w:r>
        <w:rPr>
          <w:w w:val="105"/>
        </w:rPr>
        <w:t>dollar</w:t>
      </w:r>
      <w:r>
        <w:rPr>
          <w:spacing w:val="-8"/>
          <w:w w:val="105"/>
        </w:rPr>
        <w:t> </w:t>
      </w:r>
      <w:r>
        <w:rPr>
          <w:w w:val="105"/>
        </w:rPr>
        <w:t>currencies.</w:t>
      </w:r>
      <w:r>
        <w:rPr>
          <w:spacing w:val="-8"/>
          <w:w w:val="105"/>
        </w:rPr>
        <w:t> </w:t>
      </w:r>
      <w:r>
        <w:rPr>
          <w:w w:val="105"/>
        </w:rPr>
        <w:t>The</w:t>
      </w:r>
      <w:r>
        <w:rPr>
          <w:spacing w:val="-8"/>
          <w:w w:val="105"/>
        </w:rPr>
        <w:t> </w:t>
      </w:r>
      <w:r>
        <w:rPr>
          <w:w w:val="105"/>
        </w:rPr>
        <w:t>Company</w:t>
      </w:r>
      <w:r>
        <w:rPr>
          <w:spacing w:val="-8"/>
          <w:w w:val="105"/>
        </w:rPr>
        <w:t> </w:t>
      </w:r>
      <w:r>
        <w:rPr>
          <w:w w:val="105"/>
        </w:rPr>
        <w:t>expects</w:t>
      </w:r>
      <w:r>
        <w:rPr>
          <w:spacing w:val="-8"/>
          <w:w w:val="105"/>
        </w:rPr>
        <w:t> </w:t>
      </w:r>
      <w:r>
        <w:rPr>
          <w:w w:val="105"/>
        </w:rPr>
        <w:t>to</w:t>
      </w:r>
      <w:r>
        <w:rPr>
          <w:spacing w:val="-8"/>
          <w:w w:val="105"/>
        </w:rPr>
        <w:t> </w:t>
      </w:r>
      <w:r>
        <w:rPr>
          <w:w w:val="105"/>
        </w:rPr>
        <w:t>continue</w:t>
      </w:r>
      <w:r>
        <w:rPr>
          <w:spacing w:val="-6"/>
          <w:w w:val="105"/>
        </w:rPr>
        <w:t> </w:t>
      </w:r>
      <w:r>
        <w:rPr>
          <w:w w:val="105"/>
        </w:rPr>
        <w:t>to</w:t>
      </w:r>
      <w:r>
        <w:rPr>
          <w:spacing w:val="-8"/>
          <w:w w:val="105"/>
        </w:rPr>
        <w:t> </w:t>
      </w:r>
      <w:r>
        <w:rPr>
          <w:w w:val="105"/>
        </w:rPr>
        <w:t>experience</w:t>
      </w:r>
      <w:r>
        <w:rPr>
          <w:spacing w:val="-8"/>
          <w:w w:val="105"/>
        </w:rPr>
        <w:t> </w:t>
      </w:r>
      <w:r>
        <w:rPr>
          <w:w w:val="105"/>
        </w:rPr>
        <w:t>fluctuations</w:t>
      </w:r>
      <w:r>
        <w:rPr>
          <w:spacing w:val="-8"/>
          <w:w w:val="105"/>
        </w:rPr>
        <w:t> </w:t>
      </w:r>
      <w:r>
        <w:rPr>
          <w:w w:val="105"/>
        </w:rPr>
        <w:t>in</w:t>
      </w:r>
      <w:r>
        <w:rPr>
          <w:spacing w:val="-8"/>
          <w:w w:val="105"/>
        </w:rPr>
        <w:t> </w:t>
      </w:r>
      <w:r>
        <w:rPr>
          <w:w w:val="105"/>
        </w:rPr>
        <w:t>the</w:t>
      </w:r>
      <w:r>
        <w:rPr>
          <w:spacing w:val="-8"/>
          <w:w w:val="105"/>
        </w:rPr>
        <w:t> </w:t>
      </w:r>
      <w:r>
        <w:rPr>
          <w:w w:val="105"/>
        </w:rPr>
        <w:t>U.S.</w:t>
      </w:r>
      <w:r>
        <w:rPr>
          <w:spacing w:val="-8"/>
          <w:w w:val="105"/>
        </w:rPr>
        <w:t> </w:t>
      </w:r>
      <w:r>
        <w:rPr>
          <w:w w:val="105"/>
        </w:rPr>
        <w:t>dollar value</w:t>
      </w:r>
      <w:r>
        <w:rPr>
          <w:spacing w:val="-5"/>
          <w:w w:val="105"/>
        </w:rPr>
        <w:t> </w:t>
      </w:r>
      <w:r>
        <w:rPr>
          <w:w w:val="105"/>
        </w:rPr>
        <w:t>of</w:t>
      </w:r>
      <w:r>
        <w:rPr>
          <w:spacing w:val="-5"/>
          <w:w w:val="105"/>
        </w:rPr>
        <w:t> </w:t>
      </w:r>
      <w:r>
        <w:rPr>
          <w:w w:val="105"/>
        </w:rPr>
        <w:t>these</w:t>
      </w:r>
      <w:r>
        <w:rPr>
          <w:spacing w:val="-5"/>
          <w:w w:val="105"/>
        </w:rPr>
        <w:t> </w:t>
      </w:r>
      <w:r>
        <w:rPr>
          <w:w w:val="105"/>
        </w:rPr>
        <w:t>activities</w:t>
      </w:r>
      <w:r>
        <w:rPr>
          <w:spacing w:val="-5"/>
          <w:w w:val="105"/>
        </w:rPr>
        <w:t> </w:t>
      </w:r>
      <w:r>
        <w:rPr>
          <w:w w:val="105"/>
        </w:rPr>
        <w:t>if</w:t>
      </w:r>
      <w:r>
        <w:rPr>
          <w:spacing w:val="-5"/>
          <w:w w:val="105"/>
        </w:rPr>
        <w:t> </w:t>
      </w:r>
      <w:r>
        <w:rPr>
          <w:w w:val="105"/>
        </w:rPr>
        <w:t>it</w:t>
      </w:r>
      <w:r>
        <w:rPr>
          <w:spacing w:val="-5"/>
          <w:w w:val="105"/>
        </w:rPr>
        <w:t> </w:t>
      </w:r>
      <w:r>
        <w:rPr>
          <w:w w:val="105"/>
        </w:rPr>
        <w:t>is</w:t>
      </w:r>
      <w:r>
        <w:rPr>
          <w:spacing w:val="-5"/>
          <w:w w:val="105"/>
        </w:rPr>
        <w:t> </w:t>
      </w:r>
      <w:r>
        <w:rPr>
          <w:w w:val="105"/>
        </w:rPr>
        <w:t>not</w:t>
      </w:r>
      <w:r>
        <w:rPr>
          <w:spacing w:val="-5"/>
          <w:w w:val="105"/>
        </w:rPr>
        <w:t> </w:t>
      </w:r>
      <w:r>
        <w:rPr>
          <w:w w:val="105"/>
        </w:rPr>
        <w:t>possible,</w:t>
      </w:r>
      <w:r>
        <w:rPr>
          <w:spacing w:val="-5"/>
          <w:w w:val="105"/>
        </w:rPr>
        <w:t> </w:t>
      </w:r>
      <w:r>
        <w:rPr>
          <w:w w:val="105"/>
        </w:rPr>
        <w:t>cost-effective</w:t>
      </w:r>
      <w:r>
        <w:rPr>
          <w:spacing w:val="-5"/>
          <w:w w:val="105"/>
        </w:rPr>
        <w:t> </w:t>
      </w:r>
      <w:r>
        <w:rPr>
          <w:w w:val="105"/>
        </w:rPr>
        <w:t>or</w:t>
      </w:r>
      <w:r>
        <w:rPr>
          <w:spacing w:val="-5"/>
          <w:w w:val="105"/>
        </w:rPr>
        <w:t> </w:t>
      </w:r>
      <w:r>
        <w:rPr>
          <w:w w:val="105"/>
        </w:rPr>
        <w:t>should</w:t>
      </w:r>
      <w:r>
        <w:rPr>
          <w:spacing w:val="-5"/>
          <w:w w:val="105"/>
        </w:rPr>
        <w:t> </w:t>
      </w:r>
      <w:r>
        <w:rPr>
          <w:w w:val="105"/>
        </w:rPr>
        <w:t>we</w:t>
      </w:r>
      <w:r>
        <w:rPr>
          <w:spacing w:val="-5"/>
          <w:w w:val="105"/>
        </w:rPr>
        <w:t> </w:t>
      </w:r>
      <w:r>
        <w:rPr>
          <w:w w:val="105"/>
        </w:rPr>
        <w:t>not</w:t>
      </w:r>
      <w:r>
        <w:rPr>
          <w:spacing w:val="-4"/>
          <w:w w:val="105"/>
        </w:rPr>
        <w:t> </w:t>
      </w:r>
      <w:r>
        <w:rPr>
          <w:w w:val="105"/>
        </w:rPr>
        <w:t>elect</w:t>
      </w:r>
      <w:r>
        <w:rPr>
          <w:spacing w:val="-5"/>
          <w:w w:val="105"/>
        </w:rPr>
        <w:t> </w:t>
      </w:r>
      <w:r>
        <w:rPr>
          <w:w w:val="105"/>
        </w:rPr>
        <w:t>to</w:t>
      </w:r>
      <w:r>
        <w:rPr>
          <w:spacing w:val="-5"/>
          <w:w w:val="105"/>
        </w:rPr>
        <w:t> </w:t>
      </w:r>
      <w:r>
        <w:rPr>
          <w:w w:val="105"/>
        </w:rPr>
        <w:t>hedge</w:t>
      </w:r>
      <w:r>
        <w:rPr>
          <w:spacing w:val="-5"/>
          <w:w w:val="105"/>
        </w:rPr>
        <w:t> </w:t>
      </w:r>
      <w:r>
        <w:rPr>
          <w:w w:val="105"/>
        </w:rPr>
        <w:t>certain</w:t>
      </w:r>
      <w:r>
        <w:rPr>
          <w:spacing w:val="-5"/>
          <w:w w:val="105"/>
        </w:rPr>
        <w:t> </w:t>
      </w:r>
      <w:r>
        <w:rPr>
          <w:w w:val="105"/>
        </w:rPr>
        <w:t>currency</w:t>
      </w:r>
      <w:r>
        <w:rPr>
          <w:spacing w:val="-5"/>
          <w:w w:val="105"/>
        </w:rPr>
        <w:t> </w:t>
      </w:r>
      <w:r>
        <w:rPr>
          <w:w w:val="105"/>
        </w:rPr>
        <w:t>exposure.</w:t>
      </w:r>
      <w:r>
        <w:rPr>
          <w:spacing w:val="32"/>
          <w:w w:val="105"/>
        </w:rPr>
        <w:t> </w:t>
      </w:r>
      <w:r>
        <w:rPr>
          <w:w w:val="105"/>
        </w:rPr>
        <w:t>Additionally,</w:t>
      </w:r>
      <w:r>
        <w:rPr>
          <w:spacing w:val="-5"/>
          <w:w w:val="105"/>
        </w:rPr>
        <w:t> </w:t>
      </w:r>
      <w:r>
        <w:rPr>
          <w:w w:val="105"/>
        </w:rPr>
        <w:t>gains</w:t>
      </w:r>
      <w:r>
        <w:rPr>
          <w:spacing w:val="-5"/>
          <w:w w:val="105"/>
        </w:rPr>
        <w:t> </w:t>
      </w:r>
      <w:r>
        <w:rPr>
          <w:w w:val="105"/>
        </w:rPr>
        <w:t>or</w:t>
      </w:r>
      <w:r>
        <w:rPr>
          <w:spacing w:val="-5"/>
          <w:w w:val="105"/>
        </w:rPr>
        <w:t> </w:t>
      </w:r>
      <w:r>
        <w:rPr>
          <w:w w:val="105"/>
        </w:rPr>
        <w:t>losses</w:t>
      </w:r>
      <w:r>
        <w:rPr>
          <w:spacing w:val="-5"/>
          <w:w w:val="105"/>
        </w:rPr>
        <w:t> </w:t>
      </w:r>
      <w:r>
        <w:rPr>
          <w:w w:val="105"/>
        </w:rPr>
        <w:t>may</w:t>
      </w:r>
      <w:r>
        <w:rPr>
          <w:spacing w:val="-5"/>
          <w:w w:val="105"/>
        </w:rPr>
        <w:t> </w:t>
      </w:r>
      <w:r>
        <w:rPr>
          <w:w w:val="105"/>
        </w:rPr>
        <w:t>be</w:t>
      </w:r>
      <w:r>
        <w:rPr>
          <w:spacing w:val="-5"/>
          <w:w w:val="105"/>
        </w:rPr>
        <w:t> </w:t>
      </w:r>
      <w:r>
        <w:rPr>
          <w:w w:val="105"/>
        </w:rPr>
        <w:t>experienced</w:t>
      </w:r>
      <w:r>
        <w:rPr>
          <w:spacing w:val="-5"/>
          <w:w w:val="105"/>
        </w:rPr>
        <w:t> </w:t>
      </w:r>
      <w:r>
        <w:rPr>
          <w:w w:val="105"/>
        </w:rPr>
        <w:t>if</w:t>
      </w:r>
      <w:r>
        <w:rPr>
          <w:spacing w:val="-5"/>
          <w:w w:val="105"/>
        </w:rPr>
        <w:t> </w:t>
      </w:r>
      <w:r>
        <w:rPr>
          <w:w w:val="105"/>
        </w:rPr>
        <w:t>the underlying exposure which has been hedged increases or decreases significantly.</w:t>
      </w:r>
    </w:p>
    <w:p>
      <w:pPr>
        <w:pStyle w:val="BodyText"/>
        <w:spacing w:before="18"/>
      </w:pPr>
    </w:p>
    <w:p>
      <w:pPr>
        <w:pStyle w:val="BodyText"/>
        <w:spacing w:line="266" w:lineRule="auto" w:before="1"/>
        <w:ind w:left="156"/>
      </w:pPr>
      <w:r>
        <w:rPr>
          <w:w w:val="105"/>
        </w:rPr>
        <w:t>The</w:t>
      </w:r>
      <w:r>
        <w:rPr>
          <w:spacing w:val="-7"/>
          <w:w w:val="105"/>
        </w:rPr>
        <w:t> </w:t>
      </w:r>
      <w:r>
        <w:rPr>
          <w:w w:val="105"/>
        </w:rPr>
        <w:t>ultimate</w:t>
      </w:r>
      <w:r>
        <w:rPr>
          <w:spacing w:val="-7"/>
          <w:w w:val="105"/>
        </w:rPr>
        <w:t> </w:t>
      </w:r>
      <w:r>
        <w:rPr>
          <w:w w:val="105"/>
        </w:rPr>
        <w:t>realized</w:t>
      </w:r>
      <w:r>
        <w:rPr>
          <w:spacing w:val="-7"/>
          <w:w w:val="105"/>
        </w:rPr>
        <w:t> </w:t>
      </w:r>
      <w:r>
        <w:rPr>
          <w:w w:val="105"/>
        </w:rPr>
        <w:t>gain</w:t>
      </w:r>
      <w:r>
        <w:rPr>
          <w:spacing w:val="-7"/>
          <w:w w:val="105"/>
        </w:rPr>
        <w:t> </w:t>
      </w:r>
      <w:r>
        <w:rPr>
          <w:w w:val="105"/>
        </w:rPr>
        <w:t>or</w:t>
      </w:r>
      <w:r>
        <w:rPr>
          <w:spacing w:val="-7"/>
          <w:w w:val="105"/>
        </w:rPr>
        <w:t> </w:t>
      </w:r>
      <w:r>
        <w:rPr>
          <w:w w:val="105"/>
        </w:rPr>
        <w:t>loss</w:t>
      </w:r>
      <w:r>
        <w:rPr>
          <w:spacing w:val="-7"/>
          <w:w w:val="105"/>
        </w:rPr>
        <w:t> </w:t>
      </w:r>
      <w:r>
        <w:rPr>
          <w:w w:val="105"/>
        </w:rPr>
        <w:t>with</w:t>
      </w:r>
      <w:r>
        <w:rPr>
          <w:spacing w:val="-7"/>
          <w:w w:val="105"/>
        </w:rPr>
        <w:t> </w:t>
      </w:r>
      <w:r>
        <w:rPr>
          <w:w w:val="105"/>
        </w:rPr>
        <w:t>respect</w:t>
      </w:r>
      <w:r>
        <w:rPr>
          <w:spacing w:val="-6"/>
          <w:w w:val="105"/>
        </w:rPr>
        <w:t> </w:t>
      </w:r>
      <w:r>
        <w:rPr>
          <w:w w:val="105"/>
        </w:rPr>
        <w:t>to</w:t>
      </w:r>
      <w:r>
        <w:rPr>
          <w:spacing w:val="-7"/>
          <w:w w:val="105"/>
        </w:rPr>
        <w:t> </w:t>
      </w:r>
      <w:r>
        <w:rPr>
          <w:w w:val="105"/>
        </w:rPr>
        <w:t>currency</w:t>
      </w:r>
      <w:r>
        <w:rPr>
          <w:spacing w:val="-7"/>
          <w:w w:val="105"/>
        </w:rPr>
        <w:t> </w:t>
      </w:r>
      <w:r>
        <w:rPr>
          <w:w w:val="105"/>
        </w:rPr>
        <w:t>fluctuations</w:t>
      </w:r>
      <w:r>
        <w:rPr>
          <w:spacing w:val="-7"/>
          <w:w w:val="105"/>
        </w:rPr>
        <w:t> </w:t>
      </w:r>
      <w:r>
        <w:rPr>
          <w:w w:val="105"/>
        </w:rPr>
        <w:t>will</w:t>
      </w:r>
      <w:r>
        <w:rPr>
          <w:spacing w:val="-7"/>
          <w:w w:val="105"/>
        </w:rPr>
        <w:t> </w:t>
      </w:r>
      <w:r>
        <w:rPr>
          <w:w w:val="105"/>
        </w:rPr>
        <w:t>generally</w:t>
      </w:r>
      <w:r>
        <w:rPr>
          <w:spacing w:val="-7"/>
          <w:w w:val="105"/>
        </w:rPr>
        <w:t> </w:t>
      </w:r>
      <w:r>
        <w:rPr>
          <w:w w:val="105"/>
        </w:rPr>
        <w:t>depend</w:t>
      </w:r>
      <w:r>
        <w:rPr>
          <w:spacing w:val="-7"/>
          <w:w w:val="105"/>
        </w:rPr>
        <w:t> </w:t>
      </w:r>
      <w:r>
        <w:rPr>
          <w:w w:val="105"/>
        </w:rPr>
        <w:t>on</w:t>
      </w:r>
      <w:r>
        <w:rPr>
          <w:spacing w:val="-7"/>
          <w:w w:val="105"/>
        </w:rPr>
        <w:t> </w:t>
      </w:r>
      <w:r>
        <w:rPr>
          <w:w w:val="105"/>
        </w:rPr>
        <w:t>the</w:t>
      </w:r>
      <w:r>
        <w:rPr>
          <w:spacing w:val="-7"/>
          <w:w w:val="105"/>
        </w:rPr>
        <w:t> </w:t>
      </w:r>
      <w:r>
        <w:rPr>
          <w:w w:val="105"/>
        </w:rPr>
        <w:t>size</w:t>
      </w:r>
      <w:r>
        <w:rPr>
          <w:spacing w:val="-7"/>
          <w:w w:val="105"/>
        </w:rPr>
        <w:t> </w:t>
      </w:r>
      <w:r>
        <w:rPr>
          <w:w w:val="105"/>
        </w:rPr>
        <w:t>and</w:t>
      </w:r>
      <w:r>
        <w:rPr>
          <w:spacing w:val="-7"/>
          <w:w w:val="105"/>
        </w:rPr>
        <w:t> </w:t>
      </w:r>
      <w:r>
        <w:rPr>
          <w:w w:val="105"/>
        </w:rPr>
        <w:t>type</w:t>
      </w:r>
      <w:r>
        <w:rPr>
          <w:spacing w:val="-7"/>
          <w:w w:val="105"/>
        </w:rPr>
        <w:t> </w:t>
      </w:r>
      <w:r>
        <w:rPr>
          <w:w w:val="105"/>
        </w:rPr>
        <w:t>of</w:t>
      </w:r>
      <w:r>
        <w:rPr>
          <w:spacing w:val="-7"/>
          <w:w w:val="105"/>
        </w:rPr>
        <w:t> </w:t>
      </w:r>
      <w:r>
        <w:rPr>
          <w:w w:val="105"/>
        </w:rPr>
        <w:t>cross-currency</w:t>
      </w:r>
      <w:r>
        <w:rPr>
          <w:spacing w:val="-7"/>
          <w:w w:val="105"/>
        </w:rPr>
        <w:t> </w:t>
      </w:r>
      <w:r>
        <w:rPr>
          <w:w w:val="105"/>
        </w:rPr>
        <w:t>exposure</w:t>
      </w:r>
      <w:r>
        <w:rPr>
          <w:spacing w:val="-7"/>
          <w:w w:val="105"/>
        </w:rPr>
        <w:t> </w:t>
      </w:r>
      <w:r>
        <w:rPr>
          <w:w w:val="105"/>
        </w:rPr>
        <w:t>that</w:t>
      </w:r>
      <w:r>
        <w:rPr>
          <w:spacing w:val="-7"/>
          <w:w w:val="105"/>
        </w:rPr>
        <w:t> </w:t>
      </w:r>
      <w:r>
        <w:rPr>
          <w:w w:val="105"/>
        </w:rPr>
        <w:t>we</w:t>
      </w:r>
      <w:r>
        <w:rPr>
          <w:spacing w:val="-7"/>
          <w:w w:val="105"/>
        </w:rPr>
        <w:t> </w:t>
      </w:r>
      <w:r>
        <w:rPr>
          <w:w w:val="105"/>
        </w:rPr>
        <w:t>have,</w:t>
      </w:r>
      <w:r>
        <w:rPr>
          <w:spacing w:val="-7"/>
          <w:w w:val="105"/>
        </w:rPr>
        <w:t> </w:t>
      </w:r>
      <w:r>
        <w:rPr>
          <w:w w:val="105"/>
        </w:rPr>
        <w:t>the</w:t>
      </w:r>
      <w:r>
        <w:rPr>
          <w:spacing w:val="-7"/>
          <w:w w:val="105"/>
        </w:rPr>
        <w:t> </w:t>
      </w:r>
      <w:r>
        <w:rPr>
          <w:w w:val="105"/>
        </w:rPr>
        <w:t>changes</w:t>
      </w:r>
      <w:r>
        <w:rPr>
          <w:spacing w:val="-7"/>
          <w:w w:val="105"/>
        </w:rPr>
        <w:t> </w:t>
      </w:r>
      <w:r>
        <w:rPr>
          <w:w w:val="105"/>
        </w:rPr>
        <w:t>in exchange</w:t>
      </w:r>
      <w:r>
        <w:rPr>
          <w:spacing w:val="-1"/>
          <w:w w:val="105"/>
        </w:rPr>
        <w:t> </w:t>
      </w:r>
      <w:r>
        <w:rPr>
          <w:w w:val="105"/>
        </w:rPr>
        <w:t>rates</w:t>
      </w:r>
      <w:r>
        <w:rPr>
          <w:spacing w:val="-1"/>
          <w:w w:val="105"/>
        </w:rPr>
        <w:t> </w:t>
      </w:r>
      <w:r>
        <w:rPr>
          <w:w w:val="105"/>
        </w:rPr>
        <w:t>associated</w:t>
      </w:r>
      <w:r>
        <w:rPr>
          <w:spacing w:val="-1"/>
          <w:w w:val="105"/>
        </w:rPr>
        <w:t> </w:t>
      </w:r>
      <w:r>
        <w:rPr>
          <w:w w:val="105"/>
        </w:rPr>
        <w:t>with</w:t>
      </w:r>
      <w:r>
        <w:rPr>
          <w:spacing w:val="-1"/>
          <w:w w:val="105"/>
        </w:rPr>
        <w:t> </w:t>
      </w:r>
      <w:r>
        <w:rPr>
          <w:w w:val="105"/>
        </w:rPr>
        <w:t>those</w:t>
      </w:r>
      <w:r>
        <w:rPr>
          <w:spacing w:val="-1"/>
          <w:w w:val="105"/>
        </w:rPr>
        <w:t> </w:t>
      </w:r>
      <w:r>
        <w:rPr>
          <w:w w:val="105"/>
        </w:rPr>
        <w:t>exposures,</w:t>
      </w:r>
      <w:r>
        <w:rPr>
          <w:spacing w:val="-1"/>
          <w:w w:val="105"/>
        </w:rPr>
        <w:t> </w:t>
      </w:r>
      <w:r>
        <w:rPr>
          <w:w w:val="105"/>
        </w:rPr>
        <w:t>whether</w:t>
      </w:r>
      <w:r>
        <w:rPr>
          <w:spacing w:val="-1"/>
          <w:w w:val="105"/>
        </w:rPr>
        <w:t> </w:t>
      </w:r>
      <w:r>
        <w:rPr>
          <w:w w:val="105"/>
        </w:rPr>
        <w:t>we</w:t>
      </w:r>
      <w:r>
        <w:rPr>
          <w:spacing w:val="-1"/>
          <w:w w:val="105"/>
        </w:rPr>
        <w:t> </w:t>
      </w:r>
      <w:r>
        <w:rPr>
          <w:w w:val="105"/>
        </w:rPr>
        <w:t>have entered</w:t>
      </w:r>
      <w:r>
        <w:rPr>
          <w:spacing w:val="-1"/>
          <w:w w:val="105"/>
        </w:rPr>
        <w:t> </w:t>
      </w:r>
      <w:r>
        <w:rPr>
          <w:w w:val="105"/>
        </w:rPr>
        <w:t>into</w:t>
      </w:r>
      <w:r>
        <w:rPr>
          <w:spacing w:val="-1"/>
          <w:w w:val="105"/>
        </w:rPr>
        <w:t> </w:t>
      </w:r>
      <w:r>
        <w:rPr>
          <w:w w:val="105"/>
        </w:rPr>
        <w:t>foreign</w:t>
      </w:r>
      <w:r>
        <w:rPr>
          <w:spacing w:val="-1"/>
          <w:w w:val="105"/>
        </w:rPr>
        <w:t> </w:t>
      </w:r>
      <w:r>
        <w:rPr>
          <w:w w:val="105"/>
        </w:rPr>
        <w:t>currency</w:t>
      </w:r>
      <w:r>
        <w:rPr>
          <w:spacing w:val="-1"/>
          <w:w w:val="105"/>
        </w:rPr>
        <w:t> </w:t>
      </w:r>
      <w:r>
        <w:rPr>
          <w:w w:val="105"/>
        </w:rPr>
        <w:t>contracts</w:t>
      </w:r>
      <w:r>
        <w:rPr>
          <w:spacing w:val="-1"/>
          <w:w w:val="105"/>
        </w:rPr>
        <w:t> </w:t>
      </w:r>
      <w:r>
        <w:rPr>
          <w:w w:val="105"/>
        </w:rPr>
        <w:t>to</w:t>
      </w:r>
      <w:r>
        <w:rPr>
          <w:spacing w:val="-1"/>
          <w:w w:val="105"/>
        </w:rPr>
        <w:t> </w:t>
      </w:r>
      <w:r>
        <w:rPr>
          <w:w w:val="105"/>
        </w:rPr>
        <w:t>offset</w:t>
      </w:r>
      <w:r>
        <w:rPr>
          <w:spacing w:val="-1"/>
          <w:w w:val="105"/>
        </w:rPr>
        <w:t> </w:t>
      </w:r>
      <w:r>
        <w:rPr>
          <w:w w:val="105"/>
        </w:rPr>
        <w:t>these</w:t>
      </w:r>
      <w:r>
        <w:rPr>
          <w:spacing w:val="-1"/>
          <w:w w:val="105"/>
        </w:rPr>
        <w:t> </w:t>
      </w:r>
      <w:r>
        <w:rPr>
          <w:w w:val="105"/>
        </w:rPr>
        <w:t>exposures</w:t>
      </w:r>
      <w:r>
        <w:rPr>
          <w:spacing w:val="-1"/>
          <w:w w:val="105"/>
        </w:rPr>
        <w:t> </w:t>
      </w:r>
      <w:r>
        <w:rPr>
          <w:w w:val="105"/>
        </w:rPr>
        <w:t>and</w:t>
      </w:r>
      <w:r>
        <w:rPr>
          <w:spacing w:val="-1"/>
          <w:w w:val="105"/>
        </w:rPr>
        <w:t> </w:t>
      </w:r>
      <w:r>
        <w:rPr>
          <w:w w:val="105"/>
        </w:rPr>
        <w:t>other</w:t>
      </w:r>
      <w:r>
        <w:rPr>
          <w:spacing w:val="-1"/>
          <w:w w:val="105"/>
        </w:rPr>
        <w:t> </w:t>
      </w:r>
      <w:r>
        <w:rPr>
          <w:w w:val="105"/>
        </w:rPr>
        <w:t>factors.</w:t>
      </w:r>
    </w:p>
    <w:p>
      <w:pPr>
        <w:pStyle w:val="BodyText"/>
        <w:spacing w:before="19"/>
      </w:pPr>
    </w:p>
    <w:p>
      <w:pPr>
        <w:pStyle w:val="BodyText"/>
        <w:spacing w:line="266" w:lineRule="auto"/>
        <w:ind w:left="156"/>
      </w:pPr>
      <w:r>
        <w:rPr>
          <w:w w:val="105"/>
        </w:rPr>
        <w:t>These</w:t>
      </w:r>
      <w:r>
        <w:rPr>
          <w:spacing w:val="-8"/>
          <w:w w:val="105"/>
        </w:rPr>
        <w:t> </w:t>
      </w:r>
      <w:r>
        <w:rPr>
          <w:w w:val="105"/>
        </w:rPr>
        <w:t>factors,</w:t>
      </w:r>
      <w:r>
        <w:rPr>
          <w:spacing w:val="-8"/>
          <w:w w:val="105"/>
        </w:rPr>
        <w:t> </w:t>
      </w:r>
      <w:r>
        <w:rPr>
          <w:w w:val="105"/>
        </w:rPr>
        <w:t>which</w:t>
      </w:r>
      <w:r>
        <w:rPr>
          <w:spacing w:val="-8"/>
          <w:w w:val="105"/>
        </w:rPr>
        <w:t> </w:t>
      </w:r>
      <w:r>
        <w:rPr>
          <w:w w:val="105"/>
        </w:rPr>
        <w:t>are</w:t>
      </w:r>
      <w:r>
        <w:rPr>
          <w:spacing w:val="-8"/>
          <w:w w:val="105"/>
        </w:rPr>
        <w:t> </w:t>
      </w:r>
      <w:r>
        <w:rPr>
          <w:w w:val="105"/>
        </w:rPr>
        <w:t>variable</w:t>
      </w:r>
      <w:r>
        <w:rPr>
          <w:spacing w:val="-8"/>
          <w:w w:val="105"/>
        </w:rPr>
        <w:t> </w:t>
      </w:r>
      <w:r>
        <w:rPr>
          <w:w w:val="105"/>
        </w:rPr>
        <w:t>and</w:t>
      </w:r>
      <w:r>
        <w:rPr>
          <w:spacing w:val="-8"/>
          <w:w w:val="105"/>
        </w:rPr>
        <w:t> </w:t>
      </w:r>
      <w:r>
        <w:rPr>
          <w:w w:val="105"/>
        </w:rPr>
        <w:t>generally</w:t>
      </w:r>
      <w:r>
        <w:rPr>
          <w:spacing w:val="-8"/>
          <w:w w:val="105"/>
        </w:rPr>
        <w:t> </w:t>
      </w:r>
      <w:r>
        <w:rPr>
          <w:w w:val="105"/>
        </w:rPr>
        <w:t>outside</w:t>
      </w:r>
      <w:r>
        <w:rPr>
          <w:spacing w:val="-8"/>
          <w:w w:val="105"/>
        </w:rPr>
        <w:t> </w:t>
      </w:r>
      <w:r>
        <w:rPr>
          <w:w w:val="105"/>
        </w:rPr>
        <w:t>of</w:t>
      </w:r>
      <w:r>
        <w:rPr>
          <w:spacing w:val="-8"/>
          <w:w w:val="105"/>
        </w:rPr>
        <w:t> </w:t>
      </w:r>
      <w:r>
        <w:rPr>
          <w:w w:val="105"/>
        </w:rPr>
        <w:t>our</w:t>
      </w:r>
      <w:r>
        <w:rPr>
          <w:spacing w:val="-8"/>
          <w:w w:val="105"/>
        </w:rPr>
        <w:t> </w:t>
      </w:r>
      <w:r>
        <w:rPr>
          <w:w w:val="105"/>
        </w:rPr>
        <w:t>control,</w:t>
      </w:r>
      <w:r>
        <w:rPr>
          <w:spacing w:val="-8"/>
          <w:w w:val="105"/>
        </w:rPr>
        <w:t> </w:t>
      </w:r>
      <w:r>
        <w:rPr>
          <w:w w:val="105"/>
        </w:rPr>
        <w:t>could</w:t>
      </w:r>
      <w:r>
        <w:rPr>
          <w:spacing w:val="-8"/>
          <w:w w:val="105"/>
        </w:rPr>
        <w:t> </w:t>
      </w:r>
      <w:r>
        <w:rPr>
          <w:w w:val="105"/>
        </w:rPr>
        <w:t>materially</w:t>
      </w:r>
      <w:r>
        <w:rPr>
          <w:spacing w:val="-8"/>
          <w:w w:val="105"/>
        </w:rPr>
        <w:t> </w:t>
      </w:r>
      <w:r>
        <w:rPr>
          <w:w w:val="105"/>
        </w:rPr>
        <w:t>impact</w:t>
      </w:r>
      <w:r>
        <w:rPr>
          <w:spacing w:val="-8"/>
          <w:w w:val="105"/>
        </w:rPr>
        <w:t> </w:t>
      </w:r>
      <w:r>
        <w:rPr>
          <w:w w:val="105"/>
        </w:rPr>
        <w:t>our</w:t>
      </w:r>
      <w:r>
        <w:rPr>
          <w:spacing w:val="-8"/>
          <w:w w:val="105"/>
        </w:rPr>
        <w:t> </w:t>
      </w:r>
      <w:r>
        <w:rPr>
          <w:w w:val="105"/>
        </w:rPr>
        <w:t>results</w:t>
      </w:r>
      <w:r>
        <w:rPr>
          <w:spacing w:val="-8"/>
          <w:w w:val="105"/>
        </w:rPr>
        <w:t> </w:t>
      </w:r>
      <w:r>
        <w:rPr>
          <w:w w:val="105"/>
        </w:rPr>
        <w:t>of</w:t>
      </w:r>
      <w:r>
        <w:rPr>
          <w:spacing w:val="-8"/>
          <w:w w:val="105"/>
        </w:rPr>
        <w:t> </w:t>
      </w:r>
      <w:r>
        <w:rPr>
          <w:w w:val="105"/>
        </w:rPr>
        <w:t>operations,</w:t>
      </w:r>
      <w:r>
        <w:rPr>
          <w:spacing w:val="-8"/>
          <w:w w:val="105"/>
        </w:rPr>
        <w:t> </w:t>
      </w:r>
      <w:r>
        <w:rPr>
          <w:w w:val="105"/>
        </w:rPr>
        <w:t>anticipated</w:t>
      </w:r>
      <w:r>
        <w:rPr>
          <w:spacing w:val="-8"/>
          <w:w w:val="105"/>
        </w:rPr>
        <w:t> </w:t>
      </w:r>
      <w:r>
        <w:rPr>
          <w:w w:val="105"/>
        </w:rPr>
        <w:t>future</w:t>
      </w:r>
      <w:r>
        <w:rPr>
          <w:spacing w:val="-8"/>
          <w:w w:val="105"/>
        </w:rPr>
        <w:t> </w:t>
      </w:r>
      <w:r>
        <w:rPr>
          <w:w w:val="105"/>
        </w:rPr>
        <w:t>results,</w:t>
      </w:r>
      <w:r>
        <w:rPr>
          <w:spacing w:val="-8"/>
          <w:w w:val="105"/>
        </w:rPr>
        <w:t> </w:t>
      </w:r>
      <w:r>
        <w:rPr>
          <w:w w:val="105"/>
        </w:rPr>
        <w:t>financial</w:t>
      </w:r>
      <w:r>
        <w:rPr>
          <w:spacing w:val="-8"/>
          <w:w w:val="105"/>
        </w:rPr>
        <w:t> </w:t>
      </w:r>
      <w:r>
        <w:rPr>
          <w:w w:val="105"/>
        </w:rPr>
        <w:t>position</w:t>
      </w:r>
      <w:r>
        <w:rPr>
          <w:spacing w:val="-8"/>
          <w:w w:val="105"/>
        </w:rPr>
        <w:t> </w:t>
      </w:r>
      <w:r>
        <w:rPr>
          <w:w w:val="105"/>
        </w:rPr>
        <w:t>and</w:t>
      </w:r>
      <w:r>
        <w:rPr>
          <w:spacing w:val="-8"/>
          <w:w w:val="105"/>
        </w:rPr>
        <w:t> </w:t>
      </w:r>
      <w:r>
        <w:rPr>
          <w:w w:val="105"/>
        </w:rPr>
        <w:t>cash </w:t>
      </w:r>
      <w:r>
        <w:rPr>
          <w:spacing w:val="-2"/>
          <w:w w:val="105"/>
        </w:rPr>
        <w:t>flows.</w:t>
      </w:r>
    </w:p>
    <w:p>
      <w:pPr>
        <w:pStyle w:val="BodyText"/>
        <w:spacing w:before="19"/>
      </w:pPr>
    </w:p>
    <w:p>
      <w:pPr>
        <w:pStyle w:val="Heading2"/>
      </w:pPr>
      <w:r>
        <w:rPr>
          <w:spacing w:val="-2"/>
          <w:w w:val="105"/>
        </w:rPr>
        <w:t>We</w:t>
      </w:r>
      <w:r>
        <w:rPr>
          <w:w w:val="105"/>
        </w:rPr>
        <w:t> </w:t>
      </w:r>
      <w:r>
        <w:rPr>
          <w:spacing w:val="-2"/>
          <w:w w:val="105"/>
        </w:rPr>
        <w:t>may</w:t>
      </w:r>
      <w:r>
        <w:rPr>
          <w:spacing w:val="1"/>
          <w:w w:val="105"/>
        </w:rPr>
        <w:t> </w:t>
      </w:r>
      <w:r>
        <w:rPr>
          <w:spacing w:val="-2"/>
          <w:w w:val="105"/>
        </w:rPr>
        <w:t>have</w:t>
      </w:r>
      <w:r>
        <w:rPr>
          <w:spacing w:val="1"/>
          <w:w w:val="105"/>
        </w:rPr>
        <w:t> </w:t>
      </w:r>
      <w:r>
        <w:rPr>
          <w:spacing w:val="-2"/>
          <w:w w:val="105"/>
        </w:rPr>
        <w:t>significant</w:t>
      </w:r>
      <w:r>
        <w:rPr>
          <w:spacing w:val="1"/>
          <w:w w:val="105"/>
        </w:rPr>
        <w:t> </w:t>
      </w:r>
      <w:r>
        <w:rPr>
          <w:spacing w:val="-2"/>
          <w:w w:val="105"/>
        </w:rPr>
        <w:t>exposure</w:t>
      </w:r>
      <w:r>
        <w:rPr>
          <w:spacing w:val="1"/>
          <w:w w:val="105"/>
        </w:rPr>
        <w:t> </w:t>
      </w:r>
      <w:r>
        <w:rPr>
          <w:spacing w:val="-2"/>
          <w:w w:val="105"/>
        </w:rPr>
        <w:t>to</w:t>
      </w:r>
      <w:r>
        <w:rPr>
          <w:spacing w:val="1"/>
          <w:w w:val="105"/>
        </w:rPr>
        <w:t> </w:t>
      </w:r>
      <w:r>
        <w:rPr>
          <w:spacing w:val="-2"/>
          <w:w w:val="105"/>
        </w:rPr>
        <w:t>counterparties</w:t>
      </w:r>
      <w:r>
        <w:rPr>
          <w:spacing w:val="1"/>
          <w:w w:val="105"/>
        </w:rPr>
        <w:t> </w:t>
      </w:r>
      <w:r>
        <w:rPr>
          <w:spacing w:val="-2"/>
          <w:w w:val="105"/>
        </w:rPr>
        <w:t>of</w:t>
      </w:r>
      <w:r>
        <w:rPr>
          <w:spacing w:val="1"/>
          <w:w w:val="105"/>
        </w:rPr>
        <w:t> </w:t>
      </w:r>
      <w:r>
        <w:rPr>
          <w:spacing w:val="-2"/>
          <w:w w:val="105"/>
        </w:rPr>
        <w:t>our</w:t>
      </w:r>
      <w:r>
        <w:rPr>
          <w:spacing w:val="1"/>
          <w:w w:val="105"/>
        </w:rPr>
        <w:t> </w:t>
      </w:r>
      <w:r>
        <w:rPr>
          <w:spacing w:val="-2"/>
          <w:w w:val="105"/>
        </w:rPr>
        <w:t>related</w:t>
      </w:r>
      <w:r>
        <w:rPr>
          <w:spacing w:val="1"/>
          <w:w w:val="105"/>
        </w:rPr>
        <w:t> </w:t>
      </w:r>
      <w:r>
        <w:rPr>
          <w:spacing w:val="-2"/>
          <w:w w:val="105"/>
        </w:rPr>
        <w:t>derivatives</w:t>
      </w:r>
      <w:r>
        <w:rPr>
          <w:spacing w:val="1"/>
          <w:w w:val="105"/>
        </w:rPr>
        <w:t> </w:t>
      </w:r>
      <w:r>
        <w:rPr>
          <w:spacing w:val="-2"/>
          <w:w w:val="105"/>
        </w:rPr>
        <w:t>portfolio</w:t>
      </w:r>
    </w:p>
    <w:p>
      <w:pPr>
        <w:pStyle w:val="BodyText"/>
        <w:spacing w:before="39"/>
        <w:rPr>
          <w:b/>
        </w:rPr>
      </w:pPr>
    </w:p>
    <w:p>
      <w:pPr>
        <w:pStyle w:val="BodyText"/>
        <w:spacing w:line="266" w:lineRule="auto"/>
        <w:ind w:left="156"/>
      </w:pPr>
      <w:r>
        <w:rPr>
          <w:w w:val="105"/>
        </w:rPr>
        <w:t>We</w:t>
      </w:r>
      <w:r>
        <w:rPr>
          <w:spacing w:val="-2"/>
          <w:w w:val="105"/>
        </w:rPr>
        <w:t> </w:t>
      </w:r>
      <w:r>
        <w:rPr>
          <w:w w:val="105"/>
        </w:rPr>
        <w:t>maintain</w:t>
      </w:r>
      <w:r>
        <w:rPr>
          <w:spacing w:val="-2"/>
          <w:w w:val="105"/>
        </w:rPr>
        <w:t> </w:t>
      </w:r>
      <w:r>
        <w:rPr>
          <w:w w:val="105"/>
        </w:rPr>
        <w:t>a</w:t>
      </w:r>
      <w:r>
        <w:rPr>
          <w:spacing w:val="-2"/>
          <w:w w:val="105"/>
        </w:rPr>
        <w:t> </w:t>
      </w:r>
      <w:r>
        <w:rPr>
          <w:w w:val="105"/>
        </w:rPr>
        <w:t>significant</w:t>
      </w:r>
      <w:r>
        <w:rPr>
          <w:spacing w:val="-2"/>
          <w:w w:val="105"/>
        </w:rPr>
        <w:t> </w:t>
      </w:r>
      <w:r>
        <w:rPr>
          <w:w w:val="105"/>
        </w:rPr>
        <w:t>portfolio</w:t>
      </w:r>
      <w:r>
        <w:rPr>
          <w:spacing w:val="-2"/>
          <w:w w:val="105"/>
        </w:rPr>
        <w:t> </w:t>
      </w:r>
      <w:r>
        <w:rPr>
          <w:w w:val="105"/>
        </w:rPr>
        <w:t>of</w:t>
      </w:r>
      <w:r>
        <w:rPr>
          <w:spacing w:val="-2"/>
          <w:w w:val="105"/>
        </w:rPr>
        <w:t> </w:t>
      </w:r>
      <w:r>
        <w:rPr>
          <w:w w:val="105"/>
        </w:rPr>
        <w:t>over</w:t>
      </w:r>
      <w:r>
        <w:rPr>
          <w:spacing w:val="-2"/>
          <w:w w:val="105"/>
        </w:rPr>
        <w:t> </w:t>
      </w:r>
      <w:r>
        <w:rPr>
          <w:w w:val="105"/>
        </w:rPr>
        <w:t>the</w:t>
      </w:r>
      <w:r>
        <w:rPr>
          <w:spacing w:val="-2"/>
          <w:w w:val="105"/>
        </w:rPr>
        <w:t> </w:t>
      </w:r>
      <w:r>
        <w:rPr>
          <w:w w:val="105"/>
        </w:rPr>
        <w:t>counter</w:t>
      </w:r>
      <w:r>
        <w:rPr>
          <w:spacing w:val="-2"/>
          <w:w w:val="105"/>
        </w:rPr>
        <w:t> </w:t>
      </w:r>
      <w:r>
        <w:rPr>
          <w:w w:val="105"/>
        </w:rPr>
        <w:t>derivatives</w:t>
      </w:r>
      <w:r>
        <w:rPr>
          <w:spacing w:val="-2"/>
          <w:w w:val="105"/>
        </w:rPr>
        <w:t> </w:t>
      </w:r>
      <w:r>
        <w:rPr>
          <w:w w:val="105"/>
        </w:rPr>
        <w:t>to</w:t>
      </w:r>
      <w:r>
        <w:rPr>
          <w:spacing w:val="-2"/>
          <w:w w:val="105"/>
        </w:rPr>
        <w:t> </w:t>
      </w:r>
      <w:r>
        <w:rPr>
          <w:w w:val="105"/>
        </w:rPr>
        <w:t>hedge</w:t>
      </w:r>
      <w:r>
        <w:rPr>
          <w:spacing w:val="-2"/>
          <w:w w:val="105"/>
        </w:rPr>
        <w:t> </w:t>
      </w:r>
      <w:r>
        <w:rPr>
          <w:w w:val="105"/>
        </w:rPr>
        <w:t>our</w:t>
      </w:r>
      <w:r>
        <w:rPr>
          <w:spacing w:val="-2"/>
          <w:w w:val="105"/>
        </w:rPr>
        <w:t> </w:t>
      </w:r>
      <w:r>
        <w:rPr>
          <w:w w:val="105"/>
        </w:rPr>
        <w:t>projected</w:t>
      </w:r>
      <w:r>
        <w:rPr>
          <w:spacing w:val="-2"/>
          <w:w w:val="105"/>
        </w:rPr>
        <w:t> </w:t>
      </w:r>
      <w:r>
        <w:rPr>
          <w:w w:val="105"/>
        </w:rPr>
        <w:t>currency</w:t>
      </w:r>
      <w:r>
        <w:rPr>
          <w:spacing w:val="-2"/>
          <w:w w:val="105"/>
        </w:rPr>
        <w:t> </w:t>
      </w:r>
      <w:r>
        <w:rPr>
          <w:w w:val="105"/>
        </w:rPr>
        <w:t>exposure.</w:t>
      </w:r>
      <w:r>
        <w:rPr>
          <w:spacing w:val="39"/>
          <w:w w:val="105"/>
        </w:rPr>
        <w:t> </w:t>
      </w:r>
      <w:r>
        <w:rPr>
          <w:w w:val="105"/>
        </w:rPr>
        <w:t>We</w:t>
      </w:r>
      <w:r>
        <w:rPr>
          <w:spacing w:val="-2"/>
          <w:w w:val="105"/>
        </w:rPr>
        <w:t> </w:t>
      </w:r>
      <w:r>
        <w:rPr>
          <w:w w:val="105"/>
        </w:rPr>
        <w:t>are</w:t>
      </w:r>
      <w:r>
        <w:rPr>
          <w:spacing w:val="-2"/>
          <w:w w:val="105"/>
        </w:rPr>
        <w:t> </w:t>
      </w:r>
      <w:r>
        <w:rPr>
          <w:w w:val="105"/>
        </w:rPr>
        <w:t>exposed</w:t>
      </w:r>
      <w:r>
        <w:rPr>
          <w:spacing w:val="-2"/>
          <w:w w:val="105"/>
        </w:rPr>
        <w:t> </w:t>
      </w:r>
      <w:r>
        <w:rPr>
          <w:w w:val="105"/>
        </w:rPr>
        <w:t>to</w:t>
      </w:r>
      <w:r>
        <w:rPr>
          <w:spacing w:val="-2"/>
          <w:w w:val="105"/>
        </w:rPr>
        <w:t> </w:t>
      </w:r>
      <w:r>
        <w:rPr>
          <w:w w:val="105"/>
        </w:rPr>
        <w:t>potential</w:t>
      </w:r>
      <w:r>
        <w:rPr>
          <w:spacing w:val="-2"/>
          <w:w w:val="105"/>
        </w:rPr>
        <w:t> </w:t>
      </w:r>
      <w:r>
        <w:rPr>
          <w:w w:val="105"/>
        </w:rPr>
        <w:t>losses</w:t>
      </w:r>
      <w:r>
        <w:rPr>
          <w:spacing w:val="-2"/>
          <w:w w:val="105"/>
        </w:rPr>
        <w:t> </w:t>
      </w:r>
      <w:r>
        <w:rPr>
          <w:w w:val="105"/>
        </w:rPr>
        <w:t>in</w:t>
      </w:r>
      <w:r>
        <w:rPr>
          <w:spacing w:val="-2"/>
          <w:w w:val="105"/>
        </w:rPr>
        <w:t> </w:t>
      </w:r>
      <w:r>
        <w:rPr>
          <w:w w:val="105"/>
        </w:rPr>
        <w:t>the</w:t>
      </w:r>
      <w:r>
        <w:rPr>
          <w:spacing w:val="-2"/>
          <w:w w:val="105"/>
        </w:rPr>
        <w:t> </w:t>
      </w:r>
      <w:r>
        <w:rPr>
          <w:w w:val="105"/>
        </w:rPr>
        <w:t>event</w:t>
      </w:r>
      <w:r>
        <w:rPr>
          <w:spacing w:val="-2"/>
          <w:w w:val="105"/>
        </w:rPr>
        <w:t> </w:t>
      </w:r>
      <w:r>
        <w:rPr>
          <w:w w:val="105"/>
        </w:rPr>
        <w:t>of</w:t>
      </w:r>
      <w:r>
        <w:rPr>
          <w:spacing w:val="-2"/>
          <w:w w:val="105"/>
        </w:rPr>
        <w:t> </w:t>
      </w:r>
      <w:r>
        <w:rPr>
          <w:w w:val="105"/>
        </w:rPr>
        <w:t>non- performance</w:t>
      </w:r>
      <w:r>
        <w:rPr>
          <w:spacing w:val="-8"/>
          <w:w w:val="105"/>
        </w:rPr>
        <w:t> </w:t>
      </w:r>
      <w:r>
        <w:rPr>
          <w:w w:val="105"/>
        </w:rPr>
        <w:t>by</w:t>
      </w:r>
      <w:r>
        <w:rPr>
          <w:spacing w:val="-8"/>
          <w:w w:val="105"/>
        </w:rPr>
        <w:t> </w:t>
      </w:r>
      <w:r>
        <w:rPr>
          <w:w w:val="105"/>
        </w:rPr>
        <w:t>our</w:t>
      </w:r>
      <w:r>
        <w:rPr>
          <w:spacing w:val="-8"/>
          <w:w w:val="105"/>
        </w:rPr>
        <w:t> </w:t>
      </w:r>
      <w:r>
        <w:rPr>
          <w:w w:val="105"/>
        </w:rPr>
        <w:t>counterparties</w:t>
      </w:r>
      <w:r>
        <w:rPr>
          <w:spacing w:val="-8"/>
          <w:w w:val="105"/>
        </w:rPr>
        <w:t> </w:t>
      </w:r>
      <w:r>
        <w:rPr>
          <w:w w:val="105"/>
        </w:rPr>
        <w:t>to</w:t>
      </w:r>
      <w:r>
        <w:rPr>
          <w:spacing w:val="-8"/>
          <w:w w:val="105"/>
        </w:rPr>
        <w:t> </w:t>
      </w:r>
      <w:r>
        <w:rPr>
          <w:w w:val="105"/>
        </w:rPr>
        <w:t>these</w:t>
      </w:r>
      <w:r>
        <w:rPr>
          <w:spacing w:val="-8"/>
          <w:w w:val="105"/>
        </w:rPr>
        <w:t> </w:t>
      </w:r>
      <w:r>
        <w:rPr>
          <w:w w:val="105"/>
        </w:rPr>
        <w:t>derivative</w:t>
      </w:r>
      <w:r>
        <w:rPr>
          <w:spacing w:val="-8"/>
          <w:w w:val="105"/>
        </w:rPr>
        <w:t> </w:t>
      </w:r>
      <w:r>
        <w:rPr>
          <w:w w:val="105"/>
        </w:rPr>
        <w:t>contracts.</w:t>
      </w:r>
      <w:r>
        <w:rPr>
          <w:spacing w:val="-8"/>
          <w:w w:val="105"/>
        </w:rPr>
        <w:t> </w:t>
      </w:r>
      <w:r>
        <w:rPr>
          <w:w w:val="105"/>
        </w:rPr>
        <w:t>Any</w:t>
      </w:r>
      <w:r>
        <w:rPr>
          <w:spacing w:val="-8"/>
          <w:w w:val="105"/>
        </w:rPr>
        <w:t> </w:t>
      </w:r>
      <w:r>
        <w:rPr>
          <w:w w:val="105"/>
        </w:rPr>
        <w:t>failure</w:t>
      </w:r>
      <w:r>
        <w:rPr>
          <w:spacing w:val="-8"/>
          <w:w w:val="105"/>
        </w:rPr>
        <w:t> </w:t>
      </w:r>
      <w:r>
        <w:rPr>
          <w:w w:val="105"/>
        </w:rPr>
        <w:t>of</w:t>
      </w:r>
      <w:r>
        <w:rPr>
          <w:spacing w:val="-8"/>
          <w:w w:val="105"/>
        </w:rPr>
        <w:t> </w:t>
      </w:r>
      <w:r>
        <w:rPr>
          <w:w w:val="105"/>
        </w:rPr>
        <w:t>a</w:t>
      </w:r>
      <w:r>
        <w:rPr>
          <w:spacing w:val="-8"/>
          <w:w w:val="105"/>
        </w:rPr>
        <w:t> </w:t>
      </w:r>
      <w:r>
        <w:rPr>
          <w:w w:val="105"/>
        </w:rPr>
        <w:t>counterparty</w:t>
      </w:r>
      <w:r>
        <w:rPr>
          <w:spacing w:val="-8"/>
          <w:w w:val="105"/>
        </w:rPr>
        <w:t> </w:t>
      </w:r>
      <w:r>
        <w:rPr>
          <w:w w:val="105"/>
        </w:rPr>
        <w:t>to</w:t>
      </w:r>
      <w:r>
        <w:rPr>
          <w:spacing w:val="-8"/>
          <w:w w:val="105"/>
        </w:rPr>
        <w:t> </w:t>
      </w:r>
      <w:r>
        <w:rPr>
          <w:w w:val="105"/>
        </w:rPr>
        <w:t>pay</w:t>
      </w:r>
      <w:r>
        <w:rPr>
          <w:spacing w:val="-8"/>
          <w:w w:val="105"/>
        </w:rPr>
        <w:t> </w:t>
      </w:r>
      <w:r>
        <w:rPr>
          <w:w w:val="105"/>
        </w:rPr>
        <w:t>on</w:t>
      </w:r>
      <w:r>
        <w:rPr>
          <w:spacing w:val="-8"/>
          <w:w w:val="105"/>
        </w:rPr>
        <w:t> </w:t>
      </w:r>
      <w:r>
        <w:rPr>
          <w:w w:val="105"/>
        </w:rPr>
        <w:t>such</w:t>
      </w:r>
      <w:r>
        <w:rPr>
          <w:spacing w:val="-8"/>
          <w:w w:val="105"/>
        </w:rPr>
        <w:t> </w:t>
      </w:r>
      <w:r>
        <w:rPr>
          <w:w w:val="105"/>
        </w:rPr>
        <w:t>a</w:t>
      </w:r>
      <w:r>
        <w:rPr>
          <w:spacing w:val="-8"/>
          <w:w w:val="105"/>
        </w:rPr>
        <w:t> </w:t>
      </w:r>
      <w:r>
        <w:rPr>
          <w:w w:val="105"/>
        </w:rPr>
        <w:t>contract</w:t>
      </w:r>
      <w:r>
        <w:rPr>
          <w:spacing w:val="-8"/>
          <w:w w:val="105"/>
        </w:rPr>
        <w:t> </w:t>
      </w:r>
      <w:r>
        <w:rPr>
          <w:w w:val="105"/>
        </w:rPr>
        <w:t>when</w:t>
      </w:r>
      <w:r>
        <w:rPr>
          <w:spacing w:val="-8"/>
          <w:w w:val="105"/>
        </w:rPr>
        <w:t> </w:t>
      </w:r>
      <w:r>
        <w:rPr>
          <w:w w:val="105"/>
        </w:rPr>
        <w:t>due</w:t>
      </w:r>
      <w:r>
        <w:rPr>
          <w:spacing w:val="-8"/>
          <w:w w:val="105"/>
        </w:rPr>
        <w:t> </w:t>
      </w:r>
      <w:r>
        <w:rPr>
          <w:w w:val="105"/>
        </w:rPr>
        <w:t>could</w:t>
      </w:r>
      <w:r>
        <w:rPr>
          <w:spacing w:val="-8"/>
          <w:w w:val="105"/>
        </w:rPr>
        <w:t> </w:t>
      </w:r>
      <w:r>
        <w:rPr>
          <w:w w:val="105"/>
        </w:rPr>
        <w:t>materially</w:t>
      </w:r>
      <w:r>
        <w:rPr>
          <w:spacing w:val="-8"/>
          <w:w w:val="105"/>
        </w:rPr>
        <w:t> </w:t>
      </w:r>
      <w:r>
        <w:rPr>
          <w:w w:val="105"/>
        </w:rPr>
        <w:t>impact</w:t>
      </w:r>
      <w:r>
        <w:rPr>
          <w:spacing w:val="-8"/>
          <w:w w:val="105"/>
        </w:rPr>
        <w:t> </w:t>
      </w:r>
      <w:r>
        <w:rPr>
          <w:w w:val="105"/>
        </w:rPr>
        <w:t>our</w:t>
      </w:r>
      <w:r>
        <w:rPr>
          <w:spacing w:val="-6"/>
          <w:w w:val="105"/>
        </w:rPr>
        <w:t> </w:t>
      </w:r>
      <w:r>
        <w:rPr>
          <w:w w:val="105"/>
        </w:rPr>
        <w:t>results</w:t>
      </w:r>
      <w:r>
        <w:rPr>
          <w:spacing w:val="-8"/>
          <w:w w:val="105"/>
        </w:rPr>
        <w:t> </w:t>
      </w:r>
      <w:r>
        <w:rPr>
          <w:w w:val="105"/>
        </w:rPr>
        <w:t>of operations, financial position, and cash flows.</w:t>
      </w:r>
    </w:p>
    <w:p>
      <w:pPr>
        <w:pStyle w:val="BodyText"/>
        <w:spacing w:before="19"/>
      </w:pPr>
    </w:p>
    <w:p>
      <w:pPr>
        <w:pStyle w:val="Heading2"/>
      </w:pPr>
      <w:r>
        <w:rPr>
          <w:spacing w:val="-2"/>
          <w:w w:val="105"/>
        </w:rPr>
        <w:t>Current</w:t>
      </w:r>
      <w:r>
        <w:rPr>
          <w:w w:val="105"/>
        </w:rPr>
        <w:t> </w:t>
      </w:r>
      <w:r>
        <w:rPr>
          <w:spacing w:val="-2"/>
          <w:w w:val="105"/>
        </w:rPr>
        <w:t>or</w:t>
      </w:r>
      <w:r>
        <w:rPr>
          <w:w w:val="105"/>
        </w:rPr>
        <w:t> </w:t>
      </w:r>
      <w:r>
        <w:rPr>
          <w:spacing w:val="-2"/>
          <w:w w:val="105"/>
        </w:rPr>
        <w:t>future</w:t>
      </w:r>
      <w:r>
        <w:rPr>
          <w:w w:val="105"/>
        </w:rPr>
        <w:t> </w:t>
      </w:r>
      <w:r>
        <w:rPr>
          <w:spacing w:val="-2"/>
          <w:w w:val="105"/>
        </w:rPr>
        <w:t>litigation</w:t>
      </w:r>
      <w:r>
        <w:rPr>
          <w:w w:val="105"/>
        </w:rPr>
        <w:t> </w:t>
      </w:r>
      <w:r>
        <w:rPr>
          <w:spacing w:val="-2"/>
          <w:w w:val="105"/>
        </w:rPr>
        <w:t>or</w:t>
      </w:r>
      <w:r>
        <w:rPr>
          <w:w w:val="105"/>
        </w:rPr>
        <w:t> </w:t>
      </w:r>
      <w:r>
        <w:rPr>
          <w:spacing w:val="-2"/>
          <w:w w:val="105"/>
        </w:rPr>
        <w:t>regulatory</w:t>
      </w:r>
      <w:r>
        <w:rPr>
          <w:w w:val="105"/>
        </w:rPr>
        <w:t> </w:t>
      </w:r>
      <w:r>
        <w:rPr>
          <w:spacing w:val="-2"/>
          <w:w w:val="105"/>
        </w:rPr>
        <w:t>investigations</w:t>
      </w:r>
      <w:r>
        <w:rPr>
          <w:spacing w:val="1"/>
          <w:w w:val="105"/>
        </w:rPr>
        <w:t> </w:t>
      </w:r>
      <w:r>
        <w:rPr>
          <w:spacing w:val="-2"/>
          <w:w w:val="105"/>
        </w:rPr>
        <w:t>may</w:t>
      </w:r>
      <w:r>
        <w:rPr>
          <w:w w:val="105"/>
        </w:rPr>
        <w:t> </w:t>
      </w:r>
      <w:r>
        <w:rPr>
          <w:spacing w:val="-2"/>
          <w:w w:val="105"/>
        </w:rPr>
        <w:t>harm</w:t>
      </w:r>
      <w:r>
        <w:rPr>
          <w:w w:val="105"/>
        </w:rPr>
        <w:t> </w:t>
      </w:r>
      <w:r>
        <w:rPr>
          <w:spacing w:val="-2"/>
          <w:w w:val="105"/>
        </w:rPr>
        <w:t>our</w:t>
      </w:r>
      <w:r>
        <w:rPr>
          <w:w w:val="105"/>
        </w:rPr>
        <w:t> </w:t>
      </w:r>
      <w:r>
        <w:rPr>
          <w:spacing w:val="-2"/>
          <w:w w:val="105"/>
        </w:rPr>
        <w:t>financial</w:t>
      </w:r>
      <w:r>
        <w:rPr>
          <w:w w:val="105"/>
        </w:rPr>
        <w:t> </w:t>
      </w:r>
      <w:r>
        <w:rPr>
          <w:spacing w:val="-2"/>
          <w:w w:val="105"/>
        </w:rPr>
        <w:t>condition</w:t>
      </w:r>
      <w:r>
        <w:rPr>
          <w:w w:val="105"/>
        </w:rPr>
        <w:t> </w:t>
      </w:r>
      <w:r>
        <w:rPr>
          <w:spacing w:val="-2"/>
          <w:w w:val="105"/>
        </w:rPr>
        <w:t>or</w:t>
      </w:r>
      <w:r>
        <w:rPr>
          <w:spacing w:val="3"/>
          <w:w w:val="105"/>
        </w:rPr>
        <w:t> </w:t>
      </w:r>
      <w:r>
        <w:rPr>
          <w:spacing w:val="-2"/>
          <w:w w:val="105"/>
        </w:rPr>
        <w:t>results</w:t>
      </w:r>
      <w:r>
        <w:rPr>
          <w:w w:val="105"/>
        </w:rPr>
        <w:t> </w:t>
      </w:r>
      <w:r>
        <w:rPr>
          <w:spacing w:val="-2"/>
          <w:w w:val="105"/>
        </w:rPr>
        <w:t>of</w:t>
      </w:r>
      <w:r>
        <w:rPr>
          <w:w w:val="105"/>
        </w:rPr>
        <w:t> </w:t>
      </w:r>
      <w:r>
        <w:rPr>
          <w:spacing w:val="-2"/>
          <w:w w:val="105"/>
        </w:rPr>
        <w:t>operations</w:t>
      </w:r>
    </w:p>
    <w:p>
      <w:pPr>
        <w:pStyle w:val="BodyText"/>
        <w:spacing w:before="39"/>
        <w:rPr>
          <w:b/>
        </w:rPr>
      </w:pPr>
    </w:p>
    <w:p>
      <w:pPr>
        <w:pStyle w:val="BodyText"/>
        <w:spacing w:line="266" w:lineRule="auto" w:before="1"/>
        <w:ind w:left="156" w:right="328"/>
      </w:pPr>
      <w:r>
        <w:rPr>
          <w:w w:val="105"/>
        </w:rPr>
        <w:t>As</w:t>
      </w:r>
      <w:r>
        <w:rPr>
          <w:spacing w:val="-9"/>
          <w:w w:val="105"/>
        </w:rPr>
        <w:t> </w:t>
      </w:r>
      <w:r>
        <w:rPr>
          <w:w w:val="105"/>
        </w:rPr>
        <w:t>a</w:t>
      </w:r>
      <w:r>
        <w:rPr>
          <w:spacing w:val="-9"/>
          <w:w w:val="105"/>
        </w:rPr>
        <w:t> </w:t>
      </w:r>
      <w:r>
        <w:rPr>
          <w:w w:val="105"/>
        </w:rPr>
        <w:t>global</w:t>
      </w:r>
      <w:r>
        <w:rPr>
          <w:spacing w:val="-9"/>
          <w:w w:val="105"/>
        </w:rPr>
        <w:t> </w:t>
      </w:r>
      <w:r>
        <w:rPr>
          <w:w w:val="105"/>
        </w:rPr>
        <w:t>technology</w:t>
      </w:r>
      <w:r>
        <w:rPr>
          <w:spacing w:val="-9"/>
          <w:w w:val="105"/>
        </w:rPr>
        <w:t> </w:t>
      </w:r>
      <w:r>
        <w:rPr>
          <w:w w:val="105"/>
        </w:rPr>
        <w:t>and</w:t>
      </w:r>
      <w:r>
        <w:rPr>
          <w:spacing w:val="-9"/>
          <w:w w:val="105"/>
        </w:rPr>
        <w:t> </w:t>
      </w:r>
      <w:r>
        <w:rPr>
          <w:w w:val="105"/>
        </w:rPr>
        <w:t>manufacturing</w:t>
      </w:r>
      <w:r>
        <w:rPr>
          <w:spacing w:val="-9"/>
          <w:w w:val="105"/>
        </w:rPr>
        <w:t> </w:t>
      </w:r>
      <w:r>
        <w:rPr>
          <w:w w:val="105"/>
        </w:rPr>
        <w:t>company,</w:t>
      </w:r>
      <w:r>
        <w:rPr>
          <w:spacing w:val="-9"/>
          <w:w w:val="105"/>
        </w:rPr>
        <w:t> </w:t>
      </w:r>
      <w:r>
        <w:rPr>
          <w:w w:val="105"/>
        </w:rPr>
        <w:t>we</w:t>
      </w:r>
      <w:r>
        <w:rPr>
          <w:spacing w:val="-9"/>
          <w:w w:val="105"/>
        </w:rPr>
        <w:t> </w:t>
      </w:r>
      <w:r>
        <w:rPr>
          <w:w w:val="105"/>
        </w:rPr>
        <w:t>are</w:t>
      </w:r>
      <w:r>
        <w:rPr>
          <w:spacing w:val="-9"/>
          <w:w w:val="105"/>
        </w:rPr>
        <w:t> </w:t>
      </w:r>
      <w:r>
        <w:rPr>
          <w:w w:val="105"/>
        </w:rPr>
        <w:t>engaged</w:t>
      </w:r>
      <w:r>
        <w:rPr>
          <w:spacing w:val="-8"/>
          <w:w w:val="105"/>
        </w:rPr>
        <w:t> </w:t>
      </w:r>
      <w:r>
        <w:rPr>
          <w:w w:val="105"/>
        </w:rPr>
        <w:t>in</w:t>
      </w:r>
      <w:r>
        <w:rPr>
          <w:spacing w:val="-9"/>
          <w:w w:val="105"/>
        </w:rPr>
        <w:t> </w:t>
      </w:r>
      <w:r>
        <w:rPr>
          <w:w w:val="105"/>
        </w:rPr>
        <w:t>various</w:t>
      </w:r>
      <w:r>
        <w:rPr>
          <w:spacing w:val="-9"/>
          <w:w w:val="105"/>
        </w:rPr>
        <w:t> </w:t>
      </w:r>
      <w:r>
        <w:rPr>
          <w:w w:val="105"/>
        </w:rPr>
        <w:t>litigation</w:t>
      </w:r>
      <w:r>
        <w:rPr>
          <w:spacing w:val="-9"/>
          <w:w w:val="105"/>
        </w:rPr>
        <w:t> </w:t>
      </w:r>
      <w:r>
        <w:rPr>
          <w:w w:val="105"/>
        </w:rPr>
        <w:t>and</w:t>
      </w:r>
      <w:r>
        <w:rPr>
          <w:spacing w:val="-9"/>
          <w:w w:val="105"/>
        </w:rPr>
        <w:t> </w:t>
      </w:r>
      <w:r>
        <w:rPr>
          <w:w w:val="105"/>
        </w:rPr>
        <w:t>regulatory</w:t>
      </w:r>
      <w:r>
        <w:rPr>
          <w:spacing w:val="-9"/>
          <w:w w:val="105"/>
        </w:rPr>
        <w:t> </w:t>
      </w:r>
      <w:r>
        <w:rPr>
          <w:w w:val="105"/>
        </w:rPr>
        <w:t>matters.</w:t>
      </w:r>
      <w:r>
        <w:rPr>
          <w:spacing w:val="-9"/>
          <w:w w:val="105"/>
        </w:rPr>
        <w:t> </w:t>
      </w:r>
      <w:r>
        <w:rPr>
          <w:w w:val="105"/>
        </w:rPr>
        <w:t>Litigation</w:t>
      </w:r>
      <w:r>
        <w:rPr>
          <w:spacing w:val="-9"/>
          <w:w w:val="105"/>
        </w:rPr>
        <w:t> </w:t>
      </w:r>
      <w:r>
        <w:rPr>
          <w:w w:val="105"/>
        </w:rPr>
        <w:t>and</w:t>
      </w:r>
      <w:r>
        <w:rPr>
          <w:spacing w:val="-9"/>
          <w:w w:val="105"/>
        </w:rPr>
        <w:t> </w:t>
      </w:r>
      <w:r>
        <w:rPr>
          <w:w w:val="105"/>
        </w:rPr>
        <w:t>regulatory</w:t>
      </w:r>
      <w:r>
        <w:rPr>
          <w:spacing w:val="-9"/>
          <w:w w:val="105"/>
        </w:rPr>
        <w:t> </w:t>
      </w:r>
      <w:r>
        <w:rPr>
          <w:w w:val="105"/>
        </w:rPr>
        <w:t>proceedings</w:t>
      </w:r>
      <w:r>
        <w:rPr>
          <w:spacing w:val="-9"/>
          <w:w w:val="105"/>
        </w:rPr>
        <w:t> </w:t>
      </w:r>
      <w:r>
        <w:rPr>
          <w:w w:val="105"/>
        </w:rPr>
        <w:t>may</w:t>
      </w:r>
      <w:r>
        <w:rPr>
          <w:spacing w:val="-9"/>
          <w:w w:val="105"/>
        </w:rPr>
        <w:t> </w:t>
      </w:r>
      <w:r>
        <w:rPr>
          <w:w w:val="105"/>
        </w:rPr>
        <w:t>be</w:t>
      </w:r>
      <w:r>
        <w:rPr>
          <w:spacing w:val="-9"/>
          <w:w w:val="105"/>
        </w:rPr>
        <w:t> </w:t>
      </w:r>
      <w:r>
        <w:rPr>
          <w:w w:val="105"/>
        </w:rPr>
        <w:t>uncertain, and</w:t>
      </w:r>
      <w:r>
        <w:rPr>
          <w:spacing w:val="-2"/>
          <w:w w:val="105"/>
        </w:rPr>
        <w:t> </w:t>
      </w:r>
      <w:r>
        <w:rPr>
          <w:w w:val="105"/>
        </w:rPr>
        <w:t>adverse</w:t>
      </w:r>
      <w:r>
        <w:rPr>
          <w:spacing w:val="-2"/>
          <w:w w:val="105"/>
        </w:rPr>
        <w:t> </w:t>
      </w:r>
      <w:r>
        <w:rPr>
          <w:w w:val="105"/>
        </w:rPr>
        <w:t>rulings</w:t>
      </w:r>
      <w:r>
        <w:rPr>
          <w:spacing w:val="-2"/>
          <w:w w:val="105"/>
        </w:rPr>
        <w:t> </w:t>
      </w:r>
      <w:r>
        <w:rPr>
          <w:w w:val="105"/>
        </w:rPr>
        <w:t>could</w:t>
      </w:r>
      <w:r>
        <w:rPr>
          <w:spacing w:val="-2"/>
          <w:w w:val="105"/>
        </w:rPr>
        <w:t> </w:t>
      </w:r>
      <w:r>
        <w:rPr>
          <w:w w:val="105"/>
        </w:rPr>
        <w:t>occur,</w:t>
      </w:r>
      <w:r>
        <w:rPr>
          <w:spacing w:val="-2"/>
          <w:w w:val="105"/>
        </w:rPr>
        <w:t> </w:t>
      </w:r>
      <w:r>
        <w:rPr>
          <w:w w:val="105"/>
        </w:rPr>
        <w:t>resulting</w:t>
      </w:r>
      <w:r>
        <w:rPr>
          <w:spacing w:val="-2"/>
          <w:w w:val="105"/>
        </w:rPr>
        <w:t> </w:t>
      </w:r>
      <w:r>
        <w:rPr>
          <w:w w:val="105"/>
        </w:rPr>
        <w:t>in</w:t>
      </w:r>
      <w:r>
        <w:rPr>
          <w:spacing w:val="-2"/>
          <w:w w:val="105"/>
        </w:rPr>
        <w:t> </w:t>
      </w:r>
      <w:r>
        <w:rPr>
          <w:w w:val="105"/>
        </w:rPr>
        <w:t>significant</w:t>
      </w:r>
      <w:r>
        <w:rPr>
          <w:spacing w:val="-2"/>
          <w:w w:val="105"/>
        </w:rPr>
        <w:t> </w:t>
      </w:r>
      <w:r>
        <w:rPr>
          <w:w w:val="105"/>
        </w:rPr>
        <w:t>liabilities,</w:t>
      </w:r>
      <w:r>
        <w:rPr>
          <w:spacing w:val="-2"/>
          <w:w w:val="105"/>
        </w:rPr>
        <w:t> </w:t>
      </w:r>
      <w:r>
        <w:rPr>
          <w:w w:val="105"/>
        </w:rPr>
        <w:t>penalties</w:t>
      </w:r>
      <w:r>
        <w:rPr>
          <w:spacing w:val="-2"/>
          <w:w w:val="105"/>
        </w:rPr>
        <w:t> </w:t>
      </w:r>
      <w:r>
        <w:rPr>
          <w:w w:val="105"/>
        </w:rPr>
        <w:t>or</w:t>
      </w:r>
      <w:r>
        <w:rPr>
          <w:spacing w:val="-2"/>
          <w:w w:val="105"/>
        </w:rPr>
        <w:t> </w:t>
      </w:r>
      <w:r>
        <w:rPr>
          <w:w w:val="105"/>
        </w:rPr>
        <w:t>damages.</w:t>
      </w:r>
      <w:r>
        <w:rPr>
          <w:spacing w:val="-2"/>
          <w:w w:val="105"/>
        </w:rPr>
        <w:t> </w:t>
      </w:r>
      <w:r>
        <w:rPr>
          <w:w w:val="105"/>
        </w:rPr>
        <w:t>Any</w:t>
      </w:r>
      <w:r>
        <w:rPr>
          <w:spacing w:val="-2"/>
          <w:w w:val="105"/>
        </w:rPr>
        <w:t> </w:t>
      </w:r>
      <w:r>
        <w:rPr>
          <w:w w:val="105"/>
        </w:rPr>
        <w:t>such</w:t>
      </w:r>
      <w:r>
        <w:rPr>
          <w:spacing w:val="-2"/>
          <w:w w:val="105"/>
        </w:rPr>
        <w:t> </w:t>
      </w:r>
      <w:r>
        <w:rPr>
          <w:w w:val="105"/>
        </w:rPr>
        <w:t>substantial</w:t>
      </w:r>
      <w:r>
        <w:rPr>
          <w:spacing w:val="-2"/>
          <w:w w:val="105"/>
        </w:rPr>
        <w:t> </w:t>
      </w:r>
      <w:r>
        <w:rPr>
          <w:w w:val="105"/>
        </w:rPr>
        <w:t>legal</w:t>
      </w:r>
      <w:r>
        <w:rPr>
          <w:spacing w:val="-2"/>
          <w:w w:val="105"/>
        </w:rPr>
        <w:t> </w:t>
      </w:r>
      <w:r>
        <w:rPr>
          <w:w w:val="105"/>
        </w:rPr>
        <w:t>liability</w:t>
      </w:r>
      <w:r>
        <w:rPr>
          <w:spacing w:val="-2"/>
          <w:w w:val="105"/>
        </w:rPr>
        <w:t> </w:t>
      </w:r>
      <w:r>
        <w:rPr>
          <w:w w:val="105"/>
        </w:rPr>
        <w:t>or regulatory</w:t>
      </w:r>
      <w:r>
        <w:rPr>
          <w:spacing w:val="-2"/>
          <w:w w:val="105"/>
        </w:rPr>
        <w:t> </w:t>
      </w:r>
      <w:r>
        <w:rPr>
          <w:w w:val="105"/>
        </w:rPr>
        <w:t>action</w:t>
      </w:r>
      <w:r>
        <w:rPr>
          <w:spacing w:val="-2"/>
          <w:w w:val="105"/>
        </w:rPr>
        <w:t> </w:t>
      </w:r>
      <w:r>
        <w:rPr>
          <w:w w:val="105"/>
        </w:rPr>
        <w:t>could</w:t>
      </w:r>
      <w:r>
        <w:rPr>
          <w:spacing w:val="-2"/>
          <w:w w:val="105"/>
        </w:rPr>
        <w:t> </w:t>
      </w:r>
      <w:r>
        <w:rPr>
          <w:w w:val="105"/>
        </w:rPr>
        <w:t>have</w:t>
      </w:r>
      <w:r>
        <w:rPr>
          <w:spacing w:val="-2"/>
          <w:w w:val="105"/>
        </w:rPr>
        <w:t> </w:t>
      </w:r>
      <w:r>
        <w:rPr>
          <w:w w:val="105"/>
        </w:rPr>
        <w:t>a</w:t>
      </w:r>
      <w:r>
        <w:rPr>
          <w:spacing w:val="-2"/>
          <w:w w:val="105"/>
        </w:rPr>
        <w:t> </w:t>
      </w:r>
      <w:r>
        <w:rPr>
          <w:w w:val="105"/>
        </w:rPr>
        <w:t>material adverse effect on our business, financial condition, cash flows and reputation.</w:t>
      </w:r>
    </w:p>
    <w:p>
      <w:pPr>
        <w:pStyle w:val="BodyText"/>
        <w:spacing w:before="18"/>
      </w:pPr>
    </w:p>
    <w:p>
      <w:pPr>
        <w:pStyle w:val="BodyText"/>
        <w:ind w:left="48"/>
        <w:jc w:val="center"/>
      </w:pPr>
      <w:r>
        <w:rPr>
          <w:spacing w:val="-5"/>
          <w:w w:val="105"/>
        </w:rPr>
        <w:t>19</w:t>
      </w:r>
    </w:p>
    <w:p>
      <w:pPr>
        <w:pStyle w:val="BodyText"/>
        <w:rPr>
          <w:sz w:val="6"/>
        </w:rPr>
      </w:pPr>
      <w:r>
        <w:rPr/>
        <mc:AlternateContent>
          <mc:Choice Requires="wps">
            <w:drawing>
              <wp:anchor distT="0" distB="0" distL="0" distR="0" allowOverlap="1" layoutInCell="1" locked="0" behindDoc="1" simplePos="0" relativeHeight="487598592">
                <wp:simplePos x="0" y="0"/>
                <wp:positionH relativeFrom="page">
                  <wp:posOffset>226488</wp:posOffset>
                </wp:positionH>
                <wp:positionV relativeFrom="paragraph">
                  <wp:posOffset>59051</wp:posOffset>
                </wp:positionV>
                <wp:extent cx="7312659" cy="1651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17888;mso-wrap-distance-left:0;mso-wrap-distance-right:0" id="docshape23"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spacing w:line="266" w:lineRule="auto"/>
        <w:ind w:right="116"/>
        <w:jc w:val="both"/>
      </w:pPr>
      <w:r>
        <w:rPr>
          <w:w w:val="105"/>
        </w:rPr>
        <w:t>Our</w:t>
      </w:r>
      <w:r>
        <w:rPr>
          <w:spacing w:val="-9"/>
          <w:w w:val="105"/>
        </w:rPr>
        <w:t> </w:t>
      </w:r>
      <w:r>
        <w:rPr>
          <w:w w:val="105"/>
        </w:rPr>
        <w:t>business</w:t>
      </w:r>
      <w:r>
        <w:rPr>
          <w:spacing w:val="-9"/>
          <w:w w:val="105"/>
        </w:rPr>
        <w:t> </w:t>
      </w:r>
      <w:r>
        <w:rPr>
          <w:w w:val="105"/>
        </w:rPr>
        <w:t>is</w:t>
      </w:r>
      <w:r>
        <w:rPr>
          <w:spacing w:val="-9"/>
          <w:w w:val="105"/>
        </w:rPr>
        <w:t> </w:t>
      </w:r>
      <w:r>
        <w:rPr>
          <w:w w:val="105"/>
        </w:rPr>
        <w:t>subject</w:t>
      </w:r>
      <w:r>
        <w:rPr>
          <w:spacing w:val="-9"/>
          <w:w w:val="105"/>
        </w:rPr>
        <w:t> </w:t>
      </w:r>
      <w:r>
        <w:rPr>
          <w:w w:val="105"/>
        </w:rPr>
        <w:t>to</w:t>
      </w:r>
      <w:r>
        <w:rPr>
          <w:spacing w:val="-9"/>
          <w:w w:val="105"/>
        </w:rPr>
        <w:t> </w:t>
      </w:r>
      <w:r>
        <w:rPr>
          <w:w w:val="105"/>
        </w:rPr>
        <w:t>various</w:t>
      </w:r>
      <w:r>
        <w:rPr>
          <w:spacing w:val="-9"/>
          <w:w w:val="105"/>
        </w:rPr>
        <w:t> </w:t>
      </w:r>
      <w:r>
        <w:rPr>
          <w:w w:val="105"/>
        </w:rPr>
        <w:t>governmental</w:t>
      </w:r>
      <w:r>
        <w:rPr>
          <w:spacing w:val="-9"/>
          <w:w w:val="105"/>
        </w:rPr>
        <w:t> </w:t>
      </w:r>
      <w:r>
        <w:rPr>
          <w:w w:val="105"/>
        </w:rPr>
        <w:t>regulations,</w:t>
      </w:r>
      <w:r>
        <w:rPr>
          <w:spacing w:val="-9"/>
          <w:w w:val="105"/>
        </w:rPr>
        <w:t> </w:t>
      </w:r>
      <w:r>
        <w:rPr>
          <w:w w:val="105"/>
        </w:rPr>
        <w:t>and</w:t>
      </w:r>
      <w:r>
        <w:rPr>
          <w:spacing w:val="-9"/>
          <w:w w:val="105"/>
        </w:rPr>
        <w:t> </w:t>
      </w:r>
      <w:r>
        <w:rPr>
          <w:w w:val="105"/>
        </w:rPr>
        <w:t>compliance</w:t>
      </w:r>
      <w:r>
        <w:rPr>
          <w:spacing w:val="-9"/>
          <w:w w:val="105"/>
        </w:rPr>
        <w:t> </w:t>
      </w:r>
      <w:r>
        <w:rPr>
          <w:w w:val="105"/>
        </w:rPr>
        <w:t>with</w:t>
      </w:r>
      <w:r>
        <w:rPr>
          <w:spacing w:val="-9"/>
          <w:w w:val="105"/>
        </w:rPr>
        <w:t> </w:t>
      </w:r>
      <w:r>
        <w:rPr>
          <w:w w:val="105"/>
        </w:rPr>
        <w:t>these</w:t>
      </w:r>
      <w:r>
        <w:rPr>
          <w:spacing w:val="-9"/>
          <w:w w:val="105"/>
        </w:rPr>
        <w:t> </w:t>
      </w:r>
      <w:r>
        <w:rPr>
          <w:w w:val="105"/>
        </w:rPr>
        <w:t>regulations</w:t>
      </w:r>
      <w:r>
        <w:rPr>
          <w:spacing w:val="-9"/>
          <w:w w:val="105"/>
        </w:rPr>
        <w:t> </w:t>
      </w:r>
      <w:r>
        <w:rPr>
          <w:w w:val="105"/>
        </w:rPr>
        <w:t>may</w:t>
      </w:r>
      <w:r>
        <w:rPr>
          <w:spacing w:val="-9"/>
          <w:w w:val="105"/>
        </w:rPr>
        <w:t> </w:t>
      </w:r>
      <w:r>
        <w:rPr>
          <w:w w:val="105"/>
        </w:rPr>
        <w:t>cause</w:t>
      </w:r>
      <w:r>
        <w:rPr>
          <w:spacing w:val="-9"/>
          <w:w w:val="105"/>
        </w:rPr>
        <w:t> </w:t>
      </w:r>
      <w:r>
        <w:rPr>
          <w:w w:val="105"/>
        </w:rPr>
        <w:t>us</w:t>
      </w:r>
      <w:r>
        <w:rPr>
          <w:spacing w:val="-9"/>
          <w:w w:val="105"/>
        </w:rPr>
        <w:t> </w:t>
      </w:r>
      <w:r>
        <w:rPr>
          <w:w w:val="105"/>
        </w:rPr>
        <w:t>to</w:t>
      </w:r>
      <w:r>
        <w:rPr>
          <w:spacing w:val="-9"/>
          <w:w w:val="105"/>
        </w:rPr>
        <w:t> </w:t>
      </w:r>
      <w:r>
        <w:rPr>
          <w:w w:val="105"/>
        </w:rPr>
        <w:t>incur</w:t>
      </w:r>
      <w:r>
        <w:rPr>
          <w:spacing w:val="-9"/>
          <w:w w:val="105"/>
        </w:rPr>
        <w:t> </w:t>
      </w:r>
      <w:r>
        <w:rPr>
          <w:w w:val="105"/>
        </w:rPr>
        <w:t>significant</w:t>
      </w:r>
      <w:r>
        <w:rPr>
          <w:spacing w:val="-9"/>
          <w:w w:val="105"/>
        </w:rPr>
        <w:t> </w:t>
      </w:r>
      <w:r>
        <w:rPr>
          <w:w w:val="105"/>
        </w:rPr>
        <w:t>expense.</w:t>
      </w:r>
      <w:r>
        <w:rPr>
          <w:spacing w:val="-9"/>
          <w:w w:val="105"/>
        </w:rPr>
        <w:t> </w:t>
      </w:r>
      <w:r>
        <w:rPr>
          <w:w w:val="105"/>
        </w:rPr>
        <w:t>If</w:t>
      </w:r>
      <w:r>
        <w:rPr>
          <w:spacing w:val="-9"/>
          <w:w w:val="105"/>
        </w:rPr>
        <w:t> </w:t>
      </w:r>
      <w:r>
        <w:rPr>
          <w:w w:val="105"/>
        </w:rPr>
        <w:t>we</w:t>
      </w:r>
      <w:r>
        <w:rPr>
          <w:spacing w:val="-9"/>
          <w:w w:val="105"/>
        </w:rPr>
        <w:t> </w:t>
      </w:r>
      <w:r>
        <w:rPr>
          <w:w w:val="105"/>
        </w:rPr>
        <w:t>fail</w:t>
      </w:r>
      <w:r>
        <w:rPr>
          <w:spacing w:val="-9"/>
          <w:w w:val="105"/>
        </w:rPr>
        <w:t> </w:t>
      </w:r>
      <w:r>
        <w:rPr>
          <w:w w:val="105"/>
        </w:rPr>
        <w:t>to</w:t>
      </w:r>
      <w:r>
        <w:rPr>
          <w:spacing w:val="-9"/>
          <w:w w:val="105"/>
        </w:rPr>
        <w:t> </w:t>
      </w:r>
      <w:r>
        <w:rPr>
          <w:w w:val="105"/>
        </w:rPr>
        <w:t>maintain compliance</w:t>
      </w:r>
      <w:r>
        <w:rPr>
          <w:spacing w:val="-8"/>
          <w:w w:val="105"/>
        </w:rPr>
        <w:t> </w:t>
      </w:r>
      <w:r>
        <w:rPr>
          <w:w w:val="105"/>
        </w:rPr>
        <w:t>with</w:t>
      </w:r>
      <w:r>
        <w:rPr>
          <w:spacing w:val="-8"/>
          <w:w w:val="105"/>
        </w:rPr>
        <w:t> </w:t>
      </w:r>
      <w:r>
        <w:rPr>
          <w:w w:val="105"/>
        </w:rPr>
        <w:t>applicable</w:t>
      </w:r>
      <w:r>
        <w:rPr>
          <w:spacing w:val="-8"/>
          <w:w w:val="105"/>
        </w:rPr>
        <w:t> </w:t>
      </w:r>
      <w:r>
        <w:rPr>
          <w:w w:val="105"/>
        </w:rPr>
        <w:t>regulations,</w:t>
      </w:r>
      <w:r>
        <w:rPr>
          <w:spacing w:val="-8"/>
          <w:w w:val="105"/>
        </w:rPr>
        <w:t> </w:t>
      </w:r>
      <w:r>
        <w:rPr>
          <w:w w:val="105"/>
        </w:rPr>
        <w:t>we</w:t>
      </w:r>
      <w:r>
        <w:rPr>
          <w:spacing w:val="-8"/>
          <w:w w:val="105"/>
        </w:rPr>
        <w:t> </w:t>
      </w:r>
      <w:r>
        <w:rPr>
          <w:w w:val="105"/>
        </w:rPr>
        <w:t>may</w:t>
      </w:r>
      <w:r>
        <w:rPr>
          <w:spacing w:val="-8"/>
          <w:w w:val="105"/>
        </w:rPr>
        <w:t> </w:t>
      </w:r>
      <w:r>
        <w:rPr>
          <w:w w:val="105"/>
        </w:rPr>
        <w:t>be</w:t>
      </w:r>
      <w:r>
        <w:rPr>
          <w:spacing w:val="-8"/>
          <w:w w:val="105"/>
        </w:rPr>
        <w:t> </w:t>
      </w:r>
      <w:r>
        <w:rPr>
          <w:w w:val="105"/>
        </w:rPr>
        <w:t>forced</w:t>
      </w:r>
      <w:r>
        <w:rPr>
          <w:spacing w:val="-8"/>
          <w:w w:val="105"/>
        </w:rPr>
        <w:t> </w:t>
      </w:r>
      <w:r>
        <w:rPr>
          <w:w w:val="105"/>
        </w:rPr>
        <w:t>to</w:t>
      </w:r>
      <w:r>
        <w:rPr>
          <w:spacing w:val="-8"/>
          <w:w w:val="105"/>
        </w:rPr>
        <w:t> </w:t>
      </w:r>
      <w:r>
        <w:rPr>
          <w:w w:val="105"/>
        </w:rPr>
        <w:t>cease</w:t>
      </w:r>
      <w:r>
        <w:rPr>
          <w:spacing w:val="-8"/>
          <w:w w:val="105"/>
        </w:rPr>
        <w:t> </w:t>
      </w:r>
      <w:r>
        <w:rPr>
          <w:w w:val="105"/>
        </w:rPr>
        <w:t>the</w:t>
      </w:r>
      <w:r>
        <w:rPr>
          <w:spacing w:val="-8"/>
          <w:w w:val="105"/>
        </w:rPr>
        <w:t> </w:t>
      </w:r>
      <w:r>
        <w:rPr>
          <w:w w:val="105"/>
        </w:rPr>
        <w:t>manufacture</w:t>
      </w:r>
      <w:r>
        <w:rPr>
          <w:spacing w:val="-8"/>
          <w:w w:val="105"/>
        </w:rPr>
        <w:t> </w:t>
      </w:r>
      <w:r>
        <w:rPr>
          <w:w w:val="105"/>
        </w:rPr>
        <w:t>and</w:t>
      </w:r>
      <w:r>
        <w:rPr>
          <w:spacing w:val="-8"/>
          <w:w w:val="105"/>
        </w:rPr>
        <w:t> </w:t>
      </w:r>
      <w:r>
        <w:rPr>
          <w:w w:val="105"/>
        </w:rPr>
        <w:t>distribution</w:t>
      </w:r>
      <w:r>
        <w:rPr>
          <w:spacing w:val="-8"/>
          <w:w w:val="105"/>
        </w:rPr>
        <w:t> </w:t>
      </w:r>
      <w:r>
        <w:rPr>
          <w:w w:val="105"/>
        </w:rPr>
        <w:t>of</w:t>
      </w:r>
      <w:r>
        <w:rPr>
          <w:spacing w:val="-8"/>
          <w:w w:val="105"/>
        </w:rPr>
        <w:t> </w:t>
      </w:r>
      <w:r>
        <w:rPr>
          <w:w w:val="105"/>
        </w:rPr>
        <w:t>certain</w:t>
      </w:r>
      <w:r>
        <w:rPr>
          <w:spacing w:val="-8"/>
          <w:w w:val="105"/>
        </w:rPr>
        <w:t> </w:t>
      </w:r>
      <w:r>
        <w:rPr>
          <w:w w:val="105"/>
        </w:rPr>
        <w:t>products,</w:t>
      </w:r>
      <w:r>
        <w:rPr>
          <w:spacing w:val="-8"/>
          <w:w w:val="105"/>
        </w:rPr>
        <w:t> </w:t>
      </w:r>
      <w:r>
        <w:rPr>
          <w:w w:val="105"/>
        </w:rPr>
        <w:t>and</w:t>
      </w:r>
      <w:r>
        <w:rPr>
          <w:spacing w:val="-8"/>
          <w:w w:val="105"/>
        </w:rPr>
        <w:t> </w:t>
      </w:r>
      <w:r>
        <w:rPr>
          <w:w w:val="105"/>
        </w:rPr>
        <w:t>we</w:t>
      </w:r>
      <w:r>
        <w:rPr>
          <w:spacing w:val="-8"/>
          <w:w w:val="105"/>
        </w:rPr>
        <w:t> </w:t>
      </w:r>
      <w:r>
        <w:rPr>
          <w:w w:val="105"/>
        </w:rPr>
        <w:t>could</w:t>
      </w:r>
      <w:r>
        <w:rPr>
          <w:spacing w:val="-8"/>
          <w:w w:val="105"/>
        </w:rPr>
        <w:t> </w:t>
      </w:r>
      <w:r>
        <w:rPr>
          <w:w w:val="105"/>
        </w:rPr>
        <w:t>be</w:t>
      </w:r>
      <w:r>
        <w:rPr>
          <w:spacing w:val="-8"/>
          <w:w w:val="105"/>
        </w:rPr>
        <w:t> </w:t>
      </w:r>
      <w:r>
        <w:rPr>
          <w:w w:val="105"/>
        </w:rPr>
        <w:t>subject</w:t>
      </w:r>
      <w:r>
        <w:rPr>
          <w:spacing w:val="-8"/>
          <w:w w:val="105"/>
        </w:rPr>
        <w:t> </w:t>
      </w:r>
      <w:r>
        <w:rPr>
          <w:w w:val="105"/>
        </w:rPr>
        <w:t>to</w:t>
      </w:r>
      <w:r>
        <w:rPr>
          <w:spacing w:val="-8"/>
          <w:w w:val="105"/>
        </w:rPr>
        <w:t> </w:t>
      </w:r>
      <w:r>
        <w:rPr>
          <w:w w:val="105"/>
        </w:rPr>
        <w:t>administrative proceedings and civil or criminal penalties</w:t>
      </w:r>
    </w:p>
    <w:p>
      <w:pPr>
        <w:pStyle w:val="BodyText"/>
        <w:spacing w:before="8"/>
        <w:rPr>
          <w:b/>
        </w:rPr>
      </w:pPr>
    </w:p>
    <w:p>
      <w:pPr>
        <w:pStyle w:val="BodyText"/>
        <w:spacing w:line="261" w:lineRule="auto"/>
        <w:ind w:left="156" w:right="117"/>
      </w:pPr>
      <w:r>
        <w:rPr>
          <w:w w:val="105"/>
        </w:rPr>
        <w:t>Our</w:t>
      </w:r>
      <w:r>
        <w:rPr>
          <w:spacing w:val="-1"/>
          <w:w w:val="105"/>
        </w:rPr>
        <w:t> </w:t>
      </w:r>
      <w:r>
        <w:rPr>
          <w:w w:val="105"/>
        </w:rPr>
        <w:t>products</w:t>
      </w:r>
      <w:r>
        <w:rPr>
          <w:spacing w:val="-1"/>
          <w:w w:val="105"/>
        </w:rPr>
        <w:t> </w:t>
      </w:r>
      <w:r>
        <w:rPr>
          <w:w w:val="105"/>
        </w:rPr>
        <w:t>and</w:t>
      </w:r>
      <w:r>
        <w:rPr>
          <w:spacing w:val="-1"/>
          <w:w w:val="105"/>
        </w:rPr>
        <w:t> </w:t>
      </w:r>
      <w:r>
        <w:rPr>
          <w:w w:val="105"/>
        </w:rPr>
        <w:t>operations</w:t>
      </w:r>
      <w:r>
        <w:rPr>
          <w:spacing w:val="-1"/>
          <w:w w:val="105"/>
        </w:rPr>
        <w:t> </w:t>
      </w:r>
      <w:r>
        <w:rPr>
          <w:w w:val="105"/>
        </w:rPr>
        <w:t>are also</w:t>
      </w:r>
      <w:r>
        <w:rPr>
          <w:spacing w:val="-1"/>
          <w:w w:val="105"/>
        </w:rPr>
        <w:t> </w:t>
      </w:r>
      <w:r>
        <w:rPr>
          <w:w w:val="105"/>
        </w:rPr>
        <w:t>subject</w:t>
      </w:r>
      <w:r>
        <w:rPr>
          <w:spacing w:val="-1"/>
          <w:w w:val="105"/>
        </w:rPr>
        <w:t> </w:t>
      </w:r>
      <w:r>
        <w:rPr>
          <w:w w:val="105"/>
        </w:rPr>
        <w:t>to</w:t>
      </w:r>
      <w:r>
        <w:rPr>
          <w:spacing w:val="-1"/>
          <w:w w:val="105"/>
        </w:rPr>
        <w:t> </w:t>
      </w:r>
      <w:r>
        <w:rPr>
          <w:w w:val="105"/>
        </w:rPr>
        <w:t>regulation</w:t>
      </w:r>
      <w:r>
        <w:rPr>
          <w:spacing w:val="-1"/>
          <w:w w:val="105"/>
        </w:rPr>
        <w:t> </w:t>
      </w:r>
      <w:r>
        <w:rPr>
          <w:w w:val="105"/>
        </w:rPr>
        <w:t>by</w:t>
      </w:r>
      <w:r>
        <w:rPr>
          <w:spacing w:val="-1"/>
          <w:w w:val="105"/>
        </w:rPr>
        <w:t> </w:t>
      </w:r>
      <w:r>
        <w:rPr>
          <w:w w:val="105"/>
        </w:rPr>
        <w:t>U.S.</w:t>
      </w:r>
      <w:r>
        <w:rPr>
          <w:spacing w:val="-1"/>
          <w:w w:val="105"/>
        </w:rPr>
        <w:t> </w:t>
      </w:r>
      <w:r>
        <w:rPr>
          <w:w w:val="105"/>
        </w:rPr>
        <w:t>and</w:t>
      </w:r>
      <w:r>
        <w:rPr>
          <w:spacing w:val="-1"/>
          <w:w w:val="105"/>
        </w:rPr>
        <w:t> </w:t>
      </w:r>
      <w:r>
        <w:rPr>
          <w:w w:val="105"/>
        </w:rPr>
        <w:t>non</w:t>
      </w:r>
      <w:r>
        <w:rPr>
          <w:rFonts w:ascii="MS PGothic" w:hAnsi="MS PGothic"/>
          <w:w w:val="105"/>
        </w:rPr>
        <w:t>‐</w:t>
      </w:r>
      <w:r>
        <w:rPr>
          <w:w w:val="105"/>
        </w:rPr>
        <w:t>U.S.</w:t>
      </w:r>
      <w:r>
        <w:rPr>
          <w:spacing w:val="-1"/>
          <w:w w:val="105"/>
        </w:rPr>
        <w:t> </w:t>
      </w:r>
      <w:r>
        <w:rPr>
          <w:w w:val="105"/>
        </w:rPr>
        <w:t>regulatory</w:t>
      </w:r>
      <w:r>
        <w:rPr>
          <w:spacing w:val="-1"/>
          <w:w w:val="105"/>
        </w:rPr>
        <w:t> </w:t>
      </w:r>
      <w:r>
        <w:rPr>
          <w:w w:val="105"/>
        </w:rPr>
        <w:t>agencies,</w:t>
      </w:r>
      <w:r>
        <w:rPr>
          <w:spacing w:val="-1"/>
          <w:w w:val="105"/>
        </w:rPr>
        <w:t> </w:t>
      </w:r>
      <w:r>
        <w:rPr>
          <w:w w:val="105"/>
        </w:rPr>
        <w:t>such</w:t>
      </w:r>
      <w:r>
        <w:rPr>
          <w:spacing w:val="-1"/>
          <w:w w:val="105"/>
        </w:rPr>
        <w:t> </w:t>
      </w:r>
      <w:r>
        <w:rPr>
          <w:w w:val="105"/>
        </w:rPr>
        <w:t>as</w:t>
      </w:r>
      <w:r>
        <w:rPr>
          <w:spacing w:val="-1"/>
          <w:w w:val="105"/>
        </w:rPr>
        <w:t> </w:t>
      </w:r>
      <w:r>
        <w:rPr>
          <w:w w:val="105"/>
        </w:rPr>
        <w:t>the</w:t>
      </w:r>
      <w:r>
        <w:rPr>
          <w:spacing w:val="-1"/>
          <w:w w:val="105"/>
        </w:rPr>
        <w:t> </w:t>
      </w:r>
      <w:r>
        <w:rPr>
          <w:w w:val="105"/>
        </w:rPr>
        <w:t>U.S.</w:t>
      </w:r>
      <w:r>
        <w:rPr>
          <w:spacing w:val="-1"/>
          <w:w w:val="105"/>
        </w:rPr>
        <w:t> </w:t>
      </w:r>
      <w:r>
        <w:rPr>
          <w:w w:val="105"/>
        </w:rPr>
        <w:t>Federal</w:t>
      </w:r>
      <w:r>
        <w:rPr>
          <w:spacing w:val="-1"/>
          <w:w w:val="105"/>
        </w:rPr>
        <w:t> </w:t>
      </w:r>
      <w:r>
        <w:rPr>
          <w:w w:val="105"/>
        </w:rPr>
        <w:t>Trade</w:t>
      </w:r>
      <w:r>
        <w:rPr>
          <w:spacing w:val="-1"/>
          <w:w w:val="105"/>
        </w:rPr>
        <w:t> </w:t>
      </w:r>
      <w:r>
        <w:rPr>
          <w:w w:val="105"/>
        </w:rPr>
        <w:t>Commission</w:t>
      </w:r>
      <w:r>
        <w:rPr>
          <w:spacing w:val="-1"/>
          <w:w w:val="105"/>
        </w:rPr>
        <w:t> </w:t>
      </w:r>
      <w:r>
        <w:rPr>
          <w:w w:val="105"/>
        </w:rPr>
        <w:t>(“FTC”).</w:t>
      </w:r>
      <w:r>
        <w:rPr>
          <w:spacing w:val="-1"/>
          <w:w w:val="105"/>
        </w:rPr>
        <w:t> </w:t>
      </w:r>
      <w:r>
        <w:rPr>
          <w:w w:val="105"/>
        </w:rPr>
        <w:t>From</w:t>
      </w:r>
      <w:r>
        <w:rPr>
          <w:spacing w:val="-1"/>
          <w:w w:val="105"/>
        </w:rPr>
        <w:t> </w:t>
      </w:r>
      <w:r>
        <w:rPr>
          <w:w w:val="105"/>
        </w:rPr>
        <w:t>time</w:t>
      </w:r>
      <w:r>
        <w:rPr>
          <w:spacing w:val="-1"/>
          <w:w w:val="105"/>
        </w:rPr>
        <w:t> </w:t>
      </w:r>
      <w:r>
        <w:rPr>
          <w:w w:val="105"/>
        </w:rPr>
        <w:t>to time,</w:t>
      </w:r>
      <w:r>
        <w:rPr>
          <w:spacing w:val="-2"/>
          <w:w w:val="105"/>
        </w:rPr>
        <w:t> </w:t>
      </w:r>
      <w:r>
        <w:rPr>
          <w:w w:val="105"/>
        </w:rPr>
        <w:t>we</w:t>
      </w:r>
      <w:r>
        <w:rPr>
          <w:spacing w:val="-2"/>
          <w:w w:val="105"/>
        </w:rPr>
        <w:t> </w:t>
      </w:r>
      <w:r>
        <w:rPr>
          <w:w w:val="105"/>
        </w:rPr>
        <w:t>may</w:t>
      </w:r>
      <w:r>
        <w:rPr>
          <w:spacing w:val="-2"/>
          <w:w w:val="105"/>
        </w:rPr>
        <w:t> </w:t>
      </w:r>
      <w:r>
        <w:rPr>
          <w:w w:val="105"/>
        </w:rPr>
        <w:t>also</w:t>
      </w:r>
      <w:r>
        <w:rPr>
          <w:spacing w:val="-2"/>
          <w:w w:val="105"/>
        </w:rPr>
        <w:t> </w:t>
      </w:r>
      <w:r>
        <w:rPr>
          <w:w w:val="105"/>
        </w:rPr>
        <w:t>be</w:t>
      </w:r>
      <w:r>
        <w:rPr>
          <w:spacing w:val="-2"/>
          <w:w w:val="105"/>
        </w:rPr>
        <w:t> </w:t>
      </w:r>
      <w:r>
        <w:rPr>
          <w:w w:val="105"/>
        </w:rPr>
        <w:t>involved</w:t>
      </w:r>
      <w:r>
        <w:rPr>
          <w:spacing w:val="-2"/>
          <w:w w:val="105"/>
        </w:rPr>
        <w:t> </w:t>
      </w:r>
      <w:r>
        <w:rPr>
          <w:w w:val="105"/>
        </w:rPr>
        <w:t>or</w:t>
      </w:r>
      <w:r>
        <w:rPr>
          <w:spacing w:val="-2"/>
          <w:w w:val="105"/>
        </w:rPr>
        <w:t> </w:t>
      </w:r>
      <w:r>
        <w:rPr>
          <w:w w:val="105"/>
        </w:rPr>
        <w:t>required</w:t>
      </w:r>
      <w:r>
        <w:rPr>
          <w:spacing w:val="-2"/>
          <w:w w:val="105"/>
        </w:rPr>
        <w:t> </w:t>
      </w:r>
      <w:r>
        <w:rPr>
          <w:w w:val="105"/>
        </w:rPr>
        <w:t>to</w:t>
      </w:r>
      <w:r>
        <w:rPr>
          <w:spacing w:val="-2"/>
          <w:w w:val="105"/>
        </w:rPr>
        <w:t> </w:t>
      </w:r>
      <w:r>
        <w:rPr>
          <w:w w:val="105"/>
        </w:rPr>
        <w:t>participate</w:t>
      </w:r>
      <w:r>
        <w:rPr>
          <w:spacing w:val="-2"/>
          <w:w w:val="105"/>
        </w:rPr>
        <w:t> </w:t>
      </w:r>
      <w:r>
        <w:rPr>
          <w:w w:val="105"/>
        </w:rPr>
        <w:t>in</w:t>
      </w:r>
      <w:r>
        <w:rPr>
          <w:spacing w:val="-2"/>
          <w:w w:val="105"/>
        </w:rPr>
        <w:t> </w:t>
      </w:r>
      <w:r>
        <w:rPr>
          <w:w w:val="105"/>
        </w:rPr>
        <w:t>regulatory</w:t>
      </w:r>
      <w:r>
        <w:rPr>
          <w:spacing w:val="-2"/>
          <w:w w:val="105"/>
        </w:rPr>
        <w:t> </w:t>
      </w:r>
      <w:r>
        <w:rPr>
          <w:w w:val="105"/>
        </w:rPr>
        <w:t>investigations</w:t>
      </w:r>
      <w:r>
        <w:rPr>
          <w:spacing w:val="-2"/>
          <w:w w:val="105"/>
        </w:rPr>
        <w:t> </w:t>
      </w:r>
      <w:r>
        <w:rPr>
          <w:w w:val="105"/>
        </w:rPr>
        <w:t>or</w:t>
      </w:r>
      <w:r>
        <w:rPr>
          <w:spacing w:val="-2"/>
          <w:w w:val="105"/>
        </w:rPr>
        <w:t> </w:t>
      </w:r>
      <w:r>
        <w:rPr>
          <w:w w:val="105"/>
        </w:rPr>
        <w:t>inquiries,</w:t>
      </w:r>
      <w:r>
        <w:rPr>
          <w:spacing w:val="-2"/>
          <w:w w:val="105"/>
        </w:rPr>
        <w:t> </w:t>
      </w:r>
      <w:r>
        <w:rPr>
          <w:w w:val="105"/>
        </w:rPr>
        <w:t>into</w:t>
      </w:r>
      <w:r>
        <w:rPr>
          <w:spacing w:val="-2"/>
          <w:w w:val="105"/>
        </w:rPr>
        <w:t> </w:t>
      </w:r>
      <w:r>
        <w:rPr>
          <w:w w:val="105"/>
        </w:rPr>
        <w:t>certain</w:t>
      </w:r>
      <w:r>
        <w:rPr>
          <w:spacing w:val="-2"/>
          <w:w w:val="105"/>
        </w:rPr>
        <w:t> </w:t>
      </w:r>
      <w:r>
        <w:rPr>
          <w:w w:val="105"/>
        </w:rPr>
        <w:t>of</w:t>
      </w:r>
      <w:r>
        <w:rPr>
          <w:spacing w:val="-2"/>
          <w:w w:val="105"/>
        </w:rPr>
        <w:t> </w:t>
      </w:r>
      <w:r>
        <w:rPr>
          <w:w w:val="105"/>
        </w:rPr>
        <w:t>our</w:t>
      </w:r>
      <w:r>
        <w:rPr>
          <w:spacing w:val="-2"/>
          <w:w w:val="105"/>
        </w:rPr>
        <w:t> </w:t>
      </w:r>
      <w:r>
        <w:rPr>
          <w:w w:val="105"/>
        </w:rPr>
        <w:t>contracting</w:t>
      </w:r>
      <w:r>
        <w:rPr>
          <w:spacing w:val="-2"/>
          <w:w w:val="105"/>
        </w:rPr>
        <w:t> </w:t>
      </w:r>
      <w:r>
        <w:rPr>
          <w:w w:val="105"/>
        </w:rPr>
        <w:t>and</w:t>
      </w:r>
      <w:r>
        <w:rPr>
          <w:spacing w:val="-2"/>
          <w:w w:val="105"/>
        </w:rPr>
        <w:t> </w:t>
      </w:r>
      <w:r>
        <w:rPr>
          <w:w w:val="105"/>
        </w:rPr>
        <w:t>business</w:t>
      </w:r>
      <w:r>
        <w:rPr>
          <w:spacing w:val="-2"/>
          <w:w w:val="105"/>
        </w:rPr>
        <w:t> </w:t>
      </w:r>
      <w:r>
        <w:rPr>
          <w:w w:val="105"/>
        </w:rPr>
        <w:t>practices,</w:t>
      </w:r>
      <w:r>
        <w:rPr>
          <w:spacing w:val="-2"/>
          <w:w w:val="105"/>
        </w:rPr>
        <w:t> </w:t>
      </w:r>
      <w:r>
        <w:rPr>
          <w:w w:val="105"/>
        </w:rPr>
        <w:t>which</w:t>
      </w:r>
      <w:r>
        <w:rPr>
          <w:spacing w:val="-2"/>
          <w:w w:val="105"/>
        </w:rPr>
        <w:t> </w:t>
      </w:r>
      <w:r>
        <w:rPr>
          <w:w w:val="105"/>
        </w:rPr>
        <w:t>may</w:t>
      </w:r>
      <w:r>
        <w:rPr>
          <w:spacing w:val="-2"/>
          <w:w w:val="105"/>
        </w:rPr>
        <w:t> </w:t>
      </w:r>
      <w:r>
        <w:rPr>
          <w:w w:val="105"/>
        </w:rPr>
        <w:t>evolve</w:t>
      </w:r>
      <w:r>
        <w:rPr>
          <w:w w:val="105"/>
        </w:rPr>
        <w:t> into</w:t>
      </w:r>
      <w:r>
        <w:rPr>
          <w:spacing w:val="-9"/>
          <w:w w:val="105"/>
        </w:rPr>
        <w:t> </w:t>
      </w:r>
      <w:r>
        <w:rPr>
          <w:w w:val="105"/>
        </w:rPr>
        <w:t>legal</w:t>
      </w:r>
      <w:r>
        <w:rPr>
          <w:spacing w:val="-9"/>
          <w:w w:val="105"/>
        </w:rPr>
        <w:t> </w:t>
      </w:r>
      <w:r>
        <w:rPr>
          <w:w w:val="105"/>
        </w:rPr>
        <w:t>or</w:t>
      </w:r>
      <w:r>
        <w:rPr>
          <w:spacing w:val="-9"/>
          <w:w w:val="105"/>
        </w:rPr>
        <w:t> </w:t>
      </w:r>
      <w:r>
        <w:rPr>
          <w:w w:val="105"/>
        </w:rPr>
        <w:t>other</w:t>
      </w:r>
      <w:r>
        <w:rPr>
          <w:spacing w:val="-9"/>
          <w:w w:val="105"/>
        </w:rPr>
        <w:t> </w:t>
      </w:r>
      <w:r>
        <w:rPr>
          <w:w w:val="105"/>
        </w:rPr>
        <w:t>administrative</w:t>
      </w:r>
      <w:r>
        <w:rPr>
          <w:spacing w:val="-9"/>
          <w:w w:val="105"/>
        </w:rPr>
        <w:t> </w:t>
      </w:r>
      <w:r>
        <w:rPr>
          <w:w w:val="105"/>
        </w:rPr>
        <w:t>proceedings.</w:t>
      </w:r>
      <w:r>
        <w:rPr>
          <w:spacing w:val="-9"/>
          <w:w w:val="105"/>
        </w:rPr>
        <w:t> </w:t>
      </w:r>
      <w:r>
        <w:rPr>
          <w:w w:val="105"/>
        </w:rPr>
        <w:t>Growing</w:t>
      </w:r>
      <w:r>
        <w:rPr>
          <w:spacing w:val="-9"/>
          <w:w w:val="105"/>
        </w:rPr>
        <w:t> </w:t>
      </w:r>
      <w:r>
        <w:rPr>
          <w:w w:val="105"/>
        </w:rPr>
        <w:t>public</w:t>
      </w:r>
      <w:r>
        <w:rPr>
          <w:spacing w:val="-9"/>
          <w:w w:val="105"/>
        </w:rPr>
        <w:t> </w:t>
      </w:r>
      <w:r>
        <w:rPr>
          <w:w w:val="105"/>
        </w:rPr>
        <w:t>concern</w:t>
      </w:r>
      <w:r>
        <w:rPr>
          <w:spacing w:val="-9"/>
          <w:w w:val="105"/>
        </w:rPr>
        <w:t> </w:t>
      </w:r>
      <w:r>
        <w:rPr>
          <w:w w:val="105"/>
        </w:rPr>
        <w:t>over</w:t>
      </w:r>
      <w:r>
        <w:rPr>
          <w:spacing w:val="-9"/>
          <w:w w:val="105"/>
        </w:rPr>
        <w:t> </w:t>
      </w:r>
      <w:r>
        <w:rPr>
          <w:w w:val="105"/>
        </w:rPr>
        <w:t>concentration</w:t>
      </w:r>
      <w:r>
        <w:rPr>
          <w:spacing w:val="-9"/>
          <w:w w:val="105"/>
        </w:rPr>
        <w:t> </w:t>
      </w:r>
      <w:r>
        <w:rPr>
          <w:w w:val="105"/>
        </w:rPr>
        <w:t>of</w:t>
      </w:r>
      <w:r>
        <w:rPr>
          <w:spacing w:val="-9"/>
          <w:w w:val="105"/>
        </w:rPr>
        <w:t> </w:t>
      </w:r>
      <w:r>
        <w:rPr>
          <w:w w:val="105"/>
        </w:rPr>
        <w:t>economic</w:t>
      </w:r>
      <w:r>
        <w:rPr>
          <w:spacing w:val="-9"/>
          <w:w w:val="105"/>
        </w:rPr>
        <w:t> </w:t>
      </w:r>
      <w:r>
        <w:rPr>
          <w:w w:val="105"/>
        </w:rPr>
        <w:t>power</w:t>
      </w:r>
      <w:r>
        <w:rPr>
          <w:spacing w:val="-9"/>
          <w:w w:val="105"/>
        </w:rPr>
        <w:t> </w:t>
      </w:r>
      <w:r>
        <w:rPr>
          <w:w w:val="105"/>
        </w:rPr>
        <w:t>in</w:t>
      </w:r>
      <w:r>
        <w:rPr>
          <w:spacing w:val="-9"/>
          <w:w w:val="105"/>
        </w:rPr>
        <w:t> </w:t>
      </w:r>
      <w:r>
        <w:rPr>
          <w:w w:val="105"/>
        </w:rPr>
        <w:t>corporations</w:t>
      </w:r>
      <w:r>
        <w:rPr>
          <w:spacing w:val="-9"/>
          <w:w w:val="105"/>
        </w:rPr>
        <w:t> </w:t>
      </w:r>
      <w:r>
        <w:rPr>
          <w:w w:val="105"/>
        </w:rPr>
        <w:t>is</w:t>
      </w:r>
      <w:r>
        <w:rPr>
          <w:spacing w:val="-9"/>
          <w:w w:val="105"/>
        </w:rPr>
        <w:t> </w:t>
      </w:r>
      <w:r>
        <w:rPr>
          <w:w w:val="105"/>
        </w:rPr>
        <w:t>likely</w:t>
      </w:r>
      <w:r>
        <w:rPr>
          <w:spacing w:val="-9"/>
          <w:w w:val="105"/>
        </w:rPr>
        <w:t> </w:t>
      </w:r>
      <w:r>
        <w:rPr>
          <w:w w:val="105"/>
        </w:rPr>
        <w:t>to</w:t>
      </w:r>
      <w:r>
        <w:rPr>
          <w:spacing w:val="-9"/>
          <w:w w:val="105"/>
        </w:rPr>
        <w:t> </w:t>
      </w:r>
      <w:r>
        <w:rPr>
          <w:w w:val="105"/>
        </w:rPr>
        <w:t>result</w:t>
      </w:r>
      <w:r>
        <w:rPr>
          <w:spacing w:val="-9"/>
          <w:w w:val="105"/>
        </w:rPr>
        <w:t> </w:t>
      </w:r>
      <w:r>
        <w:rPr>
          <w:w w:val="105"/>
        </w:rPr>
        <w:t>in</w:t>
      </w:r>
      <w:r>
        <w:rPr>
          <w:spacing w:val="-9"/>
          <w:w w:val="105"/>
        </w:rPr>
        <w:t> </w:t>
      </w:r>
      <w:r>
        <w:rPr>
          <w:w w:val="105"/>
        </w:rPr>
        <w:t>increased</w:t>
      </w:r>
      <w:r>
        <w:rPr>
          <w:spacing w:val="-9"/>
          <w:w w:val="105"/>
        </w:rPr>
        <w:t> </w:t>
      </w:r>
      <w:r>
        <w:rPr>
          <w:w w:val="105"/>
        </w:rPr>
        <w:t>anti</w:t>
      </w:r>
      <w:r>
        <w:rPr>
          <w:rFonts w:ascii="MS PGothic" w:hAnsi="MS PGothic"/>
          <w:w w:val="105"/>
        </w:rPr>
        <w:t>‐</w:t>
      </w:r>
      <w:r>
        <w:rPr>
          <w:w w:val="105"/>
        </w:rPr>
        <w:t>competition legislation,</w:t>
      </w:r>
      <w:r>
        <w:rPr>
          <w:spacing w:val="-6"/>
          <w:w w:val="105"/>
        </w:rPr>
        <w:t> </w:t>
      </w:r>
      <w:r>
        <w:rPr>
          <w:w w:val="105"/>
        </w:rPr>
        <w:t>regulation,</w:t>
      </w:r>
      <w:r>
        <w:rPr>
          <w:spacing w:val="-6"/>
          <w:w w:val="105"/>
        </w:rPr>
        <w:t> </w:t>
      </w:r>
      <w:r>
        <w:rPr>
          <w:w w:val="105"/>
        </w:rPr>
        <w:t>administrative</w:t>
      </w:r>
      <w:r>
        <w:rPr>
          <w:spacing w:val="-6"/>
          <w:w w:val="105"/>
        </w:rPr>
        <w:t> </w:t>
      </w:r>
      <w:r>
        <w:rPr>
          <w:w w:val="105"/>
        </w:rPr>
        <w:t>rule</w:t>
      </w:r>
      <w:r>
        <w:rPr>
          <w:spacing w:val="-6"/>
          <w:w w:val="105"/>
        </w:rPr>
        <w:t> </w:t>
      </w:r>
      <w:r>
        <w:rPr>
          <w:w w:val="105"/>
        </w:rPr>
        <w:t>making,</w:t>
      </w:r>
      <w:r>
        <w:rPr>
          <w:spacing w:val="-6"/>
          <w:w w:val="105"/>
        </w:rPr>
        <w:t> </w:t>
      </w:r>
      <w:r>
        <w:rPr>
          <w:w w:val="105"/>
        </w:rPr>
        <w:t>and</w:t>
      </w:r>
      <w:r>
        <w:rPr>
          <w:spacing w:val="-6"/>
          <w:w w:val="105"/>
        </w:rPr>
        <w:t> </w:t>
      </w:r>
      <w:r>
        <w:rPr>
          <w:w w:val="105"/>
        </w:rPr>
        <w:t>enforcement</w:t>
      </w:r>
      <w:r>
        <w:rPr>
          <w:spacing w:val="-4"/>
          <w:w w:val="105"/>
        </w:rPr>
        <w:t> </w:t>
      </w:r>
      <w:r>
        <w:rPr>
          <w:w w:val="105"/>
        </w:rPr>
        <w:t>activity.</w:t>
      </w:r>
      <w:r>
        <w:rPr>
          <w:spacing w:val="-6"/>
          <w:w w:val="105"/>
        </w:rPr>
        <w:t> </w:t>
      </w:r>
      <w:r>
        <w:rPr>
          <w:w w:val="105"/>
        </w:rPr>
        <w:t>Involvement</w:t>
      </w:r>
      <w:r>
        <w:rPr>
          <w:spacing w:val="-6"/>
          <w:w w:val="105"/>
        </w:rPr>
        <w:t> </w:t>
      </w:r>
      <w:r>
        <w:rPr>
          <w:w w:val="105"/>
        </w:rPr>
        <w:t>in</w:t>
      </w:r>
      <w:r>
        <w:rPr>
          <w:spacing w:val="-4"/>
          <w:w w:val="105"/>
        </w:rPr>
        <w:t> </w:t>
      </w:r>
      <w:r>
        <w:rPr>
          <w:w w:val="105"/>
        </w:rPr>
        <w:t>regulatory</w:t>
      </w:r>
      <w:r>
        <w:rPr>
          <w:spacing w:val="-6"/>
          <w:w w:val="105"/>
        </w:rPr>
        <w:t> </w:t>
      </w:r>
      <w:r>
        <w:rPr>
          <w:w w:val="105"/>
        </w:rPr>
        <w:t>investigations</w:t>
      </w:r>
      <w:r>
        <w:rPr>
          <w:spacing w:val="-6"/>
          <w:w w:val="105"/>
        </w:rPr>
        <w:t> </w:t>
      </w:r>
      <w:r>
        <w:rPr>
          <w:w w:val="105"/>
        </w:rPr>
        <w:t>or</w:t>
      </w:r>
      <w:r>
        <w:rPr>
          <w:spacing w:val="-6"/>
          <w:w w:val="105"/>
        </w:rPr>
        <w:t> </w:t>
      </w:r>
      <w:r>
        <w:rPr>
          <w:w w:val="105"/>
        </w:rPr>
        <w:t>inquiries,</w:t>
      </w:r>
      <w:r>
        <w:rPr>
          <w:spacing w:val="-6"/>
          <w:w w:val="105"/>
        </w:rPr>
        <w:t> </w:t>
      </w:r>
      <w:r>
        <w:rPr>
          <w:w w:val="105"/>
        </w:rPr>
        <w:t>can</w:t>
      </w:r>
      <w:r>
        <w:rPr>
          <w:spacing w:val="-6"/>
          <w:w w:val="105"/>
        </w:rPr>
        <w:t> </w:t>
      </w:r>
      <w:r>
        <w:rPr>
          <w:w w:val="105"/>
        </w:rPr>
        <w:t>be</w:t>
      </w:r>
      <w:r>
        <w:rPr>
          <w:spacing w:val="-6"/>
          <w:w w:val="105"/>
        </w:rPr>
        <w:t> </w:t>
      </w:r>
      <w:r>
        <w:rPr>
          <w:w w:val="105"/>
        </w:rPr>
        <w:t>costly,</w:t>
      </w:r>
      <w:r>
        <w:rPr>
          <w:spacing w:val="-6"/>
          <w:w w:val="105"/>
        </w:rPr>
        <w:t> </w:t>
      </w:r>
      <w:r>
        <w:rPr>
          <w:w w:val="105"/>
        </w:rPr>
        <w:t>lengthy,</w:t>
      </w:r>
      <w:r>
        <w:rPr>
          <w:spacing w:val="-6"/>
          <w:w w:val="105"/>
        </w:rPr>
        <w:t> </w:t>
      </w:r>
      <w:r>
        <w:rPr>
          <w:w w:val="105"/>
        </w:rPr>
        <w:t>complex</w:t>
      </w:r>
      <w:r>
        <w:rPr>
          <w:spacing w:val="-6"/>
          <w:w w:val="105"/>
        </w:rPr>
        <w:t> </w:t>
      </w:r>
      <w:r>
        <w:rPr>
          <w:w w:val="105"/>
        </w:rPr>
        <w:t>and</w:t>
      </w:r>
      <w:r>
        <w:rPr>
          <w:spacing w:val="-6"/>
          <w:w w:val="105"/>
        </w:rPr>
        <w:t> </w:t>
      </w:r>
      <w:r>
        <w:rPr>
          <w:w w:val="105"/>
        </w:rPr>
        <w:t>time consuming,</w:t>
      </w:r>
      <w:r>
        <w:rPr>
          <w:spacing w:val="-2"/>
          <w:w w:val="105"/>
        </w:rPr>
        <w:t> </w:t>
      </w:r>
      <w:r>
        <w:rPr>
          <w:w w:val="105"/>
        </w:rPr>
        <w:t>diverting</w:t>
      </w:r>
      <w:r>
        <w:rPr>
          <w:spacing w:val="-2"/>
          <w:w w:val="105"/>
        </w:rPr>
        <w:t> </w:t>
      </w:r>
      <w:r>
        <w:rPr>
          <w:w w:val="105"/>
        </w:rPr>
        <w:t>the</w:t>
      </w:r>
      <w:r>
        <w:rPr>
          <w:spacing w:val="-2"/>
          <w:w w:val="105"/>
        </w:rPr>
        <w:t> </w:t>
      </w:r>
      <w:r>
        <w:rPr>
          <w:w w:val="105"/>
        </w:rPr>
        <w:t>attention</w:t>
      </w:r>
      <w:r>
        <w:rPr>
          <w:spacing w:val="-2"/>
          <w:w w:val="105"/>
        </w:rPr>
        <w:t> </w:t>
      </w:r>
      <w:r>
        <w:rPr>
          <w:w w:val="105"/>
        </w:rPr>
        <w:t>and</w:t>
      </w:r>
      <w:r>
        <w:rPr>
          <w:spacing w:val="-2"/>
          <w:w w:val="105"/>
        </w:rPr>
        <w:t> </w:t>
      </w:r>
      <w:r>
        <w:rPr>
          <w:w w:val="105"/>
        </w:rPr>
        <w:t>energies</w:t>
      </w:r>
      <w:r>
        <w:rPr>
          <w:spacing w:val="-2"/>
          <w:w w:val="105"/>
        </w:rPr>
        <w:t> </w:t>
      </w:r>
      <w:r>
        <w:rPr>
          <w:w w:val="105"/>
        </w:rPr>
        <w:t>of</w:t>
      </w:r>
      <w:r>
        <w:rPr>
          <w:spacing w:val="-2"/>
          <w:w w:val="105"/>
        </w:rPr>
        <w:t> </w:t>
      </w:r>
      <w:r>
        <w:rPr>
          <w:w w:val="105"/>
        </w:rPr>
        <w:t>our</w:t>
      </w:r>
      <w:r>
        <w:rPr>
          <w:spacing w:val="-2"/>
          <w:w w:val="105"/>
        </w:rPr>
        <w:t> </w:t>
      </w:r>
      <w:r>
        <w:rPr>
          <w:w w:val="105"/>
        </w:rPr>
        <w:t>management</w:t>
      </w:r>
      <w:r>
        <w:rPr>
          <w:spacing w:val="-2"/>
          <w:w w:val="105"/>
        </w:rPr>
        <w:t> </w:t>
      </w:r>
      <w:r>
        <w:rPr>
          <w:w w:val="105"/>
        </w:rPr>
        <w:t>and</w:t>
      </w:r>
      <w:r>
        <w:rPr>
          <w:spacing w:val="-2"/>
          <w:w w:val="105"/>
        </w:rPr>
        <w:t> </w:t>
      </w:r>
      <w:r>
        <w:rPr>
          <w:w w:val="105"/>
        </w:rPr>
        <w:t>technical</w:t>
      </w:r>
      <w:r>
        <w:rPr>
          <w:spacing w:val="-2"/>
          <w:w w:val="105"/>
        </w:rPr>
        <w:t> </w:t>
      </w:r>
      <w:r>
        <w:rPr>
          <w:w w:val="105"/>
        </w:rPr>
        <w:t>personnel.</w:t>
      </w:r>
      <w:r>
        <w:rPr>
          <w:spacing w:val="39"/>
          <w:w w:val="105"/>
        </w:rPr>
        <w:t> </w:t>
      </w:r>
      <w:r>
        <w:rPr>
          <w:w w:val="105"/>
        </w:rPr>
        <w:t>If</w:t>
      </w:r>
      <w:r>
        <w:rPr>
          <w:spacing w:val="-2"/>
          <w:w w:val="105"/>
        </w:rPr>
        <w:t> </w:t>
      </w:r>
      <w:r>
        <w:rPr>
          <w:w w:val="105"/>
        </w:rPr>
        <w:t>any</w:t>
      </w:r>
      <w:r>
        <w:rPr>
          <w:spacing w:val="-2"/>
          <w:w w:val="105"/>
        </w:rPr>
        <w:t> </w:t>
      </w:r>
      <w:r>
        <w:rPr>
          <w:w w:val="105"/>
        </w:rPr>
        <w:t>pending</w:t>
      </w:r>
      <w:r>
        <w:rPr>
          <w:spacing w:val="-2"/>
          <w:w w:val="105"/>
        </w:rPr>
        <w:t> </w:t>
      </w:r>
      <w:r>
        <w:rPr>
          <w:w w:val="105"/>
        </w:rPr>
        <w:t>or</w:t>
      </w:r>
      <w:r>
        <w:rPr>
          <w:spacing w:val="-2"/>
          <w:w w:val="105"/>
        </w:rPr>
        <w:t> </w:t>
      </w:r>
      <w:r>
        <w:rPr>
          <w:w w:val="105"/>
        </w:rPr>
        <w:t>future</w:t>
      </w:r>
      <w:r>
        <w:rPr>
          <w:spacing w:val="-2"/>
          <w:w w:val="105"/>
        </w:rPr>
        <w:t> </w:t>
      </w:r>
      <w:r>
        <w:rPr>
          <w:w w:val="105"/>
        </w:rPr>
        <w:t>governmental</w:t>
      </w:r>
      <w:r>
        <w:rPr>
          <w:spacing w:val="-2"/>
          <w:w w:val="105"/>
        </w:rPr>
        <w:t> </w:t>
      </w:r>
      <w:r>
        <w:rPr>
          <w:w w:val="105"/>
        </w:rPr>
        <w:t>investigations</w:t>
      </w:r>
      <w:r>
        <w:rPr>
          <w:spacing w:val="-2"/>
          <w:w w:val="105"/>
        </w:rPr>
        <w:t> </w:t>
      </w:r>
      <w:r>
        <w:rPr>
          <w:w w:val="105"/>
        </w:rPr>
        <w:t>result</w:t>
      </w:r>
      <w:r>
        <w:rPr>
          <w:spacing w:val="-2"/>
          <w:w w:val="105"/>
        </w:rPr>
        <w:t> </w:t>
      </w:r>
      <w:r>
        <w:rPr>
          <w:w w:val="105"/>
        </w:rPr>
        <w:t>in</w:t>
      </w:r>
      <w:r>
        <w:rPr>
          <w:spacing w:val="-2"/>
          <w:w w:val="105"/>
        </w:rPr>
        <w:t> </w:t>
      </w:r>
      <w:r>
        <w:rPr>
          <w:w w:val="105"/>
        </w:rPr>
        <w:t>an</w:t>
      </w:r>
      <w:r>
        <w:rPr>
          <w:spacing w:val="-2"/>
          <w:w w:val="105"/>
        </w:rPr>
        <w:t> </w:t>
      </w:r>
      <w:r>
        <w:rPr>
          <w:w w:val="105"/>
        </w:rPr>
        <w:t>unfavorable resolution,</w:t>
      </w:r>
      <w:r>
        <w:rPr>
          <w:spacing w:val="-7"/>
          <w:w w:val="105"/>
        </w:rPr>
        <w:t> </w:t>
      </w:r>
      <w:r>
        <w:rPr>
          <w:w w:val="105"/>
        </w:rPr>
        <w:t>we</w:t>
      </w:r>
      <w:r>
        <w:rPr>
          <w:spacing w:val="-7"/>
          <w:w w:val="105"/>
        </w:rPr>
        <w:t> </w:t>
      </w:r>
      <w:r>
        <w:rPr>
          <w:w w:val="105"/>
        </w:rPr>
        <w:t>could</w:t>
      </w:r>
      <w:r>
        <w:rPr>
          <w:spacing w:val="-7"/>
          <w:w w:val="105"/>
        </w:rPr>
        <w:t> </w:t>
      </w:r>
      <w:r>
        <w:rPr>
          <w:w w:val="105"/>
        </w:rPr>
        <w:t>be</w:t>
      </w:r>
      <w:r>
        <w:rPr>
          <w:spacing w:val="-7"/>
          <w:w w:val="105"/>
        </w:rPr>
        <w:t> </w:t>
      </w:r>
      <w:r>
        <w:rPr>
          <w:w w:val="105"/>
        </w:rPr>
        <w:t>required</w:t>
      </w:r>
      <w:r>
        <w:rPr>
          <w:spacing w:val="-7"/>
          <w:w w:val="105"/>
        </w:rPr>
        <w:t> </w:t>
      </w:r>
      <w:r>
        <w:rPr>
          <w:w w:val="105"/>
        </w:rPr>
        <w:t>to</w:t>
      </w:r>
      <w:r>
        <w:rPr>
          <w:spacing w:val="-7"/>
          <w:w w:val="105"/>
        </w:rPr>
        <w:t> </w:t>
      </w:r>
      <w:r>
        <w:rPr>
          <w:w w:val="105"/>
        </w:rPr>
        <w:t>cease</w:t>
      </w:r>
      <w:r>
        <w:rPr>
          <w:spacing w:val="-7"/>
          <w:w w:val="105"/>
        </w:rPr>
        <w:t> </w:t>
      </w:r>
      <w:r>
        <w:rPr>
          <w:w w:val="105"/>
        </w:rPr>
        <w:t>the</w:t>
      </w:r>
      <w:r>
        <w:rPr>
          <w:spacing w:val="-7"/>
          <w:w w:val="105"/>
        </w:rPr>
        <w:t> </w:t>
      </w:r>
      <w:r>
        <w:rPr>
          <w:w w:val="105"/>
        </w:rPr>
        <w:t>manufacture</w:t>
      </w:r>
      <w:r>
        <w:rPr>
          <w:spacing w:val="-7"/>
          <w:w w:val="105"/>
        </w:rPr>
        <w:t> </w:t>
      </w:r>
      <w:r>
        <w:rPr>
          <w:w w:val="105"/>
        </w:rPr>
        <w:t>and</w:t>
      </w:r>
      <w:r>
        <w:rPr>
          <w:spacing w:val="-7"/>
          <w:w w:val="105"/>
        </w:rPr>
        <w:t> </w:t>
      </w:r>
      <w:r>
        <w:rPr>
          <w:w w:val="105"/>
        </w:rPr>
        <w:t>sale</w:t>
      </w:r>
      <w:r>
        <w:rPr>
          <w:spacing w:val="-7"/>
          <w:w w:val="105"/>
        </w:rPr>
        <w:t> </w:t>
      </w:r>
      <w:r>
        <w:rPr>
          <w:w w:val="105"/>
        </w:rPr>
        <w:t>of</w:t>
      </w:r>
      <w:r>
        <w:rPr>
          <w:spacing w:val="-7"/>
          <w:w w:val="105"/>
        </w:rPr>
        <w:t> </w:t>
      </w:r>
      <w:r>
        <w:rPr>
          <w:w w:val="105"/>
        </w:rPr>
        <w:t>the</w:t>
      </w:r>
      <w:r>
        <w:rPr>
          <w:spacing w:val="-7"/>
          <w:w w:val="105"/>
        </w:rPr>
        <w:t> </w:t>
      </w:r>
      <w:r>
        <w:rPr>
          <w:w w:val="105"/>
        </w:rPr>
        <w:t>subject</w:t>
      </w:r>
      <w:r>
        <w:rPr>
          <w:spacing w:val="-7"/>
          <w:w w:val="105"/>
        </w:rPr>
        <w:t> </w:t>
      </w:r>
      <w:r>
        <w:rPr>
          <w:w w:val="105"/>
        </w:rPr>
        <w:t>products</w:t>
      </w:r>
      <w:r>
        <w:rPr>
          <w:spacing w:val="-7"/>
          <w:w w:val="105"/>
        </w:rPr>
        <w:t> </w:t>
      </w:r>
      <w:r>
        <w:rPr>
          <w:w w:val="105"/>
        </w:rPr>
        <w:t>or</w:t>
      </w:r>
      <w:r>
        <w:rPr>
          <w:spacing w:val="-7"/>
          <w:w w:val="105"/>
        </w:rPr>
        <w:t> </w:t>
      </w:r>
      <w:r>
        <w:rPr>
          <w:w w:val="105"/>
        </w:rPr>
        <w:t>technology,</w:t>
      </w:r>
      <w:r>
        <w:rPr>
          <w:spacing w:val="-7"/>
          <w:w w:val="105"/>
        </w:rPr>
        <w:t> </w:t>
      </w:r>
      <w:r>
        <w:rPr>
          <w:w w:val="105"/>
        </w:rPr>
        <w:t>pay</w:t>
      </w:r>
      <w:r>
        <w:rPr>
          <w:spacing w:val="-7"/>
          <w:w w:val="105"/>
        </w:rPr>
        <w:t> </w:t>
      </w:r>
      <w:r>
        <w:rPr>
          <w:w w:val="105"/>
        </w:rPr>
        <w:t>fines</w:t>
      </w:r>
      <w:r>
        <w:rPr>
          <w:spacing w:val="-7"/>
          <w:w w:val="105"/>
        </w:rPr>
        <w:t> </w:t>
      </w:r>
      <w:r>
        <w:rPr>
          <w:w w:val="105"/>
        </w:rPr>
        <w:t>or</w:t>
      </w:r>
      <w:r>
        <w:rPr>
          <w:spacing w:val="-7"/>
          <w:w w:val="105"/>
        </w:rPr>
        <w:t> </w:t>
      </w:r>
      <w:r>
        <w:rPr>
          <w:w w:val="105"/>
        </w:rPr>
        <w:t>disgorge</w:t>
      </w:r>
      <w:r>
        <w:rPr>
          <w:spacing w:val="-7"/>
          <w:w w:val="105"/>
        </w:rPr>
        <w:t> </w:t>
      </w:r>
      <w:r>
        <w:rPr>
          <w:w w:val="105"/>
        </w:rPr>
        <w:t>profits</w:t>
      </w:r>
      <w:r>
        <w:rPr>
          <w:spacing w:val="-7"/>
          <w:w w:val="105"/>
        </w:rPr>
        <w:t> </w:t>
      </w:r>
      <w:r>
        <w:rPr>
          <w:w w:val="105"/>
        </w:rPr>
        <w:t>or</w:t>
      </w:r>
      <w:r>
        <w:rPr>
          <w:spacing w:val="-7"/>
          <w:w w:val="105"/>
        </w:rPr>
        <w:t> </w:t>
      </w:r>
      <w:r>
        <w:rPr>
          <w:w w:val="105"/>
        </w:rPr>
        <w:t>other</w:t>
      </w:r>
      <w:r>
        <w:rPr>
          <w:spacing w:val="-7"/>
          <w:w w:val="105"/>
        </w:rPr>
        <w:t> </w:t>
      </w:r>
      <w:r>
        <w:rPr>
          <w:w w:val="105"/>
        </w:rPr>
        <w:t>payments,</w:t>
      </w:r>
      <w:r>
        <w:rPr>
          <w:spacing w:val="-7"/>
          <w:w w:val="105"/>
        </w:rPr>
        <w:t> </w:t>
      </w:r>
      <w:r>
        <w:rPr>
          <w:w w:val="105"/>
        </w:rPr>
        <w:t>and/or</w:t>
      </w:r>
      <w:r>
        <w:rPr>
          <w:spacing w:val="-7"/>
          <w:w w:val="105"/>
        </w:rPr>
        <w:t> </w:t>
      </w:r>
      <w:r>
        <w:rPr>
          <w:w w:val="105"/>
        </w:rPr>
        <w:t>cease</w:t>
      </w:r>
      <w:r>
        <w:rPr>
          <w:spacing w:val="-7"/>
          <w:w w:val="105"/>
        </w:rPr>
        <w:t> </w:t>
      </w:r>
      <w:r>
        <w:rPr>
          <w:w w:val="105"/>
        </w:rPr>
        <w:t>certain conduct</w:t>
      </w:r>
      <w:r>
        <w:rPr>
          <w:spacing w:val="-2"/>
          <w:w w:val="105"/>
        </w:rPr>
        <w:t> </w:t>
      </w:r>
      <w:r>
        <w:rPr>
          <w:w w:val="105"/>
        </w:rPr>
        <w:t>and/or</w:t>
      </w:r>
      <w:r>
        <w:rPr>
          <w:spacing w:val="-2"/>
          <w:w w:val="105"/>
        </w:rPr>
        <w:t> </w:t>
      </w:r>
      <w:r>
        <w:rPr>
          <w:w w:val="105"/>
        </w:rPr>
        <w:t>modify</w:t>
      </w:r>
      <w:r>
        <w:rPr>
          <w:spacing w:val="-2"/>
          <w:w w:val="105"/>
        </w:rPr>
        <w:t> </w:t>
      </w:r>
      <w:r>
        <w:rPr>
          <w:w w:val="105"/>
        </w:rPr>
        <w:t>our</w:t>
      </w:r>
      <w:r>
        <w:rPr>
          <w:spacing w:val="-2"/>
          <w:w w:val="105"/>
        </w:rPr>
        <w:t> </w:t>
      </w:r>
      <w:r>
        <w:rPr>
          <w:w w:val="105"/>
        </w:rPr>
        <w:t>contracting</w:t>
      </w:r>
      <w:r>
        <w:rPr>
          <w:spacing w:val="-2"/>
          <w:w w:val="105"/>
        </w:rPr>
        <w:t> </w:t>
      </w:r>
      <w:r>
        <w:rPr>
          <w:w w:val="105"/>
        </w:rPr>
        <w:t>or</w:t>
      </w:r>
      <w:r>
        <w:rPr>
          <w:spacing w:val="-2"/>
          <w:w w:val="105"/>
        </w:rPr>
        <w:t> </w:t>
      </w:r>
      <w:r>
        <w:rPr>
          <w:w w:val="105"/>
        </w:rPr>
        <w:t>business</w:t>
      </w:r>
      <w:r>
        <w:rPr>
          <w:spacing w:val="-2"/>
          <w:w w:val="105"/>
        </w:rPr>
        <w:t> </w:t>
      </w:r>
      <w:r>
        <w:rPr>
          <w:w w:val="105"/>
        </w:rPr>
        <w:t>practices,</w:t>
      </w:r>
      <w:r>
        <w:rPr>
          <w:spacing w:val="-2"/>
          <w:w w:val="105"/>
        </w:rPr>
        <w:t> </w:t>
      </w:r>
      <w:r>
        <w:rPr>
          <w:w w:val="105"/>
        </w:rPr>
        <w:t>which</w:t>
      </w:r>
      <w:r>
        <w:rPr>
          <w:spacing w:val="-2"/>
          <w:w w:val="105"/>
        </w:rPr>
        <w:t> </w:t>
      </w:r>
      <w:r>
        <w:rPr>
          <w:w w:val="105"/>
        </w:rPr>
        <w:t>could</w:t>
      </w:r>
      <w:r>
        <w:rPr>
          <w:spacing w:val="-2"/>
          <w:w w:val="105"/>
        </w:rPr>
        <w:t> </w:t>
      </w:r>
      <w:r>
        <w:rPr>
          <w:w w:val="105"/>
        </w:rPr>
        <w:t>have</w:t>
      </w:r>
      <w:r>
        <w:rPr>
          <w:spacing w:val="-2"/>
          <w:w w:val="105"/>
        </w:rPr>
        <w:t> </w:t>
      </w:r>
      <w:r>
        <w:rPr>
          <w:w w:val="105"/>
        </w:rPr>
        <w:t>a</w:t>
      </w:r>
      <w:r>
        <w:rPr>
          <w:spacing w:val="-2"/>
          <w:w w:val="105"/>
        </w:rPr>
        <w:t> </w:t>
      </w:r>
      <w:r>
        <w:rPr>
          <w:w w:val="105"/>
        </w:rPr>
        <w:t>material</w:t>
      </w:r>
      <w:r>
        <w:rPr>
          <w:spacing w:val="-2"/>
          <w:w w:val="105"/>
        </w:rPr>
        <w:t> </w:t>
      </w:r>
      <w:r>
        <w:rPr>
          <w:w w:val="105"/>
        </w:rPr>
        <w:t>adverse</w:t>
      </w:r>
      <w:r>
        <w:rPr>
          <w:spacing w:val="-2"/>
          <w:w w:val="105"/>
        </w:rPr>
        <w:t> </w:t>
      </w:r>
      <w:r>
        <w:rPr>
          <w:w w:val="105"/>
        </w:rPr>
        <w:t>effect</w:t>
      </w:r>
      <w:r>
        <w:rPr>
          <w:spacing w:val="-2"/>
          <w:w w:val="105"/>
        </w:rPr>
        <w:t> </w:t>
      </w:r>
      <w:r>
        <w:rPr>
          <w:w w:val="105"/>
        </w:rPr>
        <w:t>on</w:t>
      </w:r>
      <w:r>
        <w:rPr>
          <w:spacing w:val="-2"/>
          <w:w w:val="105"/>
        </w:rPr>
        <w:t> </w:t>
      </w:r>
      <w:r>
        <w:rPr>
          <w:w w:val="105"/>
        </w:rPr>
        <w:t>our</w:t>
      </w:r>
      <w:r>
        <w:rPr>
          <w:spacing w:val="-2"/>
          <w:w w:val="105"/>
        </w:rPr>
        <w:t> </w:t>
      </w:r>
      <w:r>
        <w:rPr>
          <w:w w:val="105"/>
        </w:rPr>
        <w:t>business,</w:t>
      </w:r>
      <w:r>
        <w:rPr>
          <w:spacing w:val="-2"/>
          <w:w w:val="105"/>
        </w:rPr>
        <w:t> </w:t>
      </w:r>
      <w:r>
        <w:rPr>
          <w:w w:val="105"/>
        </w:rPr>
        <w:t>financial</w:t>
      </w:r>
      <w:r>
        <w:rPr>
          <w:spacing w:val="-2"/>
          <w:w w:val="105"/>
        </w:rPr>
        <w:t> </w:t>
      </w:r>
      <w:r>
        <w:rPr>
          <w:w w:val="105"/>
        </w:rPr>
        <w:t>condition</w:t>
      </w:r>
      <w:r>
        <w:rPr>
          <w:spacing w:val="-2"/>
          <w:w w:val="105"/>
        </w:rPr>
        <w:t> </w:t>
      </w:r>
      <w:r>
        <w:rPr>
          <w:w w:val="105"/>
        </w:rPr>
        <w:t>and</w:t>
      </w:r>
      <w:r>
        <w:rPr>
          <w:spacing w:val="-2"/>
          <w:w w:val="105"/>
        </w:rPr>
        <w:t> </w:t>
      </w:r>
      <w:r>
        <w:rPr>
          <w:w w:val="105"/>
        </w:rPr>
        <w:t>results</w:t>
      </w:r>
      <w:r>
        <w:rPr>
          <w:spacing w:val="-2"/>
          <w:w w:val="105"/>
        </w:rPr>
        <w:t> </w:t>
      </w:r>
      <w:r>
        <w:rPr>
          <w:w w:val="105"/>
        </w:rPr>
        <w:t>of</w:t>
      </w:r>
      <w:r>
        <w:rPr>
          <w:spacing w:val="-2"/>
          <w:w w:val="105"/>
        </w:rPr>
        <w:t> </w:t>
      </w:r>
      <w:r>
        <w:rPr>
          <w:w w:val="105"/>
        </w:rPr>
        <w:t>operations.</w:t>
      </w:r>
      <w:r>
        <w:rPr>
          <w:spacing w:val="-2"/>
          <w:w w:val="105"/>
        </w:rPr>
        <w:t> </w:t>
      </w:r>
      <w:r>
        <w:rPr>
          <w:w w:val="105"/>
        </w:rPr>
        <w:t>We may</w:t>
      </w:r>
      <w:r>
        <w:rPr>
          <w:spacing w:val="-2"/>
          <w:w w:val="105"/>
        </w:rPr>
        <w:t> </w:t>
      </w:r>
      <w:r>
        <w:rPr>
          <w:w w:val="105"/>
        </w:rPr>
        <w:t>be</w:t>
      </w:r>
      <w:r>
        <w:rPr>
          <w:spacing w:val="-2"/>
          <w:w w:val="105"/>
        </w:rPr>
        <w:t> </w:t>
      </w:r>
      <w:r>
        <w:rPr>
          <w:w w:val="105"/>
        </w:rPr>
        <w:t>obligated</w:t>
      </w:r>
      <w:r>
        <w:rPr>
          <w:spacing w:val="-2"/>
          <w:w w:val="105"/>
        </w:rPr>
        <w:t> </w:t>
      </w:r>
      <w:r>
        <w:rPr>
          <w:w w:val="105"/>
        </w:rPr>
        <w:t>to</w:t>
      </w:r>
      <w:r>
        <w:rPr>
          <w:spacing w:val="-2"/>
          <w:w w:val="105"/>
        </w:rPr>
        <w:t> </w:t>
      </w:r>
      <w:r>
        <w:rPr>
          <w:w w:val="105"/>
        </w:rPr>
        <w:t>indemnify</w:t>
      </w:r>
      <w:r>
        <w:rPr>
          <w:spacing w:val="-2"/>
          <w:w w:val="105"/>
        </w:rPr>
        <w:t> </w:t>
      </w:r>
      <w:r>
        <w:rPr>
          <w:w w:val="105"/>
        </w:rPr>
        <w:t>our</w:t>
      </w:r>
      <w:r>
        <w:rPr>
          <w:spacing w:val="-2"/>
          <w:w w:val="105"/>
        </w:rPr>
        <w:t> </w:t>
      </w:r>
      <w:r>
        <w:rPr>
          <w:w w:val="105"/>
        </w:rPr>
        <w:t>current</w:t>
      </w:r>
      <w:r>
        <w:rPr>
          <w:spacing w:val="-2"/>
          <w:w w:val="105"/>
        </w:rPr>
        <w:t> </w:t>
      </w:r>
      <w:r>
        <w:rPr>
          <w:w w:val="105"/>
        </w:rPr>
        <w:t>or</w:t>
      </w:r>
      <w:r>
        <w:rPr>
          <w:spacing w:val="-2"/>
          <w:w w:val="105"/>
        </w:rPr>
        <w:t> </w:t>
      </w:r>
      <w:r>
        <w:rPr>
          <w:w w:val="105"/>
        </w:rPr>
        <w:t>former</w:t>
      </w:r>
      <w:r>
        <w:rPr>
          <w:spacing w:val="-2"/>
          <w:w w:val="105"/>
        </w:rPr>
        <w:t> </w:t>
      </w:r>
      <w:r>
        <w:rPr>
          <w:w w:val="105"/>
        </w:rPr>
        <w:t>directors</w:t>
      </w:r>
      <w:r>
        <w:rPr>
          <w:spacing w:val="-2"/>
          <w:w w:val="105"/>
        </w:rPr>
        <w:t> </w:t>
      </w:r>
      <w:r>
        <w:rPr>
          <w:w w:val="105"/>
        </w:rPr>
        <w:t>or</w:t>
      </w:r>
      <w:r>
        <w:rPr>
          <w:spacing w:val="-2"/>
          <w:w w:val="105"/>
        </w:rPr>
        <w:t> </w:t>
      </w:r>
      <w:r>
        <w:rPr>
          <w:w w:val="105"/>
        </w:rPr>
        <w:t>employees,</w:t>
      </w:r>
      <w:r>
        <w:rPr>
          <w:spacing w:val="-2"/>
          <w:w w:val="105"/>
        </w:rPr>
        <w:t> </w:t>
      </w:r>
      <w:r>
        <w:rPr>
          <w:w w:val="105"/>
        </w:rPr>
        <w:t>or</w:t>
      </w:r>
      <w:r>
        <w:rPr>
          <w:spacing w:val="-2"/>
          <w:w w:val="105"/>
        </w:rPr>
        <w:t> </w:t>
      </w:r>
      <w:r>
        <w:rPr>
          <w:w w:val="105"/>
        </w:rPr>
        <w:t>former</w:t>
      </w:r>
      <w:r>
        <w:rPr>
          <w:spacing w:val="-2"/>
          <w:w w:val="105"/>
        </w:rPr>
        <w:t> </w:t>
      </w:r>
      <w:r>
        <w:rPr>
          <w:w w:val="105"/>
        </w:rPr>
        <w:t>directors</w:t>
      </w:r>
      <w:r>
        <w:rPr>
          <w:spacing w:val="-2"/>
          <w:w w:val="105"/>
        </w:rPr>
        <w:t> </w:t>
      </w:r>
      <w:r>
        <w:rPr>
          <w:w w:val="105"/>
        </w:rPr>
        <w:t>or employees</w:t>
      </w:r>
      <w:r>
        <w:rPr>
          <w:spacing w:val="-2"/>
          <w:w w:val="105"/>
        </w:rPr>
        <w:t> </w:t>
      </w:r>
      <w:r>
        <w:rPr>
          <w:w w:val="105"/>
        </w:rPr>
        <w:t>of</w:t>
      </w:r>
      <w:r>
        <w:rPr>
          <w:spacing w:val="-2"/>
          <w:w w:val="105"/>
        </w:rPr>
        <w:t> </w:t>
      </w:r>
      <w:r>
        <w:rPr>
          <w:w w:val="105"/>
        </w:rPr>
        <w:t>companies</w:t>
      </w:r>
      <w:r>
        <w:rPr>
          <w:spacing w:val="-2"/>
          <w:w w:val="105"/>
        </w:rPr>
        <w:t> </w:t>
      </w:r>
      <w:r>
        <w:rPr>
          <w:w w:val="105"/>
        </w:rPr>
        <w:t>that</w:t>
      </w:r>
      <w:r>
        <w:rPr>
          <w:spacing w:val="-2"/>
          <w:w w:val="105"/>
        </w:rPr>
        <w:t> </w:t>
      </w:r>
      <w:r>
        <w:rPr>
          <w:w w:val="105"/>
        </w:rPr>
        <w:t>we</w:t>
      </w:r>
      <w:r>
        <w:rPr>
          <w:spacing w:val="-2"/>
          <w:w w:val="105"/>
        </w:rPr>
        <w:t> </w:t>
      </w:r>
      <w:r>
        <w:rPr>
          <w:w w:val="105"/>
        </w:rPr>
        <w:t>have</w:t>
      </w:r>
      <w:r>
        <w:rPr>
          <w:spacing w:val="-2"/>
          <w:w w:val="105"/>
        </w:rPr>
        <w:t> </w:t>
      </w:r>
      <w:r>
        <w:rPr>
          <w:w w:val="105"/>
        </w:rPr>
        <w:t>acquired,</w:t>
      </w:r>
      <w:r>
        <w:rPr>
          <w:spacing w:val="-2"/>
          <w:w w:val="105"/>
        </w:rPr>
        <w:t> </w:t>
      </w:r>
      <w:r>
        <w:rPr>
          <w:w w:val="105"/>
        </w:rPr>
        <w:t>in</w:t>
      </w:r>
      <w:r>
        <w:rPr>
          <w:spacing w:val="-2"/>
          <w:w w:val="105"/>
        </w:rPr>
        <w:t> </w:t>
      </w:r>
      <w:r>
        <w:rPr>
          <w:w w:val="105"/>
        </w:rPr>
        <w:t>connection</w:t>
      </w:r>
      <w:r>
        <w:rPr>
          <w:spacing w:val="-2"/>
          <w:w w:val="105"/>
        </w:rPr>
        <w:t> </w:t>
      </w:r>
      <w:r>
        <w:rPr>
          <w:w w:val="105"/>
        </w:rPr>
        <w:t>with regulatory</w:t>
      </w:r>
      <w:r>
        <w:rPr>
          <w:spacing w:val="-2"/>
          <w:w w:val="105"/>
        </w:rPr>
        <w:t> </w:t>
      </w:r>
      <w:r>
        <w:rPr>
          <w:w w:val="105"/>
        </w:rPr>
        <w:t>investigations.</w:t>
      </w:r>
      <w:r>
        <w:rPr>
          <w:spacing w:val="-2"/>
          <w:w w:val="105"/>
        </w:rPr>
        <w:t> </w:t>
      </w:r>
      <w:r>
        <w:rPr>
          <w:w w:val="105"/>
        </w:rPr>
        <w:t>These</w:t>
      </w:r>
      <w:r>
        <w:rPr>
          <w:spacing w:val="-2"/>
          <w:w w:val="105"/>
        </w:rPr>
        <w:t> </w:t>
      </w:r>
      <w:r>
        <w:rPr>
          <w:w w:val="105"/>
        </w:rPr>
        <w:t>liabilities</w:t>
      </w:r>
      <w:r>
        <w:rPr>
          <w:spacing w:val="-2"/>
          <w:w w:val="105"/>
        </w:rPr>
        <w:t> </w:t>
      </w:r>
      <w:r>
        <w:rPr>
          <w:w w:val="105"/>
        </w:rPr>
        <w:t>could</w:t>
      </w:r>
      <w:r>
        <w:rPr>
          <w:spacing w:val="-2"/>
          <w:w w:val="105"/>
        </w:rPr>
        <w:t> </w:t>
      </w:r>
      <w:r>
        <w:rPr>
          <w:w w:val="105"/>
        </w:rPr>
        <w:t>be</w:t>
      </w:r>
      <w:r>
        <w:rPr>
          <w:spacing w:val="-2"/>
          <w:w w:val="105"/>
        </w:rPr>
        <w:t> </w:t>
      </w:r>
      <w:r>
        <w:rPr>
          <w:w w:val="105"/>
        </w:rPr>
        <w:t>substantial</w:t>
      </w:r>
      <w:r>
        <w:rPr>
          <w:spacing w:val="-2"/>
          <w:w w:val="105"/>
        </w:rPr>
        <w:t> </w:t>
      </w:r>
      <w:r>
        <w:rPr>
          <w:w w:val="105"/>
        </w:rPr>
        <w:t>and</w:t>
      </w:r>
      <w:r>
        <w:rPr>
          <w:spacing w:val="-2"/>
          <w:w w:val="105"/>
        </w:rPr>
        <w:t> </w:t>
      </w:r>
      <w:r>
        <w:rPr>
          <w:w w:val="105"/>
        </w:rPr>
        <w:t>may</w:t>
      </w:r>
      <w:r>
        <w:rPr>
          <w:spacing w:val="-2"/>
          <w:w w:val="105"/>
        </w:rPr>
        <w:t> </w:t>
      </w:r>
      <w:r>
        <w:rPr>
          <w:w w:val="105"/>
        </w:rPr>
        <w:t>include,</w:t>
      </w:r>
      <w:r>
        <w:rPr>
          <w:spacing w:val="-2"/>
          <w:w w:val="105"/>
        </w:rPr>
        <w:t> </w:t>
      </w:r>
      <w:r>
        <w:rPr>
          <w:w w:val="105"/>
        </w:rPr>
        <w:t>among</w:t>
      </w:r>
      <w:r>
        <w:rPr>
          <w:spacing w:val="-2"/>
          <w:w w:val="105"/>
        </w:rPr>
        <w:t> </w:t>
      </w:r>
      <w:r>
        <w:rPr>
          <w:w w:val="105"/>
        </w:rPr>
        <w:t>other</w:t>
      </w:r>
      <w:r>
        <w:rPr>
          <w:spacing w:val="-2"/>
          <w:w w:val="105"/>
        </w:rPr>
        <w:t> </w:t>
      </w:r>
      <w:r>
        <w:rPr>
          <w:w w:val="105"/>
        </w:rPr>
        <w:t>things,</w:t>
      </w:r>
      <w:r>
        <w:rPr>
          <w:spacing w:val="-2"/>
          <w:w w:val="105"/>
        </w:rPr>
        <w:t> </w:t>
      </w:r>
      <w:r>
        <w:rPr>
          <w:w w:val="105"/>
        </w:rPr>
        <w:t>the</w:t>
      </w:r>
      <w:r>
        <w:rPr>
          <w:spacing w:val="-2"/>
          <w:w w:val="105"/>
        </w:rPr>
        <w:t> </w:t>
      </w:r>
      <w:r>
        <w:rPr>
          <w:w w:val="105"/>
        </w:rPr>
        <w:t>cost</w:t>
      </w:r>
      <w:r>
        <w:rPr>
          <w:spacing w:val="-2"/>
          <w:w w:val="105"/>
        </w:rPr>
        <w:t> </w:t>
      </w:r>
      <w:r>
        <w:rPr>
          <w:w w:val="105"/>
        </w:rPr>
        <w:t>of</w:t>
      </w:r>
      <w:r>
        <w:rPr>
          <w:spacing w:val="-2"/>
          <w:w w:val="105"/>
        </w:rPr>
        <w:t> </w:t>
      </w:r>
      <w:r>
        <w:rPr>
          <w:w w:val="105"/>
        </w:rPr>
        <w:t>government,</w:t>
      </w:r>
      <w:r>
        <w:rPr>
          <w:spacing w:val="-2"/>
          <w:w w:val="105"/>
        </w:rPr>
        <w:t> </w:t>
      </w:r>
      <w:r>
        <w:rPr>
          <w:w w:val="105"/>
        </w:rPr>
        <w:t>law</w:t>
      </w:r>
      <w:r>
        <w:rPr>
          <w:spacing w:val="-2"/>
          <w:w w:val="105"/>
        </w:rPr>
        <w:t> </w:t>
      </w:r>
      <w:r>
        <w:rPr>
          <w:w w:val="105"/>
        </w:rPr>
        <w:t>enforcement</w:t>
      </w:r>
      <w:r>
        <w:rPr>
          <w:spacing w:val="-2"/>
          <w:w w:val="105"/>
        </w:rPr>
        <w:t> </w:t>
      </w:r>
      <w:r>
        <w:rPr>
          <w:w w:val="105"/>
        </w:rPr>
        <w:t>or</w:t>
      </w:r>
      <w:r>
        <w:rPr>
          <w:spacing w:val="-2"/>
          <w:w w:val="105"/>
        </w:rPr>
        <w:t> </w:t>
      </w:r>
      <w:r>
        <w:rPr>
          <w:w w:val="105"/>
        </w:rPr>
        <w:t>regulatory</w:t>
      </w:r>
      <w:r>
        <w:rPr>
          <w:spacing w:val="-2"/>
          <w:w w:val="105"/>
        </w:rPr>
        <w:t> </w:t>
      </w:r>
      <w:r>
        <w:rPr>
          <w:w w:val="105"/>
        </w:rPr>
        <w:t>investigations and civil or criminal fines and penalties.</w:t>
      </w:r>
    </w:p>
    <w:p>
      <w:pPr>
        <w:pStyle w:val="BodyText"/>
        <w:spacing w:before="17"/>
      </w:pPr>
    </w:p>
    <w:p>
      <w:pPr>
        <w:pStyle w:val="Heading2"/>
      </w:pPr>
      <w:r>
        <w:rPr>
          <w:spacing w:val="-2"/>
          <w:w w:val="105"/>
        </w:rPr>
        <w:t>Our</w:t>
      </w:r>
      <w:r>
        <w:rPr>
          <w:spacing w:val="-1"/>
          <w:w w:val="105"/>
        </w:rPr>
        <w:t> </w:t>
      </w:r>
      <w:r>
        <w:rPr>
          <w:spacing w:val="-2"/>
          <w:w w:val="105"/>
        </w:rPr>
        <w:t>global</w:t>
      </w:r>
      <w:r>
        <w:rPr>
          <w:w w:val="105"/>
        </w:rPr>
        <w:t> </w:t>
      </w:r>
      <w:r>
        <w:rPr>
          <w:spacing w:val="-2"/>
          <w:w w:val="105"/>
        </w:rPr>
        <w:t>operations</w:t>
      </w:r>
      <w:r>
        <w:rPr>
          <w:w w:val="105"/>
        </w:rPr>
        <w:t> </w:t>
      </w:r>
      <w:r>
        <w:rPr>
          <w:spacing w:val="-2"/>
          <w:w w:val="105"/>
        </w:rPr>
        <w:t>are</w:t>
      </w:r>
      <w:r>
        <w:rPr>
          <w:w w:val="105"/>
        </w:rPr>
        <w:t> </w:t>
      </w:r>
      <w:r>
        <w:rPr>
          <w:spacing w:val="-2"/>
          <w:w w:val="105"/>
        </w:rPr>
        <w:t>subject</w:t>
      </w:r>
      <w:r>
        <w:rPr>
          <w:spacing w:val="-1"/>
          <w:w w:val="105"/>
        </w:rPr>
        <w:t> </w:t>
      </w:r>
      <w:r>
        <w:rPr>
          <w:spacing w:val="-2"/>
          <w:w w:val="105"/>
        </w:rPr>
        <w:t>to</w:t>
      </w:r>
      <w:r>
        <w:rPr>
          <w:w w:val="105"/>
        </w:rPr>
        <w:t> </w:t>
      </w:r>
      <w:r>
        <w:rPr>
          <w:spacing w:val="-2"/>
          <w:w w:val="105"/>
        </w:rPr>
        <w:t>extensive</w:t>
      </w:r>
      <w:r>
        <w:rPr>
          <w:w w:val="105"/>
        </w:rPr>
        <w:t> </w:t>
      </w:r>
      <w:r>
        <w:rPr>
          <w:spacing w:val="-2"/>
          <w:w w:val="105"/>
        </w:rPr>
        <w:t>trade</w:t>
      </w:r>
      <w:r>
        <w:rPr>
          <w:w w:val="105"/>
        </w:rPr>
        <w:t> </w:t>
      </w:r>
      <w:r>
        <w:rPr>
          <w:spacing w:val="-2"/>
          <w:w w:val="105"/>
        </w:rPr>
        <w:t>and</w:t>
      </w:r>
      <w:r>
        <w:rPr>
          <w:w w:val="105"/>
        </w:rPr>
        <w:t> </w:t>
      </w:r>
      <w:r>
        <w:rPr>
          <w:spacing w:val="-2"/>
          <w:w w:val="105"/>
        </w:rPr>
        <w:t>anti-corruption</w:t>
      </w:r>
      <w:r>
        <w:rPr>
          <w:spacing w:val="-1"/>
          <w:w w:val="105"/>
        </w:rPr>
        <w:t> </w:t>
      </w:r>
      <w:r>
        <w:rPr>
          <w:spacing w:val="-2"/>
          <w:w w:val="105"/>
        </w:rPr>
        <w:t>laws</w:t>
      </w:r>
      <w:r>
        <w:rPr>
          <w:w w:val="105"/>
        </w:rPr>
        <w:t> </w:t>
      </w:r>
      <w:r>
        <w:rPr>
          <w:spacing w:val="-2"/>
          <w:w w:val="105"/>
        </w:rPr>
        <w:t>and</w:t>
      </w:r>
      <w:r>
        <w:rPr>
          <w:w w:val="105"/>
        </w:rPr>
        <w:t> </w:t>
      </w:r>
      <w:r>
        <w:rPr>
          <w:spacing w:val="-2"/>
          <w:w w:val="105"/>
        </w:rPr>
        <w:t>regulations</w:t>
      </w:r>
    </w:p>
    <w:p>
      <w:pPr>
        <w:pStyle w:val="BodyText"/>
        <w:spacing w:before="40"/>
        <w:rPr>
          <w:b/>
        </w:rPr>
      </w:pPr>
    </w:p>
    <w:p>
      <w:pPr>
        <w:pStyle w:val="BodyText"/>
        <w:spacing w:line="266" w:lineRule="auto"/>
        <w:ind w:left="156" w:right="117"/>
      </w:pPr>
      <w:r>
        <w:rPr>
          <w:w w:val="105"/>
        </w:rPr>
        <w:t>Due</w:t>
      </w:r>
      <w:r>
        <w:rPr>
          <w:spacing w:val="-8"/>
          <w:w w:val="105"/>
        </w:rPr>
        <w:t> </w:t>
      </w:r>
      <w:r>
        <w:rPr>
          <w:w w:val="105"/>
        </w:rPr>
        <w:t>to</w:t>
      </w:r>
      <w:r>
        <w:rPr>
          <w:spacing w:val="-8"/>
          <w:w w:val="105"/>
        </w:rPr>
        <w:t> </w:t>
      </w:r>
      <w:r>
        <w:rPr>
          <w:w w:val="105"/>
        </w:rPr>
        <w:t>the</w:t>
      </w:r>
      <w:r>
        <w:rPr>
          <w:spacing w:val="-8"/>
          <w:w w:val="105"/>
        </w:rPr>
        <w:t> </w:t>
      </w:r>
      <w:r>
        <w:rPr>
          <w:w w:val="105"/>
        </w:rPr>
        <w:t>international</w:t>
      </w:r>
      <w:r>
        <w:rPr>
          <w:spacing w:val="-8"/>
          <w:w w:val="105"/>
        </w:rPr>
        <w:t> </w:t>
      </w:r>
      <w:r>
        <w:rPr>
          <w:w w:val="105"/>
        </w:rPr>
        <w:t>scope</w:t>
      </w:r>
      <w:r>
        <w:rPr>
          <w:spacing w:val="-8"/>
          <w:w w:val="105"/>
        </w:rPr>
        <w:t> </w:t>
      </w:r>
      <w:r>
        <w:rPr>
          <w:w w:val="105"/>
        </w:rPr>
        <w:t>of</w:t>
      </w:r>
      <w:r>
        <w:rPr>
          <w:spacing w:val="-8"/>
          <w:w w:val="105"/>
        </w:rPr>
        <w:t> </w:t>
      </w:r>
      <w:r>
        <w:rPr>
          <w:w w:val="105"/>
        </w:rPr>
        <w:t>our</w:t>
      </w:r>
      <w:r>
        <w:rPr>
          <w:spacing w:val="-8"/>
          <w:w w:val="105"/>
        </w:rPr>
        <w:t> </w:t>
      </w:r>
      <w:r>
        <w:rPr>
          <w:w w:val="105"/>
        </w:rPr>
        <w:t>operations,</w:t>
      </w:r>
      <w:r>
        <w:rPr>
          <w:spacing w:val="-8"/>
          <w:w w:val="105"/>
        </w:rPr>
        <w:t> </w:t>
      </w:r>
      <w:r>
        <w:rPr>
          <w:w w:val="105"/>
        </w:rPr>
        <w:t>we</w:t>
      </w:r>
      <w:r>
        <w:rPr>
          <w:spacing w:val="-8"/>
          <w:w w:val="105"/>
        </w:rPr>
        <w:t> </w:t>
      </w:r>
      <w:r>
        <w:rPr>
          <w:w w:val="105"/>
        </w:rPr>
        <w:t>are</w:t>
      </w:r>
      <w:r>
        <w:rPr>
          <w:spacing w:val="-8"/>
          <w:w w:val="105"/>
        </w:rPr>
        <w:t> </w:t>
      </w:r>
      <w:r>
        <w:rPr>
          <w:w w:val="105"/>
        </w:rPr>
        <w:t>subject</w:t>
      </w:r>
      <w:r>
        <w:rPr>
          <w:spacing w:val="-8"/>
          <w:w w:val="105"/>
        </w:rPr>
        <w:t> </w:t>
      </w:r>
      <w:r>
        <w:rPr>
          <w:w w:val="105"/>
        </w:rPr>
        <w:t>to</w:t>
      </w:r>
      <w:r>
        <w:rPr>
          <w:spacing w:val="-8"/>
          <w:w w:val="105"/>
        </w:rPr>
        <w:t> </w:t>
      </w:r>
      <w:r>
        <w:rPr>
          <w:w w:val="105"/>
        </w:rPr>
        <w:t>a</w:t>
      </w:r>
      <w:r>
        <w:rPr>
          <w:spacing w:val="-8"/>
          <w:w w:val="105"/>
        </w:rPr>
        <w:t> </w:t>
      </w:r>
      <w:r>
        <w:rPr>
          <w:w w:val="105"/>
        </w:rPr>
        <w:t>complex</w:t>
      </w:r>
      <w:r>
        <w:rPr>
          <w:spacing w:val="-8"/>
          <w:w w:val="105"/>
        </w:rPr>
        <w:t> </w:t>
      </w:r>
      <w:r>
        <w:rPr>
          <w:w w:val="105"/>
        </w:rPr>
        <w:t>system</w:t>
      </w:r>
      <w:r>
        <w:rPr>
          <w:spacing w:val="-8"/>
          <w:w w:val="105"/>
        </w:rPr>
        <w:t> </w:t>
      </w:r>
      <w:r>
        <w:rPr>
          <w:w w:val="105"/>
        </w:rPr>
        <w:t>of</w:t>
      </w:r>
      <w:r>
        <w:rPr>
          <w:spacing w:val="-6"/>
          <w:w w:val="105"/>
        </w:rPr>
        <w:t> </w:t>
      </w:r>
      <w:r>
        <w:rPr>
          <w:w w:val="105"/>
        </w:rPr>
        <w:t>import-</w:t>
      </w:r>
      <w:r>
        <w:rPr>
          <w:spacing w:val="-8"/>
          <w:w w:val="105"/>
        </w:rPr>
        <w:t> </w:t>
      </w:r>
      <w:r>
        <w:rPr>
          <w:w w:val="105"/>
        </w:rPr>
        <w:t>and</w:t>
      </w:r>
      <w:r>
        <w:rPr>
          <w:spacing w:val="-8"/>
          <w:w w:val="105"/>
        </w:rPr>
        <w:t> </w:t>
      </w:r>
      <w:r>
        <w:rPr>
          <w:w w:val="105"/>
        </w:rPr>
        <w:t>export-related</w:t>
      </w:r>
      <w:r>
        <w:rPr>
          <w:spacing w:val="-8"/>
          <w:w w:val="105"/>
        </w:rPr>
        <w:t> </w:t>
      </w:r>
      <w:r>
        <w:rPr>
          <w:w w:val="105"/>
        </w:rPr>
        <w:t>laws</w:t>
      </w:r>
      <w:r>
        <w:rPr>
          <w:spacing w:val="-8"/>
          <w:w w:val="105"/>
        </w:rPr>
        <w:t> </w:t>
      </w:r>
      <w:r>
        <w:rPr>
          <w:w w:val="105"/>
        </w:rPr>
        <w:t>and</w:t>
      </w:r>
      <w:r>
        <w:rPr>
          <w:spacing w:val="-8"/>
          <w:w w:val="105"/>
        </w:rPr>
        <w:t> </w:t>
      </w:r>
      <w:r>
        <w:rPr>
          <w:w w:val="105"/>
        </w:rPr>
        <w:t>regulations,</w:t>
      </w:r>
      <w:r>
        <w:rPr>
          <w:spacing w:val="-8"/>
          <w:w w:val="105"/>
        </w:rPr>
        <w:t> </w:t>
      </w:r>
      <w:r>
        <w:rPr>
          <w:w w:val="105"/>
        </w:rPr>
        <w:t>including</w:t>
      </w:r>
      <w:r>
        <w:rPr>
          <w:spacing w:val="-8"/>
          <w:w w:val="105"/>
        </w:rPr>
        <w:t> </w:t>
      </w:r>
      <w:r>
        <w:rPr>
          <w:w w:val="105"/>
        </w:rPr>
        <w:t>U.S.</w:t>
      </w:r>
      <w:r>
        <w:rPr>
          <w:spacing w:val="-8"/>
          <w:w w:val="105"/>
        </w:rPr>
        <w:t> </w:t>
      </w:r>
      <w:r>
        <w:rPr>
          <w:w w:val="105"/>
        </w:rPr>
        <w:t>regulations</w:t>
      </w:r>
      <w:r>
        <w:rPr>
          <w:spacing w:val="-8"/>
          <w:w w:val="105"/>
        </w:rPr>
        <w:t> </w:t>
      </w:r>
      <w:r>
        <w:rPr>
          <w:w w:val="105"/>
        </w:rPr>
        <w:t>issued</w:t>
      </w:r>
      <w:r>
        <w:rPr>
          <w:spacing w:val="-8"/>
          <w:w w:val="105"/>
        </w:rPr>
        <w:t> </w:t>
      </w:r>
      <w:r>
        <w:rPr>
          <w:w w:val="105"/>
        </w:rPr>
        <w:t>by Customs</w:t>
      </w:r>
      <w:r>
        <w:rPr>
          <w:spacing w:val="-2"/>
          <w:w w:val="105"/>
        </w:rPr>
        <w:t> </w:t>
      </w:r>
      <w:r>
        <w:rPr>
          <w:w w:val="105"/>
        </w:rPr>
        <w:t>and</w:t>
      </w:r>
      <w:r>
        <w:rPr>
          <w:spacing w:val="-2"/>
          <w:w w:val="105"/>
        </w:rPr>
        <w:t> </w:t>
      </w:r>
      <w:r>
        <w:rPr>
          <w:w w:val="105"/>
        </w:rPr>
        <w:t>Border</w:t>
      </w:r>
      <w:r>
        <w:rPr>
          <w:spacing w:val="-2"/>
          <w:w w:val="105"/>
        </w:rPr>
        <w:t> </w:t>
      </w:r>
      <w:r>
        <w:rPr>
          <w:w w:val="105"/>
        </w:rPr>
        <w:t>Protection,</w:t>
      </w:r>
      <w:r>
        <w:rPr>
          <w:spacing w:val="-2"/>
          <w:w w:val="105"/>
        </w:rPr>
        <w:t> </w:t>
      </w:r>
      <w:r>
        <w:rPr>
          <w:w w:val="105"/>
        </w:rPr>
        <w:t>the</w:t>
      </w:r>
      <w:r>
        <w:rPr>
          <w:spacing w:val="-2"/>
          <w:w w:val="105"/>
        </w:rPr>
        <w:t> </w:t>
      </w:r>
      <w:r>
        <w:rPr>
          <w:w w:val="105"/>
        </w:rPr>
        <w:t>Bureau</w:t>
      </w:r>
      <w:r>
        <w:rPr>
          <w:spacing w:val="-2"/>
          <w:w w:val="105"/>
        </w:rPr>
        <w:t> </w:t>
      </w:r>
      <w:r>
        <w:rPr>
          <w:w w:val="105"/>
        </w:rPr>
        <w:t>of</w:t>
      </w:r>
      <w:r>
        <w:rPr>
          <w:spacing w:val="-2"/>
          <w:w w:val="105"/>
        </w:rPr>
        <w:t> </w:t>
      </w:r>
      <w:r>
        <w:rPr>
          <w:w w:val="105"/>
        </w:rPr>
        <w:t>Industry</w:t>
      </w:r>
      <w:r>
        <w:rPr>
          <w:spacing w:val="-2"/>
          <w:w w:val="105"/>
        </w:rPr>
        <w:t> </w:t>
      </w:r>
      <w:r>
        <w:rPr>
          <w:w w:val="105"/>
        </w:rPr>
        <w:t>and</w:t>
      </w:r>
      <w:r>
        <w:rPr>
          <w:spacing w:val="-2"/>
          <w:w w:val="105"/>
        </w:rPr>
        <w:t> </w:t>
      </w:r>
      <w:r>
        <w:rPr>
          <w:w w:val="105"/>
        </w:rPr>
        <w:t>Security,</w:t>
      </w:r>
      <w:r>
        <w:rPr>
          <w:spacing w:val="-2"/>
          <w:w w:val="105"/>
        </w:rPr>
        <w:t> </w:t>
      </w:r>
      <w:r>
        <w:rPr>
          <w:w w:val="105"/>
        </w:rPr>
        <w:t>the</w:t>
      </w:r>
      <w:r>
        <w:rPr>
          <w:spacing w:val="-2"/>
          <w:w w:val="105"/>
        </w:rPr>
        <w:t> </w:t>
      </w:r>
      <w:r>
        <w:rPr>
          <w:w w:val="105"/>
        </w:rPr>
        <w:t>Office</w:t>
      </w:r>
      <w:r>
        <w:rPr>
          <w:spacing w:val="-2"/>
          <w:w w:val="105"/>
        </w:rPr>
        <w:t> </w:t>
      </w:r>
      <w:r>
        <w:rPr>
          <w:w w:val="105"/>
        </w:rPr>
        <w:t>of</w:t>
      </w:r>
      <w:r>
        <w:rPr>
          <w:spacing w:val="-2"/>
          <w:w w:val="105"/>
        </w:rPr>
        <w:t> </w:t>
      </w:r>
      <w:r>
        <w:rPr>
          <w:w w:val="105"/>
        </w:rPr>
        <w:t>Anti-boycott</w:t>
      </w:r>
      <w:r>
        <w:rPr>
          <w:spacing w:val="-2"/>
          <w:w w:val="105"/>
        </w:rPr>
        <w:t> </w:t>
      </w:r>
      <w:r>
        <w:rPr>
          <w:w w:val="105"/>
        </w:rPr>
        <w:t>Compliance,</w:t>
      </w:r>
      <w:r>
        <w:rPr>
          <w:spacing w:val="-2"/>
          <w:w w:val="105"/>
        </w:rPr>
        <w:t> </w:t>
      </w:r>
      <w:r>
        <w:rPr>
          <w:w w:val="105"/>
        </w:rPr>
        <w:t>the</w:t>
      </w:r>
      <w:r>
        <w:rPr>
          <w:spacing w:val="-2"/>
          <w:w w:val="105"/>
        </w:rPr>
        <w:t> </w:t>
      </w:r>
      <w:r>
        <w:rPr>
          <w:w w:val="105"/>
        </w:rPr>
        <w:t>Directorate</w:t>
      </w:r>
      <w:r>
        <w:rPr>
          <w:spacing w:val="-2"/>
          <w:w w:val="105"/>
        </w:rPr>
        <w:t> </w:t>
      </w:r>
      <w:r>
        <w:rPr>
          <w:w w:val="105"/>
        </w:rPr>
        <w:t>of</w:t>
      </w:r>
      <w:r>
        <w:rPr>
          <w:spacing w:val="-2"/>
          <w:w w:val="105"/>
        </w:rPr>
        <w:t> </w:t>
      </w:r>
      <w:r>
        <w:rPr>
          <w:w w:val="105"/>
        </w:rPr>
        <w:t>Defense</w:t>
      </w:r>
      <w:r>
        <w:rPr>
          <w:spacing w:val="-2"/>
          <w:w w:val="105"/>
        </w:rPr>
        <w:t> </w:t>
      </w:r>
      <w:r>
        <w:rPr>
          <w:w w:val="105"/>
        </w:rPr>
        <w:t>Trade</w:t>
      </w:r>
      <w:r>
        <w:rPr>
          <w:spacing w:val="-2"/>
          <w:w w:val="105"/>
        </w:rPr>
        <w:t> </w:t>
      </w:r>
      <w:r>
        <w:rPr>
          <w:w w:val="105"/>
        </w:rPr>
        <w:t>Controls</w:t>
      </w:r>
      <w:r>
        <w:rPr>
          <w:spacing w:val="-2"/>
          <w:w w:val="105"/>
        </w:rPr>
        <w:t> </w:t>
      </w:r>
      <w:r>
        <w:rPr>
          <w:w w:val="105"/>
        </w:rPr>
        <w:t>and</w:t>
      </w:r>
      <w:r>
        <w:rPr>
          <w:spacing w:val="-2"/>
          <w:w w:val="105"/>
        </w:rPr>
        <w:t> </w:t>
      </w:r>
      <w:r>
        <w:rPr>
          <w:w w:val="105"/>
        </w:rPr>
        <w:t>the</w:t>
      </w:r>
      <w:r>
        <w:rPr>
          <w:spacing w:val="-2"/>
          <w:w w:val="105"/>
        </w:rPr>
        <w:t> </w:t>
      </w:r>
      <w:r>
        <w:rPr>
          <w:w w:val="105"/>
        </w:rPr>
        <w:t>Office</w:t>
      </w:r>
      <w:r>
        <w:rPr>
          <w:spacing w:val="-2"/>
          <w:w w:val="105"/>
        </w:rPr>
        <w:t> </w:t>
      </w:r>
      <w:r>
        <w:rPr>
          <w:w w:val="105"/>
        </w:rPr>
        <w:t>of Foreign</w:t>
      </w:r>
      <w:r>
        <w:rPr>
          <w:spacing w:val="-2"/>
          <w:w w:val="105"/>
        </w:rPr>
        <w:t> </w:t>
      </w:r>
      <w:r>
        <w:rPr>
          <w:w w:val="105"/>
        </w:rPr>
        <w:t>Assets</w:t>
      </w:r>
      <w:r>
        <w:rPr>
          <w:spacing w:val="-2"/>
          <w:w w:val="105"/>
        </w:rPr>
        <w:t> </w:t>
      </w:r>
      <w:r>
        <w:rPr>
          <w:w w:val="105"/>
        </w:rPr>
        <w:t>Control,</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the</w:t>
      </w:r>
      <w:r>
        <w:rPr>
          <w:spacing w:val="-2"/>
          <w:w w:val="105"/>
        </w:rPr>
        <w:t> </w:t>
      </w:r>
      <w:r>
        <w:rPr>
          <w:w w:val="105"/>
        </w:rPr>
        <w:t>counterparts</w:t>
      </w:r>
      <w:r>
        <w:rPr>
          <w:spacing w:val="-2"/>
          <w:w w:val="105"/>
        </w:rPr>
        <w:t> </w:t>
      </w:r>
      <w:r>
        <w:rPr>
          <w:w w:val="105"/>
        </w:rPr>
        <w:t>of</w:t>
      </w:r>
      <w:r>
        <w:rPr>
          <w:spacing w:val="-2"/>
          <w:w w:val="105"/>
        </w:rPr>
        <w:t> </w:t>
      </w:r>
      <w:r>
        <w:rPr>
          <w:w w:val="105"/>
        </w:rPr>
        <w:t>these</w:t>
      </w:r>
      <w:r>
        <w:rPr>
          <w:spacing w:val="-2"/>
          <w:w w:val="105"/>
        </w:rPr>
        <w:t> </w:t>
      </w:r>
      <w:r>
        <w:rPr>
          <w:w w:val="105"/>
        </w:rPr>
        <w:t>agencies</w:t>
      </w:r>
      <w:r>
        <w:rPr>
          <w:spacing w:val="-2"/>
          <w:w w:val="105"/>
        </w:rPr>
        <w:t> </w:t>
      </w:r>
      <w:r>
        <w:rPr>
          <w:w w:val="105"/>
        </w:rPr>
        <w:t>in</w:t>
      </w:r>
      <w:r>
        <w:rPr>
          <w:spacing w:val="-2"/>
          <w:w w:val="105"/>
        </w:rPr>
        <w:t> </w:t>
      </w:r>
      <w:r>
        <w:rPr>
          <w:w w:val="105"/>
        </w:rPr>
        <w:t>other</w:t>
      </w:r>
      <w:r>
        <w:rPr>
          <w:spacing w:val="-2"/>
          <w:w w:val="105"/>
        </w:rPr>
        <w:t> </w:t>
      </w:r>
      <w:r>
        <w:rPr>
          <w:w w:val="105"/>
        </w:rPr>
        <w:t>countries.</w:t>
      </w:r>
      <w:r>
        <w:rPr>
          <w:spacing w:val="-2"/>
          <w:w w:val="105"/>
        </w:rPr>
        <w:t> </w:t>
      </w:r>
      <w:r>
        <w:rPr>
          <w:w w:val="105"/>
        </w:rPr>
        <w:t>Any</w:t>
      </w:r>
      <w:r>
        <w:rPr>
          <w:spacing w:val="-2"/>
          <w:w w:val="105"/>
        </w:rPr>
        <w:t> </w:t>
      </w:r>
      <w:r>
        <w:rPr>
          <w:w w:val="105"/>
        </w:rPr>
        <w:t>alleged</w:t>
      </w:r>
      <w:r>
        <w:rPr>
          <w:spacing w:val="-2"/>
          <w:w w:val="105"/>
        </w:rPr>
        <w:t> </w:t>
      </w:r>
      <w:r>
        <w:rPr>
          <w:w w:val="105"/>
        </w:rPr>
        <w:t>or</w:t>
      </w:r>
      <w:r>
        <w:rPr>
          <w:spacing w:val="-2"/>
          <w:w w:val="105"/>
        </w:rPr>
        <w:t> </w:t>
      </w:r>
      <w:r>
        <w:rPr>
          <w:w w:val="105"/>
        </w:rPr>
        <w:t>actual</w:t>
      </w:r>
      <w:r>
        <w:rPr>
          <w:spacing w:val="-2"/>
          <w:w w:val="105"/>
        </w:rPr>
        <w:t> </w:t>
      </w:r>
      <w:r>
        <w:rPr>
          <w:w w:val="105"/>
        </w:rPr>
        <w:t>violation</w:t>
      </w:r>
      <w:r>
        <w:rPr>
          <w:spacing w:val="-2"/>
          <w:w w:val="105"/>
        </w:rPr>
        <w:t> </w:t>
      </w:r>
      <w:r>
        <w:rPr>
          <w:w w:val="105"/>
        </w:rPr>
        <w:t>by an</w:t>
      </w:r>
      <w:r>
        <w:rPr>
          <w:spacing w:val="-2"/>
          <w:w w:val="105"/>
        </w:rPr>
        <w:t> </w:t>
      </w:r>
      <w:r>
        <w:rPr>
          <w:w w:val="105"/>
        </w:rPr>
        <w:t>employee</w:t>
      </w:r>
      <w:r>
        <w:rPr>
          <w:spacing w:val="-2"/>
          <w:w w:val="105"/>
        </w:rPr>
        <w:t> </w:t>
      </w:r>
      <w:r>
        <w:rPr>
          <w:w w:val="105"/>
        </w:rPr>
        <w:t>or</w:t>
      </w:r>
      <w:r>
        <w:rPr>
          <w:spacing w:val="-2"/>
          <w:w w:val="105"/>
        </w:rPr>
        <w:t> </w:t>
      </w:r>
      <w:r>
        <w:rPr>
          <w:w w:val="105"/>
        </w:rPr>
        <w:t>the</w:t>
      </w:r>
      <w:r>
        <w:rPr>
          <w:spacing w:val="-2"/>
          <w:w w:val="105"/>
        </w:rPr>
        <w:t> </w:t>
      </w:r>
      <w:r>
        <w:rPr>
          <w:w w:val="105"/>
        </w:rPr>
        <w:t>Company</w:t>
      </w:r>
      <w:r>
        <w:rPr>
          <w:spacing w:val="-2"/>
          <w:w w:val="105"/>
        </w:rPr>
        <w:t> </w:t>
      </w:r>
      <w:r>
        <w:rPr>
          <w:w w:val="105"/>
        </w:rPr>
        <w:t>may</w:t>
      </w:r>
      <w:r>
        <w:rPr>
          <w:spacing w:val="-2"/>
          <w:w w:val="105"/>
        </w:rPr>
        <w:t> </w:t>
      </w:r>
      <w:r>
        <w:rPr>
          <w:w w:val="105"/>
        </w:rPr>
        <w:t>subject</w:t>
      </w:r>
      <w:r>
        <w:rPr>
          <w:spacing w:val="-2"/>
          <w:w w:val="105"/>
        </w:rPr>
        <w:t> </w:t>
      </w:r>
      <w:r>
        <w:rPr>
          <w:w w:val="105"/>
        </w:rPr>
        <w:t>us</w:t>
      </w:r>
      <w:r>
        <w:rPr>
          <w:spacing w:val="-2"/>
          <w:w w:val="105"/>
        </w:rPr>
        <w:t> </w:t>
      </w:r>
      <w:r>
        <w:rPr>
          <w:w w:val="105"/>
        </w:rPr>
        <w:t>to government</w:t>
      </w:r>
      <w:r>
        <w:rPr>
          <w:spacing w:val="-2"/>
          <w:w w:val="105"/>
        </w:rPr>
        <w:t> </w:t>
      </w:r>
      <w:r>
        <w:rPr>
          <w:w w:val="105"/>
        </w:rPr>
        <w:t>scrutiny,</w:t>
      </w:r>
      <w:r>
        <w:rPr>
          <w:spacing w:val="-2"/>
          <w:w w:val="105"/>
        </w:rPr>
        <w:t> </w:t>
      </w:r>
      <w:r>
        <w:rPr>
          <w:w w:val="105"/>
        </w:rPr>
        <w:t>investigation</w:t>
      </w:r>
      <w:r>
        <w:rPr>
          <w:spacing w:val="-2"/>
          <w:w w:val="105"/>
        </w:rPr>
        <w:t> </w:t>
      </w:r>
      <w:r>
        <w:rPr>
          <w:w w:val="105"/>
        </w:rPr>
        <w:t>and</w:t>
      </w:r>
      <w:r>
        <w:rPr>
          <w:spacing w:val="-2"/>
          <w:w w:val="105"/>
        </w:rPr>
        <w:t> </w:t>
      </w:r>
      <w:r>
        <w:rPr>
          <w:w w:val="105"/>
        </w:rPr>
        <w:t>civil</w:t>
      </w:r>
      <w:r>
        <w:rPr>
          <w:spacing w:val="-2"/>
          <w:w w:val="105"/>
        </w:rPr>
        <w:t> </w:t>
      </w:r>
      <w:r>
        <w:rPr>
          <w:w w:val="105"/>
        </w:rPr>
        <w:t>and</w:t>
      </w:r>
      <w:r>
        <w:rPr>
          <w:spacing w:val="-2"/>
          <w:w w:val="105"/>
        </w:rPr>
        <w:t> </w:t>
      </w:r>
      <w:r>
        <w:rPr>
          <w:w w:val="105"/>
        </w:rPr>
        <w:t>criminal</w:t>
      </w:r>
      <w:r>
        <w:rPr>
          <w:spacing w:val="-2"/>
          <w:w w:val="105"/>
        </w:rPr>
        <w:t> </w:t>
      </w:r>
      <w:r>
        <w:rPr>
          <w:w w:val="105"/>
        </w:rPr>
        <w:t>penalties,</w:t>
      </w:r>
      <w:r>
        <w:rPr>
          <w:spacing w:val="-2"/>
          <w:w w:val="105"/>
        </w:rPr>
        <w:t> </w:t>
      </w:r>
      <w:r>
        <w:rPr>
          <w:w w:val="105"/>
        </w:rPr>
        <w:t>and</w:t>
      </w:r>
      <w:r>
        <w:rPr>
          <w:spacing w:val="-2"/>
          <w:w w:val="105"/>
        </w:rPr>
        <w:t> </w:t>
      </w:r>
      <w:r>
        <w:rPr>
          <w:w w:val="105"/>
        </w:rPr>
        <w:t>may limit</w:t>
      </w:r>
      <w:r>
        <w:rPr>
          <w:spacing w:val="-2"/>
          <w:w w:val="105"/>
        </w:rPr>
        <w:t> </w:t>
      </w:r>
      <w:r>
        <w:rPr>
          <w:w w:val="105"/>
        </w:rPr>
        <w:t>our</w:t>
      </w:r>
      <w:r>
        <w:rPr>
          <w:spacing w:val="-2"/>
          <w:w w:val="105"/>
        </w:rPr>
        <w:t> </w:t>
      </w:r>
      <w:r>
        <w:rPr>
          <w:w w:val="105"/>
        </w:rPr>
        <w:t>ability</w:t>
      </w:r>
      <w:r>
        <w:rPr>
          <w:spacing w:val="-2"/>
          <w:w w:val="105"/>
        </w:rPr>
        <w:t> </w:t>
      </w:r>
      <w:r>
        <w:rPr>
          <w:w w:val="105"/>
        </w:rPr>
        <w:t>to</w:t>
      </w:r>
      <w:r>
        <w:rPr>
          <w:spacing w:val="-2"/>
          <w:w w:val="105"/>
        </w:rPr>
        <w:t> </w:t>
      </w:r>
      <w:r>
        <w:rPr>
          <w:w w:val="105"/>
        </w:rPr>
        <w:t>import</w:t>
      </w:r>
      <w:r>
        <w:rPr>
          <w:spacing w:val="-2"/>
          <w:w w:val="105"/>
        </w:rPr>
        <w:t> </w:t>
      </w:r>
      <w:r>
        <w:rPr>
          <w:w w:val="105"/>
        </w:rPr>
        <w:t>or</w:t>
      </w:r>
      <w:r>
        <w:rPr>
          <w:spacing w:val="-2"/>
          <w:w w:val="105"/>
        </w:rPr>
        <w:t> </w:t>
      </w:r>
      <w:r>
        <w:rPr>
          <w:w w:val="105"/>
        </w:rPr>
        <w:t>export</w:t>
      </w:r>
      <w:r>
        <w:rPr>
          <w:spacing w:val="-2"/>
          <w:w w:val="105"/>
        </w:rPr>
        <w:t> </w:t>
      </w:r>
      <w:r>
        <w:rPr>
          <w:w w:val="105"/>
        </w:rPr>
        <w:t>our</w:t>
      </w:r>
      <w:r>
        <w:rPr>
          <w:spacing w:val="-2"/>
          <w:w w:val="105"/>
        </w:rPr>
        <w:t> </w:t>
      </w:r>
      <w:r>
        <w:rPr>
          <w:w w:val="105"/>
        </w:rPr>
        <w:t>products</w:t>
      </w:r>
      <w:r>
        <w:rPr>
          <w:spacing w:val="-2"/>
          <w:w w:val="105"/>
        </w:rPr>
        <w:t> </w:t>
      </w:r>
      <w:r>
        <w:rPr>
          <w:w w:val="105"/>
        </w:rPr>
        <w:t>or</w:t>
      </w:r>
      <w:r>
        <w:rPr>
          <w:spacing w:val="-2"/>
          <w:w w:val="105"/>
        </w:rPr>
        <w:t> </w:t>
      </w:r>
      <w:r>
        <w:rPr>
          <w:w w:val="105"/>
        </w:rPr>
        <w:t>to</w:t>
      </w:r>
      <w:r>
        <w:rPr>
          <w:spacing w:val="-2"/>
          <w:w w:val="105"/>
        </w:rPr>
        <w:t> </w:t>
      </w:r>
      <w:r>
        <w:rPr>
          <w:w w:val="105"/>
        </w:rPr>
        <w:t>provide</w:t>
      </w:r>
      <w:r>
        <w:rPr>
          <w:spacing w:val="-2"/>
          <w:w w:val="105"/>
        </w:rPr>
        <w:t> </w:t>
      </w:r>
      <w:r>
        <w:rPr>
          <w:w w:val="105"/>
        </w:rPr>
        <w:t>services</w:t>
      </w:r>
      <w:r>
        <w:rPr>
          <w:spacing w:val="-2"/>
          <w:w w:val="105"/>
        </w:rPr>
        <w:t> </w:t>
      </w:r>
      <w:r>
        <w:rPr>
          <w:w w:val="105"/>
        </w:rPr>
        <w:t>outside</w:t>
      </w:r>
      <w:r>
        <w:rPr>
          <w:spacing w:val="-2"/>
          <w:w w:val="105"/>
        </w:rPr>
        <w:t> </w:t>
      </w:r>
      <w:r>
        <w:rPr>
          <w:w w:val="105"/>
        </w:rPr>
        <w:t>the</w:t>
      </w:r>
      <w:r>
        <w:rPr>
          <w:spacing w:val="-2"/>
          <w:w w:val="105"/>
        </w:rPr>
        <w:t> </w:t>
      </w:r>
      <w:r>
        <w:rPr>
          <w:w w:val="105"/>
        </w:rPr>
        <w:t>U.S.</w:t>
      </w:r>
      <w:r>
        <w:rPr>
          <w:spacing w:val="-2"/>
          <w:w w:val="105"/>
        </w:rPr>
        <w:t> </w:t>
      </w:r>
      <w:r>
        <w:rPr>
          <w:w w:val="105"/>
        </w:rPr>
        <w:t>We cannot</w:t>
      </w:r>
      <w:r>
        <w:rPr>
          <w:spacing w:val="-2"/>
          <w:w w:val="105"/>
        </w:rPr>
        <w:t> </w:t>
      </w:r>
      <w:r>
        <w:rPr>
          <w:w w:val="105"/>
        </w:rPr>
        <w:t>predict</w:t>
      </w:r>
      <w:r>
        <w:rPr>
          <w:spacing w:val="-2"/>
          <w:w w:val="105"/>
        </w:rPr>
        <w:t> </w:t>
      </w:r>
      <w:r>
        <w:rPr>
          <w:w w:val="105"/>
        </w:rPr>
        <w:t>the</w:t>
      </w:r>
      <w:r>
        <w:rPr>
          <w:spacing w:val="-2"/>
          <w:w w:val="105"/>
        </w:rPr>
        <w:t> </w:t>
      </w:r>
      <w:r>
        <w:rPr>
          <w:w w:val="105"/>
        </w:rPr>
        <w:t>nature,</w:t>
      </w:r>
      <w:r>
        <w:rPr>
          <w:spacing w:val="-2"/>
          <w:w w:val="105"/>
        </w:rPr>
        <w:t> </w:t>
      </w:r>
      <w:r>
        <w:rPr>
          <w:w w:val="105"/>
        </w:rPr>
        <w:t>scope</w:t>
      </w:r>
      <w:r>
        <w:rPr>
          <w:spacing w:val="-2"/>
          <w:w w:val="105"/>
        </w:rPr>
        <w:t> </w:t>
      </w:r>
      <w:r>
        <w:rPr>
          <w:w w:val="105"/>
        </w:rPr>
        <w:t>or</w:t>
      </w:r>
      <w:r>
        <w:rPr>
          <w:spacing w:val="-2"/>
          <w:w w:val="105"/>
        </w:rPr>
        <w:t> </w:t>
      </w:r>
      <w:r>
        <w:rPr>
          <w:w w:val="105"/>
        </w:rPr>
        <w:t>effect</w:t>
      </w:r>
      <w:r>
        <w:rPr>
          <w:spacing w:val="-2"/>
          <w:w w:val="105"/>
        </w:rPr>
        <w:t> </w:t>
      </w:r>
      <w:r>
        <w:rPr>
          <w:w w:val="105"/>
        </w:rPr>
        <w:t>of</w:t>
      </w:r>
      <w:r>
        <w:rPr>
          <w:spacing w:val="-2"/>
          <w:w w:val="105"/>
        </w:rPr>
        <w:t> </w:t>
      </w:r>
      <w:r>
        <w:rPr>
          <w:w w:val="105"/>
        </w:rPr>
        <w:t>future</w:t>
      </w:r>
      <w:r>
        <w:rPr>
          <w:spacing w:val="-2"/>
          <w:w w:val="105"/>
        </w:rPr>
        <w:t> </w:t>
      </w:r>
      <w:r>
        <w:rPr>
          <w:w w:val="105"/>
        </w:rPr>
        <w:t>regulatory</w:t>
      </w:r>
      <w:r>
        <w:rPr>
          <w:spacing w:val="-2"/>
          <w:w w:val="105"/>
        </w:rPr>
        <w:t> </w:t>
      </w:r>
      <w:r>
        <w:rPr>
          <w:w w:val="105"/>
        </w:rPr>
        <w:t>requirements</w:t>
      </w:r>
      <w:r>
        <w:rPr>
          <w:spacing w:val="-2"/>
          <w:w w:val="105"/>
        </w:rPr>
        <w:t> </w:t>
      </w:r>
      <w:r>
        <w:rPr>
          <w:w w:val="105"/>
        </w:rPr>
        <w:t>to</w:t>
      </w:r>
      <w:r>
        <w:rPr>
          <w:spacing w:val="-2"/>
          <w:w w:val="105"/>
        </w:rPr>
        <w:t> </w:t>
      </w:r>
      <w:r>
        <w:rPr>
          <w:w w:val="105"/>
        </w:rPr>
        <w:t>which</w:t>
      </w:r>
      <w:r>
        <w:rPr>
          <w:spacing w:val="-2"/>
          <w:w w:val="105"/>
        </w:rPr>
        <w:t> </w:t>
      </w:r>
      <w:r>
        <w:rPr>
          <w:w w:val="105"/>
        </w:rPr>
        <w:t>our</w:t>
      </w:r>
      <w:r>
        <w:rPr>
          <w:spacing w:val="-2"/>
          <w:w w:val="105"/>
        </w:rPr>
        <w:t> </w:t>
      </w:r>
      <w:r>
        <w:rPr>
          <w:w w:val="105"/>
        </w:rPr>
        <w:t>operations</w:t>
      </w:r>
      <w:r>
        <w:rPr>
          <w:spacing w:val="-2"/>
          <w:w w:val="105"/>
        </w:rPr>
        <w:t> </w:t>
      </w:r>
      <w:r>
        <w:rPr>
          <w:w w:val="105"/>
        </w:rPr>
        <w:t>might</w:t>
      </w:r>
      <w:r>
        <w:rPr>
          <w:spacing w:val="-2"/>
          <w:w w:val="105"/>
        </w:rPr>
        <w:t> </w:t>
      </w:r>
      <w:r>
        <w:rPr>
          <w:w w:val="105"/>
        </w:rPr>
        <w:t>be</w:t>
      </w:r>
      <w:r>
        <w:rPr>
          <w:spacing w:val="-2"/>
          <w:w w:val="105"/>
        </w:rPr>
        <w:t> </w:t>
      </w:r>
      <w:r>
        <w:rPr>
          <w:w w:val="105"/>
        </w:rPr>
        <w:t>subject</w:t>
      </w:r>
      <w:r>
        <w:rPr>
          <w:spacing w:val="-2"/>
          <w:w w:val="105"/>
        </w:rPr>
        <w:t> </w:t>
      </w:r>
      <w:r>
        <w:rPr>
          <w:w w:val="105"/>
        </w:rPr>
        <w:t>to,</w:t>
      </w:r>
      <w:r>
        <w:rPr>
          <w:spacing w:val="-2"/>
          <w:w w:val="105"/>
        </w:rPr>
        <w:t> </w:t>
      </w:r>
      <w:r>
        <w:rPr>
          <w:w w:val="105"/>
        </w:rPr>
        <w:t>based</w:t>
      </w:r>
      <w:r>
        <w:rPr>
          <w:spacing w:val="-2"/>
          <w:w w:val="105"/>
        </w:rPr>
        <w:t> </w:t>
      </w:r>
      <w:r>
        <w:rPr>
          <w:w w:val="105"/>
        </w:rPr>
        <w:t>on</w:t>
      </w:r>
      <w:r>
        <w:rPr>
          <w:spacing w:val="-2"/>
          <w:w w:val="105"/>
        </w:rPr>
        <w:t> </w:t>
      </w:r>
      <w:r>
        <w:rPr>
          <w:w w:val="105"/>
        </w:rPr>
        <w:t>the</w:t>
      </w:r>
      <w:r>
        <w:rPr>
          <w:spacing w:val="-2"/>
          <w:w w:val="105"/>
        </w:rPr>
        <w:t> </w:t>
      </w:r>
      <w:r>
        <w:rPr>
          <w:w w:val="105"/>
        </w:rPr>
        <w:t>way</w:t>
      </w:r>
      <w:r>
        <w:rPr>
          <w:spacing w:val="-2"/>
          <w:w w:val="105"/>
        </w:rPr>
        <w:t> </w:t>
      </w:r>
      <w:r>
        <w:rPr>
          <w:w w:val="105"/>
        </w:rPr>
        <w:t>existing</w:t>
      </w:r>
      <w:r>
        <w:rPr>
          <w:spacing w:val="-2"/>
          <w:w w:val="105"/>
        </w:rPr>
        <w:t> </w:t>
      </w:r>
      <w:r>
        <w:rPr>
          <w:w w:val="105"/>
        </w:rPr>
        <w:t>laws</w:t>
      </w:r>
      <w:r>
        <w:rPr>
          <w:spacing w:val="-2"/>
          <w:w w:val="105"/>
        </w:rPr>
        <w:t> </w:t>
      </w:r>
      <w:r>
        <w:rPr>
          <w:w w:val="105"/>
        </w:rPr>
        <w:t>might</w:t>
      </w:r>
      <w:r>
        <w:rPr>
          <w:spacing w:val="-2"/>
          <w:w w:val="105"/>
        </w:rPr>
        <w:t> </w:t>
      </w:r>
      <w:r>
        <w:rPr>
          <w:w w:val="105"/>
        </w:rPr>
        <w:t>be administered or interpreted.</w:t>
      </w:r>
    </w:p>
    <w:p>
      <w:pPr>
        <w:pStyle w:val="BodyText"/>
        <w:spacing w:before="17"/>
      </w:pPr>
    </w:p>
    <w:p>
      <w:pPr>
        <w:pStyle w:val="BodyText"/>
        <w:spacing w:line="266" w:lineRule="auto" w:before="1"/>
        <w:ind w:left="156" w:right="117"/>
      </w:pPr>
      <w:r>
        <w:rPr>
          <w:w w:val="105"/>
        </w:rPr>
        <w:t>In</w:t>
      </w:r>
      <w:r>
        <w:rPr>
          <w:spacing w:val="-4"/>
          <w:w w:val="105"/>
        </w:rPr>
        <w:t> </w:t>
      </w:r>
      <w:r>
        <w:rPr>
          <w:w w:val="105"/>
        </w:rPr>
        <w:t>addition,</w:t>
      </w:r>
      <w:r>
        <w:rPr>
          <w:spacing w:val="-4"/>
          <w:w w:val="105"/>
        </w:rPr>
        <w:t> </w:t>
      </w:r>
      <w:r>
        <w:rPr>
          <w:w w:val="105"/>
        </w:rPr>
        <w:t>the</w:t>
      </w:r>
      <w:r>
        <w:rPr>
          <w:spacing w:val="-4"/>
          <w:w w:val="105"/>
        </w:rPr>
        <w:t> </w:t>
      </w:r>
      <w:r>
        <w:rPr>
          <w:w w:val="105"/>
        </w:rPr>
        <w:t>U.S.</w:t>
      </w:r>
      <w:r>
        <w:rPr>
          <w:spacing w:val="-4"/>
          <w:w w:val="105"/>
        </w:rPr>
        <w:t> </w:t>
      </w:r>
      <w:r>
        <w:rPr>
          <w:w w:val="105"/>
        </w:rPr>
        <w:t>Foreign</w:t>
      </w:r>
      <w:r>
        <w:rPr>
          <w:spacing w:val="-4"/>
          <w:w w:val="105"/>
        </w:rPr>
        <w:t> </w:t>
      </w:r>
      <w:r>
        <w:rPr>
          <w:w w:val="105"/>
        </w:rPr>
        <w:t>Corrupt</w:t>
      </w:r>
      <w:r>
        <w:rPr>
          <w:spacing w:val="-4"/>
          <w:w w:val="105"/>
        </w:rPr>
        <w:t> </w:t>
      </w:r>
      <w:r>
        <w:rPr>
          <w:w w:val="105"/>
        </w:rPr>
        <w:t>Practices</w:t>
      </w:r>
      <w:r>
        <w:rPr>
          <w:spacing w:val="-4"/>
          <w:w w:val="105"/>
        </w:rPr>
        <w:t> </w:t>
      </w:r>
      <w:r>
        <w:rPr>
          <w:w w:val="105"/>
        </w:rPr>
        <w:t>Act</w:t>
      </w:r>
      <w:r>
        <w:rPr>
          <w:spacing w:val="-4"/>
          <w:w w:val="105"/>
        </w:rPr>
        <w:t> </w:t>
      </w:r>
      <w:r>
        <w:rPr>
          <w:w w:val="105"/>
        </w:rPr>
        <w:t>and</w:t>
      </w:r>
      <w:r>
        <w:rPr>
          <w:spacing w:val="-4"/>
          <w:w w:val="105"/>
        </w:rPr>
        <w:t> </w:t>
      </w:r>
      <w:r>
        <w:rPr>
          <w:w w:val="105"/>
        </w:rPr>
        <w:t>similar</w:t>
      </w:r>
      <w:r>
        <w:rPr>
          <w:spacing w:val="-4"/>
          <w:w w:val="105"/>
        </w:rPr>
        <w:t> </w:t>
      </w:r>
      <w:r>
        <w:rPr>
          <w:w w:val="105"/>
        </w:rPr>
        <w:t>foreign</w:t>
      </w:r>
      <w:r>
        <w:rPr>
          <w:spacing w:val="-4"/>
          <w:w w:val="105"/>
        </w:rPr>
        <w:t> </w:t>
      </w:r>
      <w:r>
        <w:rPr>
          <w:w w:val="105"/>
        </w:rPr>
        <w:t>anti-corruption</w:t>
      </w:r>
      <w:r>
        <w:rPr>
          <w:spacing w:val="-4"/>
          <w:w w:val="105"/>
        </w:rPr>
        <w:t> </w:t>
      </w:r>
      <w:r>
        <w:rPr>
          <w:w w:val="105"/>
        </w:rPr>
        <w:t>laws</w:t>
      </w:r>
      <w:r>
        <w:rPr>
          <w:spacing w:val="-4"/>
          <w:w w:val="105"/>
        </w:rPr>
        <w:t> </w:t>
      </w:r>
      <w:r>
        <w:rPr>
          <w:w w:val="105"/>
        </w:rPr>
        <w:t>generally</w:t>
      </w:r>
      <w:r>
        <w:rPr>
          <w:spacing w:val="-4"/>
          <w:w w:val="105"/>
        </w:rPr>
        <w:t> </w:t>
      </w:r>
      <w:r>
        <w:rPr>
          <w:w w:val="105"/>
        </w:rPr>
        <w:t>prohibit</w:t>
      </w:r>
      <w:r>
        <w:rPr>
          <w:spacing w:val="-4"/>
          <w:w w:val="105"/>
        </w:rPr>
        <w:t> </w:t>
      </w:r>
      <w:r>
        <w:rPr>
          <w:w w:val="105"/>
        </w:rPr>
        <w:t>companies</w:t>
      </w:r>
      <w:r>
        <w:rPr>
          <w:spacing w:val="-4"/>
          <w:w w:val="105"/>
        </w:rPr>
        <w:t> </w:t>
      </w:r>
      <w:r>
        <w:rPr>
          <w:w w:val="105"/>
        </w:rPr>
        <w:t>and</w:t>
      </w:r>
      <w:r>
        <w:rPr>
          <w:spacing w:val="-4"/>
          <w:w w:val="105"/>
        </w:rPr>
        <w:t> </w:t>
      </w:r>
      <w:r>
        <w:rPr>
          <w:w w:val="105"/>
        </w:rPr>
        <w:t>their</w:t>
      </w:r>
      <w:r>
        <w:rPr>
          <w:spacing w:val="-4"/>
          <w:w w:val="105"/>
        </w:rPr>
        <w:t> </w:t>
      </w:r>
      <w:r>
        <w:rPr>
          <w:w w:val="105"/>
        </w:rPr>
        <w:t>intermediaries</w:t>
      </w:r>
      <w:r>
        <w:rPr>
          <w:spacing w:val="-4"/>
          <w:w w:val="105"/>
        </w:rPr>
        <w:t> </w:t>
      </w:r>
      <w:r>
        <w:rPr>
          <w:w w:val="105"/>
        </w:rPr>
        <w:t>from</w:t>
      </w:r>
      <w:r>
        <w:rPr>
          <w:spacing w:val="-4"/>
          <w:w w:val="105"/>
        </w:rPr>
        <w:t> </w:t>
      </w:r>
      <w:r>
        <w:rPr>
          <w:w w:val="105"/>
        </w:rPr>
        <w:t>making</w:t>
      </w:r>
      <w:r>
        <w:rPr>
          <w:spacing w:val="-4"/>
          <w:w w:val="105"/>
        </w:rPr>
        <w:t> </w:t>
      </w:r>
      <w:r>
        <w:rPr>
          <w:w w:val="105"/>
        </w:rPr>
        <w:t>improper payments</w:t>
      </w:r>
      <w:r>
        <w:rPr>
          <w:spacing w:val="-6"/>
          <w:w w:val="105"/>
        </w:rPr>
        <w:t> </w:t>
      </w:r>
      <w:r>
        <w:rPr>
          <w:w w:val="105"/>
        </w:rPr>
        <w:t>or</w:t>
      </w:r>
      <w:r>
        <w:rPr>
          <w:spacing w:val="-6"/>
          <w:w w:val="105"/>
        </w:rPr>
        <w:t> </w:t>
      </w:r>
      <w:r>
        <w:rPr>
          <w:w w:val="105"/>
        </w:rPr>
        <w:t>providing</w:t>
      </w:r>
      <w:r>
        <w:rPr>
          <w:spacing w:val="-6"/>
          <w:w w:val="105"/>
        </w:rPr>
        <w:t> </w:t>
      </w:r>
      <w:r>
        <w:rPr>
          <w:w w:val="105"/>
        </w:rPr>
        <w:t>anything</w:t>
      </w:r>
      <w:r>
        <w:rPr>
          <w:spacing w:val="-6"/>
          <w:w w:val="105"/>
        </w:rPr>
        <w:t> </w:t>
      </w:r>
      <w:r>
        <w:rPr>
          <w:w w:val="105"/>
        </w:rPr>
        <w:t>of</w:t>
      </w:r>
      <w:r>
        <w:rPr>
          <w:spacing w:val="-6"/>
          <w:w w:val="105"/>
        </w:rPr>
        <w:t> </w:t>
      </w:r>
      <w:r>
        <w:rPr>
          <w:w w:val="105"/>
        </w:rPr>
        <w:t>value</w:t>
      </w:r>
      <w:r>
        <w:rPr>
          <w:spacing w:val="-6"/>
          <w:w w:val="105"/>
        </w:rPr>
        <w:t> </w:t>
      </w:r>
      <w:r>
        <w:rPr>
          <w:w w:val="105"/>
        </w:rPr>
        <w:t>to</w:t>
      </w:r>
      <w:r>
        <w:rPr>
          <w:spacing w:val="-6"/>
          <w:w w:val="105"/>
        </w:rPr>
        <w:t> </w:t>
      </w:r>
      <w:r>
        <w:rPr>
          <w:w w:val="105"/>
        </w:rPr>
        <w:t>improperly</w:t>
      </w:r>
      <w:r>
        <w:rPr>
          <w:spacing w:val="-6"/>
          <w:w w:val="105"/>
        </w:rPr>
        <w:t> </w:t>
      </w:r>
      <w:r>
        <w:rPr>
          <w:w w:val="105"/>
        </w:rPr>
        <w:t>influence</w:t>
      </w:r>
      <w:r>
        <w:rPr>
          <w:spacing w:val="-6"/>
          <w:w w:val="105"/>
        </w:rPr>
        <w:t> </w:t>
      </w:r>
      <w:r>
        <w:rPr>
          <w:w w:val="105"/>
        </w:rPr>
        <w:t>foreign</w:t>
      </w:r>
      <w:r>
        <w:rPr>
          <w:spacing w:val="-6"/>
          <w:w w:val="105"/>
        </w:rPr>
        <w:t> </w:t>
      </w:r>
      <w:r>
        <w:rPr>
          <w:w w:val="105"/>
        </w:rPr>
        <w:t>government</w:t>
      </w:r>
      <w:r>
        <w:rPr>
          <w:spacing w:val="-6"/>
          <w:w w:val="105"/>
        </w:rPr>
        <w:t> </w:t>
      </w:r>
      <w:r>
        <w:rPr>
          <w:w w:val="105"/>
        </w:rPr>
        <w:t>officials</w:t>
      </w:r>
      <w:r>
        <w:rPr>
          <w:spacing w:val="-6"/>
          <w:w w:val="105"/>
        </w:rPr>
        <w:t> </w:t>
      </w:r>
      <w:r>
        <w:rPr>
          <w:w w:val="105"/>
        </w:rPr>
        <w:t>to</w:t>
      </w:r>
      <w:r>
        <w:rPr>
          <w:spacing w:val="-6"/>
          <w:w w:val="105"/>
        </w:rPr>
        <w:t> </w:t>
      </w:r>
      <w:r>
        <w:rPr>
          <w:w w:val="105"/>
        </w:rPr>
        <w:t>obtain</w:t>
      </w:r>
      <w:r>
        <w:rPr>
          <w:spacing w:val="-6"/>
          <w:w w:val="105"/>
        </w:rPr>
        <w:t> </w:t>
      </w:r>
      <w:r>
        <w:rPr>
          <w:w w:val="105"/>
        </w:rPr>
        <w:t>or</w:t>
      </w:r>
      <w:r>
        <w:rPr>
          <w:spacing w:val="-6"/>
          <w:w w:val="105"/>
        </w:rPr>
        <w:t> </w:t>
      </w:r>
      <w:r>
        <w:rPr>
          <w:w w:val="105"/>
        </w:rPr>
        <w:t>retain</w:t>
      </w:r>
      <w:r>
        <w:rPr>
          <w:spacing w:val="-6"/>
          <w:w w:val="105"/>
        </w:rPr>
        <w:t> </w:t>
      </w:r>
      <w:r>
        <w:rPr>
          <w:w w:val="105"/>
        </w:rPr>
        <w:t>business,</w:t>
      </w:r>
      <w:r>
        <w:rPr>
          <w:spacing w:val="-6"/>
          <w:w w:val="105"/>
        </w:rPr>
        <w:t> </w:t>
      </w:r>
      <w:r>
        <w:rPr>
          <w:w w:val="105"/>
        </w:rPr>
        <w:t>or</w:t>
      </w:r>
      <w:r>
        <w:rPr>
          <w:spacing w:val="-6"/>
          <w:w w:val="105"/>
        </w:rPr>
        <w:t> </w:t>
      </w:r>
      <w:r>
        <w:rPr>
          <w:w w:val="105"/>
        </w:rPr>
        <w:t>obtaining</w:t>
      </w:r>
      <w:r>
        <w:rPr>
          <w:spacing w:val="-6"/>
          <w:w w:val="105"/>
        </w:rPr>
        <w:t> </w:t>
      </w:r>
      <w:r>
        <w:rPr>
          <w:w w:val="105"/>
        </w:rPr>
        <w:t>an</w:t>
      </w:r>
      <w:r>
        <w:rPr>
          <w:spacing w:val="-6"/>
          <w:w w:val="105"/>
        </w:rPr>
        <w:t> </w:t>
      </w:r>
      <w:r>
        <w:rPr>
          <w:w w:val="105"/>
        </w:rPr>
        <w:t>unfair</w:t>
      </w:r>
      <w:r>
        <w:rPr>
          <w:spacing w:val="-6"/>
          <w:w w:val="105"/>
        </w:rPr>
        <w:t> </w:t>
      </w:r>
      <w:r>
        <w:rPr>
          <w:w w:val="105"/>
        </w:rPr>
        <w:t>advantage.</w:t>
      </w:r>
      <w:r>
        <w:rPr>
          <w:spacing w:val="-6"/>
          <w:w w:val="105"/>
        </w:rPr>
        <w:t> </w:t>
      </w:r>
      <w:r>
        <w:rPr>
          <w:w w:val="105"/>
        </w:rPr>
        <w:t>Recent</w:t>
      </w:r>
      <w:r>
        <w:rPr>
          <w:spacing w:val="-6"/>
          <w:w w:val="105"/>
        </w:rPr>
        <w:t> </w:t>
      </w:r>
      <w:r>
        <w:rPr>
          <w:w w:val="105"/>
        </w:rPr>
        <w:t>years have</w:t>
      </w:r>
      <w:r>
        <w:rPr>
          <w:spacing w:val="-1"/>
          <w:w w:val="105"/>
        </w:rPr>
        <w:t> </w:t>
      </w:r>
      <w:r>
        <w:rPr>
          <w:w w:val="105"/>
        </w:rPr>
        <w:t>seen</w:t>
      </w:r>
      <w:r>
        <w:rPr>
          <w:spacing w:val="-1"/>
          <w:w w:val="105"/>
        </w:rPr>
        <w:t> </w:t>
      </w:r>
      <w:r>
        <w:rPr>
          <w:w w:val="105"/>
        </w:rPr>
        <w:t>a</w:t>
      </w:r>
      <w:r>
        <w:rPr>
          <w:spacing w:val="-1"/>
          <w:w w:val="105"/>
        </w:rPr>
        <w:t> </w:t>
      </w:r>
      <w:r>
        <w:rPr>
          <w:w w:val="105"/>
        </w:rPr>
        <w:t>substantial</w:t>
      </w:r>
      <w:r>
        <w:rPr>
          <w:spacing w:val="-1"/>
          <w:w w:val="105"/>
        </w:rPr>
        <w:t> </w:t>
      </w:r>
      <w:r>
        <w:rPr>
          <w:w w:val="105"/>
        </w:rPr>
        <w:t>increase</w:t>
      </w:r>
      <w:r>
        <w:rPr>
          <w:spacing w:val="-1"/>
          <w:w w:val="105"/>
        </w:rPr>
        <w:t> </w:t>
      </w:r>
      <w:r>
        <w:rPr>
          <w:w w:val="105"/>
        </w:rPr>
        <w:t>in</w:t>
      </w:r>
      <w:r>
        <w:rPr>
          <w:spacing w:val="-1"/>
          <w:w w:val="105"/>
        </w:rPr>
        <w:t> </w:t>
      </w:r>
      <w:r>
        <w:rPr>
          <w:w w:val="105"/>
        </w:rPr>
        <w:t>the</w:t>
      </w:r>
      <w:r>
        <w:rPr>
          <w:spacing w:val="-1"/>
          <w:w w:val="105"/>
        </w:rPr>
        <w:t> </w:t>
      </w:r>
      <w:r>
        <w:rPr>
          <w:w w:val="105"/>
        </w:rPr>
        <w:t>global</w:t>
      </w:r>
      <w:r>
        <w:rPr>
          <w:spacing w:val="-1"/>
          <w:w w:val="105"/>
        </w:rPr>
        <w:t> </w:t>
      </w:r>
      <w:r>
        <w:rPr>
          <w:w w:val="105"/>
        </w:rPr>
        <w:t>enforcement</w:t>
      </w:r>
      <w:r>
        <w:rPr>
          <w:spacing w:val="-1"/>
          <w:w w:val="105"/>
        </w:rPr>
        <w:t> </w:t>
      </w:r>
      <w:r>
        <w:rPr>
          <w:w w:val="105"/>
        </w:rPr>
        <w:t>of</w:t>
      </w:r>
      <w:r>
        <w:rPr>
          <w:spacing w:val="-1"/>
          <w:w w:val="105"/>
        </w:rPr>
        <w:t> </w:t>
      </w:r>
      <w:r>
        <w:rPr>
          <w:w w:val="105"/>
        </w:rPr>
        <w:t>anti-corruption</w:t>
      </w:r>
      <w:r>
        <w:rPr>
          <w:spacing w:val="-1"/>
          <w:w w:val="105"/>
        </w:rPr>
        <w:t> </w:t>
      </w:r>
      <w:r>
        <w:rPr>
          <w:w w:val="105"/>
        </w:rPr>
        <w:t>laws.</w:t>
      </w:r>
      <w:r>
        <w:rPr>
          <w:spacing w:val="-1"/>
          <w:w w:val="105"/>
        </w:rPr>
        <w:t> </w:t>
      </w:r>
      <w:r>
        <w:rPr>
          <w:w w:val="105"/>
        </w:rPr>
        <w:t>Our</w:t>
      </w:r>
      <w:r>
        <w:rPr>
          <w:spacing w:val="-1"/>
          <w:w w:val="105"/>
        </w:rPr>
        <w:t> </w:t>
      </w:r>
      <w:r>
        <w:rPr>
          <w:w w:val="105"/>
        </w:rPr>
        <w:t>continued</w:t>
      </w:r>
      <w:r>
        <w:rPr>
          <w:spacing w:val="-1"/>
          <w:w w:val="105"/>
        </w:rPr>
        <w:t> </w:t>
      </w:r>
      <w:r>
        <w:rPr>
          <w:w w:val="105"/>
        </w:rPr>
        <w:t>operation and</w:t>
      </w:r>
      <w:r>
        <w:rPr>
          <w:spacing w:val="-1"/>
          <w:w w:val="105"/>
        </w:rPr>
        <w:t> </w:t>
      </w:r>
      <w:r>
        <w:rPr>
          <w:w w:val="105"/>
        </w:rPr>
        <w:t>expansion</w:t>
      </w:r>
      <w:r>
        <w:rPr>
          <w:spacing w:val="-1"/>
          <w:w w:val="105"/>
        </w:rPr>
        <w:t> </w:t>
      </w:r>
      <w:r>
        <w:rPr>
          <w:w w:val="105"/>
        </w:rPr>
        <w:t>outside</w:t>
      </w:r>
      <w:r>
        <w:rPr>
          <w:spacing w:val="-1"/>
          <w:w w:val="105"/>
        </w:rPr>
        <w:t> </w:t>
      </w:r>
      <w:r>
        <w:rPr>
          <w:w w:val="105"/>
        </w:rPr>
        <w:t>the</w:t>
      </w:r>
      <w:r>
        <w:rPr>
          <w:spacing w:val="-1"/>
          <w:w w:val="105"/>
        </w:rPr>
        <w:t> </w:t>
      </w:r>
      <w:r>
        <w:rPr>
          <w:w w:val="105"/>
        </w:rPr>
        <w:t>U.S.,</w:t>
      </w:r>
      <w:r>
        <w:rPr>
          <w:spacing w:val="-1"/>
          <w:w w:val="105"/>
        </w:rPr>
        <w:t> </w:t>
      </w:r>
      <w:r>
        <w:rPr>
          <w:w w:val="105"/>
        </w:rPr>
        <w:t>including</w:t>
      </w:r>
      <w:r>
        <w:rPr>
          <w:spacing w:val="-1"/>
          <w:w w:val="105"/>
        </w:rPr>
        <w:t> </w:t>
      </w:r>
      <w:r>
        <w:rPr>
          <w:w w:val="105"/>
        </w:rPr>
        <w:t>in</w:t>
      </w:r>
      <w:r>
        <w:rPr>
          <w:spacing w:val="-1"/>
          <w:w w:val="105"/>
        </w:rPr>
        <w:t> </w:t>
      </w:r>
      <w:r>
        <w:rPr>
          <w:w w:val="105"/>
        </w:rPr>
        <w:t>developing countries,</w:t>
      </w:r>
      <w:r>
        <w:rPr>
          <w:spacing w:val="-8"/>
          <w:w w:val="105"/>
        </w:rPr>
        <w:t> </w:t>
      </w:r>
      <w:r>
        <w:rPr>
          <w:w w:val="105"/>
        </w:rPr>
        <w:t>could</w:t>
      </w:r>
      <w:r>
        <w:rPr>
          <w:spacing w:val="-8"/>
          <w:w w:val="105"/>
        </w:rPr>
        <w:t> </w:t>
      </w:r>
      <w:r>
        <w:rPr>
          <w:w w:val="105"/>
        </w:rPr>
        <w:t>increase</w:t>
      </w:r>
      <w:r>
        <w:rPr>
          <w:spacing w:val="-8"/>
          <w:w w:val="105"/>
        </w:rPr>
        <w:t> </w:t>
      </w:r>
      <w:r>
        <w:rPr>
          <w:w w:val="105"/>
        </w:rPr>
        <w:t>the</w:t>
      </w:r>
      <w:r>
        <w:rPr>
          <w:spacing w:val="-8"/>
          <w:w w:val="105"/>
        </w:rPr>
        <w:t> </w:t>
      </w:r>
      <w:r>
        <w:rPr>
          <w:w w:val="105"/>
        </w:rPr>
        <w:t>risk</w:t>
      </w:r>
      <w:r>
        <w:rPr>
          <w:spacing w:val="-8"/>
          <w:w w:val="105"/>
        </w:rPr>
        <w:t> </w:t>
      </w:r>
      <w:r>
        <w:rPr>
          <w:w w:val="105"/>
        </w:rPr>
        <w:t>of</w:t>
      </w:r>
      <w:r>
        <w:rPr>
          <w:spacing w:val="-8"/>
          <w:w w:val="105"/>
        </w:rPr>
        <w:t> </w:t>
      </w:r>
      <w:r>
        <w:rPr>
          <w:w w:val="105"/>
        </w:rPr>
        <w:t>alleged</w:t>
      </w:r>
      <w:r>
        <w:rPr>
          <w:spacing w:val="-8"/>
          <w:w w:val="105"/>
        </w:rPr>
        <w:t> </w:t>
      </w:r>
      <w:r>
        <w:rPr>
          <w:w w:val="105"/>
        </w:rPr>
        <w:t>violations.</w:t>
      </w:r>
      <w:r>
        <w:rPr>
          <w:spacing w:val="-8"/>
          <w:w w:val="105"/>
        </w:rPr>
        <w:t> </w:t>
      </w:r>
      <w:r>
        <w:rPr>
          <w:w w:val="105"/>
        </w:rPr>
        <w:t>Violations</w:t>
      </w:r>
      <w:r>
        <w:rPr>
          <w:spacing w:val="-8"/>
          <w:w w:val="105"/>
        </w:rPr>
        <w:t> </w:t>
      </w:r>
      <w:r>
        <w:rPr>
          <w:w w:val="105"/>
        </w:rPr>
        <w:t>of</w:t>
      </w:r>
      <w:r>
        <w:rPr>
          <w:spacing w:val="-8"/>
          <w:w w:val="105"/>
        </w:rPr>
        <w:t> </w:t>
      </w:r>
      <w:r>
        <w:rPr>
          <w:w w:val="105"/>
        </w:rPr>
        <w:t>these</w:t>
      </w:r>
      <w:r>
        <w:rPr>
          <w:spacing w:val="-8"/>
          <w:w w:val="105"/>
        </w:rPr>
        <w:t> </w:t>
      </w:r>
      <w:r>
        <w:rPr>
          <w:w w:val="105"/>
        </w:rPr>
        <w:t>laws</w:t>
      </w:r>
      <w:r>
        <w:rPr>
          <w:spacing w:val="-8"/>
          <w:w w:val="105"/>
        </w:rPr>
        <w:t> </w:t>
      </w:r>
      <w:r>
        <w:rPr>
          <w:w w:val="105"/>
        </w:rPr>
        <w:t>may</w:t>
      </w:r>
      <w:r>
        <w:rPr>
          <w:spacing w:val="-8"/>
          <w:w w:val="105"/>
        </w:rPr>
        <w:t> </w:t>
      </w:r>
      <w:r>
        <w:rPr>
          <w:w w:val="105"/>
        </w:rPr>
        <w:t>result</w:t>
      </w:r>
      <w:r>
        <w:rPr>
          <w:spacing w:val="-8"/>
          <w:w w:val="105"/>
        </w:rPr>
        <w:t> </w:t>
      </w:r>
      <w:r>
        <w:rPr>
          <w:w w:val="105"/>
        </w:rPr>
        <w:t>in</w:t>
      </w:r>
      <w:r>
        <w:rPr>
          <w:spacing w:val="-8"/>
          <w:w w:val="105"/>
        </w:rPr>
        <w:t> </w:t>
      </w:r>
      <w:r>
        <w:rPr>
          <w:w w:val="105"/>
        </w:rPr>
        <w:t>severe</w:t>
      </w:r>
      <w:r>
        <w:rPr>
          <w:spacing w:val="-8"/>
          <w:w w:val="105"/>
        </w:rPr>
        <w:t> </w:t>
      </w:r>
      <w:r>
        <w:rPr>
          <w:w w:val="105"/>
        </w:rPr>
        <w:t>criminal</w:t>
      </w:r>
      <w:r>
        <w:rPr>
          <w:spacing w:val="-8"/>
          <w:w w:val="105"/>
        </w:rPr>
        <w:t> </w:t>
      </w:r>
      <w:r>
        <w:rPr>
          <w:w w:val="105"/>
        </w:rPr>
        <w:t>or</w:t>
      </w:r>
      <w:r>
        <w:rPr>
          <w:spacing w:val="-8"/>
          <w:w w:val="105"/>
        </w:rPr>
        <w:t> </w:t>
      </w:r>
      <w:r>
        <w:rPr>
          <w:w w:val="105"/>
        </w:rPr>
        <w:t>civil</w:t>
      </w:r>
      <w:r>
        <w:rPr>
          <w:spacing w:val="-8"/>
          <w:w w:val="105"/>
        </w:rPr>
        <w:t> </w:t>
      </w:r>
      <w:r>
        <w:rPr>
          <w:w w:val="105"/>
        </w:rPr>
        <w:t>sanctions,</w:t>
      </w:r>
      <w:r>
        <w:rPr>
          <w:spacing w:val="-6"/>
          <w:w w:val="105"/>
        </w:rPr>
        <w:t> </w:t>
      </w:r>
      <w:r>
        <w:rPr>
          <w:w w:val="105"/>
        </w:rPr>
        <w:t>could</w:t>
      </w:r>
      <w:r>
        <w:rPr>
          <w:spacing w:val="-8"/>
          <w:w w:val="105"/>
        </w:rPr>
        <w:t> </w:t>
      </w:r>
      <w:r>
        <w:rPr>
          <w:w w:val="105"/>
        </w:rPr>
        <w:t>disrupt</w:t>
      </w:r>
      <w:r>
        <w:rPr>
          <w:spacing w:val="-8"/>
          <w:w w:val="105"/>
        </w:rPr>
        <w:t> </w:t>
      </w:r>
      <w:r>
        <w:rPr>
          <w:w w:val="105"/>
        </w:rPr>
        <w:t>our</w:t>
      </w:r>
      <w:r>
        <w:rPr>
          <w:spacing w:val="-8"/>
          <w:w w:val="105"/>
        </w:rPr>
        <w:t> </w:t>
      </w:r>
      <w:r>
        <w:rPr>
          <w:w w:val="105"/>
        </w:rPr>
        <w:t>business,</w:t>
      </w:r>
      <w:r>
        <w:rPr>
          <w:spacing w:val="-8"/>
          <w:w w:val="105"/>
        </w:rPr>
        <w:t> </w:t>
      </w:r>
      <w:r>
        <w:rPr>
          <w:w w:val="105"/>
        </w:rPr>
        <w:t>and</w:t>
      </w:r>
      <w:r>
        <w:rPr>
          <w:spacing w:val="-8"/>
          <w:w w:val="105"/>
        </w:rPr>
        <w:t> </w:t>
      </w:r>
      <w:r>
        <w:rPr>
          <w:w w:val="105"/>
        </w:rPr>
        <w:t>result</w:t>
      </w:r>
      <w:r>
        <w:rPr>
          <w:spacing w:val="-6"/>
          <w:w w:val="105"/>
        </w:rPr>
        <w:t> </w:t>
      </w:r>
      <w:r>
        <w:rPr>
          <w:w w:val="105"/>
        </w:rPr>
        <w:t>in</w:t>
      </w:r>
      <w:r>
        <w:rPr>
          <w:spacing w:val="-8"/>
          <w:w w:val="105"/>
        </w:rPr>
        <w:t> </w:t>
      </w:r>
      <w:r>
        <w:rPr>
          <w:w w:val="105"/>
        </w:rPr>
        <w:t>an adverse effect on our reputation, business and results of operations or financial condition.</w:t>
      </w:r>
    </w:p>
    <w:p>
      <w:pPr>
        <w:pStyle w:val="BodyText"/>
        <w:spacing w:before="17"/>
      </w:pPr>
    </w:p>
    <w:p>
      <w:pPr>
        <w:pStyle w:val="BodyText"/>
        <w:spacing w:line="266" w:lineRule="auto"/>
        <w:ind w:left="156" w:right="328"/>
      </w:pPr>
      <w:r>
        <w:rPr>
          <w:w w:val="105"/>
        </w:rPr>
        <w:t>Moreover,</w:t>
      </w:r>
      <w:r>
        <w:rPr>
          <w:spacing w:val="-7"/>
          <w:w w:val="105"/>
        </w:rPr>
        <w:t> </w:t>
      </w:r>
      <w:r>
        <w:rPr>
          <w:w w:val="105"/>
        </w:rPr>
        <w:t>several</w:t>
      </w:r>
      <w:r>
        <w:rPr>
          <w:spacing w:val="-7"/>
          <w:w w:val="105"/>
        </w:rPr>
        <w:t> </w:t>
      </w:r>
      <w:r>
        <w:rPr>
          <w:w w:val="105"/>
        </w:rPr>
        <w:t>of</w:t>
      </w:r>
      <w:r>
        <w:rPr>
          <w:spacing w:val="-7"/>
          <w:w w:val="105"/>
        </w:rPr>
        <w:t> </w:t>
      </w:r>
      <w:r>
        <w:rPr>
          <w:w w:val="105"/>
        </w:rPr>
        <w:t>our</w:t>
      </w:r>
      <w:r>
        <w:rPr>
          <w:spacing w:val="-7"/>
          <w:w w:val="105"/>
        </w:rPr>
        <w:t> </w:t>
      </w:r>
      <w:r>
        <w:rPr>
          <w:w w:val="105"/>
        </w:rPr>
        <w:t>key</w:t>
      </w:r>
      <w:r>
        <w:rPr>
          <w:spacing w:val="-5"/>
          <w:w w:val="105"/>
        </w:rPr>
        <w:t> </w:t>
      </w:r>
      <w:r>
        <w:rPr>
          <w:w w:val="105"/>
        </w:rPr>
        <w:t>customers</w:t>
      </w:r>
      <w:r>
        <w:rPr>
          <w:spacing w:val="-7"/>
          <w:w w:val="105"/>
        </w:rPr>
        <w:t> </w:t>
      </w:r>
      <w:r>
        <w:rPr>
          <w:w w:val="105"/>
        </w:rPr>
        <w:t>are</w:t>
      </w:r>
      <w:r>
        <w:rPr>
          <w:spacing w:val="-7"/>
          <w:w w:val="105"/>
        </w:rPr>
        <w:t> </w:t>
      </w:r>
      <w:r>
        <w:rPr>
          <w:w w:val="105"/>
        </w:rPr>
        <w:t>domiciled</w:t>
      </w:r>
      <w:r>
        <w:rPr>
          <w:spacing w:val="-7"/>
          <w:w w:val="105"/>
        </w:rPr>
        <w:t> </w:t>
      </w:r>
      <w:r>
        <w:rPr>
          <w:w w:val="105"/>
        </w:rPr>
        <w:t>in</w:t>
      </w:r>
      <w:r>
        <w:rPr>
          <w:spacing w:val="-7"/>
          <w:w w:val="105"/>
        </w:rPr>
        <w:t> </w:t>
      </w:r>
      <w:r>
        <w:rPr>
          <w:w w:val="105"/>
        </w:rPr>
        <w:t>areas</w:t>
      </w:r>
      <w:r>
        <w:rPr>
          <w:spacing w:val="-7"/>
          <w:w w:val="105"/>
        </w:rPr>
        <w:t> </w:t>
      </w:r>
      <w:r>
        <w:rPr>
          <w:w w:val="105"/>
        </w:rPr>
        <w:t>of</w:t>
      </w:r>
      <w:r>
        <w:rPr>
          <w:spacing w:val="-7"/>
          <w:w w:val="105"/>
        </w:rPr>
        <w:t> </w:t>
      </w:r>
      <w:r>
        <w:rPr>
          <w:w w:val="105"/>
        </w:rPr>
        <w:t>the</w:t>
      </w:r>
      <w:r>
        <w:rPr>
          <w:spacing w:val="-7"/>
          <w:w w:val="105"/>
        </w:rPr>
        <w:t> </w:t>
      </w:r>
      <w:r>
        <w:rPr>
          <w:w w:val="105"/>
        </w:rPr>
        <w:t>world</w:t>
      </w:r>
      <w:r>
        <w:rPr>
          <w:spacing w:val="-7"/>
          <w:w w:val="105"/>
        </w:rPr>
        <w:t> </w:t>
      </w:r>
      <w:r>
        <w:rPr>
          <w:w w:val="105"/>
        </w:rPr>
        <w:t>with</w:t>
      </w:r>
      <w:r>
        <w:rPr>
          <w:spacing w:val="-7"/>
          <w:w w:val="105"/>
        </w:rPr>
        <w:t> </w:t>
      </w:r>
      <w:r>
        <w:rPr>
          <w:w w:val="105"/>
        </w:rPr>
        <w:t>laws,</w:t>
      </w:r>
      <w:r>
        <w:rPr>
          <w:spacing w:val="-7"/>
          <w:w w:val="105"/>
        </w:rPr>
        <w:t> </w:t>
      </w:r>
      <w:r>
        <w:rPr>
          <w:w w:val="105"/>
        </w:rPr>
        <w:t>rules</w:t>
      </w:r>
      <w:r>
        <w:rPr>
          <w:spacing w:val="-7"/>
          <w:w w:val="105"/>
        </w:rPr>
        <w:t> </w:t>
      </w:r>
      <w:r>
        <w:rPr>
          <w:w w:val="105"/>
        </w:rPr>
        <w:t>and</w:t>
      </w:r>
      <w:r>
        <w:rPr>
          <w:spacing w:val="-7"/>
          <w:w w:val="105"/>
        </w:rPr>
        <w:t> </w:t>
      </w:r>
      <w:r>
        <w:rPr>
          <w:w w:val="105"/>
        </w:rPr>
        <w:t>business</w:t>
      </w:r>
      <w:r>
        <w:rPr>
          <w:spacing w:val="-7"/>
          <w:w w:val="105"/>
        </w:rPr>
        <w:t> </w:t>
      </w:r>
      <w:r>
        <w:rPr>
          <w:w w:val="105"/>
        </w:rPr>
        <w:t>practices</w:t>
      </w:r>
      <w:r>
        <w:rPr>
          <w:spacing w:val="-7"/>
          <w:w w:val="105"/>
        </w:rPr>
        <w:t> </w:t>
      </w:r>
      <w:r>
        <w:rPr>
          <w:w w:val="105"/>
        </w:rPr>
        <w:t>that</w:t>
      </w:r>
      <w:r>
        <w:rPr>
          <w:spacing w:val="-7"/>
          <w:w w:val="105"/>
        </w:rPr>
        <w:t> </w:t>
      </w:r>
      <w:r>
        <w:rPr>
          <w:w w:val="105"/>
        </w:rPr>
        <w:t>may</w:t>
      </w:r>
      <w:r>
        <w:rPr>
          <w:spacing w:val="-7"/>
          <w:w w:val="105"/>
        </w:rPr>
        <w:t> </w:t>
      </w:r>
      <w:r>
        <w:rPr>
          <w:w w:val="105"/>
        </w:rPr>
        <w:t>notably</w:t>
      </w:r>
      <w:r>
        <w:rPr>
          <w:spacing w:val="-7"/>
          <w:w w:val="105"/>
        </w:rPr>
        <w:t> </w:t>
      </w:r>
      <w:r>
        <w:rPr>
          <w:w w:val="105"/>
        </w:rPr>
        <w:t>differ</w:t>
      </w:r>
      <w:r>
        <w:rPr>
          <w:spacing w:val="-7"/>
          <w:w w:val="105"/>
        </w:rPr>
        <w:t> </w:t>
      </w:r>
      <w:r>
        <w:rPr>
          <w:w w:val="105"/>
        </w:rPr>
        <w:t>from</w:t>
      </w:r>
      <w:r>
        <w:rPr>
          <w:spacing w:val="-7"/>
          <w:w w:val="105"/>
        </w:rPr>
        <w:t> </w:t>
      </w:r>
      <w:r>
        <w:rPr>
          <w:w w:val="105"/>
        </w:rPr>
        <w:t>those</w:t>
      </w:r>
      <w:r>
        <w:rPr>
          <w:spacing w:val="-7"/>
          <w:w w:val="105"/>
        </w:rPr>
        <w:t> </w:t>
      </w:r>
      <w:r>
        <w:rPr>
          <w:w w:val="105"/>
        </w:rPr>
        <w:t>in</w:t>
      </w:r>
      <w:r>
        <w:rPr>
          <w:spacing w:val="-7"/>
          <w:w w:val="105"/>
        </w:rPr>
        <w:t> </w:t>
      </w:r>
      <w:r>
        <w:rPr>
          <w:w w:val="105"/>
        </w:rPr>
        <w:t>the</w:t>
      </w:r>
      <w:r>
        <w:rPr>
          <w:spacing w:val="-7"/>
          <w:w w:val="105"/>
        </w:rPr>
        <w:t> </w:t>
      </w:r>
      <w:r>
        <w:rPr>
          <w:w w:val="105"/>
        </w:rPr>
        <w:t>U.S.,</w:t>
      </w:r>
      <w:r>
        <w:rPr>
          <w:spacing w:val="-7"/>
          <w:w w:val="105"/>
        </w:rPr>
        <w:t> </w:t>
      </w:r>
      <w:r>
        <w:rPr>
          <w:w w:val="105"/>
        </w:rPr>
        <w:t>and</w:t>
      </w:r>
      <w:r>
        <w:rPr>
          <w:spacing w:val="-7"/>
          <w:w w:val="105"/>
        </w:rPr>
        <w:t> </w:t>
      </w:r>
      <w:r>
        <w:rPr>
          <w:w w:val="105"/>
        </w:rPr>
        <w:t>we face the reputational and legal risk that our related partners may violate applicable laws, rules and business practices.</w:t>
      </w:r>
    </w:p>
    <w:p>
      <w:pPr>
        <w:pStyle w:val="BodyText"/>
        <w:spacing w:before="19"/>
      </w:pPr>
    </w:p>
    <w:p>
      <w:pPr>
        <w:pStyle w:val="Heading2"/>
      </w:pPr>
      <w:r>
        <w:rPr>
          <w:w w:val="105"/>
        </w:rPr>
        <w:t>International</w:t>
      </w:r>
      <w:r>
        <w:rPr>
          <w:spacing w:val="-11"/>
          <w:w w:val="105"/>
        </w:rPr>
        <w:t> </w:t>
      </w:r>
      <w:r>
        <w:rPr>
          <w:w w:val="105"/>
        </w:rPr>
        <w:t>trade</w:t>
      </w:r>
      <w:r>
        <w:rPr>
          <w:spacing w:val="-10"/>
          <w:w w:val="105"/>
        </w:rPr>
        <w:t> </w:t>
      </w:r>
      <w:r>
        <w:rPr>
          <w:w w:val="105"/>
        </w:rPr>
        <w:t>policies</w:t>
      </w:r>
      <w:r>
        <w:rPr>
          <w:spacing w:val="-10"/>
          <w:w w:val="105"/>
        </w:rPr>
        <w:t> </w:t>
      </w:r>
      <w:r>
        <w:rPr>
          <w:w w:val="105"/>
        </w:rPr>
        <w:t>may</w:t>
      </w:r>
      <w:r>
        <w:rPr>
          <w:spacing w:val="-10"/>
          <w:w w:val="105"/>
        </w:rPr>
        <w:t> </w:t>
      </w:r>
      <w:r>
        <w:rPr>
          <w:w w:val="105"/>
        </w:rPr>
        <w:t>negatively</w:t>
      </w:r>
      <w:r>
        <w:rPr>
          <w:spacing w:val="-11"/>
          <w:w w:val="105"/>
        </w:rPr>
        <w:t> </w:t>
      </w:r>
      <w:r>
        <w:rPr>
          <w:w w:val="105"/>
        </w:rPr>
        <w:t>impact</w:t>
      </w:r>
      <w:r>
        <w:rPr>
          <w:spacing w:val="-10"/>
          <w:w w:val="105"/>
        </w:rPr>
        <w:t> </w:t>
      </w:r>
      <w:r>
        <w:rPr>
          <w:w w:val="105"/>
        </w:rPr>
        <w:t>our</w:t>
      </w:r>
      <w:r>
        <w:rPr>
          <w:spacing w:val="-10"/>
          <w:w w:val="105"/>
        </w:rPr>
        <w:t> </w:t>
      </w:r>
      <w:r>
        <w:rPr>
          <w:w w:val="105"/>
        </w:rPr>
        <w:t>ability</w:t>
      </w:r>
      <w:r>
        <w:rPr>
          <w:spacing w:val="-10"/>
          <w:w w:val="105"/>
        </w:rPr>
        <w:t> </w:t>
      </w:r>
      <w:r>
        <w:rPr>
          <w:w w:val="105"/>
        </w:rPr>
        <w:t>to</w:t>
      </w:r>
      <w:r>
        <w:rPr>
          <w:spacing w:val="-10"/>
          <w:w w:val="105"/>
        </w:rPr>
        <w:t> </w:t>
      </w:r>
      <w:r>
        <w:rPr>
          <w:w w:val="105"/>
        </w:rPr>
        <w:t>sell</w:t>
      </w:r>
      <w:r>
        <w:rPr>
          <w:spacing w:val="-11"/>
          <w:w w:val="105"/>
        </w:rPr>
        <w:t> </w:t>
      </w:r>
      <w:r>
        <w:rPr>
          <w:w w:val="105"/>
        </w:rPr>
        <w:t>and</w:t>
      </w:r>
      <w:r>
        <w:rPr>
          <w:spacing w:val="-10"/>
          <w:w w:val="105"/>
        </w:rPr>
        <w:t> </w:t>
      </w:r>
      <w:r>
        <w:rPr>
          <w:w w:val="105"/>
        </w:rPr>
        <w:t>manufacture</w:t>
      </w:r>
      <w:r>
        <w:rPr>
          <w:spacing w:val="-10"/>
          <w:w w:val="105"/>
        </w:rPr>
        <w:t> </w:t>
      </w:r>
      <w:r>
        <w:rPr>
          <w:w w:val="105"/>
        </w:rPr>
        <w:t>our</w:t>
      </w:r>
      <w:r>
        <w:rPr>
          <w:spacing w:val="-10"/>
          <w:w w:val="105"/>
        </w:rPr>
        <w:t> </w:t>
      </w:r>
      <w:r>
        <w:rPr>
          <w:w w:val="105"/>
        </w:rPr>
        <w:t>products</w:t>
      </w:r>
      <w:r>
        <w:rPr>
          <w:spacing w:val="-11"/>
          <w:w w:val="105"/>
        </w:rPr>
        <w:t> </w:t>
      </w:r>
      <w:r>
        <w:rPr>
          <w:w w:val="105"/>
        </w:rPr>
        <w:t>outside</w:t>
      </w:r>
      <w:r>
        <w:rPr>
          <w:spacing w:val="-10"/>
          <w:w w:val="105"/>
        </w:rPr>
        <w:t> </w:t>
      </w:r>
      <w:r>
        <w:rPr>
          <w:w w:val="105"/>
        </w:rPr>
        <w:t>of</w:t>
      </w:r>
      <w:r>
        <w:rPr>
          <w:spacing w:val="-10"/>
          <w:w w:val="105"/>
        </w:rPr>
        <w:t> </w:t>
      </w:r>
      <w:r>
        <w:rPr>
          <w:w w:val="105"/>
        </w:rPr>
        <w:t>the</w:t>
      </w:r>
      <w:r>
        <w:rPr>
          <w:spacing w:val="-10"/>
          <w:w w:val="105"/>
        </w:rPr>
        <w:t> </w:t>
      </w:r>
      <w:r>
        <w:rPr>
          <w:spacing w:val="-4"/>
          <w:w w:val="105"/>
        </w:rPr>
        <w:t>U.S.</w:t>
      </w:r>
    </w:p>
    <w:p>
      <w:pPr>
        <w:pStyle w:val="BodyText"/>
        <w:spacing w:before="40"/>
        <w:rPr>
          <w:b/>
        </w:rPr>
      </w:pPr>
    </w:p>
    <w:p>
      <w:pPr>
        <w:pStyle w:val="BodyText"/>
        <w:spacing w:line="266" w:lineRule="auto"/>
        <w:ind w:left="156"/>
      </w:pPr>
      <w:r>
        <w:rPr>
          <w:w w:val="105"/>
        </w:rPr>
        <w:t>Government</w:t>
      </w:r>
      <w:r>
        <w:rPr>
          <w:spacing w:val="-2"/>
          <w:w w:val="105"/>
        </w:rPr>
        <w:t> </w:t>
      </w:r>
      <w:r>
        <w:rPr>
          <w:w w:val="105"/>
        </w:rPr>
        <w:t>policies</w:t>
      </w:r>
      <w:r>
        <w:rPr>
          <w:spacing w:val="-2"/>
          <w:w w:val="105"/>
        </w:rPr>
        <w:t> </w:t>
      </w:r>
      <w:r>
        <w:rPr>
          <w:w w:val="105"/>
        </w:rPr>
        <w:t>on</w:t>
      </w:r>
      <w:r>
        <w:rPr>
          <w:spacing w:val="-2"/>
          <w:w w:val="105"/>
        </w:rPr>
        <w:t> </w:t>
      </w:r>
      <w:r>
        <w:rPr>
          <w:w w:val="105"/>
        </w:rPr>
        <w:t>international</w:t>
      </w:r>
      <w:r>
        <w:rPr>
          <w:spacing w:val="-2"/>
          <w:w w:val="105"/>
        </w:rPr>
        <w:t> </w:t>
      </w:r>
      <w:r>
        <w:rPr>
          <w:w w:val="105"/>
        </w:rPr>
        <w:t>trade</w:t>
      </w:r>
      <w:r>
        <w:rPr>
          <w:spacing w:val="-2"/>
          <w:w w:val="105"/>
        </w:rPr>
        <w:t> </w:t>
      </w:r>
      <w:r>
        <w:rPr>
          <w:w w:val="105"/>
        </w:rPr>
        <w:t>and</w:t>
      </w:r>
      <w:r>
        <w:rPr>
          <w:spacing w:val="-2"/>
          <w:w w:val="105"/>
        </w:rPr>
        <w:t> </w:t>
      </w:r>
      <w:r>
        <w:rPr>
          <w:w w:val="105"/>
        </w:rPr>
        <w:t>investment</w:t>
      </w:r>
      <w:r>
        <w:rPr>
          <w:spacing w:val="-2"/>
          <w:w w:val="105"/>
        </w:rPr>
        <w:t> </w:t>
      </w:r>
      <w:r>
        <w:rPr>
          <w:w w:val="105"/>
        </w:rPr>
        <w:t>such</w:t>
      </w:r>
      <w:r>
        <w:rPr>
          <w:spacing w:val="-2"/>
          <w:w w:val="105"/>
        </w:rPr>
        <w:t> </w:t>
      </w:r>
      <w:r>
        <w:rPr>
          <w:w w:val="105"/>
        </w:rPr>
        <w:t>as</w:t>
      </w:r>
      <w:r>
        <w:rPr>
          <w:spacing w:val="-2"/>
          <w:w w:val="105"/>
        </w:rPr>
        <w:t> </w:t>
      </w:r>
      <w:r>
        <w:rPr>
          <w:w w:val="105"/>
        </w:rPr>
        <w:t>import</w:t>
      </w:r>
      <w:r>
        <w:rPr>
          <w:spacing w:val="-2"/>
          <w:w w:val="105"/>
        </w:rPr>
        <w:t> </w:t>
      </w:r>
      <w:r>
        <w:rPr>
          <w:w w:val="105"/>
        </w:rPr>
        <w:t>quotas,</w:t>
      </w:r>
      <w:r>
        <w:rPr>
          <w:spacing w:val="-2"/>
          <w:w w:val="105"/>
        </w:rPr>
        <w:t> </w:t>
      </w:r>
      <w:r>
        <w:rPr>
          <w:w w:val="105"/>
        </w:rPr>
        <w:t>tariffs,</w:t>
      </w:r>
      <w:r>
        <w:rPr>
          <w:spacing w:val="-2"/>
          <w:w w:val="105"/>
        </w:rPr>
        <w:t> </w:t>
      </w:r>
      <w:r>
        <w:rPr>
          <w:w w:val="105"/>
        </w:rPr>
        <w:t>and</w:t>
      </w:r>
      <w:r>
        <w:rPr>
          <w:spacing w:val="-2"/>
          <w:w w:val="105"/>
        </w:rPr>
        <w:t> </w:t>
      </w:r>
      <w:r>
        <w:rPr>
          <w:w w:val="105"/>
        </w:rPr>
        <w:t>capital</w:t>
      </w:r>
      <w:r>
        <w:rPr>
          <w:spacing w:val="-2"/>
          <w:w w:val="105"/>
        </w:rPr>
        <w:t> </w:t>
      </w:r>
      <w:r>
        <w:rPr>
          <w:w w:val="105"/>
        </w:rPr>
        <w:t>controls,</w:t>
      </w:r>
      <w:r>
        <w:rPr>
          <w:spacing w:val="-2"/>
          <w:w w:val="105"/>
        </w:rPr>
        <w:t> </w:t>
      </w:r>
      <w:r>
        <w:rPr>
          <w:w w:val="105"/>
        </w:rPr>
        <w:t>whether</w:t>
      </w:r>
      <w:r>
        <w:rPr>
          <w:spacing w:val="-2"/>
          <w:w w:val="105"/>
        </w:rPr>
        <w:t> </w:t>
      </w:r>
      <w:r>
        <w:rPr>
          <w:w w:val="105"/>
        </w:rPr>
        <w:t>adopted</w:t>
      </w:r>
      <w:r>
        <w:rPr>
          <w:spacing w:val="-2"/>
          <w:w w:val="105"/>
        </w:rPr>
        <w:t> </w:t>
      </w:r>
      <w:r>
        <w:rPr>
          <w:w w:val="105"/>
        </w:rPr>
        <w:t>by</w:t>
      </w:r>
      <w:r>
        <w:rPr>
          <w:spacing w:val="-2"/>
          <w:w w:val="105"/>
        </w:rPr>
        <w:t> </w:t>
      </w:r>
      <w:r>
        <w:rPr>
          <w:w w:val="105"/>
        </w:rPr>
        <w:t>individual</w:t>
      </w:r>
      <w:r>
        <w:rPr>
          <w:spacing w:val="-2"/>
          <w:w w:val="105"/>
        </w:rPr>
        <w:t> </w:t>
      </w:r>
      <w:r>
        <w:rPr>
          <w:w w:val="105"/>
        </w:rPr>
        <w:t>governments</w:t>
      </w:r>
      <w:r>
        <w:rPr>
          <w:spacing w:val="-2"/>
          <w:w w:val="105"/>
        </w:rPr>
        <w:t> </w:t>
      </w:r>
      <w:r>
        <w:rPr>
          <w:w w:val="105"/>
        </w:rPr>
        <w:t>or</w:t>
      </w:r>
      <w:r>
        <w:rPr>
          <w:spacing w:val="-2"/>
          <w:w w:val="105"/>
        </w:rPr>
        <w:t> </w:t>
      </w:r>
      <w:r>
        <w:rPr>
          <w:w w:val="105"/>
        </w:rPr>
        <w:t>addressed</w:t>
      </w:r>
      <w:r>
        <w:rPr>
          <w:spacing w:val="-2"/>
          <w:w w:val="105"/>
        </w:rPr>
        <w:t> </w:t>
      </w:r>
      <w:r>
        <w:rPr>
          <w:w w:val="105"/>
        </w:rPr>
        <w:t>by regional</w:t>
      </w:r>
      <w:r>
        <w:rPr>
          <w:spacing w:val="-8"/>
          <w:w w:val="105"/>
        </w:rPr>
        <w:t> </w:t>
      </w:r>
      <w:r>
        <w:rPr>
          <w:w w:val="105"/>
        </w:rPr>
        <w:t>trade</w:t>
      </w:r>
      <w:r>
        <w:rPr>
          <w:spacing w:val="-8"/>
          <w:w w:val="105"/>
        </w:rPr>
        <w:t> </w:t>
      </w:r>
      <w:r>
        <w:rPr>
          <w:w w:val="105"/>
        </w:rPr>
        <w:t>blocs,</w:t>
      </w:r>
      <w:r>
        <w:rPr>
          <w:spacing w:val="-8"/>
          <w:w w:val="105"/>
        </w:rPr>
        <w:t> </w:t>
      </w:r>
      <w:r>
        <w:rPr>
          <w:w w:val="105"/>
        </w:rPr>
        <w:t>can</w:t>
      </w:r>
      <w:r>
        <w:rPr>
          <w:spacing w:val="-8"/>
          <w:w w:val="105"/>
        </w:rPr>
        <w:t> </w:t>
      </w:r>
      <w:r>
        <w:rPr>
          <w:w w:val="105"/>
        </w:rPr>
        <w:t>affect</w:t>
      </w:r>
      <w:r>
        <w:rPr>
          <w:spacing w:val="-8"/>
          <w:w w:val="105"/>
        </w:rPr>
        <w:t> </w:t>
      </w:r>
      <w:r>
        <w:rPr>
          <w:w w:val="105"/>
        </w:rPr>
        <w:t>the</w:t>
      </w:r>
      <w:r>
        <w:rPr>
          <w:spacing w:val="-8"/>
          <w:w w:val="105"/>
        </w:rPr>
        <w:t> </w:t>
      </w:r>
      <w:r>
        <w:rPr>
          <w:w w:val="105"/>
        </w:rPr>
        <w:t>demand</w:t>
      </w:r>
      <w:r>
        <w:rPr>
          <w:spacing w:val="-8"/>
          <w:w w:val="105"/>
        </w:rPr>
        <w:t> </w:t>
      </w:r>
      <w:r>
        <w:rPr>
          <w:w w:val="105"/>
        </w:rPr>
        <w:t>for</w:t>
      </w:r>
      <w:r>
        <w:rPr>
          <w:spacing w:val="-8"/>
          <w:w w:val="105"/>
        </w:rPr>
        <w:t> </w:t>
      </w:r>
      <w:r>
        <w:rPr>
          <w:w w:val="105"/>
        </w:rPr>
        <w:t>our</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impact</w:t>
      </w:r>
      <w:r>
        <w:rPr>
          <w:spacing w:val="-8"/>
          <w:w w:val="105"/>
        </w:rPr>
        <w:t> </w:t>
      </w:r>
      <w:r>
        <w:rPr>
          <w:w w:val="105"/>
        </w:rPr>
        <w:t>the</w:t>
      </w:r>
      <w:r>
        <w:rPr>
          <w:spacing w:val="-8"/>
          <w:w w:val="105"/>
        </w:rPr>
        <w:t> </w:t>
      </w:r>
      <w:r>
        <w:rPr>
          <w:w w:val="105"/>
        </w:rPr>
        <w:t>competitive</w:t>
      </w:r>
      <w:r>
        <w:rPr>
          <w:spacing w:val="-8"/>
          <w:w w:val="105"/>
        </w:rPr>
        <w:t> </w:t>
      </w:r>
      <w:r>
        <w:rPr>
          <w:w w:val="105"/>
        </w:rPr>
        <w:t>position</w:t>
      </w:r>
      <w:r>
        <w:rPr>
          <w:spacing w:val="-8"/>
          <w:w w:val="105"/>
        </w:rPr>
        <w:t> </w:t>
      </w:r>
      <w:r>
        <w:rPr>
          <w:w w:val="105"/>
        </w:rPr>
        <w:t>of</w:t>
      </w:r>
      <w:r>
        <w:rPr>
          <w:spacing w:val="-8"/>
          <w:w w:val="105"/>
        </w:rPr>
        <w:t> </w:t>
      </w:r>
      <w:r>
        <w:rPr>
          <w:w w:val="105"/>
        </w:rPr>
        <w:t>our</w:t>
      </w:r>
      <w:r>
        <w:rPr>
          <w:spacing w:val="-8"/>
          <w:w w:val="105"/>
        </w:rPr>
        <w:t> </w:t>
      </w:r>
      <w:r>
        <w:rPr>
          <w:w w:val="105"/>
        </w:rPr>
        <w:t>products</w:t>
      </w:r>
      <w:r>
        <w:rPr>
          <w:spacing w:val="-8"/>
          <w:w w:val="105"/>
        </w:rPr>
        <w:t> </w:t>
      </w:r>
      <w:r>
        <w:rPr>
          <w:w w:val="105"/>
        </w:rPr>
        <w:t>or</w:t>
      </w:r>
      <w:r>
        <w:rPr>
          <w:spacing w:val="-8"/>
          <w:w w:val="105"/>
        </w:rPr>
        <w:t> </w:t>
      </w:r>
      <w:r>
        <w:rPr>
          <w:w w:val="105"/>
        </w:rPr>
        <w:t>prevent</w:t>
      </w:r>
      <w:r>
        <w:rPr>
          <w:spacing w:val="-8"/>
          <w:w w:val="105"/>
        </w:rPr>
        <w:t> </w:t>
      </w:r>
      <w:r>
        <w:rPr>
          <w:w w:val="105"/>
        </w:rPr>
        <w:t>us,</w:t>
      </w:r>
      <w:r>
        <w:rPr>
          <w:spacing w:val="-8"/>
          <w:w w:val="105"/>
        </w:rPr>
        <w:t> </w:t>
      </w:r>
      <w:r>
        <w:rPr>
          <w:w w:val="105"/>
        </w:rPr>
        <w:t>our</w:t>
      </w:r>
      <w:r>
        <w:rPr>
          <w:spacing w:val="-8"/>
          <w:w w:val="105"/>
        </w:rPr>
        <w:t> </w:t>
      </w:r>
      <w:r>
        <w:rPr>
          <w:w w:val="105"/>
        </w:rPr>
        <w:t>equity</w:t>
      </w:r>
      <w:r>
        <w:rPr>
          <w:spacing w:val="-8"/>
          <w:w w:val="105"/>
        </w:rPr>
        <w:t> </w:t>
      </w:r>
      <w:r>
        <w:rPr>
          <w:w w:val="105"/>
        </w:rPr>
        <w:t>affiliates</w:t>
      </w:r>
      <w:r>
        <w:rPr>
          <w:spacing w:val="-8"/>
          <w:w w:val="105"/>
        </w:rPr>
        <w:t> </w:t>
      </w:r>
      <w:r>
        <w:rPr>
          <w:w w:val="105"/>
        </w:rPr>
        <w:t>or</w:t>
      </w:r>
      <w:r>
        <w:rPr>
          <w:spacing w:val="-8"/>
          <w:w w:val="105"/>
        </w:rPr>
        <w:t> </w:t>
      </w:r>
      <w:r>
        <w:rPr>
          <w:w w:val="105"/>
        </w:rPr>
        <w:t>joint</w:t>
      </w:r>
      <w:r>
        <w:rPr>
          <w:spacing w:val="-8"/>
          <w:w w:val="105"/>
        </w:rPr>
        <w:t> </w:t>
      </w:r>
      <w:r>
        <w:rPr>
          <w:w w:val="105"/>
        </w:rPr>
        <w:t>ventures, from</w:t>
      </w:r>
      <w:r>
        <w:rPr>
          <w:spacing w:val="-2"/>
          <w:w w:val="105"/>
        </w:rPr>
        <w:t> </w:t>
      </w:r>
      <w:r>
        <w:rPr>
          <w:w w:val="105"/>
        </w:rPr>
        <w:t>being</w:t>
      </w:r>
      <w:r>
        <w:rPr>
          <w:spacing w:val="-2"/>
          <w:w w:val="105"/>
        </w:rPr>
        <w:t> </w:t>
      </w:r>
      <w:r>
        <w:rPr>
          <w:w w:val="105"/>
        </w:rPr>
        <w:t>able</w:t>
      </w:r>
      <w:r>
        <w:rPr>
          <w:spacing w:val="-2"/>
          <w:w w:val="105"/>
        </w:rPr>
        <w:t> </w:t>
      </w:r>
      <w:r>
        <w:rPr>
          <w:w w:val="105"/>
        </w:rPr>
        <w:t>to</w:t>
      </w:r>
      <w:r>
        <w:rPr>
          <w:spacing w:val="-2"/>
          <w:w w:val="105"/>
        </w:rPr>
        <w:t> </w:t>
      </w:r>
      <w:r>
        <w:rPr>
          <w:w w:val="105"/>
        </w:rPr>
        <w:t>sell and</w:t>
      </w:r>
      <w:r>
        <w:rPr>
          <w:spacing w:val="-2"/>
          <w:w w:val="105"/>
        </w:rPr>
        <w:t> </w:t>
      </w:r>
      <w:r>
        <w:rPr>
          <w:w w:val="105"/>
        </w:rPr>
        <w:t>manufacture</w:t>
      </w:r>
      <w:r>
        <w:rPr>
          <w:spacing w:val="-2"/>
          <w:w w:val="105"/>
        </w:rPr>
        <w:t> </w:t>
      </w:r>
      <w:r>
        <w:rPr>
          <w:w w:val="105"/>
        </w:rPr>
        <w:t>products</w:t>
      </w:r>
      <w:r>
        <w:rPr>
          <w:spacing w:val="-2"/>
          <w:w w:val="105"/>
        </w:rPr>
        <w:t> </w:t>
      </w:r>
      <w:r>
        <w:rPr>
          <w:w w:val="105"/>
        </w:rPr>
        <w:t>in certain</w:t>
      </w:r>
      <w:r>
        <w:rPr>
          <w:spacing w:val="-2"/>
          <w:w w:val="105"/>
        </w:rPr>
        <w:t> </w:t>
      </w:r>
      <w:r>
        <w:rPr>
          <w:w w:val="105"/>
        </w:rPr>
        <w:t>countries.</w:t>
      </w:r>
      <w:r>
        <w:rPr>
          <w:spacing w:val="-2"/>
          <w:w w:val="105"/>
        </w:rPr>
        <w:t> </w:t>
      </w:r>
      <w:r>
        <w:rPr>
          <w:w w:val="105"/>
        </w:rPr>
        <w:t>The</w:t>
      </w:r>
      <w:r>
        <w:rPr>
          <w:spacing w:val="-2"/>
          <w:w w:val="105"/>
        </w:rPr>
        <w:t> </w:t>
      </w:r>
      <w:r>
        <w:rPr>
          <w:w w:val="105"/>
        </w:rPr>
        <w:t>implementation</w:t>
      </w:r>
      <w:r>
        <w:rPr>
          <w:spacing w:val="-2"/>
          <w:w w:val="105"/>
        </w:rPr>
        <w:t> </w:t>
      </w:r>
      <w:r>
        <w:rPr>
          <w:w w:val="105"/>
        </w:rPr>
        <w:t>of</w:t>
      </w:r>
      <w:r>
        <w:rPr>
          <w:spacing w:val="-2"/>
          <w:w w:val="105"/>
        </w:rPr>
        <w:t> </w:t>
      </w:r>
      <w:r>
        <w:rPr>
          <w:w w:val="105"/>
        </w:rPr>
        <w:t>more restrictive</w:t>
      </w:r>
      <w:r>
        <w:rPr>
          <w:spacing w:val="-2"/>
          <w:w w:val="105"/>
        </w:rPr>
        <w:t> </w:t>
      </w:r>
      <w:r>
        <w:rPr>
          <w:w w:val="105"/>
        </w:rPr>
        <w:t>trade</w:t>
      </w:r>
      <w:r>
        <w:rPr>
          <w:spacing w:val="-2"/>
          <w:w w:val="105"/>
        </w:rPr>
        <w:t> </w:t>
      </w:r>
      <w:r>
        <w:rPr>
          <w:w w:val="105"/>
        </w:rPr>
        <w:t>policies,</w:t>
      </w:r>
      <w:r>
        <w:rPr>
          <w:spacing w:val="-2"/>
          <w:w w:val="105"/>
        </w:rPr>
        <w:t> </w:t>
      </w:r>
      <w:r>
        <w:rPr>
          <w:w w:val="105"/>
        </w:rPr>
        <w:t>such</w:t>
      </w:r>
      <w:r>
        <w:rPr>
          <w:spacing w:val="-2"/>
          <w:w w:val="105"/>
        </w:rPr>
        <w:t> </w:t>
      </w:r>
      <w:r>
        <w:rPr>
          <w:w w:val="105"/>
        </w:rPr>
        <w:t>as</w:t>
      </w:r>
      <w:r>
        <w:rPr>
          <w:spacing w:val="-2"/>
          <w:w w:val="105"/>
        </w:rPr>
        <w:t> </w:t>
      </w:r>
      <w:r>
        <w:rPr>
          <w:w w:val="105"/>
        </w:rPr>
        <w:t>higher</w:t>
      </w:r>
      <w:r>
        <w:rPr>
          <w:spacing w:val="-2"/>
          <w:w w:val="105"/>
        </w:rPr>
        <w:t> </w:t>
      </w:r>
      <w:r>
        <w:rPr>
          <w:w w:val="105"/>
        </w:rPr>
        <w:t>tariffs</w:t>
      </w:r>
      <w:r>
        <w:rPr>
          <w:spacing w:val="-2"/>
          <w:w w:val="105"/>
        </w:rPr>
        <w:t> </w:t>
      </w:r>
      <w:r>
        <w:rPr>
          <w:w w:val="105"/>
        </w:rPr>
        <w:t>or</w:t>
      </w:r>
      <w:r>
        <w:rPr>
          <w:spacing w:val="-2"/>
          <w:w w:val="105"/>
        </w:rPr>
        <w:t> </w:t>
      </w:r>
      <w:r>
        <w:rPr>
          <w:w w:val="105"/>
        </w:rPr>
        <w:t>new</w:t>
      </w:r>
      <w:r>
        <w:rPr>
          <w:spacing w:val="-2"/>
          <w:w w:val="105"/>
        </w:rPr>
        <w:t> </w:t>
      </w:r>
      <w:r>
        <w:rPr>
          <w:w w:val="105"/>
        </w:rPr>
        <w:t>barriers</w:t>
      </w:r>
      <w:r>
        <w:rPr>
          <w:spacing w:val="-2"/>
          <w:w w:val="105"/>
        </w:rPr>
        <w:t> </w:t>
      </w:r>
      <w:r>
        <w:rPr>
          <w:w w:val="105"/>
        </w:rPr>
        <w:t>to</w:t>
      </w:r>
    </w:p>
    <w:p>
      <w:pPr>
        <w:pStyle w:val="BodyText"/>
        <w:spacing w:line="266" w:lineRule="auto"/>
        <w:ind w:left="156" w:right="117"/>
      </w:pPr>
      <w:r>
        <w:rPr>
          <w:w w:val="105"/>
        </w:rPr>
        <w:t>entry,</w:t>
      </w:r>
      <w:r>
        <w:rPr>
          <w:spacing w:val="-7"/>
          <w:w w:val="105"/>
        </w:rPr>
        <w:t> </w:t>
      </w:r>
      <w:r>
        <w:rPr>
          <w:w w:val="105"/>
        </w:rPr>
        <w:t>together</w:t>
      </w:r>
      <w:r>
        <w:rPr>
          <w:spacing w:val="-7"/>
          <w:w w:val="105"/>
        </w:rPr>
        <w:t> </w:t>
      </w:r>
      <w:r>
        <w:rPr>
          <w:w w:val="105"/>
        </w:rPr>
        <w:t>with</w:t>
      </w:r>
      <w:r>
        <w:rPr>
          <w:spacing w:val="-7"/>
          <w:w w:val="105"/>
        </w:rPr>
        <w:t> </w:t>
      </w:r>
      <w:r>
        <w:rPr>
          <w:w w:val="105"/>
        </w:rPr>
        <w:t>anti-dumping</w:t>
      </w:r>
      <w:r>
        <w:rPr>
          <w:spacing w:val="-7"/>
          <w:w w:val="105"/>
        </w:rPr>
        <w:t> </w:t>
      </w:r>
      <w:r>
        <w:rPr>
          <w:w w:val="105"/>
        </w:rPr>
        <w:t>claims,</w:t>
      </w:r>
      <w:r>
        <w:rPr>
          <w:spacing w:val="-7"/>
          <w:w w:val="105"/>
        </w:rPr>
        <w:t> </w:t>
      </w:r>
      <w:r>
        <w:rPr>
          <w:w w:val="105"/>
        </w:rPr>
        <w:t>duties,</w:t>
      </w:r>
      <w:r>
        <w:rPr>
          <w:spacing w:val="-7"/>
          <w:w w:val="105"/>
        </w:rPr>
        <w:t> </w:t>
      </w:r>
      <w:r>
        <w:rPr>
          <w:w w:val="105"/>
        </w:rPr>
        <w:t>slowed</w:t>
      </w:r>
      <w:r>
        <w:rPr>
          <w:spacing w:val="-7"/>
          <w:w w:val="105"/>
        </w:rPr>
        <w:t> </w:t>
      </w:r>
      <w:r>
        <w:rPr>
          <w:w w:val="105"/>
        </w:rPr>
        <w:t>regulatory</w:t>
      </w:r>
      <w:r>
        <w:rPr>
          <w:spacing w:val="-7"/>
          <w:w w:val="105"/>
        </w:rPr>
        <w:t> </w:t>
      </w:r>
      <w:r>
        <w:rPr>
          <w:w w:val="105"/>
        </w:rPr>
        <w:t>approvals</w:t>
      </w:r>
      <w:r>
        <w:rPr>
          <w:spacing w:val="-7"/>
          <w:w w:val="105"/>
        </w:rPr>
        <w:t> </w:t>
      </w:r>
      <w:r>
        <w:rPr>
          <w:w w:val="105"/>
        </w:rPr>
        <w:t>and</w:t>
      </w:r>
      <w:r>
        <w:rPr>
          <w:spacing w:val="-7"/>
          <w:w w:val="105"/>
        </w:rPr>
        <w:t> </w:t>
      </w:r>
      <w:r>
        <w:rPr>
          <w:w w:val="105"/>
        </w:rPr>
        <w:t>other</w:t>
      </w:r>
      <w:r>
        <w:rPr>
          <w:spacing w:val="-5"/>
          <w:w w:val="105"/>
        </w:rPr>
        <w:t> </w:t>
      </w:r>
      <w:r>
        <w:rPr>
          <w:w w:val="105"/>
        </w:rPr>
        <w:t>restrictions,</w:t>
      </w:r>
      <w:r>
        <w:rPr>
          <w:spacing w:val="-7"/>
          <w:w w:val="105"/>
        </w:rPr>
        <w:t> </w:t>
      </w:r>
      <w:r>
        <w:rPr>
          <w:w w:val="105"/>
        </w:rPr>
        <w:t>in</w:t>
      </w:r>
      <w:r>
        <w:rPr>
          <w:spacing w:val="-7"/>
          <w:w w:val="105"/>
        </w:rPr>
        <w:t> </w:t>
      </w:r>
      <w:r>
        <w:rPr>
          <w:w w:val="105"/>
        </w:rPr>
        <w:t>countries</w:t>
      </w:r>
      <w:r>
        <w:rPr>
          <w:spacing w:val="-7"/>
          <w:w w:val="105"/>
        </w:rPr>
        <w:t> </w:t>
      </w:r>
      <w:r>
        <w:rPr>
          <w:w w:val="105"/>
        </w:rPr>
        <w:t>in</w:t>
      </w:r>
      <w:r>
        <w:rPr>
          <w:spacing w:val="-7"/>
          <w:w w:val="105"/>
        </w:rPr>
        <w:t> </w:t>
      </w:r>
      <w:r>
        <w:rPr>
          <w:w w:val="105"/>
        </w:rPr>
        <w:t>which</w:t>
      </w:r>
      <w:r>
        <w:rPr>
          <w:spacing w:val="-7"/>
          <w:w w:val="105"/>
        </w:rPr>
        <w:t> </w:t>
      </w:r>
      <w:r>
        <w:rPr>
          <w:w w:val="105"/>
        </w:rPr>
        <w:t>we</w:t>
      </w:r>
      <w:r>
        <w:rPr>
          <w:spacing w:val="-7"/>
          <w:w w:val="105"/>
        </w:rPr>
        <w:t> </w:t>
      </w:r>
      <w:r>
        <w:rPr>
          <w:w w:val="105"/>
        </w:rPr>
        <w:t>import</w:t>
      </w:r>
      <w:r>
        <w:rPr>
          <w:spacing w:val="-7"/>
          <w:w w:val="105"/>
        </w:rPr>
        <w:t> </w:t>
      </w:r>
      <w:r>
        <w:rPr>
          <w:w w:val="105"/>
        </w:rPr>
        <w:t>raw</w:t>
      </w:r>
      <w:r>
        <w:rPr>
          <w:spacing w:val="-7"/>
          <w:w w:val="105"/>
        </w:rPr>
        <w:t> </w:t>
      </w:r>
      <w:r>
        <w:rPr>
          <w:w w:val="105"/>
        </w:rPr>
        <w:t>materials</w:t>
      </w:r>
      <w:r>
        <w:rPr>
          <w:spacing w:val="-7"/>
          <w:w w:val="105"/>
        </w:rPr>
        <w:t> </w:t>
      </w:r>
      <w:r>
        <w:rPr>
          <w:w w:val="105"/>
        </w:rPr>
        <w:t>and</w:t>
      </w:r>
      <w:r>
        <w:rPr>
          <w:spacing w:val="-7"/>
          <w:w w:val="105"/>
        </w:rPr>
        <w:t> </w:t>
      </w:r>
      <w:r>
        <w:rPr>
          <w:w w:val="105"/>
        </w:rPr>
        <w:t>components</w:t>
      </w:r>
      <w:r>
        <w:rPr>
          <w:spacing w:val="-7"/>
          <w:w w:val="105"/>
        </w:rPr>
        <w:t> </w:t>
      </w:r>
      <w:r>
        <w:rPr>
          <w:w w:val="105"/>
        </w:rPr>
        <w:t>or</w:t>
      </w:r>
      <w:r>
        <w:rPr>
          <w:spacing w:val="-7"/>
          <w:w w:val="105"/>
        </w:rPr>
        <w:t> </w:t>
      </w:r>
      <w:r>
        <w:rPr>
          <w:w w:val="105"/>
        </w:rPr>
        <w:t>sell large</w:t>
      </w:r>
      <w:r>
        <w:rPr>
          <w:spacing w:val="-9"/>
          <w:w w:val="105"/>
        </w:rPr>
        <w:t> </w:t>
      </w:r>
      <w:r>
        <w:rPr>
          <w:w w:val="105"/>
        </w:rPr>
        <w:t>quantities</w:t>
      </w:r>
      <w:r>
        <w:rPr>
          <w:spacing w:val="-9"/>
          <w:w w:val="105"/>
        </w:rPr>
        <w:t> </w:t>
      </w:r>
      <w:r>
        <w:rPr>
          <w:w w:val="105"/>
        </w:rPr>
        <w:t>of</w:t>
      </w:r>
      <w:r>
        <w:rPr>
          <w:spacing w:val="-9"/>
          <w:w w:val="105"/>
        </w:rPr>
        <w:t> </w:t>
      </w:r>
      <w:r>
        <w:rPr>
          <w:w w:val="105"/>
        </w:rPr>
        <w:t>products</w:t>
      </w:r>
      <w:r>
        <w:rPr>
          <w:spacing w:val="-9"/>
          <w:w w:val="105"/>
        </w:rPr>
        <w:t> </w:t>
      </w:r>
      <w:r>
        <w:rPr>
          <w:w w:val="105"/>
        </w:rPr>
        <w:t>and</w:t>
      </w:r>
      <w:r>
        <w:rPr>
          <w:spacing w:val="-9"/>
          <w:w w:val="105"/>
        </w:rPr>
        <w:t> </w:t>
      </w:r>
      <w:r>
        <w:rPr>
          <w:w w:val="105"/>
        </w:rPr>
        <w:t>services</w:t>
      </w:r>
      <w:r>
        <w:rPr>
          <w:spacing w:val="-9"/>
          <w:w w:val="105"/>
        </w:rPr>
        <w:t> </w:t>
      </w:r>
      <w:r>
        <w:rPr>
          <w:w w:val="105"/>
        </w:rPr>
        <w:t>could</w:t>
      </w:r>
      <w:r>
        <w:rPr>
          <w:spacing w:val="-9"/>
          <w:w w:val="105"/>
        </w:rPr>
        <w:t> </w:t>
      </w:r>
      <w:r>
        <w:rPr>
          <w:w w:val="105"/>
        </w:rPr>
        <w:t>negatively</w:t>
      </w:r>
      <w:r>
        <w:rPr>
          <w:spacing w:val="-9"/>
          <w:w w:val="105"/>
        </w:rPr>
        <w:t> </w:t>
      </w:r>
      <w:r>
        <w:rPr>
          <w:w w:val="105"/>
        </w:rPr>
        <w:t>impact</w:t>
      </w:r>
      <w:r>
        <w:rPr>
          <w:spacing w:val="-9"/>
          <w:w w:val="105"/>
        </w:rPr>
        <w:t> </w:t>
      </w:r>
      <w:r>
        <w:rPr>
          <w:w w:val="105"/>
        </w:rPr>
        <w:t>our</w:t>
      </w:r>
      <w:r>
        <w:rPr>
          <w:spacing w:val="-9"/>
          <w:w w:val="105"/>
        </w:rPr>
        <w:t> </w:t>
      </w:r>
      <w:r>
        <w:rPr>
          <w:w w:val="105"/>
        </w:rPr>
        <w:t>business,</w:t>
      </w:r>
      <w:r>
        <w:rPr>
          <w:spacing w:val="-9"/>
          <w:w w:val="105"/>
        </w:rPr>
        <w:t> </w:t>
      </w:r>
      <w:r>
        <w:rPr>
          <w:w w:val="105"/>
        </w:rPr>
        <w:t>results</w:t>
      </w:r>
      <w:r>
        <w:rPr>
          <w:spacing w:val="-9"/>
          <w:w w:val="105"/>
        </w:rPr>
        <w:t> </w:t>
      </w:r>
      <w:r>
        <w:rPr>
          <w:w w:val="105"/>
        </w:rPr>
        <w:t>of</w:t>
      </w:r>
      <w:r>
        <w:rPr>
          <w:spacing w:val="-9"/>
          <w:w w:val="105"/>
        </w:rPr>
        <w:t> </w:t>
      </w:r>
      <w:r>
        <w:rPr>
          <w:w w:val="105"/>
        </w:rPr>
        <w:t>operations</w:t>
      </w:r>
      <w:r>
        <w:rPr>
          <w:spacing w:val="-9"/>
          <w:w w:val="105"/>
        </w:rPr>
        <w:t> </w:t>
      </w:r>
      <w:r>
        <w:rPr>
          <w:w w:val="105"/>
        </w:rPr>
        <w:t>and</w:t>
      </w:r>
      <w:r>
        <w:rPr>
          <w:spacing w:val="-9"/>
          <w:w w:val="105"/>
        </w:rPr>
        <w:t> </w:t>
      </w:r>
      <w:r>
        <w:rPr>
          <w:w w:val="105"/>
        </w:rPr>
        <w:t>financial</w:t>
      </w:r>
      <w:r>
        <w:rPr>
          <w:spacing w:val="-9"/>
          <w:w w:val="105"/>
        </w:rPr>
        <w:t> </w:t>
      </w:r>
      <w:r>
        <w:rPr>
          <w:w w:val="105"/>
        </w:rPr>
        <w:t>condition.</w:t>
      </w:r>
      <w:r>
        <w:rPr>
          <w:spacing w:val="-9"/>
          <w:w w:val="105"/>
        </w:rPr>
        <w:t> </w:t>
      </w:r>
      <w:r>
        <w:rPr>
          <w:w w:val="105"/>
        </w:rPr>
        <w:t>For</w:t>
      </w:r>
      <w:r>
        <w:rPr>
          <w:spacing w:val="-9"/>
          <w:w w:val="105"/>
        </w:rPr>
        <w:t> </w:t>
      </w:r>
      <w:r>
        <w:rPr>
          <w:w w:val="105"/>
        </w:rPr>
        <w:t>example,</w:t>
      </w:r>
      <w:r>
        <w:rPr>
          <w:spacing w:val="-9"/>
          <w:w w:val="105"/>
        </w:rPr>
        <w:t> </w:t>
      </w:r>
      <w:r>
        <w:rPr>
          <w:w w:val="105"/>
        </w:rPr>
        <w:t>a</w:t>
      </w:r>
      <w:r>
        <w:rPr>
          <w:spacing w:val="-9"/>
          <w:w w:val="105"/>
        </w:rPr>
        <w:t> </w:t>
      </w:r>
      <w:r>
        <w:rPr>
          <w:w w:val="105"/>
        </w:rPr>
        <w:t>government’s</w:t>
      </w:r>
      <w:r>
        <w:rPr>
          <w:spacing w:val="-9"/>
          <w:w w:val="105"/>
        </w:rPr>
        <w:t> </w:t>
      </w:r>
      <w:r>
        <w:rPr>
          <w:w w:val="105"/>
        </w:rPr>
        <w:t>adoption</w:t>
      </w:r>
      <w:r>
        <w:rPr>
          <w:spacing w:val="-9"/>
          <w:w w:val="105"/>
        </w:rPr>
        <w:t> </w:t>
      </w:r>
      <w:r>
        <w:rPr>
          <w:w w:val="105"/>
        </w:rPr>
        <w:t>of</w:t>
      </w:r>
      <w:r>
        <w:rPr>
          <w:spacing w:val="-9"/>
          <w:w w:val="105"/>
        </w:rPr>
        <w:t> </w:t>
      </w:r>
      <w:r>
        <w:rPr>
          <w:w w:val="105"/>
        </w:rPr>
        <w:t>“buy national” policies</w:t>
      </w:r>
      <w:r>
        <w:rPr>
          <w:spacing w:val="-1"/>
          <w:w w:val="105"/>
        </w:rPr>
        <w:t> </w:t>
      </w:r>
      <w:r>
        <w:rPr>
          <w:w w:val="105"/>
        </w:rPr>
        <w:t>or retaliation by</w:t>
      </w:r>
      <w:r>
        <w:rPr>
          <w:spacing w:val="-1"/>
          <w:w w:val="105"/>
        </w:rPr>
        <w:t> </w:t>
      </w:r>
      <w:r>
        <w:rPr>
          <w:w w:val="105"/>
        </w:rPr>
        <w:t>another government</w:t>
      </w:r>
      <w:r>
        <w:rPr>
          <w:spacing w:val="-1"/>
          <w:w w:val="105"/>
        </w:rPr>
        <w:t> </w:t>
      </w:r>
      <w:r>
        <w:rPr>
          <w:w w:val="105"/>
        </w:rPr>
        <w:t>against such</w:t>
      </w:r>
      <w:r>
        <w:rPr>
          <w:spacing w:val="-1"/>
          <w:w w:val="105"/>
        </w:rPr>
        <w:t> </w:t>
      </w:r>
      <w:r>
        <w:rPr>
          <w:w w:val="105"/>
        </w:rPr>
        <w:t>policies could</w:t>
      </w:r>
      <w:r>
        <w:rPr>
          <w:spacing w:val="-1"/>
          <w:w w:val="105"/>
        </w:rPr>
        <w:t> </w:t>
      </w:r>
      <w:r>
        <w:rPr>
          <w:w w:val="105"/>
        </w:rPr>
        <w:t>have a</w:t>
      </w:r>
      <w:r>
        <w:rPr>
          <w:spacing w:val="-1"/>
          <w:w w:val="105"/>
        </w:rPr>
        <w:t> </w:t>
      </w:r>
      <w:r>
        <w:rPr>
          <w:w w:val="105"/>
        </w:rPr>
        <w:t>negative impact</w:t>
      </w:r>
      <w:r>
        <w:rPr>
          <w:spacing w:val="-1"/>
          <w:w w:val="105"/>
        </w:rPr>
        <w:t> </w:t>
      </w:r>
      <w:r>
        <w:rPr>
          <w:w w:val="105"/>
        </w:rPr>
        <w:t>on our</w:t>
      </w:r>
      <w:r>
        <w:rPr>
          <w:spacing w:val="-1"/>
          <w:w w:val="105"/>
        </w:rPr>
        <w:t> </w:t>
      </w:r>
      <w:r>
        <w:rPr>
          <w:w w:val="105"/>
        </w:rPr>
        <w:t>results of</w:t>
      </w:r>
      <w:r>
        <w:rPr>
          <w:spacing w:val="-1"/>
          <w:w w:val="105"/>
        </w:rPr>
        <w:t> </w:t>
      </w:r>
      <w:r>
        <w:rPr>
          <w:w w:val="105"/>
        </w:rPr>
        <w:t>operations.</w:t>
      </w:r>
    </w:p>
    <w:p>
      <w:pPr>
        <w:pStyle w:val="BodyText"/>
        <w:spacing w:before="17"/>
      </w:pPr>
    </w:p>
    <w:p>
      <w:pPr>
        <w:pStyle w:val="BodyText"/>
        <w:ind w:left="48"/>
        <w:jc w:val="center"/>
      </w:pPr>
      <w:r>
        <w:rPr>
          <w:spacing w:val="-5"/>
          <w:w w:val="105"/>
        </w:rPr>
        <w:t>20</w:t>
      </w:r>
    </w:p>
    <w:p>
      <w:pPr>
        <w:pStyle w:val="BodyText"/>
        <w:rPr>
          <w:sz w:val="6"/>
        </w:rPr>
      </w:pPr>
      <w:r>
        <w:rPr/>
        <mc:AlternateContent>
          <mc:Choice Requires="wps">
            <w:drawing>
              <wp:anchor distT="0" distB="0" distL="0" distR="0" allowOverlap="1" layoutInCell="1" locked="0" behindDoc="1" simplePos="0" relativeHeight="487599104">
                <wp:simplePos x="0" y="0"/>
                <wp:positionH relativeFrom="page">
                  <wp:posOffset>226488</wp:posOffset>
                </wp:positionH>
                <wp:positionV relativeFrom="paragraph">
                  <wp:posOffset>59051</wp:posOffset>
                </wp:positionV>
                <wp:extent cx="7312659" cy="1651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17376;mso-wrap-distance-left:0;mso-wrap-distance-right:0" id="docshape24"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pPr>
    </w:p>
    <w:p>
      <w:pPr>
        <w:pStyle w:val="BodyText"/>
      </w:pPr>
    </w:p>
    <w:p>
      <w:pPr>
        <w:pStyle w:val="BodyText"/>
        <w:spacing w:before="78"/>
      </w:pPr>
    </w:p>
    <w:p>
      <w:pPr>
        <w:spacing w:before="0"/>
        <w:ind w:left="156" w:right="0" w:firstLine="0"/>
        <w:jc w:val="left"/>
        <w:rPr>
          <w:b/>
          <w:sz w:val="16"/>
        </w:rPr>
      </w:pPr>
      <w:r>
        <w:rPr>
          <w:b/>
          <w:spacing w:val="-2"/>
          <w:w w:val="105"/>
          <w:sz w:val="16"/>
          <w:u w:val="single"/>
        </w:rPr>
        <w:t>Item</w:t>
      </w:r>
      <w:r>
        <w:rPr>
          <w:b/>
          <w:spacing w:val="-1"/>
          <w:w w:val="105"/>
          <w:sz w:val="16"/>
          <w:u w:val="single"/>
        </w:rPr>
        <w:t> </w:t>
      </w:r>
      <w:r>
        <w:rPr>
          <w:b/>
          <w:spacing w:val="-2"/>
          <w:w w:val="105"/>
          <w:sz w:val="16"/>
          <w:u w:val="single"/>
        </w:rPr>
        <w:t>1B.</w:t>
      </w:r>
      <w:r>
        <w:rPr>
          <w:b/>
          <w:w w:val="105"/>
          <w:sz w:val="16"/>
          <w:u w:val="single"/>
        </w:rPr>
        <w:t> </w:t>
      </w:r>
      <w:r>
        <w:rPr>
          <w:b/>
          <w:spacing w:val="-2"/>
          <w:w w:val="105"/>
          <w:sz w:val="16"/>
          <w:u w:val="single"/>
        </w:rPr>
        <w:t>Unresolved</w:t>
      </w:r>
      <w:r>
        <w:rPr>
          <w:b/>
          <w:spacing w:val="-1"/>
          <w:w w:val="105"/>
          <w:sz w:val="16"/>
          <w:u w:val="single"/>
        </w:rPr>
        <w:t> </w:t>
      </w:r>
      <w:r>
        <w:rPr>
          <w:b/>
          <w:spacing w:val="-2"/>
          <w:w w:val="105"/>
          <w:sz w:val="16"/>
          <w:u w:val="single"/>
        </w:rPr>
        <w:t>Staff</w:t>
      </w:r>
      <w:r>
        <w:rPr>
          <w:b/>
          <w:w w:val="105"/>
          <w:sz w:val="16"/>
          <w:u w:val="single"/>
        </w:rPr>
        <w:t> </w:t>
      </w:r>
      <w:r>
        <w:rPr>
          <w:b/>
          <w:spacing w:val="-2"/>
          <w:w w:val="105"/>
          <w:sz w:val="16"/>
          <w:u w:val="single"/>
        </w:rPr>
        <w:t>Comments</w:t>
      </w:r>
    </w:p>
    <w:p>
      <w:pPr>
        <w:pStyle w:val="BodyText"/>
        <w:spacing w:before="39"/>
        <w:rPr>
          <w:b/>
        </w:rPr>
      </w:pPr>
    </w:p>
    <w:p>
      <w:pPr>
        <w:pStyle w:val="BodyText"/>
        <w:ind w:left="156"/>
      </w:pPr>
      <w:r>
        <w:rPr>
          <w:spacing w:val="-2"/>
          <w:w w:val="105"/>
        </w:rPr>
        <w:t>None.</w:t>
      </w:r>
    </w:p>
    <w:p>
      <w:pPr>
        <w:pStyle w:val="BodyText"/>
        <w:spacing w:before="40"/>
      </w:pPr>
    </w:p>
    <w:p>
      <w:pPr>
        <w:spacing w:before="0"/>
        <w:ind w:left="156" w:right="0" w:firstLine="0"/>
        <w:jc w:val="left"/>
        <w:rPr>
          <w:b/>
          <w:sz w:val="16"/>
        </w:rPr>
      </w:pPr>
      <w:r>
        <w:rPr>
          <w:b/>
          <w:w w:val="105"/>
          <w:sz w:val="16"/>
          <w:u w:val="single"/>
        </w:rPr>
        <w:t>Item</w:t>
      </w:r>
      <w:r>
        <w:rPr>
          <w:b/>
          <w:spacing w:val="-6"/>
          <w:w w:val="105"/>
          <w:sz w:val="16"/>
          <w:u w:val="single"/>
        </w:rPr>
        <w:t> </w:t>
      </w:r>
      <w:r>
        <w:rPr>
          <w:b/>
          <w:w w:val="105"/>
          <w:sz w:val="16"/>
          <w:u w:val="single"/>
        </w:rPr>
        <w:t>2.</w:t>
      </w:r>
      <w:r>
        <w:rPr>
          <w:b/>
          <w:spacing w:val="-5"/>
          <w:w w:val="105"/>
          <w:sz w:val="16"/>
          <w:u w:val="single"/>
        </w:rPr>
        <w:t> </w:t>
      </w:r>
      <w:r>
        <w:rPr>
          <w:b/>
          <w:spacing w:val="-2"/>
          <w:w w:val="105"/>
          <w:sz w:val="16"/>
          <w:u w:val="single"/>
        </w:rPr>
        <w:t>Properties</w:t>
      </w:r>
    </w:p>
    <w:p>
      <w:pPr>
        <w:pStyle w:val="BodyText"/>
        <w:spacing w:before="40"/>
        <w:rPr>
          <w:b/>
        </w:rPr>
      </w:pPr>
    </w:p>
    <w:p>
      <w:pPr>
        <w:pStyle w:val="BodyText"/>
        <w:spacing w:line="266" w:lineRule="auto"/>
        <w:ind w:left="156"/>
      </w:pPr>
      <w:r>
        <w:rPr>
          <w:w w:val="105"/>
        </w:rPr>
        <w:t>Corning</w:t>
      </w:r>
      <w:r>
        <w:rPr>
          <w:spacing w:val="-2"/>
          <w:w w:val="105"/>
        </w:rPr>
        <w:t> </w:t>
      </w:r>
      <w:r>
        <w:rPr>
          <w:w w:val="105"/>
        </w:rPr>
        <w:t>operates</w:t>
      </w:r>
      <w:r>
        <w:rPr>
          <w:spacing w:val="-2"/>
          <w:w w:val="105"/>
        </w:rPr>
        <w:t> </w:t>
      </w:r>
      <w:r>
        <w:rPr>
          <w:w w:val="105"/>
        </w:rPr>
        <w:t>119</w:t>
      </w:r>
      <w:r>
        <w:rPr>
          <w:spacing w:val="-2"/>
          <w:w w:val="105"/>
        </w:rPr>
        <w:t> </w:t>
      </w:r>
      <w:r>
        <w:rPr>
          <w:w w:val="105"/>
        </w:rPr>
        <w:t>manufacturing</w:t>
      </w:r>
      <w:r>
        <w:rPr>
          <w:spacing w:val="-2"/>
          <w:w w:val="105"/>
        </w:rPr>
        <w:t> </w:t>
      </w:r>
      <w:r>
        <w:rPr>
          <w:w w:val="105"/>
        </w:rPr>
        <w:t>plants</w:t>
      </w:r>
      <w:r>
        <w:rPr>
          <w:spacing w:val="-2"/>
          <w:w w:val="105"/>
        </w:rPr>
        <w:t> </w:t>
      </w:r>
      <w:r>
        <w:rPr>
          <w:w w:val="105"/>
        </w:rPr>
        <w:t>and</w:t>
      </w:r>
      <w:r>
        <w:rPr>
          <w:spacing w:val="-2"/>
          <w:w w:val="105"/>
        </w:rPr>
        <w:t> </w:t>
      </w:r>
      <w:r>
        <w:rPr>
          <w:w w:val="105"/>
        </w:rPr>
        <w:t>processing</w:t>
      </w:r>
      <w:r>
        <w:rPr>
          <w:spacing w:val="-2"/>
          <w:w w:val="105"/>
        </w:rPr>
        <w:t> </w:t>
      </w:r>
      <w:r>
        <w:rPr>
          <w:w w:val="105"/>
        </w:rPr>
        <w:t>facilities</w:t>
      </w:r>
      <w:r>
        <w:rPr>
          <w:spacing w:val="-2"/>
          <w:w w:val="105"/>
        </w:rPr>
        <w:t> </w:t>
      </w:r>
      <w:r>
        <w:rPr>
          <w:w w:val="105"/>
        </w:rPr>
        <w:t>in</w:t>
      </w:r>
      <w:r>
        <w:rPr>
          <w:spacing w:val="-2"/>
          <w:w w:val="105"/>
        </w:rPr>
        <w:t> </w:t>
      </w:r>
      <w:r>
        <w:rPr>
          <w:w w:val="105"/>
        </w:rPr>
        <w:t>15</w:t>
      </w:r>
      <w:r>
        <w:rPr>
          <w:spacing w:val="-2"/>
          <w:w w:val="105"/>
        </w:rPr>
        <w:t> </w:t>
      </w:r>
      <w:r>
        <w:rPr>
          <w:w w:val="105"/>
        </w:rPr>
        <w:t>countries,</w:t>
      </w:r>
      <w:r>
        <w:rPr>
          <w:spacing w:val="-2"/>
          <w:w w:val="105"/>
        </w:rPr>
        <w:t> </w:t>
      </w:r>
      <w:r>
        <w:rPr>
          <w:w w:val="105"/>
        </w:rPr>
        <w:t>of</w:t>
      </w:r>
      <w:r>
        <w:rPr>
          <w:spacing w:val="-2"/>
          <w:w w:val="105"/>
        </w:rPr>
        <w:t> </w:t>
      </w:r>
      <w:r>
        <w:rPr>
          <w:w w:val="105"/>
        </w:rPr>
        <w:t>which</w:t>
      </w:r>
      <w:r>
        <w:rPr>
          <w:spacing w:val="-2"/>
          <w:w w:val="105"/>
        </w:rPr>
        <w:t> </w:t>
      </w:r>
      <w:r>
        <w:rPr>
          <w:w w:val="105"/>
        </w:rPr>
        <w:t>approximately</w:t>
      </w:r>
      <w:r>
        <w:rPr>
          <w:spacing w:val="-2"/>
          <w:w w:val="105"/>
        </w:rPr>
        <w:t> </w:t>
      </w:r>
      <w:r>
        <w:rPr>
          <w:w w:val="105"/>
        </w:rPr>
        <w:t>32%</w:t>
      </w:r>
      <w:r>
        <w:rPr>
          <w:spacing w:val="-2"/>
          <w:w w:val="105"/>
        </w:rPr>
        <w:t> </w:t>
      </w:r>
      <w:r>
        <w:rPr>
          <w:w w:val="105"/>
        </w:rPr>
        <w:t>are in</w:t>
      </w:r>
      <w:r>
        <w:rPr>
          <w:spacing w:val="-2"/>
          <w:w w:val="105"/>
        </w:rPr>
        <w:t> </w:t>
      </w:r>
      <w:r>
        <w:rPr>
          <w:w w:val="105"/>
        </w:rPr>
        <w:t>the</w:t>
      </w:r>
      <w:r>
        <w:rPr>
          <w:spacing w:val="-2"/>
          <w:w w:val="105"/>
        </w:rPr>
        <w:t> </w:t>
      </w:r>
      <w:r>
        <w:rPr>
          <w:w w:val="105"/>
        </w:rPr>
        <w:t>U.S.</w:t>
      </w:r>
      <w:r>
        <w:rPr>
          <w:spacing w:val="-2"/>
          <w:w w:val="105"/>
        </w:rPr>
        <w:t> </w:t>
      </w:r>
      <w:r>
        <w:rPr>
          <w:w w:val="105"/>
        </w:rPr>
        <w:t>We</w:t>
      </w:r>
      <w:r>
        <w:rPr>
          <w:spacing w:val="-2"/>
          <w:w w:val="105"/>
        </w:rPr>
        <w:t> </w:t>
      </w:r>
      <w:r>
        <w:rPr>
          <w:w w:val="105"/>
        </w:rPr>
        <w:t>own</w:t>
      </w:r>
      <w:r>
        <w:rPr>
          <w:spacing w:val="-2"/>
          <w:w w:val="105"/>
        </w:rPr>
        <w:t> </w:t>
      </w:r>
      <w:r>
        <w:rPr>
          <w:w w:val="105"/>
        </w:rPr>
        <w:t>approximately</w:t>
      </w:r>
      <w:r>
        <w:rPr>
          <w:spacing w:val="-2"/>
          <w:w w:val="105"/>
        </w:rPr>
        <w:t> </w:t>
      </w:r>
      <w:r>
        <w:rPr>
          <w:w w:val="105"/>
        </w:rPr>
        <w:t>54%</w:t>
      </w:r>
      <w:r>
        <w:rPr>
          <w:spacing w:val="-2"/>
          <w:w w:val="105"/>
        </w:rPr>
        <w:t> </w:t>
      </w:r>
      <w:r>
        <w:rPr>
          <w:w w:val="105"/>
        </w:rPr>
        <w:t>of</w:t>
      </w:r>
      <w:r>
        <w:rPr>
          <w:spacing w:val="-2"/>
          <w:w w:val="105"/>
        </w:rPr>
        <w:t> </w:t>
      </w:r>
      <w:r>
        <w:rPr>
          <w:w w:val="105"/>
        </w:rPr>
        <w:t>our executive</w:t>
      </w:r>
      <w:r>
        <w:rPr>
          <w:spacing w:val="-9"/>
          <w:w w:val="105"/>
        </w:rPr>
        <w:t> </w:t>
      </w:r>
      <w:r>
        <w:rPr>
          <w:w w:val="105"/>
        </w:rPr>
        <w:t>and</w:t>
      </w:r>
      <w:r>
        <w:rPr>
          <w:spacing w:val="-9"/>
          <w:w w:val="105"/>
        </w:rPr>
        <w:t> </w:t>
      </w:r>
      <w:r>
        <w:rPr>
          <w:w w:val="105"/>
        </w:rPr>
        <w:t>corporate</w:t>
      </w:r>
      <w:r>
        <w:rPr>
          <w:spacing w:val="-9"/>
          <w:w w:val="105"/>
        </w:rPr>
        <w:t> </w:t>
      </w:r>
      <w:r>
        <w:rPr>
          <w:w w:val="105"/>
        </w:rPr>
        <w:t>buildings,</w:t>
      </w:r>
      <w:r>
        <w:rPr>
          <w:spacing w:val="-9"/>
          <w:w w:val="105"/>
        </w:rPr>
        <w:t> </w:t>
      </w:r>
      <w:r>
        <w:rPr>
          <w:w w:val="105"/>
        </w:rPr>
        <w:t>with</w:t>
      </w:r>
      <w:r>
        <w:rPr>
          <w:spacing w:val="-9"/>
          <w:w w:val="105"/>
        </w:rPr>
        <w:t> </w:t>
      </w:r>
      <w:r>
        <w:rPr>
          <w:w w:val="105"/>
        </w:rPr>
        <w:t>94%</w:t>
      </w:r>
      <w:r>
        <w:rPr>
          <w:spacing w:val="-9"/>
          <w:w w:val="105"/>
        </w:rPr>
        <w:t> </w:t>
      </w:r>
      <w:r>
        <w:rPr>
          <w:w w:val="105"/>
        </w:rPr>
        <w:t>located</w:t>
      </w:r>
      <w:r>
        <w:rPr>
          <w:spacing w:val="-9"/>
          <w:w w:val="105"/>
        </w:rPr>
        <w:t> </w:t>
      </w:r>
      <w:r>
        <w:rPr>
          <w:w w:val="105"/>
        </w:rPr>
        <w:t>in</w:t>
      </w:r>
      <w:r>
        <w:rPr>
          <w:spacing w:val="-9"/>
          <w:w w:val="105"/>
        </w:rPr>
        <w:t> </w:t>
      </w:r>
      <w:r>
        <w:rPr>
          <w:w w:val="105"/>
        </w:rPr>
        <w:t>and</w:t>
      </w:r>
      <w:r>
        <w:rPr>
          <w:spacing w:val="-7"/>
          <w:w w:val="105"/>
        </w:rPr>
        <w:t> </w:t>
      </w:r>
      <w:r>
        <w:rPr>
          <w:w w:val="105"/>
        </w:rPr>
        <w:t>around</w:t>
      </w:r>
      <w:r>
        <w:rPr>
          <w:spacing w:val="-9"/>
          <w:w w:val="105"/>
        </w:rPr>
        <w:t> </w:t>
      </w:r>
      <w:r>
        <w:rPr>
          <w:w w:val="105"/>
        </w:rPr>
        <w:t>Corning,</w:t>
      </w:r>
      <w:r>
        <w:rPr>
          <w:spacing w:val="-9"/>
          <w:w w:val="105"/>
        </w:rPr>
        <w:t> </w:t>
      </w:r>
      <w:r>
        <w:rPr>
          <w:w w:val="105"/>
        </w:rPr>
        <w:t>New</w:t>
      </w:r>
      <w:r>
        <w:rPr>
          <w:spacing w:val="-9"/>
          <w:w w:val="105"/>
        </w:rPr>
        <w:t> </w:t>
      </w:r>
      <w:r>
        <w:rPr>
          <w:w w:val="105"/>
        </w:rPr>
        <w:t>York.</w:t>
      </w:r>
      <w:r>
        <w:rPr>
          <w:spacing w:val="-9"/>
          <w:w w:val="105"/>
        </w:rPr>
        <w:t> </w:t>
      </w:r>
      <w:r>
        <w:rPr>
          <w:w w:val="105"/>
        </w:rPr>
        <w:t>The</w:t>
      </w:r>
      <w:r>
        <w:rPr>
          <w:spacing w:val="-9"/>
          <w:w w:val="105"/>
        </w:rPr>
        <w:t> </w:t>
      </w:r>
      <w:r>
        <w:rPr>
          <w:w w:val="105"/>
        </w:rPr>
        <w:t>Company</w:t>
      </w:r>
      <w:r>
        <w:rPr>
          <w:spacing w:val="-9"/>
          <w:w w:val="105"/>
        </w:rPr>
        <w:t> </w:t>
      </w:r>
      <w:r>
        <w:rPr>
          <w:w w:val="105"/>
        </w:rPr>
        <w:t>also</w:t>
      </w:r>
      <w:r>
        <w:rPr>
          <w:spacing w:val="-9"/>
          <w:w w:val="105"/>
        </w:rPr>
        <w:t> </w:t>
      </w:r>
      <w:r>
        <w:rPr>
          <w:w w:val="105"/>
        </w:rPr>
        <w:t>owns</w:t>
      </w:r>
      <w:r>
        <w:rPr>
          <w:spacing w:val="-9"/>
          <w:w w:val="105"/>
        </w:rPr>
        <w:t> </w:t>
      </w:r>
      <w:r>
        <w:rPr>
          <w:w w:val="105"/>
        </w:rPr>
        <w:t>approximately</w:t>
      </w:r>
      <w:r>
        <w:rPr>
          <w:spacing w:val="-9"/>
          <w:w w:val="105"/>
        </w:rPr>
        <w:t> </w:t>
      </w:r>
      <w:r>
        <w:rPr>
          <w:w w:val="105"/>
        </w:rPr>
        <w:t>65%</w:t>
      </w:r>
      <w:r>
        <w:rPr>
          <w:spacing w:val="-9"/>
          <w:w w:val="105"/>
        </w:rPr>
        <w:t> </w:t>
      </w:r>
      <w:r>
        <w:rPr>
          <w:w w:val="105"/>
        </w:rPr>
        <w:t>of</w:t>
      </w:r>
      <w:r>
        <w:rPr>
          <w:spacing w:val="-9"/>
          <w:w w:val="105"/>
        </w:rPr>
        <w:t> </w:t>
      </w:r>
      <w:r>
        <w:rPr>
          <w:w w:val="105"/>
        </w:rPr>
        <w:t>our</w:t>
      </w:r>
      <w:r>
        <w:rPr>
          <w:spacing w:val="-9"/>
          <w:w w:val="105"/>
        </w:rPr>
        <w:t> </w:t>
      </w:r>
      <w:r>
        <w:rPr>
          <w:w w:val="105"/>
        </w:rPr>
        <w:t>sales</w:t>
      </w:r>
      <w:r>
        <w:rPr>
          <w:spacing w:val="-9"/>
          <w:w w:val="105"/>
        </w:rPr>
        <w:t> </w:t>
      </w:r>
      <w:r>
        <w:rPr>
          <w:w w:val="105"/>
        </w:rPr>
        <w:t>and</w:t>
      </w:r>
      <w:r>
        <w:rPr>
          <w:spacing w:val="-9"/>
          <w:w w:val="105"/>
        </w:rPr>
        <w:t> </w:t>
      </w:r>
      <w:r>
        <w:rPr>
          <w:w w:val="105"/>
        </w:rPr>
        <w:t>administrative</w:t>
      </w:r>
      <w:r>
        <w:rPr>
          <w:spacing w:val="-9"/>
          <w:w w:val="105"/>
        </w:rPr>
        <w:t> </w:t>
      </w:r>
      <w:r>
        <w:rPr>
          <w:w w:val="105"/>
        </w:rPr>
        <w:t>office square</w:t>
      </w:r>
      <w:r>
        <w:rPr>
          <w:spacing w:val="-1"/>
          <w:w w:val="105"/>
        </w:rPr>
        <w:t> </w:t>
      </w:r>
      <w:r>
        <w:rPr>
          <w:w w:val="105"/>
        </w:rPr>
        <w:t>footage,</w:t>
      </w:r>
      <w:r>
        <w:rPr>
          <w:spacing w:val="-1"/>
          <w:w w:val="105"/>
        </w:rPr>
        <w:t> </w:t>
      </w:r>
      <w:r>
        <w:rPr>
          <w:w w:val="105"/>
        </w:rPr>
        <w:t>80%</w:t>
      </w:r>
      <w:r>
        <w:rPr>
          <w:spacing w:val="-1"/>
          <w:w w:val="105"/>
        </w:rPr>
        <w:t> </w:t>
      </w:r>
      <w:r>
        <w:rPr>
          <w:w w:val="105"/>
        </w:rPr>
        <w:t>of</w:t>
      </w:r>
      <w:r>
        <w:rPr>
          <w:spacing w:val="-1"/>
          <w:w w:val="105"/>
        </w:rPr>
        <w:t> </w:t>
      </w:r>
      <w:r>
        <w:rPr>
          <w:w w:val="105"/>
        </w:rPr>
        <w:t>our</w:t>
      </w:r>
      <w:r>
        <w:rPr>
          <w:spacing w:val="-1"/>
          <w:w w:val="105"/>
        </w:rPr>
        <w:t> </w:t>
      </w:r>
      <w:r>
        <w:rPr>
          <w:w w:val="105"/>
        </w:rPr>
        <w:t>research</w:t>
      </w:r>
      <w:r>
        <w:rPr>
          <w:spacing w:val="-1"/>
          <w:w w:val="105"/>
        </w:rPr>
        <w:t> </w:t>
      </w:r>
      <w:r>
        <w:rPr>
          <w:w w:val="105"/>
        </w:rPr>
        <w:t>and</w:t>
      </w:r>
      <w:r>
        <w:rPr>
          <w:spacing w:val="-1"/>
          <w:w w:val="105"/>
        </w:rPr>
        <w:t> </w:t>
      </w:r>
      <w:r>
        <w:rPr>
          <w:w w:val="105"/>
        </w:rPr>
        <w:t>development</w:t>
      </w:r>
      <w:r>
        <w:rPr>
          <w:spacing w:val="-1"/>
          <w:w w:val="105"/>
        </w:rPr>
        <w:t> </w:t>
      </w:r>
      <w:r>
        <w:rPr>
          <w:w w:val="105"/>
        </w:rPr>
        <w:t>square</w:t>
      </w:r>
      <w:r>
        <w:rPr>
          <w:spacing w:val="-1"/>
          <w:w w:val="105"/>
        </w:rPr>
        <w:t> </w:t>
      </w:r>
      <w:r>
        <w:rPr>
          <w:w w:val="105"/>
        </w:rPr>
        <w:t>footage,</w:t>
      </w:r>
      <w:r>
        <w:rPr>
          <w:spacing w:val="-1"/>
          <w:w w:val="105"/>
        </w:rPr>
        <w:t> </w:t>
      </w:r>
      <w:r>
        <w:rPr>
          <w:w w:val="105"/>
        </w:rPr>
        <w:t>67%</w:t>
      </w:r>
      <w:r>
        <w:rPr>
          <w:spacing w:val="-1"/>
          <w:w w:val="105"/>
        </w:rPr>
        <w:t> </w:t>
      </w:r>
      <w:r>
        <w:rPr>
          <w:w w:val="105"/>
        </w:rPr>
        <w:t>of</w:t>
      </w:r>
      <w:r>
        <w:rPr>
          <w:spacing w:val="-1"/>
          <w:w w:val="105"/>
        </w:rPr>
        <w:t> </w:t>
      </w:r>
      <w:r>
        <w:rPr>
          <w:w w:val="105"/>
        </w:rPr>
        <w:t>our</w:t>
      </w:r>
      <w:r>
        <w:rPr>
          <w:spacing w:val="-1"/>
          <w:w w:val="105"/>
        </w:rPr>
        <w:t> </w:t>
      </w:r>
      <w:r>
        <w:rPr>
          <w:w w:val="105"/>
        </w:rPr>
        <w:t>manufacturing</w:t>
      </w:r>
      <w:r>
        <w:rPr>
          <w:spacing w:val="-1"/>
          <w:w w:val="105"/>
        </w:rPr>
        <w:t> </w:t>
      </w:r>
      <w:r>
        <w:rPr>
          <w:w w:val="105"/>
        </w:rPr>
        <w:t>square</w:t>
      </w:r>
      <w:r>
        <w:rPr>
          <w:spacing w:val="-1"/>
          <w:w w:val="105"/>
        </w:rPr>
        <w:t> </w:t>
      </w:r>
      <w:r>
        <w:rPr>
          <w:w w:val="105"/>
        </w:rPr>
        <w:t>footage,</w:t>
      </w:r>
      <w:r>
        <w:rPr>
          <w:spacing w:val="-1"/>
          <w:w w:val="105"/>
        </w:rPr>
        <w:t> </w:t>
      </w:r>
      <w:r>
        <w:rPr>
          <w:w w:val="105"/>
        </w:rPr>
        <w:t>and</w:t>
      </w:r>
      <w:r>
        <w:rPr>
          <w:spacing w:val="-1"/>
          <w:w w:val="105"/>
        </w:rPr>
        <w:t> </w:t>
      </w:r>
      <w:r>
        <w:rPr>
          <w:w w:val="105"/>
        </w:rPr>
        <w:t>6%</w:t>
      </w:r>
      <w:r>
        <w:rPr>
          <w:spacing w:val="-1"/>
          <w:w w:val="105"/>
        </w:rPr>
        <w:t> </w:t>
      </w:r>
      <w:r>
        <w:rPr>
          <w:w w:val="105"/>
        </w:rPr>
        <w:t>of</w:t>
      </w:r>
      <w:r>
        <w:rPr>
          <w:spacing w:val="-1"/>
          <w:w w:val="105"/>
        </w:rPr>
        <w:t> </w:t>
      </w:r>
      <w:r>
        <w:rPr>
          <w:w w:val="105"/>
        </w:rPr>
        <w:t>our</w:t>
      </w:r>
      <w:r>
        <w:rPr>
          <w:spacing w:val="-1"/>
          <w:w w:val="105"/>
        </w:rPr>
        <w:t> </w:t>
      </w:r>
      <w:r>
        <w:rPr>
          <w:w w:val="105"/>
        </w:rPr>
        <w:t>warehousing</w:t>
      </w:r>
      <w:r>
        <w:rPr>
          <w:spacing w:val="-1"/>
          <w:w w:val="105"/>
        </w:rPr>
        <w:t> </w:t>
      </w:r>
      <w:r>
        <w:rPr>
          <w:w w:val="105"/>
        </w:rPr>
        <w:t>square</w:t>
      </w:r>
      <w:r>
        <w:rPr>
          <w:spacing w:val="-1"/>
          <w:w w:val="105"/>
        </w:rPr>
        <w:t> </w:t>
      </w:r>
      <w:r>
        <w:rPr>
          <w:w w:val="105"/>
        </w:rPr>
        <w:t>footage.</w:t>
      </w:r>
    </w:p>
    <w:p>
      <w:pPr>
        <w:pStyle w:val="BodyText"/>
        <w:spacing w:line="266" w:lineRule="auto" w:before="164"/>
        <w:ind w:left="156" w:right="328"/>
      </w:pPr>
      <w:r>
        <w:rPr>
          <w:w w:val="105"/>
        </w:rPr>
        <w:t>Manufacturing,</w:t>
      </w:r>
      <w:r>
        <w:rPr>
          <w:spacing w:val="-10"/>
          <w:w w:val="105"/>
        </w:rPr>
        <w:t> </w:t>
      </w:r>
      <w:r>
        <w:rPr>
          <w:w w:val="105"/>
        </w:rPr>
        <w:t>sales</w:t>
      </w:r>
      <w:r>
        <w:rPr>
          <w:spacing w:val="-10"/>
          <w:w w:val="105"/>
        </w:rPr>
        <w:t> </w:t>
      </w:r>
      <w:r>
        <w:rPr>
          <w:w w:val="105"/>
        </w:rPr>
        <w:t>and</w:t>
      </w:r>
      <w:r>
        <w:rPr>
          <w:spacing w:val="-10"/>
          <w:w w:val="105"/>
        </w:rPr>
        <w:t> </w:t>
      </w:r>
      <w:r>
        <w:rPr>
          <w:w w:val="105"/>
        </w:rPr>
        <w:t>administrative,</w:t>
      </w:r>
      <w:r>
        <w:rPr>
          <w:spacing w:val="-10"/>
          <w:w w:val="105"/>
        </w:rPr>
        <w:t> </w:t>
      </w:r>
      <w:r>
        <w:rPr>
          <w:w w:val="105"/>
        </w:rPr>
        <w:t>research</w:t>
      </w:r>
      <w:r>
        <w:rPr>
          <w:spacing w:val="-10"/>
          <w:w w:val="105"/>
        </w:rPr>
        <w:t> </w:t>
      </w:r>
      <w:r>
        <w:rPr>
          <w:w w:val="105"/>
        </w:rPr>
        <w:t>and</w:t>
      </w:r>
      <w:r>
        <w:rPr>
          <w:spacing w:val="-10"/>
          <w:w w:val="105"/>
        </w:rPr>
        <w:t> </w:t>
      </w:r>
      <w:r>
        <w:rPr>
          <w:w w:val="105"/>
        </w:rPr>
        <w:t>development</w:t>
      </w:r>
      <w:r>
        <w:rPr>
          <w:spacing w:val="-10"/>
          <w:w w:val="105"/>
        </w:rPr>
        <w:t> </w:t>
      </w:r>
      <w:r>
        <w:rPr>
          <w:w w:val="105"/>
        </w:rPr>
        <w:t>facilities</w:t>
      </w:r>
      <w:r>
        <w:rPr>
          <w:spacing w:val="-10"/>
          <w:w w:val="105"/>
        </w:rPr>
        <w:t> </w:t>
      </w:r>
      <w:r>
        <w:rPr>
          <w:w w:val="105"/>
        </w:rPr>
        <w:t>and</w:t>
      </w:r>
      <w:r>
        <w:rPr>
          <w:spacing w:val="-10"/>
          <w:w w:val="105"/>
        </w:rPr>
        <w:t> </w:t>
      </w:r>
      <w:r>
        <w:rPr>
          <w:w w:val="105"/>
        </w:rPr>
        <w:t>warehouse</w:t>
      </w:r>
      <w:r>
        <w:rPr>
          <w:spacing w:val="-10"/>
          <w:w w:val="105"/>
        </w:rPr>
        <w:t> </w:t>
      </w:r>
      <w:r>
        <w:rPr>
          <w:w w:val="105"/>
        </w:rPr>
        <w:t>facilities</w:t>
      </w:r>
      <w:r>
        <w:rPr>
          <w:spacing w:val="-10"/>
          <w:w w:val="105"/>
        </w:rPr>
        <w:t> </w:t>
      </w:r>
      <w:r>
        <w:rPr>
          <w:w w:val="105"/>
        </w:rPr>
        <w:t>have</w:t>
      </w:r>
      <w:r>
        <w:rPr>
          <w:spacing w:val="-10"/>
          <w:w w:val="105"/>
        </w:rPr>
        <w:t> </w:t>
      </w:r>
      <w:r>
        <w:rPr>
          <w:w w:val="105"/>
        </w:rPr>
        <w:t>an</w:t>
      </w:r>
      <w:r>
        <w:rPr>
          <w:spacing w:val="-10"/>
          <w:w w:val="105"/>
        </w:rPr>
        <w:t> </w:t>
      </w:r>
      <w:r>
        <w:rPr>
          <w:w w:val="105"/>
        </w:rPr>
        <w:t>aggregate</w:t>
      </w:r>
      <w:r>
        <w:rPr>
          <w:spacing w:val="-10"/>
          <w:w w:val="105"/>
        </w:rPr>
        <w:t> </w:t>
      </w:r>
      <w:r>
        <w:rPr>
          <w:w w:val="105"/>
        </w:rPr>
        <w:t>floor</w:t>
      </w:r>
      <w:r>
        <w:rPr>
          <w:spacing w:val="-10"/>
          <w:w w:val="105"/>
        </w:rPr>
        <w:t> </w:t>
      </w:r>
      <w:r>
        <w:rPr>
          <w:w w:val="105"/>
        </w:rPr>
        <w:t>space</w:t>
      </w:r>
      <w:r>
        <w:rPr>
          <w:spacing w:val="-10"/>
          <w:w w:val="105"/>
        </w:rPr>
        <w:t> </w:t>
      </w:r>
      <w:r>
        <w:rPr>
          <w:w w:val="105"/>
        </w:rPr>
        <w:t>of</w:t>
      </w:r>
      <w:r>
        <w:rPr>
          <w:spacing w:val="-10"/>
          <w:w w:val="105"/>
        </w:rPr>
        <w:t> </w:t>
      </w:r>
      <w:r>
        <w:rPr>
          <w:w w:val="105"/>
        </w:rPr>
        <w:t>approximately</w:t>
      </w:r>
      <w:r>
        <w:rPr>
          <w:spacing w:val="-10"/>
          <w:w w:val="105"/>
        </w:rPr>
        <w:t> </w:t>
      </w:r>
      <w:r>
        <w:rPr>
          <w:w w:val="105"/>
        </w:rPr>
        <w:t>64.4</w:t>
      </w:r>
      <w:r>
        <w:rPr>
          <w:spacing w:val="-10"/>
          <w:w w:val="105"/>
        </w:rPr>
        <w:t> </w:t>
      </w:r>
      <w:r>
        <w:rPr>
          <w:w w:val="105"/>
        </w:rPr>
        <w:t>million</w:t>
      </w:r>
      <w:r>
        <w:rPr>
          <w:spacing w:val="-10"/>
          <w:w w:val="105"/>
        </w:rPr>
        <w:t> </w:t>
      </w:r>
      <w:r>
        <w:rPr>
          <w:w w:val="105"/>
        </w:rPr>
        <w:t>square feet. Distribution of this total area is as follows:</w:t>
      </w:r>
    </w:p>
    <w:p>
      <w:pPr>
        <w:pStyle w:val="BodyText"/>
        <w:spacing w:before="59"/>
        <w:rPr>
          <w:sz w:val="2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3"/>
        <w:gridCol w:w="3877"/>
        <w:gridCol w:w="1750"/>
        <w:gridCol w:w="972"/>
        <w:gridCol w:w="504"/>
      </w:tblGrid>
      <w:tr>
        <w:trPr>
          <w:trHeight w:val="200" w:hRule="atLeast"/>
        </w:trPr>
        <w:tc>
          <w:tcPr>
            <w:tcW w:w="4413" w:type="dxa"/>
            <w:tcBorders>
              <w:top w:val="single" w:sz="12" w:space="0" w:color="000000"/>
              <w:bottom w:val="single" w:sz="6" w:space="0" w:color="000000"/>
            </w:tcBorders>
          </w:tcPr>
          <w:p>
            <w:pPr>
              <w:pStyle w:val="TableParagraph"/>
              <w:spacing w:line="179" w:lineRule="exact" w:before="1"/>
              <w:rPr>
                <w:sz w:val="16"/>
              </w:rPr>
            </w:pPr>
            <w:r>
              <w:rPr>
                <w:w w:val="105"/>
                <w:sz w:val="16"/>
              </w:rPr>
              <w:t>(million</w:t>
            </w:r>
            <w:r>
              <w:rPr>
                <w:spacing w:val="-11"/>
                <w:w w:val="105"/>
                <w:sz w:val="16"/>
              </w:rPr>
              <w:t> </w:t>
            </w:r>
            <w:r>
              <w:rPr>
                <w:w w:val="105"/>
                <w:sz w:val="16"/>
              </w:rPr>
              <w:t>square</w:t>
            </w:r>
            <w:r>
              <w:rPr>
                <w:spacing w:val="-10"/>
                <w:w w:val="105"/>
                <w:sz w:val="16"/>
              </w:rPr>
              <w:t> </w:t>
            </w:r>
            <w:r>
              <w:rPr>
                <w:spacing w:val="-2"/>
                <w:w w:val="105"/>
                <w:sz w:val="16"/>
              </w:rPr>
              <w:t>feet)</w:t>
            </w:r>
          </w:p>
        </w:tc>
        <w:tc>
          <w:tcPr>
            <w:tcW w:w="3877" w:type="dxa"/>
            <w:tcBorders>
              <w:top w:val="single" w:sz="12" w:space="0" w:color="000000"/>
              <w:bottom w:val="single" w:sz="6" w:space="0" w:color="000000"/>
            </w:tcBorders>
          </w:tcPr>
          <w:p>
            <w:pPr>
              <w:pStyle w:val="TableParagraph"/>
              <w:spacing w:line="179" w:lineRule="exact" w:before="1"/>
              <w:ind w:right="896"/>
              <w:jc w:val="right"/>
              <w:rPr>
                <w:sz w:val="16"/>
              </w:rPr>
            </w:pPr>
            <w:r>
              <w:rPr>
                <w:spacing w:val="-4"/>
                <w:w w:val="105"/>
                <w:sz w:val="16"/>
              </w:rPr>
              <w:t>Total</w:t>
            </w:r>
          </w:p>
        </w:tc>
        <w:tc>
          <w:tcPr>
            <w:tcW w:w="1750" w:type="dxa"/>
            <w:tcBorders>
              <w:top w:val="single" w:sz="12" w:space="0" w:color="000000"/>
              <w:bottom w:val="single" w:sz="6" w:space="0" w:color="000000"/>
            </w:tcBorders>
          </w:tcPr>
          <w:p>
            <w:pPr>
              <w:pStyle w:val="TableParagraph"/>
              <w:spacing w:line="179" w:lineRule="exact" w:before="1"/>
              <w:ind w:left="328"/>
              <w:rPr>
                <w:sz w:val="16"/>
              </w:rPr>
            </w:pPr>
            <w:r>
              <w:rPr>
                <w:spacing w:val="-2"/>
                <w:w w:val="105"/>
                <w:sz w:val="16"/>
              </w:rPr>
              <w:t>Domestic</w:t>
            </w:r>
          </w:p>
        </w:tc>
        <w:tc>
          <w:tcPr>
            <w:tcW w:w="972" w:type="dxa"/>
            <w:tcBorders>
              <w:top w:val="single" w:sz="12" w:space="0" w:color="000000"/>
              <w:bottom w:val="single" w:sz="6" w:space="0" w:color="000000"/>
            </w:tcBorders>
          </w:tcPr>
          <w:p>
            <w:pPr>
              <w:pStyle w:val="TableParagraph"/>
              <w:spacing w:line="179" w:lineRule="exact" w:before="1"/>
              <w:ind w:left="358"/>
              <w:rPr>
                <w:sz w:val="16"/>
              </w:rPr>
            </w:pPr>
            <w:r>
              <w:rPr>
                <w:spacing w:val="-2"/>
                <w:w w:val="105"/>
                <w:sz w:val="16"/>
              </w:rPr>
              <w:t>Foreign</w:t>
            </w:r>
          </w:p>
        </w:tc>
        <w:tc>
          <w:tcPr>
            <w:tcW w:w="504" w:type="dxa"/>
            <w:tcBorders>
              <w:top w:val="single" w:sz="12" w:space="0" w:color="000000"/>
              <w:bottom w:val="single" w:sz="6" w:space="0" w:color="000000"/>
            </w:tcBorders>
          </w:tcPr>
          <w:p>
            <w:pPr>
              <w:pStyle w:val="TableParagraph"/>
              <w:rPr>
                <w:sz w:val="12"/>
              </w:rPr>
            </w:pPr>
          </w:p>
        </w:tc>
      </w:tr>
      <w:tr>
        <w:trPr>
          <w:trHeight w:val="202" w:hRule="atLeast"/>
        </w:trPr>
        <w:tc>
          <w:tcPr>
            <w:tcW w:w="4413" w:type="dxa"/>
            <w:tcBorders>
              <w:top w:val="single" w:sz="6" w:space="0" w:color="000000"/>
            </w:tcBorders>
            <w:shd w:val="clear" w:color="auto" w:fill="CCEDFF"/>
          </w:tcPr>
          <w:p>
            <w:pPr>
              <w:pStyle w:val="TableParagraph"/>
              <w:spacing w:line="180" w:lineRule="exact" w:before="2"/>
              <w:rPr>
                <w:sz w:val="16"/>
              </w:rPr>
            </w:pPr>
            <w:r>
              <w:rPr>
                <w:spacing w:val="-2"/>
                <w:w w:val="105"/>
                <w:sz w:val="16"/>
              </w:rPr>
              <w:t>Manufacturing</w:t>
            </w:r>
          </w:p>
        </w:tc>
        <w:tc>
          <w:tcPr>
            <w:tcW w:w="3877" w:type="dxa"/>
            <w:tcBorders>
              <w:top w:val="single" w:sz="6" w:space="0" w:color="000000"/>
            </w:tcBorders>
            <w:shd w:val="clear" w:color="auto" w:fill="CCEDFF"/>
          </w:tcPr>
          <w:p>
            <w:pPr>
              <w:pStyle w:val="TableParagraph"/>
              <w:spacing w:line="180" w:lineRule="exact" w:before="2"/>
              <w:ind w:right="326"/>
              <w:jc w:val="right"/>
              <w:rPr>
                <w:sz w:val="16"/>
              </w:rPr>
            </w:pPr>
            <w:r>
              <w:rPr>
                <w:spacing w:val="-4"/>
                <w:w w:val="105"/>
                <w:sz w:val="16"/>
              </w:rPr>
              <w:t>55.8</w:t>
            </w:r>
          </w:p>
        </w:tc>
        <w:tc>
          <w:tcPr>
            <w:tcW w:w="1750" w:type="dxa"/>
            <w:tcBorders>
              <w:top w:val="single" w:sz="6" w:space="0" w:color="000000"/>
            </w:tcBorders>
            <w:shd w:val="clear" w:color="auto" w:fill="CCEDFF"/>
          </w:tcPr>
          <w:p>
            <w:pPr>
              <w:pStyle w:val="TableParagraph"/>
              <w:spacing w:line="180" w:lineRule="exact" w:before="2"/>
              <w:ind w:right="356"/>
              <w:jc w:val="right"/>
              <w:rPr>
                <w:sz w:val="16"/>
              </w:rPr>
            </w:pPr>
            <w:r>
              <w:rPr>
                <w:spacing w:val="-4"/>
                <w:w w:val="105"/>
                <w:sz w:val="16"/>
              </w:rPr>
              <w:t>21.1</w:t>
            </w:r>
          </w:p>
        </w:tc>
        <w:tc>
          <w:tcPr>
            <w:tcW w:w="972" w:type="dxa"/>
            <w:tcBorders>
              <w:top w:val="single" w:sz="6" w:space="0" w:color="000000"/>
            </w:tcBorders>
            <w:shd w:val="clear" w:color="auto" w:fill="CCEDFF"/>
          </w:tcPr>
          <w:p>
            <w:pPr>
              <w:pStyle w:val="TableParagraph"/>
              <w:rPr>
                <w:sz w:val="14"/>
              </w:rPr>
            </w:pPr>
          </w:p>
        </w:tc>
        <w:tc>
          <w:tcPr>
            <w:tcW w:w="504" w:type="dxa"/>
            <w:tcBorders>
              <w:top w:val="single" w:sz="6" w:space="0" w:color="000000"/>
            </w:tcBorders>
            <w:shd w:val="clear" w:color="auto" w:fill="CCEDFF"/>
          </w:tcPr>
          <w:p>
            <w:pPr>
              <w:pStyle w:val="TableParagraph"/>
              <w:spacing w:line="180" w:lineRule="exact" w:before="2"/>
              <w:ind w:left="66" w:right="80"/>
              <w:jc w:val="center"/>
              <w:rPr>
                <w:sz w:val="16"/>
              </w:rPr>
            </w:pPr>
            <w:r>
              <w:rPr>
                <w:spacing w:val="-4"/>
                <w:w w:val="105"/>
                <w:sz w:val="16"/>
              </w:rPr>
              <w:t>34.7</w:t>
            </w:r>
          </w:p>
        </w:tc>
      </w:tr>
      <w:tr>
        <w:trPr>
          <w:trHeight w:val="203" w:hRule="atLeast"/>
        </w:trPr>
        <w:tc>
          <w:tcPr>
            <w:tcW w:w="4413" w:type="dxa"/>
          </w:tcPr>
          <w:p>
            <w:pPr>
              <w:pStyle w:val="TableParagraph"/>
              <w:spacing w:line="180" w:lineRule="exact" w:before="3"/>
              <w:rPr>
                <w:sz w:val="16"/>
              </w:rPr>
            </w:pPr>
            <w:r>
              <w:rPr>
                <w:w w:val="105"/>
                <w:sz w:val="16"/>
              </w:rPr>
              <w:t>Sales</w:t>
            </w:r>
            <w:r>
              <w:rPr>
                <w:spacing w:val="-9"/>
                <w:w w:val="105"/>
                <w:sz w:val="16"/>
              </w:rPr>
              <w:t> </w:t>
            </w:r>
            <w:r>
              <w:rPr>
                <w:w w:val="105"/>
                <w:sz w:val="16"/>
              </w:rPr>
              <w:t>and</w:t>
            </w:r>
            <w:r>
              <w:rPr>
                <w:spacing w:val="-9"/>
                <w:w w:val="105"/>
                <w:sz w:val="16"/>
              </w:rPr>
              <w:t> </w:t>
            </w:r>
            <w:r>
              <w:rPr>
                <w:spacing w:val="-2"/>
                <w:w w:val="105"/>
                <w:sz w:val="16"/>
              </w:rPr>
              <w:t>administrative</w:t>
            </w:r>
          </w:p>
        </w:tc>
        <w:tc>
          <w:tcPr>
            <w:tcW w:w="3877" w:type="dxa"/>
          </w:tcPr>
          <w:p>
            <w:pPr>
              <w:pStyle w:val="TableParagraph"/>
              <w:spacing w:line="180" w:lineRule="exact" w:before="3"/>
              <w:ind w:right="326"/>
              <w:jc w:val="right"/>
              <w:rPr>
                <w:sz w:val="16"/>
              </w:rPr>
            </w:pPr>
            <w:r>
              <w:rPr>
                <w:spacing w:val="-5"/>
                <w:w w:val="105"/>
                <w:sz w:val="16"/>
              </w:rPr>
              <w:t>2.4</w:t>
            </w:r>
          </w:p>
        </w:tc>
        <w:tc>
          <w:tcPr>
            <w:tcW w:w="1750" w:type="dxa"/>
          </w:tcPr>
          <w:p>
            <w:pPr>
              <w:pStyle w:val="TableParagraph"/>
              <w:spacing w:line="180" w:lineRule="exact" w:before="3"/>
              <w:ind w:right="356"/>
              <w:jc w:val="right"/>
              <w:rPr>
                <w:sz w:val="16"/>
              </w:rPr>
            </w:pPr>
            <w:r>
              <w:rPr>
                <w:spacing w:val="-5"/>
                <w:w w:val="105"/>
                <w:sz w:val="16"/>
              </w:rPr>
              <w:t>1.8</w:t>
            </w:r>
          </w:p>
        </w:tc>
        <w:tc>
          <w:tcPr>
            <w:tcW w:w="972" w:type="dxa"/>
          </w:tcPr>
          <w:p>
            <w:pPr>
              <w:pStyle w:val="TableParagraph"/>
              <w:rPr>
                <w:sz w:val="14"/>
              </w:rPr>
            </w:pPr>
          </w:p>
        </w:tc>
        <w:tc>
          <w:tcPr>
            <w:tcW w:w="504" w:type="dxa"/>
          </w:tcPr>
          <w:p>
            <w:pPr>
              <w:pStyle w:val="TableParagraph"/>
              <w:spacing w:line="180" w:lineRule="exact" w:before="3"/>
              <w:ind w:left="80" w:right="14"/>
              <w:jc w:val="center"/>
              <w:rPr>
                <w:sz w:val="16"/>
              </w:rPr>
            </w:pPr>
            <w:r>
              <w:rPr>
                <w:spacing w:val="-5"/>
                <w:w w:val="105"/>
                <w:sz w:val="16"/>
              </w:rPr>
              <w:t>0.6</w:t>
            </w:r>
          </w:p>
        </w:tc>
      </w:tr>
      <w:tr>
        <w:trPr>
          <w:trHeight w:val="203" w:hRule="atLeast"/>
        </w:trPr>
        <w:tc>
          <w:tcPr>
            <w:tcW w:w="4413" w:type="dxa"/>
            <w:shd w:val="clear" w:color="auto" w:fill="CCEDFF"/>
          </w:tcPr>
          <w:p>
            <w:pPr>
              <w:pStyle w:val="TableParagraph"/>
              <w:spacing w:line="180" w:lineRule="exact" w:before="3"/>
              <w:rPr>
                <w:sz w:val="16"/>
              </w:rPr>
            </w:pPr>
            <w:r>
              <w:rPr>
                <w:w w:val="105"/>
                <w:sz w:val="16"/>
              </w:rPr>
              <w:t>Research</w:t>
            </w:r>
            <w:r>
              <w:rPr>
                <w:spacing w:val="-10"/>
                <w:w w:val="105"/>
                <w:sz w:val="16"/>
              </w:rPr>
              <w:t> </w:t>
            </w:r>
            <w:r>
              <w:rPr>
                <w:w w:val="105"/>
                <w:sz w:val="16"/>
              </w:rPr>
              <w:t>and</w:t>
            </w:r>
            <w:r>
              <w:rPr>
                <w:spacing w:val="-9"/>
                <w:w w:val="105"/>
                <w:sz w:val="16"/>
              </w:rPr>
              <w:t> </w:t>
            </w:r>
            <w:r>
              <w:rPr>
                <w:spacing w:val="-2"/>
                <w:w w:val="105"/>
                <w:sz w:val="16"/>
              </w:rPr>
              <w:t>development</w:t>
            </w:r>
          </w:p>
        </w:tc>
        <w:tc>
          <w:tcPr>
            <w:tcW w:w="3877" w:type="dxa"/>
            <w:shd w:val="clear" w:color="auto" w:fill="CCEDFF"/>
          </w:tcPr>
          <w:p>
            <w:pPr>
              <w:pStyle w:val="TableParagraph"/>
              <w:spacing w:line="180" w:lineRule="exact" w:before="3"/>
              <w:ind w:right="326"/>
              <w:jc w:val="right"/>
              <w:rPr>
                <w:sz w:val="16"/>
              </w:rPr>
            </w:pPr>
            <w:r>
              <w:rPr>
                <w:spacing w:val="-5"/>
                <w:w w:val="105"/>
                <w:sz w:val="16"/>
              </w:rPr>
              <w:t>2.5</w:t>
            </w:r>
          </w:p>
        </w:tc>
        <w:tc>
          <w:tcPr>
            <w:tcW w:w="1750" w:type="dxa"/>
            <w:shd w:val="clear" w:color="auto" w:fill="CCEDFF"/>
          </w:tcPr>
          <w:p>
            <w:pPr>
              <w:pStyle w:val="TableParagraph"/>
              <w:spacing w:line="180" w:lineRule="exact" w:before="3"/>
              <w:ind w:right="356"/>
              <w:jc w:val="right"/>
              <w:rPr>
                <w:sz w:val="16"/>
              </w:rPr>
            </w:pPr>
            <w:r>
              <w:rPr>
                <w:spacing w:val="-5"/>
                <w:w w:val="105"/>
                <w:sz w:val="16"/>
              </w:rPr>
              <w:t>2.1</w:t>
            </w:r>
          </w:p>
        </w:tc>
        <w:tc>
          <w:tcPr>
            <w:tcW w:w="972" w:type="dxa"/>
            <w:shd w:val="clear" w:color="auto" w:fill="CCEDFF"/>
          </w:tcPr>
          <w:p>
            <w:pPr>
              <w:pStyle w:val="TableParagraph"/>
              <w:rPr>
                <w:sz w:val="14"/>
              </w:rPr>
            </w:pPr>
          </w:p>
        </w:tc>
        <w:tc>
          <w:tcPr>
            <w:tcW w:w="504" w:type="dxa"/>
            <w:shd w:val="clear" w:color="auto" w:fill="CCEDFF"/>
          </w:tcPr>
          <w:p>
            <w:pPr>
              <w:pStyle w:val="TableParagraph"/>
              <w:spacing w:line="180" w:lineRule="exact" w:before="3"/>
              <w:ind w:left="80" w:right="14"/>
              <w:jc w:val="center"/>
              <w:rPr>
                <w:sz w:val="16"/>
              </w:rPr>
            </w:pPr>
            <w:r>
              <w:rPr>
                <w:spacing w:val="-5"/>
                <w:w w:val="105"/>
                <w:sz w:val="16"/>
              </w:rPr>
              <w:t>0.4</w:t>
            </w:r>
          </w:p>
        </w:tc>
      </w:tr>
      <w:tr>
        <w:trPr>
          <w:trHeight w:val="202" w:hRule="atLeast"/>
        </w:trPr>
        <w:tc>
          <w:tcPr>
            <w:tcW w:w="4413" w:type="dxa"/>
            <w:tcBorders>
              <w:bottom w:val="single" w:sz="6" w:space="0" w:color="000000"/>
            </w:tcBorders>
          </w:tcPr>
          <w:p>
            <w:pPr>
              <w:pStyle w:val="TableParagraph"/>
              <w:spacing w:line="179" w:lineRule="exact" w:before="3"/>
              <w:rPr>
                <w:sz w:val="16"/>
              </w:rPr>
            </w:pPr>
            <w:r>
              <w:rPr>
                <w:spacing w:val="-2"/>
                <w:w w:val="105"/>
                <w:sz w:val="16"/>
              </w:rPr>
              <w:t>Warehouse</w:t>
            </w:r>
          </w:p>
        </w:tc>
        <w:tc>
          <w:tcPr>
            <w:tcW w:w="3877" w:type="dxa"/>
            <w:tcBorders>
              <w:bottom w:val="single" w:sz="6" w:space="0" w:color="000000"/>
            </w:tcBorders>
          </w:tcPr>
          <w:p>
            <w:pPr>
              <w:pStyle w:val="TableParagraph"/>
              <w:spacing w:line="179" w:lineRule="exact" w:before="3"/>
              <w:ind w:right="326"/>
              <w:jc w:val="right"/>
              <w:rPr>
                <w:sz w:val="16"/>
              </w:rPr>
            </w:pPr>
            <w:r>
              <w:rPr>
                <w:spacing w:val="-5"/>
                <w:w w:val="105"/>
                <w:sz w:val="16"/>
              </w:rPr>
              <w:t>3.7</w:t>
            </w:r>
          </w:p>
        </w:tc>
        <w:tc>
          <w:tcPr>
            <w:tcW w:w="1750" w:type="dxa"/>
            <w:tcBorders>
              <w:bottom w:val="single" w:sz="6" w:space="0" w:color="000000"/>
            </w:tcBorders>
          </w:tcPr>
          <w:p>
            <w:pPr>
              <w:pStyle w:val="TableParagraph"/>
              <w:spacing w:line="179" w:lineRule="exact" w:before="3"/>
              <w:ind w:right="356"/>
              <w:jc w:val="right"/>
              <w:rPr>
                <w:sz w:val="16"/>
              </w:rPr>
            </w:pPr>
            <w:r>
              <w:rPr>
                <w:spacing w:val="-5"/>
                <w:w w:val="105"/>
                <w:sz w:val="16"/>
              </w:rPr>
              <w:t>3.0</w:t>
            </w:r>
          </w:p>
        </w:tc>
        <w:tc>
          <w:tcPr>
            <w:tcW w:w="972" w:type="dxa"/>
            <w:tcBorders>
              <w:bottom w:val="single" w:sz="6" w:space="0" w:color="000000"/>
            </w:tcBorders>
          </w:tcPr>
          <w:p>
            <w:pPr>
              <w:pStyle w:val="TableParagraph"/>
              <w:rPr>
                <w:sz w:val="14"/>
              </w:rPr>
            </w:pPr>
          </w:p>
        </w:tc>
        <w:tc>
          <w:tcPr>
            <w:tcW w:w="504" w:type="dxa"/>
            <w:tcBorders>
              <w:bottom w:val="single" w:sz="6" w:space="0" w:color="000000"/>
            </w:tcBorders>
          </w:tcPr>
          <w:p>
            <w:pPr>
              <w:pStyle w:val="TableParagraph"/>
              <w:spacing w:line="179" w:lineRule="exact" w:before="3"/>
              <w:ind w:left="80" w:right="14"/>
              <w:jc w:val="center"/>
              <w:rPr>
                <w:sz w:val="16"/>
              </w:rPr>
            </w:pPr>
            <w:r>
              <w:rPr>
                <w:spacing w:val="-5"/>
                <w:w w:val="105"/>
                <w:sz w:val="16"/>
              </w:rPr>
              <w:t>0.7</w:t>
            </w:r>
          </w:p>
        </w:tc>
      </w:tr>
      <w:tr>
        <w:trPr>
          <w:trHeight w:val="199" w:hRule="atLeast"/>
        </w:trPr>
        <w:tc>
          <w:tcPr>
            <w:tcW w:w="4413" w:type="dxa"/>
            <w:tcBorders>
              <w:top w:val="single" w:sz="6" w:space="0" w:color="000000"/>
              <w:bottom w:val="double" w:sz="6" w:space="0" w:color="000000"/>
            </w:tcBorders>
            <w:shd w:val="clear" w:color="auto" w:fill="CCEDFF"/>
          </w:tcPr>
          <w:p>
            <w:pPr>
              <w:pStyle w:val="TableParagraph"/>
              <w:spacing w:line="177" w:lineRule="exact" w:before="2"/>
              <w:rPr>
                <w:sz w:val="16"/>
              </w:rPr>
            </w:pPr>
            <w:r>
              <w:rPr>
                <w:spacing w:val="-4"/>
                <w:w w:val="105"/>
                <w:sz w:val="16"/>
              </w:rPr>
              <w:t>Total</w:t>
            </w:r>
          </w:p>
        </w:tc>
        <w:tc>
          <w:tcPr>
            <w:tcW w:w="3877" w:type="dxa"/>
            <w:tcBorders>
              <w:top w:val="single" w:sz="6" w:space="0" w:color="000000"/>
              <w:bottom w:val="double" w:sz="6" w:space="0" w:color="000000"/>
            </w:tcBorders>
            <w:shd w:val="clear" w:color="auto" w:fill="CCEDFF"/>
          </w:tcPr>
          <w:p>
            <w:pPr>
              <w:pStyle w:val="TableParagraph"/>
              <w:spacing w:line="177" w:lineRule="exact" w:before="2"/>
              <w:ind w:right="326"/>
              <w:jc w:val="right"/>
              <w:rPr>
                <w:sz w:val="16"/>
              </w:rPr>
            </w:pPr>
            <w:r>
              <w:rPr>
                <w:spacing w:val="-4"/>
                <w:w w:val="105"/>
                <w:sz w:val="16"/>
              </w:rPr>
              <w:t>64.4</w:t>
            </w:r>
          </w:p>
        </w:tc>
        <w:tc>
          <w:tcPr>
            <w:tcW w:w="1750" w:type="dxa"/>
            <w:tcBorders>
              <w:top w:val="single" w:sz="6" w:space="0" w:color="000000"/>
              <w:bottom w:val="double" w:sz="6" w:space="0" w:color="000000"/>
            </w:tcBorders>
            <w:shd w:val="clear" w:color="auto" w:fill="CCEDFF"/>
          </w:tcPr>
          <w:p>
            <w:pPr>
              <w:pStyle w:val="TableParagraph"/>
              <w:spacing w:line="177" w:lineRule="exact" w:before="2"/>
              <w:ind w:right="356"/>
              <w:jc w:val="right"/>
              <w:rPr>
                <w:sz w:val="16"/>
              </w:rPr>
            </w:pPr>
            <w:r>
              <w:rPr>
                <w:spacing w:val="-4"/>
                <w:w w:val="105"/>
                <w:sz w:val="16"/>
              </w:rPr>
              <w:t>28.0</w:t>
            </w:r>
          </w:p>
        </w:tc>
        <w:tc>
          <w:tcPr>
            <w:tcW w:w="972" w:type="dxa"/>
            <w:tcBorders>
              <w:top w:val="single" w:sz="6" w:space="0" w:color="000000"/>
              <w:bottom w:val="double" w:sz="6" w:space="0" w:color="000000"/>
            </w:tcBorders>
            <w:shd w:val="clear" w:color="auto" w:fill="CCEDFF"/>
          </w:tcPr>
          <w:p>
            <w:pPr>
              <w:pStyle w:val="TableParagraph"/>
              <w:rPr>
                <w:sz w:val="12"/>
              </w:rPr>
            </w:pPr>
          </w:p>
        </w:tc>
        <w:tc>
          <w:tcPr>
            <w:tcW w:w="504" w:type="dxa"/>
            <w:tcBorders>
              <w:top w:val="single" w:sz="6" w:space="0" w:color="000000"/>
              <w:bottom w:val="double" w:sz="6" w:space="0" w:color="000000"/>
            </w:tcBorders>
            <w:shd w:val="clear" w:color="auto" w:fill="CCEDFF"/>
          </w:tcPr>
          <w:p>
            <w:pPr>
              <w:pStyle w:val="TableParagraph"/>
              <w:spacing w:line="177" w:lineRule="exact" w:before="2"/>
              <w:ind w:left="66" w:right="80"/>
              <w:jc w:val="center"/>
              <w:rPr>
                <w:sz w:val="16"/>
              </w:rPr>
            </w:pPr>
            <w:r>
              <w:rPr>
                <w:spacing w:val="-4"/>
                <w:w w:val="105"/>
                <w:sz w:val="16"/>
              </w:rPr>
              <w:t>36.4</w:t>
            </w:r>
          </w:p>
        </w:tc>
      </w:tr>
    </w:tbl>
    <w:p>
      <w:pPr>
        <w:pStyle w:val="BodyText"/>
        <w:spacing w:before="8"/>
      </w:pPr>
    </w:p>
    <w:p>
      <w:pPr>
        <w:pStyle w:val="BodyText"/>
        <w:spacing w:line="266" w:lineRule="auto"/>
        <w:ind w:left="156"/>
      </w:pPr>
      <w:r>
        <w:rPr>
          <w:w w:val="105"/>
        </w:rPr>
        <w:t>Total</w:t>
      </w:r>
      <w:r>
        <w:rPr>
          <w:spacing w:val="-10"/>
          <w:w w:val="105"/>
        </w:rPr>
        <w:t> </w:t>
      </w:r>
      <w:r>
        <w:rPr>
          <w:w w:val="105"/>
        </w:rPr>
        <w:t>assets</w:t>
      </w:r>
      <w:r>
        <w:rPr>
          <w:spacing w:val="-10"/>
          <w:w w:val="105"/>
        </w:rPr>
        <w:t> </w:t>
      </w:r>
      <w:r>
        <w:rPr>
          <w:w w:val="105"/>
        </w:rPr>
        <w:t>and</w:t>
      </w:r>
      <w:r>
        <w:rPr>
          <w:spacing w:val="-10"/>
          <w:w w:val="105"/>
        </w:rPr>
        <w:t> </w:t>
      </w:r>
      <w:r>
        <w:rPr>
          <w:w w:val="105"/>
        </w:rPr>
        <w:t>capital</w:t>
      </w:r>
      <w:r>
        <w:rPr>
          <w:spacing w:val="-10"/>
          <w:w w:val="105"/>
        </w:rPr>
        <w:t> </w:t>
      </w:r>
      <w:r>
        <w:rPr>
          <w:w w:val="105"/>
        </w:rPr>
        <w:t>expenditures</w:t>
      </w:r>
      <w:r>
        <w:rPr>
          <w:spacing w:val="-10"/>
          <w:w w:val="105"/>
        </w:rPr>
        <w:t> </w:t>
      </w:r>
      <w:r>
        <w:rPr>
          <w:w w:val="105"/>
        </w:rPr>
        <w:t>by</w:t>
      </w:r>
      <w:r>
        <w:rPr>
          <w:spacing w:val="-10"/>
          <w:w w:val="105"/>
        </w:rPr>
        <w:t> </w:t>
      </w:r>
      <w:r>
        <w:rPr>
          <w:w w:val="105"/>
        </w:rPr>
        <w:t>operating</w:t>
      </w:r>
      <w:r>
        <w:rPr>
          <w:spacing w:val="-10"/>
          <w:w w:val="105"/>
        </w:rPr>
        <w:t> </w:t>
      </w:r>
      <w:r>
        <w:rPr>
          <w:w w:val="105"/>
        </w:rPr>
        <w:t>segment</w:t>
      </w:r>
      <w:r>
        <w:rPr>
          <w:spacing w:val="-10"/>
          <w:w w:val="105"/>
        </w:rPr>
        <w:t> </w:t>
      </w:r>
      <w:r>
        <w:rPr>
          <w:w w:val="105"/>
        </w:rPr>
        <w:t>are</w:t>
      </w:r>
      <w:r>
        <w:rPr>
          <w:spacing w:val="-10"/>
          <w:w w:val="105"/>
        </w:rPr>
        <w:t> </w:t>
      </w:r>
      <w:r>
        <w:rPr>
          <w:w w:val="105"/>
        </w:rPr>
        <w:t>included</w:t>
      </w:r>
      <w:r>
        <w:rPr>
          <w:spacing w:val="-10"/>
          <w:w w:val="105"/>
        </w:rPr>
        <w:t> </w:t>
      </w:r>
      <w:r>
        <w:rPr>
          <w:w w:val="105"/>
        </w:rPr>
        <w:t>in</w:t>
      </w:r>
      <w:r>
        <w:rPr>
          <w:spacing w:val="-10"/>
          <w:w w:val="105"/>
        </w:rPr>
        <w:t> </w:t>
      </w:r>
      <w:r>
        <w:rPr>
          <w:w w:val="105"/>
        </w:rPr>
        <w:t>Note</w:t>
      </w:r>
      <w:r>
        <w:rPr>
          <w:spacing w:val="-10"/>
          <w:w w:val="105"/>
        </w:rPr>
        <w:t> </w:t>
      </w:r>
      <w:r>
        <w:rPr>
          <w:w w:val="105"/>
        </w:rPr>
        <w:t>20</w:t>
      </w:r>
      <w:r>
        <w:rPr>
          <w:spacing w:val="-10"/>
          <w:w w:val="105"/>
        </w:rPr>
        <w:t> </w:t>
      </w:r>
      <w:r>
        <w:rPr>
          <w:w w:val="105"/>
        </w:rPr>
        <w:t>(Reportable</w:t>
      </w:r>
      <w:r>
        <w:rPr>
          <w:spacing w:val="-10"/>
          <w:w w:val="105"/>
        </w:rPr>
        <w:t> </w:t>
      </w:r>
      <w:r>
        <w:rPr>
          <w:w w:val="105"/>
        </w:rPr>
        <w:t>Segments)</w:t>
      </w:r>
      <w:r>
        <w:rPr>
          <w:spacing w:val="-10"/>
          <w:w w:val="105"/>
        </w:rPr>
        <w:t> </w:t>
      </w:r>
      <w:r>
        <w:rPr>
          <w:w w:val="105"/>
        </w:rPr>
        <w:t>to</w:t>
      </w:r>
      <w:r>
        <w:rPr>
          <w:spacing w:val="-10"/>
          <w:w w:val="105"/>
        </w:rPr>
        <w:t> </w:t>
      </w:r>
      <w:r>
        <w:rPr>
          <w:w w:val="105"/>
        </w:rPr>
        <w:t>the</w:t>
      </w:r>
      <w:r>
        <w:rPr>
          <w:spacing w:val="-10"/>
          <w:w w:val="105"/>
        </w:rPr>
        <w:t> </w:t>
      </w:r>
      <w:r>
        <w:rPr>
          <w:w w:val="105"/>
        </w:rPr>
        <w:t>consolidated</w:t>
      </w:r>
      <w:r>
        <w:rPr>
          <w:spacing w:val="-10"/>
          <w:w w:val="105"/>
        </w:rPr>
        <w:t> </w:t>
      </w:r>
      <w:r>
        <w:rPr>
          <w:w w:val="105"/>
        </w:rPr>
        <w:t>financial</w:t>
      </w:r>
      <w:r>
        <w:rPr>
          <w:spacing w:val="-10"/>
          <w:w w:val="105"/>
        </w:rPr>
        <w:t> </w:t>
      </w:r>
      <w:r>
        <w:rPr>
          <w:w w:val="105"/>
        </w:rPr>
        <w:t>statements.</w:t>
      </w:r>
      <w:r>
        <w:rPr>
          <w:spacing w:val="-10"/>
          <w:w w:val="105"/>
        </w:rPr>
        <w:t> </w:t>
      </w:r>
      <w:r>
        <w:rPr>
          <w:w w:val="105"/>
        </w:rPr>
        <w:t>Information</w:t>
      </w:r>
      <w:r>
        <w:rPr>
          <w:spacing w:val="-8"/>
          <w:w w:val="105"/>
        </w:rPr>
        <w:t> </w:t>
      </w:r>
      <w:r>
        <w:rPr>
          <w:w w:val="105"/>
        </w:rPr>
        <w:t>concerning lease</w:t>
      </w:r>
      <w:r>
        <w:rPr>
          <w:spacing w:val="-2"/>
          <w:w w:val="105"/>
        </w:rPr>
        <w:t> </w:t>
      </w:r>
      <w:r>
        <w:rPr>
          <w:w w:val="105"/>
        </w:rPr>
        <w:t>commitments is</w:t>
      </w:r>
      <w:r>
        <w:rPr>
          <w:spacing w:val="-2"/>
          <w:w w:val="105"/>
        </w:rPr>
        <w:t> </w:t>
      </w:r>
      <w:r>
        <w:rPr>
          <w:w w:val="105"/>
        </w:rPr>
        <w:t>included</w:t>
      </w:r>
      <w:r>
        <w:rPr>
          <w:spacing w:val="-2"/>
          <w:w w:val="105"/>
        </w:rPr>
        <w:t> </w:t>
      </w:r>
      <w:r>
        <w:rPr>
          <w:w w:val="105"/>
        </w:rPr>
        <w:t>in</w:t>
      </w:r>
      <w:r>
        <w:rPr>
          <w:spacing w:val="-2"/>
          <w:w w:val="105"/>
        </w:rPr>
        <w:t> </w:t>
      </w:r>
      <w:r>
        <w:rPr>
          <w:w w:val="105"/>
        </w:rPr>
        <w:t>Note</w:t>
      </w:r>
      <w:r>
        <w:rPr>
          <w:spacing w:val="-2"/>
          <w:w w:val="105"/>
        </w:rPr>
        <w:t> </w:t>
      </w:r>
      <w:r>
        <w:rPr>
          <w:w w:val="105"/>
        </w:rPr>
        <w:t>7</w:t>
      </w:r>
      <w:r>
        <w:rPr>
          <w:spacing w:val="-2"/>
          <w:w w:val="105"/>
        </w:rPr>
        <w:t> </w:t>
      </w:r>
      <w:r>
        <w:rPr>
          <w:w w:val="105"/>
        </w:rPr>
        <w:t>(Leases)</w:t>
      </w:r>
      <w:r>
        <w:rPr>
          <w:spacing w:val="-2"/>
          <w:w w:val="105"/>
        </w:rPr>
        <w:t> </w:t>
      </w:r>
      <w:r>
        <w:rPr>
          <w:w w:val="105"/>
        </w:rPr>
        <w:t>and</w:t>
      </w:r>
      <w:r>
        <w:rPr>
          <w:spacing w:val="-2"/>
          <w:w w:val="105"/>
        </w:rPr>
        <w:t> </w:t>
      </w:r>
      <w:r>
        <w:rPr>
          <w:w w:val="105"/>
        </w:rPr>
        <w:t>Note</w:t>
      </w:r>
      <w:r>
        <w:rPr>
          <w:spacing w:val="-2"/>
          <w:w w:val="105"/>
        </w:rPr>
        <w:t> </w:t>
      </w:r>
      <w:r>
        <w:rPr>
          <w:w w:val="105"/>
        </w:rPr>
        <w:t>14</w:t>
      </w:r>
      <w:r>
        <w:rPr>
          <w:spacing w:val="-2"/>
          <w:w w:val="105"/>
        </w:rPr>
        <w:t> </w:t>
      </w:r>
      <w:r>
        <w:rPr>
          <w:w w:val="105"/>
        </w:rPr>
        <w:t>(Commitments,</w:t>
      </w:r>
      <w:r>
        <w:rPr>
          <w:spacing w:val="-2"/>
          <w:w w:val="105"/>
        </w:rPr>
        <w:t> </w:t>
      </w:r>
      <w:r>
        <w:rPr>
          <w:w w:val="105"/>
        </w:rPr>
        <w:t>Contingencies and</w:t>
      </w:r>
      <w:r>
        <w:rPr>
          <w:spacing w:val="-2"/>
          <w:w w:val="105"/>
        </w:rPr>
        <w:t> </w:t>
      </w:r>
      <w:r>
        <w:rPr>
          <w:w w:val="105"/>
        </w:rPr>
        <w:t>Guarantees)</w:t>
      </w:r>
      <w:r>
        <w:rPr>
          <w:spacing w:val="-2"/>
          <w:w w:val="105"/>
        </w:rPr>
        <w:t> </w:t>
      </w:r>
      <w:r>
        <w:rPr>
          <w:w w:val="105"/>
        </w:rPr>
        <w:t>to</w:t>
      </w:r>
      <w:r>
        <w:rPr>
          <w:spacing w:val="-2"/>
          <w:w w:val="105"/>
        </w:rPr>
        <w:t> </w:t>
      </w:r>
      <w:r>
        <w:rPr>
          <w:w w:val="105"/>
        </w:rPr>
        <w:t>the</w:t>
      </w:r>
      <w:r>
        <w:rPr>
          <w:spacing w:val="-2"/>
          <w:w w:val="105"/>
        </w:rPr>
        <w:t> </w:t>
      </w:r>
      <w:r>
        <w:rPr>
          <w:w w:val="105"/>
        </w:rPr>
        <w:t>consolidated</w:t>
      </w:r>
      <w:r>
        <w:rPr>
          <w:spacing w:val="-2"/>
          <w:w w:val="105"/>
        </w:rPr>
        <w:t> </w:t>
      </w:r>
      <w:r>
        <w:rPr>
          <w:w w:val="105"/>
        </w:rPr>
        <w:t>financial</w:t>
      </w:r>
      <w:r>
        <w:rPr>
          <w:spacing w:val="-2"/>
          <w:w w:val="105"/>
        </w:rPr>
        <w:t> </w:t>
      </w:r>
      <w:r>
        <w:rPr>
          <w:w w:val="105"/>
        </w:rPr>
        <w:t>statements.</w:t>
      </w:r>
    </w:p>
    <w:p>
      <w:pPr>
        <w:pStyle w:val="BodyText"/>
        <w:spacing w:before="19"/>
      </w:pPr>
    </w:p>
    <w:p>
      <w:pPr>
        <w:spacing w:before="0"/>
        <w:ind w:left="156" w:right="0" w:firstLine="0"/>
        <w:jc w:val="left"/>
        <w:rPr>
          <w:b/>
          <w:sz w:val="16"/>
        </w:rPr>
      </w:pPr>
      <w:r>
        <w:rPr>
          <w:b/>
          <w:w w:val="105"/>
          <w:sz w:val="16"/>
          <w:u w:val="single"/>
        </w:rPr>
        <w:t>Item</w:t>
      </w:r>
      <w:r>
        <w:rPr>
          <w:b/>
          <w:spacing w:val="-7"/>
          <w:w w:val="105"/>
          <w:sz w:val="16"/>
          <w:u w:val="single"/>
        </w:rPr>
        <w:t> </w:t>
      </w:r>
      <w:r>
        <w:rPr>
          <w:b/>
          <w:w w:val="105"/>
          <w:sz w:val="16"/>
          <w:u w:val="single"/>
        </w:rPr>
        <w:t>3.</w:t>
      </w:r>
      <w:r>
        <w:rPr>
          <w:b/>
          <w:spacing w:val="-6"/>
          <w:w w:val="105"/>
          <w:sz w:val="16"/>
          <w:u w:val="single"/>
        </w:rPr>
        <w:t> </w:t>
      </w:r>
      <w:r>
        <w:rPr>
          <w:b/>
          <w:w w:val="105"/>
          <w:sz w:val="16"/>
          <w:u w:val="single"/>
        </w:rPr>
        <w:t>Legal</w:t>
      </w:r>
      <w:r>
        <w:rPr>
          <w:b/>
          <w:spacing w:val="-7"/>
          <w:w w:val="105"/>
          <w:sz w:val="16"/>
          <w:u w:val="single"/>
        </w:rPr>
        <w:t> </w:t>
      </w:r>
      <w:r>
        <w:rPr>
          <w:b/>
          <w:spacing w:val="-2"/>
          <w:w w:val="105"/>
          <w:sz w:val="16"/>
          <w:u w:val="single"/>
        </w:rPr>
        <w:t>Proceedings</w:t>
      </w:r>
    </w:p>
    <w:p>
      <w:pPr>
        <w:pStyle w:val="BodyText"/>
        <w:spacing w:before="40"/>
        <w:rPr>
          <w:b/>
        </w:rPr>
      </w:pPr>
    </w:p>
    <w:p>
      <w:pPr>
        <w:pStyle w:val="BodyText"/>
        <w:spacing w:line="266" w:lineRule="auto"/>
        <w:ind w:left="156" w:right="228"/>
      </w:pPr>
      <w:r>
        <w:rPr>
          <w:w w:val="105"/>
        </w:rPr>
        <w:t>Corning</w:t>
      </w:r>
      <w:r>
        <w:rPr>
          <w:spacing w:val="-7"/>
          <w:w w:val="105"/>
        </w:rPr>
        <w:t> </w:t>
      </w:r>
      <w:r>
        <w:rPr>
          <w:w w:val="105"/>
        </w:rPr>
        <w:t>is</w:t>
      </w:r>
      <w:r>
        <w:rPr>
          <w:spacing w:val="-7"/>
          <w:w w:val="105"/>
        </w:rPr>
        <w:t> </w:t>
      </w:r>
      <w:r>
        <w:rPr>
          <w:w w:val="105"/>
        </w:rPr>
        <w:t>a</w:t>
      </w:r>
      <w:r>
        <w:rPr>
          <w:spacing w:val="-7"/>
          <w:w w:val="105"/>
        </w:rPr>
        <w:t> </w:t>
      </w:r>
      <w:r>
        <w:rPr>
          <w:w w:val="105"/>
        </w:rPr>
        <w:t>defendant</w:t>
      </w:r>
      <w:r>
        <w:rPr>
          <w:spacing w:val="-7"/>
          <w:w w:val="105"/>
        </w:rPr>
        <w:t> </w:t>
      </w:r>
      <w:r>
        <w:rPr>
          <w:w w:val="105"/>
        </w:rPr>
        <w:t>in</w:t>
      </w:r>
      <w:r>
        <w:rPr>
          <w:spacing w:val="-7"/>
          <w:w w:val="105"/>
        </w:rPr>
        <w:t> </w:t>
      </w:r>
      <w:r>
        <w:rPr>
          <w:w w:val="105"/>
        </w:rPr>
        <w:t>various</w:t>
      </w:r>
      <w:r>
        <w:rPr>
          <w:spacing w:val="-6"/>
          <w:w w:val="105"/>
        </w:rPr>
        <w:t> </w:t>
      </w:r>
      <w:r>
        <w:rPr>
          <w:w w:val="105"/>
        </w:rPr>
        <w:t>lawsuits</w:t>
      </w:r>
      <w:r>
        <w:rPr>
          <w:spacing w:val="-7"/>
          <w:w w:val="105"/>
        </w:rPr>
        <w:t> </w:t>
      </w:r>
      <w:r>
        <w:rPr>
          <w:w w:val="105"/>
        </w:rPr>
        <w:t>and</w:t>
      </w:r>
      <w:r>
        <w:rPr>
          <w:spacing w:val="-7"/>
          <w:w w:val="105"/>
        </w:rPr>
        <w:t> </w:t>
      </w:r>
      <w:r>
        <w:rPr>
          <w:w w:val="105"/>
        </w:rPr>
        <w:t>is</w:t>
      </w:r>
      <w:r>
        <w:rPr>
          <w:spacing w:val="-7"/>
          <w:w w:val="105"/>
        </w:rPr>
        <w:t> </w:t>
      </w:r>
      <w:r>
        <w:rPr>
          <w:w w:val="105"/>
        </w:rPr>
        <w:t>subject</w:t>
      </w:r>
      <w:r>
        <w:rPr>
          <w:spacing w:val="-7"/>
          <w:w w:val="105"/>
        </w:rPr>
        <w:t> </w:t>
      </w:r>
      <w:r>
        <w:rPr>
          <w:w w:val="105"/>
        </w:rPr>
        <w:t>to</w:t>
      </w:r>
      <w:r>
        <w:rPr>
          <w:spacing w:val="-7"/>
          <w:w w:val="105"/>
        </w:rPr>
        <w:t> </w:t>
      </w:r>
      <w:r>
        <w:rPr>
          <w:w w:val="105"/>
        </w:rPr>
        <w:t>various</w:t>
      </w:r>
      <w:r>
        <w:rPr>
          <w:spacing w:val="-6"/>
          <w:w w:val="105"/>
        </w:rPr>
        <w:t> </w:t>
      </w:r>
      <w:r>
        <w:rPr>
          <w:w w:val="105"/>
        </w:rPr>
        <w:t>claims</w:t>
      </w:r>
      <w:r>
        <w:rPr>
          <w:spacing w:val="-7"/>
          <w:w w:val="105"/>
        </w:rPr>
        <w:t> </w:t>
      </w:r>
      <w:r>
        <w:rPr>
          <w:w w:val="105"/>
        </w:rPr>
        <w:t>that</w:t>
      </w:r>
      <w:r>
        <w:rPr>
          <w:spacing w:val="-7"/>
          <w:w w:val="105"/>
        </w:rPr>
        <w:t> </w:t>
      </w:r>
      <w:r>
        <w:rPr>
          <w:w w:val="105"/>
        </w:rPr>
        <w:t>arise</w:t>
      </w:r>
      <w:r>
        <w:rPr>
          <w:spacing w:val="-7"/>
          <w:w w:val="105"/>
        </w:rPr>
        <w:t> </w:t>
      </w:r>
      <w:r>
        <w:rPr>
          <w:w w:val="105"/>
        </w:rPr>
        <w:t>in</w:t>
      </w:r>
      <w:r>
        <w:rPr>
          <w:spacing w:val="-6"/>
          <w:w w:val="105"/>
        </w:rPr>
        <w:t> </w:t>
      </w:r>
      <w:r>
        <w:rPr>
          <w:w w:val="105"/>
        </w:rPr>
        <w:t>the</w:t>
      </w:r>
      <w:r>
        <w:rPr>
          <w:spacing w:val="-7"/>
          <w:w w:val="105"/>
        </w:rPr>
        <w:t> </w:t>
      </w:r>
      <w:r>
        <w:rPr>
          <w:w w:val="105"/>
        </w:rPr>
        <w:t>normal</w:t>
      </w:r>
      <w:r>
        <w:rPr>
          <w:spacing w:val="-7"/>
          <w:w w:val="105"/>
        </w:rPr>
        <w:t> </w:t>
      </w:r>
      <w:r>
        <w:rPr>
          <w:w w:val="105"/>
        </w:rPr>
        <w:t>course</w:t>
      </w:r>
      <w:r>
        <w:rPr>
          <w:spacing w:val="-7"/>
          <w:w w:val="105"/>
        </w:rPr>
        <w:t> </w:t>
      </w:r>
      <w:r>
        <w:rPr>
          <w:w w:val="105"/>
        </w:rPr>
        <w:t>of</w:t>
      </w:r>
      <w:r>
        <w:rPr>
          <w:spacing w:val="-7"/>
          <w:w w:val="105"/>
        </w:rPr>
        <w:t> </w:t>
      </w:r>
      <w:r>
        <w:rPr>
          <w:w w:val="105"/>
        </w:rPr>
        <w:t>business,</w:t>
      </w:r>
      <w:r>
        <w:rPr>
          <w:spacing w:val="-7"/>
          <w:w w:val="105"/>
        </w:rPr>
        <w:t> </w:t>
      </w:r>
      <w:r>
        <w:rPr>
          <w:w w:val="105"/>
        </w:rPr>
        <w:t>the</w:t>
      </w:r>
      <w:r>
        <w:rPr>
          <w:spacing w:val="-7"/>
          <w:w w:val="105"/>
        </w:rPr>
        <w:t> </w:t>
      </w:r>
      <w:r>
        <w:rPr>
          <w:w w:val="105"/>
        </w:rPr>
        <w:t>most</w:t>
      </w:r>
      <w:r>
        <w:rPr>
          <w:spacing w:val="-7"/>
          <w:w w:val="105"/>
        </w:rPr>
        <w:t> </w:t>
      </w:r>
      <w:r>
        <w:rPr>
          <w:w w:val="105"/>
        </w:rPr>
        <w:t>significant</w:t>
      </w:r>
      <w:r>
        <w:rPr>
          <w:spacing w:val="-7"/>
          <w:w w:val="105"/>
        </w:rPr>
        <w:t> </w:t>
      </w:r>
      <w:r>
        <w:rPr>
          <w:w w:val="105"/>
        </w:rPr>
        <w:t>of</w:t>
      </w:r>
      <w:r>
        <w:rPr>
          <w:spacing w:val="-7"/>
          <w:w w:val="105"/>
        </w:rPr>
        <w:t> </w:t>
      </w:r>
      <w:r>
        <w:rPr>
          <w:w w:val="105"/>
        </w:rPr>
        <w:t>which</w:t>
      </w:r>
      <w:r>
        <w:rPr>
          <w:spacing w:val="-7"/>
          <w:w w:val="105"/>
        </w:rPr>
        <w:t> </w:t>
      </w:r>
      <w:r>
        <w:rPr>
          <w:w w:val="105"/>
        </w:rPr>
        <w:t>are</w:t>
      </w:r>
      <w:r>
        <w:rPr>
          <w:spacing w:val="-7"/>
          <w:w w:val="105"/>
        </w:rPr>
        <w:t> </w:t>
      </w:r>
      <w:r>
        <w:rPr>
          <w:w w:val="105"/>
        </w:rPr>
        <w:t>summarized</w:t>
      </w:r>
      <w:r>
        <w:rPr>
          <w:spacing w:val="-7"/>
          <w:w w:val="105"/>
        </w:rPr>
        <w:t> </w:t>
      </w:r>
      <w:r>
        <w:rPr>
          <w:w w:val="105"/>
        </w:rPr>
        <w:t>in</w:t>
      </w:r>
      <w:r>
        <w:rPr>
          <w:spacing w:val="-7"/>
          <w:w w:val="105"/>
        </w:rPr>
        <w:t> </w:t>
      </w:r>
      <w:r>
        <w:rPr>
          <w:w w:val="105"/>
        </w:rPr>
        <w:t>Note 14</w:t>
      </w:r>
      <w:r>
        <w:rPr>
          <w:spacing w:val="-2"/>
          <w:w w:val="105"/>
        </w:rPr>
        <w:t> </w:t>
      </w:r>
      <w:r>
        <w:rPr>
          <w:w w:val="105"/>
        </w:rPr>
        <w:t>(Commitments,</w:t>
      </w:r>
      <w:r>
        <w:rPr>
          <w:spacing w:val="-2"/>
          <w:w w:val="105"/>
        </w:rPr>
        <w:t> </w:t>
      </w:r>
      <w:r>
        <w:rPr>
          <w:w w:val="105"/>
        </w:rPr>
        <w:t>Contingencies and</w:t>
      </w:r>
      <w:r>
        <w:rPr>
          <w:spacing w:val="-2"/>
          <w:w w:val="105"/>
        </w:rPr>
        <w:t> </w:t>
      </w:r>
      <w:r>
        <w:rPr>
          <w:w w:val="105"/>
        </w:rPr>
        <w:t>Guarantees)</w:t>
      </w:r>
      <w:r>
        <w:rPr>
          <w:spacing w:val="-2"/>
          <w:w w:val="105"/>
        </w:rPr>
        <w:t> </w:t>
      </w:r>
      <w:r>
        <w:rPr>
          <w:w w:val="105"/>
        </w:rPr>
        <w:t>to</w:t>
      </w:r>
      <w:r>
        <w:rPr>
          <w:spacing w:val="-2"/>
          <w:w w:val="105"/>
        </w:rPr>
        <w:t> </w:t>
      </w:r>
      <w:r>
        <w:rPr>
          <w:w w:val="105"/>
        </w:rPr>
        <w:t>the</w:t>
      </w:r>
      <w:r>
        <w:rPr>
          <w:spacing w:val="-2"/>
          <w:w w:val="105"/>
        </w:rPr>
        <w:t> </w:t>
      </w:r>
      <w:r>
        <w:rPr>
          <w:w w:val="105"/>
        </w:rPr>
        <w:t>consolidated</w:t>
      </w:r>
      <w:r>
        <w:rPr>
          <w:spacing w:val="-2"/>
          <w:w w:val="105"/>
        </w:rPr>
        <w:t> </w:t>
      </w:r>
      <w:r>
        <w:rPr>
          <w:w w:val="105"/>
        </w:rPr>
        <w:t>financial</w:t>
      </w:r>
      <w:r>
        <w:rPr>
          <w:spacing w:val="-2"/>
          <w:w w:val="105"/>
        </w:rPr>
        <w:t> </w:t>
      </w:r>
      <w:r>
        <w:rPr>
          <w:w w:val="105"/>
        </w:rPr>
        <w:t>statements.</w:t>
      </w:r>
      <w:r>
        <w:rPr>
          <w:spacing w:val="-2"/>
          <w:w w:val="105"/>
        </w:rPr>
        <w:t> </w:t>
      </w:r>
      <w:r>
        <w:rPr>
          <w:w w:val="105"/>
        </w:rPr>
        <w:t>In</w:t>
      </w:r>
      <w:r>
        <w:rPr>
          <w:spacing w:val="-2"/>
          <w:w w:val="105"/>
        </w:rPr>
        <w:t> </w:t>
      </w:r>
      <w:r>
        <w:rPr>
          <w:w w:val="105"/>
        </w:rPr>
        <w:t>the</w:t>
      </w:r>
      <w:r>
        <w:rPr>
          <w:spacing w:val="-2"/>
          <w:w w:val="105"/>
        </w:rPr>
        <w:t> </w:t>
      </w:r>
      <w:r>
        <w:rPr>
          <w:w w:val="105"/>
        </w:rPr>
        <w:t>opinion</w:t>
      </w:r>
      <w:r>
        <w:rPr>
          <w:spacing w:val="-2"/>
          <w:w w:val="105"/>
        </w:rPr>
        <w:t> </w:t>
      </w:r>
      <w:r>
        <w:rPr>
          <w:w w:val="105"/>
        </w:rPr>
        <w:t>of</w:t>
      </w:r>
      <w:r>
        <w:rPr>
          <w:spacing w:val="-2"/>
          <w:w w:val="105"/>
        </w:rPr>
        <w:t> </w:t>
      </w:r>
      <w:r>
        <w:rPr>
          <w:w w:val="105"/>
        </w:rPr>
        <w:t>management,</w:t>
      </w:r>
      <w:r>
        <w:rPr>
          <w:spacing w:val="-2"/>
          <w:w w:val="105"/>
        </w:rPr>
        <w:t> </w:t>
      </w:r>
      <w:r>
        <w:rPr>
          <w:w w:val="105"/>
        </w:rPr>
        <w:t>the</w:t>
      </w:r>
      <w:r>
        <w:rPr>
          <w:spacing w:val="-2"/>
          <w:w w:val="105"/>
        </w:rPr>
        <w:t> </w:t>
      </w:r>
      <w:r>
        <w:rPr>
          <w:w w:val="105"/>
        </w:rPr>
        <w:t>likelihood</w:t>
      </w:r>
      <w:r>
        <w:rPr>
          <w:spacing w:val="-2"/>
          <w:w w:val="105"/>
        </w:rPr>
        <w:t> </w:t>
      </w:r>
      <w:r>
        <w:rPr>
          <w:w w:val="105"/>
        </w:rPr>
        <w:t>that</w:t>
      </w:r>
      <w:r>
        <w:rPr>
          <w:spacing w:val="-2"/>
          <w:w w:val="105"/>
        </w:rPr>
        <w:t> </w:t>
      </w:r>
      <w:r>
        <w:rPr>
          <w:w w:val="105"/>
        </w:rPr>
        <w:t>the</w:t>
      </w:r>
      <w:r>
        <w:rPr>
          <w:spacing w:val="-2"/>
          <w:w w:val="105"/>
        </w:rPr>
        <w:t> </w:t>
      </w:r>
      <w:r>
        <w:rPr>
          <w:w w:val="105"/>
        </w:rPr>
        <w:t>ultimate</w:t>
      </w:r>
      <w:r>
        <w:rPr>
          <w:spacing w:val="-2"/>
          <w:w w:val="105"/>
        </w:rPr>
        <w:t> </w:t>
      </w:r>
      <w:r>
        <w:rPr>
          <w:w w:val="105"/>
        </w:rPr>
        <w:t>disposition</w:t>
      </w:r>
      <w:r>
        <w:rPr>
          <w:spacing w:val="-2"/>
          <w:w w:val="105"/>
        </w:rPr>
        <w:t> </w:t>
      </w:r>
      <w:r>
        <w:rPr>
          <w:w w:val="105"/>
        </w:rPr>
        <w:t>of these</w:t>
      </w:r>
      <w:r>
        <w:rPr>
          <w:spacing w:val="-1"/>
          <w:w w:val="105"/>
        </w:rPr>
        <w:t> </w:t>
      </w:r>
      <w:r>
        <w:rPr>
          <w:w w:val="105"/>
        </w:rPr>
        <w:t>matters</w:t>
      </w:r>
      <w:r>
        <w:rPr>
          <w:spacing w:val="-1"/>
          <w:w w:val="105"/>
        </w:rPr>
        <w:t> </w:t>
      </w:r>
      <w:r>
        <w:rPr>
          <w:w w:val="105"/>
        </w:rPr>
        <w:t>will</w:t>
      </w:r>
      <w:r>
        <w:rPr>
          <w:spacing w:val="-1"/>
          <w:w w:val="105"/>
        </w:rPr>
        <w:t> </w:t>
      </w:r>
      <w:r>
        <w:rPr>
          <w:w w:val="105"/>
        </w:rPr>
        <w:t>have</w:t>
      </w:r>
      <w:r>
        <w:rPr>
          <w:spacing w:val="-1"/>
          <w:w w:val="105"/>
        </w:rPr>
        <w:t> </w:t>
      </w:r>
      <w:r>
        <w:rPr>
          <w:w w:val="105"/>
        </w:rPr>
        <w:t>a</w:t>
      </w:r>
      <w:r>
        <w:rPr>
          <w:spacing w:val="-1"/>
          <w:w w:val="105"/>
        </w:rPr>
        <w:t> </w:t>
      </w:r>
      <w:r>
        <w:rPr>
          <w:w w:val="105"/>
        </w:rPr>
        <w:t>material</w:t>
      </w:r>
      <w:r>
        <w:rPr>
          <w:spacing w:val="-1"/>
          <w:w w:val="105"/>
        </w:rPr>
        <w:t> </w:t>
      </w:r>
      <w:r>
        <w:rPr>
          <w:w w:val="105"/>
        </w:rPr>
        <w:t>adverse</w:t>
      </w:r>
      <w:r>
        <w:rPr>
          <w:spacing w:val="-1"/>
          <w:w w:val="105"/>
        </w:rPr>
        <w:t> </w:t>
      </w:r>
      <w:r>
        <w:rPr>
          <w:w w:val="105"/>
        </w:rPr>
        <w:t>effect</w:t>
      </w:r>
      <w:r>
        <w:rPr>
          <w:spacing w:val="-1"/>
          <w:w w:val="105"/>
        </w:rPr>
        <w:t> </w:t>
      </w:r>
      <w:r>
        <w:rPr>
          <w:w w:val="105"/>
        </w:rPr>
        <w:t>on</w:t>
      </w:r>
      <w:r>
        <w:rPr>
          <w:spacing w:val="-1"/>
          <w:w w:val="105"/>
        </w:rPr>
        <w:t> </w:t>
      </w:r>
      <w:r>
        <w:rPr>
          <w:w w:val="105"/>
        </w:rPr>
        <w:t>Corning’s</w:t>
      </w:r>
      <w:r>
        <w:rPr>
          <w:spacing w:val="-1"/>
          <w:w w:val="105"/>
        </w:rPr>
        <w:t> </w:t>
      </w:r>
      <w:r>
        <w:rPr>
          <w:w w:val="105"/>
        </w:rPr>
        <w:t>consolidated</w:t>
      </w:r>
      <w:r>
        <w:rPr>
          <w:spacing w:val="-1"/>
          <w:w w:val="105"/>
        </w:rPr>
        <w:t> </w:t>
      </w:r>
      <w:r>
        <w:rPr>
          <w:w w:val="105"/>
        </w:rPr>
        <w:t>financial</w:t>
      </w:r>
      <w:r>
        <w:rPr>
          <w:spacing w:val="-1"/>
          <w:w w:val="105"/>
        </w:rPr>
        <w:t> </w:t>
      </w:r>
      <w:r>
        <w:rPr>
          <w:w w:val="105"/>
        </w:rPr>
        <w:t>position,</w:t>
      </w:r>
      <w:r>
        <w:rPr>
          <w:spacing w:val="-1"/>
          <w:w w:val="105"/>
        </w:rPr>
        <w:t> </w:t>
      </w:r>
      <w:r>
        <w:rPr>
          <w:w w:val="105"/>
        </w:rPr>
        <w:t>liquidity,</w:t>
      </w:r>
      <w:r>
        <w:rPr>
          <w:spacing w:val="-1"/>
          <w:w w:val="105"/>
        </w:rPr>
        <w:t> </w:t>
      </w:r>
      <w:r>
        <w:rPr>
          <w:w w:val="105"/>
        </w:rPr>
        <w:t>or</w:t>
      </w:r>
      <w:r>
        <w:rPr>
          <w:spacing w:val="-1"/>
          <w:w w:val="105"/>
        </w:rPr>
        <w:t> </w:t>
      </w:r>
      <w:r>
        <w:rPr>
          <w:w w:val="105"/>
        </w:rPr>
        <w:t>results</w:t>
      </w:r>
      <w:r>
        <w:rPr>
          <w:spacing w:val="-1"/>
          <w:w w:val="105"/>
        </w:rPr>
        <w:t> </w:t>
      </w:r>
      <w:r>
        <w:rPr>
          <w:w w:val="105"/>
        </w:rPr>
        <w:t>of</w:t>
      </w:r>
      <w:r>
        <w:rPr>
          <w:spacing w:val="-1"/>
          <w:w w:val="105"/>
        </w:rPr>
        <w:t> </w:t>
      </w:r>
      <w:r>
        <w:rPr>
          <w:w w:val="105"/>
        </w:rPr>
        <w:t>operations,</w:t>
      </w:r>
      <w:r>
        <w:rPr>
          <w:spacing w:val="-1"/>
          <w:w w:val="105"/>
        </w:rPr>
        <w:t> </w:t>
      </w:r>
      <w:r>
        <w:rPr>
          <w:w w:val="105"/>
        </w:rPr>
        <w:t>is</w:t>
      </w:r>
      <w:r>
        <w:rPr>
          <w:spacing w:val="-1"/>
          <w:w w:val="105"/>
        </w:rPr>
        <w:t> </w:t>
      </w:r>
      <w:r>
        <w:rPr>
          <w:w w:val="105"/>
        </w:rPr>
        <w:t>remote.</w:t>
      </w:r>
    </w:p>
    <w:p>
      <w:pPr>
        <w:pStyle w:val="BodyText"/>
        <w:spacing w:before="18"/>
      </w:pPr>
    </w:p>
    <w:p>
      <w:pPr>
        <w:pStyle w:val="Heading2"/>
        <w:spacing w:before="1"/>
      </w:pPr>
      <w:r>
        <w:rPr/>
        <w:t>Environmental</w:t>
      </w:r>
      <w:r>
        <w:rPr>
          <w:spacing w:val="31"/>
        </w:rPr>
        <w:t> </w:t>
      </w:r>
      <w:r>
        <w:rPr>
          <w:spacing w:val="-2"/>
        </w:rPr>
        <w:t>Litigation</w:t>
      </w:r>
    </w:p>
    <w:p>
      <w:pPr>
        <w:pStyle w:val="BodyText"/>
        <w:spacing w:before="39"/>
        <w:rPr>
          <w:b/>
        </w:rPr>
      </w:pPr>
    </w:p>
    <w:p>
      <w:pPr>
        <w:pStyle w:val="BodyText"/>
        <w:spacing w:line="266" w:lineRule="auto"/>
        <w:ind w:left="156"/>
      </w:pPr>
      <w:r>
        <w:rPr>
          <w:w w:val="105"/>
        </w:rPr>
        <w:t>Corning</w:t>
      </w:r>
      <w:r>
        <w:rPr>
          <w:spacing w:val="-2"/>
          <w:w w:val="105"/>
        </w:rPr>
        <w:t> </w:t>
      </w:r>
      <w:r>
        <w:rPr>
          <w:w w:val="105"/>
        </w:rPr>
        <w:t>has</w:t>
      </w:r>
      <w:r>
        <w:rPr>
          <w:spacing w:val="-2"/>
          <w:w w:val="105"/>
        </w:rPr>
        <w:t> </w:t>
      </w:r>
      <w:r>
        <w:rPr>
          <w:w w:val="105"/>
        </w:rPr>
        <w:t>been</w:t>
      </w:r>
      <w:r>
        <w:rPr>
          <w:spacing w:val="-2"/>
          <w:w w:val="105"/>
        </w:rPr>
        <w:t> </w:t>
      </w:r>
      <w:r>
        <w:rPr>
          <w:w w:val="105"/>
        </w:rPr>
        <w:t>named</w:t>
      </w:r>
      <w:r>
        <w:rPr>
          <w:spacing w:val="-2"/>
          <w:w w:val="105"/>
        </w:rPr>
        <w:t> </w:t>
      </w:r>
      <w:r>
        <w:rPr>
          <w:w w:val="105"/>
        </w:rPr>
        <w:t>by</w:t>
      </w:r>
      <w:r>
        <w:rPr>
          <w:spacing w:val="-2"/>
          <w:w w:val="105"/>
        </w:rPr>
        <w:t> </w:t>
      </w:r>
      <w:r>
        <w:rPr>
          <w:w w:val="105"/>
        </w:rPr>
        <w:t>the</w:t>
      </w:r>
      <w:r>
        <w:rPr>
          <w:spacing w:val="-2"/>
          <w:w w:val="105"/>
        </w:rPr>
        <w:t> </w:t>
      </w:r>
      <w:r>
        <w:rPr>
          <w:w w:val="105"/>
        </w:rPr>
        <w:t>Environmental</w:t>
      </w:r>
      <w:r>
        <w:rPr>
          <w:spacing w:val="-2"/>
          <w:w w:val="105"/>
        </w:rPr>
        <w:t> </w:t>
      </w:r>
      <w:r>
        <w:rPr>
          <w:w w:val="105"/>
        </w:rPr>
        <w:t>Protection</w:t>
      </w:r>
      <w:r>
        <w:rPr>
          <w:spacing w:val="-2"/>
          <w:w w:val="105"/>
        </w:rPr>
        <w:t> </w:t>
      </w:r>
      <w:r>
        <w:rPr>
          <w:w w:val="105"/>
        </w:rPr>
        <w:t>Agency</w:t>
      </w:r>
      <w:r>
        <w:rPr>
          <w:spacing w:val="-2"/>
          <w:w w:val="105"/>
        </w:rPr>
        <w:t> </w:t>
      </w:r>
      <w:r>
        <w:rPr>
          <w:w w:val="105"/>
        </w:rPr>
        <w:t>(the</w:t>
      </w:r>
      <w:r>
        <w:rPr>
          <w:spacing w:val="-2"/>
          <w:w w:val="105"/>
        </w:rPr>
        <w:t> </w:t>
      </w:r>
      <w:r>
        <w:rPr>
          <w:w w:val="105"/>
        </w:rPr>
        <w:t>Agency)</w:t>
      </w:r>
      <w:r>
        <w:rPr>
          <w:spacing w:val="-2"/>
          <w:w w:val="105"/>
        </w:rPr>
        <w:t> </w:t>
      </w:r>
      <w:r>
        <w:rPr>
          <w:w w:val="105"/>
        </w:rPr>
        <w:t>under</w:t>
      </w:r>
      <w:r>
        <w:rPr>
          <w:spacing w:val="-2"/>
          <w:w w:val="105"/>
        </w:rPr>
        <w:t> </w:t>
      </w:r>
      <w:r>
        <w:rPr>
          <w:w w:val="105"/>
        </w:rPr>
        <w:t>the</w:t>
      </w:r>
      <w:r>
        <w:rPr>
          <w:spacing w:val="-2"/>
          <w:w w:val="105"/>
        </w:rPr>
        <w:t> </w:t>
      </w:r>
      <w:r>
        <w:rPr>
          <w:w w:val="105"/>
        </w:rPr>
        <w:t>Superfund</w:t>
      </w:r>
      <w:r>
        <w:rPr>
          <w:spacing w:val="-2"/>
          <w:w w:val="105"/>
        </w:rPr>
        <w:t> </w:t>
      </w:r>
      <w:r>
        <w:rPr>
          <w:w w:val="105"/>
        </w:rPr>
        <w:t>Act,</w:t>
      </w:r>
      <w:r>
        <w:rPr>
          <w:spacing w:val="-2"/>
          <w:w w:val="105"/>
        </w:rPr>
        <w:t> </w:t>
      </w:r>
      <w:r>
        <w:rPr>
          <w:w w:val="105"/>
        </w:rPr>
        <w:t>or</w:t>
      </w:r>
      <w:r>
        <w:rPr>
          <w:spacing w:val="-2"/>
          <w:w w:val="105"/>
        </w:rPr>
        <w:t> </w:t>
      </w:r>
      <w:r>
        <w:rPr>
          <w:w w:val="105"/>
        </w:rPr>
        <w:t>by</w:t>
      </w:r>
      <w:r>
        <w:rPr>
          <w:spacing w:val="-2"/>
          <w:w w:val="105"/>
        </w:rPr>
        <w:t> </w:t>
      </w:r>
      <w:r>
        <w:rPr>
          <w:w w:val="105"/>
        </w:rPr>
        <w:t>state</w:t>
      </w:r>
      <w:r>
        <w:rPr>
          <w:spacing w:val="-2"/>
          <w:w w:val="105"/>
        </w:rPr>
        <w:t> </w:t>
      </w:r>
      <w:r>
        <w:rPr>
          <w:w w:val="105"/>
        </w:rPr>
        <w:t>governments</w:t>
      </w:r>
      <w:r>
        <w:rPr>
          <w:spacing w:val="-2"/>
          <w:w w:val="105"/>
        </w:rPr>
        <w:t> </w:t>
      </w:r>
      <w:r>
        <w:rPr>
          <w:w w:val="105"/>
        </w:rPr>
        <w:t>under</w:t>
      </w:r>
      <w:r>
        <w:rPr>
          <w:spacing w:val="-2"/>
          <w:w w:val="105"/>
        </w:rPr>
        <w:t> </w:t>
      </w:r>
      <w:r>
        <w:rPr>
          <w:w w:val="105"/>
        </w:rPr>
        <w:t>similar</w:t>
      </w:r>
      <w:r>
        <w:rPr>
          <w:spacing w:val="-2"/>
          <w:w w:val="105"/>
        </w:rPr>
        <w:t> </w:t>
      </w:r>
      <w:r>
        <w:rPr>
          <w:w w:val="105"/>
        </w:rPr>
        <w:t>state</w:t>
      </w:r>
      <w:r>
        <w:rPr>
          <w:spacing w:val="-2"/>
          <w:w w:val="105"/>
        </w:rPr>
        <w:t> </w:t>
      </w:r>
      <w:r>
        <w:rPr>
          <w:w w:val="105"/>
        </w:rPr>
        <w:t>laws,</w:t>
      </w:r>
      <w:r>
        <w:rPr>
          <w:spacing w:val="-2"/>
          <w:w w:val="105"/>
        </w:rPr>
        <w:t> </w:t>
      </w:r>
      <w:r>
        <w:rPr>
          <w:w w:val="105"/>
        </w:rPr>
        <w:t>as</w:t>
      </w:r>
      <w:r>
        <w:rPr>
          <w:spacing w:val="-2"/>
          <w:w w:val="105"/>
        </w:rPr>
        <w:t> </w:t>
      </w:r>
      <w:r>
        <w:rPr>
          <w:w w:val="105"/>
        </w:rPr>
        <w:t>a</w:t>
      </w:r>
      <w:r>
        <w:rPr>
          <w:spacing w:val="-2"/>
          <w:w w:val="105"/>
        </w:rPr>
        <w:t> </w:t>
      </w:r>
      <w:r>
        <w:rPr>
          <w:w w:val="105"/>
        </w:rPr>
        <w:t>potentially responsible</w:t>
      </w:r>
      <w:r>
        <w:rPr>
          <w:spacing w:val="-2"/>
          <w:w w:val="105"/>
        </w:rPr>
        <w:t> </w:t>
      </w:r>
      <w:r>
        <w:rPr>
          <w:w w:val="105"/>
        </w:rPr>
        <w:t>party</w:t>
      </w:r>
      <w:r>
        <w:rPr>
          <w:spacing w:val="-2"/>
          <w:w w:val="105"/>
        </w:rPr>
        <w:t> </w:t>
      </w:r>
      <w:r>
        <w:rPr>
          <w:w w:val="105"/>
        </w:rPr>
        <w:t>for</w:t>
      </w:r>
      <w:r>
        <w:rPr>
          <w:spacing w:val="-2"/>
          <w:w w:val="105"/>
        </w:rPr>
        <w:t> </w:t>
      </w:r>
      <w:r>
        <w:rPr>
          <w:w w:val="105"/>
        </w:rPr>
        <w:t>15</w:t>
      </w:r>
      <w:r>
        <w:rPr>
          <w:spacing w:val="-2"/>
          <w:w w:val="105"/>
        </w:rPr>
        <w:t> </w:t>
      </w:r>
      <w:r>
        <w:rPr>
          <w:w w:val="105"/>
        </w:rPr>
        <w:t>active</w:t>
      </w:r>
      <w:r>
        <w:rPr>
          <w:spacing w:val="-2"/>
          <w:w w:val="105"/>
        </w:rPr>
        <w:t> </w:t>
      </w:r>
      <w:r>
        <w:rPr>
          <w:w w:val="105"/>
        </w:rPr>
        <w:t>hazardous</w:t>
      </w:r>
      <w:r>
        <w:rPr>
          <w:spacing w:val="-2"/>
          <w:w w:val="105"/>
        </w:rPr>
        <w:t> </w:t>
      </w:r>
      <w:r>
        <w:rPr>
          <w:w w:val="105"/>
        </w:rPr>
        <w:t>waste</w:t>
      </w:r>
      <w:r>
        <w:rPr>
          <w:spacing w:val="-2"/>
          <w:w w:val="105"/>
        </w:rPr>
        <w:t> </w:t>
      </w:r>
      <w:r>
        <w:rPr>
          <w:w w:val="105"/>
        </w:rPr>
        <w:t>sites.</w:t>
      </w:r>
      <w:r>
        <w:rPr>
          <w:spacing w:val="-2"/>
          <w:w w:val="105"/>
        </w:rPr>
        <w:t> </w:t>
      </w:r>
      <w:r>
        <w:rPr>
          <w:w w:val="105"/>
        </w:rPr>
        <w:t>Under the</w:t>
      </w:r>
      <w:r>
        <w:rPr>
          <w:spacing w:val="-2"/>
          <w:w w:val="105"/>
        </w:rPr>
        <w:t> </w:t>
      </w:r>
      <w:r>
        <w:rPr>
          <w:w w:val="105"/>
        </w:rPr>
        <w:t>Superfund</w:t>
      </w:r>
      <w:r>
        <w:rPr>
          <w:spacing w:val="-2"/>
          <w:w w:val="105"/>
        </w:rPr>
        <w:t> </w:t>
      </w:r>
      <w:r>
        <w:rPr>
          <w:w w:val="105"/>
        </w:rPr>
        <w:t>Act,</w:t>
      </w:r>
      <w:r>
        <w:rPr>
          <w:spacing w:val="-2"/>
          <w:w w:val="105"/>
        </w:rPr>
        <w:t> </w:t>
      </w:r>
      <w:r>
        <w:rPr>
          <w:w w:val="105"/>
        </w:rPr>
        <w:t>all</w:t>
      </w:r>
      <w:r>
        <w:rPr>
          <w:spacing w:val="-2"/>
          <w:w w:val="105"/>
        </w:rPr>
        <w:t> </w:t>
      </w:r>
      <w:r>
        <w:rPr>
          <w:w w:val="105"/>
        </w:rPr>
        <w:t>parties</w:t>
      </w:r>
      <w:r>
        <w:rPr>
          <w:spacing w:val="-2"/>
          <w:w w:val="105"/>
        </w:rPr>
        <w:t> </w:t>
      </w:r>
      <w:r>
        <w:rPr>
          <w:w w:val="105"/>
        </w:rPr>
        <w:t>who</w:t>
      </w:r>
      <w:r>
        <w:rPr>
          <w:spacing w:val="-2"/>
          <w:w w:val="105"/>
        </w:rPr>
        <w:t> </w:t>
      </w:r>
      <w:r>
        <w:rPr>
          <w:w w:val="105"/>
        </w:rPr>
        <w:t>may</w:t>
      </w:r>
      <w:r>
        <w:rPr>
          <w:spacing w:val="-2"/>
          <w:w w:val="105"/>
        </w:rPr>
        <w:t> </w:t>
      </w:r>
      <w:r>
        <w:rPr>
          <w:w w:val="105"/>
        </w:rPr>
        <w:t>have</w:t>
      </w:r>
      <w:r>
        <w:rPr>
          <w:spacing w:val="-2"/>
          <w:w w:val="105"/>
        </w:rPr>
        <w:t> </w:t>
      </w:r>
      <w:r>
        <w:rPr>
          <w:w w:val="105"/>
        </w:rPr>
        <w:t>contributed</w:t>
      </w:r>
      <w:r>
        <w:rPr>
          <w:spacing w:val="-2"/>
          <w:w w:val="105"/>
        </w:rPr>
        <w:t> </w:t>
      </w:r>
      <w:r>
        <w:rPr>
          <w:w w:val="105"/>
        </w:rPr>
        <w:t>any</w:t>
      </w:r>
      <w:r>
        <w:rPr>
          <w:spacing w:val="-2"/>
          <w:w w:val="105"/>
        </w:rPr>
        <w:t> </w:t>
      </w:r>
      <w:r>
        <w:rPr>
          <w:w w:val="105"/>
        </w:rPr>
        <w:t>waste</w:t>
      </w:r>
      <w:r>
        <w:rPr>
          <w:spacing w:val="-2"/>
          <w:w w:val="105"/>
        </w:rPr>
        <w:t> </w:t>
      </w:r>
      <w:r>
        <w:rPr>
          <w:w w:val="105"/>
        </w:rPr>
        <w:t>to a</w:t>
      </w:r>
      <w:r>
        <w:rPr>
          <w:spacing w:val="-2"/>
          <w:w w:val="105"/>
        </w:rPr>
        <w:t> </w:t>
      </w:r>
      <w:r>
        <w:rPr>
          <w:w w:val="105"/>
        </w:rPr>
        <w:t>hazardous</w:t>
      </w:r>
      <w:r>
        <w:rPr>
          <w:spacing w:val="-2"/>
          <w:w w:val="105"/>
        </w:rPr>
        <w:t> </w:t>
      </w:r>
      <w:r>
        <w:rPr>
          <w:w w:val="105"/>
        </w:rPr>
        <w:t>waste</w:t>
      </w:r>
      <w:r>
        <w:rPr>
          <w:spacing w:val="-2"/>
          <w:w w:val="105"/>
        </w:rPr>
        <w:t> </w:t>
      </w:r>
      <w:r>
        <w:rPr>
          <w:w w:val="105"/>
        </w:rPr>
        <w:t>site,</w:t>
      </w:r>
      <w:r>
        <w:rPr>
          <w:spacing w:val="-2"/>
          <w:w w:val="105"/>
        </w:rPr>
        <w:t> </w:t>
      </w:r>
      <w:r>
        <w:rPr>
          <w:w w:val="105"/>
        </w:rPr>
        <w:t>identified</w:t>
      </w:r>
      <w:r>
        <w:rPr>
          <w:spacing w:val="-2"/>
          <w:w w:val="105"/>
        </w:rPr>
        <w:t> </w:t>
      </w:r>
      <w:r>
        <w:rPr>
          <w:w w:val="105"/>
        </w:rPr>
        <w:t>by</w:t>
      </w:r>
      <w:r>
        <w:rPr>
          <w:spacing w:val="-2"/>
          <w:w w:val="105"/>
        </w:rPr>
        <w:t> </w:t>
      </w:r>
      <w:r>
        <w:rPr>
          <w:w w:val="105"/>
        </w:rPr>
        <w:t>the Agency,</w:t>
      </w:r>
      <w:r>
        <w:rPr>
          <w:spacing w:val="-2"/>
          <w:w w:val="105"/>
        </w:rPr>
        <w:t> </w:t>
      </w:r>
      <w:r>
        <w:rPr>
          <w:w w:val="105"/>
        </w:rPr>
        <w:t>are</w:t>
      </w:r>
      <w:r>
        <w:rPr>
          <w:spacing w:val="-2"/>
          <w:w w:val="105"/>
        </w:rPr>
        <w:t> </w:t>
      </w:r>
      <w:r>
        <w:rPr>
          <w:w w:val="105"/>
        </w:rPr>
        <w:t>jointly</w:t>
      </w:r>
      <w:r>
        <w:rPr>
          <w:spacing w:val="-2"/>
          <w:w w:val="105"/>
        </w:rPr>
        <w:t> </w:t>
      </w:r>
      <w:r>
        <w:rPr>
          <w:w w:val="105"/>
        </w:rPr>
        <w:t>and</w:t>
      </w:r>
      <w:r>
        <w:rPr>
          <w:spacing w:val="-2"/>
          <w:w w:val="105"/>
        </w:rPr>
        <w:t> </w:t>
      </w:r>
      <w:r>
        <w:rPr>
          <w:w w:val="105"/>
        </w:rPr>
        <w:t>severally</w:t>
      </w:r>
      <w:r>
        <w:rPr>
          <w:spacing w:val="-2"/>
          <w:w w:val="105"/>
        </w:rPr>
        <w:t> </w:t>
      </w:r>
      <w:r>
        <w:rPr>
          <w:w w:val="105"/>
        </w:rPr>
        <w:t>liable</w:t>
      </w:r>
      <w:r>
        <w:rPr>
          <w:spacing w:val="-2"/>
          <w:w w:val="105"/>
        </w:rPr>
        <w:t> </w:t>
      </w:r>
      <w:r>
        <w:rPr>
          <w:w w:val="105"/>
        </w:rPr>
        <w:t>for</w:t>
      </w:r>
      <w:r>
        <w:rPr>
          <w:spacing w:val="-2"/>
          <w:w w:val="105"/>
        </w:rPr>
        <w:t> </w:t>
      </w:r>
      <w:r>
        <w:rPr>
          <w:w w:val="105"/>
        </w:rPr>
        <w:t>the</w:t>
      </w:r>
      <w:r>
        <w:rPr>
          <w:spacing w:val="-2"/>
          <w:w w:val="105"/>
        </w:rPr>
        <w:t> </w:t>
      </w:r>
      <w:r>
        <w:rPr>
          <w:w w:val="105"/>
        </w:rPr>
        <w:t>cost</w:t>
      </w:r>
      <w:r>
        <w:rPr>
          <w:spacing w:val="-2"/>
          <w:w w:val="105"/>
        </w:rPr>
        <w:t> </w:t>
      </w:r>
      <w:r>
        <w:rPr>
          <w:w w:val="105"/>
        </w:rPr>
        <w:t>of</w:t>
      </w:r>
      <w:r>
        <w:rPr>
          <w:spacing w:val="-2"/>
          <w:w w:val="105"/>
        </w:rPr>
        <w:t> </w:t>
      </w:r>
      <w:r>
        <w:rPr>
          <w:w w:val="105"/>
        </w:rPr>
        <w:t>cleanup</w:t>
      </w:r>
      <w:r>
        <w:rPr>
          <w:spacing w:val="-2"/>
          <w:w w:val="105"/>
        </w:rPr>
        <w:t> </w:t>
      </w:r>
      <w:r>
        <w:rPr>
          <w:w w:val="105"/>
        </w:rPr>
        <w:t>unless</w:t>
      </w:r>
      <w:r>
        <w:rPr>
          <w:spacing w:val="-2"/>
          <w:w w:val="105"/>
        </w:rPr>
        <w:t> </w:t>
      </w:r>
      <w:r>
        <w:rPr>
          <w:w w:val="105"/>
        </w:rPr>
        <w:t>the</w:t>
      </w:r>
      <w:r>
        <w:rPr>
          <w:spacing w:val="-2"/>
          <w:w w:val="105"/>
        </w:rPr>
        <w:t> </w:t>
      </w:r>
      <w:r>
        <w:rPr>
          <w:w w:val="105"/>
        </w:rPr>
        <w:t>Agency</w:t>
      </w:r>
      <w:r>
        <w:rPr>
          <w:spacing w:val="-2"/>
          <w:w w:val="105"/>
        </w:rPr>
        <w:t> </w:t>
      </w:r>
      <w:r>
        <w:rPr>
          <w:w w:val="105"/>
        </w:rPr>
        <w:t>agrees</w:t>
      </w:r>
      <w:r>
        <w:rPr>
          <w:spacing w:val="-2"/>
          <w:w w:val="105"/>
        </w:rPr>
        <w:t> </w:t>
      </w:r>
      <w:r>
        <w:rPr>
          <w:w w:val="105"/>
        </w:rPr>
        <w:t>otherwise.</w:t>
      </w:r>
      <w:r>
        <w:rPr>
          <w:spacing w:val="-2"/>
          <w:w w:val="105"/>
        </w:rPr>
        <w:t> </w:t>
      </w:r>
      <w:r>
        <w:rPr>
          <w:w w:val="105"/>
        </w:rPr>
        <w:t>It</w:t>
      </w:r>
      <w:r>
        <w:rPr>
          <w:spacing w:val="-2"/>
          <w:w w:val="105"/>
        </w:rPr>
        <w:t> </w:t>
      </w:r>
      <w:r>
        <w:rPr>
          <w:w w:val="105"/>
        </w:rPr>
        <w:t>is</w:t>
      </w:r>
      <w:r>
        <w:rPr>
          <w:spacing w:val="-2"/>
          <w:w w:val="105"/>
        </w:rPr>
        <w:t> </w:t>
      </w:r>
      <w:r>
        <w:rPr>
          <w:w w:val="105"/>
        </w:rPr>
        <w:t>Corning’s</w:t>
      </w:r>
      <w:r>
        <w:rPr>
          <w:spacing w:val="-2"/>
          <w:w w:val="105"/>
        </w:rPr>
        <w:t> </w:t>
      </w:r>
      <w:r>
        <w:rPr>
          <w:w w:val="105"/>
        </w:rPr>
        <w:t>policy</w:t>
      </w:r>
      <w:r>
        <w:rPr>
          <w:spacing w:val="-2"/>
          <w:w w:val="105"/>
        </w:rPr>
        <w:t> </w:t>
      </w:r>
      <w:r>
        <w:rPr>
          <w:w w:val="105"/>
        </w:rPr>
        <w:t>to</w:t>
      </w:r>
      <w:r>
        <w:rPr>
          <w:spacing w:val="-2"/>
          <w:w w:val="105"/>
        </w:rPr>
        <w:t> </w:t>
      </w:r>
      <w:r>
        <w:rPr>
          <w:w w:val="105"/>
        </w:rPr>
        <w:t>accrue</w:t>
      </w:r>
      <w:r>
        <w:rPr>
          <w:spacing w:val="-2"/>
          <w:w w:val="105"/>
        </w:rPr>
        <w:t> </w:t>
      </w:r>
      <w:r>
        <w:rPr>
          <w:w w:val="105"/>
        </w:rPr>
        <w:t>for</w:t>
      </w:r>
      <w:r>
        <w:rPr>
          <w:spacing w:val="-2"/>
          <w:w w:val="105"/>
        </w:rPr>
        <w:t> </w:t>
      </w:r>
      <w:r>
        <w:rPr>
          <w:w w:val="105"/>
        </w:rPr>
        <w:t>its</w:t>
      </w:r>
      <w:r>
        <w:rPr>
          <w:spacing w:val="-2"/>
          <w:w w:val="105"/>
        </w:rPr>
        <w:t> </w:t>
      </w:r>
      <w:r>
        <w:rPr>
          <w:w w:val="105"/>
        </w:rPr>
        <w:t>estimated</w:t>
      </w:r>
      <w:r>
        <w:rPr>
          <w:spacing w:val="-2"/>
          <w:w w:val="105"/>
        </w:rPr>
        <w:t> </w:t>
      </w:r>
      <w:r>
        <w:rPr>
          <w:w w:val="105"/>
        </w:rPr>
        <w:t>liability</w:t>
      </w:r>
      <w:r>
        <w:rPr>
          <w:spacing w:val="-2"/>
          <w:w w:val="105"/>
        </w:rPr>
        <w:t> </w:t>
      </w:r>
      <w:r>
        <w:rPr>
          <w:w w:val="105"/>
        </w:rPr>
        <w:t>related</w:t>
      </w:r>
      <w:r>
        <w:rPr>
          <w:spacing w:val="-2"/>
          <w:w w:val="105"/>
        </w:rPr>
        <w:t> </w:t>
      </w:r>
      <w:r>
        <w:rPr>
          <w:w w:val="105"/>
        </w:rPr>
        <w:t>to Superfund</w:t>
      </w:r>
      <w:r>
        <w:rPr>
          <w:spacing w:val="-2"/>
          <w:w w:val="105"/>
        </w:rPr>
        <w:t> </w:t>
      </w:r>
      <w:r>
        <w:rPr>
          <w:w w:val="105"/>
        </w:rPr>
        <w:t>sites</w:t>
      </w:r>
      <w:r>
        <w:rPr>
          <w:spacing w:val="-2"/>
          <w:w w:val="105"/>
        </w:rPr>
        <w:t> </w:t>
      </w:r>
      <w:r>
        <w:rPr>
          <w:w w:val="105"/>
        </w:rPr>
        <w:t>and</w:t>
      </w:r>
      <w:r>
        <w:rPr>
          <w:spacing w:val="-2"/>
          <w:w w:val="105"/>
        </w:rPr>
        <w:t> </w:t>
      </w:r>
      <w:r>
        <w:rPr>
          <w:w w:val="105"/>
        </w:rPr>
        <w:t>other</w:t>
      </w:r>
      <w:r>
        <w:rPr>
          <w:spacing w:val="-2"/>
          <w:w w:val="105"/>
        </w:rPr>
        <w:t> </w:t>
      </w:r>
      <w:r>
        <w:rPr>
          <w:w w:val="105"/>
        </w:rPr>
        <w:t>environmental</w:t>
      </w:r>
      <w:r>
        <w:rPr>
          <w:spacing w:val="-2"/>
          <w:w w:val="105"/>
        </w:rPr>
        <w:t> </w:t>
      </w:r>
      <w:r>
        <w:rPr>
          <w:w w:val="105"/>
        </w:rPr>
        <w:t>liabilities</w:t>
      </w:r>
      <w:r>
        <w:rPr>
          <w:spacing w:val="-2"/>
          <w:w w:val="105"/>
        </w:rPr>
        <w:t> </w:t>
      </w:r>
      <w:r>
        <w:rPr>
          <w:w w:val="105"/>
        </w:rPr>
        <w:t>related</w:t>
      </w:r>
      <w:r>
        <w:rPr>
          <w:spacing w:val="-2"/>
          <w:w w:val="105"/>
        </w:rPr>
        <w:t> </w:t>
      </w:r>
      <w:r>
        <w:rPr>
          <w:w w:val="105"/>
        </w:rPr>
        <w:t>to</w:t>
      </w:r>
      <w:r>
        <w:rPr>
          <w:spacing w:val="-2"/>
          <w:w w:val="105"/>
        </w:rPr>
        <w:t> </w:t>
      </w:r>
      <w:r>
        <w:rPr>
          <w:w w:val="105"/>
        </w:rPr>
        <w:t>property</w:t>
      </w:r>
      <w:r>
        <w:rPr>
          <w:spacing w:val="-2"/>
          <w:w w:val="105"/>
        </w:rPr>
        <w:t> </w:t>
      </w:r>
      <w:r>
        <w:rPr>
          <w:w w:val="105"/>
        </w:rPr>
        <w:t>owned</w:t>
      </w:r>
      <w:r>
        <w:rPr>
          <w:spacing w:val="-2"/>
          <w:w w:val="105"/>
        </w:rPr>
        <w:t> </w:t>
      </w:r>
      <w:r>
        <w:rPr>
          <w:w w:val="105"/>
        </w:rPr>
        <w:t>by</w:t>
      </w:r>
      <w:r>
        <w:rPr>
          <w:spacing w:val="-2"/>
          <w:w w:val="105"/>
        </w:rPr>
        <w:t> </w:t>
      </w:r>
      <w:r>
        <w:rPr>
          <w:w w:val="105"/>
        </w:rPr>
        <w:t>Corning</w:t>
      </w:r>
      <w:r>
        <w:rPr>
          <w:spacing w:val="-2"/>
          <w:w w:val="105"/>
        </w:rPr>
        <w:t> </w:t>
      </w:r>
      <w:r>
        <w:rPr>
          <w:w w:val="105"/>
        </w:rPr>
        <w:t>based</w:t>
      </w:r>
      <w:r>
        <w:rPr>
          <w:spacing w:val="-2"/>
          <w:w w:val="105"/>
        </w:rPr>
        <w:t> </w:t>
      </w:r>
      <w:r>
        <w:rPr>
          <w:w w:val="105"/>
        </w:rPr>
        <w:t>on</w:t>
      </w:r>
      <w:r>
        <w:rPr>
          <w:spacing w:val="-2"/>
          <w:w w:val="105"/>
        </w:rPr>
        <w:t> </w:t>
      </w:r>
      <w:r>
        <w:rPr>
          <w:w w:val="105"/>
        </w:rPr>
        <w:t>expert</w:t>
      </w:r>
      <w:r>
        <w:rPr>
          <w:spacing w:val="-2"/>
          <w:w w:val="105"/>
        </w:rPr>
        <w:t> </w:t>
      </w:r>
      <w:r>
        <w:rPr>
          <w:w w:val="105"/>
        </w:rPr>
        <w:t>analysis</w:t>
      </w:r>
      <w:r>
        <w:rPr>
          <w:spacing w:val="-2"/>
          <w:w w:val="105"/>
        </w:rPr>
        <w:t> </w:t>
      </w:r>
      <w:r>
        <w:rPr>
          <w:w w:val="105"/>
        </w:rPr>
        <w:t>and</w:t>
      </w:r>
      <w:r>
        <w:rPr>
          <w:spacing w:val="-2"/>
          <w:w w:val="105"/>
        </w:rPr>
        <w:t> </w:t>
      </w:r>
      <w:r>
        <w:rPr>
          <w:w w:val="105"/>
        </w:rPr>
        <w:t>continual</w:t>
      </w:r>
      <w:r>
        <w:rPr>
          <w:spacing w:val="-2"/>
          <w:w w:val="105"/>
        </w:rPr>
        <w:t> </w:t>
      </w:r>
      <w:r>
        <w:rPr>
          <w:w w:val="105"/>
        </w:rPr>
        <w:t>monitoring</w:t>
      </w:r>
      <w:r>
        <w:rPr>
          <w:spacing w:val="-2"/>
          <w:w w:val="105"/>
        </w:rPr>
        <w:t> </w:t>
      </w:r>
      <w:r>
        <w:rPr>
          <w:w w:val="105"/>
        </w:rPr>
        <w:t>by</w:t>
      </w:r>
      <w:r>
        <w:rPr>
          <w:spacing w:val="-2"/>
          <w:w w:val="105"/>
        </w:rPr>
        <w:t> </w:t>
      </w:r>
      <w:r>
        <w:rPr>
          <w:w w:val="105"/>
        </w:rPr>
        <w:t>both</w:t>
      </w:r>
      <w:r>
        <w:rPr>
          <w:spacing w:val="-2"/>
          <w:w w:val="105"/>
        </w:rPr>
        <w:t> </w:t>
      </w:r>
      <w:r>
        <w:rPr>
          <w:w w:val="105"/>
        </w:rPr>
        <w:t>internal</w:t>
      </w:r>
      <w:r>
        <w:rPr>
          <w:spacing w:val="-2"/>
          <w:w w:val="105"/>
        </w:rPr>
        <w:t> </w:t>
      </w:r>
      <w:r>
        <w:rPr>
          <w:w w:val="105"/>
        </w:rPr>
        <w:t>and</w:t>
      </w:r>
      <w:r>
        <w:rPr>
          <w:spacing w:val="-2"/>
          <w:w w:val="105"/>
        </w:rPr>
        <w:t> </w:t>
      </w:r>
      <w:r>
        <w:rPr>
          <w:w w:val="105"/>
        </w:rPr>
        <w:t>external consultants.</w:t>
      </w:r>
      <w:r>
        <w:rPr>
          <w:spacing w:val="-10"/>
          <w:w w:val="105"/>
        </w:rPr>
        <w:t> </w:t>
      </w:r>
      <w:r>
        <w:rPr>
          <w:w w:val="105"/>
        </w:rPr>
        <w:t>At</w:t>
      </w:r>
      <w:r>
        <w:rPr>
          <w:spacing w:val="-10"/>
          <w:w w:val="105"/>
        </w:rPr>
        <w:t> </w:t>
      </w:r>
      <w:r>
        <w:rPr>
          <w:w w:val="105"/>
        </w:rPr>
        <w:t>December</w:t>
      </w:r>
      <w:r>
        <w:rPr>
          <w:spacing w:val="-10"/>
          <w:w w:val="105"/>
        </w:rPr>
        <w:t> </w:t>
      </w:r>
      <w:r>
        <w:rPr>
          <w:w w:val="105"/>
        </w:rPr>
        <w:t>31,</w:t>
      </w:r>
      <w:r>
        <w:rPr>
          <w:spacing w:val="-10"/>
          <w:w w:val="105"/>
        </w:rPr>
        <w:t> </w:t>
      </w:r>
      <w:r>
        <w:rPr>
          <w:w w:val="105"/>
        </w:rPr>
        <w:t>2021</w:t>
      </w:r>
      <w:r>
        <w:rPr>
          <w:spacing w:val="-10"/>
          <w:w w:val="105"/>
        </w:rPr>
        <w:t> </w:t>
      </w:r>
      <w:r>
        <w:rPr>
          <w:w w:val="105"/>
        </w:rPr>
        <w:t>and</w:t>
      </w:r>
      <w:r>
        <w:rPr>
          <w:spacing w:val="-10"/>
          <w:w w:val="105"/>
        </w:rPr>
        <w:t> </w:t>
      </w:r>
      <w:r>
        <w:rPr>
          <w:w w:val="105"/>
        </w:rPr>
        <w:t>2020,</w:t>
      </w:r>
      <w:r>
        <w:rPr>
          <w:spacing w:val="-10"/>
          <w:w w:val="105"/>
        </w:rPr>
        <w:t> </w:t>
      </w:r>
      <w:r>
        <w:rPr>
          <w:w w:val="105"/>
        </w:rPr>
        <w:t>Corning</w:t>
      </w:r>
      <w:r>
        <w:rPr>
          <w:spacing w:val="-10"/>
          <w:w w:val="105"/>
        </w:rPr>
        <w:t> </w:t>
      </w:r>
      <w:r>
        <w:rPr>
          <w:w w:val="105"/>
        </w:rPr>
        <w:t>had</w:t>
      </w:r>
      <w:r>
        <w:rPr>
          <w:spacing w:val="-10"/>
          <w:w w:val="105"/>
        </w:rPr>
        <w:t> </w:t>
      </w:r>
      <w:r>
        <w:rPr>
          <w:w w:val="105"/>
        </w:rPr>
        <w:t>accrued</w:t>
      </w:r>
      <w:r>
        <w:rPr>
          <w:spacing w:val="-10"/>
          <w:w w:val="105"/>
        </w:rPr>
        <w:t> </w:t>
      </w:r>
      <w:r>
        <w:rPr>
          <w:w w:val="105"/>
        </w:rPr>
        <w:t>approximately</w:t>
      </w:r>
      <w:r>
        <w:rPr>
          <w:spacing w:val="-10"/>
          <w:w w:val="105"/>
        </w:rPr>
        <w:t> </w:t>
      </w:r>
      <w:r>
        <w:rPr>
          <w:w w:val="105"/>
        </w:rPr>
        <w:t>$55</w:t>
      </w:r>
      <w:r>
        <w:rPr>
          <w:spacing w:val="-10"/>
          <w:w w:val="105"/>
        </w:rPr>
        <w:t> </w:t>
      </w:r>
      <w:r>
        <w:rPr>
          <w:w w:val="105"/>
        </w:rPr>
        <w:t>million</w:t>
      </w:r>
      <w:r>
        <w:rPr>
          <w:spacing w:val="-10"/>
          <w:w w:val="105"/>
        </w:rPr>
        <w:t> </w:t>
      </w:r>
      <w:r>
        <w:rPr>
          <w:w w:val="105"/>
        </w:rPr>
        <w:t>(undiscounted)</w:t>
      </w:r>
      <w:r>
        <w:rPr>
          <w:spacing w:val="-10"/>
          <w:w w:val="105"/>
        </w:rPr>
        <w:t> </w:t>
      </w:r>
      <w:r>
        <w:rPr>
          <w:w w:val="105"/>
        </w:rPr>
        <w:t>and</w:t>
      </w:r>
      <w:r>
        <w:rPr>
          <w:spacing w:val="-10"/>
          <w:w w:val="105"/>
        </w:rPr>
        <w:t> </w:t>
      </w:r>
      <w:r>
        <w:rPr>
          <w:w w:val="105"/>
        </w:rPr>
        <w:t>$68</w:t>
      </w:r>
      <w:r>
        <w:rPr>
          <w:spacing w:val="-8"/>
          <w:w w:val="105"/>
        </w:rPr>
        <w:t> </w:t>
      </w:r>
      <w:r>
        <w:rPr>
          <w:w w:val="105"/>
        </w:rPr>
        <w:t>million</w:t>
      </w:r>
      <w:r>
        <w:rPr>
          <w:spacing w:val="-10"/>
          <w:w w:val="105"/>
        </w:rPr>
        <w:t> </w:t>
      </w:r>
      <w:r>
        <w:rPr>
          <w:w w:val="105"/>
        </w:rPr>
        <w:t>(undiscounted),</w:t>
      </w:r>
      <w:r>
        <w:rPr>
          <w:spacing w:val="-10"/>
          <w:w w:val="105"/>
        </w:rPr>
        <w:t> </w:t>
      </w:r>
      <w:r>
        <w:rPr>
          <w:w w:val="105"/>
        </w:rPr>
        <w:t>respectively,</w:t>
      </w:r>
      <w:r>
        <w:rPr>
          <w:spacing w:val="-10"/>
          <w:w w:val="105"/>
        </w:rPr>
        <w:t> </w:t>
      </w:r>
      <w:r>
        <w:rPr>
          <w:w w:val="105"/>
        </w:rPr>
        <w:t>for</w:t>
      </w:r>
      <w:r>
        <w:rPr>
          <w:spacing w:val="-10"/>
          <w:w w:val="105"/>
        </w:rPr>
        <w:t> </w:t>
      </w:r>
      <w:r>
        <w:rPr>
          <w:w w:val="105"/>
        </w:rPr>
        <w:t>the</w:t>
      </w:r>
      <w:r>
        <w:rPr>
          <w:spacing w:val="-10"/>
          <w:w w:val="105"/>
        </w:rPr>
        <w:t> </w:t>
      </w:r>
      <w:r>
        <w:rPr>
          <w:w w:val="105"/>
        </w:rPr>
        <w:t>estimated liability</w:t>
      </w:r>
      <w:r>
        <w:rPr>
          <w:spacing w:val="-2"/>
          <w:w w:val="105"/>
        </w:rPr>
        <w:t> </w:t>
      </w:r>
      <w:r>
        <w:rPr>
          <w:w w:val="105"/>
        </w:rPr>
        <w:t>for</w:t>
      </w:r>
      <w:r>
        <w:rPr>
          <w:spacing w:val="-2"/>
          <w:w w:val="105"/>
        </w:rPr>
        <w:t> </w:t>
      </w:r>
      <w:r>
        <w:rPr>
          <w:w w:val="105"/>
        </w:rPr>
        <w:t>environmental</w:t>
      </w:r>
      <w:r>
        <w:rPr>
          <w:spacing w:val="-2"/>
          <w:w w:val="105"/>
        </w:rPr>
        <w:t> </w:t>
      </w:r>
      <w:r>
        <w:rPr>
          <w:w w:val="105"/>
        </w:rPr>
        <w:t>cleanup</w:t>
      </w:r>
      <w:r>
        <w:rPr>
          <w:spacing w:val="-2"/>
          <w:w w:val="105"/>
        </w:rPr>
        <w:t> </w:t>
      </w:r>
      <w:r>
        <w:rPr>
          <w:w w:val="105"/>
        </w:rPr>
        <w:t>and</w:t>
      </w:r>
      <w:r>
        <w:rPr>
          <w:spacing w:val="-2"/>
          <w:w w:val="105"/>
        </w:rPr>
        <w:t> </w:t>
      </w:r>
      <w:r>
        <w:rPr>
          <w:w w:val="105"/>
        </w:rPr>
        <w:t>related</w:t>
      </w:r>
      <w:r>
        <w:rPr>
          <w:spacing w:val="-2"/>
          <w:w w:val="105"/>
        </w:rPr>
        <w:t> </w:t>
      </w:r>
      <w:r>
        <w:rPr>
          <w:w w:val="105"/>
        </w:rPr>
        <w:t>litigation.</w:t>
      </w:r>
      <w:r>
        <w:rPr>
          <w:spacing w:val="-4"/>
          <w:w w:val="105"/>
        </w:rPr>
        <w:t> </w:t>
      </w:r>
      <w:r>
        <w:rPr>
          <w:w w:val="105"/>
        </w:rPr>
        <w:t>Based</w:t>
      </w:r>
      <w:r>
        <w:rPr>
          <w:spacing w:val="-2"/>
          <w:w w:val="105"/>
        </w:rPr>
        <w:t> </w:t>
      </w:r>
      <w:r>
        <w:rPr>
          <w:w w:val="105"/>
        </w:rPr>
        <w:t>upon</w:t>
      </w:r>
      <w:r>
        <w:rPr>
          <w:spacing w:val="-2"/>
          <w:w w:val="105"/>
        </w:rPr>
        <w:t> </w:t>
      </w:r>
      <w:r>
        <w:rPr>
          <w:w w:val="105"/>
        </w:rPr>
        <w:t>the</w:t>
      </w:r>
      <w:r>
        <w:rPr>
          <w:spacing w:val="-2"/>
          <w:w w:val="105"/>
        </w:rPr>
        <w:t> </w:t>
      </w:r>
      <w:r>
        <w:rPr>
          <w:w w:val="105"/>
        </w:rPr>
        <w:t>information</w:t>
      </w:r>
      <w:r>
        <w:rPr>
          <w:spacing w:val="-2"/>
          <w:w w:val="105"/>
        </w:rPr>
        <w:t> </w:t>
      </w:r>
      <w:r>
        <w:rPr>
          <w:w w:val="105"/>
        </w:rPr>
        <w:t>developed</w:t>
      </w:r>
      <w:r>
        <w:rPr>
          <w:spacing w:val="-2"/>
          <w:w w:val="105"/>
        </w:rPr>
        <w:t> </w:t>
      </w:r>
      <w:r>
        <w:rPr>
          <w:w w:val="105"/>
        </w:rPr>
        <w:t>to</w:t>
      </w:r>
      <w:r>
        <w:rPr>
          <w:spacing w:val="-2"/>
          <w:w w:val="105"/>
        </w:rPr>
        <w:t> </w:t>
      </w:r>
      <w:r>
        <w:rPr>
          <w:w w:val="105"/>
        </w:rPr>
        <w:t>date,</w:t>
      </w:r>
      <w:r>
        <w:rPr>
          <w:spacing w:val="-4"/>
          <w:w w:val="105"/>
        </w:rPr>
        <w:t> </w:t>
      </w:r>
      <w:r>
        <w:rPr>
          <w:w w:val="105"/>
        </w:rPr>
        <w:t>management</w:t>
      </w:r>
      <w:r>
        <w:rPr>
          <w:spacing w:val="-2"/>
          <w:w w:val="105"/>
        </w:rPr>
        <w:t> </w:t>
      </w:r>
      <w:r>
        <w:rPr>
          <w:w w:val="105"/>
        </w:rPr>
        <w:t>believes</w:t>
      </w:r>
      <w:r>
        <w:rPr>
          <w:spacing w:val="-2"/>
          <w:w w:val="105"/>
        </w:rPr>
        <w:t> </w:t>
      </w:r>
      <w:r>
        <w:rPr>
          <w:w w:val="105"/>
        </w:rPr>
        <w:t>that</w:t>
      </w:r>
      <w:r>
        <w:rPr>
          <w:spacing w:val="-2"/>
          <w:w w:val="105"/>
        </w:rPr>
        <w:t> </w:t>
      </w:r>
      <w:r>
        <w:rPr>
          <w:w w:val="105"/>
        </w:rPr>
        <w:t>the</w:t>
      </w:r>
      <w:r>
        <w:rPr>
          <w:spacing w:val="-2"/>
          <w:w w:val="105"/>
        </w:rPr>
        <w:t> </w:t>
      </w:r>
      <w:r>
        <w:rPr>
          <w:w w:val="105"/>
        </w:rPr>
        <w:t>accrued</w:t>
      </w:r>
      <w:r>
        <w:rPr>
          <w:spacing w:val="-2"/>
          <w:w w:val="105"/>
        </w:rPr>
        <w:t> </w:t>
      </w:r>
      <w:r>
        <w:rPr>
          <w:w w:val="105"/>
        </w:rPr>
        <w:t>reserve</w:t>
      </w:r>
      <w:r>
        <w:rPr>
          <w:spacing w:val="-2"/>
          <w:w w:val="105"/>
        </w:rPr>
        <w:t> </w:t>
      </w:r>
      <w:r>
        <w:rPr>
          <w:w w:val="105"/>
        </w:rPr>
        <w:t>is</w:t>
      </w:r>
      <w:r>
        <w:rPr>
          <w:spacing w:val="-2"/>
          <w:w w:val="105"/>
        </w:rPr>
        <w:t> </w:t>
      </w:r>
      <w:r>
        <w:rPr>
          <w:w w:val="105"/>
        </w:rPr>
        <w:t>a</w:t>
      </w:r>
      <w:r>
        <w:rPr>
          <w:spacing w:val="-2"/>
          <w:w w:val="105"/>
        </w:rPr>
        <w:t> </w:t>
      </w:r>
      <w:r>
        <w:rPr>
          <w:w w:val="105"/>
        </w:rPr>
        <w:t>reasonable estimate</w:t>
      </w:r>
      <w:r>
        <w:rPr>
          <w:spacing w:val="-1"/>
          <w:w w:val="105"/>
        </w:rPr>
        <w:t> </w:t>
      </w:r>
      <w:r>
        <w:rPr>
          <w:w w:val="105"/>
        </w:rPr>
        <w:t>of</w:t>
      </w:r>
      <w:r>
        <w:rPr>
          <w:spacing w:val="-1"/>
          <w:w w:val="105"/>
        </w:rPr>
        <w:t> </w:t>
      </w:r>
      <w:r>
        <w:rPr>
          <w:w w:val="105"/>
        </w:rPr>
        <w:t>the</w:t>
      </w:r>
      <w:r>
        <w:rPr>
          <w:spacing w:val="-1"/>
          <w:w w:val="105"/>
        </w:rPr>
        <w:t> </w:t>
      </w:r>
      <w:r>
        <w:rPr>
          <w:w w:val="105"/>
        </w:rPr>
        <w:t>Company’s liability</w:t>
      </w:r>
      <w:r>
        <w:rPr>
          <w:spacing w:val="-1"/>
          <w:w w:val="105"/>
        </w:rPr>
        <w:t> </w:t>
      </w:r>
      <w:r>
        <w:rPr>
          <w:w w:val="105"/>
        </w:rPr>
        <w:t>and</w:t>
      </w:r>
      <w:r>
        <w:rPr>
          <w:spacing w:val="-1"/>
          <w:w w:val="105"/>
        </w:rPr>
        <w:t> </w:t>
      </w:r>
      <w:r>
        <w:rPr>
          <w:w w:val="105"/>
        </w:rPr>
        <w:t>that</w:t>
      </w:r>
      <w:r>
        <w:rPr>
          <w:spacing w:val="-1"/>
          <w:w w:val="105"/>
        </w:rPr>
        <w:t> </w:t>
      </w:r>
      <w:r>
        <w:rPr>
          <w:w w:val="105"/>
        </w:rPr>
        <w:t>the risk</w:t>
      </w:r>
      <w:r>
        <w:rPr>
          <w:spacing w:val="-1"/>
          <w:w w:val="105"/>
        </w:rPr>
        <w:t> </w:t>
      </w:r>
      <w:r>
        <w:rPr>
          <w:w w:val="105"/>
        </w:rPr>
        <w:t>of</w:t>
      </w:r>
      <w:r>
        <w:rPr>
          <w:spacing w:val="-1"/>
          <w:w w:val="105"/>
        </w:rPr>
        <w:t> </w:t>
      </w:r>
      <w:r>
        <w:rPr>
          <w:w w:val="105"/>
        </w:rPr>
        <w:t>an</w:t>
      </w:r>
      <w:r>
        <w:rPr>
          <w:spacing w:val="-1"/>
          <w:w w:val="105"/>
        </w:rPr>
        <w:t> </w:t>
      </w:r>
      <w:r>
        <w:rPr>
          <w:w w:val="105"/>
        </w:rPr>
        <w:t>additional</w:t>
      </w:r>
      <w:r>
        <w:rPr>
          <w:spacing w:val="-1"/>
          <w:w w:val="105"/>
        </w:rPr>
        <w:t> </w:t>
      </w:r>
      <w:r>
        <w:rPr>
          <w:w w:val="105"/>
        </w:rPr>
        <w:t>loss</w:t>
      </w:r>
      <w:r>
        <w:rPr>
          <w:spacing w:val="-1"/>
          <w:w w:val="105"/>
        </w:rPr>
        <w:t> </w:t>
      </w:r>
      <w:r>
        <w:rPr>
          <w:w w:val="105"/>
        </w:rPr>
        <w:t>in</w:t>
      </w:r>
      <w:r>
        <w:rPr>
          <w:spacing w:val="-1"/>
          <w:w w:val="105"/>
        </w:rPr>
        <w:t> </w:t>
      </w:r>
      <w:r>
        <w:rPr>
          <w:w w:val="105"/>
        </w:rPr>
        <w:t>an amount</w:t>
      </w:r>
      <w:r>
        <w:rPr>
          <w:spacing w:val="-1"/>
          <w:w w:val="105"/>
        </w:rPr>
        <w:t> </w:t>
      </w:r>
      <w:r>
        <w:rPr>
          <w:w w:val="105"/>
        </w:rPr>
        <w:t>materially</w:t>
      </w:r>
      <w:r>
        <w:rPr>
          <w:spacing w:val="-1"/>
          <w:w w:val="105"/>
        </w:rPr>
        <w:t> </w:t>
      </w:r>
      <w:r>
        <w:rPr>
          <w:w w:val="105"/>
        </w:rPr>
        <w:t>higher</w:t>
      </w:r>
      <w:r>
        <w:rPr>
          <w:spacing w:val="-1"/>
          <w:w w:val="105"/>
        </w:rPr>
        <w:t> </w:t>
      </w:r>
      <w:r>
        <w:rPr>
          <w:w w:val="105"/>
        </w:rPr>
        <w:t>than</w:t>
      </w:r>
      <w:r>
        <w:rPr>
          <w:spacing w:val="-1"/>
          <w:w w:val="105"/>
        </w:rPr>
        <w:t> </w:t>
      </w:r>
      <w:r>
        <w:rPr>
          <w:w w:val="105"/>
        </w:rPr>
        <w:t>that</w:t>
      </w:r>
      <w:r>
        <w:rPr>
          <w:spacing w:val="-1"/>
          <w:w w:val="105"/>
        </w:rPr>
        <w:t> </w:t>
      </w:r>
      <w:r>
        <w:rPr>
          <w:w w:val="105"/>
        </w:rPr>
        <w:t>accrued</w:t>
      </w:r>
      <w:r>
        <w:rPr>
          <w:spacing w:val="-1"/>
          <w:w w:val="105"/>
        </w:rPr>
        <w:t> </w:t>
      </w:r>
      <w:r>
        <w:rPr>
          <w:w w:val="105"/>
        </w:rPr>
        <w:t>is remote.</w:t>
      </w:r>
    </w:p>
    <w:p>
      <w:pPr>
        <w:pStyle w:val="BodyText"/>
        <w:spacing w:before="17"/>
      </w:pPr>
    </w:p>
    <w:p>
      <w:pPr>
        <w:spacing w:before="0"/>
        <w:ind w:left="156" w:right="0" w:firstLine="0"/>
        <w:jc w:val="left"/>
        <w:rPr>
          <w:b/>
          <w:sz w:val="16"/>
        </w:rPr>
      </w:pPr>
      <w:r>
        <w:rPr>
          <w:b/>
          <w:w w:val="105"/>
          <w:sz w:val="16"/>
          <w:u w:val="single"/>
        </w:rPr>
        <w:t>Item</w:t>
      </w:r>
      <w:r>
        <w:rPr>
          <w:b/>
          <w:spacing w:val="-8"/>
          <w:w w:val="105"/>
          <w:sz w:val="16"/>
          <w:u w:val="single"/>
        </w:rPr>
        <w:t> </w:t>
      </w:r>
      <w:r>
        <w:rPr>
          <w:b/>
          <w:w w:val="105"/>
          <w:sz w:val="16"/>
          <w:u w:val="single"/>
        </w:rPr>
        <w:t>4.</w:t>
      </w:r>
      <w:r>
        <w:rPr>
          <w:b/>
          <w:spacing w:val="-7"/>
          <w:w w:val="105"/>
          <w:sz w:val="16"/>
          <w:u w:val="single"/>
        </w:rPr>
        <w:t> </w:t>
      </w:r>
      <w:r>
        <w:rPr>
          <w:b/>
          <w:w w:val="105"/>
          <w:sz w:val="16"/>
          <w:u w:val="single"/>
        </w:rPr>
        <w:t>Mine</w:t>
      </w:r>
      <w:r>
        <w:rPr>
          <w:b/>
          <w:spacing w:val="-7"/>
          <w:w w:val="105"/>
          <w:sz w:val="16"/>
          <w:u w:val="single"/>
        </w:rPr>
        <w:t> </w:t>
      </w:r>
      <w:r>
        <w:rPr>
          <w:b/>
          <w:w w:val="105"/>
          <w:sz w:val="16"/>
          <w:u w:val="single"/>
        </w:rPr>
        <w:t>Safety</w:t>
      </w:r>
      <w:r>
        <w:rPr>
          <w:b/>
          <w:spacing w:val="-7"/>
          <w:w w:val="105"/>
          <w:sz w:val="16"/>
          <w:u w:val="single"/>
        </w:rPr>
        <w:t> </w:t>
      </w:r>
      <w:r>
        <w:rPr>
          <w:b/>
          <w:spacing w:val="-2"/>
          <w:w w:val="105"/>
          <w:sz w:val="16"/>
          <w:u w:val="single"/>
        </w:rPr>
        <w:t>Disclosure</w:t>
      </w:r>
    </w:p>
    <w:p>
      <w:pPr>
        <w:pStyle w:val="BodyText"/>
        <w:spacing w:before="40"/>
        <w:rPr>
          <w:b/>
        </w:rPr>
      </w:pPr>
    </w:p>
    <w:p>
      <w:pPr>
        <w:pStyle w:val="BodyText"/>
        <w:ind w:left="156"/>
      </w:pPr>
      <w:r>
        <w:rPr>
          <w:spacing w:val="-2"/>
          <w:w w:val="105"/>
        </w:rPr>
        <w:t>None.</w:t>
      </w:r>
    </w:p>
    <w:p>
      <w:pPr>
        <w:pStyle w:val="BodyText"/>
        <w:spacing w:before="39"/>
      </w:pPr>
    </w:p>
    <w:p>
      <w:pPr>
        <w:pStyle w:val="BodyText"/>
        <w:spacing w:before="1"/>
        <w:ind w:left="48"/>
        <w:jc w:val="center"/>
      </w:pPr>
      <w:r>
        <w:rPr>
          <w:spacing w:val="-5"/>
          <w:w w:val="105"/>
        </w:rPr>
        <w:t>21</w:t>
      </w:r>
    </w:p>
    <w:p>
      <w:pPr>
        <w:pStyle w:val="BodyText"/>
        <w:spacing w:before="11"/>
        <w:rPr>
          <w:sz w:val="5"/>
        </w:rPr>
      </w:pPr>
      <w:r>
        <w:rPr/>
        <mc:AlternateContent>
          <mc:Choice Requires="wps">
            <w:drawing>
              <wp:anchor distT="0" distB="0" distL="0" distR="0" allowOverlap="1" layoutInCell="1" locked="0" behindDoc="1" simplePos="0" relativeHeight="487599616">
                <wp:simplePos x="0" y="0"/>
                <wp:positionH relativeFrom="page">
                  <wp:posOffset>226488</wp:posOffset>
                </wp:positionH>
                <wp:positionV relativeFrom="paragraph">
                  <wp:posOffset>58820</wp:posOffset>
                </wp:positionV>
                <wp:extent cx="7312659" cy="1651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31567pt;width:575.775087pt;height:1.273839pt;mso-position-horizontal-relative:page;mso-position-vertical-relative:paragraph;z-index:-15716864;mso-wrap-distance-left:0;mso-wrap-distance-right:0" id="docshape25"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pPr>
    </w:p>
    <w:p>
      <w:pPr>
        <w:pStyle w:val="BodyText"/>
        <w:spacing w:before="58"/>
      </w:pPr>
    </w:p>
    <w:p>
      <w:pPr>
        <w:pStyle w:val="Heading1"/>
        <w:ind w:left="48"/>
        <w:jc w:val="center"/>
      </w:pPr>
      <w:r>
        <w:rPr>
          <w:spacing w:val="-2"/>
          <w:w w:val="105"/>
        </w:rPr>
        <w:t>PART</w:t>
      </w:r>
      <w:r>
        <w:rPr>
          <w:spacing w:val="-5"/>
          <w:w w:val="105"/>
        </w:rPr>
        <w:t> II</w:t>
      </w:r>
    </w:p>
    <w:p>
      <w:pPr>
        <w:pStyle w:val="BodyText"/>
        <w:spacing w:before="39"/>
        <w:rPr>
          <w:b/>
        </w:rPr>
      </w:pPr>
    </w:p>
    <w:p>
      <w:pPr>
        <w:spacing w:before="1"/>
        <w:ind w:left="156" w:right="0" w:firstLine="0"/>
        <w:jc w:val="left"/>
        <w:rPr>
          <w:b/>
          <w:sz w:val="16"/>
        </w:rPr>
      </w:pPr>
      <w:r>
        <w:rPr>
          <w:b/>
          <w:sz w:val="16"/>
          <w:u w:val="single"/>
        </w:rPr>
        <w:t>Item</w:t>
      </w:r>
      <w:r>
        <w:rPr>
          <w:b/>
          <w:spacing w:val="13"/>
          <w:sz w:val="16"/>
          <w:u w:val="single"/>
        </w:rPr>
        <w:t> </w:t>
      </w:r>
      <w:r>
        <w:rPr>
          <w:b/>
          <w:sz w:val="16"/>
          <w:u w:val="single"/>
        </w:rPr>
        <w:t>5.</w:t>
      </w:r>
      <w:r>
        <w:rPr>
          <w:b/>
          <w:spacing w:val="13"/>
          <w:sz w:val="16"/>
          <w:u w:val="single"/>
        </w:rPr>
        <w:t> </w:t>
      </w:r>
      <w:r>
        <w:rPr>
          <w:b/>
          <w:sz w:val="16"/>
          <w:u w:val="single"/>
        </w:rPr>
        <w:t>Market</w:t>
      </w:r>
      <w:r>
        <w:rPr>
          <w:b/>
          <w:spacing w:val="13"/>
          <w:sz w:val="16"/>
          <w:u w:val="single"/>
        </w:rPr>
        <w:t> </w:t>
      </w:r>
      <w:r>
        <w:rPr>
          <w:b/>
          <w:sz w:val="16"/>
          <w:u w:val="single"/>
        </w:rPr>
        <w:t>for</w:t>
      </w:r>
      <w:r>
        <w:rPr>
          <w:b/>
          <w:spacing w:val="14"/>
          <w:sz w:val="16"/>
          <w:u w:val="single"/>
        </w:rPr>
        <w:t> </w:t>
      </w:r>
      <w:r>
        <w:rPr>
          <w:b/>
          <w:sz w:val="16"/>
          <w:u w:val="single"/>
        </w:rPr>
        <w:t>Registrant</w:t>
      </w:r>
      <w:r>
        <w:rPr>
          <w:sz w:val="16"/>
          <w:u w:val="single"/>
        </w:rPr>
        <w:t>’</w:t>
      </w:r>
      <w:r>
        <w:rPr>
          <w:b/>
          <w:sz w:val="16"/>
          <w:u w:val="single"/>
        </w:rPr>
        <w:t>s</w:t>
      </w:r>
      <w:r>
        <w:rPr>
          <w:b/>
          <w:spacing w:val="13"/>
          <w:sz w:val="16"/>
          <w:u w:val="single"/>
        </w:rPr>
        <w:t> </w:t>
      </w:r>
      <w:r>
        <w:rPr>
          <w:b/>
          <w:sz w:val="16"/>
          <w:u w:val="single"/>
        </w:rPr>
        <w:t>Common</w:t>
      </w:r>
      <w:r>
        <w:rPr>
          <w:b/>
          <w:spacing w:val="13"/>
          <w:sz w:val="16"/>
          <w:u w:val="single"/>
        </w:rPr>
        <w:t> </w:t>
      </w:r>
      <w:r>
        <w:rPr>
          <w:b/>
          <w:sz w:val="16"/>
          <w:u w:val="single"/>
        </w:rPr>
        <w:t>Equity,</w:t>
      </w:r>
      <w:r>
        <w:rPr>
          <w:b/>
          <w:spacing w:val="13"/>
          <w:sz w:val="16"/>
          <w:u w:val="single"/>
        </w:rPr>
        <w:t> </w:t>
      </w:r>
      <w:r>
        <w:rPr>
          <w:b/>
          <w:sz w:val="16"/>
          <w:u w:val="single"/>
        </w:rPr>
        <w:t>Related</w:t>
      </w:r>
      <w:r>
        <w:rPr>
          <w:b/>
          <w:spacing w:val="14"/>
          <w:sz w:val="16"/>
          <w:u w:val="single"/>
        </w:rPr>
        <w:t> </w:t>
      </w:r>
      <w:r>
        <w:rPr>
          <w:b/>
          <w:sz w:val="16"/>
          <w:u w:val="single"/>
        </w:rPr>
        <w:t>Shareholder</w:t>
      </w:r>
      <w:r>
        <w:rPr>
          <w:b/>
          <w:spacing w:val="13"/>
          <w:sz w:val="16"/>
          <w:u w:val="single"/>
        </w:rPr>
        <w:t> </w:t>
      </w:r>
      <w:r>
        <w:rPr>
          <w:b/>
          <w:sz w:val="16"/>
          <w:u w:val="single"/>
        </w:rPr>
        <w:t>Matters</w:t>
      </w:r>
      <w:r>
        <w:rPr>
          <w:b/>
          <w:spacing w:val="13"/>
          <w:sz w:val="16"/>
          <w:u w:val="single"/>
        </w:rPr>
        <w:t> </w:t>
      </w:r>
      <w:r>
        <w:rPr>
          <w:b/>
          <w:sz w:val="16"/>
          <w:u w:val="single"/>
        </w:rPr>
        <w:t>and</w:t>
      </w:r>
      <w:r>
        <w:rPr>
          <w:b/>
          <w:spacing w:val="14"/>
          <w:sz w:val="16"/>
          <w:u w:val="single"/>
        </w:rPr>
        <w:t> </w:t>
      </w:r>
      <w:r>
        <w:rPr>
          <w:b/>
          <w:sz w:val="16"/>
          <w:u w:val="single"/>
        </w:rPr>
        <w:t>Issuer</w:t>
      </w:r>
      <w:r>
        <w:rPr>
          <w:b/>
          <w:spacing w:val="13"/>
          <w:sz w:val="16"/>
          <w:u w:val="single"/>
        </w:rPr>
        <w:t> </w:t>
      </w:r>
      <w:r>
        <w:rPr>
          <w:b/>
          <w:sz w:val="16"/>
          <w:u w:val="single"/>
        </w:rPr>
        <w:t>Purchases</w:t>
      </w:r>
      <w:r>
        <w:rPr>
          <w:b/>
          <w:spacing w:val="13"/>
          <w:sz w:val="16"/>
          <w:u w:val="single"/>
        </w:rPr>
        <w:t> </w:t>
      </w:r>
      <w:r>
        <w:rPr>
          <w:b/>
          <w:sz w:val="16"/>
          <w:u w:val="single"/>
        </w:rPr>
        <w:t>of</w:t>
      </w:r>
      <w:r>
        <w:rPr>
          <w:b/>
          <w:spacing w:val="13"/>
          <w:sz w:val="16"/>
          <w:u w:val="single"/>
        </w:rPr>
        <w:t> </w:t>
      </w:r>
      <w:r>
        <w:rPr>
          <w:b/>
          <w:sz w:val="16"/>
          <w:u w:val="single"/>
        </w:rPr>
        <w:t>Equity</w:t>
      </w:r>
      <w:r>
        <w:rPr>
          <w:b/>
          <w:spacing w:val="14"/>
          <w:sz w:val="16"/>
          <w:u w:val="single"/>
        </w:rPr>
        <w:t> </w:t>
      </w:r>
      <w:r>
        <w:rPr>
          <w:b/>
          <w:spacing w:val="-2"/>
          <w:sz w:val="16"/>
          <w:u w:val="single"/>
        </w:rPr>
        <w:t>Securities</w:t>
      </w:r>
    </w:p>
    <w:p>
      <w:pPr>
        <w:pStyle w:val="BodyText"/>
        <w:spacing w:before="39"/>
        <w:rPr>
          <w:b/>
        </w:rPr>
      </w:pPr>
    </w:p>
    <w:p>
      <w:pPr>
        <w:pStyle w:val="ListParagraph"/>
        <w:numPr>
          <w:ilvl w:val="0"/>
          <w:numId w:val="6"/>
        </w:numPr>
        <w:tabs>
          <w:tab w:pos="460" w:val="left" w:leader="none"/>
          <w:tab w:pos="462" w:val="left" w:leader="none"/>
        </w:tabs>
        <w:spacing w:line="266" w:lineRule="auto" w:before="0" w:after="0"/>
        <w:ind w:left="462" w:right="489" w:hanging="306"/>
        <w:jc w:val="left"/>
        <w:rPr>
          <w:sz w:val="16"/>
        </w:rPr>
      </w:pPr>
      <w:r>
        <w:rPr>
          <w:w w:val="105"/>
          <w:sz w:val="16"/>
        </w:rPr>
        <w:t>Corning</w:t>
      </w:r>
      <w:r>
        <w:rPr>
          <w:spacing w:val="-8"/>
          <w:w w:val="105"/>
          <w:sz w:val="16"/>
        </w:rPr>
        <w:t> </w:t>
      </w:r>
      <w:r>
        <w:rPr>
          <w:w w:val="105"/>
          <w:sz w:val="16"/>
        </w:rPr>
        <w:t>Incorporated</w:t>
      </w:r>
      <w:r>
        <w:rPr>
          <w:spacing w:val="-8"/>
          <w:w w:val="105"/>
          <w:sz w:val="16"/>
        </w:rPr>
        <w:t> </w:t>
      </w:r>
      <w:r>
        <w:rPr>
          <w:w w:val="105"/>
          <w:sz w:val="16"/>
        </w:rPr>
        <w:t>common</w:t>
      </w:r>
      <w:r>
        <w:rPr>
          <w:spacing w:val="-8"/>
          <w:w w:val="105"/>
          <w:sz w:val="16"/>
        </w:rPr>
        <w:t> </w:t>
      </w:r>
      <w:r>
        <w:rPr>
          <w:w w:val="105"/>
          <w:sz w:val="16"/>
        </w:rPr>
        <w:t>stock</w:t>
      </w:r>
      <w:r>
        <w:rPr>
          <w:spacing w:val="-8"/>
          <w:w w:val="105"/>
          <w:sz w:val="16"/>
        </w:rPr>
        <w:t> </w:t>
      </w:r>
      <w:r>
        <w:rPr>
          <w:w w:val="105"/>
          <w:sz w:val="16"/>
        </w:rPr>
        <w:t>is</w:t>
      </w:r>
      <w:r>
        <w:rPr>
          <w:spacing w:val="-8"/>
          <w:w w:val="105"/>
          <w:sz w:val="16"/>
        </w:rPr>
        <w:t> </w:t>
      </w:r>
      <w:r>
        <w:rPr>
          <w:w w:val="105"/>
          <w:sz w:val="16"/>
        </w:rPr>
        <w:t>listed</w:t>
      </w:r>
      <w:r>
        <w:rPr>
          <w:spacing w:val="-8"/>
          <w:w w:val="105"/>
          <w:sz w:val="16"/>
        </w:rPr>
        <w:t> </w:t>
      </w:r>
      <w:r>
        <w:rPr>
          <w:w w:val="105"/>
          <w:sz w:val="16"/>
        </w:rPr>
        <w:t>on</w:t>
      </w:r>
      <w:r>
        <w:rPr>
          <w:spacing w:val="-8"/>
          <w:w w:val="105"/>
          <w:sz w:val="16"/>
        </w:rPr>
        <w:t> </w:t>
      </w:r>
      <w:r>
        <w:rPr>
          <w:w w:val="105"/>
          <w:sz w:val="16"/>
        </w:rPr>
        <w:t>the</w:t>
      </w:r>
      <w:r>
        <w:rPr>
          <w:spacing w:val="-8"/>
          <w:w w:val="105"/>
          <w:sz w:val="16"/>
        </w:rPr>
        <w:t> </w:t>
      </w:r>
      <w:r>
        <w:rPr>
          <w:w w:val="105"/>
          <w:sz w:val="16"/>
        </w:rPr>
        <w:t>New</w:t>
      </w:r>
      <w:r>
        <w:rPr>
          <w:spacing w:val="-8"/>
          <w:w w:val="105"/>
          <w:sz w:val="16"/>
        </w:rPr>
        <w:t> </w:t>
      </w:r>
      <w:r>
        <w:rPr>
          <w:w w:val="105"/>
          <w:sz w:val="16"/>
        </w:rPr>
        <w:t>York</w:t>
      </w:r>
      <w:r>
        <w:rPr>
          <w:spacing w:val="-8"/>
          <w:w w:val="105"/>
          <w:sz w:val="16"/>
        </w:rPr>
        <w:t> </w:t>
      </w:r>
      <w:r>
        <w:rPr>
          <w:w w:val="105"/>
          <w:sz w:val="16"/>
        </w:rPr>
        <w:t>Stock</w:t>
      </w:r>
      <w:r>
        <w:rPr>
          <w:spacing w:val="-8"/>
          <w:w w:val="105"/>
          <w:sz w:val="16"/>
        </w:rPr>
        <w:t> </w:t>
      </w:r>
      <w:r>
        <w:rPr>
          <w:w w:val="105"/>
          <w:sz w:val="16"/>
        </w:rPr>
        <w:t>Exchange.</w:t>
      </w:r>
      <w:r>
        <w:rPr>
          <w:spacing w:val="-8"/>
          <w:w w:val="105"/>
          <w:sz w:val="16"/>
        </w:rPr>
        <w:t> </w:t>
      </w:r>
      <w:r>
        <w:rPr>
          <w:w w:val="105"/>
          <w:sz w:val="16"/>
        </w:rPr>
        <w:t>In</w:t>
      </w:r>
      <w:r>
        <w:rPr>
          <w:spacing w:val="-8"/>
          <w:w w:val="105"/>
          <w:sz w:val="16"/>
        </w:rPr>
        <w:t> </w:t>
      </w:r>
      <w:r>
        <w:rPr>
          <w:w w:val="105"/>
          <w:sz w:val="16"/>
        </w:rPr>
        <w:t>addition,</w:t>
      </w:r>
      <w:r>
        <w:rPr>
          <w:spacing w:val="-8"/>
          <w:w w:val="105"/>
          <w:sz w:val="16"/>
        </w:rPr>
        <w:t> </w:t>
      </w:r>
      <w:r>
        <w:rPr>
          <w:w w:val="105"/>
          <w:sz w:val="16"/>
        </w:rPr>
        <w:t>it</w:t>
      </w:r>
      <w:r>
        <w:rPr>
          <w:spacing w:val="-8"/>
          <w:w w:val="105"/>
          <w:sz w:val="16"/>
        </w:rPr>
        <w:t> </w:t>
      </w:r>
      <w:r>
        <w:rPr>
          <w:w w:val="105"/>
          <w:sz w:val="16"/>
        </w:rPr>
        <w:t>is</w:t>
      </w:r>
      <w:r>
        <w:rPr>
          <w:spacing w:val="-8"/>
          <w:w w:val="105"/>
          <w:sz w:val="16"/>
        </w:rPr>
        <w:t> </w:t>
      </w:r>
      <w:r>
        <w:rPr>
          <w:w w:val="105"/>
          <w:sz w:val="16"/>
        </w:rPr>
        <w:t>traded</w:t>
      </w:r>
      <w:r>
        <w:rPr>
          <w:spacing w:val="-8"/>
          <w:w w:val="105"/>
          <w:sz w:val="16"/>
        </w:rPr>
        <w:t> </w:t>
      </w:r>
      <w:r>
        <w:rPr>
          <w:w w:val="105"/>
          <w:sz w:val="16"/>
        </w:rPr>
        <w:t>on</w:t>
      </w:r>
      <w:r>
        <w:rPr>
          <w:spacing w:val="-8"/>
          <w:w w:val="105"/>
          <w:sz w:val="16"/>
        </w:rPr>
        <w:t> </w:t>
      </w:r>
      <w:r>
        <w:rPr>
          <w:w w:val="105"/>
          <w:sz w:val="16"/>
        </w:rPr>
        <w:t>the</w:t>
      </w:r>
      <w:r>
        <w:rPr>
          <w:spacing w:val="-8"/>
          <w:w w:val="105"/>
          <w:sz w:val="16"/>
        </w:rPr>
        <w:t> </w:t>
      </w:r>
      <w:r>
        <w:rPr>
          <w:w w:val="105"/>
          <w:sz w:val="16"/>
        </w:rPr>
        <w:t>Boston,</w:t>
      </w:r>
      <w:r>
        <w:rPr>
          <w:spacing w:val="-8"/>
          <w:w w:val="105"/>
          <w:sz w:val="16"/>
        </w:rPr>
        <w:t> </w:t>
      </w:r>
      <w:r>
        <w:rPr>
          <w:w w:val="105"/>
          <w:sz w:val="16"/>
        </w:rPr>
        <w:t>Midwest</w:t>
      </w:r>
      <w:r>
        <w:rPr>
          <w:spacing w:val="-8"/>
          <w:w w:val="105"/>
          <w:sz w:val="16"/>
        </w:rPr>
        <w:t> </w:t>
      </w:r>
      <w:r>
        <w:rPr>
          <w:w w:val="105"/>
          <w:sz w:val="16"/>
        </w:rPr>
        <w:t>and</w:t>
      </w:r>
      <w:r>
        <w:rPr>
          <w:spacing w:val="-8"/>
          <w:w w:val="105"/>
          <w:sz w:val="16"/>
        </w:rPr>
        <w:t> </w:t>
      </w:r>
      <w:r>
        <w:rPr>
          <w:w w:val="105"/>
          <w:sz w:val="16"/>
        </w:rPr>
        <w:t>Philadelphia</w:t>
      </w:r>
      <w:r>
        <w:rPr>
          <w:spacing w:val="-8"/>
          <w:w w:val="105"/>
          <w:sz w:val="16"/>
        </w:rPr>
        <w:t> </w:t>
      </w:r>
      <w:r>
        <w:rPr>
          <w:w w:val="105"/>
          <w:sz w:val="16"/>
        </w:rPr>
        <w:t>stock</w:t>
      </w:r>
      <w:r>
        <w:rPr>
          <w:spacing w:val="-8"/>
          <w:w w:val="105"/>
          <w:sz w:val="16"/>
        </w:rPr>
        <w:t> </w:t>
      </w:r>
      <w:r>
        <w:rPr>
          <w:w w:val="105"/>
          <w:sz w:val="16"/>
        </w:rPr>
        <w:t>exchanges. Common</w:t>
      </w:r>
      <w:r>
        <w:rPr>
          <w:spacing w:val="-1"/>
          <w:w w:val="105"/>
          <w:sz w:val="16"/>
        </w:rPr>
        <w:t> </w:t>
      </w:r>
      <w:r>
        <w:rPr>
          <w:w w:val="105"/>
          <w:sz w:val="16"/>
        </w:rPr>
        <w:t>stock</w:t>
      </w:r>
      <w:r>
        <w:rPr>
          <w:spacing w:val="-1"/>
          <w:w w:val="105"/>
          <w:sz w:val="16"/>
        </w:rPr>
        <w:t> </w:t>
      </w:r>
      <w:r>
        <w:rPr>
          <w:w w:val="105"/>
          <w:sz w:val="16"/>
        </w:rPr>
        <w:t>options</w:t>
      </w:r>
      <w:r>
        <w:rPr>
          <w:spacing w:val="-1"/>
          <w:w w:val="105"/>
          <w:sz w:val="16"/>
        </w:rPr>
        <w:t> </w:t>
      </w:r>
      <w:r>
        <w:rPr>
          <w:w w:val="105"/>
          <w:sz w:val="16"/>
        </w:rPr>
        <w:t>are</w:t>
      </w:r>
      <w:r>
        <w:rPr>
          <w:spacing w:val="-1"/>
          <w:w w:val="105"/>
          <w:sz w:val="16"/>
        </w:rPr>
        <w:t> </w:t>
      </w:r>
      <w:r>
        <w:rPr>
          <w:w w:val="105"/>
          <w:sz w:val="16"/>
        </w:rPr>
        <w:t>traded</w:t>
      </w:r>
      <w:r>
        <w:rPr>
          <w:spacing w:val="-1"/>
          <w:w w:val="105"/>
          <w:sz w:val="16"/>
        </w:rPr>
        <w:t> </w:t>
      </w:r>
      <w:r>
        <w:rPr>
          <w:w w:val="105"/>
          <w:sz w:val="16"/>
        </w:rPr>
        <w:t>on the</w:t>
      </w:r>
      <w:r>
        <w:rPr>
          <w:spacing w:val="-1"/>
          <w:w w:val="105"/>
          <w:sz w:val="16"/>
        </w:rPr>
        <w:t> </w:t>
      </w:r>
      <w:r>
        <w:rPr>
          <w:w w:val="105"/>
          <w:sz w:val="16"/>
        </w:rPr>
        <w:t>Chicago</w:t>
      </w:r>
      <w:r>
        <w:rPr>
          <w:spacing w:val="-1"/>
          <w:w w:val="105"/>
          <w:sz w:val="16"/>
        </w:rPr>
        <w:t> </w:t>
      </w:r>
      <w:r>
        <w:rPr>
          <w:w w:val="105"/>
          <w:sz w:val="16"/>
        </w:rPr>
        <w:t>Board</w:t>
      </w:r>
      <w:r>
        <w:rPr>
          <w:spacing w:val="-1"/>
          <w:w w:val="105"/>
          <w:sz w:val="16"/>
        </w:rPr>
        <w:t> </w:t>
      </w:r>
      <w:r>
        <w:rPr>
          <w:w w:val="105"/>
          <w:sz w:val="16"/>
        </w:rPr>
        <w:t>Options</w:t>
      </w:r>
      <w:r>
        <w:rPr>
          <w:spacing w:val="-1"/>
          <w:w w:val="105"/>
          <w:sz w:val="16"/>
        </w:rPr>
        <w:t> </w:t>
      </w:r>
      <w:r>
        <w:rPr>
          <w:w w:val="105"/>
          <w:sz w:val="16"/>
        </w:rPr>
        <w:t>Exchange.</w:t>
      </w:r>
      <w:r>
        <w:rPr>
          <w:spacing w:val="-1"/>
          <w:w w:val="105"/>
          <w:sz w:val="16"/>
        </w:rPr>
        <w:t> </w:t>
      </w:r>
      <w:r>
        <w:rPr>
          <w:w w:val="105"/>
          <w:sz w:val="16"/>
        </w:rPr>
        <w:t>The</w:t>
      </w:r>
      <w:r>
        <w:rPr>
          <w:spacing w:val="-1"/>
          <w:w w:val="105"/>
          <w:sz w:val="16"/>
        </w:rPr>
        <w:t> </w:t>
      </w:r>
      <w:r>
        <w:rPr>
          <w:w w:val="105"/>
          <w:sz w:val="16"/>
        </w:rPr>
        <w:t>NYSE</w:t>
      </w:r>
      <w:r>
        <w:rPr>
          <w:spacing w:val="-1"/>
          <w:w w:val="105"/>
          <w:sz w:val="16"/>
        </w:rPr>
        <w:t> </w:t>
      </w:r>
      <w:r>
        <w:rPr>
          <w:w w:val="105"/>
          <w:sz w:val="16"/>
        </w:rPr>
        <w:t>ticker</w:t>
      </w:r>
      <w:r>
        <w:rPr>
          <w:spacing w:val="-1"/>
          <w:w w:val="105"/>
          <w:sz w:val="16"/>
        </w:rPr>
        <w:t> </w:t>
      </w:r>
      <w:r>
        <w:rPr>
          <w:w w:val="105"/>
          <w:sz w:val="16"/>
        </w:rPr>
        <w:t>symbol</w:t>
      </w:r>
      <w:r>
        <w:rPr>
          <w:spacing w:val="-1"/>
          <w:w w:val="105"/>
          <w:sz w:val="16"/>
        </w:rPr>
        <w:t> </w:t>
      </w:r>
      <w:r>
        <w:rPr>
          <w:w w:val="105"/>
          <w:sz w:val="16"/>
        </w:rPr>
        <w:t>for</w:t>
      </w:r>
      <w:r>
        <w:rPr>
          <w:spacing w:val="-1"/>
          <w:w w:val="105"/>
          <w:sz w:val="16"/>
        </w:rPr>
        <w:t> </w:t>
      </w:r>
      <w:r>
        <w:rPr>
          <w:w w:val="105"/>
          <w:sz w:val="16"/>
        </w:rPr>
        <w:t>Corning</w:t>
      </w:r>
      <w:r>
        <w:rPr>
          <w:spacing w:val="-1"/>
          <w:w w:val="105"/>
          <w:sz w:val="16"/>
        </w:rPr>
        <w:t> </w:t>
      </w:r>
      <w:r>
        <w:rPr>
          <w:w w:val="105"/>
          <w:sz w:val="16"/>
        </w:rPr>
        <w:t>Incorporated</w:t>
      </w:r>
      <w:r>
        <w:rPr>
          <w:spacing w:val="-1"/>
          <w:w w:val="105"/>
          <w:sz w:val="16"/>
        </w:rPr>
        <w:t> </w:t>
      </w:r>
      <w:r>
        <w:rPr>
          <w:w w:val="105"/>
          <w:sz w:val="16"/>
        </w:rPr>
        <w:t>is</w:t>
      </w:r>
      <w:r>
        <w:rPr>
          <w:spacing w:val="-1"/>
          <w:w w:val="105"/>
          <w:sz w:val="16"/>
        </w:rPr>
        <w:t> </w:t>
      </w:r>
      <w:r>
        <w:rPr>
          <w:w w:val="105"/>
          <w:sz w:val="16"/>
        </w:rPr>
        <w:t>“GLW”.</w:t>
      </w:r>
    </w:p>
    <w:p>
      <w:pPr>
        <w:pStyle w:val="BodyText"/>
        <w:spacing w:before="19"/>
      </w:pPr>
    </w:p>
    <w:p>
      <w:pPr>
        <w:pStyle w:val="BodyText"/>
        <w:spacing w:line="532" w:lineRule="auto"/>
        <w:ind w:left="156" w:right="1186"/>
      </w:pPr>
      <w:r>
        <w:rPr>
          <w:w w:val="105"/>
        </w:rPr>
        <w:t>As</w:t>
      </w:r>
      <w:r>
        <w:rPr>
          <w:spacing w:val="-10"/>
          <w:w w:val="105"/>
        </w:rPr>
        <w:t> </w:t>
      </w:r>
      <w:r>
        <w:rPr>
          <w:w w:val="105"/>
        </w:rPr>
        <w:t>of</w:t>
      </w:r>
      <w:r>
        <w:rPr>
          <w:spacing w:val="-10"/>
          <w:w w:val="105"/>
        </w:rPr>
        <w:t> </w:t>
      </w:r>
      <w:r>
        <w:rPr>
          <w:w w:val="105"/>
        </w:rPr>
        <w:t>December</w:t>
      </w:r>
      <w:r>
        <w:rPr>
          <w:spacing w:val="-10"/>
          <w:w w:val="105"/>
        </w:rPr>
        <w:t> </w:t>
      </w:r>
      <w:r>
        <w:rPr>
          <w:w w:val="105"/>
        </w:rPr>
        <w:t>31,</w:t>
      </w:r>
      <w:r>
        <w:rPr>
          <w:spacing w:val="-10"/>
          <w:w w:val="105"/>
        </w:rPr>
        <w:t> </w:t>
      </w:r>
      <w:r>
        <w:rPr>
          <w:w w:val="105"/>
        </w:rPr>
        <w:t>2021,</w:t>
      </w:r>
      <w:r>
        <w:rPr>
          <w:spacing w:val="-10"/>
          <w:w w:val="105"/>
        </w:rPr>
        <w:t> </w:t>
      </w:r>
      <w:r>
        <w:rPr>
          <w:w w:val="105"/>
        </w:rPr>
        <w:t>there</w:t>
      </w:r>
      <w:r>
        <w:rPr>
          <w:spacing w:val="-10"/>
          <w:w w:val="105"/>
        </w:rPr>
        <w:t> </w:t>
      </w:r>
      <w:r>
        <w:rPr>
          <w:w w:val="105"/>
        </w:rPr>
        <w:t>were</w:t>
      </w:r>
      <w:r>
        <w:rPr>
          <w:spacing w:val="-10"/>
          <w:w w:val="105"/>
        </w:rPr>
        <w:t> </w:t>
      </w:r>
      <w:r>
        <w:rPr>
          <w:w w:val="105"/>
        </w:rPr>
        <w:t>approximately</w:t>
      </w:r>
      <w:r>
        <w:rPr>
          <w:spacing w:val="-10"/>
          <w:w w:val="105"/>
        </w:rPr>
        <w:t> </w:t>
      </w:r>
      <w:r>
        <w:rPr>
          <w:w w:val="105"/>
        </w:rPr>
        <w:t>12,000</w:t>
      </w:r>
      <w:r>
        <w:rPr>
          <w:spacing w:val="-10"/>
          <w:w w:val="105"/>
        </w:rPr>
        <w:t> </w:t>
      </w:r>
      <w:r>
        <w:rPr>
          <w:w w:val="105"/>
        </w:rPr>
        <w:t>registered</w:t>
      </w:r>
      <w:r>
        <w:rPr>
          <w:spacing w:val="-10"/>
          <w:w w:val="105"/>
        </w:rPr>
        <w:t> </w:t>
      </w:r>
      <w:r>
        <w:rPr>
          <w:w w:val="105"/>
        </w:rPr>
        <w:t>holders</w:t>
      </w:r>
      <w:r>
        <w:rPr>
          <w:spacing w:val="-10"/>
          <w:w w:val="105"/>
        </w:rPr>
        <w:t> </w:t>
      </w:r>
      <w:r>
        <w:rPr>
          <w:w w:val="105"/>
        </w:rPr>
        <w:t>of</w:t>
      </w:r>
      <w:r>
        <w:rPr>
          <w:spacing w:val="-10"/>
          <w:w w:val="105"/>
        </w:rPr>
        <w:t> </w:t>
      </w:r>
      <w:r>
        <w:rPr>
          <w:w w:val="105"/>
        </w:rPr>
        <w:t>common</w:t>
      </w:r>
      <w:r>
        <w:rPr>
          <w:spacing w:val="-10"/>
          <w:w w:val="105"/>
        </w:rPr>
        <w:t> </w:t>
      </w:r>
      <w:r>
        <w:rPr>
          <w:w w:val="105"/>
        </w:rPr>
        <w:t>stock</w:t>
      </w:r>
      <w:r>
        <w:rPr>
          <w:spacing w:val="-10"/>
          <w:w w:val="105"/>
        </w:rPr>
        <w:t> </w:t>
      </w:r>
      <w:r>
        <w:rPr>
          <w:w w:val="105"/>
        </w:rPr>
        <w:t>and</w:t>
      </w:r>
      <w:r>
        <w:rPr>
          <w:spacing w:val="-10"/>
          <w:w w:val="105"/>
        </w:rPr>
        <w:t> </w:t>
      </w:r>
      <w:r>
        <w:rPr>
          <w:w w:val="105"/>
        </w:rPr>
        <w:t>approximately</w:t>
      </w:r>
      <w:r>
        <w:rPr>
          <w:spacing w:val="-10"/>
          <w:w w:val="105"/>
        </w:rPr>
        <w:t> </w:t>
      </w:r>
      <w:r>
        <w:rPr>
          <w:w w:val="105"/>
        </w:rPr>
        <w:t>680,000</w:t>
      </w:r>
      <w:r>
        <w:rPr>
          <w:spacing w:val="-10"/>
          <w:w w:val="105"/>
        </w:rPr>
        <w:t> </w:t>
      </w:r>
      <w:r>
        <w:rPr>
          <w:w w:val="105"/>
        </w:rPr>
        <w:t>beneficial</w:t>
      </w:r>
      <w:r>
        <w:rPr>
          <w:spacing w:val="-10"/>
          <w:w w:val="105"/>
        </w:rPr>
        <w:t> </w:t>
      </w:r>
      <w:r>
        <w:rPr>
          <w:w w:val="105"/>
        </w:rPr>
        <w:t>shareholders. Information with respect to securities authorized for issuance under equity compensation plans is included herein under Item 12.</w:t>
      </w:r>
    </w:p>
    <w:p>
      <w:pPr>
        <w:pStyle w:val="Heading3"/>
        <w:spacing w:line="182" w:lineRule="exact"/>
      </w:pPr>
      <w:r>
        <w:rPr/>
        <w:t>Performance</w:t>
      </w:r>
      <w:r>
        <w:rPr>
          <w:spacing w:val="26"/>
        </w:rPr>
        <w:t> </w:t>
      </w:r>
      <w:r>
        <w:rPr>
          <w:spacing w:val="-2"/>
        </w:rPr>
        <w:t>Graph</w:t>
      </w:r>
    </w:p>
    <w:p>
      <w:pPr>
        <w:pStyle w:val="BodyText"/>
        <w:spacing w:before="40"/>
        <w:rPr>
          <w:b/>
          <w:i/>
        </w:rPr>
      </w:pPr>
    </w:p>
    <w:p>
      <w:pPr>
        <w:pStyle w:val="BodyText"/>
        <w:spacing w:line="266" w:lineRule="auto"/>
        <w:ind w:left="156" w:right="117"/>
      </w:pPr>
      <w:r>
        <w:rPr>
          <w:w w:val="105"/>
        </w:rPr>
        <w:t>The</w:t>
      </w:r>
      <w:r>
        <w:rPr>
          <w:spacing w:val="-2"/>
          <w:w w:val="105"/>
        </w:rPr>
        <w:t> </w:t>
      </w:r>
      <w:r>
        <w:rPr>
          <w:w w:val="105"/>
        </w:rPr>
        <w:t>following</w:t>
      </w:r>
      <w:r>
        <w:rPr>
          <w:spacing w:val="-2"/>
          <w:w w:val="105"/>
        </w:rPr>
        <w:t> </w:t>
      </w:r>
      <w:r>
        <w:rPr>
          <w:w w:val="105"/>
        </w:rPr>
        <w:t>graph</w:t>
      </w:r>
      <w:r>
        <w:rPr>
          <w:spacing w:val="-2"/>
          <w:w w:val="105"/>
        </w:rPr>
        <w:t> </w:t>
      </w:r>
      <w:r>
        <w:rPr>
          <w:w w:val="105"/>
        </w:rPr>
        <w:t>illustrates</w:t>
      </w:r>
      <w:r>
        <w:rPr>
          <w:spacing w:val="-2"/>
          <w:w w:val="105"/>
        </w:rPr>
        <w:t> </w:t>
      </w:r>
      <w:r>
        <w:rPr>
          <w:w w:val="105"/>
        </w:rPr>
        <w:t>the</w:t>
      </w:r>
      <w:r>
        <w:rPr>
          <w:spacing w:val="-2"/>
          <w:w w:val="105"/>
        </w:rPr>
        <w:t> </w:t>
      </w:r>
      <w:r>
        <w:rPr>
          <w:w w:val="105"/>
        </w:rPr>
        <w:t>cumulative</w:t>
      </w:r>
      <w:r>
        <w:rPr>
          <w:spacing w:val="-2"/>
          <w:w w:val="105"/>
        </w:rPr>
        <w:t> </w:t>
      </w:r>
      <w:r>
        <w:rPr>
          <w:w w:val="105"/>
        </w:rPr>
        <w:t>total</w:t>
      </w:r>
      <w:r>
        <w:rPr>
          <w:spacing w:val="-2"/>
          <w:w w:val="105"/>
        </w:rPr>
        <w:t> </w:t>
      </w:r>
      <w:r>
        <w:rPr>
          <w:w w:val="105"/>
        </w:rPr>
        <w:t>shareholder</w:t>
      </w:r>
      <w:r>
        <w:rPr>
          <w:spacing w:val="-2"/>
          <w:w w:val="105"/>
        </w:rPr>
        <w:t> </w:t>
      </w:r>
      <w:r>
        <w:rPr>
          <w:w w:val="105"/>
        </w:rPr>
        <w:t>return</w:t>
      </w:r>
      <w:r>
        <w:rPr>
          <w:spacing w:val="-2"/>
          <w:w w:val="105"/>
        </w:rPr>
        <w:t> </w:t>
      </w:r>
      <w:r>
        <w:rPr>
          <w:w w:val="105"/>
        </w:rPr>
        <w:t>over</w:t>
      </w:r>
      <w:r>
        <w:rPr>
          <w:spacing w:val="-2"/>
          <w:w w:val="105"/>
        </w:rPr>
        <w:t> </w:t>
      </w:r>
      <w:r>
        <w:rPr>
          <w:w w:val="105"/>
        </w:rPr>
        <w:t>the</w:t>
      </w:r>
      <w:r>
        <w:rPr>
          <w:spacing w:val="-2"/>
          <w:w w:val="105"/>
        </w:rPr>
        <w:t> </w:t>
      </w:r>
      <w:r>
        <w:rPr>
          <w:w w:val="105"/>
        </w:rPr>
        <w:t>last</w:t>
      </w:r>
      <w:r>
        <w:rPr>
          <w:spacing w:val="-2"/>
          <w:w w:val="105"/>
        </w:rPr>
        <w:t> </w:t>
      </w:r>
      <w:r>
        <w:rPr>
          <w:w w:val="105"/>
        </w:rPr>
        <w:t>five</w:t>
      </w:r>
      <w:r>
        <w:rPr>
          <w:spacing w:val="-2"/>
          <w:w w:val="105"/>
        </w:rPr>
        <w:t> </w:t>
      </w:r>
      <w:r>
        <w:rPr>
          <w:w w:val="105"/>
        </w:rPr>
        <w:t>years</w:t>
      </w:r>
      <w:r>
        <w:rPr>
          <w:spacing w:val="-2"/>
          <w:w w:val="105"/>
        </w:rPr>
        <w:t> </w:t>
      </w:r>
      <w:r>
        <w:rPr>
          <w:w w:val="105"/>
        </w:rPr>
        <w:t>of</w:t>
      </w:r>
      <w:r>
        <w:rPr>
          <w:spacing w:val="-2"/>
          <w:w w:val="105"/>
        </w:rPr>
        <w:t> </w:t>
      </w:r>
      <w:r>
        <w:rPr>
          <w:w w:val="105"/>
        </w:rPr>
        <w:t>Corning's</w:t>
      </w:r>
      <w:r>
        <w:rPr>
          <w:spacing w:val="-2"/>
          <w:w w:val="105"/>
        </w:rPr>
        <w:t> </w:t>
      </w:r>
      <w:r>
        <w:rPr>
          <w:w w:val="105"/>
        </w:rPr>
        <w:t>common</w:t>
      </w:r>
      <w:r>
        <w:rPr>
          <w:spacing w:val="-2"/>
          <w:w w:val="105"/>
        </w:rPr>
        <w:t> </w:t>
      </w:r>
      <w:r>
        <w:rPr>
          <w:w w:val="105"/>
        </w:rPr>
        <w:t>stock,</w:t>
      </w:r>
      <w:r>
        <w:rPr>
          <w:spacing w:val="-2"/>
          <w:w w:val="105"/>
        </w:rPr>
        <w:t> </w:t>
      </w:r>
      <w:r>
        <w:rPr>
          <w:w w:val="105"/>
        </w:rPr>
        <w:t>the</w:t>
      </w:r>
      <w:r>
        <w:rPr>
          <w:spacing w:val="-2"/>
          <w:w w:val="105"/>
        </w:rPr>
        <w:t> </w:t>
      </w:r>
      <w:r>
        <w:rPr>
          <w:w w:val="105"/>
        </w:rPr>
        <w:t>S&amp;P</w:t>
      </w:r>
      <w:r>
        <w:rPr>
          <w:spacing w:val="-2"/>
          <w:w w:val="105"/>
        </w:rPr>
        <w:t> </w:t>
      </w:r>
      <w:r>
        <w:rPr>
          <w:w w:val="105"/>
        </w:rPr>
        <w:t>500</w:t>
      </w:r>
      <w:r>
        <w:rPr>
          <w:spacing w:val="-2"/>
          <w:w w:val="105"/>
        </w:rPr>
        <w:t> </w:t>
      </w:r>
      <w:r>
        <w:rPr>
          <w:w w:val="105"/>
        </w:rPr>
        <w:t>and</w:t>
      </w:r>
      <w:r>
        <w:rPr>
          <w:spacing w:val="-2"/>
          <w:w w:val="105"/>
        </w:rPr>
        <w:t> </w:t>
      </w:r>
      <w:r>
        <w:rPr>
          <w:w w:val="105"/>
        </w:rPr>
        <w:t>the</w:t>
      </w:r>
      <w:r>
        <w:rPr>
          <w:spacing w:val="-2"/>
          <w:w w:val="105"/>
        </w:rPr>
        <w:t> </w:t>
      </w:r>
      <w:r>
        <w:rPr>
          <w:w w:val="105"/>
        </w:rPr>
        <w:t>S&amp;P</w:t>
      </w:r>
      <w:r>
        <w:rPr>
          <w:spacing w:val="-2"/>
          <w:w w:val="105"/>
        </w:rPr>
        <w:t> </w:t>
      </w:r>
      <w:r>
        <w:rPr>
          <w:w w:val="105"/>
        </w:rPr>
        <w:t>Communications Equipment</w:t>
      </w:r>
      <w:r>
        <w:rPr>
          <w:spacing w:val="-11"/>
          <w:w w:val="105"/>
        </w:rPr>
        <w:t> </w:t>
      </w:r>
      <w:r>
        <w:rPr>
          <w:w w:val="105"/>
        </w:rPr>
        <w:t>Companies.</w:t>
      </w:r>
      <w:r>
        <w:rPr>
          <w:spacing w:val="-10"/>
          <w:w w:val="105"/>
        </w:rPr>
        <w:t> </w:t>
      </w:r>
      <w:r>
        <w:rPr>
          <w:w w:val="105"/>
        </w:rPr>
        <w:t>The</w:t>
      </w:r>
      <w:r>
        <w:rPr>
          <w:spacing w:val="-11"/>
          <w:w w:val="105"/>
        </w:rPr>
        <w:t> </w:t>
      </w:r>
      <w:r>
        <w:rPr>
          <w:w w:val="105"/>
        </w:rPr>
        <w:t>graph</w:t>
      </w:r>
      <w:r>
        <w:rPr>
          <w:spacing w:val="-10"/>
          <w:w w:val="105"/>
        </w:rPr>
        <w:t> </w:t>
      </w:r>
      <w:r>
        <w:rPr>
          <w:w w:val="105"/>
        </w:rPr>
        <w:t>includes</w:t>
      </w:r>
      <w:r>
        <w:rPr>
          <w:spacing w:val="-11"/>
          <w:w w:val="105"/>
        </w:rPr>
        <w:t> </w:t>
      </w:r>
      <w:r>
        <w:rPr>
          <w:w w:val="105"/>
        </w:rPr>
        <w:t>the</w:t>
      </w:r>
      <w:r>
        <w:rPr>
          <w:spacing w:val="-10"/>
          <w:w w:val="105"/>
        </w:rPr>
        <w:t> </w:t>
      </w:r>
      <w:r>
        <w:rPr>
          <w:w w:val="105"/>
        </w:rPr>
        <w:t>capital-weighted-performance</w:t>
      </w:r>
      <w:r>
        <w:rPr>
          <w:spacing w:val="-11"/>
          <w:w w:val="105"/>
        </w:rPr>
        <w:t> </w:t>
      </w:r>
      <w:r>
        <w:rPr>
          <w:w w:val="105"/>
        </w:rPr>
        <w:t>results</w:t>
      </w:r>
      <w:r>
        <w:rPr>
          <w:spacing w:val="-10"/>
          <w:w w:val="105"/>
        </w:rPr>
        <w:t> </w:t>
      </w:r>
      <w:r>
        <w:rPr>
          <w:w w:val="105"/>
        </w:rPr>
        <w:t>of</w:t>
      </w:r>
      <w:r>
        <w:rPr>
          <w:spacing w:val="-11"/>
          <w:w w:val="105"/>
        </w:rPr>
        <w:t> </w:t>
      </w:r>
      <w:r>
        <w:rPr>
          <w:w w:val="105"/>
        </w:rPr>
        <w:t>those</w:t>
      </w:r>
      <w:r>
        <w:rPr>
          <w:spacing w:val="-10"/>
          <w:w w:val="105"/>
        </w:rPr>
        <w:t> </w:t>
      </w:r>
      <w:r>
        <w:rPr>
          <w:w w:val="105"/>
        </w:rPr>
        <w:t>companies</w:t>
      </w:r>
      <w:r>
        <w:rPr>
          <w:spacing w:val="-11"/>
          <w:w w:val="105"/>
        </w:rPr>
        <w:t> </w:t>
      </w:r>
      <w:r>
        <w:rPr>
          <w:w w:val="105"/>
        </w:rPr>
        <w:t>in</w:t>
      </w:r>
      <w:r>
        <w:rPr>
          <w:spacing w:val="-10"/>
          <w:w w:val="105"/>
        </w:rPr>
        <w:t> </w:t>
      </w:r>
      <w:r>
        <w:rPr>
          <w:w w:val="105"/>
        </w:rPr>
        <w:t>the</w:t>
      </w:r>
      <w:r>
        <w:rPr>
          <w:spacing w:val="-11"/>
          <w:w w:val="105"/>
        </w:rPr>
        <w:t> </w:t>
      </w:r>
      <w:r>
        <w:rPr>
          <w:w w:val="105"/>
        </w:rPr>
        <w:t>communications</w:t>
      </w:r>
      <w:r>
        <w:rPr>
          <w:spacing w:val="-10"/>
          <w:w w:val="105"/>
        </w:rPr>
        <w:t> </w:t>
      </w:r>
      <w:r>
        <w:rPr>
          <w:w w:val="105"/>
        </w:rPr>
        <w:t>equipment</w:t>
      </w:r>
      <w:r>
        <w:rPr>
          <w:spacing w:val="-11"/>
          <w:w w:val="105"/>
        </w:rPr>
        <w:t> </w:t>
      </w:r>
      <w:r>
        <w:rPr>
          <w:w w:val="105"/>
        </w:rPr>
        <w:t>company</w:t>
      </w:r>
      <w:r>
        <w:rPr>
          <w:spacing w:val="-10"/>
          <w:w w:val="105"/>
        </w:rPr>
        <w:t> </w:t>
      </w:r>
      <w:r>
        <w:rPr>
          <w:w w:val="105"/>
        </w:rPr>
        <w:t>classification</w:t>
      </w:r>
      <w:r>
        <w:rPr>
          <w:spacing w:val="-11"/>
          <w:w w:val="105"/>
        </w:rPr>
        <w:t> </w:t>
      </w:r>
      <w:r>
        <w:rPr>
          <w:w w:val="105"/>
        </w:rPr>
        <w:t>that</w:t>
      </w:r>
      <w:r>
        <w:rPr>
          <w:spacing w:val="-10"/>
          <w:w w:val="105"/>
        </w:rPr>
        <w:t> </w:t>
      </w:r>
      <w:r>
        <w:rPr>
          <w:w w:val="105"/>
        </w:rPr>
        <w:t>are also included in the S&amp;P 500.</w:t>
      </w:r>
    </w:p>
    <w:p>
      <w:pPr>
        <w:pStyle w:val="BodyText"/>
        <w:spacing w:before="2"/>
        <w:rPr>
          <w:sz w:val="15"/>
        </w:rPr>
      </w:pPr>
      <w:r>
        <w:rPr/>
        <w:drawing>
          <wp:anchor distT="0" distB="0" distL="0" distR="0" allowOverlap="1" layoutInCell="1" locked="0" behindDoc="1" simplePos="0" relativeHeight="487600128">
            <wp:simplePos x="0" y="0"/>
            <wp:positionH relativeFrom="page">
              <wp:posOffset>226488</wp:posOffset>
            </wp:positionH>
            <wp:positionV relativeFrom="paragraph">
              <wp:posOffset>126601</wp:posOffset>
            </wp:positionV>
            <wp:extent cx="7319009" cy="4995386"/>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8" cstate="print"/>
                    <a:stretch>
                      <a:fillRect/>
                    </a:stretch>
                  </pic:blipFill>
                  <pic:spPr>
                    <a:xfrm>
                      <a:off x="0" y="0"/>
                      <a:ext cx="7319009" cy="4995386"/>
                    </a:xfrm>
                    <a:prstGeom prst="rect">
                      <a:avLst/>
                    </a:prstGeom>
                  </pic:spPr>
                </pic:pic>
              </a:graphicData>
            </a:graphic>
          </wp:anchor>
        </w:drawing>
      </w:r>
    </w:p>
    <w:p>
      <w:pPr>
        <w:pStyle w:val="BodyText"/>
        <w:spacing w:before="16"/>
      </w:pPr>
    </w:p>
    <w:p>
      <w:pPr>
        <w:pStyle w:val="BodyText"/>
        <w:ind w:left="48"/>
        <w:jc w:val="center"/>
      </w:pPr>
      <w:r>
        <w:rPr>
          <w:spacing w:val="-5"/>
          <w:w w:val="105"/>
        </w:rPr>
        <w:t>22</w:t>
      </w:r>
    </w:p>
    <w:p>
      <w:pPr>
        <w:pStyle w:val="BodyText"/>
        <w:spacing w:before="11"/>
        <w:rPr>
          <w:sz w:val="5"/>
        </w:rPr>
      </w:pPr>
      <w:r>
        <w:rPr/>
        <mc:AlternateContent>
          <mc:Choice Requires="wps">
            <w:drawing>
              <wp:anchor distT="0" distB="0" distL="0" distR="0" allowOverlap="1" layoutInCell="1" locked="0" behindDoc="1" simplePos="0" relativeHeight="487600640">
                <wp:simplePos x="0" y="0"/>
                <wp:positionH relativeFrom="page">
                  <wp:posOffset>226488</wp:posOffset>
                </wp:positionH>
                <wp:positionV relativeFrom="paragraph">
                  <wp:posOffset>58734</wp:posOffset>
                </wp:positionV>
                <wp:extent cx="7312659" cy="1651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715840;mso-wrap-distance-left:0;mso-wrap-distance-right:0" id="docshape26"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ListParagraph"/>
        <w:numPr>
          <w:ilvl w:val="0"/>
          <w:numId w:val="6"/>
        </w:numPr>
        <w:tabs>
          <w:tab w:pos="461" w:val="left" w:leader="none"/>
        </w:tabs>
        <w:spacing w:line="240" w:lineRule="auto" w:before="0" w:after="0"/>
        <w:ind w:left="461" w:right="0" w:hanging="305"/>
        <w:jc w:val="left"/>
        <w:rPr>
          <w:sz w:val="16"/>
        </w:rPr>
      </w:pPr>
      <w:r>
        <w:rPr>
          <w:w w:val="105"/>
          <w:sz w:val="16"/>
        </w:rPr>
        <w:t>Not</w:t>
      </w:r>
      <w:r>
        <w:rPr>
          <w:spacing w:val="-6"/>
          <w:w w:val="105"/>
          <w:sz w:val="16"/>
        </w:rPr>
        <w:t> </w:t>
      </w:r>
      <w:r>
        <w:rPr>
          <w:spacing w:val="-2"/>
          <w:w w:val="105"/>
          <w:sz w:val="16"/>
        </w:rPr>
        <w:t>applicable.</w:t>
      </w:r>
    </w:p>
    <w:p>
      <w:pPr>
        <w:pStyle w:val="BodyText"/>
        <w:spacing w:before="40"/>
      </w:pPr>
    </w:p>
    <w:p>
      <w:pPr>
        <w:pStyle w:val="ListParagraph"/>
        <w:numPr>
          <w:ilvl w:val="0"/>
          <w:numId w:val="6"/>
        </w:numPr>
        <w:tabs>
          <w:tab w:pos="460" w:val="left" w:leader="none"/>
        </w:tabs>
        <w:spacing w:line="240" w:lineRule="auto" w:before="0" w:after="0"/>
        <w:ind w:left="460" w:right="0" w:hanging="304"/>
        <w:jc w:val="left"/>
        <w:rPr>
          <w:sz w:val="16"/>
        </w:rPr>
      </w:pPr>
      <w:r>
        <w:rPr>
          <w:w w:val="105"/>
          <w:sz w:val="16"/>
        </w:rPr>
        <w:t>The</w:t>
      </w:r>
      <w:r>
        <w:rPr>
          <w:spacing w:val="-10"/>
          <w:w w:val="105"/>
          <w:sz w:val="16"/>
        </w:rPr>
        <w:t> </w:t>
      </w:r>
      <w:r>
        <w:rPr>
          <w:w w:val="105"/>
          <w:sz w:val="16"/>
        </w:rPr>
        <w:t>following</w:t>
      </w:r>
      <w:r>
        <w:rPr>
          <w:spacing w:val="-9"/>
          <w:w w:val="105"/>
          <w:sz w:val="16"/>
        </w:rPr>
        <w:t> </w:t>
      </w:r>
      <w:r>
        <w:rPr>
          <w:w w:val="105"/>
          <w:sz w:val="16"/>
        </w:rPr>
        <w:t>table</w:t>
      </w:r>
      <w:r>
        <w:rPr>
          <w:spacing w:val="-10"/>
          <w:w w:val="105"/>
          <w:sz w:val="16"/>
        </w:rPr>
        <w:t> </w:t>
      </w:r>
      <w:r>
        <w:rPr>
          <w:w w:val="105"/>
          <w:sz w:val="16"/>
        </w:rPr>
        <w:t>provides</w:t>
      </w:r>
      <w:r>
        <w:rPr>
          <w:spacing w:val="-9"/>
          <w:w w:val="105"/>
          <w:sz w:val="16"/>
        </w:rPr>
        <w:t> </w:t>
      </w:r>
      <w:r>
        <w:rPr>
          <w:w w:val="105"/>
          <w:sz w:val="16"/>
        </w:rPr>
        <w:t>information</w:t>
      </w:r>
      <w:r>
        <w:rPr>
          <w:spacing w:val="-9"/>
          <w:w w:val="105"/>
          <w:sz w:val="16"/>
        </w:rPr>
        <w:t> </w:t>
      </w:r>
      <w:r>
        <w:rPr>
          <w:w w:val="105"/>
          <w:sz w:val="16"/>
        </w:rPr>
        <w:t>about</w:t>
      </w:r>
      <w:r>
        <w:rPr>
          <w:spacing w:val="-10"/>
          <w:w w:val="105"/>
          <w:sz w:val="16"/>
        </w:rPr>
        <w:t> </w:t>
      </w:r>
      <w:r>
        <w:rPr>
          <w:w w:val="105"/>
          <w:sz w:val="16"/>
        </w:rPr>
        <w:t>purchases</w:t>
      </w:r>
      <w:r>
        <w:rPr>
          <w:spacing w:val="-9"/>
          <w:w w:val="105"/>
          <w:sz w:val="16"/>
        </w:rPr>
        <w:t> </w:t>
      </w:r>
      <w:r>
        <w:rPr>
          <w:w w:val="105"/>
          <w:sz w:val="16"/>
        </w:rPr>
        <w:t>of</w:t>
      </w:r>
      <w:r>
        <w:rPr>
          <w:spacing w:val="-8"/>
          <w:w w:val="105"/>
          <w:sz w:val="16"/>
        </w:rPr>
        <w:t> </w:t>
      </w:r>
      <w:r>
        <w:rPr>
          <w:w w:val="105"/>
          <w:sz w:val="16"/>
        </w:rPr>
        <w:t>common</w:t>
      </w:r>
      <w:r>
        <w:rPr>
          <w:spacing w:val="-9"/>
          <w:w w:val="105"/>
          <w:sz w:val="16"/>
        </w:rPr>
        <w:t> </w:t>
      </w:r>
      <w:r>
        <w:rPr>
          <w:w w:val="105"/>
          <w:sz w:val="16"/>
        </w:rPr>
        <w:t>stock</w:t>
      </w:r>
      <w:r>
        <w:rPr>
          <w:spacing w:val="-10"/>
          <w:w w:val="105"/>
          <w:sz w:val="16"/>
        </w:rPr>
        <w:t> </w:t>
      </w:r>
      <w:r>
        <w:rPr>
          <w:w w:val="105"/>
          <w:sz w:val="16"/>
        </w:rPr>
        <w:t>by</w:t>
      </w:r>
      <w:r>
        <w:rPr>
          <w:spacing w:val="-9"/>
          <w:w w:val="105"/>
          <w:sz w:val="16"/>
        </w:rPr>
        <w:t> </w:t>
      </w:r>
      <w:r>
        <w:rPr>
          <w:w w:val="105"/>
          <w:sz w:val="16"/>
        </w:rPr>
        <w:t>the</w:t>
      </w:r>
      <w:r>
        <w:rPr>
          <w:spacing w:val="-9"/>
          <w:w w:val="105"/>
          <w:sz w:val="16"/>
        </w:rPr>
        <w:t> </w:t>
      </w:r>
      <w:r>
        <w:rPr>
          <w:w w:val="105"/>
          <w:sz w:val="16"/>
        </w:rPr>
        <w:t>Company</w:t>
      </w:r>
      <w:r>
        <w:rPr>
          <w:spacing w:val="-10"/>
          <w:w w:val="105"/>
          <w:sz w:val="16"/>
        </w:rPr>
        <w:t> </w:t>
      </w:r>
      <w:r>
        <w:rPr>
          <w:w w:val="105"/>
          <w:sz w:val="16"/>
        </w:rPr>
        <w:t>during</w:t>
      </w:r>
      <w:r>
        <w:rPr>
          <w:spacing w:val="-9"/>
          <w:w w:val="105"/>
          <w:sz w:val="16"/>
        </w:rPr>
        <w:t> </w:t>
      </w:r>
      <w:r>
        <w:rPr>
          <w:w w:val="105"/>
          <w:sz w:val="16"/>
        </w:rPr>
        <w:t>the</w:t>
      </w:r>
      <w:r>
        <w:rPr>
          <w:spacing w:val="-9"/>
          <w:w w:val="105"/>
          <w:sz w:val="16"/>
        </w:rPr>
        <w:t> </w:t>
      </w:r>
      <w:r>
        <w:rPr>
          <w:w w:val="105"/>
          <w:sz w:val="16"/>
        </w:rPr>
        <w:t>fiscal</w:t>
      </w:r>
      <w:r>
        <w:rPr>
          <w:spacing w:val="-10"/>
          <w:w w:val="105"/>
          <w:sz w:val="16"/>
        </w:rPr>
        <w:t> </w:t>
      </w:r>
      <w:r>
        <w:rPr>
          <w:w w:val="105"/>
          <w:sz w:val="16"/>
        </w:rPr>
        <w:t>fourth</w:t>
      </w:r>
      <w:r>
        <w:rPr>
          <w:spacing w:val="-9"/>
          <w:w w:val="105"/>
          <w:sz w:val="16"/>
        </w:rPr>
        <w:t> </w:t>
      </w:r>
      <w:r>
        <w:rPr>
          <w:w w:val="105"/>
          <w:sz w:val="16"/>
        </w:rPr>
        <w:t>quarter</w:t>
      </w:r>
      <w:r>
        <w:rPr>
          <w:spacing w:val="-10"/>
          <w:w w:val="105"/>
          <w:sz w:val="16"/>
        </w:rPr>
        <w:t> </w:t>
      </w:r>
      <w:r>
        <w:rPr>
          <w:w w:val="105"/>
          <w:sz w:val="16"/>
        </w:rPr>
        <w:t>of</w:t>
      </w:r>
      <w:r>
        <w:rPr>
          <w:spacing w:val="-9"/>
          <w:w w:val="105"/>
          <w:sz w:val="16"/>
        </w:rPr>
        <w:t> </w:t>
      </w:r>
      <w:r>
        <w:rPr>
          <w:spacing w:val="-2"/>
          <w:w w:val="105"/>
          <w:sz w:val="16"/>
        </w:rPr>
        <w:t>2021:</w:t>
      </w:r>
    </w:p>
    <w:p>
      <w:pPr>
        <w:pStyle w:val="BodyText"/>
        <w:spacing w:before="7"/>
        <w:rPr>
          <w:sz w:val="19"/>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4"/>
        <w:gridCol w:w="3054"/>
        <w:gridCol w:w="1388"/>
        <w:gridCol w:w="1363"/>
        <w:gridCol w:w="1376"/>
      </w:tblGrid>
      <w:tr>
        <w:trPr>
          <w:trHeight w:val="310" w:hRule="atLeast"/>
        </w:trPr>
        <w:tc>
          <w:tcPr>
            <w:tcW w:w="4334" w:type="dxa"/>
            <w:tcBorders>
              <w:bottom w:val="single" w:sz="12" w:space="0" w:color="000000"/>
            </w:tcBorders>
          </w:tcPr>
          <w:p>
            <w:pPr>
              <w:pStyle w:val="TableParagraph"/>
              <w:spacing w:line="182" w:lineRule="exact"/>
              <w:rPr>
                <w:sz w:val="16"/>
              </w:rPr>
            </w:pPr>
            <w:r>
              <w:rPr>
                <w:spacing w:val="-2"/>
                <w:w w:val="105"/>
                <w:sz w:val="16"/>
              </w:rPr>
              <w:t>Issuer</w:t>
            </w:r>
            <w:r>
              <w:rPr>
                <w:w w:val="105"/>
                <w:sz w:val="16"/>
              </w:rPr>
              <w:t> </w:t>
            </w:r>
            <w:r>
              <w:rPr>
                <w:spacing w:val="-2"/>
                <w:w w:val="105"/>
                <w:sz w:val="16"/>
              </w:rPr>
              <w:t>Purchases</w:t>
            </w:r>
            <w:r>
              <w:rPr>
                <w:spacing w:val="1"/>
                <w:w w:val="105"/>
                <w:sz w:val="16"/>
              </w:rPr>
              <w:t> </w:t>
            </w:r>
            <w:r>
              <w:rPr>
                <w:spacing w:val="-2"/>
                <w:w w:val="105"/>
                <w:sz w:val="16"/>
              </w:rPr>
              <w:t>of</w:t>
            </w:r>
            <w:r>
              <w:rPr>
                <w:w w:val="105"/>
                <w:sz w:val="16"/>
              </w:rPr>
              <w:t> </w:t>
            </w:r>
            <w:r>
              <w:rPr>
                <w:spacing w:val="-2"/>
                <w:w w:val="105"/>
                <w:sz w:val="16"/>
              </w:rPr>
              <w:t>Equity</w:t>
            </w:r>
            <w:r>
              <w:rPr>
                <w:spacing w:val="1"/>
                <w:w w:val="105"/>
                <w:sz w:val="16"/>
              </w:rPr>
              <w:t> </w:t>
            </w:r>
            <w:r>
              <w:rPr>
                <w:spacing w:val="-2"/>
                <w:w w:val="105"/>
                <w:sz w:val="16"/>
              </w:rPr>
              <w:t>Securities</w:t>
            </w:r>
          </w:p>
        </w:tc>
        <w:tc>
          <w:tcPr>
            <w:tcW w:w="7181" w:type="dxa"/>
            <w:gridSpan w:val="4"/>
            <w:tcBorders>
              <w:bottom w:val="single" w:sz="12" w:space="0" w:color="000000"/>
            </w:tcBorders>
          </w:tcPr>
          <w:p>
            <w:pPr>
              <w:pStyle w:val="TableParagraph"/>
              <w:rPr>
                <w:sz w:val="14"/>
              </w:rPr>
            </w:pPr>
          </w:p>
        </w:tc>
      </w:tr>
      <w:tr>
        <w:trPr>
          <w:trHeight w:val="400" w:hRule="atLeast"/>
        </w:trPr>
        <w:tc>
          <w:tcPr>
            <w:tcW w:w="4334" w:type="dxa"/>
            <w:tcBorders>
              <w:top w:val="single" w:sz="12" w:space="0" w:color="000000"/>
            </w:tcBorders>
          </w:tcPr>
          <w:p>
            <w:pPr>
              <w:pStyle w:val="TableParagraph"/>
              <w:rPr>
                <w:sz w:val="14"/>
              </w:rPr>
            </w:pPr>
          </w:p>
        </w:tc>
        <w:tc>
          <w:tcPr>
            <w:tcW w:w="3054" w:type="dxa"/>
            <w:tcBorders>
              <w:top w:val="single" w:sz="12" w:space="0" w:color="000000"/>
            </w:tcBorders>
          </w:tcPr>
          <w:p>
            <w:pPr>
              <w:pStyle w:val="TableParagraph"/>
              <w:rPr>
                <w:sz w:val="14"/>
              </w:rPr>
            </w:pPr>
          </w:p>
        </w:tc>
        <w:tc>
          <w:tcPr>
            <w:tcW w:w="1388" w:type="dxa"/>
            <w:tcBorders>
              <w:top w:val="single" w:sz="12" w:space="0" w:color="000000"/>
            </w:tcBorders>
          </w:tcPr>
          <w:p>
            <w:pPr>
              <w:pStyle w:val="TableParagraph"/>
              <w:rPr>
                <w:sz w:val="14"/>
              </w:rPr>
            </w:pPr>
          </w:p>
        </w:tc>
        <w:tc>
          <w:tcPr>
            <w:tcW w:w="1363" w:type="dxa"/>
            <w:tcBorders>
              <w:top w:val="single" w:sz="12" w:space="0" w:color="000000"/>
            </w:tcBorders>
          </w:tcPr>
          <w:p>
            <w:pPr>
              <w:pStyle w:val="TableParagraph"/>
              <w:spacing w:before="21"/>
              <w:rPr>
                <w:sz w:val="16"/>
              </w:rPr>
            </w:pPr>
          </w:p>
          <w:p>
            <w:pPr>
              <w:pStyle w:val="TableParagraph"/>
              <w:spacing w:line="175" w:lineRule="exact"/>
              <w:ind w:left="291"/>
              <w:rPr>
                <w:b/>
                <w:sz w:val="16"/>
              </w:rPr>
            </w:pPr>
            <w:r>
              <w:rPr>
                <w:b/>
                <w:sz w:val="16"/>
              </w:rPr>
              <w:t>Number</w:t>
            </w:r>
            <w:r>
              <w:rPr>
                <w:b/>
                <w:spacing w:val="13"/>
                <w:sz w:val="16"/>
              </w:rPr>
              <w:t> </w:t>
            </w:r>
            <w:r>
              <w:rPr>
                <w:b/>
                <w:spacing w:val="-5"/>
                <w:sz w:val="16"/>
              </w:rPr>
              <w:t>of</w:t>
            </w:r>
          </w:p>
        </w:tc>
        <w:tc>
          <w:tcPr>
            <w:tcW w:w="1376" w:type="dxa"/>
            <w:tcBorders>
              <w:top w:val="single" w:sz="12" w:space="0" w:color="000000"/>
            </w:tcBorders>
          </w:tcPr>
          <w:p>
            <w:pPr>
              <w:pStyle w:val="TableParagraph"/>
              <w:spacing w:before="1"/>
              <w:ind w:left="219"/>
              <w:rPr>
                <w:b/>
                <w:sz w:val="16"/>
              </w:rPr>
            </w:pPr>
            <w:r>
              <w:rPr>
                <w:b/>
                <w:spacing w:val="-2"/>
                <w:w w:val="105"/>
                <w:sz w:val="16"/>
              </w:rPr>
              <w:t>Approximate</w:t>
            </w:r>
          </w:p>
          <w:p>
            <w:pPr>
              <w:pStyle w:val="TableParagraph"/>
              <w:spacing w:line="175" w:lineRule="exact" w:before="20"/>
              <w:ind w:left="177"/>
              <w:rPr>
                <w:b/>
                <w:sz w:val="16"/>
              </w:rPr>
            </w:pPr>
            <w:r>
              <w:rPr>
                <w:b/>
                <w:w w:val="105"/>
                <w:sz w:val="16"/>
              </w:rPr>
              <w:t>dollar</w:t>
            </w:r>
            <w:r>
              <w:rPr>
                <w:b/>
                <w:spacing w:val="-9"/>
                <w:w w:val="105"/>
                <w:sz w:val="16"/>
              </w:rPr>
              <w:t> </w:t>
            </w:r>
            <w:r>
              <w:rPr>
                <w:b/>
                <w:w w:val="105"/>
                <w:sz w:val="16"/>
              </w:rPr>
              <w:t>value</w:t>
            </w:r>
            <w:r>
              <w:rPr>
                <w:b/>
                <w:spacing w:val="-9"/>
                <w:w w:val="105"/>
                <w:sz w:val="16"/>
              </w:rPr>
              <w:t> </w:t>
            </w:r>
            <w:r>
              <w:rPr>
                <w:b/>
                <w:spacing w:val="-5"/>
                <w:w w:val="105"/>
                <w:sz w:val="16"/>
              </w:rPr>
              <w:t>of</w:t>
            </w:r>
          </w:p>
        </w:tc>
      </w:tr>
      <w:tr>
        <w:trPr>
          <w:trHeight w:val="611" w:hRule="atLeast"/>
        </w:trPr>
        <w:tc>
          <w:tcPr>
            <w:tcW w:w="4334" w:type="dxa"/>
          </w:tcPr>
          <w:p>
            <w:pPr>
              <w:pStyle w:val="TableParagraph"/>
              <w:rPr>
                <w:sz w:val="14"/>
              </w:rPr>
            </w:pPr>
          </w:p>
        </w:tc>
        <w:tc>
          <w:tcPr>
            <w:tcW w:w="3054" w:type="dxa"/>
          </w:tcPr>
          <w:p>
            <w:pPr>
              <w:pStyle w:val="TableParagraph"/>
              <w:rPr>
                <w:sz w:val="16"/>
              </w:rPr>
            </w:pPr>
          </w:p>
          <w:p>
            <w:pPr>
              <w:pStyle w:val="TableParagraph"/>
              <w:spacing w:before="48"/>
              <w:rPr>
                <w:sz w:val="16"/>
              </w:rPr>
            </w:pPr>
          </w:p>
          <w:p>
            <w:pPr>
              <w:pStyle w:val="TableParagraph"/>
              <w:spacing w:line="175" w:lineRule="exact"/>
              <w:ind w:right="197"/>
              <w:jc w:val="right"/>
              <w:rPr>
                <w:b/>
                <w:sz w:val="16"/>
              </w:rPr>
            </w:pPr>
            <w:r>
              <w:rPr>
                <w:b/>
                <w:spacing w:val="-2"/>
                <w:w w:val="105"/>
                <w:sz w:val="16"/>
              </w:rPr>
              <w:t>Total</w:t>
            </w:r>
            <w:r>
              <w:rPr>
                <w:b/>
                <w:spacing w:val="-3"/>
                <w:w w:val="105"/>
                <w:sz w:val="16"/>
              </w:rPr>
              <w:t> </w:t>
            </w:r>
            <w:r>
              <w:rPr>
                <w:b/>
                <w:spacing w:val="-2"/>
                <w:w w:val="105"/>
                <w:sz w:val="16"/>
              </w:rPr>
              <w:t>number</w:t>
            </w:r>
          </w:p>
        </w:tc>
        <w:tc>
          <w:tcPr>
            <w:tcW w:w="1388" w:type="dxa"/>
          </w:tcPr>
          <w:p>
            <w:pPr>
              <w:pStyle w:val="TableParagraph"/>
              <w:rPr>
                <w:sz w:val="16"/>
              </w:rPr>
            </w:pPr>
          </w:p>
          <w:p>
            <w:pPr>
              <w:pStyle w:val="TableParagraph"/>
              <w:spacing w:before="48"/>
              <w:rPr>
                <w:sz w:val="16"/>
              </w:rPr>
            </w:pPr>
          </w:p>
          <w:p>
            <w:pPr>
              <w:pStyle w:val="TableParagraph"/>
              <w:spacing w:line="175" w:lineRule="exact"/>
              <w:ind w:right="9"/>
              <w:jc w:val="center"/>
              <w:rPr>
                <w:b/>
                <w:sz w:val="16"/>
              </w:rPr>
            </w:pPr>
            <w:r>
              <w:rPr>
                <w:b/>
                <w:sz w:val="16"/>
              </w:rPr>
              <w:t>Average</w:t>
            </w:r>
            <w:r>
              <w:rPr>
                <w:b/>
                <w:spacing w:val="18"/>
                <w:sz w:val="16"/>
              </w:rPr>
              <w:t> </w:t>
            </w:r>
            <w:r>
              <w:rPr>
                <w:b/>
                <w:spacing w:val="-2"/>
                <w:sz w:val="16"/>
              </w:rPr>
              <w:t>price</w:t>
            </w:r>
          </w:p>
        </w:tc>
        <w:tc>
          <w:tcPr>
            <w:tcW w:w="1363" w:type="dxa"/>
          </w:tcPr>
          <w:p>
            <w:pPr>
              <w:pStyle w:val="TableParagraph"/>
              <w:spacing w:before="8"/>
              <w:ind w:left="213" w:firstLine="236"/>
              <w:rPr>
                <w:b/>
                <w:sz w:val="16"/>
              </w:rPr>
            </w:pPr>
            <w:r>
              <w:rPr>
                <w:b/>
                <w:spacing w:val="-2"/>
                <w:w w:val="105"/>
                <w:sz w:val="16"/>
              </w:rPr>
              <w:t>shares</w:t>
            </w:r>
          </w:p>
          <w:p>
            <w:pPr>
              <w:pStyle w:val="TableParagraph"/>
              <w:spacing w:line="200" w:lineRule="atLeast"/>
              <w:ind w:left="128" w:right="131" w:firstLine="85"/>
              <w:rPr>
                <w:b/>
                <w:sz w:val="16"/>
              </w:rPr>
            </w:pPr>
            <w:r>
              <w:rPr>
                <w:b/>
                <w:w w:val="105"/>
                <w:sz w:val="16"/>
              </w:rPr>
              <w:t>purchased</w:t>
            </w:r>
            <w:r>
              <w:rPr>
                <w:b/>
                <w:spacing w:val="-1"/>
                <w:w w:val="105"/>
                <w:sz w:val="16"/>
              </w:rPr>
              <w:t> </w:t>
            </w:r>
            <w:r>
              <w:rPr>
                <w:b/>
                <w:w w:val="105"/>
                <w:sz w:val="16"/>
              </w:rPr>
              <w:t>as part</w:t>
            </w:r>
            <w:r>
              <w:rPr>
                <w:b/>
                <w:spacing w:val="-6"/>
                <w:w w:val="105"/>
                <w:sz w:val="16"/>
              </w:rPr>
              <w:t> </w:t>
            </w:r>
            <w:r>
              <w:rPr>
                <w:b/>
                <w:w w:val="105"/>
                <w:sz w:val="16"/>
              </w:rPr>
              <w:t>of</w:t>
            </w:r>
            <w:r>
              <w:rPr>
                <w:b/>
                <w:spacing w:val="-5"/>
                <w:w w:val="105"/>
                <w:sz w:val="16"/>
              </w:rPr>
              <w:t> </w:t>
            </w:r>
            <w:r>
              <w:rPr>
                <w:b/>
                <w:spacing w:val="-2"/>
                <w:w w:val="105"/>
                <w:sz w:val="16"/>
              </w:rPr>
              <w:t>publicly</w:t>
            </w:r>
          </w:p>
        </w:tc>
        <w:tc>
          <w:tcPr>
            <w:tcW w:w="1376" w:type="dxa"/>
          </w:tcPr>
          <w:p>
            <w:pPr>
              <w:pStyle w:val="TableParagraph"/>
              <w:spacing w:before="8"/>
              <w:jc w:val="center"/>
              <w:rPr>
                <w:b/>
                <w:sz w:val="16"/>
              </w:rPr>
            </w:pPr>
            <w:r>
              <w:rPr>
                <w:b/>
                <w:spacing w:val="-2"/>
                <w:w w:val="105"/>
                <w:sz w:val="16"/>
              </w:rPr>
              <w:t>shares</w:t>
            </w:r>
            <w:r>
              <w:rPr>
                <w:b/>
                <w:spacing w:val="-1"/>
                <w:w w:val="105"/>
                <w:sz w:val="16"/>
              </w:rPr>
              <w:t> </w:t>
            </w:r>
            <w:r>
              <w:rPr>
                <w:b/>
                <w:spacing w:val="-2"/>
                <w:w w:val="105"/>
                <w:sz w:val="16"/>
              </w:rPr>
              <w:t>that</w:t>
            </w:r>
            <w:r>
              <w:rPr>
                <w:b/>
                <w:spacing w:val="-1"/>
                <w:w w:val="105"/>
                <w:sz w:val="16"/>
              </w:rPr>
              <w:t> </w:t>
            </w:r>
            <w:r>
              <w:rPr>
                <w:b/>
                <w:spacing w:val="-5"/>
                <w:w w:val="105"/>
                <w:sz w:val="16"/>
              </w:rPr>
              <w:t>may</w:t>
            </w:r>
          </w:p>
          <w:p>
            <w:pPr>
              <w:pStyle w:val="TableParagraph"/>
              <w:spacing w:line="200" w:lineRule="atLeast"/>
              <w:ind w:left="320" w:right="318" w:hanging="1"/>
              <w:jc w:val="center"/>
              <w:rPr>
                <w:b/>
                <w:sz w:val="16"/>
              </w:rPr>
            </w:pPr>
            <w:r>
              <w:rPr>
                <w:b/>
                <w:w w:val="105"/>
                <w:sz w:val="16"/>
              </w:rPr>
              <w:t>yet</w:t>
            </w:r>
            <w:r>
              <w:rPr>
                <w:b/>
                <w:spacing w:val="-1"/>
                <w:w w:val="105"/>
                <w:sz w:val="16"/>
              </w:rPr>
              <w:t> </w:t>
            </w:r>
            <w:r>
              <w:rPr>
                <w:b/>
                <w:w w:val="105"/>
                <w:sz w:val="16"/>
              </w:rPr>
              <w:t>be </w:t>
            </w:r>
            <w:r>
              <w:rPr>
                <w:b/>
                <w:spacing w:val="-4"/>
                <w:w w:val="105"/>
                <w:sz w:val="16"/>
              </w:rPr>
              <w:t>purchased</w:t>
            </w:r>
          </w:p>
        </w:tc>
      </w:tr>
      <w:tr>
        <w:trPr>
          <w:trHeight w:val="411" w:hRule="atLeast"/>
        </w:trPr>
        <w:tc>
          <w:tcPr>
            <w:tcW w:w="4334" w:type="dxa"/>
            <w:tcBorders>
              <w:bottom w:val="single" w:sz="6" w:space="0" w:color="000000"/>
            </w:tcBorders>
          </w:tcPr>
          <w:p>
            <w:pPr>
              <w:pStyle w:val="TableParagraph"/>
              <w:spacing w:before="28"/>
              <w:rPr>
                <w:sz w:val="16"/>
              </w:rPr>
            </w:pPr>
          </w:p>
          <w:p>
            <w:pPr>
              <w:pStyle w:val="TableParagraph"/>
              <w:spacing w:line="179" w:lineRule="exact"/>
              <w:rPr>
                <w:b/>
                <w:sz w:val="16"/>
              </w:rPr>
            </w:pPr>
            <w:r>
              <w:rPr>
                <w:b/>
                <w:spacing w:val="-2"/>
                <w:w w:val="105"/>
                <w:sz w:val="16"/>
              </w:rPr>
              <w:t>Period</w:t>
            </w:r>
          </w:p>
        </w:tc>
        <w:tc>
          <w:tcPr>
            <w:tcW w:w="3054" w:type="dxa"/>
            <w:tcBorders>
              <w:bottom w:val="single" w:sz="6" w:space="0" w:color="000000"/>
            </w:tcBorders>
          </w:tcPr>
          <w:p>
            <w:pPr>
              <w:pStyle w:val="TableParagraph"/>
              <w:spacing w:before="8"/>
              <w:ind w:left="1676"/>
              <w:jc w:val="center"/>
              <w:rPr>
                <w:b/>
                <w:sz w:val="16"/>
              </w:rPr>
            </w:pPr>
            <w:r>
              <w:rPr>
                <w:b/>
                <w:w w:val="105"/>
                <w:sz w:val="16"/>
              </w:rPr>
              <w:t>of</w:t>
            </w:r>
            <w:r>
              <w:rPr>
                <w:b/>
                <w:spacing w:val="-5"/>
                <w:w w:val="105"/>
                <w:sz w:val="16"/>
              </w:rPr>
              <w:t> </w:t>
            </w:r>
            <w:r>
              <w:rPr>
                <w:b/>
                <w:spacing w:val="-2"/>
                <w:w w:val="105"/>
                <w:sz w:val="16"/>
              </w:rPr>
              <w:t>shares</w:t>
            </w:r>
          </w:p>
          <w:p>
            <w:pPr>
              <w:pStyle w:val="TableParagraph"/>
              <w:spacing w:line="179" w:lineRule="exact" w:before="20"/>
              <w:ind w:left="1676"/>
              <w:jc w:val="center"/>
              <w:rPr>
                <w:b/>
                <w:sz w:val="16"/>
              </w:rPr>
            </w:pPr>
            <w:r>
              <w:rPr>
                <w:b/>
                <w:sz w:val="16"/>
              </w:rPr>
              <w:t>purchased</w:t>
            </w:r>
            <w:r>
              <w:rPr>
                <w:b/>
                <w:spacing w:val="14"/>
                <w:sz w:val="16"/>
              </w:rPr>
              <w:t> </w:t>
            </w:r>
            <w:r>
              <w:rPr>
                <w:b/>
                <w:spacing w:val="-5"/>
                <w:sz w:val="16"/>
              </w:rPr>
              <w:t>(1)</w:t>
            </w:r>
          </w:p>
        </w:tc>
        <w:tc>
          <w:tcPr>
            <w:tcW w:w="1388" w:type="dxa"/>
            <w:tcBorders>
              <w:bottom w:val="single" w:sz="6" w:space="0" w:color="000000"/>
            </w:tcBorders>
          </w:tcPr>
          <w:p>
            <w:pPr>
              <w:pStyle w:val="TableParagraph"/>
              <w:spacing w:before="8"/>
              <w:ind w:right="9"/>
              <w:jc w:val="center"/>
              <w:rPr>
                <w:b/>
                <w:sz w:val="16"/>
              </w:rPr>
            </w:pPr>
            <w:r>
              <w:rPr>
                <w:b/>
                <w:w w:val="105"/>
                <w:sz w:val="16"/>
              </w:rPr>
              <w:t>paid</w:t>
            </w:r>
            <w:r>
              <w:rPr>
                <w:b/>
                <w:spacing w:val="-8"/>
                <w:w w:val="105"/>
                <w:sz w:val="16"/>
              </w:rPr>
              <w:t> </w:t>
            </w:r>
            <w:r>
              <w:rPr>
                <w:b/>
                <w:w w:val="105"/>
                <w:sz w:val="16"/>
              </w:rPr>
              <w:t>per</w:t>
            </w:r>
            <w:r>
              <w:rPr>
                <w:b/>
                <w:spacing w:val="-8"/>
                <w:w w:val="105"/>
                <w:sz w:val="16"/>
              </w:rPr>
              <w:t> </w:t>
            </w:r>
            <w:r>
              <w:rPr>
                <w:b/>
                <w:spacing w:val="-4"/>
                <w:w w:val="105"/>
                <w:sz w:val="16"/>
              </w:rPr>
              <w:t>share</w:t>
            </w:r>
          </w:p>
          <w:p>
            <w:pPr>
              <w:pStyle w:val="TableParagraph"/>
              <w:spacing w:line="179" w:lineRule="exact" w:before="20"/>
              <w:ind w:right="10"/>
              <w:jc w:val="center"/>
              <w:rPr>
                <w:b/>
                <w:sz w:val="16"/>
              </w:rPr>
            </w:pPr>
            <w:r>
              <w:rPr>
                <w:b/>
                <w:spacing w:val="-5"/>
                <w:w w:val="105"/>
                <w:sz w:val="16"/>
              </w:rPr>
              <w:t>(2)</w:t>
            </w:r>
          </w:p>
        </w:tc>
        <w:tc>
          <w:tcPr>
            <w:tcW w:w="1363" w:type="dxa"/>
            <w:tcBorders>
              <w:bottom w:val="single" w:sz="6" w:space="0" w:color="000000"/>
            </w:tcBorders>
          </w:tcPr>
          <w:p>
            <w:pPr>
              <w:pStyle w:val="TableParagraph"/>
              <w:spacing w:before="8"/>
              <w:ind w:left="289"/>
              <w:rPr>
                <w:b/>
                <w:sz w:val="16"/>
              </w:rPr>
            </w:pPr>
            <w:r>
              <w:rPr>
                <w:b/>
                <w:spacing w:val="-2"/>
                <w:w w:val="105"/>
                <w:sz w:val="16"/>
              </w:rPr>
              <w:t>announced</w:t>
            </w:r>
          </w:p>
          <w:p>
            <w:pPr>
              <w:pStyle w:val="TableParagraph"/>
              <w:spacing w:line="179" w:lineRule="exact" w:before="20"/>
              <w:ind w:left="330"/>
              <w:rPr>
                <w:b/>
                <w:sz w:val="16"/>
              </w:rPr>
            </w:pPr>
            <w:r>
              <w:rPr>
                <w:b/>
                <w:spacing w:val="-2"/>
                <w:w w:val="105"/>
                <w:sz w:val="16"/>
              </w:rPr>
              <w:t>programs</w:t>
            </w:r>
          </w:p>
        </w:tc>
        <w:tc>
          <w:tcPr>
            <w:tcW w:w="1376" w:type="dxa"/>
            <w:tcBorders>
              <w:bottom w:val="single" w:sz="6" w:space="0" w:color="000000"/>
            </w:tcBorders>
          </w:tcPr>
          <w:p>
            <w:pPr>
              <w:pStyle w:val="TableParagraph"/>
              <w:spacing w:before="8"/>
              <w:ind w:left="345"/>
              <w:rPr>
                <w:b/>
                <w:sz w:val="16"/>
              </w:rPr>
            </w:pPr>
            <w:r>
              <w:rPr>
                <w:b/>
                <w:spacing w:val="-2"/>
                <w:w w:val="105"/>
                <w:sz w:val="16"/>
              </w:rPr>
              <w:t>under</w:t>
            </w:r>
            <w:r>
              <w:rPr>
                <w:b/>
                <w:spacing w:val="-4"/>
                <w:w w:val="105"/>
                <w:sz w:val="16"/>
              </w:rPr>
              <w:t> </w:t>
            </w:r>
            <w:r>
              <w:rPr>
                <w:b/>
                <w:spacing w:val="-5"/>
                <w:w w:val="105"/>
                <w:sz w:val="16"/>
              </w:rPr>
              <w:t>the</w:t>
            </w:r>
          </w:p>
          <w:p>
            <w:pPr>
              <w:pStyle w:val="TableParagraph"/>
              <w:spacing w:line="179" w:lineRule="exact" w:before="20"/>
              <w:ind w:left="343"/>
              <w:rPr>
                <w:b/>
                <w:sz w:val="16"/>
              </w:rPr>
            </w:pPr>
            <w:r>
              <w:rPr>
                <w:b/>
                <w:spacing w:val="-2"/>
                <w:w w:val="105"/>
                <w:sz w:val="16"/>
              </w:rPr>
              <w:t>programs</w:t>
            </w:r>
          </w:p>
        </w:tc>
      </w:tr>
      <w:tr>
        <w:trPr>
          <w:trHeight w:val="202" w:hRule="atLeast"/>
        </w:trPr>
        <w:tc>
          <w:tcPr>
            <w:tcW w:w="4334" w:type="dxa"/>
            <w:tcBorders>
              <w:top w:val="single" w:sz="6" w:space="0" w:color="000000"/>
            </w:tcBorders>
            <w:shd w:val="clear" w:color="auto" w:fill="CCEDFF"/>
          </w:tcPr>
          <w:p>
            <w:pPr>
              <w:pStyle w:val="TableParagraph"/>
              <w:spacing w:line="180" w:lineRule="exact" w:before="2"/>
              <w:rPr>
                <w:sz w:val="16"/>
              </w:rPr>
            </w:pPr>
            <w:r>
              <w:rPr>
                <w:w w:val="105"/>
                <w:sz w:val="16"/>
              </w:rPr>
              <w:t>October</w:t>
            </w:r>
            <w:r>
              <w:rPr>
                <w:spacing w:val="-10"/>
                <w:w w:val="105"/>
                <w:sz w:val="16"/>
              </w:rPr>
              <w:t> </w:t>
            </w:r>
            <w:r>
              <w:rPr>
                <w:w w:val="105"/>
                <w:sz w:val="16"/>
              </w:rPr>
              <w:t>1-31,</w:t>
            </w:r>
            <w:r>
              <w:rPr>
                <w:spacing w:val="-9"/>
                <w:w w:val="105"/>
                <w:sz w:val="16"/>
              </w:rPr>
              <w:t> </w:t>
            </w:r>
            <w:r>
              <w:rPr>
                <w:spacing w:val="-4"/>
                <w:w w:val="105"/>
                <w:sz w:val="16"/>
              </w:rPr>
              <w:t>2021</w:t>
            </w:r>
          </w:p>
        </w:tc>
        <w:tc>
          <w:tcPr>
            <w:tcW w:w="3054" w:type="dxa"/>
            <w:tcBorders>
              <w:top w:val="single" w:sz="6" w:space="0" w:color="000000"/>
            </w:tcBorders>
            <w:shd w:val="clear" w:color="auto" w:fill="CCEDFF"/>
          </w:tcPr>
          <w:p>
            <w:pPr>
              <w:pStyle w:val="TableParagraph"/>
              <w:spacing w:line="180" w:lineRule="exact" w:before="2"/>
              <w:ind w:right="112"/>
              <w:jc w:val="right"/>
              <w:rPr>
                <w:sz w:val="16"/>
              </w:rPr>
            </w:pPr>
            <w:r>
              <w:rPr>
                <w:spacing w:val="-2"/>
                <w:w w:val="105"/>
                <w:sz w:val="16"/>
              </w:rPr>
              <w:t>1,117,269</w:t>
            </w:r>
          </w:p>
        </w:tc>
        <w:tc>
          <w:tcPr>
            <w:tcW w:w="1388" w:type="dxa"/>
            <w:tcBorders>
              <w:top w:val="single" w:sz="6" w:space="0" w:color="000000"/>
            </w:tcBorders>
            <w:shd w:val="clear" w:color="auto" w:fill="CCEDFF"/>
          </w:tcPr>
          <w:p>
            <w:pPr>
              <w:pStyle w:val="TableParagraph"/>
              <w:tabs>
                <w:tab w:pos="773" w:val="left" w:leader="none"/>
              </w:tabs>
              <w:spacing w:line="180" w:lineRule="exact" w:before="2"/>
              <w:ind w:right="9"/>
              <w:jc w:val="center"/>
              <w:rPr>
                <w:sz w:val="16"/>
              </w:rPr>
            </w:pPr>
            <w:r>
              <w:rPr>
                <w:spacing w:val="-10"/>
                <w:w w:val="105"/>
                <w:sz w:val="16"/>
              </w:rPr>
              <w:t>$</w:t>
            </w:r>
            <w:r>
              <w:rPr>
                <w:sz w:val="16"/>
              </w:rPr>
              <w:tab/>
            </w:r>
            <w:r>
              <w:rPr>
                <w:spacing w:val="-2"/>
                <w:w w:val="105"/>
                <w:sz w:val="16"/>
              </w:rPr>
              <w:t>36.83</w:t>
            </w:r>
          </w:p>
        </w:tc>
        <w:tc>
          <w:tcPr>
            <w:tcW w:w="1363" w:type="dxa"/>
            <w:tcBorders>
              <w:top w:val="single" w:sz="6" w:space="0" w:color="000000"/>
            </w:tcBorders>
            <w:shd w:val="clear" w:color="auto" w:fill="CCEDFF"/>
          </w:tcPr>
          <w:p>
            <w:pPr>
              <w:pStyle w:val="TableParagraph"/>
              <w:spacing w:line="180" w:lineRule="exact" w:before="2"/>
              <w:ind w:right="111"/>
              <w:jc w:val="right"/>
              <w:rPr>
                <w:sz w:val="16"/>
              </w:rPr>
            </w:pPr>
            <w:r>
              <w:rPr>
                <w:spacing w:val="-2"/>
                <w:w w:val="105"/>
                <w:sz w:val="16"/>
              </w:rPr>
              <w:t>1,051,401</w:t>
            </w:r>
          </w:p>
        </w:tc>
        <w:tc>
          <w:tcPr>
            <w:tcW w:w="1376" w:type="dxa"/>
            <w:tcBorders>
              <w:top w:val="single" w:sz="6" w:space="0" w:color="000000"/>
            </w:tcBorders>
            <w:shd w:val="clear" w:color="auto" w:fill="CCEDFF"/>
          </w:tcPr>
          <w:p>
            <w:pPr>
              <w:pStyle w:val="TableParagraph"/>
              <w:rPr>
                <w:sz w:val="14"/>
              </w:rPr>
            </w:pPr>
          </w:p>
        </w:tc>
      </w:tr>
      <w:tr>
        <w:trPr>
          <w:trHeight w:val="203" w:hRule="atLeast"/>
        </w:trPr>
        <w:tc>
          <w:tcPr>
            <w:tcW w:w="4334" w:type="dxa"/>
          </w:tcPr>
          <w:p>
            <w:pPr>
              <w:pStyle w:val="TableParagraph"/>
              <w:spacing w:line="180" w:lineRule="exact" w:before="3"/>
              <w:rPr>
                <w:sz w:val="16"/>
              </w:rPr>
            </w:pPr>
            <w:r>
              <w:rPr>
                <w:sz w:val="16"/>
              </w:rPr>
              <w:t>November</w:t>
            </w:r>
            <w:r>
              <w:rPr>
                <w:spacing w:val="16"/>
                <w:sz w:val="16"/>
              </w:rPr>
              <w:t> </w:t>
            </w:r>
            <w:r>
              <w:rPr>
                <w:sz w:val="16"/>
              </w:rPr>
              <w:t>1-30,</w:t>
            </w:r>
            <w:r>
              <w:rPr>
                <w:spacing w:val="16"/>
                <w:sz w:val="16"/>
              </w:rPr>
              <w:t> </w:t>
            </w:r>
            <w:r>
              <w:rPr>
                <w:spacing w:val="-4"/>
                <w:sz w:val="16"/>
              </w:rPr>
              <w:t>2021</w:t>
            </w:r>
          </w:p>
        </w:tc>
        <w:tc>
          <w:tcPr>
            <w:tcW w:w="3054" w:type="dxa"/>
          </w:tcPr>
          <w:p>
            <w:pPr>
              <w:pStyle w:val="TableParagraph"/>
              <w:spacing w:line="180" w:lineRule="exact" w:before="3"/>
              <w:ind w:right="112"/>
              <w:jc w:val="right"/>
              <w:rPr>
                <w:sz w:val="16"/>
              </w:rPr>
            </w:pPr>
            <w:r>
              <w:rPr>
                <w:spacing w:val="-2"/>
                <w:w w:val="105"/>
                <w:sz w:val="16"/>
              </w:rPr>
              <w:t>2,825,712</w:t>
            </w:r>
          </w:p>
        </w:tc>
        <w:tc>
          <w:tcPr>
            <w:tcW w:w="1388" w:type="dxa"/>
          </w:tcPr>
          <w:p>
            <w:pPr>
              <w:pStyle w:val="TableParagraph"/>
              <w:tabs>
                <w:tab w:pos="773" w:val="left" w:leader="none"/>
              </w:tabs>
              <w:spacing w:line="180" w:lineRule="exact" w:before="3"/>
              <w:ind w:right="9"/>
              <w:jc w:val="center"/>
              <w:rPr>
                <w:sz w:val="16"/>
              </w:rPr>
            </w:pPr>
            <w:r>
              <w:rPr>
                <w:spacing w:val="-10"/>
                <w:w w:val="105"/>
                <w:sz w:val="16"/>
              </w:rPr>
              <w:t>$</w:t>
            </w:r>
            <w:r>
              <w:rPr>
                <w:sz w:val="16"/>
              </w:rPr>
              <w:tab/>
            </w:r>
            <w:r>
              <w:rPr>
                <w:spacing w:val="-2"/>
                <w:w w:val="105"/>
                <w:sz w:val="16"/>
              </w:rPr>
              <w:t>37.95</w:t>
            </w:r>
          </w:p>
        </w:tc>
        <w:tc>
          <w:tcPr>
            <w:tcW w:w="1363" w:type="dxa"/>
          </w:tcPr>
          <w:p>
            <w:pPr>
              <w:pStyle w:val="TableParagraph"/>
              <w:spacing w:line="180" w:lineRule="exact" w:before="3"/>
              <w:ind w:right="111"/>
              <w:jc w:val="right"/>
              <w:rPr>
                <w:sz w:val="16"/>
              </w:rPr>
            </w:pPr>
            <w:r>
              <w:rPr>
                <w:spacing w:val="-2"/>
                <w:w w:val="105"/>
                <w:sz w:val="16"/>
              </w:rPr>
              <w:t>2,825,313</w:t>
            </w:r>
          </w:p>
        </w:tc>
        <w:tc>
          <w:tcPr>
            <w:tcW w:w="1376" w:type="dxa"/>
          </w:tcPr>
          <w:p>
            <w:pPr>
              <w:pStyle w:val="TableParagraph"/>
              <w:rPr>
                <w:sz w:val="14"/>
              </w:rPr>
            </w:pPr>
          </w:p>
        </w:tc>
      </w:tr>
      <w:tr>
        <w:trPr>
          <w:trHeight w:val="202" w:hRule="atLeast"/>
        </w:trPr>
        <w:tc>
          <w:tcPr>
            <w:tcW w:w="4334" w:type="dxa"/>
            <w:tcBorders>
              <w:bottom w:val="single" w:sz="6" w:space="0" w:color="000000"/>
            </w:tcBorders>
            <w:shd w:val="clear" w:color="auto" w:fill="CCEDFF"/>
          </w:tcPr>
          <w:p>
            <w:pPr>
              <w:pStyle w:val="TableParagraph"/>
              <w:spacing w:line="179" w:lineRule="exact" w:before="3"/>
              <w:rPr>
                <w:sz w:val="16"/>
              </w:rPr>
            </w:pPr>
            <w:r>
              <w:rPr>
                <w:sz w:val="16"/>
              </w:rPr>
              <w:t>December</w:t>
            </w:r>
            <w:r>
              <w:rPr>
                <w:spacing w:val="15"/>
                <w:sz w:val="16"/>
              </w:rPr>
              <w:t> </w:t>
            </w:r>
            <w:r>
              <w:rPr>
                <w:sz w:val="16"/>
              </w:rPr>
              <w:t>1-31,</w:t>
            </w:r>
            <w:r>
              <w:rPr>
                <w:spacing w:val="16"/>
                <w:sz w:val="16"/>
              </w:rPr>
              <w:t> </w:t>
            </w:r>
            <w:r>
              <w:rPr>
                <w:spacing w:val="-4"/>
                <w:sz w:val="16"/>
              </w:rPr>
              <w:t>2021</w:t>
            </w:r>
          </w:p>
        </w:tc>
        <w:tc>
          <w:tcPr>
            <w:tcW w:w="3054" w:type="dxa"/>
            <w:tcBorders>
              <w:bottom w:val="single" w:sz="6" w:space="0" w:color="000000"/>
            </w:tcBorders>
            <w:shd w:val="clear" w:color="auto" w:fill="CCEDFF"/>
          </w:tcPr>
          <w:p>
            <w:pPr>
              <w:pStyle w:val="TableParagraph"/>
              <w:spacing w:line="179" w:lineRule="exact" w:before="3"/>
              <w:ind w:right="112"/>
              <w:jc w:val="right"/>
              <w:rPr>
                <w:sz w:val="16"/>
              </w:rPr>
            </w:pPr>
            <w:r>
              <w:rPr>
                <w:spacing w:val="-2"/>
                <w:w w:val="105"/>
                <w:sz w:val="16"/>
              </w:rPr>
              <w:t>2,752,023</w:t>
            </w:r>
          </w:p>
        </w:tc>
        <w:tc>
          <w:tcPr>
            <w:tcW w:w="1388" w:type="dxa"/>
            <w:tcBorders>
              <w:bottom w:val="single" w:sz="6" w:space="0" w:color="000000"/>
            </w:tcBorders>
            <w:shd w:val="clear" w:color="auto" w:fill="CCEDFF"/>
          </w:tcPr>
          <w:p>
            <w:pPr>
              <w:pStyle w:val="TableParagraph"/>
              <w:tabs>
                <w:tab w:pos="773" w:val="left" w:leader="none"/>
              </w:tabs>
              <w:spacing w:line="179" w:lineRule="exact" w:before="3"/>
              <w:ind w:right="9"/>
              <w:jc w:val="center"/>
              <w:rPr>
                <w:sz w:val="16"/>
              </w:rPr>
            </w:pPr>
            <w:r>
              <w:rPr>
                <w:spacing w:val="-10"/>
                <w:w w:val="105"/>
                <w:sz w:val="16"/>
              </w:rPr>
              <w:t>$</w:t>
            </w:r>
            <w:r>
              <w:rPr>
                <w:sz w:val="16"/>
              </w:rPr>
              <w:tab/>
            </w:r>
            <w:r>
              <w:rPr>
                <w:spacing w:val="-2"/>
                <w:w w:val="105"/>
                <w:sz w:val="16"/>
              </w:rPr>
              <w:t>37.45</w:t>
            </w:r>
          </w:p>
        </w:tc>
        <w:tc>
          <w:tcPr>
            <w:tcW w:w="1363" w:type="dxa"/>
            <w:tcBorders>
              <w:bottom w:val="single" w:sz="6" w:space="0" w:color="000000"/>
            </w:tcBorders>
            <w:shd w:val="clear" w:color="auto" w:fill="CCEDFF"/>
          </w:tcPr>
          <w:p>
            <w:pPr>
              <w:pStyle w:val="TableParagraph"/>
              <w:spacing w:line="179" w:lineRule="exact" w:before="3"/>
              <w:ind w:right="111"/>
              <w:jc w:val="right"/>
              <w:rPr>
                <w:sz w:val="16"/>
              </w:rPr>
            </w:pPr>
            <w:r>
              <w:rPr>
                <w:spacing w:val="-2"/>
                <w:w w:val="105"/>
                <w:sz w:val="16"/>
              </w:rPr>
              <w:t>2,742,712</w:t>
            </w:r>
          </w:p>
        </w:tc>
        <w:tc>
          <w:tcPr>
            <w:tcW w:w="1376" w:type="dxa"/>
            <w:tcBorders>
              <w:bottom w:val="single" w:sz="6" w:space="0" w:color="000000"/>
            </w:tcBorders>
            <w:shd w:val="clear" w:color="auto" w:fill="CCEDFF"/>
          </w:tcPr>
          <w:p>
            <w:pPr>
              <w:pStyle w:val="TableParagraph"/>
              <w:rPr>
                <w:sz w:val="14"/>
              </w:rPr>
            </w:pPr>
          </w:p>
        </w:tc>
      </w:tr>
      <w:tr>
        <w:trPr>
          <w:trHeight w:val="199" w:hRule="atLeast"/>
        </w:trPr>
        <w:tc>
          <w:tcPr>
            <w:tcW w:w="4334" w:type="dxa"/>
            <w:tcBorders>
              <w:top w:val="single" w:sz="6" w:space="0" w:color="000000"/>
              <w:bottom w:val="double" w:sz="6" w:space="0" w:color="000000"/>
            </w:tcBorders>
          </w:tcPr>
          <w:p>
            <w:pPr>
              <w:pStyle w:val="TableParagraph"/>
              <w:spacing w:line="177" w:lineRule="exact" w:before="2"/>
              <w:rPr>
                <w:sz w:val="16"/>
              </w:rPr>
            </w:pPr>
            <w:r>
              <w:rPr>
                <w:spacing w:val="-4"/>
                <w:w w:val="105"/>
                <w:sz w:val="16"/>
              </w:rPr>
              <w:t>Total</w:t>
            </w:r>
          </w:p>
        </w:tc>
        <w:tc>
          <w:tcPr>
            <w:tcW w:w="3054" w:type="dxa"/>
            <w:tcBorders>
              <w:top w:val="single" w:sz="6" w:space="0" w:color="000000"/>
              <w:bottom w:val="double" w:sz="6" w:space="0" w:color="000000"/>
            </w:tcBorders>
          </w:tcPr>
          <w:p>
            <w:pPr>
              <w:pStyle w:val="TableParagraph"/>
              <w:spacing w:line="177" w:lineRule="exact" w:before="2"/>
              <w:ind w:right="112"/>
              <w:jc w:val="right"/>
              <w:rPr>
                <w:sz w:val="16"/>
              </w:rPr>
            </w:pPr>
            <w:r>
              <w:rPr>
                <w:spacing w:val="-2"/>
                <w:w w:val="105"/>
                <w:sz w:val="16"/>
              </w:rPr>
              <w:t>6,695,004</w:t>
            </w:r>
          </w:p>
        </w:tc>
        <w:tc>
          <w:tcPr>
            <w:tcW w:w="1388" w:type="dxa"/>
            <w:tcBorders>
              <w:top w:val="single" w:sz="6" w:space="0" w:color="000000"/>
              <w:bottom w:val="double" w:sz="6" w:space="0" w:color="000000"/>
            </w:tcBorders>
          </w:tcPr>
          <w:p>
            <w:pPr>
              <w:pStyle w:val="TableParagraph"/>
              <w:tabs>
                <w:tab w:pos="773" w:val="left" w:leader="none"/>
              </w:tabs>
              <w:spacing w:line="177" w:lineRule="exact" w:before="2"/>
              <w:ind w:right="9"/>
              <w:jc w:val="center"/>
              <w:rPr>
                <w:sz w:val="16"/>
              </w:rPr>
            </w:pPr>
            <w:r>
              <w:rPr>
                <w:spacing w:val="-10"/>
                <w:w w:val="105"/>
                <w:sz w:val="16"/>
              </w:rPr>
              <w:t>$</w:t>
            </w:r>
            <w:r>
              <w:rPr>
                <w:sz w:val="16"/>
              </w:rPr>
              <w:tab/>
            </w:r>
            <w:r>
              <w:rPr>
                <w:spacing w:val="-2"/>
                <w:w w:val="105"/>
                <w:sz w:val="16"/>
              </w:rPr>
              <w:t>37.56</w:t>
            </w:r>
          </w:p>
        </w:tc>
        <w:tc>
          <w:tcPr>
            <w:tcW w:w="1363" w:type="dxa"/>
            <w:tcBorders>
              <w:top w:val="single" w:sz="6" w:space="0" w:color="000000"/>
              <w:bottom w:val="double" w:sz="6" w:space="0" w:color="000000"/>
            </w:tcBorders>
          </w:tcPr>
          <w:p>
            <w:pPr>
              <w:pStyle w:val="TableParagraph"/>
              <w:spacing w:line="177" w:lineRule="exact" w:before="2"/>
              <w:ind w:right="111"/>
              <w:jc w:val="right"/>
              <w:rPr>
                <w:sz w:val="16"/>
              </w:rPr>
            </w:pPr>
            <w:r>
              <w:rPr>
                <w:spacing w:val="-2"/>
                <w:w w:val="105"/>
                <w:sz w:val="16"/>
              </w:rPr>
              <w:t>6,619,426</w:t>
            </w:r>
          </w:p>
        </w:tc>
        <w:tc>
          <w:tcPr>
            <w:tcW w:w="1376" w:type="dxa"/>
            <w:tcBorders>
              <w:top w:val="single" w:sz="6" w:space="0" w:color="000000"/>
              <w:bottom w:val="double" w:sz="6" w:space="0" w:color="000000"/>
            </w:tcBorders>
          </w:tcPr>
          <w:p>
            <w:pPr>
              <w:pStyle w:val="TableParagraph"/>
              <w:spacing w:line="177" w:lineRule="exact" w:before="2"/>
              <w:ind w:left="115"/>
              <w:rPr>
                <w:sz w:val="16"/>
              </w:rPr>
            </w:pPr>
            <w:r>
              <w:rPr>
                <w:w w:val="105"/>
                <w:sz w:val="16"/>
              </w:rPr>
              <w:t>$</w:t>
            </w:r>
            <w:r>
              <w:rPr>
                <w:spacing w:val="67"/>
                <w:w w:val="105"/>
                <w:sz w:val="16"/>
              </w:rPr>
              <w:t> </w:t>
            </w:r>
            <w:r>
              <w:rPr>
                <w:spacing w:val="-2"/>
                <w:w w:val="105"/>
                <w:sz w:val="16"/>
              </w:rPr>
              <w:t>3,522,218,861</w:t>
            </w:r>
          </w:p>
        </w:tc>
      </w:tr>
    </w:tbl>
    <w:p>
      <w:pPr>
        <w:pStyle w:val="BodyText"/>
        <w:spacing w:before="24"/>
      </w:pPr>
    </w:p>
    <w:p>
      <w:pPr>
        <w:pStyle w:val="ListParagraph"/>
        <w:numPr>
          <w:ilvl w:val="1"/>
          <w:numId w:val="6"/>
        </w:numPr>
        <w:tabs>
          <w:tab w:pos="459" w:val="left" w:leader="none"/>
          <w:tab w:pos="462" w:val="left" w:leader="none"/>
        </w:tabs>
        <w:spacing w:line="228" w:lineRule="auto" w:before="0" w:after="0"/>
        <w:ind w:left="462" w:right="114" w:hanging="306"/>
        <w:jc w:val="left"/>
        <w:rPr>
          <w:sz w:val="14"/>
        </w:rPr>
      </w:pPr>
      <w:r>
        <w:rPr>
          <w:sz w:val="14"/>
        </w:rPr>
        <w:t>This</w:t>
      </w:r>
      <w:r>
        <w:rPr>
          <w:spacing w:val="-1"/>
          <w:sz w:val="14"/>
        </w:rPr>
        <w:t> </w:t>
      </w:r>
      <w:r>
        <w:rPr>
          <w:sz w:val="14"/>
        </w:rPr>
        <w:t>column</w:t>
      </w:r>
      <w:r>
        <w:rPr>
          <w:spacing w:val="-1"/>
          <w:sz w:val="14"/>
        </w:rPr>
        <w:t> </w:t>
      </w:r>
      <w:r>
        <w:rPr>
          <w:sz w:val="14"/>
        </w:rPr>
        <w:t>reflects:</w:t>
      </w:r>
      <w:r>
        <w:rPr>
          <w:spacing w:val="-1"/>
          <w:sz w:val="14"/>
        </w:rPr>
        <w:t> </w:t>
      </w:r>
      <w:r>
        <w:rPr>
          <w:sz w:val="14"/>
        </w:rPr>
        <w:t>(i)</w:t>
      </w:r>
      <w:r>
        <w:rPr>
          <w:spacing w:val="-1"/>
          <w:sz w:val="14"/>
        </w:rPr>
        <w:t> </w:t>
      </w:r>
      <w:r>
        <w:rPr>
          <w:sz w:val="14"/>
        </w:rPr>
        <w:t>24,145</w:t>
      </w:r>
      <w:r>
        <w:rPr>
          <w:spacing w:val="-1"/>
          <w:sz w:val="14"/>
        </w:rPr>
        <w:t> </w:t>
      </w:r>
      <w:r>
        <w:rPr>
          <w:sz w:val="14"/>
        </w:rPr>
        <w:t>shares</w:t>
      </w:r>
      <w:r>
        <w:rPr>
          <w:spacing w:val="-1"/>
          <w:sz w:val="14"/>
        </w:rPr>
        <w:t> </w:t>
      </w:r>
      <w:r>
        <w:rPr>
          <w:sz w:val="14"/>
        </w:rPr>
        <w:t>of</w:t>
      </w:r>
      <w:r>
        <w:rPr>
          <w:spacing w:val="-1"/>
          <w:sz w:val="14"/>
        </w:rPr>
        <w:t> </w:t>
      </w:r>
      <w:r>
        <w:rPr>
          <w:sz w:val="14"/>
        </w:rPr>
        <w:t>common</w:t>
      </w:r>
      <w:r>
        <w:rPr>
          <w:spacing w:val="-1"/>
          <w:sz w:val="14"/>
        </w:rPr>
        <w:t> </w:t>
      </w:r>
      <w:r>
        <w:rPr>
          <w:sz w:val="14"/>
        </w:rPr>
        <w:t>stock</w:t>
      </w:r>
      <w:r>
        <w:rPr>
          <w:spacing w:val="-1"/>
          <w:sz w:val="14"/>
        </w:rPr>
        <w:t> </w:t>
      </w:r>
      <w:r>
        <w:rPr>
          <w:sz w:val="14"/>
        </w:rPr>
        <w:t>related</w:t>
      </w:r>
      <w:r>
        <w:rPr>
          <w:spacing w:val="-1"/>
          <w:sz w:val="14"/>
        </w:rPr>
        <w:t> </w:t>
      </w:r>
      <w:r>
        <w:rPr>
          <w:sz w:val="14"/>
        </w:rPr>
        <w:t>to</w:t>
      </w:r>
      <w:r>
        <w:rPr>
          <w:spacing w:val="-1"/>
          <w:sz w:val="14"/>
        </w:rPr>
        <w:t> </w:t>
      </w:r>
      <w:r>
        <w:rPr>
          <w:sz w:val="14"/>
        </w:rPr>
        <w:t>the</w:t>
      </w:r>
      <w:r>
        <w:rPr>
          <w:spacing w:val="-1"/>
          <w:sz w:val="14"/>
        </w:rPr>
        <w:t> </w:t>
      </w:r>
      <w:r>
        <w:rPr>
          <w:sz w:val="14"/>
        </w:rPr>
        <w:t>vesting</w:t>
      </w:r>
      <w:r>
        <w:rPr>
          <w:spacing w:val="-1"/>
          <w:sz w:val="14"/>
        </w:rPr>
        <w:t> </w:t>
      </w:r>
      <w:r>
        <w:rPr>
          <w:sz w:val="14"/>
        </w:rPr>
        <w:t>of</w:t>
      </w:r>
      <w:r>
        <w:rPr>
          <w:spacing w:val="-1"/>
          <w:sz w:val="14"/>
        </w:rPr>
        <w:t> </w:t>
      </w:r>
      <w:r>
        <w:rPr>
          <w:sz w:val="14"/>
        </w:rPr>
        <w:t>employee</w:t>
      </w:r>
      <w:r>
        <w:rPr>
          <w:spacing w:val="-1"/>
          <w:sz w:val="14"/>
        </w:rPr>
        <w:t> </w:t>
      </w:r>
      <w:r>
        <w:rPr>
          <w:sz w:val="14"/>
        </w:rPr>
        <w:t>restricted</w:t>
      </w:r>
      <w:r>
        <w:rPr>
          <w:spacing w:val="-1"/>
          <w:sz w:val="14"/>
        </w:rPr>
        <w:t> </w:t>
      </w:r>
      <w:r>
        <w:rPr>
          <w:sz w:val="14"/>
        </w:rPr>
        <w:t>stock</w:t>
      </w:r>
      <w:r>
        <w:rPr>
          <w:spacing w:val="-1"/>
          <w:sz w:val="14"/>
        </w:rPr>
        <w:t> </w:t>
      </w:r>
      <w:r>
        <w:rPr>
          <w:sz w:val="14"/>
        </w:rPr>
        <w:t>units;</w:t>
      </w:r>
      <w:r>
        <w:rPr>
          <w:spacing w:val="-1"/>
          <w:sz w:val="14"/>
        </w:rPr>
        <w:t> </w:t>
      </w:r>
      <w:r>
        <w:rPr>
          <w:sz w:val="14"/>
        </w:rPr>
        <w:t>(ii)</w:t>
      </w:r>
      <w:r>
        <w:rPr>
          <w:spacing w:val="-1"/>
          <w:sz w:val="14"/>
        </w:rPr>
        <w:t> </w:t>
      </w:r>
      <w:r>
        <w:rPr>
          <w:sz w:val="14"/>
        </w:rPr>
        <w:t>296</w:t>
      </w:r>
      <w:r>
        <w:rPr>
          <w:spacing w:val="-1"/>
          <w:sz w:val="14"/>
        </w:rPr>
        <w:t> </w:t>
      </w:r>
      <w:r>
        <w:rPr>
          <w:sz w:val="14"/>
        </w:rPr>
        <w:t>shares</w:t>
      </w:r>
      <w:r>
        <w:rPr>
          <w:spacing w:val="-1"/>
          <w:sz w:val="14"/>
        </w:rPr>
        <w:t> </w:t>
      </w:r>
      <w:r>
        <w:rPr>
          <w:sz w:val="14"/>
        </w:rPr>
        <w:t>of</w:t>
      </w:r>
      <w:r>
        <w:rPr>
          <w:spacing w:val="-1"/>
          <w:sz w:val="14"/>
        </w:rPr>
        <w:t> </w:t>
      </w:r>
      <w:r>
        <w:rPr>
          <w:sz w:val="14"/>
        </w:rPr>
        <w:t>common</w:t>
      </w:r>
      <w:r>
        <w:rPr>
          <w:spacing w:val="-1"/>
          <w:sz w:val="14"/>
        </w:rPr>
        <w:t> </w:t>
      </w:r>
      <w:r>
        <w:rPr>
          <w:sz w:val="14"/>
        </w:rPr>
        <w:t>stock</w:t>
      </w:r>
      <w:r>
        <w:rPr>
          <w:spacing w:val="-1"/>
          <w:sz w:val="14"/>
        </w:rPr>
        <w:t> </w:t>
      </w:r>
      <w:r>
        <w:rPr>
          <w:sz w:val="14"/>
        </w:rPr>
        <w:t>related</w:t>
      </w:r>
      <w:r>
        <w:rPr>
          <w:spacing w:val="-1"/>
          <w:sz w:val="14"/>
        </w:rPr>
        <w:t> </w:t>
      </w:r>
      <w:r>
        <w:rPr>
          <w:sz w:val="14"/>
        </w:rPr>
        <w:t>to</w:t>
      </w:r>
      <w:r>
        <w:rPr>
          <w:spacing w:val="-1"/>
          <w:sz w:val="14"/>
        </w:rPr>
        <w:t> </w:t>
      </w:r>
      <w:r>
        <w:rPr>
          <w:sz w:val="14"/>
        </w:rPr>
        <w:t>the</w:t>
      </w:r>
      <w:r>
        <w:rPr>
          <w:spacing w:val="-1"/>
          <w:sz w:val="14"/>
        </w:rPr>
        <w:t> </w:t>
      </w:r>
      <w:r>
        <w:rPr>
          <w:sz w:val="14"/>
        </w:rPr>
        <w:t>vesting</w:t>
      </w:r>
      <w:r>
        <w:rPr>
          <w:spacing w:val="-1"/>
          <w:sz w:val="14"/>
        </w:rPr>
        <w:t> </w:t>
      </w:r>
      <w:r>
        <w:rPr>
          <w:sz w:val="14"/>
        </w:rPr>
        <w:t>of</w:t>
      </w:r>
      <w:r>
        <w:rPr>
          <w:spacing w:val="-1"/>
          <w:sz w:val="14"/>
        </w:rPr>
        <w:t> </w:t>
      </w:r>
      <w:r>
        <w:rPr>
          <w:sz w:val="14"/>
        </w:rPr>
        <w:t>employee</w:t>
      </w:r>
      <w:r>
        <w:rPr>
          <w:spacing w:val="-1"/>
          <w:sz w:val="14"/>
        </w:rPr>
        <w:t> </w:t>
      </w:r>
      <w:r>
        <w:rPr>
          <w:sz w:val="14"/>
        </w:rPr>
        <w:t>performance</w:t>
      </w:r>
      <w:r>
        <w:rPr>
          <w:spacing w:val="-1"/>
          <w:sz w:val="14"/>
        </w:rPr>
        <w:t> </w:t>
      </w:r>
      <w:r>
        <w:rPr>
          <w:sz w:val="14"/>
        </w:rPr>
        <w:t>stock</w:t>
      </w:r>
      <w:r>
        <w:rPr>
          <w:spacing w:val="40"/>
          <w:sz w:val="14"/>
        </w:rPr>
        <w:t> </w:t>
      </w:r>
      <w:r>
        <w:rPr>
          <w:sz w:val="14"/>
        </w:rPr>
        <w:t>units; (iii) 51,078 shares of common stock related to the vesting of employee restricted stock; (iv) 59 shares of common stock related to the exercise of employee stock options and payment of the</w:t>
      </w:r>
      <w:r>
        <w:rPr>
          <w:spacing w:val="40"/>
          <w:sz w:val="14"/>
        </w:rPr>
        <w:t> </w:t>
      </w:r>
      <w:r>
        <w:rPr>
          <w:sz w:val="14"/>
        </w:rPr>
        <w:t>exercise price, and (v) the purchase of 6,619,426 shares of common stock in open market repurchases under the 2019 Repurchase Program.</w:t>
      </w:r>
    </w:p>
    <w:p>
      <w:pPr>
        <w:pStyle w:val="ListParagraph"/>
        <w:numPr>
          <w:ilvl w:val="1"/>
          <w:numId w:val="6"/>
        </w:numPr>
        <w:tabs>
          <w:tab w:pos="459" w:val="left" w:leader="none"/>
        </w:tabs>
        <w:spacing w:line="154" w:lineRule="exact" w:before="0" w:after="0"/>
        <w:ind w:left="459" w:right="0" w:hanging="303"/>
        <w:jc w:val="left"/>
        <w:rPr>
          <w:sz w:val="14"/>
        </w:rPr>
      </w:pPr>
      <w:r>
        <w:rPr>
          <w:sz w:val="14"/>
        </w:rPr>
        <w:t>Represents</w:t>
      </w:r>
      <w:r>
        <w:rPr>
          <w:spacing w:val="-2"/>
          <w:sz w:val="14"/>
        </w:rPr>
        <w:t> </w:t>
      </w:r>
      <w:r>
        <w:rPr>
          <w:sz w:val="14"/>
        </w:rPr>
        <w:t>the</w:t>
      </w:r>
      <w:r>
        <w:rPr>
          <w:spacing w:val="-1"/>
          <w:sz w:val="14"/>
        </w:rPr>
        <w:t> </w:t>
      </w:r>
      <w:r>
        <w:rPr>
          <w:sz w:val="14"/>
        </w:rPr>
        <w:t>stock</w:t>
      </w:r>
      <w:r>
        <w:rPr>
          <w:spacing w:val="-1"/>
          <w:sz w:val="14"/>
        </w:rPr>
        <w:t> </w:t>
      </w:r>
      <w:r>
        <w:rPr>
          <w:sz w:val="14"/>
        </w:rPr>
        <w:t>price</w:t>
      </w:r>
      <w:r>
        <w:rPr>
          <w:spacing w:val="-1"/>
          <w:sz w:val="14"/>
        </w:rPr>
        <w:t> </w:t>
      </w:r>
      <w:r>
        <w:rPr>
          <w:sz w:val="14"/>
        </w:rPr>
        <w:t>at</w:t>
      </w:r>
      <w:r>
        <w:rPr>
          <w:spacing w:val="-1"/>
          <w:sz w:val="14"/>
        </w:rPr>
        <w:t> </w:t>
      </w:r>
      <w:r>
        <w:rPr>
          <w:sz w:val="14"/>
        </w:rPr>
        <w:t>the</w:t>
      </w:r>
      <w:r>
        <w:rPr>
          <w:spacing w:val="-1"/>
          <w:sz w:val="14"/>
        </w:rPr>
        <w:t> </w:t>
      </w:r>
      <w:r>
        <w:rPr>
          <w:sz w:val="14"/>
        </w:rPr>
        <w:t>time</w:t>
      </w:r>
      <w:r>
        <w:rPr>
          <w:spacing w:val="-1"/>
          <w:sz w:val="14"/>
        </w:rPr>
        <w:t> </w:t>
      </w:r>
      <w:r>
        <w:rPr>
          <w:sz w:val="14"/>
        </w:rPr>
        <w:t>of</w:t>
      </w:r>
      <w:r>
        <w:rPr>
          <w:spacing w:val="-1"/>
          <w:sz w:val="14"/>
        </w:rPr>
        <w:t> </w:t>
      </w:r>
      <w:r>
        <w:rPr>
          <w:spacing w:val="-2"/>
          <w:sz w:val="14"/>
        </w:rPr>
        <w:t>surrender.</w:t>
      </w:r>
    </w:p>
    <w:p>
      <w:pPr>
        <w:pStyle w:val="BodyText"/>
        <w:spacing w:before="41"/>
        <w:rPr>
          <w:sz w:val="14"/>
        </w:rPr>
      </w:pPr>
    </w:p>
    <w:p>
      <w:pPr>
        <w:spacing w:before="1"/>
        <w:ind w:left="156" w:right="0" w:firstLine="0"/>
        <w:jc w:val="left"/>
        <w:rPr>
          <w:b/>
          <w:sz w:val="16"/>
        </w:rPr>
      </w:pPr>
      <w:r>
        <w:rPr>
          <w:b/>
          <w:w w:val="105"/>
          <w:sz w:val="16"/>
          <w:u w:val="single"/>
        </w:rPr>
        <w:t>Item</w:t>
      </w:r>
      <w:r>
        <w:rPr>
          <w:b/>
          <w:spacing w:val="-6"/>
          <w:w w:val="105"/>
          <w:sz w:val="16"/>
          <w:u w:val="single"/>
        </w:rPr>
        <w:t> </w:t>
      </w:r>
      <w:r>
        <w:rPr>
          <w:b/>
          <w:w w:val="105"/>
          <w:sz w:val="16"/>
          <w:u w:val="single"/>
        </w:rPr>
        <w:t>6.</w:t>
      </w:r>
      <w:r>
        <w:rPr>
          <w:b/>
          <w:spacing w:val="-5"/>
          <w:w w:val="105"/>
          <w:sz w:val="16"/>
          <w:u w:val="single"/>
        </w:rPr>
        <w:t> </w:t>
      </w:r>
      <w:r>
        <w:rPr>
          <w:b/>
          <w:spacing w:val="-2"/>
          <w:w w:val="105"/>
          <w:sz w:val="16"/>
          <w:u w:val="single"/>
        </w:rPr>
        <w:t>[Reserved]</w:t>
      </w:r>
    </w:p>
    <w:p>
      <w:pPr>
        <w:pStyle w:val="BodyText"/>
        <w:spacing w:before="39"/>
        <w:rPr>
          <w:b/>
        </w:rPr>
      </w:pPr>
    </w:p>
    <w:p>
      <w:pPr>
        <w:pStyle w:val="BodyText"/>
        <w:ind w:left="48"/>
        <w:jc w:val="center"/>
      </w:pPr>
      <w:r>
        <w:rPr>
          <w:spacing w:val="-5"/>
          <w:w w:val="105"/>
        </w:rPr>
        <w:t>23</w:t>
      </w:r>
    </w:p>
    <w:p>
      <w:pPr>
        <w:pStyle w:val="BodyText"/>
        <w:rPr>
          <w:sz w:val="6"/>
        </w:rPr>
      </w:pPr>
      <w:r>
        <w:rPr/>
        <mc:AlternateContent>
          <mc:Choice Requires="wps">
            <w:drawing>
              <wp:anchor distT="0" distB="0" distL="0" distR="0" allowOverlap="1" layoutInCell="1" locked="0" behindDoc="1" simplePos="0" relativeHeight="487601152">
                <wp:simplePos x="0" y="0"/>
                <wp:positionH relativeFrom="page">
                  <wp:posOffset>226488</wp:posOffset>
                </wp:positionH>
                <wp:positionV relativeFrom="paragraph">
                  <wp:posOffset>59051</wp:posOffset>
                </wp:positionV>
                <wp:extent cx="7312659" cy="1651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15328;mso-wrap-distance-left:0;mso-wrap-distance-right:0" id="docshape27"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pPr>
    </w:p>
    <w:p>
      <w:pPr>
        <w:pStyle w:val="BodyText"/>
        <w:spacing w:before="58"/>
      </w:pPr>
    </w:p>
    <w:p>
      <w:pPr>
        <w:spacing w:before="0"/>
        <w:ind w:left="156" w:right="0" w:firstLine="0"/>
        <w:jc w:val="left"/>
        <w:rPr>
          <w:b/>
          <w:sz w:val="16"/>
        </w:rPr>
      </w:pPr>
      <w:r>
        <w:rPr>
          <w:b/>
          <w:spacing w:val="-2"/>
          <w:w w:val="105"/>
          <w:sz w:val="16"/>
          <w:u w:val="single"/>
        </w:rPr>
        <w:t>Item</w:t>
      </w:r>
      <w:r>
        <w:rPr>
          <w:b/>
          <w:spacing w:val="-1"/>
          <w:w w:val="105"/>
          <w:sz w:val="16"/>
          <w:u w:val="single"/>
        </w:rPr>
        <w:t> </w:t>
      </w:r>
      <w:r>
        <w:rPr>
          <w:b/>
          <w:spacing w:val="-2"/>
          <w:w w:val="105"/>
          <w:sz w:val="16"/>
          <w:u w:val="single"/>
        </w:rPr>
        <w:t>7.</w:t>
      </w:r>
      <w:r>
        <w:rPr>
          <w:b/>
          <w:spacing w:val="-1"/>
          <w:w w:val="105"/>
          <w:sz w:val="16"/>
          <w:u w:val="single"/>
        </w:rPr>
        <w:t> </w:t>
      </w:r>
      <w:r>
        <w:rPr>
          <w:b/>
          <w:spacing w:val="-2"/>
          <w:w w:val="105"/>
          <w:sz w:val="16"/>
          <w:u w:val="single"/>
        </w:rPr>
        <w:t>Management</w:t>
      </w:r>
      <w:r>
        <w:rPr>
          <w:spacing w:val="-2"/>
          <w:w w:val="105"/>
          <w:sz w:val="16"/>
          <w:u w:val="single"/>
        </w:rPr>
        <w:t>’</w:t>
      </w:r>
      <w:r>
        <w:rPr>
          <w:b/>
          <w:spacing w:val="-2"/>
          <w:w w:val="105"/>
          <w:sz w:val="16"/>
          <w:u w:val="single"/>
        </w:rPr>
        <w:t>s</w:t>
      </w:r>
      <w:r>
        <w:rPr>
          <w:b/>
          <w:spacing w:val="-1"/>
          <w:w w:val="105"/>
          <w:sz w:val="16"/>
          <w:u w:val="single"/>
        </w:rPr>
        <w:t> </w:t>
      </w:r>
      <w:r>
        <w:rPr>
          <w:b/>
          <w:spacing w:val="-2"/>
          <w:w w:val="105"/>
          <w:sz w:val="16"/>
          <w:u w:val="single"/>
        </w:rPr>
        <w:t>Discussion</w:t>
      </w:r>
      <w:r>
        <w:rPr>
          <w:b/>
          <w:spacing w:val="-1"/>
          <w:w w:val="105"/>
          <w:sz w:val="16"/>
          <w:u w:val="single"/>
        </w:rPr>
        <w:t> </w:t>
      </w:r>
      <w:r>
        <w:rPr>
          <w:b/>
          <w:spacing w:val="-2"/>
          <w:w w:val="105"/>
          <w:sz w:val="16"/>
          <w:u w:val="single"/>
        </w:rPr>
        <w:t>and</w:t>
      </w:r>
      <w:r>
        <w:rPr>
          <w:b/>
          <w:spacing w:val="-1"/>
          <w:w w:val="105"/>
          <w:sz w:val="16"/>
          <w:u w:val="single"/>
        </w:rPr>
        <w:t> </w:t>
      </w:r>
      <w:r>
        <w:rPr>
          <w:b/>
          <w:spacing w:val="-2"/>
          <w:w w:val="105"/>
          <w:sz w:val="16"/>
          <w:u w:val="single"/>
        </w:rPr>
        <w:t>Analysis</w:t>
      </w:r>
      <w:r>
        <w:rPr>
          <w:b/>
          <w:spacing w:val="-1"/>
          <w:w w:val="105"/>
          <w:sz w:val="16"/>
          <w:u w:val="single"/>
        </w:rPr>
        <w:t> </w:t>
      </w:r>
      <w:r>
        <w:rPr>
          <w:b/>
          <w:spacing w:val="-2"/>
          <w:w w:val="105"/>
          <w:sz w:val="16"/>
          <w:u w:val="single"/>
        </w:rPr>
        <w:t>of</w:t>
      </w:r>
      <w:r>
        <w:rPr>
          <w:b/>
          <w:w w:val="105"/>
          <w:sz w:val="16"/>
          <w:u w:val="single"/>
        </w:rPr>
        <w:t> </w:t>
      </w:r>
      <w:r>
        <w:rPr>
          <w:b/>
          <w:spacing w:val="-2"/>
          <w:w w:val="105"/>
          <w:sz w:val="16"/>
          <w:u w:val="single"/>
        </w:rPr>
        <w:t>Financial</w:t>
      </w:r>
      <w:r>
        <w:rPr>
          <w:b/>
          <w:spacing w:val="-1"/>
          <w:w w:val="105"/>
          <w:sz w:val="16"/>
          <w:u w:val="single"/>
        </w:rPr>
        <w:t> </w:t>
      </w:r>
      <w:r>
        <w:rPr>
          <w:b/>
          <w:spacing w:val="-2"/>
          <w:w w:val="105"/>
          <w:sz w:val="16"/>
          <w:u w:val="single"/>
        </w:rPr>
        <w:t>Condition</w:t>
      </w:r>
      <w:r>
        <w:rPr>
          <w:b/>
          <w:spacing w:val="-1"/>
          <w:w w:val="105"/>
          <w:sz w:val="16"/>
          <w:u w:val="single"/>
        </w:rPr>
        <w:t> </w:t>
      </w:r>
      <w:r>
        <w:rPr>
          <w:b/>
          <w:spacing w:val="-2"/>
          <w:w w:val="105"/>
          <w:sz w:val="16"/>
          <w:u w:val="single"/>
        </w:rPr>
        <w:t>and</w:t>
      </w:r>
      <w:r>
        <w:rPr>
          <w:b/>
          <w:spacing w:val="-1"/>
          <w:w w:val="105"/>
          <w:sz w:val="16"/>
          <w:u w:val="single"/>
        </w:rPr>
        <w:t> </w:t>
      </w:r>
      <w:r>
        <w:rPr>
          <w:b/>
          <w:spacing w:val="-2"/>
          <w:w w:val="105"/>
          <w:sz w:val="16"/>
          <w:u w:val="single"/>
        </w:rPr>
        <w:t>Results</w:t>
      </w:r>
      <w:r>
        <w:rPr>
          <w:b/>
          <w:spacing w:val="-1"/>
          <w:w w:val="105"/>
          <w:sz w:val="16"/>
          <w:u w:val="single"/>
        </w:rPr>
        <w:t> </w:t>
      </w:r>
      <w:r>
        <w:rPr>
          <w:b/>
          <w:spacing w:val="-2"/>
          <w:w w:val="105"/>
          <w:sz w:val="16"/>
          <w:u w:val="single"/>
        </w:rPr>
        <w:t>of</w:t>
      </w:r>
      <w:r>
        <w:rPr>
          <w:b/>
          <w:spacing w:val="-1"/>
          <w:w w:val="105"/>
          <w:sz w:val="16"/>
          <w:u w:val="single"/>
        </w:rPr>
        <w:t> </w:t>
      </w:r>
      <w:r>
        <w:rPr>
          <w:b/>
          <w:spacing w:val="-2"/>
          <w:w w:val="105"/>
          <w:sz w:val="16"/>
          <w:u w:val="single"/>
        </w:rPr>
        <w:t>Operations</w:t>
      </w:r>
    </w:p>
    <w:p>
      <w:pPr>
        <w:pStyle w:val="BodyText"/>
        <w:spacing w:before="39"/>
        <w:rPr>
          <w:b/>
        </w:rPr>
      </w:pPr>
    </w:p>
    <w:p>
      <w:pPr>
        <w:pStyle w:val="BodyText"/>
        <w:spacing w:line="266" w:lineRule="auto" w:before="1"/>
        <w:ind w:left="156" w:right="328"/>
      </w:pPr>
      <w:r>
        <w:rPr>
          <w:w w:val="105"/>
        </w:rPr>
        <w:t>For</w:t>
      </w:r>
      <w:r>
        <w:rPr>
          <w:spacing w:val="-9"/>
          <w:w w:val="105"/>
        </w:rPr>
        <w:t> </w:t>
      </w:r>
      <w:r>
        <w:rPr>
          <w:w w:val="105"/>
        </w:rPr>
        <w:t>discussion</w:t>
      </w:r>
      <w:r>
        <w:rPr>
          <w:spacing w:val="-9"/>
          <w:w w:val="105"/>
        </w:rPr>
        <w:t> </w:t>
      </w:r>
      <w:r>
        <w:rPr>
          <w:w w:val="105"/>
        </w:rPr>
        <w:t>of</w:t>
      </w:r>
      <w:r>
        <w:rPr>
          <w:spacing w:val="-9"/>
          <w:w w:val="105"/>
        </w:rPr>
        <w:t> </w:t>
      </w:r>
      <w:r>
        <w:rPr>
          <w:w w:val="105"/>
        </w:rPr>
        <w:t>2020</w:t>
      </w:r>
      <w:r>
        <w:rPr>
          <w:spacing w:val="-9"/>
          <w:w w:val="105"/>
        </w:rPr>
        <w:t> </w:t>
      </w:r>
      <w:r>
        <w:rPr>
          <w:w w:val="105"/>
        </w:rPr>
        <w:t>results</w:t>
      </w:r>
      <w:r>
        <w:rPr>
          <w:spacing w:val="-9"/>
          <w:w w:val="105"/>
        </w:rPr>
        <w:t> </w:t>
      </w:r>
      <w:r>
        <w:rPr>
          <w:w w:val="105"/>
        </w:rPr>
        <w:t>year-over-year</w:t>
      </w:r>
      <w:r>
        <w:rPr>
          <w:spacing w:val="-9"/>
          <w:w w:val="105"/>
        </w:rPr>
        <w:t> </w:t>
      </w:r>
      <w:r>
        <w:rPr>
          <w:w w:val="105"/>
        </w:rPr>
        <w:t>comparison</w:t>
      </w:r>
      <w:r>
        <w:rPr>
          <w:spacing w:val="-9"/>
          <w:w w:val="105"/>
        </w:rPr>
        <w:t> </w:t>
      </w:r>
      <w:r>
        <w:rPr>
          <w:w w:val="105"/>
        </w:rPr>
        <w:t>with</w:t>
      </w:r>
      <w:r>
        <w:rPr>
          <w:spacing w:val="-9"/>
          <w:w w:val="105"/>
        </w:rPr>
        <w:t> </w:t>
      </w:r>
      <w:r>
        <w:rPr>
          <w:w w:val="105"/>
        </w:rPr>
        <w:t>2019</w:t>
      </w:r>
      <w:r>
        <w:rPr>
          <w:spacing w:val="-9"/>
          <w:w w:val="105"/>
        </w:rPr>
        <w:t> </w:t>
      </w:r>
      <w:r>
        <w:rPr>
          <w:w w:val="105"/>
        </w:rPr>
        <w:t>results</w:t>
      </w:r>
      <w:r>
        <w:rPr>
          <w:spacing w:val="-9"/>
          <w:w w:val="105"/>
        </w:rPr>
        <w:t> </w:t>
      </w:r>
      <w:r>
        <w:rPr>
          <w:w w:val="105"/>
        </w:rPr>
        <w:t>refer</w:t>
      </w:r>
      <w:r>
        <w:rPr>
          <w:spacing w:val="-9"/>
          <w:w w:val="105"/>
        </w:rPr>
        <w:t> </w:t>
      </w:r>
      <w:r>
        <w:rPr>
          <w:w w:val="105"/>
        </w:rPr>
        <w:t>to</w:t>
      </w:r>
      <w:r>
        <w:rPr>
          <w:spacing w:val="-9"/>
          <w:w w:val="105"/>
        </w:rPr>
        <w:t> </w:t>
      </w:r>
      <w:r>
        <w:rPr>
          <w:w w:val="105"/>
        </w:rPr>
        <w:t>"Management's</w:t>
      </w:r>
      <w:r>
        <w:rPr>
          <w:spacing w:val="-9"/>
          <w:w w:val="105"/>
        </w:rPr>
        <w:t> </w:t>
      </w:r>
      <w:r>
        <w:rPr>
          <w:w w:val="105"/>
        </w:rPr>
        <w:t>Discussion</w:t>
      </w:r>
      <w:r>
        <w:rPr>
          <w:spacing w:val="-9"/>
          <w:w w:val="105"/>
        </w:rPr>
        <w:t> </w:t>
      </w:r>
      <w:r>
        <w:rPr>
          <w:w w:val="105"/>
        </w:rPr>
        <w:t>and</w:t>
      </w:r>
      <w:r>
        <w:rPr>
          <w:spacing w:val="-9"/>
          <w:w w:val="105"/>
        </w:rPr>
        <w:t> </w:t>
      </w:r>
      <w:r>
        <w:rPr>
          <w:w w:val="105"/>
        </w:rPr>
        <w:t>Analysis</w:t>
      </w:r>
      <w:r>
        <w:rPr>
          <w:spacing w:val="-9"/>
          <w:w w:val="105"/>
        </w:rPr>
        <w:t> </w:t>
      </w:r>
      <w:r>
        <w:rPr>
          <w:w w:val="105"/>
        </w:rPr>
        <w:t>of</w:t>
      </w:r>
      <w:r>
        <w:rPr>
          <w:spacing w:val="-9"/>
          <w:w w:val="105"/>
        </w:rPr>
        <w:t> </w:t>
      </w:r>
      <w:r>
        <w:rPr>
          <w:w w:val="105"/>
        </w:rPr>
        <w:t>Financial</w:t>
      </w:r>
      <w:r>
        <w:rPr>
          <w:spacing w:val="-9"/>
          <w:w w:val="105"/>
        </w:rPr>
        <w:t> </w:t>
      </w:r>
      <w:r>
        <w:rPr>
          <w:w w:val="105"/>
        </w:rPr>
        <w:t>Conditions</w:t>
      </w:r>
      <w:r>
        <w:rPr>
          <w:spacing w:val="-9"/>
          <w:w w:val="105"/>
        </w:rPr>
        <w:t> </w:t>
      </w:r>
      <w:r>
        <w:rPr>
          <w:w w:val="105"/>
        </w:rPr>
        <w:t>and</w:t>
      </w:r>
      <w:r>
        <w:rPr>
          <w:spacing w:val="-9"/>
          <w:w w:val="105"/>
        </w:rPr>
        <w:t> </w:t>
      </w:r>
      <w:r>
        <w:rPr>
          <w:w w:val="105"/>
        </w:rPr>
        <w:t>Results</w:t>
      </w:r>
      <w:r>
        <w:rPr>
          <w:spacing w:val="-9"/>
          <w:w w:val="105"/>
        </w:rPr>
        <w:t> </w:t>
      </w:r>
      <w:r>
        <w:rPr>
          <w:w w:val="105"/>
        </w:rPr>
        <w:t>of Operations" in our Annual Report on Form 10-K for the fiscal year ended December 31, 2020.</w:t>
      </w:r>
    </w:p>
    <w:p>
      <w:pPr>
        <w:pStyle w:val="BodyText"/>
        <w:spacing w:before="18"/>
      </w:pPr>
    </w:p>
    <w:p>
      <w:pPr>
        <w:pStyle w:val="Heading2"/>
        <w:spacing w:before="1"/>
      </w:pPr>
      <w:r>
        <w:rPr/>
        <w:t>Organization</w:t>
      </w:r>
      <w:r>
        <w:rPr>
          <w:spacing w:val="11"/>
        </w:rPr>
        <w:t> </w:t>
      </w:r>
      <w:r>
        <w:rPr/>
        <w:t>of</w:t>
      </w:r>
      <w:r>
        <w:rPr>
          <w:spacing w:val="11"/>
        </w:rPr>
        <w:t> </w:t>
      </w:r>
      <w:r>
        <w:rPr>
          <w:spacing w:val="-2"/>
        </w:rPr>
        <w:t>Information</w:t>
      </w:r>
    </w:p>
    <w:p>
      <w:pPr>
        <w:pStyle w:val="BodyText"/>
        <w:spacing w:before="39"/>
        <w:rPr>
          <w:b/>
        </w:rPr>
      </w:pPr>
    </w:p>
    <w:p>
      <w:pPr>
        <w:pStyle w:val="BodyText"/>
        <w:spacing w:line="266" w:lineRule="auto"/>
        <w:ind w:left="156" w:right="328"/>
      </w:pPr>
      <w:r>
        <w:rPr>
          <w:w w:val="105"/>
        </w:rPr>
        <w:t>Management’s</w:t>
      </w:r>
      <w:r>
        <w:rPr>
          <w:spacing w:val="-10"/>
          <w:w w:val="105"/>
        </w:rPr>
        <w:t> </w:t>
      </w:r>
      <w:r>
        <w:rPr>
          <w:w w:val="105"/>
        </w:rPr>
        <w:t>Discussion</w:t>
      </w:r>
      <w:r>
        <w:rPr>
          <w:spacing w:val="-10"/>
          <w:w w:val="105"/>
        </w:rPr>
        <w:t> </w:t>
      </w:r>
      <w:r>
        <w:rPr>
          <w:w w:val="105"/>
        </w:rPr>
        <w:t>and</w:t>
      </w:r>
      <w:r>
        <w:rPr>
          <w:spacing w:val="-10"/>
          <w:w w:val="105"/>
        </w:rPr>
        <w:t> </w:t>
      </w:r>
      <w:r>
        <w:rPr>
          <w:w w:val="105"/>
        </w:rPr>
        <w:t>Analysis</w:t>
      </w:r>
      <w:r>
        <w:rPr>
          <w:spacing w:val="-10"/>
          <w:w w:val="105"/>
        </w:rPr>
        <w:t> </w:t>
      </w:r>
      <w:r>
        <w:rPr>
          <w:w w:val="105"/>
        </w:rPr>
        <w:t>provides</w:t>
      </w:r>
      <w:r>
        <w:rPr>
          <w:spacing w:val="-10"/>
          <w:w w:val="105"/>
        </w:rPr>
        <w:t> </w:t>
      </w:r>
      <w:r>
        <w:rPr>
          <w:w w:val="105"/>
        </w:rPr>
        <w:t>a</w:t>
      </w:r>
      <w:r>
        <w:rPr>
          <w:spacing w:val="-10"/>
          <w:w w:val="105"/>
        </w:rPr>
        <w:t> </w:t>
      </w:r>
      <w:r>
        <w:rPr>
          <w:w w:val="105"/>
        </w:rPr>
        <w:t>historical</w:t>
      </w:r>
      <w:r>
        <w:rPr>
          <w:spacing w:val="-10"/>
          <w:w w:val="105"/>
        </w:rPr>
        <w:t> </w:t>
      </w:r>
      <w:r>
        <w:rPr>
          <w:w w:val="105"/>
        </w:rPr>
        <w:t>and</w:t>
      </w:r>
      <w:r>
        <w:rPr>
          <w:spacing w:val="-10"/>
          <w:w w:val="105"/>
        </w:rPr>
        <w:t> </w:t>
      </w:r>
      <w:r>
        <w:rPr>
          <w:w w:val="105"/>
        </w:rPr>
        <w:t>prospective</w:t>
      </w:r>
      <w:r>
        <w:rPr>
          <w:spacing w:val="-10"/>
          <w:w w:val="105"/>
        </w:rPr>
        <w:t> </w:t>
      </w:r>
      <w:r>
        <w:rPr>
          <w:w w:val="105"/>
        </w:rPr>
        <w:t>narrative</w:t>
      </w:r>
      <w:r>
        <w:rPr>
          <w:spacing w:val="-10"/>
          <w:w w:val="105"/>
        </w:rPr>
        <w:t> </w:t>
      </w:r>
      <w:r>
        <w:rPr>
          <w:w w:val="105"/>
        </w:rPr>
        <w:t>on</w:t>
      </w:r>
      <w:r>
        <w:rPr>
          <w:spacing w:val="-10"/>
          <w:w w:val="105"/>
        </w:rPr>
        <w:t> </w:t>
      </w:r>
      <w:r>
        <w:rPr>
          <w:w w:val="105"/>
        </w:rPr>
        <w:t>the</w:t>
      </w:r>
      <w:r>
        <w:rPr>
          <w:spacing w:val="-10"/>
          <w:w w:val="105"/>
        </w:rPr>
        <w:t> </w:t>
      </w:r>
      <w:r>
        <w:rPr>
          <w:w w:val="105"/>
        </w:rPr>
        <w:t>Company’s</w:t>
      </w:r>
      <w:r>
        <w:rPr>
          <w:spacing w:val="-10"/>
          <w:w w:val="105"/>
        </w:rPr>
        <w:t> </w:t>
      </w:r>
      <w:r>
        <w:rPr>
          <w:w w:val="105"/>
        </w:rPr>
        <w:t>financial</w:t>
      </w:r>
      <w:r>
        <w:rPr>
          <w:spacing w:val="-10"/>
          <w:w w:val="105"/>
        </w:rPr>
        <w:t> </w:t>
      </w:r>
      <w:r>
        <w:rPr>
          <w:w w:val="105"/>
        </w:rPr>
        <w:t>condition</w:t>
      </w:r>
      <w:r>
        <w:rPr>
          <w:spacing w:val="-10"/>
          <w:w w:val="105"/>
        </w:rPr>
        <w:t> </w:t>
      </w:r>
      <w:r>
        <w:rPr>
          <w:w w:val="105"/>
        </w:rPr>
        <w:t>and</w:t>
      </w:r>
      <w:r>
        <w:rPr>
          <w:spacing w:val="-10"/>
          <w:w w:val="105"/>
        </w:rPr>
        <w:t> </w:t>
      </w:r>
      <w:r>
        <w:rPr>
          <w:w w:val="105"/>
        </w:rPr>
        <w:t>results</w:t>
      </w:r>
      <w:r>
        <w:rPr>
          <w:spacing w:val="-10"/>
          <w:w w:val="105"/>
        </w:rPr>
        <w:t> </w:t>
      </w:r>
      <w:r>
        <w:rPr>
          <w:w w:val="105"/>
        </w:rPr>
        <w:t>of</w:t>
      </w:r>
      <w:r>
        <w:rPr>
          <w:spacing w:val="-10"/>
          <w:w w:val="105"/>
        </w:rPr>
        <w:t> </w:t>
      </w:r>
      <w:r>
        <w:rPr>
          <w:w w:val="105"/>
        </w:rPr>
        <w:t>operations.</w:t>
      </w:r>
      <w:r>
        <w:rPr>
          <w:spacing w:val="-10"/>
          <w:w w:val="105"/>
        </w:rPr>
        <w:t> </w:t>
      </w:r>
      <w:r>
        <w:rPr>
          <w:w w:val="105"/>
        </w:rPr>
        <w:t>This</w:t>
      </w:r>
      <w:r>
        <w:rPr>
          <w:spacing w:val="-10"/>
          <w:w w:val="105"/>
        </w:rPr>
        <w:t> </w:t>
      </w:r>
      <w:r>
        <w:rPr>
          <w:w w:val="105"/>
        </w:rPr>
        <w:t>discussion includes the following sections:</w:t>
      </w:r>
    </w:p>
    <w:p>
      <w:pPr>
        <w:pStyle w:val="BodyText"/>
        <w:spacing w:before="19"/>
      </w:pPr>
    </w:p>
    <w:p>
      <w:pPr>
        <w:pStyle w:val="ListParagraph"/>
        <w:numPr>
          <w:ilvl w:val="0"/>
          <w:numId w:val="7"/>
        </w:numPr>
        <w:tabs>
          <w:tab w:pos="462" w:val="left" w:leader="none"/>
        </w:tabs>
        <w:spacing w:line="240" w:lineRule="auto" w:before="0" w:after="0"/>
        <w:ind w:left="462" w:right="0" w:hanging="306"/>
        <w:jc w:val="left"/>
        <w:rPr>
          <w:sz w:val="16"/>
        </w:rPr>
      </w:pPr>
      <w:r>
        <w:rPr>
          <w:spacing w:val="-2"/>
          <w:w w:val="105"/>
          <w:sz w:val="16"/>
        </w:rPr>
        <w:t>Overview</w:t>
      </w:r>
    </w:p>
    <w:p>
      <w:pPr>
        <w:pStyle w:val="ListParagraph"/>
        <w:numPr>
          <w:ilvl w:val="0"/>
          <w:numId w:val="7"/>
        </w:numPr>
        <w:tabs>
          <w:tab w:pos="462" w:val="left" w:leader="none"/>
        </w:tabs>
        <w:spacing w:line="240" w:lineRule="auto" w:before="20" w:after="0"/>
        <w:ind w:left="462" w:right="0" w:hanging="306"/>
        <w:jc w:val="left"/>
        <w:rPr>
          <w:sz w:val="16"/>
        </w:rPr>
      </w:pPr>
      <w:r>
        <w:rPr>
          <w:w w:val="105"/>
          <w:sz w:val="16"/>
        </w:rPr>
        <w:t>Results</w:t>
      </w:r>
      <w:r>
        <w:rPr>
          <w:spacing w:val="-11"/>
          <w:w w:val="105"/>
          <w:sz w:val="16"/>
        </w:rPr>
        <w:t> </w:t>
      </w:r>
      <w:r>
        <w:rPr>
          <w:w w:val="105"/>
          <w:sz w:val="16"/>
        </w:rPr>
        <w:t>of</w:t>
      </w:r>
      <w:r>
        <w:rPr>
          <w:spacing w:val="-10"/>
          <w:w w:val="105"/>
          <w:sz w:val="16"/>
        </w:rPr>
        <w:t> </w:t>
      </w:r>
      <w:r>
        <w:rPr>
          <w:spacing w:val="-2"/>
          <w:w w:val="105"/>
          <w:sz w:val="16"/>
        </w:rPr>
        <w:t>Operations</w:t>
      </w:r>
    </w:p>
    <w:p>
      <w:pPr>
        <w:pStyle w:val="ListParagraph"/>
        <w:numPr>
          <w:ilvl w:val="0"/>
          <w:numId w:val="7"/>
        </w:numPr>
        <w:tabs>
          <w:tab w:pos="462" w:val="left" w:leader="none"/>
        </w:tabs>
        <w:spacing w:line="240" w:lineRule="auto" w:before="20" w:after="0"/>
        <w:ind w:left="462" w:right="0" w:hanging="306"/>
        <w:jc w:val="left"/>
        <w:rPr>
          <w:sz w:val="16"/>
        </w:rPr>
      </w:pPr>
      <w:r>
        <w:rPr>
          <w:sz w:val="16"/>
        </w:rPr>
        <w:t>Core</w:t>
      </w:r>
      <w:r>
        <w:rPr>
          <w:spacing w:val="17"/>
          <w:sz w:val="16"/>
        </w:rPr>
        <w:t> </w:t>
      </w:r>
      <w:r>
        <w:rPr>
          <w:sz w:val="16"/>
        </w:rPr>
        <w:t>Performance</w:t>
      </w:r>
      <w:r>
        <w:rPr>
          <w:spacing w:val="18"/>
          <w:sz w:val="16"/>
        </w:rPr>
        <w:t> </w:t>
      </w:r>
      <w:r>
        <w:rPr>
          <w:spacing w:val="-2"/>
          <w:sz w:val="16"/>
        </w:rPr>
        <w:t>Measures</w:t>
      </w:r>
    </w:p>
    <w:p>
      <w:pPr>
        <w:pStyle w:val="ListParagraph"/>
        <w:numPr>
          <w:ilvl w:val="0"/>
          <w:numId w:val="7"/>
        </w:numPr>
        <w:tabs>
          <w:tab w:pos="462" w:val="left" w:leader="none"/>
        </w:tabs>
        <w:spacing w:line="240" w:lineRule="auto" w:before="20" w:after="0"/>
        <w:ind w:left="462" w:right="0" w:hanging="306"/>
        <w:jc w:val="left"/>
        <w:rPr>
          <w:sz w:val="16"/>
        </w:rPr>
      </w:pPr>
      <w:r>
        <w:rPr>
          <w:sz w:val="16"/>
        </w:rPr>
        <w:t>Reportable</w:t>
      </w:r>
      <w:r>
        <w:rPr>
          <w:spacing w:val="22"/>
          <w:sz w:val="16"/>
        </w:rPr>
        <w:t> </w:t>
      </w:r>
      <w:r>
        <w:rPr>
          <w:spacing w:val="-2"/>
          <w:sz w:val="16"/>
        </w:rPr>
        <w:t>Segments</w:t>
      </w:r>
    </w:p>
    <w:p>
      <w:pPr>
        <w:pStyle w:val="ListParagraph"/>
        <w:numPr>
          <w:ilvl w:val="0"/>
          <w:numId w:val="7"/>
        </w:numPr>
        <w:tabs>
          <w:tab w:pos="462" w:val="left" w:leader="none"/>
        </w:tabs>
        <w:spacing w:line="240" w:lineRule="auto" w:before="20" w:after="0"/>
        <w:ind w:left="462" w:right="0" w:hanging="306"/>
        <w:jc w:val="left"/>
        <w:rPr>
          <w:sz w:val="16"/>
        </w:rPr>
      </w:pPr>
      <w:r>
        <w:rPr>
          <w:w w:val="105"/>
          <w:sz w:val="16"/>
        </w:rPr>
        <w:t>Liquidity</w:t>
      </w:r>
      <w:r>
        <w:rPr>
          <w:spacing w:val="-10"/>
          <w:w w:val="105"/>
          <w:sz w:val="16"/>
        </w:rPr>
        <w:t> </w:t>
      </w:r>
      <w:r>
        <w:rPr>
          <w:w w:val="105"/>
          <w:sz w:val="16"/>
        </w:rPr>
        <w:t>and</w:t>
      </w:r>
      <w:r>
        <w:rPr>
          <w:spacing w:val="-10"/>
          <w:w w:val="105"/>
          <w:sz w:val="16"/>
        </w:rPr>
        <w:t> </w:t>
      </w:r>
      <w:r>
        <w:rPr>
          <w:w w:val="105"/>
          <w:sz w:val="16"/>
        </w:rPr>
        <w:t>Capital</w:t>
      </w:r>
      <w:r>
        <w:rPr>
          <w:spacing w:val="-9"/>
          <w:w w:val="105"/>
          <w:sz w:val="16"/>
        </w:rPr>
        <w:t> </w:t>
      </w:r>
      <w:r>
        <w:rPr>
          <w:spacing w:val="-2"/>
          <w:w w:val="105"/>
          <w:sz w:val="16"/>
        </w:rPr>
        <w:t>Resources</w:t>
      </w:r>
    </w:p>
    <w:p>
      <w:pPr>
        <w:pStyle w:val="ListParagraph"/>
        <w:numPr>
          <w:ilvl w:val="0"/>
          <w:numId w:val="7"/>
        </w:numPr>
        <w:tabs>
          <w:tab w:pos="462" w:val="left" w:leader="none"/>
        </w:tabs>
        <w:spacing w:line="240" w:lineRule="auto" w:before="19" w:after="0"/>
        <w:ind w:left="462" w:right="0" w:hanging="306"/>
        <w:jc w:val="left"/>
        <w:rPr>
          <w:sz w:val="16"/>
        </w:rPr>
      </w:pPr>
      <w:r>
        <w:rPr>
          <w:spacing w:val="-2"/>
          <w:w w:val="105"/>
          <w:sz w:val="16"/>
        </w:rPr>
        <w:t>Environment</w:t>
      </w:r>
    </w:p>
    <w:p>
      <w:pPr>
        <w:pStyle w:val="ListParagraph"/>
        <w:numPr>
          <w:ilvl w:val="0"/>
          <w:numId w:val="7"/>
        </w:numPr>
        <w:tabs>
          <w:tab w:pos="462" w:val="left" w:leader="none"/>
        </w:tabs>
        <w:spacing w:line="240" w:lineRule="auto" w:before="20" w:after="0"/>
        <w:ind w:left="462" w:right="0" w:hanging="306"/>
        <w:jc w:val="left"/>
        <w:rPr>
          <w:sz w:val="16"/>
        </w:rPr>
      </w:pPr>
      <w:r>
        <w:rPr>
          <w:sz w:val="16"/>
        </w:rPr>
        <w:t>Critical</w:t>
      </w:r>
      <w:r>
        <w:rPr>
          <w:spacing w:val="19"/>
          <w:sz w:val="16"/>
        </w:rPr>
        <w:t> </w:t>
      </w:r>
      <w:r>
        <w:rPr>
          <w:sz w:val="16"/>
        </w:rPr>
        <w:t>Accounting</w:t>
      </w:r>
      <w:r>
        <w:rPr>
          <w:spacing w:val="19"/>
          <w:sz w:val="16"/>
        </w:rPr>
        <w:t> </w:t>
      </w:r>
      <w:r>
        <w:rPr>
          <w:spacing w:val="-2"/>
          <w:sz w:val="16"/>
        </w:rPr>
        <w:t>Estimates</w:t>
      </w:r>
    </w:p>
    <w:p>
      <w:pPr>
        <w:pStyle w:val="ListParagraph"/>
        <w:numPr>
          <w:ilvl w:val="0"/>
          <w:numId w:val="7"/>
        </w:numPr>
        <w:tabs>
          <w:tab w:pos="462" w:val="left" w:leader="none"/>
        </w:tabs>
        <w:spacing w:line="240" w:lineRule="auto" w:before="20" w:after="0"/>
        <w:ind w:left="462" w:right="0" w:hanging="306"/>
        <w:jc w:val="left"/>
        <w:rPr>
          <w:sz w:val="16"/>
        </w:rPr>
      </w:pPr>
      <w:r>
        <w:rPr>
          <w:sz w:val="16"/>
        </w:rPr>
        <w:t>New</w:t>
      </w:r>
      <w:r>
        <w:rPr>
          <w:spacing w:val="15"/>
          <w:sz w:val="16"/>
        </w:rPr>
        <w:t> </w:t>
      </w:r>
      <w:r>
        <w:rPr>
          <w:sz w:val="16"/>
        </w:rPr>
        <w:t>Accounting</w:t>
      </w:r>
      <w:r>
        <w:rPr>
          <w:spacing w:val="16"/>
          <w:sz w:val="16"/>
        </w:rPr>
        <w:t> </w:t>
      </w:r>
      <w:r>
        <w:rPr>
          <w:spacing w:val="-2"/>
          <w:sz w:val="16"/>
        </w:rPr>
        <w:t>Standards</w:t>
      </w:r>
    </w:p>
    <w:p>
      <w:pPr>
        <w:pStyle w:val="ListParagraph"/>
        <w:numPr>
          <w:ilvl w:val="0"/>
          <w:numId w:val="7"/>
        </w:numPr>
        <w:tabs>
          <w:tab w:pos="462" w:val="left" w:leader="none"/>
        </w:tabs>
        <w:spacing w:line="240" w:lineRule="auto" w:before="20" w:after="0"/>
        <w:ind w:left="462" w:right="0" w:hanging="306"/>
        <w:jc w:val="left"/>
        <w:rPr>
          <w:sz w:val="16"/>
        </w:rPr>
      </w:pPr>
      <w:r>
        <w:rPr>
          <w:sz w:val="16"/>
        </w:rPr>
        <w:t>Forward-Looking</w:t>
      </w:r>
      <w:r>
        <w:rPr>
          <w:spacing w:val="35"/>
          <w:sz w:val="16"/>
        </w:rPr>
        <w:t> </w:t>
      </w:r>
      <w:r>
        <w:rPr>
          <w:spacing w:val="-2"/>
          <w:sz w:val="16"/>
        </w:rPr>
        <w:t>Statements</w:t>
      </w:r>
    </w:p>
    <w:p>
      <w:pPr>
        <w:pStyle w:val="BodyText"/>
        <w:spacing w:before="39"/>
      </w:pPr>
    </w:p>
    <w:p>
      <w:pPr>
        <w:pStyle w:val="Heading1"/>
        <w:spacing w:before="1"/>
      </w:pPr>
      <w:r>
        <w:rPr>
          <w:spacing w:val="-2"/>
          <w:w w:val="105"/>
        </w:rPr>
        <w:t>OVERVIEW</w:t>
      </w:r>
    </w:p>
    <w:p>
      <w:pPr>
        <w:pStyle w:val="BodyText"/>
        <w:spacing w:before="39"/>
        <w:rPr>
          <w:b/>
        </w:rPr>
      </w:pPr>
    </w:p>
    <w:p>
      <w:pPr>
        <w:pStyle w:val="BodyText"/>
        <w:spacing w:line="266" w:lineRule="auto"/>
        <w:ind w:left="156" w:right="227"/>
        <w:jc w:val="both"/>
      </w:pPr>
      <w:r>
        <w:rPr>
          <w:w w:val="105"/>
        </w:rPr>
        <w:t>In</w:t>
      </w:r>
      <w:r>
        <w:rPr>
          <w:spacing w:val="-9"/>
          <w:w w:val="105"/>
        </w:rPr>
        <w:t> </w:t>
      </w:r>
      <w:r>
        <w:rPr>
          <w:w w:val="105"/>
        </w:rPr>
        <w:t>response</w:t>
      </w:r>
      <w:r>
        <w:rPr>
          <w:spacing w:val="-9"/>
          <w:w w:val="105"/>
        </w:rPr>
        <w:t> </w:t>
      </w:r>
      <w:r>
        <w:rPr>
          <w:w w:val="105"/>
        </w:rPr>
        <w:t>to</w:t>
      </w:r>
      <w:r>
        <w:rPr>
          <w:spacing w:val="-9"/>
          <w:w w:val="105"/>
        </w:rPr>
        <w:t> </w:t>
      </w:r>
      <w:r>
        <w:rPr>
          <w:w w:val="105"/>
        </w:rPr>
        <w:t>the</w:t>
      </w:r>
      <w:r>
        <w:rPr>
          <w:spacing w:val="-9"/>
          <w:w w:val="105"/>
        </w:rPr>
        <w:t> </w:t>
      </w:r>
      <w:r>
        <w:rPr>
          <w:w w:val="105"/>
        </w:rPr>
        <w:t>COVID-19</w:t>
      </w:r>
      <w:r>
        <w:rPr>
          <w:spacing w:val="-9"/>
          <w:w w:val="105"/>
        </w:rPr>
        <w:t> </w:t>
      </w:r>
      <w:r>
        <w:rPr>
          <w:w w:val="105"/>
        </w:rPr>
        <w:t>pandemic</w:t>
      </w:r>
      <w:r>
        <w:rPr>
          <w:spacing w:val="-9"/>
          <w:w w:val="105"/>
        </w:rPr>
        <w:t> </w:t>
      </w:r>
      <w:r>
        <w:rPr>
          <w:w w:val="105"/>
        </w:rPr>
        <w:t>("the</w:t>
      </w:r>
      <w:r>
        <w:rPr>
          <w:spacing w:val="-9"/>
          <w:w w:val="105"/>
        </w:rPr>
        <w:t> </w:t>
      </w:r>
      <w:r>
        <w:rPr>
          <w:w w:val="105"/>
        </w:rPr>
        <w:t>pandemic")</w:t>
      </w:r>
      <w:r>
        <w:rPr>
          <w:spacing w:val="-9"/>
          <w:w w:val="105"/>
        </w:rPr>
        <w:t> </w:t>
      </w:r>
      <w:r>
        <w:rPr>
          <w:w w:val="105"/>
        </w:rPr>
        <w:t>and</w:t>
      </w:r>
      <w:r>
        <w:rPr>
          <w:spacing w:val="-9"/>
          <w:w w:val="105"/>
        </w:rPr>
        <w:t> </w:t>
      </w:r>
      <w:r>
        <w:rPr>
          <w:w w:val="105"/>
        </w:rPr>
        <w:t>the</w:t>
      </w:r>
      <w:r>
        <w:rPr>
          <w:spacing w:val="-9"/>
          <w:w w:val="105"/>
        </w:rPr>
        <w:t> </w:t>
      </w:r>
      <w:r>
        <w:rPr>
          <w:w w:val="105"/>
        </w:rPr>
        <w:t>ensuing</w:t>
      </w:r>
      <w:r>
        <w:rPr>
          <w:spacing w:val="-9"/>
          <w:w w:val="105"/>
        </w:rPr>
        <w:t> </w:t>
      </w:r>
      <w:r>
        <w:rPr>
          <w:w w:val="105"/>
        </w:rPr>
        <w:t>economic</w:t>
      </w:r>
      <w:r>
        <w:rPr>
          <w:spacing w:val="-9"/>
          <w:w w:val="105"/>
        </w:rPr>
        <w:t> </w:t>
      </w:r>
      <w:r>
        <w:rPr>
          <w:w w:val="105"/>
        </w:rPr>
        <w:t>uncertainty,</w:t>
      </w:r>
      <w:r>
        <w:rPr>
          <w:spacing w:val="-9"/>
          <w:w w:val="105"/>
        </w:rPr>
        <w:t> </w:t>
      </w:r>
      <w:r>
        <w:rPr>
          <w:w w:val="105"/>
        </w:rPr>
        <w:t>including</w:t>
      </w:r>
      <w:r>
        <w:rPr>
          <w:spacing w:val="-9"/>
          <w:w w:val="105"/>
        </w:rPr>
        <w:t> </w:t>
      </w:r>
      <w:r>
        <w:rPr>
          <w:w w:val="105"/>
        </w:rPr>
        <w:t>changing</w:t>
      </w:r>
      <w:r>
        <w:rPr>
          <w:spacing w:val="-9"/>
          <w:w w:val="105"/>
        </w:rPr>
        <w:t> </w:t>
      </w:r>
      <w:r>
        <w:rPr>
          <w:w w:val="105"/>
        </w:rPr>
        <w:t>market</w:t>
      </w:r>
      <w:r>
        <w:rPr>
          <w:spacing w:val="-9"/>
          <w:w w:val="105"/>
        </w:rPr>
        <w:t> </w:t>
      </w:r>
      <w:r>
        <w:rPr>
          <w:w w:val="105"/>
        </w:rPr>
        <w:t>conditions,</w:t>
      </w:r>
      <w:r>
        <w:rPr>
          <w:spacing w:val="-9"/>
          <w:w w:val="105"/>
        </w:rPr>
        <w:t> </w:t>
      </w:r>
      <w:r>
        <w:rPr>
          <w:w w:val="105"/>
        </w:rPr>
        <w:t>the</w:t>
      </w:r>
      <w:r>
        <w:rPr>
          <w:spacing w:val="-9"/>
          <w:w w:val="105"/>
        </w:rPr>
        <w:t> </w:t>
      </w:r>
      <w:r>
        <w:rPr>
          <w:w w:val="105"/>
        </w:rPr>
        <w:t>Company</w:t>
      </w:r>
      <w:r>
        <w:rPr>
          <w:spacing w:val="-9"/>
          <w:w w:val="105"/>
        </w:rPr>
        <w:t> </w:t>
      </w:r>
      <w:r>
        <w:rPr>
          <w:w w:val="105"/>
        </w:rPr>
        <w:t>has</w:t>
      </w:r>
      <w:r>
        <w:rPr>
          <w:spacing w:val="-9"/>
          <w:w w:val="105"/>
        </w:rPr>
        <w:t> </w:t>
      </w:r>
      <w:r>
        <w:rPr>
          <w:w w:val="105"/>
        </w:rPr>
        <w:t>and</w:t>
      </w:r>
      <w:r>
        <w:rPr>
          <w:spacing w:val="-9"/>
          <w:w w:val="105"/>
        </w:rPr>
        <w:t> </w:t>
      </w:r>
      <w:r>
        <w:rPr>
          <w:w w:val="105"/>
        </w:rPr>
        <w:t>will</w:t>
      </w:r>
      <w:r>
        <w:rPr>
          <w:spacing w:val="-9"/>
          <w:w w:val="105"/>
        </w:rPr>
        <w:t> </w:t>
      </w:r>
      <w:r>
        <w:rPr>
          <w:w w:val="105"/>
        </w:rPr>
        <w:t>continue to</w:t>
      </w:r>
      <w:r>
        <w:rPr>
          <w:spacing w:val="-7"/>
          <w:w w:val="105"/>
        </w:rPr>
        <w:t> </w:t>
      </w:r>
      <w:r>
        <w:rPr>
          <w:w w:val="105"/>
        </w:rPr>
        <w:t>focus</w:t>
      </w:r>
      <w:r>
        <w:rPr>
          <w:spacing w:val="-7"/>
          <w:w w:val="105"/>
        </w:rPr>
        <w:t> </w:t>
      </w:r>
      <w:r>
        <w:rPr>
          <w:w w:val="105"/>
        </w:rPr>
        <w:t>on</w:t>
      </w:r>
      <w:r>
        <w:rPr>
          <w:spacing w:val="-7"/>
          <w:w w:val="105"/>
        </w:rPr>
        <w:t> </w:t>
      </w:r>
      <w:r>
        <w:rPr>
          <w:w w:val="105"/>
        </w:rPr>
        <w:t>three</w:t>
      </w:r>
      <w:r>
        <w:rPr>
          <w:spacing w:val="-7"/>
          <w:w w:val="105"/>
        </w:rPr>
        <w:t> </w:t>
      </w:r>
      <w:r>
        <w:rPr>
          <w:w w:val="105"/>
        </w:rPr>
        <w:t>core</w:t>
      </w:r>
      <w:r>
        <w:rPr>
          <w:spacing w:val="-7"/>
          <w:w w:val="105"/>
        </w:rPr>
        <w:t> </w:t>
      </w:r>
      <w:r>
        <w:rPr>
          <w:w w:val="105"/>
        </w:rPr>
        <w:t>priorities:</w:t>
      </w:r>
      <w:r>
        <w:rPr>
          <w:spacing w:val="-7"/>
          <w:w w:val="105"/>
        </w:rPr>
        <w:t> </w:t>
      </w:r>
      <w:r>
        <w:rPr>
          <w:w w:val="105"/>
        </w:rPr>
        <w:t>protecting</w:t>
      </w:r>
      <w:r>
        <w:rPr>
          <w:spacing w:val="-7"/>
          <w:w w:val="105"/>
        </w:rPr>
        <w:t> </w:t>
      </w:r>
      <w:r>
        <w:rPr>
          <w:w w:val="105"/>
        </w:rPr>
        <w:t>employees</w:t>
      </w:r>
      <w:r>
        <w:rPr>
          <w:spacing w:val="-7"/>
          <w:w w:val="105"/>
        </w:rPr>
        <w:t> </w:t>
      </w:r>
      <w:r>
        <w:rPr>
          <w:w w:val="105"/>
        </w:rPr>
        <w:t>and</w:t>
      </w:r>
      <w:r>
        <w:rPr>
          <w:spacing w:val="-7"/>
          <w:w w:val="105"/>
        </w:rPr>
        <w:t> </w:t>
      </w:r>
      <w:r>
        <w:rPr>
          <w:w w:val="105"/>
        </w:rPr>
        <w:t>communities;</w:t>
      </w:r>
      <w:r>
        <w:rPr>
          <w:spacing w:val="-7"/>
          <w:w w:val="105"/>
        </w:rPr>
        <w:t> </w:t>
      </w:r>
      <w:r>
        <w:rPr>
          <w:w w:val="105"/>
        </w:rPr>
        <w:t>delivering</w:t>
      </w:r>
      <w:r>
        <w:rPr>
          <w:spacing w:val="-7"/>
          <w:w w:val="105"/>
        </w:rPr>
        <w:t> </w:t>
      </w:r>
      <w:r>
        <w:rPr>
          <w:w w:val="105"/>
        </w:rPr>
        <w:t>on</w:t>
      </w:r>
      <w:r>
        <w:rPr>
          <w:spacing w:val="-7"/>
          <w:w w:val="105"/>
        </w:rPr>
        <w:t> </w:t>
      </w:r>
      <w:r>
        <w:rPr>
          <w:w w:val="105"/>
        </w:rPr>
        <w:t>customer</w:t>
      </w:r>
      <w:r>
        <w:rPr>
          <w:spacing w:val="-7"/>
          <w:w w:val="105"/>
        </w:rPr>
        <w:t> </w:t>
      </w:r>
      <w:r>
        <w:rPr>
          <w:w w:val="105"/>
        </w:rPr>
        <w:t>commitments</w:t>
      </w:r>
      <w:r>
        <w:rPr>
          <w:spacing w:val="-7"/>
          <w:w w:val="105"/>
        </w:rPr>
        <w:t> </w:t>
      </w:r>
      <w:r>
        <w:rPr>
          <w:w w:val="105"/>
        </w:rPr>
        <w:t>and</w:t>
      </w:r>
      <w:r>
        <w:rPr>
          <w:spacing w:val="-7"/>
          <w:w w:val="105"/>
        </w:rPr>
        <w:t> </w:t>
      </w:r>
      <w:r>
        <w:rPr>
          <w:w w:val="105"/>
        </w:rPr>
        <w:t>preserving</w:t>
      </w:r>
      <w:r>
        <w:rPr>
          <w:spacing w:val="-7"/>
          <w:w w:val="105"/>
        </w:rPr>
        <w:t> </w:t>
      </w:r>
      <w:r>
        <w:rPr>
          <w:w w:val="105"/>
        </w:rPr>
        <w:t>the</w:t>
      </w:r>
      <w:r>
        <w:rPr>
          <w:spacing w:val="-7"/>
          <w:w w:val="105"/>
        </w:rPr>
        <w:t> </w:t>
      </w:r>
      <w:r>
        <w:rPr>
          <w:w w:val="105"/>
        </w:rPr>
        <w:t>financial</w:t>
      </w:r>
      <w:r>
        <w:rPr>
          <w:spacing w:val="-7"/>
          <w:w w:val="105"/>
        </w:rPr>
        <w:t> </w:t>
      </w:r>
      <w:r>
        <w:rPr>
          <w:w w:val="105"/>
        </w:rPr>
        <w:t>health</w:t>
      </w:r>
      <w:r>
        <w:rPr>
          <w:spacing w:val="-7"/>
          <w:w w:val="105"/>
        </w:rPr>
        <w:t> </w:t>
      </w:r>
      <w:r>
        <w:rPr>
          <w:w w:val="105"/>
        </w:rPr>
        <w:t>of</w:t>
      </w:r>
      <w:r>
        <w:rPr>
          <w:spacing w:val="-6"/>
          <w:w w:val="105"/>
        </w:rPr>
        <w:t> </w:t>
      </w:r>
      <w:r>
        <w:rPr>
          <w:w w:val="105"/>
        </w:rPr>
        <w:t>the</w:t>
      </w:r>
      <w:r>
        <w:rPr>
          <w:spacing w:val="-7"/>
          <w:w w:val="105"/>
        </w:rPr>
        <w:t> </w:t>
      </w:r>
      <w:r>
        <w:rPr>
          <w:w w:val="105"/>
        </w:rPr>
        <w:t>Company.</w:t>
      </w:r>
      <w:r>
        <w:rPr>
          <w:spacing w:val="28"/>
          <w:w w:val="105"/>
        </w:rPr>
        <w:t> </w:t>
      </w:r>
      <w:r>
        <w:rPr>
          <w:w w:val="105"/>
        </w:rPr>
        <w:t>We</w:t>
      </w:r>
      <w:r>
        <w:rPr>
          <w:spacing w:val="-7"/>
          <w:w w:val="105"/>
        </w:rPr>
        <w:t> </w:t>
      </w:r>
      <w:r>
        <w:rPr>
          <w:w w:val="105"/>
        </w:rPr>
        <w:t>are continuing</w:t>
      </w:r>
      <w:r>
        <w:rPr>
          <w:spacing w:val="-1"/>
          <w:w w:val="105"/>
        </w:rPr>
        <w:t> </w:t>
      </w:r>
      <w:r>
        <w:rPr>
          <w:w w:val="105"/>
        </w:rPr>
        <w:t>to</w:t>
      </w:r>
      <w:r>
        <w:rPr>
          <w:spacing w:val="-1"/>
          <w:w w:val="105"/>
        </w:rPr>
        <w:t> </w:t>
      </w:r>
      <w:r>
        <w:rPr>
          <w:w w:val="105"/>
        </w:rPr>
        <w:t>build</w:t>
      </w:r>
      <w:r>
        <w:rPr>
          <w:spacing w:val="-1"/>
          <w:w w:val="105"/>
        </w:rPr>
        <w:t> </w:t>
      </w:r>
      <w:r>
        <w:rPr>
          <w:w w:val="105"/>
        </w:rPr>
        <w:t>a</w:t>
      </w:r>
      <w:r>
        <w:rPr>
          <w:spacing w:val="-1"/>
          <w:w w:val="105"/>
        </w:rPr>
        <w:t> </w:t>
      </w:r>
      <w:r>
        <w:rPr>
          <w:w w:val="105"/>
        </w:rPr>
        <w:t>stronger, more</w:t>
      </w:r>
      <w:r>
        <w:rPr>
          <w:spacing w:val="-1"/>
          <w:w w:val="105"/>
        </w:rPr>
        <w:t> </w:t>
      </w:r>
      <w:r>
        <w:rPr>
          <w:w w:val="105"/>
        </w:rPr>
        <w:t>resilient</w:t>
      </w:r>
      <w:r>
        <w:rPr>
          <w:spacing w:val="-1"/>
          <w:w w:val="105"/>
        </w:rPr>
        <w:t> </w:t>
      </w:r>
      <w:r>
        <w:rPr>
          <w:w w:val="105"/>
        </w:rPr>
        <w:t>company that</w:t>
      </w:r>
      <w:r>
        <w:rPr>
          <w:spacing w:val="-1"/>
          <w:w w:val="105"/>
        </w:rPr>
        <w:t> </w:t>
      </w:r>
      <w:r>
        <w:rPr>
          <w:w w:val="105"/>
        </w:rPr>
        <w:t>is</w:t>
      </w:r>
      <w:r>
        <w:rPr>
          <w:spacing w:val="-1"/>
          <w:w w:val="105"/>
        </w:rPr>
        <w:t> </w:t>
      </w:r>
      <w:r>
        <w:rPr>
          <w:w w:val="105"/>
        </w:rPr>
        <w:t>committed</w:t>
      </w:r>
      <w:r>
        <w:rPr>
          <w:spacing w:val="-1"/>
          <w:w w:val="105"/>
        </w:rPr>
        <w:t> </w:t>
      </w:r>
      <w:r>
        <w:rPr>
          <w:w w:val="105"/>
        </w:rPr>
        <w:t>to</w:t>
      </w:r>
      <w:r>
        <w:rPr>
          <w:spacing w:val="-1"/>
          <w:w w:val="105"/>
        </w:rPr>
        <w:t> </w:t>
      </w:r>
      <w:r>
        <w:rPr>
          <w:w w:val="105"/>
        </w:rPr>
        <w:t>rewarding</w:t>
      </w:r>
      <w:r>
        <w:rPr>
          <w:spacing w:val="-1"/>
          <w:w w:val="105"/>
        </w:rPr>
        <w:t> </w:t>
      </w:r>
      <w:r>
        <w:rPr>
          <w:w w:val="105"/>
        </w:rPr>
        <w:t>shareholders</w:t>
      </w:r>
      <w:r>
        <w:rPr>
          <w:spacing w:val="-1"/>
          <w:w w:val="105"/>
        </w:rPr>
        <w:t> </w:t>
      </w:r>
      <w:r>
        <w:rPr>
          <w:w w:val="105"/>
        </w:rPr>
        <w:t>and</w:t>
      </w:r>
      <w:r>
        <w:rPr>
          <w:spacing w:val="-1"/>
          <w:w w:val="105"/>
        </w:rPr>
        <w:t> </w:t>
      </w:r>
      <w:r>
        <w:rPr>
          <w:w w:val="105"/>
        </w:rPr>
        <w:t>supporting all</w:t>
      </w:r>
      <w:r>
        <w:rPr>
          <w:spacing w:val="-1"/>
          <w:w w:val="105"/>
        </w:rPr>
        <w:t> </w:t>
      </w:r>
      <w:r>
        <w:rPr>
          <w:w w:val="105"/>
        </w:rPr>
        <w:t>global</w:t>
      </w:r>
      <w:r>
        <w:rPr>
          <w:spacing w:val="-1"/>
          <w:w w:val="105"/>
        </w:rPr>
        <w:t> </w:t>
      </w:r>
      <w:r>
        <w:rPr>
          <w:w w:val="105"/>
        </w:rPr>
        <w:t>stakeholders.</w:t>
      </w:r>
    </w:p>
    <w:p>
      <w:pPr>
        <w:pStyle w:val="BodyText"/>
        <w:spacing w:before="19"/>
      </w:pPr>
    </w:p>
    <w:p>
      <w:pPr>
        <w:pStyle w:val="BodyText"/>
        <w:spacing w:line="266" w:lineRule="auto"/>
        <w:ind w:left="156"/>
      </w:pPr>
      <w:r>
        <w:rPr>
          <w:w w:val="105"/>
        </w:rPr>
        <w:t>Despite</w:t>
      </w:r>
      <w:r>
        <w:rPr>
          <w:spacing w:val="-9"/>
          <w:w w:val="105"/>
        </w:rPr>
        <w:t> </w:t>
      </w:r>
      <w:r>
        <w:rPr>
          <w:w w:val="105"/>
        </w:rPr>
        <w:t>the</w:t>
      </w:r>
      <w:r>
        <w:rPr>
          <w:spacing w:val="-9"/>
          <w:w w:val="105"/>
        </w:rPr>
        <w:t> </w:t>
      </w:r>
      <w:r>
        <w:rPr>
          <w:w w:val="105"/>
        </w:rPr>
        <w:t>pandemic</w:t>
      </w:r>
      <w:r>
        <w:rPr>
          <w:spacing w:val="-9"/>
          <w:w w:val="105"/>
        </w:rPr>
        <w:t> </w:t>
      </w:r>
      <w:r>
        <w:rPr>
          <w:w w:val="105"/>
        </w:rPr>
        <w:t>and</w:t>
      </w:r>
      <w:r>
        <w:rPr>
          <w:spacing w:val="-9"/>
          <w:w w:val="105"/>
        </w:rPr>
        <w:t> </w:t>
      </w:r>
      <w:r>
        <w:rPr>
          <w:w w:val="105"/>
        </w:rPr>
        <w:t>resulting</w:t>
      </w:r>
      <w:r>
        <w:rPr>
          <w:spacing w:val="-9"/>
          <w:w w:val="105"/>
        </w:rPr>
        <w:t> </w:t>
      </w:r>
      <w:r>
        <w:rPr>
          <w:w w:val="105"/>
        </w:rPr>
        <w:t>global</w:t>
      </w:r>
      <w:r>
        <w:rPr>
          <w:spacing w:val="-9"/>
          <w:w w:val="105"/>
        </w:rPr>
        <w:t> </w:t>
      </w:r>
      <w:r>
        <w:rPr>
          <w:w w:val="105"/>
        </w:rPr>
        <w:t>disruptions,</w:t>
      </w:r>
      <w:r>
        <w:rPr>
          <w:spacing w:val="-9"/>
          <w:w w:val="105"/>
        </w:rPr>
        <w:t> </w:t>
      </w:r>
      <w:r>
        <w:rPr>
          <w:w w:val="105"/>
        </w:rPr>
        <w:t>Corning</w:t>
      </w:r>
      <w:r>
        <w:rPr>
          <w:spacing w:val="-9"/>
          <w:w w:val="105"/>
        </w:rPr>
        <w:t> </w:t>
      </w:r>
      <w:r>
        <w:rPr>
          <w:w w:val="105"/>
        </w:rPr>
        <w:t>adapted</w:t>
      </w:r>
      <w:r>
        <w:rPr>
          <w:spacing w:val="-9"/>
          <w:w w:val="105"/>
        </w:rPr>
        <w:t> </w:t>
      </w:r>
      <w:r>
        <w:rPr>
          <w:w w:val="105"/>
        </w:rPr>
        <w:t>rapidly</w:t>
      </w:r>
      <w:r>
        <w:rPr>
          <w:spacing w:val="-9"/>
          <w:w w:val="105"/>
        </w:rPr>
        <w:t> </w:t>
      </w:r>
      <w:r>
        <w:rPr>
          <w:w w:val="105"/>
        </w:rPr>
        <w:t>and</w:t>
      </w:r>
      <w:r>
        <w:rPr>
          <w:spacing w:val="-9"/>
          <w:w w:val="105"/>
        </w:rPr>
        <w:t> </w:t>
      </w:r>
      <w:r>
        <w:rPr>
          <w:w w:val="105"/>
        </w:rPr>
        <w:t>remained</w:t>
      </w:r>
      <w:r>
        <w:rPr>
          <w:spacing w:val="-9"/>
          <w:w w:val="105"/>
        </w:rPr>
        <w:t> </w:t>
      </w:r>
      <w:r>
        <w:rPr>
          <w:w w:val="105"/>
        </w:rPr>
        <w:t>resilient.</w:t>
      </w:r>
      <w:r>
        <w:rPr>
          <w:spacing w:val="-9"/>
          <w:w w:val="105"/>
        </w:rPr>
        <w:t> </w:t>
      </w:r>
      <w:r>
        <w:rPr>
          <w:w w:val="105"/>
        </w:rPr>
        <w:t>We</w:t>
      </w:r>
      <w:r>
        <w:rPr>
          <w:spacing w:val="-9"/>
          <w:w w:val="105"/>
        </w:rPr>
        <w:t> </w:t>
      </w:r>
      <w:r>
        <w:rPr>
          <w:w w:val="105"/>
        </w:rPr>
        <w:t>acted</w:t>
      </w:r>
      <w:r>
        <w:rPr>
          <w:spacing w:val="-9"/>
          <w:w w:val="105"/>
        </w:rPr>
        <w:t> </w:t>
      </w:r>
      <w:r>
        <w:rPr>
          <w:w w:val="105"/>
        </w:rPr>
        <w:t>quickly</w:t>
      </w:r>
      <w:r>
        <w:rPr>
          <w:spacing w:val="-9"/>
          <w:w w:val="105"/>
        </w:rPr>
        <w:t> </w:t>
      </w:r>
      <w:r>
        <w:rPr>
          <w:w w:val="105"/>
        </w:rPr>
        <w:t>to</w:t>
      </w:r>
      <w:r>
        <w:rPr>
          <w:spacing w:val="-9"/>
          <w:w w:val="105"/>
        </w:rPr>
        <w:t> </w:t>
      </w:r>
      <w:r>
        <w:rPr>
          <w:w w:val="105"/>
        </w:rPr>
        <w:t>preserve</w:t>
      </w:r>
      <w:r>
        <w:rPr>
          <w:spacing w:val="-9"/>
          <w:w w:val="105"/>
        </w:rPr>
        <w:t> </w:t>
      </w:r>
      <w:r>
        <w:rPr>
          <w:w w:val="105"/>
        </w:rPr>
        <w:t>our</w:t>
      </w:r>
      <w:r>
        <w:rPr>
          <w:spacing w:val="-9"/>
          <w:w w:val="105"/>
        </w:rPr>
        <w:t> </w:t>
      </w:r>
      <w:r>
        <w:rPr>
          <w:w w:val="105"/>
        </w:rPr>
        <w:t>financial</w:t>
      </w:r>
      <w:r>
        <w:rPr>
          <w:spacing w:val="-9"/>
          <w:w w:val="105"/>
        </w:rPr>
        <w:t> </w:t>
      </w:r>
      <w:r>
        <w:rPr>
          <w:w w:val="105"/>
        </w:rPr>
        <w:t>strength</w:t>
      </w:r>
      <w:r>
        <w:rPr>
          <w:spacing w:val="-9"/>
          <w:w w:val="105"/>
        </w:rPr>
        <w:t> </w:t>
      </w:r>
      <w:r>
        <w:rPr>
          <w:w w:val="105"/>
        </w:rPr>
        <w:t>by</w:t>
      </w:r>
      <w:r>
        <w:rPr>
          <w:spacing w:val="-9"/>
          <w:w w:val="105"/>
        </w:rPr>
        <w:t> </w:t>
      </w:r>
      <w:r>
        <w:rPr>
          <w:w w:val="105"/>
        </w:rPr>
        <w:t>executing</w:t>
      </w:r>
      <w:r>
        <w:rPr>
          <w:spacing w:val="-9"/>
          <w:w w:val="105"/>
        </w:rPr>
        <w:t> </w:t>
      </w:r>
      <w:r>
        <w:rPr>
          <w:w w:val="105"/>
        </w:rPr>
        <w:t>well and</w:t>
      </w:r>
      <w:r>
        <w:rPr>
          <w:spacing w:val="-1"/>
          <w:w w:val="105"/>
        </w:rPr>
        <w:t> </w:t>
      </w:r>
      <w:r>
        <w:rPr>
          <w:w w:val="105"/>
        </w:rPr>
        <w:t>advancing</w:t>
      </w:r>
      <w:r>
        <w:rPr>
          <w:spacing w:val="-1"/>
          <w:w w:val="105"/>
        </w:rPr>
        <w:t> </w:t>
      </w:r>
      <w:r>
        <w:rPr>
          <w:w w:val="105"/>
        </w:rPr>
        <w:t>major</w:t>
      </w:r>
      <w:r>
        <w:rPr>
          <w:spacing w:val="-1"/>
          <w:w w:val="105"/>
        </w:rPr>
        <w:t> </w:t>
      </w:r>
      <w:r>
        <w:rPr>
          <w:w w:val="105"/>
        </w:rPr>
        <w:t>innovations</w:t>
      </w:r>
      <w:r>
        <w:rPr>
          <w:spacing w:val="-1"/>
          <w:w w:val="105"/>
        </w:rPr>
        <w:t> </w:t>
      </w:r>
      <w:r>
        <w:rPr>
          <w:w w:val="105"/>
        </w:rPr>
        <w:t>with</w:t>
      </w:r>
      <w:r>
        <w:rPr>
          <w:spacing w:val="-1"/>
          <w:w w:val="105"/>
        </w:rPr>
        <w:t> </w:t>
      </w:r>
      <w:r>
        <w:rPr>
          <w:w w:val="105"/>
        </w:rPr>
        <w:t>industry</w:t>
      </w:r>
      <w:r>
        <w:rPr>
          <w:spacing w:val="-1"/>
          <w:w w:val="105"/>
        </w:rPr>
        <w:t> </w:t>
      </w:r>
      <w:r>
        <w:rPr>
          <w:w w:val="105"/>
        </w:rPr>
        <w:t>leaders.</w:t>
      </w:r>
      <w:r>
        <w:rPr>
          <w:spacing w:val="-1"/>
          <w:w w:val="105"/>
        </w:rPr>
        <w:t> </w:t>
      </w:r>
      <w:r>
        <w:rPr>
          <w:w w:val="105"/>
        </w:rPr>
        <w:t>We</w:t>
      </w:r>
      <w:r>
        <w:rPr>
          <w:spacing w:val="-1"/>
          <w:w w:val="105"/>
        </w:rPr>
        <w:t> </w:t>
      </w:r>
      <w:r>
        <w:rPr>
          <w:w w:val="105"/>
        </w:rPr>
        <w:t>have</w:t>
      </w:r>
      <w:r>
        <w:rPr>
          <w:spacing w:val="-1"/>
          <w:w w:val="105"/>
        </w:rPr>
        <w:t> </w:t>
      </w:r>
      <w:r>
        <w:rPr>
          <w:w w:val="105"/>
        </w:rPr>
        <w:t>continued</w:t>
      </w:r>
      <w:r>
        <w:rPr>
          <w:spacing w:val="-1"/>
          <w:w w:val="105"/>
        </w:rPr>
        <w:t> </w:t>
      </w:r>
      <w:r>
        <w:rPr>
          <w:w w:val="105"/>
        </w:rPr>
        <w:t>to</w:t>
      </w:r>
      <w:r>
        <w:rPr>
          <w:spacing w:val="-1"/>
          <w:w w:val="105"/>
        </w:rPr>
        <w:t> </w:t>
      </w:r>
      <w:r>
        <w:rPr>
          <w:w w:val="105"/>
        </w:rPr>
        <w:t>effectively</w:t>
      </w:r>
      <w:r>
        <w:rPr>
          <w:spacing w:val="-1"/>
          <w:w w:val="105"/>
        </w:rPr>
        <w:t> </w:t>
      </w:r>
      <w:r>
        <w:rPr>
          <w:w w:val="105"/>
        </w:rPr>
        <w:t>leverage</w:t>
      </w:r>
      <w:r>
        <w:rPr>
          <w:spacing w:val="-1"/>
          <w:w w:val="105"/>
        </w:rPr>
        <w:t> </w:t>
      </w:r>
      <w:r>
        <w:rPr>
          <w:w w:val="105"/>
        </w:rPr>
        <w:t>our</w:t>
      </w:r>
      <w:r>
        <w:rPr>
          <w:spacing w:val="-1"/>
          <w:w w:val="105"/>
        </w:rPr>
        <w:t> </w:t>
      </w:r>
      <w:r>
        <w:rPr>
          <w:w w:val="105"/>
        </w:rPr>
        <w:t>focused</w:t>
      </w:r>
      <w:r>
        <w:rPr>
          <w:spacing w:val="-1"/>
          <w:w w:val="105"/>
        </w:rPr>
        <w:t> </w:t>
      </w:r>
      <w:r>
        <w:rPr>
          <w:w w:val="105"/>
        </w:rPr>
        <w:t>and cohesive</w:t>
      </w:r>
      <w:r>
        <w:rPr>
          <w:spacing w:val="-1"/>
          <w:w w:val="105"/>
        </w:rPr>
        <w:t> </w:t>
      </w:r>
      <w:r>
        <w:rPr>
          <w:w w:val="105"/>
        </w:rPr>
        <w:t>portfolio</w:t>
      </w:r>
      <w:r>
        <w:rPr>
          <w:spacing w:val="-1"/>
          <w:w w:val="105"/>
        </w:rPr>
        <w:t> </w:t>
      </w:r>
      <w:r>
        <w:rPr>
          <w:w w:val="105"/>
        </w:rPr>
        <w:t>to</w:t>
      </w:r>
      <w:r>
        <w:rPr>
          <w:spacing w:val="-1"/>
          <w:w w:val="105"/>
        </w:rPr>
        <w:t> </w:t>
      </w:r>
      <w:r>
        <w:rPr>
          <w:w w:val="105"/>
        </w:rPr>
        <w:t>create</w:t>
      </w:r>
      <w:r>
        <w:rPr>
          <w:spacing w:val="-1"/>
          <w:w w:val="105"/>
        </w:rPr>
        <w:t> </w:t>
      </w:r>
      <w:r>
        <w:rPr>
          <w:w w:val="105"/>
        </w:rPr>
        <w:t>value</w:t>
      </w:r>
      <w:r>
        <w:rPr>
          <w:spacing w:val="-1"/>
          <w:w w:val="105"/>
        </w:rPr>
        <w:t> </w:t>
      </w:r>
      <w:r>
        <w:rPr>
          <w:w w:val="105"/>
        </w:rPr>
        <w:t>and</w:t>
      </w:r>
      <w:r>
        <w:rPr>
          <w:spacing w:val="-1"/>
          <w:w w:val="105"/>
        </w:rPr>
        <w:t> </w:t>
      </w:r>
      <w:r>
        <w:rPr>
          <w:w w:val="105"/>
        </w:rPr>
        <w:t>outperform</w:t>
      </w:r>
      <w:r>
        <w:rPr>
          <w:spacing w:val="-1"/>
          <w:w w:val="105"/>
        </w:rPr>
        <w:t> </w:t>
      </w:r>
      <w:r>
        <w:rPr>
          <w:w w:val="105"/>
        </w:rPr>
        <w:t>our underlying</w:t>
      </w:r>
      <w:r>
        <w:rPr>
          <w:spacing w:val="-1"/>
          <w:w w:val="105"/>
        </w:rPr>
        <w:t> </w:t>
      </w:r>
      <w:r>
        <w:rPr>
          <w:w w:val="105"/>
        </w:rPr>
        <w:t>markets,</w:t>
      </w:r>
      <w:r>
        <w:rPr>
          <w:spacing w:val="-1"/>
          <w:w w:val="105"/>
        </w:rPr>
        <w:t> </w:t>
      </w:r>
      <w:r>
        <w:rPr>
          <w:w w:val="105"/>
        </w:rPr>
        <w:t>contributing</w:t>
      </w:r>
      <w:r>
        <w:rPr>
          <w:spacing w:val="-1"/>
          <w:w w:val="105"/>
        </w:rPr>
        <w:t> </w:t>
      </w:r>
      <w:r>
        <w:rPr>
          <w:w w:val="105"/>
        </w:rPr>
        <w:t>to</w:t>
      </w:r>
      <w:r>
        <w:rPr>
          <w:spacing w:val="-1"/>
          <w:w w:val="105"/>
        </w:rPr>
        <w:t> </w:t>
      </w:r>
      <w:r>
        <w:rPr>
          <w:w w:val="105"/>
        </w:rPr>
        <w:t>sales</w:t>
      </w:r>
      <w:r>
        <w:rPr>
          <w:spacing w:val="-1"/>
          <w:w w:val="105"/>
        </w:rPr>
        <w:t> </w:t>
      </w:r>
      <w:r>
        <w:rPr>
          <w:w w:val="105"/>
        </w:rPr>
        <w:t>and</w:t>
      </w:r>
      <w:r>
        <w:rPr>
          <w:spacing w:val="-1"/>
          <w:w w:val="105"/>
        </w:rPr>
        <w:t> </w:t>
      </w:r>
      <w:r>
        <w:rPr>
          <w:w w:val="105"/>
        </w:rPr>
        <w:t>earnings</w:t>
      </w:r>
      <w:r>
        <w:rPr>
          <w:spacing w:val="-1"/>
          <w:w w:val="105"/>
        </w:rPr>
        <w:t> </w:t>
      </w:r>
      <w:r>
        <w:rPr>
          <w:w w:val="105"/>
        </w:rPr>
        <w:t>growth and</w:t>
      </w:r>
      <w:r>
        <w:rPr>
          <w:spacing w:val="-1"/>
          <w:w w:val="105"/>
        </w:rPr>
        <w:t> </w:t>
      </w:r>
      <w:r>
        <w:rPr>
          <w:w w:val="105"/>
        </w:rPr>
        <w:t>strong</w:t>
      </w:r>
      <w:r>
        <w:rPr>
          <w:spacing w:val="-1"/>
          <w:w w:val="105"/>
        </w:rPr>
        <w:t> </w:t>
      </w:r>
      <w:r>
        <w:rPr>
          <w:w w:val="105"/>
        </w:rPr>
        <w:t>free</w:t>
      </w:r>
      <w:r>
        <w:rPr>
          <w:spacing w:val="-1"/>
          <w:w w:val="105"/>
        </w:rPr>
        <w:t> </w:t>
      </w:r>
      <w:r>
        <w:rPr>
          <w:w w:val="105"/>
        </w:rPr>
        <w:t>cash</w:t>
      </w:r>
      <w:r>
        <w:rPr>
          <w:spacing w:val="-1"/>
          <w:w w:val="105"/>
        </w:rPr>
        <w:t> </w:t>
      </w:r>
      <w:r>
        <w:rPr>
          <w:w w:val="105"/>
        </w:rPr>
        <w:t>flow</w:t>
      </w:r>
      <w:r>
        <w:rPr>
          <w:spacing w:val="-1"/>
          <w:w w:val="105"/>
        </w:rPr>
        <w:t> </w:t>
      </w:r>
      <w:r>
        <w:rPr>
          <w:w w:val="105"/>
        </w:rPr>
        <w:t>in</w:t>
      </w:r>
      <w:r>
        <w:rPr>
          <w:spacing w:val="-1"/>
          <w:w w:val="105"/>
        </w:rPr>
        <w:t> </w:t>
      </w:r>
      <w:r>
        <w:rPr>
          <w:w w:val="105"/>
        </w:rPr>
        <w:t>the</w:t>
      </w:r>
      <w:r>
        <w:rPr>
          <w:spacing w:val="-1"/>
          <w:w w:val="105"/>
        </w:rPr>
        <w:t> </w:t>
      </w:r>
      <w:r>
        <w:rPr>
          <w:w w:val="105"/>
        </w:rPr>
        <w:t>second</w:t>
      </w:r>
      <w:r>
        <w:rPr>
          <w:spacing w:val="-1"/>
          <w:w w:val="105"/>
        </w:rPr>
        <w:t> </w:t>
      </w:r>
      <w:r>
        <w:rPr>
          <w:w w:val="105"/>
        </w:rPr>
        <w:t>half</w:t>
      </w:r>
      <w:r>
        <w:rPr>
          <w:spacing w:val="-1"/>
          <w:w w:val="105"/>
        </w:rPr>
        <w:t> </w:t>
      </w:r>
      <w:r>
        <w:rPr>
          <w:w w:val="105"/>
        </w:rPr>
        <w:t>of</w:t>
      </w:r>
      <w:r>
        <w:rPr>
          <w:spacing w:val="-1"/>
          <w:w w:val="105"/>
        </w:rPr>
        <w:t> </w:t>
      </w:r>
      <w:r>
        <w:rPr>
          <w:w w:val="105"/>
        </w:rPr>
        <w:t>2020</w:t>
      </w:r>
      <w:r>
        <w:rPr>
          <w:spacing w:val="-1"/>
          <w:w w:val="105"/>
        </w:rPr>
        <w:t> </w:t>
      </w:r>
      <w:r>
        <w:rPr>
          <w:w w:val="105"/>
        </w:rPr>
        <w:t>and</w:t>
      </w:r>
      <w:r>
        <w:rPr>
          <w:spacing w:val="-1"/>
          <w:w w:val="105"/>
        </w:rPr>
        <w:t> </w:t>
      </w:r>
      <w:r>
        <w:rPr>
          <w:w w:val="105"/>
        </w:rPr>
        <w:t>full</w:t>
      </w:r>
      <w:r>
        <w:rPr>
          <w:spacing w:val="-1"/>
          <w:w w:val="105"/>
        </w:rPr>
        <w:t> </w:t>
      </w:r>
      <w:r>
        <w:rPr>
          <w:w w:val="105"/>
        </w:rPr>
        <w:t>year</w:t>
      </w:r>
      <w:r>
        <w:rPr>
          <w:spacing w:val="-1"/>
          <w:w w:val="105"/>
        </w:rPr>
        <w:t> </w:t>
      </w:r>
      <w:r>
        <w:rPr>
          <w:w w:val="105"/>
        </w:rPr>
        <w:t>2021.</w:t>
      </w:r>
    </w:p>
    <w:p>
      <w:pPr>
        <w:pStyle w:val="BodyText"/>
        <w:spacing w:before="18"/>
      </w:pPr>
    </w:p>
    <w:p>
      <w:pPr>
        <w:pStyle w:val="BodyText"/>
        <w:spacing w:line="266" w:lineRule="auto"/>
        <w:ind w:left="156"/>
      </w:pPr>
      <w:r>
        <w:rPr>
          <w:w w:val="105"/>
        </w:rPr>
        <w:t>Corning</w:t>
      </w:r>
      <w:r>
        <w:rPr>
          <w:spacing w:val="-3"/>
          <w:w w:val="105"/>
        </w:rPr>
        <w:t> </w:t>
      </w:r>
      <w:r>
        <w:rPr>
          <w:w w:val="105"/>
        </w:rPr>
        <w:t>announced</w:t>
      </w:r>
      <w:r>
        <w:rPr>
          <w:spacing w:val="-3"/>
          <w:w w:val="105"/>
        </w:rPr>
        <w:t> </w:t>
      </w:r>
      <w:r>
        <w:rPr>
          <w:w w:val="105"/>
        </w:rPr>
        <w:t>the</w:t>
      </w:r>
      <w:r>
        <w:rPr>
          <w:spacing w:val="-3"/>
          <w:w w:val="105"/>
        </w:rPr>
        <w:t> </w:t>
      </w:r>
      <w:r>
        <w:rPr>
          <w:w w:val="105"/>
        </w:rPr>
        <w:t>Strategy</w:t>
      </w:r>
      <w:r>
        <w:rPr>
          <w:spacing w:val="-3"/>
          <w:w w:val="105"/>
        </w:rPr>
        <w:t> </w:t>
      </w:r>
      <w:r>
        <w:rPr>
          <w:w w:val="105"/>
        </w:rPr>
        <w:t>&amp;</w:t>
      </w:r>
      <w:r>
        <w:rPr>
          <w:spacing w:val="-3"/>
          <w:w w:val="105"/>
        </w:rPr>
        <w:t> </w:t>
      </w:r>
      <w:r>
        <w:rPr>
          <w:w w:val="105"/>
        </w:rPr>
        <w:t>Growth</w:t>
      </w:r>
      <w:r>
        <w:rPr>
          <w:spacing w:val="-3"/>
          <w:w w:val="105"/>
        </w:rPr>
        <w:t> </w:t>
      </w:r>
      <w:r>
        <w:rPr>
          <w:w w:val="105"/>
        </w:rPr>
        <w:t>Framework</w:t>
      </w:r>
      <w:r>
        <w:rPr>
          <w:spacing w:val="-3"/>
          <w:w w:val="105"/>
        </w:rPr>
        <w:t> </w:t>
      </w:r>
      <w:r>
        <w:rPr>
          <w:w w:val="105"/>
        </w:rPr>
        <w:t>in</w:t>
      </w:r>
      <w:r>
        <w:rPr>
          <w:spacing w:val="-3"/>
          <w:w w:val="105"/>
        </w:rPr>
        <w:t> </w:t>
      </w:r>
      <w:r>
        <w:rPr>
          <w:w w:val="105"/>
        </w:rPr>
        <w:t>2019,</w:t>
      </w:r>
      <w:r>
        <w:rPr>
          <w:spacing w:val="-3"/>
          <w:w w:val="105"/>
        </w:rPr>
        <w:t> </w:t>
      </w:r>
      <w:r>
        <w:rPr>
          <w:w w:val="105"/>
        </w:rPr>
        <w:t>highlighting</w:t>
      </w:r>
      <w:r>
        <w:rPr>
          <w:spacing w:val="-3"/>
          <w:w w:val="105"/>
        </w:rPr>
        <w:t> </w:t>
      </w:r>
      <w:r>
        <w:rPr>
          <w:w w:val="105"/>
        </w:rPr>
        <w:t>significant</w:t>
      </w:r>
      <w:r>
        <w:rPr>
          <w:spacing w:val="-3"/>
          <w:w w:val="105"/>
        </w:rPr>
        <w:t> </w:t>
      </w:r>
      <w:r>
        <w:rPr>
          <w:w w:val="105"/>
        </w:rPr>
        <w:t>opportunities</w:t>
      </w:r>
      <w:r>
        <w:rPr>
          <w:spacing w:val="-3"/>
          <w:w w:val="105"/>
        </w:rPr>
        <w:t> </w:t>
      </w:r>
      <w:r>
        <w:rPr>
          <w:w w:val="105"/>
        </w:rPr>
        <w:t>to</w:t>
      </w:r>
      <w:r>
        <w:rPr>
          <w:spacing w:val="-3"/>
          <w:w w:val="105"/>
        </w:rPr>
        <w:t> </w:t>
      </w:r>
      <w:r>
        <w:rPr>
          <w:w w:val="105"/>
        </w:rPr>
        <w:t>sell</w:t>
      </w:r>
      <w:r>
        <w:rPr>
          <w:spacing w:val="-3"/>
          <w:w w:val="105"/>
        </w:rPr>
        <w:t> </w:t>
      </w:r>
      <w:r>
        <w:rPr>
          <w:w w:val="105"/>
        </w:rPr>
        <w:t>more</w:t>
      </w:r>
      <w:r>
        <w:rPr>
          <w:spacing w:val="-3"/>
          <w:w w:val="105"/>
        </w:rPr>
        <w:t> </w:t>
      </w:r>
      <w:r>
        <w:rPr>
          <w:w w:val="105"/>
        </w:rPr>
        <w:t>Corning</w:t>
      </w:r>
      <w:r>
        <w:rPr>
          <w:spacing w:val="-3"/>
          <w:w w:val="105"/>
        </w:rPr>
        <w:t> </w:t>
      </w:r>
      <w:r>
        <w:rPr>
          <w:w w:val="105"/>
        </w:rPr>
        <w:t>content</w:t>
      </w:r>
      <w:r>
        <w:rPr>
          <w:spacing w:val="-3"/>
          <w:w w:val="105"/>
        </w:rPr>
        <w:t> </w:t>
      </w:r>
      <w:r>
        <w:rPr>
          <w:w w:val="105"/>
        </w:rPr>
        <w:t>through</w:t>
      </w:r>
      <w:r>
        <w:rPr>
          <w:spacing w:val="-3"/>
          <w:w w:val="105"/>
        </w:rPr>
        <w:t> </w:t>
      </w:r>
      <w:r>
        <w:rPr>
          <w:w w:val="105"/>
        </w:rPr>
        <w:t>each</w:t>
      </w:r>
      <w:r>
        <w:rPr>
          <w:spacing w:val="-3"/>
          <w:w w:val="105"/>
        </w:rPr>
        <w:t> </w:t>
      </w:r>
      <w:r>
        <w:rPr>
          <w:w w:val="105"/>
        </w:rPr>
        <w:t>of</w:t>
      </w:r>
      <w:r>
        <w:rPr>
          <w:spacing w:val="-3"/>
          <w:w w:val="105"/>
        </w:rPr>
        <w:t> </w:t>
      </w:r>
      <w:r>
        <w:rPr>
          <w:w w:val="105"/>
        </w:rPr>
        <w:t>our</w:t>
      </w:r>
      <w:r>
        <w:rPr>
          <w:spacing w:val="-3"/>
          <w:w w:val="105"/>
        </w:rPr>
        <w:t> </w:t>
      </w:r>
      <w:r>
        <w:rPr>
          <w:w w:val="105"/>
        </w:rPr>
        <w:t>Market-Access Platforms.</w:t>
      </w:r>
      <w:r>
        <w:rPr>
          <w:spacing w:val="40"/>
          <w:w w:val="105"/>
        </w:rPr>
        <w:t> </w:t>
      </w:r>
      <w:r>
        <w:rPr>
          <w:w w:val="105"/>
        </w:rPr>
        <w:t>The</w:t>
      </w:r>
      <w:r>
        <w:rPr>
          <w:spacing w:val="-1"/>
          <w:w w:val="105"/>
        </w:rPr>
        <w:t> </w:t>
      </w:r>
      <w:r>
        <w:rPr>
          <w:w w:val="105"/>
        </w:rPr>
        <w:t>Company</w:t>
      </w:r>
      <w:r>
        <w:rPr>
          <w:spacing w:val="-1"/>
          <w:w w:val="105"/>
        </w:rPr>
        <w:t> </w:t>
      </w:r>
      <w:r>
        <w:rPr>
          <w:w w:val="105"/>
        </w:rPr>
        <w:t>is</w:t>
      </w:r>
      <w:r>
        <w:rPr>
          <w:spacing w:val="-1"/>
          <w:w w:val="105"/>
        </w:rPr>
        <w:t> </w:t>
      </w:r>
      <w:r>
        <w:rPr>
          <w:w w:val="105"/>
        </w:rPr>
        <w:t>focused</w:t>
      </w:r>
      <w:r>
        <w:rPr>
          <w:spacing w:val="-1"/>
          <w:w w:val="105"/>
        </w:rPr>
        <w:t> </w:t>
      </w:r>
      <w:r>
        <w:rPr>
          <w:w w:val="105"/>
        </w:rPr>
        <w:t>on</w:t>
      </w:r>
      <w:r>
        <w:rPr>
          <w:spacing w:val="-1"/>
          <w:w w:val="105"/>
        </w:rPr>
        <w:t> </w:t>
      </w:r>
      <w:r>
        <w:rPr>
          <w:w w:val="105"/>
        </w:rPr>
        <w:t>our cohesive</w:t>
      </w:r>
      <w:r>
        <w:rPr>
          <w:spacing w:val="-1"/>
          <w:w w:val="105"/>
        </w:rPr>
        <w:t> </w:t>
      </w:r>
      <w:r>
        <w:rPr>
          <w:w w:val="105"/>
        </w:rPr>
        <w:t>portfolio</w:t>
      </w:r>
      <w:r>
        <w:rPr>
          <w:spacing w:val="-1"/>
          <w:w w:val="105"/>
        </w:rPr>
        <w:t> </w:t>
      </w:r>
      <w:r>
        <w:rPr>
          <w:w w:val="105"/>
        </w:rPr>
        <w:t>and</w:t>
      </w:r>
      <w:r>
        <w:rPr>
          <w:spacing w:val="-1"/>
          <w:w w:val="105"/>
        </w:rPr>
        <w:t> </w:t>
      </w:r>
      <w:r>
        <w:rPr>
          <w:w w:val="105"/>
        </w:rPr>
        <w:t>the</w:t>
      </w:r>
      <w:r>
        <w:rPr>
          <w:spacing w:val="-1"/>
          <w:w w:val="105"/>
        </w:rPr>
        <w:t> </w:t>
      </w:r>
      <w:r>
        <w:rPr>
          <w:w w:val="105"/>
        </w:rPr>
        <w:t>utilization</w:t>
      </w:r>
      <w:r>
        <w:rPr>
          <w:spacing w:val="-1"/>
          <w:w w:val="105"/>
        </w:rPr>
        <w:t> </w:t>
      </w:r>
      <w:r>
        <w:rPr>
          <w:w w:val="105"/>
        </w:rPr>
        <w:t>of</w:t>
      </w:r>
      <w:r>
        <w:rPr>
          <w:spacing w:val="-1"/>
          <w:w w:val="105"/>
        </w:rPr>
        <w:t> </w:t>
      </w:r>
      <w:r>
        <w:rPr>
          <w:w w:val="105"/>
        </w:rPr>
        <w:t>our</w:t>
      </w:r>
      <w:r>
        <w:rPr>
          <w:spacing w:val="-1"/>
          <w:w w:val="105"/>
        </w:rPr>
        <w:t> </w:t>
      </w:r>
      <w:r>
        <w:rPr>
          <w:w w:val="105"/>
        </w:rPr>
        <w:t>financial</w:t>
      </w:r>
      <w:r>
        <w:rPr>
          <w:spacing w:val="-1"/>
          <w:w w:val="105"/>
        </w:rPr>
        <w:t> </w:t>
      </w:r>
      <w:r>
        <w:rPr>
          <w:w w:val="105"/>
        </w:rPr>
        <w:t>strength,</w:t>
      </w:r>
      <w:r>
        <w:rPr>
          <w:spacing w:val="-1"/>
          <w:w w:val="105"/>
        </w:rPr>
        <w:t> </w:t>
      </w:r>
      <w:r>
        <w:rPr>
          <w:w w:val="105"/>
        </w:rPr>
        <w:t>supported</w:t>
      </w:r>
      <w:r>
        <w:rPr>
          <w:spacing w:val="-1"/>
          <w:w w:val="105"/>
        </w:rPr>
        <w:t> </w:t>
      </w:r>
      <w:r>
        <w:rPr>
          <w:w w:val="105"/>
        </w:rPr>
        <w:t>by</w:t>
      </w:r>
      <w:r>
        <w:rPr>
          <w:spacing w:val="-1"/>
          <w:w w:val="105"/>
        </w:rPr>
        <w:t> </w:t>
      </w:r>
      <w:r>
        <w:rPr>
          <w:w w:val="105"/>
        </w:rPr>
        <w:t>strong</w:t>
      </w:r>
      <w:r>
        <w:rPr>
          <w:spacing w:val="-1"/>
          <w:w w:val="105"/>
        </w:rPr>
        <w:t> </w:t>
      </w:r>
      <w:r>
        <w:rPr>
          <w:w w:val="105"/>
        </w:rPr>
        <w:t>operating</w:t>
      </w:r>
      <w:r>
        <w:rPr>
          <w:spacing w:val="-1"/>
          <w:w w:val="105"/>
        </w:rPr>
        <w:t> </w:t>
      </w:r>
      <w:r>
        <w:rPr>
          <w:w w:val="105"/>
        </w:rPr>
        <w:t>cash</w:t>
      </w:r>
      <w:r>
        <w:rPr>
          <w:spacing w:val="-1"/>
          <w:w w:val="105"/>
        </w:rPr>
        <w:t> </w:t>
      </w:r>
      <w:r>
        <w:rPr>
          <w:w w:val="105"/>
        </w:rPr>
        <w:t>flow</w:t>
      </w:r>
      <w:r>
        <w:rPr>
          <w:spacing w:val="-1"/>
          <w:w w:val="105"/>
        </w:rPr>
        <w:t> </w:t>
      </w:r>
      <w:r>
        <w:rPr>
          <w:w w:val="105"/>
        </w:rPr>
        <w:t>generation,</w:t>
      </w:r>
      <w:r>
        <w:rPr>
          <w:spacing w:val="-1"/>
          <w:w w:val="105"/>
        </w:rPr>
        <w:t> </w:t>
      </w:r>
      <w:r>
        <w:rPr>
          <w:w w:val="105"/>
        </w:rPr>
        <w:t>which</w:t>
      </w:r>
      <w:r>
        <w:rPr>
          <w:spacing w:val="-1"/>
          <w:w w:val="105"/>
        </w:rPr>
        <w:t> </w:t>
      </w:r>
      <w:r>
        <w:rPr>
          <w:w w:val="105"/>
        </w:rPr>
        <w:t>we expect</w:t>
      </w:r>
      <w:r>
        <w:rPr>
          <w:spacing w:val="-7"/>
          <w:w w:val="105"/>
        </w:rPr>
        <w:t> </w:t>
      </w:r>
      <w:r>
        <w:rPr>
          <w:w w:val="105"/>
        </w:rPr>
        <w:t>to</w:t>
      </w:r>
      <w:r>
        <w:rPr>
          <w:spacing w:val="-7"/>
          <w:w w:val="105"/>
        </w:rPr>
        <w:t> </w:t>
      </w:r>
      <w:r>
        <w:rPr>
          <w:w w:val="105"/>
        </w:rPr>
        <w:t>continue.</w:t>
      </w:r>
      <w:r>
        <w:rPr>
          <w:spacing w:val="29"/>
          <w:w w:val="105"/>
        </w:rPr>
        <w:t> </w:t>
      </w:r>
      <w:r>
        <w:rPr>
          <w:w w:val="105"/>
        </w:rPr>
        <w:t>Corning</w:t>
      </w:r>
      <w:r>
        <w:rPr>
          <w:spacing w:val="-7"/>
          <w:w w:val="105"/>
        </w:rPr>
        <w:t> </w:t>
      </w:r>
      <w:r>
        <w:rPr>
          <w:w w:val="105"/>
        </w:rPr>
        <w:t>has</w:t>
      </w:r>
      <w:r>
        <w:rPr>
          <w:spacing w:val="-7"/>
          <w:w w:val="105"/>
        </w:rPr>
        <w:t> </w:t>
      </w:r>
      <w:r>
        <w:rPr>
          <w:w w:val="105"/>
        </w:rPr>
        <w:t>and</w:t>
      </w:r>
      <w:r>
        <w:rPr>
          <w:spacing w:val="-7"/>
          <w:w w:val="105"/>
        </w:rPr>
        <w:t> </w:t>
      </w:r>
      <w:r>
        <w:rPr>
          <w:w w:val="105"/>
        </w:rPr>
        <w:t>will</w:t>
      </w:r>
      <w:r>
        <w:rPr>
          <w:spacing w:val="-7"/>
          <w:w w:val="105"/>
        </w:rPr>
        <w:t> </w:t>
      </w:r>
      <w:r>
        <w:rPr>
          <w:w w:val="105"/>
        </w:rPr>
        <w:t>continue</w:t>
      </w:r>
      <w:r>
        <w:rPr>
          <w:spacing w:val="-7"/>
          <w:w w:val="105"/>
        </w:rPr>
        <w:t> </w:t>
      </w:r>
      <w:r>
        <w:rPr>
          <w:w w:val="105"/>
        </w:rPr>
        <w:t>to</w:t>
      </w:r>
      <w:r>
        <w:rPr>
          <w:spacing w:val="-7"/>
          <w:w w:val="105"/>
        </w:rPr>
        <w:t> </w:t>
      </w:r>
      <w:r>
        <w:rPr>
          <w:w w:val="105"/>
        </w:rPr>
        <w:t>use</w:t>
      </w:r>
      <w:r>
        <w:rPr>
          <w:spacing w:val="-7"/>
          <w:w w:val="105"/>
        </w:rPr>
        <w:t> </w:t>
      </w:r>
      <w:r>
        <w:rPr>
          <w:w w:val="105"/>
        </w:rPr>
        <w:t>its</w:t>
      </w:r>
      <w:r>
        <w:rPr>
          <w:spacing w:val="-7"/>
          <w:w w:val="105"/>
        </w:rPr>
        <w:t> </w:t>
      </w:r>
      <w:r>
        <w:rPr>
          <w:w w:val="105"/>
        </w:rPr>
        <w:t>cash</w:t>
      </w:r>
      <w:r>
        <w:rPr>
          <w:spacing w:val="-7"/>
          <w:w w:val="105"/>
        </w:rPr>
        <w:t> </w:t>
      </w:r>
      <w:r>
        <w:rPr>
          <w:w w:val="105"/>
        </w:rPr>
        <w:t>to</w:t>
      </w:r>
      <w:r>
        <w:rPr>
          <w:spacing w:val="-7"/>
          <w:w w:val="105"/>
        </w:rPr>
        <w:t> </w:t>
      </w:r>
      <w:r>
        <w:rPr>
          <w:w w:val="105"/>
        </w:rPr>
        <w:t>grow,</w:t>
      </w:r>
      <w:r>
        <w:rPr>
          <w:spacing w:val="-7"/>
          <w:w w:val="105"/>
        </w:rPr>
        <w:t> </w:t>
      </w:r>
      <w:r>
        <w:rPr>
          <w:w w:val="105"/>
        </w:rPr>
        <w:t>extend</w:t>
      </w:r>
      <w:r>
        <w:rPr>
          <w:spacing w:val="-7"/>
          <w:w w:val="105"/>
        </w:rPr>
        <w:t> </w:t>
      </w:r>
      <w:r>
        <w:rPr>
          <w:w w:val="105"/>
        </w:rPr>
        <w:t>its</w:t>
      </w:r>
      <w:r>
        <w:rPr>
          <w:spacing w:val="-7"/>
          <w:w w:val="105"/>
        </w:rPr>
        <w:t> </w:t>
      </w:r>
      <w:r>
        <w:rPr>
          <w:w w:val="105"/>
        </w:rPr>
        <w:t>leadership</w:t>
      </w:r>
      <w:r>
        <w:rPr>
          <w:spacing w:val="-7"/>
          <w:w w:val="105"/>
        </w:rPr>
        <w:t> </w:t>
      </w:r>
      <w:r>
        <w:rPr>
          <w:w w:val="105"/>
        </w:rPr>
        <w:t>and</w:t>
      </w:r>
      <w:r>
        <w:rPr>
          <w:spacing w:val="-7"/>
          <w:w w:val="105"/>
        </w:rPr>
        <w:t> </w:t>
      </w:r>
      <w:r>
        <w:rPr>
          <w:w w:val="105"/>
        </w:rPr>
        <w:t>reward</w:t>
      </w:r>
      <w:r>
        <w:rPr>
          <w:spacing w:val="-7"/>
          <w:w w:val="105"/>
        </w:rPr>
        <w:t> </w:t>
      </w:r>
      <w:r>
        <w:rPr>
          <w:w w:val="105"/>
        </w:rPr>
        <w:t>shareholders.</w:t>
      </w:r>
      <w:r>
        <w:rPr>
          <w:spacing w:val="29"/>
          <w:w w:val="105"/>
        </w:rPr>
        <w:t> </w:t>
      </w:r>
      <w:r>
        <w:rPr>
          <w:w w:val="105"/>
        </w:rPr>
        <w:t>Our</w:t>
      </w:r>
      <w:r>
        <w:rPr>
          <w:spacing w:val="-7"/>
          <w:w w:val="105"/>
        </w:rPr>
        <w:t> </w:t>
      </w:r>
      <w:r>
        <w:rPr>
          <w:w w:val="105"/>
        </w:rPr>
        <w:t>key</w:t>
      </w:r>
      <w:r>
        <w:rPr>
          <w:spacing w:val="-7"/>
          <w:w w:val="105"/>
        </w:rPr>
        <w:t> </w:t>
      </w:r>
      <w:r>
        <w:rPr>
          <w:w w:val="105"/>
        </w:rPr>
        <w:t>growth</w:t>
      </w:r>
      <w:r>
        <w:rPr>
          <w:spacing w:val="-7"/>
          <w:w w:val="105"/>
        </w:rPr>
        <w:t> </w:t>
      </w:r>
      <w:r>
        <w:rPr>
          <w:w w:val="105"/>
        </w:rPr>
        <w:t>drivers</w:t>
      </w:r>
      <w:r>
        <w:rPr>
          <w:spacing w:val="-7"/>
          <w:w w:val="105"/>
        </w:rPr>
        <w:t> </w:t>
      </w:r>
      <w:r>
        <w:rPr>
          <w:w w:val="105"/>
        </w:rPr>
        <w:t>remain</w:t>
      </w:r>
      <w:r>
        <w:rPr>
          <w:spacing w:val="-7"/>
          <w:w w:val="105"/>
        </w:rPr>
        <w:t> </w:t>
      </w:r>
      <w:r>
        <w:rPr>
          <w:w w:val="105"/>
        </w:rPr>
        <w:t>intact,</w:t>
      </w:r>
      <w:r>
        <w:rPr>
          <w:spacing w:val="-7"/>
          <w:w w:val="105"/>
        </w:rPr>
        <w:t> </w:t>
      </w:r>
      <w:r>
        <w:rPr>
          <w:w w:val="105"/>
        </w:rPr>
        <w:t>and</w:t>
      </w:r>
      <w:r>
        <w:rPr>
          <w:spacing w:val="-7"/>
          <w:w w:val="105"/>
        </w:rPr>
        <w:t> </w:t>
      </w:r>
      <w:r>
        <w:rPr>
          <w:w w:val="105"/>
        </w:rPr>
        <w:t>some</w:t>
      </w:r>
      <w:r>
        <w:rPr>
          <w:spacing w:val="-7"/>
          <w:w w:val="105"/>
        </w:rPr>
        <w:t> </w:t>
      </w:r>
      <w:r>
        <w:rPr>
          <w:w w:val="105"/>
        </w:rPr>
        <w:t>are accelerating as key trends converge around Corning’s capabilities.</w:t>
      </w:r>
    </w:p>
    <w:p>
      <w:pPr>
        <w:pStyle w:val="BodyText"/>
        <w:spacing w:before="18"/>
      </w:pPr>
    </w:p>
    <w:p>
      <w:pPr>
        <w:pStyle w:val="BodyText"/>
        <w:spacing w:line="266" w:lineRule="auto" w:before="1"/>
        <w:ind w:left="156" w:right="175"/>
        <w:jc w:val="both"/>
      </w:pPr>
      <w:r>
        <w:rPr>
          <w:w w:val="105"/>
        </w:rPr>
        <w:t>Corning</w:t>
      </w:r>
      <w:r>
        <w:rPr>
          <w:spacing w:val="-7"/>
          <w:w w:val="105"/>
        </w:rPr>
        <w:t> </w:t>
      </w:r>
      <w:r>
        <w:rPr>
          <w:w w:val="105"/>
        </w:rPr>
        <w:t>will</w:t>
      </w:r>
      <w:r>
        <w:rPr>
          <w:spacing w:val="-7"/>
          <w:w w:val="105"/>
        </w:rPr>
        <w:t> </w:t>
      </w:r>
      <w:r>
        <w:rPr>
          <w:w w:val="105"/>
        </w:rPr>
        <w:t>continue</w:t>
      </w:r>
      <w:r>
        <w:rPr>
          <w:spacing w:val="-7"/>
          <w:w w:val="105"/>
        </w:rPr>
        <w:t> </w:t>
      </w:r>
      <w:r>
        <w:rPr>
          <w:w w:val="105"/>
        </w:rPr>
        <w:t>to</w:t>
      </w:r>
      <w:r>
        <w:rPr>
          <w:spacing w:val="-7"/>
          <w:w w:val="105"/>
        </w:rPr>
        <w:t> </w:t>
      </w:r>
      <w:r>
        <w:rPr>
          <w:w w:val="105"/>
        </w:rPr>
        <w:t>advance</w:t>
      </w:r>
      <w:r>
        <w:rPr>
          <w:spacing w:val="-5"/>
          <w:w w:val="105"/>
        </w:rPr>
        <w:t> </w:t>
      </w:r>
      <w:r>
        <w:rPr>
          <w:w w:val="105"/>
        </w:rPr>
        <w:t>the</w:t>
      </w:r>
      <w:r>
        <w:rPr>
          <w:spacing w:val="-7"/>
          <w:w w:val="105"/>
        </w:rPr>
        <w:t> </w:t>
      </w:r>
      <w:r>
        <w:rPr>
          <w:w w:val="105"/>
        </w:rPr>
        <w:t>objectives</w:t>
      </w:r>
      <w:r>
        <w:rPr>
          <w:spacing w:val="-7"/>
          <w:w w:val="105"/>
        </w:rPr>
        <w:t> </w:t>
      </w:r>
      <w:r>
        <w:rPr>
          <w:w w:val="105"/>
        </w:rPr>
        <w:t>of</w:t>
      </w:r>
      <w:r>
        <w:rPr>
          <w:spacing w:val="-7"/>
          <w:w w:val="105"/>
        </w:rPr>
        <w:t> </w:t>
      </w:r>
      <w:r>
        <w:rPr>
          <w:w w:val="105"/>
        </w:rPr>
        <w:t>the</w:t>
      </w:r>
      <w:r>
        <w:rPr>
          <w:spacing w:val="-7"/>
          <w:w w:val="105"/>
        </w:rPr>
        <w:t> </w:t>
      </w:r>
      <w:r>
        <w:rPr>
          <w:w w:val="105"/>
        </w:rPr>
        <w:t>Strategy</w:t>
      </w:r>
      <w:r>
        <w:rPr>
          <w:spacing w:val="-7"/>
          <w:w w:val="105"/>
        </w:rPr>
        <w:t> </w:t>
      </w:r>
      <w:r>
        <w:rPr>
          <w:w w:val="105"/>
        </w:rPr>
        <w:t>&amp;</w:t>
      </w:r>
      <w:r>
        <w:rPr>
          <w:spacing w:val="-7"/>
          <w:w w:val="105"/>
        </w:rPr>
        <w:t> </w:t>
      </w:r>
      <w:r>
        <w:rPr>
          <w:w w:val="105"/>
        </w:rPr>
        <w:t>Growth</w:t>
      </w:r>
      <w:r>
        <w:rPr>
          <w:spacing w:val="-7"/>
          <w:w w:val="105"/>
        </w:rPr>
        <w:t> </w:t>
      </w:r>
      <w:r>
        <w:rPr>
          <w:w w:val="105"/>
        </w:rPr>
        <w:t>Framework,</w:t>
      </w:r>
      <w:r>
        <w:rPr>
          <w:spacing w:val="-7"/>
          <w:w w:val="105"/>
        </w:rPr>
        <w:t> </w:t>
      </w:r>
      <w:r>
        <w:rPr>
          <w:w w:val="105"/>
        </w:rPr>
        <w:t>which</w:t>
      </w:r>
      <w:r>
        <w:rPr>
          <w:spacing w:val="-7"/>
          <w:w w:val="105"/>
        </w:rPr>
        <w:t> </w:t>
      </w:r>
      <w:r>
        <w:rPr>
          <w:w w:val="105"/>
        </w:rPr>
        <w:t>sets</w:t>
      </w:r>
      <w:r>
        <w:rPr>
          <w:spacing w:val="-7"/>
          <w:w w:val="105"/>
        </w:rPr>
        <w:t> </w:t>
      </w:r>
      <w:r>
        <w:rPr>
          <w:w w:val="105"/>
        </w:rPr>
        <w:t>its</w:t>
      </w:r>
      <w:r>
        <w:rPr>
          <w:spacing w:val="-7"/>
          <w:w w:val="105"/>
        </w:rPr>
        <w:t> </w:t>
      </w:r>
      <w:r>
        <w:rPr>
          <w:w w:val="105"/>
        </w:rPr>
        <w:t>leadership</w:t>
      </w:r>
      <w:r>
        <w:rPr>
          <w:spacing w:val="-7"/>
          <w:w w:val="105"/>
        </w:rPr>
        <w:t> </w:t>
      </w:r>
      <w:r>
        <w:rPr>
          <w:w w:val="105"/>
        </w:rPr>
        <w:t>priorities</w:t>
      </w:r>
      <w:r>
        <w:rPr>
          <w:spacing w:val="-7"/>
          <w:w w:val="105"/>
        </w:rPr>
        <w:t> </w:t>
      </w:r>
      <w:r>
        <w:rPr>
          <w:w w:val="105"/>
        </w:rPr>
        <w:t>and</w:t>
      </w:r>
      <w:r>
        <w:rPr>
          <w:spacing w:val="-7"/>
          <w:w w:val="105"/>
        </w:rPr>
        <w:t> </w:t>
      </w:r>
      <w:r>
        <w:rPr>
          <w:w w:val="105"/>
        </w:rPr>
        <w:t>articulates</w:t>
      </w:r>
      <w:r>
        <w:rPr>
          <w:spacing w:val="-7"/>
          <w:w w:val="105"/>
        </w:rPr>
        <w:t> </w:t>
      </w:r>
      <w:r>
        <w:rPr>
          <w:w w:val="105"/>
        </w:rPr>
        <w:t>opportunities</w:t>
      </w:r>
      <w:r>
        <w:rPr>
          <w:spacing w:val="-7"/>
          <w:w w:val="105"/>
        </w:rPr>
        <w:t> </w:t>
      </w:r>
      <w:r>
        <w:rPr>
          <w:w w:val="105"/>
        </w:rPr>
        <w:t>across</w:t>
      </w:r>
      <w:r>
        <w:rPr>
          <w:spacing w:val="-7"/>
          <w:w w:val="105"/>
        </w:rPr>
        <w:t> </w:t>
      </w:r>
      <w:r>
        <w:rPr>
          <w:w w:val="105"/>
        </w:rPr>
        <w:t>its</w:t>
      </w:r>
      <w:r>
        <w:rPr>
          <w:spacing w:val="-7"/>
          <w:w w:val="105"/>
        </w:rPr>
        <w:t> </w:t>
      </w:r>
      <w:r>
        <w:rPr>
          <w:w w:val="105"/>
        </w:rPr>
        <w:t>businesses. Our</w:t>
      </w:r>
      <w:r>
        <w:rPr>
          <w:spacing w:val="-7"/>
          <w:w w:val="105"/>
        </w:rPr>
        <w:t> </w:t>
      </w:r>
      <w:r>
        <w:rPr>
          <w:w w:val="105"/>
        </w:rPr>
        <w:t>probability</w:t>
      </w:r>
      <w:r>
        <w:rPr>
          <w:spacing w:val="-7"/>
          <w:w w:val="105"/>
        </w:rPr>
        <w:t> </w:t>
      </w:r>
      <w:r>
        <w:rPr>
          <w:w w:val="105"/>
        </w:rPr>
        <w:t>of</w:t>
      </w:r>
      <w:r>
        <w:rPr>
          <w:spacing w:val="-7"/>
          <w:w w:val="105"/>
        </w:rPr>
        <w:t> </w:t>
      </w:r>
      <w:r>
        <w:rPr>
          <w:w w:val="105"/>
        </w:rPr>
        <w:t>success</w:t>
      </w:r>
      <w:r>
        <w:rPr>
          <w:spacing w:val="-7"/>
          <w:w w:val="105"/>
        </w:rPr>
        <w:t> </w:t>
      </w:r>
      <w:r>
        <w:rPr>
          <w:w w:val="105"/>
        </w:rPr>
        <w:t>increases</w:t>
      </w:r>
      <w:r>
        <w:rPr>
          <w:spacing w:val="-7"/>
          <w:w w:val="105"/>
        </w:rPr>
        <w:t> </w:t>
      </w:r>
      <w:r>
        <w:rPr>
          <w:w w:val="105"/>
        </w:rPr>
        <w:t>as</w:t>
      </w:r>
      <w:r>
        <w:rPr>
          <w:spacing w:val="-7"/>
          <w:w w:val="105"/>
        </w:rPr>
        <w:t> </w:t>
      </w:r>
      <w:r>
        <w:rPr>
          <w:w w:val="105"/>
        </w:rPr>
        <w:t>we</w:t>
      </w:r>
      <w:r>
        <w:rPr>
          <w:spacing w:val="-7"/>
          <w:w w:val="105"/>
        </w:rPr>
        <w:t> </w:t>
      </w:r>
      <w:r>
        <w:rPr>
          <w:w w:val="105"/>
        </w:rPr>
        <w:t>invest</w:t>
      </w:r>
      <w:r>
        <w:rPr>
          <w:spacing w:val="-7"/>
          <w:w w:val="105"/>
        </w:rPr>
        <w:t> </w:t>
      </w:r>
      <w:r>
        <w:rPr>
          <w:w w:val="105"/>
        </w:rPr>
        <w:t>in</w:t>
      </w:r>
      <w:r>
        <w:rPr>
          <w:spacing w:val="-7"/>
          <w:w w:val="105"/>
        </w:rPr>
        <w:t> </w:t>
      </w:r>
      <w:r>
        <w:rPr>
          <w:w w:val="105"/>
        </w:rPr>
        <w:t>our</w:t>
      </w:r>
      <w:r>
        <w:rPr>
          <w:spacing w:val="-7"/>
          <w:w w:val="105"/>
        </w:rPr>
        <w:t> </w:t>
      </w:r>
      <w:r>
        <w:rPr>
          <w:w w:val="105"/>
        </w:rPr>
        <w:t>world-class</w:t>
      </w:r>
      <w:r>
        <w:rPr>
          <w:spacing w:val="-7"/>
          <w:w w:val="105"/>
        </w:rPr>
        <w:t> </w:t>
      </w:r>
      <w:r>
        <w:rPr>
          <w:w w:val="105"/>
        </w:rPr>
        <w:t>capabilities.</w:t>
      </w:r>
      <w:r>
        <w:rPr>
          <w:spacing w:val="29"/>
          <w:w w:val="105"/>
        </w:rPr>
        <w:t> </w:t>
      </w:r>
      <w:r>
        <w:rPr>
          <w:w w:val="105"/>
        </w:rPr>
        <w:t>Corning</w:t>
      </w:r>
      <w:r>
        <w:rPr>
          <w:spacing w:val="-7"/>
          <w:w w:val="105"/>
        </w:rPr>
        <w:t> </w:t>
      </w:r>
      <w:r>
        <w:rPr>
          <w:w w:val="105"/>
        </w:rPr>
        <w:t>is</w:t>
      </w:r>
      <w:r>
        <w:rPr>
          <w:spacing w:val="-5"/>
          <w:w w:val="105"/>
        </w:rPr>
        <w:t> </w:t>
      </w:r>
      <w:r>
        <w:rPr>
          <w:w w:val="105"/>
        </w:rPr>
        <w:t>concentrating</w:t>
      </w:r>
      <w:r>
        <w:rPr>
          <w:spacing w:val="-7"/>
          <w:w w:val="105"/>
        </w:rPr>
        <w:t> </w:t>
      </w:r>
      <w:r>
        <w:rPr>
          <w:w w:val="105"/>
        </w:rPr>
        <w:t>approximately</w:t>
      </w:r>
      <w:r>
        <w:rPr>
          <w:spacing w:val="-7"/>
          <w:w w:val="105"/>
        </w:rPr>
        <w:t> </w:t>
      </w:r>
      <w:r>
        <w:rPr>
          <w:w w:val="105"/>
        </w:rPr>
        <w:t>80%</w:t>
      </w:r>
      <w:r>
        <w:rPr>
          <w:spacing w:val="-7"/>
          <w:w w:val="105"/>
        </w:rPr>
        <w:t> </w:t>
      </w:r>
      <w:r>
        <w:rPr>
          <w:w w:val="105"/>
        </w:rPr>
        <w:t>of</w:t>
      </w:r>
      <w:r>
        <w:rPr>
          <w:spacing w:val="-7"/>
          <w:w w:val="105"/>
        </w:rPr>
        <w:t> </w:t>
      </w:r>
      <w:r>
        <w:rPr>
          <w:w w:val="105"/>
        </w:rPr>
        <w:t>its</w:t>
      </w:r>
      <w:r>
        <w:rPr>
          <w:spacing w:val="-7"/>
          <w:w w:val="105"/>
        </w:rPr>
        <w:t> </w:t>
      </w:r>
      <w:r>
        <w:rPr>
          <w:w w:val="105"/>
        </w:rPr>
        <w:t>research,</w:t>
      </w:r>
      <w:r>
        <w:rPr>
          <w:spacing w:val="-7"/>
          <w:w w:val="105"/>
        </w:rPr>
        <w:t> </w:t>
      </w:r>
      <w:r>
        <w:rPr>
          <w:w w:val="105"/>
        </w:rPr>
        <w:t>development</w:t>
      </w:r>
      <w:r>
        <w:rPr>
          <w:spacing w:val="-7"/>
          <w:w w:val="105"/>
        </w:rPr>
        <w:t> </w:t>
      </w:r>
      <w:r>
        <w:rPr>
          <w:w w:val="105"/>
        </w:rPr>
        <w:t>and</w:t>
      </w:r>
      <w:r>
        <w:rPr>
          <w:spacing w:val="-7"/>
          <w:w w:val="105"/>
        </w:rPr>
        <w:t> </w:t>
      </w:r>
      <w:r>
        <w:rPr>
          <w:w w:val="105"/>
        </w:rPr>
        <w:t>engineering investment</w:t>
      </w:r>
      <w:r>
        <w:rPr>
          <w:spacing w:val="-9"/>
          <w:w w:val="105"/>
        </w:rPr>
        <w:t> </w:t>
      </w:r>
      <w:r>
        <w:rPr>
          <w:w w:val="105"/>
        </w:rPr>
        <w:t>along</w:t>
      </w:r>
      <w:r>
        <w:rPr>
          <w:spacing w:val="-9"/>
          <w:w w:val="105"/>
        </w:rPr>
        <w:t> </w:t>
      </w:r>
      <w:r>
        <w:rPr>
          <w:w w:val="105"/>
        </w:rPr>
        <w:t>with</w:t>
      </w:r>
      <w:r>
        <w:rPr>
          <w:spacing w:val="-9"/>
          <w:w w:val="105"/>
        </w:rPr>
        <w:t> </w:t>
      </w:r>
      <w:r>
        <w:rPr>
          <w:w w:val="105"/>
        </w:rPr>
        <w:t>capital</w:t>
      </w:r>
      <w:r>
        <w:rPr>
          <w:spacing w:val="-9"/>
          <w:w w:val="105"/>
        </w:rPr>
        <w:t> </w:t>
      </w:r>
      <w:r>
        <w:rPr>
          <w:w w:val="105"/>
        </w:rPr>
        <w:t>spending</w:t>
      </w:r>
      <w:r>
        <w:rPr>
          <w:spacing w:val="-9"/>
          <w:w w:val="105"/>
        </w:rPr>
        <w:t> </w:t>
      </w:r>
      <w:r>
        <w:rPr>
          <w:w w:val="105"/>
        </w:rPr>
        <w:t>on</w:t>
      </w:r>
      <w:r>
        <w:rPr>
          <w:spacing w:val="-9"/>
          <w:w w:val="105"/>
        </w:rPr>
        <w:t> </w:t>
      </w:r>
      <w:r>
        <w:rPr>
          <w:w w:val="105"/>
        </w:rPr>
        <w:t>a</w:t>
      </w:r>
      <w:r>
        <w:rPr>
          <w:spacing w:val="-9"/>
          <w:w w:val="105"/>
        </w:rPr>
        <w:t> </w:t>
      </w:r>
      <w:r>
        <w:rPr>
          <w:w w:val="105"/>
        </w:rPr>
        <w:t>cohesive</w:t>
      </w:r>
      <w:r>
        <w:rPr>
          <w:spacing w:val="-9"/>
          <w:w w:val="105"/>
        </w:rPr>
        <w:t> </w:t>
      </w:r>
      <w:r>
        <w:rPr>
          <w:w w:val="105"/>
        </w:rPr>
        <w:t>set</w:t>
      </w:r>
      <w:r>
        <w:rPr>
          <w:spacing w:val="-9"/>
          <w:w w:val="105"/>
        </w:rPr>
        <w:t> </w:t>
      </w:r>
      <w:r>
        <w:rPr>
          <w:w w:val="105"/>
        </w:rPr>
        <w:t>of</w:t>
      </w:r>
      <w:r>
        <w:rPr>
          <w:spacing w:val="-7"/>
          <w:w w:val="105"/>
        </w:rPr>
        <w:t> </w:t>
      </w:r>
      <w:r>
        <w:rPr>
          <w:w w:val="105"/>
        </w:rPr>
        <w:t>three</w:t>
      </w:r>
      <w:r>
        <w:rPr>
          <w:spacing w:val="-9"/>
          <w:w w:val="105"/>
        </w:rPr>
        <w:t> </w:t>
      </w:r>
      <w:r>
        <w:rPr>
          <w:w w:val="105"/>
        </w:rPr>
        <w:t>core</w:t>
      </w:r>
      <w:r>
        <w:rPr>
          <w:spacing w:val="-9"/>
          <w:w w:val="105"/>
        </w:rPr>
        <w:t> </w:t>
      </w:r>
      <w:r>
        <w:rPr>
          <w:w w:val="105"/>
        </w:rPr>
        <w:t>technologies,</w:t>
      </w:r>
      <w:r>
        <w:rPr>
          <w:spacing w:val="-7"/>
          <w:w w:val="105"/>
        </w:rPr>
        <w:t> </w:t>
      </w:r>
      <w:r>
        <w:rPr>
          <w:w w:val="105"/>
        </w:rPr>
        <w:t>four</w:t>
      </w:r>
      <w:r>
        <w:rPr>
          <w:spacing w:val="-9"/>
          <w:w w:val="105"/>
        </w:rPr>
        <w:t> </w:t>
      </w:r>
      <w:r>
        <w:rPr>
          <w:w w:val="105"/>
        </w:rPr>
        <w:t>manufacturing</w:t>
      </w:r>
      <w:r>
        <w:rPr>
          <w:spacing w:val="-9"/>
          <w:w w:val="105"/>
        </w:rPr>
        <w:t> </w:t>
      </w:r>
      <w:r>
        <w:rPr>
          <w:w w:val="105"/>
        </w:rPr>
        <w:t>and</w:t>
      </w:r>
      <w:r>
        <w:rPr>
          <w:spacing w:val="-9"/>
          <w:w w:val="105"/>
        </w:rPr>
        <w:t> </w:t>
      </w:r>
      <w:r>
        <w:rPr>
          <w:w w:val="105"/>
        </w:rPr>
        <w:t>engineering</w:t>
      </w:r>
      <w:r>
        <w:rPr>
          <w:spacing w:val="-9"/>
          <w:w w:val="105"/>
        </w:rPr>
        <w:t> </w:t>
      </w:r>
      <w:r>
        <w:rPr>
          <w:w w:val="105"/>
        </w:rPr>
        <w:t>platforms,</w:t>
      </w:r>
      <w:r>
        <w:rPr>
          <w:spacing w:val="-9"/>
          <w:w w:val="105"/>
        </w:rPr>
        <w:t> </w:t>
      </w:r>
      <w:r>
        <w:rPr>
          <w:w w:val="105"/>
        </w:rPr>
        <w:t>and</w:t>
      </w:r>
      <w:r>
        <w:rPr>
          <w:spacing w:val="-9"/>
          <w:w w:val="105"/>
        </w:rPr>
        <w:t> </w:t>
      </w:r>
      <w:r>
        <w:rPr>
          <w:w w:val="105"/>
        </w:rPr>
        <w:t>five</w:t>
      </w:r>
      <w:r>
        <w:rPr>
          <w:spacing w:val="-9"/>
          <w:w w:val="105"/>
        </w:rPr>
        <w:t> </w:t>
      </w:r>
      <w:r>
        <w:rPr>
          <w:w w:val="105"/>
        </w:rPr>
        <w:t>Market-Access</w:t>
      </w:r>
      <w:r>
        <w:rPr>
          <w:spacing w:val="-9"/>
          <w:w w:val="105"/>
        </w:rPr>
        <w:t> </w:t>
      </w:r>
      <w:r>
        <w:rPr>
          <w:w w:val="105"/>
        </w:rPr>
        <w:t>Platforms.</w:t>
      </w:r>
      <w:r>
        <w:rPr>
          <w:spacing w:val="25"/>
          <w:w w:val="105"/>
        </w:rPr>
        <w:t> </w:t>
      </w:r>
      <w:r>
        <w:rPr>
          <w:w w:val="105"/>
        </w:rPr>
        <w:t>This strategy</w:t>
      </w:r>
      <w:r>
        <w:rPr>
          <w:spacing w:val="-1"/>
          <w:w w:val="105"/>
        </w:rPr>
        <w:t> </w:t>
      </w:r>
      <w:r>
        <w:rPr>
          <w:w w:val="105"/>
        </w:rPr>
        <w:t>allows</w:t>
      </w:r>
      <w:r>
        <w:rPr>
          <w:spacing w:val="-1"/>
          <w:w w:val="105"/>
        </w:rPr>
        <w:t> </w:t>
      </w:r>
      <w:r>
        <w:rPr>
          <w:w w:val="105"/>
        </w:rPr>
        <w:t>us</w:t>
      </w:r>
      <w:r>
        <w:rPr>
          <w:spacing w:val="-1"/>
          <w:w w:val="105"/>
        </w:rPr>
        <w:t> </w:t>
      </w:r>
      <w:r>
        <w:rPr>
          <w:w w:val="105"/>
        </w:rPr>
        <w:t>to</w:t>
      </w:r>
      <w:r>
        <w:rPr>
          <w:spacing w:val="-1"/>
          <w:w w:val="105"/>
        </w:rPr>
        <w:t> </w:t>
      </w:r>
      <w:r>
        <w:rPr>
          <w:w w:val="105"/>
        </w:rPr>
        <w:t>quickly</w:t>
      </w:r>
      <w:r>
        <w:rPr>
          <w:spacing w:val="-1"/>
          <w:w w:val="105"/>
        </w:rPr>
        <w:t> </w:t>
      </w:r>
      <w:r>
        <w:rPr>
          <w:w w:val="105"/>
        </w:rPr>
        <w:t>apply</w:t>
      </w:r>
      <w:r>
        <w:rPr>
          <w:spacing w:val="-1"/>
          <w:w w:val="105"/>
        </w:rPr>
        <w:t> </w:t>
      </w:r>
      <w:r>
        <w:rPr>
          <w:w w:val="105"/>
        </w:rPr>
        <w:t>our</w:t>
      </w:r>
      <w:r>
        <w:rPr>
          <w:spacing w:val="-1"/>
          <w:w w:val="105"/>
        </w:rPr>
        <w:t> </w:t>
      </w:r>
      <w:r>
        <w:rPr>
          <w:w w:val="105"/>
        </w:rPr>
        <w:t>talents</w:t>
      </w:r>
      <w:r>
        <w:rPr>
          <w:spacing w:val="-1"/>
          <w:w w:val="105"/>
        </w:rPr>
        <w:t> </w:t>
      </w:r>
      <w:r>
        <w:rPr>
          <w:w w:val="105"/>
        </w:rPr>
        <w:t>and</w:t>
      </w:r>
      <w:r>
        <w:rPr>
          <w:spacing w:val="-1"/>
          <w:w w:val="105"/>
        </w:rPr>
        <w:t> </w:t>
      </w:r>
      <w:r>
        <w:rPr>
          <w:w w:val="105"/>
        </w:rPr>
        <w:t>repurpose</w:t>
      </w:r>
      <w:r>
        <w:rPr>
          <w:spacing w:val="-1"/>
          <w:w w:val="105"/>
        </w:rPr>
        <w:t> </w:t>
      </w:r>
      <w:r>
        <w:rPr>
          <w:w w:val="105"/>
        </w:rPr>
        <w:t>our assets</w:t>
      </w:r>
      <w:r>
        <w:rPr>
          <w:spacing w:val="-1"/>
          <w:w w:val="105"/>
        </w:rPr>
        <w:t> </w:t>
      </w:r>
      <w:r>
        <w:rPr>
          <w:w w:val="105"/>
        </w:rPr>
        <w:t>across</w:t>
      </w:r>
      <w:r>
        <w:rPr>
          <w:spacing w:val="-1"/>
          <w:w w:val="105"/>
        </w:rPr>
        <w:t> </w:t>
      </w:r>
      <w:r>
        <w:rPr>
          <w:w w:val="105"/>
        </w:rPr>
        <w:t>the</w:t>
      </w:r>
      <w:r>
        <w:rPr>
          <w:spacing w:val="-1"/>
          <w:w w:val="105"/>
        </w:rPr>
        <w:t> </w:t>
      </w:r>
      <w:r>
        <w:rPr>
          <w:w w:val="105"/>
        </w:rPr>
        <w:t>Company,</w:t>
      </w:r>
      <w:r>
        <w:rPr>
          <w:spacing w:val="-1"/>
          <w:w w:val="105"/>
        </w:rPr>
        <w:t> </w:t>
      </w:r>
      <w:r>
        <w:rPr>
          <w:w w:val="105"/>
        </w:rPr>
        <w:t>as</w:t>
      </w:r>
      <w:r>
        <w:rPr>
          <w:spacing w:val="-1"/>
          <w:w w:val="105"/>
        </w:rPr>
        <w:t> </w:t>
      </w:r>
      <w:r>
        <w:rPr>
          <w:w w:val="105"/>
        </w:rPr>
        <w:t>needed, to</w:t>
      </w:r>
      <w:r>
        <w:rPr>
          <w:spacing w:val="-1"/>
          <w:w w:val="105"/>
        </w:rPr>
        <w:t> </w:t>
      </w:r>
      <w:r>
        <w:rPr>
          <w:w w:val="105"/>
        </w:rPr>
        <w:t>capture</w:t>
      </w:r>
      <w:r>
        <w:rPr>
          <w:spacing w:val="-1"/>
          <w:w w:val="105"/>
        </w:rPr>
        <w:t> </w:t>
      </w:r>
      <w:r>
        <w:rPr>
          <w:w w:val="105"/>
        </w:rPr>
        <w:t>high-return</w:t>
      </w:r>
      <w:r>
        <w:rPr>
          <w:spacing w:val="-1"/>
          <w:w w:val="105"/>
        </w:rPr>
        <w:t> </w:t>
      </w:r>
      <w:r>
        <w:rPr>
          <w:w w:val="105"/>
        </w:rPr>
        <w:t>opportunities.</w:t>
      </w:r>
    </w:p>
    <w:p>
      <w:pPr>
        <w:pStyle w:val="BodyText"/>
        <w:spacing w:before="18"/>
      </w:pPr>
    </w:p>
    <w:p>
      <w:pPr>
        <w:pStyle w:val="BodyText"/>
        <w:ind w:left="48"/>
        <w:jc w:val="center"/>
      </w:pPr>
      <w:r>
        <w:rPr>
          <w:spacing w:val="-5"/>
          <w:w w:val="105"/>
        </w:rPr>
        <w:t>24</w:t>
      </w:r>
    </w:p>
    <w:p>
      <w:pPr>
        <w:pStyle w:val="BodyText"/>
        <w:spacing w:before="11"/>
        <w:rPr>
          <w:sz w:val="5"/>
        </w:rPr>
      </w:pPr>
      <w:r>
        <w:rPr/>
        <mc:AlternateContent>
          <mc:Choice Requires="wps">
            <w:drawing>
              <wp:anchor distT="0" distB="0" distL="0" distR="0" allowOverlap="1" layoutInCell="1" locked="0" behindDoc="1" simplePos="0" relativeHeight="487601664">
                <wp:simplePos x="0" y="0"/>
                <wp:positionH relativeFrom="page">
                  <wp:posOffset>226488</wp:posOffset>
                </wp:positionH>
                <wp:positionV relativeFrom="paragraph">
                  <wp:posOffset>58734</wp:posOffset>
                </wp:positionV>
                <wp:extent cx="7312659" cy="1651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714816;mso-wrap-distance-left:0;mso-wrap-distance-right:0" id="docshape28"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3"/>
      </w:pPr>
      <w:r>
        <w:rPr>
          <w:w w:val="105"/>
        </w:rPr>
        <w:t>2021</w:t>
      </w:r>
      <w:r>
        <w:rPr>
          <w:spacing w:val="-11"/>
          <w:w w:val="105"/>
        </w:rPr>
        <w:t> </w:t>
      </w:r>
      <w:r>
        <w:rPr>
          <w:spacing w:val="-2"/>
          <w:w w:val="105"/>
        </w:rPr>
        <w:t>Results</w:t>
      </w:r>
    </w:p>
    <w:p>
      <w:pPr>
        <w:pStyle w:val="BodyText"/>
        <w:spacing w:before="40"/>
        <w:rPr>
          <w:b/>
          <w:i/>
        </w:rPr>
      </w:pPr>
    </w:p>
    <w:p>
      <w:pPr>
        <w:pStyle w:val="BodyText"/>
        <w:spacing w:line="266" w:lineRule="auto"/>
        <w:ind w:left="156"/>
      </w:pPr>
      <w:r>
        <w:rPr>
          <w:w w:val="105"/>
        </w:rPr>
        <w:t>Net</w:t>
      </w:r>
      <w:r>
        <w:rPr>
          <w:spacing w:val="-7"/>
          <w:w w:val="105"/>
        </w:rPr>
        <w:t> </w:t>
      </w:r>
      <w:r>
        <w:rPr>
          <w:w w:val="105"/>
        </w:rPr>
        <w:t>sales</w:t>
      </w:r>
      <w:r>
        <w:rPr>
          <w:spacing w:val="-7"/>
          <w:w w:val="105"/>
        </w:rPr>
        <w:t> </w:t>
      </w:r>
      <w:r>
        <w:rPr>
          <w:w w:val="105"/>
        </w:rPr>
        <w:t>in</w:t>
      </w:r>
      <w:r>
        <w:rPr>
          <w:spacing w:val="-7"/>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7"/>
          <w:w w:val="105"/>
        </w:rPr>
        <w:t> </w:t>
      </w:r>
      <w:r>
        <w:rPr>
          <w:w w:val="105"/>
        </w:rPr>
        <w:t>were</w:t>
      </w:r>
      <w:r>
        <w:rPr>
          <w:spacing w:val="-7"/>
          <w:w w:val="105"/>
        </w:rPr>
        <w:t> </w:t>
      </w:r>
      <w:r>
        <w:rPr>
          <w:w w:val="105"/>
        </w:rPr>
        <w:t>$14.1</w:t>
      </w:r>
      <w:r>
        <w:rPr>
          <w:spacing w:val="-7"/>
          <w:w w:val="105"/>
        </w:rPr>
        <w:t> </w:t>
      </w:r>
      <w:r>
        <w:rPr>
          <w:w w:val="105"/>
        </w:rPr>
        <w:t>billion,</w:t>
      </w:r>
      <w:r>
        <w:rPr>
          <w:spacing w:val="-7"/>
          <w:w w:val="105"/>
        </w:rPr>
        <w:t> </w:t>
      </w:r>
      <w:r>
        <w:rPr>
          <w:w w:val="105"/>
        </w:rPr>
        <w:t>a</w:t>
      </w:r>
      <w:r>
        <w:rPr>
          <w:spacing w:val="-7"/>
          <w:w w:val="105"/>
        </w:rPr>
        <w:t> </w:t>
      </w:r>
      <w:r>
        <w:rPr>
          <w:w w:val="105"/>
        </w:rPr>
        <w:t>net</w:t>
      </w:r>
      <w:r>
        <w:rPr>
          <w:spacing w:val="-7"/>
          <w:w w:val="105"/>
        </w:rPr>
        <w:t> </w:t>
      </w:r>
      <w:r>
        <w:rPr>
          <w:w w:val="105"/>
        </w:rPr>
        <w:t>increase</w:t>
      </w:r>
      <w:r>
        <w:rPr>
          <w:spacing w:val="-7"/>
          <w:w w:val="105"/>
        </w:rPr>
        <w:t> </w:t>
      </w:r>
      <w:r>
        <w:rPr>
          <w:w w:val="105"/>
        </w:rPr>
        <w:t>of</w:t>
      </w:r>
      <w:r>
        <w:rPr>
          <w:spacing w:val="-7"/>
          <w:w w:val="105"/>
        </w:rPr>
        <w:t> </w:t>
      </w:r>
      <w:r>
        <w:rPr>
          <w:w w:val="105"/>
        </w:rPr>
        <w:t>$2.8</w:t>
      </w:r>
      <w:r>
        <w:rPr>
          <w:spacing w:val="-7"/>
          <w:w w:val="105"/>
        </w:rPr>
        <w:t> </w:t>
      </w:r>
      <w:r>
        <w:rPr>
          <w:w w:val="105"/>
        </w:rPr>
        <w:t>billion,</w:t>
      </w:r>
      <w:r>
        <w:rPr>
          <w:spacing w:val="-7"/>
          <w:w w:val="105"/>
        </w:rPr>
        <w:t> </w:t>
      </w:r>
      <w:r>
        <w:rPr>
          <w:w w:val="105"/>
        </w:rPr>
        <w:t>or</w:t>
      </w:r>
      <w:r>
        <w:rPr>
          <w:spacing w:val="-7"/>
          <w:w w:val="105"/>
        </w:rPr>
        <w:t> </w:t>
      </w:r>
      <w:r>
        <w:rPr>
          <w:w w:val="105"/>
        </w:rPr>
        <w:t>25%,</w:t>
      </w:r>
      <w:r>
        <w:rPr>
          <w:spacing w:val="-7"/>
          <w:w w:val="105"/>
        </w:rPr>
        <w:t> </w:t>
      </w:r>
      <w:r>
        <w:rPr>
          <w:w w:val="105"/>
        </w:rPr>
        <w:t>when</w:t>
      </w:r>
      <w:r>
        <w:rPr>
          <w:spacing w:val="-7"/>
          <w:w w:val="105"/>
        </w:rPr>
        <w:t> </w:t>
      </w:r>
      <w:r>
        <w:rPr>
          <w:w w:val="105"/>
        </w:rPr>
        <w:t>compared</w:t>
      </w:r>
      <w:r>
        <w:rPr>
          <w:spacing w:val="-7"/>
          <w:w w:val="105"/>
        </w:rPr>
        <w:t> </w:t>
      </w:r>
      <w:r>
        <w:rPr>
          <w:w w:val="105"/>
        </w:rPr>
        <w:t>to</w:t>
      </w:r>
      <w:r>
        <w:rPr>
          <w:spacing w:val="-7"/>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2020,</w:t>
      </w:r>
      <w:r>
        <w:rPr>
          <w:spacing w:val="-7"/>
          <w:w w:val="105"/>
        </w:rPr>
        <w:t> </w:t>
      </w:r>
      <w:r>
        <w:rPr>
          <w:w w:val="105"/>
        </w:rPr>
        <w:t>driven</w:t>
      </w:r>
      <w:r>
        <w:rPr>
          <w:spacing w:val="-7"/>
          <w:w w:val="105"/>
        </w:rPr>
        <w:t> </w:t>
      </w:r>
      <w:r>
        <w:rPr>
          <w:w w:val="105"/>
        </w:rPr>
        <w:t>by higher sales for all segments.</w:t>
      </w:r>
    </w:p>
    <w:p>
      <w:pPr>
        <w:pStyle w:val="BodyText"/>
        <w:spacing w:before="19"/>
      </w:pPr>
    </w:p>
    <w:p>
      <w:pPr>
        <w:pStyle w:val="BodyText"/>
        <w:spacing w:line="266" w:lineRule="auto"/>
        <w:ind w:left="156" w:right="328"/>
      </w:pPr>
      <w:r>
        <w:rPr>
          <w:w w:val="105"/>
        </w:rPr>
        <w:t>For</w:t>
      </w:r>
      <w:r>
        <w:rPr>
          <w:spacing w:val="-7"/>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7"/>
          <w:w w:val="105"/>
        </w:rPr>
        <w:t> </w:t>
      </w:r>
      <w:r>
        <w:rPr>
          <w:w w:val="105"/>
        </w:rPr>
        <w:t>we</w:t>
      </w:r>
      <w:r>
        <w:rPr>
          <w:spacing w:val="-7"/>
          <w:w w:val="105"/>
        </w:rPr>
        <w:t> </w:t>
      </w:r>
      <w:r>
        <w:rPr>
          <w:w w:val="105"/>
        </w:rPr>
        <w:t>generated</w:t>
      </w:r>
      <w:r>
        <w:rPr>
          <w:spacing w:val="-7"/>
          <w:w w:val="105"/>
        </w:rPr>
        <w:t> </w:t>
      </w:r>
      <w:r>
        <w:rPr>
          <w:w w:val="105"/>
        </w:rPr>
        <w:t>net</w:t>
      </w:r>
      <w:r>
        <w:rPr>
          <w:spacing w:val="-7"/>
          <w:w w:val="105"/>
        </w:rPr>
        <w:t> </w:t>
      </w:r>
      <w:r>
        <w:rPr>
          <w:w w:val="105"/>
        </w:rPr>
        <w:t>income</w:t>
      </w:r>
      <w:r>
        <w:rPr>
          <w:spacing w:val="-7"/>
          <w:w w:val="105"/>
        </w:rPr>
        <w:t> </w:t>
      </w:r>
      <w:r>
        <w:rPr>
          <w:w w:val="105"/>
        </w:rPr>
        <w:t>of</w:t>
      </w:r>
      <w:r>
        <w:rPr>
          <w:spacing w:val="-7"/>
          <w:w w:val="105"/>
        </w:rPr>
        <w:t> </w:t>
      </w:r>
      <w:r>
        <w:rPr>
          <w:w w:val="105"/>
        </w:rPr>
        <w:t>$1,906</w:t>
      </w:r>
      <w:r>
        <w:rPr>
          <w:spacing w:val="-5"/>
          <w:w w:val="105"/>
        </w:rPr>
        <w:t> </w:t>
      </w:r>
      <w:r>
        <w:rPr>
          <w:w w:val="105"/>
        </w:rPr>
        <w:t>million,</w:t>
      </w:r>
      <w:r>
        <w:rPr>
          <w:spacing w:val="-7"/>
          <w:w w:val="105"/>
        </w:rPr>
        <w:t> </w:t>
      </w:r>
      <w:r>
        <w:rPr>
          <w:w w:val="105"/>
        </w:rPr>
        <w:t>or</w:t>
      </w:r>
      <w:r>
        <w:rPr>
          <w:spacing w:val="-7"/>
          <w:w w:val="105"/>
        </w:rPr>
        <w:t> </w:t>
      </w:r>
      <w:r>
        <w:rPr>
          <w:w w:val="105"/>
        </w:rPr>
        <w:t>$1.28</w:t>
      </w:r>
      <w:r>
        <w:rPr>
          <w:spacing w:val="-7"/>
          <w:w w:val="105"/>
        </w:rPr>
        <w:t> </w:t>
      </w:r>
      <w:r>
        <w:rPr>
          <w:w w:val="105"/>
        </w:rPr>
        <w:t>per</w:t>
      </w:r>
      <w:r>
        <w:rPr>
          <w:spacing w:val="-7"/>
          <w:w w:val="105"/>
        </w:rPr>
        <w:t> </w:t>
      </w:r>
      <w:r>
        <w:rPr>
          <w:w w:val="105"/>
        </w:rPr>
        <w:t>diluted</w:t>
      </w:r>
      <w:r>
        <w:rPr>
          <w:spacing w:val="-7"/>
          <w:w w:val="105"/>
        </w:rPr>
        <w:t> </w:t>
      </w:r>
      <w:r>
        <w:rPr>
          <w:w w:val="105"/>
        </w:rPr>
        <w:t>share,</w:t>
      </w:r>
      <w:r>
        <w:rPr>
          <w:spacing w:val="-7"/>
          <w:w w:val="105"/>
        </w:rPr>
        <w:t> </w:t>
      </w:r>
      <w:r>
        <w:rPr>
          <w:w w:val="105"/>
        </w:rPr>
        <w:t>compared</w:t>
      </w:r>
      <w:r>
        <w:rPr>
          <w:spacing w:val="-7"/>
          <w:w w:val="105"/>
        </w:rPr>
        <w:t> </w:t>
      </w:r>
      <w:r>
        <w:rPr>
          <w:w w:val="105"/>
        </w:rPr>
        <w:t>to</w:t>
      </w:r>
      <w:r>
        <w:rPr>
          <w:spacing w:val="-7"/>
          <w:w w:val="105"/>
        </w:rPr>
        <w:t> </w:t>
      </w:r>
      <w:r>
        <w:rPr>
          <w:w w:val="105"/>
        </w:rPr>
        <w:t>a</w:t>
      </w:r>
      <w:r>
        <w:rPr>
          <w:spacing w:val="-7"/>
          <w:w w:val="105"/>
        </w:rPr>
        <w:t> </w:t>
      </w:r>
      <w:r>
        <w:rPr>
          <w:w w:val="105"/>
        </w:rPr>
        <w:t>net</w:t>
      </w:r>
      <w:r>
        <w:rPr>
          <w:spacing w:val="-7"/>
          <w:w w:val="105"/>
        </w:rPr>
        <w:t> </w:t>
      </w:r>
      <w:r>
        <w:rPr>
          <w:w w:val="105"/>
        </w:rPr>
        <w:t>income</w:t>
      </w:r>
      <w:r>
        <w:rPr>
          <w:spacing w:val="-7"/>
          <w:w w:val="105"/>
        </w:rPr>
        <w:t> </w:t>
      </w:r>
      <w:r>
        <w:rPr>
          <w:w w:val="105"/>
        </w:rPr>
        <w:t>of</w:t>
      </w:r>
      <w:r>
        <w:rPr>
          <w:spacing w:val="-7"/>
          <w:w w:val="105"/>
        </w:rPr>
        <w:t> </w:t>
      </w:r>
      <w:r>
        <w:rPr>
          <w:w w:val="105"/>
        </w:rPr>
        <w:t>$512</w:t>
      </w:r>
      <w:r>
        <w:rPr>
          <w:spacing w:val="-7"/>
          <w:w w:val="105"/>
        </w:rPr>
        <w:t> </w:t>
      </w:r>
      <w:r>
        <w:rPr>
          <w:w w:val="105"/>
        </w:rPr>
        <w:t>million,</w:t>
      </w:r>
      <w:r>
        <w:rPr>
          <w:spacing w:val="-7"/>
          <w:w w:val="105"/>
        </w:rPr>
        <w:t> </w:t>
      </w:r>
      <w:r>
        <w:rPr>
          <w:w w:val="105"/>
        </w:rPr>
        <w:t>or</w:t>
      </w:r>
      <w:r>
        <w:rPr>
          <w:spacing w:val="-7"/>
          <w:w w:val="105"/>
        </w:rPr>
        <w:t> </w:t>
      </w:r>
      <w:r>
        <w:rPr>
          <w:w w:val="105"/>
        </w:rPr>
        <w:t>$0.54</w:t>
      </w:r>
      <w:r>
        <w:rPr>
          <w:spacing w:val="-7"/>
          <w:w w:val="105"/>
        </w:rPr>
        <w:t> </w:t>
      </w:r>
      <w:r>
        <w:rPr>
          <w:w w:val="105"/>
        </w:rPr>
        <w:t>per diluted</w:t>
      </w:r>
      <w:r>
        <w:rPr>
          <w:spacing w:val="-1"/>
          <w:w w:val="105"/>
        </w:rPr>
        <w:t> </w:t>
      </w:r>
      <w:r>
        <w:rPr>
          <w:w w:val="105"/>
        </w:rPr>
        <w:t>share,</w:t>
      </w:r>
      <w:r>
        <w:rPr>
          <w:spacing w:val="-1"/>
          <w:w w:val="105"/>
        </w:rPr>
        <w:t> </w:t>
      </w:r>
      <w:r>
        <w:rPr>
          <w:w w:val="105"/>
        </w:rPr>
        <w:t>for</w:t>
      </w:r>
      <w:r>
        <w:rPr>
          <w:spacing w:val="-1"/>
          <w:w w:val="105"/>
        </w:rPr>
        <w:t> </w:t>
      </w:r>
      <w:r>
        <w:rPr>
          <w:w w:val="105"/>
        </w:rPr>
        <w:t>2020.</w:t>
      </w:r>
      <w:r>
        <w:rPr>
          <w:spacing w:val="-1"/>
          <w:w w:val="105"/>
        </w:rPr>
        <w:t> </w:t>
      </w:r>
      <w:r>
        <w:rPr>
          <w:w w:val="105"/>
        </w:rPr>
        <w:t>When</w:t>
      </w:r>
      <w:r>
        <w:rPr>
          <w:spacing w:val="-1"/>
          <w:w w:val="105"/>
        </w:rPr>
        <w:t> </w:t>
      </w:r>
      <w:r>
        <w:rPr>
          <w:w w:val="105"/>
        </w:rPr>
        <w:t>compared</w:t>
      </w:r>
      <w:r>
        <w:rPr>
          <w:spacing w:val="-1"/>
          <w:w w:val="105"/>
        </w:rPr>
        <w:t> </w:t>
      </w:r>
      <w:r>
        <w:rPr>
          <w:w w:val="105"/>
        </w:rPr>
        <w:t>to</w:t>
      </w:r>
      <w:r>
        <w:rPr>
          <w:spacing w:val="-1"/>
          <w:w w:val="105"/>
        </w:rPr>
        <w:t> </w:t>
      </w:r>
      <w:r>
        <w:rPr>
          <w:w w:val="105"/>
        </w:rPr>
        <w:t>2020,</w:t>
      </w:r>
      <w:r>
        <w:rPr>
          <w:spacing w:val="-1"/>
          <w:w w:val="105"/>
        </w:rPr>
        <w:t> </w:t>
      </w:r>
      <w:r>
        <w:rPr>
          <w:w w:val="105"/>
        </w:rPr>
        <w:t>the</w:t>
      </w:r>
      <w:r>
        <w:rPr>
          <w:spacing w:val="-1"/>
          <w:w w:val="105"/>
        </w:rPr>
        <w:t> </w:t>
      </w:r>
      <w:r>
        <w:rPr>
          <w:w w:val="105"/>
        </w:rPr>
        <w:t>$1.4</w:t>
      </w:r>
      <w:r>
        <w:rPr>
          <w:spacing w:val="-1"/>
          <w:w w:val="105"/>
        </w:rPr>
        <w:t> </w:t>
      </w:r>
      <w:r>
        <w:rPr>
          <w:w w:val="105"/>
        </w:rPr>
        <w:t>billion</w:t>
      </w:r>
      <w:r>
        <w:rPr>
          <w:spacing w:val="-1"/>
          <w:w w:val="105"/>
        </w:rPr>
        <w:t> </w:t>
      </w:r>
      <w:r>
        <w:rPr>
          <w:w w:val="105"/>
        </w:rPr>
        <w:t>increase</w:t>
      </w:r>
      <w:r>
        <w:rPr>
          <w:spacing w:val="-1"/>
          <w:w w:val="105"/>
        </w:rPr>
        <w:t> </w:t>
      </w:r>
      <w:r>
        <w:rPr>
          <w:w w:val="105"/>
        </w:rPr>
        <w:t>in</w:t>
      </w:r>
      <w:r>
        <w:rPr>
          <w:spacing w:val="-1"/>
          <w:w w:val="105"/>
        </w:rPr>
        <w:t> </w:t>
      </w:r>
      <w:r>
        <w:rPr>
          <w:w w:val="105"/>
        </w:rPr>
        <w:t>net</w:t>
      </w:r>
      <w:r>
        <w:rPr>
          <w:spacing w:val="-1"/>
          <w:w w:val="105"/>
        </w:rPr>
        <w:t> </w:t>
      </w:r>
      <w:r>
        <w:rPr>
          <w:w w:val="105"/>
        </w:rPr>
        <w:t>income</w:t>
      </w:r>
      <w:r>
        <w:rPr>
          <w:spacing w:val="-1"/>
          <w:w w:val="105"/>
        </w:rPr>
        <w:t> </w:t>
      </w:r>
      <w:r>
        <w:rPr>
          <w:w w:val="105"/>
        </w:rPr>
        <w:t>was</w:t>
      </w:r>
      <w:r>
        <w:rPr>
          <w:spacing w:val="-1"/>
          <w:w w:val="105"/>
        </w:rPr>
        <w:t> </w:t>
      </w:r>
      <w:r>
        <w:rPr>
          <w:w w:val="105"/>
        </w:rPr>
        <w:t>primarily</w:t>
      </w:r>
      <w:r>
        <w:rPr>
          <w:spacing w:val="-1"/>
          <w:w w:val="105"/>
        </w:rPr>
        <w:t> </w:t>
      </w:r>
      <w:r>
        <w:rPr>
          <w:w w:val="105"/>
        </w:rPr>
        <w:t>due</w:t>
      </w:r>
      <w:r>
        <w:rPr>
          <w:spacing w:val="-1"/>
          <w:w w:val="105"/>
        </w:rPr>
        <w:t> </w:t>
      </w:r>
      <w:r>
        <w:rPr>
          <w:w w:val="105"/>
        </w:rPr>
        <w:t>to</w:t>
      </w:r>
      <w:r>
        <w:rPr>
          <w:spacing w:val="-1"/>
          <w:w w:val="105"/>
        </w:rPr>
        <w:t> </w:t>
      </w:r>
      <w:r>
        <w:rPr>
          <w:w w:val="105"/>
        </w:rPr>
        <w:t>the</w:t>
      </w:r>
      <w:r>
        <w:rPr>
          <w:spacing w:val="-1"/>
          <w:w w:val="105"/>
        </w:rPr>
        <w:t> </w:t>
      </w:r>
      <w:r>
        <w:rPr>
          <w:w w:val="105"/>
        </w:rPr>
        <w:t>following</w:t>
      </w:r>
      <w:r>
        <w:rPr>
          <w:spacing w:val="-1"/>
          <w:w w:val="105"/>
        </w:rPr>
        <w:t> </w:t>
      </w:r>
      <w:r>
        <w:rPr>
          <w:w w:val="105"/>
        </w:rPr>
        <w:t>items</w:t>
      </w:r>
      <w:r>
        <w:rPr>
          <w:spacing w:val="-1"/>
          <w:w w:val="105"/>
        </w:rPr>
        <w:t> </w:t>
      </w:r>
      <w:r>
        <w:rPr>
          <w:w w:val="105"/>
        </w:rPr>
        <w:t>(amounts</w:t>
      </w:r>
      <w:r>
        <w:rPr>
          <w:spacing w:val="-1"/>
          <w:w w:val="105"/>
        </w:rPr>
        <w:t> </w:t>
      </w:r>
      <w:r>
        <w:rPr>
          <w:w w:val="105"/>
        </w:rPr>
        <w:t>presented</w:t>
      </w:r>
      <w:r>
        <w:rPr>
          <w:spacing w:val="-1"/>
          <w:w w:val="105"/>
        </w:rPr>
        <w:t> </w:t>
      </w:r>
      <w:r>
        <w:rPr>
          <w:w w:val="105"/>
        </w:rPr>
        <w:t>after</w:t>
      </w:r>
      <w:r>
        <w:rPr>
          <w:spacing w:val="-1"/>
          <w:w w:val="105"/>
        </w:rPr>
        <w:t> </w:t>
      </w:r>
      <w:r>
        <w:rPr>
          <w:w w:val="105"/>
        </w:rPr>
        <w:t>tax):</w:t>
      </w:r>
    </w:p>
    <w:p>
      <w:pPr>
        <w:pStyle w:val="BodyText"/>
        <w:spacing w:before="19"/>
      </w:pPr>
    </w:p>
    <w:p>
      <w:pPr>
        <w:pStyle w:val="ListParagraph"/>
        <w:numPr>
          <w:ilvl w:val="0"/>
          <w:numId w:val="7"/>
        </w:numPr>
        <w:tabs>
          <w:tab w:pos="462" w:val="left" w:leader="none"/>
        </w:tabs>
        <w:spacing w:line="240" w:lineRule="auto" w:before="0" w:after="0"/>
        <w:ind w:left="462" w:right="0" w:hanging="306"/>
        <w:jc w:val="left"/>
        <w:rPr>
          <w:sz w:val="16"/>
        </w:rPr>
      </w:pPr>
      <w:r>
        <w:rPr>
          <w:w w:val="105"/>
          <w:sz w:val="16"/>
        </w:rPr>
        <w:t>Higher</w:t>
      </w:r>
      <w:r>
        <w:rPr>
          <w:spacing w:val="-8"/>
          <w:w w:val="105"/>
          <w:sz w:val="16"/>
        </w:rPr>
        <w:t> </w:t>
      </w:r>
      <w:r>
        <w:rPr>
          <w:w w:val="105"/>
          <w:sz w:val="16"/>
        </w:rPr>
        <w:t>net</w:t>
      </w:r>
      <w:r>
        <w:rPr>
          <w:spacing w:val="-8"/>
          <w:w w:val="105"/>
          <w:sz w:val="16"/>
        </w:rPr>
        <w:t> </w:t>
      </w:r>
      <w:r>
        <w:rPr>
          <w:w w:val="105"/>
          <w:sz w:val="16"/>
        </w:rPr>
        <w:t>income</w:t>
      </w:r>
      <w:r>
        <w:rPr>
          <w:spacing w:val="-8"/>
          <w:w w:val="105"/>
          <w:sz w:val="16"/>
        </w:rPr>
        <w:t> </w:t>
      </w:r>
      <w:r>
        <w:rPr>
          <w:w w:val="105"/>
          <w:sz w:val="16"/>
        </w:rPr>
        <w:t>of</w:t>
      </w:r>
      <w:r>
        <w:rPr>
          <w:spacing w:val="-8"/>
          <w:w w:val="105"/>
          <w:sz w:val="16"/>
        </w:rPr>
        <w:t> </w:t>
      </w:r>
      <w:r>
        <w:rPr>
          <w:w w:val="105"/>
          <w:sz w:val="16"/>
        </w:rPr>
        <w:t>$505</w:t>
      </w:r>
      <w:r>
        <w:rPr>
          <w:spacing w:val="-8"/>
          <w:w w:val="105"/>
          <w:sz w:val="16"/>
        </w:rPr>
        <w:t> </w:t>
      </w:r>
      <w:r>
        <w:rPr>
          <w:w w:val="105"/>
          <w:sz w:val="16"/>
        </w:rPr>
        <w:t>million</w:t>
      </w:r>
      <w:r>
        <w:rPr>
          <w:spacing w:val="-8"/>
          <w:w w:val="105"/>
          <w:sz w:val="16"/>
        </w:rPr>
        <w:t> </w:t>
      </w:r>
      <w:r>
        <w:rPr>
          <w:w w:val="105"/>
          <w:sz w:val="16"/>
        </w:rPr>
        <w:t>for</w:t>
      </w:r>
      <w:r>
        <w:rPr>
          <w:spacing w:val="-8"/>
          <w:w w:val="105"/>
          <w:sz w:val="16"/>
        </w:rPr>
        <w:t> </w:t>
      </w:r>
      <w:r>
        <w:rPr>
          <w:w w:val="105"/>
          <w:sz w:val="16"/>
        </w:rPr>
        <w:t>reportable</w:t>
      </w:r>
      <w:r>
        <w:rPr>
          <w:spacing w:val="-8"/>
          <w:w w:val="105"/>
          <w:sz w:val="16"/>
        </w:rPr>
        <w:t> </w:t>
      </w:r>
      <w:r>
        <w:rPr>
          <w:spacing w:val="-2"/>
          <w:w w:val="105"/>
          <w:sz w:val="16"/>
        </w:rPr>
        <w:t>segments;</w:t>
      </w:r>
    </w:p>
    <w:p>
      <w:pPr>
        <w:pStyle w:val="ListParagraph"/>
        <w:numPr>
          <w:ilvl w:val="0"/>
          <w:numId w:val="7"/>
        </w:numPr>
        <w:tabs>
          <w:tab w:pos="462" w:val="left" w:leader="none"/>
        </w:tabs>
        <w:spacing w:line="240" w:lineRule="auto" w:before="20" w:after="0"/>
        <w:ind w:left="462" w:right="0" w:hanging="306"/>
        <w:jc w:val="left"/>
        <w:rPr>
          <w:sz w:val="16"/>
        </w:rPr>
      </w:pPr>
      <w:r>
        <w:rPr>
          <w:w w:val="105"/>
          <w:sz w:val="16"/>
        </w:rPr>
        <w:t>Lower</w:t>
      </w:r>
      <w:r>
        <w:rPr>
          <w:spacing w:val="-11"/>
          <w:w w:val="105"/>
          <w:sz w:val="16"/>
        </w:rPr>
        <w:t> </w:t>
      </w:r>
      <w:r>
        <w:rPr>
          <w:w w:val="105"/>
          <w:sz w:val="16"/>
        </w:rPr>
        <w:t>restructuring,</w:t>
      </w:r>
      <w:r>
        <w:rPr>
          <w:spacing w:val="-10"/>
          <w:w w:val="105"/>
          <w:sz w:val="16"/>
        </w:rPr>
        <w:t> </w:t>
      </w:r>
      <w:r>
        <w:rPr>
          <w:w w:val="105"/>
          <w:sz w:val="16"/>
        </w:rPr>
        <w:t>impairment</w:t>
      </w:r>
      <w:r>
        <w:rPr>
          <w:spacing w:val="-10"/>
          <w:w w:val="105"/>
          <w:sz w:val="16"/>
        </w:rPr>
        <w:t> </w:t>
      </w:r>
      <w:r>
        <w:rPr>
          <w:w w:val="105"/>
          <w:sz w:val="16"/>
        </w:rPr>
        <w:t>and</w:t>
      </w:r>
      <w:r>
        <w:rPr>
          <w:spacing w:val="-10"/>
          <w:w w:val="105"/>
          <w:sz w:val="16"/>
        </w:rPr>
        <w:t> </w:t>
      </w:r>
      <w:r>
        <w:rPr>
          <w:w w:val="105"/>
          <w:sz w:val="16"/>
        </w:rPr>
        <w:t>other</w:t>
      </w:r>
      <w:r>
        <w:rPr>
          <w:spacing w:val="-10"/>
          <w:w w:val="105"/>
          <w:sz w:val="16"/>
        </w:rPr>
        <w:t> </w:t>
      </w:r>
      <w:r>
        <w:rPr>
          <w:w w:val="105"/>
          <w:sz w:val="16"/>
        </w:rPr>
        <w:t>charges</w:t>
      </w:r>
      <w:r>
        <w:rPr>
          <w:spacing w:val="-10"/>
          <w:w w:val="105"/>
          <w:sz w:val="16"/>
        </w:rPr>
        <w:t> </w:t>
      </w:r>
      <w:r>
        <w:rPr>
          <w:w w:val="105"/>
          <w:sz w:val="16"/>
        </w:rPr>
        <w:t>of</w:t>
      </w:r>
      <w:r>
        <w:rPr>
          <w:spacing w:val="-10"/>
          <w:w w:val="105"/>
          <w:sz w:val="16"/>
        </w:rPr>
        <w:t> </w:t>
      </w:r>
      <w:r>
        <w:rPr>
          <w:w w:val="105"/>
          <w:sz w:val="16"/>
        </w:rPr>
        <w:t>$543</w:t>
      </w:r>
      <w:r>
        <w:rPr>
          <w:spacing w:val="-10"/>
          <w:w w:val="105"/>
          <w:sz w:val="16"/>
        </w:rPr>
        <w:t> </w:t>
      </w:r>
      <w:r>
        <w:rPr>
          <w:spacing w:val="-2"/>
          <w:w w:val="105"/>
          <w:sz w:val="16"/>
        </w:rPr>
        <w:t>million;</w:t>
      </w:r>
    </w:p>
    <w:p>
      <w:pPr>
        <w:pStyle w:val="ListParagraph"/>
        <w:numPr>
          <w:ilvl w:val="0"/>
          <w:numId w:val="7"/>
        </w:numPr>
        <w:tabs>
          <w:tab w:pos="462" w:val="left" w:leader="none"/>
        </w:tabs>
        <w:spacing w:line="240" w:lineRule="auto" w:before="19" w:after="0"/>
        <w:ind w:left="462" w:right="0" w:hanging="306"/>
        <w:jc w:val="left"/>
        <w:rPr>
          <w:sz w:val="16"/>
        </w:rPr>
      </w:pPr>
      <w:r>
        <w:rPr>
          <w:spacing w:val="-2"/>
          <w:w w:val="105"/>
          <w:sz w:val="16"/>
        </w:rPr>
        <w:t>The</w:t>
      </w:r>
      <w:r>
        <w:rPr>
          <w:spacing w:val="2"/>
          <w:w w:val="105"/>
          <w:sz w:val="16"/>
        </w:rPr>
        <w:t> </w:t>
      </w:r>
      <w:r>
        <w:rPr>
          <w:spacing w:val="-2"/>
          <w:w w:val="105"/>
          <w:sz w:val="16"/>
        </w:rPr>
        <w:t>positive</w:t>
      </w:r>
      <w:r>
        <w:rPr>
          <w:spacing w:val="2"/>
          <w:w w:val="105"/>
          <w:sz w:val="16"/>
        </w:rPr>
        <w:t> </w:t>
      </w:r>
      <w:r>
        <w:rPr>
          <w:spacing w:val="-2"/>
          <w:w w:val="105"/>
          <w:sz w:val="16"/>
        </w:rPr>
        <w:t>impact</w:t>
      </w:r>
      <w:r>
        <w:rPr>
          <w:spacing w:val="2"/>
          <w:w w:val="105"/>
          <w:sz w:val="16"/>
        </w:rPr>
        <w:t> </w:t>
      </w:r>
      <w:r>
        <w:rPr>
          <w:spacing w:val="-2"/>
          <w:w w:val="105"/>
          <w:sz w:val="16"/>
        </w:rPr>
        <w:t>of</w:t>
      </w:r>
      <w:r>
        <w:rPr>
          <w:spacing w:val="2"/>
          <w:w w:val="105"/>
          <w:sz w:val="16"/>
        </w:rPr>
        <w:t> </w:t>
      </w:r>
      <w:r>
        <w:rPr>
          <w:spacing w:val="-2"/>
          <w:w w:val="105"/>
          <w:sz w:val="16"/>
        </w:rPr>
        <w:t>mark-to-market</w:t>
      </w:r>
      <w:r>
        <w:rPr>
          <w:spacing w:val="2"/>
          <w:w w:val="105"/>
          <w:sz w:val="16"/>
        </w:rPr>
        <w:t> </w:t>
      </w:r>
      <w:r>
        <w:rPr>
          <w:spacing w:val="-2"/>
          <w:w w:val="105"/>
          <w:sz w:val="16"/>
        </w:rPr>
        <w:t>translated</w:t>
      </w:r>
      <w:r>
        <w:rPr>
          <w:spacing w:val="3"/>
          <w:w w:val="105"/>
          <w:sz w:val="16"/>
        </w:rPr>
        <w:t> </w:t>
      </w:r>
      <w:r>
        <w:rPr>
          <w:spacing w:val="-2"/>
          <w:w w:val="105"/>
          <w:sz w:val="16"/>
        </w:rPr>
        <w:t>earnings</w:t>
      </w:r>
      <w:r>
        <w:rPr>
          <w:spacing w:val="2"/>
          <w:w w:val="105"/>
          <w:sz w:val="16"/>
        </w:rPr>
        <w:t> </w:t>
      </w:r>
      <w:r>
        <w:rPr>
          <w:spacing w:val="-2"/>
          <w:w w:val="105"/>
          <w:sz w:val="16"/>
        </w:rPr>
        <w:t>contract</w:t>
      </w:r>
      <w:r>
        <w:rPr>
          <w:spacing w:val="2"/>
          <w:w w:val="105"/>
          <w:sz w:val="16"/>
        </w:rPr>
        <w:t> </w:t>
      </w:r>
      <w:r>
        <w:rPr>
          <w:spacing w:val="-2"/>
          <w:w w:val="105"/>
          <w:sz w:val="16"/>
        </w:rPr>
        <w:t>gains</w:t>
      </w:r>
      <w:r>
        <w:rPr>
          <w:spacing w:val="2"/>
          <w:w w:val="105"/>
          <w:sz w:val="16"/>
        </w:rPr>
        <w:t> </w:t>
      </w:r>
      <w:r>
        <w:rPr>
          <w:spacing w:val="-2"/>
          <w:w w:val="105"/>
          <w:sz w:val="16"/>
        </w:rPr>
        <w:t>of</w:t>
      </w:r>
      <w:r>
        <w:rPr>
          <w:spacing w:val="2"/>
          <w:w w:val="105"/>
          <w:sz w:val="16"/>
        </w:rPr>
        <w:t> </w:t>
      </w:r>
      <w:r>
        <w:rPr>
          <w:spacing w:val="-2"/>
          <w:w w:val="105"/>
          <w:sz w:val="16"/>
        </w:rPr>
        <w:t>$309</w:t>
      </w:r>
      <w:r>
        <w:rPr>
          <w:spacing w:val="3"/>
          <w:w w:val="105"/>
          <w:sz w:val="16"/>
        </w:rPr>
        <w:t> </w:t>
      </w:r>
      <w:r>
        <w:rPr>
          <w:spacing w:val="-2"/>
          <w:w w:val="105"/>
          <w:sz w:val="16"/>
        </w:rPr>
        <w:t>million;</w:t>
      </w:r>
    </w:p>
    <w:p>
      <w:pPr>
        <w:pStyle w:val="ListParagraph"/>
        <w:numPr>
          <w:ilvl w:val="0"/>
          <w:numId w:val="7"/>
        </w:numPr>
        <w:tabs>
          <w:tab w:pos="462" w:val="left" w:leader="none"/>
        </w:tabs>
        <w:spacing w:line="240" w:lineRule="auto" w:before="20" w:after="0"/>
        <w:ind w:left="462" w:right="0" w:hanging="306"/>
        <w:jc w:val="left"/>
        <w:rPr>
          <w:sz w:val="16"/>
        </w:rPr>
      </w:pPr>
      <w:r>
        <w:rPr>
          <w:w w:val="105"/>
          <w:sz w:val="16"/>
        </w:rPr>
        <w:t>Higher</w:t>
      </w:r>
      <w:r>
        <w:rPr>
          <w:spacing w:val="-11"/>
          <w:w w:val="105"/>
          <w:sz w:val="16"/>
        </w:rPr>
        <w:t> </w:t>
      </w:r>
      <w:r>
        <w:rPr>
          <w:w w:val="105"/>
          <w:sz w:val="16"/>
        </w:rPr>
        <w:t>translation</w:t>
      </w:r>
      <w:r>
        <w:rPr>
          <w:spacing w:val="-10"/>
          <w:w w:val="105"/>
          <w:sz w:val="16"/>
        </w:rPr>
        <w:t> </w:t>
      </w:r>
      <w:r>
        <w:rPr>
          <w:w w:val="105"/>
          <w:sz w:val="16"/>
        </w:rPr>
        <w:t>gains</w:t>
      </w:r>
      <w:r>
        <w:rPr>
          <w:spacing w:val="-10"/>
          <w:w w:val="105"/>
          <w:sz w:val="16"/>
        </w:rPr>
        <w:t> </w:t>
      </w:r>
      <w:r>
        <w:rPr>
          <w:w w:val="105"/>
          <w:sz w:val="16"/>
        </w:rPr>
        <w:t>on</w:t>
      </w:r>
      <w:r>
        <w:rPr>
          <w:spacing w:val="-10"/>
          <w:w w:val="105"/>
          <w:sz w:val="16"/>
        </w:rPr>
        <w:t> </w:t>
      </w:r>
      <w:r>
        <w:rPr>
          <w:w w:val="105"/>
          <w:sz w:val="16"/>
        </w:rPr>
        <w:t>Japanese</w:t>
      </w:r>
      <w:r>
        <w:rPr>
          <w:spacing w:val="-10"/>
          <w:w w:val="105"/>
          <w:sz w:val="16"/>
        </w:rPr>
        <w:t> </w:t>
      </w:r>
      <w:r>
        <w:rPr>
          <w:w w:val="105"/>
          <w:sz w:val="16"/>
        </w:rPr>
        <w:t>yen-denominated</w:t>
      </w:r>
      <w:r>
        <w:rPr>
          <w:spacing w:val="-10"/>
          <w:w w:val="105"/>
          <w:sz w:val="16"/>
        </w:rPr>
        <w:t> </w:t>
      </w:r>
      <w:r>
        <w:rPr>
          <w:w w:val="105"/>
          <w:sz w:val="16"/>
        </w:rPr>
        <w:t>debt</w:t>
      </w:r>
      <w:r>
        <w:rPr>
          <w:spacing w:val="-10"/>
          <w:w w:val="105"/>
          <w:sz w:val="16"/>
        </w:rPr>
        <w:t> </w:t>
      </w:r>
      <w:r>
        <w:rPr>
          <w:w w:val="105"/>
          <w:sz w:val="16"/>
        </w:rPr>
        <w:t>of</w:t>
      </w:r>
      <w:r>
        <w:rPr>
          <w:spacing w:val="-10"/>
          <w:w w:val="105"/>
          <w:sz w:val="16"/>
        </w:rPr>
        <w:t> </w:t>
      </w:r>
      <w:r>
        <w:rPr>
          <w:w w:val="105"/>
          <w:sz w:val="16"/>
        </w:rPr>
        <w:t>$205</w:t>
      </w:r>
      <w:r>
        <w:rPr>
          <w:spacing w:val="-10"/>
          <w:w w:val="105"/>
          <w:sz w:val="16"/>
        </w:rPr>
        <w:t> </w:t>
      </w:r>
      <w:r>
        <w:rPr>
          <w:w w:val="105"/>
          <w:sz w:val="16"/>
        </w:rPr>
        <w:t>million;</w:t>
      </w:r>
      <w:r>
        <w:rPr>
          <w:spacing w:val="-10"/>
          <w:w w:val="105"/>
          <w:sz w:val="16"/>
        </w:rPr>
        <w:t> </w:t>
      </w:r>
      <w:r>
        <w:rPr>
          <w:spacing w:val="-5"/>
          <w:w w:val="105"/>
          <w:sz w:val="16"/>
        </w:rPr>
        <w:t>and</w:t>
      </w:r>
    </w:p>
    <w:p>
      <w:pPr>
        <w:pStyle w:val="ListParagraph"/>
        <w:numPr>
          <w:ilvl w:val="0"/>
          <w:numId w:val="7"/>
        </w:numPr>
        <w:tabs>
          <w:tab w:pos="462" w:val="left" w:leader="none"/>
        </w:tabs>
        <w:spacing w:line="240" w:lineRule="auto" w:before="20" w:after="0"/>
        <w:ind w:left="462" w:right="0" w:hanging="306"/>
        <w:jc w:val="left"/>
        <w:rPr>
          <w:sz w:val="16"/>
        </w:rPr>
      </w:pPr>
      <w:r>
        <w:rPr>
          <w:w w:val="105"/>
          <w:sz w:val="16"/>
        </w:rPr>
        <w:t>Lower</w:t>
      </w:r>
      <w:r>
        <w:rPr>
          <w:spacing w:val="-9"/>
          <w:w w:val="105"/>
          <w:sz w:val="16"/>
        </w:rPr>
        <w:t> </w:t>
      </w:r>
      <w:r>
        <w:rPr>
          <w:w w:val="105"/>
          <w:sz w:val="16"/>
        </w:rPr>
        <w:t>net</w:t>
      </w:r>
      <w:r>
        <w:rPr>
          <w:spacing w:val="-9"/>
          <w:w w:val="105"/>
          <w:sz w:val="16"/>
        </w:rPr>
        <w:t> </w:t>
      </w:r>
      <w:r>
        <w:rPr>
          <w:w w:val="105"/>
          <w:sz w:val="16"/>
        </w:rPr>
        <w:t>losses</w:t>
      </w:r>
      <w:r>
        <w:rPr>
          <w:spacing w:val="-8"/>
          <w:w w:val="105"/>
          <w:sz w:val="16"/>
        </w:rPr>
        <w:t> </w:t>
      </w:r>
      <w:r>
        <w:rPr>
          <w:w w:val="105"/>
          <w:sz w:val="16"/>
        </w:rPr>
        <w:t>of</w:t>
      </w:r>
      <w:r>
        <w:rPr>
          <w:spacing w:val="-9"/>
          <w:w w:val="105"/>
          <w:sz w:val="16"/>
        </w:rPr>
        <w:t> </w:t>
      </w:r>
      <w:r>
        <w:rPr>
          <w:w w:val="105"/>
          <w:sz w:val="16"/>
        </w:rPr>
        <w:t>$163</w:t>
      </w:r>
      <w:r>
        <w:rPr>
          <w:spacing w:val="-9"/>
          <w:w w:val="105"/>
          <w:sz w:val="16"/>
        </w:rPr>
        <w:t> </w:t>
      </w:r>
      <w:r>
        <w:rPr>
          <w:w w:val="105"/>
          <w:sz w:val="16"/>
        </w:rPr>
        <w:t>million</w:t>
      </w:r>
      <w:r>
        <w:rPr>
          <w:spacing w:val="-8"/>
          <w:w w:val="105"/>
          <w:sz w:val="16"/>
        </w:rPr>
        <w:t> </w:t>
      </w:r>
      <w:r>
        <w:rPr>
          <w:w w:val="105"/>
          <w:sz w:val="16"/>
        </w:rPr>
        <w:t>for</w:t>
      </w:r>
      <w:r>
        <w:rPr>
          <w:spacing w:val="-9"/>
          <w:w w:val="105"/>
          <w:sz w:val="16"/>
        </w:rPr>
        <w:t> </w:t>
      </w:r>
      <w:r>
        <w:rPr>
          <w:w w:val="105"/>
          <w:sz w:val="16"/>
        </w:rPr>
        <w:t>"All</w:t>
      </w:r>
      <w:r>
        <w:rPr>
          <w:spacing w:val="-8"/>
          <w:w w:val="105"/>
          <w:sz w:val="16"/>
        </w:rPr>
        <w:t> </w:t>
      </w:r>
      <w:r>
        <w:rPr>
          <w:w w:val="105"/>
          <w:sz w:val="16"/>
        </w:rPr>
        <w:t>Other"</w:t>
      </w:r>
      <w:r>
        <w:rPr>
          <w:spacing w:val="-9"/>
          <w:w w:val="105"/>
          <w:sz w:val="16"/>
        </w:rPr>
        <w:t> </w:t>
      </w:r>
      <w:r>
        <w:rPr>
          <w:w w:val="105"/>
          <w:sz w:val="16"/>
        </w:rPr>
        <w:t>primarily</w:t>
      </w:r>
      <w:r>
        <w:rPr>
          <w:spacing w:val="-9"/>
          <w:w w:val="105"/>
          <w:sz w:val="16"/>
        </w:rPr>
        <w:t> </w:t>
      </w:r>
      <w:r>
        <w:rPr>
          <w:w w:val="105"/>
          <w:sz w:val="16"/>
        </w:rPr>
        <w:t>driven</w:t>
      </w:r>
      <w:r>
        <w:rPr>
          <w:spacing w:val="-8"/>
          <w:w w:val="105"/>
          <w:sz w:val="16"/>
        </w:rPr>
        <w:t> </w:t>
      </w:r>
      <w:r>
        <w:rPr>
          <w:w w:val="105"/>
          <w:sz w:val="16"/>
        </w:rPr>
        <w:t>by</w:t>
      </w:r>
      <w:r>
        <w:rPr>
          <w:spacing w:val="-9"/>
          <w:w w:val="105"/>
          <w:sz w:val="16"/>
        </w:rPr>
        <w:t> </w:t>
      </w:r>
      <w:r>
        <w:rPr>
          <w:w w:val="105"/>
          <w:sz w:val="16"/>
        </w:rPr>
        <w:t>full-year</w:t>
      </w:r>
      <w:r>
        <w:rPr>
          <w:spacing w:val="-8"/>
          <w:w w:val="105"/>
          <w:sz w:val="16"/>
        </w:rPr>
        <w:t> </w:t>
      </w:r>
      <w:r>
        <w:rPr>
          <w:w w:val="105"/>
          <w:sz w:val="16"/>
        </w:rPr>
        <w:t>consolidation</w:t>
      </w:r>
      <w:r>
        <w:rPr>
          <w:spacing w:val="-9"/>
          <w:w w:val="105"/>
          <w:sz w:val="16"/>
        </w:rPr>
        <w:t> </w:t>
      </w:r>
      <w:r>
        <w:rPr>
          <w:w w:val="105"/>
          <w:sz w:val="16"/>
        </w:rPr>
        <w:t>of</w:t>
      </w:r>
      <w:r>
        <w:rPr>
          <w:spacing w:val="-9"/>
          <w:w w:val="105"/>
          <w:sz w:val="16"/>
        </w:rPr>
        <w:t> </w:t>
      </w:r>
      <w:r>
        <w:rPr>
          <w:spacing w:val="-4"/>
          <w:w w:val="105"/>
          <w:sz w:val="16"/>
        </w:rPr>
        <w:t>HSG.</w:t>
      </w:r>
    </w:p>
    <w:p>
      <w:pPr>
        <w:pStyle w:val="BodyText"/>
        <w:spacing w:before="40"/>
      </w:pPr>
    </w:p>
    <w:p>
      <w:pPr>
        <w:pStyle w:val="BodyText"/>
        <w:ind w:left="156"/>
      </w:pPr>
      <w:r>
        <w:rPr>
          <w:w w:val="105"/>
        </w:rPr>
        <w:t>The</w:t>
      </w:r>
      <w:r>
        <w:rPr>
          <w:spacing w:val="-8"/>
          <w:w w:val="105"/>
        </w:rPr>
        <w:t> </w:t>
      </w:r>
      <w:r>
        <w:rPr>
          <w:w w:val="105"/>
        </w:rPr>
        <w:t>increases</w:t>
      </w:r>
      <w:r>
        <w:rPr>
          <w:spacing w:val="-7"/>
          <w:w w:val="105"/>
        </w:rPr>
        <w:t> </w:t>
      </w:r>
      <w:r>
        <w:rPr>
          <w:w w:val="105"/>
        </w:rPr>
        <w:t>in</w:t>
      </w:r>
      <w:r>
        <w:rPr>
          <w:spacing w:val="-8"/>
          <w:w w:val="105"/>
        </w:rPr>
        <w:t> </w:t>
      </w:r>
      <w:r>
        <w:rPr>
          <w:w w:val="105"/>
        </w:rPr>
        <w:t>net</w:t>
      </w:r>
      <w:r>
        <w:rPr>
          <w:spacing w:val="-7"/>
          <w:w w:val="105"/>
        </w:rPr>
        <w:t> </w:t>
      </w:r>
      <w:r>
        <w:rPr>
          <w:w w:val="105"/>
        </w:rPr>
        <w:t>income,</w:t>
      </w:r>
      <w:r>
        <w:rPr>
          <w:spacing w:val="-8"/>
          <w:w w:val="105"/>
        </w:rPr>
        <w:t> </w:t>
      </w:r>
      <w:r>
        <w:rPr>
          <w:w w:val="105"/>
        </w:rPr>
        <w:t>outlined</w:t>
      </w:r>
      <w:r>
        <w:rPr>
          <w:spacing w:val="-7"/>
          <w:w w:val="105"/>
        </w:rPr>
        <w:t> </w:t>
      </w:r>
      <w:r>
        <w:rPr>
          <w:w w:val="105"/>
        </w:rPr>
        <w:t>above,</w:t>
      </w:r>
      <w:r>
        <w:rPr>
          <w:spacing w:val="-8"/>
          <w:w w:val="105"/>
        </w:rPr>
        <w:t> </w:t>
      </w:r>
      <w:r>
        <w:rPr>
          <w:w w:val="105"/>
        </w:rPr>
        <w:t>were</w:t>
      </w:r>
      <w:r>
        <w:rPr>
          <w:spacing w:val="-7"/>
          <w:w w:val="105"/>
        </w:rPr>
        <w:t> </w:t>
      </w:r>
      <w:r>
        <w:rPr>
          <w:w w:val="105"/>
        </w:rPr>
        <w:t>partially</w:t>
      </w:r>
      <w:r>
        <w:rPr>
          <w:spacing w:val="-8"/>
          <w:w w:val="105"/>
        </w:rPr>
        <w:t> </w:t>
      </w:r>
      <w:r>
        <w:rPr>
          <w:w w:val="105"/>
        </w:rPr>
        <w:t>offset</w:t>
      </w:r>
      <w:r>
        <w:rPr>
          <w:spacing w:val="-7"/>
          <w:w w:val="105"/>
        </w:rPr>
        <w:t> </w:t>
      </w:r>
      <w:r>
        <w:rPr>
          <w:w w:val="105"/>
        </w:rPr>
        <w:t>by</w:t>
      </w:r>
      <w:r>
        <w:rPr>
          <w:spacing w:val="-7"/>
          <w:w w:val="105"/>
        </w:rPr>
        <w:t> </w:t>
      </w:r>
      <w:r>
        <w:rPr>
          <w:w w:val="105"/>
        </w:rPr>
        <w:t>the</w:t>
      </w:r>
      <w:r>
        <w:rPr>
          <w:spacing w:val="-8"/>
          <w:w w:val="105"/>
        </w:rPr>
        <w:t> </w:t>
      </w:r>
      <w:r>
        <w:rPr>
          <w:w w:val="105"/>
        </w:rPr>
        <w:t>absence</w:t>
      </w:r>
      <w:r>
        <w:rPr>
          <w:spacing w:val="-7"/>
          <w:w w:val="105"/>
        </w:rPr>
        <w:t> </w:t>
      </w:r>
      <w:r>
        <w:rPr>
          <w:w w:val="105"/>
        </w:rPr>
        <w:t>of</w:t>
      </w:r>
      <w:r>
        <w:rPr>
          <w:spacing w:val="-8"/>
          <w:w w:val="105"/>
        </w:rPr>
        <w:t> </w:t>
      </w:r>
      <w:r>
        <w:rPr>
          <w:w w:val="105"/>
        </w:rPr>
        <w:t>a</w:t>
      </w:r>
      <w:r>
        <w:rPr>
          <w:spacing w:val="-7"/>
          <w:w w:val="105"/>
        </w:rPr>
        <w:t> </w:t>
      </w:r>
      <w:r>
        <w:rPr>
          <w:w w:val="105"/>
        </w:rPr>
        <w:t>gain</w:t>
      </w:r>
      <w:r>
        <w:rPr>
          <w:spacing w:val="-8"/>
          <w:w w:val="105"/>
        </w:rPr>
        <w:t> </w:t>
      </w:r>
      <w:r>
        <w:rPr>
          <w:w w:val="105"/>
        </w:rPr>
        <w:t>on</w:t>
      </w:r>
      <w:r>
        <w:rPr>
          <w:spacing w:val="-7"/>
          <w:w w:val="105"/>
        </w:rPr>
        <w:t> </w:t>
      </w:r>
      <w:r>
        <w:rPr>
          <w:w w:val="105"/>
        </w:rPr>
        <w:t>a</w:t>
      </w:r>
      <w:r>
        <w:rPr>
          <w:spacing w:val="-8"/>
          <w:w w:val="105"/>
        </w:rPr>
        <w:t> </w:t>
      </w:r>
      <w:r>
        <w:rPr>
          <w:w w:val="105"/>
        </w:rPr>
        <w:t>previously</w:t>
      </w:r>
      <w:r>
        <w:rPr>
          <w:spacing w:val="-7"/>
          <w:w w:val="105"/>
        </w:rPr>
        <w:t> </w:t>
      </w:r>
      <w:r>
        <w:rPr>
          <w:w w:val="105"/>
        </w:rPr>
        <w:t>held</w:t>
      </w:r>
      <w:r>
        <w:rPr>
          <w:spacing w:val="-8"/>
          <w:w w:val="105"/>
        </w:rPr>
        <w:t> </w:t>
      </w:r>
      <w:r>
        <w:rPr>
          <w:w w:val="105"/>
        </w:rPr>
        <w:t>equity</w:t>
      </w:r>
      <w:r>
        <w:rPr>
          <w:spacing w:val="-7"/>
          <w:w w:val="105"/>
        </w:rPr>
        <w:t> </w:t>
      </w:r>
      <w:r>
        <w:rPr>
          <w:w w:val="105"/>
        </w:rPr>
        <w:t>investment</w:t>
      </w:r>
      <w:r>
        <w:rPr>
          <w:spacing w:val="-7"/>
          <w:w w:val="105"/>
        </w:rPr>
        <w:t> </w:t>
      </w:r>
      <w:r>
        <w:rPr>
          <w:w w:val="105"/>
        </w:rPr>
        <w:t>in</w:t>
      </w:r>
      <w:r>
        <w:rPr>
          <w:spacing w:val="-8"/>
          <w:w w:val="105"/>
        </w:rPr>
        <w:t> </w:t>
      </w:r>
      <w:r>
        <w:rPr>
          <w:w w:val="105"/>
        </w:rPr>
        <w:t>HSG</w:t>
      </w:r>
      <w:r>
        <w:rPr>
          <w:spacing w:val="-7"/>
          <w:w w:val="105"/>
        </w:rPr>
        <w:t> </w:t>
      </w:r>
      <w:r>
        <w:rPr>
          <w:w w:val="105"/>
        </w:rPr>
        <w:t>of</w:t>
      </w:r>
      <w:r>
        <w:rPr>
          <w:spacing w:val="-8"/>
          <w:w w:val="105"/>
        </w:rPr>
        <w:t> </w:t>
      </w:r>
      <w:r>
        <w:rPr>
          <w:w w:val="105"/>
        </w:rPr>
        <w:t>$387</w:t>
      </w:r>
      <w:r>
        <w:rPr>
          <w:spacing w:val="-7"/>
          <w:w w:val="105"/>
        </w:rPr>
        <w:t> </w:t>
      </w:r>
      <w:r>
        <w:rPr>
          <w:w w:val="105"/>
        </w:rPr>
        <w:t>million</w:t>
      </w:r>
      <w:r>
        <w:rPr>
          <w:spacing w:val="-8"/>
          <w:w w:val="105"/>
        </w:rPr>
        <w:t> </w:t>
      </w:r>
      <w:r>
        <w:rPr>
          <w:w w:val="105"/>
        </w:rPr>
        <w:t>in</w:t>
      </w:r>
      <w:r>
        <w:rPr>
          <w:spacing w:val="-7"/>
          <w:w w:val="105"/>
        </w:rPr>
        <w:t> </w:t>
      </w:r>
      <w:r>
        <w:rPr>
          <w:spacing w:val="-2"/>
          <w:w w:val="105"/>
        </w:rPr>
        <w:t>2020.</w:t>
      </w:r>
    </w:p>
    <w:p>
      <w:pPr>
        <w:pStyle w:val="BodyText"/>
        <w:spacing w:before="39"/>
      </w:pPr>
    </w:p>
    <w:p>
      <w:pPr>
        <w:pStyle w:val="BodyText"/>
        <w:spacing w:line="266" w:lineRule="auto"/>
        <w:ind w:left="156"/>
      </w:pPr>
      <w:r>
        <w:rPr>
          <w:w w:val="105"/>
        </w:rPr>
        <w:t>Diluted</w:t>
      </w:r>
      <w:r>
        <w:rPr>
          <w:spacing w:val="-8"/>
          <w:w w:val="105"/>
        </w:rPr>
        <w:t> </w:t>
      </w:r>
      <w:r>
        <w:rPr>
          <w:w w:val="105"/>
        </w:rPr>
        <w:t>earnings</w:t>
      </w:r>
      <w:r>
        <w:rPr>
          <w:spacing w:val="-8"/>
          <w:w w:val="105"/>
        </w:rPr>
        <w:t> </w:t>
      </w:r>
      <w:r>
        <w:rPr>
          <w:w w:val="105"/>
        </w:rPr>
        <w:t>per</w:t>
      </w:r>
      <w:r>
        <w:rPr>
          <w:spacing w:val="-8"/>
          <w:w w:val="105"/>
        </w:rPr>
        <w:t> </w:t>
      </w:r>
      <w:r>
        <w:rPr>
          <w:w w:val="105"/>
        </w:rPr>
        <w:t>share</w:t>
      </w:r>
      <w:r>
        <w:rPr>
          <w:spacing w:val="-6"/>
          <w:w w:val="105"/>
        </w:rPr>
        <w:t> </w:t>
      </w:r>
      <w:r>
        <w:rPr>
          <w:w w:val="105"/>
        </w:rPr>
        <w:t>increased</w:t>
      </w:r>
      <w:r>
        <w:rPr>
          <w:spacing w:val="-8"/>
          <w:w w:val="105"/>
        </w:rPr>
        <w:t> </w:t>
      </w:r>
      <w:r>
        <w:rPr>
          <w:w w:val="105"/>
        </w:rPr>
        <w:t>in</w:t>
      </w:r>
      <w:r>
        <w:rPr>
          <w:spacing w:val="-8"/>
          <w:w w:val="105"/>
        </w:rPr>
        <w:t> </w:t>
      </w:r>
      <w:r>
        <w:rPr>
          <w:w w:val="105"/>
        </w:rPr>
        <w:t>2021</w:t>
      </w:r>
      <w:r>
        <w:rPr>
          <w:spacing w:val="-8"/>
          <w:w w:val="105"/>
        </w:rPr>
        <w:t> </w:t>
      </w:r>
      <w:r>
        <w:rPr>
          <w:w w:val="105"/>
        </w:rPr>
        <w:t>by</w:t>
      </w:r>
      <w:r>
        <w:rPr>
          <w:spacing w:val="-8"/>
          <w:w w:val="105"/>
        </w:rPr>
        <w:t> </w:t>
      </w:r>
      <w:r>
        <w:rPr>
          <w:w w:val="105"/>
        </w:rPr>
        <w:t>$0.74</w:t>
      </w:r>
      <w:r>
        <w:rPr>
          <w:spacing w:val="-8"/>
          <w:w w:val="105"/>
        </w:rPr>
        <w:t> </w:t>
      </w:r>
      <w:r>
        <w:rPr>
          <w:w w:val="105"/>
        </w:rPr>
        <w:t>per</w:t>
      </w:r>
      <w:r>
        <w:rPr>
          <w:spacing w:val="-8"/>
          <w:w w:val="105"/>
        </w:rPr>
        <w:t> </w:t>
      </w:r>
      <w:r>
        <w:rPr>
          <w:w w:val="105"/>
        </w:rPr>
        <w:t>diluted</w:t>
      </w:r>
      <w:r>
        <w:rPr>
          <w:spacing w:val="-8"/>
          <w:w w:val="105"/>
        </w:rPr>
        <w:t> </w:t>
      </w:r>
      <w:r>
        <w:rPr>
          <w:w w:val="105"/>
        </w:rPr>
        <w:t>share,</w:t>
      </w:r>
      <w:r>
        <w:rPr>
          <w:spacing w:val="-8"/>
          <w:w w:val="105"/>
        </w:rPr>
        <w:t> </w:t>
      </w:r>
      <w:r>
        <w:rPr>
          <w:w w:val="105"/>
        </w:rPr>
        <w:t>or</w:t>
      </w:r>
      <w:r>
        <w:rPr>
          <w:spacing w:val="-8"/>
          <w:w w:val="105"/>
        </w:rPr>
        <w:t> </w:t>
      </w:r>
      <w:r>
        <w:rPr>
          <w:w w:val="105"/>
        </w:rPr>
        <w:t>137%,</w:t>
      </w:r>
      <w:r>
        <w:rPr>
          <w:spacing w:val="-8"/>
          <w:w w:val="105"/>
        </w:rPr>
        <w:t> </w:t>
      </w:r>
      <w:r>
        <w:rPr>
          <w:w w:val="105"/>
        </w:rPr>
        <w:t>when</w:t>
      </w:r>
      <w:r>
        <w:rPr>
          <w:spacing w:val="-8"/>
          <w:w w:val="105"/>
        </w:rPr>
        <w:t> </w:t>
      </w:r>
      <w:r>
        <w:rPr>
          <w:w w:val="105"/>
        </w:rPr>
        <w:t>compared</w:t>
      </w:r>
      <w:r>
        <w:rPr>
          <w:spacing w:val="-8"/>
          <w:w w:val="105"/>
        </w:rPr>
        <w:t> </w:t>
      </w:r>
      <w:r>
        <w:rPr>
          <w:w w:val="105"/>
        </w:rPr>
        <w:t>to</w:t>
      </w:r>
      <w:r>
        <w:rPr>
          <w:spacing w:val="-8"/>
          <w:w w:val="105"/>
        </w:rPr>
        <w:t> </w:t>
      </w:r>
      <w:r>
        <w:rPr>
          <w:w w:val="105"/>
        </w:rPr>
        <w:t>2020,</w:t>
      </w:r>
      <w:r>
        <w:rPr>
          <w:spacing w:val="-8"/>
          <w:w w:val="105"/>
        </w:rPr>
        <w:t> </w:t>
      </w:r>
      <w:r>
        <w:rPr>
          <w:w w:val="105"/>
        </w:rPr>
        <w:t>primarily</w:t>
      </w:r>
      <w:r>
        <w:rPr>
          <w:spacing w:val="-8"/>
          <w:w w:val="105"/>
        </w:rPr>
        <w:t> </w:t>
      </w:r>
      <w:r>
        <w:rPr>
          <w:w w:val="105"/>
        </w:rPr>
        <w:t>driven</w:t>
      </w:r>
      <w:r>
        <w:rPr>
          <w:spacing w:val="-8"/>
          <w:w w:val="105"/>
        </w:rPr>
        <w:t> </w:t>
      </w:r>
      <w:r>
        <w:rPr>
          <w:w w:val="105"/>
        </w:rPr>
        <w:t>by</w:t>
      </w:r>
      <w:r>
        <w:rPr>
          <w:spacing w:val="-8"/>
          <w:w w:val="105"/>
        </w:rPr>
        <w:t> </w:t>
      </w:r>
      <w:r>
        <w:rPr>
          <w:w w:val="105"/>
        </w:rPr>
        <w:t>the</w:t>
      </w:r>
      <w:r>
        <w:rPr>
          <w:spacing w:val="-8"/>
          <w:w w:val="105"/>
        </w:rPr>
        <w:t> </w:t>
      </w:r>
      <w:r>
        <w:rPr>
          <w:w w:val="105"/>
        </w:rPr>
        <w:t>increase</w:t>
      </w:r>
      <w:r>
        <w:rPr>
          <w:spacing w:val="-8"/>
          <w:w w:val="105"/>
        </w:rPr>
        <w:t> </w:t>
      </w:r>
      <w:r>
        <w:rPr>
          <w:w w:val="105"/>
        </w:rPr>
        <w:t>in</w:t>
      </w:r>
      <w:r>
        <w:rPr>
          <w:spacing w:val="-8"/>
          <w:w w:val="105"/>
        </w:rPr>
        <w:t> </w:t>
      </w:r>
      <w:r>
        <w:rPr>
          <w:w w:val="105"/>
        </w:rPr>
        <w:t>net</w:t>
      </w:r>
      <w:r>
        <w:rPr>
          <w:spacing w:val="-8"/>
          <w:w w:val="105"/>
        </w:rPr>
        <w:t> </w:t>
      </w:r>
      <w:r>
        <w:rPr>
          <w:w w:val="105"/>
        </w:rPr>
        <w:t>income,</w:t>
      </w:r>
      <w:r>
        <w:rPr>
          <w:spacing w:val="-8"/>
          <w:w w:val="105"/>
        </w:rPr>
        <w:t> </w:t>
      </w:r>
      <w:r>
        <w:rPr>
          <w:w w:val="105"/>
        </w:rPr>
        <w:t>described</w:t>
      </w:r>
      <w:r>
        <w:rPr>
          <w:spacing w:val="-8"/>
          <w:w w:val="105"/>
        </w:rPr>
        <w:t> </w:t>
      </w:r>
      <w:r>
        <w:rPr>
          <w:w w:val="105"/>
        </w:rPr>
        <w:t>above, partially</w:t>
      </w:r>
      <w:r>
        <w:rPr>
          <w:spacing w:val="-5"/>
          <w:w w:val="105"/>
        </w:rPr>
        <w:t> </w:t>
      </w:r>
      <w:r>
        <w:rPr>
          <w:w w:val="105"/>
        </w:rPr>
        <w:t>offset</w:t>
      </w:r>
      <w:r>
        <w:rPr>
          <w:spacing w:val="-5"/>
          <w:w w:val="105"/>
        </w:rPr>
        <w:t> </w:t>
      </w:r>
      <w:r>
        <w:rPr>
          <w:w w:val="105"/>
        </w:rPr>
        <w:t>by</w:t>
      </w:r>
      <w:r>
        <w:rPr>
          <w:spacing w:val="-5"/>
          <w:w w:val="105"/>
        </w:rPr>
        <w:t> </w:t>
      </w:r>
      <w:r>
        <w:rPr>
          <w:w w:val="105"/>
        </w:rPr>
        <w:t>the</w:t>
      </w:r>
      <w:r>
        <w:rPr>
          <w:spacing w:val="-5"/>
          <w:w w:val="105"/>
        </w:rPr>
        <w:t> </w:t>
      </w:r>
      <w:r>
        <w:rPr>
          <w:w w:val="105"/>
        </w:rPr>
        <w:t>immediate</w:t>
      </w:r>
      <w:r>
        <w:rPr>
          <w:spacing w:val="-5"/>
          <w:w w:val="105"/>
        </w:rPr>
        <w:t> </w:t>
      </w:r>
      <w:r>
        <w:rPr>
          <w:w w:val="105"/>
        </w:rPr>
        <w:t>repurchase</w:t>
      </w:r>
      <w:r>
        <w:rPr>
          <w:spacing w:val="-5"/>
          <w:w w:val="105"/>
        </w:rPr>
        <w:t> </w:t>
      </w:r>
      <w:r>
        <w:rPr>
          <w:w w:val="105"/>
        </w:rPr>
        <w:t>and</w:t>
      </w:r>
      <w:r>
        <w:rPr>
          <w:spacing w:val="-5"/>
          <w:w w:val="105"/>
        </w:rPr>
        <w:t> </w:t>
      </w:r>
      <w:r>
        <w:rPr>
          <w:w w:val="105"/>
        </w:rPr>
        <w:t>retirement</w:t>
      </w:r>
      <w:r>
        <w:rPr>
          <w:spacing w:val="-5"/>
          <w:w w:val="105"/>
        </w:rPr>
        <w:t> </w:t>
      </w:r>
      <w:r>
        <w:rPr>
          <w:w w:val="105"/>
        </w:rPr>
        <w:t>of</w:t>
      </w:r>
      <w:r>
        <w:rPr>
          <w:spacing w:val="-5"/>
          <w:w w:val="105"/>
        </w:rPr>
        <w:t> </w:t>
      </w:r>
      <w:r>
        <w:rPr>
          <w:w w:val="105"/>
        </w:rPr>
        <w:t>35</w:t>
      </w:r>
      <w:r>
        <w:rPr>
          <w:spacing w:val="-3"/>
          <w:w w:val="105"/>
        </w:rPr>
        <w:t> </w:t>
      </w:r>
      <w:r>
        <w:rPr>
          <w:w w:val="105"/>
        </w:rPr>
        <w:t>million</w:t>
      </w:r>
      <w:r>
        <w:rPr>
          <w:spacing w:val="-5"/>
          <w:w w:val="105"/>
        </w:rPr>
        <w:t> </w:t>
      </w:r>
      <w:r>
        <w:rPr>
          <w:w w:val="105"/>
        </w:rPr>
        <w:t>Common</w:t>
      </w:r>
      <w:r>
        <w:rPr>
          <w:spacing w:val="-5"/>
          <w:w w:val="105"/>
        </w:rPr>
        <w:t> </w:t>
      </w:r>
      <w:r>
        <w:rPr>
          <w:w w:val="105"/>
        </w:rPr>
        <w:t>Shares</w:t>
      </w:r>
      <w:r>
        <w:rPr>
          <w:spacing w:val="-5"/>
          <w:w w:val="105"/>
        </w:rPr>
        <w:t> </w:t>
      </w:r>
      <w:r>
        <w:rPr>
          <w:w w:val="105"/>
        </w:rPr>
        <w:t>which</w:t>
      </w:r>
      <w:r>
        <w:rPr>
          <w:spacing w:val="-5"/>
          <w:w w:val="105"/>
        </w:rPr>
        <w:t> </w:t>
      </w:r>
      <w:r>
        <w:rPr>
          <w:w w:val="105"/>
        </w:rPr>
        <w:t>resulted</w:t>
      </w:r>
      <w:r>
        <w:rPr>
          <w:spacing w:val="-5"/>
          <w:w w:val="105"/>
        </w:rPr>
        <w:t> </w:t>
      </w:r>
      <w:r>
        <w:rPr>
          <w:w w:val="105"/>
        </w:rPr>
        <w:t>in</w:t>
      </w:r>
      <w:r>
        <w:rPr>
          <w:spacing w:val="-5"/>
          <w:w w:val="105"/>
        </w:rPr>
        <w:t> </w:t>
      </w:r>
      <w:r>
        <w:rPr>
          <w:w w:val="105"/>
        </w:rPr>
        <w:t>an</w:t>
      </w:r>
      <w:r>
        <w:rPr>
          <w:spacing w:val="-5"/>
          <w:w w:val="105"/>
        </w:rPr>
        <w:t> </w:t>
      </w:r>
      <w:r>
        <w:rPr>
          <w:w w:val="105"/>
        </w:rPr>
        <w:t>$803</w:t>
      </w:r>
      <w:r>
        <w:rPr>
          <w:spacing w:val="-5"/>
          <w:w w:val="105"/>
        </w:rPr>
        <w:t> </w:t>
      </w:r>
      <w:r>
        <w:rPr>
          <w:w w:val="105"/>
        </w:rPr>
        <w:t>million</w:t>
      </w:r>
      <w:r>
        <w:rPr>
          <w:spacing w:val="-5"/>
          <w:w w:val="105"/>
        </w:rPr>
        <w:t> </w:t>
      </w:r>
      <w:r>
        <w:rPr>
          <w:w w:val="105"/>
        </w:rPr>
        <w:t>one-time</w:t>
      </w:r>
      <w:r>
        <w:rPr>
          <w:spacing w:val="-5"/>
          <w:w w:val="105"/>
        </w:rPr>
        <w:t> </w:t>
      </w:r>
      <w:r>
        <w:rPr>
          <w:w w:val="105"/>
        </w:rPr>
        <w:t>reduction</w:t>
      </w:r>
      <w:r>
        <w:rPr>
          <w:spacing w:val="-5"/>
          <w:w w:val="105"/>
        </w:rPr>
        <w:t> </w:t>
      </w:r>
      <w:r>
        <w:rPr>
          <w:w w:val="105"/>
        </w:rPr>
        <w:t>to</w:t>
      </w:r>
      <w:r>
        <w:rPr>
          <w:spacing w:val="-5"/>
          <w:w w:val="105"/>
        </w:rPr>
        <w:t> </w:t>
      </w:r>
      <w:r>
        <w:rPr>
          <w:w w:val="105"/>
        </w:rPr>
        <w:t>net</w:t>
      </w:r>
      <w:r>
        <w:rPr>
          <w:spacing w:val="-5"/>
          <w:w w:val="105"/>
        </w:rPr>
        <w:t> </w:t>
      </w:r>
      <w:r>
        <w:rPr>
          <w:w w:val="105"/>
        </w:rPr>
        <w:t>income</w:t>
      </w:r>
      <w:r>
        <w:rPr>
          <w:spacing w:val="-3"/>
          <w:w w:val="105"/>
        </w:rPr>
        <w:t> </w:t>
      </w:r>
      <w:r>
        <w:rPr>
          <w:w w:val="105"/>
        </w:rPr>
        <w:t>available</w:t>
      </w:r>
      <w:r>
        <w:rPr>
          <w:spacing w:val="-5"/>
          <w:w w:val="105"/>
        </w:rPr>
        <w:t> </w:t>
      </w:r>
      <w:r>
        <w:rPr>
          <w:w w:val="105"/>
        </w:rPr>
        <w:t>to common</w:t>
      </w:r>
      <w:r>
        <w:rPr>
          <w:spacing w:val="-6"/>
          <w:w w:val="105"/>
        </w:rPr>
        <w:t> </w:t>
      </w:r>
      <w:r>
        <w:rPr>
          <w:w w:val="105"/>
        </w:rPr>
        <w:t>shareholders</w:t>
      </w:r>
      <w:r>
        <w:rPr>
          <w:spacing w:val="-6"/>
          <w:w w:val="105"/>
        </w:rPr>
        <w:t> </w:t>
      </w:r>
      <w:r>
        <w:rPr>
          <w:w w:val="105"/>
        </w:rPr>
        <w:t>during</w:t>
      </w:r>
      <w:r>
        <w:rPr>
          <w:spacing w:val="-6"/>
          <w:w w:val="105"/>
        </w:rPr>
        <w:t> </w:t>
      </w:r>
      <w:r>
        <w:rPr>
          <w:w w:val="105"/>
        </w:rPr>
        <w:t>the</w:t>
      </w:r>
      <w:r>
        <w:rPr>
          <w:spacing w:val="-6"/>
          <w:w w:val="105"/>
        </w:rPr>
        <w:t> </w:t>
      </w:r>
      <w:r>
        <w:rPr>
          <w:w w:val="105"/>
        </w:rPr>
        <w:t>second</w:t>
      </w:r>
      <w:r>
        <w:rPr>
          <w:spacing w:val="-6"/>
          <w:w w:val="105"/>
        </w:rPr>
        <w:t> </w:t>
      </w:r>
      <w:r>
        <w:rPr>
          <w:w w:val="105"/>
        </w:rPr>
        <w:t>quarter</w:t>
      </w:r>
      <w:r>
        <w:rPr>
          <w:spacing w:val="-6"/>
          <w:w w:val="105"/>
        </w:rPr>
        <w:t> </w:t>
      </w:r>
      <w:r>
        <w:rPr>
          <w:w w:val="105"/>
        </w:rPr>
        <w:t>of</w:t>
      </w:r>
      <w:r>
        <w:rPr>
          <w:spacing w:val="-6"/>
          <w:w w:val="105"/>
        </w:rPr>
        <w:t> </w:t>
      </w:r>
      <w:r>
        <w:rPr>
          <w:w w:val="105"/>
        </w:rPr>
        <w:t>2021.</w:t>
      </w:r>
      <w:r>
        <w:rPr>
          <w:spacing w:val="30"/>
          <w:w w:val="105"/>
        </w:rPr>
        <w:t> </w:t>
      </w:r>
      <w:r>
        <w:rPr>
          <w:w w:val="105"/>
        </w:rPr>
        <w:t>Refer</w:t>
      </w:r>
      <w:r>
        <w:rPr>
          <w:spacing w:val="-6"/>
          <w:w w:val="105"/>
        </w:rPr>
        <w:t> </w:t>
      </w:r>
      <w:r>
        <w:rPr>
          <w:w w:val="105"/>
        </w:rPr>
        <w:t>to</w:t>
      </w:r>
      <w:r>
        <w:rPr>
          <w:spacing w:val="-6"/>
          <w:w w:val="105"/>
        </w:rPr>
        <w:t> </w:t>
      </w:r>
      <w:r>
        <w:rPr>
          <w:w w:val="105"/>
        </w:rPr>
        <w:t>Note</w:t>
      </w:r>
      <w:r>
        <w:rPr>
          <w:spacing w:val="-6"/>
          <w:w w:val="105"/>
        </w:rPr>
        <w:t> </w:t>
      </w:r>
      <w:r>
        <w:rPr>
          <w:w w:val="105"/>
        </w:rPr>
        <w:t>17</w:t>
      </w:r>
      <w:r>
        <w:rPr>
          <w:spacing w:val="-6"/>
          <w:w w:val="105"/>
        </w:rPr>
        <w:t> </w:t>
      </w:r>
      <w:r>
        <w:rPr>
          <w:w w:val="105"/>
        </w:rPr>
        <w:t>(Shareholders'</w:t>
      </w:r>
      <w:r>
        <w:rPr>
          <w:spacing w:val="-6"/>
          <w:w w:val="105"/>
        </w:rPr>
        <w:t> </w:t>
      </w:r>
      <w:r>
        <w:rPr>
          <w:w w:val="105"/>
        </w:rPr>
        <w:t>Equity)</w:t>
      </w:r>
      <w:r>
        <w:rPr>
          <w:spacing w:val="-6"/>
          <w:w w:val="105"/>
        </w:rPr>
        <w:t> </w:t>
      </w:r>
      <w:r>
        <w:rPr>
          <w:w w:val="105"/>
        </w:rPr>
        <w:t>and</w:t>
      </w:r>
      <w:r>
        <w:rPr>
          <w:spacing w:val="-6"/>
          <w:w w:val="105"/>
        </w:rPr>
        <w:t> </w:t>
      </w:r>
      <w:r>
        <w:rPr>
          <w:w w:val="105"/>
        </w:rPr>
        <w:t>Note</w:t>
      </w:r>
      <w:r>
        <w:rPr>
          <w:spacing w:val="-6"/>
          <w:w w:val="105"/>
        </w:rPr>
        <w:t> </w:t>
      </w:r>
      <w:r>
        <w:rPr>
          <w:w w:val="105"/>
        </w:rPr>
        <w:t>18</w:t>
      </w:r>
      <w:r>
        <w:rPr>
          <w:spacing w:val="-6"/>
          <w:w w:val="105"/>
        </w:rPr>
        <w:t> </w:t>
      </w:r>
      <w:r>
        <w:rPr>
          <w:w w:val="105"/>
        </w:rPr>
        <w:t>(Earnings</w:t>
      </w:r>
      <w:r>
        <w:rPr>
          <w:spacing w:val="-6"/>
          <w:w w:val="105"/>
        </w:rPr>
        <w:t> </w:t>
      </w:r>
      <w:r>
        <w:rPr>
          <w:w w:val="105"/>
        </w:rPr>
        <w:t>per</w:t>
      </w:r>
      <w:r>
        <w:rPr>
          <w:spacing w:val="-6"/>
          <w:w w:val="105"/>
        </w:rPr>
        <w:t> </w:t>
      </w:r>
      <w:r>
        <w:rPr>
          <w:w w:val="105"/>
        </w:rPr>
        <w:t>Common</w:t>
      </w:r>
      <w:r>
        <w:rPr>
          <w:spacing w:val="-6"/>
          <w:w w:val="105"/>
        </w:rPr>
        <w:t> </w:t>
      </w:r>
      <w:r>
        <w:rPr>
          <w:w w:val="105"/>
        </w:rPr>
        <w:t>Share)</w:t>
      </w:r>
      <w:r>
        <w:rPr>
          <w:spacing w:val="-6"/>
          <w:w w:val="105"/>
        </w:rPr>
        <w:t> </w:t>
      </w:r>
      <w:r>
        <w:rPr>
          <w:w w:val="105"/>
        </w:rPr>
        <w:t>to</w:t>
      </w:r>
      <w:r>
        <w:rPr>
          <w:spacing w:val="-6"/>
          <w:w w:val="105"/>
        </w:rPr>
        <w:t> </w:t>
      </w:r>
      <w:r>
        <w:rPr>
          <w:w w:val="105"/>
        </w:rPr>
        <w:t>the</w:t>
      </w:r>
      <w:r>
        <w:rPr>
          <w:spacing w:val="-6"/>
          <w:w w:val="105"/>
        </w:rPr>
        <w:t> </w:t>
      </w:r>
      <w:r>
        <w:rPr>
          <w:w w:val="105"/>
        </w:rPr>
        <w:t>consolidated</w:t>
      </w:r>
      <w:r>
        <w:rPr>
          <w:spacing w:val="-6"/>
          <w:w w:val="105"/>
        </w:rPr>
        <w:t> </w:t>
      </w:r>
      <w:r>
        <w:rPr>
          <w:w w:val="105"/>
        </w:rPr>
        <w:t>financial statements for additional information.</w:t>
      </w:r>
    </w:p>
    <w:p>
      <w:pPr>
        <w:pStyle w:val="BodyText"/>
        <w:spacing w:before="18"/>
      </w:pPr>
    </w:p>
    <w:p>
      <w:pPr>
        <w:pStyle w:val="BodyText"/>
        <w:spacing w:line="266" w:lineRule="auto" w:before="1"/>
        <w:ind w:left="156" w:right="328"/>
      </w:pPr>
      <w:r>
        <w:rPr>
          <w:w w:val="105"/>
        </w:rPr>
        <w:t>The</w:t>
      </w:r>
      <w:r>
        <w:rPr>
          <w:spacing w:val="-9"/>
          <w:w w:val="105"/>
        </w:rPr>
        <w:t> </w:t>
      </w:r>
      <w:r>
        <w:rPr>
          <w:w w:val="105"/>
        </w:rPr>
        <w:t>translation</w:t>
      </w:r>
      <w:r>
        <w:rPr>
          <w:spacing w:val="-9"/>
          <w:w w:val="105"/>
        </w:rPr>
        <w:t> </w:t>
      </w:r>
      <w:r>
        <w:rPr>
          <w:w w:val="105"/>
        </w:rPr>
        <w:t>impact</w:t>
      </w:r>
      <w:r>
        <w:rPr>
          <w:spacing w:val="-9"/>
          <w:w w:val="105"/>
        </w:rPr>
        <w:t> </w:t>
      </w:r>
      <w:r>
        <w:rPr>
          <w:w w:val="105"/>
        </w:rPr>
        <w:t>of</w:t>
      </w:r>
      <w:r>
        <w:rPr>
          <w:spacing w:val="-9"/>
          <w:w w:val="105"/>
        </w:rPr>
        <w:t> </w:t>
      </w:r>
      <w:r>
        <w:rPr>
          <w:w w:val="105"/>
        </w:rPr>
        <w:t>fluctuations</w:t>
      </w:r>
      <w:r>
        <w:rPr>
          <w:spacing w:val="-9"/>
          <w:w w:val="105"/>
        </w:rPr>
        <w:t> </w:t>
      </w:r>
      <w:r>
        <w:rPr>
          <w:w w:val="105"/>
        </w:rPr>
        <w:t>in</w:t>
      </w:r>
      <w:r>
        <w:rPr>
          <w:spacing w:val="-9"/>
          <w:w w:val="105"/>
        </w:rPr>
        <w:t> </w:t>
      </w:r>
      <w:r>
        <w:rPr>
          <w:w w:val="105"/>
        </w:rPr>
        <w:t>foreign</w:t>
      </w:r>
      <w:r>
        <w:rPr>
          <w:spacing w:val="-9"/>
          <w:w w:val="105"/>
        </w:rPr>
        <w:t> </w:t>
      </w:r>
      <w:r>
        <w:rPr>
          <w:w w:val="105"/>
        </w:rPr>
        <w:t>currency</w:t>
      </w:r>
      <w:r>
        <w:rPr>
          <w:spacing w:val="-9"/>
          <w:w w:val="105"/>
        </w:rPr>
        <w:t> </w:t>
      </w:r>
      <w:r>
        <w:rPr>
          <w:w w:val="105"/>
        </w:rPr>
        <w:t>exchange</w:t>
      </w:r>
      <w:r>
        <w:rPr>
          <w:spacing w:val="-9"/>
          <w:w w:val="105"/>
        </w:rPr>
        <w:t> </w:t>
      </w:r>
      <w:r>
        <w:rPr>
          <w:w w:val="105"/>
        </w:rPr>
        <w:t>rates,</w:t>
      </w:r>
      <w:r>
        <w:rPr>
          <w:spacing w:val="-9"/>
          <w:w w:val="105"/>
        </w:rPr>
        <w:t> </w:t>
      </w:r>
      <w:r>
        <w:rPr>
          <w:w w:val="105"/>
        </w:rPr>
        <w:t>including</w:t>
      </w:r>
      <w:r>
        <w:rPr>
          <w:spacing w:val="-9"/>
          <w:w w:val="105"/>
        </w:rPr>
        <w:t> </w:t>
      </w:r>
      <w:r>
        <w:rPr>
          <w:w w:val="105"/>
        </w:rPr>
        <w:t>the</w:t>
      </w:r>
      <w:r>
        <w:rPr>
          <w:spacing w:val="-9"/>
          <w:w w:val="105"/>
        </w:rPr>
        <w:t> </w:t>
      </w:r>
      <w:r>
        <w:rPr>
          <w:w w:val="105"/>
        </w:rPr>
        <w:t>impact</w:t>
      </w:r>
      <w:r>
        <w:rPr>
          <w:spacing w:val="-9"/>
          <w:w w:val="105"/>
        </w:rPr>
        <w:t> </w:t>
      </w:r>
      <w:r>
        <w:rPr>
          <w:w w:val="105"/>
        </w:rPr>
        <w:t>of</w:t>
      </w:r>
      <w:r>
        <w:rPr>
          <w:spacing w:val="-9"/>
          <w:w w:val="105"/>
        </w:rPr>
        <w:t> </w:t>
      </w:r>
      <w:r>
        <w:rPr>
          <w:w w:val="105"/>
        </w:rPr>
        <w:t>hedges</w:t>
      </w:r>
      <w:r>
        <w:rPr>
          <w:spacing w:val="-9"/>
          <w:w w:val="105"/>
        </w:rPr>
        <w:t> </w:t>
      </w:r>
      <w:r>
        <w:rPr>
          <w:w w:val="105"/>
        </w:rPr>
        <w:t>realized</w:t>
      </w:r>
      <w:r>
        <w:rPr>
          <w:spacing w:val="-9"/>
          <w:w w:val="105"/>
        </w:rPr>
        <w:t> </w:t>
      </w:r>
      <w:r>
        <w:rPr>
          <w:w w:val="105"/>
        </w:rPr>
        <w:t>in</w:t>
      </w:r>
      <w:r>
        <w:rPr>
          <w:spacing w:val="-9"/>
          <w:w w:val="105"/>
        </w:rPr>
        <w:t> </w:t>
      </w:r>
      <w:r>
        <w:rPr>
          <w:w w:val="105"/>
        </w:rPr>
        <w:t>the</w:t>
      </w:r>
      <w:r>
        <w:rPr>
          <w:spacing w:val="-9"/>
          <w:w w:val="105"/>
        </w:rPr>
        <w:t> </w:t>
      </w:r>
      <w:r>
        <w:rPr>
          <w:w w:val="105"/>
        </w:rPr>
        <w:t>current</w:t>
      </w:r>
      <w:r>
        <w:rPr>
          <w:spacing w:val="-9"/>
          <w:w w:val="105"/>
        </w:rPr>
        <w:t> </w:t>
      </w:r>
      <w:r>
        <w:rPr>
          <w:w w:val="105"/>
        </w:rPr>
        <w:t>year,</w:t>
      </w:r>
      <w:r>
        <w:rPr>
          <w:spacing w:val="-9"/>
          <w:w w:val="105"/>
        </w:rPr>
        <w:t> </w:t>
      </w:r>
      <w:r>
        <w:rPr>
          <w:w w:val="105"/>
        </w:rPr>
        <w:t>positively</w:t>
      </w:r>
      <w:r>
        <w:rPr>
          <w:spacing w:val="-9"/>
          <w:w w:val="105"/>
        </w:rPr>
        <w:t> </w:t>
      </w:r>
      <w:r>
        <w:rPr>
          <w:w w:val="105"/>
        </w:rPr>
        <w:t>impacted</w:t>
      </w:r>
      <w:r>
        <w:rPr>
          <w:spacing w:val="-9"/>
          <w:w w:val="105"/>
        </w:rPr>
        <w:t> </w:t>
      </w:r>
      <w:r>
        <w:rPr>
          <w:w w:val="105"/>
        </w:rPr>
        <w:t>Corning’s</w:t>
      </w:r>
      <w:r>
        <w:rPr>
          <w:spacing w:val="-9"/>
          <w:w w:val="105"/>
        </w:rPr>
        <w:t> </w:t>
      </w:r>
      <w:r>
        <w:rPr>
          <w:w w:val="105"/>
        </w:rPr>
        <w:t>net income by approximately $104 million in the year ended December 31, 2021, when compared to the same period in 2020.</w:t>
      </w:r>
    </w:p>
    <w:p>
      <w:pPr>
        <w:pStyle w:val="BodyText"/>
        <w:spacing w:before="18"/>
      </w:pPr>
    </w:p>
    <w:p>
      <w:pPr>
        <w:pStyle w:val="Heading3"/>
        <w:spacing w:before="1"/>
      </w:pPr>
      <w:r>
        <w:rPr/>
        <w:t>2022</w:t>
      </w:r>
      <w:r>
        <w:rPr>
          <w:spacing w:val="15"/>
        </w:rPr>
        <w:t> </w:t>
      </w:r>
      <w:r>
        <w:rPr/>
        <w:t>Corporate</w:t>
      </w:r>
      <w:r>
        <w:rPr>
          <w:spacing w:val="16"/>
        </w:rPr>
        <w:t> </w:t>
      </w:r>
      <w:r>
        <w:rPr>
          <w:spacing w:val="-2"/>
        </w:rPr>
        <w:t>Outlook</w:t>
      </w:r>
    </w:p>
    <w:p>
      <w:pPr>
        <w:pStyle w:val="BodyText"/>
        <w:spacing w:before="39"/>
        <w:rPr>
          <w:b/>
          <w:i/>
        </w:rPr>
      </w:pPr>
    </w:p>
    <w:p>
      <w:pPr>
        <w:pStyle w:val="BodyText"/>
        <w:ind w:left="156"/>
      </w:pPr>
      <w:r>
        <w:rPr>
          <w:w w:val="105"/>
        </w:rPr>
        <w:t>We</w:t>
      </w:r>
      <w:r>
        <w:rPr>
          <w:spacing w:val="-8"/>
          <w:w w:val="105"/>
        </w:rPr>
        <w:t> </w:t>
      </w:r>
      <w:r>
        <w:rPr>
          <w:w w:val="105"/>
        </w:rPr>
        <w:t>believe</w:t>
      </w:r>
      <w:r>
        <w:rPr>
          <w:spacing w:val="-8"/>
          <w:w w:val="105"/>
        </w:rPr>
        <w:t> </w:t>
      </w:r>
      <w:r>
        <w:rPr>
          <w:w w:val="105"/>
        </w:rPr>
        <w:t>2022</w:t>
      </w:r>
      <w:r>
        <w:rPr>
          <w:spacing w:val="-8"/>
          <w:w w:val="105"/>
        </w:rPr>
        <w:t> </w:t>
      </w:r>
      <w:r>
        <w:rPr>
          <w:w w:val="105"/>
        </w:rPr>
        <w:t>will</w:t>
      </w:r>
      <w:r>
        <w:rPr>
          <w:spacing w:val="-8"/>
          <w:w w:val="105"/>
        </w:rPr>
        <w:t> </w:t>
      </w:r>
      <w:r>
        <w:rPr>
          <w:w w:val="105"/>
        </w:rPr>
        <w:t>be</w:t>
      </w:r>
      <w:r>
        <w:rPr>
          <w:spacing w:val="-8"/>
          <w:w w:val="105"/>
        </w:rPr>
        <w:t> </w:t>
      </w:r>
      <w:r>
        <w:rPr>
          <w:w w:val="105"/>
        </w:rPr>
        <w:t>another</w:t>
      </w:r>
      <w:r>
        <w:rPr>
          <w:spacing w:val="-8"/>
          <w:w w:val="105"/>
        </w:rPr>
        <w:t> </w:t>
      </w:r>
      <w:r>
        <w:rPr>
          <w:w w:val="105"/>
        </w:rPr>
        <w:t>year</w:t>
      </w:r>
      <w:r>
        <w:rPr>
          <w:spacing w:val="-8"/>
          <w:w w:val="105"/>
        </w:rPr>
        <w:t> </w:t>
      </w:r>
      <w:r>
        <w:rPr>
          <w:w w:val="105"/>
        </w:rPr>
        <w:t>of</w:t>
      </w:r>
      <w:r>
        <w:rPr>
          <w:spacing w:val="-7"/>
          <w:w w:val="105"/>
        </w:rPr>
        <w:t> </w:t>
      </w:r>
      <w:r>
        <w:rPr>
          <w:w w:val="105"/>
        </w:rPr>
        <w:t>growth</w:t>
      </w:r>
      <w:r>
        <w:rPr>
          <w:spacing w:val="-8"/>
          <w:w w:val="105"/>
        </w:rPr>
        <w:t> </w:t>
      </w:r>
      <w:r>
        <w:rPr>
          <w:w w:val="105"/>
        </w:rPr>
        <w:t>and</w:t>
      </w:r>
      <w:r>
        <w:rPr>
          <w:spacing w:val="-8"/>
          <w:w w:val="105"/>
        </w:rPr>
        <w:t> </w:t>
      </w:r>
      <w:r>
        <w:rPr>
          <w:w w:val="105"/>
        </w:rPr>
        <w:t>strong</w:t>
      </w:r>
      <w:r>
        <w:rPr>
          <w:spacing w:val="-8"/>
          <w:w w:val="105"/>
        </w:rPr>
        <w:t> </w:t>
      </w:r>
      <w:r>
        <w:rPr>
          <w:w w:val="105"/>
        </w:rPr>
        <w:t>cash-flow</w:t>
      </w:r>
      <w:r>
        <w:rPr>
          <w:spacing w:val="-8"/>
          <w:w w:val="105"/>
        </w:rPr>
        <w:t> </w:t>
      </w:r>
      <w:r>
        <w:rPr>
          <w:w w:val="105"/>
        </w:rPr>
        <w:t>generation.</w:t>
      </w:r>
      <w:r>
        <w:rPr>
          <w:spacing w:val="-8"/>
          <w:w w:val="105"/>
        </w:rPr>
        <w:t> </w:t>
      </w:r>
      <w:r>
        <w:rPr>
          <w:w w:val="105"/>
        </w:rPr>
        <w:t>We</w:t>
      </w:r>
      <w:r>
        <w:rPr>
          <w:spacing w:val="-8"/>
          <w:w w:val="105"/>
        </w:rPr>
        <w:t> </w:t>
      </w:r>
      <w:r>
        <w:rPr>
          <w:w w:val="105"/>
        </w:rPr>
        <w:t>expect</w:t>
      </w:r>
      <w:r>
        <w:rPr>
          <w:spacing w:val="-6"/>
          <w:w w:val="105"/>
        </w:rPr>
        <w:t> </w:t>
      </w:r>
      <w:r>
        <w:rPr>
          <w:w w:val="105"/>
        </w:rPr>
        <w:t>full</w:t>
      </w:r>
      <w:r>
        <w:rPr>
          <w:spacing w:val="-8"/>
          <w:w w:val="105"/>
        </w:rPr>
        <w:t> </w:t>
      </w:r>
      <w:r>
        <w:rPr>
          <w:w w:val="105"/>
        </w:rPr>
        <w:t>year</w:t>
      </w:r>
      <w:r>
        <w:rPr>
          <w:spacing w:val="-8"/>
          <w:w w:val="105"/>
        </w:rPr>
        <w:t> </w:t>
      </w:r>
      <w:r>
        <w:rPr>
          <w:w w:val="105"/>
        </w:rPr>
        <w:t>net</w:t>
      </w:r>
      <w:r>
        <w:rPr>
          <w:spacing w:val="-7"/>
          <w:w w:val="105"/>
        </w:rPr>
        <w:t> </w:t>
      </w:r>
      <w:r>
        <w:rPr>
          <w:w w:val="105"/>
        </w:rPr>
        <w:t>sales</w:t>
      </w:r>
      <w:r>
        <w:rPr>
          <w:spacing w:val="-8"/>
          <w:w w:val="105"/>
        </w:rPr>
        <w:t> </w:t>
      </w:r>
      <w:r>
        <w:rPr>
          <w:w w:val="105"/>
        </w:rPr>
        <w:t>of</w:t>
      </w:r>
      <w:r>
        <w:rPr>
          <w:spacing w:val="-8"/>
          <w:w w:val="105"/>
        </w:rPr>
        <w:t> </w:t>
      </w:r>
      <w:r>
        <w:rPr>
          <w:w w:val="105"/>
        </w:rPr>
        <w:t>approximately</w:t>
      </w:r>
      <w:r>
        <w:rPr>
          <w:spacing w:val="-8"/>
          <w:w w:val="105"/>
        </w:rPr>
        <w:t> </w:t>
      </w:r>
      <w:r>
        <w:rPr>
          <w:w w:val="105"/>
        </w:rPr>
        <w:t>$15</w:t>
      </w:r>
      <w:r>
        <w:rPr>
          <w:spacing w:val="-8"/>
          <w:w w:val="105"/>
        </w:rPr>
        <w:t> </w:t>
      </w:r>
      <w:r>
        <w:rPr>
          <w:w w:val="105"/>
        </w:rPr>
        <w:t>billion</w:t>
      </w:r>
      <w:r>
        <w:rPr>
          <w:spacing w:val="-8"/>
          <w:w w:val="105"/>
        </w:rPr>
        <w:t> </w:t>
      </w:r>
      <w:r>
        <w:rPr>
          <w:w w:val="105"/>
        </w:rPr>
        <w:t>in</w:t>
      </w:r>
      <w:r>
        <w:rPr>
          <w:spacing w:val="-8"/>
          <w:w w:val="105"/>
        </w:rPr>
        <w:t> </w:t>
      </w:r>
      <w:r>
        <w:rPr>
          <w:spacing w:val="-2"/>
          <w:w w:val="105"/>
        </w:rPr>
        <w:t>2022.</w:t>
      </w:r>
    </w:p>
    <w:p>
      <w:pPr>
        <w:pStyle w:val="BodyText"/>
        <w:spacing w:before="40"/>
      </w:pPr>
    </w:p>
    <w:p>
      <w:pPr>
        <w:pStyle w:val="BodyText"/>
        <w:ind w:left="48"/>
        <w:jc w:val="center"/>
      </w:pPr>
      <w:r>
        <w:rPr>
          <w:spacing w:val="-5"/>
          <w:w w:val="105"/>
        </w:rPr>
        <w:t>25</w:t>
      </w:r>
    </w:p>
    <w:p>
      <w:pPr>
        <w:pStyle w:val="BodyText"/>
        <w:rPr>
          <w:sz w:val="6"/>
        </w:rPr>
      </w:pPr>
      <w:r>
        <w:rPr/>
        <mc:AlternateContent>
          <mc:Choice Requires="wps">
            <w:drawing>
              <wp:anchor distT="0" distB="0" distL="0" distR="0" allowOverlap="1" layoutInCell="1" locked="0" behindDoc="1" simplePos="0" relativeHeight="487602176">
                <wp:simplePos x="0" y="0"/>
                <wp:positionH relativeFrom="page">
                  <wp:posOffset>226488</wp:posOffset>
                </wp:positionH>
                <wp:positionV relativeFrom="paragraph">
                  <wp:posOffset>59102</wp:posOffset>
                </wp:positionV>
                <wp:extent cx="7312659" cy="1651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3729pt;width:575.775087pt;height:1.273839pt;mso-position-horizontal-relative:page;mso-position-vertical-relative:paragraph;z-index:-15714304;mso-wrap-distance-left:0;mso-wrap-distance-right:0" id="docshape29"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198"/>
        <w:rPr>
          <w:sz w:val="2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8"/>
        <w:gridCol w:w="1151"/>
        <w:gridCol w:w="267"/>
        <w:gridCol w:w="1497"/>
        <w:gridCol w:w="1355"/>
        <w:gridCol w:w="115"/>
        <w:gridCol w:w="887"/>
        <w:gridCol w:w="699"/>
        <w:gridCol w:w="648"/>
        <w:gridCol w:w="356"/>
      </w:tblGrid>
      <w:tr>
        <w:trPr>
          <w:trHeight w:val="280" w:hRule="atLeast"/>
        </w:trPr>
        <w:tc>
          <w:tcPr>
            <w:tcW w:w="4548" w:type="dxa"/>
          </w:tcPr>
          <w:p>
            <w:pPr>
              <w:pStyle w:val="TableParagraph"/>
              <w:spacing w:line="182" w:lineRule="exact"/>
              <w:rPr>
                <w:b/>
                <w:sz w:val="16"/>
              </w:rPr>
            </w:pPr>
            <w:r>
              <w:rPr>
                <w:b/>
                <w:sz w:val="16"/>
              </w:rPr>
              <w:t>RESULTS</w:t>
            </w:r>
            <w:r>
              <w:rPr>
                <w:b/>
                <w:spacing w:val="11"/>
                <w:sz w:val="16"/>
              </w:rPr>
              <w:t> </w:t>
            </w:r>
            <w:r>
              <w:rPr>
                <w:b/>
                <w:sz w:val="16"/>
              </w:rPr>
              <w:t>OF</w:t>
            </w:r>
            <w:r>
              <w:rPr>
                <w:b/>
                <w:spacing w:val="12"/>
                <w:sz w:val="16"/>
              </w:rPr>
              <w:t> </w:t>
            </w:r>
            <w:r>
              <w:rPr>
                <w:b/>
                <w:spacing w:val="-2"/>
                <w:sz w:val="16"/>
              </w:rPr>
              <w:t>OPERATIONS</w:t>
            </w:r>
          </w:p>
        </w:tc>
        <w:tc>
          <w:tcPr>
            <w:tcW w:w="6975" w:type="dxa"/>
            <w:gridSpan w:val="9"/>
            <w:vMerge w:val="restart"/>
            <w:tcBorders>
              <w:bottom w:val="single" w:sz="12" w:space="0" w:color="000000"/>
            </w:tcBorders>
          </w:tcPr>
          <w:p>
            <w:pPr>
              <w:pStyle w:val="TableParagraph"/>
              <w:rPr>
                <w:sz w:val="16"/>
              </w:rPr>
            </w:pPr>
          </w:p>
        </w:tc>
      </w:tr>
      <w:tr>
        <w:trPr>
          <w:trHeight w:val="408" w:hRule="atLeast"/>
        </w:trPr>
        <w:tc>
          <w:tcPr>
            <w:tcW w:w="4548" w:type="dxa"/>
            <w:tcBorders>
              <w:bottom w:val="single" w:sz="12" w:space="0" w:color="000000"/>
            </w:tcBorders>
          </w:tcPr>
          <w:p>
            <w:pPr>
              <w:pStyle w:val="TableParagraph"/>
              <w:spacing w:before="95"/>
              <w:rPr>
                <w:sz w:val="16"/>
              </w:rPr>
            </w:pPr>
            <w:r>
              <w:rPr>
                <w:spacing w:val="-2"/>
                <w:w w:val="105"/>
                <w:sz w:val="16"/>
              </w:rPr>
              <w:t>Selected</w:t>
            </w:r>
            <w:r>
              <w:rPr>
                <w:w w:val="105"/>
                <w:sz w:val="16"/>
              </w:rPr>
              <w:t> </w:t>
            </w:r>
            <w:r>
              <w:rPr>
                <w:spacing w:val="-2"/>
                <w:w w:val="105"/>
                <w:sz w:val="16"/>
              </w:rPr>
              <w:t>highlights</w:t>
            </w:r>
            <w:r>
              <w:rPr>
                <w:w w:val="105"/>
                <w:sz w:val="16"/>
              </w:rPr>
              <w:t> </w:t>
            </w:r>
            <w:r>
              <w:rPr>
                <w:spacing w:val="-2"/>
                <w:w w:val="105"/>
                <w:sz w:val="16"/>
              </w:rPr>
              <w:t>from</w:t>
            </w:r>
            <w:r>
              <w:rPr>
                <w:w w:val="105"/>
                <w:sz w:val="16"/>
              </w:rPr>
              <w:t> </w:t>
            </w:r>
            <w:r>
              <w:rPr>
                <w:spacing w:val="-2"/>
                <w:w w:val="105"/>
                <w:sz w:val="16"/>
              </w:rPr>
              <w:t>our</w:t>
            </w:r>
            <w:r>
              <w:rPr>
                <w:w w:val="105"/>
                <w:sz w:val="16"/>
              </w:rPr>
              <w:t> </w:t>
            </w:r>
            <w:r>
              <w:rPr>
                <w:spacing w:val="-2"/>
                <w:w w:val="105"/>
                <w:sz w:val="16"/>
              </w:rPr>
              <w:t>operations</w:t>
            </w:r>
            <w:r>
              <w:rPr>
                <w:w w:val="105"/>
                <w:sz w:val="16"/>
              </w:rPr>
              <w:t> </w:t>
            </w:r>
            <w:r>
              <w:rPr>
                <w:spacing w:val="-2"/>
                <w:w w:val="105"/>
                <w:sz w:val="16"/>
              </w:rPr>
              <w:t>follow</w:t>
            </w:r>
            <w:r>
              <w:rPr>
                <w:w w:val="105"/>
                <w:sz w:val="16"/>
              </w:rPr>
              <w:t> </w:t>
            </w:r>
            <w:r>
              <w:rPr>
                <w:spacing w:val="-2"/>
                <w:w w:val="105"/>
                <w:sz w:val="16"/>
              </w:rPr>
              <w:t>(in</w:t>
            </w:r>
            <w:r>
              <w:rPr>
                <w:w w:val="105"/>
                <w:sz w:val="16"/>
              </w:rPr>
              <w:t> </w:t>
            </w:r>
            <w:r>
              <w:rPr>
                <w:spacing w:val="-2"/>
                <w:w w:val="105"/>
                <w:sz w:val="16"/>
              </w:rPr>
              <w:t>millions):</w:t>
            </w:r>
          </w:p>
        </w:tc>
        <w:tc>
          <w:tcPr>
            <w:tcW w:w="6975" w:type="dxa"/>
            <w:gridSpan w:val="9"/>
            <w:vMerge/>
            <w:tcBorders>
              <w:top w:val="nil"/>
              <w:bottom w:val="single" w:sz="12" w:space="0" w:color="000000"/>
            </w:tcBorders>
          </w:tcPr>
          <w:p>
            <w:pPr>
              <w:rPr>
                <w:sz w:val="2"/>
                <w:szCs w:val="2"/>
              </w:rPr>
            </w:pPr>
          </w:p>
        </w:tc>
      </w:tr>
      <w:tr>
        <w:trPr>
          <w:trHeight w:val="200" w:hRule="atLeast"/>
        </w:trPr>
        <w:tc>
          <w:tcPr>
            <w:tcW w:w="4548" w:type="dxa"/>
            <w:tcBorders>
              <w:top w:val="single" w:sz="12" w:space="0" w:color="000000"/>
            </w:tcBorders>
          </w:tcPr>
          <w:p>
            <w:pPr>
              <w:pStyle w:val="TableParagraph"/>
              <w:rPr>
                <w:sz w:val="12"/>
              </w:rPr>
            </w:pPr>
          </w:p>
        </w:tc>
        <w:tc>
          <w:tcPr>
            <w:tcW w:w="1151" w:type="dxa"/>
            <w:tcBorders>
              <w:top w:val="single" w:sz="12" w:space="0" w:color="000000"/>
              <w:bottom w:val="single" w:sz="6" w:space="0" w:color="000000"/>
            </w:tcBorders>
          </w:tcPr>
          <w:p>
            <w:pPr>
              <w:pStyle w:val="TableParagraph"/>
              <w:rPr>
                <w:sz w:val="12"/>
              </w:rPr>
            </w:pPr>
          </w:p>
        </w:tc>
        <w:tc>
          <w:tcPr>
            <w:tcW w:w="1764" w:type="dxa"/>
            <w:gridSpan w:val="2"/>
            <w:tcBorders>
              <w:top w:val="single" w:sz="12" w:space="0" w:color="000000"/>
              <w:bottom w:val="single" w:sz="6" w:space="0" w:color="000000"/>
            </w:tcBorders>
          </w:tcPr>
          <w:p>
            <w:pPr>
              <w:pStyle w:val="TableParagraph"/>
              <w:spacing w:line="179" w:lineRule="exact" w:before="1"/>
              <w:ind w:left="15"/>
              <w:rPr>
                <w:sz w:val="16"/>
              </w:rPr>
            </w:pPr>
            <w:r>
              <w:rPr>
                <w:w w:val="105"/>
                <w:sz w:val="16"/>
              </w:rPr>
              <w:t>Year</w:t>
            </w:r>
            <w:r>
              <w:rPr>
                <w:spacing w:val="-12"/>
                <w:w w:val="105"/>
                <w:sz w:val="16"/>
              </w:rPr>
              <w:t> </w:t>
            </w:r>
            <w:r>
              <w:rPr>
                <w:w w:val="105"/>
                <w:sz w:val="16"/>
              </w:rPr>
              <w:t>ended</w:t>
            </w:r>
            <w:r>
              <w:rPr>
                <w:spacing w:val="-10"/>
                <w:w w:val="105"/>
                <w:sz w:val="16"/>
              </w:rPr>
              <w:t> </w:t>
            </w:r>
            <w:r>
              <w:rPr>
                <w:w w:val="105"/>
                <w:sz w:val="16"/>
              </w:rPr>
              <w:t>December</w:t>
            </w:r>
            <w:r>
              <w:rPr>
                <w:spacing w:val="-10"/>
                <w:w w:val="105"/>
                <w:sz w:val="16"/>
              </w:rPr>
              <w:t> </w:t>
            </w:r>
            <w:r>
              <w:rPr>
                <w:spacing w:val="-5"/>
                <w:w w:val="105"/>
                <w:sz w:val="16"/>
              </w:rPr>
              <w:t>31,</w:t>
            </w:r>
          </w:p>
        </w:tc>
        <w:tc>
          <w:tcPr>
            <w:tcW w:w="1355" w:type="dxa"/>
            <w:tcBorders>
              <w:top w:val="single" w:sz="12" w:space="0" w:color="000000"/>
              <w:bottom w:val="single" w:sz="6" w:space="0" w:color="000000"/>
            </w:tcBorders>
          </w:tcPr>
          <w:p>
            <w:pPr>
              <w:pStyle w:val="TableParagraph"/>
              <w:rPr>
                <w:sz w:val="12"/>
              </w:rPr>
            </w:pPr>
          </w:p>
        </w:tc>
        <w:tc>
          <w:tcPr>
            <w:tcW w:w="115" w:type="dxa"/>
            <w:tcBorders>
              <w:top w:val="single" w:sz="12" w:space="0" w:color="000000"/>
            </w:tcBorders>
          </w:tcPr>
          <w:p>
            <w:pPr>
              <w:pStyle w:val="TableParagraph"/>
              <w:rPr>
                <w:sz w:val="12"/>
              </w:rPr>
            </w:pPr>
          </w:p>
        </w:tc>
        <w:tc>
          <w:tcPr>
            <w:tcW w:w="887" w:type="dxa"/>
            <w:tcBorders>
              <w:top w:val="single" w:sz="12" w:space="0" w:color="000000"/>
              <w:bottom w:val="single" w:sz="6" w:space="0" w:color="000000"/>
            </w:tcBorders>
          </w:tcPr>
          <w:p>
            <w:pPr>
              <w:pStyle w:val="TableParagraph"/>
              <w:rPr>
                <w:sz w:val="12"/>
              </w:rPr>
            </w:pPr>
          </w:p>
        </w:tc>
        <w:tc>
          <w:tcPr>
            <w:tcW w:w="699" w:type="dxa"/>
            <w:tcBorders>
              <w:top w:val="single" w:sz="12" w:space="0" w:color="000000"/>
              <w:bottom w:val="single" w:sz="6" w:space="0" w:color="000000"/>
            </w:tcBorders>
          </w:tcPr>
          <w:p>
            <w:pPr>
              <w:pStyle w:val="TableParagraph"/>
              <w:spacing w:line="179" w:lineRule="exact" w:before="1"/>
              <w:ind w:left="20"/>
              <w:rPr>
                <w:sz w:val="16"/>
              </w:rPr>
            </w:pPr>
            <w:r>
              <w:rPr>
                <w:w w:val="105"/>
                <w:sz w:val="16"/>
              </w:rPr>
              <w:t>%</w:t>
            </w:r>
            <w:r>
              <w:rPr>
                <w:spacing w:val="-4"/>
                <w:w w:val="105"/>
                <w:sz w:val="16"/>
              </w:rPr>
              <w:t> </w:t>
            </w:r>
            <w:r>
              <w:rPr>
                <w:spacing w:val="-2"/>
                <w:w w:val="105"/>
                <w:sz w:val="16"/>
              </w:rPr>
              <w:t>change</w:t>
            </w:r>
          </w:p>
        </w:tc>
        <w:tc>
          <w:tcPr>
            <w:tcW w:w="648" w:type="dxa"/>
            <w:tcBorders>
              <w:top w:val="single" w:sz="12" w:space="0" w:color="000000"/>
              <w:bottom w:val="single" w:sz="6" w:space="0" w:color="000000"/>
            </w:tcBorders>
          </w:tcPr>
          <w:p>
            <w:pPr>
              <w:pStyle w:val="TableParagraph"/>
              <w:rPr>
                <w:sz w:val="12"/>
              </w:rPr>
            </w:pPr>
          </w:p>
        </w:tc>
        <w:tc>
          <w:tcPr>
            <w:tcW w:w="356" w:type="dxa"/>
            <w:tcBorders>
              <w:top w:val="single" w:sz="12" w:space="0" w:color="000000"/>
              <w:bottom w:val="single" w:sz="6" w:space="0" w:color="000000"/>
            </w:tcBorders>
          </w:tcPr>
          <w:p>
            <w:pPr>
              <w:pStyle w:val="TableParagraph"/>
              <w:rPr>
                <w:sz w:val="12"/>
              </w:rPr>
            </w:pPr>
          </w:p>
        </w:tc>
      </w:tr>
      <w:tr>
        <w:trPr>
          <w:trHeight w:val="201" w:hRule="atLeast"/>
        </w:trPr>
        <w:tc>
          <w:tcPr>
            <w:tcW w:w="4548" w:type="dxa"/>
            <w:tcBorders>
              <w:bottom w:val="single" w:sz="6" w:space="0" w:color="000000"/>
            </w:tcBorders>
          </w:tcPr>
          <w:p>
            <w:pPr>
              <w:pStyle w:val="TableParagraph"/>
              <w:rPr>
                <w:sz w:val="14"/>
              </w:rPr>
            </w:pPr>
          </w:p>
        </w:tc>
        <w:tc>
          <w:tcPr>
            <w:tcW w:w="1151" w:type="dxa"/>
            <w:tcBorders>
              <w:top w:val="single" w:sz="6" w:space="0" w:color="000000"/>
              <w:bottom w:val="single" w:sz="6" w:space="0" w:color="000000"/>
            </w:tcBorders>
          </w:tcPr>
          <w:p>
            <w:pPr>
              <w:pStyle w:val="TableParagraph"/>
              <w:spacing w:line="179" w:lineRule="exact" w:before="2"/>
              <w:ind w:right="16"/>
              <w:jc w:val="center"/>
              <w:rPr>
                <w:b/>
                <w:sz w:val="16"/>
              </w:rPr>
            </w:pPr>
            <w:r>
              <w:rPr>
                <w:b/>
                <w:spacing w:val="-4"/>
                <w:w w:val="105"/>
                <w:sz w:val="16"/>
              </w:rPr>
              <w:t>2021</w:t>
            </w:r>
          </w:p>
        </w:tc>
        <w:tc>
          <w:tcPr>
            <w:tcW w:w="1764" w:type="dxa"/>
            <w:gridSpan w:val="2"/>
            <w:tcBorders>
              <w:top w:val="single" w:sz="6" w:space="0" w:color="000000"/>
              <w:bottom w:val="single" w:sz="6" w:space="0" w:color="000000"/>
            </w:tcBorders>
          </w:tcPr>
          <w:p>
            <w:pPr>
              <w:pStyle w:val="TableParagraph"/>
              <w:spacing w:line="179" w:lineRule="exact" w:before="2"/>
              <w:ind w:left="22"/>
              <w:jc w:val="center"/>
              <w:rPr>
                <w:sz w:val="16"/>
              </w:rPr>
            </w:pPr>
            <w:r>
              <w:rPr>
                <w:spacing w:val="-4"/>
                <w:w w:val="105"/>
                <w:sz w:val="16"/>
              </w:rPr>
              <w:t>2020</w:t>
            </w:r>
          </w:p>
        </w:tc>
        <w:tc>
          <w:tcPr>
            <w:tcW w:w="1355" w:type="dxa"/>
            <w:tcBorders>
              <w:top w:val="single" w:sz="6" w:space="0" w:color="000000"/>
              <w:bottom w:val="single" w:sz="6" w:space="0" w:color="000000"/>
            </w:tcBorders>
          </w:tcPr>
          <w:p>
            <w:pPr>
              <w:pStyle w:val="TableParagraph"/>
              <w:spacing w:line="179" w:lineRule="exact" w:before="2"/>
              <w:ind w:left="415"/>
              <w:rPr>
                <w:sz w:val="16"/>
              </w:rPr>
            </w:pPr>
            <w:r>
              <w:rPr>
                <w:spacing w:val="-4"/>
                <w:w w:val="105"/>
                <w:sz w:val="16"/>
              </w:rPr>
              <w:t>2019</w:t>
            </w:r>
          </w:p>
        </w:tc>
        <w:tc>
          <w:tcPr>
            <w:tcW w:w="115" w:type="dxa"/>
            <w:tcBorders>
              <w:bottom w:val="single" w:sz="6" w:space="0" w:color="000000"/>
            </w:tcBorders>
          </w:tcPr>
          <w:p>
            <w:pPr>
              <w:pStyle w:val="TableParagraph"/>
              <w:rPr>
                <w:sz w:val="14"/>
              </w:rPr>
            </w:pPr>
          </w:p>
        </w:tc>
        <w:tc>
          <w:tcPr>
            <w:tcW w:w="887" w:type="dxa"/>
            <w:tcBorders>
              <w:top w:val="single" w:sz="6" w:space="0" w:color="000000"/>
              <w:bottom w:val="single" w:sz="6" w:space="0" w:color="000000"/>
            </w:tcBorders>
          </w:tcPr>
          <w:p>
            <w:pPr>
              <w:pStyle w:val="TableParagraph"/>
              <w:spacing w:line="179" w:lineRule="exact" w:before="2"/>
              <w:ind w:left="255"/>
              <w:rPr>
                <w:sz w:val="16"/>
              </w:rPr>
            </w:pPr>
            <w:r>
              <w:rPr>
                <w:w w:val="105"/>
                <w:sz w:val="16"/>
              </w:rPr>
              <w:t>21</w:t>
            </w:r>
            <w:r>
              <w:rPr>
                <w:spacing w:val="-5"/>
                <w:w w:val="105"/>
                <w:sz w:val="16"/>
              </w:rPr>
              <w:t> </w:t>
            </w:r>
            <w:r>
              <w:rPr>
                <w:w w:val="105"/>
                <w:sz w:val="16"/>
              </w:rPr>
              <w:t>vs.</w:t>
            </w:r>
            <w:r>
              <w:rPr>
                <w:spacing w:val="-4"/>
                <w:w w:val="105"/>
                <w:sz w:val="16"/>
              </w:rPr>
              <w:t> </w:t>
            </w:r>
            <w:r>
              <w:rPr>
                <w:spacing w:val="-7"/>
                <w:w w:val="105"/>
                <w:sz w:val="16"/>
              </w:rPr>
              <w:t>20</w:t>
            </w:r>
          </w:p>
        </w:tc>
        <w:tc>
          <w:tcPr>
            <w:tcW w:w="699" w:type="dxa"/>
            <w:tcBorders>
              <w:top w:val="single" w:sz="6" w:space="0" w:color="000000"/>
              <w:bottom w:val="single" w:sz="6" w:space="0" w:color="000000"/>
            </w:tcBorders>
          </w:tcPr>
          <w:p>
            <w:pPr>
              <w:pStyle w:val="TableParagraph"/>
              <w:rPr>
                <w:sz w:val="14"/>
              </w:rPr>
            </w:pPr>
          </w:p>
        </w:tc>
        <w:tc>
          <w:tcPr>
            <w:tcW w:w="648" w:type="dxa"/>
            <w:tcBorders>
              <w:top w:val="single" w:sz="6" w:space="0" w:color="000000"/>
              <w:bottom w:val="single" w:sz="6" w:space="0" w:color="000000"/>
            </w:tcBorders>
          </w:tcPr>
          <w:p>
            <w:pPr>
              <w:pStyle w:val="TableParagraph"/>
              <w:spacing w:line="179" w:lineRule="exact" w:before="2"/>
              <w:ind w:left="20"/>
              <w:rPr>
                <w:sz w:val="16"/>
              </w:rPr>
            </w:pPr>
            <w:r>
              <w:rPr>
                <w:w w:val="105"/>
                <w:sz w:val="16"/>
              </w:rPr>
              <w:t>20</w:t>
            </w:r>
            <w:r>
              <w:rPr>
                <w:spacing w:val="-5"/>
                <w:w w:val="105"/>
                <w:sz w:val="16"/>
              </w:rPr>
              <w:t> </w:t>
            </w:r>
            <w:r>
              <w:rPr>
                <w:w w:val="105"/>
                <w:sz w:val="16"/>
              </w:rPr>
              <w:t>vs.</w:t>
            </w:r>
            <w:r>
              <w:rPr>
                <w:spacing w:val="-4"/>
                <w:w w:val="105"/>
                <w:sz w:val="16"/>
              </w:rPr>
              <w:t> </w:t>
            </w:r>
            <w:r>
              <w:rPr>
                <w:spacing w:val="-7"/>
                <w:w w:val="105"/>
                <w:sz w:val="16"/>
              </w:rPr>
              <w:t>19</w:t>
            </w:r>
          </w:p>
        </w:tc>
        <w:tc>
          <w:tcPr>
            <w:tcW w:w="356" w:type="dxa"/>
            <w:tcBorders>
              <w:top w:val="single" w:sz="6" w:space="0" w:color="000000"/>
              <w:bottom w:val="single" w:sz="6" w:space="0" w:color="000000"/>
            </w:tcBorders>
          </w:tcPr>
          <w:p>
            <w:pPr>
              <w:pStyle w:val="TableParagraph"/>
              <w:rPr>
                <w:sz w:val="14"/>
              </w:rPr>
            </w:pPr>
          </w:p>
        </w:tc>
      </w:tr>
      <w:tr>
        <w:trPr>
          <w:trHeight w:val="202" w:hRule="atLeast"/>
        </w:trPr>
        <w:tc>
          <w:tcPr>
            <w:tcW w:w="4548" w:type="dxa"/>
            <w:tcBorders>
              <w:top w:val="single" w:sz="6" w:space="0" w:color="000000"/>
            </w:tcBorders>
          </w:tcPr>
          <w:p>
            <w:pPr>
              <w:pStyle w:val="TableParagraph"/>
              <w:rPr>
                <w:sz w:val="14"/>
              </w:rPr>
            </w:pPr>
          </w:p>
        </w:tc>
        <w:tc>
          <w:tcPr>
            <w:tcW w:w="1151" w:type="dxa"/>
            <w:tcBorders>
              <w:top w:val="single" w:sz="6" w:space="0" w:color="000000"/>
            </w:tcBorders>
          </w:tcPr>
          <w:p>
            <w:pPr>
              <w:pStyle w:val="TableParagraph"/>
              <w:rPr>
                <w:sz w:val="14"/>
              </w:rPr>
            </w:pPr>
          </w:p>
        </w:tc>
        <w:tc>
          <w:tcPr>
            <w:tcW w:w="1764" w:type="dxa"/>
            <w:gridSpan w:val="2"/>
            <w:tcBorders>
              <w:top w:val="single" w:sz="6" w:space="0" w:color="000000"/>
            </w:tcBorders>
          </w:tcPr>
          <w:p>
            <w:pPr>
              <w:pStyle w:val="TableParagraph"/>
              <w:rPr>
                <w:sz w:val="14"/>
              </w:rPr>
            </w:pPr>
          </w:p>
        </w:tc>
        <w:tc>
          <w:tcPr>
            <w:tcW w:w="1355" w:type="dxa"/>
            <w:tcBorders>
              <w:top w:val="single" w:sz="6" w:space="0" w:color="000000"/>
            </w:tcBorders>
          </w:tcPr>
          <w:p>
            <w:pPr>
              <w:pStyle w:val="TableParagraph"/>
              <w:rPr>
                <w:sz w:val="14"/>
              </w:rPr>
            </w:pPr>
          </w:p>
        </w:tc>
        <w:tc>
          <w:tcPr>
            <w:tcW w:w="115" w:type="dxa"/>
            <w:tcBorders>
              <w:top w:val="single" w:sz="6" w:space="0" w:color="000000"/>
            </w:tcBorders>
          </w:tcPr>
          <w:p>
            <w:pPr>
              <w:pStyle w:val="TableParagraph"/>
              <w:rPr>
                <w:sz w:val="14"/>
              </w:rPr>
            </w:pPr>
          </w:p>
        </w:tc>
        <w:tc>
          <w:tcPr>
            <w:tcW w:w="887" w:type="dxa"/>
            <w:tcBorders>
              <w:top w:val="single" w:sz="6" w:space="0" w:color="000000"/>
            </w:tcBorders>
          </w:tcPr>
          <w:p>
            <w:pPr>
              <w:pStyle w:val="TableParagraph"/>
              <w:rPr>
                <w:sz w:val="14"/>
              </w:rPr>
            </w:pPr>
          </w:p>
        </w:tc>
        <w:tc>
          <w:tcPr>
            <w:tcW w:w="699" w:type="dxa"/>
            <w:tcBorders>
              <w:top w:val="single" w:sz="6" w:space="0" w:color="000000"/>
            </w:tcBorders>
          </w:tcPr>
          <w:p>
            <w:pPr>
              <w:pStyle w:val="TableParagraph"/>
              <w:rPr>
                <w:sz w:val="14"/>
              </w:rPr>
            </w:pPr>
          </w:p>
        </w:tc>
        <w:tc>
          <w:tcPr>
            <w:tcW w:w="648" w:type="dxa"/>
            <w:tcBorders>
              <w:top w:val="single" w:sz="6" w:space="0" w:color="000000"/>
            </w:tcBorders>
          </w:tcPr>
          <w:p>
            <w:pPr>
              <w:pStyle w:val="TableParagraph"/>
              <w:rPr>
                <w:sz w:val="14"/>
              </w:rPr>
            </w:pPr>
          </w:p>
        </w:tc>
        <w:tc>
          <w:tcPr>
            <w:tcW w:w="356" w:type="dxa"/>
            <w:tcBorders>
              <w:top w:val="single" w:sz="6" w:space="0" w:color="000000"/>
            </w:tcBorders>
          </w:tcPr>
          <w:p>
            <w:pPr>
              <w:pStyle w:val="TableParagraph"/>
              <w:rPr>
                <w:sz w:val="14"/>
              </w:rPr>
            </w:pPr>
          </w:p>
        </w:tc>
      </w:tr>
      <w:tr>
        <w:trPr>
          <w:trHeight w:val="203" w:hRule="atLeast"/>
        </w:trPr>
        <w:tc>
          <w:tcPr>
            <w:tcW w:w="4548" w:type="dxa"/>
            <w:shd w:val="clear" w:color="auto" w:fill="CCEDFF"/>
          </w:tcPr>
          <w:p>
            <w:pPr>
              <w:pStyle w:val="TableParagraph"/>
              <w:spacing w:line="180" w:lineRule="exact" w:before="3"/>
              <w:rPr>
                <w:sz w:val="16"/>
              </w:rPr>
            </w:pPr>
            <w:r>
              <w:rPr>
                <w:w w:val="105"/>
                <w:sz w:val="16"/>
              </w:rPr>
              <w:t>Net</w:t>
            </w:r>
            <w:r>
              <w:rPr>
                <w:spacing w:val="-8"/>
                <w:w w:val="105"/>
                <w:sz w:val="16"/>
              </w:rPr>
              <w:t> </w:t>
            </w:r>
            <w:r>
              <w:rPr>
                <w:spacing w:val="-4"/>
                <w:w w:val="105"/>
                <w:sz w:val="16"/>
              </w:rPr>
              <w:t>sales</w:t>
            </w:r>
          </w:p>
        </w:tc>
        <w:tc>
          <w:tcPr>
            <w:tcW w:w="1151" w:type="dxa"/>
            <w:shd w:val="clear" w:color="auto" w:fill="CCEDFF"/>
          </w:tcPr>
          <w:p>
            <w:pPr>
              <w:pStyle w:val="TableParagraph"/>
              <w:tabs>
                <w:tab w:pos="677" w:val="left" w:leader="none"/>
              </w:tabs>
              <w:spacing w:line="180" w:lineRule="exact" w:before="3"/>
              <w:ind w:left="-1" w:right="15"/>
              <w:jc w:val="center"/>
              <w:rPr>
                <w:b/>
                <w:sz w:val="16"/>
              </w:rPr>
            </w:pPr>
            <w:r>
              <w:rPr>
                <w:b/>
                <w:spacing w:val="-10"/>
                <w:w w:val="105"/>
                <w:sz w:val="16"/>
              </w:rPr>
              <w:t>$</w:t>
            </w:r>
            <w:r>
              <w:rPr>
                <w:b/>
                <w:sz w:val="16"/>
              </w:rPr>
              <w:tab/>
            </w:r>
            <w:r>
              <w:rPr>
                <w:b/>
                <w:spacing w:val="-4"/>
                <w:w w:val="105"/>
                <w:sz w:val="16"/>
              </w:rPr>
              <w:t>14,082</w:t>
            </w:r>
          </w:p>
        </w:tc>
        <w:tc>
          <w:tcPr>
            <w:tcW w:w="1764" w:type="dxa"/>
            <w:gridSpan w:val="2"/>
            <w:shd w:val="clear" w:color="auto" w:fill="CCEDFF"/>
          </w:tcPr>
          <w:p>
            <w:pPr>
              <w:pStyle w:val="TableParagraph"/>
              <w:tabs>
                <w:tab w:pos="1004" w:val="left" w:leader="none"/>
              </w:tabs>
              <w:spacing w:line="180" w:lineRule="exact" w:before="3"/>
              <w:ind w:left="326"/>
              <w:rPr>
                <w:sz w:val="16"/>
              </w:rPr>
            </w:pPr>
            <w:r>
              <w:rPr>
                <w:spacing w:val="-10"/>
                <w:w w:val="105"/>
                <w:sz w:val="16"/>
              </w:rPr>
              <w:t>$</w:t>
            </w:r>
            <w:r>
              <w:rPr>
                <w:sz w:val="16"/>
              </w:rPr>
              <w:tab/>
            </w:r>
            <w:r>
              <w:rPr>
                <w:spacing w:val="-2"/>
                <w:w w:val="105"/>
                <w:sz w:val="16"/>
              </w:rPr>
              <w:t>11,303</w:t>
            </w:r>
          </w:p>
        </w:tc>
        <w:tc>
          <w:tcPr>
            <w:tcW w:w="1355" w:type="dxa"/>
            <w:shd w:val="clear" w:color="auto" w:fill="CCEDFF"/>
          </w:tcPr>
          <w:p>
            <w:pPr>
              <w:pStyle w:val="TableParagraph"/>
              <w:tabs>
                <w:tab w:pos="692" w:val="left" w:leader="none"/>
              </w:tabs>
              <w:spacing w:line="180" w:lineRule="exact" w:before="3"/>
              <w:ind w:left="14"/>
              <w:rPr>
                <w:sz w:val="16"/>
              </w:rPr>
            </w:pPr>
            <w:r>
              <w:rPr>
                <w:spacing w:val="-10"/>
                <w:w w:val="105"/>
                <w:sz w:val="16"/>
              </w:rPr>
              <w:t>$</w:t>
            </w:r>
            <w:r>
              <w:rPr>
                <w:sz w:val="16"/>
              </w:rPr>
              <w:tab/>
            </w:r>
            <w:r>
              <w:rPr>
                <w:spacing w:val="-2"/>
                <w:w w:val="105"/>
                <w:sz w:val="16"/>
              </w:rPr>
              <w:t>11,503</w:t>
            </w:r>
          </w:p>
        </w:tc>
        <w:tc>
          <w:tcPr>
            <w:tcW w:w="115" w:type="dxa"/>
            <w:shd w:val="clear" w:color="auto" w:fill="CCEDFF"/>
          </w:tcPr>
          <w:p>
            <w:pPr>
              <w:pStyle w:val="TableParagraph"/>
              <w:rPr>
                <w:sz w:val="14"/>
              </w:rPr>
            </w:pPr>
          </w:p>
        </w:tc>
        <w:tc>
          <w:tcPr>
            <w:tcW w:w="887" w:type="dxa"/>
            <w:shd w:val="clear" w:color="auto" w:fill="CCEDFF"/>
          </w:tcPr>
          <w:p>
            <w:pPr>
              <w:pStyle w:val="TableParagraph"/>
              <w:rPr>
                <w:sz w:val="14"/>
              </w:rPr>
            </w:pPr>
          </w:p>
        </w:tc>
        <w:tc>
          <w:tcPr>
            <w:tcW w:w="699" w:type="dxa"/>
            <w:shd w:val="clear" w:color="auto" w:fill="CCEDFF"/>
          </w:tcPr>
          <w:p>
            <w:pPr>
              <w:pStyle w:val="TableParagraph"/>
              <w:spacing w:line="180" w:lineRule="exact" w:before="3"/>
              <w:ind w:left="64"/>
              <w:rPr>
                <w:sz w:val="16"/>
              </w:rPr>
            </w:pPr>
            <w:r>
              <w:rPr>
                <w:spacing w:val="-5"/>
                <w:w w:val="105"/>
                <w:sz w:val="16"/>
              </w:rPr>
              <w:t>25</w:t>
            </w:r>
          </w:p>
        </w:tc>
        <w:tc>
          <w:tcPr>
            <w:tcW w:w="648" w:type="dxa"/>
            <w:shd w:val="clear" w:color="auto" w:fill="CCEDFF"/>
          </w:tcPr>
          <w:p>
            <w:pPr>
              <w:pStyle w:val="TableParagraph"/>
              <w:rPr>
                <w:sz w:val="14"/>
              </w:rPr>
            </w:pPr>
          </w:p>
        </w:tc>
        <w:tc>
          <w:tcPr>
            <w:tcW w:w="356" w:type="dxa"/>
            <w:shd w:val="clear" w:color="auto" w:fill="CCEDFF"/>
          </w:tcPr>
          <w:p>
            <w:pPr>
              <w:pStyle w:val="TableParagraph"/>
              <w:spacing w:line="180" w:lineRule="exact" w:before="3"/>
              <w:ind w:left="80" w:right="52"/>
              <w:jc w:val="center"/>
              <w:rPr>
                <w:sz w:val="16"/>
              </w:rPr>
            </w:pPr>
            <w:r>
              <w:rPr>
                <w:spacing w:val="-5"/>
                <w:w w:val="105"/>
                <w:sz w:val="16"/>
              </w:rPr>
              <w:t>(2)</w:t>
            </w:r>
          </w:p>
        </w:tc>
      </w:tr>
      <w:tr>
        <w:trPr>
          <w:trHeight w:val="203" w:hRule="atLeast"/>
        </w:trPr>
        <w:tc>
          <w:tcPr>
            <w:tcW w:w="4548" w:type="dxa"/>
          </w:tcPr>
          <w:p>
            <w:pPr>
              <w:pStyle w:val="TableParagraph"/>
              <w:rPr>
                <w:sz w:val="14"/>
              </w:rPr>
            </w:pPr>
          </w:p>
        </w:tc>
        <w:tc>
          <w:tcPr>
            <w:tcW w:w="1151" w:type="dxa"/>
          </w:tcPr>
          <w:p>
            <w:pPr>
              <w:pStyle w:val="TableParagraph"/>
              <w:rPr>
                <w:sz w:val="14"/>
              </w:rPr>
            </w:pPr>
          </w:p>
        </w:tc>
        <w:tc>
          <w:tcPr>
            <w:tcW w:w="1764" w:type="dxa"/>
            <w:gridSpan w:val="2"/>
          </w:tcPr>
          <w:p>
            <w:pPr>
              <w:pStyle w:val="TableParagraph"/>
              <w:rPr>
                <w:sz w:val="14"/>
              </w:rPr>
            </w:pPr>
          </w:p>
        </w:tc>
        <w:tc>
          <w:tcPr>
            <w:tcW w:w="1355" w:type="dxa"/>
          </w:tcPr>
          <w:p>
            <w:pPr>
              <w:pStyle w:val="TableParagraph"/>
              <w:rPr>
                <w:sz w:val="14"/>
              </w:rPr>
            </w:pPr>
          </w:p>
        </w:tc>
        <w:tc>
          <w:tcPr>
            <w:tcW w:w="115" w:type="dxa"/>
          </w:tcPr>
          <w:p>
            <w:pPr>
              <w:pStyle w:val="TableParagraph"/>
              <w:rPr>
                <w:sz w:val="14"/>
              </w:rPr>
            </w:pPr>
          </w:p>
        </w:tc>
        <w:tc>
          <w:tcPr>
            <w:tcW w:w="887" w:type="dxa"/>
          </w:tcPr>
          <w:p>
            <w:pPr>
              <w:pStyle w:val="TableParagraph"/>
              <w:rPr>
                <w:sz w:val="14"/>
              </w:rPr>
            </w:pPr>
          </w:p>
        </w:tc>
        <w:tc>
          <w:tcPr>
            <w:tcW w:w="699" w:type="dxa"/>
          </w:tcPr>
          <w:p>
            <w:pPr>
              <w:pStyle w:val="TableParagraph"/>
              <w:rPr>
                <w:sz w:val="14"/>
              </w:rPr>
            </w:pPr>
          </w:p>
        </w:tc>
        <w:tc>
          <w:tcPr>
            <w:tcW w:w="648" w:type="dxa"/>
          </w:tcPr>
          <w:p>
            <w:pPr>
              <w:pStyle w:val="TableParagraph"/>
              <w:rPr>
                <w:sz w:val="14"/>
              </w:rPr>
            </w:pPr>
          </w:p>
        </w:tc>
        <w:tc>
          <w:tcPr>
            <w:tcW w:w="356" w:type="dxa"/>
          </w:tcPr>
          <w:p>
            <w:pPr>
              <w:pStyle w:val="TableParagraph"/>
              <w:rPr>
                <w:sz w:val="14"/>
              </w:rPr>
            </w:pPr>
          </w:p>
        </w:tc>
      </w:tr>
      <w:tr>
        <w:trPr>
          <w:trHeight w:val="203" w:hRule="atLeast"/>
        </w:trPr>
        <w:tc>
          <w:tcPr>
            <w:tcW w:w="4548" w:type="dxa"/>
            <w:shd w:val="clear" w:color="auto" w:fill="CCEDFF"/>
          </w:tcPr>
          <w:p>
            <w:pPr>
              <w:pStyle w:val="TableParagraph"/>
              <w:spacing w:line="180" w:lineRule="exact" w:before="3"/>
              <w:rPr>
                <w:sz w:val="16"/>
              </w:rPr>
            </w:pPr>
            <w:r>
              <w:rPr>
                <w:spacing w:val="-2"/>
                <w:w w:val="105"/>
                <w:sz w:val="16"/>
              </w:rPr>
              <w:t>Gross</w:t>
            </w:r>
            <w:r>
              <w:rPr>
                <w:spacing w:val="-3"/>
                <w:w w:val="105"/>
                <w:sz w:val="16"/>
              </w:rPr>
              <w:t> </w:t>
            </w:r>
            <w:r>
              <w:rPr>
                <w:spacing w:val="-2"/>
                <w:w w:val="105"/>
                <w:sz w:val="16"/>
              </w:rPr>
              <w:t>margin</w:t>
            </w:r>
          </w:p>
        </w:tc>
        <w:tc>
          <w:tcPr>
            <w:tcW w:w="1151" w:type="dxa"/>
            <w:shd w:val="clear" w:color="auto" w:fill="CCEDFF"/>
          </w:tcPr>
          <w:p>
            <w:pPr>
              <w:pStyle w:val="TableParagraph"/>
              <w:tabs>
                <w:tab w:pos="760" w:val="left" w:leader="none"/>
              </w:tabs>
              <w:spacing w:line="180" w:lineRule="exact" w:before="3"/>
              <w:ind w:left="-1" w:right="15"/>
              <w:jc w:val="center"/>
              <w:rPr>
                <w:b/>
                <w:sz w:val="16"/>
              </w:rPr>
            </w:pPr>
            <w:r>
              <w:rPr>
                <w:b/>
                <w:spacing w:val="-10"/>
                <w:w w:val="105"/>
                <w:sz w:val="16"/>
              </w:rPr>
              <w:t>$</w:t>
            </w:r>
            <w:r>
              <w:rPr>
                <w:b/>
                <w:sz w:val="16"/>
              </w:rPr>
              <w:tab/>
            </w:r>
            <w:r>
              <w:rPr>
                <w:b/>
                <w:spacing w:val="-4"/>
                <w:w w:val="105"/>
                <w:sz w:val="16"/>
              </w:rPr>
              <w:t>5,063</w:t>
            </w:r>
          </w:p>
        </w:tc>
        <w:tc>
          <w:tcPr>
            <w:tcW w:w="1764" w:type="dxa"/>
            <w:gridSpan w:val="2"/>
            <w:shd w:val="clear" w:color="auto" w:fill="CCEDFF"/>
          </w:tcPr>
          <w:p>
            <w:pPr>
              <w:pStyle w:val="TableParagraph"/>
              <w:tabs>
                <w:tab w:pos="1087" w:val="left" w:leader="none"/>
              </w:tabs>
              <w:spacing w:line="180" w:lineRule="exact" w:before="3"/>
              <w:ind w:left="326"/>
              <w:rPr>
                <w:sz w:val="16"/>
              </w:rPr>
            </w:pPr>
            <w:r>
              <w:rPr>
                <w:spacing w:val="-10"/>
                <w:w w:val="105"/>
                <w:sz w:val="16"/>
              </w:rPr>
              <w:t>$</w:t>
            </w:r>
            <w:r>
              <w:rPr>
                <w:sz w:val="16"/>
              </w:rPr>
              <w:tab/>
            </w:r>
            <w:r>
              <w:rPr>
                <w:spacing w:val="-4"/>
                <w:w w:val="105"/>
                <w:sz w:val="16"/>
              </w:rPr>
              <w:t>3,531</w:t>
            </w:r>
          </w:p>
        </w:tc>
        <w:tc>
          <w:tcPr>
            <w:tcW w:w="1355" w:type="dxa"/>
            <w:shd w:val="clear" w:color="auto" w:fill="CCEDFF"/>
          </w:tcPr>
          <w:p>
            <w:pPr>
              <w:pStyle w:val="TableParagraph"/>
              <w:tabs>
                <w:tab w:pos="775" w:val="left" w:leader="none"/>
              </w:tabs>
              <w:spacing w:line="180" w:lineRule="exact" w:before="3"/>
              <w:ind w:left="14"/>
              <w:rPr>
                <w:sz w:val="16"/>
              </w:rPr>
            </w:pPr>
            <w:r>
              <w:rPr>
                <w:spacing w:val="-10"/>
                <w:w w:val="105"/>
                <w:sz w:val="16"/>
              </w:rPr>
              <w:t>$</w:t>
            </w:r>
            <w:r>
              <w:rPr>
                <w:sz w:val="16"/>
              </w:rPr>
              <w:tab/>
            </w:r>
            <w:r>
              <w:rPr>
                <w:spacing w:val="-4"/>
                <w:w w:val="105"/>
                <w:sz w:val="16"/>
              </w:rPr>
              <w:t>4,035</w:t>
            </w:r>
          </w:p>
        </w:tc>
        <w:tc>
          <w:tcPr>
            <w:tcW w:w="115" w:type="dxa"/>
            <w:shd w:val="clear" w:color="auto" w:fill="CCEDFF"/>
          </w:tcPr>
          <w:p>
            <w:pPr>
              <w:pStyle w:val="TableParagraph"/>
              <w:rPr>
                <w:sz w:val="14"/>
              </w:rPr>
            </w:pPr>
          </w:p>
        </w:tc>
        <w:tc>
          <w:tcPr>
            <w:tcW w:w="887" w:type="dxa"/>
            <w:shd w:val="clear" w:color="auto" w:fill="CCEDFF"/>
          </w:tcPr>
          <w:p>
            <w:pPr>
              <w:pStyle w:val="TableParagraph"/>
              <w:rPr>
                <w:sz w:val="14"/>
              </w:rPr>
            </w:pPr>
          </w:p>
        </w:tc>
        <w:tc>
          <w:tcPr>
            <w:tcW w:w="699" w:type="dxa"/>
            <w:shd w:val="clear" w:color="auto" w:fill="CCEDFF"/>
          </w:tcPr>
          <w:p>
            <w:pPr>
              <w:pStyle w:val="TableParagraph"/>
              <w:spacing w:line="180" w:lineRule="exact" w:before="3"/>
              <w:ind w:left="64"/>
              <w:rPr>
                <w:sz w:val="16"/>
              </w:rPr>
            </w:pPr>
            <w:r>
              <w:rPr>
                <w:spacing w:val="-5"/>
                <w:w w:val="105"/>
                <w:sz w:val="16"/>
              </w:rPr>
              <w:t>43</w:t>
            </w:r>
          </w:p>
        </w:tc>
        <w:tc>
          <w:tcPr>
            <w:tcW w:w="648" w:type="dxa"/>
            <w:shd w:val="clear" w:color="auto" w:fill="CCEDFF"/>
          </w:tcPr>
          <w:p>
            <w:pPr>
              <w:pStyle w:val="TableParagraph"/>
              <w:rPr>
                <w:sz w:val="14"/>
              </w:rPr>
            </w:pPr>
          </w:p>
        </w:tc>
        <w:tc>
          <w:tcPr>
            <w:tcW w:w="356" w:type="dxa"/>
            <w:shd w:val="clear" w:color="auto" w:fill="CCEDFF"/>
          </w:tcPr>
          <w:p>
            <w:pPr>
              <w:pStyle w:val="TableParagraph"/>
              <w:spacing w:line="180" w:lineRule="exact" w:before="3"/>
              <w:ind w:right="52"/>
              <w:jc w:val="center"/>
              <w:rPr>
                <w:sz w:val="16"/>
              </w:rPr>
            </w:pPr>
            <w:r>
              <w:rPr>
                <w:spacing w:val="-4"/>
                <w:w w:val="105"/>
                <w:sz w:val="16"/>
              </w:rPr>
              <w:t>(12)</w:t>
            </w:r>
          </w:p>
        </w:tc>
      </w:tr>
      <w:tr>
        <w:trPr>
          <w:trHeight w:val="203" w:hRule="atLeast"/>
        </w:trPr>
        <w:tc>
          <w:tcPr>
            <w:tcW w:w="4548" w:type="dxa"/>
          </w:tcPr>
          <w:p>
            <w:pPr>
              <w:pStyle w:val="TableParagraph"/>
              <w:spacing w:line="180" w:lineRule="exact" w:before="3"/>
              <w:ind w:left="152"/>
              <w:rPr>
                <w:sz w:val="16"/>
              </w:rPr>
            </w:pPr>
            <w:r>
              <w:rPr>
                <w:spacing w:val="-2"/>
                <w:w w:val="105"/>
                <w:sz w:val="16"/>
              </w:rPr>
              <w:t>(gross</w:t>
            </w:r>
            <w:r>
              <w:rPr>
                <w:w w:val="105"/>
                <w:sz w:val="16"/>
              </w:rPr>
              <w:t> </w:t>
            </w:r>
            <w:r>
              <w:rPr>
                <w:spacing w:val="-2"/>
                <w:w w:val="105"/>
                <w:sz w:val="16"/>
              </w:rPr>
              <w:t>margin</w:t>
            </w:r>
            <w:r>
              <w:rPr>
                <w:w w:val="105"/>
                <w:sz w:val="16"/>
              </w:rPr>
              <w:t> </w:t>
            </w:r>
            <w:r>
              <w:rPr>
                <w:spacing w:val="-5"/>
                <w:w w:val="105"/>
                <w:sz w:val="16"/>
              </w:rPr>
              <w:t>%)</w:t>
            </w:r>
          </w:p>
        </w:tc>
        <w:tc>
          <w:tcPr>
            <w:tcW w:w="1418" w:type="dxa"/>
            <w:gridSpan w:val="2"/>
          </w:tcPr>
          <w:p>
            <w:pPr>
              <w:pStyle w:val="TableParagraph"/>
              <w:spacing w:line="180" w:lineRule="exact" w:before="3"/>
              <w:ind w:right="117"/>
              <w:jc w:val="right"/>
              <w:rPr>
                <w:b/>
                <w:sz w:val="16"/>
              </w:rPr>
            </w:pPr>
            <w:r>
              <w:rPr>
                <w:b/>
                <w:spacing w:val="-5"/>
                <w:w w:val="105"/>
                <w:sz w:val="16"/>
              </w:rPr>
              <w:t>36%</w:t>
            </w:r>
          </w:p>
        </w:tc>
        <w:tc>
          <w:tcPr>
            <w:tcW w:w="1497" w:type="dxa"/>
          </w:tcPr>
          <w:p>
            <w:pPr>
              <w:pStyle w:val="TableParagraph"/>
              <w:spacing w:line="180" w:lineRule="exact" w:before="3"/>
              <w:ind w:right="164"/>
              <w:jc w:val="right"/>
              <w:rPr>
                <w:sz w:val="16"/>
              </w:rPr>
            </w:pPr>
            <w:r>
              <w:rPr>
                <w:spacing w:val="-5"/>
                <w:w w:val="105"/>
                <w:sz w:val="16"/>
              </w:rPr>
              <w:t>31%</w:t>
            </w:r>
          </w:p>
        </w:tc>
        <w:tc>
          <w:tcPr>
            <w:tcW w:w="1355" w:type="dxa"/>
          </w:tcPr>
          <w:p>
            <w:pPr>
              <w:pStyle w:val="TableParagraph"/>
              <w:spacing w:line="180" w:lineRule="exact" w:before="3"/>
              <w:ind w:right="66"/>
              <w:jc w:val="right"/>
              <w:rPr>
                <w:sz w:val="16"/>
              </w:rPr>
            </w:pPr>
            <w:r>
              <w:rPr>
                <w:spacing w:val="-5"/>
                <w:w w:val="105"/>
                <w:sz w:val="16"/>
              </w:rPr>
              <w:t>35%</w:t>
            </w:r>
          </w:p>
        </w:tc>
        <w:tc>
          <w:tcPr>
            <w:tcW w:w="1701" w:type="dxa"/>
            <w:gridSpan w:val="3"/>
          </w:tcPr>
          <w:p>
            <w:pPr>
              <w:pStyle w:val="TableParagraph"/>
              <w:rPr>
                <w:sz w:val="14"/>
              </w:rPr>
            </w:pPr>
          </w:p>
        </w:tc>
        <w:tc>
          <w:tcPr>
            <w:tcW w:w="1004" w:type="dxa"/>
            <w:gridSpan w:val="2"/>
          </w:tcPr>
          <w:p>
            <w:pPr>
              <w:pStyle w:val="TableParagraph"/>
              <w:rPr>
                <w:sz w:val="14"/>
              </w:rPr>
            </w:pPr>
          </w:p>
        </w:tc>
      </w:tr>
      <w:tr>
        <w:trPr>
          <w:trHeight w:val="203" w:hRule="atLeast"/>
        </w:trPr>
        <w:tc>
          <w:tcPr>
            <w:tcW w:w="4548" w:type="dxa"/>
            <w:shd w:val="clear" w:color="auto" w:fill="CCEDFF"/>
          </w:tcPr>
          <w:p>
            <w:pPr>
              <w:pStyle w:val="TableParagraph"/>
              <w:rPr>
                <w:sz w:val="14"/>
              </w:rPr>
            </w:pPr>
          </w:p>
        </w:tc>
        <w:tc>
          <w:tcPr>
            <w:tcW w:w="1418" w:type="dxa"/>
            <w:gridSpan w:val="2"/>
            <w:shd w:val="clear" w:color="auto" w:fill="CCEDFF"/>
          </w:tcPr>
          <w:p>
            <w:pPr>
              <w:pStyle w:val="TableParagraph"/>
              <w:rPr>
                <w:sz w:val="14"/>
              </w:rPr>
            </w:pPr>
          </w:p>
        </w:tc>
        <w:tc>
          <w:tcPr>
            <w:tcW w:w="1497" w:type="dxa"/>
            <w:shd w:val="clear" w:color="auto" w:fill="CCEDFF"/>
          </w:tcPr>
          <w:p>
            <w:pPr>
              <w:pStyle w:val="TableParagraph"/>
              <w:rPr>
                <w:sz w:val="14"/>
              </w:rPr>
            </w:pPr>
          </w:p>
        </w:tc>
        <w:tc>
          <w:tcPr>
            <w:tcW w:w="1355" w:type="dxa"/>
            <w:shd w:val="clear" w:color="auto" w:fill="CCEDFF"/>
          </w:tcPr>
          <w:p>
            <w:pPr>
              <w:pStyle w:val="TableParagraph"/>
              <w:rPr>
                <w:sz w:val="14"/>
              </w:rPr>
            </w:pPr>
          </w:p>
        </w:tc>
        <w:tc>
          <w:tcPr>
            <w:tcW w:w="1701" w:type="dxa"/>
            <w:gridSpan w:val="3"/>
            <w:shd w:val="clear" w:color="auto" w:fill="CCEDFF"/>
          </w:tcPr>
          <w:p>
            <w:pPr>
              <w:pStyle w:val="TableParagraph"/>
              <w:rPr>
                <w:sz w:val="14"/>
              </w:rPr>
            </w:pPr>
          </w:p>
        </w:tc>
        <w:tc>
          <w:tcPr>
            <w:tcW w:w="1004" w:type="dxa"/>
            <w:gridSpan w:val="2"/>
            <w:shd w:val="clear" w:color="auto" w:fill="CCEDFF"/>
          </w:tcPr>
          <w:p>
            <w:pPr>
              <w:pStyle w:val="TableParagraph"/>
              <w:rPr>
                <w:sz w:val="14"/>
              </w:rPr>
            </w:pPr>
          </w:p>
        </w:tc>
      </w:tr>
      <w:tr>
        <w:trPr>
          <w:trHeight w:val="203" w:hRule="atLeast"/>
        </w:trPr>
        <w:tc>
          <w:tcPr>
            <w:tcW w:w="4548" w:type="dxa"/>
          </w:tcPr>
          <w:p>
            <w:pPr>
              <w:pStyle w:val="TableParagraph"/>
              <w:spacing w:line="180" w:lineRule="exact" w:before="3"/>
              <w:rPr>
                <w:sz w:val="16"/>
              </w:rPr>
            </w:pPr>
            <w:r>
              <w:rPr>
                <w:sz w:val="16"/>
              </w:rPr>
              <w:t>Selling,</w:t>
            </w:r>
            <w:r>
              <w:rPr>
                <w:spacing w:val="17"/>
                <w:sz w:val="16"/>
              </w:rPr>
              <w:t> </w:t>
            </w:r>
            <w:r>
              <w:rPr>
                <w:sz w:val="16"/>
              </w:rPr>
              <w:t>general</w:t>
            </w:r>
            <w:r>
              <w:rPr>
                <w:spacing w:val="17"/>
                <w:sz w:val="16"/>
              </w:rPr>
              <w:t> </w:t>
            </w:r>
            <w:r>
              <w:rPr>
                <w:sz w:val="16"/>
              </w:rPr>
              <w:t>and</w:t>
            </w:r>
            <w:r>
              <w:rPr>
                <w:spacing w:val="17"/>
                <w:sz w:val="16"/>
              </w:rPr>
              <w:t> </w:t>
            </w:r>
            <w:r>
              <w:rPr>
                <w:sz w:val="16"/>
              </w:rPr>
              <w:t>administrative</w:t>
            </w:r>
            <w:r>
              <w:rPr>
                <w:spacing w:val="18"/>
                <w:sz w:val="16"/>
              </w:rPr>
              <w:t> </w:t>
            </w:r>
            <w:r>
              <w:rPr>
                <w:spacing w:val="-2"/>
                <w:sz w:val="16"/>
              </w:rPr>
              <w:t>expenses</w:t>
            </w:r>
          </w:p>
        </w:tc>
        <w:tc>
          <w:tcPr>
            <w:tcW w:w="1418" w:type="dxa"/>
            <w:gridSpan w:val="2"/>
          </w:tcPr>
          <w:p>
            <w:pPr>
              <w:pStyle w:val="TableParagraph"/>
              <w:tabs>
                <w:tab w:pos="760" w:val="left" w:leader="none"/>
              </w:tabs>
              <w:spacing w:line="180" w:lineRule="exact" w:before="3"/>
              <w:ind w:left="-1"/>
              <w:rPr>
                <w:b/>
                <w:sz w:val="16"/>
              </w:rPr>
            </w:pPr>
            <w:r>
              <w:rPr>
                <w:b/>
                <w:spacing w:val="-10"/>
                <w:w w:val="105"/>
                <w:sz w:val="16"/>
              </w:rPr>
              <w:t>$</w:t>
            </w:r>
            <w:r>
              <w:rPr>
                <w:b/>
                <w:sz w:val="16"/>
              </w:rPr>
              <w:tab/>
            </w:r>
            <w:r>
              <w:rPr>
                <w:b/>
                <w:spacing w:val="-4"/>
                <w:w w:val="105"/>
                <w:sz w:val="16"/>
              </w:rPr>
              <w:t>1,827</w:t>
            </w:r>
          </w:p>
        </w:tc>
        <w:tc>
          <w:tcPr>
            <w:tcW w:w="1497" w:type="dxa"/>
          </w:tcPr>
          <w:p>
            <w:pPr>
              <w:pStyle w:val="TableParagraph"/>
              <w:tabs>
                <w:tab w:pos="820" w:val="left" w:leader="none"/>
              </w:tabs>
              <w:spacing w:line="180" w:lineRule="exact" w:before="3"/>
              <w:ind w:left="59"/>
              <w:rPr>
                <w:sz w:val="16"/>
              </w:rPr>
            </w:pPr>
            <w:r>
              <w:rPr>
                <w:spacing w:val="-10"/>
                <w:w w:val="105"/>
                <w:sz w:val="16"/>
              </w:rPr>
              <w:t>$</w:t>
            </w:r>
            <w:r>
              <w:rPr>
                <w:sz w:val="16"/>
              </w:rPr>
              <w:tab/>
            </w:r>
            <w:r>
              <w:rPr>
                <w:spacing w:val="-4"/>
                <w:w w:val="105"/>
                <w:sz w:val="16"/>
              </w:rPr>
              <w:t>1,747</w:t>
            </w:r>
          </w:p>
        </w:tc>
        <w:tc>
          <w:tcPr>
            <w:tcW w:w="1355" w:type="dxa"/>
          </w:tcPr>
          <w:p>
            <w:pPr>
              <w:pStyle w:val="TableParagraph"/>
              <w:tabs>
                <w:tab w:pos="775" w:val="left" w:leader="none"/>
              </w:tabs>
              <w:spacing w:line="180" w:lineRule="exact" w:before="3"/>
              <w:ind w:left="14"/>
              <w:rPr>
                <w:sz w:val="16"/>
              </w:rPr>
            </w:pPr>
            <w:r>
              <w:rPr>
                <w:spacing w:val="-10"/>
                <w:w w:val="105"/>
                <w:sz w:val="16"/>
              </w:rPr>
              <w:t>$</w:t>
            </w:r>
            <w:r>
              <w:rPr>
                <w:sz w:val="16"/>
              </w:rPr>
              <w:tab/>
            </w:r>
            <w:r>
              <w:rPr>
                <w:spacing w:val="-4"/>
                <w:w w:val="105"/>
                <w:sz w:val="16"/>
              </w:rPr>
              <w:t>1,585</w:t>
            </w:r>
          </w:p>
        </w:tc>
        <w:tc>
          <w:tcPr>
            <w:tcW w:w="1701" w:type="dxa"/>
            <w:gridSpan w:val="3"/>
          </w:tcPr>
          <w:p>
            <w:pPr>
              <w:pStyle w:val="TableParagraph"/>
              <w:spacing w:line="180" w:lineRule="exact" w:before="3"/>
              <w:ind w:right="466"/>
              <w:jc w:val="right"/>
              <w:rPr>
                <w:sz w:val="16"/>
              </w:rPr>
            </w:pPr>
            <w:r>
              <w:rPr>
                <w:spacing w:val="-10"/>
                <w:w w:val="105"/>
                <w:sz w:val="16"/>
              </w:rPr>
              <w:t>5</w:t>
            </w:r>
          </w:p>
        </w:tc>
        <w:tc>
          <w:tcPr>
            <w:tcW w:w="1004" w:type="dxa"/>
            <w:gridSpan w:val="2"/>
          </w:tcPr>
          <w:p>
            <w:pPr>
              <w:pStyle w:val="TableParagraph"/>
              <w:spacing w:line="180" w:lineRule="exact" w:before="3"/>
              <w:ind w:right="120"/>
              <w:jc w:val="right"/>
              <w:rPr>
                <w:sz w:val="16"/>
              </w:rPr>
            </w:pPr>
            <w:r>
              <w:rPr>
                <w:spacing w:val="-5"/>
                <w:w w:val="105"/>
                <w:sz w:val="16"/>
              </w:rPr>
              <w:t>10</w:t>
            </w:r>
          </w:p>
        </w:tc>
      </w:tr>
      <w:tr>
        <w:trPr>
          <w:trHeight w:val="203" w:hRule="atLeast"/>
        </w:trPr>
        <w:tc>
          <w:tcPr>
            <w:tcW w:w="4548" w:type="dxa"/>
            <w:shd w:val="clear" w:color="auto" w:fill="CCEDFF"/>
          </w:tcPr>
          <w:p>
            <w:pPr>
              <w:pStyle w:val="TableParagraph"/>
              <w:spacing w:line="180" w:lineRule="exact" w:before="3"/>
              <w:ind w:left="152"/>
              <w:rPr>
                <w:sz w:val="16"/>
              </w:rPr>
            </w:pPr>
            <w:r>
              <w:rPr>
                <w:w w:val="105"/>
                <w:sz w:val="16"/>
              </w:rPr>
              <w:t>(as</w:t>
            </w:r>
            <w:r>
              <w:rPr>
                <w:spacing w:val="-5"/>
                <w:w w:val="105"/>
                <w:sz w:val="16"/>
              </w:rPr>
              <w:t> </w:t>
            </w:r>
            <w:r>
              <w:rPr>
                <w:w w:val="105"/>
                <w:sz w:val="16"/>
              </w:rPr>
              <w:t>a</w:t>
            </w:r>
            <w:r>
              <w:rPr>
                <w:spacing w:val="-4"/>
                <w:w w:val="105"/>
                <w:sz w:val="16"/>
              </w:rPr>
              <w:t> </w:t>
            </w:r>
            <w:r>
              <w:rPr>
                <w:w w:val="105"/>
                <w:sz w:val="16"/>
              </w:rPr>
              <w:t>%</w:t>
            </w:r>
            <w:r>
              <w:rPr>
                <w:spacing w:val="-4"/>
                <w:w w:val="105"/>
                <w:sz w:val="16"/>
              </w:rPr>
              <w:t> </w:t>
            </w:r>
            <w:r>
              <w:rPr>
                <w:w w:val="105"/>
                <w:sz w:val="16"/>
              </w:rPr>
              <w:t>of</w:t>
            </w:r>
            <w:r>
              <w:rPr>
                <w:spacing w:val="-5"/>
                <w:w w:val="105"/>
                <w:sz w:val="16"/>
              </w:rPr>
              <w:t> </w:t>
            </w:r>
            <w:r>
              <w:rPr>
                <w:w w:val="105"/>
                <w:sz w:val="16"/>
              </w:rPr>
              <w:t>net</w:t>
            </w:r>
            <w:r>
              <w:rPr>
                <w:spacing w:val="-4"/>
                <w:w w:val="105"/>
                <w:sz w:val="16"/>
              </w:rPr>
              <w:t> </w:t>
            </w:r>
            <w:r>
              <w:rPr>
                <w:spacing w:val="-2"/>
                <w:w w:val="105"/>
                <w:sz w:val="16"/>
              </w:rPr>
              <w:t>sales)</w:t>
            </w:r>
          </w:p>
        </w:tc>
        <w:tc>
          <w:tcPr>
            <w:tcW w:w="1418" w:type="dxa"/>
            <w:gridSpan w:val="2"/>
            <w:shd w:val="clear" w:color="auto" w:fill="CCEDFF"/>
          </w:tcPr>
          <w:p>
            <w:pPr>
              <w:pStyle w:val="TableParagraph"/>
              <w:spacing w:line="180" w:lineRule="exact" w:before="3"/>
              <w:ind w:right="117"/>
              <w:jc w:val="right"/>
              <w:rPr>
                <w:b/>
                <w:sz w:val="16"/>
              </w:rPr>
            </w:pPr>
            <w:r>
              <w:rPr>
                <w:b/>
                <w:spacing w:val="-5"/>
                <w:w w:val="105"/>
                <w:sz w:val="16"/>
              </w:rPr>
              <w:t>13%</w:t>
            </w:r>
          </w:p>
        </w:tc>
        <w:tc>
          <w:tcPr>
            <w:tcW w:w="1497" w:type="dxa"/>
            <w:shd w:val="clear" w:color="auto" w:fill="CCEDFF"/>
          </w:tcPr>
          <w:p>
            <w:pPr>
              <w:pStyle w:val="TableParagraph"/>
              <w:spacing w:line="180" w:lineRule="exact" w:before="3"/>
              <w:ind w:right="164"/>
              <w:jc w:val="right"/>
              <w:rPr>
                <w:sz w:val="16"/>
              </w:rPr>
            </w:pPr>
            <w:r>
              <w:rPr>
                <w:spacing w:val="-5"/>
                <w:w w:val="105"/>
                <w:sz w:val="16"/>
              </w:rPr>
              <w:t>15%</w:t>
            </w:r>
          </w:p>
        </w:tc>
        <w:tc>
          <w:tcPr>
            <w:tcW w:w="1355" w:type="dxa"/>
            <w:shd w:val="clear" w:color="auto" w:fill="CCEDFF"/>
          </w:tcPr>
          <w:p>
            <w:pPr>
              <w:pStyle w:val="TableParagraph"/>
              <w:spacing w:line="180" w:lineRule="exact" w:before="3"/>
              <w:ind w:right="66"/>
              <w:jc w:val="right"/>
              <w:rPr>
                <w:sz w:val="16"/>
              </w:rPr>
            </w:pPr>
            <w:r>
              <w:rPr>
                <w:spacing w:val="-5"/>
                <w:w w:val="105"/>
                <w:sz w:val="16"/>
              </w:rPr>
              <w:t>14%</w:t>
            </w:r>
          </w:p>
        </w:tc>
        <w:tc>
          <w:tcPr>
            <w:tcW w:w="1701" w:type="dxa"/>
            <w:gridSpan w:val="3"/>
            <w:shd w:val="clear" w:color="auto" w:fill="CCEDFF"/>
          </w:tcPr>
          <w:p>
            <w:pPr>
              <w:pStyle w:val="TableParagraph"/>
              <w:rPr>
                <w:sz w:val="14"/>
              </w:rPr>
            </w:pPr>
          </w:p>
        </w:tc>
        <w:tc>
          <w:tcPr>
            <w:tcW w:w="1004" w:type="dxa"/>
            <w:gridSpan w:val="2"/>
            <w:shd w:val="clear" w:color="auto" w:fill="CCEDFF"/>
          </w:tcPr>
          <w:p>
            <w:pPr>
              <w:pStyle w:val="TableParagraph"/>
              <w:rPr>
                <w:sz w:val="14"/>
              </w:rPr>
            </w:pPr>
          </w:p>
        </w:tc>
      </w:tr>
      <w:tr>
        <w:trPr>
          <w:trHeight w:val="203" w:hRule="atLeast"/>
        </w:trPr>
        <w:tc>
          <w:tcPr>
            <w:tcW w:w="4548" w:type="dxa"/>
          </w:tcPr>
          <w:p>
            <w:pPr>
              <w:pStyle w:val="TableParagraph"/>
              <w:rPr>
                <w:sz w:val="14"/>
              </w:rPr>
            </w:pPr>
          </w:p>
        </w:tc>
        <w:tc>
          <w:tcPr>
            <w:tcW w:w="1418" w:type="dxa"/>
            <w:gridSpan w:val="2"/>
          </w:tcPr>
          <w:p>
            <w:pPr>
              <w:pStyle w:val="TableParagraph"/>
              <w:rPr>
                <w:sz w:val="14"/>
              </w:rPr>
            </w:pPr>
          </w:p>
        </w:tc>
        <w:tc>
          <w:tcPr>
            <w:tcW w:w="1497" w:type="dxa"/>
          </w:tcPr>
          <w:p>
            <w:pPr>
              <w:pStyle w:val="TableParagraph"/>
              <w:rPr>
                <w:sz w:val="14"/>
              </w:rPr>
            </w:pPr>
          </w:p>
        </w:tc>
        <w:tc>
          <w:tcPr>
            <w:tcW w:w="1355" w:type="dxa"/>
          </w:tcPr>
          <w:p>
            <w:pPr>
              <w:pStyle w:val="TableParagraph"/>
              <w:rPr>
                <w:sz w:val="14"/>
              </w:rPr>
            </w:pPr>
          </w:p>
        </w:tc>
        <w:tc>
          <w:tcPr>
            <w:tcW w:w="1701" w:type="dxa"/>
            <w:gridSpan w:val="3"/>
          </w:tcPr>
          <w:p>
            <w:pPr>
              <w:pStyle w:val="TableParagraph"/>
              <w:rPr>
                <w:sz w:val="14"/>
              </w:rPr>
            </w:pPr>
          </w:p>
        </w:tc>
        <w:tc>
          <w:tcPr>
            <w:tcW w:w="1004" w:type="dxa"/>
            <w:gridSpan w:val="2"/>
          </w:tcPr>
          <w:p>
            <w:pPr>
              <w:pStyle w:val="TableParagraph"/>
              <w:rPr>
                <w:sz w:val="14"/>
              </w:rPr>
            </w:pPr>
          </w:p>
        </w:tc>
      </w:tr>
      <w:tr>
        <w:trPr>
          <w:trHeight w:val="203" w:hRule="atLeast"/>
        </w:trPr>
        <w:tc>
          <w:tcPr>
            <w:tcW w:w="4548" w:type="dxa"/>
            <w:shd w:val="clear" w:color="auto" w:fill="CCEDFF"/>
          </w:tcPr>
          <w:p>
            <w:pPr>
              <w:pStyle w:val="TableParagraph"/>
              <w:spacing w:line="180" w:lineRule="exact" w:before="3"/>
              <w:rPr>
                <w:sz w:val="16"/>
              </w:rPr>
            </w:pPr>
            <w:r>
              <w:rPr>
                <w:sz w:val="16"/>
              </w:rPr>
              <w:t>Research,</w:t>
            </w:r>
            <w:r>
              <w:rPr>
                <w:spacing w:val="19"/>
                <w:sz w:val="16"/>
              </w:rPr>
              <w:t> </w:t>
            </w:r>
            <w:r>
              <w:rPr>
                <w:sz w:val="16"/>
              </w:rPr>
              <w:t>development</w:t>
            </w:r>
            <w:r>
              <w:rPr>
                <w:spacing w:val="20"/>
                <w:sz w:val="16"/>
              </w:rPr>
              <w:t> </w:t>
            </w:r>
            <w:r>
              <w:rPr>
                <w:sz w:val="16"/>
              </w:rPr>
              <w:t>and</w:t>
            </w:r>
            <w:r>
              <w:rPr>
                <w:spacing w:val="20"/>
                <w:sz w:val="16"/>
              </w:rPr>
              <w:t> </w:t>
            </w:r>
            <w:r>
              <w:rPr>
                <w:sz w:val="16"/>
              </w:rPr>
              <w:t>engineering</w:t>
            </w:r>
            <w:r>
              <w:rPr>
                <w:spacing w:val="20"/>
                <w:sz w:val="16"/>
              </w:rPr>
              <w:t> </w:t>
            </w:r>
            <w:r>
              <w:rPr>
                <w:spacing w:val="-2"/>
                <w:sz w:val="16"/>
              </w:rPr>
              <w:t>expenses</w:t>
            </w:r>
          </w:p>
        </w:tc>
        <w:tc>
          <w:tcPr>
            <w:tcW w:w="1418" w:type="dxa"/>
            <w:gridSpan w:val="2"/>
            <w:shd w:val="clear" w:color="auto" w:fill="CCEDFF"/>
          </w:tcPr>
          <w:p>
            <w:pPr>
              <w:pStyle w:val="TableParagraph"/>
              <w:tabs>
                <w:tab w:pos="884" w:val="left" w:leader="none"/>
              </w:tabs>
              <w:spacing w:line="180" w:lineRule="exact" w:before="3"/>
              <w:ind w:left="-1"/>
              <w:rPr>
                <w:b/>
                <w:sz w:val="16"/>
              </w:rPr>
            </w:pPr>
            <w:r>
              <w:rPr>
                <w:b/>
                <w:spacing w:val="-10"/>
                <w:w w:val="105"/>
                <w:sz w:val="16"/>
              </w:rPr>
              <w:t>$</w:t>
            </w:r>
            <w:r>
              <w:rPr>
                <w:b/>
                <w:sz w:val="16"/>
              </w:rPr>
              <w:tab/>
            </w:r>
            <w:r>
              <w:rPr>
                <w:b/>
                <w:spacing w:val="-5"/>
                <w:w w:val="105"/>
                <w:sz w:val="16"/>
              </w:rPr>
              <w:t>995</w:t>
            </w:r>
          </w:p>
        </w:tc>
        <w:tc>
          <w:tcPr>
            <w:tcW w:w="1497" w:type="dxa"/>
            <w:shd w:val="clear" w:color="auto" w:fill="CCEDFF"/>
          </w:tcPr>
          <w:p>
            <w:pPr>
              <w:pStyle w:val="TableParagraph"/>
              <w:tabs>
                <w:tab w:pos="820" w:val="left" w:leader="none"/>
              </w:tabs>
              <w:spacing w:line="180" w:lineRule="exact" w:before="3"/>
              <w:ind w:left="59"/>
              <w:rPr>
                <w:sz w:val="16"/>
              </w:rPr>
            </w:pPr>
            <w:r>
              <w:rPr>
                <w:spacing w:val="-10"/>
                <w:w w:val="105"/>
                <w:sz w:val="16"/>
              </w:rPr>
              <w:t>$</w:t>
            </w:r>
            <w:r>
              <w:rPr>
                <w:sz w:val="16"/>
              </w:rPr>
              <w:tab/>
            </w:r>
            <w:r>
              <w:rPr>
                <w:spacing w:val="-4"/>
                <w:w w:val="105"/>
                <w:sz w:val="16"/>
              </w:rPr>
              <w:t>1,154</w:t>
            </w:r>
          </w:p>
        </w:tc>
        <w:tc>
          <w:tcPr>
            <w:tcW w:w="1355" w:type="dxa"/>
            <w:shd w:val="clear" w:color="auto" w:fill="CCEDFF"/>
          </w:tcPr>
          <w:p>
            <w:pPr>
              <w:pStyle w:val="TableParagraph"/>
              <w:tabs>
                <w:tab w:pos="775" w:val="left" w:leader="none"/>
              </w:tabs>
              <w:spacing w:line="180" w:lineRule="exact" w:before="3"/>
              <w:ind w:left="14"/>
              <w:rPr>
                <w:sz w:val="16"/>
              </w:rPr>
            </w:pPr>
            <w:r>
              <w:rPr>
                <w:spacing w:val="-10"/>
                <w:w w:val="105"/>
                <w:sz w:val="16"/>
              </w:rPr>
              <w:t>$</w:t>
            </w:r>
            <w:r>
              <w:rPr>
                <w:sz w:val="16"/>
              </w:rPr>
              <w:tab/>
            </w:r>
            <w:r>
              <w:rPr>
                <w:spacing w:val="-4"/>
                <w:w w:val="105"/>
                <w:sz w:val="16"/>
              </w:rPr>
              <w:t>1,031</w:t>
            </w:r>
          </w:p>
        </w:tc>
        <w:tc>
          <w:tcPr>
            <w:tcW w:w="1701" w:type="dxa"/>
            <w:gridSpan w:val="3"/>
            <w:shd w:val="clear" w:color="auto" w:fill="CCEDFF"/>
          </w:tcPr>
          <w:p>
            <w:pPr>
              <w:pStyle w:val="TableParagraph"/>
              <w:spacing w:line="180" w:lineRule="exact" w:before="3"/>
              <w:ind w:left="1011"/>
              <w:rPr>
                <w:sz w:val="16"/>
              </w:rPr>
            </w:pPr>
            <w:r>
              <w:rPr>
                <w:spacing w:val="-4"/>
                <w:w w:val="105"/>
                <w:sz w:val="16"/>
              </w:rPr>
              <w:t>(14)</w:t>
            </w:r>
          </w:p>
        </w:tc>
        <w:tc>
          <w:tcPr>
            <w:tcW w:w="1004" w:type="dxa"/>
            <w:gridSpan w:val="2"/>
            <w:shd w:val="clear" w:color="auto" w:fill="CCEDFF"/>
          </w:tcPr>
          <w:p>
            <w:pPr>
              <w:pStyle w:val="TableParagraph"/>
              <w:spacing w:line="180" w:lineRule="exact" w:before="3"/>
              <w:ind w:right="120"/>
              <w:jc w:val="right"/>
              <w:rPr>
                <w:sz w:val="16"/>
              </w:rPr>
            </w:pPr>
            <w:r>
              <w:rPr>
                <w:spacing w:val="-5"/>
                <w:w w:val="105"/>
                <w:sz w:val="16"/>
              </w:rPr>
              <w:t>12</w:t>
            </w:r>
          </w:p>
        </w:tc>
      </w:tr>
      <w:tr>
        <w:trPr>
          <w:trHeight w:val="203" w:hRule="atLeast"/>
        </w:trPr>
        <w:tc>
          <w:tcPr>
            <w:tcW w:w="4548" w:type="dxa"/>
          </w:tcPr>
          <w:p>
            <w:pPr>
              <w:pStyle w:val="TableParagraph"/>
              <w:spacing w:line="180" w:lineRule="exact" w:before="3"/>
              <w:ind w:left="152"/>
              <w:rPr>
                <w:sz w:val="16"/>
              </w:rPr>
            </w:pPr>
            <w:r>
              <w:rPr>
                <w:w w:val="105"/>
                <w:sz w:val="16"/>
              </w:rPr>
              <w:t>(as</w:t>
            </w:r>
            <w:r>
              <w:rPr>
                <w:spacing w:val="-5"/>
                <w:w w:val="105"/>
                <w:sz w:val="16"/>
              </w:rPr>
              <w:t> </w:t>
            </w:r>
            <w:r>
              <w:rPr>
                <w:w w:val="105"/>
                <w:sz w:val="16"/>
              </w:rPr>
              <w:t>a</w:t>
            </w:r>
            <w:r>
              <w:rPr>
                <w:spacing w:val="-4"/>
                <w:w w:val="105"/>
                <w:sz w:val="16"/>
              </w:rPr>
              <w:t> </w:t>
            </w:r>
            <w:r>
              <w:rPr>
                <w:w w:val="105"/>
                <w:sz w:val="16"/>
              </w:rPr>
              <w:t>%</w:t>
            </w:r>
            <w:r>
              <w:rPr>
                <w:spacing w:val="-4"/>
                <w:w w:val="105"/>
                <w:sz w:val="16"/>
              </w:rPr>
              <w:t> </w:t>
            </w:r>
            <w:r>
              <w:rPr>
                <w:w w:val="105"/>
                <w:sz w:val="16"/>
              </w:rPr>
              <w:t>of</w:t>
            </w:r>
            <w:r>
              <w:rPr>
                <w:spacing w:val="-5"/>
                <w:w w:val="105"/>
                <w:sz w:val="16"/>
              </w:rPr>
              <w:t> </w:t>
            </w:r>
            <w:r>
              <w:rPr>
                <w:w w:val="105"/>
                <w:sz w:val="16"/>
              </w:rPr>
              <w:t>net</w:t>
            </w:r>
            <w:r>
              <w:rPr>
                <w:spacing w:val="-4"/>
                <w:w w:val="105"/>
                <w:sz w:val="16"/>
              </w:rPr>
              <w:t> </w:t>
            </w:r>
            <w:r>
              <w:rPr>
                <w:spacing w:val="-2"/>
                <w:w w:val="105"/>
                <w:sz w:val="16"/>
              </w:rPr>
              <w:t>sales)</w:t>
            </w:r>
          </w:p>
        </w:tc>
        <w:tc>
          <w:tcPr>
            <w:tcW w:w="1418" w:type="dxa"/>
            <w:gridSpan w:val="2"/>
          </w:tcPr>
          <w:p>
            <w:pPr>
              <w:pStyle w:val="TableParagraph"/>
              <w:spacing w:line="180" w:lineRule="exact" w:before="3"/>
              <w:ind w:right="117"/>
              <w:jc w:val="right"/>
              <w:rPr>
                <w:b/>
                <w:sz w:val="16"/>
              </w:rPr>
            </w:pPr>
            <w:r>
              <w:rPr>
                <w:b/>
                <w:spacing w:val="-5"/>
                <w:w w:val="105"/>
                <w:sz w:val="16"/>
              </w:rPr>
              <w:t>7%</w:t>
            </w:r>
          </w:p>
        </w:tc>
        <w:tc>
          <w:tcPr>
            <w:tcW w:w="1497" w:type="dxa"/>
          </w:tcPr>
          <w:p>
            <w:pPr>
              <w:pStyle w:val="TableParagraph"/>
              <w:spacing w:line="180" w:lineRule="exact" w:before="3"/>
              <w:ind w:right="164"/>
              <w:jc w:val="right"/>
              <w:rPr>
                <w:sz w:val="16"/>
              </w:rPr>
            </w:pPr>
            <w:r>
              <w:rPr>
                <w:spacing w:val="-5"/>
                <w:w w:val="105"/>
                <w:sz w:val="16"/>
              </w:rPr>
              <w:t>10%</w:t>
            </w:r>
          </w:p>
        </w:tc>
        <w:tc>
          <w:tcPr>
            <w:tcW w:w="1355" w:type="dxa"/>
          </w:tcPr>
          <w:p>
            <w:pPr>
              <w:pStyle w:val="TableParagraph"/>
              <w:spacing w:line="180" w:lineRule="exact" w:before="3"/>
              <w:ind w:right="66"/>
              <w:jc w:val="right"/>
              <w:rPr>
                <w:sz w:val="16"/>
              </w:rPr>
            </w:pPr>
            <w:r>
              <w:rPr>
                <w:spacing w:val="-5"/>
                <w:w w:val="105"/>
                <w:sz w:val="16"/>
              </w:rPr>
              <w:t>9%</w:t>
            </w:r>
          </w:p>
        </w:tc>
        <w:tc>
          <w:tcPr>
            <w:tcW w:w="1701" w:type="dxa"/>
            <w:gridSpan w:val="3"/>
          </w:tcPr>
          <w:p>
            <w:pPr>
              <w:pStyle w:val="TableParagraph"/>
              <w:rPr>
                <w:sz w:val="14"/>
              </w:rPr>
            </w:pPr>
          </w:p>
        </w:tc>
        <w:tc>
          <w:tcPr>
            <w:tcW w:w="1004" w:type="dxa"/>
            <w:gridSpan w:val="2"/>
          </w:tcPr>
          <w:p>
            <w:pPr>
              <w:pStyle w:val="TableParagraph"/>
              <w:rPr>
                <w:sz w:val="14"/>
              </w:rPr>
            </w:pPr>
          </w:p>
        </w:tc>
      </w:tr>
      <w:tr>
        <w:trPr>
          <w:trHeight w:val="203" w:hRule="atLeast"/>
        </w:trPr>
        <w:tc>
          <w:tcPr>
            <w:tcW w:w="4548" w:type="dxa"/>
            <w:shd w:val="clear" w:color="auto" w:fill="CCEDFF"/>
          </w:tcPr>
          <w:p>
            <w:pPr>
              <w:pStyle w:val="TableParagraph"/>
              <w:rPr>
                <w:sz w:val="14"/>
              </w:rPr>
            </w:pPr>
          </w:p>
        </w:tc>
        <w:tc>
          <w:tcPr>
            <w:tcW w:w="1418" w:type="dxa"/>
            <w:gridSpan w:val="2"/>
            <w:shd w:val="clear" w:color="auto" w:fill="CCEDFF"/>
          </w:tcPr>
          <w:p>
            <w:pPr>
              <w:pStyle w:val="TableParagraph"/>
              <w:rPr>
                <w:sz w:val="14"/>
              </w:rPr>
            </w:pPr>
          </w:p>
        </w:tc>
        <w:tc>
          <w:tcPr>
            <w:tcW w:w="1497" w:type="dxa"/>
            <w:shd w:val="clear" w:color="auto" w:fill="CCEDFF"/>
          </w:tcPr>
          <w:p>
            <w:pPr>
              <w:pStyle w:val="TableParagraph"/>
              <w:rPr>
                <w:sz w:val="14"/>
              </w:rPr>
            </w:pPr>
          </w:p>
        </w:tc>
        <w:tc>
          <w:tcPr>
            <w:tcW w:w="1355" w:type="dxa"/>
            <w:shd w:val="clear" w:color="auto" w:fill="CCEDFF"/>
          </w:tcPr>
          <w:p>
            <w:pPr>
              <w:pStyle w:val="TableParagraph"/>
              <w:rPr>
                <w:sz w:val="14"/>
              </w:rPr>
            </w:pPr>
          </w:p>
        </w:tc>
        <w:tc>
          <w:tcPr>
            <w:tcW w:w="1701" w:type="dxa"/>
            <w:gridSpan w:val="3"/>
            <w:shd w:val="clear" w:color="auto" w:fill="CCEDFF"/>
          </w:tcPr>
          <w:p>
            <w:pPr>
              <w:pStyle w:val="TableParagraph"/>
              <w:rPr>
                <w:sz w:val="14"/>
              </w:rPr>
            </w:pPr>
          </w:p>
        </w:tc>
        <w:tc>
          <w:tcPr>
            <w:tcW w:w="1004" w:type="dxa"/>
            <w:gridSpan w:val="2"/>
            <w:shd w:val="clear" w:color="auto" w:fill="CCEDFF"/>
          </w:tcPr>
          <w:p>
            <w:pPr>
              <w:pStyle w:val="TableParagraph"/>
              <w:rPr>
                <w:sz w:val="14"/>
              </w:rPr>
            </w:pPr>
          </w:p>
        </w:tc>
      </w:tr>
      <w:tr>
        <w:trPr>
          <w:trHeight w:val="203" w:hRule="atLeast"/>
        </w:trPr>
        <w:tc>
          <w:tcPr>
            <w:tcW w:w="4548" w:type="dxa"/>
          </w:tcPr>
          <w:p>
            <w:pPr>
              <w:pStyle w:val="TableParagraph"/>
              <w:spacing w:line="180" w:lineRule="exact" w:before="3"/>
              <w:rPr>
                <w:sz w:val="16"/>
              </w:rPr>
            </w:pPr>
            <w:r>
              <w:rPr>
                <w:w w:val="105"/>
                <w:sz w:val="16"/>
              </w:rPr>
              <w:t>Equity</w:t>
            </w:r>
            <w:r>
              <w:rPr>
                <w:spacing w:val="-9"/>
                <w:w w:val="105"/>
                <w:sz w:val="16"/>
              </w:rPr>
              <w:t> </w:t>
            </w:r>
            <w:r>
              <w:rPr>
                <w:w w:val="105"/>
                <w:sz w:val="16"/>
              </w:rPr>
              <w:t>in</w:t>
            </w:r>
            <w:r>
              <w:rPr>
                <w:spacing w:val="-9"/>
                <w:w w:val="105"/>
                <w:sz w:val="16"/>
              </w:rPr>
              <w:t> </w:t>
            </w:r>
            <w:r>
              <w:rPr>
                <w:w w:val="105"/>
                <w:sz w:val="16"/>
              </w:rPr>
              <w:t>earnings</w:t>
            </w:r>
            <w:r>
              <w:rPr>
                <w:spacing w:val="-9"/>
                <w:w w:val="105"/>
                <w:sz w:val="16"/>
              </w:rPr>
              <w:t> </w:t>
            </w:r>
            <w:r>
              <w:rPr>
                <w:w w:val="105"/>
                <w:sz w:val="16"/>
              </w:rPr>
              <w:t>(losses)</w:t>
            </w:r>
            <w:r>
              <w:rPr>
                <w:spacing w:val="-9"/>
                <w:w w:val="105"/>
                <w:sz w:val="16"/>
              </w:rPr>
              <w:t> </w:t>
            </w:r>
            <w:r>
              <w:rPr>
                <w:w w:val="105"/>
                <w:sz w:val="16"/>
              </w:rPr>
              <w:t>of</w:t>
            </w:r>
            <w:r>
              <w:rPr>
                <w:spacing w:val="-9"/>
                <w:w w:val="105"/>
                <w:sz w:val="16"/>
              </w:rPr>
              <w:t> </w:t>
            </w:r>
            <w:r>
              <w:rPr>
                <w:w w:val="105"/>
                <w:sz w:val="16"/>
              </w:rPr>
              <w:t>affiliated</w:t>
            </w:r>
            <w:r>
              <w:rPr>
                <w:spacing w:val="-9"/>
                <w:w w:val="105"/>
                <w:sz w:val="16"/>
              </w:rPr>
              <w:t> </w:t>
            </w:r>
            <w:r>
              <w:rPr>
                <w:spacing w:val="-2"/>
                <w:w w:val="105"/>
                <w:sz w:val="16"/>
              </w:rPr>
              <w:t>companies</w:t>
            </w:r>
          </w:p>
        </w:tc>
        <w:tc>
          <w:tcPr>
            <w:tcW w:w="1418" w:type="dxa"/>
            <w:gridSpan w:val="2"/>
          </w:tcPr>
          <w:p>
            <w:pPr>
              <w:pStyle w:val="TableParagraph"/>
              <w:tabs>
                <w:tab w:pos="967" w:val="left" w:leader="none"/>
              </w:tabs>
              <w:spacing w:line="180" w:lineRule="exact" w:before="3"/>
              <w:ind w:left="-1"/>
              <w:rPr>
                <w:b/>
                <w:sz w:val="16"/>
              </w:rPr>
            </w:pPr>
            <w:r>
              <w:rPr>
                <w:b/>
                <w:spacing w:val="-10"/>
                <w:w w:val="105"/>
                <w:sz w:val="16"/>
              </w:rPr>
              <w:t>$</w:t>
            </w:r>
            <w:r>
              <w:rPr>
                <w:b/>
                <w:sz w:val="16"/>
              </w:rPr>
              <w:tab/>
            </w:r>
            <w:r>
              <w:rPr>
                <w:b/>
                <w:spacing w:val="-5"/>
                <w:w w:val="105"/>
                <w:sz w:val="16"/>
              </w:rPr>
              <w:t>35</w:t>
            </w:r>
          </w:p>
        </w:tc>
        <w:tc>
          <w:tcPr>
            <w:tcW w:w="1497" w:type="dxa"/>
          </w:tcPr>
          <w:p>
            <w:pPr>
              <w:pStyle w:val="TableParagraph"/>
              <w:tabs>
                <w:tab w:pos="971" w:val="left" w:leader="none"/>
              </w:tabs>
              <w:spacing w:line="180" w:lineRule="exact" w:before="3"/>
              <w:ind w:left="59"/>
              <w:rPr>
                <w:sz w:val="16"/>
              </w:rPr>
            </w:pPr>
            <w:r>
              <w:rPr>
                <w:spacing w:val="-10"/>
                <w:w w:val="105"/>
                <w:sz w:val="16"/>
              </w:rPr>
              <w:t>$</w:t>
            </w:r>
            <w:r>
              <w:rPr>
                <w:sz w:val="16"/>
              </w:rPr>
              <w:tab/>
            </w:r>
            <w:r>
              <w:rPr>
                <w:spacing w:val="-4"/>
                <w:w w:val="105"/>
                <w:sz w:val="16"/>
              </w:rPr>
              <w:t>(25)</w:t>
            </w:r>
          </w:p>
        </w:tc>
        <w:tc>
          <w:tcPr>
            <w:tcW w:w="1355" w:type="dxa"/>
          </w:tcPr>
          <w:p>
            <w:pPr>
              <w:pStyle w:val="TableParagraph"/>
              <w:tabs>
                <w:tab w:pos="982" w:val="left" w:leader="none"/>
              </w:tabs>
              <w:spacing w:line="180" w:lineRule="exact" w:before="3"/>
              <w:ind w:left="14"/>
              <w:rPr>
                <w:sz w:val="16"/>
              </w:rPr>
            </w:pPr>
            <w:r>
              <w:rPr>
                <w:spacing w:val="-10"/>
                <w:w w:val="105"/>
                <w:sz w:val="16"/>
              </w:rPr>
              <w:t>$</w:t>
            </w:r>
            <w:r>
              <w:rPr>
                <w:sz w:val="16"/>
              </w:rPr>
              <w:tab/>
            </w:r>
            <w:r>
              <w:rPr>
                <w:spacing w:val="-5"/>
                <w:w w:val="105"/>
                <w:sz w:val="16"/>
              </w:rPr>
              <w:t>17</w:t>
            </w:r>
          </w:p>
        </w:tc>
        <w:tc>
          <w:tcPr>
            <w:tcW w:w="1701" w:type="dxa"/>
            <w:gridSpan w:val="3"/>
          </w:tcPr>
          <w:p>
            <w:pPr>
              <w:pStyle w:val="TableParagraph"/>
              <w:spacing w:line="180" w:lineRule="exact" w:before="3"/>
              <w:ind w:right="466"/>
              <w:jc w:val="right"/>
              <w:rPr>
                <w:sz w:val="16"/>
              </w:rPr>
            </w:pPr>
            <w:r>
              <w:rPr>
                <w:spacing w:val="-10"/>
                <w:w w:val="105"/>
                <w:sz w:val="16"/>
              </w:rPr>
              <w:t>*</w:t>
            </w:r>
          </w:p>
        </w:tc>
        <w:tc>
          <w:tcPr>
            <w:tcW w:w="1004" w:type="dxa"/>
            <w:gridSpan w:val="2"/>
          </w:tcPr>
          <w:p>
            <w:pPr>
              <w:pStyle w:val="TableParagraph"/>
              <w:spacing w:line="180" w:lineRule="exact" w:before="3"/>
              <w:ind w:right="120"/>
              <w:jc w:val="right"/>
              <w:rPr>
                <w:sz w:val="16"/>
              </w:rPr>
            </w:pPr>
            <w:r>
              <w:rPr>
                <w:spacing w:val="-10"/>
                <w:w w:val="105"/>
                <w:sz w:val="16"/>
              </w:rPr>
              <w:t>*</w:t>
            </w:r>
          </w:p>
        </w:tc>
      </w:tr>
      <w:tr>
        <w:trPr>
          <w:trHeight w:val="203" w:hRule="atLeast"/>
        </w:trPr>
        <w:tc>
          <w:tcPr>
            <w:tcW w:w="4548" w:type="dxa"/>
            <w:shd w:val="clear" w:color="auto" w:fill="CCEDFF"/>
          </w:tcPr>
          <w:p>
            <w:pPr>
              <w:pStyle w:val="TableParagraph"/>
              <w:spacing w:line="180" w:lineRule="exact" w:before="3"/>
              <w:ind w:left="152"/>
              <w:rPr>
                <w:sz w:val="16"/>
              </w:rPr>
            </w:pPr>
            <w:r>
              <w:rPr>
                <w:w w:val="105"/>
                <w:sz w:val="16"/>
              </w:rPr>
              <w:t>(as</w:t>
            </w:r>
            <w:r>
              <w:rPr>
                <w:spacing w:val="-5"/>
                <w:w w:val="105"/>
                <w:sz w:val="16"/>
              </w:rPr>
              <w:t> </w:t>
            </w:r>
            <w:r>
              <w:rPr>
                <w:w w:val="105"/>
                <w:sz w:val="16"/>
              </w:rPr>
              <w:t>a</w:t>
            </w:r>
            <w:r>
              <w:rPr>
                <w:spacing w:val="-4"/>
                <w:w w:val="105"/>
                <w:sz w:val="16"/>
              </w:rPr>
              <w:t> </w:t>
            </w:r>
            <w:r>
              <w:rPr>
                <w:w w:val="105"/>
                <w:sz w:val="16"/>
              </w:rPr>
              <w:t>%</w:t>
            </w:r>
            <w:r>
              <w:rPr>
                <w:spacing w:val="-4"/>
                <w:w w:val="105"/>
                <w:sz w:val="16"/>
              </w:rPr>
              <w:t> </w:t>
            </w:r>
            <w:r>
              <w:rPr>
                <w:w w:val="105"/>
                <w:sz w:val="16"/>
              </w:rPr>
              <w:t>of</w:t>
            </w:r>
            <w:r>
              <w:rPr>
                <w:spacing w:val="-5"/>
                <w:w w:val="105"/>
                <w:sz w:val="16"/>
              </w:rPr>
              <w:t> </w:t>
            </w:r>
            <w:r>
              <w:rPr>
                <w:w w:val="105"/>
                <w:sz w:val="16"/>
              </w:rPr>
              <w:t>net</w:t>
            </w:r>
            <w:r>
              <w:rPr>
                <w:spacing w:val="-4"/>
                <w:w w:val="105"/>
                <w:sz w:val="16"/>
              </w:rPr>
              <w:t> </w:t>
            </w:r>
            <w:r>
              <w:rPr>
                <w:spacing w:val="-2"/>
                <w:w w:val="105"/>
                <w:sz w:val="16"/>
              </w:rPr>
              <w:t>sales)</w:t>
            </w:r>
          </w:p>
        </w:tc>
        <w:tc>
          <w:tcPr>
            <w:tcW w:w="1418" w:type="dxa"/>
            <w:gridSpan w:val="2"/>
            <w:shd w:val="clear" w:color="auto" w:fill="CCEDFF"/>
          </w:tcPr>
          <w:p>
            <w:pPr>
              <w:pStyle w:val="TableParagraph"/>
              <w:spacing w:line="180" w:lineRule="exact" w:before="3"/>
              <w:ind w:right="117"/>
              <w:jc w:val="right"/>
              <w:rPr>
                <w:b/>
                <w:sz w:val="16"/>
              </w:rPr>
            </w:pPr>
            <w:r>
              <w:rPr>
                <w:b/>
                <w:spacing w:val="-5"/>
                <w:w w:val="105"/>
                <w:sz w:val="16"/>
              </w:rPr>
              <w:t>0%</w:t>
            </w:r>
          </w:p>
        </w:tc>
        <w:tc>
          <w:tcPr>
            <w:tcW w:w="1497" w:type="dxa"/>
            <w:shd w:val="clear" w:color="auto" w:fill="CCEDFF"/>
          </w:tcPr>
          <w:p>
            <w:pPr>
              <w:pStyle w:val="TableParagraph"/>
              <w:spacing w:line="180" w:lineRule="exact" w:before="3"/>
              <w:ind w:right="108"/>
              <w:jc w:val="right"/>
              <w:rPr>
                <w:sz w:val="16"/>
              </w:rPr>
            </w:pPr>
            <w:r>
              <w:rPr>
                <w:spacing w:val="-4"/>
                <w:w w:val="105"/>
                <w:sz w:val="16"/>
              </w:rPr>
              <w:t>(0)%</w:t>
            </w:r>
          </w:p>
        </w:tc>
        <w:tc>
          <w:tcPr>
            <w:tcW w:w="1355" w:type="dxa"/>
            <w:shd w:val="clear" w:color="auto" w:fill="CCEDFF"/>
          </w:tcPr>
          <w:p>
            <w:pPr>
              <w:pStyle w:val="TableParagraph"/>
              <w:spacing w:line="180" w:lineRule="exact" w:before="3"/>
              <w:ind w:right="66"/>
              <w:jc w:val="right"/>
              <w:rPr>
                <w:sz w:val="16"/>
              </w:rPr>
            </w:pPr>
            <w:r>
              <w:rPr>
                <w:spacing w:val="-5"/>
                <w:w w:val="105"/>
                <w:sz w:val="16"/>
              </w:rPr>
              <w:t>0%</w:t>
            </w:r>
          </w:p>
        </w:tc>
        <w:tc>
          <w:tcPr>
            <w:tcW w:w="1701" w:type="dxa"/>
            <w:gridSpan w:val="3"/>
            <w:shd w:val="clear" w:color="auto" w:fill="CCEDFF"/>
          </w:tcPr>
          <w:p>
            <w:pPr>
              <w:pStyle w:val="TableParagraph"/>
              <w:rPr>
                <w:sz w:val="14"/>
              </w:rPr>
            </w:pPr>
          </w:p>
        </w:tc>
        <w:tc>
          <w:tcPr>
            <w:tcW w:w="1004" w:type="dxa"/>
            <w:gridSpan w:val="2"/>
            <w:shd w:val="clear" w:color="auto" w:fill="CCEDFF"/>
          </w:tcPr>
          <w:p>
            <w:pPr>
              <w:pStyle w:val="TableParagraph"/>
              <w:rPr>
                <w:sz w:val="14"/>
              </w:rPr>
            </w:pPr>
          </w:p>
        </w:tc>
      </w:tr>
      <w:tr>
        <w:trPr>
          <w:trHeight w:val="203" w:hRule="atLeast"/>
        </w:trPr>
        <w:tc>
          <w:tcPr>
            <w:tcW w:w="4548" w:type="dxa"/>
          </w:tcPr>
          <w:p>
            <w:pPr>
              <w:pStyle w:val="TableParagraph"/>
              <w:rPr>
                <w:sz w:val="14"/>
              </w:rPr>
            </w:pPr>
          </w:p>
        </w:tc>
        <w:tc>
          <w:tcPr>
            <w:tcW w:w="1418" w:type="dxa"/>
            <w:gridSpan w:val="2"/>
          </w:tcPr>
          <w:p>
            <w:pPr>
              <w:pStyle w:val="TableParagraph"/>
              <w:rPr>
                <w:sz w:val="14"/>
              </w:rPr>
            </w:pPr>
          </w:p>
        </w:tc>
        <w:tc>
          <w:tcPr>
            <w:tcW w:w="1497" w:type="dxa"/>
          </w:tcPr>
          <w:p>
            <w:pPr>
              <w:pStyle w:val="TableParagraph"/>
              <w:rPr>
                <w:sz w:val="14"/>
              </w:rPr>
            </w:pPr>
          </w:p>
        </w:tc>
        <w:tc>
          <w:tcPr>
            <w:tcW w:w="1355" w:type="dxa"/>
          </w:tcPr>
          <w:p>
            <w:pPr>
              <w:pStyle w:val="TableParagraph"/>
              <w:rPr>
                <w:sz w:val="14"/>
              </w:rPr>
            </w:pPr>
          </w:p>
        </w:tc>
        <w:tc>
          <w:tcPr>
            <w:tcW w:w="1701" w:type="dxa"/>
            <w:gridSpan w:val="3"/>
          </w:tcPr>
          <w:p>
            <w:pPr>
              <w:pStyle w:val="TableParagraph"/>
              <w:rPr>
                <w:sz w:val="14"/>
              </w:rPr>
            </w:pPr>
          </w:p>
        </w:tc>
        <w:tc>
          <w:tcPr>
            <w:tcW w:w="1004" w:type="dxa"/>
            <w:gridSpan w:val="2"/>
          </w:tcPr>
          <w:p>
            <w:pPr>
              <w:pStyle w:val="TableParagraph"/>
              <w:rPr>
                <w:sz w:val="14"/>
              </w:rPr>
            </w:pPr>
          </w:p>
        </w:tc>
      </w:tr>
      <w:tr>
        <w:trPr>
          <w:trHeight w:val="203" w:hRule="atLeast"/>
        </w:trPr>
        <w:tc>
          <w:tcPr>
            <w:tcW w:w="4548" w:type="dxa"/>
            <w:shd w:val="clear" w:color="auto" w:fill="CCEDFF"/>
          </w:tcPr>
          <w:p>
            <w:pPr>
              <w:pStyle w:val="TableParagraph"/>
              <w:spacing w:line="180" w:lineRule="exact" w:before="3"/>
              <w:rPr>
                <w:sz w:val="16"/>
              </w:rPr>
            </w:pPr>
            <w:r>
              <w:rPr>
                <w:sz w:val="16"/>
              </w:rPr>
              <w:t>Translated</w:t>
            </w:r>
            <w:r>
              <w:rPr>
                <w:spacing w:val="14"/>
                <w:sz w:val="16"/>
              </w:rPr>
              <w:t> </w:t>
            </w:r>
            <w:r>
              <w:rPr>
                <w:sz w:val="16"/>
              </w:rPr>
              <w:t>earnings</w:t>
            </w:r>
            <w:r>
              <w:rPr>
                <w:spacing w:val="14"/>
                <w:sz w:val="16"/>
              </w:rPr>
              <w:t> </w:t>
            </w:r>
            <w:r>
              <w:rPr>
                <w:sz w:val="16"/>
              </w:rPr>
              <w:t>contract</w:t>
            </w:r>
            <w:r>
              <w:rPr>
                <w:spacing w:val="15"/>
                <w:sz w:val="16"/>
              </w:rPr>
              <w:t> </w:t>
            </w:r>
            <w:r>
              <w:rPr>
                <w:sz w:val="16"/>
              </w:rPr>
              <w:t>gain</w:t>
            </w:r>
            <w:r>
              <w:rPr>
                <w:spacing w:val="14"/>
                <w:sz w:val="16"/>
              </w:rPr>
              <w:t> </w:t>
            </w:r>
            <w:r>
              <w:rPr>
                <w:sz w:val="16"/>
              </w:rPr>
              <w:t>(loss),</w:t>
            </w:r>
            <w:r>
              <w:rPr>
                <w:spacing w:val="15"/>
                <w:sz w:val="16"/>
              </w:rPr>
              <w:t> </w:t>
            </w:r>
            <w:r>
              <w:rPr>
                <w:spacing w:val="-5"/>
                <w:sz w:val="16"/>
              </w:rPr>
              <w:t>net</w:t>
            </w:r>
          </w:p>
        </w:tc>
        <w:tc>
          <w:tcPr>
            <w:tcW w:w="1418" w:type="dxa"/>
            <w:gridSpan w:val="2"/>
            <w:shd w:val="clear" w:color="auto" w:fill="CCEDFF"/>
          </w:tcPr>
          <w:p>
            <w:pPr>
              <w:pStyle w:val="TableParagraph"/>
              <w:tabs>
                <w:tab w:pos="884" w:val="left" w:leader="none"/>
              </w:tabs>
              <w:spacing w:line="180" w:lineRule="exact" w:before="3"/>
              <w:ind w:left="-1"/>
              <w:rPr>
                <w:b/>
                <w:sz w:val="16"/>
              </w:rPr>
            </w:pPr>
            <w:r>
              <w:rPr>
                <w:b/>
                <w:spacing w:val="-10"/>
                <w:w w:val="105"/>
                <w:sz w:val="16"/>
              </w:rPr>
              <w:t>$</w:t>
            </w:r>
            <w:r>
              <w:rPr>
                <w:b/>
                <w:sz w:val="16"/>
              </w:rPr>
              <w:tab/>
            </w:r>
            <w:r>
              <w:rPr>
                <w:b/>
                <w:spacing w:val="-5"/>
                <w:w w:val="105"/>
                <w:sz w:val="16"/>
              </w:rPr>
              <w:t>354</w:t>
            </w:r>
          </w:p>
        </w:tc>
        <w:tc>
          <w:tcPr>
            <w:tcW w:w="1497" w:type="dxa"/>
            <w:shd w:val="clear" w:color="auto" w:fill="CCEDFF"/>
          </w:tcPr>
          <w:p>
            <w:pPr>
              <w:pStyle w:val="TableParagraph"/>
              <w:tabs>
                <w:tab w:pos="971" w:val="left" w:leader="none"/>
              </w:tabs>
              <w:spacing w:line="180" w:lineRule="exact" w:before="3"/>
              <w:ind w:left="59"/>
              <w:rPr>
                <w:sz w:val="16"/>
              </w:rPr>
            </w:pPr>
            <w:r>
              <w:rPr>
                <w:spacing w:val="-10"/>
                <w:w w:val="105"/>
                <w:sz w:val="16"/>
              </w:rPr>
              <w:t>$</w:t>
            </w:r>
            <w:r>
              <w:rPr>
                <w:sz w:val="16"/>
              </w:rPr>
              <w:tab/>
            </w:r>
            <w:r>
              <w:rPr>
                <w:spacing w:val="-4"/>
                <w:w w:val="105"/>
                <w:sz w:val="16"/>
              </w:rPr>
              <w:t>(38)</w:t>
            </w:r>
          </w:p>
        </w:tc>
        <w:tc>
          <w:tcPr>
            <w:tcW w:w="1355" w:type="dxa"/>
            <w:shd w:val="clear" w:color="auto" w:fill="CCEDFF"/>
          </w:tcPr>
          <w:p>
            <w:pPr>
              <w:pStyle w:val="TableParagraph"/>
              <w:tabs>
                <w:tab w:pos="899" w:val="left" w:leader="none"/>
              </w:tabs>
              <w:spacing w:line="180" w:lineRule="exact" w:before="3"/>
              <w:ind w:left="14"/>
              <w:rPr>
                <w:sz w:val="16"/>
              </w:rPr>
            </w:pPr>
            <w:r>
              <w:rPr>
                <w:spacing w:val="-10"/>
                <w:w w:val="105"/>
                <w:sz w:val="16"/>
              </w:rPr>
              <w:t>$</w:t>
            </w:r>
            <w:r>
              <w:rPr>
                <w:sz w:val="16"/>
              </w:rPr>
              <w:tab/>
            </w:r>
            <w:r>
              <w:rPr>
                <w:spacing w:val="-5"/>
                <w:w w:val="105"/>
                <w:sz w:val="16"/>
              </w:rPr>
              <w:t>248</w:t>
            </w:r>
          </w:p>
        </w:tc>
        <w:tc>
          <w:tcPr>
            <w:tcW w:w="1701" w:type="dxa"/>
            <w:gridSpan w:val="3"/>
            <w:shd w:val="clear" w:color="auto" w:fill="CCEDFF"/>
          </w:tcPr>
          <w:p>
            <w:pPr>
              <w:pStyle w:val="TableParagraph"/>
              <w:spacing w:line="180" w:lineRule="exact" w:before="3"/>
              <w:ind w:right="466"/>
              <w:jc w:val="right"/>
              <w:rPr>
                <w:sz w:val="16"/>
              </w:rPr>
            </w:pPr>
            <w:r>
              <w:rPr>
                <w:spacing w:val="-10"/>
                <w:w w:val="105"/>
                <w:sz w:val="16"/>
              </w:rPr>
              <w:t>*</w:t>
            </w:r>
          </w:p>
        </w:tc>
        <w:tc>
          <w:tcPr>
            <w:tcW w:w="1004" w:type="dxa"/>
            <w:gridSpan w:val="2"/>
            <w:shd w:val="clear" w:color="auto" w:fill="CCEDFF"/>
          </w:tcPr>
          <w:p>
            <w:pPr>
              <w:pStyle w:val="TableParagraph"/>
              <w:spacing w:line="180" w:lineRule="exact" w:before="3"/>
              <w:ind w:right="120"/>
              <w:jc w:val="right"/>
              <w:rPr>
                <w:sz w:val="16"/>
              </w:rPr>
            </w:pPr>
            <w:r>
              <w:rPr>
                <w:spacing w:val="-10"/>
                <w:w w:val="105"/>
                <w:sz w:val="16"/>
              </w:rPr>
              <w:t>*</w:t>
            </w:r>
          </w:p>
        </w:tc>
      </w:tr>
      <w:tr>
        <w:trPr>
          <w:trHeight w:val="203" w:hRule="atLeast"/>
        </w:trPr>
        <w:tc>
          <w:tcPr>
            <w:tcW w:w="4548" w:type="dxa"/>
          </w:tcPr>
          <w:p>
            <w:pPr>
              <w:pStyle w:val="TableParagraph"/>
              <w:spacing w:line="180" w:lineRule="exact" w:before="3"/>
              <w:ind w:left="152"/>
              <w:rPr>
                <w:sz w:val="16"/>
              </w:rPr>
            </w:pPr>
            <w:r>
              <w:rPr>
                <w:w w:val="105"/>
                <w:sz w:val="16"/>
              </w:rPr>
              <w:t>(as</w:t>
            </w:r>
            <w:r>
              <w:rPr>
                <w:spacing w:val="-5"/>
                <w:w w:val="105"/>
                <w:sz w:val="16"/>
              </w:rPr>
              <w:t> </w:t>
            </w:r>
            <w:r>
              <w:rPr>
                <w:w w:val="105"/>
                <w:sz w:val="16"/>
              </w:rPr>
              <w:t>a</w:t>
            </w:r>
            <w:r>
              <w:rPr>
                <w:spacing w:val="-4"/>
                <w:w w:val="105"/>
                <w:sz w:val="16"/>
              </w:rPr>
              <w:t> </w:t>
            </w:r>
            <w:r>
              <w:rPr>
                <w:w w:val="105"/>
                <w:sz w:val="16"/>
              </w:rPr>
              <w:t>%</w:t>
            </w:r>
            <w:r>
              <w:rPr>
                <w:spacing w:val="-4"/>
                <w:w w:val="105"/>
                <w:sz w:val="16"/>
              </w:rPr>
              <w:t> </w:t>
            </w:r>
            <w:r>
              <w:rPr>
                <w:w w:val="105"/>
                <w:sz w:val="16"/>
              </w:rPr>
              <w:t>of</w:t>
            </w:r>
            <w:r>
              <w:rPr>
                <w:spacing w:val="-5"/>
                <w:w w:val="105"/>
                <w:sz w:val="16"/>
              </w:rPr>
              <w:t> </w:t>
            </w:r>
            <w:r>
              <w:rPr>
                <w:w w:val="105"/>
                <w:sz w:val="16"/>
              </w:rPr>
              <w:t>net</w:t>
            </w:r>
            <w:r>
              <w:rPr>
                <w:spacing w:val="-4"/>
                <w:w w:val="105"/>
                <w:sz w:val="16"/>
              </w:rPr>
              <w:t> </w:t>
            </w:r>
            <w:r>
              <w:rPr>
                <w:spacing w:val="-2"/>
                <w:w w:val="105"/>
                <w:sz w:val="16"/>
              </w:rPr>
              <w:t>sales)</w:t>
            </w:r>
          </w:p>
        </w:tc>
        <w:tc>
          <w:tcPr>
            <w:tcW w:w="1418" w:type="dxa"/>
            <w:gridSpan w:val="2"/>
          </w:tcPr>
          <w:p>
            <w:pPr>
              <w:pStyle w:val="TableParagraph"/>
              <w:spacing w:line="180" w:lineRule="exact" w:before="3"/>
              <w:ind w:right="117"/>
              <w:jc w:val="right"/>
              <w:rPr>
                <w:b/>
                <w:sz w:val="16"/>
              </w:rPr>
            </w:pPr>
            <w:r>
              <w:rPr>
                <w:b/>
                <w:spacing w:val="-5"/>
                <w:w w:val="105"/>
                <w:sz w:val="16"/>
              </w:rPr>
              <w:t>3%</w:t>
            </w:r>
          </w:p>
        </w:tc>
        <w:tc>
          <w:tcPr>
            <w:tcW w:w="1497" w:type="dxa"/>
          </w:tcPr>
          <w:p>
            <w:pPr>
              <w:pStyle w:val="TableParagraph"/>
              <w:spacing w:line="180" w:lineRule="exact" w:before="3"/>
              <w:ind w:right="108"/>
              <w:jc w:val="right"/>
              <w:rPr>
                <w:sz w:val="16"/>
              </w:rPr>
            </w:pPr>
            <w:r>
              <w:rPr>
                <w:spacing w:val="-4"/>
                <w:w w:val="105"/>
                <w:sz w:val="16"/>
              </w:rPr>
              <w:t>(0)%</w:t>
            </w:r>
          </w:p>
        </w:tc>
        <w:tc>
          <w:tcPr>
            <w:tcW w:w="1355" w:type="dxa"/>
          </w:tcPr>
          <w:p>
            <w:pPr>
              <w:pStyle w:val="TableParagraph"/>
              <w:spacing w:line="180" w:lineRule="exact" w:before="3"/>
              <w:ind w:right="66"/>
              <w:jc w:val="right"/>
              <w:rPr>
                <w:sz w:val="16"/>
              </w:rPr>
            </w:pPr>
            <w:r>
              <w:rPr>
                <w:spacing w:val="-5"/>
                <w:w w:val="105"/>
                <w:sz w:val="16"/>
              </w:rPr>
              <w:t>2%</w:t>
            </w:r>
          </w:p>
        </w:tc>
        <w:tc>
          <w:tcPr>
            <w:tcW w:w="1701" w:type="dxa"/>
            <w:gridSpan w:val="3"/>
          </w:tcPr>
          <w:p>
            <w:pPr>
              <w:pStyle w:val="TableParagraph"/>
              <w:rPr>
                <w:sz w:val="14"/>
              </w:rPr>
            </w:pPr>
          </w:p>
        </w:tc>
        <w:tc>
          <w:tcPr>
            <w:tcW w:w="1004" w:type="dxa"/>
            <w:gridSpan w:val="2"/>
          </w:tcPr>
          <w:p>
            <w:pPr>
              <w:pStyle w:val="TableParagraph"/>
              <w:rPr>
                <w:sz w:val="14"/>
              </w:rPr>
            </w:pPr>
          </w:p>
        </w:tc>
      </w:tr>
      <w:tr>
        <w:trPr>
          <w:trHeight w:val="203" w:hRule="atLeast"/>
        </w:trPr>
        <w:tc>
          <w:tcPr>
            <w:tcW w:w="4548" w:type="dxa"/>
            <w:shd w:val="clear" w:color="auto" w:fill="CCEDFF"/>
          </w:tcPr>
          <w:p>
            <w:pPr>
              <w:pStyle w:val="TableParagraph"/>
              <w:rPr>
                <w:sz w:val="14"/>
              </w:rPr>
            </w:pPr>
          </w:p>
        </w:tc>
        <w:tc>
          <w:tcPr>
            <w:tcW w:w="1418" w:type="dxa"/>
            <w:gridSpan w:val="2"/>
            <w:shd w:val="clear" w:color="auto" w:fill="CCEDFF"/>
          </w:tcPr>
          <w:p>
            <w:pPr>
              <w:pStyle w:val="TableParagraph"/>
              <w:rPr>
                <w:sz w:val="14"/>
              </w:rPr>
            </w:pPr>
          </w:p>
        </w:tc>
        <w:tc>
          <w:tcPr>
            <w:tcW w:w="1497" w:type="dxa"/>
            <w:shd w:val="clear" w:color="auto" w:fill="CCEDFF"/>
          </w:tcPr>
          <w:p>
            <w:pPr>
              <w:pStyle w:val="TableParagraph"/>
              <w:rPr>
                <w:sz w:val="14"/>
              </w:rPr>
            </w:pPr>
          </w:p>
        </w:tc>
        <w:tc>
          <w:tcPr>
            <w:tcW w:w="1355" w:type="dxa"/>
            <w:shd w:val="clear" w:color="auto" w:fill="CCEDFF"/>
          </w:tcPr>
          <w:p>
            <w:pPr>
              <w:pStyle w:val="TableParagraph"/>
              <w:rPr>
                <w:sz w:val="14"/>
              </w:rPr>
            </w:pPr>
          </w:p>
        </w:tc>
        <w:tc>
          <w:tcPr>
            <w:tcW w:w="1701" w:type="dxa"/>
            <w:gridSpan w:val="3"/>
            <w:shd w:val="clear" w:color="auto" w:fill="CCEDFF"/>
          </w:tcPr>
          <w:p>
            <w:pPr>
              <w:pStyle w:val="TableParagraph"/>
              <w:rPr>
                <w:sz w:val="14"/>
              </w:rPr>
            </w:pPr>
          </w:p>
        </w:tc>
        <w:tc>
          <w:tcPr>
            <w:tcW w:w="1004" w:type="dxa"/>
            <w:gridSpan w:val="2"/>
            <w:shd w:val="clear" w:color="auto" w:fill="CCEDFF"/>
          </w:tcPr>
          <w:p>
            <w:pPr>
              <w:pStyle w:val="TableParagraph"/>
              <w:rPr>
                <w:sz w:val="14"/>
              </w:rPr>
            </w:pPr>
          </w:p>
        </w:tc>
      </w:tr>
      <w:tr>
        <w:trPr>
          <w:trHeight w:val="203" w:hRule="atLeast"/>
        </w:trPr>
        <w:tc>
          <w:tcPr>
            <w:tcW w:w="4548" w:type="dxa"/>
          </w:tcPr>
          <w:p>
            <w:pPr>
              <w:pStyle w:val="TableParagraph"/>
              <w:spacing w:line="180" w:lineRule="exact" w:before="3"/>
              <w:rPr>
                <w:sz w:val="16"/>
              </w:rPr>
            </w:pPr>
            <w:r>
              <w:rPr>
                <w:sz w:val="16"/>
              </w:rPr>
              <w:t>Transaction-related</w:t>
            </w:r>
            <w:r>
              <w:rPr>
                <w:spacing w:val="24"/>
                <w:sz w:val="16"/>
              </w:rPr>
              <w:t> </w:t>
            </w:r>
            <w:r>
              <w:rPr>
                <w:sz w:val="16"/>
              </w:rPr>
              <w:t>gain,</w:t>
            </w:r>
            <w:r>
              <w:rPr>
                <w:spacing w:val="24"/>
                <w:sz w:val="16"/>
              </w:rPr>
              <w:t> </w:t>
            </w:r>
            <w:r>
              <w:rPr>
                <w:spacing w:val="-5"/>
                <w:sz w:val="16"/>
              </w:rPr>
              <w:t>net</w:t>
            </w:r>
          </w:p>
        </w:tc>
        <w:tc>
          <w:tcPr>
            <w:tcW w:w="1418" w:type="dxa"/>
            <w:gridSpan w:val="2"/>
          </w:tcPr>
          <w:p>
            <w:pPr>
              <w:pStyle w:val="TableParagraph"/>
              <w:rPr>
                <w:sz w:val="14"/>
              </w:rPr>
            </w:pPr>
          </w:p>
        </w:tc>
        <w:tc>
          <w:tcPr>
            <w:tcW w:w="1497" w:type="dxa"/>
          </w:tcPr>
          <w:p>
            <w:pPr>
              <w:pStyle w:val="TableParagraph"/>
              <w:tabs>
                <w:tab w:pos="944" w:val="left" w:leader="none"/>
              </w:tabs>
              <w:spacing w:line="180" w:lineRule="exact" w:before="3"/>
              <w:ind w:left="59"/>
              <w:rPr>
                <w:sz w:val="16"/>
              </w:rPr>
            </w:pPr>
            <w:r>
              <w:rPr>
                <w:spacing w:val="-10"/>
                <w:w w:val="105"/>
                <w:sz w:val="16"/>
              </w:rPr>
              <w:t>$</w:t>
            </w:r>
            <w:r>
              <w:rPr>
                <w:sz w:val="16"/>
              </w:rPr>
              <w:tab/>
            </w:r>
            <w:r>
              <w:rPr>
                <w:spacing w:val="-5"/>
                <w:w w:val="105"/>
                <w:sz w:val="16"/>
              </w:rPr>
              <w:t>498</w:t>
            </w:r>
          </w:p>
        </w:tc>
        <w:tc>
          <w:tcPr>
            <w:tcW w:w="1355" w:type="dxa"/>
          </w:tcPr>
          <w:p>
            <w:pPr>
              <w:pStyle w:val="TableParagraph"/>
              <w:rPr>
                <w:sz w:val="14"/>
              </w:rPr>
            </w:pPr>
          </w:p>
        </w:tc>
        <w:tc>
          <w:tcPr>
            <w:tcW w:w="1701" w:type="dxa"/>
            <w:gridSpan w:val="3"/>
          </w:tcPr>
          <w:p>
            <w:pPr>
              <w:pStyle w:val="TableParagraph"/>
              <w:spacing w:line="180" w:lineRule="exact" w:before="3"/>
              <w:ind w:right="466"/>
              <w:jc w:val="right"/>
              <w:rPr>
                <w:sz w:val="16"/>
              </w:rPr>
            </w:pPr>
            <w:r>
              <w:rPr>
                <w:spacing w:val="-10"/>
                <w:w w:val="105"/>
                <w:sz w:val="16"/>
              </w:rPr>
              <w:t>*</w:t>
            </w:r>
          </w:p>
        </w:tc>
        <w:tc>
          <w:tcPr>
            <w:tcW w:w="1004" w:type="dxa"/>
            <w:gridSpan w:val="2"/>
          </w:tcPr>
          <w:p>
            <w:pPr>
              <w:pStyle w:val="TableParagraph"/>
              <w:spacing w:line="180" w:lineRule="exact" w:before="3"/>
              <w:ind w:right="120"/>
              <w:jc w:val="right"/>
              <w:rPr>
                <w:sz w:val="16"/>
              </w:rPr>
            </w:pPr>
            <w:r>
              <w:rPr>
                <w:spacing w:val="-10"/>
                <w:w w:val="105"/>
                <w:sz w:val="16"/>
              </w:rPr>
              <w:t>*</w:t>
            </w:r>
          </w:p>
        </w:tc>
      </w:tr>
      <w:tr>
        <w:trPr>
          <w:trHeight w:val="203" w:hRule="atLeast"/>
        </w:trPr>
        <w:tc>
          <w:tcPr>
            <w:tcW w:w="4548" w:type="dxa"/>
            <w:shd w:val="clear" w:color="auto" w:fill="CCEDFF"/>
          </w:tcPr>
          <w:p>
            <w:pPr>
              <w:pStyle w:val="TableParagraph"/>
              <w:spacing w:line="180" w:lineRule="exact" w:before="3"/>
              <w:ind w:left="152"/>
              <w:rPr>
                <w:sz w:val="16"/>
              </w:rPr>
            </w:pPr>
            <w:r>
              <w:rPr>
                <w:w w:val="105"/>
                <w:sz w:val="16"/>
              </w:rPr>
              <w:t>(as</w:t>
            </w:r>
            <w:r>
              <w:rPr>
                <w:spacing w:val="-5"/>
                <w:w w:val="105"/>
                <w:sz w:val="16"/>
              </w:rPr>
              <w:t> </w:t>
            </w:r>
            <w:r>
              <w:rPr>
                <w:w w:val="105"/>
                <w:sz w:val="16"/>
              </w:rPr>
              <w:t>a</w:t>
            </w:r>
            <w:r>
              <w:rPr>
                <w:spacing w:val="-4"/>
                <w:w w:val="105"/>
                <w:sz w:val="16"/>
              </w:rPr>
              <w:t> </w:t>
            </w:r>
            <w:r>
              <w:rPr>
                <w:w w:val="105"/>
                <w:sz w:val="16"/>
              </w:rPr>
              <w:t>%</w:t>
            </w:r>
            <w:r>
              <w:rPr>
                <w:spacing w:val="-4"/>
                <w:w w:val="105"/>
                <w:sz w:val="16"/>
              </w:rPr>
              <w:t> </w:t>
            </w:r>
            <w:r>
              <w:rPr>
                <w:w w:val="105"/>
                <w:sz w:val="16"/>
              </w:rPr>
              <w:t>of</w:t>
            </w:r>
            <w:r>
              <w:rPr>
                <w:spacing w:val="-5"/>
                <w:w w:val="105"/>
                <w:sz w:val="16"/>
              </w:rPr>
              <w:t> </w:t>
            </w:r>
            <w:r>
              <w:rPr>
                <w:w w:val="105"/>
                <w:sz w:val="16"/>
              </w:rPr>
              <w:t>net</w:t>
            </w:r>
            <w:r>
              <w:rPr>
                <w:spacing w:val="-4"/>
                <w:w w:val="105"/>
                <w:sz w:val="16"/>
              </w:rPr>
              <w:t> </w:t>
            </w:r>
            <w:r>
              <w:rPr>
                <w:spacing w:val="-2"/>
                <w:w w:val="105"/>
                <w:sz w:val="16"/>
              </w:rPr>
              <w:t>sales)</w:t>
            </w:r>
          </w:p>
        </w:tc>
        <w:tc>
          <w:tcPr>
            <w:tcW w:w="1418" w:type="dxa"/>
            <w:gridSpan w:val="2"/>
            <w:shd w:val="clear" w:color="auto" w:fill="CCEDFF"/>
          </w:tcPr>
          <w:p>
            <w:pPr>
              <w:pStyle w:val="TableParagraph"/>
              <w:rPr>
                <w:sz w:val="14"/>
              </w:rPr>
            </w:pPr>
          </w:p>
        </w:tc>
        <w:tc>
          <w:tcPr>
            <w:tcW w:w="1497" w:type="dxa"/>
            <w:shd w:val="clear" w:color="auto" w:fill="CCEDFF"/>
          </w:tcPr>
          <w:p>
            <w:pPr>
              <w:pStyle w:val="TableParagraph"/>
              <w:spacing w:line="180" w:lineRule="exact" w:before="3"/>
              <w:ind w:right="164"/>
              <w:jc w:val="right"/>
              <w:rPr>
                <w:sz w:val="16"/>
              </w:rPr>
            </w:pPr>
            <w:r>
              <w:rPr>
                <w:spacing w:val="-5"/>
                <w:w w:val="105"/>
                <w:sz w:val="16"/>
              </w:rPr>
              <w:t>4%</w:t>
            </w:r>
          </w:p>
        </w:tc>
        <w:tc>
          <w:tcPr>
            <w:tcW w:w="1355" w:type="dxa"/>
            <w:shd w:val="clear" w:color="auto" w:fill="CCEDFF"/>
          </w:tcPr>
          <w:p>
            <w:pPr>
              <w:pStyle w:val="TableParagraph"/>
              <w:rPr>
                <w:sz w:val="14"/>
              </w:rPr>
            </w:pPr>
          </w:p>
        </w:tc>
        <w:tc>
          <w:tcPr>
            <w:tcW w:w="1701" w:type="dxa"/>
            <w:gridSpan w:val="3"/>
            <w:shd w:val="clear" w:color="auto" w:fill="CCEDFF"/>
          </w:tcPr>
          <w:p>
            <w:pPr>
              <w:pStyle w:val="TableParagraph"/>
              <w:rPr>
                <w:sz w:val="14"/>
              </w:rPr>
            </w:pPr>
          </w:p>
        </w:tc>
        <w:tc>
          <w:tcPr>
            <w:tcW w:w="1004" w:type="dxa"/>
            <w:gridSpan w:val="2"/>
            <w:shd w:val="clear" w:color="auto" w:fill="CCEDFF"/>
          </w:tcPr>
          <w:p>
            <w:pPr>
              <w:pStyle w:val="TableParagraph"/>
              <w:rPr>
                <w:sz w:val="14"/>
              </w:rPr>
            </w:pPr>
          </w:p>
        </w:tc>
      </w:tr>
      <w:tr>
        <w:trPr>
          <w:trHeight w:val="203" w:hRule="atLeast"/>
        </w:trPr>
        <w:tc>
          <w:tcPr>
            <w:tcW w:w="4548" w:type="dxa"/>
          </w:tcPr>
          <w:p>
            <w:pPr>
              <w:pStyle w:val="TableParagraph"/>
              <w:rPr>
                <w:sz w:val="14"/>
              </w:rPr>
            </w:pPr>
          </w:p>
        </w:tc>
        <w:tc>
          <w:tcPr>
            <w:tcW w:w="1418" w:type="dxa"/>
            <w:gridSpan w:val="2"/>
          </w:tcPr>
          <w:p>
            <w:pPr>
              <w:pStyle w:val="TableParagraph"/>
              <w:rPr>
                <w:sz w:val="14"/>
              </w:rPr>
            </w:pPr>
          </w:p>
        </w:tc>
        <w:tc>
          <w:tcPr>
            <w:tcW w:w="1497" w:type="dxa"/>
          </w:tcPr>
          <w:p>
            <w:pPr>
              <w:pStyle w:val="TableParagraph"/>
              <w:rPr>
                <w:sz w:val="14"/>
              </w:rPr>
            </w:pPr>
          </w:p>
        </w:tc>
        <w:tc>
          <w:tcPr>
            <w:tcW w:w="1355" w:type="dxa"/>
          </w:tcPr>
          <w:p>
            <w:pPr>
              <w:pStyle w:val="TableParagraph"/>
              <w:rPr>
                <w:sz w:val="14"/>
              </w:rPr>
            </w:pPr>
          </w:p>
        </w:tc>
        <w:tc>
          <w:tcPr>
            <w:tcW w:w="1701" w:type="dxa"/>
            <w:gridSpan w:val="3"/>
          </w:tcPr>
          <w:p>
            <w:pPr>
              <w:pStyle w:val="TableParagraph"/>
              <w:rPr>
                <w:sz w:val="14"/>
              </w:rPr>
            </w:pPr>
          </w:p>
        </w:tc>
        <w:tc>
          <w:tcPr>
            <w:tcW w:w="1004" w:type="dxa"/>
            <w:gridSpan w:val="2"/>
          </w:tcPr>
          <w:p>
            <w:pPr>
              <w:pStyle w:val="TableParagraph"/>
              <w:rPr>
                <w:sz w:val="14"/>
              </w:rPr>
            </w:pPr>
          </w:p>
        </w:tc>
      </w:tr>
      <w:tr>
        <w:trPr>
          <w:trHeight w:val="203" w:hRule="atLeast"/>
        </w:trPr>
        <w:tc>
          <w:tcPr>
            <w:tcW w:w="4548" w:type="dxa"/>
            <w:shd w:val="clear" w:color="auto" w:fill="CCEDFF"/>
          </w:tcPr>
          <w:p>
            <w:pPr>
              <w:pStyle w:val="TableParagraph"/>
              <w:spacing w:line="180" w:lineRule="exact" w:before="3"/>
              <w:rPr>
                <w:sz w:val="16"/>
              </w:rPr>
            </w:pPr>
            <w:r>
              <w:rPr>
                <w:w w:val="105"/>
                <w:sz w:val="16"/>
              </w:rPr>
              <w:t>Income</w:t>
            </w:r>
            <w:r>
              <w:rPr>
                <w:spacing w:val="-11"/>
                <w:w w:val="105"/>
                <w:sz w:val="16"/>
              </w:rPr>
              <w:t> </w:t>
            </w:r>
            <w:r>
              <w:rPr>
                <w:w w:val="105"/>
                <w:sz w:val="16"/>
              </w:rPr>
              <w:t>before</w:t>
            </w:r>
            <w:r>
              <w:rPr>
                <w:spacing w:val="-10"/>
                <w:w w:val="105"/>
                <w:sz w:val="16"/>
              </w:rPr>
              <w:t> </w:t>
            </w:r>
            <w:r>
              <w:rPr>
                <w:w w:val="105"/>
                <w:sz w:val="16"/>
              </w:rPr>
              <w:t>income</w:t>
            </w:r>
            <w:r>
              <w:rPr>
                <w:spacing w:val="-10"/>
                <w:w w:val="105"/>
                <w:sz w:val="16"/>
              </w:rPr>
              <w:t> </w:t>
            </w:r>
            <w:r>
              <w:rPr>
                <w:spacing w:val="-2"/>
                <w:w w:val="105"/>
                <w:sz w:val="16"/>
              </w:rPr>
              <w:t>taxes</w:t>
            </w:r>
          </w:p>
        </w:tc>
        <w:tc>
          <w:tcPr>
            <w:tcW w:w="1418" w:type="dxa"/>
            <w:gridSpan w:val="2"/>
            <w:shd w:val="clear" w:color="auto" w:fill="CCEDFF"/>
          </w:tcPr>
          <w:p>
            <w:pPr>
              <w:pStyle w:val="TableParagraph"/>
              <w:tabs>
                <w:tab w:pos="760" w:val="left" w:leader="none"/>
              </w:tabs>
              <w:spacing w:line="180" w:lineRule="exact" w:before="3"/>
              <w:ind w:left="-1"/>
              <w:rPr>
                <w:b/>
                <w:sz w:val="16"/>
              </w:rPr>
            </w:pPr>
            <w:r>
              <w:rPr>
                <w:b/>
                <w:spacing w:val="-10"/>
                <w:w w:val="105"/>
                <w:sz w:val="16"/>
              </w:rPr>
              <w:t>$</w:t>
            </w:r>
            <w:r>
              <w:rPr>
                <w:b/>
                <w:sz w:val="16"/>
              </w:rPr>
              <w:tab/>
            </w:r>
            <w:r>
              <w:rPr>
                <w:b/>
                <w:spacing w:val="-4"/>
                <w:w w:val="105"/>
                <w:sz w:val="16"/>
              </w:rPr>
              <w:t>2,397</w:t>
            </w:r>
          </w:p>
        </w:tc>
        <w:tc>
          <w:tcPr>
            <w:tcW w:w="1497" w:type="dxa"/>
            <w:shd w:val="clear" w:color="auto" w:fill="CCEDFF"/>
          </w:tcPr>
          <w:p>
            <w:pPr>
              <w:pStyle w:val="TableParagraph"/>
              <w:tabs>
                <w:tab w:pos="944" w:val="left" w:leader="none"/>
              </w:tabs>
              <w:spacing w:line="180" w:lineRule="exact" w:before="3"/>
              <w:ind w:left="59"/>
              <w:rPr>
                <w:sz w:val="16"/>
              </w:rPr>
            </w:pPr>
            <w:r>
              <w:rPr>
                <w:spacing w:val="-10"/>
                <w:w w:val="105"/>
                <w:sz w:val="16"/>
              </w:rPr>
              <w:t>$</w:t>
            </w:r>
            <w:r>
              <w:rPr>
                <w:sz w:val="16"/>
              </w:rPr>
              <w:tab/>
            </w:r>
            <w:r>
              <w:rPr>
                <w:spacing w:val="-5"/>
                <w:w w:val="105"/>
                <w:sz w:val="16"/>
              </w:rPr>
              <w:t>623</w:t>
            </w:r>
          </w:p>
        </w:tc>
        <w:tc>
          <w:tcPr>
            <w:tcW w:w="1355" w:type="dxa"/>
            <w:shd w:val="clear" w:color="auto" w:fill="CCEDFF"/>
          </w:tcPr>
          <w:p>
            <w:pPr>
              <w:pStyle w:val="TableParagraph"/>
              <w:tabs>
                <w:tab w:pos="775" w:val="left" w:leader="none"/>
              </w:tabs>
              <w:spacing w:line="180" w:lineRule="exact" w:before="3"/>
              <w:ind w:left="14"/>
              <w:rPr>
                <w:sz w:val="16"/>
              </w:rPr>
            </w:pPr>
            <w:r>
              <w:rPr>
                <w:spacing w:val="-10"/>
                <w:w w:val="105"/>
                <w:sz w:val="16"/>
              </w:rPr>
              <w:t>$</w:t>
            </w:r>
            <w:r>
              <w:rPr>
                <w:sz w:val="16"/>
              </w:rPr>
              <w:tab/>
            </w:r>
            <w:r>
              <w:rPr>
                <w:spacing w:val="-4"/>
                <w:w w:val="105"/>
                <w:sz w:val="16"/>
              </w:rPr>
              <w:t>1,216</w:t>
            </w:r>
          </w:p>
        </w:tc>
        <w:tc>
          <w:tcPr>
            <w:tcW w:w="1701" w:type="dxa"/>
            <w:gridSpan w:val="3"/>
            <w:shd w:val="clear" w:color="auto" w:fill="CCEDFF"/>
          </w:tcPr>
          <w:p>
            <w:pPr>
              <w:pStyle w:val="TableParagraph"/>
              <w:spacing w:line="180" w:lineRule="exact" w:before="3"/>
              <w:ind w:left="984"/>
              <w:rPr>
                <w:sz w:val="16"/>
              </w:rPr>
            </w:pPr>
            <w:r>
              <w:rPr>
                <w:spacing w:val="-5"/>
                <w:w w:val="105"/>
                <w:sz w:val="16"/>
              </w:rPr>
              <w:t>285</w:t>
            </w:r>
          </w:p>
        </w:tc>
        <w:tc>
          <w:tcPr>
            <w:tcW w:w="1004" w:type="dxa"/>
            <w:gridSpan w:val="2"/>
            <w:shd w:val="clear" w:color="auto" w:fill="CCEDFF"/>
          </w:tcPr>
          <w:p>
            <w:pPr>
              <w:pStyle w:val="TableParagraph"/>
              <w:spacing w:line="180" w:lineRule="exact" w:before="3"/>
              <w:ind w:left="660"/>
              <w:rPr>
                <w:sz w:val="16"/>
              </w:rPr>
            </w:pPr>
            <w:r>
              <w:rPr>
                <w:spacing w:val="-4"/>
                <w:w w:val="105"/>
                <w:sz w:val="16"/>
              </w:rPr>
              <w:t>(49)</w:t>
            </w:r>
          </w:p>
        </w:tc>
      </w:tr>
      <w:tr>
        <w:trPr>
          <w:trHeight w:val="203" w:hRule="atLeast"/>
        </w:trPr>
        <w:tc>
          <w:tcPr>
            <w:tcW w:w="4548" w:type="dxa"/>
          </w:tcPr>
          <w:p>
            <w:pPr>
              <w:pStyle w:val="TableParagraph"/>
              <w:spacing w:line="180" w:lineRule="exact" w:before="3"/>
              <w:ind w:left="152"/>
              <w:rPr>
                <w:sz w:val="16"/>
              </w:rPr>
            </w:pPr>
            <w:r>
              <w:rPr>
                <w:w w:val="105"/>
                <w:sz w:val="16"/>
              </w:rPr>
              <w:t>(as</w:t>
            </w:r>
            <w:r>
              <w:rPr>
                <w:spacing w:val="-5"/>
                <w:w w:val="105"/>
                <w:sz w:val="16"/>
              </w:rPr>
              <w:t> </w:t>
            </w:r>
            <w:r>
              <w:rPr>
                <w:w w:val="105"/>
                <w:sz w:val="16"/>
              </w:rPr>
              <w:t>a</w:t>
            </w:r>
            <w:r>
              <w:rPr>
                <w:spacing w:val="-4"/>
                <w:w w:val="105"/>
                <w:sz w:val="16"/>
              </w:rPr>
              <w:t> </w:t>
            </w:r>
            <w:r>
              <w:rPr>
                <w:w w:val="105"/>
                <w:sz w:val="16"/>
              </w:rPr>
              <w:t>%</w:t>
            </w:r>
            <w:r>
              <w:rPr>
                <w:spacing w:val="-4"/>
                <w:w w:val="105"/>
                <w:sz w:val="16"/>
              </w:rPr>
              <w:t> </w:t>
            </w:r>
            <w:r>
              <w:rPr>
                <w:w w:val="105"/>
                <w:sz w:val="16"/>
              </w:rPr>
              <w:t>of</w:t>
            </w:r>
            <w:r>
              <w:rPr>
                <w:spacing w:val="-5"/>
                <w:w w:val="105"/>
                <w:sz w:val="16"/>
              </w:rPr>
              <w:t> </w:t>
            </w:r>
            <w:r>
              <w:rPr>
                <w:w w:val="105"/>
                <w:sz w:val="16"/>
              </w:rPr>
              <w:t>net</w:t>
            </w:r>
            <w:r>
              <w:rPr>
                <w:spacing w:val="-4"/>
                <w:w w:val="105"/>
                <w:sz w:val="16"/>
              </w:rPr>
              <w:t> </w:t>
            </w:r>
            <w:r>
              <w:rPr>
                <w:spacing w:val="-2"/>
                <w:w w:val="105"/>
                <w:sz w:val="16"/>
              </w:rPr>
              <w:t>sales)</w:t>
            </w:r>
          </w:p>
        </w:tc>
        <w:tc>
          <w:tcPr>
            <w:tcW w:w="1418" w:type="dxa"/>
            <w:gridSpan w:val="2"/>
          </w:tcPr>
          <w:p>
            <w:pPr>
              <w:pStyle w:val="TableParagraph"/>
              <w:spacing w:line="180" w:lineRule="exact" w:before="3"/>
              <w:ind w:right="117"/>
              <w:jc w:val="right"/>
              <w:rPr>
                <w:b/>
                <w:sz w:val="16"/>
              </w:rPr>
            </w:pPr>
            <w:r>
              <w:rPr>
                <w:b/>
                <w:spacing w:val="-5"/>
                <w:w w:val="105"/>
                <w:sz w:val="16"/>
              </w:rPr>
              <w:t>17%</w:t>
            </w:r>
          </w:p>
        </w:tc>
        <w:tc>
          <w:tcPr>
            <w:tcW w:w="1497" w:type="dxa"/>
          </w:tcPr>
          <w:p>
            <w:pPr>
              <w:pStyle w:val="TableParagraph"/>
              <w:spacing w:line="180" w:lineRule="exact" w:before="3"/>
              <w:ind w:right="164"/>
              <w:jc w:val="right"/>
              <w:rPr>
                <w:sz w:val="16"/>
              </w:rPr>
            </w:pPr>
            <w:r>
              <w:rPr>
                <w:spacing w:val="-5"/>
                <w:w w:val="105"/>
                <w:sz w:val="16"/>
              </w:rPr>
              <w:t>6%</w:t>
            </w:r>
          </w:p>
        </w:tc>
        <w:tc>
          <w:tcPr>
            <w:tcW w:w="1355" w:type="dxa"/>
          </w:tcPr>
          <w:p>
            <w:pPr>
              <w:pStyle w:val="TableParagraph"/>
              <w:spacing w:line="180" w:lineRule="exact" w:before="3"/>
              <w:ind w:right="66"/>
              <w:jc w:val="right"/>
              <w:rPr>
                <w:sz w:val="16"/>
              </w:rPr>
            </w:pPr>
            <w:r>
              <w:rPr>
                <w:spacing w:val="-5"/>
                <w:w w:val="105"/>
                <w:sz w:val="16"/>
              </w:rPr>
              <w:t>11%</w:t>
            </w:r>
          </w:p>
        </w:tc>
        <w:tc>
          <w:tcPr>
            <w:tcW w:w="1701" w:type="dxa"/>
            <w:gridSpan w:val="3"/>
          </w:tcPr>
          <w:p>
            <w:pPr>
              <w:pStyle w:val="TableParagraph"/>
              <w:rPr>
                <w:sz w:val="14"/>
              </w:rPr>
            </w:pPr>
          </w:p>
        </w:tc>
        <w:tc>
          <w:tcPr>
            <w:tcW w:w="1004" w:type="dxa"/>
            <w:gridSpan w:val="2"/>
          </w:tcPr>
          <w:p>
            <w:pPr>
              <w:pStyle w:val="TableParagraph"/>
              <w:rPr>
                <w:sz w:val="14"/>
              </w:rPr>
            </w:pPr>
          </w:p>
        </w:tc>
      </w:tr>
      <w:tr>
        <w:trPr>
          <w:trHeight w:val="203" w:hRule="atLeast"/>
        </w:trPr>
        <w:tc>
          <w:tcPr>
            <w:tcW w:w="4548" w:type="dxa"/>
            <w:shd w:val="clear" w:color="auto" w:fill="CCEDFF"/>
          </w:tcPr>
          <w:p>
            <w:pPr>
              <w:pStyle w:val="TableParagraph"/>
              <w:rPr>
                <w:sz w:val="14"/>
              </w:rPr>
            </w:pPr>
          </w:p>
        </w:tc>
        <w:tc>
          <w:tcPr>
            <w:tcW w:w="1418" w:type="dxa"/>
            <w:gridSpan w:val="2"/>
            <w:shd w:val="clear" w:color="auto" w:fill="CCEDFF"/>
          </w:tcPr>
          <w:p>
            <w:pPr>
              <w:pStyle w:val="TableParagraph"/>
              <w:rPr>
                <w:sz w:val="14"/>
              </w:rPr>
            </w:pPr>
          </w:p>
        </w:tc>
        <w:tc>
          <w:tcPr>
            <w:tcW w:w="1497" w:type="dxa"/>
            <w:shd w:val="clear" w:color="auto" w:fill="CCEDFF"/>
          </w:tcPr>
          <w:p>
            <w:pPr>
              <w:pStyle w:val="TableParagraph"/>
              <w:rPr>
                <w:sz w:val="14"/>
              </w:rPr>
            </w:pPr>
          </w:p>
        </w:tc>
        <w:tc>
          <w:tcPr>
            <w:tcW w:w="1355" w:type="dxa"/>
            <w:shd w:val="clear" w:color="auto" w:fill="CCEDFF"/>
          </w:tcPr>
          <w:p>
            <w:pPr>
              <w:pStyle w:val="TableParagraph"/>
              <w:rPr>
                <w:sz w:val="14"/>
              </w:rPr>
            </w:pPr>
          </w:p>
        </w:tc>
        <w:tc>
          <w:tcPr>
            <w:tcW w:w="1701" w:type="dxa"/>
            <w:gridSpan w:val="3"/>
            <w:shd w:val="clear" w:color="auto" w:fill="CCEDFF"/>
          </w:tcPr>
          <w:p>
            <w:pPr>
              <w:pStyle w:val="TableParagraph"/>
              <w:rPr>
                <w:sz w:val="14"/>
              </w:rPr>
            </w:pPr>
          </w:p>
        </w:tc>
        <w:tc>
          <w:tcPr>
            <w:tcW w:w="1004" w:type="dxa"/>
            <w:gridSpan w:val="2"/>
            <w:shd w:val="clear" w:color="auto" w:fill="CCEDFF"/>
          </w:tcPr>
          <w:p>
            <w:pPr>
              <w:pStyle w:val="TableParagraph"/>
              <w:rPr>
                <w:sz w:val="14"/>
              </w:rPr>
            </w:pPr>
          </w:p>
        </w:tc>
      </w:tr>
      <w:tr>
        <w:trPr>
          <w:trHeight w:val="203" w:hRule="atLeast"/>
        </w:trPr>
        <w:tc>
          <w:tcPr>
            <w:tcW w:w="4548" w:type="dxa"/>
          </w:tcPr>
          <w:p>
            <w:pPr>
              <w:pStyle w:val="TableParagraph"/>
              <w:spacing w:line="180" w:lineRule="exact" w:before="3"/>
              <w:rPr>
                <w:sz w:val="16"/>
              </w:rPr>
            </w:pPr>
            <w:r>
              <w:rPr>
                <w:w w:val="105"/>
                <w:sz w:val="16"/>
              </w:rPr>
              <w:t>Provision</w:t>
            </w:r>
            <w:r>
              <w:rPr>
                <w:spacing w:val="-10"/>
                <w:w w:val="105"/>
                <w:sz w:val="16"/>
              </w:rPr>
              <w:t> </w:t>
            </w:r>
            <w:r>
              <w:rPr>
                <w:w w:val="105"/>
                <w:sz w:val="16"/>
              </w:rPr>
              <w:t>for</w:t>
            </w:r>
            <w:r>
              <w:rPr>
                <w:spacing w:val="-9"/>
                <w:w w:val="105"/>
                <w:sz w:val="16"/>
              </w:rPr>
              <w:t> </w:t>
            </w:r>
            <w:r>
              <w:rPr>
                <w:w w:val="105"/>
                <w:sz w:val="16"/>
              </w:rPr>
              <w:t>income</w:t>
            </w:r>
            <w:r>
              <w:rPr>
                <w:spacing w:val="-10"/>
                <w:w w:val="105"/>
                <w:sz w:val="16"/>
              </w:rPr>
              <w:t> </w:t>
            </w:r>
            <w:r>
              <w:rPr>
                <w:spacing w:val="-2"/>
                <w:w w:val="105"/>
                <w:sz w:val="16"/>
              </w:rPr>
              <w:t>taxes</w:t>
            </w:r>
          </w:p>
        </w:tc>
        <w:tc>
          <w:tcPr>
            <w:tcW w:w="1418" w:type="dxa"/>
            <w:gridSpan w:val="2"/>
          </w:tcPr>
          <w:p>
            <w:pPr>
              <w:pStyle w:val="TableParagraph"/>
              <w:tabs>
                <w:tab w:pos="829" w:val="left" w:leader="none"/>
              </w:tabs>
              <w:spacing w:line="180" w:lineRule="exact" w:before="3"/>
              <w:ind w:left="-1"/>
              <w:rPr>
                <w:b/>
                <w:sz w:val="16"/>
              </w:rPr>
            </w:pPr>
            <w:r>
              <w:rPr>
                <w:b/>
                <w:spacing w:val="-10"/>
                <w:w w:val="105"/>
                <w:sz w:val="16"/>
              </w:rPr>
              <w:t>$</w:t>
            </w:r>
            <w:r>
              <w:rPr>
                <w:b/>
                <w:sz w:val="16"/>
              </w:rPr>
              <w:tab/>
            </w:r>
            <w:r>
              <w:rPr>
                <w:b/>
                <w:spacing w:val="-2"/>
                <w:w w:val="105"/>
                <w:sz w:val="16"/>
              </w:rPr>
              <w:t>(491)</w:t>
            </w:r>
          </w:p>
        </w:tc>
        <w:tc>
          <w:tcPr>
            <w:tcW w:w="1497" w:type="dxa"/>
          </w:tcPr>
          <w:p>
            <w:pPr>
              <w:pStyle w:val="TableParagraph"/>
              <w:tabs>
                <w:tab w:pos="889" w:val="left" w:leader="none"/>
              </w:tabs>
              <w:spacing w:line="180" w:lineRule="exact" w:before="3"/>
              <w:ind w:left="59"/>
              <w:rPr>
                <w:sz w:val="16"/>
              </w:rPr>
            </w:pPr>
            <w:r>
              <w:rPr>
                <w:spacing w:val="-10"/>
                <w:w w:val="105"/>
                <w:sz w:val="16"/>
              </w:rPr>
              <w:t>$</w:t>
            </w:r>
            <w:r>
              <w:rPr>
                <w:sz w:val="16"/>
              </w:rPr>
              <w:tab/>
            </w:r>
            <w:r>
              <w:rPr>
                <w:spacing w:val="-2"/>
                <w:w w:val="105"/>
                <w:sz w:val="16"/>
              </w:rPr>
              <w:t>(111)</w:t>
            </w:r>
          </w:p>
        </w:tc>
        <w:tc>
          <w:tcPr>
            <w:tcW w:w="1355" w:type="dxa"/>
          </w:tcPr>
          <w:p>
            <w:pPr>
              <w:pStyle w:val="TableParagraph"/>
              <w:tabs>
                <w:tab w:pos="844" w:val="left" w:leader="none"/>
              </w:tabs>
              <w:spacing w:line="180" w:lineRule="exact" w:before="3"/>
              <w:ind w:left="14"/>
              <w:rPr>
                <w:sz w:val="16"/>
              </w:rPr>
            </w:pPr>
            <w:r>
              <w:rPr>
                <w:spacing w:val="-10"/>
                <w:w w:val="105"/>
                <w:sz w:val="16"/>
              </w:rPr>
              <w:t>$</w:t>
            </w:r>
            <w:r>
              <w:rPr>
                <w:sz w:val="16"/>
              </w:rPr>
              <w:tab/>
            </w:r>
            <w:r>
              <w:rPr>
                <w:spacing w:val="-2"/>
                <w:w w:val="105"/>
                <w:sz w:val="16"/>
              </w:rPr>
              <w:t>(256)</w:t>
            </w:r>
          </w:p>
        </w:tc>
        <w:tc>
          <w:tcPr>
            <w:tcW w:w="1701" w:type="dxa"/>
            <w:gridSpan w:val="3"/>
          </w:tcPr>
          <w:p>
            <w:pPr>
              <w:pStyle w:val="TableParagraph"/>
              <w:spacing w:line="180" w:lineRule="exact" w:before="3"/>
              <w:ind w:left="928"/>
              <w:rPr>
                <w:sz w:val="16"/>
              </w:rPr>
            </w:pPr>
            <w:r>
              <w:rPr>
                <w:spacing w:val="-2"/>
                <w:w w:val="105"/>
                <w:sz w:val="16"/>
              </w:rPr>
              <w:t>(342)</w:t>
            </w:r>
          </w:p>
        </w:tc>
        <w:tc>
          <w:tcPr>
            <w:tcW w:w="1004" w:type="dxa"/>
            <w:gridSpan w:val="2"/>
          </w:tcPr>
          <w:p>
            <w:pPr>
              <w:pStyle w:val="TableParagraph"/>
              <w:spacing w:line="180" w:lineRule="exact" w:before="3"/>
              <w:ind w:right="120"/>
              <w:jc w:val="right"/>
              <w:rPr>
                <w:sz w:val="16"/>
              </w:rPr>
            </w:pPr>
            <w:r>
              <w:rPr>
                <w:spacing w:val="-5"/>
                <w:w w:val="105"/>
                <w:sz w:val="16"/>
              </w:rPr>
              <w:t>57</w:t>
            </w:r>
          </w:p>
        </w:tc>
      </w:tr>
      <w:tr>
        <w:trPr>
          <w:trHeight w:val="203" w:hRule="atLeast"/>
        </w:trPr>
        <w:tc>
          <w:tcPr>
            <w:tcW w:w="4548" w:type="dxa"/>
            <w:shd w:val="clear" w:color="auto" w:fill="CCEDFF"/>
          </w:tcPr>
          <w:p>
            <w:pPr>
              <w:pStyle w:val="TableParagraph"/>
              <w:spacing w:line="180" w:lineRule="exact" w:before="3"/>
              <w:ind w:left="152"/>
              <w:rPr>
                <w:sz w:val="16"/>
              </w:rPr>
            </w:pPr>
            <w:r>
              <w:rPr>
                <w:w w:val="105"/>
                <w:sz w:val="16"/>
              </w:rPr>
              <w:t>(as</w:t>
            </w:r>
            <w:r>
              <w:rPr>
                <w:spacing w:val="-5"/>
                <w:w w:val="105"/>
                <w:sz w:val="16"/>
              </w:rPr>
              <w:t> </w:t>
            </w:r>
            <w:r>
              <w:rPr>
                <w:w w:val="105"/>
                <w:sz w:val="16"/>
              </w:rPr>
              <w:t>a</w:t>
            </w:r>
            <w:r>
              <w:rPr>
                <w:spacing w:val="-4"/>
                <w:w w:val="105"/>
                <w:sz w:val="16"/>
              </w:rPr>
              <w:t> </w:t>
            </w:r>
            <w:r>
              <w:rPr>
                <w:w w:val="105"/>
                <w:sz w:val="16"/>
              </w:rPr>
              <w:t>%</w:t>
            </w:r>
            <w:r>
              <w:rPr>
                <w:spacing w:val="-4"/>
                <w:w w:val="105"/>
                <w:sz w:val="16"/>
              </w:rPr>
              <w:t> </w:t>
            </w:r>
            <w:r>
              <w:rPr>
                <w:w w:val="105"/>
                <w:sz w:val="16"/>
              </w:rPr>
              <w:t>of</w:t>
            </w:r>
            <w:r>
              <w:rPr>
                <w:spacing w:val="-5"/>
                <w:w w:val="105"/>
                <w:sz w:val="16"/>
              </w:rPr>
              <w:t> </w:t>
            </w:r>
            <w:r>
              <w:rPr>
                <w:w w:val="105"/>
                <w:sz w:val="16"/>
              </w:rPr>
              <w:t>net</w:t>
            </w:r>
            <w:r>
              <w:rPr>
                <w:spacing w:val="-4"/>
                <w:w w:val="105"/>
                <w:sz w:val="16"/>
              </w:rPr>
              <w:t> </w:t>
            </w:r>
            <w:r>
              <w:rPr>
                <w:spacing w:val="-2"/>
                <w:w w:val="105"/>
                <w:sz w:val="16"/>
              </w:rPr>
              <w:t>sales)</w:t>
            </w:r>
          </w:p>
        </w:tc>
        <w:tc>
          <w:tcPr>
            <w:tcW w:w="1418" w:type="dxa"/>
            <w:gridSpan w:val="2"/>
            <w:shd w:val="clear" w:color="auto" w:fill="CCEDFF"/>
          </w:tcPr>
          <w:p>
            <w:pPr>
              <w:pStyle w:val="TableParagraph"/>
              <w:spacing w:line="180" w:lineRule="exact" w:before="3"/>
              <w:ind w:right="61"/>
              <w:jc w:val="right"/>
              <w:rPr>
                <w:b/>
                <w:sz w:val="16"/>
              </w:rPr>
            </w:pPr>
            <w:r>
              <w:rPr>
                <w:b/>
                <w:spacing w:val="-4"/>
                <w:w w:val="105"/>
                <w:sz w:val="16"/>
              </w:rPr>
              <w:t>(3)%</w:t>
            </w:r>
          </w:p>
        </w:tc>
        <w:tc>
          <w:tcPr>
            <w:tcW w:w="1497" w:type="dxa"/>
            <w:shd w:val="clear" w:color="auto" w:fill="CCEDFF"/>
          </w:tcPr>
          <w:p>
            <w:pPr>
              <w:pStyle w:val="TableParagraph"/>
              <w:spacing w:line="180" w:lineRule="exact" w:before="3"/>
              <w:ind w:right="108"/>
              <w:jc w:val="right"/>
              <w:rPr>
                <w:sz w:val="16"/>
              </w:rPr>
            </w:pPr>
            <w:r>
              <w:rPr>
                <w:spacing w:val="-4"/>
                <w:w w:val="105"/>
                <w:sz w:val="16"/>
              </w:rPr>
              <w:t>(1)%</w:t>
            </w:r>
          </w:p>
        </w:tc>
        <w:tc>
          <w:tcPr>
            <w:tcW w:w="1355" w:type="dxa"/>
            <w:shd w:val="clear" w:color="auto" w:fill="CCEDFF"/>
          </w:tcPr>
          <w:p>
            <w:pPr>
              <w:pStyle w:val="TableParagraph"/>
              <w:spacing w:line="180" w:lineRule="exact" w:before="3"/>
              <w:ind w:right="11"/>
              <w:jc w:val="right"/>
              <w:rPr>
                <w:sz w:val="16"/>
              </w:rPr>
            </w:pPr>
            <w:r>
              <w:rPr>
                <w:spacing w:val="-4"/>
                <w:w w:val="105"/>
                <w:sz w:val="16"/>
              </w:rPr>
              <w:t>(2)%</w:t>
            </w:r>
          </w:p>
        </w:tc>
        <w:tc>
          <w:tcPr>
            <w:tcW w:w="1701" w:type="dxa"/>
            <w:gridSpan w:val="3"/>
            <w:shd w:val="clear" w:color="auto" w:fill="CCEDFF"/>
          </w:tcPr>
          <w:p>
            <w:pPr>
              <w:pStyle w:val="TableParagraph"/>
              <w:rPr>
                <w:sz w:val="14"/>
              </w:rPr>
            </w:pPr>
          </w:p>
        </w:tc>
        <w:tc>
          <w:tcPr>
            <w:tcW w:w="1004" w:type="dxa"/>
            <w:gridSpan w:val="2"/>
            <w:shd w:val="clear" w:color="auto" w:fill="CCEDFF"/>
          </w:tcPr>
          <w:p>
            <w:pPr>
              <w:pStyle w:val="TableParagraph"/>
              <w:rPr>
                <w:sz w:val="14"/>
              </w:rPr>
            </w:pPr>
          </w:p>
        </w:tc>
      </w:tr>
      <w:tr>
        <w:trPr>
          <w:trHeight w:val="203" w:hRule="atLeast"/>
        </w:trPr>
        <w:tc>
          <w:tcPr>
            <w:tcW w:w="4548" w:type="dxa"/>
          </w:tcPr>
          <w:p>
            <w:pPr>
              <w:pStyle w:val="TableParagraph"/>
              <w:rPr>
                <w:sz w:val="14"/>
              </w:rPr>
            </w:pPr>
          </w:p>
        </w:tc>
        <w:tc>
          <w:tcPr>
            <w:tcW w:w="1418" w:type="dxa"/>
            <w:gridSpan w:val="2"/>
          </w:tcPr>
          <w:p>
            <w:pPr>
              <w:pStyle w:val="TableParagraph"/>
              <w:rPr>
                <w:sz w:val="14"/>
              </w:rPr>
            </w:pPr>
          </w:p>
        </w:tc>
        <w:tc>
          <w:tcPr>
            <w:tcW w:w="1497" w:type="dxa"/>
          </w:tcPr>
          <w:p>
            <w:pPr>
              <w:pStyle w:val="TableParagraph"/>
              <w:rPr>
                <w:sz w:val="14"/>
              </w:rPr>
            </w:pPr>
          </w:p>
        </w:tc>
        <w:tc>
          <w:tcPr>
            <w:tcW w:w="1355" w:type="dxa"/>
          </w:tcPr>
          <w:p>
            <w:pPr>
              <w:pStyle w:val="TableParagraph"/>
              <w:rPr>
                <w:sz w:val="14"/>
              </w:rPr>
            </w:pPr>
          </w:p>
        </w:tc>
        <w:tc>
          <w:tcPr>
            <w:tcW w:w="1701" w:type="dxa"/>
            <w:gridSpan w:val="3"/>
          </w:tcPr>
          <w:p>
            <w:pPr>
              <w:pStyle w:val="TableParagraph"/>
              <w:rPr>
                <w:sz w:val="14"/>
              </w:rPr>
            </w:pPr>
          </w:p>
        </w:tc>
        <w:tc>
          <w:tcPr>
            <w:tcW w:w="1004" w:type="dxa"/>
            <w:gridSpan w:val="2"/>
          </w:tcPr>
          <w:p>
            <w:pPr>
              <w:pStyle w:val="TableParagraph"/>
              <w:rPr>
                <w:sz w:val="14"/>
              </w:rPr>
            </w:pPr>
          </w:p>
        </w:tc>
      </w:tr>
      <w:tr>
        <w:trPr>
          <w:trHeight w:val="203" w:hRule="atLeast"/>
        </w:trPr>
        <w:tc>
          <w:tcPr>
            <w:tcW w:w="4548" w:type="dxa"/>
            <w:shd w:val="clear" w:color="auto" w:fill="CCEDFF"/>
          </w:tcPr>
          <w:p>
            <w:pPr>
              <w:pStyle w:val="TableParagraph"/>
              <w:spacing w:line="180" w:lineRule="exact" w:before="3"/>
              <w:rPr>
                <w:sz w:val="16"/>
              </w:rPr>
            </w:pPr>
            <w:r>
              <w:rPr>
                <w:w w:val="105"/>
                <w:sz w:val="16"/>
              </w:rPr>
              <w:t>Net</w:t>
            </w:r>
            <w:r>
              <w:rPr>
                <w:spacing w:val="-9"/>
                <w:w w:val="105"/>
                <w:sz w:val="16"/>
              </w:rPr>
              <w:t> </w:t>
            </w:r>
            <w:r>
              <w:rPr>
                <w:w w:val="105"/>
                <w:sz w:val="16"/>
              </w:rPr>
              <w:t>income</w:t>
            </w:r>
            <w:r>
              <w:rPr>
                <w:spacing w:val="-9"/>
                <w:w w:val="105"/>
                <w:sz w:val="16"/>
              </w:rPr>
              <w:t> </w:t>
            </w:r>
            <w:r>
              <w:rPr>
                <w:w w:val="105"/>
                <w:sz w:val="16"/>
              </w:rPr>
              <w:t>attributable</w:t>
            </w:r>
            <w:r>
              <w:rPr>
                <w:spacing w:val="-9"/>
                <w:w w:val="105"/>
                <w:sz w:val="16"/>
              </w:rPr>
              <w:t> </w:t>
            </w:r>
            <w:r>
              <w:rPr>
                <w:w w:val="105"/>
                <w:sz w:val="16"/>
              </w:rPr>
              <w:t>to</w:t>
            </w:r>
            <w:r>
              <w:rPr>
                <w:spacing w:val="-9"/>
                <w:w w:val="105"/>
                <w:sz w:val="16"/>
              </w:rPr>
              <w:t> </w:t>
            </w:r>
            <w:r>
              <w:rPr>
                <w:w w:val="105"/>
                <w:sz w:val="16"/>
              </w:rPr>
              <w:t>Corning</w:t>
            </w:r>
            <w:r>
              <w:rPr>
                <w:spacing w:val="-9"/>
                <w:w w:val="105"/>
                <w:sz w:val="16"/>
              </w:rPr>
              <w:t> </w:t>
            </w:r>
            <w:r>
              <w:rPr>
                <w:spacing w:val="-2"/>
                <w:w w:val="105"/>
                <w:sz w:val="16"/>
              </w:rPr>
              <w:t>Incorporated</w:t>
            </w:r>
          </w:p>
        </w:tc>
        <w:tc>
          <w:tcPr>
            <w:tcW w:w="1418" w:type="dxa"/>
            <w:gridSpan w:val="2"/>
            <w:shd w:val="clear" w:color="auto" w:fill="CCEDFF"/>
          </w:tcPr>
          <w:p>
            <w:pPr>
              <w:pStyle w:val="TableParagraph"/>
              <w:tabs>
                <w:tab w:pos="760" w:val="left" w:leader="none"/>
              </w:tabs>
              <w:spacing w:line="180" w:lineRule="exact" w:before="3"/>
              <w:ind w:left="-1"/>
              <w:rPr>
                <w:b/>
                <w:sz w:val="16"/>
              </w:rPr>
            </w:pPr>
            <w:r>
              <w:rPr>
                <w:b/>
                <w:spacing w:val="-10"/>
                <w:w w:val="105"/>
                <w:sz w:val="16"/>
              </w:rPr>
              <w:t>$</w:t>
            </w:r>
            <w:r>
              <w:rPr>
                <w:b/>
                <w:sz w:val="16"/>
              </w:rPr>
              <w:tab/>
            </w:r>
            <w:r>
              <w:rPr>
                <w:b/>
                <w:spacing w:val="-4"/>
                <w:w w:val="105"/>
                <w:sz w:val="16"/>
              </w:rPr>
              <w:t>1,906</w:t>
            </w:r>
          </w:p>
        </w:tc>
        <w:tc>
          <w:tcPr>
            <w:tcW w:w="1497" w:type="dxa"/>
            <w:shd w:val="clear" w:color="auto" w:fill="CCEDFF"/>
          </w:tcPr>
          <w:p>
            <w:pPr>
              <w:pStyle w:val="TableParagraph"/>
              <w:tabs>
                <w:tab w:pos="944" w:val="left" w:leader="none"/>
              </w:tabs>
              <w:spacing w:line="180" w:lineRule="exact" w:before="3"/>
              <w:ind w:left="59"/>
              <w:rPr>
                <w:sz w:val="16"/>
              </w:rPr>
            </w:pPr>
            <w:r>
              <w:rPr>
                <w:spacing w:val="-10"/>
                <w:w w:val="105"/>
                <w:sz w:val="16"/>
              </w:rPr>
              <w:t>$</w:t>
            </w:r>
            <w:r>
              <w:rPr>
                <w:sz w:val="16"/>
              </w:rPr>
              <w:tab/>
            </w:r>
            <w:r>
              <w:rPr>
                <w:spacing w:val="-5"/>
                <w:w w:val="105"/>
                <w:sz w:val="16"/>
              </w:rPr>
              <w:t>512</w:t>
            </w:r>
          </w:p>
        </w:tc>
        <w:tc>
          <w:tcPr>
            <w:tcW w:w="1355" w:type="dxa"/>
            <w:shd w:val="clear" w:color="auto" w:fill="CCEDFF"/>
          </w:tcPr>
          <w:p>
            <w:pPr>
              <w:pStyle w:val="TableParagraph"/>
              <w:tabs>
                <w:tab w:pos="899" w:val="left" w:leader="none"/>
              </w:tabs>
              <w:spacing w:line="180" w:lineRule="exact" w:before="3"/>
              <w:ind w:left="14"/>
              <w:rPr>
                <w:sz w:val="16"/>
              </w:rPr>
            </w:pPr>
            <w:r>
              <w:rPr>
                <w:spacing w:val="-10"/>
                <w:w w:val="105"/>
                <w:sz w:val="16"/>
              </w:rPr>
              <w:t>$</w:t>
            </w:r>
            <w:r>
              <w:rPr>
                <w:sz w:val="16"/>
              </w:rPr>
              <w:tab/>
            </w:r>
            <w:r>
              <w:rPr>
                <w:spacing w:val="-5"/>
                <w:w w:val="105"/>
                <w:sz w:val="16"/>
              </w:rPr>
              <w:t>960</w:t>
            </w:r>
          </w:p>
        </w:tc>
        <w:tc>
          <w:tcPr>
            <w:tcW w:w="1701" w:type="dxa"/>
            <w:gridSpan w:val="3"/>
            <w:shd w:val="clear" w:color="auto" w:fill="CCEDFF"/>
          </w:tcPr>
          <w:p>
            <w:pPr>
              <w:pStyle w:val="TableParagraph"/>
              <w:spacing w:line="180" w:lineRule="exact" w:before="3"/>
              <w:ind w:left="984"/>
              <w:rPr>
                <w:sz w:val="16"/>
              </w:rPr>
            </w:pPr>
            <w:r>
              <w:rPr>
                <w:spacing w:val="-5"/>
                <w:w w:val="105"/>
                <w:sz w:val="16"/>
              </w:rPr>
              <w:t>272</w:t>
            </w:r>
          </w:p>
        </w:tc>
        <w:tc>
          <w:tcPr>
            <w:tcW w:w="1004" w:type="dxa"/>
            <w:gridSpan w:val="2"/>
            <w:shd w:val="clear" w:color="auto" w:fill="CCEDFF"/>
          </w:tcPr>
          <w:p>
            <w:pPr>
              <w:pStyle w:val="TableParagraph"/>
              <w:spacing w:line="180" w:lineRule="exact" w:before="3"/>
              <w:ind w:left="660"/>
              <w:rPr>
                <w:sz w:val="16"/>
              </w:rPr>
            </w:pPr>
            <w:r>
              <w:rPr>
                <w:spacing w:val="-4"/>
                <w:w w:val="105"/>
                <w:sz w:val="16"/>
              </w:rPr>
              <w:t>(47)</w:t>
            </w:r>
          </w:p>
        </w:tc>
      </w:tr>
      <w:tr>
        <w:trPr>
          <w:trHeight w:val="200" w:hRule="atLeast"/>
        </w:trPr>
        <w:tc>
          <w:tcPr>
            <w:tcW w:w="4548" w:type="dxa"/>
            <w:tcBorders>
              <w:bottom w:val="double" w:sz="6" w:space="0" w:color="000000"/>
            </w:tcBorders>
          </w:tcPr>
          <w:p>
            <w:pPr>
              <w:pStyle w:val="TableParagraph"/>
              <w:spacing w:line="177" w:lineRule="exact" w:before="3"/>
              <w:ind w:left="152"/>
              <w:rPr>
                <w:sz w:val="16"/>
              </w:rPr>
            </w:pPr>
            <w:r>
              <w:rPr>
                <w:w w:val="105"/>
                <w:sz w:val="16"/>
              </w:rPr>
              <w:t>(as</w:t>
            </w:r>
            <w:r>
              <w:rPr>
                <w:spacing w:val="-5"/>
                <w:w w:val="105"/>
                <w:sz w:val="16"/>
              </w:rPr>
              <w:t> </w:t>
            </w:r>
            <w:r>
              <w:rPr>
                <w:w w:val="105"/>
                <w:sz w:val="16"/>
              </w:rPr>
              <w:t>a</w:t>
            </w:r>
            <w:r>
              <w:rPr>
                <w:spacing w:val="-4"/>
                <w:w w:val="105"/>
                <w:sz w:val="16"/>
              </w:rPr>
              <w:t> </w:t>
            </w:r>
            <w:r>
              <w:rPr>
                <w:w w:val="105"/>
                <w:sz w:val="16"/>
              </w:rPr>
              <w:t>%</w:t>
            </w:r>
            <w:r>
              <w:rPr>
                <w:spacing w:val="-4"/>
                <w:w w:val="105"/>
                <w:sz w:val="16"/>
              </w:rPr>
              <w:t> </w:t>
            </w:r>
            <w:r>
              <w:rPr>
                <w:w w:val="105"/>
                <w:sz w:val="16"/>
              </w:rPr>
              <w:t>of</w:t>
            </w:r>
            <w:r>
              <w:rPr>
                <w:spacing w:val="-5"/>
                <w:w w:val="105"/>
                <w:sz w:val="16"/>
              </w:rPr>
              <w:t> </w:t>
            </w:r>
            <w:r>
              <w:rPr>
                <w:w w:val="105"/>
                <w:sz w:val="16"/>
              </w:rPr>
              <w:t>net</w:t>
            </w:r>
            <w:r>
              <w:rPr>
                <w:spacing w:val="-4"/>
                <w:w w:val="105"/>
                <w:sz w:val="16"/>
              </w:rPr>
              <w:t> </w:t>
            </w:r>
            <w:r>
              <w:rPr>
                <w:spacing w:val="-2"/>
                <w:w w:val="105"/>
                <w:sz w:val="16"/>
              </w:rPr>
              <w:t>sales)</w:t>
            </w:r>
          </w:p>
        </w:tc>
        <w:tc>
          <w:tcPr>
            <w:tcW w:w="1418" w:type="dxa"/>
            <w:gridSpan w:val="2"/>
            <w:tcBorders>
              <w:bottom w:val="double" w:sz="6" w:space="0" w:color="000000"/>
            </w:tcBorders>
          </w:tcPr>
          <w:p>
            <w:pPr>
              <w:pStyle w:val="TableParagraph"/>
              <w:spacing w:line="177" w:lineRule="exact" w:before="3"/>
              <w:ind w:right="117"/>
              <w:jc w:val="right"/>
              <w:rPr>
                <w:b/>
                <w:sz w:val="16"/>
              </w:rPr>
            </w:pPr>
            <w:r>
              <w:rPr>
                <w:b/>
                <w:spacing w:val="-5"/>
                <w:w w:val="105"/>
                <w:sz w:val="16"/>
              </w:rPr>
              <w:t>14%</w:t>
            </w:r>
          </w:p>
        </w:tc>
        <w:tc>
          <w:tcPr>
            <w:tcW w:w="1497" w:type="dxa"/>
            <w:tcBorders>
              <w:bottom w:val="double" w:sz="6" w:space="0" w:color="000000"/>
            </w:tcBorders>
          </w:tcPr>
          <w:p>
            <w:pPr>
              <w:pStyle w:val="TableParagraph"/>
              <w:spacing w:line="177" w:lineRule="exact" w:before="3"/>
              <w:ind w:right="164"/>
              <w:jc w:val="right"/>
              <w:rPr>
                <w:sz w:val="16"/>
              </w:rPr>
            </w:pPr>
            <w:r>
              <w:rPr>
                <w:spacing w:val="-5"/>
                <w:w w:val="105"/>
                <w:sz w:val="16"/>
              </w:rPr>
              <w:t>5%</w:t>
            </w:r>
          </w:p>
        </w:tc>
        <w:tc>
          <w:tcPr>
            <w:tcW w:w="1355" w:type="dxa"/>
            <w:tcBorders>
              <w:bottom w:val="double" w:sz="6" w:space="0" w:color="000000"/>
            </w:tcBorders>
          </w:tcPr>
          <w:p>
            <w:pPr>
              <w:pStyle w:val="TableParagraph"/>
              <w:spacing w:line="177" w:lineRule="exact" w:before="3"/>
              <w:ind w:right="66"/>
              <w:jc w:val="right"/>
              <w:rPr>
                <w:sz w:val="16"/>
              </w:rPr>
            </w:pPr>
            <w:r>
              <w:rPr>
                <w:spacing w:val="-5"/>
                <w:w w:val="105"/>
                <w:sz w:val="16"/>
              </w:rPr>
              <w:t>8%</w:t>
            </w:r>
          </w:p>
        </w:tc>
        <w:tc>
          <w:tcPr>
            <w:tcW w:w="1701" w:type="dxa"/>
            <w:gridSpan w:val="3"/>
            <w:tcBorders>
              <w:bottom w:val="double" w:sz="6" w:space="0" w:color="000000"/>
            </w:tcBorders>
          </w:tcPr>
          <w:p>
            <w:pPr>
              <w:pStyle w:val="TableParagraph"/>
              <w:rPr>
                <w:sz w:val="12"/>
              </w:rPr>
            </w:pPr>
          </w:p>
        </w:tc>
        <w:tc>
          <w:tcPr>
            <w:tcW w:w="1004" w:type="dxa"/>
            <w:gridSpan w:val="2"/>
            <w:tcBorders>
              <w:bottom w:val="double" w:sz="6" w:space="0" w:color="000000"/>
            </w:tcBorders>
          </w:tcPr>
          <w:p>
            <w:pPr>
              <w:pStyle w:val="TableParagraph"/>
              <w:rPr>
                <w:sz w:val="12"/>
              </w:rPr>
            </w:pPr>
          </w:p>
        </w:tc>
      </w:tr>
    </w:tbl>
    <w:p>
      <w:pPr>
        <w:pStyle w:val="BodyText"/>
        <w:spacing w:before="47"/>
        <w:rPr>
          <w:sz w:val="14"/>
        </w:rPr>
      </w:pPr>
    </w:p>
    <w:p>
      <w:pPr>
        <w:tabs>
          <w:tab w:pos="462" w:val="left" w:leader="none"/>
        </w:tabs>
        <w:spacing w:before="1"/>
        <w:ind w:left="156" w:right="0" w:firstLine="0"/>
        <w:jc w:val="left"/>
        <w:rPr>
          <w:sz w:val="14"/>
        </w:rPr>
      </w:pPr>
      <w:r>
        <w:rPr>
          <w:spacing w:val="-10"/>
          <w:sz w:val="14"/>
        </w:rPr>
        <w:t>*</w:t>
      </w:r>
      <w:r>
        <w:rPr>
          <w:sz w:val="14"/>
        </w:rPr>
        <w:tab/>
        <w:t>Percent change not </w:t>
      </w:r>
      <w:r>
        <w:rPr>
          <w:spacing w:val="-2"/>
          <w:sz w:val="14"/>
        </w:rPr>
        <w:t>meaningful.</w:t>
      </w:r>
    </w:p>
    <w:p>
      <w:pPr>
        <w:pStyle w:val="BodyText"/>
        <w:spacing w:before="18"/>
      </w:pPr>
    </w:p>
    <w:p>
      <w:pPr>
        <w:pStyle w:val="BodyText"/>
        <w:ind w:left="48"/>
        <w:jc w:val="center"/>
      </w:pPr>
      <w:r>
        <w:rPr>
          <w:spacing w:val="-5"/>
          <w:w w:val="105"/>
        </w:rPr>
        <w:t>26</w:t>
      </w:r>
    </w:p>
    <w:p>
      <w:pPr>
        <w:pStyle w:val="BodyText"/>
        <w:rPr>
          <w:sz w:val="6"/>
        </w:rPr>
      </w:pPr>
      <w:r>
        <w:rPr/>
        <mc:AlternateContent>
          <mc:Choice Requires="wps">
            <w:drawing>
              <wp:anchor distT="0" distB="0" distL="0" distR="0" allowOverlap="1" layoutInCell="1" locked="0" behindDoc="1" simplePos="0" relativeHeight="487602688">
                <wp:simplePos x="0" y="0"/>
                <wp:positionH relativeFrom="page">
                  <wp:posOffset>226488</wp:posOffset>
                </wp:positionH>
                <wp:positionV relativeFrom="paragraph">
                  <wp:posOffset>59051</wp:posOffset>
                </wp:positionV>
                <wp:extent cx="7312659" cy="1651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13792;mso-wrap-distance-left:0;mso-wrap-distance-right:0" id="docshape30"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3"/>
      </w:pPr>
      <w:r>
        <w:rPr>
          <w:w w:val="105"/>
        </w:rPr>
        <w:t>Segment</w:t>
      </w:r>
      <w:r>
        <w:rPr>
          <w:spacing w:val="-9"/>
          <w:w w:val="105"/>
        </w:rPr>
        <w:t> </w:t>
      </w:r>
      <w:r>
        <w:rPr>
          <w:w w:val="105"/>
        </w:rPr>
        <w:t>Net</w:t>
      </w:r>
      <w:r>
        <w:rPr>
          <w:spacing w:val="-9"/>
          <w:w w:val="105"/>
        </w:rPr>
        <w:t> </w:t>
      </w:r>
      <w:r>
        <w:rPr>
          <w:spacing w:val="-2"/>
          <w:w w:val="105"/>
        </w:rPr>
        <w:t>Sales</w:t>
      </w:r>
    </w:p>
    <w:p>
      <w:pPr>
        <w:pStyle w:val="BodyText"/>
        <w:spacing w:before="10"/>
        <w:rPr>
          <w:b/>
          <w:i/>
          <w:sz w:val="10"/>
        </w:rPr>
      </w:pPr>
    </w:p>
    <w:p>
      <w:pPr>
        <w:spacing w:after="0"/>
        <w:rPr>
          <w:sz w:val="10"/>
        </w:rPr>
        <w:sectPr>
          <w:pgSz w:w="12240" w:h="15840"/>
          <w:pgMar w:header="428" w:footer="0" w:top="620" w:bottom="280" w:left="200" w:right="260"/>
        </w:sectPr>
      </w:pPr>
    </w:p>
    <w:p>
      <w:pPr>
        <w:pStyle w:val="BodyText"/>
        <w:spacing w:before="99"/>
        <w:ind w:left="156"/>
      </w:pPr>
      <w:r>
        <w:rPr/>
        <mc:AlternateContent>
          <mc:Choice Requires="wps">
            <w:drawing>
              <wp:anchor distT="0" distB="0" distL="0" distR="0" allowOverlap="1" layoutInCell="1" locked="0" behindDoc="0" simplePos="0" relativeHeight="15744512">
                <wp:simplePos x="0" y="0"/>
                <wp:positionH relativeFrom="page">
                  <wp:posOffset>226479</wp:posOffset>
                </wp:positionH>
                <wp:positionV relativeFrom="paragraph">
                  <wp:posOffset>262945</wp:posOffset>
                </wp:positionV>
                <wp:extent cx="7312659" cy="1651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20.704346pt;width:575.775027pt;height:1.274pt;mso-position-horizontal-relative:page;mso-position-vertical-relative:paragraph;z-index:15744512" id="docshape31" filled="true" fillcolor="#000000" stroked="false">
                <v:fill type="solid"/>
                <w10:wrap type="none"/>
              </v:rect>
            </w:pict>
          </mc:Fallback>
        </mc:AlternateContent>
      </w:r>
      <w:r>
        <w:rPr>
          <w:w w:val="105"/>
        </w:rPr>
        <w:t>The</w:t>
      </w:r>
      <w:r>
        <w:rPr>
          <w:spacing w:val="-10"/>
          <w:w w:val="105"/>
        </w:rPr>
        <w:t> </w:t>
      </w:r>
      <w:r>
        <w:rPr>
          <w:w w:val="105"/>
        </w:rPr>
        <w:t>following</w:t>
      </w:r>
      <w:r>
        <w:rPr>
          <w:spacing w:val="-9"/>
          <w:w w:val="105"/>
        </w:rPr>
        <w:t> </w:t>
      </w:r>
      <w:r>
        <w:rPr>
          <w:w w:val="105"/>
        </w:rPr>
        <w:t>table</w:t>
      </w:r>
      <w:r>
        <w:rPr>
          <w:spacing w:val="-10"/>
          <w:w w:val="105"/>
        </w:rPr>
        <w:t> </w:t>
      </w:r>
      <w:r>
        <w:rPr>
          <w:w w:val="105"/>
        </w:rPr>
        <w:t>presents</w:t>
      </w:r>
      <w:r>
        <w:rPr>
          <w:spacing w:val="-9"/>
          <w:w w:val="105"/>
        </w:rPr>
        <w:t> </w:t>
      </w:r>
      <w:r>
        <w:rPr>
          <w:w w:val="105"/>
        </w:rPr>
        <w:t>segment</w:t>
      </w:r>
      <w:r>
        <w:rPr>
          <w:spacing w:val="-9"/>
          <w:w w:val="105"/>
        </w:rPr>
        <w:t> </w:t>
      </w:r>
      <w:r>
        <w:rPr>
          <w:w w:val="105"/>
        </w:rPr>
        <w:t>net</w:t>
      </w:r>
      <w:r>
        <w:rPr>
          <w:spacing w:val="-10"/>
          <w:w w:val="105"/>
        </w:rPr>
        <w:t> </w:t>
      </w:r>
      <w:r>
        <w:rPr>
          <w:w w:val="105"/>
        </w:rPr>
        <w:t>sales</w:t>
      </w:r>
      <w:r>
        <w:rPr>
          <w:spacing w:val="-9"/>
          <w:w w:val="105"/>
        </w:rPr>
        <w:t> </w:t>
      </w:r>
      <w:r>
        <w:rPr>
          <w:w w:val="105"/>
        </w:rPr>
        <w:t>by</w:t>
      </w:r>
      <w:r>
        <w:rPr>
          <w:spacing w:val="-10"/>
          <w:w w:val="105"/>
        </w:rPr>
        <w:t> </w:t>
      </w:r>
      <w:r>
        <w:rPr>
          <w:w w:val="105"/>
        </w:rPr>
        <w:t>reportable</w:t>
      </w:r>
      <w:r>
        <w:rPr>
          <w:spacing w:val="-9"/>
          <w:w w:val="105"/>
        </w:rPr>
        <w:t> </w:t>
      </w:r>
      <w:r>
        <w:rPr>
          <w:w w:val="105"/>
        </w:rPr>
        <w:t>segment</w:t>
      </w:r>
      <w:r>
        <w:rPr>
          <w:spacing w:val="-9"/>
          <w:w w:val="105"/>
        </w:rPr>
        <w:t> </w:t>
      </w:r>
      <w:r>
        <w:rPr>
          <w:w w:val="105"/>
        </w:rPr>
        <w:t>(in</w:t>
      </w:r>
      <w:r>
        <w:rPr>
          <w:spacing w:val="-10"/>
          <w:w w:val="105"/>
        </w:rPr>
        <w:t> </w:t>
      </w:r>
      <w:r>
        <w:rPr>
          <w:spacing w:val="-2"/>
          <w:w w:val="105"/>
        </w:rPr>
        <w:t>millions):</w:t>
      </w:r>
    </w:p>
    <w:p>
      <w:pPr>
        <w:spacing w:line="240" w:lineRule="auto" w:before="0"/>
        <w:rPr>
          <w:sz w:val="16"/>
        </w:rPr>
      </w:pPr>
      <w:r>
        <w:rPr/>
        <w:br w:type="column"/>
      </w:r>
      <w:r>
        <w:rPr>
          <w:sz w:val="16"/>
        </w:rPr>
      </w:r>
    </w:p>
    <w:p>
      <w:pPr>
        <w:pStyle w:val="BodyText"/>
        <w:spacing w:before="75"/>
      </w:pPr>
    </w:p>
    <w:p>
      <w:pPr>
        <w:tabs>
          <w:tab w:pos="4455" w:val="left" w:leader="none"/>
        </w:tabs>
        <w:spacing w:before="0"/>
        <w:ind w:left="3538" w:right="0" w:firstLine="0"/>
        <w:jc w:val="left"/>
        <w:rPr>
          <w:sz w:val="16"/>
        </w:rPr>
      </w:pPr>
      <w:r>
        <w:rPr>
          <w:spacing w:val="-10"/>
          <w:w w:val="105"/>
          <w:sz w:val="16"/>
        </w:rPr>
        <w:t>%</w:t>
      </w:r>
      <w:r>
        <w:rPr>
          <w:sz w:val="16"/>
        </w:rPr>
        <w:tab/>
      </w:r>
      <w:r>
        <w:rPr>
          <w:spacing w:val="-10"/>
          <w:w w:val="105"/>
          <w:sz w:val="16"/>
        </w:rPr>
        <w:t>%</w:t>
      </w:r>
    </w:p>
    <w:p>
      <w:pPr>
        <w:pStyle w:val="BodyText"/>
        <w:tabs>
          <w:tab w:pos="3373" w:val="left" w:leader="none"/>
          <w:tab w:pos="4290" w:val="left" w:leader="none"/>
        </w:tabs>
        <w:spacing w:before="20"/>
        <w:ind w:left="156"/>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r>
        <w:rPr/>
        <w:tab/>
      </w:r>
      <w:r>
        <w:rPr>
          <w:spacing w:val="-2"/>
          <w:w w:val="105"/>
        </w:rPr>
        <w:t>change</w:t>
      </w:r>
      <w:r>
        <w:rPr/>
        <w:tab/>
      </w:r>
      <w:r>
        <w:rPr>
          <w:spacing w:val="-2"/>
          <w:w w:val="105"/>
        </w:rPr>
        <w:t>change</w:t>
      </w:r>
    </w:p>
    <w:p>
      <w:pPr>
        <w:spacing w:after="0"/>
        <w:sectPr>
          <w:type w:val="continuous"/>
          <w:pgSz w:w="12240" w:h="15840"/>
          <w:pgMar w:header="428" w:footer="0" w:top="700" w:bottom="280" w:left="200" w:right="260"/>
          <w:cols w:num="2" w:equalWidth="0">
            <w:col w:w="5718" w:space="1028"/>
            <w:col w:w="5034"/>
          </w:cols>
        </w:sect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6"/>
        <w:gridCol w:w="1302"/>
        <w:gridCol w:w="1376"/>
        <w:gridCol w:w="1348"/>
        <w:gridCol w:w="114"/>
        <w:gridCol w:w="802"/>
        <w:gridCol w:w="114"/>
        <w:gridCol w:w="802"/>
      </w:tblGrid>
      <w:tr>
        <w:trPr>
          <w:trHeight w:val="213" w:hRule="atLeast"/>
        </w:trPr>
        <w:tc>
          <w:tcPr>
            <w:tcW w:w="6958" w:type="dxa"/>
            <w:gridSpan w:val="2"/>
          </w:tcPr>
          <w:p>
            <w:pPr>
              <w:pStyle w:val="TableParagraph"/>
              <w:spacing w:before="2"/>
              <w:ind w:right="554"/>
              <w:jc w:val="right"/>
              <w:rPr>
                <w:b/>
                <w:sz w:val="16"/>
              </w:rPr>
            </w:pPr>
            <w:r>
              <w:rPr>
                <w:b/>
                <w:spacing w:val="-4"/>
                <w:w w:val="105"/>
                <w:sz w:val="16"/>
              </w:rPr>
              <w:t>2021</w:t>
            </w:r>
          </w:p>
        </w:tc>
        <w:tc>
          <w:tcPr>
            <w:tcW w:w="1376" w:type="dxa"/>
            <w:tcBorders>
              <w:top w:val="single" w:sz="6" w:space="0" w:color="000000"/>
            </w:tcBorders>
          </w:tcPr>
          <w:p>
            <w:pPr>
              <w:pStyle w:val="TableParagraph"/>
              <w:spacing w:before="2"/>
              <w:ind w:right="54"/>
              <w:jc w:val="center"/>
              <w:rPr>
                <w:sz w:val="16"/>
              </w:rPr>
            </w:pPr>
            <w:r>
              <w:rPr>
                <w:spacing w:val="-4"/>
                <w:w w:val="105"/>
                <w:sz w:val="16"/>
              </w:rPr>
              <w:t>2020</w:t>
            </w:r>
          </w:p>
        </w:tc>
        <w:tc>
          <w:tcPr>
            <w:tcW w:w="1348" w:type="dxa"/>
            <w:tcBorders>
              <w:top w:val="single" w:sz="6" w:space="0" w:color="000000"/>
            </w:tcBorders>
          </w:tcPr>
          <w:p>
            <w:pPr>
              <w:pStyle w:val="TableParagraph"/>
              <w:spacing w:before="2"/>
              <w:ind w:right="27"/>
              <w:jc w:val="center"/>
              <w:rPr>
                <w:sz w:val="16"/>
              </w:rPr>
            </w:pPr>
            <w:r>
              <w:rPr>
                <w:spacing w:val="-4"/>
                <w:w w:val="105"/>
                <w:sz w:val="16"/>
              </w:rPr>
              <w:t>2019</w:t>
            </w:r>
          </w:p>
        </w:tc>
        <w:tc>
          <w:tcPr>
            <w:tcW w:w="114" w:type="dxa"/>
          </w:tcPr>
          <w:p>
            <w:pPr>
              <w:pStyle w:val="TableParagraph"/>
              <w:rPr>
                <w:sz w:val="14"/>
              </w:rPr>
            </w:pPr>
          </w:p>
        </w:tc>
        <w:tc>
          <w:tcPr>
            <w:tcW w:w="802" w:type="dxa"/>
            <w:tcBorders>
              <w:top w:val="single" w:sz="6" w:space="0" w:color="000000"/>
            </w:tcBorders>
          </w:tcPr>
          <w:p>
            <w:pPr>
              <w:pStyle w:val="TableParagraph"/>
              <w:spacing w:before="2"/>
              <w:ind w:left="99"/>
              <w:rPr>
                <w:sz w:val="16"/>
              </w:rPr>
            </w:pPr>
            <w:r>
              <w:rPr>
                <w:w w:val="105"/>
                <w:sz w:val="16"/>
              </w:rPr>
              <w:t>21</w:t>
            </w:r>
            <w:r>
              <w:rPr>
                <w:spacing w:val="-5"/>
                <w:w w:val="105"/>
                <w:sz w:val="16"/>
              </w:rPr>
              <w:t> </w:t>
            </w:r>
            <w:r>
              <w:rPr>
                <w:w w:val="105"/>
                <w:sz w:val="16"/>
              </w:rPr>
              <w:t>vs.</w:t>
            </w:r>
            <w:r>
              <w:rPr>
                <w:spacing w:val="-4"/>
                <w:w w:val="105"/>
                <w:sz w:val="16"/>
              </w:rPr>
              <w:t> </w:t>
            </w:r>
            <w:r>
              <w:rPr>
                <w:spacing w:val="-7"/>
                <w:w w:val="105"/>
                <w:sz w:val="16"/>
              </w:rPr>
              <w:t>20</w:t>
            </w:r>
          </w:p>
        </w:tc>
        <w:tc>
          <w:tcPr>
            <w:tcW w:w="114" w:type="dxa"/>
          </w:tcPr>
          <w:p>
            <w:pPr>
              <w:pStyle w:val="TableParagraph"/>
              <w:rPr>
                <w:sz w:val="14"/>
              </w:rPr>
            </w:pPr>
          </w:p>
        </w:tc>
        <w:tc>
          <w:tcPr>
            <w:tcW w:w="802" w:type="dxa"/>
            <w:tcBorders>
              <w:top w:val="single" w:sz="6" w:space="0" w:color="000000"/>
            </w:tcBorders>
          </w:tcPr>
          <w:p>
            <w:pPr>
              <w:pStyle w:val="TableParagraph"/>
              <w:spacing w:before="2"/>
              <w:ind w:left="100"/>
              <w:rPr>
                <w:sz w:val="16"/>
              </w:rPr>
            </w:pPr>
            <w:r>
              <w:rPr>
                <w:w w:val="105"/>
                <w:sz w:val="16"/>
              </w:rPr>
              <w:t>20</w:t>
            </w:r>
            <w:r>
              <w:rPr>
                <w:spacing w:val="-5"/>
                <w:w w:val="105"/>
                <w:sz w:val="16"/>
              </w:rPr>
              <w:t> </w:t>
            </w:r>
            <w:r>
              <w:rPr>
                <w:w w:val="105"/>
                <w:sz w:val="16"/>
              </w:rPr>
              <w:t>vs.</w:t>
            </w:r>
            <w:r>
              <w:rPr>
                <w:spacing w:val="-4"/>
                <w:w w:val="105"/>
                <w:sz w:val="16"/>
              </w:rPr>
              <w:t> </w:t>
            </w:r>
            <w:r>
              <w:rPr>
                <w:spacing w:val="-7"/>
                <w:w w:val="105"/>
                <w:sz w:val="16"/>
              </w:rPr>
              <w:t>19</w:t>
            </w:r>
          </w:p>
        </w:tc>
      </w:tr>
      <w:tr>
        <w:trPr>
          <w:trHeight w:val="191" w:hRule="atLeast"/>
        </w:trPr>
        <w:tc>
          <w:tcPr>
            <w:tcW w:w="5656" w:type="dxa"/>
            <w:tcBorders>
              <w:top w:val="single" w:sz="6" w:space="0" w:color="000000"/>
            </w:tcBorders>
            <w:shd w:val="clear" w:color="auto" w:fill="CCEDFF"/>
          </w:tcPr>
          <w:p>
            <w:pPr>
              <w:pStyle w:val="TableParagraph"/>
              <w:spacing w:line="180" w:lineRule="exact" w:before="2"/>
              <w:rPr>
                <w:sz w:val="16"/>
              </w:rPr>
            </w:pPr>
            <w:r>
              <w:rPr>
                <w:sz w:val="16"/>
              </w:rPr>
              <w:t>Display</w:t>
            </w:r>
            <w:r>
              <w:rPr>
                <w:spacing w:val="15"/>
                <w:sz w:val="16"/>
              </w:rPr>
              <w:t> </w:t>
            </w:r>
            <w:r>
              <w:rPr>
                <w:spacing w:val="-2"/>
                <w:sz w:val="16"/>
              </w:rPr>
              <w:t>Technologies</w:t>
            </w:r>
          </w:p>
        </w:tc>
        <w:tc>
          <w:tcPr>
            <w:tcW w:w="1302" w:type="dxa"/>
            <w:tcBorders>
              <w:top w:val="single" w:sz="6" w:space="0" w:color="000000"/>
            </w:tcBorders>
            <w:shd w:val="clear" w:color="auto" w:fill="CCEDFF"/>
          </w:tcPr>
          <w:p>
            <w:pPr>
              <w:pStyle w:val="TableParagraph"/>
              <w:tabs>
                <w:tab w:pos="786" w:val="left" w:leader="none"/>
              </w:tabs>
              <w:spacing w:line="180" w:lineRule="exact" w:before="2"/>
              <w:ind w:left="-1" w:right="140"/>
              <w:jc w:val="right"/>
              <w:rPr>
                <w:b/>
                <w:sz w:val="16"/>
              </w:rPr>
            </w:pPr>
            <w:r>
              <w:rPr>
                <w:b/>
                <w:spacing w:val="-10"/>
                <w:w w:val="105"/>
                <w:sz w:val="16"/>
              </w:rPr>
              <w:t>$</w:t>
            </w:r>
            <w:r>
              <w:rPr>
                <w:b/>
                <w:sz w:val="16"/>
              </w:rPr>
              <w:tab/>
            </w:r>
            <w:r>
              <w:rPr>
                <w:b/>
                <w:spacing w:val="-4"/>
                <w:w w:val="105"/>
                <w:sz w:val="16"/>
              </w:rPr>
              <w:t>3,700</w:t>
            </w:r>
          </w:p>
        </w:tc>
        <w:tc>
          <w:tcPr>
            <w:tcW w:w="1376" w:type="dxa"/>
            <w:tcBorders>
              <w:top w:val="single" w:sz="6" w:space="0" w:color="000000"/>
            </w:tcBorders>
            <w:shd w:val="clear" w:color="auto" w:fill="CCEDFF"/>
          </w:tcPr>
          <w:p>
            <w:pPr>
              <w:pStyle w:val="TableParagraph"/>
              <w:tabs>
                <w:tab w:pos="860" w:val="left" w:leader="none"/>
              </w:tabs>
              <w:spacing w:line="180" w:lineRule="exact" w:before="2"/>
              <w:ind w:left="86"/>
              <w:rPr>
                <w:sz w:val="16"/>
              </w:rPr>
            </w:pPr>
            <w:r>
              <w:rPr>
                <w:spacing w:val="-10"/>
                <w:w w:val="105"/>
                <w:sz w:val="16"/>
              </w:rPr>
              <w:t>$</w:t>
            </w:r>
            <w:r>
              <w:rPr>
                <w:sz w:val="16"/>
              </w:rPr>
              <w:tab/>
            </w:r>
            <w:r>
              <w:rPr>
                <w:spacing w:val="-4"/>
                <w:w w:val="105"/>
                <w:sz w:val="16"/>
              </w:rPr>
              <w:t>3,172</w:t>
            </w:r>
          </w:p>
        </w:tc>
        <w:tc>
          <w:tcPr>
            <w:tcW w:w="1348" w:type="dxa"/>
            <w:tcBorders>
              <w:top w:val="single" w:sz="6" w:space="0" w:color="000000"/>
            </w:tcBorders>
            <w:shd w:val="clear" w:color="auto" w:fill="CCEDFF"/>
          </w:tcPr>
          <w:p>
            <w:pPr>
              <w:pStyle w:val="TableParagraph"/>
              <w:tabs>
                <w:tab w:pos="773" w:val="left" w:leader="none"/>
              </w:tabs>
              <w:spacing w:line="180" w:lineRule="exact" w:before="2"/>
              <w:ind w:right="113"/>
              <w:jc w:val="right"/>
              <w:rPr>
                <w:sz w:val="16"/>
              </w:rPr>
            </w:pPr>
            <w:r>
              <w:rPr>
                <w:spacing w:val="-10"/>
                <w:w w:val="105"/>
                <w:sz w:val="16"/>
              </w:rPr>
              <w:t>$</w:t>
            </w:r>
            <w:r>
              <w:rPr>
                <w:sz w:val="16"/>
              </w:rPr>
              <w:tab/>
            </w:r>
            <w:r>
              <w:rPr>
                <w:spacing w:val="-2"/>
                <w:w w:val="105"/>
                <w:sz w:val="16"/>
              </w:rPr>
              <w:t>3,254</w:t>
            </w:r>
          </w:p>
        </w:tc>
        <w:tc>
          <w:tcPr>
            <w:tcW w:w="916" w:type="dxa"/>
            <w:gridSpan w:val="2"/>
            <w:tcBorders>
              <w:top w:val="single" w:sz="6" w:space="0" w:color="000000"/>
            </w:tcBorders>
            <w:shd w:val="clear" w:color="auto" w:fill="CCEDFF"/>
          </w:tcPr>
          <w:p>
            <w:pPr>
              <w:pStyle w:val="TableParagraph"/>
              <w:spacing w:line="180" w:lineRule="exact" w:before="2"/>
              <w:ind w:left="363"/>
              <w:rPr>
                <w:sz w:val="16"/>
              </w:rPr>
            </w:pPr>
            <w:r>
              <w:rPr>
                <w:spacing w:val="-5"/>
                <w:w w:val="105"/>
                <w:sz w:val="16"/>
              </w:rPr>
              <w:t>17%</w:t>
            </w:r>
          </w:p>
        </w:tc>
        <w:tc>
          <w:tcPr>
            <w:tcW w:w="916" w:type="dxa"/>
            <w:gridSpan w:val="2"/>
            <w:tcBorders>
              <w:top w:val="single" w:sz="6" w:space="0" w:color="000000"/>
            </w:tcBorders>
            <w:shd w:val="clear" w:color="auto" w:fill="CCEDFF"/>
          </w:tcPr>
          <w:p>
            <w:pPr>
              <w:pStyle w:val="TableParagraph"/>
              <w:spacing w:line="180" w:lineRule="exact" w:before="2"/>
              <w:ind w:left="350"/>
              <w:rPr>
                <w:sz w:val="16"/>
              </w:rPr>
            </w:pPr>
            <w:r>
              <w:rPr>
                <w:spacing w:val="-4"/>
                <w:w w:val="105"/>
                <w:sz w:val="16"/>
              </w:rPr>
              <w:t>(3)%</w:t>
            </w:r>
          </w:p>
        </w:tc>
      </w:tr>
      <w:tr>
        <w:trPr>
          <w:trHeight w:val="203" w:hRule="atLeast"/>
        </w:trPr>
        <w:tc>
          <w:tcPr>
            <w:tcW w:w="5656" w:type="dxa"/>
          </w:tcPr>
          <w:p>
            <w:pPr>
              <w:pStyle w:val="TableParagraph"/>
              <w:spacing w:line="180" w:lineRule="exact" w:before="3"/>
              <w:rPr>
                <w:sz w:val="16"/>
              </w:rPr>
            </w:pPr>
            <w:r>
              <w:rPr>
                <w:w w:val="105"/>
                <w:sz w:val="16"/>
              </w:rPr>
              <w:t>Optical</w:t>
            </w:r>
            <w:r>
              <w:rPr>
                <w:spacing w:val="-11"/>
                <w:w w:val="105"/>
                <w:sz w:val="16"/>
              </w:rPr>
              <w:t> </w:t>
            </w:r>
            <w:r>
              <w:rPr>
                <w:spacing w:val="-2"/>
                <w:w w:val="105"/>
                <w:sz w:val="16"/>
              </w:rPr>
              <w:t>Communications</w:t>
            </w:r>
          </w:p>
        </w:tc>
        <w:tc>
          <w:tcPr>
            <w:tcW w:w="1302" w:type="dxa"/>
          </w:tcPr>
          <w:p>
            <w:pPr>
              <w:pStyle w:val="TableParagraph"/>
              <w:spacing w:line="180" w:lineRule="exact" w:before="3"/>
              <w:ind w:left="-1" w:right="140"/>
              <w:jc w:val="right"/>
              <w:rPr>
                <w:b/>
                <w:sz w:val="16"/>
              </w:rPr>
            </w:pPr>
            <w:r>
              <w:rPr>
                <w:b/>
                <w:spacing w:val="-4"/>
                <w:w w:val="105"/>
                <w:sz w:val="16"/>
              </w:rPr>
              <w:t>4,349</w:t>
            </w:r>
          </w:p>
        </w:tc>
        <w:tc>
          <w:tcPr>
            <w:tcW w:w="1376" w:type="dxa"/>
          </w:tcPr>
          <w:p>
            <w:pPr>
              <w:pStyle w:val="TableParagraph"/>
              <w:spacing w:line="180" w:lineRule="exact" w:before="3"/>
              <w:ind w:right="141"/>
              <w:jc w:val="right"/>
              <w:rPr>
                <w:sz w:val="16"/>
              </w:rPr>
            </w:pPr>
            <w:r>
              <w:rPr>
                <w:spacing w:val="-4"/>
                <w:w w:val="105"/>
                <w:sz w:val="16"/>
              </w:rPr>
              <w:t>3,563</w:t>
            </w:r>
          </w:p>
        </w:tc>
        <w:tc>
          <w:tcPr>
            <w:tcW w:w="1348" w:type="dxa"/>
          </w:tcPr>
          <w:p>
            <w:pPr>
              <w:pStyle w:val="TableParagraph"/>
              <w:spacing w:line="180" w:lineRule="exact" w:before="3"/>
              <w:ind w:right="113"/>
              <w:jc w:val="right"/>
              <w:rPr>
                <w:sz w:val="16"/>
              </w:rPr>
            </w:pPr>
            <w:r>
              <w:rPr>
                <w:spacing w:val="-4"/>
                <w:w w:val="105"/>
                <w:sz w:val="16"/>
              </w:rPr>
              <w:t>4,064</w:t>
            </w:r>
          </w:p>
        </w:tc>
        <w:tc>
          <w:tcPr>
            <w:tcW w:w="916" w:type="dxa"/>
            <w:gridSpan w:val="2"/>
          </w:tcPr>
          <w:p>
            <w:pPr>
              <w:pStyle w:val="TableParagraph"/>
              <w:spacing w:line="180" w:lineRule="exact" w:before="3"/>
              <w:ind w:left="363"/>
              <w:rPr>
                <w:sz w:val="16"/>
              </w:rPr>
            </w:pPr>
            <w:r>
              <w:rPr>
                <w:spacing w:val="-5"/>
                <w:w w:val="105"/>
                <w:sz w:val="16"/>
              </w:rPr>
              <w:t>22%</w:t>
            </w:r>
          </w:p>
        </w:tc>
        <w:tc>
          <w:tcPr>
            <w:tcW w:w="916" w:type="dxa"/>
            <w:gridSpan w:val="2"/>
          </w:tcPr>
          <w:p>
            <w:pPr>
              <w:pStyle w:val="TableParagraph"/>
              <w:spacing w:line="180" w:lineRule="exact" w:before="3"/>
              <w:ind w:left="309"/>
              <w:rPr>
                <w:sz w:val="16"/>
              </w:rPr>
            </w:pPr>
            <w:r>
              <w:rPr>
                <w:spacing w:val="-4"/>
                <w:w w:val="105"/>
                <w:sz w:val="16"/>
              </w:rPr>
              <w:t>(12)%</w:t>
            </w:r>
          </w:p>
        </w:tc>
      </w:tr>
      <w:tr>
        <w:trPr>
          <w:trHeight w:val="203" w:hRule="atLeast"/>
        </w:trPr>
        <w:tc>
          <w:tcPr>
            <w:tcW w:w="5656" w:type="dxa"/>
            <w:shd w:val="clear" w:color="auto" w:fill="CCEDFF"/>
          </w:tcPr>
          <w:p>
            <w:pPr>
              <w:pStyle w:val="TableParagraph"/>
              <w:spacing w:line="180" w:lineRule="exact" w:before="3"/>
              <w:rPr>
                <w:sz w:val="16"/>
              </w:rPr>
            </w:pPr>
            <w:r>
              <w:rPr>
                <w:sz w:val="16"/>
              </w:rPr>
              <w:t>Specialty</w:t>
            </w:r>
            <w:r>
              <w:rPr>
                <w:spacing w:val="18"/>
                <w:sz w:val="16"/>
              </w:rPr>
              <w:t> </w:t>
            </w:r>
            <w:r>
              <w:rPr>
                <w:spacing w:val="-2"/>
                <w:sz w:val="16"/>
              </w:rPr>
              <w:t>Materials</w:t>
            </w:r>
          </w:p>
        </w:tc>
        <w:tc>
          <w:tcPr>
            <w:tcW w:w="1302" w:type="dxa"/>
            <w:shd w:val="clear" w:color="auto" w:fill="CCEDFF"/>
          </w:tcPr>
          <w:p>
            <w:pPr>
              <w:pStyle w:val="TableParagraph"/>
              <w:spacing w:line="180" w:lineRule="exact" w:before="3"/>
              <w:ind w:left="-1" w:right="140"/>
              <w:jc w:val="right"/>
              <w:rPr>
                <w:b/>
                <w:sz w:val="16"/>
              </w:rPr>
            </w:pPr>
            <w:r>
              <w:rPr>
                <w:b/>
                <w:spacing w:val="-4"/>
                <w:w w:val="105"/>
                <w:sz w:val="16"/>
              </w:rPr>
              <w:t>2,008</w:t>
            </w:r>
          </w:p>
        </w:tc>
        <w:tc>
          <w:tcPr>
            <w:tcW w:w="1376" w:type="dxa"/>
            <w:shd w:val="clear" w:color="auto" w:fill="CCEDFF"/>
          </w:tcPr>
          <w:p>
            <w:pPr>
              <w:pStyle w:val="TableParagraph"/>
              <w:spacing w:line="180" w:lineRule="exact" w:before="3"/>
              <w:ind w:right="141"/>
              <w:jc w:val="right"/>
              <w:rPr>
                <w:sz w:val="16"/>
              </w:rPr>
            </w:pPr>
            <w:r>
              <w:rPr>
                <w:spacing w:val="-4"/>
                <w:w w:val="105"/>
                <w:sz w:val="16"/>
              </w:rPr>
              <w:t>1,884</w:t>
            </w:r>
          </w:p>
        </w:tc>
        <w:tc>
          <w:tcPr>
            <w:tcW w:w="1348" w:type="dxa"/>
            <w:shd w:val="clear" w:color="auto" w:fill="CCEDFF"/>
          </w:tcPr>
          <w:p>
            <w:pPr>
              <w:pStyle w:val="TableParagraph"/>
              <w:spacing w:line="180" w:lineRule="exact" w:before="3"/>
              <w:ind w:right="113"/>
              <w:jc w:val="right"/>
              <w:rPr>
                <w:sz w:val="16"/>
              </w:rPr>
            </w:pPr>
            <w:r>
              <w:rPr>
                <w:spacing w:val="-4"/>
                <w:w w:val="105"/>
                <w:sz w:val="16"/>
              </w:rPr>
              <w:t>1,594</w:t>
            </w:r>
          </w:p>
        </w:tc>
        <w:tc>
          <w:tcPr>
            <w:tcW w:w="916" w:type="dxa"/>
            <w:gridSpan w:val="2"/>
            <w:shd w:val="clear" w:color="auto" w:fill="CCEDFF"/>
          </w:tcPr>
          <w:p>
            <w:pPr>
              <w:pStyle w:val="TableParagraph"/>
              <w:spacing w:line="180" w:lineRule="exact" w:before="3"/>
              <w:ind w:left="404"/>
              <w:rPr>
                <w:sz w:val="16"/>
              </w:rPr>
            </w:pPr>
            <w:r>
              <w:rPr>
                <w:spacing w:val="-5"/>
                <w:w w:val="105"/>
                <w:sz w:val="16"/>
              </w:rPr>
              <w:t>7%</w:t>
            </w:r>
          </w:p>
        </w:tc>
        <w:tc>
          <w:tcPr>
            <w:tcW w:w="916" w:type="dxa"/>
            <w:gridSpan w:val="2"/>
            <w:shd w:val="clear" w:color="auto" w:fill="CCEDFF"/>
          </w:tcPr>
          <w:p>
            <w:pPr>
              <w:pStyle w:val="TableParagraph"/>
              <w:spacing w:line="180" w:lineRule="exact" w:before="3"/>
              <w:ind w:left="364"/>
              <w:rPr>
                <w:sz w:val="16"/>
              </w:rPr>
            </w:pPr>
            <w:r>
              <w:rPr>
                <w:spacing w:val="-5"/>
                <w:w w:val="105"/>
                <w:sz w:val="16"/>
              </w:rPr>
              <w:t>18%</w:t>
            </w:r>
          </w:p>
        </w:tc>
      </w:tr>
      <w:tr>
        <w:trPr>
          <w:trHeight w:val="203" w:hRule="atLeast"/>
        </w:trPr>
        <w:tc>
          <w:tcPr>
            <w:tcW w:w="5656" w:type="dxa"/>
          </w:tcPr>
          <w:p>
            <w:pPr>
              <w:pStyle w:val="TableParagraph"/>
              <w:spacing w:line="180" w:lineRule="exact" w:before="3"/>
              <w:rPr>
                <w:sz w:val="16"/>
              </w:rPr>
            </w:pPr>
            <w:r>
              <w:rPr>
                <w:sz w:val="16"/>
              </w:rPr>
              <w:t>Environmental</w:t>
            </w:r>
            <w:r>
              <w:rPr>
                <w:spacing w:val="29"/>
                <w:sz w:val="16"/>
              </w:rPr>
              <w:t> </w:t>
            </w:r>
            <w:r>
              <w:rPr>
                <w:spacing w:val="-2"/>
                <w:sz w:val="16"/>
              </w:rPr>
              <w:t>Technologies</w:t>
            </w:r>
          </w:p>
        </w:tc>
        <w:tc>
          <w:tcPr>
            <w:tcW w:w="1302" w:type="dxa"/>
          </w:tcPr>
          <w:p>
            <w:pPr>
              <w:pStyle w:val="TableParagraph"/>
              <w:spacing w:line="180" w:lineRule="exact" w:before="3"/>
              <w:ind w:left="-1" w:right="140"/>
              <w:jc w:val="right"/>
              <w:rPr>
                <w:b/>
                <w:sz w:val="16"/>
              </w:rPr>
            </w:pPr>
            <w:r>
              <w:rPr>
                <w:b/>
                <w:spacing w:val="-4"/>
                <w:w w:val="105"/>
                <w:sz w:val="16"/>
              </w:rPr>
              <w:t>1,586</w:t>
            </w:r>
          </w:p>
        </w:tc>
        <w:tc>
          <w:tcPr>
            <w:tcW w:w="1376" w:type="dxa"/>
          </w:tcPr>
          <w:p>
            <w:pPr>
              <w:pStyle w:val="TableParagraph"/>
              <w:spacing w:line="180" w:lineRule="exact" w:before="3"/>
              <w:ind w:right="141"/>
              <w:jc w:val="right"/>
              <w:rPr>
                <w:sz w:val="16"/>
              </w:rPr>
            </w:pPr>
            <w:r>
              <w:rPr>
                <w:spacing w:val="-4"/>
                <w:w w:val="105"/>
                <w:sz w:val="16"/>
              </w:rPr>
              <w:t>1,370</w:t>
            </w:r>
          </w:p>
        </w:tc>
        <w:tc>
          <w:tcPr>
            <w:tcW w:w="1348" w:type="dxa"/>
          </w:tcPr>
          <w:p>
            <w:pPr>
              <w:pStyle w:val="TableParagraph"/>
              <w:spacing w:line="180" w:lineRule="exact" w:before="3"/>
              <w:ind w:right="113"/>
              <w:jc w:val="right"/>
              <w:rPr>
                <w:sz w:val="16"/>
              </w:rPr>
            </w:pPr>
            <w:r>
              <w:rPr>
                <w:spacing w:val="-4"/>
                <w:w w:val="105"/>
                <w:sz w:val="16"/>
              </w:rPr>
              <w:t>1,499</w:t>
            </w:r>
          </w:p>
        </w:tc>
        <w:tc>
          <w:tcPr>
            <w:tcW w:w="916" w:type="dxa"/>
            <w:gridSpan w:val="2"/>
          </w:tcPr>
          <w:p>
            <w:pPr>
              <w:pStyle w:val="TableParagraph"/>
              <w:spacing w:line="180" w:lineRule="exact" w:before="3"/>
              <w:ind w:left="363"/>
              <w:rPr>
                <w:sz w:val="16"/>
              </w:rPr>
            </w:pPr>
            <w:r>
              <w:rPr>
                <w:spacing w:val="-5"/>
                <w:w w:val="105"/>
                <w:sz w:val="16"/>
              </w:rPr>
              <w:t>16%</w:t>
            </w:r>
          </w:p>
        </w:tc>
        <w:tc>
          <w:tcPr>
            <w:tcW w:w="916" w:type="dxa"/>
            <w:gridSpan w:val="2"/>
          </w:tcPr>
          <w:p>
            <w:pPr>
              <w:pStyle w:val="TableParagraph"/>
              <w:spacing w:line="180" w:lineRule="exact" w:before="3"/>
              <w:ind w:left="350"/>
              <w:rPr>
                <w:sz w:val="16"/>
              </w:rPr>
            </w:pPr>
            <w:r>
              <w:rPr>
                <w:spacing w:val="-4"/>
                <w:w w:val="105"/>
                <w:sz w:val="16"/>
              </w:rPr>
              <w:t>(9)%</w:t>
            </w:r>
          </w:p>
        </w:tc>
      </w:tr>
      <w:tr>
        <w:trPr>
          <w:trHeight w:val="203" w:hRule="atLeast"/>
        </w:trPr>
        <w:tc>
          <w:tcPr>
            <w:tcW w:w="5656" w:type="dxa"/>
            <w:shd w:val="clear" w:color="auto" w:fill="CCEDFF"/>
          </w:tcPr>
          <w:p>
            <w:pPr>
              <w:pStyle w:val="TableParagraph"/>
              <w:spacing w:line="180" w:lineRule="exact" w:before="3"/>
              <w:rPr>
                <w:sz w:val="16"/>
              </w:rPr>
            </w:pPr>
            <w:r>
              <w:rPr>
                <w:w w:val="105"/>
                <w:sz w:val="16"/>
              </w:rPr>
              <w:t>Life</w:t>
            </w:r>
            <w:r>
              <w:rPr>
                <w:spacing w:val="-7"/>
                <w:w w:val="105"/>
                <w:sz w:val="16"/>
              </w:rPr>
              <w:t> </w:t>
            </w:r>
            <w:r>
              <w:rPr>
                <w:spacing w:val="-2"/>
                <w:w w:val="105"/>
                <w:sz w:val="16"/>
              </w:rPr>
              <w:t>Sciences</w:t>
            </w:r>
          </w:p>
        </w:tc>
        <w:tc>
          <w:tcPr>
            <w:tcW w:w="1302" w:type="dxa"/>
            <w:shd w:val="clear" w:color="auto" w:fill="CCEDFF"/>
          </w:tcPr>
          <w:p>
            <w:pPr>
              <w:pStyle w:val="TableParagraph"/>
              <w:spacing w:line="180" w:lineRule="exact" w:before="3"/>
              <w:ind w:left="-1" w:right="140"/>
              <w:jc w:val="right"/>
              <w:rPr>
                <w:b/>
                <w:sz w:val="16"/>
              </w:rPr>
            </w:pPr>
            <w:r>
              <w:rPr>
                <w:b/>
                <w:spacing w:val="-4"/>
                <w:w w:val="105"/>
                <w:sz w:val="16"/>
              </w:rPr>
              <w:t>1,234</w:t>
            </w:r>
          </w:p>
        </w:tc>
        <w:tc>
          <w:tcPr>
            <w:tcW w:w="1376" w:type="dxa"/>
            <w:shd w:val="clear" w:color="auto" w:fill="CCEDFF"/>
          </w:tcPr>
          <w:p>
            <w:pPr>
              <w:pStyle w:val="TableParagraph"/>
              <w:spacing w:line="180" w:lineRule="exact" w:before="3"/>
              <w:ind w:right="141"/>
              <w:jc w:val="right"/>
              <w:rPr>
                <w:sz w:val="16"/>
              </w:rPr>
            </w:pPr>
            <w:r>
              <w:rPr>
                <w:spacing w:val="-5"/>
                <w:w w:val="105"/>
                <w:sz w:val="16"/>
              </w:rPr>
              <w:t>998</w:t>
            </w:r>
          </w:p>
        </w:tc>
        <w:tc>
          <w:tcPr>
            <w:tcW w:w="1348" w:type="dxa"/>
            <w:shd w:val="clear" w:color="auto" w:fill="CCEDFF"/>
          </w:tcPr>
          <w:p>
            <w:pPr>
              <w:pStyle w:val="TableParagraph"/>
              <w:spacing w:line="180" w:lineRule="exact" w:before="3"/>
              <w:ind w:right="113"/>
              <w:jc w:val="right"/>
              <w:rPr>
                <w:sz w:val="16"/>
              </w:rPr>
            </w:pPr>
            <w:r>
              <w:rPr>
                <w:spacing w:val="-4"/>
                <w:w w:val="105"/>
                <w:sz w:val="16"/>
              </w:rPr>
              <w:t>1,015</w:t>
            </w:r>
          </w:p>
        </w:tc>
        <w:tc>
          <w:tcPr>
            <w:tcW w:w="916" w:type="dxa"/>
            <w:gridSpan w:val="2"/>
            <w:shd w:val="clear" w:color="auto" w:fill="CCEDFF"/>
          </w:tcPr>
          <w:p>
            <w:pPr>
              <w:pStyle w:val="TableParagraph"/>
              <w:spacing w:line="180" w:lineRule="exact" w:before="3"/>
              <w:ind w:left="363"/>
              <w:rPr>
                <w:sz w:val="16"/>
              </w:rPr>
            </w:pPr>
            <w:r>
              <w:rPr>
                <w:spacing w:val="-5"/>
                <w:w w:val="105"/>
                <w:sz w:val="16"/>
              </w:rPr>
              <w:t>24%</w:t>
            </w:r>
          </w:p>
        </w:tc>
        <w:tc>
          <w:tcPr>
            <w:tcW w:w="916" w:type="dxa"/>
            <w:gridSpan w:val="2"/>
            <w:shd w:val="clear" w:color="auto" w:fill="CCEDFF"/>
          </w:tcPr>
          <w:p>
            <w:pPr>
              <w:pStyle w:val="TableParagraph"/>
              <w:spacing w:line="180" w:lineRule="exact" w:before="3"/>
              <w:ind w:left="350"/>
              <w:rPr>
                <w:sz w:val="16"/>
              </w:rPr>
            </w:pPr>
            <w:r>
              <w:rPr>
                <w:spacing w:val="-4"/>
                <w:w w:val="105"/>
                <w:sz w:val="16"/>
              </w:rPr>
              <w:t>(2)%</w:t>
            </w:r>
          </w:p>
        </w:tc>
      </w:tr>
      <w:tr>
        <w:trPr>
          <w:trHeight w:val="202" w:hRule="atLeast"/>
        </w:trPr>
        <w:tc>
          <w:tcPr>
            <w:tcW w:w="5656" w:type="dxa"/>
            <w:tcBorders>
              <w:bottom w:val="single" w:sz="6" w:space="0" w:color="000000"/>
            </w:tcBorders>
          </w:tcPr>
          <w:p>
            <w:pPr>
              <w:pStyle w:val="TableParagraph"/>
              <w:spacing w:line="179" w:lineRule="exact" w:before="3"/>
              <w:rPr>
                <w:sz w:val="16"/>
              </w:rPr>
            </w:pPr>
            <w:r>
              <w:rPr>
                <w:w w:val="105"/>
                <w:sz w:val="16"/>
              </w:rPr>
              <w:t>All</w:t>
            </w:r>
            <w:r>
              <w:rPr>
                <w:spacing w:val="-8"/>
                <w:w w:val="105"/>
                <w:sz w:val="16"/>
              </w:rPr>
              <w:t> </w:t>
            </w:r>
            <w:r>
              <w:rPr>
                <w:spacing w:val="-2"/>
                <w:w w:val="105"/>
                <w:sz w:val="16"/>
              </w:rPr>
              <w:t>Other</w:t>
            </w:r>
          </w:p>
        </w:tc>
        <w:tc>
          <w:tcPr>
            <w:tcW w:w="1302" w:type="dxa"/>
            <w:tcBorders>
              <w:bottom w:val="single" w:sz="6" w:space="0" w:color="000000"/>
            </w:tcBorders>
          </w:tcPr>
          <w:p>
            <w:pPr>
              <w:pStyle w:val="TableParagraph"/>
              <w:spacing w:line="179" w:lineRule="exact" w:before="3"/>
              <w:ind w:left="-1" w:right="140"/>
              <w:jc w:val="right"/>
              <w:rPr>
                <w:b/>
                <w:sz w:val="16"/>
              </w:rPr>
            </w:pPr>
            <w:r>
              <w:rPr>
                <w:b/>
                <w:spacing w:val="-4"/>
                <w:w w:val="105"/>
                <w:sz w:val="16"/>
              </w:rPr>
              <w:t>1,243</w:t>
            </w:r>
          </w:p>
        </w:tc>
        <w:tc>
          <w:tcPr>
            <w:tcW w:w="1376" w:type="dxa"/>
            <w:tcBorders>
              <w:bottom w:val="single" w:sz="6" w:space="0" w:color="000000"/>
            </w:tcBorders>
          </w:tcPr>
          <w:p>
            <w:pPr>
              <w:pStyle w:val="TableParagraph"/>
              <w:spacing w:line="179" w:lineRule="exact" w:before="3"/>
              <w:ind w:right="141"/>
              <w:jc w:val="right"/>
              <w:rPr>
                <w:sz w:val="16"/>
              </w:rPr>
            </w:pPr>
            <w:r>
              <w:rPr>
                <w:spacing w:val="-5"/>
                <w:w w:val="105"/>
                <w:sz w:val="16"/>
              </w:rPr>
              <w:t>465</w:t>
            </w:r>
          </w:p>
        </w:tc>
        <w:tc>
          <w:tcPr>
            <w:tcW w:w="1348" w:type="dxa"/>
            <w:tcBorders>
              <w:bottom w:val="single" w:sz="6" w:space="0" w:color="000000"/>
            </w:tcBorders>
          </w:tcPr>
          <w:p>
            <w:pPr>
              <w:pStyle w:val="TableParagraph"/>
              <w:spacing w:line="179" w:lineRule="exact" w:before="3"/>
              <w:ind w:right="113"/>
              <w:jc w:val="right"/>
              <w:rPr>
                <w:sz w:val="16"/>
              </w:rPr>
            </w:pPr>
            <w:r>
              <w:rPr>
                <w:spacing w:val="-5"/>
                <w:w w:val="105"/>
                <w:sz w:val="16"/>
              </w:rPr>
              <w:t>230</w:t>
            </w:r>
          </w:p>
        </w:tc>
        <w:tc>
          <w:tcPr>
            <w:tcW w:w="916" w:type="dxa"/>
            <w:gridSpan w:val="2"/>
            <w:tcBorders>
              <w:bottom w:val="single" w:sz="6" w:space="0" w:color="000000"/>
            </w:tcBorders>
          </w:tcPr>
          <w:p>
            <w:pPr>
              <w:pStyle w:val="TableParagraph"/>
              <w:spacing w:line="179" w:lineRule="exact" w:before="3"/>
              <w:ind w:left="322"/>
              <w:rPr>
                <w:sz w:val="16"/>
              </w:rPr>
            </w:pPr>
            <w:r>
              <w:rPr>
                <w:spacing w:val="-4"/>
                <w:w w:val="105"/>
                <w:sz w:val="16"/>
              </w:rPr>
              <w:t>167%</w:t>
            </w:r>
          </w:p>
        </w:tc>
        <w:tc>
          <w:tcPr>
            <w:tcW w:w="916" w:type="dxa"/>
            <w:gridSpan w:val="2"/>
            <w:tcBorders>
              <w:bottom w:val="single" w:sz="6" w:space="0" w:color="000000"/>
            </w:tcBorders>
          </w:tcPr>
          <w:p>
            <w:pPr>
              <w:pStyle w:val="TableParagraph"/>
              <w:spacing w:line="179" w:lineRule="exact" w:before="3"/>
              <w:ind w:left="323"/>
              <w:rPr>
                <w:sz w:val="16"/>
              </w:rPr>
            </w:pPr>
            <w:r>
              <w:rPr>
                <w:spacing w:val="-4"/>
                <w:w w:val="105"/>
                <w:sz w:val="16"/>
              </w:rPr>
              <w:t>102%</w:t>
            </w:r>
          </w:p>
        </w:tc>
      </w:tr>
      <w:tr>
        <w:trPr>
          <w:trHeight w:val="202" w:hRule="atLeast"/>
        </w:trPr>
        <w:tc>
          <w:tcPr>
            <w:tcW w:w="5656" w:type="dxa"/>
            <w:tcBorders>
              <w:top w:val="single" w:sz="6" w:space="0" w:color="000000"/>
            </w:tcBorders>
            <w:shd w:val="clear" w:color="auto" w:fill="CCEDFF"/>
          </w:tcPr>
          <w:p>
            <w:pPr>
              <w:pStyle w:val="TableParagraph"/>
              <w:spacing w:line="180" w:lineRule="exact" w:before="2"/>
              <w:rPr>
                <w:sz w:val="16"/>
              </w:rPr>
            </w:pPr>
            <w:r>
              <w:rPr>
                <w:w w:val="105"/>
                <w:sz w:val="16"/>
              </w:rPr>
              <w:t>Net</w:t>
            </w:r>
            <w:r>
              <w:rPr>
                <w:spacing w:val="-9"/>
                <w:w w:val="105"/>
                <w:sz w:val="16"/>
              </w:rPr>
              <w:t> </w:t>
            </w:r>
            <w:r>
              <w:rPr>
                <w:w w:val="105"/>
                <w:sz w:val="16"/>
              </w:rPr>
              <w:t>sales</w:t>
            </w:r>
            <w:r>
              <w:rPr>
                <w:spacing w:val="-9"/>
                <w:w w:val="105"/>
                <w:sz w:val="16"/>
              </w:rPr>
              <w:t> </w:t>
            </w:r>
            <w:r>
              <w:rPr>
                <w:w w:val="105"/>
                <w:sz w:val="16"/>
              </w:rPr>
              <w:t>of</w:t>
            </w:r>
            <w:r>
              <w:rPr>
                <w:spacing w:val="-9"/>
                <w:w w:val="105"/>
                <w:sz w:val="16"/>
              </w:rPr>
              <w:t> </w:t>
            </w:r>
            <w:r>
              <w:rPr>
                <w:w w:val="105"/>
                <w:sz w:val="16"/>
              </w:rPr>
              <w:t>reportable</w:t>
            </w:r>
            <w:r>
              <w:rPr>
                <w:spacing w:val="-9"/>
                <w:w w:val="105"/>
                <w:sz w:val="16"/>
              </w:rPr>
              <w:t> </w:t>
            </w:r>
            <w:r>
              <w:rPr>
                <w:w w:val="105"/>
                <w:sz w:val="16"/>
              </w:rPr>
              <w:t>segments</w:t>
            </w:r>
            <w:r>
              <w:rPr>
                <w:spacing w:val="-9"/>
                <w:w w:val="105"/>
                <w:sz w:val="16"/>
              </w:rPr>
              <w:t> </w:t>
            </w:r>
            <w:r>
              <w:rPr>
                <w:w w:val="105"/>
                <w:sz w:val="16"/>
              </w:rPr>
              <w:t>and</w:t>
            </w:r>
            <w:r>
              <w:rPr>
                <w:spacing w:val="-9"/>
                <w:w w:val="105"/>
                <w:sz w:val="16"/>
              </w:rPr>
              <w:t> </w:t>
            </w:r>
            <w:r>
              <w:rPr>
                <w:w w:val="105"/>
                <w:sz w:val="16"/>
              </w:rPr>
              <w:t>All</w:t>
            </w:r>
            <w:r>
              <w:rPr>
                <w:spacing w:val="-9"/>
                <w:w w:val="105"/>
                <w:sz w:val="16"/>
              </w:rPr>
              <w:t> </w:t>
            </w:r>
            <w:r>
              <w:rPr>
                <w:spacing w:val="-2"/>
                <w:w w:val="105"/>
                <w:sz w:val="16"/>
              </w:rPr>
              <w:t>Other</w:t>
            </w:r>
          </w:p>
        </w:tc>
        <w:tc>
          <w:tcPr>
            <w:tcW w:w="1302" w:type="dxa"/>
            <w:tcBorders>
              <w:top w:val="single" w:sz="6" w:space="0" w:color="000000"/>
            </w:tcBorders>
            <w:shd w:val="clear" w:color="auto" w:fill="CCEDFF"/>
          </w:tcPr>
          <w:p>
            <w:pPr>
              <w:pStyle w:val="TableParagraph"/>
              <w:tabs>
                <w:tab w:pos="703" w:val="left" w:leader="none"/>
              </w:tabs>
              <w:spacing w:line="180" w:lineRule="exact" w:before="2"/>
              <w:ind w:left="-1" w:right="140"/>
              <w:jc w:val="right"/>
              <w:rPr>
                <w:b/>
                <w:sz w:val="16"/>
              </w:rPr>
            </w:pPr>
            <w:r>
              <w:rPr>
                <w:b/>
                <w:spacing w:val="-10"/>
                <w:w w:val="105"/>
                <w:sz w:val="16"/>
              </w:rPr>
              <w:t>$</w:t>
            </w:r>
            <w:r>
              <w:rPr>
                <w:b/>
                <w:sz w:val="16"/>
              </w:rPr>
              <w:tab/>
            </w:r>
            <w:r>
              <w:rPr>
                <w:b/>
                <w:spacing w:val="-4"/>
                <w:w w:val="105"/>
                <w:sz w:val="16"/>
              </w:rPr>
              <w:t>14,120</w:t>
            </w:r>
          </w:p>
        </w:tc>
        <w:tc>
          <w:tcPr>
            <w:tcW w:w="1376" w:type="dxa"/>
            <w:tcBorders>
              <w:top w:val="single" w:sz="6" w:space="0" w:color="000000"/>
            </w:tcBorders>
            <w:shd w:val="clear" w:color="auto" w:fill="CCEDFF"/>
          </w:tcPr>
          <w:p>
            <w:pPr>
              <w:pStyle w:val="TableParagraph"/>
              <w:tabs>
                <w:tab w:pos="777" w:val="left" w:leader="none"/>
              </w:tabs>
              <w:spacing w:line="180" w:lineRule="exact" w:before="2"/>
              <w:ind w:left="86"/>
              <w:rPr>
                <w:sz w:val="16"/>
              </w:rPr>
            </w:pPr>
            <w:r>
              <w:rPr>
                <w:spacing w:val="-10"/>
                <w:w w:val="105"/>
                <w:sz w:val="16"/>
              </w:rPr>
              <w:t>$</w:t>
            </w:r>
            <w:r>
              <w:rPr>
                <w:sz w:val="16"/>
              </w:rPr>
              <w:tab/>
            </w:r>
            <w:r>
              <w:rPr>
                <w:spacing w:val="-2"/>
                <w:w w:val="105"/>
                <w:sz w:val="16"/>
              </w:rPr>
              <w:t>11,452</w:t>
            </w:r>
          </w:p>
        </w:tc>
        <w:tc>
          <w:tcPr>
            <w:tcW w:w="1348" w:type="dxa"/>
            <w:tcBorders>
              <w:top w:val="single" w:sz="6" w:space="0" w:color="000000"/>
            </w:tcBorders>
            <w:shd w:val="clear" w:color="auto" w:fill="CCEDFF"/>
          </w:tcPr>
          <w:p>
            <w:pPr>
              <w:pStyle w:val="TableParagraph"/>
              <w:tabs>
                <w:tab w:pos="690" w:val="left" w:leader="none"/>
              </w:tabs>
              <w:spacing w:line="180" w:lineRule="exact" w:before="2"/>
              <w:ind w:right="113"/>
              <w:jc w:val="right"/>
              <w:rPr>
                <w:sz w:val="16"/>
              </w:rPr>
            </w:pPr>
            <w:r>
              <w:rPr>
                <w:spacing w:val="-10"/>
                <w:w w:val="105"/>
                <w:sz w:val="16"/>
              </w:rPr>
              <w:t>$</w:t>
            </w:r>
            <w:r>
              <w:rPr>
                <w:sz w:val="16"/>
              </w:rPr>
              <w:tab/>
            </w:r>
            <w:r>
              <w:rPr>
                <w:spacing w:val="-2"/>
                <w:w w:val="105"/>
                <w:sz w:val="16"/>
              </w:rPr>
              <w:t>11,656</w:t>
            </w:r>
          </w:p>
        </w:tc>
        <w:tc>
          <w:tcPr>
            <w:tcW w:w="916" w:type="dxa"/>
            <w:gridSpan w:val="2"/>
            <w:tcBorders>
              <w:top w:val="single" w:sz="6" w:space="0" w:color="000000"/>
            </w:tcBorders>
            <w:shd w:val="clear" w:color="auto" w:fill="CCEDFF"/>
          </w:tcPr>
          <w:p>
            <w:pPr>
              <w:pStyle w:val="TableParagraph"/>
              <w:spacing w:line="180" w:lineRule="exact" w:before="2"/>
              <w:ind w:left="363"/>
              <w:rPr>
                <w:sz w:val="16"/>
              </w:rPr>
            </w:pPr>
            <w:r>
              <w:rPr>
                <w:spacing w:val="-5"/>
                <w:w w:val="105"/>
                <w:sz w:val="16"/>
              </w:rPr>
              <w:t>23%</w:t>
            </w:r>
          </w:p>
        </w:tc>
        <w:tc>
          <w:tcPr>
            <w:tcW w:w="916" w:type="dxa"/>
            <w:gridSpan w:val="2"/>
            <w:tcBorders>
              <w:top w:val="single" w:sz="6" w:space="0" w:color="000000"/>
            </w:tcBorders>
            <w:shd w:val="clear" w:color="auto" w:fill="CCEDFF"/>
          </w:tcPr>
          <w:p>
            <w:pPr>
              <w:pStyle w:val="TableParagraph"/>
              <w:spacing w:line="180" w:lineRule="exact" w:before="2"/>
              <w:ind w:left="350"/>
              <w:rPr>
                <w:sz w:val="16"/>
              </w:rPr>
            </w:pPr>
            <w:r>
              <w:rPr>
                <w:spacing w:val="-4"/>
                <w:w w:val="105"/>
                <w:sz w:val="16"/>
              </w:rPr>
              <w:t>(2)%</w:t>
            </w:r>
          </w:p>
        </w:tc>
      </w:tr>
      <w:tr>
        <w:trPr>
          <w:trHeight w:val="203" w:hRule="atLeast"/>
        </w:trPr>
        <w:tc>
          <w:tcPr>
            <w:tcW w:w="5656" w:type="dxa"/>
          </w:tcPr>
          <w:p>
            <w:pPr>
              <w:pStyle w:val="TableParagraph"/>
              <w:spacing w:line="184" w:lineRule="exact"/>
              <w:rPr>
                <w:sz w:val="14"/>
              </w:rPr>
            </w:pPr>
            <w:r>
              <w:rPr>
                <w:spacing w:val="-2"/>
                <w:w w:val="105"/>
                <w:sz w:val="16"/>
              </w:rPr>
              <w:t>Impact</w:t>
            </w:r>
            <w:r>
              <w:rPr>
                <w:spacing w:val="1"/>
                <w:w w:val="105"/>
                <w:sz w:val="16"/>
              </w:rPr>
              <w:t> </w:t>
            </w:r>
            <w:r>
              <w:rPr>
                <w:spacing w:val="-2"/>
                <w:w w:val="105"/>
                <w:sz w:val="16"/>
              </w:rPr>
              <w:t>of</w:t>
            </w:r>
            <w:r>
              <w:rPr>
                <w:spacing w:val="1"/>
                <w:w w:val="105"/>
                <w:sz w:val="16"/>
              </w:rPr>
              <w:t> </w:t>
            </w:r>
            <w:r>
              <w:rPr>
                <w:spacing w:val="-2"/>
                <w:w w:val="105"/>
                <w:sz w:val="16"/>
              </w:rPr>
              <w:t>foreign</w:t>
            </w:r>
            <w:r>
              <w:rPr>
                <w:spacing w:val="1"/>
                <w:w w:val="105"/>
                <w:sz w:val="16"/>
              </w:rPr>
              <w:t> </w:t>
            </w:r>
            <w:r>
              <w:rPr>
                <w:spacing w:val="-2"/>
                <w:w w:val="105"/>
                <w:sz w:val="16"/>
              </w:rPr>
              <w:t>currency</w:t>
            </w:r>
            <w:r>
              <w:rPr>
                <w:spacing w:val="1"/>
                <w:w w:val="105"/>
                <w:sz w:val="16"/>
              </w:rPr>
              <w:t> </w:t>
            </w:r>
            <w:r>
              <w:rPr>
                <w:spacing w:val="-2"/>
                <w:w w:val="105"/>
                <w:sz w:val="16"/>
              </w:rPr>
              <w:t>movements</w:t>
            </w:r>
            <w:r>
              <w:rPr>
                <w:spacing w:val="3"/>
                <w:w w:val="105"/>
                <w:sz w:val="16"/>
              </w:rPr>
              <w:t> </w:t>
            </w:r>
            <w:r>
              <w:rPr>
                <w:spacing w:val="-5"/>
                <w:w w:val="105"/>
                <w:position w:val="3"/>
                <w:sz w:val="14"/>
              </w:rPr>
              <w:t>(1)</w:t>
            </w:r>
          </w:p>
        </w:tc>
        <w:tc>
          <w:tcPr>
            <w:tcW w:w="1302" w:type="dxa"/>
          </w:tcPr>
          <w:p>
            <w:pPr>
              <w:pStyle w:val="TableParagraph"/>
              <w:spacing w:line="180" w:lineRule="exact" w:before="3"/>
              <w:ind w:left="-1" w:right="85"/>
              <w:jc w:val="right"/>
              <w:rPr>
                <w:b/>
                <w:sz w:val="16"/>
              </w:rPr>
            </w:pPr>
            <w:r>
              <w:rPr>
                <w:b/>
                <w:spacing w:val="-4"/>
                <w:w w:val="105"/>
                <w:sz w:val="16"/>
              </w:rPr>
              <w:t>(38)</w:t>
            </w:r>
          </w:p>
        </w:tc>
        <w:tc>
          <w:tcPr>
            <w:tcW w:w="1376" w:type="dxa"/>
          </w:tcPr>
          <w:p>
            <w:pPr>
              <w:pStyle w:val="TableParagraph"/>
              <w:spacing w:line="180" w:lineRule="exact" w:before="3"/>
              <w:ind w:right="86"/>
              <w:jc w:val="right"/>
              <w:rPr>
                <w:sz w:val="16"/>
              </w:rPr>
            </w:pPr>
            <w:r>
              <w:rPr>
                <w:spacing w:val="-4"/>
                <w:w w:val="105"/>
                <w:sz w:val="16"/>
              </w:rPr>
              <w:t>(44)</w:t>
            </w:r>
          </w:p>
        </w:tc>
        <w:tc>
          <w:tcPr>
            <w:tcW w:w="1348" w:type="dxa"/>
          </w:tcPr>
          <w:p>
            <w:pPr>
              <w:pStyle w:val="TableParagraph"/>
              <w:spacing w:line="180" w:lineRule="exact" w:before="3"/>
              <w:ind w:right="58"/>
              <w:jc w:val="right"/>
              <w:rPr>
                <w:sz w:val="16"/>
              </w:rPr>
            </w:pPr>
            <w:r>
              <w:rPr>
                <w:spacing w:val="-2"/>
                <w:w w:val="105"/>
                <w:sz w:val="16"/>
              </w:rPr>
              <w:t>(153)</w:t>
            </w:r>
          </w:p>
        </w:tc>
        <w:tc>
          <w:tcPr>
            <w:tcW w:w="916" w:type="dxa"/>
            <w:gridSpan w:val="2"/>
          </w:tcPr>
          <w:p>
            <w:pPr>
              <w:pStyle w:val="TableParagraph"/>
              <w:spacing w:line="180" w:lineRule="exact" w:before="3"/>
              <w:ind w:left="363"/>
              <w:rPr>
                <w:sz w:val="16"/>
              </w:rPr>
            </w:pPr>
            <w:r>
              <w:rPr>
                <w:spacing w:val="-5"/>
                <w:w w:val="105"/>
                <w:sz w:val="16"/>
              </w:rPr>
              <w:t>14%</w:t>
            </w:r>
          </w:p>
        </w:tc>
        <w:tc>
          <w:tcPr>
            <w:tcW w:w="916" w:type="dxa"/>
            <w:gridSpan w:val="2"/>
          </w:tcPr>
          <w:p>
            <w:pPr>
              <w:pStyle w:val="TableParagraph"/>
              <w:spacing w:line="180" w:lineRule="exact" w:before="3"/>
              <w:ind w:left="364"/>
              <w:rPr>
                <w:sz w:val="16"/>
              </w:rPr>
            </w:pPr>
            <w:r>
              <w:rPr>
                <w:spacing w:val="-5"/>
                <w:w w:val="105"/>
                <w:sz w:val="16"/>
              </w:rPr>
              <w:t>71%</w:t>
            </w:r>
          </w:p>
        </w:tc>
      </w:tr>
      <w:tr>
        <w:trPr>
          <w:trHeight w:val="202" w:hRule="atLeast"/>
        </w:trPr>
        <w:tc>
          <w:tcPr>
            <w:tcW w:w="5656" w:type="dxa"/>
            <w:tcBorders>
              <w:bottom w:val="single" w:sz="6" w:space="0" w:color="000000"/>
            </w:tcBorders>
            <w:shd w:val="clear" w:color="auto" w:fill="CCEDFF"/>
          </w:tcPr>
          <w:p>
            <w:pPr>
              <w:pStyle w:val="TableParagraph"/>
              <w:spacing w:line="183" w:lineRule="exact"/>
              <w:rPr>
                <w:sz w:val="14"/>
              </w:rPr>
            </w:pPr>
            <w:r>
              <w:rPr>
                <w:sz w:val="16"/>
              </w:rPr>
              <w:t>Cumulative</w:t>
            </w:r>
            <w:r>
              <w:rPr>
                <w:spacing w:val="16"/>
                <w:sz w:val="16"/>
              </w:rPr>
              <w:t> </w:t>
            </w:r>
            <w:r>
              <w:rPr>
                <w:sz w:val="16"/>
              </w:rPr>
              <w:t>adjustment</w:t>
            </w:r>
            <w:r>
              <w:rPr>
                <w:spacing w:val="17"/>
                <w:sz w:val="16"/>
              </w:rPr>
              <w:t> </w:t>
            </w:r>
            <w:r>
              <w:rPr>
                <w:sz w:val="16"/>
              </w:rPr>
              <w:t>related</w:t>
            </w:r>
            <w:r>
              <w:rPr>
                <w:spacing w:val="14"/>
                <w:sz w:val="16"/>
              </w:rPr>
              <w:t> </w:t>
            </w:r>
            <w:r>
              <w:rPr>
                <w:sz w:val="16"/>
              </w:rPr>
              <w:t>to</w:t>
            </w:r>
            <w:r>
              <w:rPr>
                <w:spacing w:val="17"/>
                <w:sz w:val="16"/>
              </w:rPr>
              <w:t> </w:t>
            </w:r>
            <w:r>
              <w:rPr>
                <w:sz w:val="16"/>
              </w:rPr>
              <w:t>customer</w:t>
            </w:r>
            <w:r>
              <w:rPr>
                <w:spacing w:val="17"/>
                <w:sz w:val="16"/>
              </w:rPr>
              <w:t> </w:t>
            </w:r>
            <w:r>
              <w:rPr>
                <w:sz w:val="16"/>
              </w:rPr>
              <w:t>contract</w:t>
            </w:r>
            <w:r>
              <w:rPr>
                <w:spacing w:val="14"/>
                <w:sz w:val="16"/>
              </w:rPr>
              <w:t> </w:t>
            </w:r>
            <w:r>
              <w:rPr>
                <w:spacing w:val="-5"/>
                <w:position w:val="3"/>
                <w:sz w:val="14"/>
              </w:rPr>
              <w:t>(2)</w:t>
            </w:r>
          </w:p>
        </w:tc>
        <w:tc>
          <w:tcPr>
            <w:tcW w:w="1302" w:type="dxa"/>
            <w:tcBorders>
              <w:bottom w:val="single" w:sz="6" w:space="0" w:color="000000"/>
            </w:tcBorders>
            <w:shd w:val="clear" w:color="auto" w:fill="CCEDFF"/>
          </w:tcPr>
          <w:p>
            <w:pPr>
              <w:pStyle w:val="TableParagraph"/>
              <w:rPr>
                <w:sz w:val="14"/>
              </w:rPr>
            </w:pPr>
          </w:p>
        </w:tc>
        <w:tc>
          <w:tcPr>
            <w:tcW w:w="1376" w:type="dxa"/>
            <w:tcBorders>
              <w:bottom w:val="single" w:sz="6" w:space="0" w:color="000000"/>
            </w:tcBorders>
            <w:shd w:val="clear" w:color="auto" w:fill="CCEDFF"/>
          </w:tcPr>
          <w:p>
            <w:pPr>
              <w:pStyle w:val="TableParagraph"/>
              <w:spacing w:line="179" w:lineRule="exact" w:before="3"/>
              <w:ind w:right="86"/>
              <w:jc w:val="right"/>
              <w:rPr>
                <w:sz w:val="16"/>
              </w:rPr>
            </w:pPr>
            <w:r>
              <w:rPr>
                <w:spacing w:val="-2"/>
                <w:w w:val="105"/>
                <w:sz w:val="16"/>
              </w:rPr>
              <w:t>(105)</w:t>
            </w:r>
          </w:p>
        </w:tc>
        <w:tc>
          <w:tcPr>
            <w:tcW w:w="1348" w:type="dxa"/>
            <w:tcBorders>
              <w:bottom w:val="single" w:sz="6" w:space="0" w:color="000000"/>
            </w:tcBorders>
            <w:shd w:val="clear" w:color="auto" w:fill="CCEDFF"/>
          </w:tcPr>
          <w:p>
            <w:pPr>
              <w:pStyle w:val="TableParagraph"/>
              <w:rPr>
                <w:sz w:val="14"/>
              </w:rPr>
            </w:pPr>
          </w:p>
        </w:tc>
        <w:tc>
          <w:tcPr>
            <w:tcW w:w="916" w:type="dxa"/>
            <w:gridSpan w:val="2"/>
            <w:tcBorders>
              <w:bottom w:val="single" w:sz="6" w:space="0" w:color="000000"/>
            </w:tcBorders>
            <w:shd w:val="clear" w:color="auto" w:fill="CCEDFF"/>
          </w:tcPr>
          <w:p>
            <w:pPr>
              <w:pStyle w:val="TableParagraph"/>
              <w:spacing w:line="179" w:lineRule="exact" w:before="3"/>
              <w:ind w:left="114"/>
              <w:jc w:val="center"/>
              <w:rPr>
                <w:sz w:val="16"/>
              </w:rPr>
            </w:pPr>
            <w:r>
              <w:rPr>
                <w:spacing w:val="-10"/>
                <w:w w:val="105"/>
                <w:sz w:val="16"/>
              </w:rPr>
              <w:t>*</w:t>
            </w:r>
          </w:p>
        </w:tc>
        <w:tc>
          <w:tcPr>
            <w:tcW w:w="916" w:type="dxa"/>
            <w:gridSpan w:val="2"/>
            <w:tcBorders>
              <w:bottom w:val="single" w:sz="6" w:space="0" w:color="000000"/>
            </w:tcBorders>
            <w:shd w:val="clear" w:color="auto" w:fill="CCEDFF"/>
          </w:tcPr>
          <w:p>
            <w:pPr>
              <w:pStyle w:val="TableParagraph"/>
              <w:spacing w:line="179" w:lineRule="exact" w:before="3"/>
              <w:ind w:left="116"/>
              <w:jc w:val="center"/>
              <w:rPr>
                <w:sz w:val="16"/>
              </w:rPr>
            </w:pPr>
            <w:r>
              <w:rPr>
                <w:spacing w:val="-10"/>
                <w:w w:val="105"/>
                <w:sz w:val="16"/>
              </w:rPr>
              <w:t>*</w:t>
            </w:r>
          </w:p>
        </w:tc>
      </w:tr>
      <w:tr>
        <w:trPr>
          <w:trHeight w:val="199" w:hRule="atLeast"/>
        </w:trPr>
        <w:tc>
          <w:tcPr>
            <w:tcW w:w="5656" w:type="dxa"/>
            <w:tcBorders>
              <w:top w:val="single" w:sz="6" w:space="0" w:color="000000"/>
              <w:bottom w:val="double" w:sz="6" w:space="0" w:color="000000"/>
            </w:tcBorders>
          </w:tcPr>
          <w:p>
            <w:pPr>
              <w:pStyle w:val="TableParagraph"/>
              <w:spacing w:line="177" w:lineRule="exact" w:before="2"/>
              <w:rPr>
                <w:sz w:val="16"/>
              </w:rPr>
            </w:pPr>
            <w:r>
              <w:rPr>
                <w:sz w:val="16"/>
              </w:rPr>
              <w:t>Consolidated</w:t>
            </w:r>
            <w:r>
              <w:rPr>
                <w:spacing w:val="16"/>
                <w:sz w:val="16"/>
              </w:rPr>
              <w:t> </w:t>
            </w:r>
            <w:r>
              <w:rPr>
                <w:sz w:val="16"/>
              </w:rPr>
              <w:t>net</w:t>
            </w:r>
            <w:r>
              <w:rPr>
                <w:spacing w:val="17"/>
                <w:sz w:val="16"/>
              </w:rPr>
              <w:t> </w:t>
            </w:r>
            <w:r>
              <w:rPr>
                <w:spacing w:val="-2"/>
                <w:sz w:val="16"/>
              </w:rPr>
              <w:t>sales</w:t>
            </w:r>
          </w:p>
        </w:tc>
        <w:tc>
          <w:tcPr>
            <w:tcW w:w="1302" w:type="dxa"/>
            <w:tcBorders>
              <w:top w:val="single" w:sz="6" w:space="0" w:color="000000"/>
              <w:bottom w:val="double" w:sz="6" w:space="0" w:color="000000"/>
            </w:tcBorders>
          </w:tcPr>
          <w:p>
            <w:pPr>
              <w:pStyle w:val="TableParagraph"/>
              <w:tabs>
                <w:tab w:pos="703" w:val="left" w:leader="none"/>
              </w:tabs>
              <w:spacing w:line="177" w:lineRule="exact" w:before="2"/>
              <w:ind w:left="-1" w:right="140"/>
              <w:jc w:val="right"/>
              <w:rPr>
                <w:b/>
                <w:sz w:val="16"/>
              </w:rPr>
            </w:pPr>
            <w:r>
              <w:rPr>
                <w:b/>
                <w:spacing w:val="-10"/>
                <w:w w:val="105"/>
                <w:sz w:val="16"/>
              </w:rPr>
              <w:t>$</w:t>
            </w:r>
            <w:r>
              <w:rPr>
                <w:b/>
                <w:sz w:val="16"/>
              </w:rPr>
              <w:tab/>
            </w:r>
            <w:r>
              <w:rPr>
                <w:b/>
                <w:spacing w:val="-4"/>
                <w:w w:val="105"/>
                <w:sz w:val="16"/>
              </w:rPr>
              <w:t>14,082</w:t>
            </w:r>
          </w:p>
        </w:tc>
        <w:tc>
          <w:tcPr>
            <w:tcW w:w="1376" w:type="dxa"/>
            <w:tcBorders>
              <w:top w:val="single" w:sz="6" w:space="0" w:color="000000"/>
              <w:bottom w:val="double" w:sz="6" w:space="0" w:color="000000"/>
            </w:tcBorders>
          </w:tcPr>
          <w:p>
            <w:pPr>
              <w:pStyle w:val="TableParagraph"/>
              <w:tabs>
                <w:tab w:pos="777" w:val="left" w:leader="none"/>
              </w:tabs>
              <w:spacing w:line="177" w:lineRule="exact" w:before="2"/>
              <w:ind w:left="86"/>
              <w:rPr>
                <w:sz w:val="16"/>
              </w:rPr>
            </w:pPr>
            <w:r>
              <w:rPr>
                <w:spacing w:val="-10"/>
                <w:w w:val="105"/>
                <w:sz w:val="16"/>
              </w:rPr>
              <w:t>$</w:t>
            </w:r>
            <w:r>
              <w:rPr>
                <w:sz w:val="16"/>
              </w:rPr>
              <w:tab/>
            </w:r>
            <w:r>
              <w:rPr>
                <w:spacing w:val="-2"/>
                <w:w w:val="105"/>
                <w:sz w:val="16"/>
              </w:rPr>
              <w:t>11,303</w:t>
            </w:r>
          </w:p>
        </w:tc>
        <w:tc>
          <w:tcPr>
            <w:tcW w:w="1348" w:type="dxa"/>
            <w:tcBorders>
              <w:top w:val="single" w:sz="6" w:space="0" w:color="000000"/>
              <w:bottom w:val="double" w:sz="6" w:space="0" w:color="000000"/>
            </w:tcBorders>
          </w:tcPr>
          <w:p>
            <w:pPr>
              <w:pStyle w:val="TableParagraph"/>
              <w:tabs>
                <w:tab w:pos="690" w:val="left" w:leader="none"/>
              </w:tabs>
              <w:spacing w:line="177" w:lineRule="exact" w:before="2"/>
              <w:ind w:right="113"/>
              <w:jc w:val="right"/>
              <w:rPr>
                <w:sz w:val="16"/>
              </w:rPr>
            </w:pPr>
            <w:r>
              <w:rPr>
                <w:spacing w:val="-10"/>
                <w:w w:val="105"/>
                <w:sz w:val="16"/>
              </w:rPr>
              <w:t>$</w:t>
            </w:r>
            <w:r>
              <w:rPr>
                <w:sz w:val="16"/>
              </w:rPr>
              <w:tab/>
            </w:r>
            <w:r>
              <w:rPr>
                <w:spacing w:val="-2"/>
                <w:w w:val="105"/>
                <w:sz w:val="16"/>
              </w:rPr>
              <w:t>11,503</w:t>
            </w:r>
          </w:p>
        </w:tc>
        <w:tc>
          <w:tcPr>
            <w:tcW w:w="916" w:type="dxa"/>
            <w:gridSpan w:val="2"/>
            <w:tcBorders>
              <w:top w:val="single" w:sz="6" w:space="0" w:color="000000"/>
              <w:bottom w:val="double" w:sz="6" w:space="0" w:color="000000"/>
            </w:tcBorders>
          </w:tcPr>
          <w:p>
            <w:pPr>
              <w:pStyle w:val="TableParagraph"/>
              <w:spacing w:line="177" w:lineRule="exact" w:before="2"/>
              <w:ind w:left="363"/>
              <w:rPr>
                <w:sz w:val="16"/>
              </w:rPr>
            </w:pPr>
            <w:r>
              <w:rPr>
                <w:spacing w:val="-5"/>
                <w:w w:val="105"/>
                <w:sz w:val="16"/>
              </w:rPr>
              <w:t>25%</w:t>
            </w:r>
          </w:p>
        </w:tc>
        <w:tc>
          <w:tcPr>
            <w:tcW w:w="916" w:type="dxa"/>
            <w:gridSpan w:val="2"/>
            <w:tcBorders>
              <w:top w:val="single" w:sz="6" w:space="0" w:color="000000"/>
              <w:bottom w:val="double" w:sz="6" w:space="0" w:color="000000"/>
            </w:tcBorders>
          </w:tcPr>
          <w:p>
            <w:pPr>
              <w:pStyle w:val="TableParagraph"/>
              <w:spacing w:line="177" w:lineRule="exact" w:before="2"/>
              <w:ind w:left="350"/>
              <w:rPr>
                <w:sz w:val="16"/>
              </w:rPr>
            </w:pPr>
            <w:r>
              <w:rPr>
                <w:spacing w:val="-4"/>
                <w:w w:val="105"/>
                <w:sz w:val="16"/>
              </w:rPr>
              <w:t>(2)%</w:t>
            </w:r>
          </w:p>
        </w:tc>
      </w:tr>
    </w:tbl>
    <w:p>
      <w:pPr>
        <w:pStyle w:val="BodyText"/>
        <w:spacing w:before="57"/>
        <w:rPr>
          <w:sz w:val="14"/>
        </w:rPr>
      </w:pPr>
    </w:p>
    <w:p>
      <w:pPr>
        <w:pStyle w:val="ListParagraph"/>
        <w:numPr>
          <w:ilvl w:val="0"/>
          <w:numId w:val="8"/>
        </w:numPr>
        <w:tabs>
          <w:tab w:pos="459" w:val="left" w:leader="none"/>
        </w:tabs>
        <w:spacing w:line="157" w:lineRule="exact" w:before="1" w:after="0"/>
        <w:ind w:left="459" w:right="0" w:hanging="303"/>
        <w:jc w:val="left"/>
        <w:rPr>
          <w:sz w:val="14"/>
        </w:rPr>
      </w:pPr>
      <w:r>
        <w:rPr>
          <w:sz w:val="14"/>
        </w:rPr>
        <w:t>This</w:t>
      </w:r>
      <w:r>
        <w:rPr>
          <w:spacing w:val="-2"/>
          <w:sz w:val="14"/>
        </w:rPr>
        <w:t> </w:t>
      </w:r>
      <w:r>
        <w:rPr>
          <w:sz w:val="14"/>
        </w:rPr>
        <w:t>amount</w:t>
      </w:r>
      <w:r>
        <w:rPr>
          <w:spacing w:val="-2"/>
          <w:sz w:val="14"/>
        </w:rPr>
        <w:t> </w:t>
      </w:r>
      <w:r>
        <w:rPr>
          <w:sz w:val="14"/>
        </w:rPr>
        <w:t>primarily</w:t>
      </w:r>
      <w:r>
        <w:rPr>
          <w:spacing w:val="-1"/>
          <w:sz w:val="14"/>
        </w:rPr>
        <w:t> </w:t>
      </w:r>
      <w:r>
        <w:rPr>
          <w:sz w:val="14"/>
        </w:rPr>
        <w:t>represents</w:t>
      </w:r>
      <w:r>
        <w:rPr>
          <w:spacing w:val="-2"/>
          <w:sz w:val="14"/>
        </w:rPr>
        <w:t> </w:t>
      </w:r>
      <w:r>
        <w:rPr>
          <w:sz w:val="14"/>
        </w:rPr>
        <w:t>the</w:t>
      </w:r>
      <w:r>
        <w:rPr>
          <w:spacing w:val="-2"/>
          <w:sz w:val="14"/>
        </w:rPr>
        <w:t> </w:t>
      </w:r>
      <w:r>
        <w:rPr>
          <w:sz w:val="14"/>
        </w:rPr>
        <w:t>impact</w:t>
      </w:r>
      <w:r>
        <w:rPr>
          <w:spacing w:val="-1"/>
          <w:sz w:val="14"/>
        </w:rPr>
        <w:t> </w:t>
      </w:r>
      <w:r>
        <w:rPr>
          <w:sz w:val="14"/>
        </w:rPr>
        <w:t>of</w:t>
      </w:r>
      <w:r>
        <w:rPr>
          <w:spacing w:val="-2"/>
          <w:sz w:val="14"/>
        </w:rPr>
        <w:t> </w:t>
      </w:r>
      <w:r>
        <w:rPr>
          <w:sz w:val="14"/>
        </w:rPr>
        <w:t>foreign</w:t>
      </w:r>
      <w:r>
        <w:rPr>
          <w:spacing w:val="-2"/>
          <w:sz w:val="14"/>
        </w:rPr>
        <w:t> </w:t>
      </w:r>
      <w:r>
        <w:rPr>
          <w:sz w:val="14"/>
        </w:rPr>
        <w:t>currency</w:t>
      </w:r>
      <w:r>
        <w:rPr>
          <w:spacing w:val="-1"/>
          <w:sz w:val="14"/>
        </w:rPr>
        <w:t> </w:t>
      </w:r>
      <w:r>
        <w:rPr>
          <w:sz w:val="14"/>
        </w:rPr>
        <w:t>adjustments</w:t>
      </w:r>
      <w:r>
        <w:rPr>
          <w:spacing w:val="-2"/>
          <w:sz w:val="14"/>
        </w:rPr>
        <w:t> </w:t>
      </w:r>
      <w:r>
        <w:rPr>
          <w:sz w:val="14"/>
        </w:rPr>
        <w:t>in</w:t>
      </w:r>
      <w:r>
        <w:rPr>
          <w:spacing w:val="-2"/>
          <w:sz w:val="14"/>
        </w:rPr>
        <w:t> </w:t>
      </w:r>
      <w:r>
        <w:rPr>
          <w:sz w:val="14"/>
        </w:rPr>
        <w:t>the</w:t>
      </w:r>
      <w:r>
        <w:rPr>
          <w:spacing w:val="-1"/>
          <w:sz w:val="14"/>
        </w:rPr>
        <w:t> </w:t>
      </w:r>
      <w:r>
        <w:rPr>
          <w:sz w:val="14"/>
        </w:rPr>
        <w:t>Display</w:t>
      </w:r>
      <w:r>
        <w:rPr>
          <w:spacing w:val="-2"/>
          <w:sz w:val="14"/>
        </w:rPr>
        <w:t> </w:t>
      </w:r>
      <w:r>
        <w:rPr>
          <w:sz w:val="14"/>
        </w:rPr>
        <w:t>Technologies</w:t>
      </w:r>
      <w:r>
        <w:rPr>
          <w:spacing w:val="-1"/>
          <w:sz w:val="14"/>
        </w:rPr>
        <w:t> </w:t>
      </w:r>
      <w:r>
        <w:rPr>
          <w:spacing w:val="-2"/>
          <w:sz w:val="14"/>
        </w:rPr>
        <w:t>segment.</w:t>
      </w:r>
    </w:p>
    <w:p>
      <w:pPr>
        <w:pStyle w:val="ListParagraph"/>
        <w:numPr>
          <w:ilvl w:val="0"/>
          <w:numId w:val="8"/>
        </w:numPr>
        <w:tabs>
          <w:tab w:pos="459" w:val="left" w:leader="none"/>
          <w:tab w:pos="462" w:val="left" w:leader="none"/>
        </w:tabs>
        <w:spacing w:line="228" w:lineRule="auto" w:before="2" w:after="0"/>
        <w:ind w:left="462" w:right="343" w:hanging="306"/>
        <w:jc w:val="left"/>
        <w:rPr>
          <w:sz w:val="14"/>
        </w:rPr>
      </w:pPr>
      <w:r>
        <w:rPr>
          <w:sz w:val="14"/>
        </w:rPr>
        <w:t>Amount</w:t>
      </w:r>
      <w:r>
        <w:rPr>
          <w:spacing w:val="-1"/>
          <w:sz w:val="14"/>
        </w:rPr>
        <w:t> </w:t>
      </w:r>
      <w:r>
        <w:rPr>
          <w:sz w:val="14"/>
        </w:rPr>
        <w:t>represents</w:t>
      </w:r>
      <w:r>
        <w:rPr>
          <w:spacing w:val="-1"/>
          <w:sz w:val="14"/>
        </w:rPr>
        <w:t> </w:t>
      </w:r>
      <w:r>
        <w:rPr>
          <w:sz w:val="14"/>
        </w:rPr>
        <w:t>the</w:t>
      </w:r>
      <w:r>
        <w:rPr>
          <w:spacing w:val="-1"/>
          <w:sz w:val="14"/>
        </w:rPr>
        <w:t> </w:t>
      </w:r>
      <w:r>
        <w:rPr>
          <w:sz w:val="14"/>
        </w:rPr>
        <w:t>negative</w:t>
      </w:r>
      <w:r>
        <w:rPr>
          <w:spacing w:val="-1"/>
          <w:sz w:val="14"/>
        </w:rPr>
        <w:t> </w:t>
      </w:r>
      <w:r>
        <w:rPr>
          <w:sz w:val="14"/>
        </w:rPr>
        <w:t>impact</w:t>
      </w:r>
      <w:r>
        <w:rPr>
          <w:spacing w:val="-1"/>
          <w:sz w:val="14"/>
        </w:rPr>
        <w:t> </w:t>
      </w:r>
      <w:r>
        <w:rPr>
          <w:sz w:val="14"/>
        </w:rPr>
        <w:t>of</w:t>
      </w:r>
      <w:r>
        <w:rPr>
          <w:spacing w:val="-1"/>
          <w:sz w:val="14"/>
        </w:rPr>
        <w:t> </w:t>
      </w:r>
      <w:r>
        <w:rPr>
          <w:sz w:val="14"/>
        </w:rPr>
        <w:t>a</w:t>
      </w:r>
      <w:r>
        <w:rPr>
          <w:spacing w:val="-1"/>
          <w:sz w:val="14"/>
        </w:rPr>
        <w:t> </w:t>
      </w:r>
      <w:r>
        <w:rPr>
          <w:sz w:val="14"/>
        </w:rPr>
        <w:t>cumulative</w:t>
      </w:r>
      <w:r>
        <w:rPr>
          <w:spacing w:val="-1"/>
          <w:sz w:val="14"/>
        </w:rPr>
        <w:t> </w:t>
      </w:r>
      <w:r>
        <w:rPr>
          <w:sz w:val="14"/>
        </w:rPr>
        <w:t>adjustment</w:t>
      </w:r>
      <w:r>
        <w:rPr>
          <w:spacing w:val="-1"/>
          <w:sz w:val="14"/>
        </w:rPr>
        <w:t> </w:t>
      </w:r>
      <w:r>
        <w:rPr>
          <w:sz w:val="14"/>
        </w:rPr>
        <w:t>recorded</w:t>
      </w:r>
      <w:r>
        <w:rPr>
          <w:spacing w:val="-1"/>
          <w:sz w:val="14"/>
        </w:rPr>
        <w:t> </w:t>
      </w:r>
      <w:r>
        <w:rPr>
          <w:sz w:val="14"/>
        </w:rPr>
        <w:t>during</w:t>
      </w:r>
      <w:r>
        <w:rPr>
          <w:spacing w:val="-1"/>
          <w:sz w:val="14"/>
        </w:rPr>
        <w:t> </w:t>
      </w:r>
      <w:r>
        <w:rPr>
          <w:sz w:val="14"/>
        </w:rPr>
        <w:t>the</w:t>
      </w:r>
      <w:r>
        <w:rPr>
          <w:spacing w:val="-1"/>
          <w:sz w:val="14"/>
        </w:rPr>
        <w:t> </w:t>
      </w:r>
      <w:r>
        <w:rPr>
          <w:sz w:val="14"/>
        </w:rPr>
        <w:t>first</w:t>
      </w:r>
      <w:r>
        <w:rPr>
          <w:spacing w:val="-1"/>
          <w:sz w:val="14"/>
        </w:rPr>
        <w:t> </w:t>
      </w:r>
      <w:r>
        <w:rPr>
          <w:sz w:val="14"/>
        </w:rPr>
        <w:t>quarter</w:t>
      </w:r>
      <w:r>
        <w:rPr>
          <w:spacing w:val="-1"/>
          <w:sz w:val="14"/>
        </w:rPr>
        <w:t> </w:t>
      </w:r>
      <w:r>
        <w:rPr>
          <w:sz w:val="14"/>
        </w:rPr>
        <w:t>of</w:t>
      </w:r>
      <w:r>
        <w:rPr>
          <w:spacing w:val="-1"/>
          <w:sz w:val="14"/>
        </w:rPr>
        <w:t> </w:t>
      </w:r>
      <w:r>
        <w:rPr>
          <w:sz w:val="14"/>
        </w:rPr>
        <w:t>2020</w:t>
      </w:r>
      <w:r>
        <w:rPr>
          <w:spacing w:val="-1"/>
          <w:sz w:val="14"/>
        </w:rPr>
        <w:t> </w:t>
      </w:r>
      <w:r>
        <w:rPr>
          <w:sz w:val="14"/>
        </w:rPr>
        <w:t>to</w:t>
      </w:r>
      <w:r>
        <w:rPr>
          <w:spacing w:val="-1"/>
          <w:sz w:val="14"/>
        </w:rPr>
        <w:t> </w:t>
      </w:r>
      <w:r>
        <w:rPr>
          <w:sz w:val="14"/>
        </w:rPr>
        <w:t>reduce</w:t>
      </w:r>
      <w:r>
        <w:rPr>
          <w:spacing w:val="-1"/>
          <w:sz w:val="14"/>
        </w:rPr>
        <w:t> </w:t>
      </w:r>
      <w:r>
        <w:rPr>
          <w:sz w:val="14"/>
        </w:rPr>
        <w:t>revenue</w:t>
      </w:r>
      <w:r>
        <w:rPr>
          <w:spacing w:val="-1"/>
          <w:sz w:val="14"/>
        </w:rPr>
        <w:t> </w:t>
      </w:r>
      <w:r>
        <w:rPr>
          <w:sz w:val="14"/>
        </w:rPr>
        <w:t>in</w:t>
      </w:r>
      <w:r>
        <w:rPr>
          <w:spacing w:val="-1"/>
          <w:sz w:val="14"/>
        </w:rPr>
        <w:t> </w:t>
      </w:r>
      <w:r>
        <w:rPr>
          <w:sz w:val="14"/>
        </w:rPr>
        <w:t>the</w:t>
      </w:r>
      <w:r>
        <w:rPr>
          <w:spacing w:val="-1"/>
          <w:sz w:val="14"/>
        </w:rPr>
        <w:t> </w:t>
      </w:r>
      <w:r>
        <w:rPr>
          <w:sz w:val="14"/>
        </w:rPr>
        <w:t>amount</w:t>
      </w:r>
      <w:r>
        <w:rPr>
          <w:spacing w:val="-1"/>
          <w:sz w:val="14"/>
        </w:rPr>
        <w:t> </w:t>
      </w:r>
      <w:r>
        <w:rPr>
          <w:sz w:val="14"/>
        </w:rPr>
        <w:t>of</w:t>
      </w:r>
      <w:r>
        <w:rPr>
          <w:spacing w:val="-1"/>
          <w:sz w:val="14"/>
        </w:rPr>
        <w:t> </w:t>
      </w:r>
      <w:r>
        <w:rPr>
          <w:sz w:val="14"/>
        </w:rPr>
        <w:t>$105</w:t>
      </w:r>
      <w:r>
        <w:rPr>
          <w:spacing w:val="-1"/>
          <w:sz w:val="14"/>
        </w:rPr>
        <w:t> </w:t>
      </w:r>
      <w:r>
        <w:rPr>
          <w:sz w:val="14"/>
        </w:rPr>
        <w:t>million.</w:t>
      </w:r>
      <w:r>
        <w:rPr>
          <w:spacing w:val="-1"/>
          <w:sz w:val="14"/>
        </w:rPr>
        <w:t> </w:t>
      </w:r>
      <w:r>
        <w:rPr>
          <w:sz w:val="14"/>
        </w:rPr>
        <w:t>The</w:t>
      </w:r>
      <w:r>
        <w:rPr>
          <w:spacing w:val="-1"/>
          <w:sz w:val="14"/>
        </w:rPr>
        <w:t> </w:t>
      </w:r>
      <w:r>
        <w:rPr>
          <w:sz w:val="14"/>
        </w:rPr>
        <w:t>adjustment</w:t>
      </w:r>
      <w:r>
        <w:rPr>
          <w:spacing w:val="-1"/>
          <w:sz w:val="14"/>
        </w:rPr>
        <w:t> </w:t>
      </w:r>
      <w:r>
        <w:rPr>
          <w:sz w:val="14"/>
        </w:rPr>
        <w:t>was</w:t>
      </w:r>
      <w:r>
        <w:rPr>
          <w:spacing w:val="-1"/>
          <w:sz w:val="14"/>
        </w:rPr>
        <w:t> </w:t>
      </w:r>
      <w:r>
        <w:rPr>
          <w:sz w:val="14"/>
        </w:rPr>
        <w:t>associated</w:t>
      </w:r>
      <w:r>
        <w:rPr>
          <w:spacing w:val="-1"/>
          <w:sz w:val="14"/>
        </w:rPr>
        <w:t> </w:t>
      </w:r>
      <w:r>
        <w:rPr>
          <w:sz w:val="14"/>
        </w:rPr>
        <w:t>with</w:t>
      </w:r>
      <w:r>
        <w:rPr>
          <w:spacing w:val="-1"/>
          <w:sz w:val="14"/>
        </w:rPr>
        <w:t> </w:t>
      </w:r>
      <w:r>
        <w:rPr>
          <w:sz w:val="14"/>
        </w:rPr>
        <w:t>a</w:t>
      </w:r>
      <w:r>
        <w:rPr>
          <w:spacing w:val="40"/>
          <w:sz w:val="14"/>
        </w:rPr>
        <w:t> </w:t>
      </w:r>
      <w:r>
        <w:rPr>
          <w:sz w:val="14"/>
        </w:rPr>
        <w:t>previously recorded commercial benefit asset, reflected as a prepayment, to a customer with a long-term supply agreement that substantially exited its production of LCD panels.</w:t>
      </w:r>
    </w:p>
    <w:p>
      <w:pPr>
        <w:pStyle w:val="BodyText"/>
        <w:spacing w:before="36"/>
        <w:rPr>
          <w:sz w:val="14"/>
        </w:rPr>
      </w:pPr>
    </w:p>
    <w:p>
      <w:pPr>
        <w:spacing w:before="0"/>
        <w:ind w:left="156" w:right="0" w:firstLine="0"/>
        <w:jc w:val="left"/>
        <w:rPr>
          <w:sz w:val="14"/>
        </w:rPr>
      </w:pPr>
      <w:r>
        <w:rPr>
          <w:sz w:val="14"/>
        </w:rPr>
        <w:t>*</w:t>
      </w:r>
      <w:r>
        <w:rPr>
          <w:spacing w:val="35"/>
          <w:sz w:val="14"/>
        </w:rPr>
        <w:t>  </w:t>
      </w:r>
      <w:r>
        <w:rPr>
          <w:sz w:val="14"/>
        </w:rPr>
        <w:t>Percent change not </w:t>
      </w:r>
      <w:r>
        <w:rPr>
          <w:spacing w:val="-2"/>
          <w:sz w:val="14"/>
        </w:rPr>
        <w:t>meaningful.</w:t>
      </w:r>
    </w:p>
    <w:p>
      <w:pPr>
        <w:pStyle w:val="BodyText"/>
        <w:spacing w:before="42"/>
        <w:rPr>
          <w:sz w:val="14"/>
        </w:rPr>
      </w:pPr>
    </w:p>
    <w:p>
      <w:pPr>
        <w:pStyle w:val="BodyText"/>
        <w:spacing w:line="266" w:lineRule="auto"/>
        <w:ind w:left="156"/>
      </w:pPr>
      <w:r>
        <w:rPr>
          <w:w w:val="105"/>
        </w:rPr>
        <w:t>For</w:t>
      </w:r>
      <w:r>
        <w:rPr>
          <w:spacing w:val="-7"/>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7"/>
          <w:w w:val="105"/>
        </w:rPr>
        <w:t> </w:t>
      </w:r>
      <w:r>
        <w:rPr>
          <w:w w:val="105"/>
        </w:rPr>
        <w:t>segment</w:t>
      </w:r>
      <w:r>
        <w:rPr>
          <w:spacing w:val="-7"/>
          <w:w w:val="105"/>
        </w:rPr>
        <w:t> </w:t>
      </w:r>
      <w:r>
        <w:rPr>
          <w:w w:val="105"/>
        </w:rPr>
        <w:t>and</w:t>
      </w:r>
      <w:r>
        <w:rPr>
          <w:spacing w:val="-7"/>
          <w:w w:val="105"/>
        </w:rPr>
        <w:t> </w:t>
      </w:r>
      <w:r>
        <w:rPr>
          <w:w w:val="105"/>
        </w:rPr>
        <w:t>"All</w:t>
      </w:r>
      <w:r>
        <w:rPr>
          <w:spacing w:val="-7"/>
          <w:w w:val="105"/>
        </w:rPr>
        <w:t> </w:t>
      </w:r>
      <w:r>
        <w:rPr>
          <w:w w:val="105"/>
        </w:rPr>
        <w:t>Other"</w:t>
      </w:r>
      <w:r>
        <w:rPr>
          <w:spacing w:val="-7"/>
          <w:w w:val="105"/>
        </w:rPr>
        <w:t> </w:t>
      </w:r>
      <w:r>
        <w:rPr>
          <w:w w:val="105"/>
        </w:rPr>
        <w:t>net</w:t>
      </w:r>
      <w:r>
        <w:rPr>
          <w:spacing w:val="-7"/>
          <w:w w:val="105"/>
        </w:rPr>
        <w:t> </w:t>
      </w:r>
      <w:r>
        <w:rPr>
          <w:w w:val="105"/>
        </w:rPr>
        <w:t>sales</w:t>
      </w:r>
      <w:r>
        <w:rPr>
          <w:spacing w:val="-6"/>
          <w:w w:val="105"/>
        </w:rPr>
        <w:t> </w:t>
      </w:r>
      <w:r>
        <w:rPr>
          <w:w w:val="105"/>
        </w:rPr>
        <w:t>increased</w:t>
      </w:r>
      <w:r>
        <w:rPr>
          <w:spacing w:val="-7"/>
          <w:w w:val="105"/>
        </w:rPr>
        <w:t> </w:t>
      </w:r>
      <w:r>
        <w:rPr>
          <w:w w:val="105"/>
        </w:rPr>
        <w:t>by</w:t>
      </w:r>
      <w:r>
        <w:rPr>
          <w:spacing w:val="-7"/>
          <w:w w:val="105"/>
        </w:rPr>
        <w:t> </w:t>
      </w:r>
      <w:r>
        <w:rPr>
          <w:w w:val="105"/>
        </w:rPr>
        <w:t>$2.7</w:t>
      </w:r>
      <w:r>
        <w:rPr>
          <w:spacing w:val="-7"/>
          <w:w w:val="105"/>
        </w:rPr>
        <w:t> </w:t>
      </w:r>
      <w:r>
        <w:rPr>
          <w:w w:val="105"/>
        </w:rPr>
        <w:t>billion,</w:t>
      </w:r>
      <w:r>
        <w:rPr>
          <w:spacing w:val="-7"/>
          <w:w w:val="105"/>
        </w:rPr>
        <w:t> </w:t>
      </w:r>
      <w:r>
        <w:rPr>
          <w:w w:val="105"/>
        </w:rPr>
        <w:t>or</w:t>
      </w:r>
      <w:r>
        <w:rPr>
          <w:spacing w:val="-7"/>
          <w:w w:val="105"/>
        </w:rPr>
        <w:t> </w:t>
      </w:r>
      <w:r>
        <w:rPr>
          <w:w w:val="105"/>
        </w:rPr>
        <w:t>23%,</w:t>
      </w:r>
      <w:r>
        <w:rPr>
          <w:spacing w:val="-7"/>
          <w:w w:val="105"/>
        </w:rPr>
        <w:t> </w:t>
      </w:r>
      <w:r>
        <w:rPr>
          <w:w w:val="105"/>
        </w:rPr>
        <w:t>when</w:t>
      </w:r>
      <w:r>
        <w:rPr>
          <w:spacing w:val="-7"/>
          <w:w w:val="105"/>
        </w:rPr>
        <w:t> </w:t>
      </w:r>
      <w:r>
        <w:rPr>
          <w:w w:val="105"/>
        </w:rPr>
        <w:t>compared</w:t>
      </w:r>
      <w:r>
        <w:rPr>
          <w:spacing w:val="-7"/>
          <w:w w:val="105"/>
        </w:rPr>
        <w:t> </w:t>
      </w:r>
      <w:r>
        <w:rPr>
          <w:w w:val="105"/>
        </w:rPr>
        <w:t>to</w:t>
      </w:r>
      <w:r>
        <w:rPr>
          <w:spacing w:val="-7"/>
          <w:w w:val="105"/>
        </w:rPr>
        <w:t> </w:t>
      </w:r>
      <w:r>
        <w:rPr>
          <w:w w:val="105"/>
        </w:rPr>
        <w:t>the</w:t>
      </w:r>
      <w:r>
        <w:rPr>
          <w:spacing w:val="-7"/>
          <w:w w:val="105"/>
        </w:rPr>
        <w:t> </w:t>
      </w:r>
      <w:r>
        <w:rPr>
          <w:w w:val="105"/>
        </w:rPr>
        <w:t>same</w:t>
      </w:r>
      <w:r>
        <w:rPr>
          <w:spacing w:val="-7"/>
          <w:w w:val="105"/>
        </w:rPr>
        <w:t> </w:t>
      </w:r>
      <w:r>
        <w:rPr>
          <w:w w:val="105"/>
        </w:rPr>
        <w:t>period</w:t>
      </w:r>
      <w:r>
        <w:rPr>
          <w:spacing w:val="-6"/>
          <w:w w:val="105"/>
        </w:rPr>
        <w:t> </w:t>
      </w:r>
      <w:r>
        <w:rPr>
          <w:w w:val="105"/>
        </w:rPr>
        <w:t>in</w:t>
      </w:r>
      <w:r>
        <w:rPr>
          <w:spacing w:val="-7"/>
          <w:w w:val="105"/>
        </w:rPr>
        <w:t> </w:t>
      </w:r>
      <w:r>
        <w:rPr>
          <w:w w:val="105"/>
        </w:rPr>
        <w:t>2020.</w:t>
      </w:r>
      <w:r>
        <w:rPr>
          <w:spacing w:val="-7"/>
          <w:w w:val="105"/>
        </w:rPr>
        <w:t> </w:t>
      </w:r>
      <w:r>
        <w:rPr>
          <w:w w:val="105"/>
        </w:rPr>
        <w:t>The</w:t>
      </w:r>
      <w:r>
        <w:rPr>
          <w:spacing w:val="-7"/>
          <w:w w:val="105"/>
        </w:rPr>
        <w:t> </w:t>
      </w:r>
      <w:r>
        <w:rPr>
          <w:w w:val="105"/>
        </w:rPr>
        <w:t>primary</w:t>
      </w:r>
      <w:r>
        <w:rPr>
          <w:spacing w:val="-7"/>
          <w:w w:val="105"/>
        </w:rPr>
        <w:t> </w:t>
      </w:r>
      <w:r>
        <w:rPr>
          <w:w w:val="105"/>
        </w:rPr>
        <w:t>sales drivers by segment were as follows:</w:t>
      </w:r>
    </w:p>
    <w:p>
      <w:pPr>
        <w:pStyle w:val="BodyText"/>
        <w:spacing w:before="19"/>
      </w:pPr>
    </w:p>
    <w:p>
      <w:pPr>
        <w:pStyle w:val="ListParagraph"/>
        <w:numPr>
          <w:ilvl w:val="0"/>
          <w:numId w:val="9"/>
        </w:numPr>
        <w:tabs>
          <w:tab w:pos="462" w:val="left" w:leader="none"/>
        </w:tabs>
        <w:spacing w:line="266" w:lineRule="auto" w:before="0" w:after="0"/>
        <w:ind w:left="462" w:right="164" w:hanging="306"/>
        <w:jc w:val="left"/>
        <w:rPr>
          <w:sz w:val="16"/>
        </w:rPr>
      </w:pPr>
      <w:r>
        <w:rPr>
          <w:w w:val="105"/>
          <w:sz w:val="16"/>
        </w:rPr>
        <w:t>Display</w:t>
      </w:r>
      <w:r>
        <w:rPr>
          <w:spacing w:val="-9"/>
          <w:w w:val="105"/>
          <w:sz w:val="16"/>
        </w:rPr>
        <w:t> </w:t>
      </w:r>
      <w:r>
        <w:rPr>
          <w:w w:val="105"/>
          <w:sz w:val="16"/>
        </w:rPr>
        <w:t>Technologies’</w:t>
      </w:r>
      <w:r>
        <w:rPr>
          <w:spacing w:val="-9"/>
          <w:w w:val="105"/>
          <w:sz w:val="16"/>
        </w:rPr>
        <w:t> </w:t>
      </w:r>
      <w:r>
        <w:rPr>
          <w:w w:val="105"/>
          <w:sz w:val="16"/>
        </w:rPr>
        <w:t>net</w:t>
      </w:r>
      <w:r>
        <w:rPr>
          <w:spacing w:val="-9"/>
          <w:w w:val="105"/>
          <w:sz w:val="16"/>
        </w:rPr>
        <w:t> </w:t>
      </w:r>
      <w:r>
        <w:rPr>
          <w:w w:val="105"/>
          <w:sz w:val="16"/>
        </w:rPr>
        <w:t>sales</w:t>
      </w:r>
      <w:r>
        <w:rPr>
          <w:spacing w:val="-9"/>
          <w:w w:val="105"/>
          <w:sz w:val="16"/>
        </w:rPr>
        <w:t> </w:t>
      </w:r>
      <w:r>
        <w:rPr>
          <w:w w:val="105"/>
          <w:sz w:val="16"/>
        </w:rPr>
        <w:t>increased</w:t>
      </w:r>
      <w:r>
        <w:rPr>
          <w:spacing w:val="-9"/>
          <w:w w:val="105"/>
          <w:sz w:val="16"/>
        </w:rPr>
        <w:t> </w:t>
      </w:r>
      <w:r>
        <w:rPr>
          <w:w w:val="105"/>
          <w:sz w:val="16"/>
        </w:rPr>
        <w:t>by</w:t>
      </w:r>
      <w:r>
        <w:rPr>
          <w:spacing w:val="-9"/>
          <w:w w:val="105"/>
          <w:sz w:val="16"/>
        </w:rPr>
        <w:t> </w:t>
      </w:r>
      <w:r>
        <w:rPr>
          <w:w w:val="105"/>
          <w:sz w:val="16"/>
        </w:rPr>
        <w:t>$528</w:t>
      </w:r>
      <w:r>
        <w:rPr>
          <w:spacing w:val="-9"/>
          <w:w w:val="105"/>
          <w:sz w:val="16"/>
        </w:rPr>
        <w:t> </w:t>
      </w:r>
      <w:r>
        <w:rPr>
          <w:w w:val="105"/>
          <w:sz w:val="16"/>
        </w:rPr>
        <w:t>million,</w:t>
      </w:r>
      <w:r>
        <w:rPr>
          <w:spacing w:val="-9"/>
          <w:w w:val="105"/>
          <w:sz w:val="16"/>
        </w:rPr>
        <w:t> </w:t>
      </w:r>
      <w:r>
        <w:rPr>
          <w:w w:val="105"/>
          <w:sz w:val="16"/>
        </w:rPr>
        <w:t>primarily</w:t>
      </w:r>
      <w:r>
        <w:rPr>
          <w:spacing w:val="-9"/>
          <w:w w:val="105"/>
          <w:sz w:val="16"/>
        </w:rPr>
        <w:t> </w:t>
      </w:r>
      <w:r>
        <w:rPr>
          <w:w w:val="105"/>
          <w:sz w:val="16"/>
        </w:rPr>
        <w:t>driven</w:t>
      </w:r>
      <w:r>
        <w:rPr>
          <w:spacing w:val="-9"/>
          <w:w w:val="105"/>
          <w:sz w:val="16"/>
        </w:rPr>
        <w:t> </w:t>
      </w:r>
      <w:r>
        <w:rPr>
          <w:w w:val="105"/>
          <w:sz w:val="16"/>
        </w:rPr>
        <w:t>by</w:t>
      </w:r>
      <w:r>
        <w:rPr>
          <w:spacing w:val="-9"/>
          <w:w w:val="105"/>
          <w:sz w:val="16"/>
        </w:rPr>
        <w:t> </w:t>
      </w:r>
      <w:r>
        <w:rPr>
          <w:w w:val="105"/>
          <w:sz w:val="16"/>
        </w:rPr>
        <w:t>volume</w:t>
      </w:r>
      <w:r>
        <w:rPr>
          <w:spacing w:val="-9"/>
          <w:w w:val="105"/>
          <w:sz w:val="16"/>
        </w:rPr>
        <w:t> </w:t>
      </w:r>
      <w:r>
        <w:rPr>
          <w:w w:val="105"/>
          <w:sz w:val="16"/>
        </w:rPr>
        <w:t>increases</w:t>
      </w:r>
      <w:r>
        <w:rPr>
          <w:spacing w:val="-9"/>
          <w:w w:val="105"/>
          <w:sz w:val="16"/>
        </w:rPr>
        <w:t> </w:t>
      </w:r>
      <w:r>
        <w:rPr>
          <w:w w:val="105"/>
          <w:sz w:val="16"/>
        </w:rPr>
        <w:t>of</w:t>
      </w:r>
      <w:r>
        <w:rPr>
          <w:spacing w:val="-9"/>
          <w:w w:val="105"/>
          <w:sz w:val="16"/>
        </w:rPr>
        <w:t> </w:t>
      </w:r>
      <w:r>
        <w:rPr>
          <w:w w:val="105"/>
          <w:sz w:val="16"/>
        </w:rPr>
        <w:t>approximately</w:t>
      </w:r>
      <w:r>
        <w:rPr>
          <w:spacing w:val="-9"/>
          <w:w w:val="105"/>
          <w:sz w:val="16"/>
        </w:rPr>
        <w:t> </w:t>
      </w:r>
      <w:r>
        <w:rPr>
          <w:w w:val="105"/>
          <w:sz w:val="16"/>
        </w:rPr>
        <w:t>mid-teens</w:t>
      </w:r>
      <w:r>
        <w:rPr>
          <w:spacing w:val="-9"/>
          <w:w w:val="105"/>
          <w:sz w:val="16"/>
        </w:rPr>
        <w:t> </w:t>
      </w:r>
      <w:r>
        <w:rPr>
          <w:w w:val="105"/>
          <w:sz w:val="16"/>
        </w:rPr>
        <w:t>in</w:t>
      </w:r>
      <w:r>
        <w:rPr>
          <w:spacing w:val="-9"/>
          <w:w w:val="105"/>
          <w:sz w:val="16"/>
        </w:rPr>
        <w:t> </w:t>
      </w:r>
      <w:r>
        <w:rPr>
          <w:w w:val="105"/>
          <w:sz w:val="16"/>
        </w:rPr>
        <w:t>percentage</w:t>
      </w:r>
      <w:r>
        <w:rPr>
          <w:spacing w:val="-9"/>
          <w:w w:val="105"/>
          <w:sz w:val="16"/>
        </w:rPr>
        <w:t> </w:t>
      </w:r>
      <w:r>
        <w:rPr>
          <w:w w:val="105"/>
          <w:sz w:val="16"/>
        </w:rPr>
        <w:t>terms</w:t>
      </w:r>
      <w:r>
        <w:rPr>
          <w:spacing w:val="-9"/>
          <w:w w:val="105"/>
          <w:sz w:val="16"/>
        </w:rPr>
        <w:t> </w:t>
      </w:r>
      <w:r>
        <w:rPr>
          <w:w w:val="105"/>
          <w:sz w:val="16"/>
        </w:rPr>
        <w:t>and</w:t>
      </w:r>
      <w:r>
        <w:rPr>
          <w:spacing w:val="-9"/>
          <w:w w:val="105"/>
          <w:sz w:val="16"/>
        </w:rPr>
        <w:t> </w:t>
      </w:r>
      <w:r>
        <w:rPr>
          <w:w w:val="105"/>
          <w:sz w:val="16"/>
        </w:rPr>
        <w:t>pricing</w:t>
      </w:r>
      <w:r>
        <w:rPr>
          <w:spacing w:val="-9"/>
          <w:w w:val="105"/>
          <w:sz w:val="16"/>
        </w:rPr>
        <w:t> </w:t>
      </w:r>
      <w:r>
        <w:rPr>
          <w:w w:val="105"/>
          <w:sz w:val="16"/>
        </w:rPr>
        <w:t>consistent with</w:t>
      </w:r>
      <w:r>
        <w:rPr>
          <w:spacing w:val="-1"/>
          <w:w w:val="105"/>
          <w:sz w:val="16"/>
        </w:rPr>
        <w:t> </w:t>
      </w:r>
      <w:r>
        <w:rPr>
          <w:w w:val="105"/>
          <w:sz w:val="16"/>
        </w:rPr>
        <w:t>2020;</w:t>
      </w:r>
    </w:p>
    <w:p>
      <w:pPr>
        <w:pStyle w:val="ListParagraph"/>
        <w:numPr>
          <w:ilvl w:val="0"/>
          <w:numId w:val="9"/>
        </w:numPr>
        <w:tabs>
          <w:tab w:pos="462" w:val="left" w:leader="none"/>
        </w:tabs>
        <w:spacing w:line="266" w:lineRule="auto" w:before="0" w:after="0"/>
        <w:ind w:left="462" w:right="368" w:hanging="306"/>
        <w:jc w:val="left"/>
        <w:rPr>
          <w:sz w:val="16"/>
        </w:rPr>
      </w:pPr>
      <w:r>
        <w:rPr>
          <w:w w:val="105"/>
          <w:sz w:val="16"/>
        </w:rPr>
        <w:t>Optical</w:t>
      </w:r>
      <w:r>
        <w:rPr>
          <w:spacing w:val="-9"/>
          <w:w w:val="105"/>
          <w:sz w:val="16"/>
        </w:rPr>
        <w:t> </w:t>
      </w:r>
      <w:r>
        <w:rPr>
          <w:w w:val="105"/>
          <w:sz w:val="16"/>
        </w:rPr>
        <w:t>Communications’</w:t>
      </w:r>
      <w:r>
        <w:rPr>
          <w:spacing w:val="-9"/>
          <w:w w:val="105"/>
          <w:sz w:val="16"/>
        </w:rPr>
        <w:t> </w:t>
      </w:r>
      <w:r>
        <w:rPr>
          <w:w w:val="105"/>
          <w:sz w:val="16"/>
        </w:rPr>
        <w:t>net</w:t>
      </w:r>
      <w:r>
        <w:rPr>
          <w:spacing w:val="-9"/>
          <w:w w:val="105"/>
          <w:sz w:val="16"/>
        </w:rPr>
        <w:t> </w:t>
      </w:r>
      <w:r>
        <w:rPr>
          <w:w w:val="105"/>
          <w:sz w:val="16"/>
        </w:rPr>
        <w:t>sales</w:t>
      </w:r>
      <w:r>
        <w:rPr>
          <w:spacing w:val="-9"/>
          <w:w w:val="105"/>
          <w:sz w:val="16"/>
        </w:rPr>
        <w:t> </w:t>
      </w:r>
      <w:r>
        <w:rPr>
          <w:w w:val="105"/>
          <w:sz w:val="16"/>
        </w:rPr>
        <w:t>increased</w:t>
      </w:r>
      <w:r>
        <w:rPr>
          <w:spacing w:val="-9"/>
          <w:w w:val="105"/>
          <w:sz w:val="16"/>
        </w:rPr>
        <w:t> </w:t>
      </w:r>
      <w:r>
        <w:rPr>
          <w:w w:val="105"/>
          <w:sz w:val="16"/>
        </w:rPr>
        <w:t>$786</w:t>
      </w:r>
      <w:r>
        <w:rPr>
          <w:spacing w:val="-9"/>
          <w:w w:val="105"/>
          <w:sz w:val="16"/>
        </w:rPr>
        <w:t> </w:t>
      </w:r>
      <w:r>
        <w:rPr>
          <w:w w:val="105"/>
          <w:sz w:val="16"/>
        </w:rPr>
        <w:t>million,</w:t>
      </w:r>
      <w:r>
        <w:rPr>
          <w:spacing w:val="-9"/>
          <w:w w:val="105"/>
          <w:sz w:val="16"/>
        </w:rPr>
        <w:t> </w:t>
      </w:r>
      <w:r>
        <w:rPr>
          <w:w w:val="105"/>
          <w:sz w:val="16"/>
        </w:rPr>
        <w:t>as</w:t>
      </w:r>
      <w:r>
        <w:rPr>
          <w:spacing w:val="-9"/>
          <w:w w:val="105"/>
          <w:sz w:val="16"/>
        </w:rPr>
        <w:t> </w:t>
      </w:r>
      <w:r>
        <w:rPr>
          <w:w w:val="105"/>
          <w:sz w:val="16"/>
        </w:rPr>
        <w:t>sales</w:t>
      </w:r>
      <w:r>
        <w:rPr>
          <w:spacing w:val="-9"/>
          <w:w w:val="105"/>
          <w:sz w:val="16"/>
        </w:rPr>
        <w:t> </w:t>
      </w:r>
      <w:r>
        <w:rPr>
          <w:w w:val="105"/>
          <w:sz w:val="16"/>
        </w:rPr>
        <w:t>increased</w:t>
      </w:r>
      <w:r>
        <w:rPr>
          <w:spacing w:val="-9"/>
          <w:w w:val="105"/>
          <w:sz w:val="16"/>
        </w:rPr>
        <w:t> </w:t>
      </w:r>
      <w:r>
        <w:rPr>
          <w:w w:val="105"/>
          <w:sz w:val="16"/>
        </w:rPr>
        <w:t>for</w:t>
      </w:r>
      <w:r>
        <w:rPr>
          <w:spacing w:val="-9"/>
          <w:w w:val="105"/>
          <w:sz w:val="16"/>
        </w:rPr>
        <w:t> </w:t>
      </w:r>
      <w:r>
        <w:rPr>
          <w:w w:val="105"/>
          <w:sz w:val="16"/>
        </w:rPr>
        <w:t>carrier</w:t>
      </w:r>
      <w:r>
        <w:rPr>
          <w:spacing w:val="-9"/>
          <w:w w:val="105"/>
          <w:sz w:val="16"/>
        </w:rPr>
        <w:t> </w:t>
      </w:r>
      <w:r>
        <w:rPr>
          <w:w w:val="105"/>
          <w:sz w:val="16"/>
        </w:rPr>
        <w:t>products</w:t>
      </w:r>
      <w:r>
        <w:rPr>
          <w:spacing w:val="-9"/>
          <w:w w:val="105"/>
          <w:sz w:val="16"/>
        </w:rPr>
        <w:t> </w:t>
      </w:r>
      <w:r>
        <w:rPr>
          <w:w w:val="105"/>
          <w:sz w:val="16"/>
        </w:rPr>
        <w:t>by</w:t>
      </w:r>
      <w:r>
        <w:rPr>
          <w:spacing w:val="-9"/>
          <w:w w:val="105"/>
          <w:sz w:val="16"/>
        </w:rPr>
        <w:t> </w:t>
      </w:r>
      <w:r>
        <w:rPr>
          <w:w w:val="105"/>
          <w:sz w:val="16"/>
        </w:rPr>
        <w:t>$588</w:t>
      </w:r>
      <w:r>
        <w:rPr>
          <w:spacing w:val="-9"/>
          <w:w w:val="105"/>
          <w:sz w:val="16"/>
        </w:rPr>
        <w:t> </w:t>
      </w:r>
      <w:r>
        <w:rPr>
          <w:w w:val="105"/>
          <w:sz w:val="16"/>
        </w:rPr>
        <w:t>million</w:t>
      </w:r>
      <w:r>
        <w:rPr>
          <w:spacing w:val="-9"/>
          <w:w w:val="105"/>
          <w:sz w:val="16"/>
        </w:rPr>
        <w:t> </w:t>
      </w:r>
      <w:r>
        <w:rPr>
          <w:w w:val="105"/>
          <w:sz w:val="16"/>
        </w:rPr>
        <w:t>and</w:t>
      </w:r>
      <w:r>
        <w:rPr>
          <w:spacing w:val="-9"/>
          <w:w w:val="105"/>
          <w:sz w:val="16"/>
        </w:rPr>
        <w:t> </w:t>
      </w:r>
      <w:r>
        <w:rPr>
          <w:w w:val="105"/>
          <w:sz w:val="16"/>
        </w:rPr>
        <w:t>enterprise</w:t>
      </w:r>
      <w:r>
        <w:rPr>
          <w:spacing w:val="-9"/>
          <w:w w:val="105"/>
          <w:sz w:val="16"/>
        </w:rPr>
        <w:t> </w:t>
      </w:r>
      <w:r>
        <w:rPr>
          <w:w w:val="105"/>
          <w:sz w:val="16"/>
        </w:rPr>
        <w:t>products</w:t>
      </w:r>
      <w:r>
        <w:rPr>
          <w:spacing w:val="-9"/>
          <w:w w:val="105"/>
          <w:sz w:val="16"/>
        </w:rPr>
        <w:t> </w:t>
      </w:r>
      <w:r>
        <w:rPr>
          <w:w w:val="105"/>
          <w:sz w:val="16"/>
        </w:rPr>
        <w:t>by</w:t>
      </w:r>
      <w:r>
        <w:rPr>
          <w:spacing w:val="-9"/>
          <w:w w:val="105"/>
          <w:sz w:val="16"/>
        </w:rPr>
        <w:t> </w:t>
      </w:r>
      <w:r>
        <w:rPr>
          <w:w w:val="105"/>
          <w:sz w:val="16"/>
        </w:rPr>
        <w:t>$198</w:t>
      </w:r>
      <w:r>
        <w:rPr>
          <w:spacing w:val="-9"/>
          <w:w w:val="105"/>
          <w:sz w:val="16"/>
        </w:rPr>
        <w:t> </w:t>
      </w:r>
      <w:r>
        <w:rPr>
          <w:w w:val="105"/>
          <w:sz w:val="16"/>
        </w:rPr>
        <w:t>million,</w:t>
      </w:r>
      <w:r>
        <w:rPr>
          <w:spacing w:val="-9"/>
          <w:w w:val="105"/>
          <w:sz w:val="16"/>
        </w:rPr>
        <w:t> </w:t>
      </w:r>
      <w:r>
        <w:rPr>
          <w:w w:val="105"/>
          <w:sz w:val="16"/>
        </w:rPr>
        <w:t>primarily driven by strong growth of 5G, broadband and cloud computing;</w:t>
      </w:r>
    </w:p>
    <w:p>
      <w:pPr>
        <w:pStyle w:val="ListParagraph"/>
        <w:numPr>
          <w:ilvl w:val="0"/>
          <w:numId w:val="9"/>
        </w:numPr>
        <w:tabs>
          <w:tab w:pos="462" w:val="left" w:leader="none"/>
        </w:tabs>
        <w:spacing w:line="183" w:lineRule="exact" w:before="0" w:after="0"/>
        <w:ind w:left="462" w:right="0" w:hanging="306"/>
        <w:jc w:val="left"/>
        <w:rPr>
          <w:sz w:val="16"/>
        </w:rPr>
      </w:pPr>
      <w:r>
        <w:rPr>
          <w:spacing w:val="-2"/>
          <w:w w:val="105"/>
          <w:sz w:val="16"/>
        </w:rPr>
        <w:t>Net</w:t>
      </w:r>
      <w:r>
        <w:rPr>
          <w:spacing w:val="2"/>
          <w:w w:val="105"/>
          <w:sz w:val="16"/>
        </w:rPr>
        <w:t> </w:t>
      </w:r>
      <w:r>
        <w:rPr>
          <w:spacing w:val="-2"/>
          <w:w w:val="105"/>
          <w:sz w:val="16"/>
        </w:rPr>
        <w:t>sales</w:t>
      </w:r>
      <w:r>
        <w:rPr>
          <w:spacing w:val="2"/>
          <w:w w:val="105"/>
          <w:sz w:val="16"/>
        </w:rPr>
        <w:t> </w:t>
      </w:r>
      <w:r>
        <w:rPr>
          <w:spacing w:val="-2"/>
          <w:w w:val="105"/>
          <w:sz w:val="16"/>
        </w:rPr>
        <w:t>for</w:t>
      </w:r>
      <w:r>
        <w:rPr>
          <w:spacing w:val="3"/>
          <w:w w:val="105"/>
          <w:sz w:val="16"/>
        </w:rPr>
        <w:t> </w:t>
      </w:r>
      <w:r>
        <w:rPr>
          <w:spacing w:val="-2"/>
          <w:w w:val="105"/>
          <w:sz w:val="16"/>
        </w:rPr>
        <w:t>Environmental</w:t>
      </w:r>
      <w:r>
        <w:rPr>
          <w:spacing w:val="2"/>
          <w:w w:val="105"/>
          <w:sz w:val="16"/>
        </w:rPr>
        <w:t> </w:t>
      </w:r>
      <w:r>
        <w:rPr>
          <w:spacing w:val="-2"/>
          <w:w w:val="105"/>
          <w:sz w:val="16"/>
        </w:rPr>
        <w:t>Technologies</w:t>
      </w:r>
      <w:r>
        <w:rPr>
          <w:spacing w:val="2"/>
          <w:w w:val="105"/>
          <w:sz w:val="16"/>
        </w:rPr>
        <w:t> </w:t>
      </w:r>
      <w:r>
        <w:rPr>
          <w:spacing w:val="-2"/>
          <w:w w:val="105"/>
          <w:sz w:val="16"/>
        </w:rPr>
        <w:t>increased</w:t>
      </w:r>
      <w:r>
        <w:rPr>
          <w:spacing w:val="3"/>
          <w:w w:val="105"/>
          <w:sz w:val="16"/>
        </w:rPr>
        <w:t> </w:t>
      </w:r>
      <w:r>
        <w:rPr>
          <w:spacing w:val="-2"/>
          <w:w w:val="105"/>
          <w:sz w:val="16"/>
        </w:rPr>
        <w:t>$216</w:t>
      </w:r>
      <w:r>
        <w:rPr>
          <w:spacing w:val="2"/>
          <w:w w:val="105"/>
          <w:sz w:val="16"/>
        </w:rPr>
        <w:t> </w:t>
      </w:r>
      <w:r>
        <w:rPr>
          <w:spacing w:val="-2"/>
          <w:w w:val="105"/>
          <w:sz w:val="16"/>
        </w:rPr>
        <w:t>million,</w:t>
      </w:r>
      <w:r>
        <w:rPr>
          <w:spacing w:val="3"/>
          <w:w w:val="105"/>
          <w:sz w:val="16"/>
        </w:rPr>
        <w:t> </w:t>
      </w:r>
      <w:r>
        <w:rPr>
          <w:spacing w:val="-2"/>
          <w:w w:val="105"/>
          <w:sz w:val="16"/>
        </w:rPr>
        <w:t>primarily</w:t>
      </w:r>
      <w:r>
        <w:rPr>
          <w:spacing w:val="2"/>
          <w:w w:val="105"/>
          <w:sz w:val="16"/>
        </w:rPr>
        <w:t> </w:t>
      </w:r>
      <w:r>
        <w:rPr>
          <w:spacing w:val="-2"/>
          <w:w w:val="105"/>
          <w:sz w:val="16"/>
        </w:rPr>
        <w:t>due</w:t>
      </w:r>
      <w:r>
        <w:rPr>
          <w:spacing w:val="2"/>
          <w:w w:val="105"/>
          <w:sz w:val="16"/>
        </w:rPr>
        <w:t> </w:t>
      </w:r>
      <w:r>
        <w:rPr>
          <w:spacing w:val="-2"/>
          <w:w w:val="105"/>
          <w:sz w:val="16"/>
        </w:rPr>
        <w:t>to</w:t>
      </w:r>
      <w:r>
        <w:rPr>
          <w:spacing w:val="5"/>
          <w:w w:val="105"/>
          <w:sz w:val="16"/>
        </w:rPr>
        <w:t> </w:t>
      </w:r>
      <w:r>
        <w:rPr>
          <w:spacing w:val="-2"/>
          <w:w w:val="105"/>
          <w:sz w:val="16"/>
        </w:rPr>
        <w:t>increased</w:t>
      </w:r>
      <w:r>
        <w:rPr>
          <w:spacing w:val="2"/>
          <w:w w:val="105"/>
          <w:sz w:val="16"/>
        </w:rPr>
        <w:t> </w:t>
      </w:r>
      <w:r>
        <w:rPr>
          <w:spacing w:val="-2"/>
          <w:w w:val="105"/>
          <w:sz w:val="16"/>
        </w:rPr>
        <w:t>sales</w:t>
      </w:r>
      <w:r>
        <w:rPr>
          <w:spacing w:val="3"/>
          <w:w w:val="105"/>
          <w:sz w:val="16"/>
        </w:rPr>
        <w:t> </w:t>
      </w:r>
      <w:r>
        <w:rPr>
          <w:spacing w:val="-2"/>
          <w:w w:val="105"/>
          <w:sz w:val="16"/>
        </w:rPr>
        <w:t>of</w:t>
      </w:r>
      <w:r>
        <w:rPr>
          <w:spacing w:val="2"/>
          <w:w w:val="105"/>
          <w:sz w:val="16"/>
        </w:rPr>
        <w:t> </w:t>
      </w:r>
      <w:r>
        <w:rPr>
          <w:spacing w:val="-2"/>
          <w:w w:val="105"/>
          <w:sz w:val="16"/>
        </w:rPr>
        <w:t>heavy-duty</w:t>
      </w:r>
      <w:r>
        <w:rPr>
          <w:spacing w:val="2"/>
          <w:w w:val="105"/>
          <w:sz w:val="16"/>
        </w:rPr>
        <w:t> </w:t>
      </w:r>
      <w:r>
        <w:rPr>
          <w:spacing w:val="-2"/>
          <w:w w:val="105"/>
          <w:sz w:val="16"/>
        </w:rPr>
        <w:t>diesel</w:t>
      </w:r>
      <w:r>
        <w:rPr>
          <w:spacing w:val="3"/>
          <w:w w:val="105"/>
          <w:sz w:val="16"/>
        </w:rPr>
        <w:t> </w:t>
      </w:r>
      <w:r>
        <w:rPr>
          <w:spacing w:val="-2"/>
          <w:w w:val="105"/>
          <w:sz w:val="16"/>
        </w:rPr>
        <w:t>products</w:t>
      </w:r>
      <w:r>
        <w:rPr>
          <w:spacing w:val="2"/>
          <w:w w:val="105"/>
          <w:sz w:val="16"/>
        </w:rPr>
        <w:t> </w:t>
      </w:r>
      <w:r>
        <w:rPr>
          <w:spacing w:val="-2"/>
          <w:w w:val="105"/>
          <w:sz w:val="16"/>
        </w:rPr>
        <w:t>and</w:t>
      </w:r>
      <w:r>
        <w:rPr>
          <w:spacing w:val="2"/>
          <w:w w:val="105"/>
          <w:sz w:val="16"/>
        </w:rPr>
        <w:t> </w:t>
      </w:r>
      <w:r>
        <w:rPr>
          <w:spacing w:val="-2"/>
          <w:w w:val="105"/>
          <w:sz w:val="16"/>
        </w:rPr>
        <w:t>gas-particulate</w:t>
      </w:r>
      <w:r>
        <w:rPr>
          <w:spacing w:val="3"/>
          <w:w w:val="105"/>
          <w:sz w:val="16"/>
        </w:rPr>
        <w:t> </w:t>
      </w:r>
      <w:r>
        <w:rPr>
          <w:spacing w:val="-2"/>
          <w:w w:val="105"/>
          <w:sz w:val="16"/>
        </w:rPr>
        <w:t>filters;</w:t>
      </w:r>
    </w:p>
    <w:p>
      <w:pPr>
        <w:pStyle w:val="ListParagraph"/>
        <w:numPr>
          <w:ilvl w:val="0"/>
          <w:numId w:val="9"/>
        </w:numPr>
        <w:tabs>
          <w:tab w:pos="462" w:val="left" w:leader="none"/>
        </w:tabs>
        <w:spacing w:line="266" w:lineRule="auto" w:before="19" w:after="0"/>
        <w:ind w:left="462" w:right="354" w:hanging="306"/>
        <w:jc w:val="left"/>
        <w:rPr>
          <w:sz w:val="16"/>
        </w:rPr>
      </w:pPr>
      <w:r>
        <w:rPr>
          <w:w w:val="105"/>
          <w:sz w:val="16"/>
        </w:rPr>
        <w:t>Net</w:t>
      </w:r>
      <w:r>
        <w:rPr>
          <w:spacing w:val="-9"/>
          <w:w w:val="105"/>
          <w:sz w:val="16"/>
        </w:rPr>
        <w:t> </w:t>
      </w:r>
      <w:r>
        <w:rPr>
          <w:w w:val="105"/>
          <w:sz w:val="16"/>
        </w:rPr>
        <w:t>sales</w:t>
      </w:r>
      <w:r>
        <w:rPr>
          <w:spacing w:val="-9"/>
          <w:w w:val="105"/>
          <w:sz w:val="16"/>
        </w:rPr>
        <w:t> </w:t>
      </w:r>
      <w:r>
        <w:rPr>
          <w:w w:val="105"/>
          <w:sz w:val="16"/>
        </w:rPr>
        <w:t>in</w:t>
      </w:r>
      <w:r>
        <w:rPr>
          <w:spacing w:val="-9"/>
          <w:w w:val="105"/>
          <w:sz w:val="16"/>
        </w:rPr>
        <w:t> </w:t>
      </w:r>
      <w:r>
        <w:rPr>
          <w:w w:val="105"/>
          <w:sz w:val="16"/>
        </w:rPr>
        <w:t>the</w:t>
      </w:r>
      <w:r>
        <w:rPr>
          <w:spacing w:val="-9"/>
          <w:w w:val="105"/>
          <w:sz w:val="16"/>
        </w:rPr>
        <w:t> </w:t>
      </w:r>
      <w:r>
        <w:rPr>
          <w:w w:val="105"/>
          <w:sz w:val="16"/>
        </w:rPr>
        <w:t>Life</w:t>
      </w:r>
      <w:r>
        <w:rPr>
          <w:spacing w:val="-9"/>
          <w:w w:val="105"/>
          <w:sz w:val="16"/>
        </w:rPr>
        <w:t> </w:t>
      </w:r>
      <w:r>
        <w:rPr>
          <w:w w:val="105"/>
          <w:sz w:val="16"/>
        </w:rPr>
        <w:t>Sciences</w:t>
      </w:r>
      <w:r>
        <w:rPr>
          <w:spacing w:val="-9"/>
          <w:w w:val="105"/>
          <w:sz w:val="16"/>
        </w:rPr>
        <w:t> </w:t>
      </w:r>
      <w:r>
        <w:rPr>
          <w:w w:val="105"/>
          <w:sz w:val="16"/>
        </w:rPr>
        <w:t>segment</w:t>
      </w:r>
      <w:r>
        <w:rPr>
          <w:spacing w:val="-9"/>
          <w:w w:val="105"/>
          <w:sz w:val="16"/>
        </w:rPr>
        <w:t> </w:t>
      </w:r>
      <w:r>
        <w:rPr>
          <w:w w:val="105"/>
          <w:sz w:val="16"/>
        </w:rPr>
        <w:t>increased</w:t>
      </w:r>
      <w:r>
        <w:rPr>
          <w:spacing w:val="-9"/>
          <w:w w:val="105"/>
          <w:sz w:val="16"/>
        </w:rPr>
        <w:t> </w:t>
      </w:r>
      <w:r>
        <w:rPr>
          <w:w w:val="105"/>
          <w:sz w:val="16"/>
        </w:rPr>
        <w:t>by</w:t>
      </w:r>
      <w:r>
        <w:rPr>
          <w:spacing w:val="-9"/>
          <w:w w:val="105"/>
          <w:sz w:val="16"/>
        </w:rPr>
        <w:t> </w:t>
      </w:r>
      <w:r>
        <w:rPr>
          <w:w w:val="105"/>
          <w:sz w:val="16"/>
        </w:rPr>
        <w:t>$236</w:t>
      </w:r>
      <w:r>
        <w:rPr>
          <w:spacing w:val="-9"/>
          <w:w w:val="105"/>
          <w:sz w:val="16"/>
        </w:rPr>
        <w:t> </w:t>
      </w:r>
      <w:r>
        <w:rPr>
          <w:w w:val="105"/>
          <w:sz w:val="16"/>
        </w:rPr>
        <w:t>million,</w:t>
      </w:r>
      <w:r>
        <w:rPr>
          <w:spacing w:val="-9"/>
          <w:w w:val="105"/>
          <w:sz w:val="16"/>
        </w:rPr>
        <w:t> </w:t>
      </w:r>
      <w:r>
        <w:rPr>
          <w:w w:val="105"/>
          <w:sz w:val="16"/>
        </w:rPr>
        <w:t>primarily</w:t>
      </w:r>
      <w:r>
        <w:rPr>
          <w:spacing w:val="-9"/>
          <w:w w:val="105"/>
          <w:sz w:val="16"/>
        </w:rPr>
        <w:t> </w:t>
      </w:r>
      <w:r>
        <w:rPr>
          <w:w w:val="105"/>
          <w:sz w:val="16"/>
        </w:rPr>
        <w:t>driven</w:t>
      </w:r>
      <w:r>
        <w:rPr>
          <w:spacing w:val="-9"/>
          <w:w w:val="105"/>
          <w:sz w:val="16"/>
        </w:rPr>
        <w:t> </w:t>
      </w:r>
      <w:r>
        <w:rPr>
          <w:w w:val="105"/>
          <w:sz w:val="16"/>
        </w:rPr>
        <w:t>by</w:t>
      </w:r>
      <w:r>
        <w:rPr>
          <w:spacing w:val="-9"/>
          <w:w w:val="105"/>
          <w:sz w:val="16"/>
        </w:rPr>
        <w:t> </w:t>
      </w:r>
      <w:r>
        <w:rPr>
          <w:w w:val="105"/>
          <w:sz w:val="16"/>
        </w:rPr>
        <w:t>ongoing</w:t>
      </w:r>
      <w:r>
        <w:rPr>
          <w:spacing w:val="-9"/>
          <w:w w:val="105"/>
          <w:sz w:val="16"/>
        </w:rPr>
        <w:t> </w:t>
      </w:r>
      <w:r>
        <w:rPr>
          <w:w w:val="105"/>
          <w:sz w:val="16"/>
        </w:rPr>
        <w:t>increased</w:t>
      </w:r>
      <w:r>
        <w:rPr>
          <w:spacing w:val="-9"/>
          <w:w w:val="105"/>
          <w:sz w:val="16"/>
        </w:rPr>
        <w:t> </w:t>
      </w:r>
      <w:r>
        <w:rPr>
          <w:w w:val="105"/>
          <w:sz w:val="16"/>
        </w:rPr>
        <w:t>demand</w:t>
      </w:r>
      <w:r>
        <w:rPr>
          <w:spacing w:val="-9"/>
          <w:w w:val="105"/>
          <w:sz w:val="16"/>
        </w:rPr>
        <w:t> </w:t>
      </w:r>
      <w:r>
        <w:rPr>
          <w:w w:val="105"/>
          <w:sz w:val="16"/>
        </w:rPr>
        <w:t>to</w:t>
      </w:r>
      <w:r>
        <w:rPr>
          <w:spacing w:val="-9"/>
          <w:w w:val="105"/>
          <w:sz w:val="16"/>
        </w:rPr>
        <w:t> </w:t>
      </w:r>
      <w:r>
        <w:rPr>
          <w:w w:val="105"/>
          <w:sz w:val="16"/>
        </w:rPr>
        <w:t>support</w:t>
      </w:r>
      <w:r>
        <w:rPr>
          <w:spacing w:val="-9"/>
          <w:w w:val="105"/>
          <w:sz w:val="16"/>
        </w:rPr>
        <w:t> </w:t>
      </w:r>
      <w:r>
        <w:rPr>
          <w:w w:val="105"/>
          <w:sz w:val="16"/>
        </w:rPr>
        <w:t>the</w:t>
      </w:r>
      <w:r>
        <w:rPr>
          <w:spacing w:val="-9"/>
          <w:w w:val="105"/>
          <w:sz w:val="16"/>
        </w:rPr>
        <w:t> </w:t>
      </w:r>
      <w:r>
        <w:rPr>
          <w:w w:val="105"/>
          <w:sz w:val="16"/>
        </w:rPr>
        <w:t>global</w:t>
      </w:r>
      <w:r>
        <w:rPr>
          <w:spacing w:val="-9"/>
          <w:w w:val="105"/>
          <w:sz w:val="16"/>
        </w:rPr>
        <w:t> </w:t>
      </w:r>
      <w:r>
        <w:rPr>
          <w:w w:val="105"/>
          <w:sz w:val="16"/>
        </w:rPr>
        <w:t>pandemic</w:t>
      </w:r>
      <w:r>
        <w:rPr>
          <w:spacing w:val="-9"/>
          <w:w w:val="105"/>
          <w:sz w:val="16"/>
        </w:rPr>
        <w:t> </w:t>
      </w:r>
      <w:r>
        <w:rPr>
          <w:w w:val="105"/>
          <w:sz w:val="16"/>
        </w:rPr>
        <w:t>response,</w:t>
      </w:r>
      <w:r>
        <w:rPr>
          <w:spacing w:val="-9"/>
          <w:w w:val="105"/>
          <w:sz w:val="16"/>
        </w:rPr>
        <w:t> </w:t>
      </w:r>
      <w:r>
        <w:rPr>
          <w:w w:val="105"/>
          <w:sz w:val="16"/>
        </w:rPr>
        <w:t>continued recovery in research labs, and strong demand for bioproduction vessels and diagnostic-related consumables.;</w:t>
      </w:r>
    </w:p>
    <w:p>
      <w:pPr>
        <w:pStyle w:val="ListParagraph"/>
        <w:numPr>
          <w:ilvl w:val="0"/>
          <w:numId w:val="9"/>
        </w:numPr>
        <w:tabs>
          <w:tab w:pos="462" w:val="left" w:leader="none"/>
        </w:tabs>
        <w:spacing w:line="266" w:lineRule="auto" w:before="0" w:after="0"/>
        <w:ind w:left="462" w:right="408" w:hanging="306"/>
        <w:jc w:val="left"/>
        <w:rPr>
          <w:sz w:val="16"/>
        </w:rPr>
      </w:pPr>
      <w:r>
        <w:rPr>
          <w:w w:val="105"/>
          <w:sz w:val="16"/>
        </w:rPr>
        <w:t>Net</w:t>
      </w:r>
      <w:r>
        <w:rPr>
          <w:spacing w:val="-8"/>
          <w:w w:val="105"/>
          <w:sz w:val="16"/>
        </w:rPr>
        <w:t> </w:t>
      </w:r>
      <w:r>
        <w:rPr>
          <w:w w:val="105"/>
          <w:sz w:val="16"/>
        </w:rPr>
        <w:t>sales</w:t>
      </w:r>
      <w:r>
        <w:rPr>
          <w:spacing w:val="-8"/>
          <w:w w:val="105"/>
          <w:sz w:val="16"/>
        </w:rPr>
        <w:t> </w:t>
      </w:r>
      <w:r>
        <w:rPr>
          <w:w w:val="105"/>
          <w:sz w:val="16"/>
        </w:rPr>
        <w:t>increased</w:t>
      </w:r>
      <w:r>
        <w:rPr>
          <w:spacing w:val="-8"/>
          <w:w w:val="105"/>
          <w:sz w:val="16"/>
        </w:rPr>
        <w:t> </w:t>
      </w:r>
      <w:r>
        <w:rPr>
          <w:w w:val="105"/>
          <w:sz w:val="16"/>
        </w:rPr>
        <w:t>in</w:t>
      </w:r>
      <w:r>
        <w:rPr>
          <w:spacing w:val="-8"/>
          <w:w w:val="105"/>
          <w:sz w:val="16"/>
        </w:rPr>
        <w:t> </w:t>
      </w:r>
      <w:r>
        <w:rPr>
          <w:w w:val="105"/>
          <w:sz w:val="16"/>
        </w:rPr>
        <w:t>the</w:t>
      </w:r>
      <w:r>
        <w:rPr>
          <w:spacing w:val="-8"/>
          <w:w w:val="105"/>
          <w:sz w:val="16"/>
        </w:rPr>
        <w:t> </w:t>
      </w:r>
      <w:r>
        <w:rPr>
          <w:w w:val="105"/>
          <w:sz w:val="16"/>
        </w:rPr>
        <w:t>Specialty</w:t>
      </w:r>
      <w:r>
        <w:rPr>
          <w:spacing w:val="-8"/>
          <w:w w:val="105"/>
          <w:sz w:val="16"/>
        </w:rPr>
        <w:t> </w:t>
      </w:r>
      <w:r>
        <w:rPr>
          <w:w w:val="105"/>
          <w:sz w:val="16"/>
        </w:rPr>
        <w:t>Materials</w:t>
      </w:r>
      <w:r>
        <w:rPr>
          <w:spacing w:val="-8"/>
          <w:w w:val="105"/>
          <w:sz w:val="16"/>
        </w:rPr>
        <w:t> </w:t>
      </w:r>
      <w:r>
        <w:rPr>
          <w:w w:val="105"/>
          <w:sz w:val="16"/>
        </w:rPr>
        <w:t>segment</w:t>
      </w:r>
      <w:r>
        <w:rPr>
          <w:spacing w:val="-8"/>
          <w:w w:val="105"/>
          <w:sz w:val="16"/>
        </w:rPr>
        <w:t> </w:t>
      </w:r>
      <w:r>
        <w:rPr>
          <w:w w:val="105"/>
          <w:sz w:val="16"/>
        </w:rPr>
        <w:t>in</w:t>
      </w:r>
      <w:r>
        <w:rPr>
          <w:spacing w:val="-8"/>
          <w:w w:val="105"/>
          <w:sz w:val="16"/>
        </w:rPr>
        <w:t> </w:t>
      </w:r>
      <w:r>
        <w:rPr>
          <w:w w:val="105"/>
          <w:sz w:val="16"/>
        </w:rPr>
        <w:t>the</w:t>
      </w:r>
      <w:r>
        <w:rPr>
          <w:spacing w:val="-8"/>
          <w:w w:val="105"/>
          <w:sz w:val="16"/>
        </w:rPr>
        <w:t> </w:t>
      </w:r>
      <w:r>
        <w:rPr>
          <w:w w:val="105"/>
          <w:sz w:val="16"/>
        </w:rPr>
        <w:t>amount</w:t>
      </w:r>
      <w:r>
        <w:rPr>
          <w:spacing w:val="-8"/>
          <w:w w:val="105"/>
          <w:sz w:val="16"/>
        </w:rPr>
        <w:t> </w:t>
      </w:r>
      <w:r>
        <w:rPr>
          <w:w w:val="105"/>
          <w:sz w:val="16"/>
        </w:rPr>
        <w:t>of</w:t>
      </w:r>
      <w:r>
        <w:rPr>
          <w:spacing w:val="-8"/>
          <w:w w:val="105"/>
          <w:sz w:val="16"/>
        </w:rPr>
        <w:t> </w:t>
      </w:r>
      <w:r>
        <w:rPr>
          <w:w w:val="105"/>
          <w:sz w:val="16"/>
        </w:rPr>
        <w:t>$124</w:t>
      </w:r>
      <w:r>
        <w:rPr>
          <w:spacing w:val="-8"/>
          <w:w w:val="105"/>
          <w:sz w:val="16"/>
        </w:rPr>
        <w:t> </w:t>
      </w:r>
      <w:r>
        <w:rPr>
          <w:w w:val="105"/>
          <w:sz w:val="16"/>
        </w:rPr>
        <w:t>million,</w:t>
      </w:r>
      <w:r>
        <w:rPr>
          <w:spacing w:val="-8"/>
          <w:w w:val="105"/>
          <w:sz w:val="16"/>
        </w:rPr>
        <w:t> </w:t>
      </w:r>
      <w:r>
        <w:rPr>
          <w:w w:val="105"/>
          <w:sz w:val="16"/>
        </w:rPr>
        <w:t>primarily</w:t>
      </w:r>
      <w:r>
        <w:rPr>
          <w:spacing w:val="-8"/>
          <w:w w:val="105"/>
          <w:sz w:val="16"/>
        </w:rPr>
        <w:t> </w:t>
      </w:r>
      <w:r>
        <w:rPr>
          <w:w w:val="105"/>
          <w:sz w:val="16"/>
        </w:rPr>
        <w:t>driven</w:t>
      </w:r>
      <w:r>
        <w:rPr>
          <w:spacing w:val="-8"/>
          <w:w w:val="105"/>
          <w:sz w:val="16"/>
        </w:rPr>
        <w:t> </w:t>
      </w:r>
      <w:r>
        <w:rPr>
          <w:w w:val="105"/>
          <w:sz w:val="16"/>
        </w:rPr>
        <w:t>by</w:t>
      </w:r>
      <w:r>
        <w:rPr>
          <w:spacing w:val="-8"/>
          <w:w w:val="105"/>
          <w:sz w:val="16"/>
        </w:rPr>
        <w:t> </w:t>
      </w:r>
      <w:r>
        <w:rPr>
          <w:w w:val="105"/>
          <w:sz w:val="16"/>
        </w:rPr>
        <w:t>strong</w:t>
      </w:r>
      <w:r>
        <w:rPr>
          <w:spacing w:val="-8"/>
          <w:w w:val="105"/>
          <w:sz w:val="16"/>
        </w:rPr>
        <w:t> </w:t>
      </w:r>
      <w:r>
        <w:rPr>
          <w:w w:val="105"/>
          <w:sz w:val="16"/>
        </w:rPr>
        <w:t>demand</w:t>
      </w:r>
      <w:r>
        <w:rPr>
          <w:spacing w:val="-8"/>
          <w:w w:val="105"/>
          <w:sz w:val="16"/>
        </w:rPr>
        <w:t> </w:t>
      </w:r>
      <w:r>
        <w:rPr>
          <w:w w:val="105"/>
          <w:sz w:val="16"/>
        </w:rPr>
        <w:t>for</w:t>
      </w:r>
      <w:r>
        <w:rPr>
          <w:spacing w:val="-8"/>
          <w:w w:val="105"/>
          <w:sz w:val="16"/>
        </w:rPr>
        <w:t> </w:t>
      </w:r>
      <w:r>
        <w:rPr>
          <w:w w:val="105"/>
          <w:sz w:val="16"/>
        </w:rPr>
        <w:t>premium</w:t>
      </w:r>
      <w:r>
        <w:rPr>
          <w:spacing w:val="-8"/>
          <w:w w:val="105"/>
          <w:sz w:val="16"/>
        </w:rPr>
        <w:t> </w:t>
      </w:r>
      <w:r>
        <w:rPr>
          <w:w w:val="105"/>
          <w:sz w:val="16"/>
        </w:rPr>
        <w:t>cover</w:t>
      </w:r>
      <w:r>
        <w:rPr>
          <w:spacing w:val="-8"/>
          <w:w w:val="105"/>
          <w:sz w:val="16"/>
        </w:rPr>
        <w:t> </w:t>
      </w:r>
      <w:r>
        <w:rPr>
          <w:w w:val="105"/>
          <w:sz w:val="16"/>
        </w:rPr>
        <w:t>materials</w:t>
      </w:r>
      <w:r>
        <w:rPr>
          <w:spacing w:val="-8"/>
          <w:w w:val="105"/>
          <w:sz w:val="16"/>
        </w:rPr>
        <w:t> </w:t>
      </w:r>
      <w:r>
        <w:rPr>
          <w:w w:val="105"/>
          <w:sz w:val="16"/>
        </w:rPr>
        <w:t>and</w:t>
      </w:r>
      <w:r>
        <w:rPr>
          <w:spacing w:val="-8"/>
          <w:w w:val="105"/>
          <w:sz w:val="16"/>
        </w:rPr>
        <w:t> </w:t>
      </w:r>
      <w:r>
        <w:rPr>
          <w:w w:val="105"/>
          <w:sz w:val="16"/>
        </w:rPr>
        <w:t>advanced optics content used in semiconductor manufacturing; and</w:t>
      </w:r>
    </w:p>
    <w:p>
      <w:pPr>
        <w:pStyle w:val="ListParagraph"/>
        <w:numPr>
          <w:ilvl w:val="0"/>
          <w:numId w:val="9"/>
        </w:numPr>
        <w:tabs>
          <w:tab w:pos="462" w:val="left" w:leader="none"/>
        </w:tabs>
        <w:spacing w:line="183" w:lineRule="exact" w:before="0" w:after="0"/>
        <w:ind w:left="462" w:right="0" w:hanging="306"/>
        <w:jc w:val="left"/>
        <w:rPr>
          <w:sz w:val="16"/>
        </w:rPr>
      </w:pPr>
      <w:r>
        <w:rPr>
          <w:w w:val="105"/>
          <w:sz w:val="16"/>
        </w:rPr>
        <w:t>Net</w:t>
      </w:r>
      <w:r>
        <w:rPr>
          <w:spacing w:val="-9"/>
          <w:w w:val="105"/>
          <w:sz w:val="16"/>
        </w:rPr>
        <w:t> </w:t>
      </w:r>
      <w:r>
        <w:rPr>
          <w:w w:val="105"/>
          <w:sz w:val="16"/>
        </w:rPr>
        <w:t>sales</w:t>
      </w:r>
      <w:r>
        <w:rPr>
          <w:spacing w:val="-8"/>
          <w:w w:val="105"/>
          <w:sz w:val="16"/>
        </w:rPr>
        <w:t> </w:t>
      </w:r>
      <w:r>
        <w:rPr>
          <w:w w:val="105"/>
          <w:sz w:val="16"/>
        </w:rPr>
        <w:t>for</w:t>
      </w:r>
      <w:r>
        <w:rPr>
          <w:spacing w:val="-9"/>
          <w:w w:val="105"/>
          <w:sz w:val="16"/>
        </w:rPr>
        <w:t> </w:t>
      </w:r>
      <w:r>
        <w:rPr>
          <w:w w:val="105"/>
          <w:sz w:val="16"/>
        </w:rPr>
        <w:t>“All</w:t>
      </w:r>
      <w:r>
        <w:rPr>
          <w:spacing w:val="-8"/>
          <w:w w:val="105"/>
          <w:sz w:val="16"/>
        </w:rPr>
        <w:t> </w:t>
      </w:r>
      <w:r>
        <w:rPr>
          <w:w w:val="105"/>
          <w:sz w:val="16"/>
        </w:rPr>
        <w:t>Other”</w:t>
      </w:r>
      <w:r>
        <w:rPr>
          <w:spacing w:val="-9"/>
          <w:w w:val="105"/>
          <w:sz w:val="16"/>
        </w:rPr>
        <w:t> </w:t>
      </w:r>
      <w:r>
        <w:rPr>
          <w:w w:val="105"/>
          <w:sz w:val="16"/>
        </w:rPr>
        <w:t>increased</w:t>
      </w:r>
      <w:r>
        <w:rPr>
          <w:spacing w:val="-9"/>
          <w:w w:val="105"/>
          <w:sz w:val="16"/>
        </w:rPr>
        <w:t> </w:t>
      </w:r>
      <w:r>
        <w:rPr>
          <w:w w:val="105"/>
          <w:sz w:val="16"/>
        </w:rPr>
        <w:t>by</w:t>
      </w:r>
      <w:r>
        <w:rPr>
          <w:spacing w:val="-8"/>
          <w:w w:val="105"/>
          <w:sz w:val="16"/>
        </w:rPr>
        <w:t> </w:t>
      </w:r>
      <w:r>
        <w:rPr>
          <w:w w:val="105"/>
          <w:sz w:val="16"/>
        </w:rPr>
        <w:t>$778</w:t>
      </w:r>
      <w:r>
        <w:rPr>
          <w:spacing w:val="-9"/>
          <w:w w:val="105"/>
          <w:sz w:val="16"/>
        </w:rPr>
        <w:t> </w:t>
      </w:r>
      <w:r>
        <w:rPr>
          <w:w w:val="105"/>
          <w:sz w:val="16"/>
        </w:rPr>
        <w:t>million,</w:t>
      </w:r>
      <w:r>
        <w:rPr>
          <w:spacing w:val="-8"/>
          <w:w w:val="105"/>
          <w:sz w:val="16"/>
        </w:rPr>
        <w:t> </w:t>
      </w:r>
      <w:r>
        <w:rPr>
          <w:w w:val="105"/>
          <w:sz w:val="16"/>
        </w:rPr>
        <w:t>primarily</w:t>
      </w:r>
      <w:r>
        <w:rPr>
          <w:spacing w:val="-9"/>
          <w:w w:val="105"/>
          <w:sz w:val="16"/>
        </w:rPr>
        <w:t> </w:t>
      </w:r>
      <w:r>
        <w:rPr>
          <w:w w:val="105"/>
          <w:sz w:val="16"/>
        </w:rPr>
        <w:t>driven</w:t>
      </w:r>
      <w:r>
        <w:rPr>
          <w:spacing w:val="-8"/>
          <w:w w:val="105"/>
          <w:sz w:val="16"/>
        </w:rPr>
        <w:t> </w:t>
      </w:r>
      <w:r>
        <w:rPr>
          <w:w w:val="105"/>
          <w:sz w:val="16"/>
        </w:rPr>
        <w:t>by</w:t>
      </w:r>
      <w:r>
        <w:rPr>
          <w:spacing w:val="-8"/>
          <w:w w:val="105"/>
          <w:sz w:val="16"/>
        </w:rPr>
        <w:t> </w:t>
      </w:r>
      <w:r>
        <w:rPr>
          <w:w w:val="105"/>
          <w:sz w:val="16"/>
        </w:rPr>
        <w:t>full-year</w:t>
      </w:r>
      <w:r>
        <w:rPr>
          <w:spacing w:val="-8"/>
          <w:w w:val="105"/>
          <w:sz w:val="16"/>
        </w:rPr>
        <w:t> </w:t>
      </w:r>
      <w:r>
        <w:rPr>
          <w:w w:val="105"/>
          <w:sz w:val="16"/>
        </w:rPr>
        <w:t>consolidation</w:t>
      </w:r>
      <w:r>
        <w:rPr>
          <w:spacing w:val="-9"/>
          <w:w w:val="105"/>
          <w:sz w:val="16"/>
        </w:rPr>
        <w:t> </w:t>
      </w:r>
      <w:r>
        <w:rPr>
          <w:w w:val="105"/>
          <w:sz w:val="16"/>
        </w:rPr>
        <w:t>of</w:t>
      </w:r>
      <w:r>
        <w:rPr>
          <w:spacing w:val="-8"/>
          <w:w w:val="105"/>
          <w:sz w:val="16"/>
        </w:rPr>
        <w:t> </w:t>
      </w:r>
      <w:r>
        <w:rPr>
          <w:spacing w:val="-4"/>
          <w:w w:val="105"/>
          <w:sz w:val="16"/>
        </w:rPr>
        <w:t>HSG.</w:t>
      </w:r>
    </w:p>
    <w:p>
      <w:pPr>
        <w:pStyle w:val="BodyText"/>
        <w:spacing w:before="38"/>
      </w:pPr>
    </w:p>
    <w:p>
      <w:pPr>
        <w:pStyle w:val="BodyText"/>
        <w:spacing w:line="266" w:lineRule="auto" w:before="1"/>
        <w:ind w:left="156"/>
      </w:pPr>
      <w:r>
        <w:rPr>
          <w:w w:val="105"/>
        </w:rPr>
        <w:t>Movements</w:t>
      </w:r>
      <w:r>
        <w:rPr>
          <w:spacing w:val="-8"/>
          <w:w w:val="105"/>
        </w:rPr>
        <w:t> </w:t>
      </w:r>
      <w:r>
        <w:rPr>
          <w:w w:val="105"/>
        </w:rPr>
        <w:t>in</w:t>
      </w:r>
      <w:r>
        <w:rPr>
          <w:spacing w:val="-8"/>
          <w:w w:val="105"/>
        </w:rPr>
        <w:t> </w:t>
      </w:r>
      <w:r>
        <w:rPr>
          <w:w w:val="105"/>
        </w:rPr>
        <w:t>foreign</w:t>
      </w:r>
      <w:r>
        <w:rPr>
          <w:spacing w:val="-8"/>
          <w:w w:val="105"/>
        </w:rPr>
        <w:t> </w:t>
      </w:r>
      <w:r>
        <w:rPr>
          <w:w w:val="105"/>
        </w:rPr>
        <w:t>exchange</w:t>
      </w:r>
      <w:r>
        <w:rPr>
          <w:spacing w:val="-8"/>
          <w:w w:val="105"/>
        </w:rPr>
        <w:t> </w:t>
      </w:r>
      <w:r>
        <w:rPr>
          <w:w w:val="105"/>
        </w:rPr>
        <w:t>rates</w:t>
      </w:r>
      <w:r>
        <w:rPr>
          <w:spacing w:val="-8"/>
          <w:w w:val="105"/>
        </w:rPr>
        <w:t> </w:t>
      </w:r>
      <w:r>
        <w:rPr>
          <w:w w:val="105"/>
        </w:rPr>
        <w:t>positively</w:t>
      </w:r>
      <w:r>
        <w:rPr>
          <w:spacing w:val="-8"/>
          <w:w w:val="105"/>
        </w:rPr>
        <w:t> </w:t>
      </w:r>
      <w:r>
        <w:rPr>
          <w:w w:val="105"/>
        </w:rPr>
        <w:t>impacted</w:t>
      </w:r>
      <w:r>
        <w:rPr>
          <w:spacing w:val="-8"/>
          <w:w w:val="105"/>
        </w:rPr>
        <w:t> </w:t>
      </w:r>
      <w:r>
        <w:rPr>
          <w:w w:val="105"/>
        </w:rPr>
        <w:t>Corning’s</w:t>
      </w:r>
      <w:r>
        <w:rPr>
          <w:spacing w:val="-8"/>
          <w:w w:val="105"/>
        </w:rPr>
        <w:t> </w:t>
      </w:r>
      <w:r>
        <w:rPr>
          <w:w w:val="105"/>
        </w:rPr>
        <w:t>consolidated</w:t>
      </w:r>
      <w:r>
        <w:rPr>
          <w:spacing w:val="-8"/>
          <w:w w:val="105"/>
        </w:rPr>
        <w:t> </w:t>
      </w:r>
      <w:r>
        <w:rPr>
          <w:w w:val="105"/>
        </w:rPr>
        <w:t>net</w:t>
      </w:r>
      <w:r>
        <w:rPr>
          <w:spacing w:val="-8"/>
          <w:w w:val="105"/>
        </w:rPr>
        <w:t> </w:t>
      </w:r>
      <w:r>
        <w:rPr>
          <w:w w:val="105"/>
        </w:rPr>
        <w:t>sales</w:t>
      </w:r>
      <w:r>
        <w:rPr>
          <w:spacing w:val="-8"/>
          <w:w w:val="105"/>
        </w:rPr>
        <w:t> </w:t>
      </w:r>
      <w:r>
        <w:rPr>
          <w:w w:val="105"/>
        </w:rPr>
        <w:t>by</w:t>
      </w:r>
      <w:r>
        <w:rPr>
          <w:spacing w:val="-8"/>
          <w:w w:val="105"/>
        </w:rPr>
        <w:t> </w:t>
      </w:r>
      <w:r>
        <w:rPr>
          <w:w w:val="105"/>
        </w:rPr>
        <w:t>$83</w:t>
      </w:r>
      <w:r>
        <w:rPr>
          <w:spacing w:val="-8"/>
          <w:w w:val="105"/>
        </w:rPr>
        <w:t> </w:t>
      </w:r>
      <w:r>
        <w:rPr>
          <w:w w:val="105"/>
        </w:rPr>
        <w:t>million</w:t>
      </w:r>
      <w:r>
        <w:rPr>
          <w:spacing w:val="-8"/>
          <w:w w:val="105"/>
        </w:rPr>
        <w:t> </w:t>
      </w:r>
      <w:r>
        <w:rPr>
          <w:w w:val="105"/>
        </w:rPr>
        <w:t>in</w:t>
      </w:r>
      <w:r>
        <w:rPr>
          <w:spacing w:val="-8"/>
          <w:w w:val="105"/>
        </w:rPr>
        <w:t> </w:t>
      </w:r>
      <w:r>
        <w:rPr>
          <w:w w:val="105"/>
        </w:rPr>
        <w:t>the</w:t>
      </w:r>
      <w:r>
        <w:rPr>
          <w:spacing w:val="-8"/>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when</w:t>
      </w:r>
      <w:r>
        <w:rPr>
          <w:spacing w:val="-8"/>
          <w:w w:val="105"/>
        </w:rPr>
        <w:t> </w:t>
      </w:r>
      <w:r>
        <w:rPr>
          <w:w w:val="105"/>
        </w:rPr>
        <w:t>compared</w:t>
      </w:r>
      <w:r>
        <w:rPr>
          <w:spacing w:val="-7"/>
          <w:w w:val="105"/>
        </w:rPr>
        <w:t> </w:t>
      </w:r>
      <w:r>
        <w:rPr>
          <w:w w:val="105"/>
        </w:rPr>
        <w:t>to</w:t>
      </w:r>
      <w:r>
        <w:rPr>
          <w:spacing w:val="-8"/>
          <w:w w:val="105"/>
        </w:rPr>
        <w:t> </w:t>
      </w:r>
      <w:r>
        <w:rPr>
          <w:w w:val="105"/>
        </w:rPr>
        <w:t>the</w:t>
      </w:r>
      <w:r>
        <w:rPr>
          <w:spacing w:val="-8"/>
          <w:w w:val="105"/>
        </w:rPr>
        <w:t> </w:t>
      </w:r>
      <w:r>
        <w:rPr>
          <w:w w:val="105"/>
        </w:rPr>
        <w:t>same period in 2020.</w:t>
      </w:r>
    </w:p>
    <w:p>
      <w:pPr>
        <w:pStyle w:val="BodyText"/>
        <w:spacing w:before="18"/>
      </w:pPr>
    </w:p>
    <w:p>
      <w:pPr>
        <w:pStyle w:val="BodyText"/>
        <w:spacing w:before="1"/>
        <w:ind w:left="156"/>
      </w:pPr>
      <w:r>
        <w:rPr>
          <w:w w:val="105"/>
        </w:rPr>
        <w:t>In</w:t>
      </w:r>
      <w:r>
        <w:rPr>
          <w:spacing w:val="-8"/>
          <w:w w:val="105"/>
        </w:rPr>
        <w:t> </w:t>
      </w:r>
      <w:r>
        <w:rPr>
          <w:w w:val="105"/>
        </w:rPr>
        <w:t>2021</w:t>
      </w:r>
      <w:r>
        <w:rPr>
          <w:spacing w:val="-8"/>
          <w:w w:val="105"/>
        </w:rPr>
        <w:t> </w:t>
      </w:r>
      <w:r>
        <w:rPr>
          <w:w w:val="105"/>
        </w:rPr>
        <w:t>and</w:t>
      </w:r>
      <w:r>
        <w:rPr>
          <w:spacing w:val="-8"/>
          <w:w w:val="105"/>
        </w:rPr>
        <w:t> </w:t>
      </w:r>
      <w:r>
        <w:rPr>
          <w:w w:val="105"/>
        </w:rPr>
        <w:t>2020,</w:t>
      </w:r>
      <w:r>
        <w:rPr>
          <w:spacing w:val="-7"/>
          <w:w w:val="105"/>
        </w:rPr>
        <w:t> </w:t>
      </w:r>
      <w:r>
        <w:rPr>
          <w:w w:val="105"/>
        </w:rPr>
        <w:t>sales</w:t>
      </w:r>
      <w:r>
        <w:rPr>
          <w:spacing w:val="-8"/>
          <w:w w:val="105"/>
        </w:rPr>
        <w:t> </w:t>
      </w:r>
      <w:r>
        <w:rPr>
          <w:w w:val="105"/>
        </w:rPr>
        <w:t>in</w:t>
      </w:r>
      <w:r>
        <w:rPr>
          <w:spacing w:val="-8"/>
          <w:w w:val="105"/>
        </w:rPr>
        <w:t> </w:t>
      </w:r>
      <w:r>
        <w:rPr>
          <w:w w:val="105"/>
        </w:rPr>
        <w:t>international</w:t>
      </w:r>
      <w:r>
        <w:rPr>
          <w:spacing w:val="-7"/>
          <w:w w:val="105"/>
        </w:rPr>
        <w:t> </w:t>
      </w:r>
      <w:r>
        <w:rPr>
          <w:w w:val="105"/>
        </w:rPr>
        <w:t>markets</w:t>
      </w:r>
      <w:r>
        <w:rPr>
          <w:spacing w:val="-8"/>
          <w:w w:val="105"/>
        </w:rPr>
        <w:t> </w:t>
      </w:r>
      <w:r>
        <w:rPr>
          <w:w w:val="105"/>
        </w:rPr>
        <w:t>accounted</w:t>
      </w:r>
      <w:r>
        <w:rPr>
          <w:spacing w:val="-6"/>
          <w:w w:val="105"/>
        </w:rPr>
        <w:t> </w:t>
      </w:r>
      <w:r>
        <w:rPr>
          <w:w w:val="105"/>
        </w:rPr>
        <w:t>for</w:t>
      </w:r>
      <w:r>
        <w:rPr>
          <w:spacing w:val="-8"/>
          <w:w w:val="105"/>
        </w:rPr>
        <w:t> </w:t>
      </w:r>
      <w:r>
        <w:rPr>
          <w:w w:val="105"/>
        </w:rPr>
        <w:t>68%</w:t>
      </w:r>
      <w:r>
        <w:rPr>
          <w:spacing w:val="-8"/>
          <w:w w:val="105"/>
        </w:rPr>
        <w:t> </w:t>
      </w:r>
      <w:r>
        <w:rPr>
          <w:w w:val="105"/>
        </w:rPr>
        <w:t>and</w:t>
      </w:r>
      <w:r>
        <w:rPr>
          <w:spacing w:val="-7"/>
          <w:w w:val="105"/>
        </w:rPr>
        <w:t> </w:t>
      </w:r>
      <w:r>
        <w:rPr>
          <w:w w:val="105"/>
        </w:rPr>
        <w:t>70%</w:t>
      </w:r>
      <w:r>
        <w:rPr>
          <w:spacing w:val="-8"/>
          <w:w w:val="105"/>
        </w:rPr>
        <w:t> </w:t>
      </w:r>
      <w:r>
        <w:rPr>
          <w:w w:val="105"/>
        </w:rPr>
        <w:t>of</w:t>
      </w:r>
      <w:r>
        <w:rPr>
          <w:spacing w:val="-8"/>
          <w:w w:val="105"/>
        </w:rPr>
        <w:t> </w:t>
      </w:r>
      <w:r>
        <w:rPr>
          <w:w w:val="105"/>
        </w:rPr>
        <w:t>total</w:t>
      </w:r>
      <w:r>
        <w:rPr>
          <w:spacing w:val="-7"/>
          <w:w w:val="105"/>
        </w:rPr>
        <w:t> </w:t>
      </w:r>
      <w:r>
        <w:rPr>
          <w:w w:val="105"/>
        </w:rPr>
        <w:t>net</w:t>
      </w:r>
      <w:r>
        <w:rPr>
          <w:spacing w:val="-8"/>
          <w:w w:val="105"/>
        </w:rPr>
        <w:t> </w:t>
      </w:r>
      <w:r>
        <w:rPr>
          <w:w w:val="105"/>
        </w:rPr>
        <w:t>sales,</w:t>
      </w:r>
      <w:r>
        <w:rPr>
          <w:spacing w:val="-8"/>
          <w:w w:val="105"/>
        </w:rPr>
        <w:t> </w:t>
      </w:r>
      <w:r>
        <w:rPr>
          <w:spacing w:val="-2"/>
          <w:w w:val="105"/>
        </w:rPr>
        <w:t>respectively.</w:t>
      </w:r>
    </w:p>
    <w:p>
      <w:pPr>
        <w:pStyle w:val="BodyText"/>
        <w:spacing w:before="39"/>
      </w:pPr>
    </w:p>
    <w:p>
      <w:pPr>
        <w:pStyle w:val="Heading3"/>
      </w:pPr>
      <w:r>
        <w:rPr>
          <w:w w:val="105"/>
        </w:rPr>
        <w:t>Cost</w:t>
      </w:r>
      <w:r>
        <w:rPr>
          <w:spacing w:val="-6"/>
          <w:w w:val="105"/>
        </w:rPr>
        <w:t> </w:t>
      </w:r>
      <w:r>
        <w:rPr>
          <w:w w:val="105"/>
        </w:rPr>
        <w:t>of</w:t>
      </w:r>
      <w:r>
        <w:rPr>
          <w:spacing w:val="-5"/>
          <w:w w:val="105"/>
        </w:rPr>
        <w:t> </w:t>
      </w:r>
      <w:r>
        <w:rPr>
          <w:spacing w:val="-2"/>
          <w:w w:val="105"/>
        </w:rPr>
        <w:t>Sales</w:t>
      </w:r>
    </w:p>
    <w:p>
      <w:pPr>
        <w:pStyle w:val="BodyText"/>
        <w:spacing w:before="40"/>
        <w:rPr>
          <w:b/>
          <w:i/>
        </w:rPr>
      </w:pPr>
    </w:p>
    <w:p>
      <w:pPr>
        <w:pStyle w:val="BodyText"/>
        <w:spacing w:line="266" w:lineRule="auto"/>
        <w:ind w:left="156" w:right="150"/>
      </w:pPr>
      <w:r>
        <w:rPr>
          <w:w w:val="105"/>
        </w:rPr>
        <w:t>The</w:t>
      </w:r>
      <w:r>
        <w:rPr>
          <w:spacing w:val="-2"/>
          <w:w w:val="105"/>
        </w:rPr>
        <w:t> </w:t>
      </w:r>
      <w:r>
        <w:rPr>
          <w:w w:val="105"/>
        </w:rPr>
        <w:t>types</w:t>
      </w:r>
      <w:r>
        <w:rPr>
          <w:spacing w:val="-2"/>
          <w:w w:val="105"/>
        </w:rPr>
        <w:t> </w:t>
      </w:r>
      <w:r>
        <w:rPr>
          <w:w w:val="105"/>
        </w:rPr>
        <w:t>of</w:t>
      </w:r>
      <w:r>
        <w:rPr>
          <w:spacing w:val="-2"/>
          <w:w w:val="105"/>
        </w:rPr>
        <w:t> </w:t>
      </w:r>
      <w:r>
        <w:rPr>
          <w:w w:val="105"/>
        </w:rPr>
        <w:t>expenses</w:t>
      </w:r>
      <w:r>
        <w:rPr>
          <w:spacing w:val="-2"/>
          <w:w w:val="105"/>
        </w:rPr>
        <w:t> </w:t>
      </w:r>
      <w:r>
        <w:rPr>
          <w:w w:val="105"/>
        </w:rPr>
        <w:t>included</w:t>
      </w:r>
      <w:r>
        <w:rPr>
          <w:spacing w:val="-2"/>
          <w:w w:val="105"/>
        </w:rPr>
        <w:t> </w:t>
      </w:r>
      <w:r>
        <w:rPr>
          <w:w w:val="105"/>
        </w:rPr>
        <w:t>in the</w:t>
      </w:r>
      <w:r>
        <w:rPr>
          <w:spacing w:val="-2"/>
          <w:w w:val="105"/>
        </w:rPr>
        <w:t> </w:t>
      </w:r>
      <w:r>
        <w:rPr>
          <w:w w:val="105"/>
        </w:rPr>
        <w:t>cost</w:t>
      </w:r>
      <w:r>
        <w:rPr>
          <w:spacing w:val="-2"/>
          <w:w w:val="105"/>
        </w:rPr>
        <w:t> </w:t>
      </w:r>
      <w:r>
        <w:rPr>
          <w:w w:val="105"/>
        </w:rPr>
        <w:t>of</w:t>
      </w:r>
      <w:r>
        <w:rPr>
          <w:spacing w:val="-2"/>
          <w:w w:val="105"/>
        </w:rPr>
        <w:t> </w:t>
      </w:r>
      <w:r>
        <w:rPr>
          <w:w w:val="105"/>
        </w:rPr>
        <w:t>sales</w:t>
      </w:r>
      <w:r>
        <w:rPr>
          <w:spacing w:val="-2"/>
          <w:w w:val="105"/>
        </w:rPr>
        <w:t> </w:t>
      </w:r>
      <w:r>
        <w:rPr>
          <w:w w:val="105"/>
        </w:rPr>
        <w:t>line</w:t>
      </w:r>
      <w:r>
        <w:rPr>
          <w:spacing w:val="-2"/>
          <w:w w:val="105"/>
        </w:rPr>
        <w:t> </w:t>
      </w:r>
      <w:r>
        <w:rPr>
          <w:w w:val="105"/>
        </w:rPr>
        <w:t>item</w:t>
      </w:r>
      <w:r>
        <w:rPr>
          <w:spacing w:val="-2"/>
          <w:w w:val="105"/>
        </w:rPr>
        <w:t> </w:t>
      </w:r>
      <w:r>
        <w:rPr>
          <w:w w:val="105"/>
        </w:rPr>
        <w:t>are:</w:t>
      </w:r>
      <w:r>
        <w:rPr>
          <w:spacing w:val="-2"/>
          <w:w w:val="105"/>
        </w:rPr>
        <w:t> </w:t>
      </w:r>
      <w:r>
        <w:rPr>
          <w:w w:val="105"/>
        </w:rPr>
        <w:t>raw</w:t>
      </w:r>
      <w:r>
        <w:rPr>
          <w:spacing w:val="-2"/>
          <w:w w:val="105"/>
        </w:rPr>
        <w:t> </w:t>
      </w:r>
      <w:r>
        <w:rPr>
          <w:w w:val="105"/>
        </w:rPr>
        <w:t>materials</w:t>
      </w:r>
      <w:r>
        <w:rPr>
          <w:spacing w:val="-2"/>
          <w:w w:val="105"/>
        </w:rPr>
        <w:t> </w:t>
      </w:r>
      <w:r>
        <w:rPr>
          <w:w w:val="105"/>
        </w:rPr>
        <w:t>consumption,</w:t>
      </w:r>
      <w:r>
        <w:rPr>
          <w:spacing w:val="-2"/>
          <w:w w:val="105"/>
        </w:rPr>
        <w:t> </w:t>
      </w:r>
      <w:r>
        <w:rPr>
          <w:w w:val="105"/>
        </w:rPr>
        <w:t>including</w:t>
      </w:r>
      <w:r>
        <w:rPr>
          <w:spacing w:val="-2"/>
          <w:w w:val="105"/>
        </w:rPr>
        <w:t> </w:t>
      </w:r>
      <w:r>
        <w:rPr>
          <w:w w:val="105"/>
        </w:rPr>
        <w:t>direct</w:t>
      </w:r>
      <w:r>
        <w:rPr>
          <w:spacing w:val="-2"/>
          <w:w w:val="105"/>
        </w:rPr>
        <w:t> </w:t>
      </w:r>
      <w:r>
        <w:rPr>
          <w:w w:val="105"/>
        </w:rPr>
        <w:t>and</w:t>
      </w:r>
      <w:r>
        <w:rPr>
          <w:spacing w:val="-2"/>
          <w:w w:val="105"/>
        </w:rPr>
        <w:t> </w:t>
      </w:r>
      <w:r>
        <w:rPr>
          <w:w w:val="105"/>
        </w:rPr>
        <w:t>indirect</w:t>
      </w:r>
      <w:r>
        <w:rPr>
          <w:spacing w:val="-2"/>
          <w:w w:val="105"/>
        </w:rPr>
        <w:t> </w:t>
      </w:r>
      <w:r>
        <w:rPr>
          <w:w w:val="105"/>
        </w:rPr>
        <w:t>materials;</w:t>
      </w:r>
      <w:r>
        <w:rPr>
          <w:spacing w:val="-2"/>
          <w:w w:val="105"/>
        </w:rPr>
        <w:t> </w:t>
      </w:r>
      <w:r>
        <w:rPr>
          <w:w w:val="105"/>
        </w:rPr>
        <w:t>salaries,</w:t>
      </w:r>
      <w:r>
        <w:rPr>
          <w:spacing w:val="-2"/>
          <w:w w:val="105"/>
        </w:rPr>
        <w:t> </w:t>
      </w:r>
      <w:r>
        <w:rPr>
          <w:w w:val="105"/>
        </w:rPr>
        <w:t>wages</w:t>
      </w:r>
      <w:r>
        <w:rPr>
          <w:spacing w:val="-2"/>
          <w:w w:val="105"/>
        </w:rPr>
        <w:t> </w:t>
      </w:r>
      <w:r>
        <w:rPr>
          <w:w w:val="105"/>
        </w:rPr>
        <w:t>and</w:t>
      </w:r>
      <w:r>
        <w:rPr>
          <w:spacing w:val="-2"/>
          <w:w w:val="105"/>
        </w:rPr>
        <w:t> </w:t>
      </w:r>
      <w:r>
        <w:rPr>
          <w:w w:val="105"/>
        </w:rPr>
        <w:t>benefits; depreciation</w:t>
      </w:r>
      <w:r>
        <w:rPr>
          <w:spacing w:val="-11"/>
          <w:w w:val="105"/>
        </w:rPr>
        <w:t> </w:t>
      </w:r>
      <w:r>
        <w:rPr>
          <w:w w:val="105"/>
        </w:rPr>
        <w:t>and</w:t>
      </w:r>
      <w:r>
        <w:rPr>
          <w:spacing w:val="-10"/>
          <w:w w:val="105"/>
        </w:rPr>
        <w:t> </w:t>
      </w:r>
      <w:r>
        <w:rPr>
          <w:w w:val="105"/>
        </w:rPr>
        <w:t>amortization;</w:t>
      </w:r>
      <w:r>
        <w:rPr>
          <w:spacing w:val="-11"/>
          <w:w w:val="105"/>
        </w:rPr>
        <w:t> </w:t>
      </w:r>
      <w:r>
        <w:rPr>
          <w:w w:val="105"/>
        </w:rPr>
        <w:t>production</w:t>
      </w:r>
      <w:r>
        <w:rPr>
          <w:spacing w:val="-10"/>
          <w:w w:val="105"/>
        </w:rPr>
        <w:t> </w:t>
      </w:r>
      <w:r>
        <w:rPr>
          <w:w w:val="105"/>
        </w:rPr>
        <w:t>utilities;</w:t>
      </w:r>
      <w:r>
        <w:rPr>
          <w:spacing w:val="-11"/>
          <w:w w:val="105"/>
        </w:rPr>
        <w:t> </w:t>
      </w:r>
      <w:r>
        <w:rPr>
          <w:w w:val="105"/>
        </w:rPr>
        <w:t>production-related</w:t>
      </w:r>
      <w:r>
        <w:rPr>
          <w:spacing w:val="-10"/>
          <w:w w:val="105"/>
        </w:rPr>
        <w:t> </w:t>
      </w:r>
      <w:r>
        <w:rPr>
          <w:w w:val="105"/>
        </w:rPr>
        <w:t>purchasing;</w:t>
      </w:r>
      <w:r>
        <w:rPr>
          <w:spacing w:val="-11"/>
          <w:w w:val="105"/>
        </w:rPr>
        <w:t> </w:t>
      </w:r>
      <w:r>
        <w:rPr>
          <w:w w:val="105"/>
        </w:rPr>
        <w:t>warehousing</w:t>
      </w:r>
      <w:r>
        <w:rPr>
          <w:spacing w:val="-10"/>
          <w:w w:val="105"/>
        </w:rPr>
        <w:t> </w:t>
      </w:r>
      <w:r>
        <w:rPr>
          <w:w w:val="105"/>
        </w:rPr>
        <w:t>(including</w:t>
      </w:r>
      <w:r>
        <w:rPr>
          <w:spacing w:val="-11"/>
          <w:w w:val="105"/>
        </w:rPr>
        <w:t> </w:t>
      </w:r>
      <w:r>
        <w:rPr>
          <w:w w:val="105"/>
        </w:rPr>
        <w:t>receiving</w:t>
      </w:r>
      <w:r>
        <w:rPr>
          <w:spacing w:val="-10"/>
          <w:w w:val="105"/>
        </w:rPr>
        <w:t> </w:t>
      </w:r>
      <w:r>
        <w:rPr>
          <w:w w:val="105"/>
        </w:rPr>
        <w:t>and</w:t>
      </w:r>
      <w:r>
        <w:rPr>
          <w:spacing w:val="-11"/>
          <w:w w:val="105"/>
        </w:rPr>
        <w:t> </w:t>
      </w:r>
      <w:r>
        <w:rPr>
          <w:w w:val="105"/>
        </w:rPr>
        <w:t>inspection);</w:t>
      </w:r>
      <w:r>
        <w:rPr>
          <w:spacing w:val="-10"/>
          <w:w w:val="105"/>
        </w:rPr>
        <w:t> </w:t>
      </w:r>
      <w:r>
        <w:rPr>
          <w:w w:val="105"/>
        </w:rPr>
        <w:t>repairs</w:t>
      </w:r>
      <w:r>
        <w:rPr>
          <w:spacing w:val="-11"/>
          <w:w w:val="105"/>
        </w:rPr>
        <w:t> </w:t>
      </w:r>
      <w:r>
        <w:rPr>
          <w:w w:val="105"/>
        </w:rPr>
        <w:t>and</w:t>
      </w:r>
      <w:r>
        <w:rPr>
          <w:spacing w:val="-10"/>
          <w:w w:val="105"/>
        </w:rPr>
        <w:t> </w:t>
      </w:r>
      <w:r>
        <w:rPr>
          <w:w w:val="105"/>
        </w:rPr>
        <w:t>maintenance;</w:t>
      </w:r>
      <w:r>
        <w:rPr>
          <w:spacing w:val="-11"/>
          <w:w w:val="105"/>
        </w:rPr>
        <w:t> </w:t>
      </w:r>
      <w:r>
        <w:rPr>
          <w:w w:val="105"/>
        </w:rPr>
        <w:t>inter-location inventory transfer costs; production and warehousing facility property insurance; rent for production facilities; and other production overhead.</w:t>
      </w:r>
    </w:p>
    <w:p>
      <w:pPr>
        <w:pStyle w:val="BodyText"/>
        <w:spacing w:before="18"/>
      </w:pPr>
    </w:p>
    <w:p>
      <w:pPr>
        <w:pStyle w:val="BodyText"/>
        <w:spacing w:before="1"/>
        <w:ind w:left="48"/>
        <w:jc w:val="center"/>
      </w:pPr>
      <w:r>
        <w:rPr>
          <w:spacing w:val="-5"/>
          <w:w w:val="105"/>
        </w:rPr>
        <w:t>27</w:t>
      </w:r>
    </w:p>
    <w:p>
      <w:pPr>
        <w:pStyle w:val="BodyText"/>
        <w:spacing w:before="11"/>
        <w:rPr>
          <w:sz w:val="5"/>
        </w:rPr>
      </w:pPr>
      <w:r>
        <w:rPr/>
        <mc:AlternateContent>
          <mc:Choice Requires="wps">
            <w:drawing>
              <wp:anchor distT="0" distB="0" distL="0" distR="0" allowOverlap="1" layoutInCell="1" locked="0" behindDoc="1" simplePos="0" relativeHeight="487603200">
                <wp:simplePos x="0" y="0"/>
                <wp:positionH relativeFrom="page">
                  <wp:posOffset>226488</wp:posOffset>
                </wp:positionH>
                <wp:positionV relativeFrom="paragraph">
                  <wp:posOffset>58785</wp:posOffset>
                </wp:positionV>
                <wp:extent cx="7312659" cy="1651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878pt;width:575.775087pt;height:1.273839pt;mso-position-horizontal-relative:page;mso-position-vertical-relative:paragraph;z-index:-15713280;mso-wrap-distance-left:0;mso-wrap-distance-right:0" id="docshape32" filled="true" fillcolor="#000000" stroked="false">
                <v:fill type="solid"/>
                <w10:wrap type="topAndBottom"/>
              </v:rect>
            </w:pict>
          </mc:Fallback>
        </mc:AlternateContent>
      </w:r>
    </w:p>
    <w:p>
      <w:pPr>
        <w:spacing w:after="0"/>
        <w:rPr>
          <w:sz w:val="5"/>
        </w:rPr>
        <w:sectPr>
          <w:type w:val="continuous"/>
          <w:pgSz w:w="12240" w:h="15840"/>
          <w:pgMar w:header="428" w:footer="0" w:top="700" w:bottom="280" w:left="200" w:right="260"/>
        </w:sectPr>
      </w:pPr>
    </w:p>
    <w:p>
      <w:pPr>
        <w:pStyle w:val="BodyText"/>
        <w:spacing w:before="38"/>
      </w:pPr>
    </w:p>
    <w:p>
      <w:pPr>
        <w:pStyle w:val="Heading3"/>
      </w:pPr>
      <w:r>
        <w:rPr>
          <w:spacing w:val="-2"/>
          <w:w w:val="105"/>
        </w:rPr>
        <w:t>Gross</w:t>
      </w:r>
      <w:r>
        <w:rPr>
          <w:spacing w:val="-3"/>
          <w:w w:val="105"/>
        </w:rPr>
        <w:t> </w:t>
      </w:r>
      <w:r>
        <w:rPr>
          <w:spacing w:val="-2"/>
          <w:w w:val="105"/>
        </w:rPr>
        <w:t>Margin</w:t>
      </w:r>
    </w:p>
    <w:p>
      <w:pPr>
        <w:pStyle w:val="BodyText"/>
        <w:spacing w:before="40"/>
        <w:rPr>
          <w:b/>
          <w:i/>
        </w:rPr>
      </w:pPr>
    </w:p>
    <w:p>
      <w:pPr>
        <w:pStyle w:val="BodyText"/>
        <w:spacing w:line="266" w:lineRule="auto"/>
        <w:ind w:left="156" w:right="328"/>
      </w:pPr>
      <w:r>
        <w:rPr>
          <w:w w:val="105"/>
        </w:rPr>
        <w:t>In</w:t>
      </w:r>
      <w:r>
        <w:rPr>
          <w:spacing w:val="-6"/>
          <w:w w:val="105"/>
        </w:rPr>
        <w:t> </w:t>
      </w:r>
      <w:r>
        <w:rPr>
          <w:w w:val="105"/>
        </w:rPr>
        <w:t>the</w:t>
      </w:r>
      <w:r>
        <w:rPr>
          <w:spacing w:val="-6"/>
          <w:w w:val="105"/>
        </w:rPr>
        <w:t> </w:t>
      </w:r>
      <w:r>
        <w:rPr>
          <w:w w:val="105"/>
        </w:rPr>
        <w:t>year</w:t>
      </w:r>
      <w:r>
        <w:rPr>
          <w:spacing w:val="-6"/>
          <w:w w:val="105"/>
        </w:rPr>
        <w:t> </w:t>
      </w:r>
      <w:r>
        <w:rPr>
          <w:w w:val="105"/>
        </w:rPr>
        <w:t>ended</w:t>
      </w:r>
      <w:r>
        <w:rPr>
          <w:spacing w:val="-6"/>
          <w:w w:val="105"/>
        </w:rPr>
        <w:t> </w:t>
      </w:r>
      <w:r>
        <w:rPr>
          <w:w w:val="105"/>
        </w:rPr>
        <w:t>December</w:t>
      </w:r>
      <w:r>
        <w:rPr>
          <w:spacing w:val="-6"/>
          <w:w w:val="105"/>
        </w:rPr>
        <w:t> </w:t>
      </w:r>
      <w:r>
        <w:rPr>
          <w:w w:val="105"/>
        </w:rPr>
        <w:t>31,</w:t>
      </w:r>
      <w:r>
        <w:rPr>
          <w:spacing w:val="-6"/>
          <w:w w:val="105"/>
        </w:rPr>
        <w:t> </w:t>
      </w:r>
      <w:r>
        <w:rPr>
          <w:w w:val="105"/>
        </w:rPr>
        <w:t>2021,</w:t>
      </w:r>
      <w:r>
        <w:rPr>
          <w:spacing w:val="-6"/>
          <w:w w:val="105"/>
        </w:rPr>
        <w:t> </w:t>
      </w:r>
      <w:r>
        <w:rPr>
          <w:w w:val="105"/>
        </w:rPr>
        <w:t>gross</w:t>
      </w:r>
      <w:r>
        <w:rPr>
          <w:spacing w:val="-6"/>
          <w:w w:val="105"/>
        </w:rPr>
        <w:t> </w:t>
      </w:r>
      <w:r>
        <w:rPr>
          <w:w w:val="105"/>
        </w:rPr>
        <w:t>margin</w:t>
      </w:r>
      <w:r>
        <w:rPr>
          <w:spacing w:val="-6"/>
          <w:w w:val="105"/>
        </w:rPr>
        <w:t> </w:t>
      </w:r>
      <w:r>
        <w:rPr>
          <w:w w:val="105"/>
        </w:rPr>
        <w:t>increased</w:t>
      </w:r>
      <w:r>
        <w:rPr>
          <w:spacing w:val="-6"/>
          <w:w w:val="105"/>
        </w:rPr>
        <w:t> </w:t>
      </w:r>
      <w:r>
        <w:rPr>
          <w:w w:val="105"/>
        </w:rPr>
        <w:t>by</w:t>
      </w:r>
      <w:r>
        <w:rPr>
          <w:spacing w:val="-6"/>
          <w:w w:val="105"/>
        </w:rPr>
        <w:t> </w:t>
      </w:r>
      <w:r>
        <w:rPr>
          <w:w w:val="105"/>
        </w:rPr>
        <w:t>$1,532</w:t>
      </w:r>
      <w:r>
        <w:rPr>
          <w:spacing w:val="-6"/>
          <w:w w:val="105"/>
        </w:rPr>
        <w:t> </w:t>
      </w:r>
      <w:r>
        <w:rPr>
          <w:w w:val="105"/>
        </w:rPr>
        <w:t>million,</w:t>
      </w:r>
      <w:r>
        <w:rPr>
          <w:spacing w:val="-6"/>
          <w:w w:val="105"/>
        </w:rPr>
        <w:t> </w:t>
      </w:r>
      <w:r>
        <w:rPr>
          <w:w w:val="105"/>
        </w:rPr>
        <w:t>or</w:t>
      </w:r>
      <w:r>
        <w:rPr>
          <w:spacing w:val="-6"/>
          <w:w w:val="105"/>
        </w:rPr>
        <w:t> </w:t>
      </w:r>
      <w:r>
        <w:rPr>
          <w:w w:val="105"/>
        </w:rPr>
        <w:t>43%.</w:t>
      </w:r>
      <w:r>
        <w:rPr>
          <w:spacing w:val="-6"/>
          <w:w w:val="105"/>
        </w:rPr>
        <w:t> </w:t>
      </w:r>
      <w:r>
        <w:rPr>
          <w:w w:val="105"/>
        </w:rPr>
        <w:t>Gross</w:t>
      </w:r>
      <w:r>
        <w:rPr>
          <w:spacing w:val="-6"/>
          <w:w w:val="105"/>
        </w:rPr>
        <w:t> </w:t>
      </w:r>
      <w:r>
        <w:rPr>
          <w:w w:val="105"/>
        </w:rPr>
        <w:t>margin</w:t>
      </w:r>
      <w:r>
        <w:rPr>
          <w:spacing w:val="-6"/>
          <w:w w:val="105"/>
        </w:rPr>
        <w:t> </w:t>
      </w:r>
      <w:r>
        <w:rPr>
          <w:w w:val="105"/>
        </w:rPr>
        <w:t>as</w:t>
      </w:r>
      <w:r>
        <w:rPr>
          <w:spacing w:val="-6"/>
          <w:w w:val="105"/>
        </w:rPr>
        <w:t> </w:t>
      </w:r>
      <w:r>
        <w:rPr>
          <w:w w:val="105"/>
        </w:rPr>
        <w:t>a</w:t>
      </w:r>
      <w:r>
        <w:rPr>
          <w:spacing w:val="-6"/>
          <w:w w:val="105"/>
        </w:rPr>
        <w:t> </w:t>
      </w:r>
      <w:r>
        <w:rPr>
          <w:w w:val="105"/>
        </w:rPr>
        <w:t>percentage</w:t>
      </w:r>
      <w:r>
        <w:rPr>
          <w:spacing w:val="-6"/>
          <w:w w:val="105"/>
        </w:rPr>
        <w:t> </w:t>
      </w:r>
      <w:r>
        <w:rPr>
          <w:w w:val="105"/>
        </w:rPr>
        <w:t>of</w:t>
      </w:r>
      <w:r>
        <w:rPr>
          <w:spacing w:val="-6"/>
          <w:w w:val="105"/>
        </w:rPr>
        <w:t> </w:t>
      </w:r>
      <w:r>
        <w:rPr>
          <w:w w:val="105"/>
        </w:rPr>
        <w:t>sales</w:t>
      </w:r>
      <w:r>
        <w:rPr>
          <w:spacing w:val="-6"/>
          <w:w w:val="105"/>
        </w:rPr>
        <w:t> </w:t>
      </w:r>
      <w:r>
        <w:rPr>
          <w:w w:val="105"/>
        </w:rPr>
        <w:t>increased</w:t>
      </w:r>
      <w:r>
        <w:rPr>
          <w:spacing w:val="-6"/>
          <w:w w:val="105"/>
        </w:rPr>
        <w:t> </w:t>
      </w:r>
      <w:r>
        <w:rPr>
          <w:w w:val="105"/>
        </w:rPr>
        <w:t>by</w:t>
      </w:r>
      <w:r>
        <w:rPr>
          <w:spacing w:val="-6"/>
          <w:w w:val="105"/>
        </w:rPr>
        <w:t> </w:t>
      </w:r>
      <w:r>
        <w:rPr>
          <w:w w:val="105"/>
        </w:rPr>
        <w:t>5</w:t>
      </w:r>
      <w:r>
        <w:rPr>
          <w:spacing w:val="-6"/>
          <w:w w:val="105"/>
        </w:rPr>
        <w:t> </w:t>
      </w:r>
      <w:r>
        <w:rPr>
          <w:w w:val="105"/>
        </w:rPr>
        <w:t>percentage</w:t>
      </w:r>
      <w:r>
        <w:rPr>
          <w:spacing w:val="-6"/>
          <w:w w:val="105"/>
        </w:rPr>
        <w:t> </w:t>
      </w:r>
      <w:r>
        <w:rPr>
          <w:w w:val="105"/>
        </w:rPr>
        <w:t>points.</w:t>
      </w:r>
      <w:r>
        <w:rPr>
          <w:spacing w:val="30"/>
          <w:w w:val="105"/>
        </w:rPr>
        <w:t> </w:t>
      </w:r>
      <w:r>
        <w:rPr>
          <w:w w:val="105"/>
        </w:rPr>
        <w:t>The increase</w:t>
      </w:r>
      <w:r>
        <w:rPr>
          <w:spacing w:val="-9"/>
          <w:w w:val="105"/>
        </w:rPr>
        <w:t> </w:t>
      </w:r>
      <w:r>
        <w:rPr>
          <w:w w:val="105"/>
        </w:rPr>
        <w:t>in</w:t>
      </w:r>
      <w:r>
        <w:rPr>
          <w:spacing w:val="-8"/>
          <w:w w:val="105"/>
        </w:rPr>
        <w:t> </w:t>
      </w:r>
      <w:r>
        <w:rPr>
          <w:w w:val="105"/>
        </w:rPr>
        <w:t>gross</w:t>
      </w:r>
      <w:r>
        <w:rPr>
          <w:spacing w:val="-9"/>
          <w:w w:val="105"/>
        </w:rPr>
        <w:t> </w:t>
      </w:r>
      <w:r>
        <w:rPr>
          <w:w w:val="105"/>
        </w:rPr>
        <w:t>margin</w:t>
      </w:r>
      <w:r>
        <w:rPr>
          <w:spacing w:val="-8"/>
          <w:w w:val="105"/>
        </w:rPr>
        <w:t> </w:t>
      </w:r>
      <w:r>
        <w:rPr>
          <w:w w:val="105"/>
        </w:rPr>
        <w:t>was</w:t>
      </w:r>
      <w:r>
        <w:rPr>
          <w:spacing w:val="-8"/>
          <w:w w:val="105"/>
        </w:rPr>
        <w:t> </w:t>
      </w:r>
      <w:r>
        <w:rPr>
          <w:w w:val="105"/>
        </w:rPr>
        <w:t>primarily</w:t>
      </w:r>
      <w:r>
        <w:rPr>
          <w:spacing w:val="-9"/>
          <w:w w:val="105"/>
        </w:rPr>
        <w:t> </w:t>
      </w:r>
      <w:r>
        <w:rPr>
          <w:w w:val="105"/>
        </w:rPr>
        <w:t>driven</w:t>
      </w:r>
      <w:r>
        <w:rPr>
          <w:spacing w:val="-8"/>
          <w:w w:val="105"/>
        </w:rPr>
        <w:t> </w:t>
      </w:r>
      <w:r>
        <w:rPr>
          <w:w w:val="105"/>
        </w:rPr>
        <w:t>by</w:t>
      </w:r>
      <w:r>
        <w:rPr>
          <w:spacing w:val="-8"/>
          <w:w w:val="105"/>
        </w:rPr>
        <w:t> </w:t>
      </w:r>
      <w:r>
        <w:rPr>
          <w:w w:val="105"/>
        </w:rPr>
        <w:t>higher</w:t>
      </w:r>
      <w:r>
        <w:rPr>
          <w:spacing w:val="-9"/>
          <w:w w:val="105"/>
        </w:rPr>
        <w:t> </w:t>
      </w:r>
      <w:r>
        <w:rPr>
          <w:w w:val="105"/>
        </w:rPr>
        <w:t>sales</w:t>
      </w:r>
      <w:r>
        <w:rPr>
          <w:spacing w:val="-8"/>
          <w:w w:val="105"/>
        </w:rPr>
        <w:t> </w:t>
      </w:r>
      <w:r>
        <w:rPr>
          <w:w w:val="105"/>
        </w:rPr>
        <w:t>in</w:t>
      </w:r>
      <w:r>
        <w:rPr>
          <w:spacing w:val="-8"/>
          <w:w w:val="105"/>
        </w:rPr>
        <w:t> </w:t>
      </w:r>
      <w:r>
        <w:rPr>
          <w:w w:val="105"/>
        </w:rPr>
        <w:t>all</w:t>
      </w:r>
      <w:r>
        <w:rPr>
          <w:spacing w:val="-9"/>
          <w:w w:val="105"/>
        </w:rPr>
        <w:t> </w:t>
      </w:r>
      <w:r>
        <w:rPr>
          <w:w w:val="105"/>
        </w:rPr>
        <w:t>segments,</w:t>
      </w:r>
      <w:r>
        <w:rPr>
          <w:spacing w:val="-8"/>
          <w:w w:val="105"/>
        </w:rPr>
        <w:t> </w:t>
      </w:r>
      <w:r>
        <w:rPr>
          <w:w w:val="105"/>
        </w:rPr>
        <w:t>as</w:t>
      </w:r>
      <w:r>
        <w:rPr>
          <w:spacing w:val="-8"/>
          <w:w w:val="105"/>
        </w:rPr>
        <w:t> </w:t>
      </w:r>
      <w:r>
        <w:rPr>
          <w:w w:val="105"/>
        </w:rPr>
        <w:t>well</w:t>
      </w:r>
      <w:r>
        <w:rPr>
          <w:spacing w:val="-9"/>
          <w:w w:val="105"/>
        </w:rPr>
        <w:t> </w:t>
      </w:r>
      <w:r>
        <w:rPr>
          <w:w w:val="105"/>
        </w:rPr>
        <w:t>as</w:t>
      </w:r>
      <w:r>
        <w:rPr>
          <w:spacing w:val="-8"/>
          <w:w w:val="105"/>
        </w:rPr>
        <w:t> </w:t>
      </w:r>
      <w:r>
        <w:rPr>
          <w:w w:val="105"/>
        </w:rPr>
        <w:t>lower</w:t>
      </w:r>
      <w:r>
        <w:rPr>
          <w:spacing w:val="-8"/>
          <w:w w:val="105"/>
        </w:rPr>
        <w:t> </w:t>
      </w:r>
      <w:r>
        <w:rPr>
          <w:w w:val="105"/>
        </w:rPr>
        <w:t>charges</w:t>
      </w:r>
      <w:r>
        <w:rPr>
          <w:spacing w:val="-9"/>
          <w:w w:val="105"/>
        </w:rPr>
        <w:t> </w:t>
      </w:r>
      <w:r>
        <w:rPr>
          <w:w w:val="105"/>
        </w:rPr>
        <w:t>for</w:t>
      </w:r>
      <w:r>
        <w:rPr>
          <w:spacing w:val="-8"/>
          <w:w w:val="105"/>
        </w:rPr>
        <w:t> </w:t>
      </w:r>
      <w:r>
        <w:rPr>
          <w:w w:val="105"/>
        </w:rPr>
        <w:t>severance</w:t>
      </w:r>
      <w:r>
        <w:rPr>
          <w:spacing w:val="-8"/>
          <w:w w:val="105"/>
        </w:rPr>
        <w:t> </w:t>
      </w:r>
      <w:r>
        <w:rPr>
          <w:w w:val="105"/>
        </w:rPr>
        <w:t>and</w:t>
      </w:r>
      <w:r>
        <w:rPr>
          <w:spacing w:val="-9"/>
          <w:w w:val="105"/>
        </w:rPr>
        <w:t> </w:t>
      </w:r>
      <w:r>
        <w:rPr>
          <w:w w:val="105"/>
        </w:rPr>
        <w:t>capacity</w:t>
      </w:r>
      <w:r>
        <w:rPr>
          <w:spacing w:val="-8"/>
          <w:w w:val="105"/>
        </w:rPr>
        <w:t> </w:t>
      </w:r>
      <w:r>
        <w:rPr>
          <w:w w:val="105"/>
        </w:rPr>
        <w:t>realignment</w:t>
      </w:r>
      <w:r>
        <w:rPr>
          <w:spacing w:val="-8"/>
          <w:w w:val="105"/>
        </w:rPr>
        <w:t> </w:t>
      </w:r>
      <w:r>
        <w:rPr>
          <w:w w:val="105"/>
        </w:rPr>
        <w:t>costs</w:t>
      </w:r>
      <w:r>
        <w:rPr>
          <w:spacing w:val="-9"/>
          <w:w w:val="105"/>
        </w:rPr>
        <w:t> </w:t>
      </w:r>
      <w:r>
        <w:rPr>
          <w:w w:val="105"/>
        </w:rPr>
        <w:t>of</w:t>
      </w:r>
      <w:r>
        <w:rPr>
          <w:spacing w:val="-8"/>
          <w:w w:val="105"/>
        </w:rPr>
        <w:t> </w:t>
      </w:r>
      <w:r>
        <w:rPr>
          <w:w w:val="105"/>
        </w:rPr>
        <w:t>$89</w:t>
      </w:r>
      <w:r>
        <w:rPr>
          <w:spacing w:val="-9"/>
          <w:w w:val="105"/>
        </w:rPr>
        <w:t> </w:t>
      </w:r>
      <w:r>
        <w:rPr>
          <w:w w:val="105"/>
        </w:rPr>
        <w:t>million</w:t>
      </w:r>
      <w:r>
        <w:rPr>
          <w:spacing w:val="-6"/>
          <w:w w:val="105"/>
        </w:rPr>
        <w:t> </w:t>
      </w:r>
      <w:r>
        <w:rPr>
          <w:spacing w:val="-5"/>
          <w:w w:val="105"/>
        </w:rPr>
        <w:t>and</w:t>
      </w:r>
    </w:p>
    <w:p>
      <w:pPr>
        <w:pStyle w:val="BodyText"/>
        <w:spacing w:line="183" w:lineRule="exact"/>
        <w:ind w:left="156"/>
      </w:pPr>
      <w:r>
        <w:rPr>
          <w:w w:val="105"/>
        </w:rPr>
        <w:t>$252</w:t>
      </w:r>
      <w:r>
        <w:rPr>
          <w:spacing w:val="-10"/>
          <w:w w:val="105"/>
        </w:rPr>
        <w:t> </w:t>
      </w:r>
      <w:r>
        <w:rPr>
          <w:w w:val="105"/>
        </w:rPr>
        <w:t>million,</w:t>
      </w:r>
      <w:r>
        <w:rPr>
          <w:spacing w:val="-9"/>
          <w:w w:val="105"/>
        </w:rPr>
        <w:t> </w:t>
      </w:r>
      <w:r>
        <w:rPr>
          <w:w w:val="105"/>
        </w:rPr>
        <w:t>respectively,</w:t>
      </w:r>
      <w:r>
        <w:rPr>
          <w:spacing w:val="-10"/>
          <w:w w:val="105"/>
        </w:rPr>
        <w:t> </w:t>
      </w:r>
      <w:r>
        <w:rPr>
          <w:w w:val="105"/>
        </w:rPr>
        <w:t>partially</w:t>
      </w:r>
      <w:r>
        <w:rPr>
          <w:spacing w:val="-9"/>
          <w:w w:val="105"/>
        </w:rPr>
        <w:t> </w:t>
      </w:r>
      <w:r>
        <w:rPr>
          <w:w w:val="105"/>
        </w:rPr>
        <w:t>offset</w:t>
      </w:r>
      <w:r>
        <w:rPr>
          <w:spacing w:val="-9"/>
          <w:w w:val="105"/>
        </w:rPr>
        <w:t> </w:t>
      </w:r>
      <w:r>
        <w:rPr>
          <w:w w:val="105"/>
        </w:rPr>
        <w:t>by</w:t>
      </w:r>
      <w:r>
        <w:rPr>
          <w:spacing w:val="-10"/>
          <w:w w:val="105"/>
        </w:rPr>
        <w:t> </w:t>
      </w:r>
      <w:r>
        <w:rPr>
          <w:w w:val="105"/>
        </w:rPr>
        <w:t>increased</w:t>
      </w:r>
      <w:r>
        <w:rPr>
          <w:spacing w:val="-9"/>
          <w:w w:val="105"/>
        </w:rPr>
        <w:t> </w:t>
      </w:r>
      <w:r>
        <w:rPr>
          <w:w w:val="105"/>
        </w:rPr>
        <w:t>expenses</w:t>
      </w:r>
      <w:r>
        <w:rPr>
          <w:spacing w:val="-9"/>
          <w:w w:val="105"/>
        </w:rPr>
        <w:t> </w:t>
      </w:r>
      <w:r>
        <w:rPr>
          <w:w w:val="105"/>
        </w:rPr>
        <w:t>due</w:t>
      </w:r>
      <w:r>
        <w:rPr>
          <w:spacing w:val="-10"/>
          <w:w w:val="105"/>
        </w:rPr>
        <w:t> </w:t>
      </w:r>
      <w:r>
        <w:rPr>
          <w:w w:val="105"/>
        </w:rPr>
        <w:t>to</w:t>
      </w:r>
      <w:r>
        <w:rPr>
          <w:spacing w:val="-9"/>
          <w:w w:val="105"/>
        </w:rPr>
        <w:t> </w:t>
      </w:r>
      <w:r>
        <w:rPr>
          <w:w w:val="105"/>
        </w:rPr>
        <w:t>elevated</w:t>
      </w:r>
      <w:r>
        <w:rPr>
          <w:spacing w:val="-9"/>
          <w:w w:val="105"/>
        </w:rPr>
        <w:t> </w:t>
      </w:r>
      <w:r>
        <w:rPr>
          <w:w w:val="105"/>
        </w:rPr>
        <w:t>freight,</w:t>
      </w:r>
      <w:r>
        <w:rPr>
          <w:spacing w:val="-10"/>
          <w:w w:val="105"/>
        </w:rPr>
        <w:t> </w:t>
      </w:r>
      <w:r>
        <w:rPr>
          <w:w w:val="105"/>
        </w:rPr>
        <w:t>logistics</w:t>
      </w:r>
      <w:r>
        <w:rPr>
          <w:spacing w:val="-7"/>
          <w:w w:val="105"/>
        </w:rPr>
        <w:t> </w:t>
      </w:r>
      <w:r>
        <w:rPr>
          <w:w w:val="105"/>
        </w:rPr>
        <w:t>and</w:t>
      </w:r>
      <w:r>
        <w:rPr>
          <w:spacing w:val="-10"/>
          <w:w w:val="105"/>
        </w:rPr>
        <w:t> </w:t>
      </w:r>
      <w:r>
        <w:rPr>
          <w:w w:val="105"/>
        </w:rPr>
        <w:t>raw</w:t>
      </w:r>
      <w:r>
        <w:rPr>
          <w:spacing w:val="-9"/>
          <w:w w:val="105"/>
        </w:rPr>
        <w:t> </w:t>
      </w:r>
      <w:r>
        <w:rPr>
          <w:w w:val="105"/>
        </w:rPr>
        <w:t>material</w:t>
      </w:r>
      <w:r>
        <w:rPr>
          <w:spacing w:val="-10"/>
          <w:w w:val="105"/>
        </w:rPr>
        <w:t> </w:t>
      </w:r>
      <w:r>
        <w:rPr>
          <w:w w:val="105"/>
        </w:rPr>
        <w:t>costs</w:t>
      </w:r>
      <w:r>
        <w:rPr>
          <w:spacing w:val="-9"/>
          <w:w w:val="105"/>
        </w:rPr>
        <w:t> </w:t>
      </w:r>
      <w:r>
        <w:rPr>
          <w:w w:val="105"/>
        </w:rPr>
        <w:t>for</w:t>
      </w:r>
      <w:r>
        <w:rPr>
          <w:spacing w:val="-9"/>
          <w:w w:val="105"/>
        </w:rPr>
        <w:t> </w:t>
      </w:r>
      <w:r>
        <w:rPr>
          <w:w w:val="105"/>
        </w:rPr>
        <w:t>the</w:t>
      </w:r>
      <w:r>
        <w:rPr>
          <w:spacing w:val="-10"/>
          <w:w w:val="105"/>
        </w:rPr>
        <w:t> </w:t>
      </w:r>
      <w:r>
        <w:rPr>
          <w:w w:val="105"/>
        </w:rPr>
        <w:t>year</w:t>
      </w:r>
      <w:r>
        <w:rPr>
          <w:spacing w:val="-9"/>
          <w:w w:val="105"/>
        </w:rPr>
        <w:t> </w:t>
      </w:r>
      <w:r>
        <w:rPr>
          <w:w w:val="105"/>
        </w:rPr>
        <w:t>ended</w:t>
      </w:r>
      <w:r>
        <w:rPr>
          <w:spacing w:val="-9"/>
          <w:w w:val="105"/>
        </w:rPr>
        <w:t> </w:t>
      </w:r>
      <w:r>
        <w:rPr>
          <w:w w:val="105"/>
        </w:rPr>
        <w:t>December</w:t>
      </w:r>
      <w:r>
        <w:rPr>
          <w:spacing w:val="-10"/>
          <w:w w:val="105"/>
        </w:rPr>
        <w:t> </w:t>
      </w:r>
      <w:r>
        <w:rPr>
          <w:w w:val="105"/>
        </w:rPr>
        <w:t>31,</w:t>
      </w:r>
      <w:r>
        <w:rPr>
          <w:spacing w:val="-9"/>
          <w:w w:val="105"/>
        </w:rPr>
        <w:t> </w:t>
      </w:r>
      <w:r>
        <w:rPr>
          <w:spacing w:val="-4"/>
          <w:w w:val="105"/>
        </w:rPr>
        <w:t>2021.</w:t>
      </w:r>
    </w:p>
    <w:p>
      <w:pPr>
        <w:pStyle w:val="BodyText"/>
        <w:spacing w:before="39"/>
      </w:pPr>
    </w:p>
    <w:p>
      <w:pPr>
        <w:pStyle w:val="BodyText"/>
        <w:spacing w:line="266" w:lineRule="auto"/>
        <w:ind w:left="156" w:right="117"/>
      </w:pPr>
      <w:r>
        <w:rPr>
          <w:w w:val="105"/>
        </w:rPr>
        <w:t>Movements</w:t>
      </w:r>
      <w:r>
        <w:rPr>
          <w:spacing w:val="-8"/>
          <w:w w:val="105"/>
        </w:rPr>
        <w:t> </w:t>
      </w:r>
      <w:r>
        <w:rPr>
          <w:w w:val="105"/>
        </w:rPr>
        <w:t>in</w:t>
      </w:r>
      <w:r>
        <w:rPr>
          <w:spacing w:val="-8"/>
          <w:w w:val="105"/>
        </w:rPr>
        <w:t> </w:t>
      </w:r>
      <w:r>
        <w:rPr>
          <w:w w:val="105"/>
        </w:rPr>
        <w:t>foreign</w:t>
      </w:r>
      <w:r>
        <w:rPr>
          <w:spacing w:val="-8"/>
          <w:w w:val="105"/>
        </w:rPr>
        <w:t> </w:t>
      </w:r>
      <w:r>
        <w:rPr>
          <w:w w:val="105"/>
        </w:rPr>
        <w:t>exchange</w:t>
      </w:r>
      <w:r>
        <w:rPr>
          <w:spacing w:val="-8"/>
          <w:w w:val="105"/>
        </w:rPr>
        <w:t> </w:t>
      </w:r>
      <w:r>
        <w:rPr>
          <w:w w:val="105"/>
        </w:rPr>
        <w:t>rates</w:t>
      </w:r>
      <w:r>
        <w:rPr>
          <w:spacing w:val="-8"/>
          <w:w w:val="105"/>
        </w:rPr>
        <w:t> </w:t>
      </w:r>
      <w:r>
        <w:rPr>
          <w:w w:val="105"/>
        </w:rPr>
        <w:t>had</w:t>
      </w:r>
      <w:r>
        <w:rPr>
          <w:spacing w:val="-8"/>
          <w:w w:val="105"/>
        </w:rPr>
        <w:t> </w:t>
      </w:r>
      <w:r>
        <w:rPr>
          <w:w w:val="105"/>
        </w:rPr>
        <w:t>a</w:t>
      </w:r>
      <w:r>
        <w:rPr>
          <w:spacing w:val="-8"/>
          <w:w w:val="105"/>
        </w:rPr>
        <w:t> </w:t>
      </w:r>
      <w:r>
        <w:rPr>
          <w:w w:val="105"/>
        </w:rPr>
        <w:t>positive</w:t>
      </w:r>
      <w:r>
        <w:rPr>
          <w:spacing w:val="-8"/>
          <w:w w:val="105"/>
        </w:rPr>
        <w:t> </w:t>
      </w:r>
      <w:r>
        <w:rPr>
          <w:w w:val="105"/>
        </w:rPr>
        <w:t>impact</w:t>
      </w:r>
      <w:r>
        <w:rPr>
          <w:spacing w:val="-8"/>
          <w:w w:val="105"/>
        </w:rPr>
        <w:t> </w:t>
      </w:r>
      <w:r>
        <w:rPr>
          <w:w w:val="105"/>
        </w:rPr>
        <w:t>of</w:t>
      </w:r>
      <w:r>
        <w:rPr>
          <w:spacing w:val="-8"/>
          <w:w w:val="105"/>
        </w:rPr>
        <w:t> </w:t>
      </w:r>
      <w:r>
        <w:rPr>
          <w:w w:val="105"/>
        </w:rPr>
        <w:t>$77</w:t>
      </w:r>
      <w:r>
        <w:rPr>
          <w:spacing w:val="-8"/>
          <w:w w:val="105"/>
        </w:rPr>
        <w:t> </w:t>
      </w:r>
      <w:r>
        <w:rPr>
          <w:w w:val="105"/>
        </w:rPr>
        <w:t>million</w:t>
      </w:r>
      <w:r>
        <w:rPr>
          <w:spacing w:val="-8"/>
          <w:w w:val="105"/>
        </w:rPr>
        <w:t> </w:t>
      </w:r>
      <w:r>
        <w:rPr>
          <w:w w:val="105"/>
        </w:rPr>
        <w:t>on</w:t>
      </w:r>
      <w:r>
        <w:rPr>
          <w:spacing w:val="-8"/>
          <w:w w:val="105"/>
        </w:rPr>
        <w:t> </w:t>
      </w:r>
      <w:r>
        <w:rPr>
          <w:w w:val="105"/>
        </w:rPr>
        <w:t>Corning’s</w:t>
      </w:r>
      <w:r>
        <w:rPr>
          <w:spacing w:val="-8"/>
          <w:w w:val="105"/>
        </w:rPr>
        <w:t> </w:t>
      </w:r>
      <w:r>
        <w:rPr>
          <w:w w:val="105"/>
        </w:rPr>
        <w:t>consolidated</w:t>
      </w:r>
      <w:r>
        <w:rPr>
          <w:spacing w:val="-8"/>
          <w:w w:val="105"/>
        </w:rPr>
        <w:t> </w:t>
      </w:r>
      <w:r>
        <w:rPr>
          <w:w w:val="105"/>
        </w:rPr>
        <w:t>gross</w:t>
      </w:r>
      <w:r>
        <w:rPr>
          <w:spacing w:val="-8"/>
          <w:w w:val="105"/>
        </w:rPr>
        <w:t> </w:t>
      </w:r>
      <w:r>
        <w:rPr>
          <w:w w:val="105"/>
        </w:rPr>
        <w:t>margin</w:t>
      </w:r>
      <w:r>
        <w:rPr>
          <w:spacing w:val="-8"/>
          <w:w w:val="105"/>
        </w:rPr>
        <w:t> </w:t>
      </w:r>
      <w:r>
        <w:rPr>
          <w:w w:val="105"/>
        </w:rPr>
        <w:t>in</w:t>
      </w:r>
      <w:r>
        <w:rPr>
          <w:spacing w:val="-8"/>
          <w:w w:val="105"/>
        </w:rPr>
        <w:t> </w:t>
      </w:r>
      <w:r>
        <w:rPr>
          <w:w w:val="105"/>
        </w:rPr>
        <w:t>the</w:t>
      </w:r>
      <w:r>
        <w:rPr>
          <w:spacing w:val="-8"/>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when</w:t>
      </w:r>
      <w:r>
        <w:rPr>
          <w:spacing w:val="-8"/>
          <w:w w:val="105"/>
        </w:rPr>
        <w:t> </w:t>
      </w:r>
      <w:r>
        <w:rPr>
          <w:w w:val="105"/>
        </w:rPr>
        <w:t>compared</w:t>
      </w:r>
      <w:r>
        <w:rPr>
          <w:spacing w:val="-8"/>
          <w:w w:val="105"/>
        </w:rPr>
        <w:t> </w:t>
      </w:r>
      <w:r>
        <w:rPr>
          <w:w w:val="105"/>
        </w:rPr>
        <w:t>to the same period in 2020.</w:t>
      </w:r>
    </w:p>
    <w:p>
      <w:pPr>
        <w:pStyle w:val="BodyText"/>
        <w:spacing w:before="19"/>
      </w:pPr>
    </w:p>
    <w:p>
      <w:pPr>
        <w:pStyle w:val="Heading3"/>
      </w:pPr>
      <w:r>
        <w:rPr/>
        <w:t>Selling,</w:t>
      </w:r>
      <w:r>
        <w:rPr>
          <w:spacing w:val="17"/>
        </w:rPr>
        <w:t> </w:t>
      </w:r>
      <w:r>
        <w:rPr/>
        <w:t>General</w:t>
      </w:r>
      <w:r>
        <w:rPr>
          <w:spacing w:val="18"/>
        </w:rPr>
        <w:t> </w:t>
      </w:r>
      <w:r>
        <w:rPr/>
        <w:t>and</w:t>
      </w:r>
      <w:r>
        <w:rPr>
          <w:spacing w:val="18"/>
        </w:rPr>
        <w:t> </w:t>
      </w:r>
      <w:r>
        <w:rPr/>
        <w:t>Administrative</w:t>
      </w:r>
      <w:r>
        <w:rPr>
          <w:spacing w:val="18"/>
        </w:rPr>
        <w:t> </w:t>
      </w:r>
      <w:r>
        <w:rPr>
          <w:spacing w:val="-2"/>
        </w:rPr>
        <w:t>Expenses</w:t>
      </w:r>
    </w:p>
    <w:p>
      <w:pPr>
        <w:pStyle w:val="BodyText"/>
        <w:spacing w:before="40"/>
        <w:rPr>
          <w:b/>
          <w:i/>
        </w:rPr>
      </w:pPr>
    </w:p>
    <w:p>
      <w:pPr>
        <w:pStyle w:val="BodyText"/>
        <w:spacing w:line="266" w:lineRule="auto"/>
        <w:ind w:left="156" w:right="115"/>
      </w:pPr>
      <w:r>
        <w:rPr>
          <w:w w:val="105"/>
        </w:rPr>
        <w:t>When</w:t>
      </w:r>
      <w:r>
        <w:rPr>
          <w:spacing w:val="-3"/>
          <w:w w:val="105"/>
        </w:rPr>
        <w:t> </w:t>
      </w:r>
      <w:r>
        <w:rPr>
          <w:w w:val="105"/>
        </w:rPr>
        <w:t>compared</w:t>
      </w:r>
      <w:r>
        <w:rPr>
          <w:spacing w:val="-3"/>
          <w:w w:val="105"/>
        </w:rPr>
        <w:t> </w:t>
      </w:r>
      <w:r>
        <w:rPr>
          <w:w w:val="105"/>
        </w:rPr>
        <w:t>to</w:t>
      </w:r>
      <w:r>
        <w:rPr>
          <w:spacing w:val="-3"/>
          <w:w w:val="105"/>
        </w:rPr>
        <w:t> </w:t>
      </w:r>
      <w:r>
        <w:rPr>
          <w:w w:val="105"/>
        </w:rPr>
        <w:t>the</w:t>
      </w:r>
      <w:r>
        <w:rPr>
          <w:spacing w:val="-3"/>
          <w:w w:val="105"/>
        </w:rPr>
        <w:t> </w:t>
      </w:r>
      <w:r>
        <w:rPr>
          <w:w w:val="105"/>
        </w:rPr>
        <w:t>year</w:t>
      </w:r>
      <w:r>
        <w:rPr>
          <w:spacing w:val="-3"/>
          <w:w w:val="105"/>
        </w:rPr>
        <w:t> </w:t>
      </w:r>
      <w:r>
        <w:rPr>
          <w:w w:val="105"/>
        </w:rPr>
        <w:t>ended</w:t>
      </w:r>
      <w:r>
        <w:rPr>
          <w:spacing w:val="-3"/>
          <w:w w:val="105"/>
        </w:rPr>
        <w:t> </w:t>
      </w:r>
      <w:r>
        <w:rPr>
          <w:w w:val="105"/>
        </w:rPr>
        <w:t>December</w:t>
      </w:r>
      <w:r>
        <w:rPr>
          <w:spacing w:val="-3"/>
          <w:w w:val="105"/>
        </w:rPr>
        <w:t> </w:t>
      </w:r>
      <w:r>
        <w:rPr>
          <w:w w:val="105"/>
        </w:rPr>
        <w:t>31,</w:t>
      </w:r>
      <w:r>
        <w:rPr>
          <w:spacing w:val="-3"/>
          <w:w w:val="105"/>
        </w:rPr>
        <w:t> </w:t>
      </w:r>
      <w:r>
        <w:rPr>
          <w:w w:val="105"/>
        </w:rPr>
        <w:t>2020,</w:t>
      </w:r>
      <w:r>
        <w:rPr>
          <w:spacing w:val="-3"/>
          <w:w w:val="105"/>
        </w:rPr>
        <w:t> </w:t>
      </w:r>
      <w:r>
        <w:rPr>
          <w:w w:val="105"/>
        </w:rPr>
        <w:t>selling,</w:t>
      </w:r>
      <w:r>
        <w:rPr>
          <w:spacing w:val="-3"/>
          <w:w w:val="105"/>
        </w:rPr>
        <w:t> </w:t>
      </w:r>
      <w:r>
        <w:rPr>
          <w:w w:val="105"/>
        </w:rPr>
        <w:t>general</w:t>
      </w:r>
      <w:r>
        <w:rPr>
          <w:spacing w:val="-3"/>
          <w:w w:val="105"/>
        </w:rPr>
        <w:t> </w:t>
      </w:r>
      <w:r>
        <w:rPr>
          <w:w w:val="105"/>
        </w:rPr>
        <w:t>and</w:t>
      </w:r>
      <w:r>
        <w:rPr>
          <w:spacing w:val="-3"/>
          <w:w w:val="105"/>
        </w:rPr>
        <w:t> </w:t>
      </w:r>
      <w:r>
        <w:rPr>
          <w:w w:val="105"/>
        </w:rPr>
        <w:t>administrative</w:t>
      </w:r>
      <w:r>
        <w:rPr>
          <w:spacing w:val="-3"/>
          <w:w w:val="105"/>
        </w:rPr>
        <w:t> </w:t>
      </w:r>
      <w:r>
        <w:rPr>
          <w:w w:val="105"/>
        </w:rPr>
        <w:t>expenses</w:t>
      </w:r>
      <w:r>
        <w:rPr>
          <w:spacing w:val="-3"/>
          <w:w w:val="105"/>
        </w:rPr>
        <w:t> </w:t>
      </w:r>
      <w:r>
        <w:rPr>
          <w:w w:val="105"/>
        </w:rPr>
        <w:t>increased</w:t>
      </w:r>
      <w:r>
        <w:rPr>
          <w:spacing w:val="-3"/>
          <w:w w:val="105"/>
        </w:rPr>
        <w:t> </w:t>
      </w:r>
      <w:r>
        <w:rPr>
          <w:w w:val="105"/>
        </w:rPr>
        <w:t>by</w:t>
      </w:r>
      <w:r>
        <w:rPr>
          <w:spacing w:val="-3"/>
          <w:w w:val="105"/>
        </w:rPr>
        <w:t> </w:t>
      </w:r>
      <w:r>
        <w:rPr>
          <w:w w:val="105"/>
        </w:rPr>
        <w:t>$80</w:t>
      </w:r>
      <w:r>
        <w:rPr>
          <w:spacing w:val="-3"/>
          <w:w w:val="105"/>
        </w:rPr>
        <w:t> </w:t>
      </w:r>
      <w:r>
        <w:rPr>
          <w:w w:val="105"/>
        </w:rPr>
        <w:t>million,</w:t>
      </w:r>
      <w:r>
        <w:rPr>
          <w:spacing w:val="-3"/>
          <w:w w:val="105"/>
        </w:rPr>
        <w:t> </w:t>
      </w:r>
      <w:r>
        <w:rPr>
          <w:w w:val="105"/>
        </w:rPr>
        <w:t>or</w:t>
      </w:r>
      <w:r>
        <w:rPr>
          <w:spacing w:val="-3"/>
          <w:w w:val="105"/>
        </w:rPr>
        <w:t> </w:t>
      </w:r>
      <w:r>
        <w:rPr>
          <w:w w:val="105"/>
        </w:rPr>
        <w:t>5%,</w:t>
      </w:r>
      <w:r>
        <w:rPr>
          <w:spacing w:val="-3"/>
          <w:w w:val="105"/>
        </w:rPr>
        <w:t> </w:t>
      </w:r>
      <w:r>
        <w:rPr>
          <w:w w:val="105"/>
        </w:rPr>
        <w:t>in</w:t>
      </w:r>
      <w:r>
        <w:rPr>
          <w:spacing w:val="-3"/>
          <w:w w:val="105"/>
        </w:rPr>
        <w:t> </w:t>
      </w:r>
      <w:r>
        <w:rPr>
          <w:w w:val="105"/>
        </w:rPr>
        <w:t>the</w:t>
      </w:r>
      <w:r>
        <w:rPr>
          <w:spacing w:val="-3"/>
          <w:w w:val="105"/>
        </w:rPr>
        <w:t> </w:t>
      </w:r>
      <w:r>
        <w:rPr>
          <w:w w:val="105"/>
        </w:rPr>
        <w:t>year</w:t>
      </w:r>
      <w:r>
        <w:rPr>
          <w:spacing w:val="-3"/>
          <w:w w:val="105"/>
        </w:rPr>
        <w:t> </w:t>
      </w:r>
      <w:r>
        <w:rPr>
          <w:w w:val="105"/>
        </w:rPr>
        <w:t>ended</w:t>
      </w:r>
      <w:r>
        <w:rPr>
          <w:spacing w:val="-3"/>
          <w:w w:val="105"/>
        </w:rPr>
        <w:t> </w:t>
      </w:r>
      <w:r>
        <w:rPr>
          <w:w w:val="105"/>
        </w:rPr>
        <w:t>December</w:t>
      </w:r>
      <w:r>
        <w:rPr>
          <w:spacing w:val="-3"/>
          <w:w w:val="105"/>
        </w:rPr>
        <w:t> </w:t>
      </w:r>
      <w:r>
        <w:rPr>
          <w:w w:val="105"/>
        </w:rPr>
        <w:t>31,</w:t>
      </w:r>
      <w:r>
        <w:rPr>
          <w:spacing w:val="-3"/>
          <w:w w:val="105"/>
        </w:rPr>
        <w:t> </w:t>
      </w:r>
      <w:r>
        <w:rPr>
          <w:w w:val="105"/>
        </w:rPr>
        <w:t>2021. The</w:t>
      </w:r>
      <w:r>
        <w:rPr>
          <w:spacing w:val="-9"/>
          <w:w w:val="105"/>
        </w:rPr>
        <w:t> </w:t>
      </w:r>
      <w:r>
        <w:rPr>
          <w:w w:val="105"/>
        </w:rPr>
        <w:t>increase</w:t>
      </w:r>
      <w:r>
        <w:rPr>
          <w:spacing w:val="-9"/>
          <w:w w:val="105"/>
        </w:rPr>
        <w:t> </w:t>
      </w:r>
      <w:r>
        <w:rPr>
          <w:w w:val="105"/>
        </w:rPr>
        <w:t>was</w:t>
      </w:r>
      <w:r>
        <w:rPr>
          <w:spacing w:val="-9"/>
          <w:w w:val="105"/>
        </w:rPr>
        <w:t> </w:t>
      </w:r>
      <w:r>
        <w:rPr>
          <w:w w:val="105"/>
        </w:rPr>
        <w:t>primarily</w:t>
      </w:r>
      <w:r>
        <w:rPr>
          <w:spacing w:val="-9"/>
          <w:w w:val="105"/>
        </w:rPr>
        <w:t> </w:t>
      </w:r>
      <w:r>
        <w:rPr>
          <w:w w:val="105"/>
        </w:rPr>
        <w:t>driven</w:t>
      </w:r>
      <w:r>
        <w:rPr>
          <w:spacing w:val="-9"/>
          <w:w w:val="105"/>
        </w:rPr>
        <w:t> </w:t>
      </w:r>
      <w:r>
        <w:rPr>
          <w:w w:val="105"/>
        </w:rPr>
        <w:t>by</w:t>
      </w:r>
      <w:r>
        <w:rPr>
          <w:spacing w:val="-9"/>
          <w:w w:val="105"/>
        </w:rPr>
        <w:t> </w:t>
      </w:r>
      <w:r>
        <w:rPr>
          <w:w w:val="105"/>
        </w:rPr>
        <w:t>higher</w:t>
      </w:r>
      <w:r>
        <w:rPr>
          <w:spacing w:val="-9"/>
          <w:w w:val="105"/>
        </w:rPr>
        <w:t> </w:t>
      </w:r>
      <w:r>
        <w:rPr>
          <w:w w:val="105"/>
        </w:rPr>
        <w:t>litigation</w:t>
      </w:r>
      <w:r>
        <w:rPr>
          <w:spacing w:val="-9"/>
          <w:w w:val="105"/>
        </w:rPr>
        <w:t> </w:t>
      </w:r>
      <w:r>
        <w:rPr>
          <w:w w:val="105"/>
        </w:rPr>
        <w:t>and</w:t>
      </w:r>
      <w:r>
        <w:rPr>
          <w:spacing w:val="-9"/>
          <w:w w:val="105"/>
        </w:rPr>
        <w:t> </w:t>
      </w:r>
      <w:r>
        <w:rPr>
          <w:w w:val="105"/>
        </w:rPr>
        <w:t>share-based</w:t>
      </w:r>
      <w:r>
        <w:rPr>
          <w:spacing w:val="-9"/>
          <w:w w:val="105"/>
        </w:rPr>
        <w:t> </w:t>
      </w:r>
      <w:r>
        <w:rPr>
          <w:w w:val="105"/>
        </w:rPr>
        <w:t>compensation</w:t>
      </w:r>
      <w:r>
        <w:rPr>
          <w:spacing w:val="-9"/>
          <w:w w:val="105"/>
        </w:rPr>
        <w:t> </w:t>
      </w:r>
      <w:r>
        <w:rPr>
          <w:w w:val="105"/>
        </w:rPr>
        <w:t>costs.</w:t>
      </w:r>
      <w:r>
        <w:rPr>
          <w:spacing w:val="25"/>
          <w:w w:val="105"/>
        </w:rPr>
        <w:t> </w:t>
      </w:r>
      <w:r>
        <w:rPr>
          <w:w w:val="105"/>
        </w:rPr>
        <w:t>Selling,</w:t>
      </w:r>
      <w:r>
        <w:rPr>
          <w:spacing w:val="-9"/>
          <w:w w:val="105"/>
        </w:rPr>
        <w:t> </w:t>
      </w:r>
      <w:r>
        <w:rPr>
          <w:w w:val="105"/>
        </w:rPr>
        <w:t>general</w:t>
      </w:r>
      <w:r>
        <w:rPr>
          <w:spacing w:val="-9"/>
          <w:w w:val="105"/>
        </w:rPr>
        <w:t> </w:t>
      </w:r>
      <w:r>
        <w:rPr>
          <w:w w:val="105"/>
        </w:rPr>
        <w:t>and</w:t>
      </w:r>
      <w:r>
        <w:rPr>
          <w:spacing w:val="-7"/>
          <w:w w:val="105"/>
        </w:rPr>
        <w:t> </w:t>
      </w:r>
      <w:r>
        <w:rPr>
          <w:w w:val="105"/>
        </w:rPr>
        <w:t>administrative</w:t>
      </w:r>
      <w:r>
        <w:rPr>
          <w:spacing w:val="-9"/>
          <w:w w:val="105"/>
        </w:rPr>
        <w:t> </w:t>
      </w:r>
      <w:r>
        <w:rPr>
          <w:w w:val="105"/>
        </w:rPr>
        <w:t>expenses</w:t>
      </w:r>
      <w:r>
        <w:rPr>
          <w:spacing w:val="-9"/>
          <w:w w:val="105"/>
        </w:rPr>
        <w:t> </w:t>
      </w:r>
      <w:r>
        <w:rPr>
          <w:w w:val="105"/>
        </w:rPr>
        <w:t>decreased</w:t>
      </w:r>
      <w:r>
        <w:rPr>
          <w:spacing w:val="-9"/>
          <w:w w:val="105"/>
        </w:rPr>
        <w:t> </w:t>
      </w:r>
      <w:r>
        <w:rPr>
          <w:w w:val="105"/>
        </w:rPr>
        <w:t>by</w:t>
      </w:r>
      <w:r>
        <w:rPr>
          <w:spacing w:val="-9"/>
          <w:w w:val="105"/>
        </w:rPr>
        <w:t> </w:t>
      </w:r>
      <w:r>
        <w:rPr>
          <w:w w:val="105"/>
        </w:rPr>
        <w:t>2</w:t>
      </w:r>
      <w:r>
        <w:rPr>
          <w:spacing w:val="-9"/>
          <w:w w:val="105"/>
        </w:rPr>
        <w:t> </w:t>
      </w:r>
      <w:r>
        <w:rPr>
          <w:w w:val="105"/>
        </w:rPr>
        <w:t>percentage</w:t>
      </w:r>
      <w:r>
        <w:rPr>
          <w:spacing w:val="-9"/>
          <w:w w:val="105"/>
        </w:rPr>
        <w:t> </w:t>
      </w:r>
      <w:r>
        <w:rPr>
          <w:w w:val="105"/>
        </w:rPr>
        <w:t>points</w:t>
      </w:r>
      <w:r>
        <w:rPr>
          <w:spacing w:val="-9"/>
          <w:w w:val="105"/>
        </w:rPr>
        <w:t> </w:t>
      </w:r>
      <w:r>
        <w:rPr>
          <w:w w:val="105"/>
        </w:rPr>
        <w:t>as a percentage of sales.</w:t>
      </w:r>
    </w:p>
    <w:p>
      <w:pPr>
        <w:pStyle w:val="BodyText"/>
        <w:spacing w:before="19"/>
      </w:pPr>
    </w:p>
    <w:p>
      <w:pPr>
        <w:pStyle w:val="BodyText"/>
        <w:spacing w:line="266" w:lineRule="auto"/>
        <w:ind w:left="156" w:right="328"/>
      </w:pPr>
      <w:r>
        <w:rPr>
          <w:w w:val="105"/>
        </w:rPr>
        <w:t>The</w:t>
      </w:r>
      <w:r>
        <w:rPr>
          <w:spacing w:val="-9"/>
          <w:w w:val="105"/>
        </w:rPr>
        <w:t> </w:t>
      </w:r>
      <w:r>
        <w:rPr>
          <w:w w:val="105"/>
        </w:rPr>
        <w:t>types</w:t>
      </w:r>
      <w:r>
        <w:rPr>
          <w:spacing w:val="-9"/>
          <w:w w:val="105"/>
        </w:rPr>
        <w:t> </w:t>
      </w:r>
      <w:r>
        <w:rPr>
          <w:w w:val="105"/>
        </w:rPr>
        <w:t>of</w:t>
      </w:r>
      <w:r>
        <w:rPr>
          <w:spacing w:val="-9"/>
          <w:w w:val="105"/>
        </w:rPr>
        <w:t> </w:t>
      </w:r>
      <w:r>
        <w:rPr>
          <w:w w:val="105"/>
        </w:rPr>
        <w:t>expenses</w:t>
      </w:r>
      <w:r>
        <w:rPr>
          <w:spacing w:val="-9"/>
          <w:w w:val="105"/>
        </w:rPr>
        <w:t> </w:t>
      </w:r>
      <w:r>
        <w:rPr>
          <w:w w:val="105"/>
        </w:rPr>
        <w:t>included</w:t>
      </w:r>
      <w:r>
        <w:rPr>
          <w:spacing w:val="-9"/>
          <w:w w:val="105"/>
        </w:rPr>
        <w:t> </w:t>
      </w:r>
      <w:r>
        <w:rPr>
          <w:w w:val="105"/>
        </w:rPr>
        <w:t>in</w:t>
      </w:r>
      <w:r>
        <w:rPr>
          <w:spacing w:val="-7"/>
          <w:w w:val="105"/>
        </w:rPr>
        <w:t> </w:t>
      </w:r>
      <w:r>
        <w:rPr>
          <w:w w:val="105"/>
        </w:rPr>
        <w:t>the</w:t>
      </w:r>
      <w:r>
        <w:rPr>
          <w:spacing w:val="-9"/>
          <w:w w:val="105"/>
        </w:rPr>
        <w:t> </w:t>
      </w:r>
      <w:r>
        <w:rPr>
          <w:w w:val="105"/>
        </w:rPr>
        <w:t>selling,</w:t>
      </w:r>
      <w:r>
        <w:rPr>
          <w:spacing w:val="-9"/>
          <w:w w:val="105"/>
        </w:rPr>
        <w:t> </w:t>
      </w:r>
      <w:r>
        <w:rPr>
          <w:w w:val="105"/>
        </w:rPr>
        <w:t>general</w:t>
      </w:r>
      <w:r>
        <w:rPr>
          <w:spacing w:val="-9"/>
          <w:w w:val="105"/>
        </w:rPr>
        <w:t> </w:t>
      </w:r>
      <w:r>
        <w:rPr>
          <w:w w:val="105"/>
        </w:rPr>
        <w:t>and</w:t>
      </w:r>
      <w:r>
        <w:rPr>
          <w:spacing w:val="-9"/>
          <w:w w:val="105"/>
        </w:rPr>
        <w:t> </w:t>
      </w:r>
      <w:r>
        <w:rPr>
          <w:w w:val="105"/>
        </w:rPr>
        <w:t>administrative</w:t>
      </w:r>
      <w:r>
        <w:rPr>
          <w:spacing w:val="-9"/>
          <w:w w:val="105"/>
        </w:rPr>
        <w:t> </w:t>
      </w:r>
      <w:r>
        <w:rPr>
          <w:w w:val="105"/>
        </w:rPr>
        <w:t>expenses</w:t>
      </w:r>
      <w:r>
        <w:rPr>
          <w:spacing w:val="-9"/>
          <w:w w:val="105"/>
        </w:rPr>
        <w:t> </w:t>
      </w:r>
      <w:r>
        <w:rPr>
          <w:w w:val="105"/>
        </w:rPr>
        <w:t>line</w:t>
      </w:r>
      <w:r>
        <w:rPr>
          <w:spacing w:val="-9"/>
          <w:w w:val="105"/>
        </w:rPr>
        <w:t> </w:t>
      </w:r>
      <w:r>
        <w:rPr>
          <w:w w:val="105"/>
        </w:rPr>
        <w:t>item</w:t>
      </w:r>
      <w:r>
        <w:rPr>
          <w:spacing w:val="-9"/>
          <w:w w:val="105"/>
        </w:rPr>
        <w:t> </w:t>
      </w:r>
      <w:r>
        <w:rPr>
          <w:w w:val="105"/>
        </w:rPr>
        <w:t>are:</w:t>
      </w:r>
      <w:r>
        <w:rPr>
          <w:spacing w:val="-9"/>
          <w:w w:val="105"/>
        </w:rPr>
        <w:t> </w:t>
      </w:r>
      <w:r>
        <w:rPr>
          <w:w w:val="105"/>
        </w:rPr>
        <w:t>salaries,</w:t>
      </w:r>
      <w:r>
        <w:rPr>
          <w:spacing w:val="-9"/>
          <w:w w:val="105"/>
        </w:rPr>
        <w:t> </w:t>
      </w:r>
      <w:r>
        <w:rPr>
          <w:w w:val="105"/>
        </w:rPr>
        <w:t>wages</w:t>
      </w:r>
      <w:r>
        <w:rPr>
          <w:spacing w:val="-9"/>
          <w:w w:val="105"/>
        </w:rPr>
        <w:t> </w:t>
      </w:r>
      <w:r>
        <w:rPr>
          <w:w w:val="105"/>
        </w:rPr>
        <w:t>and</w:t>
      </w:r>
      <w:r>
        <w:rPr>
          <w:spacing w:val="-9"/>
          <w:w w:val="105"/>
        </w:rPr>
        <w:t> </w:t>
      </w:r>
      <w:r>
        <w:rPr>
          <w:w w:val="105"/>
        </w:rPr>
        <w:t>benefits;</w:t>
      </w:r>
      <w:r>
        <w:rPr>
          <w:spacing w:val="-9"/>
          <w:w w:val="105"/>
        </w:rPr>
        <w:t> </w:t>
      </w:r>
      <w:r>
        <w:rPr>
          <w:w w:val="105"/>
        </w:rPr>
        <w:t>stock-based</w:t>
      </w:r>
      <w:r>
        <w:rPr>
          <w:spacing w:val="-9"/>
          <w:w w:val="105"/>
        </w:rPr>
        <w:t> </w:t>
      </w:r>
      <w:r>
        <w:rPr>
          <w:w w:val="105"/>
        </w:rPr>
        <w:t>compensation</w:t>
      </w:r>
      <w:r>
        <w:rPr>
          <w:spacing w:val="-9"/>
          <w:w w:val="105"/>
        </w:rPr>
        <w:t> </w:t>
      </w:r>
      <w:r>
        <w:rPr>
          <w:w w:val="105"/>
        </w:rPr>
        <w:t>expense;</w:t>
      </w:r>
      <w:r>
        <w:rPr>
          <w:spacing w:val="-7"/>
          <w:w w:val="105"/>
        </w:rPr>
        <w:t> </w:t>
      </w:r>
      <w:r>
        <w:rPr>
          <w:w w:val="105"/>
        </w:rPr>
        <w:t>travel; sales commissions; professional fees; and depreciation and amortization, utilities and rent for administrative facilities.</w:t>
      </w:r>
    </w:p>
    <w:p>
      <w:pPr>
        <w:pStyle w:val="BodyText"/>
        <w:spacing w:before="19"/>
      </w:pPr>
    </w:p>
    <w:p>
      <w:pPr>
        <w:pStyle w:val="Heading3"/>
      </w:pPr>
      <w:r>
        <w:rPr/>
        <w:t>Research,</w:t>
      </w:r>
      <w:r>
        <w:rPr>
          <w:spacing w:val="20"/>
        </w:rPr>
        <w:t> </w:t>
      </w:r>
      <w:r>
        <w:rPr/>
        <w:t>Development</w:t>
      </w:r>
      <w:r>
        <w:rPr>
          <w:spacing w:val="20"/>
        </w:rPr>
        <w:t> </w:t>
      </w:r>
      <w:r>
        <w:rPr/>
        <w:t>and</w:t>
      </w:r>
      <w:r>
        <w:rPr>
          <w:spacing w:val="21"/>
        </w:rPr>
        <w:t> </w:t>
      </w:r>
      <w:r>
        <w:rPr/>
        <w:t>Engineering</w:t>
      </w:r>
      <w:r>
        <w:rPr>
          <w:spacing w:val="20"/>
        </w:rPr>
        <w:t> </w:t>
      </w:r>
      <w:r>
        <w:rPr>
          <w:spacing w:val="-2"/>
        </w:rPr>
        <w:t>Expenses</w:t>
      </w:r>
    </w:p>
    <w:p>
      <w:pPr>
        <w:pStyle w:val="BodyText"/>
        <w:spacing w:before="39"/>
        <w:rPr>
          <w:b/>
          <w:i/>
        </w:rPr>
      </w:pPr>
    </w:p>
    <w:p>
      <w:pPr>
        <w:pStyle w:val="BodyText"/>
        <w:spacing w:line="266" w:lineRule="auto"/>
        <w:ind w:left="156" w:right="117"/>
      </w:pPr>
      <w:r>
        <w:rPr>
          <w:w w:val="105"/>
        </w:rPr>
        <w:t>For</w:t>
      </w:r>
      <w:r>
        <w:rPr>
          <w:spacing w:val="-8"/>
          <w:w w:val="105"/>
        </w:rPr>
        <w:t> </w:t>
      </w:r>
      <w:r>
        <w:rPr>
          <w:w w:val="105"/>
        </w:rPr>
        <w:t>the</w:t>
      </w:r>
      <w:r>
        <w:rPr>
          <w:spacing w:val="-8"/>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6"/>
          <w:w w:val="105"/>
        </w:rPr>
        <w:t> </w:t>
      </w:r>
      <w:r>
        <w:rPr>
          <w:w w:val="105"/>
        </w:rPr>
        <w:t>research,</w:t>
      </w:r>
      <w:r>
        <w:rPr>
          <w:spacing w:val="-8"/>
          <w:w w:val="105"/>
        </w:rPr>
        <w:t> </w:t>
      </w:r>
      <w:r>
        <w:rPr>
          <w:w w:val="105"/>
        </w:rPr>
        <w:t>development</w:t>
      </w:r>
      <w:r>
        <w:rPr>
          <w:spacing w:val="-8"/>
          <w:w w:val="105"/>
        </w:rPr>
        <w:t> </w:t>
      </w:r>
      <w:r>
        <w:rPr>
          <w:w w:val="105"/>
        </w:rPr>
        <w:t>and</w:t>
      </w:r>
      <w:r>
        <w:rPr>
          <w:spacing w:val="-6"/>
          <w:w w:val="105"/>
        </w:rPr>
        <w:t> </w:t>
      </w:r>
      <w:r>
        <w:rPr>
          <w:w w:val="105"/>
        </w:rPr>
        <w:t>engineering</w:t>
      </w:r>
      <w:r>
        <w:rPr>
          <w:spacing w:val="-8"/>
          <w:w w:val="105"/>
        </w:rPr>
        <w:t> </w:t>
      </w:r>
      <w:r>
        <w:rPr>
          <w:w w:val="105"/>
        </w:rPr>
        <w:t>expenses</w:t>
      </w:r>
      <w:r>
        <w:rPr>
          <w:spacing w:val="-8"/>
          <w:w w:val="105"/>
        </w:rPr>
        <w:t> </w:t>
      </w:r>
      <w:r>
        <w:rPr>
          <w:w w:val="105"/>
        </w:rPr>
        <w:t>decreased</w:t>
      </w:r>
      <w:r>
        <w:rPr>
          <w:spacing w:val="-8"/>
          <w:w w:val="105"/>
        </w:rPr>
        <w:t> </w:t>
      </w:r>
      <w:r>
        <w:rPr>
          <w:w w:val="105"/>
        </w:rPr>
        <w:t>by</w:t>
      </w:r>
      <w:r>
        <w:rPr>
          <w:spacing w:val="-8"/>
          <w:w w:val="105"/>
        </w:rPr>
        <w:t> </w:t>
      </w:r>
      <w:r>
        <w:rPr>
          <w:w w:val="105"/>
        </w:rPr>
        <w:t>$159</w:t>
      </w:r>
      <w:r>
        <w:rPr>
          <w:spacing w:val="-8"/>
          <w:w w:val="105"/>
        </w:rPr>
        <w:t> </w:t>
      </w:r>
      <w:r>
        <w:rPr>
          <w:w w:val="105"/>
        </w:rPr>
        <w:t>million,</w:t>
      </w:r>
      <w:r>
        <w:rPr>
          <w:spacing w:val="-8"/>
          <w:w w:val="105"/>
        </w:rPr>
        <w:t> </w:t>
      </w:r>
      <w:r>
        <w:rPr>
          <w:w w:val="105"/>
        </w:rPr>
        <w:t>or</w:t>
      </w:r>
      <w:r>
        <w:rPr>
          <w:spacing w:val="-8"/>
          <w:w w:val="105"/>
        </w:rPr>
        <w:t> </w:t>
      </w:r>
      <w:r>
        <w:rPr>
          <w:w w:val="105"/>
        </w:rPr>
        <w:t>14%,</w:t>
      </w:r>
      <w:r>
        <w:rPr>
          <w:spacing w:val="-8"/>
          <w:w w:val="105"/>
        </w:rPr>
        <w:t> </w:t>
      </w:r>
      <w:r>
        <w:rPr>
          <w:w w:val="105"/>
        </w:rPr>
        <w:t>when</w:t>
      </w:r>
      <w:r>
        <w:rPr>
          <w:spacing w:val="-8"/>
          <w:w w:val="105"/>
        </w:rPr>
        <w:t> </w:t>
      </w:r>
      <w:r>
        <w:rPr>
          <w:w w:val="105"/>
        </w:rPr>
        <w:t>compared</w:t>
      </w:r>
      <w:r>
        <w:rPr>
          <w:spacing w:val="-8"/>
          <w:w w:val="105"/>
        </w:rPr>
        <w:t> </w:t>
      </w:r>
      <w:r>
        <w:rPr>
          <w:w w:val="105"/>
        </w:rPr>
        <w:t>to</w:t>
      </w:r>
      <w:r>
        <w:rPr>
          <w:spacing w:val="-8"/>
          <w:w w:val="105"/>
        </w:rPr>
        <w:t> </w:t>
      </w:r>
      <w:r>
        <w:rPr>
          <w:w w:val="105"/>
        </w:rPr>
        <w:t>the</w:t>
      </w:r>
      <w:r>
        <w:rPr>
          <w:spacing w:val="-8"/>
          <w:w w:val="105"/>
        </w:rPr>
        <w:t> </w:t>
      </w:r>
      <w:r>
        <w:rPr>
          <w:w w:val="105"/>
        </w:rPr>
        <w:t>same</w:t>
      </w:r>
      <w:r>
        <w:rPr>
          <w:spacing w:val="-8"/>
          <w:w w:val="105"/>
        </w:rPr>
        <w:t> </w:t>
      </w:r>
      <w:r>
        <w:rPr>
          <w:w w:val="105"/>
        </w:rPr>
        <w:t>period</w:t>
      </w:r>
      <w:r>
        <w:rPr>
          <w:spacing w:val="-8"/>
          <w:w w:val="105"/>
        </w:rPr>
        <w:t> </w:t>
      </w:r>
      <w:r>
        <w:rPr>
          <w:w w:val="105"/>
        </w:rPr>
        <w:t>in</w:t>
      </w:r>
      <w:r>
        <w:rPr>
          <w:spacing w:val="-8"/>
          <w:w w:val="105"/>
        </w:rPr>
        <w:t> </w:t>
      </w:r>
      <w:r>
        <w:rPr>
          <w:w w:val="105"/>
        </w:rPr>
        <w:t>the</w:t>
      </w:r>
      <w:r>
        <w:rPr>
          <w:spacing w:val="-8"/>
          <w:w w:val="105"/>
        </w:rPr>
        <w:t> </w:t>
      </w:r>
      <w:r>
        <w:rPr>
          <w:w w:val="105"/>
        </w:rPr>
        <w:t>prior year,</w:t>
      </w:r>
      <w:r>
        <w:rPr>
          <w:spacing w:val="-1"/>
          <w:w w:val="105"/>
        </w:rPr>
        <w:t> </w:t>
      </w:r>
      <w:r>
        <w:rPr>
          <w:w w:val="105"/>
        </w:rPr>
        <w:t>primarily</w:t>
      </w:r>
      <w:r>
        <w:rPr>
          <w:spacing w:val="-1"/>
          <w:w w:val="105"/>
        </w:rPr>
        <w:t> </w:t>
      </w:r>
      <w:r>
        <w:rPr>
          <w:w w:val="105"/>
        </w:rPr>
        <w:t>driven</w:t>
      </w:r>
      <w:r>
        <w:rPr>
          <w:spacing w:val="-1"/>
          <w:w w:val="105"/>
        </w:rPr>
        <w:t> </w:t>
      </w:r>
      <w:r>
        <w:rPr>
          <w:w w:val="105"/>
        </w:rPr>
        <w:t>by</w:t>
      </w:r>
      <w:r>
        <w:rPr>
          <w:spacing w:val="-1"/>
          <w:w w:val="105"/>
        </w:rPr>
        <w:t> </w:t>
      </w:r>
      <w:r>
        <w:rPr>
          <w:w w:val="105"/>
        </w:rPr>
        <w:t>the</w:t>
      </w:r>
      <w:r>
        <w:rPr>
          <w:spacing w:val="-1"/>
          <w:w w:val="105"/>
        </w:rPr>
        <w:t> </w:t>
      </w:r>
      <w:r>
        <w:rPr>
          <w:w w:val="105"/>
        </w:rPr>
        <w:t>absence</w:t>
      </w:r>
      <w:r>
        <w:rPr>
          <w:spacing w:val="-1"/>
          <w:w w:val="105"/>
        </w:rPr>
        <w:t> </w:t>
      </w:r>
      <w:r>
        <w:rPr>
          <w:w w:val="105"/>
        </w:rPr>
        <w:t>of</w:t>
      </w:r>
      <w:r>
        <w:rPr>
          <w:spacing w:val="-1"/>
          <w:w w:val="105"/>
        </w:rPr>
        <w:t> </w:t>
      </w:r>
      <w:r>
        <w:rPr>
          <w:w w:val="105"/>
        </w:rPr>
        <w:t>a</w:t>
      </w:r>
      <w:r>
        <w:rPr>
          <w:spacing w:val="-1"/>
          <w:w w:val="105"/>
        </w:rPr>
        <w:t> </w:t>
      </w:r>
      <w:r>
        <w:rPr>
          <w:w w:val="105"/>
        </w:rPr>
        <w:t>pre-tax</w:t>
      </w:r>
      <w:r>
        <w:rPr>
          <w:spacing w:val="-1"/>
          <w:w w:val="105"/>
        </w:rPr>
        <w:t> </w:t>
      </w:r>
      <w:r>
        <w:rPr>
          <w:w w:val="105"/>
        </w:rPr>
        <w:t>asset</w:t>
      </w:r>
      <w:r>
        <w:rPr>
          <w:spacing w:val="-1"/>
          <w:w w:val="105"/>
        </w:rPr>
        <w:t> </w:t>
      </w:r>
      <w:r>
        <w:rPr>
          <w:w w:val="105"/>
        </w:rPr>
        <w:t>impairment</w:t>
      </w:r>
      <w:r>
        <w:rPr>
          <w:spacing w:val="-1"/>
          <w:w w:val="105"/>
        </w:rPr>
        <w:t> </w:t>
      </w:r>
      <w:r>
        <w:rPr>
          <w:w w:val="105"/>
        </w:rPr>
        <w:t>loss</w:t>
      </w:r>
      <w:r>
        <w:rPr>
          <w:spacing w:val="-1"/>
          <w:w w:val="105"/>
        </w:rPr>
        <w:t> </w:t>
      </w:r>
      <w:r>
        <w:rPr>
          <w:w w:val="105"/>
        </w:rPr>
        <w:t>of</w:t>
      </w:r>
      <w:r>
        <w:rPr>
          <w:spacing w:val="-1"/>
          <w:w w:val="105"/>
        </w:rPr>
        <w:t> </w:t>
      </w:r>
      <w:r>
        <w:rPr>
          <w:w w:val="105"/>
        </w:rPr>
        <w:t>$211</w:t>
      </w:r>
      <w:r>
        <w:rPr>
          <w:spacing w:val="-1"/>
          <w:w w:val="105"/>
        </w:rPr>
        <w:t> </w:t>
      </w:r>
      <w:r>
        <w:rPr>
          <w:w w:val="105"/>
        </w:rPr>
        <w:t>million</w:t>
      </w:r>
      <w:r>
        <w:rPr>
          <w:spacing w:val="-1"/>
          <w:w w:val="105"/>
        </w:rPr>
        <w:t> </w:t>
      </w:r>
      <w:r>
        <w:rPr>
          <w:w w:val="105"/>
        </w:rPr>
        <w:t>related</w:t>
      </w:r>
      <w:r>
        <w:rPr>
          <w:spacing w:val="-1"/>
          <w:w w:val="105"/>
        </w:rPr>
        <w:t> </w:t>
      </w:r>
      <w:r>
        <w:rPr>
          <w:w w:val="105"/>
        </w:rPr>
        <w:t>to the</w:t>
      </w:r>
      <w:r>
        <w:rPr>
          <w:spacing w:val="-1"/>
          <w:w w:val="105"/>
        </w:rPr>
        <w:t> </w:t>
      </w:r>
      <w:r>
        <w:rPr>
          <w:w w:val="105"/>
        </w:rPr>
        <w:t>reassessment</w:t>
      </w:r>
      <w:r>
        <w:rPr>
          <w:spacing w:val="-1"/>
          <w:w w:val="105"/>
        </w:rPr>
        <w:t> </w:t>
      </w:r>
      <w:r>
        <w:rPr>
          <w:w w:val="105"/>
        </w:rPr>
        <w:t>and</w:t>
      </w:r>
      <w:r>
        <w:rPr>
          <w:spacing w:val="-1"/>
          <w:w w:val="105"/>
        </w:rPr>
        <w:t> </w:t>
      </w:r>
      <w:r>
        <w:rPr>
          <w:w w:val="105"/>
        </w:rPr>
        <w:t>reprioritization</w:t>
      </w:r>
      <w:r>
        <w:rPr>
          <w:spacing w:val="-1"/>
          <w:w w:val="105"/>
        </w:rPr>
        <w:t> </w:t>
      </w:r>
      <w:r>
        <w:rPr>
          <w:w w:val="105"/>
        </w:rPr>
        <w:t>of</w:t>
      </w:r>
      <w:r>
        <w:rPr>
          <w:spacing w:val="-1"/>
          <w:w w:val="105"/>
        </w:rPr>
        <w:t> </w:t>
      </w:r>
      <w:r>
        <w:rPr>
          <w:w w:val="105"/>
        </w:rPr>
        <w:t>research</w:t>
      </w:r>
      <w:r>
        <w:rPr>
          <w:spacing w:val="-1"/>
          <w:w w:val="105"/>
        </w:rPr>
        <w:t> </w:t>
      </w:r>
      <w:r>
        <w:rPr>
          <w:w w:val="105"/>
        </w:rPr>
        <w:t>and</w:t>
      </w:r>
      <w:r>
        <w:rPr>
          <w:spacing w:val="-1"/>
          <w:w w:val="105"/>
        </w:rPr>
        <w:t> </w:t>
      </w:r>
      <w:r>
        <w:rPr>
          <w:w w:val="105"/>
        </w:rPr>
        <w:t>development programs</w:t>
      </w:r>
      <w:r>
        <w:rPr>
          <w:spacing w:val="-2"/>
          <w:w w:val="105"/>
        </w:rPr>
        <w:t> </w:t>
      </w:r>
      <w:r>
        <w:rPr>
          <w:w w:val="105"/>
        </w:rPr>
        <w:t>within</w:t>
      </w:r>
      <w:r>
        <w:rPr>
          <w:spacing w:val="-2"/>
          <w:w w:val="105"/>
        </w:rPr>
        <w:t> </w:t>
      </w:r>
      <w:r>
        <w:rPr>
          <w:w w:val="105"/>
        </w:rPr>
        <w:t>“All</w:t>
      </w:r>
      <w:r>
        <w:rPr>
          <w:spacing w:val="-2"/>
          <w:w w:val="105"/>
        </w:rPr>
        <w:t> </w:t>
      </w:r>
      <w:r>
        <w:rPr>
          <w:w w:val="105"/>
        </w:rPr>
        <w:t>Other”</w:t>
      </w:r>
      <w:r>
        <w:rPr>
          <w:spacing w:val="-2"/>
          <w:w w:val="105"/>
        </w:rPr>
        <w:t> </w:t>
      </w:r>
      <w:r>
        <w:rPr>
          <w:w w:val="105"/>
        </w:rPr>
        <w:t>that</w:t>
      </w:r>
      <w:r>
        <w:rPr>
          <w:spacing w:val="-2"/>
          <w:w w:val="105"/>
        </w:rPr>
        <w:t> </w:t>
      </w:r>
      <w:r>
        <w:rPr>
          <w:w w:val="105"/>
        </w:rPr>
        <w:t>was</w:t>
      </w:r>
      <w:r>
        <w:rPr>
          <w:spacing w:val="-2"/>
          <w:w w:val="105"/>
        </w:rPr>
        <w:t> </w:t>
      </w:r>
      <w:r>
        <w:rPr>
          <w:w w:val="105"/>
        </w:rPr>
        <w:t>incurred</w:t>
      </w:r>
      <w:r>
        <w:rPr>
          <w:spacing w:val="-2"/>
          <w:w w:val="105"/>
        </w:rPr>
        <w:t> </w:t>
      </w:r>
      <w:r>
        <w:rPr>
          <w:w w:val="105"/>
        </w:rPr>
        <w:t>in</w:t>
      </w:r>
      <w:r>
        <w:rPr>
          <w:spacing w:val="-2"/>
          <w:w w:val="105"/>
        </w:rPr>
        <w:t> </w:t>
      </w:r>
      <w:r>
        <w:rPr>
          <w:w w:val="105"/>
        </w:rPr>
        <w:t>2020.</w:t>
      </w:r>
      <w:r>
        <w:rPr>
          <w:spacing w:val="38"/>
          <w:w w:val="105"/>
        </w:rPr>
        <w:t> </w:t>
      </w:r>
      <w:r>
        <w:rPr>
          <w:w w:val="105"/>
        </w:rPr>
        <w:t>As</w:t>
      </w:r>
      <w:r>
        <w:rPr>
          <w:spacing w:val="-2"/>
          <w:w w:val="105"/>
        </w:rPr>
        <w:t> </w:t>
      </w:r>
      <w:r>
        <w:rPr>
          <w:w w:val="105"/>
        </w:rPr>
        <w:t>a</w:t>
      </w:r>
      <w:r>
        <w:rPr>
          <w:spacing w:val="-2"/>
          <w:w w:val="105"/>
        </w:rPr>
        <w:t> </w:t>
      </w:r>
      <w:r>
        <w:rPr>
          <w:w w:val="105"/>
        </w:rPr>
        <w:t>percentage</w:t>
      </w:r>
      <w:r>
        <w:rPr>
          <w:spacing w:val="-2"/>
          <w:w w:val="105"/>
        </w:rPr>
        <w:t> </w:t>
      </w:r>
      <w:r>
        <w:rPr>
          <w:w w:val="105"/>
        </w:rPr>
        <w:t>of</w:t>
      </w:r>
      <w:r>
        <w:rPr>
          <w:spacing w:val="-2"/>
          <w:w w:val="105"/>
        </w:rPr>
        <w:t> </w:t>
      </w:r>
      <w:r>
        <w:rPr>
          <w:w w:val="105"/>
        </w:rPr>
        <w:t>sales,</w:t>
      </w:r>
      <w:r>
        <w:rPr>
          <w:spacing w:val="-2"/>
          <w:w w:val="105"/>
        </w:rPr>
        <w:t> </w:t>
      </w:r>
      <w:r>
        <w:rPr>
          <w:w w:val="105"/>
        </w:rPr>
        <w:t>these</w:t>
      </w:r>
      <w:r>
        <w:rPr>
          <w:spacing w:val="-2"/>
          <w:w w:val="105"/>
        </w:rPr>
        <w:t> </w:t>
      </w:r>
      <w:r>
        <w:rPr>
          <w:w w:val="105"/>
        </w:rPr>
        <w:t>expenses</w:t>
      </w:r>
      <w:r>
        <w:rPr>
          <w:spacing w:val="-2"/>
          <w:w w:val="105"/>
        </w:rPr>
        <w:t> </w:t>
      </w:r>
      <w:r>
        <w:rPr>
          <w:w w:val="105"/>
        </w:rPr>
        <w:t>were</w:t>
      </w:r>
      <w:r>
        <w:rPr>
          <w:spacing w:val="-2"/>
          <w:w w:val="105"/>
        </w:rPr>
        <w:t> </w:t>
      </w:r>
      <w:r>
        <w:rPr>
          <w:w w:val="105"/>
        </w:rPr>
        <w:t>3</w:t>
      </w:r>
      <w:r>
        <w:rPr>
          <w:spacing w:val="-2"/>
          <w:w w:val="105"/>
        </w:rPr>
        <w:t> </w:t>
      </w:r>
      <w:r>
        <w:rPr>
          <w:w w:val="105"/>
        </w:rPr>
        <w:t>percentage</w:t>
      </w:r>
      <w:r>
        <w:rPr>
          <w:spacing w:val="-2"/>
          <w:w w:val="105"/>
        </w:rPr>
        <w:t> </w:t>
      </w:r>
      <w:r>
        <w:rPr>
          <w:w w:val="105"/>
        </w:rPr>
        <w:t>points</w:t>
      </w:r>
      <w:r>
        <w:rPr>
          <w:spacing w:val="-2"/>
          <w:w w:val="105"/>
        </w:rPr>
        <w:t> </w:t>
      </w:r>
      <w:r>
        <w:rPr>
          <w:w w:val="105"/>
        </w:rPr>
        <w:t>lower</w:t>
      </w:r>
      <w:r>
        <w:rPr>
          <w:spacing w:val="-2"/>
          <w:w w:val="105"/>
        </w:rPr>
        <w:t> </w:t>
      </w:r>
      <w:r>
        <w:rPr>
          <w:w w:val="105"/>
        </w:rPr>
        <w:t>when</w:t>
      </w:r>
      <w:r>
        <w:rPr>
          <w:spacing w:val="-2"/>
          <w:w w:val="105"/>
        </w:rPr>
        <w:t> </w:t>
      </w:r>
      <w:r>
        <w:rPr>
          <w:w w:val="105"/>
        </w:rPr>
        <w:t>compared</w:t>
      </w:r>
      <w:r>
        <w:rPr>
          <w:spacing w:val="-2"/>
          <w:w w:val="105"/>
        </w:rPr>
        <w:t> </w:t>
      </w:r>
      <w:r>
        <w:rPr>
          <w:w w:val="105"/>
        </w:rPr>
        <w:t>to</w:t>
      </w:r>
      <w:r>
        <w:rPr>
          <w:spacing w:val="-2"/>
          <w:w w:val="105"/>
        </w:rPr>
        <w:t> </w:t>
      </w:r>
      <w:r>
        <w:rPr>
          <w:w w:val="105"/>
        </w:rPr>
        <w:t>the</w:t>
      </w:r>
      <w:r>
        <w:rPr>
          <w:spacing w:val="-2"/>
          <w:w w:val="105"/>
        </w:rPr>
        <w:t> </w:t>
      </w:r>
      <w:r>
        <w:rPr>
          <w:w w:val="105"/>
        </w:rPr>
        <w:t>same</w:t>
      </w:r>
      <w:r>
        <w:rPr>
          <w:spacing w:val="-2"/>
          <w:w w:val="105"/>
        </w:rPr>
        <w:t> </w:t>
      </w:r>
      <w:r>
        <w:rPr>
          <w:w w:val="105"/>
        </w:rPr>
        <w:t>period last </w:t>
      </w:r>
      <w:r>
        <w:rPr>
          <w:spacing w:val="-2"/>
          <w:w w:val="105"/>
        </w:rPr>
        <w:t>year.</w:t>
      </w:r>
    </w:p>
    <w:p>
      <w:pPr>
        <w:pStyle w:val="BodyText"/>
        <w:spacing w:before="18"/>
      </w:pPr>
    </w:p>
    <w:p>
      <w:pPr>
        <w:pStyle w:val="Heading3"/>
        <w:spacing w:before="1"/>
      </w:pPr>
      <w:r>
        <w:rPr/>
        <w:t>Translated</w:t>
      </w:r>
      <w:r>
        <w:rPr>
          <w:spacing w:val="14"/>
        </w:rPr>
        <w:t> </w:t>
      </w:r>
      <w:r>
        <w:rPr/>
        <w:t>earnings</w:t>
      </w:r>
      <w:r>
        <w:rPr>
          <w:spacing w:val="14"/>
        </w:rPr>
        <w:t> </w:t>
      </w:r>
      <w:r>
        <w:rPr/>
        <w:t>contract</w:t>
      </w:r>
      <w:r>
        <w:rPr>
          <w:spacing w:val="14"/>
        </w:rPr>
        <w:t> </w:t>
      </w:r>
      <w:r>
        <w:rPr/>
        <w:t>gain</w:t>
      </w:r>
      <w:r>
        <w:rPr>
          <w:spacing w:val="14"/>
        </w:rPr>
        <w:t> </w:t>
      </w:r>
      <w:r>
        <w:rPr/>
        <w:t>(loss),</w:t>
      </w:r>
      <w:r>
        <w:rPr>
          <w:spacing w:val="14"/>
        </w:rPr>
        <w:t> </w:t>
      </w:r>
      <w:r>
        <w:rPr>
          <w:spacing w:val="-5"/>
        </w:rPr>
        <w:t>net</w:t>
      </w:r>
    </w:p>
    <w:p>
      <w:pPr>
        <w:pStyle w:val="BodyText"/>
        <w:spacing w:before="39"/>
        <w:rPr>
          <w:b/>
          <w:i/>
        </w:rPr>
      </w:pPr>
    </w:p>
    <w:p>
      <w:pPr>
        <w:pStyle w:val="BodyText"/>
        <w:spacing w:line="266" w:lineRule="auto"/>
        <w:ind w:left="156" w:right="328"/>
      </w:pPr>
      <w:r>
        <w:rPr>
          <w:w w:val="105"/>
        </w:rPr>
        <w:t>Included</w:t>
      </w:r>
      <w:r>
        <w:rPr>
          <w:spacing w:val="-8"/>
          <w:w w:val="105"/>
        </w:rPr>
        <w:t> </w:t>
      </w:r>
      <w:r>
        <w:rPr>
          <w:w w:val="105"/>
        </w:rPr>
        <w:t>in</w:t>
      </w:r>
      <w:r>
        <w:rPr>
          <w:spacing w:val="-8"/>
          <w:w w:val="105"/>
        </w:rPr>
        <w:t> </w:t>
      </w:r>
      <w:r>
        <w:rPr>
          <w:w w:val="105"/>
        </w:rPr>
        <w:t>the</w:t>
      </w:r>
      <w:r>
        <w:rPr>
          <w:spacing w:val="-8"/>
          <w:w w:val="105"/>
        </w:rPr>
        <w:t> </w:t>
      </w:r>
      <w:r>
        <w:rPr>
          <w:w w:val="105"/>
        </w:rPr>
        <w:t>line</w:t>
      </w:r>
      <w:r>
        <w:rPr>
          <w:spacing w:val="-8"/>
          <w:w w:val="105"/>
        </w:rPr>
        <w:t> </w:t>
      </w:r>
      <w:r>
        <w:rPr>
          <w:w w:val="105"/>
        </w:rPr>
        <w:t>item</w:t>
      </w:r>
      <w:r>
        <w:rPr>
          <w:spacing w:val="-8"/>
          <w:w w:val="105"/>
        </w:rPr>
        <w:t> </w:t>
      </w:r>
      <w:r>
        <w:rPr>
          <w:w w:val="105"/>
        </w:rPr>
        <w:t>translated</w:t>
      </w:r>
      <w:r>
        <w:rPr>
          <w:spacing w:val="-8"/>
          <w:w w:val="105"/>
        </w:rPr>
        <w:t> </w:t>
      </w:r>
      <w:r>
        <w:rPr>
          <w:w w:val="105"/>
        </w:rPr>
        <w:t>earnings</w:t>
      </w:r>
      <w:r>
        <w:rPr>
          <w:spacing w:val="-7"/>
          <w:w w:val="105"/>
        </w:rPr>
        <w:t> </w:t>
      </w:r>
      <w:r>
        <w:rPr>
          <w:w w:val="105"/>
        </w:rPr>
        <w:t>contract</w:t>
      </w:r>
      <w:r>
        <w:rPr>
          <w:spacing w:val="-8"/>
          <w:w w:val="105"/>
        </w:rPr>
        <w:t> </w:t>
      </w:r>
      <w:r>
        <w:rPr>
          <w:w w:val="105"/>
        </w:rPr>
        <w:t>gain</w:t>
      </w:r>
      <w:r>
        <w:rPr>
          <w:spacing w:val="-8"/>
          <w:w w:val="105"/>
        </w:rPr>
        <w:t> </w:t>
      </w:r>
      <w:r>
        <w:rPr>
          <w:w w:val="105"/>
        </w:rPr>
        <w:t>(loss),</w:t>
      </w:r>
      <w:r>
        <w:rPr>
          <w:spacing w:val="-8"/>
          <w:w w:val="105"/>
        </w:rPr>
        <w:t> </w:t>
      </w:r>
      <w:r>
        <w:rPr>
          <w:w w:val="105"/>
        </w:rPr>
        <w:t>net,</w:t>
      </w:r>
      <w:r>
        <w:rPr>
          <w:spacing w:val="-7"/>
          <w:w w:val="105"/>
        </w:rPr>
        <w:t> </w:t>
      </w:r>
      <w:r>
        <w:rPr>
          <w:w w:val="105"/>
        </w:rPr>
        <w:t>is</w:t>
      </w:r>
      <w:r>
        <w:rPr>
          <w:spacing w:val="-8"/>
          <w:w w:val="105"/>
        </w:rPr>
        <w:t> </w:t>
      </w:r>
      <w:r>
        <w:rPr>
          <w:w w:val="105"/>
        </w:rPr>
        <w:t>the</w:t>
      </w:r>
      <w:r>
        <w:rPr>
          <w:spacing w:val="-8"/>
          <w:w w:val="105"/>
        </w:rPr>
        <w:t> </w:t>
      </w:r>
      <w:r>
        <w:rPr>
          <w:w w:val="105"/>
        </w:rPr>
        <w:t>impact</w:t>
      </w:r>
      <w:r>
        <w:rPr>
          <w:spacing w:val="-8"/>
          <w:w w:val="105"/>
        </w:rPr>
        <w:t> </w:t>
      </w:r>
      <w:r>
        <w:rPr>
          <w:w w:val="105"/>
        </w:rPr>
        <w:t>of</w:t>
      </w:r>
      <w:r>
        <w:rPr>
          <w:spacing w:val="-8"/>
          <w:w w:val="105"/>
        </w:rPr>
        <w:t> </w:t>
      </w:r>
      <w:r>
        <w:rPr>
          <w:w w:val="105"/>
        </w:rPr>
        <w:t>foreign</w:t>
      </w:r>
      <w:r>
        <w:rPr>
          <w:spacing w:val="-7"/>
          <w:w w:val="105"/>
        </w:rPr>
        <w:t> </w:t>
      </w:r>
      <w:r>
        <w:rPr>
          <w:w w:val="105"/>
        </w:rPr>
        <w:t>currency</w:t>
      </w:r>
      <w:r>
        <w:rPr>
          <w:spacing w:val="-8"/>
          <w:w w:val="105"/>
        </w:rPr>
        <w:t> </w:t>
      </w:r>
      <w:r>
        <w:rPr>
          <w:w w:val="105"/>
        </w:rPr>
        <w:t>contracts</w:t>
      </w:r>
      <w:r>
        <w:rPr>
          <w:spacing w:val="-8"/>
          <w:w w:val="105"/>
        </w:rPr>
        <w:t> </w:t>
      </w:r>
      <w:r>
        <w:rPr>
          <w:w w:val="105"/>
        </w:rPr>
        <w:t>which</w:t>
      </w:r>
      <w:r>
        <w:rPr>
          <w:spacing w:val="-8"/>
          <w:w w:val="105"/>
        </w:rPr>
        <w:t> </w:t>
      </w:r>
      <w:r>
        <w:rPr>
          <w:w w:val="105"/>
        </w:rPr>
        <w:t>hedge</w:t>
      </w:r>
      <w:r>
        <w:rPr>
          <w:spacing w:val="-8"/>
          <w:w w:val="105"/>
        </w:rPr>
        <w:t> </w:t>
      </w:r>
      <w:r>
        <w:rPr>
          <w:w w:val="105"/>
        </w:rPr>
        <w:t>our</w:t>
      </w:r>
      <w:r>
        <w:rPr>
          <w:spacing w:val="-8"/>
          <w:w w:val="105"/>
        </w:rPr>
        <w:t> </w:t>
      </w:r>
      <w:r>
        <w:rPr>
          <w:w w:val="105"/>
        </w:rPr>
        <w:t>translation</w:t>
      </w:r>
      <w:r>
        <w:rPr>
          <w:spacing w:val="-8"/>
          <w:w w:val="105"/>
        </w:rPr>
        <w:t> </w:t>
      </w:r>
      <w:r>
        <w:rPr>
          <w:w w:val="105"/>
        </w:rPr>
        <w:t>exposure</w:t>
      </w:r>
      <w:r>
        <w:rPr>
          <w:spacing w:val="-8"/>
          <w:w w:val="105"/>
        </w:rPr>
        <w:t> </w:t>
      </w:r>
      <w:r>
        <w:rPr>
          <w:w w:val="105"/>
        </w:rPr>
        <w:t>arising</w:t>
      </w:r>
      <w:r>
        <w:rPr>
          <w:spacing w:val="-8"/>
          <w:w w:val="105"/>
        </w:rPr>
        <w:t> </w:t>
      </w:r>
      <w:r>
        <w:rPr>
          <w:w w:val="105"/>
        </w:rPr>
        <w:t>from movements</w:t>
      </w:r>
      <w:r>
        <w:rPr>
          <w:spacing w:val="-1"/>
          <w:w w:val="105"/>
        </w:rPr>
        <w:t> </w:t>
      </w:r>
      <w:r>
        <w:rPr>
          <w:w w:val="105"/>
        </w:rPr>
        <w:t>in</w:t>
      </w:r>
      <w:r>
        <w:rPr>
          <w:spacing w:val="-1"/>
          <w:w w:val="105"/>
        </w:rPr>
        <w:t> </w:t>
      </w:r>
      <w:r>
        <w:rPr>
          <w:w w:val="105"/>
        </w:rPr>
        <w:t>the</w:t>
      </w:r>
      <w:r>
        <w:rPr>
          <w:spacing w:val="-1"/>
          <w:w w:val="105"/>
        </w:rPr>
        <w:t> </w:t>
      </w:r>
      <w:r>
        <w:rPr>
          <w:w w:val="105"/>
        </w:rPr>
        <w:t>Japanese</w:t>
      </w:r>
      <w:r>
        <w:rPr>
          <w:spacing w:val="-1"/>
          <w:w w:val="105"/>
        </w:rPr>
        <w:t> </w:t>
      </w:r>
      <w:r>
        <w:rPr>
          <w:w w:val="105"/>
        </w:rPr>
        <w:t>yen,</w:t>
      </w:r>
      <w:r>
        <w:rPr>
          <w:spacing w:val="-1"/>
          <w:w w:val="105"/>
        </w:rPr>
        <w:t> </w:t>
      </w:r>
      <w:r>
        <w:rPr>
          <w:w w:val="105"/>
        </w:rPr>
        <w:t>South</w:t>
      </w:r>
      <w:r>
        <w:rPr>
          <w:spacing w:val="-1"/>
          <w:w w:val="105"/>
        </w:rPr>
        <w:t> </w:t>
      </w:r>
      <w:r>
        <w:rPr>
          <w:w w:val="105"/>
        </w:rPr>
        <w:t>Korean</w:t>
      </w:r>
      <w:r>
        <w:rPr>
          <w:spacing w:val="-1"/>
          <w:w w:val="105"/>
        </w:rPr>
        <w:t> </w:t>
      </w:r>
      <w:r>
        <w:rPr>
          <w:w w:val="105"/>
        </w:rPr>
        <w:t>won,</w:t>
      </w:r>
      <w:r>
        <w:rPr>
          <w:spacing w:val="-1"/>
          <w:w w:val="105"/>
        </w:rPr>
        <w:t> </w:t>
      </w:r>
      <w:r>
        <w:rPr>
          <w:w w:val="105"/>
        </w:rPr>
        <w:t>new</w:t>
      </w:r>
      <w:r>
        <w:rPr>
          <w:spacing w:val="-1"/>
          <w:w w:val="105"/>
        </w:rPr>
        <w:t> </w:t>
      </w:r>
      <w:r>
        <w:rPr>
          <w:w w:val="105"/>
        </w:rPr>
        <w:t>Taiwan</w:t>
      </w:r>
      <w:r>
        <w:rPr>
          <w:spacing w:val="-1"/>
          <w:w w:val="105"/>
        </w:rPr>
        <w:t> </w:t>
      </w:r>
      <w:r>
        <w:rPr>
          <w:w w:val="105"/>
        </w:rPr>
        <w:t>dollar,</w:t>
      </w:r>
      <w:r>
        <w:rPr>
          <w:spacing w:val="-1"/>
          <w:w w:val="105"/>
        </w:rPr>
        <w:t> </w:t>
      </w:r>
      <w:r>
        <w:rPr>
          <w:w w:val="105"/>
        </w:rPr>
        <w:t>euro,</w:t>
      </w:r>
      <w:r>
        <w:rPr>
          <w:spacing w:val="-1"/>
          <w:w w:val="105"/>
        </w:rPr>
        <w:t> </w:t>
      </w:r>
      <w:r>
        <w:rPr>
          <w:w w:val="105"/>
        </w:rPr>
        <w:t>Chinese</w:t>
      </w:r>
      <w:r>
        <w:rPr>
          <w:spacing w:val="-1"/>
          <w:w w:val="105"/>
        </w:rPr>
        <w:t> </w:t>
      </w:r>
      <w:r>
        <w:rPr>
          <w:w w:val="105"/>
        </w:rPr>
        <w:t>yuan and</w:t>
      </w:r>
      <w:r>
        <w:rPr>
          <w:spacing w:val="-1"/>
          <w:w w:val="105"/>
        </w:rPr>
        <w:t> </w:t>
      </w:r>
      <w:r>
        <w:rPr>
          <w:w w:val="105"/>
        </w:rPr>
        <w:t>British</w:t>
      </w:r>
      <w:r>
        <w:rPr>
          <w:spacing w:val="-1"/>
          <w:w w:val="105"/>
        </w:rPr>
        <w:t> </w:t>
      </w:r>
      <w:r>
        <w:rPr>
          <w:w w:val="105"/>
        </w:rPr>
        <w:t>pound</w:t>
      </w:r>
      <w:r>
        <w:rPr>
          <w:spacing w:val="-1"/>
          <w:w w:val="105"/>
        </w:rPr>
        <w:t> </w:t>
      </w:r>
      <w:r>
        <w:rPr>
          <w:w w:val="105"/>
        </w:rPr>
        <w:t>and</w:t>
      </w:r>
      <w:r>
        <w:rPr>
          <w:spacing w:val="-1"/>
          <w:w w:val="105"/>
        </w:rPr>
        <w:t> </w:t>
      </w:r>
      <w:r>
        <w:rPr>
          <w:w w:val="105"/>
        </w:rPr>
        <w:t>its</w:t>
      </w:r>
      <w:r>
        <w:rPr>
          <w:spacing w:val="-1"/>
          <w:w w:val="105"/>
        </w:rPr>
        <w:t> </w:t>
      </w:r>
      <w:r>
        <w:rPr>
          <w:w w:val="105"/>
        </w:rPr>
        <w:t>impact</w:t>
      </w:r>
      <w:r>
        <w:rPr>
          <w:spacing w:val="-1"/>
          <w:w w:val="105"/>
        </w:rPr>
        <w:t> </w:t>
      </w:r>
      <w:r>
        <w:rPr>
          <w:w w:val="105"/>
        </w:rPr>
        <w:t>on</w:t>
      </w:r>
      <w:r>
        <w:rPr>
          <w:spacing w:val="-1"/>
          <w:w w:val="105"/>
        </w:rPr>
        <w:t> </w:t>
      </w:r>
      <w:r>
        <w:rPr>
          <w:w w:val="105"/>
        </w:rPr>
        <w:t>our</w:t>
      </w:r>
      <w:r>
        <w:rPr>
          <w:spacing w:val="-1"/>
          <w:w w:val="105"/>
        </w:rPr>
        <w:t> </w:t>
      </w:r>
      <w:r>
        <w:rPr>
          <w:w w:val="105"/>
        </w:rPr>
        <w:t>net</w:t>
      </w:r>
      <w:r>
        <w:rPr>
          <w:spacing w:val="-1"/>
          <w:w w:val="105"/>
        </w:rPr>
        <w:t> </w:t>
      </w:r>
      <w:r>
        <w:rPr>
          <w:w w:val="105"/>
        </w:rPr>
        <w:t>income.</w:t>
      </w:r>
    </w:p>
    <w:p>
      <w:pPr>
        <w:pStyle w:val="BodyText"/>
        <w:spacing w:before="19"/>
      </w:pPr>
    </w:p>
    <w:p>
      <w:pPr>
        <w:pStyle w:val="BodyText"/>
        <w:ind w:left="156"/>
      </w:pPr>
      <w:r>
        <w:rPr/>
        <mc:AlternateContent>
          <mc:Choice Requires="wps">
            <w:drawing>
              <wp:anchor distT="0" distB="0" distL="0" distR="0" allowOverlap="1" layoutInCell="1" locked="0" behindDoc="0" simplePos="0" relativeHeight="15745536">
                <wp:simplePos x="0" y="0"/>
                <wp:positionH relativeFrom="page">
                  <wp:posOffset>188388</wp:posOffset>
                </wp:positionH>
                <wp:positionV relativeFrom="paragraph">
                  <wp:posOffset>208469</wp:posOffset>
                </wp:positionV>
                <wp:extent cx="7388859" cy="28448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388859" cy="2844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7"/>
                              <w:gridCol w:w="2496"/>
                              <w:gridCol w:w="1308"/>
                              <w:gridCol w:w="1510"/>
                              <w:gridCol w:w="1230"/>
                              <w:gridCol w:w="1506"/>
                              <w:gridCol w:w="1327"/>
                            </w:tblGrid>
                            <w:tr>
                              <w:trPr>
                                <w:trHeight w:val="196" w:hRule="atLeast"/>
                              </w:trPr>
                              <w:tc>
                                <w:tcPr>
                                  <w:tcW w:w="2137" w:type="dxa"/>
                                  <w:tcBorders>
                                    <w:top w:val="single" w:sz="12" w:space="0" w:color="000000"/>
                                  </w:tcBorders>
                                </w:tcPr>
                                <w:p>
                                  <w:pPr>
                                    <w:pStyle w:val="TableParagraph"/>
                                    <w:rPr>
                                      <w:sz w:val="12"/>
                                    </w:rPr>
                                  </w:pPr>
                                </w:p>
                              </w:tc>
                              <w:tc>
                                <w:tcPr>
                                  <w:tcW w:w="2496" w:type="dxa"/>
                                  <w:tcBorders>
                                    <w:top w:val="single" w:sz="12" w:space="0" w:color="000000"/>
                                  </w:tcBorders>
                                </w:tcPr>
                                <w:p>
                                  <w:pPr>
                                    <w:pStyle w:val="TableParagraph"/>
                                    <w:spacing w:line="175" w:lineRule="exact" w:before="1"/>
                                    <w:ind w:left="1037"/>
                                    <w:jc w:val="center"/>
                                    <w:rPr>
                                      <w:sz w:val="16"/>
                                    </w:rPr>
                                  </w:pPr>
                                  <w:r>
                                    <w:rPr>
                                      <w:sz w:val="16"/>
                                    </w:rPr>
                                    <w:t>Income</w:t>
                                  </w:r>
                                  <w:r>
                                    <w:rPr>
                                      <w:spacing w:val="15"/>
                                      <w:sz w:val="16"/>
                                    </w:rPr>
                                    <w:t> </w:t>
                                  </w:r>
                                  <w:r>
                                    <w:rPr>
                                      <w:spacing w:val="-2"/>
                                      <w:sz w:val="16"/>
                                    </w:rPr>
                                    <w:t>(loss)</w:t>
                                  </w:r>
                                </w:p>
                              </w:tc>
                              <w:tc>
                                <w:tcPr>
                                  <w:tcW w:w="1308" w:type="dxa"/>
                                  <w:tcBorders>
                                    <w:top w:val="single" w:sz="12" w:space="0" w:color="000000"/>
                                  </w:tcBorders>
                                </w:tcPr>
                                <w:p>
                                  <w:pPr>
                                    <w:pStyle w:val="TableParagraph"/>
                                    <w:spacing w:line="175" w:lineRule="exact" w:before="1"/>
                                    <w:ind w:left="11"/>
                                    <w:jc w:val="center"/>
                                    <w:rPr>
                                      <w:sz w:val="16"/>
                                    </w:rPr>
                                  </w:pPr>
                                  <w:r>
                                    <w:rPr>
                                      <w:w w:val="105"/>
                                      <w:sz w:val="16"/>
                                    </w:rPr>
                                    <w:t>Net</w:t>
                                  </w:r>
                                  <w:r>
                                    <w:rPr>
                                      <w:spacing w:val="-6"/>
                                      <w:w w:val="105"/>
                                      <w:sz w:val="16"/>
                                    </w:rPr>
                                    <w:t> </w:t>
                                  </w:r>
                                  <w:r>
                                    <w:rPr>
                                      <w:spacing w:val="-2"/>
                                      <w:w w:val="105"/>
                                      <w:sz w:val="16"/>
                                    </w:rPr>
                                    <w:t>income</w:t>
                                  </w:r>
                                </w:p>
                              </w:tc>
                              <w:tc>
                                <w:tcPr>
                                  <w:tcW w:w="1510" w:type="dxa"/>
                                  <w:tcBorders>
                                    <w:top w:val="single" w:sz="12" w:space="0" w:color="000000"/>
                                  </w:tcBorders>
                                </w:tcPr>
                                <w:p>
                                  <w:pPr>
                                    <w:pStyle w:val="TableParagraph"/>
                                    <w:spacing w:line="175" w:lineRule="exact" w:before="1"/>
                                    <w:ind w:right="28"/>
                                    <w:jc w:val="center"/>
                                    <w:rPr>
                                      <w:sz w:val="16"/>
                                    </w:rPr>
                                  </w:pPr>
                                  <w:r>
                                    <w:rPr>
                                      <w:w w:val="105"/>
                                      <w:sz w:val="16"/>
                                    </w:rPr>
                                    <w:t>(Loss)</w:t>
                                  </w:r>
                                  <w:r>
                                    <w:rPr>
                                      <w:spacing w:val="-10"/>
                                      <w:w w:val="105"/>
                                      <w:sz w:val="16"/>
                                    </w:rPr>
                                    <w:t> </w:t>
                                  </w:r>
                                  <w:r>
                                    <w:rPr>
                                      <w:spacing w:val="-2"/>
                                      <w:w w:val="105"/>
                                      <w:sz w:val="16"/>
                                    </w:rPr>
                                    <w:t>income</w:t>
                                  </w:r>
                                </w:p>
                              </w:tc>
                              <w:tc>
                                <w:tcPr>
                                  <w:tcW w:w="1230" w:type="dxa"/>
                                  <w:tcBorders>
                                    <w:top w:val="single" w:sz="12" w:space="0" w:color="000000"/>
                                  </w:tcBorders>
                                </w:tcPr>
                                <w:p>
                                  <w:pPr>
                                    <w:pStyle w:val="TableParagraph"/>
                                    <w:spacing w:line="175" w:lineRule="exact" w:before="1"/>
                                    <w:ind w:left="7" w:right="2"/>
                                    <w:jc w:val="center"/>
                                    <w:rPr>
                                      <w:sz w:val="16"/>
                                    </w:rPr>
                                  </w:pPr>
                                  <w:r>
                                    <w:rPr>
                                      <w:w w:val="105"/>
                                      <w:sz w:val="16"/>
                                    </w:rPr>
                                    <w:t>Net</w:t>
                                  </w:r>
                                  <w:r>
                                    <w:rPr>
                                      <w:spacing w:val="-8"/>
                                      <w:w w:val="105"/>
                                      <w:sz w:val="16"/>
                                    </w:rPr>
                                    <w:t> </w:t>
                                  </w:r>
                                  <w:r>
                                    <w:rPr>
                                      <w:spacing w:val="-2"/>
                                      <w:w w:val="105"/>
                                      <w:sz w:val="16"/>
                                    </w:rPr>
                                    <w:t>(loss)</w:t>
                                  </w:r>
                                </w:p>
                              </w:tc>
                              <w:tc>
                                <w:tcPr>
                                  <w:tcW w:w="1506" w:type="dxa"/>
                                  <w:tcBorders>
                                    <w:top w:val="single" w:sz="12" w:space="0" w:color="000000"/>
                                  </w:tcBorders>
                                </w:tcPr>
                                <w:p>
                                  <w:pPr>
                                    <w:pStyle w:val="TableParagraph"/>
                                    <w:spacing w:line="175" w:lineRule="exact" w:before="1"/>
                                    <w:ind w:left="59" w:right="24"/>
                                    <w:jc w:val="center"/>
                                    <w:rPr>
                                      <w:sz w:val="16"/>
                                    </w:rPr>
                                  </w:pPr>
                                  <w:r>
                                    <w:rPr>
                                      <w:sz w:val="16"/>
                                    </w:rPr>
                                    <w:t>Income</w:t>
                                  </w:r>
                                  <w:r>
                                    <w:rPr>
                                      <w:spacing w:val="15"/>
                                      <w:sz w:val="16"/>
                                    </w:rPr>
                                    <w:t> </w:t>
                                  </w:r>
                                  <w:r>
                                    <w:rPr>
                                      <w:spacing w:val="-2"/>
                                      <w:sz w:val="16"/>
                                    </w:rPr>
                                    <w:t>before</w:t>
                                  </w:r>
                                </w:p>
                              </w:tc>
                              <w:tc>
                                <w:tcPr>
                                  <w:tcW w:w="1327" w:type="dxa"/>
                                  <w:tcBorders>
                                    <w:top w:val="single" w:sz="12" w:space="0" w:color="000000"/>
                                  </w:tcBorders>
                                </w:tcPr>
                                <w:p>
                                  <w:pPr>
                                    <w:pStyle w:val="TableParagraph"/>
                                    <w:rPr>
                                      <w:sz w:val="12"/>
                                    </w:rPr>
                                  </w:pPr>
                                </w:p>
                              </w:tc>
                            </w:tr>
                            <w:tr>
                              <w:trPr>
                                <w:trHeight w:val="207" w:hRule="atLeast"/>
                              </w:trPr>
                              <w:tc>
                                <w:tcPr>
                                  <w:tcW w:w="2137" w:type="dxa"/>
                                  <w:tcBorders>
                                    <w:bottom w:val="single" w:sz="6" w:space="0" w:color="000000"/>
                                  </w:tcBorders>
                                </w:tcPr>
                                <w:p>
                                  <w:pPr>
                                    <w:pStyle w:val="TableParagraph"/>
                                    <w:spacing w:line="179" w:lineRule="exact" w:before="8"/>
                                    <w:rPr>
                                      <w:sz w:val="16"/>
                                    </w:rPr>
                                  </w:pPr>
                                  <w:r>
                                    <w:rPr>
                                      <w:w w:val="105"/>
                                      <w:sz w:val="16"/>
                                    </w:rPr>
                                    <w:t>(in</w:t>
                                  </w:r>
                                  <w:r>
                                    <w:rPr>
                                      <w:spacing w:val="-5"/>
                                      <w:w w:val="105"/>
                                      <w:sz w:val="16"/>
                                    </w:rPr>
                                    <w:t> </w:t>
                                  </w:r>
                                  <w:r>
                                    <w:rPr>
                                      <w:spacing w:val="-2"/>
                                      <w:w w:val="105"/>
                                      <w:sz w:val="16"/>
                                    </w:rPr>
                                    <w:t>millions)</w:t>
                                  </w:r>
                                </w:p>
                              </w:tc>
                              <w:tc>
                                <w:tcPr>
                                  <w:tcW w:w="2496" w:type="dxa"/>
                                  <w:tcBorders>
                                    <w:bottom w:val="single" w:sz="6" w:space="0" w:color="000000"/>
                                  </w:tcBorders>
                                </w:tcPr>
                                <w:p>
                                  <w:pPr>
                                    <w:pStyle w:val="TableParagraph"/>
                                    <w:spacing w:line="179" w:lineRule="exact" w:before="8"/>
                                    <w:ind w:left="1038"/>
                                    <w:jc w:val="center"/>
                                    <w:rPr>
                                      <w:sz w:val="16"/>
                                    </w:rPr>
                                  </w:pPr>
                                  <w:r>
                                    <w:rPr>
                                      <w:w w:val="105"/>
                                      <w:sz w:val="16"/>
                                    </w:rPr>
                                    <w:t>before</w:t>
                                  </w:r>
                                  <w:r>
                                    <w:rPr>
                                      <w:spacing w:val="-10"/>
                                      <w:w w:val="105"/>
                                      <w:sz w:val="16"/>
                                    </w:rPr>
                                    <w:t> </w:t>
                                  </w:r>
                                  <w:r>
                                    <w:rPr>
                                      <w:spacing w:val="-5"/>
                                      <w:w w:val="105"/>
                                      <w:sz w:val="16"/>
                                    </w:rPr>
                                    <w:t>tax</w:t>
                                  </w:r>
                                </w:p>
                              </w:tc>
                              <w:tc>
                                <w:tcPr>
                                  <w:tcW w:w="1308" w:type="dxa"/>
                                  <w:tcBorders>
                                    <w:bottom w:val="single" w:sz="6" w:space="0" w:color="000000"/>
                                  </w:tcBorders>
                                </w:tcPr>
                                <w:p>
                                  <w:pPr>
                                    <w:pStyle w:val="TableParagraph"/>
                                    <w:spacing w:line="179" w:lineRule="exact" w:before="8"/>
                                    <w:ind w:left="11" w:right="1"/>
                                    <w:jc w:val="center"/>
                                    <w:rPr>
                                      <w:sz w:val="16"/>
                                    </w:rPr>
                                  </w:pPr>
                                  <w:r>
                                    <w:rPr>
                                      <w:spacing w:val="-2"/>
                                      <w:w w:val="105"/>
                                      <w:sz w:val="16"/>
                                    </w:rPr>
                                    <w:t>(loss)</w:t>
                                  </w:r>
                                </w:p>
                              </w:tc>
                              <w:tc>
                                <w:tcPr>
                                  <w:tcW w:w="1510" w:type="dxa"/>
                                  <w:tcBorders>
                                    <w:bottom w:val="single" w:sz="6" w:space="0" w:color="000000"/>
                                  </w:tcBorders>
                                </w:tcPr>
                                <w:p>
                                  <w:pPr>
                                    <w:pStyle w:val="TableParagraph"/>
                                    <w:spacing w:line="179" w:lineRule="exact" w:before="8"/>
                                    <w:ind w:left="1" w:right="28"/>
                                    <w:jc w:val="center"/>
                                    <w:rPr>
                                      <w:sz w:val="16"/>
                                    </w:rPr>
                                  </w:pPr>
                                  <w:r>
                                    <w:rPr>
                                      <w:w w:val="105"/>
                                      <w:sz w:val="16"/>
                                    </w:rPr>
                                    <w:t>before</w:t>
                                  </w:r>
                                  <w:r>
                                    <w:rPr>
                                      <w:spacing w:val="-10"/>
                                      <w:w w:val="105"/>
                                      <w:sz w:val="16"/>
                                    </w:rPr>
                                    <w:t> </w:t>
                                  </w:r>
                                  <w:r>
                                    <w:rPr>
                                      <w:spacing w:val="-5"/>
                                      <w:w w:val="105"/>
                                      <w:sz w:val="16"/>
                                    </w:rPr>
                                    <w:t>tax</w:t>
                                  </w:r>
                                </w:p>
                              </w:tc>
                              <w:tc>
                                <w:tcPr>
                                  <w:tcW w:w="1230" w:type="dxa"/>
                                  <w:tcBorders>
                                    <w:bottom w:val="single" w:sz="6" w:space="0" w:color="000000"/>
                                  </w:tcBorders>
                                </w:tcPr>
                                <w:p>
                                  <w:pPr>
                                    <w:pStyle w:val="TableParagraph"/>
                                    <w:spacing w:line="179" w:lineRule="exact" w:before="8"/>
                                    <w:ind w:left="7"/>
                                    <w:jc w:val="center"/>
                                    <w:rPr>
                                      <w:sz w:val="16"/>
                                    </w:rPr>
                                  </w:pPr>
                                  <w:r>
                                    <w:rPr>
                                      <w:spacing w:val="-2"/>
                                      <w:w w:val="105"/>
                                      <w:sz w:val="16"/>
                                    </w:rPr>
                                    <w:t>income</w:t>
                                  </w:r>
                                </w:p>
                              </w:tc>
                              <w:tc>
                                <w:tcPr>
                                  <w:tcW w:w="1506" w:type="dxa"/>
                                  <w:tcBorders>
                                    <w:bottom w:val="single" w:sz="6" w:space="0" w:color="000000"/>
                                  </w:tcBorders>
                                </w:tcPr>
                                <w:p>
                                  <w:pPr>
                                    <w:pStyle w:val="TableParagraph"/>
                                    <w:spacing w:line="179" w:lineRule="exact" w:before="8"/>
                                    <w:ind w:left="60" w:right="24"/>
                                    <w:jc w:val="center"/>
                                    <w:rPr>
                                      <w:sz w:val="16"/>
                                    </w:rPr>
                                  </w:pPr>
                                  <w:r>
                                    <w:rPr>
                                      <w:spacing w:val="-5"/>
                                      <w:w w:val="105"/>
                                      <w:sz w:val="16"/>
                                    </w:rPr>
                                    <w:t>tax</w:t>
                                  </w:r>
                                </w:p>
                              </w:tc>
                              <w:tc>
                                <w:tcPr>
                                  <w:tcW w:w="1327" w:type="dxa"/>
                                  <w:tcBorders>
                                    <w:bottom w:val="single" w:sz="6" w:space="0" w:color="000000"/>
                                  </w:tcBorders>
                                </w:tcPr>
                                <w:p>
                                  <w:pPr>
                                    <w:pStyle w:val="TableParagraph"/>
                                    <w:spacing w:line="179" w:lineRule="exact" w:before="8"/>
                                    <w:ind w:left="256"/>
                                    <w:rPr>
                                      <w:sz w:val="16"/>
                                    </w:rPr>
                                  </w:pPr>
                                  <w:r>
                                    <w:rPr>
                                      <w:w w:val="105"/>
                                      <w:sz w:val="16"/>
                                    </w:rPr>
                                    <w:t>Net</w:t>
                                  </w:r>
                                  <w:r>
                                    <w:rPr>
                                      <w:spacing w:val="-6"/>
                                      <w:w w:val="105"/>
                                      <w:sz w:val="16"/>
                                    </w:rPr>
                                    <w:t> </w:t>
                                  </w:r>
                                  <w:r>
                                    <w:rPr>
                                      <w:spacing w:val="-2"/>
                                      <w:w w:val="105"/>
                                      <w:sz w:val="16"/>
                                    </w:rPr>
                                    <w:t>income</w:t>
                                  </w:r>
                                </w:p>
                              </w:tc>
                            </w:tr>
                          </w:tbl>
                          <w:p>
                            <w:pPr>
                              <w:pStyle w:val="BodyText"/>
                            </w:pPr>
                          </w:p>
                        </w:txbxContent>
                      </wps:txbx>
                      <wps:bodyPr wrap="square" lIns="0" tIns="0" rIns="0" bIns="0" rtlCol="0">
                        <a:noAutofit/>
                      </wps:bodyPr>
                    </wps:wsp>
                  </a:graphicData>
                </a:graphic>
              </wp:anchor>
            </w:drawing>
          </mc:Choice>
          <mc:Fallback>
            <w:pict>
              <v:shape style="position:absolute;margin-left:14.83374pt;margin-top:16.414892pt;width:581.8pt;height:22.4pt;mso-position-horizontal-relative:page;mso-position-vertical-relative:paragraph;z-index:15745536" type="#_x0000_t202" id="docshape3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7"/>
                        <w:gridCol w:w="2496"/>
                        <w:gridCol w:w="1308"/>
                        <w:gridCol w:w="1510"/>
                        <w:gridCol w:w="1230"/>
                        <w:gridCol w:w="1506"/>
                        <w:gridCol w:w="1327"/>
                      </w:tblGrid>
                      <w:tr>
                        <w:trPr>
                          <w:trHeight w:val="196" w:hRule="atLeast"/>
                        </w:trPr>
                        <w:tc>
                          <w:tcPr>
                            <w:tcW w:w="2137" w:type="dxa"/>
                            <w:tcBorders>
                              <w:top w:val="single" w:sz="12" w:space="0" w:color="000000"/>
                            </w:tcBorders>
                          </w:tcPr>
                          <w:p>
                            <w:pPr>
                              <w:pStyle w:val="TableParagraph"/>
                              <w:rPr>
                                <w:sz w:val="12"/>
                              </w:rPr>
                            </w:pPr>
                          </w:p>
                        </w:tc>
                        <w:tc>
                          <w:tcPr>
                            <w:tcW w:w="2496" w:type="dxa"/>
                            <w:tcBorders>
                              <w:top w:val="single" w:sz="12" w:space="0" w:color="000000"/>
                            </w:tcBorders>
                          </w:tcPr>
                          <w:p>
                            <w:pPr>
                              <w:pStyle w:val="TableParagraph"/>
                              <w:spacing w:line="175" w:lineRule="exact" w:before="1"/>
                              <w:ind w:left="1037"/>
                              <w:jc w:val="center"/>
                              <w:rPr>
                                <w:sz w:val="16"/>
                              </w:rPr>
                            </w:pPr>
                            <w:r>
                              <w:rPr>
                                <w:sz w:val="16"/>
                              </w:rPr>
                              <w:t>Income</w:t>
                            </w:r>
                            <w:r>
                              <w:rPr>
                                <w:spacing w:val="15"/>
                                <w:sz w:val="16"/>
                              </w:rPr>
                              <w:t> </w:t>
                            </w:r>
                            <w:r>
                              <w:rPr>
                                <w:spacing w:val="-2"/>
                                <w:sz w:val="16"/>
                              </w:rPr>
                              <w:t>(loss)</w:t>
                            </w:r>
                          </w:p>
                        </w:tc>
                        <w:tc>
                          <w:tcPr>
                            <w:tcW w:w="1308" w:type="dxa"/>
                            <w:tcBorders>
                              <w:top w:val="single" w:sz="12" w:space="0" w:color="000000"/>
                            </w:tcBorders>
                          </w:tcPr>
                          <w:p>
                            <w:pPr>
                              <w:pStyle w:val="TableParagraph"/>
                              <w:spacing w:line="175" w:lineRule="exact" w:before="1"/>
                              <w:ind w:left="11"/>
                              <w:jc w:val="center"/>
                              <w:rPr>
                                <w:sz w:val="16"/>
                              </w:rPr>
                            </w:pPr>
                            <w:r>
                              <w:rPr>
                                <w:w w:val="105"/>
                                <w:sz w:val="16"/>
                              </w:rPr>
                              <w:t>Net</w:t>
                            </w:r>
                            <w:r>
                              <w:rPr>
                                <w:spacing w:val="-6"/>
                                <w:w w:val="105"/>
                                <w:sz w:val="16"/>
                              </w:rPr>
                              <w:t> </w:t>
                            </w:r>
                            <w:r>
                              <w:rPr>
                                <w:spacing w:val="-2"/>
                                <w:w w:val="105"/>
                                <w:sz w:val="16"/>
                              </w:rPr>
                              <w:t>income</w:t>
                            </w:r>
                          </w:p>
                        </w:tc>
                        <w:tc>
                          <w:tcPr>
                            <w:tcW w:w="1510" w:type="dxa"/>
                            <w:tcBorders>
                              <w:top w:val="single" w:sz="12" w:space="0" w:color="000000"/>
                            </w:tcBorders>
                          </w:tcPr>
                          <w:p>
                            <w:pPr>
                              <w:pStyle w:val="TableParagraph"/>
                              <w:spacing w:line="175" w:lineRule="exact" w:before="1"/>
                              <w:ind w:right="28"/>
                              <w:jc w:val="center"/>
                              <w:rPr>
                                <w:sz w:val="16"/>
                              </w:rPr>
                            </w:pPr>
                            <w:r>
                              <w:rPr>
                                <w:w w:val="105"/>
                                <w:sz w:val="16"/>
                              </w:rPr>
                              <w:t>(Loss)</w:t>
                            </w:r>
                            <w:r>
                              <w:rPr>
                                <w:spacing w:val="-10"/>
                                <w:w w:val="105"/>
                                <w:sz w:val="16"/>
                              </w:rPr>
                              <w:t> </w:t>
                            </w:r>
                            <w:r>
                              <w:rPr>
                                <w:spacing w:val="-2"/>
                                <w:w w:val="105"/>
                                <w:sz w:val="16"/>
                              </w:rPr>
                              <w:t>income</w:t>
                            </w:r>
                          </w:p>
                        </w:tc>
                        <w:tc>
                          <w:tcPr>
                            <w:tcW w:w="1230" w:type="dxa"/>
                            <w:tcBorders>
                              <w:top w:val="single" w:sz="12" w:space="0" w:color="000000"/>
                            </w:tcBorders>
                          </w:tcPr>
                          <w:p>
                            <w:pPr>
                              <w:pStyle w:val="TableParagraph"/>
                              <w:spacing w:line="175" w:lineRule="exact" w:before="1"/>
                              <w:ind w:left="7" w:right="2"/>
                              <w:jc w:val="center"/>
                              <w:rPr>
                                <w:sz w:val="16"/>
                              </w:rPr>
                            </w:pPr>
                            <w:r>
                              <w:rPr>
                                <w:w w:val="105"/>
                                <w:sz w:val="16"/>
                              </w:rPr>
                              <w:t>Net</w:t>
                            </w:r>
                            <w:r>
                              <w:rPr>
                                <w:spacing w:val="-8"/>
                                <w:w w:val="105"/>
                                <w:sz w:val="16"/>
                              </w:rPr>
                              <w:t> </w:t>
                            </w:r>
                            <w:r>
                              <w:rPr>
                                <w:spacing w:val="-2"/>
                                <w:w w:val="105"/>
                                <w:sz w:val="16"/>
                              </w:rPr>
                              <w:t>(loss)</w:t>
                            </w:r>
                          </w:p>
                        </w:tc>
                        <w:tc>
                          <w:tcPr>
                            <w:tcW w:w="1506" w:type="dxa"/>
                            <w:tcBorders>
                              <w:top w:val="single" w:sz="12" w:space="0" w:color="000000"/>
                            </w:tcBorders>
                          </w:tcPr>
                          <w:p>
                            <w:pPr>
                              <w:pStyle w:val="TableParagraph"/>
                              <w:spacing w:line="175" w:lineRule="exact" w:before="1"/>
                              <w:ind w:left="59" w:right="24"/>
                              <w:jc w:val="center"/>
                              <w:rPr>
                                <w:sz w:val="16"/>
                              </w:rPr>
                            </w:pPr>
                            <w:r>
                              <w:rPr>
                                <w:sz w:val="16"/>
                              </w:rPr>
                              <w:t>Income</w:t>
                            </w:r>
                            <w:r>
                              <w:rPr>
                                <w:spacing w:val="15"/>
                                <w:sz w:val="16"/>
                              </w:rPr>
                              <w:t> </w:t>
                            </w:r>
                            <w:r>
                              <w:rPr>
                                <w:spacing w:val="-2"/>
                                <w:sz w:val="16"/>
                              </w:rPr>
                              <w:t>before</w:t>
                            </w:r>
                          </w:p>
                        </w:tc>
                        <w:tc>
                          <w:tcPr>
                            <w:tcW w:w="1327" w:type="dxa"/>
                            <w:tcBorders>
                              <w:top w:val="single" w:sz="12" w:space="0" w:color="000000"/>
                            </w:tcBorders>
                          </w:tcPr>
                          <w:p>
                            <w:pPr>
                              <w:pStyle w:val="TableParagraph"/>
                              <w:rPr>
                                <w:sz w:val="12"/>
                              </w:rPr>
                            </w:pPr>
                          </w:p>
                        </w:tc>
                      </w:tr>
                      <w:tr>
                        <w:trPr>
                          <w:trHeight w:val="207" w:hRule="atLeast"/>
                        </w:trPr>
                        <w:tc>
                          <w:tcPr>
                            <w:tcW w:w="2137" w:type="dxa"/>
                            <w:tcBorders>
                              <w:bottom w:val="single" w:sz="6" w:space="0" w:color="000000"/>
                            </w:tcBorders>
                          </w:tcPr>
                          <w:p>
                            <w:pPr>
                              <w:pStyle w:val="TableParagraph"/>
                              <w:spacing w:line="179" w:lineRule="exact" w:before="8"/>
                              <w:rPr>
                                <w:sz w:val="16"/>
                              </w:rPr>
                            </w:pPr>
                            <w:r>
                              <w:rPr>
                                <w:w w:val="105"/>
                                <w:sz w:val="16"/>
                              </w:rPr>
                              <w:t>(in</w:t>
                            </w:r>
                            <w:r>
                              <w:rPr>
                                <w:spacing w:val="-5"/>
                                <w:w w:val="105"/>
                                <w:sz w:val="16"/>
                              </w:rPr>
                              <w:t> </w:t>
                            </w:r>
                            <w:r>
                              <w:rPr>
                                <w:spacing w:val="-2"/>
                                <w:w w:val="105"/>
                                <w:sz w:val="16"/>
                              </w:rPr>
                              <w:t>millions)</w:t>
                            </w:r>
                          </w:p>
                        </w:tc>
                        <w:tc>
                          <w:tcPr>
                            <w:tcW w:w="2496" w:type="dxa"/>
                            <w:tcBorders>
                              <w:bottom w:val="single" w:sz="6" w:space="0" w:color="000000"/>
                            </w:tcBorders>
                          </w:tcPr>
                          <w:p>
                            <w:pPr>
                              <w:pStyle w:val="TableParagraph"/>
                              <w:spacing w:line="179" w:lineRule="exact" w:before="8"/>
                              <w:ind w:left="1038"/>
                              <w:jc w:val="center"/>
                              <w:rPr>
                                <w:sz w:val="16"/>
                              </w:rPr>
                            </w:pPr>
                            <w:r>
                              <w:rPr>
                                <w:w w:val="105"/>
                                <w:sz w:val="16"/>
                              </w:rPr>
                              <w:t>before</w:t>
                            </w:r>
                            <w:r>
                              <w:rPr>
                                <w:spacing w:val="-10"/>
                                <w:w w:val="105"/>
                                <w:sz w:val="16"/>
                              </w:rPr>
                              <w:t> </w:t>
                            </w:r>
                            <w:r>
                              <w:rPr>
                                <w:spacing w:val="-5"/>
                                <w:w w:val="105"/>
                                <w:sz w:val="16"/>
                              </w:rPr>
                              <w:t>tax</w:t>
                            </w:r>
                          </w:p>
                        </w:tc>
                        <w:tc>
                          <w:tcPr>
                            <w:tcW w:w="1308" w:type="dxa"/>
                            <w:tcBorders>
                              <w:bottom w:val="single" w:sz="6" w:space="0" w:color="000000"/>
                            </w:tcBorders>
                          </w:tcPr>
                          <w:p>
                            <w:pPr>
                              <w:pStyle w:val="TableParagraph"/>
                              <w:spacing w:line="179" w:lineRule="exact" w:before="8"/>
                              <w:ind w:left="11" w:right="1"/>
                              <w:jc w:val="center"/>
                              <w:rPr>
                                <w:sz w:val="16"/>
                              </w:rPr>
                            </w:pPr>
                            <w:r>
                              <w:rPr>
                                <w:spacing w:val="-2"/>
                                <w:w w:val="105"/>
                                <w:sz w:val="16"/>
                              </w:rPr>
                              <w:t>(loss)</w:t>
                            </w:r>
                          </w:p>
                        </w:tc>
                        <w:tc>
                          <w:tcPr>
                            <w:tcW w:w="1510" w:type="dxa"/>
                            <w:tcBorders>
                              <w:bottom w:val="single" w:sz="6" w:space="0" w:color="000000"/>
                            </w:tcBorders>
                          </w:tcPr>
                          <w:p>
                            <w:pPr>
                              <w:pStyle w:val="TableParagraph"/>
                              <w:spacing w:line="179" w:lineRule="exact" w:before="8"/>
                              <w:ind w:left="1" w:right="28"/>
                              <w:jc w:val="center"/>
                              <w:rPr>
                                <w:sz w:val="16"/>
                              </w:rPr>
                            </w:pPr>
                            <w:r>
                              <w:rPr>
                                <w:w w:val="105"/>
                                <w:sz w:val="16"/>
                              </w:rPr>
                              <w:t>before</w:t>
                            </w:r>
                            <w:r>
                              <w:rPr>
                                <w:spacing w:val="-10"/>
                                <w:w w:val="105"/>
                                <w:sz w:val="16"/>
                              </w:rPr>
                              <w:t> </w:t>
                            </w:r>
                            <w:r>
                              <w:rPr>
                                <w:spacing w:val="-5"/>
                                <w:w w:val="105"/>
                                <w:sz w:val="16"/>
                              </w:rPr>
                              <w:t>tax</w:t>
                            </w:r>
                          </w:p>
                        </w:tc>
                        <w:tc>
                          <w:tcPr>
                            <w:tcW w:w="1230" w:type="dxa"/>
                            <w:tcBorders>
                              <w:bottom w:val="single" w:sz="6" w:space="0" w:color="000000"/>
                            </w:tcBorders>
                          </w:tcPr>
                          <w:p>
                            <w:pPr>
                              <w:pStyle w:val="TableParagraph"/>
                              <w:spacing w:line="179" w:lineRule="exact" w:before="8"/>
                              <w:ind w:left="7"/>
                              <w:jc w:val="center"/>
                              <w:rPr>
                                <w:sz w:val="16"/>
                              </w:rPr>
                            </w:pPr>
                            <w:r>
                              <w:rPr>
                                <w:spacing w:val="-2"/>
                                <w:w w:val="105"/>
                                <w:sz w:val="16"/>
                              </w:rPr>
                              <w:t>income</w:t>
                            </w:r>
                          </w:p>
                        </w:tc>
                        <w:tc>
                          <w:tcPr>
                            <w:tcW w:w="1506" w:type="dxa"/>
                            <w:tcBorders>
                              <w:bottom w:val="single" w:sz="6" w:space="0" w:color="000000"/>
                            </w:tcBorders>
                          </w:tcPr>
                          <w:p>
                            <w:pPr>
                              <w:pStyle w:val="TableParagraph"/>
                              <w:spacing w:line="179" w:lineRule="exact" w:before="8"/>
                              <w:ind w:left="60" w:right="24"/>
                              <w:jc w:val="center"/>
                              <w:rPr>
                                <w:sz w:val="16"/>
                              </w:rPr>
                            </w:pPr>
                            <w:r>
                              <w:rPr>
                                <w:spacing w:val="-5"/>
                                <w:w w:val="105"/>
                                <w:sz w:val="16"/>
                              </w:rPr>
                              <w:t>tax</w:t>
                            </w:r>
                          </w:p>
                        </w:tc>
                        <w:tc>
                          <w:tcPr>
                            <w:tcW w:w="1327" w:type="dxa"/>
                            <w:tcBorders>
                              <w:bottom w:val="single" w:sz="6" w:space="0" w:color="000000"/>
                            </w:tcBorders>
                          </w:tcPr>
                          <w:p>
                            <w:pPr>
                              <w:pStyle w:val="TableParagraph"/>
                              <w:spacing w:line="179" w:lineRule="exact" w:before="8"/>
                              <w:ind w:left="256"/>
                              <w:rPr>
                                <w:sz w:val="16"/>
                              </w:rPr>
                            </w:pPr>
                            <w:r>
                              <w:rPr>
                                <w:w w:val="105"/>
                                <w:sz w:val="16"/>
                              </w:rPr>
                              <w:t>Net</w:t>
                            </w:r>
                            <w:r>
                              <w:rPr>
                                <w:spacing w:val="-6"/>
                                <w:w w:val="105"/>
                                <w:sz w:val="16"/>
                              </w:rPr>
                              <w:t> </w:t>
                            </w:r>
                            <w:r>
                              <w:rPr>
                                <w:spacing w:val="-2"/>
                                <w:w w:val="105"/>
                                <w:sz w:val="16"/>
                              </w:rPr>
                              <w:t>income</w:t>
                            </w:r>
                          </w:p>
                        </w:tc>
                      </w:tr>
                    </w:tbl>
                    <w:p>
                      <w:pPr>
                        <w:pStyle w:val="BodyText"/>
                      </w:pPr>
                    </w:p>
                  </w:txbxContent>
                </v:textbox>
                <w10:wrap type="none"/>
              </v:shape>
            </w:pict>
          </mc:Fallback>
        </mc:AlternateContent>
      </w:r>
      <w:r>
        <w:rPr>
          <w:w w:val="105"/>
        </w:rPr>
        <w:t>The</w:t>
      </w:r>
      <w:r>
        <w:rPr>
          <w:spacing w:val="-10"/>
          <w:w w:val="105"/>
        </w:rPr>
        <w:t> </w:t>
      </w:r>
      <w:r>
        <w:rPr>
          <w:w w:val="105"/>
        </w:rPr>
        <w:t>following</w:t>
      </w:r>
      <w:r>
        <w:rPr>
          <w:spacing w:val="-9"/>
          <w:w w:val="105"/>
        </w:rPr>
        <w:t> </w:t>
      </w:r>
      <w:r>
        <w:rPr>
          <w:w w:val="105"/>
        </w:rPr>
        <w:t>table</w:t>
      </w:r>
      <w:r>
        <w:rPr>
          <w:spacing w:val="-10"/>
          <w:w w:val="105"/>
        </w:rPr>
        <w:t> </w:t>
      </w:r>
      <w:r>
        <w:rPr>
          <w:w w:val="105"/>
        </w:rPr>
        <w:t>provides</w:t>
      </w:r>
      <w:r>
        <w:rPr>
          <w:spacing w:val="-9"/>
          <w:w w:val="105"/>
        </w:rPr>
        <w:t> </w:t>
      </w:r>
      <w:r>
        <w:rPr>
          <w:w w:val="105"/>
        </w:rPr>
        <w:t>detailed</w:t>
      </w:r>
      <w:r>
        <w:rPr>
          <w:spacing w:val="-9"/>
          <w:w w:val="105"/>
        </w:rPr>
        <w:t> </w:t>
      </w:r>
      <w:r>
        <w:rPr>
          <w:w w:val="105"/>
        </w:rPr>
        <w:t>information</w:t>
      </w:r>
      <w:r>
        <w:rPr>
          <w:spacing w:val="-10"/>
          <w:w w:val="105"/>
        </w:rPr>
        <w:t> </w:t>
      </w:r>
      <w:r>
        <w:rPr>
          <w:w w:val="105"/>
        </w:rPr>
        <w:t>on</w:t>
      </w:r>
      <w:r>
        <w:rPr>
          <w:spacing w:val="-9"/>
          <w:w w:val="105"/>
        </w:rPr>
        <w:t> </w:t>
      </w:r>
      <w:r>
        <w:rPr>
          <w:w w:val="105"/>
        </w:rPr>
        <w:t>the</w:t>
      </w:r>
      <w:r>
        <w:rPr>
          <w:spacing w:val="-9"/>
          <w:w w:val="105"/>
        </w:rPr>
        <w:t> </w:t>
      </w:r>
      <w:r>
        <w:rPr>
          <w:w w:val="105"/>
        </w:rPr>
        <w:t>impact</w:t>
      </w:r>
      <w:r>
        <w:rPr>
          <w:spacing w:val="-10"/>
          <w:w w:val="105"/>
        </w:rPr>
        <w:t> </w:t>
      </w:r>
      <w:r>
        <w:rPr>
          <w:w w:val="105"/>
        </w:rPr>
        <w:t>of</w:t>
      </w:r>
      <w:r>
        <w:rPr>
          <w:spacing w:val="-9"/>
          <w:w w:val="105"/>
        </w:rPr>
        <w:t> </w:t>
      </w:r>
      <w:r>
        <w:rPr>
          <w:w w:val="105"/>
        </w:rPr>
        <w:t>our</w:t>
      </w:r>
      <w:r>
        <w:rPr>
          <w:spacing w:val="-9"/>
          <w:w w:val="105"/>
        </w:rPr>
        <w:t> </w:t>
      </w:r>
      <w:r>
        <w:rPr>
          <w:w w:val="105"/>
        </w:rPr>
        <w:t>translated</w:t>
      </w:r>
      <w:r>
        <w:rPr>
          <w:spacing w:val="-10"/>
          <w:w w:val="105"/>
        </w:rPr>
        <w:t> </w:t>
      </w:r>
      <w:r>
        <w:rPr>
          <w:w w:val="105"/>
        </w:rPr>
        <w:t>earnings</w:t>
      </w:r>
      <w:r>
        <w:rPr>
          <w:spacing w:val="-9"/>
          <w:w w:val="105"/>
        </w:rPr>
        <w:t> </w:t>
      </w:r>
      <w:r>
        <w:rPr>
          <w:w w:val="105"/>
        </w:rPr>
        <w:t>contracts</w:t>
      </w:r>
      <w:r>
        <w:rPr>
          <w:spacing w:val="-9"/>
          <w:w w:val="105"/>
        </w:rPr>
        <w:t> </w:t>
      </w:r>
      <w:r>
        <w:rPr>
          <w:w w:val="105"/>
        </w:rPr>
        <w:t>gains</w:t>
      </w:r>
      <w:r>
        <w:rPr>
          <w:spacing w:val="-10"/>
          <w:w w:val="105"/>
        </w:rPr>
        <w:t> </w:t>
      </w:r>
      <w:r>
        <w:rPr>
          <w:w w:val="105"/>
        </w:rPr>
        <w:t>and</w:t>
      </w:r>
      <w:r>
        <w:rPr>
          <w:spacing w:val="-9"/>
          <w:w w:val="105"/>
        </w:rPr>
        <w:t> </w:t>
      </w:r>
      <w:r>
        <w:rPr>
          <w:w w:val="105"/>
        </w:rPr>
        <w:t>losses</w:t>
      </w:r>
      <w:r>
        <w:rPr>
          <w:spacing w:val="-9"/>
          <w:w w:val="105"/>
        </w:rPr>
        <w:t> </w:t>
      </w:r>
      <w:r>
        <w:rPr>
          <w:w w:val="105"/>
        </w:rPr>
        <w:t>for</w:t>
      </w:r>
      <w:r>
        <w:rPr>
          <w:spacing w:val="-10"/>
          <w:w w:val="105"/>
        </w:rPr>
        <w:t> </w:t>
      </w:r>
      <w:r>
        <w:rPr>
          <w:w w:val="105"/>
        </w:rPr>
        <w:t>the</w:t>
      </w:r>
      <w:r>
        <w:rPr>
          <w:spacing w:val="-9"/>
          <w:w w:val="105"/>
        </w:rPr>
        <w:t> </w:t>
      </w:r>
      <w:r>
        <w:rPr>
          <w:w w:val="105"/>
        </w:rPr>
        <w:t>years</w:t>
      </w:r>
      <w:r>
        <w:rPr>
          <w:spacing w:val="-9"/>
          <w:w w:val="105"/>
        </w:rPr>
        <w:t> </w:t>
      </w:r>
      <w:r>
        <w:rPr>
          <w:w w:val="105"/>
        </w:rPr>
        <w:t>ended</w:t>
      </w:r>
      <w:r>
        <w:rPr>
          <w:spacing w:val="-10"/>
          <w:w w:val="105"/>
        </w:rPr>
        <w:t> </w:t>
      </w:r>
      <w:r>
        <w:rPr>
          <w:w w:val="105"/>
        </w:rPr>
        <w:t>December</w:t>
      </w:r>
      <w:r>
        <w:rPr>
          <w:spacing w:val="-9"/>
          <w:w w:val="105"/>
        </w:rPr>
        <w:t> </w:t>
      </w:r>
      <w:r>
        <w:rPr>
          <w:w w:val="105"/>
        </w:rPr>
        <w:t>31,</w:t>
      </w:r>
      <w:r>
        <w:rPr>
          <w:spacing w:val="-9"/>
          <w:w w:val="105"/>
        </w:rPr>
        <w:t> </w:t>
      </w:r>
      <w:r>
        <w:rPr>
          <w:w w:val="105"/>
        </w:rPr>
        <w:t>2021,</w:t>
      </w:r>
      <w:r>
        <w:rPr>
          <w:spacing w:val="-10"/>
          <w:w w:val="105"/>
        </w:rPr>
        <w:t> </w:t>
      </w:r>
      <w:r>
        <w:rPr>
          <w:w w:val="105"/>
        </w:rPr>
        <w:t>2020</w:t>
      </w:r>
      <w:r>
        <w:rPr>
          <w:spacing w:val="-9"/>
          <w:w w:val="105"/>
        </w:rPr>
        <w:t> </w:t>
      </w:r>
      <w:r>
        <w:rPr>
          <w:w w:val="105"/>
        </w:rPr>
        <w:t>and</w:t>
      </w:r>
      <w:r>
        <w:rPr>
          <w:spacing w:val="-9"/>
          <w:w w:val="105"/>
        </w:rPr>
        <w:t> </w:t>
      </w:r>
      <w:r>
        <w:rPr>
          <w:spacing w:val="-2"/>
          <w:w w:val="105"/>
        </w:rPr>
        <w:t>2019:</w:t>
      </w:r>
    </w:p>
    <w:p>
      <w:pPr>
        <w:pStyle w:val="BodyText"/>
        <w:rPr>
          <w:sz w:val="20"/>
        </w:rPr>
      </w:pPr>
    </w:p>
    <w:p>
      <w:pPr>
        <w:pStyle w:val="BodyText"/>
        <w:spacing w:before="117"/>
        <w:rPr>
          <w:sz w:val="2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8"/>
        <w:gridCol w:w="1555"/>
        <w:gridCol w:w="1301"/>
        <w:gridCol w:w="1475"/>
        <w:gridCol w:w="1301"/>
        <w:gridCol w:w="1375"/>
        <w:gridCol w:w="1347"/>
      </w:tblGrid>
      <w:tr>
        <w:trPr>
          <w:trHeight w:val="214" w:hRule="atLeast"/>
        </w:trPr>
        <w:tc>
          <w:tcPr>
            <w:tcW w:w="11512" w:type="dxa"/>
            <w:gridSpan w:val="7"/>
            <w:tcBorders>
              <w:bottom w:val="single" w:sz="6" w:space="0" w:color="000000"/>
            </w:tcBorders>
          </w:tcPr>
          <w:p>
            <w:pPr>
              <w:pStyle w:val="TableParagraph"/>
              <w:tabs>
                <w:tab w:pos="7209" w:val="left" w:leader="none"/>
                <w:tab w:pos="9672" w:val="left" w:leader="none"/>
              </w:tabs>
              <w:spacing w:line="179" w:lineRule="exact" w:before="3"/>
              <w:ind w:left="4432"/>
              <w:rPr>
                <w:sz w:val="16"/>
              </w:rPr>
            </w:pPr>
            <w:r>
              <w:rPr>
                <w:b/>
                <w:spacing w:val="-4"/>
                <w:w w:val="105"/>
                <w:sz w:val="16"/>
              </w:rPr>
              <w:t>2021</w:t>
            </w:r>
            <w:r>
              <w:rPr>
                <w:b/>
                <w:sz w:val="16"/>
              </w:rPr>
              <w:tab/>
            </w:r>
            <w:r>
              <w:rPr>
                <w:spacing w:val="-4"/>
                <w:w w:val="105"/>
                <w:sz w:val="16"/>
              </w:rPr>
              <w:t>2020</w:t>
            </w:r>
            <w:r>
              <w:rPr>
                <w:sz w:val="16"/>
              </w:rPr>
              <w:tab/>
            </w:r>
            <w:r>
              <w:rPr>
                <w:w w:val="105"/>
                <w:sz w:val="16"/>
              </w:rPr>
              <w:t>2021</w:t>
            </w:r>
            <w:r>
              <w:rPr>
                <w:spacing w:val="-7"/>
                <w:w w:val="105"/>
                <w:sz w:val="16"/>
              </w:rPr>
              <w:t> </w:t>
            </w:r>
            <w:r>
              <w:rPr>
                <w:w w:val="105"/>
                <w:sz w:val="16"/>
              </w:rPr>
              <w:t>vs.</w:t>
            </w:r>
            <w:r>
              <w:rPr>
                <w:spacing w:val="-6"/>
                <w:w w:val="105"/>
                <w:sz w:val="16"/>
              </w:rPr>
              <w:t> </w:t>
            </w:r>
            <w:r>
              <w:rPr>
                <w:spacing w:val="-4"/>
                <w:w w:val="105"/>
                <w:sz w:val="16"/>
              </w:rPr>
              <w:t>2020</w:t>
            </w:r>
          </w:p>
        </w:tc>
      </w:tr>
      <w:tr>
        <w:trPr>
          <w:trHeight w:val="191" w:hRule="atLeast"/>
        </w:trPr>
        <w:tc>
          <w:tcPr>
            <w:tcW w:w="3158" w:type="dxa"/>
            <w:tcBorders>
              <w:top w:val="single" w:sz="6" w:space="0" w:color="000000"/>
            </w:tcBorders>
            <w:shd w:val="clear" w:color="auto" w:fill="CCEDFF"/>
          </w:tcPr>
          <w:p>
            <w:pPr>
              <w:pStyle w:val="TableParagraph"/>
              <w:spacing w:line="180" w:lineRule="exact" w:before="2"/>
              <w:rPr>
                <w:sz w:val="16"/>
              </w:rPr>
            </w:pPr>
            <w:r>
              <w:rPr>
                <w:w w:val="105"/>
                <w:sz w:val="16"/>
              </w:rPr>
              <w:t>Hedges</w:t>
            </w:r>
            <w:r>
              <w:rPr>
                <w:spacing w:val="-11"/>
                <w:w w:val="105"/>
                <w:sz w:val="16"/>
              </w:rPr>
              <w:t> </w:t>
            </w:r>
            <w:r>
              <w:rPr>
                <w:w w:val="105"/>
                <w:sz w:val="16"/>
              </w:rPr>
              <w:t>related</w:t>
            </w:r>
            <w:r>
              <w:rPr>
                <w:spacing w:val="-10"/>
                <w:w w:val="105"/>
                <w:sz w:val="16"/>
              </w:rPr>
              <w:t> </w:t>
            </w:r>
            <w:r>
              <w:rPr>
                <w:w w:val="105"/>
                <w:sz w:val="16"/>
              </w:rPr>
              <w:t>to</w:t>
            </w:r>
            <w:r>
              <w:rPr>
                <w:spacing w:val="-10"/>
                <w:w w:val="105"/>
                <w:sz w:val="16"/>
              </w:rPr>
              <w:t> </w:t>
            </w:r>
            <w:r>
              <w:rPr>
                <w:w w:val="105"/>
                <w:sz w:val="16"/>
              </w:rPr>
              <w:t>translated</w:t>
            </w:r>
            <w:r>
              <w:rPr>
                <w:spacing w:val="-10"/>
                <w:w w:val="105"/>
                <w:sz w:val="16"/>
              </w:rPr>
              <w:t> </w:t>
            </w:r>
            <w:r>
              <w:rPr>
                <w:spacing w:val="-2"/>
                <w:w w:val="105"/>
                <w:sz w:val="16"/>
              </w:rPr>
              <w:t>earnings:</w:t>
            </w:r>
          </w:p>
        </w:tc>
        <w:tc>
          <w:tcPr>
            <w:tcW w:w="1555" w:type="dxa"/>
            <w:tcBorders>
              <w:top w:val="single" w:sz="6" w:space="0" w:color="000000"/>
            </w:tcBorders>
            <w:shd w:val="clear" w:color="auto" w:fill="CCEDFF"/>
          </w:tcPr>
          <w:p>
            <w:pPr>
              <w:pStyle w:val="TableParagraph"/>
              <w:rPr>
                <w:sz w:val="14"/>
              </w:rPr>
            </w:pPr>
          </w:p>
        </w:tc>
        <w:tc>
          <w:tcPr>
            <w:tcW w:w="1301" w:type="dxa"/>
            <w:tcBorders>
              <w:top w:val="single" w:sz="6" w:space="0" w:color="000000"/>
            </w:tcBorders>
            <w:shd w:val="clear" w:color="auto" w:fill="CCEDFF"/>
          </w:tcPr>
          <w:p>
            <w:pPr>
              <w:pStyle w:val="TableParagraph"/>
              <w:rPr>
                <w:sz w:val="14"/>
              </w:rPr>
            </w:pPr>
          </w:p>
        </w:tc>
        <w:tc>
          <w:tcPr>
            <w:tcW w:w="1475" w:type="dxa"/>
            <w:tcBorders>
              <w:top w:val="single" w:sz="6" w:space="0" w:color="000000"/>
            </w:tcBorders>
            <w:shd w:val="clear" w:color="auto" w:fill="CCEDFF"/>
          </w:tcPr>
          <w:p>
            <w:pPr>
              <w:pStyle w:val="TableParagraph"/>
              <w:rPr>
                <w:sz w:val="14"/>
              </w:rPr>
            </w:pPr>
          </w:p>
        </w:tc>
        <w:tc>
          <w:tcPr>
            <w:tcW w:w="1301" w:type="dxa"/>
            <w:tcBorders>
              <w:top w:val="single" w:sz="6" w:space="0" w:color="000000"/>
            </w:tcBorders>
            <w:shd w:val="clear" w:color="auto" w:fill="CCEDFF"/>
          </w:tcPr>
          <w:p>
            <w:pPr>
              <w:pStyle w:val="TableParagraph"/>
              <w:rPr>
                <w:sz w:val="14"/>
              </w:rPr>
            </w:pPr>
          </w:p>
        </w:tc>
        <w:tc>
          <w:tcPr>
            <w:tcW w:w="1375" w:type="dxa"/>
            <w:tcBorders>
              <w:top w:val="single" w:sz="6" w:space="0" w:color="000000"/>
            </w:tcBorders>
            <w:shd w:val="clear" w:color="auto" w:fill="CCEDFF"/>
          </w:tcPr>
          <w:p>
            <w:pPr>
              <w:pStyle w:val="TableParagraph"/>
              <w:rPr>
                <w:sz w:val="14"/>
              </w:rPr>
            </w:pPr>
          </w:p>
        </w:tc>
        <w:tc>
          <w:tcPr>
            <w:tcW w:w="1347" w:type="dxa"/>
            <w:tcBorders>
              <w:top w:val="single" w:sz="6" w:space="0" w:color="000000"/>
            </w:tcBorders>
            <w:shd w:val="clear" w:color="auto" w:fill="CCEDFF"/>
          </w:tcPr>
          <w:p>
            <w:pPr>
              <w:pStyle w:val="TableParagraph"/>
              <w:rPr>
                <w:sz w:val="14"/>
              </w:rPr>
            </w:pPr>
          </w:p>
        </w:tc>
      </w:tr>
      <w:tr>
        <w:trPr>
          <w:trHeight w:val="203" w:hRule="atLeast"/>
        </w:trPr>
        <w:tc>
          <w:tcPr>
            <w:tcW w:w="3158" w:type="dxa"/>
          </w:tcPr>
          <w:p>
            <w:pPr>
              <w:pStyle w:val="TableParagraph"/>
              <w:spacing w:line="184" w:lineRule="exact"/>
              <w:rPr>
                <w:sz w:val="14"/>
              </w:rPr>
            </w:pPr>
            <w:r>
              <w:rPr>
                <w:sz w:val="16"/>
              </w:rPr>
              <w:t>Realized</w:t>
            </w:r>
            <w:r>
              <w:rPr>
                <w:spacing w:val="11"/>
                <w:sz w:val="16"/>
              </w:rPr>
              <w:t> </w:t>
            </w:r>
            <w:r>
              <w:rPr>
                <w:sz w:val="16"/>
              </w:rPr>
              <w:t>gain</w:t>
            </w:r>
            <w:r>
              <w:rPr>
                <w:spacing w:val="12"/>
                <w:sz w:val="16"/>
              </w:rPr>
              <w:t> </w:t>
            </w:r>
            <w:r>
              <w:rPr>
                <w:sz w:val="16"/>
              </w:rPr>
              <w:t>(loss),</w:t>
            </w:r>
            <w:r>
              <w:rPr>
                <w:spacing w:val="11"/>
                <w:sz w:val="16"/>
              </w:rPr>
              <w:t> </w:t>
            </w:r>
            <w:r>
              <w:rPr>
                <w:sz w:val="16"/>
              </w:rPr>
              <w:t>net</w:t>
            </w:r>
            <w:r>
              <w:rPr>
                <w:spacing w:val="14"/>
                <w:sz w:val="16"/>
              </w:rPr>
              <w:t> </w:t>
            </w:r>
            <w:r>
              <w:rPr>
                <w:spacing w:val="-5"/>
                <w:position w:val="3"/>
                <w:sz w:val="14"/>
              </w:rPr>
              <w:t>(1)</w:t>
            </w:r>
          </w:p>
        </w:tc>
        <w:tc>
          <w:tcPr>
            <w:tcW w:w="1555" w:type="dxa"/>
          </w:tcPr>
          <w:p>
            <w:pPr>
              <w:pStyle w:val="TableParagraph"/>
              <w:tabs>
                <w:tab w:pos="993" w:val="left" w:leader="none"/>
              </w:tabs>
              <w:spacing w:line="180" w:lineRule="exact" w:before="3"/>
              <w:ind w:right="227"/>
              <w:jc w:val="right"/>
              <w:rPr>
                <w:b/>
                <w:sz w:val="16"/>
              </w:rPr>
            </w:pPr>
            <w:r>
              <w:rPr>
                <w:b/>
                <w:spacing w:val="-10"/>
                <w:w w:val="105"/>
                <w:sz w:val="16"/>
              </w:rPr>
              <w:t>$</w:t>
            </w:r>
            <w:r>
              <w:rPr>
                <w:b/>
                <w:sz w:val="16"/>
              </w:rPr>
              <w:tab/>
            </w:r>
            <w:r>
              <w:rPr>
                <w:b/>
                <w:spacing w:val="-5"/>
                <w:w w:val="105"/>
                <w:sz w:val="16"/>
              </w:rPr>
              <w:t>47</w:t>
            </w:r>
          </w:p>
        </w:tc>
        <w:tc>
          <w:tcPr>
            <w:tcW w:w="1301" w:type="dxa"/>
          </w:tcPr>
          <w:p>
            <w:pPr>
              <w:pStyle w:val="TableParagraph"/>
              <w:tabs>
                <w:tab w:pos="993" w:val="left" w:leader="none"/>
              </w:tabs>
              <w:spacing w:line="180" w:lineRule="exact" w:before="3"/>
              <w:rPr>
                <w:b/>
                <w:sz w:val="16"/>
              </w:rPr>
            </w:pPr>
            <w:r>
              <w:rPr>
                <w:b/>
                <w:spacing w:val="-10"/>
                <w:w w:val="105"/>
                <w:sz w:val="16"/>
              </w:rPr>
              <w:t>$</w:t>
            </w:r>
            <w:r>
              <w:rPr>
                <w:b/>
                <w:sz w:val="16"/>
              </w:rPr>
              <w:tab/>
            </w:r>
            <w:r>
              <w:rPr>
                <w:b/>
                <w:spacing w:val="-5"/>
                <w:w w:val="105"/>
                <w:sz w:val="16"/>
              </w:rPr>
              <w:t>36</w:t>
            </w:r>
          </w:p>
        </w:tc>
        <w:tc>
          <w:tcPr>
            <w:tcW w:w="1475" w:type="dxa"/>
          </w:tcPr>
          <w:p>
            <w:pPr>
              <w:pStyle w:val="TableParagraph"/>
              <w:tabs>
                <w:tab w:pos="1020" w:val="left" w:leader="none"/>
              </w:tabs>
              <w:spacing w:line="180" w:lineRule="exact" w:before="3"/>
              <w:ind w:right="170"/>
              <w:jc w:val="right"/>
              <w:rPr>
                <w:sz w:val="16"/>
              </w:rPr>
            </w:pPr>
            <w:r>
              <w:rPr>
                <w:spacing w:val="-10"/>
                <w:w w:val="105"/>
                <w:sz w:val="16"/>
              </w:rPr>
              <w:t>$</w:t>
            </w:r>
            <w:r>
              <w:rPr>
                <w:sz w:val="16"/>
              </w:rPr>
              <w:tab/>
            </w:r>
            <w:r>
              <w:rPr>
                <w:spacing w:val="-5"/>
                <w:w w:val="105"/>
                <w:sz w:val="16"/>
              </w:rPr>
              <w:t>(8)</w:t>
            </w:r>
          </w:p>
        </w:tc>
        <w:tc>
          <w:tcPr>
            <w:tcW w:w="1301" w:type="dxa"/>
          </w:tcPr>
          <w:p>
            <w:pPr>
              <w:pStyle w:val="TableParagraph"/>
              <w:tabs>
                <w:tab w:pos="1020" w:val="left" w:leader="none"/>
              </w:tabs>
              <w:spacing w:line="180" w:lineRule="exact" w:before="3"/>
              <w:ind w:right="83"/>
              <w:jc w:val="right"/>
              <w:rPr>
                <w:sz w:val="16"/>
              </w:rPr>
            </w:pPr>
            <w:r>
              <w:rPr>
                <w:spacing w:val="-10"/>
                <w:w w:val="105"/>
                <w:sz w:val="16"/>
              </w:rPr>
              <w:t>$</w:t>
            </w:r>
            <w:r>
              <w:rPr>
                <w:sz w:val="16"/>
              </w:rPr>
              <w:tab/>
            </w:r>
            <w:r>
              <w:rPr>
                <w:spacing w:val="-5"/>
                <w:w w:val="105"/>
                <w:sz w:val="16"/>
              </w:rPr>
              <w:t>(5)</w:t>
            </w:r>
          </w:p>
        </w:tc>
        <w:tc>
          <w:tcPr>
            <w:tcW w:w="1375" w:type="dxa"/>
          </w:tcPr>
          <w:p>
            <w:pPr>
              <w:pStyle w:val="TableParagraph"/>
              <w:tabs>
                <w:tab w:pos="980" w:val="left" w:leader="none"/>
              </w:tabs>
              <w:spacing w:line="180" w:lineRule="exact" w:before="3"/>
              <w:ind w:right="137"/>
              <w:jc w:val="right"/>
              <w:rPr>
                <w:sz w:val="16"/>
              </w:rPr>
            </w:pPr>
            <w:r>
              <w:rPr>
                <w:spacing w:val="-10"/>
                <w:w w:val="105"/>
                <w:sz w:val="16"/>
              </w:rPr>
              <w:t>$</w:t>
            </w:r>
            <w:r>
              <w:rPr>
                <w:sz w:val="16"/>
              </w:rPr>
              <w:tab/>
            </w:r>
            <w:r>
              <w:rPr>
                <w:spacing w:val="-5"/>
                <w:w w:val="105"/>
                <w:sz w:val="16"/>
              </w:rPr>
              <w:t>55</w:t>
            </w:r>
          </w:p>
        </w:tc>
        <w:tc>
          <w:tcPr>
            <w:tcW w:w="1347" w:type="dxa"/>
          </w:tcPr>
          <w:p>
            <w:pPr>
              <w:pStyle w:val="TableParagraph"/>
              <w:tabs>
                <w:tab w:pos="1070" w:val="left" w:leader="none"/>
              </w:tabs>
              <w:spacing w:line="180" w:lineRule="exact" w:before="3"/>
              <w:ind w:left="89"/>
              <w:rPr>
                <w:sz w:val="16"/>
              </w:rPr>
            </w:pPr>
            <w:r>
              <w:rPr>
                <w:spacing w:val="-10"/>
                <w:w w:val="105"/>
                <w:sz w:val="16"/>
              </w:rPr>
              <w:t>$</w:t>
            </w:r>
            <w:r>
              <w:rPr>
                <w:sz w:val="16"/>
              </w:rPr>
              <w:tab/>
            </w:r>
            <w:r>
              <w:rPr>
                <w:spacing w:val="-5"/>
                <w:w w:val="105"/>
                <w:sz w:val="16"/>
              </w:rPr>
              <w:t>41</w:t>
            </w:r>
          </w:p>
        </w:tc>
      </w:tr>
      <w:tr>
        <w:trPr>
          <w:trHeight w:val="202" w:hRule="atLeast"/>
        </w:trPr>
        <w:tc>
          <w:tcPr>
            <w:tcW w:w="3158" w:type="dxa"/>
            <w:tcBorders>
              <w:bottom w:val="single" w:sz="6" w:space="0" w:color="000000"/>
            </w:tcBorders>
            <w:shd w:val="clear" w:color="auto" w:fill="CCEDFF"/>
          </w:tcPr>
          <w:p>
            <w:pPr>
              <w:pStyle w:val="TableParagraph"/>
              <w:spacing w:line="183" w:lineRule="exact"/>
              <w:rPr>
                <w:sz w:val="14"/>
              </w:rPr>
            </w:pPr>
            <w:r>
              <w:rPr>
                <w:sz w:val="16"/>
              </w:rPr>
              <w:t>Unrealized</w:t>
            </w:r>
            <w:r>
              <w:rPr>
                <w:spacing w:val="13"/>
                <w:sz w:val="16"/>
              </w:rPr>
              <w:t> </w:t>
            </w:r>
            <w:r>
              <w:rPr>
                <w:sz w:val="16"/>
              </w:rPr>
              <w:t>gain</w:t>
            </w:r>
            <w:r>
              <w:rPr>
                <w:spacing w:val="13"/>
                <w:sz w:val="16"/>
              </w:rPr>
              <w:t> </w:t>
            </w:r>
            <w:r>
              <w:rPr>
                <w:sz w:val="16"/>
              </w:rPr>
              <w:t>(loss),</w:t>
            </w:r>
            <w:r>
              <w:rPr>
                <w:spacing w:val="13"/>
                <w:sz w:val="16"/>
              </w:rPr>
              <w:t> </w:t>
            </w:r>
            <w:r>
              <w:rPr>
                <w:sz w:val="16"/>
              </w:rPr>
              <w:t>net</w:t>
            </w:r>
            <w:r>
              <w:rPr>
                <w:spacing w:val="14"/>
                <w:sz w:val="16"/>
              </w:rPr>
              <w:t> </w:t>
            </w:r>
            <w:r>
              <w:rPr>
                <w:spacing w:val="-5"/>
                <w:position w:val="3"/>
                <w:sz w:val="14"/>
              </w:rPr>
              <w:t>(2)</w:t>
            </w:r>
          </w:p>
        </w:tc>
        <w:tc>
          <w:tcPr>
            <w:tcW w:w="1555" w:type="dxa"/>
            <w:tcBorders>
              <w:bottom w:val="single" w:sz="6" w:space="0" w:color="000000"/>
            </w:tcBorders>
            <w:shd w:val="clear" w:color="auto" w:fill="CCEDFF"/>
          </w:tcPr>
          <w:p>
            <w:pPr>
              <w:pStyle w:val="TableParagraph"/>
              <w:spacing w:line="179" w:lineRule="exact" w:before="3"/>
              <w:ind w:right="227"/>
              <w:jc w:val="right"/>
              <w:rPr>
                <w:b/>
                <w:sz w:val="16"/>
              </w:rPr>
            </w:pPr>
            <w:r>
              <w:rPr>
                <w:b/>
                <w:spacing w:val="-5"/>
                <w:w w:val="105"/>
                <w:sz w:val="16"/>
              </w:rPr>
              <w:t>307</w:t>
            </w:r>
          </w:p>
        </w:tc>
        <w:tc>
          <w:tcPr>
            <w:tcW w:w="1301" w:type="dxa"/>
            <w:tcBorders>
              <w:bottom w:val="single" w:sz="6" w:space="0" w:color="000000"/>
            </w:tcBorders>
            <w:shd w:val="clear" w:color="auto" w:fill="CCEDFF"/>
          </w:tcPr>
          <w:p>
            <w:pPr>
              <w:pStyle w:val="TableParagraph"/>
              <w:spacing w:line="179" w:lineRule="exact" w:before="3"/>
              <w:ind w:right="139"/>
              <w:jc w:val="right"/>
              <w:rPr>
                <w:b/>
                <w:sz w:val="16"/>
              </w:rPr>
            </w:pPr>
            <w:r>
              <w:rPr>
                <w:b/>
                <w:spacing w:val="-5"/>
                <w:w w:val="105"/>
                <w:sz w:val="16"/>
              </w:rPr>
              <w:t>237</w:t>
            </w:r>
          </w:p>
        </w:tc>
        <w:tc>
          <w:tcPr>
            <w:tcW w:w="1475" w:type="dxa"/>
            <w:tcBorders>
              <w:bottom w:val="single" w:sz="6" w:space="0" w:color="000000"/>
            </w:tcBorders>
            <w:shd w:val="clear" w:color="auto" w:fill="CCEDFF"/>
          </w:tcPr>
          <w:p>
            <w:pPr>
              <w:pStyle w:val="TableParagraph"/>
              <w:spacing w:line="179" w:lineRule="exact" w:before="3"/>
              <w:ind w:right="170"/>
              <w:jc w:val="right"/>
              <w:rPr>
                <w:sz w:val="16"/>
              </w:rPr>
            </w:pPr>
            <w:r>
              <w:rPr>
                <w:spacing w:val="-4"/>
                <w:w w:val="105"/>
                <w:sz w:val="16"/>
              </w:rPr>
              <w:t>(30)</w:t>
            </w:r>
          </w:p>
        </w:tc>
        <w:tc>
          <w:tcPr>
            <w:tcW w:w="1301" w:type="dxa"/>
            <w:tcBorders>
              <w:bottom w:val="single" w:sz="6" w:space="0" w:color="000000"/>
            </w:tcBorders>
            <w:shd w:val="clear" w:color="auto" w:fill="CCEDFF"/>
          </w:tcPr>
          <w:p>
            <w:pPr>
              <w:pStyle w:val="TableParagraph"/>
              <w:spacing w:line="179" w:lineRule="exact" w:before="3"/>
              <w:ind w:right="83"/>
              <w:jc w:val="right"/>
              <w:rPr>
                <w:sz w:val="16"/>
              </w:rPr>
            </w:pPr>
            <w:r>
              <w:rPr>
                <w:spacing w:val="-4"/>
                <w:w w:val="105"/>
                <w:sz w:val="16"/>
              </w:rPr>
              <w:t>(24)</w:t>
            </w:r>
          </w:p>
        </w:tc>
        <w:tc>
          <w:tcPr>
            <w:tcW w:w="1375" w:type="dxa"/>
            <w:tcBorders>
              <w:bottom w:val="single" w:sz="6" w:space="0" w:color="000000"/>
            </w:tcBorders>
            <w:shd w:val="clear" w:color="auto" w:fill="CCEDFF"/>
          </w:tcPr>
          <w:p>
            <w:pPr>
              <w:pStyle w:val="TableParagraph"/>
              <w:spacing w:line="179" w:lineRule="exact" w:before="3"/>
              <w:ind w:right="137"/>
              <w:jc w:val="right"/>
              <w:rPr>
                <w:sz w:val="16"/>
              </w:rPr>
            </w:pPr>
            <w:r>
              <w:rPr>
                <w:spacing w:val="-5"/>
                <w:w w:val="105"/>
                <w:sz w:val="16"/>
              </w:rPr>
              <w:t>337</w:t>
            </w:r>
          </w:p>
        </w:tc>
        <w:tc>
          <w:tcPr>
            <w:tcW w:w="1347" w:type="dxa"/>
            <w:tcBorders>
              <w:bottom w:val="single" w:sz="6" w:space="0" w:color="000000"/>
            </w:tcBorders>
            <w:shd w:val="clear" w:color="auto" w:fill="CCEDFF"/>
          </w:tcPr>
          <w:p>
            <w:pPr>
              <w:pStyle w:val="TableParagraph"/>
              <w:spacing w:line="179" w:lineRule="exact" w:before="3"/>
              <w:ind w:right="109"/>
              <w:jc w:val="right"/>
              <w:rPr>
                <w:sz w:val="16"/>
              </w:rPr>
            </w:pPr>
            <w:r>
              <w:rPr>
                <w:spacing w:val="-5"/>
                <w:w w:val="105"/>
                <w:sz w:val="16"/>
              </w:rPr>
              <w:t>261</w:t>
            </w:r>
          </w:p>
        </w:tc>
      </w:tr>
      <w:tr>
        <w:trPr>
          <w:trHeight w:val="403" w:hRule="atLeast"/>
        </w:trPr>
        <w:tc>
          <w:tcPr>
            <w:tcW w:w="3158" w:type="dxa"/>
            <w:tcBorders>
              <w:top w:val="single" w:sz="6" w:space="0" w:color="000000"/>
              <w:bottom w:val="double" w:sz="6" w:space="0" w:color="000000"/>
            </w:tcBorders>
          </w:tcPr>
          <w:p>
            <w:pPr>
              <w:pStyle w:val="TableParagraph"/>
              <w:spacing w:before="2"/>
              <w:rPr>
                <w:sz w:val="16"/>
              </w:rPr>
            </w:pPr>
            <w:r>
              <w:rPr>
                <w:spacing w:val="-2"/>
                <w:w w:val="105"/>
                <w:sz w:val="16"/>
              </w:rPr>
              <w:t>Total</w:t>
            </w:r>
            <w:r>
              <w:rPr>
                <w:spacing w:val="3"/>
                <w:w w:val="105"/>
                <w:sz w:val="16"/>
              </w:rPr>
              <w:t> </w:t>
            </w:r>
            <w:r>
              <w:rPr>
                <w:spacing w:val="-2"/>
                <w:w w:val="105"/>
                <w:sz w:val="16"/>
              </w:rPr>
              <w:t>translated</w:t>
            </w:r>
            <w:r>
              <w:rPr>
                <w:spacing w:val="3"/>
                <w:w w:val="105"/>
                <w:sz w:val="16"/>
              </w:rPr>
              <w:t> </w:t>
            </w:r>
            <w:r>
              <w:rPr>
                <w:spacing w:val="-2"/>
                <w:w w:val="105"/>
                <w:sz w:val="16"/>
              </w:rPr>
              <w:t>earnings</w:t>
            </w:r>
            <w:r>
              <w:rPr>
                <w:spacing w:val="3"/>
                <w:w w:val="105"/>
                <w:sz w:val="16"/>
              </w:rPr>
              <w:t> </w:t>
            </w:r>
            <w:r>
              <w:rPr>
                <w:spacing w:val="-2"/>
                <w:w w:val="105"/>
                <w:sz w:val="16"/>
              </w:rPr>
              <w:t>contract</w:t>
            </w:r>
            <w:r>
              <w:rPr>
                <w:spacing w:val="3"/>
                <w:w w:val="105"/>
                <w:sz w:val="16"/>
              </w:rPr>
              <w:t> </w:t>
            </w:r>
            <w:r>
              <w:rPr>
                <w:spacing w:val="-2"/>
                <w:w w:val="105"/>
                <w:sz w:val="16"/>
              </w:rPr>
              <w:t>gain</w:t>
            </w:r>
            <w:r>
              <w:rPr>
                <w:spacing w:val="4"/>
                <w:w w:val="105"/>
                <w:sz w:val="16"/>
              </w:rPr>
              <w:t> </w:t>
            </w:r>
            <w:r>
              <w:rPr>
                <w:spacing w:val="-2"/>
                <w:w w:val="105"/>
                <w:sz w:val="16"/>
              </w:rPr>
              <w:t>(loss),</w:t>
            </w:r>
          </w:p>
          <w:p>
            <w:pPr>
              <w:pStyle w:val="TableParagraph"/>
              <w:spacing w:line="177" w:lineRule="exact" w:before="20"/>
              <w:ind w:left="152"/>
              <w:rPr>
                <w:sz w:val="16"/>
              </w:rPr>
            </w:pPr>
            <w:r>
              <w:rPr>
                <w:spacing w:val="-5"/>
                <w:w w:val="105"/>
                <w:sz w:val="16"/>
              </w:rPr>
              <w:t>net</w:t>
            </w:r>
          </w:p>
        </w:tc>
        <w:tc>
          <w:tcPr>
            <w:tcW w:w="1555" w:type="dxa"/>
            <w:tcBorders>
              <w:top w:val="single" w:sz="6" w:space="0" w:color="000000"/>
              <w:bottom w:val="double" w:sz="6" w:space="0" w:color="000000"/>
            </w:tcBorders>
          </w:tcPr>
          <w:p>
            <w:pPr>
              <w:pStyle w:val="TableParagraph"/>
              <w:spacing w:before="22"/>
              <w:rPr>
                <w:sz w:val="16"/>
              </w:rPr>
            </w:pPr>
          </w:p>
          <w:p>
            <w:pPr>
              <w:pStyle w:val="TableParagraph"/>
              <w:tabs>
                <w:tab w:pos="910" w:val="left" w:leader="none"/>
              </w:tabs>
              <w:spacing w:line="177" w:lineRule="exact"/>
              <w:ind w:right="227"/>
              <w:jc w:val="right"/>
              <w:rPr>
                <w:b/>
                <w:sz w:val="16"/>
              </w:rPr>
            </w:pPr>
            <w:r>
              <w:rPr>
                <w:b/>
                <w:spacing w:val="-10"/>
                <w:w w:val="105"/>
                <w:sz w:val="16"/>
              </w:rPr>
              <w:t>$</w:t>
            </w:r>
            <w:r>
              <w:rPr>
                <w:b/>
                <w:sz w:val="16"/>
              </w:rPr>
              <w:tab/>
            </w:r>
            <w:r>
              <w:rPr>
                <w:b/>
                <w:spacing w:val="-5"/>
                <w:w w:val="105"/>
                <w:sz w:val="16"/>
              </w:rPr>
              <w:t>354</w:t>
            </w:r>
          </w:p>
        </w:tc>
        <w:tc>
          <w:tcPr>
            <w:tcW w:w="1301" w:type="dxa"/>
            <w:tcBorders>
              <w:top w:val="single" w:sz="6" w:space="0" w:color="000000"/>
              <w:bottom w:val="double" w:sz="6" w:space="0" w:color="000000"/>
            </w:tcBorders>
          </w:tcPr>
          <w:p>
            <w:pPr>
              <w:pStyle w:val="TableParagraph"/>
              <w:spacing w:before="22"/>
              <w:rPr>
                <w:sz w:val="16"/>
              </w:rPr>
            </w:pPr>
          </w:p>
          <w:p>
            <w:pPr>
              <w:pStyle w:val="TableParagraph"/>
              <w:tabs>
                <w:tab w:pos="910" w:val="left" w:leader="none"/>
              </w:tabs>
              <w:spacing w:line="177" w:lineRule="exact"/>
              <w:rPr>
                <w:b/>
                <w:sz w:val="16"/>
              </w:rPr>
            </w:pPr>
            <w:r>
              <w:rPr>
                <w:b/>
                <w:spacing w:val="-10"/>
                <w:w w:val="105"/>
                <w:sz w:val="16"/>
              </w:rPr>
              <w:t>$</w:t>
            </w:r>
            <w:r>
              <w:rPr>
                <w:b/>
                <w:sz w:val="16"/>
              </w:rPr>
              <w:tab/>
            </w:r>
            <w:r>
              <w:rPr>
                <w:b/>
                <w:spacing w:val="-5"/>
                <w:w w:val="105"/>
                <w:sz w:val="16"/>
              </w:rPr>
              <w:t>273</w:t>
            </w:r>
          </w:p>
        </w:tc>
        <w:tc>
          <w:tcPr>
            <w:tcW w:w="1475" w:type="dxa"/>
            <w:tcBorders>
              <w:top w:val="single" w:sz="6" w:space="0" w:color="000000"/>
              <w:bottom w:val="double" w:sz="6" w:space="0" w:color="000000"/>
            </w:tcBorders>
          </w:tcPr>
          <w:p>
            <w:pPr>
              <w:pStyle w:val="TableParagraph"/>
              <w:spacing w:before="22"/>
              <w:rPr>
                <w:sz w:val="16"/>
              </w:rPr>
            </w:pPr>
          </w:p>
          <w:p>
            <w:pPr>
              <w:pStyle w:val="TableParagraph"/>
              <w:tabs>
                <w:tab w:pos="938" w:val="left" w:leader="none"/>
              </w:tabs>
              <w:spacing w:line="177" w:lineRule="exact"/>
              <w:ind w:right="170"/>
              <w:jc w:val="right"/>
              <w:rPr>
                <w:sz w:val="16"/>
              </w:rPr>
            </w:pPr>
            <w:r>
              <w:rPr>
                <w:spacing w:val="-10"/>
                <w:w w:val="105"/>
                <w:sz w:val="16"/>
              </w:rPr>
              <w:t>$</w:t>
            </w:r>
            <w:r>
              <w:rPr>
                <w:sz w:val="16"/>
              </w:rPr>
              <w:tab/>
            </w:r>
            <w:r>
              <w:rPr>
                <w:spacing w:val="-4"/>
                <w:w w:val="105"/>
                <w:sz w:val="16"/>
              </w:rPr>
              <w:t>(38)</w:t>
            </w:r>
          </w:p>
        </w:tc>
        <w:tc>
          <w:tcPr>
            <w:tcW w:w="1301" w:type="dxa"/>
            <w:tcBorders>
              <w:top w:val="single" w:sz="6" w:space="0" w:color="000000"/>
              <w:bottom w:val="double" w:sz="6" w:space="0" w:color="000000"/>
            </w:tcBorders>
          </w:tcPr>
          <w:p>
            <w:pPr>
              <w:pStyle w:val="TableParagraph"/>
              <w:spacing w:before="22"/>
              <w:rPr>
                <w:sz w:val="16"/>
              </w:rPr>
            </w:pPr>
          </w:p>
          <w:p>
            <w:pPr>
              <w:pStyle w:val="TableParagraph"/>
              <w:tabs>
                <w:tab w:pos="938" w:val="left" w:leader="none"/>
              </w:tabs>
              <w:spacing w:line="177" w:lineRule="exact"/>
              <w:ind w:right="83"/>
              <w:jc w:val="right"/>
              <w:rPr>
                <w:sz w:val="16"/>
              </w:rPr>
            </w:pPr>
            <w:r>
              <w:rPr>
                <w:spacing w:val="-10"/>
                <w:w w:val="105"/>
                <w:sz w:val="16"/>
              </w:rPr>
              <w:t>$</w:t>
            </w:r>
            <w:r>
              <w:rPr>
                <w:sz w:val="16"/>
              </w:rPr>
              <w:tab/>
            </w:r>
            <w:r>
              <w:rPr>
                <w:spacing w:val="-4"/>
                <w:w w:val="105"/>
                <w:sz w:val="16"/>
              </w:rPr>
              <w:t>(29)</w:t>
            </w:r>
          </w:p>
        </w:tc>
        <w:tc>
          <w:tcPr>
            <w:tcW w:w="1375" w:type="dxa"/>
            <w:tcBorders>
              <w:top w:val="single" w:sz="6" w:space="0" w:color="000000"/>
              <w:bottom w:val="double" w:sz="6" w:space="0" w:color="000000"/>
            </w:tcBorders>
          </w:tcPr>
          <w:p>
            <w:pPr>
              <w:pStyle w:val="TableParagraph"/>
              <w:spacing w:before="22"/>
              <w:rPr>
                <w:sz w:val="16"/>
              </w:rPr>
            </w:pPr>
          </w:p>
          <w:p>
            <w:pPr>
              <w:pStyle w:val="TableParagraph"/>
              <w:tabs>
                <w:tab w:pos="897" w:val="left" w:leader="none"/>
              </w:tabs>
              <w:spacing w:line="177" w:lineRule="exact"/>
              <w:ind w:right="137"/>
              <w:jc w:val="right"/>
              <w:rPr>
                <w:sz w:val="16"/>
              </w:rPr>
            </w:pPr>
            <w:r>
              <w:rPr>
                <w:spacing w:val="-10"/>
                <w:w w:val="105"/>
                <w:sz w:val="16"/>
              </w:rPr>
              <w:t>$</w:t>
            </w:r>
            <w:r>
              <w:rPr>
                <w:sz w:val="16"/>
              </w:rPr>
              <w:tab/>
            </w:r>
            <w:r>
              <w:rPr>
                <w:spacing w:val="-5"/>
                <w:w w:val="105"/>
                <w:sz w:val="16"/>
              </w:rPr>
              <w:t>392</w:t>
            </w:r>
          </w:p>
        </w:tc>
        <w:tc>
          <w:tcPr>
            <w:tcW w:w="1347" w:type="dxa"/>
            <w:tcBorders>
              <w:top w:val="single" w:sz="6" w:space="0" w:color="000000"/>
              <w:bottom w:val="double" w:sz="6" w:space="0" w:color="000000"/>
            </w:tcBorders>
          </w:tcPr>
          <w:p>
            <w:pPr>
              <w:pStyle w:val="TableParagraph"/>
              <w:spacing w:before="22"/>
              <w:rPr>
                <w:sz w:val="16"/>
              </w:rPr>
            </w:pPr>
          </w:p>
          <w:p>
            <w:pPr>
              <w:pStyle w:val="TableParagraph"/>
              <w:tabs>
                <w:tab w:pos="987" w:val="left" w:leader="none"/>
              </w:tabs>
              <w:spacing w:line="177" w:lineRule="exact"/>
              <w:ind w:left="89"/>
              <w:rPr>
                <w:sz w:val="16"/>
              </w:rPr>
            </w:pPr>
            <w:r>
              <w:rPr>
                <w:spacing w:val="-10"/>
                <w:w w:val="105"/>
                <w:sz w:val="16"/>
              </w:rPr>
              <w:t>$</w:t>
            </w:r>
            <w:r>
              <w:rPr>
                <w:sz w:val="16"/>
              </w:rPr>
              <w:tab/>
            </w:r>
            <w:r>
              <w:rPr>
                <w:spacing w:val="-5"/>
                <w:w w:val="105"/>
                <w:sz w:val="16"/>
              </w:rPr>
              <w:t>302</w:t>
            </w:r>
          </w:p>
        </w:tc>
      </w:tr>
      <w:tr>
        <w:trPr>
          <w:trHeight w:val="200" w:hRule="atLeast"/>
        </w:trPr>
        <w:tc>
          <w:tcPr>
            <w:tcW w:w="3158" w:type="dxa"/>
            <w:tcBorders>
              <w:top w:val="double" w:sz="6" w:space="0" w:color="000000"/>
            </w:tcBorders>
            <w:shd w:val="clear" w:color="auto" w:fill="CCEDFF"/>
          </w:tcPr>
          <w:p>
            <w:pPr>
              <w:pStyle w:val="TableParagraph"/>
              <w:rPr>
                <w:sz w:val="12"/>
              </w:rPr>
            </w:pPr>
          </w:p>
        </w:tc>
        <w:tc>
          <w:tcPr>
            <w:tcW w:w="1555" w:type="dxa"/>
            <w:tcBorders>
              <w:top w:val="double" w:sz="6" w:space="0" w:color="000000"/>
            </w:tcBorders>
            <w:shd w:val="clear" w:color="auto" w:fill="CCEDFF"/>
          </w:tcPr>
          <w:p>
            <w:pPr>
              <w:pStyle w:val="TableParagraph"/>
              <w:rPr>
                <w:sz w:val="12"/>
              </w:rPr>
            </w:pPr>
          </w:p>
        </w:tc>
        <w:tc>
          <w:tcPr>
            <w:tcW w:w="1301" w:type="dxa"/>
            <w:tcBorders>
              <w:top w:val="double" w:sz="6" w:space="0" w:color="000000"/>
            </w:tcBorders>
            <w:shd w:val="clear" w:color="auto" w:fill="CCEDFF"/>
          </w:tcPr>
          <w:p>
            <w:pPr>
              <w:pStyle w:val="TableParagraph"/>
              <w:rPr>
                <w:sz w:val="12"/>
              </w:rPr>
            </w:pPr>
          </w:p>
        </w:tc>
        <w:tc>
          <w:tcPr>
            <w:tcW w:w="1475" w:type="dxa"/>
            <w:tcBorders>
              <w:top w:val="double" w:sz="6" w:space="0" w:color="000000"/>
            </w:tcBorders>
            <w:shd w:val="clear" w:color="auto" w:fill="CCEDFF"/>
          </w:tcPr>
          <w:p>
            <w:pPr>
              <w:pStyle w:val="TableParagraph"/>
              <w:rPr>
                <w:sz w:val="12"/>
              </w:rPr>
            </w:pPr>
          </w:p>
        </w:tc>
        <w:tc>
          <w:tcPr>
            <w:tcW w:w="1301" w:type="dxa"/>
            <w:tcBorders>
              <w:top w:val="double" w:sz="6" w:space="0" w:color="000000"/>
            </w:tcBorders>
            <w:shd w:val="clear" w:color="auto" w:fill="CCEDFF"/>
          </w:tcPr>
          <w:p>
            <w:pPr>
              <w:pStyle w:val="TableParagraph"/>
              <w:rPr>
                <w:sz w:val="12"/>
              </w:rPr>
            </w:pPr>
          </w:p>
        </w:tc>
        <w:tc>
          <w:tcPr>
            <w:tcW w:w="1375" w:type="dxa"/>
            <w:tcBorders>
              <w:top w:val="double" w:sz="6" w:space="0" w:color="000000"/>
            </w:tcBorders>
            <w:shd w:val="clear" w:color="auto" w:fill="CCEDFF"/>
          </w:tcPr>
          <w:p>
            <w:pPr>
              <w:pStyle w:val="TableParagraph"/>
              <w:rPr>
                <w:sz w:val="12"/>
              </w:rPr>
            </w:pPr>
          </w:p>
        </w:tc>
        <w:tc>
          <w:tcPr>
            <w:tcW w:w="1347" w:type="dxa"/>
            <w:tcBorders>
              <w:top w:val="double" w:sz="6" w:space="0" w:color="000000"/>
            </w:tcBorders>
            <w:shd w:val="clear" w:color="auto" w:fill="CCEDFF"/>
          </w:tcPr>
          <w:p>
            <w:pPr>
              <w:pStyle w:val="TableParagraph"/>
              <w:rPr>
                <w:sz w:val="12"/>
              </w:rPr>
            </w:pPr>
          </w:p>
        </w:tc>
      </w:tr>
      <w:tr>
        <w:trPr>
          <w:trHeight w:val="202" w:hRule="atLeast"/>
        </w:trPr>
        <w:tc>
          <w:tcPr>
            <w:tcW w:w="11512" w:type="dxa"/>
            <w:gridSpan w:val="7"/>
            <w:tcBorders>
              <w:bottom w:val="single" w:sz="6" w:space="0" w:color="000000"/>
            </w:tcBorders>
          </w:tcPr>
          <w:p>
            <w:pPr>
              <w:pStyle w:val="TableParagraph"/>
              <w:tabs>
                <w:tab w:pos="7209" w:val="left" w:leader="none"/>
                <w:tab w:pos="9672" w:val="left" w:leader="none"/>
              </w:tabs>
              <w:spacing w:line="179" w:lineRule="exact" w:before="3"/>
              <w:ind w:left="4432"/>
              <w:rPr>
                <w:sz w:val="16"/>
              </w:rPr>
            </w:pPr>
            <w:r>
              <w:rPr>
                <w:spacing w:val="-4"/>
                <w:w w:val="105"/>
                <w:sz w:val="16"/>
              </w:rPr>
              <w:t>2020</w:t>
            </w:r>
            <w:r>
              <w:rPr>
                <w:sz w:val="16"/>
              </w:rPr>
              <w:tab/>
            </w:r>
            <w:r>
              <w:rPr>
                <w:spacing w:val="-4"/>
                <w:w w:val="105"/>
                <w:sz w:val="16"/>
              </w:rPr>
              <w:t>2019</w:t>
            </w:r>
            <w:r>
              <w:rPr>
                <w:sz w:val="16"/>
              </w:rPr>
              <w:tab/>
            </w:r>
            <w:r>
              <w:rPr>
                <w:w w:val="105"/>
                <w:sz w:val="16"/>
              </w:rPr>
              <w:t>2020</w:t>
            </w:r>
            <w:r>
              <w:rPr>
                <w:spacing w:val="-7"/>
                <w:w w:val="105"/>
                <w:sz w:val="16"/>
              </w:rPr>
              <w:t> </w:t>
            </w:r>
            <w:r>
              <w:rPr>
                <w:w w:val="105"/>
                <w:sz w:val="16"/>
              </w:rPr>
              <w:t>vs.</w:t>
            </w:r>
            <w:r>
              <w:rPr>
                <w:spacing w:val="-6"/>
                <w:w w:val="105"/>
                <w:sz w:val="16"/>
              </w:rPr>
              <w:t> </w:t>
            </w:r>
            <w:r>
              <w:rPr>
                <w:spacing w:val="-4"/>
                <w:w w:val="105"/>
                <w:sz w:val="16"/>
              </w:rPr>
              <w:t>2019</w:t>
            </w:r>
          </w:p>
        </w:tc>
      </w:tr>
      <w:tr>
        <w:trPr>
          <w:trHeight w:val="202" w:hRule="atLeast"/>
        </w:trPr>
        <w:tc>
          <w:tcPr>
            <w:tcW w:w="4713" w:type="dxa"/>
            <w:gridSpan w:val="2"/>
            <w:tcBorders>
              <w:top w:val="single" w:sz="6" w:space="0" w:color="000000"/>
            </w:tcBorders>
            <w:shd w:val="clear" w:color="auto" w:fill="CCEDFF"/>
          </w:tcPr>
          <w:p>
            <w:pPr>
              <w:pStyle w:val="TableParagraph"/>
              <w:spacing w:line="180" w:lineRule="exact" w:before="2"/>
              <w:rPr>
                <w:sz w:val="16"/>
              </w:rPr>
            </w:pPr>
            <w:r>
              <w:rPr>
                <w:w w:val="105"/>
                <w:sz w:val="16"/>
              </w:rPr>
              <w:t>Hedges</w:t>
            </w:r>
            <w:r>
              <w:rPr>
                <w:spacing w:val="-11"/>
                <w:w w:val="105"/>
                <w:sz w:val="16"/>
              </w:rPr>
              <w:t> </w:t>
            </w:r>
            <w:r>
              <w:rPr>
                <w:w w:val="105"/>
                <w:sz w:val="16"/>
              </w:rPr>
              <w:t>related</w:t>
            </w:r>
            <w:r>
              <w:rPr>
                <w:spacing w:val="-10"/>
                <w:w w:val="105"/>
                <w:sz w:val="16"/>
              </w:rPr>
              <w:t> </w:t>
            </w:r>
            <w:r>
              <w:rPr>
                <w:w w:val="105"/>
                <w:sz w:val="16"/>
              </w:rPr>
              <w:t>to</w:t>
            </w:r>
            <w:r>
              <w:rPr>
                <w:spacing w:val="-10"/>
                <w:w w:val="105"/>
                <w:sz w:val="16"/>
              </w:rPr>
              <w:t> </w:t>
            </w:r>
            <w:r>
              <w:rPr>
                <w:w w:val="105"/>
                <w:sz w:val="16"/>
              </w:rPr>
              <w:t>translated</w:t>
            </w:r>
            <w:r>
              <w:rPr>
                <w:spacing w:val="-10"/>
                <w:w w:val="105"/>
                <w:sz w:val="16"/>
              </w:rPr>
              <w:t> </w:t>
            </w:r>
            <w:r>
              <w:rPr>
                <w:spacing w:val="-2"/>
                <w:w w:val="105"/>
                <w:sz w:val="16"/>
              </w:rPr>
              <w:t>earnings:</w:t>
            </w:r>
          </w:p>
        </w:tc>
        <w:tc>
          <w:tcPr>
            <w:tcW w:w="1301" w:type="dxa"/>
            <w:tcBorders>
              <w:top w:val="single" w:sz="6" w:space="0" w:color="000000"/>
            </w:tcBorders>
            <w:shd w:val="clear" w:color="auto" w:fill="CCEDFF"/>
          </w:tcPr>
          <w:p>
            <w:pPr>
              <w:pStyle w:val="TableParagraph"/>
              <w:rPr>
                <w:sz w:val="14"/>
              </w:rPr>
            </w:pPr>
          </w:p>
        </w:tc>
        <w:tc>
          <w:tcPr>
            <w:tcW w:w="1475" w:type="dxa"/>
            <w:tcBorders>
              <w:top w:val="single" w:sz="6" w:space="0" w:color="000000"/>
            </w:tcBorders>
            <w:shd w:val="clear" w:color="auto" w:fill="CCEDFF"/>
          </w:tcPr>
          <w:p>
            <w:pPr>
              <w:pStyle w:val="TableParagraph"/>
              <w:rPr>
                <w:sz w:val="14"/>
              </w:rPr>
            </w:pPr>
          </w:p>
        </w:tc>
        <w:tc>
          <w:tcPr>
            <w:tcW w:w="1301" w:type="dxa"/>
            <w:tcBorders>
              <w:top w:val="single" w:sz="6" w:space="0" w:color="000000"/>
            </w:tcBorders>
            <w:shd w:val="clear" w:color="auto" w:fill="CCEDFF"/>
          </w:tcPr>
          <w:p>
            <w:pPr>
              <w:pStyle w:val="TableParagraph"/>
              <w:rPr>
                <w:sz w:val="14"/>
              </w:rPr>
            </w:pPr>
          </w:p>
        </w:tc>
        <w:tc>
          <w:tcPr>
            <w:tcW w:w="1375" w:type="dxa"/>
            <w:tcBorders>
              <w:top w:val="single" w:sz="6" w:space="0" w:color="000000"/>
            </w:tcBorders>
            <w:shd w:val="clear" w:color="auto" w:fill="CCEDFF"/>
          </w:tcPr>
          <w:p>
            <w:pPr>
              <w:pStyle w:val="TableParagraph"/>
              <w:rPr>
                <w:sz w:val="14"/>
              </w:rPr>
            </w:pPr>
          </w:p>
        </w:tc>
        <w:tc>
          <w:tcPr>
            <w:tcW w:w="1347" w:type="dxa"/>
            <w:tcBorders>
              <w:top w:val="single" w:sz="6" w:space="0" w:color="000000"/>
            </w:tcBorders>
            <w:shd w:val="clear" w:color="auto" w:fill="CCEDFF"/>
          </w:tcPr>
          <w:p>
            <w:pPr>
              <w:pStyle w:val="TableParagraph"/>
              <w:rPr>
                <w:sz w:val="14"/>
              </w:rPr>
            </w:pPr>
          </w:p>
        </w:tc>
      </w:tr>
      <w:tr>
        <w:trPr>
          <w:trHeight w:val="203" w:hRule="atLeast"/>
        </w:trPr>
        <w:tc>
          <w:tcPr>
            <w:tcW w:w="4713" w:type="dxa"/>
            <w:gridSpan w:val="2"/>
          </w:tcPr>
          <w:p>
            <w:pPr>
              <w:pStyle w:val="TableParagraph"/>
              <w:tabs>
                <w:tab w:pos="3324" w:val="left" w:leader="none"/>
                <w:tab w:pos="4345" w:val="left" w:leader="none"/>
              </w:tabs>
              <w:spacing w:line="184" w:lineRule="exact"/>
              <w:rPr>
                <w:sz w:val="16"/>
              </w:rPr>
            </w:pPr>
            <w:r>
              <w:rPr>
                <w:w w:val="105"/>
                <w:sz w:val="16"/>
              </w:rPr>
              <w:t>Realized</w:t>
            </w:r>
            <w:r>
              <w:rPr>
                <w:spacing w:val="-9"/>
                <w:w w:val="105"/>
                <w:sz w:val="16"/>
              </w:rPr>
              <w:t> </w:t>
            </w:r>
            <w:r>
              <w:rPr>
                <w:w w:val="105"/>
                <w:sz w:val="16"/>
              </w:rPr>
              <w:t>(loss)</w:t>
            </w:r>
            <w:r>
              <w:rPr>
                <w:spacing w:val="-8"/>
                <w:w w:val="105"/>
                <w:sz w:val="16"/>
              </w:rPr>
              <w:t> </w:t>
            </w:r>
            <w:r>
              <w:rPr>
                <w:w w:val="105"/>
                <w:sz w:val="16"/>
              </w:rPr>
              <w:t>gain,</w:t>
            </w:r>
            <w:r>
              <w:rPr>
                <w:spacing w:val="-8"/>
                <w:w w:val="105"/>
                <w:sz w:val="16"/>
              </w:rPr>
              <w:t> </w:t>
            </w:r>
            <w:r>
              <w:rPr>
                <w:w w:val="105"/>
                <w:sz w:val="16"/>
              </w:rPr>
              <w:t>net</w:t>
            </w:r>
            <w:r>
              <w:rPr>
                <w:spacing w:val="-6"/>
                <w:w w:val="105"/>
                <w:sz w:val="16"/>
              </w:rPr>
              <w:t> </w:t>
            </w:r>
            <w:r>
              <w:rPr>
                <w:spacing w:val="-5"/>
                <w:w w:val="105"/>
                <w:position w:val="3"/>
                <w:sz w:val="14"/>
              </w:rPr>
              <w:t>(1)</w:t>
            </w:r>
            <w:r>
              <w:rPr>
                <w:position w:val="3"/>
                <w:sz w:val="14"/>
              </w:rPr>
              <w:tab/>
            </w:r>
            <w:r>
              <w:rPr>
                <w:spacing w:val="-10"/>
                <w:w w:val="105"/>
                <w:sz w:val="16"/>
              </w:rPr>
              <w:t>$</w:t>
            </w:r>
            <w:r>
              <w:rPr>
                <w:sz w:val="16"/>
              </w:rPr>
              <w:tab/>
            </w:r>
            <w:r>
              <w:rPr>
                <w:spacing w:val="-5"/>
                <w:w w:val="105"/>
                <w:sz w:val="16"/>
              </w:rPr>
              <w:t>(8)</w:t>
            </w:r>
          </w:p>
        </w:tc>
        <w:tc>
          <w:tcPr>
            <w:tcW w:w="1301" w:type="dxa"/>
          </w:tcPr>
          <w:p>
            <w:pPr>
              <w:pStyle w:val="TableParagraph"/>
              <w:tabs>
                <w:tab w:pos="1021" w:val="left" w:leader="none"/>
              </w:tabs>
              <w:spacing w:line="180" w:lineRule="exact" w:before="3"/>
              <w:rPr>
                <w:sz w:val="16"/>
              </w:rPr>
            </w:pPr>
            <w:r>
              <w:rPr>
                <w:spacing w:val="-10"/>
                <w:w w:val="105"/>
                <w:sz w:val="16"/>
              </w:rPr>
              <w:t>$</w:t>
            </w:r>
            <w:r>
              <w:rPr>
                <w:sz w:val="16"/>
              </w:rPr>
              <w:tab/>
            </w:r>
            <w:r>
              <w:rPr>
                <w:spacing w:val="-5"/>
                <w:w w:val="105"/>
                <w:sz w:val="16"/>
              </w:rPr>
              <w:t>(5)</w:t>
            </w:r>
          </w:p>
        </w:tc>
        <w:tc>
          <w:tcPr>
            <w:tcW w:w="1475" w:type="dxa"/>
          </w:tcPr>
          <w:p>
            <w:pPr>
              <w:pStyle w:val="TableParagraph"/>
              <w:tabs>
                <w:tab w:pos="993" w:val="left" w:leader="none"/>
              </w:tabs>
              <w:spacing w:line="180" w:lineRule="exact" w:before="3"/>
              <w:ind w:right="226"/>
              <w:jc w:val="right"/>
              <w:rPr>
                <w:sz w:val="16"/>
              </w:rPr>
            </w:pPr>
            <w:r>
              <w:rPr>
                <w:spacing w:val="-10"/>
                <w:w w:val="105"/>
                <w:sz w:val="16"/>
              </w:rPr>
              <w:t>$</w:t>
            </w:r>
            <w:r>
              <w:rPr>
                <w:sz w:val="16"/>
              </w:rPr>
              <w:tab/>
            </w:r>
            <w:r>
              <w:rPr>
                <w:spacing w:val="-5"/>
                <w:w w:val="105"/>
                <w:sz w:val="16"/>
              </w:rPr>
              <w:t>18</w:t>
            </w:r>
          </w:p>
        </w:tc>
        <w:tc>
          <w:tcPr>
            <w:tcW w:w="1301" w:type="dxa"/>
          </w:tcPr>
          <w:p>
            <w:pPr>
              <w:pStyle w:val="TableParagraph"/>
              <w:tabs>
                <w:tab w:pos="993" w:val="left" w:leader="none"/>
              </w:tabs>
              <w:spacing w:line="180" w:lineRule="exact" w:before="3"/>
              <w:ind w:right="138"/>
              <w:jc w:val="right"/>
              <w:rPr>
                <w:sz w:val="16"/>
              </w:rPr>
            </w:pPr>
            <w:r>
              <w:rPr>
                <w:spacing w:val="-10"/>
                <w:w w:val="105"/>
                <w:sz w:val="16"/>
              </w:rPr>
              <w:t>$</w:t>
            </w:r>
            <w:r>
              <w:rPr>
                <w:sz w:val="16"/>
              </w:rPr>
              <w:tab/>
            </w:r>
            <w:r>
              <w:rPr>
                <w:spacing w:val="-7"/>
                <w:w w:val="105"/>
                <w:sz w:val="16"/>
              </w:rPr>
              <w:t>14</w:t>
            </w:r>
          </w:p>
        </w:tc>
        <w:tc>
          <w:tcPr>
            <w:tcW w:w="1375" w:type="dxa"/>
          </w:tcPr>
          <w:p>
            <w:pPr>
              <w:pStyle w:val="TableParagraph"/>
              <w:tabs>
                <w:tab w:pos="925" w:val="left" w:leader="none"/>
              </w:tabs>
              <w:spacing w:line="180" w:lineRule="exact" w:before="3"/>
              <w:ind w:right="82"/>
              <w:jc w:val="right"/>
              <w:rPr>
                <w:sz w:val="16"/>
              </w:rPr>
            </w:pPr>
            <w:r>
              <w:rPr>
                <w:spacing w:val="-10"/>
                <w:w w:val="105"/>
                <w:sz w:val="16"/>
              </w:rPr>
              <w:t>$</w:t>
            </w:r>
            <w:r>
              <w:rPr>
                <w:sz w:val="16"/>
              </w:rPr>
              <w:tab/>
            </w:r>
            <w:r>
              <w:rPr>
                <w:spacing w:val="-4"/>
                <w:w w:val="105"/>
                <w:sz w:val="16"/>
              </w:rPr>
              <w:t>(26)</w:t>
            </w:r>
          </w:p>
        </w:tc>
        <w:tc>
          <w:tcPr>
            <w:tcW w:w="1347" w:type="dxa"/>
          </w:tcPr>
          <w:p>
            <w:pPr>
              <w:pStyle w:val="TableParagraph"/>
              <w:tabs>
                <w:tab w:pos="925" w:val="left" w:leader="none"/>
              </w:tabs>
              <w:spacing w:line="180" w:lineRule="exact" w:before="3"/>
              <w:ind w:right="55"/>
              <w:jc w:val="right"/>
              <w:rPr>
                <w:sz w:val="16"/>
              </w:rPr>
            </w:pPr>
            <w:r>
              <w:rPr>
                <w:spacing w:val="-10"/>
                <w:w w:val="105"/>
                <w:sz w:val="16"/>
              </w:rPr>
              <w:t>$</w:t>
            </w:r>
            <w:r>
              <w:rPr>
                <w:sz w:val="16"/>
              </w:rPr>
              <w:tab/>
            </w:r>
            <w:r>
              <w:rPr>
                <w:spacing w:val="-4"/>
                <w:w w:val="105"/>
                <w:sz w:val="16"/>
              </w:rPr>
              <w:t>(19)</w:t>
            </w:r>
          </w:p>
        </w:tc>
      </w:tr>
      <w:tr>
        <w:trPr>
          <w:trHeight w:val="202" w:hRule="atLeast"/>
        </w:trPr>
        <w:tc>
          <w:tcPr>
            <w:tcW w:w="4713" w:type="dxa"/>
            <w:gridSpan w:val="2"/>
            <w:tcBorders>
              <w:bottom w:val="single" w:sz="6" w:space="0" w:color="000000"/>
            </w:tcBorders>
            <w:shd w:val="clear" w:color="auto" w:fill="CCEDFF"/>
          </w:tcPr>
          <w:p>
            <w:pPr>
              <w:pStyle w:val="TableParagraph"/>
              <w:tabs>
                <w:tab w:pos="4262" w:val="left" w:leader="none"/>
              </w:tabs>
              <w:spacing w:line="183" w:lineRule="exact"/>
              <w:rPr>
                <w:sz w:val="16"/>
              </w:rPr>
            </w:pPr>
            <w:r>
              <w:rPr>
                <w:w w:val="105"/>
                <w:sz w:val="16"/>
              </w:rPr>
              <w:t>Unrealized</w:t>
            </w:r>
            <w:r>
              <w:rPr>
                <w:spacing w:val="-9"/>
                <w:w w:val="105"/>
                <w:sz w:val="16"/>
              </w:rPr>
              <w:t> </w:t>
            </w:r>
            <w:r>
              <w:rPr>
                <w:w w:val="105"/>
                <w:sz w:val="16"/>
              </w:rPr>
              <w:t>(loss)</w:t>
            </w:r>
            <w:r>
              <w:rPr>
                <w:spacing w:val="-8"/>
                <w:w w:val="105"/>
                <w:sz w:val="16"/>
              </w:rPr>
              <w:t> </w:t>
            </w:r>
            <w:r>
              <w:rPr>
                <w:w w:val="105"/>
                <w:sz w:val="16"/>
              </w:rPr>
              <w:t>gain,</w:t>
            </w:r>
            <w:r>
              <w:rPr>
                <w:spacing w:val="-9"/>
                <w:w w:val="105"/>
                <w:sz w:val="16"/>
              </w:rPr>
              <w:t> </w:t>
            </w:r>
            <w:r>
              <w:rPr>
                <w:w w:val="105"/>
                <w:sz w:val="16"/>
              </w:rPr>
              <w:t>net</w:t>
            </w:r>
            <w:r>
              <w:rPr>
                <w:spacing w:val="-8"/>
                <w:w w:val="105"/>
                <w:sz w:val="16"/>
              </w:rPr>
              <w:t> </w:t>
            </w:r>
            <w:r>
              <w:rPr>
                <w:spacing w:val="-5"/>
                <w:w w:val="105"/>
                <w:position w:val="3"/>
                <w:sz w:val="14"/>
              </w:rPr>
              <w:t>(2)</w:t>
            </w:r>
            <w:r>
              <w:rPr>
                <w:position w:val="3"/>
                <w:sz w:val="14"/>
              </w:rPr>
              <w:tab/>
            </w:r>
            <w:r>
              <w:rPr>
                <w:spacing w:val="-4"/>
                <w:w w:val="105"/>
                <w:sz w:val="16"/>
              </w:rPr>
              <w:t>(30)</w:t>
            </w:r>
          </w:p>
        </w:tc>
        <w:tc>
          <w:tcPr>
            <w:tcW w:w="1301" w:type="dxa"/>
            <w:tcBorders>
              <w:bottom w:val="single" w:sz="6" w:space="0" w:color="000000"/>
            </w:tcBorders>
            <w:shd w:val="clear" w:color="auto" w:fill="CCEDFF"/>
          </w:tcPr>
          <w:p>
            <w:pPr>
              <w:pStyle w:val="TableParagraph"/>
              <w:spacing w:line="179" w:lineRule="exact" w:before="3"/>
              <w:ind w:right="84"/>
              <w:jc w:val="right"/>
              <w:rPr>
                <w:sz w:val="16"/>
              </w:rPr>
            </w:pPr>
            <w:r>
              <w:rPr>
                <w:spacing w:val="-4"/>
                <w:w w:val="105"/>
                <w:sz w:val="16"/>
              </w:rPr>
              <w:t>(24)</w:t>
            </w:r>
          </w:p>
        </w:tc>
        <w:tc>
          <w:tcPr>
            <w:tcW w:w="1475" w:type="dxa"/>
            <w:tcBorders>
              <w:bottom w:val="single" w:sz="6" w:space="0" w:color="000000"/>
            </w:tcBorders>
            <w:shd w:val="clear" w:color="auto" w:fill="CCEDFF"/>
          </w:tcPr>
          <w:p>
            <w:pPr>
              <w:pStyle w:val="TableParagraph"/>
              <w:spacing w:line="179" w:lineRule="exact" w:before="3"/>
              <w:ind w:right="226"/>
              <w:jc w:val="right"/>
              <w:rPr>
                <w:sz w:val="16"/>
              </w:rPr>
            </w:pPr>
            <w:r>
              <w:rPr>
                <w:spacing w:val="-5"/>
                <w:w w:val="105"/>
                <w:sz w:val="16"/>
              </w:rPr>
              <w:t>230</w:t>
            </w:r>
          </w:p>
        </w:tc>
        <w:tc>
          <w:tcPr>
            <w:tcW w:w="1301" w:type="dxa"/>
            <w:tcBorders>
              <w:bottom w:val="single" w:sz="6" w:space="0" w:color="000000"/>
            </w:tcBorders>
            <w:shd w:val="clear" w:color="auto" w:fill="CCEDFF"/>
          </w:tcPr>
          <w:p>
            <w:pPr>
              <w:pStyle w:val="TableParagraph"/>
              <w:spacing w:line="179" w:lineRule="exact" w:before="3"/>
              <w:ind w:right="138"/>
              <w:jc w:val="right"/>
              <w:rPr>
                <w:sz w:val="16"/>
              </w:rPr>
            </w:pPr>
            <w:r>
              <w:rPr>
                <w:spacing w:val="-5"/>
                <w:w w:val="105"/>
                <w:sz w:val="16"/>
              </w:rPr>
              <w:t>179</w:t>
            </w:r>
          </w:p>
        </w:tc>
        <w:tc>
          <w:tcPr>
            <w:tcW w:w="1375" w:type="dxa"/>
            <w:tcBorders>
              <w:bottom w:val="single" w:sz="6" w:space="0" w:color="000000"/>
            </w:tcBorders>
            <w:shd w:val="clear" w:color="auto" w:fill="CCEDFF"/>
          </w:tcPr>
          <w:p>
            <w:pPr>
              <w:pStyle w:val="TableParagraph"/>
              <w:spacing w:line="179" w:lineRule="exact" w:before="3"/>
              <w:ind w:right="82"/>
              <w:jc w:val="right"/>
              <w:rPr>
                <w:sz w:val="16"/>
              </w:rPr>
            </w:pPr>
            <w:r>
              <w:rPr>
                <w:spacing w:val="-2"/>
                <w:w w:val="105"/>
                <w:sz w:val="16"/>
              </w:rPr>
              <w:t>(260)</w:t>
            </w:r>
          </w:p>
        </w:tc>
        <w:tc>
          <w:tcPr>
            <w:tcW w:w="1347" w:type="dxa"/>
            <w:tcBorders>
              <w:bottom w:val="single" w:sz="6" w:space="0" w:color="000000"/>
            </w:tcBorders>
            <w:shd w:val="clear" w:color="auto" w:fill="CCEDFF"/>
          </w:tcPr>
          <w:p>
            <w:pPr>
              <w:pStyle w:val="TableParagraph"/>
              <w:spacing w:line="179" w:lineRule="exact" w:before="3"/>
              <w:ind w:right="55"/>
              <w:jc w:val="right"/>
              <w:rPr>
                <w:sz w:val="16"/>
              </w:rPr>
            </w:pPr>
            <w:r>
              <w:rPr>
                <w:spacing w:val="-2"/>
                <w:w w:val="105"/>
                <w:sz w:val="16"/>
              </w:rPr>
              <w:t>(203)</w:t>
            </w:r>
          </w:p>
        </w:tc>
      </w:tr>
      <w:tr>
        <w:trPr>
          <w:trHeight w:val="403" w:hRule="atLeast"/>
        </w:trPr>
        <w:tc>
          <w:tcPr>
            <w:tcW w:w="4713" w:type="dxa"/>
            <w:gridSpan w:val="2"/>
            <w:tcBorders>
              <w:top w:val="single" w:sz="6" w:space="0" w:color="000000"/>
              <w:bottom w:val="double" w:sz="6" w:space="0" w:color="000000"/>
            </w:tcBorders>
          </w:tcPr>
          <w:p>
            <w:pPr>
              <w:pStyle w:val="TableParagraph"/>
              <w:spacing w:before="2"/>
              <w:rPr>
                <w:sz w:val="16"/>
              </w:rPr>
            </w:pPr>
            <w:r>
              <w:rPr>
                <w:sz w:val="16"/>
              </w:rPr>
              <w:t>Total</w:t>
            </w:r>
            <w:r>
              <w:rPr>
                <w:spacing w:val="14"/>
                <w:sz w:val="16"/>
              </w:rPr>
              <w:t> </w:t>
            </w:r>
            <w:r>
              <w:rPr>
                <w:sz w:val="16"/>
              </w:rPr>
              <w:t>translated</w:t>
            </w:r>
            <w:r>
              <w:rPr>
                <w:spacing w:val="15"/>
                <w:sz w:val="16"/>
              </w:rPr>
              <w:t> </w:t>
            </w:r>
            <w:r>
              <w:rPr>
                <w:sz w:val="16"/>
              </w:rPr>
              <w:t>earnings</w:t>
            </w:r>
            <w:r>
              <w:rPr>
                <w:spacing w:val="14"/>
                <w:sz w:val="16"/>
              </w:rPr>
              <w:t> </w:t>
            </w:r>
            <w:r>
              <w:rPr>
                <w:sz w:val="16"/>
              </w:rPr>
              <w:t>contract</w:t>
            </w:r>
            <w:r>
              <w:rPr>
                <w:spacing w:val="15"/>
                <w:sz w:val="16"/>
              </w:rPr>
              <w:t> </w:t>
            </w:r>
            <w:r>
              <w:rPr>
                <w:sz w:val="16"/>
              </w:rPr>
              <w:t>(loss)</w:t>
            </w:r>
            <w:r>
              <w:rPr>
                <w:spacing w:val="15"/>
                <w:sz w:val="16"/>
              </w:rPr>
              <w:t> </w:t>
            </w:r>
            <w:r>
              <w:rPr>
                <w:spacing w:val="-2"/>
                <w:sz w:val="16"/>
              </w:rPr>
              <w:t>gain,</w:t>
            </w:r>
          </w:p>
          <w:p>
            <w:pPr>
              <w:pStyle w:val="TableParagraph"/>
              <w:tabs>
                <w:tab w:pos="3324" w:val="left" w:leader="none"/>
                <w:tab w:pos="4262" w:val="left" w:leader="none"/>
              </w:tabs>
              <w:spacing w:line="177" w:lineRule="exact" w:before="20"/>
              <w:ind w:left="152"/>
              <w:rPr>
                <w:sz w:val="16"/>
              </w:rPr>
            </w:pPr>
            <w:r>
              <w:rPr>
                <w:spacing w:val="-5"/>
                <w:w w:val="105"/>
                <w:sz w:val="16"/>
              </w:rPr>
              <w:t>net</w:t>
            </w:r>
            <w:r>
              <w:rPr>
                <w:sz w:val="16"/>
              </w:rPr>
              <w:tab/>
            </w:r>
            <w:r>
              <w:rPr>
                <w:spacing w:val="-10"/>
                <w:w w:val="105"/>
                <w:sz w:val="16"/>
              </w:rPr>
              <w:t>$</w:t>
            </w:r>
            <w:r>
              <w:rPr>
                <w:sz w:val="16"/>
              </w:rPr>
              <w:tab/>
            </w:r>
            <w:r>
              <w:rPr>
                <w:spacing w:val="-4"/>
                <w:w w:val="105"/>
                <w:sz w:val="16"/>
              </w:rPr>
              <w:t>(38)</w:t>
            </w:r>
          </w:p>
        </w:tc>
        <w:tc>
          <w:tcPr>
            <w:tcW w:w="1301" w:type="dxa"/>
            <w:tcBorders>
              <w:top w:val="single" w:sz="6" w:space="0" w:color="000000"/>
              <w:bottom w:val="double" w:sz="6" w:space="0" w:color="000000"/>
            </w:tcBorders>
          </w:tcPr>
          <w:p>
            <w:pPr>
              <w:pStyle w:val="TableParagraph"/>
              <w:spacing w:before="22"/>
              <w:rPr>
                <w:sz w:val="16"/>
              </w:rPr>
            </w:pPr>
          </w:p>
          <w:p>
            <w:pPr>
              <w:pStyle w:val="TableParagraph"/>
              <w:tabs>
                <w:tab w:pos="938" w:val="left" w:leader="none"/>
              </w:tabs>
              <w:spacing w:line="177" w:lineRule="exact"/>
              <w:rPr>
                <w:sz w:val="16"/>
              </w:rPr>
            </w:pPr>
            <w:r>
              <w:rPr>
                <w:spacing w:val="-10"/>
                <w:w w:val="105"/>
                <w:sz w:val="16"/>
              </w:rPr>
              <w:t>$</w:t>
            </w:r>
            <w:r>
              <w:rPr>
                <w:sz w:val="16"/>
              </w:rPr>
              <w:tab/>
            </w:r>
            <w:r>
              <w:rPr>
                <w:spacing w:val="-4"/>
                <w:w w:val="105"/>
                <w:sz w:val="16"/>
              </w:rPr>
              <w:t>(29)</w:t>
            </w:r>
          </w:p>
        </w:tc>
        <w:tc>
          <w:tcPr>
            <w:tcW w:w="1475" w:type="dxa"/>
            <w:tcBorders>
              <w:top w:val="single" w:sz="6" w:space="0" w:color="000000"/>
              <w:bottom w:val="double" w:sz="6" w:space="0" w:color="000000"/>
            </w:tcBorders>
          </w:tcPr>
          <w:p>
            <w:pPr>
              <w:pStyle w:val="TableParagraph"/>
              <w:spacing w:before="22"/>
              <w:rPr>
                <w:sz w:val="16"/>
              </w:rPr>
            </w:pPr>
          </w:p>
          <w:p>
            <w:pPr>
              <w:pStyle w:val="TableParagraph"/>
              <w:tabs>
                <w:tab w:pos="910" w:val="left" w:leader="none"/>
              </w:tabs>
              <w:spacing w:line="177" w:lineRule="exact"/>
              <w:ind w:right="226"/>
              <w:jc w:val="right"/>
              <w:rPr>
                <w:sz w:val="16"/>
              </w:rPr>
            </w:pPr>
            <w:r>
              <w:rPr>
                <w:spacing w:val="-10"/>
                <w:w w:val="105"/>
                <w:sz w:val="16"/>
              </w:rPr>
              <w:t>$</w:t>
            </w:r>
            <w:r>
              <w:rPr>
                <w:sz w:val="16"/>
              </w:rPr>
              <w:tab/>
            </w:r>
            <w:r>
              <w:rPr>
                <w:spacing w:val="-5"/>
                <w:w w:val="105"/>
                <w:sz w:val="16"/>
              </w:rPr>
              <w:t>248</w:t>
            </w:r>
          </w:p>
        </w:tc>
        <w:tc>
          <w:tcPr>
            <w:tcW w:w="1301" w:type="dxa"/>
            <w:tcBorders>
              <w:top w:val="single" w:sz="6" w:space="0" w:color="000000"/>
              <w:bottom w:val="double" w:sz="6" w:space="0" w:color="000000"/>
            </w:tcBorders>
          </w:tcPr>
          <w:p>
            <w:pPr>
              <w:pStyle w:val="TableParagraph"/>
              <w:spacing w:before="22"/>
              <w:rPr>
                <w:sz w:val="16"/>
              </w:rPr>
            </w:pPr>
          </w:p>
          <w:p>
            <w:pPr>
              <w:pStyle w:val="TableParagraph"/>
              <w:tabs>
                <w:tab w:pos="910" w:val="left" w:leader="none"/>
              </w:tabs>
              <w:spacing w:line="177" w:lineRule="exact"/>
              <w:ind w:right="138"/>
              <w:jc w:val="right"/>
              <w:rPr>
                <w:sz w:val="16"/>
              </w:rPr>
            </w:pPr>
            <w:r>
              <w:rPr>
                <w:spacing w:val="-10"/>
                <w:w w:val="105"/>
                <w:sz w:val="16"/>
              </w:rPr>
              <w:t>$</w:t>
            </w:r>
            <w:r>
              <w:rPr>
                <w:sz w:val="16"/>
              </w:rPr>
              <w:tab/>
            </w:r>
            <w:r>
              <w:rPr>
                <w:spacing w:val="-5"/>
                <w:w w:val="105"/>
                <w:sz w:val="16"/>
              </w:rPr>
              <w:t>193</w:t>
            </w:r>
          </w:p>
        </w:tc>
        <w:tc>
          <w:tcPr>
            <w:tcW w:w="1375" w:type="dxa"/>
            <w:tcBorders>
              <w:top w:val="single" w:sz="6" w:space="0" w:color="000000"/>
              <w:bottom w:val="double" w:sz="6" w:space="0" w:color="000000"/>
            </w:tcBorders>
          </w:tcPr>
          <w:p>
            <w:pPr>
              <w:pStyle w:val="TableParagraph"/>
              <w:spacing w:before="22"/>
              <w:rPr>
                <w:sz w:val="16"/>
              </w:rPr>
            </w:pPr>
          </w:p>
          <w:p>
            <w:pPr>
              <w:pStyle w:val="TableParagraph"/>
              <w:tabs>
                <w:tab w:pos="842" w:val="left" w:leader="none"/>
              </w:tabs>
              <w:spacing w:line="177" w:lineRule="exact"/>
              <w:ind w:right="82"/>
              <w:jc w:val="right"/>
              <w:rPr>
                <w:sz w:val="16"/>
              </w:rPr>
            </w:pPr>
            <w:r>
              <w:rPr>
                <w:spacing w:val="-10"/>
                <w:w w:val="105"/>
                <w:sz w:val="16"/>
              </w:rPr>
              <w:t>$</w:t>
            </w:r>
            <w:r>
              <w:rPr>
                <w:sz w:val="16"/>
              </w:rPr>
              <w:tab/>
            </w:r>
            <w:r>
              <w:rPr>
                <w:spacing w:val="-4"/>
                <w:w w:val="105"/>
                <w:sz w:val="16"/>
              </w:rPr>
              <w:t>(286)</w:t>
            </w:r>
          </w:p>
        </w:tc>
        <w:tc>
          <w:tcPr>
            <w:tcW w:w="1347" w:type="dxa"/>
            <w:tcBorders>
              <w:top w:val="single" w:sz="6" w:space="0" w:color="000000"/>
              <w:bottom w:val="double" w:sz="6" w:space="0" w:color="000000"/>
            </w:tcBorders>
          </w:tcPr>
          <w:p>
            <w:pPr>
              <w:pStyle w:val="TableParagraph"/>
              <w:spacing w:before="22"/>
              <w:rPr>
                <w:sz w:val="16"/>
              </w:rPr>
            </w:pPr>
          </w:p>
          <w:p>
            <w:pPr>
              <w:pStyle w:val="TableParagraph"/>
              <w:tabs>
                <w:tab w:pos="842" w:val="left" w:leader="none"/>
              </w:tabs>
              <w:spacing w:line="177" w:lineRule="exact"/>
              <w:ind w:right="55"/>
              <w:jc w:val="right"/>
              <w:rPr>
                <w:sz w:val="16"/>
              </w:rPr>
            </w:pPr>
            <w:r>
              <w:rPr>
                <w:spacing w:val="-10"/>
                <w:w w:val="105"/>
                <w:sz w:val="16"/>
              </w:rPr>
              <w:t>$</w:t>
            </w:r>
            <w:r>
              <w:rPr>
                <w:sz w:val="16"/>
              </w:rPr>
              <w:tab/>
            </w:r>
            <w:r>
              <w:rPr>
                <w:spacing w:val="-4"/>
                <w:w w:val="105"/>
                <w:sz w:val="16"/>
              </w:rPr>
              <w:t>(222)</w:t>
            </w:r>
          </w:p>
        </w:tc>
      </w:tr>
    </w:tbl>
    <w:p>
      <w:pPr>
        <w:pStyle w:val="BodyText"/>
        <w:spacing w:before="25"/>
      </w:pPr>
    </w:p>
    <w:p>
      <w:pPr>
        <w:pStyle w:val="ListParagraph"/>
        <w:numPr>
          <w:ilvl w:val="0"/>
          <w:numId w:val="10"/>
        </w:numPr>
        <w:tabs>
          <w:tab w:pos="459" w:val="left" w:leader="none"/>
          <w:tab w:pos="462" w:val="left" w:leader="none"/>
        </w:tabs>
        <w:spacing w:line="228" w:lineRule="auto" w:before="0" w:after="0"/>
        <w:ind w:left="462" w:right="313" w:hanging="306"/>
        <w:jc w:val="left"/>
        <w:rPr>
          <w:sz w:val="14"/>
        </w:rPr>
      </w:pPr>
      <w:r>
        <w:rPr>
          <w:sz w:val="14"/>
        </w:rPr>
        <w:t>Includes</w:t>
      </w:r>
      <w:r>
        <w:rPr>
          <w:spacing w:val="-1"/>
          <w:sz w:val="14"/>
        </w:rPr>
        <w:t> </w:t>
      </w:r>
      <w:r>
        <w:rPr>
          <w:sz w:val="14"/>
        </w:rPr>
        <w:t>pre-tax</w:t>
      </w:r>
      <w:r>
        <w:rPr>
          <w:spacing w:val="-1"/>
          <w:sz w:val="14"/>
        </w:rPr>
        <w:t> </w:t>
      </w:r>
      <w:r>
        <w:rPr>
          <w:sz w:val="14"/>
        </w:rPr>
        <w:t>realized</w:t>
      </w:r>
      <w:r>
        <w:rPr>
          <w:spacing w:val="-1"/>
          <w:sz w:val="14"/>
        </w:rPr>
        <w:t> </w:t>
      </w:r>
      <w:r>
        <w:rPr>
          <w:sz w:val="14"/>
        </w:rPr>
        <w:t>losses</w:t>
      </w:r>
      <w:r>
        <w:rPr>
          <w:spacing w:val="-1"/>
          <w:sz w:val="14"/>
        </w:rPr>
        <w:t> </w:t>
      </w:r>
      <w:r>
        <w:rPr>
          <w:sz w:val="14"/>
        </w:rPr>
        <w:t>related</w:t>
      </w:r>
      <w:r>
        <w:rPr>
          <w:spacing w:val="-1"/>
          <w:sz w:val="14"/>
        </w:rPr>
        <w:t> </w:t>
      </w:r>
      <w:r>
        <w:rPr>
          <w:sz w:val="14"/>
        </w:rPr>
        <w:t>to</w:t>
      </w:r>
      <w:r>
        <w:rPr>
          <w:spacing w:val="-1"/>
          <w:sz w:val="14"/>
        </w:rPr>
        <w:t> </w:t>
      </w:r>
      <w:r>
        <w:rPr>
          <w:sz w:val="14"/>
        </w:rPr>
        <w:t>the</w:t>
      </w:r>
      <w:r>
        <w:rPr>
          <w:spacing w:val="-1"/>
          <w:sz w:val="14"/>
        </w:rPr>
        <w:t> </w:t>
      </w:r>
      <w:r>
        <w:rPr>
          <w:sz w:val="14"/>
        </w:rPr>
        <w:t>expiration</w:t>
      </w:r>
      <w:r>
        <w:rPr>
          <w:spacing w:val="-1"/>
          <w:sz w:val="14"/>
        </w:rPr>
        <w:t> </w:t>
      </w:r>
      <w:r>
        <w:rPr>
          <w:sz w:val="14"/>
        </w:rPr>
        <w:t>of</w:t>
      </w:r>
      <w:r>
        <w:rPr>
          <w:spacing w:val="-1"/>
          <w:sz w:val="14"/>
        </w:rPr>
        <w:t> </w:t>
      </w:r>
      <w:r>
        <w:rPr>
          <w:sz w:val="14"/>
        </w:rPr>
        <w:t>option</w:t>
      </w:r>
      <w:r>
        <w:rPr>
          <w:spacing w:val="-1"/>
          <w:sz w:val="14"/>
        </w:rPr>
        <w:t> </w:t>
      </w:r>
      <w:r>
        <w:rPr>
          <w:sz w:val="14"/>
        </w:rPr>
        <w:t>contracts</w:t>
      </w:r>
      <w:r>
        <w:rPr>
          <w:spacing w:val="-1"/>
          <w:sz w:val="14"/>
        </w:rPr>
        <w:t> </w:t>
      </w:r>
      <w:r>
        <w:rPr>
          <w:sz w:val="14"/>
        </w:rPr>
        <w:t>for</w:t>
      </w:r>
      <w:r>
        <w:rPr>
          <w:spacing w:val="-1"/>
          <w:sz w:val="14"/>
        </w:rPr>
        <w:t> </w:t>
      </w:r>
      <w:r>
        <w:rPr>
          <w:sz w:val="14"/>
        </w:rPr>
        <w:t>the</w:t>
      </w:r>
      <w:r>
        <w:rPr>
          <w:spacing w:val="-1"/>
          <w:sz w:val="14"/>
        </w:rPr>
        <w:t> </w:t>
      </w:r>
      <w:r>
        <w:rPr>
          <w:sz w:val="14"/>
        </w:rPr>
        <w:t>year</w:t>
      </w:r>
      <w:r>
        <w:rPr>
          <w:spacing w:val="-1"/>
          <w:sz w:val="14"/>
        </w:rPr>
        <w:t> </w:t>
      </w:r>
      <w:r>
        <w:rPr>
          <w:sz w:val="14"/>
        </w:rPr>
        <w:t>ended</w:t>
      </w:r>
      <w:r>
        <w:rPr>
          <w:spacing w:val="-1"/>
          <w:sz w:val="14"/>
        </w:rPr>
        <w:t> </w:t>
      </w:r>
      <w:r>
        <w:rPr>
          <w:sz w:val="14"/>
        </w:rPr>
        <w:t>December</w:t>
      </w:r>
      <w:r>
        <w:rPr>
          <w:spacing w:val="-1"/>
          <w:sz w:val="14"/>
        </w:rPr>
        <w:t> </w:t>
      </w:r>
      <w:r>
        <w:rPr>
          <w:sz w:val="14"/>
        </w:rPr>
        <w:t>31,</w:t>
      </w:r>
      <w:r>
        <w:rPr>
          <w:spacing w:val="-1"/>
          <w:sz w:val="14"/>
        </w:rPr>
        <w:t> </w:t>
      </w:r>
      <w:r>
        <w:rPr>
          <w:sz w:val="14"/>
        </w:rPr>
        <w:t>2021,</w:t>
      </w:r>
      <w:r>
        <w:rPr>
          <w:spacing w:val="-1"/>
          <w:sz w:val="14"/>
        </w:rPr>
        <w:t> </w:t>
      </w:r>
      <w:r>
        <w:rPr>
          <w:sz w:val="14"/>
        </w:rPr>
        <w:t>2020,</w:t>
      </w:r>
      <w:r>
        <w:rPr>
          <w:spacing w:val="-1"/>
          <w:sz w:val="14"/>
        </w:rPr>
        <w:t> </w:t>
      </w:r>
      <w:r>
        <w:rPr>
          <w:sz w:val="14"/>
        </w:rPr>
        <w:t>and</w:t>
      </w:r>
      <w:r>
        <w:rPr>
          <w:spacing w:val="-1"/>
          <w:sz w:val="14"/>
        </w:rPr>
        <w:t> </w:t>
      </w:r>
      <w:r>
        <w:rPr>
          <w:sz w:val="14"/>
        </w:rPr>
        <w:t>2019</w:t>
      </w:r>
      <w:r>
        <w:rPr>
          <w:spacing w:val="-1"/>
          <w:sz w:val="14"/>
        </w:rPr>
        <w:t> </w:t>
      </w:r>
      <w:r>
        <w:rPr>
          <w:sz w:val="14"/>
        </w:rPr>
        <w:t>of</w:t>
      </w:r>
      <w:r>
        <w:rPr>
          <w:spacing w:val="-1"/>
          <w:sz w:val="14"/>
        </w:rPr>
        <w:t> </w:t>
      </w:r>
      <w:r>
        <w:rPr>
          <w:sz w:val="14"/>
        </w:rPr>
        <w:t>$20</w:t>
      </w:r>
      <w:r>
        <w:rPr>
          <w:spacing w:val="-1"/>
          <w:sz w:val="14"/>
        </w:rPr>
        <w:t> </w:t>
      </w:r>
      <w:r>
        <w:rPr>
          <w:sz w:val="14"/>
        </w:rPr>
        <w:t>million,</w:t>
      </w:r>
      <w:r>
        <w:rPr>
          <w:spacing w:val="-1"/>
          <w:sz w:val="14"/>
        </w:rPr>
        <w:t> </w:t>
      </w:r>
      <w:r>
        <w:rPr>
          <w:sz w:val="14"/>
        </w:rPr>
        <w:t>$20</w:t>
      </w:r>
      <w:r>
        <w:rPr>
          <w:spacing w:val="-1"/>
          <w:sz w:val="14"/>
        </w:rPr>
        <w:t> </w:t>
      </w:r>
      <w:r>
        <w:rPr>
          <w:sz w:val="14"/>
        </w:rPr>
        <w:t>million</w:t>
      </w:r>
      <w:r>
        <w:rPr>
          <w:spacing w:val="-1"/>
          <w:sz w:val="14"/>
        </w:rPr>
        <w:t> </w:t>
      </w:r>
      <w:r>
        <w:rPr>
          <w:sz w:val="14"/>
        </w:rPr>
        <w:t>and</w:t>
      </w:r>
      <w:r>
        <w:rPr>
          <w:spacing w:val="-1"/>
          <w:sz w:val="14"/>
        </w:rPr>
        <w:t> </w:t>
      </w:r>
      <w:r>
        <w:rPr>
          <w:sz w:val="14"/>
        </w:rPr>
        <w:t>$37</w:t>
      </w:r>
      <w:r>
        <w:rPr>
          <w:spacing w:val="-1"/>
          <w:sz w:val="14"/>
        </w:rPr>
        <w:t> </w:t>
      </w:r>
      <w:r>
        <w:rPr>
          <w:sz w:val="14"/>
        </w:rPr>
        <w:t>million,</w:t>
      </w:r>
      <w:r>
        <w:rPr>
          <w:spacing w:val="-1"/>
          <w:sz w:val="14"/>
        </w:rPr>
        <w:t> </w:t>
      </w:r>
      <w:r>
        <w:rPr>
          <w:sz w:val="14"/>
        </w:rPr>
        <w:t>respectively.</w:t>
      </w:r>
      <w:r>
        <w:rPr>
          <w:spacing w:val="33"/>
          <w:sz w:val="14"/>
        </w:rPr>
        <w:t> </w:t>
      </w:r>
      <w:r>
        <w:rPr>
          <w:sz w:val="14"/>
        </w:rPr>
        <w:t>These</w:t>
      </w:r>
      <w:r>
        <w:rPr>
          <w:spacing w:val="40"/>
          <w:sz w:val="14"/>
        </w:rPr>
        <w:t> </w:t>
      </w:r>
      <w:r>
        <w:rPr>
          <w:sz w:val="14"/>
        </w:rPr>
        <w:t>amounts were reflected in operating activities in the consolidated statements of cash flows.</w:t>
      </w:r>
    </w:p>
    <w:p>
      <w:pPr>
        <w:pStyle w:val="ListParagraph"/>
        <w:numPr>
          <w:ilvl w:val="0"/>
          <w:numId w:val="10"/>
        </w:numPr>
        <w:tabs>
          <w:tab w:pos="459" w:val="left" w:leader="none"/>
        </w:tabs>
        <w:spacing w:line="154" w:lineRule="exact" w:before="0" w:after="0"/>
        <w:ind w:left="459" w:right="0" w:hanging="303"/>
        <w:jc w:val="left"/>
        <w:rPr>
          <w:sz w:val="14"/>
        </w:rPr>
      </w:pPr>
      <w:r>
        <w:rPr>
          <w:sz w:val="14"/>
        </w:rPr>
        <w:t>The</w:t>
      </w:r>
      <w:r>
        <w:rPr>
          <w:spacing w:val="-1"/>
          <w:sz w:val="14"/>
        </w:rPr>
        <w:t> </w:t>
      </w:r>
      <w:r>
        <w:rPr>
          <w:sz w:val="14"/>
        </w:rPr>
        <w:t>impact to</w:t>
      </w:r>
      <w:r>
        <w:rPr>
          <w:spacing w:val="-1"/>
          <w:sz w:val="14"/>
        </w:rPr>
        <w:t> </w:t>
      </w:r>
      <w:r>
        <w:rPr>
          <w:sz w:val="14"/>
        </w:rPr>
        <w:t>income was primarily</w:t>
      </w:r>
      <w:r>
        <w:rPr>
          <w:spacing w:val="-1"/>
          <w:sz w:val="14"/>
        </w:rPr>
        <w:t> </w:t>
      </w:r>
      <w:r>
        <w:rPr>
          <w:sz w:val="14"/>
        </w:rPr>
        <w:t>driven by</w:t>
      </w:r>
      <w:r>
        <w:rPr>
          <w:spacing w:val="-1"/>
          <w:sz w:val="14"/>
        </w:rPr>
        <w:t> </w:t>
      </w:r>
      <w:r>
        <w:rPr>
          <w:sz w:val="14"/>
        </w:rPr>
        <w:t>Japanese yen, South</w:t>
      </w:r>
      <w:r>
        <w:rPr>
          <w:spacing w:val="-1"/>
          <w:sz w:val="14"/>
        </w:rPr>
        <w:t> </w:t>
      </w:r>
      <w:r>
        <w:rPr>
          <w:sz w:val="14"/>
        </w:rPr>
        <w:t>Korean won,</w:t>
      </w:r>
      <w:r>
        <w:rPr>
          <w:spacing w:val="-1"/>
          <w:sz w:val="14"/>
        </w:rPr>
        <w:t> </w:t>
      </w:r>
      <w:r>
        <w:rPr>
          <w:sz w:val="14"/>
        </w:rPr>
        <w:t>and euro-denominated hedges</w:t>
      </w:r>
      <w:r>
        <w:rPr>
          <w:spacing w:val="-1"/>
          <w:sz w:val="14"/>
        </w:rPr>
        <w:t> </w:t>
      </w:r>
      <w:r>
        <w:rPr>
          <w:sz w:val="14"/>
        </w:rPr>
        <w:t>of translated </w:t>
      </w:r>
      <w:r>
        <w:rPr>
          <w:spacing w:val="-2"/>
          <w:sz w:val="14"/>
        </w:rPr>
        <w:t>earnings.</w:t>
      </w:r>
    </w:p>
    <w:p>
      <w:pPr>
        <w:pStyle w:val="BodyText"/>
        <w:spacing w:before="41"/>
        <w:rPr>
          <w:sz w:val="14"/>
        </w:rPr>
      </w:pPr>
    </w:p>
    <w:p>
      <w:pPr>
        <w:pStyle w:val="BodyText"/>
        <w:ind w:left="48"/>
        <w:jc w:val="center"/>
      </w:pPr>
      <w:r>
        <w:rPr>
          <w:spacing w:val="-5"/>
          <w:w w:val="105"/>
        </w:rPr>
        <w:t>28</w:t>
      </w:r>
    </w:p>
    <w:p>
      <w:pPr>
        <w:pStyle w:val="BodyText"/>
        <w:rPr>
          <w:sz w:val="6"/>
        </w:rPr>
      </w:pPr>
      <w:r>
        <w:rPr/>
        <mc:AlternateContent>
          <mc:Choice Requires="wps">
            <w:drawing>
              <wp:anchor distT="0" distB="0" distL="0" distR="0" allowOverlap="1" layoutInCell="1" locked="0" behindDoc="1" simplePos="0" relativeHeight="487604224">
                <wp:simplePos x="0" y="0"/>
                <wp:positionH relativeFrom="page">
                  <wp:posOffset>226488</wp:posOffset>
                </wp:positionH>
                <wp:positionV relativeFrom="paragraph">
                  <wp:posOffset>59051</wp:posOffset>
                </wp:positionV>
                <wp:extent cx="7312659" cy="1651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12256;mso-wrap-distance-left:0;mso-wrap-distance-right:0" id="docshape34"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3"/>
      </w:pPr>
      <w:r>
        <w:rPr/>
        <w:t>Income</w:t>
      </w:r>
      <w:r>
        <w:rPr>
          <w:spacing w:val="15"/>
        </w:rPr>
        <w:t> </w:t>
      </w:r>
      <w:r>
        <w:rPr/>
        <w:t>Before</w:t>
      </w:r>
      <w:r>
        <w:rPr>
          <w:spacing w:val="15"/>
        </w:rPr>
        <w:t> </w:t>
      </w:r>
      <w:r>
        <w:rPr/>
        <w:t>Income</w:t>
      </w:r>
      <w:r>
        <w:rPr>
          <w:spacing w:val="16"/>
        </w:rPr>
        <w:t> </w:t>
      </w:r>
      <w:r>
        <w:rPr>
          <w:spacing w:val="-2"/>
        </w:rPr>
        <w:t>Taxes</w:t>
      </w:r>
    </w:p>
    <w:p>
      <w:pPr>
        <w:pStyle w:val="BodyText"/>
        <w:spacing w:before="40"/>
        <w:rPr>
          <w:b/>
          <w:i/>
        </w:rPr>
      </w:pPr>
    </w:p>
    <w:p>
      <w:pPr>
        <w:pStyle w:val="BodyText"/>
        <w:spacing w:line="266" w:lineRule="auto"/>
        <w:ind w:left="156"/>
      </w:pPr>
      <w:r>
        <w:rPr>
          <w:w w:val="105"/>
        </w:rPr>
        <w:t>The</w:t>
      </w:r>
      <w:r>
        <w:rPr>
          <w:spacing w:val="-9"/>
          <w:w w:val="105"/>
        </w:rPr>
        <w:t> </w:t>
      </w:r>
      <w:r>
        <w:rPr>
          <w:w w:val="105"/>
        </w:rPr>
        <w:t>translation</w:t>
      </w:r>
      <w:r>
        <w:rPr>
          <w:spacing w:val="-9"/>
          <w:w w:val="105"/>
        </w:rPr>
        <w:t> </w:t>
      </w:r>
      <w:r>
        <w:rPr>
          <w:w w:val="105"/>
        </w:rPr>
        <w:t>impact</w:t>
      </w:r>
      <w:r>
        <w:rPr>
          <w:spacing w:val="-9"/>
          <w:w w:val="105"/>
        </w:rPr>
        <w:t> </w:t>
      </w:r>
      <w:r>
        <w:rPr>
          <w:w w:val="105"/>
        </w:rPr>
        <w:t>of</w:t>
      </w:r>
      <w:r>
        <w:rPr>
          <w:spacing w:val="-9"/>
          <w:w w:val="105"/>
        </w:rPr>
        <w:t> </w:t>
      </w:r>
      <w:r>
        <w:rPr>
          <w:w w:val="105"/>
        </w:rPr>
        <w:t>fluctuations</w:t>
      </w:r>
      <w:r>
        <w:rPr>
          <w:spacing w:val="-9"/>
          <w:w w:val="105"/>
        </w:rPr>
        <w:t> </w:t>
      </w:r>
      <w:r>
        <w:rPr>
          <w:w w:val="105"/>
        </w:rPr>
        <w:t>in</w:t>
      </w:r>
      <w:r>
        <w:rPr>
          <w:spacing w:val="-9"/>
          <w:w w:val="105"/>
        </w:rPr>
        <w:t> </w:t>
      </w:r>
      <w:r>
        <w:rPr>
          <w:w w:val="105"/>
        </w:rPr>
        <w:t>foreign</w:t>
      </w:r>
      <w:r>
        <w:rPr>
          <w:spacing w:val="-9"/>
          <w:w w:val="105"/>
        </w:rPr>
        <w:t> </w:t>
      </w:r>
      <w:r>
        <w:rPr>
          <w:w w:val="105"/>
        </w:rPr>
        <w:t>currency</w:t>
      </w:r>
      <w:r>
        <w:rPr>
          <w:spacing w:val="-9"/>
          <w:w w:val="105"/>
        </w:rPr>
        <w:t> </w:t>
      </w:r>
      <w:r>
        <w:rPr>
          <w:w w:val="105"/>
        </w:rPr>
        <w:t>exchange</w:t>
      </w:r>
      <w:r>
        <w:rPr>
          <w:spacing w:val="-9"/>
          <w:w w:val="105"/>
        </w:rPr>
        <w:t> </w:t>
      </w:r>
      <w:r>
        <w:rPr>
          <w:w w:val="105"/>
        </w:rPr>
        <w:t>rates,</w:t>
      </w:r>
      <w:r>
        <w:rPr>
          <w:spacing w:val="-9"/>
          <w:w w:val="105"/>
        </w:rPr>
        <w:t> </w:t>
      </w:r>
      <w:r>
        <w:rPr>
          <w:w w:val="105"/>
        </w:rPr>
        <w:t>including</w:t>
      </w:r>
      <w:r>
        <w:rPr>
          <w:spacing w:val="-9"/>
          <w:w w:val="105"/>
        </w:rPr>
        <w:t> </w:t>
      </w:r>
      <w:r>
        <w:rPr>
          <w:w w:val="105"/>
        </w:rPr>
        <w:t>the</w:t>
      </w:r>
      <w:r>
        <w:rPr>
          <w:spacing w:val="-9"/>
          <w:w w:val="105"/>
        </w:rPr>
        <w:t> </w:t>
      </w:r>
      <w:r>
        <w:rPr>
          <w:w w:val="105"/>
        </w:rPr>
        <w:t>impact</w:t>
      </w:r>
      <w:r>
        <w:rPr>
          <w:spacing w:val="-9"/>
          <w:w w:val="105"/>
        </w:rPr>
        <w:t> </w:t>
      </w:r>
      <w:r>
        <w:rPr>
          <w:w w:val="105"/>
        </w:rPr>
        <w:t>of</w:t>
      </w:r>
      <w:r>
        <w:rPr>
          <w:spacing w:val="-9"/>
          <w:w w:val="105"/>
        </w:rPr>
        <w:t> </w:t>
      </w:r>
      <w:r>
        <w:rPr>
          <w:w w:val="105"/>
        </w:rPr>
        <w:t>hedges</w:t>
      </w:r>
      <w:r>
        <w:rPr>
          <w:spacing w:val="-9"/>
          <w:w w:val="105"/>
        </w:rPr>
        <w:t> </w:t>
      </w:r>
      <w:r>
        <w:rPr>
          <w:w w:val="105"/>
        </w:rPr>
        <w:t>realized</w:t>
      </w:r>
      <w:r>
        <w:rPr>
          <w:spacing w:val="-9"/>
          <w:w w:val="105"/>
        </w:rPr>
        <w:t> </w:t>
      </w:r>
      <w:r>
        <w:rPr>
          <w:w w:val="105"/>
        </w:rPr>
        <w:t>in</w:t>
      </w:r>
      <w:r>
        <w:rPr>
          <w:spacing w:val="-9"/>
          <w:w w:val="105"/>
        </w:rPr>
        <w:t> </w:t>
      </w:r>
      <w:r>
        <w:rPr>
          <w:w w:val="105"/>
        </w:rPr>
        <w:t>the</w:t>
      </w:r>
      <w:r>
        <w:rPr>
          <w:spacing w:val="-9"/>
          <w:w w:val="105"/>
        </w:rPr>
        <w:t> </w:t>
      </w:r>
      <w:r>
        <w:rPr>
          <w:w w:val="105"/>
        </w:rPr>
        <w:t>current</w:t>
      </w:r>
      <w:r>
        <w:rPr>
          <w:spacing w:val="-9"/>
          <w:w w:val="105"/>
        </w:rPr>
        <w:t> </w:t>
      </w:r>
      <w:r>
        <w:rPr>
          <w:w w:val="105"/>
        </w:rPr>
        <w:t>year,</w:t>
      </w:r>
      <w:r>
        <w:rPr>
          <w:spacing w:val="-9"/>
          <w:w w:val="105"/>
        </w:rPr>
        <w:t> </w:t>
      </w:r>
      <w:r>
        <w:rPr>
          <w:w w:val="105"/>
        </w:rPr>
        <w:t>positively</w:t>
      </w:r>
      <w:r>
        <w:rPr>
          <w:spacing w:val="-9"/>
          <w:w w:val="105"/>
        </w:rPr>
        <w:t> </w:t>
      </w:r>
      <w:r>
        <w:rPr>
          <w:w w:val="105"/>
        </w:rPr>
        <w:t>impacted</w:t>
      </w:r>
      <w:r>
        <w:rPr>
          <w:spacing w:val="-9"/>
          <w:w w:val="105"/>
        </w:rPr>
        <w:t> </w:t>
      </w:r>
      <w:r>
        <w:rPr>
          <w:w w:val="105"/>
        </w:rPr>
        <w:t>Corning’s</w:t>
      </w:r>
      <w:r>
        <w:rPr>
          <w:spacing w:val="-9"/>
          <w:w w:val="105"/>
        </w:rPr>
        <w:t> </w:t>
      </w:r>
      <w:r>
        <w:rPr>
          <w:w w:val="105"/>
        </w:rPr>
        <w:t>income before income taxes by $134 million in the year ended December 31, 2021, when compared to the same period in 2020.</w:t>
      </w:r>
    </w:p>
    <w:p>
      <w:pPr>
        <w:pStyle w:val="BodyText"/>
        <w:spacing w:before="19"/>
      </w:pPr>
    </w:p>
    <w:p>
      <w:pPr>
        <w:pStyle w:val="Heading3"/>
      </w:pPr>
      <w:r>
        <w:rPr>
          <w:spacing w:val="-2"/>
          <w:w w:val="105"/>
        </w:rPr>
        <w:t>Provision for</w:t>
      </w:r>
      <w:r>
        <w:rPr>
          <w:spacing w:val="-1"/>
          <w:w w:val="105"/>
        </w:rPr>
        <w:t> </w:t>
      </w:r>
      <w:r>
        <w:rPr>
          <w:spacing w:val="-2"/>
          <w:w w:val="105"/>
        </w:rPr>
        <w:t>Income</w:t>
      </w:r>
      <w:r>
        <w:rPr>
          <w:spacing w:val="-1"/>
          <w:w w:val="105"/>
        </w:rPr>
        <w:t> </w:t>
      </w:r>
      <w:r>
        <w:rPr>
          <w:spacing w:val="-2"/>
          <w:w w:val="105"/>
        </w:rPr>
        <w:t>Taxes</w:t>
      </w:r>
    </w:p>
    <w:p>
      <w:pPr>
        <w:pStyle w:val="BodyText"/>
        <w:spacing w:before="10"/>
        <w:rPr>
          <w:b/>
          <w:i/>
          <w:sz w:val="10"/>
        </w:rPr>
      </w:pPr>
    </w:p>
    <w:p>
      <w:pPr>
        <w:spacing w:after="0"/>
        <w:rPr>
          <w:sz w:val="10"/>
        </w:rPr>
        <w:sectPr>
          <w:pgSz w:w="12240" w:h="15840"/>
          <w:pgMar w:header="428" w:footer="0" w:top="620" w:bottom="280" w:left="200" w:right="260"/>
        </w:sectPr>
      </w:pPr>
    </w:p>
    <w:p>
      <w:pPr>
        <w:pStyle w:val="BodyText"/>
        <w:spacing w:before="98"/>
        <w:ind w:left="156"/>
      </w:pPr>
      <w:r>
        <w:rPr/>
        <mc:AlternateContent>
          <mc:Choice Requires="wps">
            <w:drawing>
              <wp:anchor distT="0" distB="0" distL="0" distR="0" allowOverlap="1" layoutInCell="1" locked="0" behindDoc="0" simplePos="0" relativeHeight="15748096">
                <wp:simplePos x="0" y="0"/>
                <wp:positionH relativeFrom="page">
                  <wp:posOffset>226479</wp:posOffset>
                </wp:positionH>
                <wp:positionV relativeFrom="paragraph">
                  <wp:posOffset>262730</wp:posOffset>
                </wp:positionV>
                <wp:extent cx="7312659" cy="1651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20.687426pt;width:575.775027pt;height:1.274pt;mso-position-horizontal-relative:page;mso-position-vertical-relative:paragraph;z-index:15748096" id="docshape35" filled="true" fillcolor="#000000" stroked="false">
                <v:fill type="solid"/>
                <w10:wrap type="none"/>
              </v:rect>
            </w:pict>
          </mc:Fallback>
        </mc:AlternateContent>
      </w:r>
      <w:r>
        <w:rPr>
          <w:w w:val="105"/>
        </w:rPr>
        <w:t>Our</w:t>
      </w:r>
      <w:r>
        <w:rPr>
          <w:spacing w:val="-8"/>
          <w:w w:val="105"/>
        </w:rPr>
        <w:t> </w:t>
      </w:r>
      <w:r>
        <w:rPr>
          <w:w w:val="105"/>
        </w:rPr>
        <w:t>provision</w:t>
      </w:r>
      <w:r>
        <w:rPr>
          <w:spacing w:val="-8"/>
          <w:w w:val="105"/>
        </w:rPr>
        <w:t> </w:t>
      </w:r>
      <w:r>
        <w:rPr>
          <w:w w:val="105"/>
        </w:rPr>
        <w:t>for</w:t>
      </w:r>
      <w:r>
        <w:rPr>
          <w:spacing w:val="-10"/>
          <w:w w:val="105"/>
        </w:rPr>
        <w:t> </w:t>
      </w:r>
      <w:r>
        <w:rPr>
          <w:w w:val="105"/>
        </w:rPr>
        <w:t>income</w:t>
      </w:r>
      <w:r>
        <w:rPr>
          <w:spacing w:val="-7"/>
          <w:w w:val="105"/>
        </w:rPr>
        <w:t> </w:t>
      </w:r>
      <w:r>
        <w:rPr>
          <w:w w:val="105"/>
        </w:rPr>
        <w:t>taxes</w:t>
      </w:r>
      <w:r>
        <w:rPr>
          <w:spacing w:val="-8"/>
          <w:w w:val="105"/>
        </w:rPr>
        <w:t> </w:t>
      </w:r>
      <w:r>
        <w:rPr>
          <w:w w:val="105"/>
        </w:rPr>
        <w:t>and</w:t>
      </w:r>
      <w:r>
        <w:rPr>
          <w:spacing w:val="-8"/>
          <w:w w:val="105"/>
        </w:rPr>
        <w:t> </w:t>
      </w:r>
      <w:r>
        <w:rPr>
          <w:w w:val="105"/>
        </w:rPr>
        <w:t>the</w:t>
      </w:r>
      <w:r>
        <w:rPr>
          <w:spacing w:val="-8"/>
          <w:w w:val="105"/>
        </w:rPr>
        <w:t> </w:t>
      </w:r>
      <w:r>
        <w:rPr>
          <w:w w:val="105"/>
        </w:rPr>
        <w:t>related</w:t>
      </w:r>
      <w:r>
        <w:rPr>
          <w:spacing w:val="-9"/>
          <w:w w:val="105"/>
        </w:rPr>
        <w:t> </w:t>
      </w:r>
      <w:r>
        <w:rPr>
          <w:w w:val="105"/>
        </w:rPr>
        <w:t>effective</w:t>
      </w:r>
      <w:r>
        <w:rPr>
          <w:spacing w:val="-8"/>
          <w:w w:val="105"/>
        </w:rPr>
        <w:t> </w:t>
      </w:r>
      <w:r>
        <w:rPr>
          <w:w w:val="105"/>
        </w:rPr>
        <w:t>income</w:t>
      </w:r>
      <w:r>
        <w:rPr>
          <w:spacing w:val="-8"/>
          <w:w w:val="105"/>
        </w:rPr>
        <w:t> </w:t>
      </w:r>
      <w:r>
        <w:rPr>
          <w:w w:val="105"/>
        </w:rPr>
        <w:t>tax</w:t>
      </w:r>
      <w:r>
        <w:rPr>
          <w:spacing w:val="-8"/>
          <w:w w:val="105"/>
        </w:rPr>
        <w:t> </w:t>
      </w:r>
      <w:r>
        <w:rPr>
          <w:w w:val="105"/>
        </w:rPr>
        <w:t>rates</w:t>
      </w:r>
      <w:r>
        <w:rPr>
          <w:spacing w:val="-8"/>
          <w:w w:val="105"/>
        </w:rPr>
        <w:t> </w:t>
      </w:r>
      <w:r>
        <w:rPr>
          <w:w w:val="105"/>
        </w:rPr>
        <w:t>were</w:t>
      </w:r>
      <w:r>
        <w:rPr>
          <w:spacing w:val="-8"/>
          <w:w w:val="105"/>
        </w:rPr>
        <w:t> </w:t>
      </w:r>
      <w:r>
        <w:rPr>
          <w:w w:val="105"/>
        </w:rPr>
        <w:t>as</w:t>
      </w:r>
      <w:r>
        <w:rPr>
          <w:spacing w:val="-7"/>
          <w:w w:val="105"/>
        </w:rPr>
        <w:t> </w:t>
      </w:r>
      <w:r>
        <w:rPr>
          <w:w w:val="105"/>
        </w:rPr>
        <w:t>follows</w:t>
      </w:r>
      <w:r>
        <w:rPr>
          <w:spacing w:val="-8"/>
          <w:w w:val="105"/>
        </w:rPr>
        <w:t> </w:t>
      </w:r>
      <w:r>
        <w:rPr>
          <w:w w:val="105"/>
        </w:rPr>
        <w:t>(in</w:t>
      </w:r>
      <w:r>
        <w:rPr>
          <w:spacing w:val="-8"/>
          <w:w w:val="105"/>
        </w:rPr>
        <w:t> </w:t>
      </w:r>
      <w:r>
        <w:rPr>
          <w:spacing w:val="-2"/>
          <w:w w:val="105"/>
        </w:rPr>
        <w:t>millions):</w:t>
      </w:r>
    </w:p>
    <w:p>
      <w:pPr>
        <w:spacing w:line="240" w:lineRule="auto" w:before="0"/>
        <w:rPr>
          <w:sz w:val="16"/>
        </w:rPr>
      </w:pPr>
      <w:r>
        <w:rPr/>
        <w:br w:type="column"/>
      </w:r>
      <w:r>
        <w:rPr>
          <w:sz w:val="16"/>
        </w:rPr>
      </w:r>
    </w:p>
    <w:p>
      <w:pPr>
        <w:pStyle w:val="BodyText"/>
        <w:spacing w:before="74"/>
      </w:pPr>
    </w:p>
    <w:p>
      <w:pPr>
        <w:pStyle w:val="BodyText"/>
        <w:ind w:right="498"/>
        <w:jc w:val="center"/>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p>
    <w:p>
      <w:pPr>
        <w:pStyle w:val="BodyText"/>
        <w:spacing w:line="20" w:lineRule="exact"/>
        <w:ind w:left="-251"/>
        <w:rPr>
          <w:sz w:val="2"/>
        </w:rPr>
      </w:pPr>
      <w:r>
        <w:rPr>
          <w:sz w:val="2"/>
        </w:rPr>
        <mc:AlternateContent>
          <mc:Choice Requires="wps">
            <w:drawing>
              <wp:inline distT="0" distB="0" distL="0" distR="0">
                <wp:extent cx="2597150" cy="8255"/>
                <wp:effectExtent l="0" t="0" r="0" b="0"/>
                <wp:docPr id="37" name="Group 37"/>
                <wp:cNvGraphicFramePr>
                  <a:graphicFrameLocks/>
                </wp:cNvGraphicFramePr>
                <a:graphic>
                  <a:graphicData uri="http://schemas.microsoft.com/office/word/2010/wordprocessingGroup">
                    <wpg:wgp>
                      <wpg:cNvPr id="37" name="Group 37"/>
                      <wpg:cNvGrpSpPr/>
                      <wpg:grpSpPr>
                        <a:xfrm>
                          <a:off x="0" y="0"/>
                          <a:ext cx="2597150" cy="8255"/>
                          <a:chExt cx="2597150" cy="8255"/>
                        </a:xfrm>
                      </wpg:grpSpPr>
                      <wps:wsp>
                        <wps:cNvPr id="38" name="Graphic 38"/>
                        <wps:cNvSpPr/>
                        <wps:spPr>
                          <a:xfrm>
                            <a:off x="-8" y="5"/>
                            <a:ext cx="2597150" cy="8255"/>
                          </a:xfrm>
                          <a:custGeom>
                            <a:avLst/>
                            <a:gdLst/>
                            <a:ahLst/>
                            <a:cxnLst/>
                            <a:rect l="l" t="t" r="r" b="b"/>
                            <a:pathLst>
                              <a:path w="2597150" h="8255">
                                <a:moveTo>
                                  <a:pt x="2596527" y="0"/>
                                </a:moveTo>
                                <a:lnTo>
                                  <a:pt x="2507551" y="0"/>
                                </a:lnTo>
                                <a:lnTo>
                                  <a:pt x="0" y="0"/>
                                </a:lnTo>
                                <a:lnTo>
                                  <a:pt x="0" y="8089"/>
                                </a:lnTo>
                                <a:lnTo>
                                  <a:pt x="2507551" y="8089"/>
                                </a:lnTo>
                                <a:lnTo>
                                  <a:pt x="2596527" y="8089"/>
                                </a:lnTo>
                                <a:lnTo>
                                  <a:pt x="25965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4.5pt;height:.65pt;mso-position-horizontal-relative:char;mso-position-vertical-relative:line" id="docshapegroup36" coordorigin="0,0" coordsize="4090,13">
                <v:shape style="position:absolute;left:-1;top:0;width:4090;height:13" id="docshape37" coordorigin="0,0" coordsize="4090,13" path="m4089,0l3949,0,0,0,0,13,3949,13,4089,13,4089,0xe" filled="true" fillcolor="#000000" stroked="false">
                  <v:path arrowok="t"/>
                  <v:fill type="solid"/>
                </v:shape>
              </v:group>
            </w:pict>
          </mc:Fallback>
        </mc:AlternateContent>
      </w:r>
      <w:r>
        <w:rPr>
          <w:sz w:val="2"/>
        </w:rPr>
      </w:r>
    </w:p>
    <w:p>
      <w:pPr>
        <w:tabs>
          <w:tab w:pos="1401" w:val="left" w:leader="none"/>
          <w:tab w:pos="2802" w:val="left" w:leader="none"/>
        </w:tabs>
        <w:spacing w:before="13"/>
        <w:ind w:left="0" w:right="496" w:firstLine="0"/>
        <w:jc w:val="center"/>
        <w:rPr>
          <w:sz w:val="16"/>
        </w:rPr>
      </w:pPr>
      <w:r>
        <w:rPr>
          <w:b/>
          <w:spacing w:val="-4"/>
          <w:w w:val="105"/>
          <w:sz w:val="16"/>
        </w:rPr>
        <w:t>2021</w:t>
      </w:r>
      <w:r>
        <w:rPr>
          <w:b/>
          <w:sz w:val="16"/>
        </w:rPr>
        <w:tab/>
      </w:r>
      <w:r>
        <w:rPr>
          <w:spacing w:val="-4"/>
          <w:w w:val="105"/>
          <w:sz w:val="16"/>
        </w:rPr>
        <w:t>2020</w:t>
      </w:r>
      <w:r>
        <w:rPr>
          <w:sz w:val="16"/>
        </w:rPr>
        <w:tab/>
      </w:r>
      <w:r>
        <w:rPr>
          <w:spacing w:val="-4"/>
          <w:w w:val="105"/>
          <w:sz w:val="16"/>
        </w:rPr>
        <w:t>2019</w:t>
      </w:r>
    </w:p>
    <w:p>
      <w:pPr>
        <w:spacing w:after="0"/>
        <w:jc w:val="center"/>
        <w:rPr>
          <w:sz w:val="16"/>
        </w:rPr>
        <w:sectPr>
          <w:type w:val="continuous"/>
          <w:pgSz w:w="12240" w:h="15840"/>
          <w:pgMar w:header="428" w:footer="0" w:top="700" w:bottom="280" w:left="200" w:right="260"/>
          <w:cols w:num="2" w:equalWidth="0">
            <w:col w:w="7033" w:space="802"/>
            <w:col w:w="3945"/>
          </w:cols>
        </w:sectPr>
      </w:pPr>
    </w:p>
    <w:p>
      <w:pPr>
        <w:pStyle w:val="BodyText"/>
        <w:spacing w:line="216" w:lineRule="exact"/>
        <w:ind w:left="156"/>
        <w:rPr>
          <w:sz w:val="20"/>
        </w:rPr>
      </w:pPr>
      <w:r>
        <w:rPr>
          <w:position w:val="-3"/>
          <w:sz w:val="20"/>
        </w:rPr>
        <mc:AlternateContent>
          <mc:Choice Requires="wps">
            <w:drawing>
              <wp:inline distT="0" distB="0" distL="0" distR="0">
                <wp:extent cx="7312659" cy="137795"/>
                <wp:effectExtent l="9525" t="0" r="0" b="5080"/>
                <wp:docPr id="39" name="Group 39"/>
                <wp:cNvGraphicFramePr>
                  <a:graphicFrameLocks/>
                </wp:cNvGraphicFramePr>
                <a:graphic>
                  <a:graphicData uri="http://schemas.microsoft.com/office/word/2010/wordprocessingGroup">
                    <wpg:wgp>
                      <wpg:cNvPr id="39" name="Group 39"/>
                      <wpg:cNvGrpSpPr/>
                      <wpg:grpSpPr>
                        <a:xfrm>
                          <a:off x="0" y="0"/>
                          <a:ext cx="7312659" cy="137795"/>
                          <a:chExt cx="7312659" cy="137795"/>
                        </a:xfrm>
                      </wpg:grpSpPr>
                      <wps:wsp>
                        <wps:cNvPr id="40" name="Graphic 40"/>
                        <wps:cNvSpPr/>
                        <wps:spPr>
                          <a:xfrm>
                            <a:off x="-9" y="1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9" y="8100"/>
                            <a:ext cx="7312659" cy="129539"/>
                          </a:xfrm>
                          <a:custGeom>
                            <a:avLst/>
                            <a:gdLst/>
                            <a:ahLst/>
                            <a:cxnLst/>
                            <a:rect l="l" t="t" r="r" b="b"/>
                            <a:pathLst>
                              <a:path w="7312659" h="129539">
                                <a:moveTo>
                                  <a:pt x="7312342" y="0"/>
                                </a:moveTo>
                                <a:lnTo>
                                  <a:pt x="7312342" y="0"/>
                                </a:lnTo>
                                <a:lnTo>
                                  <a:pt x="0" y="0"/>
                                </a:lnTo>
                                <a:lnTo>
                                  <a:pt x="0" y="129413"/>
                                </a:lnTo>
                                <a:lnTo>
                                  <a:pt x="7312342" y="129413"/>
                                </a:lnTo>
                                <a:lnTo>
                                  <a:pt x="7312342" y="0"/>
                                </a:lnTo>
                                <a:close/>
                              </a:path>
                            </a:pathLst>
                          </a:custGeom>
                          <a:solidFill>
                            <a:srgbClr val="CCEDFF"/>
                          </a:solidFill>
                        </wps:spPr>
                        <wps:bodyPr wrap="square" lIns="0" tIns="0" rIns="0" bIns="0" rtlCol="0">
                          <a:prstTxWarp prst="textNoShape">
                            <a:avLst/>
                          </a:prstTxWarp>
                          <a:noAutofit/>
                        </wps:bodyPr>
                      </wps:wsp>
                      <wps:wsp>
                        <wps:cNvPr id="42" name="Textbox 42"/>
                        <wps:cNvSpPr txBox="1"/>
                        <wps:spPr>
                          <a:xfrm>
                            <a:off x="0" y="8088"/>
                            <a:ext cx="7312659" cy="129539"/>
                          </a:xfrm>
                          <a:prstGeom prst="rect">
                            <a:avLst/>
                          </a:prstGeom>
                        </wps:spPr>
                        <wps:txbx>
                          <w:txbxContent>
                            <w:p>
                              <w:pPr>
                                <w:tabs>
                                  <w:tab w:pos="7426" w:val="left" w:leader="none"/>
                                  <w:tab w:pos="8269" w:val="left" w:leader="none"/>
                                  <w:tab w:pos="9670" w:val="left" w:leader="none"/>
                                  <w:tab w:pos="11071" w:val="left" w:leader="none"/>
                                </w:tabs>
                                <w:spacing w:before="3"/>
                                <w:ind w:left="0" w:right="0" w:firstLine="0"/>
                                <w:jc w:val="left"/>
                                <w:rPr>
                                  <w:sz w:val="16"/>
                                </w:rPr>
                              </w:pPr>
                              <w:r>
                                <w:rPr>
                                  <w:w w:val="105"/>
                                  <w:sz w:val="16"/>
                                </w:rPr>
                                <w:t>Provision</w:t>
                              </w:r>
                              <w:r>
                                <w:rPr>
                                  <w:spacing w:val="-12"/>
                                  <w:w w:val="105"/>
                                  <w:sz w:val="16"/>
                                </w:rPr>
                                <w:t> </w:t>
                              </w:r>
                              <w:r>
                                <w:rPr>
                                  <w:w w:val="105"/>
                                  <w:sz w:val="16"/>
                                </w:rPr>
                                <w:t>for</w:t>
                              </w:r>
                              <w:r>
                                <w:rPr>
                                  <w:spacing w:val="-9"/>
                                  <w:w w:val="105"/>
                                  <w:sz w:val="16"/>
                                </w:rPr>
                                <w:t> </w:t>
                              </w:r>
                              <w:r>
                                <w:rPr>
                                  <w:w w:val="105"/>
                                  <w:sz w:val="16"/>
                                </w:rPr>
                                <w:t>income</w:t>
                              </w:r>
                              <w:r>
                                <w:rPr>
                                  <w:spacing w:val="-10"/>
                                  <w:w w:val="105"/>
                                  <w:sz w:val="16"/>
                                </w:rPr>
                                <w:t> </w:t>
                              </w:r>
                              <w:r>
                                <w:rPr>
                                  <w:spacing w:val="-2"/>
                                  <w:w w:val="105"/>
                                  <w:sz w:val="16"/>
                                </w:rPr>
                                <w:t>taxes</w:t>
                              </w:r>
                              <w:r>
                                <w:rPr>
                                  <w:sz w:val="16"/>
                                </w:rPr>
                                <w:tab/>
                              </w:r>
                              <w:r>
                                <w:rPr>
                                  <w:b/>
                                  <w:spacing w:val="-10"/>
                                  <w:w w:val="105"/>
                                  <w:sz w:val="16"/>
                                </w:rPr>
                                <w:t>$</w:t>
                              </w:r>
                              <w:r>
                                <w:rPr>
                                  <w:b/>
                                  <w:sz w:val="16"/>
                                </w:rPr>
                                <w:tab/>
                              </w:r>
                              <w:r>
                                <w:rPr>
                                  <w:b/>
                                  <w:w w:val="105"/>
                                  <w:sz w:val="16"/>
                                </w:rPr>
                                <w:t>(491</w:t>
                              </w:r>
                              <w:r>
                                <w:rPr>
                                  <w:w w:val="105"/>
                                  <w:sz w:val="16"/>
                                </w:rPr>
                                <w:t>)</w:t>
                              </w:r>
                              <w:r>
                                <w:rPr>
                                  <w:spacing w:val="54"/>
                                  <w:w w:val="105"/>
                                  <w:sz w:val="16"/>
                                </w:rPr>
                                <w:t>  </w:t>
                              </w:r>
                              <w:r>
                                <w:rPr>
                                  <w:spacing w:val="-10"/>
                                  <w:w w:val="105"/>
                                  <w:sz w:val="16"/>
                                </w:rPr>
                                <w:t>$</w:t>
                              </w:r>
                              <w:r>
                                <w:rPr>
                                  <w:sz w:val="16"/>
                                </w:rPr>
                                <w:tab/>
                              </w:r>
                              <w:r>
                                <w:rPr>
                                  <w:w w:val="105"/>
                                  <w:sz w:val="16"/>
                                </w:rPr>
                                <w:t>(111)</w:t>
                              </w:r>
                              <w:r>
                                <w:rPr>
                                  <w:spacing w:val="54"/>
                                  <w:w w:val="105"/>
                                  <w:sz w:val="16"/>
                                </w:rPr>
                                <w:t>  </w:t>
                              </w:r>
                              <w:r>
                                <w:rPr>
                                  <w:spacing w:val="-10"/>
                                  <w:w w:val="105"/>
                                  <w:sz w:val="16"/>
                                </w:rPr>
                                <w:t>$</w:t>
                              </w:r>
                              <w:r>
                                <w:rPr>
                                  <w:sz w:val="16"/>
                                </w:rPr>
                                <w:tab/>
                              </w:r>
                              <w:r>
                                <w:rPr>
                                  <w:spacing w:val="-2"/>
                                  <w:w w:val="105"/>
                                  <w:sz w:val="16"/>
                                </w:rPr>
                                <w:t>(256)</w:t>
                              </w:r>
                            </w:p>
                          </w:txbxContent>
                        </wps:txbx>
                        <wps:bodyPr wrap="square" lIns="0" tIns="0" rIns="0" bIns="0" rtlCol="0">
                          <a:noAutofit/>
                        </wps:bodyPr>
                      </wps:wsp>
                    </wpg:wgp>
                  </a:graphicData>
                </a:graphic>
              </wp:inline>
            </w:drawing>
          </mc:Choice>
          <mc:Fallback>
            <w:pict>
              <v:group style="width:575.8pt;height:10.85pt;mso-position-horizontal-relative:char;mso-position-vertical-relative:line" id="docshapegroup38" coordorigin="0,0" coordsize="11516,217">
                <v:rect style="position:absolute;left:-1;top:0;width:11516;height:13" id="docshape39" filled="true" fillcolor="#000000" stroked="false">
                  <v:fill type="solid"/>
                </v:rect>
                <v:rect style="position:absolute;left:-1;top:12;width:11516;height:204" id="docshape40" filled="true" fillcolor="#ccedff" stroked="false">
                  <v:fill type="solid"/>
                </v:rect>
                <v:shape style="position:absolute;left:0;top:12;width:11516;height:204" type="#_x0000_t202" id="docshape41" filled="false" stroked="false">
                  <v:textbox inset="0,0,0,0">
                    <w:txbxContent>
                      <w:p>
                        <w:pPr>
                          <w:tabs>
                            <w:tab w:pos="7426" w:val="left" w:leader="none"/>
                            <w:tab w:pos="8269" w:val="left" w:leader="none"/>
                            <w:tab w:pos="9670" w:val="left" w:leader="none"/>
                            <w:tab w:pos="11071" w:val="left" w:leader="none"/>
                          </w:tabs>
                          <w:spacing w:before="3"/>
                          <w:ind w:left="0" w:right="0" w:firstLine="0"/>
                          <w:jc w:val="left"/>
                          <w:rPr>
                            <w:sz w:val="16"/>
                          </w:rPr>
                        </w:pPr>
                        <w:r>
                          <w:rPr>
                            <w:w w:val="105"/>
                            <w:sz w:val="16"/>
                          </w:rPr>
                          <w:t>Provision</w:t>
                        </w:r>
                        <w:r>
                          <w:rPr>
                            <w:spacing w:val="-12"/>
                            <w:w w:val="105"/>
                            <w:sz w:val="16"/>
                          </w:rPr>
                          <w:t> </w:t>
                        </w:r>
                        <w:r>
                          <w:rPr>
                            <w:w w:val="105"/>
                            <w:sz w:val="16"/>
                          </w:rPr>
                          <w:t>for</w:t>
                        </w:r>
                        <w:r>
                          <w:rPr>
                            <w:spacing w:val="-9"/>
                            <w:w w:val="105"/>
                            <w:sz w:val="16"/>
                          </w:rPr>
                          <w:t> </w:t>
                        </w:r>
                        <w:r>
                          <w:rPr>
                            <w:w w:val="105"/>
                            <w:sz w:val="16"/>
                          </w:rPr>
                          <w:t>income</w:t>
                        </w:r>
                        <w:r>
                          <w:rPr>
                            <w:spacing w:val="-10"/>
                            <w:w w:val="105"/>
                            <w:sz w:val="16"/>
                          </w:rPr>
                          <w:t> </w:t>
                        </w:r>
                        <w:r>
                          <w:rPr>
                            <w:spacing w:val="-2"/>
                            <w:w w:val="105"/>
                            <w:sz w:val="16"/>
                          </w:rPr>
                          <w:t>taxes</w:t>
                        </w:r>
                        <w:r>
                          <w:rPr>
                            <w:sz w:val="16"/>
                          </w:rPr>
                          <w:tab/>
                        </w:r>
                        <w:r>
                          <w:rPr>
                            <w:b/>
                            <w:spacing w:val="-10"/>
                            <w:w w:val="105"/>
                            <w:sz w:val="16"/>
                          </w:rPr>
                          <w:t>$</w:t>
                        </w:r>
                        <w:r>
                          <w:rPr>
                            <w:b/>
                            <w:sz w:val="16"/>
                          </w:rPr>
                          <w:tab/>
                        </w:r>
                        <w:r>
                          <w:rPr>
                            <w:b/>
                            <w:w w:val="105"/>
                            <w:sz w:val="16"/>
                          </w:rPr>
                          <w:t>(491</w:t>
                        </w:r>
                        <w:r>
                          <w:rPr>
                            <w:w w:val="105"/>
                            <w:sz w:val="16"/>
                          </w:rPr>
                          <w:t>)</w:t>
                        </w:r>
                        <w:r>
                          <w:rPr>
                            <w:spacing w:val="54"/>
                            <w:w w:val="105"/>
                            <w:sz w:val="16"/>
                          </w:rPr>
                          <w:t>  </w:t>
                        </w:r>
                        <w:r>
                          <w:rPr>
                            <w:spacing w:val="-10"/>
                            <w:w w:val="105"/>
                            <w:sz w:val="16"/>
                          </w:rPr>
                          <w:t>$</w:t>
                        </w:r>
                        <w:r>
                          <w:rPr>
                            <w:sz w:val="16"/>
                          </w:rPr>
                          <w:tab/>
                        </w:r>
                        <w:r>
                          <w:rPr>
                            <w:w w:val="105"/>
                            <w:sz w:val="16"/>
                          </w:rPr>
                          <w:t>(111)</w:t>
                        </w:r>
                        <w:r>
                          <w:rPr>
                            <w:spacing w:val="54"/>
                            <w:w w:val="105"/>
                            <w:sz w:val="16"/>
                          </w:rPr>
                          <w:t>  </w:t>
                        </w:r>
                        <w:r>
                          <w:rPr>
                            <w:spacing w:val="-10"/>
                            <w:w w:val="105"/>
                            <w:sz w:val="16"/>
                          </w:rPr>
                          <w:t>$</w:t>
                        </w:r>
                        <w:r>
                          <w:rPr>
                            <w:sz w:val="16"/>
                          </w:rPr>
                          <w:tab/>
                        </w:r>
                        <w:r>
                          <w:rPr>
                            <w:spacing w:val="-2"/>
                            <w:w w:val="105"/>
                            <w:sz w:val="16"/>
                          </w:rPr>
                          <w:t>(256)</w:t>
                        </w:r>
                      </w:p>
                    </w:txbxContent>
                  </v:textbox>
                  <w10:wrap type="none"/>
                </v:shape>
              </v:group>
            </w:pict>
          </mc:Fallback>
        </mc:AlternateContent>
      </w:r>
      <w:r>
        <w:rPr>
          <w:position w:val="-3"/>
          <w:sz w:val="20"/>
        </w:rPr>
      </w:r>
    </w:p>
    <w:p>
      <w:pPr>
        <w:pStyle w:val="BodyText"/>
        <w:tabs>
          <w:tab w:pos="8439" w:val="left" w:leader="none"/>
          <w:tab w:pos="9840" w:val="left" w:leader="none"/>
          <w:tab w:pos="11242" w:val="left" w:leader="none"/>
        </w:tabs>
        <w:spacing w:before="20"/>
        <w:ind w:left="156"/>
      </w:pPr>
      <w:r>
        <w:rPr/>
        <mc:AlternateContent>
          <mc:Choice Requires="wps">
            <w:drawing>
              <wp:anchor distT="0" distB="0" distL="0" distR="0" allowOverlap="1" layoutInCell="1" locked="0" behindDoc="1" simplePos="0" relativeHeight="487606272">
                <wp:simplePos x="0" y="0"/>
                <wp:positionH relativeFrom="page">
                  <wp:posOffset>226479</wp:posOffset>
                </wp:positionH>
                <wp:positionV relativeFrom="paragraph">
                  <wp:posOffset>140354</wp:posOffset>
                </wp:positionV>
                <wp:extent cx="7312659" cy="24765"/>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7312659" cy="24765"/>
                        </a:xfrm>
                        <a:custGeom>
                          <a:avLst/>
                          <a:gdLst/>
                          <a:ahLst/>
                          <a:cxnLst/>
                          <a:rect l="l" t="t" r="r" b="b"/>
                          <a:pathLst>
                            <a:path w="7312659" h="24765">
                              <a:moveTo>
                                <a:pt x="7312342" y="16179"/>
                              </a:moveTo>
                              <a:lnTo>
                                <a:pt x="7312342" y="16179"/>
                              </a:lnTo>
                              <a:lnTo>
                                <a:pt x="0" y="16179"/>
                              </a:lnTo>
                              <a:lnTo>
                                <a:pt x="0" y="24269"/>
                              </a:lnTo>
                              <a:lnTo>
                                <a:pt x="7312342" y="24269"/>
                              </a:lnTo>
                              <a:lnTo>
                                <a:pt x="7312342" y="16179"/>
                              </a:lnTo>
                              <a:close/>
                            </a:path>
                            <a:path w="7312659" h="2476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11.051553pt;width:575.8pt;height:1.95pt;mso-position-horizontal-relative:page;mso-position-vertical-relative:paragraph;z-index:-15710208;mso-wrap-distance-left:0;mso-wrap-distance-right:0" id="docshape42" coordorigin="357,221" coordsize="11516,39" path="m11872,247l11732,247,10700,247,10586,247,10471,247,10331,247,9299,247,9184,247,9070,247,8930,247,7898,247,7783,247,7669,247,7554,247,357,247,357,259,7554,259,7669,259,7783,259,7898,259,8930,259,9070,259,9184,259,9299,259,10331,259,10471,259,10586,259,10700,259,11732,259,11872,259,11872,247xm11872,221l11732,221,10700,221,10586,221,10471,221,10331,221,9299,221,9184,221,9070,221,8930,221,7898,221,7783,221,7669,221,7554,221,357,221,357,234,7554,234,7669,234,7783,234,7898,234,8930,234,9070,234,9184,234,9299,234,10331,234,10471,234,10586,234,10700,234,11732,234,11872,234,11872,221xe" filled="true" fillcolor="#000000" stroked="false">
                <v:path arrowok="t"/>
                <v:fill type="solid"/>
                <w10:wrap type="topAndBottom"/>
              </v:shape>
            </w:pict>
          </mc:Fallback>
        </mc:AlternateContent>
      </w:r>
      <w:r>
        <w:rPr>
          <w:w w:val="105"/>
        </w:rPr>
        <w:t>Effective</w:t>
      </w:r>
      <w:r>
        <w:rPr>
          <w:spacing w:val="-9"/>
          <w:w w:val="105"/>
        </w:rPr>
        <w:t> </w:t>
      </w:r>
      <w:r>
        <w:rPr>
          <w:w w:val="105"/>
        </w:rPr>
        <w:t>tax</w:t>
      </w:r>
      <w:r>
        <w:rPr>
          <w:spacing w:val="-9"/>
          <w:w w:val="105"/>
        </w:rPr>
        <w:t> </w:t>
      </w:r>
      <w:r>
        <w:rPr>
          <w:spacing w:val="-4"/>
          <w:w w:val="105"/>
        </w:rPr>
        <w:t>rate</w:t>
      </w:r>
      <w:r>
        <w:rPr/>
        <w:tab/>
      </w:r>
      <w:r>
        <w:rPr>
          <w:b/>
          <w:spacing w:val="-2"/>
          <w:w w:val="105"/>
        </w:rPr>
        <w:t>20.5</w:t>
      </w:r>
      <w:r>
        <w:rPr>
          <w:spacing w:val="-2"/>
          <w:w w:val="105"/>
        </w:rPr>
        <w:t>%</w:t>
      </w:r>
      <w:r>
        <w:rPr/>
        <w:tab/>
      </w:r>
      <w:r>
        <w:rPr>
          <w:spacing w:val="-2"/>
          <w:w w:val="105"/>
        </w:rPr>
        <w:t>17.8%</w:t>
      </w:r>
      <w:r>
        <w:rPr/>
        <w:tab/>
      </w:r>
      <w:r>
        <w:rPr>
          <w:spacing w:val="-2"/>
          <w:w w:val="105"/>
        </w:rPr>
        <w:t>21.1%</w:t>
      </w:r>
    </w:p>
    <w:p>
      <w:pPr>
        <w:pStyle w:val="BodyText"/>
        <w:spacing w:before="23"/>
      </w:pPr>
    </w:p>
    <w:p>
      <w:pPr>
        <w:pStyle w:val="BodyText"/>
        <w:ind w:left="156"/>
      </w:pPr>
      <w:r>
        <w:rPr>
          <w:w w:val="105"/>
        </w:rPr>
        <w:t>For</w:t>
      </w:r>
      <w:r>
        <w:rPr>
          <w:spacing w:val="-8"/>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6"/>
          <w:w w:val="105"/>
        </w:rPr>
        <w:t> </w:t>
      </w:r>
      <w:r>
        <w:rPr>
          <w:w w:val="105"/>
        </w:rPr>
        <w:t>the</w:t>
      </w:r>
      <w:r>
        <w:rPr>
          <w:spacing w:val="-7"/>
          <w:w w:val="105"/>
        </w:rPr>
        <w:t> </w:t>
      </w:r>
      <w:r>
        <w:rPr>
          <w:w w:val="105"/>
        </w:rPr>
        <w:t>effective</w:t>
      </w:r>
      <w:r>
        <w:rPr>
          <w:spacing w:val="-7"/>
          <w:w w:val="105"/>
        </w:rPr>
        <w:t> </w:t>
      </w:r>
      <w:r>
        <w:rPr>
          <w:w w:val="105"/>
        </w:rPr>
        <w:t>income</w:t>
      </w:r>
      <w:r>
        <w:rPr>
          <w:spacing w:val="-7"/>
          <w:w w:val="105"/>
        </w:rPr>
        <w:t> </w:t>
      </w:r>
      <w:r>
        <w:rPr>
          <w:w w:val="105"/>
        </w:rPr>
        <w:t>tax</w:t>
      </w:r>
      <w:r>
        <w:rPr>
          <w:spacing w:val="-8"/>
          <w:w w:val="105"/>
        </w:rPr>
        <w:t> </w:t>
      </w:r>
      <w:r>
        <w:rPr>
          <w:w w:val="105"/>
        </w:rPr>
        <w:t>rate</w:t>
      </w:r>
      <w:r>
        <w:rPr>
          <w:spacing w:val="-7"/>
          <w:w w:val="105"/>
        </w:rPr>
        <w:t> </w:t>
      </w:r>
      <w:r>
        <w:rPr>
          <w:w w:val="105"/>
        </w:rPr>
        <w:t>differed</w:t>
      </w:r>
      <w:r>
        <w:rPr>
          <w:spacing w:val="-5"/>
          <w:w w:val="105"/>
        </w:rPr>
        <w:t> </w:t>
      </w:r>
      <w:r>
        <w:rPr>
          <w:w w:val="105"/>
        </w:rPr>
        <w:t>from</w:t>
      </w:r>
      <w:r>
        <w:rPr>
          <w:spacing w:val="-7"/>
          <w:w w:val="105"/>
        </w:rPr>
        <w:t> </w:t>
      </w:r>
      <w:r>
        <w:rPr>
          <w:w w:val="105"/>
        </w:rPr>
        <w:t>the</w:t>
      </w:r>
      <w:r>
        <w:rPr>
          <w:spacing w:val="-8"/>
          <w:w w:val="105"/>
        </w:rPr>
        <w:t> </w:t>
      </w:r>
      <w:r>
        <w:rPr>
          <w:w w:val="105"/>
        </w:rPr>
        <w:t>U.S.</w:t>
      </w:r>
      <w:r>
        <w:rPr>
          <w:spacing w:val="-7"/>
          <w:w w:val="105"/>
        </w:rPr>
        <w:t> </w:t>
      </w:r>
      <w:r>
        <w:rPr>
          <w:w w:val="105"/>
        </w:rPr>
        <w:t>statutory</w:t>
      </w:r>
      <w:r>
        <w:rPr>
          <w:spacing w:val="-7"/>
          <w:w w:val="105"/>
        </w:rPr>
        <w:t> </w:t>
      </w:r>
      <w:r>
        <w:rPr>
          <w:w w:val="105"/>
        </w:rPr>
        <w:t>rate</w:t>
      </w:r>
      <w:r>
        <w:rPr>
          <w:spacing w:val="-7"/>
          <w:w w:val="105"/>
        </w:rPr>
        <w:t> </w:t>
      </w:r>
      <w:r>
        <w:rPr>
          <w:w w:val="105"/>
        </w:rPr>
        <w:t>of</w:t>
      </w:r>
      <w:r>
        <w:rPr>
          <w:spacing w:val="-7"/>
          <w:w w:val="105"/>
        </w:rPr>
        <w:t> </w:t>
      </w:r>
      <w:r>
        <w:rPr>
          <w:w w:val="105"/>
        </w:rPr>
        <w:t>21%</w:t>
      </w:r>
      <w:r>
        <w:rPr>
          <w:spacing w:val="-7"/>
          <w:w w:val="105"/>
        </w:rPr>
        <w:t> </w:t>
      </w:r>
      <w:r>
        <w:rPr>
          <w:w w:val="105"/>
        </w:rPr>
        <w:t>primarily</w:t>
      </w:r>
      <w:r>
        <w:rPr>
          <w:spacing w:val="-7"/>
          <w:w w:val="105"/>
        </w:rPr>
        <w:t> </w:t>
      </w:r>
      <w:r>
        <w:rPr>
          <w:w w:val="105"/>
        </w:rPr>
        <w:t>due</w:t>
      </w:r>
      <w:r>
        <w:rPr>
          <w:spacing w:val="-8"/>
          <w:w w:val="105"/>
        </w:rPr>
        <w:t> </w:t>
      </w:r>
      <w:r>
        <w:rPr>
          <w:w w:val="105"/>
        </w:rPr>
        <w:t>to</w:t>
      </w:r>
      <w:r>
        <w:rPr>
          <w:spacing w:val="-7"/>
          <w:w w:val="105"/>
        </w:rPr>
        <w:t> </w:t>
      </w:r>
      <w:r>
        <w:rPr>
          <w:w w:val="105"/>
        </w:rPr>
        <w:t>the</w:t>
      </w:r>
      <w:r>
        <w:rPr>
          <w:spacing w:val="-7"/>
          <w:w w:val="105"/>
        </w:rPr>
        <w:t> </w:t>
      </w:r>
      <w:r>
        <w:rPr>
          <w:spacing w:val="-2"/>
          <w:w w:val="105"/>
        </w:rPr>
        <w:t>following:</w:t>
      </w:r>
    </w:p>
    <w:p>
      <w:pPr>
        <w:pStyle w:val="BodyText"/>
        <w:spacing w:before="39"/>
      </w:pPr>
    </w:p>
    <w:p>
      <w:pPr>
        <w:pStyle w:val="ListParagraph"/>
        <w:numPr>
          <w:ilvl w:val="0"/>
          <w:numId w:val="11"/>
        </w:numPr>
        <w:tabs>
          <w:tab w:pos="462" w:val="left" w:leader="none"/>
        </w:tabs>
        <w:spacing w:line="240" w:lineRule="auto" w:before="1" w:after="0"/>
        <w:ind w:left="462" w:right="0" w:hanging="306"/>
        <w:jc w:val="left"/>
        <w:rPr>
          <w:sz w:val="16"/>
        </w:rPr>
      </w:pPr>
      <w:r>
        <w:rPr>
          <w:w w:val="105"/>
          <w:sz w:val="16"/>
        </w:rPr>
        <w:t>A</w:t>
      </w:r>
      <w:r>
        <w:rPr>
          <w:spacing w:val="-9"/>
          <w:w w:val="105"/>
          <w:sz w:val="16"/>
        </w:rPr>
        <w:t> </w:t>
      </w:r>
      <w:r>
        <w:rPr>
          <w:w w:val="105"/>
          <w:sz w:val="16"/>
        </w:rPr>
        <w:t>net</w:t>
      </w:r>
      <w:r>
        <w:rPr>
          <w:spacing w:val="-9"/>
          <w:w w:val="105"/>
          <w:sz w:val="16"/>
        </w:rPr>
        <w:t> </w:t>
      </w:r>
      <w:r>
        <w:rPr>
          <w:w w:val="105"/>
          <w:sz w:val="16"/>
        </w:rPr>
        <w:t>provision</w:t>
      </w:r>
      <w:r>
        <w:rPr>
          <w:spacing w:val="-8"/>
          <w:w w:val="105"/>
          <w:sz w:val="16"/>
        </w:rPr>
        <w:t> </w:t>
      </w:r>
      <w:r>
        <w:rPr>
          <w:w w:val="105"/>
          <w:sz w:val="16"/>
        </w:rPr>
        <w:t>of</w:t>
      </w:r>
      <w:r>
        <w:rPr>
          <w:spacing w:val="-9"/>
          <w:w w:val="105"/>
          <w:sz w:val="16"/>
        </w:rPr>
        <w:t> </w:t>
      </w:r>
      <w:r>
        <w:rPr>
          <w:w w:val="105"/>
          <w:sz w:val="16"/>
        </w:rPr>
        <w:t>$52</w:t>
      </w:r>
      <w:r>
        <w:rPr>
          <w:spacing w:val="-8"/>
          <w:w w:val="105"/>
          <w:sz w:val="16"/>
        </w:rPr>
        <w:t> </w:t>
      </w:r>
      <w:r>
        <w:rPr>
          <w:w w:val="105"/>
          <w:sz w:val="16"/>
        </w:rPr>
        <w:t>million</w:t>
      </w:r>
      <w:r>
        <w:rPr>
          <w:spacing w:val="-9"/>
          <w:w w:val="105"/>
          <w:sz w:val="16"/>
        </w:rPr>
        <w:t> </w:t>
      </w:r>
      <w:r>
        <w:rPr>
          <w:w w:val="105"/>
          <w:sz w:val="16"/>
        </w:rPr>
        <w:t>due</w:t>
      </w:r>
      <w:r>
        <w:rPr>
          <w:spacing w:val="-9"/>
          <w:w w:val="105"/>
          <w:sz w:val="16"/>
        </w:rPr>
        <w:t> </w:t>
      </w:r>
      <w:r>
        <w:rPr>
          <w:w w:val="105"/>
          <w:sz w:val="16"/>
        </w:rPr>
        <w:t>to</w:t>
      </w:r>
      <w:r>
        <w:rPr>
          <w:spacing w:val="-8"/>
          <w:w w:val="105"/>
          <w:sz w:val="16"/>
        </w:rPr>
        <w:t> </w:t>
      </w:r>
      <w:r>
        <w:rPr>
          <w:w w:val="105"/>
          <w:sz w:val="16"/>
        </w:rPr>
        <w:t>differences</w:t>
      </w:r>
      <w:r>
        <w:rPr>
          <w:spacing w:val="-9"/>
          <w:w w:val="105"/>
          <w:sz w:val="16"/>
        </w:rPr>
        <w:t> </w:t>
      </w:r>
      <w:r>
        <w:rPr>
          <w:w w:val="105"/>
          <w:sz w:val="16"/>
        </w:rPr>
        <w:t>arising</w:t>
      </w:r>
      <w:r>
        <w:rPr>
          <w:spacing w:val="-8"/>
          <w:w w:val="105"/>
          <w:sz w:val="16"/>
        </w:rPr>
        <w:t> </w:t>
      </w:r>
      <w:r>
        <w:rPr>
          <w:w w:val="105"/>
          <w:sz w:val="16"/>
        </w:rPr>
        <w:t>from</w:t>
      </w:r>
      <w:r>
        <w:rPr>
          <w:spacing w:val="-9"/>
          <w:w w:val="105"/>
          <w:sz w:val="16"/>
        </w:rPr>
        <w:t> </w:t>
      </w:r>
      <w:r>
        <w:rPr>
          <w:w w:val="105"/>
          <w:sz w:val="16"/>
        </w:rPr>
        <w:t>foreign</w:t>
      </w:r>
      <w:r>
        <w:rPr>
          <w:spacing w:val="-9"/>
          <w:w w:val="105"/>
          <w:sz w:val="16"/>
        </w:rPr>
        <w:t> </w:t>
      </w:r>
      <w:r>
        <w:rPr>
          <w:w w:val="105"/>
          <w:sz w:val="16"/>
        </w:rPr>
        <w:t>earnings,</w:t>
      </w:r>
      <w:r>
        <w:rPr>
          <w:spacing w:val="-8"/>
          <w:w w:val="105"/>
          <w:sz w:val="16"/>
        </w:rPr>
        <w:t> </w:t>
      </w:r>
      <w:r>
        <w:rPr>
          <w:w w:val="105"/>
          <w:sz w:val="16"/>
        </w:rPr>
        <w:t>including</w:t>
      </w:r>
      <w:r>
        <w:rPr>
          <w:spacing w:val="-9"/>
          <w:w w:val="105"/>
          <w:sz w:val="16"/>
        </w:rPr>
        <w:t> </w:t>
      </w:r>
      <w:r>
        <w:rPr>
          <w:w w:val="105"/>
          <w:sz w:val="16"/>
        </w:rPr>
        <w:t>the</w:t>
      </w:r>
      <w:r>
        <w:rPr>
          <w:spacing w:val="-8"/>
          <w:w w:val="105"/>
          <w:sz w:val="16"/>
        </w:rPr>
        <w:t> </w:t>
      </w:r>
      <w:r>
        <w:rPr>
          <w:w w:val="105"/>
          <w:sz w:val="16"/>
        </w:rPr>
        <w:t>impact</w:t>
      </w:r>
      <w:r>
        <w:rPr>
          <w:spacing w:val="-9"/>
          <w:w w:val="105"/>
          <w:sz w:val="16"/>
        </w:rPr>
        <w:t> </w:t>
      </w:r>
      <w:r>
        <w:rPr>
          <w:w w:val="105"/>
          <w:sz w:val="16"/>
        </w:rPr>
        <w:t>of</w:t>
      </w:r>
      <w:r>
        <w:rPr>
          <w:spacing w:val="-9"/>
          <w:w w:val="105"/>
          <w:sz w:val="16"/>
        </w:rPr>
        <w:t> </w:t>
      </w:r>
      <w:r>
        <w:rPr>
          <w:w w:val="105"/>
          <w:sz w:val="16"/>
        </w:rPr>
        <w:t>intercompany</w:t>
      </w:r>
      <w:r>
        <w:rPr>
          <w:spacing w:val="-8"/>
          <w:w w:val="105"/>
          <w:sz w:val="16"/>
        </w:rPr>
        <w:t> </w:t>
      </w:r>
      <w:r>
        <w:rPr>
          <w:w w:val="105"/>
          <w:sz w:val="16"/>
        </w:rPr>
        <w:t>asset</w:t>
      </w:r>
      <w:r>
        <w:rPr>
          <w:spacing w:val="-9"/>
          <w:w w:val="105"/>
          <w:sz w:val="16"/>
        </w:rPr>
        <w:t> </w:t>
      </w:r>
      <w:r>
        <w:rPr>
          <w:spacing w:val="-2"/>
          <w:w w:val="105"/>
          <w:sz w:val="16"/>
        </w:rPr>
        <w:t>sales;</w:t>
      </w:r>
    </w:p>
    <w:p>
      <w:pPr>
        <w:pStyle w:val="ListParagraph"/>
        <w:numPr>
          <w:ilvl w:val="0"/>
          <w:numId w:val="11"/>
        </w:numPr>
        <w:tabs>
          <w:tab w:pos="462" w:val="left" w:leader="none"/>
        </w:tabs>
        <w:spacing w:line="240" w:lineRule="auto" w:before="20" w:after="0"/>
        <w:ind w:left="462" w:right="0" w:hanging="306"/>
        <w:jc w:val="left"/>
        <w:rPr>
          <w:sz w:val="16"/>
        </w:rPr>
      </w:pPr>
      <w:r>
        <w:rPr>
          <w:w w:val="105"/>
          <w:sz w:val="16"/>
        </w:rPr>
        <w:t>A</w:t>
      </w:r>
      <w:r>
        <w:rPr>
          <w:spacing w:val="-10"/>
          <w:w w:val="105"/>
          <w:sz w:val="16"/>
        </w:rPr>
        <w:t> </w:t>
      </w:r>
      <w:r>
        <w:rPr>
          <w:w w:val="105"/>
          <w:sz w:val="16"/>
        </w:rPr>
        <w:t>net</w:t>
      </w:r>
      <w:r>
        <w:rPr>
          <w:spacing w:val="-9"/>
          <w:w w:val="105"/>
          <w:sz w:val="16"/>
        </w:rPr>
        <w:t> </w:t>
      </w:r>
      <w:r>
        <w:rPr>
          <w:w w:val="105"/>
          <w:sz w:val="16"/>
        </w:rPr>
        <w:t>benefit</w:t>
      </w:r>
      <w:r>
        <w:rPr>
          <w:spacing w:val="-9"/>
          <w:w w:val="105"/>
          <w:sz w:val="16"/>
        </w:rPr>
        <w:t> </w:t>
      </w:r>
      <w:r>
        <w:rPr>
          <w:w w:val="105"/>
          <w:sz w:val="16"/>
        </w:rPr>
        <w:t>of</w:t>
      </w:r>
      <w:r>
        <w:rPr>
          <w:spacing w:val="-9"/>
          <w:w w:val="105"/>
          <w:sz w:val="16"/>
        </w:rPr>
        <w:t> </w:t>
      </w:r>
      <w:r>
        <w:rPr>
          <w:w w:val="105"/>
          <w:sz w:val="16"/>
        </w:rPr>
        <w:t>$37</w:t>
      </w:r>
      <w:r>
        <w:rPr>
          <w:spacing w:val="-9"/>
          <w:w w:val="105"/>
          <w:sz w:val="16"/>
        </w:rPr>
        <w:t> </w:t>
      </w:r>
      <w:r>
        <w:rPr>
          <w:w w:val="105"/>
          <w:sz w:val="16"/>
        </w:rPr>
        <w:t>million</w:t>
      </w:r>
      <w:r>
        <w:rPr>
          <w:spacing w:val="-7"/>
          <w:w w:val="105"/>
          <w:sz w:val="16"/>
        </w:rPr>
        <w:t> </w:t>
      </w:r>
      <w:r>
        <w:rPr>
          <w:w w:val="105"/>
          <w:sz w:val="16"/>
        </w:rPr>
        <w:t>related</w:t>
      </w:r>
      <w:r>
        <w:rPr>
          <w:spacing w:val="-9"/>
          <w:w w:val="105"/>
          <w:sz w:val="16"/>
        </w:rPr>
        <w:t> </w:t>
      </w:r>
      <w:r>
        <w:rPr>
          <w:w w:val="105"/>
          <w:sz w:val="16"/>
        </w:rPr>
        <w:t>to</w:t>
      </w:r>
      <w:r>
        <w:rPr>
          <w:spacing w:val="-9"/>
          <w:w w:val="105"/>
          <w:sz w:val="16"/>
        </w:rPr>
        <w:t> </w:t>
      </w:r>
      <w:r>
        <w:rPr>
          <w:w w:val="105"/>
          <w:sz w:val="16"/>
        </w:rPr>
        <w:t>share-based</w:t>
      </w:r>
      <w:r>
        <w:rPr>
          <w:spacing w:val="-7"/>
          <w:w w:val="105"/>
          <w:sz w:val="16"/>
        </w:rPr>
        <w:t> </w:t>
      </w:r>
      <w:r>
        <w:rPr>
          <w:w w:val="105"/>
          <w:sz w:val="16"/>
        </w:rPr>
        <w:t>compensation</w:t>
      </w:r>
      <w:r>
        <w:rPr>
          <w:spacing w:val="-10"/>
          <w:w w:val="105"/>
          <w:sz w:val="16"/>
        </w:rPr>
        <w:t> </w:t>
      </w:r>
      <w:r>
        <w:rPr>
          <w:w w:val="105"/>
          <w:sz w:val="16"/>
        </w:rPr>
        <w:t>payments;</w:t>
      </w:r>
      <w:r>
        <w:rPr>
          <w:spacing w:val="-9"/>
          <w:w w:val="105"/>
          <w:sz w:val="16"/>
        </w:rPr>
        <w:t> </w:t>
      </w:r>
      <w:r>
        <w:rPr>
          <w:spacing w:val="-5"/>
          <w:w w:val="105"/>
          <w:sz w:val="16"/>
        </w:rPr>
        <w:t>and</w:t>
      </w:r>
    </w:p>
    <w:p>
      <w:pPr>
        <w:pStyle w:val="ListParagraph"/>
        <w:numPr>
          <w:ilvl w:val="0"/>
          <w:numId w:val="11"/>
        </w:numPr>
        <w:tabs>
          <w:tab w:pos="462" w:val="left" w:leader="none"/>
        </w:tabs>
        <w:spacing w:line="240" w:lineRule="auto" w:before="19" w:after="0"/>
        <w:ind w:left="462" w:right="0" w:hanging="306"/>
        <w:jc w:val="left"/>
        <w:rPr>
          <w:sz w:val="16"/>
        </w:rPr>
      </w:pPr>
      <w:r>
        <w:rPr>
          <w:w w:val="105"/>
          <w:sz w:val="16"/>
        </w:rPr>
        <w:t>A</w:t>
      </w:r>
      <w:r>
        <w:rPr>
          <w:spacing w:val="-6"/>
          <w:w w:val="105"/>
          <w:sz w:val="16"/>
        </w:rPr>
        <w:t> </w:t>
      </w:r>
      <w:r>
        <w:rPr>
          <w:w w:val="105"/>
          <w:sz w:val="16"/>
        </w:rPr>
        <w:t>net</w:t>
      </w:r>
      <w:r>
        <w:rPr>
          <w:spacing w:val="-6"/>
          <w:w w:val="105"/>
          <w:sz w:val="16"/>
        </w:rPr>
        <w:t> </w:t>
      </w:r>
      <w:r>
        <w:rPr>
          <w:w w:val="105"/>
          <w:sz w:val="16"/>
        </w:rPr>
        <w:t>benefit</w:t>
      </w:r>
      <w:r>
        <w:rPr>
          <w:spacing w:val="-5"/>
          <w:w w:val="105"/>
          <w:sz w:val="16"/>
        </w:rPr>
        <w:t> </w:t>
      </w:r>
      <w:r>
        <w:rPr>
          <w:w w:val="105"/>
          <w:sz w:val="16"/>
        </w:rPr>
        <w:t>of</w:t>
      </w:r>
      <w:r>
        <w:rPr>
          <w:spacing w:val="-6"/>
          <w:w w:val="105"/>
          <w:sz w:val="16"/>
        </w:rPr>
        <w:t> </w:t>
      </w:r>
      <w:r>
        <w:rPr>
          <w:w w:val="105"/>
          <w:sz w:val="16"/>
        </w:rPr>
        <w:t>$62</w:t>
      </w:r>
      <w:r>
        <w:rPr>
          <w:spacing w:val="-5"/>
          <w:w w:val="105"/>
          <w:sz w:val="16"/>
        </w:rPr>
        <w:t> </w:t>
      </w:r>
      <w:r>
        <w:rPr>
          <w:w w:val="105"/>
          <w:sz w:val="16"/>
        </w:rPr>
        <w:t>million</w:t>
      </w:r>
      <w:r>
        <w:rPr>
          <w:spacing w:val="-6"/>
          <w:w w:val="105"/>
          <w:sz w:val="16"/>
        </w:rPr>
        <w:t> </w:t>
      </w:r>
      <w:r>
        <w:rPr>
          <w:w w:val="105"/>
          <w:sz w:val="16"/>
        </w:rPr>
        <w:t>due</w:t>
      </w:r>
      <w:r>
        <w:rPr>
          <w:spacing w:val="-5"/>
          <w:w w:val="105"/>
          <w:sz w:val="16"/>
        </w:rPr>
        <w:t> </w:t>
      </w:r>
      <w:r>
        <w:rPr>
          <w:w w:val="105"/>
          <w:sz w:val="16"/>
        </w:rPr>
        <w:t>to</w:t>
      </w:r>
      <w:r>
        <w:rPr>
          <w:spacing w:val="-6"/>
          <w:w w:val="105"/>
          <w:sz w:val="16"/>
        </w:rPr>
        <w:t> </w:t>
      </w:r>
      <w:r>
        <w:rPr>
          <w:w w:val="105"/>
          <w:sz w:val="16"/>
        </w:rPr>
        <w:t>tax</w:t>
      </w:r>
      <w:r>
        <w:rPr>
          <w:spacing w:val="-5"/>
          <w:w w:val="105"/>
          <w:sz w:val="16"/>
        </w:rPr>
        <w:t> </w:t>
      </w:r>
      <w:r>
        <w:rPr>
          <w:spacing w:val="-2"/>
          <w:w w:val="105"/>
          <w:sz w:val="16"/>
        </w:rPr>
        <w:t>credits.</w:t>
      </w:r>
    </w:p>
    <w:p>
      <w:pPr>
        <w:pStyle w:val="BodyText"/>
        <w:spacing w:before="40"/>
      </w:pPr>
    </w:p>
    <w:p>
      <w:pPr>
        <w:pStyle w:val="BodyText"/>
        <w:ind w:left="156"/>
      </w:pPr>
      <w:r>
        <w:rPr>
          <w:w w:val="105"/>
        </w:rPr>
        <w:t>For</w:t>
      </w:r>
      <w:r>
        <w:rPr>
          <w:spacing w:val="-8"/>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2020,</w:t>
      </w:r>
      <w:r>
        <w:rPr>
          <w:spacing w:val="-6"/>
          <w:w w:val="105"/>
        </w:rPr>
        <w:t> </w:t>
      </w:r>
      <w:r>
        <w:rPr>
          <w:w w:val="105"/>
        </w:rPr>
        <w:t>the</w:t>
      </w:r>
      <w:r>
        <w:rPr>
          <w:spacing w:val="-7"/>
          <w:w w:val="105"/>
        </w:rPr>
        <w:t> </w:t>
      </w:r>
      <w:r>
        <w:rPr>
          <w:w w:val="105"/>
        </w:rPr>
        <w:t>effective</w:t>
      </w:r>
      <w:r>
        <w:rPr>
          <w:spacing w:val="-7"/>
          <w:w w:val="105"/>
        </w:rPr>
        <w:t> </w:t>
      </w:r>
      <w:r>
        <w:rPr>
          <w:w w:val="105"/>
        </w:rPr>
        <w:t>income</w:t>
      </w:r>
      <w:r>
        <w:rPr>
          <w:spacing w:val="-7"/>
          <w:w w:val="105"/>
        </w:rPr>
        <w:t> </w:t>
      </w:r>
      <w:r>
        <w:rPr>
          <w:w w:val="105"/>
        </w:rPr>
        <w:t>tax</w:t>
      </w:r>
      <w:r>
        <w:rPr>
          <w:spacing w:val="-8"/>
          <w:w w:val="105"/>
        </w:rPr>
        <w:t> </w:t>
      </w:r>
      <w:r>
        <w:rPr>
          <w:w w:val="105"/>
        </w:rPr>
        <w:t>rate</w:t>
      </w:r>
      <w:r>
        <w:rPr>
          <w:spacing w:val="-7"/>
          <w:w w:val="105"/>
        </w:rPr>
        <w:t> </w:t>
      </w:r>
      <w:r>
        <w:rPr>
          <w:w w:val="105"/>
        </w:rPr>
        <w:t>differed</w:t>
      </w:r>
      <w:r>
        <w:rPr>
          <w:spacing w:val="-5"/>
          <w:w w:val="105"/>
        </w:rPr>
        <w:t> </w:t>
      </w:r>
      <w:r>
        <w:rPr>
          <w:w w:val="105"/>
        </w:rPr>
        <w:t>from</w:t>
      </w:r>
      <w:r>
        <w:rPr>
          <w:spacing w:val="-7"/>
          <w:w w:val="105"/>
        </w:rPr>
        <w:t> </w:t>
      </w:r>
      <w:r>
        <w:rPr>
          <w:w w:val="105"/>
        </w:rPr>
        <w:t>the</w:t>
      </w:r>
      <w:r>
        <w:rPr>
          <w:spacing w:val="-8"/>
          <w:w w:val="105"/>
        </w:rPr>
        <w:t> </w:t>
      </w:r>
      <w:r>
        <w:rPr>
          <w:w w:val="105"/>
        </w:rPr>
        <w:t>U.S.</w:t>
      </w:r>
      <w:r>
        <w:rPr>
          <w:spacing w:val="-7"/>
          <w:w w:val="105"/>
        </w:rPr>
        <w:t> </w:t>
      </w:r>
      <w:r>
        <w:rPr>
          <w:w w:val="105"/>
        </w:rPr>
        <w:t>statutory</w:t>
      </w:r>
      <w:r>
        <w:rPr>
          <w:spacing w:val="-7"/>
          <w:w w:val="105"/>
        </w:rPr>
        <w:t> </w:t>
      </w:r>
      <w:r>
        <w:rPr>
          <w:w w:val="105"/>
        </w:rPr>
        <w:t>rate</w:t>
      </w:r>
      <w:r>
        <w:rPr>
          <w:spacing w:val="-7"/>
          <w:w w:val="105"/>
        </w:rPr>
        <w:t> </w:t>
      </w:r>
      <w:r>
        <w:rPr>
          <w:w w:val="105"/>
        </w:rPr>
        <w:t>of</w:t>
      </w:r>
      <w:r>
        <w:rPr>
          <w:spacing w:val="-7"/>
          <w:w w:val="105"/>
        </w:rPr>
        <w:t> </w:t>
      </w:r>
      <w:r>
        <w:rPr>
          <w:w w:val="105"/>
        </w:rPr>
        <w:t>21%</w:t>
      </w:r>
      <w:r>
        <w:rPr>
          <w:spacing w:val="-7"/>
          <w:w w:val="105"/>
        </w:rPr>
        <w:t> </w:t>
      </w:r>
      <w:r>
        <w:rPr>
          <w:w w:val="105"/>
        </w:rPr>
        <w:t>primarily</w:t>
      </w:r>
      <w:r>
        <w:rPr>
          <w:spacing w:val="-7"/>
          <w:w w:val="105"/>
        </w:rPr>
        <w:t> </w:t>
      </w:r>
      <w:r>
        <w:rPr>
          <w:w w:val="105"/>
        </w:rPr>
        <w:t>due</w:t>
      </w:r>
      <w:r>
        <w:rPr>
          <w:spacing w:val="-8"/>
          <w:w w:val="105"/>
        </w:rPr>
        <w:t> </w:t>
      </w:r>
      <w:r>
        <w:rPr>
          <w:w w:val="105"/>
        </w:rPr>
        <w:t>to</w:t>
      </w:r>
      <w:r>
        <w:rPr>
          <w:spacing w:val="-7"/>
          <w:w w:val="105"/>
        </w:rPr>
        <w:t> </w:t>
      </w:r>
      <w:r>
        <w:rPr>
          <w:w w:val="105"/>
        </w:rPr>
        <w:t>the</w:t>
      </w:r>
      <w:r>
        <w:rPr>
          <w:spacing w:val="-7"/>
          <w:w w:val="105"/>
        </w:rPr>
        <w:t> </w:t>
      </w:r>
      <w:r>
        <w:rPr>
          <w:spacing w:val="-2"/>
          <w:w w:val="105"/>
        </w:rPr>
        <w:t>following:</w:t>
      </w:r>
    </w:p>
    <w:p>
      <w:pPr>
        <w:pStyle w:val="BodyText"/>
        <w:spacing w:before="39"/>
      </w:pPr>
    </w:p>
    <w:p>
      <w:pPr>
        <w:pStyle w:val="ListParagraph"/>
        <w:numPr>
          <w:ilvl w:val="0"/>
          <w:numId w:val="11"/>
        </w:numPr>
        <w:tabs>
          <w:tab w:pos="462" w:val="left" w:leader="none"/>
        </w:tabs>
        <w:spacing w:line="240" w:lineRule="auto" w:before="1" w:after="0"/>
        <w:ind w:left="462" w:right="0" w:hanging="306"/>
        <w:jc w:val="left"/>
        <w:rPr>
          <w:sz w:val="16"/>
        </w:rPr>
      </w:pPr>
      <w:r>
        <w:rPr>
          <w:w w:val="105"/>
          <w:sz w:val="16"/>
        </w:rPr>
        <w:t>Additional</w:t>
      </w:r>
      <w:r>
        <w:rPr>
          <w:spacing w:val="-9"/>
          <w:w w:val="105"/>
          <w:sz w:val="16"/>
        </w:rPr>
        <w:t> </w:t>
      </w:r>
      <w:r>
        <w:rPr>
          <w:w w:val="105"/>
          <w:sz w:val="16"/>
        </w:rPr>
        <w:t>net</w:t>
      </w:r>
      <w:r>
        <w:rPr>
          <w:spacing w:val="-8"/>
          <w:w w:val="105"/>
          <w:sz w:val="16"/>
        </w:rPr>
        <w:t> </w:t>
      </w:r>
      <w:r>
        <w:rPr>
          <w:w w:val="105"/>
          <w:sz w:val="16"/>
        </w:rPr>
        <w:t>provision</w:t>
      </w:r>
      <w:r>
        <w:rPr>
          <w:spacing w:val="-8"/>
          <w:w w:val="105"/>
          <w:sz w:val="16"/>
        </w:rPr>
        <w:t> </w:t>
      </w:r>
      <w:r>
        <w:rPr>
          <w:w w:val="105"/>
          <w:sz w:val="16"/>
        </w:rPr>
        <w:t>of</w:t>
      </w:r>
      <w:r>
        <w:rPr>
          <w:spacing w:val="-8"/>
          <w:w w:val="105"/>
          <w:sz w:val="16"/>
        </w:rPr>
        <w:t> </w:t>
      </w:r>
      <w:r>
        <w:rPr>
          <w:w w:val="105"/>
          <w:sz w:val="16"/>
        </w:rPr>
        <w:t>$73</w:t>
      </w:r>
      <w:r>
        <w:rPr>
          <w:spacing w:val="-8"/>
          <w:w w:val="105"/>
          <w:sz w:val="16"/>
        </w:rPr>
        <w:t> </w:t>
      </w:r>
      <w:r>
        <w:rPr>
          <w:w w:val="105"/>
          <w:sz w:val="16"/>
        </w:rPr>
        <w:t>million</w:t>
      </w:r>
      <w:r>
        <w:rPr>
          <w:spacing w:val="-8"/>
          <w:w w:val="105"/>
          <w:sz w:val="16"/>
        </w:rPr>
        <w:t> </w:t>
      </w:r>
      <w:r>
        <w:rPr>
          <w:w w:val="105"/>
          <w:sz w:val="16"/>
        </w:rPr>
        <w:t>from</w:t>
      </w:r>
      <w:r>
        <w:rPr>
          <w:spacing w:val="-8"/>
          <w:w w:val="105"/>
          <w:sz w:val="16"/>
        </w:rPr>
        <w:t> </w:t>
      </w:r>
      <w:r>
        <w:rPr>
          <w:w w:val="105"/>
          <w:sz w:val="16"/>
        </w:rPr>
        <w:t>changes</w:t>
      </w:r>
      <w:r>
        <w:rPr>
          <w:spacing w:val="-8"/>
          <w:w w:val="105"/>
          <w:sz w:val="16"/>
        </w:rPr>
        <w:t> </w:t>
      </w:r>
      <w:r>
        <w:rPr>
          <w:w w:val="105"/>
          <w:sz w:val="16"/>
        </w:rPr>
        <w:t>to</w:t>
      </w:r>
      <w:r>
        <w:rPr>
          <w:spacing w:val="-8"/>
          <w:w w:val="105"/>
          <w:sz w:val="16"/>
        </w:rPr>
        <w:t> </w:t>
      </w:r>
      <w:r>
        <w:rPr>
          <w:w w:val="105"/>
          <w:sz w:val="16"/>
        </w:rPr>
        <w:t>our</w:t>
      </w:r>
      <w:r>
        <w:rPr>
          <w:spacing w:val="-8"/>
          <w:w w:val="105"/>
          <w:sz w:val="16"/>
        </w:rPr>
        <w:t> </w:t>
      </w:r>
      <w:r>
        <w:rPr>
          <w:w w:val="105"/>
          <w:sz w:val="16"/>
        </w:rPr>
        <w:t>tax</w:t>
      </w:r>
      <w:r>
        <w:rPr>
          <w:spacing w:val="-6"/>
          <w:w w:val="105"/>
          <w:sz w:val="16"/>
        </w:rPr>
        <w:t> </w:t>
      </w:r>
      <w:r>
        <w:rPr>
          <w:spacing w:val="-2"/>
          <w:w w:val="105"/>
          <w:sz w:val="16"/>
        </w:rPr>
        <w:t>reserves;</w:t>
      </w:r>
    </w:p>
    <w:p>
      <w:pPr>
        <w:pStyle w:val="ListParagraph"/>
        <w:numPr>
          <w:ilvl w:val="0"/>
          <w:numId w:val="11"/>
        </w:numPr>
        <w:tabs>
          <w:tab w:pos="462" w:val="left" w:leader="none"/>
        </w:tabs>
        <w:spacing w:line="266" w:lineRule="auto" w:before="19" w:after="0"/>
        <w:ind w:left="462" w:right="115" w:hanging="306"/>
        <w:jc w:val="left"/>
        <w:rPr>
          <w:sz w:val="16"/>
        </w:rPr>
      </w:pPr>
      <w:r>
        <w:rPr>
          <w:w w:val="105"/>
          <w:sz w:val="16"/>
        </w:rPr>
        <w:t>A</w:t>
      </w:r>
      <w:r>
        <w:rPr>
          <w:spacing w:val="-7"/>
          <w:w w:val="105"/>
          <w:sz w:val="16"/>
        </w:rPr>
        <w:t> </w:t>
      </w:r>
      <w:r>
        <w:rPr>
          <w:w w:val="105"/>
          <w:sz w:val="16"/>
        </w:rPr>
        <w:t>net</w:t>
      </w:r>
      <w:r>
        <w:rPr>
          <w:spacing w:val="-7"/>
          <w:w w:val="105"/>
          <w:sz w:val="16"/>
        </w:rPr>
        <w:t> </w:t>
      </w:r>
      <w:r>
        <w:rPr>
          <w:w w:val="105"/>
          <w:sz w:val="16"/>
        </w:rPr>
        <w:t>provision</w:t>
      </w:r>
      <w:r>
        <w:rPr>
          <w:spacing w:val="-7"/>
          <w:w w:val="105"/>
          <w:sz w:val="16"/>
        </w:rPr>
        <w:t> </w:t>
      </w:r>
      <w:r>
        <w:rPr>
          <w:w w:val="105"/>
          <w:sz w:val="16"/>
        </w:rPr>
        <w:t>of</w:t>
      </w:r>
      <w:r>
        <w:rPr>
          <w:spacing w:val="-7"/>
          <w:w w:val="105"/>
          <w:sz w:val="16"/>
        </w:rPr>
        <w:t> </w:t>
      </w:r>
      <w:r>
        <w:rPr>
          <w:w w:val="105"/>
          <w:sz w:val="16"/>
        </w:rPr>
        <w:t>$45</w:t>
      </w:r>
      <w:r>
        <w:rPr>
          <w:spacing w:val="-7"/>
          <w:w w:val="105"/>
          <w:sz w:val="16"/>
        </w:rPr>
        <w:t> </w:t>
      </w:r>
      <w:r>
        <w:rPr>
          <w:w w:val="105"/>
          <w:sz w:val="16"/>
        </w:rPr>
        <w:t>million</w:t>
      </w:r>
      <w:r>
        <w:rPr>
          <w:spacing w:val="-7"/>
          <w:w w:val="105"/>
          <w:sz w:val="16"/>
        </w:rPr>
        <w:t> </w:t>
      </w:r>
      <w:r>
        <w:rPr>
          <w:w w:val="105"/>
          <w:sz w:val="16"/>
        </w:rPr>
        <w:t>due</w:t>
      </w:r>
      <w:r>
        <w:rPr>
          <w:spacing w:val="-7"/>
          <w:w w:val="105"/>
          <w:sz w:val="16"/>
        </w:rPr>
        <w:t> </w:t>
      </w:r>
      <w:r>
        <w:rPr>
          <w:w w:val="105"/>
          <w:sz w:val="16"/>
        </w:rPr>
        <w:t>primarily</w:t>
      </w:r>
      <w:r>
        <w:rPr>
          <w:spacing w:val="-7"/>
          <w:w w:val="105"/>
          <w:sz w:val="16"/>
        </w:rPr>
        <w:t> </w:t>
      </w:r>
      <w:r>
        <w:rPr>
          <w:w w:val="105"/>
          <w:sz w:val="16"/>
        </w:rPr>
        <w:t>to</w:t>
      </w:r>
      <w:r>
        <w:rPr>
          <w:spacing w:val="-7"/>
          <w:w w:val="105"/>
          <w:sz w:val="16"/>
        </w:rPr>
        <w:t> </w:t>
      </w:r>
      <w:r>
        <w:rPr>
          <w:w w:val="105"/>
          <w:sz w:val="16"/>
        </w:rPr>
        <w:t>stronger</w:t>
      </w:r>
      <w:r>
        <w:rPr>
          <w:spacing w:val="-7"/>
          <w:w w:val="105"/>
          <w:sz w:val="16"/>
        </w:rPr>
        <w:t> </w:t>
      </w:r>
      <w:r>
        <w:rPr>
          <w:w w:val="105"/>
          <w:sz w:val="16"/>
        </w:rPr>
        <w:t>foreign</w:t>
      </w:r>
      <w:r>
        <w:rPr>
          <w:spacing w:val="-7"/>
          <w:w w:val="105"/>
          <w:sz w:val="16"/>
        </w:rPr>
        <w:t> </w:t>
      </w:r>
      <w:r>
        <w:rPr>
          <w:w w:val="105"/>
          <w:sz w:val="16"/>
        </w:rPr>
        <w:t>earnings</w:t>
      </w:r>
      <w:r>
        <w:rPr>
          <w:spacing w:val="-7"/>
          <w:w w:val="105"/>
          <w:sz w:val="16"/>
        </w:rPr>
        <w:t> </w:t>
      </w:r>
      <w:r>
        <w:rPr>
          <w:w w:val="105"/>
          <w:sz w:val="16"/>
        </w:rPr>
        <w:t>relative</w:t>
      </w:r>
      <w:r>
        <w:rPr>
          <w:spacing w:val="-6"/>
          <w:w w:val="105"/>
          <w:sz w:val="16"/>
        </w:rPr>
        <w:t> </w:t>
      </w:r>
      <w:r>
        <w:rPr>
          <w:w w:val="105"/>
          <w:sz w:val="16"/>
        </w:rPr>
        <w:t>to</w:t>
      </w:r>
      <w:r>
        <w:rPr>
          <w:spacing w:val="-7"/>
          <w:w w:val="105"/>
          <w:sz w:val="16"/>
        </w:rPr>
        <w:t> </w:t>
      </w:r>
      <w:r>
        <w:rPr>
          <w:w w:val="105"/>
          <w:sz w:val="16"/>
        </w:rPr>
        <w:t>U.S.</w:t>
      </w:r>
      <w:r>
        <w:rPr>
          <w:spacing w:val="-7"/>
          <w:w w:val="105"/>
          <w:sz w:val="16"/>
        </w:rPr>
        <w:t> </w:t>
      </w:r>
      <w:r>
        <w:rPr>
          <w:w w:val="105"/>
          <w:sz w:val="16"/>
        </w:rPr>
        <w:t>earnings</w:t>
      </w:r>
      <w:r>
        <w:rPr>
          <w:spacing w:val="-7"/>
          <w:w w:val="105"/>
          <w:sz w:val="16"/>
        </w:rPr>
        <w:t> </w:t>
      </w:r>
      <w:r>
        <w:rPr>
          <w:w w:val="105"/>
          <w:sz w:val="16"/>
        </w:rPr>
        <w:t>in</w:t>
      </w:r>
      <w:r>
        <w:rPr>
          <w:spacing w:val="-7"/>
          <w:w w:val="105"/>
          <w:sz w:val="16"/>
        </w:rPr>
        <w:t> </w:t>
      </w:r>
      <w:r>
        <w:rPr>
          <w:w w:val="105"/>
          <w:sz w:val="16"/>
        </w:rPr>
        <w:t>the</w:t>
      </w:r>
      <w:r>
        <w:rPr>
          <w:spacing w:val="-7"/>
          <w:w w:val="105"/>
          <w:sz w:val="16"/>
        </w:rPr>
        <w:t> </w:t>
      </w:r>
      <w:r>
        <w:rPr>
          <w:w w:val="105"/>
          <w:sz w:val="16"/>
        </w:rPr>
        <w:t>current</w:t>
      </w:r>
      <w:r>
        <w:rPr>
          <w:spacing w:val="-7"/>
          <w:w w:val="105"/>
          <w:sz w:val="16"/>
        </w:rPr>
        <w:t> </w:t>
      </w:r>
      <w:r>
        <w:rPr>
          <w:w w:val="105"/>
          <w:sz w:val="16"/>
        </w:rPr>
        <w:t>year,</w:t>
      </w:r>
      <w:r>
        <w:rPr>
          <w:spacing w:val="-7"/>
          <w:w w:val="105"/>
          <w:sz w:val="16"/>
        </w:rPr>
        <w:t> </w:t>
      </w:r>
      <w:r>
        <w:rPr>
          <w:w w:val="105"/>
          <w:sz w:val="16"/>
        </w:rPr>
        <w:t>as</w:t>
      </w:r>
      <w:r>
        <w:rPr>
          <w:spacing w:val="-7"/>
          <w:w w:val="105"/>
          <w:sz w:val="16"/>
        </w:rPr>
        <w:t> </w:t>
      </w:r>
      <w:r>
        <w:rPr>
          <w:w w:val="105"/>
          <w:sz w:val="16"/>
        </w:rPr>
        <w:t>well</w:t>
      </w:r>
      <w:r>
        <w:rPr>
          <w:spacing w:val="-7"/>
          <w:w w:val="105"/>
          <w:sz w:val="16"/>
        </w:rPr>
        <w:t> </w:t>
      </w:r>
      <w:r>
        <w:rPr>
          <w:w w:val="105"/>
          <w:sz w:val="16"/>
        </w:rPr>
        <w:t>as</w:t>
      </w:r>
      <w:r>
        <w:rPr>
          <w:spacing w:val="-7"/>
          <w:w w:val="105"/>
          <w:sz w:val="16"/>
        </w:rPr>
        <w:t> </w:t>
      </w:r>
      <w:r>
        <w:rPr>
          <w:w w:val="105"/>
          <w:sz w:val="16"/>
        </w:rPr>
        <w:t>U.S.</w:t>
      </w:r>
      <w:r>
        <w:rPr>
          <w:spacing w:val="-7"/>
          <w:w w:val="105"/>
          <w:sz w:val="16"/>
        </w:rPr>
        <w:t> </w:t>
      </w:r>
      <w:r>
        <w:rPr>
          <w:w w:val="105"/>
          <w:sz w:val="16"/>
        </w:rPr>
        <w:t>income</w:t>
      </w:r>
      <w:r>
        <w:rPr>
          <w:spacing w:val="-7"/>
          <w:w w:val="105"/>
          <w:sz w:val="16"/>
        </w:rPr>
        <w:t> </w:t>
      </w:r>
      <w:r>
        <w:rPr>
          <w:w w:val="105"/>
          <w:sz w:val="16"/>
        </w:rPr>
        <w:t>inclusion</w:t>
      </w:r>
      <w:r>
        <w:rPr>
          <w:spacing w:val="-7"/>
          <w:w w:val="105"/>
          <w:sz w:val="16"/>
        </w:rPr>
        <w:t> </w:t>
      </w:r>
      <w:r>
        <w:rPr>
          <w:w w:val="105"/>
          <w:sz w:val="16"/>
        </w:rPr>
        <w:t>under</w:t>
      </w:r>
      <w:r>
        <w:rPr>
          <w:spacing w:val="-6"/>
          <w:w w:val="105"/>
          <w:sz w:val="16"/>
        </w:rPr>
        <w:t> </w:t>
      </w:r>
      <w:r>
        <w:rPr>
          <w:w w:val="105"/>
          <w:sz w:val="16"/>
        </w:rPr>
        <w:t>the</w:t>
      </w:r>
      <w:r>
        <w:rPr>
          <w:spacing w:val="-7"/>
          <w:w w:val="105"/>
          <w:sz w:val="16"/>
        </w:rPr>
        <w:t> </w:t>
      </w:r>
      <w:r>
        <w:rPr>
          <w:w w:val="105"/>
          <w:sz w:val="16"/>
        </w:rPr>
        <w:t>Internal Revenue Code (“Subpart F income”); and</w:t>
      </w:r>
    </w:p>
    <w:p>
      <w:pPr>
        <w:pStyle w:val="ListParagraph"/>
        <w:numPr>
          <w:ilvl w:val="0"/>
          <w:numId w:val="11"/>
        </w:numPr>
        <w:tabs>
          <w:tab w:pos="462" w:val="left" w:leader="none"/>
        </w:tabs>
        <w:spacing w:line="183" w:lineRule="exact" w:before="0" w:after="0"/>
        <w:ind w:left="462" w:right="0" w:hanging="306"/>
        <w:jc w:val="left"/>
        <w:rPr>
          <w:sz w:val="16"/>
        </w:rPr>
      </w:pPr>
      <w:r>
        <w:rPr>
          <w:w w:val="105"/>
          <w:sz w:val="16"/>
        </w:rPr>
        <w:t>A</w:t>
      </w:r>
      <w:r>
        <w:rPr>
          <w:spacing w:val="-8"/>
          <w:w w:val="105"/>
          <w:sz w:val="16"/>
        </w:rPr>
        <w:t> </w:t>
      </w:r>
      <w:r>
        <w:rPr>
          <w:w w:val="105"/>
          <w:sz w:val="16"/>
        </w:rPr>
        <w:t>net</w:t>
      </w:r>
      <w:r>
        <w:rPr>
          <w:spacing w:val="-7"/>
          <w:w w:val="105"/>
          <w:sz w:val="16"/>
        </w:rPr>
        <w:t> </w:t>
      </w:r>
      <w:r>
        <w:rPr>
          <w:w w:val="105"/>
          <w:sz w:val="16"/>
        </w:rPr>
        <w:t>benefit</w:t>
      </w:r>
      <w:r>
        <w:rPr>
          <w:spacing w:val="-8"/>
          <w:w w:val="105"/>
          <w:sz w:val="16"/>
        </w:rPr>
        <w:t> </w:t>
      </w:r>
      <w:r>
        <w:rPr>
          <w:w w:val="105"/>
          <w:sz w:val="16"/>
        </w:rPr>
        <w:t>of</w:t>
      </w:r>
      <w:r>
        <w:rPr>
          <w:spacing w:val="-7"/>
          <w:w w:val="105"/>
          <w:sz w:val="16"/>
        </w:rPr>
        <w:t> </w:t>
      </w:r>
      <w:r>
        <w:rPr>
          <w:w w:val="105"/>
          <w:sz w:val="16"/>
        </w:rPr>
        <w:t>$116</w:t>
      </w:r>
      <w:r>
        <w:rPr>
          <w:spacing w:val="-8"/>
          <w:w w:val="105"/>
          <w:sz w:val="16"/>
        </w:rPr>
        <w:t> </w:t>
      </w:r>
      <w:r>
        <w:rPr>
          <w:w w:val="105"/>
          <w:sz w:val="16"/>
        </w:rPr>
        <w:t>million</w:t>
      </w:r>
      <w:r>
        <w:rPr>
          <w:spacing w:val="-7"/>
          <w:w w:val="105"/>
          <w:sz w:val="16"/>
        </w:rPr>
        <w:t> </w:t>
      </w:r>
      <w:r>
        <w:rPr>
          <w:w w:val="105"/>
          <w:sz w:val="16"/>
        </w:rPr>
        <w:t>due</w:t>
      </w:r>
      <w:r>
        <w:rPr>
          <w:spacing w:val="-8"/>
          <w:w w:val="105"/>
          <w:sz w:val="16"/>
        </w:rPr>
        <w:t> </w:t>
      </w:r>
      <w:r>
        <w:rPr>
          <w:w w:val="105"/>
          <w:sz w:val="16"/>
        </w:rPr>
        <w:t>to</w:t>
      </w:r>
      <w:r>
        <w:rPr>
          <w:spacing w:val="-7"/>
          <w:w w:val="105"/>
          <w:sz w:val="16"/>
        </w:rPr>
        <w:t> </w:t>
      </w:r>
      <w:r>
        <w:rPr>
          <w:w w:val="105"/>
          <w:sz w:val="16"/>
        </w:rPr>
        <w:t>a</w:t>
      </w:r>
      <w:r>
        <w:rPr>
          <w:spacing w:val="-8"/>
          <w:w w:val="105"/>
          <w:sz w:val="16"/>
        </w:rPr>
        <w:t> </w:t>
      </w:r>
      <w:r>
        <w:rPr>
          <w:w w:val="105"/>
          <w:sz w:val="16"/>
        </w:rPr>
        <w:t>net</w:t>
      </w:r>
      <w:r>
        <w:rPr>
          <w:spacing w:val="-7"/>
          <w:w w:val="105"/>
          <w:sz w:val="16"/>
        </w:rPr>
        <w:t> </w:t>
      </w:r>
      <w:r>
        <w:rPr>
          <w:w w:val="105"/>
          <w:sz w:val="16"/>
        </w:rPr>
        <w:t>operating</w:t>
      </w:r>
      <w:r>
        <w:rPr>
          <w:spacing w:val="-8"/>
          <w:w w:val="105"/>
          <w:sz w:val="16"/>
        </w:rPr>
        <w:t> </w:t>
      </w:r>
      <w:r>
        <w:rPr>
          <w:w w:val="105"/>
          <w:sz w:val="16"/>
        </w:rPr>
        <w:t>loss</w:t>
      </w:r>
      <w:r>
        <w:rPr>
          <w:spacing w:val="-7"/>
          <w:w w:val="105"/>
          <w:sz w:val="16"/>
        </w:rPr>
        <w:t> </w:t>
      </w:r>
      <w:r>
        <w:rPr>
          <w:w w:val="105"/>
          <w:sz w:val="16"/>
        </w:rPr>
        <w:t>carryback</w:t>
      </w:r>
      <w:r>
        <w:rPr>
          <w:spacing w:val="-8"/>
          <w:w w:val="105"/>
          <w:sz w:val="16"/>
        </w:rPr>
        <w:t> </w:t>
      </w:r>
      <w:r>
        <w:rPr>
          <w:w w:val="105"/>
          <w:sz w:val="16"/>
        </w:rPr>
        <w:t>allowed</w:t>
      </w:r>
      <w:r>
        <w:rPr>
          <w:spacing w:val="-7"/>
          <w:w w:val="105"/>
          <w:sz w:val="16"/>
        </w:rPr>
        <w:t> </w:t>
      </w:r>
      <w:r>
        <w:rPr>
          <w:w w:val="105"/>
          <w:sz w:val="16"/>
        </w:rPr>
        <w:t>under</w:t>
      </w:r>
      <w:r>
        <w:rPr>
          <w:spacing w:val="-8"/>
          <w:w w:val="105"/>
          <w:sz w:val="16"/>
        </w:rPr>
        <w:t> </w:t>
      </w:r>
      <w:r>
        <w:rPr>
          <w:w w:val="105"/>
          <w:sz w:val="16"/>
        </w:rPr>
        <w:t>the</w:t>
      </w:r>
      <w:r>
        <w:rPr>
          <w:spacing w:val="-7"/>
          <w:w w:val="105"/>
          <w:sz w:val="16"/>
        </w:rPr>
        <w:t> </w:t>
      </w:r>
      <w:r>
        <w:rPr>
          <w:w w:val="105"/>
          <w:sz w:val="16"/>
        </w:rPr>
        <w:t>CARES</w:t>
      </w:r>
      <w:r>
        <w:rPr>
          <w:spacing w:val="-8"/>
          <w:w w:val="105"/>
          <w:sz w:val="16"/>
        </w:rPr>
        <w:t> </w:t>
      </w:r>
      <w:r>
        <w:rPr>
          <w:spacing w:val="-4"/>
          <w:w w:val="105"/>
          <w:sz w:val="16"/>
        </w:rPr>
        <w:t>Act.</w:t>
      </w:r>
    </w:p>
    <w:p>
      <w:pPr>
        <w:pStyle w:val="BodyText"/>
        <w:spacing w:before="40"/>
      </w:pPr>
    </w:p>
    <w:p>
      <w:pPr>
        <w:pStyle w:val="BodyText"/>
        <w:spacing w:line="266" w:lineRule="auto"/>
        <w:ind w:left="156" w:right="117"/>
      </w:pPr>
      <w:r>
        <w:rPr>
          <w:w w:val="105"/>
        </w:rPr>
        <w:t>During</w:t>
      </w:r>
      <w:r>
        <w:rPr>
          <w:spacing w:val="-2"/>
          <w:w w:val="105"/>
        </w:rPr>
        <w:t> </w:t>
      </w:r>
      <w:r>
        <w:rPr>
          <w:w w:val="105"/>
        </w:rPr>
        <w:t>2021,</w:t>
      </w:r>
      <w:r>
        <w:rPr>
          <w:spacing w:val="-2"/>
          <w:w w:val="105"/>
        </w:rPr>
        <w:t> </w:t>
      </w:r>
      <w:r>
        <w:rPr>
          <w:w w:val="105"/>
        </w:rPr>
        <w:t>the</w:t>
      </w:r>
      <w:r>
        <w:rPr>
          <w:spacing w:val="-2"/>
          <w:w w:val="105"/>
        </w:rPr>
        <w:t> </w:t>
      </w:r>
      <w:r>
        <w:rPr>
          <w:w w:val="105"/>
        </w:rPr>
        <w:t>Company</w:t>
      </w:r>
      <w:r>
        <w:rPr>
          <w:spacing w:val="-2"/>
          <w:w w:val="105"/>
        </w:rPr>
        <w:t> </w:t>
      </w:r>
      <w:r>
        <w:rPr>
          <w:w w:val="105"/>
        </w:rPr>
        <w:t>distributed</w:t>
      </w:r>
      <w:r>
        <w:rPr>
          <w:spacing w:val="-2"/>
          <w:w w:val="105"/>
        </w:rPr>
        <w:t> </w:t>
      </w:r>
      <w:r>
        <w:rPr>
          <w:w w:val="105"/>
        </w:rPr>
        <w:t>approximately</w:t>
      </w:r>
      <w:r>
        <w:rPr>
          <w:spacing w:val="-2"/>
          <w:w w:val="105"/>
        </w:rPr>
        <w:t> </w:t>
      </w:r>
      <w:r>
        <w:rPr>
          <w:w w:val="105"/>
        </w:rPr>
        <w:t>$2.3</w:t>
      </w:r>
      <w:r>
        <w:rPr>
          <w:spacing w:val="-2"/>
          <w:w w:val="105"/>
        </w:rPr>
        <w:t> </w:t>
      </w:r>
      <w:r>
        <w:rPr>
          <w:w w:val="105"/>
        </w:rPr>
        <w:t>billion</w:t>
      </w:r>
      <w:r>
        <w:rPr>
          <w:spacing w:val="-2"/>
          <w:w w:val="105"/>
        </w:rPr>
        <w:t> </w:t>
      </w:r>
      <w:r>
        <w:rPr>
          <w:w w:val="105"/>
        </w:rPr>
        <w:t>from foreign</w:t>
      </w:r>
      <w:r>
        <w:rPr>
          <w:spacing w:val="-2"/>
          <w:w w:val="105"/>
        </w:rPr>
        <w:t> </w:t>
      </w:r>
      <w:r>
        <w:rPr>
          <w:w w:val="105"/>
        </w:rPr>
        <w:t>subsidiaries</w:t>
      </w:r>
      <w:r>
        <w:rPr>
          <w:spacing w:val="-2"/>
          <w:w w:val="105"/>
        </w:rPr>
        <w:t> </w:t>
      </w:r>
      <w:r>
        <w:rPr>
          <w:w w:val="105"/>
        </w:rPr>
        <w:t>to</w:t>
      </w:r>
      <w:r>
        <w:rPr>
          <w:spacing w:val="-2"/>
          <w:w w:val="105"/>
        </w:rPr>
        <w:t> </w:t>
      </w:r>
      <w:r>
        <w:rPr>
          <w:w w:val="105"/>
        </w:rPr>
        <w:t>their</w:t>
      </w:r>
      <w:r>
        <w:rPr>
          <w:spacing w:val="-2"/>
          <w:w w:val="105"/>
        </w:rPr>
        <w:t> </w:t>
      </w:r>
      <w:r>
        <w:rPr>
          <w:w w:val="105"/>
        </w:rPr>
        <w:t>respective</w:t>
      </w:r>
      <w:r>
        <w:rPr>
          <w:spacing w:val="-2"/>
          <w:w w:val="105"/>
        </w:rPr>
        <w:t> </w:t>
      </w:r>
      <w:r>
        <w:rPr>
          <w:w w:val="105"/>
        </w:rPr>
        <w:t>U.S.</w:t>
      </w:r>
      <w:r>
        <w:rPr>
          <w:spacing w:val="-2"/>
          <w:w w:val="105"/>
        </w:rPr>
        <w:t> </w:t>
      </w:r>
      <w:r>
        <w:rPr>
          <w:w w:val="105"/>
        </w:rPr>
        <w:t>parent</w:t>
      </w:r>
      <w:r>
        <w:rPr>
          <w:spacing w:val="-2"/>
          <w:w w:val="105"/>
        </w:rPr>
        <w:t> </w:t>
      </w:r>
      <w:r>
        <w:rPr>
          <w:w w:val="105"/>
        </w:rPr>
        <w:t>companies.</w:t>
      </w:r>
      <w:r>
        <w:rPr>
          <w:spacing w:val="38"/>
          <w:w w:val="105"/>
        </w:rPr>
        <w:t> </w:t>
      </w:r>
      <w:r>
        <w:rPr>
          <w:w w:val="105"/>
        </w:rPr>
        <w:t>As</w:t>
      </w:r>
      <w:r>
        <w:rPr>
          <w:spacing w:val="-2"/>
          <w:w w:val="105"/>
        </w:rPr>
        <w:t> </w:t>
      </w:r>
      <w:r>
        <w:rPr>
          <w:w w:val="105"/>
        </w:rPr>
        <w:t>of</w:t>
      </w:r>
      <w:r>
        <w:rPr>
          <w:spacing w:val="-2"/>
          <w:w w:val="105"/>
        </w:rPr>
        <w:t> </w:t>
      </w:r>
      <w:r>
        <w:rPr>
          <w:w w:val="105"/>
        </w:rPr>
        <w:t>December</w:t>
      </w:r>
      <w:r>
        <w:rPr>
          <w:spacing w:val="-2"/>
          <w:w w:val="105"/>
        </w:rPr>
        <w:t> </w:t>
      </w:r>
      <w:r>
        <w:rPr>
          <w:w w:val="105"/>
        </w:rPr>
        <w:t>31,</w:t>
      </w:r>
      <w:r>
        <w:rPr>
          <w:spacing w:val="-2"/>
          <w:w w:val="105"/>
        </w:rPr>
        <w:t> </w:t>
      </w:r>
      <w:r>
        <w:rPr>
          <w:w w:val="105"/>
        </w:rPr>
        <w:t>2021,</w:t>
      </w:r>
      <w:r>
        <w:rPr>
          <w:spacing w:val="-2"/>
          <w:w w:val="105"/>
        </w:rPr>
        <w:t> </w:t>
      </w:r>
      <w:r>
        <w:rPr>
          <w:w w:val="105"/>
        </w:rPr>
        <w:t>Corning has</w:t>
      </w:r>
      <w:r>
        <w:rPr>
          <w:spacing w:val="-8"/>
          <w:w w:val="105"/>
        </w:rPr>
        <w:t> </w:t>
      </w:r>
      <w:r>
        <w:rPr>
          <w:w w:val="105"/>
        </w:rPr>
        <w:t>approximately</w:t>
      </w:r>
      <w:r>
        <w:rPr>
          <w:spacing w:val="-8"/>
          <w:w w:val="105"/>
        </w:rPr>
        <w:t> </w:t>
      </w:r>
      <w:r>
        <w:rPr>
          <w:w w:val="105"/>
        </w:rPr>
        <w:t>$2.4</w:t>
      </w:r>
      <w:r>
        <w:rPr>
          <w:spacing w:val="-8"/>
          <w:w w:val="105"/>
        </w:rPr>
        <w:t> </w:t>
      </w:r>
      <w:r>
        <w:rPr>
          <w:w w:val="105"/>
        </w:rPr>
        <w:t>billion</w:t>
      </w:r>
      <w:r>
        <w:rPr>
          <w:spacing w:val="-8"/>
          <w:w w:val="105"/>
        </w:rPr>
        <w:t> </w:t>
      </w:r>
      <w:r>
        <w:rPr>
          <w:w w:val="105"/>
        </w:rPr>
        <w:t>of</w:t>
      </w:r>
      <w:r>
        <w:rPr>
          <w:spacing w:val="-8"/>
          <w:w w:val="105"/>
        </w:rPr>
        <w:t> </w:t>
      </w:r>
      <w:r>
        <w:rPr>
          <w:w w:val="105"/>
        </w:rPr>
        <w:t>indefinitely</w:t>
      </w:r>
      <w:r>
        <w:rPr>
          <w:spacing w:val="-8"/>
          <w:w w:val="105"/>
        </w:rPr>
        <w:t> </w:t>
      </w:r>
      <w:r>
        <w:rPr>
          <w:w w:val="105"/>
        </w:rPr>
        <w:t>reinvested</w:t>
      </w:r>
      <w:r>
        <w:rPr>
          <w:spacing w:val="-8"/>
          <w:w w:val="105"/>
        </w:rPr>
        <w:t> </w:t>
      </w:r>
      <w:r>
        <w:rPr>
          <w:w w:val="105"/>
        </w:rPr>
        <w:t>foreign</w:t>
      </w:r>
      <w:r>
        <w:rPr>
          <w:spacing w:val="-8"/>
          <w:w w:val="105"/>
        </w:rPr>
        <w:t> </w:t>
      </w:r>
      <w:r>
        <w:rPr>
          <w:w w:val="105"/>
        </w:rPr>
        <w:t>earnings.</w:t>
      </w:r>
      <w:r>
        <w:rPr>
          <w:spacing w:val="27"/>
          <w:w w:val="105"/>
        </w:rPr>
        <w:t> </w:t>
      </w:r>
      <w:r>
        <w:rPr>
          <w:w w:val="105"/>
        </w:rPr>
        <w:t>It</w:t>
      </w:r>
      <w:r>
        <w:rPr>
          <w:spacing w:val="-8"/>
          <w:w w:val="105"/>
        </w:rPr>
        <w:t> </w:t>
      </w:r>
      <w:r>
        <w:rPr>
          <w:w w:val="105"/>
        </w:rPr>
        <w:t>remains</w:t>
      </w:r>
      <w:r>
        <w:rPr>
          <w:spacing w:val="-8"/>
          <w:w w:val="105"/>
        </w:rPr>
        <w:t> </w:t>
      </w:r>
      <w:r>
        <w:rPr>
          <w:w w:val="105"/>
        </w:rPr>
        <w:t>impracticable</w:t>
      </w:r>
      <w:r>
        <w:rPr>
          <w:spacing w:val="-8"/>
          <w:w w:val="105"/>
        </w:rPr>
        <w:t> </w:t>
      </w:r>
      <w:r>
        <w:rPr>
          <w:w w:val="105"/>
        </w:rPr>
        <w:t>to</w:t>
      </w:r>
      <w:r>
        <w:rPr>
          <w:spacing w:val="-8"/>
          <w:w w:val="105"/>
        </w:rPr>
        <w:t> </w:t>
      </w:r>
      <w:r>
        <w:rPr>
          <w:w w:val="105"/>
        </w:rPr>
        <w:t>calculate</w:t>
      </w:r>
      <w:r>
        <w:rPr>
          <w:spacing w:val="-10"/>
          <w:w w:val="105"/>
        </w:rPr>
        <w:t> </w:t>
      </w:r>
      <w:r>
        <w:rPr>
          <w:w w:val="105"/>
        </w:rPr>
        <w:t>the</w:t>
      </w:r>
      <w:r>
        <w:rPr>
          <w:spacing w:val="-8"/>
          <w:w w:val="105"/>
        </w:rPr>
        <w:t> </w:t>
      </w:r>
      <w:r>
        <w:rPr>
          <w:w w:val="105"/>
        </w:rPr>
        <w:t>tax</w:t>
      </w:r>
      <w:r>
        <w:rPr>
          <w:spacing w:val="-8"/>
          <w:w w:val="105"/>
        </w:rPr>
        <w:t> </w:t>
      </w:r>
      <w:r>
        <w:rPr>
          <w:w w:val="105"/>
        </w:rPr>
        <w:t>cost</w:t>
      </w:r>
      <w:r>
        <w:rPr>
          <w:spacing w:val="-8"/>
          <w:w w:val="105"/>
        </w:rPr>
        <w:t> </w:t>
      </w:r>
      <w:r>
        <w:rPr>
          <w:w w:val="105"/>
        </w:rPr>
        <w:t>of</w:t>
      </w:r>
      <w:r>
        <w:rPr>
          <w:spacing w:val="-8"/>
          <w:w w:val="105"/>
        </w:rPr>
        <w:t> </w:t>
      </w:r>
      <w:r>
        <w:rPr>
          <w:w w:val="105"/>
        </w:rPr>
        <w:t>repatriating</w:t>
      </w:r>
      <w:r>
        <w:rPr>
          <w:spacing w:val="-10"/>
          <w:w w:val="105"/>
        </w:rPr>
        <w:t> </w:t>
      </w:r>
      <w:r>
        <w:rPr>
          <w:w w:val="105"/>
        </w:rPr>
        <w:t>our</w:t>
      </w:r>
      <w:r>
        <w:rPr>
          <w:spacing w:val="-8"/>
          <w:w w:val="105"/>
        </w:rPr>
        <w:t> </w:t>
      </w:r>
      <w:r>
        <w:rPr>
          <w:w w:val="105"/>
        </w:rPr>
        <w:t>unremitted</w:t>
      </w:r>
      <w:r>
        <w:rPr>
          <w:spacing w:val="-8"/>
          <w:w w:val="105"/>
        </w:rPr>
        <w:t> </w:t>
      </w:r>
      <w:r>
        <w:rPr>
          <w:w w:val="105"/>
        </w:rPr>
        <w:t>earnings</w:t>
      </w:r>
      <w:r>
        <w:rPr>
          <w:spacing w:val="-10"/>
          <w:w w:val="105"/>
        </w:rPr>
        <w:t> </w:t>
      </w:r>
      <w:r>
        <w:rPr>
          <w:w w:val="105"/>
        </w:rPr>
        <w:t>which</w:t>
      </w:r>
      <w:r>
        <w:rPr>
          <w:spacing w:val="-8"/>
          <w:w w:val="105"/>
        </w:rPr>
        <w:t> </w:t>
      </w:r>
      <w:r>
        <w:rPr>
          <w:w w:val="105"/>
        </w:rPr>
        <w:t>are considered indefinitely reinvested.</w:t>
      </w:r>
    </w:p>
    <w:p>
      <w:pPr>
        <w:pStyle w:val="BodyText"/>
        <w:spacing w:before="19"/>
      </w:pPr>
    </w:p>
    <w:p>
      <w:pPr>
        <w:pStyle w:val="BodyText"/>
        <w:ind w:left="156"/>
      </w:pPr>
      <w:r>
        <w:rPr>
          <w:w w:val="105"/>
        </w:rPr>
        <w:t>Refer</w:t>
      </w:r>
      <w:r>
        <w:rPr>
          <w:spacing w:val="-10"/>
          <w:w w:val="105"/>
        </w:rPr>
        <w:t> </w:t>
      </w:r>
      <w:r>
        <w:rPr>
          <w:w w:val="105"/>
        </w:rPr>
        <w:t>to</w:t>
      </w:r>
      <w:r>
        <w:rPr>
          <w:spacing w:val="-9"/>
          <w:w w:val="105"/>
        </w:rPr>
        <w:t> </w:t>
      </w:r>
      <w:r>
        <w:rPr>
          <w:w w:val="105"/>
        </w:rPr>
        <w:t>Note</w:t>
      </w:r>
      <w:r>
        <w:rPr>
          <w:spacing w:val="-9"/>
          <w:w w:val="105"/>
        </w:rPr>
        <w:t> </w:t>
      </w:r>
      <w:r>
        <w:rPr>
          <w:w w:val="105"/>
        </w:rPr>
        <w:t>8</w:t>
      </w:r>
      <w:r>
        <w:rPr>
          <w:spacing w:val="-9"/>
          <w:w w:val="105"/>
        </w:rPr>
        <w:t> </w:t>
      </w:r>
      <w:r>
        <w:rPr>
          <w:w w:val="105"/>
        </w:rPr>
        <w:t>(Income</w:t>
      </w:r>
      <w:r>
        <w:rPr>
          <w:spacing w:val="-9"/>
          <w:w w:val="105"/>
        </w:rPr>
        <w:t> </w:t>
      </w:r>
      <w:r>
        <w:rPr>
          <w:w w:val="105"/>
        </w:rPr>
        <w:t>Taxes)</w:t>
      </w:r>
      <w:r>
        <w:rPr>
          <w:spacing w:val="-9"/>
          <w:w w:val="105"/>
        </w:rPr>
        <w:t> </w:t>
      </w:r>
      <w:r>
        <w:rPr>
          <w:w w:val="105"/>
        </w:rPr>
        <w:t>to</w:t>
      </w:r>
      <w:r>
        <w:rPr>
          <w:spacing w:val="-9"/>
          <w:w w:val="105"/>
        </w:rPr>
        <w:t> </w:t>
      </w:r>
      <w:r>
        <w:rPr>
          <w:w w:val="105"/>
        </w:rPr>
        <w:t>the</w:t>
      </w:r>
      <w:r>
        <w:rPr>
          <w:spacing w:val="-10"/>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for</w:t>
      </w:r>
      <w:r>
        <w:rPr>
          <w:spacing w:val="-9"/>
          <w:w w:val="105"/>
        </w:rPr>
        <w:t> </w:t>
      </w:r>
      <w:r>
        <w:rPr>
          <w:w w:val="105"/>
        </w:rPr>
        <w:t>further</w:t>
      </w:r>
      <w:r>
        <w:rPr>
          <w:spacing w:val="-9"/>
          <w:w w:val="105"/>
        </w:rPr>
        <w:t> </w:t>
      </w:r>
      <w:r>
        <w:rPr>
          <w:w w:val="105"/>
        </w:rPr>
        <w:t>details</w:t>
      </w:r>
      <w:r>
        <w:rPr>
          <w:spacing w:val="-9"/>
          <w:w w:val="105"/>
        </w:rPr>
        <w:t> </w:t>
      </w:r>
      <w:r>
        <w:rPr>
          <w:w w:val="105"/>
        </w:rPr>
        <w:t>regarding</w:t>
      </w:r>
      <w:r>
        <w:rPr>
          <w:spacing w:val="-9"/>
          <w:w w:val="105"/>
        </w:rPr>
        <w:t> </w:t>
      </w:r>
      <w:r>
        <w:rPr>
          <w:w w:val="105"/>
        </w:rPr>
        <w:t>income</w:t>
      </w:r>
      <w:r>
        <w:rPr>
          <w:spacing w:val="-11"/>
          <w:w w:val="105"/>
        </w:rPr>
        <w:t> </w:t>
      </w:r>
      <w:r>
        <w:rPr>
          <w:w w:val="105"/>
        </w:rPr>
        <w:t>tax</w:t>
      </w:r>
      <w:r>
        <w:rPr>
          <w:spacing w:val="-9"/>
          <w:w w:val="105"/>
        </w:rPr>
        <w:t> </w:t>
      </w:r>
      <w:r>
        <w:rPr>
          <w:spacing w:val="-2"/>
          <w:w w:val="105"/>
        </w:rPr>
        <w:t>matters.</w:t>
      </w:r>
    </w:p>
    <w:p>
      <w:pPr>
        <w:pStyle w:val="BodyText"/>
        <w:spacing w:before="39"/>
      </w:pPr>
    </w:p>
    <w:p>
      <w:pPr>
        <w:pStyle w:val="BodyText"/>
        <w:ind w:left="48"/>
        <w:jc w:val="center"/>
      </w:pPr>
      <w:r>
        <w:rPr>
          <w:spacing w:val="-5"/>
          <w:w w:val="105"/>
        </w:rPr>
        <w:t>29</w:t>
      </w:r>
    </w:p>
    <w:p>
      <w:pPr>
        <w:pStyle w:val="BodyText"/>
        <w:rPr>
          <w:sz w:val="6"/>
        </w:rPr>
      </w:pPr>
      <w:r>
        <w:rPr/>
        <mc:AlternateContent>
          <mc:Choice Requires="wps">
            <w:drawing>
              <wp:anchor distT="0" distB="0" distL="0" distR="0" allowOverlap="1" layoutInCell="1" locked="0" behindDoc="1" simplePos="0" relativeHeight="487606784">
                <wp:simplePos x="0" y="0"/>
                <wp:positionH relativeFrom="page">
                  <wp:posOffset>226488</wp:posOffset>
                </wp:positionH>
                <wp:positionV relativeFrom="paragraph">
                  <wp:posOffset>59051</wp:posOffset>
                </wp:positionV>
                <wp:extent cx="7312659" cy="1651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09696;mso-wrap-distance-left:0;mso-wrap-distance-right:0" id="docshape43" filled="true" fillcolor="#000000" stroked="false">
                <v:fill type="solid"/>
                <w10:wrap type="topAndBottom"/>
              </v:rect>
            </w:pict>
          </mc:Fallback>
        </mc:AlternateContent>
      </w:r>
    </w:p>
    <w:p>
      <w:pPr>
        <w:spacing w:after="0"/>
        <w:rPr>
          <w:sz w:val="6"/>
        </w:rPr>
        <w:sectPr>
          <w:type w:val="continuous"/>
          <w:pgSz w:w="12240" w:h="15840"/>
          <w:pgMar w:header="428" w:footer="0" w:top="700" w:bottom="280" w:left="200" w:right="260"/>
        </w:sectPr>
      </w:pPr>
    </w:p>
    <w:p>
      <w:pPr>
        <w:pStyle w:val="BodyText"/>
        <w:spacing w:before="38"/>
      </w:pPr>
    </w:p>
    <w:p>
      <w:pPr>
        <w:pStyle w:val="Heading3"/>
      </w:pPr>
      <w:r>
        <w:rPr>
          <w:w w:val="105"/>
        </w:rPr>
        <w:t>Net</w:t>
      </w:r>
      <w:r>
        <w:rPr>
          <w:spacing w:val="-10"/>
          <w:w w:val="105"/>
        </w:rPr>
        <w:t> </w:t>
      </w:r>
      <w:r>
        <w:rPr>
          <w:w w:val="105"/>
        </w:rPr>
        <w:t>Income</w:t>
      </w:r>
      <w:r>
        <w:rPr>
          <w:spacing w:val="-10"/>
          <w:w w:val="105"/>
        </w:rPr>
        <w:t> </w:t>
      </w:r>
      <w:r>
        <w:rPr>
          <w:w w:val="105"/>
        </w:rPr>
        <w:t>Attributable</w:t>
      </w:r>
      <w:r>
        <w:rPr>
          <w:spacing w:val="-10"/>
          <w:w w:val="105"/>
        </w:rPr>
        <w:t> </w:t>
      </w:r>
      <w:r>
        <w:rPr>
          <w:w w:val="105"/>
        </w:rPr>
        <w:t>to</w:t>
      </w:r>
      <w:r>
        <w:rPr>
          <w:spacing w:val="-10"/>
          <w:w w:val="105"/>
        </w:rPr>
        <w:t> </w:t>
      </w:r>
      <w:r>
        <w:rPr>
          <w:w w:val="105"/>
        </w:rPr>
        <w:t>Corning</w:t>
      </w:r>
      <w:r>
        <w:rPr>
          <w:spacing w:val="-9"/>
          <w:w w:val="105"/>
        </w:rPr>
        <w:t> </w:t>
      </w:r>
      <w:r>
        <w:rPr>
          <w:spacing w:val="-2"/>
          <w:w w:val="105"/>
        </w:rPr>
        <w:t>Incorporated</w:t>
      </w:r>
    </w:p>
    <w:p>
      <w:pPr>
        <w:pStyle w:val="BodyText"/>
        <w:spacing w:before="40"/>
        <w:rPr>
          <w:b/>
          <w:i/>
        </w:rPr>
      </w:pPr>
    </w:p>
    <w:p>
      <w:pPr>
        <w:pStyle w:val="BodyText"/>
        <w:ind w:left="156"/>
      </w:pPr>
      <w:r>
        <w:rPr>
          <w:w w:val="105"/>
        </w:rPr>
        <w:t>As</w:t>
      </w:r>
      <w:r>
        <w:rPr>
          <w:spacing w:val="-8"/>
          <w:w w:val="105"/>
        </w:rPr>
        <w:t> </w:t>
      </w:r>
      <w:r>
        <w:rPr>
          <w:w w:val="105"/>
        </w:rPr>
        <w:t>a</w:t>
      </w:r>
      <w:r>
        <w:rPr>
          <w:spacing w:val="-7"/>
          <w:w w:val="105"/>
        </w:rPr>
        <w:t> </w:t>
      </w:r>
      <w:r>
        <w:rPr>
          <w:w w:val="105"/>
        </w:rPr>
        <w:t>result</w:t>
      </w:r>
      <w:r>
        <w:rPr>
          <w:spacing w:val="-8"/>
          <w:w w:val="105"/>
        </w:rPr>
        <w:t> </w:t>
      </w:r>
      <w:r>
        <w:rPr>
          <w:w w:val="105"/>
        </w:rPr>
        <w:t>of</w:t>
      </w:r>
      <w:r>
        <w:rPr>
          <w:spacing w:val="-7"/>
          <w:w w:val="105"/>
        </w:rPr>
        <w:t> </w:t>
      </w:r>
      <w:r>
        <w:rPr>
          <w:w w:val="105"/>
        </w:rPr>
        <w:t>the</w:t>
      </w:r>
      <w:r>
        <w:rPr>
          <w:spacing w:val="-8"/>
          <w:w w:val="105"/>
        </w:rPr>
        <w:t> </w:t>
      </w:r>
      <w:r>
        <w:rPr>
          <w:w w:val="105"/>
        </w:rPr>
        <w:t>items</w:t>
      </w:r>
      <w:r>
        <w:rPr>
          <w:spacing w:val="-7"/>
          <w:w w:val="105"/>
        </w:rPr>
        <w:t> </w:t>
      </w:r>
      <w:r>
        <w:rPr>
          <w:w w:val="105"/>
        </w:rPr>
        <w:t>discussed</w:t>
      </w:r>
      <w:r>
        <w:rPr>
          <w:spacing w:val="-8"/>
          <w:w w:val="105"/>
        </w:rPr>
        <w:t> </w:t>
      </w:r>
      <w:r>
        <w:rPr>
          <w:w w:val="105"/>
        </w:rPr>
        <w:t>above,</w:t>
      </w:r>
      <w:r>
        <w:rPr>
          <w:spacing w:val="-7"/>
          <w:w w:val="105"/>
        </w:rPr>
        <w:t> </w:t>
      </w:r>
      <w:r>
        <w:rPr>
          <w:w w:val="105"/>
        </w:rPr>
        <w:t>net</w:t>
      </w:r>
      <w:r>
        <w:rPr>
          <w:spacing w:val="-7"/>
          <w:w w:val="105"/>
        </w:rPr>
        <w:t> </w:t>
      </w:r>
      <w:r>
        <w:rPr>
          <w:w w:val="105"/>
        </w:rPr>
        <w:t>income</w:t>
      </w:r>
      <w:r>
        <w:rPr>
          <w:spacing w:val="-8"/>
          <w:w w:val="105"/>
        </w:rPr>
        <w:t> </w:t>
      </w:r>
      <w:r>
        <w:rPr>
          <w:w w:val="105"/>
        </w:rPr>
        <w:t>and</w:t>
      </w:r>
      <w:r>
        <w:rPr>
          <w:spacing w:val="-7"/>
          <w:w w:val="105"/>
        </w:rPr>
        <w:t> </w:t>
      </w:r>
      <w:r>
        <w:rPr>
          <w:w w:val="105"/>
        </w:rPr>
        <w:t>per</w:t>
      </w:r>
      <w:r>
        <w:rPr>
          <w:spacing w:val="-8"/>
          <w:w w:val="105"/>
        </w:rPr>
        <w:t> </w:t>
      </w:r>
      <w:r>
        <w:rPr>
          <w:w w:val="105"/>
        </w:rPr>
        <w:t>share</w:t>
      </w:r>
      <w:r>
        <w:rPr>
          <w:spacing w:val="-7"/>
          <w:w w:val="105"/>
        </w:rPr>
        <w:t> </w:t>
      </w:r>
      <w:r>
        <w:rPr>
          <w:w w:val="105"/>
        </w:rPr>
        <w:t>data</w:t>
      </w:r>
      <w:r>
        <w:rPr>
          <w:spacing w:val="-8"/>
          <w:w w:val="105"/>
        </w:rPr>
        <w:t> </w:t>
      </w:r>
      <w:r>
        <w:rPr>
          <w:w w:val="105"/>
        </w:rPr>
        <w:t>was</w:t>
      </w:r>
      <w:r>
        <w:rPr>
          <w:spacing w:val="-7"/>
          <w:w w:val="105"/>
        </w:rPr>
        <w:t> </w:t>
      </w:r>
      <w:r>
        <w:rPr>
          <w:w w:val="105"/>
        </w:rPr>
        <w:t>as</w:t>
      </w:r>
      <w:r>
        <w:rPr>
          <w:spacing w:val="-8"/>
          <w:w w:val="105"/>
        </w:rPr>
        <w:t> </w:t>
      </w:r>
      <w:r>
        <w:rPr>
          <w:w w:val="105"/>
        </w:rPr>
        <w:t>follows</w:t>
      </w:r>
      <w:r>
        <w:rPr>
          <w:spacing w:val="-7"/>
          <w:w w:val="105"/>
        </w:rPr>
        <w:t> </w:t>
      </w:r>
      <w:r>
        <w:rPr>
          <w:w w:val="105"/>
        </w:rPr>
        <w:t>(in</w:t>
      </w:r>
      <w:r>
        <w:rPr>
          <w:spacing w:val="-7"/>
          <w:w w:val="105"/>
        </w:rPr>
        <w:t> </w:t>
      </w:r>
      <w:r>
        <w:rPr>
          <w:w w:val="105"/>
        </w:rPr>
        <w:t>millions,</w:t>
      </w:r>
      <w:r>
        <w:rPr>
          <w:spacing w:val="-8"/>
          <w:w w:val="105"/>
        </w:rPr>
        <w:t> </w:t>
      </w:r>
      <w:r>
        <w:rPr>
          <w:w w:val="105"/>
        </w:rPr>
        <w:t>except</w:t>
      </w:r>
      <w:r>
        <w:rPr>
          <w:spacing w:val="-7"/>
          <w:w w:val="105"/>
        </w:rPr>
        <w:t> </w:t>
      </w:r>
      <w:r>
        <w:rPr>
          <w:w w:val="105"/>
        </w:rPr>
        <w:t>per</w:t>
      </w:r>
      <w:r>
        <w:rPr>
          <w:spacing w:val="-8"/>
          <w:w w:val="105"/>
        </w:rPr>
        <w:t> </w:t>
      </w:r>
      <w:r>
        <w:rPr>
          <w:w w:val="105"/>
        </w:rPr>
        <w:t>share</w:t>
      </w:r>
      <w:r>
        <w:rPr>
          <w:spacing w:val="-7"/>
          <w:w w:val="105"/>
        </w:rPr>
        <w:t> </w:t>
      </w:r>
      <w:r>
        <w:rPr>
          <w:spacing w:val="-2"/>
          <w:w w:val="105"/>
        </w:rPr>
        <w:t>amounts):</w:t>
      </w:r>
    </w:p>
    <w:p>
      <w:pPr>
        <w:pStyle w:val="BodyText"/>
        <w:spacing w:before="5" w:after="1"/>
        <w:rPr>
          <w:sz w:val="12"/>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1"/>
        <w:gridCol w:w="1014"/>
        <w:gridCol w:w="558"/>
        <w:gridCol w:w="788"/>
        <w:gridCol w:w="1022"/>
        <w:gridCol w:w="1111"/>
        <w:gridCol w:w="549"/>
      </w:tblGrid>
      <w:tr>
        <w:trPr>
          <w:trHeight w:val="200" w:hRule="atLeast"/>
        </w:trPr>
        <w:tc>
          <w:tcPr>
            <w:tcW w:w="8043" w:type="dxa"/>
            <w:gridSpan w:val="3"/>
            <w:tcBorders>
              <w:top w:val="single" w:sz="12" w:space="0" w:color="000000"/>
            </w:tcBorders>
          </w:tcPr>
          <w:p>
            <w:pPr>
              <w:pStyle w:val="TableParagraph"/>
              <w:rPr>
                <w:sz w:val="12"/>
              </w:rPr>
            </w:pPr>
          </w:p>
        </w:tc>
        <w:tc>
          <w:tcPr>
            <w:tcW w:w="1810" w:type="dxa"/>
            <w:gridSpan w:val="2"/>
            <w:tcBorders>
              <w:top w:val="single" w:sz="12" w:space="0" w:color="000000"/>
              <w:bottom w:val="single" w:sz="6" w:space="0" w:color="000000"/>
            </w:tcBorders>
          </w:tcPr>
          <w:p>
            <w:pPr>
              <w:pStyle w:val="TableParagraph"/>
              <w:spacing w:line="179" w:lineRule="exact" w:before="1"/>
              <w:ind w:left="27"/>
              <w:rPr>
                <w:sz w:val="16"/>
              </w:rPr>
            </w:pPr>
            <w:r>
              <w:rPr>
                <w:w w:val="105"/>
                <w:sz w:val="16"/>
              </w:rPr>
              <w:t>Year</w:t>
            </w:r>
            <w:r>
              <w:rPr>
                <w:spacing w:val="-12"/>
                <w:w w:val="105"/>
                <w:sz w:val="16"/>
              </w:rPr>
              <w:t> </w:t>
            </w:r>
            <w:r>
              <w:rPr>
                <w:w w:val="105"/>
                <w:sz w:val="16"/>
              </w:rPr>
              <w:t>ended</w:t>
            </w:r>
            <w:r>
              <w:rPr>
                <w:spacing w:val="-10"/>
                <w:w w:val="105"/>
                <w:sz w:val="16"/>
              </w:rPr>
              <w:t> </w:t>
            </w:r>
            <w:r>
              <w:rPr>
                <w:w w:val="105"/>
                <w:sz w:val="16"/>
              </w:rPr>
              <w:t>December</w:t>
            </w:r>
            <w:r>
              <w:rPr>
                <w:spacing w:val="-10"/>
                <w:w w:val="105"/>
                <w:sz w:val="16"/>
              </w:rPr>
              <w:t> </w:t>
            </w:r>
            <w:r>
              <w:rPr>
                <w:spacing w:val="-5"/>
                <w:w w:val="105"/>
                <w:sz w:val="16"/>
              </w:rPr>
              <w:t>31,</w:t>
            </w:r>
          </w:p>
        </w:tc>
        <w:tc>
          <w:tcPr>
            <w:tcW w:w="1660" w:type="dxa"/>
            <w:gridSpan w:val="2"/>
            <w:tcBorders>
              <w:top w:val="single" w:sz="12" w:space="0" w:color="000000"/>
              <w:bottom w:val="single" w:sz="6" w:space="0" w:color="000000"/>
            </w:tcBorders>
          </w:tcPr>
          <w:p>
            <w:pPr>
              <w:pStyle w:val="TableParagraph"/>
              <w:rPr>
                <w:sz w:val="12"/>
              </w:rPr>
            </w:pPr>
          </w:p>
        </w:tc>
      </w:tr>
      <w:tr>
        <w:trPr>
          <w:trHeight w:val="201" w:hRule="atLeast"/>
        </w:trPr>
        <w:tc>
          <w:tcPr>
            <w:tcW w:w="6471" w:type="dxa"/>
            <w:tcBorders>
              <w:bottom w:val="single" w:sz="6" w:space="0" w:color="000000"/>
            </w:tcBorders>
          </w:tcPr>
          <w:p>
            <w:pPr>
              <w:pStyle w:val="TableParagraph"/>
              <w:rPr>
                <w:sz w:val="14"/>
              </w:rPr>
            </w:pPr>
          </w:p>
        </w:tc>
        <w:tc>
          <w:tcPr>
            <w:tcW w:w="1014" w:type="dxa"/>
            <w:tcBorders>
              <w:top w:val="single" w:sz="6" w:space="0" w:color="000000"/>
              <w:bottom w:val="single" w:sz="6" w:space="0" w:color="000000"/>
            </w:tcBorders>
          </w:tcPr>
          <w:p>
            <w:pPr>
              <w:pStyle w:val="TableParagraph"/>
              <w:spacing w:line="179" w:lineRule="exact" w:before="2"/>
              <w:ind w:left="579"/>
              <w:rPr>
                <w:b/>
                <w:sz w:val="16"/>
              </w:rPr>
            </w:pPr>
            <w:r>
              <w:rPr>
                <w:b/>
                <w:spacing w:val="-4"/>
                <w:w w:val="105"/>
                <w:sz w:val="16"/>
              </w:rPr>
              <w:t>2021</w:t>
            </w:r>
          </w:p>
        </w:tc>
        <w:tc>
          <w:tcPr>
            <w:tcW w:w="558" w:type="dxa"/>
            <w:tcBorders>
              <w:top w:val="single" w:sz="6" w:space="0" w:color="000000"/>
              <w:bottom w:val="single" w:sz="6" w:space="0" w:color="000000"/>
            </w:tcBorders>
          </w:tcPr>
          <w:p>
            <w:pPr>
              <w:pStyle w:val="TableParagraph"/>
              <w:rPr>
                <w:sz w:val="14"/>
              </w:rPr>
            </w:pPr>
          </w:p>
        </w:tc>
        <w:tc>
          <w:tcPr>
            <w:tcW w:w="1810" w:type="dxa"/>
            <w:gridSpan w:val="2"/>
            <w:tcBorders>
              <w:top w:val="single" w:sz="6" w:space="0" w:color="000000"/>
              <w:bottom w:val="single" w:sz="6" w:space="0" w:color="000000"/>
            </w:tcBorders>
          </w:tcPr>
          <w:p>
            <w:pPr>
              <w:pStyle w:val="TableParagraph"/>
              <w:spacing w:line="179" w:lineRule="exact" w:before="2"/>
              <w:ind w:right="22"/>
              <w:jc w:val="center"/>
              <w:rPr>
                <w:sz w:val="16"/>
              </w:rPr>
            </w:pPr>
            <w:r>
              <w:rPr>
                <w:spacing w:val="-4"/>
                <w:w w:val="105"/>
                <w:sz w:val="16"/>
              </w:rPr>
              <w:t>2020</w:t>
            </w:r>
          </w:p>
        </w:tc>
        <w:tc>
          <w:tcPr>
            <w:tcW w:w="1111" w:type="dxa"/>
            <w:tcBorders>
              <w:top w:val="single" w:sz="6" w:space="0" w:color="000000"/>
              <w:bottom w:val="single" w:sz="6" w:space="0" w:color="000000"/>
            </w:tcBorders>
          </w:tcPr>
          <w:p>
            <w:pPr>
              <w:pStyle w:val="TableParagraph"/>
              <w:spacing w:line="179" w:lineRule="exact" w:before="2"/>
              <w:ind w:left="637"/>
              <w:rPr>
                <w:sz w:val="16"/>
              </w:rPr>
            </w:pPr>
            <w:r>
              <w:rPr>
                <w:spacing w:val="-4"/>
                <w:w w:val="105"/>
                <w:sz w:val="16"/>
              </w:rPr>
              <w:t>2019</w:t>
            </w:r>
          </w:p>
        </w:tc>
        <w:tc>
          <w:tcPr>
            <w:tcW w:w="549" w:type="dxa"/>
            <w:tcBorders>
              <w:top w:val="single" w:sz="6" w:space="0" w:color="000000"/>
              <w:bottom w:val="single" w:sz="6" w:space="0" w:color="000000"/>
            </w:tcBorders>
          </w:tcPr>
          <w:p>
            <w:pPr>
              <w:pStyle w:val="TableParagraph"/>
              <w:rPr>
                <w:sz w:val="14"/>
              </w:rPr>
            </w:pPr>
          </w:p>
        </w:tc>
      </w:tr>
      <w:tr>
        <w:trPr>
          <w:trHeight w:val="202" w:hRule="atLeast"/>
        </w:trPr>
        <w:tc>
          <w:tcPr>
            <w:tcW w:w="6471" w:type="dxa"/>
            <w:tcBorders>
              <w:top w:val="single" w:sz="6" w:space="0" w:color="000000"/>
            </w:tcBorders>
            <w:shd w:val="clear" w:color="auto" w:fill="CCEDFF"/>
          </w:tcPr>
          <w:p>
            <w:pPr>
              <w:pStyle w:val="TableParagraph"/>
              <w:spacing w:line="180" w:lineRule="exact" w:before="2"/>
              <w:rPr>
                <w:sz w:val="16"/>
              </w:rPr>
            </w:pPr>
            <w:r>
              <w:rPr>
                <w:w w:val="105"/>
                <w:sz w:val="16"/>
              </w:rPr>
              <w:t>Net</w:t>
            </w:r>
            <w:r>
              <w:rPr>
                <w:spacing w:val="-9"/>
                <w:w w:val="105"/>
                <w:sz w:val="16"/>
              </w:rPr>
              <w:t> </w:t>
            </w:r>
            <w:r>
              <w:rPr>
                <w:w w:val="105"/>
                <w:sz w:val="16"/>
              </w:rPr>
              <w:t>income</w:t>
            </w:r>
            <w:r>
              <w:rPr>
                <w:spacing w:val="-9"/>
                <w:w w:val="105"/>
                <w:sz w:val="16"/>
              </w:rPr>
              <w:t> </w:t>
            </w:r>
            <w:r>
              <w:rPr>
                <w:w w:val="105"/>
                <w:sz w:val="16"/>
              </w:rPr>
              <w:t>attributable</w:t>
            </w:r>
            <w:r>
              <w:rPr>
                <w:spacing w:val="-9"/>
                <w:w w:val="105"/>
                <w:sz w:val="16"/>
              </w:rPr>
              <w:t> </w:t>
            </w:r>
            <w:r>
              <w:rPr>
                <w:w w:val="105"/>
                <w:sz w:val="16"/>
              </w:rPr>
              <w:t>to</w:t>
            </w:r>
            <w:r>
              <w:rPr>
                <w:spacing w:val="-9"/>
                <w:w w:val="105"/>
                <w:sz w:val="16"/>
              </w:rPr>
              <w:t> </w:t>
            </w:r>
            <w:r>
              <w:rPr>
                <w:w w:val="105"/>
                <w:sz w:val="16"/>
              </w:rPr>
              <w:t>Corning</w:t>
            </w:r>
            <w:r>
              <w:rPr>
                <w:spacing w:val="-9"/>
                <w:w w:val="105"/>
                <w:sz w:val="16"/>
              </w:rPr>
              <w:t> </w:t>
            </w:r>
            <w:r>
              <w:rPr>
                <w:spacing w:val="-2"/>
                <w:w w:val="105"/>
                <w:sz w:val="16"/>
              </w:rPr>
              <w:t>Incorporated</w:t>
            </w:r>
          </w:p>
        </w:tc>
        <w:tc>
          <w:tcPr>
            <w:tcW w:w="1014"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558" w:type="dxa"/>
            <w:tcBorders>
              <w:top w:val="single" w:sz="6" w:space="0" w:color="000000"/>
            </w:tcBorders>
            <w:shd w:val="clear" w:color="auto" w:fill="CCEDFF"/>
          </w:tcPr>
          <w:p>
            <w:pPr>
              <w:pStyle w:val="TableParagraph"/>
              <w:spacing w:line="180" w:lineRule="exact" w:before="2"/>
              <w:ind w:left="22"/>
              <w:jc w:val="center"/>
              <w:rPr>
                <w:b/>
                <w:sz w:val="16"/>
              </w:rPr>
            </w:pPr>
            <w:r>
              <w:rPr>
                <w:b/>
                <w:spacing w:val="-4"/>
                <w:w w:val="105"/>
                <w:sz w:val="16"/>
              </w:rPr>
              <w:t>1,906</w:t>
            </w:r>
          </w:p>
        </w:tc>
        <w:tc>
          <w:tcPr>
            <w:tcW w:w="1810" w:type="dxa"/>
            <w:gridSpan w:val="2"/>
            <w:tcBorders>
              <w:top w:val="single" w:sz="6" w:space="0" w:color="000000"/>
            </w:tcBorders>
            <w:shd w:val="clear" w:color="auto" w:fill="CCEDFF"/>
          </w:tcPr>
          <w:p>
            <w:pPr>
              <w:pStyle w:val="TableParagraph"/>
              <w:tabs>
                <w:tab w:pos="1389" w:val="left" w:leader="none"/>
              </w:tabs>
              <w:spacing w:line="180" w:lineRule="exact" w:before="2"/>
              <w:ind w:left="147"/>
              <w:rPr>
                <w:sz w:val="16"/>
              </w:rPr>
            </w:pPr>
            <w:r>
              <w:rPr>
                <w:spacing w:val="-10"/>
                <w:w w:val="105"/>
                <w:sz w:val="16"/>
              </w:rPr>
              <w:t>$</w:t>
            </w:r>
            <w:r>
              <w:rPr>
                <w:sz w:val="16"/>
              </w:rPr>
              <w:tab/>
            </w:r>
            <w:r>
              <w:rPr>
                <w:spacing w:val="-5"/>
                <w:w w:val="105"/>
                <w:sz w:val="16"/>
              </w:rPr>
              <w:t>512</w:t>
            </w:r>
          </w:p>
        </w:tc>
        <w:tc>
          <w:tcPr>
            <w:tcW w:w="1111" w:type="dxa"/>
            <w:tcBorders>
              <w:top w:val="single" w:sz="6" w:space="0" w:color="000000"/>
            </w:tcBorders>
            <w:shd w:val="clear" w:color="auto" w:fill="CCEDFF"/>
          </w:tcPr>
          <w:p>
            <w:pPr>
              <w:pStyle w:val="TableParagraph"/>
              <w:spacing w:line="180" w:lineRule="exact" w:before="2"/>
              <w:ind w:left="57"/>
              <w:rPr>
                <w:sz w:val="16"/>
              </w:rPr>
            </w:pPr>
            <w:r>
              <w:rPr>
                <w:spacing w:val="-10"/>
                <w:w w:val="105"/>
                <w:sz w:val="16"/>
              </w:rPr>
              <w:t>$</w:t>
            </w:r>
          </w:p>
        </w:tc>
        <w:tc>
          <w:tcPr>
            <w:tcW w:w="549" w:type="dxa"/>
            <w:tcBorders>
              <w:top w:val="single" w:sz="6" w:space="0" w:color="000000"/>
            </w:tcBorders>
            <w:shd w:val="clear" w:color="auto" w:fill="CCEDFF"/>
          </w:tcPr>
          <w:p>
            <w:pPr>
              <w:pStyle w:val="TableParagraph"/>
              <w:spacing w:line="180" w:lineRule="exact" w:before="2"/>
              <w:ind w:left="76"/>
              <w:jc w:val="center"/>
              <w:rPr>
                <w:sz w:val="16"/>
              </w:rPr>
            </w:pPr>
            <w:r>
              <w:rPr>
                <w:spacing w:val="-5"/>
                <w:w w:val="105"/>
                <w:sz w:val="16"/>
              </w:rPr>
              <w:t>960</w:t>
            </w:r>
          </w:p>
        </w:tc>
      </w:tr>
      <w:tr>
        <w:trPr>
          <w:trHeight w:val="203" w:hRule="atLeast"/>
        </w:trPr>
        <w:tc>
          <w:tcPr>
            <w:tcW w:w="6471" w:type="dxa"/>
          </w:tcPr>
          <w:p>
            <w:pPr>
              <w:pStyle w:val="TableParagraph"/>
              <w:spacing w:line="180" w:lineRule="exact" w:before="3"/>
              <w:rPr>
                <w:sz w:val="16"/>
              </w:rPr>
            </w:pPr>
            <w:r>
              <w:rPr>
                <w:w w:val="105"/>
                <w:sz w:val="16"/>
              </w:rPr>
              <w:t>Series</w:t>
            </w:r>
            <w:r>
              <w:rPr>
                <w:spacing w:val="-13"/>
                <w:w w:val="105"/>
                <w:sz w:val="16"/>
              </w:rPr>
              <w:t> </w:t>
            </w:r>
            <w:r>
              <w:rPr>
                <w:w w:val="105"/>
                <w:sz w:val="16"/>
              </w:rPr>
              <w:t>A</w:t>
            </w:r>
            <w:r>
              <w:rPr>
                <w:spacing w:val="-10"/>
                <w:w w:val="105"/>
                <w:sz w:val="16"/>
              </w:rPr>
              <w:t> </w:t>
            </w:r>
            <w:r>
              <w:rPr>
                <w:w w:val="105"/>
                <w:sz w:val="16"/>
              </w:rPr>
              <w:t>convertible</w:t>
            </w:r>
            <w:r>
              <w:rPr>
                <w:spacing w:val="-10"/>
                <w:w w:val="105"/>
                <w:sz w:val="16"/>
              </w:rPr>
              <w:t> </w:t>
            </w:r>
            <w:r>
              <w:rPr>
                <w:w w:val="105"/>
                <w:sz w:val="16"/>
              </w:rPr>
              <w:t>preferred</w:t>
            </w:r>
            <w:r>
              <w:rPr>
                <w:spacing w:val="-10"/>
                <w:w w:val="105"/>
                <w:sz w:val="16"/>
              </w:rPr>
              <w:t> </w:t>
            </w:r>
            <w:r>
              <w:rPr>
                <w:w w:val="105"/>
                <w:sz w:val="16"/>
              </w:rPr>
              <w:t>stock</w:t>
            </w:r>
            <w:r>
              <w:rPr>
                <w:spacing w:val="-10"/>
                <w:w w:val="105"/>
                <w:sz w:val="16"/>
              </w:rPr>
              <w:t> </w:t>
            </w:r>
            <w:r>
              <w:rPr>
                <w:spacing w:val="-2"/>
                <w:w w:val="105"/>
                <w:sz w:val="16"/>
              </w:rPr>
              <w:t>dividend</w:t>
            </w:r>
          </w:p>
        </w:tc>
        <w:tc>
          <w:tcPr>
            <w:tcW w:w="1014" w:type="dxa"/>
          </w:tcPr>
          <w:p>
            <w:pPr>
              <w:pStyle w:val="TableParagraph"/>
              <w:rPr>
                <w:sz w:val="14"/>
              </w:rPr>
            </w:pPr>
          </w:p>
        </w:tc>
        <w:tc>
          <w:tcPr>
            <w:tcW w:w="558" w:type="dxa"/>
          </w:tcPr>
          <w:p>
            <w:pPr>
              <w:pStyle w:val="TableParagraph"/>
              <w:spacing w:line="180" w:lineRule="exact" w:before="3"/>
              <w:ind w:left="229"/>
              <w:jc w:val="center"/>
              <w:rPr>
                <w:b/>
                <w:sz w:val="16"/>
              </w:rPr>
            </w:pPr>
            <w:r>
              <w:rPr>
                <w:b/>
                <w:spacing w:val="-4"/>
                <w:w w:val="105"/>
                <w:sz w:val="16"/>
              </w:rPr>
              <w:t>(24)</w:t>
            </w:r>
          </w:p>
        </w:tc>
        <w:tc>
          <w:tcPr>
            <w:tcW w:w="1810" w:type="dxa"/>
            <w:gridSpan w:val="2"/>
          </w:tcPr>
          <w:p>
            <w:pPr>
              <w:pStyle w:val="TableParagraph"/>
              <w:spacing w:line="180" w:lineRule="exact" w:before="3"/>
              <w:ind w:right="114"/>
              <w:jc w:val="right"/>
              <w:rPr>
                <w:sz w:val="16"/>
              </w:rPr>
            </w:pPr>
            <w:r>
              <w:rPr>
                <w:spacing w:val="-4"/>
                <w:w w:val="105"/>
                <w:sz w:val="16"/>
              </w:rPr>
              <w:t>(98)</w:t>
            </w:r>
          </w:p>
        </w:tc>
        <w:tc>
          <w:tcPr>
            <w:tcW w:w="1111" w:type="dxa"/>
          </w:tcPr>
          <w:p>
            <w:pPr>
              <w:pStyle w:val="TableParagraph"/>
              <w:rPr>
                <w:sz w:val="14"/>
              </w:rPr>
            </w:pPr>
          </w:p>
        </w:tc>
        <w:tc>
          <w:tcPr>
            <w:tcW w:w="549" w:type="dxa"/>
          </w:tcPr>
          <w:p>
            <w:pPr>
              <w:pStyle w:val="TableParagraph"/>
              <w:spacing w:line="180" w:lineRule="exact" w:before="3"/>
              <w:ind w:left="158"/>
              <w:jc w:val="center"/>
              <w:rPr>
                <w:sz w:val="16"/>
              </w:rPr>
            </w:pPr>
            <w:r>
              <w:rPr>
                <w:spacing w:val="-4"/>
                <w:w w:val="105"/>
                <w:sz w:val="16"/>
              </w:rPr>
              <w:t>(98)</w:t>
            </w:r>
          </w:p>
        </w:tc>
      </w:tr>
      <w:tr>
        <w:trPr>
          <w:trHeight w:val="202" w:hRule="atLeast"/>
        </w:trPr>
        <w:tc>
          <w:tcPr>
            <w:tcW w:w="6471" w:type="dxa"/>
            <w:tcBorders>
              <w:bottom w:val="single" w:sz="6" w:space="0" w:color="000000"/>
            </w:tcBorders>
            <w:shd w:val="clear" w:color="auto" w:fill="CCEDFF"/>
          </w:tcPr>
          <w:p>
            <w:pPr>
              <w:pStyle w:val="TableParagraph"/>
              <w:spacing w:line="183" w:lineRule="exact"/>
              <w:rPr>
                <w:sz w:val="14"/>
              </w:rPr>
            </w:pPr>
            <w:r>
              <w:rPr>
                <w:w w:val="105"/>
                <w:sz w:val="16"/>
              </w:rPr>
              <w:t>Excess</w:t>
            </w:r>
            <w:r>
              <w:rPr>
                <w:spacing w:val="-10"/>
                <w:w w:val="105"/>
                <w:sz w:val="16"/>
              </w:rPr>
              <w:t> </w:t>
            </w:r>
            <w:r>
              <w:rPr>
                <w:w w:val="105"/>
                <w:sz w:val="16"/>
              </w:rPr>
              <w:t>consideration</w:t>
            </w:r>
            <w:r>
              <w:rPr>
                <w:spacing w:val="-10"/>
                <w:w w:val="105"/>
                <w:sz w:val="16"/>
              </w:rPr>
              <w:t> </w:t>
            </w:r>
            <w:r>
              <w:rPr>
                <w:w w:val="105"/>
                <w:sz w:val="16"/>
              </w:rPr>
              <w:t>paid</w:t>
            </w:r>
            <w:r>
              <w:rPr>
                <w:spacing w:val="-10"/>
                <w:w w:val="105"/>
                <w:sz w:val="16"/>
              </w:rPr>
              <w:t> </w:t>
            </w:r>
            <w:r>
              <w:rPr>
                <w:w w:val="105"/>
                <w:sz w:val="16"/>
              </w:rPr>
              <w:t>for</w:t>
            </w:r>
            <w:r>
              <w:rPr>
                <w:spacing w:val="-10"/>
                <w:w w:val="105"/>
                <w:sz w:val="16"/>
              </w:rPr>
              <w:t> </w:t>
            </w:r>
            <w:r>
              <w:rPr>
                <w:w w:val="105"/>
                <w:sz w:val="16"/>
              </w:rPr>
              <w:t>redemption</w:t>
            </w:r>
            <w:r>
              <w:rPr>
                <w:spacing w:val="-10"/>
                <w:w w:val="105"/>
                <w:sz w:val="16"/>
              </w:rPr>
              <w:t> </w:t>
            </w:r>
            <w:r>
              <w:rPr>
                <w:w w:val="105"/>
                <w:sz w:val="16"/>
              </w:rPr>
              <w:t>of</w:t>
            </w:r>
            <w:r>
              <w:rPr>
                <w:spacing w:val="-10"/>
                <w:w w:val="105"/>
                <w:sz w:val="16"/>
              </w:rPr>
              <w:t> </w:t>
            </w:r>
            <w:r>
              <w:rPr>
                <w:w w:val="105"/>
                <w:sz w:val="16"/>
              </w:rPr>
              <w:t>preferred</w:t>
            </w:r>
            <w:r>
              <w:rPr>
                <w:spacing w:val="-10"/>
                <w:w w:val="105"/>
                <w:sz w:val="16"/>
              </w:rPr>
              <w:t> </w:t>
            </w:r>
            <w:r>
              <w:rPr>
                <w:w w:val="105"/>
                <w:sz w:val="16"/>
              </w:rPr>
              <w:t>stock</w:t>
            </w:r>
            <w:r>
              <w:rPr>
                <w:spacing w:val="-10"/>
                <w:w w:val="105"/>
                <w:sz w:val="16"/>
              </w:rPr>
              <w:t> </w:t>
            </w:r>
            <w:r>
              <w:rPr>
                <w:spacing w:val="-5"/>
                <w:w w:val="105"/>
                <w:position w:val="3"/>
                <w:sz w:val="14"/>
              </w:rPr>
              <w:t>(1)</w:t>
            </w:r>
          </w:p>
        </w:tc>
        <w:tc>
          <w:tcPr>
            <w:tcW w:w="1014" w:type="dxa"/>
            <w:tcBorders>
              <w:bottom w:val="single" w:sz="6" w:space="0" w:color="000000"/>
            </w:tcBorders>
            <w:shd w:val="clear" w:color="auto" w:fill="CCEDFF"/>
          </w:tcPr>
          <w:p>
            <w:pPr>
              <w:pStyle w:val="TableParagraph"/>
              <w:rPr>
                <w:sz w:val="14"/>
              </w:rPr>
            </w:pPr>
          </w:p>
        </w:tc>
        <w:tc>
          <w:tcPr>
            <w:tcW w:w="558" w:type="dxa"/>
            <w:tcBorders>
              <w:bottom w:val="single" w:sz="6" w:space="0" w:color="000000"/>
            </w:tcBorders>
            <w:shd w:val="clear" w:color="auto" w:fill="CCEDFF"/>
          </w:tcPr>
          <w:p>
            <w:pPr>
              <w:pStyle w:val="TableParagraph"/>
              <w:spacing w:line="179" w:lineRule="exact" w:before="3"/>
              <w:ind w:left="146"/>
              <w:jc w:val="center"/>
              <w:rPr>
                <w:b/>
                <w:sz w:val="16"/>
              </w:rPr>
            </w:pPr>
            <w:r>
              <w:rPr>
                <w:b/>
                <w:spacing w:val="-2"/>
                <w:w w:val="105"/>
                <w:sz w:val="16"/>
              </w:rPr>
              <w:t>(803)</w:t>
            </w:r>
          </w:p>
        </w:tc>
        <w:tc>
          <w:tcPr>
            <w:tcW w:w="1810" w:type="dxa"/>
            <w:gridSpan w:val="2"/>
            <w:tcBorders>
              <w:bottom w:val="single" w:sz="6" w:space="0" w:color="000000"/>
            </w:tcBorders>
            <w:shd w:val="clear" w:color="auto" w:fill="CCEDFF"/>
          </w:tcPr>
          <w:p>
            <w:pPr>
              <w:pStyle w:val="TableParagraph"/>
              <w:rPr>
                <w:sz w:val="14"/>
              </w:rPr>
            </w:pPr>
          </w:p>
        </w:tc>
        <w:tc>
          <w:tcPr>
            <w:tcW w:w="1111" w:type="dxa"/>
            <w:tcBorders>
              <w:bottom w:val="single" w:sz="6" w:space="0" w:color="000000"/>
            </w:tcBorders>
            <w:shd w:val="clear" w:color="auto" w:fill="CCEDFF"/>
          </w:tcPr>
          <w:p>
            <w:pPr>
              <w:pStyle w:val="TableParagraph"/>
              <w:rPr>
                <w:sz w:val="14"/>
              </w:rPr>
            </w:pPr>
          </w:p>
        </w:tc>
        <w:tc>
          <w:tcPr>
            <w:tcW w:w="549" w:type="dxa"/>
            <w:tcBorders>
              <w:bottom w:val="single" w:sz="6" w:space="0" w:color="000000"/>
            </w:tcBorders>
            <w:shd w:val="clear" w:color="auto" w:fill="CCEDFF"/>
          </w:tcPr>
          <w:p>
            <w:pPr>
              <w:pStyle w:val="TableParagraph"/>
              <w:rPr>
                <w:sz w:val="14"/>
              </w:rPr>
            </w:pPr>
          </w:p>
        </w:tc>
      </w:tr>
      <w:tr>
        <w:trPr>
          <w:trHeight w:val="406" w:hRule="atLeast"/>
        </w:trPr>
        <w:tc>
          <w:tcPr>
            <w:tcW w:w="6471" w:type="dxa"/>
            <w:tcBorders>
              <w:top w:val="single" w:sz="6" w:space="0" w:color="000000"/>
            </w:tcBorders>
          </w:tcPr>
          <w:p>
            <w:pPr>
              <w:pStyle w:val="TableParagraph"/>
              <w:spacing w:before="2"/>
              <w:rPr>
                <w:sz w:val="16"/>
              </w:rPr>
            </w:pPr>
            <w:r>
              <w:rPr>
                <w:w w:val="105"/>
                <w:sz w:val="16"/>
              </w:rPr>
              <w:t>Net</w:t>
            </w:r>
            <w:r>
              <w:rPr>
                <w:spacing w:val="-11"/>
                <w:w w:val="105"/>
                <w:sz w:val="16"/>
              </w:rPr>
              <w:t> </w:t>
            </w:r>
            <w:r>
              <w:rPr>
                <w:w w:val="105"/>
                <w:sz w:val="16"/>
              </w:rPr>
              <w:t>income</w:t>
            </w:r>
            <w:r>
              <w:rPr>
                <w:spacing w:val="-10"/>
                <w:w w:val="105"/>
                <w:sz w:val="16"/>
              </w:rPr>
              <w:t> </w:t>
            </w:r>
            <w:r>
              <w:rPr>
                <w:w w:val="105"/>
                <w:sz w:val="16"/>
              </w:rPr>
              <w:t>available</w:t>
            </w:r>
            <w:r>
              <w:rPr>
                <w:spacing w:val="-9"/>
                <w:w w:val="105"/>
                <w:sz w:val="16"/>
              </w:rPr>
              <w:t> </w:t>
            </w:r>
            <w:r>
              <w:rPr>
                <w:w w:val="105"/>
                <w:sz w:val="16"/>
              </w:rPr>
              <w:t>to</w:t>
            </w:r>
            <w:r>
              <w:rPr>
                <w:spacing w:val="-11"/>
                <w:w w:val="105"/>
                <w:sz w:val="16"/>
              </w:rPr>
              <w:t> </w:t>
            </w:r>
            <w:r>
              <w:rPr>
                <w:w w:val="105"/>
                <w:sz w:val="16"/>
              </w:rPr>
              <w:t>common</w:t>
            </w:r>
            <w:r>
              <w:rPr>
                <w:spacing w:val="-10"/>
                <w:w w:val="105"/>
                <w:sz w:val="16"/>
              </w:rPr>
              <w:t> </w:t>
            </w:r>
            <w:r>
              <w:rPr>
                <w:w w:val="105"/>
                <w:sz w:val="16"/>
              </w:rPr>
              <w:t>shareholders</w:t>
            </w:r>
            <w:r>
              <w:rPr>
                <w:spacing w:val="-11"/>
                <w:w w:val="105"/>
                <w:sz w:val="16"/>
              </w:rPr>
              <w:t> </w:t>
            </w:r>
            <w:r>
              <w:rPr>
                <w:w w:val="105"/>
                <w:sz w:val="16"/>
              </w:rPr>
              <w:t>used</w:t>
            </w:r>
            <w:r>
              <w:rPr>
                <w:spacing w:val="-10"/>
                <w:w w:val="105"/>
                <w:sz w:val="16"/>
              </w:rPr>
              <w:t> </w:t>
            </w:r>
            <w:r>
              <w:rPr>
                <w:w w:val="105"/>
                <w:sz w:val="16"/>
              </w:rPr>
              <w:t>in</w:t>
            </w:r>
            <w:r>
              <w:rPr>
                <w:spacing w:val="-11"/>
                <w:w w:val="105"/>
                <w:sz w:val="16"/>
              </w:rPr>
              <w:t> </w:t>
            </w:r>
            <w:r>
              <w:rPr>
                <w:w w:val="105"/>
                <w:sz w:val="16"/>
              </w:rPr>
              <w:t>basic</w:t>
            </w:r>
            <w:r>
              <w:rPr>
                <w:spacing w:val="-10"/>
                <w:w w:val="105"/>
                <w:sz w:val="16"/>
              </w:rPr>
              <w:t> </w:t>
            </w:r>
            <w:r>
              <w:rPr>
                <w:w w:val="105"/>
                <w:sz w:val="16"/>
              </w:rPr>
              <w:t>earnings</w:t>
            </w:r>
            <w:r>
              <w:rPr>
                <w:spacing w:val="-11"/>
                <w:w w:val="105"/>
                <w:sz w:val="16"/>
              </w:rPr>
              <w:t> </w:t>
            </w:r>
            <w:r>
              <w:rPr>
                <w:w w:val="105"/>
                <w:sz w:val="16"/>
              </w:rPr>
              <w:t>per</w:t>
            </w:r>
            <w:r>
              <w:rPr>
                <w:spacing w:val="-10"/>
                <w:w w:val="105"/>
                <w:sz w:val="16"/>
              </w:rPr>
              <w:t> </w:t>
            </w:r>
            <w:r>
              <w:rPr>
                <w:w w:val="105"/>
                <w:sz w:val="16"/>
              </w:rPr>
              <w:t>common</w:t>
            </w:r>
            <w:r>
              <w:rPr>
                <w:spacing w:val="-11"/>
                <w:w w:val="105"/>
                <w:sz w:val="16"/>
              </w:rPr>
              <w:t> </w:t>
            </w:r>
            <w:r>
              <w:rPr>
                <w:spacing w:val="-2"/>
                <w:w w:val="105"/>
                <w:sz w:val="16"/>
              </w:rPr>
              <w:t>share</w:t>
            </w:r>
          </w:p>
          <w:p>
            <w:pPr>
              <w:pStyle w:val="TableParagraph"/>
              <w:spacing w:line="180" w:lineRule="exact" w:before="20"/>
              <w:ind w:left="152"/>
              <w:rPr>
                <w:sz w:val="16"/>
              </w:rPr>
            </w:pPr>
            <w:r>
              <w:rPr>
                <w:spacing w:val="-2"/>
                <w:w w:val="105"/>
                <w:sz w:val="16"/>
              </w:rPr>
              <w:t>calculation</w:t>
            </w:r>
          </w:p>
        </w:tc>
        <w:tc>
          <w:tcPr>
            <w:tcW w:w="1014" w:type="dxa"/>
            <w:tcBorders>
              <w:top w:val="single" w:sz="6" w:space="0" w:color="000000"/>
            </w:tcBorders>
          </w:tcPr>
          <w:p>
            <w:pPr>
              <w:pStyle w:val="TableParagraph"/>
              <w:spacing w:before="22"/>
              <w:rPr>
                <w:sz w:val="16"/>
              </w:rPr>
            </w:pPr>
          </w:p>
          <w:p>
            <w:pPr>
              <w:pStyle w:val="TableParagraph"/>
              <w:spacing w:line="180" w:lineRule="exact"/>
              <w:rPr>
                <w:b/>
                <w:sz w:val="16"/>
              </w:rPr>
            </w:pPr>
            <w:r>
              <w:rPr>
                <w:b/>
                <w:spacing w:val="-10"/>
                <w:w w:val="105"/>
                <w:sz w:val="16"/>
              </w:rPr>
              <w:t>$</w:t>
            </w:r>
          </w:p>
        </w:tc>
        <w:tc>
          <w:tcPr>
            <w:tcW w:w="558" w:type="dxa"/>
            <w:tcBorders>
              <w:top w:val="single" w:sz="6" w:space="0" w:color="000000"/>
            </w:tcBorders>
          </w:tcPr>
          <w:p>
            <w:pPr>
              <w:pStyle w:val="TableParagraph"/>
              <w:spacing w:before="22"/>
              <w:rPr>
                <w:sz w:val="16"/>
              </w:rPr>
            </w:pPr>
          </w:p>
          <w:p>
            <w:pPr>
              <w:pStyle w:val="TableParagraph"/>
              <w:spacing w:line="180" w:lineRule="exact"/>
              <w:ind w:left="22"/>
              <w:jc w:val="center"/>
              <w:rPr>
                <w:b/>
                <w:sz w:val="16"/>
              </w:rPr>
            </w:pPr>
            <w:r>
              <w:rPr>
                <w:b/>
                <w:spacing w:val="-4"/>
                <w:w w:val="105"/>
                <w:sz w:val="16"/>
              </w:rPr>
              <w:t>1,079</w:t>
            </w:r>
          </w:p>
        </w:tc>
        <w:tc>
          <w:tcPr>
            <w:tcW w:w="1810" w:type="dxa"/>
            <w:gridSpan w:val="2"/>
            <w:tcBorders>
              <w:top w:val="single" w:sz="6" w:space="0" w:color="000000"/>
            </w:tcBorders>
          </w:tcPr>
          <w:p>
            <w:pPr>
              <w:pStyle w:val="TableParagraph"/>
              <w:spacing w:before="22"/>
              <w:rPr>
                <w:sz w:val="16"/>
              </w:rPr>
            </w:pPr>
          </w:p>
          <w:p>
            <w:pPr>
              <w:pStyle w:val="TableParagraph"/>
              <w:tabs>
                <w:tab w:pos="1389" w:val="left" w:leader="none"/>
              </w:tabs>
              <w:spacing w:line="180" w:lineRule="exact"/>
              <w:ind w:left="147"/>
              <w:rPr>
                <w:sz w:val="16"/>
              </w:rPr>
            </w:pPr>
            <w:r>
              <w:rPr>
                <w:spacing w:val="-10"/>
                <w:w w:val="105"/>
                <w:sz w:val="16"/>
              </w:rPr>
              <w:t>$</w:t>
            </w:r>
            <w:r>
              <w:rPr>
                <w:sz w:val="16"/>
              </w:rPr>
              <w:tab/>
            </w:r>
            <w:r>
              <w:rPr>
                <w:spacing w:val="-5"/>
                <w:w w:val="105"/>
                <w:sz w:val="16"/>
              </w:rPr>
              <w:t>414</w:t>
            </w:r>
          </w:p>
        </w:tc>
        <w:tc>
          <w:tcPr>
            <w:tcW w:w="1111" w:type="dxa"/>
            <w:tcBorders>
              <w:top w:val="single" w:sz="6" w:space="0" w:color="000000"/>
            </w:tcBorders>
          </w:tcPr>
          <w:p>
            <w:pPr>
              <w:pStyle w:val="TableParagraph"/>
              <w:spacing w:before="22"/>
              <w:rPr>
                <w:sz w:val="16"/>
              </w:rPr>
            </w:pPr>
          </w:p>
          <w:p>
            <w:pPr>
              <w:pStyle w:val="TableParagraph"/>
              <w:spacing w:line="180" w:lineRule="exact"/>
              <w:ind w:left="57"/>
              <w:rPr>
                <w:sz w:val="16"/>
              </w:rPr>
            </w:pPr>
            <w:r>
              <w:rPr>
                <w:spacing w:val="-10"/>
                <w:w w:val="105"/>
                <w:sz w:val="16"/>
              </w:rPr>
              <w:t>$</w:t>
            </w:r>
          </w:p>
        </w:tc>
        <w:tc>
          <w:tcPr>
            <w:tcW w:w="549" w:type="dxa"/>
            <w:tcBorders>
              <w:top w:val="single" w:sz="6" w:space="0" w:color="000000"/>
            </w:tcBorders>
          </w:tcPr>
          <w:p>
            <w:pPr>
              <w:pStyle w:val="TableParagraph"/>
              <w:spacing w:before="22"/>
              <w:rPr>
                <w:sz w:val="16"/>
              </w:rPr>
            </w:pPr>
          </w:p>
          <w:p>
            <w:pPr>
              <w:pStyle w:val="TableParagraph"/>
              <w:spacing w:line="180" w:lineRule="exact"/>
              <w:ind w:left="76"/>
              <w:jc w:val="center"/>
              <w:rPr>
                <w:sz w:val="16"/>
              </w:rPr>
            </w:pPr>
            <w:r>
              <w:rPr>
                <w:spacing w:val="-5"/>
                <w:w w:val="105"/>
                <w:sz w:val="16"/>
              </w:rPr>
              <w:t>862</w:t>
            </w:r>
          </w:p>
        </w:tc>
      </w:tr>
      <w:tr>
        <w:trPr>
          <w:trHeight w:val="203" w:hRule="atLeast"/>
        </w:trPr>
        <w:tc>
          <w:tcPr>
            <w:tcW w:w="6471" w:type="dxa"/>
            <w:shd w:val="clear" w:color="auto" w:fill="CCEDFF"/>
          </w:tcPr>
          <w:p>
            <w:pPr>
              <w:pStyle w:val="TableParagraph"/>
              <w:rPr>
                <w:sz w:val="14"/>
              </w:rPr>
            </w:pPr>
          </w:p>
        </w:tc>
        <w:tc>
          <w:tcPr>
            <w:tcW w:w="1014" w:type="dxa"/>
            <w:shd w:val="clear" w:color="auto" w:fill="CCEDFF"/>
          </w:tcPr>
          <w:p>
            <w:pPr>
              <w:pStyle w:val="TableParagraph"/>
              <w:rPr>
                <w:sz w:val="14"/>
              </w:rPr>
            </w:pPr>
          </w:p>
        </w:tc>
        <w:tc>
          <w:tcPr>
            <w:tcW w:w="558" w:type="dxa"/>
            <w:shd w:val="clear" w:color="auto" w:fill="CCEDFF"/>
          </w:tcPr>
          <w:p>
            <w:pPr>
              <w:pStyle w:val="TableParagraph"/>
              <w:rPr>
                <w:sz w:val="14"/>
              </w:rPr>
            </w:pPr>
          </w:p>
        </w:tc>
        <w:tc>
          <w:tcPr>
            <w:tcW w:w="1810" w:type="dxa"/>
            <w:gridSpan w:val="2"/>
            <w:shd w:val="clear" w:color="auto" w:fill="CCEDFF"/>
          </w:tcPr>
          <w:p>
            <w:pPr>
              <w:pStyle w:val="TableParagraph"/>
              <w:rPr>
                <w:sz w:val="14"/>
              </w:rPr>
            </w:pPr>
          </w:p>
        </w:tc>
        <w:tc>
          <w:tcPr>
            <w:tcW w:w="1111" w:type="dxa"/>
            <w:shd w:val="clear" w:color="auto" w:fill="CCEDFF"/>
          </w:tcPr>
          <w:p>
            <w:pPr>
              <w:pStyle w:val="TableParagraph"/>
              <w:rPr>
                <w:sz w:val="14"/>
              </w:rPr>
            </w:pPr>
          </w:p>
        </w:tc>
        <w:tc>
          <w:tcPr>
            <w:tcW w:w="549" w:type="dxa"/>
            <w:shd w:val="clear" w:color="auto" w:fill="CCEDFF"/>
          </w:tcPr>
          <w:p>
            <w:pPr>
              <w:pStyle w:val="TableParagraph"/>
              <w:rPr>
                <w:sz w:val="14"/>
              </w:rPr>
            </w:pPr>
          </w:p>
        </w:tc>
      </w:tr>
      <w:tr>
        <w:trPr>
          <w:trHeight w:val="188" w:hRule="atLeast"/>
        </w:trPr>
        <w:tc>
          <w:tcPr>
            <w:tcW w:w="6471" w:type="dxa"/>
          </w:tcPr>
          <w:p>
            <w:pPr>
              <w:pStyle w:val="TableParagraph"/>
              <w:spacing w:line="165" w:lineRule="exact" w:before="3"/>
              <w:rPr>
                <w:sz w:val="16"/>
              </w:rPr>
            </w:pPr>
            <w:r>
              <w:rPr>
                <w:w w:val="105"/>
                <w:sz w:val="16"/>
              </w:rPr>
              <w:t>Net</w:t>
            </w:r>
            <w:r>
              <w:rPr>
                <w:spacing w:val="-11"/>
                <w:w w:val="105"/>
                <w:sz w:val="16"/>
              </w:rPr>
              <w:t> </w:t>
            </w:r>
            <w:r>
              <w:rPr>
                <w:w w:val="105"/>
                <w:sz w:val="16"/>
              </w:rPr>
              <w:t>income</w:t>
            </w:r>
            <w:r>
              <w:rPr>
                <w:spacing w:val="-10"/>
                <w:w w:val="105"/>
                <w:sz w:val="16"/>
              </w:rPr>
              <w:t> </w:t>
            </w:r>
            <w:r>
              <w:rPr>
                <w:w w:val="105"/>
                <w:sz w:val="16"/>
              </w:rPr>
              <w:t>available</w:t>
            </w:r>
            <w:r>
              <w:rPr>
                <w:spacing w:val="-10"/>
                <w:w w:val="105"/>
                <w:sz w:val="16"/>
              </w:rPr>
              <w:t> </w:t>
            </w:r>
            <w:r>
              <w:rPr>
                <w:w w:val="105"/>
                <w:sz w:val="16"/>
              </w:rPr>
              <w:t>to</w:t>
            </w:r>
            <w:r>
              <w:rPr>
                <w:spacing w:val="-10"/>
                <w:w w:val="105"/>
                <w:sz w:val="16"/>
              </w:rPr>
              <w:t> </w:t>
            </w:r>
            <w:r>
              <w:rPr>
                <w:w w:val="105"/>
                <w:sz w:val="16"/>
              </w:rPr>
              <w:t>common</w:t>
            </w:r>
            <w:r>
              <w:rPr>
                <w:spacing w:val="-11"/>
                <w:w w:val="105"/>
                <w:sz w:val="16"/>
              </w:rPr>
              <w:t> </w:t>
            </w:r>
            <w:r>
              <w:rPr>
                <w:w w:val="105"/>
                <w:sz w:val="16"/>
              </w:rPr>
              <w:t>shareholders</w:t>
            </w:r>
            <w:r>
              <w:rPr>
                <w:spacing w:val="-10"/>
                <w:w w:val="105"/>
                <w:sz w:val="16"/>
              </w:rPr>
              <w:t> </w:t>
            </w:r>
            <w:r>
              <w:rPr>
                <w:w w:val="105"/>
                <w:sz w:val="16"/>
              </w:rPr>
              <w:t>used</w:t>
            </w:r>
            <w:r>
              <w:rPr>
                <w:spacing w:val="-11"/>
                <w:w w:val="105"/>
                <w:sz w:val="16"/>
              </w:rPr>
              <w:t> </w:t>
            </w:r>
            <w:r>
              <w:rPr>
                <w:w w:val="105"/>
                <w:sz w:val="16"/>
              </w:rPr>
              <w:t>in</w:t>
            </w:r>
            <w:r>
              <w:rPr>
                <w:spacing w:val="-10"/>
                <w:w w:val="105"/>
                <w:sz w:val="16"/>
              </w:rPr>
              <w:t> </w:t>
            </w:r>
            <w:r>
              <w:rPr>
                <w:w w:val="105"/>
                <w:sz w:val="16"/>
              </w:rPr>
              <w:t>diluted</w:t>
            </w:r>
            <w:r>
              <w:rPr>
                <w:spacing w:val="-11"/>
                <w:w w:val="105"/>
                <w:sz w:val="16"/>
              </w:rPr>
              <w:t> </w:t>
            </w:r>
            <w:r>
              <w:rPr>
                <w:w w:val="105"/>
                <w:sz w:val="16"/>
              </w:rPr>
              <w:t>earnings</w:t>
            </w:r>
            <w:r>
              <w:rPr>
                <w:spacing w:val="-10"/>
                <w:w w:val="105"/>
                <w:sz w:val="16"/>
              </w:rPr>
              <w:t> </w:t>
            </w:r>
            <w:r>
              <w:rPr>
                <w:w w:val="105"/>
                <w:sz w:val="16"/>
              </w:rPr>
              <w:t>per</w:t>
            </w:r>
            <w:r>
              <w:rPr>
                <w:spacing w:val="-11"/>
                <w:w w:val="105"/>
                <w:sz w:val="16"/>
              </w:rPr>
              <w:t> </w:t>
            </w:r>
            <w:r>
              <w:rPr>
                <w:w w:val="105"/>
                <w:sz w:val="16"/>
              </w:rPr>
              <w:t>common</w:t>
            </w:r>
            <w:r>
              <w:rPr>
                <w:spacing w:val="-10"/>
                <w:w w:val="105"/>
                <w:sz w:val="16"/>
              </w:rPr>
              <w:t> </w:t>
            </w:r>
            <w:r>
              <w:rPr>
                <w:spacing w:val="-4"/>
                <w:w w:val="105"/>
                <w:sz w:val="16"/>
              </w:rPr>
              <w:t>share</w:t>
            </w:r>
          </w:p>
        </w:tc>
        <w:tc>
          <w:tcPr>
            <w:tcW w:w="1014" w:type="dxa"/>
          </w:tcPr>
          <w:p>
            <w:pPr>
              <w:pStyle w:val="TableParagraph"/>
              <w:rPr>
                <w:sz w:val="12"/>
              </w:rPr>
            </w:pPr>
          </w:p>
        </w:tc>
        <w:tc>
          <w:tcPr>
            <w:tcW w:w="558" w:type="dxa"/>
          </w:tcPr>
          <w:p>
            <w:pPr>
              <w:pStyle w:val="TableParagraph"/>
              <w:rPr>
                <w:sz w:val="12"/>
              </w:rPr>
            </w:pPr>
          </w:p>
        </w:tc>
        <w:tc>
          <w:tcPr>
            <w:tcW w:w="1810" w:type="dxa"/>
            <w:gridSpan w:val="2"/>
          </w:tcPr>
          <w:p>
            <w:pPr>
              <w:pStyle w:val="TableParagraph"/>
              <w:rPr>
                <w:sz w:val="12"/>
              </w:rPr>
            </w:pPr>
          </w:p>
        </w:tc>
        <w:tc>
          <w:tcPr>
            <w:tcW w:w="1111" w:type="dxa"/>
          </w:tcPr>
          <w:p>
            <w:pPr>
              <w:pStyle w:val="TableParagraph"/>
              <w:rPr>
                <w:sz w:val="12"/>
              </w:rPr>
            </w:pPr>
          </w:p>
        </w:tc>
        <w:tc>
          <w:tcPr>
            <w:tcW w:w="549" w:type="dxa"/>
          </w:tcPr>
          <w:p>
            <w:pPr>
              <w:pStyle w:val="TableParagraph"/>
              <w:rPr>
                <w:sz w:val="12"/>
              </w:rPr>
            </w:pPr>
          </w:p>
        </w:tc>
      </w:tr>
      <w:tr>
        <w:trPr>
          <w:trHeight w:val="218" w:hRule="atLeast"/>
        </w:trPr>
        <w:tc>
          <w:tcPr>
            <w:tcW w:w="6471" w:type="dxa"/>
          </w:tcPr>
          <w:p>
            <w:pPr>
              <w:pStyle w:val="TableParagraph"/>
              <w:spacing w:line="180" w:lineRule="exact" w:before="18"/>
              <w:ind w:left="152"/>
              <w:rPr>
                <w:sz w:val="16"/>
              </w:rPr>
            </w:pPr>
            <w:r>
              <w:rPr>
                <w:spacing w:val="-2"/>
                <w:w w:val="105"/>
                <w:sz w:val="16"/>
              </w:rPr>
              <w:t>calculation</w:t>
            </w:r>
          </w:p>
        </w:tc>
        <w:tc>
          <w:tcPr>
            <w:tcW w:w="1014" w:type="dxa"/>
          </w:tcPr>
          <w:p>
            <w:pPr>
              <w:pStyle w:val="TableParagraph"/>
              <w:spacing w:line="180" w:lineRule="exact" w:before="18"/>
              <w:rPr>
                <w:b/>
                <w:sz w:val="16"/>
              </w:rPr>
            </w:pPr>
            <w:r>
              <w:rPr>
                <w:b/>
                <w:spacing w:val="-10"/>
                <w:w w:val="105"/>
                <w:sz w:val="16"/>
              </w:rPr>
              <w:t>$</w:t>
            </w:r>
          </w:p>
        </w:tc>
        <w:tc>
          <w:tcPr>
            <w:tcW w:w="558" w:type="dxa"/>
          </w:tcPr>
          <w:p>
            <w:pPr>
              <w:pStyle w:val="TableParagraph"/>
              <w:spacing w:line="180" w:lineRule="exact" w:before="18"/>
              <w:ind w:left="22"/>
              <w:jc w:val="center"/>
              <w:rPr>
                <w:b/>
                <w:sz w:val="16"/>
              </w:rPr>
            </w:pPr>
            <w:r>
              <w:rPr>
                <w:b/>
                <w:spacing w:val="-4"/>
                <w:w w:val="105"/>
                <w:sz w:val="16"/>
              </w:rPr>
              <w:t>1,079</w:t>
            </w:r>
          </w:p>
        </w:tc>
        <w:tc>
          <w:tcPr>
            <w:tcW w:w="788" w:type="dxa"/>
          </w:tcPr>
          <w:p>
            <w:pPr>
              <w:pStyle w:val="TableParagraph"/>
              <w:spacing w:line="180" w:lineRule="exact" w:before="18"/>
              <w:ind w:left="147"/>
              <w:rPr>
                <w:sz w:val="16"/>
              </w:rPr>
            </w:pPr>
            <w:r>
              <w:rPr>
                <w:spacing w:val="-10"/>
                <w:w w:val="105"/>
                <w:sz w:val="16"/>
              </w:rPr>
              <w:t>$</w:t>
            </w:r>
          </w:p>
        </w:tc>
        <w:tc>
          <w:tcPr>
            <w:tcW w:w="1022" w:type="dxa"/>
          </w:tcPr>
          <w:p>
            <w:pPr>
              <w:pStyle w:val="TableParagraph"/>
              <w:spacing w:line="180" w:lineRule="exact" w:before="18"/>
              <w:ind w:right="169"/>
              <w:jc w:val="right"/>
              <w:rPr>
                <w:sz w:val="16"/>
              </w:rPr>
            </w:pPr>
            <w:r>
              <w:rPr>
                <w:spacing w:val="-5"/>
                <w:w w:val="105"/>
                <w:sz w:val="16"/>
              </w:rPr>
              <w:t>414</w:t>
            </w:r>
          </w:p>
        </w:tc>
        <w:tc>
          <w:tcPr>
            <w:tcW w:w="1111" w:type="dxa"/>
          </w:tcPr>
          <w:p>
            <w:pPr>
              <w:pStyle w:val="TableParagraph"/>
              <w:spacing w:line="180" w:lineRule="exact" w:before="18"/>
              <w:ind w:left="57"/>
              <w:rPr>
                <w:sz w:val="16"/>
              </w:rPr>
            </w:pPr>
            <w:r>
              <w:rPr>
                <w:spacing w:val="-10"/>
                <w:w w:val="105"/>
                <w:sz w:val="16"/>
              </w:rPr>
              <w:t>$</w:t>
            </w:r>
          </w:p>
        </w:tc>
        <w:tc>
          <w:tcPr>
            <w:tcW w:w="549" w:type="dxa"/>
          </w:tcPr>
          <w:p>
            <w:pPr>
              <w:pStyle w:val="TableParagraph"/>
              <w:spacing w:line="180" w:lineRule="exact" w:before="18"/>
              <w:ind w:left="76"/>
              <w:jc w:val="center"/>
              <w:rPr>
                <w:sz w:val="16"/>
              </w:rPr>
            </w:pPr>
            <w:r>
              <w:rPr>
                <w:spacing w:val="-5"/>
                <w:w w:val="105"/>
                <w:sz w:val="16"/>
              </w:rPr>
              <w:t>960</w:t>
            </w:r>
          </w:p>
        </w:tc>
      </w:tr>
      <w:tr>
        <w:trPr>
          <w:trHeight w:val="203" w:hRule="atLeast"/>
        </w:trPr>
        <w:tc>
          <w:tcPr>
            <w:tcW w:w="6471" w:type="dxa"/>
            <w:shd w:val="clear" w:color="auto" w:fill="CCEDFF"/>
          </w:tcPr>
          <w:p>
            <w:pPr>
              <w:pStyle w:val="TableParagraph"/>
              <w:rPr>
                <w:sz w:val="14"/>
              </w:rPr>
            </w:pPr>
          </w:p>
        </w:tc>
        <w:tc>
          <w:tcPr>
            <w:tcW w:w="1014" w:type="dxa"/>
            <w:shd w:val="clear" w:color="auto" w:fill="CCEDFF"/>
          </w:tcPr>
          <w:p>
            <w:pPr>
              <w:pStyle w:val="TableParagraph"/>
              <w:rPr>
                <w:sz w:val="14"/>
              </w:rPr>
            </w:pPr>
          </w:p>
        </w:tc>
        <w:tc>
          <w:tcPr>
            <w:tcW w:w="558" w:type="dxa"/>
            <w:shd w:val="clear" w:color="auto" w:fill="CCEDFF"/>
          </w:tcPr>
          <w:p>
            <w:pPr>
              <w:pStyle w:val="TableParagraph"/>
              <w:rPr>
                <w:sz w:val="14"/>
              </w:rPr>
            </w:pPr>
          </w:p>
        </w:tc>
        <w:tc>
          <w:tcPr>
            <w:tcW w:w="788" w:type="dxa"/>
            <w:shd w:val="clear" w:color="auto" w:fill="CCEDFF"/>
          </w:tcPr>
          <w:p>
            <w:pPr>
              <w:pStyle w:val="TableParagraph"/>
              <w:rPr>
                <w:sz w:val="14"/>
              </w:rPr>
            </w:pPr>
          </w:p>
        </w:tc>
        <w:tc>
          <w:tcPr>
            <w:tcW w:w="1022" w:type="dxa"/>
            <w:shd w:val="clear" w:color="auto" w:fill="CCEDFF"/>
          </w:tcPr>
          <w:p>
            <w:pPr>
              <w:pStyle w:val="TableParagraph"/>
              <w:rPr>
                <w:sz w:val="14"/>
              </w:rPr>
            </w:pPr>
          </w:p>
        </w:tc>
        <w:tc>
          <w:tcPr>
            <w:tcW w:w="1111" w:type="dxa"/>
            <w:shd w:val="clear" w:color="auto" w:fill="CCEDFF"/>
          </w:tcPr>
          <w:p>
            <w:pPr>
              <w:pStyle w:val="TableParagraph"/>
              <w:rPr>
                <w:sz w:val="14"/>
              </w:rPr>
            </w:pPr>
          </w:p>
        </w:tc>
        <w:tc>
          <w:tcPr>
            <w:tcW w:w="549" w:type="dxa"/>
            <w:shd w:val="clear" w:color="auto" w:fill="CCEDFF"/>
          </w:tcPr>
          <w:p>
            <w:pPr>
              <w:pStyle w:val="TableParagraph"/>
              <w:rPr>
                <w:sz w:val="14"/>
              </w:rPr>
            </w:pPr>
          </w:p>
        </w:tc>
      </w:tr>
      <w:tr>
        <w:trPr>
          <w:trHeight w:val="203" w:hRule="atLeast"/>
        </w:trPr>
        <w:tc>
          <w:tcPr>
            <w:tcW w:w="6471" w:type="dxa"/>
          </w:tcPr>
          <w:p>
            <w:pPr>
              <w:pStyle w:val="TableParagraph"/>
              <w:spacing w:line="180" w:lineRule="exact" w:before="3"/>
              <w:rPr>
                <w:sz w:val="16"/>
              </w:rPr>
            </w:pPr>
            <w:r>
              <w:rPr>
                <w:spacing w:val="-2"/>
                <w:w w:val="105"/>
                <w:sz w:val="16"/>
              </w:rPr>
              <w:t>Basic</w:t>
            </w:r>
            <w:r>
              <w:rPr>
                <w:spacing w:val="-1"/>
                <w:w w:val="105"/>
                <w:sz w:val="16"/>
              </w:rPr>
              <w:t> </w:t>
            </w:r>
            <w:r>
              <w:rPr>
                <w:spacing w:val="-2"/>
                <w:w w:val="105"/>
                <w:sz w:val="16"/>
              </w:rPr>
              <w:t>earnings</w:t>
            </w:r>
            <w:r>
              <w:rPr>
                <w:w w:val="105"/>
                <w:sz w:val="16"/>
              </w:rPr>
              <w:t> </w:t>
            </w:r>
            <w:r>
              <w:rPr>
                <w:spacing w:val="-2"/>
                <w:w w:val="105"/>
                <w:sz w:val="16"/>
              </w:rPr>
              <w:t>per</w:t>
            </w:r>
            <w:r>
              <w:rPr>
                <w:w w:val="105"/>
                <w:sz w:val="16"/>
              </w:rPr>
              <w:t> </w:t>
            </w:r>
            <w:r>
              <w:rPr>
                <w:spacing w:val="-2"/>
                <w:w w:val="105"/>
                <w:sz w:val="16"/>
              </w:rPr>
              <w:t>common</w:t>
            </w:r>
            <w:r>
              <w:rPr>
                <w:w w:val="105"/>
                <w:sz w:val="16"/>
              </w:rPr>
              <w:t> </w:t>
            </w:r>
            <w:r>
              <w:rPr>
                <w:spacing w:val="-2"/>
                <w:w w:val="105"/>
                <w:sz w:val="16"/>
              </w:rPr>
              <w:t>share</w:t>
            </w:r>
          </w:p>
        </w:tc>
        <w:tc>
          <w:tcPr>
            <w:tcW w:w="1014" w:type="dxa"/>
          </w:tcPr>
          <w:p>
            <w:pPr>
              <w:pStyle w:val="TableParagraph"/>
              <w:spacing w:line="180" w:lineRule="exact" w:before="3"/>
              <w:rPr>
                <w:b/>
                <w:sz w:val="16"/>
              </w:rPr>
            </w:pPr>
            <w:r>
              <w:rPr>
                <w:b/>
                <w:spacing w:val="-10"/>
                <w:w w:val="105"/>
                <w:sz w:val="16"/>
              </w:rPr>
              <w:t>$</w:t>
            </w:r>
          </w:p>
        </w:tc>
        <w:tc>
          <w:tcPr>
            <w:tcW w:w="558" w:type="dxa"/>
          </w:tcPr>
          <w:p>
            <w:pPr>
              <w:pStyle w:val="TableParagraph"/>
              <w:spacing w:line="180" w:lineRule="exact" w:before="3"/>
              <w:ind w:left="105"/>
              <w:jc w:val="center"/>
              <w:rPr>
                <w:b/>
                <w:sz w:val="16"/>
              </w:rPr>
            </w:pPr>
            <w:r>
              <w:rPr>
                <w:b/>
                <w:spacing w:val="-4"/>
                <w:w w:val="105"/>
                <w:sz w:val="16"/>
              </w:rPr>
              <w:t>1.30</w:t>
            </w:r>
          </w:p>
        </w:tc>
        <w:tc>
          <w:tcPr>
            <w:tcW w:w="788" w:type="dxa"/>
          </w:tcPr>
          <w:p>
            <w:pPr>
              <w:pStyle w:val="TableParagraph"/>
              <w:spacing w:line="180" w:lineRule="exact" w:before="3"/>
              <w:ind w:left="147"/>
              <w:rPr>
                <w:sz w:val="16"/>
              </w:rPr>
            </w:pPr>
            <w:r>
              <w:rPr>
                <w:spacing w:val="-10"/>
                <w:w w:val="105"/>
                <w:sz w:val="16"/>
              </w:rPr>
              <w:t>$</w:t>
            </w:r>
          </w:p>
        </w:tc>
        <w:tc>
          <w:tcPr>
            <w:tcW w:w="1022" w:type="dxa"/>
          </w:tcPr>
          <w:p>
            <w:pPr>
              <w:pStyle w:val="TableParagraph"/>
              <w:spacing w:line="180" w:lineRule="exact" w:before="3"/>
              <w:ind w:right="169"/>
              <w:jc w:val="right"/>
              <w:rPr>
                <w:sz w:val="16"/>
              </w:rPr>
            </w:pPr>
            <w:r>
              <w:rPr>
                <w:spacing w:val="-4"/>
                <w:w w:val="105"/>
                <w:sz w:val="16"/>
              </w:rPr>
              <w:t>0.54</w:t>
            </w:r>
          </w:p>
        </w:tc>
        <w:tc>
          <w:tcPr>
            <w:tcW w:w="1111" w:type="dxa"/>
          </w:tcPr>
          <w:p>
            <w:pPr>
              <w:pStyle w:val="TableParagraph"/>
              <w:spacing w:line="180" w:lineRule="exact" w:before="3"/>
              <w:ind w:left="57"/>
              <w:rPr>
                <w:sz w:val="16"/>
              </w:rPr>
            </w:pPr>
            <w:r>
              <w:rPr>
                <w:spacing w:val="-10"/>
                <w:w w:val="105"/>
                <w:sz w:val="16"/>
              </w:rPr>
              <w:t>$</w:t>
            </w:r>
          </w:p>
        </w:tc>
        <w:tc>
          <w:tcPr>
            <w:tcW w:w="549" w:type="dxa"/>
          </w:tcPr>
          <w:p>
            <w:pPr>
              <w:pStyle w:val="TableParagraph"/>
              <w:spacing w:line="180" w:lineRule="exact" w:before="3"/>
              <w:ind w:left="76" w:right="42"/>
              <w:jc w:val="center"/>
              <w:rPr>
                <w:sz w:val="16"/>
              </w:rPr>
            </w:pPr>
            <w:r>
              <w:rPr>
                <w:spacing w:val="-4"/>
                <w:w w:val="105"/>
                <w:sz w:val="16"/>
              </w:rPr>
              <w:t>1.11</w:t>
            </w:r>
          </w:p>
        </w:tc>
      </w:tr>
      <w:tr>
        <w:trPr>
          <w:trHeight w:val="203" w:hRule="atLeast"/>
        </w:trPr>
        <w:tc>
          <w:tcPr>
            <w:tcW w:w="6471" w:type="dxa"/>
            <w:shd w:val="clear" w:color="auto" w:fill="CCEDFF"/>
          </w:tcPr>
          <w:p>
            <w:pPr>
              <w:pStyle w:val="TableParagraph"/>
              <w:spacing w:line="180" w:lineRule="exact" w:before="3"/>
              <w:rPr>
                <w:sz w:val="16"/>
              </w:rPr>
            </w:pPr>
            <w:r>
              <w:rPr>
                <w:spacing w:val="-2"/>
                <w:w w:val="105"/>
                <w:sz w:val="16"/>
              </w:rPr>
              <w:t>Diluted</w:t>
            </w:r>
            <w:r>
              <w:rPr>
                <w:w w:val="105"/>
                <w:sz w:val="16"/>
              </w:rPr>
              <w:t> </w:t>
            </w:r>
            <w:r>
              <w:rPr>
                <w:spacing w:val="-2"/>
                <w:w w:val="105"/>
                <w:sz w:val="16"/>
              </w:rPr>
              <w:t>earnings</w:t>
            </w:r>
            <w:r>
              <w:rPr>
                <w:w w:val="105"/>
                <w:sz w:val="16"/>
              </w:rPr>
              <w:t> </w:t>
            </w:r>
            <w:r>
              <w:rPr>
                <w:spacing w:val="-2"/>
                <w:w w:val="105"/>
                <w:sz w:val="16"/>
              </w:rPr>
              <w:t>per</w:t>
            </w:r>
            <w:r>
              <w:rPr>
                <w:w w:val="105"/>
                <w:sz w:val="16"/>
              </w:rPr>
              <w:t> </w:t>
            </w:r>
            <w:r>
              <w:rPr>
                <w:spacing w:val="-2"/>
                <w:w w:val="105"/>
                <w:sz w:val="16"/>
              </w:rPr>
              <w:t>common</w:t>
            </w:r>
            <w:r>
              <w:rPr>
                <w:spacing w:val="1"/>
                <w:w w:val="105"/>
                <w:sz w:val="16"/>
              </w:rPr>
              <w:t> </w:t>
            </w:r>
            <w:r>
              <w:rPr>
                <w:spacing w:val="-2"/>
                <w:w w:val="105"/>
                <w:sz w:val="16"/>
              </w:rPr>
              <w:t>share</w:t>
            </w:r>
          </w:p>
        </w:tc>
        <w:tc>
          <w:tcPr>
            <w:tcW w:w="1014" w:type="dxa"/>
            <w:shd w:val="clear" w:color="auto" w:fill="CCEDFF"/>
          </w:tcPr>
          <w:p>
            <w:pPr>
              <w:pStyle w:val="TableParagraph"/>
              <w:spacing w:line="180" w:lineRule="exact" w:before="3"/>
              <w:rPr>
                <w:b/>
                <w:sz w:val="16"/>
              </w:rPr>
            </w:pPr>
            <w:r>
              <w:rPr>
                <w:b/>
                <w:spacing w:val="-10"/>
                <w:w w:val="105"/>
                <w:sz w:val="16"/>
              </w:rPr>
              <w:t>$</w:t>
            </w:r>
          </w:p>
        </w:tc>
        <w:tc>
          <w:tcPr>
            <w:tcW w:w="558" w:type="dxa"/>
            <w:shd w:val="clear" w:color="auto" w:fill="CCEDFF"/>
          </w:tcPr>
          <w:p>
            <w:pPr>
              <w:pStyle w:val="TableParagraph"/>
              <w:spacing w:line="180" w:lineRule="exact" w:before="3"/>
              <w:ind w:left="105"/>
              <w:jc w:val="center"/>
              <w:rPr>
                <w:b/>
                <w:sz w:val="16"/>
              </w:rPr>
            </w:pPr>
            <w:r>
              <w:rPr>
                <w:b/>
                <w:spacing w:val="-4"/>
                <w:w w:val="105"/>
                <w:sz w:val="16"/>
              </w:rPr>
              <w:t>1.28</w:t>
            </w:r>
          </w:p>
        </w:tc>
        <w:tc>
          <w:tcPr>
            <w:tcW w:w="788" w:type="dxa"/>
            <w:shd w:val="clear" w:color="auto" w:fill="CCEDFF"/>
          </w:tcPr>
          <w:p>
            <w:pPr>
              <w:pStyle w:val="TableParagraph"/>
              <w:spacing w:line="180" w:lineRule="exact" w:before="3"/>
              <w:ind w:left="147"/>
              <w:rPr>
                <w:sz w:val="16"/>
              </w:rPr>
            </w:pPr>
            <w:r>
              <w:rPr>
                <w:spacing w:val="-10"/>
                <w:w w:val="105"/>
                <w:sz w:val="16"/>
              </w:rPr>
              <w:t>$</w:t>
            </w:r>
          </w:p>
        </w:tc>
        <w:tc>
          <w:tcPr>
            <w:tcW w:w="1022" w:type="dxa"/>
            <w:shd w:val="clear" w:color="auto" w:fill="CCEDFF"/>
          </w:tcPr>
          <w:p>
            <w:pPr>
              <w:pStyle w:val="TableParagraph"/>
              <w:spacing w:line="180" w:lineRule="exact" w:before="3"/>
              <w:ind w:right="169"/>
              <w:jc w:val="right"/>
              <w:rPr>
                <w:sz w:val="16"/>
              </w:rPr>
            </w:pPr>
            <w:r>
              <w:rPr>
                <w:spacing w:val="-4"/>
                <w:w w:val="105"/>
                <w:sz w:val="16"/>
              </w:rPr>
              <w:t>0.54</w:t>
            </w:r>
          </w:p>
        </w:tc>
        <w:tc>
          <w:tcPr>
            <w:tcW w:w="1111" w:type="dxa"/>
            <w:shd w:val="clear" w:color="auto" w:fill="CCEDFF"/>
          </w:tcPr>
          <w:p>
            <w:pPr>
              <w:pStyle w:val="TableParagraph"/>
              <w:spacing w:line="180" w:lineRule="exact" w:before="3"/>
              <w:ind w:left="57"/>
              <w:rPr>
                <w:sz w:val="16"/>
              </w:rPr>
            </w:pPr>
            <w:r>
              <w:rPr>
                <w:spacing w:val="-10"/>
                <w:w w:val="105"/>
                <w:sz w:val="16"/>
              </w:rPr>
              <w:t>$</w:t>
            </w:r>
          </w:p>
        </w:tc>
        <w:tc>
          <w:tcPr>
            <w:tcW w:w="549" w:type="dxa"/>
            <w:shd w:val="clear" w:color="auto" w:fill="CCEDFF"/>
          </w:tcPr>
          <w:p>
            <w:pPr>
              <w:pStyle w:val="TableParagraph"/>
              <w:spacing w:line="180" w:lineRule="exact" w:before="3"/>
              <w:ind w:left="76" w:right="42"/>
              <w:jc w:val="center"/>
              <w:rPr>
                <w:sz w:val="16"/>
              </w:rPr>
            </w:pPr>
            <w:r>
              <w:rPr>
                <w:spacing w:val="-4"/>
                <w:w w:val="105"/>
                <w:sz w:val="16"/>
              </w:rPr>
              <w:t>1.07</w:t>
            </w:r>
          </w:p>
        </w:tc>
      </w:tr>
      <w:tr>
        <w:trPr>
          <w:trHeight w:val="203" w:hRule="atLeast"/>
        </w:trPr>
        <w:tc>
          <w:tcPr>
            <w:tcW w:w="6471" w:type="dxa"/>
          </w:tcPr>
          <w:p>
            <w:pPr>
              <w:pStyle w:val="TableParagraph"/>
              <w:rPr>
                <w:sz w:val="14"/>
              </w:rPr>
            </w:pPr>
          </w:p>
        </w:tc>
        <w:tc>
          <w:tcPr>
            <w:tcW w:w="1014" w:type="dxa"/>
          </w:tcPr>
          <w:p>
            <w:pPr>
              <w:pStyle w:val="TableParagraph"/>
              <w:rPr>
                <w:sz w:val="14"/>
              </w:rPr>
            </w:pPr>
          </w:p>
        </w:tc>
        <w:tc>
          <w:tcPr>
            <w:tcW w:w="558" w:type="dxa"/>
          </w:tcPr>
          <w:p>
            <w:pPr>
              <w:pStyle w:val="TableParagraph"/>
              <w:rPr>
                <w:sz w:val="14"/>
              </w:rPr>
            </w:pPr>
          </w:p>
        </w:tc>
        <w:tc>
          <w:tcPr>
            <w:tcW w:w="788" w:type="dxa"/>
          </w:tcPr>
          <w:p>
            <w:pPr>
              <w:pStyle w:val="TableParagraph"/>
              <w:rPr>
                <w:sz w:val="14"/>
              </w:rPr>
            </w:pPr>
          </w:p>
        </w:tc>
        <w:tc>
          <w:tcPr>
            <w:tcW w:w="1022" w:type="dxa"/>
          </w:tcPr>
          <w:p>
            <w:pPr>
              <w:pStyle w:val="TableParagraph"/>
              <w:rPr>
                <w:sz w:val="14"/>
              </w:rPr>
            </w:pPr>
          </w:p>
        </w:tc>
        <w:tc>
          <w:tcPr>
            <w:tcW w:w="1111" w:type="dxa"/>
          </w:tcPr>
          <w:p>
            <w:pPr>
              <w:pStyle w:val="TableParagraph"/>
              <w:rPr>
                <w:sz w:val="14"/>
              </w:rPr>
            </w:pPr>
          </w:p>
        </w:tc>
        <w:tc>
          <w:tcPr>
            <w:tcW w:w="549" w:type="dxa"/>
          </w:tcPr>
          <w:p>
            <w:pPr>
              <w:pStyle w:val="TableParagraph"/>
              <w:rPr>
                <w:sz w:val="14"/>
              </w:rPr>
            </w:pPr>
          </w:p>
        </w:tc>
      </w:tr>
      <w:tr>
        <w:trPr>
          <w:trHeight w:val="203" w:hRule="atLeast"/>
        </w:trPr>
        <w:tc>
          <w:tcPr>
            <w:tcW w:w="6471" w:type="dxa"/>
            <w:shd w:val="clear" w:color="auto" w:fill="CCEDFF"/>
          </w:tcPr>
          <w:p>
            <w:pPr>
              <w:pStyle w:val="TableParagraph"/>
              <w:spacing w:line="180" w:lineRule="exact" w:before="3"/>
              <w:rPr>
                <w:sz w:val="16"/>
              </w:rPr>
            </w:pPr>
            <w:r>
              <w:rPr>
                <w:sz w:val="16"/>
              </w:rPr>
              <w:t>Weighted-average</w:t>
            </w:r>
            <w:r>
              <w:rPr>
                <w:spacing w:val="18"/>
                <w:sz w:val="16"/>
              </w:rPr>
              <w:t> </w:t>
            </w:r>
            <w:r>
              <w:rPr>
                <w:sz w:val="16"/>
              </w:rPr>
              <w:t>common</w:t>
            </w:r>
            <w:r>
              <w:rPr>
                <w:spacing w:val="17"/>
                <w:sz w:val="16"/>
              </w:rPr>
              <w:t> </w:t>
            </w:r>
            <w:r>
              <w:rPr>
                <w:sz w:val="16"/>
              </w:rPr>
              <w:t>shares</w:t>
            </w:r>
            <w:r>
              <w:rPr>
                <w:spacing w:val="18"/>
                <w:sz w:val="16"/>
              </w:rPr>
              <w:t> </w:t>
            </w:r>
            <w:r>
              <w:rPr>
                <w:sz w:val="16"/>
              </w:rPr>
              <w:t>outstanding</w:t>
            </w:r>
            <w:r>
              <w:rPr>
                <w:spacing w:val="18"/>
                <w:sz w:val="16"/>
              </w:rPr>
              <w:t> </w:t>
            </w:r>
            <w:r>
              <w:rPr>
                <w:sz w:val="16"/>
              </w:rPr>
              <w:t>-</w:t>
            </w:r>
            <w:r>
              <w:rPr>
                <w:spacing w:val="18"/>
                <w:sz w:val="16"/>
              </w:rPr>
              <w:t> </w:t>
            </w:r>
            <w:r>
              <w:rPr>
                <w:spacing w:val="-2"/>
                <w:sz w:val="16"/>
              </w:rPr>
              <w:t>basic</w:t>
            </w:r>
          </w:p>
        </w:tc>
        <w:tc>
          <w:tcPr>
            <w:tcW w:w="1014" w:type="dxa"/>
            <w:shd w:val="clear" w:color="auto" w:fill="CCEDFF"/>
          </w:tcPr>
          <w:p>
            <w:pPr>
              <w:pStyle w:val="TableParagraph"/>
              <w:rPr>
                <w:sz w:val="14"/>
              </w:rPr>
            </w:pPr>
          </w:p>
        </w:tc>
        <w:tc>
          <w:tcPr>
            <w:tcW w:w="558" w:type="dxa"/>
            <w:shd w:val="clear" w:color="auto" w:fill="CCEDFF"/>
          </w:tcPr>
          <w:p>
            <w:pPr>
              <w:pStyle w:val="TableParagraph"/>
              <w:spacing w:line="180" w:lineRule="exact" w:before="3"/>
              <w:ind w:left="146"/>
              <w:jc w:val="center"/>
              <w:rPr>
                <w:b/>
                <w:sz w:val="16"/>
              </w:rPr>
            </w:pPr>
            <w:r>
              <w:rPr>
                <w:b/>
                <w:spacing w:val="-5"/>
                <w:w w:val="105"/>
                <w:sz w:val="16"/>
              </w:rPr>
              <w:t>828</w:t>
            </w:r>
          </w:p>
        </w:tc>
        <w:tc>
          <w:tcPr>
            <w:tcW w:w="788" w:type="dxa"/>
            <w:shd w:val="clear" w:color="auto" w:fill="CCEDFF"/>
          </w:tcPr>
          <w:p>
            <w:pPr>
              <w:pStyle w:val="TableParagraph"/>
              <w:rPr>
                <w:sz w:val="14"/>
              </w:rPr>
            </w:pPr>
          </w:p>
        </w:tc>
        <w:tc>
          <w:tcPr>
            <w:tcW w:w="1022" w:type="dxa"/>
            <w:shd w:val="clear" w:color="auto" w:fill="CCEDFF"/>
          </w:tcPr>
          <w:p>
            <w:pPr>
              <w:pStyle w:val="TableParagraph"/>
              <w:spacing w:line="180" w:lineRule="exact" w:before="3"/>
              <w:ind w:right="169"/>
              <w:jc w:val="right"/>
              <w:rPr>
                <w:sz w:val="16"/>
              </w:rPr>
            </w:pPr>
            <w:r>
              <w:rPr>
                <w:spacing w:val="-5"/>
                <w:w w:val="105"/>
                <w:sz w:val="16"/>
              </w:rPr>
              <w:t>761</w:t>
            </w:r>
          </w:p>
        </w:tc>
        <w:tc>
          <w:tcPr>
            <w:tcW w:w="1111" w:type="dxa"/>
            <w:shd w:val="clear" w:color="auto" w:fill="CCEDFF"/>
          </w:tcPr>
          <w:p>
            <w:pPr>
              <w:pStyle w:val="TableParagraph"/>
              <w:rPr>
                <w:sz w:val="14"/>
              </w:rPr>
            </w:pPr>
          </w:p>
        </w:tc>
        <w:tc>
          <w:tcPr>
            <w:tcW w:w="549" w:type="dxa"/>
            <w:shd w:val="clear" w:color="auto" w:fill="CCEDFF"/>
          </w:tcPr>
          <w:p>
            <w:pPr>
              <w:pStyle w:val="TableParagraph"/>
              <w:spacing w:line="180" w:lineRule="exact" w:before="3"/>
              <w:ind w:left="76"/>
              <w:jc w:val="center"/>
              <w:rPr>
                <w:sz w:val="16"/>
              </w:rPr>
            </w:pPr>
            <w:r>
              <w:rPr>
                <w:spacing w:val="-5"/>
                <w:w w:val="105"/>
                <w:sz w:val="16"/>
              </w:rPr>
              <w:t>776</w:t>
            </w:r>
          </w:p>
        </w:tc>
      </w:tr>
      <w:tr>
        <w:trPr>
          <w:trHeight w:val="200" w:hRule="atLeast"/>
        </w:trPr>
        <w:tc>
          <w:tcPr>
            <w:tcW w:w="6471" w:type="dxa"/>
            <w:tcBorders>
              <w:bottom w:val="double" w:sz="6" w:space="0" w:color="000000"/>
            </w:tcBorders>
          </w:tcPr>
          <w:p>
            <w:pPr>
              <w:pStyle w:val="TableParagraph"/>
              <w:spacing w:line="177" w:lineRule="exact" w:before="3"/>
              <w:rPr>
                <w:sz w:val="16"/>
              </w:rPr>
            </w:pPr>
            <w:r>
              <w:rPr>
                <w:sz w:val="16"/>
              </w:rPr>
              <w:t>Weighted-average</w:t>
            </w:r>
            <w:r>
              <w:rPr>
                <w:spacing w:val="18"/>
                <w:sz w:val="16"/>
              </w:rPr>
              <w:t> </w:t>
            </w:r>
            <w:r>
              <w:rPr>
                <w:sz w:val="16"/>
              </w:rPr>
              <w:t>common</w:t>
            </w:r>
            <w:r>
              <w:rPr>
                <w:spacing w:val="18"/>
                <w:sz w:val="16"/>
              </w:rPr>
              <w:t> </w:t>
            </w:r>
            <w:r>
              <w:rPr>
                <w:sz w:val="16"/>
              </w:rPr>
              <w:t>shares</w:t>
            </w:r>
            <w:r>
              <w:rPr>
                <w:spacing w:val="18"/>
                <w:sz w:val="16"/>
              </w:rPr>
              <w:t> </w:t>
            </w:r>
            <w:r>
              <w:rPr>
                <w:sz w:val="16"/>
              </w:rPr>
              <w:t>outstanding</w:t>
            </w:r>
            <w:r>
              <w:rPr>
                <w:spacing w:val="18"/>
                <w:sz w:val="16"/>
              </w:rPr>
              <w:t> </w:t>
            </w:r>
            <w:r>
              <w:rPr>
                <w:sz w:val="16"/>
              </w:rPr>
              <w:t>-</w:t>
            </w:r>
            <w:r>
              <w:rPr>
                <w:spacing w:val="18"/>
                <w:sz w:val="16"/>
              </w:rPr>
              <w:t> </w:t>
            </w:r>
            <w:r>
              <w:rPr>
                <w:spacing w:val="-2"/>
                <w:sz w:val="16"/>
              </w:rPr>
              <w:t>diluted</w:t>
            </w:r>
          </w:p>
        </w:tc>
        <w:tc>
          <w:tcPr>
            <w:tcW w:w="1014" w:type="dxa"/>
            <w:tcBorders>
              <w:bottom w:val="double" w:sz="6" w:space="0" w:color="000000"/>
            </w:tcBorders>
          </w:tcPr>
          <w:p>
            <w:pPr>
              <w:pStyle w:val="TableParagraph"/>
              <w:rPr>
                <w:sz w:val="12"/>
              </w:rPr>
            </w:pPr>
          </w:p>
        </w:tc>
        <w:tc>
          <w:tcPr>
            <w:tcW w:w="558" w:type="dxa"/>
            <w:tcBorders>
              <w:bottom w:val="double" w:sz="6" w:space="0" w:color="000000"/>
            </w:tcBorders>
          </w:tcPr>
          <w:p>
            <w:pPr>
              <w:pStyle w:val="TableParagraph"/>
              <w:spacing w:line="177" w:lineRule="exact" w:before="3"/>
              <w:ind w:left="146"/>
              <w:jc w:val="center"/>
              <w:rPr>
                <w:b/>
                <w:sz w:val="16"/>
              </w:rPr>
            </w:pPr>
            <w:r>
              <w:rPr>
                <w:b/>
                <w:spacing w:val="-5"/>
                <w:w w:val="105"/>
                <w:sz w:val="16"/>
              </w:rPr>
              <w:t>844</w:t>
            </w:r>
          </w:p>
        </w:tc>
        <w:tc>
          <w:tcPr>
            <w:tcW w:w="788" w:type="dxa"/>
            <w:tcBorders>
              <w:bottom w:val="double" w:sz="6" w:space="0" w:color="000000"/>
            </w:tcBorders>
          </w:tcPr>
          <w:p>
            <w:pPr>
              <w:pStyle w:val="TableParagraph"/>
              <w:rPr>
                <w:sz w:val="12"/>
              </w:rPr>
            </w:pPr>
          </w:p>
        </w:tc>
        <w:tc>
          <w:tcPr>
            <w:tcW w:w="1022" w:type="dxa"/>
            <w:tcBorders>
              <w:bottom w:val="double" w:sz="6" w:space="0" w:color="000000"/>
            </w:tcBorders>
          </w:tcPr>
          <w:p>
            <w:pPr>
              <w:pStyle w:val="TableParagraph"/>
              <w:spacing w:line="177" w:lineRule="exact" w:before="3"/>
              <w:ind w:right="169"/>
              <w:jc w:val="right"/>
              <w:rPr>
                <w:sz w:val="16"/>
              </w:rPr>
            </w:pPr>
            <w:r>
              <w:rPr>
                <w:spacing w:val="-5"/>
                <w:w w:val="105"/>
                <w:sz w:val="16"/>
              </w:rPr>
              <w:t>772</w:t>
            </w:r>
          </w:p>
        </w:tc>
        <w:tc>
          <w:tcPr>
            <w:tcW w:w="1111" w:type="dxa"/>
            <w:tcBorders>
              <w:bottom w:val="double" w:sz="6" w:space="0" w:color="000000"/>
            </w:tcBorders>
          </w:tcPr>
          <w:p>
            <w:pPr>
              <w:pStyle w:val="TableParagraph"/>
              <w:rPr>
                <w:sz w:val="12"/>
              </w:rPr>
            </w:pPr>
          </w:p>
        </w:tc>
        <w:tc>
          <w:tcPr>
            <w:tcW w:w="549" w:type="dxa"/>
            <w:tcBorders>
              <w:bottom w:val="double" w:sz="6" w:space="0" w:color="000000"/>
            </w:tcBorders>
          </w:tcPr>
          <w:p>
            <w:pPr>
              <w:pStyle w:val="TableParagraph"/>
              <w:spacing w:line="177" w:lineRule="exact" w:before="3"/>
              <w:ind w:left="76"/>
              <w:jc w:val="center"/>
              <w:rPr>
                <w:sz w:val="16"/>
              </w:rPr>
            </w:pPr>
            <w:r>
              <w:rPr>
                <w:spacing w:val="-5"/>
                <w:w w:val="105"/>
                <w:sz w:val="16"/>
              </w:rPr>
              <w:t>899</w:t>
            </w:r>
          </w:p>
        </w:tc>
      </w:tr>
    </w:tbl>
    <w:p>
      <w:pPr>
        <w:pStyle w:val="BodyText"/>
        <w:spacing w:before="15"/>
      </w:pPr>
    </w:p>
    <w:p>
      <w:pPr>
        <w:pStyle w:val="ListParagraph"/>
        <w:numPr>
          <w:ilvl w:val="0"/>
          <w:numId w:val="12"/>
        </w:numPr>
        <w:tabs>
          <w:tab w:pos="459" w:val="left" w:leader="none"/>
          <w:tab w:pos="462" w:val="left" w:leader="none"/>
        </w:tabs>
        <w:spacing w:line="228" w:lineRule="auto" w:before="0" w:after="0"/>
        <w:ind w:left="462" w:right="159" w:hanging="306"/>
        <w:jc w:val="left"/>
        <w:rPr>
          <w:sz w:val="14"/>
        </w:rPr>
      </w:pPr>
      <w:r>
        <w:rPr>
          <w:sz w:val="14"/>
        </w:rPr>
        <w:t>On</w:t>
      </w:r>
      <w:r>
        <w:rPr>
          <w:spacing w:val="-1"/>
          <w:sz w:val="14"/>
        </w:rPr>
        <w:t> </w:t>
      </w:r>
      <w:r>
        <w:rPr>
          <w:sz w:val="14"/>
        </w:rPr>
        <w:t>January</w:t>
      </w:r>
      <w:r>
        <w:rPr>
          <w:spacing w:val="-1"/>
          <w:sz w:val="14"/>
        </w:rPr>
        <w:t> </w:t>
      </w:r>
      <w:r>
        <w:rPr>
          <w:sz w:val="14"/>
        </w:rPr>
        <w:t>16,</w:t>
      </w:r>
      <w:r>
        <w:rPr>
          <w:spacing w:val="-1"/>
          <w:sz w:val="14"/>
        </w:rPr>
        <w:t> </w:t>
      </w:r>
      <w:r>
        <w:rPr>
          <w:sz w:val="14"/>
        </w:rPr>
        <w:t>2021,</w:t>
      </w:r>
      <w:r>
        <w:rPr>
          <w:spacing w:val="-1"/>
          <w:sz w:val="14"/>
        </w:rPr>
        <w:t> </w:t>
      </w:r>
      <w:r>
        <w:rPr>
          <w:sz w:val="14"/>
        </w:rPr>
        <w:t>the</w:t>
      </w:r>
      <w:r>
        <w:rPr>
          <w:spacing w:val="-1"/>
          <w:sz w:val="14"/>
        </w:rPr>
        <w:t> </w:t>
      </w:r>
      <w:r>
        <w:rPr>
          <w:sz w:val="14"/>
        </w:rPr>
        <w:t>Preferred</w:t>
      </w:r>
      <w:r>
        <w:rPr>
          <w:spacing w:val="-1"/>
          <w:sz w:val="14"/>
        </w:rPr>
        <w:t> </w:t>
      </w:r>
      <w:r>
        <w:rPr>
          <w:sz w:val="14"/>
        </w:rPr>
        <w:t>Stock</w:t>
      </w:r>
      <w:r>
        <w:rPr>
          <w:spacing w:val="-1"/>
          <w:sz w:val="14"/>
        </w:rPr>
        <w:t> </w:t>
      </w:r>
      <w:r>
        <w:rPr>
          <w:sz w:val="14"/>
        </w:rPr>
        <w:t>became</w:t>
      </w:r>
      <w:r>
        <w:rPr>
          <w:spacing w:val="-1"/>
          <w:sz w:val="14"/>
        </w:rPr>
        <w:t> </w:t>
      </w:r>
      <w:r>
        <w:rPr>
          <w:sz w:val="14"/>
        </w:rPr>
        <w:t>convertible</w:t>
      </w:r>
      <w:r>
        <w:rPr>
          <w:spacing w:val="-1"/>
          <w:sz w:val="14"/>
        </w:rPr>
        <w:t> </w:t>
      </w:r>
      <w:r>
        <w:rPr>
          <w:sz w:val="14"/>
        </w:rPr>
        <w:t>into</w:t>
      </w:r>
      <w:r>
        <w:rPr>
          <w:spacing w:val="-1"/>
          <w:sz w:val="14"/>
        </w:rPr>
        <w:t> </w:t>
      </w:r>
      <w:r>
        <w:rPr>
          <w:sz w:val="14"/>
        </w:rPr>
        <w:t>115</w:t>
      </w:r>
      <w:r>
        <w:rPr>
          <w:spacing w:val="-1"/>
          <w:sz w:val="14"/>
        </w:rPr>
        <w:t> </w:t>
      </w:r>
      <w:r>
        <w:rPr>
          <w:sz w:val="14"/>
        </w:rPr>
        <w:t>million</w:t>
      </w:r>
      <w:r>
        <w:rPr>
          <w:spacing w:val="-1"/>
          <w:sz w:val="14"/>
        </w:rPr>
        <w:t> </w:t>
      </w:r>
      <w:r>
        <w:rPr>
          <w:sz w:val="14"/>
        </w:rPr>
        <w:t>Common</w:t>
      </w:r>
      <w:r>
        <w:rPr>
          <w:spacing w:val="-1"/>
          <w:sz w:val="14"/>
        </w:rPr>
        <w:t> </w:t>
      </w:r>
      <w:r>
        <w:rPr>
          <w:sz w:val="14"/>
        </w:rPr>
        <w:t>Shares,</w:t>
      </w:r>
      <w:r>
        <w:rPr>
          <w:spacing w:val="-1"/>
          <w:sz w:val="14"/>
        </w:rPr>
        <w:t> </w:t>
      </w:r>
      <w:r>
        <w:rPr>
          <w:sz w:val="14"/>
        </w:rPr>
        <w:t>in</w:t>
      </w:r>
      <w:r>
        <w:rPr>
          <w:spacing w:val="-1"/>
          <w:sz w:val="14"/>
        </w:rPr>
        <w:t> </w:t>
      </w:r>
      <w:r>
        <w:rPr>
          <w:sz w:val="14"/>
        </w:rPr>
        <w:t>whole</w:t>
      </w:r>
      <w:r>
        <w:rPr>
          <w:spacing w:val="-1"/>
          <w:sz w:val="14"/>
        </w:rPr>
        <w:t> </w:t>
      </w:r>
      <w:r>
        <w:rPr>
          <w:sz w:val="14"/>
        </w:rPr>
        <w:t>or</w:t>
      </w:r>
      <w:r>
        <w:rPr>
          <w:spacing w:val="-1"/>
          <w:sz w:val="14"/>
        </w:rPr>
        <w:t> </w:t>
      </w:r>
      <w:r>
        <w:rPr>
          <w:sz w:val="14"/>
        </w:rPr>
        <w:t>in</w:t>
      </w:r>
      <w:r>
        <w:rPr>
          <w:spacing w:val="-1"/>
          <w:sz w:val="14"/>
        </w:rPr>
        <w:t> </w:t>
      </w:r>
      <w:r>
        <w:rPr>
          <w:sz w:val="14"/>
        </w:rPr>
        <w:t>part,</w:t>
      </w:r>
      <w:r>
        <w:rPr>
          <w:spacing w:val="-1"/>
          <w:sz w:val="14"/>
        </w:rPr>
        <w:t> </w:t>
      </w:r>
      <w:r>
        <w:rPr>
          <w:sz w:val="14"/>
        </w:rPr>
        <w:t>at</w:t>
      </w:r>
      <w:r>
        <w:rPr>
          <w:spacing w:val="-1"/>
          <w:sz w:val="14"/>
        </w:rPr>
        <w:t> </w:t>
      </w:r>
      <w:r>
        <w:rPr>
          <w:sz w:val="14"/>
        </w:rPr>
        <w:t>the</w:t>
      </w:r>
      <w:r>
        <w:rPr>
          <w:spacing w:val="-1"/>
          <w:sz w:val="14"/>
        </w:rPr>
        <w:t> </w:t>
      </w:r>
      <w:r>
        <w:rPr>
          <w:sz w:val="14"/>
        </w:rPr>
        <w:t>option</w:t>
      </w:r>
      <w:r>
        <w:rPr>
          <w:spacing w:val="-1"/>
          <w:sz w:val="14"/>
        </w:rPr>
        <w:t> </w:t>
      </w:r>
      <w:r>
        <w:rPr>
          <w:sz w:val="14"/>
        </w:rPr>
        <w:t>of</w:t>
      </w:r>
      <w:r>
        <w:rPr>
          <w:spacing w:val="-1"/>
          <w:sz w:val="14"/>
        </w:rPr>
        <w:t> </w:t>
      </w:r>
      <w:r>
        <w:rPr>
          <w:sz w:val="14"/>
        </w:rPr>
        <w:t>the</w:t>
      </w:r>
      <w:r>
        <w:rPr>
          <w:spacing w:val="-1"/>
          <w:sz w:val="14"/>
        </w:rPr>
        <w:t> </w:t>
      </w:r>
      <w:r>
        <w:rPr>
          <w:sz w:val="14"/>
        </w:rPr>
        <w:t>holder,</w:t>
      </w:r>
      <w:r>
        <w:rPr>
          <w:spacing w:val="-1"/>
          <w:sz w:val="14"/>
        </w:rPr>
        <w:t> </w:t>
      </w:r>
      <w:r>
        <w:rPr>
          <w:sz w:val="14"/>
        </w:rPr>
        <w:t>Samsung</w:t>
      </w:r>
      <w:r>
        <w:rPr>
          <w:spacing w:val="-1"/>
          <w:sz w:val="14"/>
        </w:rPr>
        <w:t> </w:t>
      </w:r>
      <w:r>
        <w:rPr>
          <w:sz w:val="14"/>
        </w:rPr>
        <w:t>Display</w:t>
      </w:r>
      <w:r>
        <w:rPr>
          <w:spacing w:val="-1"/>
          <w:sz w:val="14"/>
        </w:rPr>
        <w:t> </w:t>
      </w:r>
      <w:r>
        <w:rPr>
          <w:sz w:val="14"/>
        </w:rPr>
        <w:t>Co.,</w:t>
      </w:r>
      <w:r>
        <w:rPr>
          <w:spacing w:val="-1"/>
          <w:sz w:val="14"/>
        </w:rPr>
        <w:t> </w:t>
      </w:r>
      <w:r>
        <w:rPr>
          <w:sz w:val="14"/>
        </w:rPr>
        <w:t>Ltd.</w:t>
      </w:r>
      <w:r>
        <w:rPr>
          <w:spacing w:val="-1"/>
          <w:sz w:val="14"/>
        </w:rPr>
        <w:t> </w:t>
      </w:r>
      <w:r>
        <w:rPr>
          <w:sz w:val="14"/>
        </w:rPr>
        <w:t>(“SDC”).</w:t>
      </w:r>
      <w:r>
        <w:rPr>
          <w:spacing w:val="-1"/>
          <w:sz w:val="14"/>
        </w:rPr>
        <w:t> </w:t>
      </w:r>
      <w:r>
        <w:rPr>
          <w:sz w:val="14"/>
        </w:rPr>
        <w:t>On</w:t>
      </w:r>
      <w:r>
        <w:rPr>
          <w:spacing w:val="-1"/>
          <w:sz w:val="14"/>
        </w:rPr>
        <w:t> </w:t>
      </w:r>
      <w:r>
        <w:rPr>
          <w:sz w:val="14"/>
        </w:rPr>
        <w:t>April</w:t>
      </w:r>
      <w:r>
        <w:rPr>
          <w:spacing w:val="-1"/>
          <w:sz w:val="14"/>
        </w:rPr>
        <w:t> </w:t>
      </w:r>
      <w:r>
        <w:rPr>
          <w:sz w:val="14"/>
        </w:rPr>
        <w:t>5,</w:t>
      </w:r>
      <w:r>
        <w:rPr>
          <w:spacing w:val="-1"/>
          <w:sz w:val="14"/>
        </w:rPr>
        <w:t> </w:t>
      </w:r>
      <w:r>
        <w:rPr>
          <w:sz w:val="14"/>
        </w:rPr>
        <w:t>2021,</w:t>
      </w:r>
      <w:r>
        <w:rPr>
          <w:spacing w:val="40"/>
          <w:sz w:val="14"/>
        </w:rPr>
        <w:t> </w:t>
      </w:r>
      <w:r>
        <w:rPr>
          <w:sz w:val="14"/>
        </w:rPr>
        <w:t>Corning and SDC executed a Share Repurchase Agreement ("SRA").</w:t>
      </w:r>
      <w:r>
        <w:rPr>
          <w:spacing w:val="40"/>
          <w:sz w:val="14"/>
        </w:rPr>
        <w:t> </w:t>
      </w:r>
      <w:r>
        <w:rPr>
          <w:sz w:val="14"/>
        </w:rPr>
        <w:t>Refer to Note 18 (Earnings per Common Share) to the consolidated financial statements for additional information.</w:t>
      </w:r>
    </w:p>
    <w:p>
      <w:pPr>
        <w:pStyle w:val="BodyText"/>
        <w:spacing w:before="10"/>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1"/>
        <w:gridCol w:w="1014"/>
        <w:gridCol w:w="558"/>
        <w:gridCol w:w="1811"/>
        <w:gridCol w:w="1104"/>
        <w:gridCol w:w="556"/>
      </w:tblGrid>
      <w:tr>
        <w:trPr>
          <w:trHeight w:val="310" w:hRule="atLeast"/>
        </w:trPr>
        <w:tc>
          <w:tcPr>
            <w:tcW w:w="6471" w:type="dxa"/>
            <w:tcBorders>
              <w:bottom w:val="single" w:sz="12" w:space="0" w:color="000000"/>
            </w:tcBorders>
          </w:tcPr>
          <w:p>
            <w:pPr>
              <w:pStyle w:val="TableParagraph"/>
              <w:spacing w:line="182" w:lineRule="exact"/>
              <w:rPr>
                <w:b/>
                <w:i/>
                <w:sz w:val="16"/>
              </w:rPr>
            </w:pPr>
            <w:r>
              <w:rPr>
                <w:b/>
                <w:i/>
                <w:sz w:val="16"/>
              </w:rPr>
              <w:t>Comprehensive</w:t>
            </w:r>
            <w:r>
              <w:rPr>
                <w:b/>
                <w:i/>
                <w:spacing w:val="31"/>
                <w:sz w:val="16"/>
              </w:rPr>
              <w:t> </w:t>
            </w:r>
            <w:r>
              <w:rPr>
                <w:b/>
                <w:i/>
                <w:spacing w:val="-2"/>
                <w:sz w:val="16"/>
              </w:rPr>
              <w:t>Income</w:t>
            </w:r>
          </w:p>
        </w:tc>
        <w:tc>
          <w:tcPr>
            <w:tcW w:w="5043" w:type="dxa"/>
            <w:gridSpan w:val="5"/>
            <w:tcBorders>
              <w:bottom w:val="single" w:sz="12" w:space="0" w:color="000000"/>
            </w:tcBorders>
          </w:tcPr>
          <w:p>
            <w:pPr>
              <w:pStyle w:val="TableParagraph"/>
              <w:rPr>
                <w:sz w:val="16"/>
              </w:rPr>
            </w:pPr>
          </w:p>
        </w:tc>
      </w:tr>
      <w:tr>
        <w:trPr>
          <w:trHeight w:val="200" w:hRule="atLeast"/>
        </w:trPr>
        <w:tc>
          <w:tcPr>
            <w:tcW w:w="6471" w:type="dxa"/>
            <w:tcBorders>
              <w:top w:val="single" w:sz="12" w:space="0" w:color="000000"/>
            </w:tcBorders>
          </w:tcPr>
          <w:p>
            <w:pPr>
              <w:pStyle w:val="TableParagraph"/>
              <w:rPr>
                <w:sz w:val="12"/>
              </w:rPr>
            </w:pPr>
          </w:p>
        </w:tc>
        <w:tc>
          <w:tcPr>
            <w:tcW w:w="1014" w:type="dxa"/>
            <w:tcBorders>
              <w:top w:val="single" w:sz="12" w:space="0" w:color="000000"/>
              <w:bottom w:val="single" w:sz="6" w:space="0" w:color="000000"/>
            </w:tcBorders>
          </w:tcPr>
          <w:p>
            <w:pPr>
              <w:pStyle w:val="TableParagraph"/>
              <w:rPr>
                <w:sz w:val="12"/>
              </w:rPr>
            </w:pPr>
          </w:p>
        </w:tc>
        <w:tc>
          <w:tcPr>
            <w:tcW w:w="558" w:type="dxa"/>
            <w:tcBorders>
              <w:top w:val="single" w:sz="12" w:space="0" w:color="000000"/>
              <w:bottom w:val="single" w:sz="6" w:space="0" w:color="000000"/>
            </w:tcBorders>
          </w:tcPr>
          <w:p>
            <w:pPr>
              <w:pStyle w:val="TableParagraph"/>
              <w:rPr>
                <w:sz w:val="12"/>
              </w:rPr>
            </w:pPr>
          </w:p>
        </w:tc>
        <w:tc>
          <w:tcPr>
            <w:tcW w:w="1811" w:type="dxa"/>
            <w:tcBorders>
              <w:top w:val="single" w:sz="12" w:space="0" w:color="000000"/>
              <w:bottom w:val="single" w:sz="6" w:space="0" w:color="000000"/>
            </w:tcBorders>
          </w:tcPr>
          <w:p>
            <w:pPr>
              <w:pStyle w:val="TableParagraph"/>
              <w:spacing w:line="179" w:lineRule="exact" w:before="1"/>
              <w:ind w:right="52"/>
              <w:jc w:val="right"/>
              <w:rPr>
                <w:sz w:val="16"/>
              </w:rPr>
            </w:pPr>
            <w:r>
              <w:rPr>
                <w:w w:val="105"/>
                <w:sz w:val="16"/>
              </w:rPr>
              <w:t>Year</w:t>
            </w:r>
            <w:r>
              <w:rPr>
                <w:spacing w:val="-12"/>
                <w:w w:val="105"/>
                <w:sz w:val="16"/>
              </w:rPr>
              <w:t> </w:t>
            </w:r>
            <w:r>
              <w:rPr>
                <w:w w:val="105"/>
                <w:sz w:val="16"/>
              </w:rPr>
              <w:t>ended</w:t>
            </w:r>
            <w:r>
              <w:rPr>
                <w:spacing w:val="-10"/>
                <w:w w:val="105"/>
                <w:sz w:val="16"/>
              </w:rPr>
              <w:t> </w:t>
            </w:r>
            <w:r>
              <w:rPr>
                <w:w w:val="105"/>
                <w:sz w:val="16"/>
              </w:rPr>
              <w:t>December</w:t>
            </w:r>
            <w:r>
              <w:rPr>
                <w:spacing w:val="-10"/>
                <w:w w:val="105"/>
                <w:sz w:val="16"/>
              </w:rPr>
              <w:t> </w:t>
            </w:r>
            <w:r>
              <w:rPr>
                <w:spacing w:val="-5"/>
                <w:w w:val="105"/>
                <w:sz w:val="16"/>
              </w:rPr>
              <w:t>31,</w:t>
            </w:r>
          </w:p>
        </w:tc>
        <w:tc>
          <w:tcPr>
            <w:tcW w:w="1104" w:type="dxa"/>
            <w:tcBorders>
              <w:top w:val="single" w:sz="12" w:space="0" w:color="000000"/>
              <w:bottom w:val="single" w:sz="6" w:space="0" w:color="000000"/>
            </w:tcBorders>
          </w:tcPr>
          <w:p>
            <w:pPr>
              <w:pStyle w:val="TableParagraph"/>
              <w:rPr>
                <w:sz w:val="12"/>
              </w:rPr>
            </w:pPr>
          </w:p>
        </w:tc>
        <w:tc>
          <w:tcPr>
            <w:tcW w:w="556" w:type="dxa"/>
            <w:tcBorders>
              <w:top w:val="single" w:sz="12" w:space="0" w:color="000000"/>
              <w:bottom w:val="single" w:sz="6" w:space="0" w:color="000000"/>
            </w:tcBorders>
          </w:tcPr>
          <w:p>
            <w:pPr>
              <w:pStyle w:val="TableParagraph"/>
              <w:rPr>
                <w:sz w:val="12"/>
              </w:rPr>
            </w:pPr>
          </w:p>
        </w:tc>
      </w:tr>
      <w:tr>
        <w:trPr>
          <w:trHeight w:val="201" w:hRule="atLeast"/>
        </w:trPr>
        <w:tc>
          <w:tcPr>
            <w:tcW w:w="6471" w:type="dxa"/>
            <w:tcBorders>
              <w:bottom w:val="single" w:sz="6" w:space="0" w:color="000000"/>
            </w:tcBorders>
          </w:tcPr>
          <w:p>
            <w:pPr>
              <w:pStyle w:val="TableParagraph"/>
              <w:spacing w:line="179" w:lineRule="exact" w:before="2"/>
              <w:rPr>
                <w:sz w:val="16"/>
              </w:rPr>
            </w:pPr>
            <w:r>
              <w:rPr>
                <w:w w:val="105"/>
                <w:sz w:val="16"/>
              </w:rPr>
              <w:t>(In</w:t>
            </w:r>
            <w:r>
              <w:rPr>
                <w:spacing w:val="-5"/>
                <w:w w:val="105"/>
                <w:sz w:val="16"/>
              </w:rPr>
              <w:t> </w:t>
            </w:r>
            <w:r>
              <w:rPr>
                <w:spacing w:val="-2"/>
                <w:w w:val="105"/>
                <w:sz w:val="16"/>
              </w:rPr>
              <w:t>millions)</w:t>
            </w:r>
          </w:p>
        </w:tc>
        <w:tc>
          <w:tcPr>
            <w:tcW w:w="1014" w:type="dxa"/>
            <w:tcBorders>
              <w:top w:val="single" w:sz="6" w:space="0" w:color="000000"/>
              <w:bottom w:val="single" w:sz="6" w:space="0" w:color="000000"/>
            </w:tcBorders>
          </w:tcPr>
          <w:p>
            <w:pPr>
              <w:pStyle w:val="TableParagraph"/>
              <w:spacing w:line="179" w:lineRule="exact" w:before="2"/>
              <w:ind w:left="579"/>
              <w:rPr>
                <w:b/>
                <w:sz w:val="16"/>
              </w:rPr>
            </w:pPr>
            <w:r>
              <w:rPr>
                <w:b/>
                <w:spacing w:val="-4"/>
                <w:w w:val="105"/>
                <w:sz w:val="16"/>
              </w:rPr>
              <w:t>2021</w:t>
            </w:r>
          </w:p>
        </w:tc>
        <w:tc>
          <w:tcPr>
            <w:tcW w:w="558" w:type="dxa"/>
            <w:tcBorders>
              <w:top w:val="single" w:sz="6" w:space="0" w:color="000000"/>
              <w:bottom w:val="single" w:sz="6" w:space="0" w:color="000000"/>
            </w:tcBorders>
          </w:tcPr>
          <w:p>
            <w:pPr>
              <w:pStyle w:val="TableParagraph"/>
              <w:rPr>
                <w:sz w:val="14"/>
              </w:rPr>
            </w:pPr>
          </w:p>
        </w:tc>
        <w:tc>
          <w:tcPr>
            <w:tcW w:w="1811" w:type="dxa"/>
            <w:tcBorders>
              <w:top w:val="single" w:sz="6" w:space="0" w:color="000000"/>
              <w:bottom w:val="single" w:sz="6" w:space="0" w:color="000000"/>
            </w:tcBorders>
          </w:tcPr>
          <w:p>
            <w:pPr>
              <w:pStyle w:val="TableParagraph"/>
              <w:spacing w:line="179" w:lineRule="exact" w:before="2"/>
              <w:ind w:left="4" w:right="27"/>
              <w:jc w:val="center"/>
              <w:rPr>
                <w:sz w:val="16"/>
              </w:rPr>
            </w:pPr>
            <w:r>
              <w:rPr>
                <w:spacing w:val="-4"/>
                <w:w w:val="105"/>
                <w:sz w:val="16"/>
              </w:rPr>
              <w:t>2020</w:t>
            </w:r>
          </w:p>
        </w:tc>
        <w:tc>
          <w:tcPr>
            <w:tcW w:w="1104" w:type="dxa"/>
            <w:tcBorders>
              <w:top w:val="single" w:sz="6" w:space="0" w:color="000000"/>
              <w:bottom w:val="single" w:sz="6" w:space="0" w:color="000000"/>
            </w:tcBorders>
          </w:tcPr>
          <w:p>
            <w:pPr>
              <w:pStyle w:val="TableParagraph"/>
              <w:spacing w:line="179" w:lineRule="exact" w:before="2"/>
              <w:ind w:left="636"/>
              <w:rPr>
                <w:sz w:val="16"/>
              </w:rPr>
            </w:pPr>
            <w:r>
              <w:rPr>
                <w:spacing w:val="-4"/>
                <w:w w:val="105"/>
                <w:sz w:val="16"/>
              </w:rPr>
              <w:t>2019</w:t>
            </w:r>
          </w:p>
        </w:tc>
        <w:tc>
          <w:tcPr>
            <w:tcW w:w="556" w:type="dxa"/>
            <w:tcBorders>
              <w:top w:val="single" w:sz="6" w:space="0" w:color="000000"/>
              <w:bottom w:val="single" w:sz="6" w:space="0" w:color="000000"/>
            </w:tcBorders>
          </w:tcPr>
          <w:p>
            <w:pPr>
              <w:pStyle w:val="TableParagraph"/>
              <w:rPr>
                <w:sz w:val="14"/>
              </w:rPr>
            </w:pPr>
          </w:p>
        </w:tc>
      </w:tr>
      <w:tr>
        <w:trPr>
          <w:trHeight w:val="202" w:hRule="atLeast"/>
        </w:trPr>
        <w:tc>
          <w:tcPr>
            <w:tcW w:w="6471" w:type="dxa"/>
            <w:tcBorders>
              <w:top w:val="single" w:sz="6" w:space="0" w:color="000000"/>
            </w:tcBorders>
            <w:shd w:val="clear" w:color="auto" w:fill="CCEDFF"/>
          </w:tcPr>
          <w:p>
            <w:pPr>
              <w:pStyle w:val="TableParagraph"/>
              <w:spacing w:line="180" w:lineRule="exact" w:before="2"/>
              <w:rPr>
                <w:sz w:val="16"/>
              </w:rPr>
            </w:pPr>
            <w:r>
              <w:rPr>
                <w:w w:val="105"/>
                <w:sz w:val="16"/>
              </w:rPr>
              <w:t>Net</w:t>
            </w:r>
            <w:r>
              <w:rPr>
                <w:spacing w:val="-9"/>
                <w:w w:val="105"/>
                <w:sz w:val="16"/>
              </w:rPr>
              <w:t> </w:t>
            </w:r>
            <w:r>
              <w:rPr>
                <w:w w:val="105"/>
                <w:sz w:val="16"/>
              </w:rPr>
              <w:t>income</w:t>
            </w:r>
            <w:r>
              <w:rPr>
                <w:spacing w:val="-9"/>
                <w:w w:val="105"/>
                <w:sz w:val="16"/>
              </w:rPr>
              <w:t> </w:t>
            </w:r>
            <w:r>
              <w:rPr>
                <w:w w:val="105"/>
                <w:sz w:val="16"/>
              </w:rPr>
              <w:t>attributable</w:t>
            </w:r>
            <w:r>
              <w:rPr>
                <w:spacing w:val="-9"/>
                <w:w w:val="105"/>
                <w:sz w:val="16"/>
              </w:rPr>
              <w:t> </w:t>
            </w:r>
            <w:r>
              <w:rPr>
                <w:w w:val="105"/>
                <w:sz w:val="16"/>
              </w:rPr>
              <w:t>to</w:t>
            </w:r>
            <w:r>
              <w:rPr>
                <w:spacing w:val="-9"/>
                <w:w w:val="105"/>
                <w:sz w:val="16"/>
              </w:rPr>
              <w:t> </w:t>
            </w:r>
            <w:r>
              <w:rPr>
                <w:w w:val="105"/>
                <w:sz w:val="16"/>
              </w:rPr>
              <w:t>Corning</w:t>
            </w:r>
            <w:r>
              <w:rPr>
                <w:spacing w:val="-9"/>
                <w:w w:val="105"/>
                <w:sz w:val="16"/>
              </w:rPr>
              <w:t> </w:t>
            </w:r>
            <w:r>
              <w:rPr>
                <w:spacing w:val="-2"/>
                <w:w w:val="105"/>
                <w:sz w:val="16"/>
              </w:rPr>
              <w:t>Incorporated</w:t>
            </w:r>
          </w:p>
        </w:tc>
        <w:tc>
          <w:tcPr>
            <w:tcW w:w="1014"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558" w:type="dxa"/>
            <w:tcBorders>
              <w:top w:val="single" w:sz="6" w:space="0" w:color="000000"/>
            </w:tcBorders>
            <w:shd w:val="clear" w:color="auto" w:fill="CCEDFF"/>
          </w:tcPr>
          <w:p>
            <w:pPr>
              <w:pStyle w:val="TableParagraph"/>
              <w:spacing w:line="180" w:lineRule="exact" w:before="2"/>
              <w:ind w:left="103"/>
              <w:rPr>
                <w:b/>
                <w:sz w:val="16"/>
              </w:rPr>
            </w:pPr>
            <w:r>
              <w:rPr>
                <w:b/>
                <w:spacing w:val="-4"/>
                <w:w w:val="105"/>
                <w:sz w:val="16"/>
              </w:rPr>
              <w:t>1,906</w:t>
            </w:r>
          </w:p>
        </w:tc>
        <w:tc>
          <w:tcPr>
            <w:tcW w:w="1811" w:type="dxa"/>
            <w:tcBorders>
              <w:top w:val="single" w:sz="6" w:space="0" w:color="000000"/>
            </w:tcBorders>
            <w:shd w:val="clear" w:color="auto" w:fill="CCEDFF"/>
          </w:tcPr>
          <w:p>
            <w:pPr>
              <w:pStyle w:val="TableParagraph"/>
              <w:tabs>
                <w:tab w:pos="1389" w:val="left" w:leader="none"/>
              </w:tabs>
              <w:spacing w:line="180" w:lineRule="exact" w:before="2"/>
              <w:ind w:left="147"/>
              <w:rPr>
                <w:sz w:val="16"/>
              </w:rPr>
            </w:pPr>
            <w:r>
              <w:rPr>
                <w:spacing w:val="-10"/>
                <w:w w:val="105"/>
                <w:sz w:val="16"/>
              </w:rPr>
              <w:t>$</w:t>
            </w:r>
            <w:r>
              <w:rPr>
                <w:sz w:val="16"/>
              </w:rPr>
              <w:tab/>
            </w:r>
            <w:r>
              <w:rPr>
                <w:spacing w:val="-5"/>
                <w:w w:val="105"/>
                <w:sz w:val="16"/>
              </w:rPr>
              <w:t>512</w:t>
            </w:r>
          </w:p>
        </w:tc>
        <w:tc>
          <w:tcPr>
            <w:tcW w:w="1104" w:type="dxa"/>
            <w:tcBorders>
              <w:top w:val="single" w:sz="6" w:space="0" w:color="000000"/>
            </w:tcBorders>
            <w:shd w:val="clear" w:color="auto" w:fill="CCEDFF"/>
          </w:tcPr>
          <w:p>
            <w:pPr>
              <w:pStyle w:val="TableParagraph"/>
              <w:spacing w:line="180" w:lineRule="exact" w:before="2"/>
              <w:ind w:left="56"/>
              <w:rPr>
                <w:sz w:val="16"/>
              </w:rPr>
            </w:pPr>
            <w:r>
              <w:rPr>
                <w:spacing w:val="-10"/>
                <w:w w:val="105"/>
                <w:sz w:val="16"/>
              </w:rPr>
              <w:t>$</w:t>
            </w:r>
          </w:p>
        </w:tc>
        <w:tc>
          <w:tcPr>
            <w:tcW w:w="556" w:type="dxa"/>
            <w:tcBorders>
              <w:top w:val="single" w:sz="6" w:space="0" w:color="000000"/>
            </w:tcBorders>
            <w:shd w:val="clear" w:color="auto" w:fill="CCEDFF"/>
          </w:tcPr>
          <w:p>
            <w:pPr>
              <w:pStyle w:val="TableParagraph"/>
              <w:spacing w:line="180" w:lineRule="exact" w:before="2"/>
              <w:ind w:left="194"/>
              <w:rPr>
                <w:sz w:val="16"/>
              </w:rPr>
            </w:pPr>
            <w:r>
              <w:rPr>
                <w:spacing w:val="-5"/>
                <w:w w:val="105"/>
                <w:sz w:val="16"/>
              </w:rPr>
              <w:t>960</w:t>
            </w:r>
          </w:p>
        </w:tc>
      </w:tr>
      <w:tr>
        <w:trPr>
          <w:trHeight w:val="203" w:hRule="atLeast"/>
        </w:trPr>
        <w:tc>
          <w:tcPr>
            <w:tcW w:w="6471" w:type="dxa"/>
          </w:tcPr>
          <w:p>
            <w:pPr>
              <w:pStyle w:val="TableParagraph"/>
              <w:rPr>
                <w:sz w:val="14"/>
              </w:rPr>
            </w:pPr>
          </w:p>
        </w:tc>
        <w:tc>
          <w:tcPr>
            <w:tcW w:w="1014" w:type="dxa"/>
          </w:tcPr>
          <w:p>
            <w:pPr>
              <w:pStyle w:val="TableParagraph"/>
              <w:rPr>
                <w:sz w:val="14"/>
              </w:rPr>
            </w:pPr>
          </w:p>
        </w:tc>
        <w:tc>
          <w:tcPr>
            <w:tcW w:w="558" w:type="dxa"/>
          </w:tcPr>
          <w:p>
            <w:pPr>
              <w:pStyle w:val="TableParagraph"/>
              <w:rPr>
                <w:sz w:val="14"/>
              </w:rPr>
            </w:pPr>
          </w:p>
        </w:tc>
        <w:tc>
          <w:tcPr>
            <w:tcW w:w="1811" w:type="dxa"/>
          </w:tcPr>
          <w:p>
            <w:pPr>
              <w:pStyle w:val="TableParagraph"/>
              <w:rPr>
                <w:sz w:val="14"/>
              </w:rPr>
            </w:pPr>
          </w:p>
        </w:tc>
        <w:tc>
          <w:tcPr>
            <w:tcW w:w="1104" w:type="dxa"/>
          </w:tcPr>
          <w:p>
            <w:pPr>
              <w:pStyle w:val="TableParagraph"/>
              <w:rPr>
                <w:sz w:val="14"/>
              </w:rPr>
            </w:pPr>
          </w:p>
        </w:tc>
        <w:tc>
          <w:tcPr>
            <w:tcW w:w="556" w:type="dxa"/>
          </w:tcPr>
          <w:p>
            <w:pPr>
              <w:pStyle w:val="TableParagraph"/>
              <w:rPr>
                <w:sz w:val="14"/>
              </w:rPr>
            </w:pPr>
          </w:p>
        </w:tc>
      </w:tr>
      <w:tr>
        <w:trPr>
          <w:trHeight w:val="203" w:hRule="atLeast"/>
        </w:trPr>
        <w:tc>
          <w:tcPr>
            <w:tcW w:w="6471" w:type="dxa"/>
            <w:shd w:val="clear" w:color="auto" w:fill="CCEDFF"/>
          </w:tcPr>
          <w:p>
            <w:pPr>
              <w:pStyle w:val="TableParagraph"/>
              <w:spacing w:line="180" w:lineRule="exact" w:before="3"/>
              <w:ind w:left="152"/>
              <w:rPr>
                <w:sz w:val="16"/>
              </w:rPr>
            </w:pPr>
            <w:r>
              <w:rPr>
                <w:sz w:val="16"/>
              </w:rPr>
              <w:t>Foreign</w:t>
            </w:r>
            <w:r>
              <w:rPr>
                <w:spacing w:val="14"/>
                <w:sz w:val="16"/>
              </w:rPr>
              <w:t> </w:t>
            </w:r>
            <w:r>
              <w:rPr>
                <w:sz w:val="16"/>
              </w:rPr>
              <w:t>currency</w:t>
            </w:r>
            <w:r>
              <w:rPr>
                <w:spacing w:val="15"/>
                <w:sz w:val="16"/>
              </w:rPr>
              <w:t> </w:t>
            </w:r>
            <w:r>
              <w:rPr>
                <w:sz w:val="16"/>
              </w:rPr>
              <w:t>translation</w:t>
            </w:r>
            <w:r>
              <w:rPr>
                <w:spacing w:val="15"/>
                <w:sz w:val="16"/>
              </w:rPr>
              <w:t> </w:t>
            </w:r>
            <w:r>
              <w:rPr>
                <w:sz w:val="16"/>
              </w:rPr>
              <w:t>adjustments</w:t>
            </w:r>
            <w:r>
              <w:rPr>
                <w:spacing w:val="15"/>
                <w:sz w:val="16"/>
              </w:rPr>
              <w:t> </w:t>
            </w:r>
            <w:r>
              <w:rPr>
                <w:sz w:val="16"/>
              </w:rPr>
              <w:t>and</w:t>
            </w:r>
            <w:r>
              <w:rPr>
                <w:spacing w:val="15"/>
                <w:sz w:val="16"/>
              </w:rPr>
              <w:t> </w:t>
            </w:r>
            <w:r>
              <w:rPr>
                <w:sz w:val="16"/>
              </w:rPr>
              <w:t>other</w:t>
            </w:r>
            <w:r>
              <w:rPr>
                <w:spacing w:val="14"/>
                <w:sz w:val="16"/>
              </w:rPr>
              <w:t> </w:t>
            </w:r>
            <w:r>
              <w:rPr>
                <w:sz w:val="16"/>
              </w:rPr>
              <w:t>(Note</w:t>
            </w:r>
            <w:r>
              <w:rPr>
                <w:spacing w:val="15"/>
                <w:sz w:val="16"/>
              </w:rPr>
              <w:t> </w:t>
            </w:r>
            <w:r>
              <w:rPr>
                <w:spacing w:val="-5"/>
                <w:sz w:val="16"/>
              </w:rPr>
              <w:t>17)</w:t>
            </w:r>
          </w:p>
        </w:tc>
        <w:tc>
          <w:tcPr>
            <w:tcW w:w="1014" w:type="dxa"/>
            <w:shd w:val="clear" w:color="auto" w:fill="CCEDFF"/>
          </w:tcPr>
          <w:p>
            <w:pPr>
              <w:pStyle w:val="TableParagraph"/>
              <w:rPr>
                <w:sz w:val="14"/>
              </w:rPr>
            </w:pPr>
          </w:p>
        </w:tc>
        <w:tc>
          <w:tcPr>
            <w:tcW w:w="558" w:type="dxa"/>
            <w:shd w:val="clear" w:color="auto" w:fill="CCEDFF"/>
          </w:tcPr>
          <w:p>
            <w:pPr>
              <w:pStyle w:val="TableParagraph"/>
              <w:spacing w:line="180" w:lineRule="exact" w:before="3"/>
              <w:ind w:right="24"/>
              <w:jc w:val="right"/>
              <w:rPr>
                <w:b/>
                <w:sz w:val="16"/>
              </w:rPr>
            </w:pPr>
            <w:r>
              <w:rPr>
                <w:b/>
                <w:spacing w:val="-2"/>
                <w:w w:val="105"/>
                <w:sz w:val="16"/>
              </w:rPr>
              <w:t>(604)</w:t>
            </w:r>
          </w:p>
        </w:tc>
        <w:tc>
          <w:tcPr>
            <w:tcW w:w="1811" w:type="dxa"/>
            <w:shd w:val="clear" w:color="auto" w:fill="CCEDFF"/>
          </w:tcPr>
          <w:p>
            <w:pPr>
              <w:pStyle w:val="TableParagraph"/>
              <w:spacing w:line="180" w:lineRule="exact" w:before="3"/>
              <w:ind w:right="170"/>
              <w:jc w:val="right"/>
              <w:rPr>
                <w:sz w:val="16"/>
              </w:rPr>
            </w:pPr>
            <w:r>
              <w:rPr>
                <w:spacing w:val="-5"/>
                <w:w w:val="105"/>
                <w:sz w:val="16"/>
              </w:rPr>
              <w:t>528</w:t>
            </w:r>
          </w:p>
        </w:tc>
        <w:tc>
          <w:tcPr>
            <w:tcW w:w="1104" w:type="dxa"/>
            <w:shd w:val="clear" w:color="auto" w:fill="CCEDFF"/>
          </w:tcPr>
          <w:p>
            <w:pPr>
              <w:pStyle w:val="TableParagraph"/>
              <w:rPr>
                <w:sz w:val="14"/>
              </w:rPr>
            </w:pPr>
          </w:p>
        </w:tc>
        <w:tc>
          <w:tcPr>
            <w:tcW w:w="556" w:type="dxa"/>
            <w:shd w:val="clear" w:color="auto" w:fill="CCEDFF"/>
          </w:tcPr>
          <w:p>
            <w:pPr>
              <w:pStyle w:val="TableParagraph"/>
              <w:spacing w:line="180" w:lineRule="exact" w:before="3"/>
              <w:ind w:right="57"/>
              <w:jc w:val="right"/>
              <w:rPr>
                <w:sz w:val="16"/>
              </w:rPr>
            </w:pPr>
            <w:r>
              <w:rPr>
                <w:spacing w:val="-2"/>
                <w:w w:val="105"/>
                <w:sz w:val="16"/>
              </w:rPr>
              <w:t>(143)</w:t>
            </w:r>
          </w:p>
        </w:tc>
      </w:tr>
      <w:tr>
        <w:trPr>
          <w:trHeight w:val="203" w:hRule="atLeast"/>
        </w:trPr>
        <w:tc>
          <w:tcPr>
            <w:tcW w:w="6471" w:type="dxa"/>
          </w:tcPr>
          <w:p>
            <w:pPr>
              <w:pStyle w:val="TableParagraph"/>
              <w:spacing w:line="180" w:lineRule="exact" w:before="3"/>
              <w:ind w:left="152"/>
              <w:rPr>
                <w:sz w:val="16"/>
              </w:rPr>
            </w:pPr>
            <w:r>
              <w:rPr>
                <w:w w:val="105"/>
                <w:sz w:val="16"/>
              </w:rPr>
              <w:t>Net</w:t>
            </w:r>
            <w:r>
              <w:rPr>
                <w:spacing w:val="-9"/>
                <w:w w:val="105"/>
                <w:sz w:val="16"/>
              </w:rPr>
              <w:t> </w:t>
            </w:r>
            <w:r>
              <w:rPr>
                <w:w w:val="105"/>
                <w:sz w:val="16"/>
              </w:rPr>
              <w:t>unrealized</w:t>
            </w:r>
            <w:r>
              <w:rPr>
                <w:spacing w:val="-9"/>
                <w:w w:val="105"/>
                <w:sz w:val="16"/>
              </w:rPr>
              <w:t> </w:t>
            </w:r>
            <w:r>
              <w:rPr>
                <w:w w:val="105"/>
                <w:sz w:val="16"/>
              </w:rPr>
              <w:t>gains</w:t>
            </w:r>
            <w:r>
              <w:rPr>
                <w:spacing w:val="-9"/>
                <w:w w:val="105"/>
                <w:sz w:val="16"/>
              </w:rPr>
              <w:t> </w:t>
            </w:r>
            <w:r>
              <w:rPr>
                <w:w w:val="105"/>
                <w:sz w:val="16"/>
              </w:rPr>
              <w:t>on</w:t>
            </w:r>
            <w:r>
              <w:rPr>
                <w:spacing w:val="-9"/>
                <w:w w:val="105"/>
                <w:sz w:val="16"/>
              </w:rPr>
              <w:t> </w:t>
            </w:r>
            <w:r>
              <w:rPr>
                <w:spacing w:val="-2"/>
                <w:w w:val="105"/>
                <w:sz w:val="16"/>
              </w:rPr>
              <w:t>investments</w:t>
            </w:r>
          </w:p>
        </w:tc>
        <w:tc>
          <w:tcPr>
            <w:tcW w:w="1014" w:type="dxa"/>
          </w:tcPr>
          <w:p>
            <w:pPr>
              <w:pStyle w:val="TableParagraph"/>
              <w:rPr>
                <w:sz w:val="14"/>
              </w:rPr>
            </w:pPr>
          </w:p>
        </w:tc>
        <w:tc>
          <w:tcPr>
            <w:tcW w:w="558" w:type="dxa"/>
          </w:tcPr>
          <w:p>
            <w:pPr>
              <w:pStyle w:val="TableParagraph"/>
              <w:rPr>
                <w:sz w:val="14"/>
              </w:rPr>
            </w:pPr>
          </w:p>
        </w:tc>
        <w:tc>
          <w:tcPr>
            <w:tcW w:w="1811" w:type="dxa"/>
          </w:tcPr>
          <w:p>
            <w:pPr>
              <w:pStyle w:val="TableParagraph"/>
              <w:rPr>
                <w:sz w:val="14"/>
              </w:rPr>
            </w:pPr>
          </w:p>
        </w:tc>
        <w:tc>
          <w:tcPr>
            <w:tcW w:w="1104" w:type="dxa"/>
          </w:tcPr>
          <w:p>
            <w:pPr>
              <w:pStyle w:val="TableParagraph"/>
              <w:rPr>
                <w:sz w:val="14"/>
              </w:rPr>
            </w:pPr>
          </w:p>
        </w:tc>
        <w:tc>
          <w:tcPr>
            <w:tcW w:w="556" w:type="dxa"/>
          </w:tcPr>
          <w:p>
            <w:pPr>
              <w:pStyle w:val="TableParagraph"/>
              <w:spacing w:line="180" w:lineRule="exact" w:before="3"/>
              <w:ind w:right="111"/>
              <w:jc w:val="right"/>
              <w:rPr>
                <w:sz w:val="16"/>
              </w:rPr>
            </w:pPr>
            <w:r>
              <w:rPr>
                <w:spacing w:val="-10"/>
                <w:w w:val="105"/>
                <w:sz w:val="16"/>
              </w:rPr>
              <w:t>1</w:t>
            </w:r>
          </w:p>
        </w:tc>
      </w:tr>
      <w:tr>
        <w:trPr>
          <w:trHeight w:val="203" w:hRule="atLeast"/>
        </w:trPr>
        <w:tc>
          <w:tcPr>
            <w:tcW w:w="6471" w:type="dxa"/>
            <w:shd w:val="clear" w:color="auto" w:fill="CCEDFF"/>
          </w:tcPr>
          <w:p>
            <w:pPr>
              <w:pStyle w:val="TableParagraph"/>
              <w:spacing w:line="180" w:lineRule="exact" w:before="3"/>
              <w:ind w:left="152"/>
              <w:rPr>
                <w:sz w:val="16"/>
              </w:rPr>
            </w:pPr>
            <w:r>
              <w:rPr>
                <w:w w:val="105"/>
                <w:sz w:val="16"/>
              </w:rPr>
              <w:t>Unamortized</w:t>
            </w:r>
            <w:r>
              <w:rPr>
                <w:spacing w:val="-11"/>
                <w:w w:val="105"/>
                <w:sz w:val="16"/>
              </w:rPr>
              <w:t> </w:t>
            </w:r>
            <w:r>
              <w:rPr>
                <w:w w:val="105"/>
                <w:sz w:val="16"/>
              </w:rPr>
              <w:t>gains</w:t>
            </w:r>
            <w:r>
              <w:rPr>
                <w:spacing w:val="-10"/>
                <w:w w:val="105"/>
                <w:sz w:val="16"/>
              </w:rPr>
              <w:t> </w:t>
            </w:r>
            <w:r>
              <w:rPr>
                <w:w w:val="105"/>
                <w:sz w:val="16"/>
              </w:rPr>
              <w:t>(losses)</w:t>
            </w:r>
            <w:r>
              <w:rPr>
                <w:spacing w:val="-9"/>
                <w:w w:val="105"/>
                <w:sz w:val="16"/>
              </w:rPr>
              <w:t> </w:t>
            </w:r>
            <w:r>
              <w:rPr>
                <w:w w:val="105"/>
                <w:sz w:val="16"/>
              </w:rPr>
              <w:t>and</w:t>
            </w:r>
            <w:r>
              <w:rPr>
                <w:spacing w:val="-10"/>
                <w:w w:val="105"/>
                <w:sz w:val="16"/>
              </w:rPr>
              <w:t> </w:t>
            </w:r>
            <w:r>
              <w:rPr>
                <w:w w:val="105"/>
                <w:sz w:val="16"/>
              </w:rPr>
              <w:t>prior</w:t>
            </w:r>
            <w:r>
              <w:rPr>
                <w:spacing w:val="-10"/>
                <w:w w:val="105"/>
                <w:sz w:val="16"/>
              </w:rPr>
              <w:t> </w:t>
            </w:r>
            <w:r>
              <w:rPr>
                <w:w w:val="105"/>
                <w:sz w:val="16"/>
              </w:rPr>
              <w:t>service</w:t>
            </w:r>
            <w:r>
              <w:rPr>
                <w:spacing w:val="-10"/>
                <w:w w:val="105"/>
                <w:sz w:val="16"/>
              </w:rPr>
              <w:t> </w:t>
            </w:r>
            <w:r>
              <w:rPr>
                <w:w w:val="105"/>
                <w:sz w:val="16"/>
              </w:rPr>
              <w:t>credits</w:t>
            </w:r>
            <w:r>
              <w:rPr>
                <w:spacing w:val="-11"/>
                <w:w w:val="105"/>
                <w:sz w:val="16"/>
              </w:rPr>
              <w:t> </w:t>
            </w:r>
            <w:r>
              <w:rPr>
                <w:w w:val="105"/>
                <w:sz w:val="16"/>
              </w:rPr>
              <w:t>(costs)</w:t>
            </w:r>
            <w:r>
              <w:rPr>
                <w:spacing w:val="-10"/>
                <w:w w:val="105"/>
                <w:sz w:val="16"/>
              </w:rPr>
              <w:t> </w:t>
            </w:r>
            <w:r>
              <w:rPr>
                <w:w w:val="105"/>
                <w:sz w:val="16"/>
              </w:rPr>
              <w:t>for</w:t>
            </w:r>
            <w:r>
              <w:rPr>
                <w:spacing w:val="-10"/>
                <w:w w:val="105"/>
                <w:sz w:val="16"/>
              </w:rPr>
              <w:t> </w:t>
            </w:r>
            <w:r>
              <w:rPr>
                <w:w w:val="105"/>
                <w:sz w:val="16"/>
              </w:rPr>
              <w:t>postretirement</w:t>
            </w:r>
            <w:r>
              <w:rPr>
                <w:spacing w:val="-11"/>
                <w:w w:val="105"/>
                <w:sz w:val="16"/>
              </w:rPr>
              <w:t> </w:t>
            </w:r>
            <w:r>
              <w:rPr>
                <w:w w:val="105"/>
                <w:sz w:val="16"/>
              </w:rPr>
              <w:t>benefit</w:t>
            </w:r>
            <w:r>
              <w:rPr>
                <w:spacing w:val="-10"/>
                <w:w w:val="105"/>
                <w:sz w:val="16"/>
              </w:rPr>
              <w:t> </w:t>
            </w:r>
            <w:r>
              <w:rPr>
                <w:spacing w:val="-2"/>
                <w:w w:val="105"/>
                <w:sz w:val="16"/>
              </w:rPr>
              <w:t>plans</w:t>
            </w:r>
          </w:p>
        </w:tc>
        <w:tc>
          <w:tcPr>
            <w:tcW w:w="1014" w:type="dxa"/>
            <w:shd w:val="clear" w:color="auto" w:fill="CCEDFF"/>
          </w:tcPr>
          <w:p>
            <w:pPr>
              <w:pStyle w:val="TableParagraph"/>
              <w:rPr>
                <w:sz w:val="14"/>
              </w:rPr>
            </w:pPr>
          </w:p>
        </w:tc>
        <w:tc>
          <w:tcPr>
            <w:tcW w:w="558" w:type="dxa"/>
            <w:shd w:val="clear" w:color="auto" w:fill="CCEDFF"/>
          </w:tcPr>
          <w:p>
            <w:pPr>
              <w:pStyle w:val="TableParagraph"/>
              <w:spacing w:line="180" w:lineRule="exact" w:before="3"/>
              <w:ind w:left="228"/>
              <w:rPr>
                <w:b/>
                <w:sz w:val="16"/>
              </w:rPr>
            </w:pPr>
            <w:r>
              <w:rPr>
                <w:b/>
                <w:spacing w:val="-5"/>
                <w:w w:val="105"/>
                <w:sz w:val="16"/>
              </w:rPr>
              <w:t>178</w:t>
            </w:r>
          </w:p>
        </w:tc>
        <w:tc>
          <w:tcPr>
            <w:tcW w:w="1811" w:type="dxa"/>
            <w:shd w:val="clear" w:color="auto" w:fill="CCEDFF"/>
          </w:tcPr>
          <w:p>
            <w:pPr>
              <w:pStyle w:val="TableParagraph"/>
              <w:spacing w:line="180" w:lineRule="exact" w:before="3"/>
              <w:ind w:right="115"/>
              <w:jc w:val="right"/>
              <w:rPr>
                <w:sz w:val="16"/>
              </w:rPr>
            </w:pPr>
            <w:r>
              <w:rPr>
                <w:spacing w:val="-4"/>
                <w:w w:val="105"/>
                <w:sz w:val="16"/>
              </w:rPr>
              <w:t>(88)</w:t>
            </w:r>
          </w:p>
        </w:tc>
        <w:tc>
          <w:tcPr>
            <w:tcW w:w="1104" w:type="dxa"/>
            <w:shd w:val="clear" w:color="auto" w:fill="CCEDFF"/>
          </w:tcPr>
          <w:p>
            <w:pPr>
              <w:pStyle w:val="TableParagraph"/>
              <w:rPr>
                <w:sz w:val="14"/>
              </w:rPr>
            </w:pPr>
          </w:p>
        </w:tc>
        <w:tc>
          <w:tcPr>
            <w:tcW w:w="556" w:type="dxa"/>
            <w:shd w:val="clear" w:color="auto" w:fill="CCEDFF"/>
          </w:tcPr>
          <w:p>
            <w:pPr>
              <w:pStyle w:val="TableParagraph"/>
              <w:spacing w:line="180" w:lineRule="exact" w:before="3"/>
              <w:ind w:right="57"/>
              <w:jc w:val="right"/>
              <w:rPr>
                <w:sz w:val="16"/>
              </w:rPr>
            </w:pPr>
            <w:r>
              <w:rPr>
                <w:spacing w:val="-4"/>
                <w:w w:val="105"/>
                <w:sz w:val="16"/>
              </w:rPr>
              <w:t>(64)</w:t>
            </w:r>
          </w:p>
        </w:tc>
      </w:tr>
      <w:tr>
        <w:trPr>
          <w:trHeight w:val="202" w:hRule="atLeast"/>
        </w:trPr>
        <w:tc>
          <w:tcPr>
            <w:tcW w:w="6471" w:type="dxa"/>
          </w:tcPr>
          <w:p>
            <w:pPr>
              <w:pStyle w:val="TableParagraph"/>
              <w:spacing w:line="166" w:lineRule="exact" w:before="16"/>
              <w:ind w:left="152"/>
              <w:rPr>
                <w:sz w:val="16"/>
              </w:rPr>
            </w:pPr>
            <w:r>
              <w:rPr>
                <w:w w:val="105"/>
                <w:sz w:val="16"/>
              </w:rPr>
              <w:t>Net</w:t>
            </w:r>
            <w:r>
              <w:rPr>
                <w:spacing w:val="-10"/>
                <w:w w:val="105"/>
                <w:sz w:val="16"/>
              </w:rPr>
              <w:t> </w:t>
            </w:r>
            <w:r>
              <w:rPr>
                <w:w w:val="105"/>
                <w:sz w:val="16"/>
              </w:rPr>
              <w:t>unrealized</w:t>
            </w:r>
            <w:r>
              <w:rPr>
                <w:spacing w:val="-10"/>
                <w:w w:val="105"/>
                <w:sz w:val="16"/>
              </w:rPr>
              <w:t> </w:t>
            </w:r>
            <w:r>
              <w:rPr>
                <w:w w:val="105"/>
                <w:sz w:val="16"/>
              </w:rPr>
              <w:t>(losses)</w:t>
            </w:r>
            <w:r>
              <w:rPr>
                <w:spacing w:val="-10"/>
                <w:w w:val="105"/>
                <w:sz w:val="16"/>
              </w:rPr>
              <w:t> </w:t>
            </w:r>
            <w:r>
              <w:rPr>
                <w:w w:val="105"/>
                <w:sz w:val="16"/>
              </w:rPr>
              <w:t>gains</w:t>
            </w:r>
            <w:r>
              <w:rPr>
                <w:spacing w:val="-9"/>
                <w:w w:val="105"/>
                <w:sz w:val="16"/>
              </w:rPr>
              <w:t> </w:t>
            </w:r>
            <w:r>
              <w:rPr>
                <w:w w:val="105"/>
                <w:sz w:val="16"/>
              </w:rPr>
              <w:t>on</w:t>
            </w:r>
            <w:r>
              <w:rPr>
                <w:spacing w:val="-10"/>
                <w:w w:val="105"/>
                <w:sz w:val="16"/>
              </w:rPr>
              <w:t> </w:t>
            </w:r>
            <w:r>
              <w:rPr>
                <w:w w:val="105"/>
                <w:sz w:val="16"/>
              </w:rPr>
              <w:t>designated</w:t>
            </w:r>
            <w:r>
              <w:rPr>
                <w:spacing w:val="-10"/>
                <w:w w:val="105"/>
                <w:sz w:val="16"/>
              </w:rPr>
              <w:t> </w:t>
            </w:r>
            <w:r>
              <w:rPr>
                <w:spacing w:val="-2"/>
                <w:w w:val="105"/>
                <w:sz w:val="16"/>
              </w:rPr>
              <w:t>hedges</w:t>
            </w:r>
          </w:p>
        </w:tc>
        <w:tc>
          <w:tcPr>
            <w:tcW w:w="1014" w:type="dxa"/>
            <w:tcBorders>
              <w:bottom w:val="single" w:sz="6" w:space="0" w:color="000000"/>
            </w:tcBorders>
          </w:tcPr>
          <w:p>
            <w:pPr>
              <w:pStyle w:val="TableParagraph"/>
              <w:rPr>
                <w:sz w:val="14"/>
              </w:rPr>
            </w:pPr>
          </w:p>
        </w:tc>
        <w:tc>
          <w:tcPr>
            <w:tcW w:w="558" w:type="dxa"/>
            <w:tcBorders>
              <w:bottom w:val="single" w:sz="6" w:space="0" w:color="000000"/>
            </w:tcBorders>
          </w:tcPr>
          <w:p>
            <w:pPr>
              <w:pStyle w:val="TableParagraph"/>
              <w:spacing w:line="179" w:lineRule="exact" w:before="3"/>
              <w:ind w:right="24"/>
              <w:jc w:val="right"/>
              <w:rPr>
                <w:b/>
                <w:sz w:val="16"/>
              </w:rPr>
            </w:pPr>
            <w:r>
              <w:rPr>
                <w:b/>
                <w:spacing w:val="-5"/>
                <w:w w:val="105"/>
                <w:sz w:val="16"/>
              </w:rPr>
              <w:t>(9)</w:t>
            </w:r>
          </w:p>
        </w:tc>
        <w:tc>
          <w:tcPr>
            <w:tcW w:w="1811" w:type="dxa"/>
            <w:tcBorders>
              <w:bottom w:val="single" w:sz="6" w:space="0" w:color="000000"/>
            </w:tcBorders>
          </w:tcPr>
          <w:p>
            <w:pPr>
              <w:pStyle w:val="TableParagraph"/>
              <w:spacing w:line="179" w:lineRule="exact" w:before="3"/>
              <w:ind w:right="115"/>
              <w:jc w:val="right"/>
              <w:rPr>
                <w:sz w:val="16"/>
              </w:rPr>
            </w:pPr>
            <w:r>
              <w:rPr>
                <w:spacing w:val="-5"/>
                <w:w w:val="105"/>
                <w:sz w:val="16"/>
              </w:rPr>
              <w:t>(9)</w:t>
            </w:r>
          </w:p>
        </w:tc>
        <w:tc>
          <w:tcPr>
            <w:tcW w:w="1104" w:type="dxa"/>
            <w:tcBorders>
              <w:bottom w:val="single" w:sz="6" w:space="0" w:color="000000"/>
            </w:tcBorders>
          </w:tcPr>
          <w:p>
            <w:pPr>
              <w:pStyle w:val="TableParagraph"/>
              <w:rPr>
                <w:sz w:val="14"/>
              </w:rPr>
            </w:pPr>
          </w:p>
        </w:tc>
        <w:tc>
          <w:tcPr>
            <w:tcW w:w="556" w:type="dxa"/>
            <w:tcBorders>
              <w:bottom w:val="single" w:sz="6" w:space="0" w:color="000000"/>
            </w:tcBorders>
          </w:tcPr>
          <w:p>
            <w:pPr>
              <w:pStyle w:val="TableParagraph"/>
              <w:spacing w:line="179" w:lineRule="exact" w:before="3"/>
              <w:ind w:left="277"/>
              <w:rPr>
                <w:sz w:val="16"/>
              </w:rPr>
            </w:pPr>
            <w:r>
              <w:rPr>
                <w:spacing w:val="-5"/>
                <w:w w:val="105"/>
                <w:sz w:val="16"/>
              </w:rPr>
              <w:t>45</w:t>
            </w:r>
          </w:p>
        </w:tc>
      </w:tr>
      <w:tr>
        <w:trPr>
          <w:trHeight w:val="201" w:hRule="atLeast"/>
        </w:trPr>
        <w:tc>
          <w:tcPr>
            <w:tcW w:w="6471" w:type="dxa"/>
            <w:shd w:val="clear" w:color="auto" w:fill="CCEDFF"/>
          </w:tcPr>
          <w:p>
            <w:pPr>
              <w:pStyle w:val="TableParagraph"/>
              <w:spacing w:line="166" w:lineRule="exact" w:before="15"/>
              <w:rPr>
                <w:sz w:val="16"/>
              </w:rPr>
            </w:pPr>
            <w:r>
              <w:rPr>
                <w:w w:val="105"/>
                <w:sz w:val="16"/>
              </w:rPr>
              <w:t>Other</w:t>
            </w:r>
            <w:r>
              <w:rPr>
                <w:spacing w:val="-10"/>
                <w:w w:val="105"/>
                <w:sz w:val="16"/>
              </w:rPr>
              <w:t> </w:t>
            </w:r>
            <w:r>
              <w:rPr>
                <w:w w:val="105"/>
                <w:sz w:val="16"/>
              </w:rPr>
              <w:t>comprehensive</w:t>
            </w:r>
            <w:r>
              <w:rPr>
                <w:spacing w:val="-9"/>
                <w:w w:val="105"/>
                <w:sz w:val="16"/>
              </w:rPr>
              <w:t> </w:t>
            </w:r>
            <w:r>
              <w:rPr>
                <w:w w:val="105"/>
                <w:sz w:val="16"/>
              </w:rPr>
              <w:t>(loss)</w:t>
            </w:r>
            <w:r>
              <w:rPr>
                <w:spacing w:val="-8"/>
                <w:w w:val="105"/>
                <w:sz w:val="16"/>
              </w:rPr>
              <w:t> </w:t>
            </w:r>
            <w:r>
              <w:rPr>
                <w:w w:val="105"/>
                <w:sz w:val="16"/>
              </w:rPr>
              <w:t>income,</w:t>
            </w:r>
            <w:r>
              <w:rPr>
                <w:spacing w:val="-9"/>
                <w:w w:val="105"/>
                <w:sz w:val="16"/>
              </w:rPr>
              <w:t> </w:t>
            </w:r>
            <w:r>
              <w:rPr>
                <w:w w:val="105"/>
                <w:sz w:val="16"/>
              </w:rPr>
              <w:t>net</w:t>
            </w:r>
            <w:r>
              <w:rPr>
                <w:spacing w:val="-10"/>
                <w:w w:val="105"/>
                <w:sz w:val="16"/>
              </w:rPr>
              <w:t> </w:t>
            </w:r>
            <w:r>
              <w:rPr>
                <w:w w:val="105"/>
                <w:sz w:val="16"/>
              </w:rPr>
              <w:t>of</w:t>
            </w:r>
            <w:r>
              <w:rPr>
                <w:spacing w:val="-9"/>
                <w:w w:val="105"/>
                <w:sz w:val="16"/>
              </w:rPr>
              <w:t> </w:t>
            </w:r>
            <w:r>
              <w:rPr>
                <w:spacing w:val="-5"/>
                <w:w w:val="105"/>
                <w:sz w:val="16"/>
              </w:rPr>
              <w:t>tax</w:t>
            </w:r>
          </w:p>
        </w:tc>
        <w:tc>
          <w:tcPr>
            <w:tcW w:w="1014" w:type="dxa"/>
            <w:tcBorders>
              <w:top w:val="single" w:sz="6" w:space="0" w:color="000000"/>
              <w:bottom w:val="single" w:sz="6" w:space="0" w:color="000000"/>
            </w:tcBorders>
            <w:shd w:val="clear" w:color="auto" w:fill="CCEDFF"/>
          </w:tcPr>
          <w:p>
            <w:pPr>
              <w:pStyle w:val="TableParagraph"/>
              <w:rPr>
                <w:sz w:val="14"/>
              </w:rPr>
            </w:pPr>
          </w:p>
        </w:tc>
        <w:tc>
          <w:tcPr>
            <w:tcW w:w="558" w:type="dxa"/>
            <w:tcBorders>
              <w:top w:val="single" w:sz="6" w:space="0" w:color="000000"/>
              <w:bottom w:val="single" w:sz="6" w:space="0" w:color="000000"/>
            </w:tcBorders>
            <w:shd w:val="clear" w:color="auto" w:fill="CCEDFF"/>
          </w:tcPr>
          <w:p>
            <w:pPr>
              <w:pStyle w:val="TableParagraph"/>
              <w:spacing w:line="179" w:lineRule="exact" w:before="2"/>
              <w:ind w:right="24"/>
              <w:jc w:val="right"/>
              <w:rPr>
                <w:b/>
                <w:sz w:val="16"/>
              </w:rPr>
            </w:pPr>
            <w:r>
              <w:rPr>
                <w:b/>
                <w:spacing w:val="-2"/>
                <w:w w:val="105"/>
                <w:sz w:val="16"/>
              </w:rPr>
              <w:t>(435)</w:t>
            </w:r>
          </w:p>
        </w:tc>
        <w:tc>
          <w:tcPr>
            <w:tcW w:w="1811" w:type="dxa"/>
            <w:tcBorders>
              <w:top w:val="single" w:sz="6" w:space="0" w:color="000000"/>
              <w:bottom w:val="single" w:sz="6" w:space="0" w:color="000000"/>
            </w:tcBorders>
            <w:shd w:val="clear" w:color="auto" w:fill="CCEDFF"/>
          </w:tcPr>
          <w:p>
            <w:pPr>
              <w:pStyle w:val="TableParagraph"/>
              <w:spacing w:line="179" w:lineRule="exact" w:before="2"/>
              <w:ind w:right="170"/>
              <w:jc w:val="right"/>
              <w:rPr>
                <w:sz w:val="16"/>
              </w:rPr>
            </w:pPr>
            <w:r>
              <w:rPr>
                <w:spacing w:val="-5"/>
                <w:w w:val="105"/>
                <w:sz w:val="16"/>
              </w:rPr>
              <w:t>431</w:t>
            </w:r>
          </w:p>
        </w:tc>
        <w:tc>
          <w:tcPr>
            <w:tcW w:w="1104" w:type="dxa"/>
            <w:tcBorders>
              <w:top w:val="single" w:sz="6" w:space="0" w:color="000000"/>
              <w:bottom w:val="single" w:sz="6" w:space="0" w:color="000000"/>
            </w:tcBorders>
            <w:shd w:val="clear" w:color="auto" w:fill="CCEDFF"/>
          </w:tcPr>
          <w:p>
            <w:pPr>
              <w:pStyle w:val="TableParagraph"/>
              <w:rPr>
                <w:sz w:val="14"/>
              </w:rPr>
            </w:pPr>
          </w:p>
        </w:tc>
        <w:tc>
          <w:tcPr>
            <w:tcW w:w="556" w:type="dxa"/>
            <w:tcBorders>
              <w:top w:val="single" w:sz="6" w:space="0" w:color="000000"/>
              <w:bottom w:val="single" w:sz="6" w:space="0" w:color="000000"/>
            </w:tcBorders>
            <w:shd w:val="clear" w:color="auto" w:fill="CCEDFF"/>
          </w:tcPr>
          <w:p>
            <w:pPr>
              <w:pStyle w:val="TableParagraph"/>
              <w:spacing w:line="179" w:lineRule="exact" w:before="2"/>
              <w:ind w:right="57"/>
              <w:jc w:val="right"/>
              <w:rPr>
                <w:sz w:val="16"/>
              </w:rPr>
            </w:pPr>
            <w:r>
              <w:rPr>
                <w:spacing w:val="-2"/>
                <w:w w:val="105"/>
                <w:sz w:val="16"/>
              </w:rPr>
              <w:t>(161)</w:t>
            </w:r>
          </w:p>
        </w:tc>
      </w:tr>
      <w:tr>
        <w:trPr>
          <w:trHeight w:val="202" w:hRule="atLeast"/>
        </w:trPr>
        <w:tc>
          <w:tcPr>
            <w:tcW w:w="6471" w:type="dxa"/>
          </w:tcPr>
          <w:p>
            <w:pPr>
              <w:pStyle w:val="TableParagraph"/>
              <w:rPr>
                <w:sz w:val="14"/>
              </w:rPr>
            </w:pPr>
          </w:p>
        </w:tc>
        <w:tc>
          <w:tcPr>
            <w:tcW w:w="1014" w:type="dxa"/>
            <w:tcBorders>
              <w:top w:val="single" w:sz="6" w:space="0" w:color="000000"/>
            </w:tcBorders>
          </w:tcPr>
          <w:p>
            <w:pPr>
              <w:pStyle w:val="TableParagraph"/>
              <w:rPr>
                <w:sz w:val="14"/>
              </w:rPr>
            </w:pPr>
          </w:p>
        </w:tc>
        <w:tc>
          <w:tcPr>
            <w:tcW w:w="558" w:type="dxa"/>
            <w:tcBorders>
              <w:top w:val="single" w:sz="6" w:space="0" w:color="000000"/>
            </w:tcBorders>
          </w:tcPr>
          <w:p>
            <w:pPr>
              <w:pStyle w:val="TableParagraph"/>
              <w:rPr>
                <w:sz w:val="14"/>
              </w:rPr>
            </w:pPr>
          </w:p>
        </w:tc>
        <w:tc>
          <w:tcPr>
            <w:tcW w:w="1811" w:type="dxa"/>
            <w:tcBorders>
              <w:top w:val="single" w:sz="6" w:space="0" w:color="000000"/>
            </w:tcBorders>
          </w:tcPr>
          <w:p>
            <w:pPr>
              <w:pStyle w:val="TableParagraph"/>
              <w:rPr>
                <w:sz w:val="14"/>
              </w:rPr>
            </w:pPr>
          </w:p>
        </w:tc>
        <w:tc>
          <w:tcPr>
            <w:tcW w:w="1104" w:type="dxa"/>
            <w:tcBorders>
              <w:top w:val="single" w:sz="6" w:space="0" w:color="000000"/>
            </w:tcBorders>
          </w:tcPr>
          <w:p>
            <w:pPr>
              <w:pStyle w:val="TableParagraph"/>
              <w:rPr>
                <w:sz w:val="14"/>
              </w:rPr>
            </w:pPr>
          </w:p>
        </w:tc>
        <w:tc>
          <w:tcPr>
            <w:tcW w:w="556" w:type="dxa"/>
            <w:tcBorders>
              <w:top w:val="single" w:sz="6" w:space="0" w:color="000000"/>
            </w:tcBorders>
          </w:tcPr>
          <w:p>
            <w:pPr>
              <w:pStyle w:val="TableParagraph"/>
              <w:rPr>
                <w:sz w:val="14"/>
              </w:rPr>
            </w:pPr>
          </w:p>
        </w:tc>
      </w:tr>
      <w:tr>
        <w:trPr>
          <w:trHeight w:val="200" w:hRule="atLeast"/>
        </w:trPr>
        <w:tc>
          <w:tcPr>
            <w:tcW w:w="6471" w:type="dxa"/>
            <w:tcBorders>
              <w:bottom w:val="double" w:sz="6" w:space="0" w:color="000000"/>
            </w:tcBorders>
            <w:shd w:val="clear" w:color="auto" w:fill="CCEDFF"/>
          </w:tcPr>
          <w:p>
            <w:pPr>
              <w:pStyle w:val="TableParagraph"/>
              <w:spacing w:line="177" w:lineRule="exact" w:before="3"/>
              <w:rPr>
                <w:sz w:val="16"/>
              </w:rPr>
            </w:pPr>
            <w:r>
              <w:rPr>
                <w:sz w:val="16"/>
              </w:rPr>
              <w:t>Comprehensive</w:t>
            </w:r>
            <w:r>
              <w:rPr>
                <w:spacing w:val="18"/>
                <w:sz w:val="16"/>
              </w:rPr>
              <w:t> </w:t>
            </w:r>
            <w:r>
              <w:rPr>
                <w:sz w:val="16"/>
              </w:rPr>
              <w:t>income</w:t>
            </w:r>
            <w:r>
              <w:rPr>
                <w:spacing w:val="19"/>
                <w:sz w:val="16"/>
              </w:rPr>
              <w:t> </w:t>
            </w:r>
            <w:r>
              <w:rPr>
                <w:sz w:val="16"/>
              </w:rPr>
              <w:t>attributable</w:t>
            </w:r>
            <w:r>
              <w:rPr>
                <w:spacing w:val="18"/>
                <w:sz w:val="16"/>
              </w:rPr>
              <w:t> </w:t>
            </w:r>
            <w:r>
              <w:rPr>
                <w:sz w:val="16"/>
              </w:rPr>
              <w:t>to</w:t>
            </w:r>
            <w:r>
              <w:rPr>
                <w:spacing w:val="19"/>
                <w:sz w:val="16"/>
              </w:rPr>
              <w:t> </w:t>
            </w:r>
            <w:r>
              <w:rPr>
                <w:sz w:val="16"/>
              </w:rPr>
              <w:t>Corning</w:t>
            </w:r>
            <w:r>
              <w:rPr>
                <w:spacing w:val="18"/>
                <w:sz w:val="16"/>
              </w:rPr>
              <w:t> </w:t>
            </w:r>
            <w:r>
              <w:rPr>
                <w:spacing w:val="-2"/>
                <w:sz w:val="16"/>
              </w:rPr>
              <w:t>Incorporated</w:t>
            </w:r>
          </w:p>
        </w:tc>
        <w:tc>
          <w:tcPr>
            <w:tcW w:w="1014" w:type="dxa"/>
            <w:tcBorders>
              <w:bottom w:val="double" w:sz="6" w:space="0" w:color="000000"/>
            </w:tcBorders>
            <w:shd w:val="clear" w:color="auto" w:fill="CCEDFF"/>
          </w:tcPr>
          <w:p>
            <w:pPr>
              <w:pStyle w:val="TableParagraph"/>
              <w:spacing w:line="177" w:lineRule="exact" w:before="3"/>
              <w:rPr>
                <w:b/>
                <w:sz w:val="16"/>
              </w:rPr>
            </w:pPr>
            <w:r>
              <w:rPr>
                <w:b/>
                <w:spacing w:val="-10"/>
                <w:w w:val="105"/>
                <w:sz w:val="16"/>
              </w:rPr>
              <w:t>$</w:t>
            </w:r>
          </w:p>
        </w:tc>
        <w:tc>
          <w:tcPr>
            <w:tcW w:w="558" w:type="dxa"/>
            <w:tcBorders>
              <w:bottom w:val="double" w:sz="6" w:space="0" w:color="000000"/>
            </w:tcBorders>
            <w:shd w:val="clear" w:color="auto" w:fill="CCEDFF"/>
          </w:tcPr>
          <w:p>
            <w:pPr>
              <w:pStyle w:val="TableParagraph"/>
              <w:spacing w:line="177" w:lineRule="exact" w:before="3"/>
              <w:ind w:left="103"/>
              <w:rPr>
                <w:b/>
                <w:sz w:val="16"/>
              </w:rPr>
            </w:pPr>
            <w:r>
              <w:rPr>
                <w:b/>
                <w:spacing w:val="-4"/>
                <w:w w:val="105"/>
                <w:sz w:val="16"/>
              </w:rPr>
              <w:t>1,471</w:t>
            </w:r>
          </w:p>
        </w:tc>
        <w:tc>
          <w:tcPr>
            <w:tcW w:w="1811" w:type="dxa"/>
            <w:tcBorders>
              <w:bottom w:val="double" w:sz="6" w:space="0" w:color="000000"/>
            </w:tcBorders>
            <w:shd w:val="clear" w:color="auto" w:fill="CCEDFF"/>
          </w:tcPr>
          <w:p>
            <w:pPr>
              <w:pStyle w:val="TableParagraph"/>
              <w:tabs>
                <w:tab w:pos="1389" w:val="left" w:leader="none"/>
              </w:tabs>
              <w:spacing w:line="177" w:lineRule="exact" w:before="3"/>
              <w:ind w:left="147"/>
              <w:rPr>
                <w:sz w:val="16"/>
              </w:rPr>
            </w:pPr>
            <w:r>
              <w:rPr>
                <w:spacing w:val="-10"/>
                <w:w w:val="105"/>
                <w:sz w:val="16"/>
              </w:rPr>
              <w:t>$</w:t>
            </w:r>
            <w:r>
              <w:rPr>
                <w:sz w:val="16"/>
              </w:rPr>
              <w:tab/>
            </w:r>
            <w:r>
              <w:rPr>
                <w:spacing w:val="-5"/>
                <w:w w:val="105"/>
                <w:sz w:val="16"/>
              </w:rPr>
              <w:t>943</w:t>
            </w:r>
          </w:p>
        </w:tc>
        <w:tc>
          <w:tcPr>
            <w:tcW w:w="1104" w:type="dxa"/>
            <w:tcBorders>
              <w:bottom w:val="double" w:sz="6" w:space="0" w:color="000000"/>
            </w:tcBorders>
            <w:shd w:val="clear" w:color="auto" w:fill="CCEDFF"/>
          </w:tcPr>
          <w:p>
            <w:pPr>
              <w:pStyle w:val="TableParagraph"/>
              <w:spacing w:line="177" w:lineRule="exact" w:before="3"/>
              <w:ind w:left="56"/>
              <w:rPr>
                <w:sz w:val="16"/>
              </w:rPr>
            </w:pPr>
            <w:r>
              <w:rPr>
                <w:spacing w:val="-10"/>
                <w:w w:val="105"/>
                <w:sz w:val="16"/>
              </w:rPr>
              <w:t>$</w:t>
            </w:r>
          </w:p>
        </w:tc>
        <w:tc>
          <w:tcPr>
            <w:tcW w:w="556" w:type="dxa"/>
            <w:tcBorders>
              <w:bottom w:val="double" w:sz="6" w:space="0" w:color="000000"/>
            </w:tcBorders>
            <w:shd w:val="clear" w:color="auto" w:fill="CCEDFF"/>
          </w:tcPr>
          <w:p>
            <w:pPr>
              <w:pStyle w:val="TableParagraph"/>
              <w:spacing w:line="177" w:lineRule="exact" w:before="3"/>
              <w:ind w:left="194"/>
              <w:rPr>
                <w:sz w:val="16"/>
              </w:rPr>
            </w:pPr>
            <w:r>
              <w:rPr>
                <w:spacing w:val="-5"/>
                <w:w w:val="105"/>
                <w:sz w:val="16"/>
              </w:rPr>
              <w:t>799</w:t>
            </w:r>
          </w:p>
        </w:tc>
      </w:tr>
    </w:tbl>
    <w:p>
      <w:pPr>
        <w:pStyle w:val="BodyText"/>
        <w:spacing w:before="51"/>
        <w:rPr>
          <w:sz w:val="14"/>
        </w:rPr>
      </w:pPr>
    </w:p>
    <w:p>
      <w:pPr>
        <w:pStyle w:val="BodyText"/>
        <w:ind w:left="156"/>
      </w:pPr>
      <w:r>
        <w:rPr>
          <w:w w:val="105"/>
        </w:rPr>
        <w:t>For</w:t>
      </w:r>
      <w:r>
        <w:rPr>
          <w:spacing w:val="-8"/>
          <w:w w:val="105"/>
        </w:rPr>
        <w:t> </w:t>
      </w:r>
      <w:r>
        <w:rPr>
          <w:w w:val="105"/>
        </w:rPr>
        <w:t>the</w:t>
      </w:r>
      <w:r>
        <w:rPr>
          <w:spacing w:val="-8"/>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6"/>
          <w:w w:val="105"/>
        </w:rPr>
        <w:t> </w:t>
      </w:r>
      <w:r>
        <w:rPr>
          <w:w w:val="105"/>
        </w:rPr>
        <w:t>comprehensive</w:t>
      </w:r>
      <w:r>
        <w:rPr>
          <w:spacing w:val="-8"/>
          <w:w w:val="105"/>
        </w:rPr>
        <w:t> </w:t>
      </w:r>
      <w:r>
        <w:rPr>
          <w:w w:val="105"/>
        </w:rPr>
        <w:t>income</w:t>
      </w:r>
      <w:r>
        <w:rPr>
          <w:spacing w:val="-8"/>
          <w:w w:val="105"/>
        </w:rPr>
        <w:t> </w:t>
      </w:r>
      <w:r>
        <w:rPr>
          <w:w w:val="105"/>
        </w:rPr>
        <w:t>increased</w:t>
      </w:r>
      <w:r>
        <w:rPr>
          <w:spacing w:val="-8"/>
          <w:w w:val="105"/>
        </w:rPr>
        <w:t> </w:t>
      </w:r>
      <w:r>
        <w:rPr>
          <w:w w:val="105"/>
        </w:rPr>
        <w:t>by</w:t>
      </w:r>
      <w:r>
        <w:rPr>
          <w:spacing w:val="-8"/>
          <w:w w:val="105"/>
        </w:rPr>
        <w:t> </w:t>
      </w:r>
      <w:r>
        <w:rPr>
          <w:w w:val="105"/>
        </w:rPr>
        <w:t>$528</w:t>
      </w:r>
      <w:r>
        <w:rPr>
          <w:spacing w:val="-8"/>
          <w:w w:val="105"/>
        </w:rPr>
        <w:t> </w:t>
      </w:r>
      <w:r>
        <w:rPr>
          <w:w w:val="105"/>
        </w:rPr>
        <w:t>million,</w:t>
      </w:r>
      <w:r>
        <w:rPr>
          <w:spacing w:val="-8"/>
          <w:w w:val="105"/>
        </w:rPr>
        <w:t> </w:t>
      </w:r>
      <w:r>
        <w:rPr>
          <w:w w:val="105"/>
        </w:rPr>
        <w:t>when</w:t>
      </w:r>
      <w:r>
        <w:rPr>
          <w:spacing w:val="-8"/>
          <w:w w:val="105"/>
        </w:rPr>
        <w:t> </w:t>
      </w:r>
      <w:r>
        <w:rPr>
          <w:w w:val="105"/>
        </w:rPr>
        <w:t>compared</w:t>
      </w:r>
      <w:r>
        <w:rPr>
          <w:spacing w:val="-8"/>
          <w:w w:val="105"/>
        </w:rPr>
        <w:t> </w:t>
      </w:r>
      <w:r>
        <w:rPr>
          <w:w w:val="105"/>
        </w:rPr>
        <w:t>to</w:t>
      </w:r>
      <w:r>
        <w:rPr>
          <w:spacing w:val="-8"/>
          <w:w w:val="105"/>
        </w:rPr>
        <w:t> </w:t>
      </w:r>
      <w:r>
        <w:rPr>
          <w:w w:val="105"/>
        </w:rPr>
        <w:t>the</w:t>
      </w:r>
      <w:r>
        <w:rPr>
          <w:spacing w:val="-8"/>
          <w:w w:val="105"/>
        </w:rPr>
        <w:t> </w:t>
      </w:r>
      <w:r>
        <w:rPr>
          <w:w w:val="105"/>
        </w:rPr>
        <w:t>same</w:t>
      </w:r>
      <w:r>
        <w:rPr>
          <w:spacing w:val="-8"/>
          <w:w w:val="105"/>
        </w:rPr>
        <w:t> </w:t>
      </w:r>
      <w:r>
        <w:rPr>
          <w:w w:val="105"/>
        </w:rPr>
        <w:t>period</w:t>
      </w:r>
      <w:r>
        <w:rPr>
          <w:spacing w:val="-8"/>
          <w:w w:val="105"/>
        </w:rPr>
        <w:t> </w:t>
      </w:r>
      <w:r>
        <w:rPr>
          <w:w w:val="105"/>
        </w:rPr>
        <w:t>in</w:t>
      </w:r>
      <w:r>
        <w:rPr>
          <w:spacing w:val="-7"/>
          <w:w w:val="105"/>
        </w:rPr>
        <w:t> </w:t>
      </w:r>
      <w:r>
        <w:rPr>
          <w:w w:val="105"/>
        </w:rPr>
        <w:t>2020,</w:t>
      </w:r>
      <w:r>
        <w:rPr>
          <w:spacing w:val="-8"/>
          <w:w w:val="105"/>
        </w:rPr>
        <w:t> </w:t>
      </w:r>
      <w:r>
        <w:rPr>
          <w:w w:val="105"/>
        </w:rPr>
        <w:t>primarily</w:t>
      </w:r>
      <w:r>
        <w:rPr>
          <w:spacing w:val="-8"/>
          <w:w w:val="105"/>
        </w:rPr>
        <w:t> </w:t>
      </w:r>
      <w:r>
        <w:rPr>
          <w:w w:val="105"/>
        </w:rPr>
        <w:t>due</w:t>
      </w:r>
      <w:r>
        <w:rPr>
          <w:spacing w:val="-8"/>
          <w:w w:val="105"/>
        </w:rPr>
        <w:t> </w:t>
      </w:r>
      <w:r>
        <w:rPr>
          <w:w w:val="105"/>
        </w:rPr>
        <w:t>to</w:t>
      </w:r>
      <w:r>
        <w:rPr>
          <w:spacing w:val="-8"/>
          <w:w w:val="105"/>
        </w:rPr>
        <w:t> </w:t>
      </w:r>
      <w:r>
        <w:rPr>
          <w:w w:val="105"/>
        </w:rPr>
        <w:t>the</w:t>
      </w:r>
      <w:r>
        <w:rPr>
          <w:spacing w:val="-8"/>
          <w:w w:val="105"/>
        </w:rPr>
        <w:t> </w:t>
      </w:r>
      <w:r>
        <w:rPr>
          <w:spacing w:val="-2"/>
          <w:w w:val="105"/>
        </w:rPr>
        <w:t>following:</w:t>
      </w:r>
    </w:p>
    <w:p>
      <w:pPr>
        <w:pStyle w:val="BodyText"/>
        <w:spacing w:before="39"/>
      </w:pPr>
    </w:p>
    <w:p>
      <w:pPr>
        <w:pStyle w:val="ListParagraph"/>
        <w:numPr>
          <w:ilvl w:val="1"/>
          <w:numId w:val="12"/>
        </w:numPr>
        <w:tabs>
          <w:tab w:pos="462" w:val="left" w:leader="none"/>
        </w:tabs>
        <w:spacing w:line="240" w:lineRule="auto" w:before="0" w:after="0"/>
        <w:ind w:left="462" w:right="0" w:hanging="306"/>
        <w:jc w:val="left"/>
        <w:rPr>
          <w:sz w:val="16"/>
        </w:rPr>
      </w:pPr>
      <w:r>
        <w:rPr>
          <w:w w:val="105"/>
          <w:sz w:val="16"/>
        </w:rPr>
        <w:t>An</w:t>
      </w:r>
      <w:r>
        <w:rPr>
          <w:spacing w:val="-7"/>
          <w:w w:val="105"/>
          <w:sz w:val="16"/>
        </w:rPr>
        <w:t> </w:t>
      </w:r>
      <w:r>
        <w:rPr>
          <w:w w:val="105"/>
          <w:sz w:val="16"/>
        </w:rPr>
        <w:t>increase</w:t>
      </w:r>
      <w:r>
        <w:rPr>
          <w:spacing w:val="-7"/>
          <w:w w:val="105"/>
          <w:sz w:val="16"/>
        </w:rPr>
        <w:t> </w:t>
      </w:r>
      <w:r>
        <w:rPr>
          <w:w w:val="105"/>
          <w:sz w:val="16"/>
        </w:rPr>
        <w:t>in</w:t>
      </w:r>
      <w:r>
        <w:rPr>
          <w:spacing w:val="-7"/>
          <w:w w:val="105"/>
          <w:sz w:val="16"/>
        </w:rPr>
        <w:t> </w:t>
      </w:r>
      <w:r>
        <w:rPr>
          <w:w w:val="105"/>
          <w:sz w:val="16"/>
        </w:rPr>
        <w:t>net</w:t>
      </w:r>
      <w:r>
        <w:rPr>
          <w:spacing w:val="-6"/>
          <w:w w:val="105"/>
          <w:sz w:val="16"/>
        </w:rPr>
        <w:t> </w:t>
      </w:r>
      <w:r>
        <w:rPr>
          <w:w w:val="105"/>
          <w:sz w:val="16"/>
        </w:rPr>
        <w:t>income</w:t>
      </w:r>
      <w:r>
        <w:rPr>
          <w:spacing w:val="-7"/>
          <w:w w:val="105"/>
          <w:sz w:val="16"/>
        </w:rPr>
        <w:t> </w:t>
      </w:r>
      <w:r>
        <w:rPr>
          <w:w w:val="105"/>
          <w:sz w:val="16"/>
        </w:rPr>
        <w:t>of</w:t>
      </w:r>
      <w:r>
        <w:rPr>
          <w:spacing w:val="-7"/>
          <w:w w:val="105"/>
          <w:sz w:val="16"/>
        </w:rPr>
        <w:t> </w:t>
      </w:r>
      <w:r>
        <w:rPr>
          <w:w w:val="105"/>
          <w:sz w:val="16"/>
        </w:rPr>
        <w:t>$1.4</w:t>
      </w:r>
      <w:r>
        <w:rPr>
          <w:spacing w:val="-6"/>
          <w:w w:val="105"/>
          <w:sz w:val="16"/>
        </w:rPr>
        <w:t> </w:t>
      </w:r>
      <w:r>
        <w:rPr>
          <w:w w:val="105"/>
          <w:sz w:val="16"/>
        </w:rPr>
        <w:t>billion;</w:t>
      </w:r>
      <w:r>
        <w:rPr>
          <w:spacing w:val="-7"/>
          <w:w w:val="105"/>
          <w:sz w:val="16"/>
        </w:rPr>
        <w:t> </w:t>
      </w:r>
      <w:r>
        <w:rPr>
          <w:spacing w:val="-5"/>
          <w:w w:val="105"/>
          <w:sz w:val="16"/>
        </w:rPr>
        <w:t>and</w:t>
      </w:r>
    </w:p>
    <w:p>
      <w:pPr>
        <w:pStyle w:val="ListParagraph"/>
        <w:numPr>
          <w:ilvl w:val="1"/>
          <w:numId w:val="12"/>
        </w:numPr>
        <w:tabs>
          <w:tab w:pos="462" w:val="left" w:leader="none"/>
        </w:tabs>
        <w:spacing w:line="240" w:lineRule="auto" w:before="20" w:after="0"/>
        <w:ind w:left="462" w:right="0" w:hanging="306"/>
        <w:jc w:val="left"/>
        <w:rPr>
          <w:sz w:val="16"/>
        </w:rPr>
      </w:pPr>
      <w:r>
        <w:rPr>
          <w:w w:val="105"/>
          <w:sz w:val="16"/>
        </w:rPr>
        <w:t>The</w:t>
      </w:r>
      <w:r>
        <w:rPr>
          <w:spacing w:val="-10"/>
          <w:w w:val="105"/>
          <w:sz w:val="16"/>
        </w:rPr>
        <w:t> </w:t>
      </w:r>
      <w:r>
        <w:rPr>
          <w:w w:val="105"/>
          <w:sz w:val="16"/>
        </w:rPr>
        <w:t>positive</w:t>
      </w:r>
      <w:r>
        <w:rPr>
          <w:spacing w:val="-9"/>
          <w:w w:val="105"/>
          <w:sz w:val="16"/>
        </w:rPr>
        <w:t> </w:t>
      </w:r>
      <w:r>
        <w:rPr>
          <w:w w:val="105"/>
          <w:sz w:val="16"/>
        </w:rPr>
        <w:t>change</w:t>
      </w:r>
      <w:r>
        <w:rPr>
          <w:spacing w:val="-9"/>
          <w:w w:val="105"/>
          <w:sz w:val="16"/>
        </w:rPr>
        <w:t> </w:t>
      </w:r>
      <w:r>
        <w:rPr>
          <w:w w:val="105"/>
          <w:sz w:val="16"/>
        </w:rPr>
        <w:t>of</w:t>
      </w:r>
      <w:r>
        <w:rPr>
          <w:spacing w:val="-9"/>
          <w:w w:val="105"/>
          <w:sz w:val="16"/>
        </w:rPr>
        <w:t> </w:t>
      </w:r>
      <w:r>
        <w:rPr>
          <w:w w:val="105"/>
          <w:sz w:val="16"/>
        </w:rPr>
        <w:t>$266</w:t>
      </w:r>
      <w:r>
        <w:rPr>
          <w:spacing w:val="-9"/>
          <w:w w:val="105"/>
          <w:sz w:val="16"/>
        </w:rPr>
        <w:t> </w:t>
      </w:r>
      <w:r>
        <w:rPr>
          <w:w w:val="105"/>
          <w:sz w:val="16"/>
        </w:rPr>
        <w:t>million</w:t>
      </w:r>
      <w:r>
        <w:rPr>
          <w:spacing w:val="-9"/>
          <w:w w:val="105"/>
          <w:sz w:val="16"/>
        </w:rPr>
        <w:t> </w:t>
      </w:r>
      <w:r>
        <w:rPr>
          <w:w w:val="105"/>
          <w:sz w:val="16"/>
        </w:rPr>
        <w:t>of</w:t>
      </w:r>
      <w:r>
        <w:rPr>
          <w:spacing w:val="-10"/>
          <w:w w:val="105"/>
          <w:sz w:val="16"/>
        </w:rPr>
        <w:t> </w:t>
      </w:r>
      <w:r>
        <w:rPr>
          <w:w w:val="105"/>
          <w:sz w:val="16"/>
        </w:rPr>
        <w:t>unamortized</w:t>
      </w:r>
      <w:r>
        <w:rPr>
          <w:spacing w:val="-9"/>
          <w:w w:val="105"/>
          <w:sz w:val="16"/>
        </w:rPr>
        <w:t> </w:t>
      </w:r>
      <w:r>
        <w:rPr>
          <w:w w:val="105"/>
          <w:sz w:val="16"/>
        </w:rPr>
        <w:t>gains</w:t>
      </w:r>
      <w:r>
        <w:rPr>
          <w:spacing w:val="-9"/>
          <w:w w:val="105"/>
          <w:sz w:val="16"/>
        </w:rPr>
        <w:t> </w:t>
      </w:r>
      <w:r>
        <w:rPr>
          <w:w w:val="105"/>
          <w:sz w:val="16"/>
        </w:rPr>
        <w:t>(losses)</w:t>
      </w:r>
      <w:r>
        <w:rPr>
          <w:spacing w:val="-9"/>
          <w:w w:val="105"/>
          <w:sz w:val="16"/>
        </w:rPr>
        <w:t> </w:t>
      </w:r>
      <w:r>
        <w:rPr>
          <w:w w:val="105"/>
          <w:sz w:val="16"/>
        </w:rPr>
        <w:t>and</w:t>
      </w:r>
      <w:r>
        <w:rPr>
          <w:spacing w:val="-9"/>
          <w:w w:val="105"/>
          <w:sz w:val="16"/>
        </w:rPr>
        <w:t> </w:t>
      </w:r>
      <w:r>
        <w:rPr>
          <w:w w:val="105"/>
          <w:sz w:val="16"/>
        </w:rPr>
        <w:t>prior</w:t>
      </w:r>
      <w:r>
        <w:rPr>
          <w:spacing w:val="-9"/>
          <w:w w:val="105"/>
          <w:sz w:val="16"/>
        </w:rPr>
        <w:t> </w:t>
      </w:r>
      <w:r>
        <w:rPr>
          <w:w w:val="105"/>
          <w:sz w:val="16"/>
        </w:rPr>
        <w:t>service</w:t>
      </w:r>
      <w:r>
        <w:rPr>
          <w:spacing w:val="-9"/>
          <w:w w:val="105"/>
          <w:sz w:val="16"/>
        </w:rPr>
        <w:t> </w:t>
      </w:r>
      <w:r>
        <w:rPr>
          <w:w w:val="105"/>
          <w:sz w:val="16"/>
        </w:rPr>
        <w:t>credits</w:t>
      </w:r>
      <w:r>
        <w:rPr>
          <w:spacing w:val="-10"/>
          <w:w w:val="105"/>
          <w:sz w:val="16"/>
        </w:rPr>
        <w:t> </w:t>
      </w:r>
      <w:r>
        <w:rPr>
          <w:w w:val="105"/>
          <w:sz w:val="16"/>
        </w:rPr>
        <w:t>(costs)</w:t>
      </w:r>
      <w:r>
        <w:rPr>
          <w:spacing w:val="-9"/>
          <w:w w:val="105"/>
          <w:sz w:val="16"/>
        </w:rPr>
        <w:t> </w:t>
      </w:r>
      <w:r>
        <w:rPr>
          <w:w w:val="105"/>
          <w:sz w:val="16"/>
        </w:rPr>
        <w:t>for</w:t>
      </w:r>
      <w:r>
        <w:rPr>
          <w:spacing w:val="-9"/>
          <w:w w:val="105"/>
          <w:sz w:val="16"/>
        </w:rPr>
        <w:t> </w:t>
      </w:r>
      <w:r>
        <w:rPr>
          <w:w w:val="105"/>
          <w:sz w:val="16"/>
        </w:rPr>
        <w:t>postretirement</w:t>
      </w:r>
      <w:r>
        <w:rPr>
          <w:spacing w:val="-9"/>
          <w:w w:val="105"/>
          <w:sz w:val="16"/>
        </w:rPr>
        <w:t> </w:t>
      </w:r>
      <w:r>
        <w:rPr>
          <w:w w:val="105"/>
          <w:sz w:val="16"/>
        </w:rPr>
        <w:t>benefit</w:t>
      </w:r>
      <w:r>
        <w:rPr>
          <w:spacing w:val="-9"/>
          <w:w w:val="105"/>
          <w:sz w:val="16"/>
        </w:rPr>
        <w:t> </w:t>
      </w:r>
      <w:r>
        <w:rPr>
          <w:spacing w:val="-2"/>
          <w:w w:val="105"/>
          <w:sz w:val="16"/>
        </w:rPr>
        <w:t>plans.</w:t>
      </w:r>
    </w:p>
    <w:p>
      <w:pPr>
        <w:pStyle w:val="BodyText"/>
        <w:spacing w:before="40"/>
      </w:pPr>
    </w:p>
    <w:p>
      <w:pPr>
        <w:pStyle w:val="BodyText"/>
        <w:ind w:left="156"/>
      </w:pPr>
      <w:r>
        <w:rPr>
          <w:w w:val="105"/>
        </w:rPr>
        <w:t>This</w:t>
      </w:r>
      <w:r>
        <w:rPr>
          <w:spacing w:val="-8"/>
          <w:w w:val="105"/>
        </w:rPr>
        <w:t> </w:t>
      </w:r>
      <w:r>
        <w:rPr>
          <w:w w:val="105"/>
        </w:rPr>
        <w:t>gain</w:t>
      </w:r>
      <w:r>
        <w:rPr>
          <w:spacing w:val="-8"/>
          <w:w w:val="105"/>
        </w:rPr>
        <w:t> </w:t>
      </w:r>
      <w:r>
        <w:rPr>
          <w:w w:val="105"/>
        </w:rPr>
        <w:t>was</w:t>
      </w:r>
      <w:r>
        <w:rPr>
          <w:spacing w:val="-8"/>
          <w:w w:val="105"/>
        </w:rPr>
        <w:t> </w:t>
      </w:r>
      <w:r>
        <w:rPr>
          <w:w w:val="105"/>
        </w:rPr>
        <w:t>partially</w:t>
      </w:r>
      <w:r>
        <w:rPr>
          <w:spacing w:val="-7"/>
          <w:w w:val="105"/>
        </w:rPr>
        <w:t> </w:t>
      </w:r>
      <w:r>
        <w:rPr>
          <w:w w:val="105"/>
        </w:rPr>
        <w:t>offset</w:t>
      </w:r>
      <w:r>
        <w:rPr>
          <w:spacing w:val="-8"/>
          <w:w w:val="105"/>
        </w:rPr>
        <w:t> </w:t>
      </w:r>
      <w:r>
        <w:rPr>
          <w:w w:val="105"/>
        </w:rPr>
        <w:t>by</w:t>
      </w:r>
      <w:r>
        <w:rPr>
          <w:spacing w:val="-8"/>
          <w:w w:val="105"/>
        </w:rPr>
        <w:t> </w:t>
      </w:r>
      <w:r>
        <w:rPr>
          <w:w w:val="105"/>
        </w:rPr>
        <w:t>the</w:t>
      </w:r>
      <w:r>
        <w:rPr>
          <w:spacing w:val="-8"/>
          <w:w w:val="105"/>
        </w:rPr>
        <w:t> </w:t>
      </w:r>
      <w:r>
        <w:rPr>
          <w:spacing w:val="-2"/>
          <w:w w:val="105"/>
        </w:rPr>
        <w:t>following:</w:t>
      </w:r>
    </w:p>
    <w:p>
      <w:pPr>
        <w:pStyle w:val="BodyText"/>
        <w:spacing w:before="39"/>
      </w:pPr>
    </w:p>
    <w:p>
      <w:pPr>
        <w:pStyle w:val="ListParagraph"/>
        <w:numPr>
          <w:ilvl w:val="1"/>
          <w:numId w:val="12"/>
        </w:numPr>
        <w:tabs>
          <w:tab w:pos="462" w:val="left" w:leader="none"/>
        </w:tabs>
        <w:spacing w:line="240" w:lineRule="auto" w:before="1" w:after="0"/>
        <w:ind w:left="462" w:right="0" w:hanging="306"/>
        <w:jc w:val="left"/>
        <w:rPr>
          <w:sz w:val="16"/>
        </w:rPr>
      </w:pPr>
      <w:r>
        <w:rPr>
          <w:w w:val="105"/>
          <w:sz w:val="16"/>
        </w:rPr>
        <w:t>The</w:t>
      </w:r>
      <w:r>
        <w:rPr>
          <w:spacing w:val="-10"/>
          <w:w w:val="105"/>
          <w:sz w:val="16"/>
        </w:rPr>
        <w:t> </w:t>
      </w:r>
      <w:r>
        <w:rPr>
          <w:w w:val="105"/>
          <w:sz w:val="16"/>
        </w:rPr>
        <w:t>unfavorable</w:t>
      </w:r>
      <w:r>
        <w:rPr>
          <w:spacing w:val="-9"/>
          <w:w w:val="105"/>
          <w:sz w:val="16"/>
        </w:rPr>
        <w:t> </w:t>
      </w:r>
      <w:r>
        <w:rPr>
          <w:w w:val="105"/>
          <w:sz w:val="16"/>
        </w:rPr>
        <w:t>change</w:t>
      </w:r>
      <w:r>
        <w:rPr>
          <w:spacing w:val="-10"/>
          <w:w w:val="105"/>
          <w:sz w:val="16"/>
        </w:rPr>
        <w:t> </w:t>
      </w:r>
      <w:r>
        <w:rPr>
          <w:w w:val="105"/>
          <w:sz w:val="16"/>
        </w:rPr>
        <w:t>in</w:t>
      </w:r>
      <w:r>
        <w:rPr>
          <w:spacing w:val="-9"/>
          <w:w w:val="105"/>
          <w:sz w:val="16"/>
        </w:rPr>
        <w:t> </w:t>
      </w:r>
      <w:r>
        <w:rPr>
          <w:w w:val="105"/>
          <w:sz w:val="16"/>
        </w:rPr>
        <w:t>foreign</w:t>
      </w:r>
      <w:r>
        <w:rPr>
          <w:spacing w:val="-10"/>
          <w:w w:val="105"/>
          <w:sz w:val="16"/>
        </w:rPr>
        <w:t> </w:t>
      </w:r>
      <w:r>
        <w:rPr>
          <w:w w:val="105"/>
          <w:sz w:val="16"/>
        </w:rPr>
        <w:t>currency</w:t>
      </w:r>
      <w:r>
        <w:rPr>
          <w:spacing w:val="-9"/>
          <w:w w:val="105"/>
          <w:sz w:val="16"/>
        </w:rPr>
        <w:t> </w:t>
      </w:r>
      <w:r>
        <w:rPr>
          <w:w w:val="105"/>
          <w:sz w:val="16"/>
        </w:rPr>
        <w:t>translation</w:t>
      </w:r>
      <w:r>
        <w:rPr>
          <w:spacing w:val="-10"/>
          <w:w w:val="105"/>
          <w:sz w:val="16"/>
        </w:rPr>
        <w:t> </w:t>
      </w:r>
      <w:r>
        <w:rPr>
          <w:w w:val="105"/>
          <w:sz w:val="16"/>
        </w:rPr>
        <w:t>adjustments</w:t>
      </w:r>
      <w:r>
        <w:rPr>
          <w:spacing w:val="-9"/>
          <w:w w:val="105"/>
          <w:sz w:val="16"/>
        </w:rPr>
        <w:t> </w:t>
      </w:r>
      <w:r>
        <w:rPr>
          <w:w w:val="105"/>
          <w:sz w:val="16"/>
        </w:rPr>
        <w:t>of</w:t>
      </w:r>
      <w:r>
        <w:rPr>
          <w:spacing w:val="-10"/>
          <w:w w:val="105"/>
          <w:sz w:val="16"/>
        </w:rPr>
        <w:t> </w:t>
      </w:r>
      <w:r>
        <w:rPr>
          <w:w w:val="105"/>
          <w:sz w:val="16"/>
        </w:rPr>
        <w:t>$1.1</w:t>
      </w:r>
      <w:r>
        <w:rPr>
          <w:spacing w:val="-9"/>
          <w:w w:val="105"/>
          <w:sz w:val="16"/>
        </w:rPr>
        <w:t> </w:t>
      </w:r>
      <w:r>
        <w:rPr>
          <w:w w:val="105"/>
          <w:sz w:val="16"/>
        </w:rPr>
        <w:t>billion,</w:t>
      </w:r>
      <w:r>
        <w:rPr>
          <w:spacing w:val="-8"/>
          <w:w w:val="105"/>
          <w:sz w:val="16"/>
        </w:rPr>
        <w:t> </w:t>
      </w:r>
      <w:r>
        <w:rPr>
          <w:w w:val="105"/>
          <w:sz w:val="16"/>
        </w:rPr>
        <w:t>largely</w:t>
      </w:r>
      <w:r>
        <w:rPr>
          <w:spacing w:val="-10"/>
          <w:w w:val="105"/>
          <w:sz w:val="16"/>
        </w:rPr>
        <w:t> </w:t>
      </w:r>
      <w:r>
        <w:rPr>
          <w:w w:val="105"/>
          <w:sz w:val="16"/>
        </w:rPr>
        <w:t>driven</w:t>
      </w:r>
      <w:r>
        <w:rPr>
          <w:spacing w:val="-9"/>
          <w:w w:val="105"/>
          <w:sz w:val="16"/>
        </w:rPr>
        <w:t> </w:t>
      </w:r>
      <w:r>
        <w:rPr>
          <w:w w:val="105"/>
          <w:sz w:val="16"/>
        </w:rPr>
        <w:t>by</w:t>
      </w:r>
      <w:r>
        <w:rPr>
          <w:spacing w:val="-9"/>
          <w:w w:val="105"/>
          <w:sz w:val="16"/>
        </w:rPr>
        <w:t> </w:t>
      </w:r>
      <w:r>
        <w:rPr>
          <w:w w:val="105"/>
          <w:sz w:val="16"/>
        </w:rPr>
        <w:t>the</w:t>
      </w:r>
      <w:r>
        <w:rPr>
          <w:spacing w:val="-10"/>
          <w:w w:val="105"/>
          <w:sz w:val="16"/>
        </w:rPr>
        <w:t> </w:t>
      </w:r>
      <w:r>
        <w:rPr>
          <w:w w:val="105"/>
          <w:sz w:val="16"/>
        </w:rPr>
        <w:t>Japanese</w:t>
      </w:r>
      <w:r>
        <w:rPr>
          <w:spacing w:val="-9"/>
          <w:w w:val="105"/>
          <w:sz w:val="16"/>
        </w:rPr>
        <w:t> </w:t>
      </w:r>
      <w:r>
        <w:rPr>
          <w:w w:val="105"/>
          <w:sz w:val="16"/>
        </w:rPr>
        <w:t>yen,</w:t>
      </w:r>
      <w:r>
        <w:rPr>
          <w:spacing w:val="-10"/>
          <w:w w:val="105"/>
          <w:sz w:val="16"/>
        </w:rPr>
        <w:t> </w:t>
      </w:r>
      <w:r>
        <w:rPr>
          <w:w w:val="105"/>
          <w:sz w:val="16"/>
        </w:rPr>
        <w:t>South</w:t>
      </w:r>
      <w:r>
        <w:rPr>
          <w:spacing w:val="-9"/>
          <w:w w:val="105"/>
          <w:sz w:val="16"/>
        </w:rPr>
        <w:t> </w:t>
      </w:r>
      <w:r>
        <w:rPr>
          <w:w w:val="105"/>
          <w:sz w:val="16"/>
        </w:rPr>
        <w:t>Korean</w:t>
      </w:r>
      <w:r>
        <w:rPr>
          <w:spacing w:val="-10"/>
          <w:w w:val="105"/>
          <w:sz w:val="16"/>
        </w:rPr>
        <w:t> </w:t>
      </w:r>
      <w:r>
        <w:rPr>
          <w:w w:val="105"/>
          <w:sz w:val="16"/>
        </w:rPr>
        <w:t>won</w:t>
      </w:r>
      <w:r>
        <w:rPr>
          <w:spacing w:val="-9"/>
          <w:w w:val="105"/>
          <w:sz w:val="16"/>
        </w:rPr>
        <w:t> </w:t>
      </w:r>
      <w:r>
        <w:rPr>
          <w:w w:val="105"/>
          <w:sz w:val="16"/>
        </w:rPr>
        <w:t>and</w:t>
      </w:r>
      <w:r>
        <w:rPr>
          <w:spacing w:val="-10"/>
          <w:w w:val="105"/>
          <w:sz w:val="16"/>
        </w:rPr>
        <w:t> </w:t>
      </w:r>
      <w:r>
        <w:rPr>
          <w:w w:val="105"/>
          <w:sz w:val="16"/>
        </w:rPr>
        <w:t>Chinese</w:t>
      </w:r>
      <w:r>
        <w:rPr>
          <w:spacing w:val="-9"/>
          <w:w w:val="105"/>
          <w:sz w:val="16"/>
        </w:rPr>
        <w:t> </w:t>
      </w:r>
      <w:r>
        <w:rPr>
          <w:spacing w:val="-2"/>
          <w:w w:val="105"/>
          <w:sz w:val="16"/>
        </w:rPr>
        <w:t>yuan.</w:t>
      </w:r>
    </w:p>
    <w:p>
      <w:pPr>
        <w:pStyle w:val="BodyText"/>
        <w:spacing w:before="39"/>
      </w:pPr>
    </w:p>
    <w:p>
      <w:pPr>
        <w:pStyle w:val="BodyText"/>
        <w:ind w:left="156"/>
      </w:pPr>
      <w:r>
        <w:rPr>
          <w:w w:val="105"/>
        </w:rPr>
        <w:t>Refer</w:t>
      </w:r>
      <w:r>
        <w:rPr>
          <w:spacing w:val="-10"/>
          <w:w w:val="105"/>
        </w:rPr>
        <w:t> </w:t>
      </w:r>
      <w:r>
        <w:rPr>
          <w:w w:val="105"/>
        </w:rPr>
        <w:t>to</w:t>
      </w:r>
      <w:r>
        <w:rPr>
          <w:spacing w:val="-9"/>
          <w:w w:val="105"/>
        </w:rPr>
        <w:t> </w:t>
      </w:r>
      <w:r>
        <w:rPr>
          <w:w w:val="105"/>
        </w:rPr>
        <w:t>Note</w:t>
      </w:r>
      <w:r>
        <w:rPr>
          <w:spacing w:val="-9"/>
          <w:w w:val="105"/>
        </w:rPr>
        <w:t> </w:t>
      </w:r>
      <w:r>
        <w:rPr>
          <w:w w:val="105"/>
        </w:rPr>
        <w:t>13</w:t>
      </w:r>
      <w:r>
        <w:rPr>
          <w:spacing w:val="-10"/>
          <w:w w:val="105"/>
        </w:rPr>
        <w:t> </w:t>
      </w:r>
      <w:r>
        <w:rPr>
          <w:w w:val="105"/>
        </w:rPr>
        <w:t>(Employee</w:t>
      </w:r>
      <w:r>
        <w:rPr>
          <w:spacing w:val="-9"/>
          <w:w w:val="105"/>
        </w:rPr>
        <w:t> </w:t>
      </w:r>
      <w:r>
        <w:rPr>
          <w:w w:val="105"/>
        </w:rPr>
        <w:t>Retirement</w:t>
      </w:r>
      <w:r>
        <w:rPr>
          <w:spacing w:val="-9"/>
          <w:w w:val="105"/>
        </w:rPr>
        <w:t> </w:t>
      </w:r>
      <w:r>
        <w:rPr>
          <w:w w:val="105"/>
        </w:rPr>
        <w:t>Plans)</w:t>
      </w:r>
      <w:r>
        <w:rPr>
          <w:spacing w:val="-10"/>
          <w:w w:val="105"/>
        </w:rPr>
        <w:t> </w:t>
      </w:r>
      <w:r>
        <w:rPr>
          <w:w w:val="105"/>
        </w:rPr>
        <w:t>and</w:t>
      </w:r>
      <w:r>
        <w:rPr>
          <w:spacing w:val="-9"/>
          <w:w w:val="105"/>
        </w:rPr>
        <w:t> </w:t>
      </w:r>
      <w:r>
        <w:rPr>
          <w:w w:val="105"/>
        </w:rPr>
        <w:t>Note</w:t>
      </w:r>
      <w:r>
        <w:rPr>
          <w:spacing w:val="-9"/>
          <w:w w:val="105"/>
        </w:rPr>
        <w:t> </w:t>
      </w:r>
      <w:r>
        <w:rPr>
          <w:w w:val="105"/>
        </w:rPr>
        <w:t>17</w:t>
      </w:r>
      <w:r>
        <w:rPr>
          <w:spacing w:val="-9"/>
          <w:w w:val="105"/>
        </w:rPr>
        <w:t> </w:t>
      </w:r>
      <w:r>
        <w:rPr>
          <w:w w:val="105"/>
        </w:rPr>
        <w:t>(Shareholders’</w:t>
      </w:r>
      <w:r>
        <w:rPr>
          <w:spacing w:val="-10"/>
          <w:w w:val="105"/>
        </w:rPr>
        <w:t> </w:t>
      </w:r>
      <w:r>
        <w:rPr>
          <w:w w:val="105"/>
        </w:rPr>
        <w:t>Equity)</w:t>
      </w:r>
      <w:r>
        <w:rPr>
          <w:spacing w:val="-9"/>
          <w:w w:val="105"/>
        </w:rPr>
        <w:t> </w:t>
      </w:r>
      <w:r>
        <w:rPr>
          <w:w w:val="105"/>
        </w:rPr>
        <w:t>to</w:t>
      </w:r>
      <w:r>
        <w:rPr>
          <w:spacing w:val="-9"/>
          <w:w w:val="105"/>
        </w:rPr>
        <w:t> </w:t>
      </w:r>
      <w:r>
        <w:rPr>
          <w:w w:val="105"/>
        </w:rPr>
        <w:t>the</w:t>
      </w:r>
      <w:r>
        <w:rPr>
          <w:spacing w:val="-10"/>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for</w:t>
      </w:r>
      <w:r>
        <w:rPr>
          <w:spacing w:val="-10"/>
          <w:w w:val="105"/>
        </w:rPr>
        <w:t> </w:t>
      </w:r>
      <w:r>
        <w:rPr>
          <w:w w:val="105"/>
        </w:rPr>
        <w:t>additional</w:t>
      </w:r>
      <w:r>
        <w:rPr>
          <w:spacing w:val="-9"/>
          <w:w w:val="105"/>
        </w:rPr>
        <w:t> </w:t>
      </w:r>
      <w:r>
        <w:rPr>
          <w:spacing w:val="-2"/>
          <w:w w:val="105"/>
        </w:rPr>
        <w:t>details.</w:t>
      </w:r>
    </w:p>
    <w:p>
      <w:pPr>
        <w:pStyle w:val="BodyText"/>
        <w:spacing w:before="40"/>
      </w:pPr>
    </w:p>
    <w:p>
      <w:pPr>
        <w:pStyle w:val="BodyText"/>
        <w:ind w:left="48"/>
        <w:jc w:val="center"/>
      </w:pPr>
      <w:r>
        <w:rPr>
          <w:spacing w:val="-5"/>
          <w:w w:val="105"/>
        </w:rPr>
        <w:t>30</w:t>
      </w:r>
    </w:p>
    <w:p>
      <w:pPr>
        <w:pStyle w:val="BodyText"/>
        <w:spacing w:before="11"/>
        <w:rPr>
          <w:sz w:val="5"/>
        </w:rPr>
      </w:pPr>
      <w:r>
        <w:rPr/>
        <mc:AlternateContent>
          <mc:Choice Requires="wps">
            <w:drawing>
              <wp:anchor distT="0" distB="0" distL="0" distR="0" allowOverlap="1" layoutInCell="1" locked="0" behindDoc="1" simplePos="0" relativeHeight="487607808">
                <wp:simplePos x="0" y="0"/>
                <wp:positionH relativeFrom="page">
                  <wp:posOffset>226488</wp:posOffset>
                </wp:positionH>
                <wp:positionV relativeFrom="paragraph">
                  <wp:posOffset>58734</wp:posOffset>
                </wp:positionV>
                <wp:extent cx="7312659" cy="1651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708672;mso-wrap-distance-left:0;mso-wrap-distance-right:0" id="docshape44"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pPr>
    </w:p>
    <w:p>
      <w:pPr>
        <w:pStyle w:val="BodyText"/>
        <w:spacing w:before="58"/>
      </w:pPr>
    </w:p>
    <w:p>
      <w:pPr>
        <w:pStyle w:val="Heading1"/>
      </w:pPr>
      <w:r>
        <w:rPr/>
        <w:t>CORE</w:t>
      </w:r>
      <w:r>
        <w:rPr>
          <w:spacing w:val="20"/>
        </w:rPr>
        <w:t> </w:t>
      </w:r>
      <w:r>
        <w:rPr/>
        <w:t>PERFORMANCE</w:t>
      </w:r>
      <w:r>
        <w:rPr>
          <w:spacing w:val="20"/>
        </w:rPr>
        <w:t> </w:t>
      </w:r>
      <w:r>
        <w:rPr>
          <w:spacing w:val="-2"/>
        </w:rPr>
        <w:t>MEASURES</w:t>
      </w:r>
    </w:p>
    <w:p>
      <w:pPr>
        <w:pStyle w:val="BodyText"/>
        <w:spacing w:before="39"/>
        <w:rPr>
          <w:b/>
        </w:rPr>
      </w:pPr>
    </w:p>
    <w:p>
      <w:pPr>
        <w:pStyle w:val="BodyText"/>
        <w:spacing w:line="266" w:lineRule="auto" w:before="1"/>
        <w:ind w:left="156" w:right="185"/>
      </w:pPr>
      <w:r>
        <w:rPr>
          <w:w w:val="105"/>
        </w:rPr>
        <w:t>In</w:t>
      </w:r>
      <w:r>
        <w:rPr>
          <w:spacing w:val="-6"/>
          <w:w w:val="105"/>
        </w:rPr>
        <w:t> </w:t>
      </w:r>
      <w:r>
        <w:rPr>
          <w:w w:val="105"/>
        </w:rPr>
        <w:t>managing</w:t>
      </w:r>
      <w:r>
        <w:rPr>
          <w:spacing w:val="-6"/>
          <w:w w:val="105"/>
        </w:rPr>
        <w:t> </w:t>
      </w:r>
      <w:r>
        <w:rPr>
          <w:w w:val="105"/>
        </w:rPr>
        <w:t>the</w:t>
      </w:r>
      <w:r>
        <w:rPr>
          <w:spacing w:val="-6"/>
          <w:w w:val="105"/>
        </w:rPr>
        <w:t> </w:t>
      </w:r>
      <w:r>
        <w:rPr>
          <w:w w:val="105"/>
        </w:rPr>
        <w:t>Company</w:t>
      </w:r>
      <w:r>
        <w:rPr>
          <w:spacing w:val="-6"/>
          <w:w w:val="105"/>
        </w:rPr>
        <w:t> </w:t>
      </w:r>
      <w:r>
        <w:rPr>
          <w:w w:val="105"/>
        </w:rPr>
        <w:t>and</w:t>
      </w:r>
      <w:r>
        <w:rPr>
          <w:spacing w:val="-6"/>
          <w:w w:val="105"/>
        </w:rPr>
        <w:t> </w:t>
      </w:r>
      <w:r>
        <w:rPr>
          <w:w w:val="105"/>
        </w:rPr>
        <w:t>assessing</w:t>
      </w:r>
      <w:r>
        <w:rPr>
          <w:spacing w:val="-6"/>
          <w:w w:val="105"/>
        </w:rPr>
        <w:t> </w:t>
      </w:r>
      <w:r>
        <w:rPr>
          <w:w w:val="105"/>
        </w:rPr>
        <w:t>our</w:t>
      </w:r>
      <w:r>
        <w:rPr>
          <w:spacing w:val="-6"/>
          <w:w w:val="105"/>
        </w:rPr>
        <w:t> </w:t>
      </w:r>
      <w:r>
        <w:rPr>
          <w:w w:val="105"/>
        </w:rPr>
        <w:t>financial</w:t>
      </w:r>
      <w:r>
        <w:rPr>
          <w:spacing w:val="-6"/>
          <w:w w:val="105"/>
        </w:rPr>
        <w:t> </w:t>
      </w:r>
      <w:r>
        <w:rPr>
          <w:w w:val="105"/>
        </w:rPr>
        <w:t>performance,</w:t>
      </w:r>
      <w:r>
        <w:rPr>
          <w:spacing w:val="-6"/>
          <w:w w:val="105"/>
        </w:rPr>
        <w:t> </w:t>
      </w:r>
      <w:r>
        <w:rPr>
          <w:w w:val="105"/>
        </w:rPr>
        <w:t>we</w:t>
      </w:r>
      <w:r>
        <w:rPr>
          <w:spacing w:val="-6"/>
          <w:w w:val="105"/>
        </w:rPr>
        <w:t> </w:t>
      </w:r>
      <w:r>
        <w:rPr>
          <w:w w:val="105"/>
        </w:rPr>
        <w:t>adjust</w:t>
      </w:r>
      <w:r>
        <w:rPr>
          <w:spacing w:val="-6"/>
          <w:w w:val="105"/>
        </w:rPr>
        <w:t> </w:t>
      </w:r>
      <w:r>
        <w:rPr>
          <w:w w:val="105"/>
        </w:rPr>
        <w:t>certain</w:t>
      </w:r>
      <w:r>
        <w:rPr>
          <w:spacing w:val="-6"/>
          <w:w w:val="105"/>
        </w:rPr>
        <w:t> </w:t>
      </w:r>
      <w:r>
        <w:rPr>
          <w:w w:val="105"/>
        </w:rPr>
        <w:t>measures</w:t>
      </w:r>
      <w:r>
        <w:rPr>
          <w:spacing w:val="-6"/>
          <w:w w:val="105"/>
        </w:rPr>
        <w:t> </w:t>
      </w:r>
      <w:r>
        <w:rPr>
          <w:w w:val="105"/>
        </w:rPr>
        <w:t>provided</w:t>
      </w:r>
      <w:r>
        <w:rPr>
          <w:spacing w:val="-6"/>
          <w:w w:val="105"/>
        </w:rPr>
        <w:t> </w:t>
      </w:r>
      <w:r>
        <w:rPr>
          <w:w w:val="105"/>
        </w:rPr>
        <w:t>by</w:t>
      </w:r>
      <w:r>
        <w:rPr>
          <w:spacing w:val="-6"/>
          <w:w w:val="105"/>
        </w:rPr>
        <w:t> </w:t>
      </w:r>
      <w:r>
        <w:rPr>
          <w:w w:val="105"/>
        </w:rPr>
        <w:t>our</w:t>
      </w:r>
      <w:r>
        <w:rPr>
          <w:spacing w:val="-6"/>
          <w:w w:val="105"/>
        </w:rPr>
        <w:t> </w:t>
      </w:r>
      <w:r>
        <w:rPr>
          <w:w w:val="105"/>
        </w:rPr>
        <w:t>consolidated</w:t>
      </w:r>
      <w:r>
        <w:rPr>
          <w:spacing w:val="-6"/>
          <w:w w:val="105"/>
        </w:rPr>
        <w:t> </w:t>
      </w:r>
      <w:r>
        <w:rPr>
          <w:w w:val="105"/>
        </w:rPr>
        <w:t>financial</w:t>
      </w:r>
      <w:r>
        <w:rPr>
          <w:spacing w:val="-6"/>
          <w:w w:val="105"/>
        </w:rPr>
        <w:t> </w:t>
      </w:r>
      <w:r>
        <w:rPr>
          <w:w w:val="105"/>
        </w:rPr>
        <w:t>statements</w:t>
      </w:r>
      <w:r>
        <w:rPr>
          <w:spacing w:val="-6"/>
          <w:w w:val="105"/>
        </w:rPr>
        <w:t> </w:t>
      </w:r>
      <w:r>
        <w:rPr>
          <w:w w:val="105"/>
        </w:rPr>
        <w:t>to</w:t>
      </w:r>
      <w:r>
        <w:rPr>
          <w:spacing w:val="-6"/>
          <w:w w:val="105"/>
        </w:rPr>
        <w:t> </w:t>
      </w:r>
      <w:r>
        <w:rPr>
          <w:w w:val="105"/>
        </w:rPr>
        <w:t>exclude</w:t>
      </w:r>
      <w:r>
        <w:rPr>
          <w:spacing w:val="-6"/>
          <w:w w:val="105"/>
        </w:rPr>
        <w:t> </w:t>
      </w:r>
      <w:r>
        <w:rPr>
          <w:w w:val="105"/>
        </w:rPr>
        <w:t>specific</w:t>
      </w:r>
      <w:r>
        <w:rPr>
          <w:spacing w:val="-4"/>
          <w:w w:val="105"/>
        </w:rPr>
        <w:t> </w:t>
      </w:r>
      <w:r>
        <w:rPr>
          <w:w w:val="105"/>
        </w:rPr>
        <w:t>items to</w:t>
      </w:r>
      <w:r>
        <w:rPr>
          <w:spacing w:val="-9"/>
          <w:w w:val="105"/>
        </w:rPr>
        <w:t> </w:t>
      </w:r>
      <w:r>
        <w:rPr>
          <w:w w:val="105"/>
        </w:rPr>
        <w:t>report</w:t>
      </w:r>
      <w:r>
        <w:rPr>
          <w:spacing w:val="-9"/>
          <w:w w:val="105"/>
        </w:rPr>
        <w:t> </w:t>
      </w:r>
      <w:r>
        <w:rPr>
          <w:w w:val="105"/>
        </w:rPr>
        <w:t>core</w:t>
      </w:r>
      <w:r>
        <w:rPr>
          <w:spacing w:val="-9"/>
          <w:w w:val="105"/>
        </w:rPr>
        <w:t> </w:t>
      </w:r>
      <w:r>
        <w:rPr>
          <w:w w:val="105"/>
        </w:rPr>
        <w:t>performance</w:t>
      </w:r>
      <w:r>
        <w:rPr>
          <w:spacing w:val="-9"/>
          <w:w w:val="105"/>
        </w:rPr>
        <w:t> </w:t>
      </w:r>
      <w:r>
        <w:rPr>
          <w:w w:val="105"/>
        </w:rPr>
        <w:t>measures.</w:t>
      </w:r>
      <w:r>
        <w:rPr>
          <w:spacing w:val="-9"/>
          <w:w w:val="105"/>
        </w:rPr>
        <w:t> </w:t>
      </w:r>
      <w:r>
        <w:rPr>
          <w:w w:val="105"/>
        </w:rPr>
        <w:t>These</w:t>
      </w:r>
      <w:r>
        <w:rPr>
          <w:spacing w:val="-9"/>
          <w:w w:val="105"/>
        </w:rPr>
        <w:t> </w:t>
      </w:r>
      <w:r>
        <w:rPr>
          <w:w w:val="105"/>
        </w:rPr>
        <w:t>items</w:t>
      </w:r>
      <w:r>
        <w:rPr>
          <w:spacing w:val="-9"/>
          <w:w w:val="105"/>
        </w:rPr>
        <w:t> </w:t>
      </w:r>
      <w:r>
        <w:rPr>
          <w:w w:val="105"/>
        </w:rPr>
        <w:t>include</w:t>
      </w:r>
      <w:r>
        <w:rPr>
          <w:spacing w:val="-9"/>
          <w:w w:val="105"/>
        </w:rPr>
        <w:t> </w:t>
      </w:r>
      <w:r>
        <w:rPr>
          <w:w w:val="105"/>
        </w:rPr>
        <w:t>gains</w:t>
      </w:r>
      <w:r>
        <w:rPr>
          <w:spacing w:val="-9"/>
          <w:w w:val="105"/>
        </w:rPr>
        <w:t> </w:t>
      </w:r>
      <w:r>
        <w:rPr>
          <w:w w:val="105"/>
        </w:rPr>
        <w:t>and</w:t>
      </w:r>
      <w:r>
        <w:rPr>
          <w:spacing w:val="-9"/>
          <w:w w:val="105"/>
        </w:rPr>
        <w:t> </w:t>
      </w:r>
      <w:r>
        <w:rPr>
          <w:w w:val="105"/>
        </w:rPr>
        <w:t>losses</w:t>
      </w:r>
      <w:r>
        <w:rPr>
          <w:spacing w:val="-9"/>
          <w:w w:val="105"/>
        </w:rPr>
        <w:t> </w:t>
      </w:r>
      <w:r>
        <w:rPr>
          <w:w w:val="105"/>
        </w:rPr>
        <w:t>on</w:t>
      </w:r>
      <w:r>
        <w:rPr>
          <w:spacing w:val="-9"/>
          <w:w w:val="105"/>
        </w:rPr>
        <w:t> </w:t>
      </w:r>
      <w:r>
        <w:rPr>
          <w:w w:val="105"/>
        </w:rPr>
        <w:t>our</w:t>
      </w:r>
      <w:r>
        <w:rPr>
          <w:spacing w:val="-9"/>
          <w:w w:val="105"/>
        </w:rPr>
        <w:t> </w:t>
      </w:r>
      <w:r>
        <w:rPr>
          <w:w w:val="105"/>
        </w:rPr>
        <w:t>translated</w:t>
      </w:r>
      <w:r>
        <w:rPr>
          <w:spacing w:val="-9"/>
          <w:w w:val="105"/>
        </w:rPr>
        <w:t> </w:t>
      </w:r>
      <w:r>
        <w:rPr>
          <w:w w:val="105"/>
        </w:rPr>
        <w:t>earnings</w:t>
      </w:r>
      <w:r>
        <w:rPr>
          <w:spacing w:val="-9"/>
          <w:w w:val="105"/>
        </w:rPr>
        <w:t> </w:t>
      </w:r>
      <w:r>
        <w:rPr>
          <w:w w:val="105"/>
        </w:rPr>
        <w:t>contracts,</w:t>
      </w:r>
      <w:r>
        <w:rPr>
          <w:spacing w:val="-9"/>
          <w:w w:val="105"/>
        </w:rPr>
        <w:t> </w:t>
      </w:r>
      <w:r>
        <w:rPr>
          <w:w w:val="105"/>
        </w:rPr>
        <w:t>acquisition-related</w:t>
      </w:r>
      <w:r>
        <w:rPr>
          <w:spacing w:val="-9"/>
          <w:w w:val="105"/>
        </w:rPr>
        <w:t> </w:t>
      </w:r>
      <w:r>
        <w:rPr>
          <w:w w:val="105"/>
        </w:rPr>
        <w:t>costs,</w:t>
      </w:r>
      <w:r>
        <w:rPr>
          <w:spacing w:val="-9"/>
          <w:w w:val="105"/>
        </w:rPr>
        <w:t> </w:t>
      </w:r>
      <w:r>
        <w:rPr>
          <w:w w:val="105"/>
        </w:rPr>
        <w:t>certain</w:t>
      </w:r>
      <w:r>
        <w:rPr>
          <w:spacing w:val="-9"/>
          <w:w w:val="105"/>
        </w:rPr>
        <w:t> </w:t>
      </w:r>
      <w:r>
        <w:rPr>
          <w:w w:val="105"/>
        </w:rPr>
        <w:t>discrete</w:t>
      </w:r>
      <w:r>
        <w:rPr>
          <w:spacing w:val="-9"/>
          <w:w w:val="105"/>
        </w:rPr>
        <w:t> </w:t>
      </w:r>
      <w:r>
        <w:rPr>
          <w:w w:val="105"/>
        </w:rPr>
        <w:t>tax</w:t>
      </w:r>
      <w:r>
        <w:rPr>
          <w:spacing w:val="-9"/>
          <w:w w:val="105"/>
        </w:rPr>
        <w:t> </w:t>
      </w:r>
      <w:r>
        <w:rPr>
          <w:w w:val="105"/>
        </w:rPr>
        <w:t>items</w:t>
      </w:r>
      <w:r>
        <w:rPr>
          <w:spacing w:val="-9"/>
          <w:w w:val="105"/>
        </w:rPr>
        <w:t> </w:t>
      </w:r>
      <w:r>
        <w:rPr>
          <w:w w:val="105"/>
        </w:rPr>
        <w:t>and</w:t>
      </w:r>
      <w:r>
        <w:rPr>
          <w:spacing w:val="-9"/>
          <w:w w:val="105"/>
        </w:rPr>
        <w:t> </w:t>
      </w:r>
      <w:r>
        <w:rPr>
          <w:w w:val="105"/>
        </w:rPr>
        <w:t>other tax-related</w:t>
      </w:r>
      <w:r>
        <w:rPr>
          <w:spacing w:val="-3"/>
          <w:w w:val="105"/>
        </w:rPr>
        <w:t> </w:t>
      </w:r>
      <w:r>
        <w:rPr>
          <w:w w:val="105"/>
        </w:rPr>
        <w:t>adjustments,</w:t>
      </w:r>
      <w:r>
        <w:rPr>
          <w:spacing w:val="-3"/>
          <w:w w:val="105"/>
        </w:rPr>
        <w:t> </w:t>
      </w:r>
      <w:r>
        <w:rPr>
          <w:w w:val="105"/>
        </w:rPr>
        <w:t>restructuring,</w:t>
      </w:r>
      <w:r>
        <w:rPr>
          <w:spacing w:val="-3"/>
          <w:w w:val="105"/>
        </w:rPr>
        <w:t> </w:t>
      </w:r>
      <w:r>
        <w:rPr>
          <w:w w:val="105"/>
        </w:rPr>
        <w:t>impairment</w:t>
      </w:r>
      <w:r>
        <w:rPr>
          <w:spacing w:val="-3"/>
          <w:w w:val="105"/>
        </w:rPr>
        <w:t> </w:t>
      </w:r>
      <w:r>
        <w:rPr>
          <w:w w:val="105"/>
        </w:rPr>
        <w:t>losses,</w:t>
      </w:r>
      <w:r>
        <w:rPr>
          <w:spacing w:val="-4"/>
          <w:w w:val="105"/>
        </w:rPr>
        <w:t> </w:t>
      </w:r>
      <w:r>
        <w:rPr>
          <w:w w:val="105"/>
        </w:rPr>
        <w:t>and</w:t>
      </w:r>
      <w:r>
        <w:rPr>
          <w:spacing w:val="-3"/>
          <w:w w:val="105"/>
        </w:rPr>
        <w:t> </w:t>
      </w:r>
      <w:r>
        <w:rPr>
          <w:w w:val="105"/>
        </w:rPr>
        <w:t>other</w:t>
      </w:r>
      <w:r>
        <w:rPr>
          <w:spacing w:val="-3"/>
          <w:w w:val="105"/>
        </w:rPr>
        <w:t> </w:t>
      </w:r>
      <w:r>
        <w:rPr>
          <w:w w:val="105"/>
        </w:rPr>
        <w:t>charges</w:t>
      </w:r>
      <w:r>
        <w:rPr>
          <w:spacing w:val="-3"/>
          <w:w w:val="105"/>
        </w:rPr>
        <w:t> </w:t>
      </w:r>
      <w:r>
        <w:rPr>
          <w:w w:val="105"/>
        </w:rPr>
        <w:t>and</w:t>
      </w:r>
      <w:r>
        <w:rPr>
          <w:spacing w:val="-4"/>
          <w:w w:val="105"/>
        </w:rPr>
        <w:t> </w:t>
      </w:r>
      <w:r>
        <w:rPr>
          <w:w w:val="105"/>
        </w:rPr>
        <w:t>credits,</w:t>
      </w:r>
      <w:r>
        <w:rPr>
          <w:spacing w:val="-3"/>
          <w:w w:val="105"/>
        </w:rPr>
        <w:t> </w:t>
      </w:r>
      <w:r>
        <w:rPr>
          <w:w w:val="105"/>
        </w:rPr>
        <w:t>certain</w:t>
      </w:r>
      <w:r>
        <w:rPr>
          <w:spacing w:val="-3"/>
          <w:w w:val="105"/>
        </w:rPr>
        <w:t> </w:t>
      </w:r>
      <w:r>
        <w:rPr>
          <w:w w:val="105"/>
        </w:rPr>
        <w:t>litigation-related</w:t>
      </w:r>
      <w:r>
        <w:rPr>
          <w:spacing w:val="-3"/>
          <w:w w:val="105"/>
        </w:rPr>
        <w:t> </w:t>
      </w:r>
      <w:r>
        <w:rPr>
          <w:w w:val="105"/>
        </w:rPr>
        <w:t>expenses,</w:t>
      </w:r>
      <w:r>
        <w:rPr>
          <w:spacing w:val="-3"/>
          <w:w w:val="105"/>
        </w:rPr>
        <w:t> </w:t>
      </w:r>
      <w:r>
        <w:rPr>
          <w:w w:val="105"/>
        </w:rPr>
        <w:t>pension</w:t>
      </w:r>
      <w:r>
        <w:rPr>
          <w:spacing w:val="-3"/>
          <w:w w:val="105"/>
        </w:rPr>
        <w:t> </w:t>
      </w:r>
      <w:r>
        <w:rPr>
          <w:w w:val="105"/>
        </w:rPr>
        <w:t>mark-to-market</w:t>
      </w:r>
      <w:r>
        <w:rPr>
          <w:spacing w:val="-3"/>
          <w:w w:val="105"/>
        </w:rPr>
        <w:t> </w:t>
      </w:r>
      <w:r>
        <w:rPr>
          <w:w w:val="105"/>
        </w:rPr>
        <w:t>adjustments</w:t>
      </w:r>
      <w:r>
        <w:rPr>
          <w:spacing w:val="-3"/>
          <w:w w:val="105"/>
        </w:rPr>
        <w:t> </w:t>
      </w:r>
      <w:r>
        <w:rPr>
          <w:w w:val="105"/>
        </w:rPr>
        <w:t>and</w:t>
      </w:r>
      <w:r>
        <w:rPr>
          <w:spacing w:val="-3"/>
          <w:w w:val="105"/>
        </w:rPr>
        <w:t> </w:t>
      </w:r>
      <w:r>
        <w:rPr>
          <w:w w:val="105"/>
        </w:rPr>
        <w:t>other items</w:t>
      </w:r>
      <w:r>
        <w:rPr>
          <w:spacing w:val="-2"/>
          <w:w w:val="105"/>
        </w:rPr>
        <w:t> </w:t>
      </w:r>
      <w:r>
        <w:rPr>
          <w:w w:val="105"/>
        </w:rPr>
        <w:t>which</w:t>
      </w:r>
      <w:r>
        <w:rPr>
          <w:spacing w:val="-2"/>
          <w:w w:val="105"/>
        </w:rPr>
        <w:t> </w:t>
      </w:r>
      <w:r>
        <w:rPr>
          <w:w w:val="105"/>
        </w:rPr>
        <w:t>do</w:t>
      </w:r>
      <w:r>
        <w:rPr>
          <w:spacing w:val="-2"/>
          <w:w w:val="105"/>
        </w:rPr>
        <w:t> </w:t>
      </w:r>
      <w:r>
        <w:rPr>
          <w:w w:val="105"/>
        </w:rPr>
        <w:t>not</w:t>
      </w:r>
      <w:r>
        <w:rPr>
          <w:spacing w:val="-2"/>
          <w:w w:val="105"/>
        </w:rPr>
        <w:t> </w:t>
      </w:r>
      <w:r>
        <w:rPr>
          <w:w w:val="105"/>
        </w:rPr>
        <w:t>reflect</w:t>
      </w:r>
      <w:r>
        <w:rPr>
          <w:spacing w:val="-2"/>
          <w:w w:val="105"/>
        </w:rPr>
        <w:t> </w:t>
      </w:r>
      <w:r>
        <w:rPr>
          <w:w w:val="105"/>
        </w:rPr>
        <w:t>on-going</w:t>
      </w:r>
      <w:r>
        <w:rPr>
          <w:spacing w:val="-2"/>
          <w:w w:val="105"/>
        </w:rPr>
        <w:t> </w:t>
      </w:r>
      <w:r>
        <w:rPr>
          <w:w w:val="105"/>
        </w:rPr>
        <w:t>operating</w:t>
      </w:r>
      <w:r>
        <w:rPr>
          <w:spacing w:val="-2"/>
          <w:w w:val="105"/>
        </w:rPr>
        <w:t> </w:t>
      </w:r>
      <w:r>
        <w:rPr>
          <w:w w:val="105"/>
        </w:rPr>
        <w:t>results</w:t>
      </w:r>
      <w:r>
        <w:rPr>
          <w:spacing w:val="-2"/>
          <w:w w:val="105"/>
        </w:rPr>
        <w:t> </w:t>
      </w:r>
      <w:r>
        <w:rPr>
          <w:w w:val="105"/>
        </w:rPr>
        <w:t>of the</w:t>
      </w:r>
      <w:r>
        <w:rPr>
          <w:spacing w:val="-2"/>
          <w:w w:val="105"/>
        </w:rPr>
        <w:t> </w:t>
      </w:r>
      <w:r>
        <w:rPr>
          <w:w w:val="105"/>
        </w:rPr>
        <w:t>Company</w:t>
      </w:r>
      <w:r>
        <w:rPr>
          <w:spacing w:val="-2"/>
          <w:w w:val="105"/>
        </w:rPr>
        <w:t> </w:t>
      </w:r>
      <w:r>
        <w:rPr>
          <w:w w:val="105"/>
        </w:rPr>
        <w:t>or</w:t>
      </w:r>
      <w:r>
        <w:rPr>
          <w:spacing w:val="-2"/>
          <w:w w:val="105"/>
        </w:rPr>
        <w:t> </w:t>
      </w:r>
      <w:r>
        <w:rPr>
          <w:w w:val="105"/>
        </w:rPr>
        <w:t>our</w:t>
      </w:r>
      <w:r>
        <w:rPr>
          <w:spacing w:val="-2"/>
          <w:w w:val="105"/>
        </w:rPr>
        <w:t> </w:t>
      </w:r>
      <w:r>
        <w:rPr>
          <w:w w:val="105"/>
        </w:rPr>
        <w:t>equity</w:t>
      </w:r>
      <w:r>
        <w:rPr>
          <w:spacing w:val="-2"/>
          <w:w w:val="105"/>
        </w:rPr>
        <w:t> </w:t>
      </w:r>
      <w:r>
        <w:rPr>
          <w:w w:val="105"/>
        </w:rPr>
        <w:t>affiliates.</w:t>
      </w:r>
      <w:r>
        <w:rPr>
          <w:spacing w:val="-2"/>
          <w:w w:val="105"/>
        </w:rPr>
        <w:t> </w:t>
      </w:r>
      <w:r>
        <w:rPr>
          <w:w w:val="105"/>
        </w:rPr>
        <w:t>Corning</w:t>
      </w:r>
      <w:r>
        <w:rPr>
          <w:spacing w:val="-2"/>
          <w:w w:val="105"/>
        </w:rPr>
        <w:t> </w:t>
      </w:r>
      <w:r>
        <w:rPr>
          <w:w w:val="105"/>
        </w:rPr>
        <w:t>utilizes</w:t>
      </w:r>
      <w:r>
        <w:rPr>
          <w:spacing w:val="-2"/>
          <w:w w:val="105"/>
        </w:rPr>
        <w:t> </w:t>
      </w:r>
      <w:r>
        <w:rPr>
          <w:w w:val="105"/>
        </w:rPr>
        <w:t>constant-currency</w:t>
      </w:r>
      <w:r>
        <w:rPr>
          <w:spacing w:val="-2"/>
          <w:w w:val="105"/>
        </w:rPr>
        <w:t> </w:t>
      </w:r>
      <w:r>
        <w:rPr>
          <w:w w:val="105"/>
        </w:rPr>
        <w:t>reporting for</w:t>
      </w:r>
      <w:r>
        <w:rPr>
          <w:spacing w:val="-2"/>
          <w:w w:val="105"/>
        </w:rPr>
        <w:t> </w:t>
      </w:r>
      <w:r>
        <w:rPr>
          <w:w w:val="105"/>
        </w:rPr>
        <w:t>our</w:t>
      </w:r>
      <w:r>
        <w:rPr>
          <w:spacing w:val="-2"/>
          <w:w w:val="105"/>
        </w:rPr>
        <w:t> </w:t>
      </w:r>
      <w:r>
        <w:rPr>
          <w:w w:val="105"/>
        </w:rPr>
        <w:t>Display</w:t>
      </w:r>
      <w:r>
        <w:rPr>
          <w:spacing w:val="-2"/>
          <w:w w:val="105"/>
        </w:rPr>
        <w:t> </w:t>
      </w:r>
      <w:r>
        <w:rPr>
          <w:w w:val="105"/>
        </w:rPr>
        <w:t>Technologies, Environmental</w:t>
      </w:r>
      <w:r>
        <w:rPr>
          <w:spacing w:val="-8"/>
          <w:w w:val="105"/>
        </w:rPr>
        <w:t> </w:t>
      </w:r>
      <w:r>
        <w:rPr>
          <w:w w:val="105"/>
        </w:rPr>
        <w:t>Technologies,</w:t>
      </w:r>
      <w:r>
        <w:rPr>
          <w:spacing w:val="-8"/>
          <w:w w:val="105"/>
        </w:rPr>
        <w:t> </w:t>
      </w:r>
      <w:r>
        <w:rPr>
          <w:w w:val="105"/>
        </w:rPr>
        <w:t>Specialty</w:t>
      </w:r>
      <w:r>
        <w:rPr>
          <w:spacing w:val="-8"/>
          <w:w w:val="105"/>
        </w:rPr>
        <w:t> </w:t>
      </w:r>
      <w:r>
        <w:rPr>
          <w:w w:val="105"/>
        </w:rPr>
        <w:t>Materials</w:t>
      </w:r>
      <w:r>
        <w:rPr>
          <w:spacing w:val="-8"/>
          <w:w w:val="105"/>
        </w:rPr>
        <w:t> </w:t>
      </w:r>
      <w:r>
        <w:rPr>
          <w:w w:val="105"/>
        </w:rPr>
        <w:t>and</w:t>
      </w:r>
      <w:r>
        <w:rPr>
          <w:spacing w:val="-8"/>
          <w:w w:val="105"/>
        </w:rPr>
        <w:t> </w:t>
      </w:r>
      <w:r>
        <w:rPr>
          <w:w w:val="105"/>
        </w:rPr>
        <w:t>Life</w:t>
      </w:r>
      <w:r>
        <w:rPr>
          <w:spacing w:val="-8"/>
          <w:w w:val="105"/>
        </w:rPr>
        <w:t> </w:t>
      </w:r>
      <w:r>
        <w:rPr>
          <w:w w:val="105"/>
        </w:rPr>
        <w:t>Sciences</w:t>
      </w:r>
      <w:r>
        <w:rPr>
          <w:spacing w:val="-8"/>
          <w:w w:val="105"/>
        </w:rPr>
        <w:t> </w:t>
      </w:r>
      <w:r>
        <w:rPr>
          <w:w w:val="105"/>
        </w:rPr>
        <w:t>segments</w:t>
      </w:r>
      <w:r>
        <w:rPr>
          <w:spacing w:val="-8"/>
          <w:w w:val="105"/>
        </w:rPr>
        <w:t> </w:t>
      </w:r>
      <w:r>
        <w:rPr>
          <w:w w:val="105"/>
        </w:rPr>
        <w:t>for</w:t>
      </w:r>
      <w:r>
        <w:rPr>
          <w:spacing w:val="-7"/>
          <w:w w:val="105"/>
        </w:rPr>
        <w:t> </w:t>
      </w:r>
      <w:r>
        <w:rPr>
          <w:w w:val="105"/>
        </w:rPr>
        <w:t>the</w:t>
      </w:r>
      <w:r>
        <w:rPr>
          <w:spacing w:val="-8"/>
          <w:w w:val="105"/>
        </w:rPr>
        <w:t> </w:t>
      </w:r>
      <w:r>
        <w:rPr>
          <w:w w:val="105"/>
        </w:rPr>
        <w:t>Japanese</w:t>
      </w:r>
      <w:r>
        <w:rPr>
          <w:spacing w:val="-8"/>
          <w:w w:val="105"/>
        </w:rPr>
        <w:t> </w:t>
      </w:r>
      <w:r>
        <w:rPr>
          <w:w w:val="105"/>
        </w:rPr>
        <w:t>yen,</w:t>
      </w:r>
      <w:r>
        <w:rPr>
          <w:spacing w:val="-8"/>
          <w:w w:val="105"/>
        </w:rPr>
        <w:t> </w:t>
      </w:r>
      <w:r>
        <w:rPr>
          <w:w w:val="105"/>
        </w:rPr>
        <w:t>South</w:t>
      </w:r>
      <w:r>
        <w:rPr>
          <w:spacing w:val="-8"/>
          <w:w w:val="105"/>
        </w:rPr>
        <w:t> </w:t>
      </w:r>
      <w:r>
        <w:rPr>
          <w:w w:val="105"/>
        </w:rPr>
        <w:t>Korean</w:t>
      </w:r>
      <w:r>
        <w:rPr>
          <w:spacing w:val="-8"/>
          <w:w w:val="105"/>
        </w:rPr>
        <w:t> </w:t>
      </w:r>
      <w:r>
        <w:rPr>
          <w:w w:val="105"/>
        </w:rPr>
        <w:t>won,</w:t>
      </w:r>
      <w:r>
        <w:rPr>
          <w:spacing w:val="-8"/>
          <w:w w:val="105"/>
        </w:rPr>
        <w:t> </w:t>
      </w:r>
      <w:r>
        <w:rPr>
          <w:w w:val="105"/>
        </w:rPr>
        <w:t>Chinese</w:t>
      </w:r>
      <w:r>
        <w:rPr>
          <w:spacing w:val="-8"/>
          <w:w w:val="105"/>
        </w:rPr>
        <w:t> </w:t>
      </w:r>
      <w:r>
        <w:rPr>
          <w:w w:val="105"/>
        </w:rPr>
        <w:t>yuan,</w:t>
      </w:r>
      <w:r>
        <w:rPr>
          <w:spacing w:val="-8"/>
          <w:w w:val="105"/>
        </w:rPr>
        <w:t> </w:t>
      </w:r>
      <w:r>
        <w:rPr>
          <w:w w:val="105"/>
        </w:rPr>
        <w:t>new</w:t>
      </w:r>
      <w:r>
        <w:rPr>
          <w:spacing w:val="-8"/>
          <w:w w:val="105"/>
        </w:rPr>
        <w:t> </w:t>
      </w:r>
      <w:r>
        <w:rPr>
          <w:w w:val="105"/>
        </w:rPr>
        <w:t>Taiwan</w:t>
      </w:r>
      <w:r>
        <w:rPr>
          <w:spacing w:val="-8"/>
          <w:w w:val="105"/>
        </w:rPr>
        <w:t> </w:t>
      </w:r>
      <w:r>
        <w:rPr>
          <w:w w:val="105"/>
        </w:rPr>
        <w:t>dollar</w:t>
      </w:r>
      <w:r>
        <w:rPr>
          <w:spacing w:val="-8"/>
          <w:w w:val="105"/>
        </w:rPr>
        <w:t> </w:t>
      </w:r>
      <w:r>
        <w:rPr>
          <w:w w:val="105"/>
        </w:rPr>
        <w:t>and</w:t>
      </w:r>
      <w:r>
        <w:rPr>
          <w:spacing w:val="-8"/>
          <w:w w:val="105"/>
        </w:rPr>
        <w:t> </w:t>
      </w:r>
      <w:r>
        <w:rPr>
          <w:w w:val="105"/>
        </w:rPr>
        <w:t>the</w:t>
      </w:r>
      <w:r>
        <w:rPr>
          <w:spacing w:val="-8"/>
          <w:w w:val="105"/>
        </w:rPr>
        <w:t> </w:t>
      </w:r>
      <w:r>
        <w:rPr>
          <w:w w:val="105"/>
        </w:rPr>
        <w:t>euro.</w:t>
      </w:r>
      <w:r>
        <w:rPr>
          <w:spacing w:val="26"/>
          <w:w w:val="105"/>
        </w:rPr>
        <w:t> </w:t>
      </w:r>
      <w:r>
        <w:rPr>
          <w:w w:val="105"/>
        </w:rPr>
        <w:t>The Company</w:t>
      </w:r>
      <w:r>
        <w:rPr>
          <w:spacing w:val="-3"/>
          <w:w w:val="105"/>
        </w:rPr>
        <w:t> </w:t>
      </w:r>
      <w:r>
        <w:rPr>
          <w:w w:val="105"/>
        </w:rPr>
        <w:t>believes</w:t>
      </w:r>
      <w:r>
        <w:rPr>
          <w:spacing w:val="-3"/>
          <w:w w:val="105"/>
        </w:rPr>
        <w:t> </w:t>
      </w:r>
      <w:r>
        <w:rPr>
          <w:w w:val="105"/>
        </w:rPr>
        <w:t>that</w:t>
      </w:r>
      <w:r>
        <w:rPr>
          <w:spacing w:val="-3"/>
          <w:w w:val="105"/>
        </w:rPr>
        <w:t> </w:t>
      </w:r>
      <w:r>
        <w:rPr>
          <w:w w:val="105"/>
        </w:rPr>
        <w:t>the</w:t>
      </w:r>
      <w:r>
        <w:rPr>
          <w:spacing w:val="-3"/>
          <w:w w:val="105"/>
        </w:rPr>
        <w:t> </w:t>
      </w:r>
      <w:r>
        <w:rPr>
          <w:w w:val="105"/>
        </w:rPr>
        <w:t>use</w:t>
      </w:r>
      <w:r>
        <w:rPr>
          <w:spacing w:val="-3"/>
          <w:w w:val="105"/>
        </w:rPr>
        <w:t> </w:t>
      </w:r>
      <w:r>
        <w:rPr>
          <w:w w:val="105"/>
        </w:rPr>
        <w:t>of</w:t>
      </w:r>
      <w:r>
        <w:rPr>
          <w:spacing w:val="-3"/>
          <w:w w:val="105"/>
        </w:rPr>
        <w:t> </w:t>
      </w:r>
      <w:r>
        <w:rPr>
          <w:w w:val="105"/>
        </w:rPr>
        <w:t>constant-currency</w:t>
      </w:r>
      <w:r>
        <w:rPr>
          <w:spacing w:val="-3"/>
          <w:w w:val="105"/>
        </w:rPr>
        <w:t> </w:t>
      </w:r>
      <w:r>
        <w:rPr>
          <w:w w:val="105"/>
        </w:rPr>
        <w:t>reporting</w:t>
      </w:r>
      <w:r>
        <w:rPr>
          <w:spacing w:val="-3"/>
          <w:w w:val="105"/>
        </w:rPr>
        <w:t> </w:t>
      </w:r>
      <w:r>
        <w:rPr>
          <w:w w:val="105"/>
        </w:rPr>
        <w:t>allows</w:t>
      </w:r>
      <w:r>
        <w:rPr>
          <w:spacing w:val="-3"/>
          <w:w w:val="105"/>
        </w:rPr>
        <w:t> </w:t>
      </w:r>
      <w:r>
        <w:rPr>
          <w:w w:val="105"/>
        </w:rPr>
        <w:t>investors</w:t>
      </w:r>
      <w:r>
        <w:rPr>
          <w:spacing w:val="-3"/>
          <w:w w:val="105"/>
        </w:rPr>
        <w:t> </w:t>
      </w:r>
      <w:r>
        <w:rPr>
          <w:w w:val="105"/>
        </w:rPr>
        <w:t>to</w:t>
      </w:r>
      <w:r>
        <w:rPr>
          <w:spacing w:val="-3"/>
          <w:w w:val="105"/>
        </w:rPr>
        <w:t> </w:t>
      </w:r>
      <w:r>
        <w:rPr>
          <w:w w:val="105"/>
        </w:rPr>
        <w:t>understand</w:t>
      </w:r>
      <w:r>
        <w:rPr>
          <w:spacing w:val="-3"/>
          <w:w w:val="105"/>
        </w:rPr>
        <w:t> </w:t>
      </w:r>
      <w:r>
        <w:rPr>
          <w:w w:val="105"/>
        </w:rPr>
        <w:t>our</w:t>
      </w:r>
      <w:r>
        <w:rPr>
          <w:spacing w:val="-3"/>
          <w:w w:val="105"/>
        </w:rPr>
        <w:t> </w:t>
      </w:r>
      <w:r>
        <w:rPr>
          <w:w w:val="105"/>
        </w:rPr>
        <w:t>results</w:t>
      </w:r>
      <w:r>
        <w:rPr>
          <w:spacing w:val="-3"/>
          <w:w w:val="105"/>
        </w:rPr>
        <w:t> </w:t>
      </w:r>
      <w:r>
        <w:rPr>
          <w:w w:val="105"/>
        </w:rPr>
        <w:t>without</w:t>
      </w:r>
      <w:r>
        <w:rPr>
          <w:spacing w:val="-3"/>
          <w:w w:val="105"/>
        </w:rPr>
        <w:t> </w:t>
      </w:r>
      <w:r>
        <w:rPr>
          <w:w w:val="105"/>
        </w:rPr>
        <w:t>the</w:t>
      </w:r>
      <w:r>
        <w:rPr>
          <w:spacing w:val="-3"/>
          <w:w w:val="105"/>
        </w:rPr>
        <w:t> </w:t>
      </w:r>
      <w:r>
        <w:rPr>
          <w:w w:val="105"/>
        </w:rPr>
        <w:t>volatility</w:t>
      </w:r>
      <w:r>
        <w:rPr>
          <w:spacing w:val="-3"/>
          <w:w w:val="105"/>
        </w:rPr>
        <w:t> </w:t>
      </w:r>
      <w:r>
        <w:rPr>
          <w:w w:val="105"/>
        </w:rPr>
        <w:t>of</w:t>
      </w:r>
      <w:r>
        <w:rPr>
          <w:spacing w:val="-3"/>
          <w:w w:val="105"/>
        </w:rPr>
        <w:t> </w:t>
      </w:r>
      <w:r>
        <w:rPr>
          <w:w w:val="105"/>
        </w:rPr>
        <w:t>currency</w:t>
      </w:r>
      <w:r>
        <w:rPr>
          <w:spacing w:val="-3"/>
          <w:w w:val="105"/>
        </w:rPr>
        <w:t> </w:t>
      </w:r>
      <w:r>
        <w:rPr>
          <w:w w:val="105"/>
        </w:rPr>
        <w:t>fluctuations</w:t>
      </w:r>
      <w:r>
        <w:rPr>
          <w:spacing w:val="-3"/>
          <w:w w:val="105"/>
        </w:rPr>
        <w:t> </w:t>
      </w:r>
      <w:r>
        <w:rPr>
          <w:w w:val="105"/>
        </w:rPr>
        <w:t>and</w:t>
      </w:r>
      <w:r>
        <w:rPr>
          <w:spacing w:val="-3"/>
          <w:w w:val="105"/>
        </w:rPr>
        <w:t> </w:t>
      </w:r>
      <w:r>
        <w:rPr>
          <w:w w:val="105"/>
        </w:rPr>
        <w:t>reflects</w:t>
      </w:r>
      <w:r>
        <w:rPr>
          <w:spacing w:val="-3"/>
          <w:w w:val="105"/>
        </w:rPr>
        <w:t> </w:t>
      </w:r>
      <w:r>
        <w:rPr>
          <w:w w:val="105"/>
        </w:rPr>
        <w:t>the underlying</w:t>
      </w:r>
      <w:r>
        <w:rPr>
          <w:spacing w:val="-3"/>
          <w:w w:val="105"/>
        </w:rPr>
        <w:t> </w:t>
      </w:r>
      <w:r>
        <w:rPr>
          <w:w w:val="105"/>
        </w:rPr>
        <w:t>economics</w:t>
      </w:r>
      <w:r>
        <w:rPr>
          <w:spacing w:val="-3"/>
          <w:w w:val="105"/>
        </w:rPr>
        <w:t> </w:t>
      </w:r>
      <w:r>
        <w:rPr>
          <w:w w:val="105"/>
        </w:rPr>
        <w:t>of</w:t>
      </w:r>
      <w:r>
        <w:rPr>
          <w:spacing w:val="-3"/>
          <w:w w:val="105"/>
        </w:rPr>
        <w:t> </w:t>
      </w:r>
      <w:r>
        <w:rPr>
          <w:w w:val="105"/>
        </w:rPr>
        <w:t>the</w:t>
      </w:r>
      <w:r>
        <w:rPr>
          <w:spacing w:val="-1"/>
          <w:w w:val="105"/>
        </w:rPr>
        <w:t> </w:t>
      </w:r>
      <w:r>
        <w:rPr>
          <w:w w:val="105"/>
        </w:rPr>
        <w:t>translated</w:t>
      </w:r>
      <w:r>
        <w:rPr>
          <w:spacing w:val="-3"/>
          <w:w w:val="105"/>
        </w:rPr>
        <w:t> </w:t>
      </w:r>
      <w:r>
        <w:rPr>
          <w:w w:val="105"/>
        </w:rPr>
        <w:t>earnings</w:t>
      </w:r>
      <w:r>
        <w:rPr>
          <w:spacing w:val="-3"/>
          <w:w w:val="105"/>
        </w:rPr>
        <w:t> </w:t>
      </w:r>
      <w:r>
        <w:rPr>
          <w:w w:val="105"/>
        </w:rPr>
        <w:t>contracts</w:t>
      </w:r>
      <w:r>
        <w:rPr>
          <w:spacing w:val="-3"/>
          <w:w w:val="105"/>
        </w:rPr>
        <w:t> </w:t>
      </w:r>
      <w:r>
        <w:rPr>
          <w:w w:val="105"/>
        </w:rPr>
        <w:t>used</w:t>
      </w:r>
      <w:r>
        <w:rPr>
          <w:spacing w:val="-3"/>
          <w:w w:val="105"/>
        </w:rPr>
        <w:t> </w:t>
      </w:r>
      <w:r>
        <w:rPr>
          <w:w w:val="105"/>
        </w:rPr>
        <w:t>to</w:t>
      </w:r>
      <w:r>
        <w:rPr>
          <w:spacing w:val="-3"/>
          <w:w w:val="105"/>
        </w:rPr>
        <w:t> </w:t>
      </w:r>
      <w:r>
        <w:rPr>
          <w:w w:val="105"/>
        </w:rPr>
        <w:t>mitigate</w:t>
      </w:r>
      <w:r>
        <w:rPr>
          <w:spacing w:val="-1"/>
          <w:w w:val="105"/>
        </w:rPr>
        <w:t> </w:t>
      </w:r>
      <w:r>
        <w:rPr>
          <w:w w:val="105"/>
        </w:rPr>
        <w:t>the</w:t>
      </w:r>
      <w:r>
        <w:rPr>
          <w:spacing w:val="-3"/>
          <w:w w:val="105"/>
        </w:rPr>
        <w:t> </w:t>
      </w:r>
      <w:r>
        <w:rPr>
          <w:w w:val="105"/>
        </w:rPr>
        <w:t>impact</w:t>
      </w:r>
      <w:r>
        <w:rPr>
          <w:spacing w:val="-3"/>
          <w:w w:val="105"/>
        </w:rPr>
        <w:t> </w:t>
      </w:r>
      <w:r>
        <w:rPr>
          <w:w w:val="105"/>
        </w:rPr>
        <w:t>of</w:t>
      </w:r>
      <w:r>
        <w:rPr>
          <w:spacing w:val="-3"/>
          <w:w w:val="105"/>
        </w:rPr>
        <w:t> </w:t>
      </w:r>
      <w:r>
        <w:rPr>
          <w:w w:val="105"/>
        </w:rPr>
        <w:t>changes</w:t>
      </w:r>
      <w:r>
        <w:rPr>
          <w:spacing w:val="-3"/>
          <w:w w:val="105"/>
        </w:rPr>
        <w:t> </w:t>
      </w:r>
      <w:r>
        <w:rPr>
          <w:w w:val="105"/>
        </w:rPr>
        <w:t>in</w:t>
      </w:r>
      <w:r>
        <w:rPr>
          <w:spacing w:val="-3"/>
          <w:w w:val="105"/>
        </w:rPr>
        <w:t> </w:t>
      </w:r>
      <w:r>
        <w:rPr>
          <w:w w:val="105"/>
        </w:rPr>
        <w:t>currency</w:t>
      </w:r>
      <w:r>
        <w:rPr>
          <w:spacing w:val="-3"/>
          <w:w w:val="105"/>
        </w:rPr>
        <w:t> </w:t>
      </w:r>
      <w:r>
        <w:rPr>
          <w:w w:val="105"/>
        </w:rPr>
        <w:t>exchange</w:t>
      </w:r>
      <w:r>
        <w:rPr>
          <w:spacing w:val="-3"/>
          <w:w w:val="105"/>
        </w:rPr>
        <w:t> </w:t>
      </w:r>
      <w:r>
        <w:rPr>
          <w:w w:val="105"/>
        </w:rPr>
        <w:t>rates</w:t>
      </w:r>
      <w:r>
        <w:rPr>
          <w:spacing w:val="-3"/>
          <w:w w:val="105"/>
        </w:rPr>
        <w:t> </w:t>
      </w:r>
      <w:r>
        <w:rPr>
          <w:w w:val="105"/>
        </w:rPr>
        <w:t>on</w:t>
      </w:r>
      <w:r>
        <w:rPr>
          <w:spacing w:val="-3"/>
          <w:w w:val="105"/>
        </w:rPr>
        <w:t> </w:t>
      </w:r>
      <w:r>
        <w:rPr>
          <w:w w:val="105"/>
        </w:rPr>
        <w:t>our</w:t>
      </w:r>
      <w:r>
        <w:rPr>
          <w:spacing w:val="-1"/>
          <w:w w:val="105"/>
        </w:rPr>
        <w:t> </w:t>
      </w:r>
      <w:r>
        <w:rPr>
          <w:w w:val="105"/>
        </w:rPr>
        <w:t>earnings</w:t>
      </w:r>
      <w:r>
        <w:rPr>
          <w:spacing w:val="-3"/>
          <w:w w:val="105"/>
        </w:rPr>
        <w:t> </w:t>
      </w:r>
      <w:r>
        <w:rPr>
          <w:w w:val="105"/>
        </w:rPr>
        <w:t>and</w:t>
      </w:r>
      <w:r>
        <w:rPr>
          <w:spacing w:val="-3"/>
          <w:w w:val="105"/>
        </w:rPr>
        <w:t> </w:t>
      </w:r>
      <w:r>
        <w:rPr>
          <w:w w:val="105"/>
        </w:rPr>
        <w:t>cash</w:t>
      </w:r>
      <w:r>
        <w:rPr>
          <w:spacing w:val="-3"/>
          <w:w w:val="105"/>
        </w:rPr>
        <w:t> </w:t>
      </w:r>
      <w:r>
        <w:rPr>
          <w:w w:val="105"/>
        </w:rPr>
        <w:t>flows.</w:t>
      </w:r>
      <w:r>
        <w:rPr>
          <w:spacing w:val="-3"/>
          <w:w w:val="105"/>
        </w:rPr>
        <w:t> </w:t>
      </w:r>
      <w:r>
        <w:rPr>
          <w:w w:val="105"/>
        </w:rPr>
        <w:t>Corning</w:t>
      </w:r>
      <w:r>
        <w:rPr>
          <w:spacing w:val="-3"/>
          <w:w w:val="105"/>
        </w:rPr>
        <w:t> </w:t>
      </w:r>
      <w:r>
        <w:rPr>
          <w:w w:val="105"/>
        </w:rPr>
        <w:t>also believes</w:t>
      </w:r>
      <w:r>
        <w:rPr>
          <w:spacing w:val="-2"/>
          <w:w w:val="105"/>
        </w:rPr>
        <w:t> </w:t>
      </w:r>
      <w:r>
        <w:rPr>
          <w:w w:val="105"/>
        </w:rPr>
        <w:t>that</w:t>
      </w:r>
      <w:r>
        <w:rPr>
          <w:spacing w:val="-2"/>
          <w:w w:val="105"/>
        </w:rPr>
        <w:t> </w:t>
      </w:r>
      <w:r>
        <w:rPr>
          <w:w w:val="105"/>
        </w:rPr>
        <w:t>reporting</w:t>
      </w:r>
      <w:r>
        <w:rPr>
          <w:spacing w:val="-2"/>
          <w:w w:val="105"/>
        </w:rPr>
        <w:t> </w:t>
      </w:r>
      <w:r>
        <w:rPr>
          <w:w w:val="105"/>
        </w:rPr>
        <w:t>core</w:t>
      </w:r>
      <w:r>
        <w:rPr>
          <w:spacing w:val="-4"/>
          <w:w w:val="105"/>
        </w:rPr>
        <w:t> </w:t>
      </w:r>
      <w:r>
        <w:rPr>
          <w:w w:val="105"/>
        </w:rPr>
        <w:t>performance</w:t>
      </w:r>
      <w:r>
        <w:rPr>
          <w:spacing w:val="-2"/>
          <w:w w:val="105"/>
        </w:rPr>
        <w:t> </w:t>
      </w:r>
      <w:r>
        <w:rPr>
          <w:w w:val="105"/>
        </w:rPr>
        <w:t>measures</w:t>
      </w:r>
      <w:r>
        <w:rPr>
          <w:spacing w:val="-2"/>
          <w:w w:val="105"/>
        </w:rPr>
        <w:t> </w:t>
      </w:r>
      <w:r>
        <w:rPr>
          <w:w w:val="105"/>
        </w:rPr>
        <w:t>provides</w:t>
      </w:r>
      <w:r>
        <w:rPr>
          <w:spacing w:val="-2"/>
          <w:w w:val="105"/>
        </w:rPr>
        <w:t> </w:t>
      </w:r>
      <w:r>
        <w:rPr>
          <w:w w:val="105"/>
        </w:rPr>
        <w:t>investors</w:t>
      </w:r>
      <w:r>
        <w:rPr>
          <w:spacing w:val="-2"/>
          <w:w w:val="105"/>
        </w:rPr>
        <w:t> </w:t>
      </w:r>
      <w:r>
        <w:rPr>
          <w:w w:val="105"/>
        </w:rPr>
        <w:t>greater</w:t>
      </w:r>
      <w:r>
        <w:rPr>
          <w:spacing w:val="-2"/>
          <w:w w:val="105"/>
        </w:rPr>
        <w:t> </w:t>
      </w:r>
      <w:r>
        <w:rPr>
          <w:w w:val="105"/>
        </w:rPr>
        <w:t>transparency</w:t>
      </w:r>
      <w:r>
        <w:rPr>
          <w:spacing w:val="-2"/>
          <w:w w:val="105"/>
        </w:rPr>
        <w:t> </w:t>
      </w:r>
      <w:r>
        <w:rPr>
          <w:w w:val="105"/>
        </w:rPr>
        <w:t>to</w:t>
      </w:r>
      <w:r>
        <w:rPr>
          <w:spacing w:val="-2"/>
          <w:w w:val="105"/>
        </w:rPr>
        <w:t> </w:t>
      </w:r>
      <w:r>
        <w:rPr>
          <w:w w:val="105"/>
        </w:rPr>
        <w:t>the</w:t>
      </w:r>
      <w:r>
        <w:rPr>
          <w:spacing w:val="-2"/>
          <w:w w:val="105"/>
        </w:rPr>
        <w:t> </w:t>
      </w:r>
      <w:r>
        <w:rPr>
          <w:w w:val="105"/>
        </w:rPr>
        <w:t>information</w:t>
      </w:r>
      <w:r>
        <w:rPr>
          <w:spacing w:val="-2"/>
          <w:w w:val="105"/>
        </w:rPr>
        <w:t> </w:t>
      </w:r>
      <w:r>
        <w:rPr>
          <w:w w:val="105"/>
        </w:rPr>
        <w:t>used</w:t>
      </w:r>
      <w:r>
        <w:rPr>
          <w:spacing w:val="-2"/>
          <w:w w:val="105"/>
        </w:rPr>
        <w:t> </w:t>
      </w:r>
      <w:r>
        <w:rPr>
          <w:w w:val="105"/>
        </w:rPr>
        <w:t>by</w:t>
      </w:r>
      <w:r>
        <w:rPr>
          <w:spacing w:val="-2"/>
          <w:w w:val="105"/>
        </w:rPr>
        <w:t> </w:t>
      </w:r>
      <w:r>
        <w:rPr>
          <w:w w:val="105"/>
        </w:rPr>
        <w:t>our</w:t>
      </w:r>
      <w:r>
        <w:rPr>
          <w:spacing w:val="-2"/>
          <w:w w:val="105"/>
        </w:rPr>
        <w:t> </w:t>
      </w:r>
      <w:r>
        <w:rPr>
          <w:w w:val="105"/>
        </w:rPr>
        <w:t>management</w:t>
      </w:r>
      <w:r>
        <w:rPr>
          <w:spacing w:val="-2"/>
          <w:w w:val="105"/>
        </w:rPr>
        <w:t> </w:t>
      </w:r>
      <w:r>
        <w:rPr>
          <w:w w:val="105"/>
        </w:rPr>
        <w:t>team</w:t>
      </w:r>
      <w:r>
        <w:rPr>
          <w:spacing w:val="-4"/>
          <w:w w:val="105"/>
        </w:rPr>
        <w:t> </w:t>
      </w:r>
      <w:r>
        <w:rPr>
          <w:w w:val="105"/>
        </w:rPr>
        <w:t>to</w:t>
      </w:r>
      <w:r>
        <w:rPr>
          <w:spacing w:val="-2"/>
          <w:w w:val="105"/>
        </w:rPr>
        <w:t> </w:t>
      </w:r>
      <w:r>
        <w:rPr>
          <w:w w:val="105"/>
        </w:rPr>
        <w:t>make</w:t>
      </w:r>
      <w:r>
        <w:rPr>
          <w:spacing w:val="-2"/>
          <w:w w:val="105"/>
        </w:rPr>
        <w:t> </w:t>
      </w:r>
      <w:r>
        <w:rPr>
          <w:w w:val="105"/>
        </w:rPr>
        <w:t>financial</w:t>
      </w:r>
      <w:r>
        <w:rPr>
          <w:spacing w:val="-2"/>
          <w:w w:val="105"/>
        </w:rPr>
        <w:t> </w:t>
      </w:r>
      <w:r>
        <w:rPr>
          <w:w w:val="105"/>
        </w:rPr>
        <w:t>and operational</w:t>
      </w:r>
      <w:r>
        <w:rPr>
          <w:spacing w:val="-1"/>
          <w:w w:val="105"/>
        </w:rPr>
        <w:t> </w:t>
      </w:r>
      <w:r>
        <w:rPr>
          <w:w w:val="105"/>
        </w:rPr>
        <w:t>decisions.</w:t>
      </w:r>
    </w:p>
    <w:p>
      <w:pPr>
        <w:pStyle w:val="BodyText"/>
        <w:spacing w:before="16"/>
      </w:pPr>
    </w:p>
    <w:p>
      <w:pPr>
        <w:pStyle w:val="BodyText"/>
        <w:spacing w:line="266" w:lineRule="auto"/>
        <w:ind w:left="156" w:right="117"/>
      </w:pPr>
      <w:r>
        <w:rPr>
          <w:w w:val="105"/>
        </w:rPr>
        <w:t>Core</w:t>
      </w:r>
      <w:r>
        <w:rPr>
          <w:spacing w:val="-2"/>
          <w:w w:val="105"/>
        </w:rPr>
        <w:t> </w:t>
      </w:r>
      <w:r>
        <w:rPr>
          <w:w w:val="105"/>
        </w:rPr>
        <w:t>performance</w:t>
      </w:r>
      <w:r>
        <w:rPr>
          <w:spacing w:val="-2"/>
          <w:w w:val="105"/>
        </w:rPr>
        <w:t> </w:t>
      </w:r>
      <w:r>
        <w:rPr>
          <w:w w:val="105"/>
        </w:rPr>
        <w:t>measures</w:t>
      </w:r>
      <w:r>
        <w:rPr>
          <w:spacing w:val="-2"/>
          <w:w w:val="105"/>
        </w:rPr>
        <w:t> </w:t>
      </w:r>
      <w:r>
        <w:rPr>
          <w:w w:val="105"/>
        </w:rPr>
        <w:t>are</w:t>
      </w:r>
      <w:r>
        <w:rPr>
          <w:spacing w:val="-2"/>
          <w:w w:val="105"/>
        </w:rPr>
        <w:t> </w:t>
      </w:r>
      <w:r>
        <w:rPr>
          <w:w w:val="105"/>
        </w:rPr>
        <w:t>not</w:t>
      </w:r>
      <w:r>
        <w:rPr>
          <w:spacing w:val="-2"/>
          <w:w w:val="105"/>
        </w:rPr>
        <w:t> </w:t>
      </w:r>
      <w:r>
        <w:rPr>
          <w:w w:val="105"/>
        </w:rPr>
        <w:t>prepared</w:t>
      </w:r>
      <w:r>
        <w:rPr>
          <w:spacing w:val="-2"/>
          <w:w w:val="105"/>
        </w:rPr>
        <w:t> </w:t>
      </w:r>
      <w:r>
        <w:rPr>
          <w:w w:val="105"/>
        </w:rPr>
        <w:t>in</w:t>
      </w:r>
      <w:r>
        <w:rPr>
          <w:spacing w:val="-2"/>
          <w:w w:val="105"/>
        </w:rPr>
        <w:t> </w:t>
      </w:r>
      <w:r>
        <w:rPr>
          <w:w w:val="105"/>
        </w:rPr>
        <w:t>accordance</w:t>
      </w:r>
      <w:r>
        <w:rPr>
          <w:spacing w:val="-2"/>
          <w:w w:val="105"/>
        </w:rPr>
        <w:t> </w:t>
      </w:r>
      <w:r>
        <w:rPr>
          <w:w w:val="105"/>
        </w:rPr>
        <w:t>with</w:t>
      </w:r>
      <w:r>
        <w:rPr>
          <w:spacing w:val="-2"/>
          <w:w w:val="105"/>
        </w:rPr>
        <w:t> </w:t>
      </w:r>
      <w:r>
        <w:rPr>
          <w:w w:val="105"/>
        </w:rPr>
        <w:t>Generally</w:t>
      </w:r>
      <w:r>
        <w:rPr>
          <w:spacing w:val="-2"/>
          <w:w w:val="105"/>
        </w:rPr>
        <w:t> </w:t>
      </w:r>
      <w:r>
        <w:rPr>
          <w:w w:val="105"/>
        </w:rPr>
        <w:t>Accepted</w:t>
      </w:r>
      <w:r>
        <w:rPr>
          <w:spacing w:val="-2"/>
          <w:w w:val="105"/>
        </w:rPr>
        <w:t> </w:t>
      </w:r>
      <w:r>
        <w:rPr>
          <w:w w:val="105"/>
        </w:rPr>
        <w:t>Accounting</w:t>
      </w:r>
      <w:r>
        <w:rPr>
          <w:spacing w:val="-2"/>
          <w:w w:val="105"/>
        </w:rPr>
        <w:t> </w:t>
      </w:r>
      <w:r>
        <w:rPr>
          <w:w w:val="105"/>
        </w:rPr>
        <w:t>Principles</w:t>
      </w:r>
      <w:r>
        <w:rPr>
          <w:spacing w:val="-2"/>
          <w:w w:val="105"/>
        </w:rPr>
        <w:t> </w:t>
      </w:r>
      <w:r>
        <w:rPr>
          <w:w w:val="105"/>
        </w:rPr>
        <w:t>in</w:t>
      </w:r>
      <w:r>
        <w:rPr>
          <w:spacing w:val="-2"/>
          <w:w w:val="105"/>
        </w:rPr>
        <w:t> </w:t>
      </w:r>
      <w:r>
        <w:rPr>
          <w:w w:val="105"/>
        </w:rPr>
        <w:t>the</w:t>
      </w:r>
      <w:r>
        <w:rPr>
          <w:spacing w:val="-2"/>
          <w:w w:val="105"/>
        </w:rPr>
        <w:t> </w:t>
      </w:r>
      <w:r>
        <w:rPr>
          <w:w w:val="105"/>
        </w:rPr>
        <w:t>U.S.</w:t>
      </w:r>
      <w:r>
        <w:rPr>
          <w:spacing w:val="-2"/>
          <w:w w:val="105"/>
        </w:rPr>
        <w:t> </w:t>
      </w:r>
      <w:r>
        <w:rPr>
          <w:w w:val="105"/>
        </w:rPr>
        <w:t>(“GAAP”).</w:t>
      </w:r>
      <w:r>
        <w:rPr>
          <w:spacing w:val="-2"/>
          <w:w w:val="105"/>
        </w:rPr>
        <w:t> </w:t>
      </w:r>
      <w:r>
        <w:rPr>
          <w:w w:val="105"/>
        </w:rPr>
        <w:t>We</w:t>
      </w:r>
      <w:r>
        <w:rPr>
          <w:spacing w:val="-2"/>
          <w:w w:val="105"/>
        </w:rPr>
        <w:t> </w:t>
      </w:r>
      <w:r>
        <w:rPr>
          <w:w w:val="105"/>
        </w:rPr>
        <w:t>believe</w:t>
      </w:r>
      <w:r>
        <w:rPr>
          <w:spacing w:val="-2"/>
          <w:w w:val="105"/>
        </w:rPr>
        <w:t> </w:t>
      </w:r>
      <w:r>
        <w:rPr>
          <w:w w:val="105"/>
        </w:rPr>
        <w:t>investors</w:t>
      </w:r>
      <w:r>
        <w:rPr>
          <w:spacing w:val="-2"/>
          <w:w w:val="105"/>
        </w:rPr>
        <w:t> </w:t>
      </w:r>
      <w:r>
        <w:rPr>
          <w:w w:val="105"/>
        </w:rPr>
        <w:t>should</w:t>
      </w:r>
      <w:r>
        <w:rPr>
          <w:spacing w:val="-2"/>
          <w:w w:val="105"/>
        </w:rPr>
        <w:t> </w:t>
      </w:r>
      <w:r>
        <w:rPr>
          <w:w w:val="105"/>
        </w:rPr>
        <w:t>consider these</w:t>
      </w:r>
      <w:r>
        <w:rPr>
          <w:spacing w:val="-3"/>
          <w:w w:val="105"/>
        </w:rPr>
        <w:t> </w:t>
      </w:r>
      <w:r>
        <w:rPr>
          <w:w w:val="105"/>
        </w:rPr>
        <w:t>non-GAAP</w:t>
      </w:r>
      <w:r>
        <w:rPr>
          <w:spacing w:val="-3"/>
          <w:w w:val="105"/>
        </w:rPr>
        <w:t> </w:t>
      </w:r>
      <w:r>
        <w:rPr>
          <w:w w:val="105"/>
        </w:rPr>
        <w:t>measures</w:t>
      </w:r>
      <w:r>
        <w:rPr>
          <w:spacing w:val="-3"/>
          <w:w w:val="105"/>
        </w:rPr>
        <w:t> </w:t>
      </w:r>
      <w:r>
        <w:rPr>
          <w:w w:val="105"/>
        </w:rPr>
        <w:t>in</w:t>
      </w:r>
      <w:r>
        <w:rPr>
          <w:spacing w:val="-3"/>
          <w:w w:val="105"/>
        </w:rPr>
        <w:t> </w:t>
      </w:r>
      <w:r>
        <w:rPr>
          <w:w w:val="105"/>
        </w:rPr>
        <w:t>evaluating</w:t>
      </w:r>
      <w:r>
        <w:rPr>
          <w:spacing w:val="-3"/>
          <w:w w:val="105"/>
        </w:rPr>
        <w:t> </w:t>
      </w:r>
      <w:r>
        <w:rPr>
          <w:w w:val="105"/>
        </w:rPr>
        <w:t>our</w:t>
      </w:r>
      <w:r>
        <w:rPr>
          <w:spacing w:val="-3"/>
          <w:w w:val="105"/>
        </w:rPr>
        <w:t> </w:t>
      </w:r>
      <w:r>
        <w:rPr>
          <w:w w:val="105"/>
        </w:rPr>
        <w:t>results</w:t>
      </w:r>
      <w:r>
        <w:rPr>
          <w:spacing w:val="-3"/>
          <w:w w:val="105"/>
        </w:rPr>
        <w:t> </w:t>
      </w:r>
      <w:r>
        <w:rPr>
          <w:w w:val="105"/>
        </w:rPr>
        <w:t>as</w:t>
      </w:r>
      <w:r>
        <w:rPr>
          <w:spacing w:val="-3"/>
          <w:w w:val="105"/>
        </w:rPr>
        <w:t> </w:t>
      </w:r>
      <w:r>
        <w:rPr>
          <w:w w:val="105"/>
        </w:rPr>
        <w:t>they</w:t>
      </w:r>
      <w:r>
        <w:rPr>
          <w:spacing w:val="-3"/>
          <w:w w:val="105"/>
        </w:rPr>
        <w:t> </w:t>
      </w:r>
      <w:r>
        <w:rPr>
          <w:w w:val="105"/>
        </w:rPr>
        <w:t>are</w:t>
      </w:r>
      <w:r>
        <w:rPr>
          <w:spacing w:val="-3"/>
          <w:w w:val="105"/>
        </w:rPr>
        <w:t> </w:t>
      </w:r>
      <w:r>
        <w:rPr>
          <w:w w:val="105"/>
        </w:rPr>
        <w:t>more</w:t>
      </w:r>
      <w:r>
        <w:rPr>
          <w:spacing w:val="-3"/>
          <w:w w:val="105"/>
        </w:rPr>
        <w:t> </w:t>
      </w:r>
      <w:r>
        <w:rPr>
          <w:w w:val="105"/>
        </w:rPr>
        <w:t>indicative</w:t>
      </w:r>
      <w:r>
        <w:rPr>
          <w:spacing w:val="-3"/>
          <w:w w:val="105"/>
        </w:rPr>
        <w:t> </w:t>
      </w:r>
      <w:r>
        <w:rPr>
          <w:w w:val="105"/>
        </w:rPr>
        <w:t>of</w:t>
      </w:r>
      <w:r>
        <w:rPr>
          <w:spacing w:val="-3"/>
          <w:w w:val="105"/>
        </w:rPr>
        <w:t> </w:t>
      </w:r>
      <w:r>
        <w:rPr>
          <w:w w:val="105"/>
        </w:rPr>
        <w:t>our</w:t>
      </w:r>
      <w:r>
        <w:rPr>
          <w:spacing w:val="-3"/>
          <w:w w:val="105"/>
        </w:rPr>
        <w:t> </w:t>
      </w:r>
      <w:r>
        <w:rPr>
          <w:w w:val="105"/>
        </w:rPr>
        <w:t>core</w:t>
      </w:r>
      <w:r>
        <w:rPr>
          <w:spacing w:val="-3"/>
          <w:w w:val="105"/>
        </w:rPr>
        <w:t> </w:t>
      </w:r>
      <w:r>
        <w:rPr>
          <w:w w:val="105"/>
        </w:rPr>
        <w:t>operating</w:t>
      </w:r>
      <w:r>
        <w:rPr>
          <w:spacing w:val="-3"/>
          <w:w w:val="105"/>
        </w:rPr>
        <w:t> </w:t>
      </w:r>
      <w:r>
        <w:rPr>
          <w:w w:val="105"/>
        </w:rPr>
        <w:t>performance</w:t>
      </w:r>
      <w:r>
        <w:rPr>
          <w:spacing w:val="-1"/>
          <w:w w:val="105"/>
        </w:rPr>
        <w:t> </w:t>
      </w:r>
      <w:r>
        <w:rPr>
          <w:w w:val="105"/>
        </w:rPr>
        <w:t>and</w:t>
      </w:r>
      <w:r>
        <w:rPr>
          <w:spacing w:val="-3"/>
          <w:w w:val="105"/>
        </w:rPr>
        <w:t> </w:t>
      </w:r>
      <w:r>
        <w:rPr>
          <w:w w:val="105"/>
        </w:rPr>
        <w:t>how</w:t>
      </w:r>
      <w:r>
        <w:rPr>
          <w:spacing w:val="-3"/>
          <w:w w:val="105"/>
        </w:rPr>
        <w:t> </w:t>
      </w:r>
      <w:r>
        <w:rPr>
          <w:w w:val="105"/>
        </w:rPr>
        <w:t>management</w:t>
      </w:r>
      <w:r>
        <w:rPr>
          <w:spacing w:val="-3"/>
          <w:w w:val="105"/>
        </w:rPr>
        <w:t> </w:t>
      </w:r>
      <w:r>
        <w:rPr>
          <w:w w:val="105"/>
        </w:rPr>
        <w:t>evaluates</w:t>
      </w:r>
      <w:r>
        <w:rPr>
          <w:spacing w:val="-3"/>
          <w:w w:val="105"/>
        </w:rPr>
        <w:t> </w:t>
      </w:r>
      <w:r>
        <w:rPr>
          <w:w w:val="105"/>
        </w:rPr>
        <w:t>our</w:t>
      </w:r>
      <w:r>
        <w:rPr>
          <w:spacing w:val="-3"/>
          <w:w w:val="105"/>
        </w:rPr>
        <w:t> </w:t>
      </w:r>
      <w:r>
        <w:rPr>
          <w:w w:val="105"/>
        </w:rPr>
        <w:t>operational</w:t>
      </w:r>
      <w:r>
        <w:rPr>
          <w:spacing w:val="-3"/>
          <w:w w:val="105"/>
        </w:rPr>
        <w:t> </w:t>
      </w:r>
      <w:r>
        <w:rPr>
          <w:w w:val="105"/>
        </w:rPr>
        <w:t>results and</w:t>
      </w:r>
      <w:r>
        <w:rPr>
          <w:spacing w:val="-6"/>
          <w:w w:val="105"/>
        </w:rPr>
        <w:t> </w:t>
      </w:r>
      <w:r>
        <w:rPr>
          <w:w w:val="105"/>
        </w:rPr>
        <w:t>trends.</w:t>
      </w:r>
      <w:r>
        <w:rPr>
          <w:spacing w:val="-6"/>
          <w:w w:val="105"/>
        </w:rPr>
        <w:t> </w:t>
      </w:r>
      <w:r>
        <w:rPr>
          <w:w w:val="105"/>
        </w:rPr>
        <w:t>These</w:t>
      </w:r>
      <w:r>
        <w:rPr>
          <w:spacing w:val="-6"/>
          <w:w w:val="105"/>
        </w:rPr>
        <w:t> </w:t>
      </w:r>
      <w:r>
        <w:rPr>
          <w:w w:val="105"/>
        </w:rPr>
        <w:t>measures</w:t>
      </w:r>
      <w:r>
        <w:rPr>
          <w:spacing w:val="-6"/>
          <w:w w:val="105"/>
        </w:rPr>
        <w:t> </w:t>
      </w:r>
      <w:r>
        <w:rPr>
          <w:w w:val="105"/>
        </w:rPr>
        <w:t>are</w:t>
      </w:r>
      <w:r>
        <w:rPr>
          <w:spacing w:val="-6"/>
          <w:w w:val="105"/>
        </w:rPr>
        <w:t> </w:t>
      </w:r>
      <w:r>
        <w:rPr>
          <w:w w:val="105"/>
        </w:rPr>
        <w:t>not,</w:t>
      </w:r>
      <w:r>
        <w:rPr>
          <w:spacing w:val="-6"/>
          <w:w w:val="105"/>
        </w:rPr>
        <w:t> </w:t>
      </w:r>
      <w:r>
        <w:rPr>
          <w:w w:val="105"/>
        </w:rPr>
        <w:t>and</w:t>
      </w:r>
      <w:r>
        <w:rPr>
          <w:spacing w:val="-6"/>
          <w:w w:val="105"/>
        </w:rPr>
        <w:t> </w:t>
      </w:r>
      <w:r>
        <w:rPr>
          <w:w w:val="105"/>
        </w:rPr>
        <w:t>should</w:t>
      </w:r>
      <w:r>
        <w:rPr>
          <w:spacing w:val="-6"/>
          <w:w w:val="105"/>
        </w:rPr>
        <w:t> </w:t>
      </w:r>
      <w:r>
        <w:rPr>
          <w:w w:val="105"/>
        </w:rPr>
        <w:t>not</w:t>
      </w:r>
      <w:r>
        <w:rPr>
          <w:spacing w:val="-6"/>
          <w:w w:val="105"/>
        </w:rPr>
        <w:t> </w:t>
      </w:r>
      <w:r>
        <w:rPr>
          <w:w w:val="105"/>
        </w:rPr>
        <w:t>be</w:t>
      </w:r>
      <w:r>
        <w:rPr>
          <w:spacing w:val="-6"/>
          <w:w w:val="105"/>
        </w:rPr>
        <w:t> </w:t>
      </w:r>
      <w:r>
        <w:rPr>
          <w:w w:val="105"/>
        </w:rPr>
        <w:t>viewed</w:t>
      </w:r>
      <w:r>
        <w:rPr>
          <w:spacing w:val="-6"/>
          <w:w w:val="105"/>
        </w:rPr>
        <w:t> </w:t>
      </w:r>
      <w:r>
        <w:rPr>
          <w:w w:val="105"/>
        </w:rPr>
        <w:t>as</w:t>
      </w:r>
      <w:r>
        <w:rPr>
          <w:spacing w:val="-6"/>
          <w:w w:val="105"/>
        </w:rPr>
        <w:t> </w:t>
      </w:r>
      <w:r>
        <w:rPr>
          <w:w w:val="105"/>
        </w:rPr>
        <w:t>a</w:t>
      </w:r>
      <w:r>
        <w:rPr>
          <w:spacing w:val="-6"/>
          <w:w w:val="105"/>
        </w:rPr>
        <w:t> </w:t>
      </w:r>
      <w:r>
        <w:rPr>
          <w:w w:val="105"/>
        </w:rPr>
        <w:t>substitute</w:t>
      </w:r>
      <w:r>
        <w:rPr>
          <w:spacing w:val="-6"/>
          <w:w w:val="105"/>
        </w:rPr>
        <w:t> </w:t>
      </w:r>
      <w:r>
        <w:rPr>
          <w:w w:val="105"/>
        </w:rPr>
        <w:t>for,</w:t>
      </w:r>
      <w:r>
        <w:rPr>
          <w:spacing w:val="-6"/>
          <w:w w:val="105"/>
        </w:rPr>
        <w:t> </w:t>
      </w:r>
      <w:r>
        <w:rPr>
          <w:w w:val="105"/>
        </w:rPr>
        <w:t>GAAP</w:t>
      </w:r>
      <w:r>
        <w:rPr>
          <w:spacing w:val="-6"/>
          <w:w w:val="105"/>
        </w:rPr>
        <w:t> </w:t>
      </w:r>
      <w:r>
        <w:rPr>
          <w:w w:val="105"/>
        </w:rPr>
        <w:t>reporting</w:t>
      </w:r>
      <w:r>
        <w:rPr>
          <w:spacing w:val="-6"/>
          <w:w w:val="105"/>
        </w:rPr>
        <w:t> </w:t>
      </w:r>
      <w:r>
        <w:rPr>
          <w:w w:val="105"/>
        </w:rPr>
        <w:t>measures.</w:t>
      </w:r>
      <w:r>
        <w:rPr>
          <w:spacing w:val="-6"/>
          <w:w w:val="105"/>
        </w:rPr>
        <w:t> </w:t>
      </w:r>
      <w:r>
        <w:rPr>
          <w:w w:val="105"/>
        </w:rPr>
        <w:t>With</w:t>
      </w:r>
      <w:r>
        <w:rPr>
          <w:spacing w:val="-6"/>
          <w:w w:val="105"/>
        </w:rPr>
        <w:t> </w:t>
      </w:r>
      <w:r>
        <w:rPr>
          <w:w w:val="105"/>
        </w:rPr>
        <w:t>respect</w:t>
      </w:r>
      <w:r>
        <w:rPr>
          <w:spacing w:val="-6"/>
          <w:w w:val="105"/>
        </w:rPr>
        <w:t> </w:t>
      </w:r>
      <w:r>
        <w:rPr>
          <w:w w:val="105"/>
        </w:rPr>
        <w:t>to</w:t>
      </w:r>
      <w:r>
        <w:rPr>
          <w:spacing w:val="-6"/>
          <w:w w:val="105"/>
        </w:rPr>
        <w:t> </w:t>
      </w:r>
      <w:r>
        <w:rPr>
          <w:w w:val="105"/>
        </w:rPr>
        <w:t>the</w:t>
      </w:r>
      <w:r>
        <w:rPr>
          <w:spacing w:val="-6"/>
          <w:w w:val="105"/>
        </w:rPr>
        <w:t> </w:t>
      </w:r>
      <w:r>
        <w:rPr>
          <w:w w:val="105"/>
        </w:rPr>
        <w:t>Company’s</w:t>
      </w:r>
      <w:r>
        <w:rPr>
          <w:spacing w:val="-6"/>
          <w:w w:val="105"/>
        </w:rPr>
        <w:t> </w:t>
      </w:r>
      <w:r>
        <w:rPr>
          <w:w w:val="105"/>
        </w:rPr>
        <w:t>outlook</w:t>
      </w:r>
      <w:r>
        <w:rPr>
          <w:spacing w:val="-4"/>
          <w:w w:val="105"/>
        </w:rPr>
        <w:t> </w:t>
      </w:r>
      <w:r>
        <w:rPr>
          <w:w w:val="105"/>
        </w:rPr>
        <w:t>for</w:t>
      </w:r>
      <w:r>
        <w:rPr>
          <w:spacing w:val="-6"/>
          <w:w w:val="105"/>
        </w:rPr>
        <w:t> </w:t>
      </w:r>
      <w:r>
        <w:rPr>
          <w:w w:val="105"/>
        </w:rPr>
        <w:t>future</w:t>
      </w:r>
      <w:r>
        <w:rPr>
          <w:spacing w:val="-6"/>
          <w:w w:val="105"/>
        </w:rPr>
        <w:t> </w:t>
      </w:r>
      <w:r>
        <w:rPr>
          <w:w w:val="105"/>
        </w:rPr>
        <w:t>periods,</w:t>
      </w:r>
      <w:r>
        <w:rPr>
          <w:spacing w:val="-6"/>
          <w:w w:val="105"/>
        </w:rPr>
        <w:t> </w:t>
      </w:r>
      <w:r>
        <w:rPr>
          <w:w w:val="105"/>
        </w:rPr>
        <w:t>it</w:t>
      </w:r>
      <w:r>
        <w:rPr>
          <w:spacing w:val="-6"/>
          <w:w w:val="105"/>
        </w:rPr>
        <w:t> </w:t>
      </w:r>
      <w:r>
        <w:rPr>
          <w:w w:val="105"/>
        </w:rPr>
        <w:t>is not</w:t>
      </w:r>
      <w:r>
        <w:rPr>
          <w:spacing w:val="-8"/>
          <w:w w:val="105"/>
        </w:rPr>
        <w:t> </w:t>
      </w:r>
      <w:r>
        <w:rPr>
          <w:w w:val="105"/>
        </w:rPr>
        <w:t>possible</w:t>
      </w:r>
      <w:r>
        <w:rPr>
          <w:spacing w:val="-8"/>
          <w:w w:val="105"/>
        </w:rPr>
        <w:t> </w:t>
      </w:r>
      <w:r>
        <w:rPr>
          <w:w w:val="105"/>
        </w:rPr>
        <w:t>to</w:t>
      </w:r>
      <w:r>
        <w:rPr>
          <w:spacing w:val="-8"/>
          <w:w w:val="105"/>
        </w:rPr>
        <w:t> </w:t>
      </w:r>
      <w:r>
        <w:rPr>
          <w:w w:val="105"/>
        </w:rPr>
        <w:t>provide</w:t>
      </w:r>
      <w:r>
        <w:rPr>
          <w:spacing w:val="-8"/>
          <w:w w:val="105"/>
        </w:rPr>
        <w:t> </w:t>
      </w:r>
      <w:r>
        <w:rPr>
          <w:w w:val="105"/>
        </w:rPr>
        <w:t>reconciliations</w:t>
      </w:r>
      <w:r>
        <w:rPr>
          <w:spacing w:val="-8"/>
          <w:w w:val="105"/>
        </w:rPr>
        <w:t> </w:t>
      </w:r>
      <w:r>
        <w:rPr>
          <w:w w:val="105"/>
        </w:rPr>
        <w:t>for</w:t>
      </w:r>
      <w:r>
        <w:rPr>
          <w:spacing w:val="-8"/>
          <w:w w:val="105"/>
        </w:rPr>
        <w:t> </w:t>
      </w:r>
      <w:r>
        <w:rPr>
          <w:w w:val="105"/>
        </w:rPr>
        <w:t>these</w:t>
      </w:r>
      <w:r>
        <w:rPr>
          <w:spacing w:val="-8"/>
          <w:w w:val="105"/>
        </w:rPr>
        <w:t> </w:t>
      </w:r>
      <w:r>
        <w:rPr>
          <w:w w:val="105"/>
        </w:rPr>
        <w:t>non-GAAP</w:t>
      </w:r>
      <w:r>
        <w:rPr>
          <w:spacing w:val="-8"/>
          <w:w w:val="105"/>
        </w:rPr>
        <w:t> </w:t>
      </w:r>
      <w:r>
        <w:rPr>
          <w:w w:val="105"/>
        </w:rPr>
        <w:t>measures</w:t>
      </w:r>
      <w:r>
        <w:rPr>
          <w:spacing w:val="-8"/>
          <w:w w:val="105"/>
        </w:rPr>
        <w:t> </w:t>
      </w:r>
      <w:r>
        <w:rPr>
          <w:w w:val="105"/>
        </w:rPr>
        <w:t>because</w:t>
      </w:r>
      <w:r>
        <w:rPr>
          <w:spacing w:val="-8"/>
          <w:w w:val="105"/>
        </w:rPr>
        <w:t> </w:t>
      </w:r>
      <w:r>
        <w:rPr>
          <w:w w:val="105"/>
        </w:rPr>
        <w:t>the</w:t>
      </w:r>
      <w:r>
        <w:rPr>
          <w:spacing w:val="-8"/>
          <w:w w:val="105"/>
        </w:rPr>
        <w:t> </w:t>
      </w:r>
      <w:r>
        <w:rPr>
          <w:w w:val="105"/>
        </w:rPr>
        <w:t>Company</w:t>
      </w:r>
      <w:r>
        <w:rPr>
          <w:spacing w:val="-8"/>
          <w:w w:val="105"/>
        </w:rPr>
        <w:t> </w:t>
      </w:r>
      <w:r>
        <w:rPr>
          <w:w w:val="105"/>
        </w:rPr>
        <w:t>does</w:t>
      </w:r>
      <w:r>
        <w:rPr>
          <w:spacing w:val="-8"/>
          <w:w w:val="105"/>
        </w:rPr>
        <w:t> </w:t>
      </w:r>
      <w:r>
        <w:rPr>
          <w:w w:val="105"/>
        </w:rPr>
        <w:t>not</w:t>
      </w:r>
      <w:r>
        <w:rPr>
          <w:spacing w:val="-8"/>
          <w:w w:val="105"/>
        </w:rPr>
        <w:t> </w:t>
      </w:r>
      <w:r>
        <w:rPr>
          <w:w w:val="105"/>
        </w:rPr>
        <w:t>forecast</w:t>
      </w:r>
      <w:r>
        <w:rPr>
          <w:spacing w:val="-8"/>
          <w:w w:val="105"/>
        </w:rPr>
        <w:t> </w:t>
      </w:r>
      <w:r>
        <w:rPr>
          <w:w w:val="105"/>
        </w:rPr>
        <w:t>the</w:t>
      </w:r>
      <w:r>
        <w:rPr>
          <w:spacing w:val="-8"/>
          <w:w w:val="105"/>
        </w:rPr>
        <w:t> </w:t>
      </w:r>
      <w:r>
        <w:rPr>
          <w:w w:val="105"/>
        </w:rPr>
        <w:t>movement</w:t>
      </w:r>
      <w:r>
        <w:rPr>
          <w:spacing w:val="-8"/>
          <w:w w:val="105"/>
        </w:rPr>
        <w:t> </w:t>
      </w:r>
      <w:r>
        <w:rPr>
          <w:w w:val="105"/>
        </w:rPr>
        <w:t>of</w:t>
      </w:r>
      <w:r>
        <w:rPr>
          <w:spacing w:val="-8"/>
          <w:w w:val="105"/>
        </w:rPr>
        <w:t> </w:t>
      </w:r>
      <w:r>
        <w:rPr>
          <w:w w:val="105"/>
        </w:rPr>
        <w:t>foreign</w:t>
      </w:r>
      <w:r>
        <w:rPr>
          <w:spacing w:val="-8"/>
          <w:w w:val="105"/>
        </w:rPr>
        <w:t> </w:t>
      </w:r>
      <w:r>
        <w:rPr>
          <w:w w:val="105"/>
        </w:rPr>
        <w:t>currencies</w:t>
      </w:r>
      <w:r>
        <w:rPr>
          <w:spacing w:val="-8"/>
          <w:w w:val="105"/>
        </w:rPr>
        <w:t> </w:t>
      </w:r>
      <w:r>
        <w:rPr>
          <w:w w:val="105"/>
        </w:rPr>
        <w:t>against</w:t>
      </w:r>
      <w:r>
        <w:rPr>
          <w:spacing w:val="-8"/>
          <w:w w:val="105"/>
        </w:rPr>
        <w:t> </w:t>
      </w:r>
      <w:r>
        <w:rPr>
          <w:w w:val="105"/>
        </w:rPr>
        <w:t>the</w:t>
      </w:r>
      <w:r>
        <w:rPr>
          <w:spacing w:val="-8"/>
          <w:w w:val="105"/>
        </w:rPr>
        <w:t> </w:t>
      </w:r>
      <w:r>
        <w:rPr>
          <w:w w:val="105"/>
        </w:rPr>
        <w:t>U.S.</w:t>
      </w:r>
      <w:r>
        <w:rPr>
          <w:spacing w:val="-8"/>
          <w:w w:val="105"/>
        </w:rPr>
        <w:t> </w:t>
      </w:r>
      <w:r>
        <w:rPr>
          <w:w w:val="105"/>
        </w:rPr>
        <w:t>dollar,</w:t>
      </w:r>
      <w:r>
        <w:rPr>
          <w:spacing w:val="-8"/>
          <w:w w:val="105"/>
        </w:rPr>
        <w:t> </w:t>
      </w:r>
      <w:r>
        <w:rPr>
          <w:w w:val="105"/>
        </w:rPr>
        <w:t>or other items that do not reflect ongoing operations, nor does it forecast items that</w:t>
      </w:r>
    </w:p>
    <w:p>
      <w:pPr>
        <w:pStyle w:val="BodyText"/>
        <w:spacing w:line="182" w:lineRule="exact"/>
        <w:ind w:left="156"/>
      </w:pPr>
      <w:r>
        <w:rPr>
          <w:w w:val="105"/>
        </w:rPr>
        <w:t>have</w:t>
      </w:r>
      <w:r>
        <w:rPr>
          <w:spacing w:val="-8"/>
          <w:w w:val="105"/>
        </w:rPr>
        <w:t> </w:t>
      </w:r>
      <w:r>
        <w:rPr>
          <w:w w:val="105"/>
        </w:rPr>
        <w:t>not</w:t>
      </w:r>
      <w:r>
        <w:rPr>
          <w:spacing w:val="-8"/>
          <w:w w:val="105"/>
        </w:rPr>
        <w:t> </w:t>
      </w:r>
      <w:r>
        <w:rPr>
          <w:w w:val="105"/>
        </w:rPr>
        <w:t>yet</w:t>
      </w:r>
      <w:r>
        <w:rPr>
          <w:spacing w:val="-7"/>
          <w:w w:val="105"/>
        </w:rPr>
        <w:t> </w:t>
      </w:r>
      <w:r>
        <w:rPr>
          <w:w w:val="105"/>
        </w:rPr>
        <w:t>occurred</w:t>
      </w:r>
      <w:r>
        <w:rPr>
          <w:spacing w:val="-8"/>
          <w:w w:val="105"/>
        </w:rPr>
        <w:t> </w:t>
      </w:r>
      <w:r>
        <w:rPr>
          <w:w w:val="105"/>
        </w:rPr>
        <w:t>or</w:t>
      </w:r>
      <w:r>
        <w:rPr>
          <w:spacing w:val="-7"/>
          <w:w w:val="105"/>
        </w:rPr>
        <w:t> </w:t>
      </w:r>
      <w:r>
        <w:rPr>
          <w:w w:val="105"/>
        </w:rPr>
        <w:t>are</w:t>
      </w:r>
      <w:r>
        <w:rPr>
          <w:spacing w:val="-8"/>
          <w:w w:val="105"/>
        </w:rPr>
        <w:t> </w:t>
      </w:r>
      <w:r>
        <w:rPr>
          <w:w w:val="105"/>
        </w:rPr>
        <w:t>out</w:t>
      </w:r>
      <w:r>
        <w:rPr>
          <w:spacing w:val="-8"/>
          <w:w w:val="105"/>
        </w:rPr>
        <w:t> </w:t>
      </w:r>
      <w:r>
        <w:rPr>
          <w:w w:val="105"/>
        </w:rPr>
        <w:t>of</w:t>
      </w:r>
      <w:r>
        <w:rPr>
          <w:spacing w:val="-7"/>
          <w:w w:val="105"/>
        </w:rPr>
        <w:t> </w:t>
      </w:r>
      <w:r>
        <w:rPr>
          <w:w w:val="105"/>
        </w:rPr>
        <w:t>the</w:t>
      </w:r>
      <w:r>
        <w:rPr>
          <w:spacing w:val="-8"/>
          <w:w w:val="105"/>
        </w:rPr>
        <w:t> </w:t>
      </w:r>
      <w:r>
        <w:rPr>
          <w:w w:val="105"/>
        </w:rPr>
        <w:t>Company’s</w:t>
      </w:r>
      <w:r>
        <w:rPr>
          <w:spacing w:val="-7"/>
          <w:w w:val="105"/>
        </w:rPr>
        <w:t> </w:t>
      </w:r>
      <w:r>
        <w:rPr>
          <w:w w:val="105"/>
        </w:rPr>
        <w:t>control.</w:t>
      </w:r>
      <w:r>
        <w:rPr>
          <w:spacing w:val="-8"/>
          <w:w w:val="105"/>
        </w:rPr>
        <w:t> </w:t>
      </w:r>
      <w:r>
        <w:rPr>
          <w:w w:val="105"/>
        </w:rPr>
        <w:t>As</w:t>
      </w:r>
      <w:r>
        <w:rPr>
          <w:spacing w:val="-7"/>
          <w:w w:val="105"/>
        </w:rPr>
        <w:t> </w:t>
      </w:r>
      <w:r>
        <w:rPr>
          <w:w w:val="105"/>
        </w:rPr>
        <w:t>a</w:t>
      </w:r>
      <w:r>
        <w:rPr>
          <w:spacing w:val="-8"/>
          <w:w w:val="105"/>
        </w:rPr>
        <w:t> </w:t>
      </w:r>
      <w:r>
        <w:rPr>
          <w:w w:val="105"/>
        </w:rPr>
        <w:t>result,</w:t>
      </w:r>
      <w:r>
        <w:rPr>
          <w:spacing w:val="-8"/>
          <w:w w:val="105"/>
        </w:rPr>
        <w:t> </w:t>
      </w:r>
      <w:r>
        <w:rPr>
          <w:w w:val="105"/>
        </w:rPr>
        <w:t>the</w:t>
      </w:r>
      <w:r>
        <w:rPr>
          <w:spacing w:val="-7"/>
          <w:w w:val="105"/>
        </w:rPr>
        <w:t> </w:t>
      </w:r>
      <w:r>
        <w:rPr>
          <w:w w:val="105"/>
        </w:rPr>
        <w:t>Company</w:t>
      </w:r>
      <w:r>
        <w:rPr>
          <w:spacing w:val="-8"/>
          <w:w w:val="105"/>
        </w:rPr>
        <w:t> </w:t>
      </w:r>
      <w:r>
        <w:rPr>
          <w:w w:val="105"/>
        </w:rPr>
        <w:t>is</w:t>
      </w:r>
      <w:r>
        <w:rPr>
          <w:spacing w:val="-7"/>
          <w:w w:val="105"/>
        </w:rPr>
        <w:t> </w:t>
      </w:r>
      <w:r>
        <w:rPr>
          <w:w w:val="105"/>
        </w:rPr>
        <w:t>unable</w:t>
      </w:r>
      <w:r>
        <w:rPr>
          <w:spacing w:val="-8"/>
          <w:w w:val="105"/>
        </w:rPr>
        <w:t> </w:t>
      </w:r>
      <w:r>
        <w:rPr>
          <w:w w:val="105"/>
        </w:rPr>
        <w:t>to</w:t>
      </w:r>
      <w:r>
        <w:rPr>
          <w:spacing w:val="-7"/>
          <w:w w:val="105"/>
        </w:rPr>
        <w:t> </w:t>
      </w:r>
      <w:r>
        <w:rPr>
          <w:w w:val="105"/>
        </w:rPr>
        <w:t>provide</w:t>
      </w:r>
      <w:r>
        <w:rPr>
          <w:spacing w:val="-8"/>
          <w:w w:val="105"/>
        </w:rPr>
        <w:t> </w:t>
      </w:r>
      <w:r>
        <w:rPr>
          <w:w w:val="105"/>
        </w:rPr>
        <w:t>outlook</w:t>
      </w:r>
      <w:r>
        <w:rPr>
          <w:spacing w:val="-8"/>
          <w:w w:val="105"/>
        </w:rPr>
        <w:t> </w:t>
      </w:r>
      <w:r>
        <w:rPr>
          <w:w w:val="105"/>
        </w:rPr>
        <w:t>information</w:t>
      </w:r>
      <w:r>
        <w:rPr>
          <w:spacing w:val="-7"/>
          <w:w w:val="105"/>
        </w:rPr>
        <w:t> </w:t>
      </w:r>
      <w:r>
        <w:rPr>
          <w:w w:val="105"/>
        </w:rPr>
        <w:t>on</w:t>
      </w:r>
      <w:r>
        <w:rPr>
          <w:spacing w:val="-8"/>
          <w:w w:val="105"/>
        </w:rPr>
        <w:t> </w:t>
      </w:r>
      <w:r>
        <w:rPr>
          <w:w w:val="105"/>
        </w:rPr>
        <w:t>a</w:t>
      </w:r>
      <w:r>
        <w:rPr>
          <w:spacing w:val="-7"/>
          <w:w w:val="105"/>
        </w:rPr>
        <w:t> </w:t>
      </w:r>
      <w:r>
        <w:rPr>
          <w:w w:val="105"/>
        </w:rPr>
        <w:t>GAAP</w:t>
      </w:r>
      <w:r>
        <w:rPr>
          <w:spacing w:val="-8"/>
          <w:w w:val="105"/>
        </w:rPr>
        <w:t> </w:t>
      </w:r>
      <w:r>
        <w:rPr>
          <w:spacing w:val="-2"/>
          <w:w w:val="105"/>
        </w:rPr>
        <w:t>basis.</w:t>
      </w:r>
    </w:p>
    <w:p>
      <w:pPr>
        <w:pStyle w:val="BodyText"/>
        <w:spacing w:before="39"/>
      </w:pPr>
    </w:p>
    <w:p>
      <w:pPr>
        <w:pStyle w:val="BodyText"/>
        <w:ind w:left="156"/>
      </w:pPr>
      <w:r>
        <w:rPr/>
        <w:t>For</w:t>
      </w:r>
      <w:r>
        <w:rPr>
          <w:spacing w:val="14"/>
        </w:rPr>
        <w:t> </w:t>
      </w:r>
      <w:r>
        <w:rPr/>
        <w:t>a</w:t>
      </w:r>
      <w:r>
        <w:rPr>
          <w:spacing w:val="15"/>
        </w:rPr>
        <w:t> </w:t>
      </w:r>
      <w:r>
        <w:rPr/>
        <w:t>reconciliation</w:t>
      </w:r>
      <w:r>
        <w:rPr>
          <w:spacing w:val="15"/>
        </w:rPr>
        <w:t> </w:t>
      </w:r>
      <w:r>
        <w:rPr/>
        <w:t>of</w:t>
      </w:r>
      <w:r>
        <w:rPr>
          <w:spacing w:val="14"/>
        </w:rPr>
        <w:t> </w:t>
      </w:r>
      <w:r>
        <w:rPr/>
        <w:t>non-GAAP</w:t>
      </w:r>
      <w:r>
        <w:rPr>
          <w:spacing w:val="15"/>
        </w:rPr>
        <w:t> </w:t>
      </w:r>
      <w:r>
        <w:rPr/>
        <w:t>performance</w:t>
      </w:r>
      <w:r>
        <w:rPr>
          <w:spacing w:val="15"/>
        </w:rPr>
        <w:t> </w:t>
      </w:r>
      <w:r>
        <w:rPr/>
        <w:t>measures</w:t>
      </w:r>
      <w:r>
        <w:rPr>
          <w:spacing w:val="14"/>
        </w:rPr>
        <w:t> </w:t>
      </w:r>
      <w:r>
        <w:rPr/>
        <w:t>to</w:t>
      </w:r>
      <w:r>
        <w:rPr>
          <w:spacing w:val="15"/>
        </w:rPr>
        <w:t> </w:t>
      </w:r>
      <w:r>
        <w:rPr/>
        <w:t>their</w:t>
      </w:r>
      <w:r>
        <w:rPr>
          <w:spacing w:val="14"/>
        </w:rPr>
        <w:t> </w:t>
      </w:r>
      <w:r>
        <w:rPr/>
        <w:t>most</w:t>
      </w:r>
      <w:r>
        <w:rPr>
          <w:spacing w:val="15"/>
        </w:rPr>
        <w:t> </w:t>
      </w:r>
      <w:r>
        <w:rPr/>
        <w:t>directly</w:t>
      </w:r>
      <w:r>
        <w:rPr>
          <w:spacing w:val="15"/>
        </w:rPr>
        <w:t> </w:t>
      </w:r>
      <w:r>
        <w:rPr/>
        <w:t>comparable</w:t>
      </w:r>
      <w:r>
        <w:rPr>
          <w:spacing w:val="14"/>
        </w:rPr>
        <w:t> </w:t>
      </w:r>
      <w:r>
        <w:rPr/>
        <w:t>GAAP</w:t>
      </w:r>
      <w:r>
        <w:rPr>
          <w:spacing w:val="15"/>
        </w:rPr>
        <w:t> </w:t>
      </w:r>
      <w:r>
        <w:rPr/>
        <w:t>financial</w:t>
      </w:r>
      <w:r>
        <w:rPr>
          <w:spacing w:val="15"/>
        </w:rPr>
        <w:t> </w:t>
      </w:r>
      <w:r>
        <w:rPr/>
        <w:t>measure,</w:t>
      </w:r>
      <w:r>
        <w:rPr>
          <w:spacing w:val="14"/>
        </w:rPr>
        <w:t> </w:t>
      </w:r>
      <w:r>
        <w:rPr/>
        <w:t>please</w:t>
      </w:r>
      <w:r>
        <w:rPr>
          <w:spacing w:val="15"/>
        </w:rPr>
        <w:t> </w:t>
      </w:r>
      <w:r>
        <w:rPr/>
        <w:t>see</w:t>
      </w:r>
      <w:r>
        <w:rPr>
          <w:spacing w:val="15"/>
        </w:rPr>
        <w:t> </w:t>
      </w:r>
      <w:r>
        <w:rPr/>
        <w:t>“Reconciliation</w:t>
      </w:r>
      <w:r>
        <w:rPr>
          <w:spacing w:val="14"/>
        </w:rPr>
        <w:t> </w:t>
      </w:r>
      <w:r>
        <w:rPr/>
        <w:t>of</w:t>
      </w:r>
      <w:r>
        <w:rPr>
          <w:spacing w:val="15"/>
        </w:rPr>
        <w:t> </w:t>
      </w:r>
      <w:r>
        <w:rPr/>
        <w:t>Non-GAAP</w:t>
      </w:r>
      <w:r>
        <w:rPr>
          <w:spacing w:val="15"/>
        </w:rPr>
        <w:t> </w:t>
      </w:r>
      <w:r>
        <w:rPr>
          <w:spacing w:val="-2"/>
        </w:rPr>
        <w:t>Measures”.</w:t>
      </w:r>
    </w:p>
    <w:p>
      <w:pPr>
        <w:pStyle w:val="BodyText"/>
        <w:spacing w:before="40"/>
      </w:pPr>
    </w:p>
    <w:p>
      <w:pPr>
        <w:pStyle w:val="Heading1"/>
      </w:pPr>
      <w:r>
        <w:rPr/>
        <w:t>RESULTS</w:t>
      </w:r>
      <w:r>
        <w:rPr>
          <w:spacing w:val="17"/>
        </w:rPr>
        <w:t> </w:t>
      </w:r>
      <w:r>
        <w:rPr/>
        <w:t>OF</w:t>
      </w:r>
      <w:r>
        <w:rPr>
          <w:spacing w:val="17"/>
        </w:rPr>
        <w:t> </w:t>
      </w:r>
      <w:r>
        <w:rPr/>
        <w:t>OPERATIONS</w:t>
      </w:r>
      <w:r>
        <w:rPr>
          <w:spacing w:val="20"/>
        </w:rPr>
        <w:t> </w:t>
      </w:r>
      <w:r>
        <w:rPr>
          <w:b w:val="0"/>
        </w:rPr>
        <w:t>–</w:t>
      </w:r>
      <w:r>
        <w:rPr>
          <w:b w:val="0"/>
          <w:spacing w:val="17"/>
        </w:rPr>
        <w:t> </w:t>
      </w:r>
      <w:r>
        <w:rPr/>
        <w:t>CORE</w:t>
      </w:r>
      <w:r>
        <w:rPr>
          <w:spacing w:val="18"/>
        </w:rPr>
        <w:t> </w:t>
      </w:r>
      <w:r>
        <w:rPr/>
        <w:t>PERFORMANCE</w:t>
      </w:r>
      <w:r>
        <w:rPr>
          <w:spacing w:val="17"/>
        </w:rPr>
        <w:t> </w:t>
      </w:r>
      <w:r>
        <w:rPr>
          <w:spacing w:val="-2"/>
        </w:rPr>
        <w:t>MEASURES</w:t>
      </w:r>
    </w:p>
    <w:p>
      <w:pPr>
        <w:pStyle w:val="BodyText"/>
        <w:spacing w:before="40"/>
        <w:rPr>
          <w:b/>
        </w:rPr>
      </w:pPr>
    </w:p>
    <w:p>
      <w:pPr>
        <w:pStyle w:val="BodyText"/>
        <w:ind w:left="156"/>
      </w:pPr>
      <w:r>
        <w:rPr>
          <w:spacing w:val="-2"/>
          <w:w w:val="105"/>
        </w:rPr>
        <w:t>Selected</w:t>
      </w:r>
      <w:r>
        <w:rPr>
          <w:spacing w:val="3"/>
          <w:w w:val="105"/>
        </w:rPr>
        <w:t> </w:t>
      </w:r>
      <w:r>
        <w:rPr>
          <w:spacing w:val="-2"/>
          <w:w w:val="105"/>
        </w:rPr>
        <w:t>highlights</w:t>
      </w:r>
      <w:r>
        <w:rPr>
          <w:spacing w:val="3"/>
          <w:w w:val="105"/>
        </w:rPr>
        <w:t> </w:t>
      </w:r>
      <w:r>
        <w:rPr>
          <w:spacing w:val="-2"/>
          <w:w w:val="105"/>
        </w:rPr>
        <w:t>from</w:t>
      </w:r>
      <w:r>
        <w:rPr>
          <w:spacing w:val="3"/>
          <w:w w:val="105"/>
        </w:rPr>
        <w:t> </w:t>
      </w:r>
      <w:r>
        <w:rPr>
          <w:spacing w:val="-2"/>
          <w:w w:val="105"/>
        </w:rPr>
        <w:t>our</w:t>
      </w:r>
      <w:r>
        <w:rPr>
          <w:spacing w:val="3"/>
          <w:w w:val="105"/>
        </w:rPr>
        <w:t> </w:t>
      </w:r>
      <w:r>
        <w:rPr>
          <w:spacing w:val="-2"/>
          <w:w w:val="105"/>
        </w:rPr>
        <w:t>continuing</w:t>
      </w:r>
      <w:r>
        <w:rPr>
          <w:spacing w:val="3"/>
          <w:w w:val="105"/>
        </w:rPr>
        <w:t> </w:t>
      </w:r>
      <w:r>
        <w:rPr>
          <w:spacing w:val="-2"/>
          <w:w w:val="105"/>
        </w:rPr>
        <w:t>operations,</w:t>
      </w:r>
      <w:r>
        <w:rPr>
          <w:spacing w:val="4"/>
          <w:w w:val="105"/>
        </w:rPr>
        <w:t> </w:t>
      </w:r>
      <w:r>
        <w:rPr>
          <w:spacing w:val="-2"/>
          <w:w w:val="105"/>
        </w:rPr>
        <w:t>excluding</w:t>
      </w:r>
      <w:r>
        <w:rPr>
          <w:spacing w:val="3"/>
          <w:w w:val="105"/>
        </w:rPr>
        <w:t> </w:t>
      </w:r>
      <w:r>
        <w:rPr>
          <w:spacing w:val="-2"/>
          <w:w w:val="105"/>
        </w:rPr>
        <w:t>certain</w:t>
      </w:r>
      <w:r>
        <w:rPr>
          <w:spacing w:val="3"/>
          <w:w w:val="105"/>
        </w:rPr>
        <w:t> </w:t>
      </w:r>
      <w:r>
        <w:rPr>
          <w:spacing w:val="-2"/>
          <w:w w:val="105"/>
        </w:rPr>
        <w:t>items,</w:t>
      </w:r>
      <w:r>
        <w:rPr>
          <w:spacing w:val="3"/>
          <w:w w:val="105"/>
        </w:rPr>
        <w:t> </w:t>
      </w:r>
      <w:r>
        <w:rPr>
          <w:spacing w:val="-2"/>
          <w:w w:val="105"/>
        </w:rPr>
        <w:t>follow</w:t>
      </w:r>
      <w:r>
        <w:rPr>
          <w:spacing w:val="3"/>
          <w:w w:val="105"/>
        </w:rPr>
        <w:t> </w:t>
      </w:r>
      <w:r>
        <w:rPr>
          <w:spacing w:val="-2"/>
          <w:w w:val="105"/>
        </w:rPr>
        <w:t>(in</w:t>
      </w:r>
      <w:r>
        <w:rPr>
          <w:spacing w:val="4"/>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608320">
                <wp:simplePos x="0" y="0"/>
                <wp:positionH relativeFrom="page">
                  <wp:posOffset>226479</wp:posOffset>
                </wp:positionH>
                <wp:positionV relativeFrom="paragraph">
                  <wp:posOffset>83234</wp:posOffset>
                </wp:positionV>
                <wp:extent cx="7312659" cy="1651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7312659" cy="16510"/>
                        </a:xfrm>
                        <a:custGeom>
                          <a:avLst/>
                          <a:gdLst/>
                          <a:ahLst/>
                          <a:cxnLst/>
                          <a:rect l="l" t="t" r="r" b="b"/>
                          <a:pathLst>
                            <a:path w="7312659" h="16510">
                              <a:moveTo>
                                <a:pt x="7312342" y="0"/>
                              </a:moveTo>
                              <a:lnTo>
                                <a:pt x="7312342" y="0"/>
                              </a:lnTo>
                              <a:lnTo>
                                <a:pt x="0" y="0"/>
                              </a:lnTo>
                              <a:lnTo>
                                <a:pt x="0"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53932pt;width:575.775027pt;height:1.273pt;mso-position-horizontal-relative:page;mso-position-vertical-relative:paragraph;z-index:-15708160;mso-wrap-distance-left:0;mso-wrap-distance-right:0" id="docshape45" filled="true" fillcolor="#000000" stroked="false">
                <v:fill type="solid"/>
                <w10:wrap type="topAndBottom"/>
              </v:rect>
            </w:pict>
          </mc:Fallback>
        </mc:AlternateContent>
      </w:r>
    </w:p>
    <w:p>
      <w:pPr>
        <w:pStyle w:val="BodyText"/>
        <w:tabs>
          <w:tab w:pos="10487" w:val="left" w:leader="none"/>
        </w:tabs>
        <w:spacing w:before="3" w:after="23"/>
        <w:ind w:left="6902"/>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r>
        <w:rPr/>
        <w:tab/>
      </w:r>
      <w:r>
        <w:rPr>
          <w:w w:val="105"/>
        </w:rPr>
        <w:t>%</w:t>
      </w:r>
      <w:r>
        <w:rPr>
          <w:spacing w:val="-4"/>
          <w:w w:val="105"/>
        </w:rPr>
        <w:t> </w:t>
      </w:r>
      <w:r>
        <w:rPr>
          <w:spacing w:val="-2"/>
          <w:w w:val="105"/>
        </w:rPr>
        <w:t>change</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6"/>
        <w:gridCol w:w="1274"/>
        <w:gridCol w:w="1376"/>
        <w:gridCol w:w="1376"/>
        <w:gridCol w:w="115"/>
        <w:gridCol w:w="860"/>
        <w:gridCol w:w="860"/>
      </w:tblGrid>
      <w:tr>
        <w:trPr>
          <w:trHeight w:val="201" w:hRule="atLeast"/>
        </w:trPr>
        <w:tc>
          <w:tcPr>
            <w:tcW w:w="5656" w:type="dxa"/>
            <w:tcBorders>
              <w:bottom w:val="single" w:sz="6" w:space="0" w:color="000000"/>
            </w:tcBorders>
          </w:tcPr>
          <w:p>
            <w:pPr>
              <w:pStyle w:val="TableParagraph"/>
              <w:rPr>
                <w:sz w:val="14"/>
              </w:rPr>
            </w:pPr>
          </w:p>
        </w:tc>
        <w:tc>
          <w:tcPr>
            <w:tcW w:w="1274" w:type="dxa"/>
            <w:tcBorders>
              <w:top w:val="single" w:sz="6" w:space="0" w:color="000000"/>
              <w:bottom w:val="single" w:sz="6" w:space="0" w:color="000000"/>
            </w:tcBorders>
          </w:tcPr>
          <w:p>
            <w:pPr>
              <w:pStyle w:val="TableParagraph"/>
              <w:spacing w:line="179" w:lineRule="exact" w:before="2"/>
              <w:ind w:right="113"/>
              <w:jc w:val="center"/>
              <w:rPr>
                <w:b/>
                <w:sz w:val="16"/>
              </w:rPr>
            </w:pPr>
            <w:r>
              <w:rPr>
                <w:b/>
                <w:spacing w:val="-4"/>
                <w:w w:val="105"/>
                <w:sz w:val="16"/>
              </w:rPr>
              <w:t>2021</w:t>
            </w:r>
          </w:p>
        </w:tc>
        <w:tc>
          <w:tcPr>
            <w:tcW w:w="1376" w:type="dxa"/>
            <w:tcBorders>
              <w:top w:val="single" w:sz="6" w:space="0" w:color="000000"/>
              <w:bottom w:val="single" w:sz="6" w:space="0" w:color="000000"/>
            </w:tcBorders>
          </w:tcPr>
          <w:p>
            <w:pPr>
              <w:pStyle w:val="TableParagraph"/>
              <w:spacing w:line="179" w:lineRule="exact" w:before="2"/>
              <w:jc w:val="center"/>
              <w:rPr>
                <w:sz w:val="16"/>
              </w:rPr>
            </w:pPr>
            <w:r>
              <w:rPr>
                <w:spacing w:val="-4"/>
                <w:w w:val="105"/>
                <w:sz w:val="16"/>
              </w:rPr>
              <w:t>2020</w:t>
            </w:r>
          </w:p>
        </w:tc>
        <w:tc>
          <w:tcPr>
            <w:tcW w:w="1376" w:type="dxa"/>
            <w:tcBorders>
              <w:top w:val="single" w:sz="6" w:space="0" w:color="000000"/>
              <w:bottom w:val="single" w:sz="6" w:space="0" w:color="000000"/>
            </w:tcBorders>
          </w:tcPr>
          <w:p>
            <w:pPr>
              <w:pStyle w:val="TableParagraph"/>
              <w:spacing w:line="179" w:lineRule="exact" w:before="2"/>
              <w:ind w:right="1"/>
              <w:jc w:val="center"/>
              <w:rPr>
                <w:sz w:val="16"/>
              </w:rPr>
            </w:pPr>
            <w:r>
              <w:rPr>
                <w:spacing w:val="-4"/>
                <w:w w:val="105"/>
                <w:sz w:val="16"/>
              </w:rPr>
              <w:t>2019</w:t>
            </w:r>
          </w:p>
        </w:tc>
        <w:tc>
          <w:tcPr>
            <w:tcW w:w="115" w:type="dxa"/>
            <w:tcBorders>
              <w:bottom w:val="single" w:sz="6" w:space="0" w:color="000000"/>
            </w:tcBorders>
          </w:tcPr>
          <w:p>
            <w:pPr>
              <w:pStyle w:val="TableParagraph"/>
              <w:rPr>
                <w:sz w:val="14"/>
              </w:rPr>
            </w:pPr>
          </w:p>
        </w:tc>
        <w:tc>
          <w:tcPr>
            <w:tcW w:w="860" w:type="dxa"/>
            <w:tcBorders>
              <w:top w:val="single" w:sz="6" w:space="0" w:color="000000"/>
              <w:bottom w:val="single" w:sz="6" w:space="0" w:color="000000"/>
            </w:tcBorders>
          </w:tcPr>
          <w:p>
            <w:pPr>
              <w:pStyle w:val="TableParagraph"/>
              <w:spacing w:line="179" w:lineRule="exact" w:before="2"/>
              <w:ind w:right="57"/>
              <w:jc w:val="center"/>
              <w:rPr>
                <w:sz w:val="16"/>
              </w:rPr>
            </w:pPr>
            <w:r>
              <w:rPr>
                <w:w w:val="105"/>
                <w:sz w:val="16"/>
              </w:rPr>
              <w:t>21</w:t>
            </w:r>
            <w:r>
              <w:rPr>
                <w:spacing w:val="-5"/>
                <w:w w:val="105"/>
                <w:sz w:val="16"/>
              </w:rPr>
              <w:t> </w:t>
            </w:r>
            <w:r>
              <w:rPr>
                <w:w w:val="105"/>
                <w:sz w:val="16"/>
              </w:rPr>
              <w:t>vs.</w:t>
            </w:r>
            <w:r>
              <w:rPr>
                <w:spacing w:val="-4"/>
                <w:w w:val="105"/>
                <w:sz w:val="16"/>
              </w:rPr>
              <w:t> </w:t>
            </w:r>
            <w:r>
              <w:rPr>
                <w:spacing w:val="-7"/>
                <w:w w:val="105"/>
                <w:sz w:val="16"/>
              </w:rPr>
              <w:t>20</w:t>
            </w:r>
          </w:p>
        </w:tc>
        <w:tc>
          <w:tcPr>
            <w:tcW w:w="860" w:type="dxa"/>
            <w:tcBorders>
              <w:top w:val="single" w:sz="6" w:space="0" w:color="000000"/>
              <w:bottom w:val="single" w:sz="6" w:space="0" w:color="000000"/>
            </w:tcBorders>
          </w:tcPr>
          <w:p>
            <w:pPr>
              <w:pStyle w:val="TableParagraph"/>
              <w:spacing w:line="179" w:lineRule="exact" w:before="2"/>
              <w:ind w:left="54"/>
              <w:jc w:val="center"/>
              <w:rPr>
                <w:sz w:val="16"/>
              </w:rPr>
            </w:pPr>
            <w:r>
              <w:rPr>
                <w:w w:val="105"/>
                <w:sz w:val="16"/>
              </w:rPr>
              <w:t>20</w:t>
            </w:r>
            <w:r>
              <w:rPr>
                <w:spacing w:val="-5"/>
                <w:w w:val="105"/>
                <w:sz w:val="16"/>
              </w:rPr>
              <w:t> </w:t>
            </w:r>
            <w:r>
              <w:rPr>
                <w:w w:val="105"/>
                <w:sz w:val="16"/>
              </w:rPr>
              <w:t>vs.</w:t>
            </w:r>
            <w:r>
              <w:rPr>
                <w:spacing w:val="-4"/>
                <w:w w:val="105"/>
                <w:sz w:val="16"/>
              </w:rPr>
              <w:t> </w:t>
            </w:r>
            <w:r>
              <w:rPr>
                <w:spacing w:val="-7"/>
                <w:w w:val="105"/>
                <w:sz w:val="16"/>
              </w:rPr>
              <w:t>19</w:t>
            </w:r>
          </w:p>
        </w:tc>
      </w:tr>
      <w:tr>
        <w:trPr>
          <w:trHeight w:val="202" w:hRule="atLeast"/>
        </w:trPr>
        <w:tc>
          <w:tcPr>
            <w:tcW w:w="5656" w:type="dxa"/>
            <w:tcBorders>
              <w:top w:val="single" w:sz="6" w:space="0" w:color="000000"/>
            </w:tcBorders>
            <w:shd w:val="clear" w:color="auto" w:fill="CCEDFF"/>
          </w:tcPr>
          <w:p>
            <w:pPr>
              <w:pStyle w:val="TableParagraph"/>
              <w:spacing w:line="180" w:lineRule="exact" w:before="2"/>
              <w:rPr>
                <w:sz w:val="16"/>
              </w:rPr>
            </w:pPr>
            <w:r>
              <w:rPr>
                <w:w w:val="105"/>
                <w:sz w:val="16"/>
              </w:rPr>
              <w:t>Core</w:t>
            </w:r>
            <w:r>
              <w:rPr>
                <w:spacing w:val="-7"/>
                <w:w w:val="105"/>
                <w:sz w:val="16"/>
              </w:rPr>
              <w:t> </w:t>
            </w:r>
            <w:r>
              <w:rPr>
                <w:w w:val="105"/>
                <w:sz w:val="16"/>
              </w:rPr>
              <w:t>net</w:t>
            </w:r>
            <w:r>
              <w:rPr>
                <w:spacing w:val="-6"/>
                <w:w w:val="105"/>
                <w:sz w:val="16"/>
              </w:rPr>
              <w:t> </w:t>
            </w:r>
            <w:r>
              <w:rPr>
                <w:spacing w:val="-2"/>
                <w:w w:val="105"/>
                <w:sz w:val="16"/>
              </w:rPr>
              <w:t>sales</w:t>
            </w:r>
          </w:p>
        </w:tc>
        <w:tc>
          <w:tcPr>
            <w:tcW w:w="1274" w:type="dxa"/>
            <w:tcBorders>
              <w:top w:val="single" w:sz="6" w:space="0" w:color="000000"/>
            </w:tcBorders>
            <w:shd w:val="clear" w:color="auto" w:fill="CCEDFF"/>
          </w:tcPr>
          <w:p>
            <w:pPr>
              <w:pStyle w:val="TableParagraph"/>
              <w:tabs>
                <w:tab w:pos="703" w:val="left" w:leader="none"/>
              </w:tabs>
              <w:spacing w:line="180" w:lineRule="exact" w:before="2"/>
              <w:ind w:left="-1" w:right="112"/>
              <w:jc w:val="center"/>
              <w:rPr>
                <w:b/>
                <w:sz w:val="16"/>
              </w:rPr>
            </w:pPr>
            <w:r>
              <w:rPr>
                <w:b/>
                <w:spacing w:val="-10"/>
                <w:w w:val="105"/>
                <w:sz w:val="16"/>
              </w:rPr>
              <w:t>$</w:t>
            </w:r>
            <w:r>
              <w:rPr>
                <w:b/>
                <w:sz w:val="16"/>
              </w:rPr>
              <w:tab/>
            </w:r>
            <w:r>
              <w:rPr>
                <w:b/>
                <w:spacing w:val="-4"/>
                <w:w w:val="105"/>
                <w:sz w:val="16"/>
              </w:rPr>
              <w:t>14,120</w:t>
            </w:r>
          </w:p>
        </w:tc>
        <w:tc>
          <w:tcPr>
            <w:tcW w:w="1376" w:type="dxa"/>
            <w:tcBorders>
              <w:top w:val="single" w:sz="6" w:space="0" w:color="000000"/>
            </w:tcBorders>
            <w:shd w:val="clear" w:color="auto" w:fill="CCEDFF"/>
          </w:tcPr>
          <w:p>
            <w:pPr>
              <w:pStyle w:val="TableParagraph"/>
              <w:tabs>
                <w:tab w:pos="690" w:val="left" w:leader="none"/>
              </w:tabs>
              <w:spacing w:line="180" w:lineRule="exact" w:before="2"/>
              <w:jc w:val="center"/>
              <w:rPr>
                <w:sz w:val="16"/>
              </w:rPr>
            </w:pPr>
            <w:r>
              <w:rPr>
                <w:spacing w:val="-10"/>
                <w:w w:val="105"/>
                <w:sz w:val="16"/>
              </w:rPr>
              <w:t>$</w:t>
            </w:r>
            <w:r>
              <w:rPr>
                <w:sz w:val="16"/>
              </w:rPr>
              <w:tab/>
            </w:r>
            <w:r>
              <w:rPr>
                <w:spacing w:val="-2"/>
                <w:w w:val="105"/>
                <w:sz w:val="16"/>
              </w:rPr>
              <w:t>11,452</w:t>
            </w:r>
          </w:p>
        </w:tc>
        <w:tc>
          <w:tcPr>
            <w:tcW w:w="1376" w:type="dxa"/>
            <w:tcBorders>
              <w:top w:val="single" w:sz="6" w:space="0" w:color="000000"/>
            </w:tcBorders>
            <w:shd w:val="clear" w:color="auto" w:fill="CCEDFF"/>
          </w:tcPr>
          <w:p>
            <w:pPr>
              <w:pStyle w:val="TableParagraph"/>
              <w:tabs>
                <w:tab w:pos="690" w:val="left" w:leader="none"/>
              </w:tabs>
              <w:spacing w:line="180" w:lineRule="exact" w:before="2"/>
              <w:ind w:right="1"/>
              <w:jc w:val="center"/>
              <w:rPr>
                <w:sz w:val="16"/>
              </w:rPr>
            </w:pPr>
            <w:r>
              <w:rPr>
                <w:spacing w:val="-10"/>
                <w:w w:val="105"/>
                <w:sz w:val="16"/>
              </w:rPr>
              <w:t>$</w:t>
            </w:r>
            <w:r>
              <w:rPr>
                <w:sz w:val="16"/>
              </w:rPr>
              <w:tab/>
            </w:r>
            <w:r>
              <w:rPr>
                <w:spacing w:val="-2"/>
                <w:w w:val="105"/>
                <w:sz w:val="16"/>
              </w:rPr>
              <w:t>11,656</w:t>
            </w:r>
          </w:p>
        </w:tc>
        <w:tc>
          <w:tcPr>
            <w:tcW w:w="115" w:type="dxa"/>
            <w:tcBorders>
              <w:top w:val="single" w:sz="6" w:space="0" w:color="000000"/>
            </w:tcBorders>
            <w:shd w:val="clear" w:color="auto" w:fill="CCEDFF"/>
          </w:tcPr>
          <w:p>
            <w:pPr>
              <w:pStyle w:val="TableParagraph"/>
              <w:rPr>
                <w:sz w:val="14"/>
              </w:rPr>
            </w:pPr>
          </w:p>
        </w:tc>
        <w:tc>
          <w:tcPr>
            <w:tcW w:w="860" w:type="dxa"/>
            <w:tcBorders>
              <w:top w:val="single" w:sz="6" w:space="0" w:color="000000"/>
            </w:tcBorders>
            <w:shd w:val="clear" w:color="auto" w:fill="CCEDFF"/>
          </w:tcPr>
          <w:p>
            <w:pPr>
              <w:pStyle w:val="TableParagraph"/>
              <w:spacing w:line="180" w:lineRule="exact" w:before="2"/>
              <w:ind w:right="57"/>
              <w:jc w:val="center"/>
              <w:rPr>
                <w:sz w:val="16"/>
              </w:rPr>
            </w:pPr>
            <w:r>
              <w:rPr>
                <w:spacing w:val="-5"/>
                <w:w w:val="105"/>
                <w:sz w:val="16"/>
              </w:rPr>
              <w:t>23%</w:t>
            </w:r>
          </w:p>
        </w:tc>
        <w:tc>
          <w:tcPr>
            <w:tcW w:w="860" w:type="dxa"/>
            <w:tcBorders>
              <w:top w:val="single" w:sz="6" w:space="0" w:color="000000"/>
            </w:tcBorders>
            <w:shd w:val="clear" w:color="auto" w:fill="CCEDFF"/>
          </w:tcPr>
          <w:p>
            <w:pPr>
              <w:pStyle w:val="TableParagraph"/>
              <w:spacing w:line="180" w:lineRule="exact" w:before="2"/>
              <w:ind w:left="54"/>
              <w:jc w:val="center"/>
              <w:rPr>
                <w:sz w:val="16"/>
              </w:rPr>
            </w:pPr>
            <w:r>
              <w:rPr>
                <w:spacing w:val="-4"/>
                <w:w w:val="105"/>
                <w:sz w:val="16"/>
              </w:rPr>
              <w:t>(2)%</w:t>
            </w:r>
          </w:p>
        </w:tc>
      </w:tr>
      <w:tr>
        <w:trPr>
          <w:trHeight w:val="203" w:hRule="atLeast"/>
        </w:trPr>
        <w:tc>
          <w:tcPr>
            <w:tcW w:w="5656" w:type="dxa"/>
          </w:tcPr>
          <w:p>
            <w:pPr>
              <w:pStyle w:val="TableParagraph"/>
              <w:spacing w:line="180" w:lineRule="exact" w:before="3"/>
              <w:rPr>
                <w:sz w:val="16"/>
              </w:rPr>
            </w:pPr>
            <w:r>
              <w:rPr>
                <w:w w:val="105"/>
                <w:sz w:val="16"/>
              </w:rPr>
              <w:t>Core</w:t>
            </w:r>
            <w:r>
              <w:rPr>
                <w:spacing w:val="-9"/>
                <w:w w:val="105"/>
                <w:sz w:val="16"/>
              </w:rPr>
              <w:t> </w:t>
            </w:r>
            <w:r>
              <w:rPr>
                <w:w w:val="105"/>
                <w:sz w:val="16"/>
              </w:rPr>
              <w:t>equity</w:t>
            </w:r>
            <w:r>
              <w:rPr>
                <w:spacing w:val="-9"/>
                <w:w w:val="105"/>
                <w:sz w:val="16"/>
              </w:rPr>
              <w:t> </w:t>
            </w:r>
            <w:r>
              <w:rPr>
                <w:w w:val="105"/>
                <w:sz w:val="16"/>
              </w:rPr>
              <w:t>in</w:t>
            </w:r>
            <w:r>
              <w:rPr>
                <w:spacing w:val="-9"/>
                <w:w w:val="105"/>
                <w:sz w:val="16"/>
              </w:rPr>
              <w:t> </w:t>
            </w:r>
            <w:r>
              <w:rPr>
                <w:w w:val="105"/>
                <w:sz w:val="16"/>
              </w:rPr>
              <w:t>earnings</w:t>
            </w:r>
            <w:r>
              <w:rPr>
                <w:spacing w:val="-9"/>
                <w:w w:val="105"/>
                <w:sz w:val="16"/>
              </w:rPr>
              <w:t> </w:t>
            </w:r>
            <w:r>
              <w:rPr>
                <w:w w:val="105"/>
                <w:sz w:val="16"/>
              </w:rPr>
              <w:t>of</w:t>
            </w:r>
            <w:r>
              <w:rPr>
                <w:spacing w:val="-8"/>
                <w:w w:val="105"/>
                <w:sz w:val="16"/>
              </w:rPr>
              <w:t> </w:t>
            </w:r>
            <w:r>
              <w:rPr>
                <w:w w:val="105"/>
                <w:sz w:val="16"/>
              </w:rPr>
              <w:t>affiliated</w:t>
            </w:r>
            <w:r>
              <w:rPr>
                <w:spacing w:val="-9"/>
                <w:w w:val="105"/>
                <w:sz w:val="16"/>
              </w:rPr>
              <w:t> </w:t>
            </w:r>
            <w:r>
              <w:rPr>
                <w:spacing w:val="-2"/>
                <w:w w:val="105"/>
                <w:sz w:val="16"/>
              </w:rPr>
              <w:t>companies</w:t>
            </w:r>
          </w:p>
        </w:tc>
        <w:tc>
          <w:tcPr>
            <w:tcW w:w="1274" w:type="dxa"/>
          </w:tcPr>
          <w:p>
            <w:pPr>
              <w:pStyle w:val="TableParagraph"/>
              <w:tabs>
                <w:tab w:pos="993" w:val="left" w:leader="none"/>
              </w:tabs>
              <w:spacing w:line="180" w:lineRule="exact" w:before="3"/>
              <w:ind w:left="-1" w:right="112"/>
              <w:jc w:val="center"/>
              <w:rPr>
                <w:b/>
                <w:sz w:val="16"/>
              </w:rPr>
            </w:pPr>
            <w:r>
              <w:rPr>
                <w:b/>
                <w:spacing w:val="-10"/>
                <w:w w:val="105"/>
                <w:sz w:val="16"/>
              </w:rPr>
              <w:t>$</w:t>
            </w:r>
            <w:r>
              <w:rPr>
                <w:b/>
                <w:sz w:val="16"/>
              </w:rPr>
              <w:tab/>
            </w:r>
            <w:r>
              <w:rPr>
                <w:b/>
                <w:spacing w:val="-7"/>
                <w:w w:val="105"/>
                <w:sz w:val="16"/>
              </w:rPr>
              <w:t>38</w:t>
            </w:r>
          </w:p>
        </w:tc>
        <w:tc>
          <w:tcPr>
            <w:tcW w:w="1376" w:type="dxa"/>
          </w:tcPr>
          <w:p>
            <w:pPr>
              <w:pStyle w:val="TableParagraph"/>
              <w:tabs>
                <w:tab w:pos="980" w:val="left" w:leader="none"/>
              </w:tabs>
              <w:spacing w:line="180" w:lineRule="exact" w:before="3"/>
              <w:jc w:val="center"/>
              <w:rPr>
                <w:sz w:val="16"/>
              </w:rPr>
            </w:pPr>
            <w:r>
              <w:rPr>
                <w:spacing w:val="-10"/>
                <w:w w:val="105"/>
                <w:sz w:val="16"/>
              </w:rPr>
              <w:t>$</w:t>
            </w:r>
            <w:r>
              <w:rPr>
                <w:sz w:val="16"/>
              </w:rPr>
              <w:tab/>
            </w:r>
            <w:r>
              <w:rPr>
                <w:spacing w:val="-5"/>
                <w:w w:val="105"/>
                <w:sz w:val="16"/>
              </w:rPr>
              <w:t>86</w:t>
            </w:r>
          </w:p>
        </w:tc>
        <w:tc>
          <w:tcPr>
            <w:tcW w:w="1376" w:type="dxa"/>
          </w:tcPr>
          <w:p>
            <w:pPr>
              <w:pStyle w:val="TableParagraph"/>
              <w:tabs>
                <w:tab w:pos="897" w:val="left" w:leader="none"/>
              </w:tabs>
              <w:spacing w:line="180" w:lineRule="exact" w:before="3"/>
              <w:ind w:right="1"/>
              <w:jc w:val="center"/>
              <w:rPr>
                <w:sz w:val="16"/>
              </w:rPr>
            </w:pPr>
            <w:r>
              <w:rPr>
                <w:spacing w:val="-10"/>
                <w:w w:val="105"/>
                <w:sz w:val="16"/>
              </w:rPr>
              <w:t>$</w:t>
            </w:r>
            <w:r>
              <w:rPr>
                <w:sz w:val="16"/>
              </w:rPr>
              <w:tab/>
            </w:r>
            <w:r>
              <w:rPr>
                <w:spacing w:val="-5"/>
                <w:w w:val="105"/>
                <w:sz w:val="16"/>
              </w:rPr>
              <w:t>237</w:t>
            </w:r>
          </w:p>
        </w:tc>
        <w:tc>
          <w:tcPr>
            <w:tcW w:w="115" w:type="dxa"/>
          </w:tcPr>
          <w:p>
            <w:pPr>
              <w:pStyle w:val="TableParagraph"/>
              <w:rPr>
                <w:sz w:val="14"/>
              </w:rPr>
            </w:pPr>
          </w:p>
        </w:tc>
        <w:tc>
          <w:tcPr>
            <w:tcW w:w="860" w:type="dxa"/>
          </w:tcPr>
          <w:p>
            <w:pPr>
              <w:pStyle w:val="TableParagraph"/>
              <w:spacing w:line="180" w:lineRule="exact" w:before="3"/>
              <w:ind w:right="58"/>
              <w:jc w:val="center"/>
              <w:rPr>
                <w:sz w:val="16"/>
              </w:rPr>
            </w:pPr>
            <w:r>
              <w:rPr>
                <w:spacing w:val="-4"/>
                <w:w w:val="105"/>
                <w:sz w:val="16"/>
              </w:rPr>
              <w:t>(56)%</w:t>
            </w:r>
          </w:p>
        </w:tc>
        <w:tc>
          <w:tcPr>
            <w:tcW w:w="860" w:type="dxa"/>
          </w:tcPr>
          <w:p>
            <w:pPr>
              <w:pStyle w:val="TableParagraph"/>
              <w:spacing w:line="180" w:lineRule="exact" w:before="3"/>
              <w:ind w:left="54"/>
              <w:jc w:val="center"/>
              <w:rPr>
                <w:sz w:val="16"/>
              </w:rPr>
            </w:pPr>
            <w:r>
              <w:rPr>
                <w:spacing w:val="-4"/>
                <w:w w:val="105"/>
                <w:sz w:val="16"/>
              </w:rPr>
              <w:t>(64)%</w:t>
            </w:r>
          </w:p>
        </w:tc>
      </w:tr>
      <w:tr>
        <w:trPr>
          <w:trHeight w:val="200" w:hRule="atLeast"/>
        </w:trPr>
        <w:tc>
          <w:tcPr>
            <w:tcW w:w="5656" w:type="dxa"/>
            <w:tcBorders>
              <w:bottom w:val="double" w:sz="6" w:space="0" w:color="000000"/>
            </w:tcBorders>
            <w:shd w:val="clear" w:color="auto" w:fill="CCEDFF"/>
          </w:tcPr>
          <w:p>
            <w:pPr>
              <w:pStyle w:val="TableParagraph"/>
              <w:spacing w:line="177" w:lineRule="exact" w:before="3"/>
              <w:rPr>
                <w:sz w:val="16"/>
              </w:rPr>
            </w:pPr>
            <w:r>
              <w:rPr>
                <w:w w:val="105"/>
                <w:sz w:val="16"/>
              </w:rPr>
              <w:t>Core</w:t>
            </w:r>
            <w:r>
              <w:rPr>
                <w:spacing w:val="-7"/>
                <w:w w:val="105"/>
                <w:sz w:val="16"/>
              </w:rPr>
              <w:t> </w:t>
            </w:r>
            <w:r>
              <w:rPr>
                <w:w w:val="105"/>
                <w:sz w:val="16"/>
              </w:rPr>
              <w:t>net</w:t>
            </w:r>
            <w:r>
              <w:rPr>
                <w:spacing w:val="-6"/>
                <w:w w:val="105"/>
                <w:sz w:val="16"/>
              </w:rPr>
              <w:t> </w:t>
            </w:r>
            <w:r>
              <w:rPr>
                <w:spacing w:val="-2"/>
                <w:w w:val="105"/>
                <w:sz w:val="16"/>
              </w:rPr>
              <w:t>income</w:t>
            </w:r>
          </w:p>
        </w:tc>
        <w:tc>
          <w:tcPr>
            <w:tcW w:w="1274" w:type="dxa"/>
            <w:tcBorders>
              <w:bottom w:val="double" w:sz="6" w:space="0" w:color="000000"/>
            </w:tcBorders>
            <w:shd w:val="clear" w:color="auto" w:fill="CCEDFF"/>
          </w:tcPr>
          <w:p>
            <w:pPr>
              <w:pStyle w:val="TableParagraph"/>
              <w:tabs>
                <w:tab w:pos="786" w:val="left" w:leader="none"/>
              </w:tabs>
              <w:spacing w:line="177" w:lineRule="exact" w:before="3"/>
              <w:ind w:left="-1" w:right="112"/>
              <w:jc w:val="center"/>
              <w:rPr>
                <w:b/>
                <w:sz w:val="16"/>
              </w:rPr>
            </w:pPr>
            <w:r>
              <w:rPr>
                <w:b/>
                <w:spacing w:val="-10"/>
                <w:w w:val="105"/>
                <w:sz w:val="16"/>
              </w:rPr>
              <w:t>$</w:t>
            </w:r>
            <w:r>
              <w:rPr>
                <w:b/>
                <w:sz w:val="16"/>
              </w:rPr>
              <w:tab/>
            </w:r>
            <w:r>
              <w:rPr>
                <w:b/>
                <w:spacing w:val="-4"/>
                <w:w w:val="105"/>
                <w:sz w:val="16"/>
              </w:rPr>
              <w:t>1,811</w:t>
            </w:r>
          </w:p>
        </w:tc>
        <w:tc>
          <w:tcPr>
            <w:tcW w:w="1376" w:type="dxa"/>
            <w:tcBorders>
              <w:bottom w:val="double" w:sz="6" w:space="0" w:color="000000"/>
            </w:tcBorders>
            <w:shd w:val="clear" w:color="auto" w:fill="CCEDFF"/>
          </w:tcPr>
          <w:p>
            <w:pPr>
              <w:pStyle w:val="TableParagraph"/>
              <w:tabs>
                <w:tab w:pos="773" w:val="left" w:leader="none"/>
              </w:tabs>
              <w:spacing w:line="177" w:lineRule="exact" w:before="3"/>
              <w:jc w:val="center"/>
              <w:rPr>
                <w:sz w:val="16"/>
              </w:rPr>
            </w:pPr>
            <w:r>
              <w:rPr>
                <w:spacing w:val="-10"/>
                <w:w w:val="105"/>
                <w:sz w:val="16"/>
              </w:rPr>
              <w:t>$</w:t>
            </w:r>
            <w:r>
              <w:rPr>
                <w:sz w:val="16"/>
              </w:rPr>
              <w:tab/>
            </w:r>
            <w:r>
              <w:rPr>
                <w:spacing w:val="-2"/>
                <w:w w:val="105"/>
                <w:sz w:val="16"/>
              </w:rPr>
              <w:t>1,237</w:t>
            </w:r>
          </w:p>
        </w:tc>
        <w:tc>
          <w:tcPr>
            <w:tcW w:w="1376" w:type="dxa"/>
            <w:tcBorders>
              <w:bottom w:val="double" w:sz="6" w:space="0" w:color="000000"/>
            </w:tcBorders>
            <w:shd w:val="clear" w:color="auto" w:fill="CCEDFF"/>
          </w:tcPr>
          <w:p>
            <w:pPr>
              <w:pStyle w:val="TableParagraph"/>
              <w:tabs>
                <w:tab w:pos="773" w:val="left" w:leader="none"/>
              </w:tabs>
              <w:spacing w:line="177" w:lineRule="exact" w:before="3"/>
              <w:ind w:right="1"/>
              <w:jc w:val="center"/>
              <w:rPr>
                <w:sz w:val="16"/>
              </w:rPr>
            </w:pPr>
            <w:r>
              <w:rPr>
                <w:spacing w:val="-10"/>
                <w:w w:val="105"/>
                <w:sz w:val="16"/>
              </w:rPr>
              <w:t>$</w:t>
            </w:r>
            <w:r>
              <w:rPr>
                <w:sz w:val="16"/>
              </w:rPr>
              <w:tab/>
            </w:r>
            <w:r>
              <w:rPr>
                <w:spacing w:val="-2"/>
                <w:w w:val="105"/>
                <w:sz w:val="16"/>
              </w:rPr>
              <w:t>1,578</w:t>
            </w:r>
          </w:p>
        </w:tc>
        <w:tc>
          <w:tcPr>
            <w:tcW w:w="115" w:type="dxa"/>
            <w:tcBorders>
              <w:bottom w:val="double" w:sz="6" w:space="0" w:color="000000"/>
            </w:tcBorders>
            <w:shd w:val="clear" w:color="auto" w:fill="CCEDFF"/>
          </w:tcPr>
          <w:p>
            <w:pPr>
              <w:pStyle w:val="TableParagraph"/>
              <w:rPr>
                <w:sz w:val="12"/>
              </w:rPr>
            </w:pPr>
          </w:p>
        </w:tc>
        <w:tc>
          <w:tcPr>
            <w:tcW w:w="860" w:type="dxa"/>
            <w:tcBorders>
              <w:bottom w:val="double" w:sz="6" w:space="0" w:color="000000"/>
            </w:tcBorders>
            <w:shd w:val="clear" w:color="auto" w:fill="CCEDFF"/>
          </w:tcPr>
          <w:p>
            <w:pPr>
              <w:pStyle w:val="TableParagraph"/>
              <w:spacing w:line="177" w:lineRule="exact" w:before="3"/>
              <w:ind w:right="57"/>
              <w:jc w:val="center"/>
              <w:rPr>
                <w:sz w:val="16"/>
              </w:rPr>
            </w:pPr>
            <w:r>
              <w:rPr>
                <w:spacing w:val="-5"/>
                <w:w w:val="105"/>
                <w:sz w:val="16"/>
              </w:rPr>
              <w:t>46%</w:t>
            </w:r>
          </w:p>
        </w:tc>
        <w:tc>
          <w:tcPr>
            <w:tcW w:w="860" w:type="dxa"/>
            <w:tcBorders>
              <w:bottom w:val="double" w:sz="6" w:space="0" w:color="000000"/>
            </w:tcBorders>
            <w:shd w:val="clear" w:color="auto" w:fill="CCEDFF"/>
          </w:tcPr>
          <w:p>
            <w:pPr>
              <w:pStyle w:val="TableParagraph"/>
              <w:spacing w:line="177" w:lineRule="exact" w:before="3"/>
              <w:ind w:left="54"/>
              <w:jc w:val="center"/>
              <w:rPr>
                <w:sz w:val="16"/>
              </w:rPr>
            </w:pPr>
            <w:r>
              <w:rPr>
                <w:spacing w:val="-4"/>
                <w:w w:val="105"/>
                <w:sz w:val="16"/>
              </w:rPr>
              <w:t>(22)%</w:t>
            </w:r>
          </w:p>
        </w:tc>
      </w:tr>
    </w:tbl>
    <w:p>
      <w:pPr>
        <w:pStyle w:val="BodyText"/>
        <w:spacing w:before="14"/>
      </w:pPr>
    </w:p>
    <w:p>
      <w:pPr>
        <w:pStyle w:val="Heading3"/>
        <w:spacing w:before="1"/>
      </w:pPr>
      <w:r>
        <w:rPr>
          <w:w w:val="105"/>
        </w:rPr>
        <w:t>Core</w:t>
      </w:r>
      <w:r>
        <w:rPr>
          <w:spacing w:val="-7"/>
          <w:w w:val="105"/>
        </w:rPr>
        <w:t> </w:t>
      </w:r>
      <w:r>
        <w:rPr>
          <w:w w:val="105"/>
        </w:rPr>
        <w:t>Net</w:t>
      </w:r>
      <w:r>
        <w:rPr>
          <w:spacing w:val="-7"/>
          <w:w w:val="105"/>
        </w:rPr>
        <w:t> </w:t>
      </w:r>
      <w:r>
        <w:rPr>
          <w:spacing w:val="-2"/>
          <w:w w:val="105"/>
        </w:rPr>
        <w:t>Sales</w:t>
      </w:r>
    </w:p>
    <w:p>
      <w:pPr>
        <w:pStyle w:val="BodyText"/>
        <w:spacing w:before="39"/>
        <w:rPr>
          <w:b/>
          <w:i/>
        </w:rPr>
      </w:pPr>
    </w:p>
    <w:p>
      <w:pPr>
        <w:pStyle w:val="BodyText"/>
        <w:spacing w:line="266" w:lineRule="auto"/>
        <w:ind w:left="156"/>
      </w:pPr>
      <w:r>
        <w:rPr>
          <w:w w:val="105"/>
        </w:rPr>
        <w:t>Core</w:t>
      </w:r>
      <w:r>
        <w:rPr>
          <w:spacing w:val="-8"/>
          <w:w w:val="105"/>
        </w:rPr>
        <w:t> </w:t>
      </w:r>
      <w:r>
        <w:rPr>
          <w:w w:val="105"/>
        </w:rPr>
        <w:t>net</w:t>
      </w:r>
      <w:r>
        <w:rPr>
          <w:spacing w:val="-8"/>
          <w:w w:val="105"/>
        </w:rPr>
        <w:t> </w:t>
      </w:r>
      <w:r>
        <w:rPr>
          <w:w w:val="105"/>
        </w:rPr>
        <w:t>sales</w:t>
      </w:r>
      <w:r>
        <w:rPr>
          <w:spacing w:val="-8"/>
          <w:w w:val="105"/>
        </w:rPr>
        <w:t> </w:t>
      </w:r>
      <w:r>
        <w:rPr>
          <w:w w:val="105"/>
        </w:rPr>
        <w:t>are</w:t>
      </w:r>
      <w:r>
        <w:rPr>
          <w:spacing w:val="-8"/>
          <w:w w:val="105"/>
        </w:rPr>
        <w:t> </w:t>
      </w:r>
      <w:r>
        <w:rPr>
          <w:w w:val="105"/>
        </w:rPr>
        <w:t>consistent</w:t>
      </w:r>
      <w:r>
        <w:rPr>
          <w:spacing w:val="-8"/>
          <w:w w:val="105"/>
        </w:rPr>
        <w:t> </w:t>
      </w:r>
      <w:r>
        <w:rPr>
          <w:w w:val="105"/>
        </w:rPr>
        <w:t>with</w:t>
      </w:r>
      <w:r>
        <w:rPr>
          <w:spacing w:val="-8"/>
          <w:w w:val="105"/>
        </w:rPr>
        <w:t> </w:t>
      </w:r>
      <w:r>
        <w:rPr>
          <w:w w:val="105"/>
        </w:rPr>
        <w:t>net</w:t>
      </w:r>
      <w:r>
        <w:rPr>
          <w:spacing w:val="-8"/>
          <w:w w:val="105"/>
        </w:rPr>
        <w:t> </w:t>
      </w:r>
      <w:r>
        <w:rPr>
          <w:w w:val="105"/>
        </w:rPr>
        <w:t>sales</w:t>
      </w:r>
      <w:r>
        <w:rPr>
          <w:spacing w:val="-8"/>
          <w:w w:val="105"/>
        </w:rPr>
        <w:t> </w:t>
      </w:r>
      <w:r>
        <w:rPr>
          <w:w w:val="105"/>
        </w:rPr>
        <w:t>by</w:t>
      </w:r>
      <w:r>
        <w:rPr>
          <w:spacing w:val="-8"/>
          <w:w w:val="105"/>
        </w:rPr>
        <w:t> </w:t>
      </w:r>
      <w:r>
        <w:rPr>
          <w:w w:val="105"/>
        </w:rPr>
        <w:t>reportable</w:t>
      </w:r>
      <w:r>
        <w:rPr>
          <w:spacing w:val="-8"/>
          <w:w w:val="105"/>
        </w:rPr>
        <w:t> </w:t>
      </w:r>
      <w:r>
        <w:rPr>
          <w:w w:val="105"/>
        </w:rPr>
        <w:t>segment</w:t>
      </w:r>
      <w:r>
        <w:rPr>
          <w:spacing w:val="-8"/>
          <w:w w:val="105"/>
        </w:rPr>
        <w:t> </w:t>
      </w:r>
      <w:r>
        <w:rPr>
          <w:w w:val="105"/>
        </w:rPr>
        <w:t>and</w:t>
      </w:r>
      <w:r>
        <w:rPr>
          <w:spacing w:val="-8"/>
          <w:w w:val="105"/>
        </w:rPr>
        <w:t> </w:t>
      </w:r>
      <w:r>
        <w:rPr>
          <w:w w:val="105"/>
        </w:rPr>
        <w:t>"All</w:t>
      </w:r>
      <w:r>
        <w:rPr>
          <w:spacing w:val="-8"/>
          <w:w w:val="105"/>
        </w:rPr>
        <w:t> </w:t>
      </w:r>
      <w:r>
        <w:rPr>
          <w:w w:val="105"/>
        </w:rPr>
        <w:t>Other".</w:t>
      </w:r>
      <w:r>
        <w:rPr>
          <w:spacing w:val="-8"/>
          <w:w w:val="105"/>
        </w:rPr>
        <w:t> </w:t>
      </w:r>
      <w:r>
        <w:rPr>
          <w:w w:val="105"/>
        </w:rPr>
        <w:t>The</w:t>
      </w:r>
      <w:r>
        <w:rPr>
          <w:spacing w:val="-8"/>
          <w:w w:val="105"/>
        </w:rPr>
        <w:t> </w:t>
      </w:r>
      <w:r>
        <w:rPr>
          <w:w w:val="105"/>
        </w:rPr>
        <w:t>following</w:t>
      </w:r>
      <w:r>
        <w:rPr>
          <w:spacing w:val="-8"/>
          <w:w w:val="105"/>
        </w:rPr>
        <w:t> </w:t>
      </w:r>
      <w:r>
        <w:rPr>
          <w:w w:val="105"/>
        </w:rPr>
        <w:t>table</w:t>
      </w:r>
      <w:r>
        <w:rPr>
          <w:spacing w:val="-8"/>
          <w:w w:val="105"/>
        </w:rPr>
        <w:t> </w:t>
      </w:r>
      <w:r>
        <w:rPr>
          <w:w w:val="105"/>
        </w:rPr>
        <w:t>presents</w:t>
      </w:r>
      <w:r>
        <w:rPr>
          <w:spacing w:val="-8"/>
          <w:w w:val="105"/>
        </w:rPr>
        <w:t> </w:t>
      </w:r>
      <w:r>
        <w:rPr>
          <w:w w:val="105"/>
        </w:rPr>
        <w:t>segment</w:t>
      </w:r>
      <w:r>
        <w:rPr>
          <w:spacing w:val="-8"/>
          <w:w w:val="105"/>
        </w:rPr>
        <w:t> </w:t>
      </w:r>
      <w:r>
        <w:rPr>
          <w:w w:val="105"/>
        </w:rPr>
        <w:t>net</w:t>
      </w:r>
      <w:r>
        <w:rPr>
          <w:spacing w:val="-8"/>
          <w:w w:val="105"/>
        </w:rPr>
        <w:t> </w:t>
      </w:r>
      <w:r>
        <w:rPr>
          <w:w w:val="105"/>
        </w:rPr>
        <w:t>sales</w:t>
      </w:r>
      <w:r>
        <w:rPr>
          <w:spacing w:val="-8"/>
          <w:w w:val="105"/>
        </w:rPr>
        <w:t> </w:t>
      </w:r>
      <w:r>
        <w:rPr>
          <w:w w:val="105"/>
        </w:rPr>
        <w:t>by</w:t>
      </w:r>
      <w:r>
        <w:rPr>
          <w:spacing w:val="-8"/>
          <w:w w:val="105"/>
        </w:rPr>
        <w:t> </w:t>
      </w:r>
      <w:r>
        <w:rPr>
          <w:w w:val="105"/>
        </w:rPr>
        <w:t>reportable</w:t>
      </w:r>
      <w:r>
        <w:rPr>
          <w:spacing w:val="-8"/>
          <w:w w:val="105"/>
        </w:rPr>
        <w:t> </w:t>
      </w:r>
      <w:r>
        <w:rPr>
          <w:w w:val="105"/>
        </w:rPr>
        <w:t>segment</w:t>
      </w:r>
      <w:r>
        <w:rPr>
          <w:spacing w:val="-8"/>
          <w:w w:val="105"/>
        </w:rPr>
        <w:t> </w:t>
      </w:r>
      <w:r>
        <w:rPr>
          <w:w w:val="105"/>
        </w:rPr>
        <w:t>and</w:t>
      </w:r>
      <w:r>
        <w:rPr>
          <w:spacing w:val="-8"/>
          <w:w w:val="105"/>
        </w:rPr>
        <w:t> </w:t>
      </w:r>
      <w:r>
        <w:rPr>
          <w:w w:val="105"/>
        </w:rPr>
        <w:t>"All</w:t>
      </w:r>
      <w:r>
        <w:rPr>
          <w:spacing w:val="-8"/>
          <w:w w:val="105"/>
        </w:rPr>
        <w:t> </w:t>
      </w:r>
      <w:r>
        <w:rPr>
          <w:w w:val="105"/>
        </w:rPr>
        <w:t>Other"</w:t>
      </w:r>
      <w:r>
        <w:rPr>
          <w:spacing w:val="-8"/>
          <w:w w:val="105"/>
        </w:rPr>
        <w:t> </w:t>
      </w:r>
      <w:r>
        <w:rPr>
          <w:w w:val="105"/>
        </w:rPr>
        <w:t>(in </w:t>
      </w:r>
      <w:r>
        <w:rPr>
          <w:spacing w:val="-2"/>
          <w:w w:val="105"/>
        </w:rPr>
        <w:t>millions):</w:t>
      </w:r>
    </w:p>
    <w:p>
      <w:pPr>
        <w:pStyle w:val="BodyText"/>
        <w:spacing w:before="6"/>
        <w:rPr>
          <w:sz w:val="7"/>
        </w:rPr>
      </w:pPr>
      <w:r>
        <w:rPr/>
        <mc:AlternateContent>
          <mc:Choice Requires="wps">
            <w:drawing>
              <wp:anchor distT="0" distB="0" distL="0" distR="0" allowOverlap="1" layoutInCell="1" locked="0" behindDoc="1" simplePos="0" relativeHeight="487608832">
                <wp:simplePos x="0" y="0"/>
                <wp:positionH relativeFrom="page">
                  <wp:posOffset>226479</wp:posOffset>
                </wp:positionH>
                <wp:positionV relativeFrom="paragraph">
                  <wp:posOffset>70421</wp:posOffset>
                </wp:positionV>
                <wp:extent cx="7312659" cy="1651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5.545026pt;width:575.775027pt;height:1.274pt;mso-position-horizontal-relative:page;mso-position-vertical-relative:paragraph;z-index:-15707648;mso-wrap-distance-left:0;mso-wrap-distance-right:0" id="docshape46" filled="true" fillcolor="#000000" stroked="false">
                <v:fill type="solid"/>
                <w10:wrap type="topAndBottom"/>
              </v:rect>
            </w:pict>
          </mc:Fallback>
        </mc:AlternateContent>
      </w:r>
    </w:p>
    <w:p>
      <w:pPr>
        <w:pStyle w:val="BodyText"/>
        <w:tabs>
          <w:tab w:pos="10487" w:val="left" w:leader="none"/>
        </w:tabs>
        <w:spacing w:before="3" w:after="23"/>
        <w:ind w:left="6902"/>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r>
        <w:rPr/>
        <w:tab/>
      </w:r>
      <w:r>
        <w:rPr>
          <w:w w:val="105"/>
        </w:rPr>
        <w:t>%</w:t>
      </w:r>
      <w:r>
        <w:rPr>
          <w:spacing w:val="-4"/>
          <w:w w:val="105"/>
        </w:rPr>
        <w:t> </w:t>
      </w:r>
      <w:r>
        <w:rPr>
          <w:spacing w:val="-2"/>
          <w:w w:val="105"/>
        </w:rPr>
        <w:t>change</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6"/>
        <w:gridCol w:w="725"/>
        <w:gridCol w:w="550"/>
        <w:gridCol w:w="830"/>
        <w:gridCol w:w="547"/>
        <w:gridCol w:w="830"/>
        <w:gridCol w:w="547"/>
        <w:gridCol w:w="115"/>
        <w:gridCol w:w="860"/>
        <w:gridCol w:w="860"/>
      </w:tblGrid>
      <w:tr>
        <w:trPr>
          <w:trHeight w:val="201" w:hRule="atLeast"/>
        </w:trPr>
        <w:tc>
          <w:tcPr>
            <w:tcW w:w="5656" w:type="dxa"/>
            <w:tcBorders>
              <w:bottom w:val="single" w:sz="6" w:space="0" w:color="000000"/>
            </w:tcBorders>
          </w:tcPr>
          <w:p>
            <w:pPr>
              <w:pStyle w:val="TableParagraph"/>
              <w:rPr>
                <w:sz w:val="14"/>
              </w:rPr>
            </w:pPr>
          </w:p>
        </w:tc>
        <w:tc>
          <w:tcPr>
            <w:tcW w:w="725" w:type="dxa"/>
            <w:tcBorders>
              <w:top w:val="single" w:sz="6" w:space="0" w:color="000000"/>
              <w:bottom w:val="single" w:sz="6" w:space="0" w:color="000000"/>
            </w:tcBorders>
          </w:tcPr>
          <w:p>
            <w:pPr>
              <w:pStyle w:val="TableParagraph"/>
              <w:spacing w:line="179" w:lineRule="exact" w:before="2"/>
              <w:ind w:left="413" w:right="-29"/>
              <w:rPr>
                <w:b/>
                <w:sz w:val="16"/>
              </w:rPr>
            </w:pPr>
            <w:r>
              <w:rPr>
                <w:b/>
                <w:spacing w:val="-4"/>
                <w:w w:val="105"/>
                <w:sz w:val="16"/>
              </w:rPr>
              <w:t>2021</w:t>
            </w:r>
          </w:p>
        </w:tc>
        <w:tc>
          <w:tcPr>
            <w:tcW w:w="550" w:type="dxa"/>
            <w:tcBorders>
              <w:top w:val="single" w:sz="6" w:space="0" w:color="000000"/>
              <w:bottom w:val="single" w:sz="6" w:space="0" w:color="000000"/>
            </w:tcBorders>
          </w:tcPr>
          <w:p>
            <w:pPr>
              <w:pStyle w:val="TableParagraph"/>
              <w:rPr>
                <w:sz w:val="14"/>
              </w:rPr>
            </w:pPr>
          </w:p>
        </w:tc>
        <w:tc>
          <w:tcPr>
            <w:tcW w:w="830" w:type="dxa"/>
            <w:tcBorders>
              <w:top w:val="single" w:sz="6" w:space="0" w:color="000000"/>
              <w:bottom w:val="single" w:sz="6" w:space="0" w:color="000000"/>
            </w:tcBorders>
          </w:tcPr>
          <w:p>
            <w:pPr>
              <w:pStyle w:val="TableParagraph"/>
              <w:spacing w:line="179" w:lineRule="exact" w:before="2"/>
              <w:ind w:left="520" w:right="-29"/>
              <w:rPr>
                <w:sz w:val="16"/>
              </w:rPr>
            </w:pPr>
            <w:r>
              <w:rPr>
                <w:spacing w:val="-4"/>
                <w:w w:val="105"/>
                <w:sz w:val="16"/>
              </w:rPr>
              <w:t>2020</w:t>
            </w:r>
          </w:p>
        </w:tc>
        <w:tc>
          <w:tcPr>
            <w:tcW w:w="547" w:type="dxa"/>
            <w:tcBorders>
              <w:top w:val="single" w:sz="6" w:space="0" w:color="000000"/>
              <w:bottom w:val="single" w:sz="6" w:space="0" w:color="000000"/>
            </w:tcBorders>
          </w:tcPr>
          <w:p>
            <w:pPr>
              <w:pStyle w:val="TableParagraph"/>
              <w:rPr>
                <w:sz w:val="14"/>
              </w:rPr>
            </w:pPr>
          </w:p>
        </w:tc>
        <w:tc>
          <w:tcPr>
            <w:tcW w:w="830" w:type="dxa"/>
            <w:tcBorders>
              <w:top w:val="single" w:sz="6" w:space="0" w:color="000000"/>
              <w:bottom w:val="single" w:sz="6" w:space="0" w:color="000000"/>
            </w:tcBorders>
          </w:tcPr>
          <w:p>
            <w:pPr>
              <w:pStyle w:val="TableParagraph"/>
              <w:spacing w:line="179" w:lineRule="exact" w:before="2"/>
              <w:ind w:left="519" w:right="-29"/>
              <w:rPr>
                <w:sz w:val="16"/>
              </w:rPr>
            </w:pPr>
            <w:r>
              <w:rPr>
                <w:spacing w:val="-4"/>
                <w:w w:val="105"/>
                <w:sz w:val="16"/>
              </w:rPr>
              <w:t>2019</w:t>
            </w:r>
          </w:p>
        </w:tc>
        <w:tc>
          <w:tcPr>
            <w:tcW w:w="547" w:type="dxa"/>
            <w:tcBorders>
              <w:top w:val="single" w:sz="6" w:space="0" w:color="000000"/>
              <w:bottom w:val="single" w:sz="6" w:space="0" w:color="000000"/>
            </w:tcBorders>
          </w:tcPr>
          <w:p>
            <w:pPr>
              <w:pStyle w:val="TableParagraph"/>
              <w:rPr>
                <w:sz w:val="14"/>
              </w:rPr>
            </w:pPr>
          </w:p>
        </w:tc>
        <w:tc>
          <w:tcPr>
            <w:tcW w:w="115" w:type="dxa"/>
            <w:tcBorders>
              <w:bottom w:val="single" w:sz="6" w:space="0" w:color="000000"/>
            </w:tcBorders>
          </w:tcPr>
          <w:p>
            <w:pPr>
              <w:pStyle w:val="TableParagraph"/>
              <w:rPr>
                <w:sz w:val="14"/>
              </w:rPr>
            </w:pPr>
          </w:p>
        </w:tc>
        <w:tc>
          <w:tcPr>
            <w:tcW w:w="860" w:type="dxa"/>
            <w:tcBorders>
              <w:top w:val="single" w:sz="6" w:space="0" w:color="000000"/>
              <w:bottom w:val="single" w:sz="6" w:space="0" w:color="000000"/>
            </w:tcBorders>
          </w:tcPr>
          <w:p>
            <w:pPr>
              <w:pStyle w:val="TableParagraph"/>
              <w:spacing w:line="179" w:lineRule="exact" w:before="2"/>
              <w:ind w:right="63"/>
              <w:jc w:val="center"/>
              <w:rPr>
                <w:sz w:val="16"/>
              </w:rPr>
            </w:pPr>
            <w:r>
              <w:rPr>
                <w:w w:val="105"/>
                <w:sz w:val="16"/>
              </w:rPr>
              <w:t>21</w:t>
            </w:r>
            <w:r>
              <w:rPr>
                <w:spacing w:val="-5"/>
                <w:w w:val="105"/>
                <w:sz w:val="16"/>
              </w:rPr>
              <w:t> </w:t>
            </w:r>
            <w:r>
              <w:rPr>
                <w:w w:val="105"/>
                <w:sz w:val="16"/>
              </w:rPr>
              <w:t>vs.</w:t>
            </w:r>
            <w:r>
              <w:rPr>
                <w:spacing w:val="-4"/>
                <w:w w:val="105"/>
                <w:sz w:val="16"/>
              </w:rPr>
              <w:t> </w:t>
            </w:r>
            <w:r>
              <w:rPr>
                <w:spacing w:val="-7"/>
                <w:w w:val="105"/>
                <w:sz w:val="16"/>
              </w:rPr>
              <w:t>20</w:t>
            </w:r>
          </w:p>
        </w:tc>
        <w:tc>
          <w:tcPr>
            <w:tcW w:w="860" w:type="dxa"/>
            <w:tcBorders>
              <w:top w:val="single" w:sz="6" w:space="0" w:color="000000"/>
              <w:bottom w:val="single" w:sz="6" w:space="0" w:color="000000"/>
            </w:tcBorders>
          </w:tcPr>
          <w:p>
            <w:pPr>
              <w:pStyle w:val="TableParagraph"/>
              <w:spacing w:line="179" w:lineRule="exact" w:before="2"/>
              <w:ind w:left="48"/>
              <w:jc w:val="center"/>
              <w:rPr>
                <w:sz w:val="16"/>
              </w:rPr>
            </w:pPr>
            <w:r>
              <w:rPr>
                <w:w w:val="105"/>
                <w:sz w:val="16"/>
              </w:rPr>
              <w:t>20</w:t>
            </w:r>
            <w:r>
              <w:rPr>
                <w:spacing w:val="-5"/>
                <w:w w:val="105"/>
                <w:sz w:val="16"/>
              </w:rPr>
              <w:t> </w:t>
            </w:r>
            <w:r>
              <w:rPr>
                <w:w w:val="105"/>
                <w:sz w:val="16"/>
              </w:rPr>
              <w:t>vs.</w:t>
            </w:r>
            <w:r>
              <w:rPr>
                <w:spacing w:val="-4"/>
                <w:w w:val="105"/>
                <w:sz w:val="16"/>
              </w:rPr>
              <w:t> </w:t>
            </w:r>
            <w:r>
              <w:rPr>
                <w:spacing w:val="-7"/>
                <w:w w:val="105"/>
                <w:sz w:val="16"/>
              </w:rPr>
              <w:t>19</w:t>
            </w:r>
          </w:p>
        </w:tc>
      </w:tr>
      <w:tr>
        <w:trPr>
          <w:trHeight w:val="202" w:hRule="atLeast"/>
        </w:trPr>
        <w:tc>
          <w:tcPr>
            <w:tcW w:w="5656" w:type="dxa"/>
            <w:tcBorders>
              <w:top w:val="single" w:sz="6" w:space="0" w:color="000000"/>
            </w:tcBorders>
            <w:shd w:val="clear" w:color="auto" w:fill="CCEDFF"/>
          </w:tcPr>
          <w:p>
            <w:pPr>
              <w:pStyle w:val="TableParagraph"/>
              <w:spacing w:line="180" w:lineRule="exact" w:before="2"/>
              <w:rPr>
                <w:sz w:val="16"/>
              </w:rPr>
            </w:pPr>
            <w:r>
              <w:rPr>
                <w:sz w:val="16"/>
              </w:rPr>
              <w:t>Display</w:t>
            </w:r>
            <w:r>
              <w:rPr>
                <w:spacing w:val="15"/>
                <w:sz w:val="16"/>
              </w:rPr>
              <w:t> </w:t>
            </w:r>
            <w:r>
              <w:rPr>
                <w:spacing w:val="-2"/>
                <w:sz w:val="16"/>
              </w:rPr>
              <w:t>Technologies</w:t>
            </w:r>
          </w:p>
        </w:tc>
        <w:tc>
          <w:tcPr>
            <w:tcW w:w="725" w:type="dxa"/>
            <w:tcBorders>
              <w:top w:val="single" w:sz="6" w:space="0" w:color="000000"/>
            </w:tcBorders>
            <w:shd w:val="clear" w:color="auto" w:fill="CCEDFF"/>
          </w:tcPr>
          <w:p>
            <w:pPr>
              <w:pStyle w:val="TableParagraph"/>
              <w:spacing w:line="180" w:lineRule="exact" w:before="2"/>
              <w:ind w:left="-1"/>
              <w:rPr>
                <w:b/>
                <w:sz w:val="16"/>
              </w:rPr>
            </w:pPr>
            <w:r>
              <w:rPr>
                <w:b/>
                <w:spacing w:val="-10"/>
                <w:w w:val="105"/>
                <w:sz w:val="16"/>
              </w:rPr>
              <w:t>$</w:t>
            </w:r>
          </w:p>
        </w:tc>
        <w:tc>
          <w:tcPr>
            <w:tcW w:w="550" w:type="dxa"/>
            <w:tcBorders>
              <w:top w:val="single" w:sz="6" w:space="0" w:color="000000"/>
            </w:tcBorders>
            <w:shd w:val="clear" w:color="auto" w:fill="CCEDFF"/>
          </w:tcPr>
          <w:p>
            <w:pPr>
              <w:pStyle w:val="TableParagraph"/>
              <w:spacing w:line="180" w:lineRule="exact" w:before="2"/>
              <w:ind w:left="28" w:right="80"/>
              <w:jc w:val="center"/>
              <w:rPr>
                <w:b/>
                <w:sz w:val="16"/>
              </w:rPr>
            </w:pPr>
            <w:r>
              <w:rPr>
                <w:b/>
                <w:spacing w:val="-4"/>
                <w:w w:val="105"/>
                <w:sz w:val="16"/>
              </w:rPr>
              <w:t>3,700</w:t>
            </w:r>
          </w:p>
        </w:tc>
        <w:tc>
          <w:tcPr>
            <w:tcW w:w="830" w:type="dxa"/>
            <w:tcBorders>
              <w:top w:val="single" w:sz="6" w:space="0" w:color="000000"/>
            </w:tcBorders>
            <w:shd w:val="clear" w:color="auto" w:fill="CCEDFF"/>
          </w:tcPr>
          <w:p>
            <w:pPr>
              <w:pStyle w:val="TableParagraph"/>
              <w:spacing w:line="180" w:lineRule="exact" w:before="2"/>
              <w:ind w:left="113"/>
              <w:rPr>
                <w:sz w:val="16"/>
              </w:rPr>
            </w:pPr>
            <w:r>
              <w:rPr>
                <w:spacing w:val="-10"/>
                <w:w w:val="105"/>
                <w:sz w:val="16"/>
              </w:rPr>
              <w:t>$</w:t>
            </w:r>
          </w:p>
        </w:tc>
        <w:tc>
          <w:tcPr>
            <w:tcW w:w="547" w:type="dxa"/>
            <w:tcBorders>
              <w:top w:val="single" w:sz="6" w:space="0" w:color="000000"/>
            </w:tcBorders>
            <w:shd w:val="clear" w:color="auto" w:fill="CCEDFF"/>
          </w:tcPr>
          <w:p>
            <w:pPr>
              <w:pStyle w:val="TableParagraph"/>
              <w:spacing w:line="180" w:lineRule="exact" w:before="2"/>
              <w:ind w:left="-17" w:right="115"/>
              <w:jc w:val="right"/>
              <w:rPr>
                <w:sz w:val="16"/>
              </w:rPr>
            </w:pPr>
            <w:r>
              <w:rPr>
                <w:spacing w:val="-4"/>
                <w:w w:val="105"/>
                <w:sz w:val="16"/>
              </w:rPr>
              <w:t>3,172</w:t>
            </w:r>
          </w:p>
        </w:tc>
        <w:tc>
          <w:tcPr>
            <w:tcW w:w="830" w:type="dxa"/>
            <w:tcBorders>
              <w:top w:val="single" w:sz="6" w:space="0" w:color="000000"/>
            </w:tcBorders>
            <w:shd w:val="clear" w:color="auto" w:fill="CCEDFF"/>
          </w:tcPr>
          <w:p>
            <w:pPr>
              <w:pStyle w:val="TableParagraph"/>
              <w:spacing w:line="180" w:lineRule="exact" w:before="2"/>
              <w:ind w:left="112"/>
              <w:rPr>
                <w:sz w:val="16"/>
              </w:rPr>
            </w:pPr>
            <w:r>
              <w:rPr>
                <w:spacing w:val="-10"/>
                <w:w w:val="105"/>
                <w:sz w:val="16"/>
              </w:rPr>
              <w:t>$</w:t>
            </w:r>
          </w:p>
        </w:tc>
        <w:tc>
          <w:tcPr>
            <w:tcW w:w="547" w:type="dxa"/>
            <w:tcBorders>
              <w:top w:val="single" w:sz="6" w:space="0" w:color="000000"/>
            </w:tcBorders>
            <w:shd w:val="clear" w:color="auto" w:fill="CCEDFF"/>
          </w:tcPr>
          <w:p>
            <w:pPr>
              <w:pStyle w:val="TableParagraph"/>
              <w:spacing w:line="180" w:lineRule="exact" w:before="2"/>
              <w:ind w:left="-17" w:right="116"/>
              <w:jc w:val="right"/>
              <w:rPr>
                <w:sz w:val="16"/>
              </w:rPr>
            </w:pPr>
            <w:r>
              <w:rPr>
                <w:spacing w:val="-4"/>
                <w:w w:val="105"/>
                <w:sz w:val="16"/>
              </w:rPr>
              <w:t>3,254</w:t>
            </w:r>
          </w:p>
        </w:tc>
        <w:tc>
          <w:tcPr>
            <w:tcW w:w="115" w:type="dxa"/>
            <w:tcBorders>
              <w:top w:val="single" w:sz="6" w:space="0" w:color="000000"/>
            </w:tcBorders>
            <w:shd w:val="clear" w:color="auto" w:fill="CCEDFF"/>
          </w:tcPr>
          <w:p>
            <w:pPr>
              <w:pStyle w:val="TableParagraph"/>
              <w:rPr>
                <w:sz w:val="14"/>
              </w:rPr>
            </w:pPr>
          </w:p>
        </w:tc>
        <w:tc>
          <w:tcPr>
            <w:tcW w:w="860" w:type="dxa"/>
            <w:tcBorders>
              <w:top w:val="single" w:sz="6" w:space="0" w:color="000000"/>
            </w:tcBorders>
            <w:shd w:val="clear" w:color="auto" w:fill="CCEDFF"/>
          </w:tcPr>
          <w:p>
            <w:pPr>
              <w:pStyle w:val="TableParagraph"/>
              <w:spacing w:line="180" w:lineRule="exact" w:before="2"/>
              <w:ind w:right="63"/>
              <w:jc w:val="center"/>
              <w:rPr>
                <w:sz w:val="16"/>
              </w:rPr>
            </w:pPr>
            <w:r>
              <w:rPr>
                <w:spacing w:val="-5"/>
                <w:w w:val="105"/>
                <w:sz w:val="16"/>
              </w:rPr>
              <w:t>17%</w:t>
            </w:r>
          </w:p>
        </w:tc>
        <w:tc>
          <w:tcPr>
            <w:tcW w:w="860" w:type="dxa"/>
            <w:tcBorders>
              <w:top w:val="single" w:sz="6" w:space="0" w:color="000000"/>
            </w:tcBorders>
            <w:shd w:val="clear" w:color="auto" w:fill="CCEDFF"/>
          </w:tcPr>
          <w:p>
            <w:pPr>
              <w:pStyle w:val="TableParagraph"/>
              <w:spacing w:line="180" w:lineRule="exact" w:before="2"/>
              <w:ind w:left="48"/>
              <w:jc w:val="center"/>
              <w:rPr>
                <w:sz w:val="16"/>
              </w:rPr>
            </w:pPr>
            <w:r>
              <w:rPr>
                <w:spacing w:val="-4"/>
                <w:w w:val="105"/>
                <w:sz w:val="16"/>
              </w:rPr>
              <w:t>(3)%</w:t>
            </w:r>
          </w:p>
        </w:tc>
      </w:tr>
      <w:tr>
        <w:trPr>
          <w:trHeight w:val="203" w:hRule="atLeast"/>
        </w:trPr>
        <w:tc>
          <w:tcPr>
            <w:tcW w:w="5656" w:type="dxa"/>
          </w:tcPr>
          <w:p>
            <w:pPr>
              <w:pStyle w:val="TableParagraph"/>
              <w:spacing w:line="180" w:lineRule="exact" w:before="3"/>
              <w:rPr>
                <w:sz w:val="16"/>
              </w:rPr>
            </w:pPr>
            <w:r>
              <w:rPr>
                <w:w w:val="105"/>
                <w:sz w:val="16"/>
              </w:rPr>
              <w:t>Optical</w:t>
            </w:r>
            <w:r>
              <w:rPr>
                <w:spacing w:val="-11"/>
                <w:w w:val="105"/>
                <w:sz w:val="16"/>
              </w:rPr>
              <w:t> </w:t>
            </w:r>
            <w:r>
              <w:rPr>
                <w:spacing w:val="-2"/>
                <w:w w:val="105"/>
                <w:sz w:val="16"/>
              </w:rPr>
              <w:t>Communications</w:t>
            </w:r>
          </w:p>
        </w:tc>
        <w:tc>
          <w:tcPr>
            <w:tcW w:w="725" w:type="dxa"/>
          </w:tcPr>
          <w:p>
            <w:pPr>
              <w:pStyle w:val="TableParagraph"/>
              <w:rPr>
                <w:sz w:val="14"/>
              </w:rPr>
            </w:pPr>
          </w:p>
        </w:tc>
        <w:tc>
          <w:tcPr>
            <w:tcW w:w="550" w:type="dxa"/>
          </w:tcPr>
          <w:p>
            <w:pPr>
              <w:pStyle w:val="TableParagraph"/>
              <w:spacing w:line="180" w:lineRule="exact" w:before="3"/>
              <w:ind w:left="28" w:right="80"/>
              <w:jc w:val="center"/>
              <w:rPr>
                <w:b/>
                <w:sz w:val="16"/>
              </w:rPr>
            </w:pPr>
            <w:r>
              <w:rPr>
                <w:b/>
                <w:spacing w:val="-4"/>
                <w:w w:val="105"/>
                <w:sz w:val="16"/>
              </w:rPr>
              <w:t>4,349</w:t>
            </w:r>
          </w:p>
        </w:tc>
        <w:tc>
          <w:tcPr>
            <w:tcW w:w="830" w:type="dxa"/>
          </w:tcPr>
          <w:p>
            <w:pPr>
              <w:pStyle w:val="TableParagraph"/>
              <w:rPr>
                <w:sz w:val="14"/>
              </w:rPr>
            </w:pPr>
          </w:p>
        </w:tc>
        <w:tc>
          <w:tcPr>
            <w:tcW w:w="547" w:type="dxa"/>
          </w:tcPr>
          <w:p>
            <w:pPr>
              <w:pStyle w:val="TableParagraph"/>
              <w:spacing w:line="180" w:lineRule="exact" w:before="3"/>
              <w:ind w:left="-17" w:right="115"/>
              <w:jc w:val="right"/>
              <w:rPr>
                <w:sz w:val="16"/>
              </w:rPr>
            </w:pPr>
            <w:r>
              <w:rPr>
                <w:spacing w:val="-4"/>
                <w:w w:val="105"/>
                <w:sz w:val="16"/>
              </w:rPr>
              <w:t>3,563</w:t>
            </w:r>
          </w:p>
        </w:tc>
        <w:tc>
          <w:tcPr>
            <w:tcW w:w="830" w:type="dxa"/>
          </w:tcPr>
          <w:p>
            <w:pPr>
              <w:pStyle w:val="TableParagraph"/>
              <w:rPr>
                <w:sz w:val="14"/>
              </w:rPr>
            </w:pPr>
          </w:p>
        </w:tc>
        <w:tc>
          <w:tcPr>
            <w:tcW w:w="547" w:type="dxa"/>
          </w:tcPr>
          <w:p>
            <w:pPr>
              <w:pStyle w:val="TableParagraph"/>
              <w:spacing w:line="180" w:lineRule="exact" w:before="3"/>
              <w:ind w:left="-17" w:right="116"/>
              <w:jc w:val="right"/>
              <w:rPr>
                <w:sz w:val="16"/>
              </w:rPr>
            </w:pPr>
            <w:r>
              <w:rPr>
                <w:spacing w:val="-4"/>
                <w:w w:val="105"/>
                <w:sz w:val="16"/>
              </w:rPr>
              <w:t>4,064</w:t>
            </w:r>
          </w:p>
        </w:tc>
        <w:tc>
          <w:tcPr>
            <w:tcW w:w="115" w:type="dxa"/>
          </w:tcPr>
          <w:p>
            <w:pPr>
              <w:pStyle w:val="TableParagraph"/>
              <w:rPr>
                <w:sz w:val="14"/>
              </w:rPr>
            </w:pPr>
          </w:p>
        </w:tc>
        <w:tc>
          <w:tcPr>
            <w:tcW w:w="860" w:type="dxa"/>
          </w:tcPr>
          <w:p>
            <w:pPr>
              <w:pStyle w:val="TableParagraph"/>
              <w:spacing w:line="180" w:lineRule="exact" w:before="3"/>
              <w:ind w:right="63"/>
              <w:jc w:val="center"/>
              <w:rPr>
                <w:sz w:val="16"/>
              </w:rPr>
            </w:pPr>
            <w:r>
              <w:rPr>
                <w:spacing w:val="-5"/>
                <w:w w:val="105"/>
                <w:sz w:val="16"/>
              </w:rPr>
              <w:t>22%</w:t>
            </w:r>
          </w:p>
        </w:tc>
        <w:tc>
          <w:tcPr>
            <w:tcW w:w="860" w:type="dxa"/>
          </w:tcPr>
          <w:p>
            <w:pPr>
              <w:pStyle w:val="TableParagraph"/>
              <w:spacing w:line="180" w:lineRule="exact" w:before="3"/>
              <w:ind w:left="48"/>
              <w:jc w:val="center"/>
              <w:rPr>
                <w:sz w:val="16"/>
              </w:rPr>
            </w:pPr>
            <w:r>
              <w:rPr>
                <w:spacing w:val="-4"/>
                <w:w w:val="105"/>
                <w:sz w:val="16"/>
              </w:rPr>
              <w:t>(12)%</w:t>
            </w:r>
          </w:p>
        </w:tc>
      </w:tr>
      <w:tr>
        <w:trPr>
          <w:trHeight w:val="203" w:hRule="atLeast"/>
        </w:trPr>
        <w:tc>
          <w:tcPr>
            <w:tcW w:w="5656" w:type="dxa"/>
            <w:shd w:val="clear" w:color="auto" w:fill="CCEDFF"/>
          </w:tcPr>
          <w:p>
            <w:pPr>
              <w:pStyle w:val="TableParagraph"/>
              <w:spacing w:line="180" w:lineRule="exact" w:before="3"/>
              <w:rPr>
                <w:sz w:val="16"/>
              </w:rPr>
            </w:pPr>
            <w:r>
              <w:rPr>
                <w:sz w:val="16"/>
              </w:rPr>
              <w:t>Specialty</w:t>
            </w:r>
            <w:r>
              <w:rPr>
                <w:spacing w:val="18"/>
                <w:sz w:val="16"/>
              </w:rPr>
              <w:t> </w:t>
            </w:r>
            <w:r>
              <w:rPr>
                <w:spacing w:val="-2"/>
                <w:sz w:val="16"/>
              </w:rPr>
              <w:t>Materials</w:t>
            </w:r>
          </w:p>
        </w:tc>
        <w:tc>
          <w:tcPr>
            <w:tcW w:w="725" w:type="dxa"/>
            <w:shd w:val="clear" w:color="auto" w:fill="CCEDFF"/>
          </w:tcPr>
          <w:p>
            <w:pPr>
              <w:pStyle w:val="TableParagraph"/>
              <w:rPr>
                <w:sz w:val="14"/>
              </w:rPr>
            </w:pPr>
          </w:p>
        </w:tc>
        <w:tc>
          <w:tcPr>
            <w:tcW w:w="550" w:type="dxa"/>
            <w:shd w:val="clear" w:color="auto" w:fill="CCEDFF"/>
          </w:tcPr>
          <w:p>
            <w:pPr>
              <w:pStyle w:val="TableParagraph"/>
              <w:spacing w:line="180" w:lineRule="exact" w:before="3"/>
              <w:ind w:left="28" w:right="80"/>
              <w:jc w:val="center"/>
              <w:rPr>
                <w:b/>
                <w:sz w:val="16"/>
              </w:rPr>
            </w:pPr>
            <w:r>
              <w:rPr>
                <w:b/>
                <w:spacing w:val="-4"/>
                <w:w w:val="105"/>
                <w:sz w:val="16"/>
              </w:rPr>
              <w:t>2,008</w:t>
            </w:r>
          </w:p>
        </w:tc>
        <w:tc>
          <w:tcPr>
            <w:tcW w:w="830" w:type="dxa"/>
            <w:shd w:val="clear" w:color="auto" w:fill="CCEDFF"/>
          </w:tcPr>
          <w:p>
            <w:pPr>
              <w:pStyle w:val="TableParagraph"/>
              <w:rPr>
                <w:sz w:val="14"/>
              </w:rPr>
            </w:pPr>
          </w:p>
        </w:tc>
        <w:tc>
          <w:tcPr>
            <w:tcW w:w="547" w:type="dxa"/>
            <w:shd w:val="clear" w:color="auto" w:fill="CCEDFF"/>
          </w:tcPr>
          <w:p>
            <w:pPr>
              <w:pStyle w:val="TableParagraph"/>
              <w:spacing w:line="180" w:lineRule="exact" w:before="3"/>
              <w:ind w:left="-17" w:right="115"/>
              <w:jc w:val="right"/>
              <w:rPr>
                <w:sz w:val="16"/>
              </w:rPr>
            </w:pPr>
            <w:r>
              <w:rPr>
                <w:spacing w:val="-4"/>
                <w:w w:val="105"/>
                <w:sz w:val="16"/>
              </w:rPr>
              <w:t>1,884</w:t>
            </w:r>
          </w:p>
        </w:tc>
        <w:tc>
          <w:tcPr>
            <w:tcW w:w="830" w:type="dxa"/>
            <w:shd w:val="clear" w:color="auto" w:fill="CCEDFF"/>
          </w:tcPr>
          <w:p>
            <w:pPr>
              <w:pStyle w:val="TableParagraph"/>
              <w:rPr>
                <w:sz w:val="14"/>
              </w:rPr>
            </w:pPr>
          </w:p>
        </w:tc>
        <w:tc>
          <w:tcPr>
            <w:tcW w:w="547" w:type="dxa"/>
            <w:shd w:val="clear" w:color="auto" w:fill="CCEDFF"/>
          </w:tcPr>
          <w:p>
            <w:pPr>
              <w:pStyle w:val="TableParagraph"/>
              <w:spacing w:line="180" w:lineRule="exact" w:before="3"/>
              <w:ind w:left="-17" w:right="116"/>
              <w:jc w:val="right"/>
              <w:rPr>
                <w:sz w:val="16"/>
              </w:rPr>
            </w:pPr>
            <w:r>
              <w:rPr>
                <w:spacing w:val="-4"/>
                <w:w w:val="105"/>
                <w:sz w:val="16"/>
              </w:rPr>
              <w:t>1,594</w:t>
            </w:r>
          </w:p>
        </w:tc>
        <w:tc>
          <w:tcPr>
            <w:tcW w:w="115" w:type="dxa"/>
            <w:shd w:val="clear" w:color="auto" w:fill="CCEDFF"/>
          </w:tcPr>
          <w:p>
            <w:pPr>
              <w:pStyle w:val="TableParagraph"/>
              <w:rPr>
                <w:sz w:val="14"/>
              </w:rPr>
            </w:pPr>
          </w:p>
        </w:tc>
        <w:tc>
          <w:tcPr>
            <w:tcW w:w="860" w:type="dxa"/>
            <w:shd w:val="clear" w:color="auto" w:fill="CCEDFF"/>
          </w:tcPr>
          <w:p>
            <w:pPr>
              <w:pStyle w:val="TableParagraph"/>
              <w:spacing w:line="180" w:lineRule="exact" w:before="3"/>
              <w:ind w:right="63"/>
              <w:jc w:val="center"/>
              <w:rPr>
                <w:sz w:val="16"/>
              </w:rPr>
            </w:pPr>
            <w:r>
              <w:rPr>
                <w:spacing w:val="-5"/>
                <w:w w:val="105"/>
                <w:sz w:val="16"/>
              </w:rPr>
              <w:t>7%</w:t>
            </w:r>
          </w:p>
        </w:tc>
        <w:tc>
          <w:tcPr>
            <w:tcW w:w="860" w:type="dxa"/>
            <w:shd w:val="clear" w:color="auto" w:fill="CCEDFF"/>
          </w:tcPr>
          <w:p>
            <w:pPr>
              <w:pStyle w:val="TableParagraph"/>
              <w:spacing w:line="180" w:lineRule="exact" w:before="3"/>
              <w:ind w:left="48"/>
              <w:jc w:val="center"/>
              <w:rPr>
                <w:sz w:val="16"/>
              </w:rPr>
            </w:pPr>
            <w:r>
              <w:rPr>
                <w:spacing w:val="-5"/>
                <w:w w:val="105"/>
                <w:sz w:val="16"/>
              </w:rPr>
              <w:t>18%</w:t>
            </w:r>
          </w:p>
        </w:tc>
      </w:tr>
      <w:tr>
        <w:trPr>
          <w:trHeight w:val="203" w:hRule="atLeast"/>
        </w:trPr>
        <w:tc>
          <w:tcPr>
            <w:tcW w:w="5656" w:type="dxa"/>
          </w:tcPr>
          <w:p>
            <w:pPr>
              <w:pStyle w:val="TableParagraph"/>
              <w:spacing w:line="180" w:lineRule="exact" w:before="3"/>
              <w:rPr>
                <w:sz w:val="16"/>
              </w:rPr>
            </w:pPr>
            <w:r>
              <w:rPr>
                <w:sz w:val="16"/>
              </w:rPr>
              <w:t>Environmental</w:t>
            </w:r>
            <w:r>
              <w:rPr>
                <w:spacing w:val="29"/>
                <w:sz w:val="16"/>
              </w:rPr>
              <w:t> </w:t>
            </w:r>
            <w:r>
              <w:rPr>
                <w:spacing w:val="-2"/>
                <w:sz w:val="16"/>
              </w:rPr>
              <w:t>Technologies</w:t>
            </w:r>
          </w:p>
        </w:tc>
        <w:tc>
          <w:tcPr>
            <w:tcW w:w="725" w:type="dxa"/>
          </w:tcPr>
          <w:p>
            <w:pPr>
              <w:pStyle w:val="TableParagraph"/>
              <w:rPr>
                <w:sz w:val="14"/>
              </w:rPr>
            </w:pPr>
          </w:p>
        </w:tc>
        <w:tc>
          <w:tcPr>
            <w:tcW w:w="550" w:type="dxa"/>
          </w:tcPr>
          <w:p>
            <w:pPr>
              <w:pStyle w:val="TableParagraph"/>
              <w:spacing w:line="180" w:lineRule="exact" w:before="3"/>
              <w:ind w:left="28" w:right="80"/>
              <w:jc w:val="center"/>
              <w:rPr>
                <w:b/>
                <w:sz w:val="16"/>
              </w:rPr>
            </w:pPr>
            <w:r>
              <w:rPr>
                <w:b/>
                <w:spacing w:val="-4"/>
                <w:w w:val="105"/>
                <w:sz w:val="16"/>
              </w:rPr>
              <w:t>1,586</w:t>
            </w:r>
          </w:p>
        </w:tc>
        <w:tc>
          <w:tcPr>
            <w:tcW w:w="830" w:type="dxa"/>
          </w:tcPr>
          <w:p>
            <w:pPr>
              <w:pStyle w:val="TableParagraph"/>
              <w:rPr>
                <w:sz w:val="14"/>
              </w:rPr>
            </w:pPr>
          </w:p>
        </w:tc>
        <w:tc>
          <w:tcPr>
            <w:tcW w:w="547" w:type="dxa"/>
          </w:tcPr>
          <w:p>
            <w:pPr>
              <w:pStyle w:val="TableParagraph"/>
              <w:spacing w:line="180" w:lineRule="exact" w:before="3"/>
              <w:ind w:left="-17" w:right="115"/>
              <w:jc w:val="right"/>
              <w:rPr>
                <w:sz w:val="16"/>
              </w:rPr>
            </w:pPr>
            <w:r>
              <w:rPr>
                <w:spacing w:val="-4"/>
                <w:w w:val="105"/>
                <w:sz w:val="16"/>
              </w:rPr>
              <w:t>1,370</w:t>
            </w:r>
          </w:p>
        </w:tc>
        <w:tc>
          <w:tcPr>
            <w:tcW w:w="830" w:type="dxa"/>
          </w:tcPr>
          <w:p>
            <w:pPr>
              <w:pStyle w:val="TableParagraph"/>
              <w:rPr>
                <w:sz w:val="14"/>
              </w:rPr>
            </w:pPr>
          </w:p>
        </w:tc>
        <w:tc>
          <w:tcPr>
            <w:tcW w:w="547" w:type="dxa"/>
          </w:tcPr>
          <w:p>
            <w:pPr>
              <w:pStyle w:val="TableParagraph"/>
              <w:spacing w:line="180" w:lineRule="exact" w:before="3"/>
              <w:ind w:left="-17" w:right="116"/>
              <w:jc w:val="right"/>
              <w:rPr>
                <w:sz w:val="16"/>
              </w:rPr>
            </w:pPr>
            <w:r>
              <w:rPr>
                <w:spacing w:val="-4"/>
                <w:w w:val="105"/>
                <w:sz w:val="16"/>
              </w:rPr>
              <w:t>1,499</w:t>
            </w:r>
          </w:p>
        </w:tc>
        <w:tc>
          <w:tcPr>
            <w:tcW w:w="115" w:type="dxa"/>
          </w:tcPr>
          <w:p>
            <w:pPr>
              <w:pStyle w:val="TableParagraph"/>
              <w:rPr>
                <w:sz w:val="14"/>
              </w:rPr>
            </w:pPr>
          </w:p>
        </w:tc>
        <w:tc>
          <w:tcPr>
            <w:tcW w:w="860" w:type="dxa"/>
          </w:tcPr>
          <w:p>
            <w:pPr>
              <w:pStyle w:val="TableParagraph"/>
              <w:spacing w:line="180" w:lineRule="exact" w:before="3"/>
              <w:ind w:right="63"/>
              <w:jc w:val="center"/>
              <w:rPr>
                <w:sz w:val="16"/>
              </w:rPr>
            </w:pPr>
            <w:r>
              <w:rPr>
                <w:spacing w:val="-5"/>
                <w:w w:val="105"/>
                <w:sz w:val="16"/>
              </w:rPr>
              <w:t>16%</w:t>
            </w:r>
          </w:p>
        </w:tc>
        <w:tc>
          <w:tcPr>
            <w:tcW w:w="860" w:type="dxa"/>
          </w:tcPr>
          <w:p>
            <w:pPr>
              <w:pStyle w:val="TableParagraph"/>
              <w:spacing w:line="180" w:lineRule="exact" w:before="3"/>
              <w:ind w:left="48"/>
              <w:jc w:val="center"/>
              <w:rPr>
                <w:sz w:val="16"/>
              </w:rPr>
            </w:pPr>
            <w:r>
              <w:rPr>
                <w:spacing w:val="-4"/>
                <w:w w:val="105"/>
                <w:sz w:val="16"/>
              </w:rPr>
              <w:t>(9)%</w:t>
            </w:r>
          </w:p>
        </w:tc>
      </w:tr>
      <w:tr>
        <w:trPr>
          <w:trHeight w:val="203" w:hRule="atLeast"/>
        </w:trPr>
        <w:tc>
          <w:tcPr>
            <w:tcW w:w="5656" w:type="dxa"/>
            <w:shd w:val="clear" w:color="auto" w:fill="CCEDFF"/>
          </w:tcPr>
          <w:p>
            <w:pPr>
              <w:pStyle w:val="TableParagraph"/>
              <w:spacing w:line="180" w:lineRule="exact" w:before="3"/>
              <w:rPr>
                <w:sz w:val="16"/>
              </w:rPr>
            </w:pPr>
            <w:r>
              <w:rPr>
                <w:w w:val="105"/>
                <w:sz w:val="16"/>
              </w:rPr>
              <w:t>Life</w:t>
            </w:r>
            <w:r>
              <w:rPr>
                <w:spacing w:val="-7"/>
                <w:w w:val="105"/>
                <w:sz w:val="16"/>
              </w:rPr>
              <w:t> </w:t>
            </w:r>
            <w:r>
              <w:rPr>
                <w:spacing w:val="-2"/>
                <w:w w:val="105"/>
                <w:sz w:val="16"/>
              </w:rPr>
              <w:t>Sciences</w:t>
            </w:r>
          </w:p>
        </w:tc>
        <w:tc>
          <w:tcPr>
            <w:tcW w:w="725" w:type="dxa"/>
            <w:shd w:val="clear" w:color="auto" w:fill="CCEDFF"/>
          </w:tcPr>
          <w:p>
            <w:pPr>
              <w:pStyle w:val="TableParagraph"/>
              <w:rPr>
                <w:sz w:val="14"/>
              </w:rPr>
            </w:pPr>
          </w:p>
        </w:tc>
        <w:tc>
          <w:tcPr>
            <w:tcW w:w="550" w:type="dxa"/>
            <w:shd w:val="clear" w:color="auto" w:fill="CCEDFF"/>
          </w:tcPr>
          <w:p>
            <w:pPr>
              <w:pStyle w:val="TableParagraph"/>
              <w:spacing w:line="180" w:lineRule="exact" w:before="3"/>
              <w:ind w:left="28" w:right="80"/>
              <w:jc w:val="center"/>
              <w:rPr>
                <w:b/>
                <w:sz w:val="16"/>
              </w:rPr>
            </w:pPr>
            <w:r>
              <w:rPr>
                <w:b/>
                <w:spacing w:val="-4"/>
                <w:w w:val="105"/>
                <w:sz w:val="16"/>
              </w:rPr>
              <w:t>1,234</w:t>
            </w:r>
          </w:p>
        </w:tc>
        <w:tc>
          <w:tcPr>
            <w:tcW w:w="830" w:type="dxa"/>
            <w:shd w:val="clear" w:color="auto" w:fill="CCEDFF"/>
          </w:tcPr>
          <w:p>
            <w:pPr>
              <w:pStyle w:val="TableParagraph"/>
              <w:rPr>
                <w:sz w:val="14"/>
              </w:rPr>
            </w:pPr>
          </w:p>
        </w:tc>
        <w:tc>
          <w:tcPr>
            <w:tcW w:w="547" w:type="dxa"/>
            <w:shd w:val="clear" w:color="auto" w:fill="CCEDFF"/>
          </w:tcPr>
          <w:p>
            <w:pPr>
              <w:pStyle w:val="TableParagraph"/>
              <w:spacing w:line="180" w:lineRule="exact" w:before="3"/>
              <w:ind w:left="-17" w:right="115"/>
              <w:jc w:val="right"/>
              <w:rPr>
                <w:sz w:val="16"/>
              </w:rPr>
            </w:pPr>
            <w:r>
              <w:rPr>
                <w:spacing w:val="-5"/>
                <w:w w:val="105"/>
                <w:sz w:val="16"/>
              </w:rPr>
              <w:t>998</w:t>
            </w:r>
          </w:p>
        </w:tc>
        <w:tc>
          <w:tcPr>
            <w:tcW w:w="830" w:type="dxa"/>
            <w:shd w:val="clear" w:color="auto" w:fill="CCEDFF"/>
          </w:tcPr>
          <w:p>
            <w:pPr>
              <w:pStyle w:val="TableParagraph"/>
              <w:rPr>
                <w:sz w:val="14"/>
              </w:rPr>
            </w:pPr>
          </w:p>
        </w:tc>
        <w:tc>
          <w:tcPr>
            <w:tcW w:w="547" w:type="dxa"/>
            <w:shd w:val="clear" w:color="auto" w:fill="CCEDFF"/>
          </w:tcPr>
          <w:p>
            <w:pPr>
              <w:pStyle w:val="TableParagraph"/>
              <w:spacing w:line="180" w:lineRule="exact" w:before="3"/>
              <w:ind w:left="-17" w:right="116"/>
              <w:jc w:val="right"/>
              <w:rPr>
                <w:sz w:val="16"/>
              </w:rPr>
            </w:pPr>
            <w:r>
              <w:rPr>
                <w:spacing w:val="-4"/>
                <w:w w:val="105"/>
                <w:sz w:val="16"/>
              </w:rPr>
              <w:t>1,015</w:t>
            </w:r>
          </w:p>
        </w:tc>
        <w:tc>
          <w:tcPr>
            <w:tcW w:w="115" w:type="dxa"/>
            <w:shd w:val="clear" w:color="auto" w:fill="CCEDFF"/>
          </w:tcPr>
          <w:p>
            <w:pPr>
              <w:pStyle w:val="TableParagraph"/>
              <w:rPr>
                <w:sz w:val="14"/>
              </w:rPr>
            </w:pPr>
          </w:p>
        </w:tc>
        <w:tc>
          <w:tcPr>
            <w:tcW w:w="860" w:type="dxa"/>
            <w:shd w:val="clear" w:color="auto" w:fill="CCEDFF"/>
          </w:tcPr>
          <w:p>
            <w:pPr>
              <w:pStyle w:val="TableParagraph"/>
              <w:spacing w:line="180" w:lineRule="exact" w:before="3"/>
              <w:ind w:right="63"/>
              <w:jc w:val="center"/>
              <w:rPr>
                <w:sz w:val="16"/>
              </w:rPr>
            </w:pPr>
            <w:r>
              <w:rPr>
                <w:spacing w:val="-5"/>
                <w:w w:val="105"/>
                <w:sz w:val="16"/>
              </w:rPr>
              <w:t>24%</w:t>
            </w:r>
          </w:p>
        </w:tc>
        <w:tc>
          <w:tcPr>
            <w:tcW w:w="860" w:type="dxa"/>
            <w:shd w:val="clear" w:color="auto" w:fill="CCEDFF"/>
          </w:tcPr>
          <w:p>
            <w:pPr>
              <w:pStyle w:val="TableParagraph"/>
              <w:spacing w:line="180" w:lineRule="exact" w:before="3"/>
              <w:ind w:left="48"/>
              <w:jc w:val="center"/>
              <w:rPr>
                <w:sz w:val="16"/>
              </w:rPr>
            </w:pPr>
            <w:r>
              <w:rPr>
                <w:spacing w:val="-4"/>
                <w:w w:val="105"/>
                <w:sz w:val="16"/>
              </w:rPr>
              <w:t>(2)%</w:t>
            </w:r>
          </w:p>
        </w:tc>
      </w:tr>
      <w:tr>
        <w:trPr>
          <w:trHeight w:val="214" w:hRule="atLeast"/>
        </w:trPr>
        <w:tc>
          <w:tcPr>
            <w:tcW w:w="5656" w:type="dxa"/>
          </w:tcPr>
          <w:p>
            <w:pPr>
              <w:pStyle w:val="TableParagraph"/>
              <w:spacing w:before="3"/>
              <w:rPr>
                <w:sz w:val="16"/>
              </w:rPr>
            </w:pPr>
            <w:r>
              <w:rPr>
                <w:w w:val="105"/>
                <w:sz w:val="16"/>
              </w:rPr>
              <w:t>All</w:t>
            </w:r>
            <w:r>
              <w:rPr>
                <w:spacing w:val="-8"/>
                <w:w w:val="105"/>
                <w:sz w:val="16"/>
              </w:rPr>
              <w:t> </w:t>
            </w:r>
            <w:r>
              <w:rPr>
                <w:spacing w:val="-2"/>
                <w:w w:val="105"/>
                <w:sz w:val="16"/>
              </w:rPr>
              <w:t>Other</w:t>
            </w:r>
          </w:p>
        </w:tc>
        <w:tc>
          <w:tcPr>
            <w:tcW w:w="725" w:type="dxa"/>
          </w:tcPr>
          <w:p>
            <w:pPr>
              <w:pStyle w:val="TableParagraph"/>
              <w:rPr>
                <w:sz w:val="14"/>
              </w:rPr>
            </w:pPr>
          </w:p>
        </w:tc>
        <w:tc>
          <w:tcPr>
            <w:tcW w:w="550" w:type="dxa"/>
          </w:tcPr>
          <w:p>
            <w:pPr>
              <w:pStyle w:val="TableParagraph"/>
              <w:spacing w:before="3"/>
              <w:ind w:left="28" w:right="80"/>
              <w:jc w:val="center"/>
              <w:rPr>
                <w:b/>
                <w:sz w:val="16"/>
              </w:rPr>
            </w:pPr>
            <w:r>
              <w:rPr>
                <w:b/>
                <w:spacing w:val="-4"/>
                <w:w w:val="105"/>
                <w:sz w:val="16"/>
              </w:rPr>
              <w:t>1,243</w:t>
            </w:r>
          </w:p>
        </w:tc>
        <w:tc>
          <w:tcPr>
            <w:tcW w:w="830" w:type="dxa"/>
          </w:tcPr>
          <w:p>
            <w:pPr>
              <w:pStyle w:val="TableParagraph"/>
              <w:rPr>
                <w:sz w:val="14"/>
              </w:rPr>
            </w:pPr>
          </w:p>
        </w:tc>
        <w:tc>
          <w:tcPr>
            <w:tcW w:w="547" w:type="dxa"/>
          </w:tcPr>
          <w:p>
            <w:pPr>
              <w:pStyle w:val="TableParagraph"/>
              <w:spacing w:before="3"/>
              <w:ind w:left="-17" w:right="115"/>
              <w:jc w:val="right"/>
              <w:rPr>
                <w:sz w:val="16"/>
              </w:rPr>
            </w:pPr>
            <w:r>
              <w:rPr>
                <w:spacing w:val="-5"/>
                <w:w w:val="105"/>
                <w:sz w:val="16"/>
              </w:rPr>
              <w:t>465</w:t>
            </w:r>
          </w:p>
        </w:tc>
        <w:tc>
          <w:tcPr>
            <w:tcW w:w="830" w:type="dxa"/>
          </w:tcPr>
          <w:p>
            <w:pPr>
              <w:pStyle w:val="TableParagraph"/>
              <w:rPr>
                <w:sz w:val="14"/>
              </w:rPr>
            </w:pPr>
          </w:p>
        </w:tc>
        <w:tc>
          <w:tcPr>
            <w:tcW w:w="547" w:type="dxa"/>
          </w:tcPr>
          <w:p>
            <w:pPr>
              <w:pStyle w:val="TableParagraph"/>
              <w:spacing w:before="3"/>
              <w:ind w:left="-17" w:right="116"/>
              <w:jc w:val="right"/>
              <w:rPr>
                <w:sz w:val="16"/>
              </w:rPr>
            </w:pPr>
            <w:r>
              <w:rPr>
                <w:spacing w:val="-5"/>
                <w:w w:val="105"/>
                <w:sz w:val="16"/>
              </w:rPr>
              <w:t>230</w:t>
            </w:r>
          </w:p>
        </w:tc>
        <w:tc>
          <w:tcPr>
            <w:tcW w:w="115" w:type="dxa"/>
          </w:tcPr>
          <w:p>
            <w:pPr>
              <w:pStyle w:val="TableParagraph"/>
              <w:rPr>
                <w:sz w:val="14"/>
              </w:rPr>
            </w:pPr>
          </w:p>
        </w:tc>
        <w:tc>
          <w:tcPr>
            <w:tcW w:w="860" w:type="dxa"/>
          </w:tcPr>
          <w:p>
            <w:pPr>
              <w:pStyle w:val="TableParagraph"/>
              <w:spacing w:before="3"/>
              <w:ind w:right="63"/>
              <w:jc w:val="center"/>
              <w:rPr>
                <w:sz w:val="16"/>
              </w:rPr>
            </w:pPr>
            <w:r>
              <w:rPr>
                <w:spacing w:val="-4"/>
                <w:w w:val="105"/>
                <w:sz w:val="16"/>
              </w:rPr>
              <w:t>167%</w:t>
            </w:r>
          </w:p>
        </w:tc>
        <w:tc>
          <w:tcPr>
            <w:tcW w:w="860" w:type="dxa"/>
          </w:tcPr>
          <w:p>
            <w:pPr>
              <w:pStyle w:val="TableParagraph"/>
              <w:spacing w:before="3"/>
              <w:ind w:left="48"/>
              <w:jc w:val="center"/>
              <w:rPr>
                <w:sz w:val="16"/>
              </w:rPr>
            </w:pPr>
            <w:r>
              <w:rPr>
                <w:spacing w:val="-4"/>
                <w:w w:val="105"/>
                <w:sz w:val="16"/>
              </w:rPr>
              <w:t>102%</w:t>
            </w:r>
          </w:p>
        </w:tc>
      </w:tr>
      <w:tr>
        <w:trPr>
          <w:trHeight w:val="187" w:hRule="atLeast"/>
        </w:trPr>
        <w:tc>
          <w:tcPr>
            <w:tcW w:w="5656"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Net</w:t>
            </w:r>
            <w:r>
              <w:rPr>
                <w:spacing w:val="-9"/>
                <w:w w:val="105"/>
                <w:sz w:val="16"/>
              </w:rPr>
              <w:t> </w:t>
            </w:r>
            <w:r>
              <w:rPr>
                <w:w w:val="105"/>
                <w:sz w:val="16"/>
              </w:rPr>
              <w:t>sales</w:t>
            </w:r>
            <w:r>
              <w:rPr>
                <w:spacing w:val="-9"/>
                <w:w w:val="105"/>
                <w:sz w:val="16"/>
              </w:rPr>
              <w:t> </w:t>
            </w:r>
            <w:r>
              <w:rPr>
                <w:w w:val="105"/>
                <w:sz w:val="16"/>
              </w:rPr>
              <w:t>of</w:t>
            </w:r>
            <w:r>
              <w:rPr>
                <w:spacing w:val="-9"/>
                <w:w w:val="105"/>
                <w:sz w:val="16"/>
              </w:rPr>
              <w:t> </w:t>
            </w:r>
            <w:r>
              <w:rPr>
                <w:w w:val="105"/>
                <w:sz w:val="16"/>
              </w:rPr>
              <w:t>reportable</w:t>
            </w:r>
            <w:r>
              <w:rPr>
                <w:spacing w:val="-9"/>
                <w:w w:val="105"/>
                <w:sz w:val="16"/>
              </w:rPr>
              <w:t> </w:t>
            </w:r>
            <w:r>
              <w:rPr>
                <w:w w:val="105"/>
                <w:sz w:val="16"/>
              </w:rPr>
              <w:t>segments</w:t>
            </w:r>
            <w:r>
              <w:rPr>
                <w:spacing w:val="-9"/>
                <w:w w:val="105"/>
                <w:sz w:val="16"/>
              </w:rPr>
              <w:t> </w:t>
            </w:r>
            <w:r>
              <w:rPr>
                <w:w w:val="105"/>
                <w:sz w:val="16"/>
              </w:rPr>
              <w:t>and</w:t>
            </w:r>
            <w:r>
              <w:rPr>
                <w:spacing w:val="-9"/>
                <w:w w:val="105"/>
                <w:sz w:val="16"/>
              </w:rPr>
              <w:t> </w:t>
            </w:r>
            <w:r>
              <w:rPr>
                <w:w w:val="105"/>
                <w:sz w:val="16"/>
              </w:rPr>
              <w:t>All</w:t>
            </w:r>
            <w:r>
              <w:rPr>
                <w:spacing w:val="-9"/>
                <w:w w:val="105"/>
                <w:sz w:val="16"/>
              </w:rPr>
              <w:t> </w:t>
            </w:r>
            <w:r>
              <w:rPr>
                <w:spacing w:val="-2"/>
                <w:w w:val="105"/>
                <w:sz w:val="16"/>
              </w:rPr>
              <w:t>Other</w:t>
            </w:r>
          </w:p>
        </w:tc>
        <w:tc>
          <w:tcPr>
            <w:tcW w:w="725" w:type="dxa"/>
            <w:tcBorders>
              <w:top w:val="single" w:sz="6" w:space="0" w:color="000000"/>
              <w:bottom w:val="double" w:sz="6" w:space="0" w:color="000000"/>
            </w:tcBorders>
            <w:shd w:val="clear" w:color="auto" w:fill="CCEDFF"/>
          </w:tcPr>
          <w:p>
            <w:pPr>
              <w:pStyle w:val="TableParagraph"/>
              <w:spacing w:line="177" w:lineRule="exact" w:before="2"/>
              <w:ind w:left="-1"/>
              <w:rPr>
                <w:b/>
                <w:sz w:val="16"/>
              </w:rPr>
            </w:pPr>
            <w:r>
              <w:rPr>
                <w:b/>
                <w:spacing w:val="-10"/>
                <w:w w:val="105"/>
                <w:sz w:val="16"/>
              </w:rPr>
              <w:t>$</w:t>
            </w:r>
          </w:p>
        </w:tc>
        <w:tc>
          <w:tcPr>
            <w:tcW w:w="550" w:type="dxa"/>
            <w:tcBorders>
              <w:top w:val="single" w:sz="6" w:space="0" w:color="000000"/>
              <w:bottom w:val="double" w:sz="6" w:space="0" w:color="000000"/>
            </w:tcBorders>
            <w:shd w:val="clear" w:color="auto" w:fill="CCEDFF"/>
          </w:tcPr>
          <w:p>
            <w:pPr>
              <w:pStyle w:val="TableParagraph"/>
              <w:spacing w:line="177" w:lineRule="exact" w:before="2"/>
              <w:ind w:left="-22" w:right="113"/>
              <w:jc w:val="center"/>
              <w:rPr>
                <w:b/>
                <w:sz w:val="16"/>
              </w:rPr>
            </w:pPr>
            <w:r>
              <w:rPr>
                <w:b/>
                <w:spacing w:val="-2"/>
                <w:sz w:val="16"/>
              </w:rPr>
              <w:t>14,120</w:t>
            </w:r>
          </w:p>
        </w:tc>
        <w:tc>
          <w:tcPr>
            <w:tcW w:w="830" w:type="dxa"/>
            <w:tcBorders>
              <w:top w:val="single" w:sz="6" w:space="0" w:color="000000"/>
              <w:bottom w:val="double" w:sz="6" w:space="0" w:color="000000"/>
            </w:tcBorders>
            <w:shd w:val="clear" w:color="auto" w:fill="CCEDFF"/>
          </w:tcPr>
          <w:p>
            <w:pPr>
              <w:pStyle w:val="TableParagraph"/>
              <w:spacing w:line="177" w:lineRule="exact" w:before="2"/>
              <w:ind w:left="113"/>
              <w:rPr>
                <w:sz w:val="16"/>
              </w:rPr>
            </w:pPr>
            <w:r>
              <w:rPr>
                <w:spacing w:val="-10"/>
                <w:w w:val="105"/>
                <w:sz w:val="16"/>
              </w:rPr>
              <w:t>$</w:t>
            </w:r>
          </w:p>
        </w:tc>
        <w:tc>
          <w:tcPr>
            <w:tcW w:w="547" w:type="dxa"/>
            <w:tcBorders>
              <w:top w:val="single" w:sz="6" w:space="0" w:color="000000"/>
              <w:bottom w:val="double" w:sz="6" w:space="0" w:color="000000"/>
            </w:tcBorders>
            <w:shd w:val="clear" w:color="auto" w:fill="CCEDFF"/>
          </w:tcPr>
          <w:p>
            <w:pPr>
              <w:pStyle w:val="TableParagraph"/>
              <w:spacing w:line="177" w:lineRule="exact" w:before="2"/>
              <w:ind w:left="-17" w:right="115"/>
              <w:jc w:val="right"/>
              <w:rPr>
                <w:sz w:val="16"/>
              </w:rPr>
            </w:pPr>
            <w:r>
              <w:rPr>
                <w:spacing w:val="-2"/>
                <w:sz w:val="16"/>
              </w:rPr>
              <w:t>11,452</w:t>
            </w:r>
          </w:p>
        </w:tc>
        <w:tc>
          <w:tcPr>
            <w:tcW w:w="830" w:type="dxa"/>
            <w:tcBorders>
              <w:top w:val="single" w:sz="6" w:space="0" w:color="000000"/>
              <w:bottom w:val="double" w:sz="6" w:space="0" w:color="000000"/>
            </w:tcBorders>
            <w:shd w:val="clear" w:color="auto" w:fill="CCEDFF"/>
          </w:tcPr>
          <w:p>
            <w:pPr>
              <w:pStyle w:val="TableParagraph"/>
              <w:spacing w:line="177" w:lineRule="exact" w:before="2"/>
              <w:ind w:left="112"/>
              <w:rPr>
                <w:sz w:val="16"/>
              </w:rPr>
            </w:pPr>
            <w:r>
              <w:rPr>
                <w:spacing w:val="-10"/>
                <w:w w:val="105"/>
                <w:sz w:val="16"/>
              </w:rPr>
              <w:t>$</w:t>
            </w:r>
          </w:p>
        </w:tc>
        <w:tc>
          <w:tcPr>
            <w:tcW w:w="547" w:type="dxa"/>
            <w:tcBorders>
              <w:top w:val="single" w:sz="6" w:space="0" w:color="000000"/>
              <w:bottom w:val="double" w:sz="6" w:space="0" w:color="000000"/>
            </w:tcBorders>
            <w:shd w:val="clear" w:color="auto" w:fill="CCEDFF"/>
          </w:tcPr>
          <w:p>
            <w:pPr>
              <w:pStyle w:val="TableParagraph"/>
              <w:spacing w:line="177" w:lineRule="exact" w:before="2"/>
              <w:ind w:left="-17" w:right="116"/>
              <w:jc w:val="right"/>
              <w:rPr>
                <w:sz w:val="16"/>
              </w:rPr>
            </w:pPr>
            <w:r>
              <w:rPr>
                <w:spacing w:val="-2"/>
                <w:sz w:val="16"/>
              </w:rPr>
              <w:t>11,656</w:t>
            </w:r>
          </w:p>
        </w:tc>
        <w:tc>
          <w:tcPr>
            <w:tcW w:w="975" w:type="dxa"/>
            <w:gridSpan w:val="2"/>
            <w:tcBorders>
              <w:top w:val="single" w:sz="6" w:space="0" w:color="000000"/>
              <w:bottom w:val="double" w:sz="6" w:space="0" w:color="000000"/>
            </w:tcBorders>
            <w:shd w:val="clear" w:color="auto" w:fill="CCEDFF"/>
          </w:tcPr>
          <w:p>
            <w:pPr>
              <w:pStyle w:val="TableParagraph"/>
              <w:spacing w:line="177" w:lineRule="exact" w:before="2"/>
              <w:ind w:left="360"/>
              <w:rPr>
                <w:sz w:val="16"/>
              </w:rPr>
            </w:pPr>
            <w:r>
              <w:rPr>
                <w:spacing w:val="-5"/>
                <w:w w:val="105"/>
                <w:sz w:val="16"/>
              </w:rPr>
              <w:t>23%</w:t>
            </w:r>
          </w:p>
        </w:tc>
        <w:tc>
          <w:tcPr>
            <w:tcW w:w="860" w:type="dxa"/>
            <w:tcBorders>
              <w:top w:val="single" w:sz="6" w:space="0" w:color="000000"/>
              <w:bottom w:val="double" w:sz="6" w:space="0" w:color="000000"/>
            </w:tcBorders>
            <w:shd w:val="clear" w:color="auto" w:fill="CCEDFF"/>
          </w:tcPr>
          <w:p>
            <w:pPr>
              <w:pStyle w:val="TableParagraph"/>
              <w:spacing w:line="177" w:lineRule="exact" w:before="2"/>
              <w:ind w:left="48"/>
              <w:jc w:val="center"/>
              <w:rPr>
                <w:sz w:val="16"/>
              </w:rPr>
            </w:pPr>
            <w:r>
              <w:rPr>
                <w:spacing w:val="-4"/>
                <w:w w:val="105"/>
                <w:sz w:val="16"/>
              </w:rPr>
              <w:t>(2)%</w:t>
            </w:r>
          </w:p>
        </w:tc>
      </w:tr>
    </w:tbl>
    <w:p>
      <w:pPr>
        <w:pStyle w:val="BodyText"/>
        <w:spacing w:before="17"/>
      </w:pPr>
    </w:p>
    <w:p>
      <w:pPr>
        <w:pStyle w:val="BodyText"/>
        <w:spacing w:before="1"/>
        <w:ind w:left="156"/>
      </w:pPr>
      <w:r>
        <w:rPr>
          <w:w w:val="105"/>
        </w:rPr>
        <w:t>Segment</w:t>
      </w:r>
      <w:r>
        <w:rPr>
          <w:spacing w:val="-10"/>
          <w:w w:val="105"/>
        </w:rPr>
        <w:t> </w:t>
      </w:r>
      <w:r>
        <w:rPr>
          <w:w w:val="105"/>
        </w:rPr>
        <w:t>and</w:t>
      </w:r>
      <w:r>
        <w:rPr>
          <w:spacing w:val="-9"/>
          <w:w w:val="105"/>
        </w:rPr>
        <w:t> </w:t>
      </w:r>
      <w:r>
        <w:rPr>
          <w:w w:val="105"/>
        </w:rPr>
        <w:t>"All</w:t>
      </w:r>
      <w:r>
        <w:rPr>
          <w:spacing w:val="-9"/>
          <w:w w:val="105"/>
        </w:rPr>
        <w:t> </w:t>
      </w:r>
      <w:r>
        <w:rPr>
          <w:w w:val="105"/>
        </w:rPr>
        <w:t>Other"</w:t>
      </w:r>
      <w:r>
        <w:rPr>
          <w:spacing w:val="-9"/>
          <w:w w:val="105"/>
        </w:rPr>
        <w:t> </w:t>
      </w:r>
      <w:r>
        <w:rPr>
          <w:w w:val="105"/>
        </w:rPr>
        <w:t>net</w:t>
      </w:r>
      <w:r>
        <w:rPr>
          <w:spacing w:val="-9"/>
          <w:w w:val="105"/>
        </w:rPr>
        <w:t> </w:t>
      </w:r>
      <w:r>
        <w:rPr>
          <w:w w:val="105"/>
        </w:rPr>
        <w:t>sales</w:t>
      </w:r>
      <w:r>
        <w:rPr>
          <w:spacing w:val="-7"/>
          <w:w w:val="105"/>
        </w:rPr>
        <w:t> </w:t>
      </w:r>
      <w:r>
        <w:rPr>
          <w:w w:val="105"/>
        </w:rPr>
        <w:t>and</w:t>
      </w:r>
      <w:r>
        <w:rPr>
          <w:spacing w:val="-9"/>
          <w:w w:val="105"/>
        </w:rPr>
        <w:t> </w:t>
      </w:r>
      <w:r>
        <w:rPr>
          <w:w w:val="105"/>
        </w:rPr>
        <w:t>variances</w:t>
      </w:r>
      <w:r>
        <w:rPr>
          <w:spacing w:val="-9"/>
          <w:w w:val="105"/>
        </w:rPr>
        <w:t> </w:t>
      </w:r>
      <w:r>
        <w:rPr>
          <w:w w:val="105"/>
        </w:rPr>
        <w:t>are</w:t>
      </w:r>
      <w:r>
        <w:rPr>
          <w:spacing w:val="-9"/>
          <w:w w:val="105"/>
        </w:rPr>
        <w:t> </w:t>
      </w:r>
      <w:r>
        <w:rPr>
          <w:w w:val="105"/>
        </w:rPr>
        <w:t>discussed</w:t>
      </w:r>
      <w:r>
        <w:rPr>
          <w:spacing w:val="-8"/>
          <w:w w:val="105"/>
        </w:rPr>
        <w:t> </w:t>
      </w:r>
      <w:r>
        <w:rPr>
          <w:w w:val="105"/>
        </w:rPr>
        <w:t>in</w:t>
      </w:r>
      <w:r>
        <w:rPr>
          <w:spacing w:val="-9"/>
          <w:w w:val="105"/>
        </w:rPr>
        <w:t> </w:t>
      </w:r>
      <w:r>
        <w:rPr>
          <w:w w:val="105"/>
        </w:rPr>
        <w:t>detail</w:t>
      </w:r>
      <w:r>
        <w:rPr>
          <w:spacing w:val="-9"/>
          <w:w w:val="105"/>
        </w:rPr>
        <w:t> </w:t>
      </w:r>
      <w:r>
        <w:rPr>
          <w:w w:val="105"/>
        </w:rPr>
        <w:t>in</w:t>
      </w:r>
      <w:r>
        <w:rPr>
          <w:spacing w:val="-9"/>
          <w:w w:val="105"/>
        </w:rPr>
        <w:t> </w:t>
      </w:r>
      <w:r>
        <w:rPr>
          <w:w w:val="105"/>
        </w:rPr>
        <w:t>the</w:t>
      </w:r>
      <w:r>
        <w:rPr>
          <w:spacing w:val="-9"/>
          <w:w w:val="105"/>
        </w:rPr>
        <w:t> </w:t>
      </w:r>
      <w:r>
        <w:rPr>
          <w:w w:val="105"/>
        </w:rPr>
        <w:t>Reportable</w:t>
      </w:r>
      <w:r>
        <w:rPr>
          <w:spacing w:val="-9"/>
          <w:w w:val="105"/>
        </w:rPr>
        <w:t> </w:t>
      </w:r>
      <w:r>
        <w:rPr>
          <w:w w:val="105"/>
        </w:rPr>
        <w:t>Segments</w:t>
      </w:r>
      <w:r>
        <w:rPr>
          <w:spacing w:val="-9"/>
          <w:w w:val="105"/>
        </w:rPr>
        <w:t> </w:t>
      </w:r>
      <w:r>
        <w:rPr>
          <w:w w:val="105"/>
        </w:rPr>
        <w:t>section</w:t>
      </w:r>
      <w:r>
        <w:rPr>
          <w:spacing w:val="-9"/>
          <w:w w:val="105"/>
        </w:rPr>
        <w:t> </w:t>
      </w:r>
      <w:r>
        <w:rPr>
          <w:w w:val="105"/>
        </w:rPr>
        <w:t>of</w:t>
      </w:r>
      <w:r>
        <w:rPr>
          <w:spacing w:val="-9"/>
          <w:w w:val="105"/>
        </w:rPr>
        <w:t> </w:t>
      </w:r>
      <w:r>
        <w:rPr>
          <w:w w:val="105"/>
        </w:rPr>
        <w:t>our</w:t>
      </w:r>
      <w:r>
        <w:rPr>
          <w:spacing w:val="-9"/>
          <w:w w:val="105"/>
        </w:rPr>
        <w:t> </w:t>
      </w:r>
      <w:r>
        <w:rPr>
          <w:spacing w:val="-2"/>
          <w:w w:val="105"/>
        </w:rPr>
        <w:t>MD&amp;A.</w:t>
      </w:r>
    </w:p>
    <w:p>
      <w:pPr>
        <w:pStyle w:val="BodyText"/>
        <w:spacing w:before="39"/>
      </w:pPr>
    </w:p>
    <w:p>
      <w:pPr>
        <w:pStyle w:val="BodyText"/>
        <w:ind w:left="48"/>
        <w:jc w:val="center"/>
      </w:pPr>
      <w:r>
        <w:rPr>
          <w:spacing w:val="-5"/>
          <w:w w:val="105"/>
        </w:rPr>
        <w:t>31</w:t>
      </w:r>
    </w:p>
    <w:p>
      <w:pPr>
        <w:pStyle w:val="BodyText"/>
        <w:rPr>
          <w:sz w:val="6"/>
        </w:rPr>
      </w:pPr>
      <w:r>
        <w:rPr/>
        <mc:AlternateContent>
          <mc:Choice Requires="wps">
            <w:drawing>
              <wp:anchor distT="0" distB="0" distL="0" distR="0" allowOverlap="1" layoutInCell="1" locked="0" behindDoc="1" simplePos="0" relativeHeight="487609344">
                <wp:simplePos x="0" y="0"/>
                <wp:positionH relativeFrom="page">
                  <wp:posOffset>226488</wp:posOffset>
                </wp:positionH>
                <wp:positionV relativeFrom="paragraph">
                  <wp:posOffset>59051</wp:posOffset>
                </wp:positionV>
                <wp:extent cx="7312659" cy="1651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07136;mso-wrap-distance-left:0;mso-wrap-distance-right:0" id="docshape47"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3"/>
      </w:pPr>
      <w:r>
        <w:rPr>
          <w:w w:val="105"/>
        </w:rPr>
        <w:t>Core</w:t>
      </w:r>
      <w:r>
        <w:rPr>
          <w:spacing w:val="-10"/>
          <w:w w:val="105"/>
        </w:rPr>
        <w:t> </w:t>
      </w:r>
      <w:r>
        <w:rPr>
          <w:w w:val="105"/>
        </w:rPr>
        <w:t>Equity</w:t>
      </w:r>
      <w:r>
        <w:rPr>
          <w:spacing w:val="-10"/>
          <w:w w:val="105"/>
        </w:rPr>
        <w:t> </w:t>
      </w:r>
      <w:r>
        <w:rPr>
          <w:w w:val="105"/>
        </w:rPr>
        <w:t>in</w:t>
      </w:r>
      <w:r>
        <w:rPr>
          <w:spacing w:val="-10"/>
          <w:w w:val="105"/>
        </w:rPr>
        <w:t> </w:t>
      </w:r>
      <w:r>
        <w:rPr>
          <w:w w:val="105"/>
        </w:rPr>
        <w:t>Earnings</w:t>
      </w:r>
      <w:r>
        <w:rPr>
          <w:spacing w:val="-10"/>
          <w:w w:val="105"/>
        </w:rPr>
        <w:t> </w:t>
      </w:r>
      <w:r>
        <w:rPr>
          <w:w w:val="105"/>
        </w:rPr>
        <w:t>of</w:t>
      </w:r>
      <w:r>
        <w:rPr>
          <w:spacing w:val="-10"/>
          <w:w w:val="105"/>
        </w:rPr>
        <w:t> </w:t>
      </w:r>
      <w:r>
        <w:rPr>
          <w:w w:val="105"/>
        </w:rPr>
        <w:t>Affiliated</w:t>
      </w:r>
      <w:r>
        <w:rPr>
          <w:spacing w:val="-10"/>
          <w:w w:val="105"/>
        </w:rPr>
        <w:t> </w:t>
      </w:r>
      <w:r>
        <w:rPr>
          <w:spacing w:val="-2"/>
          <w:w w:val="105"/>
        </w:rPr>
        <w:t>Companies</w:t>
      </w:r>
    </w:p>
    <w:p>
      <w:pPr>
        <w:pStyle w:val="BodyText"/>
        <w:spacing w:before="40"/>
        <w:rPr>
          <w:b/>
          <w:i/>
        </w:rPr>
      </w:pPr>
    </w:p>
    <w:p>
      <w:pPr>
        <w:pStyle w:val="BodyText"/>
        <w:ind w:left="156"/>
      </w:pPr>
      <w:r>
        <w:rPr>
          <w:w w:val="105"/>
        </w:rPr>
        <w:t>The</w:t>
      </w:r>
      <w:r>
        <w:rPr>
          <w:spacing w:val="-10"/>
          <w:w w:val="105"/>
        </w:rPr>
        <w:t> </w:t>
      </w:r>
      <w:r>
        <w:rPr>
          <w:w w:val="105"/>
        </w:rPr>
        <w:t>following</w:t>
      </w:r>
      <w:r>
        <w:rPr>
          <w:spacing w:val="-9"/>
          <w:w w:val="105"/>
        </w:rPr>
        <w:t> </w:t>
      </w:r>
      <w:r>
        <w:rPr>
          <w:w w:val="105"/>
        </w:rPr>
        <w:t>provides</w:t>
      </w:r>
      <w:r>
        <w:rPr>
          <w:spacing w:val="-9"/>
          <w:w w:val="105"/>
        </w:rPr>
        <w:t> </w:t>
      </w:r>
      <w:r>
        <w:rPr>
          <w:w w:val="105"/>
        </w:rPr>
        <w:t>a</w:t>
      </w:r>
      <w:r>
        <w:rPr>
          <w:spacing w:val="-9"/>
          <w:w w:val="105"/>
        </w:rPr>
        <w:t> </w:t>
      </w:r>
      <w:r>
        <w:rPr>
          <w:w w:val="105"/>
        </w:rPr>
        <w:t>summary</w:t>
      </w:r>
      <w:r>
        <w:rPr>
          <w:spacing w:val="-9"/>
          <w:w w:val="105"/>
        </w:rPr>
        <w:t> </w:t>
      </w:r>
      <w:r>
        <w:rPr>
          <w:w w:val="105"/>
        </w:rPr>
        <w:t>of</w:t>
      </w:r>
      <w:r>
        <w:rPr>
          <w:spacing w:val="-9"/>
          <w:w w:val="105"/>
        </w:rPr>
        <w:t> </w:t>
      </w:r>
      <w:r>
        <w:rPr>
          <w:w w:val="105"/>
        </w:rPr>
        <w:t>core</w:t>
      </w:r>
      <w:r>
        <w:rPr>
          <w:spacing w:val="-9"/>
          <w:w w:val="105"/>
        </w:rPr>
        <w:t> </w:t>
      </w:r>
      <w:r>
        <w:rPr>
          <w:w w:val="105"/>
        </w:rPr>
        <w:t>equity</w:t>
      </w:r>
      <w:r>
        <w:rPr>
          <w:spacing w:val="-9"/>
          <w:w w:val="105"/>
        </w:rPr>
        <w:t> </w:t>
      </w:r>
      <w:r>
        <w:rPr>
          <w:w w:val="105"/>
        </w:rPr>
        <w:t>in</w:t>
      </w:r>
      <w:r>
        <w:rPr>
          <w:spacing w:val="-9"/>
          <w:w w:val="105"/>
        </w:rPr>
        <w:t> </w:t>
      </w:r>
      <w:r>
        <w:rPr>
          <w:w w:val="105"/>
        </w:rPr>
        <w:t>earnings</w:t>
      </w:r>
      <w:r>
        <w:rPr>
          <w:spacing w:val="-9"/>
          <w:w w:val="105"/>
        </w:rPr>
        <w:t> </w:t>
      </w:r>
      <w:r>
        <w:rPr>
          <w:w w:val="105"/>
        </w:rPr>
        <w:t>of</w:t>
      </w:r>
      <w:r>
        <w:rPr>
          <w:spacing w:val="-8"/>
          <w:w w:val="105"/>
        </w:rPr>
        <w:t> </w:t>
      </w:r>
      <w:r>
        <w:rPr>
          <w:w w:val="105"/>
        </w:rPr>
        <w:t>affiliated</w:t>
      </w:r>
      <w:r>
        <w:rPr>
          <w:spacing w:val="-9"/>
          <w:w w:val="105"/>
        </w:rPr>
        <w:t> </w:t>
      </w:r>
      <w:r>
        <w:rPr>
          <w:w w:val="105"/>
        </w:rPr>
        <w:t>companies</w:t>
      </w:r>
      <w:r>
        <w:rPr>
          <w:spacing w:val="-9"/>
          <w:w w:val="105"/>
        </w:rPr>
        <w:t> </w:t>
      </w:r>
      <w:r>
        <w:rPr>
          <w:w w:val="105"/>
        </w:rPr>
        <w:t>(in</w:t>
      </w:r>
      <w:r>
        <w:rPr>
          <w:spacing w:val="-9"/>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609856">
                <wp:simplePos x="0" y="0"/>
                <wp:positionH relativeFrom="page">
                  <wp:posOffset>226479</wp:posOffset>
                </wp:positionH>
                <wp:positionV relativeFrom="paragraph">
                  <wp:posOffset>83253</wp:posOffset>
                </wp:positionV>
                <wp:extent cx="7312659" cy="1651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55419pt;width:575.775027pt;height:1.274pt;mso-position-horizontal-relative:page;mso-position-vertical-relative:paragraph;z-index:-15706624;mso-wrap-distance-left:0;mso-wrap-distance-right:0" id="docshape48" filled="true" fillcolor="#000000" stroked="false">
                <v:fill type="solid"/>
                <w10:wrap type="topAndBottom"/>
              </v:rect>
            </w:pict>
          </mc:Fallback>
        </mc:AlternateContent>
      </w:r>
    </w:p>
    <w:p>
      <w:pPr>
        <w:pStyle w:val="BodyText"/>
        <w:tabs>
          <w:tab w:pos="3438" w:val="left" w:leader="none"/>
        </w:tabs>
        <w:spacing w:before="3" w:after="33"/>
        <w:ind w:right="1062"/>
        <w:jc w:val="right"/>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r>
        <w:rPr/>
        <w:tab/>
      </w:r>
      <w:r>
        <w:rPr>
          <w:w w:val="105"/>
        </w:rPr>
        <w:t>%</w:t>
      </w:r>
      <w:r>
        <w:rPr>
          <w:spacing w:val="-4"/>
          <w:w w:val="105"/>
        </w:rPr>
        <w:t> </w:t>
      </w:r>
      <w:r>
        <w:rPr>
          <w:spacing w:val="-2"/>
          <w:w w:val="105"/>
        </w:rPr>
        <w:t>change</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5"/>
        <w:gridCol w:w="1019"/>
        <w:gridCol w:w="1436"/>
        <w:gridCol w:w="458"/>
        <w:gridCol w:w="385"/>
        <w:gridCol w:w="114"/>
        <w:gridCol w:w="1251"/>
        <w:gridCol w:w="1104"/>
      </w:tblGrid>
      <w:tr>
        <w:trPr>
          <w:trHeight w:val="201" w:hRule="atLeast"/>
        </w:trPr>
        <w:tc>
          <w:tcPr>
            <w:tcW w:w="5745" w:type="dxa"/>
            <w:tcBorders>
              <w:bottom w:val="single" w:sz="6" w:space="0" w:color="000000"/>
            </w:tcBorders>
          </w:tcPr>
          <w:p>
            <w:pPr>
              <w:pStyle w:val="TableParagraph"/>
              <w:rPr>
                <w:sz w:val="14"/>
              </w:rPr>
            </w:pPr>
          </w:p>
        </w:tc>
        <w:tc>
          <w:tcPr>
            <w:tcW w:w="1019" w:type="dxa"/>
            <w:tcBorders>
              <w:top w:val="single" w:sz="6" w:space="0" w:color="000000"/>
              <w:bottom w:val="single" w:sz="6" w:space="0" w:color="000000"/>
            </w:tcBorders>
          </w:tcPr>
          <w:p>
            <w:pPr>
              <w:pStyle w:val="TableParagraph"/>
              <w:spacing w:line="179" w:lineRule="exact" w:before="2"/>
              <w:ind w:right="112"/>
              <w:jc w:val="center"/>
              <w:rPr>
                <w:b/>
                <w:sz w:val="16"/>
              </w:rPr>
            </w:pPr>
            <w:r>
              <w:rPr>
                <w:b/>
                <w:spacing w:val="-4"/>
                <w:w w:val="105"/>
                <w:sz w:val="16"/>
              </w:rPr>
              <w:t>2021</w:t>
            </w:r>
          </w:p>
        </w:tc>
        <w:tc>
          <w:tcPr>
            <w:tcW w:w="1436" w:type="dxa"/>
            <w:tcBorders>
              <w:top w:val="single" w:sz="6" w:space="0" w:color="000000"/>
              <w:bottom w:val="single" w:sz="6" w:space="0" w:color="000000"/>
            </w:tcBorders>
          </w:tcPr>
          <w:p>
            <w:pPr>
              <w:pStyle w:val="TableParagraph"/>
              <w:spacing w:line="179" w:lineRule="exact" w:before="2"/>
              <w:ind w:left="401"/>
              <w:rPr>
                <w:sz w:val="16"/>
              </w:rPr>
            </w:pPr>
            <w:r>
              <w:rPr>
                <w:spacing w:val="-4"/>
                <w:w w:val="105"/>
                <w:sz w:val="16"/>
              </w:rPr>
              <w:t>2020</w:t>
            </w:r>
          </w:p>
        </w:tc>
        <w:tc>
          <w:tcPr>
            <w:tcW w:w="458" w:type="dxa"/>
            <w:tcBorders>
              <w:top w:val="single" w:sz="6" w:space="0" w:color="000000"/>
              <w:bottom w:val="single" w:sz="6" w:space="0" w:color="000000"/>
            </w:tcBorders>
          </w:tcPr>
          <w:p>
            <w:pPr>
              <w:pStyle w:val="TableParagraph"/>
              <w:spacing w:line="179" w:lineRule="exact" w:before="2"/>
              <w:ind w:left="105"/>
              <w:rPr>
                <w:sz w:val="16"/>
              </w:rPr>
            </w:pPr>
            <w:r>
              <w:rPr>
                <w:spacing w:val="-4"/>
                <w:w w:val="105"/>
                <w:sz w:val="16"/>
              </w:rPr>
              <w:t>2019</w:t>
            </w:r>
          </w:p>
        </w:tc>
        <w:tc>
          <w:tcPr>
            <w:tcW w:w="385" w:type="dxa"/>
            <w:tcBorders>
              <w:top w:val="single" w:sz="6" w:space="0" w:color="000000"/>
              <w:bottom w:val="single" w:sz="6" w:space="0" w:color="000000"/>
            </w:tcBorders>
          </w:tcPr>
          <w:p>
            <w:pPr>
              <w:pStyle w:val="TableParagraph"/>
              <w:rPr>
                <w:sz w:val="14"/>
              </w:rPr>
            </w:pPr>
          </w:p>
        </w:tc>
        <w:tc>
          <w:tcPr>
            <w:tcW w:w="114" w:type="dxa"/>
            <w:tcBorders>
              <w:bottom w:val="single" w:sz="6" w:space="0" w:color="000000"/>
            </w:tcBorders>
          </w:tcPr>
          <w:p>
            <w:pPr>
              <w:pStyle w:val="TableParagraph"/>
              <w:rPr>
                <w:sz w:val="14"/>
              </w:rPr>
            </w:pPr>
          </w:p>
        </w:tc>
        <w:tc>
          <w:tcPr>
            <w:tcW w:w="1251" w:type="dxa"/>
            <w:tcBorders>
              <w:top w:val="single" w:sz="6" w:space="0" w:color="000000"/>
              <w:bottom w:val="single" w:sz="6" w:space="0" w:color="000000"/>
            </w:tcBorders>
          </w:tcPr>
          <w:p>
            <w:pPr>
              <w:pStyle w:val="TableParagraph"/>
              <w:spacing w:line="179" w:lineRule="exact" w:before="2"/>
              <w:ind w:left="159"/>
              <w:rPr>
                <w:sz w:val="16"/>
              </w:rPr>
            </w:pPr>
            <w:r>
              <w:rPr>
                <w:w w:val="105"/>
                <w:sz w:val="16"/>
              </w:rPr>
              <w:t>21</w:t>
            </w:r>
            <w:r>
              <w:rPr>
                <w:spacing w:val="-5"/>
                <w:w w:val="105"/>
                <w:sz w:val="16"/>
              </w:rPr>
              <w:t> </w:t>
            </w:r>
            <w:r>
              <w:rPr>
                <w:w w:val="105"/>
                <w:sz w:val="16"/>
              </w:rPr>
              <w:t>vs.</w:t>
            </w:r>
            <w:r>
              <w:rPr>
                <w:spacing w:val="-4"/>
                <w:w w:val="105"/>
                <w:sz w:val="16"/>
              </w:rPr>
              <w:t> </w:t>
            </w:r>
            <w:r>
              <w:rPr>
                <w:spacing w:val="-7"/>
                <w:w w:val="105"/>
                <w:sz w:val="16"/>
              </w:rPr>
              <w:t>20</w:t>
            </w:r>
          </w:p>
        </w:tc>
        <w:tc>
          <w:tcPr>
            <w:tcW w:w="1104" w:type="dxa"/>
            <w:tcBorders>
              <w:top w:val="single" w:sz="6" w:space="0" w:color="000000"/>
              <w:bottom w:val="single" w:sz="6" w:space="0" w:color="000000"/>
            </w:tcBorders>
          </w:tcPr>
          <w:p>
            <w:pPr>
              <w:pStyle w:val="TableParagraph"/>
              <w:spacing w:line="179" w:lineRule="exact" w:before="2"/>
              <w:ind w:left="143"/>
              <w:rPr>
                <w:sz w:val="16"/>
              </w:rPr>
            </w:pPr>
            <w:r>
              <w:rPr>
                <w:w w:val="105"/>
                <w:sz w:val="16"/>
              </w:rPr>
              <w:t>20</w:t>
            </w:r>
            <w:r>
              <w:rPr>
                <w:spacing w:val="-5"/>
                <w:w w:val="105"/>
                <w:sz w:val="16"/>
              </w:rPr>
              <w:t> </w:t>
            </w:r>
            <w:r>
              <w:rPr>
                <w:w w:val="105"/>
                <w:sz w:val="16"/>
              </w:rPr>
              <w:t>vs.</w:t>
            </w:r>
            <w:r>
              <w:rPr>
                <w:spacing w:val="-4"/>
                <w:w w:val="105"/>
                <w:sz w:val="16"/>
              </w:rPr>
              <w:t> </w:t>
            </w:r>
            <w:r>
              <w:rPr>
                <w:spacing w:val="-7"/>
                <w:w w:val="105"/>
                <w:sz w:val="16"/>
              </w:rPr>
              <w:t>19</w:t>
            </w:r>
          </w:p>
        </w:tc>
      </w:tr>
      <w:tr>
        <w:trPr>
          <w:trHeight w:val="202" w:hRule="atLeast"/>
        </w:trPr>
        <w:tc>
          <w:tcPr>
            <w:tcW w:w="5745" w:type="dxa"/>
            <w:tcBorders>
              <w:top w:val="single" w:sz="6" w:space="0" w:color="000000"/>
            </w:tcBorders>
            <w:shd w:val="clear" w:color="auto" w:fill="CCEDFF"/>
          </w:tcPr>
          <w:p>
            <w:pPr>
              <w:pStyle w:val="TableParagraph"/>
              <w:spacing w:line="183" w:lineRule="exact"/>
              <w:rPr>
                <w:sz w:val="14"/>
              </w:rPr>
            </w:pPr>
            <w:r>
              <w:rPr>
                <w:sz w:val="16"/>
              </w:rPr>
              <w:t>Hemlock</w:t>
            </w:r>
            <w:r>
              <w:rPr>
                <w:spacing w:val="20"/>
                <w:sz w:val="16"/>
              </w:rPr>
              <w:t> </w:t>
            </w:r>
            <w:r>
              <w:rPr>
                <w:sz w:val="16"/>
              </w:rPr>
              <w:t>Semiconductor</w:t>
            </w:r>
            <w:r>
              <w:rPr>
                <w:spacing w:val="20"/>
                <w:sz w:val="16"/>
              </w:rPr>
              <w:t> </w:t>
            </w:r>
            <w:r>
              <w:rPr>
                <w:sz w:val="16"/>
              </w:rPr>
              <w:t>Group</w:t>
            </w:r>
            <w:r>
              <w:rPr>
                <w:spacing w:val="22"/>
                <w:sz w:val="16"/>
              </w:rPr>
              <w:t> </w:t>
            </w:r>
            <w:r>
              <w:rPr>
                <w:spacing w:val="-5"/>
                <w:position w:val="3"/>
                <w:sz w:val="14"/>
              </w:rPr>
              <w:t>(1)</w:t>
            </w:r>
          </w:p>
        </w:tc>
        <w:tc>
          <w:tcPr>
            <w:tcW w:w="1019" w:type="dxa"/>
            <w:tcBorders>
              <w:top w:val="single" w:sz="6" w:space="0" w:color="000000"/>
            </w:tcBorders>
            <w:shd w:val="clear" w:color="auto" w:fill="CCEDFF"/>
          </w:tcPr>
          <w:p>
            <w:pPr>
              <w:pStyle w:val="TableParagraph"/>
              <w:rPr>
                <w:sz w:val="14"/>
              </w:rPr>
            </w:pPr>
          </w:p>
        </w:tc>
        <w:tc>
          <w:tcPr>
            <w:tcW w:w="1436" w:type="dxa"/>
            <w:tcBorders>
              <w:top w:val="single" w:sz="6" w:space="0" w:color="000000"/>
            </w:tcBorders>
            <w:shd w:val="clear" w:color="auto" w:fill="CCEDFF"/>
          </w:tcPr>
          <w:p>
            <w:pPr>
              <w:pStyle w:val="TableParagraph"/>
              <w:tabs>
                <w:tab w:pos="853" w:val="left" w:leader="none"/>
                <w:tab w:pos="1248" w:val="left" w:leader="none"/>
              </w:tabs>
              <w:spacing w:line="180" w:lineRule="exact" w:before="2"/>
              <w:ind w:left="114"/>
              <w:rPr>
                <w:sz w:val="16"/>
              </w:rPr>
            </w:pPr>
            <w:r>
              <w:rPr>
                <w:spacing w:val="-10"/>
                <w:w w:val="105"/>
                <w:sz w:val="16"/>
              </w:rPr>
              <w:t>$</w:t>
            </w:r>
            <w:r>
              <w:rPr>
                <w:sz w:val="16"/>
              </w:rPr>
              <w:tab/>
            </w:r>
            <w:r>
              <w:rPr>
                <w:spacing w:val="-5"/>
                <w:w w:val="105"/>
                <w:sz w:val="16"/>
              </w:rPr>
              <w:t>82</w:t>
            </w:r>
            <w:r>
              <w:rPr>
                <w:sz w:val="16"/>
              </w:rPr>
              <w:tab/>
            </w:r>
            <w:r>
              <w:rPr>
                <w:spacing w:val="-10"/>
                <w:w w:val="105"/>
                <w:sz w:val="16"/>
              </w:rPr>
              <w:t>$</w:t>
            </w:r>
          </w:p>
        </w:tc>
        <w:tc>
          <w:tcPr>
            <w:tcW w:w="458" w:type="dxa"/>
            <w:tcBorders>
              <w:top w:val="single" w:sz="6" w:space="0" w:color="000000"/>
            </w:tcBorders>
            <w:shd w:val="clear" w:color="auto" w:fill="CCEDFF"/>
          </w:tcPr>
          <w:p>
            <w:pPr>
              <w:pStyle w:val="TableParagraph"/>
              <w:rPr>
                <w:sz w:val="14"/>
              </w:rPr>
            </w:pPr>
          </w:p>
        </w:tc>
        <w:tc>
          <w:tcPr>
            <w:tcW w:w="385" w:type="dxa"/>
            <w:tcBorders>
              <w:top w:val="single" w:sz="6" w:space="0" w:color="000000"/>
            </w:tcBorders>
            <w:shd w:val="clear" w:color="auto" w:fill="CCEDFF"/>
          </w:tcPr>
          <w:p>
            <w:pPr>
              <w:pStyle w:val="TableParagraph"/>
              <w:spacing w:line="180" w:lineRule="exact" w:before="2"/>
              <w:ind w:right="111"/>
              <w:jc w:val="right"/>
              <w:rPr>
                <w:sz w:val="16"/>
              </w:rPr>
            </w:pPr>
            <w:r>
              <w:rPr>
                <w:spacing w:val="-5"/>
                <w:w w:val="105"/>
                <w:sz w:val="16"/>
              </w:rPr>
              <w:t>229</w:t>
            </w:r>
          </w:p>
        </w:tc>
        <w:tc>
          <w:tcPr>
            <w:tcW w:w="114" w:type="dxa"/>
            <w:tcBorders>
              <w:top w:val="single" w:sz="6" w:space="0" w:color="000000"/>
            </w:tcBorders>
            <w:shd w:val="clear" w:color="auto" w:fill="CCEDFF"/>
          </w:tcPr>
          <w:p>
            <w:pPr>
              <w:pStyle w:val="TableParagraph"/>
              <w:rPr>
                <w:sz w:val="14"/>
              </w:rPr>
            </w:pPr>
          </w:p>
        </w:tc>
        <w:tc>
          <w:tcPr>
            <w:tcW w:w="1251" w:type="dxa"/>
            <w:tcBorders>
              <w:top w:val="single" w:sz="6" w:space="0" w:color="000000"/>
            </w:tcBorders>
            <w:shd w:val="clear" w:color="auto" w:fill="CCEDFF"/>
          </w:tcPr>
          <w:p>
            <w:pPr>
              <w:pStyle w:val="TableParagraph"/>
              <w:spacing w:line="180" w:lineRule="exact" w:before="2"/>
              <w:ind w:right="136"/>
              <w:jc w:val="right"/>
              <w:rPr>
                <w:sz w:val="16"/>
              </w:rPr>
            </w:pPr>
            <w:r>
              <w:rPr>
                <w:spacing w:val="-2"/>
                <w:w w:val="105"/>
                <w:sz w:val="16"/>
              </w:rPr>
              <w:t>(100)%</w:t>
            </w:r>
          </w:p>
        </w:tc>
        <w:tc>
          <w:tcPr>
            <w:tcW w:w="1104" w:type="dxa"/>
            <w:tcBorders>
              <w:top w:val="single" w:sz="6" w:space="0" w:color="000000"/>
            </w:tcBorders>
            <w:shd w:val="clear" w:color="auto" w:fill="CCEDFF"/>
          </w:tcPr>
          <w:p>
            <w:pPr>
              <w:pStyle w:val="TableParagraph"/>
              <w:spacing w:line="180" w:lineRule="exact" w:before="2"/>
              <w:ind w:right="4"/>
              <w:jc w:val="right"/>
              <w:rPr>
                <w:sz w:val="16"/>
              </w:rPr>
            </w:pPr>
            <w:r>
              <w:rPr>
                <w:spacing w:val="-4"/>
                <w:w w:val="105"/>
                <w:sz w:val="16"/>
              </w:rPr>
              <w:t>(64)%</w:t>
            </w:r>
          </w:p>
        </w:tc>
      </w:tr>
      <w:tr>
        <w:trPr>
          <w:trHeight w:val="188" w:hRule="atLeast"/>
        </w:trPr>
        <w:tc>
          <w:tcPr>
            <w:tcW w:w="5745" w:type="dxa"/>
          </w:tcPr>
          <w:p>
            <w:pPr>
              <w:pStyle w:val="TableParagraph"/>
              <w:spacing w:line="165" w:lineRule="exact" w:before="3"/>
              <w:rPr>
                <w:sz w:val="16"/>
              </w:rPr>
            </w:pPr>
            <w:r>
              <w:rPr>
                <w:w w:val="105"/>
                <w:sz w:val="16"/>
              </w:rPr>
              <w:t>All</w:t>
            </w:r>
            <w:r>
              <w:rPr>
                <w:spacing w:val="-8"/>
                <w:w w:val="105"/>
                <w:sz w:val="16"/>
              </w:rPr>
              <w:t> </w:t>
            </w:r>
            <w:r>
              <w:rPr>
                <w:spacing w:val="-2"/>
                <w:w w:val="105"/>
                <w:sz w:val="16"/>
              </w:rPr>
              <w:t>other</w:t>
            </w:r>
          </w:p>
        </w:tc>
        <w:tc>
          <w:tcPr>
            <w:tcW w:w="1019" w:type="dxa"/>
          </w:tcPr>
          <w:p>
            <w:pPr>
              <w:pStyle w:val="TableParagraph"/>
              <w:tabs>
                <w:tab w:pos="738" w:val="left" w:leader="none"/>
              </w:tabs>
              <w:spacing w:line="165" w:lineRule="exact" w:before="3"/>
              <w:ind w:right="112"/>
              <w:jc w:val="center"/>
              <w:rPr>
                <w:b/>
                <w:sz w:val="16"/>
              </w:rPr>
            </w:pPr>
            <w:r>
              <w:rPr>
                <w:b/>
                <w:spacing w:val="-10"/>
                <w:w w:val="105"/>
                <w:sz w:val="16"/>
              </w:rPr>
              <w:t>$</w:t>
            </w:r>
            <w:r>
              <w:rPr>
                <w:b/>
                <w:sz w:val="16"/>
              </w:rPr>
              <w:tab/>
            </w:r>
            <w:r>
              <w:rPr>
                <w:b/>
                <w:spacing w:val="-7"/>
                <w:w w:val="105"/>
                <w:sz w:val="16"/>
              </w:rPr>
              <w:t>38</w:t>
            </w:r>
          </w:p>
        </w:tc>
        <w:tc>
          <w:tcPr>
            <w:tcW w:w="1436" w:type="dxa"/>
          </w:tcPr>
          <w:p>
            <w:pPr>
              <w:pStyle w:val="TableParagraph"/>
              <w:spacing w:line="165" w:lineRule="exact" w:before="3"/>
              <w:ind w:left="936"/>
              <w:rPr>
                <w:sz w:val="16"/>
              </w:rPr>
            </w:pPr>
            <w:r>
              <w:rPr>
                <w:spacing w:val="-10"/>
                <w:w w:val="105"/>
                <w:sz w:val="16"/>
              </w:rPr>
              <w:t>4</w:t>
            </w:r>
          </w:p>
        </w:tc>
        <w:tc>
          <w:tcPr>
            <w:tcW w:w="458" w:type="dxa"/>
          </w:tcPr>
          <w:p>
            <w:pPr>
              <w:pStyle w:val="TableParagraph"/>
              <w:rPr>
                <w:sz w:val="12"/>
              </w:rPr>
            </w:pPr>
          </w:p>
        </w:tc>
        <w:tc>
          <w:tcPr>
            <w:tcW w:w="385" w:type="dxa"/>
          </w:tcPr>
          <w:p>
            <w:pPr>
              <w:pStyle w:val="TableParagraph"/>
              <w:spacing w:line="165" w:lineRule="exact" w:before="3"/>
              <w:ind w:right="111"/>
              <w:jc w:val="right"/>
              <w:rPr>
                <w:sz w:val="16"/>
              </w:rPr>
            </w:pPr>
            <w:r>
              <w:rPr>
                <w:spacing w:val="-10"/>
                <w:w w:val="105"/>
                <w:sz w:val="16"/>
              </w:rPr>
              <w:t>8</w:t>
            </w:r>
          </w:p>
        </w:tc>
        <w:tc>
          <w:tcPr>
            <w:tcW w:w="114" w:type="dxa"/>
          </w:tcPr>
          <w:p>
            <w:pPr>
              <w:pStyle w:val="TableParagraph"/>
              <w:rPr>
                <w:sz w:val="12"/>
              </w:rPr>
            </w:pPr>
          </w:p>
        </w:tc>
        <w:tc>
          <w:tcPr>
            <w:tcW w:w="1251" w:type="dxa"/>
          </w:tcPr>
          <w:p>
            <w:pPr>
              <w:pStyle w:val="TableParagraph"/>
              <w:spacing w:line="165" w:lineRule="exact" w:before="3"/>
              <w:ind w:right="193"/>
              <w:jc w:val="right"/>
              <w:rPr>
                <w:sz w:val="16"/>
              </w:rPr>
            </w:pPr>
            <w:r>
              <w:rPr>
                <w:spacing w:val="-4"/>
                <w:w w:val="105"/>
                <w:sz w:val="16"/>
              </w:rPr>
              <w:t>850%</w:t>
            </w:r>
          </w:p>
        </w:tc>
        <w:tc>
          <w:tcPr>
            <w:tcW w:w="1104" w:type="dxa"/>
          </w:tcPr>
          <w:p>
            <w:pPr>
              <w:pStyle w:val="TableParagraph"/>
              <w:spacing w:line="165" w:lineRule="exact" w:before="3"/>
              <w:ind w:right="4"/>
              <w:jc w:val="right"/>
              <w:rPr>
                <w:sz w:val="16"/>
              </w:rPr>
            </w:pPr>
            <w:r>
              <w:rPr>
                <w:spacing w:val="-4"/>
                <w:w w:val="105"/>
                <w:sz w:val="16"/>
              </w:rPr>
              <w:t>(50)%</w:t>
            </w:r>
          </w:p>
        </w:tc>
      </w:tr>
    </w:tbl>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9"/>
        <w:gridCol w:w="343"/>
        <w:gridCol w:w="4521"/>
      </w:tblGrid>
      <w:tr>
        <w:trPr>
          <w:trHeight w:val="199" w:hRule="atLeast"/>
        </w:trPr>
        <w:tc>
          <w:tcPr>
            <w:tcW w:w="6649" w:type="dxa"/>
            <w:tcBorders>
              <w:top w:val="single" w:sz="6" w:space="0" w:color="000000"/>
              <w:bottom w:val="double" w:sz="6" w:space="0" w:color="000000"/>
            </w:tcBorders>
            <w:shd w:val="clear" w:color="auto" w:fill="CCEDFF"/>
          </w:tcPr>
          <w:p>
            <w:pPr>
              <w:pStyle w:val="TableParagraph"/>
              <w:tabs>
                <w:tab w:pos="5744" w:val="left" w:leader="none"/>
                <w:tab w:pos="6649" w:val="right" w:leader="none"/>
              </w:tabs>
              <w:spacing w:line="177" w:lineRule="exact" w:before="2"/>
              <w:ind w:right="-15"/>
              <w:rPr>
                <w:b/>
                <w:sz w:val="16"/>
              </w:rPr>
            </w:pPr>
            <w:r>
              <w:rPr>
                <w:sz w:val="16"/>
              </w:rPr>
              <w:t>Total</w:t>
            </w:r>
            <w:r>
              <w:rPr>
                <w:spacing w:val="11"/>
                <w:sz w:val="16"/>
              </w:rPr>
              <w:t> </w:t>
            </w:r>
            <w:r>
              <w:rPr>
                <w:sz w:val="16"/>
              </w:rPr>
              <w:t>core</w:t>
            </w:r>
            <w:r>
              <w:rPr>
                <w:spacing w:val="11"/>
                <w:sz w:val="16"/>
              </w:rPr>
              <w:t> </w:t>
            </w:r>
            <w:r>
              <w:rPr>
                <w:sz w:val="16"/>
              </w:rPr>
              <w:t>equity</w:t>
            </w:r>
            <w:r>
              <w:rPr>
                <w:spacing w:val="11"/>
                <w:sz w:val="16"/>
              </w:rPr>
              <w:t> </w:t>
            </w:r>
            <w:r>
              <w:rPr>
                <w:spacing w:val="-2"/>
                <w:sz w:val="16"/>
              </w:rPr>
              <w:t>earnings</w:t>
            </w:r>
            <w:r>
              <w:rPr>
                <w:sz w:val="16"/>
              </w:rPr>
              <w:tab/>
            </w:r>
            <w:r>
              <w:rPr>
                <w:b/>
                <w:spacing w:val="-10"/>
                <w:sz w:val="16"/>
              </w:rPr>
              <w:t>$</w:t>
            </w:r>
            <w:r>
              <w:rPr>
                <w:sz w:val="16"/>
              </w:rPr>
              <w:tab/>
            </w:r>
            <w:r>
              <w:rPr>
                <w:b/>
                <w:spacing w:val="-5"/>
                <w:sz w:val="16"/>
              </w:rPr>
              <w:t>38</w:t>
            </w:r>
          </w:p>
        </w:tc>
        <w:tc>
          <w:tcPr>
            <w:tcW w:w="343" w:type="dxa"/>
            <w:tcBorders>
              <w:top w:val="single" w:sz="6" w:space="0" w:color="000000"/>
            </w:tcBorders>
          </w:tcPr>
          <w:p>
            <w:pPr>
              <w:pStyle w:val="TableParagraph"/>
              <w:spacing w:line="177" w:lineRule="exact" w:before="2"/>
              <w:ind w:right="28"/>
              <w:jc w:val="right"/>
              <w:rPr>
                <w:sz w:val="16"/>
              </w:rPr>
            </w:pPr>
            <w:r>
              <w:rPr/>
              <mc:AlternateContent>
                <mc:Choice Requires="wps">
                  <w:drawing>
                    <wp:anchor distT="0" distB="0" distL="0" distR="0" allowOverlap="1" layoutInCell="1" locked="0" behindDoc="1" simplePos="0" relativeHeight="474039808">
                      <wp:simplePos x="0" y="0"/>
                      <wp:positionH relativeFrom="column">
                        <wp:posOffset>0</wp:posOffset>
                      </wp:positionH>
                      <wp:positionV relativeFrom="paragraph">
                        <wp:posOffset>-943</wp:posOffset>
                      </wp:positionV>
                      <wp:extent cx="218440" cy="15430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18440" cy="154305"/>
                                <a:chExt cx="218440" cy="154305"/>
                              </a:xfrm>
                            </wpg:grpSpPr>
                            <pic:pic>
                              <pic:nvPicPr>
                                <pic:cNvPr id="51" name="Image 51"/>
                                <pic:cNvPicPr/>
                              </pic:nvPicPr>
                              <pic:blipFill>
                                <a:blip r:embed="rId9" cstate="print"/>
                                <a:stretch>
                                  <a:fillRect/>
                                </a:stretch>
                              </pic:blipFill>
                              <pic:spPr>
                                <a:xfrm>
                                  <a:off x="0" y="0"/>
                                  <a:ext cx="216568" cy="152400"/>
                                </a:xfrm>
                                <a:prstGeom prst="rect">
                                  <a:avLst/>
                                </a:prstGeom>
                              </pic:spPr>
                            </pic:pic>
                          </wpg:wgp>
                        </a:graphicData>
                      </a:graphic>
                    </wp:anchor>
                  </w:drawing>
                </mc:Choice>
                <mc:Fallback>
                  <w:pict>
                    <v:group style="position:absolute;margin-left:0pt;margin-top:-.074291pt;width:17.2pt;height:12.15pt;mso-position-horizontal-relative:column;mso-position-vertical-relative:paragraph;z-index:-29276672" id="docshapegroup49" coordorigin="0,-1" coordsize="344,243">
                      <v:shape style="position:absolute;left:0;top:-2;width:342;height:240" type="#_x0000_t75" id="docshape50" stroked="false">
                        <v:imagedata r:id="rId9" o:title=""/>
                      </v:shape>
                      <w10:wrap type="none"/>
                    </v:group>
                  </w:pict>
                </mc:Fallback>
              </mc:AlternateContent>
            </w:r>
            <w:r>
              <w:rPr>
                <w:spacing w:val="-10"/>
                <w:w w:val="105"/>
                <w:sz w:val="16"/>
              </w:rPr>
              <w:t>$</w:t>
            </w:r>
          </w:p>
        </w:tc>
        <w:tc>
          <w:tcPr>
            <w:tcW w:w="4521" w:type="dxa"/>
            <w:tcBorders>
              <w:top w:val="single" w:sz="6" w:space="0" w:color="000000"/>
              <w:bottom w:val="double" w:sz="6" w:space="0" w:color="000000"/>
            </w:tcBorders>
            <w:shd w:val="clear" w:color="auto" w:fill="CCEDFF"/>
          </w:tcPr>
          <w:p>
            <w:pPr>
              <w:pStyle w:val="TableParagraph"/>
              <w:tabs>
                <w:tab w:pos="1020" w:val="left" w:leader="none"/>
                <w:tab w:pos="1689" w:val="left" w:leader="none"/>
                <w:tab w:pos="2863" w:val="left" w:leader="none"/>
                <w:tab w:pos="4098" w:val="left" w:leader="none"/>
              </w:tabs>
              <w:spacing w:line="177" w:lineRule="exact" w:before="2"/>
              <w:ind w:left="625"/>
              <w:rPr>
                <w:sz w:val="16"/>
              </w:rPr>
            </w:pPr>
            <w:r>
              <w:rPr>
                <w:spacing w:val="-5"/>
                <w:w w:val="105"/>
                <w:sz w:val="16"/>
              </w:rPr>
              <w:t>86</w:t>
            </w:r>
            <w:r>
              <w:rPr>
                <w:sz w:val="16"/>
              </w:rPr>
              <w:tab/>
            </w:r>
            <w:r>
              <w:rPr>
                <w:spacing w:val="-10"/>
                <w:w w:val="105"/>
                <w:sz w:val="16"/>
              </w:rPr>
              <w:t>$</w:t>
            </w:r>
            <w:r>
              <w:rPr>
                <w:sz w:val="16"/>
              </w:rPr>
              <w:tab/>
            </w:r>
            <w:r>
              <w:rPr>
                <w:spacing w:val="-5"/>
                <w:w w:val="105"/>
                <w:sz w:val="16"/>
              </w:rPr>
              <w:t>237</w:t>
            </w:r>
            <w:r>
              <w:rPr>
                <w:sz w:val="16"/>
              </w:rPr>
              <w:tab/>
            </w:r>
            <w:r>
              <w:rPr>
                <w:spacing w:val="-2"/>
                <w:w w:val="105"/>
                <w:sz w:val="16"/>
              </w:rPr>
              <w:t>(56)%</w:t>
            </w:r>
            <w:r>
              <w:rPr>
                <w:sz w:val="16"/>
              </w:rPr>
              <w:tab/>
            </w:r>
            <w:r>
              <w:rPr>
                <w:spacing w:val="-2"/>
                <w:w w:val="105"/>
                <w:sz w:val="16"/>
              </w:rPr>
              <w:t>(64)%</w:t>
            </w:r>
          </w:p>
        </w:tc>
      </w:tr>
    </w:tbl>
    <w:p>
      <w:pPr>
        <w:pStyle w:val="BodyText"/>
        <w:spacing w:before="12"/>
      </w:pPr>
    </w:p>
    <w:p>
      <w:pPr>
        <w:pStyle w:val="ListParagraph"/>
        <w:numPr>
          <w:ilvl w:val="0"/>
          <w:numId w:val="13"/>
        </w:numPr>
        <w:tabs>
          <w:tab w:pos="459" w:val="left" w:leader="none"/>
        </w:tabs>
        <w:spacing w:line="240" w:lineRule="auto" w:before="0" w:after="0"/>
        <w:ind w:left="459" w:right="0" w:hanging="303"/>
        <w:jc w:val="left"/>
        <w:rPr>
          <w:sz w:val="14"/>
        </w:rPr>
      </w:pPr>
      <w:r>
        <w:rPr>
          <w:sz w:val="14"/>
        </w:rPr>
        <w:t>The</w:t>
      </w:r>
      <w:r>
        <w:rPr>
          <w:spacing w:val="-2"/>
          <w:sz w:val="14"/>
        </w:rPr>
        <w:t> </w:t>
      </w:r>
      <w:r>
        <w:rPr>
          <w:sz w:val="14"/>
        </w:rPr>
        <w:t>year</w:t>
      </w:r>
      <w:r>
        <w:rPr>
          <w:spacing w:val="-1"/>
          <w:sz w:val="14"/>
        </w:rPr>
        <w:t> </w:t>
      </w:r>
      <w:r>
        <w:rPr>
          <w:sz w:val="14"/>
        </w:rPr>
        <w:t>ended</w:t>
      </w:r>
      <w:r>
        <w:rPr>
          <w:spacing w:val="-1"/>
          <w:sz w:val="14"/>
        </w:rPr>
        <w:t> </w:t>
      </w:r>
      <w:r>
        <w:rPr>
          <w:sz w:val="14"/>
        </w:rPr>
        <w:t>December</w:t>
      </w:r>
      <w:r>
        <w:rPr>
          <w:spacing w:val="-2"/>
          <w:sz w:val="14"/>
        </w:rPr>
        <w:t> </w:t>
      </w:r>
      <w:r>
        <w:rPr>
          <w:sz w:val="14"/>
        </w:rPr>
        <w:t>31,</w:t>
      </w:r>
      <w:r>
        <w:rPr>
          <w:spacing w:val="-1"/>
          <w:sz w:val="14"/>
        </w:rPr>
        <w:t> </w:t>
      </w:r>
      <w:r>
        <w:rPr>
          <w:sz w:val="14"/>
        </w:rPr>
        <w:t>2020,</w:t>
      </w:r>
      <w:r>
        <w:rPr>
          <w:spacing w:val="-1"/>
          <w:sz w:val="14"/>
        </w:rPr>
        <w:t> </w:t>
      </w:r>
      <w:r>
        <w:rPr>
          <w:sz w:val="14"/>
        </w:rPr>
        <w:t>includes</w:t>
      </w:r>
      <w:r>
        <w:rPr>
          <w:spacing w:val="-1"/>
          <w:sz w:val="14"/>
        </w:rPr>
        <w:t> </w:t>
      </w:r>
      <w:r>
        <w:rPr>
          <w:sz w:val="14"/>
        </w:rPr>
        <w:t>HSG’s</w:t>
      </w:r>
      <w:r>
        <w:rPr>
          <w:spacing w:val="-2"/>
          <w:sz w:val="14"/>
        </w:rPr>
        <w:t> </w:t>
      </w:r>
      <w:r>
        <w:rPr>
          <w:sz w:val="14"/>
        </w:rPr>
        <w:t>results</w:t>
      </w:r>
      <w:r>
        <w:rPr>
          <w:spacing w:val="-1"/>
          <w:sz w:val="14"/>
        </w:rPr>
        <w:t> </w:t>
      </w:r>
      <w:r>
        <w:rPr>
          <w:sz w:val="14"/>
        </w:rPr>
        <w:t>of</w:t>
      </w:r>
      <w:r>
        <w:rPr>
          <w:spacing w:val="-1"/>
          <w:sz w:val="14"/>
        </w:rPr>
        <w:t> </w:t>
      </w:r>
      <w:r>
        <w:rPr>
          <w:sz w:val="14"/>
        </w:rPr>
        <w:t>operations</w:t>
      </w:r>
      <w:r>
        <w:rPr>
          <w:spacing w:val="-1"/>
          <w:sz w:val="14"/>
        </w:rPr>
        <w:t> </w:t>
      </w:r>
      <w:r>
        <w:rPr>
          <w:sz w:val="14"/>
        </w:rPr>
        <w:t>through</w:t>
      </w:r>
      <w:r>
        <w:rPr>
          <w:spacing w:val="-2"/>
          <w:sz w:val="14"/>
        </w:rPr>
        <w:t> </w:t>
      </w:r>
      <w:r>
        <w:rPr>
          <w:sz w:val="14"/>
        </w:rPr>
        <w:t>September</w:t>
      </w:r>
      <w:r>
        <w:rPr>
          <w:spacing w:val="-1"/>
          <w:sz w:val="14"/>
        </w:rPr>
        <w:t> </w:t>
      </w:r>
      <w:r>
        <w:rPr>
          <w:sz w:val="14"/>
        </w:rPr>
        <w:t>8,</w:t>
      </w:r>
      <w:r>
        <w:rPr>
          <w:spacing w:val="-1"/>
          <w:sz w:val="14"/>
        </w:rPr>
        <w:t> </w:t>
      </w:r>
      <w:r>
        <w:rPr>
          <w:sz w:val="14"/>
        </w:rPr>
        <w:t>2020.</w:t>
      </w:r>
      <w:r>
        <w:rPr>
          <w:spacing w:val="-2"/>
          <w:sz w:val="14"/>
        </w:rPr>
        <w:t> </w:t>
      </w:r>
      <w:r>
        <w:rPr>
          <w:sz w:val="14"/>
        </w:rPr>
        <w:t>Corning</w:t>
      </w:r>
      <w:r>
        <w:rPr>
          <w:spacing w:val="-1"/>
          <w:sz w:val="14"/>
        </w:rPr>
        <w:t> </w:t>
      </w:r>
      <w:r>
        <w:rPr>
          <w:sz w:val="14"/>
        </w:rPr>
        <w:t>began</w:t>
      </w:r>
      <w:r>
        <w:rPr>
          <w:spacing w:val="-1"/>
          <w:sz w:val="14"/>
        </w:rPr>
        <w:t> </w:t>
      </w:r>
      <w:r>
        <w:rPr>
          <w:sz w:val="14"/>
        </w:rPr>
        <w:t>consolidating</w:t>
      </w:r>
      <w:r>
        <w:rPr>
          <w:spacing w:val="-1"/>
          <w:sz w:val="14"/>
        </w:rPr>
        <w:t> </w:t>
      </w:r>
      <w:r>
        <w:rPr>
          <w:sz w:val="14"/>
        </w:rPr>
        <w:t>HSG</w:t>
      </w:r>
      <w:r>
        <w:rPr>
          <w:spacing w:val="-2"/>
          <w:sz w:val="14"/>
        </w:rPr>
        <w:t> </w:t>
      </w:r>
      <w:r>
        <w:rPr>
          <w:sz w:val="14"/>
        </w:rPr>
        <w:t>on</w:t>
      </w:r>
      <w:r>
        <w:rPr>
          <w:spacing w:val="-1"/>
          <w:sz w:val="14"/>
        </w:rPr>
        <w:t> </w:t>
      </w:r>
      <w:r>
        <w:rPr>
          <w:sz w:val="14"/>
        </w:rPr>
        <w:t>September</w:t>
      </w:r>
      <w:r>
        <w:rPr>
          <w:spacing w:val="-1"/>
          <w:sz w:val="14"/>
        </w:rPr>
        <w:t> </w:t>
      </w:r>
      <w:r>
        <w:rPr>
          <w:sz w:val="14"/>
        </w:rPr>
        <w:t>9,</w:t>
      </w:r>
      <w:r>
        <w:rPr>
          <w:spacing w:val="-1"/>
          <w:sz w:val="14"/>
        </w:rPr>
        <w:t> </w:t>
      </w:r>
      <w:r>
        <w:rPr>
          <w:spacing w:val="-2"/>
          <w:sz w:val="14"/>
        </w:rPr>
        <w:t>2020.</w:t>
      </w:r>
    </w:p>
    <w:p>
      <w:pPr>
        <w:pStyle w:val="BodyText"/>
        <w:spacing w:before="41"/>
        <w:rPr>
          <w:sz w:val="14"/>
        </w:rPr>
      </w:pPr>
    </w:p>
    <w:p>
      <w:pPr>
        <w:pStyle w:val="Heading3"/>
      </w:pPr>
      <w:r>
        <w:rPr>
          <w:w w:val="105"/>
        </w:rPr>
        <w:t>Core</w:t>
      </w:r>
      <w:r>
        <w:rPr>
          <w:spacing w:val="-7"/>
          <w:w w:val="105"/>
        </w:rPr>
        <w:t> </w:t>
      </w:r>
      <w:r>
        <w:rPr>
          <w:w w:val="105"/>
        </w:rPr>
        <w:t>Net</w:t>
      </w:r>
      <w:r>
        <w:rPr>
          <w:spacing w:val="-7"/>
          <w:w w:val="105"/>
        </w:rPr>
        <w:t> </w:t>
      </w:r>
      <w:r>
        <w:rPr>
          <w:spacing w:val="-2"/>
          <w:w w:val="105"/>
        </w:rPr>
        <w:t>Income</w:t>
      </w:r>
    </w:p>
    <w:p>
      <w:pPr>
        <w:pStyle w:val="BodyText"/>
        <w:spacing w:before="40"/>
        <w:rPr>
          <w:b/>
          <w:i/>
        </w:rPr>
      </w:pPr>
    </w:p>
    <w:p>
      <w:pPr>
        <w:pStyle w:val="BodyText"/>
        <w:spacing w:line="266" w:lineRule="auto"/>
        <w:ind w:left="156" w:right="117"/>
      </w:pPr>
      <w:r>
        <w:rPr>
          <w:w w:val="105"/>
        </w:rPr>
        <w:t>In</w:t>
      </w:r>
      <w:r>
        <w:rPr>
          <w:spacing w:val="-7"/>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7"/>
          <w:w w:val="105"/>
        </w:rPr>
        <w:t> </w:t>
      </w:r>
      <w:r>
        <w:rPr>
          <w:w w:val="105"/>
        </w:rPr>
        <w:t>we</w:t>
      </w:r>
      <w:r>
        <w:rPr>
          <w:spacing w:val="-7"/>
          <w:w w:val="105"/>
        </w:rPr>
        <w:t> </w:t>
      </w:r>
      <w:r>
        <w:rPr>
          <w:w w:val="105"/>
        </w:rPr>
        <w:t>generated</w:t>
      </w:r>
      <w:r>
        <w:rPr>
          <w:spacing w:val="-7"/>
          <w:w w:val="105"/>
        </w:rPr>
        <w:t> </w:t>
      </w:r>
      <w:r>
        <w:rPr>
          <w:w w:val="105"/>
        </w:rPr>
        <w:t>core</w:t>
      </w:r>
      <w:r>
        <w:rPr>
          <w:spacing w:val="-7"/>
          <w:w w:val="105"/>
        </w:rPr>
        <w:t> </w:t>
      </w:r>
      <w:r>
        <w:rPr>
          <w:w w:val="105"/>
        </w:rPr>
        <w:t>net</w:t>
      </w:r>
      <w:r>
        <w:rPr>
          <w:spacing w:val="-7"/>
          <w:w w:val="105"/>
        </w:rPr>
        <w:t> </w:t>
      </w:r>
      <w:r>
        <w:rPr>
          <w:w w:val="105"/>
        </w:rPr>
        <w:t>income</w:t>
      </w:r>
      <w:r>
        <w:rPr>
          <w:spacing w:val="-7"/>
          <w:w w:val="105"/>
        </w:rPr>
        <w:t> </w:t>
      </w:r>
      <w:r>
        <w:rPr>
          <w:w w:val="105"/>
        </w:rPr>
        <w:t>of</w:t>
      </w:r>
      <w:r>
        <w:rPr>
          <w:spacing w:val="-7"/>
          <w:w w:val="105"/>
        </w:rPr>
        <w:t> </w:t>
      </w:r>
      <w:r>
        <w:rPr>
          <w:w w:val="105"/>
        </w:rPr>
        <w:t>$1.8</w:t>
      </w:r>
      <w:r>
        <w:rPr>
          <w:spacing w:val="-7"/>
          <w:w w:val="105"/>
        </w:rPr>
        <w:t> </w:t>
      </w:r>
      <w:r>
        <w:rPr>
          <w:w w:val="105"/>
        </w:rPr>
        <w:t>billion</w:t>
      </w:r>
      <w:r>
        <w:rPr>
          <w:spacing w:val="-7"/>
          <w:w w:val="105"/>
        </w:rPr>
        <w:t> </w:t>
      </w:r>
      <w:r>
        <w:rPr>
          <w:w w:val="105"/>
        </w:rPr>
        <w:t>or</w:t>
      </w:r>
      <w:r>
        <w:rPr>
          <w:spacing w:val="-7"/>
          <w:w w:val="105"/>
        </w:rPr>
        <w:t> </w:t>
      </w:r>
      <w:r>
        <w:rPr>
          <w:w w:val="105"/>
        </w:rPr>
        <w:t>$2.07</w:t>
      </w:r>
      <w:r>
        <w:rPr>
          <w:spacing w:val="-7"/>
          <w:w w:val="105"/>
        </w:rPr>
        <w:t> </w:t>
      </w:r>
      <w:r>
        <w:rPr>
          <w:w w:val="105"/>
        </w:rPr>
        <w:t>per</w:t>
      </w:r>
      <w:r>
        <w:rPr>
          <w:spacing w:val="-7"/>
          <w:w w:val="105"/>
        </w:rPr>
        <w:t> </w:t>
      </w:r>
      <w:r>
        <w:rPr>
          <w:w w:val="105"/>
        </w:rPr>
        <w:t>share,</w:t>
      </w:r>
      <w:r>
        <w:rPr>
          <w:spacing w:val="-7"/>
          <w:w w:val="105"/>
        </w:rPr>
        <w:t> </w:t>
      </w:r>
      <w:r>
        <w:rPr>
          <w:w w:val="105"/>
        </w:rPr>
        <w:t>compared</w:t>
      </w:r>
      <w:r>
        <w:rPr>
          <w:spacing w:val="-7"/>
          <w:w w:val="105"/>
        </w:rPr>
        <w:t> </w:t>
      </w:r>
      <w:r>
        <w:rPr>
          <w:w w:val="105"/>
        </w:rPr>
        <w:t>to</w:t>
      </w:r>
      <w:r>
        <w:rPr>
          <w:spacing w:val="-7"/>
          <w:w w:val="105"/>
        </w:rPr>
        <w:t> </w:t>
      </w:r>
      <w:r>
        <w:rPr>
          <w:w w:val="105"/>
        </w:rPr>
        <w:t>core</w:t>
      </w:r>
      <w:r>
        <w:rPr>
          <w:spacing w:val="-7"/>
          <w:w w:val="105"/>
        </w:rPr>
        <w:t> </w:t>
      </w:r>
      <w:r>
        <w:rPr>
          <w:w w:val="105"/>
        </w:rPr>
        <w:t>net</w:t>
      </w:r>
      <w:r>
        <w:rPr>
          <w:spacing w:val="-7"/>
          <w:w w:val="105"/>
        </w:rPr>
        <w:t> </w:t>
      </w:r>
      <w:r>
        <w:rPr>
          <w:w w:val="105"/>
        </w:rPr>
        <w:t>income</w:t>
      </w:r>
      <w:r>
        <w:rPr>
          <w:spacing w:val="-7"/>
          <w:w w:val="105"/>
        </w:rPr>
        <w:t> </w:t>
      </w:r>
      <w:r>
        <w:rPr>
          <w:w w:val="105"/>
        </w:rPr>
        <w:t>generated</w:t>
      </w:r>
      <w:r>
        <w:rPr>
          <w:spacing w:val="-7"/>
          <w:w w:val="105"/>
        </w:rPr>
        <w:t> </w:t>
      </w:r>
      <w:r>
        <w:rPr>
          <w:w w:val="105"/>
        </w:rPr>
        <w:t>in</w:t>
      </w:r>
      <w:r>
        <w:rPr>
          <w:spacing w:val="-7"/>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 31, 2020 of $1.2 billion, or $1.39 per share. The increase in core net income of $574 million was driven by the following items:</w:t>
      </w:r>
    </w:p>
    <w:p>
      <w:pPr>
        <w:pStyle w:val="BodyText"/>
        <w:spacing w:before="19"/>
      </w:pPr>
    </w:p>
    <w:p>
      <w:pPr>
        <w:pStyle w:val="ListParagraph"/>
        <w:numPr>
          <w:ilvl w:val="1"/>
          <w:numId w:val="13"/>
        </w:numPr>
        <w:tabs>
          <w:tab w:pos="462" w:val="left" w:leader="none"/>
        </w:tabs>
        <w:spacing w:line="240" w:lineRule="auto" w:before="0" w:after="0"/>
        <w:ind w:left="462" w:right="0" w:hanging="306"/>
        <w:jc w:val="left"/>
        <w:rPr>
          <w:sz w:val="16"/>
        </w:rPr>
      </w:pPr>
      <w:r>
        <w:rPr>
          <w:w w:val="105"/>
          <w:sz w:val="16"/>
        </w:rPr>
        <w:t>Higher</w:t>
      </w:r>
      <w:r>
        <w:rPr>
          <w:spacing w:val="-9"/>
          <w:w w:val="105"/>
          <w:sz w:val="16"/>
        </w:rPr>
        <w:t> </w:t>
      </w:r>
      <w:r>
        <w:rPr>
          <w:w w:val="105"/>
          <w:sz w:val="16"/>
        </w:rPr>
        <w:t>reportable</w:t>
      </w:r>
      <w:r>
        <w:rPr>
          <w:spacing w:val="-9"/>
          <w:w w:val="105"/>
          <w:sz w:val="16"/>
        </w:rPr>
        <w:t> </w:t>
      </w:r>
      <w:r>
        <w:rPr>
          <w:w w:val="105"/>
          <w:sz w:val="16"/>
        </w:rPr>
        <w:t>segment</w:t>
      </w:r>
      <w:r>
        <w:rPr>
          <w:spacing w:val="-9"/>
          <w:w w:val="105"/>
          <w:sz w:val="16"/>
        </w:rPr>
        <w:t> </w:t>
      </w:r>
      <w:r>
        <w:rPr>
          <w:w w:val="105"/>
          <w:sz w:val="16"/>
        </w:rPr>
        <w:t>net</w:t>
      </w:r>
      <w:r>
        <w:rPr>
          <w:spacing w:val="-9"/>
          <w:w w:val="105"/>
          <w:sz w:val="16"/>
        </w:rPr>
        <w:t> </w:t>
      </w:r>
      <w:r>
        <w:rPr>
          <w:w w:val="105"/>
          <w:sz w:val="16"/>
        </w:rPr>
        <w:t>income</w:t>
      </w:r>
      <w:r>
        <w:rPr>
          <w:spacing w:val="-9"/>
          <w:w w:val="105"/>
          <w:sz w:val="16"/>
        </w:rPr>
        <w:t> </w:t>
      </w:r>
      <w:r>
        <w:rPr>
          <w:w w:val="105"/>
          <w:sz w:val="16"/>
        </w:rPr>
        <w:t>of</w:t>
      </w:r>
      <w:r>
        <w:rPr>
          <w:spacing w:val="-9"/>
          <w:w w:val="105"/>
          <w:sz w:val="16"/>
        </w:rPr>
        <w:t> </w:t>
      </w:r>
      <w:r>
        <w:rPr>
          <w:w w:val="105"/>
          <w:sz w:val="16"/>
        </w:rPr>
        <w:t>$505</w:t>
      </w:r>
      <w:r>
        <w:rPr>
          <w:spacing w:val="-9"/>
          <w:w w:val="105"/>
          <w:sz w:val="16"/>
        </w:rPr>
        <w:t> </w:t>
      </w:r>
      <w:r>
        <w:rPr>
          <w:w w:val="105"/>
          <w:sz w:val="16"/>
        </w:rPr>
        <w:t>million,</w:t>
      </w:r>
      <w:r>
        <w:rPr>
          <w:spacing w:val="-8"/>
          <w:w w:val="105"/>
          <w:sz w:val="16"/>
        </w:rPr>
        <w:t> </w:t>
      </w:r>
      <w:r>
        <w:rPr>
          <w:w w:val="105"/>
          <w:sz w:val="16"/>
        </w:rPr>
        <w:t>primarily</w:t>
      </w:r>
      <w:r>
        <w:rPr>
          <w:spacing w:val="-9"/>
          <w:w w:val="105"/>
          <w:sz w:val="16"/>
        </w:rPr>
        <w:t> </w:t>
      </w:r>
      <w:r>
        <w:rPr>
          <w:w w:val="105"/>
          <w:sz w:val="16"/>
        </w:rPr>
        <w:t>driven</w:t>
      </w:r>
      <w:r>
        <w:rPr>
          <w:spacing w:val="-9"/>
          <w:w w:val="105"/>
          <w:sz w:val="16"/>
        </w:rPr>
        <w:t> </w:t>
      </w:r>
      <w:r>
        <w:rPr>
          <w:w w:val="105"/>
          <w:sz w:val="16"/>
        </w:rPr>
        <w:t>by</w:t>
      </w:r>
      <w:r>
        <w:rPr>
          <w:spacing w:val="-9"/>
          <w:w w:val="105"/>
          <w:sz w:val="16"/>
        </w:rPr>
        <w:t> </w:t>
      </w:r>
      <w:r>
        <w:rPr>
          <w:w w:val="105"/>
          <w:sz w:val="16"/>
        </w:rPr>
        <w:t>higher</w:t>
      </w:r>
      <w:r>
        <w:rPr>
          <w:spacing w:val="-9"/>
          <w:w w:val="105"/>
          <w:sz w:val="16"/>
        </w:rPr>
        <w:t> </w:t>
      </w:r>
      <w:r>
        <w:rPr>
          <w:w w:val="105"/>
          <w:sz w:val="16"/>
        </w:rPr>
        <w:t>sales</w:t>
      </w:r>
      <w:r>
        <w:rPr>
          <w:spacing w:val="-9"/>
          <w:w w:val="105"/>
          <w:sz w:val="16"/>
        </w:rPr>
        <w:t> </w:t>
      </w:r>
      <w:r>
        <w:rPr>
          <w:w w:val="105"/>
          <w:sz w:val="16"/>
        </w:rPr>
        <w:t>volume;</w:t>
      </w:r>
      <w:r>
        <w:rPr>
          <w:spacing w:val="-9"/>
          <w:w w:val="105"/>
          <w:sz w:val="16"/>
        </w:rPr>
        <w:t> </w:t>
      </w:r>
      <w:r>
        <w:rPr>
          <w:spacing w:val="-5"/>
          <w:w w:val="105"/>
          <w:sz w:val="16"/>
        </w:rPr>
        <w:t>and</w:t>
      </w:r>
    </w:p>
    <w:p>
      <w:pPr>
        <w:pStyle w:val="ListParagraph"/>
        <w:numPr>
          <w:ilvl w:val="1"/>
          <w:numId w:val="13"/>
        </w:numPr>
        <w:tabs>
          <w:tab w:pos="462" w:val="left" w:leader="none"/>
        </w:tabs>
        <w:spacing w:line="240" w:lineRule="auto" w:before="20" w:after="0"/>
        <w:ind w:left="462" w:right="0" w:hanging="306"/>
        <w:jc w:val="left"/>
        <w:rPr>
          <w:sz w:val="16"/>
        </w:rPr>
      </w:pPr>
      <w:r>
        <w:rPr>
          <w:w w:val="105"/>
          <w:sz w:val="16"/>
        </w:rPr>
        <w:t>Lower</w:t>
      </w:r>
      <w:r>
        <w:rPr>
          <w:spacing w:val="-9"/>
          <w:w w:val="105"/>
          <w:sz w:val="16"/>
        </w:rPr>
        <w:t> </w:t>
      </w:r>
      <w:r>
        <w:rPr>
          <w:w w:val="105"/>
          <w:sz w:val="16"/>
        </w:rPr>
        <w:t>net</w:t>
      </w:r>
      <w:r>
        <w:rPr>
          <w:spacing w:val="-9"/>
          <w:w w:val="105"/>
          <w:sz w:val="16"/>
        </w:rPr>
        <w:t> </w:t>
      </w:r>
      <w:r>
        <w:rPr>
          <w:w w:val="105"/>
          <w:sz w:val="16"/>
        </w:rPr>
        <w:t>losses</w:t>
      </w:r>
      <w:r>
        <w:rPr>
          <w:spacing w:val="-8"/>
          <w:w w:val="105"/>
          <w:sz w:val="16"/>
        </w:rPr>
        <w:t> </w:t>
      </w:r>
      <w:r>
        <w:rPr>
          <w:w w:val="105"/>
          <w:sz w:val="16"/>
        </w:rPr>
        <w:t>of</w:t>
      </w:r>
      <w:r>
        <w:rPr>
          <w:spacing w:val="-9"/>
          <w:w w:val="105"/>
          <w:sz w:val="16"/>
        </w:rPr>
        <w:t> </w:t>
      </w:r>
      <w:r>
        <w:rPr>
          <w:w w:val="105"/>
          <w:sz w:val="16"/>
        </w:rPr>
        <w:t>$163</w:t>
      </w:r>
      <w:r>
        <w:rPr>
          <w:spacing w:val="-9"/>
          <w:w w:val="105"/>
          <w:sz w:val="16"/>
        </w:rPr>
        <w:t> </w:t>
      </w:r>
      <w:r>
        <w:rPr>
          <w:w w:val="105"/>
          <w:sz w:val="16"/>
        </w:rPr>
        <w:t>million</w:t>
      </w:r>
      <w:r>
        <w:rPr>
          <w:spacing w:val="-8"/>
          <w:w w:val="105"/>
          <w:sz w:val="16"/>
        </w:rPr>
        <w:t> </w:t>
      </w:r>
      <w:r>
        <w:rPr>
          <w:w w:val="105"/>
          <w:sz w:val="16"/>
        </w:rPr>
        <w:t>for</w:t>
      </w:r>
      <w:r>
        <w:rPr>
          <w:spacing w:val="-9"/>
          <w:w w:val="105"/>
          <w:sz w:val="16"/>
        </w:rPr>
        <w:t> </w:t>
      </w:r>
      <w:r>
        <w:rPr>
          <w:w w:val="105"/>
          <w:sz w:val="16"/>
        </w:rPr>
        <w:t>"All</w:t>
      </w:r>
      <w:r>
        <w:rPr>
          <w:spacing w:val="-8"/>
          <w:w w:val="105"/>
          <w:sz w:val="16"/>
        </w:rPr>
        <w:t> </w:t>
      </w:r>
      <w:r>
        <w:rPr>
          <w:w w:val="105"/>
          <w:sz w:val="16"/>
        </w:rPr>
        <w:t>Other"</w:t>
      </w:r>
      <w:r>
        <w:rPr>
          <w:spacing w:val="-9"/>
          <w:w w:val="105"/>
          <w:sz w:val="16"/>
        </w:rPr>
        <w:t> </w:t>
      </w:r>
      <w:r>
        <w:rPr>
          <w:w w:val="105"/>
          <w:sz w:val="16"/>
        </w:rPr>
        <w:t>primarily</w:t>
      </w:r>
      <w:r>
        <w:rPr>
          <w:spacing w:val="-9"/>
          <w:w w:val="105"/>
          <w:sz w:val="16"/>
        </w:rPr>
        <w:t> </w:t>
      </w:r>
      <w:r>
        <w:rPr>
          <w:w w:val="105"/>
          <w:sz w:val="16"/>
        </w:rPr>
        <w:t>driven</w:t>
      </w:r>
      <w:r>
        <w:rPr>
          <w:spacing w:val="-8"/>
          <w:w w:val="105"/>
          <w:sz w:val="16"/>
        </w:rPr>
        <w:t> </w:t>
      </w:r>
      <w:r>
        <w:rPr>
          <w:w w:val="105"/>
          <w:sz w:val="16"/>
        </w:rPr>
        <w:t>by</w:t>
      </w:r>
      <w:r>
        <w:rPr>
          <w:spacing w:val="-9"/>
          <w:w w:val="105"/>
          <w:sz w:val="16"/>
        </w:rPr>
        <w:t> </w:t>
      </w:r>
      <w:r>
        <w:rPr>
          <w:w w:val="105"/>
          <w:sz w:val="16"/>
        </w:rPr>
        <w:t>full-year</w:t>
      </w:r>
      <w:r>
        <w:rPr>
          <w:spacing w:val="-8"/>
          <w:w w:val="105"/>
          <w:sz w:val="16"/>
        </w:rPr>
        <w:t> </w:t>
      </w:r>
      <w:r>
        <w:rPr>
          <w:w w:val="105"/>
          <w:sz w:val="16"/>
        </w:rPr>
        <w:t>consolidation</w:t>
      </w:r>
      <w:r>
        <w:rPr>
          <w:spacing w:val="-9"/>
          <w:w w:val="105"/>
          <w:sz w:val="16"/>
        </w:rPr>
        <w:t> </w:t>
      </w:r>
      <w:r>
        <w:rPr>
          <w:w w:val="105"/>
          <w:sz w:val="16"/>
        </w:rPr>
        <w:t>of</w:t>
      </w:r>
      <w:r>
        <w:rPr>
          <w:spacing w:val="-9"/>
          <w:w w:val="105"/>
          <w:sz w:val="16"/>
        </w:rPr>
        <w:t> </w:t>
      </w:r>
      <w:r>
        <w:rPr>
          <w:spacing w:val="-4"/>
          <w:w w:val="105"/>
          <w:sz w:val="16"/>
        </w:rPr>
        <w:t>HSG.</w:t>
      </w:r>
    </w:p>
    <w:p>
      <w:pPr>
        <w:pStyle w:val="BodyText"/>
        <w:spacing w:before="39"/>
      </w:pPr>
    </w:p>
    <w:p>
      <w:pPr>
        <w:pStyle w:val="BodyText"/>
        <w:spacing w:before="1"/>
        <w:ind w:right="1056"/>
        <w:jc w:val="right"/>
      </w:pPr>
      <w:r>
        <w:rPr>
          <w:w w:val="105"/>
        </w:rPr>
        <w:t>Core</w:t>
      </w:r>
      <w:r>
        <w:rPr>
          <w:spacing w:val="-8"/>
          <w:w w:val="105"/>
        </w:rPr>
        <w:t> </w:t>
      </w:r>
      <w:r>
        <w:rPr>
          <w:w w:val="105"/>
        </w:rPr>
        <w:t>earnings</w:t>
      </w:r>
      <w:r>
        <w:rPr>
          <w:spacing w:val="-8"/>
          <w:w w:val="105"/>
        </w:rPr>
        <w:t> </w:t>
      </w:r>
      <w:r>
        <w:rPr>
          <w:w w:val="105"/>
        </w:rPr>
        <w:t>per</w:t>
      </w:r>
      <w:r>
        <w:rPr>
          <w:spacing w:val="-7"/>
          <w:w w:val="105"/>
        </w:rPr>
        <w:t> </w:t>
      </w:r>
      <w:r>
        <w:rPr>
          <w:w w:val="105"/>
        </w:rPr>
        <w:t>share</w:t>
      </w:r>
      <w:r>
        <w:rPr>
          <w:spacing w:val="-8"/>
          <w:w w:val="105"/>
        </w:rPr>
        <w:t> </w:t>
      </w:r>
      <w:r>
        <w:rPr>
          <w:w w:val="105"/>
        </w:rPr>
        <w:t>increased</w:t>
      </w:r>
      <w:r>
        <w:rPr>
          <w:spacing w:val="-8"/>
          <w:w w:val="105"/>
        </w:rPr>
        <w:t> </w:t>
      </w:r>
      <w:r>
        <w:rPr>
          <w:w w:val="105"/>
        </w:rPr>
        <w:t>in</w:t>
      </w:r>
      <w:r>
        <w:rPr>
          <w:spacing w:val="-7"/>
          <w:w w:val="105"/>
        </w:rPr>
        <w:t> </w:t>
      </w:r>
      <w:r>
        <w:rPr>
          <w:w w:val="105"/>
        </w:rPr>
        <w:t>the</w:t>
      </w:r>
      <w:r>
        <w:rPr>
          <w:spacing w:val="-8"/>
          <w:w w:val="105"/>
        </w:rPr>
        <w:t> </w:t>
      </w:r>
      <w:r>
        <w:rPr>
          <w:w w:val="105"/>
        </w:rPr>
        <w:t>year</w:t>
      </w:r>
      <w:r>
        <w:rPr>
          <w:spacing w:val="-7"/>
          <w:w w:val="105"/>
        </w:rPr>
        <w:t> </w:t>
      </w:r>
      <w:r>
        <w:rPr>
          <w:w w:val="105"/>
        </w:rPr>
        <w:t>ended</w:t>
      </w:r>
      <w:r>
        <w:rPr>
          <w:spacing w:val="-8"/>
          <w:w w:val="105"/>
        </w:rPr>
        <w:t> </w:t>
      </w:r>
      <w:r>
        <w:rPr>
          <w:w w:val="105"/>
        </w:rPr>
        <w:t>December</w:t>
      </w:r>
      <w:r>
        <w:rPr>
          <w:spacing w:val="-8"/>
          <w:w w:val="105"/>
        </w:rPr>
        <w:t> </w:t>
      </w:r>
      <w:r>
        <w:rPr>
          <w:w w:val="105"/>
        </w:rPr>
        <w:t>31,</w:t>
      </w:r>
      <w:r>
        <w:rPr>
          <w:spacing w:val="-7"/>
          <w:w w:val="105"/>
        </w:rPr>
        <w:t> </w:t>
      </w:r>
      <w:r>
        <w:rPr>
          <w:w w:val="105"/>
        </w:rPr>
        <w:t>2021</w:t>
      </w:r>
      <w:r>
        <w:rPr>
          <w:spacing w:val="-8"/>
          <w:w w:val="105"/>
        </w:rPr>
        <w:t> </w:t>
      </w:r>
      <w:r>
        <w:rPr>
          <w:w w:val="105"/>
        </w:rPr>
        <w:t>to</w:t>
      </w:r>
      <w:r>
        <w:rPr>
          <w:spacing w:val="-7"/>
          <w:w w:val="105"/>
        </w:rPr>
        <w:t> </w:t>
      </w:r>
      <w:r>
        <w:rPr>
          <w:w w:val="105"/>
        </w:rPr>
        <w:t>$2.07</w:t>
      </w:r>
      <w:r>
        <w:rPr>
          <w:spacing w:val="-8"/>
          <w:w w:val="105"/>
        </w:rPr>
        <w:t> </w:t>
      </w:r>
      <w:r>
        <w:rPr>
          <w:w w:val="105"/>
        </w:rPr>
        <w:t>per</w:t>
      </w:r>
      <w:r>
        <w:rPr>
          <w:spacing w:val="-8"/>
          <w:w w:val="105"/>
        </w:rPr>
        <w:t> </w:t>
      </w:r>
      <w:r>
        <w:rPr>
          <w:w w:val="105"/>
        </w:rPr>
        <w:t>share,</w:t>
      </w:r>
      <w:r>
        <w:rPr>
          <w:spacing w:val="-7"/>
          <w:w w:val="105"/>
        </w:rPr>
        <w:t> </w:t>
      </w:r>
      <w:r>
        <w:rPr>
          <w:w w:val="105"/>
        </w:rPr>
        <w:t>primarily</w:t>
      </w:r>
      <w:r>
        <w:rPr>
          <w:spacing w:val="-8"/>
          <w:w w:val="105"/>
        </w:rPr>
        <w:t> </w:t>
      </w:r>
      <w:r>
        <w:rPr>
          <w:w w:val="105"/>
        </w:rPr>
        <w:t>driven</w:t>
      </w:r>
      <w:r>
        <w:rPr>
          <w:spacing w:val="-7"/>
          <w:w w:val="105"/>
        </w:rPr>
        <w:t> </w:t>
      </w:r>
      <w:r>
        <w:rPr>
          <w:w w:val="105"/>
        </w:rPr>
        <w:t>by</w:t>
      </w:r>
      <w:r>
        <w:rPr>
          <w:spacing w:val="-8"/>
          <w:w w:val="105"/>
        </w:rPr>
        <w:t> </w:t>
      </w:r>
      <w:r>
        <w:rPr>
          <w:w w:val="105"/>
        </w:rPr>
        <w:t>the</w:t>
      </w:r>
      <w:r>
        <w:rPr>
          <w:spacing w:val="-8"/>
          <w:w w:val="105"/>
        </w:rPr>
        <w:t> </w:t>
      </w:r>
      <w:r>
        <w:rPr>
          <w:w w:val="105"/>
        </w:rPr>
        <w:t>increase</w:t>
      </w:r>
      <w:r>
        <w:rPr>
          <w:spacing w:val="-7"/>
          <w:w w:val="105"/>
        </w:rPr>
        <w:t> </w:t>
      </w:r>
      <w:r>
        <w:rPr>
          <w:w w:val="105"/>
        </w:rPr>
        <w:t>in</w:t>
      </w:r>
      <w:r>
        <w:rPr>
          <w:spacing w:val="-8"/>
          <w:w w:val="105"/>
        </w:rPr>
        <w:t> </w:t>
      </w:r>
      <w:r>
        <w:rPr>
          <w:w w:val="105"/>
        </w:rPr>
        <w:t>core</w:t>
      </w:r>
      <w:r>
        <w:rPr>
          <w:spacing w:val="-7"/>
          <w:w w:val="105"/>
        </w:rPr>
        <w:t> </w:t>
      </w:r>
      <w:r>
        <w:rPr>
          <w:w w:val="105"/>
        </w:rPr>
        <w:t>net</w:t>
      </w:r>
      <w:r>
        <w:rPr>
          <w:spacing w:val="-8"/>
          <w:w w:val="105"/>
        </w:rPr>
        <w:t> </w:t>
      </w:r>
      <w:r>
        <w:rPr>
          <w:w w:val="105"/>
        </w:rPr>
        <w:t>income,</w:t>
      </w:r>
      <w:r>
        <w:rPr>
          <w:spacing w:val="-8"/>
          <w:w w:val="105"/>
        </w:rPr>
        <w:t> </w:t>
      </w:r>
      <w:r>
        <w:rPr>
          <w:w w:val="105"/>
        </w:rPr>
        <w:t>outlined</w:t>
      </w:r>
      <w:r>
        <w:rPr>
          <w:spacing w:val="-7"/>
          <w:w w:val="105"/>
        </w:rPr>
        <w:t> </w:t>
      </w:r>
      <w:r>
        <w:rPr>
          <w:spacing w:val="-2"/>
          <w:w w:val="105"/>
        </w:rPr>
        <w:t>above.</w:t>
      </w:r>
    </w:p>
    <w:p>
      <w:pPr>
        <w:pStyle w:val="BodyText"/>
        <w:spacing w:before="39"/>
      </w:pPr>
    </w:p>
    <w:p>
      <w:pPr>
        <w:pStyle w:val="Heading3"/>
      </w:pPr>
      <w:r>
        <w:rPr>
          <w:spacing w:val="-2"/>
          <w:w w:val="105"/>
        </w:rPr>
        <w:t>Core</w:t>
      </w:r>
      <w:r>
        <w:rPr>
          <w:spacing w:val="-3"/>
          <w:w w:val="105"/>
        </w:rPr>
        <w:t> </w:t>
      </w:r>
      <w:r>
        <w:rPr>
          <w:spacing w:val="-2"/>
          <w:w w:val="105"/>
        </w:rPr>
        <w:t>Earnings</w:t>
      </w:r>
      <w:r>
        <w:rPr>
          <w:spacing w:val="-3"/>
          <w:w w:val="105"/>
        </w:rPr>
        <w:t> </w:t>
      </w:r>
      <w:r>
        <w:rPr>
          <w:spacing w:val="-2"/>
          <w:w w:val="105"/>
        </w:rPr>
        <w:t>per</w:t>
      </w:r>
      <w:r>
        <w:rPr>
          <w:spacing w:val="-3"/>
          <w:w w:val="105"/>
        </w:rPr>
        <w:t> </w:t>
      </w:r>
      <w:r>
        <w:rPr>
          <w:spacing w:val="-2"/>
          <w:w w:val="105"/>
        </w:rPr>
        <w:t>Common</w:t>
      </w:r>
      <w:r>
        <w:rPr>
          <w:spacing w:val="-3"/>
          <w:w w:val="105"/>
        </w:rPr>
        <w:t> </w:t>
      </w:r>
      <w:r>
        <w:rPr>
          <w:spacing w:val="-4"/>
          <w:w w:val="105"/>
        </w:rPr>
        <w:t>Share</w:t>
      </w:r>
    </w:p>
    <w:p>
      <w:pPr>
        <w:pStyle w:val="BodyText"/>
        <w:spacing w:before="40"/>
        <w:rPr>
          <w:b/>
          <w:i/>
        </w:rPr>
      </w:pPr>
    </w:p>
    <w:p>
      <w:pPr>
        <w:pStyle w:val="BodyText"/>
        <w:ind w:left="156"/>
      </w:pPr>
      <w:r>
        <w:rPr>
          <w:w w:val="105"/>
        </w:rPr>
        <w:t>The</w:t>
      </w:r>
      <w:r>
        <w:rPr>
          <w:spacing w:val="-9"/>
          <w:w w:val="105"/>
        </w:rPr>
        <w:t> </w:t>
      </w:r>
      <w:r>
        <w:rPr>
          <w:w w:val="105"/>
        </w:rPr>
        <w:t>following</w:t>
      </w:r>
      <w:r>
        <w:rPr>
          <w:spacing w:val="-8"/>
          <w:w w:val="105"/>
        </w:rPr>
        <w:t> </w:t>
      </w:r>
      <w:r>
        <w:rPr>
          <w:w w:val="105"/>
        </w:rPr>
        <w:t>table</w:t>
      </w:r>
      <w:r>
        <w:rPr>
          <w:spacing w:val="-8"/>
          <w:w w:val="105"/>
        </w:rPr>
        <w:t> </w:t>
      </w:r>
      <w:r>
        <w:rPr>
          <w:w w:val="105"/>
        </w:rPr>
        <w:t>sets</w:t>
      </w:r>
      <w:r>
        <w:rPr>
          <w:spacing w:val="-8"/>
          <w:w w:val="105"/>
        </w:rPr>
        <w:t> </w:t>
      </w:r>
      <w:r>
        <w:rPr>
          <w:w w:val="105"/>
        </w:rPr>
        <w:t>forth</w:t>
      </w:r>
      <w:r>
        <w:rPr>
          <w:spacing w:val="-8"/>
          <w:w w:val="105"/>
        </w:rPr>
        <w:t> </w:t>
      </w:r>
      <w:r>
        <w:rPr>
          <w:w w:val="105"/>
        </w:rPr>
        <w:t>the</w:t>
      </w:r>
      <w:r>
        <w:rPr>
          <w:spacing w:val="-8"/>
          <w:w w:val="105"/>
        </w:rPr>
        <w:t> </w:t>
      </w:r>
      <w:r>
        <w:rPr>
          <w:w w:val="105"/>
        </w:rPr>
        <w:t>computation</w:t>
      </w:r>
      <w:r>
        <w:rPr>
          <w:spacing w:val="-8"/>
          <w:w w:val="105"/>
        </w:rPr>
        <w:t> </w:t>
      </w:r>
      <w:r>
        <w:rPr>
          <w:w w:val="105"/>
        </w:rPr>
        <w:t>of</w:t>
      </w:r>
      <w:r>
        <w:rPr>
          <w:spacing w:val="-8"/>
          <w:w w:val="105"/>
        </w:rPr>
        <w:t> </w:t>
      </w:r>
      <w:r>
        <w:rPr>
          <w:w w:val="105"/>
        </w:rPr>
        <w:t>core</w:t>
      </w:r>
      <w:r>
        <w:rPr>
          <w:spacing w:val="-8"/>
          <w:w w:val="105"/>
        </w:rPr>
        <w:t> </w:t>
      </w:r>
      <w:r>
        <w:rPr>
          <w:w w:val="105"/>
        </w:rPr>
        <w:t>basic</w:t>
      </w:r>
      <w:r>
        <w:rPr>
          <w:spacing w:val="-8"/>
          <w:w w:val="105"/>
        </w:rPr>
        <w:t> </w:t>
      </w:r>
      <w:r>
        <w:rPr>
          <w:w w:val="105"/>
        </w:rPr>
        <w:t>and</w:t>
      </w:r>
      <w:r>
        <w:rPr>
          <w:spacing w:val="-8"/>
          <w:w w:val="105"/>
        </w:rPr>
        <w:t> </w:t>
      </w:r>
      <w:r>
        <w:rPr>
          <w:w w:val="105"/>
        </w:rPr>
        <w:t>core</w:t>
      </w:r>
      <w:r>
        <w:rPr>
          <w:spacing w:val="-8"/>
          <w:w w:val="105"/>
        </w:rPr>
        <w:t> </w:t>
      </w:r>
      <w:r>
        <w:rPr>
          <w:w w:val="105"/>
        </w:rPr>
        <w:t>diluted</w:t>
      </w:r>
      <w:r>
        <w:rPr>
          <w:spacing w:val="-8"/>
          <w:w w:val="105"/>
        </w:rPr>
        <w:t> </w:t>
      </w:r>
      <w:r>
        <w:rPr>
          <w:w w:val="105"/>
        </w:rPr>
        <w:t>earnings</w:t>
      </w:r>
      <w:r>
        <w:rPr>
          <w:spacing w:val="-8"/>
          <w:w w:val="105"/>
        </w:rPr>
        <w:t> </w:t>
      </w:r>
      <w:r>
        <w:rPr>
          <w:w w:val="105"/>
        </w:rPr>
        <w:t>per</w:t>
      </w:r>
      <w:r>
        <w:rPr>
          <w:spacing w:val="-8"/>
          <w:w w:val="105"/>
        </w:rPr>
        <w:t> </w:t>
      </w:r>
      <w:r>
        <w:rPr>
          <w:w w:val="105"/>
        </w:rPr>
        <w:t>common</w:t>
      </w:r>
      <w:r>
        <w:rPr>
          <w:spacing w:val="-8"/>
          <w:w w:val="105"/>
        </w:rPr>
        <w:t> </w:t>
      </w:r>
      <w:r>
        <w:rPr>
          <w:w w:val="105"/>
        </w:rPr>
        <w:t>share</w:t>
      </w:r>
      <w:r>
        <w:rPr>
          <w:spacing w:val="-8"/>
          <w:w w:val="105"/>
        </w:rPr>
        <w:t> </w:t>
      </w:r>
      <w:r>
        <w:rPr>
          <w:w w:val="105"/>
        </w:rPr>
        <w:t>(in</w:t>
      </w:r>
      <w:r>
        <w:rPr>
          <w:spacing w:val="-8"/>
          <w:w w:val="105"/>
        </w:rPr>
        <w:t> </w:t>
      </w:r>
      <w:r>
        <w:rPr>
          <w:w w:val="105"/>
        </w:rPr>
        <w:t>millions,</w:t>
      </w:r>
      <w:r>
        <w:rPr>
          <w:spacing w:val="-8"/>
          <w:w w:val="105"/>
        </w:rPr>
        <w:t> </w:t>
      </w:r>
      <w:r>
        <w:rPr>
          <w:w w:val="105"/>
        </w:rPr>
        <w:t>except</w:t>
      </w:r>
      <w:r>
        <w:rPr>
          <w:spacing w:val="-8"/>
          <w:w w:val="105"/>
        </w:rPr>
        <w:t> </w:t>
      </w:r>
      <w:r>
        <w:rPr>
          <w:w w:val="105"/>
        </w:rPr>
        <w:t>per</w:t>
      </w:r>
      <w:r>
        <w:rPr>
          <w:spacing w:val="-8"/>
          <w:w w:val="105"/>
        </w:rPr>
        <w:t> </w:t>
      </w:r>
      <w:r>
        <w:rPr>
          <w:w w:val="105"/>
        </w:rPr>
        <w:t>share</w:t>
      </w:r>
      <w:r>
        <w:rPr>
          <w:spacing w:val="-7"/>
          <w:w w:val="105"/>
        </w:rPr>
        <w:t> </w:t>
      </w:r>
      <w:r>
        <w:rPr>
          <w:spacing w:val="-2"/>
          <w:w w:val="105"/>
        </w:rPr>
        <w:t>amounts):</w:t>
      </w:r>
    </w:p>
    <w:p>
      <w:pPr>
        <w:pStyle w:val="BodyText"/>
        <w:spacing w:before="6"/>
        <w:rPr>
          <w:sz w:val="12"/>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0"/>
        <w:gridCol w:w="1316"/>
        <w:gridCol w:w="1330"/>
        <w:gridCol w:w="591"/>
        <w:gridCol w:w="1129"/>
        <w:gridCol w:w="591"/>
        <w:gridCol w:w="1129"/>
        <w:gridCol w:w="591"/>
      </w:tblGrid>
      <w:tr>
        <w:trPr>
          <w:trHeight w:val="200" w:hRule="atLeast"/>
        </w:trPr>
        <w:tc>
          <w:tcPr>
            <w:tcW w:w="6156" w:type="dxa"/>
            <w:gridSpan w:val="2"/>
            <w:tcBorders>
              <w:top w:val="single" w:sz="12" w:space="0" w:color="000000"/>
              <w:bottom w:val="single" w:sz="6" w:space="0" w:color="000000"/>
            </w:tcBorders>
          </w:tcPr>
          <w:p>
            <w:pPr>
              <w:pStyle w:val="TableParagraph"/>
              <w:rPr>
                <w:sz w:val="12"/>
              </w:rPr>
            </w:pPr>
          </w:p>
        </w:tc>
        <w:tc>
          <w:tcPr>
            <w:tcW w:w="1330" w:type="dxa"/>
            <w:tcBorders>
              <w:top w:val="single" w:sz="12" w:space="0" w:color="000000"/>
              <w:bottom w:val="single" w:sz="6" w:space="0" w:color="000000"/>
            </w:tcBorders>
          </w:tcPr>
          <w:p>
            <w:pPr>
              <w:pStyle w:val="TableParagraph"/>
              <w:spacing w:line="179" w:lineRule="exact" w:before="1"/>
              <w:ind w:right="102"/>
              <w:jc w:val="right"/>
              <w:rPr>
                <w:b/>
                <w:sz w:val="16"/>
              </w:rPr>
            </w:pPr>
            <w:r>
              <w:rPr>
                <w:b/>
                <w:spacing w:val="-4"/>
                <w:w w:val="105"/>
                <w:sz w:val="16"/>
              </w:rPr>
              <w:t>2021</w:t>
            </w:r>
          </w:p>
        </w:tc>
        <w:tc>
          <w:tcPr>
            <w:tcW w:w="591" w:type="dxa"/>
            <w:tcBorders>
              <w:top w:val="single" w:sz="12" w:space="0" w:color="000000"/>
              <w:bottom w:val="single" w:sz="6" w:space="0" w:color="000000"/>
            </w:tcBorders>
          </w:tcPr>
          <w:p>
            <w:pPr>
              <w:pStyle w:val="TableParagraph"/>
              <w:rPr>
                <w:sz w:val="12"/>
              </w:rPr>
            </w:pPr>
          </w:p>
        </w:tc>
        <w:tc>
          <w:tcPr>
            <w:tcW w:w="1129" w:type="dxa"/>
            <w:tcBorders>
              <w:top w:val="single" w:sz="12" w:space="0" w:color="000000"/>
              <w:bottom w:val="single" w:sz="6" w:space="0" w:color="000000"/>
            </w:tcBorders>
          </w:tcPr>
          <w:p>
            <w:pPr>
              <w:pStyle w:val="TableParagraph"/>
              <w:spacing w:line="179" w:lineRule="exact" w:before="1"/>
              <w:ind w:left="693"/>
              <w:rPr>
                <w:sz w:val="16"/>
              </w:rPr>
            </w:pPr>
            <w:r>
              <w:rPr>
                <w:spacing w:val="-4"/>
                <w:w w:val="105"/>
                <w:sz w:val="16"/>
              </w:rPr>
              <w:t>2020</w:t>
            </w:r>
          </w:p>
        </w:tc>
        <w:tc>
          <w:tcPr>
            <w:tcW w:w="591" w:type="dxa"/>
            <w:tcBorders>
              <w:top w:val="single" w:sz="12" w:space="0" w:color="000000"/>
              <w:bottom w:val="single" w:sz="6" w:space="0" w:color="000000"/>
            </w:tcBorders>
          </w:tcPr>
          <w:p>
            <w:pPr>
              <w:pStyle w:val="TableParagraph"/>
              <w:rPr>
                <w:sz w:val="12"/>
              </w:rPr>
            </w:pPr>
          </w:p>
        </w:tc>
        <w:tc>
          <w:tcPr>
            <w:tcW w:w="1129" w:type="dxa"/>
            <w:tcBorders>
              <w:top w:val="single" w:sz="12" w:space="0" w:color="000000"/>
              <w:bottom w:val="single" w:sz="6" w:space="0" w:color="000000"/>
            </w:tcBorders>
          </w:tcPr>
          <w:p>
            <w:pPr>
              <w:pStyle w:val="TableParagraph"/>
              <w:spacing w:line="179" w:lineRule="exact" w:before="1"/>
              <w:ind w:left="693"/>
              <w:rPr>
                <w:sz w:val="16"/>
              </w:rPr>
            </w:pPr>
            <w:r>
              <w:rPr>
                <w:spacing w:val="-4"/>
                <w:w w:val="105"/>
                <w:sz w:val="16"/>
              </w:rPr>
              <w:t>2019</w:t>
            </w:r>
          </w:p>
        </w:tc>
        <w:tc>
          <w:tcPr>
            <w:tcW w:w="591" w:type="dxa"/>
            <w:tcBorders>
              <w:top w:val="single" w:sz="12" w:space="0" w:color="000000"/>
              <w:bottom w:val="single" w:sz="6" w:space="0" w:color="000000"/>
            </w:tcBorders>
          </w:tcPr>
          <w:p>
            <w:pPr>
              <w:pStyle w:val="TableParagraph"/>
              <w:rPr>
                <w:sz w:val="12"/>
              </w:rPr>
            </w:pPr>
          </w:p>
        </w:tc>
      </w:tr>
      <w:tr>
        <w:trPr>
          <w:trHeight w:val="202" w:hRule="atLeast"/>
        </w:trPr>
        <w:tc>
          <w:tcPr>
            <w:tcW w:w="4840" w:type="dxa"/>
            <w:tcBorders>
              <w:top w:val="single" w:sz="6" w:space="0" w:color="000000"/>
            </w:tcBorders>
            <w:shd w:val="clear" w:color="auto" w:fill="CCEDFF"/>
          </w:tcPr>
          <w:p>
            <w:pPr>
              <w:pStyle w:val="TableParagraph"/>
              <w:spacing w:line="180" w:lineRule="exact" w:before="2"/>
              <w:rPr>
                <w:sz w:val="16"/>
              </w:rPr>
            </w:pPr>
            <w:r>
              <w:rPr>
                <w:w w:val="105"/>
                <w:sz w:val="16"/>
              </w:rPr>
              <w:t>Core</w:t>
            </w:r>
            <w:r>
              <w:rPr>
                <w:spacing w:val="-9"/>
                <w:w w:val="105"/>
                <w:sz w:val="16"/>
              </w:rPr>
              <w:t> </w:t>
            </w:r>
            <w:r>
              <w:rPr>
                <w:w w:val="105"/>
                <w:sz w:val="16"/>
              </w:rPr>
              <w:t>net</w:t>
            </w:r>
            <w:r>
              <w:rPr>
                <w:spacing w:val="-9"/>
                <w:w w:val="105"/>
                <w:sz w:val="16"/>
              </w:rPr>
              <w:t> </w:t>
            </w:r>
            <w:r>
              <w:rPr>
                <w:w w:val="105"/>
                <w:sz w:val="16"/>
              </w:rPr>
              <w:t>income</w:t>
            </w:r>
            <w:r>
              <w:rPr>
                <w:spacing w:val="-8"/>
                <w:w w:val="105"/>
                <w:sz w:val="16"/>
              </w:rPr>
              <w:t> </w:t>
            </w:r>
            <w:r>
              <w:rPr>
                <w:w w:val="105"/>
                <w:sz w:val="16"/>
              </w:rPr>
              <w:t>attributable</w:t>
            </w:r>
            <w:r>
              <w:rPr>
                <w:spacing w:val="-9"/>
                <w:w w:val="105"/>
                <w:sz w:val="16"/>
              </w:rPr>
              <w:t> </w:t>
            </w:r>
            <w:r>
              <w:rPr>
                <w:w w:val="105"/>
                <w:sz w:val="16"/>
              </w:rPr>
              <w:t>to</w:t>
            </w:r>
            <w:r>
              <w:rPr>
                <w:spacing w:val="-8"/>
                <w:w w:val="105"/>
                <w:sz w:val="16"/>
              </w:rPr>
              <w:t> </w:t>
            </w:r>
            <w:r>
              <w:rPr>
                <w:w w:val="105"/>
                <w:sz w:val="16"/>
              </w:rPr>
              <w:t>Corning</w:t>
            </w:r>
            <w:r>
              <w:rPr>
                <w:spacing w:val="-9"/>
                <w:w w:val="105"/>
                <w:sz w:val="16"/>
              </w:rPr>
              <w:t> </w:t>
            </w:r>
            <w:r>
              <w:rPr>
                <w:spacing w:val="-2"/>
                <w:w w:val="105"/>
                <w:sz w:val="16"/>
              </w:rPr>
              <w:t>Incorporated</w:t>
            </w:r>
          </w:p>
        </w:tc>
        <w:tc>
          <w:tcPr>
            <w:tcW w:w="1316" w:type="dxa"/>
            <w:tcBorders>
              <w:top w:val="single" w:sz="6" w:space="0" w:color="000000"/>
            </w:tcBorders>
            <w:shd w:val="clear" w:color="auto" w:fill="CCEDFF"/>
          </w:tcPr>
          <w:p>
            <w:pPr>
              <w:pStyle w:val="TableParagraph"/>
              <w:rPr>
                <w:sz w:val="14"/>
              </w:rPr>
            </w:pPr>
          </w:p>
        </w:tc>
        <w:tc>
          <w:tcPr>
            <w:tcW w:w="1330" w:type="dxa"/>
            <w:tcBorders>
              <w:top w:val="single" w:sz="6" w:space="0" w:color="000000"/>
            </w:tcBorders>
            <w:shd w:val="clear" w:color="auto" w:fill="CCEDFF"/>
          </w:tcPr>
          <w:p>
            <w:pPr>
              <w:pStyle w:val="TableParagraph"/>
              <w:spacing w:line="180" w:lineRule="exact" w:before="2"/>
              <w:ind w:left="315"/>
              <w:rPr>
                <w:b/>
                <w:sz w:val="16"/>
              </w:rPr>
            </w:pPr>
            <w:r>
              <w:rPr>
                <w:b/>
                <w:spacing w:val="-10"/>
                <w:w w:val="105"/>
                <w:sz w:val="16"/>
              </w:rPr>
              <w:t>$</w:t>
            </w:r>
          </w:p>
        </w:tc>
        <w:tc>
          <w:tcPr>
            <w:tcW w:w="591" w:type="dxa"/>
            <w:tcBorders>
              <w:top w:val="single" w:sz="6" w:space="0" w:color="000000"/>
            </w:tcBorders>
            <w:shd w:val="clear" w:color="auto" w:fill="CCEDFF"/>
          </w:tcPr>
          <w:p>
            <w:pPr>
              <w:pStyle w:val="TableParagraph"/>
              <w:spacing w:line="180" w:lineRule="exact" w:before="2"/>
              <w:ind w:left="70" w:right="80"/>
              <w:jc w:val="center"/>
              <w:rPr>
                <w:b/>
                <w:sz w:val="16"/>
              </w:rPr>
            </w:pPr>
            <w:r>
              <w:rPr>
                <w:b/>
                <w:spacing w:val="-4"/>
                <w:w w:val="105"/>
                <w:sz w:val="16"/>
              </w:rPr>
              <w:t>1,811</w:t>
            </w:r>
          </w:p>
        </w:tc>
        <w:tc>
          <w:tcPr>
            <w:tcW w:w="1129" w:type="dxa"/>
            <w:tcBorders>
              <w:top w:val="single" w:sz="6" w:space="0" w:color="000000"/>
            </w:tcBorders>
            <w:shd w:val="clear" w:color="auto" w:fill="CCEDFF"/>
          </w:tcPr>
          <w:p>
            <w:pPr>
              <w:pStyle w:val="TableParagraph"/>
              <w:spacing w:line="180" w:lineRule="exact" w:before="2"/>
              <w:ind w:left="113"/>
              <w:rPr>
                <w:sz w:val="16"/>
              </w:rPr>
            </w:pPr>
            <w:r>
              <w:rPr>
                <w:spacing w:val="-10"/>
                <w:w w:val="105"/>
                <w:sz w:val="16"/>
              </w:rPr>
              <w:t>$</w:t>
            </w:r>
          </w:p>
        </w:tc>
        <w:tc>
          <w:tcPr>
            <w:tcW w:w="591" w:type="dxa"/>
            <w:tcBorders>
              <w:top w:val="single" w:sz="6" w:space="0" w:color="000000"/>
            </w:tcBorders>
            <w:shd w:val="clear" w:color="auto" w:fill="CCEDFF"/>
          </w:tcPr>
          <w:p>
            <w:pPr>
              <w:pStyle w:val="TableParagraph"/>
              <w:spacing w:line="180" w:lineRule="exact" w:before="2"/>
              <w:ind w:right="113"/>
              <w:jc w:val="right"/>
              <w:rPr>
                <w:sz w:val="16"/>
              </w:rPr>
            </w:pPr>
            <w:r>
              <w:rPr>
                <w:spacing w:val="-4"/>
                <w:w w:val="105"/>
                <w:sz w:val="16"/>
              </w:rPr>
              <w:t>1,237</w:t>
            </w:r>
          </w:p>
        </w:tc>
        <w:tc>
          <w:tcPr>
            <w:tcW w:w="1129" w:type="dxa"/>
            <w:tcBorders>
              <w:top w:val="single" w:sz="6" w:space="0" w:color="000000"/>
            </w:tcBorders>
            <w:shd w:val="clear" w:color="auto" w:fill="CCEDFF"/>
          </w:tcPr>
          <w:p>
            <w:pPr>
              <w:pStyle w:val="TableParagraph"/>
              <w:spacing w:line="180" w:lineRule="exact" w:before="2"/>
              <w:ind w:left="113"/>
              <w:rPr>
                <w:sz w:val="16"/>
              </w:rPr>
            </w:pPr>
            <w:r>
              <w:rPr>
                <w:spacing w:val="-10"/>
                <w:w w:val="105"/>
                <w:sz w:val="16"/>
              </w:rPr>
              <w:t>$</w:t>
            </w:r>
          </w:p>
        </w:tc>
        <w:tc>
          <w:tcPr>
            <w:tcW w:w="591" w:type="dxa"/>
            <w:tcBorders>
              <w:top w:val="single" w:sz="6" w:space="0" w:color="000000"/>
            </w:tcBorders>
            <w:shd w:val="clear" w:color="auto" w:fill="CCEDFF"/>
          </w:tcPr>
          <w:p>
            <w:pPr>
              <w:pStyle w:val="TableParagraph"/>
              <w:spacing w:line="180" w:lineRule="exact" w:before="2"/>
              <w:ind w:right="114"/>
              <w:jc w:val="right"/>
              <w:rPr>
                <w:sz w:val="16"/>
              </w:rPr>
            </w:pPr>
            <w:r>
              <w:rPr>
                <w:spacing w:val="-4"/>
                <w:w w:val="105"/>
                <w:sz w:val="16"/>
              </w:rPr>
              <w:t>1,578</w:t>
            </w:r>
          </w:p>
        </w:tc>
      </w:tr>
      <w:tr>
        <w:trPr>
          <w:trHeight w:val="215" w:hRule="atLeast"/>
        </w:trPr>
        <w:tc>
          <w:tcPr>
            <w:tcW w:w="4840" w:type="dxa"/>
            <w:tcBorders>
              <w:bottom w:val="single" w:sz="6" w:space="0" w:color="000000"/>
            </w:tcBorders>
          </w:tcPr>
          <w:p>
            <w:pPr>
              <w:pStyle w:val="TableParagraph"/>
              <w:spacing w:line="179" w:lineRule="exact" w:before="16"/>
              <w:rPr>
                <w:sz w:val="16"/>
              </w:rPr>
            </w:pPr>
            <w:r>
              <w:rPr>
                <w:w w:val="105"/>
                <w:sz w:val="16"/>
              </w:rPr>
              <w:t>Less:</w:t>
            </w:r>
            <w:r>
              <w:rPr>
                <w:spacing w:val="-10"/>
                <w:w w:val="105"/>
                <w:sz w:val="16"/>
              </w:rPr>
              <w:t> </w:t>
            </w:r>
            <w:r>
              <w:rPr>
                <w:w w:val="105"/>
                <w:sz w:val="16"/>
              </w:rPr>
              <w:t>Series</w:t>
            </w:r>
            <w:r>
              <w:rPr>
                <w:spacing w:val="-10"/>
                <w:w w:val="105"/>
                <w:sz w:val="16"/>
              </w:rPr>
              <w:t> </w:t>
            </w:r>
            <w:r>
              <w:rPr>
                <w:w w:val="105"/>
                <w:sz w:val="16"/>
              </w:rPr>
              <w:t>A</w:t>
            </w:r>
            <w:r>
              <w:rPr>
                <w:spacing w:val="-10"/>
                <w:w w:val="105"/>
                <w:sz w:val="16"/>
              </w:rPr>
              <w:t> </w:t>
            </w:r>
            <w:r>
              <w:rPr>
                <w:w w:val="105"/>
                <w:sz w:val="16"/>
              </w:rPr>
              <w:t>convertible</w:t>
            </w:r>
            <w:r>
              <w:rPr>
                <w:spacing w:val="-10"/>
                <w:w w:val="105"/>
                <w:sz w:val="16"/>
              </w:rPr>
              <w:t> </w:t>
            </w:r>
            <w:r>
              <w:rPr>
                <w:w w:val="105"/>
                <w:sz w:val="16"/>
              </w:rPr>
              <w:t>preferred</w:t>
            </w:r>
            <w:r>
              <w:rPr>
                <w:spacing w:val="-9"/>
                <w:w w:val="105"/>
                <w:sz w:val="16"/>
              </w:rPr>
              <w:t> </w:t>
            </w:r>
            <w:r>
              <w:rPr>
                <w:w w:val="105"/>
                <w:sz w:val="16"/>
              </w:rPr>
              <w:t>stock</w:t>
            </w:r>
            <w:r>
              <w:rPr>
                <w:spacing w:val="-10"/>
                <w:w w:val="105"/>
                <w:sz w:val="16"/>
              </w:rPr>
              <w:t> </w:t>
            </w:r>
            <w:r>
              <w:rPr>
                <w:spacing w:val="-2"/>
                <w:w w:val="105"/>
                <w:sz w:val="16"/>
              </w:rPr>
              <w:t>dividend</w:t>
            </w:r>
          </w:p>
        </w:tc>
        <w:tc>
          <w:tcPr>
            <w:tcW w:w="1316" w:type="dxa"/>
            <w:tcBorders>
              <w:bottom w:val="single" w:sz="6" w:space="0" w:color="000000"/>
            </w:tcBorders>
          </w:tcPr>
          <w:p>
            <w:pPr>
              <w:pStyle w:val="TableParagraph"/>
              <w:rPr>
                <w:sz w:val="14"/>
              </w:rPr>
            </w:pPr>
          </w:p>
        </w:tc>
        <w:tc>
          <w:tcPr>
            <w:tcW w:w="1330" w:type="dxa"/>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spacing w:line="179" w:lineRule="exact" w:before="16"/>
              <w:ind w:left="205" w:right="11"/>
              <w:jc w:val="center"/>
              <w:rPr>
                <w:b/>
                <w:sz w:val="16"/>
              </w:rPr>
            </w:pPr>
            <w:r>
              <w:rPr>
                <w:b/>
                <w:spacing w:val="-5"/>
                <w:w w:val="105"/>
                <w:sz w:val="16"/>
              </w:rPr>
              <w:t>24</w:t>
            </w:r>
          </w:p>
        </w:tc>
        <w:tc>
          <w:tcPr>
            <w:tcW w:w="1129" w:type="dxa"/>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spacing w:line="179" w:lineRule="exact" w:before="16"/>
              <w:ind w:right="113"/>
              <w:jc w:val="right"/>
              <w:rPr>
                <w:sz w:val="16"/>
              </w:rPr>
            </w:pPr>
            <w:r>
              <w:rPr>
                <w:spacing w:val="-5"/>
                <w:w w:val="105"/>
                <w:sz w:val="16"/>
              </w:rPr>
              <w:t>98</w:t>
            </w:r>
          </w:p>
        </w:tc>
        <w:tc>
          <w:tcPr>
            <w:tcW w:w="1129" w:type="dxa"/>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spacing w:line="179" w:lineRule="exact" w:before="16"/>
              <w:ind w:right="114"/>
              <w:jc w:val="right"/>
              <w:rPr>
                <w:sz w:val="16"/>
              </w:rPr>
            </w:pPr>
            <w:r>
              <w:rPr>
                <w:spacing w:val="-5"/>
                <w:w w:val="105"/>
                <w:sz w:val="16"/>
              </w:rPr>
              <w:t>98</w:t>
            </w:r>
          </w:p>
        </w:tc>
      </w:tr>
      <w:tr>
        <w:trPr>
          <w:trHeight w:val="202" w:hRule="atLeast"/>
        </w:trPr>
        <w:tc>
          <w:tcPr>
            <w:tcW w:w="4840" w:type="dxa"/>
            <w:tcBorders>
              <w:top w:val="single" w:sz="6" w:space="0" w:color="000000"/>
            </w:tcBorders>
            <w:shd w:val="clear" w:color="auto" w:fill="CCEDFF"/>
          </w:tcPr>
          <w:p>
            <w:pPr>
              <w:pStyle w:val="TableParagraph"/>
              <w:spacing w:line="180" w:lineRule="exact" w:before="2"/>
              <w:rPr>
                <w:sz w:val="16"/>
              </w:rPr>
            </w:pPr>
            <w:r>
              <w:rPr>
                <w:w w:val="105"/>
                <w:sz w:val="16"/>
              </w:rPr>
              <w:t>Core</w:t>
            </w:r>
            <w:r>
              <w:rPr>
                <w:spacing w:val="-10"/>
                <w:w w:val="105"/>
                <w:sz w:val="16"/>
              </w:rPr>
              <w:t> </w:t>
            </w:r>
            <w:r>
              <w:rPr>
                <w:w w:val="105"/>
                <w:sz w:val="16"/>
              </w:rPr>
              <w:t>net</w:t>
            </w:r>
            <w:r>
              <w:rPr>
                <w:spacing w:val="-10"/>
                <w:w w:val="105"/>
                <w:sz w:val="16"/>
              </w:rPr>
              <w:t> </w:t>
            </w:r>
            <w:r>
              <w:rPr>
                <w:w w:val="105"/>
                <w:sz w:val="16"/>
              </w:rPr>
              <w:t>income</w:t>
            </w:r>
            <w:r>
              <w:rPr>
                <w:spacing w:val="-10"/>
                <w:w w:val="105"/>
                <w:sz w:val="16"/>
              </w:rPr>
              <w:t> </w:t>
            </w:r>
            <w:r>
              <w:rPr>
                <w:w w:val="105"/>
                <w:sz w:val="16"/>
              </w:rPr>
              <w:t>available</w:t>
            </w:r>
            <w:r>
              <w:rPr>
                <w:spacing w:val="-10"/>
                <w:w w:val="105"/>
                <w:sz w:val="16"/>
              </w:rPr>
              <w:t> </w:t>
            </w:r>
            <w:r>
              <w:rPr>
                <w:w w:val="105"/>
                <w:sz w:val="16"/>
              </w:rPr>
              <w:t>to</w:t>
            </w:r>
            <w:r>
              <w:rPr>
                <w:spacing w:val="-10"/>
                <w:w w:val="105"/>
                <w:sz w:val="16"/>
              </w:rPr>
              <w:t> </w:t>
            </w:r>
            <w:r>
              <w:rPr>
                <w:w w:val="105"/>
                <w:sz w:val="16"/>
              </w:rPr>
              <w:t>common</w:t>
            </w:r>
            <w:r>
              <w:rPr>
                <w:spacing w:val="-10"/>
                <w:w w:val="105"/>
                <w:sz w:val="16"/>
              </w:rPr>
              <w:t> </w:t>
            </w:r>
            <w:r>
              <w:rPr>
                <w:w w:val="105"/>
                <w:sz w:val="16"/>
              </w:rPr>
              <w:t>shareholders</w:t>
            </w:r>
            <w:r>
              <w:rPr>
                <w:spacing w:val="-10"/>
                <w:w w:val="105"/>
                <w:sz w:val="16"/>
              </w:rPr>
              <w:t> </w:t>
            </w:r>
            <w:r>
              <w:rPr>
                <w:w w:val="105"/>
                <w:sz w:val="16"/>
              </w:rPr>
              <w:t>-</w:t>
            </w:r>
            <w:r>
              <w:rPr>
                <w:spacing w:val="-10"/>
                <w:w w:val="105"/>
                <w:sz w:val="16"/>
              </w:rPr>
              <w:t> </w:t>
            </w:r>
            <w:r>
              <w:rPr>
                <w:spacing w:val="-4"/>
                <w:w w:val="105"/>
                <w:sz w:val="16"/>
              </w:rPr>
              <w:t>basic</w:t>
            </w:r>
          </w:p>
        </w:tc>
        <w:tc>
          <w:tcPr>
            <w:tcW w:w="1316" w:type="dxa"/>
            <w:tcBorders>
              <w:top w:val="single" w:sz="6" w:space="0" w:color="000000"/>
            </w:tcBorders>
            <w:shd w:val="clear" w:color="auto" w:fill="CCEDFF"/>
          </w:tcPr>
          <w:p>
            <w:pPr>
              <w:pStyle w:val="TableParagraph"/>
              <w:rPr>
                <w:sz w:val="14"/>
              </w:rPr>
            </w:pPr>
          </w:p>
        </w:tc>
        <w:tc>
          <w:tcPr>
            <w:tcW w:w="1330" w:type="dxa"/>
            <w:tcBorders>
              <w:top w:val="single" w:sz="6" w:space="0" w:color="000000"/>
            </w:tcBorders>
            <w:shd w:val="clear" w:color="auto" w:fill="CCEDFF"/>
          </w:tcPr>
          <w:p>
            <w:pPr>
              <w:pStyle w:val="TableParagraph"/>
              <w:rPr>
                <w:sz w:val="14"/>
              </w:rPr>
            </w:pPr>
          </w:p>
        </w:tc>
        <w:tc>
          <w:tcPr>
            <w:tcW w:w="591" w:type="dxa"/>
            <w:tcBorders>
              <w:top w:val="single" w:sz="6" w:space="0" w:color="000000"/>
            </w:tcBorders>
            <w:shd w:val="clear" w:color="auto" w:fill="CCEDFF"/>
          </w:tcPr>
          <w:p>
            <w:pPr>
              <w:pStyle w:val="TableParagraph"/>
              <w:spacing w:line="180" w:lineRule="exact" w:before="2"/>
              <w:ind w:left="70" w:right="80"/>
              <w:jc w:val="center"/>
              <w:rPr>
                <w:b/>
                <w:sz w:val="16"/>
              </w:rPr>
            </w:pPr>
            <w:r>
              <w:rPr>
                <w:b/>
                <w:spacing w:val="-4"/>
                <w:w w:val="105"/>
                <w:sz w:val="16"/>
              </w:rPr>
              <w:t>1,787</w:t>
            </w:r>
          </w:p>
        </w:tc>
        <w:tc>
          <w:tcPr>
            <w:tcW w:w="1129" w:type="dxa"/>
            <w:tcBorders>
              <w:top w:val="single" w:sz="6" w:space="0" w:color="000000"/>
            </w:tcBorders>
            <w:shd w:val="clear" w:color="auto" w:fill="CCEDFF"/>
          </w:tcPr>
          <w:p>
            <w:pPr>
              <w:pStyle w:val="TableParagraph"/>
              <w:rPr>
                <w:sz w:val="14"/>
              </w:rPr>
            </w:pPr>
          </w:p>
        </w:tc>
        <w:tc>
          <w:tcPr>
            <w:tcW w:w="591" w:type="dxa"/>
            <w:tcBorders>
              <w:top w:val="single" w:sz="6" w:space="0" w:color="000000"/>
            </w:tcBorders>
            <w:shd w:val="clear" w:color="auto" w:fill="CCEDFF"/>
          </w:tcPr>
          <w:p>
            <w:pPr>
              <w:pStyle w:val="TableParagraph"/>
              <w:spacing w:line="180" w:lineRule="exact" w:before="2"/>
              <w:ind w:right="113"/>
              <w:jc w:val="right"/>
              <w:rPr>
                <w:sz w:val="16"/>
              </w:rPr>
            </w:pPr>
            <w:r>
              <w:rPr>
                <w:spacing w:val="-4"/>
                <w:w w:val="105"/>
                <w:sz w:val="16"/>
              </w:rPr>
              <w:t>1,139</w:t>
            </w:r>
          </w:p>
        </w:tc>
        <w:tc>
          <w:tcPr>
            <w:tcW w:w="1129" w:type="dxa"/>
            <w:tcBorders>
              <w:top w:val="single" w:sz="6" w:space="0" w:color="000000"/>
            </w:tcBorders>
            <w:shd w:val="clear" w:color="auto" w:fill="CCEDFF"/>
          </w:tcPr>
          <w:p>
            <w:pPr>
              <w:pStyle w:val="TableParagraph"/>
              <w:rPr>
                <w:sz w:val="14"/>
              </w:rPr>
            </w:pPr>
          </w:p>
        </w:tc>
        <w:tc>
          <w:tcPr>
            <w:tcW w:w="591" w:type="dxa"/>
            <w:tcBorders>
              <w:top w:val="single" w:sz="6" w:space="0" w:color="000000"/>
            </w:tcBorders>
            <w:shd w:val="clear" w:color="auto" w:fill="CCEDFF"/>
          </w:tcPr>
          <w:p>
            <w:pPr>
              <w:pStyle w:val="TableParagraph"/>
              <w:spacing w:line="180" w:lineRule="exact" w:before="2"/>
              <w:ind w:right="114"/>
              <w:jc w:val="right"/>
              <w:rPr>
                <w:sz w:val="16"/>
              </w:rPr>
            </w:pPr>
            <w:r>
              <w:rPr>
                <w:spacing w:val="-4"/>
                <w:w w:val="105"/>
                <w:sz w:val="16"/>
              </w:rPr>
              <w:t>1,480</w:t>
            </w:r>
          </w:p>
        </w:tc>
      </w:tr>
      <w:tr>
        <w:trPr>
          <w:trHeight w:val="215" w:hRule="atLeast"/>
        </w:trPr>
        <w:tc>
          <w:tcPr>
            <w:tcW w:w="4840" w:type="dxa"/>
            <w:tcBorders>
              <w:bottom w:val="single" w:sz="6" w:space="0" w:color="000000"/>
            </w:tcBorders>
          </w:tcPr>
          <w:p>
            <w:pPr>
              <w:pStyle w:val="TableParagraph"/>
              <w:spacing w:line="179" w:lineRule="exact" w:before="16"/>
              <w:rPr>
                <w:sz w:val="16"/>
              </w:rPr>
            </w:pPr>
            <w:r>
              <w:rPr>
                <w:w w:val="105"/>
                <w:sz w:val="16"/>
              </w:rPr>
              <w:t>Plus:</w:t>
            </w:r>
            <w:r>
              <w:rPr>
                <w:spacing w:val="-10"/>
                <w:w w:val="105"/>
                <w:sz w:val="16"/>
              </w:rPr>
              <w:t> </w:t>
            </w:r>
            <w:r>
              <w:rPr>
                <w:w w:val="105"/>
                <w:sz w:val="16"/>
              </w:rPr>
              <w:t>Series</w:t>
            </w:r>
            <w:r>
              <w:rPr>
                <w:spacing w:val="-10"/>
                <w:w w:val="105"/>
                <w:sz w:val="16"/>
              </w:rPr>
              <w:t> </w:t>
            </w:r>
            <w:r>
              <w:rPr>
                <w:w w:val="105"/>
                <w:sz w:val="16"/>
              </w:rPr>
              <w:t>A</w:t>
            </w:r>
            <w:r>
              <w:rPr>
                <w:spacing w:val="-10"/>
                <w:w w:val="105"/>
                <w:sz w:val="16"/>
              </w:rPr>
              <w:t> </w:t>
            </w:r>
            <w:r>
              <w:rPr>
                <w:w w:val="105"/>
                <w:sz w:val="16"/>
              </w:rPr>
              <w:t>convertible</w:t>
            </w:r>
            <w:r>
              <w:rPr>
                <w:spacing w:val="-9"/>
                <w:w w:val="105"/>
                <w:sz w:val="16"/>
              </w:rPr>
              <w:t> </w:t>
            </w:r>
            <w:r>
              <w:rPr>
                <w:w w:val="105"/>
                <w:sz w:val="16"/>
              </w:rPr>
              <w:t>preferred</w:t>
            </w:r>
            <w:r>
              <w:rPr>
                <w:spacing w:val="-10"/>
                <w:w w:val="105"/>
                <w:sz w:val="16"/>
              </w:rPr>
              <w:t> </w:t>
            </w:r>
            <w:r>
              <w:rPr>
                <w:w w:val="105"/>
                <w:sz w:val="16"/>
              </w:rPr>
              <w:t>stock</w:t>
            </w:r>
            <w:r>
              <w:rPr>
                <w:spacing w:val="-10"/>
                <w:w w:val="105"/>
                <w:sz w:val="16"/>
              </w:rPr>
              <w:t> </w:t>
            </w:r>
            <w:r>
              <w:rPr>
                <w:spacing w:val="-2"/>
                <w:w w:val="105"/>
                <w:sz w:val="16"/>
              </w:rPr>
              <w:t>dividend</w:t>
            </w:r>
          </w:p>
        </w:tc>
        <w:tc>
          <w:tcPr>
            <w:tcW w:w="1316" w:type="dxa"/>
            <w:tcBorders>
              <w:bottom w:val="single" w:sz="6" w:space="0" w:color="000000"/>
            </w:tcBorders>
          </w:tcPr>
          <w:p>
            <w:pPr>
              <w:pStyle w:val="TableParagraph"/>
              <w:rPr>
                <w:sz w:val="14"/>
              </w:rPr>
            </w:pPr>
          </w:p>
        </w:tc>
        <w:tc>
          <w:tcPr>
            <w:tcW w:w="1330" w:type="dxa"/>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spacing w:line="179" w:lineRule="exact" w:before="16"/>
              <w:ind w:left="205" w:right="11"/>
              <w:jc w:val="center"/>
              <w:rPr>
                <w:b/>
                <w:sz w:val="16"/>
              </w:rPr>
            </w:pPr>
            <w:r>
              <w:rPr>
                <w:b/>
                <w:spacing w:val="-5"/>
                <w:w w:val="105"/>
                <w:sz w:val="16"/>
              </w:rPr>
              <w:t>24</w:t>
            </w:r>
          </w:p>
        </w:tc>
        <w:tc>
          <w:tcPr>
            <w:tcW w:w="1129" w:type="dxa"/>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spacing w:line="179" w:lineRule="exact" w:before="16"/>
              <w:ind w:right="113"/>
              <w:jc w:val="right"/>
              <w:rPr>
                <w:sz w:val="16"/>
              </w:rPr>
            </w:pPr>
            <w:r>
              <w:rPr>
                <w:spacing w:val="-5"/>
                <w:w w:val="105"/>
                <w:sz w:val="16"/>
              </w:rPr>
              <w:t>98</w:t>
            </w:r>
          </w:p>
        </w:tc>
        <w:tc>
          <w:tcPr>
            <w:tcW w:w="1129" w:type="dxa"/>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spacing w:line="179" w:lineRule="exact" w:before="16"/>
              <w:ind w:right="114"/>
              <w:jc w:val="right"/>
              <w:rPr>
                <w:sz w:val="16"/>
              </w:rPr>
            </w:pPr>
            <w:r>
              <w:rPr>
                <w:spacing w:val="-5"/>
                <w:w w:val="105"/>
                <w:sz w:val="16"/>
              </w:rPr>
              <w:t>98</w:t>
            </w:r>
          </w:p>
        </w:tc>
      </w:tr>
      <w:tr>
        <w:trPr>
          <w:trHeight w:val="199" w:hRule="atLeast"/>
        </w:trPr>
        <w:tc>
          <w:tcPr>
            <w:tcW w:w="4840"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Core</w:t>
            </w:r>
            <w:r>
              <w:rPr>
                <w:spacing w:val="-10"/>
                <w:w w:val="105"/>
                <w:sz w:val="16"/>
              </w:rPr>
              <w:t> </w:t>
            </w:r>
            <w:r>
              <w:rPr>
                <w:w w:val="105"/>
                <w:sz w:val="16"/>
              </w:rPr>
              <w:t>net</w:t>
            </w:r>
            <w:r>
              <w:rPr>
                <w:spacing w:val="-10"/>
                <w:w w:val="105"/>
                <w:sz w:val="16"/>
              </w:rPr>
              <w:t> </w:t>
            </w:r>
            <w:r>
              <w:rPr>
                <w:w w:val="105"/>
                <w:sz w:val="16"/>
              </w:rPr>
              <w:t>income</w:t>
            </w:r>
            <w:r>
              <w:rPr>
                <w:spacing w:val="-10"/>
                <w:w w:val="105"/>
                <w:sz w:val="16"/>
              </w:rPr>
              <w:t> </w:t>
            </w:r>
            <w:r>
              <w:rPr>
                <w:w w:val="105"/>
                <w:sz w:val="16"/>
              </w:rPr>
              <w:t>available</w:t>
            </w:r>
            <w:r>
              <w:rPr>
                <w:spacing w:val="-10"/>
                <w:w w:val="105"/>
                <w:sz w:val="16"/>
              </w:rPr>
              <w:t> </w:t>
            </w:r>
            <w:r>
              <w:rPr>
                <w:w w:val="105"/>
                <w:sz w:val="16"/>
              </w:rPr>
              <w:t>to</w:t>
            </w:r>
            <w:r>
              <w:rPr>
                <w:spacing w:val="-10"/>
                <w:w w:val="105"/>
                <w:sz w:val="16"/>
              </w:rPr>
              <w:t> </w:t>
            </w:r>
            <w:r>
              <w:rPr>
                <w:w w:val="105"/>
                <w:sz w:val="16"/>
              </w:rPr>
              <w:t>common</w:t>
            </w:r>
            <w:r>
              <w:rPr>
                <w:spacing w:val="-10"/>
                <w:w w:val="105"/>
                <w:sz w:val="16"/>
              </w:rPr>
              <w:t> </w:t>
            </w:r>
            <w:r>
              <w:rPr>
                <w:w w:val="105"/>
                <w:sz w:val="16"/>
              </w:rPr>
              <w:t>shareholders</w:t>
            </w:r>
            <w:r>
              <w:rPr>
                <w:spacing w:val="-10"/>
                <w:w w:val="105"/>
                <w:sz w:val="16"/>
              </w:rPr>
              <w:t> </w:t>
            </w:r>
            <w:r>
              <w:rPr>
                <w:w w:val="105"/>
                <w:sz w:val="16"/>
              </w:rPr>
              <w:t>-</w:t>
            </w:r>
            <w:r>
              <w:rPr>
                <w:spacing w:val="-10"/>
                <w:w w:val="105"/>
                <w:sz w:val="16"/>
              </w:rPr>
              <w:t> </w:t>
            </w:r>
            <w:r>
              <w:rPr>
                <w:spacing w:val="-2"/>
                <w:w w:val="105"/>
                <w:sz w:val="16"/>
              </w:rPr>
              <w:t>diluted</w:t>
            </w:r>
          </w:p>
        </w:tc>
        <w:tc>
          <w:tcPr>
            <w:tcW w:w="1316" w:type="dxa"/>
            <w:tcBorders>
              <w:top w:val="single" w:sz="6" w:space="0" w:color="000000"/>
              <w:bottom w:val="double" w:sz="6" w:space="0" w:color="000000"/>
            </w:tcBorders>
            <w:shd w:val="clear" w:color="auto" w:fill="CCEDFF"/>
          </w:tcPr>
          <w:p>
            <w:pPr>
              <w:pStyle w:val="TableParagraph"/>
              <w:rPr>
                <w:sz w:val="12"/>
              </w:rPr>
            </w:pPr>
          </w:p>
        </w:tc>
        <w:tc>
          <w:tcPr>
            <w:tcW w:w="1330" w:type="dxa"/>
            <w:tcBorders>
              <w:top w:val="single" w:sz="6" w:space="0" w:color="000000"/>
              <w:bottom w:val="double" w:sz="6" w:space="0" w:color="000000"/>
            </w:tcBorders>
            <w:shd w:val="clear" w:color="auto" w:fill="CCEDFF"/>
          </w:tcPr>
          <w:p>
            <w:pPr>
              <w:pStyle w:val="TableParagraph"/>
              <w:spacing w:line="177" w:lineRule="exact" w:before="2"/>
              <w:ind w:left="315"/>
              <w:rPr>
                <w:b/>
                <w:sz w:val="16"/>
              </w:rPr>
            </w:pPr>
            <w:r>
              <w:rPr>
                <w:b/>
                <w:spacing w:val="-10"/>
                <w:w w:val="105"/>
                <w:sz w:val="16"/>
              </w:rPr>
              <w:t>$</w:t>
            </w:r>
          </w:p>
        </w:tc>
        <w:tc>
          <w:tcPr>
            <w:tcW w:w="591" w:type="dxa"/>
            <w:tcBorders>
              <w:top w:val="single" w:sz="6" w:space="0" w:color="000000"/>
              <w:bottom w:val="double" w:sz="6" w:space="0" w:color="000000"/>
            </w:tcBorders>
            <w:shd w:val="clear" w:color="auto" w:fill="CCEDFF"/>
          </w:tcPr>
          <w:p>
            <w:pPr>
              <w:pStyle w:val="TableParagraph"/>
              <w:spacing w:line="177" w:lineRule="exact" w:before="2"/>
              <w:ind w:left="70" w:right="80"/>
              <w:jc w:val="center"/>
              <w:rPr>
                <w:b/>
                <w:sz w:val="16"/>
              </w:rPr>
            </w:pPr>
            <w:r>
              <w:rPr>
                <w:b/>
                <w:spacing w:val="-4"/>
                <w:w w:val="105"/>
                <w:sz w:val="16"/>
              </w:rPr>
              <w:t>1,811</w:t>
            </w:r>
          </w:p>
        </w:tc>
        <w:tc>
          <w:tcPr>
            <w:tcW w:w="1129" w:type="dxa"/>
            <w:tcBorders>
              <w:top w:val="single" w:sz="6" w:space="0" w:color="000000"/>
              <w:bottom w:val="double" w:sz="6" w:space="0" w:color="000000"/>
            </w:tcBorders>
            <w:shd w:val="clear" w:color="auto" w:fill="CCEDFF"/>
          </w:tcPr>
          <w:p>
            <w:pPr>
              <w:pStyle w:val="TableParagraph"/>
              <w:spacing w:line="177" w:lineRule="exact" w:before="2"/>
              <w:ind w:left="113"/>
              <w:rPr>
                <w:sz w:val="16"/>
              </w:rPr>
            </w:pPr>
            <w:r>
              <w:rPr>
                <w:spacing w:val="-10"/>
                <w:w w:val="105"/>
                <w:sz w:val="16"/>
              </w:rPr>
              <w:t>$</w:t>
            </w:r>
          </w:p>
        </w:tc>
        <w:tc>
          <w:tcPr>
            <w:tcW w:w="591" w:type="dxa"/>
            <w:tcBorders>
              <w:top w:val="single" w:sz="6" w:space="0" w:color="000000"/>
              <w:bottom w:val="double" w:sz="6" w:space="0" w:color="000000"/>
            </w:tcBorders>
            <w:shd w:val="clear" w:color="auto" w:fill="CCEDFF"/>
          </w:tcPr>
          <w:p>
            <w:pPr>
              <w:pStyle w:val="TableParagraph"/>
              <w:spacing w:line="177" w:lineRule="exact" w:before="2"/>
              <w:ind w:right="113"/>
              <w:jc w:val="right"/>
              <w:rPr>
                <w:sz w:val="16"/>
              </w:rPr>
            </w:pPr>
            <w:r>
              <w:rPr>
                <w:spacing w:val="-4"/>
                <w:w w:val="105"/>
                <w:sz w:val="16"/>
              </w:rPr>
              <w:t>1,237</w:t>
            </w:r>
          </w:p>
        </w:tc>
        <w:tc>
          <w:tcPr>
            <w:tcW w:w="1129" w:type="dxa"/>
            <w:tcBorders>
              <w:top w:val="single" w:sz="6" w:space="0" w:color="000000"/>
              <w:bottom w:val="double" w:sz="6" w:space="0" w:color="000000"/>
            </w:tcBorders>
            <w:shd w:val="clear" w:color="auto" w:fill="CCEDFF"/>
          </w:tcPr>
          <w:p>
            <w:pPr>
              <w:pStyle w:val="TableParagraph"/>
              <w:spacing w:line="177" w:lineRule="exact" w:before="2"/>
              <w:ind w:left="113"/>
              <w:rPr>
                <w:sz w:val="16"/>
              </w:rPr>
            </w:pPr>
            <w:r>
              <w:rPr>
                <w:spacing w:val="-10"/>
                <w:w w:val="105"/>
                <w:sz w:val="16"/>
              </w:rPr>
              <w:t>$</w:t>
            </w:r>
          </w:p>
        </w:tc>
        <w:tc>
          <w:tcPr>
            <w:tcW w:w="591" w:type="dxa"/>
            <w:tcBorders>
              <w:top w:val="single" w:sz="6" w:space="0" w:color="000000"/>
              <w:bottom w:val="double" w:sz="6" w:space="0" w:color="000000"/>
            </w:tcBorders>
            <w:shd w:val="clear" w:color="auto" w:fill="CCEDFF"/>
          </w:tcPr>
          <w:p>
            <w:pPr>
              <w:pStyle w:val="TableParagraph"/>
              <w:spacing w:line="177" w:lineRule="exact" w:before="2"/>
              <w:ind w:right="114"/>
              <w:jc w:val="right"/>
              <w:rPr>
                <w:sz w:val="16"/>
              </w:rPr>
            </w:pPr>
            <w:r>
              <w:rPr>
                <w:spacing w:val="-4"/>
                <w:w w:val="105"/>
                <w:sz w:val="16"/>
              </w:rPr>
              <w:t>1,578</w:t>
            </w:r>
          </w:p>
        </w:tc>
      </w:tr>
      <w:tr>
        <w:trPr>
          <w:trHeight w:val="200" w:hRule="atLeast"/>
        </w:trPr>
        <w:tc>
          <w:tcPr>
            <w:tcW w:w="4840" w:type="dxa"/>
            <w:tcBorders>
              <w:top w:val="double" w:sz="6" w:space="0" w:color="000000"/>
            </w:tcBorders>
          </w:tcPr>
          <w:p>
            <w:pPr>
              <w:pStyle w:val="TableParagraph"/>
              <w:rPr>
                <w:sz w:val="12"/>
              </w:rPr>
            </w:pPr>
          </w:p>
        </w:tc>
        <w:tc>
          <w:tcPr>
            <w:tcW w:w="1316" w:type="dxa"/>
            <w:tcBorders>
              <w:top w:val="double" w:sz="6" w:space="0" w:color="000000"/>
            </w:tcBorders>
          </w:tcPr>
          <w:p>
            <w:pPr>
              <w:pStyle w:val="TableParagraph"/>
              <w:rPr>
                <w:sz w:val="12"/>
              </w:rPr>
            </w:pPr>
          </w:p>
        </w:tc>
        <w:tc>
          <w:tcPr>
            <w:tcW w:w="1330" w:type="dxa"/>
            <w:tcBorders>
              <w:top w:val="double" w:sz="6" w:space="0" w:color="000000"/>
            </w:tcBorders>
          </w:tcPr>
          <w:p>
            <w:pPr>
              <w:pStyle w:val="TableParagraph"/>
              <w:rPr>
                <w:sz w:val="12"/>
              </w:rPr>
            </w:pPr>
          </w:p>
        </w:tc>
        <w:tc>
          <w:tcPr>
            <w:tcW w:w="591" w:type="dxa"/>
            <w:tcBorders>
              <w:top w:val="double" w:sz="6" w:space="0" w:color="000000"/>
            </w:tcBorders>
          </w:tcPr>
          <w:p>
            <w:pPr>
              <w:pStyle w:val="TableParagraph"/>
              <w:rPr>
                <w:sz w:val="12"/>
              </w:rPr>
            </w:pPr>
          </w:p>
        </w:tc>
        <w:tc>
          <w:tcPr>
            <w:tcW w:w="1129" w:type="dxa"/>
            <w:tcBorders>
              <w:top w:val="double" w:sz="6" w:space="0" w:color="000000"/>
            </w:tcBorders>
          </w:tcPr>
          <w:p>
            <w:pPr>
              <w:pStyle w:val="TableParagraph"/>
              <w:rPr>
                <w:sz w:val="12"/>
              </w:rPr>
            </w:pPr>
          </w:p>
        </w:tc>
        <w:tc>
          <w:tcPr>
            <w:tcW w:w="591" w:type="dxa"/>
            <w:tcBorders>
              <w:top w:val="double" w:sz="6" w:space="0" w:color="000000"/>
            </w:tcBorders>
          </w:tcPr>
          <w:p>
            <w:pPr>
              <w:pStyle w:val="TableParagraph"/>
              <w:rPr>
                <w:sz w:val="12"/>
              </w:rPr>
            </w:pPr>
          </w:p>
        </w:tc>
        <w:tc>
          <w:tcPr>
            <w:tcW w:w="1129" w:type="dxa"/>
            <w:tcBorders>
              <w:top w:val="double" w:sz="6" w:space="0" w:color="000000"/>
            </w:tcBorders>
          </w:tcPr>
          <w:p>
            <w:pPr>
              <w:pStyle w:val="TableParagraph"/>
              <w:rPr>
                <w:sz w:val="12"/>
              </w:rPr>
            </w:pPr>
          </w:p>
        </w:tc>
        <w:tc>
          <w:tcPr>
            <w:tcW w:w="591" w:type="dxa"/>
            <w:tcBorders>
              <w:top w:val="double" w:sz="6" w:space="0" w:color="000000"/>
            </w:tcBorders>
          </w:tcPr>
          <w:p>
            <w:pPr>
              <w:pStyle w:val="TableParagraph"/>
              <w:rPr>
                <w:sz w:val="12"/>
              </w:rPr>
            </w:pPr>
          </w:p>
        </w:tc>
      </w:tr>
      <w:tr>
        <w:trPr>
          <w:trHeight w:val="203" w:hRule="atLeast"/>
        </w:trPr>
        <w:tc>
          <w:tcPr>
            <w:tcW w:w="4840" w:type="dxa"/>
            <w:shd w:val="clear" w:color="auto" w:fill="CCEDFF"/>
          </w:tcPr>
          <w:p>
            <w:pPr>
              <w:pStyle w:val="TableParagraph"/>
              <w:spacing w:line="180" w:lineRule="exact" w:before="3"/>
              <w:rPr>
                <w:sz w:val="16"/>
              </w:rPr>
            </w:pPr>
            <w:r>
              <w:rPr>
                <w:sz w:val="16"/>
              </w:rPr>
              <w:t>Weighted-average</w:t>
            </w:r>
            <w:r>
              <w:rPr>
                <w:spacing w:val="18"/>
                <w:sz w:val="16"/>
              </w:rPr>
              <w:t> </w:t>
            </w:r>
            <w:r>
              <w:rPr>
                <w:sz w:val="16"/>
              </w:rPr>
              <w:t>common</w:t>
            </w:r>
            <w:r>
              <w:rPr>
                <w:spacing w:val="17"/>
                <w:sz w:val="16"/>
              </w:rPr>
              <w:t> </w:t>
            </w:r>
            <w:r>
              <w:rPr>
                <w:sz w:val="16"/>
              </w:rPr>
              <w:t>shares</w:t>
            </w:r>
            <w:r>
              <w:rPr>
                <w:spacing w:val="18"/>
                <w:sz w:val="16"/>
              </w:rPr>
              <w:t> </w:t>
            </w:r>
            <w:r>
              <w:rPr>
                <w:sz w:val="16"/>
              </w:rPr>
              <w:t>outstanding</w:t>
            </w:r>
            <w:r>
              <w:rPr>
                <w:spacing w:val="18"/>
                <w:sz w:val="16"/>
              </w:rPr>
              <w:t> </w:t>
            </w:r>
            <w:r>
              <w:rPr>
                <w:sz w:val="16"/>
              </w:rPr>
              <w:t>-</w:t>
            </w:r>
            <w:r>
              <w:rPr>
                <w:spacing w:val="18"/>
                <w:sz w:val="16"/>
              </w:rPr>
              <w:t> </w:t>
            </w:r>
            <w:r>
              <w:rPr>
                <w:spacing w:val="-2"/>
                <w:sz w:val="16"/>
              </w:rPr>
              <w:t>basic</w:t>
            </w:r>
          </w:p>
        </w:tc>
        <w:tc>
          <w:tcPr>
            <w:tcW w:w="1316" w:type="dxa"/>
            <w:shd w:val="clear" w:color="auto" w:fill="CCEDFF"/>
          </w:tcPr>
          <w:p>
            <w:pPr>
              <w:pStyle w:val="TableParagraph"/>
              <w:rPr>
                <w:sz w:val="14"/>
              </w:rPr>
            </w:pPr>
          </w:p>
        </w:tc>
        <w:tc>
          <w:tcPr>
            <w:tcW w:w="1330" w:type="dxa"/>
            <w:shd w:val="clear" w:color="auto" w:fill="CCEDFF"/>
          </w:tcPr>
          <w:p>
            <w:pPr>
              <w:pStyle w:val="TableParagraph"/>
              <w:rPr>
                <w:sz w:val="14"/>
              </w:rPr>
            </w:pPr>
          </w:p>
        </w:tc>
        <w:tc>
          <w:tcPr>
            <w:tcW w:w="591" w:type="dxa"/>
            <w:shd w:val="clear" w:color="auto" w:fill="CCEDFF"/>
          </w:tcPr>
          <w:p>
            <w:pPr>
              <w:pStyle w:val="TableParagraph"/>
              <w:spacing w:line="180" w:lineRule="exact" w:before="3"/>
              <w:ind w:left="194" w:right="83"/>
              <w:jc w:val="center"/>
              <w:rPr>
                <w:b/>
                <w:sz w:val="16"/>
              </w:rPr>
            </w:pPr>
            <w:r>
              <w:rPr>
                <w:b/>
                <w:spacing w:val="-5"/>
                <w:w w:val="105"/>
                <w:sz w:val="16"/>
              </w:rPr>
              <w:t>828</w:t>
            </w:r>
          </w:p>
        </w:tc>
        <w:tc>
          <w:tcPr>
            <w:tcW w:w="1129" w:type="dxa"/>
            <w:shd w:val="clear" w:color="auto" w:fill="CCEDFF"/>
          </w:tcPr>
          <w:p>
            <w:pPr>
              <w:pStyle w:val="TableParagraph"/>
              <w:rPr>
                <w:sz w:val="14"/>
              </w:rPr>
            </w:pPr>
          </w:p>
        </w:tc>
        <w:tc>
          <w:tcPr>
            <w:tcW w:w="591" w:type="dxa"/>
            <w:shd w:val="clear" w:color="auto" w:fill="CCEDFF"/>
          </w:tcPr>
          <w:p>
            <w:pPr>
              <w:pStyle w:val="TableParagraph"/>
              <w:spacing w:line="180" w:lineRule="exact" w:before="3"/>
              <w:ind w:right="113"/>
              <w:jc w:val="right"/>
              <w:rPr>
                <w:sz w:val="16"/>
              </w:rPr>
            </w:pPr>
            <w:r>
              <w:rPr>
                <w:spacing w:val="-5"/>
                <w:w w:val="105"/>
                <w:sz w:val="16"/>
              </w:rPr>
              <w:t>761</w:t>
            </w:r>
          </w:p>
        </w:tc>
        <w:tc>
          <w:tcPr>
            <w:tcW w:w="1129" w:type="dxa"/>
            <w:shd w:val="clear" w:color="auto" w:fill="CCEDFF"/>
          </w:tcPr>
          <w:p>
            <w:pPr>
              <w:pStyle w:val="TableParagraph"/>
              <w:rPr>
                <w:sz w:val="14"/>
              </w:rPr>
            </w:pPr>
          </w:p>
        </w:tc>
        <w:tc>
          <w:tcPr>
            <w:tcW w:w="591" w:type="dxa"/>
            <w:shd w:val="clear" w:color="auto" w:fill="CCEDFF"/>
          </w:tcPr>
          <w:p>
            <w:pPr>
              <w:pStyle w:val="TableParagraph"/>
              <w:spacing w:line="180" w:lineRule="exact" w:before="3"/>
              <w:ind w:right="114"/>
              <w:jc w:val="right"/>
              <w:rPr>
                <w:sz w:val="16"/>
              </w:rPr>
            </w:pPr>
            <w:r>
              <w:rPr>
                <w:spacing w:val="-5"/>
                <w:w w:val="105"/>
                <w:sz w:val="16"/>
              </w:rPr>
              <w:t>776</w:t>
            </w:r>
          </w:p>
        </w:tc>
      </w:tr>
      <w:tr>
        <w:trPr>
          <w:trHeight w:val="203" w:hRule="atLeast"/>
        </w:trPr>
        <w:tc>
          <w:tcPr>
            <w:tcW w:w="4840" w:type="dxa"/>
          </w:tcPr>
          <w:p>
            <w:pPr>
              <w:pStyle w:val="TableParagraph"/>
              <w:spacing w:line="180" w:lineRule="exact" w:before="3"/>
              <w:rPr>
                <w:sz w:val="16"/>
              </w:rPr>
            </w:pPr>
            <w:r>
              <w:rPr>
                <w:w w:val="105"/>
                <w:sz w:val="16"/>
              </w:rPr>
              <w:t>Effect</w:t>
            </w:r>
            <w:r>
              <w:rPr>
                <w:spacing w:val="-8"/>
                <w:w w:val="105"/>
                <w:sz w:val="16"/>
              </w:rPr>
              <w:t> </w:t>
            </w:r>
            <w:r>
              <w:rPr>
                <w:w w:val="105"/>
                <w:sz w:val="16"/>
              </w:rPr>
              <w:t>of</w:t>
            </w:r>
            <w:r>
              <w:rPr>
                <w:spacing w:val="-8"/>
                <w:w w:val="105"/>
                <w:sz w:val="16"/>
              </w:rPr>
              <w:t> </w:t>
            </w:r>
            <w:r>
              <w:rPr>
                <w:w w:val="105"/>
                <w:sz w:val="16"/>
              </w:rPr>
              <w:t>dilutive</w:t>
            </w:r>
            <w:r>
              <w:rPr>
                <w:spacing w:val="-8"/>
                <w:w w:val="105"/>
                <w:sz w:val="16"/>
              </w:rPr>
              <w:t> </w:t>
            </w:r>
            <w:r>
              <w:rPr>
                <w:spacing w:val="-2"/>
                <w:w w:val="105"/>
                <w:sz w:val="16"/>
              </w:rPr>
              <w:t>securities:</w:t>
            </w:r>
          </w:p>
        </w:tc>
        <w:tc>
          <w:tcPr>
            <w:tcW w:w="1316" w:type="dxa"/>
          </w:tcPr>
          <w:p>
            <w:pPr>
              <w:pStyle w:val="TableParagraph"/>
              <w:rPr>
                <w:sz w:val="14"/>
              </w:rPr>
            </w:pPr>
          </w:p>
        </w:tc>
        <w:tc>
          <w:tcPr>
            <w:tcW w:w="1330" w:type="dxa"/>
          </w:tcPr>
          <w:p>
            <w:pPr>
              <w:pStyle w:val="TableParagraph"/>
              <w:rPr>
                <w:sz w:val="14"/>
              </w:rPr>
            </w:pPr>
          </w:p>
        </w:tc>
        <w:tc>
          <w:tcPr>
            <w:tcW w:w="591" w:type="dxa"/>
          </w:tcPr>
          <w:p>
            <w:pPr>
              <w:pStyle w:val="TableParagraph"/>
              <w:rPr>
                <w:sz w:val="14"/>
              </w:rPr>
            </w:pPr>
          </w:p>
        </w:tc>
        <w:tc>
          <w:tcPr>
            <w:tcW w:w="1129" w:type="dxa"/>
          </w:tcPr>
          <w:p>
            <w:pPr>
              <w:pStyle w:val="TableParagraph"/>
              <w:rPr>
                <w:sz w:val="14"/>
              </w:rPr>
            </w:pPr>
          </w:p>
        </w:tc>
        <w:tc>
          <w:tcPr>
            <w:tcW w:w="591" w:type="dxa"/>
          </w:tcPr>
          <w:p>
            <w:pPr>
              <w:pStyle w:val="TableParagraph"/>
              <w:rPr>
                <w:sz w:val="14"/>
              </w:rPr>
            </w:pPr>
          </w:p>
        </w:tc>
        <w:tc>
          <w:tcPr>
            <w:tcW w:w="1129" w:type="dxa"/>
          </w:tcPr>
          <w:p>
            <w:pPr>
              <w:pStyle w:val="TableParagraph"/>
              <w:rPr>
                <w:sz w:val="14"/>
              </w:rPr>
            </w:pPr>
          </w:p>
        </w:tc>
        <w:tc>
          <w:tcPr>
            <w:tcW w:w="591" w:type="dxa"/>
          </w:tcPr>
          <w:p>
            <w:pPr>
              <w:pStyle w:val="TableParagraph"/>
              <w:rPr>
                <w:sz w:val="14"/>
              </w:rPr>
            </w:pPr>
          </w:p>
        </w:tc>
      </w:tr>
      <w:tr>
        <w:trPr>
          <w:trHeight w:val="203" w:hRule="atLeast"/>
        </w:trPr>
        <w:tc>
          <w:tcPr>
            <w:tcW w:w="4840" w:type="dxa"/>
            <w:shd w:val="clear" w:color="auto" w:fill="CCEDFF"/>
          </w:tcPr>
          <w:p>
            <w:pPr>
              <w:pStyle w:val="TableParagraph"/>
              <w:spacing w:line="180" w:lineRule="exact" w:before="3"/>
              <w:ind w:left="152"/>
              <w:rPr>
                <w:sz w:val="16"/>
              </w:rPr>
            </w:pPr>
            <w:r>
              <w:rPr>
                <w:w w:val="105"/>
                <w:sz w:val="16"/>
              </w:rPr>
              <w:t>Stock</w:t>
            </w:r>
            <w:r>
              <w:rPr>
                <w:spacing w:val="-10"/>
                <w:w w:val="105"/>
                <w:sz w:val="16"/>
              </w:rPr>
              <w:t> </w:t>
            </w:r>
            <w:r>
              <w:rPr>
                <w:w w:val="105"/>
                <w:sz w:val="16"/>
              </w:rPr>
              <w:t>options</w:t>
            </w:r>
            <w:r>
              <w:rPr>
                <w:spacing w:val="-10"/>
                <w:w w:val="105"/>
                <w:sz w:val="16"/>
              </w:rPr>
              <w:t> </w:t>
            </w:r>
            <w:r>
              <w:rPr>
                <w:w w:val="105"/>
                <w:sz w:val="16"/>
              </w:rPr>
              <w:t>and</w:t>
            </w:r>
            <w:r>
              <w:rPr>
                <w:spacing w:val="-10"/>
                <w:w w:val="105"/>
                <w:sz w:val="16"/>
              </w:rPr>
              <w:t> </w:t>
            </w:r>
            <w:r>
              <w:rPr>
                <w:w w:val="105"/>
                <w:sz w:val="16"/>
              </w:rPr>
              <w:t>other</w:t>
            </w:r>
            <w:r>
              <w:rPr>
                <w:spacing w:val="-9"/>
                <w:w w:val="105"/>
                <w:sz w:val="16"/>
              </w:rPr>
              <w:t> </w:t>
            </w:r>
            <w:r>
              <w:rPr>
                <w:w w:val="105"/>
                <w:sz w:val="16"/>
              </w:rPr>
              <w:t>dilutive</w:t>
            </w:r>
            <w:r>
              <w:rPr>
                <w:spacing w:val="-10"/>
                <w:w w:val="105"/>
                <w:sz w:val="16"/>
              </w:rPr>
              <w:t> </w:t>
            </w:r>
            <w:r>
              <w:rPr>
                <w:spacing w:val="-2"/>
                <w:w w:val="105"/>
                <w:sz w:val="16"/>
              </w:rPr>
              <w:t>securities</w:t>
            </w:r>
          </w:p>
        </w:tc>
        <w:tc>
          <w:tcPr>
            <w:tcW w:w="1316" w:type="dxa"/>
            <w:shd w:val="clear" w:color="auto" w:fill="CCEDFF"/>
          </w:tcPr>
          <w:p>
            <w:pPr>
              <w:pStyle w:val="TableParagraph"/>
              <w:rPr>
                <w:sz w:val="14"/>
              </w:rPr>
            </w:pPr>
          </w:p>
        </w:tc>
        <w:tc>
          <w:tcPr>
            <w:tcW w:w="1330" w:type="dxa"/>
            <w:shd w:val="clear" w:color="auto" w:fill="CCEDFF"/>
          </w:tcPr>
          <w:p>
            <w:pPr>
              <w:pStyle w:val="TableParagraph"/>
              <w:rPr>
                <w:sz w:val="14"/>
              </w:rPr>
            </w:pPr>
          </w:p>
        </w:tc>
        <w:tc>
          <w:tcPr>
            <w:tcW w:w="591" w:type="dxa"/>
            <w:shd w:val="clear" w:color="auto" w:fill="CCEDFF"/>
          </w:tcPr>
          <w:p>
            <w:pPr>
              <w:pStyle w:val="TableParagraph"/>
              <w:spacing w:line="180" w:lineRule="exact" w:before="3"/>
              <w:ind w:left="205" w:right="11"/>
              <w:jc w:val="center"/>
              <w:rPr>
                <w:b/>
                <w:sz w:val="16"/>
              </w:rPr>
            </w:pPr>
            <w:r>
              <w:rPr>
                <w:b/>
                <w:spacing w:val="-5"/>
                <w:w w:val="105"/>
                <w:sz w:val="16"/>
              </w:rPr>
              <w:t>16</w:t>
            </w:r>
          </w:p>
        </w:tc>
        <w:tc>
          <w:tcPr>
            <w:tcW w:w="1129" w:type="dxa"/>
            <w:shd w:val="clear" w:color="auto" w:fill="CCEDFF"/>
          </w:tcPr>
          <w:p>
            <w:pPr>
              <w:pStyle w:val="TableParagraph"/>
              <w:rPr>
                <w:sz w:val="14"/>
              </w:rPr>
            </w:pPr>
          </w:p>
        </w:tc>
        <w:tc>
          <w:tcPr>
            <w:tcW w:w="591" w:type="dxa"/>
            <w:shd w:val="clear" w:color="auto" w:fill="CCEDFF"/>
          </w:tcPr>
          <w:p>
            <w:pPr>
              <w:pStyle w:val="TableParagraph"/>
              <w:spacing w:line="180" w:lineRule="exact" w:before="3"/>
              <w:ind w:right="113"/>
              <w:jc w:val="right"/>
              <w:rPr>
                <w:sz w:val="16"/>
              </w:rPr>
            </w:pPr>
            <w:r>
              <w:rPr>
                <w:spacing w:val="-5"/>
                <w:w w:val="105"/>
                <w:sz w:val="16"/>
              </w:rPr>
              <w:t>11</w:t>
            </w:r>
          </w:p>
        </w:tc>
        <w:tc>
          <w:tcPr>
            <w:tcW w:w="1129" w:type="dxa"/>
            <w:shd w:val="clear" w:color="auto" w:fill="CCEDFF"/>
          </w:tcPr>
          <w:p>
            <w:pPr>
              <w:pStyle w:val="TableParagraph"/>
              <w:rPr>
                <w:sz w:val="14"/>
              </w:rPr>
            </w:pPr>
          </w:p>
        </w:tc>
        <w:tc>
          <w:tcPr>
            <w:tcW w:w="591" w:type="dxa"/>
            <w:shd w:val="clear" w:color="auto" w:fill="CCEDFF"/>
          </w:tcPr>
          <w:p>
            <w:pPr>
              <w:pStyle w:val="TableParagraph"/>
              <w:spacing w:line="180" w:lineRule="exact" w:before="3"/>
              <w:ind w:right="114"/>
              <w:jc w:val="right"/>
              <w:rPr>
                <w:sz w:val="16"/>
              </w:rPr>
            </w:pPr>
            <w:r>
              <w:rPr>
                <w:spacing w:val="-10"/>
                <w:w w:val="105"/>
                <w:sz w:val="16"/>
              </w:rPr>
              <w:t>8</w:t>
            </w:r>
          </w:p>
        </w:tc>
      </w:tr>
      <w:tr>
        <w:trPr>
          <w:trHeight w:val="215" w:hRule="atLeast"/>
        </w:trPr>
        <w:tc>
          <w:tcPr>
            <w:tcW w:w="4840" w:type="dxa"/>
            <w:tcBorders>
              <w:bottom w:val="single" w:sz="6" w:space="0" w:color="000000"/>
            </w:tcBorders>
          </w:tcPr>
          <w:p>
            <w:pPr>
              <w:pStyle w:val="TableParagraph"/>
              <w:spacing w:line="179" w:lineRule="exact" w:before="16"/>
              <w:ind w:left="152"/>
              <w:rPr>
                <w:sz w:val="16"/>
              </w:rPr>
            </w:pPr>
            <w:r>
              <w:rPr>
                <w:spacing w:val="-2"/>
                <w:w w:val="105"/>
                <w:sz w:val="16"/>
              </w:rPr>
              <w:t>Series</w:t>
            </w:r>
            <w:r>
              <w:rPr>
                <w:spacing w:val="2"/>
                <w:w w:val="105"/>
                <w:sz w:val="16"/>
              </w:rPr>
              <w:t> </w:t>
            </w:r>
            <w:r>
              <w:rPr>
                <w:spacing w:val="-2"/>
                <w:w w:val="105"/>
                <w:sz w:val="16"/>
              </w:rPr>
              <w:t>A</w:t>
            </w:r>
            <w:r>
              <w:rPr>
                <w:spacing w:val="3"/>
                <w:w w:val="105"/>
                <w:sz w:val="16"/>
              </w:rPr>
              <w:t> </w:t>
            </w:r>
            <w:r>
              <w:rPr>
                <w:spacing w:val="-2"/>
                <w:w w:val="105"/>
                <w:sz w:val="16"/>
              </w:rPr>
              <w:t>convertible</w:t>
            </w:r>
            <w:r>
              <w:rPr>
                <w:spacing w:val="3"/>
                <w:w w:val="105"/>
                <w:sz w:val="16"/>
              </w:rPr>
              <w:t> </w:t>
            </w:r>
            <w:r>
              <w:rPr>
                <w:spacing w:val="-2"/>
                <w:w w:val="105"/>
                <w:sz w:val="16"/>
              </w:rPr>
              <w:t>preferred</w:t>
            </w:r>
            <w:r>
              <w:rPr>
                <w:spacing w:val="2"/>
                <w:w w:val="105"/>
                <w:sz w:val="16"/>
              </w:rPr>
              <w:t> </w:t>
            </w:r>
            <w:r>
              <w:rPr>
                <w:spacing w:val="-4"/>
                <w:w w:val="105"/>
                <w:sz w:val="16"/>
              </w:rPr>
              <w:t>stock</w:t>
            </w:r>
          </w:p>
        </w:tc>
        <w:tc>
          <w:tcPr>
            <w:tcW w:w="1316" w:type="dxa"/>
            <w:tcBorders>
              <w:bottom w:val="single" w:sz="6" w:space="0" w:color="000000"/>
            </w:tcBorders>
          </w:tcPr>
          <w:p>
            <w:pPr>
              <w:pStyle w:val="TableParagraph"/>
              <w:rPr>
                <w:sz w:val="14"/>
              </w:rPr>
            </w:pPr>
          </w:p>
        </w:tc>
        <w:tc>
          <w:tcPr>
            <w:tcW w:w="1330" w:type="dxa"/>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spacing w:line="179" w:lineRule="exact" w:before="16"/>
              <w:ind w:left="205" w:right="11"/>
              <w:jc w:val="center"/>
              <w:rPr>
                <w:b/>
                <w:sz w:val="16"/>
              </w:rPr>
            </w:pPr>
            <w:r>
              <w:rPr>
                <w:b/>
                <w:spacing w:val="-5"/>
                <w:w w:val="105"/>
                <w:sz w:val="16"/>
              </w:rPr>
              <w:t>31</w:t>
            </w:r>
          </w:p>
        </w:tc>
        <w:tc>
          <w:tcPr>
            <w:tcW w:w="1129" w:type="dxa"/>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spacing w:line="179" w:lineRule="exact" w:before="16"/>
              <w:ind w:right="113"/>
              <w:jc w:val="right"/>
              <w:rPr>
                <w:sz w:val="16"/>
              </w:rPr>
            </w:pPr>
            <w:r>
              <w:rPr>
                <w:spacing w:val="-5"/>
                <w:w w:val="105"/>
                <w:sz w:val="16"/>
              </w:rPr>
              <w:t>115</w:t>
            </w:r>
          </w:p>
        </w:tc>
        <w:tc>
          <w:tcPr>
            <w:tcW w:w="1129" w:type="dxa"/>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spacing w:line="179" w:lineRule="exact" w:before="16"/>
              <w:ind w:right="114"/>
              <w:jc w:val="right"/>
              <w:rPr>
                <w:sz w:val="16"/>
              </w:rPr>
            </w:pPr>
            <w:r>
              <w:rPr>
                <w:spacing w:val="-5"/>
                <w:w w:val="105"/>
                <w:sz w:val="16"/>
              </w:rPr>
              <w:t>115</w:t>
            </w:r>
          </w:p>
        </w:tc>
      </w:tr>
      <w:tr>
        <w:trPr>
          <w:trHeight w:val="199" w:hRule="atLeast"/>
        </w:trPr>
        <w:tc>
          <w:tcPr>
            <w:tcW w:w="4840" w:type="dxa"/>
            <w:tcBorders>
              <w:top w:val="single" w:sz="6" w:space="0" w:color="000000"/>
              <w:bottom w:val="double" w:sz="6" w:space="0" w:color="000000"/>
            </w:tcBorders>
            <w:shd w:val="clear" w:color="auto" w:fill="CCEDFF"/>
          </w:tcPr>
          <w:p>
            <w:pPr>
              <w:pStyle w:val="TableParagraph"/>
              <w:spacing w:line="177" w:lineRule="exact" w:before="2"/>
              <w:rPr>
                <w:sz w:val="16"/>
              </w:rPr>
            </w:pPr>
            <w:r>
              <w:rPr>
                <w:sz w:val="16"/>
              </w:rPr>
              <w:t>Weighted-average</w:t>
            </w:r>
            <w:r>
              <w:rPr>
                <w:spacing w:val="18"/>
                <w:sz w:val="16"/>
              </w:rPr>
              <w:t> </w:t>
            </w:r>
            <w:r>
              <w:rPr>
                <w:sz w:val="16"/>
              </w:rPr>
              <w:t>common</w:t>
            </w:r>
            <w:r>
              <w:rPr>
                <w:spacing w:val="18"/>
                <w:sz w:val="16"/>
              </w:rPr>
              <w:t> </w:t>
            </w:r>
            <w:r>
              <w:rPr>
                <w:sz w:val="16"/>
              </w:rPr>
              <w:t>shares</w:t>
            </w:r>
            <w:r>
              <w:rPr>
                <w:spacing w:val="18"/>
                <w:sz w:val="16"/>
              </w:rPr>
              <w:t> </w:t>
            </w:r>
            <w:r>
              <w:rPr>
                <w:sz w:val="16"/>
              </w:rPr>
              <w:t>outstanding</w:t>
            </w:r>
            <w:r>
              <w:rPr>
                <w:spacing w:val="18"/>
                <w:sz w:val="16"/>
              </w:rPr>
              <w:t> </w:t>
            </w:r>
            <w:r>
              <w:rPr>
                <w:sz w:val="16"/>
              </w:rPr>
              <w:t>-</w:t>
            </w:r>
            <w:r>
              <w:rPr>
                <w:spacing w:val="18"/>
                <w:sz w:val="16"/>
              </w:rPr>
              <w:t> </w:t>
            </w:r>
            <w:r>
              <w:rPr>
                <w:spacing w:val="-2"/>
                <w:sz w:val="16"/>
              </w:rPr>
              <w:t>diluted</w:t>
            </w:r>
          </w:p>
        </w:tc>
        <w:tc>
          <w:tcPr>
            <w:tcW w:w="1316" w:type="dxa"/>
            <w:tcBorders>
              <w:top w:val="single" w:sz="6" w:space="0" w:color="000000"/>
              <w:bottom w:val="double" w:sz="6" w:space="0" w:color="000000"/>
            </w:tcBorders>
            <w:shd w:val="clear" w:color="auto" w:fill="CCEDFF"/>
          </w:tcPr>
          <w:p>
            <w:pPr>
              <w:pStyle w:val="TableParagraph"/>
              <w:rPr>
                <w:sz w:val="12"/>
              </w:rPr>
            </w:pPr>
          </w:p>
        </w:tc>
        <w:tc>
          <w:tcPr>
            <w:tcW w:w="1330" w:type="dxa"/>
            <w:tcBorders>
              <w:top w:val="single" w:sz="6" w:space="0" w:color="000000"/>
              <w:bottom w:val="double" w:sz="6" w:space="0" w:color="000000"/>
            </w:tcBorders>
            <w:shd w:val="clear" w:color="auto" w:fill="CCEDFF"/>
          </w:tcPr>
          <w:p>
            <w:pPr>
              <w:pStyle w:val="TableParagraph"/>
              <w:rPr>
                <w:sz w:val="12"/>
              </w:rPr>
            </w:pPr>
          </w:p>
        </w:tc>
        <w:tc>
          <w:tcPr>
            <w:tcW w:w="591" w:type="dxa"/>
            <w:tcBorders>
              <w:top w:val="single" w:sz="6" w:space="0" w:color="000000"/>
              <w:bottom w:val="double" w:sz="6" w:space="0" w:color="000000"/>
            </w:tcBorders>
            <w:shd w:val="clear" w:color="auto" w:fill="CCEDFF"/>
          </w:tcPr>
          <w:p>
            <w:pPr>
              <w:pStyle w:val="TableParagraph"/>
              <w:spacing w:line="177" w:lineRule="exact" w:before="2"/>
              <w:ind w:left="194" w:right="83"/>
              <w:jc w:val="center"/>
              <w:rPr>
                <w:b/>
                <w:sz w:val="16"/>
              </w:rPr>
            </w:pPr>
            <w:r>
              <w:rPr>
                <w:b/>
                <w:spacing w:val="-5"/>
                <w:w w:val="105"/>
                <w:sz w:val="16"/>
              </w:rPr>
              <w:t>875</w:t>
            </w:r>
          </w:p>
        </w:tc>
        <w:tc>
          <w:tcPr>
            <w:tcW w:w="1129" w:type="dxa"/>
            <w:tcBorders>
              <w:top w:val="single" w:sz="6" w:space="0" w:color="000000"/>
              <w:bottom w:val="double" w:sz="6" w:space="0" w:color="000000"/>
            </w:tcBorders>
            <w:shd w:val="clear" w:color="auto" w:fill="CCEDFF"/>
          </w:tcPr>
          <w:p>
            <w:pPr>
              <w:pStyle w:val="TableParagraph"/>
              <w:rPr>
                <w:sz w:val="12"/>
              </w:rPr>
            </w:pPr>
          </w:p>
        </w:tc>
        <w:tc>
          <w:tcPr>
            <w:tcW w:w="591" w:type="dxa"/>
            <w:tcBorders>
              <w:top w:val="single" w:sz="6" w:space="0" w:color="000000"/>
              <w:bottom w:val="double" w:sz="6" w:space="0" w:color="000000"/>
            </w:tcBorders>
            <w:shd w:val="clear" w:color="auto" w:fill="CCEDFF"/>
          </w:tcPr>
          <w:p>
            <w:pPr>
              <w:pStyle w:val="TableParagraph"/>
              <w:spacing w:line="177" w:lineRule="exact" w:before="2"/>
              <w:ind w:right="113"/>
              <w:jc w:val="right"/>
              <w:rPr>
                <w:sz w:val="16"/>
              </w:rPr>
            </w:pPr>
            <w:r>
              <w:rPr>
                <w:spacing w:val="-5"/>
                <w:w w:val="105"/>
                <w:sz w:val="16"/>
              </w:rPr>
              <w:t>887</w:t>
            </w:r>
          </w:p>
        </w:tc>
        <w:tc>
          <w:tcPr>
            <w:tcW w:w="1129" w:type="dxa"/>
            <w:tcBorders>
              <w:top w:val="single" w:sz="6" w:space="0" w:color="000000"/>
              <w:bottom w:val="double" w:sz="6" w:space="0" w:color="000000"/>
            </w:tcBorders>
            <w:shd w:val="clear" w:color="auto" w:fill="CCEDFF"/>
          </w:tcPr>
          <w:p>
            <w:pPr>
              <w:pStyle w:val="TableParagraph"/>
              <w:rPr>
                <w:sz w:val="12"/>
              </w:rPr>
            </w:pPr>
          </w:p>
        </w:tc>
        <w:tc>
          <w:tcPr>
            <w:tcW w:w="591" w:type="dxa"/>
            <w:tcBorders>
              <w:top w:val="single" w:sz="6" w:space="0" w:color="000000"/>
              <w:bottom w:val="double" w:sz="6" w:space="0" w:color="000000"/>
            </w:tcBorders>
            <w:shd w:val="clear" w:color="auto" w:fill="CCEDFF"/>
          </w:tcPr>
          <w:p>
            <w:pPr>
              <w:pStyle w:val="TableParagraph"/>
              <w:spacing w:line="177" w:lineRule="exact" w:before="2"/>
              <w:ind w:right="114"/>
              <w:jc w:val="right"/>
              <w:rPr>
                <w:sz w:val="16"/>
              </w:rPr>
            </w:pPr>
            <w:r>
              <w:rPr>
                <w:spacing w:val="-5"/>
                <w:w w:val="105"/>
                <w:sz w:val="16"/>
              </w:rPr>
              <w:t>899</w:t>
            </w:r>
          </w:p>
        </w:tc>
      </w:tr>
      <w:tr>
        <w:trPr>
          <w:trHeight w:val="200" w:hRule="atLeast"/>
        </w:trPr>
        <w:tc>
          <w:tcPr>
            <w:tcW w:w="4840" w:type="dxa"/>
            <w:tcBorders>
              <w:top w:val="double" w:sz="6" w:space="0" w:color="000000"/>
            </w:tcBorders>
          </w:tcPr>
          <w:p>
            <w:pPr>
              <w:pStyle w:val="TableParagraph"/>
              <w:spacing w:line="180" w:lineRule="exact"/>
              <w:rPr>
                <w:sz w:val="16"/>
              </w:rPr>
            </w:pPr>
            <w:r>
              <w:rPr>
                <w:w w:val="105"/>
                <w:sz w:val="16"/>
              </w:rPr>
              <w:t>Core</w:t>
            </w:r>
            <w:r>
              <w:rPr>
                <w:spacing w:val="-10"/>
                <w:w w:val="105"/>
                <w:sz w:val="16"/>
              </w:rPr>
              <w:t> </w:t>
            </w:r>
            <w:r>
              <w:rPr>
                <w:w w:val="105"/>
                <w:sz w:val="16"/>
              </w:rPr>
              <w:t>basic</w:t>
            </w:r>
            <w:r>
              <w:rPr>
                <w:spacing w:val="-10"/>
                <w:w w:val="105"/>
                <w:sz w:val="16"/>
              </w:rPr>
              <w:t> </w:t>
            </w:r>
            <w:r>
              <w:rPr>
                <w:w w:val="105"/>
                <w:sz w:val="16"/>
              </w:rPr>
              <w:t>earnings</w:t>
            </w:r>
            <w:r>
              <w:rPr>
                <w:spacing w:val="-10"/>
                <w:w w:val="105"/>
                <w:sz w:val="16"/>
              </w:rPr>
              <w:t> </w:t>
            </w:r>
            <w:r>
              <w:rPr>
                <w:w w:val="105"/>
                <w:sz w:val="16"/>
              </w:rPr>
              <w:t>per</w:t>
            </w:r>
            <w:r>
              <w:rPr>
                <w:spacing w:val="-10"/>
                <w:w w:val="105"/>
                <w:sz w:val="16"/>
              </w:rPr>
              <w:t> </w:t>
            </w:r>
            <w:r>
              <w:rPr>
                <w:w w:val="105"/>
                <w:sz w:val="16"/>
              </w:rPr>
              <w:t>common</w:t>
            </w:r>
            <w:r>
              <w:rPr>
                <w:spacing w:val="-9"/>
                <w:w w:val="105"/>
                <w:sz w:val="16"/>
              </w:rPr>
              <w:t> </w:t>
            </w:r>
            <w:r>
              <w:rPr>
                <w:spacing w:val="-2"/>
                <w:w w:val="105"/>
                <w:sz w:val="16"/>
              </w:rPr>
              <w:t>share</w:t>
            </w:r>
          </w:p>
        </w:tc>
        <w:tc>
          <w:tcPr>
            <w:tcW w:w="1316" w:type="dxa"/>
            <w:tcBorders>
              <w:top w:val="double" w:sz="6" w:space="0" w:color="000000"/>
            </w:tcBorders>
          </w:tcPr>
          <w:p>
            <w:pPr>
              <w:pStyle w:val="TableParagraph"/>
              <w:rPr>
                <w:sz w:val="12"/>
              </w:rPr>
            </w:pPr>
          </w:p>
        </w:tc>
        <w:tc>
          <w:tcPr>
            <w:tcW w:w="1330" w:type="dxa"/>
            <w:tcBorders>
              <w:top w:val="double" w:sz="6" w:space="0" w:color="000000"/>
            </w:tcBorders>
          </w:tcPr>
          <w:p>
            <w:pPr>
              <w:pStyle w:val="TableParagraph"/>
              <w:spacing w:line="180" w:lineRule="exact"/>
              <w:ind w:left="315"/>
              <w:rPr>
                <w:b/>
                <w:sz w:val="16"/>
              </w:rPr>
            </w:pPr>
            <w:r>
              <w:rPr>
                <w:b/>
                <w:spacing w:val="-10"/>
                <w:w w:val="105"/>
                <w:sz w:val="16"/>
              </w:rPr>
              <w:t>$</w:t>
            </w:r>
          </w:p>
        </w:tc>
        <w:tc>
          <w:tcPr>
            <w:tcW w:w="591" w:type="dxa"/>
            <w:tcBorders>
              <w:top w:val="double" w:sz="6" w:space="0" w:color="000000"/>
            </w:tcBorders>
          </w:tcPr>
          <w:p>
            <w:pPr>
              <w:pStyle w:val="TableParagraph"/>
              <w:spacing w:line="180" w:lineRule="exact"/>
              <w:ind w:left="81" w:right="11"/>
              <w:jc w:val="center"/>
              <w:rPr>
                <w:b/>
                <w:sz w:val="16"/>
              </w:rPr>
            </w:pPr>
            <w:r>
              <w:rPr>
                <w:b/>
                <w:spacing w:val="-4"/>
                <w:w w:val="105"/>
                <w:sz w:val="16"/>
              </w:rPr>
              <w:t>2.16</w:t>
            </w:r>
          </w:p>
        </w:tc>
        <w:tc>
          <w:tcPr>
            <w:tcW w:w="1129" w:type="dxa"/>
            <w:tcBorders>
              <w:top w:val="double" w:sz="6" w:space="0" w:color="000000"/>
            </w:tcBorders>
          </w:tcPr>
          <w:p>
            <w:pPr>
              <w:pStyle w:val="TableParagraph"/>
              <w:spacing w:line="180" w:lineRule="exact"/>
              <w:ind w:left="113"/>
              <w:rPr>
                <w:sz w:val="16"/>
              </w:rPr>
            </w:pPr>
            <w:r>
              <w:rPr>
                <w:spacing w:val="-10"/>
                <w:w w:val="105"/>
                <w:sz w:val="16"/>
              </w:rPr>
              <w:t>$</w:t>
            </w:r>
          </w:p>
        </w:tc>
        <w:tc>
          <w:tcPr>
            <w:tcW w:w="591" w:type="dxa"/>
            <w:tcBorders>
              <w:top w:val="double" w:sz="6" w:space="0" w:color="000000"/>
            </w:tcBorders>
          </w:tcPr>
          <w:p>
            <w:pPr>
              <w:pStyle w:val="TableParagraph"/>
              <w:spacing w:line="180" w:lineRule="exact"/>
              <w:ind w:right="113"/>
              <w:jc w:val="right"/>
              <w:rPr>
                <w:sz w:val="16"/>
              </w:rPr>
            </w:pPr>
            <w:r>
              <w:rPr>
                <w:spacing w:val="-4"/>
                <w:w w:val="105"/>
                <w:sz w:val="16"/>
              </w:rPr>
              <w:t>1.50</w:t>
            </w:r>
          </w:p>
        </w:tc>
        <w:tc>
          <w:tcPr>
            <w:tcW w:w="1129" w:type="dxa"/>
            <w:tcBorders>
              <w:top w:val="double" w:sz="6" w:space="0" w:color="000000"/>
            </w:tcBorders>
          </w:tcPr>
          <w:p>
            <w:pPr>
              <w:pStyle w:val="TableParagraph"/>
              <w:spacing w:line="180" w:lineRule="exact"/>
              <w:ind w:left="113"/>
              <w:rPr>
                <w:sz w:val="16"/>
              </w:rPr>
            </w:pPr>
            <w:r>
              <w:rPr>
                <w:spacing w:val="-10"/>
                <w:w w:val="105"/>
                <w:sz w:val="16"/>
              </w:rPr>
              <w:t>$</w:t>
            </w:r>
          </w:p>
        </w:tc>
        <w:tc>
          <w:tcPr>
            <w:tcW w:w="591" w:type="dxa"/>
            <w:tcBorders>
              <w:top w:val="double" w:sz="6" w:space="0" w:color="000000"/>
            </w:tcBorders>
          </w:tcPr>
          <w:p>
            <w:pPr>
              <w:pStyle w:val="TableParagraph"/>
              <w:spacing w:line="180" w:lineRule="exact"/>
              <w:ind w:right="114"/>
              <w:jc w:val="right"/>
              <w:rPr>
                <w:sz w:val="16"/>
              </w:rPr>
            </w:pPr>
            <w:r>
              <w:rPr>
                <w:spacing w:val="-4"/>
                <w:w w:val="105"/>
                <w:sz w:val="16"/>
              </w:rPr>
              <w:t>1.91</w:t>
            </w:r>
          </w:p>
        </w:tc>
      </w:tr>
      <w:tr>
        <w:trPr>
          <w:trHeight w:val="200" w:hRule="atLeast"/>
        </w:trPr>
        <w:tc>
          <w:tcPr>
            <w:tcW w:w="4840" w:type="dxa"/>
            <w:tcBorders>
              <w:bottom w:val="double" w:sz="6" w:space="0" w:color="000000"/>
            </w:tcBorders>
            <w:shd w:val="clear" w:color="auto" w:fill="CCEDFF"/>
          </w:tcPr>
          <w:p>
            <w:pPr>
              <w:pStyle w:val="TableParagraph"/>
              <w:spacing w:line="177" w:lineRule="exact" w:before="3"/>
              <w:rPr>
                <w:sz w:val="16"/>
              </w:rPr>
            </w:pPr>
            <w:r>
              <w:rPr>
                <w:w w:val="105"/>
                <w:sz w:val="16"/>
              </w:rPr>
              <w:t>Core</w:t>
            </w:r>
            <w:r>
              <w:rPr>
                <w:spacing w:val="-11"/>
                <w:w w:val="105"/>
                <w:sz w:val="16"/>
              </w:rPr>
              <w:t> </w:t>
            </w:r>
            <w:r>
              <w:rPr>
                <w:w w:val="105"/>
                <w:sz w:val="16"/>
              </w:rPr>
              <w:t>diluted</w:t>
            </w:r>
            <w:r>
              <w:rPr>
                <w:spacing w:val="-10"/>
                <w:w w:val="105"/>
                <w:sz w:val="16"/>
              </w:rPr>
              <w:t> </w:t>
            </w:r>
            <w:r>
              <w:rPr>
                <w:w w:val="105"/>
                <w:sz w:val="16"/>
              </w:rPr>
              <w:t>earnings</w:t>
            </w:r>
            <w:r>
              <w:rPr>
                <w:spacing w:val="-10"/>
                <w:w w:val="105"/>
                <w:sz w:val="16"/>
              </w:rPr>
              <w:t> </w:t>
            </w:r>
            <w:r>
              <w:rPr>
                <w:w w:val="105"/>
                <w:sz w:val="16"/>
              </w:rPr>
              <w:t>per</w:t>
            </w:r>
            <w:r>
              <w:rPr>
                <w:spacing w:val="-10"/>
                <w:w w:val="105"/>
                <w:sz w:val="16"/>
              </w:rPr>
              <w:t> </w:t>
            </w:r>
            <w:r>
              <w:rPr>
                <w:w w:val="105"/>
                <w:sz w:val="16"/>
              </w:rPr>
              <w:t>common</w:t>
            </w:r>
            <w:r>
              <w:rPr>
                <w:spacing w:val="-11"/>
                <w:w w:val="105"/>
                <w:sz w:val="16"/>
              </w:rPr>
              <w:t> </w:t>
            </w:r>
            <w:r>
              <w:rPr>
                <w:spacing w:val="-2"/>
                <w:w w:val="105"/>
                <w:sz w:val="16"/>
              </w:rPr>
              <w:t>share</w:t>
            </w:r>
          </w:p>
        </w:tc>
        <w:tc>
          <w:tcPr>
            <w:tcW w:w="1316" w:type="dxa"/>
            <w:tcBorders>
              <w:bottom w:val="double" w:sz="6" w:space="0" w:color="000000"/>
            </w:tcBorders>
            <w:shd w:val="clear" w:color="auto" w:fill="CCEDFF"/>
          </w:tcPr>
          <w:p>
            <w:pPr>
              <w:pStyle w:val="TableParagraph"/>
              <w:rPr>
                <w:sz w:val="12"/>
              </w:rPr>
            </w:pPr>
          </w:p>
        </w:tc>
        <w:tc>
          <w:tcPr>
            <w:tcW w:w="1330" w:type="dxa"/>
            <w:tcBorders>
              <w:bottom w:val="double" w:sz="6" w:space="0" w:color="000000"/>
            </w:tcBorders>
            <w:shd w:val="clear" w:color="auto" w:fill="CCEDFF"/>
          </w:tcPr>
          <w:p>
            <w:pPr>
              <w:pStyle w:val="TableParagraph"/>
              <w:spacing w:line="177" w:lineRule="exact" w:before="3"/>
              <w:ind w:left="315"/>
              <w:rPr>
                <w:b/>
                <w:sz w:val="16"/>
              </w:rPr>
            </w:pPr>
            <w:r>
              <w:rPr>
                <w:b/>
                <w:spacing w:val="-10"/>
                <w:w w:val="105"/>
                <w:sz w:val="16"/>
              </w:rPr>
              <w:t>$</w:t>
            </w:r>
          </w:p>
        </w:tc>
        <w:tc>
          <w:tcPr>
            <w:tcW w:w="591" w:type="dxa"/>
            <w:tcBorders>
              <w:bottom w:val="double" w:sz="6" w:space="0" w:color="000000"/>
            </w:tcBorders>
            <w:shd w:val="clear" w:color="auto" w:fill="CCEDFF"/>
          </w:tcPr>
          <w:p>
            <w:pPr>
              <w:pStyle w:val="TableParagraph"/>
              <w:spacing w:line="177" w:lineRule="exact" w:before="3"/>
              <w:ind w:left="81" w:right="11"/>
              <w:jc w:val="center"/>
              <w:rPr>
                <w:b/>
                <w:sz w:val="16"/>
              </w:rPr>
            </w:pPr>
            <w:r>
              <w:rPr>
                <w:b/>
                <w:spacing w:val="-4"/>
                <w:w w:val="105"/>
                <w:sz w:val="16"/>
              </w:rPr>
              <w:t>2.07</w:t>
            </w:r>
          </w:p>
        </w:tc>
        <w:tc>
          <w:tcPr>
            <w:tcW w:w="1129" w:type="dxa"/>
            <w:tcBorders>
              <w:bottom w:val="double" w:sz="6" w:space="0" w:color="000000"/>
            </w:tcBorders>
            <w:shd w:val="clear" w:color="auto" w:fill="CCEDFF"/>
          </w:tcPr>
          <w:p>
            <w:pPr>
              <w:pStyle w:val="TableParagraph"/>
              <w:spacing w:line="177" w:lineRule="exact" w:before="3"/>
              <w:ind w:left="113"/>
              <w:rPr>
                <w:sz w:val="16"/>
              </w:rPr>
            </w:pPr>
            <w:r>
              <w:rPr>
                <w:spacing w:val="-10"/>
                <w:w w:val="105"/>
                <w:sz w:val="16"/>
              </w:rPr>
              <w:t>$</w:t>
            </w:r>
          </w:p>
        </w:tc>
        <w:tc>
          <w:tcPr>
            <w:tcW w:w="591" w:type="dxa"/>
            <w:tcBorders>
              <w:bottom w:val="double" w:sz="6" w:space="0" w:color="000000"/>
            </w:tcBorders>
            <w:shd w:val="clear" w:color="auto" w:fill="CCEDFF"/>
          </w:tcPr>
          <w:p>
            <w:pPr>
              <w:pStyle w:val="TableParagraph"/>
              <w:spacing w:line="177" w:lineRule="exact" w:before="3"/>
              <w:ind w:right="113"/>
              <w:jc w:val="right"/>
              <w:rPr>
                <w:sz w:val="16"/>
              </w:rPr>
            </w:pPr>
            <w:r>
              <w:rPr>
                <w:spacing w:val="-4"/>
                <w:w w:val="105"/>
                <w:sz w:val="16"/>
              </w:rPr>
              <w:t>1.39</w:t>
            </w:r>
          </w:p>
        </w:tc>
        <w:tc>
          <w:tcPr>
            <w:tcW w:w="1129" w:type="dxa"/>
            <w:tcBorders>
              <w:bottom w:val="double" w:sz="6" w:space="0" w:color="000000"/>
            </w:tcBorders>
            <w:shd w:val="clear" w:color="auto" w:fill="CCEDFF"/>
          </w:tcPr>
          <w:p>
            <w:pPr>
              <w:pStyle w:val="TableParagraph"/>
              <w:spacing w:line="177" w:lineRule="exact" w:before="3"/>
              <w:ind w:left="113"/>
              <w:rPr>
                <w:sz w:val="16"/>
              </w:rPr>
            </w:pPr>
            <w:r>
              <w:rPr>
                <w:spacing w:val="-10"/>
                <w:w w:val="105"/>
                <w:sz w:val="16"/>
              </w:rPr>
              <w:t>$</w:t>
            </w:r>
          </w:p>
        </w:tc>
        <w:tc>
          <w:tcPr>
            <w:tcW w:w="591" w:type="dxa"/>
            <w:tcBorders>
              <w:bottom w:val="double" w:sz="6" w:space="0" w:color="000000"/>
            </w:tcBorders>
            <w:shd w:val="clear" w:color="auto" w:fill="CCEDFF"/>
          </w:tcPr>
          <w:p>
            <w:pPr>
              <w:pStyle w:val="TableParagraph"/>
              <w:spacing w:line="177" w:lineRule="exact" w:before="3"/>
              <w:ind w:right="114"/>
              <w:jc w:val="right"/>
              <w:rPr>
                <w:sz w:val="16"/>
              </w:rPr>
            </w:pPr>
            <w:r>
              <w:rPr>
                <w:spacing w:val="-4"/>
                <w:w w:val="105"/>
                <w:sz w:val="16"/>
              </w:rPr>
              <w:t>1.76</w:t>
            </w:r>
          </w:p>
        </w:tc>
      </w:tr>
      <w:tr>
        <w:trPr>
          <w:trHeight w:val="478" w:hRule="atLeast"/>
        </w:trPr>
        <w:tc>
          <w:tcPr>
            <w:tcW w:w="4840" w:type="dxa"/>
            <w:tcBorders>
              <w:top w:val="double" w:sz="6" w:space="0" w:color="000000"/>
              <w:bottom w:val="single" w:sz="12" w:space="0" w:color="000000"/>
            </w:tcBorders>
          </w:tcPr>
          <w:p>
            <w:pPr>
              <w:pStyle w:val="TableParagraph"/>
              <w:rPr>
                <w:sz w:val="16"/>
              </w:rPr>
            </w:pPr>
          </w:p>
        </w:tc>
        <w:tc>
          <w:tcPr>
            <w:tcW w:w="1316" w:type="dxa"/>
            <w:tcBorders>
              <w:top w:val="double" w:sz="6" w:space="0" w:color="000000"/>
              <w:bottom w:val="single" w:sz="12" w:space="0" w:color="000000"/>
            </w:tcBorders>
          </w:tcPr>
          <w:p>
            <w:pPr>
              <w:pStyle w:val="TableParagraph"/>
              <w:spacing w:before="19"/>
              <w:rPr>
                <w:sz w:val="16"/>
              </w:rPr>
            </w:pPr>
          </w:p>
          <w:p>
            <w:pPr>
              <w:pStyle w:val="TableParagraph"/>
              <w:spacing w:before="1"/>
              <w:ind w:left="834"/>
              <w:rPr>
                <w:sz w:val="16"/>
              </w:rPr>
            </w:pPr>
            <w:r>
              <w:rPr>
                <w:spacing w:val="-5"/>
                <w:w w:val="105"/>
                <w:sz w:val="16"/>
              </w:rPr>
              <w:t>32</w:t>
            </w:r>
          </w:p>
        </w:tc>
        <w:tc>
          <w:tcPr>
            <w:tcW w:w="1330" w:type="dxa"/>
            <w:tcBorders>
              <w:top w:val="double" w:sz="6" w:space="0" w:color="000000"/>
              <w:bottom w:val="single" w:sz="12" w:space="0" w:color="000000"/>
            </w:tcBorders>
          </w:tcPr>
          <w:p>
            <w:pPr>
              <w:pStyle w:val="TableParagraph"/>
              <w:rPr>
                <w:sz w:val="16"/>
              </w:rPr>
            </w:pPr>
          </w:p>
        </w:tc>
        <w:tc>
          <w:tcPr>
            <w:tcW w:w="591" w:type="dxa"/>
            <w:tcBorders>
              <w:top w:val="double" w:sz="6" w:space="0" w:color="000000"/>
              <w:bottom w:val="single" w:sz="12" w:space="0" w:color="000000"/>
            </w:tcBorders>
          </w:tcPr>
          <w:p>
            <w:pPr>
              <w:pStyle w:val="TableParagraph"/>
              <w:rPr>
                <w:sz w:val="16"/>
              </w:rPr>
            </w:pPr>
          </w:p>
        </w:tc>
        <w:tc>
          <w:tcPr>
            <w:tcW w:w="1129" w:type="dxa"/>
            <w:tcBorders>
              <w:top w:val="double" w:sz="6" w:space="0" w:color="000000"/>
              <w:bottom w:val="single" w:sz="12" w:space="0" w:color="000000"/>
            </w:tcBorders>
          </w:tcPr>
          <w:p>
            <w:pPr>
              <w:pStyle w:val="TableParagraph"/>
              <w:rPr>
                <w:sz w:val="16"/>
              </w:rPr>
            </w:pPr>
          </w:p>
        </w:tc>
        <w:tc>
          <w:tcPr>
            <w:tcW w:w="591" w:type="dxa"/>
            <w:tcBorders>
              <w:top w:val="double" w:sz="6" w:space="0" w:color="000000"/>
              <w:bottom w:val="single" w:sz="12" w:space="0" w:color="000000"/>
            </w:tcBorders>
          </w:tcPr>
          <w:p>
            <w:pPr>
              <w:pStyle w:val="TableParagraph"/>
              <w:rPr>
                <w:sz w:val="16"/>
              </w:rPr>
            </w:pPr>
          </w:p>
        </w:tc>
        <w:tc>
          <w:tcPr>
            <w:tcW w:w="1129" w:type="dxa"/>
            <w:tcBorders>
              <w:top w:val="double" w:sz="6" w:space="0" w:color="000000"/>
              <w:bottom w:val="single" w:sz="12" w:space="0" w:color="000000"/>
            </w:tcBorders>
          </w:tcPr>
          <w:p>
            <w:pPr>
              <w:pStyle w:val="TableParagraph"/>
              <w:rPr>
                <w:sz w:val="16"/>
              </w:rPr>
            </w:pPr>
          </w:p>
        </w:tc>
        <w:tc>
          <w:tcPr>
            <w:tcW w:w="591" w:type="dxa"/>
            <w:tcBorders>
              <w:top w:val="double" w:sz="6" w:space="0" w:color="000000"/>
              <w:bottom w:val="single" w:sz="12" w:space="0" w:color="000000"/>
            </w:tcBorders>
          </w:tcPr>
          <w:p>
            <w:pPr>
              <w:pStyle w:val="TableParagraph"/>
              <w:rPr>
                <w:sz w:val="16"/>
              </w:rPr>
            </w:pPr>
          </w:p>
        </w:tc>
      </w:tr>
    </w:tbl>
    <w:p>
      <w:pPr>
        <w:spacing w:after="0"/>
        <w:rPr>
          <w:sz w:val="16"/>
        </w:rPr>
        <w:sectPr>
          <w:pgSz w:w="12240" w:h="15840"/>
          <w:pgMar w:header="428" w:footer="0" w:top="620" w:bottom="280" w:left="200" w:right="260"/>
        </w:sectPr>
      </w:pPr>
    </w:p>
    <w:p>
      <w:pPr>
        <w:pStyle w:val="BodyText"/>
        <w:spacing w:before="38"/>
      </w:pPr>
    </w:p>
    <w:p>
      <w:pPr>
        <w:pStyle w:val="Heading3"/>
      </w:pPr>
      <w:r>
        <w:rPr/>
        <w:t>Reconciliation</w:t>
      </w:r>
      <w:r>
        <w:rPr>
          <w:spacing w:val="15"/>
        </w:rPr>
        <w:t> </w:t>
      </w:r>
      <w:r>
        <w:rPr/>
        <w:t>of</w:t>
      </w:r>
      <w:r>
        <w:rPr>
          <w:spacing w:val="15"/>
        </w:rPr>
        <w:t> </w:t>
      </w:r>
      <w:r>
        <w:rPr/>
        <w:t>Non-GAAP</w:t>
      </w:r>
      <w:r>
        <w:rPr>
          <w:spacing w:val="15"/>
        </w:rPr>
        <w:t> </w:t>
      </w:r>
      <w:r>
        <w:rPr>
          <w:spacing w:val="-2"/>
        </w:rPr>
        <w:t>Measures</w:t>
      </w:r>
    </w:p>
    <w:p>
      <w:pPr>
        <w:pStyle w:val="BodyText"/>
        <w:spacing w:before="40"/>
        <w:rPr>
          <w:b/>
          <w:i/>
        </w:rPr>
      </w:pPr>
    </w:p>
    <w:p>
      <w:pPr>
        <w:pStyle w:val="BodyText"/>
        <w:spacing w:line="266" w:lineRule="auto"/>
        <w:ind w:left="156" w:right="208"/>
      </w:pPr>
      <w:r>
        <w:rPr>
          <w:w w:val="105"/>
        </w:rPr>
        <w:t>We</w:t>
      </w:r>
      <w:r>
        <w:rPr>
          <w:spacing w:val="-8"/>
          <w:w w:val="105"/>
        </w:rPr>
        <w:t> </w:t>
      </w:r>
      <w:r>
        <w:rPr>
          <w:w w:val="105"/>
        </w:rPr>
        <w:t>utilize</w:t>
      </w:r>
      <w:r>
        <w:rPr>
          <w:spacing w:val="-8"/>
          <w:w w:val="105"/>
        </w:rPr>
        <w:t> </w:t>
      </w:r>
      <w:r>
        <w:rPr>
          <w:w w:val="105"/>
        </w:rPr>
        <w:t>certain</w:t>
      </w:r>
      <w:r>
        <w:rPr>
          <w:spacing w:val="-8"/>
          <w:w w:val="105"/>
        </w:rPr>
        <w:t> </w:t>
      </w:r>
      <w:r>
        <w:rPr>
          <w:w w:val="105"/>
        </w:rPr>
        <w:t>financial</w:t>
      </w:r>
      <w:r>
        <w:rPr>
          <w:spacing w:val="-8"/>
          <w:w w:val="105"/>
        </w:rPr>
        <w:t> </w:t>
      </w:r>
      <w:r>
        <w:rPr>
          <w:w w:val="105"/>
        </w:rPr>
        <w:t>measures</w:t>
      </w:r>
      <w:r>
        <w:rPr>
          <w:spacing w:val="-8"/>
          <w:w w:val="105"/>
        </w:rPr>
        <w:t> </w:t>
      </w:r>
      <w:r>
        <w:rPr>
          <w:w w:val="105"/>
        </w:rPr>
        <w:t>and</w:t>
      </w:r>
      <w:r>
        <w:rPr>
          <w:spacing w:val="-8"/>
          <w:w w:val="105"/>
        </w:rPr>
        <w:t> </w:t>
      </w:r>
      <w:r>
        <w:rPr>
          <w:w w:val="105"/>
        </w:rPr>
        <w:t>key</w:t>
      </w:r>
      <w:r>
        <w:rPr>
          <w:spacing w:val="-8"/>
          <w:w w:val="105"/>
        </w:rPr>
        <w:t> </w:t>
      </w:r>
      <w:r>
        <w:rPr>
          <w:w w:val="105"/>
        </w:rPr>
        <w:t>performance</w:t>
      </w:r>
      <w:r>
        <w:rPr>
          <w:spacing w:val="-8"/>
          <w:w w:val="105"/>
        </w:rPr>
        <w:t> </w:t>
      </w:r>
      <w:r>
        <w:rPr>
          <w:w w:val="105"/>
        </w:rPr>
        <w:t>indicators</w:t>
      </w:r>
      <w:r>
        <w:rPr>
          <w:spacing w:val="-8"/>
          <w:w w:val="105"/>
        </w:rPr>
        <w:t> </w:t>
      </w:r>
      <w:r>
        <w:rPr>
          <w:w w:val="105"/>
        </w:rPr>
        <w:t>that</w:t>
      </w:r>
      <w:r>
        <w:rPr>
          <w:spacing w:val="-8"/>
          <w:w w:val="105"/>
        </w:rPr>
        <w:t> </w:t>
      </w:r>
      <w:r>
        <w:rPr>
          <w:w w:val="105"/>
        </w:rPr>
        <w:t>are</w:t>
      </w:r>
      <w:r>
        <w:rPr>
          <w:spacing w:val="-8"/>
          <w:w w:val="105"/>
        </w:rPr>
        <w:t> </w:t>
      </w:r>
      <w:r>
        <w:rPr>
          <w:w w:val="105"/>
        </w:rPr>
        <w:t>not</w:t>
      </w:r>
      <w:r>
        <w:rPr>
          <w:spacing w:val="-8"/>
          <w:w w:val="105"/>
        </w:rPr>
        <w:t> </w:t>
      </w:r>
      <w:r>
        <w:rPr>
          <w:w w:val="105"/>
        </w:rPr>
        <w:t>calculated</w:t>
      </w:r>
      <w:r>
        <w:rPr>
          <w:spacing w:val="-8"/>
          <w:w w:val="105"/>
        </w:rPr>
        <w:t> </w:t>
      </w:r>
      <w:r>
        <w:rPr>
          <w:w w:val="105"/>
        </w:rPr>
        <w:t>in</w:t>
      </w:r>
      <w:r>
        <w:rPr>
          <w:spacing w:val="-8"/>
          <w:w w:val="105"/>
        </w:rPr>
        <w:t> </w:t>
      </w:r>
      <w:r>
        <w:rPr>
          <w:w w:val="105"/>
        </w:rPr>
        <w:t>accordance</w:t>
      </w:r>
      <w:r>
        <w:rPr>
          <w:spacing w:val="-8"/>
          <w:w w:val="105"/>
        </w:rPr>
        <w:t> </w:t>
      </w:r>
      <w:r>
        <w:rPr>
          <w:w w:val="105"/>
        </w:rPr>
        <w:t>with</w:t>
      </w:r>
      <w:r>
        <w:rPr>
          <w:spacing w:val="-8"/>
          <w:w w:val="105"/>
        </w:rPr>
        <w:t> </w:t>
      </w:r>
      <w:r>
        <w:rPr>
          <w:w w:val="105"/>
        </w:rPr>
        <w:t>GAAP</w:t>
      </w:r>
      <w:r>
        <w:rPr>
          <w:spacing w:val="-8"/>
          <w:w w:val="105"/>
        </w:rPr>
        <w:t> </w:t>
      </w:r>
      <w:r>
        <w:rPr>
          <w:w w:val="105"/>
        </w:rPr>
        <w:t>to</w:t>
      </w:r>
      <w:r>
        <w:rPr>
          <w:spacing w:val="-8"/>
          <w:w w:val="105"/>
        </w:rPr>
        <w:t> </w:t>
      </w:r>
      <w:r>
        <w:rPr>
          <w:w w:val="105"/>
        </w:rPr>
        <w:t>assess</w:t>
      </w:r>
      <w:r>
        <w:rPr>
          <w:spacing w:val="-8"/>
          <w:w w:val="105"/>
        </w:rPr>
        <w:t> </w:t>
      </w:r>
      <w:r>
        <w:rPr>
          <w:w w:val="105"/>
        </w:rPr>
        <w:t>our</w:t>
      </w:r>
      <w:r>
        <w:rPr>
          <w:spacing w:val="-8"/>
          <w:w w:val="105"/>
        </w:rPr>
        <w:t> </w:t>
      </w:r>
      <w:r>
        <w:rPr>
          <w:w w:val="105"/>
        </w:rPr>
        <w:t>financial</w:t>
      </w:r>
      <w:r>
        <w:rPr>
          <w:spacing w:val="-8"/>
          <w:w w:val="105"/>
        </w:rPr>
        <w:t> </w:t>
      </w:r>
      <w:r>
        <w:rPr>
          <w:w w:val="105"/>
        </w:rPr>
        <w:t>and</w:t>
      </w:r>
      <w:r>
        <w:rPr>
          <w:spacing w:val="-8"/>
          <w:w w:val="105"/>
        </w:rPr>
        <w:t> </w:t>
      </w:r>
      <w:r>
        <w:rPr>
          <w:w w:val="105"/>
        </w:rPr>
        <w:t>operating</w:t>
      </w:r>
      <w:r>
        <w:rPr>
          <w:spacing w:val="-8"/>
          <w:w w:val="105"/>
        </w:rPr>
        <w:t> </w:t>
      </w:r>
      <w:r>
        <w:rPr>
          <w:w w:val="105"/>
        </w:rPr>
        <w:t>performance.</w:t>
      </w:r>
      <w:r>
        <w:rPr>
          <w:spacing w:val="-8"/>
          <w:w w:val="105"/>
        </w:rPr>
        <w:t> </w:t>
      </w:r>
      <w:r>
        <w:rPr>
          <w:w w:val="105"/>
        </w:rPr>
        <w:t>A non-GAAP</w:t>
      </w:r>
      <w:r>
        <w:rPr>
          <w:spacing w:val="-4"/>
          <w:w w:val="105"/>
        </w:rPr>
        <w:t> </w:t>
      </w:r>
      <w:r>
        <w:rPr>
          <w:w w:val="105"/>
        </w:rPr>
        <w:t>financial</w:t>
      </w:r>
      <w:r>
        <w:rPr>
          <w:spacing w:val="-4"/>
          <w:w w:val="105"/>
        </w:rPr>
        <w:t> </w:t>
      </w:r>
      <w:r>
        <w:rPr>
          <w:w w:val="105"/>
        </w:rPr>
        <w:t>measure</w:t>
      </w:r>
      <w:r>
        <w:rPr>
          <w:spacing w:val="-4"/>
          <w:w w:val="105"/>
        </w:rPr>
        <w:t> </w:t>
      </w:r>
      <w:r>
        <w:rPr>
          <w:w w:val="105"/>
        </w:rPr>
        <w:t>is</w:t>
      </w:r>
      <w:r>
        <w:rPr>
          <w:spacing w:val="-4"/>
          <w:w w:val="105"/>
        </w:rPr>
        <w:t> </w:t>
      </w:r>
      <w:r>
        <w:rPr>
          <w:w w:val="105"/>
        </w:rPr>
        <w:t>defined</w:t>
      </w:r>
      <w:r>
        <w:rPr>
          <w:spacing w:val="-4"/>
          <w:w w:val="105"/>
        </w:rPr>
        <w:t> </w:t>
      </w:r>
      <w:r>
        <w:rPr>
          <w:w w:val="105"/>
        </w:rPr>
        <w:t>as</w:t>
      </w:r>
      <w:r>
        <w:rPr>
          <w:spacing w:val="-4"/>
          <w:w w:val="105"/>
        </w:rPr>
        <w:t> </w:t>
      </w:r>
      <w:r>
        <w:rPr>
          <w:w w:val="105"/>
        </w:rPr>
        <w:t>a</w:t>
      </w:r>
      <w:r>
        <w:rPr>
          <w:spacing w:val="-4"/>
          <w:w w:val="105"/>
        </w:rPr>
        <w:t> </w:t>
      </w:r>
      <w:r>
        <w:rPr>
          <w:w w:val="105"/>
        </w:rPr>
        <w:t>numerical</w:t>
      </w:r>
      <w:r>
        <w:rPr>
          <w:spacing w:val="-4"/>
          <w:w w:val="105"/>
        </w:rPr>
        <w:t> </w:t>
      </w:r>
      <w:r>
        <w:rPr>
          <w:w w:val="105"/>
        </w:rPr>
        <w:t>measure</w:t>
      </w:r>
      <w:r>
        <w:rPr>
          <w:spacing w:val="-4"/>
          <w:w w:val="105"/>
        </w:rPr>
        <w:t> </w:t>
      </w:r>
      <w:r>
        <w:rPr>
          <w:w w:val="105"/>
        </w:rPr>
        <w:t>of</w:t>
      </w:r>
      <w:r>
        <w:rPr>
          <w:spacing w:val="-4"/>
          <w:w w:val="105"/>
        </w:rPr>
        <w:t> </w:t>
      </w:r>
      <w:r>
        <w:rPr>
          <w:w w:val="105"/>
        </w:rPr>
        <w:t>a</w:t>
      </w:r>
      <w:r>
        <w:rPr>
          <w:spacing w:val="-4"/>
          <w:w w:val="105"/>
        </w:rPr>
        <w:t> </w:t>
      </w:r>
      <w:r>
        <w:rPr>
          <w:w w:val="105"/>
        </w:rPr>
        <w:t>company’s</w:t>
      </w:r>
      <w:r>
        <w:rPr>
          <w:spacing w:val="-4"/>
          <w:w w:val="105"/>
        </w:rPr>
        <w:t> </w:t>
      </w:r>
      <w:r>
        <w:rPr>
          <w:w w:val="105"/>
        </w:rPr>
        <w:t>financial</w:t>
      </w:r>
      <w:r>
        <w:rPr>
          <w:spacing w:val="-4"/>
          <w:w w:val="105"/>
        </w:rPr>
        <w:t> </w:t>
      </w:r>
      <w:r>
        <w:rPr>
          <w:w w:val="105"/>
        </w:rPr>
        <w:t>performance</w:t>
      </w:r>
      <w:r>
        <w:rPr>
          <w:spacing w:val="-4"/>
          <w:w w:val="105"/>
        </w:rPr>
        <w:t> </w:t>
      </w:r>
      <w:r>
        <w:rPr>
          <w:w w:val="105"/>
        </w:rPr>
        <w:t>that</w:t>
      </w:r>
      <w:r>
        <w:rPr>
          <w:spacing w:val="-4"/>
          <w:w w:val="105"/>
        </w:rPr>
        <w:t> </w:t>
      </w:r>
      <w:r>
        <w:rPr>
          <w:w w:val="105"/>
        </w:rPr>
        <w:t>(i)</w:t>
      </w:r>
      <w:r>
        <w:rPr>
          <w:spacing w:val="-4"/>
          <w:w w:val="105"/>
        </w:rPr>
        <w:t> </w:t>
      </w:r>
      <w:r>
        <w:rPr>
          <w:w w:val="105"/>
        </w:rPr>
        <w:t>excludes</w:t>
      </w:r>
      <w:r>
        <w:rPr>
          <w:spacing w:val="-4"/>
          <w:w w:val="105"/>
        </w:rPr>
        <w:t> </w:t>
      </w:r>
      <w:r>
        <w:rPr>
          <w:w w:val="105"/>
        </w:rPr>
        <w:t>amounts,</w:t>
      </w:r>
      <w:r>
        <w:rPr>
          <w:spacing w:val="-4"/>
          <w:w w:val="105"/>
        </w:rPr>
        <w:t> </w:t>
      </w:r>
      <w:r>
        <w:rPr>
          <w:w w:val="105"/>
        </w:rPr>
        <w:t>or</w:t>
      </w:r>
      <w:r>
        <w:rPr>
          <w:spacing w:val="-4"/>
          <w:w w:val="105"/>
        </w:rPr>
        <w:t> </w:t>
      </w:r>
      <w:r>
        <w:rPr>
          <w:w w:val="105"/>
        </w:rPr>
        <w:t>is</w:t>
      </w:r>
      <w:r>
        <w:rPr>
          <w:spacing w:val="-4"/>
          <w:w w:val="105"/>
        </w:rPr>
        <w:t> </w:t>
      </w:r>
      <w:r>
        <w:rPr>
          <w:w w:val="105"/>
        </w:rPr>
        <w:t>subject</w:t>
      </w:r>
      <w:r>
        <w:rPr>
          <w:spacing w:val="-4"/>
          <w:w w:val="105"/>
        </w:rPr>
        <w:t> </w:t>
      </w:r>
      <w:r>
        <w:rPr>
          <w:w w:val="105"/>
        </w:rPr>
        <w:t>to</w:t>
      </w:r>
      <w:r>
        <w:rPr>
          <w:spacing w:val="-4"/>
          <w:w w:val="105"/>
        </w:rPr>
        <w:t> </w:t>
      </w:r>
      <w:r>
        <w:rPr>
          <w:w w:val="105"/>
        </w:rPr>
        <w:t>adjustments</w:t>
      </w:r>
      <w:r>
        <w:rPr>
          <w:spacing w:val="-4"/>
          <w:w w:val="105"/>
        </w:rPr>
        <w:t> </w:t>
      </w:r>
      <w:r>
        <w:rPr>
          <w:w w:val="105"/>
        </w:rPr>
        <w:t>that</w:t>
      </w:r>
      <w:r>
        <w:rPr>
          <w:spacing w:val="-4"/>
          <w:w w:val="105"/>
        </w:rPr>
        <w:t> </w:t>
      </w:r>
      <w:r>
        <w:rPr>
          <w:w w:val="105"/>
        </w:rPr>
        <w:t>have</w:t>
      </w:r>
      <w:r>
        <w:rPr>
          <w:spacing w:val="-4"/>
          <w:w w:val="105"/>
        </w:rPr>
        <w:t> </w:t>
      </w:r>
      <w:r>
        <w:rPr>
          <w:w w:val="105"/>
        </w:rPr>
        <w:t>the effect</w:t>
      </w:r>
      <w:r>
        <w:rPr>
          <w:spacing w:val="-2"/>
          <w:w w:val="105"/>
        </w:rPr>
        <w:t> </w:t>
      </w:r>
      <w:r>
        <w:rPr>
          <w:w w:val="105"/>
        </w:rPr>
        <w:t>of</w:t>
      </w:r>
      <w:r>
        <w:rPr>
          <w:spacing w:val="-2"/>
          <w:w w:val="105"/>
        </w:rPr>
        <w:t> </w:t>
      </w:r>
      <w:r>
        <w:rPr>
          <w:w w:val="105"/>
        </w:rPr>
        <w:t>excluding</w:t>
      </w:r>
      <w:r>
        <w:rPr>
          <w:spacing w:val="-2"/>
          <w:w w:val="105"/>
        </w:rPr>
        <w:t> </w:t>
      </w:r>
      <w:r>
        <w:rPr>
          <w:w w:val="105"/>
        </w:rPr>
        <w:t>amounts,</w:t>
      </w:r>
      <w:r>
        <w:rPr>
          <w:spacing w:val="-2"/>
          <w:w w:val="105"/>
        </w:rPr>
        <w:t> </w:t>
      </w:r>
      <w:r>
        <w:rPr>
          <w:w w:val="105"/>
        </w:rPr>
        <w:t>that</w:t>
      </w:r>
      <w:r>
        <w:rPr>
          <w:spacing w:val="-2"/>
          <w:w w:val="105"/>
        </w:rPr>
        <w:t> </w:t>
      </w:r>
      <w:r>
        <w:rPr>
          <w:w w:val="105"/>
        </w:rPr>
        <w:t>are</w:t>
      </w:r>
      <w:r>
        <w:rPr>
          <w:spacing w:val="-2"/>
          <w:w w:val="105"/>
        </w:rPr>
        <w:t> </w:t>
      </w:r>
      <w:r>
        <w:rPr>
          <w:w w:val="105"/>
        </w:rPr>
        <w:t>included</w:t>
      </w:r>
      <w:r>
        <w:rPr>
          <w:spacing w:val="-2"/>
          <w:w w:val="105"/>
        </w:rPr>
        <w:t> </w:t>
      </w:r>
      <w:r>
        <w:rPr>
          <w:w w:val="105"/>
        </w:rPr>
        <w:t>in the</w:t>
      </w:r>
      <w:r>
        <w:rPr>
          <w:spacing w:val="-2"/>
          <w:w w:val="105"/>
        </w:rPr>
        <w:t> </w:t>
      </w:r>
      <w:r>
        <w:rPr>
          <w:w w:val="105"/>
        </w:rPr>
        <w:t>comparable</w:t>
      </w:r>
      <w:r>
        <w:rPr>
          <w:spacing w:val="-2"/>
          <w:w w:val="105"/>
        </w:rPr>
        <w:t> </w:t>
      </w:r>
      <w:r>
        <w:rPr>
          <w:w w:val="105"/>
        </w:rPr>
        <w:t>measure</w:t>
      </w:r>
      <w:r>
        <w:rPr>
          <w:spacing w:val="-2"/>
          <w:w w:val="105"/>
        </w:rPr>
        <w:t> </w:t>
      </w:r>
      <w:r>
        <w:rPr>
          <w:w w:val="105"/>
        </w:rPr>
        <w:t>calculated</w:t>
      </w:r>
      <w:r>
        <w:rPr>
          <w:spacing w:val="-2"/>
          <w:w w:val="105"/>
        </w:rPr>
        <w:t> </w:t>
      </w:r>
      <w:r>
        <w:rPr>
          <w:w w:val="105"/>
        </w:rPr>
        <w:t>and</w:t>
      </w:r>
      <w:r>
        <w:rPr>
          <w:spacing w:val="-2"/>
          <w:w w:val="105"/>
        </w:rPr>
        <w:t> </w:t>
      </w:r>
      <w:r>
        <w:rPr>
          <w:w w:val="105"/>
        </w:rPr>
        <w:t>presented</w:t>
      </w:r>
      <w:r>
        <w:rPr>
          <w:spacing w:val="-2"/>
          <w:w w:val="105"/>
        </w:rPr>
        <w:t> </w:t>
      </w:r>
      <w:r>
        <w:rPr>
          <w:w w:val="105"/>
        </w:rPr>
        <w:t>in</w:t>
      </w:r>
      <w:r>
        <w:rPr>
          <w:spacing w:val="-2"/>
          <w:w w:val="105"/>
        </w:rPr>
        <w:t> </w:t>
      </w:r>
      <w:r>
        <w:rPr>
          <w:w w:val="105"/>
        </w:rPr>
        <w:t>accordance</w:t>
      </w:r>
      <w:r>
        <w:rPr>
          <w:spacing w:val="-2"/>
          <w:w w:val="105"/>
        </w:rPr>
        <w:t> </w:t>
      </w:r>
      <w:r>
        <w:rPr>
          <w:w w:val="105"/>
        </w:rPr>
        <w:t>with</w:t>
      </w:r>
      <w:r>
        <w:rPr>
          <w:spacing w:val="-2"/>
          <w:w w:val="105"/>
        </w:rPr>
        <w:t> </w:t>
      </w:r>
      <w:r>
        <w:rPr>
          <w:w w:val="105"/>
        </w:rPr>
        <w:t>GAAP</w:t>
      </w:r>
      <w:r>
        <w:rPr>
          <w:spacing w:val="-2"/>
          <w:w w:val="105"/>
        </w:rPr>
        <w:t> </w:t>
      </w:r>
      <w:r>
        <w:rPr>
          <w:w w:val="105"/>
        </w:rPr>
        <w:t>in</w:t>
      </w:r>
      <w:r>
        <w:rPr>
          <w:spacing w:val="-2"/>
          <w:w w:val="105"/>
        </w:rPr>
        <w:t> </w:t>
      </w:r>
      <w:r>
        <w:rPr>
          <w:w w:val="105"/>
        </w:rPr>
        <w:t>the</w:t>
      </w:r>
      <w:r>
        <w:rPr>
          <w:spacing w:val="-2"/>
          <w:w w:val="105"/>
        </w:rPr>
        <w:t> </w:t>
      </w:r>
      <w:r>
        <w:rPr>
          <w:w w:val="105"/>
        </w:rPr>
        <w:t>consolidated</w:t>
      </w:r>
      <w:r>
        <w:rPr>
          <w:spacing w:val="-2"/>
          <w:w w:val="105"/>
        </w:rPr>
        <w:t> </w:t>
      </w:r>
      <w:r>
        <w:rPr>
          <w:w w:val="105"/>
        </w:rPr>
        <w:t>statements</w:t>
      </w:r>
      <w:r>
        <w:rPr>
          <w:spacing w:val="-2"/>
          <w:w w:val="105"/>
        </w:rPr>
        <w:t> </w:t>
      </w:r>
      <w:r>
        <w:rPr>
          <w:w w:val="105"/>
        </w:rPr>
        <w:t>of</w:t>
      </w:r>
      <w:r>
        <w:rPr>
          <w:spacing w:val="-2"/>
          <w:w w:val="105"/>
        </w:rPr>
        <w:t> </w:t>
      </w:r>
      <w:r>
        <w:rPr>
          <w:w w:val="105"/>
        </w:rPr>
        <w:t>income</w:t>
      </w:r>
      <w:r>
        <w:rPr>
          <w:spacing w:val="-2"/>
          <w:w w:val="105"/>
        </w:rPr>
        <w:t> </w:t>
      </w:r>
      <w:r>
        <w:rPr>
          <w:w w:val="105"/>
        </w:rPr>
        <w:t>or statements</w:t>
      </w:r>
      <w:r>
        <w:rPr>
          <w:spacing w:val="-5"/>
          <w:w w:val="105"/>
        </w:rPr>
        <w:t> </w:t>
      </w:r>
      <w:r>
        <w:rPr>
          <w:w w:val="105"/>
        </w:rPr>
        <w:t>of</w:t>
      </w:r>
      <w:r>
        <w:rPr>
          <w:spacing w:val="-5"/>
          <w:w w:val="105"/>
        </w:rPr>
        <w:t> </w:t>
      </w:r>
      <w:r>
        <w:rPr>
          <w:w w:val="105"/>
        </w:rPr>
        <w:t>cash</w:t>
      </w:r>
      <w:r>
        <w:rPr>
          <w:spacing w:val="-5"/>
          <w:w w:val="105"/>
        </w:rPr>
        <w:t> </w:t>
      </w:r>
      <w:r>
        <w:rPr>
          <w:w w:val="105"/>
        </w:rPr>
        <w:t>flows,</w:t>
      </w:r>
      <w:r>
        <w:rPr>
          <w:spacing w:val="-5"/>
          <w:w w:val="105"/>
        </w:rPr>
        <w:t> </w:t>
      </w:r>
      <w:r>
        <w:rPr>
          <w:w w:val="105"/>
        </w:rPr>
        <w:t>or</w:t>
      </w:r>
      <w:r>
        <w:rPr>
          <w:spacing w:val="-3"/>
          <w:w w:val="105"/>
        </w:rPr>
        <w:t> </w:t>
      </w:r>
      <w:r>
        <w:rPr>
          <w:w w:val="105"/>
        </w:rPr>
        <w:t>(ii)</w:t>
      </w:r>
      <w:r>
        <w:rPr>
          <w:spacing w:val="-5"/>
          <w:w w:val="105"/>
        </w:rPr>
        <w:t> </w:t>
      </w:r>
      <w:r>
        <w:rPr>
          <w:w w:val="105"/>
        </w:rPr>
        <w:t>includes</w:t>
      </w:r>
      <w:r>
        <w:rPr>
          <w:spacing w:val="-5"/>
          <w:w w:val="105"/>
        </w:rPr>
        <w:t> </w:t>
      </w:r>
      <w:r>
        <w:rPr>
          <w:w w:val="105"/>
        </w:rPr>
        <w:t>amounts,</w:t>
      </w:r>
      <w:r>
        <w:rPr>
          <w:spacing w:val="-5"/>
          <w:w w:val="105"/>
        </w:rPr>
        <w:t> </w:t>
      </w:r>
      <w:r>
        <w:rPr>
          <w:w w:val="105"/>
        </w:rPr>
        <w:t>or</w:t>
      </w:r>
      <w:r>
        <w:rPr>
          <w:spacing w:val="-5"/>
          <w:w w:val="105"/>
        </w:rPr>
        <w:t> </w:t>
      </w:r>
      <w:r>
        <w:rPr>
          <w:w w:val="105"/>
        </w:rPr>
        <w:t>is</w:t>
      </w:r>
      <w:r>
        <w:rPr>
          <w:spacing w:val="-5"/>
          <w:w w:val="105"/>
        </w:rPr>
        <w:t> </w:t>
      </w:r>
      <w:r>
        <w:rPr>
          <w:w w:val="105"/>
        </w:rPr>
        <w:t>subject</w:t>
      </w:r>
      <w:r>
        <w:rPr>
          <w:spacing w:val="-5"/>
          <w:w w:val="105"/>
        </w:rPr>
        <w:t> </w:t>
      </w:r>
      <w:r>
        <w:rPr>
          <w:w w:val="105"/>
        </w:rPr>
        <w:t>to</w:t>
      </w:r>
      <w:r>
        <w:rPr>
          <w:spacing w:val="-5"/>
          <w:w w:val="105"/>
        </w:rPr>
        <w:t> </w:t>
      </w:r>
      <w:r>
        <w:rPr>
          <w:w w:val="105"/>
        </w:rPr>
        <w:t>adjustments</w:t>
      </w:r>
      <w:r>
        <w:rPr>
          <w:spacing w:val="-5"/>
          <w:w w:val="105"/>
        </w:rPr>
        <w:t> </w:t>
      </w:r>
      <w:r>
        <w:rPr>
          <w:w w:val="105"/>
        </w:rPr>
        <w:t>that</w:t>
      </w:r>
      <w:r>
        <w:rPr>
          <w:spacing w:val="-5"/>
          <w:w w:val="105"/>
        </w:rPr>
        <w:t> </w:t>
      </w:r>
      <w:r>
        <w:rPr>
          <w:w w:val="105"/>
        </w:rPr>
        <w:t>have</w:t>
      </w:r>
      <w:r>
        <w:rPr>
          <w:spacing w:val="-5"/>
          <w:w w:val="105"/>
        </w:rPr>
        <w:t> </w:t>
      </w:r>
      <w:r>
        <w:rPr>
          <w:w w:val="105"/>
        </w:rPr>
        <w:t>the</w:t>
      </w:r>
      <w:r>
        <w:rPr>
          <w:spacing w:val="-5"/>
          <w:w w:val="105"/>
        </w:rPr>
        <w:t> </w:t>
      </w:r>
      <w:r>
        <w:rPr>
          <w:w w:val="105"/>
        </w:rPr>
        <w:t>effect</w:t>
      </w:r>
      <w:r>
        <w:rPr>
          <w:spacing w:val="-5"/>
          <w:w w:val="105"/>
        </w:rPr>
        <w:t> </w:t>
      </w:r>
      <w:r>
        <w:rPr>
          <w:w w:val="105"/>
        </w:rPr>
        <w:t>of</w:t>
      </w:r>
      <w:r>
        <w:rPr>
          <w:spacing w:val="-5"/>
          <w:w w:val="105"/>
        </w:rPr>
        <w:t> </w:t>
      </w:r>
      <w:r>
        <w:rPr>
          <w:w w:val="105"/>
        </w:rPr>
        <w:t>including</w:t>
      </w:r>
      <w:r>
        <w:rPr>
          <w:spacing w:val="-5"/>
          <w:w w:val="105"/>
        </w:rPr>
        <w:t> </w:t>
      </w:r>
      <w:r>
        <w:rPr>
          <w:w w:val="105"/>
        </w:rPr>
        <w:t>amounts,</w:t>
      </w:r>
      <w:r>
        <w:rPr>
          <w:spacing w:val="-5"/>
          <w:w w:val="105"/>
        </w:rPr>
        <w:t> </w:t>
      </w:r>
      <w:r>
        <w:rPr>
          <w:w w:val="105"/>
        </w:rPr>
        <w:t>that</w:t>
      </w:r>
      <w:r>
        <w:rPr>
          <w:spacing w:val="-5"/>
          <w:w w:val="105"/>
        </w:rPr>
        <w:t> </w:t>
      </w:r>
      <w:r>
        <w:rPr>
          <w:w w:val="105"/>
        </w:rPr>
        <w:t>are</w:t>
      </w:r>
      <w:r>
        <w:rPr>
          <w:spacing w:val="-5"/>
          <w:w w:val="105"/>
        </w:rPr>
        <w:t> </w:t>
      </w:r>
      <w:r>
        <w:rPr>
          <w:w w:val="105"/>
        </w:rPr>
        <w:t>excluded</w:t>
      </w:r>
      <w:r>
        <w:rPr>
          <w:spacing w:val="-5"/>
          <w:w w:val="105"/>
        </w:rPr>
        <w:t> </w:t>
      </w:r>
      <w:r>
        <w:rPr>
          <w:w w:val="105"/>
        </w:rPr>
        <w:t>from</w:t>
      </w:r>
      <w:r>
        <w:rPr>
          <w:spacing w:val="-5"/>
          <w:w w:val="105"/>
        </w:rPr>
        <w:t> </w:t>
      </w:r>
      <w:r>
        <w:rPr>
          <w:w w:val="105"/>
        </w:rPr>
        <w:t>the</w:t>
      </w:r>
      <w:r>
        <w:rPr>
          <w:spacing w:val="-5"/>
          <w:w w:val="105"/>
        </w:rPr>
        <w:t> </w:t>
      </w:r>
      <w:r>
        <w:rPr>
          <w:w w:val="105"/>
        </w:rPr>
        <w:t>comparable</w:t>
      </w:r>
      <w:r>
        <w:rPr>
          <w:spacing w:val="-5"/>
          <w:w w:val="105"/>
        </w:rPr>
        <w:t> </w:t>
      </w:r>
      <w:r>
        <w:rPr>
          <w:w w:val="105"/>
        </w:rPr>
        <w:t>measure</w:t>
      </w:r>
      <w:r>
        <w:rPr>
          <w:spacing w:val="-5"/>
          <w:w w:val="105"/>
        </w:rPr>
        <w:t> </w:t>
      </w:r>
      <w:r>
        <w:rPr>
          <w:w w:val="105"/>
        </w:rPr>
        <w:t>as calculated and presented in accordance with GAAP in the consolidated statements of income or statements of cash flows.</w:t>
      </w:r>
    </w:p>
    <w:p>
      <w:pPr>
        <w:pStyle w:val="BodyText"/>
        <w:spacing w:before="17"/>
      </w:pPr>
    </w:p>
    <w:p>
      <w:pPr>
        <w:pStyle w:val="BodyText"/>
        <w:spacing w:line="266" w:lineRule="auto" w:before="1"/>
        <w:ind w:left="156"/>
      </w:pPr>
      <w:r>
        <w:rPr>
          <w:w w:val="105"/>
        </w:rPr>
        <w:t>Core</w:t>
      </w:r>
      <w:r>
        <w:rPr>
          <w:spacing w:val="-2"/>
          <w:w w:val="105"/>
        </w:rPr>
        <w:t> </w:t>
      </w:r>
      <w:r>
        <w:rPr>
          <w:w w:val="105"/>
        </w:rPr>
        <w:t>net</w:t>
      </w:r>
      <w:r>
        <w:rPr>
          <w:spacing w:val="-2"/>
          <w:w w:val="105"/>
        </w:rPr>
        <w:t> </w:t>
      </w:r>
      <w:r>
        <w:rPr>
          <w:w w:val="105"/>
        </w:rPr>
        <w:t>sales,</w:t>
      </w:r>
      <w:r>
        <w:rPr>
          <w:spacing w:val="-2"/>
          <w:w w:val="105"/>
        </w:rPr>
        <w:t> </w:t>
      </w:r>
      <w:r>
        <w:rPr>
          <w:w w:val="105"/>
        </w:rPr>
        <w:t>core</w:t>
      </w:r>
      <w:r>
        <w:rPr>
          <w:spacing w:val="-2"/>
          <w:w w:val="105"/>
        </w:rPr>
        <w:t> </w:t>
      </w:r>
      <w:r>
        <w:rPr>
          <w:w w:val="105"/>
        </w:rPr>
        <w:t>equity in</w:t>
      </w:r>
      <w:r>
        <w:rPr>
          <w:spacing w:val="-2"/>
          <w:w w:val="105"/>
        </w:rPr>
        <w:t> </w:t>
      </w:r>
      <w:r>
        <w:rPr>
          <w:w w:val="105"/>
        </w:rPr>
        <w:t>earnings</w:t>
      </w:r>
      <w:r>
        <w:rPr>
          <w:spacing w:val="-2"/>
          <w:w w:val="105"/>
        </w:rPr>
        <w:t> </w:t>
      </w:r>
      <w:r>
        <w:rPr>
          <w:w w:val="105"/>
        </w:rPr>
        <w:t>of</w:t>
      </w:r>
      <w:r>
        <w:rPr>
          <w:spacing w:val="-2"/>
          <w:w w:val="105"/>
        </w:rPr>
        <w:t> </w:t>
      </w:r>
      <w:r>
        <w:rPr>
          <w:w w:val="105"/>
        </w:rPr>
        <w:t>affiliated</w:t>
      </w:r>
      <w:r>
        <w:rPr>
          <w:spacing w:val="-2"/>
          <w:w w:val="105"/>
        </w:rPr>
        <w:t> </w:t>
      </w:r>
      <w:r>
        <w:rPr>
          <w:w w:val="105"/>
        </w:rPr>
        <w:t>companies,</w:t>
      </w:r>
      <w:r>
        <w:rPr>
          <w:spacing w:val="-2"/>
          <w:w w:val="105"/>
        </w:rPr>
        <w:t> </w:t>
      </w:r>
      <w:r>
        <w:rPr>
          <w:w w:val="105"/>
        </w:rPr>
        <w:t>core</w:t>
      </w:r>
      <w:r>
        <w:rPr>
          <w:spacing w:val="-2"/>
          <w:w w:val="105"/>
        </w:rPr>
        <w:t> </w:t>
      </w:r>
      <w:r>
        <w:rPr>
          <w:w w:val="105"/>
        </w:rPr>
        <w:t>net</w:t>
      </w:r>
      <w:r>
        <w:rPr>
          <w:spacing w:val="-2"/>
          <w:w w:val="105"/>
        </w:rPr>
        <w:t> </w:t>
      </w:r>
      <w:r>
        <w:rPr>
          <w:w w:val="105"/>
        </w:rPr>
        <w:t>income</w:t>
      </w:r>
      <w:r>
        <w:rPr>
          <w:spacing w:val="-2"/>
          <w:w w:val="105"/>
        </w:rPr>
        <w:t> </w:t>
      </w:r>
      <w:r>
        <w:rPr>
          <w:w w:val="105"/>
        </w:rPr>
        <w:t>and</w:t>
      </w:r>
      <w:r>
        <w:rPr>
          <w:spacing w:val="-2"/>
          <w:w w:val="105"/>
        </w:rPr>
        <w:t> </w:t>
      </w:r>
      <w:r>
        <w:rPr>
          <w:w w:val="105"/>
        </w:rPr>
        <w:t>the</w:t>
      </w:r>
      <w:r>
        <w:rPr>
          <w:spacing w:val="-2"/>
          <w:w w:val="105"/>
        </w:rPr>
        <w:t> </w:t>
      </w:r>
      <w:r>
        <w:rPr>
          <w:w w:val="105"/>
        </w:rPr>
        <w:t>related</w:t>
      </w:r>
      <w:r>
        <w:rPr>
          <w:spacing w:val="-2"/>
          <w:w w:val="105"/>
        </w:rPr>
        <w:t> </w:t>
      </w:r>
      <w:r>
        <w:rPr>
          <w:w w:val="105"/>
        </w:rPr>
        <w:t>per</w:t>
      </w:r>
      <w:r>
        <w:rPr>
          <w:spacing w:val="-2"/>
          <w:w w:val="105"/>
        </w:rPr>
        <w:t> </w:t>
      </w:r>
      <w:r>
        <w:rPr>
          <w:w w:val="105"/>
        </w:rPr>
        <w:t>share</w:t>
      </w:r>
      <w:r>
        <w:rPr>
          <w:spacing w:val="-2"/>
          <w:w w:val="105"/>
        </w:rPr>
        <w:t> </w:t>
      </w:r>
      <w:r>
        <w:rPr>
          <w:w w:val="105"/>
        </w:rPr>
        <w:t>numbers</w:t>
      </w:r>
      <w:r>
        <w:rPr>
          <w:spacing w:val="-2"/>
          <w:w w:val="105"/>
        </w:rPr>
        <w:t> </w:t>
      </w:r>
      <w:r>
        <w:rPr>
          <w:w w:val="105"/>
        </w:rPr>
        <w:t>are</w:t>
      </w:r>
      <w:r>
        <w:rPr>
          <w:spacing w:val="-2"/>
          <w:w w:val="105"/>
        </w:rPr>
        <w:t> </w:t>
      </w:r>
      <w:r>
        <w:rPr>
          <w:w w:val="105"/>
        </w:rPr>
        <w:t>non-GAAP</w:t>
      </w:r>
      <w:r>
        <w:rPr>
          <w:spacing w:val="-2"/>
          <w:w w:val="105"/>
        </w:rPr>
        <w:t> </w:t>
      </w:r>
      <w:r>
        <w:rPr>
          <w:w w:val="105"/>
        </w:rPr>
        <w:t>financial</w:t>
      </w:r>
      <w:r>
        <w:rPr>
          <w:spacing w:val="-2"/>
          <w:w w:val="105"/>
        </w:rPr>
        <w:t> </w:t>
      </w:r>
      <w:r>
        <w:rPr>
          <w:w w:val="105"/>
        </w:rPr>
        <w:t>measures</w:t>
      </w:r>
      <w:r>
        <w:rPr>
          <w:spacing w:val="-2"/>
          <w:w w:val="105"/>
        </w:rPr>
        <w:t> </w:t>
      </w:r>
      <w:r>
        <w:rPr>
          <w:w w:val="105"/>
        </w:rPr>
        <w:t>utilized</w:t>
      </w:r>
      <w:r>
        <w:rPr>
          <w:spacing w:val="-2"/>
          <w:w w:val="105"/>
        </w:rPr>
        <w:t> </w:t>
      </w:r>
      <w:r>
        <w:rPr>
          <w:w w:val="105"/>
        </w:rPr>
        <w:t>by</w:t>
      </w:r>
      <w:r>
        <w:rPr>
          <w:spacing w:val="-2"/>
          <w:w w:val="105"/>
        </w:rPr>
        <w:t> </w:t>
      </w:r>
      <w:r>
        <w:rPr>
          <w:w w:val="105"/>
        </w:rPr>
        <w:t>our management</w:t>
      </w:r>
      <w:r>
        <w:rPr>
          <w:spacing w:val="-8"/>
          <w:w w:val="105"/>
        </w:rPr>
        <w:t> </w:t>
      </w:r>
      <w:r>
        <w:rPr>
          <w:w w:val="105"/>
        </w:rPr>
        <w:t>to</w:t>
      </w:r>
      <w:r>
        <w:rPr>
          <w:spacing w:val="-8"/>
          <w:w w:val="105"/>
        </w:rPr>
        <w:t> </w:t>
      </w:r>
      <w:r>
        <w:rPr>
          <w:w w:val="105"/>
        </w:rPr>
        <w:t>analyze</w:t>
      </w:r>
      <w:r>
        <w:rPr>
          <w:spacing w:val="-8"/>
          <w:w w:val="105"/>
        </w:rPr>
        <w:t> </w:t>
      </w:r>
      <w:r>
        <w:rPr>
          <w:w w:val="105"/>
        </w:rPr>
        <w:t>financial</w:t>
      </w:r>
      <w:r>
        <w:rPr>
          <w:spacing w:val="-9"/>
          <w:w w:val="105"/>
        </w:rPr>
        <w:t> </w:t>
      </w:r>
      <w:r>
        <w:rPr>
          <w:w w:val="105"/>
        </w:rPr>
        <w:t>performance</w:t>
      </w:r>
      <w:r>
        <w:rPr>
          <w:spacing w:val="-8"/>
          <w:w w:val="105"/>
        </w:rPr>
        <w:t> </w:t>
      </w:r>
      <w:r>
        <w:rPr>
          <w:w w:val="105"/>
        </w:rPr>
        <w:t>without</w:t>
      </w:r>
      <w:r>
        <w:rPr>
          <w:spacing w:val="-8"/>
          <w:w w:val="105"/>
        </w:rPr>
        <w:t> </w:t>
      </w:r>
      <w:r>
        <w:rPr>
          <w:w w:val="105"/>
        </w:rPr>
        <w:t>the</w:t>
      </w:r>
      <w:r>
        <w:rPr>
          <w:spacing w:val="-8"/>
          <w:w w:val="105"/>
        </w:rPr>
        <w:t> </w:t>
      </w:r>
      <w:r>
        <w:rPr>
          <w:w w:val="105"/>
        </w:rPr>
        <w:t>impact</w:t>
      </w:r>
      <w:r>
        <w:rPr>
          <w:spacing w:val="-9"/>
          <w:w w:val="105"/>
        </w:rPr>
        <w:t> </w:t>
      </w:r>
      <w:r>
        <w:rPr>
          <w:w w:val="105"/>
        </w:rPr>
        <w:t>of</w:t>
      </w:r>
      <w:r>
        <w:rPr>
          <w:spacing w:val="-8"/>
          <w:w w:val="105"/>
        </w:rPr>
        <w:t> </w:t>
      </w:r>
      <w:r>
        <w:rPr>
          <w:w w:val="105"/>
        </w:rPr>
        <w:t>items</w:t>
      </w:r>
      <w:r>
        <w:rPr>
          <w:spacing w:val="-8"/>
          <w:w w:val="105"/>
        </w:rPr>
        <w:t> </w:t>
      </w:r>
      <w:r>
        <w:rPr>
          <w:w w:val="105"/>
        </w:rPr>
        <w:t>that</w:t>
      </w:r>
      <w:r>
        <w:rPr>
          <w:spacing w:val="-8"/>
          <w:w w:val="105"/>
        </w:rPr>
        <w:t> </w:t>
      </w:r>
      <w:r>
        <w:rPr>
          <w:w w:val="105"/>
        </w:rPr>
        <w:t>are</w:t>
      </w:r>
      <w:r>
        <w:rPr>
          <w:spacing w:val="-8"/>
          <w:w w:val="105"/>
        </w:rPr>
        <w:t> </w:t>
      </w:r>
      <w:r>
        <w:rPr>
          <w:w w:val="105"/>
        </w:rPr>
        <w:t>driven</w:t>
      </w:r>
      <w:r>
        <w:rPr>
          <w:spacing w:val="-8"/>
          <w:w w:val="105"/>
        </w:rPr>
        <w:t> </w:t>
      </w:r>
      <w:r>
        <w:rPr>
          <w:w w:val="105"/>
        </w:rPr>
        <w:t>by</w:t>
      </w:r>
      <w:r>
        <w:rPr>
          <w:spacing w:val="-8"/>
          <w:w w:val="105"/>
        </w:rPr>
        <w:t> </w:t>
      </w:r>
      <w:r>
        <w:rPr>
          <w:w w:val="105"/>
        </w:rPr>
        <w:t>general</w:t>
      </w:r>
      <w:r>
        <w:rPr>
          <w:spacing w:val="-8"/>
          <w:w w:val="105"/>
        </w:rPr>
        <w:t> </w:t>
      </w:r>
      <w:r>
        <w:rPr>
          <w:w w:val="105"/>
        </w:rPr>
        <w:t>economic</w:t>
      </w:r>
      <w:r>
        <w:rPr>
          <w:spacing w:val="-8"/>
          <w:w w:val="105"/>
        </w:rPr>
        <w:t> </w:t>
      </w:r>
      <w:r>
        <w:rPr>
          <w:w w:val="105"/>
        </w:rPr>
        <w:t>conditions</w:t>
      </w:r>
      <w:r>
        <w:rPr>
          <w:spacing w:val="-8"/>
          <w:w w:val="105"/>
        </w:rPr>
        <w:t> </w:t>
      </w:r>
      <w:r>
        <w:rPr>
          <w:w w:val="105"/>
        </w:rPr>
        <w:t>and</w:t>
      </w:r>
      <w:r>
        <w:rPr>
          <w:spacing w:val="-8"/>
          <w:w w:val="105"/>
        </w:rPr>
        <w:t> </w:t>
      </w:r>
      <w:r>
        <w:rPr>
          <w:w w:val="105"/>
        </w:rPr>
        <w:t>events</w:t>
      </w:r>
      <w:r>
        <w:rPr>
          <w:spacing w:val="-8"/>
          <w:w w:val="105"/>
        </w:rPr>
        <w:t> </w:t>
      </w:r>
      <w:r>
        <w:rPr>
          <w:w w:val="105"/>
        </w:rPr>
        <w:t>that</w:t>
      </w:r>
      <w:r>
        <w:rPr>
          <w:spacing w:val="-8"/>
          <w:w w:val="105"/>
        </w:rPr>
        <w:t> </w:t>
      </w:r>
      <w:r>
        <w:rPr>
          <w:w w:val="105"/>
        </w:rPr>
        <w:t>do</w:t>
      </w:r>
      <w:r>
        <w:rPr>
          <w:spacing w:val="-8"/>
          <w:w w:val="105"/>
        </w:rPr>
        <w:t> </w:t>
      </w:r>
      <w:r>
        <w:rPr>
          <w:w w:val="105"/>
        </w:rPr>
        <w:t>not</w:t>
      </w:r>
      <w:r>
        <w:rPr>
          <w:spacing w:val="-8"/>
          <w:w w:val="105"/>
        </w:rPr>
        <w:t> </w:t>
      </w:r>
      <w:r>
        <w:rPr>
          <w:w w:val="105"/>
        </w:rPr>
        <w:t>reflect</w:t>
      </w:r>
      <w:r>
        <w:rPr>
          <w:spacing w:val="-8"/>
          <w:w w:val="105"/>
        </w:rPr>
        <w:t> </w:t>
      </w:r>
      <w:r>
        <w:rPr>
          <w:w w:val="105"/>
        </w:rPr>
        <w:t>the</w:t>
      </w:r>
      <w:r>
        <w:rPr>
          <w:spacing w:val="-8"/>
          <w:w w:val="105"/>
        </w:rPr>
        <w:t> </w:t>
      </w:r>
      <w:r>
        <w:rPr>
          <w:w w:val="105"/>
        </w:rPr>
        <w:t>underlying fundamentals and trends in the Company’s operations.</w:t>
      </w:r>
    </w:p>
    <w:p>
      <w:pPr>
        <w:pStyle w:val="BodyText"/>
        <w:spacing w:before="18"/>
      </w:pPr>
    </w:p>
    <w:p>
      <w:pPr>
        <w:pStyle w:val="BodyText"/>
        <w:ind w:left="156"/>
      </w:pPr>
      <w:r>
        <w:rPr>
          <w:spacing w:val="-2"/>
          <w:w w:val="105"/>
        </w:rPr>
        <w:t>See</w:t>
      </w:r>
      <w:r>
        <w:rPr>
          <w:w w:val="105"/>
        </w:rPr>
        <w:t> </w:t>
      </w:r>
      <w:r>
        <w:rPr>
          <w:spacing w:val="-2"/>
          <w:w w:val="105"/>
        </w:rPr>
        <w:t>“Items</w:t>
      </w:r>
      <w:r>
        <w:rPr>
          <w:spacing w:val="1"/>
          <w:w w:val="105"/>
        </w:rPr>
        <w:t> </w:t>
      </w:r>
      <w:r>
        <w:rPr>
          <w:spacing w:val="-2"/>
          <w:w w:val="105"/>
        </w:rPr>
        <w:t>Excluded</w:t>
      </w:r>
      <w:r>
        <w:rPr>
          <w:spacing w:val="1"/>
          <w:w w:val="105"/>
        </w:rPr>
        <w:t> </w:t>
      </w:r>
      <w:r>
        <w:rPr>
          <w:spacing w:val="-2"/>
          <w:w w:val="105"/>
        </w:rPr>
        <w:t>from</w:t>
      </w:r>
      <w:r>
        <w:rPr>
          <w:w w:val="105"/>
        </w:rPr>
        <w:t> </w:t>
      </w:r>
      <w:r>
        <w:rPr>
          <w:spacing w:val="-2"/>
          <w:w w:val="105"/>
        </w:rPr>
        <w:t>GAAP</w:t>
      </w:r>
      <w:r>
        <w:rPr>
          <w:spacing w:val="1"/>
          <w:w w:val="105"/>
        </w:rPr>
        <w:t> </w:t>
      </w:r>
      <w:r>
        <w:rPr>
          <w:spacing w:val="-2"/>
          <w:w w:val="105"/>
        </w:rPr>
        <w:t>Measures”</w:t>
      </w:r>
      <w:r>
        <w:rPr>
          <w:spacing w:val="1"/>
          <w:w w:val="105"/>
        </w:rPr>
        <w:t> </w:t>
      </w:r>
      <w:r>
        <w:rPr>
          <w:spacing w:val="-2"/>
          <w:w w:val="105"/>
        </w:rPr>
        <w:t>for</w:t>
      </w:r>
      <w:r>
        <w:rPr>
          <w:w w:val="105"/>
        </w:rPr>
        <w:t> </w:t>
      </w:r>
      <w:r>
        <w:rPr>
          <w:spacing w:val="-2"/>
          <w:w w:val="105"/>
        </w:rPr>
        <w:t>the</w:t>
      </w:r>
      <w:r>
        <w:rPr>
          <w:spacing w:val="1"/>
          <w:w w:val="105"/>
        </w:rPr>
        <w:t> </w:t>
      </w:r>
      <w:r>
        <w:rPr>
          <w:spacing w:val="-2"/>
          <w:w w:val="105"/>
        </w:rPr>
        <w:t>descriptions</w:t>
      </w:r>
      <w:r>
        <w:rPr>
          <w:spacing w:val="1"/>
          <w:w w:val="105"/>
        </w:rPr>
        <w:t> </w:t>
      </w:r>
      <w:r>
        <w:rPr>
          <w:spacing w:val="-2"/>
          <w:w w:val="105"/>
        </w:rPr>
        <w:t>of</w:t>
      </w:r>
      <w:r>
        <w:rPr>
          <w:w w:val="105"/>
        </w:rPr>
        <w:t> </w:t>
      </w:r>
      <w:r>
        <w:rPr>
          <w:spacing w:val="-2"/>
          <w:w w:val="105"/>
        </w:rPr>
        <w:t>the</w:t>
      </w:r>
      <w:r>
        <w:rPr>
          <w:spacing w:val="1"/>
          <w:w w:val="105"/>
        </w:rPr>
        <w:t> </w:t>
      </w:r>
      <w:r>
        <w:rPr>
          <w:spacing w:val="-2"/>
          <w:w w:val="105"/>
        </w:rPr>
        <w:t>footnoted</w:t>
      </w:r>
      <w:r>
        <w:rPr>
          <w:spacing w:val="1"/>
          <w:w w:val="105"/>
        </w:rPr>
        <w:t> </w:t>
      </w:r>
      <w:r>
        <w:rPr>
          <w:spacing w:val="-2"/>
          <w:w w:val="105"/>
        </w:rPr>
        <w:t>reconciling</w:t>
      </w:r>
      <w:r>
        <w:rPr>
          <w:w w:val="105"/>
        </w:rPr>
        <w:t> </w:t>
      </w:r>
      <w:r>
        <w:rPr>
          <w:spacing w:val="-2"/>
          <w:w w:val="105"/>
        </w:rPr>
        <w:t>items.</w:t>
      </w:r>
    </w:p>
    <w:p>
      <w:pPr>
        <w:pStyle w:val="BodyText"/>
        <w:spacing w:before="40"/>
      </w:pPr>
    </w:p>
    <w:p>
      <w:pPr>
        <w:pStyle w:val="BodyText"/>
        <w:spacing w:line="266" w:lineRule="auto"/>
        <w:ind w:left="156" w:right="328"/>
      </w:pPr>
      <w:r>
        <w:rPr>
          <w:w w:val="105"/>
        </w:rPr>
        <w:t>The</w:t>
      </w:r>
      <w:r>
        <w:rPr>
          <w:spacing w:val="-10"/>
          <w:w w:val="105"/>
        </w:rPr>
        <w:t> </w:t>
      </w:r>
      <w:r>
        <w:rPr>
          <w:w w:val="105"/>
        </w:rPr>
        <w:t>following</w:t>
      </w:r>
      <w:r>
        <w:rPr>
          <w:spacing w:val="-10"/>
          <w:w w:val="105"/>
        </w:rPr>
        <w:t> </w:t>
      </w:r>
      <w:r>
        <w:rPr>
          <w:w w:val="105"/>
        </w:rPr>
        <w:t>tables</w:t>
      </w:r>
      <w:r>
        <w:rPr>
          <w:spacing w:val="-10"/>
          <w:w w:val="105"/>
        </w:rPr>
        <w:t> </w:t>
      </w:r>
      <w:r>
        <w:rPr>
          <w:w w:val="105"/>
        </w:rPr>
        <w:t>reconcile</w:t>
      </w:r>
      <w:r>
        <w:rPr>
          <w:spacing w:val="-10"/>
          <w:w w:val="105"/>
        </w:rPr>
        <w:t> </w:t>
      </w:r>
      <w:r>
        <w:rPr>
          <w:w w:val="105"/>
        </w:rPr>
        <w:t>our</w:t>
      </w:r>
      <w:r>
        <w:rPr>
          <w:spacing w:val="-10"/>
          <w:w w:val="105"/>
        </w:rPr>
        <w:t> </w:t>
      </w:r>
      <w:r>
        <w:rPr>
          <w:w w:val="105"/>
        </w:rPr>
        <w:t>non-GAAP</w:t>
      </w:r>
      <w:r>
        <w:rPr>
          <w:spacing w:val="-10"/>
          <w:w w:val="105"/>
        </w:rPr>
        <w:t> </w:t>
      </w:r>
      <w:r>
        <w:rPr>
          <w:w w:val="105"/>
        </w:rPr>
        <w:t>financial</w:t>
      </w:r>
      <w:r>
        <w:rPr>
          <w:spacing w:val="-10"/>
          <w:w w:val="105"/>
        </w:rPr>
        <w:t> </w:t>
      </w:r>
      <w:r>
        <w:rPr>
          <w:w w:val="105"/>
        </w:rPr>
        <w:t>measures</w:t>
      </w:r>
      <w:r>
        <w:rPr>
          <w:spacing w:val="-8"/>
          <w:w w:val="105"/>
        </w:rPr>
        <w:t> </w:t>
      </w:r>
      <w:r>
        <w:rPr>
          <w:w w:val="105"/>
        </w:rPr>
        <w:t>to</w:t>
      </w:r>
      <w:r>
        <w:rPr>
          <w:spacing w:val="-10"/>
          <w:w w:val="105"/>
        </w:rPr>
        <w:t> </w:t>
      </w:r>
      <w:r>
        <w:rPr>
          <w:w w:val="105"/>
        </w:rPr>
        <w:t>their</w:t>
      </w:r>
      <w:r>
        <w:rPr>
          <w:spacing w:val="-10"/>
          <w:w w:val="105"/>
        </w:rPr>
        <w:t> </w:t>
      </w:r>
      <w:r>
        <w:rPr>
          <w:w w:val="105"/>
        </w:rPr>
        <w:t>most</w:t>
      </w:r>
      <w:r>
        <w:rPr>
          <w:spacing w:val="-10"/>
          <w:w w:val="105"/>
        </w:rPr>
        <w:t> </w:t>
      </w:r>
      <w:r>
        <w:rPr>
          <w:w w:val="105"/>
        </w:rPr>
        <w:t>directly</w:t>
      </w:r>
      <w:r>
        <w:rPr>
          <w:spacing w:val="-8"/>
          <w:w w:val="105"/>
        </w:rPr>
        <w:t> </w:t>
      </w:r>
      <w:r>
        <w:rPr>
          <w:w w:val="105"/>
        </w:rPr>
        <w:t>comparable</w:t>
      </w:r>
      <w:r>
        <w:rPr>
          <w:spacing w:val="-10"/>
          <w:w w:val="105"/>
        </w:rPr>
        <w:t> </w:t>
      </w:r>
      <w:r>
        <w:rPr>
          <w:w w:val="105"/>
        </w:rPr>
        <w:t>GAAP</w:t>
      </w:r>
      <w:r>
        <w:rPr>
          <w:spacing w:val="-10"/>
          <w:w w:val="105"/>
        </w:rPr>
        <w:t> </w:t>
      </w:r>
      <w:r>
        <w:rPr>
          <w:w w:val="105"/>
        </w:rPr>
        <w:t>financial</w:t>
      </w:r>
      <w:r>
        <w:rPr>
          <w:spacing w:val="-10"/>
          <w:w w:val="105"/>
        </w:rPr>
        <w:t> </w:t>
      </w:r>
      <w:r>
        <w:rPr>
          <w:w w:val="105"/>
        </w:rPr>
        <w:t>measure</w:t>
      </w:r>
      <w:r>
        <w:rPr>
          <w:spacing w:val="-10"/>
          <w:w w:val="105"/>
        </w:rPr>
        <w:t> </w:t>
      </w:r>
      <w:r>
        <w:rPr>
          <w:w w:val="105"/>
        </w:rPr>
        <w:t>(amounts</w:t>
      </w:r>
      <w:r>
        <w:rPr>
          <w:spacing w:val="-10"/>
          <w:w w:val="105"/>
        </w:rPr>
        <w:t> </w:t>
      </w:r>
      <w:r>
        <w:rPr>
          <w:w w:val="105"/>
        </w:rPr>
        <w:t>in</w:t>
      </w:r>
      <w:r>
        <w:rPr>
          <w:spacing w:val="-10"/>
          <w:w w:val="105"/>
        </w:rPr>
        <w:t> </w:t>
      </w:r>
      <w:r>
        <w:rPr>
          <w:w w:val="105"/>
        </w:rPr>
        <w:t>millions</w:t>
      </w:r>
      <w:r>
        <w:rPr>
          <w:spacing w:val="-10"/>
          <w:w w:val="105"/>
        </w:rPr>
        <w:t> </w:t>
      </w:r>
      <w:r>
        <w:rPr>
          <w:w w:val="105"/>
        </w:rPr>
        <w:t>except</w:t>
      </w:r>
      <w:r>
        <w:rPr>
          <w:spacing w:val="-10"/>
          <w:w w:val="105"/>
        </w:rPr>
        <w:t> </w:t>
      </w:r>
      <w:r>
        <w:rPr>
          <w:w w:val="105"/>
        </w:rPr>
        <w:t>percentages</w:t>
      </w:r>
      <w:r>
        <w:rPr>
          <w:spacing w:val="-10"/>
          <w:w w:val="105"/>
        </w:rPr>
        <w:t> </w:t>
      </w:r>
      <w:r>
        <w:rPr>
          <w:w w:val="105"/>
        </w:rPr>
        <w:t>and per share amounts):</w:t>
      </w:r>
    </w:p>
    <w:p>
      <w:pPr>
        <w:pStyle w:val="BodyText"/>
        <w:spacing w:before="3"/>
        <w:rPr>
          <w:sz w:val="15"/>
        </w:rPr>
      </w:pPr>
      <w:r>
        <w:rPr/>
        <mc:AlternateContent>
          <mc:Choice Requires="wps">
            <w:drawing>
              <wp:anchor distT="0" distB="0" distL="0" distR="0" allowOverlap="1" layoutInCell="1" locked="0" behindDoc="1" simplePos="0" relativeHeight="487610880">
                <wp:simplePos x="0" y="0"/>
                <wp:positionH relativeFrom="page">
                  <wp:posOffset>226479</wp:posOffset>
                </wp:positionH>
                <wp:positionV relativeFrom="paragraph">
                  <wp:posOffset>126802</wp:posOffset>
                </wp:positionV>
                <wp:extent cx="7312659" cy="1651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7312659" cy="16510"/>
                        </a:xfrm>
                        <a:custGeom>
                          <a:avLst/>
                          <a:gdLst/>
                          <a:ahLst/>
                          <a:cxnLst/>
                          <a:rect l="l" t="t" r="r" b="b"/>
                          <a:pathLst>
                            <a:path w="7312659" h="16510">
                              <a:moveTo>
                                <a:pt x="7312342" y="0"/>
                              </a:moveTo>
                              <a:lnTo>
                                <a:pt x="3664267" y="0"/>
                              </a:lnTo>
                              <a:lnTo>
                                <a:pt x="0" y="0"/>
                              </a:lnTo>
                              <a:lnTo>
                                <a:pt x="0" y="16167"/>
                              </a:lnTo>
                              <a:lnTo>
                                <a:pt x="3664267"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9.984441pt;width:575.8pt;height:1.3pt;mso-position-horizontal-relative:page;mso-position-vertical-relative:paragraph;z-index:-15705600;mso-wrap-distance-left:0;mso-wrap-distance-right:0" id="docshape51" coordorigin="357,200" coordsize="11516,26" path="m11872,200l6127,200,357,200,357,225,6127,225,11872,225,11872,200xe" filled="true" fillcolor="#000000" stroked="false">
                <v:path arrowok="t"/>
                <v:fill type="solid"/>
                <w10:wrap type="topAndBottom"/>
              </v:shape>
            </w:pict>
          </mc:Fallback>
        </mc:AlternateContent>
      </w:r>
    </w:p>
    <w:p>
      <w:pPr>
        <w:pStyle w:val="BodyText"/>
        <w:spacing w:before="3" w:after="44"/>
        <w:ind w:left="7748"/>
      </w:pPr>
      <w:r>
        <w:rPr>
          <w:w w:val="105"/>
        </w:rPr>
        <w:t>Year</w:t>
      </w:r>
      <w:r>
        <w:rPr>
          <w:spacing w:val="-11"/>
          <w:w w:val="105"/>
        </w:rPr>
        <w:t> </w:t>
      </w:r>
      <w:r>
        <w:rPr>
          <w:w w:val="105"/>
        </w:rPr>
        <w:t>ended</w:t>
      </w:r>
      <w:r>
        <w:rPr>
          <w:spacing w:val="-9"/>
          <w:w w:val="105"/>
        </w:rPr>
        <w:t> </w:t>
      </w:r>
      <w:r>
        <w:rPr>
          <w:w w:val="105"/>
        </w:rPr>
        <w:t>December</w:t>
      </w:r>
      <w:r>
        <w:rPr>
          <w:spacing w:val="-9"/>
          <w:w w:val="105"/>
        </w:rPr>
        <w:t> </w:t>
      </w:r>
      <w:r>
        <w:rPr>
          <w:w w:val="105"/>
        </w:rPr>
        <w:t>31,</w:t>
      </w:r>
      <w:r>
        <w:rPr>
          <w:spacing w:val="-8"/>
          <w:w w:val="105"/>
        </w:rPr>
        <w:t> </w:t>
      </w:r>
      <w:r>
        <w:rPr>
          <w:spacing w:val="-4"/>
          <w:w w:val="105"/>
        </w:rPr>
        <w:t>2021</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0"/>
        <w:gridCol w:w="1101"/>
        <w:gridCol w:w="802"/>
        <w:gridCol w:w="1031"/>
        <w:gridCol w:w="1052"/>
        <w:gridCol w:w="874"/>
        <w:gridCol w:w="881"/>
      </w:tblGrid>
      <w:tr>
        <w:trPr>
          <w:trHeight w:val="609" w:hRule="atLeast"/>
        </w:trPr>
        <w:tc>
          <w:tcPr>
            <w:tcW w:w="5770" w:type="dxa"/>
            <w:tcBorders>
              <w:bottom w:val="single" w:sz="6" w:space="0" w:color="000000"/>
            </w:tcBorders>
          </w:tcPr>
          <w:p>
            <w:pPr>
              <w:pStyle w:val="TableParagraph"/>
              <w:rPr>
                <w:sz w:val="14"/>
              </w:rPr>
            </w:pPr>
          </w:p>
        </w:tc>
        <w:tc>
          <w:tcPr>
            <w:tcW w:w="1101" w:type="dxa"/>
            <w:tcBorders>
              <w:top w:val="single" w:sz="6" w:space="0" w:color="000000"/>
              <w:bottom w:val="single" w:sz="6" w:space="0" w:color="000000"/>
            </w:tcBorders>
          </w:tcPr>
          <w:p>
            <w:pPr>
              <w:pStyle w:val="TableParagraph"/>
              <w:rPr>
                <w:sz w:val="16"/>
              </w:rPr>
            </w:pPr>
          </w:p>
          <w:p>
            <w:pPr>
              <w:pStyle w:val="TableParagraph"/>
              <w:spacing w:before="42"/>
              <w:rPr>
                <w:sz w:val="16"/>
              </w:rPr>
            </w:pPr>
          </w:p>
          <w:p>
            <w:pPr>
              <w:pStyle w:val="TableParagraph"/>
              <w:spacing w:line="179" w:lineRule="exact"/>
              <w:ind w:left="207"/>
              <w:rPr>
                <w:sz w:val="16"/>
              </w:rPr>
            </w:pPr>
            <w:r>
              <w:rPr>
                <w:w w:val="105"/>
                <w:sz w:val="16"/>
              </w:rPr>
              <w:t>Net</w:t>
            </w:r>
            <w:r>
              <w:rPr>
                <w:spacing w:val="-8"/>
                <w:w w:val="105"/>
                <w:sz w:val="16"/>
              </w:rPr>
              <w:t> </w:t>
            </w:r>
            <w:r>
              <w:rPr>
                <w:spacing w:val="-2"/>
                <w:w w:val="105"/>
                <w:sz w:val="16"/>
              </w:rPr>
              <w:t>Sales</w:t>
            </w:r>
          </w:p>
        </w:tc>
        <w:tc>
          <w:tcPr>
            <w:tcW w:w="802" w:type="dxa"/>
            <w:tcBorders>
              <w:top w:val="single" w:sz="6" w:space="0" w:color="000000"/>
              <w:bottom w:val="single" w:sz="6" w:space="0" w:color="000000"/>
            </w:tcBorders>
          </w:tcPr>
          <w:p>
            <w:pPr>
              <w:pStyle w:val="TableParagraph"/>
              <w:spacing w:before="5"/>
              <w:rPr>
                <w:sz w:val="16"/>
              </w:rPr>
            </w:pPr>
          </w:p>
          <w:p>
            <w:pPr>
              <w:pStyle w:val="TableParagraph"/>
              <w:spacing w:line="200" w:lineRule="atLeast"/>
              <w:ind w:left="121" w:right="107" w:firstLine="59"/>
              <w:rPr>
                <w:sz w:val="16"/>
              </w:rPr>
            </w:pPr>
            <w:r>
              <w:rPr>
                <w:spacing w:val="-2"/>
                <w:w w:val="105"/>
                <w:sz w:val="16"/>
              </w:rPr>
              <w:t>Equity</w:t>
            </w:r>
            <w:r>
              <w:rPr>
                <w:spacing w:val="40"/>
                <w:w w:val="105"/>
                <w:sz w:val="16"/>
              </w:rPr>
              <w:t> </w:t>
            </w:r>
            <w:r>
              <w:rPr>
                <w:spacing w:val="-2"/>
                <w:w w:val="105"/>
                <w:sz w:val="16"/>
              </w:rPr>
              <w:t>earnings</w:t>
            </w:r>
          </w:p>
        </w:tc>
        <w:tc>
          <w:tcPr>
            <w:tcW w:w="1031" w:type="dxa"/>
            <w:tcBorders>
              <w:top w:val="single" w:sz="6" w:space="0" w:color="000000"/>
              <w:bottom w:val="single" w:sz="6" w:space="0" w:color="000000"/>
            </w:tcBorders>
          </w:tcPr>
          <w:p>
            <w:pPr>
              <w:pStyle w:val="TableParagraph"/>
              <w:spacing w:before="2"/>
              <w:ind w:left="306" w:hanging="37"/>
              <w:rPr>
                <w:sz w:val="16"/>
              </w:rPr>
            </w:pPr>
            <w:r>
              <w:rPr>
                <w:spacing w:val="-2"/>
                <w:w w:val="105"/>
                <w:sz w:val="16"/>
              </w:rPr>
              <w:t>Income</w:t>
            </w:r>
          </w:p>
          <w:p>
            <w:pPr>
              <w:pStyle w:val="TableParagraph"/>
              <w:spacing w:line="200" w:lineRule="atLeast" w:before="3"/>
              <w:ind w:left="82" w:firstLine="223"/>
              <w:rPr>
                <w:sz w:val="16"/>
              </w:rPr>
            </w:pPr>
            <w:r>
              <w:rPr>
                <w:spacing w:val="-2"/>
                <w:w w:val="105"/>
                <w:sz w:val="16"/>
              </w:rPr>
              <w:t>before</w:t>
            </w:r>
            <w:r>
              <w:rPr>
                <w:spacing w:val="40"/>
                <w:w w:val="105"/>
                <w:sz w:val="16"/>
              </w:rPr>
              <w:t> </w:t>
            </w:r>
            <w:r>
              <w:rPr>
                <w:spacing w:val="-2"/>
                <w:w w:val="105"/>
                <w:sz w:val="16"/>
              </w:rPr>
              <w:t>income</w:t>
            </w:r>
            <w:r>
              <w:rPr>
                <w:spacing w:val="-9"/>
                <w:w w:val="105"/>
                <w:sz w:val="16"/>
              </w:rPr>
              <w:t> </w:t>
            </w:r>
            <w:r>
              <w:rPr>
                <w:spacing w:val="-2"/>
                <w:w w:val="105"/>
                <w:sz w:val="16"/>
              </w:rPr>
              <w:t>taxes</w:t>
            </w:r>
          </w:p>
        </w:tc>
        <w:tc>
          <w:tcPr>
            <w:tcW w:w="1052" w:type="dxa"/>
            <w:tcBorders>
              <w:top w:val="single" w:sz="6" w:space="0" w:color="000000"/>
              <w:bottom w:val="single" w:sz="6" w:space="0" w:color="000000"/>
            </w:tcBorders>
          </w:tcPr>
          <w:p>
            <w:pPr>
              <w:pStyle w:val="TableParagraph"/>
              <w:rPr>
                <w:sz w:val="16"/>
              </w:rPr>
            </w:pPr>
          </w:p>
          <w:p>
            <w:pPr>
              <w:pStyle w:val="TableParagraph"/>
              <w:spacing w:before="42"/>
              <w:rPr>
                <w:sz w:val="16"/>
              </w:rPr>
            </w:pPr>
          </w:p>
          <w:p>
            <w:pPr>
              <w:pStyle w:val="TableParagraph"/>
              <w:spacing w:line="179" w:lineRule="exact"/>
              <w:ind w:right="147"/>
              <w:jc w:val="right"/>
              <w:rPr>
                <w:sz w:val="16"/>
              </w:rPr>
            </w:pPr>
            <w:r>
              <w:rPr>
                <w:w w:val="105"/>
                <w:sz w:val="16"/>
              </w:rPr>
              <w:t>Net</w:t>
            </w:r>
            <w:r>
              <w:rPr>
                <w:spacing w:val="-6"/>
                <w:w w:val="105"/>
                <w:sz w:val="16"/>
              </w:rPr>
              <w:t> </w:t>
            </w:r>
            <w:r>
              <w:rPr>
                <w:spacing w:val="-2"/>
                <w:w w:val="105"/>
                <w:sz w:val="16"/>
              </w:rPr>
              <w:t>income</w:t>
            </w:r>
          </w:p>
        </w:tc>
        <w:tc>
          <w:tcPr>
            <w:tcW w:w="874" w:type="dxa"/>
            <w:tcBorders>
              <w:top w:val="single" w:sz="6" w:space="0" w:color="000000"/>
              <w:bottom w:val="single" w:sz="6" w:space="0" w:color="000000"/>
            </w:tcBorders>
          </w:tcPr>
          <w:p>
            <w:pPr>
              <w:pStyle w:val="TableParagraph"/>
              <w:spacing w:before="5"/>
              <w:rPr>
                <w:sz w:val="16"/>
              </w:rPr>
            </w:pPr>
          </w:p>
          <w:p>
            <w:pPr>
              <w:pStyle w:val="TableParagraph"/>
              <w:spacing w:line="200" w:lineRule="atLeast"/>
              <w:ind w:left="82" w:right="70" w:firstLine="55"/>
              <w:rPr>
                <w:sz w:val="16"/>
              </w:rPr>
            </w:pPr>
            <w:r>
              <w:rPr>
                <w:spacing w:val="-2"/>
                <w:w w:val="105"/>
                <w:sz w:val="16"/>
              </w:rPr>
              <w:t>Effective</w:t>
            </w:r>
            <w:r>
              <w:rPr>
                <w:w w:val="105"/>
                <w:sz w:val="16"/>
              </w:rPr>
              <w:t> tax</w:t>
            </w:r>
            <w:r>
              <w:rPr>
                <w:spacing w:val="-6"/>
                <w:w w:val="105"/>
                <w:sz w:val="16"/>
              </w:rPr>
              <w:t> </w:t>
            </w:r>
            <w:r>
              <w:rPr>
                <w:w w:val="105"/>
                <w:sz w:val="16"/>
              </w:rPr>
              <w:t>rate</w:t>
            </w:r>
            <w:r>
              <w:rPr>
                <w:spacing w:val="-5"/>
                <w:w w:val="105"/>
                <w:sz w:val="16"/>
              </w:rPr>
              <w:t> </w:t>
            </w:r>
            <w:r>
              <w:rPr>
                <w:spacing w:val="-5"/>
                <w:w w:val="105"/>
                <w:sz w:val="16"/>
              </w:rPr>
              <w:t>(a)</w:t>
            </w:r>
          </w:p>
        </w:tc>
        <w:tc>
          <w:tcPr>
            <w:tcW w:w="881" w:type="dxa"/>
            <w:tcBorders>
              <w:top w:val="single" w:sz="6" w:space="0" w:color="000000"/>
              <w:bottom w:val="single" w:sz="6" w:space="0" w:color="000000"/>
            </w:tcBorders>
          </w:tcPr>
          <w:p>
            <w:pPr>
              <w:pStyle w:val="TableParagraph"/>
              <w:spacing w:before="5"/>
              <w:rPr>
                <w:sz w:val="16"/>
              </w:rPr>
            </w:pPr>
          </w:p>
          <w:p>
            <w:pPr>
              <w:pStyle w:val="TableParagraph"/>
              <w:spacing w:line="200" w:lineRule="atLeast"/>
              <w:ind w:left="182" w:right="91" w:firstLine="6"/>
              <w:rPr>
                <w:sz w:val="16"/>
              </w:rPr>
            </w:pPr>
            <w:r>
              <w:rPr>
                <w:spacing w:val="-2"/>
                <w:w w:val="105"/>
                <w:sz w:val="16"/>
              </w:rPr>
              <w:t>Earnings</w:t>
            </w:r>
            <w:r>
              <w:rPr>
                <w:w w:val="105"/>
                <w:sz w:val="16"/>
              </w:rPr>
              <w:t> per</w:t>
            </w:r>
            <w:r>
              <w:rPr>
                <w:spacing w:val="-6"/>
                <w:w w:val="105"/>
                <w:sz w:val="16"/>
              </w:rPr>
              <w:t> </w:t>
            </w:r>
            <w:r>
              <w:rPr>
                <w:spacing w:val="-4"/>
                <w:w w:val="105"/>
                <w:sz w:val="16"/>
              </w:rPr>
              <w:t>share</w:t>
            </w:r>
          </w:p>
        </w:tc>
      </w:tr>
      <w:tr>
        <w:trPr>
          <w:trHeight w:val="202" w:hRule="atLeast"/>
        </w:trPr>
        <w:tc>
          <w:tcPr>
            <w:tcW w:w="5770" w:type="dxa"/>
            <w:tcBorders>
              <w:top w:val="single" w:sz="6" w:space="0" w:color="000000"/>
            </w:tcBorders>
            <w:shd w:val="clear" w:color="auto" w:fill="CCEDFF"/>
          </w:tcPr>
          <w:p>
            <w:pPr>
              <w:pStyle w:val="TableParagraph"/>
              <w:spacing w:line="180" w:lineRule="exact" w:before="2"/>
              <w:rPr>
                <w:b/>
                <w:sz w:val="16"/>
              </w:rPr>
            </w:pPr>
            <w:r>
              <w:rPr>
                <w:b/>
                <w:w w:val="105"/>
                <w:sz w:val="16"/>
              </w:rPr>
              <w:t>As</w:t>
            </w:r>
            <w:r>
              <w:rPr>
                <w:b/>
                <w:spacing w:val="-6"/>
                <w:w w:val="105"/>
                <w:sz w:val="16"/>
              </w:rPr>
              <w:t> </w:t>
            </w:r>
            <w:r>
              <w:rPr>
                <w:b/>
                <w:spacing w:val="-2"/>
                <w:w w:val="105"/>
                <w:sz w:val="16"/>
              </w:rPr>
              <w:t>reported</w:t>
            </w:r>
          </w:p>
        </w:tc>
        <w:tc>
          <w:tcPr>
            <w:tcW w:w="1101" w:type="dxa"/>
            <w:tcBorders>
              <w:top w:val="single" w:sz="6" w:space="0" w:color="000000"/>
            </w:tcBorders>
            <w:shd w:val="clear" w:color="auto" w:fill="CCEDFF"/>
          </w:tcPr>
          <w:p>
            <w:pPr>
              <w:pStyle w:val="TableParagraph"/>
              <w:tabs>
                <w:tab w:pos="589" w:val="left" w:leader="none"/>
              </w:tabs>
              <w:spacing w:line="180" w:lineRule="exact" w:before="2"/>
              <w:ind w:right="53"/>
              <w:jc w:val="right"/>
              <w:rPr>
                <w:b/>
                <w:sz w:val="16"/>
              </w:rPr>
            </w:pPr>
            <w:r>
              <w:rPr>
                <w:b/>
                <w:spacing w:val="-10"/>
                <w:w w:val="105"/>
                <w:sz w:val="16"/>
              </w:rPr>
              <w:t>$</w:t>
            </w:r>
            <w:r>
              <w:rPr>
                <w:b/>
                <w:sz w:val="16"/>
              </w:rPr>
              <w:tab/>
            </w:r>
            <w:r>
              <w:rPr>
                <w:b/>
                <w:spacing w:val="-4"/>
                <w:w w:val="105"/>
                <w:sz w:val="16"/>
              </w:rPr>
              <w:t>14,082</w:t>
            </w:r>
          </w:p>
        </w:tc>
        <w:tc>
          <w:tcPr>
            <w:tcW w:w="802" w:type="dxa"/>
            <w:tcBorders>
              <w:top w:val="single" w:sz="6" w:space="0" w:color="000000"/>
            </w:tcBorders>
            <w:shd w:val="clear" w:color="auto" w:fill="CCEDFF"/>
          </w:tcPr>
          <w:p>
            <w:pPr>
              <w:pStyle w:val="TableParagraph"/>
              <w:tabs>
                <w:tab w:pos="522" w:val="left" w:leader="none"/>
              </w:tabs>
              <w:spacing w:line="180" w:lineRule="exact" w:before="2"/>
              <w:ind w:right="53"/>
              <w:jc w:val="right"/>
              <w:rPr>
                <w:b/>
                <w:sz w:val="16"/>
              </w:rPr>
            </w:pPr>
            <w:r>
              <w:rPr>
                <w:b/>
                <w:spacing w:val="-10"/>
                <w:w w:val="105"/>
                <w:sz w:val="16"/>
              </w:rPr>
              <w:t>$</w:t>
            </w:r>
            <w:r>
              <w:rPr>
                <w:b/>
                <w:sz w:val="16"/>
              </w:rPr>
              <w:tab/>
            </w:r>
            <w:r>
              <w:rPr>
                <w:b/>
                <w:spacing w:val="-5"/>
                <w:w w:val="105"/>
                <w:sz w:val="16"/>
              </w:rPr>
              <w:t>35</w:t>
            </w:r>
          </w:p>
        </w:tc>
        <w:tc>
          <w:tcPr>
            <w:tcW w:w="1031" w:type="dxa"/>
            <w:tcBorders>
              <w:top w:val="single" w:sz="6" w:space="0" w:color="000000"/>
            </w:tcBorders>
            <w:shd w:val="clear" w:color="auto" w:fill="CCEDFF"/>
          </w:tcPr>
          <w:p>
            <w:pPr>
              <w:pStyle w:val="TableParagraph"/>
              <w:tabs>
                <w:tab w:pos="544" w:val="left" w:leader="none"/>
              </w:tabs>
              <w:spacing w:line="180" w:lineRule="exact" w:before="2"/>
              <w:ind w:right="52"/>
              <w:jc w:val="right"/>
              <w:rPr>
                <w:b/>
                <w:sz w:val="16"/>
              </w:rPr>
            </w:pPr>
            <w:r>
              <w:rPr>
                <w:b/>
                <w:spacing w:val="-10"/>
                <w:w w:val="105"/>
                <w:sz w:val="16"/>
              </w:rPr>
              <w:t>$</w:t>
            </w:r>
            <w:r>
              <w:rPr>
                <w:b/>
                <w:sz w:val="16"/>
              </w:rPr>
              <w:tab/>
            </w:r>
            <w:r>
              <w:rPr>
                <w:b/>
                <w:spacing w:val="-4"/>
                <w:w w:val="105"/>
                <w:sz w:val="16"/>
              </w:rPr>
              <w:t>2,397</w:t>
            </w:r>
          </w:p>
        </w:tc>
        <w:tc>
          <w:tcPr>
            <w:tcW w:w="1052" w:type="dxa"/>
            <w:tcBorders>
              <w:top w:val="single" w:sz="6" w:space="0" w:color="000000"/>
            </w:tcBorders>
            <w:shd w:val="clear" w:color="auto" w:fill="CCEDFF"/>
          </w:tcPr>
          <w:p>
            <w:pPr>
              <w:pStyle w:val="TableParagraph"/>
              <w:tabs>
                <w:tab w:pos="544" w:val="left" w:leader="none"/>
              </w:tabs>
              <w:spacing w:line="180" w:lineRule="exact" w:before="2"/>
              <w:ind w:right="72"/>
              <w:jc w:val="right"/>
              <w:rPr>
                <w:b/>
                <w:sz w:val="16"/>
              </w:rPr>
            </w:pPr>
            <w:r>
              <w:rPr>
                <w:b/>
                <w:spacing w:val="-10"/>
                <w:w w:val="105"/>
                <w:sz w:val="16"/>
              </w:rPr>
              <w:t>$</w:t>
            </w:r>
            <w:r>
              <w:rPr>
                <w:b/>
                <w:sz w:val="16"/>
              </w:rPr>
              <w:tab/>
            </w:r>
            <w:r>
              <w:rPr>
                <w:b/>
                <w:spacing w:val="-4"/>
                <w:w w:val="105"/>
                <w:sz w:val="16"/>
              </w:rPr>
              <w:t>1,906</w:t>
            </w:r>
          </w:p>
        </w:tc>
        <w:tc>
          <w:tcPr>
            <w:tcW w:w="874" w:type="dxa"/>
            <w:tcBorders>
              <w:top w:val="single" w:sz="6" w:space="0" w:color="000000"/>
            </w:tcBorders>
            <w:shd w:val="clear" w:color="auto" w:fill="CCEDFF"/>
          </w:tcPr>
          <w:p>
            <w:pPr>
              <w:pStyle w:val="TableParagraph"/>
              <w:spacing w:line="180" w:lineRule="exact" w:before="2"/>
              <w:ind w:left="8"/>
              <w:jc w:val="center"/>
              <w:rPr>
                <w:b/>
                <w:sz w:val="16"/>
              </w:rPr>
            </w:pPr>
            <w:r>
              <w:rPr>
                <w:b/>
                <w:spacing w:val="-2"/>
                <w:w w:val="105"/>
                <w:sz w:val="16"/>
              </w:rPr>
              <w:t>20.5%</w:t>
            </w:r>
          </w:p>
        </w:tc>
        <w:tc>
          <w:tcPr>
            <w:tcW w:w="881" w:type="dxa"/>
            <w:tcBorders>
              <w:top w:val="single" w:sz="6" w:space="0" w:color="000000"/>
            </w:tcBorders>
            <w:shd w:val="clear" w:color="auto" w:fill="CCEDFF"/>
          </w:tcPr>
          <w:p>
            <w:pPr>
              <w:pStyle w:val="TableParagraph"/>
              <w:tabs>
                <w:tab w:pos="512" w:val="left" w:leader="none"/>
              </w:tabs>
              <w:spacing w:line="180" w:lineRule="exact" w:before="2"/>
              <w:ind w:right="-15"/>
              <w:jc w:val="right"/>
              <w:rPr>
                <w:b/>
                <w:sz w:val="16"/>
              </w:rPr>
            </w:pPr>
            <w:r>
              <w:rPr>
                <w:b/>
                <w:spacing w:val="-10"/>
                <w:w w:val="105"/>
                <w:sz w:val="16"/>
              </w:rPr>
              <w:t>$</w:t>
            </w:r>
            <w:r>
              <w:rPr>
                <w:b/>
                <w:sz w:val="16"/>
              </w:rPr>
              <w:tab/>
            </w:r>
            <w:r>
              <w:rPr>
                <w:b/>
                <w:spacing w:val="-4"/>
                <w:w w:val="105"/>
                <w:sz w:val="16"/>
              </w:rPr>
              <w:t>1.28</w:t>
            </w:r>
          </w:p>
        </w:tc>
      </w:tr>
      <w:tr>
        <w:trPr>
          <w:trHeight w:val="202" w:hRule="atLeast"/>
        </w:trPr>
        <w:tc>
          <w:tcPr>
            <w:tcW w:w="5770" w:type="dxa"/>
            <w:tcBorders>
              <w:bottom w:val="single" w:sz="6" w:space="0" w:color="000000"/>
            </w:tcBorders>
          </w:tcPr>
          <w:p>
            <w:pPr>
              <w:pStyle w:val="TableParagraph"/>
              <w:spacing w:line="179" w:lineRule="exact" w:before="3"/>
              <w:rPr>
                <w:sz w:val="16"/>
              </w:rPr>
            </w:pPr>
            <w:r>
              <w:rPr>
                <w:sz w:val="16"/>
              </w:rPr>
              <w:t>Preferred</w:t>
            </w:r>
            <w:r>
              <w:rPr>
                <w:spacing w:val="18"/>
                <w:sz w:val="16"/>
              </w:rPr>
              <w:t> </w:t>
            </w:r>
            <w:r>
              <w:rPr>
                <w:sz w:val="16"/>
              </w:rPr>
              <w:t>stock</w:t>
            </w:r>
            <w:r>
              <w:rPr>
                <w:spacing w:val="18"/>
                <w:sz w:val="16"/>
              </w:rPr>
              <w:t> </w:t>
            </w:r>
            <w:r>
              <w:rPr>
                <w:sz w:val="16"/>
              </w:rPr>
              <w:t>redemption</w:t>
            </w:r>
            <w:r>
              <w:rPr>
                <w:spacing w:val="18"/>
                <w:sz w:val="16"/>
              </w:rPr>
              <w:t> </w:t>
            </w:r>
            <w:r>
              <w:rPr>
                <w:spacing w:val="-5"/>
                <w:sz w:val="16"/>
              </w:rPr>
              <w:t>(b)</w:t>
            </w:r>
          </w:p>
        </w:tc>
        <w:tc>
          <w:tcPr>
            <w:tcW w:w="1101" w:type="dxa"/>
            <w:tcBorders>
              <w:bottom w:val="single" w:sz="6" w:space="0" w:color="000000"/>
            </w:tcBorders>
          </w:tcPr>
          <w:p>
            <w:pPr>
              <w:pStyle w:val="TableParagraph"/>
              <w:rPr>
                <w:sz w:val="14"/>
              </w:rPr>
            </w:pPr>
          </w:p>
        </w:tc>
        <w:tc>
          <w:tcPr>
            <w:tcW w:w="802" w:type="dxa"/>
            <w:tcBorders>
              <w:bottom w:val="single" w:sz="6" w:space="0" w:color="000000"/>
            </w:tcBorders>
          </w:tcPr>
          <w:p>
            <w:pPr>
              <w:pStyle w:val="TableParagraph"/>
              <w:rPr>
                <w:sz w:val="14"/>
              </w:rPr>
            </w:pPr>
          </w:p>
        </w:tc>
        <w:tc>
          <w:tcPr>
            <w:tcW w:w="1031" w:type="dxa"/>
            <w:tcBorders>
              <w:bottom w:val="single" w:sz="6" w:space="0" w:color="000000"/>
            </w:tcBorders>
          </w:tcPr>
          <w:p>
            <w:pPr>
              <w:pStyle w:val="TableParagraph"/>
              <w:rPr>
                <w:sz w:val="14"/>
              </w:rPr>
            </w:pPr>
          </w:p>
        </w:tc>
        <w:tc>
          <w:tcPr>
            <w:tcW w:w="1052" w:type="dxa"/>
            <w:tcBorders>
              <w:bottom w:val="single" w:sz="6" w:space="0" w:color="000000"/>
            </w:tcBorders>
          </w:tcPr>
          <w:p>
            <w:pPr>
              <w:pStyle w:val="TableParagraph"/>
              <w:rPr>
                <w:sz w:val="14"/>
              </w:rPr>
            </w:pPr>
          </w:p>
        </w:tc>
        <w:tc>
          <w:tcPr>
            <w:tcW w:w="874" w:type="dxa"/>
            <w:tcBorders>
              <w:bottom w:val="single" w:sz="6" w:space="0" w:color="000000"/>
            </w:tcBorders>
          </w:tcPr>
          <w:p>
            <w:pPr>
              <w:pStyle w:val="TableParagraph"/>
              <w:rPr>
                <w:sz w:val="14"/>
              </w:rPr>
            </w:pPr>
          </w:p>
        </w:tc>
        <w:tc>
          <w:tcPr>
            <w:tcW w:w="881" w:type="dxa"/>
            <w:tcBorders>
              <w:bottom w:val="single" w:sz="6" w:space="0" w:color="000000"/>
            </w:tcBorders>
          </w:tcPr>
          <w:p>
            <w:pPr>
              <w:pStyle w:val="TableParagraph"/>
              <w:spacing w:line="179" w:lineRule="exact" w:before="3"/>
              <w:ind w:right="-15"/>
              <w:jc w:val="right"/>
              <w:rPr>
                <w:b/>
                <w:sz w:val="16"/>
              </w:rPr>
            </w:pPr>
            <w:r>
              <w:rPr>
                <w:b/>
                <w:spacing w:val="-4"/>
                <w:w w:val="105"/>
                <w:sz w:val="16"/>
              </w:rPr>
              <w:t>0.90</w:t>
            </w:r>
          </w:p>
        </w:tc>
      </w:tr>
      <w:tr>
        <w:trPr>
          <w:trHeight w:val="202" w:hRule="atLeast"/>
        </w:trPr>
        <w:tc>
          <w:tcPr>
            <w:tcW w:w="5770" w:type="dxa"/>
            <w:tcBorders>
              <w:top w:val="single" w:sz="6" w:space="0" w:color="000000"/>
            </w:tcBorders>
            <w:shd w:val="clear" w:color="auto" w:fill="CCEDFF"/>
          </w:tcPr>
          <w:p>
            <w:pPr>
              <w:pStyle w:val="TableParagraph"/>
              <w:spacing w:line="180" w:lineRule="exact" w:before="2"/>
              <w:rPr>
                <w:b/>
                <w:sz w:val="16"/>
              </w:rPr>
            </w:pPr>
            <w:r>
              <w:rPr>
                <w:b/>
                <w:spacing w:val="-2"/>
                <w:w w:val="105"/>
                <w:sz w:val="16"/>
              </w:rPr>
              <w:t>Subtotal</w:t>
            </w:r>
          </w:p>
        </w:tc>
        <w:tc>
          <w:tcPr>
            <w:tcW w:w="1101" w:type="dxa"/>
            <w:tcBorders>
              <w:top w:val="single" w:sz="6" w:space="0" w:color="000000"/>
            </w:tcBorders>
            <w:shd w:val="clear" w:color="auto" w:fill="CCEDFF"/>
          </w:tcPr>
          <w:p>
            <w:pPr>
              <w:pStyle w:val="TableParagraph"/>
              <w:spacing w:line="180" w:lineRule="exact" w:before="2"/>
              <w:ind w:right="53"/>
              <w:jc w:val="right"/>
              <w:rPr>
                <w:b/>
                <w:sz w:val="16"/>
              </w:rPr>
            </w:pPr>
            <w:r>
              <w:rPr>
                <w:b/>
                <w:spacing w:val="-2"/>
                <w:w w:val="105"/>
                <w:sz w:val="16"/>
              </w:rPr>
              <w:t>14,082</w:t>
            </w:r>
          </w:p>
        </w:tc>
        <w:tc>
          <w:tcPr>
            <w:tcW w:w="802" w:type="dxa"/>
            <w:tcBorders>
              <w:top w:val="single" w:sz="6" w:space="0" w:color="000000"/>
            </w:tcBorders>
            <w:shd w:val="clear" w:color="auto" w:fill="CCEDFF"/>
          </w:tcPr>
          <w:p>
            <w:pPr>
              <w:pStyle w:val="TableParagraph"/>
              <w:spacing w:line="180" w:lineRule="exact" w:before="2"/>
              <w:ind w:right="53"/>
              <w:jc w:val="right"/>
              <w:rPr>
                <w:b/>
                <w:sz w:val="16"/>
              </w:rPr>
            </w:pPr>
            <w:r>
              <w:rPr>
                <w:b/>
                <w:spacing w:val="-5"/>
                <w:w w:val="105"/>
                <w:sz w:val="16"/>
              </w:rPr>
              <w:t>35</w:t>
            </w:r>
          </w:p>
        </w:tc>
        <w:tc>
          <w:tcPr>
            <w:tcW w:w="1031" w:type="dxa"/>
            <w:tcBorders>
              <w:top w:val="single" w:sz="6" w:space="0" w:color="000000"/>
            </w:tcBorders>
            <w:shd w:val="clear" w:color="auto" w:fill="CCEDFF"/>
          </w:tcPr>
          <w:p>
            <w:pPr>
              <w:pStyle w:val="TableParagraph"/>
              <w:spacing w:line="180" w:lineRule="exact" w:before="2"/>
              <w:ind w:right="52"/>
              <w:jc w:val="right"/>
              <w:rPr>
                <w:b/>
                <w:sz w:val="16"/>
              </w:rPr>
            </w:pPr>
            <w:r>
              <w:rPr>
                <w:b/>
                <w:spacing w:val="-4"/>
                <w:w w:val="105"/>
                <w:sz w:val="16"/>
              </w:rPr>
              <w:t>2,397</w:t>
            </w:r>
          </w:p>
        </w:tc>
        <w:tc>
          <w:tcPr>
            <w:tcW w:w="1052" w:type="dxa"/>
            <w:tcBorders>
              <w:top w:val="single" w:sz="6" w:space="0" w:color="000000"/>
            </w:tcBorders>
            <w:shd w:val="clear" w:color="auto" w:fill="CCEDFF"/>
          </w:tcPr>
          <w:p>
            <w:pPr>
              <w:pStyle w:val="TableParagraph"/>
              <w:spacing w:line="180" w:lineRule="exact" w:before="2"/>
              <w:ind w:right="72"/>
              <w:jc w:val="right"/>
              <w:rPr>
                <w:b/>
                <w:sz w:val="16"/>
              </w:rPr>
            </w:pPr>
            <w:r>
              <w:rPr>
                <w:b/>
                <w:spacing w:val="-4"/>
                <w:w w:val="105"/>
                <w:sz w:val="16"/>
              </w:rPr>
              <w:t>1,906</w:t>
            </w:r>
          </w:p>
        </w:tc>
        <w:tc>
          <w:tcPr>
            <w:tcW w:w="874" w:type="dxa"/>
            <w:tcBorders>
              <w:top w:val="single" w:sz="6" w:space="0" w:color="000000"/>
            </w:tcBorders>
            <w:shd w:val="clear" w:color="auto" w:fill="CCEDFF"/>
          </w:tcPr>
          <w:p>
            <w:pPr>
              <w:pStyle w:val="TableParagraph"/>
              <w:spacing w:line="180" w:lineRule="exact" w:before="2"/>
              <w:ind w:left="8"/>
              <w:jc w:val="center"/>
              <w:rPr>
                <w:b/>
                <w:sz w:val="16"/>
              </w:rPr>
            </w:pPr>
            <w:r>
              <w:rPr>
                <w:b/>
                <w:spacing w:val="-2"/>
                <w:w w:val="105"/>
                <w:sz w:val="16"/>
              </w:rPr>
              <w:t>20.5%</w:t>
            </w:r>
          </w:p>
        </w:tc>
        <w:tc>
          <w:tcPr>
            <w:tcW w:w="881" w:type="dxa"/>
            <w:tcBorders>
              <w:top w:val="single" w:sz="6" w:space="0" w:color="000000"/>
            </w:tcBorders>
            <w:shd w:val="clear" w:color="auto" w:fill="CCEDFF"/>
          </w:tcPr>
          <w:p>
            <w:pPr>
              <w:pStyle w:val="TableParagraph"/>
              <w:spacing w:line="180" w:lineRule="exact" w:before="2"/>
              <w:ind w:right="-15"/>
              <w:jc w:val="right"/>
              <w:rPr>
                <w:b/>
                <w:sz w:val="16"/>
              </w:rPr>
            </w:pPr>
            <w:r>
              <w:rPr>
                <w:b/>
                <w:spacing w:val="-4"/>
                <w:w w:val="105"/>
                <w:sz w:val="16"/>
              </w:rPr>
              <w:t>2.18</w:t>
            </w:r>
          </w:p>
        </w:tc>
      </w:tr>
      <w:tr>
        <w:trPr>
          <w:trHeight w:val="203" w:hRule="atLeast"/>
        </w:trPr>
        <w:tc>
          <w:tcPr>
            <w:tcW w:w="5770" w:type="dxa"/>
          </w:tcPr>
          <w:p>
            <w:pPr>
              <w:pStyle w:val="TableParagraph"/>
              <w:rPr>
                <w:sz w:val="14"/>
              </w:rPr>
            </w:pPr>
          </w:p>
        </w:tc>
        <w:tc>
          <w:tcPr>
            <w:tcW w:w="1101" w:type="dxa"/>
          </w:tcPr>
          <w:p>
            <w:pPr>
              <w:pStyle w:val="TableParagraph"/>
              <w:rPr>
                <w:sz w:val="14"/>
              </w:rPr>
            </w:pPr>
          </w:p>
        </w:tc>
        <w:tc>
          <w:tcPr>
            <w:tcW w:w="802" w:type="dxa"/>
          </w:tcPr>
          <w:p>
            <w:pPr>
              <w:pStyle w:val="TableParagraph"/>
              <w:rPr>
                <w:sz w:val="14"/>
              </w:rPr>
            </w:pPr>
          </w:p>
        </w:tc>
        <w:tc>
          <w:tcPr>
            <w:tcW w:w="1031" w:type="dxa"/>
          </w:tcPr>
          <w:p>
            <w:pPr>
              <w:pStyle w:val="TableParagraph"/>
              <w:rPr>
                <w:sz w:val="14"/>
              </w:rPr>
            </w:pPr>
          </w:p>
        </w:tc>
        <w:tc>
          <w:tcPr>
            <w:tcW w:w="1052" w:type="dxa"/>
          </w:tcPr>
          <w:p>
            <w:pPr>
              <w:pStyle w:val="TableParagraph"/>
              <w:rPr>
                <w:sz w:val="14"/>
              </w:rPr>
            </w:pPr>
          </w:p>
        </w:tc>
        <w:tc>
          <w:tcPr>
            <w:tcW w:w="874" w:type="dxa"/>
          </w:tcPr>
          <w:p>
            <w:pPr>
              <w:pStyle w:val="TableParagraph"/>
              <w:rPr>
                <w:sz w:val="14"/>
              </w:rPr>
            </w:pPr>
          </w:p>
        </w:tc>
        <w:tc>
          <w:tcPr>
            <w:tcW w:w="881" w:type="dxa"/>
          </w:tcPr>
          <w:p>
            <w:pPr>
              <w:pStyle w:val="TableParagraph"/>
              <w:rPr>
                <w:sz w:val="14"/>
              </w:rPr>
            </w:pPr>
          </w:p>
        </w:tc>
      </w:tr>
      <w:tr>
        <w:trPr>
          <w:trHeight w:val="203" w:hRule="atLeast"/>
        </w:trPr>
        <w:tc>
          <w:tcPr>
            <w:tcW w:w="5770" w:type="dxa"/>
            <w:shd w:val="clear" w:color="auto" w:fill="CCEDFF"/>
          </w:tcPr>
          <w:p>
            <w:pPr>
              <w:pStyle w:val="TableParagraph"/>
              <w:spacing w:line="184" w:lineRule="exact"/>
              <w:rPr>
                <w:sz w:val="14"/>
              </w:rPr>
            </w:pPr>
            <w:r>
              <w:rPr>
                <w:sz w:val="16"/>
              </w:rPr>
              <w:t>Constant-currency</w:t>
            </w:r>
            <w:r>
              <w:rPr>
                <w:spacing w:val="30"/>
                <w:sz w:val="16"/>
              </w:rPr>
              <w:t> </w:t>
            </w:r>
            <w:r>
              <w:rPr>
                <w:sz w:val="16"/>
              </w:rPr>
              <w:t>adjustment</w:t>
            </w:r>
            <w:r>
              <w:rPr>
                <w:spacing w:val="30"/>
                <w:sz w:val="16"/>
              </w:rPr>
              <w:t> </w:t>
            </w:r>
            <w:r>
              <w:rPr>
                <w:spacing w:val="-5"/>
                <w:position w:val="3"/>
                <w:sz w:val="14"/>
              </w:rPr>
              <w:t>(1)</w:t>
            </w:r>
          </w:p>
        </w:tc>
        <w:tc>
          <w:tcPr>
            <w:tcW w:w="1101" w:type="dxa"/>
            <w:shd w:val="clear" w:color="auto" w:fill="CCEDFF"/>
          </w:tcPr>
          <w:p>
            <w:pPr>
              <w:pStyle w:val="TableParagraph"/>
              <w:spacing w:line="180" w:lineRule="exact" w:before="3"/>
              <w:ind w:right="53"/>
              <w:jc w:val="right"/>
              <w:rPr>
                <w:sz w:val="16"/>
              </w:rPr>
            </w:pPr>
            <w:r>
              <w:rPr>
                <w:spacing w:val="-5"/>
                <w:w w:val="105"/>
                <w:sz w:val="16"/>
              </w:rPr>
              <w:t>38</w:t>
            </w:r>
          </w:p>
        </w:tc>
        <w:tc>
          <w:tcPr>
            <w:tcW w:w="802" w:type="dxa"/>
            <w:shd w:val="clear" w:color="auto" w:fill="CCEDFF"/>
          </w:tcPr>
          <w:p>
            <w:pPr>
              <w:pStyle w:val="TableParagraph"/>
              <w:spacing w:line="180" w:lineRule="exact" w:before="3"/>
              <w:ind w:right="53"/>
              <w:jc w:val="right"/>
              <w:rPr>
                <w:sz w:val="16"/>
              </w:rPr>
            </w:pPr>
            <w:r>
              <w:rPr>
                <w:spacing w:val="-10"/>
                <w:w w:val="105"/>
                <w:sz w:val="16"/>
              </w:rPr>
              <w:t>3</w:t>
            </w:r>
          </w:p>
        </w:tc>
        <w:tc>
          <w:tcPr>
            <w:tcW w:w="1031" w:type="dxa"/>
            <w:shd w:val="clear" w:color="auto" w:fill="CCEDFF"/>
          </w:tcPr>
          <w:p>
            <w:pPr>
              <w:pStyle w:val="TableParagraph"/>
              <w:spacing w:line="180" w:lineRule="exact" w:before="3"/>
              <w:ind w:right="52"/>
              <w:jc w:val="right"/>
              <w:rPr>
                <w:sz w:val="16"/>
              </w:rPr>
            </w:pPr>
            <w:r>
              <w:rPr>
                <w:spacing w:val="-5"/>
                <w:w w:val="105"/>
                <w:sz w:val="16"/>
              </w:rPr>
              <w:t>87</w:t>
            </w:r>
          </w:p>
        </w:tc>
        <w:tc>
          <w:tcPr>
            <w:tcW w:w="1052" w:type="dxa"/>
            <w:shd w:val="clear" w:color="auto" w:fill="CCEDFF"/>
          </w:tcPr>
          <w:p>
            <w:pPr>
              <w:pStyle w:val="TableParagraph"/>
              <w:spacing w:line="180" w:lineRule="exact" w:before="3"/>
              <w:ind w:right="72"/>
              <w:jc w:val="right"/>
              <w:rPr>
                <w:sz w:val="16"/>
              </w:rPr>
            </w:pPr>
            <w:r>
              <w:rPr>
                <w:spacing w:val="-5"/>
                <w:w w:val="105"/>
                <w:sz w:val="16"/>
              </w:rPr>
              <w:t>76</w:t>
            </w:r>
          </w:p>
        </w:tc>
        <w:tc>
          <w:tcPr>
            <w:tcW w:w="874" w:type="dxa"/>
            <w:shd w:val="clear" w:color="auto" w:fill="CCEDFF"/>
          </w:tcPr>
          <w:p>
            <w:pPr>
              <w:pStyle w:val="TableParagraph"/>
              <w:rPr>
                <w:sz w:val="14"/>
              </w:rPr>
            </w:pPr>
          </w:p>
        </w:tc>
        <w:tc>
          <w:tcPr>
            <w:tcW w:w="881" w:type="dxa"/>
            <w:shd w:val="clear" w:color="auto" w:fill="CCEDFF"/>
          </w:tcPr>
          <w:p>
            <w:pPr>
              <w:pStyle w:val="TableParagraph"/>
              <w:spacing w:line="180" w:lineRule="exact" w:before="3"/>
              <w:ind w:right="-15"/>
              <w:jc w:val="right"/>
              <w:rPr>
                <w:sz w:val="16"/>
              </w:rPr>
            </w:pPr>
            <w:r>
              <w:rPr>
                <w:spacing w:val="-4"/>
                <w:w w:val="105"/>
                <w:sz w:val="16"/>
              </w:rPr>
              <w:t>0.09</w:t>
            </w:r>
          </w:p>
        </w:tc>
      </w:tr>
      <w:tr>
        <w:trPr>
          <w:trHeight w:val="203" w:hRule="atLeast"/>
        </w:trPr>
        <w:tc>
          <w:tcPr>
            <w:tcW w:w="5770" w:type="dxa"/>
          </w:tcPr>
          <w:p>
            <w:pPr>
              <w:pStyle w:val="TableParagraph"/>
              <w:spacing w:line="184" w:lineRule="exact"/>
              <w:rPr>
                <w:sz w:val="14"/>
              </w:rPr>
            </w:pPr>
            <w:r>
              <w:rPr>
                <w:sz w:val="16"/>
              </w:rPr>
              <w:t>Translation</w:t>
            </w:r>
            <w:r>
              <w:rPr>
                <w:spacing w:val="16"/>
                <w:sz w:val="16"/>
              </w:rPr>
              <w:t> </w:t>
            </w:r>
            <w:r>
              <w:rPr>
                <w:sz w:val="16"/>
              </w:rPr>
              <w:t>gain</w:t>
            </w:r>
            <w:r>
              <w:rPr>
                <w:spacing w:val="17"/>
                <w:sz w:val="16"/>
              </w:rPr>
              <w:t> </w:t>
            </w:r>
            <w:r>
              <w:rPr>
                <w:sz w:val="16"/>
              </w:rPr>
              <w:t>on</w:t>
            </w:r>
            <w:r>
              <w:rPr>
                <w:spacing w:val="17"/>
                <w:sz w:val="16"/>
              </w:rPr>
              <w:t> </w:t>
            </w:r>
            <w:r>
              <w:rPr>
                <w:sz w:val="16"/>
              </w:rPr>
              <w:t>Japanese</w:t>
            </w:r>
            <w:r>
              <w:rPr>
                <w:spacing w:val="17"/>
                <w:sz w:val="16"/>
              </w:rPr>
              <w:t> </w:t>
            </w:r>
            <w:r>
              <w:rPr>
                <w:sz w:val="16"/>
              </w:rPr>
              <w:t>yen-denominated</w:t>
            </w:r>
            <w:r>
              <w:rPr>
                <w:spacing w:val="17"/>
                <w:sz w:val="16"/>
              </w:rPr>
              <w:t> </w:t>
            </w:r>
            <w:r>
              <w:rPr>
                <w:sz w:val="16"/>
              </w:rPr>
              <w:t>debt</w:t>
            </w:r>
            <w:r>
              <w:rPr>
                <w:spacing w:val="18"/>
                <w:sz w:val="16"/>
              </w:rPr>
              <w:t> </w:t>
            </w:r>
            <w:r>
              <w:rPr>
                <w:spacing w:val="-5"/>
                <w:position w:val="3"/>
                <w:sz w:val="14"/>
              </w:rPr>
              <w:t>(2)</w:t>
            </w:r>
          </w:p>
        </w:tc>
        <w:tc>
          <w:tcPr>
            <w:tcW w:w="1101" w:type="dxa"/>
          </w:tcPr>
          <w:p>
            <w:pPr>
              <w:pStyle w:val="TableParagraph"/>
              <w:rPr>
                <w:sz w:val="14"/>
              </w:rPr>
            </w:pPr>
          </w:p>
        </w:tc>
        <w:tc>
          <w:tcPr>
            <w:tcW w:w="802" w:type="dxa"/>
          </w:tcPr>
          <w:p>
            <w:pPr>
              <w:pStyle w:val="TableParagraph"/>
              <w:rPr>
                <w:sz w:val="14"/>
              </w:rPr>
            </w:pPr>
          </w:p>
        </w:tc>
        <w:tc>
          <w:tcPr>
            <w:tcW w:w="1031" w:type="dxa"/>
          </w:tcPr>
          <w:p>
            <w:pPr>
              <w:pStyle w:val="TableParagraph"/>
              <w:spacing w:line="149" w:lineRule="exact" w:before="35"/>
              <w:ind w:right="53"/>
              <w:jc w:val="right"/>
              <w:rPr>
                <w:sz w:val="14"/>
              </w:rPr>
            </w:pPr>
            <w:r>
              <w:rPr>
                <w:spacing w:val="-2"/>
                <w:sz w:val="14"/>
              </w:rPr>
              <w:t>(180)</w:t>
            </w:r>
          </w:p>
        </w:tc>
        <w:tc>
          <w:tcPr>
            <w:tcW w:w="1052" w:type="dxa"/>
          </w:tcPr>
          <w:p>
            <w:pPr>
              <w:pStyle w:val="TableParagraph"/>
              <w:spacing w:line="149" w:lineRule="exact" w:before="35"/>
              <w:ind w:right="73"/>
              <w:jc w:val="right"/>
              <w:rPr>
                <w:sz w:val="14"/>
              </w:rPr>
            </w:pPr>
            <w:r>
              <w:rPr>
                <w:spacing w:val="-2"/>
                <w:sz w:val="14"/>
              </w:rPr>
              <w:t>(138)</w:t>
            </w:r>
          </w:p>
        </w:tc>
        <w:tc>
          <w:tcPr>
            <w:tcW w:w="874" w:type="dxa"/>
          </w:tcPr>
          <w:p>
            <w:pPr>
              <w:pStyle w:val="TableParagraph"/>
              <w:rPr>
                <w:sz w:val="14"/>
              </w:rPr>
            </w:pPr>
          </w:p>
        </w:tc>
        <w:tc>
          <w:tcPr>
            <w:tcW w:w="881" w:type="dxa"/>
          </w:tcPr>
          <w:p>
            <w:pPr>
              <w:pStyle w:val="TableParagraph"/>
              <w:spacing w:line="180" w:lineRule="exact" w:before="3"/>
              <w:ind w:right="-15"/>
              <w:jc w:val="right"/>
              <w:rPr>
                <w:sz w:val="16"/>
              </w:rPr>
            </w:pPr>
            <w:r>
              <w:rPr>
                <w:spacing w:val="-2"/>
                <w:w w:val="105"/>
                <w:sz w:val="16"/>
              </w:rPr>
              <w:t>(0.16)</w:t>
            </w:r>
          </w:p>
        </w:tc>
      </w:tr>
      <w:tr>
        <w:trPr>
          <w:trHeight w:val="203" w:hRule="atLeast"/>
        </w:trPr>
        <w:tc>
          <w:tcPr>
            <w:tcW w:w="5770" w:type="dxa"/>
            <w:shd w:val="clear" w:color="auto" w:fill="CCEDFF"/>
          </w:tcPr>
          <w:p>
            <w:pPr>
              <w:pStyle w:val="TableParagraph"/>
              <w:spacing w:line="184" w:lineRule="exact"/>
              <w:rPr>
                <w:sz w:val="14"/>
              </w:rPr>
            </w:pPr>
            <w:r>
              <w:rPr>
                <w:spacing w:val="-2"/>
                <w:w w:val="105"/>
                <w:sz w:val="16"/>
              </w:rPr>
              <w:t>Translated</w:t>
            </w:r>
            <w:r>
              <w:rPr>
                <w:spacing w:val="2"/>
                <w:w w:val="105"/>
                <w:sz w:val="16"/>
              </w:rPr>
              <w:t> </w:t>
            </w:r>
            <w:r>
              <w:rPr>
                <w:spacing w:val="-2"/>
                <w:w w:val="105"/>
                <w:sz w:val="16"/>
              </w:rPr>
              <w:t>earnings</w:t>
            </w:r>
            <w:r>
              <w:rPr>
                <w:spacing w:val="3"/>
                <w:w w:val="105"/>
                <w:sz w:val="16"/>
              </w:rPr>
              <w:t> </w:t>
            </w:r>
            <w:r>
              <w:rPr>
                <w:spacing w:val="-2"/>
                <w:w w:val="105"/>
                <w:sz w:val="16"/>
              </w:rPr>
              <w:t>contract</w:t>
            </w:r>
            <w:r>
              <w:rPr>
                <w:spacing w:val="2"/>
                <w:w w:val="105"/>
                <w:sz w:val="16"/>
              </w:rPr>
              <w:t> </w:t>
            </w:r>
            <w:r>
              <w:rPr>
                <w:spacing w:val="-2"/>
                <w:w w:val="105"/>
                <w:sz w:val="16"/>
              </w:rPr>
              <w:t>gain,</w:t>
            </w:r>
            <w:r>
              <w:rPr>
                <w:spacing w:val="3"/>
                <w:w w:val="105"/>
                <w:sz w:val="16"/>
              </w:rPr>
              <w:t> </w:t>
            </w:r>
            <w:r>
              <w:rPr>
                <w:spacing w:val="-2"/>
                <w:w w:val="105"/>
                <w:sz w:val="16"/>
              </w:rPr>
              <w:t>net</w:t>
            </w:r>
            <w:r>
              <w:rPr>
                <w:spacing w:val="4"/>
                <w:w w:val="105"/>
                <w:sz w:val="16"/>
              </w:rPr>
              <w:t> </w:t>
            </w:r>
            <w:r>
              <w:rPr>
                <w:spacing w:val="-5"/>
                <w:w w:val="105"/>
                <w:position w:val="3"/>
                <w:sz w:val="14"/>
              </w:rPr>
              <w:t>(3)</w:t>
            </w:r>
          </w:p>
        </w:tc>
        <w:tc>
          <w:tcPr>
            <w:tcW w:w="1101" w:type="dxa"/>
            <w:shd w:val="clear" w:color="auto" w:fill="CCEDFF"/>
          </w:tcPr>
          <w:p>
            <w:pPr>
              <w:pStyle w:val="TableParagraph"/>
              <w:rPr>
                <w:sz w:val="14"/>
              </w:rPr>
            </w:pPr>
          </w:p>
        </w:tc>
        <w:tc>
          <w:tcPr>
            <w:tcW w:w="802" w:type="dxa"/>
            <w:shd w:val="clear" w:color="auto" w:fill="CCEDFF"/>
          </w:tcPr>
          <w:p>
            <w:pPr>
              <w:pStyle w:val="TableParagraph"/>
              <w:rPr>
                <w:sz w:val="14"/>
              </w:rPr>
            </w:pPr>
          </w:p>
        </w:tc>
        <w:tc>
          <w:tcPr>
            <w:tcW w:w="1031" w:type="dxa"/>
            <w:shd w:val="clear" w:color="auto" w:fill="CCEDFF"/>
          </w:tcPr>
          <w:p>
            <w:pPr>
              <w:pStyle w:val="TableParagraph"/>
              <w:spacing w:line="149" w:lineRule="exact" w:before="35"/>
              <w:ind w:right="53"/>
              <w:jc w:val="right"/>
              <w:rPr>
                <w:sz w:val="14"/>
              </w:rPr>
            </w:pPr>
            <w:r>
              <w:rPr>
                <w:spacing w:val="-2"/>
                <w:sz w:val="14"/>
              </w:rPr>
              <w:t>(354)</w:t>
            </w:r>
          </w:p>
        </w:tc>
        <w:tc>
          <w:tcPr>
            <w:tcW w:w="1052" w:type="dxa"/>
            <w:shd w:val="clear" w:color="auto" w:fill="CCEDFF"/>
          </w:tcPr>
          <w:p>
            <w:pPr>
              <w:pStyle w:val="TableParagraph"/>
              <w:spacing w:line="149" w:lineRule="exact" w:before="35"/>
              <w:ind w:right="73"/>
              <w:jc w:val="right"/>
              <w:rPr>
                <w:sz w:val="14"/>
              </w:rPr>
            </w:pPr>
            <w:r>
              <w:rPr>
                <w:spacing w:val="-2"/>
                <w:sz w:val="14"/>
              </w:rPr>
              <w:t>(273)</w:t>
            </w:r>
          </w:p>
        </w:tc>
        <w:tc>
          <w:tcPr>
            <w:tcW w:w="874" w:type="dxa"/>
            <w:shd w:val="clear" w:color="auto" w:fill="CCEDFF"/>
          </w:tcPr>
          <w:p>
            <w:pPr>
              <w:pStyle w:val="TableParagraph"/>
              <w:rPr>
                <w:sz w:val="14"/>
              </w:rPr>
            </w:pPr>
          </w:p>
        </w:tc>
        <w:tc>
          <w:tcPr>
            <w:tcW w:w="881" w:type="dxa"/>
            <w:shd w:val="clear" w:color="auto" w:fill="CCEDFF"/>
          </w:tcPr>
          <w:p>
            <w:pPr>
              <w:pStyle w:val="TableParagraph"/>
              <w:spacing w:line="180" w:lineRule="exact" w:before="3"/>
              <w:ind w:right="-15"/>
              <w:jc w:val="right"/>
              <w:rPr>
                <w:sz w:val="16"/>
              </w:rPr>
            </w:pPr>
            <w:r>
              <w:rPr>
                <w:spacing w:val="-2"/>
                <w:w w:val="105"/>
                <w:sz w:val="16"/>
              </w:rPr>
              <w:t>(0.32)</w:t>
            </w:r>
          </w:p>
        </w:tc>
      </w:tr>
      <w:tr>
        <w:trPr>
          <w:trHeight w:val="203" w:hRule="atLeast"/>
        </w:trPr>
        <w:tc>
          <w:tcPr>
            <w:tcW w:w="5770" w:type="dxa"/>
          </w:tcPr>
          <w:p>
            <w:pPr>
              <w:pStyle w:val="TableParagraph"/>
              <w:spacing w:line="184" w:lineRule="exact"/>
              <w:rPr>
                <w:sz w:val="14"/>
              </w:rPr>
            </w:pPr>
            <w:r>
              <w:rPr>
                <w:sz w:val="16"/>
              </w:rPr>
              <w:t>Acquisition-related</w:t>
            </w:r>
            <w:r>
              <w:rPr>
                <w:spacing w:val="24"/>
                <w:sz w:val="16"/>
              </w:rPr>
              <w:t> </w:t>
            </w:r>
            <w:r>
              <w:rPr>
                <w:sz w:val="16"/>
              </w:rPr>
              <w:t>costs</w:t>
            </w:r>
            <w:r>
              <w:rPr>
                <w:spacing w:val="22"/>
                <w:sz w:val="16"/>
              </w:rPr>
              <w:t> </w:t>
            </w:r>
            <w:r>
              <w:rPr>
                <w:spacing w:val="-5"/>
                <w:position w:val="3"/>
                <w:sz w:val="14"/>
              </w:rPr>
              <w:t>(4)</w:t>
            </w:r>
          </w:p>
        </w:tc>
        <w:tc>
          <w:tcPr>
            <w:tcW w:w="1101" w:type="dxa"/>
          </w:tcPr>
          <w:p>
            <w:pPr>
              <w:pStyle w:val="TableParagraph"/>
              <w:rPr>
                <w:sz w:val="14"/>
              </w:rPr>
            </w:pPr>
          </w:p>
        </w:tc>
        <w:tc>
          <w:tcPr>
            <w:tcW w:w="802" w:type="dxa"/>
          </w:tcPr>
          <w:p>
            <w:pPr>
              <w:pStyle w:val="TableParagraph"/>
              <w:rPr>
                <w:sz w:val="14"/>
              </w:rPr>
            </w:pPr>
          </w:p>
        </w:tc>
        <w:tc>
          <w:tcPr>
            <w:tcW w:w="1031" w:type="dxa"/>
          </w:tcPr>
          <w:p>
            <w:pPr>
              <w:pStyle w:val="TableParagraph"/>
              <w:spacing w:line="180" w:lineRule="exact" w:before="3"/>
              <w:ind w:right="52"/>
              <w:jc w:val="right"/>
              <w:rPr>
                <w:sz w:val="16"/>
              </w:rPr>
            </w:pPr>
            <w:r>
              <w:rPr>
                <w:spacing w:val="-5"/>
                <w:w w:val="105"/>
                <w:sz w:val="16"/>
              </w:rPr>
              <w:t>159</w:t>
            </w:r>
          </w:p>
        </w:tc>
        <w:tc>
          <w:tcPr>
            <w:tcW w:w="1052" w:type="dxa"/>
          </w:tcPr>
          <w:p>
            <w:pPr>
              <w:pStyle w:val="TableParagraph"/>
              <w:spacing w:line="180" w:lineRule="exact" w:before="3"/>
              <w:ind w:right="72"/>
              <w:jc w:val="right"/>
              <w:rPr>
                <w:sz w:val="16"/>
              </w:rPr>
            </w:pPr>
            <w:r>
              <w:rPr>
                <w:spacing w:val="-5"/>
                <w:w w:val="105"/>
                <w:sz w:val="16"/>
              </w:rPr>
              <w:t>123</w:t>
            </w:r>
          </w:p>
        </w:tc>
        <w:tc>
          <w:tcPr>
            <w:tcW w:w="874" w:type="dxa"/>
          </w:tcPr>
          <w:p>
            <w:pPr>
              <w:pStyle w:val="TableParagraph"/>
              <w:rPr>
                <w:sz w:val="14"/>
              </w:rPr>
            </w:pPr>
          </w:p>
        </w:tc>
        <w:tc>
          <w:tcPr>
            <w:tcW w:w="881" w:type="dxa"/>
          </w:tcPr>
          <w:p>
            <w:pPr>
              <w:pStyle w:val="TableParagraph"/>
              <w:spacing w:line="180" w:lineRule="exact" w:before="3"/>
              <w:ind w:right="-15"/>
              <w:jc w:val="right"/>
              <w:rPr>
                <w:sz w:val="16"/>
              </w:rPr>
            </w:pPr>
            <w:r>
              <w:rPr>
                <w:spacing w:val="-4"/>
                <w:w w:val="105"/>
                <w:sz w:val="16"/>
              </w:rPr>
              <w:t>0.15</w:t>
            </w:r>
          </w:p>
        </w:tc>
      </w:tr>
      <w:tr>
        <w:trPr>
          <w:trHeight w:val="203" w:hRule="atLeast"/>
        </w:trPr>
        <w:tc>
          <w:tcPr>
            <w:tcW w:w="5770" w:type="dxa"/>
            <w:shd w:val="clear" w:color="auto" w:fill="CCEDFF"/>
          </w:tcPr>
          <w:p>
            <w:pPr>
              <w:pStyle w:val="TableParagraph"/>
              <w:spacing w:line="184" w:lineRule="exact"/>
              <w:rPr>
                <w:sz w:val="14"/>
              </w:rPr>
            </w:pPr>
            <w:r>
              <w:rPr>
                <w:w w:val="105"/>
                <w:sz w:val="16"/>
              </w:rPr>
              <w:t>Discrete</w:t>
            </w:r>
            <w:r>
              <w:rPr>
                <w:spacing w:val="-11"/>
                <w:w w:val="105"/>
                <w:sz w:val="16"/>
              </w:rPr>
              <w:t> </w:t>
            </w:r>
            <w:r>
              <w:rPr>
                <w:w w:val="105"/>
                <w:sz w:val="16"/>
              </w:rPr>
              <w:t>tax</w:t>
            </w:r>
            <w:r>
              <w:rPr>
                <w:spacing w:val="-10"/>
                <w:w w:val="105"/>
                <w:sz w:val="16"/>
              </w:rPr>
              <w:t> </w:t>
            </w:r>
            <w:r>
              <w:rPr>
                <w:w w:val="105"/>
                <w:sz w:val="16"/>
              </w:rPr>
              <w:t>items</w:t>
            </w:r>
            <w:r>
              <w:rPr>
                <w:spacing w:val="-10"/>
                <w:w w:val="105"/>
                <w:sz w:val="16"/>
              </w:rPr>
              <w:t> </w:t>
            </w:r>
            <w:r>
              <w:rPr>
                <w:w w:val="105"/>
                <w:sz w:val="16"/>
              </w:rPr>
              <w:t>and</w:t>
            </w:r>
            <w:r>
              <w:rPr>
                <w:spacing w:val="-10"/>
                <w:w w:val="105"/>
                <w:sz w:val="16"/>
              </w:rPr>
              <w:t> </w:t>
            </w:r>
            <w:r>
              <w:rPr>
                <w:w w:val="105"/>
                <w:sz w:val="16"/>
              </w:rPr>
              <w:t>other</w:t>
            </w:r>
            <w:r>
              <w:rPr>
                <w:spacing w:val="-11"/>
                <w:w w:val="105"/>
                <w:sz w:val="16"/>
              </w:rPr>
              <w:t> </w:t>
            </w:r>
            <w:r>
              <w:rPr>
                <w:w w:val="105"/>
                <w:sz w:val="16"/>
              </w:rPr>
              <w:t>tax-related</w:t>
            </w:r>
            <w:r>
              <w:rPr>
                <w:spacing w:val="-10"/>
                <w:w w:val="105"/>
                <w:sz w:val="16"/>
              </w:rPr>
              <w:t> </w:t>
            </w:r>
            <w:r>
              <w:rPr>
                <w:w w:val="105"/>
                <w:sz w:val="16"/>
              </w:rPr>
              <w:t>adjustments</w:t>
            </w:r>
            <w:r>
              <w:rPr>
                <w:spacing w:val="-10"/>
                <w:w w:val="105"/>
                <w:sz w:val="16"/>
              </w:rPr>
              <w:t> </w:t>
            </w:r>
            <w:r>
              <w:rPr>
                <w:spacing w:val="-5"/>
                <w:w w:val="105"/>
                <w:position w:val="3"/>
                <w:sz w:val="14"/>
              </w:rPr>
              <w:t>(5)</w:t>
            </w:r>
          </w:p>
        </w:tc>
        <w:tc>
          <w:tcPr>
            <w:tcW w:w="1101" w:type="dxa"/>
            <w:shd w:val="clear" w:color="auto" w:fill="CCEDFF"/>
          </w:tcPr>
          <w:p>
            <w:pPr>
              <w:pStyle w:val="TableParagraph"/>
              <w:rPr>
                <w:sz w:val="14"/>
              </w:rPr>
            </w:pPr>
          </w:p>
        </w:tc>
        <w:tc>
          <w:tcPr>
            <w:tcW w:w="802" w:type="dxa"/>
            <w:shd w:val="clear" w:color="auto" w:fill="CCEDFF"/>
          </w:tcPr>
          <w:p>
            <w:pPr>
              <w:pStyle w:val="TableParagraph"/>
              <w:rPr>
                <w:sz w:val="14"/>
              </w:rPr>
            </w:pPr>
          </w:p>
        </w:tc>
        <w:tc>
          <w:tcPr>
            <w:tcW w:w="1031" w:type="dxa"/>
            <w:shd w:val="clear" w:color="auto" w:fill="CCEDFF"/>
          </w:tcPr>
          <w:p>
            <w:pPr>
              <w:pStyle w:val="TableParagraph"/>
              <w:rPr>
                <w:sz w:val="14"/>
              </w:rPr>
            </w:pPr>
          </w:p>
        </w:tc>
        <w:tc>
          <w:tcPr>
            <w:tcW w:w="1052" w:type="dxa"/>
            <w:shd w:val="clear" w:color="auto" w:fill="CCEDFF"/>
          </w:tcPr>
          <w:p>
            <w:pPr>
              <w:pStyle w:val="TableParagraph"/>
              <w:spacing w:line="180" w:lineRule="exact" w:before="3"/>
              <w:ind w:right="73"/>
              <w:jc w:val="right"/>
              <w:rPr>
                <w:sz w:val="16"/>
              </w:rPr>
            </w:pPr>
            <w:r>
              <w:rPr>
                <w:spacing w:val="-4"/>
                <w:w w:val="105"/>
                <w:sz w:val="16"/>
              </w:rPr>
              <w:t>(24)</w:t>
            </w:r>
          </w:p>
        </w:tc>
        <w:tc>
          <w:tcPr>
            <w:tcW w:w="874" w:type="dxa"/>
            <w:shd w:val="clear" w:color="auto" w:fill="CCEDFF"/>
          </w:tcPr>
          <w:p>
            <w:pPr>
              <w:pStyle w:val="TableParagraph"/>
              <w:rPr>
                <w:sz w:val="14"/>
              </w:rPr>
            </w:pPr>
          </w:p>
        </w:tc>
        <w:tc>
          <w:tcPr>
            <w:tcW w:w="881" w:type="dxa"/>
            <w:shd w:val="clear" w:color="auto" w:fill="CCEDFF"/>
          </w:tcPr>
          <w:p>
            <w:pPr>
              <w:pStyle w:val="TableParagraph"/>
              <w:spacing w:line="180" w:lineRule="exact" w:before="3"/>
              <w:ind w:right="-15"/>
              <w:jc w:val="right"/>
              <w:rPr>
                <w:sz w:val="16"/>
              </w:rPr>
            </w:pPr>
            <w:r>
              <w:rPr>
                <w:spacing w:val="-2"/>
                <w:w w:val="105"/>
                <w:sz w:val="16"/>
              </w:rPr>
              <w:t>(0.03)</w:t>
            </w:r>
          </w:p>
        </w:tc>
      </w:tr>
      <w:tr>
        <w:trPr>
          <w:trHeight w:val="203" w:hRule="atLeast"/>
        </w:trPr>
        <w:tc>
          <w:tcPr>
            <w:tcW w:w="5770" w:type="dxa"/>
          </w:tcPr>
          <w:p>
            <w:pPr>
              <w:pStyle w:val="TableParagraph"/>
              <w:spacing w:line="184" w:lineRule="exact"/>
              <w:rPr>
                <w:sz w:val="14"/>
              </w:rPr>
            </w:pPr>
            <w:r>
              <w:rPr>
                <w:sz w:val="16"/>
              </w:rPr>
              <w:t>Pension</w:t>
            </w:r>
            <w:r>
              <w:rPr>
                <w:spacing w:val="22"/>
                <w:sz w:val="16"/>
              </w:rPr>
              <w:t> </w:t>
            </w:r>
            <w:r>
              <w:rPr>
                <w:sz w:val="16"/>
              </w:rPr>
              <w:t>mark-to-market</w:t>
            </w:r>
            <w:r>
              <w:rPr>
                <w:spacing w:val="26"/>
                <w:sz w:val="16"/>
              </w:rPr>
              <w:t> </w:t>
            </w:r>
            <w:r>
              <w:rPr>
                <w:sz w:val="16"/>
              </w:rPr>
              <w:t>adjustment</w:t>
            </w:r>
            <w:r>
              <w:rPr>
                <w:spacing w:val="23"/>
                <w:sz w:val="16"/>
              </w:rPr>
              <w:t> </w:t>
            </w:r>
            <w:r>
              <w:rPr>
                <w:spacing w:val="-5"/>
                <w:position w:val="3"/>
                <w:sz w:val="14"/>
              </w:rPr>
              <w:t>(6)</w:t>
            </w:r>
          </w:p>
        </w:tc>
        <w:tc>
          <w:tcPr>
            <w:tcW w:w="1101" w:type="dxa"/>
          </w:tcPr>
          <w:p>
            <w:pPr>
              <w:pStyle w:val="TableParagraph"/>
              <w:rPr>
                <w:sz w:val="14"/>
              </w:rPr>
            </w:pPr>
          </w:p>
        </w:tc>
        <w:tc>
          <w:tcPr>
            <w:tcW w:w="802" w:type="dxa"/>
          </w:tcPr>
          <w:p>
            <w:pPr>
              <w:pStyle w:val="TableParagraph"/>
              <w:rPr>
                <w:sz w:val="14"/>
              </w:rPr>
            </w:pPr>
          </w:p>
        </w:tc>
        <w:tc>
          <w:tcPr>
            <w:tcW w:w="1031" w:type="dxa"/>
          </w:tcPr>
          <w:p>
            <w:pPr>
              <w:pStyle w:val="TableParagraph"/>
              <w:spacing w:line="180" w:lineRule="exact" w:before="3"/>
              <w:ind w:right="52"/>
              <w:jc w:val="right"/>
              <w:rPr>
                <w:sz w:val="16"/>
              </w:rPr>
            </w:pPr>
            <w:r>
              <w:rPr>
                <w:spacing w:val="-5"/>
                <w:w w:val="105"/>
                <w:sz w:val="16"/>
              </w:rPr>
              <w:t>32</w:t>
            </w:r>
          </w:p>
        </w:tc>
        <w:tc>
          <w:tcPr>
            <w:tcW w:w="1052" w:type="dxa"/>
          </w:tcPr>
          <w:p>
            <w:pPr>
              <w:pStyle w:val="TableParagraph"/>
              <w:spacing w:line="180" w:lineRule="exact" w:before="3"/>
              <w:ind w:right="72"/>
              <w:jc w:val="right"/>
              <w:rPr>
                <w:sz w:val="16"/>
              </w:rPr>
            </w:pPr>
            <w:r>
              <w:rPr>
                <w:spacing w:val="-5"/>
                <w:w w:val="105"/>
                <w:sz w:val="16"/>
              </w:rPr>
              <w:t>25</w:t>
            </w:r>
          </w:p>
        </w:tc>
        <w:tc>
          <w:tcPr>
            <w:tcW w:w="874" w:type="dxa"/>
          </w:tcPr>
          <w:p>
            <w:pPr>
              <w:pStyle w:val="TableParagraph"/>
              <w:rPr>
                <w:sz w:val="14"/>
              </w:rPr>
            </w:pPr>
          </w:p>
        </w:tc>
        <w:tc>
          <w:tcPr>
            <w:tcW w:w="881" w:type="dxa"/>
          </w:tcPr>
          <w:p>
            <w:pPr>
              <w:pStyle w:val="TableParagraph"/>
              <w:spacing w:line="180" w:lineRule="exact" w:before="3"/>
              <w:ind w:right="-15"/>
              <w:jc w:val="right"/>
              <w:rPr>
                <w:sz w:val="16"/>
              </w:rPr>
            </w:pPr>
            <w:r>
              <w:rPr>
                <w:spacing w:val="-4"/>
                <w:w w:val="105"/>
                <w:sz w:val="16"/>
              </w:rPr>
              <w:t>0.03</w:t>
            </w:r>
          </w:p>
        </w:tc>
      </w:tr>
      <w:tr>
        <w:trPr>
          <w:trHeight w:val="203" w:hRule="atLeast"/>
        </w:trPr>
        <w:tc>
          <w:tcPr>
            <w:tcW w:w="5770" w:type="dxa"/>
            <w:shd w:val="clear" w:color="auto" w:fill="CCEDFF"/>
          </w:tcPr>
          <w:p>
            <w:pPr>
              <w:pStyle w:val="TableParagraph"/>
              <w:spacing w:line="184" w:lineRule="exact"/>
              <w:rPr>
                <w:sz w:val="14"/>
              </w:rPr>
            </w:pPr>
            <w:r>
              <w:rPr>
                <w:sz w:val="16"/>
              </w:rPr>
              <w:t>Restructuring,</w:t>
            </w:r>
            <w:r>
              <w:rPr>
                <w:spacing w:val="14"/>
                <w:sz w:val="16"/>
              </w:rPr>
              <w:t> </w:t>
            </w:r>
            <w:r>
              <w:rPr>
                <w:sz w:val="16"/>
              </w:rPr>
              <w:t>impairment</w:t>
            </w:r>
            <w:r>
              <w:rPr>
                <w:spacing w:val="15"/>
                <w:sz w:val="16"/>
              </w:rPr>
              <w:t> </w:t>
            </w:r>
            <w:r>
              <w:rPr>
                <w:sz w:val="16"/>
              </w:rPr>
              <w:t>and</w:t>
            </w:r>
            <w:r>
              <w:rPr>
                <w:spacing w:val="14"/>
                <w:sz w:val="16"/>
              </w:rPr>
              <w:t> </w:t>
            </w:r>
            <w:r>
              <w:rPr>
                <w:sz w:val="16"/>
              </w:rPr>
              <w:t>other</w:t>
            </w:r>
            <w:r>
              <w:rPr>
                <w:spacing w:val="15"/>
                <w:sz w:val="16"/>
              </w:rPr>
              <w:t> </w:t>
            </w:r>
            <w:r>
              <w:rPr>
                <w:sz w:val="16"/>
              </w:rPr>
              <w:t>charges</w:t>
            </w:r>
            <w:r>
              <w:rPr>
                <w:spacing w:val="14"/>
                <w:sz w:val="16"/>
              </w:rPr>
              <w:t> </w:t>
            </w:r>
            <w:r>
              <w:rPr>
                <w:sz w:val="16"/>
              </w:rPr>
              <w:t>and</w:t>
            </w:r>
            <w:r>
              <w:rPr>
                <w:spacing w:val="15"/>
                <w:sz w:val="16"/>
              </w:rPr>
              <w:t> </w:t>
            </w:r>
            <w:r>
              <w:rPr>
                <w:sz w:val="16"/>
              </w:rPr>
              <w:t>credits</w:t>
            </w:r>
            <w:r>
              <w:rPr>
                <w:spacing w:val="14"/>
                <w:sz w:val="16"/>
              </w:rPr>
              <w:t> </w:t>
            </w:r>
            <w:r>
              <w:rPr>
                <w:spacing w:val="-5"/>
                <w:position w:val="3"/>
                <w:sz w:val="14"/>
              </w:rPr>
              <w:t>(7)</w:t>
            </w:r>
          </w:p>
        </w:tc>
        <w:tc>
          <w:tcPr>
            <w:tcW w:w="1101" w:type="dxa"/>
            <w:shd w:val="clear" w:color="auto" w:fill="CCEDFF"/>
          </w:tcPr>
          <w:p>
            <w:pPr>
              <w:pStyle w:val="TableParagraph"/>
              <w:rPr>
                <w:sz w:val="14"/>
              </w:rPr>
            </w:pPr>
          </w:p>
        </w:tc>
        <w:tc>
          <w:tcPr>
            <w:tcW w:w="802" w:type="dxa"/>
            <w:shd w:val="clear" w:color="auto" w:fill="CCEDFF"/>
          </w:tcPr>
          <w:p>
            <w:pPr>
              <w:pStyle w:val="TableParagraph"/>
              <w:rPr>
                <w:sz w:val="14"/>
              </w:rPr>
            </w:pPr>
          </w:p>
        </w:tc>
        <w:tc>
          <w:tcPr>
            <w:tcW w:w="1031" w:type="dxa"/>
            <w:shd w:val="clear" w:color="auto" w:fill="CCEDFF"/>
          </w:tcPr>
          <w:p>
            <w:pPr>
              <w:pStyle w:val="TableParagraph"/>
              <w:spacing w:line="180" w:lineRule="exact" w:before="3"/>
              <w:ind w:right="52"/>
              <w:jc w:val="right"/>
              <w:rPr>
                <w:sz w:val="16"/>
              </w:rPr>
            </w:pPr>
            <w:r>
              <w:rPr>
                <w:spacing w:val="-5"/>
                <w:w w:val="105"/>
                <w:sz w:val="16"/>
              </w:rPr>
              <w:t>110</w:t>
            </w:r>
          </w:p>
        </w:tc>
        <w:tc>
          <w:tcPr>
            <w:tcW w:w="1052" w:type="dxa"/>
            <w:shd w:val="clear" w:color="auto" w:fill="CCEDFF"/>
          </w:tcPr>
          <w:p>
            <w:pPr>
              <w:pStyle w:val="TableParagraph"/>
              <w:spacing w:line="180" w:lineRule="exact" w:before="3"/>
              <w:ind w:right="72"/>
              <w:jc w:val="right"/>
              <w:rPr>
                <w:sz w:val="16"/>
              </w:rPr>
            </w:pPr>
            <w:r>
              <w:rPr>
                <w:spacing w:val="-5"/>
                <w:w w:val="105"/>
                <w:sz w:val="16"/>
              </w:rPr>
              <w:t>78</w:t>
            </w:r>
          </w:p>
        </w:tc>
        <w:tc>
          <w:tcPr>
            <w:tcW w:w="874" w:type="dxa"/>
            <w:shd w:val="clear" w:color="auto" w:fill="CCEDFF"/>
          </w:tcPr>
          <w:p>
            <w:pPr>
              <w:pStyle w:val="TableParagraph"/>
              <w:rPr>
                <w:sz w:val="14"/>
              </w:rPr>
            </w:pPr>
          </w:p>
        </w:tc>
        <w:tc>
          <w:tcPr>
            <w:tcW w:w="881" w:type="dxa"/>
            <w:shd w:val="clear" w:color="auto" w:fill="CCEDFF"/>
          </w:tcPr>
          <w:p>
            <w:pPr>
              <w:pStyle w:val="TableParagraph"/>
              <w:spacing w:line="180" w:lineRule="exact" w:before="3"/>
              <w:ind w:right="-15"/>
              <w:jc w:val="right"/>
              <w:rPr>
                <w:sz w:val="16"/>
              </w:rPr>
            </w:pPr>
            <w:r>
              <w:rPr>
                <w:spacing w:val="-4"/>
                <w:w w:val="105"/>
                <w:sz w:val="16"/>
              </w:rPr>
              <w:t>0.09</w:t>
            </w:r>
          </w:p>
        </w:tc>
      </w:tr>
      <w:tr>
        <w:trPr>
          <w:trHeight w:val="203" w:hRule="atLeast"/>
        </w:trPr>
        <w:tc>
          <w:tcPr>
            <w:tcW w:w="5770" w:type="dxa"/>
          </w:tcPr>
          <w:p>
            <w:pPr>
              <w:pStyle w:val="TableParagraph"/>
              <w:spacing w:line="184" w:lineRule="exact"/>
              <w:rPr>
                <w:sz w:val="14"/>
              </w:rPr>
            </w:pPr>
            <w:r>
              <w:rPr>
                <w:w w:val="105"/>
                <w:sz w:val="16"/>
              </w:rPr>
              <w:t>Litigation,</w:t>
            </w:r>
            <w:r>
              <w:rPr>
                <w:spacing w:val="-11"/>
                <w:w w:val="105"/>
                <w:sz w:val="16"/>
              </w:rPr>
              <w:t> </w:t>
            </w:r>
            <w:r>
              <w:rPr>
                <w:w w:val="105"/>
                <w:sz w:val="16"/>
              </w:rPr>
              <w:t>regulatory</w:t>
            </w:r>
            <w:r>
              <w:rPr>
                <w:spacing w:val="-10"/>
                <w:w w:val="105"/>
                <w:sz w:val="16"/>
              </w:rPr>
              <w:t> </w:t>
            </w:r>
            <w:r>
              <w:rPr>
                <w:w w:val="105"/>
                <w:sz w:val="16"/>
              </w:rPr>
              <w:t>and</w:t>
            </w:r>
            <w:r>
              <w:rPr>
                <w:spacing w:val="-11"/>
                <w:w w:val="105"/>
                <w:sz w:val="16"/>
              </w:rPr>
              <w:t> </w:t>
            </w:r>
            <w:r>
              <w:rPr>
                <w:w w:val="105"/>
                <w:sz w:val="16"/>
              </w:rPr>
              <w:t>other</w:t>
            </w:r>
            <w:r>
              <w:rPr>
                <w:spacing w:val="-10"/>
                <w:w w:val="105"/>
                <w:sz w:val="16"/>
              </w:rPr>
              <w:t> </w:t>
            </w:r>
            <w:r>
              <w:rPr>
                <w:w w:val="105"/>
                <w:sz w:val="16"/>
              </w:rPr>
              <w:t>legal</w:t>
            </w:r>
            <w:r>
              <w:rPr>
                <w:spacing w:val="-10"/>
                <w:w w:val="105"/>
                <w:sz w:val="16"/>
              </w:rPr>
              <w:t> </w:t>
            </w:r>
            <w:r>
              <w:rPr>
                <w:w w:val="105"/>
                <w:sz w:val="16"/>
              </w:rPr>
              <w:t>matters</w:t>
            </w:r>
            <w:r>
              <w:rPr>
                <w:spacing w:val="-11"/>
                <w:w w:val="105"/>
                <w:sz w:val="16"/>
              </w:rPr>
              <w:t> </w:t>
            </w:r>
            <w:r>
              <w:rPr>
                <w:spacing w:val="-5"/>
                <w:w w:val="105"/>
                <w:position w:val="3"/>
                <w:sz w:val="14"/>
              </w:rPr>
              <w:t>(8)</w:t>
            </w:r>
          </w:p>
        </w:tc>
        <w:tc>
          <w:tcPr>
            <w:tcW w:w="1101" w:type="dxa"/>
          </w:tcPr>
          <w:p>
            <w:pPr>
              <w:pStyle w:val="TableParagraph"/>
              <w:rPr>
                <w:sz w:val="14"/>
              </w:rPr>
            </w:pPr>
          </w:p>
        </w:tc>
        <w:tc>
          <w:tcPr>
            <w:tcW w:w="802" w:type="dxa"/>
          </w:tcPr>
          <w:p>
            <w:pPr>
              <w:pStyle w:val="TableParagraph"/>
              <w:rPr>
                <w:sz w:val="14"/>
              </w:rPr>
            </w:pPr>
          </w:p>
        </w:tc>
        <w:tc>
          <w:tcPr>
            <w:tcW w:w="1031" w:type="dxa"/>
          </w:tcPr>
          <w:p>
            <w:pPr>
              <w:pStyle w:val="TableParagraph"/>
              <w:spacing w:line="180" w:lineRule="exact" w:before="3"/>
              <w:ind w:right="52"/>
              <w:jc w:val="right"/>
              <w:rPr>
                <w:sz w:val="16"/>
              </w:rPr>
            </w:pPr>
            <w:r>
              <w:rPr>
                <w:spacing w:val="-5"/>
                <w:w w:val="105"/>
                <w:sz w:val="16"/>
              </w:rPr>
              <w:t>16</w:t>
            </w:r>
          </w:p>
        </w:tc>
        <w:tc>
          <w:tcPr>
            <w:tcW w:w="1052" w:type="dxa"/>
          </w:tcPr>
          <w:p>
            <w:pPr>
              <w:pStyle w:val="TableParagraph"/>
              <w:spacing w:line="180" w:lineRule="exact" w:before="3"/>
              <w:ind w:right="72"/>
              <w:jc w:val="right"/>
              <w:rPr>
                <w:sz w:val="16"/>
              </w:rPr>
            </w:pPr>
            <w:r>
              <w:rPr>
                <w:spacing w:val="-5"/>
                <w:w w:val="105"/>
                <w:sz w:val="16"/>
              </w:rPr>
              <w:t>27</w:t>
            </w:r>
          </w:p>
        </w:tc>
        <w:tc>
          <w:tcPr>
            <w:tcW w:w="874" w:type="dxa"/>
          </w:tcPr>
          <w:p>
            <w:pPr>
              <w:pStyle w:val="TableParagraph"/>
              <w:rPr>
                <w:sz w:val="14"/>
              </w:rPr>
            </w:pPr>
          </w:p>
        </w:tc>
        <w:tc>
          <w:tcPr>
            <w:tcW w:w="881" w:type="dxa"/>
          </w:tcPr>
          <w:p>
            <w:pPr>
              <w:pStyle w:val="TableParagraph"/>
              <w:spacing w:line="180" w:lineRule="exact" w:before="3"/>
              <w:ind w:right="-15"/>
              <w:jc w:val="right"/>
              <w:rPr>
                <w:sz w:val="16"/>
              </w:rPr>
            </w:pPr>
            <w:r>
              <w:rPr>
                <w:spacing w:val="-4"/>
                <w:w w:val="105"/>
                <w:sz w:val="16"/>
              </w:rPr>
              <w:t>0.03</w:t>
            </w:r>
          </w:p>
        </w:tc>
      </w:tr>
      <w:tr>
        <w:trPr>
          <w:trHeight w:val="203" w:hRule="atLeast"/>
        </w:trPr>
        <w:tc>
          <w:tcPr>
            <w:tcW w:w="5770" w:type="dxa"/>
            <w:shd w:val="clear" w:color="auto" w:fill="CCEDFF"/>
          </w:tcPr>
          <w:p>
            <w:pPr>
              <w:pStyle w:val="TableParagraph"/>
              <w:spacing w:line="184" w:lineRule="exact"/>
              <w:rPr>
                <w:sz w:val="14"/>
              </w:rPr>
            </w:pPr>
            <w:r>
              <w:rPr>
                <w:sz w:val="16"/>
              </w:rPr>
              <w:t>Preferred</w:t>
            </w:r>
            <w:r>
              <w:rPr>
                <w:spacing w:val="17"/>
                <w:sz w:val="16"/>
              </w:rPr>
              <w:t> </w:t>
            </w:r>
            <w:r>
              <w:rPr>
                <w:sz w:val="16"/>
              </w:rPr>
              <w:t>stock</w:t>
            </w:r>
            <w:r>
              <w:rPr>
                <w:spacing w:val="17"/>
                <w:sz w:val="16"/>
              </w:rPr>
              <w:t> </w:t>
            </w:r>
            <w:r>
              <w:rPr>
                <w:sz w:val="16"/>
              </w:rPr>
              <w:t>conversion</w:t>
            </w:r>
            <w:r>
              <w:rPr>
                <w:spacing w:val="20"/>
                <w:sz w:val="16"/>
              </w:rPr>
              <w:t> </w:t>
            </w:r>
            <w:r>
              <w:rPr>
                <w:spacing w:val="-5"/>
                <w:position w:val="3"/>
                <w:sz w:val="14"/>
              </w:rPr>
              <w:t>(9)</w:t>
            </w:r>
          </w:p>
        </w:tc>
        <w:tc>
          <w:tcPr>
            <w:tcW w:w="1101" w:type="dxa"/>
            <w:shd w:val="clear" w:color="auto" w:fill="CCEDFF"/>
          </w:tcPr>
          <w:p>
            <w:pPr>
              <w:pStyle w:val="TableParagraph"/>
              <w:rPr>
                <w:sz w:val="14"/>
              </w:rPr>
            </w:pPr>
          </w:p>
        </w:tc>
        <w:tc>
          <w:tcPr>
            <w:tcW w:w="802" w:type="dxa"/>
            <w:shd w:val="clear" w:color="auto" w:fill="CCEDFF"/>
          </w:tcPr>
          <w:p>
            <w:pPr>
              <w:pStyle w:val="TableParagraph"/>
              <w:rPr>
                <w:sz w:val="14"/>
              </w:rPr>
            </w:pPr>
          </w:p>
        </w:tc>
        <w:tc>
          <w:tcPr>
            <w:tcW w:w="1031" w:type="dxa"/>
            <w:shd w:val="clear" w:color="auto" w:fill="CCEDFF"/>
          </w:tcPr>
          <w:p>
            <w:pPr>
              <w:pStyle w:val="TableParagraph"/>
              <w:spacing w:line="180" w:lineRule="exact" w:before="3"/>
              <w:ind w:right="52"/>
              <w:jc w:val="right"/>
              <w:rPr>
                <w:sz w:val="16"/>
              </w:rPr>
            </w:pPr>
            <w:r>
              <w:rPr>
                <w:spacing w:val="-5"/>
                <w:w w:val="105"/>
                <w:sz w:val="16"/>
              </w:rPr>
              <w:t>17</w:t>
            </w:r>
          </w:p>
        </w:tc>
        <w:tc>
          <w:tcPr>
            <w:tcW w:w="1052" w:type="dxa"/>
            <w:shd w:val="clear" w:color="auto" w:fill="CCEDFF"/>
          </w:tcPr>
          <w:p>
            <w:pPr>
              <w:pStyle w:val="TableParagraph"/>
              <w:spacing w:line="180" w:lineRule="exact" w:before="3"/>
              <w:ind w:right="72"/>
              <w:jc w:val="right"/>
              <w:rPr>
                <w:sz w:val="16"/>
              </w:rPr>
            </w:pPr>
            <w:r>
              <w:rPr>
                <w:spacing w:val="-5"/>
                <w:w w:val="105"/>
                <w:sz w:val="16"/>
              </w:rPr>
              <w:t>17</w:t>
            </w:r>
          </w:p>
        </w:tc>
        <w:tc>
          <w:tcPr>
            <w:tcW w:w="874" w:type="dxa"/>
            <w:shd w:val="clear" w:color="auto" w:fill="CCEDFF"/>
          </w:tcPr>
          <w:p>
            <w:pPr>
              <w:pStyle w:val="TableParagraph"/>
              <w:rPr>
                <w:sz w:val="14"/>
              </w:rPr>
            </w:pPr>
          </w:p>
        </w:tc>
        <w:tc>
          <w:tcPr>
            <w:tcW w:w="881" w:type="dxa"/>
            <w:shd w:val="clear" w:color="auto" w:fill="CCEDFF"/>
          </w:tcPr>
          <w:p>
            <w:pPr>
              <w:pStyle w:val="TableParagraph"/>
              <w:spacing w:line="180" w:lineRule="exact" w:before="3"/>
              <w:ind w:right="-15"/>
              <w:jc w:val="right"/>
              <w:rPr>
                <w:sz w:val="16"/>
              </w:rPr>
            </w:pPr>
            <w:r>
              <w:rPr>
                <w:spacing w:val="-4"/>
                <w:w w:val="105"/>
                <w:sz w:val="16"/>
              </w:rPr>
              <w:t>0.02</w:t>
            </w:r>
          </w:p>
        </w:tc>
      </w:tr>
      <w:tr>
        <w:trPr>
          <w:trHeight w:val="203" w:hRule="atLeast"/>
        </w:trPr>
        <w:tc>
          <w:tcPr>
            <w:tcW w:w="5770" w:type="dxa"/>
          </w:tcPr>
          <w:p>
            <w:pPr>
              <w:pStyle w:val="TableParagraph"/>
              <w:spacing w:line="184" w:lineRule="exact"/>
              <w:rPr>
                <w:sz w:val="14"/>
              </w:rPr>
            </w:pPr>
            <w:r>
              <w:rPr>
                <w:sz w:val="16"/>
              </w:rPr>
              <w:t>Bond</w:t>
            </w:r>
            <w:r>
              <w:rPr>
                <w:spacing w:val="13"/>
                <w:sz w:val="16"/>
              </w:rPr>
              <w:t> </w:t>
            </w:r>
            <w:r>
              <w:rPr>
                <w:sz w:val="16"/>
              </w:rPr>
              <w:t>redemption</w:t>
            </w:r>
            <w:r>
              <w:rPr>
                <w:spacing w:val="13"/>
                <w:sz w:val="16"/>
              </w:rPr>
              <w:t> </w:t>
            </w:r>
            <w:r>
              <w:rPr>
                <w:sz w:val="16"/>
              </w:rPr>
              <w:t>loss</w:t>
            </w:r>
            <w:r>
              <w:rPr>
                <w:spacing w:val="14"/>
                <w:sz w:val="16"/>
              </w:rPr>
              <w:t> </w:t>
            </w:r>
            <w:r>
              <w:rPr>
                <w:spacing w:val="-4"/>
                <w:position w:val="3"/>
                <w:sz w:val="14"/>
              </w:rPr>
              <w:t>(10)</w:t>
            </w:r>
          </w:p>
        </w:tc>
        <w:tc>
          <w:tcPr>
            <w:tcW w:w="1101" w:type="dxa"/>
          </w:tcPr>
          <w:p>
            <w:pPr>
              <w:pStyle w:val="TableParagraph"/>
              <w:rPr>
                <w:sz w:val="14"/>
              </w:rPr>
            </w:pPr>
          </w:p>
        </w:tc>
        <w:tc>
          <w:tcPr>
            <w:tcW w:w="802" w:type="dxa"/>
          </w:tcPr>
          <w:p>
            <w:pPr>
              <w:pStyle w:val="TableParagraph"/>
              <w:rPr>
                <w:sz w:val="14"/>
              </w:rPr>
            </w:pPr>
          </w:p>
        </w:tc>
        <w:tc>
          <w:tcPr>
            <w:tcW w:w="1031" w:type="dxa"/>
          </w:tcPr>
          <w:p>
            <w:pPr>
              <w:pStyle w:val="TableParagraph"/>
              <w:spacing w:line="180" w:lineRule="exact" w:before="3"/>
              <w:ind w:right="52"/>
              <w:jc w:val="right"/>
              <w:rPr>
                <w:sz w:val="16"/>
              </w:rPr>
            </w:pPr>
            <w:r>
              <w:rPr>
                <w:spacing w:val="-5"/>
                <w:w w:val="105"/>
                <w:sz w:val="16"/>
              </w:rPr>
              <w:t>31</w:t>
            </w:r>
          </w:p>
        </w:tc>
        <w:tc>
          <w:tcPr>
            <w:tcW w:w="1052" w:type="dxa"/>
          </w:tcPr>
          <w:p>
            <w:pPr>
              <w:pStyle w:val="TableParagraph"/>
              <w:spacing w:line="180" w:lineRule="exact" w:before="3"/>
              <w:ind w:right="72"/>
              <w:jc w:val="right"/>
              <w:rPr>
                <w:sz w:val="16"/>
              </w:rPr>
            </w:pPr>
            <w:r>
              <w:rPr>
                <w:spacing w:val="-5"/>
                <w:w w:val="105"/>
                <w:sz w:val="16"/>
              </w:rPr>
              <w:t>23</w:t>
            </w:r>
          </w:p>
        </w:tc>
        <w:tc>
          <w:tcPr>
            <w:tcW w:w="874" w:type="dxa"/>
          </w:tcPr>
          <w:p>
            <w:pPr>
              <w:pStyle w:val="TableParagraph"/>
              <w:rPr>
                <w:sz w:val="14"/>
              </w:rPr>
            </w:pPr>
          </w:p>
        </w:tc>
        <w:tc>
          <w:tcPr>
            <w:tcW w:w="881" w:type="dxa"/>
          </w:tcPr>
          <w:p>
            <w:pPr>
              <w:pStyle w:val="TableParagraph"/>
              <w:spacing w:line="180" w:lineRule="exact" w:before="3"/>
              <w:ind w:right="-15"/>
              <w:jc w:val="right"/>
              <w:rPr>
                <w:sz w:val="16"/>
              </w:rPr>
            </w:pPr>
            <w:r>
              <w:rPr>
                <w:spacing w:val="-4"/>
                <w:w w:val="105"/>
                <w:sz w:val="16"/>
              </w:rPr>
              <w:t>0.03</w:t>
            </w:r>
          </w:p>
        </w:tc>
      </w:tr>
      <w:tr>
        <w:trPr>
          <w:trHeight w:val="203" w:hRule="atLeast"/>
        </w:trPr>
        <w:tc>
          <w:tcPr>
            <w:tcW w:w="5770" w:type="dxa"/>
            <w:shd w:val="clear" w:color="auto" w:fill="CCEDFF"/>
          </w:tcPr>
          <w:p>
            <w:pPr>
              <w:pStyle w:val="TableParagraph"/>
              <w:spacing w:line="184" w:lineRule="exact"/>
              <w:rPr>
                <w:sz w:val="14"/>
              </w:rPr>
            </w:pPr>
            <w:r>
              <w:rPr>
                <w:sz w:val="16"/>
              </w:rPr>
              <w:t>Loss</w:t>
            </w:r>
            <w:r>
              <w:rPr>
                <w:spacing w:val="11"/>
                <w:sz w:val="16"/>
              </w:rPr>
              <w:t> </w:t>
            </w:r>
            <w:r>
              <w:rPr>
                <w:sz w:val="16"/>
              </w:rPr>
              <w:t>on</w:t>
            </w:r>
            <w:r>
              <w:rPr>
                <w:spacing w:val="12"/>
                <w:sz w:val="16"/>
              </w:rPr>
              <w:t> </w:t>
            </w:r>
            <w:r>
              <w:rPr>
                <w:sz w:val="16"/>
              </w:rPr>
              <w:t>investment</w:t>
            </w:r>
            <w:r>
              <w:rPr>
                <w:spacing w:val="12"/>
                <w:sz w:val="16"/>
              </w:rPr>
              <w:t> </w:t>
            </w:r>
            <w:r>
              <w:rPr>
                <w:spacing w:val="-4"/>
                <w:position w:val="3"/>
                <w:sz w:val="14"/>
              </w:rPr>
              <w:t>(11)</w:t>
            </w:r>
          </w:p>
        </w:tc>
        <w:tc>
          <w:tcPr>
            <w:tcW w:w="1101" w:type="dxa"/>
            <w:shd w:val="clear" w:color="auto" w:fill="CCEDFF"/>
          </w:tcPr>
          <w:p>
            <w:pPr>
              <w:pStyle w:val="TableParagraph"/>
              <w:rPr>
                <w:sz w:val="14"/>
              </w:rPr>
            </w:pPr>
          </w:p>
        </w:tc>
        <w:tc>
          <w:tcPr>
            <w:tcW w:w="802" w:type="dxa"/>
            <w:shd w:val="clear" w:color="auto" w:fill="CCEDFF"/>
          </w:tcPr>
          <w:p>
            <w:pPr>
              <w:pStyle w:val="TableParagraph"/>
              <w:rPr>
                <w:sz w:val="14"/>
              </w:rPr>
            </w:pPr>
          </w:p>
        </w:tc>
        <w:tc>
          <w:tcPr>
            <w:tcW w:w="1031" w:type="dxa"/>
            <w:shd w:val="clear" w:color="auto" w:fill="CCEDFF"/>
          </w:tcPr>
          <w:p>
            <w:pPr>
              <w:pStyle w:val="TableParagraph"/>
              <w:spacing w:line="180" w:lineRule="exact" w:before="3"/>
              <w:ind w:right="52"/>
              <w:jc w:val="right"/>
              <w:rPr>
                <w:sz w:val="16"/>
              </w:rPr>
            </w:pPr>
            <w:r>
              <w:rPr>
                <w:spacing w:val="-5"/>
                <w:w w:val="105"/>
                <w:sz w:val="16"/>
              </w:rPr>
              <w:t>23</w:t>
            </w:r>
          </w:p>
        </w:tc>
        <w:tc>
          <w:tcPr>
            <w:tcW w:w="1052" w:type="dxa"/>
            <w:shd w:val="clear" w:color="auto" w:fill="CCEDFF"/>
          </w:tcPr>
          <w:p>
            <w:pPr>
              <w:pStyle w:val="TableParagraph"/>
              <w:spacing w:line="180" w:lineRule="exact" w:before="3"/>
              <w:ind w:right="72"/>
              <w:jc w:val="right"/>
              <w:rPr>
                <w:sz w:val="16"/>
              </w:rPr>
            </w:pPr>
            <w:r>
              <w:rPr>
                <w:spacing w:val="-5"/>
                <w:w w:val="105"/>
                <w:sz w:val="16"/>
              </w:rPr>
              <w:t>17</w:t>
            </w:r>
          </w:p>
        </w:tc>
        <w:tc>
          <w:tcPr>
            <w:tcW w:w="874" w:type="dxa"/>
            <w:shd w:val="clear" w:color="auto" w:fill="CCEDFF"/>
          </w:tcPr>
          <w:p>
            <w:pPr>
              <w:pStyle w:val="TableParagraph"/>
              <w:rPr>
                <w:sz w:val="14"/>
              </w:rPr>
            </w:pPr>
          </w:p>
        </w:tc>
        <w:tc>
          <w:tcPr>
            <w:tcW w:w="881" w:type="dxa"/>
            <w:shd w:val="clear" w:color="auto" w:fill="CCEDFF"/>
          </w:tcPr>
          <w:p>
            <w:pPr>
              <w:pStyle w:val="TableParagraph"/>
              <w:spacing w:line="180" w:lineRule="exact" w:before="3"/>
              <w:ind w:right="-15"/>
              <w:jc w:val="right"/>
              <w:rPr>
                <w:sz w:val="16"/>
              </w:rPr>
            </w:pPr>
            <w:r>
              <w:rPr>
                <w:spacing w:val="-4"/>
                <w:w w:val="105"/>
                <w:sz w:val="16"/>
              </w:rPr>
              <w:t>0.02</w:t>
            </w:r>
          </w:p>
        </w:tc>
      </w:tr>
      <w:tr>
        <w:trPr>
          <w:trHeight w:val="188" w:hRule="atLeast"/>
        </w:trPr>
        <w:tc>
          <w:tcPr>
            <w:tcW w:w="5770" w:type="dxa"/>
          </w:tcPr>
          <w:p>
            <w:pPr>
              <w:pStyle w:val="TableParagraph"/>
              <w:spacing w:line="169" w:lineRule="exact"/>
              <w:rPr>
                <w:sz w:val="14"/>
              </w:rPr>
            </w:pPr>
            <w:r>
              <w:rPr>
                <w:w w:val="105"/>
                <w:sz w:val="16"/>
              </w:rPr>
              <w:t>Gain</w:t>
            </w:r>
            <w:r>
              <w:rPr>
                <w:spacing w:val="-8"/>
                <w:w w:val="105"/>
                <w:sz w:val="16"/>
              </w:rPr>
              <w:t> </w:t>
            </w:r>
            <w:r>
              <w:rPr>
                <w:w w:val="105"/>
                <w:sz w:val="16"/>
              </w:rPr>
              <w:t>on</w:t>
            </w:r>
            <w:r>
              <w:rPr>
                <w:spacing w:val="-8"/>
                <w:w w:val="105"/>
                <w:sz w:val="16"/>
              </w:rPr>
              <w:t> </w:t>
            </w:r>
            <w:r>
              <w:rPr>
                <w:w w:val="105"/>
                <w:sz w:val="16"/>
              </w:rPr>
              <w:t>sale</w:t>
            </w:r>
            <w:r>
              <w:rPr>
                <w:spacing w:val="-8"/>
                <w:w w:val="105"/>
                <w:sz w:val="16"/>
              </w:rPr>
              <w:t> </w:t>
            </w:r>
            <w:r>
              <w:rPr>
                <w:w w:val="105"/>
                <w:sz w:val="16"/>
              </w:rPr>
              <w:t>of</w:t>
            </w:r>
            <w:r>
              <w:rPr>
                <w:spacing w:val="-8"/>
                <w:w w:val="105"/>
                <w:sz w:val="16"/>
              </w:rPr>
              <w:t> </w:t>
            </w:r>
            <w:r>
              <w:rPr>
                <w:w w:val="105"/>
                <w:sz w:val="16"/>
              </w:rPr>
              <w:t>business</w:t>
            </w:r>
            <w:r>
              <w:rPr>
                <w:spacing w:val="-7"/>
                <w:w w:val="105"/>
                <w:sz w:val="16"/>
              </w:rPr>
              <w:t> </w:t>
            </w:r>
            <w:r>
              <w:rPr>
                <w:spacing w:val="-4"/>
                <w:w w:val="105"/>
                <w:position w:val="3"/>
                <w:sz w:val="14"/>
              </w:rPr>
              <w:t>(12)</w:t>
            </w:r>
          </w:p>
        </w:tc>
        <w:tc>
          <w:tcPr>
            <w:tcW w:w="1101" w:type="dxa"/>
          </w:tcPr>
          <w:p>
            <w:pPr>
              <w:pStyle w:val="TableParagraph"/>
              <w:rPr>
                <w:sz w:val="12"/>
              </w:rPr>
            </w:pPr>
          </w:p>
        </w:tc>
        <w:tc>
          <w:tcPr>
            <w:tcW w:w="802" w:type="dxa"/>
          </w:tcPr>
          <w:p>
            <w:pPr>
              <w:pStyle w:val="TableParagraph"/>
              <w:rPr>
                <w:sz w:val="12"/>
              </w:rPr>
            </w:pPr>
          </w:p>
        </w:tc>
        <w:tc>
          <w:tcPr>
            <w:tcW w:w="1031" w:type="dxa"/>
          </w:tcPr>
          <w:p>
            <w:pPr>
              <w:pStyle w:val="TableParagraph"/>
              <w:spacing w:line="165" w:lineRule="exact" w:before="3"/>
              <w:ind w:right="53"/>
              <w:jc w:val="right"/>
              <w:rPr>
                <w:sz w:val="16"/>
              </w:rPr>
            </w:pPr>
            <w:r>
              <w:rPr>
                <w:spacing w:val="-4"/>
                <w:w w:val="105"/>
                <w:sz w:val="16"/>
              </w:rPr>
              <w:t>(54)</w:t>
            </w:r>
          </w:p>
        </w:tc>
        <w:tc>
          <w:tcPr>
            <w:tcW w:w="1052" w:type="dxa"/>
          </w:tcPr>
          <w:p>
            <w:pPr>
              <w:pStyle w:val="TableParagraph"/>
              <w:spacing w:line="165" w:lineRule="exact" w:before="3"/>
              <w:ind w:right="73"/>
              <w:jc w:val="right"/>
              <w:rPr>
                <w:sz w:val="16"/>
              </w:rPr>
            </w:pPr>
            <w:r>
              <w:rPr>
                <w:spacing w:val="-4"/>
                <w:w w:val="105"/>
                <w:sz w:val="16"/>
              </w:rPr>
              <w:t>(46)</w:t>
            </w:r>
          </w:p>
        </w:tc>
        <w:tc>
          <w:tcPr>
            <w:tcW w:w="874" w:type="dxa"/>
          </w:tcPr>
          <w:p>
            <w:pPr>
              <w:pStyle w:val="TableParagraph"/>
              <w:rPr>
                <w:sz w:val="12"/>
              </w:rPr>
            </w:pPr>
          </w:p>
        </w:tc>
        <w:tc>
          <w:tcPr>
            <w:tcW w:w="881" w:type="dxa"/>
          </w:tcPr>
          <w:p>
            <w:pPr>
              <w:pStyle w:val="TableParagraph"/>
              <w:spacing w:line="165" w:lineRule="exact" w:before="3"/>
              <w:ind w:right="-15"/>
              <w:jc w:val="right"/>
              <w:rPr>
                <w:sz w:val="16"/>
              </w:rPr>
            </w:pPr>
            <w:r>
              <w:rPr>
                <w:spacing w:val="-2"/>
                <w:w w:val="105"/>
                <w:sz w:val="16"/>
              </w:rPr>
              <w:t>(0.05)</w:t>
            </w:r>
          </w:p>
        </w:tc>
      </w:tr>
    </w:tbl>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6"/>
        <w:gridCol w:w="3416"/>
        <w:gridCol w:w="385"/>
        <w:gridCol w:w="344"/>
        <w:gridCol w:w="688"/>
        <w:gridCol w:w="344"/>
        <w:gridCol w:w="839"/>
        <w:gridCol w:w="730"/>
        <w:gridCol w:w="954"/>
      </w:tblGrid>
      <w:tr>
        <w:trPr>
          <w:trHeight w:val="199" w:hRule="atLeast"/>
        </w:trPr>
        <w:tc>
          <w:tcPr>
            <w:tcW w:w="3816" w:type="dxa"/>
            <w:tcBorders>
              <w:top w:val="single" w:sz="6" w:space="0" w:color="000000"/>
              <w:bottom w:val="double" w:sz="6" w:space="0" w:color="000000"/>
            </w:tcBorders>
            <w:shd w:val="clear" w:color="auto" w:fill="CCEDFF"/>
          </w:tcPr>
          <w:p>
            <w:pPr>
              <w:pStyle w:val="TableParagraph"/>
              <w:spacing w:line="177" w:lineRule="exact" w:before="2"/>
              <w:rPr>
                <w:sz w:val="16"/>
              </w:rPr>
            </w:pPr>
            <w:r>
              <w:rPr>
                <w:sz w:val="16"/>
              </w:rPr>
              <w:t>Core</w:t>
            </w:r>
            <w:r>
              <w:rPr>
                <w:spacing w:val="17"/>
                <w:sz w:val="16"/>
              </w:rPr>
              <w:t> </w:t>
            </w:r>
            <w:r>
              <w:rPr>
                <w:sz w:val="16"/>
              </w:rPr>
              <w:t>performance</w:t>
            </w:r>
            <w:r>
              <w:rPr>
                <w:spacing w:val="18"/>
                <w:sz w:val="16"/>
              </w:rPr>
              <w:t> </w:t>
            </w:r>
            <w:r>
              <w:rPr>
                <w:spacing w:val="-2"/>
                <w:sz w:val="16"/>
              </w:rPr>
              <w:t>measures</w:t>
            </w:r>
          </w:p>
        </w:tc>
        <w:tc>
          <w:tcPr>
            <w:tcW w:w="3416" w:type="dxa"/>
            <w:tcBorders>
              <w:top w:val="single" w:sz="6" w:space="0" w:color="000000"/>
              <w:bottom w:val="double" w:sz="6" w:space="0" w:color="000000"/>
            </w:tcBorders>
            <w:shd w:val="clear" w:color="auto" w:fill="CCEDFF"/>
          </w:tcPr>
          <w:p>
            <w:pPr>
              <w:pStyle w:val="TableParagraph"/>
              <w:tabs>
                <w:tab w:pos="2543" w:val="left" w:leader="none"/>
              </w:tabs>
              <w:spacing w:line="177" w:lineRule="exact" w:before="2"/>
              <w:ind w:left="1954"/>
              <w:rPr>
                <w:sz w:val="16"/>
              </w:rPr>
            </w:pPr>
            <w:r>
              <w:rPr>
                <w:spacing w:val="-10"/>
                <w:w w:val="105"/>
                <w:sz w:val="16"/>
              </w:rPr>
              <w:t>$</w:t>
            </w:r>
            <w:r>
              <w:rPr>
                <w:sz w:val="16"/>
              </w:rPr>
              <w:tab/>
            </w:r>
            <w:r>
              <w:rPr>
                <w:w w:val="105"/>
                <w:sz w:val="16"/>
              </w:rPr>
              <w:t>14,120</w:t>
            </w:r>
            <w:r>
              <w:rPr>
                <w:spacing w:val="63"/>
                <w:w w:val="105"/>
                <w:sz w:val="16"/>
              </w:rPr>
              <w:t> </w:t>
            </w:r>
            <w:r>
              <w:rPr>
                <w:spacing w:val="-12"/>
                <w:w w:val="105"/>
                <w:sz w:val="16"/>
              </w:rPr>
              <w:t>$</w:t>
            </w:r>
          </w:p>
        </w:tc>
        <w:tc>
          <w:tcPr>
            <w:tcW w:w="385" w:type="dxa"/>
            <w:tcBorders>
              <w:top w:val="single" w:sz="6" w:space="0" w:color="000000"/>
              <w:bottom w:val="double" w:sz="6" w:space="0" w:color="000000"/>
            </w:tcBorders>
            <w:shd w:val="clear" w:color="auto" w:fill="CCEDFF"/>
          </w:tcPr>
          <w:p>
            <w:pPr>
              <w:pStyle w:val="TableParagraph"/>
              <w:spacing w:line="177" w:lineRule="exact" w:before="2"/>
              <w:ind w:left="219" w:right="-15"/>
              <w:rPr>
                <w:sz w:val="16"/>
              </w:rPr>
            </w:pPr>
            <w:r>
              <w:rPr>
                <w:spacing w:val="-5"/>
                <w:w w:val="105"/>
                <w:sz w:val="16"/>
              </w:rPr>
              <w:t>38</w:t>
            </w:r>
          </w:p>
        </w:tc>
        <w:tc>
          <w:tcPr>
            <w:tcW w:w="344" w:type="dxa"/>
            <w:tcBorders>
              <w:top w:val="single" w:sz="6" w:space="0" w:color="000000"/>
            </w:tcBorders>
          </w:tcPr>
          <w:p>
            <w:pPr>
              <w:pStyle w:val="TableParagraph"/>
              <w:spacing w:line="177" w:lineRule="exact" w:before="2"/>
              <w:ind w:left="1" w:right="29"/>
              <w:jc w:val="center"/>
              <w:rPr>
                <w:sz w:val="16"/>
              </w:rPr>
            </w:pPr>
            <w:r>
              <w:rPr/>
              <mc:AlternateContent>
                <mc:Choice Requires="wps">
                  <w:drawing>
                    <wp:anchor distT="0" distB="0" distL="0" distR="0" allowOverlap="1" layoutInCell="1" locked="0" behindDoc="1" simplePos="0" relativeHeight="474041344">
                      <wp:simplePos x="0" y="0"/>
                      <wp:positionH relativeFrom="column">
                        <wp:posOffset>0</wp:posOffset>
                      </wp:positionH>
                      <wp:positionV relativeFrom="paragraph">
                        <wp:posOffset>-943</wp:posOffset>
                      </wp:positionV>
                      <wp:extent cx="218440" cy="15430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18440" cy="154305"/>
                                <a:chExt cx="218440" cy="154305"/>
                              </a:xfrm>
                            </wpg:grpSpPr>
                            <pic:pic>
                              <pic:nvPicPr>
                                <pic:cNvPr id="54" name="Image 54"/>
                                <pic:cNvPicPr/>
                              </pic:nvPicPr>
                              <pic:blipFill>
                                <a:blip r:embed="rId10" cstate="print"/>
                                <a:stretch>
                                  <a:fillRect/>
                                </a:stretch>
                              </pic:blipFill>
                              <pic:spPr>
                                <a:xfrm>
                                  <a:off x="0" y="0"/>
                                  <a:ext cx="216568" cy="152400"/>
                                </a:xfrm>
                                <a:prstGeom prst="rect">
                                  <a:avLst/>
                                </a:prstGeom>
                              </pic:spPr>
                            </pic:pic>
                          </wpg:wgp>
                        </a:graphicData>
                      </a:graphic>
                    </wp:anchor>
                  </w:drawing>
                </mc:Choice>
                <mc:Fallback>
                  <w:pict>
                    <v:group style="position:absolute;margin-left:0pt;margin-top:-.074296pt;width:17.2pt;height:12.15pt;mso-position-horizontal-relative:column;mso-position-vertical-relative:paragraph;z-index:-29275136" id="docshapegroup52" coordorigin="0,-1" coordsize="344,243">
                      <v:shape style="position:absolute;left:0;top:-2;width:342;height:240" type="#_x0000_t75" id="docshape53" stroked="false">
                        <v:imagedata r:id="rId10" o:title=""/>
                      </v:shape>
                      <w10:wrap type="none"/>
                    </v:group>
                  </w:pict>
                </mc:Fallback>
              </mc:AlternateContent>
            </w:r>
            <w:r>
              <w:rPr>
                <w:spacing w:val="-10"/>
                <w:w w:val="105"/>
                <w:sz w:val="16"/>
              </w:rPr>
              <w:t>$</w:t>
            </w:r>
          </w:p>
        </w:tc>
        <w:tc>
          <w:tcPr>
            <w:tcW w:w="688" w:type="dxa"/>
            <w:tcBorders>
              <w:top w:val="single" w:sz="6" w:space="0" w:color="000000"/>
              <w:bottom w:val="double" w:sz="6" w:space="0" w:color="000000"/>
            </w:tcBorders>
            <w:shd w:val="clear" w:color="auto" w:fill="CCEDFF"/>
          </w:tcPr>
          <w:p>
            <w:pPr>
              <w:pStyle w:val="TableParagraph"/>
              <w:spacing w:line="177" w:lineRule="exact" w:before="2"/>
              <w:ind w:left="315" w:right="-15"/>
              <w:rPr>
                <w:sz w:val="16"/>
              </w:rPr>
            </w:pPr>
            <w:r>
              <w:rPr>
                <w:spacing w:val="-4"/>
                <w:w w:val="105"/>
                <w:sz w:val="16"/>
              </w:rPr>
              <w:t>2,284</w:t>
            </w:r>
          </w:p>
        </w:tc>
        <w:tc>
          <w:tcPr>
            <w:tcW w:w="344" w:type="dxa"/>
            <w:tcBorders>
              <w:top w:val="single" w:sz="6" w:space="0" w:color="000000"/>
            </w:tcBorders>
          </w:tcPr>
          <w:p>
            <w:pPr>
              <w:pStyle w:val="TableParagraph"/>
              <w:spacing w:line="177" w:lineRule="exact" w:before="2"/>
              <w:ind w:right="29"/>
              <w:jc w:val="center"/>
              <w:rPr>
                <w:sz w:val="16"/>
              </w:rPr>
            </w:pPr>
            <w:r>
              <w:rPr/>
              <mc:AlternateContent>
                <mc:Choice Requires="wps">
                  <w:drawing>
                    <wp:anchor distT="0" distB="0" distL="0" distR="0" allowOverlap="1" layoutInCell="1" locked="0" behindDoc="1" simplePos="0" relativeHeight="474041856">
                      <wp:simplePos x="0" y="0"/>
                      <wp:positionH relativeFrom="column">
                        <wp:posOffset>0</wp:posOffset>
                      </wp:positionH>
                      <wp:positionV relativeFrom="paragraph">
                        <wp:posOffset>-943</wp:posOffset>
                      </wp:positionV>
                      <wp:extent cx="218440" cy="15430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18440" cy="154305"/>
                                <a:chExt cx="218440" cy="154305"/>
                              </a:xfrm>
                            </wpg:grpSpPr>
                            <pic:pic>
                              <pic:nvPicPr>
                                <pic:cNvPr id="56" name="Image 56"/>
                                <pic:cNvPicPr/>
                              </pic:nvPicPr>
                              <pic:blipFill>
                                <a:blip r:embed="rId10" cstate="print"/>
                                <a:stretch>
                                  <a:fillRect/>
                                </a:stretch>
                              </pic:blipFill>
                              <pic:spPr>
                                <a:xfrm>
                                  <a:off x="0" y="0"/>
                                  <a:ext cx="216568" cy="152400"/>
                                </a:xfrm>
                                <a:prstGeom prst="rect">
                                  <a:avLst/>
                                </a:prstGeom>
                              </pic:spPr>
                            </pic:pic>
                          </wpg:wgp>
                        </a:graphicData>
                      </a:graphic>
                    </wp:anchor>
                  </w:drawing>
                </mc:Choice>
                <mc:Fallback>
                  <w:pict>
                    <v:group style="position:absolute;margin-left:0pt;margin-top:-.074296pt;width:17.2pt;height:12.15pt;mso-position-horizontal-relative:column;mso-position-vertical-relative:paragraph;z-index:-29274624" id="docshapegroup54" coordorigin="0,-1" coordsize="344,243">
                      <v:shape style="position:absolute;left:0;top:-2;width:342;height:240" type="#_x0000_t75" id="docshape55" stroked="false">
                        <v:imagedata r:id="rId10" o:title=""/>
                      </v:shape>
                      <w10:wrap type="none"/>
                    </v:group>
                  </w:pict>
                </mc:Fallback>
              </mc:AlternateContent>
            </w:r>
            <w:r>
              <w:rPr>
                <w:spacing w:val="-10"/>
                <w:w w:val="105"/>
                <w:sz w:val="16"/>
              </w:rPr>
              <w:t>$</w:t>
            </w:r>
          </w:p>
        </w:tc>
        <w:tc>
          <w:tcPr>
            <w:tcW w:w="839" w:type="dxa"/>
            <w:tcBorders>
              <w:top w:val="single" w:sz="6" w:space="0" w:color="000000"/>
              <w:bottom w:val="double" w:sz="6" w:space="0" w:color="000000"/>
            </w:tcBorders>
            <w:shd w:val="clear" w:color="auto" w:fill="CCEDFF"/>
          </w:tcPr>
          <w:p>
            <w:pPr>
              <w:pStyle w:val="TableParagraph"/>
              <w:spacing w:line="177" w:lineRule="exact" w:before="2"/>
              <w:ind w:left="315"/>
              <w:rPr>
                <w:sz w:val="16"/>
              </w:rPr>
            </w:pPr>
            <w:r>
              <w:rPr>
                <w:spacing w:val="-4"/>
                <w:w w:val="105"/>
                <w:sz w:val="16"/>
              </w:rPr>
              <w:t>1,811</w:t>
            </w:r>
          </w:p>
        </w:tc>
        <w:tc>
          <w:tcPr>
            <w:tcW w:w="730" w:type="dxa"/>
            <w:tcBorders>
              <w:top w:val="single" w:sz="6" w:space="0" w:color="000000"/>
              <w:bottom w:val="double" w:sz="6" w:space="0" w:color="000000"/>
            </w:tcBorders>
            <w:shd w:val="clear" w:color="auto" w:fill="CCEDFF"/>
          </w:tcPr>
          <w:p>
            <w:pPr>
              <w:pStyle w:val="TableParagraph"/>
              <w:spacing w:line="177" w:lineRule="exact" w:before="2"/>
              <w:ind w:left="151"/>
              <w:rPr>
                <w:sz w:val="16"/>
              </w:rPr>
            </w:pPr>
            <w:r>
              <w:rPr>
                <w:spacing w:val="-2"/>
                <w:w w:val="105"/>
                <w:sz w:val="16"/>
              </w:rPr>
              <w:t>20.7%</w:t>
            </w:r>
          </w:p>
        </w:tc>
        <w:tc>
          <w:tcPr>
            <w:tcW w:w="954" w:type="dxa"/>
            <w:tcBorders>
              <w:top w:val="single" w:sz="6" w:space="0" w:color="000000"/>
              <w:bottom w:val="double" w:sz="6" w:space="0" w:color="000000"/>
            </w:tcBorders>
            <w:shd w:val="clear" w:color="auto" w:fill="CCEDFF"/>
          </w:tcPr>
          <w:p>
            <w:pPr>
              <w:pStyle w:val="TableParagraph"/>
              <w:tabs>
                <w:tab w:pos="663" w:val="left" w:leader="none"/>
              </w:tabs>
              <w:spacing w:line="177" w:lineRule="exact" w:before="2"/>
              <w:ind w:left="150"/>
              <w:rPr>
                <w:sz w:val="16"/>
              </w:rPr>
            </w:pPr>
            <w:r>
              <w:rPr>
                <w:spacing w:val="-10"/>
                <w:w w:val="105"/>
                <w:sz w:val="16"/>
              </w:rPr>
              <w:t>$</w:t>
            </w:r>
            <w:r>
              <w:rPr>
                <w:sz w:val="16"/>
              </w:rPr>
              <w:tab/>
            </w:r>
            <w:r>
              <w:rPr>
                <w:spacing w:val="-5"/>
                <w:w w:val="105"/>
                <w:sz w:val="16"/>
              </w:rPr>
              <w:t>2.07</w:t>
            </w:r>
          </w:p>
        </w:tc>
      </w:tr>
    </w:tbl>
    <w:p>
      <w:pPr>
        <w:pStyle w:val="BodyText"/>
        <w:spacing w:before="12"/>
      </w:pPr>
    </w:p>
    <w:p>
      <w:pPr>
        <w:pStyle w:val="ListParagraph"/>
        <w:numPr>
          <w:ilvl w:val="0"/>
          <w:numId w:val="14"/>
        </w:numPr>
        <w:tabs>
          <w:tab w:pos="459" w:val="left" w:leader="none"/>
        </w:tabs>
        <w:spacing w:line="157" w:lineRule="exact" w:before="0" w:after="0"/>
        <w:ind w:left="459" w:right="0" w:hanging="303"/>
        <w:jc w:val="left"/>
        <w:rPr>
          <w:sz w:val="14"/>
        </w:rPr>
      </w:pPr>
      <w:r>
        <w:rPr>
          <w:sz w:val="14"/>
        </w:rPr>
        <w:t>Based</w:t>
      </w:r>
      <w:r>
        <w:rPr>
          <w:spacing w:val="-1"/>
          <w:sz w:val="14"/>
        </w:rPr>
        <w:t> </w:t>
      </w:r>
      <w:r>
        <w:rPr>
          <w:sz w:val="14"/>
        </w:rPr>
        <w:t>upon statutory</w:t>
      </w:r>
      <w:r>
        <w:rPr>
          <w:spacing w:val="-1"/>
          <w:sz w:val="14"/>
        </w:rPr>
        <w:t> </w:t>
      </w:r>
      <w:r>
        <w:rPr>
          <w:sz w:val="14"/>
        </w:rPr>
        <w:t>tax rates in</w:t>
      </w:r>
      <w:r>
        <w:rPr>
          <w:spacing w:val="-1"/>
          <w:sz w:val="14"/>
        </w:rPr>
        <w:t> </w:t>
      </w:r>
      <w:r>
        <w:rPr>
          <w:sz w:val="14"/>
        </w:rPr>
        <w:t>the specific jurisdiction</w:t>
      </w:r>
      <w:r>
        <w:rPr>
          <w:spacing w:val="-1"/>
          <w:sz w:val="14"/>
        </w:rPr>
        <w:t> </w:t>
      </w:r>
      <w:r>
        <w:rPr>
          <w:sz w:val="14"/>
        </w:rPr>
        <w:t>for each </w:t>
      </w:r>
      <w:r>
        <w:rPr>
          <w:spacing w:val="-2"/>
          <w:sz w:val="14"/>
        </w:rPr>
        <w:t>event.</w:t>
      </w:r>
    </w:p>
    <w:p>
      <w:pPr>
        <w:pStyle w:val="ListParagraph"/>
        <w:numPr>
          <w:ilvl w:val="0"/>
          <w:numId w:val="14"/>
        </w:numPr>
        <w:tabs>
          <w:tab w:pos="459" w:val="left" w:leader="none"/>
          <w:tab w:pos="462" w:val="left" w:leader="none"/>
        </w:tabs>
        <w:spacing w:line="228" w:lineRule="auto" w:before="2" w:after="0"/>
        <w:ind w:left="462" w:right="159" w:hanging="306"/>
        <w:jc w:val="left"/>
        <w:rPr>
          <w:sz w:val="14"/>
        </w:rPr>
      </w:pPr>
      <w:r>
        <w:rPr>
          <w:sz w:val="14"/>
        </w:rPr>
        <w:t>On</w:t>
      </w:r>
      <w:r>
        <w:rPr>
          <w:spacing w:val="-1"/>
          <w:sz w:val="14"/>
        </w:rPr>
        <w:t> </w:t>
      </w:r>
      <w:r>
        <w:rPr>
          <w:sz w:val="14"/>
        </w:rPr>
        <w:t>January</w:t>
      </w:r>
      <w:r>
        <w:rPr>
          <w:spacing w:val="-1"/>
          <w:sz w:val="14"/>
        </w:rPr>
        <w:t> </w:t>
      </w:r>
      <w:r>
        <w:rPr>
          <w:sz w:val="14"/>
        </w:rPr>
        <w:t>16,</w:t>
      </w:r>
      <w:r>
        <w:rPr>
          <w:spacing w:val="-1"/>
          <w:sz w:val="14"/>
        </w:rPr>
        <w:t> </w:t>
      </w:r>
      <w:r>
        <w:rPr>
          <w:sz w:val="14"/>
        </w:rPr>
        <w:t>2021,</w:t>
      </w:r>
      <w:r>
        <w:rPr>
          <w:spacing w:val="-1"/>
          <w:sz w:val="14"/>
        </w:rPr>
        <w:t> </w:t>
      </w:r>
      <w:r>
        <w:rPr>
          <w:sz w:val="14"/>
        </w:rPr>
        <w:t>the</w:t>
      </w:r>
      <w:r>
        <w:rPr>
          <w:spacing w:val="-1"/>
          <w:sz w:val="14"/>
        </w:rPr>
        <w:t> </w:t>
      </w:r>
      <w:r>
        <w:rPr>
          <w:sz w:val="14"/>
        </w:rPr>
        <w:t>Preferred</w:t>
      </w:r>
      <w:r>
        <w:rPr>
          <w:spacing w:val="-1"/>
          <w:sz w:val="14"/>
        </w:rPr>
        <w:t> </w:t>
      </w:r>
      <w:r>
        <w:rPr>
          <w:sz w:val="14"/>
        </w:rPr>
        <w:t>Stock</w:t>
      </w:r>
      <w:r>
        <w:rPr>
          <w:spacing w:val="-1"/>
          <w:sz w:val="14"/>
        </w:rPr>
        <w:t> </w:t>
      </w:r>
      <w:r>
        <w:rPr>
          <w:sz w:val="14"/>
        </w:rPr>
        <w:t>became</w:t>
      </w:r>
      <w:r>
        <w:rPr>
          <w:spacing w:val="-1"/>
          <w:sz w:val="14"/>
        </w:rPr>
        <w:t> </w:t>
      </w:r>
      <w:r>
        <w:rPr>
          <w:sz w:val="14"/>
        </w:rPr>
        <w:t>convertible</w:t>
      </w:r>
      <w:r>
        <w:rPr>
          <w:spacing w:val="-1"/>
          <w:sz w:val="14"/>
        </w:rPr>
        <w:t> </w:t>
      </w:r>
      <w:r>
        <w:rPr>
          <w:sz w:val="14"/>
        </w:rPr>
        <w:t>into</w:t>
      </w:r>
      <w:r>
        <w:rPr>
          <w:spacing w:val="-1"/>
          <w:sz w:val="14"/>
        </w:rPr>
        <w:t> </w:t>
      </w:r>
      <w:r>
        <w:rPr>
          <w:sz w:val="14"/>
        </w:rPr>
        <w:t>115</w:t>
      </w:r>
      <w:r>
        <w:rPr>
          <w:spacing w:val="-1"/>
          <w:sz w:val="14"/>
        </w:rPr>
        <w:t> </w:t>
      </w:r>
      <w:r>
        <w:rPr>
          <w:sz w:val="14"/>
        </w:rPr>
        <w:t>million</w:t>
      </w:r>
      <w:r>
        <w:rPr>
          <w:spacing w:val="-1"/>
          <w:sz w:val="14"/>
        </w:rPr>
        <w:t> </w:t>
      </w:r>
      <w:r>
        <w:rPr>
          <w:sz w:val="14"/>
        </w:rPr>
        <w:t>Common</w:t>
      </w:r>
      <w:r>
        <w:rPr>
          <w:spacing w:val="-1"/>
          <w:sz w:val="14"/>
        </w:rPr>
        <w:t> </w:t>
      </w:r>
      <w:r>
        <w:rPr>
          <w:sz w:val="14"/>
        </w:rPr>
        <w:t>Shares,</w:t>
      </w:r>
      <w:r>
        <w:rPr>
          <w:spacing w:val="-1"/>
          <w:sz w:val="14"/>
        </w:rPr>
        <w:t> </w:t>
      </w:r>
      <w:r>
        <w:rPr>
          <w:sz w:val="14"/>
        </w:rPr>
        <w:t>in</w:t>
      </w:r>
      <w:r>
        <w:rPr>
          <w:spacing w:val="-1"/>
          <w:sz w:val="14"/>
        </w:rPr>
        <w:t> </w:t>
      </w:r>
      <w:r>
        <w:rPr>
          <w:sz w:val="14"/>
        </w:rPr>
        <w:t>whole</w:t>
      </w:r>
      <w:r>
        <w:rPr>
          <w:spacing w:val="-1"/>
          <w:sz w:val="14"/>
        </w:rPr>
        <w:t> </w:t>
      </w:r>
      <w:r>
        <w:rPr>
          <w:sz w:val="14"/>
        </w:rPr>
        <w:t>or</w:t>
      </w:r>
      <w:r>
        <w:rPr>
          <w:spacing w:val="-1"/>
          <w:sz w:val="14"/>
        </w:rPr>
        <w:t> </w:t>
      </w:r>
      <w:r>
        <w:rPr>
          <w:sz w:val="14"/>
        </w:rPr>
        <w:t>in</w:t>
      </w:r>
      <w:r>
        <w:rPr>
          <w:spacing w:val="-1"/>
          <w:sz w:val="14"/>
        </w:rPr>
        <w:t> </w:t>
      </w:r>
      <w:r>
        <w:rPr>
          <w:sz w:val="14"/>
        </w:rPr>
        <w:t>part,</w:t>
      </w:r>
      <w:r>
        <w:rPr>
          <w:spacing w:val="-1"/>
          <w:sz w:val="14"/>
        </w:rPr>
        <w:t> </w:t>
      </w:r>
      <w:r>
        <w:rPr>
          <w:sz w:val="14"/>
        </w:rPr>
        <w:t>at</w:t>
      </w:r>
      <w:r>
        <w:rPr>
          <w:spacing w:val="-1"/>
          <w:sz w:val="14"/>
        </w:rPr>
        <w:t> </w:t>
      </w:r>
      <w:r>
        <w:rPr>
          <w:sz w:val="14"/>
        </w:rPr>
        <w:t>the</w:t>
      </w:r>
      <w:r>
        <w:rPr>
          <w:spacing w:val="-1"/>
          <w:sz w:val="14"/>
        </w:rPr>
        <w:t> </w:t>
      </w:r>
      <w:r>
        <w:rPr>
          <w:sz w:val="14"/>
        </w:rPr>
        <w:t>option</w:t>
      </w:r>
      <w:r>
        <w:rPr>
          <w:spacing w:val="-1"/>
          <w:sz w:val="14"/>
        </w:rPr>
        <w:t> </w:t>
      </w:r>
      <w:r>
        <w:rPr>
          <w:sz w:val="14"/>
        </w:rPr>
        <w:t>of</w:t>
      </w:r>
      <w:r>
        <w:rPr>
          <w:spacing w:val="-1"/>
          <w:sz w:val="14"/>
        </w:rPr>
        <w:t> </w:t>
      </w:r>
      <w:r>
        <w:rPr>
          <w:sz w:val="14"/>
        </w:rPr>
        <w:t>the</w:t>
      </w:r>
      <w:r>
        <w:rPr>
          <w:spacing w:val="-1"/>
          <w:sz w:val="14"/>
        </w:rPr>
        <w:t> </w:t>
      </w:r>
      <w:r>
        <w:rPr>
          <w:sz w:val="14"/>
        </w:rPr>
        <w:t>holder,</w:t>
      </w:r>
      <w:r>
        <w:rPr>
          <w:spacing w:val="-1"/>
          <w:sz w:val="14"/>
        </w:rPr>
        <w:t> </w:t>
      </w:r>
      <w:r>
        <w:rPr>
          <w:sz w:val="14"/>
        </w:rPr>
        <w:t>Samsung</w:t>
      </w:r>
      <w:r>
        <w:rPr>
          <w:spacing w:val="-1"/>
          <w:sz w:val="14"/>
        </w:rPr>
        <w:t> </w:t>
      </w:r>
      <w:r>
        <w:rPr>
          <w:sz w:val="14"/>
        </w:rPr>
        <w:t>Display</w:t>
      </w:r>
      <w:r>
        <w:rPr>
          <w:spacing w:val="-1"/>
          <w:sz w:val="14"/>
        </w:rPr>
        <w:t> </w:t>
      </w:r>
      <w:r>
        <w:rPr>
          <w:sz w:val="14"/>
        </w:rPr>
        <w:t>Co.,</w:t>
      </w:r>
      <w:r>
        <w:rPr>
          <w:spacing w:val="-1"/>
          <w:sz w:val="14"/>
        </w:rPr>
        <w:t> </w:t>
      </w:r>
      <w:r>
        <w:rPr>
          <w:sz w:val="14"/>
        </w:rPr>
        <w:t>Ltd.</w:t>
      </w:r>
      <w:r>
        <w:rPr>
          <w:spacing w:val="-1"/>
          <w:sz w:val="14"/>
        </w:rPr>
        <w:t> </w:t>
      </w:r>
      <w:r>
        <w:rPr>
          <w:sz w:val="14"/>
        </w:rPr>
        <w:t>(“SDC”).</w:t>
      </w:r>
      <w:r>
        <w:rPr>
          <w:spacing w:val="-1"/>
          <w:sz w:val="14"/>
        </w:rPr>
        <w:t> </w:t>
      </w:r>
      <w:r>
        <w:rPr>
          <w:sz w:val="14"/>
        </w:rPr>
        <w:t>On</w:t>
      </w:r>
      <w:r>
        <w:rPr>
          <w:spacing w:val="-1"/>
          <w:sz w:val="14"/>
        </w:rPr>
        <w:t> </w:t>
      </w:r>
      <w:r>
        <w:rPr>
          <w:sz w:val="14"/>
        </w:rPr>
        <w:t>April</w:t>
      </w:r>
      <w:r>
        <w:rPr>
          <w:spacing w:val="-1"/>
          <w:sz w:val="14"/>
        </w:rPr>
        <w:t> </w:t>
      </w:r>
      <w:r>
        <w:rPr>
          <w:sz w:val="14"/>
        </w:rPr>
        <w:t>5,</w:t>
      </w:r>
      <w:r>
        <w:rPr>
          <w:spacing w:val="-1"/>
          <w:sz w:val="14"/>
        </w:rPr>
        <w:t> </w:t>
      </w:r>
      <w:r>
        <w:rPr>
          <w:sz w:val="14"/>
        </w:rPr>
        <w:t>2021,</w:t>
      </w:r>
      <w:r>
        <w:rPr>
          <w:spacing w:val="40"/>
          <w:sz w:val="14"/>
        </w:rPr>
        <w:t> </w:t>
      </w:r>
      <w:r>
        <w:rPr>
          <w:sz w:val="14"/>
        </w:rPr>
        <w:t>Corning</w:t>
      </w:r>
      <w:r>
        <w:rPr>
          <w:spacing w:val="-1"/>
          <w:sz w:val="14"/>
        </w:rPr>
        <w:t> </w:t>
      </w:r>
      <w:r>
        <w:rPr>
          <w:sz w:val="14"/>
        </w:rPr>
        <w:t>and</w:t>
      </w:r>
      <w:r>
        <w:rPr>
          <w:spacing w:val="-1"/>
          <w:sz w:val="14"/>
        </w:rPr>
        <w:t> </w:t>
      </w:r>
      <w:r>
        <w:rPr>
          <w:sz w:val="14"/>
        </w:rPr>
        <w:t>SDC</w:t>
      </w:r>
      <w:r>
        <w:rPr>
          <w:spacing w:val="-1"/>
          <w:sz w:val="14"/>
        </w:rPr>
        <w:t> </w:t>
      </w:r>
      <w:r>
        <w:rPr>
          <w:sz w:val="14"/>
        </w:rPr>
        <w:t>executed</w:t>
      </w:r>
      <w:r>
        <w:rPr>
          <w:spacing w:val="-1"/>
          <w:sz w:val="14"/>
        </w:rPr>
        <w:t> </w:t>
      </w:r>
      <w:r>
        <w:rPr>
          <w:sz w:val="14"/>
        </w:rPr>
        <w:t>a</w:t>
      </w:r>
      <w:r>
        <w:rPr>
          <w:spacing w:val="-1"/>
          <w:sz w:val="14"/>
        </w:rPr>
        <w:t> </w:t>
      </w:r>
      <w:r>
        <w:rPr>
          <w:sz w:val="14"/>
        </w:rPr>
        <w:t>Share</w:t>
      </w:r>
      <w:r>
        <w:rPr>
          <w:spacing w:val="-1"/>
          <w:sz w:val="14"/>
        </w:rPr>
        <w:t> </w:t>
      </w:r>
      <w:r>
        <w:rPr>
          <w:sz w:val="14"/>
        </w:rPr>
        <w:t>Repurchase</w:t>
      </w:r>
      <w:r>
        <w:rPr>
          <w:spacing w:val="-1"/>
          <w:sz w:val="14"/>
        </w:rPr>
        <w:t> </w:t>
      </w:r>
      <w:r>
        <w:rPr>
          <w:sz w:val="14"/>
        </w:rPr>
        <w:t>Agreement</w:t>
      </w:r>
      <w:r>
        <w:rPr>
          <w:spacing w:val="-1"/>
          <w:sz w:val="14"/>
        </w:rPr>
        <w:t> </w:t>
      </w:r>
      <w:r>
        <w:rPr>
          <w:sz w:val="14"/>
        </w:rPr>
        <w:t>("SRA").</w:t>
      </w:r>
      <w:r>
        <w:rPr>
          <w:spacing w:val="-1"/>
          <w:sz w:val="14"/>
        </w:rPr>
        <w:t> </w:t>
      </w:r>
      <w:r>
        <w:rPr>
          <w:sz w:val="14"/>
        </w:rPr>
        <w:t>Pursuant</w:t>
      </w:r>
      <w:r>
        <w:rPr>
          <w:spacing w:val="-1"/>
          <w:sz w:val="14"/>
        </w:rPr>
        <w:t> </w:t>
      </w:r>
      <w:r>
        <w:rPr>
          <w:sz w:val="14"/>
        </w:rPr>
        <w:t>to</w:t>
      </w:r>
      <w:r>
        <w:rPr>
          <w:spacing w:val="-1"/>
          <w:sz w:val="14"/>
        </w:rPr>
        <w:t> </w:t>
      </w:r>
      <w:r>
        <w:rPr>
          <w:sz w:val="14"/>
        </w:rPr>
        <w:t>the</w:t>
      </w:r>
      <w:r>
        <w:rPr>
          <w:spacing w:val="-1"/>
          <w:sz w:val="14"/>
        </w:rPr>
        <w:t> </w:t>
      </w:r>
      <w:r>
        <w:rPr>
          <w:sz w:val="14"/>
        </w:rPr>
        <w:t>SRA,</w:t>
      </w:r>
      <w:r>
        <w:rPr>
          <w:spacing w:val="-1"/>
          <w:sz w:val="14"/>
        </w:rPr>
        <w:t> </w:t>
      </w:r>
      <w:r>
        <w:rPr>
          <w:sz w:val="14"/>
        </w:rPr>
        <w:t>the</w:t>
      </w:r>
      <w:r>
        <w:rPr>
          <w:spacing w:val="-1"/>
          <w:sz w:val="14"/>
        </w:rPr>
        <w:t> </w:t>
      </w:r>
      <w:r>
        <w:rPr>
          <w:sz w:val="14"/>
        </w:rPr>
        <w:t>Preferred</w:t>
      </w:r>
      <w:r>
        <w:rPr>
          <w:spacing w:val="-1"/>
          <w:sz w:val="14"/>
        </w:rPr>
        <w:t> </w:t>
      </w:r>
      <w:r>
        <w:rPr>
          <w:sz w:val="14"/>
        </w:rPr>
        <w:t>Stock</w:t>
      </w:r>
      <w:r>
        <w:rPr>
          <w:spacing w:val="-1"/>
          <w:sz w:val="14"/>
        </w:rPr>
        <w:t> </w:t>
      </w:r>
      <w:r>
        <w:rPr>
          <w:sz w:val="14"/>
        </w:rPr>
        <w:t>was</w:t>
      </w:r>
      <w:r>
        <w:rPr>
          <w:spacing w:val="-1"/>
          <w:sz w:val="14"/>
        </w:rPr>
        <w:t> </w:t>
      </w:r>
      <w:r>
        <w:rPr>
          <w:sz w:val="14"/>
        </w:rPr>
        <w:t>converted</w:t>
      </w:r>
      <w:r>
        <w:rPr>
          <w:spacing w:val="-1"/>
          <w:sz w:val="14"/>
        </w:rPr>
        <w:t> </w:t>
      </w:r>
      <w:r>
        <w:rPr>
          <w:sz w:val="14"/>
        </w:rPr>
        <w:t>into</w:t>
      </w:r>
      <w:r>
        <w:rPr>
          <w:spacing w:val="-1"/>
          <w:sz w:val="14"/>
        </w:rPr>
        <w:t> </w:t>
      </w:r>
      <w:r>
        <w:rPr>
          <w:sz w:val="14"/>
        </w:rPr>
        <w:t>115</w:t>
      </w:r>
      <w:r>
        <w:rPr>
          <w:spacing w:val="-1"/>
          <w:sz w:val="14"/>
        </w:rPr>
        <w:t> </w:t>
      </w:r>
      <w:r>
        <w:rPr>
          <w:sz w:val="14"/>
        </w:rPr>
        <w:t>million</w:t>
      </w:r>
      <w:r>
        <w:rPr>
          <w:spacing w:val="-1"/>
          <w:sz w:val="14"/>
        </w:rPr>
        <w:t> </w:t>
      </w:r>
      <w:r>
        <w:rPr>
          <w:sz w:val="14"/>
        </w:rPr>
        <w:t>Common</w:t>
      </w:r>
      <w:r>
        <w:rPr>
          <w:spacing w:val="-1"/>
          <w:sz w:val="14"/>
        </w:rPr>
        <w:t> </w:t>
      </w:r>
      <w:r>
        <w:rPr>
          <w:sz w:val="14"/>
        </w:rPr>
        <w:t>Shares.</w:t>
      </w:r>
      <w:r>
        <w:rPr>
          <w:spacing w:val="33"/>
          <w:sz w:val="14"/>
        </w:rPr>
        <w:t> </w:t>
      </w:r>
      <w:r>
        <w:rPr>
          <w:sz w:val="14"/>
        </w:rPr>
        <w:t>Corning</w:t>
      </w:r>
      <w:r>
        <w:rPr>
          <w:spacing w:val="-1"/>
          <w:sz w:val="14"/>
        </w:rPr>
        <w:t> </w:t>
      </w:r>
      <w:r>
        <w:rPr>
          <w:sz w:val="14"/>
        </w:rPr>
        <w:t>immediately</w:t>
      </w:r>
      <w:r>
        <w:rPr>
          <w:spacing w:val="-1"/>
          <w:sz w:val="14"/>
        </w:rPr>
        <w:t> </w:t>
      </w:r>
      <w:r>
        <w:rPr>
          <w:sz w:val="14"/>
        </w:rPr>
        <w:t>repurchased</w:t>
      </w:r>
      <w:r>
        <w:rPr>
          <w:spacing w:val="-1"/>
          <w:sz w:val="14"/>
        </w:rPr>
        <w:t> </w:t>
      </w:r>
      <w:r>
        <w:rPr>
          <w:sz w:val="14"/>
        </w:rPr>
        <w:t>35</w:t>
      </w:r>
      <w:r>
        <w:rPr>
          <w:spacing w:val="40"/>
          <w:sz w:val="14"/>
        </w:rPr>
        <w:t> </w:t>
      </w:r>
      <w:r>
        <w:rPr>
          <w:sz w:val="14"/>
        </w:rPr>
        <w:t>million of the converted Common Shares and excluded them from the weighted-average common shares outstanding for the calculation of the Company’s basic and diluted earnings per share.</w:t>
      </w:r>
      <w:r>
        <w:rPr>
          <w:spacing w:val="40"/>
          <w:sz w:val="14"/>
        </w:rPr>
        <w:t> </w:t>
      </w:r>
      <w:r>
        <w:rPr>
          <w:sz w:val="14"/>
        </w:rPr>
        <w:t>The</w:t>
      </w:r>
      <w:r>
        <w:rPr>
          <w:spacing w:val="40"/>
          <w:sz w:val="14"/>
        </w:rPr>
        <w:t> </w:t>
      </w:r>
      <w:r>
        <w:rPr>
          <w:sz w:val="14"/>
        </w:rPr>
        <w:t>redemption of these Common Shares resulted in an $803 million reduction of retained earnings which reduced the net income available to common shareholders.</w:t>
      </w:r>
    </w:p>
    <w:p>
      <w:pPr>
        <w:pStyle w:val="BodyText"/>
        <w:spacing w:before="43"/>
        <w:rPr>
          <w:sz w:val="14"/>
        </w:rPr>
      </w:pPr>
    </w:p>
    <w:p>
      <w:pPr>
        <w:pStyle w:val="BodyText"/>
        <w:ind w:left="48"/>
        <w:jc w:val="center"/>
      </w:pPr>
      <w:r>
        <w:rPr>
          <w:spacing w:val="-5"/>
          <w:w w:val="105"/>
        </w:rPr>
        <w:t>33</w:t>
      </w:r>
    </w:p>
    <w:p>
      <w:pPr>
        <w:pStyle w:val="BodyText"/>
        <w:rPr>
          <w:sz w:val="6"/>
        </w:rPr>
      </w:pPr>
      <w:r>
        <w:rPr/>
        <mc:AlternateContent>
          <mc:Choice Requires="wps">
            <w:drawing>
              <wp:anchor distT="0" distB="0" distL="0" distR="0" allowOverlap="1" layoutInCell="1" locked="0" behindDoc="1" simplePos="0" relativeHeight="487611392">
                <wp:simplePos x="0" y="0"/>
                <wp:positionH relativeFrom="page">
                  <wp:posOffset>226488</wp:posOffset>
                </wp:positionH>
                <wp:positionV relativeFrom="paragraph">
                  <wp:posOffset>59051</wp:posOffset>
                </wp:positionV>
                <wp:extent cx="7312659" cy="1651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05088;mso-wrap-distance-left:0;mso-wrap-distance-right:0" id="docshape56"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BodyText"/>
        <w:ind w:left="156"/>
      </w:pPr>
      <w:r>
        <w:rPr>
          <w:spacing w:val="-2"/>
          <w:w w:val="105"/>
        </w:rPr>
        <w:t>See</w:t>
      </w:r>
      <w:r>
        <w:rPr>
          <w:w w:val="105"/>
        </w:rPr>
        <w:t> </w:t>
      </w:r>
      <w:r>
        <w:rPr>
          <w:spacing w:val="-2"/>
          <w:w w:val="105"/>
        </w:rPr>
        <w:t>“Items</w:t>
      </w:r>
      <w:r>
        <w:rPr>
          <w:spacing w:val="1"/>
          <w:w w:val="105"/>
        </w:rPr>
        <w:t> </w:t>
      </w:r>
      <w:r>
        <w:rPr>
          <w:spacing w:val="-2"/>
          <w:w w:val="105"/>
        </w:rPr>
        <w:t>Excluded</w:t>
      </w:r>
      <w:r>
        <w:rPr>
          <w:spacing w:val="1"/>
          <w:w w:val="105"/>
        </w:rPr>
        <w:t> </w:t>
      </w:r>
      <w:r>
        <w:rPr>
          <w:spacing w:val="-2"/>
          <w:w w:val="105"/>
        </w:rPr>
        <w:t>from</w:t>
      </w:r>
      <w:r>
        <w:rPr>
          <w:w w:val="105"/>
        </w:rPr>
        <w:t> </w:t>
      </w:r>
      <w:r>
        <w:rPr>
          <w:spacing w:val="-2"/>
          <w:w w:val="105"/>
        </w:rPr>
        <w:t>GAAP</w:t>
      </w:r>
      <w:r>
        <w:rPr>
          <w:spacing w:val="1"/>
          <w:w w:val="105"/>
        </w:rPr>
        <w:t> </w:t>
      </w:r>
      <w:r>
        <w:rPr>
          <w:spacing w:val="-2"/>
          <w:w w:val="105"/>
        </w:rPr>
        <w:t>Measures”</w:t>
      </w:r>
      <w:r>
        <w:rPr>
          <w:spacing w:val="1"/>
          <w:w w:val="105"/>
        </w:rPr>
        <w:t> </w:t>
      </w:r>
      <w:r>
        <w:rPr>
          <w:spacing w:val="-2"/>
          <w:w w:val="105"/>
        </w:rPr>
        <w:t>for</w:t>
      </w:r>
      <w:r>
        <w:rPr>
          <w:w w:val="105"/>
        </w:rPr>
        <w:t> </w:t>
      </w:r>
      <w:r>
        <w:rPr>
          <w:spacing w:val="-2"/>
          <w:w w:val="105"/>
        </w:rPr>
        <w:t>the</w:t>
      </w:r>
      <w:r>
        <w:rPr>
          <w:spacing w:val="1"/>
          <w:w w:val="105"/>
        </w:rPr>
        <w:t> </w:t>
      </w:r>
      <w:r>
        <w:rPr>
          <w:spacing w:val="-2"/>
          <w:w w:val="105"/>
        </w:rPr>
        <w:t>descriptions</w:t>
      </w:r>
      <w:r>
        <w:rPr>
          <w:spacing w:val="1"/>
          <w:w w:val="105"/>
        </w:rPr>
        <w:t> </w:t>
      </w:r>
      <w:r>
        <w:rPr>
          <w:spacing w:val="-2"/>
          <w:w w:val="105"/>
        </w:rPr>
        <w:t>of</w:t>
      </w:r>
      <w:r>
        <w:rPr>
          <w:w w:val="105"/>
        </w:rPr>
        <w:t> </w:t>
      </w:r>
      <w:r>
        <w:rPr>
          <w:spacing w:val="-2"/>
          <w:w w:val="105"/>
        </w:rPr>
        <w:t>the</w:t>
      </w:r>
      <w:r>
        <w:rPr>
          <w:spacing w:val="1"/>
          <w:w w:val="105"/>
        </w:rPr>
        <w:t> </w:t>
      </w:r>
      <w:r>
        <w:rPr>
          <w:spacing w:val="-2"/>
          <w:w w:val="105"/>
        </w:rPr>
        <w:t>footnoted</w:t>
      </w:r>
      <w:r>
        <w:rPr>
          <w:spacing w:val="1"/>
          <w:w w:val="105"/>
        </w:rPr>
        <w:t> </w:t>
      </w:r>
      <w:r>
        <w:rPr>
          <w:spacing w:val="-2"/>
          <w:w w:val="105"/>
        </w:rPr>
        <w:t>reconciling</w:t>
      </w:r>
      <w:r>
        <w:rPr>
          <w:w w:val="105"/>
        </w:rPr>
        <w:t> </w:t>
      </w:r>
      <w:r>
        <w:rPr>
          <w:spacing w:val="-2"/>
          <w:w w:val="105"/>
        </w:rPr>
        <w:t>items.</w:t>
      </w:r>
    </w:p>
    <w:p>
      <w:pPr>
        <w:pStyle w:val="BodyText"/>
        <w:spacing w:before="3"/>
        <w:rPr>
          <w:sz w:val="9"/>
        </w:rPr>
      </w:pPr>
      <w:r>
        <w:rPr/>
        <mc:AlternateContent>
          <mc:Choice Requires="wps">
            <w:drawing>
              <wp:anchor distT="0" distB="0" distL="0" distR="0" allowOverlap="1" layoutInCell="1" locked="0" behindDoc="1" simplePos="0" relativeHeight="487612928">
                <wp:simplePos x="0" y="0"/>
                <wp:positionH relativeFrom="page">
                  <wp:posOffset>226479</wp:posOffset>
                </wp:positionH>
                <wp:positionV relativeFrom="paragraph">
                  <wp:posOffset>83475</wp:posOffset>
                </wp:positionV>
                <wp:extent cx="7312659" cy="1651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7312659" cy="16510"/>
                        </a:xfrm>
                        <a:custGeom>
                          <a:avLst/>
                          <a:gdLst/>
                          <a:ahLst/>
                          <a:cxnLst/>
                          <a:rect l="l" t="t" r="r" b="b"/>
                          <a:pathLst>
                            <a:path w="7312659" h="16510">
                              <a:moveTo>
                                <a:pt x="7312342" y="0"/>
                              </a:moveTo>
                              <a:lnTo>
                                <a:pt x="7239546" y="0"/>
                              </a:lnTo>
                              <a:lnTo>
                                <a:pt x="2968625" y="0"/>
                              </a:lnTo>
                              <a:lnTo>
                                <a:pt x="2895816" y="0"/>
                              </a:lnTo>
                              <a:lnTo>
                                <a:pt x="0" y="0"/>
                              </a:lnTo>
                              <a:lnTo>
                                <a:pt x="0" y="16167"/>
                              </a:lnTo>
                              <a:lnTo>
                                <a:pt x="2895816" y="16167"/>
                              </a:lnTo>
                              <a:lnTo>
                                <a:pt x="2968625" y="16167"/>
                              </a:lnTo>
                              <a:lnTo>
                                <a:pt x="7239546"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6.572855pt;width:575.8pt;height:1.3pt;mso-position-horizontal-relative:page;mso-position-vertical-relative:paragraph;z-index:-15703552;mso-wrap-distance-left:0;mso-wrap-distance-right:0" id="docshape57" coordorigin="357,131" coordsize="11516,26" path="m11872,131l11758,131,5032,131,4917,131,357,131,357,157,4917,157,5032,157,11758,157,11872,157,11872,131xe" filled="true" fillcolor="#000000" stroked="false">
                <v:path arrowok="t"/>
                <v:fill type="solid"/>
                <w10:wrap type="topAndBottom"/>
              </v:shape>
            </w:pict>
          </mc:Fallback>
        </mc:AlternateConten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5"/>
        <w:gridCol w:w="959"/>
        <w:gridCol w:w="325"/>
        <w:gridCol w:w="948"/>
        <w:gridCol w:w="1146"/>
        <w:gridCol w:w="1162"/>
        <w:gridCol w:w="1210"/>
        <w:gridCol w:w="1088"/>
      </w:tblGrid>
      <w:tr>
        <w:trPr>
          <w:trHeight w:val="197" w:hRule="atLeast"/>
        </w:trPr>
        <w:tc>
          <w:tcPr>
            <w:tcW w:w="11513" w:type="dxa"/>
            <w:gridSpan w:val="8"/>
          </w:tcPr>
          <w:p>
            <w:pPr>
              <w:pStyle w:val="TableParagraph"/>
              <w:spacing w:line="177" w:lineRule="exact"/>
              <w:ind w:left="6986"/>
              <w:rPr>
                <w:sz w:val="16"/>
              </w:rPr>
            </w:pPr>
            <w:r>
              <w:rPr>
                <w:w w:val="105"/>
                <w:sz w:val="16"/>
              </w:rPr>
              <w:t>Year</w:t>
            </w:r>
            <w:r>
              <w:rPr>
                <w:spacing w:val="-11"/>
                <w:w w:val="105"/>
                <w:sz w:val="16"/>
              </w:rPr>
              <w:t> </w:t>
            </w:r>
            <w:r>
              <w:rPr>
                <w:w w:val="105"/>
                <w:sz w:val="16"/>
              </w:rPr>
              <w:t>ended</w:t>
            </w:r>
            <w:r>
              <w:rPr>
                <w:spacing w:val="-9"/>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2020</w:t>
            </w:r>
          </w:p>
        </w:tc>
      </w:tr>
      <w:tr>
        <w:trPr>
          <w:trHeight w:val="609" w:hRule="atLeast"/>
        </w:trPr>
        <w:tc>
          <w:tcPr>
            <w:tcW w:w="4675" w:type="dxa"/>
            <w:tcBorders>
              <w:bottom w:val="single" w:sz="6" w:space="0" w:color="000000"/>
            </w:tcBorders>
          </w:tcPr>
          <w:p>
            <w:pPr>
              <w:pStyle w:val="TableParagraph"/>
              <w:rPr>
                <w:sz w:val="16"/>
              </w:rPr>
            </w:pPr>
          </w:p>
        </w:tc>
        <w:tc>
          <w:tcPr>
            <w:tcW w:w="959" w:type="dxa"/>
            <w:tcBorders>
              <w:top w:val="single" w:sz="6" w:space="0" w:color="000000"/>
              <w:bottom w:val="single" w:sz="6" w:space="0" w:color="000000"/>
            </w:tcBorders>
          </w:tcPr>
          <w:p>
            <w:pPr>
              <w:pStyle w:val="TableParagraph"/>
              <w:rPr>
                <w:sz w:val="16"/>
              </w:rPr>
            </w:pPr>
          </w:p>
          <w:p>
            <w:pPr>
              <w:pStyle w:val="TableParagraph"/>
              <w:spacing w:before="42"/>
              <w:rPr>
                <w:sz w:val="16"/>
              </w:rPr>
            </w:pPr>
          </w:p>
          <w:p>
            <w:pPr>
              <w:pStyle w:val="TableParagraph"/>
              <w:spacing w:line="179" w:lineRule="exact"/>
              <w:ind w:left="157"/>
              <w:rPr>
                <w:sz w:val="16"/>
              </w:rPr>
            </w:pPr>
            <w:r>
              <w:rPr>
                <w:w w:val="105"/>
                <w:sz w:val="16"/>
              </w:rPr>
              <w:t>Net</w:t>
            </w:r>
            <w:r>
              <w:rPr>
                <w:spacing w:val="-8"/>
                <w:w w:val="105"/>
                <w:sz w:val="16"/>
              </w:rPr>
              <w:t> </w:t>
            </w:r>
            <w:r>
              <w:rPr>
                <w:spacing w:val="-4"/>
                <w:w w:val="105"/>
                <w:sz w:val="16"/>
              </w:rPr>
              <w:t>sales</w:t>
            </w:r>
          </w:p>
        </w:tc>
        <w:tc>
          <w:tcPr>
            <w:tcW w:w="1273" w:type="dxa"/>
            <w:gridSpan w:val="2"/>
            <w:tcBorders>
              <w:top w:val="single" w:sz="6" w:space="0" w:color="000000"/>
              <w:bottom w:val="single" w:sz="6" w:space="0" w:color="000000"/>
            </w:tcBorders>
          </w:tcPr>
          <w:p>
            <w:pPr>
              <w:pStyle w:val="TableParagraph"/>
              <w:spacing w:line="266" w:lineRule="auto" w:before="2"/>
              <w:ind w:left="405" w:firstLine="32"/>
              <w:rPr>
                <w:sz w:val="16"/>
              </w:rPr>
            </w:pPr>
            <w:r>
              <w:rPr>
                <w:spacing w:val="-2"/>
                <w:w w:val="105"/>
                <w:sz w:val="16"/>
              </w:rPr>
              <w:t>Equity</w:t>
            </w:r>
            <w:r>
              <w:rPr>
                <w:spacing w:val="40"/>
                <w:w w:val="105"/>
                <w:sz w:val="16"/>
              </w:rPr>
              <w:t> </w:t>
            </w:r>
            <w:r>
              <w:rPr>
                <w:spacing w:val="-2"/>
                <w:sz w:val="16"/>
              </w:rPr>
              <w:t>(losses)</w:t>
            </w:r>
          </w:p>
          <w:p>
            <w:pPr>
              <w:pStyle w:val="TableParagraph"/>
              <w:spacing w:line="178" w:lineRule="exact"/>
              <w:ind w:left="378"/>
              <w:rPr>
                <w:sz w:val="16"/>
              </w:rPr>
            </w:pPr>
            <w:r>
              <w:rPr>
                <w:spacing w:val="-2"/>
                <w:w w:val="105"/>
                <w:sz w:val="16"/>
              </w:rPr>
              <w:t>earnings</w:t>
            </w:r>
          </w:p>
        </w:tc>
        <w:tc>
          <w:tcPr>
            <w:tcW w:w="1146" w:type="dxa"/>
            <w:tcBorders>
              <w:top w:val="single" w:sz="6" w:space="0" w:color="000000"/>
              <w:bottom w:val="single" w:sz="6" w:space="0" w:color="000000"/>
            </w:tcBorders>
          </w:tcPr>
          <w:p>
            <w:pPr>
              <w:pStyle w:val="TableParagraph"/>
              <w:spacing w:line="266" w:lineRule="auto" w:before="2"/>
              <w:ind w:left="123" w:right="177"/>
              <w:jc w:val="center"/>
              <w:rPr>
                <w:sz w:val="16"/>
              </w:rPr>
            </w:pPr>
            <w:r>
              <w:rPr>
                <w:spacing w:val="-2"/>
                <w:sz w:val="16"/>
              </w:rPr>
              <w:t>Income</w:t>
            </w:r>
            <w:r>
              <w:rPr>
                <w:spacing w:val="40"/>
                <w:w w:val="105"/>
                <w:sz w:val="16"/>
              </w:rPr>
              <w:t> </w:t>
            </w:r>
            <w:r>
              <w:rPr>
                <w:spacing w:val="-2"/>
                <w:w w:val="105"/>
                <w:sz w:val="16"/>
              </w:rPr>
              <w:t>before</w:t>
            </w:r>
          </w:p>
          <w:p>
            <w:pPr>
              <w:pStyle w:val="TableParagraph"/>
              <w:spacing w:line="178" w:lineRule="exact"/>
              <w:ind w:right="55"/>
              <w:jc w:val="center"/>
              <w:rPr>
                <w:sz w:val="16"/>
              </w:rPr>
            </w:pPr>
            <w:r>
              <w:rPr>
                <w:w w:val="105"/>
                <w:sz w:val="16"/>
              </w:rPr>
              <w:t>income</w:t>
            </w:r>
            <w:r>
              <w:rPr>
                <w:spacing w:val="-11"/>
                <w:w w:val="105"/>
                <w:sz w:val="16"/>
              </w:rPr>
              <w:t> </w:t>
            </w:r>
            <w:r>
              <w:rPr>
                <w:spacing w:val="-2"/>
                <w:w w:val="105"/>
                <w:sz w:val="16"/>
              </w:rPr>
              <w:t>taxes</w:t>
            </w:r>
          </w:p>
        </w:tc>
        <w:tc>
          <w:tcPr>
            <w:tcW w:w="1162" w:type="dxa"/>
            <w:tcBorders>
              <w:top w:val="single" w:sz="6" w:space="0" w:color="000000"/>
              <w:bottom w:val="single" w:sz="6" w:space="0" w:color="000000"/>
            </w:tcBorders>
          </w:tcPr>
          <w:p>
            <w:pPr>
              <w:pStyle w:val="TableParagraph"/>
              <w:rPr>
                <w:sz w:val="16"/>
              </w:rPr>
            </w:pPr>
          </w:p>
          <w:p>
            <w:pPr>
              <w:pStyle w:val="TableParagraph"/>
              <w:spacing w:before="42"/>
              <w:rPr>
                <w:sz w:val="16"/>
              </w:rPr>
            </w:pPr>
          </w:p>
          <w:p>
            <w:pPr>
              <w:pStyle w:val="TableParagraph"/>
              <w:spacing w:line="179" w:lineRule="exact"/>
              <w:ind w:left="161"/>
              <w:rPr>
                <w:sz w:val="16"/>
              </w:rPr>
            </w:pPr>
            <w:r>
              <w:rPr>
                <w:w w:val="105"/>
                <w:sz w:val="16"/>
              </w:rPr>
              <w:t>Net</w:t>
            </w:r>
            <w:r>
              <w:rPr>
                <w:spacing w:val="-6"/>
                <w:w w:val="105"/>
                <w:sz w:val="16"/>
              </w:rPr>
              <w:t> </w:t>
            </w:r>
            <w:r>
              <w:rPr>
                <w:spacing w:val="-2"/>
                <w:w w:val="105"/>
                <w:sz w:val="16"/>
              </w:rPr>
              <w:t>income</w:t>
            </w:r>
          </w:p>
        </w:tc>
        <w:tc>
          <w:tcPr>
            <w:tcW w:w="1210" w:type="dxa"/>
            <w:tcBorders>
              <w:top w:val="single" w:sz="6" w:space="0" w:color="000000"/>
              <w:bottom w:val="single" w:sz="6" w:space="0" w:color="000000"/>
            </w:tcBorders>
          </w:tcPr>
          <w:p>
            <w:pPr>
              <w:pStyle w:val="TableParagraph"/>
              <w:spacing w:before="5"/>
              <w:rPr>
                <w:sz w:val="16"/>
              </w:rPr>
            </w:pPr>
          </w:p>
          <w:p>
            <w:pPr>
              <w:pStyle w:val="TableParagraph"/>
              <w:spacing w:line="200" w:lineRule="atLeast"/>
              <w:ind w:left="292" w:right="45" w:hanging="189"/>
              <w:rPr>
                <w:sz w:val="16"/>
              </w:rPr>
            </w:pPr>
            <w:r>
              <w:rPr>
                <w:spacing w:val="-2"/>
                <w:w w:val="105"/>
                <w:sz w:val="16"/>
              </w:rPr>
              <w:t>Effective</w:t>
            </w:r>
            <w:r>
              <w:rPr>
                <w:spacing w:val="-9"/>
                <w:w w:val="105"/>
                <w:sz w:val="16"/>
              </w:rPr>
              <w:t> </w:t>
            </w:r>
            <w:r>
              <w:rPr>
                <w:spacing w:val="-2"/>
                <w:w w:val="105"/>
                <w:sz w:val="16"/>
              </w:rPr>
              <w:t>tax</w:t>
            </w:r>
            <w:r>
              <w:rPr>
                <w:w w:val="105"/>
                <w:sz w:val="16"/>
              </w:rPr>
              <w:t> rate</w:t>
            </w:r>
            <w:r>
              <w:rPr>
                <w:spacing w:val="-1"/>
                <w:w w:val="105"/>
                <w:sz w:val="16"/>
              </w:rPr>
              <w:t> </w:t>
            </w:r>
            <w:r>
              <w:rPr>
                <w:w w:val="105"/>
                <w:sz w:val="16"/>
              </w:rPr>
              <w:t>(a)</w:t>
            </w:r>
          </w:p>
        </w:tc>
        <w:tc>
          <w:tcPr>
            <w:tcW w:w="1088" w:type="dxa"/>
            <w:tcBorders>
              <w:top w:val="single" w:sz="6" w:space="0" w:color="000000"/>
              <w:bottom w:val="single" w:sz="6" w:space="0" w:color="000000"/>
            </w:tcBorders>
          </w:tcPr>
          <w:p>
            <w:pPr>
              <w:pStyle w:val="TableParagraph"/>
              <w:spacing w:before="5"/>
              <w:rPr>
                <w:sz w:val="16"/>
              </w:rPr>
            </w:pPr>
          </w:p>
          <w:p>
            <w:pPr>
              <w:pStyle w:val="TableParagraph"/>
              <w:spacing w:line="200" w:lineRule="atLeast"/>
              <w:ind w:left="342" w:hanging="247"/>
              <w:rPr>
                <w:sz w:val="16"/>
              </w:rPr>
            </w:pPr>
            <w:r>
              <w:rPr>
                <w:spacing w:val="-2"/>
                <w:w w:val="105"/>
                <w:sz w:val="16"/>
              </w:rPr>
              <w:t>Earnings</w:t>
            </w:r>
            <w:r>
              <w:rPr>
                <w:spacing w:val="-9"/>
                <w:w w:val="105"/>
                <w:sz w:val="16"/>
              </w:rPr>
              <w:t> </w:t>
            </w:r>
            <w:r>
              <w:rPr>
                <w:spacing w:val="-2"/>
                <w:w w:val="105"/>
                <w:sz w:val="16"/>
              </w:rPr>
              <w:t>per</w:t>
            </w:r>
            <w:r>
              <w:rPr>
                <w:spacing w:val="40"/>
                <w:w w:val="105"/>
                <w:sz w:val="16"/>
              </w:rPr>
              <w:t> </w:t>
            </w:r>
            <w:r>
              <w:rPr>
                <w:spacing w:val="-2"/>
                <w:w w:val="105"/>
                <w:sz w:val="16"/>
              </w:rPr>
              <w:t>share</w:t>
            </w:r>
          </w:p>
        </w:tc>
      </w:tr>
      <w:tr>
        <w:trPr>
          <w:trHeight w:val="202" w:hRule="atLeast"/>
        </w:trPr>
        <w:tc>
          <w:tcPr>
            <w:tcW w:w="4675" w:type="dxa"/>
            <w:tcBorders>
              <w:top w:val="single" w:sz="6" w:space="0" w:color="000000"/>
            </w:tcBorders>
            <w:shd w:val="clear" w:color="auto" w:fill="CCEDFF"/>
          </w:tcPr>
          <w:p>
            <w:pPr>
              <w:pStyle w:val="TableParagraph"/>
              <w:spacing w:line="180" w:lineRule="exact" w:before="2"/>
              <w:rPr>
                <w:b/>
                <w:sz w:val="16"/>
              </w:rPr>
            </w:pPr>
            <w:r>
              <w:rPr>
                <w:b/>
                <w:w w:val="105"/>
                <w:sz w:val="16"/>
              </w:rPr>
              <w:t>As</w:t>
            </w:r>
            <w:r>
              <w:rPr>
                <w:b/>
                <w:spacing w:val="-6"/>
                <w:w w:val="105"/>
                <w:sz w:val="16"/>
              </w:rPr>
              <w:t> </w:t>
            </w:r>
            <w:r>
              <w:rPr>
                <w:b/>
                <w:spacing w:val="-2"/>
                <w:w w:val="105"/>
                <w:sz w:val="16"/>
              </w:rPr>
              <w:t>reported</w:t>
            </w:r>
          </w:p>
        </w:tc>
        <w:tc>
          <w:tcPr>
            <w:tcW w:w="959" w:type="dxa"/>
            <w:tcBorders>
              <w:top w:val="single" w:sz="6" w:space="0" w:color="000000"/>
            </w:tcBorders>
            <w:shd w:val="clear" w:color="auto" w:fill="CCEDFF"/>
          </w:tcPr>
          <w:p>
            <w:pPr>
              <w:pStyle w:val="TableParagraph"/>
              <w:tabs>
                <w:tab w:pos="461" w:val="left" w:leader="none"/>
              </w:tabs>
              <w:spacing w:line="180" w:lineRule="exact" w:before="2"/>
              <w:ind w:left="-1" w:right="39"/>
              <w:jc w:val="right"/>
              <w:rPr>
                <w:b/>
                <w:sz w:val="16"/>
              </w:rPr>
            </w:pPr>
            <w:r>
              <w:rPr>
                <w:b/>
                <w:spacing w:val="-10"/>
                <w:w w:val="105"/>
                <w:sz w:val="16"/>
              </w:rPr>
              <w:t>$</w:t>
            </w:r>
            <w:r>
              <w:rPr>
                <w:b/>
                <w:sz w:val="16"/>
              </w:rPr>
              <w:tab/>
            </w:r>
            <w:r>
              <w:rPr>
                <w:b/>
                <w:spacing w:val="-4"/>
                <w:w w:val="105"/>
                <w:sz w:val="16"/>
              </w:rPr>
              <w:t>11,303</w:t>
            </w:r>
          </w:p>
        </w:tc>
        <w:tc>
          <w:tcPr>
            <w:tcW w:w="1273" w:type="dxa"/>
            <w:gridSpan w:val="2"/>
            <w:tcBorders>
              <w:top w:val="single" w:sz="6" w:space="0" w:color="000000"/>
            </w:tcBorders>
            <w:shd w:val="clear" w:color="auto" w:fill="CCEDFF"/>
          </w:tcPr>
          <w:p>
            <w:pPr>
              <w:pStyle w:val="TableParagraph"/>
              <w:tabs>
                <w:tab w:pos="909" w:val="left" w:leader="none"/>
              </w:tabs>
              <w:spacing w:line="180" w:lineRule="exact" w:before="2"/>
              <w:ind w:left="187"/>
              <w:rPr>
                <w:sz w:val="16"/>
              </w:rPr>
            </w:pPr>
            <w:r>
              <w:rPr>
                <w:b/>
                <w:spacing w:val="-10"/>
                <w:w w:val="105"/>
                <w:sz w:val="16"/>
              </w:rPr>
              <w:t>$</w:t>
            </w:r>
            <w:r>
              <w:rPr>
                <w:b/>
                <w:sz w:val="16"/>
              </w:rPr>
              <w:tab/>
            </w:r>
            <w:r>
              <w:rPr>
                <w:b/>
                <w:spacing w:val="-4"/>
                <w:w w:val="105"/>
                <w:sz w:val="16"/>
              </w:rPr>
              <w:t>(25</w:t>
            </w:r>
            <w:r>
              <w:rPr>
                <w:spacing w:val="-4"/>
                <w:w w:val="105"/>
                <w:sz w:val="16"/>
              </w:rPr>
              <w:t>)</w:t>
            </w:r>
          </w:p>
        </w:tc>
        <w:tc>
          <w:tcPr>
            <w:tcW w:w="1146" w:type="dxa"/>
            <w:tcBorders>
              <w:top w:val="single" w:sz="6" w:space="0" w:color="000000"/>
            </w:tcBorders>
            <w:shd w:val="clear" w:color="auto" w:fill="CCEDFF"/>
          </w:tcPr>
          <w:p>
            <w:pPr>
              <w:pStyle w:val="TableParagraph"/>
              <w:tabs>
                <w:tab w:pos="755" w:val="left" w:leader="none"/>
              </w:tabs>
              <w:spacing w:line="180" w:lineRule="exact" w:before="2"/>
              <w:ind w:left="86"/>
              <w:rPr>
                <w:b/>
                <w:sz w:val="16"/>
              </w:rPr>
            </w:pPr>
            <w:r>
              <w:rPr>
                <w:b/>
                <w:spacing w:val="-10"/>
                <w:w w:val="105"/>
                <w:sz w:val="16"/>
              </w:rPr>
              <w:t>$</w:t>
            </w:r>
            <w:r>
              <w:rPr>
                <w:b/>
                <w:sz w:val="16"/>
              </w:rPr>
              <w:tab/>
            </w:r>
            <w:r>
              <w:rPr>
                <w:b/>
                <w:spacing w:val="-5"/>
                <w:w w:val="105"/>
                <w:sz w:val="16"/>
              </w:rPr>
              <w:t>623</w:t>
            </w:r>
          </w:p>
        </w:tc>
        <w:tc>
          <w:tcPr>
            <w:tcW w:w="1162" w:type="dxa"/>
            <w:tcBorders>
              <w:top w:val="single" w:sz="6" w:space="0" w:color="000000"/>
            </w:tcBorders>
            <w:shd w:val="clear" w:color="auto" w:fill="CCEDFF"/>
          </w:tcPr>
          <w:p>
            <w:pPr>
              <w:pStyle w:val="TableParagraph"/>
              <w:tabs>
                <w:tab w:pos="668" w:val="left" w:leader="none"/>
              </w:tabs>
              <w:spacing w:line="180" w:lineRule="exact" w:before="2"/>
              <w:ind w:right="156"/>
              <w:jc w:val="right"/>
              <w:rPr>
                <w:b/>
                <w:sz w:val="16"/>
              </w:rPr>
            </w:pPr>
            <w:r>
              <w:rPr>
                <w:b/>
                <w:spacing w:val="-10"/>
                <w:w w:val="105"/>
                <w:sz w:val="16"/>
              </w:rPr>
              <w:t>$</w:t>
            </w:r>
            <w:r>
              <w:rPr>
                <w:b/>
                <w:sz w:val="16"/>
              </w:rPr>
              <w:tab/>
            </w:r>
            <w:r>
              <w:rPr>
                <w:b/>
                <w:spacing w:val="-5"/>
                <w:w w:val="105"/>
                <w:sz w:val="16"/>
              </w:rPr>
              <w:t>512</w:t>
            </w:r>
          </w:p>
        </w:tc>
        <w:tc>
          <w:tcPr>
            <w:tcW w:w="1210" w:type="dxa"/>
            <w:tcBorders>
              <w:top w:val="single" w:sz="6" w:space="0" w:color="000000"/>
            </w:tcBorders>
            <w:shd w:val="clear" w:color="auto" w:fill="CCEDFF"/>
          </w:tcPr>
          <w:p>
            <w:pPr>
              <w:pStyle w:val="TableParagraph"/>
              <w:spacing w:line="180" w:lineRule="exact" w:before="2"/>
              <w:ind w:right="53"/>
              <w:jc w:val="right"/>
              <w:rPr>
                <w:b/>
                <w:sz w:val="16"/>
              </w:rPr>
            </w:pPr>
            <w:r>
              <w:rPr>
                <w:b/>
                <w:spacing w:val="-2"/>
                <w:w w:val="105"/>
                <w:sz w:val="16"/>
              </w:rPr>
              <w:t>17.8%</w:t>
            </w:r>
          </w:p>
        </w:tc>
        <w:tc>
          <w:tcPr>
            <w:tcW w:w="1088" w:type="dxa"/>
            <w:tcBorders>
              <w:top w:val="single" w:sz="6" w:space="0" w:color="000000"/>
            </w:tcBorders>
            <w:shd w:val="clear" w:color="auto" w:fill="CCEDFF"/>
          </w:tcPr>
          <w:p>
            <w:pPr>
              <w:pStyle w:val="TableParagraph"/>
              <w:tabs>
                <w:tab w:pos="685" w:val="left" w:leader="none"/>
              </w:tabs>
              <w:spacing w:line="180" w:lineRule="exact" w:before="2"/>
              <w:ind w:left="58"/>
              <w:rPr>
                <w:b/>
                <w:sz w:val="16"/>
              </w:rPr>
            </w:pPr>
            <w:r>
              <w:rPr>
                <w:b/>
                <w:spacing w:val="-10"/>
                <w:w w:val="105"/>
                <w:sz w:val="16"/>
              </w:rPr>
              <w:t>$</w:t>
            </w:r>
            <w:r>
              <w:rPr>
                <w:b/>
                <w:sz w:val="16"/>
              </w:rPr>
              <w:tab/>
            </w:r>
            <w:r>
              <w:rPr>
                <w:b/>
                <w:spacing w:val="-4"/>
                <w:w w:val="105"/>
                <w:sz w:val="16"/>
              </w:rPr>
              <w:t>0.54</w:t>
            </w:r>
          </w:p>
        </w:tc>
      </w:tr>
      <w:tr>
        <w:trPr>
          <w:trHeight w:val="203" w:hRule="atLeast"/>
        </w:trPr>
        <w:tc>
          <w:tcPr>
            <w:tcW w:w="4675" w:type="dxa"/>
          </w:tcPr>
          <w:p>
            <w:pPr>
              <w:pStyle w:val="TableParagraph"/>
              <w:spacing w:line="184" w:lineRule="exact"/>
              <w:rPr>
                <w:sz w:val="14"/>
              </w:rPr>
            </w:pPr>
            <w:r>
              <w:rPr>
                <w:sz w:val="16"/>
              </w:rPr>
              <w:t>Constant-currency</w:t>
            </w:r>
            <w:r>
              <w:rPr>
                <w:spacing w:val="30"/>
                <w:sz w:val="16"/>
              </w:rPr>
              <w:t> </w:t>
            </w:r>
            <w:r>
              <w:rPr>
                <w:sz w:val="16"/>
              </w:rPr>
              <w:t>adjustment</w:t>
            </w:r>
            <w:r>
              <w:rPr>
                <w:spacing w:val="30"/>
                <w:sz w:val="16"/>
              </w:rPr>
              <w:t> </w:t>
            </w:r>
            <w:r>
              <w:rPr>
                <w:spacing w:val="-5"/>
                <w:position w:val="3"/>
                <w:sz w:val="14"/>
              </w:rPr>
              <w:t>(1)</w:t>
            </w:r>
          </w:p>
        </w:tc>
        <w:tc>
          <w:tcPr>
            <w:tcW w:w="959" w:type="dxa"/>
          </w:tcPr>
          <w:p>
            <w:pPr>
              <w:pStyle w:val="TableParagraph"/>
              <w:spacing w:line="180" w:lineRule="exact" w:before="3"/>
              <w:ind w:left="-1" w:right="39"/>
              <w:jc w:val="right"/>
              <w:rPr>
                <w:sz w:val="16"/>
              </w:rPr>
            </w:pPr>
            <w:r>
              <w:rPr>
                <w:spacing w:val="-5"/>
                <w:w w:val="105"/>
                <w:sz w:val="16"/>
              </w:rPr>
              <w:t>44</w:t>
            </w:r>
          </w:p>
        </w:tc>
        <w:tc>
          <w:tcPr>
            <w:tcW w:w="1273" w:type="dxa"/>
            <w:gridSpan w:val="2"/>
          </w:tcPr>
          <w:p>
            <w:pPr>
              <w:pStyle w:val="TableParagraph"/>
              <w:rPr>
                <w:sz w:val="14"/>
              </w:rPr>
            </w:pPr>
          </w:p>
        </w:tc>
        <w:tc>
          <w:tcPr>
            <w:tcW w:w="1146" w:type="dxa"/>
          </w:tcPr>
          <w:p>
            <w:pPr>
              <w:pStyle w:val="TableParagraph"/>
              <w:spacing w:line="180" w:lineRule="exact" w:before="3"/>
              <w:ind w:right="140"/>
              <w:jc w:val="right"/>
              <w:rPr>
                <w:sz w:val="16"/>
              </w:rPr>
            </w:pPr>
            <w:r>
              <w:rPr>
                <w:spacing w:val="-5"/>
                <w:w w:val="105"/>
                <w:sz w:val="16"/>
              </w:rPr>
              <w:t>22</w:t>
            </w:r>
          </w:p>
        </w:tc>
        <w:tc>
          <w:tcPr>
            <w:tcW w:w="1162" w:type="dxa"/>
          </w:tcPr>
          <w:p>
            <w:pPr>
              <w:pStyle w:val="TableParagraph"/>
              <w:spacing w:line="180" w:lineRule="exact" w:before="3"/>
              <w:ind w:right="156"/>
              <w:jc w:val="right"/>
              <w:rPr>
                <w:sz w:val="16"/>
              </w:rPr>
            </w:pPr>
            <w:r>
              <w:rPr>
                <w:spacing w:val="-5"/>
                <w:w w:val="105"/>
                <w:sz w:val="16"/>
              </w:rPr>
              <w:t>17</w:t>
            </w:r>
          </w:p>
        </w:tc>
        <w:tc>
          <w:tcPr>
            <w:tcW w:w="1210" w:type="dxa"/>
          </w:tcPr>
          <w:p>
            <w:pPr>
              <w:pStyle w:val="TableParagraph"/>
              <w:rPr>
                <w:sz w:val="14"/>
              </w:rPr>
            </w:pPr>
          </w:p>
        </w:tc>
        <w:tc>
          <w:tcPr>
            <w:tcW w:w="1088" w:type="dxa"/>
          </w:tcPr>
          <w:p>
            <w:pPr>
              <w:pStyle w:val="TableParagraph"/>
              <w:spacing w:line="180" w:lineRule="exact" w:before="3"/>
              <w:ind w:left="686"/>
              <w:rPr>
                <w:sz w:val="16"/>
              </w:rPr>
            </w:pPr>
            <w:r>
              <w:rPr>
                <w:spacing w:val="-4"/>
                <w:w w:val="105"/>
                <w:sz w:val="16"/>
              </w:rPr>
              <w:t>0.02</w:t>
            </w:r>
          </w:p>
        </w:tc>
      </w:tr>
      <w:tr>
        <w:trPr>
          <w:trHeight w:val="203" w:hRule="atLeast"/>
        </w:trPr>
        <w:tc>
          <w:tcPr>
            <w:tcW w:w="4675" w:type="dxa"/>
            <w:shd w:val="clear" w:color="auto" w:fill="CCEDFF"/>
          </w:tcPr>
          <w:p>
            <w:pPr>
              <w:pStyle w:val="TableParagraph"/>
              <w:spacing w:line="184" w:lineRule="exact"/>
              <w:rPr>
                <w:sz w:val="14"/>
              </w:rPr>
            </w:pPr>
            <w:r>
              <w:rPr>
                <w:sz w:val="16"/>
              </w:rPr>
              <w:t>Translation</w:t>
            </w:r>
            <w:r>
              <w:rPr>
                <w:spacing w:val="16"/>
                <w:sz w:val="16"/>
              </w:rPr>
              <w:t> </w:t>
            </w:r>
            <w:r>
              <w:rPr>
                <w:sz w:val="16"/>
              </w:rPr>
              <w:t>loss</w:t>
            </w:r>
            <w:r>
              <w:rPr>
                <w:spacing w:val="16"/>
                <w:sz w:val="16"/>
              </w:rPr>
              <w:t> </w:t>
            </w:r>
            <w:r>
              <w:rPr>
                <w:sz w:val="16"/>
              </w:rPr>
              <w:t>on</w:t>
            </w:r>
            <w:r>
              <w:rPr>
                <w:spacing w:val="16"/>
                <w:sz w:val="16"/>
              </w:rPr>
              <w:t> </w:t>
            </w:r>
            <w:r>
              <w:rPr>
                <w:sz w:val="16"/>
              </w:rPr>
              <w:t>Japanese</w:t>
            </w:r>
            <w:r>
              <w:rPr>
                <w:spacing w:val="16"/>
                <w:sz w:val="16"/>
              </w:rPr>
              <w:t> </w:t>
            </w:r>
            <w:r>
              <w:rPr>
                <w:sz w:val="16"/>
              </w:rPr>
              <w:t>yen-denominated</w:t>
            </w:r>
            <w:r>
              <w:rPr>
                <w:spacing w:val="17"/>
                <w:sz w:val="16"/>
              </w:rPr>
              <w:t> </w:t>
            </w:r>
            <w:r>
              <w:rPr>
                <w:sz w:val="16"/>
              </w:rPr>
              <w:t>debt</w:t>
            </w:r>
            <w:r>
              <w:rPr>
                <w:spacing w:val="17"/>
                <w:sz w:val="16"/>
              </w:rPr>
              <w:t> </w:t>
            </w:r>
            <w:r>
              <w:rPr>
                <w:spacing w:val="-5"/>
                <w:position w:val="3"/>
                <w:sz w:val="14"/>
              </w:rPr>
              <w:t>(2)</w:t>
            </w:r>
          </w:p>
        </w:tc>
        <w:tc>
          <w:tcPr>
            <w:tcW w:w="959" w:type="dxa"/>
            <w:shd w:val="clear" w:color="auto" w:fill="CCEDFF"/>
          </w:tcPr>
          <w:p>
            <w:pPr>
              <w:pStyle w:val="TableParagraph"/>
              <w:rPr>
                <w:sz w:val="14"/>
              </w:rPr>
            </w:pPr>
          </w:p>
        </w:tc>
        <w:tc>
          <w:tcPr>
            <w:tcW w:w="1273" w:type="dxa"/>
            <w:gridSpan w:val="2"/>
            <w:shd w:val="clear" w:color="auto" w:fill="CCEDFF"/>
          </w:tcPr>
          <w:p>
            <w:pPr>
              <w:pStyle w:val="TableParagraph"/>
              <w:rPr>
                <w:sz w:val="14"/>
              </w:rPr>
            </w:pPr>
          </w:p>
        </w:tc>
        <w:tc>
          <w:tcPr>
            <w:tcW w:w="1146" w:type="dxa"/>
            <w:shd w:val="clear" w:color="auto" w:fill="CCEDFF"/>
          </w:tcPr>
          <w:p>
            <w:pPr>
              <w:pStyle w:val="TableParagraph"/>
              <w:spacing w:line="180" w:lineRule="exact" w:before="3"/>
              <w:ind w:right="140"/>
              <w:jc w:val="right"/>
              <w:rPr>
                <w:sz w:val="16"/>
              </w:rPr>
            </w:pPr>
            <w:r>
              <w:rPr>
                <w:spacing w:val="-5"/>
                <w:w w:val="105"/>
                <w:sz w:val="16"/>
              </w:rPr>
              <w:t>86</w:t>
            </w:r>
          </w:p>
        </w:tc>
        <w:tc>
          <w:tcPr>
            <w:tcW w:w="1162" w:type="dxa"/>
            <w:shd w:val="clear" w:color="auto" w:fill="CCEDFF"/>
          </w:tcPr>
          <w:p>
            <w:pPr>
              <w:pStyle w:val="TableParagraph"/>
              <w:spacing w:line="180" w:lineRule="exact" w:before="3"/>
              <w:ind w:right="156"/>
              <w:jc w:val="right"/>
              <w:rPr>
                <w:sz w:val="16"/>
              </w:rPr>
            </w:pPr>
            <w:r>
              <w:rPr>
                <w:spacing w:val="-5"/>
                <w:w w:val="105"/>
                <w:sz w:val="16"/>
              </w:rPr>
              <w:t>67</w:t>
            </w:r>
          </w:p>
        </w:tc>
        <w:tc>
          <w:tcPr>
            <w:tcW w:w="1210" w:type="dxa"/>
            <w:shd w:val="clear" w:color="auto" w:fill="CCEDFF"/>
          </w:tcPr>
          <w:p>
            <w:pPr>
              <w:pStyle w:val="TableParagraph"/>
              <w:rPr>
                <w:sz w:val="14"/>
              </w:rPr>
            </w:pPr>
          </w:p>
        </w:tc>
        <w:tc>
          <w:tcPr>
            <w:tcW w:w="1088" w:type="dxa"/>
            <w:shd w:val="clear" w:color="auto" w:fill="CCEDFF"/>
          </w:tcPr>
          <w:p>
            <w:pPr>
              <w:pStyle w:val="TableParagraph"/>
              <w:spacing w:line="180" w:lineRule="exact" w:before="3"/>
              <w:ind w:left="686"/>
              <w:rPr>
                <w:sz w:val="16"/>
              </w:rPr>
            </w:pPr>
            <w:r>
              <w:rPr>
                <w:spacing w:val="-4"/>
                <w:w w:val="105"/>
                <w:sz w:val="16"/>
              </w:rPr>
              <w:t>0.09</w:t>
            </w:r>
          </w:p>
        </w:tc>
      </w:tr>
      <w:tr>
        <w:trPr>
          <w:trHeight w:val="203" w:hRule="atLeast"/>
        </w:trPr>
        <w:tc>
          <w:tcPr>
            <w:tcW w:w="4675" w:type="dxa"/>
          </w:tcPr>
          <w:p>
            <w:pPr>
              <w:pStyle w:val="TableParagraph"/>
              <w:spacing w:line="184" w:lineRule="exact"/>
              <w:rPr>
                <w:sz w:val="14"/>
              </w:rPr>
            </w:pPr>
            <w:r>
              <w:rPr>
                <w:spacing w:val="-2"/>
                <w:w w:val="105"/>
                <w:sz w:val="16"/>
              </w:rPr>
              <w:t>Translated</w:t>
            </w:r>
            <w:r>
              <w:rPr>
                <w:spacing w:val="2"/>
                <w:w w:val="105"/>
                <w:sz w:val="16"/>
              </w:rPr>
              <w:t> </w:t>
            </w:r>
            <w:r>
              <w:rPr>
                <w:spacing w:val="-2"/>
                <w:w w:val="105"/>
                <w:sz w:val="16"/>
              </w:rPr>
              <w:t>earnings</w:t>
            </w:r>
            <w:r>
              <w:rPr>
                <w:spacing w:val="3"/>
                <w:w w:val="105"/>
                <w:sz w:val="16"/>
              </w:rPr>
              <w:t> </w:t>
            </w:r>
            <w:r>
              <w:rPr>
                <w:spacing w:val="-2"/>
                <w:w w:val="105"/>
                <w:sz w:val="16"/>
              </w:rPr>
              <w:t>contract</w:t>
            </w:r>
            <w:r>
              <w:rPr>
                <w:spacing w:val="3"/>
                <w:w w:val="105"/>
                <w:sz w:val="16"/>
              </w:rPr>
              <w:t> </w:t>
            </w:r>
            <w:r>
              <w:rPr>
                <w:spacing w:val="-2"/>
                <w:w w:val="105"/>
                <w:sz w:val="16"/>
              </w:rPr>
              <w:t>loss,</w:t>
            </w:r>
            <w:r>
              <w:rPr>
                <w:spacing w:val="2"/>
                <w:w w:val="105"/>
                <w:sz w:val="16"/>
              </w:rPr>
              <w:t> </w:t>
            </w:r>
            <w:r>
              <w:rPr>
                <w:spacing w:val="-2"/>
                <w:w w:val="105"/>
                <w:sz w:val="16"/>
              </w:rPr>
              <w:t>net</w:t>
            </w:r>
            <w:r>
              <w:rPr>
                <w:spacing w:val="4"/>
                <w:w w:val="105"/>
                <w:sz w:val="16"/>
              </w:rPr>
              <w:t> </w:t>
            </w:r>
            <w:r>
              <w:rPr>
                <w:spacing w:val="-5"/>
                <w:w w:val="105"/>
                <w:position w:val="3"/>
                <w:sz w:val="14"/>
              </w:rPr>
              <w:t>(3)</w:t>
            </w:r>
          </w:p>
        </w:tc>
        <w:tc>
          <w:tcPr>
            <w:tcW w:w="959" w:type="dxa"/>
          </w:tcPr>
          <w:p>
            <w:pPr>
              <w:pStyle w:val="TableParagraph"/>
              <w:rPr>
                <w:sz w:val="14"/>
              </w:rPr>
            </w:pPr>
          </w:p>
        </w:tc>
        <w:tc>
          <w:tcPr>
            <w:tcW w:w="1273" w:type="dxa"/>
            <w:gridSpan w:val="2"/>
          </w:tcPr>
          <w:p>
            <w:pPr>
              <w:pStyle w:val="TableParagraph"/>
              <w:rPr>
                <w:sz w:val="14"/>
              </w:rPr>
            </w:pPr>
          </w:p>
        </w:tc>
        <w:tc>
          <w:tcPr>
            <w:tcW w:w="1146" w:type="dxa"/>
          </w:tcPr>
          <w:p>
            <w:pPr>
              <w:pStyle w:val="TableParagraph"/>
              <w:spacing w:line="180" w:lineRule="exact" w:before="3"/>
              <w:ind w:right="140"/>
              <w:jc w:val="right"/>
              <w:rPr>
                <w:sz w:val="16"/>
              </w:rPr>
            </w:pPr>
            <w:r>
              <w:rPr>
                <w:spacing w:val="-5"/>
                <w:w w:val="105"/>
                <w:sz w:val="16"/>
              </w:rPr>
              <w:t>46</w:t>
            </w:r>
          </w:p>
        </w:tc>
        <w:tc>
          <w:tcPr>
            <w:tcW w:w="1162" w:type="dxa"/>
          </w:tcPr>
          <w:p>
            <w:pPr>
              <w:pStyle w:val="TableParagraph"/>
              <w:spacing w:line="180" w:lineRule="exact" w:before="3"/>
              <w:ind w:right="156"/>
              <w:jc w:val="right"/>
              <w:rPr>
                <w:sz w:val="16"/>
              </w:rPr>
            </w:pPr>
            <w:r>
              <w:rPr>
                <w:spacing w:val="-5"/>
                <w:w w:val="105"/>
                <w:sz w:val="16"/>
              </w:rPr>
              <w:t>36</w:t>
            </w:r>
          </w:p>
        </w:tc>
        <w:tc>
          <w:tcPr>
            <w:tcW w:w="1210" w:type="dxa"/>
          </w:tcPr>
          <w:p>
            <w:pPr>
              <w:pStyle w:val="TableParagraph"/>
              <w:rPr>
                <w:sz w:val="14"/>
              </w:rPr>
            </w:pPr>
          </w:p>
        </w:tc>
        <w:tc>
          <w:tcPr>
            <w:tcW w:w="1088" w:type="dxa"/>
          </w:tcPr>
          <w:p>
            <w:pPr>
              <w:pStyle w:val="TableParagraph"/>
              <w:spacing w:line="180" w:lineRule="exact" w:before="3"/>
              <w:ind w:left="686"/>
              <w:rPr>
                <w:sz w:val="16"/>
              </w:rPr>
            </w:pPr>
            <w:r>
              <w:rPr>
                <w:spacing w:val="-4"/>
                <w:w w:val="105"/>
                <w:sz w:val="16"/>
              </w:rPr>
              <w:t>0.05</w:t>
            </w:r>
          </w:p>
        </w:tc>
      </w:tr>
      <w:tr>
        <w:trPr>
          <w:trHeight w:val="203" w:hRule="atLeast"/>
        </w:trPr>
        <w:tc>
          <w:tcPr>
            <w:tcW w:w="4675" w:type="dxa"/>
            <w:shd w:val="clear" w:color="auto" w:fill="CCEDFF"/>
          </w:tcPr>
          <w:p>
            <w:pPr>
              <w:pStyle w:val="TableParagraph"/>
              <w:spacing w:line="184" w:lineRule="exact"/>
              <w:rPr>
                <w:sz w:val="14"/>
              </w:rPr>
            </w:pPr>
            <w:r>
              <w:rPr>
                <w:sz w:val="16"/>
              </w:rPr>
              <w:t>Acquisition-related</w:t>
            </w:r>
            <w:r>
              <w:rPr>
                <w:spacing w:val="24"/>
                <w:sz w:val="16"/>
              </w:rPr>
              <w:t> </w:t>
            </w:r>
            <w:r>
              <w:rPr>
                <w:sz w:val="16"/>
              </w:rPr>
              <w:t>costs</w:t>
            </w:r>
            <w:r>
              <w:rPr>
                <w:spacing w:val="22"/>
                <w:sz w:val="16"/>
              </w:rPr>
              <w:t> </w:t>
            </w:r>
            <w:r>
              <w:rPr>
                <w:spacing w:val="-5"/>
                <w:position w:val="3"/>
                <w:sz w:val="14"/>
              </w:rPr>
              <w:t>(4)</w:t>
            </w:r>
          </w:p>
        </w:tc>
        <w:tc>
          <w:tcPr>
            <w:tcW w:w="959" w:type="dxa"/>
            <w:shd w:val="clear" w:color="auto" w:fill="CCEDFF"/>
          </w:tcPr>
          <w:p>
            <w:pPr>
              <w:pStyle w:val="TableParagraph"/>
              <w:rPr>
                <w:sz w:val="14"/>
              </w:rPr>
            </w:pPr>
          </w:p>
        </w:tc>
        <w:tc>
          <w:tcPr>
            <w:tcW w:w="1273" w:type="dxa"/>
            <w:gridSpan w:val="2"/>
            <w:shd w:val="clear" w:color="auto" w:fill="CCEDFF"/>
          </w:tcPr>
          <w:p>
            <w:pPr>
              <w:pStyle w:val="TableParagraph"/>
              <w:rPr>
                <w:sz w:val="14"/>
              </w:rPr>
            </w:pPr>
          </w:p>
        </w:tc>
        <w:tc>
          <w:tcPr>
            <w:tcW w:w="1146" w:type="dxa"/>
            <w:shd w:val="clear" w:color="auto" w:fill="CCEDFF"/>
          </w:tcPr>
          <w:p>
            <w:pPr>
              <w:pStyle w:val="TableParagraph"/>
              <w:spacing w:line="180" w:lineRule="exact" w:before="3"/>
              <w:ind w:right="140"/>
              <w:jc w:val="right"/>
              <w:rPr>
                <w:sz w:val="16"/>
              </w:rPr>
            </w:pPr>
            <w:r>
              <w:rPr>
                <w:spacing w:val="-5"/>
                <w:w w:val="105"/>
                <w:sz w:val="16"/>
              </w:rPr>
              <w:t>156</w:t>
            </w:r>
          </w:p>
        </w:tc>
        <w:tc>
          <w:tcPr>
            <w:tcW w:w="1162" w:type="dxa"/>
            <w:shd w:val="clear" w:color="auto" w:fill="CCEDFF"/>
          </w:tcPr>
          <w:p>
            <w:pPr>
              <w:pStyle w:val="TableParagraph"/>
              <w:spacing w:line="180" w:lineRule="exact" w:before="3"/>
              <w:ind w:right="156"/>
              <w:jc w:val="right"/>
              <w:rPr>
                <w:sz w:val="16"/>
              </w:rPr>
            </w:pPr>
            <w:r>
              <w:rPr>
                <w:spacing w:val="-5"/>
                <w:w w:val="105"/>
                <w:sz w:val="16"/>
              </w:rPr>
              <w:t>114</w:t>
            </w:r>
          </w:p>
        </w:tc>
        <w:tc>
          <w:tcPr>
            <w:tcW w:w="1210" w:type="dxa"/>
            <w:shd w:val="clear" w:color="auto" w:fill="CCEDFF"/>
          </w:tcPr>
          <w:p>
            <w:pPr>
              <w:pStyle w:val="TableParagraph"/>
              <w:rPr>
                <w:sz w:val="14"/>
              </w:rPr>
            </w:pPr>
          </w:p>
        </w:tc>
        <w:tc>
          <w:tcPr>
            <w:tcW w:w="1088" w:type="dxa"/>
            <w:shd w:val="clear" w:color="auto" w:fill="CCEDFF"/>
          </w:tcPr>
          <w:p>
            <w:pPr>
              <w:pStyle w:val="TableParagraph"/>
              <w:spacing w:line="180" w:lineRule="exact" w:before="3"/>
              <w:ind w:left="686"/>
              <w:rPr>
                <w:sz w:val="16"/>
              </w:rPr>
            </w:pPr>
            <w:r>
              <w:rPr>
                <w:spacing w:val="-4"/>
                <w:w w:val="105"/>
                <w:sz w:val="16"/>
              </w:rPr>
              <w:t>0.15</w:t>
            </w:r>
          </w:p>
        </w:tc>
      </w:tr>
      <w:tr>
        <w:trPr>
          <w:trHeight w:val="203" w:hRule="atLeast"/>
        </w:trPr>
        <w:tc>
          <w:tcPr>
            <w:tcW w:w="4675" w:type="dxa"/>
          </w:tcPr>
          <w:p>
            <w:pPr>
              <w:pStyle w:val="TableParagraph"/>
              <w:spacing w:line="184" w:lineRule="exact"/>
              <w:rPr>
                <w:sz w:val="14"/>
              </w:rPr>
            </w:pPr>
            <w:r>
              <w:rPr>
                <w:w w:val="105"/>
                <w:sz w:val="16"/>
              </w:rPr>
              <w:t>Discrete</w:t>
            </w:r>
            <w:r>
              <w:rPr>
                <w:spacing w:val="-11"/>
                <w:w w:val="105"/>
                <w:sz w:val="16"/>
              </w:rPr>
              <w:t> </w:t>
            </w:r>
            <w:r>
              <w:rPr>
                <w:w w:val="105"/>
                <w:sz w:val="16"/>
              </w:rPr>
              <w:t>tax</w:t>
            </w:r>
            <w:r>
              <w:rPr>
                <w:spacing w:val="-10"/>
                <w:w w:val="105"/>
                <w:sz w:val="16"/>
              </w:rPr>
              <w:t> </w:t>
            </w:r>
            <w:r>
              <w:rPr>
                <w:w w:val="105"/>
                <w:sz w:val="16"/>
              </w:rPr>
              <w:t>items</w:t>
            </w:r>
            <w:r>
              <w:rPr>
                <w:spacing w:val="-10"/>
                <w:w w:val="105"/>
                <w:sz w:val="16"/>
              </w:rPr>
              <w:t> </w:t>
            </w:r>
            <w:r>
              <w:rPr>
                <w:w w:val="105"/>
                <w:sz w:val="16"/>
              </w:rPr>
              <w:t>and</w:t>
            </w:r>
            <w:r>
              <w:rPr>
                <w:spacing w:val="-10"/>
                <w:w w:val="105"/>
                <w:sz w:val="16"/>
              </w:rPr>
              <w:t> </w:t>
            </w:r>
            <w:r>
              <w:rPr>
                <w:w w:val="105"/>
                <w:sz w:val="16"/>
              </w:rPr>
              <w:t>other</w:t>
            </w:r>
            <w:r>
              <w:rPr>
                <w:spacing w:val="-11"/>
                <w:w w:val="105"/>
                <w:sz w:val="16"/>
              </w:rPr>
              <w:t> </w:t>
            </w:r>
            <w:r>
              <w:rPr>
                <w:w w:val="105"/>
                <w:sz w:val="16"/>
              </w:rPr>
              <w:t>tax-related</w:t>
            </w:r>
            <w:r>
              <w:rPr>
                <w:spacing w:val="-10"/>
                <w:w w:val="105"/>
                <w:sz w:val="16"/>
              </w:rPr>
              <w:t> </w:t>
            </w:r>
            <w:r>
              <w:rPr>
                <w:w w:val="105"/>
                <w:sz w:val="16"/>
              </w:rPr>
              <w:t>adjustments</w:t>
            </w:r>
            <w:r>
              <w:rPr>
                <w:spacing w:val="-10"/>
                <w:w w:val="105"/>
                <w:sz w:val="16"/>
              </w:rPr>
              <w:t> </w:t>
            </w:r>
            <w:r>
              <w:rPr>
                <w:spacing w:val="-5"/>
                <w:w w:val="105"/>
                <w:position w:val="3"/>
                <w:sz w:val="14"/>
              </w:rPr>
              <w:t>(5)</w:t>
            </w:r>
          </w:p>
        </w:tc>
        <w:tc>
          <w:tcPr>
            <w:tcW w:w="959" w:type="dxa"/>
          </w:tcPr>
          <w:p>
            <w:pPr>
              <w:pStyle w:val="TableParagraph"/>
              <w:rPr>
                <w:sz w:val="14"/>
              </w:rPr>
            </w:pPr>
          </w:p>
        </w:tc>
        <w:tc>
          <w:tcPr>
            <w:tcW w:w="1273" w:type="dxa"/>
            <w:gridSpan w:val="2"/>
          </w:tcPr>
          <w:p>
            <w:pPr>
              <w:pStyle w:val="TableParagraph"/>
              <w:rPr>
                <w:sz w:val="14"/>
              </w:rPr>
            </w:pPr>
          </w:p>
        </w:tc>
        <w:tc>
          <w:tcPr>
            <w:tcW w:w="1146" w:type="dxa"/>
          </w:tcPr>
          <w:p>
            <w:pPr>
              <w:pStyle w:val="TableParagraph"/>
              <w:rPr>
                <w:sz w:val="14"/>
              </w:rPr>
            </w:pPr>
          </w:p>
        </w:tc>
        <w:tc>
          <w:tcPr>
            <w:tcW w:w="1162" w:type="dxa"/>
          </w:tcPr>
          <w:p>
            <w:pPr>
              <w:pStyle w:val="TableParagraph"/>
              <w:spacing w:line="180" w:lineRule="exact" w:before="3"/>
              <w:ind w:right="100"/>
              <w:jc w:val="right"/>
              <w:rPr>
                <w:sz w:val="16"/>
              </w:rPr>
            </w:pPr>
            <w:r>
              <w:rPr>
                <w:spacing w:val="-4"/>
                <w:w w:val="105"/>
                <w:sz w:val="16"/>
              </w:rPr>
              <w:t>(24)</w:t>
            </w:r>
          </w:p>
        </w:tc>
        <w:tc>
          <w:tcPr>
            <w:tcW w:w="1210" w:type="dxa"/>
          </w:tcPr>
          <w:p>
            <w:pPr>
              <w:pStyle w:val="TableParagraph"/>
              <w:rPr>
                <w:sz w:val="14"/>
              </w:rPr>
            </w:pPr>
          </w:p>
        </w:tc>
        <w:tc>
          <w:tcPr>
            <w:tcW w:w="1088" w:type="dxa"/>
          </w:tcPr>
          <w:p>
            <w:pPr>
              <w:pStyle w:val="TableParagraph"/>
              <w:spacing w:line="180" w:lineRule="exact" w:before="3"/>
              <w:ind w:right="56"/>
              <w:jc w:val="right"/>
              <w:rPr>
                <w:sz w:val="16"/>
              </w:rPr>
            </w:pPr>
            <w:r>
              <w:rPr>
                <w:spacing w:val="-2"/>
                <w:w w:val="105"/>
                <w:sz w:val="16"/>
              </w:rPr>
              <w:t>(0.03)</w:t>
            </w:r>
          </w:p>
        </w:tc>
      </w:tr>
      <w:tr>
        <w:trPr>
          <w:trHeight w:val="203" w:hRule="atLeast"/>
        </w:trPr>
        <w:tc>
          <w:tcPr>
            <w:tcW w:w="4675" w:type="dxa"/>
            <w:shd w:val="clear" w:color="auto" w:fill="CCEDFF"/>
          </w:tcPr>
          <w:p>
            <w:pPr>
              <w:pStyle w:val="TableParagraph"/>
              <w:spacing w:line="184" w:lineRule="exact"/>
              <w:rPr>
                <w:sz w:val="14"/>
              </w:rPr>
            </w:pPr>
            <w:r>
              <w:rPr>
                <w:sz w:val="16"/>
              </w:rPr>
              <w:t>Pension</w:t>
            </w:r>
            <w:r>
              <w:rPr>
                <w:spacing w:val="22"/>
                <w:sz w:val="16"/>
              </w:rPr>
              <w:t> </w:t>
            </w:r>
            <w:r>
              <w:rPr>
                <w:sz w:val="16"/>
              </w:rPr>
              <w:t>mark-to-market</w:t>
            </w:r>
            <w:r>
              <w:rPr>
                <w:spacing w:val="26"/>
                <w:sz w:val="16"/>
              </w:rPr>
              <w:t> </w:t>
            </w:r>
            <w:r>
              <w:rPr>
                <w:sz w:val="16"/>
              </w:rPr>
              <w:t>adjustment</w:t>
            </w:r>
            <w:r>
              <w:rPr>
                <w:spacing w:val="23"/>
                <w:sz w:val="16"/>
              </w:rPr>
              <w:t> </w:t>
            </w:r>
            <w:r>
              <w:rPr>
                <w:spacing w:val="-5"/>
                <w:position w:val="3"/>
                <w:sz w:val="14"/>
              </w:rPr>
              <w:t>(6)</w:t>
            </w:r>
          </w:p>
        </w:tc>
        <w:tc>
          <w:tcPr>
            <w:tcW w:w="959" w:type="dxa"/>
            <w:shd w:val="clear" w:color="auto" w:fill="CCEDFF"/>
          </w:tcPr>
          <w:p>
            <w:pPr>
              <w:pStyle w:val="TableParagraph"/>
              <w:rPr>
                <w:sz w:val="14"/>
              </w:rPr>
            </w:pPr>
          </w:p>
        </w:tc>
        <w:tc>
          <w:tcPr>
            <w:tcW w:w="1273" w:type="dxa"/>
            <w:gridSpan w:val="2"/>
            <w:shd w:val="clear" w:color="auto" w:fill="CCEDFF"/>
          </w:tcPr>
          <w:p>
            <w:pPr>
              <w:pStyle w:val="TableParagraph"/>
              <w:rPr>
                <w:sz w:val="14"/>
              </w:rPr>
            </w:pPr>
          </w:p>
        </w:tc>
        <w:tc>
          <w:tcPr>
            <w:tcW w:w="1146" w:type="dxa"/>
            <w:shd w:val="clear" w:color="auto" w:fill="CCEDFF"/>
          </w:tcPr>
          <w:p>
            <w:pPr>
              <w:pStyle w:val="TableParagraph"/>
              <w:spacing w:line="180" w:lineRule="exact" w:before="3"/>
              <w:ind w:right="140"/>
              <w:jc w:val="right"/>
              <w:rPr>
                <w:sz w:val="16"/>
              </w:rPr>
            </w:pPr>
            <w:r>
              <w:rPr>
                <w:spacing w:val="-5"/>
                <w:w w:val="105"/>
                <w:sz w:val="16"/>
              </w:rPr>
              <w:t>31</w:t>
            </w:r>
          </w:p>
        </w:tc>
        <w:tc>
          <w:tcPr>
            <w:tcW w:w="1162" w:type="dxa"/>
            <w:shd w:val="clear" w:color="auto" w:fill="CCEDFF"/>
          </w:tcPr>
          <w:p>
            <w:pPr>
              <w:pStyle w:val="TableParagraph"/>
              <w:spacing w:line="180" w:lineRule="exact" w:before="3"/>
              <w:ind w:right="156"/>
              <w:jc w:val="right"/>
              <w:rPr>
                <w:sz w:val="16"/>
              </w:rPr>
            </w:pPr>
            <w:r>
              <w:rPr>
                <w:spacing w:val="-5"/>
                <w:w w:val="105"/>
                <w:sz w:val="16"/>
              </w:rPr>
              <w:t>24</w:t>
            </w:r>
          </w:p>
        </w:tc>
        <w:tc>
          <w:tcPr>
            <w:tcW w:w="1210" w:type="dxa"/>
            <w:shd w:val="clear" w:color="auto" w:fill="CCEDFF"/>
          </w:tcPr>
          <w:p>
            <w:pPr>
              <w:pStyle w:val="TableParagraph"/>
              <w:rPr>
                <w:sz w:val="14"/>
              </w:rPr>
            </w:pPr>
          </w:p>
        </w:tc>
        <w:tc>
          <w:tcPr>
            <w:tcW w:w="1088" w:type="dxa"/>
            <w:shd w:val="clear" w:color="auto" w:fill="CCEDFF"/>
          </w:tcPr>
          <w:p>
            <w:pPr>
              <w:pStyle w:val="TableParagraph"/>
              <w:spacing w:line="180" w:lineRule="exact" w:before="3"/>
              <w:ind w:left="686"/>
              <w:rPr>
                <w:sz w:val="16"/>
              </w:rPr>
            </w:pPr>
            <w:r>
              <w:rPr>
                <w:spacing w:val="-4"/>
                <w:w w:val="105"/>
                <w:sz w:val="16"/>
              </w:rPr>
              <w:t>0.03</w:t>
            </w:r>
          </w:p>
        </w:tc>
      </w:tr>
      <w:tr>
        <w:trPr>
          <w:trHeight w:val="203" w:hRule="atLeast"/>
        </w:trPr>
        <w:tc>
          <w:tcPr>
            <w:tcW w:w="4675" w:type="dxa"/>
          </w:tcPr>
          <w:p>
            <w:pPr>
              <w:pStyle w:val="TableParagraph"/>
              <w:spacing w:line="184" w:lineRule="exact"/>
              <w:rPr>
                <w:sz w:val="14"/>
              </w:rPr>
            </w:pPr>
            <w:r>
              <w:rPr>
                <w:sz w:val="16"/>
              </w:rPr>
              <w:t>Restructuring,</w:t>
            </w:r>
            <w:r>
              <w:rPr>
                <w:spacing w:val="14"/>
                <w:sz w:val="16"/>
              </w:rPr>
              <w:t> </w:t>
            </w:r>
            <w:r>
              <w:rPr>
                <w:sz w:val="16"/>
              </w:rPr>
              <w:t>impairment</w:t>
            </w:r>
            <w:r>
              <w:rPr>
                <w:spacing w:val="15"/>
                <w:sz w:val="16"/>
              </w:rPr>
              <w:t> </w:t>
            </w:r>
            <w:r>
              <w:rPr>
                <w:sz w:val="16"/>
              </w:rPr>
              <w:t>and</w:t>
            </w:r>
            <w:r>
              <w:rPr>
                <w:spacing w:val="14"/>
                <w:sz w:val="16"/>
              </w:rPr>
              <w:t> </w:t>
            </w:r>
            <w:r>
              <w:rPr>
                <w:sz w:val="16"/>
              </w:rPr>
              <w:t>other</w:t>
            </w:r>
            <w:r>
              <w:rPr>
                <w:spacing w:val="15"/>
                <w:sz w:val="16"/>
              </w:rPr>
              <w:t> </w:t>
            </w:r>
            <w:r>
              <w:rPr>
                <w:sz w:val="16"/>
              </w:rPr>
              <w:t>charges</w:t>
            </w:r>
            <w:r>
              <w:rPr>
                <w:spacing w:val="14"/>
                <w:sz w:val="16"/>
              </w:rPr>
              <w:t> </w:t>
            </w:r>
            <w:r>
              <w:rPr>
                <w:sz w:val="16"/>
              </w:rPr>
              <w:t>and</w:t>
            </w:r>
            <w:r>
              <w:rPr>
                <w:spacing w:val="15"/>
                <w:sz w:val="16"/>
              </w:rPr>
              <w:t> </w:t>
            </w:r>
            <w:r>
              <w:rPr>
                <w:sz w:val="16"/>
              </w:rPr>
              <w:t>credits</w:t>
            </w:r>
            <w:r>
              <w:rPr>
                <w:spacing w:val="14"/>
                <w:sz w:val="16"/>
              </w:rPr>
              <w:t> </w:t>
            </w:r>
            <w:r>
              <w:rPr>
                <w:spacing w:val="-5"/>
                <w:position w:val="3"/>
                <w:sz w:val="14"/>
              </w:rPr>
              <w:t>(7)</w:t>
            </w:r>
          </w:p>
        </w:tc>
        <w:tc>
          <w:tcPr>
            <w:tcW w:w="959" w:type="dxa"/>
          </w:tcPr>
          <w:p>
            <w:pPr>
              <w:pStyle w:val="TableParagraph"/>
              <w:rPr>
                <w:sz w:val="14"/>
              </w:rPr>
            </w:pPr>
          </w:p>
        </w:tc>
        <w:tc>
          <w:tcPr>
            <w:tcW w:w="1273" w:type="dxa"/>
            <w:gridSpan w:val="2"/>
          </w:tcPr>
          <w:p>
            <w:pPr>
              <w:pStyle w:val="TableParagraph"/>
              <w:rPr>
                <w:sz w:val="14"/>
              </w:rPr>
            </w:pPr>
          </w:p>
        </w:tc>
        <w:tc>
          <w:tcPr>
            <w:tcW w:w="1146" w:type="dxa"/>
          </w:tcPr>
          <w:p>
            <w:pPr>
              <w:pStyle w:val="TableParagraph"/>
              <w:spacing w:line="180" w:lineRule="exact" w:before="3"/>
              <w:ind w:right="140"/>
              <w:jc w:val="right"/>
              <w:rPr>
                <w:sz w:val="16"/>
              </w:rPr>
            </w:pPr>
            <w:r>
              <w:rPr>
                <w:spacing w:val="-5"/>
                <w:w w:val="105"/>
                <w:sz w:val="16"/>
              </w:rPr>
              <w:t>827</w:t>
            </w:r>
          </w:p>
        </w:tc>
        <w:tc>
          <w:tcPr>
            <w:tcW w:w="1162" w:type="dxa"/>
          </w:tcPr>
          <w:p>
            <w:pPr>
              <w:pStyle w:val="TableParagraph"/>
              <w:spacing w:line="180" w:lineRule="exact" w:before="3"/>
              <w:ind w:right="156"/>
              <w:jc w:val="right"/>
              <w:rPr>
                <w:sz w:val="16"/>
              </w:rPr>
            </w:pPr>
            <w:r>
              <w:rPr>
                <w:spacing w:val="-5"/>
                <w:w w:val="105"/>
                <w:sz w:val="16"/>
              </w:rPr>
              <w:t>621</w:t>
            </w:r>
          </w:p>
        </w:tc>
        <w:tc>
          <w:tcPr>
            <w:tcW w:w="1210" w:type="dxa"/>
          </w:tcPr>
          <w:p>
            <w:pPr>
              <w:pStyle w:val="TableParagraph"/>
              <w:rPr>
                <w:sz w:val="14"/>
              </w:rPr>
            </w:pPr>
          </w:p>
        </w:tc>
        <w:tc>
          <w:tcPr>
            <w:tcW w:w="1088" w:type="dxa"/>
          </w:tcPr>
          <w:p>
            <w:pPr>
              <w:pStyle w:val="TableParagraph"/>
              <w:spacing w:line="180" w:lineRule="exact" w:before="3"/>
              <w:ind w:left="686"/>
              <w:rPr>
                <w:sz w:val="16"/>
              </w:rPr>
            </w:pPr>
            <w:r>
              <w:rPr>
                <w:spacing w:val="-4"/>
                <w:w w:val="105"/>
                <w:sz w:val="16"/>
              </w:rPr>
              <w:t>0.80</w:t>
            </w:r>
          </w:p>
        </w:tc>
      </w:tr>
      <w:tr>
        <w:trPr>
          <w:trHeight w:val="203" w:hRule="atLeast"/>
        </w:trPr>
        <w:tc>
          <w:tcPr>
            <w:tcW w:w="4675" w:type="dxa"/>
            <w:shd w:val="clear" w:color="auto" w:fill="CCEDFF"/>
          </w:tcPr>
          <w:p>
            <w:pPr>
              <w:pStyle w:val="TableParagraph"/>
              <w:spacing w:line="184" w:lineRule="exact"/>
              <w:rPr>
                <w:sz w:val="14"/>
              </w:rPr>
            </w:pPr>
            <w:r>
              <w:rPr>
                <w:w w:val="105"/>
                <w:sz w:val="16"/>
              </w:rPr>
              <w:t>Litigation,</w:t>
            </w:r>
            <w:r>
              <w:rPr>
                <w:spacing w:val="-11"/>
                <w:w w:val="105"/>
                <w:sz w:val="16"/>
              </w:rPr>
              <w:t> </w:t>
            </w:r>
            <w:r>
              <w:rPr>
                <w:w w:val="105"/>
                <w:sz w:val="16"/>
              </w:rPr>
              <w:t>regulatory</w:t>
            </w:r>
            <w:r>
              <w:rPr>
                <w:spacing w:val="-10"/>
                <w:w w:val="105"/>
                <w:sz w:val="16"/>
              </w:rPr>
              <w:t> </w:t>
            </w:r>
            <w:r>
              <w:rPr>
                <w:w w:val="105"/>
                <w:sz w:val="16"/>
              </w:rPr>
              <w:t>and</w:t>
            </w:r>
            <w:r>
              <w:rPr>
                <w:spacing w:val="-11"/>
                <w:w w:val="105"/>
                <w:sz w:val="16"/>
              </w:rPr>
              <w:t> </w:t>
            </w:r>
            <w:r>
              <w:rPr>
                <w:w w:val="105"/>
                <w:sz w:val="16"/>
              </w:rPr>
              <w:t>other</w:t>
            </w:r>
            <w:r>
              <w:rPr>
                <w:spacing w:val="-10"/>
                <w:w w:val="105"/>
                <w:sz w:val="16"/>
              </w:rPr>
              <w:t> </w:t>
            </w:r>
            <w:r>
              <w:rPr>
                <w:w w:val="105"/>
                <w:sz w:val="16"/>
              </w:rPr>
              <w:t>legal</w:t>
            </w:r>
            <w:r>
              <w:rPr>
                <w:spacing w:val="-10"/>
                <w:w w:val="105"/>
                <w:sz w:val="16"/>
              </w:rPr>
              <w:t> </w:t>
            </w:r>
            <w:r>
              <w:rPr>
                <w:w w:val="105"/>
                <w:sz w:val="16"/>
              </w:rPr>
              <w:t>matters</w:t>
            </w:r>
            <w:r>
              <w:rPr>
                <w:spacing w:val="-11"/>
                <w:w w:val="105"/>
                <w:sz w:val="16"/>
              </w:rPr>
              <w:t> </w:t>
            </w:r>
            <w:r>
              <w:rPr>
                <w:spacing w:val="-5"/>
                <w:w w:val="105"/>
                <w:position w:val="3"/>
                <w:sz w:val="14"/>
              </w:rPr>
              <w:t>(8)</w:t>
            </w:r>
          </w:p>
        </w:tc>
        <w:tc>
          <w:tcPr>
            <w:tcW w:w="959" w:type="dxa"/>
            <w:shd w:val="clear" w:color="auto" w:fill="CCEDFF"/>
          </w:tcPr>
          <w:p>
            <w:pPr>
              <w:pStyle w:val="TableParagraph"/>
              <w:rPr>
                <w:sz w:val="14"/>
              </w:rPr>
            </w:pPr>
          </w:p>
        </w:tc>
        <w:tc>
          <w:tcPr>
            <w:tcW w:w="1273" w:type="dxa"/>
            <w:gridSpan w:val="2"/>
            <w:shd w:val="clear" w:color="auto" w:fill="CCEDFF"/>
          </w:tcPr>
          <w:p>
            <w:pPr>
              <w:pStyle w:val="TableParagraph"/>
              <w:rPr>
                <w:sz w:val="14"/>
              </w:rPr>
            </w:pPr>
          </w:p>
        </w:tc>
        <w:tc>
          <w:tcPr>
            <w:tcW w:w="1146" w:type="dxa"/>
            <w:shd w:val="clear" w:color="auto" w:fill="CCEDFF"/>
          </w:tcPr>
          <w:p>
            <w:pPr>
              <w:pStyle w:val="TableParagraph"/>
              <w:spacing w:line="180" w:lineRule="exact" w:before="3"/>
              <w:ind w:right="140"/>
              <w:jc w:val="right"/>
              <w:rPr>
                <w:sz w:val="16"/>
              </w:rPr>
            </w:pPr>
            <w:r>
              <w:rPr>
                <w:spacing w:val="-5"/>
                <w:w w:val="105"/>
                <w:sz w:val="16"/>
              </w:rPr>
              <w:t>144</w:t>
            </w:r>
          </w:p>
        </w:tc>
        <w:tc>
          <w:tcPr>
            <w:tcW w:w="1162" w:type="dxa"/>
            <w:shd w:val="clear" w:color="auto" w:fill="CCEDFF"/>
          </w:tcPr>
          <w:p>
            <w:pPr>
              <w:pStyle w:val="TableParagraph"/>
              <w:spacing w:line="180" w:lineRule="exact" w:before="3"/>
              <w:ind w:right="156"/>
              <w:jc w:val="right"/>
              <w:rPr>
                <w:sz w:val="16"/>
              </w:rPr>
            </w:pPr>
            <w:r>
              <w:rPr>
                <w:spacing w:val="-5"/>
                <w:w w:val="105"/>
                <w:sz w:val="16"/>
              </w:rPr>
              <w:t>120</w:t>
            </w:r>
          </w:p>
        </w:tc>
        <w:tc>
          <w:tcPr>
            <w:tcW w:w="1210" w:type="dxa"/>
            <w:shd w:val="clear" w:color="auto" w:fill="CCEDFF"/>
          </w:tcPr>
          <w:p>
            <w:pPr>
              <w:pStyle w:val="TableParagraph"/>
              <w:rPr>
                <w:sz w:val="14"/>
              </w:rPr>
            </w:pPr>
          </w:p>
        </w:tc>
        <w:tc>
          <w:tcPr>
            <w:tcW w:w="1088" w:type="dxa"/>
            <w:shd w:val="clear" w:color="auto" w:fill="CCEDFF"/>
          </w:tcPr>
          <w:p>
            <w:pPr>
              <w:pStyle w:val="TableParagraph"/>
              <w:spacing w:line="180" w:lineRule="exact" w:before="3"/>
              <w:ind w:left="686"/>
              <w:rPr>
                <w:sz w:val="16"/>
              </w:rPr>
            </w:pPr>
            <w:r>
              <w:rPr>
                <w:spacing w:val="-4"/>
                <w:w w:val="105"/>
                <w:sz w:val="16"/>
              </w:rPr>
              <w:t>0.16</w:t>
            </w:r>
          </w:p>
        </w:tc>
      </w:tr>
      <w:tr>
        <w:trPr>
          <w:trHeight w:val="203" w:hRule="atLeast"/>
        </w:trPr>
        <w:tc>
          <w:tcPr>
            <w:tcW w:w="4675" w:type="dxa"/>
          </w:tcPr>
          <w:p>
            <w:pPr>
              <w:pStyle w:val="TableParagraph"/>
              <w:spacing w:line="184" w:lineRule="exact"/>
              <w:rPr>
                <w:sz w:val="14"/>
              </w:rPr>
            </w:pPr>
            <w:r>
              <w:rPr>
                <w:sz w:val="16"/>
              </w:rPr>
              <w:t>Bond</w:t>
            </w:r>
            <w:r>
              <w:rPr>
                <w:spacing w:val="13"/>
                <w:sz w:val="16"/>
              </w:rPr>
              <w:t> </w:t>
            </w:r>
            <w:r>
              <w:rPr>
                <w:sz w:val="16"/>
              </w:rPr>
              <w:t>redemption</w:t>
            </w:r>
            <w:r>
              <w:rPr>
                <w:spacing w:val="13"/>
                <w:sz w:val="16"/>
              </w:rPr>
              <w:t> </w:t>
            </w:r>
            <w:r>
              <w:rPr>
                <w:sz w:val="16"/>
              </w:rPr>
              <w:t>loss</w:t>
            </w:r>
            <w:r>
              <w:rPr>
                <w:spacing w:val="14"/>
                <w:sz w:val="16"/>
              </w:rPr>
              <w:t> </w:t>
            </w:r>
            <w:r>
              <w:rPr>
                <w:spacing w:val="-4"/>
                <w:position w:val="3"/>
                <w:sz w:val="14"/>
              </w:rPr>
              <w:t>(10)</w:t>
            </w:r>
          </w:p>
        </w:tc>
        <w:tc>
          <w:tcPr>
            <w:tcW w:w="959" w:type="dxa"/>
          </w:tcPr>
          <w:p>
            <w:pPr>
              <w:pStyle w:val="TableParagraph"/>
              <w:rPr>
                <w:sz w:val="14"/>
              </w:rPr>
            </w:pPr>
          </w:p>
        </w:tc>
        <w:tc>
          <w:tcPr>
            <w:tcW w:w="1273" w:type="dxa"/>
            <w:gridSpan w:val="2"/>
          </w:tcPr>
          <w:p>
            <w:pPr>
              <w:pStyle w:val="TableParagraph"/>
              <w:rPr>
                <w:sz w:val="14"/>
              </w:rPr>
            </w:pPr>
          </w:p>
        </w:tc>
        <w:tc>
          <w:tcPr>
            <w:tcW w:w="1146" w:type="dxa"/>
          </w:tcPr>
          <w:p>
            <w:pPr>
              <w:pStyle w:val="TableParagraph"/>
              <w:spacing w:line="180" w:lineRule="exact" w:before="3"/>
              <w:ind w:right="140"/>
              <w:jc w:val="right"/>
              <w:rPr>
                <w:sz w:val="16"/>
              </w:rPr>
            </w:pPr>
            <w:r>
              <w:rPr>
                <w:spacing w:val="-5"/>
                <w:w w:val="105"/>
                <w:sz w:val="16"/>
              </w:rPr>
              <w:t>22</w:t>
            </w:r>
          </w:p>
        </w:tc>
        <w:tc>
          <w:tcPr>
            <w:tcW w:w="1162" w:type="dxa"/>
          </w:tcPr>
          <w:p>
            <w:pPr>
              <w:pStyle w:val="TableParagraph"/>
              <w:spacing w:line="180" w:lineRule="exact" w:before="3"/>
              <w:ind w:right="156"/>
              <w:jc w:val="right"/>
              <w:rPr>
                <w:sz w:val="16"/>
              </w:rPr>
            </w:pPr>
            <w:r>
              <w:rPr>
                <w:spacing w:val="-5"/>
                <w:w w:val="105"/>
                <w:sz w:val="16"/>
              </w:rPr>
              <w:t>17</w:t>
            </w:r>
          </w:p>
        </w:tc>
        <w:tc>
          <w:tcPr>
            <w:tcW w:w="1210" w:type="dxa"/>
          </w:tcPr>
          <w:p>
            <w:pPr>
              <w:pStyle w:val="TableParagraph"/>
              <w:rPr>
                <w:sz w:val="14"/>
              </w:rPr>
            </w:pPr>
          </w:p>
        </w:tc>
        <w:tc>
          <w:tcPr>
            <w:tcW w:w="1088" w:type="dxa"/>
          </w:tcPr>
          <w:p>
            <w:pPr>
              <w:pStyle w:val="TableParagraph"/>
              <w:spacing w:line="180" w:lineRule="exact" w:before="3"/>
              <w:ind w:left="686"/>
              <w:rPr>
                <w:sz w:val="16"/>
              </w:rPr>
            </w:pPr>
            <w:r>
              <w:rPr>
                <w:spacing w:val="-4"/>
                <w:w w:val="105"/>
                <w:sz w:val="16"/>
              </w:rPr>
              <w:t>0.02</w:t>
            </w:r>
          </w:p>
        </w:tc>
      </w:tr>
      <w:tr>
        <w:trPr>
          <w:trHeight w:val="203" w:hRule="atLeast"/>
        </w:trPr>
        <w:tc>
          <w:tcPr>
            <w:tcW w:w="4675" w:type="dxa"/>
            <w:shd w:val="clear" w:color="auto" w:fill="CCEDFF"/>
          </w:tcPr>
          <w:p>
            <w:pPr>
              <w:pStyle w:val="TableParagraph"/>
              <w:spacing w:line="184" w:lineRule="exact"/>
              <w:rPr>
                <w:sz w:val="14"/>
              </w:rPr>
            </w:pPr>
            <w:r>
              <w:rPr>
                <w:sz w:val="16"/>
              </w:rPr>
              <w:t>Gain</w:t>
            </w:r>
            <w:r>
              <w:rPr>
                <w:spacing w:val="12"/>
                <w:sz w:val="16"/>
              </w:rPr>
              <w:t> </w:t>
            </w:r>
            <w:r>
              <w:rPr>
                <w:sz w:val="16"/>
              </w:rPr>
              <w:t>on</w:t>
            </w:r>
            <w:r>
              <w:rPr>
                <w:spacing w:val="13"/>
                <w:sz w:val="16"/>
              </w:rPr>
              <w:t> </w:t>
            </w:r>
            <w:r>
              <w:rPr>
                <w:sz w:val="16"/>
              </w:rPr>
              <w:t>investment</w:t>
            </w:r>
            <w:r>
              <w:rPr>
                <w:spacing w:val="14"/>
                <w:sz w:val="16"/>
              </w:rPr>
              <w:t> </w:t>
            </w:r>
            <w:r>
              <w:rPr>
                <w:spacing w:val="-4"/>
                <w:position w:val="3"/>
                <w:sz w:val="14"/>
              </w:rPr>
              <w:t>(11)</w:t>
            </w:r>
          </w:p>
        </w:tc>
        <w:tc>
          <w:tcPr>
            <w:tcW w:w="959" w:type="dxa"/>
            <w:shd w:val="clear" w:color="auto" w:fill="CCEDFF"/>
          </w:tcPr>
          <w:p>
            <w:pPr>
              <w:pStyle w:val="TableParagraph"/>
              <w:rPr>
                <w:sz w:val="14"/>
              </w:rPr>
            </w:pPr>
          </w:p>
        </w:tc>
        <w:tc>
          <w:tcPr>
            <w:tcW w:w="1273" w:type="dxa"/>
            <w:gridSpan w:val="2"/>
            <w:shd w:val="clear" w:color="auto" w:fill="CCEDFF"/>
          </w:tcPr>
          <w:p>
            <w:pPr>
              <w:pStyle w:val="TableParagraph"/>
              <w:rPr>
                <w:sz w:val="14"/>
              </w:rPr>
            </w:pPr>
          </w:p>
        </w:tc>
        <w:tc>
          <w:tcPr>
            <w:tcW w:w="1146" w:type="dxa"/>
            <w:shd w:val="clear" w:color="auto" w:fill="CCEDFF"/>
          </w:tcPr>
          <w:p>
            <w:pPr>
              <w:pStyle w:val="TableParagraph"/>
              <w:spacing w:line="180" w:lineRule="exact" w:before="3"/>
              <w:ind w:right="85"/>
              <w:jc w:val="right"/>
              <w:rPr>
                <w:sz w:val="16"/>
              </w:rPr>
            </w:pPr>
            <w:r>
              <w:rPr>
                <w:spacing w:val="-2"/>
                <w:w w:val="105"/>
                <w:sz w:val="16"/>
              </w:rPr>
              <w:t>(107)</w:t>
            </w:r>
          </w:p>
        </w:tc>
        <w:tc>
          <w:tcPr>
            <w:tcW w:w="1162" w:type="dxa"/>
            <w:shd w:val="clear" w:color="auto" w:fill="CCEDFF"/>
          </w:tcPr>
          <w:p>
            <w:pPr>
              <w:pStyle w:val="TableParagraph"/>
              <w:spacing w:line="180" w:lineRule="exact" w:before="3"/>
              <w:ind w:right="100"/>
              <w:jc w:val="right"/>
              <w:rPr>
                <w:sz w:val="16"/>
              </w:rPr>
            </w:pPr>
            <w:r>
              <w:rPr>
                <w:spacing w:val="-4"/>
                <w:w w:val="105"/>
                <w:sz w:val="16"/>
              </w:rPr>
              <w:t>(83)</w:t>
            </w:r>
          </w:p>
        </w:tc>
        <w:tc>
          <w:tcPr>
            <w:tcW w:w="1210" w:type="dxa"/>
            <w:shd w:val="clear" w:color="auto" w:fill="CCEDFF"/>
          </w:tcPr>
          <w:p>
            <w:pPr>
              <w:pStyle w:val="TableParagraph"/>
              <w:rPr>
                <w:sz w:val="14"/>
              </w:rPr>
            </w:pPr>
          </w:p>
        </w:tc>
        <w:tc>
          <w:tcPr>
            <w:tcW w:w="1088" w:type="dxa"/>
            <w:shd w:val="clear" w:color="auto" w:fill="CCEDFF"/>
          </w:tcPr>
          <w:p>
            <w:pPr>
              <w:pStyle w:val="TableParagraph"/>
              <w:spacing w:line="180" w:lineRule="exact" w:before="3"/>
              <w:ind w:right="56"/>
              <w:jc w:val="right"/>
              <w:rPr>
                <w:sz w:val="16"/>
              </w:rPr>
            </w:pPr>
            <w:r>
              <w:rPr>
                <w:spacing w:val="-2"/>
                <w:w w:val="105"/>
                <w:sz w:val="16"/>
              </w:rPr>
              <w:t>(0.11)</w:t>
            </w:r>
          </w:p>
        </w:tc>
      </w:tr>
      <w:tr>
        <w:trPr>
          <w:trHeight w:val="203" w:hRule="atLeast"/>
        </w:trPr>
        <w:tc>
          <w:tcPr>
            <w:tcW w:w="4675" w:type="dxa"/>
          </w:tcPr>
          <w:p>
            <w:pPr>
              <w:pStyle w:val="TableParagraph"/>
              <w:spacing w:line="184" w:lineRule="exact"/>
              <w:rPr>
                <w:sz w:val="14"/>
              </w:rPr>
            </w:pPr>
            <w:r>
              <w:rPr>
                <w:w w:val="105"/>
                <w:sz w:val="16"/>
              </w:rPr>
              <w:t>Equity</w:t>
            </w:r>
            <w:r>
              <w:rPr>
                <w:spacing w:val="-11"/>
                <w:w w:val="105"/>
                <w:sz w:val="16"/>
              </w:rPr>
              <w:t> </w:t>
            </w:r>
            <w:r>
              <w:rPr>
                <w:w w:val="105"/>
                <w:sz w:val="16"/>
              </w:rPr>
              <w:t>in</w:t>
            </w:r>
            <w:r>
              <w:rPr>
                <w:spacing w:val="-10"/>
                <w:w w:val="105"/>
                <w:sz w:val="16"/>
              </w:rPr>
              <w:t> </w:t>
            </w:r>
            <w:r>
              <w:rPr>
                <w:w w:val="105"/>
                <w:sz w:val="16"/>
              </w:rPr>
              <w:t>losses</w:t>
            </w:r>
            <w:r>
              <w:rPr>
                <w:spacing w:val="-11"/>
                <w:w w:val="105"/>
                <w:sz w:val="16"/>
              </w:rPr>
              <w:t> </w:t>
            </w:r>
            <w:r>
              <w:rPr>
                <w:w w:val="105"/>
                <w:sz w:val="16"/>
              </w:rPr>
              <w:t>of</w:t>
            </w:r>
            <w:r>
              <w:rPr>
                <w:spacing w:val="-10"/>
                <w:w w:val="105"/>
                <w:sz w:val="16"/>
              </w:rPr>
              <w:t> </w:t>
            </w:r>
            <w:r>
              <w:rPr>
                <w:w w:val="105"/>
                <w:sz w:val="16"/>
              </w:rPr>
              <w:t>affiliated</w:t>
            </w:r>
            <w:r>
              <w:rPr>
                <w:spacing w:val="-11"/>
                <w:w w:val="105"/>
                <w:sz w:val="16"/>
              </w:rPr>
              <w:t> </w:t>
            </w:r>
            <w:r>
              <w:rPr>
                <w:w w:val="105"/>
                <w:sz w:val="16"/>
              </w:rPr>
              <w:t>companies</w:t>
            </w:r>
            <w:r>
              <w:rPr>
                <w:spacing w:val="-10"/>
                <w:w w:val="105"/>
                <w:sz w:val="16"/>
              </w:rPr>
              <w:t> </w:t>
            </w:r>
            <w:r>
              <w:rPr>
                <w:spacing w:val="-4"/>
                <w:w w:val="105"/>
                <w:position w:val="3"/>
                <w:sz w:val="14"/>
              </w:rPr>
              <w:t>(13)</w:t>
            </w:r>
          </w:p>
        </w:tc>
        <w:tc>
          <w:tcPr>
            <w:tcW w:w="959" w:type="dxa"/>
          </w:tcPr>
          <w:p>
            <w:pPr>
              <w:pStyle w:val="TableParagraph"/>
              <w:rPr>
                <w:sz w:val="14"/>
              </w:rPr>
            </w:pPr>
          </w:p>
        </w:tc>
        <w:tc>
          <w:tcPr>
            <w:tcW w:w="1273" w:type="dxa"/>
            <w:gridSpan w:val="2"/>
          </w:tcPr>
          <w:p>
            <w:pPr>
              <w:pStyle w:val="TableParagraph"/>
              <w:spacing w:line="180" w:lineRule="exact" w:before="3"/>
              <w:ind w:right="140"/>
              <w:jc w:val="right"/>
              <w:rPr>
                <w:sz w:val="16"/>
              </w:rPr>
            </w:pPr>
            <w:r>
              <w:rPr>
                <w:spacing w:val="-5"/>
                <w:w w:val="105"/>
                <w:sz w:val="16"/>
              </w:rPr>
              <w:t>111</w:t>
            </w:r>
          </w:p>
        </w:tc>
        <w:tc>
          <w:tcPr>
            <w:tcW w:w="1146" w:type="dxa"/>
          </w:tcPr>
          <w:p>
            <w:pPr>
              <w:pStyle w:val="TableParagraph"/>
              <w:spacing w:line="180" w:lineRule="exact" w:before="3"/>
              <w:ind w:right="140"/>
              <w:jc w:val="right"/>
              <w:rPr>
                <w:sz w:val="16"/>
              </w:rPr>
            </w:pPr>
            <w:r>
              <w:rPr>
                <w:spacing w:val="-5"/>
                <w:w w:val="105"/>
                <w:sz w:val="16"/>
              </w:rPr>
              <w:t>111</w:t>
            </w:r>
          </w:p>
        </w:tc>
        <w:tc>
          <w:tcPr>
            <w:tcW w:w="1162" w:type="dxa"/>
          </w:tcPr>
          <w:p>
            <w:pPr>
              <w:pStyle w:val="TableParagraph"/>
              <w:spacing w:line="180" w:lineRule="exact" w:before="3"/>
              <w:ind w:right="156"/>
              <w:jc w:val="right"/>
              <w:rPr>
                <w:sz w:val="16"/>
              </w:rPr>
            </w:pPr>
            <w:r>
              <w:rPr>
                <w:spacing w:val="-5"/>
                <w:w w:val="105"/>
                <w:sz w:val="16"/>
              </w:rPr>
              <w:t>98</w:t>
            </w:r>
          </w:p>
        </w:tc>
        <w:tc>
          <w:tcPr>
            <w:tcW w:w="1210" w:type="dxa"/>
          </w:tcPr>
          <w:p>
            <w:pPr>
              <w:pStyle w:val="TableParagraph"/>
              <w:rPr>
                <w:sz w:val="14"/>
              </w:rPr>
            </w:pPr>
          </w:p>
        </w:tc>
        <w:tc>
          <w:tcPr>
            <w:tcW w:w="1088" w:type="dxa"/>
          </w:tcPr>
          <w:p>
            <w:pPr>
              <w:pStyle w:val="TableParagraph"/>
              <w:spacing w:line="180" w:lineRule="exact" w:before="3"/>
              <w:ind w:left="686"/>
              <w:rPr>
                <w:sz w:val="16"/>
              </w:rPr>
            </w:pPr>
            <w:r>
              <w:rPr>
                <w:spacing w:val="-4"/>
                <w:w w:val="105"/>
                <w:sz w:val="16"/>
              </w:rPr>
              <w:t>0.13</w:t>
            </w:r>
          </w:p>
        </w:tc>
      </w:tr>
      <w:tr>
        <w:trPr>
          <w:trHeight w:val="203" w:hRule="atLeast"/>
        </w:trPr>
        <w:tc>
          <w:tcPr>
            <w:tcW w:w="4675" w:type="dxa"/>
            <w:shd w:val="clear" w:color="auto" w:fill="CCEDFF"/>
          </w:tcPr>
          <w:p>
            <w:pPr>
              <w:pStyle w:val="TableParagraph"/>
              <w:spacing w:line="184" w:lineRule="exact"/>
              <w:rPr>
                <w:sz w:val="14"/>
              </w:rPr>
            </w:pPr>
            <w:r>
              <w:rPr>
                <w:sz w:val="16"/>
              </w:rPr>
              <w:t>Transaction-related</w:t>
            </w:r>
            <w:r>
              <w:rPr>
                <w:spacing w:val="18"/>
                <w:sz w:val="16"/>
              </w:rPr>
              <w:t> </w:t>
            </w:r>
            <w:r>
              <w:rPr>
                <w:sz w:val="16"/>
              </w:rPr>
              <w:t>gain,</w:t>
            </w:r>
            <w:r>
              <w:rPr>
                <w:spacing w:val="19"/>
                <w:sz w:val="16"/>
              </w:rPr>
              <w:t> </w:t>
            </w:r>
            <w:r>
              <w:rPr>
                <w:sz w:val="16"/>
              </w:rPr>
              <w:t>net</w:t>
            </w:r>
            <w:r>
              <w:rPr>
                <w:spacing w:val="16"/>
                <w:sz w:val="16"/>
              </w:rPr>
              <w:t> </w:t>
            </w:r>
            <w:r>
              <w:rPr>
                <w:spacing w:val="-4"/>
                <w:position w:val="3"/>
                <w:sz w:val="14"/>
              </w:rPr>
              <w:t>(14)</w:t>
            </w:r>
          </w:p>
        </w:tc>
        <w:tc>
          <w:tcPr>
            <w:tcW w:w="959" w:type="dxa"/>
            <w:shd w:val="clear" w:color="auto" w:fill="CCEDFF"/>
          </w:tcPr>
          <w:p>
            <w:pPr>
              <w:pStyle w:val="TableParagraph"/>
              <w:rPr>
                <w:sz w:val="14"/>
              </w:rPr>
            </w:pPr>
          </w:p>
        </w:tc>
        <w:tc>
          <w:tcPr>
            <w:tcW w:w="1273" w:type="dxa"/>
            <w:gridSpan w:val="2"/>
            <w:shd w:val="clear" w:color="auto" w:fill="CCEDFF"/>
          </w:tcPr>
          <w:p>
            <w:pPr>
              <w:pStyle w:val="TableParagraph"/>
              <w:rPr>
                <w:sz w:val="14"/>
              </w:rPr>
            </w:pPr>
          </w:p>
        </w:tc>
        <w:tc>
          <w:tcPr>
            <w:tcW w:w="1146" w:type="dxa"/>
            <w:shd w:val="clear" w:color="auto" w:fill="CCEDFF"/>
          </w:tcPr>
          <w:p>
            <w:pPr>
              <w:pStyle w:val="TableParagraph"/>
              <w:spacing w:line="180" w:lineRule="exact" w:before="3"/>
              <w:ind w:right="85"/>
              <w:jc w:val="right"/>
              <w:rPr>
                <w:sz w:val="16"/>
              </w:rPr>
            </w:pPr>
            <w:r>
              <w:rPr>
                <w:spacing w:val="-2"/>
                <w:w w:val="105"/>
                <w:sz w:val="16"/>
              </w:rPr>
              <w:t>(498)</w:t>
            </w:r>
          </w:p>
        </w:tc>
        <w:tc>
          <w:tcPr>
            <w:tcW w:w="1162" w:type="dxa"/>
            <w:shd w:val="clear" w:color="auto" w:fill="CCEDFF"/>
          </w:tcPr>
          <w:p>
            <w:pPr>
              <w:pStyle w:val="TableParagraph"/>
              <w:spacing w:line="180" w:lineRule="exact" w:before="3"/>
              <w:ind w:right="100"/>
              <w:jc w:val="right"/>
              <w:rPr>
                <w:sz w:val="16"/>
              </w:rPr>
            </w:pPr>
            <w:r>
              <w:rPr>
                <w:spacing w:val="-2"/>
                <w:w w:val="105"/>
                <w:sz w:val="16"/>
              </w:rPr>
              <w:t>(387)</w:t>
            </w:r>
          </w:p>
        </w:tc>
        <w:tc>
          <w:tcPr>
            <w:tcW w:w="1210" w:type="dxa"/>
            <w:shd w:val="clear" w:color="auto" w:fill="CCEDFF"/>
          </w:tcPr>
          <w:p>
            <w:pPr>
              <w:pStyle w:val="TableParagraph"/>
              <w:rPr>
                <w:sz w:val="14"/>
              </w:rPr>
            </w:pPr>
          </w:p>
        </w:tc>
        <w:tc>
          <w:tcPr>
            <w:tcW w:w="1088" w:type="dxa"/>
            <w:shd w:val="clear" w:color="auto" w:fill="CCEDFF"/>
          </w:tcPr>
          <w:p>
            <w:pPr>
              <w:pStyle w:val="TableParagraph"/>
              <w:spacing w:line="180" w:lineRule="exact" w:before="3"/>
              <w:ind w:right="56"/>
              <w:jc w:val="right"/>
              <w:rPr>
                <w:sz w:val="16"/>
              </w:rPr>
            </w:pPr>
            <w:r>
              <w:rPr>
                <w:spacing w:val="-2"/>
                <w:w w:val="105"/>
                <w:sz w:val="16"/>
              </w:rPr>
              <w:t>(0.50)</w:t>
            </w:r>
          </w:p>
        </w:tc>
      </w:tr>
      <w:tr>
        <w:trPr>
          <w:trHeight w:val="202" w:hRule="atLeast"/>
        </w:trPr>
        <w:tc>
          <w:tcPr>
            <w:tcW w:w="4675" w:type="dxa"/>
            <w:tcBorders>
              <w:bottom w:val="single" w:sz="6" w:space="0" w:color="000000"/>
            </w:tcBorders>
          </w:tcPr>
          <w:p>
            <w:pPr>
              <w:pStyle w:val="TableParagraph"/>
              <w:spacing w:line="183" w:lineRule="exact"/>
              <w:rPr>
                <w:sz w:val="14"/>
              </w:rPr>
            </w:pPr>
            <w:r>
              <w:rPr>
                <w:sz w:val="16"/>
              </w:rPr>
              <w:t>Cumulative</w:t>
            </w:r>
            <w:r>
              <w:rPr>
                <w:spacing w:val="16"/>
                <w:sz w:val="16"/>
              </w:rPr>
              <w:t> </w:t>
            </w:r>
            <w:r>
              <w:rPr>
                <w:sz w:val="16"/>
              </w:rPr>
              <w:t>adjustment</w:t>
            </w:r>
            <w:r>
              <w:rPr>
                <w:spacing w:val="17"/>
                <w:sz w:val="16"/>
              </w:rPr>
              <w:t> </w:t>
            </w:r>
            <w:r>
              <w:rPr>
                <w:sz w:val="16"/>
              </w:rPr>
              <w:t>related</w:t>
            </w:r>
            <w:r>
              <w:rPr>
                <w:spacing w:val="14"/>
                <w:sz w:val="16"/>
              </w:rPr>
              <w:t> </w:t>
            </w:r>
            <w:r>
              <w:rPr>
                <w:sz w:val="16"/>
              </w:rPr>
              <w:t>to</w:t>
            </w:r>
            <w:r>
              <w:rPr>
                <w:spacing w:val="17"/>
                <w:sz w:val="16"/>
              </w:rPr>
              <w:t> </w:t>
            </w:r>
            <w:r>
              <w:rPr>
                <w:sz w:val="16"/>
              </w:rPr>
              <w:t>customer</w:t>
            </w:r>
            <w:r>
              <w:rPr>
                <w:spacing w:val="17"/>
                <w:sz w:val="16"/>
              </w:rPr>
              <w:t> </w:t>
            </w:r>
            <w:r>
              <w:rPr>
                <w:sz w:val="16"/>
              </w:rPr>
              <w:t>contract</w:t>
            </w:r>
            <w:r>
              <w:rPr>
                <w:spacing w:val="14"/>
                <w:sz w:val="16"/>
              </w:rPr>
              <w:t> </w:t>
            </w:r>
            <w:r>
              <w:rPr>
                <w:spacing w:val="-4"/>
                <w:position w:val="3"/>
                <w:sz w:val="14"/>
              </w:rPr>
              <w:t>(15)</w:t>
            </w:r>
          </w:p>
        </w:tc>
        <w:tc>
          <w:tcPr>
            <w:tcW w:w="959" w:type="dxa"/>
            <w:tcBorders>
              <w:bottom w:val="single" w:sz="6" w:space="0" w:color="000000"/>
            </w:tcBorders>
          </w:tcPr>
          <w:p>
            <w:pPr>
              <w:pStyle w:val="TableParagraph"/>
              <w:spacing w:line="179" w:lineRule="exact" w:before="3"/>
              <w:ind w:left="-1" w:right="39"/>
              <w:jc w:val="right"/>
              <w:rPr>
                <w:sz w:val="16"/>
              </w:rPr>
            </w:pPr>
            <w:r>
              <w:rPr>
                <w:spacing w:val="-5"/>
                <w:w w:val="105"/>
                <w:sz w:val="16"/>
              </w:rPr>
              <w:t>105</w:t>
            </w:r>
          </w:p>
        </w:tc>
        <w:tc>
          <w:tcPr>
            <w:tcW w:w="1273" w:type="dxa"/>
            <w:gridSpan w:val="2"/>
            <w:tcBorders>
              <w:bottom w:val="single" w:sz="6" w:space="0" w:color="000000"/>
            </w:tcBorders>
          </w:tcPr>
          <w:p>
            <w:pPr>
              <w:pStyle w:val="TableParagraph"/>
              <w:rPr>
                <w:sz w:val="14"/>
              </w:rPr>
            </w:pPr>
          </w:p>
        </w:tc>
        <w:tc>
          <w:tcPr>
            <w:tcW w:w="1146" w:type="dxa"/>
            <w:tcBorders>
              <w:bottom w:val="single" w:sz="6" w:space="0" w:color="000000"/>
            </w:tcBorders>
          </w:tcPr>
          <w:p>
            <w:pPr>
              <w:pStyle w:val="TableParagraph"/>
              <w:spacing w:line="179" w:lineRule="exact" w:before="3"/>
              <w:ind w:right="140"/>
              <w:jc w:val="right"/>
              <w:rPr>
                <w:sz w:val="16"/>
              </w:rPr>
            </w:pPr>
            <w:r>
              <w:rPr>
                <w:spacing w:val="-5"/>
                <w:w w:val="105"/>
                <w:sz w:val="16"/>
              </w:rPr>
              <w:t>105</w:t>
            </w:r>
          </w:p>
        </w:tc>
        <w:tc>
          <w:tcPr>
            <w:tcW w:w="1162" w:type="dxa"/>
            <w:tcBorders>
              <w:bottom w:val="single" w:sz="6" w:space="0" w:color="000000"/>
            </w:tcBorders>
          </w:tcPr>
          <w:p>
            <w:pPr>
              <w:pStyle w:val="TableParagraph"/>
              <w:spacing w:line="179" w:lineRule="exact" w:before="3"/>
              <w:ind w:right="156"/>
              <w:jc w:val="right"/>
              <w:rPr>
                <w:sz w:val="16"/>
              </w:rPr>
            </w:pPr>
            <w:r>
              <w:rPr>
                <w:spacing w:val="-5"/>
                <w:w w:val="105"/>
                <w:sz w:val="16"/>
              </w:rPr>
              <w:t>105</w:t>
            </w:r>
          </w:p>
        </w:tc>
        <w:tc>
          <w:tcPr>
            <w:tcW w:w="1210" w:type="dxa"/>
            <w:tcBorders>
              <w:bottom w:val="single" w:sz="6" w:space="0" w:color="000000"/>
            </w:tcBorders>
          </w:tcPr>
          <w:p>
            <w:pPr>
              <w:pStyle w:val="TableParagraph"/>
              <w:rPr>
                <w:sz w:val="14"/>
              </w:rPr>
            </w:pPr>
          </w:p>
        </w:tc>
        <w:tc>
          <w:tcPr>
            <w:tcW w:w="1088" w:type="dxa"/>
            <w:tcBorders>
              <w:bottom w:val="single" w:sz="6" w:space="0" w:color="000000"/>
            </w:tcBorders>
          </w:tcPr>
          <w:p>
            <w:pPr>
              <w:pStyle w:val="TableParagraph"/>
              <w:spacing w:line="179" w:lineRule="exact" w:before="3"/>
              <w:ind w:left="686"/>
              <w:rPr>
                <w:sz w:val="16"/>
              </w:rPr>
            </w:pPr>
            <w:r>
              <w:rPr>
                <w:spacing w:val="-4"/>
                <w:w w:val="105"/>
                <w:sz w:val="16"/>
              </w:rPr>
              <w:t>0.14</w:t>
            </w:r>
          </w:p>
        </w:tc>
      </w:tr>
      <w:tr>
        <w:trPr>
          <w:trHeight w:val="199" w:hRule="atLeast"/>
        </w:trPr>
        <w:tc>
          <w:tcPr>
            <w:tcW w:w="4675" w:type="dxa"/>
            <w:tcBorders>
              <w:top w:val="single" w:sz="6" w:space="0" w:color="000000"/>
              <w:bottom w:val="double" w:sz="6" w:space="0" w:color="000000"/>
            </w:tcBorders>
            <w:shd w:val="clear" w:color="auto" w:fill="CCEDFF"/>
          </w:tcPr>
          <w:p>
            <w:pPr>
              <w:pStyle w:val="TableParagraph"/>
              <w:spacing w:line="177" w:lineRule="exact" w:before="2"/>
              <w:rPr>
                <w:sz w:val="16"/>
              </w:rPr>
            </w:pPr>
            <w:r>
              <w:rPr>
                <w:sz w:val="16"/>
              </w:rPr>
              <w:t>Core</w:t>
            </w:r>
            <w:r>
              <w:rPr>
                <w:spacing w:val="17"/>
                <w:sz w:val="16"/>
              </w:rPr>
              <w:t> </w:t>
            </w:r>
            <w:r>
              <w:rPr>
                <w:sz w:val="16"/>
              </w:rPr>
              <w:t>performance</w:t>
            </w:r>
            <w:r>
              <w:rPr>
                <w:spacing w:val="18"/>
                <w:sz w:val="16"/>
              </w:rPr>
              <w:t> </w:t>
            </w:r>
            <w:r>
              <w:rPr>
                <w:spacing w:val="-2"/>
                <w:sz w:val="16"/>
              </w:rPr>
              <w:t>measures</w:t>
            </w:r>
          </w:p>
        </w:tc>
        <w:tc>
          <w:tcPr>
            <w:tcW w:w="959" w:type="dxa"/>
            <w:tcBorders>
              <w:top w:val="single" w:sz="6" w:space="0" w:color="000000"/>
              <w:bottom w:val="double" w:sz="6" w:space="0" w:color="000000"/>
            </w:tcBorders>
            <w:shd w:val="clear" w:color="auto" w:fill="CCEDFF"/>
          </w:tcPr>
          <w:p>
            <w:pPr>
              <w:pStyle w:val="TableParagraph"/>
              <w:tabs>
                <w:tab w:pos="461" w:val="left" w:leader="none"/>
              </w:tabs>
              <w:spacing w:line="177" w:lineRule="exact" w:before="2"/>
              <w:ind w:left="-1" w:right="39"/>
              <w:jc w:val="right"/>
              <w:rPr>
                <w:sz w:val="16"/>
              </w:rPr>
            </w:pPr>
            <w:r>
              <w:rPr>
                <w:spacing w:val="-10"/>
                <w:w w:val="105"/>
                <w:sz w:val="16"/>
              </w:rPr>
              <w:t>$</w:t>
            </w:r>
            <w:r>
              <w:rPr>
                <w:sz w:val="16"/>
              </w:rPr>
              <w:tab/>
            </w:r>
            <w:r>
              <w:rPr>
                <w:spacing w:val="-4"/>
                <w:w w:val="105"/>
                <w:sz w:val="16"/>
              </w:rPr>
              <w:t>11,452</w:t>
            </w:r>
          </w:p>
        </w:tc>
        <w:tc>
          <w:tcPr>
            <w:tcW w:w="1273" w:type="dxa"/>
            <w:gridSpan w:val="2"/>
            <w:tcBorders>
              <w:top w:val="single" w:sz="6" w:space="0" w:color="000000"/>
              <w:bottom w:val="double" w:sz="6" w:space="0" w:color="000000"/>
            </w:tcBorders>
            <w:shd w:val="clear" w:color="auto" w:fill="CCEDFF"/>
          </w:tcPr>
          <w:p>
            <w:pPr>
              <w:pStyle w:val="TableParagraph"/>
              <w:tabs>
                <w:tab w:pos="964" w:val="left" w:leader="none"/>
              </w:tabs>
              <w:spacing w:line="177" w:lineRule="exact" w:before="2"/>
              <w:ind w:left="187"/>
              <w:rPr>
                <w:sz w:val="16"/>
              </w:rPr>
            </w:pPr>
            <w:r>
              <w:rPr>
                <w:spacing w:val="-10"/>
                <w:w w:val="105"/>
                <w:sz w:val="16"/>
              </w:rPr>
              <w:t>$</w:t>
            </w:r>
            <w:r>
              <w:rPr>
                <w:sz w:val="16"/>
              </w:rPr>
              <w:tab/>
            </w:r>
            <w:r>
              <w:rPr>
                <w:spacing w:val="-5"/>
                <w:w w:val="105"/>
                <w:sz w:val="16"/>
              </w:rPr>
              <w:t>86</w:t>
            </w:r>
          </w:p>
        </w:tc>
        <w:tc>
          <w:tcPr>
            <w:tcW w:w="1146" w:type="dxa"/>
            <w:tcBorders>
              <w:top w:val="single" w:sz="6" w:space="0" w:color="000000"/>
              <w:bottom w:val="double" w:sz="6" w:space="0" w:color="000000"/>
            </w:tcBorders>
            <w:shd w:val="clear" w:color="auto" w:fill="CCEDFF"/>
          </w:tcPr>
          <w:p>
            <w:pPr>
              <w:pStyle w:val="TableParagraph"/>
              <w:tabs>
                <w:tab w:pos="630" w:val="left" w:leader="none"/>
              </w:tabs>
              <w:spacing w:line="177" w:lineRule="exact" w:before="2"/>
              <w:ind w:left="86"/>
              <w:rPr>
                <w:sz w:val="16"/>
              </w:rPr>
            </w:pPr>
            <w:r>
              <w:rPr>
                <w:spacing w:val="-10"/>
                <w:w w:val="105"/>
                <w:sz w:val="16"/>
              </w:rPr>
              <w:t>$</w:t>
            </w:r>
            <w:r>
              <w:rPr>
                <w:sz w:val="16"/>
              </w:rPr>
              <w:tab/>
            </w:r>
            <w:r>
              <w:rPr>
                <w:spacing w:val="-4"/>
                <w:w w:val="105"/>
                <w:sz w:val="16"/>
              </w:rPr>
              <w:t>1,568</w:t>
            </w:r>
          </w:p>
        </w:tc>
        <w:tc>
          <w:tcPr>
            <w:tcW w:w="1162" w:type="dxa"/>
            <w:tcBorders>
              <w:top w:val="single" w:sz="6" w:space="0" w:color="000000"/>
              <w:bottom w:val="double" w:sz="6" w:space="0" w:color="000000"/>
            </w:tcBorders>
            <w:shd w:val="clear" w:color="auto" w:fill="CCEDFF"/>
          </w:tcPr>
          <w:p>
            <w:pPr>
              <w:pStyle w:val="TableParagraph"/>
              <w:tabs>
                <w:tab w:pos="544" w:val="left" w:leader="none"/>
              </w:tabs>
              <w:spacing w:line="177" w:lineRule="exact" w:before="2"/>
              <w:ind w:right="156"/>
              <w:jc w:val="right"/>
              <w:rPr>
                <w:sz w:val="16"/>
              </w:rPr>
            </w:pPr>
            <w:r>
              <w:rPr>
                <w:spacing w:val="-10"/>
                <w:w w:val="105"/>
                <w:sz w:val="16"/>
              </w:rPr>
              <w:t>$</w:t>
            </w:r>
            <w:r>
              <w:rPr>
                <w:sz w:val="16"/>
              </w:rPr>
              <w:tab/>
            </w:r>
            <w:r>
              <w:rPr>
                <w:spacing w:val="-4"/>
                <w:w w:val="105"/>
                <w:sz w:val="16"/>
              </w:rPr>
              <w:t>1,237</w:t>
            </w:r>
          </w:p>
        </w:tc>
        <w:tc>
          <w:tcPr>
            <w:tcW w:w="1210" w:type="dxa"/>
            <w:tcBorders>
              <w:top w:val="single" w:sz="6" w:space="0" w:color="000000"/>
              <w:bottom w:val="double" w:sz="6" w:space="0" w:color="000000"/>
            </w:tcBorders>
            <w:shd w:val="clear" w:color="auto" w:fill="CCEDFF"/>
          </w:tcPr>
          <w:p>
            <w:pPr>
              <w:pStyle w:val="TableParagraph"/>
              <w:spacing w:line="177" w:lineRule="exact" w:before="2"/>
              <w:ind w:right="81"/>
              <w:jc w:val="right"/>
              <w:rPr>
                <w:sz w:val="16"/>
              </w:rPr>
            </w:pPr>
            <w:r>
              <w:rPr>
                <w:spacing w:val="-2"/>
                <w:w w:val="105"/>
                <w:sz w:val="16"/>
              </w:rPr>
              <w:t>21.1%</w:t>
            </w:r>
          </w:p>
        </w:tc>
        <w:tc>
          <w:tcPr>
            <w:tcW w:w="1088" w:type="dxa"/>
            <w:tcBorders>
              <w:top w:val="single" w:sz="6" w:space="0" w:color="000000"/>
              <w:bottom w:val="double" w:sz="6" w:space="0" w:color="000000"/>
            </w:tcBorders>
            <w:shd w:val="clear" w:color="auto" w:fill="CCEDFF"/>
          </w:tcPr>
          <w:p>
            <w:pPr>
              <w:pStyle w:val="TableParagraph"/>
              <w:tabs>
                <w:tab w:pos="685" w:val="left" w:leader="none"/>
              </w:tabs>
              <w:spacing w:line="177" w:lineRule="exact" w:before="2"/>
              <w:ind w:left="58"/>
              <w:rPr>
                <w:sz w:val="16"/>
              </w:rPr>
            </w:pPr>
            <w:r>
              <w:rPr>
                <w:spacing w:val="-10"/>
                <w:w w:val="105"/>
                <w:sz w:val="16"/>
              </w:rPr>
              <w:t>$</w:t>
            </w:r>
            <w:r>
              <w:rPr>
                <w:sz w:val="16"/>
              </w:rPr>
              <w:tab/>
            </w:r>
            <w:r>
              <w:rPr>
                <w:spacing w:val="-4"/>
                <w:w w:val="105"/>
                <w:sz w:val="16"/>
              </w:rPr>
              <w:t>1.39</w:t>
            </w:r>
          </w:p>
        </w:tc>
      </w:tr>
      <w:tr>
        <w:trPr>
          <w:trHeight w:val="428" w:hRule="atLeast"/>
        </w:trPr>
        <w:tc>
          <w:tcPr>
            <w:tcW w:w="11513" w:type="dxa"/>
            <w:gridSpan w:val="8"/>
          </w:tcPr>
          <w:p>
            <w:pPr>
              <w:pStyle w:val="TableParagraph"/>
              <w:spacing w:before="4" w:after="1"/>
              <w:rPr>
                <w:sz w:val="17"/>
              </w:rPr>
            </w:pPr>
          </w:p>
          <w:p>
            <w:pPr>
              <w:pStyle w:val="TableParagraph"/>
              <w:spacing w:line="25" w:lineRule="exact"/>
              <w:ind w:right="-58"/>
              <w:rPr>
                <w:sz w:val="2"/>
              </w:rPr>
            </w:pPr>
            <w:r>
              <w:rPr>
                <w:position w:val="0"/>
                <w:sz w:val="2"/>
              </w:rPr>
              <mc:AlternateContent>
                <mc:Choice Requires="wps">
                  <w:drawing>
                    <wp:inline distT="0" distB="0" distL="0" distR="0">
                      <wp:extent cx="7312659" cy="16510"/>
                      <wp:effectExtent l="0" t="0" r="0" b="0"/>
                      <wp:docPr id="59" name="Group 59"/>
                      <wp:cNvGraphicFramePr>
                        <a:graphicFrameLocks/>
                      </wp:cNvGraphicFramePr>
                      <a:graphic>
                        <a:graphicData uri="http://schemas.microsoft.com/office/word/2010/wordprocessingGroup">
                          <wpg:wgp>
                            <wpg:cNvPr id="59" name="Group 59"/>
                            <wpg:cNvGrpSpPr/>
                            <wpg:grpSpPr>
                              <a:xfrm>
                                <a:off x="0" y="0"/>
                                <a:ext cx="7312659" cy="16510"/>
                                <a:chExt cx="7312659" cy="16510"/>
                              </a:xfrm>
                            </wpg:grpSpPr>
                            <wps:wsp>
                              <wps:cNvPr id="60" name="Graphic 60"/>
                              <wps:cNvSpPr/>
                              <wps:spPr>
                                <a:xfrm>
                                  <a:off x="-9" y="5"/>
                                  <a:ext cx="7312659" cy="16510"/>
                                </a:xfrm>
                                <a:custGeom>
                                  <a:avLst/>
                                  <a:gdLst/>
                                  <a:ahLst/>
                                  <a:cxnLst/>
                                  <a:rect l="l" t="t" r="r" b="b"/>
                                  <a:pathLst>
                                    <a:path w="7312659" h="16510">
                                      <a:moveTo>
                                        <a:pt x="7312342" y="0"/>
                                      </a:moveTo>
                                      <a:lnTo>
                                        <a:pt x="7239546" y="0"/>
                                      </a:lnTo>
                                      <a:lnTo>
                                        <a:pt x="2968625" y="0"/>
                                      </a:lnTo>
                                      <a:lnTo>
                                        <a:pt x="2895816" y="0"/>
                                      </a:lnTo>
                                      <a:lnTo>
                                        <a:pt x="0" y="0"/>
                                      </a:lnTo>
                                      <a:lnTo>
                                        <a:pt x="0" y="16179"/>
                                      </a:lnTo>
                                      <a:lnTo>
                                        <a:pt x="2895816" y="16179"/>
                                      </a:lnTo>
                                      <a:lnTo>
                                        <a:pt x="296862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pt;mso-position-horizontal-relative:char;mso-position-vertical-relative:line" id="docshapegroup58" coordorigin="0,0" coordsize="11516,26">
                      <v:shape style="position:absolute;left:-1;top:0;width:11516;height:26" id="docshape59" coordorigin="0,0" coordsize="11516,26" path="m11515,0l11401,0,4675,0,4560,0,0,0,0,25,4560,25,4675,25,11401,25,11515,25,11515,0xe" filled="true" fillcolor="#000000" stroked="false">
                        <v:path arrowok="t"/>
                        <v:fill type="solid"/>
                      </v:shape>
                    </v:group>
                  </w:pict>
                </mc:Fallback>
              </mc:AlternateContent>
            </w:r>
            <w:r>
              <w:rPr>
                <w:position w:val="0"/>
                <w:sz w:val="2"/>
              </w:rPr>
            </w:r>
          </w:p>
          <w:p>
            <w:pPr>
              <w:pStyle w:val="TableParagraph"/>
              <w:spacing w:line="179" w:lineRule="exact" w:before="4"/>
              <w:ind w:left="6986"/>
              <w:rPr>
                <w:sz w:val="16"/>
              </w:rPr>
            </w:pPr>
            <w:r>
              <w:rPr>
                <w:w w:val="105"/>
                <w:sz w:val="16"/>
              </w:rPr>
              <w:t>Year</w:t>
            </w:r>
            <w:r>
              <w:rPr>
                <w:spacing w:val="-11"/>
                <w:w w:val="105"/>
                <w:sz w:val="16"/>
              </w:rPr>
              <w:t> </w:t>
            </w:r>
            <w:r>
              <w:rPr>
                <w:w w:val="105"/>
                <w:sz w:val="16"/>
              </w:rPr>
              <w:t>ended</w:t>
            </w:r>
            <w:r>
              <w:rPr>
                <w:spacing w:val="-9"/>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2019</w:t>
            </w:r>
          </w:p>
        </w:tc>
      </w:tr>
      <w:tr>
        <w:trPr>
          <w:trHeight w:val="401" w:hRule="atLeast"/>
        </w:trPr>
        <w:tc>
          <w:tcPr>
            <w:tcW w:w="4675" w:type="dxa"/>
          </w:tcPr>
          <w:p>
            <w:pPr>
              <w:pStyle w:val="TableParagraph"/>
              <w:rPr>
                <w:sz w:val="16"/>
              </w:rPr>
            </w:pPr>
          </w:p>
        </w:tc>
        <w:tc>
          <w:tcPr>
            <w:tcW w:w="959" w:type="dxa"/>
            <w:tcBorders>
              <w:top w:val="single" w:sz="6" w:space="0" w:color="000000"/>
            </w:tcBorders>
          </w:tcPr>
          <w:p>
            <w:pPr>
              <w:pStyle w:val="TableParagraph"/>
              <w:rPr>
                <w:sz w:val="16"/>
              </w:rPr>
            </w:pPr>
          </w:p>
        </w:tc>
        <w:tc>
          <w:tcPr>
            <w:tcW w:w="325" w:type="dxa"/>
            <w:tcBorders>
              <w:top w:val="single" w:sz="6" w:space="0" w:color="000000"/>
            </w:tcBorders>
          </w:tcPr>
          <w:p>
            <w:pPr>
              <w:pStyle w:val="TableParagraph"/>
              <w:rPr>
                <w:sz w:val="16"/>
              </w:rPr>
            </w:pPr>
          </w:p>
        </w:tc>
        <w:tc>
          <w:tcPr>
            <w:tcW w:w="948" w:type="dxa"/>
            <w:tcBorders>
              <w:top w:val="single" w:sz="6" w:space="0" w:color="000000"/>
            </w:tcBorders>
          </w:tcPr>
          <w:p>
            <w:pPr>
              <w:pStyle w:val="TableParagraph"/>
              <w:spacing w:before="22"/>
              <w:rPr>
                <w:sz w:val="16"/>
              </w:rPr>
            </w:pPr>
          </w:p>
          <w:p>
            <w:pPr>
              <w:pStyle w:val="TableParagraph"/>
              <w:spacing w:line="175" w:lineRule="exact"/>
              <w:ind w:left="112"/>
              <w:rPr>
                <w:sz w:val="16"/>
              </w:rPr>
            </w:pPr>
            <w:r>
              <w:rPr>
                <w:spacing w:val="-2"/>
                <w:w w:val="105"/>
                <w:sz w:val="16"/>
              </w:rPr>
              <w:t>Equity</w:t>
            </w:r>
          </w:p>
        </w:tc>
        <w:tc>
          <w:tcPr>
            <w:tcW w:w="1146" w:type="dxa"/>
            <w:tcBorders>
              <w:top w:val="single" w:sz="6" w:space="0" w:color="000000"/>
            </w:tcBorders>
          </w:tcPr>
          <w:p>
            <w:pPr>
              <w:pStyle w:val="TableParagraph"/>
              <w:spacing w:before="2"/>
              <w:ind w:left="296"/>
              <w:rPr>
                <w:sz w:val="16"/>
              </w:rPr>
            </w:pPr>
            <w:r>
              <w:rPr>
                <w:spacing w:val="-2"/>
                <w:w w:val="105"/>
                <w:sz w:val="16"/>
              </w:rPr>
              <w:t>Income</w:t>
            </w:r>
          </w:p>
          <w:p>
            <w:pPr>
              <w:pStyle w:val="TableParagraph"/>
              <w:spacing w:line="175" w:lineRule="exact" w:before="20"/>
              <w:ind w:left="333"/>
              <w:rPr>
                <w:sz w:val="16"/>
              </w:rPr>
            </w:pPr>
            <w:r>
              <w:rPr>
                <w:spacing w:val="-2"/>
                <w:w w:val="105"/>
                <w:sz w:val="16"/>
              </w:rPr>
              <w:t>before</w:t>
            </w:r>
          </w:p>
        </w:tc>
        <w:tc>
          <w:tcPr>
            <w:tcW w:w="1162" w:type="dxa"/>
            <w:tcBorders>
              <w:top w:val="single" w:sz="6" w:space="0" w:color="000000"/>
            </w:tcBorders>
          </w:tcPr>
          <w:p>
            <w:pPr>
              <w:pStyle w:val="TableParagraph"/>
              <w:rPr>
                <w:sz w:val="16"/>
              </w:rPr>
            </w:pPr>
          </w:p>
        </w:tc>
        <w:tc>
          <w:tcPr>
            <w:tcW w:w="1210" w:type="dxa"/>
            <w:tcBorders>
              <w:top w:val="single" w:sz="6" w:space="0" w:color="000000"/>
            </w:tcBorders>
          </w:tcPr>
          <w:p>
            <w:pPr>
              <w:pStyle w:val="TableParagraph"/>
              <w:spacing w:before="22"/>
              <w:rPr>
                <w:sz w:val="16"/>
              </w:rPr>
            </w:pPr>
          </w:p>
          <w:p>
            <w:pPr>
              <w:pStyle w:val="TableParagraph"/>
              <w:spacing w:line="175" w:lineRule="exact"/>
              <w:ind w:left="103"/>
              <w:rPr>
                <w:sz w:val="16"/>
              </w:rPr>
            </w:pPr>
            <w:r>
              <w:rPr>
                <w:sz w:val="16"/>
              </w:rPr>
              <w:t>Effective</w:t>
            </w:r>
            <w:r>
              <w:rPr>
                <w:spacing w:val="18"/>
                <w:sz w:val="16"/>
              </w:rPr>
              <w:t> </w:t>
            </w:r>
            <w:r>
              <w:rPr>
                <w:spacing w:val="-5"/>
                <w:sz w:val="16"/>
              </w:rPr>
              <w:t>tax</w:t>
            </w:r>
          </w:p>
        </w:tc>
        <w:tc>
          <w:tcPr>
            <w:tcW w:w="1088" w:type="dxa"/>
            <w:tcBorders>
              <w:top w:val="single" w:sz="6" w:space="0" w:color="000000"/>
            </w:tcBorders>
          </w:tcPr>
          <w:p>
            <w:pPr>
              <w:pStyle w:val="TableParagraph"/>
              <w:spacing w:before="22"/>
              <w:rPr>
                <w:sz w:val="16"/>
              </w:rPr>
            </w:pPr>
          </w:p>
          <w:p>
            <w:pPr>
              <w:pStyle w:val="TableParagraph"/>
              <w:spacing w:line="175" w:lineRule="exact"/>
              <w:ind w:left="96"/>
              <w:rPr>
                <w:sz w:val="16"/>
              </w:rPr>
            </w:pPr>
            <w:r>
              <w:rPr>
                <w:sz w:val="16"/>
              </w:rPr>
              <w:t>Earnings</w:t>
            </w:r>
            <w:r>
              <w:rPr>
                <w:spacing w:val="11"/>
                <w:sz w:val="16"/>
              </w:rPr>
              <w:t> </w:t>
            </w:r>
            <w:r>
              <w:rPr>
                <w:spacing w:val="-5"/>
                <w:sz w:val="16"/>
              </w:rPr>
              <w:t>per</w:t>
            </w:r>
          </w:p>
        </w:tc>
      </w:tr>
      <w:tr>
        <w:trPr>
          <w:trHeight w:val="207" w:hRule="atLeast"/>
        </w:trPr>
        <w:tc>
          <w:tcPr>
            <w:tcW w:w="4675" w:type="dxa"/>
            <w:tcBorders>
              <w:bottom w:val="single" w:sz="6" w:space="0" w:color="000000"/>
            </w:tcBorders>
          </w:tcPr>
          <w:p>
            <w:pPr>
              <w:pStyle w:val="TableParagraph"/>
              <w:rPr>
                <w:sz w:val="14"/>
              </w:rPr>
            </w:pPr>
          </w:p>
        </w:tc>
        <w:tc>
          <w:tcPr>
            <w:tcW w:w="959" w:type="dxa"/>
            <w:tcBorders>
              <w:bottom w:val="single" w:sz="6" w:space="0" w:color="000000"/>
            </w:tcBorders>
          </w:tcPr>
          <w:p>
            <w:pPr>
              <w:pStyle w:val="TableParagraph"/>
              <w:spacing w:line="179" w:lineRule="exact" w:before="8"/>
              <w:ind w:left="157"/>
              <w:rPr>
                <w:sz w:val="16"/>
              </w:rPr>
            </w:pPr>
            <w:r>
              <w:rPr>
                <w:w w:val="105"/>
                <w:sz w:val="16"/>
              </w:rPr>
              <w:t>Net</w:t>
            </w:r>
            <w:r>
              <w:rPr>
                <w:spacing w:val="-8"/>
                <w:w w:val="105"/>
                <w:sz w:val="16"/>
              </w:rPr>
              <w:t> </w:t>
            </w:r>
            <w:r>
              <w:rPr>
                <w:spacing w:val="-4"/>
                <w:w w:val="105"/>
                <w:sz w:val="16"/>
              </w:rPr>
              <w:t>sales</w:t>
            </w:r>
          </w:p>
        </w:tc>
        <w:tc>
          <w:tcPr>
            <w:tcW w:w="325" w:type="dxa"/>
            <w:tcBorders>
              <w:bottom w:val="single" w:sz="6" w:space="0" w:color="000000"/>
            </w:tcBorders>
          </w:tcPr>
          <w:p>
            <w:pPr>
              <w:pStyle w:val="TableParagraph"/>
              <w:rPr>
                <w:sz w:val="14"/>
              </w:rPr>
            </w:pPr>
          </w:p>
        </w:tc>
        <w:tc>
          <w:tcPr>
            <w:tcW w:w="948" w:type="dxa"/>
            <w:tcBorders>
              <w:bottom w:val="single" w:sz="6" w:space="0" w:color="000000"/>
            </w:tcBorders>
          </w:tcPr>
          <w:p>
            <w:pPr>
              <w:pStyle w:val="TableParagraph"/>
              <w:spacing w:line="179" w:lineRule="exact" w:before="8"/>
              <w:ind w:left="53"/>
              <w:rPr>
                <w:sz w:val="16"/>
              </w:rPr>
            </w:pPr>
            <w:r>
              <w:rPr>
                <w:spacing w:val="-2"/>
                <w:w w:val="105"/>
                <w:sz w:val="16"/>
              </w:rPr>
              <w:t>earnings</w:t>
            </w:r>
          </w:p>
        </w:tc>
        <w:tc>
          <w:tcPr>
            <w:tcW w:w="1146" w:type="dxa"/>
            <w:tcBorders>
              <w:bottom w:val="single" w:sz="6" w:space="0" w:color="000000"/>
            </w:tcBorders>
          </w:tcPr>
          <w:p>
            <w:pPr>
              <w:pStyle w:val="TableParagraph"/>
              <w:spacing w:line="179" w:lineRule="exact" w:before="8"/>
              <w:ind w:left="109"/>
              <w:rPr>
                <w:sz w:val="16"/>
              </w:rPr>
            </w:pPr>
            <w:r>
              <w:rPr>
                <w:w w:val="105"/>
                <w:sz w:val="16"/>
              </w:rPr>
              <w:t>income</w:t>
            </w:r>
            <w:r>
              <w:rPr>
                <w:spacing w:val="-11"/>
                <w:w w:val="105"/>
                <w:sz w:val="16"/>
              </w:rPr>
              <w:t> </w:t>
            </w:r>
            <w:r>
              <w:rPr>
                <w:spacing w:val="-2"/>
                <w:w w:val="105"/>
                <w:sz w:val="16"/>
              </w:rPr>
              <w:t>taxes</w:t>
            </w:r>
          </w:p>
        </w:tc>
        <w:tc>
          <w:tcPr>
            <w:tcW w:w="1162" w:type="dxa"/>
            <w:tcBorders>
              <w:bottom w:val="single" w:sz="6" w:space="0" w:color="000000"/>
            </w:tcBorders>
          </w:tcPr>
          <w:p>
            <w:pPr>
              <w:pStyle w:val="TableParagraph"/>
              <w:spacing w:line="179" w:lineRule="exact" w:before="8"/>
              <w:ind w:left="161"/>
              <w:rPr>
                <w:sz w:val="16"/>
              </w:rPr>
            </w:pPr>
            <w:r>
              <w:rPr>
                <w:w w:val="105"/>
                <w:sz w:val="16"/>
              </w:rPr>
              <w:t>Net</w:t>
            </w:r>
            <w:r>
              <w:rPr>
                <w:spacing w:val="-6"/>
                <w:w w:val="105"/>
                <w:sz w:val="16"/>
              </w:rPr>
              <w:t> </w:t>
            </w:r>
            <w:r>
              <w:rPr>
                <w:spacing w:val="-2"/>
                <w:w w:val="105"/>
                <w:sz w:val="16"/>
              </w:rPr>
              <w:t>income</w:t>
            </w:r>
          </w:p>
        </w:tc>
        <w:tc>
          <w:tcPr>
            <w:tcW w:w="1210" w:type="dxa"/>
            <w:tcBorders>
              <w:bottom w:val="single" w:sz="6" w:space="0" w:color="000000"/>
            </w:tcBorders>
          </w:tcPr>
          <w:p>
            <w:pPr>
              <w:pStyle w:val="TableParagraph"/>
              <w:spacing w:line="179" w:lineRule="exact" w:before="8"/>
              <w:ind w:left="292"/>
              <w:rPr>
                <w:sz w:val="16"/>
              </w:rPr>
            </w:pPr>
            <w:r>
              <w:rPr>
                <w:w w:val="105"/>
                <w:sz w:val="16"/>
              </w:rPr>
              <w:t>rate</w:t>
            </w:r>
            <w:r>
              <w:rPr>
                <w:spacing w:val="-6"/>
                <w:w w:val="105"/>
                <w:sz w:val="16"/>
              </w:rPr>
              <w:t> </w:t>
            </w:r>
            <w:r>
              <w:rPr>
                <w:spacing w:val="-5"/>
                <w:w w:val="105"/>
                <w:sz w:val="16"/>
              </w:rPr>
              <w:t>(a)</w:t>
            </w:r>
          </w:p>
        </w:tc>
        <w:tc>
          <w:tcPr>
            <w:tcW w:w="1088" w:type="dxa"/>
            <w:tcBorders>
              <w:bottom w:val="single" w:sz="6" w:space="0" w:color="000000"/>
            </w:tcBorders>
          </w:tcPr>
          <w:p>
            <w:pPr>
              <w:pStyle w:val="TableParagraph"/>
              <w:spacing w:line="179" w:lineRule="exact" w:before="8"/>
              <w:ind w:left="342"/>
              <w:rPr>
                <w:sz w:val="16"/>
              </w:rPr>
            </w:pPr>
            <w:r>
              <w:rPr>
                <w:spacing w:val="-2"/>
                <w:w w:val="105"/>
                <w:sz w:val="16"/>
              </w:rPr>
              <w:t>share</w:t>
            </w:r>
          </w:p>
        </w:tc>
      </w:tr>
      <w:tr>
        <w:trPr>
          <w:trHeight w:val="202" w:hRule="atLeast"/>
        </w:trPr>
        <w:tc>
          <w:tcPr>
            <w:tcW w:w="4675" w:type="dxa"/>
            <w:tcBorders>
              <w:top w:val="single" w:sz="6" w:space="0" w:color="000000"/>
            </w:tcBorders>
            <w:shd w:val="clear" w:color="auto" w:fill="CCEDFF"/>
          </w:tcPr>
          <w:p>
            <w:pPr>
              <w:pStyle w:val="TableParagraph"/>
              <w:spacing w:line="180" w:lineRule="exact" w:before="2"/>
              <w:rPr>
                <w:b/>
                <w:sz w:val="16"/>
              </w:rPr>
            </w:pPr>
            <w:r>
              <w:rPr>
                <w:b/>
                <w:w w:val="105"/>
                <w:sz w:val="16"/>
              </w:rPr>
              <w:t>As</w:t>
            </w:r>
            <w:r>
              <w:rPr>
                <w:b/>
                <w:spacing w:val="-6"/>
                <w:w w:val="105"/>
                <w:sz w:val="16"/>
              </w:rPr>
              <w:t> </w:t>
            </w:r>
            <w:r>
              <w:rPr>
                <w:b/>
                <w:spacing w:val="-2"/>
                <w:w w:val="105"/>
                <w:sz w:val="16"/>
              </w:rPr>
              <w:t>reported</w:t>
            </w:r>
          </w:p>
        </w:tc>
        <w:tc>
          <w:tcPr>
            <w:tcW w:w="959" w:type="dxa"/>
            <w:tcBorders>
              <w:top w:val="single" w:sz="6" w:space="0" w:color="000000"/>
            </w:tcBorders>
            <w:shd w:val="clear" w:color="auto" w:fill="CCEDFF"/>
          </w:tcPr>
          <w:p>
            <w:pPr>
              <w:pStyle w:val="TableParagraph"/>
              <w:tabs>
                <w:tab w:pos="461" w:val="left" w:leader="none"/>
              </w:tabs>
              <w:spacing w:line="180" w:lineRule="exact" w:before="2"/>
              <w:ind w:left="-1" w:right="39"/>
              <w:jc w:val="right"/>
              <w:rPr>
                <w:b/>
                <w:sz w:val="16"/>
              </w:rPr>
            </w:pPr>
            <w:r>
              <w:rPr>
                <w:b/>
                <w:spacing w:val="-10"/>
                <w:w w:val="105"/>
                <w:sz w:val="16"/>
              </w:rPr>
              <w:t>$</w:t>
            </w:r>
            <w:r>
              <w:rPr>
                <w:b/>
                <w:sz w:val="16"/>
              </w:rPr>
              <w:tab/>
            </w:r>
            <w:r>
              <w:rPr>
                <w:b/>
                <w:spacing w:val="-4"/>
                <w:w w:val="105"/>
                <w:sz w:val="16"/>
              </w:rPr>
              <w:t>11,503</w:t>
            </w:r>
          </w:p>
        </w:tc>
        <w:tc>
          <w:tcPr>
            <w:tcW w:w="325" w:type="dxa"/>
            <w:tcBorders>
              <w:top w:val="single" w:sz="6" w:space="0" w:color="000000"/>
            </w:tcBorders>
            <w:shd w:val="clear" w:color="auto" w:fill="CCEDFF"/>
          </w:tcPr>
          <w:p>
            <w:pPr>
              <w:pStyle w:val="TableParagraph"/>
              <w:spacing w:line="180" w:lineRule="exact" w:before="2"/>
              <w:ind w:right="52"/>
              <w:jc w:val="right"/>
              <w:rPr>
                <w:b/>
                <w:sz w:val="16"/>
              </w:rPr>
            </w:pPr>
            <w:r>
              <w:rPr>
                <w:b/>
                <w:spacing w:val="-10"/>
                <w:w w:val="105"/>
                <w:sz w:val="16"/>
              </w:rPr>
              <w:t>$</w:t>
            </w:r>
          </w:p>
        </w:tc>
        <w:tc>
          <w:tcPr>
            <w:tcW w:w="948" w:type="dxa"/>
            <w:tcBorders>
              <w:top w:val="single" w:sz="6" w:space="0" w:color="000000"/>
            </w:tcBorders>
            <w:shd w:val="clear" w:color="auto" w:fill="CCEDFF"/>
          </w:tcPr>
          <w:p>
            <w:pPr>
              <w:pStyle w:val="TableParagraph"/>
              <w:spacing w:line="180" w:lineRule="exact" w:before="2"/>
              <w:ind w:right="140"/>
              <w:jc w:val="right"/>
              <w:rPr>
                <w:b/>
                <w:sz w:val="16"/>
              </w:rPr>
            </w:pPr>
            <w:r>
              <w:rPr>
                <w:b/>
                <w:spacing w:val="-5"/>
                <w:w w:val="105"/>
                <w:sz w:val="16"/>
              </w:rPr>
              <w:t>17</w:t>
            </w:r>
          </w:p>
        </w:tc>
        <w:tc>
          <w:tcPr>
            <w:tcW w:w="1146" w:type="dxa"/>
            <w:tcBorders>
              <w:top w:val="single" w:sz="6" w:space="0" w:color="000000"/>
            </w:tcBorders>
            <w:shd w:val="clear" w:color="auto" w:fill="CCEDFF"/>
          </w:tcPr>
          <w:p>
            <w:pPr>
              <w:pStyle w:val="TableParagraph"/>
              <w:tabs>
                <w:tab w:pos="630" w:val="left" w:leader="none"/>
              </w:tabs>
              <w:spacing w:line="180" w:lineRule="exact" w:before="2"/>
              <w:ind w:left="86"/>
              <w:rPr>
                <w:b/>
                <w:sz w:val="16"/>
              </w:rPr>
            </w:pPr>
            <w:r>
              <w:rPr>
                <w:b/>
                <w:spacing w:val="-10"/>
                <w:w w:val="105"/>
                <w:sz w:val="16"/>
              </w:rPr>
              <w:t>$</w:t>
            </w:r>
            <w:r>
              <w:rPr>
                <w:b/>
                <w:sz w:val="16"/>
              </w:rPr>
              <w:tab/>
            </w:r>
            <w:r>
              <w:rPr>
                <w:b/>
                <w:spacing w:val="-4"/>
                <w:w w:val="105"/>
                <w:sz w:val="16"/>
              </w:rPr>
              <w:t>1,216</w:t>
            </w:r>
          </w:p>
        </w:tc>
        <w:tc>
          <w:tcPr>
            <w:tcW w:w="1162" w:type="dxa"/>
            <w:tcBorders>
              <w:top w:val="single" w:sz="6" w:space="0" w:color="000000"/>
            </w:tcBorders>
            <w:shd w:val="clear" w:color="auto" w:fill="CCEDFF"/>
          </w:tcPr>
          <w:p>
            <w:pPr>
              <w:pStyle w:val="TableParagraph"/>
              <w:tabs>
                <w:tab w:pos="668" w:val="left" w:leader="none"/>
              </w:tabs>
              <w:spacing w:line="180" w:lineRule="exact" w:before="2"/>
              <w:ind w:right="156"/>
              <w:jc w:val="right"/>
              <w:rPr>
                <w:b/>
                <w:sz w:val="16"/>
              </w:rPr>
            </w:pPr>
            <w:r>
              <w:rPr>
                <w:b/>
                <w:spacing w:val="-10"/>
                <w:w w:val="105"/>
                <w:sz w:val="16"/>
              </w:rPr>
              <w:t>$</w:t>
            </w:r>
            <w:r>
              <w:rPr>
                <w:b/>
                <w:sz w:val="16"/>
              </w:rPr>
              <w:tab/>
            </w:r>
            <w:r>
              <w:rPr>
                <w:b/>
                <w:spacing w:val="-5"/>
                <w:w w:val="105"/>
                <w:sz w:val="16"/>
              </w:rPr>
              <w:t>960</w:t>
            </w:r>
          </w:p>
        </w:tc>
        <w:tc>
          <w:tcPr>
            <w:tcW w:w="1210" w:type="dxa"/>
            <w:tcBorders>
              <w:top w:val="single" w:sz="6" w:space="0" w:color="000000"/>
            </w:tcBorders>
            <w:shd w:val="clear" w:color="auto" w:fill="CCEDFF"/>
          </w:tcPr>
          <w:p>
            <w:pPr>
              <w:pStyle w:val="TableParagraph"/>
              <w:spacing w:line="180" w:lineRule="exact" w:before="2"/>
              <w:ind w:right="53"/>
              <w:jc w:val="right"/>
              <w:rPr>
                <w:b/>
                <w:sz w:val="16"/>
              </w:rPr>
            </w:pPr>
            <w:r>
              <w:rPr>
                <w:b/>
                <w:spacing w:val="-2"/>
                <w:w w:val="105"/>
                <w:sz w:val="16"/>
              </w:rPr>
              <w:t>21.1%</w:t>
            </w:r>
          </w:p>
        </w:tc>
        <w:tc>
          <w:tcPr>
            <w:tcW w:w="1088" w:type="dxa"/>
            <w:tcBorders>
              <w:top w:val="single" w:sz="6" w:space="0" w:color="000000"/>
            </w:tcBorders>
            <w:shd w:val="clear" w:color="auto" w:fill="CCEDFF"/>
          </w:tcPr>
          <w:p>
            <w:pPr>
              <w:pStyle w:val="TableParagraph"/>
              <w:tabs>
                <w:tab w:pos="685" w:val="left" w:leader="none"/>
              </w:tabs>
              <w:spacing w:line="180" w:lineRule="exact" w:before="2"/>
              <w:ind w:left="58"/>
              <w:rPr>
                <w:b/>
                <w:sz w:val="16"/>
              </w:rPr>
            </w:pPr>
            <w:r>
              <w:rPr>
                <w:b/>
                <w:spacing w:val="-10"/>
                <w:w w:val="105"/>
                <w:sz w:val="16"/>
              </w:rPr>
              <w:t>$</w:t>
            </w:r>
            <w:r>
              <w:rPr>
                <w:b/>
                <w:sz w:val="16"/>
              </w:rPr>
              <w:tab/>
            </w:r>
            <w:r>
              <w:rPr>
                <w:b/>
                <w:spacing w:val="-4"/>
                <w:w w:val="105"/>
                <w:sz w:val="16"/>
              </w:rPr>
              <w:t>1.07</w:t>
            </w:r>
          </w:p>
        </w:tc>
      </w:tr>
      <w:tr>
        <w:trPr>
          <w:trHeight w:val="203" w:hRule="atLeast"/>
        </w:trPr>
        <w:tc>
          <w:tcPr>
            <w:tcW w:w="4675" w:type="dxa"/>
          </w:tcPr>
          <w:p>
            <w:pPr>
              <w:pStyle w:val="TableParagraph"/>
              <w:spacing w:line="184" w:lineRule="exact"/>
              <w:rPr>
                <w:sz w:val="14"/>
              </w:rPr>
            </w:pPr>
            <w:r>
              <w:rPr>
                <w:sz w:val="16"/>
              </w:rPr>
              <w:t>Constant-currency</w:t>
            </w:r>
            <w:r>
              <w:rPr>
                <w:spacing w:val="30"/>
                <w:sz w:val="16"/>
              </w:rPr>
              <w:t> </w:t>
            </w:r>
            <w:r>
              <w:rPr>
                <w:sz w:val="16"/>
              </w:rPr>
              <w:t>adjustment</w:t>
            </w:r>
            <w:r>
              <w:rPr>
                <w:spacing w:val="30"/>
                <w:sz w:val="16"/>
              </w:rPr>
              <w:t> </w:t>
            </w:r>
            <w:r>
              <w:rPr>
                <w:spacing w:val="-5"/>
                <w:position w:val="3"/>
                <w:sz w:val="14"/>
              </w:rPr>
              <w:t>(1)</w:t>
            </w:r>
          </w:p>
        </w:tc>
        <w:tc>
          <w:tcPr>
            <w:tcW w:w="959" w:type="dxa"/>
          </w:tcPr>
          <w:p>
            <w:pPr>
              <w:pStyle w:val="TableParagraph"/>
              <w:spacing w:line="180" w:lineRule="exact" w:before="3"/>
              <w:ind w:left="-1" w:right="39"/>
              <w:jc w:val="right"/>
              <w:rPr>
                <w:sz w:val="16"/>
              </w:rPr>
            </w:pPr>
            <w:r>
              <w:rPr>
                <w:spacing w:val="-5"/>
                <w:w w:val="105"/>
                <w:sz w:val="16"/>
              </w:rPr>
              <w:t>153</w:t>
            </w:r>
          </w:p>
        </w:tc>
        <w:tc>
          <w:tcPr>
            <w:tcW w:w="325" w:type="dxa"/>
          </w:tcPr>
          <w:p>
            <w:pPr>
              <w:pStyle w:val="TableParagraph"/>
              <w:rPr>
                <w:sz w:val="14"/>
              </w:rPr>
            </w:pPr>
          </w:p>
        </w:tc>
        <w:tc>
          <w:tcPr>
            <w:tcW w:w="948" w:type="dxa"/>
          </w:tcPr>
          <w:p>
            <w:pPr>
              <w:pStyle w:val="TableParagraph"/>
              <w:spacing w:line="180" w:lineRule="exact" w:before="3"/>
              <w:ind w:right="140"/>
              <w:jc w:val="right"/>
              <w:rPr>
                <w:sz w:val="16"/>
              </w:rPr>
            </w:pPr>
            <w:r>
              <w:rPr>
                <w:spacing w:val="-10"/>
                <w:w w:val="105"/>
                <w:sz w:val="16"/>
              </w:rPr>
              <w:t>1</w:t>
            </w:r>
          </w:p>
        </w:tc>
        <w:tc>
          <w:tcPr>
            <w:tcW w:w="1146" w:type="dxa"/>
          </w:tcPr>
          <w:p>
            <w:pPr>
              <w:pStyle w:val="TableParagraph"/>
              <w:spacing w:line="180" w:lineRule="exact" w:before="3"/>
              <w:ind w:right="140"/>
              <w:jc w:val="right"/>
              <w:rPr>
                <w:sz w:val="16"/>
              </w:rPr>
            </w:pPr>
            <w:r>
              <w:rPr>
                <w:spacing w:val="-5"/>
                <w:w w:val="105"/>
                <w:sz w:val="16"/>
              </w:rPr>
              <w:t>115</w:t>
            </w:r>
          </w:p>
        </w:tc>
        <w:tc>
          <w:tcPr>
            <w:tcW w:w="1162" w:type="dxa"/>
          </w:tcPr>
          <w:p>
            <w:pPr>
              <w:pStyle w:val="TableParagraph"/>
              <w:spacing w:line="180" w:lineRule="exact" w:before="3"/>
              <w:ind w:right="156"/>
              <w:jc w:val="right"/>
              <w:rPr>
                <w:sz w:val="16"/>
              </w:rPr>
            </w:pPr>
            <w:r>
              <w:rPr>
                <w:spacing w:val="-5"/>
                <w:w w:val="105"/>
                <w:sz w:val="16"/>
              </w:rPr>
              <w:t>115</w:t>
            </w:r>
          </w:p>
        </w:tc>
        <w:tc>
          <w:tcPr>
            <w:tcW w:w="1210" w:type="dxa"/>
          </w:tcPr>
          <w:p>
            <w:pPr>
              <w:pStyle w:val="TableParagraph"/>
              <w:rPr>
                <w:sz w:val="14"/>
              </w:rPr>
            </w:pPr>
          </w:p>
        </w:tc>
        <w:tc>
          <w:tcPr>
            <w:tcW w:w="1088" w:type="dxa"/>
          </w:tcPr>
          <w:p>
            <w:pPr>
              <w:pStyle w:val="TableParagraph"/>
              <w:spacing w:line="180" w:lineRule="exact" w:before="3"/>
              <w:ind w:left="686"/>
              <w:rPr>
                <w:sz w:val="16"/>
              </w:rPr>
            </w:pPr>
            <w:r>
              <w:rPr>
                <w:spacing w:val="-4"/>
                <w:w w:val="105"/>
                <w:sz w:val="16"/>
              </w:rPr>
              <w:t>0.13</w:t>
            </w:r>
          </w:p>
        </w:tc>
      </w:tr>
      <w:tr>
        <w:trPr>
          <w:trHeight w:val="203" w:hRule="atLeast"/>
        </w:trPr>
        <w:tc>
          <w:tcPr>
            <w:tcW w:w="4675" w:type="dxa"/>
            <w:shd w:val="clear" w:color="auto" w:fill="CCEDFF"/>
          </w:tcPr>
          <w:p>
            <w:pPr>
              <w:pStyle w:val="TableParagraph"/>
              <w:spacing w:line="184" w:lineRule="exact"/>
              <w:rPr>
                <w:sz w:val="14"/>
              </w:rPr>
            </w:pPr>
            <w:r>
              <w:rPr>
                <w:sz w:val="16"/>
              </w:rPr>
              <w:t>Translation</w:t>
            </w:r>
            <w:r>
              <w:rPr>
                <w:spacing w:val="16"/>
                <w:sz w:val="16"/>
              </w:rPr>
              <w:t> </w:t>
            </w:r>
            <w:r>
              <w:rPr>
                <w:sz w:val="16"/>
              </w:rPr>
              <w:t>loss</w:t>
            </w:r>
            <w:r>
              <w:rPr>
                <w:spacing w:val="16"/>
                <w:sz w:val="16"/>
              </w:rPr>
              <w:t> </w:t>
            </w:r>
            <w:r>
              <w:rPr>
                <w:sz w:val="16"/>
              </w:rPr>
              <w:t>on</w:t>
            </w:r>
            <w:r>
              <w:rPr>
                <w:spacing w:val="16"/>
                <w:sz w:val="16"/>
              </w:rPr>
              <w:t> </w:t>
            </w:r>
            <w:r>
              <w:rPr>
                <w:sz w:val="16"/>
              </w:rPr>
              <w:t>Japanese</w:t>
            </w:r>
            <w:r>
              <w:rPr>
                <w:spacing w:val="16"/>
                <w:sz w:val="16"/>
              </w:rPr>
              <w:t> </w:t>
            </w:r>
            <w:r>
              <w:rPr>
                <w:sz w:val="16"/>
              </w:rPr>
              <w:t>yen-denominated</w:t>
            </w:r>
            <w:r>
              <w:rPr>
                <w:spacing w:val="17"/>
                <w:sz w:val="16"/>
              </w:rPr>
              <w:t> </w:t>
            </w:r>
            <w:r>
              <w:rPr>
                <w:sz w:val="16"/>
              </w:rPr>
              <w:t>debt</w:t>
            </w:r>
            <w:r>
              <w:rPr>
                <w:spacing w:val="17"/>
                <w:sz w:val="16"/>
              </w:rPr>
              <w:t> </w:t>
            </w:r>
            <w:r>
              <w:rPr>
                <w:spacing w:val="-5"/>
                <w:position w:val="3"/>
                <w:sz w:val="14"/>
              </w:rPr>
              <w:t>(2)</w:t>
            </w:r>
          </w:p>
        </w:tc>
        <w:tc>
          <w:tcPr>
            <w:tcW w:w="959" w:type="dxa"/>
            <w:shd w:val="clear" w:color="auto" w:fill="CCEDFF"/>
          </w:tcPr>
          <w:p>
            <w:pPr>
              <w:pStyle w:val="TableParagraph"/>
              <w:rPr>
                <w:sz w:val="14"/>
              </w:rPr>
            </w:pPr>
          </w:p>
        </w:tc>
        <w:tc>
          <w:tcPr>
            <w:tcW w:w="325" w:type="dxa"/>
            <w:shd w:val="clear" w:color="auto" w:fill="CCEDFF"/>
          </w:tcPr>
          <w:p>
            <w:pPr>
              <w:pStyle w:val="TableParagraph"/>
              <w:rPr>
                <w:sz w:val="14"/>
              </w:rPr>
            </w:pPr>
          </w:p>
        </w:tc>
        <w:tc>
          <w:tcPr>
            <w:tcW w:w="948" w:type="dxa"/>
            <w:shd w:val="clear" w:color="auto" w:fill="CCEDFF"/>
          </w:tcPr>
          <w:p>
            <w:pPr>
              <w:pStyle w:val="TableParagraph"/>
              <w:rPr>
                <w:sz w:val="14"/>
              </w:rPr>
            </w:pPr>
          </w:p>
        </w:tc>
        <w:tc>
          <w:tcPr>
            <w:tcW w:w="1146" w:type="dxa"/>
            <w:shd w:val="clear" w:color="auto" w:fill="CCEDFF"/>
          </w:tcPr>
          <w:p>
            <w:pPr>
              <w:pStyle w:val="TableParagraph"/>
              <w:spacing w:line="180" w:lineRule="exact" w:before="3"/>
              <w:ind w:right="140"/>
              <w:jc w:val="right"/>
              <w:rPr>
                <w:sz w:val="16"/>
              </w:rPr>
            </w:pPr>
            <w:r>
              <w:rPr>
                <w:spacing w:val="-10"/>
                <w:w w:val="105"/>
                <w:sz w:val="16"/>
              </w:rPr>
              <w:t>3</w:t>
            </w:r>
          </w:p>
        </w:tc>
        <w:tc>
          <w:tcPr>
            <w:tcW w:w="1162" w:type="dxa"/>
            <w:shd w:val="clear" w:color="auto" w:fill="CCEDFF"/>
          </w:tcPr>
          <w:p>
            <w:pPr>
              <w:pStyle w:val="TableParagraph"/>
              <w:spacing w:line="180" w:lineRule="exact" w:before="3"/>
              <w:ind w:right="156"/>
              <w:jc w:val="right"/>
              <w:rPr>
                <w:sz w:val="16"/>
              </w:rPr>
            </w:pPr>
            <w:r>
              <w:rPr>
                <w:spacing w:val="-10"/>
                <w:w w:val="105"/>
                <w:sz w:val="16"/>
              </w:rPr>
              <w:t>2</w:t>
            </w:r>
          </w:p>
        </w:tc>
        <w:tc>
          <w:tcPr>
            <w:tcW w:w="1210" w:type="dxa"/>
            <w:shd w:val="clear" w:color="auto" w:fill="CCEDFF"/>
          </w:tcPr>
          <w:p>
            <w:pPr>
              <w:pStyle w:val="TableParagraph"/>
              <w:rPr>
                <w:sz w:val="14"/>
              </w:rPr>
            </w:pPr>
          </w:p>
        </w:tc>
        <w:tc>
          <w:tcPr>
            <w:tcW w:w="1088" w:type="dxa"/>
            <w:shd w:val="clear" w:color="auto" w:fill="CCEDFF"/>
          </w:tcPr>
          <w:p>
            <w:pPr>
              <w:pStyle w:val="TableParagraph"/>
              <w:spacing w:line="180" w:lineRule="exact" w:before="3"/>
              <w:ind w:left="686"/>
              <w:rPr>
                <w:sz w:val="16"/>
              </w:rPr>
            </w:pPr>
            <w:r>
              <w:rPr>
                <w:spacing w:val="-4"/>
                <w:w w:val="105"/>
                <w:sz w:val="16"/>
              </w:rPr>
              <w:t>0.00</w:t>
            </w:r>
          </w:p>
        </w:tc>
      </w:tr>
      <w:tr>
        <w:trPr>
          <w:trHeight w:val="203" w:hRule="atLeast"/>
        </w:trPr>
        <w:tc>
          <w:tcPr>
            <w:tcW w:w="4675" w:type="dxa"/>
          </w:tcPr>
          <w:p>
            <w:pPr>
              <w:pStyle w:val="TableParagraph"/>
              <w:spacing w:line="184" w:lineRule="exact"/>
              <w:rPr>
                <w:sz w:val="14"/>
              </w:rPr>
            </w:pPr>
            <w:r>
              <w:rPr>
                <w:spacing w:val="-2"/>
                <w:w w:val="105"/>
                <w:sz w:val="16"/>
              </w:rPr>
              <w:t>Translated</w:t>
            </w:r>
            <w:r>
              <w:rPr>
                <w:spacing w:val="2"/>
                <w:w w:val="105"/>
                <w:sz w:val="16"/>
              </w:rPr>
              <w:t> </w:t>
            </w:r>
            <w:r>
              <w:rPr>
                <w:spacing w:val="-2"/>
                <w:w w:val="105"/>
                <w:sz w:val="16"/>
              </w:rPr>
              <w:t>earnings</w:t>
            </w:r>
            <w:r>
              <w:rPr>
                <w:spacing w:val="3"/>
                <w:w w:val="105"/>
                <w:sz w:val="16"/>
              </w:rPr>
              <w:t> </w:t>
            </w:r>
            <w:r>
              <w:rPr>
                <w:spacing w:val="-2"/>
                <w:w w:val="105"/>
                <w:sz w:val="16"/>
              </w:rPr>
              <w:t>contract</w:t>
            </w:r>
            <w:r>
              <w:rPr>
                <w:spacing w:val="2"/>
                <w:w w:val="105"/>
                <w:sz w:val="16"/>
              </w:rPr>
              <w:t> </w:t>
            </w:r>
            <w:r>
              <w:rPr>
                <w:spacing w:val="-2"/>
                <w:w w:val="105"/>
                <w:sz w:val="16"/>
              </w:rPr>
              <w:t>gain,</w:t>
            </w:r>
            <w:r>
              <w:rPr>
                <w:spacing w:val="3"/>
                <w:w w:val="105"/>
                <w:sz w:val="16"/>
              </w:rPr>
              <w:t> </w:t>
            </w:r>
            <w:r>
              <w:rPr>
                <w:spacing w:val="-2"/>
                <w:w w:val="105"/>
                <w:sz w:val="16"/>
              </w:rPr>
              <w:t>net</w:t>
            </w:r>
            <w:r>
              <w:rPr>
                <w:spacing w:val="4"/>
                <w:w w:val="105"/>
                <w:sz w:val="16"/>
              </w:rPr>
              <w:t> </w:t>
            </w:r>
            <w:r>
              <w:rPr>
                <w:spacing w:val="-5"/>
                <w:w w:val="105"/>
                <w:position w:val="3"/>
                <w:sz w:val="14"/>
              </w:rPr>
              <w:t>(3)</w:t>
            </w:r>
          </w:p>
        </w:tc>
        <w:tc>
          <w:tcPr>
            <w:tcW w:w="959" w:type="dxa"/>
          </w:tcPr>
          <w:p>
            <w:pPr>
              <w:pStyle w:val="TableParagraph"/>
              <w:rPr>
                <w:sz w:val="14"/>
              </w:rPr>
            </w:pPr>
          </w:p>
        </w:tc>
        <w:tc>
          <w:tcPr>
            <w:tcW w:w="325" w:type="dxa"/>
          </w:tcPr>
          <w:p>
            <w:pPr>
              <w:pStyle w:val="TableParagraph"/>
              <w:rPr>
                <w:sz w:val="14"/>
              </w:rPr>
            </w:pPr>
          </w:p>
        </w:tc>
        <w:tc>
          <w:tcPr>
            <w:tcW w:w="948" w:type="dxa"/>
          </w:tcPr>
          <w:p>
            <w:pPr>
              <w:pStyle w:val="TableParagraph"/>
              <w:rPr>
                <w:sz w:val="14"/>
              </w:rPr>
            </w:pPr>
          </w:p>
        </w:tc>
        <w:tc>
          <w:tcPr>
            <w:tcW w:w="1146" w:type="dxa"/>
          </w:tcPr>
          <w:p>
            <w:pPr>
              <w:pStyle w:val="TableParagraph"/>
              <w:spacing w:line="180" w:lineRule="exact" w:before="3"/>
              <w:ind w:right="85"/>
              <w:jc w:val="right"/>
              <w:rPr>
                <w:sz w:val="16"/>
              </w:rPr>
            </w:pPr>
            <w:r>
              <w:rPr>
                <w:spacing w:val="-2"/>
                <w:w w:val="105"/>
                <w:sz w:val="16"/>
              </w:rPr>
              <w:t>(245)</w:t>
            </w:r>
          </w:p>
        </w:tc>
        <w:tc>
          <w:tcPr>
            <w:tcW w:w="1162" w:type="dxa"/>
          </w:tcPr>
          <w:p>
            <w:pPr>
              <w:pStyle w:val="TableParagraph"/>
              <w:spacing w:line="180" w:lineRule="exact" w:before="3"/>
              <w:ind w:right="100"/>
              <w:jc w:val="right"/>
              <w:rPr>
                <w:sz w:val="16"/>
              </w:rPr>
            </w:pPr>
            <w:r>
              <w:rPr>
                <w:spacing w:val="-2"/>
                <w:w w:val="105"/>
                <w:sz w:val="16"/>
              </w:rPr>
              <w:t>(190)</w:t>
            </w:r>
          </w:p>
        </w:tc>
        <w:tc>
          <w:tcPr>
            <w:tcW w:w="1210" w:type="dxa"/>
          </w:tcPr>
          <w:p>
            <w:pPr>
              <w:pStyle w:val="TableParagraph"/>
              <w:rPr>
                <w:sz w:val="14"/>
              </w:rPr>
            </w:pPr>
          </w:p>
        </w:tc>
        <w:tc>
          <w:tcPr>
            <w:tcW w:w="1088" w:type="dxa"/>
          </w:tcPr>
          <w:p>
            <w:pPr>
              <w:pStyle w:val="TableParagraph"/>
              <w:spacing w:line="180" w:lineRule="exact" w:before="3"/>
              <w:ind w:right="56"/>
              <w:jc w:val="right"/>
              <w:rPr>
                <w:sz w:val="16"/>
              </w:rPr>
            </w:pPr>
            <w:r>
              <w:rPr>
                <w:spacing w:val="-2"/>
                <w:w w:val="105"/>
                <w:sz w:val="16"/>
              </w:rPr>
              <w:t>(0.21)</w:t>
            </w:r>
          </w:p>
        </w:tc>
      </w:tr>
      <w:tr>
        <w:trPr>
          <w:trHeight w:val="203" w:hRule="atLeast"/>
        </w:trPr>
        <w:tc>
          <w:tcPr>
            <w:tcW w:w="4675" w:type="dxa"/>
            <w:shd w:val="clear" w:color="auto" w:fill="CCEDFF"/>
          </w:tcPr>
          <w:p>
            <w:pPr>
              <w:pStyle w:val="TableParagraph"/>
              <w:spacing w:line="184" w:lineRule="exact"/>
              <w:rPr>
                <w:sz w:val="14"/>
              </w:rPr>
            </w:pPr>
            <w:r>
              <w:rPr>
                <w:sz w:val="16"/>
              </w:rPr>
              <w:t>Acquisition-related</w:t>
            </w:r>
            <w:r>
              <w:rPr>
                <w:spacing w:val="24"/>
                <w:sz w:val="16"/>
              </w:rPr>
              <w:t> </w:t>
            </w:r>
            <w:r>
              <w:rPr>
                <w:sz w:val="16"/>
              </w:rPr>
              <w:t>costs</w:t>
            </w:r>
            <w:r>
              <w:rPr>
                <w:spacing w:val="22"/>
                <w:sz w:val="16"/>
              </w:rPr>
              <w:t> </w:t>
            </w:r>
            <w:r>
              <w:rPr>
                <w:spacing w:val="-5"/>
                <w:position w:val="3"/>
                <w:sz w:val="14"/>
              </w:rPr>
              <w:t>(4)</w:t>
            </w:r>
          </w:p>
        </w:tc>
        <w:tc>
          <w:tcPr>
            <w:tcW w:w="959" w:type="dxa"/>
            <w:shd w:val="clear" w:color="auto" w:fill="CCEDFF"/>
          </w:tcPr>
          <w:p>
            <w:pPr>
              <w:pStyle w:val="TableParagraph"/>
              <w:rPr>
                <w:sz w:val="14"/>
              </w:rPr>
            </w:pPr>
          </w:p>
        </w:tc>
        <w:tc>
          <w:tcPr>
            <w:tcW w:w="325" w:type="dxa"/>
            <w:shd w:val="clear" w:color="auto" w:fill="CCEDFF"/>
          </w:tcPr>
          <w:p>
            <w:pPr>
              <w:pStyle w:val="TableParagraph"/>
              <w:rPr>
                <w:sz w:val="14"/>
              </w:rPr>
            </w:pPr>
          </w:p>
        </w:tc>
        <w:tc>
          <w:tcPr>
            <w:tcW w:w="948" w:type="dxa"/>
            <w:shd w:val="clear" w:color="auto" w:fill="CCEDFF"/>
          </w:tcPr>
          <w:p>
            <w:pPr>
              <w:pStyle w:val="TableParagraph"/>
              <w:rPr>
                <w:sz w:val="14"/>
              </w:rPr>
            </w:pPr>
          </w:p>
        </w:tc>
        <w:tc>
          <w:tcPr>
            <w:tcW w:w="1146" w:type="dxa"/>
            <w:shd w:val="clear" w:color="auto" w:fill="CCEDFF"/>
          </w:tcPr>
          <w:p>
            <w:pPr>
              <w:pStyle w:val="TableParagraph"/>
              <w:spacing w:line="180" w:lineRule="exact" w:before="3"/>
              <w:ind w:right="140"/>
              <w:jc w:val="right"/>
              <w:rPr>
                <w:sz w:val="16"/>
              </w:rPr>
            </w:pPr>
            <w:r>
              <w:rPr>
                <w:spacing w:val="-5"/>
                <w:w w:val="105"/>
                <w:sz w:val="16"/>
              </w:rPr>
              <w:t>130</w:t>
            </w:r>
          </w:p>
        </w:tc>
        <w:tc>
          <w:tcPr>
            <w:tcW w:w="1162" w:type="dxa"/>
            <w:shd w:val="clear" w:color="auto" w:fill="CCEDFF"/>
          </w:tcPr>
          <w:p>
            <w:pPr>
              <w:pStyle w:val="TableParagraph"/>
              <w:spacing w:line="180" w:lineRule="exact" w:before="3"/>
              <w:ind w:right="156"/>
              <w:jc w:val="right"/>
              <w:rPr>
                <w:sz w:val="16"/>
              </w:rPr>
            </w:pPr>
            <w:r>
              <w:rPr>
                <w:spacing w:val="-5"/>
                <w:w w:val="105"/>
                <w:sz w:val="16"/>
              </w:rPr>
              <w:t>99</w:t>
            </w:r>
          </w:p>
        </w:tc>
        <w:tc>
          <w:tcPr>
            <w:tcW w:w="1210" w:type="dxa"/>
            <w:shd w:val="clear" w:color="auto" w:fill="CCEDFF"/>
          </w:tcPr>
          <w:p>
            <w:pPr>
              <w:pStyle w:val="TableParagraph"/>
              <w:rPr>
                <w:sz w:val="14"/>
              </w:rPr>
            </w:pPr>
          </w:p>
        </w:tc>
        <w:tc>
          <w:tcPr>
            <w:tcW w:w="1088" w:type="dxa"/>
            <w:shd w:val="clear" w:color="auto" w:fill="CCEDFF"/>
          </w:tcPr>
          <w:p>
            <w:pPr>
              <w:pStyle w:val="TableParagraph"/>
              <w:spacing w:line="180" w:lineRule="exact" w:before="3"/>
              <w:ind w:left="686"/>
              <w:rPr>
                <w:sz w:val="16"/>
              </w:rPr>
            </w:pPr>
            <w:r>
              <w:rPr>
                <w:spacing w:val="-4"/>
                <w:w w:val="105"/>
                <w:sz w:val="16"/>
              </w:rPr>
              <w:t>0.11</w:t>
            </w:r>
          </w:p>
        </w:tc>
      </w:tr>
      <w:tr>
        <w:trPr>
          <w:trHeight w:val="203" w:hRule="atLeast"/>
        </w:trPr>
        <w:tc>
          <w:tcPr>
            <w:tcW w:w="4675" w:type="dxa"/>
          </w:tcPr>
          <w:p>
            <w:pPr>
              <w:pStyle w:val="TableParagraph"/>
              <w:spacing w:line="184" w:lineRule="exact"/>
              <w:rPr>
                <w:sz w:val="14"/>
              </w:rPr>
            </w:pPr>
            <w:r>
              <w:rPr>
                <w:w w:val="105"/>
                <w:sz w:val="16"/>
              </w:rPr>
              <w:t>Discrete</w:t>
            </w:r>
            <w:r>
              <w:rPr>
                <w:spacing w:val="-11"/>
                <w:w w:val="105"/>
                <w:sz w:val="16"/>
              </w:rPr>
              <w:t> </w:t>
            </w:r>
            <w:r>
              <w:rPr>
                <w:w w:val="105"/>
                <w:sz w:val="16"/>
              </w:rPr>
              <w:t>tax</w:t>
            </w:r>
            <w:r>
              <w:rPr>
                <w:spacing w:val="-10"/>
                <w:w w:val="105"/>
                <w:sz w:val="16"/>
              </w:rPr>
              <w:t> </w:t>
            </w:r>
            <w:r>
              <w:rPr>
                <w:w w:val="105"/>
                <w:sz w:val="16"/>
              </w:rPr>
              <w:t>items</w:t>
            </w:r>
            <w:r>
              <w:rPr>
                <w:spacing w:val="-10"/>
                <w:w w:val="105"/>
                <w:sz w:val="16"/>
              </w:rPr>
              <w:t> </w:t>
            </w:r>
            <w:r>
              <w:rPr>
                <w:w w:val="105"/>
                <w:sz w:val="16"/>
              </w:rPr>
              <w:t>and</w:t>
            </w:r>
            <w:r>
              <w:rPr>
                <w:spacing w:val="-10"/>
                <w:w w:val="105"/>
                <w:sz w:val="16"/>
              </w:rPr>
              <w:t> </w:t>
            </w:r>
            <w:r>
              <w:rPr>
                <w:w w:val="105"/>
                <w:sz w:val="16"/>
              </w:rPr>
              <w:t>other</w:t>
            </w:r>
            <w:r>
              <w:rPr>
                <w:spacing w:val="-11"/>
                <w:w w:val="105"/>
                <w:sz w:val="16"/>
              </w:rPr>
              <w:t> </w:t>
            </w:r>
            <w:r>
              <w:rPr>
                <w:w w:val="105"/>
                <w:sz w:val="16"/>
              </w:rPr>
              <w:t>tax-related</w:t>
            </w:r>
            <w:r>
              <w:rPr>
                <w:spacing w:val="-10"/>
                <w:w w:val="105"/>
                <w:sz w:val="16"/>
              </w:rPr>
              <w:t> </w:t>
            </w:r>
            <w:r>
              <w:rPr>
                <w:w w:val="105"/>
                <w:sz w:val="16"/>
              </w:rPr>
              <w:t>adjustments</w:t>
            </w:r>
            <w:r>
              <w:rPr>
                <w:spacing w:val="-10"/>
                <w:w w:val="105"/>
                <w:sz w:val="16"/>
              </w:rPr>
              <w:t> </w:t>
            </w:r>
            <w:r>
              <w:rPr>
                <w:spacing w:val="-5"/>
                <w:w w:val="105"/>
                <w:position w:val="3"/>
                <w:sz w:val="14"/>
              </w:rPr>
              <w:t>(5)</w:t>
            </w:r>
          </w:p>
        </w:tc>
        <w:tc>
          <w:tcPr>
            <w:tcW w:w="959" w:type="dxa"/>
          </w:tcPr>
          <w:p>
            <w:pPr>
              <w:pStyle w:val="TableParagraph"/>
              <w:rPr>
                <w:sz w:val="14"/>
              </w:rPr>
            </w:pPr>
          </w:p>
        </w:tc>
        <w:tc>
          <w:tcPr>
            <w:tcW w:w="325" w:type="dxa"/>
          </w:tcPr>
          <w:p>
            <w:pPr>
              <w:pStyle w:val="TableParagraph"/>
              <w:rPr>
                <w:sz w:val="14"/>
              </w:rPr>
            </w:pPr>
          </w:p>
        </w:tc>
        <w:tc>
          <w:tcPr>
            <w:tcW w:w="948" w:type="dxa"/>
          </w:tcPr>
          <w:p>
            <w:pPr>
              <w:pStyle w:val="TableParagraph"/>
              <w:rPr>
                <w:sz w:val="14"/>
              </w:rPr>
            </w:pPr>
          </w:p>
        </w:tc>
        <w:tc>
          <w:tcPr>
            <w:tcW w:w="1146" w:type="dxa"/>
          </w:tcPr>
          <w:p>
            <w:pPr>
              <w:pStyle w:val="TableParagraph"/>
              <w:rPr>
                <w:sz w:val="14"/>
              </w:rPr>
            </w:pPr>
          </w:p>
        </w:tc>
        <w:tc>
          <w:tcPr>
            <w:tcW w:w="1162" w:type="dxa"/>
          </w:tcPr>
          <w:p>
            <w:pPr>
              <w:pStyle w:val="TableParagraph"/>
              <w:spacing w:line="180" w:lineRule="exact" w:before="3"/>
              <w:ind w:right="156"/>
              <w:jc w:val="right"/>
              <w:rPr>
                <w:sz w:val="16"/>
              </w:rPr>
            </w:pPr>
            <w:r>
              <w:rPr>
                <w:spacing w:val="-5"/>
                <w:w w:val="105"/>
                <w:sz w:val="16"/>
              </w:rPr>
              <w:t>37</w:t>
            </w:r>
          </w:p>
        </w:tc>
        <w:tc>
          <w:tcPr>
            <w:tcW w:w="1210" w:type="dxa"/>
          </w:tcPr>
          <w:p>
            <w:pPr>
              <w:pStyle w:val="TableParagraph"/>
              <w:rPr>
                <w:sz w:val="14"/>
              </w:rPr>
            </w:pPr>
          </w:p>
        </w:tc>
        <w:tc>
          <w:tcPr>
            <w:tcW w:w="1088" w:type="dxa"/>
          </w:tcPr>
          <w:p>
            <w:pPr>
              <w:pStyle w:val="TableParagraph"/>
              <w:spacing w:line="180" w:lineRule="exact" w:before="3"/>
              <w:ind w:left="686"/>
              <w:rPr>
                <w:sz w:val="16"/>
              </w:rPr>
            </w:pPr>
            <w:r>
              <w:rPr>
                <w:spacing w:val="-4"/>
                <w:w w:val="105"/>
                <w:sz w:val="16"/>
              </w:rPr>
              <w:t>0.04</w:t>
            </w:r>
          </w:p>
        </w:tc>
      </w:tr>
      <w:tr>
        <w:trPr>
          <w:trHeight w:val="203" w:hRule="atLeast"/>
        </w:trPr>
        <w:tc>
          <w:tcPr>
            <w:tcW w:w="4675" w:type="dxa"/>
            <w:shd w:val="clear" w:color="auto" w:fill="CCEDFF"/>
          </w:tcPr>
          <w:p>
            <w:pPr>
              <w:pStyle w:val="TableParagraph"/>
              <w:spacing w:line="184" w:lineRule="exact"/>
              <w:rPr>
                <w:sz w:val="14"/>
              </w:rPr>
            </w:pPr>
            <w:r>
              <w:rPr>
                <w:w w:val="105"/>
                <w:sz w:val="16"/>
              </w:rPr>
              <w:t>Litigation,</w:t>
            </w:r>
            <w:r>
              <w:rPr>
                <w:spacing w:val="-11"/>
                <w:w w:val="105"/>
                <w:sz w:val="16"/>
              </w:rPr>
              <w:t> </w:t>
            </w:r>
            <w:r>
              <w:rPr>
                <w:w w:val="105"/>
                <w:sz w:val="16"/>
              </w:rPr>
              <w:t>regulatory</w:t>
            </w:r>
            <w:r>
              <w:rPr>
                <w:spacing w:val="-10"/>
                <w:w w:val="105"/>
                <w:sz w:val="16"/>
              </w:rPr>
              <w:t> </w:t>
            </w:r>
            <w:r>
              <w:rPr>
                <w:w w:val="105"/>
                <w:sz w:val="16"/>
              </w:rPr>
              <w:t>and</w:t>
            </w:r>
            <w:r>
              <w:rPr>
                <w:spacing w:val="-11"/>
                <w:w w:val="105"/>
                <w:sz w:val="16"/>
              </w:rPr>
              <w:t> </w:t>
            </w:r>
            <w:r>
              <w:rPr>
                <w:w w:val="105"/>
                <w:sz w:val="16"/>
              </w:rPr>
              <w:t>other</w:t>
            </w:r>
            <w:r>
              <w:rPr>
                <w:spacing w:val="-10"/>
                <w:w w:val="105"/>
                <w:sz w:val="16"/>
              </w:rPr>
              <w:t> </w:t>
            </w:r>
            <w:r>
              <w:rPr>
                <w:w w:val="105"/>
                <w:sz w:val="16"/>
              </w:rPr>
              <w:t>legal</w:t>
            </w:r>
            <w:r>
              <w:rPr>
                <w:spacing w:val="-10"/>
                <w:w w:val="105"/>
                <w:sz w:val="16"/>
              </w:rPr>
              <w:t> </w:t>
            </w:r>
            <w:r>
              <w:rPr>
                <w:w w:val="105"/>
                <w:sz w:val="16"/>
              </w:rPr>
              <w:t>matters</w:t>
            </w:r>
            <w:r>
              <w:rPr>
                <w:spacing w:val="-11"/>
                <w:w w:val="105"/>
                <w:sz w:val="16"/>
              </w:rPr>
              <w:t> </w:t>
            </w:r>
            <w:r>
              <w:rPr>
                <w:spacing w:val="-5"/>
                <w:w w:val="105"/>
                <w:position w:val="3"/>
                <w:sz w:val="14"/>
              </w:rPr>
              <w:t>(8)</w:t>
            </w:r>
          </w:p>
        </w:tc>
        <w:tc>
          <w:tcPr>
            <w:tcW w:w="959" w:type="dxa"/>
            <w:shd w:val="clear" w:color="auto" w:fill="CCEDFF"/>
          </w:tcPr>
          <w:p>
            <w:pPr>
              <w:pStyle w:val="TableParagraph"/>
              <w:rPr>
                <w:sz w:val="14"/>
              </w:rPr>
            </w:pPr>
          </w:p>
        </w:tc>
        <w:tc>
          <w:tcPr>
            <w:tcW w:w="325" w:type="dxa"/>
            <w:shd w:val="clear" w:color="auto" w:fill="CCEDFF"/>
          </w:tcPr>
          <w:p>
            <w:pPr>
              <w:pStyle w:val="TableParagraph"/>
              <w:rPr>
                <w:sz w:val="14"/>
              </w:rPr>
            </w:pPr>
          </w:p>
        </w:tc>
        <w:tc>
          <w:tcPr>
            <w:tcW w:w="948" w:type="dxa"/>
            <w:shd w:val="clear" w:color="auto" w:fill="CCEDFF"/>
          </w:tcPr>
          <w:p>
            <w:pPr>
              <w:pStyle w:val="TableParagraph"/>
              <w:rPr>
                <w:sz w:val="14"/>
              </w:rPr>
            </w:pPr>
          </w:p>
        </w:tc>
        <w:tc>
          <w:tcPr>
            <w:tcW w:w="1146" w:type="dxa"/>
            <w:shd w:val="clear" w:color="auto" w:fill="CCEDFF"/>
          </w:tcPr>
          <w:p>
            <w:pPr>
              <w:pStyle w:val="TableParagraph"/>
              <w:spacing w:line="180" w:lineRule="exact" w:before="3"/>
              <w:ind w:right="85"/>
              <w:jc w:val="right"/>
              <w:rPr>
                <w:sz w:val="16"/>
              </w:rPr>
            </w:pPr>
            <w:r>
              <w:rPr>
                <w:spacing w:val="-4"/>
                <w:w w:val="105"/>
                <w:sz w:val="16"/>
              </w:rPr>
              <w:t>(17)</w:t>
            </w:r>
          </w:p>
        </w:tc>
        <w:tc>
          <w:tcPr>
            <w:tcW w:w="1162" w:type="dxa"/>
            <w:shd w:val="clear" w:color="auto" w:fill="CCEDFF"/>
          </w:tcPr>
          <w:p>
            <w:pPr>
              <w:pStyle w:val="TableParagraph"/>
              <w:spacing w:line="180" w:lineRule="exact" w:before="3"/>
              <w:ind w:right="100"/>
              <w:jc w:val="right"/>
              <w:rPr>
                <w:sz w:val="16"/>
              </w:rPr>
            </w:pPr>
            <w:r>
              <w:rPr>
                <w:spacing w:val="-4"/>
                <w:w w:val="105"/>
                <w:sz w:val="16"/>
              </w:rPr>
              <w:t>(13)</w:t>
            </w:r>
          </w:p>
        </w:tc>
        <w:tc>
          <w:tcPr>
            <w:tcW w:w="1210" w:type="dxa"/>
            <w:shd w:val="clear" w:color="auto" w:fill="CCEDFF"/>
          </w:tcPr>
          <w:p>
            <w:pPr>
              <w:pStyle w:val="TableParagraph"/>
              <w:rPr>
                <w:sz w:val="14"/>
              </w:rPr>
            </w:pPr>
          </w:p>
        </w:tc>
        <w:tc>
          <w:tcPr>
            <w:tcW w:w="1088" w:type="dxa"/>
            <w:shd w:val="clear" w:color="auto" w:fill="CCEDFF"/>
          </w:tcPr>
          <w:p>
            <w:pPr>
              <w:pStyle w:val="TableParagraph"/>
              <w:spacing w:line="180" w:lineRule="exact" w:before="3"/>
              <w:ind w:right="56"/>
              <w:jc w:val="right"/>
              <w:rPr>
                <w:sz w:val="16"/>
              </w:rPr>
            </w:pPr>
            <w:r>
              <w:rPr>
                <w:spacing w:val="-2"/>
                <w:w w:val="105"/>
                <w:sz w:val="16"/>
              </w:rPr>
              <w:t>(0.01)</w:t>
            </w:r>
          </w:p>
        </w:tc>
      </w:tr>
      <w:tr>
        <w:trPr>
          <w:trHeight w:val="203" w:hRule="atLeast"/>
        </w:trPr>
        <w:tc>
          <w:tcPr>
            <w:tcW w:w="4675" w:type="dxa"/>
          </w:tcPr>
          <w:p>
            <w:pPr>
              <w:pStyle w:val="TableParagraph"/>
              <w:spacing w:line="184" w:lineRule="exact"/>
              <w:rPr>
                <w:sz w:val="14"/>
              </w:rPr>
            </w:pPr>
            <w:r>
              <w:rPr>
                <w:sz w:val="16"/>
              </w:rPr>
              <w:t>Restructuring,</w:t>
            </w:r>
            <w:r>
              <w:rPr>
                <w:spacing w:val="14"/>
                <w:sz w:val="16"/>
              </w:rPr>
              <w:t> </w:t>
            </w:r>
            <w:r>
              <w:rPr>
                <w:sz w:val="16"/>
              </w:rPr>
              <w:t>impairment</w:t>
            </w:r>
            <w:r>
              <w:rPr>
                <w:spacing w:val="15"/>
                <w:sz w:val="16"/>
              </w:rPr>
              <w:t> </w:t>
            </w:r>
            <w:r>
              <w:rPr>
                <w:sz w:val="16"/>
              </w:rPr>
              <w:t>and</w:t>
            </w:r>
            <w:r>
              <w:rPr>
                <w:spacing w:val="14"/>
                <w:sz w:val="16"/>
              </w:rPr>
              <w:t> </w:t>
            </w:r>
            <w:r>
              <w:rPr>
                <w:sz w:val="16"/>
              </w:rPr>
              <w:t>other</w:t>
            </w:r>
            <w:r>
              <w:rPr>
                <w:spacing w:val="15"/>
                <w:sz w:val="16"/>
              </w:rPr>
              <w:t> </w:t>
            </w:r>
            <w:r>
              <w:rPr>
                <w:sz w:val="16"/>
              </w:rPr>
              <w:t>charges</w:t>
            </w:r>
            <w:r>
              <w:rPr>
                <w:spacing w:val="14"/>
                <w:sz w:val="16"/>
              </w:rPr>
              <w:t> </w:t>
            </w:r>
            <w:r>
              <w:rPr>
                <w:sz w:val="16"/>
              </w:rPr>
              <w:t>and</w:t>
            </w:r>
            <w:r>
              <w:rPr>
                <w:spacing w:val="15"/>
                <w:sz w:val="16"/>
              </w:rPr>
              <w:t> </w:t>
            </w:r>
            <w:r>
              <w:rPr>
                <w:sz w:val="16"/>
              </w:rPr>
              <w:t>credits</w:t>
            </w:r>
            <w:r>
              <w:rPr>
                <w:spacing w:val="14"/>
                <w:sz w:val="16"/>
              </w:rPr>
              <w:t> </w:t>
            </w:r>
            <w:r>
              <w:rPr>
                <w:spacing w:val="-5"/>
                <w:position w:val="3"/>
                <w:sz w:val="14"/>
              </w:rPr>
              <w:t>(7)</w:t>
            </w:r>
          </w:p>
        </w:tc>
        <w:tc>
          <w:tcPr>
            <w:tcW w:w="959" w:type="dxa"/>
          </w:tcPr>
          <w:p>
            <w:pPr>
              <w:pStyle w:val="TableParagraph"/>
              <w:rPr>
                <w:sz w:val="14"/>
              </w:rPr>
            </w:pPr>
          </w:p>
        </w:tc>
        <w:tc>
          <w:tcPr>
            <w:tcW w:w="325" w:type="dxa"/>
          </w:tcPr>
          <w:p>
            <w:pPr>
              <w:pStyle w:val="TableParagraph"/>
              <w:rPr>
                <w:sz w:val="14"/>
              </w:rPr>
            </w:pPr>
          </w:p>
        </w:tc>
        <w:tc>
          <w:tcPr>
            <w:tcW w:w="948" w:type="dxa"/>
          </w:tcPr>
          <w:p>
            <w:pPr>
              <w:pStyle w:val="TableParagraph"/>
              <w:spacing w:line="180" w:lineRule="exact" w:before="3"/>
              <w:ind w:right="140"/>
              <w:jc w:val="right"/>
              <w:rPr>
                <w:sz w:val="16"/>
              </w:rPr>
            </w:pPr>
            <w:r>
              <w:rPr>
                <w:spacing w:val="-10"/>
                <w:w w:val="105"/>
                <w:sz w:val="16"/>
              </w:rPr>
              <w:t>6</w:t>
            </w:r>
          </w:p>
        </w:tc>
        <w:tc>
          <w:tcPr>
            <w:tcW w:w="1146" w:type="dxa"/>
          </w:tcPr>
          <w:p>
            <w:pPr>
              <w:pStyle w:val="TableParagraph"/>
              <w:spacing w:line="180" w:lineRule="exact" w:before="3"/>
              <w:ind w:right="140"/>
              <w:jc w:val="right"/>
              <w:rPr>
                <w:sz w:val="16"/>
              </w:rPr>
            </w:pPr>
            <w:r>
              <w:rPr>
                <w:spacing w:val="-5"/>
                <w:w w:val="105"/>
                <w:sz w:val="16"/>
              </w:rPr>
              <w:t>439</w:t>
            </w:r>
          </w:p>
        </w:tc>
        <w:tc>
          <w:tcPr>
            <w:tcW w:w="1162" w:type="dxa"/>
          </w:tcPr>
          <w:p>
            <w:pPr>
              <w:pStyle w:val="TableParagraph"/>
              <w:spacing w:line="180" w:lineRule="exact" w:before="3"/>
              <w:ind w:right="156"/>
              <w:jc w:val="right"/>
              <w:rPr>
                <w:sz w:val="16"/>
              </w:rPr>
            </w:pPr>
            <w:r>
              <w:rPr>
                <w:spacing w:val="-5"/>
                <w:w w:val="105"/>
                <w:sz w:val="16"/>
              </w:rPr>
              <w:t>334</w:t>
            </w:r>
          </w:p>
        </w:tc>
        <w:tc>
          <w:tcPr>
            <w:tcW w:w="1210" w:type="dxa"/>
          </w:tcPr>
          <w:p>
            <w:pPr>
              <w:pStyle w:val="TableParagraph"/>
              <w:rPr>
                <w:sz w:val="14"/>
              </w:rPr>
            </w:pPr>
          </w:p>
        </w:tc>
        <w:tc>
          <w:tcPr>
            <w:tcW w:w="1088" w:type="dxa"/>
          </w:tcPr>
          <w:p>
            <w:pPr>
              <w:pStyle w:val="TableParagraph"/>
              <w:spacing w:line="180" w:lineRule="exact" w:before="3"/>
              <w:ind w:left="686"/>
              <w:rPr>
                <w:sz w:val="16"/>
              </w:rPr>
            </w:pPr>
            <w:r>
              <w:rPr>
                <w:spacing w:val="-4"/>
                <w:w w:val="105"/>
                <w:sz w:val="16"/>
              </w:rPr>
              <w:t>0.37</w:t>
            </w:r>
          </w:p>
        </w:tc>
      </w:tr>
      <w:tr>
        <w:trPr>
          <w:trHeight w:val="203" w:hRule="atLeast"/>
        </w:trPr>
        <w:tc>
          <w:tcPr>
            <w:tcW w:w="4675" w:type="dxa"/>
            <w:shd w:val="clear" w:color="auto" w:fill="CCEDFF"/>
          </w:tcPr>
          <w:p>
            <w:pPr>
              <w:pStyle w:val="TableParagraph"/>
              <w:spacing w:line="184" w:lineRule="exact"/>
              <w:rPr>
                <w:sz w:val="14"/>
              </w:rPr>
            </w:pPr>
            <w:r>
              <w:rPr>
                <w:sz w:val="16"/>
              </w:rPr>
              <w:t>Pension</w:t>
            </w:r>
            <w:r>
              <w:rPr>
                <w:spacing w:val="22"/>
                <w:sz w:val="16"/>
              </w:rPr>
              <w:t> </w:t>
            </w:r>
            <w:r>
              <w:rPr>
                <w:sz w:val="16"/>
              </w:rPr>
              <w:t>mark-to-market</w:t>
            </w:r>
            <w:r>
              <w:rPr>
                <w:spacing w:val="26"/>
                <w:sz w:val="16"/>
              </w:rPr>
              <w:t> </w:t>
            </w:r>
            <w:r>
              <w:rPr>
                <w:sz w:val="16"/>
              </w:rPr>
              <w:t>adjustment</w:t>
            </w:r>
            <w:r>
              <w:rPr>
                <w:spacing w:val="23"/>
                <w:sz w:val="16"/>
              </w:rPr>
              <w:t> </w:t>
            </w:r>
            <w:r>
              <w:rPr>
                <w:spacing w:val="-5"/>
                <w:position w:val="3"/>
                <w:sz w:val="14"/>
              </w:rPr>
              <w:t>(6)</w:t>
            </w:r>
          </w:p>
        </w:tc>
        <w:tc>
          <w:tcPr>
            <w:tcW w:w="959" w:type="dxa"/>
            <w:shd w:val="clear" w:color="auto" w:fill="CCEDFF"/>
          </w:tcPr>
          <w:p>
            <w:pPr>
              <w:pStyle w:val="TableParagraph"/>
              <w:rPr>
                <w:sz w:val="14"/>
              </w:rPr>
            </w:pPr>
          </w:p>
        </w:tc>
        <w:tc>
          <w:tcPr>
            <w:tcW w:w="325" w:type="dxa"/>
            <w:shd w:val="clear" w:color="auto" w:fill="CCEDFF"/>
          </w:tcPr>
          <w:p>
            <w:pPr>
              <w:pStyle w:val="TableParagraph"/>
              <w:rPr>
                <w:sz w:val="14"/>
              </w:rPr>
            </w:pPr>
          </w:p>
        </w:tc>
        <w:tc>
          <w:tcPr>
            <w:tcW w:w="948" w:type="dxa"/>
            <w:shd w:val="clear" w:color="auto" w:fill="CCEDFF"/>
          </w:tcPr>
          <w:p>
            <w:pPr>
              <w:pStyle w:val="TableParagraph"/>
              <w:rPr>
                <w:sz w:val="14"/>
              </w:rPr>
            </w:pPr>
          </w:p>
        </w:tc>
        <w:tc>
          <w:tcPr>
            <w:tcW w:w="1146" w:type="dxa"/>
            <w:shd w:val="clear" w:color="auto" w:fill="CCEDFF"/>
          </w:tcPr>
          <w:p>
            <w:pPr>
              <w:pStyle w:val="TableParagraph"/>
              <w:spacing w:line="180" w:lineRule="exact" w:before="3"/>
              <w:ind w:right="140"/>
              <w:jc w:val="right"/>
              <w:rPr>
                <w:sz w:val="16"/>
              </w:rPr>
            </w:pPr>
            <w:r>
              <w:rPr>
                <w:spacing w:val="-5"/>
                <w:w w:val="105"/>
                <w:sz w:val="16"/>
              </w:rPr>
              <w:t>95</w:t>
            </w:r>
          </w:p>
        </w:tc>
        <w:tc>
          <w:tcPr>
            <w:tcW w:w="1162" w:type="dxa"/>
            <w:shd w:val="clear" w:color="auto" w:fill="CCEDFF"/>
          </w:tcPr>
          <w:p>
            <w:pPr>
              <w:pStyle w:val="TableParagraph"/>
              <w:spacing w:line="180" w:lineRule="exact" w:before="3"/>
              <w:ind w:right="156"/>
              <w:jc w:val="right"/>
              <w:rPr>
                <w:sz w:val="16"/>
              </w:rPr>
            </w:pPr>
            <w:r>
              <w:rPr>
                <w:spacing w:val="-5"/>
                <w:w w:val="105"/>
                <w:sz w:val="16"/>
              </w:rPr>
              <w:t>69</w:t>
            </w:r>
          </w:p>
        </w:tc>
        <w:tc>
          <w:tcPr>
            <w:tcW w:w="1210" w:type="dxa"/>
            <w:shd w:val="clear" w:color="auto" w:fill="CCEDFF"/>
          </w:tcPr>
          <w:p>
            <w:pPr>
              <w:pStyle w:val="TableParagraph"/>
              <w:rPr>
                <w:sz w:val="14"/>
              </w:rPr>
            </w:pPr>
          </w:p>
        </w:tc>
        <w:tc>
          <w:tcPr>
            <w:tcW w:w="1088" w:type="dxa"/>
            <w:shd w:val="clear" w:color="auto" w:fill="CCEDFF"/>
          </w:tcPr>
          <w:p>
            <w:pPr>
              <w:pStyle w:val="TableParagraph"/>
              <w:spacing w:line="180" w:lineRule="exact" w:before="3"/>
              <w:ind w:left="686"/>
              <w:rPr>
                <w:sz w:val="16"/>
              </w:rPr>
            </w:pPr>
            <w:r>
              <w:rPr>
                <w:spacing w:val="-4"/>
                <w:w w:val="105"/>
                <w:sz w:val="16"/>
              </w:rPr>
              <w:t>0.08</w:t>
            </w:r>
          </w:p>
        </w:tc>
      </w:tr>
      <w:tr>
        <w:trPr>
          <w:trHeight w:val="202" w:hRule="atLeast"/>
        </w:trPr>
        <w:tc>
          <w:tcPr>
            <w:tcW w:w="4675" w:type="dxa"/>
            <w:tcBorders>
              <w:bottom w:val="single" w:sz="6" w:space="0" w:color="000000"/>
            </w:tcBorders>
          </w:tcPr>
          <w:p>
            <w:pPr>
              <w:pStyle w:val="TableParagraph"/>
              <w:spacing w:line="183" w:lineRule="exact"/>
              <w:rPr>
                <w:sz w:val="14"/>
              </w:rPr>
            </w:pPr>
            <w:r>
              <w:rPr>
                <w:w w:val="105"/>
                <w:sz w:val="16"/>
              </w:rPr>
              <w:t>Equity</w:t>
            </w:r>
            <w:r>
              <w:rPr>
                <w:spacing w:val="-11"/>
                <w:w w:val="105"/>
                <w:sz w:val="16"/>
              </w:rPr>
              <w:t> </w:t>
            </w:r>
            <w:r>
              <w:rPr>
                <w:w w:val="105"/>
                <w:sz w:val="16"/>
              </w:rPr>
              <w:t>in</w:t>
            </w:r>
            <w:r>
              <w:rPr>
                <w:spacing w:val="-10"/>
                <w:w w:val="105"/>
                <w:sz w:val="16"/>
              </w:rPr>
              <w:t> </w:t>
            </w:r>
            <w:r>
              <w:rPr>
                <w:w w:val="105"/>
                <w:sz w:val="16"/>
              </w:rPr>
              <w:t>losses</w:t>
            </w:r>
            <w:r>
              <w:rPr>
                <w:spacing w:val="-11"/>
                <w:w w:val="105"/>
                <w:sz w:val="16"/>
              </w:rPr>
              <w:t> </w:t>
            </w:r>
            <w:r>
              <w:rPr>
                <w:w w:val="105"/>
                <w:sz w:val="16"/>
              </w:rPr>
              <w:t>of</w:t>
            </w:r>
            <w:r>
              <w:rPr>
                <w:spacing w:val="-10"/>
                <w:w w:val="105"/>
                <w:sz w:val="16"/>
              </w:rPr>
              <w:t> </w:t>
            </w:r>
            <w:r>
              <w:rPr>
                <w:w w:val="105"/>
                <w:sz w:val="16"/>
              </w:rPr>
              <w:t>affiliated</w:t>
            </w:r>
            <w:r>
              <w:rPr>
                <w:spacing w:val="-11"/>
                <w:w w:val="105"/>
                <w:sz w:val="16"/>
              </w:rPr>
              <w:t> </w:t>
            </w:r>
            <w:r>
              <w:rPr>
                <w:w w:val="105"/>
                <w:sz w:val="16"/>
              </w:rPr>
              <w:t>companies</w:t>
            </w:r>
            <w:r>
              <w:rPr>
                <w:spacing w:val="-10"/>
                <w:w w:val="105"/>
                <w:sz w:val="16"/>
              </w:rPr>
              <w:t> </w:t>
            </w:r>
            <w:r>
              <w:rPr>
                <w:spacing w:val="-4"/>
                <w:w w:val="105"/>
                <w:position w:val="3"/>
                <w:sz w:val="14"/>
              </w:rPr>
              <w:t>(13)</w:t>
            </w:r>
          </w:p>
        </w:tc>
        <w:tc>
          <w:tcPr>
            <w:tcW w:w="959" w:type="dxa"/>
            <w:tcBorders>
              <w:bottom w:val="single" w:sz="6" w:space="0" w:color="000000"/>
            </w:tcBorders>
          </w:tcPr>
          <w:p>
            <w:pPr>
              <w:pStyle w:val="TableParagraph"/>
              <w:rPr>
                <w:sz w:val="14"/>
              </w:rPr>
            </w:pPr>
          </w:p>
        </w:tc>
        <w:tc>
          <w:tcPr>
            <w:tcW w:w="325" w:type="dxa"/>
            <w:tcBorders>
              <w:bottom w:val="single" w:sz="6" w:space="0" w:color="000000"/>
            </w:tcBorders>
          </w:tcPr>
          <w:p>
            <w:pPr>
              <w:pStyle w:val="TableParagraph"/>
              <w:rPr>
                <w:sz w:val="14"/>
              </w:rPr>
            </w:pPr>
          </w:p>
        </w:tc>
        <w:tc>
          <w:tcPr>
            <w:tcW w:w="948" w:type="dxa"/>
            <w:tcBorders>
              <w:bottom w:val="single" w:sz="6" w:space="0" w:color="000000"/>
            </w:tcBorders>
          </w:tcPr>
          <w:p>
            <w:pPr>
              <w:pStyle w:val="TableParagraph"/>
              <w:spacing w:line="179" w:lineRule="exact" w:before="3"/>
              <w:ind w:right="140"/>
              <w:jc w:val="right"/>
              <w:rPr>
                <w:sz w:val="16"/>
              </w:rPr>
            </w:pPr>
            <w:r>
              <w:rPr>
                <w:spacing w:val="-5"/>
                <w:w w:val="105"/>
                <w:sz w:val="16"/>
              </w:rPr>
              <w:t>213</w:t>
            </w:r>
          </w:p>
        </w:tc>
        <w:tc>
          <w:tcPr>
            <w:tcW w:w="1146" w:type="dxa"/>
            <w:tcBorders>
              <w:bottom w:val="single" w:sz="6" w:space="0" w:color="000000"/>
            </w:tcBorders>
          </w:tcPr>
          <w:p>
            <w:pPr>
              <w:pStyle w:val="TableParagraph"/>
              <w:spacing w:line="179" w:lineRule="exact" w:before="3"/>
              <w:ind w:right="140"/>
              <w:jc w:val="right"/>
              <w:rPr>
                <w:sz w:val="16"/>
              </w:rPr>
            </w:pPr>
            <w:r>
              <w:rPr>
                <w:spacing w:val="-5"/>
                <w:w w:val="105"/>
                <w:sz w:val="16"/>
              </w:rPr>
              <w:t>213</w:t>
            </w:r>
          </w:p>
        </w:tc>
        <w:tc>
          <w:tcPr>
            <w:tcW w:w="1162" w:type="dxa"/>
            <w:tcBorders>
              <w:bottom w:val="single" w:sz="6" w:space="0" w:color="000000"/>
            </w:tcBorders>
          </w:tcPr>
          <w:p>
            <w:pPr>
              <w:pStyle w:val="TableParagraph"/>
              <w:spacing w:line="179" w:lineRule="exact" w:before="3"/>
              <w:ind w:right="156"/>
              <w:jc w:val="right"/>
              <w:rPr>
                <w:sz w:val="16"/>
              </w:rPr>
            </w:pPr>
            <w:r>
              <w:rPr>
                <w:spacing w:val="-5"/>
                <w:w w:val="105"/>
                <w:sz w:val="16"/>
              </w:rPr>
              <w:t>165</w:t>
            </w:r>
          </w:p>
        </w:tc>
        <w:tc>
          <w:tcPr>
            <w:tcW w:w="1210" w:type="dxa"/>
            <w:tcBorders>
              <w:bottom w:val="single" w:sz="6" w:space="0" w:color="000000"/>
            </w:tcBorders>
          </w:tcPr>
          <w:p>
            <w:pPr>
              <w:pStyle w:val="TableParagraph"/>
              <w:rPr>
                <w:sz w:val="14"/>
              </w:rPr>
            </w:pPr>
          </w:p>
        </w:tc>
        <w:tc>
          <w:tcPr>
            <w:tcW w:w="1088" w:type="dxa"/>
            <w:tcBorders>
              <w:bottom w:val="single" w:sz="6" w:space="0" w:color="000000"/>
            </w:tcBorders>
          </w:tcPr>
          <w:p>
            <w:pPr>
              <w:pStyle w:val="TableParagraph"/>
              <w:spacing w:line="179" w:lineRule="exact" w:before="3"/>
              <w:ind w:left="686"/>
              <w:rPr>
                <w:sz w:val="16"/>
              </w:rPr>
            </w:pPr>
            <w:r>
              <w:rPr>
                <w:spacing w:val="-4"/>
                <w:w w:val="105"/>
                <w:sz w:val="16"/>
              </w:rPr>
              <w:t>0.18</w:t>
            </w:r>
          </w:p>
        </w:tc>
      </w:tr>
      <w:tr>
        <w:trPr>
          <w:trHeight w:val="199" w:hRule="atLeast"/>
        </w:trPr>
        <w:tc>
          <w:tcPr>
            <w:tcW w:w="4675" w:type="dxa"/>
            <w:tcBorders>
              <w:top w:val="single" w:sz="6" w:space="0" w:color="000000"/>
              <w:bottom w:val="double" w:sz="6" w:space="0" w:color="000000"/>
            </w:tcBorders>
            <w:shd w:val="clear" w:color="auto" w:fill="CCEDFF"/>
          </w:tcPr>
          <w:p>
            <w:pPr>
              <w:pStyle w:val="TableParagraph"/>
              <w:spacing w:line="177" w:lineRule="exact" w:before="2"/>
              <w:rPr>
                <w:sz w:val="16"/>
              </w:rPr>
            </w:pPr>
            <w:r>
              <w:rPr>
                <w:sz w:val="16"/>
              </w:rPr>
              <w:t>Core</w:t>
            </w:r>
            <w:r>
              <w:rPr>
                <w:spacing w:val="17"/>
                <w:sz w:val="16"/>
              </w:rPr>
              <w:t> </w:t>
            </w:r>
            <w:r>
              <w:rPr>
                <w:sz w:val="16"/>
              </w:rPr>
              <w:t>performance</w:t>
            </w:r>
            <w:r>
              <w:rPr>
                <w:spacing w:val="18"/>
                <w:sz w:val="16"/>
              </w:rPr>
              <w:t> </w:t>
            </w:r>
            <w:r>
              <w:rPr>
                <w:spacing w:val="-2"/>
                <w:sz w:val="16"/>
              </w:rPr>
              <w:t>measures</w:t>
            </w:r>
          </w:p>
        </w:tc>
        <w:tc>
          <w:tcPr>
            <w:tcW w:w="959" w:type="dxa"/>
            <w:tcBorders>
              <w:top w:val="single" w:sz="6" w:space="0" w:color="000000"/>
              <w:bottom w:val="double" w:sz="6" w:space="0" w:color="000000"/>
            </w:tcBorders>
            <w:shd w:val="clear" w:color="auto" w:fill="CCEDFF"/>
          </w:tcPr>
          <w:p>
            <w:pPr>
              <w:pStyle w:val="TableParagraph"/>
              <w:tabs>
                <w:tab w:pos="461" w:val="left" w:leader="none"/>
              </w:tabs>
              <w:spacing w:line="177" w:lineRule="exact" w:before="2"/>
              <w:ind w:left="-1" w:right="39"/>
              <w:jc w:val="right"/>
              <w:rPr>
                <w:sz w:val="16"/>
              </w:rPr>
            </w:pPr>
            <w:r>
              <w:rPr>
                <w:spacing w:val="-10"/>
                <w:w w:val="105"/>
                <w:sz w:val="16"/>
              </w:rPr>
              <w:t>$</w:t>
            </w:r>
            <w:r>
              <w:rPr>
                <w:sz w:val="16"/>
              </w:rPr>
              <w:tab/>
            </w:r>
            <w:r>
              <w:rPr>
                <w:spacing w:val="-4"/>
                <w:w w:val="105"/>
                <w:sz w:val="16"/>
              </w:rPr>
              <w:t>11,656</w:t>
            </w:r>
          </w:p>
        </w:tc>
        <w:tc>
          <w:tcPr>
            <w:tcW w:w="325" w:type="dxa"/>
            <w:tcBorders>
              <w:top w:val="single" w:sz="6" w:space="0" w:color="000000"/>
              <w:bottom w:val="double" w:sz="6" w:space="0" w:color="000000"/>
            </w:tcBorders>
            <w:shd w:val="clear" w:color="auto" w:fill="CCEDFF"/>
          </w:tcPr>
          <w:p>
            <w:pPr>
              <w:pStyle w:val="TableParagraph"/>
              <w:spacing w:line="177" w:lineRule="exact" w:before="2"/>
              <w:ind w:right="52"/>
              <w:jc w:val="right"/>
              <w:rPr>
                <w:sz w:val="16"/>
              </w:rPr>
            </w:pPr>
            <w:r>
              <w:rPr>
                <w:spacing w:val="-10"/>
                <w:w w:val="105"/>
                <w:sz w:val="16"/>
              </w:rPr>
              <w:t>$</w:t>
            </w:r>
          </w:p>
        </w:tc>
        <w:tc>
          <w:tcPr>
            <w:tcW w:w="948" w:type="dxa"/>
            <w:tcBorders>
              <w:top w:val="single" w:sz="6" w:space="0" w:color="000000"/>
              <w:bottom w:val="double" w:sz="6" w:space="0" w:color="000000"/>
            </w:tcBorders>
            <w:shd w:val="clear" w:color="auto" w:fill="CCEDFF"/>
          </w:tcPr>
          <w:p>
            <w:pPr>
              <w:pStyle w:val="TableParagraph"/>
              <w:spacing w:line="177" w:lineRule="exact" w:before="2"/>
              <w:ind w:right="140"/>
              <w:jc w:val="right"/>
              <w:rPr>
                <w:sz w:val="16"/>
              </w:rPr>
            </w:pPr>
            <w:r>
              <w:rPr>
                <w:spacing w:val="-5"/>
                <w:w w:val="105"/>
                <w:sz w:val="16"/>
              </w:rPr>
              <w:t>237</w:t>
            </w:r>
          </w:p>
        </w:tc>
        <w:tc>
          <w:tcPr>
            <w:tcW w:w="1146" w:type="dxa"/>
            <w:tcBorders>
              <w:top w:val="single" w:sz="6" w:space="0" w:color="000000"/>
              <w:bottom w:val="double" w:sz="6" w:space="0" w:color="000000"/>
            </w:tcBorders>
            <w:shd w:val="clear" w:color="auto" w:fill="CCEDFF"/>
          </w:tcPr>
          <w:p>
            <w:pPr>
              <w:pStyle w:val="TableParagraph"/>
              <w:tabs>
                <w:tab w:pos="630" w:val="left" w:leader="none"/>
              </w:tabs>
              <w:spacing w:line="177" w:lineRule="exact" w:before="2"/>
              <w:ind w:left="86"/>
              <w:rPr>
                <w:sz w:val="16"/>
              </w:rPr>
            </w:pPr>
            <w:r>
              <w:rPr>
                <w:spacing w:val="-10"/>
                <w:w w:val="105"/>
                <w:sz w:val="16"/>
              </w:rPr>
              <w:t>$</w:t>
            </w:r>
            <w:r>
              <w:rPr>
                <w:sz w:val="16"/>
              </w:rPr>
              <w:tab/>
            </w:r>
            <w:r>
              <w:rPr>
                <w:spacing w:val="-4"/>
                <w:w w:val="105"/>
                <w:sz w:val="16"/>
              </w:rPr>
              <w:t>1,949</w:t>
            </w:r>
          </w:p>
        </w:tc>
        <w:tc>
          <w:tcPr>
            <w:tcW w:w="1162" w:type="dxa"/>
            <w:tcBorders>
              <w:top w:val="single" w:sz="6" w:space="0" w:color="000000"/>
              <w:bottom w:val="double" w:sz="6" w:space="0" w:color="000000"/>
            </w:tcBorders>
            <w:shd w:val="clear" w:color="auto" w:fill="CCEDFF"/>
          </w:tcPr>
          <w:p>
            <w:pPr>
              <w:pStyle w:val="TableParagraph"/>
              <w:tabs>
                <w:tab w:pos="544" w:val="left" w:leader="none"/>
              </w:tabs>
              <w:spacing w:line="177" w:lineRule="exact" w:before="2"/>
              <w:ind w:right="156"/>
              <w:jc w:val="right"/>
              <w:rPr>
                <w:sz w:val="16"/>
              </w:rPr>
            </w:pPr>
            <w:r>
              <w:rPr>
                <w:spacing w:val="-10"/>
                <w:w w:val="105"/>
                <w:sz w:val="16"/>
              </w:rPr>
              <w:t>$</w:t>
            </w:r>
            <w:r>
              <w:rPr>
                <w:sz w:val="16"/>
              </w:rPr>
              <w:tab/>
            </w:r>
            <w:r>
              <w:rPr>
                <w:spacing w:val="-4"/>
                <w:w w:val="105"/>
                <w:sz w:val="16"/>
              </w:rPr>
              <w:t>1,578</w:t>
            </w:r>
          </w:p>
        </w:tc>
        <w:tc>
          <w:tcPr>
            <w:tcW w:w="1210" w:type="dxa"/>
            <w:tcBorders>
              <w:top w:val="single" w:sz="6" w:space="0" w:color="000000"/>
              <w:bottom w:val="double" w:sz="6" w:space="0" w:color="000000"/>
            </w:tcBorders>
            <w:shd w:val="clear" w:color="auto" w:fill="CCEDFF"/>
          </w:tcPr>
          <w:p>
            <w:pPr>
              <w:pStyle w:val="TableParagraph"/>
              <w:spacing w:line="177" w:lineRule="exact" w:before="2"/>
              <w:ind w:right="81"/>
              <w:jc w:val="right"/>
              <w:rPr>
                <w:sz w:val="16"/>
              </w:rPr>
            </w:pPr>
            <w:r>
              <w:rPr>
                <w:spacing w:val="-2"/>
                <w:w w:val="105"/>
                <w:sz w:val="16"/>
              </w:rPr>
              <w:t>19.0%</w:t>
            </w:r>
          </w:p>
        </w:tc>
        <w:tc>
          <w:tcPr>
            <w:tcW w:w="1088" w:type="dxa"/>
            <w:tcBorders>
              <w:top w:val="single" w:sz="6" w:space="0" w:color="000000"/>
              <w:bottom w:val="double" w:sz="6" w:space="0" w:color="000000"/>
            </w:tcBorders>
            <w:shd w:val="clear" w:color="auto" w:fill="CCEDFF"/>
          </w:tcPr>
          <w:p>
            <w:pPr>
              <w:pStyle w:val="TableParagraph"/>
              <w:tabs>
                <w:tab w:pos="685" w:val="left" w:leader="none"/>
              </w:tabs>
              <w:spacing w:line="177" w:lineRule="exact" w:before="2"/>
              <w:ind w:left="58"/>
              <w:rPr>
                <w:sz w:val="16"/>
              </w:rPr>
            </w:pPr>
            <w:r>
              <w:rPr>
                <w:spacing w:val="-10"/>
                <w:w w:val="105"/>
                <w:sz w:val="16"/>
              </w:rPr>
              <w:t>$</w:t>
            </w:r>
            <w:r>
              <w:rPr>
                <w:sz w:val="16"/>
              </w:rPr>
              <w:tab/>
            </w:r>
            <w:r>
              <w:rPr>
                <w:spacing w:val="-4"/>
                <w:w w:val="105"/>
                <w:sz w:val="16"/>
              </w:rPr>
              <w:t>1.76</w:t>
            </w:r>
          </w:p>
        </w:tc>
      </w:tr>
      <w:tr>
        <w:trPr>
          <w:trHeight w:val="460" w:hRule="atLeast"/>
        </w:trPr>
        <w:tc>
          <w:tcPr>
            <w:tcW w:w="4675" w:type="dxa"/>
            <w:tcBorders>
              <w:top w:val="double" w:sz="6" w:space="0" w:color="000000"/>
            </w:tcBorders>
          </w:tcPr>
          <w:p>
            <w:pPr>
              <w:pStyle w:val="TableParagraph"/>
              <w:spacing w:before="36"/>
              <w:rPr>
                <w:sz w:val="14"/>
              </w:rPr>
            </w:pPr>
          </w:p>
          <w:p>
            <w:pPr>
              <w:pStyle w:val="TableParagraph"/>
              <w:rPr>
                <w:sz w:val="14"/>
              </w:rPr>
            </w:pPr>
            <w:r>
              <w:rPr>
                <w:sz w:val="14"/>
              </w:rPr>
              <w:t>(a)</w:t>
            </w:r>
            <w:r>
              <w:rPr>
                <w:spacing w:val="39"/>
                <w:sz w:val="14"/>
              </w:rPr>
              <w:t>  </w:t>
            </w:r>
            <w:r>
              <w:rPr>
                <w:sz w:val="14"/>
              </w:rPr>
              <w:t>Based</w:t>
            </w:r>
            <w:r>
              <w:rPr>
                <w:spacing w:val="-1"/>
                <w:sz w:val="14"/>
              </w:rPr>
              <w:t> </w:t>
            </w:r>
            <w:r>
              <w:rPr>
                <w:sz w:val="14"/>
              </w:rPr>
              <w:t>upon statutory tax</w:t>
            </w:r>
            <w:r>
              <w:rPr>
                <w:spacing w:val="-1"/>
                <w:sz w:val="14"/>
              </w:rPr>
              <w:t> </w:t>
            </w:r>
            <w:r>
              <w:rPr>
                <w:sz w:val="14"/>
              </w:rPr>
              <w:t>rates in</w:t>
            </w:r>
            <w:r>
              <w:rPr>
                <w:spacing w:val="-1"/>
                <w:sz w:val="14"/>
              </w:rPr>
              <w:t> </w:t>
            </w:r>
            <w:r>
              <w:rPr>
                <w:sz w:val="14"/>
              </w:rPr>
              <w:t>the specific jurisdiction</w:t>
            </w:r>
            <w:r>
              <w:rPr>
                <w:spacing w:val="-1"/>
                <w:sz w:val="14"/>
              </w:rPr>
              <w:t> </w:t>
            </w:r>
            <w:r>
              <w:rPr>
                <w:sz w:val="14"/>
              </w:rPr>
              <w:t>for each </w:t>
            </w:r>
            <w:r>
              <w:rPr>
                <w:spacing w:val="-2"/>
                <w:sz w:val="14"/>
              </w:rPr>
              <w:t>event.</w:t>
            </w:r>
          </w:p>
        </w:tc>
        <w:tc>
          <w:tcPr>
            <w:tcW w:w="959" w:type="dxa"/>
            <w:tcBorders>
              <w:top w:val="double" w:sz="6" w:space="0" w:color="000000"/>
            </w:tcBorders>
          </w:tcPr>
          <w:p>
            <w:pPr>
              <w:pStyle w:val="TableParagraph"/>
              <w:rPr>
                <w:sz w:val="16"/>
              </w:rPr>
            </w:pPr>
          </w:p>
        </w:tc>
        <w:tc>
          <w:tcPr>
            <w:tcW w:w="325" w:type="dxa"/>
            <w:tcBorders>
              <w:top w:val="double" w:sz="6" w:space="0" w:color="000000"/>
            </w:tcBorders>
          </w:tcPr>
          <w:p>
            <w:pPr>
              <w:pStyle w:val="TableParagraph"/>
              <w:rPr>
                <w:sz w:val="16"/>
              </w:rPr>
            </w:pPr>
          </w:p>
        </w:tc>
        <w:tc>
          <w:tcPr>
            <w:tcW w:w="948" w:type="dxa"/>
            <w:tcBorders>
              <w:top w:val="double" w:sz="6" w:space="0" w:color="000000"/>
            </w:tcBorders>
          </w:tcPr>
          <w:p>
            <w:pPr>
              <w:pStyle w:val="TableParagraph"/>
              <w:rPr>
                <w:sz w:val="16"/>
              </w:rPr>
            </w:pPr>
          </w:p>
        </w:tc>
        <w:tc>
          <w:tcPr>
            <w:tcW w:w="1146" w:type="dxa"/>
            <w:tcBorders>
              <w:top w:val="double" w:sz="6" w:space="0" w:color="000000"/>
            </w:tcBorders>
          </w:tcPr>
          <w:p>
            <w:pPr>
              <w:pStyle w:val="TableParagraph"/>
              <w:rPr>
                <w:sz w:val="16"/>
              </w:rPr>
            </w:pPr>
          </w:p>
        </w:tc>
        <w:tc>
          <w:tcPr>
            <w:tcW w:w="1162" w:type="dxa"/>
            <w:tcBorders>
              <w:top w:val="double" w:sz="6" w:space="0" w:color="000000"/>
            </w:tcBorders>
          </w:tcPr>
          <w:p>
            <w:pPr>
              <w:pStyle w:val="TableParagraph"/>
              <w:rPr>
                <w:sz w:val="16"/>
              </w:rPr>
            </w:pPr>
          </w:p>
        </w:tc>
        <w:tc>
          <w:tcPr>
            <w:tcW w:w="1210" w:type="dxa"/>
            <w:tcBorders>
              <w:top w:val="double" w:sz="6" w:space="0" w:color="000000"/>
            </w:tcBorders>
          </w:tcPr>
          <w:p>
            <w:pPr>
              <w:pStyle w:val="TableParagraph"/>
              <w:rPr>
                <w:sz w:val="16"/>
              </w:rPr>
            </w:pPr>
          </w:p>
        </w:tc>
        <w:tc>
          <w:tcPr>
            <w:tcW w:w="1088" w:type="dxa"/>
            <w:tcBorders>
              <w:top w:val="double" w:sz="6" w:space="0" w:color="000000"/>
            </w:tcBorders>
          </w:tcPr>
          <w:p>
            <w:pPr>
              <w:pStyle w:val="TableParagraph"/>
              <w:rPr>
                <w:sz w:val="16"/>
              </w:rPr>
            </w:pPr>
          </w:p>
        </w:tc>
      </w:tr>
      <w:tr>
        <w:trPr>
          <w:trHeight w:val="374" w:hRule="atLeast"/>
        </w:trPr>
        <w:tc>
          <w:tcPr>
            <w:tcW w:w="4675" w:type="dxa"/>
            <w:tcBorders>
              <w:bottom w:val="single" w:sz="12" w:space="0" w:color="000000"/>
            </w:tcBorders>
          </w:tcPr>
          <w:p>
            <w:pPr>
              <w:pStyle w:val="TableParagraph"/>
              <w:rPr>
                <w:sz w:val="16"/>
              </w:rPr>
            </w:pPr>
          </w:p>
        </w:tc>
        <w:tc>
          <w:tcPr>
            <w:tcW w:w="959" w:type="dxa"/>
            <w:tcBorders>
              <w:bottom w:val="single" w:sz="12" w:space="0" w:color="000000"/>
            </w:tcBorders>
          </w:tcPr>
          <w:p>
            <w:pPr>
              <w:pStyle w:val="TableParagraph"/>
              <w:rPr>
                <w:sz w:val="16"/>
              </w:rPr>
            </w:pPr>
          </w:p>
        </w:tc>
        <w:tc>
          <w:tcPr>
            <w:tcW w:w="325" w:type="dxa"/>
            <w:tcBorders>
              <w:bottom w:val="single" w:sz="12" w:space="0" w:color="000000"/>
            </w:tcBorders>
          </w:tcPr>
          <w:p>
            <w:pPr>
              <w:pStyle w:val="TableParagraph"/>
              <w:spacing w:before="100"/>
              <w:ind w:left="40"/>
              <w:rPr>
                <w:sz w:val="16"/>
              </w:rPr>
            </w:pPr>
            <w:r>
              <w:rPr>
                <w:spacing w:val="-5"/>
                <w:w w:val="105"/>
                <w:sz w:val="16"/>
              </w:rPr>
              <w:t>34</w:t>
            </w:r>
          </w:p>
        </w:tc>
        <w:tc>
          <w:tcPr>
            <w:tcW w:w="948" w:type="dxa"/>
            <w:tcBorders>
              <w:bottom w:val="single" w:sz="12" w:space="0" w:color="000000"/>
            </w:tcBorders>
          </w:tcPr>
          <w:p>
            <w:pPr>
              <w:pStyle w:val="TableParagraph"/>
              <w:rPr>
                <w:sz w:val="16"/>
              </w:rPr>
            </w:pPr>
          </w:p>
        </w:tc>
        <w:tc>
          <w:tcPr>
            <w:tcW w:w="1146" w:type="dxa"/>
            <w:tcBorders>
              <w:bottom w:val="single" w:sz="12" w:space="0" w:color="000000"/>
            </w:tcBorders>
          </w:tcPr>
          <w:p>
            <w:pPr>
              <w:pStyle w:val="TableParagraph"/>
              <w:rPr>
                <w:sz w:val="16"/>
              </w:rPr>
            </w:pPr>
          </w:p>
        </w:tc>
        <w:tc>
          <w:tcPr>
            <w:tcW w:w="1162" w:type="dxa"/>
            <w:tcBorders>
              <w:bottom w:val="single" w:sz="12" w:space="0" w:color="000000"/>
            </w:tcBorders>
          </w:tcPr>
          <w:p>
            <w:pPr>
              <w:pStyle w:val="TableParagraph"/>
              <w:rPr>
                <w:sz w:val="16"/>
              </w:rPr>
            </w:pPr>
          </w:p>
        </w:tc>
        <w:tc>
          <w:tcPr>
            <w:tcW w:w="1210" w:type="dxa"/>
            <w:tcBorders>
              <w:bottom w:val="single" w:sz="12" w:space="0" w:color="000000"/>
            </w:tcBorders>
          </w:tcPr>
          <w:p>
            <w:pPr>
              <w:pStyle w:val="TableParagraph"/>
              <w:rPr>
                <w:sz w:val="16"/>
              </w:rPr>
            </w:pPr>
          </w:p>
        </w:tc>
        <w:tc>
          <w:tcPr>
            <w:tcW w:w="1088" w:type="dxa"/>
            <w:tcBorders>
              <w:bottom w:val="single" w:sz="12" w:space="0" w:color="000000"/>
            </w:tcBorders>
          </w:tcPr>
          <w:p>
            <w:pPr>
              <w:pStyle w:val="TableParagraph"/>
              <w:rPr>
                <w:sz w:val="16"/>
              </w:rPr>
            </w:pPr>
          </w:p>
        </w:tc>
      </w:tr>
    </w:tbl>
    <w:p>
      <w:pPr>
        <w:spacing w:after="0"/>
        <w:rPr>
          <w:sz w:val="16"/>
        </w:rPr>
        <w:sectPr>
          <w:pgSz w:w="12240" w:h="15840"/>
          <w:pgMar w:header="428" w:footer="0" w:top="620" w:bottom="280" w:left="200" w:right="260"/>
        </w:sectPr>
      </w:pPr>
    </w:p>
    <w:p>
      <w:pPr>
        <w:pStyle w:val="BodyText"/>
        <w:spacing w:before="38"/>
      </w:pPr>
    </w:p>
    <w:p>
      <w:pPr>
        <w:pStyle w:val="Heading2"/>
      </w:pPr>
      <w:r>
        <w:rPr>
          <w:spacing w:val="-2"/>
          <w:w w:val="105"/>
        </w:rPr>
        <w:t>Items</w:t>
      </w:r>
      <w:r>
        <w:rPr>
          <w:spacing w:val="-3"/>
          <w:w w:val="105"/>
        </w:rPr>
        <w:t> </w:t>
      </w:r>
      <w:r>
        <w:rPr>
          <w:spacing w:val="-2"/>
          <w:w w:val="105"/>
        </w:rPr>
        <w:t>Excluded from GAAP</w:t>
      </w:r>
      <w:r>
        <w:rPr>
          <w:spacing w:val="-3"/>
          <w:w w:val="105"/>
        </w:rPr>
        <w:t> </w:t>
      </w:r>
      <w:r>
        <w:rPr>
          <w:spacing w:val="-2"/>
          <w:w w:val="105"/>
        </w:rPr>
        <w:t>Measures</w:t>
      </w:r>
    </w:p>
    <w:p>
      <w:pPr>
        <w:pStyle w:val="BodyText"/>
        <w:spacing w:before="40"/>
        <w:rPr>
          <w:b/>
        </w:rPr>
      </w:pPr>
    </w:p>
    <w:p>
      <w:pPr>
        <w:pStyle w:val="BodyText"/>
        <w:ind w:left="156"/>
      </w:pPr>
      <w:r>
        <w:rPr>
          <w:w w:val="105"/>
        </w:rPr>
        <w:t>Items</w:t>
      </w:r>
      <w:r>
        <w:rPr>
          <w:spacing w:val="-10"/>
          <w:w w:val="105"/>
        </w:rPr>
        <w:t> </w:t>
      </w:r>
      <w:r>
        <w:rPr>
          <w:w w:val="105"/>
        </w:rPr>
        <w:t>we</w:t>
      </w:r>
      <w:r>
        <w:rPr>
          <w:spacing w:val="-9"/>
          <w:w w:val="105"/>
        </w:rPr>
        <w:t> </w:t>
      </w:r>
      <w:r>
        <w:rPr>
          <w:w w:val="105"/>
        </w:rPr>
        <w:t>exclude</w:t>
      </w:r>
      <w:r>
        <w:rPr>
          <w:spacing w:val="-10"/>
          <w:w w:val="105"/>
        </w:rPr>
        <w:t> </w:t>
      </w:r>
      <w:r>
        <w:rPr>
          <w:w w:val="105"/>
        </w:rPr>
        <w:t>from</w:t>
      </w:r>
      <w:r>
        <w:rPr>
          <w:spacing w:val="-9"/>
          <w:w w:val="105"/>
        </w:rPr>
        <w:t> </w:t>
      </w:r>
      <w:r>
        <w:rPr>
          <w:w w:val="105"/>
        </w:rPr>
        <w:t>GAAP</w:t>
      </w:r>
      <w:r>
        <w:rPr>
          <w:spacing w:val="-10"/>
          <w:w w:val="105"/>
        </w:rPr>
        <w:t> </w:t>
      </w:r>
      <w:r>
        <w:rPr>
          <w:w w:val="105"/>
        </w:rPr>
        <w:t>measures</w:t>
      </w:r>
      <w:r>
        <w:rPr>
          <w:spacing w:val="-7"/>
          <w:w w:val="105"/>
        </w:rPr>
        <w:t> </w:t>
      </w:r>
      <w:r>
        <w:rPr>
          <w:w w:val="105"/>
        </w:rPr>
        <w:t>to</w:t>
      </w:r>
      <w:r>
        <w:rPr>
          <w:spacing w:val="-10"/>
          <w:w w:val="105"/>
        </w:rPr>
        <w:t> </w:t>
      </w:r>
      <w:r>
        <w:rPr>
          <w:w w:val="105"/>
        </w:rPr>
        <w:t>arrive</w:t>
      </w:r>
      <w:r>
        <w:rPr>
          <w:spacing w:val="-9"/>
          <w:w w:val="105"/>
        </w:rPr>
        <w:t> </w:t>
      </w:r>
      <w:r>
        <w:rPr>
          <w:w w:val="105"/>
        </w:rPr>
        <w:t>at</w:t>
      </w:r>
      <w:r>
        <w:rPr>
          <w:spacing w:val="-10"/>
          <w:w w:val="105"/>
        </w:rPr>
        <w:t> </w:t>
      </w:r>
      <w:r>
        <w:rPr>
          <w:w w:val="105"/>
        </w:rPr>
        <w:t>core</w:t>
      </w:r>
      <w:r>
        <w:rPr>
          <w:spacing w:val="-9"/>
          <w:w w:val="105"/>
        </w:rPr>
        <w:t> </w:t>
      </w:r>
      <w:r>
        <w:rPr>
          <w:w w:val="105"/>
        </w:rPr>
        <w:t>performance</w:t>
      </w:r>
      <w:r>
        <w:rPr>
          <w:spacing w:val="-9"/>
          <w:w w:val="105"/>
        </w:rPr>
        <w:t> </w:t>
      </w:r>
      <w:r>
        <w:rPr>
          <w:w w:val="105"/>
        </w:rPr>
        <w:t>measures</w:t>
      </w:r>
      <w:r>
        <w:rPr>
          <w:spacing w:val="-10"/>
          <w:w w:val="105"/>
        </w:rPr>
        <w:t> </w:t>
      </w:r>
      <w:r>
        <w:rPr>
          <w:w w:val="105"/>
        </w:rPr>
        <w:t>are</w:t>
      </w:r>
      <w:r>
        <w:rPr>
          <w:spacing w:val="-9"/>
          <w:w w:val="105"/>
        </w:rPr>
        <w:t> </w:t>
      </w:r>
      <w:r>
        <w:rPr>
          <w:w w:val="105"/>
        </w:rPr>
        <w:t>as</w:t>
      </w:r>
      <w:r>
        <w:rPr>
          <w:spacing w:val="-10"/>
          <w:w w:val="105"/>
        </w:rPr>
        <w:t> </w:t>
      </w:r>
      <w:r>
        <w:rPr>
          <w:spacing w:val="-2"/>
          <w:w w:val="105"/>
        </w:rPr>
        <w:t>follows:</w:t>
      </w:r>
    </w:p>
    <w:p>
      <w:pPr>
        <w:pStyle w:val="BodyText"/>
        <w:spacing w:before="39"/>
      </w:pPr>
    </w:p>
    <w:p>
      <w:pPr>
        <w:pStyle w:val="ListParagraph"/>
        <w:numPr>
          <w:ilvl w:val="0"/>
          <w:numId w:val="15"/>
        </w:numPr>
        <w:tabs>
          <w:tab w:pos="742" w:val="left" w:leader="none"/>
        </w:tabs>
        <w:spacing w:line="266" w:lineRule="auto" w:before="0" w:after="0"/>
        <w:ind w:left="742" w:right="198" w:hanging="586"/>
        <w:jc w:val="left"/>
        <w:rPr>
          <w:sz w:val="16"/>
        </w:rPr>
      </w:pPr>
      <w:r>
        <w:rPr>
          <w:w w:val="105"/>
          <w:sz w:val="16"/>
          <w:u w:val="single"/>
        </w:rPr>
        <w:t>Constant-currency</w:t>
      </w:r>
      <w:r>
        <w:rPr>
          <w:spacing w:val="-2"/>
          <w:w w:val="105"/>
          <w:sz w:val="16"/>
          <w:u w:val="single"/>
        </w:rPr>
        <w:t> </w:t>
      </w:r>
      <w:r>
        <w:rPr>
          <w:w w:val="105"/>
          <w:sz w:val="16"/>
          <w:u w:val="single"/>
        </w:rPr>
        <w:t>adjustment</w:t>
      </w:r>
      <w:r>
        <w:rPr>
          <w:w w:val="105"/>
          <w:sz w:val="16"/>
        </w:rPr>
        <w:t>:</w:t>
      </w:r>
      <w:r>
        <w:rPr>
          <w:spacing w:val="39"/>
          <w:w w:val="105"/>
          <w:sz w:val="16"/>
        </w:rPr>
        <w:t> </w:t>
      </w:r>
      <w:r>
        <w:rPr>
          <w:w w:val="105"/>
          <w:sz w:val="16"/>
        </w:rPr>
        <w:t>Because</w:t>
      </w:r>
      <w:r>
        <w:rPr>
          <w:spacing w:val="-2"/>
          <w:w w:val="105"/>
          <w:sz w:val="16"/>
        </w:rPr>
        <w:t> </w:t>
      </w:r>
      <w:r>
        <w:rPr>
          <w:w w:val="105"/>
          <w:sz w:val="16"/>
        </w:rPr>
        <w:t>a</w:t>
      </w:r>
      <w:r>
        <w:rPr>
          <w:spacing w:val="-2"/>
          <w:w w:val="105"/>
          <w:sz w:val="16"/>
        </w:rPr>
        <w:t> </w:t>
      </w:r>
      <w:r>
        <w:rPr>
          <w:w w:val="105"/>
          <w:sz w:val="16"/>
        </w:rPr>
        <w:t>significant</w:t>
      </w:r>
      <w:r>
        <w:rPr>
          <w:spacing w:val="-2"/>
          <w:w w:val="105"/>
          <w:sz w:val="16"/>
        </w:rPr>
        <w:t> </w:t>
      </w:r>
      <w:r>
        <w:rPr>
          <w:w w:val="105"/>
          <w:sz w:val="16"/>
        </w:rPr>
        <w:t>portion</w:t>
      </w:r>
      <w:r>
        <w:rPr>
          <w:spacing w:val="-2"/>
          <w:w w:val="105"/>
          <w:sz w:val="16"/>
        </w:rPr>
        <w:t> </w:t>
      </w:r>
      <w:r>
        <w:rPr>
          <w:w w:val="105"/>
          <w:sz w:val="16"/>
        </w:rPr>
        <w:t>of</w:t>
      </w:r>
      <w:r>
        <w:rPr>
          <w:spacing w:val="-2"/>
          <w:w w:val="105"/>
          <w:sz w:val="16"/>
        </w:rPr>
        <w:t> </w:t>
      </w:r>
      <w:r>
        <w:rPr>
          <w:w w:val="105"/>
          <w:sz w:val="16"/>
        </w:rPr>
        <w:t>segment</w:t>
      </w:r>
      <w:r>
        <w:rPr>
          <w:spacing w:val="-2"/>
          <w:w w:val="105"/>
          <w:sz w:val="16"/>
        </w:rPr>
        <w:t> </w:t>
      </w:r>
      <w:r>
        <w:rPr>
          <w:w w:val="105"/>
          <w:sz w:val="16"/>
        </w:rPr>
        <w:t>revenue</w:t>
      </w:r>
      <w:r>
        <w:rPr>
          <w:spacing w:val="-2"/>
          <w:w w:val="105"/>
          <w:sz w:val="16"/>
        </w:rPr>
        <w:t> </w:t>
      </w:r>
      <w:r>
        <w:rPr>
          <w:w w:val="105"/>
          <w:sz w:val="16"/>
        </w:rPr>
        <w:t>and expenses</w:t>
      </w:r>
      <w:r>
        <w:rPr>
          <w:spacing w:val="-2"/>
          <w:w w:val="105"/>
          <w:sz w:val="16"/>
        </w:rPr>
        <w:t> </w:t>
      </w:r>
      <w:r>
        <w:rPr>
          <w:w w:val="105"/>
          <w:sz w:val="16"/>
        </w:rPr>
        <w:t>are</w:t>
      </w:r>
      <w:r>
        <w:rPr>
          <w:spacing w:val="-2"/>
          <w:w w:val="105"/>
          <w:sz w:val="16"/>
        </w:rPr>
        <w:t> </w:t>
      </w:r>
      <w:r>
        <w:rPr>
          <w:w w:val="105"/>
          <w:sz w:val="16"/>
        </w:rPr>
        <w:t>denominated</w:t>
      </w:r>
      <w:r>
        <w:rPr>
          <w:spacing w:val="-2"/>
          <w:w w:val="105"/>
          <w:sz w:val="16"/>
        </w:rPr>
        <w:t> </w:t>
      </w:r>
      <w:r>
        <w:rPr>
          <w:w w:val="105"/>
          <w:sz w:val="16"/>
        </w:rPr>
        <w:t>in currencies</w:t>
      </w:r>
      <w:r>
        <w:rPr>
          <w:spacing w:val="-2"/>
          <w:w w:val="105"/>
          <w:sz w:val="16"/>
        </w:rPr>
        <w:t> </w:t>
      </w:r>
      <w:r>
        <w:rPr>
          <w:w w:val="105"/>
          <w:sz w:val="16"/>
        </w:rPr>
        <w:t>other</w:t>
      </w:r>
      <w:r>
        <w:rPr>
          <w:spacing w:val="-2"/>
          <w:w w:val="105"/>
          <w:sz w:val="16"/>
        </w:rPr>
        <w:t> </w:t>
      </w:r>
      <w:r>
        <w:rPr>
          <w:w w:val="105"/>
          <w:sz w:val="16"/>
        </w:rPr>
        <w:t>than</w:t>
      </w:r>
      <w:r>
        <w:rPr>
          <w:spacing w:val="-2"/>
          <w:w w:val="105"/>
          <w:sz w:val="16"/>
        </w:rPr>
        <w:t> </w:t>
      </w:r>
      <w:r>
        <w:rPr>
          <w:w w:val="105"/>
          <w:sz w:val="16"/>
        </w:rPr>
        <w:t>the</w:t>
      </w:r>
      <w:r>
        <w:rPr>
          <w:spacing w:val="-2"/>
          <w:w w:val="105"/>
          <w:sz w:val="16"/>
        </w:rPr>
        <w:t> </w:t>
      </w:r>
      <w:r>
        <w:rPr>
          <w:w w:val="105"/>
          <w:sz w:val="16"/>
        </w:rPr>
        <w:t>U.S.</w:t>
      </w:r>
      <w:r>
        <w:rPr>
          <w:spacing w:val="-2"/>
          <w:w w:val="105"/>
          <w:sz w:val="16"/>
        </w:rPr>
        <w:t> </w:t>
      </w:r>
      <w:r>
        <w:rPr>
          <w:w w:val="105"/>
          <w:sz w:val="16"/>
        </w:rPr>
        <w:t>dollar, management</w:t>
      </w:r>
      <w:r>
        <w:rPr>
          <w:spacing w:val="-2"/>
          <w:w w:val="105"/>
          <w:sz w:val="16"/>
        </w:rPr>
        <w:t> </w:t>
      </w:r>
      <w:r>
        <w:rPr>
          <w:w w:val="105"/>
          <w:sz w:val="16"/>
        </w:rPr>
        <w:t>believes it</w:t>
      </w:r>
      <w:r>
        <w:rPr>
          <w:spacing w:val="-2"/>
          <w:w w:val="105"/>
          <w:sz w:val="16"/>
        </w:rPr>
        <w:t> </w:t>
      </w:r>
      <w:r>
        <w:rPr>
          <w:w w:val="105"/>
          <w:sz w:val="16"/>
        </w:rPr>
        <w:t>is</w:t>
      </w:r>
      <w:r>
        <w:rPr>
          <w:spacing w:val="-2"/>
          <w:w w:val="105"/>
          <w:sz w:val="16"/>
        </w:rPr>
        <w:t> </w:t>
      </w:r>
      <w:r>
        <w:rPr>
          <w:w w:val="105"/>
          <w:sz w:val="16"/>
        </w:rPr>
        <w:t>important</w:t>
      </w:r>
      <w:r>
        <w:rPr>
          <w:spacing w:val="-2"/>
          <w:w w:val="105"/>
          <w:sz w:val="16"/>
        </w:rPr>
        <w:t> </w:t>
      </w:r>
      <w:r>
        <w:rPr>
          <w:w w:val="105"/>
          <w:sz w:val="16"/>
        </w:rPr>
        <w:t>to</w:t>
      </w:r>
      <w:r>
        <w:rPr>
          <w:spacing w:val="-2"/>
          <w:w w:val="105"/>
          <w:sz w:val="16"/>
        </w:rPr>
        <w:t> </w:t>
      </w:r>
      <w:r>
        <w:rPr>
          <w:w w:val="105"/>
          <w:sz w:val="16"/>
        </w:rPr>
        <w:t>understand</w:t>
      </w:r>
      <w:r>
        <w:rPr>
          <w:spacing w:val="-2"/>
          <w:w w:val="105"/>
          <w:sz w:val="16"/>
        </w:rPr>
        <w:t> </w:t>
      </w:r>
      <w:r>
        <w:rPr>
          <w:w w:val="105"/>
          <w:sz w:val="16"/>
        </w:rPr>
        <w:t>the</w:t>
      </w:r>
      <w:r>
        <w:rPr>
          <w:spacing w:val="-2"/>
          <w:w w:val="105"/>
          <w:sz w:val="16"/>
        </w:rPr>
        <w:t> </w:t>
      </w:r>
      <w:r>
        <w:rPr>
          <w:w w:val="105"/>
          <w:sz w:val="16"/>
        </w:rPr>
        <w:t>impact</w:t>
      </w:r>
      <w:r>
        <w:rPr>
          <w:spacing w:val="-2"/>
          <w:w w:val="105"/>
          <w:sz w:val="16"/>
        </w:rPr>
        <w:t> </w:t>
      </w:r>
      <w:r>
        <w:rPr>
          <w:w w:val="105"/>
          <w:sz w:val="16"/>
        </w:rPr>
        <w:t>on</w:t>
      </w:r>
      <w:r>
        <w:rPr>
          <w:spacing w:val="-2"/>
          <w:w w:val="105"/>
          <w:sz w:val="16"/>
        </w:rPr>
        <w:t> </w:t>
      </w:r>
      <w:r>
        <w:rPr>
          <w:w w:val="105"/>
          <w:sz w:val="16"/>
        </w:rPr>
        <w:t>core</w:t>
      </w:r>
      <w:r>
        <w:rPr>
          <w:spacing w:val="-2"/>
          <w:w w:val="105"/>
          <w:sz w:val="16"/>
        </w:rPr>
        <w:t> </w:t>
      </w:r>
      <w:r>
        <w:rPr>
          <w:w w:val="105"/>
          <w:sz w:val="16"/>
        </w:rPr>
        <w:t>net income</w:t>
      </w:r>
      <w:r>
        <w:rPr>
          <w:spacing w:val="-2"/>
          <w:w w:val="105"/>
          <w:sz w:val="16"/>
        </w:rPr>
        <w:t> </w:t>
      </w:r>
      <w:r>
        <w:rPr>
          <w:w w:val="105"/>
          <w:sz w:val="16"/>
        </w:rPr>
        <w:t>of</w:t>
      </w:r>
      <w:r>
        <w:rPr>
          <w:spacing w:val="-2"/>
          <w:w w:val="105"/>
          <w:sz w:val="16"/>
        </w:rPr>
        <w:t> </w:t>
      </w:r>
      <w:r>
        <w:rPr>
          <w:w w:val="105"/>
          <w:sz w:val="16"/>
        </w:rPr>
        <w:t>translating</w:t>
      </w:r>
      <w:r>
        <w:rPr>
          <w:spacing w:val="-2"/>
          <w:w w:val="105"/>
          <w:sz w:val="16"/>
        </w:rPr>
        <w:t> </w:t>
      </w:r>
      <w:r>
        <w:rPr>
          <w:w w:val="105"/>
          <w:sz w:val="16"/>
        </w:rPr>
        <w:t>these</w:t>
      </w:r>
      <w:r>
        <w:rPr>
          <w:spacing w:val="-2"/>
          <w:w w:val="105"/>
          <w:sz w:val="16"/>
        </w:rPr>
        <w:t> </w:t>
      </w:r>
      <w:r>
        <w:rPr>
          <w:w w:val="105"/>
          <w:sz w:val="16"/>
        </w:rPr>
        <w:t>currencies</w:t>
      </w:r>
      <w:r>
        <w:rPr>
          <w:spacing w:val="-2"/>
          <w:w w:val="105"/>
          <w:sz w:val="16"/>
        </w:rPr>
        <w:t> </w:t>
      </w:r>
      <w:r>
        <w:rPr>
          <w:w w:val="105"/>
          <w:sz w:val="16"/>
        </w:rPr>
        <w:t>into</w:t>
      </w:r>
      <w:r>
        <w:rPr>
          <w:spacing w:val="-2"/>
          <w:w w:val="105"/>
          <w:sz w:val="16"/>
        </w:rPr>
        <w:t> </w:t>
      </w:r>
      <w:r>
        <w:rPr>
          <w:w w:val="105"/>
          <w:sz w:val="16"/>
        </w:rPr>
        <w:t>U.S.</w:t>
      </w:r>
      <w:r>
        <w:rPr>
          <w:spacing w:val="-2"/>
          <w:w w:val="105"/>
          <w:sz w:val="16"/>
        </w:rPr>
        <w:t> </w:t>
      </w:r>
      <w:r>
        <w:rPr>
          <w:w w:val="105"/>
          <w:sz w:val="16"/>
        </w:rPr>
        <w:t>dollars.</w:t>
      </w:r>
      <w:r>
        <w:rPr>
          <w:spacing w:val="38"/>
          <w:w w:val="105"/>
          <w:sz w:val="16"/>
        </w:rPr>
        <w:t> </w:t>
      </w:r>
      <w:r>
        <w:rPr>
          <w:w w:val="105"/>
          <w:sz w:val="16"/>
        </w:rPr>
        <w:t>Our</w:t>
      </w:r>
      <w:r>
        <w:rPr>
          <w:spacing w:val="-2"/>
          <w:w w:val="105"/>
          <w:sz w:val="16"/>
        </w:rPr>
        <w:t> </w:t>
      </w:r>
      <w:r>
        <w:rPr>
          <w:w w:val="105"/>
          <w:sz w:val="16"/>
        </w:rPr>
        <w:t>Display</w:t>
      </w:r>
      <w:r>
        <w:rPr>
          <w:spacing w:val="-2"/>
          <w:w w:val="105"/>
          <w:sz w:val="16"/>
        </w:rPr>
        <w:t> </w:t>
      </w:r>
      <w:r>
        <w:rPr>
          <w:w w:val="105"/>
          <w:sz w:val="16"/>
        </w:rPr>
        <w:t>Technologies</w:t>
      </w:r>
      <w:r>
        <w:rPr>
          <w:spacing w:val="-2"/>
          <w:w w:val="105"/>
          <w:sz w:val="16"/>
        </w:rPr>
        <w:t> </w:t>
      </w:r>
      <w:r>
        <w:rPr>
          <w:w w:val="105"/>
          <w:sz w:val="16"/>
        </w:rPr>
        <w:t>and Specialty</w:t>
      </w:r>
      <w:r>
        <w:rPr>
          <w:spacing w:val="-6"/>
          <w:w w:val="105"/>
          <w:sz w:val="16"/>
        </w:rPr>
        <w:t> </w:t>
      </w:r>
      <w:r>
        <w:rPr>
          <w:w w:val="105"/>
          <w:sz w:val="16"/>
        </w:rPr>
        <w:t>Materials</w:t>
      </w:r>
      <w:r>
        <w:rPr>
          <w:spacing w:val="-6"/>
          <w:w w:val="105"/>
          <w:sz w:val="16"/>
        </w:rPr>
        <w:t> </w:t>
      </w:r>
      <w:r>
        <w:rPr>
          <w:w w:val="105"/>
          <w:sz w:val="16"/>
        </w:rPr>
        <w:t>segments</w:t>
      </w:r>
      <w:r>
        <w:rPr>
          <w:spacing w:val="-6"/>
          <w:w w:val="105"/>
          <w:sz w:val="16"/>
        </w:rPr>
        <w:t> </w:t>
      </w:r>
      <w:r>
        <w:rPr>
          <w:w w:val="105"/>
          <w:sz w:val="16"/>
        </w:rPr>
        <w:t>sales</w:t>
      </w:r>
      <w:r>
        <w:rPr>
          <w:spacing w:val="-6"/>
          <w:w w:val="105"/>
          <w:sz w:val="16"/>
        </w:rPr>
        <w:t> </w:t>
      </w:r>
      <w:r>
        <w:rPr>
          <w:w w:val="105"/>
          <w:sz w:val="16"/>
        </w:rPr>
        <w:t>and</w:t>
      </w:r>
      <w:r>
        <w:rPr>
          <w:spacing w:val="-6"/>
          <w:w w:val="105"/>
          <w:sz w:val="16"/>
        </w:rPr>
        <w:t> </w:t>
      </w:r>
      <w:r>
        <w:rPr>
          <w:w w:val="105"/>
          <w:sz w:val="16"/>
        </w:rPr>
        <w:t>net</w:t>
      </w:r>
      <w:r>
        <w:rPr>
          <w:spacing w:val="-6"/>
          <w:w w:val="105"/>
          <w:sz w:val="16"/>
        </w:rPr>
        <w:t> </w:t>
      </w:r>
      <w:r>
        <w:rPr>
          <w:w w:val="105"/>
          <w:sz w:val="16"/>
        </w:rPr>
        <w:t>income</w:t>
      </w:r>
      <w:r>
        <w:rPr>
          <w:spacing w:val="-6"/>
          <w:w w:val="105"/>
          <w:sz w:val="16"/>
        </w:rPr>
        <w:t> </w:t>
      </w:r>
      <w:r>
        <w:rPr>
          <w:w w:val="105"/>
          <w:sz w:val="16"/>
        </w:rPr>
        <w:t>are</w:t>
      </w:r>
      <w:r>
        <w:rPr>
          <w:spacing w:val="-6"/>
          <w:w w:val="105"/>
          <w:sz w:val="16"/>
        </w:rPr>
        <w:t> </w:t>
      </w:r>
      <w:r>
        <w:rPr>
          <w:w w:val="105"/>
          <w:sz w:val="16"/>
        </w:rPr>
        <w:t>primarily</w:t>
      </w:r>
      <w:r>
        <w:rPr>
          <w:spacing w:val="-6"/>
          <w:w w:val="105"/>
          <w:sz w:val="16"/>
        </w:rPr>
        <w:t> </w:t>
      </w:r>
      <w:r>
        <w:rPr>
          <w:w w:val="105"/>
          <w:sz w:val="16"/>
        </w:rPr>
        <w:t>denominated</w:t>
      </w:r>
      <w:r>
        <w:rPr>
          <w:spacing w:val="-6"/>
          <w:w w:val="105"/>
          <w:sz w:val="16"/>
        </w:rPr>
        <w:t> </w:t>
      </w:r>
      <w:r>
        <w:rPr>
          <w:w w:val="105"/>
          <w:sz w:val="16"/>
        </w:rPr>
        <w:t>in</w:t>
      </w:r>
      <w:r>
        <w:rPr>
          <w:spacing w:val="-6"/>
          <w:w w:val="105"/>
          <w:sz w:val="16"/>
        </w:rPr>
        <w:t> </w:t>
      </w:r>
      <w:r>
        <w:rPr>
          <w:w w:val="105"/>
          <w:sz w:val="16"/>
        </w:rPr>
        <w:t>Japanese</w:t>
      </w:r>
      <w:r>
        <w:rPr>
          <w:spacing w:val="-6"/>
          <w:w w:val="105"/>
          <w:sz w:val="16"/>
        </w:rPr>
        <w:t> </w:t>
      </w:r>
      <w:r>
        <w:rPr>
          <w:w w:val="105"/>
          <w:sz w:val="16"/>
        </w:rPr>
        <w:t>yen,</w:t>
      </w:r>
      <w:r>
        <w:rPr>
          <w:spacing w:val="-6"/>
          <w:w w:val="105"/>
          <w:sz w:val="16"/>
        </w:rPr>
        <w:t> </w:t>
      </w:r>
      <w:r>
        <w:rPr>
          <w:w w:val="105"/>
          <w:sz w:val="16"/>
        </w:rPr>
        <w:t>but</w:t>
      </w:r>
      <w:r>
        <w:rPr>
          <w:spacing w:val="-6"/>
          <w:w w:val="105"/>
          <w:sz w:val="16"/>
        </w:rPr>
        <w:t> </w:t>
      </w:r>
      <w:r>
        <w:rPr>
          <w:w w:val="105"/>
          <w:sz w:val="16"/>
        </w:rPr>
        <w:t>are</w:t>
      </w:r>
      <w:r>
        <w:rPr>
          <w:spacing w:val="-6"/>
          <w:w w:val="105"/>
          <w:sz w:val="16"/>
        </w:rPr>
        <w:t> </w:t>
      </w:r>
      <w:r>
        <w:rPr>
          <w:w w:val="105"/>
          <w:sz w:val="16"/>
        </w:rPr>
        <w:t>also</w:t>
      </w:r>
      <w:r>
        <w:rPr>
          <w:spacing w:val="-6"/>
          <w:w w:val="105"/>
          <w:sz w:val="16"/>
        </w:rPr>
        <w:t> </w:t>
      </w:r>
      <w:r>
        <w:rPr>
          <w:w w:val="105"/>
          <w:sz w:val="16"/>
        </w:rPr>
        <w:t>impacted</w:t>
      </w:r>
      <w:r>
        <w:rPr>
          <w:spacing w:val="-6"/>
          <w:w w:val="105"/>
          <w:sz w:val="16"/>
        </w:rPr>
        <w:t> </w:t>
      </w:r>
      <w:r>
        <w:rPr>
          <w:w w:val="105"/>
          <w:sz w:val="16"/>
        </w:rPr>
        <w:t>by</w:t>
      </w:r>
      <w:r>
        <w:rPr>
          <w:spacing w:val="-6"/>
          <w:w w:val="105"/>
          <w:sz w:val="16"/>
        </w:rPr>
        <w:t> </w:t>
      </w:r>
      <w:r>
        <w:rPr>
          <w:w w:val="105"/>
          <w:sz w:val="16"/>
        </w:rPr>
        <w:t>the</w:t>
      </w:r>
      <w:r>
        <w:rPr>
          <w:spacing w:val="-6"/>
          <w:w w:val="105"/>
          <w:sz w:val="16"/>
        </w:rPr>
        <w:t> </w:t>
      </w:r>
      <w:r>
        <w:rPr>
          <w:w w:val="105"/>
          <w:sz w:val="16"/>
        </w:rPr>
        <w:t>South</w:t>
      </w:r>
      <w:r>
        <w:rPr>
          <w:spacing w:val="-6"/>
          <w:w w:val="105"/>
          <w:sz w:val="16"/>
        </w:rPr>
        <w:t> </w:t>
      </w:r>
      <w:r>
        <w:rPr>
          <w:w w:val="105"/>
          <w:sz w:val="16"/>
        </w:rPr>
        <w:t>Korean</w:t>
      </w:r>
      <w:r>
        <w:rPr>
          <w:spacing w:val="-6"/>
          <w:w w:val="105"/>
          <w:sz w:val="16"/>
        </w:rPr>
        <w:t> </w:t>
      </w:r>
      <w:r>
        <w:rPr>
          <w:w w:val="105"/>
          <w:sz w:val="16"/>
        </w:rPr>
        <w:t>won,</w:t>
      </w:r>
      <w:r>
        <w:rPr>
          <w:spacing w:val="-6"/>
          <w:w w:val="105"/>
          <w:sz w:val="16"/>
        </w:rPr>
        <w:t> </w:t>
      </w:r>
      <w:r>
        <w:rPr>
          <w:w w:val="105"/>
          <w:sz w:val="16"/>
        </w:rPr>
        <w:t>Chinese</w:t>
      </w:r>
      <w:r>
        <w:rPr>
          <w:spacing w:val="-6"/>
          <w:w w:val="105"/>
          <w:sz w:val="16"/>
        </w:rPr>
        <w:t> </w:t>
      </w:r>
      <w:r>
        <w:rPr>
          <w:w w:val="105"/>
          <w:sz w:val="16"/>
        </w:rPr>
        <w:t>yuan,</w:t>
      </w:r>
      <w:r>
        <w:rPr>
          <w:spacing w:val="-6"/>
          <w:w w:val="105"/>
          <w:sz w:val="16"/>
        </w:rPr>
        <w:t> </w:t>
      </w:r>
      <w:r>
        <w:rPr>
          <w:w w:val="105"/>
          <w:sz w:val="16"/>
        </w:rPr>
        <w:t>and new</w:t>
      </w:r>
      <w:r>
        <w:rPr>
          <w:spacing w:val="-8"/>
          <w:w w:val="105"/>
          <w:sz w:val="16"/>
        </w:rPr>
        <w:t> </w:t>
      </w:r>
      <w:r>
        <w:rPr>
          <w:w w:val="105"/>
          <w:sz w:val="16"/>
        </w:rPr>
        <w:t>Taiwan</w:t>
      </w:r>
      <w:r>
        <w:rPr>
          <w:spacing w:val="-8"/>
          <w:w w:val="105"/>
          <w:sz w:val="16"/>
        </w:rPr>
        <w:t> </w:t>
      </w:r>
      <w:r>
        <w:rPr>
          <w:w w:val="105"/>
          <w:sz w:val="16"/>
        </w:rPr>
        <w:t>dollar.</w:t>
      </w:r>
      <w:r>
        <w:rPr>
          <w:spacing w:val="26"/>
          <w:w w:val="105"/>
          <w:sz w:val="16"/>
        </w:rPr>
        <w:t> </w:t>
      </w:r>
      <w:r>
        <w:rPr>
          <w:w w:val="105"/>
          <w:sz w:val="16"/>
        </w:rPr>
        <w:t>Environmental</w:t>
      </w:r>
      <w:r>
        <w:rPr>
          <w:spacing w:val="-8"/>
          <w:w w:val="105"/>
          <w:sz w:val="16"/>
        </w:rPr>
        <w:t> </w:t>
      </w:r>
      <w:r>
        <w:rPr>
          <w:w w:val="105"/>
          <w:sz w:val="16"/>
        </w:rPr>
        <w:t>Technologies</w:t>
      </w:r>
      <w:r>
        <w:rPr>
          <w:spacing w:val="-8"/>
          <w:w w:val="105"/>
          <w:sz w:val="16"/>
        </w:rPr>
        <w:t> </w:t>
      </w:r>
      <w:r>
        <w:rPr>
          <w:w w:val="105"/>
          <w:sz w:val="16"/>
        </w:rPr>
        <w:t>and</w:t>
      </w:r>
      <w:r>
        <w:rPr>
          <w:spacing w:val="-8"/>
          <w:w w:val="105"/>
          <w:sz w:val="16"/>
        </w:rPr>
        <w:t> </w:t>
      </w:r>
      <w:r>
        <w:rPr>
          <w:w w:val="105"/>
          <w:sz w:val="16"/>
        </w:rPr>
        <w:t>Life</w:t>
      </w:r>
      <w:r>
        <w:rPr>
          <w:spacing w:val="-8"/>
          <w:w w:val="105"/>
          <w:sz w:val="16"/>
        </w:rPr>
        <w:t> </w:t>
      </w:r>
      <w:r>
        <w:rPr>
          <w:w w:val="105"/>
          <w:sz w:val="16"/>
        </w:rPr>
        <w:t>Science</w:t>
      </w:r>
      <w:r>
        <w:rPr>
          <w:spacing w:val="-8"/>
          <w:w w:val="105"/>
          <w:sz w:val="16"/>
        </w:rPr>
        <w:t> </w:t>
      </w:r>
      <w:r>
        <w:rPr>
          <w:w w:val="105"/>
          <w:sz w:val="16"/>
        </w:rPr>
        <w:t>segment</w:t>
      </w:r>
      <w:r>
        <w:rPr>
          <w:spacing w:val="-8"/>
          <w:w w:val="105"/>
          <w:sz w:val="16"/>
        </w:rPr>
        <w:t> </w:t>
      </w:r>
      <w:r>
        <w:rPr>
          <w:w w:val="105"/>
          <w:sz w:val="16"/>
        </w:rPr>
        <w:t>sales</w:t>
      </w:r>
      <w:r>
        <w:rPr>
          <w:spacing w:val="-8"/>
          <w:w w:val="105"/>
          <w:sz w:val="16"/>
        </w:rPr>
        <w:t> </w:t>
      </w:r>
      <w:r>
        <w:rPr>
          <w:w w:val="105"/>
          <w:sz w:val="16"/>
        </w:rPr>
        <w:t>and</w:t>
      </w:r>
      <w:r>
        <w:rPr>
          <w:spacing w:val="-8"/>
          <w:w w:val="105"/>
          <w:sz w:val="16"/>
        </w:rPr>
        <w:t> </w:t>
      </w:r>
      <w:r>
        <w:rPr>
          <w:w w:val="105"/>
          <w:sz w:val="16"/>
        </w:rPr>
        <w:t>net</w:t>
      </w:r>
      <w:r>
        <w:rPr>
          <w:spacing w:val="-8"/>
          <w:w w:val="105"/>
          <w:sz w:val="16"/>
        </w:rPr>
        <w:t> </w:t>
      </w:r>
      <w:r>
        <w:rPr>
          <w:w w:val="105"/>
          <w:sz w:val="16"/>
        </w:rPr>
        <w:t>income</w:t>
      </w:r>
      <w:r>
        <w:rPr>
          <w:spacing w:val="-8"/>
          <w:w w:val="105"/>
          <w:sz w:val="16"/>
        </w:rPr>
        <w:t> </w:t>
      </w:r>
      <w:r>
        <w:rPr>
          <w:w w:val="105"/>
          <w:sz w:val="16"/>
        </w:rPr>
        <w:t>are</w:t>
      </w:r>
      <w:r>
        <w:rPr>
          <w:spacing w:val="-8"/>
          <w:w w:val="105"/>
          <w:sz w:val="16"/>
        </w:rPr>
        <w:t> </w:t>
      </w:r>
      <w:r>
        <w:rPr>
          <w:w w:val="105"/>
          <w:sz w:val="16"/>
        </w:rPr>
        <w:t>primarily</w:t>
      </w:r>
      <w:r>
        <w:rPr>
          <w:spacing w:val="-8"/>
          <w:w w:val="105"/>
          <w:sz w:val="16"/>
        </w:rPr>
        <w:t> </w:t>
      </w:r>
      <w:r>
        <w:rPr>
          <w:w w:val="105"/>
          <w:sz w:val="16"/>
        </w:rPr>
        <w:t>impacted</w:t>
      </w:r>
      <w:r>
        <w:rPr>
          <w:spacing w:val="-8"/>
          <w:w w:val="105"/>
          <w:sz w:val="16"/>
        </w:rPr>
        <w:t> </w:t>
      </w:r>
      <w:r>
        <w:rPr>
          <w:w w:val="105"/>
          <w:sz w:val="16"/>
        </w:rPr>
        <w:t>by</w:t>
      </w:r>
      <w:r>
        <w:rPr>
          <w:spacing w:val="-8"/>
          <w:w w:val="105"/>
          <w:sz w:val="16"/>
        </w:rPr>
        <w:t> </w:t>
      </w:r>
      <w:r>
        <w:rPr>
          <w:w w:val="105"/>
          <w:sz w:val="16"/>
        </w:rPr>
        <w:t>the</w:t>
      </w:r>
      <w:r>
        <w:rPr>
          <w:spacing w:val="-8"/>
          <w:w w:val="105"/>
          <w:sz w:val="16"/>
        </w:rPr>
        <w:t> </w:t>
      </w:r>
      <w:r>
        <w:rPr>
          <w:w w:val="105"/>
          <w:sz w:val="16"/>
        </w:rPr>
        <w:t>euro</w:t>
      </w:r>
      <w:r>
        <w:rPr>
          <w:spacing w:val="-8"/>
          <w:w w:val="105"/>
          <w:sz w:val="16"/>
        </w:rPr>
        <w:t> </w:t>
      </w:r>
      <w:r>
        <w:rPr>
          <w:w w:val="105"/>
          <w:sz w:val="16"/>
        </w:rPr>
        <w:t>and</w:t>
      </w:r>
      <w:r>
        <w:rPr>
          <w:spacing w:val="-8"/>
          <w:w w:val="105"/>
          <w:sz w:val="16"/>
        </w:rPr>
        <w:t> </w:t>
      </w:r>
      <w:r>
        <w:rPr>
          <w:w w:val="105"/>
          <w:sz w:val="16"/>
        </w:rPr>
        <w:t>Chinese</w:t>
      </w:r>
      <w:r>
        <w:rPr>
          <w:spacing w:val="-8"/>
          <w:w w:val="105"/>
          <w:sz w:val="16"/>
        </w:rPr>
        <w:t> </w:t>
      </w:r>
      <w:r>
        <w:rPr>
          <w:w w:val="105"/>
          <w:sz w:val="16"/>
        </w:rPr>
        <w:t>yuan.</w:t>
      </w:r>
      <w:r>
        <w:rPr>
          <w:spacing w:val="26"/>
          <w:w w:val="105"/>
          <w:sz w:val="16"/>
        </w:rPr>
        <w:t> </w:t>
      </w:r>
      <w:r>
        <w:rPr>
          <w:w w:val="105"/>
          <w:sz w:val="16"/>
        </w:rPr>
        <w:t>Presenting results</w:t>
      </w:r>
      <w:r>
        <w:rPr>
          <w:spacing w:val="-9"/>
          <w:w w:val="105"/>
          <w:sz w:val="16"/>
        </w:rPr>
        <w:t> </w:t>
      </w:r>
      <w:r>
        <w:rPr>
          <w:w w:val="105"/>
          <w:sz w:val="16"/>
        </w:rPr>
        <w:t>on</w:t>
      </w:r>
      <w:r>
        <w:rPr>
          <w:spacing w:val="-9"/>
          <w:w w:val="105"/>
          <w:sz w:val="16"/>
        </w:rPr>
        <w:t> </w:t>
      </w:r>
      <w:r>
        <w:rPr>
          <w:w w:val="105"/>
          <w:sz w:val="16"/>
        </w:rPr>
        <w:t>a</w:t>
      </w:r>
      <w:r>
        <w:rPr>
          <w:spacing w:val="-9"/>
          <w:w w:val="105"/>
          <w:sz w:val="16"/>
        </w:rPr>
        <w:t> </w:t>
      </w:r>
      <w:r>
        <w:rPr>
          <w:w w:val="105"/>
          <w:sz w:val="16"/>
        </w:rPr>
        <w:t>constant-currency</w:t>
      </w:r>
      <w:r>
        <w:rPr>
          <w:spacing w:val="-9"/>
          <w:w w:val="105"/>
          <w:sz w:val="16"/>
        </w:rPr>
        <w:t> </w:t>
      </w:r>
      <w:r>
        <w:rPr>
          <w:w w:val="105"/>
          <w:sz w:val="16"/>
        </w:rPr>
        <w:t>basis</w:t>
      </w:r>
      <w:r>
        <w:rPr>
          <w:spacing w:val="-9"/>
          <w:w w:val="105"/>
          <w:sz w:val="16"/>
        </w:rPr>
        <w:t> </w:t>
      </w:r>
      <w:r>
        <w:rPr>
          <w:w w:val="105"/>
          <w:sz w:val="16"/>
        </w:rPr>
        <w:t>mitigates</w:t>
      </w:r>
      <w:r>
        <w:rPr>
          <w:spacing w:val="-9"/>
          <w:w w:val="105"/>
          <w:sz w:val="16"/>
        </w:rPr>
        <w:t> </w:t>
      </w:r>
      <w:r>
        <w:rPr>
          <w:w w:val="105"/>
          <w:sz w:val="16"/>
        </w:rPr>
        <w:t>the</w:t>
      </w:r>
      <w:r>
        <w:rPr>
          <w:spacing w:val="-9"/>
          <w:w w:val="105"/>
          <w:sz w:val="16"/>
        </w:rPr>
        <w:t> </w:t>
      </w:r>
      <w:r>
        <w:rPr>
          <w:w w:val="105"/>
          <w:sz w:val="16"/>
        </w:rPr>
        <w:t>translation</w:t>
      </w:r>
      <w:r>
        <w:rPr>
          <w:spacing w:val="-9"/>
          <w:w w:val="105"/>
          <w:sz w:val="16"/>
        </w:rPr>
        <w:t> </w:t>
      </w:r>
      <w:r>
        <w:rPr>
          <w:w w:val="105"/>
          <w:sz w:val="16"/>
        </w:rPr>
        <w:t>impact</w:t>
      </w:r>
      <w:r>
        <w:rPr>
          <w:spacing w:val="-9"/>
          <w:w w:val="105"/>
          <w:sz w:val="16"/>
        </w:rPr>
        <w:t> </w:t>
      </w:r>
      <w:r>
        <w:rPr>
          <w:w w:val="105"/>
          <w:sz w:val="16"/>
        </w:rPr>
        <w:t>and</w:t>
      </w:r>
      <w:r>
        <w:rPr>
          <w:spacing w:val="-9"/>
          <w:w w:val="105"/>
          <w:sz w:val="16"/>
        </w:rPr>
        <w:t> </w:t>
      </w:r>
      <w:r>
        <w:rPr>
          <w:w w:val="105"/>
          <w:sz w:val="16"/>
        </w:rPr>
        <w:t>allows</w:t>
      </w:r>
      <w:r>
        <w:rPr>
          <w:spacing w:val="-9"/>
          <w:w w:val="105"/>
          <w:sz w:val="16"/>
        </w:rPr>
        <w:t> </w:t>
      </w:r>
      <w:r>
        <w:rPr>
          <w:w w:val="105"/>
          <w:sz w:val="16"/>
        </w:rPr>
        <w:t>management</w:t>
      </w:r>
      <w:r>
        <w:rPr>
          <w:spacing w:val="-9"/>
          <w:w w:val="105"/>
          <w:sz w:val="16"/>
        </w:rPr>
        <w:t> </w:t>
      </w:r>
      <w:r>
        <w:rPr>
          <w:w w:val="105"/>
          <w:sz w:val="16"/>
        </w:rPr>
        <w:t>to</w:t>
      </w:r>
      <w:r>
        <w:rPr>
          <w:spacing w:val="-9"/>
          <w:w w:val="105"/>
          <w:sz w:val="16"/>
        </w:rPr>
        <w:t> </w:t>
      </w:r>
      <w:r>
        <w:rPr>
          <w:w w:val="105"/>
          <w:sz w:val="16"/>
        </w:rPr>
        <w:t>evaluate</w:t>
      </w:r>
      <w:r>
        <w:rPr>
          <w:spacing w:val="-9"/>
          <w:w w:val="105"/>
          <w:sz w:val="16"/>
        </w:rPr>
        <w:t> </w:t>
      </w:r>
      <w:r>
        <w:rPr>
          <w:w w:val="105"/>
          <w:sz w:val="16"/>
        </w:rPr>
        <w:t>performance</w:t>
      </w:r>
      <w:r>
        <w:rPr>
          <w:spacing w:val="-9"/>
          <w:w w:val="105"/>
          <w:sz w:val="16"/>
        </w:rPr>
        <w:t> </w:t>
      </w:r>
      <w:r>
        <w:rPr>
          <w:w w:val="105"/>
          <w:sz w:val="16"/>
        </w:rPr>
        <w:t>period</w:t>
      </w:r>
      <w:r>
        <w:rPr>
          <w:spacing w:val="-9"/>
          <w:w w:val="105"/>
          <w:sz w:val="16"/>
        </w:rPr>
        <w:t> </w:t>
      </w:r>
      <w:r>
        <w:rPr>
          <w:w w:val="105"/>
          <w:sz w:val="16"/>
        </w:rPr>
        <w:t>over</w:t>
      </w:r>
      <w:r>
        <w:rPr>
          <w:spacing w:val="-9"/>
          <w:w w:val="105"/>
          <w:sz w:val="16"/>
        </w:rPr>
        <w:t> </w:t>
      </w:r>
      <w:r>
        <w:rPr>
          <w:w w:val="105"/>
          <w:sz w:val="16"/>
        </w:rPr>
        <w:t>period,</w:t>
      </w:r>
      <w:r>
        <w:rPr>
          <w:spacing w:val="-11"/>
          <w:w w:val="105"/>
          <w:sz w:val="16"/>
        </w:rPr>
        <w:t> </w:t>
      </w:r>
      <w:r>
        <w:rPr>
          <w:w w:val="105"/>
          <w:sz w:val="16"/>
        </w:rPr>
        <w:t>analyze</w:t>
      </w:r>
      <w:r>
        <w:rPr>
          <w:spacing w:val="-9"/>
          <w:w w:val="105"/>
          <w:sz w:val="16"/>
        </w:rPr>
        <w:t> </w:t>
      </w:r>
      <w:r>
        <w:rPr>
          <w:w w:val="105"/>
          <w:sz w:val="16"/>
        </w:rPr>
        <w:t>underlying</w:t>
      </w:r>
      <w:r>
        <w:rPr>
          <w:spacing w:val="-9"/>
          <w:w w:val="105"/>
          <w:sz w:val="16"/>
        </w:rPr>
        <w:t> </w:t>
      </w:r>
      <w:r>
        <w:rPr>
          <w:w w:val="105"/>
          <w:sz w:val="16"/>
        </w:rPr>
        <w:t>trends in</w:t>
      </w:r>
      <w:r>
        <w:rPr>
          <w:spacing w:val="-8"/>
          <w:w w:val="105"/>
          <w:sz w:val="16"/>
        </w:rPr>
        <w:t> </w:t>
      </w:r>
      <w:r>
        <w:rPr>
          <w:w w:val="105"/>
          <w:sz w:val="16"/>
        </w:rPr>
        <w:t>our</w:t>
      </w:r>
      <w:r>
        <w:rPr>
          <w:spacing w:val="-8"/>
          <w:w w:val="105"/>
          <w:sz w:val="16"/>
        </w:rPr>
        <w:t> </w:t>
      </w:r>
      <w:r>
        <w:rPr>
          <w:w w:val="105"/>
          <w:sz w:val="16"/>
        </w:rPr>
        <w:t>businesses,</w:t>
      </w:r>
      <w:r>
        <w:rPr>
          <w:spacing w:val="-8"/>
          <w:w w:val="105"/>
          <w:sz w:val="16"/>
        </w:rPr>
        <w:t> </w:t>
      </w:r>
      <w:r>
        <w:rPr>
          <w:w w:val="105"/>
          <w:sz w:val="16"/>
        </w:rPr>
        <w:t>and</w:t>
      </w:r>
      <w:r>
        <w:rPr>
          <w:spacing w:val="-8"/>
          <w:w w:val="105"/>
          <w:sz w:val="16"/>
        </w:rPr>
        <w:t> </w:t>
      </w:r>
      <w:r>
        <w:rPr>
          <w:w w:val="105"/>
          <w:sz w:val="16"/>
        </w:rPr>
        <w:t>establish</w:t>
      </w:r>
      <w:r>
        <w:rPr>
          <w:spacing w:val="-8"/>
          <w:w w:val="105"/>
          <w:sz w:val="16"/>
        </w:rPr>
        <w:t> </w:t>
      </w:r>
      <w:r>
        <w:rPr>
          <w:w w:val="105"/>
          <w:sz w:val="16"/>
        </w:rPr>
        <w:t>operational</w:t>
      </w:r>
      <w:r>
        <w:rPr>
          <w:spacing w:val="-8"/>
          <w:w w:val="105"/>
          <w:sz w:val="16"/>
        </w:rPr>
        <w:t> </w:t>
      </w:r>
      <w:r>
        <w:rPr>
          <w:w w:val="105"/>
          <w:sz w:val="16"/>
        </w:rPr>
        <w:t>goals</w:t>
      </w:r>
      <w:r>
        <w:rPr>
          <w:spacing w:val="-8"/>
          <w:w w:val="105"/>
          <w:sz w:val="16"/>
        </w:rPr>
        <w:t> </w:t>
      </w:r>
      <w:r>
        <w:rPr>
          <w:w w:val="105"/>
          <w:sz w:val="16"/>
        </w:rPr>
        <w:t>and</w:t>
      </w:r>
      <w:r>
        <w:rPr>
          <w:spacing w:val="-8"/>
          <w:w w:val="105"/>
          <w:sz w:val="16"/>
        </w:rPr>
        <w:t> </w:t>
      </w:r>
      <w:r>
        <w:rPr>
          <w:w w:val="105"/>
          <w:sz w:val="16"/>
        </w:rPr>
        <w:t>forecasts.</w:t>
      </w:r>
      <w:r>
        <w:rPr>
          <w:spacing w:val="27"/>
          <w:w w:val="105"/>
          <w:sz w:val="16"/>
        </w:rPr>
        <w:t> </w:t>
      </w:r>
      <w:r>
        <w:rPr>
          <w:w w:val="105"/>
          <w:sz w:val="16"/>
        </w:rPr>
        <w:t>We</w:t>
      </w:r>
      <w:r>
        <w:rPr>
          <w:spacing w:val="-8"/>
          <w:w w:val="105"/>
          <w:sz w:val="16"/>
        </w:rPr>
        <w:t> </w:t>
      </w:r>
      <w:r>
        <w:rPr>
          <w:w w:val="105"/>
          <w:sz w:val="16"/>
        </w:rPr>
        <w:t>establish</w:t>
      </w:r>
      <w:r>
        <w:rPr>
          <w:spacing w:val="-8"/>
          <w:w w:val="105"/>
          <w:sz w:val="16"/>
        </w:rPr>
        <w:t> </w:t>
      </w:r>
      <w:r>
        <w:rPr>
          <w:w w:val="105"/>
          <w:sz w:val="16"/>
        </w:rPr>
        <w:t>constant-currency</w:t>
      </w:r>
      <w:r>
        <w:rPr>
          <w:spacing w:val="-8"/>
          <w:w w:val="105"/>
          <w:sz w:val="16"/>
        </w:rPr>
        <w:t> </w:t>
      </w:r>
      <w:r>
        <w:rPr>
          <w:w w:val="105"/>
          <w:sz w:val="16"/>
        </w:rPr>
        <w:t>rates</w:t>
      </w:r>
      <w:r>
        <w:rPr>
          <w:spacing w:val="-8"/>
          <w:w w:val="105"/>
          <w:sz w:val="16"/>
        </w:rPr>
        <w:t> </w:t>
      </w:r>
      <w:r>
        <w:rPr>
          <w:w w:val="105"/>
          <w:sz w:val="16"/>
        </w:rPr>
        <w:t>based</w:t>
      </w:r>
      <w:r>
        <w:rPr>
          <w:spacing w:val="-8"/>
          <w:w w:val="105"/>
          <w:sz w:val="16"/>
        </w:rPr>
        <w:t> </w:t>
      </w:r>
      <w:r>
        <w:rPr>
          <w:w w:val="105"/>
          <w:sz w:val="16"/>
        </w:rPr>
        <w:t>on</w:t>
      </w:r>
      <w:r>
        <w:rPr>
          <w:spacing w:val="-8"/>
          <w:w w:val="105"/>
          <w:sz w:val="16"/>
        </w:rPr>
        <w:t> </w:t>
      </w:r>
      <w:r>
        <w:rPr>
          <w:w w:val="105"/>
          <w:sz w:val="16"/>
        </w:rPr>
        <w:t>internally</w:t>
      </w:r>
      <w:r>
        <w:rPr>
          <w:spacing w:val="-8"/>
          <w:w w:val="105"/>
          <w:sz w:val="16"/>
        </w:rPr>
        <w:t> </w:t>
      </w:r>
      <w:r>
        <w:rPr>
          <w:w w:val="105"/>
          <w:sz w:val="16"/>
        </w:rPr>
        <w:t>derived</w:t>
      </w:r>
      <w:r>
        <w:rPr>
          <w:spacing w:val="-8"/>
          <w:w w:val="105"/>
          <w:sz w:val="16"/>
        </w:rPr>
        <w:t> </w:t>
      </w:r>
      <w:r>
        <w:rPr>
          <w:w w:val="105"/>
          <w:sz w:val="16"/>
        </w:rPr>
        <w:t>management</w:t>
      </w:r>
      <w:r>
        <w:rPr>
          <w:spacing w:val="-8"/>
          <w:w w:val="105"/>
          <w:sz w:val="16"/>
        </w:rPr>
        <w:t> </w:t>
      </w:r>
      <w:r>
        <w:rPr>
          <w:w w:val="105"/>
          <w:sz w:val="16"/>
        </w:rPr>
        <w:t>estimates</w:t>
      </w:r>
      <w:r>
        <w:rPr>
          <w:spacing w:val="-8"/>
          <w:w w:val="105"/>
          <w:sz w:val="16"/>
        </w:rPr>
        <w:t> </w:t>
      </w:r>
      <w:r>
        <w:rPr>
          <w:w w:val="105"/>
          <w:sz w:val="16"/>
        </w:rPr>
        <w:t>which</w:t>
      </w:r>
      <w:r>
        <w:rPr>
          <w:spacing w:val="-8"/>
          <w:w w:val="105"/>
          <w:sz w:val="16"/>
        </w:rPr>
        <w:t> </w:t>
      </w:r>
      <w:r>
        <w:rPr>
          <w:w w:val="105"/>
          <w:sz w:val="16"/>
        </w:rPr>
        <w:t>are closely aligned with the currencies we have hedged.</w:t>
      </w:r>
    </w:p>
    <w:p>
      <w:pPr>
        <w:pStyle w:val="BodyText"/>
        <w:spacing w:before="17"/>
      </w:pPr>
    </w:p>
    <w:p>
      <w:pPr>
        <w:pStyle w:val="BodyText"/>
        <w:spacing w:after="36"/>
        <w:ind w:left="742"/>
      </w:pPr>
      <w:r>
        <w:rPr>
          <w:spacing w:val="-2"/>
          <w:w w:val="105"/>
        </w:rPr>
        <w:t>Constant-currency</w:t>
      </w:r>
      <w:r>
        <w:rPr>
          <w:spacing w:val="2"/>
          <w:w w:val="105"/>
        </w:rPr>
        <w:t> </w:t>
      </w:r>
      <w:r>
        <w:rPr>
          <w:spacing w:val="-2"/>
          <w:w w:val="105"/>
        </w:rPr>
        <w:t>rates</w:t>
      </w:r>
      <w:r>
        <w:rPr>
          <w:spacing w:val="4"/>
          <w:w w:val="105"/>
        </w:rPr>
        <w:t> </w:t>
      </w:r>
      <w:r>
        <w:rPr>
          <w:spacing w:val="-2"/>
          <w:w w:val="105"/>
        </w:rPr>
        <w:t>are</w:t>
      </w:r>
      <w:r>
        <w:rPr>
          <w:spacing w:val="2"/>
          <w:w w:val="105"/>
        </w:rPr>
        <w:t> </w:t>
      </w:r>
      <w:r>
        <w:rPr>
          <w:spacing w:val="-2"/>
          <w:w w:val="105"/>
        </w:rPr>
        <w:t>as</w:t>
      </w:r>
      <w:r>
        <w:rPr>
          <w:spacing w:val="2"/>
          <w:w w:val="105"/>
        </w:rPr>
        <w:t> </w:t>
      </w:r>
      <w:r>
        <w:rPr>
          <w:spacing w:val="-2"/>
          <w:w w:val="105"/>
        </w:rPr>
        <w:t>follows:</w:t>
      </w:r>
    </w:p>
    <w:tbl>
      <w:tblPr>
        <w:tblW w:w="0" w:type="auto"/>
        <w:jc w:val="left"/>
        <w:tblInd w:w="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5"/>
        <w:gridCol w:w="2043"/>
        <w:gridCol w:w="1917"/>
        <w:gridCol w:w="1875"/>
        <w:gridCol w:w="2197"/>
        <w:gridCol w:w="1222"/>
      </w:tblGrid>
      <w:tr>
        <w:trPr>
          <w:trHeight w:val="199" w:hRule="atLeast"/>
        </w:trPr>
        <w:tc>
          <w:tcPr>
            <w:tcW w:w="1675" w:type="dxa"/>
            <w:tcBorders>
              <w:top w:val="single" w:sz="18" w:space="0" w:color="000000"/>
              <w:bottom w:val="single" w:sz="6" w:space="0" w:color="000000"/>
            </w:tcBorders>
          </w:tcPr>
          <w:p>
            <w:pPr>
              <w:pStyle w:val="TableParagraph"/>
              <w:spacing w:line="179" w:lineRule="exact"/>
              <w:ind w:right="171"/>
              <w:jc w:val="center"/>
              <w:rPr>
                <w:sz w:val="16"/>
              </w:rPr>
            </w:pPr>
            <w:r>
              <w:rPr>
                <w:spacing w:val="-2"/>
                <w:w w:val="105"/>
                <w:sz w:val="16"/>
              </w:rPr>
              <w:t>Currency</w:t>
            </w:r>
          </w:p>
        </w:tc>
        <w:tc>
          <w:tcPr>
            <w:tcW w:w="2043" w:type="dxa"/>
            <w:tcBorders>
              <w:top w:val="single" w:sz="18" w:space="0" w:color="000000"/>
              <w:bottom w:val="single" w:sz="6" w:space="0" w:color="000000"/>
            </w:tcBorders>
          </w:tcPr>
          <w:p>
            <w:pPr>
              <w:pStyle w:val="TableParagraph"/>
              <w:spacing w:line="179" w:lineRule="exact"/>
              <w:ind w:left="59" w:right="1"/>
              <w:jc w:val="center"/>
              <w:rPr>
                <w:sz w:val="16"/>
              </w:rPr>
            </w:pPr>
            <w:r>
              <w:rPr>
                <w:sz w:val="16"/>
              </w:rPr>
              <w:t>Japanese</w:t>
            </w:r>
            <w:r>
              <w:rPr>
                <w:spacing w:val="18"/>
                <w:sz w:val="16"/>
              </w:rPr>
              <w:t> </w:t>
            </w:r>
            <w:r>
              <w:rPr>
                <w:spacing w:val="-5"/>
                <w:sz w:val="16"/>
              </w:rPr>
              <w:t>yen</w:t>
            </w:r>
          </w:p>
        </w:tc>
        <w:tc>
          <w:tcPr>
            <w:tcW w:w="1917" w:type="dxa"/>
            <w:tcBorders>
              <w:top w:val="single" w:sz="18" w:space="0" w:color="000000"/>
              <w:bottom w:val="single" w:sz="6" w:space="0" w:color="000000"/>
            </w:tcBorders>
          </w:tcPr>
          <w:p>
            <w:pPr>
              <w:pStyle w:val="TableParagraph"/>
              <w:spacing w:line="179" w:lineRule="exact"/>
              <w:ind w:left="8"/>
              <w:jc w:val="center"/>
              <w:rPr>
                <w:sz w:val="16"/>
              </w:rPr>
            </w:pPr>
            <w:r>
              <w:rPr>
                <w:sz w:val="16"/>
              </w:rPr>
              <w:t>Korean</w:t>
            </w:r>
            <w:r>
              <w:rPr>
                <w:spacing w:val="10"/>
                <w:sz w:val="16"/>
              </w:rPr>
              <w:t> </w:t>
            </w:r>
            <w:r>
              <w:rPr>
                <w:spacing w:val="-5"/>
                <w:sz w:val="16"/>
              </w:rPr>
              <w:t>won</w:t>
            </w:r>
          </w:p>
        </w:tc>
        <w:tc>
          <w:tcPr>
            <w:tcW w:w="1875" w:type="dxa"/>
            <w:tcBorders>
              <w:top w:val="single" w:sz="18" w:space="0" w:color="000000"/>
              <w:bottom w:val="single" w:sz="6" w:space="0" w:color="000000"/>
            </w:tcBorders>
          </w:tcPr>
          <w:p>
            <w:pPr>
              <w:pStyle w:val="TableParagraph"/>
              <w:spacing w:line="179" w:lineRule="exact"/>
              <w:ind w:left="115"/>
              <w:jc w:val="center"/>
              <w:rPr>
                <w:sz w:val="16"/>
              </w:rPr>
            </w:pPr>
            <w:r>
              <w:rPr>
                <w:sz w:val="16"/>
              </w:rPr>
              <w:t>Chinese</w:t>
            </w:r>
            <w:r>
              <w:rPr>
                <w:spacing w:val="16"/>
                <w:sz w:val="16"/>
              </w:rPr>
              <w:t> </w:t>
            </w:r>
            <w:r>
              <w:rPr>
                <w:spacing w:val="-4"/>
                <w:sz w:val="16"/>
              </w:rPr>
              <w:t>yuan</w:t>
            </w:r>
          </w:p>
        </w:tc>
        <w:tc>
          <w:tcPr>
            <w:tcW w:w="2197" w:type="dxa"/>
            <w:tcBorders>
              <w:top w:val="single" w:sz="18" w:space="0" w:color="000000"/>
              <w:bottom w:val="single" w:sz="6" w:space="0" w:color="000000"/>
            </w:tcBorders>
          </w:tcPr>
          <w:p>
            <w:pPr>
              <w:pStyle w:val="TableParagraph"/>
              <w:spacing w:line="179" w:lineRule="exact"/>
              <w:ind w:left="1" w:right="57"/>
              <w:jc w:val="center"/>
              <w:rPr>
                <w:sz w:val="16"/>
              </w:rPr>
            </w:pPr>
            <w:r>
              <w:rPr>
                <w:w w:val="105"/>
                <w:sz w:val="16"/>
              </w:rPr>
              <w:t>New</w:t>
            </w:r>
            <w:r>
              <w:rPr>
                <w:spacing w:val="-10"/>
                <w:w w:val="105"/>
                <w:sz w:val="16"/>
              </w:rPr>
              <w:t> </w:t>
            </w:r>
            <w:r>
              <w:rPr>
                <w:w w:val="105"/>
                <w:sz w:val="16"/>
              </w:rPr>
              <w:t>Taiwan</w:t>
            </w:r>
            <w:r>
              <w:rPr>
                <w:spacing w:val="-10"/>
                <w:w w:val="105"/>
                <w:sz w:val="16"/>
              </w:rPr>
              <w:t> </w:t>
            </w:r>
            <w:r>
              <w:rPr>
                <w:spacing w:val="-2"/>
                <w:w w:val="105"/>
                <w:sz w:val="16"/>
              </w:rPr>
              <w:t>dollar</w:t>
            </w:r>
          </w:p>
        </w:tc>
        <w:tc>
          <w:tcPr>
            <w:tcW w:w="1222" w:type="dxa"/>
            <w:tcBorders>
              <w:top w:val="single" w:sz="18" w:space="0" w:color="000000"/>
              <w:bottom w:val="single" w:sz="6" w:space="0" w:color="000000"/>
            </w:tcBorders>
          </w:tcPr>
          <w:p>
            <w:pPr>
              <w:pStyle w:val="TableParagraph"/>
              <w:spacing w:line="179" w:lineRule="exact"/>
              <w:ind w:left="76"/>
              <w:jc w:val="center"/>
              <w:rPr>
                <w:sz w:val="16"/>
              </w:rPr>
            </w:pPr>
            <w:r>
              <w:rPr>
                <w:spacing w:val="-4"/>
                <w:w w:val="105"/>
                <w:sz w:val="16"/>
              </w:rPr>
              <w:t>Euro</w:t>
            </w:r>
          </w:p>
        </w:tc>
      </w:tr>
      <w:tr>
        <w:trPr>
          <w:trHeight w:val="199" w:hRule="atLeast"/>
        </w:trPr>
        <w:tc>
          <w:tcPr>
            <w:tcW w:w="1675" w:type="dxa"/>
            <w:tcBorders>
              <w:top w:val="single" w:sz="6" w:space="0" w:color="000000"/>
              <w:bottom w:val="single" w:sz="18" w:space="0" w:color="000000"/>
            </w:tcBorders>
          </w:tcPr>
          <w:p>
            <w:pPr>
              <w:pStyle w:val="TableParagraph"/>
              <w:spacing w:line="177" w:lineRule="exact" w:before="2"/>
              <w:ind w:left="1" w:right="171"/>
              <w:jc w:val="center"/>
              <w:rPr>
                <w:sz w:val="16"/>
              </w:rPr>
            </w:pPr>
            <w:r>
              <w:rPr>
                <w:spacing w:val="-4"/>
                <w:w w:val="105"/>
                <w:sz w:val="16"/>
              </w:rPr>
              <w:t>Rate</w:t>
            </w:r>
          </w:p>
        </w:tc>
        <w:tc>
          <w:tcPr>
            <w:tcW w:w="2043" w:type="dxa"/>
            <w:tcBorders>
              <w:top w:val="single" w:sz="6" w:space="0" w:color="000000"/>
              <w:bottom w:val="single" w:sz="18" w:space="0" w:color="000000"/>
            </w:tcBorders>
          </w:tcPr>
          <w:p>
            <w:pPr>
              <w:pStyle w:val="TableParagraph"/>
              <w:spacing w:line="177" w:lineRule="exact" w:before="2"/>
              <w:ind w:left="59"/>
              <w:jc w:val="center"/>
              <w:rPr>
                <w:sz w:val="16"/>
              </w:rPr>
            </w:pPr>
            <w:r>
              <w:rPr>
                <w:spacing w:val="-4"/>
                <w:w w:val="105"/>
                <w:sz w:val="16"/>
              </w:rPr>
              <w:t>¥107</w:t>
            </w:r>
          </w:p>
        </w:tc>
        <w:tc>
          <w:tcPr>
            <w:tcW w:w="1917" w:type="dxa"/>
            <w:tcBorders>
              <w:top w:val="single" w:sz="6" w:space="0" w:color="000000"/>
              <w:bottom w:val="single" w:sz="18" w:space="0" w:color="000000"/>
            </w:tcBorders>
          </w:tcPr>
          <w:p>
            <w:pPr>
              <w:pStyle w:val="TableParagraph"/>
              <w:spacing w:line="177" w:lineRule="exact" w:before="2"/>
              <w:ind w:left="9"/>
              <w:jc w:val="center"/>
              <w:rPr>
                <w:sz w:val="16"/>
              </w:rPr>
            </w:pPr>
            <w:r>
              <w:rPr>
                <w:spacing w:val="-2"/>
                <w:w w:val="105"/>
                <w:sz w:val="16"/>
              </w:rPr>
              <w:t>₩1,175</w:t>
            </w:r>
          </w:p>
        </w:tc>
        <w:tc>
          <w:tcPr>
            <w:tcW w:w="1875" w:type="dxa"/>
            <w:tcBorders>
              <w:top w:val="single" w:sz="6" w:space="0" w:color="000000"/>
              <w:bottom w:val="single" w:sz="18" w:space="0" w:color="000000"/>
            </w:tcBorders>
          </w:tcPr>
          <w:p>
            <w:pPr>
              <w:pStyle w:val="TableParagraph"/>
              <w:spacing w:line="177" w:lineRule="exact" w:before="2"/>
              <w:ind w:left="115"/>
              <w:jc w:val="center"/>
              <w:rPr>
                <w:sz w:val="16"/>
              </w:rPr>
            </w:pPr>
            <w:r>
              <w:rPr>
                <w:spacing w:val="-4"/>
                <w:w w:val="105"/>
                <w:sz w:val="16"/>
              </w:rPr>
              <w:t>¥6.7</w:t>
            </w:r>
          </w:p>
        </w:tc>
        <w:tc>
          <w:tcPr>
            <w:tcW w:w="2197" w:type="dxa"/>
            <w:tcBorders>
              <w:top w:val="single" w:sz="6" w:space="0" w:color="000000"/>
              <w:bottom w:val="single" w:sz="18" w:space="0" w:color="000000"/>
            </w:tcBorders>
          </w:tcPr>
          <w:p>
            <w:pPr>
              <w:pStyle w:val="TableParagraph"/>
              <w:spacing w:line="177" w:lineRule="exact" w:before="2"/>
              <w:ind w:right="57"/>
              <w:jc w:val="center"/>
              <w:rPr>
                <w:sz w:val="16"/>
              </w:rPr>
            </w:pPr>
            <w:r>
              <w:rPr>
                <w:spacing w:val="-4"/>
                <w:w w:val="105"/>
                <w:sz w:val="16"/>
              </w:rPr>
              <w:t>NT$31</w:t>
            </w:r>
          </w:p>
        </w:tc>
        <w:tc>
          <w:tcPr>
            <w:tcW w:w="1222" w:type="dxa"/>
            <w:tcBorders>
              <w:top w:val="single" w:sz="6" w:space="0" w:color="000000"/>
              <w:bottom w:val="single" w:sz="18" w:space="0" w:color="000000"/>
            </w:tcBorders>
          </w:tcPr>
          <w:p>
            <w:pPr>
              <w:pStyle w:val="TableParagraph"/>
              <w:spacing w:line="177" w:lineRule="exact" w:before="2"/>
              <w:ind w:left="76"/>
              <w:jc w:val="center"/>
              <w:rPr>
                <w:sz w:val="16"/>
              </w:rPr>
            </w:pPr>
            <w:r>
              <w:rPr>
                <w:spacing w:val="-4"/>
                <w:w w:val="105"/>
                <w:sz w:val="16"/>
              </w:rPr>
              <w:t>€.81</w:t>
            </w:r>
          </w:p>
        </w:tc>
      </w:tr>
    </w:tbl>
    <w:p>
      <w:pPr>
        <w:pStyle w:val="ListParagraph"/>
        <w:numPr>
          <w:ilvl w:val="0"/>
          <w:numId w:val="15"/>
        </w:numPr>
        <w:tabs>
          <w:tab w:pos="742" w:val="left" w:leader="none"/>
        </w:tabs>
        <w:spacing w:line="240" w:lineRule="auto" w:before="182" w:after="0"/>
        <w:ind w:left="742" w:right="0" w:hanging="586"/>
        <w:jc w:val="left"/>
        <w:rPr>
          <w:sz w:val="16"/>
        </w:rPr>
      </w:pPr>
      <w:r>
        <w:rPr>
          <w:w w:val="105"/>
          <w:sz w:val="16"/>
          <w:u w:val="single"/>
        </w:rPr>
        <w:t>Translation</w:t>
      </w:r>
      <w:r>
        <w:rPr>
          <w:spacing w:val="-9"/>
          <w:w w:val="105"/>
          <w:sz w:val="16"/>
          <w:u w:val="single"/>
        </w:rPr>
        <w:t> </w:t>
      </w:r>
      <w:r>
        <w:rPr>
          <w:w w:val="105"/>
          <w:sz w:val="16"/>
          <w:u w:val="single"/>
        </w:rPr>
        <w:t>(gain)</w:t>
      </w:r>
      <w:r>
        <w:rPr>
          <w:spacing w:val="-8"/>
          <w:w w:val="105"/>
          <w:sz w:val="16"/>
          <w:u w:val="single"/>
        </w:rPr>
        <w:t> </w:t>
      </w:r>
      <w:r>
        <w:rPr>
          <w:w w:val="105"/>
          <w:sz w:val="16"/>
          <w:u w:val="single"/>
        </w:rPr>
        <w:t>loss</w:t>
      </w:r>
      <w:r>
        <w:rPr>
          <w:spacing w:val="-9"/>
          <w:w w:val="105"/>
          <w:sz w:val="16"/>
          <w:u w:val="single"/>
        </w:rPr>
        <w:t> </w:t>
      </w:r>
      <w:r>
        <w:rPr>
          <w:w w:val="105"/>
          <w:sz w:val="16"/>
          <w:u w:val="single"/>
        </w:rPr>
        <w:t>on</w:t>
      </w:r>
      <w:r>
        <w:rPr>
          <w:spacing w:val="-8"/>
          <w:w w:val="105"/>
          <w:sz w:val="16"/>
          <w:u w:val="single"/>
        </w:rPr>
        <w:t> </w:t>
      </w:r>
      <w:r>
        <w:rPr>
          <w:w w:val="105"/>
          <w:sz w:val="16"/>
          <w:u w:val="single"/>
        </w:rPr>
        <w:t>Japanese</w:t>
      </w:r>
      <w:r>
        <w:rPr>
          <w:spacing w:val="-9"/>
          <w:w w:val="105"/>
          <w:sz w:val="16"/>
          <w:u w:val="single"/>
        </w:rPr>
        <w:t> </w:t>
      </w:r>
      <w:r>
        <w:rPr>
          <w:w w:val="105"/>
          <w:sz w:val="16"/>
          <w:u w:val="single"/>
        </w:rPr>
        <w:t>yen-denominated</w:t>
      </w:r>
      <w:r>
        <w:rPr>
          <w:spacing w:val="-8"/>
          <w:w w:val="105"/>
          <w:sz w:val="16"/>
          <w:u w:val="single"/>
        </w:rPr>
        <w:t> </w:t>
      </w:r>
      <w:r>
        <w:rPr>
          <w:w w:val="105"/>
          <w:sz w:val="16"/>
          <w:u w:val="single"/>
        </w:rPr>
        <w:t>debt</w:t>
      </w:r>
      <w:r>
        <w:rPr>
          <w:w w:val="105"/>
          <w:sz w:val="16"/>
        </w:rPr>
        <w:t>:</w:t>
      </w:r>
      <w:r>
        <w:rPr>
          <w:spacing w:val="-9"/>
          <w:w w:val="105"/>
          <w:sz w:val="16"/>
        </w:rPr>
        <w:t> </w:t>
      </w:r>
      <w:r>
        <w:rPr>
          <w:w w:val="105"/>
          <w:sz w:val="16"/>
        </w:rPr>
        <w:t>We</w:t>
      </w:r>
      <w:r>
        <w:rPr>
          <w:spacing w:val="-8"/>
          <w:w w:val="105"/>
          <w:sz w:val="16"/>
        </w:rPr>
        <w:t> </w:t>
      </w:r>
      <w:r>
        <w:rPr>
          <w:w w:val="105"/>
          <w:sz w:val="16"/>
        </w:rPr>
        <w:t>have</w:t>
      </w:r>
      <w:r>
        <w:rPr>
          <w:spacing w:val="-9"/>
          <w:w w:val="105"/>
          <w:sz w:val="16"/>
        </w:rPr>
        <w:t> </w:t>
      </w:r>
      <w:r>
        <w:rPr>
          <w:w w:val="105"/>
          <w:sz w:val="16"/>
        </w:rPr>
        <w:t>excluded</w:t>
      </w:r>
      <w:r>
        <w:rPr>
          <w:spacing w:val="-8"/>
          <w:w w:val="105"/>
          <w:sz w:val="16"/>
        </w:rPr>
        <w:t> </w:t>
      </w:r>
      <w:r>
        <w:rPr>
          <w:w w:val="105"/>
          <w:sz w:val="16"/>
        </w:rPr>
        <w:t>the</w:t>
      </w:r>
      <w:r>
        <w:rPr>
          <w:spacing w:val="-9"/>
          <w:w w:val="105"/>
          <w:sz w:val="16"/>
        </w:rPr>
        <w:t> </w:t>
      </w:r>
      <w:r>
        <w:rPr>
          <w:w w:val="105"/>
          <w:sz w:val="16"/>
        </w:rPr>
        <w:t>gain</w:t>
      </w:r>
      <w:r>
        <w:rPr>
          <w:spacing w:val="-8"/>
          <w:w w:val="105"/>
          <w:sz w:val="16"/>
        </w:rPr>
        <w:t> </w:t>
      </w:r>
      <w:r>
        <w:rPr>
          <w:w w:val="105"/>
          <w:sz w:val="16"/>
        </w:rPr>
        <w:t>or</w:t>
      </w:r>
      <w:r>
        <w:rPr>
          <w:spacing w:val="-9"/>
          <w:w w:val="105"/>
          <w:sz w:val="16"/>
        </w:rPr>
        <w:t> </w:t>
      </w:r>
      <w:r>
        <w:rPr>
          <w:w w:val="105"/>
          <w:sz w:val="16"/>
        </w:rPr>
        <w:t>loss</w:t>
      </w:r>
      <w:r>
        <w:rPr>
          <w:spacing w:val="-8"/>
          <w:w w:val="105"/>
          <w:sz w:val="16"/>
        </w:rPr>
        <w:t> </w:t>
      </w:r>
      <w:r>
        <w:rPr>
          <w:w w:val="105"/>
          <w:sz w:val="16"/>
        </w:rPr>
        <w:t>on</w:t>
      </w:r>
      <w:r>
        <w:rPr>
          <w:spacing w:val="-9"/>
          <w:w w:val="105"/>
          <w:sz w:val="16"/>
        </w:rPr>
        <w:t> </w:t>
      </w:r>
      <w:r>
        <w:rPr>
          <w:w w:val="105"/>
          <w:sz w:val="16"/>
        </w:rPr>
        <w:t>the</w:t>
      </w:r>
      <w:r>
        <w:rPr>
          <w:spacing w:val="-8"/>
          <w:w w:val="105"/>
          <w:sz w:val="16"/>
        </w:rPr>
        <w:t> </w:t>
      </w:r>
      <w:r>
        <w:rPr>
          <w:w w:val="105"/>
          <w:sz w:val="16"/>
        </w:rPr>
        <w:t>translation</w:t>
      </w:r>
      <w:r>
        <w:rPr>
          <w:spacing w:val="-9"/>
          <w:w w:val="105"/>
          <w:sz w:val="16"/>
        </w:rPr>
        <w:t> </w:t>
      </w:r>
      <w:r>
        <w:rPr>
          <w:w w:val="105"/>
          <w:sz w:val="16"/>
        </w:rPr>
        <w:t>of</w:t>
      </w:r>
      <w:r>
        <w:rPr>
          <w:spacing w:val="-8"/>
          <w:w w:val="105"/>
          <w:sz w:val="16"/>
        </w:rPr>
        <w:t> </w:t>
      </w:r>
      <w:r>
        <w:rPr>
          <w:w w:val="105"/>
          <w:sz w:val="16"/>
        </w:rPr>
        <w:t>our</w:t>
      </w:r>
      <w:r>
        <w:rPr>
          <w:spacing w:val="-9"/>
          <w:w w:val="105"/>
          <w:sz w:val="16"/>
        </w:rPr>
        <w:t> </w:t>
      </w:r>
      <w:r>
        <w:rPr>
          <w:w w:val="105"/>
          <w:sz w:val="16"/>
        </w:rPr>
        <w:t>yen-denominated</w:t>
      </w:r>
      <w:r>
        <w:rPr>
          <w:spacing w:val="-8"/>
          <w:w w:val="105"/>
          <w:sz w:val="16"/>
        </w:rPr>
        <w:t> </w:t>
      </w:r>
      <w:r>
        <w:rPr>
          <w:w w:val="105"/>
          <w:sz w:val="16"/>
        </w:rPr>
        <w:t>debt</w:t>
      </w:r>
      <w:r>
        <w:rPr>
          <w:spacing w:val="-8"/>
          <w:w w:val="105"/>
          <w:sz w:val="16"/>
        </w:rPr>
        <w:t> </w:t>
      </w:r>
      <w:r>
        <w:rPr>
          <w:w w:val="105"/>
          <w:sz w:val="16"/>
        </w:rPr>
        <w:t>to</w:t>
      </w:r>
      <w:r>
        <w:rPr>
          <w:spacing w:val="-9"/>
          <w:w w:val="105"/>
          <w:sz w:val="16"/>
        </w:rPr>
        <w:t> </w:t>
      </w:r>
      <w:r>
        <w:rPr>
          <w:w w:val="105"/>
          <w:sz w:val="16"/>
        </w:rPr>
        <w:t>U.S.</w:t>
      </w:r>
      <w:r>
        <w:rPr>
          <w:spacing w:val="-8"/>
          <w:w w:val="105"/>
          <w:sz w:val="16"/>
        </w:rPr>
        <w:t> </w:t>
      </w:r>
      <w:r>
        <w:rPr>
          <w:spacing w:val="-2"/>
          <w:w w:val="105"/>
          <w:sz w:val="16"/>
        </w:rPr>
        <w:t>dollars.</w:t>
      </w:r>
    </w:p>
    <w:p>
      <w:pPr>
        <w:pStyle w:val="ListParagraph"/>
        <w:numPr>
          <w:ilvl w:val="0"/>
          <w:numId w:val="15"/>
        </w:numPr>
        <w:tabs>
          <w:tab w:pos="742" w:val="left" w:leader="none"/>
        </w:tabs>
        <w:spacing w:line="266" w:lineRule="auto" w:before="20" w:after="0"/>
        <w:ind w:left="742" w:right="255" w:hanging="586"/>
        <w:jc w:val="left"/>
        <w:rPr>
          <w:sz w:val="16"/>
        </w:rPr>
      </w:pPr>
      <w:r>
        <w:rPr>
          <w:w w:val="105"/>
          <w:sz w:val="16"/>
          <w:u w:val="single"/>
        </w:rPr>
        <w:t>Translated</w:t>
      </w:r>
      <w:r>
        <w:rPr>
          <w:spacing w:val="-8"/>
          <w:w w:val="105"/>
          <w:sz w:val="16"/>
          <w:u w:val="single"/>
        </w:rPr>
        <w:t> </w:t>
      </w:r>
      <w:r>
        <w:rPr>
          <w:w w:val="105"/>
          <w:sz w:val="16"/>
          <w:u w:val="single"/>
        </w:rPr>
        <w:t>earnings</w:t>
      </w:r>
      <w:r>
        <w:rPr>
          <w:spacing w:val="-8"/>
          <w:w w:val="105"/>
          <w:sz w:val="16"/>
          <w:u w:val="single"/>
        </w:rPr>
        <w:t> </w:t>
      </w:r>
      <w:r>
        <w:rPr>
          <w:w w:val="105"/>
          <w:sz w:val="16"/>
          <w:u w:val="single"/>
        </w:rPr>
        <w:t>contract</w:t>
      </w:r>
      <w:r>
        <w:rPr>
          <w:spacing w:val="-8"/>
          <w:w w:val="105"/>
          <w:sz w:val="16"/>
          <w:u w:val="single"/>
        </w:rPr>
        <w:t> </w:t>
      </w:r>
      <w:r>
        <w:rPr>
          <w:w w:val="105"/>
          <w:sz w:val="16"/>
          <w:u w:val="single"/>
        </w:rPr>
        <w:t>(gain)</w:t>
      </w:r>
      <w:r>
        <w:rPr>
          <w:spacing w:val="-8"/>
          <w:w w:val="105"/>
          <w:sz w:val="16"/>
          <w:u w:val="single"/>
        </w:rPr>
        <w:t> </w:t>
      </w:r>
      <w:r>
        <w:rPr>
          <w:w w:val="105"/>
          <w:sz w:val="16"/>
          <w:u w:val="single"/>
        </w:rPr>
        <w:t>loss,</w:t>
      </w:r>
      <w:r>
        <w:rPr>
          <w:spacing w:val="-8"/>
          <w:w w:val="105"/>
          <w:sz w:val="16"/>
          <w:u w:val="single"/>
        </w:rPr>
        <w:t> </w:t>
      </w:r>
      <w:r>
        <w:rPr>
          <w:w w:val="105"/>
          <w:sz w:val="16"/>
          <w:u w:val="single"/>
        </w:rPr>
        <w:t>net</w:t>
      </w:r>
      <w:r>
        <w:rPr>
          <w:w w:val="105"/>
          <w:sz w:val="16"/>
        </w:rPr>
        <w:t>:</w:t>
      </w:r>
      <w:r>
        <w:rPr>
          <w:spacing w:val="-8"/>
          <w:w w:val="105"/>
          <w:sz w:val="16"/>
        </w:rPr>
        <w:t> </w:t>
      </w:r>
      <w:r>
        <w:rPr>
          <w:w w:val="105"/>
          <w:sz w:val="16"/>
        </w:rPr>
        <w:t>We</w:t>
      </w:r>
      <w:r>
        <w:rPr>
          <w:spacing w:val="-8"/>
          <w:w w:val="105"/>
          <w:sz w:val="16"/>
        </w:rPr>
        <w:t> </w:t>
      </w:r>
      <w:r>
        <w:rPr>
          <w:w w:val="105"/>
          <w:sz w:val="16"/>
        </w:rPr>
        <w:t>have</w:t>
      </w:r>
      <w:r>
        <w:rPr>
          <w:spacing w:val="-8"/>
          <w:w w:val="105"/>
          <w:sz w:val="16"/>
        </w:rPr>
        <w:t> </w:t>
      </w:r>
      <w:r>
        <w:rPr>
          <w:w w:val="105"/>
          <w:sz w:val="16"/>
        </w:rPr>
        <w:t>excluded</w:t>
      </w:r>
      <w:r>
        <w:rPr>
          <w:spacing w:val="-8"/>
          <w:w w:val="105"/>
          <w:sz w:val="16"/>
        </w:rPr>
        <w:t> </w:t>
      </w:r>
      <w:r>
        <w:rPr>
          <w:w w:val="105"/>
          <w:sz w:val="16"/>
        </w:rPr>
        <w:t>the</w:t>
      </w:r>
      <w:r>
        <w:rPr>
          <w:spacing w:val="-8"/>
          <w:w w:val="105"/>
          <w:sz w:val="16"/>
        </w:rPr>
        <w:t> </w:t>
      </w:r>
      <w:r>
        <w:rPr>
          <w:w w:val="105"/>
          <w:sz w:val="16"/>
        </w:rPr>
        <w:t>impact</w:t>
      </w:r>
      <w:r>
        <w:rPr>
          <w:spacing w:val="-8"/>
          <w:w w:val="105"/>
          <w:sz w:val="16"/>
        </w:rPr>
        <w:t> </w:t>
      </w:r>
      <w:r>
        <w:rPr>
          <w:w w:val="105"/>
          <w:sz w:val="16"/>
        </w:rPr>
        <w:t>of</w:t>
      </w:r>
      <w:r>
        <w:rPr>
          <w:spacing w:val="-8"/>
          <w:w w:val="105"/>
          <w:sz w:val="16"/>
        </w:rPr>
        <w:t> </w:t>
      </w:r>
      <w:r>
        <w:rPr>
          <w:w w:val="105"/>
          <w:sz w:val="16"/>
        </w:rPr>
        <w:t>the</w:t>
      </w:r>
      <w:r>
        <w:rPr>
          <w:spacing w:val="-8"/>
          <w:w w:val="105"/>
          <w:sz w:val="16"/>
        </w:rPr>
        <w:t> </w:t>
      </w:r>
      <w:r>
        <w:rPr>
          <w:w w:val="105"/>
          <w:sz w:val="16"/>
        </w:rPr>
        <w:t>realized</w:t>
      </w:r>
      <w:r>
        <w:rPr>
          <w:spacing w:val="-8"/>
          <w:w w:val="105"/>
          <w:sz w:val="16"/>
        </w:rPr>
        <w:t> </w:t>
      </w:r>
      <w:r>
        <w:rPr>
          <w:w w:val="105"/>
          <w:sz w:val="16"/>
        </w:rPr>
        <w:t>and</w:t>
      </w:r>
      <w:r>
        <w:rPr>
          <w:spacing w:val="-8"/>
          <w:w w:val="105"/>
          <w:sz w:val="16"/>
        </w:rPr>
        <w:t> </w:t>
      </w:r>
      <w:r>
        <w:rPr>
          <w:w w:val="105"/>
          <w:sz w:val="16"/>
        </w:rPr>
        <w:t>unrealized</w:t>
      </w:r>
      <w:r>
        <w:rPr>
          <w:spacing w:val="-8"/>
          <w:w w:val="105"/>
          <w:sz w:val="16"/>
        </w:rPr>
        <w:t> </w:t>
      </w:r>
      <w:r>
        <w:rPr>
          <w:w w:val="105"/>
          <w:sz w:val="16"/>
        </w:rPr>
        <w:t>gains</w:t>
      </w:r>
      <w:r>
        <w:rPr>
          <w:spacing w:val="-8"/>
          <w:w w:val="105"/>
          <w:sz w:val="16"/>
        </w:rPr>
        <w:t> </w:t>
      </w:r>
      <w:r>
        <w:rPr>
          <w:w w:val="105"/>
          <w:sz w:val="16"/>
        </w:rPr>
        <w:t>and</w:t>
      </w:r>
      <w:r>
        <w:rPr>
          <w:spacing w:val="-8"/>
          <w:w w:val="105"/>
          <w:sz w:val="16"/>
        </w:rPr>
        <w:t> </w:t>
      </w:r>
      <w:r>
        <w:rPr>
          <w:w w:val="105"/>
          <w:sz w:val="16"/>
        </w:rPr>
        <w:t>losses</w:t>
      </w:r>
      <w:r>
        <w:rPr>
          <w:spacing w:val="-8"/>
          <w:w w:val="105"/>
          <w:sz w:val="16"/>
        </w:rPr>
        <w:t> </w:t>
      </w:r>
      <w:r>
        <w:rPr>
          <w:w w:val="105"/>
          <w:sz w:val="16"/>
        </w:rPr>
        <w:t>of</w:t>
      </w:r>
      <w:r>
        <w:rPr>
          <w:spacing w:val="-8"/>
          <w:w w:val="105"/>
          <w:sz w:val="16"/>
        </w:rPr>
        <w:t> </w:t>
      </w:r>
      <w:r>
        <w:rPr>
          <w:w w:val="105"/>
          <w:sz w:val="16"/>
        </w:rPr>
        <w:t>our</w:t>
      </w:r>
      <w:r>
        <w:rPr>
          <w:spacing w:val="-8"/>
          <w:w w:val="105"/>
          <w:sz w:val="16"/>
        </w:rPr>
        <w:t> </w:t>
      </w:r>
      <w:r>
        <w:rPr>
          <w:w w:val="105"/>
          <w:sz w:val="16"/>
        </w:rPr>
        <w:t>Japanese</w:t>
      </w:r>
      <w:r>
        <w:rPr>
          <w:spacing w:val="-8"/>
          <w:w w:val="105"/>
          <w:sz w:val="16"/>
        </w:rPr>
        <w:t> </w:t>
      </w:r>
      <w:r>
        <w:rPr>
          <w:w w:val="105"/>
          <w:sz w:val="16"/>
        </w:rPr>
        <w:t>yen,</w:t>
      </w:r>
      <w:r>
        <w:rPr>
          <w:spacing w:val="-8"/>
          <w:w w:val="105"/>
          <w:sz w:val="16"/>
        </w:rPr>
        <w:t> </w:t>
      </w:r>
      <w:r>
        <w:rPr>
          <w:w w:val="105"/>
          <w:sz w:val="16"/>
        </w:rPr>
        <w:t>South</w:t>
      </w:r>
      <w:r>
        <w:rPr>
          <w:spacing w:val="-8"/>
          <w:w w:val="105"/>
          <w:sz w:val="16"/>
        </w:rPr>
        <w:t> </w:t>
      </w:r>
      <w:r>
        <w:rPr>
          <w:w w:val="105"/>
          <w:sz w:val="16"/>
        </w:rPr>
        <w:t>Korean</w:t>
      </w:r>
      <w:r>
        <w:rPr>
          <w:spacing w:val="-8"/>
          <w:w w:val="105"/>
          <w:sz w:val="16"/>
        </w:rPr>
        <w:t> </w:t>
      </w:r>
      <w:r>
        <w:rPr>
          <w:w w:val="105"/>
          <w:sz w:val="16"/>
        </w:rPr>
        <w:t>won, Chinese</w:t>
      </w:r>
      <w:r>
        <w:rPr>
          <w:spacing w:val="-2"/>
          <w:w w:val="105"/>
          <w:sz w:val="16"/>
        </w:rPr>
        <w:t> </w:t>
      </w:r>
      <w:r>
        <w:rPr>
          <w:w w:val="105"/>
          <w:sz w:val="16"/>
        </w:rPr>
        <w:t>yuan,</w:t>
      </w:r>
      <w:r>
        <w:rPr>
          <w:spacing w:val="-2"/>
          <w:w w:val="105"/>
          <w:sz w:val="16"/>
        </w:rPr>
        <w:t> </w:t>
      </w:r>
      <w:r>
        <w:rPr>
          <w:w w:val="105"/>
          <w:sz w:val="16"/>
        </w:rPr>
        <w:t>euro</w:t>
      </w:r>
      <w:r>
        <w:rPr>
          <w:spacing w:val="-2"/>
          <w:w w:val="105"/>
          <w:sz w:val="16"/>
        </w:rPr>
        <w:t> </w:t>
      </w:r>
      <w:r>
        <w:rPr>
          <w:w w:val="105"/>
          <w:sz w:val="16"/>
        </w:rPr>
        <w:t>and</w:t>
      </w:r>
      <w:r>
        <w:rPr>
          <w:spacing w:val="-2"/>
          <w:w w:val="105"/>
          <w:sz w:val="16"/>
        </w:rPr>
        <w:t> </w:t>
      </w:r>
      <w:r>
        <w:rPr>
          <w:w w:val="105"/>
          <w:sz w:val="16"/>
        </w:rPr>
        <w:t>new</w:t>
      </w:r>
      <w:r>
        <w:rPr>
          <w:spacing w:val="-2"/>
          <w:w w:val="105"/>
          <w:sz w:val="16"/>
        </w:rPr>
        <w:t> </w:t>
      </w:r>
      <w:r>
        <w:rPr>
          <w:w w:val="105"/>
          <w:sz w:val="16"/>
        </w:rPr>
        <w:t>Taiwan</w:t>
      </w:r>
      <w:r>
        <w:rPr>
          <w:spacing w:val="-2"/>
          <w:w w:val="105"/>
          <w:sz w:val="16"/>
        </w:rPr>
        <w:t> </w:t>
      </w:r>
      <w:r>
        <w:rPr>
          <w:w w:val="105"/>
          <w:sz w:val="16"/>
        </w:rPr>
        <w:t>dollar-denominated</w:t>
      </w:r>
      <w:r>
        <w:rPr>
          <w:spacing w:val="-2"/>
          <w:w w:val="105"/>
          <w:sz w:val="16"/>
        </w:rPr>
        <w:t> </w:t>
      </w:r>
      <w:r>
        <w:rPr>
          <w:w w:val="105"/>
          <w:sz w:val="16"/>
        </w:rPr>
        <w:t>foreign</w:t>
      </w:r>
      <w:r>
        <w:rPr>
          <w:spacing w:val="-2"/>
          <w:w w:val="105"/>
          <w:sz w:val="16"/>
        </w:rPr>
        <w:t> </w:t>
      </w:r>
      <w:r>
        <w:rPr>
          <w:w w:val="105"/>
          <w:sz w:val="16"/>
        </w:rPr>
        <w:t>currency</w:t>
      </w:r>
      <w:r>
        <w:rPr>
          <w:spacing w:val="-2"/>
          <w:w w:val="105"/>
          <w:sz w:val="16"/>
        </w:rPr>
        <w:t> </w:t>
      </w:r>
      <w:r>
        <w:rPr>
          <w:w w:val="105"/>
          <w:sz w:val="16"/>
        </w:rPr>
        <w:t>hedges</w:t>
      </w:r>
      <w:r>
        <w:rPr>
          <w:spacing w:val="-2"/>
          <w:w w:val="105"/>
          <w:sz w:val="16"/>
        </w:rPr>
        <w:t> </w:t>
      </w:r>
      <w:r>
        <w:rPr>
          <w:w w:val="105"/>
          <w:sz w:val="16"/>
        </w:rPr>
        <w:t>related</w:t>
      </w:r>
      <w:r>
        <w:rPr>
          <w:spacing w:val="-2"/>
          <w:w w:val="105"/>
          <w:sz w:val="16"/>
        </w:rPr>
        <w:t> </w:t>
      </w:r>
      <w:r>
        <w:rPr>
          <w:w w:val="105"/>
          <w:sz w:val="16"/>
        </w:rPr>
        <w:t>to</w:t>
      </w:r>
      <w:r>
        <w:rPr>
          <w:spacing w:val="-2"/>
          <w:w w:val="105"/>
          <w:sz w:val="16"/>
        </w:rPr>
        <w:t> </w:t>
      </w:r>
      <w:r>
        <w:rPr>
          <w:w w:val="105"/>
          <w:sz w:val="16"/>
        </w:rPr>
        <w:t>translated</w:t>
      </w:r>
      <w:r>
        <w:rPr>
          <w:spacing w:val="-2"/>
          <w:w w:val="105"/>
          <w:sz w:val="16"/>
        </w:rPr>
        <w:t> </w:t>
      </w:r>
      <w:r>
        <w:rPr>
          <w:w w:val="105"/>
          <w:sz w:val="16"/>
        </w:rPr>
        <w:t>earnings,</w:t>
      </w:r>
      <w:r>
        <w:rPr>
          <w:spacing w:val="-2"/>
          <w:w w:val="105"/>
          <w:sz w:val="16"/>
        </w:rPr>
        <w:t> </w:t>
      </w:r>
      <w:r>
        <w:rPr>
          <w:w w:val="105"/>
          <w:sz w:val="16"/>
        </w:rPr>
        <w:t>as</w:t>
      </w:r>
      <w:r>
        <w:rPr>
          <w:spacing w:val="-2"/>
          <w:w w:val="105"/>
          <w:sz w:val="16"/>
        </w:rPr>
        <w:t> </w:t>
      </w:r>
      <w:r>
        <w:rPr>
          <w:w w:val="105"/>
          <w:sz w:val="16"/>
        </w:rPr>
        <w:t>well as</w:t>
      </w:r>
      <w:r>
        <w:rPr>
          <w:spacing w:val="-2"/>
          <w:w w:val="105"/>
          <w:sz w:val="16"/>
        </w:rPr>
        <w:t> </w:t>
      </w:r>
      <w:r>
        <w:rPr>
          <w:w w:val="105"/>
          <w:sz w:val="16"/>
        </w:rPr>
        <w:t>the</w:t>
      </w:r>
      <w:r>
        <w:rPr>
          <w:spacing w:val="-2"/>
          <w:w w:val="105"/>
          <w:sz w:val="16"/>
        </w:rPr>
        <w:t> </w:t>
      </w:r>
      <w:r>
        <w:rPr>
          <w:w w:val="105"/>
          <w:sz w:val="16"/>
        </w:rPr>
        <w:t>unrealized</w:t>
      </w:r>
      <w:r>
        <w:rPr>
          <w:spacing w:val="-2"/>
          <w:w w:val="105"/>
          <w:sz w:val="16"/>
        </w:rPr>
        <w:t> </w:t>
      </w:r>
      <w:r>
        <w:rPr>
          <w:w w:val="105"/>
          <w:sz w:val="16"/>
        </w:rPr>
        <w:t>gains</w:t>
      </w:r>
      <w:r>
        <w:rPr>
          <w:spacing w:val="-2"/>
          <w:w w:val="105"/>
          <w:sz w:val="16"/>
        </w:rPr>
        <w:t> </w:t>
      </w:r>
      <w:r>
        <w:rPr>
          <w:w w:val="105"/>
          <w:sz w:val="16"/>
        </w:rPr>
        <w:t>and losses</w:t>
      </w:r>
      <w:r>
        <w:rPr>
          <w:spacing w:val="-2"/>
          <w:w w:val="105"/>
          <w:sz w:val="16"/>
        </w:rPr>
        <w:t> </w:t>
      </w:r>
      <w:r>
        <w:rPr>
          <w:w w:val="105"/>
          <w:sz w:val="16"/>
        </w:rPr>
        <w:t>of</w:t>
      </w:r>
      <w:r>
        <w:rPr>
          <w:spacing w:val="-2"/>
          <w:w w:val="105"/>
          <w:sz w:val="16"/>
        </w:rPr>
        <w:t> </w:t>
      </w:r>
      <w:r>
        <w:rPr>
          <w:w w:val="105"/>
          <w:sz w:val="16"/>
        </w:rPr>
        <w:t>our British pound-denominated foreign currency hedges related to translated earnings.</w:t>
      </w:r>
    </w:p>
    <w:p>
      <w:pPr>
        <w:pStyle w:val="ListParagraph"/>
        <w:numPr>
          <w:ilvl w:val="0"/>
          <w:numId w:val="15"/>
        </w:numPr>
        <w:tabs>
          <w:tab w:pos="742" w:val="left" w:leader="none"/>
        </w:tabs>
        <w:spacing w:line="183" w:lineRule="exact" w:before="0" w:after="0"/>
        <w:ind w:left="742" w:right="0" w:hanging="586"/>
        <w:jc w:val="left"/>
        <w:rPr>
          <w:sz w:val="16"/>
        </w:rPr>
      </w:pPr>
      <w:r>
        <w:rPr>
          <w:sz w:val="16"/>
          <w:u w:val="single"/>
        </w:rPr>
        <w:t>Acquisition-related</w:t>
      </w:r>
      <w:r>
        <w:rPr>
          <w:spacing w:val="18"/>
          <w:sz w:val="16"/>
          <w:u w:val="single"/>
        </w:rPr>
        <w:t> </w:t>
      </w:r>
      <w:r>
        <w:rPr>
          <w:sz w:val="16"/>
          <w:u w:val="single"/>
        </w:rPr>
        <w:t>costs</w:t>
      </w:r>
      <w:r>
        <w:rPr>
          <w:sz w:val="16"/>
        </w:rPr>
        <w:t>:</w:t>
      </w:r>
      <w:r>
        <w:rPr>
          <w:spacing w:val="19"/>
          <w:sz w:val="16"/>
        </w:rPr>
        <w:t> </w:t>
      </w:r>
      <w:r>
        <w:rPr>
          <w:sz w:val="16"/>
        </w:rPr>
        <w:t>These</w:t>
      </w:r>
      <w:r>
        <w:rPr>
          <w:spacing w:val="19"/>
          <w:sz w:val="16"/>
        </w:rPr>
        <w:t> </w:t>
      </w:r>
      <w:r>
        <w:rPr>
          <w:sz w:val="16"/>
        </w:rPr>
        <w:t>expenses</w:t>
      </w:r>
      <w:r>
        <w:rPr>
          <w:spacing w:val="19"/>
          <w:sz w:val="16"/>
        </w:rPr>
        <w:t> </w:t>
      </w:r>
      <w:r>
        <w:rPr>
          <w:sz w:val="16"/>
        </w:rPr>
        <w:t>include</w:t>
      </w:r>
      <w:r>
        <w:rPr>
          <w:spacing w:val="19"/>
          <w:sz w:val="16"/>
        </w:rPr>
        <w:t> </w:t>
      </w:r>
      <w:r>
        <w:rPr>
          <w:sz w:val="16"/>
        </w:rPr>
        <w:t>intangible</w:t>
      </w:r>
      <w:r>
        <w:rPr>
          <w:spacing w:val="19"/>
          <w:sz w:val="16"/>
        </w:rPr>
        <w:t> </w:t>
      </w:r>
      <w:r>
        <w:rPr>
          <w:sz w:val="16"/>
        </w:rPr>
        <w:t>amortization,</w:t>
      </w:r>
      <w:r>
        <w:rPr>
          <w:spacing w:val="19"/>
          <w:sz w:val="16"/>
        </w:rPr>
        <w:t> </w:t>
      </w:r>
      <w:r>
        <w:rPr>
          <w:sz w:val="16"/>
        </w:rPr>
        <w:t>inventory</w:t>
      </w:r>
      <w:r>
        <w:rPr>
          <w:spacing w:val="19"/>
          <w:sz w:val="16"/>
        </w:rPr>
        <w:t> </w:t>
      </w:r>
      <w:r>
        <w:rPr>
          <w:sz w:val="16"/>
        </w:rPr>
        <w:t>valuation</w:t>
      </w:r>
      <w:r>
        <w:rPr>
          <w:spacing w:val="19"/>
          <w:sz w:val="16"/>
        </w:rPr>
        <w:t> </w:t>
      </w:r>
      <w:r>
        <w:rPr>
          <w:sz w:val="16"/>
        </w:rPr>
        <w:t>adjustments</w:t>
      </w:r>
      <w:r>
        <w:rPr>
          <w:spacing w:val="19"/>
          <w:sz w:val="16"/>
        </w:rPr>
        <w:t> </w:t>
      </w:r>
      <w:r>
        <w:rPr>
          <w:sz w:val="16"/>
        </w:rPr>
        <w:t>and</w:t>
      </w:r>
      <w:r>
        <w:rPr>
          <w:spacing w:val="19"/>
          <w:sz w:val="16"/>
        </w:rPr>
        <w:t> </w:t>
      </w:r>
      <w:r>
        <w:rPr>
          <w:sz w:val="16"/>
        </w:rPr>
        <w:t>external</w:t>
      </w:r>
      <w:r>
        <w:rPr>
          <w:spacing w:val="19"/>
          <w:sz w:val="16"/>
        </w:rPr>
        <w:t> </w:t>
      </w:r>
      <w:r>
        <w:rPr>
          <w:sz w:val="16"/>
        </w:rPr>
        <w:t>acquisition-related</w:t>
      </w:r>
      <w:r>
        <w:rPr>
          <w:spacing w:val="18"/>
          <w:sz w:val="16"/>
        </w:rPr>
        <w:t> </w:t>
      </w:r>
      <w:r>
        <w:rPr>
          <w:sz w:val="16"/>
        </w:rPr>
        <w:t>deal</w:t>
      </w:r>
      <w:r>
        <w:rPr>
          <w:spacing w:val="19"/>
          <w:sz w:val="16"/>
        </w:rPr>
        <w:t> </w:t>
      </w:r>
      <w:r>
        <w:rPr>
          <w:spacing w:val="-2"/>
          <w:sz w:val="16"/>
        </w:rPr>
        <w:t>costs.</w:t>
      </w:r>
    </w:p>
    <w:p>
      <w:pPr>
        <w:pStyle w:val="ListParagraph"/>
        <w:numPr>
          <w:ilvl w:val="0"/>
          <w:numId w:val="15"/>
        </w:numPr>
        <w:tabs>
          <w:tab w:pos="742" w:val="left" w:leader="none"/>
        </w:tabs>
        <w:spacing w:line="266" w:lineRule="auto" w:before="19" w:after="0"/>
        <w:ind w:left="742" w:right="216" w:hanging="586"/>
        <w:jc w:val="left"/>
        <w:rPr>
          <w:sz w:val="16"/>
        </w:rPr>
      </w:pPr>
      <w:r>
        <w:rPr>
          <w:w w:val="105"/>
          <w:sz w:val="16"/>
          <w:u w:val="single"/>
        </w:rPr>
        <w:t>Discrete</w:t>
      </w:r>
      <w:r>
        <w:rPr>
          <w:spacing w:val="-7"/>
          <w:w w:val="105"/>
          <w:sz w:val="16"/>
          <w:u w:val="single"/>
        </w:rPr>
        <w:t> </w:t>
      </w:r>
      <w:r>
        <w:rPr>
          <w:w w:val="105"/>
          <w:sz w:val="16"/>
          <w:u w:val="single"/>
        </w:rPr>
        <w:t>tax</w:t>
      </w:r>
      <w:r>
        <w:rPr>
          <w:spacing w:val="-7"/>
          <w:w w:val="105"/>
          <w:sz w:val="16"/>
          <w:u w:val="single"/>
        </w:rPr>
        <w:t> </w:t>
      </w:r>
      <w:r>
        <w:rPr>
          <w:w w:val="105"/>
          <w:sz w:val="16"/>
          <w:u w:val="single"/>
        </w:rPr>
        <w:t>items</w:t>
      </w:r>
      <w:r>
        <w:rPr>
          <w:spacing w:val="-7"/>
          <w:w w:val="105"/>
          <w:sz w:val="16"/>
          <w:u w:val="single"/>
        </w:rPr>
        <w:t> </w:t>
      </w:r>
      <w:r>
        <w:rPr>
          <w:w w:val="105"/>
          <w:sz w:val="16"/>
          <w:u w:val="single"/>
        </w:rPr>
        <w:t>and</w:t>
      </w:r>
      <w:r>
        <w:rPr>
          <w:spacing w:val="-7"/>
          <w:w w:val="105"/>
          <w:sz w:val="16"/>
          <w:u w:val="single"/>
        </w:rPr>
        <w:t> </w:t>
      </w:r>
      <w:r>
        <w:rPr>
          <w:w w:val="105"/>
          <w:sz w:val="16"/>
          <w:u w:val="single"/>
        </w:rPr>
        <w:t>other</w:t>
      </w:r>
      <w:r>
        <w:rPr>
          <w:spacing w:val="-7"/>
          <w:w w:val="105"/>
          <w:sz w:val="16"/>
          <w:u w:val="single"/>
        </w:rPr>
        <w:t> </w:t>
      </w:r>
      <w:r>
        <w:rPr>
          <w:w w:val="105"/>
          <w:sz w:val="16"/>
          <w:u w:val="single"/>
        </w:rPr>
        <w:t>tax-related</w:t>
      </w:r>
      <w:r>
        <w:rPr>
          <w:spacing w:val="-7"/>
          <w:w w:val="105"/>
          <w:sz w:val="16"/>
          <w:u w:val="single"/>
        </w:rPr>
        <w:t> </w:t>
      </w:r>
      <w:r>
        <w:rPr>
          <w:w w:val="105"/>
          <w:sz w:val="16"/>
          <w:u w:val="single"/>
        </w:rPr>
        <w:t>adjustments</w:t>
      </w:r>
      <w:r>
        <w:rPr>
          <w:w w:val="105"/>
          <w:sz w:val="16"/>
        </w:rPr>
        <w:t>:</w:t>
      </w:r>
      <w:r>
        <w:rPr>
          <w:spacing w:val="-7"/>
          <w:w w:val="105"/>
          <w:sz w:val="16"/>
        </w:rPr>
        <w:t> </w:t>
      </w:r>
      <w:r>
        <w:rPr>
          <w:w w:val="105"/>
          <w:sz w:val="16"/>
        </w:rPr>
        <w:t>For</w:t>
      </w:r>
      <w:r>
        <w:rPr>
          <w:spacing w:val="-7"/>
          <w:w w:val="105"/>
          <w:sz w:val="16"/>
        </w:rPr>
        <w:t> </w:t>
      </w:r>
      <w:r>
        <w:rPr>
          <w:w w:val="105"/>
          <w:sz w:val="16"/>
        </w:rPr>
        <w:t>2021,</w:t>
      </w:r>
      <w:r>
        <w:rPr>
          <w:spacing w:val="-7"/>
          <w:w w:val="105"/>
          <w:sz w:val="16"/>
        </w:rPr>
        <w:t> </w:t>
      </w:r>
      <w:r>
        <w:rPr>
          <w:w w:val="105"/>
          <w:sz w:val="16"/>
        </w:rPr>
        <w:t>2020</w:t>
      </w:r>
      <w:r>
        <w:rPr>
          <w:spacing w:val="-7"/>
          <w:w w:val="105"/>
          <w:sz w:val="16"/>
        </w:rPr>
        <w:t> </w:t>
      </w:r>
      <w:r>
        <w:rPr>
          <w:w w:val="105"/>
          <w:sz w:val="16"/>
        </w:rPr>
        <w:t>and</w:t>
      </w:r>
      <w:r>
        <w:rPr>
          <w:spacing w:val="-7"/>
          <w:w w:val="105"/>
          <w:sz w:val="16"/>
        </w:rPr>
        <w:t> </w:t>
      </w:r>
      <w:r>
        <w:rPr>
          <w:w w:val="105"/>
          <w:sz w:val="16"/>
        </w:rPr>
        <w:t>2019,</w:t>
      </w:r>
      <w:r>
        <w:rPr>
          <w:spacing w:val="-7"/>
          <w:w w:val="105"/>
          <w:sz w:val="16"/>
        </w:rPr>
        <w:t> </w:t>
      </w:r>
      <w:r>
        <w:rPr>
          <w:w w:val="105"/>
          <w:sz w:val="16"/>
        </w:rPr>
        <w:t>these</w:t>
      </w:r>
      <w:r>
        <w:rPr>
          <w:spacing w:val="-7"/>
          <w:w w:val="105"/>
          <w:sz w:val="16"/>
        </w:rPr>
        <w:t> </w:t>
      </w:r>
      <w:r>
        <w:rPr>
          <w:w w:val="105"/>
          <w:sz w:val="16"/>
        </w:rPr>
        <w:t>include</w:t>
      </w:r>
      <w:r>
        <w:rPr>
          <w:spacing w:val="-7"/>
          <w:w w:val="105"/>
          <w:sz w:val="16"/>
        </w:rPr>
        <w:t> </w:t>
      </w:r>
      <w:r>
        <w:rPr>
          <w:w w:val="105"/>
          <w:sz w:val="16"/>
        </w:rPr>
        <w:t>discrete</w:t>
      </w:r>
      <w:r>
        <w:rPr>
          <w:spacing w:val="-7"/>
          <w:w w:val="105"/>
          <w:sz w:val="16"/>
        </w:rPr>
        <w:t> </w:t>
      </w:r>
      <w:r>
        <w:rPr>
          <w:w w:val="105"/>
          <w:sz w:val="16"/>
        </w:rPr>
        <w:t>period</w:t>
      </w:r>
      <w:r>
        <w:rPr>
          <w:spacing w:val="-7"/>
          <w:w w:val="105"/>
          <w:sz w:val="16"/>
        </w:rPr>
        <w:t> </w:t>
      </w:r>
      <w:r>
        <w:rPr>
          <w:w w:val="105"/>
          <w:sz w:val="16"/>
        </w:rPr>
        <w:t>tax</w:t>
      </w:r>
      <w:r>
        <w:rPr>
          <w:spacing w:val="-7"/>
          <w:w w:val="105"/>
          <w:sz w:val="16"/>
        </w:rPr>
        <w:t> </w:t>
      </w:r>
      <w:r>
        <w:rPr>
          <w:w w:val="105"/>
          <w:sz w:val="16"/>
        </w:rPr>
        <w:t>items</w:t>
      </w:r>
      <w:r>
        <w:rPr>
          <w:spacing w:val="-7"/>
          <w:w w:val="105"/>
          <w:sz w:val="16"/>
        </w:rPr>
        <w:t> </w:t>
      </w:r>
      <w:r>
        <w:rPr>
          <w:w w:val="105"/>
          <w:sz w:val="16"/>
        </w:rPr>
        <w:t>such</w:t>
      </w:r>
      <w:r>
        <w:rPr>
          <w:spacing w:val="-6"/>
          <w:w w:val="105"/>
          <w:sz w:val="16"/>
        </w:rPr>
        <w:t> </w:t>
      </w:r>
      <w:r>
        <w:rPr>
          <w:w w:val="105"/>
          <w:sz w:val="16"/>
        </w:rPr>
        <w:t>as</w:t>
      </w:r>
      <w:r>
        <w:rPr>
          <w:spacing w:val="-7"/>
          <w:w w:val="105"/>
          <w:sz w:val="16"/>
        </w:rPr>
        <w:t> </w:t>
      </w:r>
      <w:r>
        <w:rPr>
          <w:w w:val="105"/>
          <w:sz w:val="16"/>
        </w:rPr>
        <w:t>changes</w:t>
      </w:r>
      <w:r>
        <w:rPr>
          <w:spacing w:val="-7"/>
          <w:w w:val="105"/>
          <w:sz w:val="16"/>
        </w:rPr>
        <w:t> </w:t>
      </w:r>
      <w:r>
        <w:rPr>
          <w:w w:val="105"/>
          <w:sz w:val="16"/>
        </w:rPr>
        <w:t>in</w:t>
      </w:r>
      <w:r>
        <w:rPr>
          <w:spacing w:val="-7"/>
          <w:w w:val="105"/>
          <w:sz w:val="16"/>
        </w:rPr>
        <w:t> </w:t>
      </w:r>
      <w:r>
        <w:rPr>
          <w:w w:val="105"/>
          <w:sz w:val="16"/>
        </w:rPr>
        <w:t>tax</w:t>
      </w:r>
      <w:r>
        <w:rPr>
          <w:spacing w:val="-7"/>
          <w:w w:val="105"/>
          <w:sz w:val="16"/>
        </w:rPr>
        <w:t> </w:t>
      </w:r>
      <w:r>
        <w:rPr>
          <w:w w:val="105"/>
          <w:sz w:val="16"/>
        </w:rPr>
        <w:t>law,</w:t>
      </w:r>
      <w:r>
        <w:rPr>
          <w:spacing w:val="-7"/>
          <w:w w:val="105"/>
          <w:sz w:val="16"/>
        </w:rPr>
        <w:t> </w:t>
      </w:r>
      <w:r>
        <w:rPr>
          <w:w w:val="105"/>
          <w:sz w:val="16"/>
        </w:rPr>
        <w:t>the</w:t>
      </w:r>
      <w:r>
        <w:rPr>
          <w:spacing w:val="-7"/>
          <w:w w:val="105"/>
          <w:sz w:val="16"/>
        </w:rPr>
        <w:t> </w:t>
      </w:r>
      <w:r>
        <w:rPr>
          <w:w w:val="105"/>
          <w:sz w:val="16"/>
        </w:rPr>
        <w:t>impact</w:t>
      </w:r>
      <w:r>
        <w:rPr>
          <w:spacing w:val="-7"/>
          <w:w w:val="105"/>
          <w:sz w:val="16"/>
        </w:rPr>
        <w:t> </w:t>
      </w:r>
      <w:r>
        <w:rPr>
          <w:w w:val="105"/>
          <w:sz w:val="16"/>
        </w:rPr>
        <w:t>of</w:t>
      </w:r>
      <w:r>
        <w:rPr>
          <w:spacing w:val="-7"/>
          <w:w w:val="105"/>
          <w:sz w:val="16"/>
        </w:rPr>
        <w:t> </w:t>
      </w:r>
      <w:r>
        <w:rPr>
          <w:w w:val="105"/>
          <w:sz w:val="16"/>
        </w:rPr>
        <w:t>tax audits,</w:t>
      </w:r>
      <w:r>
        <w:rPr>
          <w:spacing w:val="-8"/>
          <w:w w:val="105"/>
          <w:sz w:val="16"/>
        </w:rPr>
        <w:t> </w:t>
      </w:r>
      <w:r>
        <w:rPr>
          <w:w w:val="105"/>
          <w:sz w:val="16"/>
        </w:rPr>
        <w:t>changes</w:t>
      </w:r>
      <w:r>
        <w:rPr>
          <w:spacing w:val="-8"/>
          <w:w w:val="105"/>
          <w:sz w:val="16"/>
        </w:rPr>
        <w:t> </w:t>
      </w:r>
      <w:r>
        <w:rPr>
          <w:w w:val="105"/>
          <w:sz w:val="16"/>
        </w:rPr>
        <w:t>in</w:t>
      </w:r>
      <w:r>
        <w:rPr>
          <w:spacing w:val="-8"/>
          <w:w w:val="105"/>
          <w:sz w:val="16"/>
        </w:rPr>
        <w:t> </w:t>
      </w:r>
      <w:r>
        <w:rPr>
          <w:w w:val="105"/>
          <w:sz w:val="16"/>
        </w:rPr>
        <w:t>tax</w:t>
      </w:r>
      <w:r>
        <w:rPr>
          <w:spacing w:val="-8"/>
          <w:w w:val="105"/>
          <w:sz w:val="16"/>
        </w:rPr>
        <w:t> </w:t>
      </w:r>
      <w:r>
        <w:rPr>
          <w:w w:val="105"/>
          <w:sz w:val="16"/>
        </w:rPr>
        <w:t>reserves,</w:t>
      </w:r>
      <w:r>
        <w:rPr>
          <w:spacing w:val="-8"/>
          <w:w w:val="105"/>
          <w:sz w:val="16"/>
        </w:rPr>
        <w:t> </w:t>
      </w:r>
      <w:r>
        <w:rPr>
          <w:w w:val="105"/>
          <w:sz w:val="16"/>
        </w:rPr>
        <w:t>changes</w:t>
      </w:r>
      <w:r>
        <w:rPr>
          <w:spacing w:val="-8"/>
          <w:w w:val="105"/>
          <w:sz w:val="16"/>
        </w:rPr>
        <w:t> </w:t>
      </w:r>
      <w:r>
        <w:rPr>
          <w:w w:val="105"/>
          <w:sz w:val="16"/>
        </w:rPr>
        <w:t>in</w:t>
      </w:r>
      <w:r>
        <w:rPr>
          <w:spacing w:val="-8"/>
          <w:w w:val="105"/>
          <w:sz w:val="16"/>
        </w:rPr>
        <w:t> </w:t>
      </w:r>
      <w:r>
        <w:rPr>
          <w:w w:val="105"/>
          <w:sz w:val="16"/>
        </w:rPr>
        <w:t>judgement</w:t>
      </w:r>
      <w:r>
        <w:rPr>
          <w:spacing w:val="-8"/>
          <w:w w:val="105"/>
          <w:sz w:val="16"/>
        </w:rPr>
        <w:t> </w:t>
      </w:r>
      <w:r>
        <w:rPr>
          <w:w w:val="105"/>
          <w:sz w:val="16"/>
        </w:rPr>
        <w:t>about</w:t>
      </w:r>
      <w:r>
        <w:rPr>
          <w:spacing w:val="-6"/>
          <w:w w:val="105"/>
          <w:sz w:val="16"/>
        </w:rPr>
        <w:t> </w:t>
      </w:r>
      <w:r>
        <w:rPr>
          <w:w w:val="105"/>
          <w:sz w:val="16"/>
        </w:rPr>
        <w:t>the</w:t>
      </w:r>
      <w:r>
        <w:rPr>
          <w:spacing w:val="-8"/>
          <w:w w:val="105"/>
          <w:sz w:val="16"/>
        </w:rPr>
        <w:t> </w:t>
      </w:r>
      <w:r>
        <w:rPr>
          <w:w w:val="105"/>
          <w:sz w:val="16"/>
        </w:rPr>
        <w:t>realizability</w:t>
      </w:r>
      <w:r>
        <w:rPr>
          <w:spacing w:val="-8"/>
          <w:w w:val="105"/>
          <w:sz w:val="16"/>
        </w:rPr>
        <w:t> </w:t>
      </w:r>
      <w:r>
        <w:rPr>
          <w:w w:val="105"/>
          <w:sz w:val="16"/>
        </w:rPr>
        <w:t>of</w:t>
      </w:r>
      <w:r>
        <w:rPr>
          <w:spacing w:val="-8"/>
          <w:w w:val="105"/>
          <w:sz w:val="16"/>
        </w:rPr>
        <w:t> </w:t>
      </w:r>
      <w:r>
        <w:rPr>
          <w:w w:val="105"/>
          <w:sz w:val="16"/>
        </w:rPr>
        <w:t>certain</w:t>
      </w:r>
      <w:r>
        <w:rPr>
          <w:spacing w:val="-8"/>
          <w:w w:val="105"/>
          <w:sz w:val="16"/>
        </w:rPr>
        <w:t> </w:t>
      </w:r>
      <w:r>
        <w:rPr>
          <w:w w:val="105"/>
          <w:sz w:val="16"/>
        </w:rPr>
        <w:t>deferred</w:t>
      </w:r>
      <w:r>
        <w:rPr>
          <w:spacing w:val="-6"/>
          <w:w w:val="105"/>
          <w:sz w:val="16"/>
        </w:rPr>
        <w:t> </w:t>
      </w:r>
      <w:r>
        <w:rPr>
          <w:w w:val="105"/>
          <w:sz w:val="16"/>
        </w:rPr>
        <w:t>tax</w:t>
      </w:r>
      <w:r>
        <w:rPr>
          <w:spacing w:val="-8"/>
          <w:w w:val="105"/>
          <w:sz w:val="16"/>
        </w:rPr>
        <w:t> </w:t>
      </w:r>
      <w:r>
        <w:rPr>
          <w:w w:val="105"/>
          <w:sz w:val="16"/>
        </w:rPr>
        <w:t>assets,</w:t>
      </w:r>
      <w:r>
        <w:rPr>
          <w:spacing w:val="-8"/>
          <w:w w:val="105"/>
          <w:sz w:val="16"/>
        </w:rPr>
        <w:t> </w:t>
      </w:r>
      <w:r>
        <w:rPr>
          <w:w w:val="105"/>
          <w:sz w:val="16"/>
        </w:rPr>
        <w:t>net</w:t>
      </w:r>
      <w:r>
        <w:rPr>
          <w:spacing w:val="-8"/>
          <w:w w:val="105"/>
          <w:sz w:val="16"/>
        </w:rPr>
        <w:t> </w:t>
      </w:r>
      <w:r>
        <w:rPr>
          <w:w w:val="105"/>
          <w:sz w:val="16"/>
        </w:rPr>
        <w:t>Subpart</w:t>
      </w:r>
      <w:r>
        <w:rPr>
          <w:spacing w:val="-8"/>
          <w:w w:val="105"/>
          <w:sz w:val="16"/>
        </w:rPr>
        <w:t> </w:t>
      </w:r>
      <w:r>
        <w:rPr>
          <w:w w:val="105"/>
          <w:sz w:val="16"/>
        </w:rPr>
        <w:t>F</w:t>
      </w:r>
      <w:r>
        <w:rPr>
          <w:spacing w:val="-8"/>
          <w:w w:val="105"/>
          <w:sz w:val="16"/>
        </w:rPr>
        <w:t> </w:t>
      </w:r>
      <w:r>
        <w:rPr>
          <w:w w:val="105"/>
          <w:sz w:val="16"/>
        </w:rPr>
        <w:t>income,</w:t>
      </w:r>
      <w:r>
        <w:rPr>
          <w:spacing w:val="-8"/>
          <w:w w:val="105"/>
          <w:sz w:val="16"/>
        </w:rPr>
        <w:t> </w:t>
      </w:r>
      <w:r>
        <w:rPr>
          <w:w w:val="105"/>
          <w:sz w:val="16"/>
        </w:rPr>
        <w:t>and</w:t>
      </w:r>
      <w:r>
        <w:rPr>
          <w:spacing w:val="-8"/>
          <w:w w:val="105"/>
          <w:sz w:val="16"/>
        </w:rPr>
        <w:t> </w:t>
      </w:r>
      <w:r>
        <w:rPr>
          <w:w w:val="105"/>
          <w:sz w:val="16"/>
        </w:rPr>
        <w:t>other</w:t>
      </w:r>
      <w:r>
        <w:rPr>
          <w:spacing w:val="-8"/>
          <w:w w:val="105"/>
          <w:sz w:val="16"/>
        </w:rPr>
        <w:t> </w:t>
      </w:r>
      <w:r>
        <w:rPr>
          <w:w w:val="105"/>
          <w:sz w:val="16"/>
        </w:rPr>
        <w:t>tax-related</w:t>
      </w:r>
      <w:r>
        <w:rPr>
          <w:spacing w:val="-8"/>
          <w:w w:val="105"/>
          <w:sz w:val="16"/>
        </w:rPr>
        <w:t> </w:t>
      </w:r>
      <w:r>
        <w:rPr>
          <w:w w:val="105"/>
          <w:sz w:val="16"/>
        </w:rPr>
        <w:t>adjustments.</w:t>
      </w:r>
    </w:p>
    <w:p>
      <w:pPr>
        <w:pStyle w:val="ListParagraph"/>
        <w:numPr>
          <w:ilvl w:val="0"/>
          <w:numId w:val="15"/>
        </w:numPr>
        <w:tabs>
          <w:tab w:pos="742" w:val="left" w:leader="none"/>
        </w:tabs>
        <w:spacing w:line="266" w:lineRule="auto" w:before="0" w:after="0"/>
        <w:ind w:left="742" w:right="124" w:hanging="586"/>
        <w:jc w:val="left"/>
        <w:rPr>
          <w:sz w:val="16"/>
        </w:rPr>
      </w:pPr>
      <w:r>
        <w:rPr>
          <w:w w:val="105"/>
          <w:sz w:val="16"/>
          <w:u w:val="single"/>
        </w:rPr>
        <w:t>Pension</w:t>
      </w:r>
      <w:r>
        <w:rPr>
          <w:spacing w:val="-10"/>
          <w:w w:val="105"/>
          <w:sz w:val="16"/>
          <w:u w:val="single"/>
        </w:rPr>
        <w:t> </w:t>
      </w:r>
      <w:r>
        <w:rPr>
          <w:w w:val="105"/>
          <w:sz w:val="16"/>
          <w:u w:val="single"/>
        </w:rPr>
        <w:t>mark-to-market</w:t>
      </w:r>
      <w:r>
        <w:rPr>
          <w:spacing w:val="-9"/>
          <w:w w:val="105"/>
          <w:sz w:val="16"/>
          <w:u w:val="single"/>
        </w:rPr>
        <w:t> </w:t>
      </w:r>
      <w:r>
        <w:rPr>
          <w:w w:val="105"/>
          <w:sz w:val="16"/>
          <w:u w:val="single"/>
        </w:rPr>
        <w:t>adjustment</w:t>
      </w:r>
      <w:r>
        <w:rPr>
          <w:w w:val="105"/>
          <w:sz w:val="16"/>
        </w:rPr>
        <w:t>:</w:t>
      </w:r>
      <w:r>
        <w:rPr>
          <w:spacing w:val="-10"/>
          <w:w w:val="105"/>
          <w:sz w:val="16"/>
        </w:rPr>
        <w:t> </w:t>
      </w:r>
      <w:r>
        <w:rPr>
          <w:w w:val="105"/>
          <w:sz w:val="16"/>
        </w:rPr>
        <w:t>Defined</w:t>
      </w:r>
      <w:r>
        <w:rPr>
          <w:spacing w:val="-10"/>
          <w:w w:val="105"/>
          <w:sz w:val="16"/>
        </w:rPr>
        <w:t> </w:t>
      </w:r>
      <w:r>
        <w:rPr>
          <w:w w:val="105"/>
          <w:sz w:val="16"/>
        </w:rPr>
        <w:t>benefit</w:t>
      </w:r>
      <w:r>
        <w:rPr>
          <w:spacing w:val="-10"/>
          <w:w w:val="105"/>
          <w:sz w:val="16"/>
        </w:rPr>
        <w:t> </w:t>
      </w:r>
      <w:r>
        <w:rPr>
          <w:w w:val="105"/>
          <w:sz w:val="16"/>
        </w:rPr>
        <w:t>pension</w:t>
      </w:r>
      <w:r>
        <w:rPr>
          <w:spacing w:val="-10"/>
          <w:w w:val="105"/>
          <w:sz w:val="16"/>
        </w:rPr>
        <w:t> </w:t>
      </w:r>
      <w:r>
        <w:rPr>
          <w:w w:val="105"/>
          <w:sz w:val="16"/>
        </w:rPr>
        <w:t>mark-to-market</w:t>
      </w:r>
      <w:r>
        <w:rPr>
          <w:spacing w:val="-10"/>
          <w:w w:val="105"/>
          <w:sz w:val="16"/>
        </w:rPr>
        <w:t> </w:t>
      </w:r>
      <w:r>
        <w:rPr>
          <w:w w:val="105"/>
          <w:sz w:val="16"/>
        </w:rPr>
        <w:t>gains</w:t>
      </w:r>
      <w:r>
        <w:rPr>
          <w:spacing w:val="-10"/>
          <w:w w:val="105"/>
          <w:sz w:val="16"/>
        </w:rPr>
        <w:t> </w:t>
      </w:r>
      <w:r>
        <w:rPr>
          <w:w w:val="105"/>
          <w:sz w:val="16"/>
        </w:rPr>
        <w:t>and</w:t>
      </w:r>
      <w:r>
        <w:rPr>
          <w:spacing w:val="-9"/>
          <w:w w:val="105"/>
          <w:sz w:val="16"/>
        </w:rPr>
        <w:t> </w:t>
      </w:r>
      <w:r>
        <w:rPr>
          <w:w w:val="105"/>
          <w:sz w:val="16"/>
        </w:rPr>
        <w:t>losses,</w:t>
      </w:r>
      <w:r>
        <w:rPr>
          <w:spacing w:val="-10"/>
          <w:w w:val="105"/>
          <w:sz w:val="16"/>
        </w:rPr>
        <w:t> </w:t>
      </w:r>
      <w:r>
        <w:rPr>
          <w:w w:val="105"/>
          <w:sz w:val="16"/>
        </w:rPr>
        <w:t>which</w:t>
      </w:r>
      <w:r>
        <w:rPr>
          <w:spacing w:val="-10"/>
          <w:w w:val="105"/>
          <w:sz w:val="16"/>
        </w:rPr>
        <w:t> </w:t>
      </w:r>
      <w:r>
        <w:rPr>
          <w:w w:val="105"/>
          <w:sz w:val="16"/>
        </w:rPr>
        <w:t>arise</w:t>
      </w:r>
      <w:r>
        <w:rPr>
          <w:spacing w:val="-10"/>
          <w:w w:val="105"/>
          <w:sz w:val="16"/>
        </w:rPr>
        <w:t> </w:t>
      </w:r>
      <w:r>
        <w:rPr>
          <w:w w:val="105"/>
          <w:sz w:val="16"/>
        </w:rPr>
        <w:t>from</w:t>
      </w:r>
      <w:r>
        <w:rPr>
          <w:spacing w:val="-10"/>
          <w:w w:val="105"/>
          <w:sz w:val="16"/>
        </w:rPr>
        <w:t> </w:t>
      </w:r>
      <w:r>
        <w:rPr>
          <w:w w:val="105"/>
          <w:sz w:val="16"/>
        </w:rPr>
        <w:t>changes</w:t>
      </w:r>
      <w:r>
        <w:rPr>
          <w:spacing w:val="-9"/>
          <w:w w:val="105"/>
          <w:sz w:val="16"/>
        </w:rPr>
        <w:t> </w:t>
      </w:r>
      <w:r>
        <w:rPr>
          <w:w w:val="105"/>
          <w:sz w:val="16"/>
        </w:rPr>
        <w:t>in</w:t>
      </w:r>
      <w:r>
        <w:rPr>
          <w:spacing w:val="-10"/>
          <w:w w:val="105"/>
          <w:sz w:val="16"/>
        </w:rPr>
        <w:t> </w:t>
      </w:r>
      <w:r>
        <w:rPr>
          <w:w w:val="105"/>
          <w:sz w:val="16"/>
        </w:rPr>
        <w:t>actuarial</w:t>
      </w:r>
      <w:r>
        <w:rPr>
          <w:spacing w:val="-10"/>
          <w:w w:val="105"/>
          <w:sz w:val="16"/>
        </w:rPr>
        <w:t> </w:t>
      </w:r>
      <w:r>
        <w:rPr>
          <w:w w:val="105"/>
          <w:sz w:val="16"/>
        </w:rPr>
        <w:t>assumptions</w:t>
      </w:r>
      <w:r>
        <w:rPr>
          <w:spacing w:val="-9"/>
          <w:w w:val="105"/>
          <w:sz w:val="16"/>
        </w:rPr>
        <w:t> </w:t>
      </w:r>
      <w:r>
        <w:rPr>
          <w:w w:val="105"/>
          <w:sz w:val="16"/>
        </w:rPr>
        <w:t>and</w:t>
      </w:r>
      <w:r>
        <w:rPr>
          <w:spacing w:val="-10"/>
          <w:w w:val="105"/>
          <w:sz w:val="16"/>
        </w:rPr>
        <w:t> </w:t>
      </w:r>
      <w:r>
        <w:rPr>
          <w:w w:val="105"/>
          <w:sz w:val="16"/>
        </w:rPr>
        <w:t>the</w:t>
      </w:r>
      <w:r>
        <w:rPr>
          <w:spacing w:val="-10"/>
          <w:w w:val="105"/>
          <w:sz w:val="16"/>
        </w:rPr>
        <w:t> </w:t>
      </w:r>
      <w:r>
        <w:rPr>
          <w:w w:val="105"/>
          <w:sz w:val="16"/>
        </w:rPr>
        <w:t>difference between actual and expected returns on plan assets and discount rates.</w:t>
      </w:r>
    </w:p>
    <w:p>
      <w:pPr>
        <w:pStyle w:val="ListParagraph"/>
        <w:numPr>
          <w:ilvl w:val="0"/>
          <w:numId w:val="15"/>
        </w:numPr>
        <w:tabs>
          <w:tab w:pos="742" w:val="left" w:leader="none"/>
        </w:tabs>
        <w:spacing w:line="266" w:lineRule="auto" w:before="0" w:after="0"/>
        <w:ind w:left="742" w:right="507" w:hanging="586"/>
        <w:jc w:val="left"/>
        <w:rPr>
          <w:sz w:val="16"/>
        </w:rPr>
      </w:pPr>
      <w:r>
        <w:rPr>
          <w:w w:val="105"/>
          <w:sz w:val="16"/>
          <w:u w:val="single"/>
        </w:rPr>
        <w:t>Restructuring,</w:t>
      </w:r>
      <w:r>
        <w:rPr>
          <w:spacing w:val="-8"/>
          <w:w w:val="105"/>
          <w:sz w:val="16"/>
          <w:u w:val="single"/>
        </w:rPr>
        <w:t> </w:t>
      </w:r>
      <w:r>
        <w:rPr>
          <w:w w:val="105"/>
          <w:sz w:val="16"/>
          <w:u w:val="single"/>
        </w:rPr>
        <w:t>impairment</w:t>
      </w:r>
      <w:r>
        <w:rPr>
          <w:spacing w:val="-8"/>
          <w:w w:val="105"/>
          <w:sz w:val="16"/>
          <w:u w:val="single"/>
        </w:rPr>
        <w:t> </w:t>
      </w:r>
      <w:r>
        <w:rPr>
          <w:w w:val="105"/>
          <w:sz w:val="16"/>
          <w:u w:val="single"/>
        </w:rPr>
        <w:t>and</w:t>
      </w:r>
      <w:r>
        <w:rPr>
          <w:spacing w:val="-8"/>
          <w:w w:val="105"/>
          <w:sz w:val="16"/>
          <w:u w:val="single"/>
        </w:rPr>
        <w:t> </w:t>
      </w:r>
      <w:r>
        <w:rPr>
          <w:w w:val="105"/>
          <w:sz w:val="16"/>
          <w:u w:val="single"/>
        </w:rPr>
        <w:t>other</w:t>
      </w:r>
      <w:r>
        <w:rPr>
          <w:spacing w:val="-8"/>
          <w:w w:val="105"/>
          <w:sz w:val="16"/>
          <w:u w:val="single"/>
        </w:rPr>
        <w:t> </w:t>
      </w:r>
      <w:r>
        <w:rPr>
          <w:w w:val="105"/>
          <w:sz w:val="16"/>
          <w:u w:val="single"/>
        </w:rPr>
        <w:t>charges</w:t>
      </w:r>
      <w:r>
        <w:rPr>
          <w:spacing w:val="-8"/>
          <w:w w:val="105"/>
          <w:sz w:val="16"/>
          <w:u w:val="single"/>
        </w:rPr>
        <w:t> </w:t>
      </w:r>
      <w:r>
        <w:rPr>
          <w:w w:val="105"/>
          <w:sz w:val="16"/>
          <w:u w:val="single"/>
        </w:rPr>
        <w:t>and</w:t>
      </w:r>
      <w:r>
        <w:rPr>
          <w:spacing w:val="-8"/>
          <w:w w:val="105"/>
          <w:sz w:val="16"/>
          <w:u w:val="single"/>
        </w:rPr>
        <w:t> </w:t>
      </w:r>
      <w:r>
        <w:rPr>
          <w:w w:val="105"/>
          <w:sz w:val="16"/>
          <w:u w:val="single"/>
        </w:rPr>
        <w:t>credits</w:t>
      </w:r>
      <w:r>
        <w:rPr>
          <w:w w:val="105"/>
          <w:sz w:val="16"/>
        </w:rPr>
        <w:t>:</w:t>
      </w:r>
      <w:r>
        <w:rPr>
          <w:spacing w:val="-8"/>
          <w:w w:val="105"/>
          <w:sz w:val="16"/>
        </w:rPr>
        <w:t> </w:t>
      </w:r>
      <w:r>
        <w:rPr>
          <w:w w:val="105"/>
          <w:sz w:val="16"/>
        </w:rPr>
        <w:t>This</w:t>
      </w:r>
      <w:r>
        <w:rPr>
          <w:spacing w:val="-8"/>
          <w:w w:val="105"/>
          <w:sz w:val="16"/>
        </w:rPr>
        <w:t> </w:t>
      </w:r>
      <w:r>
        <w:rPr>
          <w:w w:val="105"/>
          <w:sz w:val="16"/>
        </w:rPr>
        <w:t>amount</w:t>
      </w:r>
      <w:r>
        <w:rPr>
          <w:spacing w:val="-8"/>
          <w:w w:val="105"/>
          <w:sz w:val="16"/>
        </w:rPr>
        <w:t> </w:t>
      </w:r>
      <w:r>
        <w:rPr>
          <w:w w:val="105"/>
          <w:sz w:val="16"/>
        </w:rPr>
        <w:t>includes</w:t>
      </w:r>
      <w:r>
        <w:rPr>
          <w:spacing w:val="-8"/>
          <w:w w:val="105"/>
          <w:sz w:val="16"/>
        </w:rPr>
        <w:t> </w:t>
      </w:r>
      <w:r>
        <w:rPr>
          <w:w w:val="105"/>
          <w:sz w:val="16"/>
        </w:rPr>
        <w:t>restructuring,</w:t>
      </w:r>
      <w:r>
        <w:rPr>
          <w:spacing w:val="-8"/>
          <w:w w:val="105"/>
          <w:sz w:val="16"/>
        </w:rPr>
        <w:t> </w:t>
      </w:r>
      <w:r>
        <w:rPr>
          <w:w w:val="105"/>
          <w:sz w:val="16"/>
        </w:rPr>
        <w:t>impairment</w:t>
      </w:r>
      <w:r>
        <w:rPr>
          <w:spacing w:val="-6"/>
          <w:w w:val="105"/>
          <w:sz w:val="16"/>
        </w:rPr>
        <w:t> </w:t>
      </w:r>
      <w:r>
        <w:rPr>
          <w:w w:val="105"/>
          <w:sz w:val="16"/>
        </w:rPr>
        <w:t>losses</w:t>
      </w:r>
      <w:r>
        <w:rPr>
          <w:spacing w:val="-8"/>
          <w:w w:val="105"/>
          <w:sz w:val="16"/>
        </w:rPr>
        <w:t> </w:t>
      </w:r>
      <w:r>
        <w:rPr>
          <w:w w:val="105"/>
          <w:sz w:val="16"/>
        </w:rPr>
        <w:t>and</w:t>
      </w:r>
      <w:r>
        <w:rPr>
          <w:spacing w:val="-8"/>
          <w:w w:val="105"/>
          <w:sz w:val="16"/>
        </w:rPr>
        <w:t> </w:t>
      </w:r>
      <w:r>
        <w:rPr>
          <w:w w:val="105"/>
          <w:sz w:val="16"/>
        </w:rPr>
        <w:t>other</w:t>
      </w:r>
      <w:r>
        <w:rPr>
          <w:spacing w:val="-8"/>
          <w:w w:val="105"/>
          <w:sz w:val="16"/>
        </w:rPr>
        <w:t> </w:t>
      </w:r>
      <w:r>
        <w:rPr>
          <w:w w:val="105"/>
          <w:sz w:val="16"/>
        </w:rPr>
        <w:t>charges</w:t>
      </w:r>
      <w:r>
        <w:rPr>
          <w:spacing w:val="-8"/>
          <w:w w:val="105"/>
          <w:sz w:val="16"/>
        </w:rPr>
        <w:t> </w:t>
      </w:r>
      <w:r>
        <w:rPr>
          <w:w w:val="105"/>
          <w:sz w:val="16"/>
        </w:rPr>
        <w:t>and</w:t>
      </w:r>
      <w:r>
        <w:rPr>
          <w:spacing w:val="-8"/>
          <w:w w:val="105"/>
          <w:sz w:val="16"/>
        </w:rPr>
        <w:t> </w:t>
      </w:r>
      <w:r>
        <w:rPr>
          <w:w w:val="105"/>
          <w:sz w:val="16"/>
        </w:rPr>
        <w:t>credits,</w:t>
      </w:r>
      <w:r>
        <w:rPr>
          <w:spacing w:val="-8"/>
          <w:w w:val="105"/>
          <w:sz w:val="16"/>
        </w:rPr>
        <w:t> </w:t>
      </w:r>
      <w:r>
        <w:rPr>
          <w:w w:val="105"/>
          <w:sz w:val="16"/>
        </w:rPr>
        <w:t>as</w:t>
      </w:r>
      <w:r>
        <w:rPr>
          <w:spacing w:val="-8"/>
          <w:w w:val="105"/>
          <w:sz w:val="16"/>
        </w:rPr>
        <w:t> </w:t>
      </w:r>
      <w:r>
        <w:rPr>
          <w:w w:val="105"/>
          <w:sz w:val="16"/>
        </w:rPr>
        <w:t>well</w:t>
      </w:r>
      <w:r>
        <w:rPr>
          <w:spacing w:val="-8"/>
          <w:w w:val="105"/>
          <w:sz w:val="16"/>
        </w:rPr>
        <w:t> </w:t>
      </w:r>
      <w:r>
        <w:rPr>
          <w:w w:val="105"/>
          <w:sz w:val="16"/>
        </w:rPr>
        <w:t>as</w:t>
      </w:r>
      <w:r>
        <w:rPr>
          <w:spacing w:val="-8"/>
          <w:w w:val="105"/>
          <w:sz w:val="16"/>
        </w:rPr>
        <w:t> </w:t>
      </w:r>
      <w:r>
        <w:rPr>
          <w:w w:val="105"/>
          <w:sz w:val="16"/>
        </w:rPr>
        <w:t>other expenses,</w:t>
      </w:r>
      <w:r>
        <w:rPr>
          <w:spacing w:val="-1"/>
          <w:w w:val="105"/>
          <w:sz w:val="16"/>
        </w:rPr>
        <w:t> </w:t>
      </w:r>
      <w:r>
        <w:rPr>
          <w:w w:val="105"/>
          <w:sz w:val="16"/>
        </w:rPr>
        <w:t>primarily</w:t>
      </w:r>
      <w:r>
        <w:rPr>
          <w:spacing w:val="-1"/>
          <w:w w:val="105"/>
          <w:sz w:val="16"/>
        </w:rPr>
        <w:t> </w:t>
      </w:r>
      <w:r>
        <w:rPr>
          <w:w w:val="105"/>
          <w:sz w:val="16"/>
        </w:rPr>
        <w:t>accelerated</w:t>
      </w:r>
      <w:r>
        <w:rPr>
          <w:spacing w:val="-3"/>
          <w:w w:val="105"/>
          <w:sz w:val="16"/>
        </w:rPr>
        <w:t> </w:t>
      </w:r>
      <w:r>
        <w:rPr>
          <w:w w:val="105"/>
          <w:sz w:val="16"/>
        </w:rPr>
        <w:t>depreciation</w:t>
      </w:r>
      <w:r>
        <w:rPr>
          <w:spacing w:val="-1"/>
          <w:w w:val="105"/>
          <w:sz w:val="16"/>
        </w:rPr>
        <w:t> </w:t>
      </w:r>
      <w:r>
        <w:rPr>
          <w:w w:val="105"/>
          <w:sz w:val="16"/>
        </w:rPr>
        <w:t>and</w:t>
      </w:r>
      <w:r>
        <w:rPr>
          <w:spacing w:val="-1"/>
          <w:w w:val="105"/>
          <w:sz w:val="16"/>
        </w:rPr>
        <w:t> </w:t>
      </w:r>
      <w:r>
        <w:rPr>
          <w:w w:val="105"/>
          <w:sz w:val="16"/>
        </w:rPr>
        <w:t>asset</w:t>
      </w:r>
      <w:r>
        <w:rPr>
          <w:spacing w:val="-1"/>
          <w:w w:val="105"/>
          <w:sz w:val="16"/>
        </w:rPr>
        <w:t> </w:t>
      </w:r>
      <w:r>
        <w:rPr>
          <w:w w:val="105"/>
          <w:sz w:val="16"/>
        </w:rPr>
        <w:t>write-offs,</w:t>
      </w:r>
      <w:r>
        <w:rPr>
          <w:spacing w:val="-1"/>
          <w:w w:val="105"/>
          <w:sz w:val="16"/>
        </w:rPr>
        <w:t> </w:t>
      </w:r>
      <w:r>
        <w:rPr>
          <w:w w:val="105"/>
          <w:sz w:val="16"/>
        </w:rPr>
        <w:t>which</w:t>
      </w:r>
      <w:r>
        <w:rPr>
          <w:spacing w:val="-1"/>
          <w:w w:val="105"/>
          <w:sz w:val="16"/>
        </w:rPr>
        <w:t> </w:t>
      </w:r>
      <w:r>
        <w:rPr>
          <w:w w:val="105"/>
          <w:sz w:val="16"/>
        </w:rPr>
        <w:t>are</w:t>
      </w:r>
      <w:r>
        <w:rPr>
          <w:spacing w:val="-1"/>
          <w:w w:val="105"/>
          <w:sz w:val="16"/>
        </w:rPr>
        <w:t> </w:t>
      </w:r>
      <w:r>
        <w:rPr>
          <w:w w:val="105"/>
          <w:sz w:val="16"/>
        </w:rPr>
        <w:t>not</w:t>
      </w:r>
      <w:r>
        <w:rPr>
          <w:spacing w:val="-1"/>
          <w:w w:val="105"/>
          <w:sz w:val="16"/>
        </w:rPr>
        <w:t> </w:t>
      </w:r>
      <w:r>
        <w:rPr>
          <w:w w:val="105"/>
          <w:sz w:val="16"/>
        </w:rPr>
        <w:t>related</w:t>
      </w:r>
      <w:r>
        <w:rPr>
          <w:spacing w:val="-1"/>
          <w:w w:val="105"/>
          <w:sz w:val="16"/>
        </w:rPr>
        <w:t> </w:t>
      </w:r>
      <w:r>
        <w:rPr>
          <w:w w:val="105"/>
          <w:sz w:val="16"/>
        </w:rPr>
        <w:t>to</w:t>
      </w:r>
      <w:r>
        <w:rPr>
          <w:spacing w:val="-1"/>
          <w:w w:val="105"/>
          <w:sz w:val="16"/>
        </w:rPr>
        <w:t> </w:t>
      </w:r>
      <w:r>
        <w:rPr>
          <w:w w:val="105"/>
          <w:sz w:val="16"/>
        </w:rPr>
        <w:t>continuing</w:t>
      </w:r>
      <w:r>
        <w:rPr>
          <w:spacing w:val="-1"/>
          <w:w w:val="105"/>
          <w:sz w:val="16"/>
        </w:rPr>
        <w:t> </w:t>
      </w:r>
      <w:r>
        <w:rPr>
          <w:w w:val="105"/>
          <w:sz w:val="16"/>
        </w:rPr>
        <w:t>operations</w:t>
      </w:r>
      <w:r>
        <w:rPr>
          <w:spacing w:val="-1"/>
          <w:w w:val="105"/>
          <w:sz w:val="16"/>
        </w:rPr>
        <w:t> </w:t>
      </w:r>
      <w:r>
        <w:rPr>
          <w:w w:val="105"/>
          <w:sz w:val="16"/>
        </w:rPr>
        <w:t>and</w:t>
      </w:r>
      <w:r>
        <w:rPr>
          <w:spacing w:val="-1"/>
          <w:w w:val="105"/>
          <w:sz w:val="16"/>
        </w:rPr>
        <w:t> </w:t>
      </w:r>
      <w:r>
        <w:rPr>
          <w:w w:val="105"/>
          <w:sz w:val="16"/>
        </w:rPr>
        <w:t>are</w:t>
      </w:r>
      <w:r>
        <w:rPr>
          <w:spacing w:val="-1"/>
          <w:w w:val="105"/>
          <w:sz w:val="16"/>
        </w:rPr>
        <w:t> </w:t>
      </w:r>
      <w:r>
        <w:rPr>
          <w:w w:val="105"/>
          <w:sz w:val="16"/>
        </w:rPr>
        <w:t>not</w:t>
      </w:r>
      <w:r>
        <w:rPr>
          <w:spacing w:val="-1"/>
          <w:w w:val="105"/>
          <w:sz w:val="16"/>
        </w:rPr>
        <w:t> </w:t>
      </w:r>
      <w:r>
        <w:rPr>
          <w:w w:val="105"/>
          <w:sz w:val="16"/>
        </w:rPr>
        <w:t>classified</w:t>
      </w:r>
      <w:r>
        <w:rPr>
          <w:spacing w:val="-1"/>
          <w:w w:val="105"/>
          <w:sz w:val="16"/>
        </w:rPr>
        <w:t> </w:t>
      </w:r>
      <w:r>
        <w:rPr>
          <w:w w:val="105"/>
          <w:sz w:val="16"/>
        </w:rPr>
        <w:t>as</w:t>
      </w:r>
      <w:r>
        <w:rPr>
          <w:spacing w:val="-1"/>
          <w:w w:val="105"/>
          <w:sz w:val="16"/>
        </w:rPr>
        <w:t> </w:t>
      </w:r>
      <w:r>
        <w:rPr>
          <w:w w:val="105"/>
          <w:sz w:val="16"/>
        </w:rPr>
        <w:t>restructuring</w:t>
      </w:r>
      <w:r>
        <w:rPr>
          <w:w w:val="105"/>
          <w:sz w:val="16"/>
        </w:rPr>
        <w:t> expense.</w:t>
      </w:r>
      <w:r>
        <w:rPr>
          <w:spacing w:val="28"/>
          <w:w w:val="105"/>
          <w:sz w:val="16"/>
        </w:rPr>
        <w:t> </w:t>
      </w:r>
      <w:r>
        <w:rPr>
          <w:w w:val="105"/>
          <w:sz w:val="16"/>
        </w:rPr>
        <w:t>During</w:t>
      </w:r>
      <w:r>
        <w:rPr>
          <w:spacing w:val="-7"/>
          <w:w w:val="105"/>
          <w:sz w:val="16"/>
        </w:rPr>
        <w:t> </w:t>
      </w:r>
      <w:r>
        <w:rPr>
          <w:w w:val="105"/>
          <w:sz w:val="16"/>
        </w:rPr>
        <w:t>the</w:t>
      </w:r>
      <w:r>
        <w:rPr>
          <w:spacing w:val="-7"/>
          <w:w w:val="105"/>
          <w:sz w:val="16"/>
        </w:rPr>
        <w:t> </w:t>
      </w:r>
      <w:r>
        <w:rPr>
          <w:w w:val="105"/>
          <w:sz w:val="16"/>
        </w:rPr>
        <w:t>third</w:t>
      </w:r>
      <w:r>
        <w:rPr>
          <w:spacing w:val="-7"/>
          <w:w w:val="105"/>
          <w:sz w:val="16"/>
        </w:rPr>
        <w:t> </w:t>
      </w:r>
      <w:r>
        <w:rPr>
          <w:w w:val="105"/>
          <w:sz w:val="16"/>
        </w:rPr>
        <w:t>quarter</w:t>
      </w:r>
      <w:r>
        <w:rPr>
          <w:spacing w:val="-7"/>
          <w:w w:val="105"/>
          <w:sz w:val="16"/>
        </w:rPr>
        <w:t> </w:t>
      </w:r>
      <w:r>
        <w:rPr>
          <w:w w:val="105"/>
          <w:sz w:val="16"/>
        </w:rPr>
        <w:t>of</w:t>
      </w:r>
      <w:r>
        <w:rPr>
          <w:spacing w:val="-7"/>
          <w:w w:val="105"/>
          <w:sz w:val="16"/>
        </w:rPr>
        <w:t> </w:t>
      </w:r>
      <w:r>
        <w:rPr>
          <w:w w:val="105"/>
          <w:sz w:val="16"/>
        </w:rPr>
        <w:t>2021,</w:t>
      </w:r>
      <w:r>
        <w:rPr>
          <w:spacing w:val="-7"/>
          <w:w w:val="105"/>
          <w:sz w:val="16"/>
        </w:rPr>
        <w:t> </w:t>
      </w:r>
      <w:r>
        <w:rPr>
          <w:w w:val="105"/>
          <w:sz w:val="16"/>
        </w:rPr>
        <w:t>we</w:t>
      </w:r>
      <w:r>
        <w:rPr>
          <w:spacing w:val="-7"/>
          <w:w w:val="105"/>
          <w:sz w:val="16"/>
        </w:rPr>
        <w:t> </w:t>
      </w:r>
      <w:r>
        <w:rPr>
          <w:w w:val="105"/>
          <w:sz w:val="16"/>
        </w:rPr>
        <w:t>recorded</w:t>
      </w:r>
      <w:r>
        <w:rPr>
          <w:spacing w:val="-7"/>
          <w:w w:val="105"/>
          <w:sz w:val="16"/>
        </w:rPr>
        <w:t> </w:t>
      </w:r>
      <w:r>
        <w:rPr>
          <w:w w:val="105"/>
          <w:sz w:val="16"/>
        </w:rPr>
        <w:t>asset</w:t>
      </w:r>
      <w:r>
        <w:rPr>
          <w:spacing w:val="-7"/>
          <w:w w:val="105"/>
          <w:sz w:val="16"/>
        </w:rPr>
        <w:t> </w:t>
      </w:r>
      <w:r>
        <w:rPr>
          <w:w w:val="105"/>
          <w:sz w:val="16"/>
        </w:rPr>
        <w:t>write-offs</w:t>
      </w:r>
      <w:r>
        <w:rPr>
          <w:spacing w:val="-7"/>
          <w:w w:val="105"/>
          <w:sz w:val="16"/>
        </w:rPr>
        <w:t> </w:t>
      </w:r>
      <w:r>
        <w:rPr>
          <w:w w:val="105"/>
          <w:sz w:val="16"/>
        </w:rPr>
        <w:t>and</w:t>
      </w:r>
      <w:r>
        <w:rPr>
          <w:spacing w:val="-7"/>
          <w:w w:val="105"/>
          <w:sz w:val="16"/>
        </w:rPr>
        <w:t> </w:t>
      </w:r>
      <w:r>
        <w:rPr>
          <w:w w:val="105"/>
          <w:sz w:val="16"/>
        </w:rPr>
        <w:t>charges</w:t>
      </w:r>
      <w:r>
        <w:rPr>
          <w:spacing w:val="-7"/>
          <w:w w:val="105"/>
          <w:sz w:val="16"/>
        </w:rPr>
        <w:t> </w:t>
      </w:r>
      <w:r>
        <w:rPr>
          <w:w w:val="105"/>
          <w:sz w:val="16"/>
        </w:rPr>
        <w:t>related</w:t>
      </w:r>
      <w:r>
        <w:rPr>
          <w:spacing w:val="-7"/>
          <w:w w:val="105"/>
          <w:sz w:val="16"/>
        </w:rPr>
        <w:t> </w:t>
      </w:r>
      <w:r>
        <w:rPr>
          <w:w w:val="105"/>
          <w:sz w:val="16"/>
        </w:rPr>
        <w:t>to</w:t>
      </w:r>
      <w:r>
        <w:rPr>
          <w:spacing w:val="-7"/>
          <w:w w:val="105"/>
          <w:sz w:val="16"/>
        </w:rPr>
        <w:t> </w:t>
      </w:r>
      <w:r>
        <w:rPr>
          <w:w w:val="105"/>
          <w:sz w:val="16"/>
        </w:rPr>
        <w:t>facility</w:t>
      </w:r>
      <w:r>
        <w:rPr>
          <w:spacing w:val="-7"/>
          <w:w w:val="105"/>
          <w:sz w:val="16"/>
        </w:rPr>
        <w:t> </w:t>
      </w:r>
      <w:r>
        <w:rPr>
          <w:w w:val="105"/>
          <w:sz w:val="16"/>
        </w:rPr>
        <w:t>repairs</w:t>
      </w:r>
      <w:r>
        <w:rPr>
          <w:spacing w:val="-7"/>
          <w:w w:val="105"/>
          <w:sz w:val="16"/>
        </w:rPr>
        <w:t> </w:t>
      </w:r>
      <w:r>
        <w:rPr>
          <w:w w:val="105"/>
          <w:sz w:val="16"/>
        </w:rPr>
        <w:t>resulting</w:t>
      </w:r>
      <w:r>
        <w:rPr>
          <w:spacing w:val="-7"/>
          <w:w w:val="105"/>
          <w:sz w:val="16"/>
        </w:rPr>
        <w:t> </w:t>
      </w:r>
      <w:r>
        <w:rPr>
          <w:w w:val="105"/>
          <w:sz w:val="16"/>
        </w:rPr>
        <w:t>from</w:t>
      </w:r>
      <w:r>
        <w:rPr>
          <w:spacing w:val="-7"/>
          <w:w w:val="105"/>
          <w:sz w:val="16"/>
        </w:rPr>
        <w:t> </w:t>
      </w:r>
      <w:r>
        <w:rPr>
          <w:w w:val="105"/>
          <w:sz w:val="16"/>
        </w:rPr>
        <w:t>the</w:t>
      </w:r>
      <w:r>
        <w:rPr>
          <w:spacing w:val="-7"/>
          <w:w w:val="105"/>
          <w:sz w:val="16"/>
        </w:rPr>
        <w:t> </w:t>
      </w:r>
      <w:r>
        <w:rPr>
          <w:w w:val="105"/>
          <w:sz w:val="16"/>
        </w:rPr>
        <w:t>impact</w:t>
      </w:r>
      <w:r>
        <w:rPr>
          <w:spacing w:val="-7"/>
          <w:w w:val="105"/>
          <w:sz w:val="16"/>
        </w:rPr>
        <w:t> </w:t>
      </w:r>
      <w:r>
        <w:rPr>
          <w:w w:val="105"/>
          <w:sz w:val="16"/>
        </w:rPr>
        <w:t>of</w:t>
      </w:r>
      <w:r>
        <w:rPr>
          <w:spacing w:val="-7"/>
          <w:w w:val="105"/>
          <w:sz w:val="16"/>
        </w:rPr>
        <w:t> </w:t>
      </w:r>
      <w:r>
        <w:rPr>
          <w:w w:val="105"/>
          <w:sz w:val="16"/>
        </w:rPr>
        <w:t>power</w:t>
      </w:r>
      <w:r>
        <w:rPr>
          <w:spacing w:val="-7"/>
          <w:w w:val="105"/>
          <w:sz w:val="16"/>
        </w:rPr>
        <w:t> </w:t>
      </w:r>
      <w:r>
        <w:rPr>
          <w:w w:val="105"/>
          <w:sz w:val="16"/>
        </w:rPr>
        <w:t>outages.</w:t>
      </w:r>
      <w:r>
        <w:rPr>
          <w:spacing w:val="28"/>
          <w:w w:val="105"/>
          <w:sz w:val="16"/>
        </w:rPr>
        <w:t> </w:t>
      </w:r>
      <w:r>
        <w:rPr>
          <w:w w:val="105"/>
          <w:sz w:val="16"/>
        </w:rPr>
        <w:t>The Company is pursuing recoveries under its applicable property insurance policies.</w:t>
      </w:r>
    </w:p>
    <w:p>
      <w:pPr>
        <w:pStyle w:val="ListParagraph"/>
        <w:numPr>
          <w:ilvl w:val="0"/>
          <w:numId w:val="15"/>
        </w:numPr>
        <w:tabs>
          <w:tab w:pos="742" w:val="left" w:leader="none"/>
        </w:tabs>
        <w:spacing w:line="266" w:lineRule="auto" w:before="0" w:after="0"/>
        <w:ind w:left="742" w:right="139" w:hanging="586"/>
        <w:jc w:val="left"/>
        <w:rPr>
          <w:sz w:val="16"/>
        </w:rPr>
      </w:pPr>
      <w:r>
        <w:rPr>
          <w:w w:val="105"/>
          <w:sz w:val="16"/>
          <w:u w:val="single"/>
        </w:rPr>
        <w:t>Litigation,</w:t>
      </w:r>
      <w:r>
        <w:rPr>
          <w:spacing w:val="-11"/>
          <w:w w:val="105"/>
          <w:sz w:val="16"/>
          <w:u w:val="single"/>
        </w:rPr>
        <w:t> </w:t>
      </w:r>
      <w:r>
        <w:rPr>
          <w:w w:val="105"/>
          <w:sz w:val="16"/>
          <w:u w:val="single"/>
        </w:rPr>
        <w:t>regulatory</w:t>
      </w:r>
      <w:r>
        <w:rPr>
          <w:spacing w:val="-9"/>
          <w:w w:val="105"/>
          <w:sz w:val="16"/>
          <w:u w:val="single"/>
        </w:rPr>
        <w:t> </w:t>
      </w:r>
      <w:r>
        <w:rPr>
          <w:w w:val="105"/>
          <w:sz w:val="16"/>
          <w:u w:val="single"/>
        </w:rPr>
        <w:t>and</w:t>
      </w:r>
      <w:r>
        <w:rPr>
          <w:spacing w:val="-10"/>
          <w:w w:val="105"/>
          <w:sz w:val="16"/>
          <w:u w:val="single"/>
        </w:rPr>
        <w:t> </w:t>
      </w:r>
      <w:r>
        <w:rPr>
          <w:w w:val="105"/>
          <w:sz w:val="16"/>
          <w:u w:val="single"/>
        </w:rPr>
        <w:t>other</w:t>
      </w:r>
      <w:r>
        <w:rPr>
          <w:spacing w:val="-10"/>
          <w:w w:val="105"/>
          <w:sz w:val="16"/>
          <w:u w:val="single"/>
        </w:rPr>
        <w:t> </w:t>
      </w:r>
      <w:r>
        <w:rPr>
          <w:w w:val="105"/>
          <w:sz w:val="16"/>
          <w:u w:val="single"/>
        </w:rPr>
        <w:t>legal</w:t>
      </w:r>
      <w:r>
        <w:rPr>
          <w:spacing w:val="-10"/>
          <w:w w:val="105"/>
          <w:sz w:val="16"/>
          <w:u w:val="single"/>
        </w:rPr>
        <w:t> </w:t>
      </w:r>
      <w:r>
        <w:rPr>
          <w:w w:val="105"/>
          <w:sz w:val="16"/>
          <w:u w:val="single"/>
        </w:rPr>
        <w:t>matters</w:t>
      </w:r>
      <w:r>
        <w:rPr>
          <w:w w:val="105"/>
          <w:sz w:val="16"/>
        </w:rPr>
        <w:t>:</w:t>
      </w:r>
      <w:r>
        <w:rPr>
          <w:spacing w:val="-10"/>
          <w:w w:val="105"/>
          <w:sz w:val="16"/>
        </w:rPr>
        <w:t> </w:t>
      </w:r>
      <w:r>
        <w:rPr>
          <w:w w:val="105"/>
          <w:sz w:val="16"/>
        </w:rPr>
        <w:t>Includes</w:t>
      </w:r>
      <w:r>
        <w:rPr>
          <w:spacing w:val="-10"/>
          <w:w w:val="105"/>
          <w:sz w:val="16"/>
        </w:rPr>
        <w:t> </w:t>
      </w:r>
      <w:r>
        <w:rPr>
          <w:w w:val="105"/>
          <w:sz w:val="16"/>
        </w:rPr>
        <w:t>amounts</w:t>
      </w:r>
      <w:r>
        <w:rPr>
          <w:spacing w:val="-10"/>
          <w:w w:val="105"/>
          <w:sz w:val="16"/>
        </w:rPr>
        <w:t> </w:t>
      </w:r>
      <w:r>
        <w:rPr>
          <w:w w:val="105"/>
          <w:sz w:val="16"/>
        </w:rPr>
        <w:t>that</w:t>
      </w:r>
      <w:r>
        <w:rPr>
          <w:spacing w:val="-11"/>
          <w:w w:val="105"/>
          <w:sz w:val="16"/>
        </w:rPr>
        <w:t> </w:t>
      </w:r>
      <w:r>
        <w:rPr>
          <w:w w:val="105"/>
          <w:sz w:val="16"/>
        </w:rPr>
        <w:t>reflect</w:t>
      </w:r>
      <w:r>
        <w:rPr>
          <w:spacing w:val="-9"/>
          <w:w w:val="105"/>
          <w:sz w:val="16"/>
        </w:rPr>
        <w:t> </w:t>
      </w:r>
      <w:r>
        <w:rPr>
          <w:w w:val="105"/>
          <w:sz w:val="16"/>
        </w:rPr>
        <w:t>developments</w:t>
      </w:r>
      <w:r>
        <w:rPr>
          <w:spacing w:val="-10"/>
          <w:w w:val="105"/>
          <w:sz w:val="16"/>
        </w:rPr>
        <w:t> </w:t>
      </w:r>
      <w:r>
        <w:rPr>
          <w:w w:val="105"/>
          <w:sz w:val="16"/>
        </w:rPr>
        <w:t>in</w:t>
      </w:r>
      <w:r>
        <w:rPr>
          <w:spacing w:val="-10"/>
          <w:w w:val="105"/>
          <w:sz w:val="16"/>
        </w:rPr>
        <w:t> </w:t>
      </w:r>
      <w:r>
        <w:rPr>
          <w:w w:val="105"/>
          <w:sz w:val="16"/>
        </w:rPr>
        <w:t>commercial</w:t>
      </w:r>
      <w:r>
        <w:rPr>
          <w:spacing w:val="-10"/>
          <w:w w:val="105"/>
          <w:sz w:val="16"/>
        </w:rPr>
        <w:t> </w:t>
      </w:r>
      <w:r>
        <w:rPr>
          <w:w w:val="105"/>
          <w:sz w:val="16"/>
        </w:rPr>
        <w:t>litigation,</w:t>
      </w:r>
      <w:r>
        <w:rPr>
          <w:spacing w:val="-10"/>
          <w:w w:val="105"/>
          <w:sz w:val="16"/>
        </w:rPr>
        <w:t> </w:t>
      </w:r>
      <w:r>
        <w:rPr>
          <w:w w:val="105"/>
          <w:sz w:val="16"/>
        </w:rPr>
        <w:t>intellectual</w:t>
      </w:r>
      <w:r>
        <w:rPr>
          <w:spacing w:val="-10"/>
          <w:w w:val="105"/>
          <w:sz w:val="16"/>
        </w:rPr>
        <w:t> </w:t>
      </w:r>
      <w:r>
        <w:rPr>
          <w:w w:val="105"/>
          <w:sz w:val="16"/>
        </w:rPr>
        <w:t>property</w:t>
      </w:r>
      <w:r>
        <w:rPr>
          <w:spacing w:val="-11"/>
          <w:w w:val="105"/>
          <w:sz w:val="16"/>
        </w:rPr>
        <w:t> </w:t>
      </w:r>
      <w:r>
        <w:rPr>
          <w:w w:val="105"/>
          <w:sz w:val="16"/>
        </w:rPr>
        <w:t>disputes,</w:t>
      </w:r>
      <w:r>
        <w:rPr>
          <w:spacing w:val="-9"/>
          <w:w w:val="105"/>
          <w:sz w:val="16"/>
        </w:rPr>
        <w:t> </w:t>
      </w:r>
      <w:r>
        <w:rPr>
          <w:w w:val="105"/>
          <w:sz w:val="16"/>
        </w:rPr>
        <w:t>adjustments</w:t>
      </w:r>
      <w:r>
        <w:rPr>
          <w:spacing w:val="-10"/>
          <w:w w:val="105"/>
          <w:sz w:val="16"/>
        </w:rPr>
        <w:t> </w:t>
      </w:r>
      <w:r>
        <w:rPr>
          <w:w w:val="105"/>
          <w:sz w:val="16"/>
        </w:rPr>
        <w:t>to</w:t>
      </w:r>
      <w:r>
        <w:rPr>
          <w:spacing w:val="-10"/>
          <w:w w:val="105"/>
          <w:sz w:val="16"/>
        </w:rPr>
        <w:t> </w:t>
      </w:r>
      <w:r>
        <w:rPr>
          <w:w w:val="105"/>
          <w:sz w:val="16"/>
        </w:rPr>
        <w:t>our estimated liability for environmental-related items and other legal matters.</w:t>
      </w:r>
    </w:p>
    <w:p>
      <w:pPr>
        <w:pStyle w:val="ListParagraph"/>
        <w:numPr>
          <w:ilvl w:val="0"/>
          <w:numId w:val="15"/>
        </w:numPr>
        <w:tabs>
          <w:tab w:pos="742" w:val="left" w:leader="none"/>
        </w:tabs>
        <w:spacing w:line="183" w:lineRule="exact" w:before="0" w:after="0"/>
        <w:ind w:left="742" w:right="0" w:hanging="586"/>
        <w:jc w:val="left"/>
        <w:rPr>
          <w:sz w:val="16"/>
        </w:rPr>
      </w:pPr>
      <w:r>
        <w:rPr>
          <w:w w:val="105"/>
          <w:sz w:val="16"/>
          <w:u w:val="single"/>
        </w:rPr>
        <w:t>Preferred</w:t>
      </w:r>
      <w:r>
        <w:rPr>
          <w:spacing w:val="-10"/>
          <w:w w:val="105"/>
          <w:sz w:val="16"/>
          <w:u w:val="single"/>
        </w:rPr>
        <w:t> </w:t>
      </w:r>
      <w:r>
        <w:rPr>
          <w:w w:val="105"/>
          <w:sz w:val="16"/>
          <w:u w:val="single"/>
        </w:rPr>
        <w:t>stock</w:t>
      </w:r>
      <w:r>
        <w:rPr>
          <w:spacing w:val="-9"/>
          <w:w w:val="105"/>
          <w:sz w:val="16"/>
          <w:u w:val="single"/>
        </w:rPr>
        <w:t> </w:t>
      </w:r>
      <w:r>
        <w:rPr>
          <w:w w:val="105"/>
          <w:sz w:val="16"/>
          <w:u w:val="single"/>
        </w:rPr>
        <w:t>conversion:</w:t>
      </w:r>
      <w:r>
        <w:rPr>
          <w:spacing w:val="-7"/>
          <w:w w:val="105"/>
          <w:sz w:val="16"/>
        </w:rPr>
        <w:t> </w:t>
      </w:r>
      <w:r>
        <w:rPr>
          <w:w w:val="105"/>
          <w:sz w:val="16"/>
        </w:rPr>
        <w:t>This</w:t>
      </w:r>
      <w:r>
        <w:rPr>
          <w:spacing w:val="-9"/>
          <w:w w:val="105"/>
          <w:sz w:val="16"/>
        </w:rPr>
        <w:t> </w:t>
      </w:r>
      <w:r>
        <w:rPr>
          <w:w w:val="105"/>
          <w:sz w:val="16"/>
        </w:rPr>
        <w:t>amount</w:t>
      </w:r>
      <w:r>
        <w:rPr>
          <w:spacing w:val="-9"/>
          <w:w w:val="105"/>
          <w:sz w:val="16"/>
        </w:rPr>
        <w:t> </w:t>
      </w:r>
      <w:r>
        <w:rPr>
          <w:w w:val="105"/>
          <w:sz w:val="16"/>
        </w:rPr>
        <w:t>is</w:t>
      </w:r>
      <w:r>
        <w:rPr>
          <w:spacing w:val="-10"/>
          <w:w w:val="105"/>
          <w:sz w:val="16"/>
        </w:rPr>
        <w:t> </w:t>
      </w:r>
      <w:r>
        <w:rPr>
          <w:w w:val="105"/>
          <w:sz w:val="16"/>
        </w:rPr>
        <w:t>the</w:t>
      </w:r>
      <w:r>
        <w:rPr>
          <w:spacing w:val="-9"/>
          <w:w w:val="105"/>
          <w:sz w:val="16"/>
        </w:rPr>
        <w:t> </w:t>
      </w:r>
      <w:r>
        <w:rPr>
          <w:w w:val="105"/>
          <w:sz w:val="16"/>
        </w:rPr>
        <w:t>put</w:t>
      </w:r>
      <w:r>
        <w:rPr>
          <w:spacing w:val="-9"/>
          <w:w w:val="105"/>
          <w:sz w:val="16"/>
        </w:rPr>
        <w:t> </w:t>
      </w:r>
      <w:r>
        <w:rPr>
          <w:w w:val="105"/>
          <w:sz w:val="16"/>
        </w:rPr>
        <w:t>option</w:t>
      </w:r>
      <w:r>
        <w:rPr>
          <w:spacing w:val="-9"/>
          <w:w w:val="105"/>
          <w:sz w:val="16"/>
        </w:rPr>
        <w:t> </w:t>
      </w:r>
      <w:r>
        <w:rPr>
          <w:w w:val="105"/>
          <w:sz w:val="16"/>
        </w:rPr>
        <w:t>from</w:t>
      </w:r>
      <w:r>
        <w:rPr>
          <w:spacing w:val="-9"/>
          <w:w w:val="105"/>
          <w:sz w:val="16"/>
        </w:rPr>
        <w:t> </w:t>
      </w:r>
      <w:r>
        <w:rPr>
          <w:w w:val="105"/>
          <w:sz w:val="16"/>
        </w:rPr>
        <w:t>the</w:t>
      </w:r>
      <w:r>
        <w:rPr>
          <w:spacing w:val="-9"/>
          <w:w w:val="105"/>
          <w:sz w:val="16"/>
        </w:rPr>
        <w:t> </w:t>
      </w:r>
      <w:r>
        <w:rPr>
          <w:w w:val="105"/>
          <w:sz w:val="16"/>
        </w:rPr>
        <w:t>Share</w:t>
      </w:r>
      <w:r>
        <w:rPr>
          <w:spacing w:val="-9"/>
          <w:w w:val="105"/>
          <w:sz w:val="16"/>
        </w:rPr>
        <w:t> </w:t>
      </w:r>
      <w:r>
        <w:rPr>
          <w:w w:val="105"/>
          <w:sz w:val="16"/>
        </w:rPr>
        <w:t>Repurchase</w:t>
      </w:r>
      <w:r>
        <w:rPr>
          <w:spacing w:val="-9"/>
          <w:w w:val="105"/>
          <w:sz w:val="16"/>
        </w:rPr>
        <w:t> </w:t>
      </w:r>
      <w:r>
        <w:rPr>
          <w:w w:val="105"/>
          <w:sz w:val="16"/>
        </w:rPr>
        <w:t>Agreement</w:t>
      </w:r>
      <w:r>
        <w:rPr>
          <w:spacing w:val="-9"/>
          <w:w w:val="105"/>
          <w:sz w:val="16"/>
        </w:rPr>
        <w:t> </w:t>
      </w:r>
      <w:r>
        <w:rPr>
          <w:w w:val="105"/>
          <w:sz w:val="16"/>
        </w:rPr>
        <w:t>with</w:t>
      </w:r>
      <w:r>
        <w:rPr>
          <w:spacing w:val="-10"/>
          <w:w w:val="105"/>
          <w:sz w:val="16"/>
        </w:rPr>
        <w:t> </w:t>
      </w:r>
      <w:r>
        <w:rPr>
          <w:w w:val="105"/>
          <w:sz w:val="16"/>
        </w:rPr>
        <w:t>Samsung</w:t>
      </w:r>
      <w:r>
        <w:rPr>
          <w:spacing w:val="-9"/>
          <w:w w:val="105"/>
          <w:sz w:val="16"/>
        </w:rPr>
        <w:t> </w:t>
      </w:r>
      <w:r>
        <w:rPr>
          <w:w w:val="105"/>
          <w:sz w:val="16"/>
        </w:rPr>
        <w:t>Display</w:t>
      </w:r>
      <w:r>
        <w:rPr>
          <w:spacing w:val="-9"/>
          <w:w w:val="105"/>
          <w:sz w:val="16"/>
        </w:rPr>
        <w:t> </w:t>
      </w:r>
      <w:r>
        <w:rPr>
          <w:w w:val="105"/>
          <w:sz w:val="16"/>
        </w:rPr>
        <w:t>Co.,</w:t>
      </w:r>
      <w:r>
        <w:rPr>
          <w:spacing w:val="-9"/>
          <w:w w:val="105"/>
          <w:sz w:val="16"/>
        </w:rPr>
        <w:t> </w:t>
      </w:r>
      <w:r>
        <w:rPr>
          <w:spacing w:val="-4"/>
          <w:w w:val="105"/>
          <w:sz w:val="16"/>
        </w:rPr>
        <w:t>Ltd.</w:t>
      </w:r>
    </w:p>
    <w:p>
      <w:pPr>
        <w:pStyle w:val="ListParagraph"/>
        <w:numPr>
          <w:ilvl w:val="0"/>
          <w:numId w:val="15"/>
        </w:numPr>
        <w:tabs>
          <w:tab w:pos="742" w:val="left" w:leader="none"/>
        </w:tabs>
        <w:spacing w:line="240" w:lineRule="auto" w:before="17" w:after="0"/>
        <w:ind w:left="742" w:right="0" w:hanging="586"/>
        <w:jc w:val="left"/>
        <w:rPr>
          <w:sz w:val="16"/>
        </w:rPr>
      </w:pPr>
      <w:r>
        <w:rPr>
          <w:spacing w:val="-2"/>
          <w:w w:val="105"/>
          <w:sz w:val="16"/>
          <w:u w:val="single"/>
        </w:rPr>
        <w:t>Bond</w:t>
      </w:r>
      <w:r>
        <w:rPr>
          <w:spacing w:val="1"/>
          <w:w w:val="105"/>
          <w:sz w:val="16"/>
          <w:u w:val="single"/>
        </w:rPr>
        <w:t> </w:t>
      </w:r>
      <w:r>
        <w:rPr>
          <w:spacing w:val="-2"/>
          <w:w w:val="105"/>
          <w:sz w:val="16"/>
          <w:u w:val="single"/>
        </w:rPr>
        <w:t>redemption</w:t>
      </w:r>
      <w:r>
        <w:rPr>
          <w:spacing w:val="1"/>
          <w:w w:val="105"/>
          <w:sz w:val="16"/>
          <w:u w:val="single"/>
        </w:rPr>
        <w:t> </w:t>
      </w:r>
      <w:r>
        <w:rPr>
          <w:spacing w:val="-2"/>
          <w:w w:val="105"/>
          <w:sz w:val="16"/>
          <w:u w:val="single"/>
        </w:rPr>
        <w:t>loss</w:t>
      </w:r>
      <w:r>
        <w:rPr>
          <w:spacing w:val="-2"/>
          <w:w w:val="105"/>
          <w:sz w:val="16"/>
        </w:rPr>
        <w:t>:</w:t>
      </w:r>
      <w:r>
        <w:rPr>
          <w:spacing w:val="1"/>
          <w:w w:val="105"/>
          <w:sz w:val="16"/>
        </w:rPr>
        <w:t> </w:t>
      </w:r>
      <w:r>
        <w:rPr>
          <w:spacing w:val="-2"/>
          <w:w w:val="105"/>
          <w:sz w:val="16"/>
        </w:rPr>
        <w:t>Amount</w:t>
      </w:r>
      <w:r>
        <w:rPr>
          <w:spacing w:val="1"/>
          <w:w w:val="105"/>
          <w:sz w:val="16"/>
        </w:rPr>
        <w:t> </w:t>
      </w:r>
      <w:r>
        <w:rPr>
          <w:spacing w:val="-2"/>
          <w:w w:val="105"/>
          <w:sz w:val="16"/>
        </w:rPr>
        <w:t>represents</w:t>
      </w:r>
      <w:r>
        <w:rPr>
          <w:spacing w:val="2"/>
          <w:w w:val="105"/>
          <w:sz w:val="16"/>
        </w:rPr>
        <w:t> </w:t>
      </w:r>
      <w:r>
        <w:rPr>
          <w:spacing w:val="-2"/>
          <w:w w:val="105"/>
          <w:sz w:val="16"/>
        </w:rPr>
        <w:t>premiums</w:t>
      </w:r>
      <w:r>
        <w:rPr>
          <w:spacing w:val="1"/>
          <w:w w:val="105"/>
          <w:sz w:val="16"/>
        </w:rPr>
        <w:t> </w:t>
      </w:r>
      <w:r>
        <w:rPr>
          <w:spacing w:val="-2"/>
          <w:w w:val="105"/>
          <w:sz w:val="16"/>
        </w:rPr>
        <w:t>on</w:t>
      </w:r>
      <w:r>
        <w:rPr>
          <w:spacing w:val="1"/>
          <w:w w:val="105"/>
          <w:sz w:val="16"/>
        </w:rPr>
        <w:t> </w:t>
      </w:r>
      <w:r>
        <w:rPr>
          <w:spacing w:val="-2"/>
          <w:w w:val="105"/>
          <w:sz w:val="16"/>
        </w:rPr>
        <w:t>redemption</w:t>
      </w:r>
      <w:r>
        <w:rPr>
          <w:spacing w:val="1"/>
          <w:w w:val="105"/>
          <w:sz w:val="16"/>
        </w:rPr>
        <w:t> </w:t>
      </w:r>
      <w:r>
        <w:rPr>
          <w:spacing w:val="-2"/>
          <w:w w:val="105"/>
          <w:sz w:val="16"/>
        </w:rPr>
        <w:t>of</w:t>
      </w:r>
      <w:r>
        <w:rPr>
          <w:spacing w:val="1"/>
          <w:w w:val="105"/>
          <w:sz w:val="16"/>
        </w:rPr>
        <w:t> </w:t>
      </w:r>
      <w:r>
        <w:rPr>
          <w:spacing w:val="-2"/>
          <w:w w:val="105"/>
          <w:sz w:val="16"/>
        </w:rPr>
        <w:t>debentures.</w:t>
      </w:r>
    </w:p>
    <w:p>
      <w:pPr>
        <w:pStyle w:val="ListParagraph"/>
        <w:numPr>
          <w:ilvl w:val="0"/>
          <w:numId w:val="15"/>
        </w:numPr>
        <w:tabs>
          <w:tab w:pos="742" w:val="left" w:leader="none"/>
        </w:tabs>
        <w:spacing w:line="266" w:lineRule="auto" w:before="20" w:after="0"/>
        <w:ind w:left="742" w:right="668" w:hanging="586"/>
        <w:jc w:val="left"/>
        <w:rPr>
          <w:sz w:val="16"/>
        </w:rPr>
      </w:pPr>
      <w:r>
        <w:rPr>
          <w:w w:val="105"/>
          <w:sz w:val="16"/>
          <w:u w:val="single"/>
        </w:rPr>
        <w:t>(Loss)</w:t>
      </w:r>
      <w:r>
        <w:rPr>
          <w:spacing w:val="-8"/>
          <w:w w:val="105"/>
          <w:sz w:val="16"/>
          <w:u w:val="single"/>
        </w:rPr>
        <w:t> </w:t>
      </w:r>
      <w:r>
        <w:rPr>
          <w:w w:val="105"/>
          <w:sz w:val="16"/>
          <w:u w:val="single"/>
        </w:rPr>
        <w:t>gain</w:t>
      </w:r>
      <w:r>
        <w:rPr>
          <w:spacing w:val="-8"/>
          <w:w w:val="105"/>
          <w:sz w:val="16"/>
          <w:u w:val="single"/>
        </w:rPr>
        <w:t> </w:t>
      </w:r>
      <w:r>
        <w:rPr>
          <w:w w:val="105"/>
          <w:sz w:val="16"/>
          <w:u w:val="single"/>
        </w:rPr>
        <w:t>on</w:t>
      </w:r>
      <w:r>
        <w:rPr>
          <w:spacing w:val="-8"/>
          <w:w w:val="105"/>
          <w:sz w:val="16"/>
          <w:u w:val="single"/>
        </w:rPr>
        <w:t> </w:t>
      </w:r>
      <w:r>
        <w:rPr>
          <w:w w:val="105"/>
          <w:sz w:val="16"/>
          <w:u w:val="single"/>
        </w:rPr>
        <w:t>investment</w:t>
      </w:r>
      <w:r>
        <w:rPr>
          <w:w w:val="105"/>
          <w:sz w:val="16"/>
        </w:rPr>
        <w:t>:</w:t>
      </w:r>
      <w:r>
        <w:rPr>
          <w:spacing w:val="-8"/>
          <w:w w:val="105"/>
          <w:sz w:val="16"/>
        </w:rPr>
        <w:t> </w:t>
      </w:r>
      <w:r>
        <w:rPr>
          <w:w w:val="105"/>
          <w:sz w:val="16"/>
        </w:rPr>
        <w:t>Amount</w:t>
      </w:r>
      <w:r>
        <w:rPr>
          <w:spacing w:val="-8"/>
          <w:w w:val="105"/>
          <w:sz w:val="16"/>
        </w:rPr>
        <w:t> </w:t>
      </w:r>
      <w:r>
        <w:rPr>
          <w:w w:val="105"/>
          <w:sz w:val="16"/>
        </w:rPr>
        <w:t>represents</w:t>
      </w:r>
      <w:r>
        <w:rPr>
          <w:spacing w:val="-8"/>
          <w:w w:val="105"/>
          <w:sz w:val="16"/>
        </w:rPr>
        <w:t> </w:t>
      </w:r>
      <w:r>
        <w:rPr>
          <w:w w:val="105"/>
          <w:sz w:val="16"/>
        </w:rPr>
        <w:t>the</w:t>
      </w:r>
      <w:r>
        <w:rPr>
          <w:spacing w:val="-8"/>
          <w:w w:val="105"/>
          <w:sz w:val="16"/>
        </w:rPr>
        <w:t> </w:t>
      </w:r>
      <w:r>
        <w:rPr>
          <w:w w:val="105"/>
          <w:sz w:val="16"/>
        </w:rPr>
        <w:t>gain</w:t>
      </w:r>
      <w:r>
        <w:rPr>
          <w:spacing w:val="-8"/>
          <w:w w:val="105"/>
          <w:sz w:val="16"/>
        </w:rPr>
        <w:t> </w:t>
      </w:r>
      <w:r>
        <w:rPr>
          <w:w w:val="105"/>
          <w:sz w:val="16"/>
        </w:rPr>
        <w:t>or</w:t>
      </w:r>
      <w:r>
        <w:rPr>
          <w:spacing w:val="-8"/>
          <w:w w:val="105"/>
          <w:sz w:val="16"/>
        </w:rPr>
        <w:t> </w:t>
      </w:r>
      <w:r>
        <w:rPr>
          <w:w w:val="105"/>
          <w:sz w:val="16"/>
        </w:rPr>
        <w:t>loss</w:t>
      </w:r>
      <w:r>
        <w:rPr>
          <w:spacing w:val="-8"/>
          <w:w w:val="105"/>
          <w:sz w:val="16"/>
        </w:rPr>
        <w:t> </w:t>
      </w:r>
      <w:r>
        <w:rPr>
          <w:w w:val="105"/>
          <w:sz w:val="16"/>
        </w:rPr>
        <w:t>recognized</w:t>
      </w:r>
      <w:r>
        <w:rPr>
          <w:spacing w:val="-8"/>
          <w:w w:val="105"/>
          <w:sz w:val="16"/>
        </w:rPr>
        <w:t> </w:t>
      </w:r>
      <w:r>
        <w:rPr>
          <w:w w:val="105"/>
          <w:sz w:val="16"/>
        </w:rPr>
        <w:t>on</w:t>
      </w:r>
      <w:r>
        <w:rPr>
          <w:spacing w:val="-8"/>
          <w:w w:val="105"/>
          <w:sz w:val="16"/>
        </w:rPr>
        <w:t> </w:t>
      </w:r>
      <w:r>
        <w:rPr>
          <w:w w:val="105"/>
          <w:sz w:val="16"/>
        </w:rPr>
        <w:t>investment</w:t>
      </w:r>
      <w:r>
        <w:rPr>
          <w:spacing w:val="-8"/>
          <w:w w:val="105"/>
          <w:sz w:val="16"/>
        </w:rPr>
        <w:t> </w:t>
      </w:r>
      <w:r>
        <w:rPr>
          <w:w w:val="105"/>
          <w:sz w:val="16"/>
        </w:rPr>
        <w:t>due</w:t>
      </w:r>
      <w:r>
        <w:rPr>
          <w:spacing w:val="-8"/>
          <w:w w:val="105"/>
          <w:sz w:val="16"/>
        </w:rPr>
        <w:t> </w:t>
      </w:r>
      <w:r>
        <w:rPr>
          <w:w w:val="105"/>
          <w:sz w:val="16"/>
        </w:rPr>
        <w:t>to</w:t>
      </w:r>
      <w:r>
        <w:rPr>
          <w:spacing w:val="-8"/>
          <w:w w:val="105"/>
          <w:sz w:val="16"/>
        </w:rPr>
        <w:t> </w:t>
      </w:r>
      <w:r>
        <w:rPr>
          <w:w w:val="105"/>
          <w:sz w:val="16"/>
        </w:rPr>
        <w:t>mark-to-mark</w:t>
      </w:r>
      <w:r>
        <w:rPr>
          <w:spacing w:val="-8"/>
          <w:w w:val="105"/>
          <w:sz w:val="16"/>
        </w:rPr>
        <w:t> </w:t>
      </w:r>
      <w:r>
        <w:rPr>
          <w:w w:val="105"/>
          <w:sz w:val="16"/>
        </w:rPr>
        <w:t>adjustments</w:t>
      </w:r>
      <w:r>
        <w:rPr>
          <w:spacing w:val="-8"/>
          <w:w w:val="105"/>
          <w:sz w:val="16"/>
        </w:rPr>
        <w:t> </w:t>
      </w:r>
      <w:r>
        <w:rPr>
          <w:w w:val="105"/>
          <w:sz w:val="16"/>
        </w:rPr>
        <w:t>for</w:t>
      </w:r>
      <w:r>
        <w:rPr>
          <w:spacing w:val="-8"/>
          <w:w w:val="105"/>
          <w:sz w:val="16"/>
        </w:rPr>
        <w:t> </w:t>
      </w:r>
      <w:r>
        <w:rPr>
          <w:w w:val="105"/>
          <w:sz w:val="16"/>
        </w:rPr>
        <w:t>the</w:t>
      </w:r>
      <w:r>
        <w:rPr>
          <w:spacing w:val="-8"/>
          <w:w w:val="105"/>
          <w:sz w:val="16"/>
        </w:rPr>
        <w:t> </w:t>
      </w:r>
      <w:r>
        <w:rPr>
          <w:w w:val="105"/>
          <w:sz w:val="16"/>
        </w:rPr>
        <w:t>change</w:t>
      </w:r>
      <w:r>
        <w:rPr>
          <w:spacing w:val="-8"/>
          <w:w w:val="105"/>
          <w:sz w:val="16"/>
        </w:rPr>
        <w:t> </w:t>
      </w:r>
      <w:r>
        <w:rPr>
          <w:w w:val="105"/>
          <w:sz w:val="16"/>
        </w:rPr>
        <w:t>in</w:t>
      </w:r>
      <w:r>
        <w:rPr>
          <w:spacing w:val="-6"/>
          <w:w w:val="105"/>
          <w:sz w:val="16"/>
        </w:rPr>
        <w:t> </w:t>
      </w:r>
      <w:r>
        <w:rPr>
          <w:w w:val="105"/>
          <w:sz w:val="16"/>
        </w:rPr>
        <w:t>fair</w:t>
      </w:r>
      <w:r>
        <w:rPr>
          <w:spacing w:val="-8"/>
          <w:w w:val="105"/>
          <w:sz w:val="16"/>
        </w:rPr>
        <w:t> </w:t>
      </w:r>
      <w:r>
        <w:rPr>
          <w:w w:val="105"/>
          <w:sz w:val="16"/>
        </w:rPr>
        <w:t>value</w:t>
      </w:r>
      <w:r>
        <w:rPr>
          <w:spacing w:val="-8"/>
          <w:w w:val="105"/>
          <w:sz w:val="16"/>
        </w:rPr>
        <w:t> </w:t>
      </w:r>
      <w:r>
        <w:rPr>
          <w:w w:val="105"/>
          <w:sz w:val="16"/>
        </w:rPr>
        <w:t>or</w:t>
      </w:r>
      <w:r>
        <w:rPr>
          <w:spacing w:val="-8"/>
          <w:w w:val="105"/>
          <w:sz w:val="16"/>
        </w:rPr>
        <w:t> </w:t>
      </w:r>
      <w:r>
        <w:rPr>
          <w:w w:val="105"/>
          <w:sz w:val="16"/>
        </w:rPr>
        <w:t>the disposition of the investment.</w:t>
      </w:r>
    </w:p>
    <w:p>
      <w:pPr>
        <w:pStyle w:val="ListParagraph"/>
        <w:numPr>
          <w:ilvl w:val="0"/>
          <w:numId w:val="15"/>
        </w:numPr>
        <w:tabs>
          <w:tab w:pos="742" w:val="left" w:leader="none"/>
        </w:tabs>
        <w:spacing w:line="183" w:lineRule="exact" w:before="0" w:after="0"/>
        <w:ind w:left="742" w:right="0" w:hanging="586"/>
        <w:jc w:val="left"/>
        <w:rPr>
          <w:sz w:val="16"/>
        </w:rPr>
      </w:pPr>
      <w:r>
        <w:rPr>
          <w:w w:val="105"/>
          <w:sz w:val="16"/>
          <w:u w:val="single"/>
        </w:rPr>
        <w:t>Gain</w:t>
      </w:r>
      <w:r>
        <w:rPr>
          <w:spacing w:val="-9"/>
          <w:w w:val="105"/>
          <w:sz w:val="16"/>
          <w:u w:val="single"/>
        </w:rPr>
        <w:t> </w:t>
      </w:r>
      <w:r>
        <w:rPr>
          <w:w w:val="105"/>
          <w:sz w:val="16"/>
          <w:u w:val="single"/>
        </w:rPr>
        <w:t>on</w:t>
      </w:r>
      <w:r>
        <w:rPr>
          <w:spacing w:val="-8"/>
          <w:w w:val="105"/>
          <w:sz w:val="16"/>
          <w:u w:val="single"/>
        </w:rPr>
        <w:t> </w:t>
      </w:r>
      <w:r>
        <w:rPr>
          <w:w w:val="105"/>
          <w:sz w:val="16"/>
          <w:u w:val="single"/>
        </w:rPr>
        <w:t>sale</w:t>
      </w:r>
      <w:r>
        <w:rPr>
          <w:spacing w:val="-9"/>
          <w:w w:val="105"/>
          <w:sz w:val="16"/>
          <w:u w:val="single"/>
        </w:rPr>
        <w:t> </w:t>
      </w:r>
      <w:r>
        <w:rPr>
          <w:w w:val="105"/>
          <w:sz w:val="16"/>
          <w:u w:val="single"/>
        </w:rPr>
        <w:t>of</w:t>
      </w:r>
      <w:r>
        <w:rPr>
          <w:spacing w:val="-8"/>
          <w:w w:val="105"/>
          <w:sz w:val="16"/>
          <w:u w:val="single"/>
        </w:rPr>
        <w:t> </w:t>
      </w:r>
      <w:r>
        <w:rPr>
          <w:w w:val="105"/>
          <w:sz w:val="16"/>
          <w:u w:val="single"/>
        </w:rPr>
        <w:t>business</w:t>
      </w:r>
      <w:r>
        <w:rPr>
          <w:w w:val="105"/>
          <w:sz w:val="16"/>
        </w:rPr>
        <w:t>:</w:t>
      </w:r>
      <w:r>
        <w:rPr>
          <w:spacing w:val="-9"/>
          <w:w w:val="105"/>
          <w:sz w:val="16"/>
        </w:rPr>
        <w:t> </w:t>
      </w:r>
      <w:r>
        <w:rPr>
          <w:w w:val="105"/>
          <w:sz w:val="16"/>
        </w:rPr>
        <w:t>Amount</w:t>
      </w:r>
      <w:r>
        <w:rPr>
          <w:spacing w:val="-8"/>
          <w:w w:val="105"/>
          <w:sz w:val="16"/>
        </w:rPr>
        <w:t> </w:t>
      </w:r>
      <w:r>
        <w:rPr>
          <w:w w:val="105"/>
          <w:sz w:val="16"/>
        </w:rPr>
        <w:t>represents</w:t>
      </w:r>
      <w:r>
        <w:rPr>
          <w:spacing w:val="-9"/>
          <w:w w:val="105"/>
          <w:sz w:val="16"/>
        </w:rPr>
        <w:t> </w:t>
      </w:r>
      <w:r>
        <w:rPr>
          <w:w w:val="105"/>
          <w:sz w:val="16"/>
        </w:rPr>
        <w:t>the</w:t>
      </w:r>
      <w:r>
        <w:rPr>
          <w:spacing w:val="-8"/>
          <w:w w:val="105"/>
          <w:sz w:val="16"/>
        </w:rPr>
        <w:t> </w:t>
      </w:r>
      <w:r>
        <w:rPr>
          <w:w w:val="105"/>
          <w:sz w:val="16"/>
        </w:rPr>
        <w:t>gain</w:t>
      </w:r>
      <w:r>
        <w:rPr>
          <w:spacing w:val="-7"/>
          <w:w w:val="105"/>
          <w:sz w:val="16"/>
        </w:rPr>
        <w:t> </w:t>
      </w:r>
      <w:r>
        <w:rPr>
          <w:w w:val="105"/>
          <w:sz w:val="16"/>
        </w:rPr>
        <w:t>recognized</w:t>
      </w:r>
      <w:r>
        <w:rPr>
          <w:spacing w:val="-9"/>
          <w:w w:val="105"/>
          <w:sz w:val="16"/>
        </w:rPr>
        <w:t> </w:t>
      </w:r>
      <w:r>
        <w:rPr>
          <w:w w:val="105"/>
          <w:sz w:val="16"/>
        </w:rPr>
        <w:t>for</w:t>
      </w:r>
      <w:r>
        <w:rPr>
          <w:spacing w:val="-8"/>
          <w:w w:val="105"/>
          <w:sz w:val="16"/>
        </w:rPr>
        <w:t> </w:t>
      </w:r>
      <w:r>
        <w:rPr>
          <w:w w:val="105"/>
          <w:sz w:val="16"/>
        </w:rPr>
        <w:t>the</w:t>
      </w:r>
      <w:r>
        <w:rPr>
          <w:spacing w:val="-9"/>
          <w:w w:val="105"/>
          <w:sz w:val="16"/>
        </w:rPr>
        <w:t> </w:t>
      </w:r>
      <w:r>
        <w:rPr>
          <w:w w:val="105"/>
          <w:sz w:val="16"/>
        </w:rPr>
        <w:t>sale</w:t>
      </w:r>
      <w:r>
        <w:rPr>
          <w:spacing w:val="-8"/>
          <w:w w:val="105"/>
          <w:sz w:val="16"/>
        </w:rPr>
        <w:t> </w:t>
      </w:r>
      <w:r>
        <w:rPr>
          <w:w w:val="105"/>
          <w:sz w:val="16"/>
        </w:rPr>
        <w:t>of</w:t>
      </w:r>
      <w:r>
        <w:rPr>
          <w:spacing w:val="-9"/>
          <w:w w:val="105"/>
          <w:sz w:val="16"/>
        </w:rPr>
        <w:t> </w:t>
      </w:r>
      <w:r>
        <w:rPr>
          <w:w w:val="105"/>
          <w:sz w:val="16"/>
        </w:rPr>
        <w:t>certain</w:t>
      </w:r>
      <w:r>
        <w:rPr>
          <w:spacing w:val="-8"/>
          <w:w w:val="105"/>
          <w:sz w:val="16"/>
        </w:rPr>
        <w:t> </w:t>
      </w:r>
      <w:r>
        <w:rPr>
          <w:spacing w:val="-2"/>
          <w:w w:val="105"/>
          <w:sz w:val="16"/>
        </w:rPr>
        <w:t>businesses.</w:t>
      </w:r>
    </w:p>
    <w:p>
      <w:pPr>
        <w:pStyle w:val="ListParagraph"/>
        <w:numPr>
          <w:ilvl w:val="0"/>
          <w:numId w:val="15"/>
        </w:numPr>
        <w:tabs>
          <w:tab w:pos="742" w:val="left" w:leader="none"/>
        </w:tabs>
        <w:spacing w:line="266" w:lineRule="auto" w:before="20" w:after="0"/>
        <w:ind w:left="742" w:right="144" w:hanging="586"/>
        <w:jc w:val="left"/>
        <w:rPr>
          <w:sz w:val="16"/>
        </w:rPr>
      </w:pPr>
      <w:r>
        <w:rPr>
          <w:w w:val="105"/>
          <w:sz w:val="16"/>
          <w:u w:val="single"/>
        </w:rPr>
        <w:t>Equity</w:t>
      </w:r>
      <w:r>
        <w:rPr>
          <w:spacing w:val="-3"/>
          <w:w w:val="105"/>
          <w:sz w:val="16"/>
          <w:u w:val="single"/>
        </w:rPr>
        <w:t> </w:t>
      </w:r>
      <w:r>
        <w:rPr>
          <w:w w:val="105"/>
          <w:sz w:val="16"/>
          <w:u w:val="single"/>
        </w:rPr>
        <w:t>in</w:t>
      </w:r>
      <w:r>
        <w:rPr>
          <w:spacing w:val="-3"/>
          <w:w w:val="105"/>
          <w:sz w:val="16"/>
          <w:u w:val="single"/>
        </w:rPr>
        <w:t> </w:t>
      </w:r>
      <w:r>
        <w:rPr>
          <w:w w:val="105"/>
          <w:sz w:val="16"/>
          <w:u w:val="single"/>
        </w:rPr>
        <w:t>losses</w:t>
      </w:r>
      <w:r>
        <w:rPr>
          <w:spacing w:val="-3"/>
          <w:w w:val="105"/>
          <w:sz w:val="16"/>
          <w:u w:val="single"/>
        </w:rPr>
        <w:t> </w:t>
      </w:r>
      <w:r>
        <w:rPr>
          <w:w w:val="105"/>
          <w:sz w:val="16"/>
          <w:u w:val="single"/>
        </w:rPr>
        <w:t>of</w:t>
      </w:r>
      <w:r>
        <w:rPr>
          <w:spacing w:val="-3"/>
          <w:w w:val="105"/>
          <w:sz w:val="16"/>
          <w:u w:val="single"/>
        </w:rPr>
        <w:t> </w:t>
      </w:r>
      <w:r>
        <w:rPr>
          <w:w w:val="105"/>
          <w:sz w:val="16"/>
          <w:u w:val="single"/>
        </w:rPr>
        <w:t>affiliated</w:t>
      </w:r>
      <w:r>
        <w:rPr>
          <w:spacing w:val="-3"/>
          <w:w w:val="105"/>
          <w:sz w:val="16"/>
          <w:u w:val="single"/>
        </w:rPr>
        <w:t> </w:t>
      </w:r>
      <w:r>
        <w:rPr>
          <w:w w:val="105"/>
          <w:sz w:val="16"/>
          <w:u w:val="single"/>
        </w:rPr>
        <w:t>companies</w:t>
      </w:r>
      <w:r>
        <w:rPr>
          <w:w w:val="105"/>
          <w:sz w:val="16"/>
        </w:rPr>
        <w:t>:</w:t>
      </w:r>
      <w:r>
        <w:rPr>
          <w:spacing w:val="-3"/>
          <w:w w:val="105"/>
          <w:sz w:val="16"/>
        </w:rPr>
        <w:t> </w:t>
      </w:r>
      <w:r>
        <w:rPr>
          <w:w w:val="105"/>
          <w:sz w:val="16"/>
        </w:rPr>
        <w:t>These</w:t>
      </w:r>
      <w:r>
        <w:rPr>
          <w:spacing w:val="-3"/>
          <w:w w:val="105"/>
          <w:sz w:val="16"/>
        </w:rPr>
        <w:t> </w:t>
      </w:r>
      <w:r>
        <w:rPr>
          <w:w w:val="105"/>
          <w:sz w:val="16"/>
        </w:rPr>
        <w:t>adjustments</w:t>
      </w:r>
      <w:r>
        <w:rPr>
          <w:spacing w:val="-3"/>
          <w:w w:val="105"/>
          <w:sz w:val="16"/>
        </w:rPr>
        <w:t> </w:t>
      </w:r>
      <w:r>
        <w:rPr>
          <w:w w:val="105"/>
          <w:sz w:val="16"/>
        </w:rPr>
        <w:t>relate</w:t>
      </w:r>
      <w:r>
        <w:rPr>
          <w:spacing w:val="-3"/>
          <w:w w:val="105"/>
          <w:sz w:val="16"/>
        </w:rPr>
        <w:t> </w:t>
      </w:r>
      <w:r>
        <w:rPr>
          <w:w w:val="105"/>
          <w:sz w:val="16"/>
        </w:rPr>
        <w:t>to</w:t>
      </w:r>
      <w:r>
        <w:rPr>
          <w:spacing w:val="-3"/>
          <w:w w:val="105"/>
          <w:sz w:val="16"/>
        </w:rPr>
        <w:t> </w:t>
      </w:r>
      <w:r>
        <w:rPr>
          <w:w w:val="105"/>
          <w:sz w:val="16"/>
        </w:rPr>
        <w:t>costs</w:t>
      </w:r>
      <w:r>
        <w:rPr>
          <w:spacing w:val="-3"/>
          <w:w w:val="105"/>
          <w:sz w:val="16"/>
        </w:rPr>
        <w:t> </w:t>
      </w:r>
      <w:r>
        <w:rPr>
          <w:w w:val="105"/>
          <w:sz w:val="16"/>
        </w:rPr>
        <w:t>not</w:t>
      </w:r>
      <w:r>
        <w:rPr>
          <w:spacing w:val="-3"/>
          <w:w w:val="105"/>
          <w:sz w:val="16"/>
        </w:rPr>
        <w:t> </w:t>
      </w:r>
      <w:r>
        <w:rPr>
          <w:w w:val="105"/>
          <w:sz w:val="16"/>
        </w:rPr>
        <w:t>related</w:t>
      </w:r>
      <w:r>
        <w:rPr>
          <w:spacing w:val="-1"/>
          <w:w w:val="105"/>
          <w:sz w:val="16"/>
        </w:rPr>
        <w:t> </w:t>
      </w:r>
      <w:r>
        <w:rPr>
          <w:w w:val="105"/>
          <w:sz w:val="16"/>
        </w:rPr>
        <w:t>to</w:t>
      </w:r>
      <w:r>
        <w:rPr>
          <w:spacing w:val="-3"/>
          <w:w w:val="105"/>
          <w:sz w:val="16"/>
        </w:rPr>
        <w:t> </w:t>
      </w:r>
      <w:r>
        <w:rPr>
          <w:w w:val="105"/>
          <w:sz w:val="16"/>
        </w:rPr>
        <w:t>continuing</w:t>
      </w:r>
      <w:r>
        <w:rPr>
          <w:spacing w:val="-3"/>
          <w:w w:val="105"/>
          <w:sz w:val="16"/>
        </w:rPr>
        <w:t> </w:t>
      </w:r>
      <w:r>
        <w:rPr>
          <w:w w:val="105"/>
          <w:sz w:val="16"/>
        </w:rPr>
        <w:t>operations</w:t>
      </w:r>
      <w:r>
        <w:rPr>
          <w:spacing w:val="-3"/>
          <w:w w:val="105"/>
          <w:sz w:val="16"/>
        </w:rPr>
        <w:t> </w:t>
      </w:r>
      <w:r>
        <w:rPr>
          <w:w w:val="105"/>
          <w:sz w:val="16"/>
        </w:rPr>
        <w:t>of</w:t>
      </w:r>
      <w:r>
        <w:rPr>
          <w:spacing w:val="-3"/>
          <w:w w:val="105"/>
          <w:sz w:val="16"/>
        </w:rPr>
        <w:t> </w:t>
      </w:r>
      <w:r>
        <w:rPr>
          <w:w w:val="105"/>
          <w:sz w:val="16"/>
        </w:rPr>
        <w:t>our</w:t>
      </w:r>
      <w:r>
        <w:rPr>
          <w:spacing w:val="-3"/>
          <w:w w:val="105"/>
          <w:sz w:val="16"/>
        </w:rPr>
        <w:t> </w:t>
      </w:r>
      <w:r>
        <w:rPr>
          <w:w w:val="105"/>
          <w:sz w:val="16"/>
        </w:rPr>
        <w:t>affiliated</w:t>
      </w:r>
      <w:r>
        <w:rPr>
          <w:spacing w:val="-3"/>
          <w:w w:val="105"/>
          <w:sz w:val="16"/>
        </w:rPr>
        <w:t> </w:t>
      </w:r>
      <w:r>
        <w:rPr>
          <w:w w:val="105"/>
          <w:sz w:val="16"/>
        </w:rPr>
        <w:t>companies,</w:t>
      </w:r>
      <w:r>
        <w:rPr>
          <w:spacing w:val="-3"/>
          <w:w w:val="105"/>
          <w:sz w:val="16"/>
        </w:rPr>
        <w:t> </w:t>
      </w:r>
      <w:r>
        <w:rPr>
          <w:w w:val="105"/>
          <w:sz w:val="16"/>
        </w:rPr>
        <w:t>such</w:t>
      </w:r>
      <w:r>
        <w:rPr>
          <w:spacing w:val="-3"/>
          <w:w w:val="105"/>
          <w:sz w:val="16"/>
        </w:rPr>
        <w:t> </w:t>
      </w:r>
      <w:r>
        <w:rPr>
          <w:w w:val="105"/>
          <w:sz w:val="16"/>
        </w:rPr>
        <w:t>as</w:t>
      </w:r>
      <w:r>
        <w:rPr>
          <w:spacing w:val="-3"/>
          <w:w w:val="105"/>
          <w:sz w:val="16"/>
        </w:rPr>
        <w:t> </w:t>
      </w:r>
      <w:r>
        <w:rPr>
          <w:w w:val="105"/>
          <w:sz w:val="16"/>
        </w:rPr>
        <w:t>restructuring, impairment</w:t>
      </w:r>
      <w:r>
        <w:rPr>
          <w:spacing w:val="-10"/>
          <w:w w:val="105"/>
          <w:sz w:val="16"/>
        </w:rPr>
        <w:t> </w:t>
      </w:r>
      <w:r>
        <w:rPr>
          <w:w w:val="105"/>
          <w:sz w:val="16"/>
        </w:rPr>
        <w:t>losses,</w:t>
      </w:r>
      <w:r>
        <w:rPr>
          <w:spacing w:val="-10"/>
          <w:w w:val="105"/>
          <w:sz w:val="16"/>
        </w:rPr>
        <w:t> </w:t>
      </w:r>
      <w:r>
        <w:rPr>
          <w:w w:val="105"/>
          <w:sz w:val="16"/>
        </w:rPr>
        <w:t>inventory</w:t>
      </w:r>
      <w:r>
        <w:rPr>
          <w:spacing w:val="-10"/>
          <w:w w:val="105"/>
          <w:sz w:val="16"/>
        </w:rPr>
        <w:t> </w:t>
      </w:r>
      <w:r>
        <w:rPr>
          <w:w w:val="105"/>
          <w:sz w:val="16"/>
        </w:rPr>
        <w:t>adjustments,</w:t>
      </w:r>
      <w:r>
        <w:rPr>
          <w:spacing w:val="-10"/>
          <w:w w:val="105"/>
          <w:sz w:val="16"/>
        </w:rPr>
        <w:t> </w:t>
      </w:r>
      <w:r>
        <w:rPr>
          <w:w w:val="105"/>
          <w:sz w:val="16"/>
        </w:rPr>
        <w:t>and</w:t>
      </w:r>
      <w:r>
        <w:rPr>
          <w:spacing w:val="-10"/>
          <w:w w:val="105"/>
          <w:sz w:val="16"/>
        </w:rPr>
        <w:t> </w:t>
      </w:r>
      <w:r>
        <w:rPr>
          <w:w w:val="105"/>
          <w:sz w:val="16"/>
        </w:rPr>
        <w:t>other</w:t>
      </w:r>
      <w:r>
        <w:rPr>
          <w:spacing w:val="-10"/>
          <w:w w:val="105"/>
          <w:sz w:val="16"/>
        </w:rPr>
        <w:t> </w:t>
      </w:r>
      <w:r>
        <w:rPr>
          <w:w w:val="105"/>
          <w:sz w:val="16"/>
        </w:rPr>
        <w:t>charges</w:t>
      </w:r>
      <w:r>
        <w:rPr>
          <w:spacing w:val="-10"/>
          <w:w w:val="105"/>
          <w:sz w:val="16"/>
        </w:rPr>
        <w:t> </w:t>
      </w:r>
      <w:r>
        <w:rPr>
          <w:w w:val="105"/>
          <w:sz w:val="16"/>
        </w:rPr>
        <w:t>and</w:t>
      </w:r>
      <w:r>
        <w:rPr>
          <w:spacing w:val="-10"/>
          <w:w w:val="105"/>
          <w:sz w:val="16"/>
        </w:rPr>
        <w:t> </w:t>
      </w:r>
      <w:r>
        <w:rPr>
          <w:w w:val="105"/>
          <w:sz w:val="16"/>
        </w:rPr>
        <w:t>credits</w:t>
      </w:r>
      <w:r>
        <w:rPr>
          <w:spacing w:val="-10"/>
          <w:w w:val="105"/>
          <w:sz w:val="16"/>
        </w:rPr>
        <w:t> </w:t>
      </w:r>
      <w:r>
        <w:rPr>
          <w:w w:val="105"/>
          <w:sz w:val="16"/>
        </w:rPr>
        <w:t>and</w:t>
      </w:r>
      <w:r>
        <w:rPr>
          <w:spacing w:val="-10"/>
          <w:w w:val="105"/>
          <w:sz w:val="16"/>
        </w:rPr>
        <w:t> </w:t>
      </w:r>
      <w:r>
        <w:rPr>
          <w:w w:val="105"/>
          <w:sz w:val="16"/>
        </w:rPr>
        <w:t>settlements</w:t>
      </w:r>
      <w:r>
        <w:rPr>
          <w:spacing w:val="-10"/>
          <w:w w:val="105"/>
          <w:sz w:val="16"/>
        </w:rPr>
        <w:t> </w:t>
      </w:r>
      <w:r>
        <w:rPr>
          <w:w w:val="105"/>
          <w:sz w:val="16"/>
        </w:rPr>
        <w:t>under</w:t>
      </w:r>
      <w:r>
        <w:rPr>
          <w:spacing w:val="-10"/>
          <w:w w:val="105"/>
          <w:sz w:val="16"/>
        </w:rPr>
        <w:t> </w:t>
      </w:r>
      <w:r>
        <w:rPr>
          <w:w w:val="105"/>
          <w:sz w:val="16"/>
        </w:rPr>
        <w:t>“take-or-pay”</w:t>
      </w:r>
      <w:r>
        <w:rPr>
          <w:spacing w:val="-10"/>
          <w:w w:val="105"/>
          <w:sz w:val="16"/>
        </w:rPr>
        <w:t> </w:t>
      </w:r>
      <w:r>
        <w:rPr>
          <w:w w:val="105"/>
          <w:sz w:val="16"/>
        </w:rPr>
        <w:t>contracts.</w:t>
      </w:r>
      <w:r>
        <w:rPr>
          <w:spacing w:val="-10"/>
          <w:w w:val="105"/>
          <w:sz w:val="16"/>
        </w:rPr>
        <w:t> </w:t>
      </w:r>
      <w:r>
        <w:rPr>
          <w:w w:val="105"/>
          <w:sz w:val="16"/>
        </w:rPr>
        <w:t>The</w:t>
      </w:r>
      <w:r>
        <w:rPr>
          <w:spacing w:val="-10"/>
          <w:w w:val="105"/>
          <w:sz w:val="16"/>
        </w:rPr>
        <w:t> </w:t>
      </w:r>
      <w:r>
        <w:rPr>
          <w:w w:val="105"/>
          <w:sz w:val="16"/>
        </w:rPr>
        <w:t>year</w:t>
      </w:r>
      <w:r>
        <w:rPr>
          <w:spacing w:val="-8"/>
          <w:w w:val="105"/>
          <w:sz w:val="16"/>
        </w:rPr>
        <w:t> </w:t>
      </w:r>
      <w:r>
        <w:rPr>
          <w:w w:val="105"/>
          <w:sz w:val="16"/>
        </w:rPr>
        <w:t>ended</w:t>
      </w:r>
      <w:r>
        <w:rPr>
          <w:spacing w:val="-10"/>
          <w:w w:val="105"/>
          <w:sz w:val="16"/>
        </w:rPr>
        <w:t> </w:t>
      </w:r>
      <w:r>
        <w:rPr>
          <w:w w:val="105"/>
          <w:sz w:val="16"/>
        </w:rPr>
        <w:t>December</w:t>
      </w:r>
      <w:r>
        <w:rPr>
          <w:spacing w:val="-10"/>
          <w:w w:val="105"/>
          <w:sz w:val="16"/>
        </w:rPr>
        <w:t> </w:t>
      </w:r>
      <w:r>
        <w:rPr>
          <w:w w:val="105"/>
          <w:sz w:val="16"/>
        </w:rPr>
        <w:t>31,</w:t>
      </w:r>
      <w:r>
        <w:rPr>
          <w:spacing w:val="-10"/>
          <w:w w:val="105"/>
          <w:sz w:val="16"/>
        </w:rPr>
        <w:t> </w:t>
      </w:r>
      <w:r>
        <w:rPr>
          <w:w w:val="105"/>
          <w:sz w:val="16"/>
        </w:rPr>
        <w:t>2020</w:t>
      </w:r>
      <w:r>
        <w:rPr>
          <w:spacing w:val="-10"/>
          <w:w w:val="105"/>
          <w:sz w:val="16"/>
        </w:rPr>
        <w:t> </w:t>
      </w:r>
      <w:r>
        <w:rPr>
          <w:w w:val="105"/>
          <w:sz w:val="16"/>
        </w:rPr>
        <w:t>includes the Company’s share of a loss related to the sale of a business.</w:t>
      </w:r>
    </w:p>
    <w:p>
      <w:pPr>
        <w:pStyle w:val="ListParagraph"/>
        <w:numPr>
          <w:ilvl w:val="0"/>
          <w:numId w:val="15"/>
        </w:numPr>
        <w:tabs>
          <w:tab w:pos="742" w:val="left" w:leader="none"/>
        </w:tabs>
        <w:spacing w:line="183" w:lineRule="exact" w:before="0" w:after="0"/>
        <w:ind w:left="742" w:right="0" w:hanging="586"/>
        <w:jc w:val="left"/>
        <w:rPr>
          <w:sz w:val="16"/>
        </w:rPr>
      </w:pPr>
      <w:r>
        <w:rPr>
          <w:w w:val="105"/>
          <w:sz w:val="16"/>
          <w:u w:val="single"/>
        </w:rPr>
        <w:t>Transaction-related</w:t>
      </w:r>
      <w:r>
        <w:rPr>
          <w:spacing w:val="-11"/>
          <w:w w:val="105"/>
          <w:sz w:val="16"/>
          <w:u w:val="single"/>
        </w:rPr>
        <w:t> </w:t>
      </w:r>
      <w:r>
        <w:rPr>
          <w:w w:val="105"/>
          <w:sz w:val="16"/>
          <w:u w:val="single"/>
        </w:rPr>
        <w:t>gain,</w:t>
      </w:r>
      <w:r>
        <w:rPr>
          <w:spacing w:val="-10"/>
          <w:w w:val="105"/>
          <w:sz w:val="16"/>
          <w:u w:val="single"/>
        </w:rPr>
        <w:t> </w:t>
      </w:r>
      <w:r>
        <w:rPr>
          <w:w w:val="105"/>
          <w:sz w:val="16"/>
          <w:u w:val="single"/>
        </w:rPr>
        <w:t>net</w:t>
      </w:r>
      <w:r>
        <w:rPr>
          <w:w w:val="105"/>
          <w:sz w:val="16"/>
        </w:rPr>
        <w:t>:</w:t>
      </w:r>
      <w:r>
        <w:rPr>
          <w:spacing w:val="-10"/>
          <w:w w:val="105"/>
          <w:sz w:val="16"/>
        </w:rPr>
        <w:t> </w:t>
      </w:r>
      <w:r>
        <w:rPr>
          <w:w w:val="105"/>
          <w:sz w:val="16"/>
        </w:rPr>
        <w:t>Amount</w:t>
      </w:r>
      <w:r>
        <w:rPr>
          <w:spacing w:val="-10"/>
          <w:w w:val="105"/>
          <w:sz w:val="16"/>
        </w:rPr>
        <w:t> </w:t>
      </w:r>
      <w:r>
        <w:rPr>
          <w:w w:val="105"/>
          <w:sz w:val="16"/>
        </w:rPr>
        <w:t>represents</w:t>
      </w:r>
      <w:r>
        <w:rPr>
          <w:spacing w:val="-10"/>
          <w:w w:val="105"/>
          <w:sz w:val="16"/>
        </w:rPr>
        <w:t> </w:t>
      </w:r>
      <w:r>
        <w:rPr>
          <w:w w:val="105"/>
          <w:sz w:val="16"/>
        </w:rPr>
        <w:t>the</w:t>
      </w:r>
      <w:r>
        <w:rPr>
          <w:spacing w:val="-10"/>
          <w:w w:val="105"/>
          <w:sz w:val="16"/>
        </w:rPr>
        <w:t> </w:t>
      </w:r>
      <w:r>
        <w:rPr>
          <w:w w:val="105"/>
          <w:sz w:val="16"/>
        </w:rPr>
        <w:t>gain</w:t>
      </w:r>
      <w:r>
        <w:rPr>
          <w:spacing w:val="-9"/>
          <w:w w:val="105"/>
          <w:sz w:val="16"/>
        </w:rPr>
        <w:t> </w:t>
      </w:r>
      <w:r>
        <w:rPr>
          <w:w w:val="105"/>
          <w:sz w:val="16"/>
        </w:rPr>
        <w:t>recorded</w:t>
      </w:r>
      <w:r>
        <w:rPr>
          <w:spacing w:val="-10"/>
          <w:w w:val="105"/>
          <w:sz w:val="16"/>
        </w:rPr>
        <w:t> </w:t>
      </w:r>
      <w:r>
        <w:rPr>
          <w:w w:val="105"/>
          <w:sz w:val="16"/>
        </w:rPr>
        <w:t>on</w:t>
      </w:r>
      <w:r>
        <w:rPr>
          <w:spacing w:val="-10"/>
          <w:w w:val="105"/>
          <w:sz w:val="16"/>
        </w:rPr>
        <w:t> </w:t>
      </w:r>
      <w:r>
        <w:rPr>
          <w:w w:val="105"/>
          <w:sz w:val="16"/>
        </w:rPr>
        <w:t>a</w:t>
      </w:r>
      <w:r>
        <w:rPr>
          <w:spacing w:val="-10"/>
          <w:w w:val="105"/>
          <w:sz w:val="16"/>
        </w:rPr>
        <w:t> </w:t>
      </w:r>
      <w:r>
        <w:rPr>
          <w:w w:val="105"/>
          <w:sz w:val="16"/>
        </w:rPr>
        <w:t>previously</w:t>
      </w:r>
      <w:r>
        <w:rPr>
          <w:spacing w:val="-10"/>
          <w:w w:val="105"/>
          <w:sz w:val="16"/>
        </w:rPr>
        <w:t> </w:t>
      </w:r>
      <w:r>
        <w:rPr>
          <w:w w:val="105"/>
          <w:sz w:val="16"/>
        </w:rPr>
        <w:t>held</w:t>
      </w:r>
      <w:r>
        <w:rPr>
          <w:spacing w:val="-10"/>
          <w:w w:val="105"/>
          <w:sz w:val="16"/>
        </w:rPr>
        <w:t> </w:t>
      </w:r>
      <w:r>
        <w:rPr>
          <w:w w:val="105"/>
          <w:sz w:val="16"/>
        </w:rPr>
        <w:t>equity</w:t>
      </w:r>
      <w:r>
        <w:rPr>
          <w:spacing w:val="-10"/>
          <w:w w:val="105"/>
          <w:sz w:val="16"/>
        </w:rPr>
        <w:t> </w:t>
      </w:r>
      <w:r>
        <w:rPr>
          <w:w w:val="105"/>
          <w:sz w:val="16"/>
        </w:rPr>
        <w:t>investment</w:t>
      </w:r>
      <w:r>
        <w:rPr>
          <w:spacing w:val="-11"/>
          <w:w w:val="105"/>
          <w:sz w:val="16"/>
        </w:rPr>
        <w:t> </w:t>
      </w:r>
      <w:r>
        <w:rPr>
          <w:w w:val="105"/>
          <w:sz w:val="16"/>
        </w:rPr>
        <w:t>in</w:t>
      </w:r>
      <w:r>
        <w:rPr>
          <w:spacing w:val="-10"/>
          <w:w w:val="105"/>
          <w:sz w:val="16"/>
        </w:rPr>
        <w:t> </w:t>
      </w:r>
      <w:r>
        <w:rPr>
          <w:spacing w:val="-4"/>
          <w:w w:val="105"/>
          <w:sz w:val="16"/>
        </w:rPr>
        <w:t>HSG.</w:t>
      </w:r>
    </w:p>
    <w:p>
      <w:pPr>
        <w:pStyle w:val="ListParagraph"/>
        <w:numPr>
          <w:ilvl w:val="0"/>
          <w:numId w:val="15"/>
        </w:numPr>
        <w:tabs>
          <w:tab w:pos="742" w:val="left" w:leader="none"/>
        </w:tabs>
        <w:spacing w:line="240" w:lineRule="auto" w:before="19" w:after="0"/>
        <w:ind w:left="742" w:right="0" w:hanging="586"/>
        <w:jc w:val="left"/>
        <w:rPr>
          <w:sz w:val="16"/>
        </w:rPr>
      </w:pPr>
      <w:r>
        <w:rPr>
          <w:w w:val="105"/>
          <w:sz w:val="16"/>
          <w:u w:val="single"/>
        </w:rPr>
        <w:t>Cumulative</w:t>
      </w:r>
      <w:r>
        <w:rPr>
          <w:spacing w:val="-10"/>
          <w:w w:val="105"/>
          <w:sz w:val="16"/>
          <w:u w:val="single"/>
        </w:rPr>
        <w:t> </w:t>
      </w:r>
      <w:r>
        <w:rPr>
          <w:w w:val="105"/>
          <w:sz w:val="16"/>
          <w:u w:val="single"/>
        </w:rPr>
        <w:t>adjustment</w:t>
      </w:r>
      <w:r>
        <w:rPr>
          <w:spacing w:val="-9"/>
          <w:w w:val="105"/>
          <w:sz w:val="16"/>
          <w:u w:val="single"/>
        </w:rPr>
        <w:t> </w:t>
      </w:r>
      <w:r>
        <w:rPr>
          <w:w w:val="105"/>
          <w:sz w:val="16"/>
          <w:u w:val="single"/>
        </w:rPr>
        <w:t>related</w:t>
      </w:r>
      <w:r>
        <w:rPr>
          <w:spacing w:val="-10"/>
          <w:w w:val="105"/>
          <w:sz w:val="16"/>
          <w:u w:val="single"/>
        </w:rPr>
        <w:t> </w:t>
      </w:r>
      <w:r>
        <w:rPr>
          <w:w w:val="105"/>
          <w:sz w:val="16"/>
          <w:u w:val="single"/>
        </w:rPr>
        <w:t>to</w:t>
      </w:r>
      <w:r>
        <w:rPr>
          <w:spacing w:val="-9"/>
          <w:w w:val="105"/>
          <w:sz w:val="16"/>
          <w:u w:val="single"/>
        </w:rPr>
        <w:t> </w:t>
      </w:r>
      <w:r>
        <w:rPr>
          <w:w w:val="105"/>
          <w:sz w:val="16"/>
          <w:u w:val="single"/>
        </w:rPr>
        <w:t>customer</w:t>
      </w:r>
      <w:r>
        <w:rPr>
          <w:spacing w:val="-9"/>
          <w:w w:val="105"/>
          <w:sz w:val="16"/>
          <w:u w:val="single"/>
        </w:rPr>
        <w:t> </w:t>
      </w:r>
      <w:r>
        <w:rPr>
          <w:w w:val="105"/>
          <w:sz w:val="16"/>
          <w:u w:val="single"/>
        </w:rPr>
        <w:t>contract</w:t>
      </w:r>
      <w:r>
        <w:rPr>
          <w:w w:val="105"/>
          <w:sz w:val="16"/>
        </w:rPr>
        <w:t>:</w:t>
      </w:r>
      <w:r>
        <w:rPr>
          <w:spacing w:val="-9"/>
          <w:w w:val="105"/>
          <w:sz w:val="16"/>
        </w:rPr>
        <w:t> </w:t>
      </w:r>
      <w:r>
        <w:rPr>
          <w:w w:val="105"/>
          <w:sz w:val="16"/>
        </w:rPr>
        <w:t>The</w:t>
      </w:r>
      <w:r>
        <w:rPr>
          <w:spacing w:val="-9"/>
          <w:w w:val="105"/>
          <w:sz w:val="16"/>
        </w:rPr>
        <w:t> </w:t>
      </w:r>
      <w:r>
        <w:rPr>
          <w:w w:val="105"/>
          <w:sz w:val="16"/>
        </w:rPr>
        <w:t>negative</w:t>
      </w:r>
      <w:r>
        <w:rPr>
          <w:spacing w:val="-9"/>
          <w:w w:val="105"/>
          <w:sz w:val="16"/>
        </w:rPr>
        <w:t> </w:t>
      </w:r>
      <w:r>
        <w:rPr>
          <w:w w:val="105"/>
          <w:sz w:val="16"/>
        </w:rPr>
        <w:t>impact</w:t>
      </w:r>
      <w:r>
        <w:rPr>
          <w:spacing w:val="-9"/>
          <w:w w:val="105"/>
          <w:sz w:val="16"/>
        </w:rPr>
        <w:t> </w:t>
      </w:r>
      <w:r>
        <w:rPr>
          <w:w w:val="105"/>
          <w:sz w:val="16"/>
        </w:rPr>
        <w:t>of</w:t>
      </w:r>
      <w:r>
        <w:rPr>
          <w:spacing w:val="-9"/>
          <w:w w:val="105"/>
          <w:sz w:val="16"/>
        </w:rPr>
        <w:t> </w:t>
      </w:r>
      <w:r>
        <w:rPr>
          <w:w w:val="105"/>
          <w:sz w:val="16"/>
        </w:rPr>
        <w:t>a</w:t>
      </w:r>
      <w:r>
        <w:rPr>
          <w:spacing w:val="-9"/>
          <w:w w:val="105"/>
          <w:sz w:val="16"/>
        </w:rPr>
        <w:t> </w:t>
      </w:r>
      <w:r>
        <w:rPr>
          <w:w w:val="105"/>
          <w:sz w:val="16"/>
        </w:rPr>
        <w:t>cumulative</w:t>
      </w:r>
      <w:r>
        <w:rPr>
          <w:spacing w:val="-9"/>
          <w:w w:val="105"/>
          <w:sz w:val="16"/>
        </w:rPr>
        <w:t> </w:t>
      </w:r>
      <w:r>
        <w:rPr>
          <w:w w:val="105"/>
          <w:sz w:val="16"/>
        </w:rPr>
        <w:t>adjustment</w:t>
      </w:r>
      <w:r>
        <w:rPr>
          <w:spacing w:val="-9"/>
          <w:w w:val="105"/>
          <w:sz w:val="16"/>
        </w:rPr>
        <w:t> </w:t>
      </w:r>
      <w:r>
        <w:rPr>
          <w:w w:val="105"/>
          <w:sz w:val="16"/>
        </w:rPr>
        <w:t>recorded</w:t>
      </w:r>
      <w:r>
        <w:rPr>
          <w:spacing w:val="-9"/>
          <w:w w:val="105"/>
          <w:sz w:val="16"/>
        </w:rPr>
        <w:t> </w:t>
      </w:r>
      <w:r>
        <w:rPr>
          <w:w w:val="105"/>
          <w:sz w:val="16"/>
        </w:rPr>
        <w:t>during</w:t>
      </w:r>
      <w:r>
        <w:rPr>
          <w:spacing w:val="-9"/>
          <w:w w:val="105"/>
          <w:sz w:val="16"/>
        </w:rPr>
        <w:t> </w:t>
      </w:r>
      <w:r>
        <w:rPr>
          <w:w w:val="105"/>
          <w:sz w:val="16"/>
        </w:rPr>
        <w:t>the</w:t>
      </w:r>
      <w:r>
        <w:rPr>
          <w:spacing w:val="-9"/>
          <w:w w:val="105"/>
          <w:sz w:val="16"/>
        </w:rPr>
        <w:t> </w:t>
      </w:r>
      <w:r>
        <w:rPr>
          <w:w w:val="105"/>
          <w:sz w:val="16"/>
        </w:rPr>
        <w:t>first</w:t>
      </w:r>
      <w:r>
        <w:rPr>
          <w:spacing w:val="-9"/>
          <w:w w:val="105"/>
          <w:sz w:val="16"/>
        </w:rPr>
        <w:t> </w:t>
      </w:r>
      <w:r>
        <w:rPr>
          <w:w w:val="105"/>
          <w:sz w:val="16"/>
        </w:rPr>
        <w:t>quarter</w:t>
      </w:r>
      <w:r>
        <w:rPr>
          <w:spacing w:val="-9"/>
          <w:w w:val="105"/>
          <w:sz w:val="16"/>
        </w:rPr>
        <w:t> </w:t>
      </w:r>
      <w:r>
        <w:rPr>
          <w:w w:val="105"/>
          <w:sz w:val="16"/>
        </w:rPr>
        <w:t>of</w:t>
      </w:r>
      <w:r>
        <w:rPr>
          <w:spacing w:val="-9"/>
          <w:w w:val="105"/>
          <w:sz w:val="16"/>
        </w:rPr>
        <w:t> </w:t>
      </w:r>
      <w:r>
        <w:rPr>
          <w:w w:val="105"/>
          <w:sz w:val="16"/>
        </w:rPr>
        <w:t>2020</w:t>
      </w:r>
      <w:r>
        <w:rPr>
          <w:spacing w:val="-9"/>
          <w:w w:val="105"/>
          <w:sz w:val="16"/>
        </w:rPr>
        <w:t> </w:t>
      </w:r>
      <w:r>
        <w:rPr>
          <w:w w:val="105"/>
          <w:sz w:val="16"/>
        </w:rPr>
        <w:t>to</w:t>
      </w:r>
      <w:r>
        <w:rPr>
          <w:spacing w:val="-9"/>
          <w:w w:val="105"/>
          <w:sz w:val="16"/>
        </w:rPr>
        <w:t> </w:t>
      </w:r>
      <w:r>
        <w:rPr>
          <w:w w:val="105"/>
          <w:sz w:val="16"/>
        </w:rPr>
        <w:t>reduce</w:t>
      </w:r>
      <w:r>
        <w:rPr>
          <w:spacing w:val="-7"/>
          <w:w w:val="105"/>
          <w:sz w:val="16"/>
        </w:rPr>
        <w:t> </w:t>
      </w:r>
      <w:r>
        <w:rPr>
          <w:w w:val="105"/>
          <w:sz w:val="16"/>
        </w:rPr>
        <w:t>revenue</w:t>
      </w:r>
      <w:r>
        <w:rPr>
          <w:spacing w:val="-9"/>
          <w:w w:val="105"/>
          <w:sz w:val="16"/>
        </w:rPr>
        <w:t> </w:t>
      </w:r>
      <w:r>
        <w:rPr>
          <w:spacing w:val="-5"/>
          <w:w w:val="105"/>
          <w:sz w:val="16"/>
        </w:rPr>
        <w:t>by</w:t>
      </w:r>
    </w:p>
    <w:p>
      <w:pPr>
        <w:pStyle w:val="BodyText"/>
        <w:spacing w:line="266" w:lineRule="auto" w:before="20"/>
        <w:ind w:left="742"/>
      </w:pPr>
      <w:r>
        <w:rPr>
          <w:w w:val="105"/>
        </w:rPr>
        <w:t>$105</w:t>
      </w:r>
      <w:r>
        <w:rPr>
          <w:spacing w:val="-8"/>
          <w:w w:val="105"/>
        </w:rPr>
        <w:t> </w:t>
      </w:r>
      <w:r>
        <w:rPr>
          <w:w w:val="105"/>
        </w:rPr>
        <w:t>million.</w:t>
      </w:r>
      <w:r>
        <w:rPr>
          <w:spacing w:val="-8"/>
          <w:w w:val="105"/>
        </w:rPr>
        <w:t> </w:t>
      </w:r>
      <w:r>
        <w:rPr>
          <w:w w:val="105"/>
        </w:rPr>
        <w:t>The</w:t>
      </w:r>
      <w:r>
        <w:rPr>
          <w:spacing w:val="-8"/>
          <w:w w:val="105"/>
        </w:rPr>
        <w:t> </w:t>
      </w:r>
      <w:r>
        <w:rPr>
          <w:w w:val="105"/>
        </w:rPr>
        <w:t>adjustment</w:t>
      </w:r>
      <w:r>
        <w:rPr>
          <w:spacing w:val="-8"/>
          <w:w w:val="105"/>
        </w:rPr>
        <w:t> </w:t>
      </w:r>
      <w:r>
        <w:rPr>
          <w:w w:val="105"/>
        </w:rPr>
        <w:t>was</w:t>
      </w:r>
      <w:r>
        <w:rPr>
          <w:spacing w:val="-7"/>
          <w:w w:val="105"/>
        </w:rPr>
        <w:t> </w:t>
      </w:r>
      <w:r>
        <w:rPr>
          <w:w w:val="105"/>
        </w:rPr>
        <w:t>associated</w:t>
      </w:r>
      <w:r>
        <w:rPr>
          <w:spacing w:val="-8"/>
          <w:w w:val="105"/>
        </w:rPr>
        <w:t> </w:t>
      </w:r>
      <w:r>
        <w:rPr>
          <w:w w:val="105"/>
        </w:rPr>
        <w:t>with</w:t>
      </w:r>
      <w:r>
        <w:rPr>
          <w:spacing w:val="-8"/>
          <w:w w:val="105"/>
        </w:rPr>
        <w:t> </w:t>
      </w:r>
      <w:r>
        <w:rPr>
          <w:w w:val="105"/>
        </w:rPr>
        <w:t>a</w:t>
      </w:r>
      <w:r>
        <w:rPr>
          <w:spacing w:val="-8"/>
          <w:w w:val="105"/>
        </w:rPr>
        <w:t> </w:t>
      </w:r>
      <w:r>
        <w:rPr>
          <w:w w:val="105"/>
        </w:rPr>
        <w:t>previously</w:t>
      </w:r>
      <w:r>
        <w:rPr>
          <w:spacing w:val="-8"/>
          <w:w w:val="105"/>
        </w:rPr>
        <w:t> </w:t>
      </w:r>
      <w:r>
        <w:rPr>
          <w:w w:val="105"/>
        </w:rPr>
        <w:t>recorded</w:t>
      </w:r>
      <w:r>
        <w:rPr>
          <w:spacing w:val="-8"/>
          <w:w w:val="105"/>
        </w:rPr>
        <w:t> </w:t>
      </w:r>
      <w:r>
        <w:rPr>
          <w:w w:val="105"/>
        </w:rPr>
        <w:t>commercial</w:t>
      </w:r>
      <w:r>
        <w:rPr>
          <w:spacing w:val="-8"/>
          <w:w w:val="105"/>
        </w:rPr>
        <w:t> </w:t>
      </w:r>
      <w:r>
        <w:rPr>
          <w:w w:val="105"/>
        </w:rPr>
        <w:t>benefit</w:t>
      </w:r>
      <w:r>
        <w:rPr>
          <w:spacing w:val="-8"/>
          <w:w w:val="105"/>
        </w:rPr>
        <w:t> </w:t>
      </w:r>
      <w:r>
        <w:rPr>
          <w:w w:val="105"/>
        </w:rPr>
        <w:t>asset,</w:t>
      </w:r>
      <w:r>
        <w:rPr>
          <w:spacing w:val="-8"/>
          <w:w w:val="105"/>
        </w:rPr>
        <w:t> </w:t>
      </w:r>
      <w:r>
        <w:rPr>
          <w:w w:val="105"/>
        </w:rPr>
        <w:t>reflected</w:t>
      </w:r>
      <w:r>
        <w:rPr>
          <w:spacing w:val="-8"/>
          <w:w w:val="105"/>
        </w:rPr>
        <w:t> </w:t>
      </w:r>
      <w:r>
        <w:rPr>
          <w:w w:val="105"/>
        </w:rPr>
        <w:t>as</w:t>
      </w:r>
      <w:r>
        <w:rPr>
          <w:spacing w:val="-8"/>
          <w:w w:val="105"/>
        </w:rPr>
        <w:t> </w:t>
      </w:r>
      <w:r>
        <w:rPr>
          <w:w w:val="105"/>
        </w:rPr>
        <w:t>a</w:t>
      </w:r>
      <w:r>
        <w:rPr>
          <w:spacing w:val="-8"/>
          <w:w w:val="105"/>
        </w:rPr>
        <w:t> </w:t>
      </w:r>
      <w:r>
        <w:rPr>
          <w:w w:val="105"/>
        </w:rPr>
        <w:t>prepayment,</w:t>
      </w:r>
      <w:r>
        <w:rPr>
          <w:spacing w:val="-8"/>
          <w:w w:val="105"/>
        </w:rPr>
        <w:t> </w:t>
      </w:r>
      <w:r>
        <w:rPr>
          <w:w w:val="105"/>
        </w:rPr>
        <w:t>to</w:t>
      </w:r>
      <w:r>
        <w:rPr>
          <w:spacing w:val="-8"/>
          <w:w w:val="105"/>
        </w:rPr>
        <w:t> </w:t>
      </w:r>
      <w:r>
        <w:rPr>
          <w:w w:val="105"/>
        </w:rPr>
        <w:t>a</w:t>
      </w:r>
      <w:r>
        <w:rPr>
          <w:spacing w:val="-7"/>
          <w:w w:val="105"/>
        </w:rPr>
        <w:t> </w:t>
      </w:r>
      <w:r>
        <w:rPr>
          <w:w w:val="105"/>
        </w:rPr>
        <w:t>customer</w:t>
      </w:r>
      <w:r>
        <w:rPr>
          <w:spacing w:val="-8"/>
          <w:w w:val="105"/>
        </w:rPr>
        <w:t> </w:t>
      </w:r>
      <w:r>
        <w:rPr>
          <w:w w:val="105"/>
        </w:rPr>
        <w:t>with</w:t>
      </w:r>
      <w:r>
        <w:rPr>
          <w:spacing w:val="-8"/>
          <w:w w:val="105"/>
        </w:rPr>
        <w:t> </w:t>
      </w:r>
      <w:r>
        <w:rPr>
          <w:w w:val="105"/>
        </w:rPr>
        <w:t>a</w:t>
      </w:r>
      <w:r>
        <w:rPr>
          <w:spacing w:val="-8"/>
          <w:w w:val="105"/>
        </w:rPr>
        <w:t> </w:t>
      </w:r>
      <w:r>
        <w:rPr>
          <w:w w:val="105"/>
        </w:rPr>
        <w:t>long-term</w:t>
      </w:r>
      <w:r>
        <w:rPr>
          <w:spacing w:val="-8"/>
          <w:w w:val="105"/>
        </w:rPr>
        <w:t> </w:t>
      </w:r>
      <w:r>
        <w:rPr>
          <w:w w:val="105"/>
        </w:rPr>
        <w:t>supply agreement that substantially exited its production of LCD panels.</w:t>
      </w:r>
    </w:p>
    <w:p>
      <w:pPr>
        <w:pStyle w:val="BodyText"/>
        <w:spacing w:before="19"/>
      </w:pPr>
    </w:p>
    <w:p>
      <w:pPr>
        <w:pStyle w:val="BodyText"/>
        <w:ind w:left="48"/>
        <w:jc w:val="center"/>
      </w:pPr>
      <w:r>
        <w:rPr>
          <w:spacing w:val="-5"/>
          <w:w w:val="105"/>
        </w:rPr>
        <w:t>35</w:t>
      </w:r>
    </w:p>
    <w:p>
      <w:pPr>
        <w:pStyle w:val="BodyText"/>
        <w:rPr>
          <w:sz w:val="6"/>
        </w:rPr>
      </w:pPr>
      <w:r>
        <w:rPr/>
        <mc:AlternateContent>
          <mc:Choice Requires="wps">
            <w:drawing>
              <wp:anchor distT="0" distB="0" distL="0" distR="0" allowOverlap="1" layoutInCell="1" locked="0" behindDoc="1" simplePos="0" relativeHeight="487613952">
                <wp:simplePos x="0" y="0"/>
                <wp:positionH relativeFrom="page">
                  <wp:posOffset>226488</wp:posOffset>
                </wp:positionH>
                <wp:positionV relativeFrom="paragraph">
                  <wp:posOffset>59051</wp:posOffset>
                </wp:positionV>
                <wp:extent cx="7312659" cy="1651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702528;mso-wrap-distance-left:0;mso-wrap-distance-right:0" id="docshape60"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pPr>
    </w:p>
    <w:p>
      <w:pPr>
        <w:pStyle w:val="BodyText"/>
        <w:spacing w:before="58"/>
      </w:pPr>
    </w:p>
    <w:p>
      <w:pPr>
        <w:pStyle w:val="Heading1"/>
      </w:pPr>
      <w:r>
        <w:rPr/>
        <w:t>REPORTABLE</w:t>
      </w:r>
      <w:r>
        <w:rPr>
          <w:spacing w:val="25"/>
        </w:rPr>
        <w:t> </w:t>
      </w:r>
      <w:r>
        <w:rPr>
          <w:spacing w:val="-2"/>
        </w:rPr>
        <w:t>SEGMENTS</w:t>
      </w:r>
    </w:p>
    <w:p>
      <w:pPr>
        <w:pStyle w:val="BodyText"/>
        <w:spacing w:before="39"/>
        <w:rPr>
          <w:b/>
        </w:rPr>
      </w:pPr>
    </w:p>
    <w:p>
      <w:pPr>
        <w:pStyle w:val="BodyText"/>
        <w:spacing w:before="1"/>
        <w:ind w:left="156"/>
      </w:pPr>
      <w:r>
        <w:rPr>
          <w:spacing w:val="-2"/>
          <w:w w:val="105"/>
        </w:rPr>
        <w:t>Reportable</w:t>
      </w:r>
      <w:r>
        <w:rPr>
          <w:w w:val="105"/>
        </w:rPr>
        <w:t> </w:t>
      </w:r>
      <w:r>
        <w:rPr>
          <w:spacing w:val="-2"/>
          <w:w w:val="105"/>
        </w:rPr>
        <w:t>segments</w:t>
      </w:r>
      <w:r>
        <w:rPr>
          <w:w w:val="105"/>
        </w:rPr>
        <w:t> </w:t>
      </w:r>
      <w:r>
        <w:rPr>
          <w:spacing w:val="-2"/>
          <w:w w:val="105"/>
        </w:rPr>
        <w:t>are</w:t>
      </w:r>
      <w:r>
        <w:rPr>
          <w:spacing w:val="3"/>
          <w:w w:val="105"/>
        </w:rPr>
        <w:t> </w:t>
      </w:r>
      <w:r>
        <w:rPr>
          <w:spacing w:val="-2"/>
          <w:w w:val="105"/>
        </w:rPr>
        <w:t>as</w:t>
      </w:r>
      <w:r>
        <w:rPr>
          <w:w w:val="105"/>
        </w:rPr>
        <w:t> </w:t>
      </w:r>
      <w:r>
        <w:rPr>
          <w:spacing w:val="-2"/>
          <w:w w:val="105"/>
        </w:rPr>
        <w:t>follows:</w:t>
      </w:r>
    </w:p>
    <w:p>
      <w:pPr>
        <w:pStyle w:val="BodyText"/>
        <w:spacing w:before="39"/>
      </w:pPr>
    </w:p>
    <w:p>
      <w:pPr>
        <w:pStyle w:val="ListParagraph"/>
        <w:numPr>
          <w:ilvl w:val="1"/>
          <w:numId w:val="15"/>
        </w:numPr>
        <w:tabs>
          <w:tab w:pos="462" w:val="left" w:leader="none"/>
        </w:tabs>
        <w:spacing w:line="240" w:lineRule="auto" w:before="0" w:after="0"/>
        <w:ind w:left="462" w:right="0" w:hanging="306"/>
        <w:jc w:val="left"/>
        <w:rPr>
          <w:sz w:val="16"/>
        </w:rPr>
      </w:pPr>
      <w:r>
        <w:rPr>
          <w:sz w:val="16"/>
        </w:rPr>
        <w:t>Display</w:t>
      </w:r>
      <w:r>
        <w:rPr>
          <w:spacing w:val="13"/>
          <w:sz w:val="16"/>
        </w:rPr>
        <w:t> </w:t>
      </w:r>
      <w:r>
        <w:rPr>
          <w:sz w:val="16"/>
        </w:rPr>
        <w:t>Technologies</w:t>
      </w:r>
      <w:r>
        <w:rPr>
          <w:spacing w:val="13"/>
          <w:sz w:val="16"/>
        </w:rPr>
        <w:t> </w:t>
      </w:r>
      <w:r>
        <w:rPr>
          <w:sz w:val="16"/>
        </w:rPr>
        <w:t>–</w:t>
      </w:r>
      <w:r>
        <w:rPr>
          <w:spacing w:val="14"/>
          <w:sz w:val="16"/>
        </w:rPr>
        <w:t> </w:t>
      </w:r>
      <w:r>
        <w:rPr>
          <w:sz w:val="16"/>
        </w:rPr>
        <w:t>manufactures</w:t>
      </w:r>
      <w:r>
        <w:rPr>
          <w:spacing w:val="13"/>
          <w:sz w:val="16"/>
        </w:rPr>
        <w:t> </w:t>
      </w:r>
      <w:r>
        <w:rPr>
          <w:sz w:val="16"/>
        </w:rPr>
        <w:t>glass</w:t>
      </w:r>
      <w:r>
        <w:rPr>
          <w:spacing w:val="13"/>
          <w:sz w:val="16"/>
        </w:rPr>
        <w:t> </w:t>
      </w:r>
      <w:r>
        <w:rPr>
          <w:sz w:val="16"/>
        </w:rPr>
        <w:t>substrates</w:t>
      </w:r>
      <w:r>
        <w:rPr>
          <w:spacing w:val="14"/>
          <w:sz w:val="16"/>
        </w:rPr>
        <w:t> </w:t>
      </w:r>
      <w:r>
        <w:rPr>
          <w:sz w:val="16"/>
        </w:rPr>
        <w:t>for</w:t>
      </w:r>
      <w:r>
        <w:rPr>
          <w:spacing w:val="13"/>
          <w:sz w:val="16"/>
        </w:rPr>
        <w:t> </w:t>
      </w:r>
      <w:r>
        <w:rPr>
          <w:sz w:val="16"/>
        </w:rPr>
        <w:t>flat</w:t>
      </w:r>
      <w:r>
        <w:rPr>
          <w:spacing w:val="13"/>
          <w:sz w:val="16"/>
        </w:rPr>
        <w:t> </w:t>
      </w:r>
      <w:r>
        <w:rPr>
          <w:sz w:val="16"/>
        </w:rPr>
        <w:t>panel</w:t>
      </w:r>
      <w:r>
        <w:rPr>
          <w:spacing w:val="14"/>
          <w:sz w:val="16"/>
        </w:rPr>
        <w:t> </w:t>
      </w:r>
      <w:r>
        <w:rPr>
          <w:sz w:val="16"/>
        </w:rPr>
        <w:t>liquid</w:t>
      </w:r>
      <w:r>
        <w:rPr>
          <w:spacing w:val="13"/>
          <w:sz w:val="16"/>
        </w:rPr>
        <w:t> </w:t>
      </w:r>
      <w:r>
        <w:rPr>
          <w:sz w:val="16"/>
        </w:rPr>
        <w:t>crystal</w:t>
      </w:r>
      <w:r>
        <w:rPr>
          <w:spacing w:val="13"/>
          <w:sz w:val="16"/>
        </w:rPr>
        <w:t> </w:t>
      </w:r>
      <w:r>
        <w:rPr>
          <w:sz w:val="16"/>
        </w:rPr>
        <w:t>displays</w:t>
      </w:r>
      <w:r>
        <w:rPr>
          <w:spacing w:val="14"/>
          <w:sz w:val="16"/>
        </w:rPr>
        <w:t> </w:t>
      </w:r>
      <w:r>
        <w:rPr>
          <w:sz w:val="16"/>
        </w:rPr>
        <w:t>and</w:t>
      </w:r>
      <w:r>
        <w:rPr>
          <w:spacing w:val="13"/>
          <w:sz w:val="16"/>
        </w:rPr>
        <w:t> </w:t>
      </w:r>
      <w:r>
        <w:rPr>
          <w:sz w:val="16"/>
        </w:rPr>
        <w:t>other</w:t>
      </w:r>
      <w:r>
        <w:rPr>
          <w:spacing w:val="14"/>
          <w:sz w:val="16"/>
        </w:rPr>
        <w:t> </w:t>
      </w:r>
      <w:r>
        <w:rPr>
          <w:sz w:val="16"/>
        </w:rPr>
        <w:t>high-performance</w:t>
      </w:r>
      <w:r>
        <w:rPr>
          <w:spacing w:val="13"/>
          <w:sz w:val="16"/>
        </w:rPr>
        <w:t> </w:t>
      </w:r>
      <w:r>
        <w:rPr>
          <w:sz w:val="16"/>
        </w:rPr>
        <w:t>display</w:t>
      </w:r>
      <w:r>
        <w:rPr>
          <w:spacing w:val="13"/>
          <w:sz w:val="16"/>
        </w:rPr>
        <w:t> </w:t>
      </w:r>
      <w:r>
        <w:rPr>
          <w:spacing w:val="-2"/>
          <w:sz w:val="16"/>
        </w:rPr>
        <w:t>panels.</w:t>
      </w:r>
    </w:p>
    <w:p>
      <w:pPr>
        <w:pStyle w:val="ListParagraph"/>
        <w:numPr>
          <w:ilvl w:val="1"/>
          <w:numId w:val="15"/>
        </w:numPr>
        <w:tabs>
          <w:tab w:pos="462" w:val="left" w:leader="none"/>
        </w:tabs>
        <w:spacing w:line="240" w:lineRule="auto" w:before="20" w:after="0"/>
        <w:ind w:left="462" w:right="0" w:hanging="306"/>
        <w:jc w:val="left"/>
        <w:rPr>
          <w:sz w:val="16"/>
        </w:rPr>
      </w:pPr>
      <w:r>
        <w:rPr>
          <w:sz w:val="16"/>
        </w:rPr>
        <w:t>Optical</w:t>
      </w:r>
      <w:r>
        <w:rPr>
          <w:spacing w:val="15"/>
          <w:sz w:val="16"/>
        </w:rPr>
        <w:t> </w:t>
      </w:r>
      <w:r>
        <w:rPr>
          <w:sz w:val="16"/>
        </w:rPr>
        <w:t>Communications</w:t>
      </w:r>
      <w:r>
        <w:rPr>
          <w:spacing w:val="16"/>
          <w:sz w:val="16"/>
        </w:rPr>
        <w:t> </w:t>
      </w:r>
      <w:r>
        <w:rPr>
          <w:sz w:val="16"/>
        </w:rPr>
        <w:t>–</w:t>
      </w:r>
      <w:r>
        <w:rPr>
          <w:spacing w:val="15"/>
          <w:sz w:val="16"/>
        </w:rPr>
        <w:t> </w:t>
      </w:r>
      <w:r>
        <w:rPr>
          <w:sz w:val="16"/>
        </w:rPr>
        <w:t>manufactures</w:t>
      </w:r>
      <w:r>
        <w:rPr>
          <w:spacing w:val="16"/>
          <w:sz w:val="16"/>
        </w:rPr>
        <w:t> </w:t>
      </w:r>
      <w:r>
        <w:rPr>
          <w:sz w:val="16"/>
        </w:rPr>
        <w:t>carrier</w:t>
      </w:r>
      <w:r>
        <w:rPr>
          <w:spacing w:val="15"/>
          <w:sz w:val="16"/>
        </w:rPr>
        <w:t> </w:t>
      </w:r>
      <w:r>
        <w:rPr>
          <w:sz w:val="16"/>
        </w:rPr>
        <w:t>network</w:t>
      </w:r>
      <w:r>
        <w:rPr>
          <w:spacing w:val="16"/>
          <w:sz w:val="16"/>
        </w:rPr>
        <w:t> </w:t>
      </w:r>
      <w:r>
        <w:rPr>
          <w:sz w:val="16"/>
        </w:rPr>
        <w:t>and</w:t>
      </w:r>
      <w:r>
        <w:rPr>
          <w:spacing w:val="15"/>
          <w:sz w:val="16"/>
        </w:rPr>
        <w:t> </w:t>
      </w:r>
      <w:r>
        <w:rPr>
          <w:sz w:val="16"/>
        </w:rPr>
        <w:t>enterprise</w:t>
      </w:r>
      <w:r>
        <w:rPr>
          <w:spacing w:val="16"/>
          <w:sz w:val="16"/>
        </w:rPr>
        <w:t> </w:t>
      </w:r>
      <w:r>
        <w:rPr>
          <w:sz w:val="16"/>
        </w:rPr>
        <w:t>network</w:t>
      </w:r>
      <w:r>
        <w:rPr>
          <w:spacing w:val="16"/>
          <w:sz w:val="16"/>
        </w:rPr>
        <w:t> </w:t>
      </w:r>
      <w:r>
        <w:rPr>
          <w:sz w:val="16"/>
        </w:rPr>
        <w:t>components</w:t>
      </w:r>
      <w:r>
        <w:rPr>
          <w:spacing w:val="15"/>
          <w:sz w:val="16"/>
        </w:rPr>
        <w:t> </w:t>
      </w:r>
      <w:r>
        <w:rPr>
          <w:sz w:val="16"/>
        </w:rPr>
        <w:t>for</w:t>
      </w:r>
      <w:r>
        <w:rPr>
          <w:spacing w:val="16"/>
          <w:sz w:val="16"/>
        </w:rPr>
        <w:t> </w:t>
      </w:r>
      <w:r>
        <w:rPr>
          <w:sz w:val="16"/>
        </w:rPr>
        <w:t>the</w:t>
      </w:r>
      <w:r>
        <w:rPr>
          <w:spacing w:val="15"/>
          <w:sz w:val="16"/>
        </w:rPr>
        <w:t> </w:t>
      </w:r>
      <w:r>
        <w:rPr>
          <w:sz w:val="16"/>
        </w:rPr>
        <w:t>telecommunications</w:t>
      </w:r>
      <w:r>
        <w:rPr>
          <w:spacing w:val="16"/>
          <w:sz w:val="16"/>
        </w:rPr>
        <w:t> </w:t>
      </w:r>
      <w:r>
        <w:rPr>
          <w:spacing w:val="-2"/>
          <w:sz w:val="16"/>
        </w:rPr>
        <w:t>industry.</w:t>
      </w:r>
    </w:p>
    <w:p>
      <w:pPr>
        <w:pStyle w:val="ListParagraph"/>
        <w:numPr>
          <w:ilvl w:val="1"/>
          <w:numId w:val="15"/>
        </w:numPr>
        <w:tabs>
          <w:tab w:pos="462" w:val="left" w:leader="none"/>
        </w:tabs>
        <w:spacing w:line="266" w:lineRule="auto" w:before="20" w:after="0"/>
        <w:ind w:left="462" w:right="174" w:hanging="306"/>
        <w:jc w:val="left"/>
        <w:rPr>
          <w:sz w:val="16"/>
        </w:rPr>
      </w:pPr>
      <w:r>
        <w:rPr>
          <w:w w:val="105"/>
          <w:sz w:val="16"/>
        </w:rPr>
        <w:t>Specialty</w:t>
      </w:r>
      <w:r>
        <w:rPr>
          <w:spacing w:val="-9"/>
          <w:w w:val="105"/>
          <w:sz w:val="16"/>
        </w:rPr>
        <w:t> </w:t>
      </w:r>
      <w:r>
        <w:rPr>
          <w:w w:val="105"/>
          <w:sz w:val="16"/>
        </w:rPr>
        <w:t>Materials</w:t>
      </w:r>
      <w:r>
        <w:rPr>
          <w:spacing w:val="-9"/>
          <w:w w:val="105"/>
          <w:sz w:val="16"/>
        </w:rPr>
        <w:t> </w:t>
      </w:r>
      <w:r>
        <w:rPr>
          <w:w w:val="105"/>
          <w:sz w:val="16"/>
        </w:rPr>
        <w:t>–</w:t>
      </w:r>
      <w:r>
        <w:rPr>
          <w:spacing w:val="-7"/>
          <w:w w:val="105"/>
          <w:sz w:val="16"/>
        </w:rPr>
        <w:t> </w:t>
      </w:r>
      <w:r>
        <w:rPr>
          <w:w w:val="105"/>
          <w:sz w:val="16"/>
        </w:rPr>
        <w:t>manufactures</w:t>
      </w:r>
      <w:r>
        <w:rPr>
          <w:spacing w:val="-9"/>
          <w:w w:val="105"/>
          <w:sz w:val="16"/>
        </w:rPr>
        <w:t> </w:t>
      </w:r>
      <w:r>
        <w:rPr>
          <w:w w:val="105"/>
          <w:sz w:val="16"/>
        </w:rPr>
        <w:t>products</w:t>
      </w:r>
      <w:r>
        <w:rPr>
          <w:spacing w:val="-9"/>
          <w:w w:val="105"/>
          <w:sz w:val="16"/>
        </w:rPr>
        <w:t> </w:t>
      </w:r>
      <w:r>
        <w:rPr>
          <w:w w:val="105"/>
          <w:sz w:val="16"/>
        </w:rPr>
        <w:t>that</w:t>
      </w:r>
      <w:r>
        <w:rPr>
          <w:spacing w:val="-9"/>
          <w:w w:val="105"/>
          <w:sz w:val="16"/>
        </w:rPr>
        <w:t> </w:t>
      </w:r>
      <w:r>
        <w:rPr>
          <w:w w:val="105"/>
          <w:sz w:val="16"/>
        </w:rPr>
        <w:t>provide</w:t>
      </w:r>
      <w:r>
        <w:rPr>
          <w:spacing w:val="-9"/>
          <w:w w:val="105"/>
          <w:sz w:val="16"/>
        </w:rPr>
        <w:t> </w:t>
      </w:r>
      <w:r>
        <w:rPr>
          <w:w w:val="105"/>
          <w:sz w:val="16"/>
        </w:rPr>
        <w:t>more</w:t>
      </w:r>
      <w:r>
        <w:rPr>
          <w:spacing w:val="-9"/>
          <w:w w:val="105"/>
          <w:sz w:val="16"/>
        </w:rPr>
        <w:t> </w:t>
      </w:r>
      <w:r>
        <w:rPr>
          <w:w w:val="105"/>
          <w:sz w:val="16"/>
        </w:rPr>
        <w:t>than</w:t>
      </w:r>
      <w:r>
        <w:rPr>
          <w:spacing w:val="-9"/>
          <w:w w:val="105"/>
          <w:sz w:val="16"/>
        </w:rPr>
        <w:t> </w:t>
      </w:r>
      <w:r>
        <w:rPr>
          <w:w w:val="105"/>
          <w:sz w:val="16"/>
        </w:rPr>
        <w:t>150</w:t>
      </w:r>
      <w:r>
        <w:rPr>
          <w:spacing w:val="-9"/>
          <w:w w:val="105"/>
          <w:sz w:val="16"/>
        </w:rPr>
        <w:t> </w:t>
      </w:r>
      <w:r>
        <w:rPr>
          <w:w w:val="105"/>
          <w:sz w:val="16"/>
        </w:rPr>
        <w:t>material</w:t>
      </w:r>
      <w:r>
        <w:rPr>
          <w:spacing w:val="-9"/>
          <w:w w:val="105"/>
          <w:sz w:val="16"/>
        </w:rPr>
        <w:t> </w:t>
      </w:r>
      <w:r>
        <w:rPr>
          <w:w w:val="105"/>
          <w:sz w:val="16"/>
        </w:rPr>
        <w:t>formulations</w:t>
      </w:r>
      <w:r>
        <w:rPr>
          <w:spacing w:val="-9"/>
          <w:w w:val="105"/>
          <w:sz w:val="16"/>
        </w:rPr>
        <w:t> </w:t>
      </w:r>
      <w:r>
        <w:rPr>
          <w:w w:val="105"/>
          <w:sz w:val="16"/>
        </w:rPr>
        <w:t>for</w:t>
      </w:r>
      <w:r>
        <w:rPr>
          <w:spacing w:val="-9"/>
          <w:w w:val="105"/>
          <w:sz w:val="16"/>
        </w:rPr>
        <w:t> </w:t>
      </w:r>
      <w:r>
        <w:rPr>
          <w:w w:val="105"/>
          <w:sz w:val="16"/>
        </w:rPr>
        <w:t>glass,</w:t>
      </w:r>
      <w:r>
        <w:rPr>
          <w:spacing w:val="-9"/>
          <w:w w:val="105"/>
          <w:sz w:val="16"/>
        </w:rPr>
        <w:t> </w:t>
      </w:r>
      <w:r>
        <w:rPr>
          <w:w w:val="105"/>
          <w:sz w:val="16"/>
        </w:rPr>
        <w:t>glass</w:t>
      </w:r>
      <w:r>
        <w:rPr>
          <w:spacing w:val="-9"/>
          <w:w w:val="105"/>
          <w:sz w:val="16"/>
        </w:rPr>
        <w:t> </w:t>
      </w:r>
      <w:r>
        <w:rPr>
          <w:w w:val="105"/>
          <w:sz w:val="16"/>
        </w:rPr>
        <w:t>ceramics</w:t>
      </w:r>
      <w:r>
        <w:rPr>
          <w:spacing w:val="-9"/>
          <w:w w:val="105"/>
          <w:sz w:val="16"/>
        </w:rPr>
        <w:t> </w:t>
      </w:r>
      <w:r>
        <w:rPr>
          <w:w w:val="105"/>
          <w:sz w:val="16"/>
        </w:rPr>
        <w:t>and</w:t>
      </w:r>
      <w:r>
        <w:rPr>
          <w:spacing w:val="-9"/>
          <w:w w:val="105"/>
          <w:sz w:val="16"/>
        </w:rPr>
        <w:t> </w:t>
      </w:r>
      <w:r>
        <w:rPr>
          <w:w w:val="105"/>
          <w:sz w:val="16"/>
        </w:rPr>
        <w:t>fluoride</w:t>
      </w:r>
      <w:r>
        <w:rPr>
          <w:spacing w:val="-9"/>
          <w:w w:val="105"/>
          <w:sz w:val="16"/>
        </w:rPr>
        <w:t> </w:t>
      </w:r>
      <w:r>
        <w:rPr>
          <w:w w:val="105"/>
          <w:sz w:val="16"/>
        </w:rPr>
        <w:t>crystals</w:t>
      </w:r>
      <w:r>
        <w:rPr>
          <w:spacing w:val="-9"/>
          <w:w w:val="105"/>
          <w:sz w:val="16"/>
        </w:rPr>
        <w:t> </w:t>
      </w:r>
      <w:r>
        <w:rPr>
          <w:w w:val="105"/>
          <w:sz w:val="16"/>
        </w:rPr>
        <w:t>to</w:t>
      </w:r>
      <w:r>
        <w:rPr>
          <w:spacing w:val="-9"/>
          <w:w w:val="105"/>
          <w:sz w:val="16"/>
        </w:rPr>
        <w:t> </w:t>
      </w:r>
      <w:r>
        <w:rPr>
          <w:w w:val="105"/>
          <w:sz w:val="16"/>
        </w:rPr>
        <w:t>meet</w:t>
      </w:r>
      <w:r>
        <w:rPr>
          <w:spacing w:val="-9"/>
          <w:w w:val="105"/>
          <w:sz w:val="16"/>
        </w:rPr>
        <w:t> </w:t>
      </w:r>
      <w:r>
        <w:rPr>
          <w:w w:val="105"/>
          <w:sz w:val="16"/>
        </w:rPr>
        <w:t>demand</w:t>
      </w:r>
      <w:r>
        <w:rPr>
          <w:spacing w:val="-9"/>
          <w:w w:val="105"/>
          <w:sz w:val="16"/>
        </w:rPr>
        <w:t> </w:t>
      </w:r>
      <w:r>
        <w:rPr>
          <w:w w:val="105"/>
          <w:sz w:val="16"/>
        </w:rPr>
        <w:t>for</w:t>
      </w:r>
      <w:r>
        <w:rPr>
          <w:spacing w:val="-9"/>
          <w:w w:val="105"/>
          <w:sz w:val="16"/>
        </w:rPr>
        <w:t> </w:t>
      </w:r>
      <w:r>
        <w:rPr>
          <w:w w:val="105"/>
          <w:sz w:val="16"/>
        </w:rPr>
        <w:t>unique customer</w:t>
      </w:r>
      <w:r>
        <w:rPr>
          <w:spacing w:val="-1"/>
          <w:w w:val="105"/>
          <w:sz w:val="16"/>
        </w:rPr>
        <w:t> </w:t>
      </w:r>
      <w:r>
        <w:rPr>
          <w:w w:val="105"/>
          <w:sz w:val="16"/>
        </w:rPr>
        <w:t>needs.</w:t>
      </w:r>
    </w:p>
    <w:p>
      <w:pPr>
        <w:pStyle w:val="ListParagraph"/>
        <w:numPr>
          <w:ilvl w:val="1"/>
          <w:numId w:val="15"/>
        </w:numPr>
        <w:tabs>
          <w:tab w:pos="462" w:val="left" w:leader="none"/>
        </w:tabs>
        <w:spacing w:line="183" w:lineRule="exact" w:before="0" w:after="0"/>
        <w:ind w:left="462" w:right="0" w:hanging="306"/>
        <w:jc w:val="left"/>
        <w:rPr>
          <w:sz w:val="16"/>
        </w:rPr>
      </w:pPr>
      <w:r>
        <w:rPr>
          <w:sz w:val="16"/>
        </w:rPr>
        <w:t>Environmental</w:t>
      </w:r>
      <w:r>
        <w:rPr>
          <w:spacing w:val="13"/>
          <w:sz w:val="16"/>
        </w:rPr>
        <w:t> </w:t>
      </w:r>
      <w:r>
        <w:rPr>
          <w:sz w:val="16"/>
        </w:rPr>
        <w:t>Technologies</w:t>
      </w:r>
      <w:r>
        <w:rPr>
          <w:spacing w:val="14"/>
          <w:sz w:val="16"/>
        </w:rPr>
        <w:t> </w:t>
      </w:r>
      <w:r>
        <w:rPr>
          <w:sz w:val="16"/>
        </w:rPr>
        <w:t>–</w:t>
      </w:r>
      <w:r>
        <w:rPr>
          <w:spacing w:val="17"/>
          <w:sz w:val="16"/>
        </w:rPr>
        <w:t> </w:t>
      </w:r>
      <w:r>
        <w:rPr>
          <w:sz w:val="16"/>
        </w:rPr>
        <w:t>manufactures</w:t>
      </w:r>
      <w:r>
        <w:rPr>
          <w:spacing w:val="13"/>
          <w:sz w:val="16"/>
        </w:rPr>
        <w:t> </w:t>
      </w:r>
      <w:r>
        <w:rPr>
          <w:sz w:val="16"/>
        </w:rPr>
        <w:t>ceramic</w:t>
      </w:r>
      <w:r>
        <w:rPr>
          <w:spacing w:val="14"/>
          <w:sz w:val="16"/>
        </w:rPr>
        <w:t> </w:t>
      </w:r>
      <w:r>
        <w:rPr>
          <w:sz w:val="16"/>
        </w:rPr>
        <w:t>substrates</w:t>
      </w:r>
      <w:r>
        <w:rPr>
          <w:spacing w:val="14"/>
          <w:sz w:val="16"/>
        </w:rPr>
        <w:t> </w:t>
      </w:r>
      <w:r>
        <w:rPr>
          <w:sz w:val="16"/>
        </w:rPr>
        <w:t>and</w:t>
      </w:r>
      <w:r>
        <w:rPr>
          <w:spacing w:val="14"/>
          <w:sz w:val="16"/>
        </w:rPr>
        <w:t> </w:t>
      </w:r>
      <w:r>
        <w:rPr>
          <w:sz w:val="16"/>
        </w:rPr>
        <w:t>filters</w:t>
      </w:r>
      <w:r>
        <w:rPr>
          <w:spacing w:val="14"/>
          <w:sz w:val="16"/>
        </w:rPr>
        <w:t> </w:t>
      </w:r>
      <w:r>
        <w:rPr>
          <w:sz w:val="16"/>
        </w:rPr>
        <w:t>for</w:t>
      </w:r>
      <w:r>
        <w:rPr>
          <w:spacing w:val="13"/>
          <w:sz w:val="16"/>
        </w:rPr>
        <w:t> </w:t>
      </w:r>
      <w:r>
        <w:rPr>
          <w:sz w:val="16"/>
        </w:rPr>
        <w:t>automotive</w:t>
      </w:r>
      <w:r>
        <w:rPr>
          <w:spacing w:val="14"/>
          <w:sz w:val="16"/>
        </w:rPr>
        <w:t> </w:t>
      </w:r>
      <w:r>
        <w:rPr>
          <w:sz w:val="16"/>
        </w:rPr>
        <w:t>and</w:t>
      </w:r>
      <w:r>
        <w:rPr>
          <w:spacing w:val="14"/>
          <w:sz w:val="16"/>
        </w:rPr>
        <w:t> </w:t>
      </w:r>
      <w:r>
        <w:rPr>
          <w:sz w:val="16"/>
        </w:rPr>
        <w:t>diesel</w:t>
      </w:r>
      <w:r>
        <w:rPr>
          <w:spacing w:val="14"/>
          <w:sz w:val="16"/>
        </w:rPr>
        <w:t> </w:t>
      </w:r>
      <w:r>
        <w:rPr>
          <w:spacing w:val="-2"/>
          <w:sz w:val="16"/>
        </w:rPr>
        <w:t>applications.</w:t>
      </w:r>
    </w:p>
    <w:p>
      <w:pPr>
        <w:pStyle w:val="ListParagraph"/>
        <w:numPr>
          <w:ilvl w:val="1"/>
          <w:numId w:val="15"/>
        </w:numPr>
        <w:tabs>
          <w:tab w:pos="462" w:val="left" w:leader="none"/>
        </w:tabs>
        <w:spacing w:line="240" w:lineRule="auto" w:before="20" w:after="0"/>
        <w:ind w:left="462" w:right="0" w:hanging="306"/>
        <w:jc w:val="left"/>
        <w:rPr>
          <w:sz w:val="16"/>
        </w:rPr>
      </w:pPr>
      <w:r>
        <w:rPr>
          <w:spacing w:val="-2"/>
          <w:w w:val="105"/>
          <w:sz w:val="16"/>
        </w:rPr>
        <w:t>Life</w:t>
      </w:r>
      <w:r>
        <w:rPr>
          <w:spacing w:val="1"/>
          <w:w w:val="105"/>
          <w:sz w:val="16"/>
        </w:rPr>
        <w:t> </w:t>
      </w:r>
      <w:r>
        <w:rPr>
          <w:spacing w:val="-2"/>
          <w:w w:val="105"/>
          <w:sz w:val="16"/>
        </w:rPr>
        <w:t>Sciences</w:t>
      </w:r>
      <w:r>
        <w:rPr>
          <w:spacing w:val="1"/>
          <w:w w:val="105"/>
          <w:sz w:val="16"/>
        </w:rPr>
        <w:t> </w:t>
      </w:r>
      <w:r>
        <w:rPr>
          <w:spacing w:val="-2"/>
          <w:w w:val="105"/>
          <w:sz w:val="16"/>
        </w:rPr>
        <w:t>–</w:t>
      </w:r>
      <w:r>
        <w:rPr>
          <w:spacing w:val="2"/>
          <w:w w:val="105"/>
          <w:sz w:val="16"/>
        </w:rPr>
        <w:t> </w:t>
      </w:r>
      <w:r>
        <w:rPr>
          <w:spacing w:val="-2"/>
          <w:w w:val="105"/>
          <w:sz w:val="16"/>
        </w:rPr>
        <w:t>manufactures</w:t>
      </w:r>
      <w:r>
        <w:rPr>
          <w:spacing w:val="1"/>
          <w:w w:val="105"/>
          <w:sz w:val="16"/>
        </w:rPr>
        <w:t> </w:t>
      </w:r>
      <w:r>
        <w:rPr>
          <w:spacing w:val="-2"/>
          <w:w w:val="105"/>
          <w:sz w:val="16"/>
        </w:rPr>
        <w:t>glass</w:t>
      </w:r>
      <w:r>
        <w:rPr>
          <w:spacing w:val="2"/>
          <w:w w:val="105"/>
          <w:sz w:val="16"/>
        </w:rPr>
        <w:t> </w:t>
      </w:r>
      <w:r>
        <w:rPr>
          <w:spacing w:val="-2"/>
          <w:w w:val="105"/>
          <w:sz w:val="16"/>
        </w:rPr>
        <w:t>and</w:t>
      </w:r>
      <w:r>
        <w:rPr>
          <w:spacing w:val="1"/>
          <w:w w:val="105"/>
          <w:sz w:val="16"/>
        </w:rPr>
        <w:t> </w:t>
      </w:r>
      <w:r>
        <w:rPr>
          <w:spacing w:val="-2"/>
          <w:w w:val="105"/>
          <w:sz w:val="16"/>
        </w:rPr>
        <w:t>plastic</w:t>
      </w:r>
      <w:r>
        <w:rPr>
          <w:spacing w:val="2"/>
          <w:w w:val="105"/>
          <w:sz w:val="16"/>
        </w:rPr>
        <w:t> </w:t>
      </w:r>
      <w:r>
        <w:rPr>
          <w:spacing w:val="-2"/>
          <w:w w:val="105"/>
          <w:sz w:val="16"/>
        </w:rPr>
        <w:t>labware,</w:t>
      </w:r>
      <w:r>
        <w:rPr>
          <w:spacing w:val="1"/>
          <w:w w:val="105"/>
          <w:sz w:val="16"/>
        </w:rPr>
        <w:t> </w:t>
      </w:r>
      <w:r>
        <w:rPr>
          <w:spacing w:val="-2"/>
          <w:w w:val="105"/>
          <w:sz w:val="16"/>
        </w:rPr>
        <w:t>equipment,</w:t>
      </w:r>
      <w:r>
        <w:rPr>
          <w:spacing w:val="2"/>
          <w:w w:val="105"/>
          <w:sz w:val="16"/>
        </w:rPr>
        <w:t> </w:t>
      </w:r>
      <w:r>
        <w:rPr>
          <w:spacing w:val="-2"/>
          <w:w w:val="105"/>
          <w:sz w:val="16"/>
        </w:rPr>
        <w:t>media,</w:t>
      </w:r>
      <w:r>
        <w:rPr>
          <w:spacing w:val="1"/>
          <w:w w:val="105"/>
          <w:sz w:val="16"/>
        </w:rPr>
        <w:t> </w:t>
      </w:r>
      <w:r>
        <w:rPr>
          <w:spacing w:val="-2"/>
          <w:w w:val="105"/>
          <w:sz w:val="16"/>
        </w:rPr>
        <w:t>serum</w:t>
      </w:r>
      <w:r>
        <w:rPr>
          <w:spacing w:val="2"/>
          <w:w w:val="105"/>
          <w:sz w:val="16"/>
        </w:rPr>
        <w:t> </w:t>
      </w:r>
      <w:r>
        <w:rPr>
          <w:spacing w:val="-2"/>
          <w:w w:val="105"/>
          <w:sz w:val="16"/>
        </w:rPr>
        <w:t>and</w:t>
      </w:r>
      <w:r>
        <w:rPr>
          <w:spacing w:val="1"/>
          <w:w w:val="105"/>
          <w:sz w:val="16"/>
        </w:rPr>
        <w:t> </w:t>
      </w:r>
      <w:r>
        <w:rPr>
          <w:spacing w:val="-2"/>
          <w:w w:val="105"/>
          <w:sz w:val="16"/>
        </w:rPr>
        <w:t>reagents</w:t>
      </w:r>
      <w:r>
        <w:rPr>
          <w:spacing w:val="2"/>
          <w:w w:val="105"/>
          <w:sz w:val="16"/>
        </w:rPr>
        <w:t> </w:t>
      </w:r>
      <w:r>
        <w:rPr>
          <w:spacing w:val="-2"/>
          <w:w w:val="105"/>
          <w:sz w:val="16"/>
        </w:rPr>
        <w:t>enabling</w:t>
      </w:r>
      <w:r>
        <w:rPr>
          <w:spacing w:val="1"/>
          <w:w w:val="105"/>
          <w:sz w:val="16"/>
        </w:rPr>
        <w:t> </w:t>
      </w:r>
      <w:r>
        <w:rPr>
          <w:spacing w:val="-2"/>
          <w:w w:val="105"/>
          <w:sz w:val="16"/>
        </w:rPr>
        <w:t>workflow</w:t>
      </w:r>
      <w:r>
        <w:rPr>
          <w:spacing w:val="2"/>
          <w:w w:val="105"/>
          <w:sz w:val="16"/>
        </w:rPr>
        <w:t> </w:t>
      </w:r>
      <w:r>
        <w:rPr>
          <w:spacing w:val="-2"/>
          <w:w w:val="105"/>
          <w:sz w:val="16"/>
        </w:rPr>
        <w:t>solutions</w:t>
      </w:r>
      <w:r>
        <w:rPr>
          <w:spacing w:val="1"/>
          <w:w w:val="105"/>
          <w:sz w:val="16"/>
        </w:rPr>
        <w:t> </w:t>
      </w:r>
      <w:r>
        <w:rPr>
          <w:spacing w:val="-2"/>
          <w:w w:val="105"/>
          <w:sz w:val="16"/>
        </w:rPr>
        <w:t>for</w:t>
      </w:r>
      <w:r>
        <w:rPr>
          <w:spacing w:val="2"/>
          <w:w w:val="105"/>
          <w:sz w:val="16"/>
        </w:rPr>
        <w:t> </w:t>
      </w:r>
      <w:r>
        <w:rPr>
          <w:spacing w:val="-2"/>
          <w:w w:val="105"/>
          <w:sz w:val="16"/>
        </w:rPr>
        <w:t>drug</w:t>
      </w:r>
      <w:r>
        <w:rPr>
          <w:spacing w:val="1"/>
          <w:w w:val="105"/>
          <w:sz w:val="16"/>
        </w:rPr>
        <w:t> </w:t>
      </w:r>
      <w:r>
        <w:rPr>
          <w:spacing w:val="-2"/>
          <w:w w:val="105"/>
          <w:sz w:val="16"/>
        </w:rPr>
        <w:t>discovery</w:t>
      </w:r>
      <w:r>
        <w:rPr>
          <w:spacing w:val="2"/>
          <w:w w:val="105"/>
          <w:sz w:val="16"/>
        </w:rPr>
        <w:t> </w:t>
      </w:r>
      <w:r>
        <w:rPr>
          <w:spacing w:val="-2"/>
          <w:w w:val="105"/>
          <w:sz w:val="16"/>
        </w:rPr>
        <w:t>and</w:t>
      </w:r>
      <w:r>
        <w:rPr>
          <w:spacing w:val="1"/>
          <w:w w:val="105"/>
          <w:sz w:val="16"/>
        </w:rPr>
        <w:t> </w:t>
      </w:r>
      <w:r>
        <w:rPr>
          <w:spacing w:val="-2"/>
          <w:w w:val="105"/>
          <w:sz w:val="16"/>
        </w:rPr>
        <w:t>bioproduction.</w:t>
      </w:r>
    </w:p>
    <w:p>
      <w:pPr>
        <w:pStyle w:val="BodyText"/>
        <w:spacing w:before="39"/>
      </w:pPr>
    </w:p>
    <w:p>
      <w:pPr>
        <w:pStyle w:val="BodyText"/>
        <w:spacing w:line="266" w:lineRule="auto"/>
        <w:ind w:left="156"/>
      </w:pPr>
      <w:r>
        <w:rPr>
          <w:w w:val="105"/>
        </w:rPr>
        <w:t>All</w:t>
      </w:r>
      <w:r>
        <w:rPr>
          <w:spacing w:val="-8"/>
          <w:w w:val="105"/>
        </w:rPr>
        <w:t> </w:t>
      </w:r>
      <w:r>
        <w:rPr>
          <w:w w:val="105"/>
        </w:rPr>
        <w:t>other</w:t>
      </w:r>
      <w:r>
        <w:rPr>
          <w:spacing w:val="-8"/>
          <w:w w:val="105"/>
        </w:rPr>
        <w:t> </w:t>
      </w:r>
      <w:r>
        <w:rPr>
          <w:w w:val="105"/>
        </w:rPr>
        <w:t>businesses</w:t>
      </w:r>
      <w:r>
        <w:rPr>
          <w:spacing w:val="-8"/>
          <w:w w:val="105"/>
        </w:rPr>
        <w:t> </w:t>
      </w:r>
      <w:r>
        <w:rPr>
          <w:w w:val="105"/>
        </w:rPr>
        <w:t>that</w:t>
      </w:r>
      <w:r>
        <w:rPr>
          <w:spacing w:val="-8"/>
          <w:w w:val="105"/>
        </w:rPr>
        <w:t> </w:t>
      </w:r>
      <w:r>
        <w:rPr>
          <w:w w:val="105"/>
        </w:rPr>
        <w:t>do</w:t>
      </w:r>
      <w:r>
        <w:rPr>
          <w:spacing w:val="-8"/>
          <w:w w:val="105"/>
        </w:rPr>
        <w:t> </w:t>
      </w:r>
      <w:r>
        <w:rPr>
          <w:w w:val="105"/>
        </w:rPr>
        <w:t>not</w:t>
      </w:r>
      <w:r>
        <w:rPr>
          <w:spacing w:val="-8"/>
          <w:w w:val="105"/>
        </w:rPr>
        <w:t> </w:t>
      </w:r>
      <w:r>
        <w:rPr>
          <w:w w:val="105"/>
        </w:rPr>
        <w:t>meet</w:t>
      </w:r>
      <w:r>
        <w:rPr>
          <w:spacing w:val="-8"/>
          <w:w w:val="105"/>
        </w:rPr>
        <w:t> </w:t>
      </w:r>
      <w:r>
        <w:rPr>
          <w:w w:val="105"/>
        </w:rPr>
        <w:t>the</w:t>
      </w:r>
      <w:r>
        <w:rPr>
          <w:spacing w:val="-8"/>
          <w:w w:val="105"/>
        </w:rPr>
        <w:t> </w:t>
      </w:r>
      <w:r>
        <w:rPr>
          <w:w w:val="105"/>
        </w:rPr>
        <w:t>quantitative</w:t>
      </w:r>
      <w:r>
        <w:rPr>
          <w:spacing w:val="-6"/>
          <w:w w:val="105"/>
        </w:rPr>
        <w:t> </w:t>
      </w:r>
      <w:r>
        <w:rPr>
          <w:w w:val="105"/>
        </w:rPr>
        <w:t>threshold</w:t>
      </w:r>
      <w:r>
        <w:rPr>
          <w:spacing w:val="-8"/>
          <w:w w:val="105"/>
        </w:rPr>
        <w:t> </w:t>
      </w:r>
      <w:r>
        <w:rPr>
          <w:w w:val="105"/>
        </w:rPr>
        <w:t>for</w:t>
      </w:r>
      <w:r>
        <w:rPr>
          <w:spacing w:val="-8"/>
          <w:w w:val="105"/>
        </w:rPr>
        <w:t> </w:t>
      </w:r>
      <w:r>
        <w:rPr>
          <w:w w:val="105"/>
        </w:rPr>
        <w:t>separate</w:t>
      </w:r>
      <w:r>
        <w:rPr>
          <w:spacing w:val="-8"/>
          <w:w w:val="105"/>
        </w:rPr>
        <w:t> </w:t>
      </w:r>
      <w:r>
        <w:rPr>
          <w:w w:val="105"/>
        </w:rPr>
        <w:t>reporting</w:t>
      </w:r>
      <w:r>
        <w:rPr>
          <w:spacing w:val="-8"/>
          <w:w w:val="105"/>
        </w:rPr>
        <w:t> </w:t>
      </w:r>
      <w:r>
        <w:rPr>
          <w:w w:val="105"/>
        </w:rPr>
        <w:t>have</w:t>
      </w:r>
      <w:r>
        <w:rPr>
          <w:spacing w:val="-8"/>
          <w:w w:val="105"/>
        </w:rPr>
        <w:t> </w:t>
      </w:r>
      <w:r>
        <w:rPr>
          <w:w w:val="105"/>
        </w:rPr>
        <w:t>been</w:t>
      </w:r>
      <w:r>
        <w:rPr>
          <w:spacing w:val="-8"/>
          <w:w w:val="105"/>
        </w:rPr>
        <w:t> </w:t>
      </w:r>
      <w:r>
        <w:rPr>
          <w:w w:val="105"/>
        </w:rPr>
        <w:t>grouped</w:t>
      </w:r>
      <w:r>
        <w:rPr>
          <w:spacing w:val="-8"/>
          <w:w w:val="105"/>
        </w:rPr>
        <w:t> </w:t>
      </w:r>
      <w:r>
        <w:rPr>
          <w:w w:val="105"/>
        </w:rPr>
        <w:t>as</w:t>
      </w:r>
      <w:r>
        <w:rPr>
          <w:spacing w:val="-8"/>
          <w:w w:val="105"/>
        </w:rPr>
        <w:t> </w:t>
      </w:r>
      <w:r>
        <w:rPr>
          <w:w w:val="105"/>
        </w:rPr>
        <w:t>“All</w:t>
      </w:r>
      <w:r>
        <w:rPr>
          <w:spacing w:val="-8"/>
          <w:w w:val="105"/>
        </w:rPr>
        <w:t> </w:t>
      </w:r>
      <w:r>
        <w:rPr>
          <w:w w:val="105"/>
        </w:rPr>
        <w:t>Other.”</w:t>
      </w:r>
      <w:r>
        <w:rPr>
          <w:spacing w:val="-8"/>
          <w:w w:val="105"/>
        </w:rPr>
        <w:t> </w:t>
      </w:r>
      <w:r>
        <w:rPr>
          <w:w w:val="105"/>
        </w:rPr>
        <w:t>This</w:t>
      </w:r>
      <w:r>
        <w:rPr>
          <w:spacing w:val="-8"/>
          <w:w w:val="105"/>
        </w:rPr>
        <w:t> </w:t>
      </w:r>
      <w:r>
        <w:rPr>
          <w:w w:val="105"/>
        </w:rPr>
        <w:t>group</w:t>
      </w:r>
      <w:r>
        <w:rPr>
          <w:spacing w:val="-8"/>
          <w:w w:val="105"/>
        </w:rPr>
        <w:t> </w:t>
      </w:r>
      <w:r>
        <w:rPr>
          <w:w w:val="105"/>
        </w:rPr>
        <w:t>is</w:t>
      </w:r>
      <w:r>
        <w:rPr>
          <w:spacing w:val="-8"/>
          <w:w w:val="105"/>
        </w:rPr>
        <w:t> </w:t>
      </w:r>
      <w:r>
        <w:rPr>
          <w:w w:val="105"/>
        </w:rPr>
        <w:t>primarily</w:t>
      </w:r>
      <w:r>
        <w:rPr>
          <w:spacing w:val="-6"/>
          <w:w w:val="105"/>
        </w:rPr>
        <w:t> </w:t>
      </w:r>
      <w:r>
        <w:rPr>
          <w:w w:val="105"/>
        </w:rPr>
        <w:t>comprised</w:t>
      </w:r>
      <w:r>
        <w:rPr>
          <w:spacing w:val="-8"/>
          <w:w w:val="105"/>
        </w:rPr>
        <w:t> </w:t>
      </w:r>
      <w:r>
        <w:rPr>
          <w:w w:val="105"/>
        </w:rPr>
        <w:t>of</w:t>
      </w:r>
      <w:r>
        <w:rPr>
          <w:spacing w:val="-8"/>
          <w:w w:val="105"/>
        </w:rPr>
        <w:t> </w:t>
      </w:r>
      <w:r>
        <w:rPr>
          <w:w w:val="105"/>
        </w:rPr>
        <w:t>the</w:t>
      </w:r>
      <w:r>
        <w:rPr>
          <w:spacing w:val="-8"/>
          <w:w w:val="105"/>
        </w:rPr>
        <w:t> </w:t>
      </w:r>
      <w:r>
        <w:rPr>
          <w:w w:val="105"/>
        </w:rPr>
        <w:t>results</w:t>
      </w:r>
      <w:r>
        <w:rPr>
          <w:spacing w:val="-8"/>
          <w:w w:val="105"/>
        </w:rPr>
        <w:t> </w:t>
      </w:r>
      <w:r>
        <w:rPr>
          <w:w w:val="105"/>
        </w:rPr>
        <w:t>of HSG,</w:t>
      </w:r>
      <w:r>
        <w:rPr>
          <w:spacing w:val="-1"/>
          <w:w w:val="105"/>
        </w:rPr>
        <w:t> </w:t>
      </w:r>
      <w:r>
        <w:rPr>
          <w:w w:val="105"/>
        </w:rPr>
        <w:t>pharmaceutical</w:t>
      </w:r>
      <w:r>
        <w:rPr>
          <w:spacing w:val="-1"/>
          <w:w w:val="105"/>
        </w:rPr>
        <w:t> </w:t>
      </w:r>
      <w:r>
        <w:rPr>
          <w:w w:val="105"/>
        </w:rPr>
        <w:t>technologies,</w:t>
      </w:r>
      <w:r>
        <w:rPr>
          <w:spacing w:val="-1"/>
          <w:w w:val="105"/>
        </w:rPr>
        <w:t> </w:t>
      </w:r>
      <w:r>
        <w:rPr>
          <w:w w:val="105"/>
        </w:rPr>
        <w:t>auto</w:t>
      </w:r>
      <w:r>
        <w:rPr>
          <w:spacing w:val="-1"/>
          <w:w w:val="105"/>
        </w:rPr>
        <w:t> </w:t>
      </w:r>
      <w:r>
        <w:rPr>
          <w:w w:val="105"/>
        </w:rPr>
        <w:t>glass,</w:t>
      </w:r>
      <w:r>
        <w:rPr>
          <w:spacing w:val="-1"/>
          <w:w w:val="105"/>
        </w:rPr>
        <w:t> </w:t>
      </w:r>
      <w:r>
        <w:rPr>
          <w:w w:val="105"/>
        </w:rPr>
        <w:t>new</w:t>
      </w:r>
      <w:r>
        <w:rPr>
          <w:spacing w:val="-1"/>
          <w:w w:val="105"/>
        </w:rPr>
        <w:t> </w:t>
      </w:r>
      <w:r>
        <w:rPr>
          <w:w w:val="105"/>
        </w:rPr>
        <w:t>product</w:t>
      </w:r>
      <w:r>
        <w:rPr>
          <w:spacing w:val="-1"/>
          <w:w w:val="105"/>
        </w:rPr>
        <w:t> </w:t>
      </w:r>
      <w:r>
        <w:rPr>
          <w:w w:val="105"/>
        </w:rPr>
        <w:t>lines</w:t>
      </w:r>
      <w:r>
        <w:rPr>
          <w:spacing w:val="-1"/>
          <w:w w:val="105"/>
        </w:rPr>
        <w:t> </w:t>
      </w:r>
      <w:r>
        <w:rPr>
          <w:w w:val="105"/>
        </w:rPr>
        <w:t>and</w:t>
      </w:r>
      <w:r>
        <w:rPr>
          <w:spacing w:val="-1"/>
          <w:w w:val="105"/>
        </w:rPr>
        <w:t> </w:t>
      </w:r>
      <w:r>
        <w:rPr>
          <w:w w:val="105"/>
        </w:rPr>
        <w:t>development</w:t>
      </w:r>
      <w:r>
        <w:rPr>
          <w:spacing w:val="-1"/>
          <w:w w:val="105"/>
        </w:rPr>
        <w:t> </w:t>
      </w:r>
      <w:r>
        <w:rPr>
          <w:w w:val="105"/>
        </w:rPr>
        <w:t>projects,</w:t>
      </w:r>
      <w:r>
        <w:rPr>
          <w:spacing w:val="-1"/>
          <w:w w:val="105"/>
        </w:rPr>
        <w:t> </w:t>
      </w:r>
      <w:r>
        <w:rPr>
          <w:w w:val="105"/>
        </w:rPr>
        <w:t>as</w:t>
      </w:r>
      <w:r>
        <w:rPr>
          <w:spacing w:val="-1"/>
          <w:w w:val="105"/>
        </w:rPr>
        <w:t> </w:t>
      </w:r>
      <w:r>
        <w:rPr>
          <w:w w:val="105"/>
        </w:rPr>
        <w:t>well</w:t>
      </w:r>
      <w:r>
        <w:rPr>
          <w:spacing w:val="-1"/>
          <w:w w:val="105"/>
        </w:rPr>
        <w:t> </w:t>
      </w:r>
      <w:r>
        <w:rPr>
          <w:w w:val="105"/>
        </w:rPr>
        <w:t>as</w:t>
      </w:r>
      <w:r>
        <w:rPr>
          <w:spacing w:val="-1"/>
          <w:w w:val="105"/>
        </w:rPr>
        <w:t> </w:t>
      </w:r>
      <w:r>
        <w:rPr>
          <w:w w:val="105"/>
        </w:rPr>
        <w:t>other</w:t>
      </w:r>
      <w:r>
        <w:rPr>
          <w:spacing w:val="-1"/>
          <w:w w:val="105"/>
        </w:rPr>
        <w:t> </w:t>
      </w:r>
      <w:r>
        <w:rPr>
          <w:w w:val="105"/>
        </w:rPr>
        <w:t>businesses</w:t>
      </w:r>
      <w:r>
        <w:rPr>
          <w:spacing w:val="-1"/>
          <w:w w:val="105"/>
        </w:rPr>
        <w:t> </w:t>
      </w:r>
      <w:r>
        <w:rPr>
          <w:w w:val="105"/>
        </w:rPr>
        <w:t>and</w:t>
      </w:r>
      <w:r>
        <w:rPr>
          <w:spacing w:val="-1"/>
          <w:w w:val="105"/>
        </w:rPr>
        <w:t> </w:t>
      </w:r>
      <w:r>
        <w:rPr>
          <w:w w:val="105"/>
        </w:rPr>
        <w:t>certain</w:t>
      </w:r>
      <w:r>
        <w:rPr>
          <w:spacing w:val="-1"/>
          <w:w w:val="105"/>
        </w:rPr>
        <w:t> </w:t>
      </w:r>
      <w:r>
        <w:rPr>
          <w:w w:val="105"/>
        </w:rPr>
        <w:t>corporate</w:t>
      </w:r>
      <w:r>
        <w:rPr>
          <w:spacing w:val="-1"/>
          <w:w w:val="105"/>
        </w:rPr>
        <w:t> </w:t>
      </w:r>
      <w:r>
        <w:rPr>
          <w:w w:val="105"/>
        </w:rPr>
        <w:t>investments.</w:t>
      </w:r>
    </w:p>
    <w:p>
      <w:pPr>
        <w:pStyle w:val="BodyText"/>
        <w:spacing w:before="19"/>
      </w:pPr>
    </w:p>
    <w:p>
      <w:pPr>
        <w:pStyle w:val="BodyText"/>
        <w:spacing w:line="266" w:lineRule="auto"/>
        <w:ind w:left="156"/>
      </w:pPr>
      <w:r>
        <w:rPr>
          <w:w w:val="105"/>
        </w:rPr>
        <w:t>The</w:t>
      </w:r>
      <w:r>
        <w:rPr>
          <w:spacing w:val="-7"/>
          <w:w w:val="105"/>
        </w:rPr>
        <w:t> </w:t>
      </w:r>
      <w:r>
        <w:rPr>
          <w:w w:val="105"/>
        </w:rPr>
        <w:t>Company</w:t>
      </w:r>
      <w:r>
        <w:rPr>
          <w:spacing w:val="-7"/>
          <w:w w:val="105"/>
        </w:rPr>
        <w:t> </w:t>
      </w:r>
      <w:r>
        <w:rPr>
          <w:w w:val="105"/>
        </w:rPr>
        <w:t>obtained</w:t>
      </w:r>
      <w:r>
        <w:rPr>
          <w:spacing w:val="-7"/>
          <w:w w:val="105"/>
        </w:rPr>
        <w:t> </w:t>
      </w:r>
      <w:r>
        <w:rPr>
          <w:w w:val="105"/>
        </w:rPr>
        <w:t>a</w:t>
      </w:r>
      <w:r>
        <w:rPr>
          <w:spacing w:val="-7"/>
          <w:w w:val="105"/>
        </w:rPr>
        <w:t> </w:t>
      </w:r>
      <w:r>
        <w:rPr>
          <w:w w:val="105"/>
        </w:rPr>
        <w:t>controlling</w:t>
      </w:r>
      <w:r>
        <w:rPr>
          <w:spacing w:val="-7"/>
          <w:w w:val="105"/>
        </w:rPr>
        <w:t> </w:t>
      </w:r>
      <w:r>
        <w:rPr>
          <w:w w:val="105"/>
        </w:rPr>
        <w:t>interest</w:t>
      </w:r>
      <w:r>
        <w:rPr>
          <w:spacing w:val="-7"/>
          <w:w w:val="105"/>
        </w:rPr>
        <w:t> </w:t>
      </w:r>
      <w:r>
        <w:rPr>
          <w:w w:val="105"/>
        </w:rPr>
        <w:t>in</w:t>
      </w:r>
      <w:r>
        <w:rPr>
          <w:spacing w:val="-7"/>
          <w:w w:val="105"/>
        </w:rPr>
        <w:t> </w:t>
      </w:r>
      <w:r>
        <w:rPr>
          <w:w w:val="105"/>
        </w:rPr>
        <w:t>HSG</w:t>
      </w:r>
      <w:r>
        <w:rPr>
          <w:spacing w:val="-7"/>
          <w:w w:val="105"/>
        </w:rPr>
        <w:t> </w:t>
      </w:r>
      <w:r>
        <w:rPr>
          <w:w w:val="105"/>
        </w:rPr>
        <w:t>during</w:t>
      </w:r>
      <w:r>
        <w:rPr>
          <w:spacing w:val="-7"/>
          <w:w w:val="105"/>
        </w:rPr>
        <w:t> </w:t>
      </w:r>
      <w:r>
        <w:rPr>
          <w:w w:val="105"/>
        </w:rPr>
        <w:t>the</w:t>
      </w:r>
      <w:r>
        <w:rPr>
          <w:spacing w:val="-7"/>
          <w:w w:val="105"/>
        </w:rPr>
        <w:t> </w:t>
      </w:r>
      <w:r>
        <w:rPr>
          <w:w w:val="105"/>
        </w:rPr>
        <w:t>third</w:t>
      </w:r>
      <w:r>
        <w:rPr>
          <w:spacing w:val="-7"/>
          <w:w w:val="105"/>
        </w:rPr>
        <w:t> </w:t>
      </w:r>
      <w:r>
        <w:rPr>
          <w:w w:val="105"/>
        </w:rPr>
        <w:t>quarter</w:t>
      </w:r>
      <w:r>
        <w:rPr>
          <w:spacing w:val="-7"/>
          <w:w w:val="105"/>
        </w:rPr>
        <w:t> </w:t>
      </w:r>
      <w:r>
        <w:rPr>
          <w:w w:val="105"/>
        </w:rPr>
        <w:t>of</w:t>
      </w:r>
      <w:r>
        <w:rPr>
          <w:spacing w:val="-7"/>
          <w:w w:val="105"/>
        </w:rPr>
        <w:t> </w:t>
      </w:r>
      <w:r>
        <w:rPr>
          <w:w w:val="105"/>
        </w:rPr>
        <w:t>2020</w:t>
      </w:r>
      <w:r>
        <w:rPr>
          <w:spacing w:val="-7"/>
          <w:w w:val="105"/>
        </w:rPr>
        <w:t> </w:t>
      </w:r>
      <w:r>
        <w:rPr>
          <w:w w:val="105"/>
        </w:rPr>
        <w:t>and</w:t>
      </w:r>
      <w:r>
        <w:rPr>
          <w:spacing w:val="-7"/>
          <w:w w:val="105"/>
        </w:rPr>
        <w:t> </w:t>
      </w:r>
      <w:r>
        <w:rPr>
          <w:w w:val="105"/>
        </w:rPr>
        <w:t>has</w:t>
      </w:r>
      <w:r>
        <w:rPr>
          <w:spacing w:val="-7"/>
          <w:w w:val="105"/>
        </w:rPr>
        <w:t> </w:t>
      </w:r>
      <w:r>
        <w:rPr>
          <w:w w:val="105"/>
        </w:rPr>
        <w:t>consolidated</w:t>
      </w:r>
      <w:r>
        <w:rPr>
          <w:spacing w:val="-5"/>
          <w:w w:val="105"/>
        </w:rPr>
        <w:t> </w:t>
      </w:r>
      <w:r>
        <w:rPr>
          <w:w w:val="105"/>
        </w:rPr>
        <w:t>results</w:t>
      </w:r>
      <w:r>
        <w:rPr>
          <w:spacing w:val="-7"/>
          <w:w w:val="105"/>
        </w:rPr>
        <w:t> </w:t>
      </w:r>
      <w:r>
        <w:rPr>
          <w:w w:val="105"/>
        </w:rPr>
        <w:t>in</w:t>
      </w:r>
      <w:r>
        <w:rPr>
          <w:spacing w:val="-7"/>
          <w:w w:val="105"/>
        </w:rPr>
        <w:t> </w:t>
      </w:r>
      <w:r>
        <w:rPr>
          <w:w w:val="105"/>
        </w:rPr>
        <w:t>“All</w:t>
      </w:r>
      <w:r>
        <w:rPr>
          <w:spacing w:val="-7"/>
          <w:w w:val="105"/>
        </w:rPr>
        <w:t> </w:t>
      </w:r>
      <w:r>
        <w:rPr>
          <w:w w:val="105"/>
        </w:rPr>
        <w:t>Other”</w:t>
      </w:r>
      <w:r>
        <w:rPr>
          <w:spacing w:val="-7"/>
          <w:w w:val="105"/>
        </w:rPr>
        <w:t> </w:t>
      </w:r>
      <w:r>
        <w:rPr>
          <w:w w:val="105"/>
        </w:rPr>
        <w:t>since</w:t>
      </w:r>
      <w:r>
        <w:rPr>
          <w:spacing w:val="-7"/>
          <w:w w:val="105"/>
        </w:rPr>
        <w:t> </w:t>
      </w:r>
      <w:r>
        <w:rPr>
          <w:w w:val="105"/>
        </w:rPr>
        <w:t>September</w:t>
      </w:r>
      <w:r>
        <w:rPr>
          <w:spacing w:val="-7"/>
          <w:w w:val="105"/>
        </w:rPr>
        <w:t> </w:t>
      </w:r>
      <w:r>
        <w:rPr>
          <w:w w:val="105"/>
        </w:rPr>
        <w:t>9,</w:t>
      </w:r>
      <w:r>
        <w:rPr>
          <w:spacing w:val="-7"/>
          <w:w w:val="105"/>
        </w:rPr>
        <w:t> </w:t>
      </w:r>
      <w:r>
        <w:rPr>
          <w:w w:val="105"/>
        </w:rPr>
        <w:t>2020.</w:t>
      </w:r>
      <w:r>
        <w:rPr>
          <w:spacing w:val="28"/>
          <w:w w:val="105"/>
        </w:rPr>
        <w:t> </w:t>
      </w:r>
      <w:r>
        <w:rPr>
          <w:w w:val="105"/>
        </w:rPr>
        <w:t>Refer</w:t>
      </w:r>
      <w:r>
        <w:rPr>
          <w:spacing w:val="-7"/>
          <w:w w:val="105"/>
        </w:rPr>
        <w:t> </w:t>
      </w:r>
      <w:r>
        <w:rPr>
          <w:w w:val="105"/>
        </w:rPr>
        <w:t>to</w:t>
      </w:r>
      <w:r>
        <w:rPr>
          <w:spacing w:val="-7"/>
          <w:w w:val="105"/>
        </w:rPr>
        <w:t> </w:t>
      </w:r>
      <w:r>
        <w:rPr>
          <w:w w:val="105"/>
        </w:rPr>
        <w:t>Note</w:t>
      </w:r>
      <w:r>
        <w:rPr>
          <w:spacing w:val="-7"/>
          <w:w w:val="105"/>
        </w:rPr>
        <w:t> </w:t>
      </w:r>
      <w:r>
        <w:rPr>
          <w:w w:val="105"/>
        </w:rPr>
        <w:t>4 (HSG Transactions and Acquisitions) to the consolidated financial statements for additional information on this transaction.</w:t>
      </w:r>
    </w:p>
    <w:p>
      <w:pPr>
        <w:pStyle w:val="BodyText"/>
        <w:spacing w:before="19"/>
      </w:pPr>
    </w:p>
    <w:p>
      <w:pPr>
        <w:pStyle w:val="BodyText"/>
        <w:spacing w:line="266" w:lineRule="auto"/>
        <w:ind w:left="156" w:right="117"/>
      </w:pPr>
      <w:r>
        <w:rPr>
          <w:w w:val="105"/>
        </w:rPr>
        <w:t>Financial</w:t>
      </w:r>
      <w:r>
        <w:rPr>
          <w:spacing w:val="-2"/>
          <w:w w:val="105"/>
        </w:rPr>
        <w:t> </w:t>
      </w:r>
      <w:r>
        <w:rPr>
          <w:w w:val="105"/>
        </w:rPr>
        <w:t>results</w:t>
      </w:r>
      <w:r>
        <w:rPr>
          <w:spacing w:val="-2"/>
          <w:w w:val="105"/>
        </w:rPr>
        <w:t> </w:t>
      </w:r>
      <w:r>
        <w:rPr>
          <w:w w:val="105"/>
        </w:rPr>
        <w:t>for</w:t>
      </w:r>
      <w:r>
        <w:rPr>
          <w:spacing w:val="-2"/>
          <w:w w:val="105"/>
        </w:rPr>
        <w:t> </w:t>
      </w:r>
      <w:r>
        <w:rPr>
          <w:w w:val="105"/>
        </w:rPr>
        <w:t>the</w:t>
      </w:r>
      <w:r>
        <w:rPr>
          <w:spacing w:val="-2"/>
          <w:w w:val="105"/>
        </w:rPr>
        <w:t> </w:t>
      </w:r>
      <w:r>
        <w:rPr>
          <w:w w:val="105"/>
        </w:rPr>
        <w:t>reportable</w:t>
      </w:r>
      <w:r>
        <w:rPr>
          <w:spacing w:val="-2"/>
          <w:w w:val="105"/>
        </w:rPr>
        <w:t> </w:t>
      </w:r>
      <w:r>
        <w:rPr>
          <w:w w:val="105"/>
        </w:rPr>
        <w:t>segments</w:t>
      </w:r>
      <w:r>
        <w:rPr>
          <w:spacing w:val="-2"/>
          <w:w w:val="105"/>
        </w:rPr>
        <w:t> </w:t>
      </w:r>
      <w:r>
        <w:rPr>
          <w:w w:val="105"/>
        </w:rPr>
        <w:t>are</w:t>
      </w:r>
      <w:r>
        <w:rPr>
          <w:spacing w:val="-2"/>
          <w:w w:val="105"/>
        </w:rPr>
        <w:t> </w:t>
      </w:r>
      <w:r>
        <w:rPr>
          <w:w w:val="105"/>
        </w:rPr>
        <w:t>prepared</w:t>
      </w:r>
      <w:r>
        <w:rPr>
          <w:spacing w:val="-2"/>
          <w:w w:val="105"/>
        </w:rPr>
        <w:t> </w:t>
      </w:r>
      <w:r>
        <w:rPr>
          <w:w w:val="105"/>
        </w:rPr>
        <w:t>on</w:t>
      </w:r>
      <w:r>
        <w:rPr>
          <w:spacing w:val="-2"/>
          <w:w w:val="105"/>
        </w:rPr>
        <w:t> </w:t>
      </w:r>
      <w:r>
        <w:rPr>
          <w:w w:val="105"/>
        </w:rPr>
        <w:t>a</w:t>
      </w:r>
      <w:r>
        <w:rPr>
          <w:spacing w:val="-2"/>
          <w:w w:val="105"/>
        </w:rPr>
        <w:t> </w:t>
      </w:r>
      <w:r>
        <w:rPr>
          <w:w w:val="105"/>
        </w:rPr>
        <w:t>basis</w:t>
      </w:r>
      <w:r>
        <w:rPr>
          <w:spacing w:val="-2"/>
          <w:w w:val="105"/>
        </w:rPr>
        <w:t> </w:t>
      </w:r>
      <w:r>
        <w:rPr>
          <w:w w:val="105"/>
        </w:rPr>
        <w:t>consistent</w:t>
      </w:r>
      <w:r>
        <w:rPr>
          <w:spacing w:val="-2"/>
          <w:w w:val="105"/>
        </w:rPr>
        <w:t> </w:t>
      </w:r>
      <w:r>
        <w:rPr>
          <w:w w:val="105"/>
        </w:rPr>
        <w:t>with</w:t>
      </w:r>
      <w:r>
        <w:rPr>
          <w:spacing w:val="-2"/>
          <w:w w:val="105"/>
        </w:rPr>
        <w:t> </w:t>
      </w:r>
      <w:r>
        <w:rPr>
          <w:w w:val="105"/>
        </w:rPr>
        <w:t>the</w:t>
      </w:r>
      <w:r>
        <w:rPr>
          <w:spacing w:val="-2"/>
          <w:w w:val="105"/>
        </w:rPr>
        <w:t> </w:t>
      </w:r>
      <w:r>
        <w:rPr>
          <w:w w:val="105"/>
        </w:rPr>
        <w:t>internal</w:t>
      </w:r>
      <w:r>
        <w:rPr>
          <w:spacing w:val="-2"/>
          <w:w w:val="105"/>
        </w:rPr>
        <w:t> </w:t>
      </w:r>
      <w:r>
        <w:rPr>
          <w:w w:val="105"/>
        </w:rPr>
        <w:t>disaggregation</w:t>
      </w:r>
      <w:r>
        <w:rPr>
          <w:spacing w:val="-2"/>
          <w:w w:val="105"/>
        </w:rPr>
        <w:t> </w:t>
      </w:r>
      <w:r>
        <w:rPr>
          <w:w w:val="105"/>
        </w:rPr>
        <w:t>of</w:t>
      </w:r>
      <w:r>
        <w:rPr>
          <w:spacing w:val="-2"/>
          <w:w w:val="105"/>
        </w:rPr>
        <w:t> </w:t>
      </w:r>
      <w:r>
        <w:rPr>
          <w:w w:val="105"/>
        </w:rPr>
        <w:t>financial information</w:t>
      </w:r>
      <w:r>
        <w:rPr>
          <w:spacing w:val="-2"/>
          <w:w w:val="105"/>
        </w:rPr>
        <w:t> </w:t>
      </w:r>
      <w:r>
        <w:rPr>
          <w:w w:val="105"/>
        </w:rPr>
        <w:t>to</w:t>
      </w:r>
      <w:r>
        <w:rPr>
          <w:spacing w:val="-2"/>
          <w:w w:val="105"/>
        </w:rPr>
        <w:t> </w:t>
      </w:r>
      <w:r>
        <w:rPr>
          <w:w w:val="105"/>
        </w:rPr>
        <w:t>assist</w:t>
      </w:r>
      <w:r>
        <w:rPr>
          <w:spacing w:val="-2"/>
          <w:w w:val="105"/>
        </w:rPr>
        <w:t> </w:t>
      </w:r>
      <w:r>
        <w:rPr>
          <w:w w:val="105"/>
        </w:rPr>
        <w:t>the</w:t>
      </w:r>
      <w:r>
        <w:rPr>
          <w:spacing w:val="-2"/>
          <w:w w:val="105"/>
        </w:rPr>
        <w:t> </w:t>
      </w:r>
      <w:r>
        <w:rPr>
          <w:w w:val="105"/>
        </w:rPr>
        <w:t>Chief</w:t>
      </w:r>
      <w:r>
        <w:rPr>
          <w:spacing w:val="-2"/>
          <w:w w:val="105"/>
        </w:rPr>
        <w:t> </w:t>
      </w:r>
      <w:r>
        <w:rPr>
          <w:w w:val="105"/>
        </w:rPr>
        <w:t>Operating Decision</w:t>
      </w:r>
      <w:r>
        <w:rPr>
          <w:spacing w:val="-7"/>
          <w:w w:val="105"/>
        </w:rPr>
        <w:t> </w:t>
      </w:r>
      <w:r>
        <w:rPr>
          <w:w w:val="105"/>
        </w:rPr>
        <w:t>Maker</w:t>
      </w:r>
      <w:r>
        <w:rPr>
          <w:spacing w:val="-7"/>
          <w:w w:val="105"/>
        </w:rPr>
        <w:t> </w:t>
      </w:r>
      <w:r>
        <w:rPr>
          <w:w w:val="105"/>
        </w:rPr>
        <w:t>("CODM")</w:t>
      </w:r>
      <w:r>
        <w:rPr>
          <w:spacing w:val="-7"/>
          <w:w w:val="105"/>
        </w:rPr>
        <w:t> </w:t>
      </w:r>
      <w:r>
        <w:rPr>
          <w:w w:val="105"/>
        </w:rPr>
        <w:t>in</w:t>
      </w:r>
      <w:r>
        <w:rPr>
          <w:spacing w:val="-7"/>
          <w:w w:val="105"/>
        </w:rPr>
        <w:t> </w:t>
      </w:r>
      <w:r>
        <w:rPr>
          <w:w w:val="105"/>
        </w:rPr>
        <w:t>making</w:t>
      </w:r>
      <w:r>
        <w:rPr>
          <w:spacing w:val="-7"/>
          <w:w w:val="105"/>
        </w:rPr>
        <w:t> </w:t>
      </w:r>
      <w:r>
        <w:rPr>
          <w:w w:val="105"/>
        </w:rPr>
        <w:t>internal</w:t>
      </w:r>
      <w:r>
        <w:rPr>
          <w:spacing w:val="-7"/>
          <w:w w:val="105"/>
        </w:rPr>
        <w:t> </w:t>
      </w:r>
      <w:r>
        <w:rPr>
          <w:w w:val="105"/>
        </w:rPr>
        <w:t>operating</w:t>
      </w:r>
      <w:r>
        <w:rPr>
          <w:spacing w:val="-7"/>
          <w:w w:val="105"/>
        </w:rPr>
        <w:t> </w:t>
      </w:r>
      <w:r>
        <w:rPr>
          <w:w w:val="105"/>
        </w:rPr>
        <w:t>decisions.</w:t>
      </w:r>
      <w:r>
        <w:rPr>
          <w:spacing w:val="-7"/>
          <w:w w:val="105"/>
        </w:rPr>
        <w:t> </w:t>
      </w:r>
      <w:r>
        <w:rPr>
          <w:w w:val="105"/>
        </w:rPr>
        <w:t>The</w:t>
      </w:r>
      <w:r>
        <w:rPr>
          <w:spacing w:val="-6"/>
          <w:w w:val="105"/>
        </w:rPr>
        <w:t> </w:t>
      </w:r>
      <w:r>
        <w:rPr>
          <w:w w:val="105"/>
        </w:rPr>
        <w:t>impact</w:t>
      </w:r>
      <w:r>
        <w:rPr>
          <w:spacing w:val="-7"/>
          <w:w w:val="105"/>
        </w:rPr>
        <w:t> </w:t>
      </w:r>
      <w:r>
        <w:rPr>
          <w:w w:val="105"/>
        </w:rPr>
        <w:t>of</w:t>
      </w:r>
      <w:r>
        <w:rPr>
          <w:spacing w:val="-7"/>
          <w:w w:val="105"/>
        </w:rPr>
        <w:t> </w:t>
      </w:r>
      <w:r>
        <w:rPr>
          <w:w w:val="105"/>
        </w:rPr>
        <w:t>changes</w:t>
      </w:r>
      <w:r>
        <w:rPr>
          <w:spacing w:val="-7"/>
          <w:w w:val="105"/>
        </w:rPr>
        <w:t> </w:t>
      </w:r>
      <w:r>
        <w:rPr>
          <w:w w:val="105"/>
        </w:rPr>
        <w:t>in</w:t>
      </w:r>
      <w:r>
        <w:rPr>
          <w:spacing w:val="-7"/>
          <w:w w:val="105"/>
        </w:rPr>
        <w:t> </w:t>
      </w:r>
      <w:r>
        <w:rPr>
          <w:w w:val="105"/>
        </w:rPr>
        <w:t>the</w:t>
      </w:r>
      <w:r>
        <w:rPr>
          <w:spacing w:val="-7"/>
          <w:w w:val="105"/>
        </w:rPr>
        <w:t> </w:t>
      </w:r>
      <w:r>
        <w:rPr>
          <w:w w:val="105"/>
        </w:rPr>
        <w:t>Japanese</w:t>
      </w:r>
      <w:r>
        <w:rPr>
          <w:spacing w:val="-7"/>
          <w:w w:val="105"/>
        </w:rPr>
        <w:t> </w:t>
      </w:r>
      <w:r>
        <w:rPr>
          <w:w w:val="105"/>
        </w:rPr>
        <w:t>yen,</w:t>
      </w:r>
      <w:r>
        <w:rPr>
          <w:spacing w:val="-7"/>
          <w:w w:val="105"/>
        </w:rPr>
        <w:t> </w:t>
      </w:r>
      <w:r>
        <w:rPr>
          <w:w w:val="105"/>
        </w:rPr>
        <w:t>South</w:t>
      </w:r>
      <w:r>
        <w:rPr>
          <w:spacing w:val="-7"/>
          <w:w w:val="105"/>
        </w:rPr>
        <w:t> </w:t>
      </w:r>
      <w:r>
        <w:rPr>
          <w:w w:val="105"/>
        </w:rPr>
        <w:t>Korean</w:t>
      </w:r>
      <w:r>
        <w:rPr>
          <w:spacing w:val="-7"/>
          <w:w w:val="105"/>
        </w:rPr>
        <w:t> </w:t>
      </w:r>
      <w:r>
        <w:rPr>
          <w:w w:val="105"/>
        </w:rPr>
        <w:t>won,</w:t>
      </w:r>
      <w:r>
        <w:rPr>
          <w:spacing w:val="-7"/>
          <w:w w:val="105"/>
        </w:rPr>
        <w:t> </w:t>
      </w:r>
      <w:r>
        <w:rPr>
          <w:w w:val="105"/>
        </w:rPr>
        <w:t>Chinese</w:t>
      </w:r>
      <w:r>
        <w:rPr>
          <w:spacing w:val="-7"/>
          <w:w w:val="105"/>
        </w:rPr>
        <w:t> </w:t>
      </w:r>
      <w:r>
        <w:rPr>
          <w:w w:val="105"/>
        </w:rPr>
        <w:t>yuan</w:t>
      </w:r>
      <w:r>
        <w:rPr>
          <w:spacing w:val="-7"/>
          <w:w w:val="105"/>
        </w:rPr>
        <w:t> </w:t>
      </w:r>
      <w:r>
        <w:rPr>
          <w:w w:val="105"/>
        </w:rPr>
        <w:t>and</w:t>
      </w:r>
      <w:r>
        <w:rPr>
          <w:spacing w:val="-7"/>
          <w:w w:val="105"/>
        </w:rPr>
        <w:t> </w:t>
      </w:r>
      <w:r>
        <w:rPr>
          <w:w w:val="105"/>
        </w:rPr>
        <w:t>new</w:t>
      </w:r>
      <w:r>
        <w:rPr>
          <w:spacing w:val="-7"/>
          <w:w w:val="105"/>
        </w:rPr>
        <w:t> </w:t>
      </w:r>
      <w:r>
        <w:rPr>
          <w:w w:val="105"/>
        </w:rPr>
        <w:t>Taiwan</w:t>
      </w:r>
      <w:r>
        <w:rPr>
          <w:spacing w:val="-7"/>
          <w:w w:val="105"/>
        </w:rPr>
        <w:t> </w:t>
      </w:r>
      <w:r>
        <w:rPr>
          <w:w w:val="105"/>
        </w:rPr>
        <w:t>dollar</w:t>
      </w:r>
      <w:r>
        <w:rPr>
          <w:spacing w:val="-7"/>
          <w:w w:val="105"/>
        </w:rPr>
        <w:t> </w:t>
      </w:r>
      <w:r>
        <w:rPr>
          <w:w w:val="105"/>
        </w:rPr>
        <w:t>are excluded</w:t>
      </w:r>
      <w:r>
        <w:rPr>
          <w:spacing w:val="-3"/>
          <w:w w:val="105"/>
        </w:rPr>
        <w:t> </w:t>
      </w:r>
      <w:r>
        <w:rPr>
          <w:w w:val="105"/>
        </w:rPr>
        <w:t>from</w:t>
      </w:r>
      <w:r>
        <w:rPr>
          <w:spacing w:val="-3"/>
          <w:w w:val="105"/>
        </w:rPr>
        <w:t> </w:t>
      </w:r>
      <w:r>
        <w:rPr>
          <w:w w:val="105"/>
        </w:rPr>
        <w:t>segment</w:t>
      </w:r>
      <w:r>
        <w:rPr>
          <w:spacing w:val="-3"/>
          <w:w w:val="105"/>
        </w:rPr>
        <w:t> </w:t>
      </w:r>
      <w:r>
        <w:rPr>
          <w:w w:val="105"/>
        </w:rPr>
        <w:t>sales</w:t>
      </w:r>
      <w:r>
        <w:rPr>
          <w:spacing w:val="-3"/>
          <w:w w:val="105"/>
        </w:rPr>
        <w:t> </w:t>
      </w:r>
      <w:r>
        <w:rPr>
          <w:w w:val="105"/>
        </w:rPr>
        <w:t>and</w:t>
      </w:r>
      <w:r>
        <w:rPr>
          <w:spacing w:val="-3"/>
          <w:w w:val="105"/>
        </w:rPr>
        <w:t> </w:t>
      </w:r>
      <w:r>
        <w:rPr>
          <w:w w:val="105"/>
        </w:rPr>
        <w:t>segment</w:t>
      </w:r>
      <w:r>
        <w:rPr>
          <w:spacing w:val="-3"/>
          <w:w w:val="105"/>
        </w:rPr>
        <w:t> </w:t>
      </w:r>
      <w:r>
        <w:rPr>
          <w:w w:val="105"/>
        </w:rPr>
        <w:t>net</w:t>
      </w:r>
      <w:r>
        <w:rPr>
          <w:spacing w:val="-3"/>
          <w:w w:val="105"/>
        </w:rPr>
        <w:t> </w:t>
      </w:r>
      <w:r>
        <w:rPr>
          <w:w w:val="105"/>
        </w:rPr>
        <w:t>income</w:t>
      </w:r>
      <w:r>
        <w:rPr>
          <w:spacing w:val="-2"/>
          <w:w w:val="105"/>
        </w:rPr>
        <w:t> </w:t>
      </w:r>
      <w:r>
        <w:rPr>
          <w:w w:val="105"/>
        </w:rPr>
        <w:t>for</w:t>
      </w:r>
      <w:r>
        <w:rPr>
          <w:spacing w:val="-3"/>
          <w:w w:val="105"/>
        </w:rPr>
        <w:t> </w:t>
      </w:r>
      <w:r>
        <w:rPr>
          <w:w w:val="105"/>
        </w:rPr>
        <w:t>the</w:t>
      </w:r>
      <w:r>
        <w:rPr>
          <w:spacing w:val="-3"/>
          <w:w w:val="105"/>
        </w:rPr>
        <w:t> </w:t>
      </w:r>
      <w:r>
        <w:rPr>
          <w:w w:val="105"/>
        </w:rPr>
        <w:t>Display</w:t>
      </w:r>
      <w:r>
        <w:rPr>
          <w:spacing w:val="-3"/>
          <w:w w:val="105"/>
        </w:rPr>
        <w:t> </w:t>
      </w:r>
      <w:r>
        <w:rPr>
          <w:w w:val="105"/>
        </w:rPr>
        <w:t>Technologies</w:t>
      </w:r>
      <w:r>
        <w:rPr>
          <w:spacing w:val="-3"/>
          <w:w w:val="105"/>
        </w:rPr>
        <w:t> </w:t>
      </w:r>
      <w:r>
        <w:rPr>
          <w:w w:val="105"/>
        </w:rPr>
        <w:t>and</w:t>
      </w:r>
      <w:r>
        <w:rPr>
          <w:spacing w:val="-3"/>
          <w:w w:val="105"/>
        </w:rPr>
        <w:t> </w:t>
      </w:r>
      <w:r>
        <w:rPr>
          <w:w w:val="105"/>
        </w:rPr>
        <w:t>Specialty</w:t>
      </w:r>
      <w:r>
        <w:rPr>
          <w:spacing w:val="-3"/>
          <w:w w:val="105"/>
        </w:rPr>
        <w:t> </w:t>
      </w:r>
      <w:r>
        <w:rPr>
          <w:w w:val="105"/>
        </w:rPr>
        <w:t>Materials</w:t>
      </w:r>
      <w:r>
        <w:rPr>
          <w:spacing w:val="-3"/>
          <w:w w:val="105"/>
        </w:rPr>
        <w:t> </w:t>
      </w:r>
      <w:r>
        <w:rPr>
          <w:w w:val="105"/>
        </w:rPr>
        <w:t>segments.</w:t>
      </w:r>
      <w:r>
        <w:rPr>
          <w:spacing w:val="-3"/>
          <w:w w:val="105"/>
        </w:rPr>
        <w:t> </w:t>
      </w:r>
      <w:r>
        <w:rPr>
          <w:w w:val="105"/>
        </w:rPr>
        <w:t>The</w:t>
      </w:r>
      <w:r>
        <w:rPr>
          <w:spacing w:val="-3"/>
          <w:w w:val="105"/>
        </w:rPr>
        <w:t> </w:t>
      </w:r>
      <w:r>
        <w:rPr>
          <w:w w:val="105"/>
        </w:rPr>
        <w:t>impact</w:t>
      </w:r>
      <w:r>
        <w:rPr>
          <w:spacing w:val="-3"/>
          <w:w w:val="105"/>
        </w:rPr>
        <w:t> </w:t>
      </w:r>
      <w:r>
        <w:rPr>
          <w:w w:val="105"/>
        </w:rPr>
        <w:t>of</w:t>
      </w:r>
      <w:r>
        <w:rPr>
          <w:spacing w:val="-3"/>
          <w:w w:val="105"/>
        </w:rPr>
        <w:t> </w:t>
      </w:r>
      <w:r>
        <w:rPr>
          <w:w w:val="105"/>
        </w:rPr>
        <w:t>changes</w:t>
      </w:r>
      <w:r>
        <w:rPr>
          <w:spacing w:val="-3"/>
          <w:w w:val="105"/>
        </w:rPr>
        <w:t> </w:t>
      </w:r>
      <w:r>
        <w:rPr>
          <w:w w:val="105"/>
        </w:rPr>
        <w:t>in</w:t>
      </w:r>
      <w:r>
        <w:rPr>
          <w:spacing w:val="-2"/>
          <w:w w:val="105"/>
        </w:rPr>
        <w:t> </w:t>
      </w:r>
      <w:r>
        <w:rPr>
          <w:w w:val="105"/>
        </w:rPr>
        <w:t>the</w:t>
      </w:r>
      <w:r>
        <w:rPr>
          <w:spacing w:val="-3"/>
          <w:w w:val="105"/>
        </w:rPr>
        <w:t> </w:t>
      </w:r>
      <w:r>
        <w:rPr>
          <w:w w:val="105"/>
        </w:rPr>
        <w:t>euro</w:t>
      </w:r>
      <w:r>
        <w:rPr>
          <w:spacing w:val="-3"/>
          <w:w w:val="105"/>
        </w:rPr>
        <w:t> </w:t>
      </w:r>
      <w:r>
        <w:rPr>
          <w:w w:val="105"/>
        </w:rPr>
        <w:t>and</w:t>
      </w:r>
      <w:r>
        <w:rPr>
          <w:spacing w:val="-3"/>
          <w:w w:val="105"/>
        </w:rPr>
        <w:t> </w:t>
      </w:r>
      <w:r>
        <w:rPr>
          <w:w w:val="105"/>
        </w:rPr>
        <w:t>Chinese</w:t>
      </w:r>
      <w:r>
        <w:rPr>
          <w:spacing w:val="-3"/>
          <w:w w:val="105"/>
        </w:rPr>
        <w:t> </w:t>
      </w:r>
      <w:r>
        <w:rPr>
          <w:w w:val="105"/>
        </w:rPr>
        <w:t>yuan are</w:t>
      </w:r>
      <w:r>
        <w:rPr>
          <w:spacing w:val="-8"/>
          <w:w w:val="105"/>
        </w:rPr>
        <w:t> </w:t>
      </w:r>
      <w:r>
        <w:rPr>
          <w:w w:val="105"/>
        </w:rPr>
        <w:t>excluded</w:t>
      </w:r>
      <w:r>
        <w:rPr>
          <w:spacing w:val="-8"/>
          <w:w w:val="105"/>
        </w:rPr>
        <w:t> </w:t>
      </w:r>
      <w:r>
        <w:rPr>
          <w:w w:val="105"/>
        </w:rPr>
        <w:t>from</w:t>
      </w:r>
      <w:r>
        <w:rPr>
          <w:spacing w:val="-8"/>
          <w:w w:val="105"/>
        </w:rPr>
        <w:t> </w:t>
      </w:r>
      <w:r>
        <w:rPr>
          <w:w w:val="105"/>
        </w:rPr>
        <w:t>segment</w:t>
      </w:r>
      <w:r>
        <w:rPr>
          <w:spacing w:val="-8"/>
          <w:w w:val="105"/>
        </w:rPr>
        <w:t> </w:t>
      </w:r>
      <w:r>
        <w:rPr>
          <w:w w:val="105"/>
        </w:rPr>
        <w:t>sales</w:t>
      </w:r>
      <w:r>
        <w:rPr>
          <w:spacing w:val="-8"/>
          <w:w w:val="105"/>
        </w:rPr>
        <w:t> </w:t>
      </w:r>
      <w:r>
        <w:rPr>
          <w:w w:val="105"/>
        </w:rPr>
        <w:t>and</w:t>
      </w:r>
      <w:r>
        <w:rPr>
          <w:spacing w:val="-8"/>
          <w:w w:val="105"/>
        </w:rPr>
        <w:t> </w:t>
      </w:r>
      <w:r>
        <w:rPr>
          <w:w w:val="105"/>
        </w:rPr>
        <w:t>segment</w:t>
      </w:r>
      <w:r>
        <w:rPr>
          <w:spacing w:val="-8"/>
          <w:w w:val="105"/>
        </w:rPr>
        <w:t> </w:t>
      </w:r>
      <w:r>
        <w:rPr>
          <w:w w:val="105"/>
        </w:rPr>
        <w:t>net</w:t>
      </w:r>
      <w:r>
        <w:rPr>
          <w:spacing w:val="-8"/>
          <w:w w:val="105"/>
        </w:rPr>
        <w:t> </w:t>
      </w:r>
      <w:r>
        <w:rPr>
          <w:w w:val="105"/>
        </w:rPr>
        <w:t>income</w:t>
      </w:r>
      <w:r>
        <w:rPr>
          <w:spacing w:val="-8"/>
          <w:w w:val="105"/>
        </w:rPr>
        <w:t> </w:t>
      </w:r>
      <w:r>
        <w:rPr>
          <w:w w:val="105"/>
        </w:rPr>
        <w:t>for</w:t>
      </w:r>
      <w:r>
        <w:rPr>
          <w:spacing w:val="-8"/>
          <w:w w:val="105"/>
        </w:rPr>
        <w:t> </w:t>
      </w:r>
      <w:r>
        <w:rPr>
          <w:w w:val="105"/>
        </w:rPr>
        <w:t>the</w:t>
      </w:r>
      <w:r>
        <w:rPr>
          <w:spacing w:val="-8"/>
          <w:w w:val="105"/>
        </w:rPr>
        <w:t> </w:t>
      </w:r>
      <w:r>
        <w:rPr>
          <w:w w:val="105"/>
        </w:rPr>
        <w:t>Environment</w:t>
      </w:r>
      <w:r>
        <w:rPr>
          <w:spacing w:val="-8"/>
          <w:w w:val="105"/>
        </w:rPr>
        <w:t> </w:t>
      </w:r>
      <w:r>
        <w:rPr>
          <w:w w:val="105"/>
        </w:rPr>
        <w:t>Technologies</w:t>
      </w:r>
      <w:r>
        <w:rPr>
          <w:spacing w:val="-8"/>
          <w:w w:val="105"/>
        </w:rPr>
        <w:t> </w:t>
      </w:r>
      <w:r>
        <w:rPr>
          <w:w w:val="105"/>
        </w:rPr>
        <w:t>segment.</w:t>
      </w:r>
      <w:r>
        <w:rPr>
          <w:spacing w:val="-8"/>
          <w:w w:val="105"/>
        </w:rPr>
        <w:t> </w:t>
      </w:r>
      <w:r>
        <w:rPr>
          <w:w w:val="105"/>
        </w:rPr>
        <w:t>The</w:t>
      </w:r>
      <w:r>
        <w:rPr>
          <w:spacing w:val="-8"/>
          <w:w w:val="105"/>
        </w:rPr>
        <w:t> </w:t>
      </w:r>
      <w:r>
        <w:rPr>
          <w:w w:val="105"/>
        </w:rPr>
        <w:t>impact</w:t>
      </w:r>
      <w:r>
        <w:rPr>
          <w:spacing w:val="-8"/>
          <w:w w:val="105"/>
        </w:rPr>
        <w:t> </w:t>
      </w:r>
      <w:r>
        <w:rPr>
          <w:w w:val="105"/>
        </w:rPr>
        <w:t>of</w:t>
      </w:r>
      <w:r>
        <w:rPr>
          <w:spacing w:val="-8"/>
          <w:w w:val="105"/>
        </w:rPr>
        <w:t> </w:t>
      </w:r>
      <w:r>
        <w:rPr>
          <w:w w:val="105"/>
        </w:rPr>
        <w:t>changes</w:t>
      </w:r>
      <w:r>
        <w:rPr>
          <w:spacing w:val="-8"/>
          <w:w w:val="105"/>
        </w:rPr>
        <w:t> </w:t>
      </w:r>
      <w:r>
        <w:rPr>
          <w:w w:val="105"/>
        </w:rPr>
        <w:t>in</w:t>
      </w:r>
      <w:r>
        <w:rPr>
          <w:spacing w:val="-8"/>
          <w:w w:val="105"/>
        </w:rPr>
        <w:t> </w:t>
      </w:r>
      <w:r>
        <w:rPr>
          <w:w w:val="105"/>
        </w:rPr>
        <w:t>the</w:t>
      </w:r>
      <w:r>
        <w:rPr>
          <w:spacing w:val="-8"/>
          <w:w w:val="105"/>
        </w:rPr>
        <w:t> </w:t>
      </w:r>
      <w:r>
        <w:rPr>
          <w:w w:val="105"/>
        </w:rPr>
        <w:t>euro,</w:t>
      </w:r>
      <w:r>
        <w:rPr>
          <w:spacing w:val="-8"/>
          <w:w w:val="105"/>
        </w:rPr>
        <w:t> </w:t>
      </w:r>
      <w:r>
        <w:rPr>
          <w:w w:val="105"/>
        </w:rPr>
        <w:t>Chinese</w:t>
      </w:r>
      <w:r>
        <w:rPr>
          <w:spacing w:val="-8"/>
          <w:w w:val="105"/>
        </w:rPr>
        <w:t> </w:t>
      </w:r>
      <w:r>
        <w:rPr>
          <w:w w:val="105"/>
        </w:rPr>
        <w:t>yuan</w:t>
      </w:r>
      <w:r>
        <w:rPr>
          <w:spacing w:val="-6"/>
          <w:w w:val="105"/>
        </w:rPr>
        <w:t> </w:t>
      </w:r>
      <w:r>
        <w:rPr>
          <w:w w:val="105"/>
        </w:rPr>
        <w:t>and</w:t>
      </w:r>
      <w:r>
        <w:rPr>
          <w:spacing w:val="-8"/>
          <w:w w:val="105"/>
        </w:rPr>
        <w:t> </w:t>
      </w:r>
      <w:r>
        <w:rPr>
          <w:w w:val="105"/>
        </w:rPr>
        <w:t>Japanese</w:t>
      </w:r>
      <w:r>
        <w:rPr>
          <w:spacing w:val="-8"/>
          <w:w w:val="105"/>
        </w:rPr>
        <w:t> </w:t>
      </w:r>
      <w:r>
        <w:rPr>
          <w:w w:val="105"/>
        </w:rPr>
        <w:t>yen</w:t>
      </w:r>
      <w:r>
        <w:rPr>
          <w:spacing w:val="-8"/>
          <w:w w:val="105"/>
        </w:rPr>
        <w:t> </w:t>
      </w:r>
      <w:r>
        <w:rPr>
          <w:w w:val="105"/>
        </w:rPr>
        <w:t>are excluded</w:t>
      </w:r>
      <w:r>
        <w:rPr>
          <w:spacing w:val="-2"/>
          <w:w w:val="105"/>
        </w:rPr>
        <w:t> </w:t>
      </w:r>
      <w:r>
        <w:rPr>
          <w:w w:val="105"/>
        </w:rPr>
        <w:t>from</w:t>
      </w:r>
      <w:r>
        <w:rPr>
          <w:spacing w:val="-2"/>
          <w:w w:val="105"/>
        </w:rPr>
        <w:t> </w:t>
      </w:r>
      <w:r>
        <w:rPr>
          <w:w w:val="105"/>
        </w:rPr>
        <w:t>segment</w:t>
      </w:r>
      <w:r>
        <w:rPr>
          <w:spacing w:val="-2"/>
          <w:w w:val="105"/>
        </w:rPr>
        <w:t> </w:t>
      </w:r>
      <w:r>
        <w:rPr>
          <w:w w:val="105"/>
        </w:rPr>
        <w:t>sales</w:t>
      </w:r>
      <w:r>
        <w:rPr>
          <w:spacing w:val="-2"/>
          <w:w w:val="105"/>
        </w:rPr>
        <w:t> </w:t>
      </w:r>
      <w:r>
        <w:rPr>
          <w:w w:val="105"/>
        </w:rPr>
        <w:t>and</w:t>
      </w:r>
      <w:r>
        <w:rPr>
          <w:spacing w:val="-2"/>
          <w:w w:val="105"/>
        </w:rPr>
        <w:t> </w:t>
      </w:r>
      <w:r>
        <w:rPr>
          <w:w w:val="105"/>
        </w:rPr>
        <w:t>segment</w:t>
      </w:r>
      <w:r>
        <w:rPr>
          <w:spacing w:val="-2"/>
          <w:w w:val="105"/>
        </w:rPr>
        <w:t> </w:t>
      </w:r>
      <w:r>
        <w:rPr>
          <w:w w:val="105"/>
        </w:rPr>
        <w:t>net</w:t>
      </w:r>
      <w:r>
        <w:rPr>
          <w:spacing w:val="-2"/>
          <w:w w:val="105"/>
        </w:rPr>
        <w:t> </w:t>
      </w:r>
      <w:r>
        <w:rPr>
          <w:w w:val="105"/>
        </w:rPr>
        <w:t>income for</w:t>
      </w:r>
      <w:r>
        <w:rPr>
          <w:spacing w:val="-2"/>
          <w:w w:val="105"/>
        </w:rPr>
        <w:t> </w:t>
      </w:r>
      <w:r>
        <w:rPr>
          <w:w w:val="105"/>
        </w:rPr>
        <w:t>the</w:t>
      </w:r>
      <w:r>
        <w:rPr>
          <w:spacing w:val="-2"/>
          <w:w w:val="105"/>
        </w:rPr>
        <w:t> </w:t>
      </w:r>
      <w:r>
        <w:rPr>
          <w:w w:val="105"/>
        </w:rPr>
        <w:t>Life</w:t>
      </w:r>
      <w:r>
        <w:rPr>
          <w:spacing w:val="-2"/>
          <w:w w:val="105"/>
        </w:rPr>
        <w:t> </w:t>
      </w:r>
      <w:r>
        <w:rPr>
          <w:w w:val="105"/>
        </w:rPr>
        <w:t>Sciences</w:t>
      </w:r>
      <w:r>
        <w:rPr>
          <w:spacing w:val="-2"/>
          <w:w w:val="105"/>
        </w:rPr>
        <w:t> </w:t>
      </w:r>
      <w:r>
        <w:rPr>
          <w:w w:val="105"/>
        </w:rPr>
        <w:t>segment.</w:t>
      </w:r>
      <w:r>
        <w:rPr>
          <w:spacing w:val="-2"/>
          <w:w w:val="105"/>
        </w:rPr>
        <w:t> </w:t>
      </w:r>
      <w:r>
        <w:rPr>
          <w:w w:val="105"/>
        </w:rPr>
        <w:t>Certain</w:t>
      </w:r>
      <w:r>
        <w:rPr>
          <w:spacing w:val="-2"/>
          <w:w w:val="105"/>
        </w:rPr>
        <w:t> </w:t>
      </w:r>
      <w:r>
        <w:rPr>
          <w:w w:val="105"/>
        </w:rPr>
        <w:t>income</w:t>
      </w:r>
      <w:r>
        <w:rPr>
          <w:spacing w:val="-2"/>
          <w:w w:val="105"/>
        </w:rPr>
        <w:t> </w:t>
      </w:r>
      <w:r>
        <w:rPr>
          <w:w w:val="105"/>
        </w:rPr>
        <w:t>and</w:t>
      </w:r>
      <w:r>
        <w:rPr>
          <w:spacing w:val="-2"/>
          <w:w w:val="105"/>
        </w:rPr>
        <w:t> </w:t>
      </w:r>
      <w:r>
        <w:rPr>
          <w:w w:val="105"/>
        </w:rPr>
        <w:t>expenses</w:t>
      </w:r>
      <w:r>
        <w:rPr>
          <w:spacing w:val="-2"/>
          <w:w w:val="105"/>
        </w:rPr>
        <w:t> </w:t>
      </w:r>
      <w:r>
        <w:rPr>
          <w:w w:val="105"/>
        </w:rPr>
        <w:t>are</w:t>
      </w:r>
      <w:r>
        <w:rPr>
          <w:spacing w:val="-2"/>
          <w:w w:val="105"/>
        </w:rPr>
        <w:t> </w:t>
      </w:r>
      <w:r>
        <w:rPr>
          <w:w w:val="105"/>
        </w:rPr>
        <w:t>included</w:t>
      </w:r>
      <w:r>
        <w:rPr>
          <w:spacing w:val="-2"/>
          <w:w w:val="105"/>
        </w:rPr>
        <w:t> </w:t>
      </w:r>
      <w:r>
        <w:rPr>
          <w:w w:val="105"/>
        </w:rPr>
        <w:t>in</w:t>
      </w:r>
      <w:r>
        <w:rPr>
          <w:spacing w:val="-2"/>
          <w:w w:val="105"/>
        </w:rPr>
        <w:t> </w:t>
      </w:r>
      <w:r>
        <w:rPr>
          <w:w w:val="105"/>
        </w:rPr>
        <w:t>the</w:t>
      </w:r>
      <w:r>
        <w:rPr>
          <w:spacing w:val="-2"/>
          <w:w w:val="105"/>
        </w:rPr>
        <w:t> </w:t>
      </w:r>
      <w:r>
        <w:rPr>
          <w:w w:val="105"/>
        </w:rPr>
        <w:t>unallocated</w:t>
      </w:r>
      <w:r>
        <w:rPr>
          <w:spacing w:val="-2"/>
          <w:w w:val="105"/>
        </w:rPr>
        <w:t> </w:t>
      </w:r>
      <w:r>
        <w:rPr>
          <w:w w:val="105"/>
        </w:rPr>
        <w:t>amounts</w:t>
      </w:r>
      <w:r>
        <w:rPr>
          <w:spacing w:val="-2"/>
          <w:w w:val="105"/>
        </w:rPr>
        <w:t> </w:t>
      </w:r>
      <w:r>
        <w:rPr>
          <w:w w:val="105"/>
        </w:rPr>
        <w:t>in</w:t>
      </w:r>
      <w:r>
        <w:rPr>
          <w:spacing w:val="-2"/>
          <w:w w:val="105"/>
        </w:rPr>
        <w:t> </w:t>
      </w:r>
      <w:r>
        <w:rPr>
          <w:w w:val="105"/>
        </w:rPr>
        <w:t>the reconciliation</w:t>
      </w:r>
      <w:r>
        <w:rPr>
          <w:spacing w:val="-2"/>
          <w:w w:val="105"/>
        </w:rPr>
        <w:t> </w:t>
      </w:r>
      <w:r>
        <w:rPr>
          <w:w w:val="105"/>
        </w:rPr>
        <w:t>of</w:t>
      </w:r>
      <w:r>
        <w:rPr>
          <w:spacing w:val="-2"/>
          <w:w w:val="105"/>
        </w:rPr>
        <w:t> </w:t>
      </w:r>
      <w:r>
        <w:rPr>
          <w:w w:val="105"/>
        </w:rPr>
        <w:t>reportable</w:t>
      </w:r>
      <w:r>
        <w:rPr>
          <w:spacing w:val="-2"/>
          <w:w w:val="105"/>
        </w:rPr>
        <w:t> </w:t>
      </w:r>
      <w:r>
        <w:rPr>
          <w:w w:val="105"/>
        </w:rPr>
        <w:t>segment</w:t>
      </w:r>
      <w:r>
        <w:rPr>
          <w:spacing w:val="-2"/>
          <w:w w:val="105"/>
        </w:rPr>
        <w:t> </w:t>
      </w:r>
      <w:r>
        <w:rPr>
          <w:w w:val="105"/>
        </w:rPr>
        <w:t>net</w:t>
      </w:r>
      <w:r>
        <w:rPr>
          <w:spacing w:val="-2"/>
          <w:w w:val="105"/>
        </w:rPr>
        <w:t> </w:t>
      </w:r>
      <w:r>
        <w:rPr>
          <w:w w:val="105"/>
        </w:rPr>
        <w:t>income</w:t>
      </w:r>
      <w:r>
        <w:rPr>
          <w:spacing w:val="-2"/>
          <w:w w:val="105"/>
        </w:rPr>
        <w:t> </w:t>
      </w:r>
      <w:r>
        <w:rPr>
          <w:w w:val="105"/>
        </w:rPr>
        <w:t>(loss)</w:t>
      </w:r>
      <w:r>
        <w:rPr>
          <w:spacing w:val="-2"/>
          <w:w w:val="105"/>
        </w:rPr>
        <w:t> </w:t>
      </w:r>
      <w:r>
        <w:rPr>
          <w:w w:val="105"/>
        </w:rPr>
        <w:t>to</w:t>
      </w:r>
      <w:r>
        <w:rPr>
          <w:spacing w:val="-2"/>
          <w:w w:val="105"/>
        </w:rPr>
        <w:t> </w:t>
      </w:r>
      <w:r>
        <w:rPr>
          <w:w w:val="105"/>
        </w:rPr>
        <w:t>consolidated</w:t>
      </w:r>
      <w:r>
        <w:rPr>
          <w:spacing w:val="-2"/>
          <w:w w:val="105"/>
        </w:rPr>
        <w:t> </w:t>
      </w:r>
      <w:r>
        <w:rPr>
          <w:w w:val="105"/>
        </w:rPr>
        <w:t>net</w:t>
      </w:r>
      <w:r>
        <w:rPr>
          <w:spacing w:val="-2"/>
          <w:w w:val="105"/>
        </w:rPr>
        <w:t> </w:t>
      </w:r>
      <w:r>
        <w:rPr>
          <w:w w:val="105"/>
        </w:rPr>
        <w:t>income.</w:t>
      </w:r>
      <w:r>
        <w:rPr>
          <w:spacing w:val="-2"/>
          <w:w w:val="105"/>
        </w:rPr>
        <w:t> </w:t>
      </w:r>
      <w:r>
        <w:rPr>
          <w:w w:val="105"/>
        </w:rPr>
        <w:t>These</w:t>
      </w:r>
      <w:r>
        <w:rPr>
          <w:spacing w:val="-2"/>
          <w:w w:val="105"/>
        </w:rPr>
        <w:t> </w:t>
      </w:r>
      <w:r>
        <w:rPr>
          <w:w w:val="105"/>
        </w:rPr>
        <w:t>include</w:t>
      </w:r>
      <w:r>
        <w:rPr>
          <w:spacing w:val="-2"/>
          <w:w w:val="105"/>
        </w:rPr>
        <w:t> </w:t>
      </w:r>
      <w:r>
        <w:rPr>
          <w:w w:val="105"/>
        </w:rPr>
        <w:t>items</w:t>
      </w:r>
      <w:r>
        <w:rPr>
          <w:spacing w:val="-2"/>
          <w:w w:val="105"/>
        </w:rPr>
        <w:t> </w:t>
      </w:r>
      <w:r>
        <w:rPr>
          <w:w w:val="105"/>
        </w:rPr>
        <w:t>that</w:t>
      </w:r>
      <w:r>
        <w:rPr>
          <w:spacing w:val="-2"/>
          <w:w w:val="105"/>
        </w:rPr>
        <w:t> </w:t>
      </w:r>
      <w:r>
        <w:rPr>
          <w:w w:val="105"/>
        </w:rPr>
        <w:t>are</w:t>
      </w:r>
      <w:r>
        <w:rPr>
          <w:spacing w:val="-2"/>
          <w:w w:val="105"/>
        </w:rPr>
        <w:t> </w:t>
      </w:r>
      <w:r>
        <w:rPr>
          <w:w w:val="105"/>
        </w:rPr>
        <w:t>not</w:t>
      </w:r>
      <w:r>
        <w:rPr>
          <w:spacing w:val="-2"/>
          <w:w w:val="105"/>
        </w:rPr>
        <w:t> </w:t>
      </w:r>
      <w:r>
        <w:rPr>
          <w:w w:val="105"/>
        </w:rPr>
        <w:t>used</w:t>
      </w:r>
      <w:r>
        <w:rPr>
          <w:spacing w:val="-2"/>
          <w:w w:val="105"/>
        </w:rPr>
        <w:t> </w:t>
      </w:r>
      <w:r>
        <w:rPr>
          <w:w w:val="105"/>
        </w:rPr>
        <w:t>by</w:t>
      </w:r>
      <w:r>
        <w:rPr>
          <w:spacing w:val="-2"/>
          <w:w w:val="105"/>
        </w:rPr>
        <w:t> </w:t>
      </w:r>
      <w:r>
        <w:rPr>
          <w:w w:val="105"/>
        </w:rPr>
        <w:t>the</w:t>
      </w:r>
      <w:r>
        <w:rPr>
          <w:spacing w:val="-2"/>
          <w:w w:val="105"/>
        </w:rPr>
        <w:t> </w:t>
      </w:r>
      <w:r>
        <w:rPr>
          <w:w w:val="105"/>
        </w:rPr>
        <w:t>CODM</w:t>
      </w:r>
      <w:r>
        <w:rPr>
          <w:spacing w:val="-2"/>
          <w:w w:val="105"/>
        </w:rPr>
        <w:t> </w:t>
      </w:r>
      <w:r>
        <w:rPr>
          <w:w w:val="105"/>
        </w:rPr>
        <w:t>in</w:t>
      </w:r>
      <w:r>
        <w:rPr>
          <w:spacing w:val="-2"/>
          <w:w w:val="105"/>
        </w:rPr>
        <w:t> </w:t>
      </w:r>
      <w:r>
        <w:rPr>
          <w:w w:val="105"/>
        </w:rPr>
        <w:t>evaluating</w:t>
      </w:r>
      <w:r>
        <w:rPr>
          <w:spacing w:val="-2"/>
          <w:w w:val="105"/>
        </w:rPr>
        <w:t> </w:t>
      </w:r>
      <w:r>
        <w:rPr>
          <w:w w:val="105"/>
        </w:rPr>
        <w:t>the</w:t>
      </w:r>
      <w:r>
        <w:rPr>
          <w:spacing w:val="-2"/>
          <w:w w:val="105"/>
        </w:rPr>
        <w:t> </w:t>
      </w:r>
      <w:r>
        <w:rPr>
          <w:w w:val="105"/>
        </w:rPr>
        <w:t>results</w:t>
      </w:r>
      <w:r>
        <w:rPr>
          <w:spacing w:val="-2"/>
          <w:w w:val="105"/>
        </w:rPr>
        <w:t> </w:t>
      </w:r>
      <w:r>
        <w:rPr>
          <w:w w:val="105"/>
        </w:rPr>
        <w:t>of</w:t>
      </w:r>
      <w:r>
        <w:rPr>
          <w:spacing w:val="-2"/>
          <w:w w:val="105"/>
        </w:rPr>
        <w:t> </w:t>
      </w:r>
      <w:r>
        <w:rPr>
          <w:w w:val="105"/>
        </w:rPr>
        <w:t>or</w:t>
      </w:r>
      <w:r>
        <w:rPr>
          <w:spacing w:val="-2"/>
          <w:w w:val="105"/>
        </w:rPr>
        <w:t> </w:t>
      </w:r>
      <w:r>
        <w:rPr>
          <w:w w:val="105"/>
        </w:rPr>
        <w:t>in allocating</w:t>
      </w:r>
      <w:r>
        <w:rPr>
          <w:spacing w:val="-4"/>
          <w:w w:val="105"/>
        </w:rPr>
        <w:t> </w:t>
      </w:r>
      <w:r>
        <w:rPr>
          <w:w w:val="105"/>
        </w:rPr>
        <w:t>resources</w:t>
      </w:r>
      <w:r>
        <w:rPr>
          <w:spacing w:val="-4"/>
          <w:w w:val="105"/>
        </w:rPr>
        <w:t> </w:t>
      </w:r>
      <w:r>
        <w:rPr>
          <w:w w:val="105"/>
        </w:rPr>
        <w:t>to</w:t>
      </w:r>
      <w:r>
        <w:rPr>
          <w:spacing w:val="-4"/>
          <w:w w:val="105"/>
        </w:rPr>
        <w:t> </w:t>
      </w:r>
      <w:r>
        <w:rPr>
          <w:w w:val="105"/>
        </w:rPr>
        <w:t>the</w:t>
      </w:r>
      <w:r>
        <w:rPr>
          <w:spacing w:val="-6"/>
          <w:w w:val="105"/>
        </w:rPr>
        <w:t> </w:t>
      </w:r>
      <w:r>
        <w:rPr>
          <w:w w:val="105"/>
        </w:rPr>
        <w:t>segments</w:t>
      </w:r>
      <w:r>
        <w:rPr>
          <w:spacing w:val="-4"/>
          <w:w w:val="105"/>
        </w:rPr>
        <w:t> </w:t>
      </w:r>
      <w:r>
        <w:rPr>
          <w:w w:val="105"/>
        </w:rPr>
        <w:t>and</w:t>
      </w:r>
      <w:r>
        <w:rPr>
          <w:spacing w:val="-4"/>
          <w:w w:val="105"/>
        </w:rPr>
        <w:t> </w:t>
      </w:r>
      <w:r>
        <w:rPr>
          <w:w w:val="105"/>
        </w:rPr>
        <w:t>include</w:t>
      </w:r>
      <w:r>
        <w:rPr>
          <w:spacing w:val="-4"/>
          <w:w w:val="105"/>
        </w:rPr>
        <w:t> </w:t>
      </w:r>
      <w:r>
        <w:rPr>
          <w:w w:val="105"/>
        </w:rPr>
        <w:t>the</w:t>
      </w:r>
      <w:r>
        <w:rPr>
          <w:spacing w:val="-4"/>
          <w:w w:val="105"/>
        </w:rPr>
        <w:t> </w:t>
      </w:r>
      <w:r>
        <w:rPr>
          <w:w w:val="105"/>
        </w:rPr>
        <w:t>following</w:t>
      </w:r>
      <w:r>
        <w:rPr>
          <w:spacing w:val="-4"/>
          <w:w w:val="105"/>
        </w:rPr>
        <w:t> </w:t>
      </w:r>
      <w:r>
        <w:rPr>
          <w:w w:val="105"/>
        </w:rPr>
        <w:t>items:</w:t>
      </w:r>
      <w:r>
        <w:rPr>
          <w:spacing w:val="-4"/>
          <w:w w:val="105"/>
        </w:rPr>
        <w:t> </w:t>
      </w:r>
      <w:r>
        <w:rPr>
          <w:w w:val="105"/>
        </w:rPr>
        <w:t>the</w:t>
      </w:r>
      <w:r>
        <w:rPr>
          <w:spacing w:val="-4"/>
          <w:w w:val="105"/>
        </w:rPr>
        <w:t> </w:t>
      </w:r>
      <w:r>
        <w:rPr>
          <w:w w:val="105"/>
        </w:rPr>
        <w:t>impact</w:t>
      </w:r>
      <w:r>
        <w:rPr>
          <w:spacing w:val="-4"/>
          <w:w w:val="105"/>
        </w:rPr>
        <w:t> </w:t>
      </w:r>
      <w:r>
        <w:rPr>
          <w:w w:val="105"/>
        </w:rPr>
        <w:t>of</w:t>
      </w:r>
      <w:r>
        <w:rPr>
          <w:spacing w:val="-4"/>
          <w:w w:val="105"/>
        </w:rPr>
        <w:t> </w:t>
      </w:r>
      <w:r>
        <w:rPr>
          <w:w w:val="105"/>
        </w:rPr>
        <w:t>the</w:t>
      </w:r>
      <w:r>
        <w:rPr>
          <w:spacing w:val="-4"/>
          <w:w w:val="105"/>
        </w:rPr>
        <w:t> </w:t>
      </w:r>
      <w:r>
        <w:rPr>
          <w:w w:val="105"/>
        </w:rPr>
        <w:t>translated</w:t>
      </w:r>
      <w:r>
        <w:rPr>
          <w:spacing w:val="-4"/>
          <w:w w:val="105"/>
        </w:rPr>
        <w:t> </w:t>
      </w:r>
      <w:r>
        <w:rPr>
          <w:w w:val="105"/>
        </w:rPr>
        <w:t>earnings</w:t>
      </w:r>
      <w:r>
        <w:rPr>
          <w:spacing w:val="-4"/>
          <w:w w:val="105"/>
        </w:rPr>
        <w:t> </w:t>
      </w:r>
      <w:r>
        <w:rPr>
          <w:w w:val="105"/>
        </w:rPr>
        <w:t>contracts;</w:t>
      </w:r>
      <w:r>
        <w:rPr>
          <w:spacing w:val="-4"/>
          <w:w w:val="105"/>
        </w:rPr>
        <w:t> </w:t>
      </w:r>
      <w:r>
        <w:rPr>
          <w:w w:val="105"/>
        </w:rPr>
        <w:t>acquisition-related</w:t>
      </w:r>
      <w:r>
        <w:rPr>
          <w:spacing w:val="-4"/>
          <w:w w:val="105"/>
        </w:rPr>
        <w:t> </w:t>
      </w:r>
      <w:r>
        <w:rPr>
          <w:w w:val="105"/>
        </w:rPr>
        <w:t>costs;</w:t>
      </w:r>
      <w:r>
        <w:rPr>
          <w:spacing w:val="-4"/>
          <w:w w:val="105"/>
        </w:rPr>
        <w:t> </w:t>
      </w:r>
      <w:r>
        <w:rPr>
          <w:w w:val="105"/>
        </w:rPr>
        <w:t>certain</w:t>
      </w:r>
      <w:r>
        <w:rPr>
          <w:spacing w:val="-4"/>
          <w:w w:val="105"/>
        </w:rPr>
        <w:t> </w:t>
      </w:r>
      <w:r>
        <w:rPr>
          <w:w w:val="105"/>
        </w:rPr>
        <w:t>discrete</w:t>
      </w:r>
      <w:r>
        <w:rPr>
          <w:spacing w:val="-4"/>
          <w:w w:val="105"/>
        </w:rPr>
        <w:t> </w:t>
      </w:r>
      <w:r>
        <w:rPr>
          <w:w w:val="105"/>
        </w:rPr>
        <w:t>tax</w:t>
      </w:r>
      <w:r>
        <w:rPr>
          <w:spacing w:val="-4"/>
          <w:w w:val="105"/>
        </w:rPr>
        <w:t> </w:t>
      </w:r>
      <w:r>
        <w:rPr>
          <w:w w:val="105"/>
        </w:rPr>
        <w:t>items</w:t>
      </w:r>
      <w:r>
        <w:rPr>
          <w:spacing w:val="-4"/>
          <w:w w:val="105"/>
        </w:rPr>
        <w:t> </w:t>
      </w:r>
      <w:r>
        <w:rPr>
          <w:w w:val="105"/>
        </w:rPr>
        <w:t>and other</w:t>
      </w:r>
      <w:r>
        <w:rPr>
          <w:spacing w:val="-2"/>
          <w:w w:val="105"/>
        </w:rPr>
        <w:t> </w:t>
      </w:r>
      <w:r>
        <w:rPr>
          <w:w w:val="105"/>
        </w:rPr>
        <w:t>tax-related</w:t>
      </w:r>
      <w:r>
        <w:rPr>
          <w:spacing w:val="-2"/>
          <w:w w:val="105"/>
        </w:rPr>
        <w:t> </w:t>
      </w:r>
      <w:r>
        <w:rPr>
          <w:w w:val="105"/>
        </w:rPr>
        <w:t>adjustments;</w:t>
      </w:r>
      <w:r>
        <w:rPr>
          <w:spacing w:val="-2"/>
          <w:w w:val="105"/>
        </w:rPr>
        <w:t> </w:t>
      </w:r>
      <w:r>
        <w:rPr>
          <w:w w:val="105"/>
        </w:rPr>
        <w:t>certain</w:t>
      </w:r>
      <w:r>
        <w:rPr>
          <w:spacing w:val="-2"/>
          <w:w w:val="105"/>
        </w:rPr>
        <w:t> </w:t>
      </w:r>
      <w:r>
        <w:rPr>
          <w:w w:val="105"/>
        </w:rPr>
        <w:t>litigation,</w:t>
      </w:r>
      <w:r>
        <w:rPr>
          <w:spacing w:val="-2"/>
          <w:w w:val="105"/>
        </w:rPr>
        <w:t> </w:t>
      </w:r>
      <w:r>
        <w:rPr>
          <w:w w:val="105"/>
        </w:rPr>
        <w:t>regulatory</w:t>
      </w:r>
      <w:r>
        <w:rPr>
          <w:spacing w:val="-2"/>
          <w:w w:val="105"/>
        </w:rPr>
        <w:t> </w:t>
      </w:r>
      <w:r>
        <w:rPr>
          <w:w w:val="105"/>
        </w:rPr>
        <w:t>and</w:t>
      </w:r>
      <w:r>
        <w:rPr>
          <w:spacing w:val="-2"/>
          <w:w w:val="105"/>
        </w:rPr>
        <w:t> </w:t>
      </w:r>
      <w:r>
        <w:rPr>
          <w:w w:val="105"/>
        </w:rPr>
        <w:t>other</w:t>
      </w:r>
      <w:r>
        <w:rPr>
          <w:spacing w:val="-2"/>
          <w:w w:val="105"/>
        </w:rPr>
        <w:t> </w:t>
      </w:r>
      <w:r>
        <w:rPr>
          <w:w w:val="105"/>
        </w:rPr>
        <w:t>legal</w:t>
      </w:r>
      <w:r>
        <w:rPr>
          <w:spacing w:val="-2"/>
          <w:w w:val="105"/>
        </w:rPr>
        <w:t> </w:t>
      </w:r>
      <w:r>
        <w:rPr>
          <w:w w:val="105"/>
        </w:rPr>
        <w:t>matters;</w:t>
      </w:r>
      <w:r>
        <w:rPr>
          <w:spacing w:val="-2"/>
          <w:w w:val="105"/>
        </w:rPr>
        <w:t> </w:t>
      </w:r>
      <w:r>
        <w:rPr>
          <w:w w:val="105"/>
        </w:rPr>
        <w:t>restructuring,</w:t>
      </w:r>
      <w:r>
        <w:rPr>
          <w:spacing w:val="-2"/>
          <w:w w:val="105"/>
        </w:rPr>
        <w:t> </w:t>
      </w:r>
      <w:r>
        <w:rPr>
          <w:w w:val="105"/>
        </w:rPr>
        <w:t>impairment</w:t>
      </w:r>
      <w:r>
        <w:rPr>
          <w:spacing w:val="-2"/>
          <w:w w:val="105"/>
        </w:rPr>
        <w:t> </w:t>
      </w:r>
      <w:r>
        <w:rPr>
          <w:w w:val="105"/>
        </w:rPr>
        <w:t>losses</w:t>
      </w:r>
      <w:r>
        <w:rPr>
          <w:spacing w:val="-2"/>
          <w:w w:val="105"/>
        </w:rPr>
        <w:t> </w:t>
      </w:r>
      <w:r>
        <w:rPr>
          <w:w w:val="105"/>
        </w:rPr>
        <w:t>and</w:t>
      </w:r>
      <w:r>
        <w:rPr>
          <w:spacing w:val="-4"/>
          <w:w w:val="105"/>
        </w:rPr>
        <w:t> </w:t>
      </w:r>
      <w:r>
        <w:rPr>
          <w:w w:val="105"/>
        </w:rPr>
        <w:t>other</w:t>
      </w:r>
      <w:r>
        <w:rPr>
          <w:spacing w:val="-2"/>
          <w:w w:val="105"/>
        </w:rPr>
        <w:t> </w:t>
      </w:r>
      <w:r>
        <w:rPr>
          <w:w w:val="105"/>
        </w:rPr>
        <w:t>charges</w:t>
      </w:r>
      <w:r>
        <w:rPr>
          <w:spacing w:val="-2"/>
          <w:w w:val="105"/>
        </w:rPr>
        <w:t> </w:t>
      </w:r>
      <w:r>
        <w:rPr>
          <w:w w:val="105"/>
        </w:rPr>
        <w:t>and</w:t>
      </w:r>
      <w:r>
        <w:rPr>
          <w:spacing w:val="-2"/>
          <w:w w:val="105"/>
        </w:rPr>
        <w:t> </w:t>
      </w:r>
      <w:r>
        <w:rPr>
          <w:w w:val="105"/>
        </w:rPr>
        <w:t>credits;</w:t>
      </w:r>
      <w:r>
        <w:rPr>
          <w:spacing w:val="-4"/>
          <w:w w:val="105"/>
        </w:rPr>
        <w:t> </w:t>
      </w:r>
      <w:r>
        <w:rPr>
          <w:w w:val="105"/>
        </w:rPr>
        <w:t>adjustments</w:t>
      </w:r>
      <w:r>
        <w:rPr>
          <w:spacing w:val="-2"/>
          <w:w w:val="105"/>
        </w:rPr>
        <w:t> </w:t>
      </w:r>
      <w:r>
        <w:rPr>
          <w:w w:val="105"/>
        </w:rPr>
        <w:t>relating</w:t>
      </w:r>
      <w:r>
        <w:rPr>
          <w:spacing w:val="-2"/>
          <w:w w:val="105"/>
        </w:rPr>
        <w:t> </w:t>
      </w:r>
      <w:r>
        <w:rPr>
          <w:w w:val="105"/>
        </w:rPr>
        <w:t>to acquisitions;</w:t>
      </w:r>
      <w:r>
        <w:rPr>
          <w:spacing w:val="-3"/>
          <w:w w:val="105"/>
        </w:rPr>
        <w:t> </w:t>
      </w:r>
      <w:r>
        <w:rPr>
          <w:w w:val="105"/>
        </w:rPr>
        <w:t>and</w:t>
      </w:r>
      <w:r>
        <w:rPr>
          <w:spacing w:val="-3"/>
          <w:w w:val="105"/>
        </w:rPr>
        <w:t> </w:t>
      </w:r>
      <w:r>
        <w:rPr>
          <w:w w:val="105"/>
        </w:rPr>
        <w:t>other</w:t>
      </w:r>
      <w:r>
        <w:rPr>
          <w:spacing w:val="-3"/>
          <w:w w:val="105"/>
        </w:rPr>
        <w:t> </w:t>
      </w:r>
      <w:r>
        <w:rPr>
          <w:w w:val="105"/>
        </w:rPr>
        <w:t>non-recurring</w:t>
      </w:r>
      <w:r>
        <w:rPr>
          <w:spacing w:val="-3"/>
          <w:w w:val="105"/>
        </w:rPr>
        <w:t> </w:t>
      </w:r>
      <w:r>
        <w:rPr>
          <w:w w:val="105"/>
        </w:rPr>
        <w:t>non-operational</w:t>
      </w:r>
      <w:r>
        <w:rPr>
          <w:spacing w:val="-3"/>
          <w:w w:val="105"/>
        </w:rPr>
        <w:t> </w:t>
      </w:r>
      <w:r>
        <w:rPr>
          <w:w w:val="105"/>
        </w:rPr>
        <w:t>items.</w:t>
      </w:r>
      <w:r>
        <w:rPr>
          <w:spacing w:val="-3"/>
          <w:w w:val="105"/>
        </w:rPr>
        <w:t> </w:t>
      </w:r>
      <w:r>
        <w:rPr>
          <w:w w:val="105"/>
        </w:rPr>
        <w:t>Although</w:t>
      </w:r>
      <w:r>
        <w:rPr>
          <w:spacing w:val="-3"/>
          <w:w w:val="105"/>
        </w:rPr>
        <w:t> </w:t>
      </w:r>
      <w:r>
        <w:rPr>
          <w:w w:val="105"/>
        </w:rPr>
        <w:t>these</w:t>
      </w:r>
      <w:r>
        <w:rPr>
          <w:spacing w:val="-3"/>
          <w:w w:val="105"/>
        </w:rPr>
        <w:t> </w:t>
      </w:r>
      <w:r>
        <w:rPr>
          <w:w w:val="105"/>
        </w:rPr>
        <w:t>amounts</w:t>
      </w:r>
      <w:r>
        <w:rPr>
          <w:spacing w:val="-3"/>
          <w:w w:val="105"/>
        </w:rPr>
        <w:t> </w:t>
      </w:r>
      <w:r>
        <w:rPr>
          <w:w w:val="105"/>
        </w:rPr>
        <w:t>are</w:t>
      </w:r>
      <w:r>
        <w:rPr>
          <w:spacing w:val="-3"/>
          <w:w w:val="105"/>
        </w:rPr>
        <w:t> </w:t>
      </w:r>
      <w:r>
        <w:rPr>
          <w:w w:val="105"/>
        </w:rPr>
        <w:t>excluded</w:t>
      </w:r>
      <w:r>
        <w:rPr>
          <w:spacing w:val="-3"/>
          <w:w w:val="105"/>
        </w:rPr>
        <w:t> </w:t>
      </w:r>
      <w:r>
        <w:rPr>
          <w:w w:val="105"/>
        </w:rPr>
        <w:t>from</w:t>
      </w:r>
      <w:r>
        <w:rPr>
          <w:spacing w:val="-3"/>
          <w:w w:val="105"/>
        </w:rPr>
        <w:t> </w:t>
      </w:r>
      <w:r>
        <w:rPr>
          <w:w w:val="105"/>
        </w:rPr>
        <w:t>segment</w:t>
      </w:r>
      <w:r>
        <w:rPr>
          <w:spacing w:val="-1"/>
          <w:w w:val="105"/>
        </w:rPr>
        <w:t> </w:t>
      </w:r>
      <w:r>
        <w:rPr>
          <w:w w:val="105"/>
        </w:rPr>
        <w:t>results,</w:t>
      </w:r>
      <w:r>
        <w:rPr>
          <w:spacing w:val="-3"/>
          <w:w w:val="105"/>
        </w:rPr>
        <w:t> </w:t>
      </w:r>
      <w:r>
        <w:rPr>
          <w:w w:val="105"/>
        </w:rPr>
        <w:t>they</w:t>
      </w:r>
      <w:r>
        <w:rPr>
          <w:spacing w:val="-3"/>
          <w:w w:val="105"/>
        </w:rPr>
        <w:t> </w:t>
      </w:r>
      <w:r>
        <w:rPr>
          <w:w w:val="105"/>
        </w:rPr>
        <w:t>are</w:t>
      </w:r>
      <w:r>
        <w:rPr>
          <w:spacing w:val="-3"/>
          <w:w w:val="105"/>
        </w:rPr>
        <w:t> </w:t>
      </w:r>
      <w:r>
        <w:rPr>
          <w:w w:val="105"/>
        </w:rPr>
        <w:t>included</w:t>
      </w:r>
      <w:r>
        <w:rPr>
          <w:spacing w:val="-1"/>
          <w:w w:val="105"/>
        </w:rPr>
        <w:t> </w:t>
      </w:r>
      <w:r>
        <w:rPr>
          <w:w w:val="105"/>
        </w:rPr>
        <w:t>in</w:t>
      </w:r>
      <w:r>
        <w:rPr>
          <w:spacing w:val="-3"/>
          <w:w w:val="105"/>
        </w:rPr>
        <w:t> </w:t>
      </w:r>
      <w:r>
        <w:rPr>
          <w:w w:val="105"/>
        </w:rPr>
        <w:t>reported</w:t>
      </w:r>
      <w:r>
        <w:rPr>
          <w:spacing w:val="-3"/>
          <w:w w:val="105"/>
        </w:rPr>
        <w:t> </w:t>
      </w:r>
      <w:r>
        <w:rPr>
          <w:w w:val="105"/>
        </w:rPr>
        <w:t>consolidated</w:t>
      </w:r>
      <w:r>
        <w:rPr>
          <w:spacing w:val="-3"/>
          <w:w w:val="105"/>
        </w:rPr>
        <w:t> </w:t>
      </w:r>
      <w:r>
        <w:rPr>
          <w:w w:val="105"/>
        </w:rPr>
        <w:t>results.</w:t>
      </w:r>
    </w:p>
    <w:p>
      <w:pPr>
        <w:pStyle w:val="BodyText"/>
        <w:spacing w:before="16"/>
      </w:pPr>
    </w:p>
    <w:p>
      <w:pPr>
        <w:pStyle w:val="BodyText"/>
        <w:spacing w:line="266" w:lineRule="auto" w:before="1"/>
        <w:ind w:left="156"/>
      </w:pPr>
      <w:r>
        <w:rPr>
          <w:w w:val="105"/>
        </w:rPr>
        <w:t>Earnings</w:t>
      </w:r>
      <w:r>
        <w:rPr>
          <w:spacing w:val="-9"/>
          <w:w w:val="105"/>
        </w:rPr>
        <w:t> </w:t>
      </w:r>
      <w:r>
        <w:rPr>
          <w:w w:val="105"/>
        </w:rPr>
        <w:t>of</w:t>
      </w:r>
      <w:r>
        <w:rPr>
          <w:spacing w:val="-9"/>
          <w:w w:val="105"/>
        </w:rPr>
        <w:t> </w:t>
      </w:r>
      <w:r>
        <w:rPr>
          <w:w w:val="105"/>
        </w:rPr>
        <w:t>equity</w:t>
      </w:r>
      <w:r>
        <w:rPr>
          <w:spacing w:val="-9"/>
          <w:w w:val="105"/>
        </w:rPr>
        <w:t> </w:t>
      </w:r>
      <w:r>
        <w:rPr>
          <w:w w:val="105"/>
        </w:rPr>
        <w:t>affiliates</w:t>
      </w:r>
      <w:r>
        <w:rPr>
          <w:spacing w:val="-9"/>
          <w:w w:val="105"/>
        </w:rPr>
        <w:t> </w:t>
      </w:r>
      <w:r>
        <w:rPr>
          <w:w w:val="105"/>
        </w:rPr>
        <w:t>that</w:t>
      </w:r>
      <w:r>
        <w:rPr>
          <w:spacing w:val="-9"/>
          <w:w w:val="105"/>
        </w:rPr>
        <w:t> </w:t>
      </w:r>
      <w:r>
        <w:rPr>
          <w:w w:val="105"/>
        </w:rPr>
        <w:t>are</w:t>
      </w:r>
      <w:r>
        <w:rPr>
          <w:spacing w:val="-9"/>
          <w:w w:val="105"/>
        </w:rPr>
        <w:t> </w:t>
      </w:r>
      <w:r>
        <w:rPr>
          <w:w w:val="105"/>
        </w:rPr>
        <w:t>closely</w:t>
      </w:r>
      <w:r>
        <w:rPr>
          <w:spacing w:val="-9"/>
          <w:w w:val="105"/>
        </w:rPr>
        <w:t> </w:t>
      </w:r>
      <w:r>
        <w:rPr>
          <w:w w:val="105"/>
        </w:rPr>
        <w:t>associated</w:t>
      </w:r>
      <w:r>
        <w:rPr>
          <w:spacing w:val="-9"/>
          <w:w w:val="105"/>
        </w:rPr>
        <w:t> </w:t>
      </w:r>
      <w:r>
        <w:rPr>
          <w:w w:val="105"/>
        </w:rPr>
        <w:t>with</w:t>
      </w:r>
      <w:r>
        <w:rPr>
          <w:spacing w:val="-9"/>
          <w:w w:val="105"/>
        </w:rPr>
        <w:t> </w:t>
      </w:r>
      <w:r>
        <w:rPr>
          <w:w w:val="105"/>
        </w:rPr>
        <w:t>the</w:t>
      </w:r>
      <w:r>
        <w:rPr>
          <w:spacing w:val="-9"/>
          <w:w w:val="105"/>
        </w:rPr>
        <w:t> </w:t>
      </w:r>
      <w:r>
        <w:rPr>
          <w:w w:val="105"/>
        </w:rPr>
        <w:t>reportable</w:t>
      </w:r>
      <w:r>
        <w:rPr>
          <w:spacing w:val="-9"/>
          <w:w w:val="105"/>
        </w:rPr>
        <w:t> </w:t>
      </w:r>
      <w:r>
        <w:rPr>
          <w:w w:val="105"/>
        </w:rPr>
        <w:t>segments</w:t>
      </w:r>
      <w:r>
        <w:rPr>
          <w:spacing w:val="-9"/>
          <w:w w:val="105"/>
        </w:rPr>
        <w:t> </w:t>
      </w:r>
      <w:r>
        <w:rPr>
          <w:w w:val="105"/>
        </w:rPr>
        <w:t>are</w:t>
      </w:r>
      <w:r>
        <w:rPr>
          <w:spacing w:val="-9"/>
          <w:w w:val="105"/>
        </w:rPr>
        <w:t> </w:t>
      </w:r>
      <w:r>
        <w:rPr>
          <w:w w:val="105"/>
        </w:rPr>
        <w:t>included</w:t>
      </w:r>
      <w:r>
        <w:rPr>
          <w:spacing w:val="-9"/>
          <w:w w:val="105"/>
        </w:rPr>
        <w:t> </w:t>
      </w:r>
      <w:r>
        <w:rPr>
          <w:w w:val="105"/>
        </w:rPr>
        <w:t>in</w:t>
      </w:r>
      <w:r>
        <w:rPr>
          <w:spacing w:val="-9"/>
          <w:w w:val="105"/>
        </w:rPr>
        <w:t> </w:t>
      </w:r>
      <w:r>
        <w:rPr>
          <w:w w:val="105"/>
        </w:rPr>
        <w:t>the</w:t>
      </w:r>
      <w:r>
        <w:rPr>
          <w:spacing w:val="-9"/>
          <w:w w:val="105"/>
        </w:rPr>
        <w:t> </w:t>
      </w:r>
      <w:r>
        <w:rPr>
          <w:w w:val="105"/>
        </w:rPr>
        <w:t>respective</w:t>
      </w:r>
      <w:r>
        <w:rPr>
          <w:spacing w:val="-9"/>
          <w:w w:val="105"/>
        </w:rPr>
        <w:t> </w:t>
      </w:r>
      <w:r>
        <w:rPr>
          <w:w w:val="105"/>
        </w:rPr>
        <w:t>segment’s</w:t>
      </w:r>
      <w:r>
        <w:rPr>
          <w:spacing w:val="-9"/>
          <w:w w:val="105"/>
        </w:rPr>
        <w:t> </w:t>
      </w:r>
      <w:r>
        <w:rPr>
          <w:w w:val="105"/>
        </w:rPr>
        <w:t>net</w:t>
      </w:r>
      <w:r>
        <w:rPr>
          <w:spacing w:val="-9"/>
          <w:w w:val="105"/>
        </w:rPr>
        <w:t> </w:t>
      </w:r>
      <w:r>
        <w:rPr>
          <w:w w:val="105"/>
        </w:rPr>
        <w:t>income</w:t>
      </w:r>
      <w:r>
        <w:rPr>
          <w:spacing w:val="-9"/>
          <w:w w:val="105"/>
        </w:rPr>
        <w:t> </w:t>
      </w:r>
      <w:r>
        <w:rPr>
          <w:w w:val="105"/>
        </w:rPr>
        <w:t>(loss).</w:t>
      </w:r>
      <w:r>
        <w:rPr>
          <w:spacing w:val="-9"/>
          <w:w w:val="105"/>
        </w:rPr>
        <w:t> </w:t>
      </w:r>
      <w:r>
        <w:rPr>
          <w:w w:val="105"/>
        </w:rPr>
        <w:t>Certain</w:t>
      </w:r>
      <w:r>
        <w:rPr>
          <w:spacing w:val="-9"/>
          <w:w w:val="105"/>
        </w:rPr>
        <w:t> </w:t>
      </w:r>
      <w:r>
        <w:rPr>
          <w:w w:val="105"/>
        </w:rPr>
        <w:t>common</w:t>
      </w:r>
      <w:r>
        <w:rPr>
          <w:spacing w:val="-9"/>
          <w:w w:val="105"/>
        </w:rPr>
        <w:t> </w:t>
      </w:r>
      <w:r>
        <w:rPr>
          <w:w w:val="105"/>
        </w:rPr>
        <w:t>expenses among</w:t>
      </w:r>
      <w:r>
        <w:rPr>
          <w:spacing w:val="-4"/>
          <w:w w:val="105"/>
        </w:rPr>
        <w:t> </w:t>
      </w:r>
      <w:r>
        <w:rPr>
          <w:w w:val="105"/>
        </w:rPr>
        <w:t>reportable</w:t>
      </w:r>
      <w:r>
        <w:rPr>
          <w:spacing w:val="-4"/>
          <w:w w:val="105"/>
        </w:rPr>
        <w:t> </w:t>
      </w:r>
      <w:r>
        <w:rPr>
          <w:w w:val="105"/>
        </w:rPr>
        <w:t>segments</w:t>
      </w:r>
      <w:r>
        <w:rPr>
          <w:spacing w:val="-4"/>
          <w:w w:val="105"/>
        </w:rPr>
        <w:t> </w:t>
      </w:r>
      <w:r>
        <w:rPr>
          <w:w w:val="105"/>
        </w:rPr>
        <w:t>have</w:t>
      </w:r>
      <w:r>
        <w:rPr>
          <w:spacing w:val="-4"/>
          <w:w w:val="105"/>
        </w:rPr>
        <w:t> </w:t>
      </w:r>
      <w:r>
        <w:rPr>
          <w:w w:val="105"/>
        </w:rPr>
        <w:t>been</w:t>
      </w:r>
      <w:r>
        <w:rPr>
          <w:spacing w:val="-4"/>
          <w:w w:val="105"/>
        </w:rPr>
        <w:t> </w:t>
      </w:r>
      <w:r>
        <w:rPr>
          <w:w w:val="105"/>
        </w:rPr>
        <w:t>allocated</w:t>
      </w:r>
      <w:r>
        <w:rPr>
          <w:spacing w:val="-4"/>
          <w:w w:val="105"/>
        </w:rPr>
        <w:t> </w:t>
      </w:r>
      <w:r>
        <w:rPr>
          <w:w w:val="105"/>
        </w:rPr>
        <w:t>differently</w:t>
      </w:r>
      <w:r>
        <w:rPr>
          <w:spacing w:val="-4"/>
          <w:w w:val="105"/>
        </w:rPr>
        <w:t> </w:t>
      </w:r>
      <w:r>
        <w:rPr>
          <w:w w:val="105"/>
        </w:rPr>
        <w:t>than</w:t>
      </w:r>
      <w:r>
        <w:rPr>
          <w:spacing w:val="-4"/>
          <w:w w:val="105"/>
        </w:rPr>
        <w:t> </w:t>
      </w:r>
      <w:r>
        <w:rPr>
          <w:w w:val="105"/>
        </w:rPr>
        <w:t>they</w:t>
      </w:r>
      <w:r>
        <w:rPr>
          <w:spacing w:val="-4"/>
          <w:w w:val="105"/>
        </w:rPr>
        <w:t> </w:t>
      </w:r>
      <w:r>
        <w:rPr>
          <w:w w:val="105"/>
        </w:rPr>
        <w:t>would</w:t>
      </w:r>
      <w:r>
        <w:rPr>
          <w:spacing w:val="-4"/>
          <w:w w:val="105"/>
        </w:rPr>
        <w:t> </w:t>
      </w:r>
      <w:r>
        <w:rPr>
          <w:w w:val="105"/>
        </w:rPr>
        <w:t>for</w:t>
      </w:r>
      <w:r>
        <w:rPr>
          <w:spacing w:val="-4"/>
          <w:w w:val="105"/>
        </w:rPr>
        <w:t> </w:t>
      </w:r>
      <w:r>
        <w:rPr>
          <w:w w:val="105"/>
        </w:rPr>
        <w:t>stand-alone</w:t>
      </w:r>
      <w:r>
        <w:rPr>
          <w:spacing w:val="-4"/>
          <w:w w:val="105"/>
        </w:rPr>
        <w:t> </w:t>
      </w:r>
      <w:r>
        <w:rPr>
          <w:w w:val="105"/>
        </w:rPr>
        <w:t>financial</w:t>
      </w:r>
      <w:r>
        <w:rPr>
          <w:spacing w:val="-2"/>
          <w:w w:val="105"/>
        </w:rPr>
        <w:t> </w:t>
      </w:r>
      <w:r>
        <w:rPr>
          <w:w w:val="105"/>
        </w:rPr>
        <w:t>information.</w:t>
      </w:r>
      <w:r>
        <w:rPr>
          <w:spacing w:val="-4"/>
          <w:w w:val="105"/>
        </w:rPr>
        <w:t> </w:t>
      </w:r>
      <w:r>
        <w:rPr>
          <w:w w:val="105"/>
        </w:rPr>
        <w:t>Segment</w:t>
      </w:r>
      <w:r>
        <w:rPr>
          <w:spacing w:val="-4"/>
          <w:w w:val="105"/>
        </w:rPr>
        <w:t> </w:t>
      </w:r>
      <w:r>
        <w:rPr>
          <w:w w:val="105"/>
        </w:rPr>
        <w:t>net</w:t>
      </w:r>
      <w:r>
        <w:rPr>
          <w:spacing w:val="-4"/>
          <w:w w:val="105"/>
        </w:rPr>
        <w:t> </w:t>
      </w:r>
      <w:r>
        <w:rPr>
          <w:w w:val="105"/>
        </w:rPr>
        <w:t>income</w:t>
      </w:r>
      <w:r>
        <w:rPr>
          <w:spacing w:val="-4"/>
          <w:w w:val="105"/>
        </w:rPr>
        <w:t> </w:t>
      </w:r>
      <w:r>
        <w:rPr>
          <w:w w:val="105"/>
        </w:rPr>
        <w:t>(loss)</w:t>
      </w:r>
      <w:r>
        <w:rPr>
          <w:spacing w:val="-4"/>
          <w:w w:val="105"/>
        </w:rPr>
        <w:t> </w:t>
      </w:r>
      <w:r>
        <w:rPr>
          <w:w w:val="105"/>
        </w:rPr>
        <w:t>may</w:t>
      </w:r>
      <w:r>
        <w:rPr>
          <w:spacing w:val="-4"/>
          <w:w w:val="105"/>
        </w:rPr>
        <w:t> </w:t>
      </w:r>
      <w:r>
        <w:rPr>
          <w:w w:val="105"/>
        </w:rPr>
        <w:t>not</w:t>
      </w:r>
      <w:r>
        <w:rPr>
          <w:spacing w:val="-4"/>
          <w:w w:val="105"/>
        </w:rPr>
        <w:t> </w:t>
      </w:r>
      <w:r>
        <w:rPr>
          <w:w w:val="105"/>
        </w:rPr>
        <w:t>be</w:t>
      </w:r>
      <w:r>
        <w:rPr>
          <w:spacing w:val="-4"/>
          <w:w w:val="105"/>
        </w:rPr>
        <w:t> </w:t>
      </w:r>
      <w:r>
        <w:rPr>
          <w:w w:val="105"/>
        </w:rPr>
        <w:t>consistent</w:t>
      </w:r>
      <w:r>
        <w:rPr>
          <w:spacing w:val="-4"/>
          <w:w w:val="105"/>
        </w:rPr>
        <w:t> </w:t>
      </w:r>
      <w:r>
        <w:rPr>
          <w:w w:val="105"/>
        </w:rPr>
        <w:t>with measures used by other companies.</w:t>
      </w:r>
    </w:p>
    <w:p>
      <w:pPr>
        <w:pStyle w:val="BodyText"/>
        <w:spacing w:before="18"/>
      </w:pPr>
    </w:p>
    <w:p>
      <w:pPr>
        <w:pStyle w:val="Heading2"/>
      </w:pPr>
      <w:r>
        <w:rPr/>
        <w:t>Display</w:t>
      </w:r>
      <w:r>
        <w:rPr>
          <w:spacing w:val="16"/>
        </w:rPr>
        <w:t> </w:t>
      </w:r>
      <w:r>
        <w:rPr>
          <w:spacing w:val="-2"/>
        </w:rPr>
        <w:t>Technologies</w:t>
      </w:r>
    </w:p>
    <w:p>
      <w:pPr>
        <w:pStyle w:val="BodyText"/>
        <w:spacing w:before="40"/>
        <w:rPr>
          <w:b/>
        </w:rPr>
      </w:pPr>
    </w:p>
    <w:p>
      <w:pPr>
        <w:pStyle w:val="BodyText"/>
        <w:ind w:left="156"/>
      </w:pPr>
      <w:r>
        <w:rPr>
          <w:w w:val="105"/>
        </w:rPr>
        <w:t>The</w:t>
      </w:r>
      <w:r>
        <w:rPr>
          <w:spacing w:val="-10"/>
          <w:w w:val="105"/>
        </w:rPr>
        <w:t> </w:t>
      </w:r>
      <w:r>
        <w:rPr>
          <w:w w:val="105"/>
        </w:rPr>
        <w:t>following</w:t>
      </w:r>
      <w:r>
        <w:rPr>
          <w:spacing w:val="-10"/>
          <w:w w:val="105"/>
        </w:rPr>
        <w:t> </w:t>
      </w:r>
      <w:r>
        <w:rPr>
          <w:w w:val="105"/>
        </w:rPr>
        <w:t>table</w:t>
      </w:r>
      <w:r>
        <w:rPr>
          <w:spacing w:val="-10"/>
          <w:w w:val="105"/>
        </w:rPr>
        <w:t> </w:t>
      </w:r>
      <w:r>
        <w:rPr>
          <w:w w:val="105"/>
        </w:rPr>
        <w:t>provides</w:t>
      </w:r>
      <w:r>
        <w:rPr>
          <w:spacing w:val="-9"/>
          <w:w w:val="105"/>
        </w:rPr>
        <w:t> </w:t>
      </w:r>
      <w:r>
        <w:rPr>
          <w:w w:val="105"/>
        </w:rPr>
        <w:t>net</w:t>
      </w:r>
      <w:r>
        <w:rPr>
          <w:spacing w:val="-10"/>
          <w:w w:val="105"/>
        </w:rPr>
        <w:t> </w:t>
      </w:r>
      <w:r>
        <w:rPr>
          <w:w w:val="105"/>
        </w:rPr>
        <w:t>sales</w:t>
      </w:r>
      <w:r>
        <w:rPr>
          <w:spacing w:val="-10"/>
          <w:w w:val="105"/>
        </w:rPr>
        <w:t> </w:t>
      </w:r>
      <w:r>
        <w:rPr>
          <w:w w:val="105"/>
        </w:rPr>
        <w:t>and</w:t>
      </w:r>
      <w:r>
        <w:rPr>
          <w:spacing w:val="-10"/>
          <w:w w:val="105"/>
        </w:rPr>
        <w:t> </w:t>
      </w:r>
      <w:r>
        <w:rPr>
          <w:w w:val="105"/>
        </w:rPr>
        <w:t>net</w:t>
      </w:r>
      <w:r>
        <w:rPr>
          <w:spacing w:val="-9"/>
          <w:w w:val="105"/>
        </w:rPr>
        <w:t> </w:t>
      </w:r>
      <w:r>
        <w:rPr>
          <w:w w:val="105"/>
        </w:rPr>
        <w:t>income</w:t>
      </w:r>
      <w:r>
        <w:rPr>
          <w:spacing w:val="-10"/>
          <w:w w:val="105"/>
        </w:rPr>
        <w:t> </w:t>
      </w:r>
      <w:r>
        <w:rPr>
          <w:w w:val="105"/>
        </w:rPr>
        <w:t>for</w:t>
      </w:r>
      <w:r>
        <w:rPr>
          <w:spacing w:val="-8"/>
          <w:w w:val="105"/>
        </w:rPr>
        <w:t> </w:t>
      </w:r>
      <w:r>
        <w:rPr>
          <w:w w:val="105"/>
        </w:rPr>
        <w:t>the</w:t>
      </w:r>
      <w:r>
        <w:rPr>
          <w:spacing w:val="-10"/>
          <w:w w:val="105"/>
        </w:rPr>
        <w:t> </w:t>
      </w:r>
      <w:r>
        <w:rPr>
          <w:w w:val="105"/>
        </w:rPr>
        <w:t>Display</w:t>
      </w:r>
      <w:r>
        <w:rPr>
          <w:spacing w:val="-10"/>
          <w:w w:val="105"/>
        </w:rPr>
        <w:t> </w:t>
      </w:r>
      <w:r>
        <w:rPr>
          <w:w w:val="105"/>
        </w:rPr>
        <w:t>Technologies</w:t>
      </w:r>
      <w:r>
        <w:rPr>
          <w:spacing w:val="-9"/>
          <w:w w:val="105"/>
        </w:rPr>
        <w:t> </w:t>
      </w:r>
      <w:r>
        <w:rPr>
          <w:w w:val="105"/>
        </w:rPr>
        <w:t>segment</w:t>
      </w:r>
      <w:r>
        <w:rPr>
          <w:spacing w:val="-9"/>
          <w:w w:val="105"/>
        </w:rPr>
        <w:t> </w:t>
      </w:r>
      <w:r>
        <w:rPr>
          <w:w w:val="105"/>
        </w:rPr>
        <w:t>(in</w:t>
      </w:r>
      <w:r>
        <w:rPr>
          <w:spacing w:val="-9"/>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614464">
                <wp:simplePos x="0" y="0"/>
                <wp:positionH relativeFrom="page">
                  <wp:posOffset>226479</wp:posOffset>
                </wp:positionH>
                <wp:positionV relativeFrom="paragraph">
                  <wp:posOffset>83309</wp:posOffset>
                </wp:positionV>
                <wp:extent cx="7312659" cy="1651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7312659" cy="16510"/>
                        </a:xfrm>
                        <a:custGeom>
                          <a:avLst/>
                          <a:gdLst/>
                          <a:ahLst/>
                          <a:cxnLst/>
                          <a:rect l="l" t="t" r="r" b="b"/>
                          <a:pathLst>
                            <a:path w="7312659" h="16510">
                              <a:moveTo>
                                <a:pt x="7312342" y="0"/>
                              </a:moveTo>
                              <a:lnTo>
                                <a:pt x="7312342" y="0"/>
                              </a:lnTo>
                              <a:lnTo>
                                <a:pt x="0" y="0"/>
                              </a:lnTo>
                              <a:lnTo>
                                <a:pt x="0"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59838pt;width:575.775027pt;height:1.273pt;mso-position-horizontal-relative:page;mso-position-vertical-relative:paragraph;z-index:-15702016;mso-wrap-distance-left:0;mso-wrap-distance-right:0" id="docshape61" filled="true" fillcolor="#000000" stroked="false">
                <v:fill type="solid"/>
                <w10:wrap type="topAndBottom"/>
              </v:rect>
            </w:pict>
          </mc:Fallback>
        </mc:AlternateContent>
      </w:r>
    </w:p>
    <w:p>
      <w:pPr>
        <w:pStyle w:val="BodyText"/>
        <w:tabs>
          <w:tab w:pos="9685" w:val="left" w:leader="none"/>
          <w:tab w:pos="10831" w:val="left" w:leader="none"/>
        </w:tabs>
        <w:spacing w:before="3" w:after="23"/>
        <w:ind w:left="6444"/>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r>
        <w:rPr/>
        <w:tab/>
      </w:r>
      <w:r>
        <w:rPr>
          <w:w w:val="105"/>
        </w:rPr>
        <w:t>%</w:t>
      </w:r>
      <w:r>
        <w:rPr>
          <w:spacing w:val="-4"/>
          <w:w w:val="105"/>
        </w:rPr>
        <w:t> </w:t>
      </w:r>
      <w:r>
        <w:rPr>
          <w:spacing w:val="-2"/>
          <w:w w:val="105"/>
        </w:rPr>
        <w:t>change</w:t>
      </w:r>
      <w:r>
        <w:rPr/>
        <w:tab/>
      </w:r>
      <w:r>
        <w:rPr>
          <w:w w:val="105"/>
        </w:rPr>
        <w:t>%</w:t>
      </w:r>
      <w:r>
        <w:rPr>
          <w:spacing w:val="-4"/>
          <w:w w:val="105"/>
        </w:rPr>
        <w:t> </w:t>
      </w:r>
      <w:r>
        <w:rPr>
          <w:spacing w:val="-2"/>
          <w:w w:val="105"/>
        </w:rPr>
        <w:t>change</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7"/>
        <w:gridCol w:w="766"/>
        <w:gridCol w:w="508"/>
        <w:gridCol w:w="871"/>
        <w:gridCol w:w="865"/>
        <w:gridCol w:w="512"/>
        <w:gridCol w:w="506"/>
        <w:gridCol w:w="116"/>
        <w:gridCol w:w="1033"/>
        <w:gridCol w:w="116"/>
        <w:gridCol w:w="1033"/>
      </w:tblGrid>
      <w:tr>
        <w:trPr>
          <w:trHeight w:val="201" w:hRule="atLeast"/>
        </w:trPr>
        <w:tc>
          <w:tcPr>
            <w:tcW w:w="5197" w:type="dxa"/>
            <w:tcBorders>
              <w:bottom w:val="single" w:sz="6" w:space="0" w:color="000000"/>
            </w:tcBorders>
          </w:tcPr>
          <w:p>
            <w:pPr>
              <w:pStyle w:val="TableParagraph"/>
              <w:rPr>
                <w:sz w:val="14"/>
              </w:rPr>
            </w:pPr>
          </w:p>
        </w:tc>
        <w:tc>
          <w:tcPr>
            <w:tcW w:w="766" w:type="dxa"/>
            <w:tcBorders>
              <w:top w:val="single" w:sz="6" w:space="0" w:color="000000"/>
              <w:bottom w:val="single" w:sz="6" w:space="0" w:color="000000"/>
            </w:tcBorders>
          </w:tcPr>
          <w:p>
            <w:pPr>
              <w:pStyle w:val="TableParagraph"/>
              <w:spacing w:line="179" w:lineRule="exact" w:before="2"/>
              <w:ind w:left="414"/>
              <w:rPr>
                <w:b/>
                <w:sz w:val="16"/>
              </w:rPr>
            </w:pPr>
            <w:r>
              <w:rPr>
                <w:b/>
                <w:spacing w:val="-4"/>
                <w:w w:val="105"/>
                <w:sz w:val="16"/>
              </w:rPr>
              <w:t>2021</w:t>
            </w:r>
          </w:p>
        </w:tc>
        <w:tc>
          <w:tcPr>
            <w:tcW w:w="508" w:type="dxa"/>
            <w:tcBorders>
              <w:top w:val="single" w:sz="6" w:space="0" w:color="000000"/>
              <w:bottom w:val="single" w:sz="6" w:space="0" w:color="000000"/>
            </w:tcBorders>
          </w:tcPr>
          <w:p>
            <w:pPr>
              <w:pStyle w:val="TableParagraph"/>
              <w:rPr>
                <w:sz w:val="14"/>
              </w:rPr>
            </w:pPr>
          </w:p>
        </w:tc>
        <w:tc>
          <w:tcPr>
            <w:tcW w:w="871" w:type="dxa"/>
            <w:tcBorders>
              <w:top w:val="single" w:sz="6" w:space="0" w:color="000000"/>
              <w:bottom w:val="single" w:sz="6" w:space="0" w:color="000000"/>
            </w:tcBorders>
          </w:tcPr>
          <w:p>
            <w:pPr>
              <w:pStyle w:val="TableParagraph"/>
              <w:spacing w:line="179" w:lineRule="exact" w:before="2"/>
              <w:ind w:left="522"/>
              <w:rPr>
                <w:sz w:val="16"/>
              </w:rPr>
            </w:pPr>
            <w:r>
              <w:rPr>
                <w:spacing w:val="-4"/>
                <w:w w:val="105"/>
                <w:sz w:val="16"/>
              </w:rPr>
              <w:t>2020</w:t>
            </w:r>
          </w:p>
        </w:tc>
        <w:tc>
          <w:tcPr>
            <w:tcW w:w="865" w:type="dxa"/>
            <w:tcBorders>
              <w:top w:val="single" w:sz="6" w:space="0" w:color="000000"/>
              <w:bottom w:val="single" w:sz="6" w:space="0" w:color="000000"/>
            </w:tcBorders>
          </w:tcPr>
          <w:p>
            <w:pPr>
              <w:pStyle w:val="TableParagraph"/>
              <w:rPr>
                <w:sz w:val="14"/>
              </w:rPr>
            </w:pPr>
          </w:p>
        </w:tc>
        <w:tc>
          <w:tcPr>
            <w:tcW w:w="512" w:type="dxa"/>
            <w:tcBorders>
              <w:top w:val="single" w:sz="6" w:space="0" w:color="000000"/>
              <w:bottom w:val="single" w:sz="6" w:space="0" w:color="000000"/>
            </w:tcBorders>
          </w:tcPr>
          <w:p>
            <w:pPr>
              <w:pStyle w:val="TableParagraph"/>
              <w:spacing w:line="179" w:lineRule="exact" w:before="2"/>
              <w:ind w:left="162"/>
              <w:rPr>
                <w:sz w:val="16"/>
              </w:rPr>
            </w:pPr>
            <w:r>
              <w:rPr>
                <w:spacing w:val="-4"/>
                <w:w w:val="105"/>
                <w:sz w:val="16"/>
              </w:rPr>
              <w:t>2019</w:t>
            </w:r>
          </w:p>
        </w:tc>
        <w:tc>
          <w:tcPr>
            <w:tcW w:w="506" w:type="dxa"/>
            <w:tcBorders>
              <w:top w:val="single" w:sz="6" w:space="0" w:color="000000"/>
              <w:bottom w:val="single" w:sz="6" w:space="0" w:color="000000"/>
            </w:tcBorders>
          </w:tcPr>
          <w:p>
            <w:pPr>
              <w:pStyle w:val="TableParagraph"/>
              <w:rPr>
                <w:sz w:val="14"/>
              </w:rPr>
            </w:pPr>
          </w:p>
        </w:tc>
        <w:tc>
          <w:tcPr>
            <w:tcW w:w="116" w:type="dxa"/>
            <w:tcBorders>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spacing w:line="179" w:lineRule="exact" w:before="2"/>
              <w:ind w:left="5" w:right="11"/>
              <w:jc w:val="center"/>
              <w:rPr>
                <w:sz w:val="16"/>
              </w:rPr>
            </w:pPr>
            <w:r>
              <w:rPr>
                <w:w w:val="105"/>
                <w:sz w:val="16"/>
              </w:rPr>
              <w:t>21</w:t>
            </w:r>
            <w:r>
              <w:rPr>
                <w:spacing w:val="-5"/>
                <w:w w:val="105"/>
                <w:sz w:val="16"/>
              </w:rPr>
              <w:t> </w:t>
            </w:r>
            <w:r>
              <w:rPr>
                <w:w w:val="105"/>
                <w:sz w:val="16"/>
              </w:rPr>
              <w:t>vs.</w:t>
            </w:r>
            <w:r>
              <w:rPr>
                <w:spacing w:val="-4"/>
                <w:w w:val="105"/>
                <w:sz w:val="16"/>
              </w:rPr>
              <w:t> </w:t>
            </w:r>
            <w:r>
              <w:rPr>
                <w:spacing w:val="-7"/>
                <w:w w:val="105"/>
                <w:sz w:val="16"/>
              </w:rPr>
              <w:t>20</w:t>
            </w:r>
          </w:p>
        </w:tc>
        <w:tc>
          <w:tcPr>
            <w:tcW w:w="116" w:type="dxa"/>
            <w:tcBorders>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spacing w:line="179" w:lineRule="exact" w:before="2"/>
              <w:ind w:right="11"/>
              <w:jc w:val="center"/>
              <w:rPr>
                <w:sz w:val="16"/>
              </w:rPr>
            </w:pPr>
            <w:r>
              <w:rPr>
                <w:w w:val="105"/>
                <w:sz w:val="16"/>
              </w:rPr>
              <w:t>20</w:t>
            </w:r>
            <w:r>
              <w:rPr>
                <w:spacing w:val="-5"/>
                <w:w w:val="105"/>
                <w:sz w:val="16"/>
              </w:rPr>
              <w:t> </w:t>
            </w:r>
            <w:r>
              <w:rPr>
                <w:w w:val="105"/>
                <w:sz w:val="16"/>
              </w:rPr>
              <w:t>vs.</w:t>
            </w:r>
            <w:r>
              <w:rPr>
                <w:spacing w:val="-4"/>
                <w:w w:val="105"/>
                <w:sz w:val="16"/>
              </w:rPr>
              <w:t> </w:t>
            </w:r>
            <w:r>
              <w:rPr>
                <w:spacing w:val="-7"/>
                <w:w w:val="105"/>
                <w:sz w:val="16"/>
              </w:rPr>
              <w:t>19</w:t>
            </w:r>
          </w:p>
        </w:tc>
      </w:tr>
      <w:tr>
        <w:trPr>
          <w:trHeight w:val="202" w:hRule="atLeast"/>
        </w:trPr>
        <w:tc>
          <w:tcPr>
            <w:tcW w:w="5197" w:type="dxa"/>
            <w:tcBorders>
              <w:top w:val="single" w:sz="6" w:space="0" w:color="000000"/>
            </w:tcBorders>
            <w:shd w:val="clear" w:color="auto" w:fill="CCEDFF"/>
          </w:tcPr>
          <w:p>
            <w:pPr>
              <w:pStyle w:val="TableParagraph"/>
              <w:spacing w:line="180" w:lineRule="exact" w:before="2"/>
              <w:rPr>
                <w:sz w:val="16"/>
              </w:rPr>
            </w:pPr>
            <w:r>
              <w:rPr>
                <w:w w:val="105"/>
                <w:sz w:val="16"/>
              </w:rPr>
              <w:t>Segment</w:t>
            </w:r>
            <w:r>
              <w:rPr>
                <w:spacing w:val="-9"/>
                <w:w w:val="105"/>
                <w:sz w:val="16"/>
              </w:rPr>
              <w:t> </w:t>
            </w:r>
            <w:r>
              <w:rPr>
                <w:w w:val="105"/>
                <w:sz w:val="16"/>
              </w:rPr>
              <w:t>net</w:t>
            </w:r>
            <w:r>
              <w:rPr>
                <w:spacing w:val="-9"/>
                <w:w w:val="105"/>
                <w:sz w:val="16"/>
              </w:rPr>
              <w:t> </w:t>
            </w:r>
            <w:r>
              <w:rPr>
                <w:spacing w:val="-2"/>
                <w:w w:val="105"/>
                <w:sz w:val="16"/>
              </w:rPr>
              <w:t>sales</w:t>
            </w:r>
          </w:p>
        </w:tc>
        <w:tc>
          <w:tcPr>
            <w:tcW w:w="766"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508" w:type="dxa"/>
            <w:tcBorders>
              <w:top w:val="single" w:sz="6" w:space="0" w:color="000000"/>
            </w:tcBorders>
            <w:shd w:val="clear" w:color="auto" w:fill="CCEDFF"/>
          </w:tcPr>
          <w:p>
            <w:pPr>
              <w:pStyle w:val="TableParagraph"/>
              <w:spacing w:line="180" w:lineRule="exact" w:before="2"/>
              <w:ind w:left="20"/>
              <w:rPr>
                <w:b/>
                <w:sz w:val="16"/>
              </w:rPr>
            </w:pPr>
            <w:r>
              <w:rPr>
                <w:b/>
                <w:spacing w:val="-4"/>
                <w:w w:val="105"/>
                <w:sz w:val="16"/>
              </w:rPr>
              <w:t>3,700</w:t>
            </w:r>
          </w:p>
        </w:tc>
        <w:tc>
          <w:tcPr>
            <w:tcW w:w="871" w:type="dxa"/>
            <w:tcBorders>
              <w:top w:val="single" w:sz="6" w:space="0" w:color="000000"/>
            </w:tcBorders>
            <w:shd w:val="clear" w:color="auto" w:fill="CCEDFF"/>
          </w:tcPr>
          <w:p>
            <w:pPr>
              <w:pStyle w:val="TableParagraph"/>
              <w:spacing w:line="180" w:lineRule="exact" w:before="2"/>
              <w:ind w:left="114"/>
              <w:rPr>
                <w:sz w:val="16"/>
              </w:rPr>
            </w:pPr>
            <w:r>
              <w:rPr>
                <w:spacing w:val="-10"/>
                <w:w w:val="105"/>
                <w:sz w:val="16"/>
              </w:rPr>
              <w:t>$</w:t>
            </w:r>
          </w:p>
        </w:tc>
        <w:tc>
          <w:tcPr>
            <w:tcW w:w="865" w:type="dxa"/>
            <w:tcBorders>
              <w:top w:val="single" w:sz="6" w:space="0" w:color="000000"/>
            </w:tcBorders>
            <w:shd w:val="clear" w:color="auto" w:fill="CCEDFF"/>
          </w:tcPr>
          <w:p>
            <w:pPr>
              <w:pStyle w:val="TableParagraph"/>
              <w:tabs>
                <w:tab w:pos="601" w:val="left" w:leader="none"/>
              </w:tabs>
              <w:spacing w:line="180" w:lineRule="exact" w:before="2"/>
              <w:ind w:right="160"/>
              <w:jc w:val="right"/>
              <w:rPr>
                <w:sz w:val="16"/>
              </w:rPr>
            </w:pPr>
            <w:r>
              <w:rPr>
                <w:spacing w:val="-4"/>
                <w:w w:val="105"/>
                <w:sz w:val="16"/>
              </w:rPr>
              <w:t>3,172</w:t>
            </w:r>
            <w:r>
              <w:rPr>
                <w:sz w:val="16"/>
              </w:rPr>
              <w:tab/>
            </w:r>
            <w:r>
              <w:rPr>
                <w:spacing w:val="-10"/>
                <w:w w:val="105"/>
                <w:sz w:val="16"/>
              </w:rPr>
              <w:t>$</w:t>
            </w:r>
          </w:p>
        </w:tc>
        <w:tc>
          <w:tcPr>
            <w:tcW w:w="512" w:type="dxa"/>
            <w:tcBorders>
              <w:top w:val="single" w:sz="6" w:space="0" w:color="000000"/>
            </w:tcBorders>
            <w:shd w:val="clear" w:color="auto" w:fill="CCEDFF"/>
          </w:tcPr>
          <w:p>
            <w:pPr>
              <w:pStyle w:val="TableParagraph"/>
              <w:rPr>
                <w:sz w:val="14"/>
              </w:rPr>
            </w:pPr>
          </w:p>
        </w:tc>
        <w:tc>
          <w:tcPr>
            <w:tcW w:w="506" w:type="dxa"/>
            <w:tcBorders>
              <w:top w:val="single" w:sz="6" w:space="0" w:color="000000"/>
            </w:tcBorders>
            <w:shd w:val="clear" w:color="auto" w:fill="CCEDFF"/>
          </w:tcPr>
          <w:p>
            <w:pPr>
              <w:pStyle w:val="TableParagraph"/>
              <w:spacing w:line="180" w:lineRule="exact" w:before="2"/>
              <w:ind w:left="16"/>
              <w:rPr>
                <w:sz w:val="16"/>
              </w:rPr>
            </w:pPr>
            <w:r>
              <w:rPr>
                <w:spacing w:val="-4"/>
                <w:w w:val="105"/>
                <w:sz w:val="16"/>
              </w:rPr>
              <w:t>3,254</w:t>
            </w:r>
          </w:p>
        </w:tc>
        <w:tc>
          <w:tcPr>
            <w:tcW w:w="116" w:type="dxa"/>
            <w:tcBorders>
              <w:top w:val="single" w:sz="6" w:space="0" w:color="000000"/>
            </w:tcBorders>
            <w:shd w:val="clear" w:color="auto" w:fill="CCEDFF"/>
          </w:tcPr>
          <w:p>
            <w:pPr>
              <w:pStyle w:val="TableParagraph"/>
              <w:rPr>
                <w:sz w:val="14"/>
              </w:rPr>
            </w:pPr>
          </w:p>
        </w:tc>
        <w:tc>
          <w:tcPr>
            <w:tcW w:w="1033" w:type="dxa"/>
            <w:tcBorders>
              <w:top w:val="single" w:sz="6" w:space="0" w:color="000000"/>
            </w:tcBorders>
            <w:shd w:val="clear" w:color="auto" w:fill="CCEDFF"/>
          </w:tcPr>
          <w:p>
            <w:pPr>
              <w:pStyle w:val="TableParagraph"/>
              <w:spacing w:line="180" w:lineRule="exact" w:before="2"/>
              <w:ind w:left="5" w:right="11"/>
              <w:jc w:val="center"/>
              <w:rPr>
                <w:sz w:val="16"/>
              </w:rPr>
            </w:pPr>
            <w:r>
              <w:rPr>
                <w:spacing w:val="-5"/>
                <w:w w:val="105"/>
                <w:sz w:val="16"/>
              </w:rPr>
              <w:t>17%</w:t>
            </w:r>
          </w:p>
        </w:tc>
        <w:tc>
          <w:tcPr>
            <w:tcW w:w="116" w:type="dxa"/>
            <w:tcBorders>
              <w:top w:val="single" w:sz="6" w:space="0" w:color="000000"/>
            </w:tcBorders>
            <w:shd w:val="clear" w:color="auto" w:fill="CCEDFF"/>
          </w:tcPr>
          <w:p>
            <w:pPr>
              <w:pStyle w:val="TableParagraph"/>
              <w:rPr>
                <w:sz w:val="14"/>
              </w:rPr>
            </w:pPr>
          </w:p>
        </w:tc>
        <w:tc>
          <w:tcPr>
            <w:tcW w:w="1033" w:type="dxa"/>
            <w:tcBorders>
              <w:top w:val="single" w:sz="6" w:space="0" w:color="000000"/>
            </w:tcBorders>
            <w:shd w:val="clear" w:color="auto" w:fill="CCEDFF"/>
          </w:tcPr>
          <w:p>
            <w:pPr>
              <w:pStyle w:val="TableParagraph"/>
              <w:spacing w:line="180" w:lineRule="exact" w:before="2"/>
              <w:ind w:right="11"/>
              <w:jc w:val="center"/>
              <w:rPr>
                <w:sz w:val="16"/>
              </w:rPr>
            </w:pPr>
            <w:r>
              <w:rPr>
                <w:spacing w:val="-4"/>
                <w:w w:val="105"/>
                <w:sz w:val="16"/>
              </w:rPr>
              <w:t>(3%)</w:t>
            </w:r>
          </w:p>
        </w:tc>
      </w:tr>
      <w:tr>
        <w:trPr>
          <w:trHeight w:val="200" w:hRule="atLeast"/>
        </w:trPr>
        <w:tc>
          <w:tcPr>
            <w:tcW w:w="5197" w:type="dxa"/>
            <w:tcBorders>
              <w:bottom w:val="double" w:sz="6" w:space="0" w:color="000000"/>
            </w:tcBorders>
          </w:tcPr>
          <w:p>
            <w:pPr>
              <w:pStyle w:val="TableParagraph"/>
              <w:spacing w:line="177" w:lineRule="exact" w:before="3"/>
              <w:rPr>
                <w:sz w:val="16"/>
              </w:rPr>
            </w:pPr>
            <w:r>
              <w:rPr>
                <w:w w:val="105"/>
                <w:sz w:val="16"/>
              </w:rPr>
              <w:t>Segment</w:t>
            </w:r>
            <w:r>
              <w:rPr>
                <w:spacing w:val="-9"/>
                <w:w w:val="105"/>
                <w:sz w:val="16"/>
              </w:rPr>
              <w:t> </w:t>
            </w:r>
            <w:r>
              <w:rPr>
                <w:w w:val="105"/>
                <w:sz w:val="16"/>
              </w:rPr>
              <w:t>net</w:t>
            </w:r>
            <w:r>
              <w:rPr>
                <w:spacing w:val="-9"/>
                <w:w w:val="105"/>
                <w:sz w:val="16"/>
              </w:rPr>
              <w:t> </w:t>
            </w:r>
            <w:r>
              <w:rPr>
                <w:spacing w:val="-2"/>
                <w:w w:val="105"/>
                <w:sz w:val="16"/>
              </w:rPr>
              <w:t>income</w:t>
            </w:r>
          </w:p>
        </w:tc>
        <w:tc>
          <w:tcPr>
            <w:tcW w:w="766" w:type="dxa"/>
            <w:tcBorders>
              <w:bottom w:val="double" w:sz="6" w:space="0" w:color="000000"/>
            </w:tcBorders>
          </w:tcPr>
          <w:p>
            <w:pPr>
              <w:pStyle w:val="TableParagraph"/>
              <w:spacing w:line="177" w:lineRule="exact" w:before="3"/>
              <w:rPr>
                <w:b/>
                <w:sz w:val="16"/>
              </w:rPr>
            </w:pPr>
            <w:r>
              <w:rPr>
                <w:b/>
                <w:spacing w:val="-10"/>
                <w:w w:val="105"/>
                <w:sz w:val="16"/>
              </w:rPr>
              <w:t>$</w:t>
            </w:r>
          </w:p>
        </w:tc>
        <w:tc>
          <w:tcPr>
            <w:tcW w:w="1379" w:type="dxa"/>
            <w:gridSpan w:val="2"/>
            <w:tcBorders>
              <w:bottom w:val="double" w:sz="6" w:space="0" w:color="000000"/>
            </w:tcBorders>
          </w:tcPr>
          <w:p>
            <w:pPr>
              <w:pStyle w:val="TableParagraph"/>
              <w:tabs>
                <w:tab w:pos="622" w:val="left" w:leader="none"/>
              </w:tabs>
              <w:spacing w:line="177" w:lineRule="exact" w:before="3"/>
              <w:ind w:left="145"/>
              <w:rPr>
                <w:sz w:val="16"/>
              </w:rPr>
            </w:pPr>
            <w:r>
              <w:rPr>
                <w:b/>
                <w:spacing w:val="-5"/>
                <w:w w:val="105"/>
                <w:sz w:val="16"/>
              </w:rPr>
              <w:t>960</w:t>
            </w:r>
            <w:r>
              <w:rPr>
                <w:b/>
                <w:sz w:val="16"/>
              </w:rPr>
              <w:tab/>
            </w:r>
            <w:r>
              <w:rPr>
                <w:spacing w:val="-10"/>
                <w:w w:val="105"/>
                <w:sz w:val="16"/>
              </w:rPr>
              <w:t>$</w:t>
            </w:r>
          </w:p>
        </w:tc>
        <w:tc>
          <w:tcPr>
            <w:tcW w:w="865" w:type="dxa"/>
            <w:tcBorders>
              <w:bottom w:val="double" w:sz="6" w:space="0" w:color="000000"/>
            </w:tcBorders>
          </w:tcPr>
          <w:p>
            <w:pPr>
              <w:pStyle w:val="TableParagraph"/>
              <w:tabs>
                <w:tab w:pos="477" w:val="left" w:leader="none"/>
              </w:tabs>
              <w:spacing w:line="177" w:lineRule="exact" w:before="3"/>
              <w:ind w:right="160"/>
              <w:jc w:val="right"/>
              <w:rPr>
                <w:sz w:val="16"/>
              </w:rPr>
            </w:pPr>
            <w:r>
              <w:rPr>
                <w:spacing w:val="-5"/>
                <w:w w:val="105"/>
                <w:sz w:val="16"/>
              </w:rPr>
              <w:t>717</w:t>
            </w:r>
            <w:r>
              <w:rPr>
                <w:sz w:val="16"/>
              </w:rPr>
              <w:tab/>
            </w:r>
            <w:r>
              <w:rPr>
                <w:spacing w:val="-10"/>
                <w:w w:val="105"/>
                <w:sz w:val="16"/>
              </w:rPr>
              <w:t>$</w:t>
            </w:r>
          </w:p>
        </w:tc>
        <w:tc>
          <w:tcPr>
            <w:tcW w:w="1018" w:type="dxa"/>
            <w:gridSpan w:val="2"/>
            <w:tcBorders>
              <w:bottom w:val="double" w:sz="6" w:space="0" w:color="000000"/>
            </w:tcBorders>
          </w:tcPr>
          <w:p>
            <w:pPr>
              <w:pStyle w:val="TableParagraph"/>
              <w:spacing w:line="177" w:lineRule="exact" w:before="3"/>
              <w:ind w:left="652"/>
              <w:rPr>
                <w:sz w:val="16"/>
              </w:rPr>
            </w:pPr>
            <w:r>
              <w:rPr>
                <w:spacing w:val="-5"/>
                <w:w w:val="105"/>
                <w:sz w:val="16"/>
              </w:rPr>
              <w:t>786</w:t>
            </w:r>
          </w:p>
        </w:tc>
        <w:tc>
          <w:tcPr>
            <w:tcW w:w="1149" w:type="dxa"/>
            <w:gridSpan w:val="2"/>
            <w:tcBorders>
              <w:bottom w:val="double" w:sz="6" w:space="0" w:color="000000"/>
            </w:tcBorders>
          </w:tcPr>
          <w:p>
            <w:pPr>
              <w:pStyle w:val="TableParagraph"/>
              <w:spacing w:line="177" w:lineRule="exact" w:before="3"/>
              <w:ind w:left="476"/>
              <w:rPr>
                <w:sz w:val="16"/>
              </w:rPr>
            </w:pPr>
            <w:r>
              <w:rPr>
                <w:spacing w:val="-5"/>
                <w:w w:val="105"/>
                <w:sz w:val="16"/>
              </w:rPr>
              <w:t>34%</w:t>
            </w:r>
          </w:p>
        </w:tc>
        <w:tc>
          <w:tcPr>
            <w:tcW w:w="1149" w:type="dxa"/>
            <w:gridSpan w:val="2"/>
            <w:tcBorders>
              <w:bottom w:val="double" w:sz="6" w:space="0" w:color="000000"/>
            </w:tcBorders>
          </w:tcPr>
          <w:p>
            <w:pPr>
              <w:pStyle w:val="TableParagraph"/>
              <w:spacing w:line="177" w:lineRule="exact" w:before="3"/>
              <w:ind w:left="459"/>
              <w:rPr>
                <w:sz w:val="16"/>
              </w:rPr>
            </w:pPr>
            <w:r>
              <w:rPr>
                <w:spacing w:val="-4"/>
                <w:w w:val="105"/>
                <w:sz w:val="16"/>
              </w:rPr>
              <w:t>(9%)</w:t>
            </w:r>
          </w:p>
        </w:tc>
      </w:tr>
    </w:tbl>
    <w:p>
      <w:pPr>
        <w:pStyle w:val="BodyText"/>
        <w:spacing w:before="14"/>
      </w:pPr>
    </w:p>
    <w:p>
      <w:pPr>
        <w:pStyle w:val="BodyText"/>
        <w:spacing w:line="266" w:lineRule="auto"/>
        <w:ind w:left="156" w:right="117"/>
      </w:pPr>
      <w:r>
        <w:rPr>
          <w:w w:val="105"/>
        </w:rPr>
        <w:t>Net</w:t>
      </w:r>
      <w:r>
        <w:rPr>
          <w:spacing w:val="-8"/>
          <w:w w:val="105"/>
        </w:rPr>
        <w:t> </w:t>
      </w:r>
      <w:r>
        <w:rPr>
          <w:w w:val="105"/>
        </w:rPr>
        <w:t>sales</w:t>
      </w:r>
      <w:r>
        <w:rPr>
          <w:spacing w:val="-8"/>
          <w:w w:val="105"/>
        </w:rPr>
        <w:t> </w:t>
      </w:r>
      <w:r>
        <w:rPr>
          <w:w w:val="105"/>
        </w:rPr>
        <w:t>in</w:t>
      </w:r>
      <w:r>
        <w:rPr>
          <w:spacing w:val="-8"/>
          <w:w w:val="105"/>
        </w:rPr>
        <w:t> </w:t>
      </w:r>
      <w:r>
        <w:rPr>
          <w:w w:val="105"/>
        </w:rPr>
        <w:t>the</w:t>
      </w:r>
      <w:r>
        <w:rPr>
          <w:spacing w:val="-8"/>
          <w:w w:val="105"/>
        </w:rPr>
        <w:t> </w:t>
      </w:r>
      <w:r>
        <w:rPr>
          <w:w w:val="105"/>
        </w:rPr>
        <w:t>Display</w:t>
      </w:r>
      <w:r>
        <w:rPr>
          <w:spacing w:val="-8"/>
          <w:w w:val="105"/>
        </w:rPr>
        <w:t> </w:t>
      </w:r>
      <w:r>
        <w:rPr>
          <w:w w:val="105"/>
        </w:rPr>
        <w:t>Technologies</w:t>
      </w:r>
      <w:r>
        <w:rPr>
          <w:spacing w:val="-8"/>
          <w:w w:val="105"/>
        </w:rPr>
        <w:t> </w:t>
      </w:r>
      <w:r>
        <w:rPr>
          <w:w w:val="105"/>
        </w:rPr>
        <w:t>segment</w:t>
      </w:r>
      <w:r>
        <w:rPr>
          <w:spacing w:val="-8"/>
          <w:w w:val="105"/>
        </w:rPr>
        <w:t> </w:t>
      </w:r>
      <w:r>
        <w:rPr>
          <w:w w:val="105"/>
        </w:rPr>
        <w:t>increased</w:t>
      </w:r>
      <w:r>
        <w:rPr>
          <w:spacing w:val="-8"/>
          <w:w w:val="105"/>
        </w:rPr>
        <w:t> </w:t>
      </w:r>
      <w:r>
        <w:rPr>
          <w:w w:val="105"/>
        </w:rPr>
        <w:t>by</w:t>
      </w:r>
      <w:r>
        <w:rPr>
          <w:spacing w:val="-8"/>
          <w:w w:val="105"/>
        </w:rPr>
        <w:t> </w:t>
      </w:r>
      <w:r>
        <w:rPr>
          <w:w w:val="105"/>
        </w:rPr>
        <w:t>$528</w:t>
      </w:r>
      <w:r>
        <w:rPr>
          <w:spacing w:val="-8"/>
          <w:w w:val="105"/>
        </w:rPr>
        <w:t> </w:t>
      </w:r>
      <w:r>
        <w:rPr>
          <w:w w:val="105"/>
        </w:rPr>
        <w:t>million,</w:t>
      </w:r>
      <w:r>
        <w:rPr>
          <w:spacing w:val="-8"/>
          <w:w w:val="105"/>
        </w:rPr>
        <w:t> </w:t>
      </w:r>
      <w:r>
        <w:rPr>
          <w:w w:val="105"/>
        </w:rPr>
        <w:t>or</w:t>
      </w:r>
      <w:r>
        <w:rPr>
          <w:spacing w:val="-8"/>
          <w:w w:val="105"/>
        </w:rPr>
        <w:t> </w:t>
      </w:r>
      <w:r>
        <w:rPr>
          <w:w w:val="105"/>
        </w:rPr>
        <w:t>17%,</w:t>
      </w:r>
      <w:r>
        <w:rPr>
          <w:spacing w:val="-8"/>
          <w:w w:val="105"/>
        </w:rPr>
        <w:t> </w:t>
      </w:r>
      <w:r>
        <w:rPr>
          <w:w w:val="105"/>
        </w:rPr>
        <w:t>for</w:t>
      </w:r>
      <w:r>
        <w:rPr>
          <w:spacing w:val="-8"/>
          <w:w w:val="105"/>
        </w:rPr>
        <w:t> </w:t>
      </w:r>
      <w:r>
        <w:rPr>
          <w:w w:val="105"/>
        </w:rPr>
        <w:t>the</w:t>
      </w:r>
      <w:r>
        <w:rPr>
          <w:spacing w:val="-8"/>
          <w:w w:val="105"/>
        </w:rPr>
        <w:t> </w:t>
      </w:r>
      <w:r>
        <w:rPr>
          <w:w w:val="105"/>
        </w:rPr>
        <w:t>year</w:t>
      </w:r>
      <w:r>
        <w:rPr>
          <w:spacing w:val="-6"/>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when</w:t>
      </w:r>
      <w:r>
        <w:rPr>
          <w:spacing w:val="-8"/>
          <w:w w:val="105"/>
        </w:rPr>
        <w:t> </w:t>
      </w:r>
      <w:r>
        <w:rPr>
          <w:w w:val="105"/>
        </w:rPr>
        <w:t>compared</w:t>
      </w:r>
      <w:r>
        <w:rPr>
          <w:spacing w:val="-8"/>
          <w:w w:val="105"/>
        </w:rPr>
        <w:t> </w:t>
      </w:r>
      <w:r>
        <w:rPr>
          <w:w w:val="105"/>
        </w:rPr>
        <w:t>to</w:t>
      </w:r>
      <w:r>
        <w:rPr>
          <w:spacing w:val="-6"/>
          <w:w w:val="105"/>
        </w:rPr>
        <w:t> </w:t>
      </w:r>
      <w:r>
        <w:rPr>
          <w:w w:val="105"/>
        </w:rPr>
        <w:t>the</w:t>
      </w:r>
      <w:r>
        <w:rPr>
          <w:spacing w:val="-8"/>
          <w:w w:val="105"/>
        </w:rPr>
        <w:t> </w:t>
      </w:r>
      <w:r>
        <w:rPr>
          <w:w w:val="105"/>
        </w:rPr>
        <w:t>prior</w:t>
      </w:r>
      <w:r>
        <w:rPr>
          <w:spacing w:val="-8"/>
          <w:w w:val="105"/>
        </w:rPr>
        <w:t> </w:t>
      </w:r>
      <w:r>
        <w:rPr>
          <w:w w:val="105"/>
        </w:rPr>
        <w:t>year,</w:t>
      </w:r>
      <w:r>
        <w:rPr>
          <w:spacing w:val="-8"/>
          <w:w w:val="105"/>
        </w:rPr>
        <w:t> </w:t>
      </w:r>
      <w:r>
        <w:rPr>
          <w:w w:val="105"/>
        </w:rPr>
        <w:t>primarily</w:t>
      </w:r>
      <w:r>
        <w:rPr>
          <w:spacing w:val="-8"/>
          <w:w w:val="105"/>
        </w:rPr>
        <w:t> </w:t>
      </w:r>
      <w:r>
        <w:rPr>
          <w:w w:val="105"/>
        </w:rPr>
        <w:t>driven by volume increases of approximately mid-teens in percentage terms and pricing consistent with 2020.</w:t>
      </w:r>
    </w:p>
    <w:p>
      <w:pPr>
        <w:pStyle w:val="BodyText"/>
        <w:spacing w:before="19"/>
      </w:pPr>
    </w:p>
    <w:p>
      <w:pPr>
        <w:pStyle w:val="BodyText"/>
        <w:spacing w:line="266" w:lineRule="auto"/>
        <w:ind w:left="156" w:right="328"/>
      </w:pPr>
      <w:r>
        <w:rPr>
          <w:w w:val="105"/>
        </w:rPr>
        <w:t>Net</w:t>
      </w:r>
      <w:r>
        <w:rPr>
          <w:spacing w:val="-8"/>
          <w:w w:val="105"/>
        </w:rPr>
        <w:t> </w:t>
      </w:r>
      <w:r>
        <w:rPr>
          <w:w w:val="105"/>
        </w:rPr>
        <w:t>income</w:t>
      </w:r>
      <w:r>
        <w:rPr>
          <w:spacing w:val="-8"/>
          <w:w w:val="105"/>
        </w:rPr>
        <w:t> </w:t>
      </w:r>
      <w:r>
        <w:rPr>
          <w:w w:val="105"/>
        </w:rPr>
        <w:t>in</w:t>
      </w:r>
      <w:r>
        <w:rPr>
          <w:spacing w:val="-8"/>
          <w:w w:val="105"/>
        </w:rPr>
        <w:t> </w:t>
      </w:r>
      <w:r>
        <w:rPr>
          <w:w w:val="105"/>
        </w:rPr>
        <w:t>the</w:t>
      </w:r>
      <w:r>
        <w:rPr>
          <w:spacing w:val="-8"/>
          <w:w w:val="105"/>
        </w:rPr>
        <w:t> </w:t>
      </w:r>
      <w:r>
        <w:rPr>
          <w:w w:val="105"/>
        </w:rPr>
        <w:t>Display</w:t>
      </w:r>
      <w:r>
        <w:rPr>
          <w:spacing w:val="-8"/>
          <w:w w:val="105"/>
        </w:rPr>
        <w:t> </w:t>
      </w:r>
      <w:r>
        <w:rPr>
          <w:w w:val="105"/>
        </w:rPr>
        <w:t>Technologies</w:t>
      </w:r>
      <w:r>
        <w:rPr>
          <w:spacing w:val="-8"/>
          <w:w w:val="105"/>
        </w:rPr>
        <w:t> </w:t>
      </w:r>
      <w:r>
        <w:rPr>
          <w:w w:val="105"/>
        </w:rPr>
        <w:t>segment</w:t>
      </w:r>
      <w:r>
        <w:rPr>
          <w:spacing w:val="-8"/>
          <w:w w:val="105"/>
        </w:rPr>
        <w:t> </w:t>
      </w:r>
      <w:r>
        <w:rPr>
          <w:w w:val="105"/>
        </w:rPr>
        <w:t>increased</w:t>
      </w:r>
      <w:r>
        <w:rPr>
          <w:spacing w:val="-8"/>
          <w:w w:val="105"/>
        </w:rPr>
        <w:t> </w:t>
      </w:r>
      <w:r>
        <w:rPr>
          <w:w w:val="105"/>
        </w:rPr>
        <w:t>by</w:t>
      </w:r>
      <w:r>
        <w:rPr>
          <w:spacing w:val="-8"/>
          <w:w w:val="105"/>
        </w:rPr>
        <w:t> </w:t>
      </w:r>
      <w:r>
        <w:rPr>
          <w:w w:val="105"/>
        </w:rPr>
        <w:t>$243</w:t>
      </w:r>
      <w:r>
        <w:rPr>
          <w:spacing w:val="-6"/>
          <w:w w:val="105"/>
        </w:rPr>
        <w:t> </w:t>
      </w:r>
      <w:r>
        <w:rPr>
          <w:w w:val="105"/>
        </w:rPr>
        <w:t>million,</w:t>
      </w:r>
      <w:r>
        <w:rPr>
          <w:spacing w:val="-8"/>
          <w:w w:val="105"/>
        </w:rPr>
        <w:t> </w:t>
      </w:r>
      <w:r>
        <w:rPr>
          <w:w w:val="105"/>
        </w:rPr>
        <w:t>or</w:t>
      </w:r>
      <w:r>
        <w:rPr>
          <w:spacing w:val="-8"/>
          <w:w w:val="105"/>
        </w:rPr>
        <w:t> </w:t>
      </w:r>
      <w:r>
        <w:rPr>
          <w:w w:val="105"/>
        </w:rPr>
        <w:t>34%,</w:t>
      </w:r>
      <w:r>
        <w:rPr>
          <w:spacing w:val="-8"/>
          <w:w w:val="105"/>
        </w:rPr>
        <w:t> </w:t>
      </w:r>
      <w:r>
        <w:rPr>
          <w:w w:val="105"/>
        </w:rPr>
        <w:t>in</w:t>
      </w:r>
      <w:r>
        <w:rPr>
          <w:spacing w:val="-8"/>
          <w:w w:val="105"/>
        </w:rPr>
        <w:t> </w:t>
      </w:r>
      <w:r>
        <w:rPr>
          <w:w w:val="105"/>
        </w:rPr>
        <w:t>the</w:t>
      </w:r>
      <w:r>
        <w:rPr>
          <w:spacing w:val="-8"/>
          <w:w w:val="105"/>
        </w:rPr>
        <w:t> </w:t>
      </w:r>
      <w:r>
        <w:rPr>
          <w:w w:val="105"/>
        </w:rPr>
        <w:t>year</w:t>
      </w:r>
      <w:r>
        <w:rPr>
          <w:spacing w:val="-6"/>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primarily</w:t>
      </w:r>
      <w:r>
        <w:rPr>
          <w:spacing w:val="-8"/>
          <w:w w:val="105"/>
        </w:rPr>
        <w:t> </w:t>
      </w:r>
      <w:r>
        <w:rPr>
          <w:w w:val="105"/>
        </w:rPr>
        <w:t>driven</w:t>
      </w:r>
      <w:r>
        <w:rPr>
          <w:spacing w:val="-8"/>
          <w:w w:val="105"/>
        </w:rPr>
        <w:t> </w:t>
      </w:r>
      <w:r>
        <w:rPr>
          <w:w w:val="105"/>
        </w:rPr>
        <w:t>by</w:t>
      </w:r>
      <w:r>
        <w:rPr>
          <w:spacing w:val="-8"/>
          <w:w w:val="105"/>
        </w:rPr>
        <w:t> </w:t>
      </w:r>
      <w:r>
        <w:rPr>
          <w:w w:val="105"/>
        </w:rPr>
        <w:t>the</w:t>
      </w:r>
      <w:r>
        <w:rPr>
          <w:spacing w:val="-8"/>
          <w:w w:val="105"/>
        </w:rPr>
        <w:t> </w:t>
      </w:r>
      <w:r>
        <w:rPr>
          <w:w w:val="105"/>
        </w:rPr>
        <w:t>changes</w:t>
      </w:r>
      <w:r>
        <w:rPr>
          <w:spacing w:val="-8"/>
          <w:w w:val="105"/>
        </w:rPr>
        <w:t> </w:t>
      </w:r>
      <w:r>
        <w:rPr>
          <w:w w:val="105"/>
        </w:rPr>
        <w:t>in</w:t>
      </w:r>
      <w:r>
        <w:rPr>
          <w:spacing w:val="-8"/>
          <w:w w:val="105"/>
        </w:rPr>
        <w:t> </w:t>
      </w:r>
      <w:r>
        <w:rPr>
          <w:w w:val="105"/>
        </w:rPr>
        <w:t>sales, outlined</w:t>
      </w:r>
      <w:r>
        <w:rPr>
          <w:spacing w:val="-1"/>
          <w:w w:val="105"/>
        </w:rPr>
        <w:t> </w:t>
      </w:r>
      <w:r>
        <w:rPr>
          <w:w w:val="105"/>
        </w:rPr>
        <w:t>above.</w:t>
      </w:r>
    </w:p>
    <w:p>
      <w:pPr>
        <w:pStyle w:val="BodyText"/>
        <w:spacing w:before="19"/>
      </w:pPr>
    </w:p>
    <w:p>
      <w:pPr>
        <w:pStyle w:val="BodyText"/>
        <w:ind w:left="48"/>
        <w:jc w:val="center"/>
      </w:pPr>
      <w:r>
        <w:rPr>
          <w:spacing w:val="-5"/>
          <w:w w:val="105"/>
        </w:rPr>
        <w:t>36</w:t>
      </w:r>
    </w:p>
    <w:p>
      <w:pPr>
        <w:pStyle w:val="BodyText"/>
        <w:spacing w:before="11"/>
        <w:rPr>
          <w:sz w:val="5"/>
        </w:rPr>
      </w:pPr>
      <w:r>
        <w:rPr/>
        <mc:AlternateContent>
          <mc:Choice Requires="wps">
            <w:drawing>
              <wp:anchor distT="0" distB="0" distL="0" distR="0" allowOverlap="1" layoutInCell="1" locked="0" behindDoc="1" simplePos="0" relativeHeight="487614976">
                <wp:simplePos x="0" y="0"/>
                <wp:positionH relativeFrom="page">
                  <wp:posOffset>226488</wp:posOffset>
                </wp:positionH>
                <wp:positionV relativeFrom="paragraph">
                  <wp:posOffset>58734</wp:posOffset>
                </wp:positionV>
                <wp:extent cx="7312659" cy="1651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701504;mso-wrap-distance-left:0;mso-wrap-distance-right:0" id="docshape62"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pPr>
      <w:r>
        <w:rPr/>
        <w:t>Optical</w:t>
      </w:r>
      <w:r>
        <w:rPr>
          <w:spacing w:val="16"/>
        </w:rPr>
        <w:t> </w:t>
      </w:r>
      <w:r>
        <w:rPr>
          <w:spacing w:val="-2"/>
        </w:rPr>
        <w:t>Communications</w:t>
      </w:r>
    </w:p>
    <w:p>
      <w:pPr>
        <w:pStyle w:val="BodyText"/>
        <w:spacing w:before="40"/>
        <w:rPr>
          <w:b/>
        </w:rPr>
      </w:pPr>
    </w:p>
    <w:p>
      <w:pPr>
        <w:pStyle w:val="BodyText"/>
        <w:ind w:left="156"/>
      </w:pPr>
      <w:r>
        <w:rPr>
          <w:w w:val="105"/>
        </w:rPr>
        <w:t>The</w:t>
      </w:r>
      <w:r>
        <w:rPr>
          <w:spacing w:val="-11"/>
          <w:w w:val="105"/>
        </w:rPr>
        <w:t> </w:t>
      </w:r>
      <w:r>
        <w:rPr>
          <w:w w:val="105"/>
        </w:rPr>
        <w:t>following</w:t>
      </w:r>
      <w:r>
        <w:rPr>
          <w:spacing w:val="-10"/>
          <w:w w:val="105"/>
        </w:rPr>
        <w:t> </w:t>
      </w:r>
      <w:r>
        <w:rPr>
          <w:w w:val="105"/>
        </w:rPr>
        <w:t>table</w:t>
      </w:r>
      <w:r>
        <w:rPr>
          <w:spacing w:val="-10"/>
          <w:w w:val="105"/>
        </w:rPr>
        <w:t> </w:t>
      </w:r>
      <w:r>
        <w:rPr>
          <w:w w:val="105"/>
        </w:rPr>
        <w:t>provides</w:t>
      </w:r>
      <w:r>
        <w:rPr>
          <w:spacing w:val="-10"/>
          <w:w w:val="105"/>
        </w:rPr>
        <w:t> </w:t>
      </w:r>
      <w:r>
        <w:rPr>
          <w:w w:val="105"/>
        </w:rPr>
        <w:t>net</w:t>
      </w:r>
      <w:r>
        <w:rPr>
          <w:spacing w:val="-10"/>
          <w:w w:val="105"/>
        </w:rPr>
        <w:t> </w:t>
      </w:r>
      <w:r>
        <w:rPr>
          <w:w w:val="105"/>
        </w:rPr>
        <w:t>sales</w:t>
      </w:r>
      <w:r>
        <w:rPr>
          <w:spacing w:val="-10"/>
          <w:w w:val="105"/>
        </w:rPr>
        <w:t> </w:t>
      </w:r>
      <w:r>
        <w:rPr>
          <w:w w:val="105"/>
        </w:rPr>
        <w:t>and</w:t>
      </w:r>
      <w:r>
        <w:rPr>
          <w:spacing w:val="-10"/>
          <w:w w:val="105"/>
        </w:rPr>
        <w:t> </w:t>
      </w:r>
      <w:r>
        <w:rPr>
          <w:w w:val="105"/>
        </w:rPr>
        <w:t>net</w:t>
      </w:r>
      <w:r>
        <w:rPr>
          <w:spacing w:val="-10"/>
          <w:w w:val="105"/>
        </w:rPr>
        <w:t> </w:t>
      </w:r>
      <w:r>
        <w:rPr>
          <w:w w:val="105"/>
        </w:rPr>
        <w:t>income</w:t>
      </w:r>
      <w:r>
        <w:rPr>
          <w:spacing w:val="-10"/>
          <w:w w:val="105"/>
        </w:rPr>
        <w:t> </w:t>
      </w:r>
      <w:r>
        <w:rPr>
          <w:w w:val="105"/>
        </w:rPr>
        <w:t>for</w:t>
      </w:r>
      <w:r>
        <w:rPr>
          <w:spacing w:val="-8"/>
          <w:w w:val="105"/>
        </w:rPr>
        <w:t> </w:t>
      </w:r>
      <w:r>
        <w:rPr>
          <w:w w:val="105"/>
        </w:rPr>
        <w:t>the</w:t>
      </w:r>
      <w:r>
        <w:rPr>
          <w:spacing w:val="-10"/>
          <w:w w:val="105"/>
        </w:rPr>
        <w:t> </w:t>
      </w:r>
      <w:r>
        <w:rPr>
          <w:w w:val="105"/>
        </w:rPr>
        <w:t>Optical</w:t>
      </w:r>
      <w:r>
        <w:rPr>
          <w:spacing w:val="-10"/>
          <w:w w:val="105"/>
        </w:rPr>
        <w:t> </w:t>
      </w:r>
      <w:r>
        <w:rPr>
          <w:w w:val="105"/>
        </w:rPr>
        <w:t>Communications</w:t>
      </w:r>
      <w:r>
        <w:rPr>
          <w:spacing w:val="-10"/>
          <w:w w:val="105"/>
        </w:rPr>
        <w:t> </w:t>
      </w:r>
      <w:r>
        <w:rPr>
          <w:w w:val="105"/>
        </w:rPr>
        <w:t>segment</w:t>
      </w:r>
      <w:r>
        <w:rPr>
          <w:spacing w:val="-10"/>
          <w:w w:val="105"/>
        </w:rPr>
        <w:t> </w:t>
      </w:r>
      <w:r>
        <w:rPr>
          <w:w w:val="105"/>
        </w:rPr>
        <w:t>(in</w:t>
      </w:r>
      <w:r>
        <w:rPr>
          <w:spacing w:val="-10"/>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615488">
                <wp:simplePos x="0" y="0"/>
                <wp:positionH relativeFrom="page">
                  <wp:posOffset>226479</wp:posOffset>
                </wp:positionH>
                <wp:positionV relativeFrom="paragraph">
                  <wp:posOffset>83253</wp:posOffset>
                </wp:positionV>
                <wp:extent cx="7312659" cy="1651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55419pt;width:575.775027pt;height:1.274pt;mso-position-horizontal-relative:page;mso-position-vertical-relative:paragraph;z-index:-15700992;mso-wrap-distance-left:0;mso-wrap-distance-right:0" id="docshape63" filled="true" fillcolor="#000000" stroked="false">
                <v:fill type="solid"/>
                <w10:wrap type="topAndBottom"/>
              </v:rect>
            </w:pict>
          </mc:Fallback>
        </mc:AlternateContent>
      </w:r>
    </w:p>
    <w:p>
      <w:pPr>
        <w:pStyle w:val="BodyText"/>
        <w:tabs>
          <w:tab w:pos="3241" w:val="left" w:leader="none"/>
          <w:tab w:pos="4387" w:val="left" w:leader="none"/>
        </w:tabs>
        <w:spacing w:before="3" w:after="23"/>
        <w:ind w:right="297"/>
        <w:jc w:val="right"/>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r>
        <w:rPr/>
        <w:tab/>
      </w:r>
      <w:r>
        <w:rPr>
          <w:w w:val="105"/>
        </w:rPr>
        <w:t>%</w:t>
      </w:r>
      <w:r>
        <w:rPr>
          <w:spacing w:val="-4"/>
          <w:w w:val="105"/>
        </w:rPr>
        <w:t> </w:t>
      </w:r>
      <w:r>
        <w:rPr>
          <w:spacing w:val="-2"/>
          <w:w w:val="105"/>
        </w:rPr>
        <w:t>change</w:t>
      </w:r>
      <w:r>
        <w:rPr/>
        <w:tab/>
      </w:r>
      <w:r>
        <w:rPr>
          <w:w w:val="105"/>
        </w:rPr>
        <w:t>%</w:t>
      </w:r>
      <w:r>
        <w:rPr>
          <w:spacing w:val="-4"/>
          <w:w w:val="105"/>
        </w:rPr>
        <w:t> </w:t>
      </w:r>
      <w:r>
        <w:rPr>
          <w:spacing w:val="-2"/>
          <w:w w:val="105"/>
        </w:rPr>
        <w:t>change</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7"/>
        <w:gridCol w:w="766"/>
        <w:gridCol w:w="508"/>
        <w:gridCol w:w="871"/>
        <w:gridCol w:w="865"/>
        <w:gridCol w:w="512"/>
        <w:gridCol w:w="506"/>
        <w:gridCol w:w="116"/>
        <w:gridCol w:w="1033"/>
        <w:gridCol w:w="116"/>
        <w:gridCol w:w="1033"/>
      </w:tblGrid>
      <w:tr>
        <w:trPr>
          <w:trHeight w:val="201" w:hRule="atLeast"/>
        </w:trPr>
        <w:tc>
          <w:tcPr>
            <w:tcW w:w="5197" w:type="dxa"/>
            <w:tcBorders>
              <w:bottom w:val="single" w:sz="6" w:space="0" w:color="000000"/>
            </w:tcBorders>
          </w:tcPr>
          <w:p>
            <w:pPr>
              <w:pStyle w:val="TableParagraph"/>
              <w:rPr>
                <w:sz w:val="14"/>
              </w:rPr>
            </w:pPr>
          </w:p>
        </w:tc>
        <w:tc>
          <w:tcPr>
            <w:tcW w:w="766" w:type="dxa"/>
            <w:tcBorders>
              <w:top w:val="single" w:sz="6" w:space="0" w:color="000000"/>
              <w:bottom w:val="single" w:sz="6" w:space="0" w:color="000000"/>
            </w:tcBorders>
          </w:tcPr>
          <w:p>
            <w:pPr>
              <w:pStyle w:val="TableParagraph"/>
              <w:spacing w:line="179" w:lineRule="exact" w:before="2"/>
              <w:ind w:left="414"/>
              <w:rPr>
                <w:b/>
                <w:sz w:val="16"/>
              </w:rPr>
            </w:pPr>
            <w:r>
              <w:rPr>
                <w:b/>
                <w:spacing w:val="-4"/>
                <w:w w:val="105"/>
                <w:sz w:val="16"/>
              </w:rPr>
              <w:t>2021</w:t>
            </w:r>
          </w:p>
        </w:tc>
        <w:tc>
          <w:tcPr>
            <w:tcW w:w="508" w:type="dxa"/>
            <w:tcBorders>
              <w:top w:val="single" w:sz="6" w:space="0" w:color="000000"/>
              <w:bottom w:val="single" w:sz="6" w:space="0" w:color="000000"/>
            </w:tcBorders>
          </w:tcPr>
          <w:p>
            <w:pPr>
              <w:pStyle w:val="TableParagraph"/>
              <w:rPr>
                <w:sz w:val="14"/>
              </w:rPr>
            </w:pPr>
          </w:p>
        </w:tc>
        <w:tc>
          <w:tcPr>
            <w:tcW w:w="871" w:type="dxa"/>
            <w:tcBorders>
              <w:top w:val="single" w:sz="6" w:space="0" w:color="000000"/>
              <w:bottom w:val="single" w:sz="6" w:space="0" w:color="000000"/>
            </w:tcBorders>
          </w:tcPr>
          <w:p>
            <w:pPr>
              <w:pStyle w:val="TableParagraph"/>
              <w:spacing w:line="179" w:lineRule="exact" w:before="2"/>
              <w:ind w:left="522"/>
              <w:rPr>
                <w:sz w:val="16"/>
              </w:rPr>
            </w:pPr>
            <w:r>
              <w:rPr>
                <w:spacing w:val="-4"/>
                <w:w w:val="105"/>
                <w:sz w:val="16"/>
              </w:rPr>
              <w:t>2020</w:t>
            </w:r>
          </w:p>
        </w:tc>
        <w:tc>
          <w:tcPr>
            <w:tcW w:w="865" w:type="dxa"/>
            <w:tcBorders>
              <w:top w:val="single" w:sz="6" w:space="0" w:color="000000"/>
              <w:bottom w:val="single" w:sz="6" w:space="0" w:color="000000"/>
            </w:tcBorders>
          </w:tcPr>
          <w:p>
            <w:pPr>
              <w:pStyle w:val="TableParagraph"/>
              <w:rPr>
                <w:sz w:val="14"/>
              </w:rPr>
            </w:pPr>
          </w:p>
        </w:tc>
        <w:tc>
          <w:tcPr>
            <w:tcW w:w="512" w:type="dxa"/>
            <w:tcBorders>
              <w:top w:val="single" w:sz="6" w:space="0" w:color="000000"/>
              <w:bottom w:val="single" w:sz="6" w:space="0" w:color="000000"/>
            </w:tcBorders>
          </w:tcPr>
          <w:p>
            <w:pPr>
              <w:pStyle w:val="TableParagraph"/>
              <w:spacing w:line="179" w:lineRule="exact" w:before="2"/>
              <w:ind w:left="162"/>
              <w:rPr>
                <w:sz w:val="16"/>
              </w:rPr>
            </w:pPr>
            <w:r>
              <w:rPr>
                <w:spacing w:val="-4"/>
                <w:w w:val="105"/>
                <w:sz w:val="16"/>
              </w:rPr>
              <w:t>2019</w:t>
            </w:r>
          </w:p>
        </w:tc>
        <w:tc>
          <w:tcPr>
            <w:tcW w:w="506" w:type="dxa"/>
            <w:tcBorders>
              <w:top w:val="single" w:sz="6" w:space="0" w:color="000000"/>
              <w:bottom w:val="single" w:sz="6" w:space="0" w:color="000000"/>
            </w:tcBorders>
          </w:tcPr>
          <w:p>
            <w:pPr>
              <w:pStyle w:val="TableParagraph"/>
              <w:rPr>
                <w:sz w:val="14"/>
              </w:rPr>
            </w:pPr>
          </w:p>
        </w:tc>
        <w:tc>
          <w:tcPr>
            <w:tcW w:w="116" w:type="dxa"/>
            <w:tcBorders>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spacing w:line="179" w:lineRule="exact" w:before="2"/>
              <w:ind w:left="5" w:right="11"/>
              <w:jc w:val="center"/>
              <w:rPr>
                <w:sz w:val="16"/>
              </w:rPr>
            </w:pPr>
            <w:r>
              <w:rPr>
                <w:w w:val="105"/>
                <w:sz w:val="16"/>
              </w:rPr>
              <w:t>21</w:t>
            </w:r>
            <w:r>
              <w:rPr>
                <w:spacing w:val="-5"/>
                <w:w w:val="105"/>
                <w:sz w:val="16"/>
              </w:rPr>
              <w:t> </w:t>
            </w:r>
            <w:r>
              <w:rPr>
                <w:w w:val="105"/>
                <w:sz w:val="16"/>
              </w:rPr>
              <w:t>vs.</w:t>
            </w:r>
            <w:r>
              <w:rPr>
                <w:spacing w:val="-4"/>
                <w:w w:val="105"/>
                <w:sz w:val="16"/>
              </w:rPr>
              <w:t> </w:t>
            </w:r>
            <w:r>
              <w:rPr>
                <w:spacing w:val="-7"/>
                <w:w w:val="105"/>
                <w:sz w:val="16"/>
              </w:rPr>
              <w:t>20</w:t>
            </w:r>
          </w:p>
        </w:tc>
        <w:tc>
          <w:tcPr>
            <w:tcW w:w="116" w:type="dxa"/>
            <w:tcBorders>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spacing w:line="179" w:lineRule="exact" w:before="2"/>
              <w:ind w:right="11"/>
              <w:jc w:val="center"/>
              <w:rPr>
                <w:sz w:val="16"/>
              </w:rPr>
            </w:pPr>
            <w:r>
              <w:rPr>
                <w:w w:val="105"/>
                <w:sz w:val="16"/>
              </w:rPr>
              <w:t>20</w:t>
            </w:r>
            <w:r>
              <w:rPr>
                <w:spacing w:val="-5"/>
                <w:w w:val="105"/>
                <w:sz w:val="16"/>
              </w:rPr>
              <w:t> </w:t>
            </w:r>
            <w:r>
              <w:rPr>
                <w:w w:val="105"/>
                <w:sz w:val="16"/>
              </w:rPr>
              <w:t>vs.</w:t>
            </w:r>
            <w:r>
              <w:rPr>
                <w:spacing w:val="-4"/>
                <w:w w:val="105"/>
                <w:sz w:val="16"/>
              </w:rPr>
              <w:t> </w:t>
            </w:r>
            <w:r>
              <w:rPr>
                <w:spacing w:val="-7"/>
                <w:w w:val="105"/>
                <w:sz w:val="16"/>
              </w:rPr>
              <w:t>19</w:t>
            </w:r>
          </w:p>
        </w:tc>
      </w:tr>
      <w:tr>
        <w:trPr>
          <w:trHeight w:val="202" w:hRule="atLeast"/>
        </w:trPr>
        <w:tc>
          <w:tcPr>
            <w:tcW w:w="5197" w:type="dxa"/>
            <w:tcBorders>
              <w:top w:val="single" w:sz="6" w:space="0" w:color="000000"/>
            </w:tcBorders>
            <w:shd w:val="clear" w:color="auto" w:fill="CCEDFF"/>
          </w:tcPr>
          <w:p>
            <w:pPr>
              <w:pStyle w:val="TableParagraph"/>
              <w:spacing w:line="180" w:lineRule="exact" w:before="2"/>
              <w:rPr>
                <w:sz w:val="16"/>
              </w:rPr>
            </w:pPr>
            <w:r>
              <w:rPr>
                <w:w w:val="105"/>
                <w:sz w:val="16"/>
              </w:rPr>
              <w:t>Segment</w:t>
            </w:r>
            <w:r>
              <w:rPr>
                <w:spacing w:val="-9"/>
                <w:w w:val="105"/>
                <w:sz w:val="16"/>
              </w:rPr>
              <w:t> </w:t>
            </w:r>
            <w:r>
              <w:rPr>
                <w:w w:val="105"/>
                <w:sz w:val="16"/>
              </w:rPr>
              <w:t>net</w:t>
            </w:r>
            <w:r>
              <w:rPr>
                <w:spacing w:val="-9"/>
                <w:w w:val="105"/>
                <w:sz w:val="16"/>
              </w:rPr>
              <w:t> </w:t>
            </w:r>
            <w:r>
              <w:rPr>
                <w:spacing w:val="-2"/>
                <w:w w:val="105"/>
                <w:sz w:val="16"/>
              </w:rPr>
              <w:t>sales</w:t>
            </w:r>
          </w:p>
        </w:tc>
        <w:tc>
          <w:tcPr>
            <w:tcW w:w="766"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508" w:type="dxa"/>
            <w:tcBorders>
              <w:top w:val="single" w:sz="6" w:space="0" w:color="000000"/>
            </w:tcBorders>
            <w:shd w:val="clear" w:color="auto" w:fill="CCEDFF"/>
          </w:tcPr>
          <w:p>
            <w:pPr>
              <w:pStyle w:val="TableParagraph"/>
              <w:spacing w:line="180" w:lineRule="exact" w:before="2"/>
              <w:ind w:left="20"/>
              <w:rPr>
                <w:b/>
                <w:sz w:val="16"/>
              </w:rPr>
            </w:pPr>
            <w:r>
              <w:rPr>
                <w:b/>
                <w:spacing w:val="-4"/>
                <w:w w:val="105"/>
                <w:sz w:val="16"/>
              </w:rPr>
              <w:t>4,349</w:t>
            </w:r>
          </w:p>
        </w:tc>
        <w:tc>
          <w:tcPr>
            <w:tcW w:w="871" w:type="dxa"/>
            <w:tcBorders>
              <w:top w:val="single" w:sz="6" w:space="0" w:color="000000"/>
            </w:tcBorders>
            <w:shd w:val="clear" w:color="auto" w:fill="CCEDFF"/>
          </w:tcPr>
          <w:p>
            <w:pPr>
              <w:pStyle w:val="TableParagraph"/>
              <w:spacing w:line="180" w:lineRule="exact" w:before="2"/>
              <w:ind w:left="114"/>
              <w:rPr>
                <w:sz w:val="16"/>
              </w:rPr>
            </w:pPr>
            <w:r>
              <w:rPr>
                <w:spacing w:val="-10"/>
                <w:w w:val="105"/>
                <w:sz w:val="16"/>
              </w:rPr>
              <w:t>$</w:t>
            </w:r>
          </w:p>
        </w:tc>
        <w:tc>
          <w:tcPr>
            <w:tcW w:w="865" w:type="dxa"/>
            <w:tcBorders>
              <w:top w:val="single" w:sz="6" w:space="0" w:color="000000"/>
            </w:tcBorders>
            <w:shd w:val="clear" w:color="auto" w:fill="CCEDFF"/>
          </w:tcPr>
          <w:p>
            <w:pPr>
              <w:pStyle w:val="TableParagraph"/>
              <w:tabs>
                <w:tab w:pos="601" w:val="left" w:leader="none"/>
              </w:tabs>
              <w:spacing w:line="180" w:lineRule="exact" w:before="2"/>
              <w:ind w:right="160"/>
              <w:jc w:val="right"/>
              <w:rPr>
                <w:sz w:val="16"/>
              </w:rPr>
            </w:pPr>
            <w:r>
              <w:rPr>
                <w:spacing w:val="-4"/>
                <w:w w:val="105"/>
                <w:sz w:val="16"/>
              </w:rPr>
              <w:t>3,563</w:t>
            </w:r>
            <w:r>
              <w:rPr>
                <w:sz w:val="16"/>
              </w:rPr>
              <w:tab/>
            </w:r>
            <w:r>
              <w:rPr>
                <w:spacing w:val="-10"/>
                <w:w w:val="105"/>
                <w:sz w:val="16"/>
              </w:rPr>
              <w:t>$</w:t>
            </w:r>
          </w:p>
        </w:tc>
        <w:tc>
          <w:tcPr>
            <w:tcW w:w="512" w:type="dxa"/>
            <w:tcBorders>
              <w:top w:val="single" w:sz="6" w:space="0" w:color="000000"/>
            </w:tcBorders>
            <w:shd w:val="clear" w:color="auto" w:fill="CCEDFF"/>
          </w:tcPr>
          <w:p>
            <w:pPr>
              <w:pStyle w:val="TableParagraph"/>
              <w:rPr>
                <w:sz w:val="14"/>
              </w:rPr>
            </w:pPr>
          </w:p>
        </w:tc>
        <w:tc>
          <w:tcPr>
            <w:tcW w:w="506" w:type="dxa"/>
            <w:tcBorders>
              <w:top w:val="single" w:sz="6" w:space="0" w:color="000000"/>
            </w:tcBorders>
            <w:shd w:val="clear" w:color="auto" w:fill="CCEDFF"/>
          </w:tcPr>
          <w:p>
            <w:pPr>
              <w:pStyle w:val="TableParagraph"/>
              <w:spacing w:line="180" w:lineRule="exact" w:before="2"/>
              <w:ind w:left="16"/>
              <w:rPr>
                <w:sz w:val="16"/>
              </w:rPr>
            </w:pPr>
            <w:r>
              <w:rPr>
                <w:spacing w:val="-4"/>
                <w:w w:val="105"/>
                <w:sz w:val="16"/>
              </w:rPr>
              <w:t>4,064</w:t>
            </w:r>
          </w:p>
        </w:tc>
        <w:tc>
          <w:tcPr>
            <w:tcW w:w="116" w:type="dxa"/>
            <w:tcBorders>
              <w:top w:val="single" w:sz="6" w:space="0" w:color="000000"/>
            </w:tcBorders>
            <w:shd w:val="clear" w:color="auto" w:fill="CCEDFF"/>
          </w:tcPr>
          <w:p>
            <w:pPr>
              <w:pStyle w:val="TableParagraph"/>
              <w:rPr>
                <w:sz w:val="14"/>
              </w:rPr>
            </w:pPr>
          </w:p>
        </w:tc>
        <w:tc>
          <w:tcPr>
            <w:tcW w:w="1033" w:type="dxa"/>
            <w:tcBorders>
              <w:top w:val="single" w:sz="6" w:space="0" w:color="000000"/>
            </w:tcBorders>
            <w:shd w:val="clear" w:color="auto" w:fill="CCEDFF"/>
          </w:tcPr>
          <w:p>
            <w:pPr>
              <w:pStyle w:val="TableParagraph"/>
              <w:spacing w:line="180" w:lineRule="exact" w:before="2"/>
              <w:ind w:left="5" w:right="11"/>
              <w:jc w:val="center"/>
              <w:rPr>
                <w:sz w:val="16"/>
              </w:rPr>
            </w:pPr>
            <w:r>
              <w:rPr>
                <w:spacing w:val="-5"/>
                <w:w w:val="105"/>
                <w:sz w:val="16"/>
              </w:rPr>
              <w:t>22%</w:t>
            </w:r>
          </w:p>
        </w:tc>
        <w:tc>
          <w:tcPr>
            <w:tcW w:w="116" w:type="dxa"/>
            <w:tcBorders>
              <w:top w:val="single" w:sz="6" w:space="0" w:color="000000"/>
            </w:tcBorders>
            <w:shd w:val="clear" w:color="auto" w:fill="CCEDFF"/>
          </w:tcPr>
          <w:p>
            <w:pPr>
              <w:pStyle w:val="TableParagraph"/>
              <w:rPr>
                <w:sz w:val="14"/>
              </w:rPr>
            </w:pPr>
          </w:p>
        </w:tc>
        <w:tc>
          <w:tcPr>
            <w:tcW w:w="1033" w:type="dxa"/>
            <w:tcBorders>
              <w:top w:val="single" w:sz="6" w:space="0" w:color="000000"/>
            </w:tcBorders>
            <w:shd w:val="clear" w:color="auto" w:fill="CCEDFF"/>
          </w:tcPr>
          <w:p>
            <w:pPr>
              <w:pStyle w:val="TableParagraph"/>
              <w:spacing w:line="180" w:lineRule="exact" w:before="2"/>
              <w:ind w:right="11"/>
              <w:jc w:val="center"/>
              <w:rPr>
                <w:sz w:val="16"/>
              </w:rPr>
            </w:pPr>
            <w:r>
              <w:rPr>
                <w:spacing w:val="-2"/>
                <w:w w:val="105"/>
                <w:sz w:val="16"/>
              </w:rPr>
              <w:t>(12%)</w:t>
            </w:r>
          </w:p>
        </w:tc>
      </w:tr>
      <w:tr>
        <w:trPr>
          <w:trHeight w:val="200" w:hRule="atLeast"/>
        </w:trPr>
        <w:tc>
          <w:tcPr>
            <w:tcW w:w="5197" w:type="dxa"/>
            <w:tcBorders>
              <w:bottom w:val="double" w:sz="6" w:space="0" w:color="000000"/>
            </w:tcBorders>
          </w:tcPr>
          <w:p>
            <w:pPr>
              <w:pStyle w:val="TableParagraph"/>
              <w:spacing w:line="177" w:lineRule="exact" w:before="3"/>
              <w:rPr>
                <w:sz w:val="16"/>
              </w:rPr>
            </w:pPr>
            <w:r>
              <w:rPr>
                <w:w w:val="105"/>
                <w:sz w:val="16"/>
              </w:rPr>
              <w:t>Segment</w:t>
            </w:r>
            <w:r>
              <w:rPr>
                <w:spacing w:val="-9"/>
                <w:w w:val="105"/>
                <w:sz w:val="16"/>
              </w:rPr>
              <w:t> </w:t>
            </w:r>
            <w:r>
              <w:rPr>
                <w:w w:val="105"/>
                <w:sz w:val="16"/>
              </w:rPr>
              <w:t>net</w:t>
            </w:r>
            <w:r>
              <w:rPr>
                <w:spacing w:val="-9"/>
                <w:w w:val="105"/>
                <w:sz w:val="16"/>
              </w:rPr>
              <w:t> </w:t>
            </w:r>
            <w:r>
              <w:rPr>
                <w:spacing w:val="-2"/>
                <w:w w:val="105"/>
                <w:sz w:val="16"/>
              </w:rPr>
              <w:t>income</w:t>
            </w:r>
          </w:p>
        </w:tc>
        <w:tc>
          <w:tcPr>
            <w:tcW w:w="766" w:type="dxa"/>
            <w:tcBorders>
              <w:bottom w:val="double" w:sz="6" w:space="0" w:color="000000"/>
            </w:tcBorders>
          </w:tcPr>
          <w:p>
            <w:pPr>
              <w:pStyle w:val="TableParagraph"/>
              <w:spacing w:line="177" w:lineRule="exact" w:before="3"/>
              <w:rPr>
                <w:b/>
                <w:sz w:val="16"/>
              </w:rPr>
            </w:pPr>
            <w:r>
              <w:rPr>
                <w:b/>
                <w:spacing w:val="-10"/>
                <w:w w:val="105"/>
                <w:sz w:val="16"/>
              </w:rPr>
              <w:t>$</w:t>
            </w:r>
          </w:p>
        </w:tc>
        <w:tc>
          <w:tcPr>
            <w:tcW w:w="1379" w:type="dxa"/>
            <w:gridSpan w:val="2"/>
            <w:tcBorders>
              <w:bottom w:val="double" w:sz="6" w:space="0" w:color="000000"/>
            </w:tcBorders>
          </w:tcPr>
          <w:p>
            <w:pPr>
              <w:pStyle w:val="TableParagraph"/>
              <w:tabs>
                <w:tab w:pos="622" w:val="left" w:leader="none"/>
              </w:tabs>
              <w:spacing w:line="177" w:lineRule="exact" w:before="3"/>
              <w:ind w:left="145"/>
              <w:rPr>
                <w:sz w:val="16"/>
              </w:rPr>
            </w:pPr>
            <w:r>
              <w:rPr>
                <w:b/>
                <w:spacing w:val="-5"/>
                <w:w w:val="105"/>
                <w:sz w:val="16"/>
              </w:rPr>
              <w:t>553</w:t>
            </w:r>
            <w:r>
              <w:rPr>
                <w:b/>
                <w:sz w:val="16"/>
              </w:rPr>
              <w:tab/>
            </w:r>
            <w:r>
              <w:rPr>
                <w:spacing w:val="-10"/>
                <w:w w:val="105"/>
                <w:sz w:val="16"/>
              </w:rPr>
              <w:t>$</w:t>
            </w:r>
          </w:p>
        </w:tc>
        <w:tc>
          <w:tcPr>
            <w:tcW w:w="865" w:type="dxa"/>
            <w:tcBorders>
              <w:bottom w:val="double" w:sz="6" w:space="0" w:color="000000"/>
            </w:tcBorders>
          </w:tcPr>
          <w:p>
            <w:pPr>
              <w:pStyle w:val="TableParagraph"/>
              <w:tabs>
                <w:tab w:pos="477" w:val="left" w:leader="none"/>
              </w:tabs>
              <w:spacing w:line="177" w:lineRule="exact" w:before="3"/>
              <w:ind w:right="160"/>
              <w:jc w:val="right"/>
              <w:rPr>
                <w:sz w:val="16"/>
              </w:rPr>
            </w:pPr>
            <w:r>
              <w:rPr>
                <w:spacing w:val="-5"/>
                <w:w w:val="105"/>
                <w:sz w:val="16"/>
              </w:rPr>
              <w:t>366</w:t>
            </w:r>
            <w:r>
              <w:rPr>
                <w:sz w:val="16"/>
              </w:rPr>
              <w:tab/>
            </w:r>
            <w:r>
              <w:rPr>
                <w:spacing w:val="-10"/>
                <w:w w:val="105"/>
                <w:sz w:val="16"/>
              </w:rPr>
              <w:t>$</w:t>
            </w:r>
          </w:p>
        </w:tc>
        <w:tc>
          <w:tcPr>
            <w:tcW w:w="1018" w:type="dxa"/>
            <w:gridSpan w:val="2"/>
            <w:tcBorders>
              <w:bottom w:val="double" w:sz="6" w:space="0" w:color="000000"/>
            </w:tcBorders>
          </w:tcPr>
          <w:p>
            <w:pPr>
              <w:pStyle w:val="TableParagraph"/>
              <w:spacing w:line="177" w:lineRule="exact" w:before="3"/>
              <w:ind w:left="652"/>
              <w:rPr>
                <w:sz w:val="16"/>
              </w:rPr>
            </w:pPr>
            <w:r>
              <w:rPr>
                <w:spacing w:val="-5"/>
                <w:w w:val="105"/>
                <w:sz w:val="16"/>
              </w:rPr>
              <w:t>489</w:t>
            </w:r>
          </w:p>
        </w:tc>
        <w:tc>
          <w:tcPr>
            <w:tcW w:w="1149" w:type="dxa"/>
            <w:gridSpan w:val="2"/>
            <w:tcBorders>
              <w:bottom w:val="double" w:sz="6" w:space="0" w:color="000000"/>
            </w:tcBorders>
          </w:tcPr>
          <w:p>
            <w:pPr>
              <w:pStyle w:val="TableParagraph"/>
              <w:spacing w:line="177" w:lineRule="exact" w:before="3"/>
              <w:ind w:left="476"/>
              <w:rPr>
                <w:sz w:val="16"/>
              </w:rPr>
            </w:pPr>
            <w:r>
              <w:rPr>
                <w:spacing w:val="-5"/>
                <w:w w:val="105"/>
                <w:sz w:val="16"/>
              </w:rPr>
              <w:t>51%</w:t>
            </w:r>
          </w:p>
        </w:tc>
        <w:tc>
          <w:tcPr>
            <w:tcW w:w="1149" w:type="dxa"/>
            <w:gridSpan w:val="2"/>
            <w:tcBorders>
              <w:bottom w:val="double" w:sz="6" w:space="0" w:color="000000"/>
            </w:tcBorders>
          </w:tcPr>
          <w:p>
            <w:pPr>
              <w:pStyle w:val="TableParagraph"/>
              <w:spacing w:line="177" w:lineRule="exact" w:before="3"/>
              <w:ind w:left="418"/>
              <w:rPr>
                <w:sz w:val="16"/>
              </w:rPr>
            </w:pPr>
            <w:r>
              <w:rPr>
                <w:spacing w:val="-2"/>
                <w:w w:val="105"/>
                <w:sz w:val="16"/>
              </w:rPr>
              <w:t>(25%)</w:t>
            </w:r>
          </w:p>
        </w:tc>
      </w:tr>
    </w:tbl>
    <w:p>
      <w:pPr>
        <w:pStyle w:val="BodyText"/>
        <w:spacing w:before="14"/>
      </w:pPr>
    </w:p>
    <w:p>
      <w:pPr>
        <w:pStyle w:val="BodyText"/>
        <w:spacing w:line="266" w:lineRule="auto"/>
        <w:ind w:left="156" w:right="328"/>
      </w:pPr>
      <w:r>
        <w:rPr>
          <w:w w:val="105"/>
        </w:rPr>
        <w:t>Net</w:t>
      </w:r>
      <w:r>
        <w:rPr>
          <w:spacing w:val="-7"/>
          <w:w w:val="105"/>
        </w:rPr>
        <w:t> </w:t>
      </w:r>
      <w:r>
        <w:rPr>
          <w:w w:val="105"/>
        </w:rPr>
        <w:t>sales</w:t>
      </w:r>
      <w:r>
        <w:rPr>
          <w:spacing w:val="-7"/>
          <w:w w:val="105"/>
        </w:rPr>
        <w:t> </w:t>
      </w:r>
      <w:r>
        <w:rPr>
          <w:w w:val="105"/>
        </w:rPr>
        <w:t>increased</w:t>
      </w:r>
      <w:r>
        <w:rPr>
          <w:spacing w:val="-7"/>
          <w:w w:val="105"/>
        </w:rPr>
        <w:t> </w:t>
      </w:r>
      <w:r>
        <w:rPr>
          <w:w w:val="105"/>
        </w:rPr>
        <w:t>by</w:t>
      </w:r>
      <w:r>
        <w:rPr>
          <w:spacing w:val="-7"/>
          <w:w w:val="105"/>
        </w:rPr>
        <w:t> </w:t>
      </w:r>
      <w:r>
        <w:rPr>
          <w:w w:val="105"/>
        </w:rPr>
        <w:t>$786</w:t>
      </w:r>
      <w:r>
        <w:rPr>
          <w:spacing w:val="-7"/>
          <w:w w:val="105"/>
        </w:rPr>
        <w:t> </w:t>
      </w:r>
      <w:r>
        <w:rPr>
          <w:w w:val="105"/>
        </w:rPr>
        <w:t>million,</w:t>
      </w:r>
      <w:r>
        <w:rPr>
          <w:spacing w:val="-7"/>
          <w:w w:val="105"/>
        </w:rPr>
        <w:t> </w:t>
      </w:r>
      <w:r>
        <w:rPr>
          <w:w w:val="105"/>
        </w:rPr>
        <w:t>or</w:t>
      </w:r>
      <w:r>
        <w:rPr>
          <w:spacing w:val="-7"/>
          <w:w w:val="105"/>
        </w:rPr>
        <w:t> </w:t>
      </w:r>
      <w:r>
        <w:rPr>
          <w:w w:val="105"/>
        </w:rPr>
        <w:t>22%,</w:t>
      </w:r>
      <w:r>
        <w:rPr>
          <w:spacing w:val="-7"/>
          <w:w w:val="105"/>
        </w:rPr>
        <w:t> </w:t>
      </w:r>
      <w:r>
        <w:rPr>
          <w:w w:val="105"/>
        </w:rPr>
        <w:t>in</w:t>
      </w:r>
      <w:r>
        <w:rPr>
          <w:spacing w:val="-7"/>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7"/>
          <w:w w:val="105"/>
        </w:rPr>
        <w:t> </w:t>
      </w:r>
      <w:r>
        <w:rPr>
          <w:w w:val="105"/>
        </w:rPr>
        <w:t>when</w:t>
      </w:r>
      <w:r>
        <w:rPr>
          <w:spacing w:val="-7"/>
          <w:w w:val="105"/>
        </w:rPr>
        <w:t> </w:t>
      </w:r>
      <w:r>
        <w:rPr>
          <w:w w:val="105"/>
        </w:rPr>
        <w:t>compared</w:t>
      </w:r>
      <w:r>
        <w:rPr>
          <w:spacing w:val="-7"/>
          <w:w w:val="105"/>
        </w:rPr>
        <w:t> </w:t>
      </w:r>
      <w:r>
        <w:rPr>
          <w:w w:val="105"/>
        </w:rPr>
        <w:t>to</w:t>
      </w:r>
      <w:r>
        <w:rPr>
          <w:spacing w:val="-7"/>
          <w:w w:val="105"/>
        </w:rPr>
        <w:t> </w:t>
      </w:r>
      <w:r>
        <w:rPr>
          <w:w w:val="105"/>
        </w:rPr>
        <w:t>the</w:t>
      </w:r>
      <w:r>
        <w:rPr>
          <w:spacing w:val="-7"/>
          <w:w w:val="105"/>
        </w:rPr>
        <w:t> </w:t>
      </w:r>
      <w:r>
        <w:rPr>
          <w:w w:val="105"/>
        </w:rPr>
        <w:t>same</w:t>
      </w:r>
      <w:r>
        <w:rPr>
          <w:spacing w:val="-7"/>
          <w:w w:val="105"/>
        </w:rPr>
        <w:t> </w:t>
      </w:r>
      <w:r>
        <w:rPr>
          <w:w w:val="105"/>
        </w:rPr>
        <w:t>period</w:t>
      </w:r>
      <w:r>
        <w:rPr>
          <w:spacing w:val="-7"/>
          <w:w w:val="105"/>
        </w:rPr>
        <w:t> </w:t>
      </w:r>
      <w:r>
        <w:rPr>
          <w:w w:val="105"/>
        </w:rPr>
        <w:t>in</w:t>
      </w:r>
      <w:r>
        <w:rPr>
          <w:spacing w:val="-7"/>
          <w:w w:val="105"/>
        </w:rPr>
        <w:t> </w:t>
      </w:r>
      <w:r>
        <w:rPr>
          <w:w w:val="105"/>
        </w:rPr>
        <w:t>2020,</w:t>
      </w:r>
      <w:r>
        <w:rPr>
          <w:spacing w:val="-7"/>
          <w:w w:val="105"/>
        </w:rPr>
        <w:t> </w:t>
      </w:r>
      <w:r>
        <w:rPr>
          <w:w w:val="105"/>
        </w:rPr>
        <w:t>primarily</w:t>
      </w:r>
      <w:r>
        <w:rPr>
          <w:spacing w:val="-7"/>
          <w:w w:val="105"/>
        </w:rPr>
        <w:t> </w:t>
      </w:r>
      <w:r>
        <w:rPr>
          <w:w w:val="105"/>
        </w:rPr>
        <w:t>due</w:t>
      </w:r>
      <w:r>
        <w:rPr>
          <w:spacing w:val="-7"/>
          <w:w w:val="105"/>
        </w:rPr>
        <w:t> </w:t>
      </w:r>
      <w:r>
        <w:rPr>
          <w:w w:val="105"/>
        </w:rPr>
        <w:t>to</w:t>
      </w:r>
      <w:r>
        <w:rPr>
          <w:spacing w:val="-7"/>
          <w:w w:val="105"/>
        </w:rPr>
        <w:t> </w:t>
      </w:r>
      <w:r>
        <w:rPr>
          <w:w w:val="105"/>
        </w:rPr>
        <w:t>higher</w:t>
      </w:r>
      <w:r>
        <w:rPr>
          <w:spacing w:val="-7"/>
          <w:w w:val="105"/>
        </w:rPr>
        <w:t> </w:t>
      </w:r>
      <w:r>
        <w:rPr>
          <w:w w:val="105"/>
        </w:rPr>
        <w:t>sales</w:t>
      </w:r>
      <w:r>
        <w:rPr>
          <w:spacing w:val="-7"/>
          <w:w w:val="105"/>
        </w:rPr>
        <w:t> </w:t>
      </w:r>
      <w:r>
        <w:rPr>
          <w:w w:val="105"/>
        </w:rPr>
        <w:t>in</w:t>
      </w:r>
      <w:r>
        <w:rPr>
          <w:spacing w:val="-7"/>
          <w:w w:val="105"/>
        </w:rPr>
        <w:t> </w:t>
      </w:r>
      <w:r>
        <w:rPr>
          <w:w w:val="105"/>
        </w:rPr>
        <w:t>carrier products</w:t>
      </w:r>
      <w:r>
        <w:rPr>
          <w:spacing w:val="-1"/>
          <w:w w:val="105"/>
        </w:rPr>
        <w:t> </w:t>
      </w:r>
      <w:r>
        <w:rPr>
          <w:w w:val="105"/>
        </w:rPr>
        <w:t>and</w:t>
      </w:r>
      <w:r>
        <w:rPr>
          <w:spacing w:val="-1"/>
          <w:w w:val="105"/>
        </w:rPr>
        <w:t> </w:t>
      </w:r>
      <w:r>
        <w:rPr>
          <w:w w:val="105"/>
        </w:rPr>
        <w:t>enterprise</w:t>
      </w:r>
      <w:r>
        <w:rPr>
          <w:spacing w:val="-1"/>
          <w:w w:val="105"/>
        </w:rPr>
        <w:t> </w:t>
      </w:r>
      <w:r>
        <w:rPr>
          <w:w w:val="105"/>
        </w:rPr>
        <w:t>products,</w:t>
      </w:r>
      <w:r>
        <w:rPr>
          <w:spacing w:val="-1"/>
          <w:w w:val="105"/>
        </w:rPr>
        <w:t> </w:t>
      </w:r>
      <w:r>
        <w:rPr>
          <w:w w:val="105"/>
        </w:rPr>
        <w:t>up</w:t>
      </w:r>
      <w:r>
        <w:rPr>
          <w:spacing w:val="-1"/>
          <w:w w:val="105"/>
        </w:rPr>
        <w:t> </w:t>
      </w:r>
      <w:r>
        <w:rPr>
          <w:w w:val="105"/>
        </w:rPr>
        <w:t>$588</w:t>
      </w:r>
      <w:r>
        <w:rPr>
          <w:spacing w:val="-1"/>
          <w:w w:val="105"/>
        </w:rPr>
        <w:t> </w:t>
      </w:r>
      <w:r>
        <w:rPr>
          <w:w w:val="105"/>
        </w:rPr>
        <w:t>million</w:t>
      </w:r>
      <w:r>
        <w:rPr>
          <w:spacing w:val="-1"/>
          <w:w w:val="105"/>
        </w:rPr>
        <w:t> </w:t>
      </w:r>
      <w:r>
        <w:rPr>
          <w:w w:val="105"/>
        </w:rPr>
        <w:t>and</w:t>
      </w:r>
      <w:r>
        <w:rPr>
          <w:spacing w:val="-1"/>
          <w:w w:val="105"/>
        </w:rPr>
        <w:t> </w:t>
      </w:r>
      <w:r>
        <w:rPr>
          <w:w w:val="105"/>
        </w:rPr>
        <w:t>$198</w:t>
      </w:r>
      <w:r>
        <w:rPr>
          <w:spacing w:val="-1"/>
          <w:w w:val="105"/>
        </w:rPr>
        <w:t> </w:t>
      </w:r>
      <w:r>
        <w:rPr>
          <w:w w:val="105"/>
        </w:rPr>
        <w:t>million, respectively,</w:t>
      </w:r>
      <w:r>
        <w:rPr>
          <w:spacing w:val="-1"/>
          <w:w w:val="105"/>
        </w:rPr>
        <w:t> </w:t>
      </w:r>
      <w:r>
        <w:rPr>
          <w:w w:val="105"/>
        </w:rPr>
        <w:t>primarily</w:t>
      </w:r>
      <w:r>
        <w:rPr>
          <w:spacing w:val="-1"/>
          <w:w w:val="105"/>
        </w:rPr>
        <w:t> </w:t>
      </w:r>
      <w:r>
        <w:rPr>
          <w:w w:val="105"/>
        </w:rPr>
        <w:t>driven</w:t>
      </w:r>
      <w:r>
        <w:rPr>
          <w:spacing w:val="-1"/>
          <w:w w:val="105"/>
        </w:rPr>
        <w:t> </w:t>
      </w:r>
      <w:r>
        <w:rPr>
          <w:w w:val="105"/>
        </w:rPr>
        <w:t>by</w:t>
      </w:r>
      <w:r>
        <w:rPr>
          <w:spacing w:val="-1"/>
          <w:w w:val="105"/>
        </w:rPr>
        <w:t> </w:t>
      </w:r>
      <w:r>
        <w:rPr>
          <w:w w:val="105"/>
        </w:rPr>
        <w:t>strong</w:t>
      </w:r>
      <w:r>
        <w:rPr>
          <w:spacing w:val="-1"/>
          <w:w w:val="105"/>
        </w:rPr>
        <w:t> </w:t>
      </w:r>
      <w:r>
        <w:rPr>
          <w:w w:val="105"/>
        </w:rPr>
        <w:t>growth</w:t>
      </w:r>
      <w:r>
        <w:rPr>
          <w:spacing w:val="-1"/>
          <w:w w:val="105"/>
        </w:rPr>
        <w:t> </w:t>
      </w:r>
      <w:r>
        <w:rPr>
          <w:w w:val="105"/>
        </w:rPr>
        <w:t>of</w:t>
      </w:r>
      <w:r>
        <w:rPr>
          <w:spacing w:val="-1"/>
          <w:w w:val="105"/>
        </w:rPr>
        <w:t> </w:t>
      </w:r>
      <w:r>
        <w:rPr>
          <w:w w:val="105"/>
        </w:rPr>
        <w:t>5G,</w:t>
      </w:r>
      <w:r>
        <w:rPr>
          <w:spacing w:val="-1"/>
          <w:w w:val="105"/>
        </w:rPr>
        <w:t> </w:t>
      </w:r>
      <w:r>
        <w:rPr>
          <w:w w:val="105"/>
        </w:rPr>
        <w:t>broadband</w:t>
      </w:r>
      <w:r>
        <w:rPr>
          <w:spacing w:val="-1"/>
          <w:w w:val="105"/>
        </w:rPr>
        <w:t> </w:t>
      </w:r>
      <w:r>
        <w:rPr>
          <w:w w:val="105"/>
        </w:rPr>
        <w:t>and</w:t>
      </w:r>
      <w:r>
        <w:rPr>
          <w:spacing w:val="-1"/>
          <w:w w:val="105"/>
        </w:rPr>
        <w:t> </w:t>
      </w:r>
      <w:r>
        <w:rPr>
          <w:w w:val="105"/>
        </w:rPr>
        <w:t>cloud</w:t>
      </w:r>
      <w:r>
        <w:rPr>
          <w:spacing w:val="-1"/>
          <w:w w:val="105"/>
        </w:rPr>
        <w:t> </w:t>
      </w:r>
      <w:r>
        <w:rPr>
          <w:w w:val="105"/>
        </w:rPr>
        <w:t>computing.</w:t>
      </w:r>
    </w:p>
    <w:p>
      <w:pPr>
        <w:pStyle w:val="BodyText"/>
        <w:spacing w:before="19"/>
      </w:pPr>
    </w:p>
    <w:p>
      <w:pPr>
        <w:pStyle w:val="BodyText"/>
        <w:spacing w:line="266" w:lineRule="auto"/>
        <w:ind w:left="156" w:right="117"/>
      </w:pPr>
      <w:r>
        <w:rPr>
          <w:w w:val="105"/>
        </w:rPr>
        <w:t>Net</w:t>
      </w:r>
      <w:r>
        <w:rPr>
          <w:spacing w:val="-8"/>
          <w:w w:val="105"/>
        </w:rPr>
        <w:t> </w:t>
      </w:r>
      <w:r>
        <w:rPr>
          <w:w w:val="105"/>
        </w:rPr>
        <w:t>income</w:t>
      </w:r>
      <w:r>
        <w:rPr>
          <w:spacing w:val="-8"/>
          <w:w w:val="105"/>
        </w:rPr>
        <w:t> </w:t>
      </w:r>
      <w:r>
        <w:rPr>
          <w:w w:val="105"/>
        </w:rPr>
        <w:t>in</w:t>
      </w:r>
      <w:r>
        <w:rPr>
          <w:spacing w:val="-8"/>
          <w:w w:val="105"/>
        </w:rPr>
        <w:t> </w:t>
      </w:r>
      <w:r>
        <w:rPr>
          <w:w w:val="105"/>
        </w:rPr>
        <w:t>the</w:t>
      </w:r>
      <w:r>
        <w:rPr>
          <w:spacing w:val="-8"/>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increased</w:t>
      </w:r>
      <w:r>
        <w:rPr>
          <w:spacing w:val="-8"/>
          <w:w w:val="105"/>
        </w:rPr>
        <w:t> </w:t>
      </w:r>
      <w:r>
        <w:rPr>
          <w:w w:val="105"/>
        </w:rPr>
        <w:t>by</w:t>
      </w:r>
      <w:r>
        <w:rPr>
          <w:spacing w:val="-8"/>
          <w:w w:val="105"/>
        </w:rPr>
        <w:t> </w:t>
      </w:r>
      <w:r>
        <w:rPr>
          <w:w w:val="105"/>
        </w:rPr>
        <w:t>$187</w:t>
      </w:r>
      <w:r>
        <w:rPr>
          <w:spacing w:val="-8"/>
          <w:w w:val="105"/>
        </w:rPr>
        <w:t> </w:t>
      </w:r>
      <w:r>
        <w:rPr>
          <w:w w:val="105"/>
        </w:rPr>
        <w:t>million,</w:t>
      </w:r>
      <w:r>
        <w:rPr>
          <w:spacing w:val="-8"/>
          <w:w w:val="105"/>
        </w:rPr>
        <w:t> </w:t>
      </w:r>
      <w:r>
        <w:rPr>
          <w:w w:val="105"/>
        </w:rPr>
        <w:t>or</w:t>
      </w:r>
      <w:r>
        <w:rPr>
          <w:spacing w:val="-8"/>
          <w:w w:val="105"/>
        </w:rPr>
        <w:t> </w:t>
      </w:r>
      <w:r>
        <w:rPr>
          <w:w w:val="105"/>
        </w:rPr>
        <w:t>51%,</w:t>
      </w:r>
      <w:r>
        <w:rPr>
          <w:spacing w:val="-8"/>
          <w:w w:val="105"/>
        </w:rPr>
        <w:t> </w:t>
      </w:r>
      <w:r>
        <w:rPr>
          <w:w w:val="105"/>
        </w:rPr>
        <w:t>primarily</w:t>
      </w:r>
      <w:r>
        <w:rPr>
          <w:spacing w:val="-8"/>
          <w:w w:val="105"/>
        </w:rPr>
        <w:t> </w:t>
      </w:r>
      <w:r>
        <w:rPr>
          <w:w w:val="105"/>
        </w:rPr>
        <w:t>driven</w:t>
      </w:r>
      <w:r>
        <w:rPr>
          <w:spacing w:val="-8"/>
          <w:w w:val="105"/>
        </w:rPr>
        <w:t> </w:t>
      </w:r>
      <w:r>
        <w:rPr>
          <w:w w:val="105"/>
        </w:rPr>
        <w:t>by</w:t>
      </w:r>
      <w:r>
        <w:rPr>
          <w:spacing w:val="-8"/>
          <w:w w:val="105"/>
        </w:rPr>
        <w:t> </w:t>
      </w:r>
      <w:r>
        <w:rPr>
          <w:w w:val="105"/>
        </w:rPr>
        <w:t>the</w:t>
      </w:r>
      <w:r>
        <w:rPr>
          <w:spacing w:val="-8"/>
          <w:w w:val="105"/>
        </w:rPr>
        <w:t> </w:t>
      </w:r>
      <w:r>
        <w:rPr>
          <w:w w:val="105"/>
        </w:rPr>
        <w:t>changes</w:t>
      </w:r>
      <w:r>
        <w:rPr>
          <w:spacing w:val="-8"/>
          <w:w w:val="105"/>
        </w:rPr>
        <w:t> </w:t>
      </w:r>
      <w:r>
        <w:rPr>
          <w:w w:val="105"/>
        </w:rPr>
        <w:t>in</w:t>
      </w:r>
      <w:r>
        <w:rPr>
          <w:spacing w:val="-8"/>
          <w:w w:val="105"/>
        </w:rPr>
        <w:t> </w:t>
      </w:r>
      <w:r>
        <w:rPr>
          <w:w w:val="105"/>
        </w:rPr>
        <w:t>sales,</w:t>
      </w:r>
      <w:r>
        <w:rPr>
          <w:spacing w:val="-8"/>
          <w:w w:val="105"/>
        </w:rPr>
        <w:t> </w:t>
      </w:r>
      <w:r>
        <w:rPr>
          <w:w w:val="105"/>
        </w:rPr>
        <w:t>outlined</w:t>
      </w:r>
      <w:r>
        <w:rPr>
          <w:spacing w:val="-8"/>
          <w:w w:val="105"/>
        </w:rPr>
        <w:t> </w:t>
      </w:r>
      <w:r>
        <w:rPr>
          <w:w w:val="105"/>
        </w:rPr>
        <w:t>above,</w:t>
      </w:r>
      <w:r>
        <w:rPr>
          <w:spacing w:val="-8"/>
          <w:w w:val="105"/>
        </w:rPr>
        <w:t> </w:t>
      </w:r>
      <w:r>
        <w:rPr>
          <w:w w:val="105"/>
        </w:rPr>
        <w:t>partially</w:t>
      </w:r>
      <w:r>
        <w:rPr>
          <w:spacing w:val="-8"/>
          <w:w w:val="105"/>
        </w:rPr>
        <w:t> </w:t>
      </w:r>
      <w:r>
        <w:rPr>
          <w:w w:val="105"/>
        </w:rPr>
        <w:t>offset</w:t>
      </w:r>
      <w:r>
        <w:rPr>
          <w:spacing w:val="-8"/>
          <w:w w:val="105"/>
        </w:rPr>
        <w:t> </w:t>
      </w:r>
      <w:r>
        <w:rPr>
          <w:w w:val="105"/>
        </w:rPr>
        <w:t>by</w:t>
      </w:r>
      <w:r>
        <w:rPr>
          <w:spacing w:val="-8"/>
          <w:w w:val="105"/>
        </w:rPr>
        <w:t> </w:t>
      </w:r>
      <w:r>
        <w:rPr>
          <w:w w:val="105"/>
        </w:rPr>
        <w:t>increased raw material, freight and logistics costs.</w:t>
      </w:r>
    </w:p>
    <w:p>
      <w:pPr>
        <w:pStyle w:val="BodyText"/>
        <w:spacing w:before="19"/>
      </w:pPr>
    </w:p>
    <w:p>
      <w:pPr>
        <w:pStyle w:val="BodyText"/>
        <w:spacing w:line="266" w:lineRule="auto"/>
        <w:ind w:left="156" w:right="328"/>
      </w:pPr>
      <w:r>
        <w:rPr>
          <w:w w:val="105"/>
        </w:rPr>
        <w:t>Movements</w:t>
      </w:r>
      <w:r>
        <w:rPr>
          <w:spacing w:val="-8"/>
          <w:w w:val="105"/>
        </w:rPr>
        <w:t> </w:t>
      </w:r>
      <w:r>
        <w:rPr>
          <w:w w:val="105"/>
        </w:rPr>
        <w:t>in</w:t>
      </w:r>
      <w:r>
        <w:rPr>
          <w:spacing w:val="-8"/>
          <w:w w:val="105"/>
        </w:rPr>
        <w:t> </w:t>
      </w:r>
      <w:r>
        <w:rPr>
          <w:w w:val="105"/>
        </w:rPr>
        <w:t>foreign</w:t>
      </w:r>
      <w:r>
        <w:rPr>
          <w:spacing w:val="-8"/>
          <w:w w:val="105"/>
        </w:rPr>
        <w:t> </w:t>
      </w:r>
      <w:r>
        <w:rPr>
          <w:w w:val="105"/>
        </w:rPr>
        <w:t>currency</w:t>
      </w:r>
      <w:r>
        <w:rPr>
          <w:spacing w:val="-8"/>
          <w:w w:val="105"/>
        </w:rPr>
        <w:t> </w:t>
      </w:r>
      <w:r>
        <w:rPr>
          <w:w w:val="105"/>
        </w:rPr>
        <w:t>exchange</w:t>
      </w:r>
      <w:r>
        <w:rPr>
          <w:spacing w:val="-8"/>
          <w:w w:val="105"/>
        </w:rPr>
        <w:t> </w:t>
      </w:r>
      <w:r>
        <w:rPr>
          <w:w w:val="105"/>
        </w:rPr>
        <w:t>rates</w:t>
      </w:r>
      <w:r>
        <w:rPr>
          <w:spacing w:val="-8"/>
          <w:w w:val="105"/>
        </w:rPr>
        <w:t> </w:t>
      </w:r>
      <w:r>
        <w:rPr>
          <w:w w:val="105"/>
        </w:rPr>
        <w:t>did</w:t>
      </w:r>
      <w:r>
        <w:rPr>
          <w:spacing w:val="-8"/>
          <w:w w:val="105"/>
        </w:rPr>
        <w:t> </w:t>
      </w:r>
      <w:r>
        <w:rPr>
          <w:w w:val="105"/>
        </w:rPr>
        <w:t>not</w:t>
      </w:r>
      <w:r>
        <w:rPr>
          <w:spacing w:val="-8"/>
          <w:w w:val="105"/>
        </w:rPr>
        <w:t> </w:t>
      </w:r>
      <w:r>
        <w:rPr>
          <w:w w:val="105"/>
        </w:rPr>
        <w:t>materially</w:t>
      </w:r>
      <w:r>
        <w:rPr>
          <w:spacing w:val="-8"/>
          <w:w w:val="105"/>
        </w:rPr>
        <w:t> </w:t>
      </w:r>
      <w:r>
        <w:rPr>
          <w:w w:val="105"/>
        </w:rPr>
        <w:t>impact</w:t>
      </w:r>
      <w:r>
        <w:rPr>
          <w:spacing w:val="-8"/>
          <w:w w:val="105"/>
        </w:rPr>
        <w:t> </w:t>
      </w:r>
      <w:r>
        <w:rPr>
          <w:w w:val="105"/>
        </w:rPr>
        <w:t>net</w:t>
      </w:r>
      <w:r>
        <w:rPr>
          <w:spacing w:val="-8"/>
          <w:w w:val="105"/>
        </w:rPr>
        <w:t> </w:t>
      </w:r>
      <w:r>
        <w:rPr>
          <w:w w:val="105"/>
        </w:rPr>
        <w:t>income</w:t>
      </w:r>
      <w:r>
        <w:rPr>
          <w:spacing w:val="-8"/>
          <w:w w:val="105"/>
        </w:rPr>
        <w:t> </w:t>
      </w:r>
      <w:r>
        <w:rPr>
          <w:w w:val="105"/>
        </w:rPr>
        <w:t>in</w:t>
      </w:r>
      <w:r>
        <w:rPr>
          <w:spacing w:val="-8"/>
          <w:w w:val="105"/>
        </w:rPr>
        <w:t> </w:t>
      </w:r>
      <w:r>
        <w:rPr>
          <w:w w:val="105"/>
        </w:rPr>
        <w:t>this</w:t>
      </w:r>
      <w:r>
        <w:rPr>
          <w:spacing w:val="-8"/>
          <w:w w:val="105"/>
        </w:rPr>
        <w:t> </w:t>
      </w:r>
      <w:r>
        <w:rPr>
          <w:w w:val="105"/>
        </w:rPr>
        <w:t>segment</w:t>
      </w:r>
      <w:r>
        <w:rPr>
          <w:spacing w:val="-6"/>
          <w:w w:val="105"/>
        </w:rPr>
        <w:t> </w:t>
      </w:r>
      <w:r>
        <w:rPr>
          <w:w w:val="105"/>
        </w:rPr>
        <w:t>in</w:t>
      </w:r>
      <w:r>
        <w:rPr>
          <w:spacing w:val="-8"/>
          <w:w w:val="105"/>
        </w:rPr>
        <w:t> </w:t>
      </w:r>
      <w:r>
        <w:rPr>
          <w:w w:val="105"/>
        </w:rPr>
        <w:t>the</w:t>
      </w:r>
      <w:r>
        <w:rPr>
          <w:spacing w:val="-8"/>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when</w:t>
      </w:r>
      <w:r>
        <w:rPr>
          <w:spacing w:val="-6"/>
          <w:w w:val="105"/>
        </w:rPr>
        <w:t> </w:t>
      </w:r>
      <w:r>
        <w:rPr>
          <w:w w:val="105"/>
        </w:rPr>
        <w:t>compared</w:t>
      </w:r>
      <w:r>
        <w:rPr>
          <w:spacing w:val="-8"/>
          <w:w w:val="105"/>
        </w:rPr>
        <w:t> </w:t>
      </w:r>
      <w:r>
        <w:rPr>
          <w:w w:val="105"/>
        </w:rPr>
        <w:t>to</w:t>
      </w:r>
      <w:r>
        <w:rPr>
          <w:spacing w:val="-8"/>
          <w:w w:val="105"/>
        </w:rPr>
        <w:t> </w:t>
      </w:r>
      <w:r>
        <w:rPr>
          <w:w w:val="105"/>
        </w:rPr>
        <w:t>the</w:t>
      </w:r>
      <w:r>
        <w:rPr>
          <w:spacing w:val="-8"/>
          <w:w w:val="105"/>
        </w:rPr>
        <w:t> </w:t>
      </w:r>
      <w:r>
        <w:rPr>
          <w:w w:val="105"/>
        </w:rPr>
        <w:t>same period in 2020.</w:t>
      </w:r>
    </w:p>
    <w:p>
      <w:pPr>
        <w:pStyle w:val="BodyText"/>
        <w:spacing w:before="19"/>
      </w:pPr>
    </w:p>
    <w:p>
      <w:pPr>
        <w:pStyle w:val="Heading2"/>
      </w:pPr>
      <w:r>
        <w:rPr/>
        <w:t>Specialty</w:t>
      </w:r>
      <w:r>
        <w:rPr>
          <w:spacing w:val="19"/>
        </w:rPr>
        <w:t> </w:t>
      </w:r>
      <w:r>
        <w:rPr>
          <w:spacing w:val="-2"/>
        </w:rPr>
        <w:t>Materials</w:t>
      </w:r>
    </w:p>
    <w:p>
      <w:pPr>
        <w:pStyle w:val="BodyText"/>
        <w:spacing w:before="39"/>
        <w:rPr>
          <w:b/>
        </w:rPr>
      </w:pPr>
    </w:p>
    <w:p>
      <w:pPr>
        <w:pStyle w:val="BodyText"/>
        <w:ind w:left="156"/>
      </w:pPr>
      <w:r>
        <w:rPr>
          <w:w w:val="105"/>
        </w:rPr>
        <w:t>The</w:t>
      </w:r>
      <w:r>
        <w:rPr>
          <w:spacing w:val="-9"/>
          <w:w w:val="105"/>
        </w:rPr>
        <w:t> </w:t>
      </w:r>
      <w:r>
        <w:rPr>
          <w:w w:val="105"/>
        </w:rPr>
        <w:t>following</w:t>
      </w:r>
      <w:r>
        <w:rPr>
          <w:spacing w:val="-9"/>
          <w:w w:val="105"/>
        </w:rPr>
        <w:t> </w:t>
      </w:r>
      <w:r>
        <w:rPr>
          <w:w w:val="105"/>
        </w:rPr>
        <w:t>table</w:t>
      </w:r>
      <w:r>
        <w:rPr>
          <w:spacing w:val="-9"/>
          <w:w w:val="105"/>
        </w:rPr>
        <w:t> </w:t>
      </w:r>
      <w:r>
        <w:rPr>
          <w:w w:val="105"/>
        </w:rPr>
        <w:t>provides</w:t>
      </w:r>
      <w:r>
        <w:rPr>
          <w:spacing w:val="-8"/>
          <w:w w:val="105"/>
        </w:rPr>
        <w:t> </w:t>
      </w:r>
      <w:r>
        <w:rPr>
          <w:w w:val="105"/>
        </w:rPr>
        <w:t>net</w:t>
      </w:r>
      <w:r>
        <w:rPr>
          <w:spacing w:val="-9"/>
          <w:w w:val="105"/>
        </w:rPr>
        <w:t> </w:t>
      </w:r>
      <w:r>
        <w:rPr>
          <w:w w:val="105"/>
        </w:rPr>
        <w:t>sales</w:t>
      </w:r>
      <w:r>
        <w:rPr>
          <w:spacing w:val="-9"/>
          <w:w w:val="105"/>
        </w:rPr>
        <w:t> </w:t>
      </w:r>
      <w:r>
        <w:rPr>
          <w:w w:val="105"/>
        </w:rPr>
        <w:t>and</w:t>
      </w:r>
      <w:r>
        <w:rPr>
          <w:spacing w:val="-9"/>
          <w:w w:val="105"/>
        </w:rPr>
        <w:t> </w:t>
      </w:r>
      <w:r>
        <w:rPr>
          <w:w w:val="105"/>
        </w:rPr>
        <w:t>net</w:t>
      </w:r>
      <w:r>
        <w:rPr>
          <w:spacing w:val="-8"/>
          <w:w w:val="105"/>
        </w:rPr>
        <w:t> </w:t>
      </w:r>
      <w:r>
        <w:rPr>
          <w:w w:val="105"/>
        </w:rPr>
        <w:t>income</w:t>
      </w:r>
      <w:r>
        <w:rPr>
          <w:spacing w:val="-9"/>
          <w:w w:val="105"/>
        </w:rPr>
        <w:t> </w:t>
      </w:r>
      <w:r>
        <w:rPr>
          <w:w w:val="105"/>
        </w:rPr>
        <w:t>for</w:t>
      </w:r>
      <w:r>
        <w:rPr>
          <w:spacing w:val="-7"/>
          <w:w w:val="105"/>
        </w:rPr>
        <w:t> </w:t>
      </w:r>
      <w:r>
        <w:rPr>
          <w:w w:val="105"/>
        </w:rPr>
        <w:t>the</w:t>
      </w:r>
      <w:r>
        <w:rPr>
          <w:spacing w:val="-9"/>
          <w:w w:val="105"/>
        </w:rPr>
        <w:t> </w:t>
      </w:r>
      <w:r>
        <w:rPr>
          <w:w w:val="105"/>
        </w:rPr>
        <w:t>Specialty</w:t>
      </w:r>
      <w:r>
        <w:rPr>
          <w:spacing w:val="-9"/>
          <w:w w:val="105"/>
        </w:rPr>
        <w:t> </w:t>
      </w:r>
      <w:r>
        <w:rPr>
          <w:w w:val="105"/>
        </w:rPr>
        <w:t>Materials</w:t>
      </w:r>
      <w:r>
        <w:rPr>
          <w:spacing w:val="-9"/>
          <w:w w:val="105"/>
        </w:rPr>
        <w:t> </w:t>
      </w:r>
      <w:r>
        <w:rPr>
          <w:w w:val="105"/>
        </w:rPr>
        <w:t>segment</w:t>
      </w:r>
      <w:r>
        <w:rPr>
          <w:spacing w:val="-8"/>
          <w:w w:val="105"/>
        </w:rPr>
        <w:t> </w:t>
      </w:r>
      <w:r>
        <w:rPr>
          <w:w w:val="105"/>
        </w:rPr>
        <w:t>(in</w:t>
      </w:r>
      <w:r>
        <w:rPr>
          <w:spacing w:val="-9"/>
          <w:w w:val="105"/>
        </w:rPr>
        <w:t> </w:t>
      </w:r>
      <w:r>
        <w:rPr>
          <w:spacing w:val="-2"/>
          <w:w w:val="105"/>
        </w:rPr>
        <w:t>millions):</w:t>
      </w:r>
    </w:p>
    <w:p>
      <w:pPr>
        <w:pStyle w:val="BodyText"/>
        <w:spacing w:before="4"/>
        <w:rPr>
          <w:sz w:val="9"/>
        </w:rPr>
      </w:pPr>
      <w:r>
        <w:rPr/>
        <mc:AlternateContent>
          <mc:Choice Requires="wps">
            <w:drawing>
              <wp:anchor distT="0" distB="0" distL="0" distR="0" allowOverlap="1" layoutInCell="1" locked="0" behindDoc="1" simplePos="0" relativeHeight="487616000">
                <wp:simplePos x="0" y="0"/>
                <wp:positionH relativeFrom="page">
                  <wp:posOffset>226479</wp:posOffset>
                </wp:positionH>
                <wp:positionV relativeFrom="paragraph">
                  <wp:posOffset>83682</wp:posOffset>
                </wp:positionV>
                <wp:extent cx="7312659" cy="1651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89206pt;width:575.775027pt;height:1.274pt;mso-position-horizontal-relative:page;mso-position-vertical-relative:paragraph;z-index:-15700480;mso-wrap-distance-left:0;mso-wrap-distance-right:0" id="docshape64" filled="true" fillcolor="#000000" stroked="false">
                <v:fill type="solid"/>
                <w10:wrap type="topAndBottom"/>
              </v:rect>
            </w:pict>
          </mc:Fallback>
        </mc:AlternateContent>
      </w:r>
    </w:p>
    <w:p>
      <w:pPr>
        <w:pStyle w:val="BodyText"/>
        <w:tabs>
          <w:tab w:pos="3241" w:val="left" w:leader="none"/>
          <w:tab w:pos="4387" w:val="left" w:leader="none"/>
        </w:tabs>
        <w:spacing w:before="3" w:after="23"/>
        <w:ind w:right="297"/>
        <w:jc w:val="right"/>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r>
        <w:rPr/>
        <w:tab/>
      </w:r>
      <w:r>
        <w:rPr>
          <w:w w:val="105"/>
        </w:rPr>
        <w:t>%</w:t>
      </w:r>
      <w:r>
        <w:rPr>
          <w:spacing w:val="-4"/>
          <w:w w:val="105"/>
        </w:rPr>
        <w:t> </w:t>
      </w:r>
      <w:r>
        <w:rPr>
          <w:spacing w:val="-2"/>
          <w:w w:val="105"/>
        </w:rPr>
        <w:t>change</w:t>
      </w:r>
      <w:r>
        <w:rPr/>
        <w:tab/>
      </w:r>
      <w:r>
        <w:rPr>
          <w:w w:val="105"/>
        </w:rPr>
        <w:t>%</w:t>
      </w:r>
      <w:r>
        <w:rPr>
          <w:spacing w:val="-4"/>
          <w:w w:val="105"/>
        </w:rPr>
        <w:t> </w:t>
      </w:r>
      <w:r>
        <w:rPr>
          <w:spacing w:val="-2"/>
          <w:w w:val="105"/>
        </w:rPr>
        <w:t>change</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7"/>
        <w:gridCol w:w="766"/>
        <w:gridCol w:w="508"/>
        <w:gridCol w:w="871"/>
        <w:gridCol w:w="865"/>
        <w:gridCol w:w="512"/>
        <w:gridCol w:w="506"/>
        <w:gridCol w:w="116"/>
        <w:gridCol w:w="1033"/>
        <w:gridCol w:w="116"/>
        <w:gridCol w:w="1033"/>
      </w:tblGrid>
      <w:tr>
        <w:trPr>
          <w:trHeight w:val="201" w:hRule="atLeast"/>
        </w:trPr>
        <w:tc>
          <w:tcPr>
            <w:tcW w:w="5197" w:type="dxa"/>
            <w:tcBorders>
              <w:bottom w:val="single" w:sz="6" w:space="0" w:color="000000"/>
            </w:tcBorders>
          </w:tcPr>
          <w:p>
            <w:pPr>
              <w:pStyle w:val="TableParagraph"/>
              <w:rPr>
                <w:sz w:val="14"/>
              </w:rPr>
            </w:pPr>
          </w:p>
        </w:tc>
        <w:tc>
          <w:tcPr>
            <w:tcW w:w="766" w:type="dxa"/>
            <w:tcBorders>
              <w:top w:val="single" w:sz="6" w:space="0" w:color="000000"/>
              <w:bottom w:val="single" w:sz="6" w:space="0" w:color="000000"/>
            </w:tcBorders>
          </w:tcPr>
          <w:p>
            <w:pPr>
              <w:pStyle w:val="TableParagraph"/>
              <w:spacing w:line="179" w:lineRule="exact" w:before="2"/>
              <w:ind w:left="414"/>
              <w:rPr>
                <w:b/>
                <w:sz w:val="16"/>
              </w:rPr>
            </w:pPr>
            <w:r>
              <w:rPr>
                <w:b/>
                <w:spacing w:val="-4"/>
                <w:w w:val="105"/>
                <w:sz w:val="16"/>
              </w:rPr>
              <w:t>2021</w:t>
            </w:r>
          </w:p>
        </w:tc>
        <w:tc>
          <w:tcPr>
            <w:tcW w:w="508" w:type="dxa"/>
            <w:tcBorders>
              <w:top w:val="single" w:sz="6" w:space="0" w:color="000000"/>
              <w:bottom w:val="single" w:sz="6" w:space="0" w:color="000000"/>
            </w:tcBorders>
          </w:tcPr>
          <w:p>
            <w:pPr>
              <w:pStyle w:val="TableParagraph"/>
              <w:rPr>
                <w:sz w:val="14"/>
              </w:rPr>
            </w:pPr>
          </w:p>
        </w:tc>
        <w:tc>
          <w:tcPr>
            <w:tcW w:w="871" w:type="dxa"/>
            <w:tcBorders>
              <w:top w:val="single" w:sz="6" w:space="0" w:color="000000"/>
              <w:bottom w:val="single" w:sz="6" w:space="0" w:color="000000"/>
            </w:tcBorders>
          </w:tcPr>
          <w:p>
            <w:pPr>
              <w:pStyle w:val="TableParagraph"/>
              <w:spacing w:line="179" w:lineRule="exact" w:before="2"/>
              <w:ind w:left="522"/>
              <w:rPr>
                <w:sz w:val="16"/>
              </w:rPr>
            </w:pPr>
            <w:r>
              <w:rPr>
                <w:spacing w:val="-4"/>
                <w:w w:val="105"/>
                <w:sz w:val="16"/>
              </w:rPr>
              <w:t>2020</w:t>
            </w:r>
          </w:p>
        </w:tc>
        <w:tc>
          <w:tcPr>
            <w:tcW w:w="865" w:type="dxa"/>
            <w:tcBorders>
              <w:top w:val="single" w:sz="6" w:space="0" w:color="000000"/>
              <w:bottom w:val="single" w:sz="6" w:space="0" w:color="000000"/>
            </w:tcBorders>
          </w:tcPr>
          <w:p>
            <w:pPr>
              <w:pStyle w:val="TableParagraph"/>
              <w:rPr>
                <w:sz w:val="14"/>
              </w:rPr>
            </w:pPr>
          </w:p>
        </w:tc>
        <w:tc>
          <w:tcPr>
            <w:tcW w:w="512" w:type="dxa"/>
            <w:tcBorders>
              <w:top w:val="single" w:sz="6" w:space="0" w:color="000000"/>
              <w:bottom w:val="single" w:sz="6" w:space="0" w:color="000000"/>
            </w:tcBorders>
          </w:tcPr>
          <w:p>
            <w:pPr>
              <w:pStyle w:val="TableParagraph"/>
              <w:spacing w:line="179" w:lineRule="exact" w:before="2"/>
              <w:ind w:left="162"/>
              <w:rPr>
                <w:sz w:val="16"/>
              </w:rPr>
            </w:pPr>
            <w:r>
              <w:rPr>
                <w:spacing w:val="-4"/>
                <w:w w:val="105"/>
                <w:sz w:val="16"/>
              </w:rPr>
              <w:t>2019</w:t>
            </w:r>
          </w:p>
        </w:tc>
        <w:tc>
          <w:tcPr>
            <w:tcW w:w="506" w:type="dxa"/>
            <w:tcBorders>
              <w:top w:val="single" w:sz="6" w:space="0" w:color="000000"/>
              <w:bottom w:val="single" w:sz="6" w:space="0" w:color="000000"/>
            </w:tcBorders>
          </w:tcPr>
          <w:p>
            <w:pPr>
              <w:pStyle w:val="TableParagraph"/>
              <w:rPr>
                <w:sz w:val="14"/>
              </w:rPr>
            </w:pPr>
          </w:p>
        </w:tc>
        <w:tc>
          <w:tcPr>
            <w:tcW w:w="116" w:type="dxa"/>
            <w:tcBorders>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spacing w:line="179" w:lineRule="exact" w:before="2"/>
              <w:ind w:left="5" w:right="11"/>
              <w:jc w:val="center"/>
              <w:rPr>
                <w:sz w:val="16"/>
              </w:rPr>
            </w:pPr>
            <w:r>
              <w:rPr>
                <w:w w:val="105"/>
                <w:sz w:val="16"/>
              </w:rPr>
              <w:t>21</w:t>
            </w:r>
            <w:r>
              <w:rPr>
                <w:spacing w:val="-5"/>
                <w:w w:val="105"/>
                <w:sz w:val="16"/>
              </w:rPr>
              <w:t> </w:t>
            </w:r>
            <w:r>
              <w:rPr>
                <w:w w:val="105"/>
                <w:sz w:val="16"/>
              </w:rPr>
              <w:t>vs.</w:t>
            </w:r>
            <w:r>
              <w:rPr>
                <w:spacing w:val="-4"/>
                <w:w w:val="105"/>
                <w:sz w:val="16"/>
              </w:rPr>
              <w:t> </w:t>
            </w:r>
            <w:r>
              <w:rPr>
                <w:spacing w:val="-7"/>
                <w:w w:val="105"/>
                <w:sz w:val="16"/>
              </w:rPr>
              <w:t>20</w:t>
            </w:r>
          </w:p>
        </w:tc>
        <w:tc>
          <w:tcPr>
            <w:tcW w:w="116" w:type="dxa"/>
            <w:tcBorders>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spacing w:line="179" w:lineRule="exact" w:before="2"/>
              <w:ind w:right="11"/>
              <w:jc w:val="center"/>
              <w:rPr>
                <w:sz w:val="16"/>
              </w:rPr>
            </w:pPr>
            <w:r>
              <w:rPr>
                <w:w w:val="105"/>
                <w:sz w:val="16"/>
              </w:rPr>
              <w:t>20</w:t>
            </w:r>
            <w:r>
              <w:rPr>
                <w:spacing w:val="-5"/>
                <w:w w:val="105"/>
                <w:sz w:val="16"/>
              </w:rPr>
              <w:t> </w:t>
            </w:r>
            <w:r>
              <w:rPr>
                <w:w w:val="105"/>
                <w:sz w:val="16"/>
              </w:rPr>
              <w:t>vs.</w:t>
            </w:r>
            <w:r>
              <w:rPr>
                <w:spacing w:val="-4"/>
                <w:w w:val="105"/>
                <w:sz w:val="16"/>
              </w:rPr>
              <w:t> </w:t>
            </w:r>
            <w:r>
              <w:rPr>
                <w:spacing w:val="-7"/>
                <w:w w:val="105"/>
                <w:sz w:val="16"/>
              </w:rPr>
              <w:t>19</w:t>
            </w:r>
          </w:p>
        </w:tc>
      </w:tr>
      <w:tr>
        <w:trPr>
          <w:trHeight w:val="202" w:hRule="atLeast"/>
        </w:trPr>
        <w:tc>
          <w:tcPr>
            <w:tcW w:w="5197" w:type="dxa"/>
            <w:tcBorders>
              <w:top w:val="single" w:sz="6" w:space="0" w:color="000000"/>
            </w:tcBorders>
            <w:shd w:val="clear" w:color="auto" w:fill="CCEDFF"/>
          </w:tcPr>
          <w:p>
            <w:pPr>
              <w:pStyle w:val="TableParagraph"/>
              <w:spacing w:line="180" w:lineRule="exact" w:before="2"/>
              <w:rPr>
                <w:sz w:val="16"/>
              </w:rPr>
            </w:pPr>
            <w:r>
              <w:rPr>
                <w:w w:val="105"/>
                <w:sz w:val="16"/>
              </w:rPr>
              <w:t>Segment</w:t>
            </w:r>
            <w:r>
              <w:rPr>
                <w:spacing w:val="-9"/>
                <w:w w:val="105"/>
                <w:sz w:val="16"/>
              </w:rPr>
              <w:t> </w:t>
            </w:r>
            <w:r>
              <w:rPr>
                <w:w w:val="105"/>
                <w:sz w:val="16"/>
              </w:rPr>
              <w:t>net</w:t>
            </w:r>
            <w:r>
              <w:rPr>
                <w:spacing w:val="-9"/>
                <w:w w:val="105"/>
                <w:sz w:val="16"/>
              </w:rPr>
              <w:t> </w:t>
            </w:r>
            <w:r>
              <w:rPr>
                <w:spacing w:val="-2"/>
                <w:w w:val="105"/>
                <w:sz w:val="16"/>
              </w:rPr>
              <w:t>sales</w:t>
            </w:r>
          </w:p>
        </w:tc>
        <w:tc>
          <w:tcPr>
            <w:tcW w:w="766"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508" w:type="dxa"/>
            <w:tcBorders>
              <w:top w:val="single" w:sz="6" w:space="0" w:color="000000"/>
            </w:tcBorders>
            <w:shd w:val="clear" w:color="auto" w:fill="CCEDFF"/>
          </w:tcPr>
          <w:p>
            <w:pPr>
              <w:pStyle w:val="TableParagraph"/>
              <w:spacing w:line="180" w:lineRule="exact" w:before="2"/>
              <w:ind w:left="20"/>
              <w:rPr>
                <w:b/>
                <w:sz w:val="16"/>
              </w:rPr>
            </w:pPr>
            <w:r>
              <w:rPr>
                <w:b/>
                <w:spacing w:val="-4"/>
                <w:w w:val="105"/>
                <w:sz w:val="16"/>
              </w:rPr>
              <w:t>2,008</w:t>
            </w:r>
          </w:p>
        </w:tc>
        <w:tc>
          <w:tcPr>
            <w:tcW w:w="871" w:type="dxa"/>
            <w:tcBorders>
              <w:top w:val="single" w:sz="6" w:space="0" w:color="000000"/>
            </w:tcBorders>
            <w:shd w:val="clear" w:color="auto" w:fill="CCEDFF"/>
          </w:tcPr>
          <w:p>
            <w:pPr>
              <w:pStyle w:val="TableParagraph"/>
              <w:spacing w:line="180" w:lineRule="exact" w:before="2"/>
              <w:ind w:left="114"/>
              <w:rPr>
                <w:sz w:val="16"/>
              </w:rPr>
            </w:pPr>
            <w:r>
              <w:rPr>
                <w:spacing w:val="-10"/>
                <w:w w:val="105"/>
                <w:sz w:val="16"/>
              </w:rPr>
              <w:t>$</w:t>
            </w:r>
          </w:p>
        </w:tc>
        <w:tc>
          <w:tcPr>
            <w:tcW w:w="865" w:type="dxa"/>
            <w:tcBorders>
              <w:top w:val="single" w:sz="6" w:space="0" w:color="000000"/>
            </w:tcBorders>
            <w:shd w:val="clear" w:color="auto" w:fill="CCEDFF"/>
          </w:tcPr>
          <w:p>
            <w:pPr>
              <w:pStyle w:val="TableParagraph"/>
              <w:tabs>
                <w:tab w:pos="601" w:val="left" w:leader="none"/>
              </w:tabs>
              <w:spacing w:line="180" w:lineRule="exact" w:before="2"/>
              <w:ind w:right="160"/>
              <w:jc w:val="right"/>
              <w:rPr>
                <w:sz w:val="16"/>
              </w:rPr>
            </w:pPr>
            <w:r>
              <w:rPr>
                <w:spacing w:val="-4"/>
                <w:w w:val="105"/>
                <w:sz w:val="16"/>
              </w:rPr>
              <w:t>1,884</w:t>
            </w:r>
            <w:r>
              <w:rPr>
                <w:sz w:val="16"/>
              </w:rPr>
              <w:tab/>
            </w:r>
            <w:r>
              <w:rPr>
                <w:spacing w:val="-10"/>
                <w:w w:val="105"/>
                <w:sz w:val="16"/>
              </w:rPr>
              <w:t>$</w:t>
            </w:r>
          </w:p>
        </w:tc>
        <w:tc>
          <w:tcPr>
            <w:tcW w:w="512" w:type="dxa"/>
            <w:tcBorders>
              <w:top w:val="single" w:sz="6" w:space="0" w:color="000000"/>
            </w:tcBorders>
            <w:shd w:val="clear" w:color="auto" w:fill="CCEDFF"/>
          </w:tcPr>
          <w:p>
            <w:pPr>
              <w:pStyle w:val="TableParagraph"/>
              <w:rPr>
                <w:sz w:val="14"/>
              </w:rPr>
            </w:pPr>
          </w:p>
        </w:tc>
        <w:tc>
          <w:tcPr>
            <w:tcW w:w="506" w:type="dxa"/>
            <w:tcBorders>
              <w:top w:val="single" w:sz="6" w:space="0" w:color="000000"/>
            </w:tcBorders>
            <w:shd w:val="clear" w:color="auto" w:fill="CCEDFF"/>
          </w:tcPr>
          <w:p>
            <w:pPr>
              <w:pStyle w:val="TableParagraph"/>
              <w:spacing w:line="180" w:lineRule="exact" w:before="2"/>
              <w:ind w:left="16"/>
              <w:rPr>
                <w:sz w:val="16"/>
              </w:rPr>
            </w:pPr>
            <w:r>
              <w:rPr>
                <w:spacing w:val="-4"/>
                <w:w w:val="105"/>
                <w:sz w:val="16"/>
              </w:rPr>
              <w:t>1,594</w:t>
            </w:r>
          </w:p>
        </w:tc>
        <w:tc>
          <w:tcPr>
            <w:tcW w:w="116" w:type="dxa"/>
            <w:tcBorders>
              <w:top w:val="single" w:sz="6" w:space="0" w:color="000000"/>
            </w:tcBorders>
            <w:shd w:val="clear" w:color="auto" w:fill="CCEDFF"/>
          </w:tcPr>
          <w:p>
            <w:pPr>
              <w:pStyle w:val="TableParagraph"/>
              <w:rPr>
                <w:sz w:val="14"/>
              </w:rPr>
            </w:pPr>
          </w:p>
        </w:tc>
        <w:tc>
          <w:tcPr>
            <w:tcW w:w="1033" w:type="dxa"/>
            <w:tcBorders>
              <w:top w:val="single" w:sz="6" w:space="0" w:color="000000"/>
            </w:tcBorders>
            <w:shd w:val="clear" w:color="auto" w:fill="CCEDFF"/>
          </w:tcPr>
          <w:p>
            <w:pPr>
              <w:pStyle w:val="TableParagraph"/>
              <w:spacing w:line="180" w:lineRule="exact" w:before="2"/>
              <w:ind w:left="5" w:right="11"/>
              <w:jc w:val="center"/>
              <w:rPr>
                <w:sz w:val="16"/>
              </w:rPr>
            </w:pPr>
            <w:r>
              <w:rPr>
                <w:spacing w:val="-5"/>
                <w:w w:val="105"/>
                <w:sz w:val="16"/>
              </w:rPr>
              <w:t>7%</w:t>
            </w:r>
          </w:p>
        </w:tc>
        <w:tc>
          <w:tcPr>
            <w:tcW w:w="116" w:type="dxa"/>
            <w:tcBorders>
              <w:top w:val="single" w:sz="6" w:space="0" w:color="000000"/>
            </w:tcBorders>
            <w:shd w:val="clear" w:color="auto" w:fill="CCEDFF"/>
          </w:tcPr>
          <w:p>
            <w:pPr>
              <w:pStyle w:val="TableParagraph"/>
              <w:rPr>
                <w:sz w:val="14"/>
              </w:rPr>
            </w:pPr>
          </w:p>
        </w:tc>
        <w:tc>
          <w:tcPr>
            <w:tcW w:w="1033" w:type="dxa"/>
            <w:tcBorders>
              <w:top w:val="single" w:sz="6" w:space="0" w:color="000000"/>
            </w:tcBorders>
            <w:shd w:val="clear" w:color="auto" w:fill="CCEDFF"/>
          </w:tcPr>
          <w:p>
            <w:pPr>
              <w:pStyle w:val="TableParagraph"/>
              <w:spacing w:line="180" w:lineRule="exact" w:before="2"/>
              <w:ind w:right="11"/>
              <w:jc w:val="center"/>
              <w:rPr>
                <w:sz w:val="16"/>
              </w:rPr>
            </w:pPr>
            <w:r>
              <w:rPr>
                <w:spacing w:val="-5"/>
                <w:w w:val="105"/>
                <w:sz w:val="16"/>
              </w:rPr>
              <w:t>18%</w:t>
            </w:r>
          </w:p>
        </w:tc>
      </w:tr>
      <w:tr>
        <w:trPr>
          <w:trHeight w:val="200" w:hRule="atLeast"/>
        </w:trPr>
        <w:tc>
          <w:tcPr>
            <w:tcW w:w="5197" w:type="dxa"/>
            <w:tcBorders>
              <w:bottom w:val="double" w:sz="6" w:space="0" w:color="000000"/>
            </w:tcBorders>
          </w:tcPr>
          <w:p>
            <w:pPr>
              <w:pStyle w:val="TableParagraph"/>
              <w:spacing w:line="177" w:lineRule="exact" w:before="3"/>
              <w:rPr>
                <w:sz w:val="16"/>
              </w:rPr>
            </w:pPr>
            <w:r>
              <w:rPr>
                <w:w w:val="105"/>
                <w:sz w:val="16"/>
              </w:rPr>
              <w:t>Segment</w:t>
            </w:r>
            <w:r>
              <w:rPr>
                <w:spacing w:val="-9"/>
                <w:w w:val="105"/>
                <w:sz w:val="16"/>
              </w:rPr>
              <w:t> </w:t>
            </w:r>
            <w:r>
              <w:rPr>
                <w:w w:val="105"/>
                <w:sz w:val="16"/>
              </w:rPr>
              <w:t>net</w:t>
            </w:r>
            <w:r>
              <w:rPr>
                <w:spacing w:val="-9"/>
                <w:w w:val="105"/>
                <w:sz w:val="16"/>
              </w:rPr>
              <w:t> </w:t>
            </w:r>
            <w:r>
              <w:rPr>
                <w:spacing w:val="-2"/>
                <w:w w:val="105"/>
                <w:sz w:val="16"/>
              </w:rPr>
              <w:t>income</w:t>
            </w:r>
          </w:p>
        </w:tc>
        <w:tc>
          <w:tcPr>
            <w:tcW w:w="766" w:type="dxa"/>
            <w:tcBorders>
              <w:bottom w:val="double" w:sz="6" w:space="0" w:color="000000"/>
            </w:tcBorders>
          </w:tcPr>
          <w:p>
            <w:pPr>
              <w:pStyle w:val="TableParagraph"/>
              <w:spacing w:line="177" w:lineRule="exact" w:before="3"/>
              <w:rPr>
                <w:b/>
                <w:sz w:val="16"/>
              </w:rPr>
            </w:pPr>
            <w:r>
              <w:rPr>
                <w:b/>
                <w:spacing w:val="-10"/>
                <w:w w:val="105"/>
                <w:sz w:val="16"/>
              </w:rPr>
              <w:t>$</w:t>
            </w:r>
          </w:p>
        </w:tc>
        <w:tc>
          <w:tcPr>
            <w:tcW w:w="1379" w:type="dxa"/>
            <w:gridSpan w:val="2"/>
            <w:tcBorders>
              <w:bottom w:val="double" w:sz="6" w:space="0" w:color="000000"/>
            </w:tcBorders>
          </w:tcPr>
          <w:p>
            <w:pPr>
              <w:pStyle w:val="TableParagraph"/>
              <w:tabs>
                <w:tab w:pos="622" w:val="left" w:leader="none"/>
              </w:tabs>
              <w:spacing w:line="177" w:lineRule="exact" w:before="3"/>
              <w:ind w:left="145"/>
              <w:rPr>
                <w:sz w:val="16"/>
              </w:rPr>
            </w:pPr>
            <w:r>
              <w:rPr>
                <w:b/>
                <w:spacing w:val="-5"/>
                <w:w w:val="105"/>
                <w:sz w:val="16"/>
              </w:rPr>
              <w:t>371</w:t>
            </w:r>
            <w:r>
              <w:rPr>
                <w:b/>
                <w:sz w:val="16"/>
              </w:rPr>
              <w:tab/>
            </w:r>
            <w:r>
              <w:rPr>
                <w:spacing w:val="-10"/>
                <w:w w:val="105"/>
                <w:sz w:val="16"/>
              </w:rPr>
              <w:t>$</w:t>
            </w:r>
          </w:p>
        </w:tc>
        <w:tc>
          <w:tcPr>
            <w:tcW w:w="865" w:type="dxa"/>
            <w:tcBorders>
              <w:bottom w:val="double" w:sz="6" w:space="0" w:color="000000"/>
            </w:tcBorders>
          </w:tcPr>
          <w:p>
            <w:pPr>
              <w:pStyle w:val="TableParagraph"/>
              <w:tabs>
                <w:tab w:pos="477" w:val="left" w:leader="none"/>
              </w:tabs>
              <w:spacing w:line="177" w:lineRule="exact" w:before="3"/>
              <w:ind w:right="160"/>
              <w:jc w:val="right"/>
              <w:rPr>
                <w:sz w:val="16"/>
              </w:rPr>
            </w:pPr>
            <w:r>
              <w:rPr>
                <w:spacing w:val="-5"/>
                <w:w w:val="105"/>
                <w:sz w:val="16"/>
              </w:rPr>
              <w:t>423</w:t>
            </w:r>
            <w:r>
              <w:rPr>
                <w:sz w:val="16"/>
              </w:rPr>
              <w:tab/>
            </w:r>
            <w:r>
              <w:rPr>
                <w:spacing w:val="-10"/>
                <w:w w:val="105"/>
                <w:sz w:val="16"/>
              </w:rPr>
              <w:t>$</w:t>
            </w:r>
          </w:p>
        </w:tc>
        <w:tc>
          <w:tcPr>
            <w:tcW w:w="1018" w:type="dxa"/>
            <w:gridSpan w:val="2"/>
            <w:tcBorders>
              <w:bottom w:val="double" w:sz="6" w:space="0" w:color="000000"/>
            </w:tcBorders>
          </w:tcPr>
          <w:p>
            <w:pPr>
              <w:pStyle w:val="TableParagraph"/>
              <w:spacing w:line="177" w:lineRule="exact" w:before="3"/>
              <w:ind w:left="652"/>
              <w:rPr>
                <w:sz w:val="16"/>
              </w:rPr>
            </w:pPr>
            <w:r>
              <w:rPr>
                <w:spacing w:val="-5"/>
                <w:w w:val="105"/>
                <w:sz w:val="16"/>
              </w:rPr>
              <w:t>302</w:t>
            </w:r>
          </w:p>
        </w:tc>
        <w:tc>
          <w:tcPr>
            <w:tcW w:w="1149" w:type="dxa"/>
            <w:gridSpan w:val="2"/>
            <w:tcBorders>
              <w:bottom w:val="double" w:sz="6" w:space="0" w:color="000000"/>
            </w:tcBorders>
          </w:tcPr>
          <w:p>
            <w:pPr>
              <w:pStyle w:val="TableParagraph"/>
              <w:spacing w:line="177" w:lineRule="exact" w:before="3"/>
              <w:ind w:left="421"/>
              <w:rPr>
                <w:sz w:val="16"/>
              </w:rPr>
            </w:pPr>
            <w:r>
              <w:rPr>
                <w:spacing w:val="-2"/>
                <w:w w:val="105"/>
                <w:sz w:val="16"/>
              </w:rPr>
              <w:t>(12%)</w:t>
            </w:r>
          </w:p>
        </w:tc>
        <w:tc>
          <w:tcPr>
            <w:tcW w:w="1149" w:type="dxa"/>
            <w:gridSpan w:val="2"/>
            <w:tcBorders>
              <w:bottom w:val="double" w:sz="6" w:space="0" w:color="000000"/>
            </w:tcBorders>
          </w:tcPr>
          <w:p>
            <w:pPr>
              <w:pStyle w:val="TableParagraph"/>
              <w:spacing w:line="177" w:lineRule="exact" w:before="3"/>
              <w:ind w:left="473"/>
              <w:rPr>
                <w:sz w:val="16"/>
              </w:rPr>
            </w:pPr>
            <w:r>
              <w:rPr>
                <w:spacing w:val="-5"/>
                <w:w w:val="105"/>
                <w:sz w:val="16"/>
              </w:rPr>
              <w:t>40%</w:t>
            </w:r>
          </w:p>
        </w:tc>
      </w:tr>
    </w:tbl>
    <w:p>
      <w:pPr>
        <w:pStyle w:val="BodyText"/>
        <w:spacing w:before="14"/>
      </w:pPr>
    </w:p>
    <w:p>
      <w:pPr>
        <w:pStyle w:val="BodyText"/>
        <w:spacing w:line="266" w:lineRule="auto"/>
        <w:ind w:left="156" w:right="328"/>
      </w:pPr>
      <w:r>
        <w:rPr>
          <w:w w:val="105"/>
        </w:rPr>
        <w:t>Net</w:t>
      </w:r>
      <w:r>
        <w:rPr>
          <w:spacing w:val="-7"/>
          <w:w w:val="105"/>
        </w:rPr>
        <w:t> </w:t>
      </w:r>
      <w:r>
        <w:rPr>
          <w:w w:val="105"/>
        </w:rPr>
        <w:t>sales</w:t>
      </w:r>
      <w:r>
        <w:rPr>
          <w:spacing w:val="-7"/>
          <w:w w:val="105"/>
        </w:rPr>
        <w:t> </w:t>
      </w:r>
      <w:r>
        <w:rPr>
          <w:w w:val="105"/>
        </w:rPr>
        <w:t>in</w:t>
      </w:r>
      <w:r>
        <w:rPr>
          <w:spacing w:val="-7"/>
          <w:w w:val="105"/>
        </w:rPr>
        <w:t> </w:t>
      </w:r>
      <w:r>
        <w:rPr>
          <w:w w:val="105"/>
        </w:rPr>
        <w:t>the</w:t>
      </w:r>
      <w:r>
        <w:rPr>
          <w:spacing w:val="-7"/>
          <w:w w:val="105"/>
        </w:rPr>
        <w:t> </w:t>
      </w:r>
      <w:r>
        <w:rPr>
          <w:w w:val="105"/>
        </w:rPr>
        <w:t>Specialty</w:t>
      </w:r>
      <w:r>
        <w:rPr>
          <w:spacing w:val="-7"/>
          <w:w w:val="105"/>
        </w:rPr>
        <w:t> </w:t>
      </w:r>
      <w:r>
        <w:rPr>
          <w:w w:val="105"/>
        </w:rPr>
        <w:t>Materials</w:t>
      </w:r>
      <w:r>
        <w:rPr>
          <w:spacing w:val="-7"/>
          <w:w w:val="105"/>
        </w:rPr>
        <w:t> </w:t>
      </w:r>
      <w:r>
        <w:rPr>
          <w:w w:val="105"/>
        </w:rPr>
        <w:t>segment</w:t>
      </w:r>
      <w:r>
        <w:rPr>
          <w:spacing w:val="-7"/>
          <w:w w:val="105"/>
        </w:rPr>
        <w:t> </w:t>
      </w:r>
      <w:r>
        <w:rPr>
          <w:w w:val="105"/>
        </w:rPr>
        <w:t>increased</w:t>
      </w:r>
      <w:r>
        <w:rPr>
          <w:spacing w:val="-7"/>
          <w:w w:val="105"/>
        </w:rPr>
        <w:t> </w:t>
      </w:r>
      <w:r>
        <w:rPr>
          <w:w w:val="105"/>
        </w:rPr>
        <w:t>by</w:t>
      </w:r>
      <w:r>
        <w:rPr>
          <w:spacing w:val="-7"/>
          <w:w w:val="105"/>
        </w:rPr>
        <w:t> </w:t>
      </w:r>
      <w:r>
        <w:rPr>
          <w:w w:val="105"/>
        </w:rPr>
        <w:t>$124</w:t>
      </w:r>
      <w:r>
        <w:rPr>
          <w:spacing w:val="-7"/>
          <w:w w:val="105"/>
        </w:rPr>
        <w:t> </w:t>
      </w:r>
      <w:r>
        <w:rPr>
          <w:w w:val="105"/>
        </w:rPr>
        <w:t>million,</w:t>
      </w:r>
      <w:r>
        <w:rPr>
          <w:spacing w:val="-7"/>
          <w:w w:val="105"/>
        </w:rPr>
        <w:t> </w:t>
      </w:r>
      <w:r>
        <w:rPr>
          <w:w w:val="105"/>
        </w:rPr>
        <w:t>or</w:t>
      </w:r>
      <w:r>
        <w:rPr>
          <w:spacing w:val="-7"/>
          <w:w w:val="105"/>
        </w:rPr>
        <w:t> </w:t>
      </w:r>
      <w:r>
        <w:rPr>
          <w:w w:val="105"/>
        </w:rPr>
        <w:t>7%,</w:t>
      </w:r>
      <w:r>
        <w:rPr>
          <w:spacing w:val="-7"/>
          <w:w w:val="105"/>
        </w:rPr>
        <w:t> </w:t>
      </w:r>
      <w:r>
        <w:rPr>
          <w:w w:val="105"/>
        </w:rPr>
        <w:t>in</w:t>
      </w:r>
      <w:r>
        <w:rPr>
          <w:spacing w:val="-7"/>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7"/>
          <w:w w:val="105"/>
        </w:rPr>
        <w:t> </w:t>
      </w:r>
      <w:r>
        <w:rPr>
          <w:w w:val="105"/>
        </w:rPr>
        <w:t>when</w:t>
      </w:r>
      <w:r>
        <w:rPr>
          <w:spacing w:val="-7"/>
          <w:w w:val="105"/>
        </w:rPr>
        <w:t> </w:t>
      </w:r>
      <w:r>
        <w:rPr>
          <w:w w:val="105"/>
        </w:rPr>
        <w:t>compared</w:t>
      </w:r>
      <w:r>
        <w:rPr>
          <w:spacing w:val="-7"/>
          <w:w w:val="105"/>
        </w:rPr>
        <w:t> </w:t>
      </w:r>
      <w:r>
        <w:rPr>
          <w:w w:val="105"/>
        </w:rPr>
        <w:t>to</w:t>
      </w:r>
      <w:r>
        <w:rPr>
          <w:spacing w:val="-7"/>
          <w:w w:val="105"/>
        </w:rPr>
        <w:t> </w:t>
      </w:r>
      <w:r>
        <w:rPr>
          <w:w w:val="105"/>
        </w:rPr>
        <w:t>the</w:t>
      </w:r>
      <w:r>
        <w:rPr>
          <w:spacing w:val="-7"/>
          <w:w w:val="105"/>
        </w:rPr>
        <w:t> </w:t>
      </w:r>
      <w:r>
        <w:rPr>
          <w:w w:val="105"/>
        </w:rPr>
        <w:t>same</w:t>
      </w:r>
      <w:r>
        <w:rPr>
          <w:spacing w:val="-7"/>
          <w:w w:val="105"/>
        </w:rPr>
        <w:t> </w:t>
      </w:r>
      <w:r>
        <w:rPr>
          <w:w w:val="105"/>
        </w:rPr>
        <w:t>period</w:t>
      </w:r>
      <w:r>
        <w:rPr>
          <w:spacing w:val="-7"/>
          <w:w w:val="105"/>
        </w:rPr>
        <w:t> </w:t>
      </w:r>
      <w:r>
        <w:rPr>
          <w:w w:val="105"/>
        </w:rPr>
        <w:t>in</w:t>
      </w:r>
      <w:r>
        <w:rPr>
          <w:spacing w:val="-7"/>
          <w:w w:val="105"/>
        </w:rPr>
        <w:t> </w:t>
      </w:r>
      <w:r>
        <w:rPr>
          <w:w w:val="105"/>
        </w:rPr>
        <w:t>2020, primarily driven by demand for our premium cover materials and advanced optics content used in semiconductor manufacturing.</w:t>
      </w:r>
    </w:p>
    <w:p>
      <w:pPr>
        <w:pStyle w:val="BodyText"/>
        <w:spacing w:before="19"/>
      </w:pPr>
    </w:p>
    <w:p>
      <w:pPr>
        <w:pStyle w:val="BodyText"/>
        <w:spacing w:line="266" w:lineRule="auto"/>
        <w:ind w:left="156" w:right="228"/>
      </w:pPr>
      <w:r>
        <w:rPr>
          <w:w w:val="105"/>
        </w:rPr>
        <w:t>Net</w:t>
      </w:r>
      <w:r>
        <w:rPr>
          <w:spacing w:val="-8"/>
          <w:w w:val="105"/>
        </w:rPr>
        <w:t> </w:t>
      </w:r>
      <w:r>
        <w:rPr>
          <w:w w:val="105"/>
        </w:rPr>
        <w:t>income</w:t>
      </w:r>
      <w:r>
        <w:rPr>
          <w:spacing w:val="-8"/>
          <w:w w:val="105"/>
        </w:rPr>
        <w:t> </w:t>
      </w:r>
      <w:r>
        <w:rPr>
          <w:w w:val="105"/>
        </w:rPr>
        <w:t>in</w:t>
      </w:r>
      <w:r>
        <w:rPr>
          <w:spacing w:val="-8"/>
          <w:w w:val="105"/>
        </w:rPr>
        <w:t> </w:t>
      </w:r>
      <w:r>
        <w:rPr>
          <w:w w:val="105"/>
        </w:rPr>
        <w:t>the</w:t>
      </w:r>
      <w:r>
        <w:rPr>
          <w:spacing w:val="-8"/>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decreased</w:t>
      </w:r>
      <w:r>
        <w:rPr>
          <w:spacing w:val="-8"/>
          <w:w w:val="105"/>
        </w:rPr>
        <w:t> </w:t>
      </w:r>
      <w:r>
        <w:rPr>
          <w:w w:val="105"/>
        </w:rPr>
        <w:t>by</w:t>
      </w:r>
      <w:r>
        <w:rPr>
          <w:spacing w:val="-8"/>
          <w:w w:val="105"/>
        </w:rPr>
        <w:t> </w:t>
      </w:r>
      <w:r>
        <w:rPr>
          <w:w w:val="105"/>
        </w:rPr>
        <w:t>$52</w:t>
      </w:r>
      <w:r>
        <w:rPr>
          <w:spacing w:val="-8"/>
          <w:w w:val="105"/>
        </w:rPr>
        <w:t> </w:t>
      </w:r>
      <w:r>
        <w:rPr>
          <w:w w:val="105"/>
        </w:rPr>
        <w:t>million,</w:t>
      </w:r>
      <w:r>
        <w:rPr>
          <w:spacing w:val="-8"/>
          <w:w w:val="105"/>
        </w:rPr>
        <w:t> </w:t>
      </w:r>
      <w:r>
        <w:rPr>
          <w:w w:val="105"/>
        </w:rPr>
        <w:t>or</w:t>
      </w:r>
      <w:r>
        <w:rPr>
          <w:spacing w:val="-8"/>
          <w:w w:val="105"/>
        </w:rPr>
        <w:t> </w:t>
      </w:r>
      <w:r>
        <w:rPr>
          <w:w w:val="105"/>
        </w:rPr>
        <w:t>12%,</w:t>
      </w:r>
      <w:r>
        <w:rPr>
          <w:spacing w:val="-8"/>
          <w:w w:val="105"/>
        </w:rPr>
        <w:t> </w:t>
      </w:r>
      <w:r>
        <w:rPr>
          <w:w w:val="105"/>
        </w:rPr>
        <w:t>when</w:t>
      </w:r>
      <w:r>
        <w:rPr>
          <w:spacing w:val="-8"/>
          <w:w w:val="105"/>
        </w:rPr>
        <w:t> </w:t>
      </w:r>
      <w:r>
        <w:rPr>
          <w:w w:val="105"/>
        </w:rPr>
        <w:t>compared</w:t>
      </w:r>
      <w:r>
        <w:rPr>
          <w:spacing w:val="-8"/>
          <w:w w:val="105"/>
        </w:rPr>
        <w:t> </w:t>
      </w:r>
      <w:r>
        <w:rPr>
          <w:w w:val="105"/>
        </w:rPr>
        <w:t>to</w:t>
      </w:r>
      <w:r>
        <w:rPr>
          <w:spacing w:val="-8"/>
          <w:w w:val="105"/>
        </w:rPr>
        <w:t> </w:t>
      </w:r>
      <w:r>
        <w:rPr>
          <w:w w:val="105"/>
        </w:rPr>
        <w:t>the</w:t>
      </w:r>
      <w:r>
        <w:rPr>
          <w:spacing w:val="-8"/>
          <w:w w:val="105"/>
        </w:rPr>
        <w:t> </w:t>
      </w:r>
      <w:r>
        <w:rPr>
          <w:w w:val="105"/>
        </w:rPr>
        <w:t>same</w:t>
      </w:r>
      <w:r>
        <w:rPr>
          <w:spacing w:val="-8"/>
          <w:w w:val="105"/>
        </w:rPr>
        <w:t> </w:t>
      </w:r>
      <w:r>
        <w:rPr>
          <w:w w:val="105"/>
        </w:rPr>
        <w:t>period</w:t>
      </w:r>
      <w:r>
        <w:rPr>
          <w:spacing w:val="-8"/>
          <w:w w:val="105"/>
        </w:rPr>
        <w:t> </w:t>
      </w:r>
      <w:r>
        <w:rPr>
          <w:w w:val="105"/>
        </w:rPr>
        <w:t>in</w:t>
      </w:r>
      <w:r>
        <w:rPr>
          <w:spacing w:val="-8"/>
          <w:w w:val="105"/>
        </w:rPr>
        <w:t> </w:t>
      </w:r>
      <w:r>
        <w:rPr>
          <w:w w:val="105"/>
        </w:rPr>
        <w:t>2020,</w:t>
      </w:r>
      <w:r>
        <w:rPr>
          <w:spacing w:val="-8"/>
          <w:w w:val="105"/>
        </w:rPr>
        <w:t> </w:t>
      </w:r>
      <w:r>
        <w:rPr>
          <w:w w:val="105"/>
        </w:rPr>
        <w:t>primarily</w:t>
      </w:r>
      <w:r>
        <w:rPr>
          <w:spacing w:val="-8"/>
          <w:w w:val="105"/>
        </w:rPr>
        <w:t> </w:t>
      </w:r>
      <w:r>
        <w:rPr>
          <w:w w:val="105"/>
        </w:rPr>
        <w:t>driven</w:t>
      </w:r>
      <w:r>
        <w:rPr>
          <w:spacing w:val="-8"/>
          <w:w w:val="105"/>
        </w:rPr>
        <w:t> </w:t>
      </w:r>
      <w:r>
        <w:rPr>
          <w:w w:val="105"/>
        </w:rPr>
        <w:t>by</w:t>
      </w:r>
      <w:r>
        <w:rPr>
          <w:spacing w:val="-8"/>
          <w:w w:val="105"/>
        </w:rPr>
        <w:t> </w:t>
      </w:r>
      <w:r>
        <w:rPr>
          <w:w w:val="105"/>
        </w:rPr>
        <w:t>increased</w:t>
      </w:r>
      <w:r>
        <w:rPr>
          <w:spacing w:val="-8"/>
          <w:w w:val="105"/>
        </w:rPr>
        <w:t> </w:t>
      </w:r>
      <w:r>
        <w:rPr>
          <w:w w:val="105"/>
        </w:rPr>
        <w:t>investments in innovation programs that are moving towards commercialization.</w:t>
      </w:r>
    </w:p>
    <w:p>
      <w:pPr>
        <w:pStyle w:val="BodyText"/>
        <w:spacing w:before="19"/>
      </w:pPr>
    </w:p>
    <w:p>
      <w:pPr>
        <w:pStyle w:val="Heading2"/>
      </w:pPr>
      <w:r>
        <w:rPr/>
        <w:t>Environmental</w:t>
      </w:r>
      <w:r>
        <w:rPr>
          <w:spacing w:val="31"/>
        </w:rPr>
        <w:t> </w:t>
      </w:r>
      <w:r>
        <w:rPr>
          <w:spacing w:val="-2"/>
        </w:rPr>
        <w:t>Technologies</w:t>
      </w:r>
    </w:p>
    <w:p>
      <w:pPr>
        <w:pStyle w:val="BodyText"/>
        <w:spacing w:before="39"/>
        <w:rPr>
          <w:b/>
        </w:rPr>
      </w:pPr>
    </w:p>
    <w:p>
      <w:pPr>
        <w:pStyle w:val="BodyText"/>
        <w:ind w:left="156"/>
      </w:pPr>
      <w:r>
        <w:rPr>
          <w:w w:val="105"/>
        </w:rPr>
        <w:t>The</w:t>
      </w:r>
      <w:r>
        <w:rPr>
          <w:spacing w:val="-10"/>
          <w:w w:val="105"/>
        </w:rPr>
        <w:t> </w:t>
      </w:r>
      <w:r>
        <w:rPr>
          <w:w w:val="105"/>
        </w:rPr>
        <w:t>following</w:t>
      </w:r>
      <w:r>
        <w:rPr>
          <w:spacing w:val="-10"/>
          <w:w w:val="105"/>
        </w:rPr>
        <w:t> </w:t>
      </w:r>
      <w:r>
        <w:rPr>
          <w:w w:val="105"/>
        </w:rPr>
        <w:t>table</w:t>
      </w:r>
      <w:r>
        <w:rPr>
          <w:spacing w:val="-9"/>
          <w:w w:val="105"/>
        </w:rPr>
        <w:t> </w:t>
      </w:r>
      <w:r>
        <w:rPr>
          <w:w w:val="105"/>
        </w:rPr>
        <w:t>provides</w:t>
      </w:r>
      <w:r>
        <w:rPr>
          <w:spacing w:val="-10"/>
          <w:w w:val="105"/>
        </w:rPr>
        <w:t> </w:t>
      </w:r>
      <w:r>
        <w:rPr>
          <w:w w:val="105"/>
        </w:rPr>
        <w:t>net</w:t>
      </w:r>
      <w:r>
        <w:rPr>
          <w:spacing w:val="-9"/>
          <w:w w:val="105"/>
        </w:rPr>
        <w:t> </w:t>
      </w:r>
      <w:r>
        <w:rPr>
          <w:w w:val="105"/>
        </w:rPr>
        <w:t>sales</w:t>
      </w:r>
      <w:r>
        <w:rPr>
          <w:spacing w:val="-10"/>
          <w:w w:val="105"/>
        </w:rPr>
        <w:t> </w:t>
      </w:r>
      <w:r>
        <w:rPr>
          <w:w w:val="105"/>
        </w:rPr>
        <w:t>and</w:t>
      </w:r>
      <w:r>
        <w:rPr>
          <w:spacing w:val="-9"/>
          <w:w w:val="105"/>
        </w:rPr>
        <w:t> </w:t>
      </w:r>
      <w:r>
        <w:rPr>
          <w:w w:val="105"/>
        </w:rPr>
        <w:t>net</w:t>
      </w:r>
      <w:r>
        <w:rPr>
          <w:spacing w:val="-10"/>
          <w:w w:val="105"/>
        </w:rPr>
        <w:t> </w:t>
      </w:r>
      <w:r>
        <w:rPr>
          <w:w w:val="105"/>
        </w:rPr>
        <w:t>income</w:t>
      </w:r>
      <w:r>
        <w:rPr>
          <w:spacing w:val="-10"/>
          <w:w w:val="105"/>
        </w:rPr>
        <w:t> </w:t>
      </w:r>
      <w:r>
        <w:rPr>
          <w:w w:val="105"/>
        </w:rPr>
        <w:t>for</w:t>
      </w:r>
      <w:r>
        <w:rPr>
          <w:spacing w:val="-8"/>
          <w:w w:val="105"/>
        </w:rPr>
        <w:t> </w:t>
      </w:r>
      <w:r>
        <w:rPr>
          <w:w w:val="105"/>
        </w:rPr>
        <w:t>the</w:t>
      </w:r>
      <w:r>
        <w:rPr>
          <w:spacing w:val="-9"/>
          <w:w w:val="105"/>
        </w:rPr>
        <w:t> </w:t>
      </w:r>
      <w:r>
        <w:rPr>
          <w:w w:val="105"/>
        </w:rPr>
        <w:t>Environmental</w:t>
      </w:r>
      <w:r>
        <w:rPr>
          <w:spacing w:val="-10"/>
          <w:w w:val="105"/>
        </w:rPr>
        <w:t> </w:t>
      </w:r>
      <w:r>
        <w:rPr>
          <w:w w:val="105"/>
        </w:rPr>
        <w:t>Technologies</w:t>
      </w:r>
      <w:r>
        <w:rPr>
          <w:spacing w:val="-9"/>
          <w:w w:val="105"/>
        </w:rPr>
        <w:t> </w:t>
      </w:r>
      <w:r>
        <w:rPr>
          <w:w w:val="105"/>
        </w:rPr>
        <w:t>segment</w:t>
      </w:r>
      <w:r>
        <w:rPr>
          <w:spacing w:val="-10"/>
          <w:w w:val="105"/>
        </w:rPr>
        <w:t> </w:t>
      </w:r>
      <w:r>
        <w:rPr>
          <w:w w:val="105"/>
        </w:rPr>
        <w:t>(in</w:t>
      </w:r>
      <w:r>
        <w:rPr>
          <w:spacing w:val="-9"/>
          <w:w w:val="105"/>
        </w:rPr>
        <w:t> </w:t>
      </w:r>
      <w:r>
        <w:rPr>
          <w:spacing w:val="-2"/>
          <w:w w:val="105"/>
        </w:rPr>
        <w:t>millions):</w:t>
      </w:r>
    </w:p>
    <w:p>
      <w:pPr>
        <w:pStyle w:val="BodyText"/>
        <w:spacing w:before="4"/>
        <w:rPr>
          <w:sz w:val="9"/>
        </w:rPr>
      </w:pPr>
      <w:r>
        <w:rPr/>
        <mc:AlternateContent>
          <mc:Choice Requires="wps">
            <w:drawing>
              <wp:anchor distT="0" distB="0" distL="0" distR="0" allowOverlap="1" layoutInCell="1" locked="0" behindDoc="1" simplePos="0" relativeHeight="487616512">
                <wp:simplePos x="0" y="0"/>
                <wp:positionH relativeFrom="page">
                  <wp:posOffset>226479</wp:posOffset>
                </wp:positionH>
                <wp:positionV relativeFrom="paragraph">
                  <wp:posOffset>83666</wp:posOffset>
                </wp:positionV>
                <wp:extent cx="7312659" cy="1651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87939pt;width:575.775027pt;height:1.274pt;mso-position-horizontal-relative:page;mso-position-vertical-relative:paragraph;z-index:-15699968;mso-wrap-distance-left:0;mso-wrap-distance-right:0" id="docshape65" filled="true" fillcolor="#000000" stroked="false">
                <v:fill type="solid"/>
                <w10:wrap type="topAndBottom"/>
              </v:rect>
            </w:pict>
          </mc:Fallback>
        </mc:AlternateContent>
      </w:r>
    </w:p>
    <w:p>
      <w:pPr>
        <w:pStyle w:val="BodyText"/>
        <w:tabs>
          <w:tab w:pos="3241" w:val="left" w:leader="none"/>
          <w:tab w:pos="4387" w:val="left" w:leader="none"/>
        </w:tabs>
        <w:spacing w:before="3" w:after="23"/>
        <w:ind w:right="297"/>
        <w:jc w:val="right"/>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r>
        <w:rPr/>
        <w:tab/>
      </w:r>
      <w:r>
        <w:rPr>
          <w:w w:val="105"/>
        </w:rPr>
        <w:t>%</w:t>
      </w:r>
      <w:r>
        <w:rPr>
          <w:spacing w:val="-4"/>
          <w:w w:val="105"/>
        </w:rPr>
        <w:t> </w:t>
      </w:r>
      <w:r>
        <w:rPr>
          <w:spacing w:val="-2"/>
          <w:w w:val="105"/>
        </w:rPr>
        <w:t>change</w:t>
      </w:r>
      <w:r>
        <w:rPr/>
        <w:tab/>
      </w:r>
      <w:r>
        <w:rPr>
          <w:w w:val="105"/>
        </w:rPr>
        <w:t>%</w:t>
      </w:r>
      <w:r>
        <w:rPr>
          <w:spacing w:val="-4"/>
          <w:w w:val="105"/>
        </w:rPr>
        <w:t> </w:t>
      </w:r>
      <w:r>
        <w:rPr>
          <w:spacing w:val="-2"/>
          <w:w w:val="105"/>
        </w:rPr>
        <w:t>change</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7"/>
        <w:gridCol w:w="766"/>
        <w:gridCol w:w="508"/>
        <w:gridCol w:w="871"/>
        <w:gridCol w:w="865"/>
        <w:gridCol w:w="512"/>
        <w:gridCol w:w="506"/>
        <w:gridCol w:w="116"/>
        <w:gridCol w:w="1033"/>
        <w:gridCol w:w="116"/>
        <w:gridCol w:w="1033"/>
      </w:tblGrid>
      <w:tr>
        <w:trPr>
          <w:trHeight w:val="201" w:hRule="atLeast"/>
        </w:trPr>
        <w:tc>
          <w:tcPr>
            <w:tcW w:w="5197" w:type="dxa"/>
            <w:tcBorders>
              <w:bottom w:val="single" w:sz="6" w:space="0" w:color="000000"/>
            </w:tcBorders>
          </w:tcPr>
          <w:p>
            <w:pPr>
              <w:pStyle w:val="TableParagraph"/>
              <w:rPr>
                <w:sz w:val="14"/>
              </w:rPr>
            </w:pPr>
          </w:p>
        </w:tc>
        <w:tc>
          <w:tcPr>
            <w:tcW w:w="766" w:type="dxa"/>
            <w:tcBorders>
              <w:top w:val="single" w:sz="6" w:space="0" w:color="000000"/>
              <w:bottom w:val="single" w:sz="6" w:space="0" w:color="000000"/>
            </w:tcBorders>
          </w:tcPr>
          <w:p>
            <w:pPr>
              <w:pStyle w:val="TableParagraph"/>
              <w:spacing w:line="179" w:lineRule="exact" w:before="2"/>
              <w:ind w:left="414"/>
              <w:rPr>
                <w:b/>
                <w:sz w:val="16"/>
              </w:rPr>
            </w:pPr>
            <w:r>
              <w:rPr>
                <w:b/>
                <w:spacing w:val="-4"/>
                <w:w w:val="105"/>
                <w:sz w:val="16"/>
              </w:rPr>
              <w:t>2021</w:t>
            </w:r>
          </w:p>
        </w:tc>
        <w:tc>
          <w:tcPr>
            <w:tcW w:w="508" w:type="dxa"/>
            <w:tcBorders>
              <w:top w:val="single" w:sz="6" w:space="0" w:color="000000"/>
              <w:bottom w:val="single" w:sz="6" w:space="0" w:color="000000"/>
            </w:tcBorders>
          </w:tcPr>
          <w:p>
            <w:pPr>
              <w:pStyle w:val="TableParagraph"/>
              <w:rPr>
                <w:sz w:val="14"/>
              </w:rPr>
            </w:pPr>
          </w:p>
        </w:tc>
        <w:tc>
          <w:tcPr>
            <w:tcW w:w="871" w:type="dxa"/>
            <w:tcBorders>
              <w:top w:val="single" w:sz="6" w:space="0" w:color="000000"/>
              <w:bottom w:val="single" w:sz="6" w:space="0" w:color="000000"/>
            </w:tcBorders>
          </w:tcPr>
          <w:p>
            <w:pPr>
              <w:pStyle w:val="TableParagraph"/>
              <w:spacing w:line="179" w:lineRule="exact" w:before="2"/>
              <w:ind w:left="522"/>
              <w:rPr>
                <w:sz w:val="16"/>
              </w:rPr>
            </w:pPr>
            <w:r>
              <w:rPr>
                <w:spacing w:val="-4"/>
                <w:w w:val="105"/>
                <w:sz w:val="16"/>
              </w:rPr>
              <w:t>2020</w:t>
            </w:r>
          </w:p>
        </w:tc>
        <w:tc>
          <w:tcPr>
            <w:tcW w:w="865" w:type="dxa"/>
            <w:tcBorders>
              <w:top w:val="single" w:sz="6" w:space="0" w:color="000000"/>
              <w:bottom w:val="single" w:sz="6" w:space="0" w:color="000000"/>
            </w:tcBorders>
          </w:tcPr>
          <w:p>
            <w:pPr>
              <w:pStyle w:val="TableParagraph"/>
              <w:rPr>
                <w:sz w:val="14"/>
              </w:rPr>
            </w:pPr>
          </w:p>
        </w:tc>
        <w:tc>
          <w:tcPr>
            <w:tcW w:w="512" w:type="dxa"/>
            <w:tcBorders>
              <w:top w:val="single" w:sz="6" w:space="0" w:color="000000"/>
              <w:bottom w:val="single" w:sz="6" w:space="0" w:color="000000"/>
            </w:tcBorders>
          </w:tcPr>
          <w:p>
            <w:pPr>
              <w:pStyle w:val="TableParagraph"/>
              <w:spacing w:line="179" w:lineRule="exact" w:before="2"/>
              <w:ind w:left="162"/>
              <w:rPr>
                <w:sz w:val="16"/>
              </w:rPr>
            </w:pPr>
            <w:r>
              <w:rPr>
                <w:spacing w:val="-4"/>
                <w:w w:val="105"/>
                <w:sz w:val="16"/>
              </w:rPr>
              <w:t>2019</w:t>
            </w:r>
          </w:p>
        </w:tc>
        <w:tc>
          <w:tcPr>
            <w:tcW w:w="506" w:type="dxa"/>
            <w:tcBorders>
              <w:top w:val="single" w:sz="6" w:space="0" w:color="000000"/>
              <w:bottom w:val="single" w:sz="6" w:space="0" w:color="000000"/>
            </w:tcBorders>
          </w:tcPr>
          <w:p>
            <w:pPr>
              <w:pStyle w:val="TableParagraph"/>
              <w:rPr>
                <w:sz w:val="14"/>
              </w:rPr>
            </w:pPr>
          </w:p>
        </w:tc>
        <w:tc>
          <w:tcPr>
            <w:tcW w:w="116" w:type="dxa"/>
            <w:tcBorders>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spacing w:line="179" w:lineRule="exact" w:before="2"/>
              <w:ind w:left="5" w:right="11"/>
              <w:jc w:val="center"/>
              <w:rPr>
                <w:sz w:val="16"/>
              </w:rPr>
            </w:pPr>
            <w:r>
              <w:rPr>
                <w:w w:val="105"/>
                <w:sz w:val="16"/>
              </w:rPr>
              <w:t>21</w:t>
            </w:r>
            <w:r>
              <w:rPr>
                <w:spacing w:val="-5"/>
                <w:w w:val="105"/>
                <w:sz w:val="16"/>
              </w:rPr>
              <w:t> </w:t>
            </w:r>
            <w:r>
              <w:rPr>
                <w:w w:val="105"/>
                <w:sz w:val="16"/>
              </w:rPr>
              <w:t>vs.</w:t>
            </w:r>
            <w:r>
              <w:rPr>
                <w:spacing w:val="-4"/>
                <w:w w:val="105"/>
                <w:sz w:val="16"/>
              </w:rPr>
              <w:t> </w:t>
            </w:r>
            <w:r>
              <w:rPr>
                <w:spacing w:val="-7"/>
                <w:w w:val="105"/>
                <w:sz w:val="16"/>
              </w:rPr>
              <w:t>20</w:t>
            </w:r>
          </w:p>
        </w:tc>
        <w:tc>
          <w:tcPr>
            <w:tcW w:w="116" w:type="dxa"/>
            <w:tcBorders>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spacing w:line="179" w:lineRule="exact" w:before="2"/>
              <w:ind w:right="11"/>
              <w:jc w:val="center"/>
              <w:rPr>
                <w:sz w:val="16"/>
              </w:rPr>
            </w:pPr>
            <w:r>
              <w:rPr>
                <w:w w:val="105"/>
                <w:sz w:val="16"/>
              </w:rPr>
              <w:t>20</w:t>
            </w:r>
            <w:r>
              <w:rPr>
                <w:spacing w:val="-5"/>
                <w:w w:val="105"/>
                <w:sz w:val="16"/>
              </w:rPr>
              <w:t> </w:t>
            </w:r>
            <w:r>
              <w:rPr>
                <w:w w:val="105"/>
                <w:sz w:val="16"/>
              </w:rPr>
              <w:t>vs.</w:t>
            </w:r>
            <w:r>
              <w:rPr>
                <w:spacing w:val="-4"/>
                <w:w w:val="105"/>
                <w:sz w:val="16"/>
              </w:rPr>
              <w:t> </w:t>
            </w:r>
            <w:r>
              <w:rPr>
                <w:spacing w:val="-7"/>
                <w:w w:val="105"/>
                <w:sz w:val="16"/>
              </w:rPr>
              <w:t>19</w:t>
            </w:r>
          </w:p>
        </w:tc>
      </w:tr>
      <w:tr>
        <w:trPr>
          <w:trHeight w:val="202" w:hRule="atLeast"/>
        </w:trPr>
        <w:tc>
          <w:tcPr>
            <w:tcW w:w="5197" w:type="dxa"/>
            <w:tcBorders>
              <w:top w:val="single" w:sz="6" w:space="0" w:color="000000"/>
            </w:tcBorders>
            <w:shd w:val="clear" w:color="auto" w:fill="CCEDFF"/>
          </w:tcPr>
          <w:p>
            <w:pPr>
              <w:pStyle w:val="TableParagraph"/>
              <w:spacing w:line="180" w:lineRule="exact" w:before="2"/>
              <w:rPr>
                <w:sz w:val="16"/>
              </w:rPr>
            </w:pPr>
            <w:r>
              <w:rPr>
                <w:w w:val="105"/>
                <w:sz w:val="16"/>
              </w:rPr>
              <w:t>Segment</w:t>
            </w:r>
            <w:r>
              <w:rPr>
                <w:spacing w:val="-9"/>
                <w:w w:val="105"/>
                <w:sz w:val="16"/>
              </w:rPr>
              <w:t> </w:t>
            </w:r>
            <w:r>
              <w:rPr>
                <w:w w:val="105"/>
                <w:sz w:val="16"/>
              </w:rPr>
              <w:t>net</w:t>
            </w:r>
            <w:r>
              <w:rPr>
                <w:spacing w:val="-9"/>
                <w:w w:val="105"/>
                <w:sz w:val="16"/>
              </w:rPr>
              <w:t> </w:t>
            </w:r>
            <w:r>
              <w:rPr>
                <w:spacing w:val="-2"/>
                <w:w w:val="105"/>
                <w:sz w:val="16"/>
              </w:rPr>
              <w:t>sales</w:t>
            </w:r>
          </w:p>
        </w:tc>
        <w:tc>
          <w:tcPr>
            <w:tcW w:w="766"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508" w:type="dxa"/>
            <w:tcBorders>
              <w:top w:val="single" w:sz="6" w:space="0" w:color="000000"/>
            </w:tcBorders>
            <w:shd w:val="clear" w:color="auto" w:fill="CCEDFF"/>
          </w:tcPr>
          <w:p>
            <w:pPr>
              <w:pStyle w:val="TableParagraph"/>
              <w:spacing w:line="180" w:lineRule="exact" w:before="2"/>
              <w:ind w:left="20"/>
              <w:rPr>
                <w:b/>
                <w:sz w:val="16"/>
              </w:rPr>
            </w:pPr>
            <w:r>
              <w:rPr>
                <w:b/>
                <w:spacing w:val="-4"/>
                <w:w w:val="105"/>
                <w:sz w:val="16"/>
              </w:rPr>
              <w:t>1,586</w:t>
            </w:r>
          </w:p>
        </w:tc>
        <w:tc>
          <w:tcPr>
            <w:tcW w:w="871" w:type="dxa"/>
            <w:tcBorders>
              <w:top w:val="single" w:sz="6" w:space="0" w:color="000000"/>
            </w:tcBorders>
            <w:shd w:val="clear" w:color="auto" w:fill="CCEDFF"/>
          </w:tcPr>
          <w:p>
            <w:pPr>
              <w:pStyle w:val="TableParagraph"/>
              <w:spacing w:line="180" w:lineRule="exact" w:before="2"/>
              <w:ind w:left="114"/>
              <w:rPr>
                <w:sz w:val="16"/>
              </w:rPr>
            </w:pPr>
            <w:r>
              <w:rPr>
                <w:spacing w:val="-10"/>
                <w:w w:val="105"/>
                <w:sz w:val="16"/>
              </w:rPr>
              <w:t>$</w:t>
            </w:r>
          </w:p>
        </w:tc>
        <w:tc>
          <w:tcPr>
            <w:tcW w:w="865" w:type="dxa"/>
            <w:tcBorders>
              <w:top w:val="single" w:sz="6" w:space="0" w:color="000000"/>
            </w:tcBorders>
            <w:shd w:val="clear" w:color="auto" w:fill="CCEDFF"/>
          </w:tcPr>
          <w:p>
            <w:pPr>
              <w:pStyle w:val="TableParagraph"/>
              <w:tabs>
                <w:tab w:pos="601" w:val="left" w:leader="none"/>
              </w:tabs>
              <w:spacing w:line="180" w:lineRule="exact" w:before="2"/>
              <w:ind w:right="160"/>
              <w:jc w:val="right"/>
              <w:rPr>
                <w:sz w:val="16"/>
              </w:rPr>
            </w:pPr>
            <w:r>
              <w:rPr>
                <w:spacing w:val="-4"/>
                <w:w w:val="105"/>
                <w:sz w:val="16"/>
              </w:rPr>
              <w:t>1,370</w:t>
            </w:r>
            <w:r>
              <w:rPr>
                <w:sz w:val="16"/>
              </w:rPr>
              <w:tab/>
            </w:r>
            <w:r>
              <w:rPr>
                <w:spacing w:val="-10"/>
                <w:w w:val="105"/>
                <w:sz w:val="16"/>
              </w:rPr>
              <w:t>$</w:t>
            </w:r>
          </w:p>
        </w:tc>
        <w:tc>
          <w:tcPr>
            <w:tcW w:w="512" w:type="dxa"/>
            <w:tcBorders>
              <w:top w:val="single" w:sz="6" w:space="0" w:color="000000"/>
            </w:tcBorders>
            <w:shd w:val="clear" w:color="auto" w:fill="CCEDFF"/>
          </w:tcPr>
          <w:p>
            <w:pPr>
              <w:pStyle w:val="TableParagraph"/>
              <w:rPr>
                <w:sz w:val="14"/>
              </w:rPr>
            </w:pPr>
          </w:p>
        </w:tc>
        <w:tc>
          <w:tcPr>
            <w:tcW w:w="506" w:type="dxa"/>
            <w:tcBorders>
              <w:top w:val="single" w:sz="6" w:space="0" w:color="000000"/>
            </w:tcBorders>
            <w:shd w:val="clear" w:color="auto" w:fill="CCEDFF"/>
          </w:tcPr>
          <w:p>
            <w:pPr>
              <w:pStyle w:val="TableParagraph"/>
              <w:spacing w:line="180" w:lineRule="exact" w:before="2"/>
              <w:ind w:left="16"/>
              <w:rPr>
                <w:sz w:val="16"/>
              </w:rPr>
            </w:pPr>
            <w:r>
              <w:rPr>
                <w:spacing w:val="-4"/>
                <w:w w:val="105"/>
                <w:sz w:val="16"/>
              </w:rPr>
              <w:t>1,499</w:t>
            </w:r>
          </w:p>
        </w:tc>
        <w:tc>
          <w:tcPr>
            <w:tcW w:w="116" w:type="dxa"/>
            <w:tcBorders>
              <w:top w:val="single" w:sz="6" w:space="0" w:color="000000"/>
            </w:tcBorders>
            <w:shd w:val="clear" w:color="auto" w:fill="CCEDFF"/>
          </w:tcPr>
          <w:p>
            <w:pPr>
              <w:pStyle w:val="TableParagraph"/>
              <w:rPr>
                <w:sz w:val="14"/>
              </w:rPr>
            </w:pPr>
          </w:p>
        </w:tc>
        <w:tc>
          <w:tcPr>
            <w:tcW w:w="1033" w:type="dxa"/>
            <w:tcBorders>
              <w:top w:val="single" w:sz="6" w:space="0" w:color="000000"/>
            </w:tcBorders>
            <w:shd w:val="clear" w:color="auto" w:fill="CCEDFF"/>
          </w:tcPr>
          <w:p>
            <w:pPr>
              <w:pStyle w:val="TableParagraph"/>
              <w:spacing w:line="180" w:lineRule="exact" w:before="2"/>
              <w:ind w:left="5" w:right="11"/>
              <w:jc w:val="center"/>
              <w:rPr>
                <w:sz w:val="16"/>
              </w:rPr>
            </w:pPr>
            <w:r>
              <w:rPr>
                <w:spacing w:val="-5"/>
                <w:w w:val="105"/>
                <w:sz w:val="16"/>
              </w:rPr>
              <w:t>16%</w:t>
            </w:r>
          </w:p>
        </w:tc>
        <w:tc>
          <w:tcPr>
            <w:tcW w:w="116" w:type="dxa"/>
            <w:tcBorders>
              <w:top w:val="single" w:sz="6" w:space="0" w:color="000000"/>
            </w:tcBorders>
            <w:shd w:val="clear" w:color="auto" w:fill="CCEDFF"/>
          </w:tcPr>
          <w:p>
            <w:pPr>
              <w:pStyle w:val="TableParagraph"/>
              <w:rPr>
                <w:sz w:val="14"/>
              </w:rPr>
            </w:pPr>
          </w:p>
        </w:tc>
        <w:tc>
          <w:tcPr>
            <w:tcW w:w="1033" w:type="dxa"/>
            <w:tcBorders>
              <w:top w:val="single" w:sz="6" w:space="0" w:color="000000"/>
            </w:tcBorders>
            <w:shd w:val="clear" w:color="auto" w:fill="CCEDFF"/>
          </w:tcPr>
          <w:p>
            <w:pPr>
              <w:pStyle w:val="TableParagraph"/>
              <w:spacing w:line="180" w:lineRule="exact" w:before="2"/>
              <w:ind w:right="11"/>
              <w:jc w:val="center"/>
              <w:rPr>
                <w:sz w:val="16"/>
              </w:rPr>
            </w:pPr>
            <w:r>
              <w:rPr>
                <w:spacing w:val="-4"/>
                <w:w w:val="105"/>
                <w:sz w:val="16"/>
              </w:rPr>
              <w:t>(9%)</w:t>
            </w:r>
          </w:p>
        </w:tc>
      </w:tr>
      <w:tr>
        <w:trPr>
          <w:trHeight w:val="200" w:hRule="atLeast"/>
        </w:trPr>
        <w:tc>
          <w:tcPr>
            <w:tcW w:w="5197" w:type="dxa"/>
            <w:tcBorders>
              <w:bottom w:val="double" w:sz="6" w:space="0" w:color="000000"/>
            </w:tcBorders>
          </w:tcPr>
          <w:p>
            <w:pPr>
              <w:pStyle w:val="TableParagraph"/>
              <w:spacing w:line="177" w:lineRule="exact" w:before="3"/>
              <w:rPr>
                <w:sz w:val="16"/>
              </w:rPr>
            </w:pPr>
            <w:r>
              <w:rPr>
                <w:w w:val="105"/>
                <w:sz w:val="16"/>
              </w:rPr>
              <w:t>Segment</w:t>
            </w:r>
            <w:r>
              <w:rPr>
                <w:spacing w:val="-9"/>
                <w:w w:val="105"/>
                <w:sz w:val="16"/>
              </w:rPr>
              <w:t> </w:t>
            </w:r>
            <w:r>
              <w:rPr>
                <w:w w:val="105"/>
                <w:sz w:val="16"/>
              </w:rPr>
              <w:t>net</w:t>
            </w:r>
            <w:r>
              <w:rPr>
                <w:spacing w:val="-9"/>
                <w:w w:val="105"/>
                <w:sz w:val="16"/>
              </w:rPr>
              <w:t> </w:t>
            </w:r>
            <w:r>
              <w:rPr>
                <w:spacing w:val="-2"/>
                <w:w w:val="105"/>
                <w:sz w:val="16"/>
              </w:rPr>
              <w:t>income</w:t>
            </w:r>
          </w:p>
        </w:tc>
        <w:tc>
          <w:tcPr>
            <w:tcW w:w="766" w:type="dxa"/>
            <w:tcBorders>
              <w:bottom w:val="double" w:sz="6" w:space="0" w:color="000000"/>
            </w:tcBorders>
          </w:tcPr>
          <w:p>
            <w:pPr>
              <w:pStyle w:val="TableParagraph"/>
              <w:spacing w:line="177" w:lineRule="exact" w:before="3"/>
              <w:rPr>
                <w:b/>
                <w:sz w:val="16"/>
              </w:rPr>
            </w:pPr>
            <w:r>
              <w:rPr>
                <w:b/>
                <w:spacing w:val="-10"/>
                <w:w w:val="105"/>
                <w:sz w:val="16"/>
              </w:rPr>
              <w:t>$</w:t>
            </w:r>
          </w:p>
        </w:tc>
        <w:tc>
          <w:tcPr>
            <w:tcW w:w="1379" w:type="dxa"/>
            <w:gridSpan w:val="2"/>
            <w:tcBorders>
              <w:bottom w:val="double" w:sz="6" w:space="0" w:color="000000"/>
            </w:tcBorders>
          </w:tcPr>
          <w:p>
            <w:pPr>
              <w:pStyle w:val="TableParagraph"/>
              <w:tabs>
                <w:tab w:pos="622" w:val="left" w:leader="none"/>
              </w:tabs>
              <w:spacing w:line="177" w:lineRule="exact" w:before="3"/>
              <w:ind w:left="145"/>
              <w:rPr>
                <w:sz w:val="16"/>
              </w:rPr>
            </w:pPr>
            <w:r>
              <w:rPr>
                <w:b/>
                <w:spacing w:val="-5"/>
                <w:w w:val="105"/>
                <w:sz w:val="16"/>
              </w:rPr>
              <w:t>269</w:t>
            </w:r>
            <w:r>
              <w:rPr>
                <w:b/>
                <w:sz w:val="16"/>
              </w:rPr>
              <w:tab/>
            </w:r>
            <w:r>
              <w:rPr>
                <w:spacing w:val="-10"/>
                <w:w w:val="105"/>
                <w:sz w:val="16"/>
              </w:rPr>
              <w:t>$</w:t>
            </w:r>
          </w:p>
        </w:tc>
        <w:tc>
          <w:tcPr>
            <w:tcW w:w="865" w:type="dxa"/>
            <w:tcBorders>
              <w:bottom w:val="double" w:sz="6" w:space="0" w:color="000000"/>
            </w:tcBorders>
          </w:tcPr>
          <w:p>
            <w:pPr>
              <w:pStyle w:val="TableParagraph"/>
              <w:tabs>
                <w:tab w:pos="477" w:val="left" w:leader="none"/>
              </w:tabs>
              <w:spacing w:line="177" w:lineRule="exact" w:before="3"/>
              <w:ind w:right="160"/>
              <w:jc w:val="right"/>
              <w:rPr>
                <w:sz w:val="16"/>
              </w:rPr>
            </w:pPr>
            <w:r>
              <w:rPr>
                <w:spacing w:val="-5"/>
                <w:w w:val="105"/>
                <w:sz w:val="16"/>
              </w:rPr>
              <w:t>197</w:t>
            </w:r>
            <w:r>
              <w:rPr>
                <w:sz w:val="16"/>
              </w:rPr>
              <w:tab/>
            </w:r>
            <w:r>
              <w:rPr>
                <w:spacing w:val="-10"/>
                <w:w w:val="105"/>
                <w:sz w:val="16"/>
              </w:rPr>
              <w:t>$</w:t>
            </w:r>
          </w:p>
        </w:tc>
        <w:tc>
          <w:tcPr>
            <w:tcW w:w="1018" w:type="dxa"/>
            <w:gridSpan w:val="2"/>
            <w:tcBorders>
              <w:bottom w:val="double" w:sz="6" w:space="0" w:color="000000"/>
            </w:tcBorders>
          </w:tcPr>
          <w:p>
            <w:pPr>
              <w:pStyle w:val="TableParagraph"/>
              <w:spacing w:line="177" w:lineRule="exact" w:before="3"/>
              <w:ind w:left="652"/>
              <w:rPr>
                <w:sz w:val="16"/>
              </w:rPr>
            </w:pPr>
            <w:r>
              <w:rPr>
                <w:spacing w:val="-5"/>
                <w:w w:val="105"/>
                <w:sz w:val="16"/>
              </w:rPr>
              <w:t>263</w:t>
            </w:r>
          </w:p>
        </w:tc>
        <w:tc>
          <w:tcPr>
            <w:tcW w:w="1149" w:type="dxa"/>
            <w:gridSpan w:val="2"/>
            <w:tcBorders>
              <w:bottom w:val="double" w:sz="6" w:space="0" w:color="000000"/>
            </w:tcBorders>
          </w:tcPr>
          <w:p>
            <w:pPr>
              <w:pStyle w:val="TableParagraph"/>
              <w:spacing w:line="177" w:lineRule="exact" w:before="3"/>
              <w:ind w:left="476"/>
              <w:rPr>
                <w:sz w:val="16"/>
              </w:rPr>
            </w:pPr>
            <w:r>
              <w:rPr>
                <w:spacing w:val="-5"/>
                <w:w w:val="105"/>
                <w:sz w:val="16"/>
              </w:rPr>
              <w:t>37%</w:t>
            </w:r>
          </w:p>
        </w:tc>
        <w:tc>
          <w:tcPr>
            <w:tcW w:w="1149" w:type="dxa"/>
            <w:gridSpan w:val="2"/>
            <w:tcBorders>
              <w:bottom w:val="double" w:sz="6" w:space="0" w:color="000000"/>
            </w:tcBorders>
          </w:tcPr>
          <w:p>
            <w:pPr>
              <w:pStyle w:val="TableParagraph"/>
              <w:spacing w:line="177" w:lineRule="exact" w:before="3"/>
              <w:ind w:left="418"/>
              <w:rPr>
                <w:sz w:val="16"/>
              </w:rPr>
            </w:pPr>
            <w:r>
              <w:rPr>
                <w:spacing w:val="-2"/>
                <w:w w:val="105"/>
                <w:sz w:val="16"/>
              </w:rPr>
              <w:t>(25%)</w:t>
            </w:r>
          </w:p>
        </w:tc>
      </w:tr>
    </w:tbl>
    <w:p>
      <w:pPr>
        <w:pStyle w:val="BodyText"/>
        <w:spacing w:before="14"/>
      </w:pPr>
    </w:p>
    <w:p>
      <w:pPr>
        <w:pStyle w:val="BodyText"/>
        <w:ind w:right="384"/>
        <w:jc w:val="right"/>
      </w:pPr>
      <w:r>
        <w:rPr>
          <w:w w:val="105"/>
        </w:rPr>
        <w:t>Net</w:t>
      </w:r>
      <w:r>
        <w:rPr>
          <w:spacing w:val="-9"/>
          <w:w w:val="105"/>
        </w:rPr>
        <w:t> </w:t>
      </w:r>
      <w:r>
        <w:rPr>
          <w:w w:val="105"/>
        </w:rPr>
        <w:t>sales</w:t>
      </w:r>
      <w:r>
        <w:rPr>
          <w:spacing w:val="-9"/>
          <w:w w:val="105"/>
        </w:rPr>
        <w:t> </w:t>
      </w:r>
      <w:r>
        <w:rPr>
          <w:w w:val="105"/>
        </w:rPr>
        <w:t>increased</w:t>
      </w:r>
      <w:r>
        <w:rPr>
          <w:spacing w:val="-9"/>
          <w:w w:val="105"/>
        </w:rPr>
        <w:t> </w:t>
      </w:r>
      <w:r>
        <w:rPr>
          <w:w w:val="105"/>
        </w:rPr>
        <w:t>$216</w:t>
      </w:r>
      <w:r>
        <w:rPr>
          <w:spacing w:val="-9"/>
          <w:w w:val="105"/>
        </w:rPr>
        <w:t> </w:t>
      </w:r>
      <w:r>
        <w:rPr>
          <w:w w:val="105"/>
        </w:rPr>
        <w:t>million,</w:t>
      </w:r>
      <w:r>
        <w:rPr>
          <w:spacing w:val="-8"/>
          <w:w w:val="105"/>
        </w:rPr>
        <w:t> </w:t>
      </w:r>
      <w:r>
        <w:rPr>
          <w:w w:val="105"/>
        </w:rPr>
        <w:t>or</w:t>
      </w:r>
      <w:r>
        <w:rPr>
          <w:spacing w:val="-9"/>
          <w:w w:val="105"/>
        </w:rPr>
        <w:t> </w:t>
      </w:r>
      <w:r>
        <w:rPr>
          <w:w w:val="105"/>
        </w:rPr>
        <w:t>16%</w:t>
      </w:r>
      <w:r>
        <w:rPr>
          <w:spacing w:val="-9"/>
          <w:w w:val="105"/>
        </w:rPr>
        <w:t> </w:t>
      </w:r>
      <w:r>
        <w:rPr>
          <w:w w:val="105"/>
        </w:rPr>
        <w:t>in</w:t>
      </w:r>
      <w:r>
        <w:rPr>
          <w:spacing w:val="-9"/>
          <w:w w:val="105"/>
        </w:rPr>
        <w:t> </w:t>
      </w:r>
      <w:r>
        <w:rPr>
          <w:w w:val="105"/>
        </w:rPr>
        <w:t>the</w:t>
      </w:r>
      <w:r>
        <w:rPr>
          <w:spacing w:val="-9"/>
          <w:w w:val="105"/>
        </w:rPr>
        <w:t> </w:t>
      </w:r>
      <w:r>
        <w:rPr>
          <w:w w:val="105"/>
        </w:rPr>
        <w:t>year</w:t>
      </w:r>
      <w:r>
        <w:rPr>
          <w:spacing w:val="-8"/>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w w:val="105"/>
        </w:rPr>
        <w:t>2021,</w:t>
      </w:r>
      <w:r>
        <w:rPr>
          <w:spacing w:val="-9"/>
          <w:w w:val="105"/>
        </w:rPr>
        <w:t> </w:t>
      </w:r>
      <w:r>
        <w:rPr>
          <w:w w:val="105"/>
        </w:rPr>
        <w:t>primarily</w:t>
      </w:r>
      <w:r>
        <w:rPr>
          <w:spacing w:val="-8"/>
          <w:w w:val="105"/>
        </w:rPr>
        <w:t> </w:t>
      </w:r>
      <w:r>
        <w:rPr>
          <w:w w:val="105"/>
        </w:rPr>
        <w:t>due</w:t>
      </w:r>
      <w:r>
        <w:rPr>
          <w:spacing w:val="-7"/>
          <w:w w:val="105"/>
        </w:rPr>
        <w:t> </w:t>
      </w:r>
      <w:r>
        <w:rPr>
          <w:w w:val="105"/>
        </w:rPr>
        <w:t>to</w:t>
      </w:r>
      <w:r>
        <w:rPr>
          <w:spacing w:val="-9"/>
          <w:w w:val="105"/>
        </w:rPr>
        <w:t> </w:t>
      </w:r>
      <w:r>
        <w:rPr>
          <w:w w:val="105"/>
        </w:rPr>
        <w:t>increased</w:t>
      </w:r>
      <w:r>
        <w:rPr>
          <w:spacing w:val="-9"/>
          <w:w w:val="105"/>
        </w:rPr>
        <w:t> </w:t>
      </w:r>
      <w:r>
        <w:rPr>
          <w:w w:val="105"/>
        </w:rPr>
        <w:t>sales</w:t>
      </w:r>
      <w:r>
        <w:rPr>
          <w:spacing w:val="-9"/>
          <w:w w:val="105"/>
        </w:rPr>
        <w:t> </w:t>
      </w:r>
      <w:r>
        <w:rPr>
          <w:w w:val="105"/>
        </w:rPr>
        <w:t>of</w:t>
      </w:r>
      <w:r>
        <w:rPr>
          <w:spacing w:val="-9"/>
          <w:w w:val="105"/>
        </w:rPr>
        <w:t> </w:t>
      </w:r>
      <w:r>
        <w:rPr>
          <w:w w:val="105"/>
        </w:rPr>
        <w:t>heavy-duty</w:t>
      </w:r>
      <w:r>
        <w:rPr>
          <w:spacing w:val="-8"/>
          <w:w w:val="105"/>
        </w:rPr>
        <w:t> </w:t>
      </w:r>
      <w:r>
        <w:rPr>
          <w:w w:val="105"/>
        </w:rPr>
        <w:t>diesel</w:t>
      </w:r>
      <w:r>
        <w:rPr>
          <w:spacing w:val="-9"/>
          <w:w w:val="105"/>
        </w:rPr>
        <w:t> </w:t>
      </w:r>
      <w:r>
        <w:rPr>
          <w:w w:val="105"/>
        </w:rPr>
        <w:t>products</w:t>
      </w:r>
      <w:r>
        <w:rPr>
          <w:spacing w:val="-9"/>
          <w:w w:val="105"/>
        </w:rPr>
        <w:t> </w:t>
      </w:r>
      <w:r>
        <w:rPr>
          <w:w w:val="105"/>
        </w:rPr>
        <w:t>and</w:t>
      </w:r>
      <w:r>
        <w:rPr>
          <w:spacing w:val="-9"/>
          <w:w w:val="105"/>
        </w:rPr>
        <w:t> </w:t>
      </w:r>
      <w:r>
        <w:rPr>
          <w:w w:val="105"/>
        </w:rPr>
        <w:t>gas-particulate</w:t>
      </w:r>
      <w:r>
        <w:rPr>
          <w:spacing w:val="-9"/>
          <w:w w:val="105"/>
        </w:rPr>
        <w:t> </w:t>
      </w:r>
      <w:r>
        <w:rPr>
          <w:spacing w:val="-2"/>
          <w:w w:val="105"/>
        </w:rPr>
        <w:t>filters.</w:t>
      </w:r>
    </w:p>
    <w:p>
      <w:pPr>
        <w:pStyle w:val="BodyText"/>
        <w:spacing w:before="39"/>
      </w:pPr>
    </w:p>
    <w:p>
      <w:pPr>
        <w:pStyle w:val="BodyText"/>
        <w:spacing w:line="266" w:lineRule="auto"/>
        <w:ind w:left="156"/>
      </w:pPr>
      <w:r>
        <w:rPr>
          <w:w w:val="105"/>
        </w:rPr>
        <w:t>Net</w:t>
      </w:r>
      <w:r>
        <w:rPr>
          <w:spacing w:val="-8"/>
          <w:w w:val="105"/>
        </w:rPr>
        <w:t> </w:t>
      </w:r>
      <w:r>
        <w:rPr>
          <w:w w:val="105"/>
        </w:rPr>
        <w:t>income</w:t>
      </w:r>
      <w:r>
        <w:rPr>
          <w:spacing w:val="-8"/>
          <w:w w:val="105"/>
        </w:rPr>
        <w:t> </w:t>
      </w:r>
      <w:r>
        <w:rPr>
          <w:w w:val="105"/>
        </w:rPr>
        <w:t>in</w:t>
      </w:r>
      <w:r>
        <w:rPr>
          <w:spacing w:val="-8"/>
          <w:w w:val="105"/>
        </w:rPr>
        <w:t> </w:t>
      </w:r>
      <w:r>
        <w:rPr>
          <w:w w:val="105"/>
        </w:rPr>
        <w:t>the</w:t>
      </w:r>
      <w:r>
        <w:rPr>
          <w:spacing w:val="-8"/>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increased</w:t>
      </w:r>
      <w:r>
        <w:rPr>
          <w:spacing w:val="-8"/>
          <w:w w:val="105"/>
        </w:rPr>
        <w:t> </w:t>
      </w:r>
      <w:r>
        <w:rPr>
          <w:w w:val="105"/>
        </w:rPr>
        <w:t>by</w:t>
      </w:r>
      <w:r>
        <w:rPr>
          <w:spacing w:val="-8"/>
          <w:w w:val="105"/>
        </w:rPr>
        <w:t> </w:t>
      </w:r>
      <w:r>
        <w:rPr>
          <w:w w:val="105"/>
        </w:rPr>
        <w:t>$72</w:t>
      </w:r>
      <w:r>
        <w:rPr>
          <w:spacing w:val="-8"/>
          <w:w w:val="105"/>
        </w:rPr>
        <w:t> </w:t>
      </w:r>
      <w:r>
        <w:rPr>
          <w:w w:val="105"/>
        </w:rPr>
        <w:t>million,</w:t>
      </w:r>
      <w:r>
        <w:rPr>
          <w:spacing w:val="-8"/>
          <w:w w:val="105"/>
        </w:rPr>
        <w:t> </w:t>
      </w:r>
      <w:r>
        <w:rPr>
          <w:w w:val="105"/>
        </w:rPr>
        <w:t>or</w:t>
      </w:r>
      <w:r>
        <w:rPr>
          <w:spacing w:val="-8"/>
          <w:w w:val="105"/>
        </w:rPr>
        <w:t> </w:t>
      </w:r>
      <w:r>
        <w:rPr>
          <w:w w:val="105"/>
        </w:rPr>
        <w:t>37%,</w:t>
      </w:r>
      <w:r>
        <w:rPr>
          <w:spacing w:val="-8"/>
          <w:w w:val="105"/>
        </w:rPr>
        <w:t> </w:t>
      </w:r>
      <w:r>
        <w:rPr>
          <w:w w:val="105"/>
        </w:rPr>
        <w:t>driven</w:t>
      </w:r>
      <w:r>
        <w:rPr>
          <w:spacing w:val="-8"/>
          <w:w w:val="105"/>
        </w:rPr>
        <w:t> </w:t>
      </w:r>
      <w:r>
        <w:rPr>
          <w:w w:val="105"/>
        </w:rPr>
        <w:t>by</w:t>
      </w:r>
      <w:r>
        <w:rPr>
          <w:spacing w:val="-8"/>
          <w:w w:val="105"/>
        </w:rPr>
        <w:t> </w:t>
      </w:r>
      <w:r>
        <w:rPr>
          <w:w w:val="105"/>
        </w:rPr>
        <w:t>the</w:t>
      </w:r>
      <w:r>
        <w:rPr>
          <w:spacing w:val="-8"/>
          <w:w w:val="105"/>
        </w:rPr>
        <w:t> </w:t>
      </w:r>
      <w:r>
        <w:rPr>
          <w:w w:val="105"/>
        </w:rPr>
        <w:t>sales</w:t>
      </w:r>
      <w:r>
        <w:rPr>
          <w:spacing w:val="-8"/>
          <w:w w:val="105"/>
        </w:rPr>
        <w:t> </w:t>
      </w:r>
      <w:r>
        <w:rPr>
          <w:w w:val="105"/>
        </w:rPr>
        <w:t>increase</w:t>
      </w:r>
      <w:r>
        <w:rPr>
          <w:spacing w:val="-8"/>
          <w:w w:val="105"/>
        </w:rPr>
        <w:t> </w:t>
      </w:r>
      <w:r>
        <w:rPr>
          <w:w w:val="105"/>
        </w:rPr>
        <w:t>outlined</w:t>
      </w:r>
      <w:r>
        <w:rPr>
          <w:spacing w:val="-8"/>
          <w:w w:val="105"/>
        </w:rPr>
        <w:t> </w:t>
      </w:r>
      <w:r>
        <w:rPr>
          <w:w w:val="105"/>
        </w:rPr>
        <w:t>above,</w:t>
      </w:r>
      <w:r>
        <w:rPr>
          <w:spacing w:val="-8"/>
          <w:w w:val="105"/>
        </w:rPr>
        <w:t> </w:t>
      </w:r>
      <w:r>
        <w:rPr>
          <w:w w:val="105"/>
        </w:rPr>
        <w:t>but</w:t>
      </w:r>
      <w:r>
        <w:rPr>
          <w:spacing w:val="-8"/>
          <w:w w:val="105"/>
        </w:rPr>
        <w:t> </w:t>
      </w:r>
      <w:r>
        <w:rPr>
          <w:w w:val="105"/>
        </w:rPr>
        <w:t>negatively</w:t>
      </w:r>
      <w:r>
        <w:rPr>
          <w:spacing w:val="-8"/>
          <w:w w:val="105"/>
        </w:rPr>
        <w:t> </w:t>
      </w:r>
      <w:r>
        <w:rPr>
          <w:w w:val="105"/>
        </w:rPr>
        <w:t>impacted</w:t>
      </w:r>
      <w:r>
        <w:rPr>
          <w:spacing w:val="-8"/>
          <w:w w:val="105"/>
        </w:rPr>
        <w:t> </w:t>
      </w:r>
      <w:r>
        <w:rPr>
          <w:w w:val="105"/>
        </w:rPr>
        <w:t>by</w:t>
      </w:r>
      <w:r>
        <w:rPr>
          <w:spacing w:val="-6"/>
          <w:w w:val="105"/>
        </w:rPr>
        <w:t> </w:t>
      </w:r>
      <w:r>
        <w:rPr>
          <w:w w:val="105"/>
        </w:rPr>
        <w:t>inflation</w:t>
      </w:r>
      <w:r>
        <w:rPr>
          <w:spacing w:val="-8"/>
          <w:w w:val="105"/>
        </w:rPr>
        <w:t> </w:t>
      </w:r>
      <w:r>
        <w:rPr>
          <w:w w:val="105"/>
        </w:rPr>
        <w:t>and increased freight and logistics costs.</w:t>
      </w:r>
    </w:p>
    <w:p>
      <w:pPr>
        <w:pStyle w:val="BodyText"/>
        <w:spacing w:before="19"/>
      </w:pPr>
    </w:p>
    <w:p>
      <w:pPr>
        <w:pStyle w:val="BodyText"/>
        <w:ind w:left="48"/>
        <w:jc w:val="center"/>
      </w:pPr>
      <w:r>
        <w:rPr>
          <w:spacing w:val="-5"/>
          <w:w w:val="105"/>
        </w:rPr>
        <w:t>37</w:t>
      </w:r>
    </w:p>
    <w:p>
      <w:pPr>
        <w:pStyle w:val="BodyText"/>
        <w:rPr>
          <w:sz w:val="6"/>
        </w:rPr>
      </w:pPr>
      <w:r>
        <w:rPr/>
        <mc:AlternateContent>
          <mc:Choice Requires="wps">
            <w:drawing>
              <wp:anchor distT="0" distB="0" distL="0" distR="0" allowOverlap="1" layoutInCell="1" locked="0" behindDoc="1" simplePos="0" relativeHeight="487617024">
                <wp:simplePos x="0" y="0"/>
                <wp:positionH relativeFrom="page">
                  <wp:posOffset>226488</wp:posOffset>
                </wp:positionH>
                <wp:positionV relativeFrom="paragraph">
                  <wp:posOffset>59051</wp:posOffset>
                </wp:positionV>
                <wp:extent cx="7312659" cy="1651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99456;mso-wrap-distance-left:0;mso-wrap-distance-right:0" id="docshape66"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pPr>
      <w:r>
        <w:rPr>
          <w:w w:val="105"/>
        </w:rPr>
        <w:t>Life</w:t>
      </w:r>
      <w:r>
        <w:rPr>
          <w:spacing w:val="-7"/>
          <w:w w:val="105"/>
        </w:rPr>
        <w:t> </w:t>
      </w:r>
      <w:r>
        <w:rPr>
          <w:spacing w:val="-2"/>
          <w:w w:val="105"/>
        </w:rPr>
        <w:t>Sciences</w:t>
      </w:r>
    </w:p>
    <w:p>
      <w:pPr>
        <w:pStyle w:val="BodyText"/>
        <w:spacing w:before="40"/>
        <w:rPr>
          <w:b/>
        </w:rPr>
      </w:pPr>
    </w:p>
    <w:p>
      <w:pPr>
        <w:pStyle w:val="BodyText"/>
        <w:ind w:left="156"/>
      </w:pPr>
      <w:r>
        <w:rPr>
          <w:w w:val="105"/>
        </w:rPr>
        <w:t>The</w:t>
      </w:r>
      <w:r>
        <w:rPr>
          <w:spacing w:val="-9"/>
          <w:w w:val="105"/>
        </w:rPr>
        <w:t> </w:t>
      </w:r>
      <w:r>
        <w:rPr>
          <w:w w:val="105"/>
        </w:rPr>
        <w:t>following</w:t>
      </w:r>
      <w:r>
        <w:rPr>
          <w:spacing w:val="-9"/>
          <w:w w:val="105"/>
        </w:rPr>
        <w:t> </w:t>
      </w:r>
      <w:r>
        <w:rPr>
          <w:w w:val="105"/>
        </w:rPr>
        <w:t>table</w:t>
      </w:r>
      <w:r>
        <w:rPr>
          <w:spacing w:val="-9"/>
          <w:w w:val="105"/>
        </w:rPr>
        <w:t> </w:t>
      </w:r>
      <w:r>
        <w:rPr>
          <w:w w:val="105"/>
        </w:rPr>
        <w:t>provides</w:t>
      </w:r>
      <w:r>
        <w:rPr>
          <w:spacing w:val="-9"/>
          <w:w w:val="105"/>
        </w:rPr>
        <w:t> </w:t>
      </w:r>
      <w:r>
        <w:rPr>
          <w:w w:val="105"/>
        </w:rPr>
        <w:t>net</w:t>
      </w:r>
      <w:r>
        <w:rPr>
          <w:spacing w:val="-8"/>
          <w:w w:val="105"/>
        </w:rPr>
        <w:t> </w:t>
      </w:r>
      <w:r>
        <w:rPr>
          <w:w w:val="105"/>
        </w:rPr>
        <w:t>sales</w:t>
      </w:r>
      <w:r>
        <w:rPr>
          <w:spacing w:val="-9"/>
          <w:w w:val="105"/>
        </w:rPr>
        <w:t> </w:t>
      </w:r>
      <w:r>
        <w:rPr>
          <w:w w:val="105"/>
        </w:rPr>
        <w:t>and</w:t>
      </w:r>
      <w:r>
        <w:rPr>
          <w:spacing w:val="-9"/>
          <w:w w:val="105"/>
        </w:rPr>
        <w:t> </w:t>
      </w:r>
      <w:r>
        <w:rPr>
          <w:w w:val="105"/>
        </w:rPr>
        <w:t>net</w:t>
      </w:r>
      <w:r>
        <w:rPr>
          <w:spacing w:val="-9"/>
          <w:w w:val="105"/>
        </w:rPr>
        <w:t> </w:t>
      </w:r>
      <w:r>
        <w:rPr>
          <w:w w:val="105"/>
        </w:rPr>
        <w:t>income</w:t>
      </w:r>
      <w:r>
        <w:rPr>
          <w:spacing w:val="-8"/>
          <w:w w:val="105"/>
        </w:rPr>
        <w:t> </w:t>
      </w:r>
      <w:r>
        <w:rPr>
          <w:w w:val="105"/>
        </w:rPr>
        <w:t>for</w:t>
      </w:r>
      <w:r>
        <w:rPr>
          <w:spacing w:val="-7"/>
          <w:w w:val="105"/>
        </w:rPr>
        <w:t> </w:t>
      </w:r>
      <w:r>
        <w:rPr>
          <w:w w:val="105"/>
        </w:rPr>
        <w:t>the</w:t>
      </w:r>
      <w:r>
        <w:rPr>
          <w:spacing w:val="-9"/>
          <w:w w:val="105"/>
        </w:rPr>
        <w:t> </w:t>
      </w:r>
      <w:r>
        <w:rPr>
          <w:w w:val="105"/>
        </w:rPr>
        <w:t>Life</w:t>
      </w:r>
      <w:r>
        <w:rPr>
          <w:spacing w:val="-9"/>
          <w:w w:val="105"/>
        </w:rPr>
        <w:t> </w:t>
      </w:r>
      <w:r>
        <w:rPr>
          <w:w w:val="105"/>
        </w:rPr>
        <w:t>Sciences</w:t>
      </w:r>
      <w:r>
        <w:rPr>
          <w:spacing w:val="-9"/>
          <w:w w:val="105"/>
        </w:rPr>
        <w:t> </w:t>
      </w:r>
      <w:r>
        <w:rPr>
          <w:w w:val="105"/>
        </w:rPr>
        <w:t>segment</w:t>
      </w:r>
      <w:r>
        <w:rPr>
          <w:spacing w:val="-7"/>
          <w:w w:val="105"/>
        </w:rPr>
        <w:t> </w:t>
      </w:r>
      <w:r>
        <w:rPr>
          <w:w w:val="105"/>
        </w:rPr>
        <w:t>(in</w:t>
      </w:r>
      <w:r>
        <w:rPr>
          <w:spacing w:val="-9"/>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617536">
                <wp:simplePos x="0" y="0"/>
                <wp:positionH relativeFrom="page">
                  <wp:posOffset>226479</wp:posOffset>
                </wp:positionH>
                <wp:positionV relativeFrom="paragraph">
                  <wp:posOffset>83253</wp:posOffset>
                </wp:positionV>
                <wp:extent cx="7312659" cy="1651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55419pt;width:575.775027pt;height:1.274pt;mso-position-horizontal-relative:page;mso-position-vertical-relative:paragraph;z-index:-15698944;mso-wrap-distance-left:0;mso-wrap-distance-right:0" id="docshape67" filled="true" fillcolor="#000000" stroked="false">
                <v:fill type="solid"/>
                <w10:wrap type="topAndBottom"/>
              </v:rect>
            </w:pict>
          </mc:Fallback>
        </mc:AlternateContent>
      </w:r>
    </w:p>
    <w:p>
      <w:pPr>
        <w:pStyle w:val="BodyText"/>
        <w:tabs>
          <w:tab w:pos="9685" w:val="left" w:leader="none"/>
          <w:tab w:pos="10831" w:val="left" w:leader="none"/>
        </w:tabs>
        <w:spacing w:before="3" w:after="23"/>
        <w:ind w:left="6444"/>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r>
        <w:rPr/>
        <w:tab/>
      </w:r>
      <w:r>
        <w:rPr>
          <w:w w:val="105"/>
        </w:rPr>
        <w:t>%</w:t>
      </w:r>
      <w:r>
        <w:rPr>
          <w:spacing w:val="-4"/>
          <w:w w:val="105"/>
        </w:rPr>
        <w:t> </w:t>
      </w:r>
      <w:r>
        <w:rPr>
          <w:spacing w:val="-2"/>
          <w:w w:val="105"/>
        </w:rPr>
        <w:t>change</w:t>
      </w:r>
      <w:r>
        <w:rPr/>
        <w:tab/>
      </w:r>
      <w:r>
        <w:rPr>
          <w:w w:val="105"/>
        </w:rPr>
        <w:t>%</w:t>
      </w:r>
      <w:r>
        <w:rPr>
          <w:spacing w:val="-4"/>
          <w:w w:val="105"/>
        </w:rPr>
        <w:t> </w:t>
      </w:r>
      <w:r>
        <w:rPr>
          <w:spacing w:val="-2"/>
          <w:w w:val="105"/>
        </w:rPr>
        <w:t>change</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7"/>
        <w:gridCol w:w="766"/>
        <w:gridCol w:w="508"/>
        <w:gridCol w:w="933"/>
        <w:gridCol w:w="802"/>
        <w:gridCol w:w="511"/>
        <w:gridCol w:w="505"/>
        <w:gridCol w:w="115"/>
        <w:gridCol w:w="1032"/>
        <w:gridCol w:w="115"/>
        <w:gridCol w:w="1032"/>
      </w:tblGrid>
      <w:tr>
        <w:trPr>
          <w:trHeight w:val="201" w:hRule="atLeast"/>
        </w:trPr>
        <w:tc>
          <w:tcPr>
            <w:tcW w:w="5197" w:type="dxa"/>
            <w:tcBorders>
              <w:bottom w:val="single" w:sz="6" w:space="0" w:color="000000"/>
            </w:tcBorders>
          </w:tcPr>
          <w:p>
            <w:pPr>
              <w:pStyle w:val="TableParagraph"/>
              <w:rPr>
                <w:sz w:val="14"/>
              </w:rPr>
            </w:pPr>
          </w:p>
        </w:tc>
        <w:tc>
          <w:tcPr>
            <w:tcW w:w="766" w:type="dxa"/>
            <w:tcBorders>
              <w:top w:val="single" w:sz="6" w:space="0" w:color="000000"/>
              <w:bottom w:val="single" w:sz="6" w:space="0" w:color="000000"/>
            </w:tcBorders>
          </w:tcPr>
          <w:p>
            <w:pPr>
              <w:pStyle w:val="TableParagraph"/>
              <w:spacing w:line="179" w:lineRule="exact" w:before="2"/>
              <w:ind w:left="414"/>
              <w:rPr>
                <w:b/>
                <w:sz w:val="16"/>
              </w:rPr>
            </w:pPr>
            <w:r>
              <w:rPr>
                <w:b/>
                <w:spacing w:val="-4"/>
                <w:w w:val="105"/>
                <w:sz w:val="16"/>
              </w:rPr>
              <w:t>2021</w:t>
            </w:r>
          </w:p>
        </w:tc>
        <w:tc>
          <w:tcPr>
            <w:tcW w:w="508" w:type="dxa"/>
            <w:tcBorders>
              <w:top w:val="single" w:sz="6" w:space="0" w:color="000000"/>
              <w:bottom w:val="single" w:sz="6" w:space="0" w:color="000000"/>
            </w:tcBorders>
          </w:tcPr>
          <w:p>
            <w:pPr>
              <w:pStyle w:val="TableParagraph"/>
              <w:rPr>
                <w:sz w:val="14"/>
              </w:rPr>
            </w:pPr>
          </w:p>
        </w:tc>
        <w:tc>
          <w:tcPr>
            <w:tcW w:w="933" w:type="dxa"/>
            <w:tcBorders>
              <w:top w:val="single" w:sz="6" w:space="0" w:color="000000"/>
              <w:bottom w:val="single" w:sz="6" w:space="0" w:color="000000"/>
            </w:tcBorders>
          </w:tcPr>
          <w:p>
            <w:pPr>
              <w:pStyle w:val="TableParagraph"/>
              <w:spacing w:line="179" w:lineRule="exact" w:before="2"/>
              <w:ind w:left="522"/>
              <w:rPr>
                <w:sz w:val="16"/>
              </w:rPr>
            </w:pPr>
            <w:r>
              <w:rPr>
                <w:spacing w:val="-4"/>
                <w:w w:val="105"/>
                <w:sz w:val="16"/>
              </w:rPr>
              <w:t>2020</w:t>
            </w:r>
          </w:p>
        </w:tc>
        <w:tc>
          <w:tcPr>
            <w:tcW w:w="802" w:type="dxa"/>
            <w:tcBorders>
              <w:top w:val="single" w:sz="6" w:space="0" w:color="000000"/>
              <w:bottom w:val="single" w:sz="6" w:space="0" w:color="000000"/>
            </w:tcBorders>
          </w:tcPr>
          <w:p>
            <w:pPr>
              <w:pStyle w:val="TableParagraph"/>
              <w:rPr>
                <w:sz w:val="14"/>
              </w:rPr>
            </w:pPr>
          </w:p>
        </w:tc>
        <w:tc>
          <w:tcPr>
            <w:tcW w:w="511" w:type="dxa"/>
            <w:tcBorders>
              <w:top w:val="single" w:sz="6" w:space="0" w:color="000000"/>
              <w:bottom w:val="single" w:sz="6" w:space="0" w:color="000000"/>
            </w:tcBorders>
          </w:tcPr>
          <w:p>
            <w:pPr>
              <w:pStyle w:val="TableParagraph"/>
              <w:spacing w:line="179" w:lineRule="exact" w:before="2"/>
              <w:ind w:left="163"/>
              <w:rPr>
                <w:sz w:val="16"/>
              </w:rPr>
            </w:pPr>
            <w:r>
              <w:rPr>
                <w:spacing w:val="-4"/>
                <w:w w:val="105"/>
                <w:sz w:val="16"/>
              </w:rPr>
              <w:t>2019</w:t>
            </w:r>
          </w:p>
        </w:tc>
        <w:tc>
          <w:tcPr>
            <w:tcW w:w="505" w:type="dxa"/>
            <w:tcBorders>
              <w:top w:val="single" w:sz="6" w:space="0" w:color="000000"/>
              <w:bottom w:val="single" w:sz="6" w:space="0" w:color="000000"/>
            </w:tcBorders>
          </w:tcPr>
          <w:p>
            <w:pPr>
              <w:pStyle w:val="TableParagraph"/>
              <w:rPr>
                <w:sz w:val="14"/>
              </w:rPr>
            </w:pPr>
          </w:p>
        </w:tc>
        <w:tc>
          <w:tcPr>
            <w:tcW w:w="115" w:type="dxa"/>
            <w:tcBorders>
              <w:bottom w:val="single" w:sz="6" w:space="0" w:color="000000"/>
            </w:tcBorders>
          </w:tcPr>
          <w:p>
            <w:pPr>
              <w:pStyle w:val="TableParagraph"/>
              <w:rPr>
                <w:sz w:val="14"/>
              </w:rPr>
            </w:pPr>
          </w:p>
        </w:tc>
        <w:tc>
          <w:tcPr>
            <w:tcW w:w="1032" w:type="dxa"/>
            <w:tcBorders>
              <w:top w:val="single" w:sz="6" w:space="0" w:color="000000"/>
              <w:bottom w:val="single" w:sz="6" w:space="0" w:color="000000"/>
            </w:tcBorders>
          </w:tcPr>
          <w:p>
            <w:pPr>
              <w:pStyle w:val="TableParagraph"/>
              <w:spacing w:line="179" w:lineRule="exact" w:before="2"/>
              <w:jc w:val="center"/>
              <w:rPr>
                <w:sz w:val="16"/>
              </w:rPr>
            </w:pPr>
            <w:r>
              <w:rPr>
                <w:w w:val="105"/>
                <w:sz w:val="16"/>
              </w:rPr>
              <w:t>21</w:t>
            </w:r>
            <w:r>
              <w:rPr>
                <w:spacing w:val="-5"/>
                <w:w w:val="105"/>
                <w:sz w:val="16"/>
              </w:rPr>
              <w:t> </w:t>
            </w:r>
            <w:r>
              <w:rPr>
                <w:w w:val="105"/>
                <w:sz w:val="16"/>
              </w:rPr>
              <w:t>vs.</w:t>
            </w:r>
            <w:r>
              <w:rPr>
                <w:spacing w:val="-4"/>
                <w:w w:val="105"/>
                <w:sz w:val="16"/>
              </w:rPr>
              <w:t> </w:t>
            </w:r>
            <w:r>
              <w:rPr>
                <w:spacing w:val="-7"/>
                <w:w w:val="105"/>
                <w:sz w:val="16"/>
              </w:rPr>
              <w:t>20</w:t>
            </w:r>
          </w:p>
        </w:tc>
        <w:tc>
          <w:tcPr>
            <w:tcW w:w="115" w:type="dxa"/>
            <w:tcBorders>
              <w:bottom w:val="single" w:sz="6" w:space="0" w:color="000000"/>
            </w:tcBorders>
          </w:tcPr>
          <w:p>
            <w:pPr>
              <w:pStyle w:val="TableParagraph"/>
              <w:rPr>
                <w:sz w:val="14"/>
              </w:rPr>
            </w:pPr>
          </w:p>
        </w:tc>
        <w:tc>
          <w:tcPr>
            <w:tcW w:w="1032" w:type="dxa"/>
            <w:tcBorders>
              <w:top w:val="single" w:sz="6" w:space="0" w:color="000000"/>
              <w:bottom w:val="single" w:sz="6" w:space="0" w:color="000000"/>
            </w:tcBorders>
          </w:tcPr>
          <w:p>
            <w:pPr>
              <w:pStyle w:val="TableParagraph"/>
              <w:spacing w:line="179" w:lineRule="exact" w:before="2"/>
              <w:jc w:val="center"/>
              <w:rPr>
                <w:sz w:val="16"/>
              </w:rPr>
            </w:pPr>
            <w:r>
              <w:rPr>
                <w:w w:val="105"/>
                <w:sz w:val="16"/>
              </w:rPr>
              <w:t>20</w:t>
            </w:r>
            <w:r>
              <w:rPr>
                <w:spacing w:val="-5"/>
                <w:w w:val="105"/>
                <w:sz w:val="16"/>
              </w:rPr>
              <w:t> </w:t>
            </w:r>
            <w:r>
              <w:rPr>
                <w:w w:val="105"/>
                <w:sz w:val="16"/>
              </w:rPr>
              <w:t>vs.</w:t>
            </w:r>
            <w:r>
              <w:rPr>
                <w:spacing w:val="-4"/>
                <w:w w:val="105"/>
                <w:sz w:val="16"/>
              </w:rPr>
              <w:t> </w:t>
            </w:r>
            <w:r>
              <w:rPr>
                <w:spacing w:val="-7"/>
                <w:w w:val="105"/>
                <w:sz w:val="16"/>
              </w:rPr>
              <w:t>19</w:t>
            </w:r>
          </w:p>
        </w:tc>
      </w:tr>
      <w:tr>
        <w:trPr>
          <w:trHeight w:val="202" w:hRule="atLeast"/>
        </w:trPr>
        <w:tc>
          <w:tcPr>
            <w:tcW w:w="5197" w:type="dxa"/>
            <w:tcBorders>
              <w:top w:val="single" w:sz="6" w:space="0" w:color="000000"/>
            </w:tcBorders>
            <w:shd w:val="clear" w:color="auto" w:fill="CCEDFF"/>
          </w:tcPr>
          <w:p>
            <w:pPr>
              <w:pStyle w:val="TableParagraph"/>
              <w:spacing w:line="180" w:lineRule="exact" w:before="2"/>
              <w:rPr>
                <w:sz w:val="16"/>
              </w:rPr>
            </w:pPr>
            <w:r>
              <w:rPr>
                <w:w w:val="105"/>
                <w:sz w:val="16"/>
              </w:rPr>
              <w:t>Segment</w:t>
            </w:r>
            <w:r>
              <w:rPr>
                <w:spacing w:val="-9"/>
                <w:w w:val="105"/>
                <w:sz w:val="16"/>
              </w:rPr>
              <w:t> </w:t>
            </w:r>
            <w:r>
              <w:rPr>
                <w:w w:val="105"/>
                <w:sz w:val="16"/>
              </w:rPr>
              <w:t>net</w:t>
            </w:r>
            <w:r>
              <w:rPr>
                <w:spacing w:val="-9"/>
                <w:w w:val="105"/>
                <w:sz w:val="16"/>
              </w:rPr>
              <w:t> </w:t>
            </w:r>
            <w:r>
              <w:rPr>
                <w:spacing w:val="-2"/>
                <w:w w:val="105"/>
                <w:sz w:val="16"/>
              </w:rPr>
              <w:t>sales</w:t>
            </w:r>
          </w:p>
        </w:tc>
        <w:tc>
          <w:tcPr>
            <w:tcW w:w="766"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508" w:type="dxa"/>
            <w:tcBorders>
              <w:top w:val="single" w:sz="6" w:space="0" w:color="000000"/>
            </w:tcBorders>
            <w:shd w:val="clear" w:color="auto" w:fill="CCEDFF"/>
          </w:tcPr>
          <w:p>
            <w:pPr>
              <w:pStyle w:val="TableParagraph"/>
              <w:spacing w:line="180" w:lineRule="exact" w:before="2"/>
              <w:ind w:left="20"/>
              <w:rPr>
                <w:b/>
                <w:sz w:val="16"/>
              </w:rPr>
            </w:pPr>
            <w:r>
              <w:rPr>
                <w:b/>
                <w:spacing w:val="-4"/>
                <w:w w:val="105"/>
                <w:sz w:val="16"/>
              </w:rPr>
              <w:t>1,234</w:t>
            </w:r>
          </w:p>
        </w:tc>
        <w:tc>
          <w:tcPr>
            <w:tcW w:w="933" w:type="dxa"/>
            <w:tcBorders>
              <w:top w:val="single" w:sz="6" w:space="0" w:color="000000"/>
            </w:tcBorders>
            <w:shd w:val="clear" w:color="auto" w:fill="CCEDFF"/>
          </w:tcPr>
          <w:p>
            <w:pPr>
              <w:pStyle w:val="TableParagraph"/>
              <w:spacing w:line="180" w:lineRule="exact" w:before="2"/>
              <w:ind w:left="114"/>
              <w:rPr>
                <w:sz w:val="16"/>
              </w:rPr>
            </w:pPr>
            <w:r>
              <w:rPr>
                <w:spacing w:val="-10"/>
                <w:w w:val="105"/>
                <w:sz w:val="16"/>
              </w:rPr>
              <w:t>$</w:t>
            </w:r>
          </w:p>
        </w:tc>
        <w:tc>
          <w:tcPr>
            <w:tcW w:w="802" w:type="dxa"/>
            <w:tcBorders>
              <w:top w:val="single" w:sz="6" w:space="0" w:color="000000"/>
            </w:tcBorders>
            <w:shd w:val="clear" w:color="auto" w:fill="CCEDFF"/>
          </w:tcPr>
          <w:p>
            <w:pPr>
              <w:pStyle w:val="TableParagraph"/>
              <w:tabs>
                <w:tab w:pos="477" w:val="left" w:leader="none"/>
              </w:tabs>
              <w:spacing w:line="180" w:lineRule="exact" w:before="2"/>
              <w:ind w:right="79"/>
              <w:jc w:val="center"/>
              <w:rPr>
                <w:sz w:val="16"/>
              </w:rPr>
            </w:pPr>
            <w:r>
              <w:rPr>
                <w:spacing w:val="-5"/>
                <w:w w:val="105"/>
                <w:sz w:val="16"/>
              </w:rPr>
              <w:t>998</w:t>
            </w:r>
            <w:r>
              <w:rPr>
                <w:sz w:val="16"/>
              </w:rPr>
              <w:tab/>
            </w:r>
            <w:r>
              <w:rPr>
                <w:spacing w:val="-10"/>
                <w:w w:val="105"/>
                <w:sz w:val="16"/>
              </w:rPr>
              <w:t>$</w:t>
            </w:r>
          </w:p>
        </w:tc>
        <w:tc>
          <w:tcPr>
            <w:tcW w:w="511" w:type="dxa"/>
            <w:tcBorders>
              <w:top w:val="single" w:sz="6" w:space="0" w:color="000000"/>
            </w:tcBorders>
            <w:shd w:val="clear" w:color="auto" w:fill="CCEDFF"/>
          </w:tcPr>
          <w:p>
            <w:pPr>
              <w:pStyle w:val="TableParagraph"/>
              <w:rPr>
                <w:sz w:val="14"/>
              </w:rPr>
            </w:pPr>
          </w:p>
        </w:tc>
        <w:tc>
          <w:tcPr>
            <w:tcW w:w="505" w:type="dxa"/>
            <w:tcBorders>
              <w:top w:val="single" w:sz="6" w:space="0" w:color="000000"/>
            </w:tcBorders>
            <w:shd w:val="clear" w:color="auto" w:fill="CCEDFF"/>
          </w:tcPr>
          <w:p>
            <w:pPr>
              <w:pStyle w:val="TableParagraph"/>
              <w:spacing w:line="180" w:lineRule="exact" w:before="2"/>
              <w:ind w:left="18"/>
              <w:rPr>
                <w:sz w:val="16"/>
              </w:rPr>
            </w:pPr>
            <w:r>
              <w:rPr>
                <w:spacing w:val="-4"/>
                <w:w w:val="105"/>
                <w:sz w:val="16"/>
              </w:rPr>
              <w:t>1,015</w:t>
            </w:r>
          </w:p>
        </w:tc>
        <w:tc>
          <w:tcPr>
            <w:tcW w:w="115" w:type="dxa"/>
            <w:tcBorders>
              <w:top w:val="single" w:sz="6" w:space="0" w:color="000000"/>
            </w:tcBorders>
            <w:shd w:val="clear" w:color="auto" w:fill="CCEDFF"/>
          </w:tcPr>
          <w:p>
            <w:pPr>
              <w:pStyle w:val="TableParagraph"/>
              <w:rPr>
                <w:sz w:val="14"/>
              </w:rPr>
            </w:pPr>
          </w:p>
        </w:tc>
        <w:tc>
          <w:tcPr>
            <w:tcW w:w="1032" w:type="dxa"/>
            <w:tcBorders>
              <w:top w:val="single" w:sz="6" w:space="0" w:color="000000"/>
            </w:tcBorders>
            <w:shd w:val="clear" w:color="auto" w:fill="CCEDFF"/>
          </w:tcPr>
          <w:p>
            <w:pPr>
              <w:pStyle w:val="TableParagraph"/>
              <w:spacing w:line="180" w:lineRule="exact" w:before="2"/>
              <w:jc w:val="center"/>
              <w:rPr>
                <w:sz w:val="16"/>
              </w:rPr>
            </w:pPr>
            <w:r>
              <w:rPr>
                <w:spacing w:val="-5"/>
                <w:w w:val="105"/>
                <w:sz w:val="16"/>
              </w:rPr>
              <w:t>24%</w:t>
            </w:r>
          </w:p>
        </w:tc>
        <w:tc>
          <w:tcPr>
            <w:tcW w:w="115" w:type="dxa"/>
            <w:tcBorders>
              <w:top w:val="single" w:sz="6" w:space="0" w:color="000000"/>
            </w:tcBorders>
            <w:shd w:val="clear" w:color="auto" w:fill="CCEDFF"/>
          </w:tcPr>
          <w:p>
            <w:pPr>
              <w:pStyle w:val="TableParagraph"/>
              <w:rPr>
                <w:sz w:val="14"/>
              </w:rPr>
            </w:pPr>
          </w:p>
        </w:tc>
        <w:tc>
          <w:tcPr>
            <w:tcW w:w="1032" w:type="dxa"/>
            <w:tcBorders>
              <w:top w:val="single" w:sz="6" w:space="0" w:color="000000"/>
            </w:tcBorders>
            <w:shd w:val="clear" w:color="auto" w:fill="CCEDFF"/>
          </w:tcPr>
          <w:p>
            <w:pPr>
              <w:pStyle w:val="TableParagraph"/>
              <w:spacing w:line="180" w:lineRule="exact" w:before="2"/>
              <w:jc w:val="center"/>
              <w:rPr>
                <w:sz w:val="16"/>
              </w:rPr>
            </w:pPr>
            <w:r>
              <w:rPr>
                <w:spacing w:val="-4"/>
                <w:w w:val="105"/>
                <w:sz w:val="16"/>
              </w:rPr>
              <w:t>(2%)</w:t>
            </w:r>
          </w:p>
        </w:tc>
      </w:tr>
      <w:tr>
        <w:trPr>
          <w:trHeight w:val="200" w:hRule="atLeast"/>
        </w:trPr>
        <w:tc>
          <w:tcPr>
            <w:tcW w:w="5197" w:type="dxa"/>
            <w:tcBorders>
              <w:bottom w:val="double" w:sz="6" w:space="0" w:color="000000"/>
            </w:tcBorders>
          </w:tcPr>
          <w:p>
            <w:pPr>
              <w:pStyle w:val="TableParagraph"/>
              <w:spacing w:line="177" w:lineRule="exact" w:before="3"/>
              <w:rPr>
                <w:sz w:val="16"/>
              </w:rPr>
            </w:pPr>
            <w:r>
              <w:rPr>
                <w:w w:val="105"/>
                <w:sz w:val="16"/>
              </w:rPr>
              <w:t>Segment</w:t>
            </w:r>
            <w:r>
              <w:rPr>
                <w:spacing w:val="-9"/>
                <w:w w:val="105"/>
                <w:sz w:val="16"/>
              </w:rPr>
              <w:t> </w:t>
            </w:r>
            <w:r>
              <w:rPr>
                <w:w w:val="105"/>
                <w:sz w:val="16"/>
              </w:rPr>
              <w:t>net</w:t>
            </w:r>
            <w:r>
              <w:rPr>
                <w:spacing w:val="-9"/>
                <w:w w:val="105"/>
                <w:sz w:val="16"/>
              </w:rPr>
              <w:t> </w:t>
            </w:r>
            <w:r>
              <w:rPr>
                <w:spacing w:val="-2"/>
                <w:w w:val="105"/>
                <w:sz w:val="16"/>
              </w:rPr>
              <w:t>income</w:t>
            </w:r>
          </w:p>
        </w:tc>
        <w:tc>
          <w:tcPr>
            <w:tcW w:w="766" w:type="dxa"/>
            <w:tcBorders>
              <w:bottom w:val="double" w:sz="6" w:space="0" w:color="000000"/>
            </w:tcBorders>
          </w:tcPr>
          <w:p>
            <w:pPr>
              <w:pStyle w:val="TableParagraph"/>
              <w:spacing w:line="177" w:lineRule="exact" w:before="3"/>
              <w:rPr>
                <w:b/>
                <w:sz w:val="16"/>
              </w:rPr>
            </w:pPr>
            <w:r>
              <w:rPr>
                <w:b/>
                <w:spacing w:val="-10"/>
                <w:w w:val="105"/>
                <w:sz w:val="16"/>
              </w:rPr>
              <w:t>$</w:t>
            </w:r>
          </w:p>
        </w:tc>
        <w:tc>
          <w:tcPr>
            <w:tcW w:w="1441" w:type="dxa"/>
            <w:gridSpan w:val="2"/>
            <w:tcBorders>
              <w:bottom w:val="double" w:sz="6" w:space="0" w:color="000000"/>
            </w:tcBorders>
          </w:tcPr>
          <w:p>
            <w:pPr>
              <w:pStyle w:val="TableParagraph"/>
              <w:tabs>
                <w:tab w:pos="622" w:val="left" w:leader="none"/>
              </w:tabs>
              <w:spacing w:line="177" w:lineRule="exact" w:before="3"/>
              <w:ind w:left="145"/>
              <w:rPr>
                <w:sz w:val="16"/>
              </w:rPr>
            </w:pPr>
            <w:r>
              <w:rPr>
                <w:b/>
                <w:spacing w:val="-5"/>
                <w:w w:val="105"/>
                <w:sz w:val="16"/>
              </w:rPr>
              <w:t>194</w:t>
            </w:r>
            <w:r>
              <w:rPr>
                <w:b/>
                <w:sz w:val="16"/>
              </w:rPr>
              <w:tab/>
            </w:r>
            <w:r>
              <w:rPr>
                <w:spacing w:val="-10"/>
                <w:w w:val="105"/>
                <w:sz w:val="16"/>
              </w:rPr>
              <w:t>$</w:t>
            </w:r>
          </w:p>
        </w:tc>
        <w:tc>
          <w:tcPr>
            <w:tcW w:w="802" w:type="dxa"/>
            <w:tcBorders>
              <w:bottom w:val="double" w:sz="6" w:space="0" w:color="000000"/>
            </w:tcBorders>
          </w:tcPr>
          <w:p>
            <w:pPr>
              <w:pStyle w:val="TableParagraph"/>
              <w:tabs>
                <w:tab w:pos="557" w:val="left" w:leader="none"/>
              </w:tabs>
              <w:spacing w:line="177" w:lineRule="exact" w:before="3"/>
              <w:ind w:left="79"/>
              <w:rPr>
                <w:sz w:val="16"/>
              </w:rPr>
            </w:pPr>
            <w:r>
              <w:rPr>
                <w:spacing w:val="-5"/>
                <w:w w:val="105"/>
                <w:sz w:val="16"/>
              </w:rPr>
              <w:t>139</w:t>
            </w:r>
            <w:r>
              <w:rPr>
                <w:sz w:val="16"/>
              </w:rPr>
              <w:tab/>
            </w:r>
            <w:r>
              <w:rPr>
                <w:spacing w:val="-10"/>
                <w:w w:val="105"/>
                <w:sz w:val="16"/>
              </w:rPr>
              <w:t>$</w:t>
            </w:r>
          </w:p>
        </w:tc>
        <w:tc>
          <w:tcPr>
            <w:tcW w:w="1016" w:type="dxa"/>
            <w:gridSpan w:val="2"/>
            <w:tcBorders>
              <w:bottom w:val="double" w:sz="6" w:space="0" w:color="000000"/>
            </w:tcBorders>
          </w:tcPr>
          <w:p>
            <w:pPr>
              <w:pStyle w:val="TableParagraph"/>
              <w:spacing w:line="177" w:lineRule="exact" w:before="3"/>
              <w:ind w:left="653"/>
              <w:rPr>
                <w:sz w:val="16"/>
              </w:rPr>
            </w:pPr>
            <w:r>
              <w:rPr>
                <w:spacing w:val="-5"/>
                <w:w w:val="105"/>
                <w:sz w:val="16"/>
              </w:rPr>
              <w:t>150</w:t>
            </w:r>
          </w:p>
        </w:tc>
        <w:tc>
          <w:tcPr>
            <w:tcW w:w="1147" w:type="dxa"/>
            <w:gridSpan w:val="2"/>
            <w:tcBorders>
              <w:bottom w:val="double" w:sz="6" w:space="0" w:color="000000"/>
            </w:tcBorders>
          </w:tcPr>
          <w:p>
            <w:pPr>
              <w:pStyle w:val="TableParagraph"/>
              <w:spacing w:line="177" w:lineRule="exact" w:before="3"/>
              <w:ind w:left="479"/>
              <w:rPr>
                <w:sz w:val="16"/>
              </w:rPr>
            </w:pPr>
            <w:r>
              <w:rPr>
                <w:spacing w:val="-5"/>
                <w:w w:val="105"/>
                <w:sz w:val="16"/>
              </w:rPr>
              <w:t>40%</w:t>
            </w:r>
          </w:p>
        </w:tc>
        <w:tc>
          <w:tcPr>
            <w:tcW w:w="1147" w:type="dxa"/>
            <w:gridSpan w:val="2"/>
            <w:tcBorders>
              <w:bottom w:val="double" w:sz="6" w:space="0" w:color="000000"/>
            </w:tcBorders>
          </w:tcPr>
          <w:p>
            <w:pPr>
              <w:pStyle w:val="TableParagraph"/>
              <w:spacing w:line="177" w:lineRule="exact" w:before="3"/>
              <w:ind w:left="464"/>
              <w:rPr>
                <w:sz w:val="16"/>
              </w:rPr>
            </w:pPr>
            <w:r>
              <w:rPr>
                <w:spacing w:val="-4"/>
                <w:w w:val="105"/>
                <w:sz w:val="16"/>
              </w:rPr>
              <w:t>(7%)</w:t>
            </w:r>
          </w:p>
        </w:tc>
      </w:tr>
    </w:tbl>
    <w:p>
      <w:pPr>
        <w:pStyle w:val="BodyText"/>
        <w:spacing w:before="14"/>
      </w:pPr>
    </w:p>
    <w:p>
      <w:pPr>
        <w:pStyle w:val="BodyText"/>
        <w:spacing w:line="266" w:lineRule="auto"/>
        <w:ind w:left="156" w:right="328"/>
      </w:pPr>
      <w:r>
        <w:rPr>
          <w:w w:val="105"/>
        </w:rPr>
        <w:t>Net</w:t>
      </w:r>
      <w:r>
        <w:rPr>
          <w:spacing w:val="-8"/>
          <w:w w:val="105"/>
        </w:rPr>
        <w:t> </w:t>
      </w:r>
      <w:r>
        <w:rPr>
          <w:w w:val="105"/>
        </w:rPr>
        <w:t>sales</w:t>
      </w:r>
      <w:r>
        <w:rPr>
          <w:spacing w:val="-8"/>
          <w:w w:val="105"/>
        </w:rPr>
        <w:t> </w:t>
      </w:r>
      <w:r>
        <w:rPr>
          <w:w w:val="105"/>
        </w:rPr>
        <w:t>in</w:t>
      </w:r>
      <w:r>
        <w:rPr>
          <w:spacing w:val="-8"/>
          <w:w w:val="105"/>
        </w:rPr>
        <w:t> </w:t>
      </w:r>
      <w:r>
        <w:rPr>
          <w:w w:val="105"/>
        </w:rPr>
        <w:t>the</w:t>
      </w:r>
      <w:r>
        <w:rPr>
          <w:spacing w:val="-8"/>
          <w:w w:val="105"/>
        </w:rPr>
        <w:t> </w:t>
      </w:r>
      <w:r>
        <w:rPr>
          <w:w w:val="105"/>
        </w:rPr>
        <w:t>Life</w:t>
      </w:r>
      <w:r>
        <w:rPr>
          <w:spacing w:val="-8"/>
          <w:w w:val="105"/>
        </w:rPr>
        <w:t> </w:t>
      </w:r>
      <w:r>
        <w:rPr>
          <w:w w:val="105"/>
        </w:rPr>
        <w:t>Sciences</w:t>
      </w:r>
      <w:r>
        <w:rPr>
          <w:spacing w:val="-8"/>
          <w:w w:val="105"/>
        </w:rPr>
        <w:t> </w:t>
      </w:r>
      <w:r>
        <w:rPr>
          <w:w w:val="105"/>
        </w:rPr>
        <w:t>segment</w:t>
      </w:r>
      <w:r>
        <w:rPr>
          <w:spacing w:val="-8"/>
          <w:w w:val="105"/>
        </w:rPr>
        <w:t> </w:t>
      </w:r>
      <w:r>
        <w:rPr>
          <w:w w:val="105"/>
        </w:rPr>
        <w:t>increased</w:t>
      </w:r>
      <w:r>
        <w:rPr>
          <w:spacing w:val="-8"/>
          <w:w w:val="105"/>
        </w:rPr>
        <w:t> </w:t>
      </w:r>
      <w:r>
        <w:rPr>
          <w:w w:val="105"/>
        </w:rPr>
        <w:t>by</w:t>
      </w:r>
      <w:r>
        <w:rPr>
          <w:spacing w:val="-8"/>
          <w:w w:val="105"/>
        </w:rPr>
        <w:t> </w:t>
      </w:r>
      <w:r>
        <w:rPr>
          <w:w w:val="105"/>
        </w:rPr>
        <w:t>$236</w:t>
      </w:r>
      <w:r>
        <w:rPr>
          <w:spacing w:val="-8"/>
          <w:w w:val="105"/>
        </w:rPr>
        <w:t> </w:t>
      </w:r>
      <w:r>
        <w:rPr>
          <w:w w:val="105"/>
        </w:rPr>
        <w:t>million,</w:t>
      </w:r>
      <w:r>
        <w:rPr>
          <w:spacing w:val="-8"/>
          <w:w w:val="105"/>
        </w:rPr>
        <w:t> </w:t>
      </w:r>
      <w:r>
        <w:rPr>
          <w:w w:val="105"/>
        </w:rPr>
        <w:t>or</w:t>
      </w:r>
      <w:r>
        <w:rPr>
          <w:spacing w:val="-8"/>
          <w:w w:val="105"/>
        </w:rPr>
        <w:t> </w:t>
      </w:r>
      <w:r>
        <w:rPr>
          <w:w w:val="105"/>
        </w:rPr>
        <w:t>24%,</w:t>
      </w:r>
      <w:r>
        <w:rPr>
          <w:spacing w:val="-8"/>
          <w:w w:val="105"/>
        </w:rPr>
        <w:t> </w:t>
      </w:r>
      <w:r>
        <w:rPr>
          <w:w w:val="105"/>
        </w:rPr>
        <w:t>primarily</w:t>
      </w:r>
      <w:r>
        <w:rPr>
          <w:spacing w:val="-8"/>
          <w:w w:val="105"/>
        </w:rPr>
        <w:t> </w:t>
      </w:r>
      <w:r>
        <w:rPr>
          <w:w w:val="105"/>
        </w:rPr>
        <w:t>driven</w:t>
      </w:r>
      <w:r>
        <w:rPr>
          <w:spacing w:val="-8"/>
          <w:w w:val="105"/>
        </w:rPr>
        <w:t> </w:t>
      </w:r>
      <w:r>
        <w:rPr>
          <w:w w:val="105"/>
        </w:rPr>
        <w:t>by</w:t>
      </w:r>
      <w:r>
        <w:rPr>
          <w:spacing w:val="-8"/>
          <w:w w:val="105"/>
        </w:rPr>
        <w:t> </w:t>
      </w:r>
      <w:r>
        <w:rPr>
          <w:w w:val="105"/>
        </w:rPr>
        <w:t>ongoing</w:t>
      </w:r>
      <w:r>
        <w:rPr>
          <w:spacing w:val="-8"/>
          <w:w w:val="105"/>
        </w:rPr>
        <w:t> </w:t>
      </w:r>
      <w:r>
        <w:rPr>
          <w:w w:val="105"/>
        </w:rPr>
        <w:t>increased</w:t>
      </w:r>
      <w:r>
        <w:rPr>
          <w:spacing w:val="-8"/>
          <w:w w:val="105"/>
        </w:rPr>
        <w:t> </w:t>
      </w:r>
      <w:r>
        <w:rPr>
          <w:w w:val="105"/>
        </w:rPr>
        <w:t>demand</w:t>
      </w:r>
      <w:r>
        <w:rPr>
          <w:spacing w:val="-7"/>
          <w:w w:val="105"/>
        </w:rPr>
        <w:t> </w:t>
      </w:r>
      <w:r>
        <w:rPr>
          <w:w w:val="105"/>
        </w:rPr>
        <w:t>to</w:t>
      </w:r>
      <w:r>
        <w:rPr>
          <w:spacing w:val="-8"/>
          <w:w w:val="105"/>
        </w:rPr>
        <w:t> </w:t>
      </w:r>
      <w:r>
        <w:rPr>
          <w:w w:val="105"/>
        </w:rPr>
        <w:t>support</w:t>
      </w:r>
      <w:r>
        <w:rPr>
          <w:spacing w:val="-8"/>
          <w:w w:val="105"/>
        </w:rPr>
        <w:t> </w:t>
      </w:r>
      <w:r>
        <w:rPr>
          <w:w w:val="105"/>
        </w:rPr>
        <w:t>the</w:t>
      </w:r>
      <w:r>
        <w:rPr>
          <w:spacing w:val="-8"/>
          <w:w w:val="105"/>
        </w:rPr>
        <w:t> </w:t>
      </w:r>
      <w:r>
        <w:rPr>
          <w:w w:val="105"/>
        </w:rPr>
        <w:t>global</w:t>
      </w:r>
      <w:r>
        <w:rPr>
          <w:spacing w:val="-8"/>
          <w:w w:val="105"/>
        </w:rPr>
        <w:t> </w:t>
      </w:r>
      <w:r>
        <w:rPr>
          <w:w w:val="105"/>
        </w:rPr>
        <w:t>pandemic</w:t>
      </w:r>
      <w:r>
        <w:rPr>
          <w:spacing w:val="-7"/>
          <w:w w:val="105"/>
        </w:rPr>
        <w:t> </w:t>
      </w:r>
      <w:r>
        <w:rPr>
          <w:w w:val="105"/>
        </w:rPr>
        <w:t>response, continued recovery in research labs, and strong demand for bioproduction vessels and diagnostic-related consumables.</w:t>
      </w:r>
    </w:p>
    <w:p>
      <w:pPr>
        <w:pStyle w:val="BodyText"/>
        <w:spacing w:before="19"/>
      </w:pPr>
    </w:p>
    <w:p>
      <w:pPr>
        <w:pStyle w:val="BodyText"/>
        <w:ind w:left="156"/>
      </w:pPr>
      <w:r>
        <w:rPr>
          <w:w w:val="105"/>
        </w:rPr>
        <w:t>Net</w:t>
      </w:r>
      <w:r>
        <w:rPr>
          <w:spacing w:val="-8"/>
          <w:w w:val="105"/>
        </w:rPr>
        <w:t> </w:t>
      </w:r>
      <w:r>
        <w:rPr>
          <w:w w:val="105"/>
        </w:rPr>
        <w:t>income</w:t>
      </w:r>
      <w:r>
        <w:rPr>
          <w:spacing w:val="-8"/>
          <w:w w:val="105"/>
        </w:rPr>
        <w:t> </w:t>
      </w:r>
      <w:r>
        <w:rPr>
          <w:w w:val="105"/>
        </w:rPr>
        <w:t>increased</w:t>
      </w:r>
      <w:r>
        <w:rPr>
          <w:spacing w:val="-8"/>
          <w:w w:val="105"/>
        </w:rPr>
        <w:t> </w:t>
      </w:r>
      <w:r>
        <w:rPr>
          <w:w w:val="105"/>
        </w:rPr>
        <w:t>by</w:t>
      </w:r>
      <w:r>
        <w:rPr>
          <w:spacing w:val="-8"/>
          <w:w w:val="105"/>
        </w:rPr>
        <w:t> </w:t>
      </w:r>
      <w:r>
        <w:rPr>
          <w:w w:val="105"/>
        </w:rPr>
        <w:t>$55</w:t>
      </w:r>
      <w:r>
        <w:rPr>
          <w:spacing w:val="-7"/>
          <w:w w:val="105"/>
        </w:rPr>
        <w:t> </w:t>
      </w:r>
      <w:r>
        <w:rPr>
          <w:w w:val="105"/>
        </w:rPr>
        <w:t>million,</w:t>
      </w:r>
      <w:r>
        <w:rPr>
          <w:spacing w:val="-8"/>
          <w:w w:val="105"/>
        </w:rPr>
        <w:t> </w:t>
      </w:r>
      <w:r>
        <w:rPr>
          <w:w w:val="105"/>
        </w:rPr>
        <w:t>or</w:t>
      </w:r>
      <w:r>
        <w:rPr>
          <w:spacing w:val="-8"/>
          <w:w w:val="105"/>
        </w:rPr>
        <w:t> </w:t>
      </w:r>
      <w:r>
        <w:rPr>
          <w:w w:val="105"/>
        </w:rPr>
        <w:t>40%,</w:t>
      </w:r>
      <w:r>
        <w:rPr>
          <w:spacing w:val="-8"/>
          <w:w w:val="105"/>
        </w:rPr>
        <w:t> </w:t>
      </w:r>
      <w:r>
        <w:rPr>
          <w:w w:val="105"/>
        </w:rPr>
        <w:t>in</w:t>
      </w:r>
      <w:r>
        <w:rPr>
          <w:spacing w:val="-8"/>
          <w:w w:val="105"/>
        </w:rPr>
        <w:t> </w:t>
      </w:r>
      <w:r>
        <w:rPr>
          <w:w w:val="105"/>
        </w:rPr>
        <w:t>the</w:t>
      </w:r>
      <w:r>
        <w:rPr>
          <w:spacing w:val="-7"/>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7"/>
          <w:w w:val="105"/>
        </w:rPr>
        <w:t> </w:t>
      </w:r>
      <w:r>
        <w:rPr>
          <w:w w:val="105"/>
        </w:rPr>
        <w:t>2021,</w:t>
      </w:r>
      <w:r>
        <w:rPr>
          <w:spacing w:val="-8"/>
          <w:w w:val="105"/>
        </w:rPr>
        <w:t> </w:t>
      </w:r>
      <w:r>
        <w:rPr>
          <w:w w:val="105"/>
        </w:rPr>
        <w:t>primarily</w:t>
      </w:r>
      <w:r>
        <w:rPr>
          <w:spacing w:val="-8"/>
          <w:w w:val="105"/>
        </w:rPr>
        <w:t> </w:t>
      </w:r>
      <w:r>
        <w:rPr>
          <w:w w:val="105"/>
        </w:rPr>
        <w:t>driven</w:t>
      </w:r>
      <w:r>
        <w:rPr>
          <w:spacing w:val="-8"/>
          <w:w w:val="105"/>
        </w:rPr>
        <w:t> </w:t>
      </w:r>
      <w:r>
        <w:rPr>
          <w:w w:val="105"/>
        </w:rPr>
        <w:t>by</w:t>
      </w:r>
      <w:r>
        <w:rPr>
          <w:spacing w:val="-8"/>
          <w:w w:val="105"/>
        </w:rPr>
        <w:t> </w:t>
      </w:r>
      <w:r>
        <w:rPr>
          <w:w w:val="105"/>
        </w:rPr>
        <w:t>the</w:t>
      </w:r>
      <w:r>
        <w:rPr>
          <w:spacing w:val="-7"/>
          <w:w w:val="105"/>
        </w:rPr>
        <w:t> </w:t>
      </w:r>
      <w:r>
        <w:rPr>
          <w:w w:val="105"/>
        </w:rPr>
        <w:t>changes</w:t>
      </w:r>
      <w:r>
        <w:rPr>
          <w:spacing w:val="-8"/>
          <w:w w:val="105"/>
        </w:rPr>
        <w:t> </w:t>
      </w:r>
      <w:r>
        <w:rPr>
          <w:w w:val="105"/>
        </w:rPr>
        <w:t>in</w:t>
      </w:r>
      <w:r>
        <w:rPr>
          <w:spacing w:val="-8"/>
          <w:w w:val="105"/>
        </w:rPr>
        <w:t> </w:t>
      </w:r>
      <w:r>
        <w:rPr>
          <w:w w:val="105"/>
        </w:rPr>
        <w:t>sales</w:t>
      </w:r>
      <w:r>
        <w:rPr>
          <w:spacing w:val="-8"/>
          <w:w w:val="105"/>
        </w:rPr>
        <w:t> </w:t>
      </w:r>
      <w:r>
        <w:rPr>
          <w:w w:val="105"/>
        </w:rPr>
        <w:t>outlined</w:t>
      </w:r>
      <w:r>
        <w:rPr>
          <w:spacing w:val="-8"/>
          <w:w w:val="105"/>
        </w:rPr>
        <w:t> </w:t>
      </w:r>
      <w:r>
        <w:rPr>
          <w:spacing w:val="-2"/>
          <w:w w:val="105"/>
        </w:rPr>
        <w:t>above.</w:t>
      </w:r>
    </w:p>
    <w:p>
      <w:pPr>
        <w:pStyle w:val="BodyText"/>
        <w:spacing w:before="39"/>
      </w:pPr>
    </w:p>
    <w:p>
      <w:pPr>
        <w:pStyle w:val="Heading2"/>
      </w:pPr>
      <w:r>
        <w:rPr>
          <w:w w:val="105"/>
        </w:rPr>
        <w:t>All</w:t>
      </w:r>
      <w:r>
        <w:rPr>
          <w:spacing w:val="-8"/>
          <w:w w:val="105"/>
        </w:rPr>
        <w:t> </w:t>
      </w:r>
      <w:r>
        <w:rPr>
          <w:spacing w:val="-4"/>
          <w:w w:val="105"/>
        </w:rPr>
        <w:t>Other</w:t>
      </w:r>
    </w:p>
    <w:p>
      <w:pPr>
        <w:pStyle w:val="BodyText"/>
        <w:spacing w:before="40"/>
        <w:rPr>
          <w:b/>
        </w:rPr>
      </w:pPr>
    </w:p>
    <w:p>
      <w:pPr>
        <w:pStyle w:val="BodyText"/>
        <w:spacing w:line="266" w:lineRule="auto"/>
        <w:ind w:left="156"/>
      </w:pPr>
      <w:r>
        <w:rPr>
          <w:w w:val="105"/>
        </w:rPr>
        <w:t>All</w:t>
      </w:r>
      <w:r>
        <w:rPr>
          <w:spacing w:val="-8"/>
          <w:w w:val="105"/>
        </w:rPr>
        <w:t> </w:t>
      </w:r>
      <w:r>
        <w:rPr>
          <w:w w:val="105"/>
        </w:rPr>
        <w:t>other</w:t>
      </w:r>
      <w:r>
        <w:rPr>
          <w:spacing w:val="-8"/>
          <w:w w:val="105"/>
        </w:rPr>
        <w:t> </w:t>
      </w:r>
      <w:r>
        <w:rPr>
          <w:w w:val="105"/>
        </w:rPr>
        <w:t>businesses</w:t>
      </w:r>
      <w:r>
        <w:rPr>
          <w:spacing w:val="-8"/>
          <w:w w:val="105"/>
        </w:rPr>
        <w:t> </w:t>
      </w:r>
      <w:r>
        <w:rPr>
          <w:w w:val="105"/>
        </w:rPr>
        <w:t>that</w:t>
      </w:r>
      <w:r>
        <w:rPr>
          <w:spacing w:val="-8"/>
          <w:w w:val="105"/>
        </w:rPr>
        <w:t> </w:t>
      </w:r>
      <w:r>
        <w:rPr>
          <w:w w:val="105"/>
        </w:rPr>
        <w:t>do</w:t>
      </w:r>
      <w:r>
        <w:rPr>
          <w:spacing w:val="-8"/>
          <w:w w:val="105"/>
        </w:rPr>
        <w:t> </w:t>
      </w:r>
      <w:r>
        <w:rPr>
          <w:w w:val="105"/>
        </w:rPr>
        <w:t>not</w:t>
      </w:r>
      <w:r>
        <w:rPr>
          <w:spacing w:val="-8"/>
          <w:w w:val="105"/>
        </w:rPr>
        <w:t> </w:t>
      </w:r>
      <w:r>
        <w:rPr>
          <w:w w:val="105"/>
        </w:rPr>
        <w:t>meet</w:t>
      </w:r>
      <w:r>
        <w:rPr>
          <w:spacing w:val="-8"/>
          <w:w w:val="105"/>
        </w:rPr>
        <w:t> </w:t>
      </w:r>
      <w:r>
        <w:rPr>
          <w:w w:val="105"/>
        </w:rPr>
        <w:t>the</w:t>
      </w:r>
      <w:r>
        <w:rPr>
          <w:spacing w:val="-8"/>
          <w:w w:val="105"/>
        </w:rPr>
        <w:t> </w:t>
      </w:r>
      <w:r>
        <w:rPr>
          <w:w w:val="105"/>
        </w:rPr>
        <w:t>quantitative</w:t>
      </w:r>
      <w:r>
        <w:rPr>
          <w:spacing w:val="-6"/>
          <w:w w:val="105"/>
        </w:rPr>
        <w:t> </w:t>
      </w:r>
      <w:r>
        <w:rPr>
          <w:w w:val="105"/>
        </w:rPr>
        <w:t>threshold</w:t>
      </w:r>
      <w:r>
        <w:rPr>
          <w:spacing w:val="-8"/>
          <w:w w:val="105"/>
        </w:rPr>
        <w:t> </w:t>
      </w:r>
      <w:r>
        <w:rPr>
          <w:w w:val="105"/>
        </w:rPr>
        <w:t>for</w:t>
      </w:r>
      <w:r>
        <w:rPr>
          <w:spacing w:val="-8"/>
          <w:w w:val="105"/>
        </w:rPr>
        <w:t> </w:t>
      </w:r>
      <w:r>
        <w:rPr>
          <w:w w:val="105"/>
        </w:rPr>
        <w:t>separate</w:t>
      </w:r>
      <w:r>
        <w:rPr>
          <w:spacing w:val="-8"/>
          <w:w w:val="105"/>
        </w:rPr>
        <w:t> </w:t>
      </w:r>
      <w:r>
        <w:rPr>
          <w:w w:val="105"/>
        </w:rPr>
        <w:t>reporting</w:t>
      </w:r>
      <w:r>
        <w:rPr>
          <w:spacing w:val="-8"/>
          <w:w w:val="105"/>
        </w:rPr>
        <w:t> </w:t>
      </w:r>
      <w:r>
        <w:rPr>
          <w:w w:val="105"/>
        </w:rPr>
        <w:t>have</w:t>
      </w:r>
      <w:r>
        <w:rPr>
          <w:spacing w:val="-8"/>
          <w:w w:val="105"/>
        </w:rPr>
        <w:t> </w:t>
      </w:r>
      <w:r>
        <w:rPr>
          <w:w w:val="105"/>
        </w:rPr>
        <w:t>been</w:t>
      </w:r>
      <w:r>
        <w:rPr>
          <w:spacing w:val="-8"/>
          <w:w w:val="105"/>
        </w:rPr>
        <w:t> </w:t>
      </w:r>
      <w:r>
        <w:rPr>
          <w:w w:val="105"/>
        </w:rPr>
        <w:t>grouped</w:t>
      </w:r>
      <w:r>
        <w:rPr>
          <w:spacing w:val="-8"/>
          <w:w w:val="105"/>
        </w:rPr>
        <w:t> </w:t>
      </w:r>
      <w:r>
        <w:rPr>
          <w:w w:val="105"/>
        </w:rPr>
        <w:t>as</w:t>
      </w:r>
      <w:r>
        <w:rPr>
          <w:spacing w:val="-8"/>
          <w:w w:val="105"/>
        </w:rPr>
        <w:t> </w:t>
      </w:r>
      <w:r>
        <w:rPr>
          <w:w w:val="105"/>
        </w:rPr>
        <w:t>“All</w:t>
      </w:r>
      <w:r>
        <w:rPr>
          <w:spacing w:val="-8"/>
          <w:w w:val="105"/>
        </w:rPr>
        <w:t> </w:t>
      </w:r>
      <w:r>
        <w:rPr>
          <w:w w:val="105"/>
        </w:rPr>
        <w:t>Other.”</w:t>
      </w:r>
      <w:r>
        <w:rPr>
          <w:spacing w:val="-8"/>
          <w:w w:val="105"/>
        </w:rPr>
        <w:t> </w:t>
      </w:r>
      <w:r>
        <w:rPr>
          <w:w w:val="105"/>
        </w:rPr>
        <w:t>This</w:t>
      </w:r>
      <w:r>
        <w:rPr>
          <w:spacing w:val="-8"/>
          <w:w w:val="105"/>
        </w:rPr>
        <w:t> </w:t>
      </w:r>
      <w:r>
        <w:rPr>
          <w:w w:val="105"/>
        </w:rPr>
        <w:t>group</w:t>
      </w:r>
      <w:r>
        <w:rPr>
          <w:spacing w:val="-8"/>
          <w:w w:val="105"/>
        </w:rPr>
        <w:t> </w:t>
      </w:r>
      <w:r>
        <w:rPr>
          <w:w w:val="105"/>
        </w:rPr>
        <w:t>is</w:t>
      </w:r>
      <w:r>
        <w:rPr>
          <w:spacing w:val="-8"/>
          <w:w w:val="105"/>
        </w:rPr>
        <w:t> </w:t>
      </w:r>
      <w:r>
        <w:rPr>
          <w:w w:val="105"/>
        </w:rPr>
        <w:t>primarily</w:t>
      </w:r>
      <w:r>
        <w:rPr>
          <w:spacing w:val="-6"/>
          <w:w w:val="105"/>
        </w:rPr>
        <w:t> </w:t>
      </w:r>
      <w:r>
        <w:rPr>
          <w:w w:val="105"/>
        </w:rPr>
        <w:t>comprised</w:t>
      </w:r>
      <w:r>
        <w:rPr>
          <w:spacing w:val="-8"/>
          <w:w w:val="105"/>
        </w:rPr>
        <w:t> </w:t>
      </w:r>
      <w:r>
        <w:rPr>
          <w:w w:val="105"/>
        </w:rPr>
        <w:t>of</w:t>
      </w:r>
      <w:r>
        <w:rPr>
          <w:spacing w:val="-8"/>
          <w:w w:val="105"/>
        </w:rPr>
        <w:t> </w:t>
      </w:r>
      <w:r>
        <w:rPr>
          <w:w w:val="105"/>
        </w:rPr>
        <w:t>the</w:t>
      </w:r>
      <w:r>
        <w:rPr>
          <w:spacing w:val="-8"/>
          <w:w w:val="105"/>
        </w:rPr>
        <w:t> </w:t>
      </w:r>
      <w:r>
        <w:rPr>
          <w:w w:val="105"/>
        </w:rPr>
        <w:t>results</w:t>
      </w:r>
      <w:r>
        <w:rPr>
          <w:spacing w:val="-8"/>
          <w:w w:val="105"/>
        </w:rPr>
        <w:t> </w:t>
      </w:r>
      <w:r>
        <w:rPr>
          <w:w w:val="105"/>
        </w:rPr>
        <w:t>of HSG,</w:t>
      </w:r>
      <w:r>
        <w:rPr>
          <w:spacing w:val="-1"/>
          <w:w w:val="105"/>
        </w:rPr>
        <w:t> </w:t>
      </w:r>
      <w:r>
        <w:rPr>
          <w:w w:val="105"/>
        </w:rPr>
        <w:t>pharmaceutical</w:t>
      </w:r>
      <w:r>
        <w:rPr>
          <w:spacing w:val="-1"/>
          <w:w w:val="105"/>
        </w:rPr>
        <w:t> </w:t>
      </w:r>
      <w:r>
        <w:rPr>
          <w:w w:val="105"/>
        </w:rPr>
        <w:t>technologies,</w:t>
      </w:r>
      <w:r>
        <w:rPr>
          <w:spacing w:val="-1"/>
          <w:w w:val="105"/>
        </w:rPr>
        <w:t> </w:t>
      </w:r>
      <w:r>
        <w:rPr>
          <w:w w:val="105"/>
        </w:rPr>
        <w:t>auto</w:t>
      </w:r>
      <w:r>
        <w:rPr>
          <w:spacing w:val="-1"/>
          <w:w w:val="105"/>
        </w:rPr>
        <w:t> </w:t>
      </w:r>
      <w:r>
        <w:rPr>
          <w:w w:val="105"/>
        </w:rPr>
        <w:t>glass,</w:t>
      </w:r>
      <w:r>
        <w:rPr>
          <w:spacing w:val="-1"/>
          <w:w w:val="105"/>
        </w:rPr>
        <w:t> </w:t>
      </w:r>
      <w:r>
        <w:rPr>
          <w:w w:val="105"/>
        </w:rPr>
        <w:t>new</w:t>
      </w:r>
      <w:r>
        <w:rPr>
          <w:spacing w:val="-1"/>
          <w:w w:val="105"/>
        </w:rPr>
        <w:t> </w:t>
      </w:r>
      <w:r>
        <w:rPr>
          <w:w w:val="105"/>
        </w:rPr>
        <w:t>product</w:t>
      </w:r>
      <w:r>
        <w:rPr>
          <w:spacing w:val="-1"/>
          <w:w w:val="105"/>
        </w:rPr>
        <w:t> </w:t>
      </w:r>
      <w:r>
        <w:rPr>
          <w:w w:val="105"/>
        </w:rPr>
        <w:t>lines</w:t>
      </w:r>
      <w:r>
        <w:rPr>
          <w:spacing w:val="-1"/>
          <w:w w:val="105"/>
        </w:rPr>
        <w:t> </w:t>
      </w:r>
      <w:r>
        <w:rPr>
          <w:w w:val="105"/>
        </w:rPr>
        <w:t>and</w:t>
      </w:r>
      <w:r>
        <w:rPr>
          <w:spacing w:val="-1"/>
          <w:w w:val="105"/>
        </w:rPr>
        <w:t> </w:t>
      </w:r>
      <w:r>
        <w:rPr>
          <w:w w:val="105"/>
        </w:rPr>
        <w:t>development</w:t>
      </w:r>
      <w:r>
        <w:rPr>
          <w:spacing w:val="-1"/>
          <w:w w:val="105"/>
        </w:rPr>
        <w:t> </w:t>
      </w:r>
      <w:r>
        <w:rPr>
          <w:w w:val="105"/>
        </w:rPr>
        <w:t>projects,</w:t>
      </w:r>
      <w:r>
        <w:rPr>
          <w:spacing w:val="-1"/>
          <w:w w:val="105"/>
        </w:rPr>
        <w:t> </w:t>
      </w:r>
      <w:r>
        <w:rPr>
          <w:w w:val="105"/>
        </w:rPr>
        <w:t>as</w:t>
      </w:r>
      <w:r>
        <w:rPr>
          <w:spacing w:val="-1"/>
          <w:w w:val="105"/>
        </w:rPr>
        <w:t> </w:t>
      </w:r>
      <w:r>
        <w:rPr>
          <w:w w:val="105"/>
        </w:rPr>
        <w:t>well</w:t>
      </w:r>
      <w:r>
        <w:rPr>
          <w:spacing w:val="-1"/>
          <w:w w:val="105"/>
        </w:rPr>
        <w:t> </w:t>
      </w:r>
      <w:r>
        <w:rPr>
          <w:w w:val="105"/>
        </w:rPr>
        <w:t>as</w:t>
      </w:r>
      <w:r>
        <w:rPr>
          <w:spacing w:val="-1"/>
          <w:w w:val="105"/>
        </w:rPr>
        <w:t> </w:t>
      </w:r>
      <w:r>
        <w:rPr>
          <w:w w:val="105"/>
        </w:rPr>
        <w:t>other</w:t>
      </w:r>
      <w:r>
        <w:rPr>
          <w:spacing w:val="-1"/>
          <w:w w:val="105"/>
        </w:rPr>
        <w:t> </w:t>
      </w:r>
      <w:r>
        <w:rPr>
          <w:w w:val="105"/>
        </w:rPr>
        <w:t>businesses</w:t>
      </w:r>
      <w:r>
        <w:rPr>
          <w:spacing w:val="-1"/>
          <w:w w:val="105"/>
        </w:rPr>
        <w:t> </w:t>
      </w:r>
      <w:r>
        <w:rPr>
          <w:w w:val="105"/>
        </w:rPr>
        <w:t>and</w:t>
      </w:r>
      <w:r>
        <w:rPr>
          <w:spacing w:val="-1"/>
          <w:w w:val="105"/>
        </w:rPr>
        <w:t> </w:t>
      </w:r>
      <w:r>
        <w:rPr>
          <w:w w:val="105"/>
        </w:rPr>
        <w:t>certain</w:t>
      </w:r>
      <w:r>
        <w:rPr>
          <w:spacing w:val="-1"/>
          <w:w w:val="105"/>
        </w:rPr>
        <w:t> </w:t>
      </w:r>
      <w:r>
        <w:rPr>
          <w:w w:val="105"/>
        </w:rPr>
        <w:t>corporate</w:t>
      </w:r>
      <w:r>
        <w:rPr>
          <w:spacing w:val="-1"/>
          <w:w w:val="105"/>
        </w:rPr>
        <w:t> </w:t>
      </w:r>
      <w:r>
        <w:rPr>
          <w:w w:val="105"/>
        </w:rPr>
        <w:t>investments.</w:t>
      </w:r>
    </w:p>
    <w:p>
      <w:pPr>
        <w:pStyle w:val="BodyText"/>
        <w:spacing w:before="19"/>
      </w:pPr>
    </w:p>
    <w:p>
      <w:pPr>
        <w:pStyle w:val="BodyText"/>
        <w:spacing w:line="266" w:lineRule="auto"/>
        <w:ind w:left="156"/>
      </w:pPr>
      <w:r>
        <w:rPr>
          <w:w w:val="105"/>
        </w:rPr>
        <w:t>The</w:t>
      </w:r>
      <w:r>
        <w:rPr>
          <w:spacing w:val="-7"/>
          <w:w w:val="105"/>
        </w:rPr>
        <w:t> </w:t>
      </w:r>
      <w:r>
        <w:rPr>
          <w:w w:val="105"/>
        </w:rPr>
        <w:t>Company</w:t>
      </w:r>
      <w:r>
        <w:rPr>
          <w:spacing w:val="-7"/>
          <w:w w:val="105"/>
        </w:rPr>
        <w:t> </w:t>
      </w:r>
      <w:r>
        <w:rPr>
          <w:w w:val="105"/>
        </w:rPr>
        <w:t>obtained</w:t>
      </w:r>
      <w:r>
        <w:rPr>
          <w:spacing w:val="-7"/>
          <w:w w:val="105"/>
        </w:rPr>
        <w:t> </w:t>
      </w:r>
      <w:r>
        <w:rPr>
          <w:w w:val="105"/>
        </w:rPr>
        <w:t>a</w:t>
      </w:r>
      <w:r>
        <w:rPr>
          <w:spacing w:val="-7"/>
          <w:w w:val="105"/>
        </w:rPr>
        <w:t> </w:t>
      </w:r>
      <w:r>
        <w:rPr>
          <w:w w:val="105"/>
        </w:rPr>
        <w:t>controlling</w:t>
      </w:r>
      <w:r>
        <w:rPr>
          <w:spacing w:val="-7"/>
          <w:w w:val="105"/>
        </w:rPr>
        <w:t> </w:t>
      </w:r>
      <w:r>
        <w:rPr>
          <w:w w:val="105"/>
        </w:rPr>
        <w:t>interest</w:t>
      </w:r>
      <w:r>
        <w:rPr>
          <w:spacing w:val="-7"/>
          <w:w w:val="105"/>
        </w:rPr>
        <w:t> </w:t>
      </w:r>
      <w:r>
        <w:rPr>
          <w:w w:val="105"/>
        </w:rPr>
        <w:t>in</w:t>
      </w:r>
      <w:r>
        <w:rPr>
          <w:spacing w:val="-7"/>
          <w:w w:val="105"/>
        </w:rPr>
        <w:t> </w:t>
      </w:r>
      <w:r>
        <w:rPr>
          <w:w w:val="105"/>
        </w:rPr>
        <w:t>HSG</w:t>
      </w:r>
      <w:r>
        <w:rPr>
          <w:spacing w:val="-7"/>
          <w:w w:val="105"/>
        </w:rPr>
        <w:t> </w:t>
      </w:r>
      <w:r>
        <w:rPr>
          <w:w w:val="105"/>
        </w:rPr>
        <w:t>during</w:t>
      </w:r>
      <w:r>
        <w:rPr>
          <w:spacing w:val="-7"/>
          <w:w w:val="105"/>
        </w:rPr>
        <w:t> </w:t>
      </w:r>
      <w:r>
        <w:rPr>
          <w:w w:val="105"/>
        </w:rPr>
        <w:t>the</w:t>
      </w:r>
      <w:r>
        <w:rPr>
          <w:spacing w:val="-7"/>
          <w:w w:val="105"/>
        </w:rPr>
        <w:t> </w:t>
      </w:r>
      <w:r>
        <w:rPr>
          <w:w w:val="105"/>
        </w:rPr>
        <w:t>third</w:t>
      </w:r>
      <w:r>
        <w:rPr>
          <w:spacing w:val="-7"/>
          <w:w w:val="105"/>
        </w:rPr>
        <w:t> </w:t>
      </w:r>
      <w:r>
        <w:rPr>
          <w:w w:val="105"/>
        </w:rPr>
        <w:t>quarter</w:t>
      </w:r>
      <w:r>
        <w:rPr>
          <w:spacing w:val="-7"/>
          <w:w w:val="105"/>
        </w:rPr>
        <w:t> </w:t>
      </w:r>
      <w:r>
        <w:rPr>
          <w:w w:val="105"/>
        </w:rPr>
        <w:t>of</w:t>
      </w:r>
      <w:r>
        <w:rPr>
          <w:spacing w:val="-7"/>
          <w:w w:val="105"/>
        </w:rPr>
        <w:t> </w:t>
      </w:r>
      <w:r>
        <w:rPr>
          <w:w w:val="105"/>
        </w:rPr>
        <w:t>2020</w:t>
      </w:r>
      <w:r>
        <w:rPr>
          <w:spacing w:val="-7"/>
          <w:w w:val="105"/>
        </w:rPr>
        <w:t> </w:t>
      </w:r>
      <w:r>
        <w:rPr>
          <w:w w:val="105"/>
        </w:rPr>
        <w:t>and</w:t>
      </w:r>
      <w:r>
        <w:rPr>
          <w:spacing w:val="-7"/>
          <w:w w:val="105"/>
        </w:rPr>
        <w:t> </w:t>
      </w:r>
      <w:r>
        <w:rPr>
          <w:w w:val="105"/>
        </w:rPr>
        <w:t>has</w:t>
      </w:r>
      <w:r>
        <w:rPr>
          <w:spacing w:val="-7"/>
          <w:w w:val="105"/>
        </w:rPr>
        <w:t> </w:t>
      </w:r>
      <w:r>
        <w:rPr>
          <w:w w:val="105"/>
        </w:rPr>
        <w:t>consolidated</w:t>
      </w:r>
      <w:r>
        <w:rPr>
          <w:spacing w:val="-5"/>
          <w:w w:val="105"/>
        </w:rPr>
        <w:t> </w:t>
      </w:r>
      <w:r>
        <w:rPr>
          <w:w w:val="105"/>
        </w:rPr>
        <w:t>results</w:t>
      </w:r>
      <w:r>
        <w:rPr>
          <w:spacing w:val="-7"/>
          <w:w w:val="105"/>
        </w:rPr>
        <w:t> </w:t>
      </w:r>
      <w:r>
        <w:rPr>
          <w:w w:val="105"/>
        </w:rPr>
        <w:t>in</w:t>
      </w:r>
      <w:r>
        <w:rPr>
          <w:spacing w:val="-7"/>
          <w:w w:val="105"/>
        </w:rPr>
        <w:t> </w:t>
      </w:r>
      <w:r>
        <w:rPr>
          <w:w w:val="105"/>
        </w:rPr>
        <w:t>“All</w:t>
      </w:r>
      <w:r>
        <w:rPr>
          <w:spacing w:val="-7"/>
          <w:w w:val="105"/>
        </w:rPr>
        <w:t> </w:t>
      </w:r>
      <w:r>
        <w:rPr>
          <w:w w:val="105"/>
        </w:rPr>
        <w:t>Other”</w:t>
      </w:r>
      <w:r>
        <w:rPr>
          <w:spacing w:val="-7"/>
          <w:w w:val="105"/>
        </w:rPr>
        <w:t> </w:t>
      </w:r>
      <w:r>
        <w:rPr>
          <w:w w:val="105"/>
        </w:rPr>
        <w:t>since</w:t>
      </w:r>
      <w:r>
        <w:rPr>
          <w:spacing w:val="-7"/>
          <w:w w:val="105"/>
        </w:rPr>
        <w:t> </w:t>
      </w:r>
      <w:r>
        <w:rPr>
          <w:w w:val="105"/>
        </w:rPr>
        <w:t>September</w:t>
      </w:r>
      <w:r>
        <w:rPr>
          <w:spacing w:val="-7"/>
          <w:w w:val="105"/>
        </w:rPr>
        <w:t> </w:t>
      </w:r>
      <w:r>
        <w:rPr>
          <w:w w:val="105"/>
        </w:rPr>
        <w:t>9,</w:t>
      </w:r>
      <w:r>
        <w:rPr>
          <w:spacing w:val="-7"/>
          <w:w w:val="105"/>
        </w:rPr>
        <w:t> </w:t>
      </w:r>
      <w:r>
        <w:rPr>
          <w:w w:val="105"/>
        </w:rPr>
        <w:t>2020.</w:t>
      </w:r>
      <w:r>
        <w:rPr>
          <w:spacing w:val="28"/>
          <w:w w:val="105"/>
        </w:rPr>
        <w:t> </w:t>
      </w:r>
      <w:r>
        <w:rPr>
          <w:w w:val="105"/>
        </w:rPr>
        <w:t>Refer</w:t>
      </w:r>
      <w:r>
        <w:rPr>
          <w:spacing w:val="-7"/>
          <w:w w:val="105"/>
        </w:rPr>
        <w:t> </w:t>
      </w:r>
      <w:r>
        <w:rPr>
          <w:w w:val="105"/>
        </w:rPr>
        <w:t>to</w:t>
      </w:r>
      <w:r>
        <w:rPr>
          <w:spacing w:val="-7"/>
          <w:w w:val="105"/>
        </w:rPr>
        <w:t> </w:t>
      </w:r>
      <w:r>
        <w:rPr>
          <w:w w:val="105"/>
        </w:rPr>
        <w:t>Note</w:t>
      </w:r>
      <w:r>
        <w:rPr>
          <w:spacing w:val="-7"/>
          <w:w w:val="105"/>
        </w:rPr>
        <w:t> </w:t>
      </w:r>
      <w:r>
        <w:rPr>
          <w:w w:val="105"/>
        </w:rPr>
        <w:t>4 (HSG Transactions and Acquisitions) to the consolidated financial statements for additional information on this transaction.</w:t>
      </w:r>
    </w:p>
    <w:p>
      <w:pPr>
        <w:pStyle w:val="BodyText"/>
        <w:spacing w:before="19"/>
      </w:pPr>
    </w:p>
    <w:p>
      <w:pPr>
        <w:pStyle w:val="BodyText"/>
        <w:ind w:left="156"/>
      </w:pPr>
      <w:r>
        <w:rPr>
          <w:w w:val="105"/>
        </w:rPr>
        <w:t>The</w:t>
      </w:r>
      <w:r>
        <w:rPr>
          <w:spacing w:val="-8"/>
          <w:w w:val="105"/>
        </w:rPr>
        <w:t> </w:t>
      </w:r>
      <w:r>
        <w:rPr>
          <w:w w:val="105"/>
        </w:rPr>
        <w:t>following</w:t>
      </w:r>
      <w:r>
        <w:rPr>
          <w:spacing w:val="-8"/>
          <w:w w:val="105"/>
        </w:rPr>
        <w:t> </w:t>
      </w:r>
      <w:r>
        <w:rPr>
          <w:w w:val="105"/>
        </w:rPr>
        <w:t>table</w:t>
      </w:r>
      <w:r>
        <w:rPr>
          <w:spacing w:val="-8"/>
          <w:w w:val="105"/>
        </w:rPr>
        <w:t> </w:t>
      </w:r>
      <w:r>
        <w:rPr>
          <w:w w:val="105"/>
        </w:rPr>
        <w:t>provides</w:t>
      </w:r>
      <w:r>
        <w:rPr>
          <w:spacing w:val="-8"/>
          <w:w w:val="105"/>
        </w:rPr>
        <w:t> </w:t>
      </w:r>
      <w:r>
        <w:rPr>
          <w:w w:val="105"/>
        </w:rPr>
        <w:t>net</w:t>
      </w:r>
      <w:r>
        <w:rPr>
          <w:spacing w:val="-8"/>
          <w:w w:val="105"/>
        </w:rPr>
        <w:t> </w:t>
      </w:r>
      <w:r>
        <w:rPr>
          <w:w w:val="105"/>
        </w:rPr>
        <w:t>sales</w:t>
      </w:r>
      <w:r>
        <w:rPr>
          <w:spacing w:val="-8"/>
          <w:w w:val="105"/>
        </w:rPr>
        <w:t> </w:t>
      </w:r>
      <w:r>
        <w:rPr>
          <w:w w:val="105"/>
        </w:rPr>
        <w:t>and</w:t>
      </w:r>
      <w:r>
        <w:rPr>
          <w:spacing w:val="-8"/>
          <w:w w:val="105"/>
        </w:rPr>
        <w:t> </w:t>
      </w:r>
      <w:r>
        <w:rPr>
          <w:w w:val="105"/>
        </w:rPr>
        <w:t>net</w:t>
      </w:r>
      <w:r>
        <w:rPr>
          <w:spacing w:val="-8"/>
          <w:w w:val="105"/>
        </w:rPr>
        <w:t> </w:t>
      </w:r>
      <w:r>
        <w:rPr>
          <w:w w:val="105"/>
        </w:rPr>
        <w:t>loss</w:t>
      </w:r>
      <w:r>
        <w:rPr>
          <w:spacing w:val="-8"/>
          <w:w w:val="105"/>
        </w:rPr>
        <w:t> </w:t>
      </w:r>
      <w:r>
        <w:rPr>
          <w:w w:val="105"/>
        </w:rPr>
        <w:t>for</w:t>
      </w:r>
      <w:r>
        <w:rPr>
          <w:spacing w:val="-8"/>
          <w:w w:val="105"/>
        </w:rPr>
        <w:t> </w:t>
      </w:r>
      <w:r>
        <w:rPr>
          <w:w w:val="105"/>
        </w:rPr>
        <w:t>“All</w:t>
      </w:r>
      <w:r>
        <w:rPr>
          <w:spacing w:val="-7"/>
          <w:w w:val="105"/>
        </w:rPr>
        <w:t> </w:t>
      </w:r>
      <w:r>
        <w:rPr>
          <w:w w:val="105"/>
        </w:rPr>
        <w:t>Other”</w:t>
      </w:r>
      <w:r>
        <w:rPr>
          <w:spacing w:val="-8"/>
          <w:w w:val="105"/>
        </w:rPr>
        <w:t> </w:t>
      </w:r>
      <w:r>
        <w:rPr>
          <w:w w:val="105"/>
        </w:rPr>
        <w:t>(in</w:t>
      </w:r>
      <w:r>
        <w:rPr>
          <w:spacing w:val="-8"/>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618048">
                <wp:simplePos x="0" y="0"/>
                <wp:positionH relativeFrom="page">
                  <wp:posOffset>226479</wp:posOffset>
                </wp:positionH>
                <wp:positionV relativeFrom="paragraph">
                  <wp:posOffset>83461</wp:posOffset>
                </wp:positionV>
                <wp:extent cx="7312659" cy="1651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7177pt;width:575.775027pt;height:1.274pt;mso-position-horizontal-relative:page;mso-position-vertical-relative:paragraph;z-index:-15698432;mso-wrap-distance-left:0;mso-wrap-distance-right:0" id="docshape68" filled="true" fillcolor="#000000" stroked="false">
                <v:fill type="solid"/>
                <w10:wrap type="topAndBottom"/>
              </v:rect>
            </w:pict>
          </mc:Fallback>
        </mc:AlternateContent>
      </w:r>
    </w:p>
    <w:p>
      <w:pPr>
        <w:pStyle w:val="BodyText"/>
        <w:tabs>
          <w:tab w:pos="9685" w:val="left" w:leader="none"/>
          <w:tab w:pos="10831" w:val="left" w:leader="none"/>
        </w:tabs>
        <w:spacing w:before="3" w:after="23"/>
        <w:ind w:left="6444"/>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r>
        <w:rPr/>
        <w:tab/>
      </w:r>
      <w:r>
        <w:rPr>
          <w:w w:val="105"/>
        </w:rPr>
        <w:t>%</w:t>
      </w:r>
      <w:r>
        <w:rPr>
          <w:spacing w:val="-4"/>
          <w:w w:val="105"/>
        </w:rPr>
        <w:t> </w:t>
      </w:r>
      <w:r>
        <w:rPr>
          <w:spacing w:val="-2"/>
          <w:w w:val="105"/>
        </w:rPr>
        <w:t>change</w:t>
      </w:r>
      <w:r>
        <w:rPr/>
        <w:tab/>
      </w:r>
      <w:r>
        <w:rPr>
          <w:w w:val="105"/>
        </w:rPr>
        <w:t>%</w:t>
      </w:r>
      <w:r>
        <w:rPr>
          <w:spacing w:val="-4"/>
          <w:w w:val="105"/>
        </w:rPr>
        <w:t> </w:t>
      </w:r>
      <w:r>
        <w:rPr>
          <w:spacing w:val="-2"/>
          <w:w w:val="105"/>
        </w:rPr>
        <w:t>change</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7"/>
        <w:gridCol w:w="766"/>
        <w:gridCol w:w="508"/>
        <w:gridCol w:w="905"/>
        <w:gridCol w:w="830"/>
        <w:gridCol w:w="545"/>
        <w:gridCol w:w="470"/>
        <w:gridCol w:w="114"/>
        <w:gridCol w:w="1031"/>
        <w:gridCol w:w="114"/>
        <w:gridCol w:w="1031"/>
      </w:tblGrid>
      <w:tr>
        <w:trPr>
          <w:trHeight w:val="201" w:hRule="atLeast"/>
        </w:trPr>
        <w:tc>
          <w:tcPr>
            <w:tcW w:w="5197" w:type="dxa"/>
            <w:tcBorders>
              <w:bottom w:val="single" w:sz="6" w:space="0" w:color="000000"/>
            </w:tcBorders>
          </w:tcPr>
          <w:p>
            <w:pPr>
              <w:pStyle w:val="TableParagraph"/>
              <w:rPr>
                <w:sz w:val="14"/>
              </w:rPr>
            </w:pPr>
          </w:p>
        </w:tc>
        <w:tc>
          <w:tcPr>
            <w:tcW w:w="766" w:type="dxa"/>
            <w:tcBorders>
              <w:top w:val="single" w:sz="6" w:space="0" w:color="000000"/>
              <w:bottom w:val="single" w:sz="6" w:space="0" w:color="000000"/>
            </w:tcBorders>
          </w:tcPr>
          <w:p>
            <w:pPr>
              <w:pStyle w:val="TableParagraph"/>
              <w:spacing w:line="179" w:lineRule="exact" w:before="2"/>
              <w:ind w:left="414"/>
              <w:rPr>
                <w:b/>
                <w:sz w:val="16"/>
              </w:rPr>
            </w:pPr>
            <w:r>
              <w:rPr>
                <w:b/>
                <w:spacing w:val="-4"/>
                <w:w w:val="105"/>
                <w:sz w:val="16"/>
              </w:rPr>
              <w:t>2021</w:t>
            </w:r>
          </w:p>
        </w:tc>
        <w:tc>
          <w:tcPr>
            <w:tcW w:w="508" w:type="dxa"/>
            <w:tcBorders>
              <w:top w:val="single" w:sz="6" w:space="0" w:color="000000"/>
              <w:bottom w:val="single" w:sz="6" w:space="0" w:color="000000"/>
            </w:tcBorders>
          </w:tcPr>
          <w:p>
            <w:pPr>
              <w:pStyle w:val="TableParagraph"/>
              <w:rPr>
                <w:sz w:val="14"/>
              </w:rPr>
            </w:pPr>
          </w:p>
        </w:tc>
        <w:tc>
          <w:tcPr>
            <w:tcW w:w="905" w:type="dxa"/>
            <w:tcBorders>
              <w:top w:val="single" w:sz="6" w:space="0" w:color="000000"/>
              <w:bottom w:val="single" w:sz="6" w:space="0" w:color="000000"/>
            </w:tcBorders>
          </w:tcPr>
          <w:p>
            <w:pPr>
              <w:pStyle w:val="TableParagraph"/>
              <w:spacing w:line="179" w:lineRule="exact" w:before="2"/>
              <w:ind w:left="522"/>
              <w:rPr>
                <w:sz w:val="16"/>
              </w:rPr>
            </w:pPr>
            <w:r>
              <w:rPr>
                <w:spacing w:val="-4"/>
                <w:w w:val="105"/>
                <w:sz w:val="16"/>
              </w:rPr>
              <w:t>2020</w:t>
            </w:r>
          </w:p>
        </w:tc>
        <w:tc>
          <w:tcPr>
            <w:tcW w:w="830" w:type="dxa"/>
            <w:tcBorders>
              <w:top w:val="single" w:sz="6" w:space="0" w:color="000000"/>
              <w:bottom w:val="single" w:sz="6" w:space="0" w:color="000000"/>
            </w:tcBorders>
          </w:tcPr>
          <w:p>
            <w:pPr>
              <w:pStyle w:val="TableParagraph"/>
              <w:rPr>
                <w:sz w:val="14"/>
              </w:rPr>
            </w:pPr>
          </w:p>
        </w:tc>
        <w:tc>
          <w:tcPr>
            <w:tcW w:w="545" w:type="dxa"/>
            <w:tcBorders>
              <w:top w:val="single" w:sz="6" w:space="0" w:color="000000"/>
              <w:bottom w:val="single" w:sz="6" w:space="0" w:color="000000"/>
            </w:tcBorders>
          </w:tcPr>
          <w:p>
            <w:pPr>
              <w:pStyle w:val="TableParagraph"/>
              <w:spacing w:line="179" w:lineRule="exact" w:before="2"/>
              <w:ind w:left="163"/>
              <w:rPr>
                <w:sz w:val="16"/>
              </w:rPr>
            </w:pPr>
            <w:r>
              <w:rPr>
                <w:spacing w:val="-4"/>
                <w:w w:val="105"/>
                <w:sz w:val="16"/>
              </w:rPr>
              <w:t>2019</w:t>
            </w:r>
          </w:p>
        </w:tc>
        <w:tc>
          <w:tcPr>
            <w:tcW w:w="470" w:type="dxa"/>
            <w:tcBorders>
              <w:top w:val="single" w:sz="6" w:space="0" w:color="000000"/>
              <w:bottom w:val="single" w:sz="6" w:space="0" w:color="000000"/>
            </w:tcBorders>
          </w:tcPr>
          <w:p>
            <w:pPr>
              <w:pStyle w:val="TableParagraph"/>
              <w:rPr>
                <w:sz w:val="14"/>
              </w:rPr>
            </w:pPr>
          </w:p>
        </w:tc>
        <w:tc>
          <w:tcPr>
            <w:tcW w:w="114" w:type="dxa"/>
            <w:tcBorders>
              <w:bottom w:val="single" w:sz="6" w:space="0" w:color="000000"/>
            </w:tcBorders>
          </w:tcPr>
          <w:p>
            <w:pPr>
              <w:pStyle w:val="TableParagraph"/>
              <w:rPr>
                <w:sz w:val="14"/>
              </w:rPr>
            </w:pPr>
          </w:p>
        </w:tc>
        <w:tc>
          <w:tcPr>
            <w:tcW w:w="1031" w:type="dxa"/>
            <w:tcBorders>
              <w:top w:val="single" w:sz="6" w:space="0" w:color="000000"/>
              <w:bottom w:val="single" w:sz="6" w:space="0" w:color="000000"/>
            </w:tcBorders>
          </w:tcPr>
          <w:p>
            <w:pPr>
              <w:pStyle w:val="TableParagraph"/>
              <w:spacing w:line="179" w:lineRule="exact" w:before="2"/>
              <w:ind w:left="8" w:right="3"/>
              <w:jc w:val="center"/>
              <w:rPr>
                <w:sz w:val="16"/>
              </w:rPr>
            </w:pPr>
            <w:r>
              <w:rPr>
                <w:w w:val="105"/>
                <w:sz w:val="16"/>
              </w:rPr>
              <w:t>21</w:t>
            </w:r>
            <w:r>
              <w:rPr>
                <w:spacing w:val="-5"/>
                <w:w w:val="105"/>
                <w:sz w:val="16"/>
              </w:rPr>
              <w:t> </w:t>
            </w:r>
            <w:r>
              <w:rPr>
                <w:w w:val="105"/>
                <w:sz w:val="16"/>
              </w:rPr>
              <w:t>vs.</w:t>
            </w:r>
            <w:r>
              <w:rPr>
                <w:spacing w:val="-4"/>
                <w:w w:val="105"/>
                <w:sz w:val="16"/>
              </w:rPr>
              <w:t> </w:t>
            </w:r>
            <w:r>
              <w:rPr>
                <w:spacing w:val="-7"/>
                <w:w w:val="105"/>
                <w:sz w:val="16"/>
              </w:rPr>
              <w:t>20</w:t>
            </w:r>
          </w:p>
        </w:tc>
        <w:tc>
          <w:tcPr>
            <w:tcW w:w="114" w:type="dxa"/>
            <w:tcBorders>
              <w:bottom w:val="single" w:sz="6" w:space="0" w:color="000000"/>
            </w:tcBorders>
          </w:tcPr>
          <w:p>
            <w:pPr>
              <w:pStyle w:val="TableParagraph"/>
              <w:rPr>
                <w:sz w:val="14"/>
              </w:rPr>
            </w:pPr>
          </w:p>
        </w:tc>
        <w:tc>
          <w:tcPr>
            <w:tcW w:w="1031" w:type="dxa"/>
            <w:tcBorders>
              <w:top w:val="single" w:sz="6" w:space="0" w:color="000000"/>
              <w:bottom w:val="single" w:sz="6" w:space="0" w:color="000000"/>
            </w:tcBorders>
          </w:tcPr>
          <w:p>
            <w:pPr>
              <w:pStyle w:val="TableParagraph"/>
              <w:spacing w:line="179" w:lineRule="exact" w:before="2"/>
              <w:ind w:left="8"/>
              <w:jc w:val="center"/>
              <w:rPr>
                <w:sz w:val="16"/>
              </w:rPr>
            </w:pPr>
            <w:r>
              <w:rPr>
                <w:w w:val="105"/>
                <w:sz w:val="16"/>
              </w:rPr>
              <w:t>20</w:t>
            </w:r>
            <w:r>
              <w:rPr>
                <w:spacing w:val="-5"/>
                <w:w w:val="105"/>
                <w:sz w:val="16"/>
              </w:rPr>
              <w:t> </w:t>
            </w:r>
            <w:r>
              <w:rPr>
                <w:w w:val="105"/>
                <w:sz w:val="16"/>
              </w:rPr>
              <w:t>vs.</w:t>
            </w:r>
            <w:r>
              <w:rPr>
                <w:spacing w:val="-4"/>
                <w:w w:val="105"/>
                <w:sz w:val="16"/>
              </w:rPr>
              <w:t> </w:t>
            </w:r>
            <w:r>
              <w:rPr>
                <w:spacing w:val="-7"/>
                <w:w w:val="105"/>
                <w:sz w:val="16"/>
              </w:rPr>
              <w:t>19</w:t>
            </w:r>
          </w:p>
        </w:tc>
      </w:tr>
      <w:tr>
        <w:trPr>
          <w:trHeight w:val="202" w:hRule="atLeast"/>
        </w:trPr>
        <w:tc>
          <w:tcPr>
            <w:tcW w:w="5197" w:type="dxa"/>
            <w:tcBorders>
              <w:top w:val="single" w:sz="6" w:space="0" w:color="000000"/>
            </w:tcBorders>
            <w:shd w:val="clear" w:color="auto" w:fill="CCEDFF"/>
          </w:tcPr>
          <w:p>
            <w:pPr>
              <w:pStyle w:val="TableParagraph"/>
              <w:spacing w:line="180" w:lineRule="exact" w:before="2"/>
              <w:rPr>
                <w:sz w:val="16"/>
              </w:rPr>
            </w:pPr>
            <w:r>
              <w:rPr>
                <w:w w:val="105"/>
                <w:sz w:val="16"/>
              </w:rPr>
              <w:t>Segment</w:t>
            </w:r>
            <w:r>
              <w:rPr>
                <w:spacing w:val="-9"/>
                <w:w w:val="105"/>
                <w:sz w:val="16"/>
              </w:rPr>
              <w:t> </w:t>
            </w:r>
            <w:r>
              <w:rPr>
                <w:w w:val="105"/>
                <w:sz w:val="16"/>
              </w:rPr>
              <w:t>net</w:t>
            </w:r>
            <w:r>
              <w:rPr>
                <w:spacing w:val="-9"/>
                <w:w w:val="105"/>
                <w:sz w:val="16"/>
              </w:rPr>
              <w:t> </w:t>
            </w:r>
            <w:r>
              <w:rPr>
                <w:spacing w:val="-2"/>
                <w:w w:val="105"/>
                <w:sz w:val="16"/>
              </w:rPr>
              <w:t>sales</w:t>
            </w:r>
          </w:p>
        </w:tc>
        <w:tc>
          <w:tcPr>
            <w:tcW w:w="766"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508" w:type="dxa"/>
            <w:tcBorders>
              <w:top w:val="single" w:sz="6" w:space="0" w:color="000000"/>
            </w:tcBorders>
            <w:shd w:val="clear" w:color="auto" w:fill="CCEDFF"/>
          </w:tcPr>
          <w:p>
            <w:pPr>
              <w:pStyle w:val="TableParagraph"/>
              <w:spacing w:line="180" w:lineRule="exact" w:before="2"/>
              <w:ind w:left="20"/>
              <w:rPr>
                <w:b/>
                <w:sz w:val="16"/>
              </w:rPr>
            </w:pPr>
            <w:r>
              <w:rPr>
                <w:b/>
                <w:spacing w:val="-4"/>
                <w:w w:val="105"/>
                <w:sz w:val="16"/>
              </w:rPr>
              <w:t>1,243</w:t>
            </w:r>
          </w:p>
        </w:tc>
        <w:tc>
          <w:tcPr>
            <w:tcW w:w="905" w:type="dxa"/>
            <w:tcBorders>
              <w:top w:val="single" w:sz="6" w:space="0" w:color="000000"/>
            </w:tcBorders>
            <w:shd w:val="clear" w:color="auto" w:fill="CCEDFF"/>
          </w:tcPr>
          <w:p>
            <w:pPr>
              <w:pStyle w:val="TableParagraph"/>
              <w:spacing w:line="180" w:lineRule="exact" w:before="2"/>
              <w:ind w:left="114"/>
              <w:rPr>
                <w:sz w:val="16"/>
              </w:rPr>
            </w:pPr>
            <w:r>
              <w:rPr>
                <w:spacing w:val="-10"/>
                <w:w w:val="105"/>
                <w:sz w:val="16"/>
              </w:rPr>
              <w:t>$</w:t>
            </w:r>
          </w:p>
        </w:tc>
        <w:tc>
          <w:tcPr>
            <w:tcW w:w="830" w:type="dxa"/>
            <w:tcBorders>
              <w:top w:val="single" w:sz="6" w:space="0" w:color="000000"/>
            </w:tcBorders>
            <w:shd w:val="clear" w:color="auto" w:fill="CCEDFF"/>
          </w:tcPr>
          <w:p>
            <w:pPr>
              <w:pStyle w:val="TableParagraph"/>
              <w:tabs>
                <w:tab w:pos="477" w:val="left" w:leader="none"/>
              </w:tabs>
              <w:spacing w:line="180" w:lineRule="exact" w:before="2"/>
              <w:ind w:right="159"/>
              <w:jc w:val="right"/>
              <w:rPr>
                <w:sz w:val="16"/>
              </w:rPr>
            </w:pPr>
            <w:r>
              <w:rPr>
                <w:spacing w:val="-5"/>
                <w:w w:val="105"/>
                <w:sz w:val="16"/>
              </w:rPr>
              <w:t>465</w:t>
            </w:r>
            <w:r>
              <w:rPr>
                <w:sz w:val="16"/>
              </w:rPr>
              <w:tab/>
            </w:r>
            <w:r>
              <w:rPr>
                <w:spacing w:val="-10"/>
                <w:w w:val="105"/>
                <w:sz w:val="16"/>
              </w:rPr>
              <w:t>$</w:t>
            </w:r>
          </w:p>
        </w:tc>
        <w:tc>
          <w:tcPr>
            <w:tcW w:w="545" w:type="dxa"/>
            <w:tcBorders>
              <w:top w:val="single" w:sz="6" w:space="0" w:color="000000"/>
            </w:tcBorders>
            <w:shd w:val="clear" w:color="auto" w:fill="CCEDFF"/>
          </w:tcPr>
          <w:p>
            <w:pPr>
              <w:pStyle w:val="TableParagraph"/>
              <w:rPr>
                <w:sz w:val="14"/>
              </w:rPr>
            </w:pPr>
          </w:p>
        </w:tc>
        <w:tc>
          <w:tcPr>
            <w:tcW w:w="470" w:type="dxa"/>
            <w:tcBorders>
              <w:top w:val="single" w:sz="6" w:space="0" w:color="000000"/>
            </w:tcBorders>
            <w:shd w:val="clear" w:color="auto" w:fill="CCEDFF"/>
          </w:tcPr>
          <w:p>
            <w:pPr>
              <w:pStyle w:val="TableParagraph"/>
              <w:spacing w:line="180" w:lineRule="exact" w:before="2"/>
              <w:ind w:left="108"/>
              <w:rPr>
                <w:sz w:val="16"/>
              </w:rPr>
            </w:pPr>
            <w:r>
              <w:rPr>
                <w:spacing w:val="-5"/>
                <w:w w:val="105"/>
                <w:sz w:val="16"/>
              </w:rPr>
              <w:t>230</w:t>
            </w:r>
          </w:p>
        </w:tc>
        <w:tc>
          <w:tcPr>
            <w:tcW w:w="114" w:type="dxa"/>
            <w:tcBorders>
              <w:top w:val="single" w:sz="6" w:space="0" w:color="000000"/>
            </w:tcBorders>
            <w:shd w:val="clear" w:color="auto" w:fill="CCEDFF"/>
          </w:tcPr>
          <w:p>
            <w:pPr>
              <w:pStyle w:val="TableParagraph"/>
              <w:rPr>
                <w:sz w:val="14"/>
              </w:rPr>
            </w:pPr>
          </w:p>
        </w:tc>
        <w:tc>
          <w:tcPr>
            <w:tcW w:w="1031" w:type="dxa"/>
            <w:tcBorders>
              <w:top w:val="single" w:sz="6" w:space="0" w:color="000000"/>
            </w:tcBorders>
            <w:shd w:val="clear" w:color="auto" w:fill="CCEDFF"/>
          </w:tcPr>
          <w:p>
            <w:pPr>
              <w:pStyle w:val="TableParagraph"/>
              <w:spacing w:line="180" w:lineRule="exact" w:before="2"/>
              <w:ind w:left="8" w:right="3"/>
              <w:jc w:val="center"/>
              <w:rPr>
                <w:sz w:val="16"/>
              </w:rPr>
            </w:pPr>
            <w:r>
              <w:rPr>
                <w:spacing w:val="-4"/>
                <w:w w:val="105"/>
                <w:sz w:val="16"/>
              </w:rPr>
              <w:t>167%</w:t>
            </w:r>
          </w:p>
        </w:tc>
        <w:tc>
          <w:tcPr>
            <w:tcW w:w="114" w:type="dxa"/>
            <w:tcBorders>
              <w:top w:val="single" w:sz="6" w:space="0" w:color="000000"/>
            </w:tcBorders>
            <w:shd w:val="clear" w:color="auto" w:fill="CCEDFF"/>
          </w:tcPr>
          <w:p>
            <w:pPr>
              <w:pStyle w:val="TableParagraph"/>
              <w:rPr>
                <w:sz w:val="14"/>
              </w:rPr>
            </w:pPr>
          </w:p>
        </w:tc>
        <w:tc>
          <w:tcPr>
            <w:tcW w:w="1031" w:type="dxa"/>
            <w:tcBorders>
              <w:top w:val="single" w:sz="6" w:space="0" w:color="000000"/>
            </w:tcBorders>
            <w:shd w:val="clear" w:color="auto" w:fill="CCEDFF"/>
          </w:tcPr>
          <w:p>
            <w:pPr>
              <w:pStyle w:val="TableParagraph"/>
              <w:spacing w:line="180" w:lineRule="exact" w:before="2"/>
              <w:ind w:left="8"/>
              <w:jc w:val="center"/>
              <w:rPr>
                <w:sz w:val="16"/>
              </w:rPr>
            </w:pPr>
            <w:r>
              <w:rPr>
                <w:spacing w:val="-4"/>
                <w:w w:val="105"/>
                <w:sz w:val="16"/>
              </w:rPr>
              <w:t>102%</w:t>
            </w:r>
          </w:p>
        </w:tc>
      </w:tr>
      <w:tr>
        <w:trPr>
          <w:trHeight w:val="200" w:hRule="atLeast"/>
        </w:trPr>
        <w:tc>
          <w:tcPr>
            <w:tcW w:w="5197" w:type="dxa"/>
            <w:tcBorders>
              <w:bottom w:val="double" w:sz="6" w:space="0" w:color="000000"/>
            </w:tcBorders>
          </w:tcPr>
          <w:p>
            <w:pPr>
              <w:pStyle w:val="TableParagraph"/>
              <w:spacing w:line="177" w:lineRule="exact" w:before="3"/>
              <w:rPr>
                <w:sz w:val="16"/>
              </w:rPr>
            </w:pPr>
            <w:r>
              <w:rPr>
                <w:w w:val="105"/>
                <w:sz w:val="16"/>
              </w:rPr>
              <w:t>Segment</w:t>
            </w:r>
            <w:r>
              <w:rPr>
                <w:spacing w:val="-9"/>
                <w:w w:val="105"/>
                <w:sz w:val="16"/>
              </w:rPr>
              <w:t> </w:t>
            </w:r>
            <w:r>
              <w:rPr>
                <w:w w:val="105"/>
                <w:sz w:val="16"/>
              </w:rPr>
              <w:t>net</w:t>
            </w:r>
            <w:r>
              <w:rPr>
                <w:spacing w:val="-9"/>
                <w:w w:val="105"/>
                <w:sz w:val="16"/>
              </w:rPr>
              <w:t> </w:t>
            </w:r>
            <w:r>
              <w:rPr>
                <w:spacing w:val="-4"/>
                <w:w w:val="105"/>
                <w:sz w:val="16"/>
              </w:rPr>
              <w:t>loss</w:t>
            </w:r>
          </w:p>
        </w:tc>
        <w:tc>
          <w:tcPr>
            <w:tcW w:w="766" w:type="dxa"/>
            <w:tcBorders>
              <w:bottom w:val="double" w:sz="6" w:space="0" w:color="000000"/>
            </w:tcBorders>
          </w:tcPr>
          <w:p>
            <w:pPr>
              <w:pStyle w:val="TableParagraph"/>
              <w:spacing w:line="177" w:lineRule="exact" w:before="3"/>
              <w:rPr>
                <w:b/>
                <w:sz w:val="16"/>
              </w:rPr>
            </w:pPr>
            <w:r>
              <w:rPr>
                <w:b/>
                <w:spacing w:val="-10"/>
                <w:w w:val="105"/>
                <w:sz w:val="16"/>
              </w:rPr>
              <w:t>$</w:t>
            </w:r>
          </w:p>
        </w:tc>
        <w:tc>
          <w:tcPr>
            <w:tcW w:w="1413" w:type="dxa"/>
            <w:gridSpan w:val="2"/>
            <w:tcBorders>
              <w:bottom w:val="double" w:sz="6" w:space="0" w:color="000000"/>
            </w:tcBorders>
          </w:tcPr>
          <w:p>
            <w:pPr>
              <w:pStyle w:val="TableParagraph"/>
              <w:spacing w:line="177" w:lineRule="exact" w:before="3"/>
              <w:ind w:left="172"/>
              <w:rPr>
                <w:sz w:val="16"/>
              </w:rPr>
            </w:pPr>
            <w:r>
              <w:rPr>
                <w:b/>
                <w:w w:val="105"/>
                <w:sz w:val="16"/>
              </w:rPr>
              <w:t>(51)</w:t>
            </w:r>
            <w:r>
              <w:rPr>
                <w:b/>
                <w:spacing w:val="42"/>
                <w:w w:val="105"/>
                <w:sz w:val="16"/>
              </w:rPr>
              <w:t>  </w:t>
            </w:r>
            <w:r>
              <w:rPr>
                <w:spacing w:val="-10"/>
                <w:w w:val="105"/>
                <w:sz w:val="16"/>
              </w:rPr>
              <w:t>$</w:t>
            </w:r>
          </w:p>
        </w:tc>
        <w:tc>
          <w:tcPr>
            <w:tcW w:w="830" w:type="dxa"/>
            <w:tcBorders>
              <w:bottom w:val="double" w:sz="6" w:space="0" w:color="000000"/>
            </w:tcBorders>
          </w:tcPr>
          <w:p>
            <w:pPr>
              <w:pStyle w:val="TableParagraph"/>
              <w:spacing w:line="177" w:lineRule="exact" w:before="3"/>
              <w:ind w:right="159"/>
              <w:jc w:val="right"/>
              <w:rPr>
                <w:sz w:val="16"/>
              </w:rPr>
            </w:pPr>
            <w:r>
              <w:rPr>
                <w:w w:val="105"/>
                <w:sz w:val="16"/>
              </w:rPr>
              <w:t>(214)</w:t>
            </w:r>
            <w:r>
              <w:rPr>
                <w:spacing w:val="41"/>
                <w:w w:val="105"/>
                <w:sz w:val="16"/>
              </w:rPr>
              <w:t>  </w:t>
            </w:r>
            <w:r>
              <w:rPr>
                <w:spacing w:val="-10"/>
                <w:w w:val="105"/>
                <w:sz w:val="16"/>
              </w:rPr>
              <w:t>$</w:t>
            </w:r>
          </w:p>
        </w:tc>
        <w:tc>
          <w:tcPr>
            <w:tcW w:w="1015" w:type="dxa"/>
            <w:gridSpan w:val="2"/>
            <w:tcBorders>
              <w:bottom w:val="double" w:sz="6" w:space="0" w:color="000000"/>
            </w:tcBorders>
          </w:tcPr>
          <w:p>
            <w:pPr>
              <w:pStyle w:val="TableParagraph"/>
              <w:spacing w:line="177" w:lineRule="exact" w:before="3"/>
              <w:ind w:left="598"/>
              <w:rPr>
                <w:sz w:val="16"/>
              </w:rPr>
            </w:pPr>
            <w:r>
              <w:rPr>
                <w:spacing w:val="-2"/>
                <w:w w:val="105"/>
                <w:sz w:val="16"/>
              </w:rPr>
              <w:t>(289)</w:t>
            </w:r>
          </w:p>
        </w:tc>
        <w:tc>
          <w:tcPr>
            <w:tcW w:w="1145" w:type="dxa"/>
            <w:gridSpan w:val="2"/>
            <w:tcBorders>
              <w:bottom w:val="double" w:sz="6" w:space="0" w:color="000000"/>
            </w:tcBorders>
          </w:tcPr>
          <w:p>
            <w:pPr>
              <w:pStyle w:val="TableParagraph"/>
              <w:spacing w:line="177" w:lineRule="exact" w:before="3"/>
              <w:ind w:left="480"/>
              <w:rPr>
                <w:sz w:val="16"/>
              </w:rPr>
            </w:pPr>
            <w:r>
              <w:rPr>
                <w:spacing w:val="-5"/>
                <w:w w:val="105"/>
                <w:sz w:val="16"/>
              </w:rPr>
              <w:t>76%</w:t>
            </w:r>
          </w:p>
        </w:tc>
        <w:tc>
          <w:tcPr>
            <w:tcW w:w="1145" w:type="dxa"/>
            <w:gridSpan w:val="2"/>
            <w:tcBorders>
              <w:bottom w:val="double" w:sz="6" w:space="0" w:color="000000"/>
            </w:tcBorders>
          </w:tcPr>
          <w:p>
            <w:pPr>
              <w:pStyle w:val="TableParagraph"/>
              <w:spacing w:line="177" w:lineRule="exact" w:before="3"/>
              <w:ind w:left="481"/>
              <w:rPr>
                <w:sz w:val="16"/>
              </w:rPr>
            </w:pPr>
            <w:r>
              <w:rPr>
                <w:spacing w:val="-5"/>
                <w:w w:val="105"/>
                <w:sz w:val="16"/>
              </w:rPr>
              <w:t>26%</w:t>
            </w:r>
          </w:p>
        </w:tc>
      </w:tr>
    </w:tbl>
    <w:p>
      <w:pPr>
        <w:pStyle w:val="BodyText"/>
        <w:spacing w:before="14"/>
      </w:pPr>
    </w:p>
    <w:p>
      <w:pPr>
        <w:pStyle w:val="BodyText"/>
        <w:spacing w:line="266" w:lineRule="auto"/>
        <w:ind w:left="156" w:right="328"/>
      </w:pPr>
      <w:r>
        <w:rPr>
          <w:w w:val="105"/>
        </w:rPr>
        <w:t>Net</w:t>
      </w:r>
      <w:r>
        <w:rPr>
          <w:spacing w:val="-7"/>
          <w:w w:val="105"/>
        </w:rPr>
        <w:t> </w:t>
      </w:r>
      <w:r>
        <w:rPr>
          <w:w w:val="105"/>
        </w:rPr>
        <w:t>sales</w:t>
      </w:r>
      <w:r>
        <w:rPr>
          <w:spacing w:val="-7"/>
          <w:w w:val="105"/>
        </w:rPr>
        <w:t> </w:t>
      </w:r>
      <w:r>
        <w:rPr>
          <w:w w:val="105"/>
        </w:rPr>
        <w:t>of</w:t>
      </w:r>
      <w:r>
        <w:rPr>
          <w:spacing w:val="-7"/>
          <w:w w:val="105"/>
        </w:rPr>
        <w:t> </w:t>
      </w:r>
      <w:r>
        <w:rPr>
          <w:w w:val="105"/>
        </w:rPr>
        <w:t>this</w:t>
      </w:r>
      <w:r>
        <w:rPr>
          <w:spacing w:val="-7"/>
          <w:w w:val="105"/>
        </w:rPr>
        <w:t> </w:t>
      </w:r>
      <w:r>
        <w:rPr>
          <w:w w:val="105"/>
        </w:rPr>
        <w:t>segment</w:t>
      </w:r>
      <w:r>
        <w:rPr>
          <w:spacing w:val="-7"/>
          <w:w w:val="105"/>
        </w:rPr>
        <w:t> </w:t>
      </w:r>
      <w:r>
        <w:rPr>
          <w:w w:val="105"/>
        </w:rPr>
        <w:t>increased</w:t>
      </w:r>
      <w:r>
        <w:rPr>
          <w:spacing w:val="-7"/>
          <w:w w:val="105"/>
        </w:rPr>
        <w:t> </w:t>
      </w:r>
      <w:r>
        <w:rPr>
          <w:w w:val="105"/>
        </w:rPr>
        <w:t>by</w:t>
      </w:r>
      <w:r>
        <w:rPr>
          <w:spacing w:val="-7"/>
          <w:w w:val="105"/>
        </w:rPr>
        <w:t> </w:t>
      </w:r>
      <w:r>
        <w:rPr>
          <w:w w:val="105"/>
        </w:rPr>
        <w:t>$778</w:t>
      </w:r>
      <w:r>
        <w:rPr>
          <w:spacing w:val="-7"/>
          <w:w w:val="105"/>
        </w:rPr>
        <w:t> </w:t>
      </w:r>
      <w:r>
        <w:rPr>
          <w:w w:val="105"/>
        </w:rPr>
        <w:t>million,</w:t>
      </w:r>
      <w:r>
        <w:rPr>
          <w:spacing w:val="-7"/>
          <w:w w:val="105"/>
        </w:rPr>
        <w:t> </w:t>
      </w:r>
      <w:r>
        <w:rPr>
          <w:w w:val="105"/>
        </w:rPr>
        <w:t>or</w:t>
      </w:r>
      <w:r>
        <w:rPr>
          <w:spacing w:val="-7"/>
          <w:w w:val="105"/>
        </w:rPr>
        <w:t> </w:t>
      </w:r>
      <w:r>
        <w:rPr>
          <w:w w:val="105"/>
        </w:rPr>
        <w:t>167%,</w:t>
      </w:r>
      <w:r>
        <w:rPr>
          <w:spacing w:val="-7"/>
          <w:w w:val="105"/>
        </w:rPr>
        <w:t> </w:t>
      </w:r>
      <w:r>
        <w:rPr>
          <w:w w:val="105"/>
        </w:rPr>
        <w:t>in</w:t>
      </w:r>
      <w:r>
        <w:rPr>
          <w:spacing w:val="-5"/>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7"/>
          <w:w w:val="105"/>
        </w:rPr>
        <w:t> </w:t>
      </w:r>
      <w:r>
        <w:rPr>
          <w:w w:val="105"/>
        </w:rPr>
        <w:t>when</w:t>
      </w:r>
      <w:r>
        <w:rPr>
          <w:spacing w:val="-7"/>
          <w:w w:val="105"/>
        </w:rPr>
        <w:t> </w:t>
      </w:r>
      <w:r>
        <w:rPr>
          <w:w w:val="105"/>
        </w:rPr>
        <w:t>compared</w:t>
      </w:r>
      <w:r>
        <w:rPr>
          <w:spacing w:val="-7"/>
          <w:w w:val="105"/>
        </w:rPr>
        <w:t> </w:t>
      </w:r>
      <w:r>
        <w:rPr>
          <w:w w:val="105"/>
        </w:rPr>
        <w:t>to</w:t>
      </w:r>
      <w:r>
        <w:rPr>
          <w:spacing w:val="-7"/>
          <w:w w:val="105"/>
        </w:rPr>
        <w:t> </w:t>
      </w:r>
      <w:r>
        <w:rPr>
          <w:w w:val="105"/>
        </w:rPr>
        <w:t>the</w:t>
      </w:r>
      <w:r>
        <w:rPr>
          <w:spacing w:val="-7"/>
          <w:w w:val="105"/>
        </w:rPr>
        <w:t> </w:t>
      </w:r>
      <w:r>
        <w:rPr>
          <w:w w:val="105"/>
        </w:rPr>
        <w:t>same</w:t>
      </w:r>
      <w:r>
        <w:rPr>
          <w:spacing w:val="-7"/>
          <w:w w:val="105"/>
        </w:rPr>
        <w:t> </w:t>
      </w:r>
      <w:r>
        <w:rPr>
          <w:w w:val="105"/>
        </w:rPr>
        <w:t>period</w:t>
      </w:r>
      <w:r>
        <w:rPr>
          <w:spacing w:val="-5"/>
          <w:w w:val="105"/>
        </w:rPr>
        <w:t> </w:t>
      </w:r>
      <w:r>
        <w:rPr>
          <w:w w:val="105"/>
        </w:rPr>
        <w:t>in</w:t>
      </w:r>
      <w:r>
        <w:rPr>
          <w:spacing w:val="-7"/>
          <w:w w:val="105"/>
        </w:rPr>
        <w:t> </w:t>
      </w:r>
      <w:r>
        <w:rPr>
          <w:w w:val="105"/>
        </w:rPr>
        <w:t>2020,</w:t>
      </w:r>
      <w:r>
        <w:rPr>
          <w:spacing w:val="-7"/>
          <w:w w:val="105"/>
        </w:rPr>
        <w:t> </w:t>
      </w:r>
      <w:r>
        <w:rPr>
          <w:w w:val="105"/>
        </w:rPr>
        <w:t>driven</w:t>
      </w:r>
      <w:r>
        <w:rPr>
          <w:spacing w:val="-7"/>
          <w:w w:val="105"/>
        </w:rPr>
        <w:t> </w:t>
      </w:r>
      <w:r>
        <w:rPr>
          <w:w w:val="105"/>
        </w:rPr>
        <w:t>primarily</w:t>
      </w:r>
      <w:r>
        <w:rPr>
          <w:spacing w:val="-7"/>
          <w:w w:val="105"/>
        </w:rPr>
        <w:t> </w:t>
      </w:r>
      <w:r>
        <w:rPr>
          <w:w w:val="105"/>
        </w:rPr>
        <w:t>by</w:t>
      </w:r>
      <w:r>
        <w:rPr>
          <w:spacing w:val="-7"/>
          <w:w w:val="105"/>
        </w:rPr>
        <w:t> </w:t>
      </w:r>
      <w:r>
        <w:rPr>
          <w:w w:val="105"/>
        </w:rPr>
        <w:t>full- year consolidation of HSG.</w:t>
      </w:r>
    </w:p>
    <w:p>
      <w:pPr>
        <w:pStyle w:val="BodyText"/>
        <w:spacing w:before="19"/>
      </w:pPr>
    </w:p>
    <w:p>
      <w:pPr>
        <w:pStyle w:val="BodyText"/>
        <w:ind w:left="156"/>
      </w:pPr>
      <w:r>
        <w:rPr>
          <w:w w:val="105"/>
        </w:rPr>
        <w:t>The</w:t>
      </w:r>
      <w:r>
        <w:rPr>
          <w:spacing w:val="-8"/>
          <w:w w:val="105"/>
        </w:rPr>
        <w:t> </w:t>
      </w:r>
      <w:r>
        <w:rPr>
          <w:w w:val="105"/>
        </w:rPr>
        <w:t>decrease</w:t>
      </w:r>
      <w:r>
        <w:rPr>
          <w:spacing w:val="-8"/>
          <w:w w:val="105"/>
        </w:rPr>
        <w:t> </w:t>
      </w:r>
      <w:r>
        <w:rPr>
          <w:w w:val="105"/>
        </w:rPr>
        <w:t>in</w:t>
      </w:r>
      <w:r>
        <w:rPr>
          <w:spacing w:val="-8"/>
          <w:w w:val="105"/>
        </w:rPr>
        <w:t> </w:t>
      </w:r>
      <w:r>
        <w:rPr>
          <w:w w:val="105"/>
        </w:rPr>
        <w:t>the</w:t>
      </w:r>
      <w:r>
        <w:rPr>
          <w:spacing w:val="-8"/>
          <w:w w:val="105"/>
        </w:rPr>
        <w:t> </w:t>
      </w:r>
      <w:r>
        <w:rPr>
          <w:w w:val="105"/>
        </w:rPr>
        <w:t>net</w:t>
      </w:r>
      <w:r>
        <w:rPr>
          <w:spacing w:val="-6"/>
          <w:w w:val="105"/>
        </w:rPr>
        <w:t> </w:t>
      </w:r>
      <w:r>
        <w:rPr>
          <w:w w:val="105"/>
        </w:rPr>
        <w:t>loss</w:t>
      </w:r>
      <w:r>
        <w:rPr>
          <w:spacing w:val="-8"/>
          <w:w w:val="105"/>
        </w:rPr>
        <w:t> </w:t>
      </w:r>
      <w:r>
        <w:rPr>
          <w:w w:val="105"/>
        </w:rPr>
        <w:t>of</w:t>
      </w:r>
      <w:r>
        <w:rPr>
          <w:spacing w:val="-8"/>
          <w:w w:val="105"/>
        </w:rPr>
        <w:t> </w:t>
      </w:r>
      <w:r>
        <w:rPr>
          <w:w w:val="105"/>
        </w:rPr>
        <w:t>$163</w:t>
      </w:r>
      <w:r>
        <w:rPr>
          <w:spacing w:val="-8"/>
          <w:w w:val="105"/>
        </w:rPr>
        <w:t> </w:t>
      </w:r>
      <w:r>
        <w:rPr>
          <w:w w:val="105"/>
        </w:rPr>
        <w:t>million</w:t>
      </w:r>
      <w:r>
        <w:rPr>
          <w:spacing w:val="-7"/>
          <w:w w:val="105"/>
        </w:rPr>
        <w:t> </w:t>
      </w:r>
      <w:r>
        <w:rPr>
          <w:w w:val="105"/>
        </w:rPr>
        <w:t>is</w:t>
      </w:r>
      <w:r>
        <w:rPr>
          <w:spacing w:val="-8"/>
          <w:w w:val="105"/>
        </w:rPr>
        <w:t> </w:t>
      </w:r>
      <w:r>
        <w:rPr>
          <w:w w:val="105"/>
        </w:rPr>
        <w:t>primarily</w:t>
      </w:r>
      <w:r>
        <w:rPr>
          <w:spacing w:val="-8"/>
          <w:w w:val="105"/>
        </w:rPr>
        <w:t> </w:t>
      </w:r>
      <w:r>
        <w:rPr>
          <w:w w:val="105"/>
        </w:rPr>
        <w:t>driven</w:t>
      </w:r>
      <w:r>
        <w:rPr>
          <w:spacing w:val="-8"/>
          <w:w w:val="105"/>
        </w:rPr>
        <w:t> </w:t>
      </w:r>
      <w:r>
        <w:rPr>
          <w:w w:val="105"/>
        </w:rPr>
        <w:t>by</w:t>
      </w:r>
      <w:r>
        <w:rPr>
          <w:spacing w:val="-8"/>
          <w:w w:val="105"/>
        </w:rPr>
        <w:t> </w:t>
      </w:r>
      <w:r>
        <w:rPr>
          <w:w w:val="105"/>
        </w:rPr>
        <w:t>the</w:t>
      </w:r>
      <w:r>
        <w:rPr>
          <w:spacing w:val="-8"/>
          <w:w w:val="105"/>
        </w:rPr>
        <w:t> </w:t>
      </w:r>
      <w:r>
        <w:rPr>
          <w:w w:val="105"/>
        </w:rPr>
        <w:t>increases</w:t>
      </w:r>
      <w:r>
        <w:rPr>
          <w:spacing w:val="-6"/>
          <w:w w:val="105"/>
        </w:rPr>
        <w:t> </w:t>
      </w:r>
      <w:r>
        <w:rPr>
          <w:w w:val="105"/>
        </w:rPr>
        <w:t>in</w:t>
      </w:r>
      <w:r>
        <w:rPr>
          <w:spacing w:val="-8"/>
          <w:w w:val="105"/>
        </w:rPr>
        <w:t> </w:t>
      </w:r>
      <w:r>
        <w:rPr>
          <w:w w:val="105"/>
        </w:rPr>
        <w:t>sales</w:t>
      </w:r>
      <w:r>
        <w:rPr>
          <w:spacing w:val="-7"/>
          <w:w w:val="105"/>
        </w:rPr>
        <w:t> </w:t>
      </w:r>
      <w:r>
        <w:rPr>
          <w:w w:val="105"/>
        </w:rPr>
        <w:t>outlined</w:t>
      </w:r>
      <w:r>
        <w:rPr>
          <w:spacing w:val="-8"/>
          <w:w w:val="105"/>
        </w:rPr>
        <w:t> </w:t>
      </w:r>
      <w:r>
        <w:rPr>
          <w:spacing w:val="-2"/>
          <w:w w:val="105"/>
        </w:rPr>
        <w:t>above.</w:t>
      </w:r>
    </w:p>
    <w:p>
      <w:pPr>
        <w:pStyle w:val="BodyText"/>
      </w:pPr>
    </w:p>
    <w:p>
      <w:pPr>
        <w:pStyle w:val="BodyText"/>
        <w:spacing w:before="59"/>
      </w:pPr>
    </w:p>
    <w:p>
      <w:pPr>
        <w:pStyle w:val="Heading1"/>
      </w:pPr>
      <w:r>
        <w:rPr/>
        <w:t>LIQUIDITY</w:t>
      </w:r>
      <w:r>
        <w:rPr>
          <w:spacing w:val="15"/>
        </w:rPr>
        <w:t> </w:t>
      </w:r>
      <w:r>
        <w:rPr/>
        <w:t>AND</w:t>
      </w:r>
      <w:r>
        <w:rPr>
          <w:spacing w:val="15"/>
        </w:rPr>
        <w:t> </w:t>
      </w:r>
      <w:r>
        <w:rPr/>
        <w:t>CAPITAL</w:t>
      </w:r>
      <w:r>
        <w:rPr>
          <w:spacing w:val="15"/>
        </w:rPr>
        <w:t> </w:t>
      </w:r>
      <w:r>
        <w:rPr>
          <w:spacing w:val="-2"/>
        </w:rPr>
        <w:t>RESOURCES</w:t>
      </w:r>
    </w:p>
    <w:p>
      <w:pPr>
        <w:pStyle w:val="BodyText"/>
        <w:spacing w:before="40"/>
        <w:rPr>
          <w:b/>
        </w:rPr>
      </w:pPr>
    </w:p>
    <w:p>
      <w:pPr>
        <w:pStyle w:val="Heading3"/>
      </w:pPr>
      <w:r>
        <w:rPr>
          <w:w w:val="105"/>
        </w:rPr>
        <w:t>Financing</w:t>
      </w:r>
      <w:r>
        <w:rPr>
          <w:spacing w:val="-11"/>
          <w:w w:val="105"/>
        </w:rPr>
        <w:t> </w:t>
      </w:r>
      <w:r>
        <w:rPr>
          <w:w w:val="105"/>
        </w:rPr>
        <w:t>and</w:t>
      </w:r>
      <w:r>
        <w:rPr>
          <w:spacing w:val="-10"/>
          <w:w w:val="105"/>
        </w:rPr>
        <w:t> </w:t>
      </w:r>
      <w:r>
        <w:rPr>
          <w:w w:val="105"/>
        </w:rPr>
        <w:t>Capital</w:t>
      </w:r>
      <w:r>
        <w:rPr>
          <w:spacing w:val="-11"/>
          <w:w w:val="105"/>
        </w:rPr>
        <w:t> </w:t>
      </w:r>
      <w:r>
        <w:rPr>
          <w:spacing w:val="-2"/>
          <w:w w:val="105"/>
        </w:rPr>
        <w:t>Structure</w:t>
      </w:r>
    </w:p>
    <w:p>
      <w:pPr>
        <w:pStyle w:val="BodyText"/>
        <w:spacing w:before="39"/>
        <w:rPr>
          <w:b/>
          <w:i/>
        </w:rPr>
      </w:pPr>
    </w:p>
    <w:p>
      <w:pPr>
        <w:pStyle w:val="BodyText"/>
        <w:spacing w:before="1"/>
        <w:ind w:left="156"/>
      </w:pPr>
      <w:r>
        <w:rPr>
          <w:spacing w:val="-2"/>
          <w:w w:val="105"/>
        </w:rPr>
        <w:t>The</w:t>
      </w:r>
      <w:r>
        <w:rPr>
          <w:spacing w:val="1"/>
          <w:w w:val="105"/>
        </w:rPr>
        <w:t> </w:t>
      </w:r>
      <w:r>
        <w:rPr>
          <w:spacing w:val="-2"/>
          <w:w w:val="105"/>
        </w:rPr>
        <w:t>following</w:t>
      </w:r>
      <w:r>
        <w:rPr>
          <w:spacing w:val="1"/>
          <w:w w:val="105"/>
        </w:rPr>
        <w:t> </w:t>
      </w:r>
      <w:r>
        <w:rPr>
          <w:spacing w:val="-2"/>
          <w:w w:val="105"/>
        </w:rPr>
        <w:t>items</w:t>
      </w:r>
      <w:r>
        <w:rPr>
          <w:spacing w:val="1"/>
          <w:w w:val="105"/>
        </w:rPr>
        <w:t> </w:t>
      </w:r>
      <w:r>
        <w:rPr>
          <w:spacing w:val="-2"/>
          <w:w w:val="105"/>
        </w:rPr>
        <w:t>discuss</w:t>
      </w:r>
      <w:r>
        <w:rPr>
          <w:spacing w:val="1"/>
          <w:w w:val="105"/>
        </w:rPr>
        <w:t> </w:t>
      </w:r>
      <w:r>
        <w:rPr>
          <w:spacing w:val="-2"/>
          <w:w w:val="105"/>
        </w:rPr>
        <w:t>Corning’s</w:t>
      </w:r>
      <w:r>
        <w:rPr>
          <w:spacing w:val="3"/>
          <w:w w:val="105"/>
        </w:rPr>
        <w:t> </w:t>
      </w:r>
      <w:r>
        <w:rPr>
          <w:spacing w:val="-2"/>
          <w:w w:val="105"/>
        </w:rPr>
        <w:t>financing</w:t>
      </w:r>
      <w:r>
        <w:rPr>
          <w:spacing w:val="1"/>
          <w:w w:val="105"/>
        </w:rPr>
        <w:t> </w:t>
      </w:r>
      <w:r>
        <w:rPr>
          <w:spacing w:val="-2"/>
          <w:w w:val="105"/>
        </w:rPr>
        <w:t>and</w:t>
      </w:r>
      <w:r>
        <w:rPr>
          <w:spacing w:val="1"/>
          <w:w w:val="105"/>
        </w:rPr>
        <w:t> </w:t>
      </w:r>
      <w:r>
        <w:rPr>
          <w:spacing w:val="-2"/>
          <w:w w:val="105"/>
        </w:rPr>
        <w:t>changes</w:t>
      </w:r>
      <w:r>
        <w:rPr>
          <w:spacing w:val="1"/>
          <w:w w:val="105"/>
        </w:rPr>
        <w:t> </w:t>
      </w:r>
      <w:r>
        <w:rPr>
          <w:spacing w:val="-2"/>
          <w:w w:val="105"/>
        </w:rPr>
        <w:t>in</w:t>
      </w:r>
      <w:r>
        <w:rPr>
          <w:spacing w:val="1"/>
          <w:w w:val="105"/>
        </w:rPr>
        <w:t> </w:t>
      </w:r>
      <w:r>
        <w:rPr>
          <w:spacing w:val="-2"/>
          <w:w w:val="105"/>
        </w:rPr>
        <w:t>capital</w:t>
      </w:r>
      <w:r>
        <w:rPr>
          <w:spacing w:val="1"/>
          <w:w w:val="105"/>
        </w:rPr>
        <w:t> </w:t>
      </w:r>
      <w:r>
        <w:rPr>
          <w:spacing w:val="-2"/>
          <w:w w:val="105"/>
        </w:rPr>
        <w:t>structure</w:t>
      </w:r>
      <w:r>
        <w:rPr>
          <w:spacing w:val="1"/>
          <w:w w:val="105"/>
        </w:rPr>
        <w:t> </w:t>
      </w:r>
      <w:r>
        <w:rPr>
          <w:spacing w:val="-2"/>
          <w:w w:val="105"/>
        </w:rPr>
        <w:t>during</w:t>
      </w:r>
      <w:r>
        <w:rPr>
          <w:spacing w:val="1"/>
          <w:w w:val="105"/>
        </w:rPr>
        <w:t> </w:t>
      </w:r>
      <w:r>
        <w:rPr>
          <w:spacing w:val="-2"/>
          <w:w w:val="105"/>
        </w:rPr>
        <w:t>2021</w:t>
      </w:r>
      <w:r>
        <w:rPr>
          <w:spacing w:val="1"/>
          <w:w w:val="105"/>
        </w:rPr>
        <w:t> </w:t>
      </w:r>
      <w:r>
        <w:rPr>
          <w:spacing w:val="-2"/>
          <w:w w:val="105"/>
        </w:rPr>
        <w:t>and</w:t>
      </w:r>
      <w:r>
        <w:rPr>
          <w:spacing w:val="2"/>
          <w:w w:val="105"/>
        </w:rPr>
        <w:t> </w:t>
      </w:r>
      <w:r>
        <w:rPr>
          <w:spacing w:val="-2"/>
          <w:w w:val="105"/>
        </w:rPr>
        <w:t>2020:</w:t>
      </w:r>
    </w:p>
    <w:p>
      <w:pPr>
        <w:pStyle w:val="BodyText"/>
        <w:spacing w:before="39"/>
      </w:pPr>
    </w:p>
    <w:p>
      <w:pPr>
        <w:spacing w:before="0"/>
        <w:ind w:left="156" w:right="0" w:firstLine="0"/>
        <w:jc w:val="left"/>
        <w:rPr>
          <w:b/>
          <w:sz w:val="16"/>
        </w:rPr>
      </w:pPr>
      <w:r>
        <w:rPr>
          <w:b/>
          <w:spacing w:val="-4"/>
          <w:w w:val="105"/>
          <w:sz w:val="16"/>
          <w:u w:val="single"/>
        </w:rPr>
        <w:t>2021</w:t>
      </w:r>
    </w:p>
    <w:p>
      <w:pPr>
        <w:pStyle w:val="BodyText"/>
        <w:spacing w:line="266" w:lineRule="auto" w:before="20"/>
        <w:ind w:left="156" w:right="328"/>
      </w:pPr>
      <w:r>
        <w:rPr>
          <w:w w:val="105"/>
        </w:rPr>
        <w:t>In</w:t>
      </w:r>
      <w:r>
        <w:rPr>
          <w:spacing w:val="-7"/>
          <w:w w:val="105"/>
        </w:rPr>
        <w:t> </w:t>
      </w:r>
      <w:r>
        <w:rPr>
          <w:w w:val="105"/>
        </w:rPr>
        <w:t>the</w:t>
      </w:r>
      <w:r>
        <w:rPr>
          <w:spacing w:val="-7"/>
          <w:w w:val="105"/>
        </w:rPr>
        <w:t> </w:t>
      </w:r>
      <w:r>
        <w:rPr>
          <w:w w:val="105"/>
        </w:rPr>
        <w:t>third</w:t>
      </w:r>
      <w:r>
        <w:rPr>
          <w:spacing w:val="-7"/>
          <w:w w:val="105"/>
        </w:rPr>
        <w:t> </w:t>
      </w:r>
      <w:r>
        <w:rPr>
          <w:w w:val="105"/>
        </w:rPr>
        <w:t>quarter</w:t>
      </w:r>
      <w:r>
        <w:rPr>
          <w:spacing w:val="-7"/>
          <w:w w:val="105"/>
        </w:rPr>
        <w:t> </w:t>
      </w:r>
      <w:r>
        <w:rPr>
          <w:w w:val="105"/>
        </w:rPr>
        <w:t>of</w:t>
      </w:r>
      <w:r>
        <w:rPr>
          <w:spacing w:val="-7"/>
          <w:w w:val="105"/>
        </w:rPr>
        <w:t> </w:t>
      </w:r>
      <w:r>
        <w:rPr>
          <w:w w:val="105"/>
        </w:rPr>
        <w:t>2021,</w:t>
      </w:r>
      <w:r>
        <w:rPr>
          <w:spacing w:val="-7"/>
          <w:w w:val="105"/>
        </w:rPr>
        <w:t> </w:t>
      </w:r>
      <w:r>
        <w:rPr>
          <w:w w:val="105"/>
        </w:rPr>
        <w:t>Corning</w:t>
      </w:r>
      <w:r>
        <w:rPr>
          <w:spacing w:val="-7"/>
          <w:w w:val="105"/>
        </w:rPr>
        <w:t> </w:t>
      </w:r>
      <w:r>
        <w:rPr>
          <w:w w:val="105"/>
        </w:rPr>
        <w:t>redeemed</w:t>
      </w:r>
      <w:r>
        <w:rPr>
          <w:spacing w:val="-7"/>
          <w:w w:val="105"/>
        </w:rPr>
        <w:t> </w:t>
      </w:r>
      <w:r>
        <w:rPr>
          <w:w w:val="105"/>
        </w:rPr>
        <w:t>$250</w:t>
      </w:r>
      <w:r>
        <w:rPr>
          <w:spacing w:val="-7"/>
          <w:w w:val="105"/>
        </w:rPr>
        <w:t> </w:t>
      </w:r>
      <w:r>
        <w:rPr>
          <w:w w:val="105"/>
        </w:rPr>
        <w:t>million</w:t>
      </w:r>
      <w:r>
        <w:rPr>
          <w:spacing w:val="-7"/>
          <w:w w:val="105"/>
        </w:rPr>
        <w:t> </w:t>
      </w:r>
      <w:r>
        <w:rPr>
          <w:w w:val="105"/>
        </w:rPr>
        <w:t>of</w:t>
      </w:r>
      <w:r>
        <w:rPr>
          <w:spacing w:val="-7"/>
          <w:w w:val="105"/>
        </w:rPr>
        <w:t> </w:t>
      </w:r>
      <w:r>
        <w:rPr>
          <w:w w:val="105"/>
        </w:rPr>
        <w:t>3.7%</w:t>
      </w:r>
      <w:r>
        <w:rPr>
          <w:spacing w:val="-7"/>
          <w:w w:val="105"/>
        </w:rPr>
        <w:t> </w:t>
      </w:r>
      <w:r>
        <w:rPr>
          <w:w w:val="105"/>
        </w:rPr>
        <w:t>debentures</w:t>
      </w:r>
      <w:r>
        <w:rPr>
          <w:spacing w:val="-7"/>
          <w:w w:val="105"/>
        </w:rPr>
        <w:t> </w:t>
      </w:r>
      <w:r>
        <w:rPr>
          <w:w w:val="105"/>
        </w:rPr>
        <w:t>due</w:t>
      </w:r>
      <w:r>
        <w:rPr>
          <w:spacing w:val="-7"/>
          <w:w w:val="105"/>
        </w:rPr>
        <w:t> </w:t>
      </w:r>
      <w:r>
        <w:rPr>
          <w:w w:val="105"/>
        </w:rPr>
        <w:t>in</w:t>
      </w:r>
      <w:r>
        <w:rPr>
          <w:spacing w:val="-7"/>
          <w:w w:val="105"/>
        </w:rPr>
        <w:t> </w:t>
      </w:r>
      <w:r>
        <w:rPr>
          <w:w w:val="105"/>
        </w:rPr>
        <w:t>2023,</w:t>
      </w:r>
      <w:r>
        <w:rPr>
          <w:spacing w:val="-7"/>
          <w:w w:val="105"/>
        </w:rPr>
        <w:t> </w:t>
      </w:r>
      <w:r>
        <w:rPr>
          <w:w w:val="105"/>
        </w:rPr>
        <w:t>paying</w:t>
      </w:r>
      <w:r>
        <w:rPr>
          <w:spacing w:val="-7"/>
          <w:w w:val="105"/>
        </w:rPr>
        <w:t> </w:t>
      </w:r>
      <w:r>
        <w:rPr>
          <w:w w:val="105"/>
        </w:rPr>
        <w:t>a</w:t>
      </w:r>
      <w:r>
        <w:rPr>
          <w:spacing w:val="-7"/>
          <w:w w:val="105"/>
        </w:rPr>
        <w:t> </w:t>
      </w:r>
      <w:r>
        <w:rPr>
          <w:w w:val="105"/>
        </w:rPr>
        <w:t>premium</w:t>
      </w:r>
      <w:r>
        <w:rPr>
          <w:spacing w:val="-7"/>
          <w:w w:val="105"/>
        </w:rPr>
        <w:t> </w:t>
      </w:r>
      <w:r>
        <w:rPr>
          <w:w w:val="105"/>
        </w:rPr>
        <w:t>of</w:t>
      </w:r>
      <w:r>
        <w:rPr>
          <w:spacing w:val="-7"/>
          <w:w w:val="105"/>
        </w:rPr>
        <w:t> </w:t>
      </w:r>
      <w:r>
        <w:rPr>
          <w:w w:val="105"/>
        </w:rPr>
        <w:t>$19</w:t>
      </w:r>
      <w:r>
        <w:rPr>
          <w:spacing w:val="-7"/>
          <w:w w:val="105"/>
        </w:rPr>
        <w:t> </w:t>
      </w:r>
      <w:r>
        <w:rPr>
          <w:w w:val="105"/>
        </w:rPr>
        <w:t>million</w:t>
      </w:r>
      <w:r>
        <w:rPr>
          <w:spacing w:val="-7"/>
          <w:w w:val="105"/>
        </w:rPr>
        <w:t> </w:t>
      </w:r>
      <w:r>
        <w:rPr>
          <w:w w:val="105"/>
        </w:rPr>
        <w:t>by</w:t>
      </w:r>
      <w:r>
        <w:rPr>
          <w:spacing w:val="-7"/>
          <w:w w:val="105"/>
        </w:rPr>
        <w:t> </w:t>
      </w:r>
      <w:r>
        <w:rPr>
          <w:w w:val="105"/>
        </w:rPr>
        <w:t>exercising</w:t>
      </w:r>
      <w:r>
        <w:rPr>
          <w:spacing w:val="-7"/>
          <w:w w:val="105"/>
        </w:rPr>
        <w:t> </w:t>
      </w:r>
      <w:r>
        <w:rPr>
          <w:w w:val="105"/>
        </w:rPr>
        <w:t>our</w:t>
      </w:r>
      <w:r>
        <w:rPr>
          <w:spacing w:val="-7"/>
          <w:w w:val="105"/>
        </w:rPr>
        <w:t> </w:t>
      </w:r>
      <w:r>
        <w:rPr>
          <w:w w:val="105"/>
        </w:rPr>
        <w:t>make-whole</w:t>
      </w:r>
      <w:r>
        <w:rPr>
          <w:spacing w:val="-7"/>
          <w:w w:val="105"/>
        </w:rPr>
        <w:t> </w:t>
      </w:r>
      <w:r>
        <w:rPr>
          <w:w w:val="105"/>
        </w:rPr>
        <w:t>call.</w:t>
      </w:r>
      <w:r>
        <w:rPr>
          <w:spacing w:val="28"/>
          <w:w w:val="105"/>
        </w:rPr>
        <w:t> </w:t>
      </w:r>
      <w:r>
        <w:rPr>
          <w:w w:val="105"/>
        </w:rPr>
        <w:t>The bond redemption resulted in a $20 million loss during the same quarter.</w:t>
      </w:r>
    </w:p>
    <w:p>
      <w:pPr>
        <w:pStyle w:val="BodyText"/>
        <w:spacing w:before="19"/>
      </w:pPr>
    </w:p>
    <w:p>
      <w:pPr>
        <w:pStyle w:val="BodyText"/>
        <w:spacing w:line="266" w:lineRule="auto"/>
        <w:ind w:left="156" w:right="328"/>
      </w:pPr>
      <w:r>
        <w:rPr>
          <w:w w:val="105"/>
        </w:rPr>
        <w:t>In</w:t>
      </w:r>
      <w:r>
        <w:rPr>
          <w:spacing w:val="-7"/>
          <w:w w:val="105"/>
        </w:rPr>
        <w:t> </w:t>
      </w:r>
      <w:r>
        <w:rPr>
          <w:w w:val="105"/>
        </w:rPr>
        <w:t>the</w:t>
      </w:r>
      <w:r>
        <w:rPr>
          <w:spacing w:val="-7"/>
          <w:w w:val="105"/>
        </w:rPr>
        <w:t> </w:t>
      </w:r>
      <w:r>
        <w:rPr>
          <w:w w:val="105"/>
        </w:rPr>
        <w:t>second</w:t>
      </w:r>
      <w:r>
        <w:rPr>
          <w:spacing w:val="-7"/>
          <w:w w:val="105"/>
        </w:rPr>
        <w:t> </w:t>
      </w:r>
      <w:r>
        <w:rPr>
          <w:w w:val="105"/>
        </w:rPr>
        <w:t>quarter</w:t>
      </w:r>
      <w:r>
        <w:rPr>
          <w:spacing w:val="-7"/>
          <w:w w:val="105"/>
        </w:rPr>
        <w:t> </w:t>
      </w:r>
      <w:r>
        <w:rPr>
          <w:w w:val="105"/>
        </w:rPr>
        <w:t>of</w:t>
      </w:r>
      <w:r>
        <w:rPr>
          <w:spacing w:val="-7"/>
          <w:w w:val="105"/>
        </w:rPr>
        <w:t> </w:t>
      </w:r>
      <w:r>
        <w:rPr>
          <w:w w:val="105"/>
        </w:rPr>
        <w:t>2021,</w:t>
      </w:r>
      <w:r>
        <w:rPr>
          <w:spacing w:val="-7"/>
          <w:w w:val="105"/>
        </w:rPr>
        <w:t> </w:t>
      </w:r>
      <w:r>
        <w:rPr>
          <w:w w:val="105"/>
        </w:rPr>
        <w:t>Corning</w:t>
      </w:r>
      <w:r>
        <w:rPr>
          <w:spacing w:val="-6"/>
          <w:w w:val="105"/>
        </w:rPr>
        <w:t> </w:t>
      </w:r>
      <w:r>
        <w:rPr>
          <w:w w:val="105"/>
        </w:rPr>
        <w:t>redeemed</w:t>
      </w:r>
      <w:r>
        <w:rPr>
          <w:spacing w:val="-7"/>
          <w:w w:val="105"/>
        </w:rPr>
        <w:t> </w:t>
      </w:r>
      <w:r>
        <w:rPr>
          <w:w w:val="105"/>
        </w:rPr>
        <w:t>$375</w:t>
      </w:r>
      <w:r>
        <w:rPr>
          <w:spacing w:val="-7"/>
          <w:w w:val="105"/>
        </w:rPr>
        <w:t> </w:t>
      </w:r>
      <w:r>
        <w:rPr>
          <w:w w:val="105"/>
        </w:rPr>
        <w:t>million</w:t>
      </w:r>
      <w:r>
        <w:rPr>
          <w:spacing w:val="-7"/>
          <w:w w:val="105"/>
        </w:rPr>
        <w:t> </w:t>
      </w:r>
      <w:r>
        <w:rPr>
          <w:w w:val="105"/>
        </w:rPr>
        <w:t>of</w:t>
      </w:r>
      <w:r>
        <w:rPr>
          <w:spacing w:val="-7"/>
          <w:w w:val="105"/>
        </w:rPr>
        <w:t> </w:t>
      </w:r>
      <w:r>
        <w:rPr>
          <w:w w:val="105"/>
        </w:rPr>
        <w:t>2.9%</w:t>
      </w:r>
      <w:r>
        <w:rPr>
          <w:spacing w:val="-7"/>
          <w:w w:val="105"/>
        </w:rPr>
        <w:t> </w:t>
      </w:r>
      <w:r>
        <w:rPr>
          <w:w w:val="105"/>
        </w:rPr>
        <w:t>debentures</w:t>
      </w:r>
      <w:r>
        <w:rPr>
          <w:spacing w:val="-7"/>
          <w:w w:val="105"/>
        </w:rPr>
        <w:t> </w:t>
      </w:r>
      <w:r>
        <w:rPr>
          <w:w w:val="105"/>
        </w:rPr>
        <w:t>due</w:t>
      </w:r>
      <w:r>
        <w:rPr>
          <w:spacing w:val="-7"/>
          <w:w w:val="105"/>
        </w:rPr>
        <w:t> </w:t>
      </w:r>
      <w:r>
        <w:rPr>
          <w:w w:val="105"/>
        </w:rPr>
        <w:t>in</w:t>
      </w:r>
      <w:r>
        <w:rPr>
          <w:spacing w:val="-7"/>
          <w:w w:val="105"/>
        </w:rPr>
        <w:t> </w:t>
      </w:r>
      <w:r>
        <w:rPr>
          <w:w w:val="105"/>
        </w:rPr>
        <w:t>2022,</w:t>
      </w:r>
      <w:r>
        <w:rPr>
          <w:spacing w:val="-7"/>
          <w:w w:val="105"/>
        </w:rPr>
        <w:t> </w:t>
      </w:r>
      <w:r>
        <w:rPr>
          <w:w w:val="105"/>
        </w:rPr>
        <w:t>paying</w:t>
      </w:r>
      <w:r>
        <w:rPr>
          <w:spacing w:val="-7"/>
          <w:w w:val="105"/>
        </w:rPr>
        <w:t> </w:t>
      </w:r>
      <w:r>
        <w:rPr>
          <w:w w:val="105"/>
        </w:rPr>
        <w:t>a</w:t>
      </w:r>
      <w:r>
        <w:rPr>
          <w:spacing w:val="-7"/>
          <w:w w:val="105"/>
        </w:rPr>
        <w:t> </w:t>
      </w:r>
      <w:r>
        <w:rPr>
          <w:w w:val="105"/>
        </w:rPr>
        <w:t>premium</w:t>
      </w:r>
      <w:r>
        <w:rPr>
          <w:spacing w:val="-7"/>
          <w:w w:val="105"/>
        </w:rPr>
        <w:t> </w:t>
      </w:r>
      <w:r>
        <w:rPr>
          <w:w w:val="105"/>
        </w:rPr>
        <w:t>of</w:t>
      </w:r>
      <w:r>
        <w:rPr>
          <w:spacing w:val="-7"/>
          <w:w w:val="105"/>
        </w:rPr>
        <w:t> </w:t>
      </w:r>
      <w:r>
        <w:rPr>
          <w:w w:val="105"/>
        </w:rPr>
        <w:t>$10</w:t>
      </w:r>
      <w:r>
        <w:rPr>
          <w:spacing w:val="-7"/>
          <w:w w:val="105"/>
        </w:rPr>
        <w:t> </w:t>
      </w:r>
      <w:r>
        <w:rPr>
          <w:w w:val="105"/>
        </w:rPr>
        <w:t>million</w:t>
      </w:r>
      <w:r>
        <w:rPr>
          <w:spacing w:val="-7"/>
          <w:w w:val="105"/>
        </w:rPr>
        <w:t> </w:t>
      </w:r>
      <w:r>
        <w:rPr>
          <w:w w:val="105"/>
        </w:rPr>
        <w:t>by</w:t>
      </w:r>
      <w:r>
        <w:rPr>
          <w:spacing w:val="-7"/>
          <w:w w:val="105"/>
        </w:rPr>
        <w:t> </w:t>
      </w:r>
      <w:r>
        <w:rPr>
          <w:w w:val="105"/>
        </w:rPr>
        <w:t>exercising</w:t>
      </w:r>
      <w:r>
        <w:rPr>
          <w:spacing w:val="-7"/>
          <w:w w:val="105"/>
        </w:rPr>
        <w:t> </w:t>
      </w:r>
      <w:r>
        <w:rPr>
          <w:w w:val="105"/>
        </w:rPr>
        <w:t>our</w:t>
      </w:r>
      <w:r>
        <w:rPr>
          <w:spacing w:val="-7"/>
          <w:w w:val="105"/>
        </w:rPr>
        <w:t> </w:t>
      </w:r>
      <w:r>
        <w:rPr>
          <w:w w:val="105"/>
        </w:rPr>
        <w:t>make-whole</w:t>
      </w:r>
      <w:r>
        <w:rPr>
          <w:spacing w:val="-7"/>
          <w:w w:val="105"/>
        </w:rPr>
        <w:t> </w:t>
      </w:r>
      <w:r>
        <w:rPr>
          <w:w w:val="105"/>
        </w:rPr>
        <w:t>call.</w:t>
      </w:r>
      <w:r>
        <w:rPr>
          <w:spacing w:val="28"/>
          <w:w w:val="105"/>
        </w:rPr>
        <w:t> </w:t>
      </w:r>
      <w:r>
        <w:rPr>
          <w:w w:val="105"/>
        </w:rPr>
        <w:t>The bond redemption resulted in an $11 million loss during the same quarter.</w:t>
      </w:r>
    </w:p>
    <w:p>
      <w:pPr>
        <w:pStyle w:val="BodyText"/>
        <w:spacing w:before="19"/>
      </w:pPr>
    </w:p>
    <w:p>
      <w:pPr>
        <w:pStyle w:val="BodyText"/>
        <w:ind w:left="156"/>
      </w:pPr>
      <w:r>
        <w:rPr>
          <w:w w:val="105"/>
        </w:rPr>
        <w:t>Losses</w:t>
      </w:r>
      <w:r>
        <w:rPr>
          <w:spacing w:val="-9"/>
          <w:w w:val="105"/>
        </w:rPr>
        <w:t> </w:t>
      </w:r>
      <w:r>
        <w:rPr>
          <w:w w:val="105"/>
        </w:rPr>
        <w:t>on</w:t>
      </w:r>
      <w:r>
        <w:rPr>
          <w:spacing w:val="-9"/>
          <w:w w:val="105"/>
        </w:rPr>
        <w:t> </w:t>
      </w:r>
      <w:r>
        <w:rPr>
          <w:w w:val="105"/>
        </w:rPr>
        <w:t>bond</w:t>
      </w:r>
      <w:r>
        <w:rPr>
          <w:spacing w:val="-8"/>
          <w:w w:val="105"/>
        </w:rPr>
        <w:t> </w:t>
      </w:r>
      <w:r>
        <w:rPr>
          <w:w w:val="105"/>
        </w:rPr>
        <w:t>redemption</w:t>
      </w:r>
      <w:r>
        <w:rPr>
          <w:spacing w:val="-9"/>
          <w:w w:val="105"/>
        </w:rPr>
        <w:t> </w:t>
      </w:r>
      <w:r>
        <w:rPr>
          <w:w w:val="105"/>
        </w:rPr>
        <w:t>have</w:t>
      </w:r>
      <w:r>
        <w:rPr>
          <w:spacing w:val="-9"/>
          <w:w w:val="105"/>
        </w:rPr>
        <w:t> </w:t>
      </w:r>
      <w:r>
        <w:rPr>
          <w:w w:val="105"/>
        </w:rPr>
        <w:t>been</w:t>
      </w:r>
      <w:r>
        <w:rPr>
          <w:spacing w:val="-8"/>
          <w:w w:val="105"/>
        </w:rPr>
        <w:t> </w:t>
      </w:r>
      <w:r>
        <w:rPr>
          <w:w w:val="105"/>
        </w:rPr>
        <w:t>recorded</w:t>
      </w:r>
      <w:r>
        <w:rPr>
          <w:spacing w:val="-9"/>
          <w:w w:val="105"/>
        </w:rPr>
        <w:t> </w:t>
      </w:r>
      <w:r>
        <w:rPr>
          <w:w w:val="105"/>
        </w:rPr>
        <w:t>in</w:t>
      </w:r>
      <w:r>
        <w:rPr>
          <w:spacing w:val="-9"/>
          <w:w w:val="105"/>
        </w:rPr>
        <w:t> </w:t>
      </w:r>
      <w:r>
        <w:rPr>
          <w:w w:val="105"/>
        </w:rPr>
        <w:t>other</w:t>
      </w:r>
      <w:r>
        <w:rPr>
          <w:spacing w:val="-8"/>
          <w:w w:val="105"/>
        </w:rPr>
        <w:t> </w:t>
      </w:r>
      <w:r>
        <w:rPr>
          <w:w w:val="105"/>
        </w:rPr>
        <w:t>income</w:t>
      </w:r>
      <w:r>
        <w:rPr>
          <w:spacing w:val="-9"/>
          <w:w w:val="105"/>
        </w:rPr>
        <w:t> </w:t>
      </w:r>
      <w:r>
        <w:rPr>
          <w:w w:val="105"/>
        </w:rPr>
        <w:t>(expense),</w:t>
      </w:r>
      <w:r>
        <w:rPr>
          <w:spacing w:val="-9"/>
          <w:w w:val="105"/>
        </w:rPr>
        <w:t> </w:t>
      </w:r>
      <w:r>
        <w:rPr>
          <w:w w:val="105"/>
        </w:rPr>
        <w:t>net</w:t>
      </w:r>
      <w:r>
        <w:rPr>
          <w:spacing w:val="-8"/>
          <w:w w:val="105"/>
        </w:rPr>
        <w:t> </w:t>
      </w:r>
      <w:r>
        <w:rPr>
          <w:w w:val="105"/>
        </w:rPr>
        <w:t>on</w:t>
      </w:r>
      <w:r>
        <w:rPr>
          <w:spacing w:val="-9"/>
          <w:w w:val="105"/>
        </w:rPr>
        <w:t> </w:t>
      </w:r>
      <w:r>
        <w:rPr>
          <w:w w:val="105"/>
        </w:rPr>
        <w:t>the</w:t>
      </w:r>
      <w:r>
        <w:rPr>
          <w:spacing w:val="-9"/>
          <w:w w:val="105"/>
        </w:rPr>
        <w:t> </w:t>
      </w:r>
      <w:r>
        <w:rPr>
          <w:w w:val="105"/>
        </w:rPr>
        <w:t>consolidated</w:t>
      </w:r>
      <w:r>
        <w:rPr>
          <w:spacing w:val="-8"/>
          <w:w w:val="105"/>
        </w:rPr>
        <w:t> </w:t>
      </w:r>
      <w:r>
        <w:rPr>
          <w:w w:val="105"/>
        </w:rPr>
        <w:t>statements</w:t>
      </w:r>
      <w:r>
        <w:rPr>
          <w:spacing w:val="-9"/>
          <w:w w:val="105"/>
        </w:rPr>
        <w:t> </w:t>
      </w:r>
      <w:r>
        <w:rPr>
          <w:w w:val="105"/>
        </w:rPr>
        <w:t>of</w:t>
      </w:r>
      <w:r>
        <w:rPr>
          <w:spacing w:val="-9"/>
          <w:w w:val="105"/>
        </w:rPr>
        <w:t> </w:t>
      </w:r>
      <w:r>
        <w:rPr>
          <w:w w:val="105"/>
        </w:rPr>
        <w:t>income</w:t>
      </w:r>
      <w:r>
        <w:rPr>
          <w:spacing w:val="-8"/>
          <w:w w:val="105"/>
        </w:rPr>
        <w:t> </w:t>
      </w:r>
      <w:r>
        <w:rPr>
          <w:w w:val="105"/>
        </w:rPr>
        <w:t>during</w:t>
      </w:r>
      <w:r>
        <w:rPr>
          <w:spacing w:val="-9"/>
          <w:w w:val="105"/>
        </w:rPr>
        <w:t> </w:t>
      </w:r>
      <w:r>
        <w:rPr>
          <w:w w:val="105"/>
        </w:rPr>
        <w:t>the</w:t>
      </w:r>
      <w:r>
        <w:rPr>
          <w:spacing w:val="-9"/>
          <w:w w:val="105"/>
        </w:rPr>
        <w:t> </w:t>
      </w:r>
      <w:r>
        <w:rPr>
          <w:w w:val="105"/>
        </w:rPr>
        <w:t>quarter</w:t>
      </w:r>
      <w:r>
        <w:rPr>
          <w:spacing w:val="-8"/>
          <w:w w:val="105"/>
        </w:rPr>
        <w:t> </w:t>
      </w:r>
      <w:r>
        <w:rPr>
          <w:w w:val="105"/>
        </w:rPr>
        <w:t>in</w:t>
      </w:r>
      <w:r>
        <w:rPr>
          <w:spacing w:val="-9"/>
          <w:w w:val="105"/>
        </w:rPr>
        <w:t> </w:t>
      </w:r>
      <w:r>
        <w:rPr>
          <w:w w:val="105"/>
        </w:rPr>
        <w:t>which</w:t>
      </w:r>
      <w:r>
        <w:rPr>
          <w:spacing w:val="-9"/>
          <w:w w:val="105"/>
        </w:rPr>
        <w:t> </w:t>
      </w:r>
      <w:r>
        <w:rPr>
          <w:w w:val="105"/>
        </w:rPr>
        <w:t>they</w:t>
      </w:r>
      <w:r>
        <w:rPr>
          <w:spacing w:val="-8"/>
          <w:w w:val="105"/>
        </w:rPr>
        <w:t> </w:t>
      </w:r>
      <w:r>
        <w:rPr>
          <w:spacing w:val="-2"/>
          <w:w w:val="105"/>
        </w:rPr>
        <w:t>occurred.</w:t>
      </w:r>
    </w:p>
    <w:p>
      <w:pPr>
        <w:pStyle w:val="BodyText"/>
        <w:spacing w:before="40"/>
      </w:pPr>
    </w:p>
    <w:p>
      <w:pPr>
        <w:pStyle w:val="BodyText"/>
        <w:ind w:left="48"/>
        <w:jc w:val="center"/>
      </w:pPr>
      <w:r>
        <w:rPr>
          <w:spacing w:val="-5"/>
          <w:w w:val="105"/>
        </w:rPr>
        <w:t>38</w:t>
      </w:r>
    </w:p>
    <w:p>
      <w:pPr>
        <w:pStyle w:val="BodyText"/>
        <w:spacing w:before="11"/>
        <w:rPr>
          <w:sz w:val="5"/>
        </w:rPr>
      </w:pPr>
      <w:r>
        <w:rPr/>
        <mc:AlternateContent>
          <mc:Choice Requires="wps">
            <w:drawing>
              <wp:anchor distT="0" distB="0" distL="0" distR="0" allowOverlap="1" layoutInCell="1" locked="0" behindDoc="1" simplePos="0" relativeHeight="487618560">
                <wp:simplePos x="0" y="0"/>
                <wp:positionH relativeFrom="page">
                  <wp:posOffset>226488</wp:posOffset>
                </wp:positionH>
                <wp:positionV relativeFrom="paragraph">
                  <wp:posOffset>58734</wp:posOffset>
                </wp:positionV>
                <wp:extent cx="7312659" cy="1651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97920;mso-wrap-distance-left:0;mso-wrap-distance-right:0" id="docshape69"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BodyText"/>
        <w:spacing w:line="532" w:lineRule="auto"/>
        <w:ind w:left="156" w:right="117"/>
      </w:pPr>
      <w:r>
        <w:rPr>
          <w:w w:val="105"/>
        </w:rPr>
        <w:t>Borrowings</w:t>
      </w:r>
      <w:r>
        <w:rPr>
          <w:spacing w:val="-9"/>
          <w:w w:val="105"/>
        </w:rPr>
        <w:t> </w:t>
      </w:r>
      <w:r>
        <w:rPr>
          <w:w w:val="105"/>
        </w:rPr>
        <w:t>under</w:t>
      </w:r>
      <w:r>
        <w:rPr>
          <w:spacing w:val="-9"/>
          <w:w w:val="105"/>
        </w:rPr>
        <w:t> </w:t>
      </w:r>
      <w:r>
        <w:rPr>
          <w:w w:val="105"/>
        </w:rPr>
        <w:t>the</w:t>
      </w:r>
      <w:r>
        <w:rPr>
          <w:spacing w:val="-9"/>
          <w:w w:val="105"/>
        </w:rPr>
        <w:t> </w:t>
      </w:r>
      <w:r>
        <w:rPr>
          <w:w w:val="105"/>
        </w:rPr>
        <w:t>three</w:t>
      </w:r>
      <w:r>
        <w:rPr>
          <w:spacing w:val="-9"/>
          <w:w w:val="105"/>
        </w:rPr>
        <w:t> </w:t>
      </w:r>
      <w:r>
        <w:rPr>
          <w:w w:val="105"/>
        </w:rPr>
        <w:t>unsecured</w:t>
      </w:r>
      <w:r>
        <w:rPr>
          <w:spacing w:val="-9"/>
          <w:w w:val="105"/>
        </w:rPr>
        <w:t> </w:t>
      </w:r>
      <w:r>
        <w:rPr>
          <w:w w:val="105"/>
        </w:rPr>
        <w:t>variable</w:t>
      </w:r>
      <w:r>
        <w:rPr>
          <w:spacing w:val="-9"/>
          <w:w w:val="105"/>
        </w:rPr>
        <w:t> </w:t>
      </w:r>
      <w:r>
        <w:rPr>
          <w:w w:val="105"/>
        </w:rPr>
        <w:t>rate</w:t>
      </w:r>
      <w:r>
        <w:rPr>
          <w:spacing w:val="-9"/>
          <w:w w:val="105"/>
        </w:rPr>
        <w:t> </w:t>
      </w:r>
      <w:r>
        <w:rPr>
          <w:w w:val="105"/>
        </w:rPr>
        <w:t>loan</w:t>
      </w:r>
      <w:r>
        <w:rPr>
          <w:spacing w:val="-7"/>
          <w:w w:val="105"/>
        </w:rPr>
        <w:t> </w:t>
      </w:r>
      <w:r>
        <w:rPr>
          <w:w w:val="105"/>
        </w:rPr>
        <w:t>facilities</w:t>
      </w:r>
      <w:r>
        <w:rPr>
          <w:spacing w:val="-9"/>
          <w:w w:val="105"/>
        </w:rPr>
        <w:t> </w:t>
      </w:r>
      <w:r>
        <w:rPr>
          <w:w w:val="105"/>
        </w:rPr>
        <w:t>for</w:t>
      </w:r>
      <w:r>
        <w:rPr>
          <w:spacing w:val="-9"/>
          <w:w w:val="105"/>
        </w:rPr>
        <w:t> </w:t>
      </w:r>
      <w:r>
        <w:rPr>
          <w:w w:val="105"/>
        </w:rPr>
        <w:t>the</w:t>
      </w:r>
      <w:r>
        <w:rPr>
          <w:spacing w:val="-9"/>
          <w:w w:val="105"/>
        </w:rPr>
        <w:t> </w:t>
      </w:r>
      <w:r>
        <w:rPr>
          <w:w w:val="105"/>
        </w:rPr>
        <w:t>year</w:t>
      </w:r>
      <w:r>
        <w:rPr>
          <w:spacing w:val="-9"/>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w w:val="105"/>
        </w:rPr>
        <w:t>2021,</w:t>
      </w:r>
      <w:r>
        <w:rPr>
          <w:spacing w:val="-9"/>
          <w:w w:val="105"/>
        </w:rPr>
        <w:t> </w:t>
      </w:r>
      <w:r>
        <w:rPr>
          <w:w w:val="105"/>
        </w:rPr>
        <w:t>totaled</w:t>
      </w:r>
      <w:r>
        <w:rPr>
          <w:spacing w:val="-9"/>
          <w:w w:val="105"/>
        </w:rPr>
        <w:t> </w:t>
      </w:r>
      <w:r>
        <w:rPr>
          <w:w w:val="105"/>
        </w:rPr>
        <w:t>1,764</w:t>
      </w:r>
      <w:r>
        <w:rPr>
          <w:spacing w:val="-9"/>
          <w:w w:val="105"/>
        </w:rPr>
        <w:t> </w:t>
      </w:r>
      <w:r>
        <w:rPr>
          <w:w w:val="105"/>
        </w:rPr>
        <w:t>million</w:t>
      </w:r>
      <w:r>
        <w:rPr>
          <w:spacing w:val="-9"/>
          <w:w w:val="105"/>
        </w:rPr>
        <w:t> </w:t>
      </w:r>
      <w:r>
        <w:rPr>
          <w:w w:val="105"/>
        </w:rPr>
        <w:t>Chinese</w:t>
      </w:r>
      <w:r>
        <w:rPr>
          <w:spacing w:val="-9"/>
          <w:w w:val="105"/>
        </w:rPr>
        <w:t> </w:t>
      </w:r>
      <w:r>
        <w:rPr>
          <w:w w:val="105"/>
        </w:rPr>
        <w:t>yuan,</w:t>
      </w:r>
      <w:r>
        <w:rPr>
          <w:spacing w:val="-9"/>
          <w:w w:val="105"/>
        </w:rPr>
        <w:t> </w:t>
      </w:r>
      <w:r>
        <w:rPr>
          <w:w w:val="105"/>
        </w:rPr>
        <w:t>or</w:t>
      </w:r>
      <w:r>
        <w:rPr>
          <w:spacing w:val="-9"/>
          <w:w w:val="105"/>
        </w:rPr>
        <w:t> </w:t>
      </w:r>
      <w:r>
        <w:rPr>
          <w:w w:val="105"/>
        </w:rPr>
        <w:t>approximately</w:t>
      </w:r>
      <w:r>
        <w:rPr>
          <w:spacing w:val="-9"/>
          <w:w w:val="105"/>
        </w:rPr>
        <w:t> </w:t>
      </w:r>
      <w:r>
        <w:rPr>
          <w:w w:val="105"/>
        </w:rPr>
        <w:t>$277</w:t>
      </w:r>
      <w:r>
        <w:rPr>
          <w:spacing w:val="-9"/>
          <w:w w:val="105"/>
        </w:rPr>
        <w:t> </w:t>
      </w:r>
      <w:r>
        <w:rPr>
          <w:w w:val="105"/>
        </w:rPr>
        <w:t>million. As of December 31, 2021, the 25 billion Japanese yen facility, equivalent to $217 million, has not been drawn upon.</w:t>
      </w:r>
    </w:p>
    <w:p>
      <w:pPr>
        <w:spacing w:line="182" w:lineRule="exact" w:before="0"/>
        <w:ind w:left="156" w:right="0" w:firstLine="0"/>
        <w:jc w:val="left"/>
        <w:rPr>
          <w:b/>
          <w:sz w:val="16"/>
        </w:rPr>
      </w:pPr>
      <w:r>
        <w:rPr>
          <w:b/>
          <w:spacing w:val="-4"/>
          <w:w w:val="105"/>
          <w:sz w:val="16"/>
          <w:u w:val="single"/>
        </w:rPr>
        <w:t>2020</w:t>
      </w:r>
    </w:p>
    <w:p>
      <w:pPr>
        <w:pStyle w:val="BodyText"/>
        <w:spacing w:line="266" w:lineRule="auto" w:before="20"/>
        <w:ind w:left="156"/>
      </w:pPr>
      <w:r>
        <w:rPr>
          <w:w w:val="105"/>
        </w:rPr>
        <w:t>During</w:t>
      </w:r>
      <w:r>
        <w:rPr>
          <w:spacing w:val="-8"/>
          <w:w w:val="105"/>
        </w:rPr>
        <w:t> </w:t>
      </w:r>
      <w:r>
        <w:rPr>
          <w:w w:val="105"/>
        </w:rPr>
        <w:t>the</w:t>
      </w:r>
      <w:r>
        <w:rPr>
          <w:spacing w:val="-8"/>
          <w:w w:val="105"/>
        </w:rPr>
        <w:t> </w:t>
      </w:r>
      <w:r>
        <w:rPr>
          <w:w w:val="105"/>
        </w:rPr>
        <w:t>fourth</w:t>
      </w:r>
      <w:r>
        <w:rPr>
          <w:spacing w:val="-8"/>
          <w:w w:val="105"/>
        </w:rPr>
        <w:t> </w:t>
      </w:r>
      <w:r>
        <w:rPr>
          <w:w w:val="105"/>
        </w:rPr>
        <w:t>quarter</w:t>
      </w:r>
      <w:r>
        <w:rPr>
          <w:spacing w:val="-8"/>
          <w:w w:val="105"/>
        </w:rPr>
        <w:t> </w:t>
      </w:r>
      <w:r>
        <w:rPr>
          <w:w w:val="105"/>
        </w:rPr>
        <w:t>of</w:t>
      </w:r>
      <w:r>
        <w:rPr>
          <w:spacing w:val="-8"/>
          <w:w w:val="105"/>
        </w:rPr>
        <w:t> </w:t>
      </w:r>
      <w:r>
        <w:rPr>
          <w:w w:val="105"/>
        </w:rPr>
        <w:t>2020,</w:t>
      </w:r>
      <w:r>
        <w:rPr>
          <w:spacing w:val="-8"/>
          <w:w w:val="105"/>
        </w:rPr>
        <w:t> </w:t>
      </w:r>
      <w:r>
        <w:rPr>
          <w:w w:val="105"/>
        </w:rPr>
        <w:t>Corning</w:t>
      </w:r>
      <w:r>
        <w:rPr>
          <w:spacing w:val="-8"/>
          <w:w w:val="105"/>
        </w:rPr>
        <w:t> </w:t>
      </w:r>
      <w:r>
        <w:rPr>
          <w:w w:val="105"/>
        </w:rPr>
        <w:t>redeemed</w:t>
      </w:r>
      <w:r>
        <w:rPr>
          <w:spacing w:val="-8"/>
          <w:w w:val="105"/>
        </w:rPr>
        <w:t> </w:t>
      </w:r>
      <w:r>
        <w:rPr>
          <w:w w:val="105"/>
        </w:rPr>
        <w:t>$100</w:t>
      </w:r>
      <w:r>
        <w:rPr>
          <w:spacing w:val="-8"/>
          <w:w w:val="105"/>
        </w:rPr>
        <w:t> </w:t>
      </w:r>
      <w:r>
        <w:rPr>
          <w:w w:val="105"/>
        </w:rPr>
        <w:t>million</w:t>
      </w:r>
      <w:r>
        <w:rPr>
          <w:spacing w:val="-8"/>
          <w:w w:val="105"/>
        </w:rPr>
        <w:t> </w:t>
      </w:r>
      <w:r>
        <w:rPr>
          <w:w w:val="105"/>
        </w:rPr>
        <w:t>of</w:t>
      </w:r>
      <w:r>
        <w:rPr>
          <w:spacing w:val="-8"/>
          <w:w w:val="105"/>
        </w:rPr>
        <w:t> </w:t>
      </w:r>
      <w:r>
        <w:rPr>
          <w:w w:val="105"/>
        </w:rPr>
        <w:t>7.0%</w:t>
      </w:r>
      <w:r>
        <w:rPr>
          <w:spacing w:val="-8"/>
          <w:w w:val="105"/>
        </w:rPr>
        <w:t> </w:t>
      </w:r>
      <w:r>
        <w:rPr>
          <w:w w:val="105"/>
        </w:rPr>
        <w:t>debentures</w:t>
      </w:r>
      <w:r>
        <w:rPr>
          <w:spacing w:val="-8"/>
          <w:w w:val="105"/>
        </w:rPr>
        <w:t> </w:t>
      </w:r>
      <w:r>
        <w:rPr>
          <w:w w:val="105"/>
        </w:rPr>
        <w:t>due</w:t>
      </w:r>
      <w:r>
        <w:rPr>
          <w:spacing w:val="-8"/>
          <w:w w:val="105"/>
        </w:rPr>
        <w:t> </w:t>
      </w:r>
      <w:r>
        <w:rPr>
          <w:w w:val="105"/>
        </w:rPr>
        <w:t>in</w:t>
      </w:r>
      <w:r>
        <w:rPr>
          <w:spacing w:val="-8"/>
          <w:w w:val="105"/>
        </w:rPr>
        <w:t> </w:t>
      </w:r>
      <w:r>
        <w:rPr>
          <w:w w:val="105"/>
        </w:rPr>
        <w:t>2024</w:t>
      </w:r>
      <w:r>
        <w:rPr>
          <w:spacing w:val="-8"/>
          <w:w w:val="105"/>
        </w:rPr>
        <w:t> </w:t>
      </w:r>
      <w:r>
        <w:rPr>
          <w:w w:val="105"/>
        </w:rPr>
        <w:t>with</w:t>
      </w:r>
      <w:r>
        <w:rPr>
          <w:spacing w:val="-8"/>
          <w:w w:val="105"/>
        </w:rPr>
        <w:t> </w:t>
      </w:r>
      <w:r>
        <w:rPr>
          <w:w w:val="105"/>
        </w:rPr>
        <w:t>a</w:t>
      </w:r>
      <w:r>
        <w:rPr>
          <w:spacing w:val="-8"/>
          <w:w w:val="105"/>
        </w:rPr>
        <w:t> </w:t>
      </w:r>
      <w:r>
        <w:rPr>
          <w:w w:val="105"/>
        </w:rPr>
        <w:t>carrying</w:t>
      </w:r>
      <w:r>
        <w:rPr>
          <w:spacing w:val="-8"/>
          <w:w w:val="105"/>
        </w:rPr>
        <w:t> </w:t>
      </w:r>
      <w:r>
        <w:rPr>
          <w:w w:val="105"/>
        </w:rPr>
        <w:t>amount</w:t>
      </w:r>
      <w:r>
        <w:rPr>
          <w:spacing w:val="-8"/>
          <w:w w:val="105"/>
        </w:rPr>
        <w:t> </w:t>
      </w:r>
      <w:r>
        <w:rPr>
          <w:w w:val="105"/>
        </w:rPr>
        <w:t>of</w:t>
      </w:r>
      <w:r>
        <w:rPr>
          <w:spacing w:val="-8"/>
          <w:w w:val="105"/>
        </w:rPr>
        <w:t> </w:t>
      </w:r>
      <w:r>
        <w:rPr>
          <w:w w:val="105"/>
        </w:rPr>
        <w:t>$99</w:t>
      </w:r>
      <w:r>
        <w:rPr>
          <w:spacing w:val="-8"/>
          <w:w w:val="105"/>
        </w:rPr>
        <w:t> </w:t>
      </w:r>
      <w:r>
        <w:rPr>
          <w:w w:val="105"/>
        </w:rPr>
        <w:t>million,</w:t>
      </w:r>
      <w:r>
        <w:rPr>
          <w:spacing w:val="-8"/>
          <w:w w:val="105"/>
        </w:rPr>
        <w:t> </w:t>
      </w:r>
      <w:r>
        <w:rPr>
          <w:w w:val="105"/>
        </w:rPr>
        <w:t>paying</w:t>
      </w:r>
      <w:r>
        <w:rPr>
          <w:spacing w:val="-6"/>
          <w:w w:val="105"/>
        </w:rPr>
        <w:t> </w:t>
      </w:r>
      <w:r>
        <w:rPr>
          <w:w w:val="105"/>
        </w:rPr>
        <w:t>a</w:t>
      </w:r>
      <w:r>
        <w:rPr>
          <w:spacing w:val="-8"/>
          <w:w w:val="105"/>
        </w:rPr>
        <w:t> </w:t>
      </w:r>
      <w:r>
        <w:rPr>
          <w:w w:val="105"/>
        </w:rPr>
        <w:t>$21</w:t>
      </w:r>
      <w:r>
        <w:rPr>
          <w:spacing w:val="-8"/>
          <w:w w:val="105"/>
        </w:rPr>
        <w:t> </w:t>
      </w:r>
      <w:r>
        <w:rPr>
          <w:w w:val="105"/>
        </w:rPr>
        <w:t>million</w:t>
      </w:r>
      <w:r>
        <w:rPr>
          <w:spacing w:val="-8"/>
          <w:w w:val="105"/>
        </w:rPr>
        <w:t> </w:t>
      </w:r>
      <w:r>
        <w:rPr>
          <w:w w:val="105"/>
        </w:rPr>
        <w:t>make-whole call</w:t>
      </w:r>
      <w:r>
        <w:rPr>
          <w:spacing w:val="-2"/>
          <w:w w:val="105"/>
        </w:rPr>
        <w:t> </w:t>
      </w:r>
      <w:r>
        <w:rPr>
          <w:w w:val="105"/>
        </w:rPr>
        <w:t>premium.</w:t>
      </w:r>
      <w:r>
        <w:rPr>
          <w:spacing w:val="-2"/>
          <w:w w:val="105"/>
        </w:rPr>
        <w:t> </w:t>
      </w:r>
      <w:r>
        <w:rPr>
          <w:w w:val="105"/>
        </w:rPr>
        <w:t>The</w:t>
      </w:r>
      <w:r>
        <w:rPr>
          <w:spacing w:val="-2"/>
          <w:w w:val="105"/>
        </w:rPr>
        <w:t> </w:t>
      </w:r>
      <w:r>
        <w:rPr>
          <w:w w:val="105"/>
        </w:rPr>
        <w:t>total</w:t>
      </w:r>
      <w:r>
        <w:rPr>
          <w:spacing w:val="-2"/>
          <w:w w:val="105"/>
        </w:rPr>
        <w:t> </w:t>
      </w:r>
      <w:r>
        <w:rPr>
          <w:w w:val="105"/>
        </w:rPr>
        <w:t>payment</w:t>
      </w:r>
      <w:r>
        <w:rPr>
          <w:spacing w:val="-2"/>
          <w:w w:val="105"/>
        </w:rPr>
        <w:t> </w:t>
      </w:r>
      <w:r>
        <w:rPr>
          <w:w w:val="105"/>
        </w:rPr>
        <w:t>of</w:t>
      </w:r>
      <w:r>
        <w:rPr>
          <w:spacing w:val="-2"/>
          <w:w w:val="105"/>
        </w:rPr>
        <w:t> </w:t>
      </w:r>
      <w:r>
        <w:rPr>
          <w:w w:val="105"/>
        </w:rPr>
        <w:t>$121</w:t>
      </w:r>
      <w:r>
        <w:rPr>
          <w:spacing w:val="-2"/>
          <w:w w:val="105"/>
        </w:rPr>
        <w:t> </w:t>
      </w:r>
      <w:r>
        <w:rPr>
          <w:w w:val="105"/>
        </w:rPr>
        <w:t>million</w:t>
      </w:r>
      <w:r>
        <w:rPr>
          <w:spacing w:val="-2"/>
          <w:w w:val="105"/>
        </w:rPr>
        <w:t> </w:t>
      </w:r>
      <w:r>
        <w:rPr>
          <w:w w:val="105"/>
        </w:rPr>
        <w:t>is</w:t>
      </w:r>
      <w:r>
        <w:rPr>
          <w:spacing w:val="-2"/>
          <w:w w:val="105"/>
        </w:rPr>
        <w:t> </w:t>
      </w:r>
      <w:r>
        <w:rPr>
          <w:w w:val="105"/>
        </w:rPr>
        <w:t>disclosed</w:t>
      </w:r>
      <w:r>
        <w:rPr>
          <w:spacing w:val="-2"/>
          <w:w w:val="105"/>
        </w:rPr>
        <w:t> </w:t>
      </w:r>
      <w:r>
        <w:rPr>
          <w:w w:val="105"/>
        </w:rPr>
        <w:t>in</w:t>
      </w:r>
      <w:r>
        <w:rPr>
          <w:spacing w:val="-2"/>
          <w:w w:val="105"/>
        </w:rPr>
        <w:t> </w:t>
      </w:r>
      <w:r>
        <w:rPr>
          <w:w w:val="105"/>
        </w:rPr>
        <w:t>financing</w:t>
      </w:r>
      <w:r>
        <w:rPr>
          <w:spacing w:val="-2"/>
          <w:w w:val="105"/>
        </w:rPr>
        <w:t> </w:t>
      </w:r>
      <w:r>
        <w:rPr>
          <w:w w:val="105"/>
        </w:rPr>
        <w:t>activities</w:t>
      </w:r>
      <w:r>
        <w:rPr>
          <w:spacing w:val="-2"/>
          <w:w w:val="105"/>
        </w:rPr>
        <w:t> </w:t>
      </w:r>
      <w:r>
        <w:rPr>
          <w:w w:val="105"/>
        </w:rPr>
        <w:t>in</w:t>
      </w:r>
      <w:r>
        <w:rPr>
          <w:spacing w:val="-2"/>
          <w:w w:val="105"/>
        </w:rPr>
        <w:t> </w:t>
      </w:r>
      <w:r>
        <w:rPr>
          <w:w w:val="105"/>
        </w:rPr>
        <w:t>the</w:t>
      </w:r>
      <w:r>
        <w:rPr>
          <w:spacing w:val="-2"/>
          <w:w w:val="105"/>
        </w:rPr>
        <w:t> </w:t>
      </w:r>
      <w:r>
        <w:rPr>
          <w:w w:val="105"/>
        </w:rPr>
        <w:t>consolidated</w:t>
      </w:r>
      <w:r>
        <w:rPr>
          <w:spacing w:val="-2"/>
          <w:w w:val="105"/>
        </w:rPr>
        <w:t> </w:t>
      </w:r>
      <w:r>
        <w:rPr>
          <w:w w:val="105"/>
        </w:rPr>
        <w:t>statements</w:t>
      </w:r>
      <w:r>
        <w:rPr>
          <w:spacing w:val="-2"/>
          <w:w w:val="105"/>
        </w:rPr>
        <w:t> </w:t>
      </w:r>
      <w:r>
        <w:rPr>
          <w:w w:val="105"/>
        </w:rPr>
        <w:t>of</w:t>
      </w:r>
      <w:r>
        <w:rPr>
          <w:spacing w:val="-2"/>
          <w:w w:val="105"/>
        </w:rPr>
        <w:t> </w:t>
      </w:r>
      <w:r>
        <w:rPr>
          <w:w w:val="105"/>
        </w:rPr>
        <w:t>cash</w:t>
      </w:r>
      <w:r>
        <w:rPr>
          <w:spacing w:val="-2"/>
          <w:w w:val="105"/>
        </w:rPr>
        <w:t> </w:t>
      </w:r>
      <w:r>
        <w:rPr>
          <w:w w:val="105"/>
        </w:rPr>
        <w:t>flows.</w:t>
      </w:r>
      <w:r>
        <w:rPr>
          <w:spacing w:val="-2"/>
          <w:w w:val="105"/>
        </w:rPr>
        <w:t> </w:t>
      </w:r>
      <w:r>
        <w:rPr>
          <w:w w:val="105"/>
        </w:rPr>
        <w:t>The redemption</w:t>
      </w:r>
      <w:r>
        <w:rPr>
          <w:spacing w:val="-2"/>
          <w:w w:val="105"/>
        </w:rPr>
        <w:t> </w:t>
      </w:r>
      <w:r>
        <w:rPr>
          <w:w w:val="105"/>
        </w:rPr>
        <w:t>resulted</w:t>
      </w:r>
      <w:r>
        <w:rPr>
          <w:spacing w:val="-2"/>
          <w:w w:val="105"/>
        </w:rPr>
        <w:t> </w:t>
      </w:r>
      <w:r>
        <w:rPr>
          <w:w w:val="105"/>
        </w:rPr>
        <w:t>in</w:t>
      </w:r>
      <w:r>
        <w:rPr>
          <w:spacing w:val="-2"/>
          <w:w w:val="105"/>
        </w:rPr>
        <w:t> </w:t>
      </w:r>
      <w:r>
        <w:rPr>
          <w:w w:val="105"/>
        </w:rPr>
        <w:t>a loss</w:t>
      </w:r>
      <w:r>
        <w:rPr>
          <w:spacing w:val="-2"/>
          <w:w w:val="105"/>
        </w:rPr>
        <w:t> </w:t>
      </w:r>
      <w:r>
        <w:rPr>
          <w:w w:val="105"/>
        </w:rPr>
        <w:t>of</w:t>
      </w:r>
      <w:r>
        <w:rPr>
          <w:spacing w:val="-2"/>
          <w:w w:val="105"/>
        </w:rPr>
        <w:t> </w:t>
      </w:r>
      <w:r>
        <w:rPr>
          <w:w w:val="105"/>
        </w:rPr>
        <w:t>$22 </w:t>
      </w:r>
      <w:r>
        <w:rPr>
          <w:spacing w:val="-2"/>
          <w:w w:val="105"/>
        </w:rPr>
        <w:t>million.</w:t>
      </w:r>
    </w:p>
    <w:p>
      <w:pPr>
        <w:pStyle w:val="BodyText"/>
        <w:spacing w:before="18"/>
      </w:pPr>
    </w:p>
    <w:p>
      <w:pPr>
        <w:pStyle w:val="BodyText"/>
        <w:spacing w:line="266" w:lineRule="auto" w:before="1"/>
        <w:ind w:left="156"/>
      </w:pPr>
      <w:r>
        <w:rPr>
          <w:w w:val="105"/>
        </w:rPr>
        <w:t>In</w:t>
      </w:r>
      <w:r>
        <w:rPr>
          <w:spacing w:val="-7"/>
          <w:w w:val="105"/>
        </w:rPr>
        <w:t> </w:t>
      </w:r>
      <w:r>
        <w:rPr>
          <w:w w:val="105"/>
        </w:rPr>
        <w:t>conjunction</w:t>
      </w:r>
      <w:r>
        <w:rPr>
          <w:spacing w:val="-7"/>
          <w:w w:val="105"/>
        </w:rPr>
        <w:t> </w:t>
      </w:r>
      <w:r>
        <w:rPr>
          <w:w w:val="105"/>
        </w:rPr>
        <w:t>with</w:t>
      </w:r>
      <w:r>
        <w:rPr>
          <w:spacing w:val="-7"/>
          <w:w w:val="105"/>
        </w:rPr>
        <w:t> </w:t>
      </w:r>
      <w:r>
        <w:rPr>
          <w:w w:val="105"/>
        </w:rPr>
        <w:t>the</w:t>
      </w:r>
      <w:r>
        <w:rPr>
          <w:spacing w:val="-7"/>
          <w:w w:val="105"/>
        </w:rPr>
        <w:t> </w:t>
      </w:r>
      <w:r>
        <w:rPr>
          <w:w w:val="105"/>
        </w:rPr>
        <w:t>change</w:t>
      </w:r>
      <w:r>
        <w:rPr>
          <w:spacing w:val="-5"/>
          <w:w w:val="105"/>
        </w:rPr>
        <w:t> </w:t>
      </w:r>
      <w:r>
        <w:rPr>
          <w:w w:val="105"/>
        </w:rPr>
        <w:t>in</w:t>
      </w:r>
      <w:r>
        <w:rPr>
          <w:spacing w:val="-7"/>
          <w:w w:val="105"/>
        </w:rPr>
        <w:t> </w:t>
      </w:r>
      <w:r>
        <w:rPr>
          <w:w w:val="105"/>
        </w:rPr>
        <w:t>control</w:t>
      </w:r>
      <w:r>
        <w:rPr>
          <w:spacing w:val="-7"/>
          <w:w w:val="105"/>
        </w:rPr>
        <w:t> </w:t>
      </w:r>
      <w:r>
        <w:rPr>
          <w:w w:val="105"/>
        </w:rPr>
        <w:t>of</w:t>
      </w:r>
      <w:r>
        <w:rPr>
          <w:spacing w:val="-7"/>
          <w:w w:val="105"/>
        </w:rPr>
        <w:t> </w:t>
      </w:r>
      <w:r>
        <w:rPr>
          <w:w w:val="105"/>
        </w:rPr>
        <w:t>HSG</w:t>
      </w:r>
      <w:r>
        <w:rPr>
          <w:spacing w:val="-7"/>
          <w:w w:val="105"/>
        </w:rPr>
        <w:t> </w:t>
      </w:r>
      <w:r>
        <w:rPr>
          <w:w w:val="105"/>
        </w:rPr>
        <w:t>on</w:t>
      </w:r>
      <w:r>
        <w:rPr>
          <w:spacing w:val="-7"/>
          <w:w w:val="105"/>
        </w:rPr>
        <w:t> </w:t>
      </w:r>
      <w:r>
        <w:rPr>
          <w:w w:val="105"/>
        </w:rPr>
        <w:t>September</w:t>
      </w:r>
      <w:r>
        <w:rPr>
          <w:spacing w:val="-7"/>
          <w:w w:val="105"/>
        </w:rPr>
        <w:t> </w:t>
      </w:r>
      <w:r>
        <w:rPr>
          <w:w w:val="105"/>
        </w:rPr>
        <w:t>9,</w:t>
      </w:r>
      <w:r>
        <w:rPr>
          <w:spacing w:val="-7"/>
          <w:w w:val="105"/>
        </w:rPr>
        <w:t> </w:t>
      </w:r>
      <w:r>
        <w:rPr>
          <w:w w:val="105"/>
        </w:rPr>
        <w:t>2020,</w:t>
      </w:r>
      <w:r>
        <w:rPr>
          <w:spacing w:val="-7"/>
          <w:w w:val="105"/>
        </w:rPr>
        <w:t> </w:t>
      </w:r>
      <w:r>
        <w:rPr>
          <w:w w:val="105"/>
        </w:rPr>
        <w:t>a</w:t>
      </w:r>
      <w:r>
        <w:rPr>
          <w:spacing w:val="-7"/>
          <w:w w:val="105"/>
        </w:rPr>
        <w:t> </w:t>
      </w:r>
      <w:r>
        <w:rPr>
          <w:w w:val="105"/>
        </w:rPr>
        <w:t>variable</w:t>
      </w:r>
      <w:r>
        <w:rPr>
          <w:spacing w:val="-7"/>
          <w:w w:val="105"/>
        </w:rPr>
        <w:t> </w:t>
      </w:r>
      <w:r>
        <w:rPr>
          <w:w w:val="105"/>
        </w:rPr>
        <w:t>interest</w:t>
      </w:r>
      <w:r>
        <w:rPr>
          <w:spacing w:val="-7"/>
          <w:w w:val="105"/>
        </w:rPr>
        <w:t> </w:t>
      </w:r>
      <w:r>
        <w:rPr>
          <w:w w:val="105"/>
        </w:rPr>
        <w:t>rate</w:t>
      </w:r>
      <w:r>
        <w:rPr>
          <w:spacing w:val="-7"/>
          <w:w w:val="105"/>
        </w:rPr>
        <w:t> </w:t>
      </w:r>
      <w:r>
        <w:rPr>
          <w:w w:val="105"/>
        </w:rPr>
        <w:t>loan</w:t>
      </w:r>
      <w:r>
        <w:rPr>
          <w:spacing w:val="-7"/>
          <w:w w:val="105"/>
        </w:rPr>
        <w:t> </w:t>
      </w:r>
      <w:r>
        <w:rPr>
          <w:w w:val="105"/>
        </w:rPr>
        <w:t>of</w:t>
      </w:r>
      <w:r>
        <w:rPr>
          <w:spacing w:val="-7"/>
          <w:w w:val="105"/>
        </w:rPr>
        <w:t> </w:t>
      </w:r>
      <w:r>
        <w:rPr>
          <w:w w:val="105"/>
        </w:rPr>
        <w:t>$175</w:t>
      </w:r>
      <w:r>
        <w:rPr>
          <w:spacing w:val="-7"/>
          <w:w w:val="105"/>
        </w:rPr>
        <w:t> </w:t>
      </w:r>
      <w:r>
        <w:rPr>
          <w:w w:val="105"/>
        </w:rPr>
        <w:t>million,</w:t>
      </w:r>
      <w:r>
        <w:rPr>
          <w:spacing w:val="-7"/>
          <w:w w:val="105"/>
        </w:rPr>
        <w:t> </w:t>
      </w:r>
      <w:r>
        <w:rPr>
          <w:w w:val="105"/>
        </w:rPr>
        <w:t>maturing</w:t>
      </w:r>
      <w:r>
        <w:rPr>
          <w:spacing w:val="-7"/>
          <w:w w:val="105"/>
        </w:rPr>
        <w:t> </w:t>
      </w:r>
      <w:r>
        <w:rPr>
          <w:w w:val="105"/>
        </w:rPr>
        <w:t>on</w:t>
      </w:r>
      <w:r>
        <w:rPr>
          <w:spacing w:val="-7"/>
          <w:w w:val="105"/>
        </w:rPr>
        <w:t> </w:t>
      </w:r>
      <w:r>
        <w:rPr>
          <w:w w:val="105"/>
        </w:rPr>
        <w:t>September</w:t>
      </w:r>
      <w:r>
        <w:rPr>
          <w:spacing w:val="-7"/>
          <w:w w:val="105"/>
        </w:rPr>
        <w:t> </w:t>
      </w:r>
      <w:r>
        <w:rPr>
          <w:w w:val="105"/>
        </w:rPr>
        <w:t>8,</w:t>
      </w:r>
      <w:r>
        <w:rPr>
          <w:spacing w:val="-7"/>
          <w:w w:val="105"/>
        </w:rPr>
        <w:t> </w:t>
      </w:r>
      <w:r>
        <w:rPr>
          <w:w w:val="105"/>
        </w:rPr>
        <w:t>2021,</w:t>
      </w:r>
      <w:r>
        <w:rPr>
          <w:spacing w:val="-7"/>
          <w:w w:val="105"/>
        </w:rPr>
        <w:t> </w:t>
      </w:r>
      <w:r>
        <w:rPr>
          <w:w w:val="105"/>
        </w:rPr>
        <w:t>was</w:t>
      </w:r>
      <w:r>
        <w:rPr>
          <w:spacing w:val="-7"/>
          <w:w w:val="105"/>
        </w:rPr>
        <w:t> </w:t>
      </w:r>
      <w:r>
        <w:rPr>
          <w:w w:val="105"/>
        </w:rPr>
        <w:t>made</w:t>
      </w:r>
      <w:r>
        <w:rPr>
          <w:spacing w:val="-7"/>
          <w:w w:val="105"/>
        </w:rPr>
        <w:t> </w:t>
      </w:r>
      <w:r>
        <w:rPr>
          <w:w w:val="105"/>
        </w:rPr>
        <w:t>to</w:t>
      </w:r>
      <w:r>
        <w:rPr>
          <w:spacing w:val="-7"/>
          <w:w w:val="105"/>
        </w:rPr>
        <w:t> </w:t>
      </w:r>
      <w:r>
        <w:rPr>
          <w:w w:val="105"/>
        </w:rPr>
        <w:t>DC</w:t>
      </w:r>
      <w:r>
        <w:rPr>
          <w:spacing w:val="-7"/>
          <w:w w:val="105"/>
        </w:rPr>
        <w:t> </w:t>
      </w:r>
      <w:r>
        <w:rPr>
          <w:w w:val="105"/>
        </w:rPr>
        <w:t>HSC Holdings,</w:t>
      </w:r>
      <w:r>
        <w:rPr>
          <w:spacing w:val="-1"/>
          <w:w w:val="105"/>
        </w:rPr>
        <w:t> </w:t>
      </w:r>
      <w:r>
        <w:rPr>
          <w:w w:val="105"/>
        </w:rPr>
        <w:t>LLC,</w:t>
      </w:r>
      <w:r>
        <w:rPr>
          <w:spacing w:val="-1"/>
          <w:w w:val="105"/>
        </w:rPr>
        <w:t> </w:t>
      </w:r>
      <w:r>
        <w:rPr>
          <w:w w:val="105"/>
        </w:rPr>
        <w:t>now</w:t>
      </w:r>
      <w:r>
        <w:rPr>
          <w:spacing w:val="-1"/>
          <w:w w:val="105"/>
        </w:rPr>
        <w:t> </w:t>
      </w:r>
      <w:r>
        <w:rPr>
          <w:w w:val="105"/>
        </w:rPr>
        <w:t>a</w:t>
      </w:r>
      <w:r>
        <w:rPr>
          <w:spacing w:val="-1"/>
          <w:w w:val="105"/>
        </w:rPr>
        <w:t> </w:t>
      </w:r>
      <w:r>
        <w:rPr>
          <w:w w:val="105"/>
        </w:rPr>
        <w:t>consolidated</w:t>
      </w:r>
      <w:r>
        <w:rPr>
          <w:spacing w:val="-1"/>
          <w:w w:val="105"/>
        </w:rPr>
        <w:t> </w:t>
      </w:r>
      <w:r>
        <w:rPr>
          <w:w w:val="105"/>
        </w:rPr>
        <w:t>subsidiary</w:t>
      </w:r>
      <w:r>
        <w:rPr>
          <w:spacing w:val="-1"/>
          <w:w w:val="105"/>
        </w:rPr>
        <w:t> </w:t>
      </w:r>
      <w:r>
        <w:rPr>
          <w:w w:val="105"/>
        </w:rPr>
        <w:t>of</w:t>
      </w:r>
      <w:r>
        <w:rPr>
          <w:spacing w:val="-1"/>
          <w:w w:val="105"/>
        </w:rPr>
        <w:t> </w:t>
      </w:r>
      <w:r>
        <w:rPr>
          <w:w w:val="105"/>
        </w:rPr>
        <w:t>Corning.</w:t>
      </w:r>
      <w:r>
        <w:rPr>
          <w:spacing w:val="40"/>
          <w:w w:val="105"/>
        </w:rPr>
        <w:t> </w:t>
      </w:r>
      <w:r>
        <w:rPr>
          <w:w w:val="105"/>
        </w:rPr>
        <w:t>As</w:t>
      </w:r>
      <w:r>
        <w:rPr>
          <w:spacing w:val="-1"/>
          <w:w w:val="105"/>
        </w:rPr>
        <w:t> </w:t>
      </w:r>
      <w:r>
        <w:rPr>
          <w:w w:val="105"/>
        </w:rPr>
        <w:t>of</w:t>
      </w:r>
      <w:r>
        <w:rPr>
          <w:spacing w:val="-1"/>
          <w:w w:val="105"/>
        </w:rPr>
        <w:t> </w:t>
      </w:r>
      <w:r>
        <w:rPr>
          <w:w w:val="105"/>
        </w:rPr>
        <w:t>December</w:t>
      </w:r>
      <w:r>
        <w:rPr>
          <w:spacing w:val="-1"/>
          <w:w w:val="105"/>
        </w:rPr>
        <w:t> </w:t>
      </w:r>
      <w:r>
        <w:rPr>
          <w:w w:val="105"/>
        </w:rPr>
        <w:t>31,</w:t>
      </w:r>
      <w:r>
        <w:rPr>
          <w:spacing w:val="-1"/>
          <w:w w:val="105"/>
        </w:rPr>
        <w:t> </w:t>
      </w:r>
      <w:r>
        <w:rPr>
          <w:w w:val="105"/>
        </w:rPr>
        <w:t>2021,</w:t>
      </w:r>
      <w:r>
        <w:rPr>
          <w:spacing w:val="-1"/>
          <w:w w:val="105"/>
        </w:rPr>
        <w:t> </w:t>
      </w:r>
      <w:r>
        <w:rPr>
          <w:w w:val="105"/>
        </w:rPr>
        <w:t>the</w:t>
      </w:r>
      <w:r>
        <w:rPr>
          <w:spacing w:val="-1"/>
          <w:w w:val="105"/>
        </w:rPr>
        <w:t> </w:t>
      </w:r>
      <w:r>
        <w:rPr>
          <w:w w:val="105"/>
        </w:rPr>
        <w:t>third-party</w:t>
      </w:r>
      <w:r>
        <w:rPr>
          <w:spacing w:val="-1"/>
          <w:w w:val="105"/>
        </w:rPr>
        <w:t> </w:t>
      </w:r>
      <w:r>
        <w:rPr>
          <w:w w:val="105"/>
        </w:rPr>
        <w:t>debt</w:t>
      </w:r>
      <w:r>
        <w:rPr>
          <w:spacing w:val="-1"/>
          <w:w w:val="105"/>
        </w:rPr>
        <w:t> </w:t>
      </w:r>
      <w:r>
        <w:rPr>
          <w:w w:val="105"/>
        </w:rPr>
        <w:t>has</w:t>
      </w:r>
      <w:r>
        <w:rPr>
          <w:spacing w:val="-1"/>
          <w:w w:val="105"/>
        </w:rPr>
        <w:t> </w:t>
      </w:r>
      <w:r>
        <w:rPr>
          <w:w w:val="105"/>
        </w:rPr>
        <w:t>been</w:t>
      </w:r>
      <w:r>
        <w:rPr>
          <w:spacing w:val="-1"/>
          <w:w w:val="105"/>
        </w:rPr>
        <w:t> </w:t>
      </w:r>
      <w:r>
        <w:rPr>
          <w:w w:val="105"/>
        </w:rPr>
        <w:t>fully</w:t>
      </w:r>
      <w:r>
        <w:rPr>
          <w:spacing w:val="-1"/>
          <w:w w:val="105"/>
        </w:rPr>
        <w:t> </w:t>
      </w:r>
      <w:r>
        <w:rPr>
          <w:w w:val="105"/>
        </w:rPr>
        <w:t>repaid.</w:t>
      </w:r>
      <w:r>
        <w:rPr>
          <w:spacing w:val="40"/>
          <w:w w:val="105"/>
        </w:rPr>
        <w:t> </w:t>
      </w:r>
      <w:r>
        <w:rPr>
          <w:w w:val="105"/>
        </w:rPr>
        <w:t>Refer</w:t>
      </w:r>
      <w:r>
        <w:rPr>
          <w:spacing w:val="-1"/>
          <w:w w:val="105"/>
        </w:rPr>
        <w:t> </w:t>
      </w:r>
      <w:r>
        <w:rPr>
          <w:w w:val="105"/>
        </w:rPr>
        <w:t>to</w:t>
      </w:r>
      <w:r>
        <w:rPr>
          <w:spacing w:val="-1"/>
          <w:w w:val="105"/>
        </w:rPr>
        <w:t> </w:t>
      </w:r>
      <w:r>
        <w:rPr>
          <w:w w:val="105"/>
        </w:rPr>
        <w:t>Note</w:t>
      </w:r>
      <w:r>
        <w:rPr>
          <w:spacing w:val="-1"/>
          <w:w w:val="105"/>
        </w:rPr>
        <w:t> </w:t>
      </w:r>
      <w:r>
        <w:rPr>
          <w:w w:val="105"/>
        </w:rPr>
        <w:t>3</w:t>
      </w:r>
      <w:r>
        <w:rPr>
          <w:spacing w:val="-1"/>
          <w:w w:val="105"/>
        </w:rPr>
        <w:t> </w:t>
      </w:r>
      <w:r>
        <w:rPr>
          <w:w w:val="105"/>
        </w:rPr>
        <w:t>(Investments) to</w:t>
      </w:r>
      <w:r>
        <w:rPr>
          <w:spacing w:val="-1"/>
          <w:w w:val="105"/>
        </w:rPr>
        <w:t> </w:t>
      </w:r>
      <w:r>
        <w:rPr>
          <w:w w:val="105"/>
        </w:rPr>
        <w:t>the consolidated financial statements for additional information.</w:t>
      </w:r>
    </w:p>
    <w:p>
      <w:pPr>
        <w:pStyle w:val="BodyText"/>
        <w:spacing w:before="18"/>
      </w:pPr>
    </w:p>
    <w:p>
      <w:pPr>
        <w:pStyle w:val="BodyText"/>
        <w:spacing w:line="266" w:lineRule="auto"/>
        <w:ind w:left="156" w:right="328"/>
      </w:pPr>
      <w:r>
        <w:rPr>
          <w:w w:val="105"/>
        </w:rPr>
        <w:t>During</w:t>
      </w:r>
      <w:r>
        <w:rPr>
          <w:spacing w:val="-8"/>
          <w:w w:val="105"/>
        </w:rPr>
        <w:t> </w:t>
      </w:r>
      <w:r>
        <w:rPr>
          <w:w w:val="105"/>
        </w:rPr>
        <w:t>the</w:t>
      </w:r>
      <w:r>
        <w:rPr>
          <w:spacing w:val="-8"/>
          <w:w w:val="105"/>
        </w:rPr>
        <w:t> </w:t>
      </w:r>
      <w:r>
        <w:rPr>
          <w:w w:val="105"/>
        </w:rPr>
        <w:t>second</w:t>
      </w:r>
      <w:r>
        <w:rPr>
          <w:spacing w:val="-8"/>
          <w:w w:val="105"/>
        </w:rPr>
        <w:t> </w:t>
      </w:r>
      <w:r>
        <w:rPr>
          <w:w w:val="105"/>
        </w:rPr>
        <w:t>quarter</w:t>
      </w:r>
      <w:r>
        <w:rPr>
          <w:spacing w:val="-8"/>
          <w:w w:val="105"/>
        </w:rPr>
        <w:t> </w:t>
      </w:r>
      <w:r>
        <w:rPr>
          <w:w w:val="105"/>
        </w:rPr>
        <w:t>of</w:t>
      </w:r>
      <w:r>
        <w:rPr>
          <w:spacing w:val="-8"/>
          <w:w w:val="105"/>
        </w:rPr>
        <w:t> </w:t>
      </w:r>
      <w:r>
        <w:rPr>
          <w:w w:val="105"/>
        </w:rPr>
        <w:t>2020,</w:t>
      </w:r>
      <w:r>
        <w:rPr>
          <w:spacing w:val="-8"/>
          <w:w w:val="105"/>
        </w:rPr>
        <w:t> </w:t>
      </w:r>
      <w:r>
        <w:rPr>
          <w:w w:val="105"/>
        </w:rPr>
        <w:t>Corning</w:t>
      </w:r>
      <w:r>
        <w:rPr>
          <w:spacing w:val="-6"/>
          <w:w w:val="105"/>
        </w:rPr>
        <w:t> </w:t>
      </w:r>
      <w:r>
        <w:rPr>
          <w:w w:val="105"/>
        </w:rPr>
        <w:t>established</w:t>
      </w:r>
      <w:r>
        <w:rPr>
          <w:spacing w:val="-8"/>
          <w:w w:val="105"/>
        </w:rPr>
        <w:t> </w:t>
      </w:r>
      <w:r>
        <w:rPr>
          <w:w w:val="105"/>
        </w:rPr>
        <w:t>an</w:t>
      </w:r>
      <w:r>
        <w:rPr>
          <w:spacing w:val="-8"/>
          <w:w w:val="105"/>
        </w:rPr>
        <w:t> </w:t>
      </w:r>
      <w:r>
        <w:rPr>
          <w:w w:val="105"/>
        </w:rPr>
        <w:t>incremental</w:t>
      </w:r>
      <w:r>
        <w:rPr>
          <w:spacing w:val="-8"/>
          <w:w w:val="105"/>
        </w:rPr>
        <w:t> </w:t>
      </w:r>
      <w:r>
        <w:rPr>
          <w:w w:val="105"/>
        </w:rPr>
        <w:t>liquidity</w:t>
      </w:r>
      <w:r>
        <w:rPr>
          <w:spacing w:val="-8"/>
          <w:w w:val="105"/>
        </w:rPr>
        <w:t> </w:t>
      </w:r>
      <w:r>
        <w:rPr>
          <w:w w:val="105"/>
        </w:rPr>
        <w:t>facility</w:t>
      </w:r>
      <w:r>
        <w:rPr>
          <w:spacing w:val="-8"/>
          <w:w w:val="105"/>
        </w:rPr>
        <w:t> </w:t>
      </w:r>
      <w:r>
        <w:rPr>
          <w:w w:val="105"/>
        </w:rPr>
        <w:t>for</w:t>
      </w:r>
      <w:r>
        <w:rPr>
          <w:spacing w:val="-8"/>
          <w:w w:val="105"/>
        </w:rPr>
        <w:t> </w:t>
      </w:r>
      <w:r>
        <w:rPr>
          <w:w w:val="105"/>
        </w:rPr>
        <w:t>25</w:t>
      </w:r>
      <w:r>
        <w:rPr>
          <w:spacing w:val="-8"/>
          <w:w w:val="105"/>
        </w:rPr>
        <w:t> </w:t>
      </w:r>
      <w:r>
        <w:rPr>
          <w:w w:val="105"/>
        </w:rPr>
        <w:t>billion</w:t>
      </w:r>
      <w:r>
        <w:rPr>
          <w:spacing w:val="-8"/>
          <w:w w:val="105"/>
        </w:rPr>
        <w:t> </w:t>
      </w:r>
      <w:r>
        <w:rPr>
          <w:w w:val="105"/>
        </w:rPr>
        <w:t>Japanese</w:t>
      </w:r>
      <w:r>
        <w:rPr>
          <w:spacing w:val="-8"/>
          <w:w w:val="105"/>
        </w:rPr>
        <w:t> </w:t>
      </w:r>
      <w:r>
        <w:rPr>
          <w:w w:val="105"/>
        </w:rPr>
        <w:t>yen,</w:t>
      </w:r>
      <w:r>
        <w:rPr>
          <w:spacing w:val="-6"/>
          <w:w w:val="105"/>
        </w:rPr>
        <w:t> </w:t>
      </w:r>
      <w:r>
        <w:rPr>
          <w:w w:val="105"/>
        </w:rPr>
        <w:t>equivalent</w:t>
      </w:r>
      <w:r>
        <w:rPr>
          <w:spacing w:val="-8"/>
          <w:w w:val="105"/>
        </w:rPr>
        <w:t> </w:t>
      </w:r>
      <w:r>
        <w:rPr>
          <w:w w:val="105"/>
        </w:rPr>
        <w:t>to</w:t>
      </w:r>
      <w:r>
        <w:rPr>
          <w:spacing w:val="-8"/>
          <w:w w:val="105"/>
        </w:rPr>
        <w:t> </w:t>
      </w:r>
      <w:r>
        <w:rPr>
          <w:w w:val="105"/>
        </w:rPr>
        <w:t>$232</w:t>
      </w:r>
      <w:r>
        <w:rPr>
          <w:spacing w:val="-8"/>
          <w:w w:val="105"/>
        </w:rPr>
        <w:t> </w:t>
      </w:r>
      <w:r>
        <w:rPr>
          <w:w w:val="105"/>
        </w:rPr>
        <w:t>million</w:t>
      </w:r>
      <w:r>
        <w:rPr>
          <w:spacing w:val="-8"/>
          <w:w w:val="105"/>
        </w:rPr>
        <w:t> </w:t>
      </w:r>
      <w:r>
        <w:rPr>
          <w:w w:val="105"/>
        </w:rPr>
        <w:t>with</w:t>
      </w:r>
      <w:r>
        <w:rPr>
          <w:spacing w:val="-6"/>
          <w:w w:val="105"/>
        </w:rPr>
        <w:t> </w:t>
      </w:r>
      <w:r>
        <w:rPr>
          <w:w w:val="105"/>
        </w:rPr>
        <w:t>a</w:t>
      </w:r>
      <w:r>
        <w:rPr>
          <w:spacing w:val="-8"/>
          <w:w w:val="105"/>
        </w:rPr>
        <w:t> </w:t>
      </w:r>
      <w:r>
        <w:rPr>
          <w:w w:val="105"/>
        </w:rPr>
        <w:t>maturity</w:t>
      </w:r>
      <w:r>
        <w:rPr>
          <w:spacing w:val="-8"/>
          <w:w w:val="105"/>
        </w:rPr>
        <w:t> </w:t>
      </w:r>
      <w:r>
        <w:rPr>
          <w:w w:val="105"/>
        </w:rPr>
        <w:t>of</w:t>
      </w:r>
      <w:r>
        <w:rPr>
          <w:spacing w:val="-8"/>
          <w:w w:val="105"/>
        </w:rPr>
        <w:t> </w:t>
      </w:r>
      <w:r>
        <w:rPr>
          <w:w w:val="105"/>
        </w:rPr>
        <w:t>three years. As of December 31, 2020, the facility has not been drawn upon.</w:t>
      </w:r>
    </w:p>
    <w:p>
      <w:pPr>
        <w:pStyle w:val="BodyText"/>
        <w:spacing w:before="19"/>
      </w:pPr>
    </w:p>
    <w:p>
      <w:pPr>
        <w:pStyle w:val="BodyText"/>
        <w:spacing w:line="266" w:lineRule="auto"/>
        <w:ind w:left="156" w:right="117"/>
      </w:pPr>
      <w:r>
        <w:rPr>
          <w:w w:val="105"/>
        </w:rPr>
        <w:t>In</w:t>
      </w:r>
      <w:r>
        <w:rPr>
          <w:spacing w:val="-1"/>
          <w:w w:val="105"/>
        </w:rPr>
        <w:t> </w:t>
      </w:r>
      <w:r>
        <w:rPr>
          <w:w w:val="105"/>
        </w:rPr>
        <w:t>the</w:t>
      </w:r>
      <w:r>
        <w:rPr>
          <w:spacing w:val="-1"/>
          <w:w w:val="105"/>
        </w:rPr>
        <w:t> </w:t>
      </w:r>
      <w:r>
        <w:rPr>
          <w:w w:val="105"/>
        </w:rPr>
        <w:t>first</w:t>
      </w:r>
      <w:r>
        <w:rPr>
          <w:spacing w:val="-1"/>
          <w:w w:val="105"/>
        </w:rPr>
        <w:t> </w:t>
      </w:r>
      <w:r>
        <w:rPr>
          <w:w w:val="105"/>
        </w:rPr>
        <w:t>quarter</w:t>
      </w:r>
      <w:r>
        <w:rPr>
          <w:spacing w:val="-1"/>
          <w:w w:val="105"/>
        </w:rPr>
        <w:t> </w:t>
      </w:r>
      <w:r>
        <w:rPr>
          <w:w w:val="105"/>
        </w:rPr>
        <w:t>of</w:t>
      </w:r>
      <w:r>
        <w:rPr>
          <w:spacing w:val="-1"/>
          <w:w w:val="105"/>
        </w:rPr>
        <w:t> </w:t>
      </w:r>
      <w:r>
        <w:rPr>
          <w:w w:val="105"/>
        </w:rPr>
        <w:t>2020,</w:t>
      </w:r>
      <w:r>
        <w:rPr>
          <w:spacing w:val="-1"/>
          <w:w w:val="105"/>
        </w:rPr>
        <w:t> </w:t>
      </w:r>
      <w:r>
        <w:rPr>
          <w:w w:val="105"/>
        </w:rPr>
        <w:t>Corning</w:t>
      </w:r>
      <w:r>
        <w:rPr>
          <w:spacing w:val="-1"/>
          <w:w w:val="105"/>
        </w:rPr>
        <w:t> </w:t>
      </w:r>
      <w:r>
        <w:rPr>
          <w:w w:val="105"/>
        </w:rPr>
        <w:t>established</w:t>
      </w:r>
      <w:r>
        <w:rPr>
          <w:spacing w:val="-1"/>
          <w:w w:val="105"/>
        </w:rPr>
        <w:t> </w:t>
      </w:r>
      <w:r>
        <w:rPr>
          <w:w w:val="105"/>
        </w:rPr>
        <w:t>two</w:t>
      </w:r>
      <w:r>
        <w:rPr>
          <w:spacing w:val="-1"/>
          <w:w w:val="105"/>
        </w:rPr>
        <w:t> </w:t>
      </w:r>
      <w:r>
        <w:rPr>
          <w:w w:val="105"/>
        </w:rPr>
        <w:t>unsecured</w:t>
      </w:r>
      <w:r>
        <w:rPr>
          <w:spacing w:val="-1"/>
          <w:w w:val="105"/>
        </w:rPr>
        <w:t> </w:t>
      </w:r>
      <w:r>
        <w:rPr>
          <w:w w:val="105"/>
        </w:rPr>
        <w:t>variable</w:t>
      </w:r>
      <w:r>
        <w:rPr>
          <w:spacing w:val="-1"/>
          <w:w w:val="105"/>
        </w:rPr>
        <w:t> </w:t>
      </w:r>
      <w:r>
        <w:rPr>
          <w:w w:val="105"/>
        </w:rPr>
        <w:t>rate</w:t>
      </w:r>
      <w:r>
        <w:rPr>
          <w:spacing w:val="-1"/>
          <w:w w:val="105"/>
        </w:rPr>
        <w:t> </w:t>
      </w:r>
      <w:r>
        <w:rPr>
          <w:w w:val="105"/>
        </w:rPr>
        <w:t>loan</w:t>
      </w:r>
      <w:r>
        <w:rPr>
          <w:spacing w:val="-1"/>
          <w:w w:val="105"/>
        </w:rPr>
        <w:t> </w:t>
      </w:r>
      <w:r>
        <w:rPr>
          <w:w w:val="105"/>
        </w:rPr>
        <w:t>facilities</w:t>
      </w:r>
      <w:r>
        <w:rPr>
          <w:spacing w:val="-1"/>
          <w:w w:val="105"/>
        </w:rPr>
        <w:t> </w:t>
      </w:r>
      <w:r>
        <w:rPr>
          <w:w w:val="105"/>
        </w:rPr>
        <w:t>for</w:t>
      </w:r>
      <w:r>
        <w:rPr>
          <w:spacing w:val="-1"/>
          <w:w w:val="105"/>
        </w:rPr>
        <w:t> </w:t>
      </w:r>
      <w:r>
        <w:rPr>
          <w:w w:val="105"/>
        </w:rPr>
        <w:t>1,050</w:t>
      </w:r>
      <w:r>
        <w:rPr>
          <w:spacing w:val="-1"/>
          <w:w w:val="105"/>
        </w:rPr>
        <w:t> </w:t>
      </w:r>
      <w:r>
        <w:rPr>
          <w:w w:val="105"/>
        </w:rPr>
        <w:t>million</w:t>
      </w:r>
      <w:r>
        <w:rPr>
          <w:spacing w:val="-1"/>
          <w:w w:val="105"/>
        </w:rPr>
        <w:t> </w:t>
      </w:r>
      <w:r>
        <w:rPr>
          <w:w w:val="105"/>
        </w:rPr>
        <w:t>Chinese</w:t>
      </w:r>
      <w:r>
        <w:rPr>
          <w:spacing w:val="-1"/>
          <w:w w:val="105"/>
        </w:rPr>
        <w:t> </w:t>
      </w:r>
      <w:r>
        <w:rPr>
          <w:w w:val="105"/>
        </w:rPr>
        <w:t>yuan,</w:t>
      </w:r>
      <w:r>
        <w:rPr>
          <w:spacing w:val="-1"/>
          <w:w w:val="105"/>
        </w:rPr>
        <w:t> </w:t>
      </w:r>
      <w:r>
        <w:rPr>
          <w:w w:val="105"/>
        </w:rPr>
        <w:t>equivalent</w:t>
      </w:r>
      <w:r>
        <w:rPr>
          <w:spacing w:val="-1"/>
          <w:w w:val="105"/>
        </w:rPr>
        <w:t> </w:t>
      </w:r>
      <w:r>
        <w:rPr>
          <w:w w:val="105"/>
        </w:rPr>
        <w:t>to</w:t>
      </w:r>
      <w:r>
        <w:rPr>
          <w:spacing w:val="-1"/>
          <w:w w:val="105"/>
        </w:rPr>
        <w:t> </w:t>
      </w:r>
      <w:r>
        <w:rPr>
          <w:w w:val="105"/>
        </w:rPr>
        <w:t>$150</w:t>
      </w:r>
      <w:r>
        <w:rPr>
          <w:spacing w:val="-1"/>
          <w:w w:val="105"/>
        </w:rPr>
        <w:t> </w:t>
      </w:r>
      <w:r>
        <w:rPr>
          <w:w w:val="105"/>
        </w:rPr>
        <w:t>million,</w:t>
      </w:r>
      <w:r>
        <w:rPr>
          <w:spacing w:val="-1"/>
          <w:w w:val="105"/>
        </w:rPr>
        <w:t> </w:t>
      </w:r>
      <w:r>
        <w:rPr>
          <w:w w:val="105"/>
        </w:rPr>
        <w:t>and</w:t>
      </w:r>
      <w:r>
        <w:rPr>
          <w:spacing w:val="-1"/>
          <w:w w:val="105"/>
        </w:rPr>
        <w:t> </w:t>
      </w:r>
      <w:r>
        <w:rPr>
          <w:w w:val="105"/>
        </w:rPr>
        <w:t>749</w:t>
      </w:r>
      <w:r>
        <w:rPr>
          <w:spacing w:val="-1"/>
          <w:w w:val="105"/>
        </w:rPr>
        <w:t> </w:t>
      </w:r>
      <w:r>
        <w:rPr>
          <w:w w:val="105"/>
        </w:rPr>
        <w:t>million Chinese</w:t>
      </w:r>
      <w:r>
        <w:rPr>
          <w:spacing w:val="-3"/>
          <w:w w:val="105"/>
        </w:rPr>
        <w:t> </w:t>
      </w:r>
      <w:r>
        <w:rPr>
          <w:w w:val="105"/>
        </w:rPr>
        <w:t>yuan,</w:t>
      </w:r>
      <w:r>
        <w:rPr>
          <w:spacing w:val="-3"/>
          <w:w w:val="105"/>
        </w:rPr>
        <w:t> </w:t>
      </w:r>
      <w:r>
        <w:rPr>
          <w:w w:val="105"/>
        </w:rPr>
        <w:t>equivalent</w:t>
      </w:r>
      <w:r>
        <w:rPr>
          <w:spacing w:val="-3"/>
          <w:w w:val="105"/>
        </w:rPr>
        <w:t> </w:t>
      </w:r>
      <w:r>
        <w:rPr>
          <w:w w:val="105"/>
        </w:rPr>
        <w:t>to</w:t>
      </w:r>
      <w:r>
        <w:rPr>
          <w:spacing w:val="-3"/>
          <w:w w:val="105"/>
        </w:rPr>
        <w:t> </w:t>
      </w:r>
      <w:r>
        <w:rPr>
          <w:w w:val="105"/>
        </w:rPr>
        <w:t>$105</w:t>
      </w:r>
      <w:r>
        <w:rPr>
          <w:spacing w:val="-3"/>
          <w:w w:val="105"/>
        </w:rPr>
        <w:t> </w:t>
      </w:r>
      <w:r>
        <w:rPr>
          <w:w w:val="105"/>
        </w:rPr>
        <w:t>million,</w:t>
      </w:r>
      <w:r>
        <w:rPr>
          <w:spacing w:val="-3"/>
          <w:w w:val="105"/>
        </w:rPr>
        <w:t> </w:t>
      </w:r>
      <w:r>
        <w:rPr>
          <w:w w:val="105"/>
        </w:rPr>
        <w:t>each</w:t>
      </w:r>
      <w:r>
        <w:rPr>
          <w:spacing w:val="-3"/>
          <w:w w:val="105"/>
        </w:rPr>
        <w:t> </w:t>
      </w:r>
      <w:r>
        <w:rPr>
          <w:w w:val="105"/>
        </w:rPr>
        <w:t>with</w:t>
      </w:r>
      <w:r>
        <w:rPr>
          <w:spacing w:val="-3"/>
          <w:w w:val="105"/>
        </w:rPr>
        <w:t> </w:t>
      </w:r>
      <w:r>
        <w:rPr>
          <w:w w:val="105"/>
        </w:rPr>
        <w:t>a</w:t>
      </w:r>
      <w:r>
        <w:rPr>
          <w:spacing w:val="-3"/>
          <w:w w:val="105"/>
        </w:rPr>
        <w:t> </w:t>
      </w:r>
      <w:r>
        <w:rPr>
          <w:w w:val="105"/>
        </w:rPr>
        <w:t>maturity</w:t>
      </w:r>
      <w:r>
        <w:rPr>
          <w:spacing w:val="-3"/>
          <w:w w:val="105"/>
        </w:rPr>
        <w:t> </w:t>
      </w:r>
      <w:r>
        <w:rPr>
          <w:w w:val="105"/>
        </w:rPr>
        <w:t>of</w:t>
      </w:r>
      <w:r>
        <w:rPr>
          <w:spacing w:val="-3"/>
          <w:w w:val="105"/>
        </w:rPr>
        <w:t> </w:t>
      </w:r>
      <w:r>
        <w:rPr>
          <w:w w:val="105"/>
        </w:rPr>
        <w:t>five</w:t>
      </w:r>
      <w:r>
        <w:rPr>
          <w:spacing w:val="-3"/>
          <w:w w:val="105"/>
        </w:rPr>
        <w:t> </w:t>
      </w:r>
      <w:r>
        <w:rPr>
          <w:w w:val="105"/>
        </w:rPr>
        <w:t>years.</w:t>
      </w:r>
      <w:r>
        <w:rPr>
          <w:spacing w:val="36"/>
          <w:w w:val="105"/>
        </w:rPr>
        <w:t> </w:t>
      </w:r>
      <w:r>
        <w:rPr>
          <w:w w:val="105"/>
        </w:rPr>
        <w:t>In</w:t>
      </w:r>
      <w:r>
        <w:rPr>
          <w:spacing w:val="-3"/>
          <w:w w:val="105"/>
        </w:rPr>
        <w:t> </w:t>
      </w:r>
      <w:r>
        <w:rPr>
          <w:w w:val="105"/>
        </w:rPr>
        <w:t>the</w:t>
      </w:r>
      <w:r>
        <w:rPr>
          <w:spacing w:val="-3"/>
          <w:w w:val="105"/>
        </w:rPr>
        <w:t> </w:t>
      </w:r>
      <w:r>
        <w:rPr>
          <w:w w:val="105"/>
        </w:rPr>
        <w:t>fourth</w:t>
      </w:r>
      <w:r>
        <w:rPr>
          <w:spacing w:val="-3"/>
          <w:w w:val="105"/>
        </w:rPr>
        <w:t> </w:t>
      </w:r>
      <w:r>
        <w:rPr>
          <w:w w:val="105"/>
        </w:rPr>
        <w:t>quarter</w:t>
      </w:r>
      <w:r>
        <w:rPr>
          <w:spacing w:val="-3"/>
          <w:w w:val="105"/>
        </w:rPr>
        <w:t> </w:t>
      </w:r>
      <w:r>
        <w:rPr>
          <w:w w:val="105"/>
        </w:rPr>
        <w:t>of</w:t>
      </w:r>
      <w:r>
        <w:rPr>
          <w:spacing w:val="-3"/>
          <w:w w:val="105"/>
        </w:rPr>
        <w:t> </w:t>
      </w:r>
      <w:r>
        <w:rPr>
          <w:w w:val="105"/>
        </w:rPr>
        <w:t>2020,</w:t>
      </w:r>
      <w:r>
        <w:rPr>
          <w:spacing w:val="-3"/>
          <w:w w:val="105"/>
        </w:rPr>
        <w:t> </w:t>
      </w:r>
      <w:r>
        <w:rPr>
          <w:w w:val="105"/>
        </w:rPr>
        <w:t>Corning</w:t>
      </w:r>
      <w:r>
        <w:rPr>
          <w:spacing w:val="-3"/>
          <w:w w:val="105"/>
        </w:rPr>
        <w:t> </w:t>
      </w:r>
      <w:r>
        <w:rPr>
          <w:w w:val="105"/>
        </w:rPr>
        <w:t>established</w:t>
      </w:r>
      <w:r>
        <w:rPr>
          <w:spacing w:val="-3"/>
          <w:w w:val="105"/>
        </w:rPr>
        <w:t> </w:t>
      </w:r>
      <w:r>
        <w:rPr>
          <w:w w:val="105"/>
        </w:rPr>
        <w:t>a</w:t>
      </w:r>
      <w:r>
        <w:rPr>
          <w:spacing w:val="-3"/>
          <w:w w:val="105"/>
        </w:rPr>
        <w:t> </w:t>
      </w:r>
      <w:r>
        <w:rPr>
          <w:w w:val="105"/>
        </w:rPr>
        <w:t>third</w:t>
      </w:r>
      <w:r>
        <w:rPr>
          <w:spacing w:val="-3"/>
          <w:w w:val="105"/>
        </w:rPr>
        <w:t> </w:t>
      </w:r>
      <w:r>
        <w:rPr>
          <w:w w:val="105"/>
        </w:rPr>
        <w:t>unsecured</w:t>
      </w:r>
      <w:r>
        <w:rPr>
          <w:spacing w:val="-3"/>
          <w:w w:val="105"/>
        </w:rPr>
        <w:t> </w:t>
      </w:r>
      <w:r>
        <w:rPr>
          <w:w w:val="105"/>
        </w:rPr>
        <w:t>variable</w:t>
      </w:r>
      <w:r>
        <w:rPr>
          <w:spacing w:val="-3"/>
          <w:w w:val="105"/>
        </w:rPr>
        <w:t> </w:t>
      </w:r>
      <w:r>
        <w:rPr>
          <w:w w:val="105"/>
        </w:rPr>
        <w:t>rate</w:t>
      </w:r>
      <w:r>
        <w:rPr>
          <w:spacing w:val="-3"/>
          <w:w w:val="105"/>
        </w:rPr>
        <w:t> </w:t>
      </w:r>
      <w:r>
        <w:rPr>
          <w:w w:val="105"/>
        </w:rPr>
        <w:t>loan</w:t>
      </w:r>
      <w:r>
        <w:rPr>
          <w:spacing w:val="-3"/>
          <w:w w:val="105"/>
        </w:rPr>
        <w:t> </w:t>
      </w:r>
      <w:r>
        <w:rPr>
          <w:w w:val="105"/>
        </w:rPr>
        <w:t>facility for</w:t>
      </w:r>
      <w:r>
        <w:rPr>
          <w:spacing w:val="-5"/>
          <w:w w:val="105"/>
        </w:rPr>
        <w:t> </w:t>
      </w:r>
      <w:r>
        <w:rPr>
          <w:w w:val="105"/>
        </w:rPr>
        <w:t>546</w:t>
      </w:r>
      <w:r>
        <w:rPr>
          <w:spacing w:val="-5"/>
          <w:w w:val="105"/>
        </w:rPr>
        <w:t> </w:t>
      </w:r>
      <w:r>
        <w:rPr>
          <w:w w:val="105"/>
        </w:rPr>
        <w:t>million</w:t>
      </w:r>
      <w:r>
        <w:rPr>
          <w:spacing w:val="-5"/>
          <w:w w:val="105"/>
        </w:rPr>
        <w:t> </w:t>
      </w:r>
      <w:r>
        <w:rPr>
          <w:w w:val="105"/>
        </w:rPr>
        <w:t>Chinese</w:t>
      </w:r>
      <w:r>
        <w:rPr>
          <w:spacing w:val="-5"/>
          <w:w w:val="105"/>
        </w:rPr>
        <w:t> </w:t>
      </w:r>
      <w:r>
        <w:rPr>
          <w:w w:val="105"/>
        </w:rPr>
        <w:t>yuan,</w:t>
      </w:r>
      <w:r>
        <w:rPr>
          <w:spacing w:val="-5"/>
          <w:w w:val="105"/>
        </w:rPr>
        <w:t> </w:t>
      </w:r>
      <w:r>
        <w:rPr>
          <w:w w:val="105"/>
        </w:rPr>
        <w:t>equivalent</w:t>
      </w:r>
      <w:r>
        <w:rPr>
          <w:spacing w:val="-5"/>
          <w:w w:val="105"/>
        </w:rPr>
        <w:t> </w:t>
      </w:r>
      <w:r>
        <w:rPr>
          <w:w w:val="105"/>
        </w:rPr>
        <w:t>to</w:t>
      </w:r>
      <w:r>
        <w:rPr>
          <w:spacing w:val="-5"/>
          <w:w w:val="105"/>
        </w:rPr>
        <w:t> </w:t>
      </w:r>
      <w:r>
        <w:rPr>
          <w:w w:val="105"/>
        </w:rPr>
        <w:t>$84</w:t>
      </w:r>
      <w:r>
        <w:rPr>
          <w:spacing w:val="-5"/>
          <w:w w:val="105"/>
        </w:rPr>
        <w:t> </w:t>
      </w:r>
      <w:r>
        <w:rPr>
          <w:w w:val="105"/>
        </w:rPr>
        <w:t>million,</w:t>
      </w:r>
      <w:r>
        <w:rPr>
          <w:spacing w:val="-5"/>
          <w:w w:val="105"/>
        </w:rPr>
        <w:t> </w:t>
      </w:r>
      <w:r>
        <w:rPr>
          <w:w w:val="105"/>
        </w:rPr>
        <w:t>with</w:t>
      </w:r>
      <w:r>
        <w:rPr>
          <w:spacing w:val="-5"/>
          <w:w w:val="105"/>
        </w:rPr>
        <w:t> </w:t>
      </w:r>
      <w:r>
        <w:rPr>
          <w:w w:val="105"/>
        </w:rPr>
        <w:t>a</w:t>
      </w:r>
      <w:r>
        <w:rPr>
          <w:spacing w:val="-5"/>
          <w:w w:val="105"/>
        </w:rPr>
        <w:t> </w:t>
      </w:r>
      <w:r>
        <w:rPr>
          <w:w w:val="105"/>
        </w:rPr>
        <w:t>maturity</w:t>
      </w:r>
      <w:r>
        <w:rPr>
          <w:spacing w:val="-5"/>
          <w:w w:val="105"/>
        </w:rPr>
        <w:t> </w:t>
      </w:r>
      <w:r>
        <w:rPr>
          <w:w w:val="105"/>
        </w:rPr>
        <w:t>of</w:t>
      </w:r>
      <w:r>
        <w:rPr>
          <w:spacing w:val="-5"/>
          <w:w w:val="105"/>
        </w:rPr>
        <w:t> </w:t>
      </w:r>
      <w:r>
        <w:rPr>
          <w:w w:val="105"/>
        </w:rPr>
        <w:t>five</w:t>
      </w:r>
      <w:r>
        <w:rPr>
          <w:spacing w:val="-5"/>
          <w:w w:val="105"/>
        </w:rPr>
        <w:t> </w:t>
      </w:r>
      <w:r>
        <w:rPr>
          <w:w w:val="105"/>
        </w:rPr>
        <w:t>years.</w:t>
      </w:r>
      <w:r>
        <w:rPr>
          <w:spacing w:val="-5"/>
          <w:w w:val="105"/>
        </w:rPr>
        <w:t> </w:t>
      </w:r>
      <w:r>
        <w:rPr>
          <w:w w:val="105"/>
        </w:rPr>
        <w:t>Borrowings</w:t>
      </w:r>
      <w:r>
        <w:rPr>
          <w:spacing w:val="-5"/>
          <w:w w:val="105"/>
        </w:rPr>
        <w:t> </w:t>
      </w:r>
      <w:r>
        <w:rPr>
          <w:w w:val="105"/>
        </w:rPr>
        <w:t>under</w:t>
      </w:r>
      <w:r>
        <w:rPr>
          <w:spacing w:val="-5"/>
          <w:w w:val="105"/>
        </w:rPr>
        <w:t> </w:t>
      </w:r>
      <w:r>
        <w:rPr>
          <w:w w:val="105"/>
        </w:rPr>
        <w:t>these</w:t>
      </w:r>
      <w:r>
        <w:rPr>
          <w:spacing w:val="-5"/>
          <w:w w:val="105"/>
        </w:rPr>
        <w:t> </w:t>
      </w:r>
      <w:r>
        <w:rPr>
          <w:w w:val="105"/>
        </w:rPr>
        <w:t>loan</w:t>
      </w:r>
      <w:r>
        <w:rPr>
          <w:spacing w:val="-5"/>
          <w:w w:val="105"/>
        </w:rPr>
        <w:t> </w:t>
      </w:r>
      <w:r>
        <w:rPr>
          <w:w w:val="105"/>
        </w:rPr>
        <w:t>facilities</w:t>
      </w:r>
      <w:r>
        <w:rPr>
          <w:spacing w:val="-5"/>
          <w:w w:val="105"/>
        </w:rPr>
        <w:t> </w:t>
      </w:r>
      <w:r>
        <w:rPr>
          <w:w w:val="105"/>
        </w:rPr>
        <w:t>for</w:t>
      </w:r>
      <w:r>
        <w:rPr>
          <w:spacing w:val="-5"/>
          <w:w w:val="105"/>
        </w:rPr>
        <w:t> </w:t>
      </w:r>
      <w:r>
        <w:rPr>
          <w:w w:val="105"/>
        </w:rPr>
        <w:t>the</w:t>
      </w:r>
      <w:r>
        <w:rPr>
          <w:spacing w:val="-5"/>
          <w:w w:val="105"/>
        </w:rPr>
        <w:t> </w:t>
      </w:r>
      <w:r>
        <w:rPr>
          <w:w w:val="105"/>
        </w:rPr>
        <w:t>year</w:t>
      </w:r>
      <w:r>
        <w:rPr>
          <w:spacing w:val="-5"/>
          <w:w w:val="105"/>
        </w:rPr>
        <w:t> </w:t>
      </w:r>
      <w:r>
        <w:rPr>
          <w:w w:val="105"/>
        </w:rPr>
        <w:t>ended</w:t>
      </w:r>
      <w:r>
        <w:rPr>
          <w:spacing w:val="-5"/>
          <w:w w:val="105"/>
        </w:rPr>
        <w:t> </w:t>
      </w:r>
      <w:r>
        <w:rPr>
          <w:w w:val="105"/>
        </w:rPr>
        <w:t>December</w:t>
      </w:r>
      <w:r>
        <w:rPr>
          <w:spacing w:val="-5"/>
          <w:w w:val="105"/>
        </w:rPr>
        <w:t> </w:t>
      </w:r>
      <w:r>
        <w:rPr>
          <w:w w:val="105"/>
        </w:rPr>
        <w:t>31,</w:t>
      </w:r>
      <w:r>
        <w:rPr>
          <w:spacing w:val="-5"/>
          <w:w w:val="105"/>
        </w:rPr>
        <w:t> </w:t>
      </w:r>
      <w:r>
        <w:rPr>
          <w:w w:val="105"/>
        </w:rPr>
        <w:t>2020,</w:t>
      </w:r>
      <w:r>
        <w:rPr>
          <w:spacing w:val="-5"/>
          <w:w w:val="105"/>
        </w:rPr>
        <w:t> </w:t>
      </w:r>
      <w:r>
        <w:rPr>
          <w:w w:val="105"/>
        </w:rPr>
        <w:t>totaled 1,691</w:t>
      </w:r>
      <w:r>
        <w:rPr>
          <w:spacing w:val="-9"/>
          <w:w w:val="105"/>
        </w:rPr>
        <w:t> </w:t>
      </w:r>
      <w:r>
        <w:rPr>
          <w:w w:val="105"/>
        </w:rPr>
        <w:t>million</w:t>
      </w:r>
      <w:r>
        <w:rPr>
          <w:spacing w:val="-9"/>
          <w:w w:val="105"/>
        </w:rPr>
        <w:t> </w:t>
      </w:r>
      <w:r>
        <w:rPr>
          <w:w w:val="105"/>
        </w:rPr>
        <w:t>Chinese</w:t>
      </w:r>
      <w:r>
        <w:rPr>
          <w:spacing w:val="-9"/>
          <w:w w:val="105"/>
        </w:rPr>
        <w:t> </w:t>
      </w:r>
      <w:r>
        <w:rPr>
          <w:w w:val="105"/>
        </w:rPr>
        <w:t>yuan,</w:t>
      </w:r>
      <w:r>
        <w:rPr>
          <w:spacing w:val="-9"/>
          <w:w w:val="105"/>
        </w:rPr>
        <w:t> </w:t>
      </w:r>
      <w:r>
        <w:rPr>
          <w:w w:val="105"/>
        </w:rPr>
        <w:t>or</w:t>
      </w:r>
      <w:r>
        <w:rPr>
          <w:spacing w:val="-9"/>
          <w:w w:val="105"/>
        </w:rPr>
        <w:t> </w:t>
      </w:r>
      <w:r>
        <w:rPr>
          <w:w w:val="105"/>
        </w:rPr>
        <w:t>approximately</w:t>
      </w:r>
      <w:r>
        <w:rPr>
          <w:spacing w:val="-9"/>
          <w:w w:val="105"/>
        </w:rPr>
        <w:t> </w:t>
      </w:r>
      <w:r>
        <w:rPr>
          <w:w w:val="105"/>
        </w:rPr>
        <w:t>$243</w:t>
      </w:r>
      <w:r>
        <w:rPr>
          <w:spacing w:val="-9"/>
          <w:w w:val="105"/>
        </w:rPr>
        <w:t> </w:t>
      </w:r>
      <w:r>
        <w:rPr>
          <w:w w:val="105"/>
        </w:rPr>
        <w:t>million.</w:t>
      </w:r>
      <w:r>
        <w:rPr>
          <w:spacing w:val="-9"/>
          <w:w w:val="105"/>
        </w:rPr>
        <w:t> </w:t>
      </w:r>
      <w:r>
        <w:rPr>
          <w:w w:val="105"/>
        </w:rPr>
        <w:t>These</w:t>
      </w:r>
      <w:r>
        <w:rPr>
          <w:spacing w:val="-9"/>
          <w:w w:val="105"/>
        </w:rPr>
        <w:t> </w:t>
      </w:r>
      <w:r>
        <w:rPr>
          <w:w w:val="105"/>
        </w:rPr>
        <w:t>Chinese</w:t>
      </w:r>
      <w:r>
        <w:rPr>
          <w:spacing w:val="-9"/>
          <w:w w:val="105"/>
        </w:rPr>
        <w:t> </w:t>
      </w:r>
      <w:r>
        <w:rPr>
          <w:w w:val="105"/>
        </w:rPr>
        <w:t>yuan-denominated</w:t>
      </w:r>
      <w:r>
        <w:rPr>
          <w:spacing w:val="-9"/>
          <w:w w:val="105"/>
        </w:rPr>
        <w:t> </w:t>
      </w:r>
      <w:r>
        <w:rPr>
          <w:w w:val="105"/>
        </w:rPr>
        <w:t>proceeds</w:t>
      </w:r>
      <w:r>
        <w:rPr>
          <w:spacing w:val="-9"/>
          <w:w w:val="105"/>
        </w:rPr>
        <w:t> </w:t>
      </w:r>
      <w:r>
        <w:rPr>
          <w:w w:val="105"/>
        </w:rPr>
        <w:t>will</w:t>
      </w:r>
      <w:r>
        <w:rPr>
          <w:spacing w:val="-9"/>
          <w:w w:val="105"/>
        </w:rPr>
        <w:t> </w:t>
      </w:r>
      <w:r>
        <w:rPr>
          <w:w w:val="105"/>
        </w:rPr>
        <w:t>not</w:t>
      </w:r>
      <w:r>
        <w:rPr>
          <w:spacing w:val="-9"/>
          <w:w w:val="105"/>
        </w:rPr>
        <w:t> </w:t>
      </w:r>
      <w:r>
        <w:rPr>
          <w:w w:val="105"/>
        </w:rPr>
        <w:t>be</w:t>
      </w:r>
      <w:r>
        <w:rPr>
          <w:spacing w:val="-9"/>
          <w:w w:val="105"/>
        </w:rPr>
        <w:t> </w:t>
      </w:r>
      <w:r>
        <w:rPr>
          <w:w w:val="105"/>
        </w:rPr>
        <w:t>converted</w:t>
      </w:r>
      <w:r>
        <w:rPr>
          <w:spacing w:val="-9"/>
          <w:w w:val="105"/>
        </w:rPr>
        <w:t> </w:t>
      </w:r>
      <w:r>
        <w:rPr>
          <w:w w:val="105"/>
        </w:rPr>
        <w:t>into</w:t>
      </w:r>
      <w:r>
        <w:rPr>
          <w:spacing w:val="-9"/>
          <w:w w:val="105"/>
        </w:rPr>
        <w:t> </w:t>
      </w:r>
      <w:r>
        <w:rPr>
          <w:w w:val="105"/>
        </w:rPr>
        <w:t>USD</w:t>
      </w:r>
      <w:r>
        <w:rPr>
          <w:spacing w:val="-9"/>
          <w:w w:val="105"/>
        </w:rPr>
        <w:t> </w:t>
      </w:r>
      <w:r>
        <w:rPr>
          <w:w w:val="105"/>
        </w:rPr>
        <w:t>and</w:t>
      </w:r>
      <w:r>
        <w:rPr>
          <w:spacing w:val="-9"/>
          <w:w w:val="105"/>
        </w:rPr>
        <w:t> </w:t>
      </w:r>
      <w:r>
        <w:rPr>
          <w:w w:val="105"/>
        </w:rPr>
        <w:t>will</w:t>
      </w:r>
      <w:r>
        <w:rPr>
          <w:spacing w:val="-9"/>
          <w:w w:val="105"/>
        </w:rPr>
        <w:t> </w:t>
      </w:r>
      <w:r>
        <w:rPr>
          <w:w w:val="105"/>
        </w:rPr>
        <w:t>be</w:t>
      </w:r>
      <w:r>
        <w:rPr>
          <w:spacing w:val="-9"/>
          <w:w w:val="105"/>
        </w:rPr>
        <w:t> </w:t>
      </w:r>
      <w:r>
        <w:rPr>
          <w:w w:val="105"/>
        </w:rPr>
        <w:t>used</w:t>
      </w:r>
      <w:r>
        <w:rPr>
          <w:spacing w:val="-7"/>
          <w:w w:val="105"/>
        </w:rPr>
        <w:t> </w:t>
      </w:r>
      <w:r>
        <w:rPr>
          <w:w w:val="105"/>
        </w:rPr>
        <w:t>for</w:t>
      </w:r>
      <w:r>
        <w:rPr>
          <w:spacing w:val="-9"/>
          <w:w w:val="105"/>
        </w:rPr>
        <w:t> </w:t>
      </w:r>
      <w:r>
        <w:rPr>
          <w:w w:val="105"/>
        </w:rPr>
        <w:t>capital</w:t>
      </w:r>
      <w:r>
        <w:rPr>
          <w:spacing w:val="-9"/>
          <w:w w:val="105"/>
        </w:rPr>
        <w:t> </w:t>
      </w:r>
      <w:r>
        <w:rPr>
          <w:w w:val="105"/>
        </w:rPr>
        <w:t>projects. Payments</w:t>
      </w:r>
      <w:r>
        <w:rPr>
          <w:spacing w:val="-3"/>
          <w:w w:val="105"/>
        </w:rPr>
        <w:t> </w:t>
      </w:r>
      <w:r>
        <w:rPr>
          <w:w w:val="105"/>
        </w:rPr>
        <w:t>of</w:t>
      </w:r>
      <w:r>
        <w:rPr>
          <w:spacing w:val="-3"/>
          <w:w w:val="105"/>
        </w:rPr>
        <w:t> </w:t>
      </w:r>
      <w:r>
        <w:rPr>
          <w:w w:val="105"/>
        </w:rPr>
        <w:t>principal</w:t>
      </w:r>
      <w:r>
        <w:rPr>
          <w:spacing w:val="-3"/>
          <w:w w:val="105"/>
        </w:rPr>
        <w:t> </w:t>
      </w:r>
      <w:r>
        <w:rPr>
          <w:w w:val="105"/>
        </w:rPr>
        <w:t>and</w:t>
      </w:r>
      <w:r>
        <w:rPr>
          <w:spacing w:val="-3"/>
          <w:w w:val="105"/>
        </w:rPr>
        <w:t> </w:t>
      </w:r>
      <w:r>
        <w:rPr>
          <w:w w:val="105"/>
        </w:rPr>
        <w:t>interest</w:t>
      </w:r>
      <w:r>
        <w:rPr>
          <w:spacing w:val="-3"/>
          <w:w w:val="105"/>
        </w:rPr>
        <w:t> </w:t>
      </w:r>
      <w:r>
        <w:rPr>
          <w:w w:val="105"/>
        </w:rPr>
        <w:t>on</w:t>
      </w:r>
      <w:r>
        <w:rPr>
          <w:spacing w:val="-3"/>
          <w:w w:val="105"/>
        </w:rPr>
        <w:t> </w:t>
      </w:r>
      <w:r>
        <w:rPr>
          <w:w w:val="105"/>
        </w:rPr>
        <w:t>the</w:t>
      </w:r>
      <w:r>
        <w:rPr>
          <w:spacing w:val="-3"/>
          <w:w w:val="105"/>
        </w:rPr>
        <w:t> </w:t>
      </w:r>
      <w:r>
        <w:rPr>
          <w:w w:val="105"/>
        </w:rPr>
        <w:t>Notes</w:t>
      </w:r>
      <w:r>
        <w:rPr>
          <w:spacing w:val="-3"/>
          <w:w w:val="105"/>
        </w:rPr>
        <w:t> </w:t>
      </w:r>
      <w:r>
        <w:rPr>
          <w:w w:val="105"/>
        </w:rPr>
        <w:t>will</w:t>
      </w:r>
      <w:r>
        <w:rPr>
          <w:spacing w:val="-3"/>
          <w:w w:val="105"/>
        </w:rPr>
        <w:t> </w:t>
      </w:r>
      <w:r>
        <w:rPr>
          <w:w w:val="105"/>
        </w:rPr>
        <w:t>be</w:t>
      </w:r>
      <w:r>
        <w:rPr>
          <w:spacing w:val="-3"/>
          <w:w w:val="105"/>
        </w:rPr>
        <w:t> </w:t>
      </w:r>
      <w:r>
        <w:rPr>
          <w:w w:val="105"/>
        </w:rPr>
        <w:t>in</w:t>
      </w:r>
      <w:r>
        <w:rPr>
          <w:spacing w:val="-3"/>
          <w:w w:val="105"/>
        </w:rPr>
        <w:t> </w:t>
      </w:r>
      <w:r>
        <w:rPr>
          <w:w w:val="105"/>
        </w:rPr>
        <w:t>Chinese</w:t>
      </w:r>
      <w:r>
        <w:rPr>
          <w:spacing w:val="-3"/>
          <w:w w:val="105"/>
        </w:rPr>
        <w:t> </w:t>
      </w:r>
      <w:r>
        <w:rPr>
          <w:w w:val="105"/>
        </w:rPr>
        <w:t>yuan,</w:t>
      </w:r>
      <w:r>
        <w:rPr>
          <w:spacing w:val="-3"/>
          <w:w w:val="105"/>
        </w:rPr>
        <w:t> </w:t>
      </w:r>
      <w:r>
        <w:rPr>
          <w:w w:val="105"/>
        </w:rPr>
        <w:t>or</w:t>
      </w:r>
      <w:r>
        <w:rPr>
          <w:spacing w:val="-3"/>
          <w:w w:val="105"/>
        </w:rPr>
        <w:t> </w:t>
      </w:r>
      <w:r>
        <w:rPr>
          <w:w w:val="105"/>
        </w:rPr>
        <w:t>should</w:t>
      </w:r>
      <w:r>
        <w:rPr>
          <w:spacing w:val="-3"/>
          <w:w w:val="105"/>
        </w:rPr>
        <w:t> </w:t>
      </w:r>
      <w:r>
        <w:rPr>
          <w:w w:val="105"/>
        </w:rPr>
        <w:t>yuan</w:t>
      </w:r>
      <w:r>
        <w:rPr>
          <w:spacing w:val="-3"/>
          <w:w w:val="105"/>
        </w:rPr>
        <w:t> </w:t>
      </w:r>
      <w:r>
        <w:rPr>
          <w:w w:val="105"/>
        </w:rPr>
        <w:t>be</w:t>
      </w:r>
      <w:r>
        <w:rPr>
          <w:spacing w:val="-3"/>
          <w:w w:val="105"/>
        </w:rPr>
        <w:t> </w:t>
      </w:r>
      <w:r>
        <w:rPr>
          <w:w w:val="105"/>
        </w:rPr>
        <w:t>unavailable</w:t>
      </w:r>
      <w:r>
        <w:rPr>
          <w:spacing w:val="-3"/>
          <w:w w:val="105"/>
        </w:rPr>
        <w:t> </w:t>
      </w:r>
      <w:r>
        <w:rPr>
          <w:w w:val="105"/>
        </w:rPr>
        <w:t>due</w:t>
      </w:r>
      <w:r>
        <w:rPr>
          <w:spacing w:val="-3"/>
          <w:w w:val="105"/>
        </w:rPr>
        <w:t> </w:t>
      </w:r>
      <w:r>
        <w:rPr>
          <w:w w:val="105"/>
        </w:rPr>
        <w:t>to</w:t>
      </w:r>
      <w:r>
        <w:rPr>
          <w:spacing w:val="-3"/>
          <w:w w:val="105"/>
        </w:rPr>
        <w:t> </w:t>
      </w:r>
      <w:r>
        <w:rPr>
          <w:w w:val="105"/>
        </w:rPr>
        <w:t>circumstances</w:t>
      </w:r>
      <w:r>
        <w:rPr>
          <w:spacing w:val="-3"/>
          <w:w w:val="105"/>
        </w:rPr>
        <w:t> </w:t>
      </w:r>
      <w:r>
        <w:rPr>
          <w:w w:val="105"/>
        </w:rPr>
        <w:t>beyond</w:t>
      </w:r>
      <w:r>
        <w:rPr>
          <w:spacing w:val="-3"/>
          <w:w w:val="105"/>
        </w:rPr>
        <w:t> </w:t>
      </w:r>
      <w:r>
        <w:rPr>
          <w:w w:val="105"/>
        </w:rPr>
        <w:t>Corning’s</w:t>
      </w:r>
      <w:r>
        <w:rPr>
          <w:spacing w:val="-3"/>
          <w:w w:val="105"/>
        </w:rPr>
        <w:t> </w:t>
      </w:r>
      <w:r>
        <w:rPr>
          <w:w w:val="105"/>
        </w:rPr>
        <w:t>control,</w:t>
      </w:r>
      <w:r>
        <w:rPr>
          <w:spacing w:val="-3"/>
          <w:w w:val="105"/>
        </w:rPr>
        <w:t> </w:t>
      </w:r>
      <w:r>
        <w:rPr>
          <w:w w:val="105"/>
        </w:rPr>
        <w:t>a</w:t>
      </w:r>
      <w:r>
        <w:rPr>
          <w:spacing w:val="-3"/>
          <w:w w:val="105"/>
        </w:rPr>
        <w:t> </w:t>
      </w:r>
      <w:r>
        <w:rPr>
          <w:w w:val="105"/>
        </w:rPr>
        <w:t>USD</w:t>
      </w:r>
      <w:r>
        <w:rPr>
          <w:spacing w:val="-3"/>
          <w:w w:val="105"/>
        </w:rPr>
        <w:t> </w:t>
      </w:r>
      <w:r>
        <w:rPr>
          <w:w w:val="105"/>
        </w:rPr>
        <w:t>equivalent. These loans are the sole obligations of the subsidiary borrowers and are not guaranteed by any other Corning entity.</w:t>
      </w:r>
    </w:p>
    <w:p>
      <w:pPr>
        <w:pStyle w:val="BodyText"/>
        <w:spacing w:before="17"/>
      </w:pPr>
    </w:p>
    <w:p>
      <w:pPr>
        <w:pStyle w:val="Heading3"/>
        <w:spacing w:before="1"/>
      </w:pPr>
      <w:r>
        <w:rPr/>
        <w:t>Common</w:t>
      </w:r>
      <w:r>
        <w:rPr>
          <w:spacing w:val="13"/>
        </w:rPr>
        <w:t> </w:t>
      </w:r>
      <w:r>
        <w:rPr/>
        <w:t>Stock</w:t>
      </w:r>
      <w:r>
        <w:rPr>
          <w:spacing w:val="13"/>
        </w:rPr>
        <w:t> </w:t>
      </w:r>
      <w:r>
        <w:rPr>
          <w:spacing w:val="-2"/>
        </w:rPr>
        <w:t>Dividends</w:t>
      </w:r>
    </w:p>
    <w:p>
      <w:pPr>
        <w:pStyle w:val="BodyText"/>
        <w:spacing w:before="39"/>
        <w:rPr>
          <w:b/>
          <w:i/>
        </w:rPr>
      </w:pPr>
    </w:p>
    <w:p>
      <w:pPr>
        <w:pStyle w:val="BodyText"/>
        <w:spacing w:line="266" w:lineRule="auto"/>
        <w:ind w:left="156" w:right="328"/>
      </w:pPr>
      <w:r>
        <w:rPr>
          <w:w w:val="105"/>
        </w:rPr>
        <w:t>On</w:t>
      </w:r>
      <w:r>
        <w:rPr>
          <w:spacing w:val="-9"/>
          <w:w w:val="105"/>
        </w:rPr>
        <w:t> </w:t>
      </w:r>
      <w:r>
        <w:rPr>
          <w:w w:val="105"/>
        </w:rPr>
        <w:t>February</w:t>
      </w:r>
      <w:r>
        <w:rPr>
          <w:spacing w:val="-9"/>
          <w:w w:val="105"/>
        </w:rPr>
        <w:t> </w:t>
      </w:r>
      <w:r>
        <w:rPr>
          <w:w w:val="105"/>
        </w:rPr>
        <w:t>2,</w:t>
      </w:r>
      <w:r>
        <w:rPr>
          <w:spacing w:val="-9"/>
          <w:w w:val="105"/>
        </w:rPr>
        <w:t> </w:t>
      </w:r>
      <w:r>
        <w:rPr>
          <w:w w:val="105"/>
        </w:rPr>
        <w:t>2022,</w:t>
      </w:r>
      <w:r>
        <w:rPr>
          <w:spacing w:val="-9"/>
          <w:w w:val="105"/>
        </w:rPr>
        <w:t> </w:t>
      </w:r>
      <w:r>
        <w:rPr>
          <w:w w:val="105"/>
        </w:rPr>
        <w:t>Corning’s</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declared</w:t>
      </w:r>
      <w:r>
        <w:rPr>
          <w:spacing w:val="-9"/>
          <w:w w:val="105"/>
        </w:rPr>
        <w:t> </w:t>
      </w:r>
      <w:r>
        <w:rPr>
          <w:w w:val="105"/>
        </w:rPr>
        <w:t>a</w:t>
      </w:r>
      <w:r>
        <w:rPr>
          <w:spacing w:val="-9"/>
          <w:w w:val="105"/>
        </w:rPr>
        <w:t> </w:t>
      </w:r>
      <w:r>
        <w:rPr>
          <w:w w:val="105"/>
        </w:rPr>
        <w:t>13%</w:t>
      </w:r>
      <w:r>
        <w:rPr>
          <w:spacing w:val="-9"/>
          <w:w w:val="105"/>
        </w:rPr>
        <w:t> </w:t>
      </w:r>
      <w:r>
        <w:rPr>
          <w:w w:val="105"/>
        </w:rPr>
        <w:t>increase</w:t>
      </w:r>
      <w:r>
        <w:rPr>
          <w:spacing w:val="-7"/>
          <w:w w:val="105"/>
        </w:rPr>
        <w:t> </w:t>
      </w:r>
      <w:r>
        <w:rPr>
          <w:w w:val="105"/>
        </w:rPr>
        <w:t>in</w:t>
      </w:r>
      <w:r>
        <w:rPr>
          <w:spacing w:val="-9"/>
          <w:w w:val="105"/>
        </w:rPr>
        <w:t> </w:t>
      </w:r>
      <w:r>
        <w:rPr>
          <w:w w:val="105"/>
        </w:rPr>
        <w:t>the</w:t>
      </w:r>
      <w:r>
        <w:rPr>
          <w:spacing w:val="-9"/>
          <w:w w:val="105"/>
        </w:rPr>
        <w:t> </w:t>
      </w:r>
      <w:r>
        <w:rPr>
          <w:w w:val="105"/>
        </w:rPr>
        <w:t>Company’s</w:t>
      </w:r>
      <w:r>
        <w:rPr>
          <w:spacing w:val="-9"/>
          <w:w w:val="105"/>
        </w:rPr>
        <w:t> </w:t>
      </w:r>
      <w:r>
        <w:rPr>
          <w:w w:val="105"/>
        </w:rPr>
        <w:t>quarterly</w:t>
      </w:r>
      <w:r>
        <w:rPr>
          <w:spacing w:val="-9"/>
          <w:w w:val="105"/>
        </w:rPr>
        <w:t> </w:t>
      </w:r>
      <w:r>
        <w:rPr>
          <w:w w:val="105"/>
        </w:rPr>
        <w:t>common</w:t>
      </w:r>
      <w:r>
        <w:rPr>
          <w:spacing w:val="-9"/>
          <w:w w:val="105"/>
        </w:rPr>
        <w:t> </w:t>
      </w:r>
      <w:r>
        <w:rPr>
          <w:w w:val="105"/>
        </w:rPr>
        <w:t>stock</w:t>
      </w:r>
      <w:r>
        <w:rPr>
          <w:spacing w:val="-9"/>
          <w:w w:val="105"/>
        </w:rPr>
        <w:t> </w:t>
      </w:r>
      <w:r>
        <w:rPr>
          <w:w w:val="105"/>
        </w:rPr>
        <w:t>dividend,</w:t>
      </w:r>
      <w:r>
        <w:rPr>
          <w:spacing w:val="-9"/>
          <w:w w:val="105"/>
        </w:rPr>
        <w:t> </w:t>
      </w:r>
      <w:r>
        <w:rPr>
          <w:w w:val="105"/>
        </w:rPr>
        <w:t>which</w:t>
      </w:r>
      <w:r>
        <w:rPr>
          <w:spacing w:val="-9"/>
          <w:w w:val="105"/>
        </w:rPr>
        <w:t> </w:t>
      </w:r>
      <w:r>
        <w:rPr>
          <w:w w:val="105"/>
        </w:rPr>
        <w:t>increased</w:t>
      </w:r>
      <w:r>
        <w:rPr>
          <w:spacing w:val="-7"/>
          <w:w w:val="105"/>
        </w:rPr>
        <w:t> </w:t>
      </w:r>
      <w:r>
        <w:rPr>
          <w:w w:val="105"/>
        </w:rPr>
        <w:t>the</w:t>
      </w:r>
      <w:r>
        <w:rPr>
          <w:spacing w:val="-9"/>
          <w:w w:val="105"/>
        </w:rPr>
        <w:t> </w:t>
      </w:r>
      <w:r>
        <w:rPr>
          <w:w w:val="105"/>
        </w:rPr>
        <w:t>quarterly</w:t>
      </w:r>
      <w:r>
        <w:rPr>
          <w:spacing w:val="-9"/>
          <w:w w:val="105"/>
        </w:rPr>
        <w:t> </w:t>
      </w:r>
      <w:r>
        <w:rPr>
          <w:w w:val="105"/>
        </w:rPr>
        <w:t>dividend from</w:t>
      </w:r>
      <w:r>
        <w:rPr>
          <w:spacing w:val="-2"/>
          <w:w w:val="105"/>
        </w:rPr>
        <w:t> </w:t>
      </w:r>
      <w:r>
        <w:rPr>
          <w:w w:val="105"/>
        </w:rPr>
        <w:t>$0.24</w:t>
      </w:r>
      <w:r>
        <w:rPr>
          <w:spacing w:val="-2"/>
          <w:w w:val="105"/>
        </w:rPr>
        <w:t> </w:t>
      </w:r>
      <w:r>
        <w:rPr>
          <w:w w:val="105"/>
        </w:rPr>
        <w:t>to</w:t>
      </w:r>
      <w:r>
        <w:rPr>
          <w:spacing w:val="-2"/>
          <w:w w:val="105"/>
        </w:rPr>
        <w:t> </w:t>
      </w:r>
      <w:r>
        <w:rPr>
          <w:w w:val="105"/>
        </w:rPr>
        <w:t>$0.27</w:t>
      </w:r>
      <w:r>
        <w:rPr>
          <w:spacing w:val="-2"/>
          <w:w w:val="105"/>
        </w:rPr>
        <w:t> </w:t>
      </w:r>
      <w:r>
        <w:rPr>
          <w:w w:val="105"/>
        </w:rPr>
        <w:t>per</w:t>
      </w:r>
      <w:r>
        <w:rPr>
          <w:spacing w:val="-2"/>
          <w:w w:val="105"/>
        </w:rPr>
        <w:t> </w:t>
      </w:r>
      <w:r>
        <w:rPr>
          <w:w w:val="105"/>
        </w:rPr>
        <w:t>share</w:t>
      </w:r>
      <w:r>
        <w:rPr>
          <w:spacing w:val="-2"/>
          <w:w w:val="105"/>
        </w:rPr>
        <w:t> </w:t>
      </w:r>
      <w:r>
        <w:rPr>
          <w:w w:val="105"/>
        </w:rPr>
        <w:t>of</w:t>
      </w:r>
      <w:r>
        <w:rPr>
          <w:spacing w:val="-2"/>
          <w:w w:val="105"/>
        </w:rPr>
        <w:t> </w:t>
      </w:r>
      <w:r>
        <w:rPr>
          <w:w w:val="105"/>
        </w:rPr>
        <w:t>common</w:t>
      </w:r>
      <w:r>
        <w:rPr>
          <w:spacing w:val="-2"/>
          <w:w w:val="105"/>
        </w:rPr>
        <w:t> </w:t>
      </w:r>
      <w:r>
        <w:rPr>
          <w:w w:val="105"/>
        </w:rPr>
        <w:t>stock,</w:t>
      </w:r>
      <w:r>
        <w:rPr>
          <w:spacing w:val="-2"/>
          <w:w w:val="105"/>
        </w:rPr>
        <w:t> </w:t>
      </w:r>
      <w:r>
        <w:rPr>
          <w:w w:val="105"/>
        </w:rPr>
        <w:t>beginning</w:t>
      </w:r>
      <w:r>
        <w:rPr>
          <w:spacing w:val="-2"/>
          <w:w w:val="105"/>
        </w:rPr>
        <w:t> </w:t>
      </w:r>
      <w:r>
        <w:rPr>
          <w:w w:val="105"/>
        </w:rPr>
        <w:t>with</w:t>
      </w:r>
      <w:r>
        <w:rPr>
          <w:spacing w:val="-2"/>
          <w:w w:val="105"/>
        </w:rPr>
        <w:t> </w:t>
      </w:r>
      <w:r>
        <w:rPr>
          <w:w w:val="105"/>
        </w:rPr>
        <w:t>the</w:t>
      </w:r>
      <w:r>
        <w:rPr>
          <w:spacing w:val="-2"/>
          <w:w w:val="105"/>
        </w:rPr>
        <w:t> </w:t>
      </w:r>
      <w:r>
        <w:rPr>
          <w:w w:val="105"/>
        </w:rPr>
        <w:t>dividend</w:t>
      </w:r>
      <w:r>
        <w:rPr>
          <w:spacing w:val="-2"/>
          <w:w w:val="105"/>
        </w:rPr>
        <w:t> </w:t>
      </w:r>
      <w:r>
        <w:rPr>
          <w:w w:val="105"/>
        </w:rPr>
        <w:t>paid</w:t>
      </w:r>
      <w:r>
        <w:rPr>
          <w:spacing w:val="-2"/>
          <w:w w:val="105"/>
        </w:rPr>
        <w:t> </w:t>
      </w:r>
      <w:r>
        <w:rPr>
          <w:w w:val="105"/>
        </w:rPr>
        <w:t>in</w:t>
      </w:r>
      <w:r>
        <w:rPr>
          <w:spacing w:val="-2"/>
          <w:w w:val="105"/>
        </w:rPr>
        <w:t> </w:t>
      </w:r>
      <w:r>
        <w:rPr>
          <w:w w:val="105"/>
        </w:rPr>
        <w:t>the</w:t>
      </w:r>
      <w:r>
        <w:rPr>
          <w:spacing w:val="-2"/>
          <w:w w:val="105"/>
        </w:rPr>
        <w:t> </w:t>
      </w:r>
      <w:r>
        <w:rPr>
          <w:w w:val="105"/>
        </w:rPr>
        <w:t>first</w:t>
      </w:r>
      <w:r>
        <w:rPr>
          <w:spacing w:val="-2"/>
          <w:w w:val="105"/>
        </w:rPr>
        <w:t> </w:t>
      </w:r>
      <w:r>
        <w:rPr>
          <w:w w:val="105"/>
        </w:rPr>
        <w:t>quarter</w:t>
      </w:r>
      <w:r>
        <w:rPr>
          <w:spacing w:val="-2"/>
          <w:w w:val="105"/>
        </w:rPr>
        <w:t> </w:t>
      </w:r>
      <w:r>
        <w:rPr>
          <w:w w:val="105"/>
        </w:rPr>
        <w:t>of</w:t>
      </w:r>
      <w:r>
        <w:rPr>
          <w:spacing w:val="-2"/>
          <w:w w:val="105"/>
        </w:rPr>
        <w:t> </w:t>
      </w:r>
      <w:r>
        <w:rPr>
          <w:w w:val="105"/>
        </w:rPr>
        <w:t>2022.</w:t>
      </w:r>
      <w:r>
        <w:rPr>
          <w:spacing w:val="-2"/>
          <w:w w:val="105"/>
        </w:rPr>
        <w:t> </w:t>
      </w:r>
      <w:r>
        <w:rPr>
          <w:w w:val="105"/>
        </w:rPr>
        <w:t>This</w:t>
      </w:r>
      <w:r>
        <w:rPr>
          <w:spacing w:val="-2"/>
          <w:w w:val="105"/>
        </w:rPr>
        <w:t> </w:t>
      </w:r>
      <w:r>
        <w:rPr>
          <w:w w:val="105"/>
        </w:rPr>
        <w:t>increase</w:t>
      </w:r>
      <w:r>
        <w:rPr>
          <w:spacing w:val="-2"/>
          <w:w w:val="105"/>
        </w:rPr>
        <w:t> </w:t>
      </w:r>
      <w:r>
        <w:rPr>
          <w:w w:val="105"/>
        </w:rPr>
        <w:t>marks</w:t>
      </w:r>
      <w:r>
        <w:rPr>
          <w:spacing w:val="-2"/>
          <w:w w:val="105"/>
        </w:rPr>
        <w:t> </w:t>
      </w:r>
      <w:r>
        <w:rPr>
          <w:w w:val="105"/>
        </w:rPr>
        <w:t>the eleventh</w:t>
      </w:r>
      <w:r>
        <w:rPr>
          <w:spacing w:val="-2"/>
          <w:w w:val="105"/>
        </w:rPr>
        <w:t> </w:t>
      </w:r>
      <w:r>
        <w:rPr>
          <w:w w:val="105"/>
        </w:rPr>
        <w:t>dividend</w:t>
      </w:r>
      <w:r>
        <w:rPr>
          <w:spacing w:val="-2"/>
          <w:w w:val="105"/>
        </w:rPr>
        <w:t> </w:t>
      </w:r>
      <w:r>
        <w:rPr>
          <w:w w:val="105"/>
        </w:rPr>
        <w:t>increase</w:t>
      </w:r>
      <w:r>
        <w:rPr>
          <w:spacing w:val="-2"/>
          <w:w w:val="105"/>
        </w:rPr>
        <w:t> </w:t>
      </w:r>
      <w:r>
        <w:rPr>
          <w:w w:val="105"/>
        </w:rPr>
        <w:t>since October</w:t>
      </w:r>
      <w:r>
        <w:rPr>
          <w:spacing w:val="-1"/>
          <w:w w:val="105"/>
        </w:rPr>
        <w:t> </w:t>
      </w:r>
      <w:r>
        <w:rPr>
          <w:w w:val="105"/>
        </w:rPr>
        <w:t>2011.</w:t>
      </w:r>
    </w:p>
    <w:p>
      <w:pPr>
        <w:pStyle w:val="BodyText"/>
        <w:spacing w:before="19"/>
      </w:pPr>
    </w:p>
    <w:p>
      <w:pPr>
        <w:pStyle w:val="BodyText"/>
        <w:ind w:left="156"/>
      </w:pPr>
      <w:r>
        <w:rPr>
          <w:w w:val="105"/>
        </w:rPr>
        <w:t>On</w:t>
      </w:r>
      <w:r>
        <w:rPr>
          <w:spacing w:val="-10"/>
          <w:w w:val="105"/>
        </w:rPr>
        <w:t> </w:t>
      </w:r>
      <w:r>
        <w:rPr>
          <w:w w:val="105"/>
        </w:rPr>
        <w:t>February</w:t>
      </w:r>
      <w:r>
        <w:rPr>
          <w:spacing w:val="-10"/>
          <w:w w:val="105"/>
        </w:rPr>
        <w:t> </w:t>
      </w:r>
      <w:r>
        <w:rPr>
          <w:w w:val="105"/>
        </w:rPr>
        <w:t>3,</w:t>
      </w:r>
      <w:r>
        <w:rPr>
          <w:spacing w:val="-10"/>
          <w:w w:val="105"/>
        </w:rPr>
        <w:t> </w:t>
      </w:r>
      <w:r>
        <w:rPr>
          <w:w w:val="105"/>
        </w:rPr>
        <w:t>2021,</w:t>
      </w:r>
      <w:r>
        <w:rPr>
          <w:spacing w:val="-10"/>
          <w:w w:val="105"/>
        </w:rPr>
        <w:t> </w:t>
      </w:r>
      <w:r>
        <w:rPr>
          <w:w w:val="105"/>
        </w:rPr>
        <w:t>Corning’s</w:t>
      </w:r>
      <w:r>
        <w:rPr>
          <w:spacing w:val="-10"/>
          <w:w w:val="105"/>
        </w:rPr>
        <w:t> </w:t>
      </w:r>
      <w:r>
        <w:rPr>
          <w:w w:val="105"/>
        </w:rPr>
        <w:t>Board</w:t>
      </w:r>
      <w:r>
        <w:rPr>
          <w:spacing w:val="-10"/>
          <w:w w:val="105"/>
        </w:rPr>
        <w:t> </w:t>
      </w:r>
      <w:r>
        <w:rPr>
          <w:w w:val="105"/>
        </w:rPr>
        <w:t>of</w:t>
      </w:r>
      <w:r>
        <w:rPr>
          <w:spacing w:val="-10"/>
          <w:w w:val="105"/>
        </w:rPr>
        <w:t> </w:t>
      </w:r>
      <w:r>
        <w:rPr>
          <w:w w:val="105"/>
        </w:rPr>
        <w:t>Directors</w:t>
      </w:r>
      <w:r>
        <w:rPr>
          <w:spacing w:val="-10"/>
          <w:w w:val="105"/>
        </w:rPr>
        <w:t> </w:t>
      </w:r>
      <w:r>
        <w:rPr>
          <w:w w:val="105"/>
        </w:rPr>
        <w:t>declared</w:t>
      </w:r>
      <w:r>
        <w:rPr>
          <w:spacing w:val="-10"/>
          <w:w w:val="105"/>
        </w:rPr>
        <w:t> </w:t>
      </w:r>
      <w:r>
        <w:rPr>
          <w:w w:val="105"/>
        </w:rPr>
        <w:t>a</w:t>
      </w:r>
      <w:r>
        <w:rPr>
          <w:spacing w:val="-10"/>
          <w:w w:val="105"/>
        </w:rPr>
        <w:t> </w:t>
      </w:r>
      <w:r>
        <w:rPr>
          <w:w w:val="105"/>
        </w:rPr>
        <w:t>9%</w:t>
      </w:r>
      <w:r>
        <w:rPr>
          <w:spacing w:val="-10"/>
          <w:w w:val="105"/>
        </w:rPr>
        <w:t> </w:t>
      </w:r>
      <w:r>
        <w:rPr>
          <w:w w:val="105"/>
        </w:rPr>
        <w:t>increase</w:t>
      </w:r>
      <w:r>
        <w:rPr>
          <w:spacing w:val="-9"/>
          <w:w w:val="105"/>
        </w:rPr>
        <w:t> </w:t>
      </w:r>
      <w:r>
        <w:rPr>
          <w:w w:val="105"/>
        </w:rPr>
        <w:t>in</w:t>
      </w:r>
      <w:r>
        <w:rPr>
          <w:spacing w:val="-10"/>
          <w:w w:val="105"/>
        </w:rPr>
        <w:t> </w:t>
      </w:r>
      <w:r>
        <w:rPr>
          <w:w w:val="105"/>
        </w:rPr>
        <w:t>the</w:t>
      </w:r>
      <w:r>
        <w:rPr>
          <w:spacing w:val="-10"/>
          <w:w w:val="105"/>
        </w:rPr>
        <w:t> </w:t>
      </w:r>
      <w:r>
        <w:rPr>
          <w:w w:val="105"/>
        </w:rPr>
        <w:t>Company’s</w:t>
      </w:r>
      <w:r>
        <w:rPr>
          <w:spacing w:val="-10"/>
          <w:w w:val="105"/>
        </w:rPr>
        <w:t> </w:t>
      </w:r>
      <w:r>
        <w:rPr>
          <w:w w:val="105"/>
        </w:rPr>
        <w:t>quarterly</w:t>
      </w:r>
      <w:r>
        <w:rPr>
          <w:spacing w:val="-10"/>
          <w:w w:val="105"/>
        </w:rPr>
        <w:t> </w:t>
      </w:r>
      <w:r>
        <w:rPr>
          <w:w w:val="105"/>
        </w:rPr>
        <w:t>common</w:t>
      </w:r>
      <w:r>
        <w:rPr>
          <w:spacing w:val="-10"/>
          <w:w w:val="105"/>
        </w:rPr>
        <w:t> </w:t>
      </w:r>
      <w:r>
        <w:rPr>
          <w:w w:val="105"/>
        </w:rPr>
        <w:t>stock</w:t>
      </w:r>
      <w:r>
        <w:rPr>
          <w:spacing w:val="-10"/>
          <w:w w:val="105"/>
        </w:rPr>
        <w:t> </w:t>
      </w:r>
      <w:r>
        <w:rPr>
          <w:w w:val="105"/>
        </w:rPr>
        <w:t>dividend,</w:t>
      </w:r>
      <w:r>
        <w:rPr>
          <w:spacing w:val="-10"/>
          <w:w w:val="105"/>
        </w:rPr>
        <w:t> </w:t>
      </w:r>
      <w:r>
        <w:rPr>
          <w:w w:val="105"/>
        </w:rPr>
        <w:t>which</w:t>
      </w:r>
      <w:r>
        <w:rPr>
          <w:spacing w:val="-10"/>
          <w:w w:val="105"/>
        </w:rPr>
        <w:t> </w:t>
      </w:r>
      <w:r>
        <w:rPr>
          <w:w w:val="105"/>
        </w:rPr>
        <w:t>increased</w:t>
      </w:r>
      <w:r>
        <w:rPr>
          <w:spacing w:val="-8"/>
          <w:w w:val="105"/>
        </w:rPr>
        <w:t> </w:t>
      </w:r>
      <w:r>
        <w:rPr>
          <w:w w:val="105"/>
        </w:rPr>
        <w:t>the</w:t>
      </w:r>
      <w:r>
        <w:rPr>
          <w:spacing w:val="-10"/>
          <w:w w:val="105"/>
        </w:rPr>
        <w:t> </w:t>
      </w:r>
      <w:r>
        <w:rPr>
          <w:w w:val="105"/>
        </w:rPr>
        <w:t>quarterly</w:t>
      </w:r>
      <w:r>
        <w:rPr>
          <w:spacing w:val="-10"/>
          <w:w w:val="105"/>
        </w:rPr>
        <w:t> </w:t>
      </w:r>
      <w:r>
        <w:rPr>
          <w:w w:val="105"/>
        </w:rPr>
        <w:t>dividend</w:t>
      </w:r>
      <w:r>
        <w:rPr>
          <w:spacing w:val="-10"/>
          <w:w w:val="105"/>
        </w:rPr>
        <w:t> </w:t>
      </w:r>
      <w:r>
        <w:rPr>
          <w:spacing w:val="-4"/>
          <w:w w:val="105"/>
        </w:rPr>
        <w:t>from</w:t>
      </w:r>
    </w:p>
    <w:p>
      <w:pPr>
        <w:pStyle w:val="BodyText"/>
        <w:spacing w:before="20"/>
        <w:ind w:left="156"/>
      </w:pPr>
      <w:r>
        <w:rPr>
          <w:w w:val="105"/>
        </w:rPr>
        <w:t>$0.22</w:t>
      </w:r>
      <w:r>
        <w:rPr>
          <w:spacing w:val="-7"/>
          <w:w w:val="105"/>
        </w:rPr>
        <w:t> </w:t>
      </w:r>
      <w:r>
        <w:rPr>
          <w:w w:val="105"/>
        </w:rPr>
        <w:t>to</w:t>
      </w:r>
      <w:r>
        <w:rPr>
          <w:spacing w:val="-7"/>
          <w:w w:val="105"/>
        </w:rPr>
        <w:t> </w:t>
      </w:r>
      <w:r>
        <w:rPr>
          <w:w w:val="105"/>
        </w:rPr>
        <w:t>$0.24</w:t>
      </w:r>
      <w:r>
        <w:rPr>
          <w:spacing w:val="-7"/>
          <w:w w:val="105"/>
        </w:rPr>
        <w:t> </w:t>
      </w:r>
      <w:r>
        <w:rPr>
          <w:w w:val="105"/>
        </w:rPr>
        <w:t>per</w:t>
      </w:r>
      <w:r>
        <w:rPr>
          <w:spacing w:val="-7"/>
          <w:w w:val="105"/>
        </w:rPr>
        <w:t> </w:t>
      </w:r>
      <w:r>
        <w:rPr>
          <w:w w:val="105"/>
        </w:rPr>
        <w:t>share</w:t>
      </w:r>
      <w:r>
        <w:rPr>
          <w:spacing w:val="-7"/>
          <w:w w:val="105"/>
        </w:rPr>
        <w:t> </w:t>
      </w:r>
      <w:r>
        <w:rPr>
          <w:w w:val="105"/>
        </w:rPr>
        <w:t>of</w:t>
      </w:r>
      <w:r>
        <w:rPr>
          <w:spacing w:val="-7"/>
          <w:w w:val="105"/>
        </w:rPr>
        <w:t> </w:t>
      </w:r>
      <w:r>
        <w:rPr>
          <w:w w:val="105"/>
        </w:rPr>
        <w:t>common</w:t>
      </w:r>
      <w:r>
        <w:rPr>
          <w:spacing w:val="-7"/>
          <w:w w:val="105"/>
        </w:rPr>
        <w:t> </w:t>
      </w:r>
      <w:r>
        <w:rPr>
          <w:w w:val="105"/>
        </w:rPr>
        <w:t>stock,</w:t>
      </w:r>
      <w:r>
        <w:rPr>
          <w:spacing w:val="-7"/>
          <w:w w:val="105"/>
        </w:rPr>
        <w:t> </w:t>
      </w:r>
      <w:r>
        <w:rPr>
          <w:w w:val="105"/>
        </w:rPr>
        <w:t>beginning</w:t>
      </w:r>
      <w:r>
        <w:rPr>
          <w:spacing w:val="-7"/>
          <w:w w:val="105"/>
        </w:rPr>
        <w:t> </w:t>
      </w:r>
      <w:r>
        <w:rPr>
          <w:w w:val="105"/>
        </w:rPr>
        <w:t>with</w:t>
      </w:r>
      <w:r>
        <w:rPr>
          <w:spacing w:val="-7"/>
          <w:w w:val="105"/>
        </w:rPr>
        <w:t> </w:t>
      </w:r>
      <w:r>
        <w:rPr>
          <w:w w:val="105"/>
        </w:rPr>
        <w:t>the</w:t>
      </w:r>
      <w:r>
        <w:rPr>
          <w:spacing w:val="-7"/>
          <w:w w:val="105"/>
        </w:rPr>
        <w:t> </w:t>
      </w:r>
      <w:r>
        <w:rPr>
          <w:w w:val="105"/>
        </w:rPr>
        <w:t>dividend</w:t>
      </w:r>
      <w:r>
        <w:rPr>
          <w:spacing w:val="-7"/>
          <w:w w:val="105"/>
        </w:rPr>
        <w:t> </w:t>
      </w:r>
      <w:r>
        <w:rPr>
          <w:w w:val="105"/>
        </w:rPr>
        <w:t>paid</w:t>
      </w:r>
      <w:r>
        <w:rPr>
          <w:spacing w:val="-7"/>
          <w:w w:val="105"/>
        </w:rPr>
        <w:t> </w:t>
      </w:r>
      <w:r>
        <w:rPr>
          <w:w w:val="105"/>
        </w:rPr>
        <w:t>in</w:t>
      </w:r>
      <w:r>
        <w:rPr>
          <w:spacing w:val="-7"/>
          <w:w w:val="105"/>
        </w:rPr>
        <w:t> </w:t>
      </w:r>
      <w:r>
        <w:rPr>
          <w:w w:val="105"/>
        </w:rPr>
        <w:t>the</w:t>
      </w:r>
      <w:r>
        <w:rPr>
          <w:spacing w:val="-7"/>
          <w:w w:val="105"/>
        </w:rPr>
        <w:t> </w:t>
      </w:r>
      <w:r>
        <w:rPr>
          <w:w w:val="105"/>
        </w:rPr>
        <w:t>first</w:t>
      </w:r>
      <w:r>
        <w:rPr>
          <w:spacing w:val="-7"/>
          <w:w w:val="105"/>
        </w:rPr>
        <w:t> </w:t>
      </w:r>
      <w:r>
        <w:rPr>
          <w:w w:val="105"/>
        </w:rPr>
        <w:t>quarter</w:t>
      </w:r>
      <w:r>
        <w:rPr>
          <w:spacing w:val="-7"/>
          <w:w w:val="105"/>
        </w:rPr>
        <w:t> </w:t>
      </w:r>
      <w:r>
        <w:rPr>
          <w:w w:val="105"/>
        </w:rPr>
        <w:t>of</w:t>
      </w:r>
      <w:r>
        <w:rPr>
          <w:spacing w:val="-7"/>
          <w:w w:val="105"/>
        </w:rPr>
        <w:t> </w:t>
      </w:r>
      <w:r>
        <w:rPr>
          <w:spacing w:val="-2"/>
          <w:w w:val="105"/>
        </w:rPr>
        <w:t>2021.</w:t>
      </w:r>
    </w:p>
    <w:p>
      <w:pPr>
        <w:pStyle w:val="BodyText"/>
        <w:spacing w:before="39"/>
      </w:pPr>
    </w:p>
    <w:p>
      <w:pPr>
        <w:pStyle w:val="BodyText"/>
        <w:spacing w:line="266" w:lineRule="auto"/>
        <w:ind w:left="156" w:right="328"/>
      </w:pPr>
      <w:r>
        <w:rPr>
          <w:w w:val="105"/>
        </w:rPr>
        <w:t>On</w:t>
      </w:r>
      <w:r>
        <w:rPr>
          <w:spacing w:val="-9"/>
          <w:w w:val="105"/>
        </w:rPr>
        <w:t> </w:t>
      </w:r>
      <w:r>
        <w:rPr>
          <w:w w:val="105"/>
        </w:rPr>
        <w:t>February</w:t>
      </w:r>
      <w:r>
        <w:rPr>
          <w:spacing w:val="-9"/>
          <w:w w:val="105"/>
        </w:rPr>
        <w:t> </w:t>
      </w:r>
      <w:r>
        <w:rPr>
          <w:w w:val="105"/>
        </w:rPr>
        <w:t>5,</w:t>
      </w:r>
      <w:r>
        <w:rPr>
          <w:spacing w:val="-9"/>
          <w:w w:val="105"/>
        </w:rPr>
        <w:t> </w:t>
      </w:r>
      <w:r>
        <w:rPr>
          <w:w w:val="105"/>
        </w:rPr>
        <w:t>2020,</w:t>
      </w:r>
      <w:r>
        <w:rPr>
          <w:spacing w:val="-9"/>
          <w:w w:val="105"/>
        </w:rPr>
        <w:t> </w:t>
      </w:r>
      <w:r>
        <w:rPr>
          <w:w w:val="105"/>
        </w:rPr>
        <w:t>Corning’s</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declared</w:t>
      </w:r>
      <w:r>
        <w:rPr>
          <w:spacing w:val="-9"/>
          <w:w w:val="105"/>
        </w:rPr>
        <w:t> </w:t>
      </w:r>
      <w:r>
        <w:rPr>
          <w:w w:val="105"/>
        </w:rPr>
        <w:t>a</w:t>
      </w:r>
      <w:r>
        <w:rPr>
          <w:spacing w:val="-9"/>
          <w:w w:val="105"/>
        </w:rPr>
        <w:t> </w:t>
      </w:r>
      <w:r>
        <w:rPr>
          <w:w w:val="105"/>
        </w:rPr>
        <w:t>10%</w:t>
      </w:r>
      <w:r>
        <w:rPr>
          <w:spacing w:val="-9"/>
          <w:w w:val="105"/>
        </w:rPr>
        <w:t> </w:t>
      </w:r>
      <w:r>
        <w:rPr>
          <w:w w:val="105"/>
        </w:rPr>
        <w:t>increase</w:t>
      </w:r>
      <w:r>
        <w:rPr>
          <w:spacing w:val="-7"/>
          <w:w w:val="105"/>
        </w:rPr>
        <w:t> </w:t>
      </w:r>
      <w:r>
        <w:rPr>
          <w:w w:val="105"/>
        </w:rPr>
        <w:t>in</w:t>
      </w:r>
      <w:r>
        <w:rPr>
          <w:spacing w:val="-9"/>
          <w:w w:val="105"/>
        </w:rPr>
        <w:t> </w:t>
      </w:r>
      <w:r>
        <w:rPr>
          <w:w w:val="105"/>
        </w:rPr>
        <w:t>the</w:t>
      </w:r>
      <w:r>
        <w:rPr>
          <w:spacing w:val="-9"/>
          <w:w w:val="105"/>
        </w:rPr>
        <w:t> </w:t>
      </w:r>
      <w:r>
        <w:rPr>
          <w:w w:val="105"/>
        </w:rPr>
        <w:t>Company’s</w:t>
      </w:r>
      <w:r>
        <w:rPr>
          <w:spacing w:val="-9"/>
          <w:w w:val="105"/>
        </w:rPr>
        <w:t> </w:t>
      </w:r>
      <w:r>
        <w:rPr>
          <w:w w:val="105"/>
        </w:rPr>
        <w:t>quarterly</w:t>
      </w:r>
      <w:r>
        <w:rPr>
          <w:spacing w:val="-9"/>
          <w:w w:val="105"/>
        </w:rPr>
        <w:t> </w:t>
      </w:r>
      <w:r>
        <w:rPr>
          <w:w w:val="105"/>
        </w:rPr>
        <w:t>common</w:t>
      </w:r>
      <w:r>
        <w:rPr>
          <w:spacing w:val="-9"/>
          <w:w w:val="105"/>
        </w:rPr>
        <w:t> </w:t>
      </w:r>
      <w:r>
        <w:rPr>
          <w:w w:val="105"/>
        </w:rPr>
        <w:t>stock</w:t>
      </w:r>
      <w:r>
        <w:rPr>
          <w:spacing w:val="-9"/>
          <w:w w:val="105"/>
        </w:rPr>
        <w:t> </w:t>
      </w:r>
      <w:r>
        <w:rPr>
          <w:w w:val="105"/>
        </w:rPr>
        <w:t>dividend,</w:t>
      </w:r>
      <w:r>
        <w:rPr>
          <w:spacing w:val="-9"/>
          <w:w w:val="105"/>
        </w:rPr>
        <w:t> </w:t>
      </w:r>
      <w:r>
        <w:rPr>
          <w:w w:val="105"/>
        </w:rPr>
        <w:t>which</w:t>
      </w:r>
      <w:r>
        <w:rPr>
          <w:spacing w:val="-9"/>
          <w:w w:val="105"/>
        </w:rPr>
        <w:t> </w:t>
      </w:r>
      <w:r>
        <w:rPr>
          <w:w w:val="105"/>
        </w:rPr>
        <w:t>increased</w:t>
      </w:r>
      <w:r>
        <w:rPr>
          <w:spacing w:val="-7"/>
          <w:w w:val="105"/>
        </w:rPr>
        <w:t> </w:t>
      </w:r>
      <w:r>
        <w:rPr>
          <w:w w:val="105"/>
        </w:rPr>
        <w:t>the</w:t>
      </w:r>
      <w:r>
        <w:rPr>
          <w:spacing w:val="-9"/>
          <w:w w:val="105"/>
        </w:rPr>
        <w:t> </w:t>
      </w:r>
      <w:r>
        <w:rPr>
          <w:w w:val="105"/>
        </w:rPr>
        <w:t>quarterly</w:t>
      </w:r>
      <w:r>
        <w:rPr>
          <w:spacing w:val="-9"/>
          <w:w w:val="105"/>
        </w:rPr>
        <w:t> </w:t>
      </w:r>
      <w:r>
        <w:rPr>
          <w:w w:val="105"/>
        </w:rPr>
        <w:t>dividend from $0.20 to $0.22 per share of common stock, beginning with the dividend paid in the first quarter of 2020.</w:t>
      </w:r>
    </w:p>
    <w:p>
      <w:pPr>
        <w:pStyle w:val="BodyText"/>
        <w:spacing w:before="19"/>
      </w:pPr>
    </w:p>
    <w:p>
      <w:pPr>
        <w:pStyle w:val="Heading3"/>
      </w:pPr>
      <w:r>
        <w:rPr/>
        <w:t>Fixed</w:t>
      </w:r>
      <w:r>
        <w:rPr>
          <w:spacing w:val="15"/>
        </w:rPr>
        <w:t> </w:t>
      </w:r>
      <w:r>
        <w:rPr/>
        <w:t>Rate</w:t>
      </w:r>
      <w:r>
        <w:rPr>
          <w:spacing w:val="15"/>
        </w:rPr>
        <w:t> </w:t>
      </w:r>
      <w:r>
        <w:rPr/>
        <w:t>Cumulative</w:t>
      </w:r>
      <w:r>
        <w:rPr>
          <w:spacing w:val="16"/>
        </w:rPr>
        <w:t> </w:t>
      </w:r>
      <w:r>
        <w:rPr/>
        <w:t>Convertible</w:t>
      </w:r>
      <w:r>
        <w:rPr>
          <w:spacing w:val="15"/>
        </w:rPr>
        <w:t> </w:t>
      </w:r>
      <w:r>
        <w:rPr/>
        <w:t>Preferred</w:t>
      </w:r>
      <w:r>
        <w:rPr>
          <w:spacing w:val="15"/>
        </w:rPr>
        <w:t> </w:t>
      </w:r>
      <w:r>
        <w:rPr/>
        <w:t>Stock,</w:t>
      </w:r>
      <w:r>
        <w:rPr>
          <w:spacing w:val="16"/>
        </w:rPr>
        <w:t> </w:t>
      </w:r>
      <w:r>
        <w:rPr/>
        <w:t>Series</w:t>
      </w:r>
      <w:r>
        <w:rPr>
          <w:spacing w:val="15"/>
        </w:rPr>
        <w:t> </w:t>
      </w:r>
      <w:r>
        <w:rPr>
          <w:spacing w:val="-10"/>
        </w:rPr>
        <w:t>A</w:t>
      </w:r>
    </w:p>
    <w:p>
      <w:pPr>
        <w:pStyle w:val="BodyText"/>
        <w:spacing w:before="40"/>
        <w:rPr>
          <w:b/>
          <w:i/>
        </w:rPr>
      </w:pPr>
    </w:p>
    <w:p>
      <w:pPr>
        <w:pStyle w:val="BodyText"/>
        <w:ind w:left="156"/>
      </w:pPr>
      <w:r>
        <w:rPr>
          <w:w w:val="105"/>
        </w:rPr>
        <w:t>As</w:t>
      </w:r>
      <w:r>
        <w:rPr>
          <w:spacing w:val="-10"/>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Corning</w:t>
      </w:r>
      <w:r>
        <w:rPr>
          <w:spacing w:val="-10"/>
          <w:w w:val="105"/>
        </w:rPr>
        <w:t> </w:t>
      </w:r>
      <w:r>
        <w:rPr>
          <w:w w:val="105"/>
        </w:rPr>
        <w:t>had</w:t>
      </w:r>
      <w:r>
        <w:rPr>
          <w:spacing w:val="-9"/>
          <w:w w:val="105"/>
        </w:rPr>
        <w:t> </w:t>
      </w:r>
      <w:r>
        <w:rPr>
          <w:w w:val="105"/>
        </w:rPr>
        <w:t>2,300</w:t>
      </w:r>
      <w:r>
        <w:rPr>
          <w:spacing w:val="-9"/>
          <w:w w:val="105"/>
        </w:rPr>
        <w:t> </w:t>
      </w:r>
      <w:r>
        <w:rPr>
          <w:w w:val="105"/>
        </w:rPr>
        <w:t>outstanding</w:t>
      </w:r>
      <w:r>
        <w:rPr>
          <w:spacing w:val="-9"/>
          <w:w w:val="105"/>
        </w:rPr>
        <w:t> </w:t>
      </w:r>
      <w:r>
        <w:rPr>
          <w:w w:val="105"/>
        </w:rPr>
        <w:t>shares</w:t>
      </w:r>
      <w:r>
        <w:rPr>
          <w:spacing w:val="-9"/>
          <w:w w:val="105"/>
        </w:rPr>
        <w:t> </w:t>
      </w:r>
      <w:r>
        <w:rPr>
          <w:w w:val="105"/>
        </w:rPr>
        <w:t>of</w:t>
      </w:r>
      <w:r>
        <w:rPr>
          <w:spacing w:val="-10"/>
          <w:w w:val="105"/>
        </w:rPr>
        <w:t> </w:t>
      </w:r>
      <w:r>
        <w:rPr>
          <w:w w:val="105"/>
        </w:rPr>
        <w:t>Fixed</w:t>
      </w:r>
      <w:r>
        <w:rPr>
          <w:spacing w:val="-9"/>
          <w:w w:val="105"/>
        </w:rPr>
        <w:t> </w:t>
      </w:r>
      <w:r>
        <w:rPr>
          <w:w w:val="105"/>
        </w:rPr>
        <w:t>Rate</w:t>
      </w:r>
      <w:r>
        <w:rPr>
          <w:spacing w:val="-9"/>
          <w:w w:val="105"/>
        </w:rPr>
        <w:t> </w:t>
      </w:r>
      <w:r>
        <w:rPr>
          <w:w w:val="105"/>
        </w:rPr>
        <w:t>Cumulative</w:t>
      </w:r>
      <w:r>
        <w:rPr>
          <w:spacing w:val="-9"/>
          <w:w w:val="105"/>
        </w:rPr>
        <w:t> </w:t>
      </w:r>
      <w:r>
        <w:rPr>
          <w:w w:val="105"/>
        </w:rPr>
        <w:t>Convertible</w:t>
      </w:r>
      <w:r>
        <w:rPr>
          <w:spacing w:val="-9"/>
          <w:w w:val="105"/>
        </w:rPr>
        <w:t> </w:t>
      </w:r>
      <w:r>
        <w:rPr>
          <w:w w:val="105"/>
        </w:rPr>
        <w:t>Preferred</w:t>
      </w:r>
      <w:r>
        <w:rPr>
          <w:spacing w:val="-10"/>
          <w:w w:val="105"/>
        </w:rPr>
        <w:t> </w:t>
      </w:r>
      <w:r>
        <w:rPr>
          <w:w w:val="105"/>
        </w:rPr>
        <w:t>Stock,</w:t>
      </w:r>
      <w:r>
        <w:rPr>
          <w:spacing w:val="-9"/>
          <w:w w:val="105"/>
        </w:rPr>
        <w:t> </w:t>
      </w:r>
      <w:r>
        <w:rPr>
          <w:w w:val="105"/>
        </w:rPr>
        <w:t>Series</w:t>
      </w:r>
      <w:r>
        <w:rPr>
          <w:spacing w:val="-9"/>
          <w:w w:val="105"/>
        </w:rPr>
        <w:t> </w:t>
      </w:r>
      <w:r>
        <w:rPr>
          <w:w w:val="105"/>
        </w:rPr>
        <w:t>A</w:t>
      </w:r>
      <w:r>
        <w:rPr>
          <w:spacing w:val="-9"/>
          <w:w w:val="105"/>
        </w:rPr>
        <w:t> </w:t>
      </w:r>
      <w:r>
        <w:rPr>
          <w:w w:val="105"/>
        </w:rPr>
        <w:t>(the</w:t>
      </w:r>
      <w:r>
        <w:rPr>
          <w:spacing w:val="-9"/>
          <w:w w:val="105"/>
        </w:rPr>
        <w:t> </w:t>
      </w:r>
      <w:r>
        <w:rPr>
          <w:w w:val="105"/>
        </w:rPr>
        <w:t>“Preferred</w:t>
      </w:r>
      <w:r>
        <w:rPr>
          <w:spacing w:val="-10"/>
          <w:w w:val="105"/>
        </w:rPr>
        <w:t> </w:t>
      </w:r>
      <w:r>
        <w:rPr>
          <w:spacing w:val="-2"/>
          <w:w w:val="105"/>
        </w:rPr>
        <w:t>Stock”).</w:t>
      </w:r>
    </w:p>
    <w:p>
      <w:pPr>
        <w:pStyle w:val="BodyText"/>
        <w:spacing w:before="39"/>
      </w:pPr>
    </w:p>
    <w:p>
      <w:pPr>
        <w:pStyle w:val="BodyText"/>
        <w:spacing w:line="266" w:lineRule="auto" w:before="1"/>
        <w:ind w:left="156" w:right="328"/>
      </w:pPr>
      <w:r>
        <w:rPr>
          <w:w w:val="105"/>
        </w:rPr>
        <w:t>On</w:t>
      </w:r>
      <w:r>
        <w:rPr>
          <w:spacing w:val="-7"/>
          <w:w w:val="105"/>
        </w:rPr>
        <w:t> </w:t>
      </w:r>
      <w:r>
        <w:rPr>
          <w:w w:val="105"/>
        </w:rPr>
        <w:t>January</w:t>
      </w:r>
      <w:r>
        <w:rPr>
          <w:spacing w:val="-7"/>
          <w:w w:val="105"/>
        </w:rPr>
        <w:t> </w:t>
      </w:r>
      <w:r>
        <w:rPr>
          <w:w w:val="105"/>
        </w:rPr>
        <w:t>16,</w:t>
      </w:r>
      <w:r>
        <w:rPr>
          <w:spacing w:val="-7"/>
          <w:w w:val="105"/>
        </w:rPr>
        <w:t> </w:t>
      </w:r>
      <w:r>
        <w:rPr>
          <w:w w:val="105"/>
        </w:rPr>
        <w:t>2021,</w:t>
      </w:r>
      <w:r>
        <w:rPr>
          <w:spacing w:val="-7"/>
          <w:w w:val="105"/>
        </w:rPr>
        <w:t> </w:t>
      </w:r>
      <w:r>
        <w:rPr>
          <w:w w:val="105"/>
        </w:rPr>
        <w:t>the</w:t>
      </w:r>
      <w:r>
        <w:rPr>
          <w:spacing w:val="-7"/>
          <w:w w:val="105"/>
        </w:rPr>
        <w:t> </w:t>
      </w:r>
      <w:r>
        <w:rPr>
          <w:w w:val="105"/>
        </w:rPr>
        <w:t>Preferred</w:t>
      </w:r>
      <w:r>
        <w:rPr>
          <w:spacing w:val="-7"/>
          <w:w w:val="105"/>
        </w:rPr>
        <w:t> </w:t>
      </w:r>
      <w:r>
        <w:rPr>
          <w:w w:val="105"/>
        </w:rPr>
        <w:t>Stock</w:t>
      </w:r>
      <w:r>
        <w:rPr>
          <w:spacing w:val="-7"/>
          <w:w w:val="105"/>
        </w:rPr>
        <w:t> </w:t>
      </w:r>
      <w:r>
        <w:rPr>
          <w:w w:val="105"/>
        </w:rPr>
        <w:t>became</w:t>
      </w:r>
      <w:r>
        <w:rPr>
          <w:spacing w:val="-7"/>
          <w:w w:val="105"/>
        </w:rPr>
        <w:t> </w:t>
      </w:r>
      <w:r>
        <w:rPr>
          <w:w w:val="105"/>
        </w:rPr>
        <w:t>convertible</w:t>
      </w:r>
      <w:r>
        <w:rPr>
          <w:spacing w:val="-7"/>
          <w:w w:val="105"/>
        </w:rPr>
        <w:t> </w:t>
      </w:r>
      <w:r>
        <w:rPr>
          <w:w w:val="105"/>
        </w:rPr>
        <w:t>into</w:t>
      </w:r>
      <w:r>
        <w:rPr>
          <w:spacing w:val="-7"/>
          <w:w w:val="105"/>
        </w:rPr>
        <w:t> </w:t>
      </w:r>
      <w:r>
        <w:rPr>
          <w:w w:val="105"/>
        </w:rPr>
        <w:t>115</w:t>
      </w:r>
      <w:r>
        <w:rPr>
          <w:spacing w:val="-5"/>
          <w:w w:val="105"/>
        </w:rPr>
        <w:t> </w:t>
      </w:r>
      <w:r>
        <w:rPr>
          <w:w w:val="105"/>
        </w:rPr>
        <w:t>million</w:t>
      </w:r>
      <w:r>
        <w:rPr>
          <w:spacing w:val="-7"/>
          <w:w w:val="105"/>
        </w:rPr>
        <w:t> </w:t>
      </w:r>
      <w:r>
        <w:rPr>
          <w:w w:val="105"/>
        </w:rPr>
        <w:t>Common</w:t>
      </w:r>
      <w:r>
        <w:rPr>
          <w:spacing w:val="-7"/>
          <w:w w:val="105"/>
        </w:rPr>
        <w:t> </w:t>
      </w:r>
      <w:r>
        <w:rPr>
          <w:w w:val="105"/>
        </w:rPr>
        <w:t>Shares,</w:t>
      </w:r>
      <w:r>
        <w:rPr>
          <w:spacing w:val="-7"/>
          <w:w w:val="105"/>
        </w:rPr>
        <w:t> </w:t>
      </w:r>
      <w:r>
        <w:rPr>
          <w:w w:val="105"/>
        </w:rPr>
        <w:t>in</w:t>
      </w:r>
      <w:r>
        <w:rPr>
          <w:spacing w:val="-7"/>
          <w:w w:val="105"/>
        </w:rPr>
        <w:t> </w:t>
      </w:r>
      <w:r>
        <w:rPr>
          <w:w w:val="105"/>
        </w:rPr>
        <w:t>whole</w:t>
      </w:r>
      <w:r>
        <w:rPr>
          <w:spacing w:val="-7"/>
          <w:w w:val="105"/>
        </w:rPr>
        <w:t> </w:t>
      </w:r>
      <w:r>
        <w:rPr>
          <w:w w:val="105"/>
        </w:rPr>
        <w:t>or</w:t>
      </w:r>
      <w:r>
        <w:rPr>
          <w:spacing w:val="-7"/>
          <w:w w:val="105"/>
        </w:rPr>
        <w:t> </w:t>
      </w:r>
      <w:r>
        <w:rPr>
          <w:w w:val="105"/>
        </w:rPr>
        <w:t>in</w:t>
      </w:r>
      <w:r>
        <w:rPr>
          <w:spacing w:val="-7"/>
          <w:w w:val="105"/>
        </w:rPr>
        <w:t> </w:t>
      </w:r>
      <w:r>
        <w:rPr>
          <w:w w:val="105"/>
        </w:rPr>
        <w:t>part,</w:t>
      </w:r>
      <w:r>
        <w:rPr>
          <w:spacing w:val="-7"/>
          <w:w w:val="105"/>
        </w:rPr>
        <w:t> </w:t>
      </w:r>
      <w:r>
        <w:rPr>
          <w:w w:val="105"/>
        </w:rPr>
        <w:t>at</w:t>
      </w:r>
      <w:r>
        <w:rPr>
          <w:spacing w:val="-7"/>
          <w:w w:val="105"/>
        </w:rPr>
        <w:t> </w:t>
      </w:r>
      <w:r>
        <w:rPr>
          <w:w w:val="105"/>
        </w:rPr>
        <w:t>the</w:t>
      </w:r>
      <w:r>
        <w:rPr>
          <w:spacing w:val="-7"/>
          <w:w w:val="105"/>
        </w:rPr>
        <w:t> </w:t>
      </w:r>
      <w:r>
        <w:rPr>
          <w:w w:val="105"/>
        </w:rPr>
        <w:t>option</w:t>
      </w:r>
      <w:r>
        <w:rPr>
          <w:spacing w:val="-7"/>
          <w:w w:val="105"/>
        </w:rPr>
        <w:t> </w:t>
      </w:r>
      <w:r>
        <w:rPr>
          <w:w w:val="105"/>
        </w:rPr>
        <w:t>of</w:t>
      </w:r>
      <w:r>
        <w:rPr>
          <w:spacing w:val="-7"/>
          <w:w w:val="105"/>
        </w:rPr>
        <w:t> </w:t>
      </w:r>
      <w:r>
        <w:rPr>
          <w:w w:val="105"/>
        </w:rPr>
        <w:t>SDC.</w:t>
      </w:r>
      <w:r>
        <w:rPr>
          <w:spacing w:val="29"/>
          <w:w w:val="105"/>
        </w:rPr>
        <w:t> </w:t>
      </w:r>
      <w:r>
        <w:rPr>
          <w:w w:val="105"/>
        </w:rPr>
        <w:t>On</w:t>
      </w:r>
      <w:r>
        <w:rPr>
          <w:spacing w:val="-7"/>
          <w:w w:val="105"/>
        </w:rPr>
        <w:t> </w:t>
      </w:r>
      <w:r>
        <w:rPr>
          <w:w w:val="105"/>
        </w:rPr>
        <w:t>April</w:t>
      </w:r>
      <w:r>
        <w:rPr>
          <w:spacing w:val="-7"/>
          <w:w w:val="105"/>
        </w:rPr>
        <w:t> </w:t>
      </w:r>
      <w:r>
        <w:rPr>
          <w:w w:val="105"/>
        </w:rPr>
        <w:t>5,</w:t>
      </w:r>
      <w:r>
        <w:rPr>
          <w:spacing w:val="-7"/>
          <w:w w:val="105"/>
        </w:rPr>
        <w:t> </w:t>
      </w:r>
      <w:r>
        <w:rPr>
          <w:w w:val="105"/>
        </w:rPr>
        <w:t>2021,</w:t>
      </w:r>
      <w:r>
        <w:rPr>
          <w:spacing w:val="-7"/>
          <w:w w:val="105"/>
        </w:rPr>
        <w:t> </w:t>
      </w:r>
      <w:r>
        <w:rPr>
          <w:w w:val="105"/>
        </w:rPr>
        <w:t>Corning</w:t>
      </w:r>
      <w:r>
        <w:rPr>
          <w:spacing w:val="-7"/>
          <w:w w:val="105"/>
        </w:rPr>
        <w:t> </w:t>
      </w:r>
      <w:r>
        <w:rPr>
          <w:w w:val="105"/>
        </w:rPr>
        <w:t>and SDC executed the SRA.</w:t>
      </w:r>
    </w:p>
    <w:p>
      <w:pPr>
        <w:pStyle w:val="BodyText"/>
        <w:spacing w:before="18"/>
      </w:pPr>
    </w:p>
    <w:p>
      <w:pPr>
        <w:pStyle w:val="BodyText"/>
        <w:spacing w:before="1"/>
        <w:ind w:left="48"/>
        <w:jc w:val="center"/>
      </w:pPr>
      <w:r>
        <w:rPr>
          <w:spacing w:val="-5"/>
          <w:w w:val="105"/>
        </w:rPr>
        <w:t>39</w:t>
      </w:r>
    </w:p>
    <w:p>
      <w:pPr>
        <w:pStyle w:val="BodyText"/>
        <w:spacing w:before="11"/>
        <w:rPr>
          <w:sz w:val="5"/>
        </w:rPr>
      </w:pPr>
      <w:r>
        <w:rPr/>
        <mc:AlternateContent>
          <mc:Choice Requires="wps">
            <w:drawing>
              <wp:anchor distT="0" distB="0" distL="0" distR="0" allowOverlap="1" layoutInCell="1" locked="0" behindDoc="1" simplePos="0" relativeHeight="487619072">
                <wp:simplePos x="0" y="0"/>
                <wp:positionH relativeFrom="page">
                  <wp:posOffset>226488</wp:posOffset>
                </wp:positionH>
                <wp:positionV relativeFrom="paragraph">
                  <wp:posOffset>58734</wp:posOffset>
                </wp:positionV>
                <wp:extent cx="7312659" cy="1651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97408;mso-wrap-distance-left:0;mso-wrap-distance-right:0" id="docshape70"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BodyText"/>
        <w:spacing w:line="266" w:lineRule="auto"/>
        <w:ind w:left="156"/>
      </w:pPr>
      <w:r>
        <w:rPr>
          <w:w w:val="105"/>
        </w:rPr>
        <w:t>Pursuant</w:t>
      </w:r>
      <w:r>
        <w:rPr>
          <w:spacing w:val="-1"/>
          <w:w w:val="105"/>
        </w:rPr>
        <w:t> </w:t>
      </w:r>
      <w:r>
        <w:rPr>
          <w:w w:val="105"/>
        </w:rPr>
        <w:t>to</w:t>
      </w:r>
      <w:r>
        <w:rPr>
          <w:spacing w:val="-1"/>
          <w:w w:val="105"/>
        </w:rPr>
        <w:t> </w:t>
      </w:r>
      <w:r>
        <w:rPr>
          <w:w w:val="105"/>
        </w:rPr>
        <w:t>the</w:t>
      </w:r>
      <w:r>
        <w:rPr>
          <w:spacing w:val="-1"/>
          <w:w w:val="105"/>
        </w:rPr>
        <w:t> </w:t>
      </w:r>
      <w:r>
        <w:rPr>
          <w:w w:val="105"/>
        </w:rPr>
        <w:t>SRA,</w:t>
      </w:r>
      <w:r>
        <w:rPr>
          <w:spacing w:val="-1"/>
          <w:w w:val="105"/>
        </w:rPr>
        <w:t> </w:t>
      </w:r>
      <w:r>
        <w:rPr>
          <w:w w:val="105"/>
        </w:rPr>
        <w:t>on</w:t>
      </w:r>
      <w:r>
        <w:rPr>
          <w:spacing w:val="-1"/>
          <w:w w:val="105"/>
        </w:rPr>
        <w:t> </w:t>
      </w:r>
      <w:r>
        <w:rPr>
          <w:w w:val="105"/>
        </w:rPr>
        <w:t>April</w:t>
      </w:r>
      <w:r>
        <w:rPr>
          <w:spacing w:val="-1"/>
          <w:w w:val="105"/>
        </w:rPr>
        <w:t> </w:t>
      </w:r>
      <w:r>
        <w:rPr>
          <w:w w:val="105"/>
        </w:rPr>
        <w:t>8,</w:t>
      </w:r>
      <w:r>
        <w:rPr>
          <w:spacing w:val="-1"/>
          <w:w w:val="105"/>
        </w:rPr>
        <w:t> </w:t>
      </w:r>
      <w:r>
        <w:rPr>
          <w:w w:val="105"/>
        </w:rPr>
        <w:t>2021</w:t>
      </w:r>
      <w:r>
        <w:rPr>
          <w:spacing w:val="-1"/>
          <w:w w:val="105"/>
        </w:rPr>
        <w:t> </w:t>
      </w:r>
      <w:r>
        <w:rPr>
          <w:w w:val="105"/>
        </w:rPr>
        <w:t>(the</w:t>
      </w:r>
      <w:r>
        <w:rPr>
          <w:spacing w:val="-1"/>
          <w:w w:val="105"/>
        </w:rPr>
        <w:t> </w:t>
      </w:r>
      <w:r>
        <w:rPr>
          <w:w w:val="105"/>
        </w:rPr>
        <w:t>"Initial</w:t>
      </w:r>
      <w:r>
        <w:rPr>
          <w:spacing w:val="-1"/>
          <w:w w:val="105"/>
        </w:rPr>
        <w:t> </w:t>
      </w:r>
      <w:r>
        <w:rPr>
          <w:w w:val="105"/>
        </w:rPr>
        <w:t>Closing</w:t>
      </w:r>
      <w:r>
        <w:rPr>
          <w:spacing w:val="-1"/>
          <w:w w:val="105"/>
        </w:rPr>
        <w:t> </w:t>
      </w:r>
      <w:r>
        <w:rPr>
          <w:w w:val="105"/>
        </w:rPr>
        <w:t>Date"),</w:t>
      </w:r>
      <w:r>
        <w:rPr>
          <w:spacing w:val="-1"/>
          <w:w w:val="105"/>
        </w:rPr>
        <w:t> </w:t>
      </w:r>
      <w:r>
        <w:rPr>
          <w:w w:val="105"/>
        </w:rPr>
        <w:t>the</w:t>
      </w:r>
      <w:r>
        <w:rPr>
          <w:spacing w:val="-1"/>
          <w:w w:val="105"/>
        </w:rPr>
        <w:t> </w:t>
      </w:r>
      <w:r>
        <w:rPr>
          <w:w w:val="105"/>
        </w:rPr>
        <w:t>Preferred</w:t>
      </w:r>
      <w:r>
        <w:rPr>
          <w:spacing w:val="-1"/>
          <w:w w:val="105"/>
        </w:rPr>
        <w:t> </w:t>
      </w:r>
      <w:r>
        <w:rPr>
          <w:w w:val="105"/>
        </w:rPr>
        <w:t>Stock</w:t>
      </w:r>
      <w:r>
        <w:rPr>
          <w:spacing w:val="-1"/>
          <w:w w:val="105"/>
        </w:rPr>
        <w:t> </w:t>
      </w:r>
      <w:r>
        <w:rPr>
          <w:w w:val="105"/>
        </w:rPr>
        <w:t>was</w:t>
      </w:r>
      <w:r>
        <w:rPr>
          <w:spacing w:val="-1"/>
          <w:w w:val="105"/>
        </w:rPr>
        <w:t> </w:t>
      </w:r>
      <w:r>
        <w:rPr>
          <w:w w:val="105"/>
        </w:rPr>
        <w:t>fully</w:t>
      </w:r>
      <w:r>
        <w:rPr>
          <w:spacing w:val="-1"/>
          <w:w w:val="105"/>
        </w:rPr>
        <w:t> </w:t>
      </w:r>
      <w:r>
        <w:rPr>
          <w:w w:val="105"/>
        </w:rPr>
        <w:t>converted</w:t>
      </w:r>
      <w:r>
        <w:rPr>
          <w:spacing w:val="-1"/>
          <w:w w:val="105"/>
        </w:rPr>
        <w:t> </w:t>
      </w:r>
      <w:r>
        <w:rPr>
          <w:w w:val="105"/>
        </w:rPr>
        <w:t>into</w:t>
      </w:r>
      <w:r>
        <w:rPr>
          <w:spacing w:val="-1"/>
          <w:w w:val="105"/>
        </w:rPr>
        <w:t> </w:t>
      </w:r>
      <w:r>
        <w:rPr>
          <w:w w:val="105"/>
        </w:rPr>
        <w:t>Common</w:t>
      </w:r>
      <w:r>
        <w:rPr>
          <w:spacing w:val="-1"/>
          <w:w w:val="105"/>
        </w:rPr>
        <w:t> </w:t>
      </w:r>
      <w:r>
        <w:rPr>
          <w:w w:val="105"/>
        </w:rPr>
        <w:t>Shares.</w:t>
      </w:r>
      <w:r>
        <w:rPr>
          <w:spacing w:val="40"/>
          <w:w w:val="105"/>
        </w:rPr>
        <w:t> </w:t>
      </w:r>
      <w:r>
        <w:rPr>
          <w:w w:val="105"/>
        </w:rPr>
        <w:t>Immediately</w:t>
      </w:r>
      <w:r>
        <w:rPr>
          <w:spacing w:val="-1"/>
          <w:w w:val="105"/>
        </w:rPr>
        <w:t> </w:t>
      </w:r>
      <w:r>
        <w:rPr>
          <w:w w:val="105"/>
        </w:rPr>
        <w:t>following the</w:t>
      </w:r>
      <w:r>
        <w:rPr>
          <w:spacing w:val="-1"/>
          <w:w w:val="105"/>
        </w:rPr>
        <w:t> </w:t>
      </w:r>
      <w:r>
        <w:rPr>
          <w:w w:val="105"/>
        </w:rPr>
        <w:t>conversion, Corning</w:t>
      </w:r>
      <w:r>
        <w:rPr>
          <w:spacing w:val="-8"/>
          <w:w w:val="105"/>
        </w:rPr>
        <w:t> </w:t>
      </w:r>
      <w:r>
        <w:rPr>
          <w:w w:val="105"/>
        </w:rPr>
        <w:t>repurchased</w:t>
      </w:r>
      <w:r>
        <w:rPr>
          <w:spacing w:val="-8"/>
          <w:w w:val="105"/>
        </w:rPr>
        <w:t> </w:t>
      </w:r>
      <w:r>
        <w:rPr>
          <w:w w:val="105"/>
        </w:rPr>
        <w:t>and</w:t>
      </w:r>
      <w:r>
        <w:rPr>
          <w:spacing w:val="-8"/>
          <w:w w:val="105"/>
        </w:rPr>
        <w:t> </w:t>
      </w:r>
      <w:r>
        <w:rPr>
          <w:w w:val="105"/>
        </w:rPr>
        <w:t>retired</w:t>
      </w:r>
      <w:r>
        <w:rPr>
          <w:spacing w:val="-8"/>
          <w:w w:val="105"/>
        </w:rPr>
        <w:t> </w:t>
      </w:r>
      <w:r>
        <w:rPr>
          <w:w w:val="105"/>
        </w:rPr>
        <w:t>35</w:t>
      </w:r>
      <w:r>
        <w:rPr>
          <w:spacing w:val="-8"/>
          <w:w w:val="105"/>
        </w:rPr>
        <w:t> </w:t>
      </w:r>
      <w:r>
        <w:rPr>
          <w:w w:val="105"/>
        </w:rPr>
        <w:t>million</w:t>
      </w:r>
      <w:r>
        <w:rPr>
          <w:spacing w:val="-8"/>
          <w:w w:val="105"/>
        </w:rPr>
        <w:t> </w:t>
      </w:r>
      <w:r>
        <w:rPr>
          <w:w w:val="105"/>
        </w:rPr>
        <w:t>of</w:t>
      </w:r>
      <w:r>
        <w:rPr>
          <w:spacing w:val="-8"/>
          <w:w w:val="105"/>
        </w:rPr>
        <w:t> </w:t>
      </w:r>
      <w:r>
        <w:rPr>
          <w:w w:val="105"/>
        </w:rPr>
        <w:t>the</w:t>
      </w:r>
      <w:r>
        <w:rPr>
          <w:spacing w:val="-8"/>
          <w:w w:val="105"/>
        </w:rPr>
        <w:t> </w:t>
      </w:r>
      <w:r>
        <w:rPr>
          <w:w w:val="105"/>
        </w:rPr>
        <w:t>Common</w:t>
      </w:r>
      <w:r>
        <w:rPr>
          <w:spacing w:val="-8"/>
          <w:w w:val="105"/>
        </w:rPr>
        <w:t> </w:t>
      </w:r>
      <w:r>
        <w:rPr>
          <w:w w:val="105"/>
        </w:rPr>
        <w:t>Shares</w:t>
      </w:r>
      <w:r>
        <w:rPr>
          <w:spacing w:val="-8"/>
          <w:w w:val="105"/>
        </w:rPr>
        <w:t> </w:t>
      </w:r>
      <w:r>
        <w:rPr>
          <w:w w:val="105"/>
        </w:rPr>
        <w:t>held</w:t>
      </w:r>
      <w:r>
        <w:rPr>
          <w:spacing w:val="-8"/>
          <w:w w:val="105"/>
        </w:rPr>
        <w:t> </w:t>
      </w:r>
      <w:r>
        <w:rPr>
          <w:w w:val="105"/>
        </w:rPr>
        <w:t>by</w:t>
      </w:r>
      <w:r>
        <w:rPr>
          <w:spacing w:val="-8"/>
          <w:w w:val="105"/>
        </w:rPr>
        <w:t> </w:t>
      </w:r>
      <w:r>
        <w:rPr>
          <w:w w:val="105"/>
        </w:rPr>
        <w:t>SDC</w:t>
      </w:r>
      <w:r>
        <w:rPr>
          <w:spacing w:val="-8"/>
          <w:w w:val="105"/>
        </w:rPr>
        <w:t> </w:t>
      </w:r>
      <w:r>
        <w:rPr>
          <w:w w:val="105"/>
        </w:rPr>
        <w:t>for</w:t>
      </w:r>
      <w:r>
        <w:rPr>
          <w:spacing w:val="-8"/>
          <w:w w:val="105"/>
        </w:rPr>
        <w:t> </w:t>
      </w:r>
      <w:r>
        <w:rPr>
          <w:w w:val="105"/>
        </w:rPr>
        <w:t>an</w:t>
      </w:r>
      <w:r>
        <w:rPr>
          <w:spacing w:val="-8"/>
          <w:w w:val="105"/>
        </w:rPr>
        <w:t> </w:t>
      </w:r>
      <w:r>
        <w:rPr>
          <w:w w:val="105"/>
        </w:rPr>
        <w:t>aggregate</w:t>
      </w:r>
      <w:r>
        <w:rPr>
          <w:spacing w:val="-8"/>
          <w:w w:val="105"/>
        </w:rPr>
        <w:t> </w:t>
      </w:r>
      <w:r>
        <w:rPr>
          <w:w w:val="105"/>
        </w:rPr>
        <w:t>purchase</w:t>
      </w:r>
      <w:r>
        <w:rPr>
          <w:spacing w:val="-8"/>
          <w:w w:val="105"/>
        </w:rPr>
        <w:t> </w:t>
      </w:r>
      <w:r>
        <w:rPr>
          <w:w w:val="105"/>
        </w:rPr>
        <w:t>price</w:t>
      </w:r>
      <w:r>
        <w:rPr>
          <w:spacing w:val="-8"/>
          <w:w w:val="105"/>
        </w:rPr>
        <w:t> </w:t>
      </w:r>
      <w:r>
        <w:rPr>
          <w:w w:val="105"/>
        </w:rPr>
        <w:t>of</w:t>
      </w:r>
      <w:r>
        <w:rPr>
          <w:spacing w:val="-8"/>
          <w:w w:val="105"/>
        </w:rPr>
        <w:t> </w:t>
      </w:r>
      <w:r>
        <w:rPr>
          <w:w w:val="105"/>
        </w:rPr>
        <w:t>approximately</w:t>
      </w:r>
      <w:r>
        <w:rPr>
          <w:spacing w:val="-8"/>
          <w:w w:val="105"/>
        </w:rPr>
        <w:t> </w:t>
      </w:r>
      <w:r>
        <w:rPr>
          <w:w w:val="105"/>
        </w:rPr>
        <w:t>$1.5</w:t>
      </w:r>
      <w:r>
        <w:rPr>
          <w:spacing w:val="-8"/>
          <w:w w:val="105"/>
        </w:rPr>
        <w:t> </w:t>
      </w:r>
      <w:r>
        <w:rPr>
          <w:w w:val="105"/>
        </w:rPr>
        <w:t>billion,</w:t>
      </w:r>
      <w:r>
        <w:rPr>
          <w:spacing w:val="-8"/>
          <w:w w:val="105"/>
        </w:rPr>
        <w:t> </w:t>
      </w:r>
      <w:r>
        <w:rPr>
          <w:w w:val="105"/>
        </w:rPr>
        <w:t>of</w:t>
      </w:r>
      <w:r>
        <w:rPr>
          <w:spacing w:val="-8"/>
          <w:w w:val="105"/>
        </w:rPr>
        <w:t> </w:t>
      </w:r>
      <w:r>
        <w:rPr>
          <w:w w:val="105"/>
        </w:rPr>
        <w:t>which</w:t>
      </w:r>
      <w:r>
        <w:rPr>
          <w:spacing w:val="-8"/>
          <w:w w:val="105"/>
        </w:rPr>
        <w:t> </w:t>
      </w:r>
      <w:r>
        <w:rPr>
          <w:w w:val="105"/>
        </w:rPr>
        <w:t>approximately</w:t>
      </w:r>
      <w:r>
        <w:rPr>
          <w:spacing w:val="-8"/>
          <w:w w:val="105"/>
        </w:rPr>
        <w:t> </w:t>
      </w:r>
      <w:r>
        <w:rPr>
          <w:w w:val="105"/>
        </w:rPr>
        <w:t>$507 million</w:t>
      </w:r>
      <w:r>
        <w:rPr>
          <w:spacing w:val="-2"/>
          <w:w w:val="105"/>
        </w:rPr>
        <w:t> </w:t>
      </w:r>
      <w:r>
        <w:rPr>
          <w:w w:val="105"/>
        </w:rPr>
        <w:t>was</w:t>
      </w:r>
      <w:r>
        <w:rPr>
          <w:spacing w:val="-2"/>
          <w:w w:val="105"/>
        </w:rPr>
        <w:t> </w:t>
      </w:r>
      <w:r>
        <w:rPr>
          <w:w w:val="105"/>
        </w:rPr>
        <w:t>paid</w:t>
      </w:r>
      <w:r>
        <w:rPr>
          <w:spacing w:val="-2"/>
          <w:w w:val="105"/>
        </w:rPr>
        <w:t> </w:t>
      </w:r>
      <w:r>
        <w:rPr>
          <w:w w:val="105"/>
        </w:rPr>
        <w:t>on</w:t>
      </w:r>
      <w:r>
        <w:rPr>
          <w:spacing w:val="-2"/>
          <w:w w:val="105"/>
        </w:rPr>
        <w:t> </w:t>
      </w:r>
      <w:r>
        <w:rPr>
          <w:w w:val="105"/>
        </w:rPr>
        <w:t>the</w:t>
      </w:r>
      <w:r>
        <w:rPr>
          <w:spacing w:val="-2"/>
          <w:w w:val="105"/>
        </w:rPr>
        <w:t> </w:t>
      </w:r>
      <w:r>
        <w:rPr>
          <w:w w:val="105"/>
        </w:rPr>
        <w:t>Initial</w:t>
      </w:r>
      <w:r>
        <w:rPr>
          <w:spacing w:val="-2"/>
          <w:w w:val="105"/>
        </w:rPr>
        <w:t> </w:t>
      </w:r>
      <w:r>
        <w:rPr>
          <w:w w:val="105"/>
        </w:rPr>
        <w:t>Closing</w:t>
      </w:r>
      <w:r>
        <w:rPr>
          <w:spacing w:val="-2"/>
          <w:w w:val="105"/>
        </w:rPr>
        <w:t> </w:t>
      </w:r>
      <w:r>
        <w:rPr>
          <w:w w:val="105"/>
        </w:rPr>
        <w:t>Date.</w:t>
      </w:r>
      <w:r>
        <w:rPr>
          <w:spacing w:val="-2"/>
          <w:w w:val="105"/>
        </w:rPr>
        <w:t> </w:t>
      </w:r>
      <w:r>
        <w:rPr>
          <w:w w:val="105"/>
        </w:rPr>
        <w:t>Subsequent</w:t>
      </w:r>
      <w:r>
        <w:rPr>
          <w:spacing w:val="-2"/>
          <w:w w:val="105"/>
        </w:rPr>
        <w:t> </w:t>
      </w:r>
      <w:r>
        <w:rPr>
          <w:w w:val="105"/>
        </w:rPr>
        <w:t>payments</w:t>
      </w:r>
      <w:r>
        <w:rPr>
          <w:spacing w:val="-2"/>
          <w:w w:val="105"/>
        </w:rPr>
        <w:t> </w:t>
      </w:r>
      <w:r>
        <w:rPr>
          <w:w w:val="105"/>
        </w:rPr>
        <w:t>of approximately</w:t>
      </w:r>
      <w:r>
        <w:rPr>
          <w:spacing w:val="-2"/>
          <w:w w:val="105"/>
        </w:rPr>
        <w:t> </w:t>
      </w:r>
      <w:r>
        <w:rPr>
          <w:w w:val="105"/>
        </w:rPr>
        <w:t>$507</w:t>
      </w:r>
      <w:r>
        <w:rPr>
          <w:spacing w:val="-2"/>
          <w:w w:val="105"/>
        </w:rPr>
        <w:t> </w:t>
      </w:r>
      <w:r>
        <w:rPr>
          <w:w w:val="105"/>
        </w:rPr>
        <w:t>million</w:t>
      </w:r>
      <w:r>
        <w:rPr>
          <w:spacing w:val="-2"/>
          <w:w w:val="105"/>
        </w:rPr>
        <w:t> </w:t>
      </w:r>
      <w:r>
        <w:rPr>
          <w:w w:val="105"/>
        </w:rPr>
        <w:t>will</w:t>
      </w:r>
      <w:r>
        <w:rPr>
          <w:spacing w:val="-2"/>
          <w:w w:val="105"/>
        </w:rPr>
        <w:t> </w:t>
      </w:r>
      <w:r>
        <w:rPr>
          <w:w w:val="105"/>
        </w:rPr>
        <w:t>be</w:t>
      </w:r>
      <w:r>
        <w:rPr>
          <w:spacing w:val="-2"/>
          <w:w w:val="105"/>
        </w:rPr>
        <w:t> </w:t>
      </w:r>
      <w:r>
        <w:rPr>
          <w:w w:val="105"/>
        </w:rPr>
        <w:t>paid</w:t>
      </w:r>
      <w:r>
        <w:rPr>
          <w:spacing w:val="-2"/>
          <w:w w:val="105"/>
        </w:rPr>
        <w:t> </w:t>
      </w:r>
      <w:r>
        <w:rPr>
          <w:w w:val="105"/>
        </w:rPr>
        <w:t>on</w:t>
      </w:r>
      <w:r>
        <w:rPr>
          <w:spacing w:val="-2"/>
          <w:w w:val="105"/>
        </w:rPr>
        <w:t> </w:t>
      </w:r>
      <w:r>
        <w:rPr>
          <w:w w:val="105"/>
        </w:rPr>
        <w:t>each</w:t>
      </w:r>
      <w:r>
        <w:rPr>
          <w:spacing w:val="-2"/>
          <w:w w:val="105"/>
        </w:rPr>
        <w:t> </w:t>
      </w:r>
      <w:r>
        <w:rPr>
          <w:w w:val="105"/>
        </w:rPr>
        <w:t>of</w:t>
      </w:r>
      <w:r>
        <w:rPr>
          <w:spacing w:val="-2"/>
          <w:w w:val="105"/>
        </w:rPr>
        <w:t> </w:t>
      </w:r>
      <w:r>
        <w:rPr>
          <w:w w:val="105"/>
        </w:rPr>
        <w:t>the</w:t>
      </w:r>
      <w:r>
        <w:rPr>
          <w:spacing w:val="-2"/>
          <w:w w:val="105"/>
        </w:rPr>
        <w:t> </w:t>
      </w:r>
      <w:r>
        <w:rPr>
          <w:w w:val="105"/>
        </w:rPr>
        <w:t>first</w:t>
      </w:r>
      <w:r>
        <w:rPr>
          <w:spacing w:val="-2"/>
          <w:w w:val="105"/>
        </w:rPr>
        <w:t> </w:t>
      </w:r>
      <w:r>
        <w:rPr>
          <w:w w:val="105"/>
        </w:rPr>
        <w:t>and</w:t>
      </w:r>
      <w:r>
        <w:rPr>
          <w:spacing w:val="-2"/>
          <w:w w:val="105"/>
        </w:rPr>
        <w:t> </w:t>
      </w:r>
      <w:r>
        <w:rPr>
          <w:w w:val="105"/>
        </w:rPr>
        <w:t>second</w:t>
      </w:r>
      <w:r>
        <w:rPr>
          <w:spacing w:val="-2"/>
          <w:w w:val="105"/>
        </w:rPr>
        <w:t> </w:t>
      </w:r>
      <w:r>
        <w:rPr>
          <w:w w:val="105"/>
        </w:rPr>
        <w:t>anniversaries</w:t>
      </w:r>
      <w:r>
        <w:rPr>
          <w:spacing w:val="-2"/>
          <w:w w:val="105"/>
        </w:rPr>
        <w:t> </w:t>
      </w:r>
      <w:r>
        <w:rPr>
          <w:w w:val="105"/>
        </w:rPr>
        <w:t>of</w:t>
      </w:r>
      <w:r>
        <w:rPr>
          <w:spacing w:val="-2"/>
          <w:w w:val="105"/>
        </w:rPr>
        <w:t> </w:t>
      </w:r>
      <w:r>
        <w:rPr>
          <w:w w:val="105"/>
        </w:rPr>
        <w:t>the</w:t>
      </w:r>
      <w:r>
        <w:rPr>
          <w:spacing w:val="-2"/>
          <w:w w:val="105"/>
        </w:rPr>
        <w:t> </w:t>
      </w:r>
      <w:r>
        <w:rPr>
          <w:w w:val="105"/>
        </w:rPr>
        <w:t>Initial Closing</w:t>
      </w:r>
      <w:r>
        <w:rPr>
          <w:spacing w:val="-1"/>
          <w:w w:val="105"/>
        </w:rPr>
        <w:t> </w:t>
      </w:r>
      <w:r>
        <w:rPr>
          <w:w w:val="105"/>
        </w:rPr>
        <w:t>Date.</w:t>
      </w:r>
    </w:p>
    <w:p>
      <w:pPr>
        <w:pStyle w:val="BodyText"/>
        <w:spacing w:before="18"/>
      </w:pPr>
    </w:p>
    <w:p>
      <w:pPr>
        <w:pStyle w:val="ListParagraph"/>
        <w:numPr>
          <w:ilvl w:val="0"/>
          <w:numId w:val="16"/>
        </w:numPr>
        <w:tabs>
          <w:tab w:pos="462" w:val="left" w:leader="none"/>
        </w:tabs>
        <w:spacing w:line="266" w:lineRule="auto" w:before="0" w:after="0"/>
        <w:ind w:left="462" w:right="357" w:hanging="306"/>
        <w:jc w:val="left"/>
        <w:rPr>
          <w:sz w:val="16"/>
        </w:rPr>
      </w:pPr>
      <w:r>
        <w:rPr>
          <w:w w:val="105"/>
          <w:sz w:val="16"/>
        </w:rPr>
        <w:t>The</w:t>
      </w:r>
      <w:r>
        <w:rPr>
          <w:spacing w:val="-9"/>
          <w:w w:val="105"/>
          <w:sz w:val="16"/>
        </w:rPr>
        <w:t> </w:t>
      </w:r>
      <w:r>
        <w:rPr>
          <w:w w:val="105"/>
          <w:sz w:val="16"/>
        </w:rPr>
        <w:t>35</w:t>
      </w:r>
      <w:r>
        <w:rPr>
          <w:spacing w:val="-9"/>
          <w:w w:val="105"/>
          <w:sz w:val="16"/>
        </w:rPr>
        <w:t> </w:t>
      </w:r>
      <w:r>
        <w:rPr>
          <w:w w:val="105"/>
          <w:sz w:val="16"/>
        </w:rPr>
        <w:t>million</w:t>
      </w:r>
      <w:r>
        <w:rPr>
          <w:spacing w:val="-10"/>
          <w:w w:val="105"/>
          <w:sz w:val="16"/>
        </w:rPr>
        <w:t> </w:t>
      </w:r>
      <w:r>
        <w:rPr>
          <w:w w:val="105"/>
          <w:sz w:val="16"/>
        </w:rPr>
        <w:t>Common</w:t>
      </w:r>
      <w:r>
        <w:rPr>
          <w:spacing w:val="-9"/>
          <w:w w:val="105"/>
          <w:sz w:val="16"/>
        </w:rPr>
        <w:t> </w:t>
      </w:r>
      <w:r>
        <w:rPr>
          <w:w w:val="105"/>
          <w:sz w:val="16"/>
        </w:rPr>
        <w:t>Shares</w:t>
      </w:r>
      <w:r>
        <w:rPr>
          <w:spacing w:val="-9"/>
          <w:w w:val="105"/>
          <w:sz w:val="16"/>
        </w:rPr>
        <w:t> </w:t>
      </w:r>
      <w:r>
        <w:rPr>
          <w:w w:val="105"/>
          <w:sz w:val="16"/>
        </w:rPr>
        <w:t>repurchased</w:t>
      </w:r>
      <w:r>
        <w:rPr>
          <w:spacing w:val="-10"/>
          <w:w w:val="105"/>
          <w:sz w:val="16"/>
        </w:rPr>
        <w:t> </w:t>
      </w:r>
      <w:r>
        <w:rPr>
          <w:w w:val="105"/>
          <w:sz w:val="16"/>
        </w:rPr>
        <w:t>by</w:t>
      </w:r>
      <w:r>
        <w:rPr>
          <w:spacing w:val="-9"/>
          <w:w w:val="105"/>
          <w:sz w:val="16"/>
        </w:rPr>
        <w:t> </w:t>
      </w:r>
      <w:r>
        <w:rPr>
          <w:w w:val="105"/>
          <w:sz w:val="16"/>
        </w:rPr>
        <w:t>Corning</w:t>
      </w:r>
      <w:r>
        <w:rPr>
          <w:spacing w:val="-9"/>
          <w:w w:val="105"/>
          <w:sz w:val="16"/>
        </w:rPr>
        <w:t> </w:t>
      </w:r>
      <w:r>
        <w:rPr>
          <w:w w:val="105"/>
          <w:sz w:val="16"/>
        </w:rPr>
        <w:t>were</w:t>
      </w:r>
      <w:r>
        <w:rPr>
          <w:spacing w:val="-10"/>
          <w:w w:val="105"/>
          <w:sz w:val="16"/>
        </w:rPr>
        <w:t> </w:t>
      </w:r>
      <w:r>
        <w:rPr>
          <w:w w:val="105"/>
          <w:sz w:val="16"/>
        </w:rPr>
        <w:t>excluded</w:t>
      </w:r>
      <w:r>
        <w:rPr>
          <w:spacing w:val="-9"/>
          <w:w w:val="105"/>
          <w:sz w:val="16"/>
        </w:rPr>
        <w:t> </w:t>
      </w:r>
      <w:r>
        <w:rPr>
          <w:w w:val="105"/>
          <w:sz w:val="16"/>
        </w:rPr>
        <w:t>from</w:t>
      </w:r>
      <w:r>
        <w:rPr>
          <w:spacing w:val="-8"/>
          <w:w w:val="105"/>
          <w:sz w:val="16"/>
        </w:rPr>
        <w:t> </w:t>
      </w:r>
      <w:r>
        <w:rPr>
          <w:w w:val="105"/>
          <w:sz w:val="16"/>
        </w:rPr>
        <w:t>the</w:t>
      </w:r>
      <w:r>
        <w:rPr>
          <w:spacing w:val="-9"/>
          <w:w w:val="105"/>
          <w:sz w:val="16"/>
        </w:rPr>
        <w:t> </w:t>
      </w:r>
      <w:r>
        <w:rPr>
          <w:w w:val="105"/>
          <w:sz w:val="16"/>
        </w:rPr>
        <w:t>weighted-average</w:t>
      </w:r>
      <w:r>
        <w:rPr>
          <w:spacing w:val="-9"/>
          <w:w w:val="105"/>
          <w:sz w:val="16"/>
        </w:rPr>
        <w:t> </w:t>
      </w:r>
      <w:r>
        <w:rPr>
          <w:w w:val="105"/>
          <w:sz w:val="16"/>
        </w:rPr>
        <w:t>common</w:t>
      </w:r>
      <w:r>
        <w:rPr>
          <w:spacing w:val="-10"/>
          <w:w w:val="105"/>
          <w:sz w:val="16"/>
        </w:rPr>
        <w:t> </w:t>
      </w:r>
      <w:r>
        <w:rPr>
          <w:w w:val="105"/>
          <w:sz w:val="16"/>
        </w:rPr>
        <w:t>shares</w:t>
      </w:r>
      <w:r>
        <w:rPr>
          <w:spacing w:val="-9"/>
          <w:w w:val="105"/>
          <w:sz w:val="16"/>
        </w:rPr>
        <w:t> </w:t>
      </w:r>
      <w:r>
        <w:rPr>
          <w:w w:val="105"/>
          <w:sz w:val="16"/>
        </w:rPr>
        <w:t>outstanding</w:t>
      </w:r>
      <w:r>
        <w:rPr>
          <w:spacing w:val="-9"/>
          <w:w w:val="105"/>
          <w:sz w:val="16"/>
        </w:rPr>
        <w:t> </w:t>
      </w:r>
      <w:r>
        <w:rPr>
          <w:w w:val="105"/>
          <w:sz w:val="16"/>
        </w:rPr>
        <w:t>for</w:t>
      </w:r>
      <w:r>
        <w:rPr>
          <w:spacing w:val="-10"/>
          <w:w w:val="105"/>
          <w:sz w:val="16"/>
        </w:rPr>
        <w:t> </w:t>
      </w:r>
      <w:r>
        <w:rPr>
          <w:w w:val="105"/>
          <w:sz w:val="16"/>
        </w:rPr>
        <w:t>the</w:t>
      </w:r>
      <w:r>
        <w:rPr>
          <w:spacing w:val="-9"/>
          <w:w w:val="105"/>
          <w:sz w:val="16"/>
        </w:rPr>
        <w:t> </w:t>
      </w:r>
      <w:r>
        <w:rPr>
          <w:w w:val="105"/>
          <w:sz w:val="16"/>
        </w:rPr>
        <w:t>calculation</w:t>
      </w:r>
      <w:r>
        <w:rPr>
          <w:spacing w:val="-9"/>
          <w:w w:val="105"/>
          <w:sz w:val="16"/>
        </w:rPr>
        <w:t> </w:t>
      </w:r>
      <w:r>
        <w:rPr>
          <w:w w:val="105"/>
          <w:sz w:val="16"/>
        </w:rPr>
        <w:t>of</w:t>
      </w:r>
      <w:r>
        <w:rPr>
          <w:spacing w:val="-10"/>
          <w:w w:val="105"/>
          <w:sz w:val="16"/>
        </w:rPr>
        <w:t> </w:t>
      </w:r>
      <w:r>
        <w:rPr>
          <w:w w:val="105"/>
          <w:sz w:val="16"/>
        </w:rPr>
        <w:t>the</w:t>
      </w:r>
      <w:r>
        <w:rPr>
          <w:spacing w:val="-9"/>
          <w:w w:val="105"/>
          <w:sz w:val="16"/>
        </w:rPr>
        <w:t> </w:t>
      </w:r>
      <w:r>
        <w:rPr>
          <w:w w:val="105"/>
          <w:sz w:val="16"/>
        </w:rPr>
        <w:t>Company’s basic and diluted earnings per share starting on the Initial Closing Date.</w:t>
      </w:r>
    </w:p>
    <w:p>
      <w:pPr>
        <w:pStyle w:val="ListParagraph"/>
        <w:numPr>
          <w:ilvl w:val="0"/>
          <w:numId w:val="16"/>
        </w:numPr>
        <w:tabs>
          <w:tab w:pos="462" w:val="left" w:leader="none"/>
        </w:tabs>
        <w:spacing w:line="266" w:lineRule="auto" w:before="0" w:after="0"/>
        <w:ind w:left="462" w:right="111" w:hanging="306"/>
        <w:jc w:val="left"/>
        <w:rPr>
          <w:sz w:val="16"/>
        </w:rPr>
      </w:pPr>
      <w:r>
        <w:rPr>
          <w:w w:val="105"/>
          <w:sz w:val="16"/>
        </w:rPr>
        <w:t>The</w:t>
      </w:r>
      <w:r>
        <w:rPr>
          <w:spacing w:val="-8"/>
          <w:w w:val="105"/>
          <w:sz w:val="16"/>
        </w:rPr>
        <w:t> </w:t>
      </w:r>
      <w:r>
        <w:rPr>
          <w:w w:val="105"/>
          <w:sz w:val="16"/>
        </w:rPr>
        <w:t>Common</w:t>
      </w:r>
      <w:r>
        <w:rPr>
          <w:spacing w:val="-8"/>
          <w:w w:val="105"/>
          <w:sz w:val="16"/>
        </w:rPr>
        <w:t> </w:t>
      </w:r>
      <w:r>
        <w:rPr>
          <w:w w:val="105"/>
          <w:sz w:val="16"/>
        </w:rPr>
        <w:t>Shares</w:t>
      </w:r>
      <w:r>
        <w:rPr>
          <w:spacing w:val="-8"/>
          <w:w w:val="105"/>
          <w:sz w:val="16"/>
        </w:rPr>
        <w:t> </w:t>
      </w:r>
      <w:r>
        <w:rPr>
          <w:w w:val="105"/>
          <w:sz w:val="16"/>
        </w:rPr>
        <w:t>repurchased</w:t>
      </w:r>
      <w:r>
        <w:rPr>
          <w:spacing w:val="-8"/>
          <w:w w:val="105"/>
          <w:sz w:val="16"/>
        </w:rPr>
        <w:t> </w:t>
      </w:r>
      <w:r>
        <w:rPr>
          <w:w w:val="105"/>
          <w:sz w:val="16"/>
        </w:rPr>
        <w:t>were</w:t>
      </w:r>
      <w:r>
        <w:rPr>
          <w:spacing w:val="-6"/>
          <w:w w:val="105"/>
          <w:sz w:val="16"/>
        </w:rPr>
        <w:t> </w:t>
      </w:r>
      <w:r>
        <w:rPr>
          <w:w w:val="105"/>
          <w:sz w:val="16"/>
        </w:rPr>
        <w:t>accounted</w:t>
      </w:r>
      <w:r>
        <w:rPr>
          <w:spacing w:val="-8"/>
          <w:w w:val="105"/>
          <w:sz w:val="16"/>
        </w:rPr>
        <w:t> </w:t>
      </w:r>
      <w:r>
        <w:rPr>
          <w:w w:val="105"/>
          <w:sz w:val="16"/>
        </w:rPr>
        <w:t>for</w:t>
      </w:r>
      <w:r>
        <w:rPr>
          <w:spacing w:val="-8"/>
          <w:w w:val="105"/>
          <w:sz w:val="16"/>
        </w:rPr>
        <w:t> </w:t>
      </w:r>
      <w:r>
        <w:rPr>
          <w:w w:val="105"/>
          <w:sz w:val="16"/>
        </w:rPr>
        <w:t>as</w:t>
      </w:r>
      <w:r>
        <w:rPr>
          <w:spacing w:val="-8"/>
          <w:w w:val="105"/>
          <w:sz w:val="16"/>
        </w:rPr>
        <w:t> </w:t>
      </w:r>
      <w:r>
        <w:rPr>
          <w:w w:val="105"/>
          <w:sz w:val="16"/>
        </w:rPr>
        <w:t>a</w:t>
      </w:r>
      <w:r>
        <w:rPr>
          <w:spacing w:val="-8"/>
          <w:w w:val="105"/>
          <w:sz w:val="16"/>
        </w:rPr>
        <w:t> </w:t>
      </w:r>
      <w:r>
        <w:rPr>
          <w:w w:val="105"/>
          <w:sz w:val="16"/>
        </w:rPr>
        <w:t>redemption</w:t>
      </w:r>
      <w:r>
        <w:rPr>
          <w:spacing w:val="-8"/>
          <w:w w:val="105"/>
          <w:sz w:val="16"/>
        </w:rPr>
        <w:t> </w:t>
      </w:r>
      <w:r>
        <w:rPr>
          <w:w w:val="105"/>
          <w:sz w:val="16"/>
        </w:rPr>
        <w:t>of</w:t>
      </w:r>
      <w:r>
        <w:rPr>
          <w:spacing w:val="-8"/>
          <w:w w:val="105"/>
          <w:sz w:val="16"/>
        </w:rPr>
        <w:t> </w:t>
      </w:r>
      <w:r>
        <w:rPr>
          <w:w w:val="105"/>
          <w:sz w:val="16"/>
        </w:rPr>
        <w:t>Preferred</w:t>
      </w:r>
      <w:r>
        <w:rPr>
          <w:spacing w:val="-8"/>
          <w:w w:val="105"/>
          <w:sz w:val="16"/>
        </w:rPr>
        <w:t> </w:t>
      </w:r>
      <w:r>
        <w:rPr>
          <w:w w:val="105"/>
          <w:sz w:val="16"/>
        </w:rPr>
        <w:t>Stock.</w:t>
      </w:r>
      <w:r>
        <w:rPr>
          <w:spacing w:val="-8"/>
          <w:w w:val="105"/>
          <w:sz w:val="16"/>
        </w:rPr>
        <w:t> </w:t>
      </w:r>
      <w:r>
        <w:rPr>
          <w:w w:val="105"/>
          <w:sz w:val="16"/>
        </w:rPr>
        <w:t>The</w:t>
      </w:r>
      <w:r>
        <w:rPr>
          <w:spacing w:val="-8"/>
          <w:w w:val="105"/>
          <w:sz w:val="16"/>
        </w:rPr>
        <w:t> </w:t>
      </w:r>
      <w:r>
        <w:rPr>
          <w:w w:val="105"/>
          <w:sz w:val="16"/>
        </w:rPr>
        <w:t>excess</w:t>
      </w:r>
      <w:r>
        <w:rPr>
          <w:spacing w:val="-8"/>
          <w:w w:val="105"/>
          <w:sz w:val="16"/>
        </w:rPr>
        <w:t> </w:t>
      </w:r>
      <w:r>
        <w:rPr>
          <w:w w:val="105"/>
          <w:sz w:val="16"/>
        </w:rPr>
        <w:t>of</w:t>
      </w:r>
      <w:r>
        <w:rPr>
          <w:spacing w:val="-8"/>
          <w:w w:val="105"/>
          <w:sz w:val="16"/>
        </w:rPr>
        <w:t> </w:t>
      </w:r>
      <w:r>
        <w:rPr>
          <w:w w:val="105"/>
          <w:sz w:val="16"/>
        </w:rPr>
        <w:t>the</w:t>
      </w:r>
      <w:r>
        <w:rPr>
          <w:spacing w:val="-8"/>
          <w:w w:val="105"/>
          <w:sz w:val="16"/>
        </w:rPr>
        <w:t> </w:t>
      </w:r>
      <w:r>
        <w:rPr>
          <w:w w:val="105"/>
          <w:sz w:val="16"/>
        </w:rPr>
        <w:t>$1.5</w:t>
      </w:r>
      <w:r>
        <w:rPr>
          <w:spacing w:val="-8"/>
          <w:w w:val="105"/>
          <w:sz w:val="16"/>
        </w:rPr>
        <w:t> </w:t>
      </w:r>
      <w:r>
        <w:rPr>
          <w:w w:val="105"/>
          <w:sz w:val="16"/>
        </w:rPr>
        <w:t>billion</w:t>
      </w:r>
      <w:r>
        <w:rPr>
          <w:spacing w:val="-8"/>
          <w:w w:val="105"/>
          <w:sz w:val="16"/>
        </w:rPr>
        <w:t> </w:t>
      </w:r>
      <w:r>
        <w:rPr>
          <w:w w:val="105"/>
          <w:sz w:val="16"/>
        </w:rPr>
        <w:t>consideration</w:t>
      </w:r>
      <w:r>
        <w:rPr>
          <w:spacing w:val="-8"/>
          <w:w w:val="105"/>
          <w:sz w:val="16"/>
        </w:rPr>
        <w:t> </w:t>
      </w:r>
      <w:r>
        <w:rPr>
          <w:w w:val="105"/>
          <w:sz w:val="16"/>
        </w:rPr>
        <w:t>paid</w:t>
      </w:r>
      <w:r>
        <w:rPr>
          <w:spacing w:val="-8"/>
          <w:w w:val="105"/>
          <w:sz w:val="16"/>
        </w:rPr>
        <w:t> </w:t>
      </w:r>
      <w:r>
        <w:rPr>
          <w:w w:val="105"/>
          <w:sz w:val="16"/>
        </w:rPr>
        <w:t>over</w:t>
      </w:r>
      <w:r>
        <w:rPr>
          <w:spacing w:val="-8"/>
          <w:w w:val="105"/>
          <w:sz w:val="16"/>
        </w:rPr>
        <w:t> </w:t>
      </w:r>
      <w:r>
        <w:rPr>
          <w:w w:val="105"/>
          <w:sz w:val="16"/>
        </w:rPr>
        <w:t>the</w:t>
      </w:r>
      <w:r>
        <w:rPr>
          <w:spacing w:val="-8"/>
          <w:w w:val="105"/>
          <w:sz w:val="16"/>
        </w:rPr>
        <w:t> </w:t>
      </w:r>
      <w:r>
        <w:rPr>
          <w:w w:val="105"/>
          <w:sz w:val="16"/>
        </w:rPr>
        <w:t>carrying</w:t>
      </w:r>
      <w:r>
        <w:rPr>
          <w:spacing w:val="-8"/>
          <w:w w:val="105"/>
          <w:sz w:val="16"/>
        </w:rPr>
        <w:t> </w:t>
      </w:r>
      <w:r>
        <w:rPr>
          <w:w w:val="105"/>
          <w:sz w:val="16"/>
        </w:rPr>
        <w:t>value</w:t>
      </w:r>
      <w:r>
        <w:rPr>
          <w:spacing w:val="-8"/>
          <w:w w:val="105"/>
          <w:sz w:val="16"/>
        </w:rPr>
        <w:t> </w:t>
      </w:r>
      <w:r>
        <w:rPr>
          <w:w w:val="105"/>
          <w:sz w:val="16"/>
        </w:rPr>
        <w:t>of</w:t>
      </w:r>
      <w:r>
        <w:rPr>
          <w:spacing w:val="-8"/>
          <w:w w:val="105"/>
          <w:sz w:val="16"/>
        </w:rPr>
        <w:t> </w:t>
      </w:r>
      <w:r>
        <w:rPr>
          <w:w w:val="105"/>
          <w:sz w:val="16"/>
        </w:rPr>
        <w:t>the Preferred Stock reduced the net income available to common shareholders by $803 million.</w:t>
      </w:r>
    </w:p>
    <w:p>
      <w:pPr>
        <w:pStyle w:val="BodyText"/>
        <w:spacing w:before="18"/>
      </w:pPr>
    </w:p>
    <w:p>
      <w:pPr>
        <w:pStyle w:val="BodyText"/>
        <w:spacing w:line="266" w:lineRule="auto" w:before="1"/>
        <w:ind w:left="156"/>
      </w:pPr>
      <w:r>
        <w:rPr>
          <w:w w:val="105"/>
        </w:rPr>
        <w:t>The</w:t>
      </w:r>
      <w:r>
        <w:rPr>
          <w:spacing w:val="-8"/>
          <w:w w:val="105"/>
        </w:rPr>
        <w:t> </w:t>
      </w:r>
      <w:r>
        <w:rPr>
          <w:w w:val="105"/>
        </w:rPr>
        <w:t>remaining</w:t>
      </w:r>
      <w:r>
        <w:rPr>
          <w:spacing w:val="-8"/>
          <w:w w:val="105"/>
        </w:rPr>
        <w:t> </w:t>
      </w:r>
      <w:r>
        <w:rPr>
          <w:w w:val="105"/>
        </w:rPr>
        <w:t>80</w:t>
      </w:r>
      <w:r>
        <w:rPr>
          <w:spacing w:val="-8"/>
          <w:w w:val="105"/>
        </w:rPr>
        <w:t> </w:t>
      </w:r>
      <w:r>
        <w:rPr>
          <w:w w:val="105"/>
        </w:rPr>
        <w:t>million</w:t>
      </w:r>
      <w:r>
        <w:rPr>
          <w:spacing w:val="-8"/>
          <w:w w:val="105"/>
        </w:rPr>
        <w:t> </w:t>
      </w:r>
      <w:r>
        <w:rPr>
          <w:w w:val="105"/>
        </w:rPr>
        <w:t>Common</w:t>
      </w:r>
      <w:r>
        <w:rPr>
          <w:spacing w:val="-8"/>
          <w:w w:val="105"/>
        </w:rPr>
        <w:t> </w:t>
      </w:r>
      <w:r>
        <w:rPr>
          <w:w w:val="105"/>
        </w:rPr>
        <w:t>Shares</w:t>
      </w:r>
      <w:r>
        <w:rPr>
          <w:spacing w:val="-8"/>
          <w:w w:val="105"/>
        </w:rPr>
        <w:t> </w:t>
      </w:r>
      <w:r>
        <w:rPr>
          <w:w w:val="105"/>
        </w:rPr>
        <w:t>were</w:t>
      </w:r>
      <w:r>
        <w:rPr>
          <w:spacing w:val="-8"/>
          <w:w w:val="105"/>
        </w:rPr>
        <w:t> </w:t>
      </w:r>
      <w:r>
        <w:rPr>
          <w:w w:val="105"/>
        </w:rPr>
        <w:t>accounted</w:t>
      </w:r>
      <w:r>
        <w:rPr>
          <w:spacing w:val="-8"/>
          <w:w w:val="105"/>
        </w:rPr>
        <w:t> </w:t>
      </w:r>
      <w:r>
        <w:rPr>
          <w:w w:val="105"/>
        </w:rPr>
        <w:t>for</w:t>
      </w:r>
      <w:r>
        <w:rPr>
          <w:spacing w:val="-8"/>
          <w:w w:val="105"/>
        </w:rPr>
        <w:t> </w:t>
      </w:r>
      <w:r>
        <w:rPr>
          <w:w w:val="105"/>
        </w:rPr>
        <w:t>as</w:t>
      </w:r>
      <w:r>
        <w:rPr>
          <w:spacing w:val="-7"/>
          <w:w w:val="105"/>
        </w:rPr>
        <w:t> </w:t>
      </w:r>
      <w:r>
        <w:rPr>
          <w:w w:val="105"/>
        </w:rPr>
        <w:t>a</w:t>
      </w:r>
      <w:r>
        <w:rPr>
          <w:spacing w:val="-8"/>
          <w:w w:val="105"/>
        </w:rPr>
        <w:t> </w:t>
      </w:r>
      <w:r>
        <w:rPr>
          <w:w w:val="105"/>
        </w:rPr>
        <w:t>conversion</w:t>
      </w:r>
      <w:r>
        <w:rPr>
          <w:spacing w:val="-8"/>
          <w:w w:val="105"/>
        </w:rPr>
        <w:t> </w:t>
      </w:r>
      <w:r>
        <w:rPr>
          <w:w w:val="105"/>
        </w:rPr>
        <w:t>of</w:t>
      </w:r>
      <w:r>
        <w:rPr>
          <w:spacing w:val="-8"/>
          <w:w w:val="105"/>
        </w:rPr>
        <w:t> </w:t>
      </w:r>
      <w:r>
        <w:rPr>
          <w:w w:val="105"/>
        </w:rPr>
        <w:t>Preferred</w:t>
      </w:r>
      <w:r>
        <w:rPr>
          <w:spacing w:val="-8"/>
          <w:w w:val="105"/>
        </w:rPr>
        <w:t> </w:t>
      </w:r>
      <w:r>
        <w:rPr>
          <w:w w:val="105"/>
        </w:rPr>
        <w:t>Stock</w:t>
      </w:r>
      <w:r>
        <w:rPr>
          <w:spacing w:val="-7"/>
          <w:w w:val="105"/>
        </w:rPr>
        <w:t> </w:t>
      </w:r>
      <w:r>
        <w:rPr>
          <w:w w:val="105"/>
        </w:rPr>
        <w:t>and</w:t>
      </w:r>
      <w:r>
        <w:rPr>
          <w:spacing w:val="-8"/>
          <w:w w:val="105"/>
        </w:rPr>
        <w:t> </w:t>
      </w:r>
      <w:r>
        <w:rPr>
          <w:w w:val="105"/>
        </w:rPr>
        <w:t>resulted</w:t>
      </w:r>
      <w:r>
        <w:rPr>
          <w:spacing w:val="-8"/>
          <w:w w:val="105"/>
        </w:rPr>
        <w:t> </w:t>
      </w:r>
      <w:r>
        <w:rPr>
          <w:w w:val="105"/>
        </w:rPr>
        <w:t>in</w:t>
      </w:r>
      <w:r>
        <w:rPr>
          <w:spacing w:val="-8"/>
          <w:w w:val="105"/>
        </w:rPr>
        <w:t> </w:t>
      </w:r>
      <w:r>
        <w:rPr>
          <w:w w:val="105"/>
        </w:rPr>
        <w:t>an</w:t>
      </w:r>
      <w:r>
        <w:rPr>
          <w:spacing w:val="-8"/>
          <w:w w:val="105"/>
        </w:rPr>
        <w:t> </w:t>
      </w:r>
      <w:r>
        <w:rPr>
          <w:w w:val="105"/>
        </w:rPr>
        <w:t>increase</w:t>
      </w:r>
      <w:r>
        <w:rPr>
          <w:spacing w:val="-8"/>
          <w:w w:val="105"/>
        </w:rPr>
        <w:t> </w:t>
      </w:r>
      <w:r>
        <w:rPr>
          <w:w w:val="105"/>
        </w:rPr>
        <w:t>of</w:t>
      </w:r>
      <w:r>
        <w:rPr>
          <w:spacing w:val="-8"/>
          <w:w w:val="105"/>
        </w:rPr>
        <w:t> </w:t>
      </w:r>
      <w:r>
        <w:rPr>
          <w:w w:val="105"/>
        </w:rPr>
        <w:t>common</w:t>
      </w:r>
      <w:r>
        <w:rPr>
          <w:spacing w:val="-8"/>
          <w:w w:val="105"/>
        </w:rPr>
        <w:t> </w:t>
      </w:r>
      <w:r>
        <w:rPr>
          <w:w w:val="105"/>
        </w:rPr>
        <w:t>stock</w:t>
      </w:r>
      <w:r>
        <w:rPr>
          <w:spacing w:val="-8"/>
          <w:w w:val="105"/>
        </w:rPr>
        <w:t> </w:t>
      </w:r>
      <w:r>
        <w:rPr>
          <w:w w:val="105"/>
        </w:rPr>
        <w:t>and</w:t>
      </w:r>
      <w:r>
        <w:rPr>
          <w:spacing w:val="-8"/>
          <w:w w:val="105"/>
        </w:rPr>
        <w:t> </w:t>
      </w:r>
      <w:r>
        <w:rPr>
          <w:w w:val="105"/>
        </w:rPr>
        <w:t>additional</w:t>
      </w:r>
      <w:r>
        <w:rPr>
          <w:spacing w:val="-8"/>
          <w:w w:val="105"/>
        </w:rPr>
        <w:t> </w:t>
      </w:r>
      <w:r>
        <w:rPr>
          <w:w w:val="105"/>
        </w:rPr>
        <w:t>paid-in-capital based</w:t>
      </w:r>
      <w:r>
        <w:rPr>
          <w:spacing w:val="-2"/>
          <w:w w:val="105"/>
        </w:rPr>
        <w:t> </w:t>
      </w:r>
      <w:r>
        <w:rPr>
          <w:w w:val="105"/>
        </w:rPr>
        <w:t>on</w:t>
      </w:r>
      <w:r>
        <w:rPr>
          <w:spacing w:val="-2"/>
          <w:w w:val="105"/>
        </w:rPr>
        <w:t> </w:t>
      </w:r>
      <w:r>
        <w:rPr>
          <w:w w:val="105"/>
        </w:rPr>
        <w:t>the</w:t>
      </w:r>
      <w:r>
        <w:rPr>
          <w:spacing w:val="-2"/>
          <w:w w:val="105"/>
        </w:rPr>
        <w:t> </w:t>
      </w:r>
      <w:r>
        <w:rPr>
          <w:w w:val="105"/>
        </w:rPr>
        <w:t>carrying</w:t>
      </w:r>
      <w:r>
        <w:rPr>
          <w:spacing w:val="-2"/>
          <w:w w:val="105"/>
        </w:rPr>
        <w:t> </w:t>
      </w:r>
      <w:r>
        <w:rPr>
          <w:w w:val="105"/>
        </w:rPr>
        <w:t>value</w:t>
      </w:r>
      <w:r>
        <w:rPr>
          <w:spacing w:val="-2"/>
          <w:w w:val="105"/>
        </w:rPr>
        <w:t> </w:t>
      </w:r>
      <w:r>
        <w:rPr>
          <w:w w:val="105"/>
        </w:rPr>
        <w:t>of</w:t>
      </w:r>
      <w:r>
        <w:rPr>
          <w:spacing w:val="-2"/>
          <w:w w:val="105"/>
        </w:rPr>
        <w:t> </w:t>
      </w:r>
      <w:r>
        <w:rPr>
          <w:w w:val="105"/>
        </w:rPr>
        <w:t>the</w:t>
      </w:r>
      <w:r>
        <w:rPr>
          <w:spacing w:val="-2"/>
          <w:w w:val="105"/>
        </w:rPr>
        <w:t> </w:t>
      </w:r>
      <w:r>
        <w:rPr>
          <w:w w:val="105"/>
        </w:rPr>
        <w:t>Preferred</w:t>
      </w:r>
      <w:r>
        <w:rPr>
          <w:spacing w:val="-2"/>
          <w:w w:val="105"/>
        </w:rPr>
        <w:t> </w:t>
      </w:r>
      <w:r>
        <w:rPr>
          <w:w w:val="105"/>
        </w:rPr>
        <w:t>Stock</w:t>
      </w:r>
      <w:r>
        <w:rPr>
          <w:spacing w:val="-2"/>
          <w:w w:val="105"/>
        </w:rPr>
        <w:t> </w:t>
      </w:r>
      <w:r>
        <w:rPr>
          <w:w w:val="105"/>
        </w:rPr>
        <w:t>and</w:t>
      </w:r>
      <w:r>
        <w:rPr>
          <w:spacing w:val="-2"/>
          <w:w w:val="105"/>
        </w:rPr>
        <w:t> </w:t>
      </w:r>
      <w:r>
        <w:rPr>
          <w:w w:val="105"/>
        </w:rPr>
        <w:t>were included</w:t>
      </w:r>
      <w:r>
        <w:rPr>
          <w:spacing w:val="-2"/>
          <w:w w:val="105"/>
        </w:rPr>
        <w:t> </w:t>
      </w:r>
      <w:r>
        <w:rPr>
          <w:w w:val="105"/>
        </w:rPr>
        <w:t>in</w:t>
      </w:r>
      <w:r>
        <w:rPr>
          <w:spacing w:val="-2"/>
          <w:w w:val="105"/>
        </w:rPr>
        <w:t> </w:t>
      </w:r>
      <w:r>
        <w:rPr>
          <w:w w:val="105"/>
        </w:rPr>
        <w:t>the</w:t>
      </w:r>
      <w:r>
        <w:rPr>
          <w:spacing w:val="-2"/>
          <w:w w:val="105"/>
        </w:rPr>
        <w:t> </w:t>
      </w:r>
      <w:r>
        <w:rPr>
          <w:w w:val="105"/>
        </w:rPr>
        <w:t>weighted-average</w:t>
      </w:r>
      <w:r>
        <w:rPr>
          <w:spacing w:val="-2"/>
          <w:w w:val="105"/>
        </w:rPr>
        <w:t> </w:t>
      </w:r>
      <w:r>
        <w:rPr>
          <w:w w:val="105"/>
        </w:rPr>
        <w:t>common</w:t>
      </w:r>
      <w:r>
        <w:rPr>
          <w:spacing w:val="-2"/>
          <w:w w:val="105"/>
        </w:rPr>
        <w:t> </w:t>
      </w:r>
      <w:r>
        <w:rPr>
          <w:w w:val="105"/>
        </w:rPr>
        <w:t>shares</w:t>
      </w:r>
      <w:r>
        <w:rPr>
          <w:spacing w:val="-2"/>
          <w:w w:val="105"/>
        </w:rPr>
        <w:t> </w:t>
      </w:r>
      <w:r>
        <w:rPr>
          <w:w w:val="105"/>
        </w:rPr>
        <w:t>outstanding for</w:t>
      </w:r>
      <w:r>
        <w:rPr>
          <w:spacing w:val="-2"/>
          <w:w w:val="105"/>
        </w:rPr>
        <w:t> </w:t>
      </w:r>
      <w:r>
        <w:rPr>
          <w:w w:val="105"/>
        </w:rPr>
        <w:t>the</w:t>
      </w:r>
      <w:r>
        <w:rPr>
          <w:spacing w:val="-2"/>
          <w:w w:val="105"/>
        </w:rPr>
        <w:t> </w:t>
      </w:r>
      <w:r>
        <w:rPr>
          <w:w w:val="105"/>
        </w:rPr>
        <w:t>calculation</w:t>
      </w:r>
      <w:r>
        <w:rPr>
          <w:spacing w:val="-2"/>
          <w:w w:val="105"/>
        </w:rPr>
        <w:t> </w:t>
      </w:r>
      <w:r>
        <w:rPr>
          <w:w w:val="105"/>
        </w:rPr>
        <w:t>of the</w:t>
      </w:r>
      <w:r>
        <w:rPr>
          <w:spacing w:val="-2"/>
          <w:w w:val="105"/>
        </w:rPr>
        <w:t> </w:t>
      </w:r>
      <w:r>
        <w:rPr>
          <w:w w:val="105"/>
        </w:rPr>
        <w:t>Company’s</w:t>
      </w:r>
      <w:r>
        <w:rPr>
          <w:spacing w:val="-2"/>
          <w:w w:val="105"/>
        </w:rPr>
        <w:t> </w:t>
      </w:r>
      <w:r>
        <w:rPr>
          <w:w w:val="105"/>
        </w:rPr>
        <w:t>basic</w:t>
      </w:r>
      <w:r>
        <w:rPr>
          <w:spacing w:val="-2"/>
          <w:w w:val="105"/>
        </w:rPr>
        <w:t> </w:t>
      </w:r>
      <w:r>
        <w:rPr>
          <w:w w:val="105"/>
        </w:rPr>
        <w:t>and diluted earnings per share.</w:t>
      </w:r>
    </w:p>
    <w:p>
      <w:pPr>
        <w:pStyle w:val="BodyText"/>
        <w:spacing w:before="18"/>
      </w:pPr>
    </w:p>
    <w:p>
      <w:pPr>
        <w:pStyle w:val="BodyText"/>
        <w:ind w:left="156"/>
      </w:pPr>
      <w:r>
        <w:rPr>
          <w:w w:val="105"/>
        </w:rPr>
        <w:t>Refer</w:t>
      </w:r>
      <w:r>
        <w:rPr>
          <w:spacing w:val="-10"/>
          <w:w w:val="105"/>
        </w:rPr>
        <w:t> </w:t>
      </w:r>
      <w:r>
        <w:rPr>
          <w:w w:val="105"/>
        </w:rPr>
        <w:t>to</w:t>
      </w:r>
      <w:r>
        <w:rPr>
          <w:spacing w:val="-10"/>
          <w:w w:val="105"/>
        </w:rPr>
        <w:t> </w:t>
      </w:r>
      <w:r>
        <w:rPr>
          <w:w w:val="105"/>
        </w:rPr>
        <w:t>Note</w:t>
      </w:r>
      <w:r>
        <w:rPr>
          <w:spacing w:val="-10"/>
          <w:w w:val="105"/>
        </w:rPr>
        <w:t> </w:t>
      </w:r>
      <w:r>
        <w:rPr>
          <w:w w:val="105"/>
        </w:rPr>
        <w:t>17</w:t>
      </w:r>
      <w:r>
        <w:rPr>
          <w:spacing w:val="-10"/>
          <w:w w:val="105"/>
        </w:rPr>
        <w:t> </w:t>
      </w:r>
      <w:r>
        <w:rPr>
          <w:w w:val="105"/>
        </w:rPr>
        <w:t>(Shareholders’</w:t>
      </w:r>
      <w:r>
        <w:rPr>
          <w:spacing w:val="-10"/>
          <w:w w:val="105"/>
        </w:rPr>
        <w:t> </w:t>
      </w:r>
      <w:r>
        <w:rPr>
          <w:w w:val="105"/>
        </w:rPr>
        <w:t>Equity)</w:t>
      </w:r>
      <w:r>
        <w:rPr>
          <w:spacing w:val="-10"/>
          <w:w w:val="105"/>
        </w:rPr>
        <w:t> </w:t>
      </w:r>
      <w:r>
        <w:rPr>
          <w:w w:val="105"/>
        </w:rPr>
        <w:t>to</w:t>
      </w:r>
      <w:r>
        <w:rPr>
          <w:spacing w:val="-10"/>
          <w:w w:val="105"/>
        </w:rPr>
        <w:t> </w:t>
      </w:r>
      <w:r>
        <w:rPr>
          <w:w w:val="105"/>
        </w:rPr>
        <w:t>the</w:t>
      </w:r>
      <w:r>
        <w:rPr>
          <w:spacing w:val="-10"/>
          <w:w w:val="105"/>
        </w:rPr>
        <w:t> </w:t>
      </w:r>
      <w:r>
        <w:rPr>
          <w:w w:val="105"/>
        </w:rPr>
        <w:t>consolidated</w:t>
      </w:r>
      <w:r>
        <w:rPr>
          <w:spacing w:val="-10"/>
          <w:w w:val="105"/>
        </w:rPr>
        <w:t> </w:t>
      </w:r>
      <w:r>
        <w:rPr>
          <w:w w:val="105"/>
        </w:rPr>
        <w:t>financial</w:t>
      </w:r>
      <w:r>
        <w:rPr>
          <w:spacing w:val="-10"/>
          <w:w w:val="105"/>
        </w:rPr>
        <w:t> </w:t>
      </w:r>
      <w:r>
        <w:rPr>
          <w:w w:val="105"/>
        </w:rPr>
        <w:t>statements</w:t>
      </w:r>
      <w:r>
        <w:rPr>
          <w:spacing w:val="-8"/>
          <w:w w:val="105"/>
        </w:rPr>
        <w:t> </w:t>
      </w:r>
      <w:r>
        <w:rPr>
          <w:w w:val="105"/>
        </w:rPr>
        <w:t>for</w:t>
      </w:r>
      <w:r>
        <w:rPr>
          <w:spacing w:val="-10"/>
          <w:w w:val="105"/>
        </w:rPr>
        <w:t> </w:t>
      </w:r>
      <w:r>
        <w:rPr>
          <w:w w:val="105"/>
        </w:rPr>
        <w:t>additional</w:t>
      </w:r>
      <w:r>
        <w:rPr>
          <w:spacing w:val="-10"/>
          <w:w w:val="105"/>
        </w:rPr>
        <w:t> </w:t>
      </w:r>
      <w:r>
        <w:rPr>
          <w:spacing w:val="-2"/>
          <w:w w:val="105"/>
        </w:rPr>
        <w:t>information.</w:t>
      </w:r>
    </w:p>
    <w:p>
      <w:pPr>
        <w:pStyle w:val="BodyText"/>
        <w:spacing w:before="40"/>
      </w:pPr>
    </w:p>
    <w:p>
      <w:pPr>
        <w:pStyle w:val="Heading3"/>
      </w:pPr>
      <w:r>
        <w:rPr/>
        <w:t>Customer</w:t>
      </w:r>
      <w:r>
        <w:rPr>
          <w:spacing w:val="13"/>
        </w:rPr>
        <w:t> </w:t>
      </w:r>
      <w:r>
        <w:rPr>
          <w:spacing w:val="-2"/>
        </w:rPr>
        <w:t>Deposits</w:t>
      </w:r>
    </w:p>
    <w:p>
      <w:pPr>
        <w:pStyle w:val="BodyText"/>
        <w:spacing w:before="39"/>
        <w:rPr>
          <w:b/>
          <w:i/>
        </w:rPr>
      </w:pPr>
    </w:p>
    <w:p>
      <w:pPr>
        <w:pStyle w:val="BodyText"/>
        <w:spacing w:line="266" w:lineRule="auto"/>
        <w:ind w:left="156" w:right="117"/>
      </w:pPr>
      <w:r>
        <w:rPr>
          <w:w w:val="105"/>
        </w:rPr>
        <w:t>As</w:t>
      </w:r>
      <w:r>
        <w:rPr>
          <w:spacing w:val="-8"/>
          <w:w w:val="105"/>
        </w:rPr>
        <w:t> </w:t>
      </w:r>
      <w:r>
        <w:rPr>
          <w:w w:val="105"/>
        </w:rPr>
        <w:t>of</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and</w:t>
      </w:r>
      <w:r>
        <w:rPr>
          <w:spacing w:val="-8"/>
          <w:w w:val="105"/>
        </w:rPr>
        <w:t> </w:t>
      </w:r>
      <w:r>
        <w:rPr>
          <w:w w:val="105"/>
        </w:rPr>
        <w:t>2020,</w:t>
      </w:r>
      <w:r>
        <w:rPr>
          <w:spacing w:val="-8"/>
          <w:w w:val="105"/>
        </w:rPr>
        <w:t> </w:t>
      </w:r>
      <w:r>
        <w:rPr>
          <w:w w:val="105"/>
        </w:rPr>
        <w:t>Corning</w:t>
      </w:r>
      <w:r>
        <w:rPr>
          <w:spacing w:val="-8"/>
          <w:w w:val="105"/>
        </w:rPr>
        <w:t> </w:t>
      </w:r>
      <w:r>
        <w:rPr>
          <w:w w:val="105"/>
        </w:rPr>
        <w:t>had</w:t>
      </w:r>
      <w:r>
        <w:rPr>
          <w:spacing w:val="-8"/>
          <w:w w:val="105"/>
        </w:rPr>
        <w:t> </w:t>
      </w:r>
      <w:r>
        <w:rPr>
          <w:w w:val="105"/>
        </w:rPr>
        <w:t>customer</w:t>
      </w:r>
      <w:r>
        <w:rPr>
          <w:spacing w:val="-8"/>
          <w:w w:val="105"/>
        </w:rPr>
        <w:t> </w:t>
      </w:r>
      <w:r>
        <w:rPr>
          <w:w w:val="105"/>
        </w:rPr>
        <w:t>deposits</w:t>
      </w:r>
      <w:r>
        <w:rPr>
          <w:spacing w:val="-8"/>
          <w:w w:val="105"/>
        </w:rPr>
        <w:t> </w:t>
      </w:r>
      <w:r>
        <w:rPr>
          <w:w w:val="105"/>
        </w:rPr>
        <w:t>of</w:t>
      </w:r>
      <w:r>
        <w:rPr>
          <w:spacing w:val="-8"/>
          <w:w w:val="105"/>
        </w:rPr>
        <w:t> </w:t>
      </w:r>
      <w:r>
        <w:rPr>
          <w:w w:val="105"/>
        </w:rPr>
        <w:t>approximately</w:t>
      </w:r>
      <w:r>
        <w:rPr>
          <w:spacing w:val="-8"/>
          <w:w w:val="105"/>
        </w:rPr>
        <w:t> </w:t>
      </w:r>
      <w:r>
        <w:rPr>
          <w:w w:val="105"/>
        </w:rPr>
        <w:t>$1.3</w:t>
      </w:r>
      <w:r>
        <w:rPr>
          <w:spacing w:val="-8"/>
          <w:w w:val="105"/>
        </w:rPr>
        <w:t> </w:t>
      </w:r>
      <w:r>
        <w:rPr>
          <w:w w:val="105"/>
        </w:rPr>
        <w:t>billion</w:t>
      </w:r>
      <w:r>
        <w:rPr>
          <w:spacing w:val="-8"/>
          <w:w w:val="105"/>
        </w:rPr>
        <w:t> </w:t>
      </w:r>
      <w:r>
        <w:rPr>
          <w:w w:val="105"/>
        </w:rPr>
        <w:t>and</w:t>
      </w:r>
      <w:r>
        <w:rPr>
          <w:spacing w:val="-8"/>
          <w:w w:val="105"/>
        </w:rPr>
        <w:t> </w:t>
      </w:r>
      <w:r>
        <w:rPr>
          <w:w w:val="105"/>
        </w:rPr>
        <w:t>$1.4</w:t>
      </w:r>
      <w:r>
        <w:rPr>
          <w:spacing w:val="-8"/>
          <w:w w:val="105"/>
        </w:rPr>
        <w:t> </w:t>
      </w:r>
      <w:r>
        <w:rPr>
          <w:w w:val="105"/>
        </w:rPr>
        <w:t>billion.</w:t>
      </w:r>
      <w:r>
        <w:rPr>
          <w:spacing w:val="-8"/>
          <w:w w:val="105"/>
        </w:rPr>
        <w:t> </w:t>
      </w:r>
      <w:r>
        <w:rPr>
          <w:w w:val="105"/>
        </w:rPr>
        <w:t>The</w:t>
      </w:r>
      <w:r>
        <w:rPr>
          <w:spacing w:val="-8"/>
          <w:w w:val="105"/>
        </w:rPr>
        <w:t> </w:t>
      </w:r>
      <w:r>
        <w:rPr>
          <w:w w:val="105"/>
        </w:rPr>
        <w:t>majority</w:t>
      </w:r>
      <w:r>
        <w:rPr>
          <w:spacing w:val="-8"/>
          <w:w w:val="105"/>
        </w:rPr>
        <w:t> </w:t>
      </w:r>
      <w:r>
        <w:rPr>
          <w:w w:val="105"/>
        </w:rPr>
        <w:t>of</w:t>
      </w:r>
      <w:r>
        <w:rPr>
          <w:spacing w:val="-8"/>
          <w:w w:val="105"/>
        </w:rPr>
        <w:t> </w:t>
      </w:r>
      <w:r>
        <w:rPr>
          <w:w w:val="105"/>
        </w:rPr>
        <w:t>these</w:t>
      </w:r>
      <w:r>
        <w:rPr>
          <w:spacing w:val="-8"/>
          <w:w w:val="105"/>
        </w:rPr>
        <w:t> </w:t>
      </w:r>
      <w:r>
        <w:rPr>
          <w:w w:val="105"/>
        </w:rPr>
        <w:t>were</w:t>
      </w:r>
      <w:r>
        <w:rPr>
          <w:spacing w:val="-8"/>
          <w:w w:val="105"/>
        </w:rPr>
        <w:t> </w:t>
      </w:r>
      <w:r>
        <w:rPr>
          <w:w w:val="105"/>
        </w:rPr>
        <w:t>non-refundable</w:t>
      </w:r>
      <w:r>
        <w:rPr>
          <w:spacing w:val="-8"/>
          <w:w w:val="105"/>
        </w:rPr>
        <w:t> </w:t>
      </w:r>
      <w:r>
        <w:rPr>
          <w:w w:val="105"/>
        </w:rPr>
        <w:t>cash</w:t>
      </w:r>
      <w:r>
        <w:rPr>
          <w:spacing w:val="-8"/>
          <w:w w:val="105"/>
        </w:rPr>
        <w:t> </w:t>
      </w:r>
      <w:r>
        <w:rPr>
          <w:w w:val="105"/>
        </w:rPr>
        <w:t>deposits by</w:t>
      </w:r>
      <w:r>
        <w:rPr>
          <w:spacing w:val="-3"/>
          <w:w w:val="105"/>
        </w:rPr>
        <w:t> </w:t>
      </w:r>
      <w:r>
        <w:rPr>
          <w:w w:val="105"/>
        </w:rPr>
        <w:t>customers</w:t>
      </w:r>
      <w:r>
        <w:rPr>
          <w:spacing w:val="-3"/>
          <w:w w:val="105"/>
        </w:rPr>
        <w:t> </w:t>
      </w:r>
      <w:r>
        <w:rPr>
          <w:w w:val="105"/>
        </w:rPr>
        <w:t>to</w:t>
      </w:r>
      <w:r>
        <w:rPr>
          <w:spacing w:val="-3"/>
          <w:w w:val="105"/>
        </w:rPr>
        <w:t> </w:t>
      </w:r>
      <w:r>
        <w:rPr>
          <w:w w:val="105"/>
        </w:rPr>
        <w:t>secure</w:t>
      </w:r>
      <w:r>
        <w:rPr>
          <w:spacing w:val="-3"/>
          <w:w w:val="105"/>
        </w:rPr>
        <w:t> </w:t>
      </w:r>
      <w:r>
        <w:rPr>
          <w:w w:val="105"/>
        </w:rPr>
        <w:t>rights</w:t>
      </w:r>
      <w:r>
        <w:rPr>
          <w:spacing w:val="-3"/>
          <w:w w:val="105"/>
        </w:rPr>
        <w:t> </w:t>
      </w:r>
      <w:r>
        <w:rPr>
          <w:w w:val="105"/>
        </w:rPr>
        <w:t>to</w:t>
      </w:r>
      <w:r>
        <w:rPr>
          <w:spacing w:val="-3"/>
          <w:w w:val="105"/>
        </w:rPr>
        <w:t> </w:t>
      </w:r>
      <w:r>
        <w:rPr>
          <w:w w:val="105"/>
        </w:rPr>
        <w:t>products</w:t>
      </w:r>
      <w:r>
        <w:rPr>
          <w:spacing w:val="-3"/>
          <w:w w:val="105"/>
        </w:rPr>
        <w:t> </w:t>
      </w:r>
      <w:r>
        <w:rPr>
          <w:w w:val="105"/>
        </w:rPr>
        <w:t>produced</w:t>
      </w:r>
      <w:r>
        <w:rPr>
          <w:spacing w:val="-3"/>
          <w:w w:val="105"/>
        </w:rPr>
        <w:t> </w:t>
      </w:r>
      <w:r>
        <w:rPr>
          <w:w w:val="105"/>
        </w:rPr>
        <w:t>by</w:t>
      </w:r>
      <w:r>
        <w:rPr>
          <w:spacing w:val="-3"/>
          <w:w w:val="105"/>
        </w:rPr>
        <w:t> </w:t>
      </w:r>
      <w:r>
        <w:rPr>
          <w:w w:val="105"/>
        </w:rPr>
        <w:t>Corning</w:t>
      </w:r>
      <w:r>
        <w:rPr>
          <w:spacing w:val="-3"/>
          <w:w w:val="105"/>
        </w:rPr>
        <w:t> </w:t>
      </w:r>
      <w:r>
        <w:rPr>
          <w:w w:val="105"/>
        </w:rPr>
        <w:t>under</w:t>
      </w:r>
      <w:r>
        <w:rPr>
          <w:spacing w:val="-3"/>
          <w:w w:val="105"/>
        </w:rPr>
        <w:t> </w:t>
      </w:r>
      <w:r>
        <w:rPr>
          <w:w w:val="105"/>
        </w:rPr>
        <w:t>long-term</w:t>
      </w:r>
      <w:r>
        <w:rPr>
          <w:spacing w:val="-3"/>
          <w:w w:val="105"/>
        </w:rPr>
        <w:t> </w:t>
      </w:r>
      <w:r>
        <w:rPr>
          <w:w w:val="105"/>
        </w:rPr>
        <w:t>supply</w:t>
      </w:r>
      <w:r>
        <w:rPr>
          <w:spacing w:val="-3"/>
          <w:w w:val="105"/>
        </w:rPr>
        <w:t> </w:t>
      </w:r>
      <w:r>
        <w:rPr>
          <w:w w:val="105"/>
        </w:rPr>
        <w:t>agreements.</w:t>
      </w:r>
      <w:r>
        <w:rPr>
          <w:spacing w:val="-3"/>
          <w:w w:val="105"/>
        </w:rPr>
        <w:t> </w:t>
      </w:r>
      <w:r>
        <w:rPr>
          <w:w w:val="105"/>
        </w:rPr>
        <w:t>The</w:t>
      </w:r>
      <w:r>
        <w:rPr>
          <w:spacing w:val="-3"/>
          <w:w w:val="105"/>
        </w:rPr>
        <w:t> </w:t>
      </w:r>
      <w:r>
        <w:rPr>
          <w:w w:val="105"/>
        </w:rPr>
        <w:t>duration</w:t>
      </w:r>
      <w:r>
        <w:rPr>
          <w:spacing w:val="-3"/>
          <w:w w:val="105"/>
        </w:rPr>
        <w:t> </w:t>
      </w:r>
      <w:r>
        <w:rPr>
          <w:w w:val="105"/>
        </w:rPr>
        <w:t>of</w:t>
      </w:r>
      <w:r>
        <w:rPr>
          <w:spacing w:val="-3"/>
          <w:w w:val="105"/>
        </w:rPr>
        <w:t> </w:t>
      </w:r>
      <w:r>
        <w:rPr>
          <w:w w:val="105"/>
        </w:rPr>
        <w:t>these</w:t>
      </w:r>
      <w:r>
        <w:rPr>
          <w:spacing w:val="-3"/>
          <w:w w:val="105"/>
        </w:rPr>
        <w:t> </w:t>
      </w:r>
      <w:r>
        <w:rPr>
          <w:w w:val="105"/>
        </w:rPr>
        <w:t>long-term</w:t>
      </w:r>
      <w:r>
        <w:rPr>
          <w:spacing w:val="-3"/>
          <w:w w:val="105"/>
        </w:rPr>
        <w:t> </w:t>
      </w:r>
      <w:r>
        <w:rPr>
          <w:w w:val="105"/>
        </w:rPr>
        <w:t>supply</w:t>
      </w:r>
      <w:r>
        <w:rPr>
          <w:spacing w:val="-3"/>
          <w:w w:val="105"/>
        </w:rPr>
        <w:t> </w:t>
      </w:r>
      <w:r>
        <w:rPr>
          <w:w w:val="105"/>
        </w:rPr>
        <w:t>agreements</w:t>
      </w:r>
      <w:r>
        <w:rPr>
          <w:spacing w:val="-3"/>
          <w:w w:val="105"/>
        </w:rPr>
        <w:t> </w:t>
      </w:r>
      <w:r>
        <w:rPr>
          <w:w w:val="105"/>
        </w:rPr>
        <w:t>ranges</w:t>
      </w:r>
      <w:r>
        <w:rPr>
          <w:spacing w:val="-3"/>
          <w:w w:val="105"/>
        </w:rPr>
        <w:t> </w:t>
      </w:r>
      <w:r>
        <w:rPr>
          <w:w w:val="105"/>
        </w:rPr>
        <w:t>up</w:t>
      </w:r>
      <w:r>
        <w:rPr>
          <w:spacing w:val="-3"/>
          <w:w w:val="105"/>
        </w:rPr>
        <w:t> </w:t>
      </w:r>
      <w:r>
        <w:rPr>
          <w:w w:val="105"/>
        </w:rPr>
        <w:t>to</w:t>
      </w:r>
      <w:r>
        <w:rPr>
          <w:spacing w:val="-3"/>
          <w:w w:val="105"/>
        </w:rPr>
        <w:t> </w:t>
      </w:r>
      <w:r>
        <w:rPr>
          <w:w w:val="105"/>
        </w:rPr>
        <w:t>10 years. As products are shipped to customers, Corning will recognize revenue and reduce the amount of the customer deposit liability.</w:t>
      </w:r>
    </w:p>
    <w:p>
      <w:pPr>
        <w:pStyle w:val="BodyText"/>
        <w:spacing w:before="19"/>
      </w:pPr>
    </w:p>
    <w:p>
      <w:pPr>
        <w:pStyle w:val="BodyText"/>
        <w:spacing w:line="266" w:lineRule="auto"/>
        <w:ind w:left="156" w:right="117"/>
      </w:pPr>
      <w:r>
        <w:rPr>
          <w:w w:val="105"/>
        </w:rPr>
        <w:t>In</w:t>
      </w:r>
      <w:r>
        <w:rPr>
          <w:spacing w:val="-8"/>
          <w:w w:val="105"/>
        </w:rPr>
        <w:t> </w:t>
      </w:r>
      <w:r>
        <w:rPr>
          <w:w w:val="105"/>
        </w:rPr>
        <w:t>the</w:t>
      </w:r>
      <w:r>
        <w:rPr>
          <w:spacing w:val="-8"/>
          <w:w w:val="105"/>
        </w:rPr>
        <w:t> </w:t>
      </w:r>
      <w:r>
        <w:rPr>
          <w:w w:val="105"/>
        </w:rPr>
        <w:t>years</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and</w:t>
      </w:r>
      <w:r>
        <w:rPr>
          <w:spacing w:val="-8"/>
          <w:w w:val="105"/>
        </w:rPr>
        <w:t> </w:t>
      </w:r>
      <w:r>
        <w:rPr>
          <w:w w:val="105"/>
        </w:rPr>
        <w:t>2020,</w:t>
      </w:r>
      <w:r>
        <w:rPr>
          <w:spacing w:val="-8"/>
          <w:w w:val="105"/>
        </w:rPr>
        <w:t> </w:t>
      </w:r>
      <w:r>
        <w:rPr>
          <w:w w:val="105"/>
        </w:rPr>
        <w:t>customer</w:t>
      </w:r>
      <w:r>
        <w:rPr>
          <w:spacing w:val="-8"/>
          <w:w w:val="105"/>
        </w:rPr>
        <w:t> </w:t>
      </w:r>
      <w:r>
        <w:rPr>
          <w:w w:val="105"/>
        </w:rPr>
        <w:t>deposits</w:t>
      </w:r>
      <w:r>
        <w:rPr>
          <w:spacing w:val="-8"/>
          <w:w w:val="105"/>
        </w:rPr>
        <w:t> </w:t>
      </w:r>
      <w:r>
        <w:rPr>
          <w:w w:val="105"/>
        </w:rPr>
        <w:t>used</w:t>
      </w:r>
      <w:r>
        <w:rPr>
          <w:spacing w:val="-8"/>
          <w:w w:val="105"/>
        </w:rPr>
        <w:t> </w:t>
      </w:r>
      <w:r>
        <w:rPr>
          <w:w w:val="105"/>
        </w:rPr>
        <w:t>were</w:t>
      </w:r>
      <w:r>
        <w:rPr>
          <w:spacing w:val="-8"/>
          <w:w w:val="105"/>
        </w:rPr>
        <w:t> </w:t>
      </w:r>
      <w:r>
        <w:rPr>
          <w:w w:val="105"/>
        </w:rPr>
        <w:t>$216</w:t>
      </w:r>
      <w:r>
        <w:rPr>
          <w:spacing w:val="-6"/>
          <w:w w:val="105"/>
        </w:rPr>
        <w:t> </w:t>
      </w:r>
      <w:r>
        <w:rPr>
          <w:w w:val="105"/>
        </w:rPr>
        <w:t>million</w:t>
      </w:r>
      <w:r>
        <w:rPr>
          <w:spacing w:val="-8"/>
          <w:w w:val="105"/>
        </w:rPr>
        <w:t> </w:t>
      </w:r>
      <w:r>
        <w:rPr>
          <w:w w:val="105"/>
        </w:rPr>
        <w:t>and</w:t>
      </w:r>
      <w:r>
        <w:rPr>
          <w:spacing w:val="-8"/>
          <w:w w:val="105"/>
        </w:rPr>
        <w:t> </w:t>
      </w:r>
      <w:r>
        <w:rPr>
          <w:w w:val="105"/>
        </w:rPr>
        <w:t>$140</w:t>
      </w:r>
      <w:r>
        <w:rPr>
          <w:spacing w:val="-8"/>
          <w:w w:val="105"/>
        </w:rPr>
        <w:t> </w:t>
      </w:r>
      <w:r>
        <w:rPr>
          <w:w w:val="105"/>
        </w:rPr>
        <w:t>million,</w:t>
      </w:r>
      <w:r>
        <w:rPr>
          <w:spacing w:val="-8"/>
          <w:w w:val="105"/>
        </w:rPr>
        <w:t> </w:t>
      </w:r>
      <w:r>
        <w:rPr>
          <w:w w:val="105"/>
        </w:rPr>
        <w:t>respectively.</w:t>
      </w:r>
      <w:r>
        <w:rPr>
          <w:spacing w:val="-8"/>
          <w:w w:val="105"/>
        </w:rPr>
        <w:t> </w:t>
      </w:r>
      <w:r>
        <w:rPr>
          <w:w w:val="105"/>
        </w:rPr>
        <w:t>As</w:t>
      </w:r>
      <w:r>
        <w:rPr>
          <w:spacing w:val="-8"/>
          <w:w w:val="105"/>
        </w:rPr>
        <w:t> </w:t>
      </w:r>
      <w:r>
        <w:rPr>
          <w:w w:val="105"/>
        </w:rPr>
        <w:t>of</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and</w:t>
      </w:r>
      <w:r>
        <w:rPr>
          <w:spacing w:val="-8"/>
          <w:w w:val="105"/>
        </w:rPr>
        <w:t> </w:t>
      </w:r>
      <w:r>
        <w:rPr>
          <w:w w:val="105"/>
        </w:rPr>
        <w:t>2020,</w:t>
      </w:r>
      <w:r>
        <w:rPr>
          <w:spacing w:val="-8"/>
          <w:w w:val="105"/>
        </w:rPr>
        <w:t> </w:t>
      </w:r>
      <w:r>
        <w:rPr>
          <w:w w:val="105"/>
        </w:rPr>
        <w:t>$1.1</w:t>
      </w:r>
      <w:r>
        <w:rPr>
          <w:spacing w:val="-8"/>
          <w:w w:val="105"/>
        </w:rPr>
        <w:t> </w:t>
      </w:r>
      <w:r>
        <w:rPr>
          <w:w w:val="105"/>
        </w:rPr>
        <w:t>billion was</w:t>
      </w:r>
      <w:r>
        <w:rPr>
          <w:spacing w:val="-2"/>
          <w:w w:val="105"/>
        </w:rPr>
        <w:t> </w:t>
      </w:r>
      <w:r>
        <w:rPr>
          <w:w w:val="105"/>
        </w:rPr>
        <w:t>recorded</w:t>
      </w:r>
      <w:r>
        <w:rPr>
          <w:spacing w:val="-2"/>
          <w:w w:val="105"/>
        </w:rPr>
        <w:t> </w:t>
      </w:r>
      <w:r>
        <w:rPr>
          <w:w w:val="105"/>
        </w:rPr>
        <w:t>as</w:t>
      </w:r>
      <w:r>
        <w:rPr>
          <w:spacing w:val="-2"/>
          <w:w w:val="105"/>
        </w:rPr>
        <w:t> </w:t>
      </w:r>
      <w:r>
        <w:rPr>
          <w:w w:val="105"/>
        </w:rPr>
        <w:t>other</w:t>
      </w:r>
      <w:r>
        <w:rPr>
          <w:spacing w:val="-2"/>
          <w:w w:val="105"/>
        </w:rPr>
        <w:t> </w:t>
      </w:r>
      <w:r>
        <w:rPr>
          <w:w w:val="105"/>
        </w:rPr>
        <w:t>long-term</w:t>
      </w:r>
      <w:r>
        <w:rPr>
          <w:spacing w:val="-2"/>
          <w:w w:val="105"/>
        </w:rPr>
        <w:t> </w:t>
      </w:r>
      <w:r>
        <w:rPr>
          <w:w w:val="105"/>
        </w:rPr>
        <w:t>liabilities</w:t>
      </w:r>
      <w:r>
        <w:rPr>
          <w:spacing w:val="-2"/>
          <w:w w:val="105"/>
        </w:rPr>
        <w:t> </w:t>
      </w:r>
      <w:r>
        <w:rPr>
          <w:w w:val="105"/>
        </w:rPr>
        <w:t>and the</w:t>
      </w:r>
      <w:r>
        <w:rPr>
          <w:spacing w:val="-2"/>
          <w:w w:val="105"/>
        </w:rPr>
        <w:t> </w:t>
      </w:r>
      <w:r>
        <w:rPr>
          <w:w w:val="105"/>
        </w:rPr>
        <w:t>remaining</w:t>
      </w:r>
      <w:r>
        <w:rPr>
          <w:spacing w:val="-2"/>
          <w:w w:val="105"/>
        </w:rPr>
        <w:t> </w:t>
      </w:r>
      <w:r>
        <w:rPr>
          <w:w w:val="105"/>
        </w:rPr>
        <w:t>$223</w:t>
      </w:r>
      <w:r>
        <w:rPr>
          <w:spacing w:val="-2"/>
          <w:w w:val="105"/>
        </w:rPr>
        <w:t> </w:t>
      </w:r>
      <w:r>
        <w:rPr>
          <w:w w:val="105"/>
        </w:rPr>
        <w:t>million and</w:t>
      </w:r>
      <w:r>
        <w:rPr>
          <w:spacing w:val="-2"/>
          <w:w w:val="105"/>
        </w:rPr>
        <w:t> </w:t>
      </w:r>
      <w:r>
        <w:rPr>
          <w:w w:val="105"/>
        </w:rPr>
        <w:t>$211</w:t>
      </w:r>
      <w:r>
        <w:rPr>
          <w:spacing w:val="-2"/>
          <w:w w:val="105"/>
        </w:rPr>
        <w:t> </w:t>
      </w:r>
      <w:r>
        <w:rPr>
          <w:w w:val="105"/>
        </w:rPr>
        <w:t>million,</w:t>
      </w:r>
      <w:r>
        <w:rPr>
          <w:spacing w:val="-2"/>
          <w:w w:val="105"/>
        </w:rPr>
        <w:t> </w:t>
      </w:r>
      <w:r>
        <w:rPr>
          <w:w w:val="105"/>
        </w:rPr>
        <w:t>respectively,</w:t>
      </w:r>
      <w:r>
        <w:rPr>
          <w:spacing w:val="-2"/>
          <w:w w:val="105"/>
        </w:rPr>
        <w:t> </w:t>
      </w:r>
      <w:r>
        <w:rPr>
          <w:w w:val="105"/>
        </w:rPr>
        <w:t>were</w:t>
      </w:r>
      <w:r>
        <w:rPr>
          <w:spacing w:val="-2"/>
          <w:w w:val="105"/>
        </w:rPr>
        <w:t> </w:t>
      </w:r>
      <w:r>
        <w:rPr>
          <w:w w:val="105"/>
        </w:rPr>
        <w:t>classified</w:t>
      </w:r>
      <w:r>
        <w:rPr>
          <w:spacing w:val="-2"/>
          <w:w w:val="105"/>
        </w:rPr>
        <w:t> </w:t>
      </w:r>
      <w:r>
        <w:rPr>
          <w:w w:val="105"/>
        </w:rPr>
        <w:t>as</w:t>
      </w:r>
      <w:r>
        <w:rPr>
          <w:spacing w:val="-2"/>
          <w:w w:val="105"/>
        </w:rPr>
        <w:t> </w:t>
      </w:r>
      <w:r>
        <w:rPr>
          <w:w w:val="105"/>
        </w:rPr>
        <w:t>other</w:t>
      </w:r>
      <w:r>
        <w:rPr>
          <w:spacing w:val="-2"/>
          <w:w w:val="105"/>
        </w:rPr>
        <w:t> </w:t>
      </w:r>
      <w:r>
        <w:rPr>
          <w:w w:val="105"/>
        </w:rPr>
        <w:t>current</w:t>
      </w:r>
      <w:r>
        <w:rPr>
          <w:spacing w:val="-2"/>
          <w:w w:val="105"/>
        </w:rPr>
        <w:t> </w:t>
      </w:r>
      <w:r>
        <w:rPr>
          <w:w w:val="105"/>
        </w:rPr>
        <w:t>liabilities</w:t>
      </w:r>
      <w:r>
        <w:rPr>
          <w:spacing w:val="-2"/>
          <w:w w:val="105"/>
        </w:rPr>
        <w:t> </w:t>
      </w:r>
      <w:r>
        <w:rPr>
          <w:w w:val="105"/>
        </w:rPr>
        <w:t>on</w:t>
      </w:r>
      <w:r>
        <w:rPr>
          <w:spacing w:val="-2"/>
          <w:w w:val="105"/>
        </w:rPr>
        <w:t> </w:t>
      </w:r>
      <w:r>
        <w:rPr>
          <w:w w:val="105"/>
        </w:rPr>
        <w:t>our</w:t>
      </w:r>
      <w:r>
        <w:rPr>
          <w:spacing w:val="-2"/>
          <w:w w:val="105"/>
        </w:rPr>
        <w:t> </w:t>
      </w:r>
      <w:r>
        <w:rPr>
          <w:w w:val="105"/>
        </w:rPr>
        <w:t>consolidated balance</w:t>
      </w:r>
      <w:r>
        <w:rPr>
          <w:spacing w:val="-1"/>
          <w:w w:val="105"/>
        </w:rPr>
        <w:t> </w:t>
      </w:r>
      <w:r>
        <w:rPr>
          <w:w w:val="105"/>
        </w:rPr>
        <w:t>sheets.</w:t>
      </w:r>
    </w:p>
    <w:p>
      <w:pPr>
        <w:pStyle w:val="BodyText"/>
        <w:spacing w:before="18"/>
      </w:pPr>
    </w:p>
    <w:p>
      <w:pPr>
        <w:pStyle w:val="Heading3"/>
        <w:spacing w:before="1"/>
      </w:pPr>
      <w:r>
        <w:rPr/>
        <w:t>Deferred</w:t>
      </w:r>
      <w:r>
        <w:rPr>
          <w:spacing w:val="18"/>
        </w:rPr>
        <w:t> </w:t>
      </w:r>
      <w:r>
        <w:rPr>
          <w:spacing w:val="-2"/>
        </w:rPr>
        <w:t>Revenue</w:t>
      </w:r>
    </w:p>
    <w:p>
      <w:pPr>
        <w:pStyle w:val="BodyText"/>
        <w:spacing w:before="39"/>
        <w:rPr>
          <w:b/>
          <w:i/>
        </w:rPr>
      </w:pPr>
    </w:p>
    <w:p>
      <w:pPr>
        <w:pStyle w:val="BodyText"/>
        <w:spacing w:line="266" w:lineRule="auto"/>
        <w:ind w:left="156"/>
      </w:pPr>
      <w:r>
        <w:rPr>
          <w:w w:val="105"/>
        </w:rPr>
        <w:t>During</w:t>
      </w:r>
      <w:r>
        <w:rPr>
          <w:spacing w:val="-8"/>
          <w:w w:val="105"/>
        </w:rPr>
        <w:t> </w:t>
      </w:r>
      <w:r>
        <w:rPr>
          <w:w w:val="105"/>
        </w:rPr>
        <w:t>the</w:t>
      </w:r>
      <w:r>
        <w:rPr>
          <w:spacing w:val="-8"/>
          <w:w w:val="105"/>
        </w:rPr>
        <w:t> </w:t>
      </w:r>
      <w:r>
        <w:rPr>
          <w:w w:val="105"/>
        </w:rPr>
        <w:t>third</w:t>
      </w:r>
      <w:r>
        <w:rPr>
          <w:spacing w:val="-8"/>
          <w:w w:val="105"/>
        </w:rPr>
        <w:t> </w:t>
      </w:r>
      <w:r>
        <w:rPr>
          <w:w w:val="105"/>
        </w:rPr>
        <w:t>quarter</w:t>
      </w:r>
      <w:r>
        <w:rPr>
          <w:spacing w:val="-8"/>
          <w:w w:val="105"/>
        </w:rPr>
        <w:t> </w:t>
      </w:r>
      <w:r>
        <w:rPr>
          <w:w w:val="105"/>
        </w:rPr>
        <w:t>of</w:t>
      </w:r>
      <w:r>
        <w:rPr>
          <w:spacing w:val="-8"/>
          <w:w w:val="105"/>
        </w:rPr>
        <w:t> </w:t>
      </w:r>
      <w:r>
        <w:rPr>
          <w:w w:val="105"/>
        </w:rPr>
        <w:t>2020,</w:t>
      </w:r>
      <w:r>
        <w:rPr>
          <w:spacing w:val="-8"/>
          <w:w w:val="105"/>
        </w:rPr>
        <w:t> </w:t>
      </w:r>
      <w:r>
        <w:rPr>
          <w:w w:val="105"/>
        </w:rPr>
        <w:t>Corning</w:t>
      </w:r>
      <w:r>
        <w:rPr>
          <w:spacing w:val="-8"/>
          <w:w w:val="105"/>
        </w:rPr>
        <w:t> </w:t>
      </w:r>
      <w:r>
        <w:rPr>
          <w:w w:val="105"/>
        </w:rPr>
        <w:t>obtained</w:t>
      </w:r>
      <w:r>
        <w:rPr>
          <w:spacing w:val="-8"/>
          <w:w w:val="105"/>
        </w:rPr>
        <w:t> </w:t>
      </w:r>
      <w:r>
        <w:rPr>
          <w:w w:val="105"/>
        </w:rPr>
        <w:t>a</w:t>
      </w:r>
      <w:r>
        <w:rPr>
          <w:spacing w:val="-8"/>
          <w:w w:val="105"/>
        </w:rPr>
        <w:t> </w:t>
      </w:r>
      <w:r>
        <w:rPr>
          <w:w w:val="105"/>
        </w:rPr>
        <w:t>controlling</w:t>
      </w:r>
      <w:r>
        <w:rPr>
          <w:spacing w:val="-8"/>
          <w:w w:val="105"/>
        </w:rPr>
        <w:t> </w:t>
      </w:r>
      <w:r>
        <w:rPr>
          <w:w w:val="105"/>
        </w:rPr>
        <w:t>interest</w:t>
      </w:r>
      <w:r>
        <w:rPr>
          <w:spacing w:val="-8"/>
          <w:w w:val="105"/>
        </w:rPr>
        <w:t> </w:t>
      </w:r>
      <w:r>
        <w:rPr>
          <w:w w:val="105"/>
        </w:rPr>
        <w:t>in</w:t>
      </w:r>
      <w:r>
        <w:rPr>
          <w:spacing w:val="-8"/>
          <w:w w:val="105"/>
        </w:rPr>
        <w:t> </w:t>
      </w:r>
      <w:r>
        <w:rPr>
          <w:w w:val="105"/>
        </w:rPr>
        <w:t>HSG</w:t>
      </w:r>
      <w:r>
        <w:rPr>
          <w:spacing w:val="-8"/>
          <w:w w:val="105"/>
        </w:rPr>
        <w:t> </w:t>
      </w:r>
      <w:r>
        <w:rPr>
          <w:w w:val="105"/>
        </w:rPr>
        <w:t>and</w:t>
      </w:r>
      <w:r>
        <w:rPr>
          <w:spacing w:val="-8"/>
          <w:w w:val="105"/>
        </w:rPr>
        <w:t> </w:t>
      </w:r>
      <w:r>
        <w:rPr>
          <w:w w:val="105"/>
        </w:rPr>
        <w:t>recorded</w:t>
      </w:r>
      <w:r>
        <w:rPr>
          <w:spacing w:val="-8"/>
          <w:w w:val="105"/>
        </w:rPr>
        <w:t> </w:t>
      </w:r>
      <w:r>
        <w:rPr>
          <w:w w:val="105"/>
        </w:rPr>
        <w:t>deferred</w:t>
      </w:r>
      <w:r>
        <w:rPr>
          <w:spacing w:val="-8"/>
          <w:w w:val="105"/>
        </w:rPr>
        <w:t> </w:t>
      </w:r>
      <w:r>
        <w:rPr>
          <w:w w:val="105"/>
        </w:rPr>
        <w:t>revenue</w:t>
      </w:r>
      <w:r>
        <w:rPr>
          <w:spacing w:val="-8"/>
          <w:w w:val="105"/>
        </w:rPr>
        <w:t> </w:t>
      </w:r>
      <w:r>
        <w:rPr>
          <w:w w:val="105"/>
        </w:rPr>
        <w:t>of</w:t>
      </w:r>
      <w:r>
        <w:rPr>
          <w:spacing w:val="-8"/>
          <w:w w:val="105"/>
        </w:rPr>
        <w:t> </w:t>
      </w:r>
      <w:r>
        <w:rPr>
          <w:w w:val="105"/>
        </w:rPr>
        <w:t>$1,070</w:t>
      </w:r>
      <w:r>
        <w:rPr>
          <w:spacing w:val="-8"/>
          <w:w w:val="105"/>
        </w:rPr>
        <w:t> </w:t>
      </w:r>
      <w:r>
        <w:rPr>
          <w:w w:val="105"/>
        </w:rPr>
        <w:t>million</w:t>
      </w:r>
      <w:r>
        <w:rPr>
          <w:spacing w:val="-8"/>
          <w:w w:val="105"/>
        </w:rPr>
        <w:t> </w:t>
      </w:r>
      <w:r>
        <w:rPr>
          <w:w w:val="105"/>
        </w:rPr>
        <w:t>at</w:t>
      </w:r>
      <w:r>
        <w:rPr>
          <w:spacing w:val="-8"/>
          <w:w w:val="105"/>
        </w:rPr>
        <w:t> </w:t>
      </w:r>
      <w:r>
        <w:rPr>
          <w:w w:val="105"/>
        </w:rPr>
        <w:t>fair</w:t>
      </w:r>
      <w:r>
        <w:rPr>
          <w:spacing w:val="-8"/>
          <w:w w:val="105"/>
        </w:rPr>
        <w:t> </w:t>
      </w:r>
      <w:r>
        <w:rPr>
          <w:w w:val="105"/>
        </w:rPr>
        <w:t>value</w:t>
      </w:r>
      <w:r>
        <w:rPr>
          <w:spacing w:val="-8"/>
          <w:w w:val="105"/>
        </w:rPr>
        <w:t> </w:t>
      </w:r>
      <w:r>
        <w:rPr>
          <w:w w:val="105"/>
        </w:rPr>
        <w:t>related</w:t>
      </w:r>
      <w:r>
        <w:rPr>
          <w:spacing w:val="-8"/>
          <w:w w:val="105"/>
        </w:rPr>
        <w:t> </w:t>
      </w:r>
      <w:r>
        <w:rPr>
          <w:w w:val="105"/>
        </w:rPr>
        <w:t>to</w:t>
      </w:r>
      <w:r>
        <w:rPr>
          <w:spacing w:val="-8"/>
          <w:w w:val="105"/>
        </w:rPr>
        <w:t> </w:t>
      </w:r>
      <w:r>
        <w:rPr>
          <w:w w:val="105"/>
        </w:rPr>
        <w:t>the</w:t>
      </w:r>
      <w:r>
        <w:rPr>
          <w:spacing w:val="-8"/>
          <w:w w:val="105"/>
        </w:rPr>
        <w:t> </w:t>
      </w:r>
      <w:r>
        <w:rPr>
          <w:w w:val="105"/>
        </w:rPr>
        <w:t>performance obligations of non-refundable consideration previously received by HSG from its customers under long term supply agreements.</w:t>
      </w:r>
    </w:p>
    <w:p>
      <w:pPr>
        <w:pStyle w:val="BodyText"/>
        <w:spacing w:before="19"/>
      </w:pPr>
    </w:p>
    <w:p>
      <w:pPr>
        <w:pStyle w:val="BodyText"/>
        <w:spacing w:line="266" w:lineRule="auto"/>
        <w:ind w:left="156" w:right="328"/>
      </w:pPr>
      <w:r>
        <w:rPr>
          <w:w w:val="105"/>
        </w:rPr>
        <w:t>The</w:t>
      </w:r>
      <w:r>
        <w:rPr>
          <w:spacing w:val="-8"/>
          <w:w w:val="105"/>
        </w:rPr>
        <w:t> </w:t>
      </w:r>
      <w:r>
        <w:rPr>
          <w:w w:val="105"/>
        </w:rPr>
        <w:t>deferred</w:t>
      </w:r>
      <w:r>
        <w:rPr>
          <w:spacing w:val="-8"/>
          <w:w w:val="105"/>
        </w:rPr>
        <w:t> </w:t>
      </w:r>
      <w:r>
        <w:rPr>
          <w:w w:val="105"/>
        </w:rPr>
        <w:t>revenue</w:t>
      </w:r>
      <w:r>
        <w:rPr>
          <w:spacing w:val="-8"/>
          <w:w w:val="105"/>
        </w:rPr>
        <w:t> </w:t>
      </w:r>
      <w:r>
        <w:rPr>
          <w:w w:val="105"/>
        </w:rPr>
        <w:t>is</w:t>
      </w:r>
      <w:r>
        <w:rPr>
          <w:spacing w:val="-6"/>
          <w:w w:val="105"/>
        </w:rPr>
        <w:t> </w:t>
      </w:r>
      <w:r>
        <w:rPr>
          <w:w w:val="105"/>
        </w:rPr>
        <w:t>tracked</w:t>
      </w:r>
      <w:r>
        <w:rPr>
          <w:spacing w:val="-8"/>
          <w:w w:val="105"/>
        </w:rPr>
        <w:t> </w:t>
      </w:r>
      <w:r>
        <w:rPr>
          <w:w w:val="105"/>
        </w:rPr>
        <w:t>on</w:t>
      </w:r>
      <w:r>
        <w:rPr>
          <w:spacing w:val="-8"/>
          <w:w w:val="105"/>
        </w:rPr>
        <w:t> </w:t>
      </w:r>
      <w:r>
        <w:rPr>
          <w:w w:val="105"/>
        </w:rPr>
        <w:t>a</w:t>
      </w:r>
      <w:r>
        <w:rPr>
          <w:spacing w:val="-8"/>
          <w:w w:val="105"/>
        </w:rPr>
        <w:t> </w:t>
      </w:r>
      <w:r>
        <w:rPr>
          <w:w w:val="105"/>
        </w:rPr>
        <w:t>per-customer</w:t>
      </w:r>
      <w:r>
        <w:rPr>
          <w:spacing w:val="-8"/>
          <w:w w:val="105"/>
        </w:rPr>
        <w:t> </w:t>
      </w:r>
      <w:r>
        <w:rPr>
          <w:w w:val="105"/>
        </w:rPr>
        <w:t>contract-unit</w:t>
      </w:r>
      <w:r>
        <w:rPr>
          <w:spacing w:val="-8"/>
          <w:w w:val="105"/>
        </w:rPr>
        <w:t> </w:t>
      </w:r>
      <w:r>
        <w:rPr>
          <w:w w:val="105"/>
        </w:rPr>
        <w:t>basis.</w:t>
      </w:r>
      <w:r>
        <w:rPr>
          <w:spacing w:val="-8"/>
          <w:w w:val="105"/>
        </w:rPr>
        <w:t> </w:t>
      </w:r>
      <w:r>
        <w:rPr>
          <w:w w:val="105"/>
        </w:rPr>
        <w:t>As</w:t>
      </w:r>
      <w:r>
        <w:rPr>
          <w:spacing w:val="-8"/>
          <w:w w:val="105"/>
        </w:rPr>
        <w:t> </w:t>
      </w:r>
      <w:r>
        <w:rPr>
          <w:w w:val="105"/>
        </w:rPr>
        <w:t>customers</w:t>
      </w:r>
      <w:r>
        <w:rPr>
          <w:spacing w:val="-8"/>
          <w:w w:val="105"/>
        </w:rPr>
        <w:t> </w:t>
      </w:r>
      <w:r>
        <w:rPr>
          <w:w w:val="105"/>
        </w:rPr>
        <w:t>take</w:t>
      </w:r>
      <w:r>
        <w:rPr>
          <w:spacing w:val="-8"/>
          <w:w w:val="105"/>
        </w:rPr>
        <w:t> </w:t>
      </w:r>
      <w:r>
        <w:rPr>
          <w:w w:val="105"/>
        </w:rPr>
        <w:t>delivery</w:t>
      </w:r>
      <w:r>
        <w:rPr>
          <w:spacing w:val="-8"/>
          <w:w w:val="105"/>
        </w:rPr>
        <w:t> </w:t>
      </w:r>
      <w:r>
        <w:rPr>
          <w:w w:val="105"/>
        </w:rPr>
        <w:t>of</w:t>
      </w:r>
      <w:r>
        <w:rPr>
          <w:spacing w:val="-8"/>
          <w:w w:val="105"/>
        </w:rPr>
        <w:t> </w:t>
      </w:r>
      <w:r>
        <w:rPr>
          <w:w w:val="105"/>
        </w:rPr>
        <w:t>the</w:t>
      </w:r>
      <w:r>
        <w:rPr>
          <w:spacing w:val="-8"/>
          <w:w w:val="105"/>
        </w:rPr>
        <w:t> </w:t>
      </w:r>
      <w:r>
        <w:rPr>
          <w:w w:val="105"/>
        </w:rPr>
        <w:t>committed</w:t>
      </w:r>
      <w:r>
        <w:rPr>
          <w:spacing w:val="-8"/>
          <w:w w:val="105"/>
        </w:rPr>
        <w:t> </w:t>
      </w:r>
      <w:r>
        <w:rPr>
          <w:w w:val="105"/>
        </w:rPr>
        <w:t>volumes</w:t>
      </w:r>
      <w:r>
        <w:rPr>
          <w:spacing w:val="-8"/>
          <w:w w:val="105"/>
        </w:rPr>
        <w:t> </w:t>
      </w:r>
      <w:r>
        <w:rPr>
          <w:w w:val="105"/>
        </w:rPr>
        <w:t>under</w:t>
      </w:r>
      <w:r>
        <w:rPr>
          <w:spacing w:val="-6"/>
          <w:w w:val="105"/>
        </w:rPr>
        <w:t> </w:t>
      </w:r>
      <w:r>
        <w:rPr>
          <w:w w:val="105"/>
        </w:rPr>
        <w:t>the</w:t>
      </w:r>
      <w:r>
        <w:rPr>
          <w:spacing w:val="-8"/>
          <w:w w:val="105"/>
        </w:rPr>
        <w:t> </w:t>
      </w:r>
      <w:r>
        <w:rPr>
          <w:w w:val="105"/>
        </w:rPr>
        <w:t>terms</w:t>
      </w:r>
      <w:r>
        <w:rPr>
          <w:spacing w:val="-8"/>
          <w:w w:val="105"/>
        </w:rPr>
        <w:t> </w:t>
      </w:r>
      <w:r>
        <w:rPr>
          <w:w w:val="105"/>
        </w:rPr>
        <w:t>of</w:t>
      </w:r>
      <w:r>
        <w:rPr>
          <w:spacing w:val="-8"/>
          <w:w w:val="105"/>
        </w:rPr>
        <w:t> </w:t>
      </w:r>
      <w:r>
        <w:rPr>
          <w:w w:val="105"/>
        </w:rPr>
        <w:t>the</w:t>
      </w:r>
      <w:r>
        <w:rPr>
          <w:spacing w:val="-8"/>
          <w:w w:val="105"/>
        </w:rPr>
        <w:t> </w:t>
      </w:r>
      <w:r>
        <w:rPr>
          <w:w w:val="105"/>
        </w:rPr>
        <w:t>contract,</w:t>
      </w:r>
      <w:r>
        <w:rPr>
          <w:spacing w:val="-8"/>
          <w:w w:val="105"/>
        </w:rPr>
        <w:t> </w:t>
      </w:r>
      <w:r>
        <w:rPr>
          <w:w w:val="105"/>
        </w:rPr>
        <w:t>a</w:t>
      </w:r>
      <w:r>
        <w:rPr>
          <w:spacing w:val="-8"/>
          <w:w w:val="105"/>
        </w:rPr>
        <w:t> </w:t>
      </w:r>
      <w:r>
        <w:rPr>
          <w:w w:val="105"/>
        </w:rPr>
        <w:t>per</w:t>
      </w:r>
      <w:r>
        <w:rPr>
          <w:spacing w:val="-8"/>
          <w:w w:val="105"/>
        </w:rPr>
        <w:t> </w:t>
      </w:r>
      <w:r>
        <w:rPr>
          <w:w w:val="105"/>
        </w:rPr>
        <w:t>unit amount</w:t>
      </w:r>
      <w:r>
        <w:rPr>
          <w:spacing w:val="-4"/>
          <w:w w:val="105"/>
        </w:rPr>
        <w:t> </w:t>
      </w:r>
      <w:r>
        <w:rPr>
          <w:w w:val="105"/>
        </w:rPr>
        <w:t>of</w:t>
      </w:r>
      <w:r>
        <w:rPr>
          <w:spacing w:val="-4"/>
          <w:w w:val="105"/>
        </w:rPr>
        <w:t> </w:t>
      </w:r>
      <w:r>
        <w:rPr>
          <w:w w:val="105"/>
        </w:rPr>
        <w:t>deferred</w:t>
      </w:r>
      <w:r>
        <w:rPr>
          <w:spacing w:val="-4"/>
          <w:w w:val="105"/>
        </w:rPr>
        <w:t> </w:t>
      </w:r>
      <w:r>
        <w:rPr>
          <w:w w:val="105"/>
        </w:rPr>
        <w:t>revenue</w:t>
      </w:r>
      <w:r>
        <w:rPr>
          <w:spacing w:val="-4"/>
          <w:w w:val="105"/>
        </w:rPr>
        <w:t> </w:t>
      </w:r>
      <w:r>
        <w:rPr>
          <w:w w:val="105"/>
        </w:rPr>
        <w:t>is</w:t>
      </w:r>
      <w:r>
        <w:rPr>
          <w:spacing w:val="-4"/>
          <w:w w:val="105"/>
        </w:rPr>
        <w:t> </w:t>
      </w:r>
      <w:r>
        <w:rPr>
          <w:w w:val="105"/>
        </w:rPr>
        <w:t>recognized</w:t>
      </w:r>
      <w:r>
        <w:rPr>
          <w:spacing w:val="-4"/>
          <w:w w:val="105"/>
        </w:rPr>
        <w:t> </w:t>
      </w:r>
      <w:r>
        <w:rPr>
          <w:w w:val="105"/>
        </w:rPr>
        <w:t>when</w:t>
      </w:r>
      <w:r>
        <w:rPr>
          <w:spacing w:val="-4"/>
          <w:w w:val="105"/>
        </w:rPr>
        <w:t> </w:t>
      </w:r>
      <w:r>
        <w:rPr>
          <w:w w:val="105"/>
        </w:rPr>
        <w:t>control</w:t>
      </w:r>
      <w:r>
        <w:rPr>
          <w:spacing w:val="-4"/>
          <w:w w:val="105"/>
        </w:rPr>
        <w:t> </w:t>
      </w:r>
      <w:r>
        <w:rPr>
          <w:w w:val="105"/>
        </w:rPr>
        <w:t>of</w:t>
      </w:r>
      <w:r>
        <w:rPr>
          <w:spacing w:val="-4"/>
          <w:w w:val="105"/>
        </w:rPr>
        <w:t> </w:t>
      </w:r>
      <w:r>
        <w:rPr>
          <w:w w:val="105"/>
        </w:rPr>
        <w:t>the</w:t>
      </w:r>
      <w:r>
        <w:rPr>
          <w:spacing w:val="-4"/>
          <w:w w:val="105"/>
        </w:rPr>
        <w:t> </w:t>
      </w:r>
      <w:r>
        <w:rPr>
          <w:w w:val="105"/>
        </w:rPr>
        <w:t>promised</w:t>
      </w:r>
      <w:r>
        <w:rPr>
          <w:spacing w:val="-4"/>
          <w:w w:val="105"/>
        </w:rPr>
        <w:t> </w:t>
      </w:r>
      <w:r>
        <w:rPr>
          <w:w w:val="105"/>
        </w:rPr>
        <w:t>goods</w:t>
      </w:r>
      <w:r>
        <w:rPr>
          <w:spacing w:val="-4"/>
          <w:w w:val="105"/>
        </w:rPr>
        <w:t> </w:t>
      </w:r>
      <w:r>
        <w:rPr>
          <w:w w:val="105"/>
        </w:rPr>
        <w:t>is</w:t>
      </w:r>
      <w:r>
        <w:rPr>
          <w:spacing w:val="-4"/>
          <w:w w:val="105"/>
        </w:rPr>
        <w:t> </w:t>
      </w:r>
      <w:r>
        <w:rPr>
          <w:w w:val="105"/>
        </w:rPr>
        <w:t>transferred</w:t>
      </w:r>
      <w:r>
        <w:rPr>
          <w:spacing w:val="-4"/>
          <w:w w:val="105"/>
        </w:rPr>
        <w:t> </w:t>
      </w:r>
      <w:r>
        <w:rPr>
          <w:w w:val="105"/>
        </w:rPr>
        <w:t>to</w:t>
      </w:r>
      <w:r>
        <w:rPr>
          <w:spacing w:val="-4"/>
          <w:w w:val="105"/>
        </w:rPr>
        <w:t> </w:t>
      </w:r>
      <w:r>
        <w:rPr>
          <w:w w:val="105"/>
        </w:rPr>
        <w:t>the</w:t>
      </w:r>
      <w:r>
        <w:rPr>
          <w:spacing w:val="-4"/>
          <w:w w:val="105"/>
        </w:rPr>
        <w:t> </w:t>
      </w:r>
      <w:r>
        <w:rPr>
          <w:w w:val="105"/>
        </w:rPr>
        <w:t>customer</w:t>
      </w:r>
      <w:r>
        <w:rPr>
          <w:spacing w:val="-4"/>
          <w:w w:val="105"/>
        </w:rPr>
        <w:t> </w:t>
      </w:r>
      <w:r>
        <w:rPr>
          <w:w w:val="105"/>
        </w:rPr>
        <w:t>based</w:t>
      </w:r>
      <w:r>
        <w:rPr>
          <w:spacing w:val="-4"/>
          <w:w w:val="105"/>
        </w:rPr>
        <w:t> </w:t>
      </w:r>
      <w:r>
        <w:rPr>
          <w:w w:val="105"/>
        </w:rPr>
        <w:t>upon</w:t>
      </w:r>
      <w:r>
        <w:rPr>
          <w:spacing w:val="-2"/>
          <w:w w:val="105"/>
        </w:rPr>
        <w:t> </w:t>
      </w:r>
      <w:r>
        <w:rPr>
          <w:w w:val="105"/>
        </w:rPr>
        <w:t>the</w:t>
      </w:r>
      <w:r>
        <w:rPr>
          <w:spacing w:val="-4"/>
          <w:w w:val="105"/>
        </w:rPr>
        <w:t> </w:t>
      </w:r>
      <w:r>
        <w:rPr>
          <w:w w:val="105"/>
        </w:rPr>
        <w:t>units</w:t>
      </w:r>
      <w:r>
        <w:rPr>
          <w:spacing w:val="-4"/>
          <w:w w:val="105"/>
        </w:rPr>
        <w:t> </w:t>
      </w:r>
      <w:r>
        <w:rPr>
          <w:w w:val="105"/>
        </w:rPr>
        <w:t>shipped</w:t>
      </w:r>
      <w:r>
        <w:rPr>
          <w:spacing w:val="-4"/>
          <w:w w:val="105"/>
        </w:rPr>
        <w:t> </w:t>
      </w:r>
      <w:r>
        <w:rPr>
          <w:w w:val="105"/>
        </w:rPr>
        <w:t>compared</w:t>
      </w:r>
      <w:r>
        <w:rPr>
          <w:spacing w:val="-4"/>
          <w:w w:val="105"/>
        </w:rPr>
        <w:t> </w:t>
      </w:r>
      <w:r>
        <w:rPr>
          <w:w w:val="105"/>
        </w:rPr>
        <w:t>to</w:t>
      </w:r>
      <w:r>
        <w:rPr>
          <w:spacing w:val="-4"/>
          <w:w w:val="105"/>
        </w:rPr>
        <w:t> </w:t>
      </w:r>
      <w:r>
        <w:rPr>
          <w:w w:val="105"/>
        </w:rPr>
        <w:t>the</w:t>
      </w:r>
      <w:r>
        <w:rPr>
          <w:spacing w:val="-4"/>
          <w:w w:val="105"/>
        </w:rPr>
        <w:t> </w:t>
      </w:r>
      <w:r>
        <w:rPr>
          <w:w w:val="105"/>
        </w:rPr>
        <w:t>remaining contractual</w:t>
      </w:r>
      <w:r>
        <w:rPr>
          <w:spacing w:val="-1"/>
          <w:w w:val="105"/>
        </w:rPr>
        <w:t> </w:t>
      </w:r>
      <w:r>
        <w:rPr>
          <w:w w:val="105"/>
        </w:rPr>
        <w:t>units.</w:t>
      </w:r>
    </w:p>
    <w:p>
      <w:pPr>
        <w:pStyle w:val="BodyText"/>
        <w:spacing w:before="19"/>
      </w:pPr>
    </w:p>
    <w:p>
      <w:pPr>
        <w:pStyle w:val="BodyText"/>
        <w:spacing w:line="266" w:lineRule="auto"/>
        <w:ind w:left="156" w:right="328"/>
      </w:pPr>
      <w:r>
        <w:rPr>
          <w:w w:val="105"/>
        </w:rPr>
        <w:t>As</w:t>
      </w:r>
      <w:r>
        <w:rPr>
          <w:spacing w:val="-8"/>
          <w:w w:val="105"/>
        </w:rPr>
        <w:t> </w:t>
      </w:r>
      <w:r>
        <w:rPr>
          <w:w w:val="105"/>
        </w:rPr>
        <w:t>of</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and</w:t>
      </w:r>
      <w:r>
        <w:rPr>
          <w:spacing w:val="-8"/>
          <w:w w:val="105"/>
        </w:rPr>
        <w:t> </w:t>
      </w:r>
      <w:r>
        <w:rPr>
          <w:w w:val="105"/>
        </w:rPr>
        <w:t>2020,</w:t>
      </w:r>
      <w:r>
        <w:rPr>
          <w:spacing w:val="-8"/>
          <w:w w:val="105"/>
        </w:rPr>
        <w:t> </w:t>
      </w:r>
      <w:r>
        <w:rPr>
          <w:w w:val="105"/>
        </w:rPr>
        <w:t>$764</w:t>
      </w:r>
      <w:r>
        <w:rPr>
          <w:spacing w:val="-8"/>
          <w:w w:val="105"/>
        </w:rPr>
        <w:t> </w:t>
      </w:r>
      <w:r>
        <w:rPr>
          <w:w w:val="105"/>
        </w:rPr>
        <w:t>million</w:t>
      </w:r>
      <w:r>
        <w:rPr>
          <w:spacing w:val="-8"/>
          <w:w w:val="105"/>
        </w:rPr>
        <w:t> </w:t>
      </w:r>
      <w:r>
        <w:rPr>
          <w:w w:val="105"/>
        </w:rPr>
        <w:t>and</w:t>
      </w:r>
      <w:r>
        <w:rPr>
          <w:spacing w:val="-8"/>
          <w:w w:val="105"/>
        </w:rPr>
        <w:t> </w:t>
      </w:r>
      <w:r>
        <w:rPr>
          <w:w w:val="105"/>
        </w:rPr>
        <w:t>$872</w:t>
      </w:r>
      <w:r>
        <w:rPr>
          <w:spacing w:val="-6"/>
          <w:w w:val="105"/>
        </w:rPr>
        <w:t> </w:t>
      </w:r>
      <w:r>
        <w:rPr>
          <w:w w:val="105"/>
        </w:rPr>
        <w:t>million,</w:t>
      </w:r>
      <w:r>
        <w:rPr>
          <w:spacing w:val="-8"/>
          <w:w w:val="105"/>
        </w:rPr>
        <w:t> </w:t>
      </w:r>
      <w:r>
        <w:rPr>
          <w:w w:val="105"/>
        </w:rPr>
        <w:t>respectively,</w:t>
      </w:r>
      <w:r>
        <w:rPr>
          <w:spacing w:val="-8"/>
          <w:w w:val="105"/>
        </w:rPr>
        <w:t> </w:t>
      </w:r>
      <w:r>
        <w:rPr>
          <w:w w:val="105"/>
        </w:rPr>
        <w:t>were</w:t>
      </w:r>
      <w:r>
        <w:rPr>
          <w:spacing w:val="-8"/>
          <w:w w:val="105"/>
        </w:rPr>
        <w:t> </w:t>
      </w:r>
      <w:r>
        <w:rPr>
          <w:w w:val="105"/>
        </w:rPr>
        <w:t>classified</w:t>
      </w:r>
      <w:r>
        <w:rPr>
          <w:spacing w:val="-8"/>
          <w:w w:val="105"/>
        </w:rPr>
        <w:t> </w:t>
      </w:r>
      <w:r>
        <w:rPr>
          <w:w w:val="105"/>
        </w:rPr>
        <w:t>as</w:t>
      </w:r>
      <w:r>
        <w:rPr>
          <w:spacing w:val="-8"/>
          <w:w w:val="105"/>
        </w:rPr>
        <w:t> </w:t>
      </w:r>
      <w:r>
        <w:rPr>
          <w:w w:val="105"/>
        </w:rPr>
        <w:t>a</w:t>
      </w:r>
      <w:r>
        <w:rPr>
          <w:spacing w:val="-8"/>
          <w:w w:val="105"/>
        </w:rPr>
        <w:t> </w:t>
      </w:r>
      <w:r>
        <w:rPr>
          <w:w w:val="105"/>
        </w:rPr>
        <w:t>long-term</w:t>
      </w:r>
      <w:r>
        <w:rPr>
          <w:spacing w:val="-8"/>
          <w:w w:val="105"/>
        </w:rPr>
        <w:t> </w:t>
      </w:r>
      <w:r>
        <w:rPr>
          <w:w w:val="105"/>
        </w:rPr>
        <w:t>liability</w:t>
      </w:r>
      <w:r>
        <w:rPr>
          <w:spacing w:val="-8"/>
          <w:w w:val="105"/>
        </w:rPr>
        <w:t> </w:t>
      </w:r>
      <w:r>
        <w:rPr>
          <w:w w:val="105"/>
        </w:rPr>
        <w:t>and</w:t>
      </w:r>
      <w:r>
        <w:rPr>
          <w:spacing w:val="-8"/>
          <w:w w:val="105"/>
        </w:rPr>
        <w:t> </w:t>
      </w:r>
      <w:r>
        <w:rPr>
          <w:w w:val="105"/>
        </w:rPr>
        <w:t>$148</w:t>
      </w:r>
      <w:r>
        <w:rPr>
          <w:spacing w:val="-8"/>
          <w:w w:val="105"/>
        </w:rPr>
        <w:t> </w:t>
      </w:r>
      <w:r>
        <w:rPr>
          <w:w w:val="105"/>
        </w:rPr>
        <w:t>million</w:t>
      </w:r>
      <w:r>
        <w:rPr>
          <w:spacing w:val="-8"/>
          <w:w w:val="105"/>
        </w:rPr>
        <w:t> </w:t>
      </w:r>
      <w:r>
        <w:rPr>
          <w:w w:val="105"/>
        </w:rPr>
        <w:t>and</w:t>
      </w:r>
      <w:r>
        <w:rPr>
          <w:spacing w:val="-8"/>
          <w:w w:val="105"/>
        </w:rPr>
        <w:t> </w:t>
      </w:r>
      <w:r>
        <w:rPr>
          <w:w w:val="105"/>
        </w:rPr>
        <w:t>$152</w:t>
      </w:r>
      <w:r>
        <w:rPr>
          <w:spacing w:val="-8"/>
          <w:w w:val="105"/>
        </w:rPr>
        <w:t> </w:t>
      </w:r>
      <w:r>
        <w:rPr>
          <w:w w:val="105"/>
        </w:rPr>
        <w:t>million,</w:t>
      </w:r>
      <w:r>
        <w:rPr>
          <w:spacing w:val="-8"/>
          <w:w w:val="105"/>
        </w:rPr>
        <w:t> </w:t>
      </w:r>
      <w:r>
        <w:rPr>
          <w:w w:val="105"/>
        </w:rPr>
        <w:t>respectively, were classified as a current liability.</w:t>
      </w:r>
    </w:p>
    <w:p>
      <w:pPr>
        <w:pStyle w:val="BodyText"/>
        <w:spacing w:before="19"/>
      </w:pPr>
    </w:p>
    <w:p>
      <w:pPr>
        <w:pStyle w:val="Heading3"/>
      </w:pPr>
      <w:r>
        <w:rPr/>
        <w:t>Capital</w:t>
      </w:r>
      <w:r>
        <w:rPr>
          <w:spacing w:val="15"/>
        </w:rPr>
        <w:t> </w:t>
      </w:r>
      <w:r>
        <w:rPr>
          <w:spacing w:val="-2"/>
        </w:rPr>
        <w:t>Spending</w:t>
      </w:r>
    </w:p>
    <w:p>
      <w:pPr>
        <w:pStyle w:val="BodyText"/>
        <w:spacing w:before="39"/>
        <w:rPr>
          <w:b/>
          <w:i/>
        </w:rPr>
      </w:pPr>
    </w:p>
    <w:p>
      <w:pPr>
        <w:pStyle w:val="BodyText"/>
        <w:spacing w:before="1"/>
        <w:ind w:left="156"/>
      </w:pPr>
      <w:r>
        <w:rPr>
          <w:w w:val="105"/>
        </w:rPr>
        <w:t>Capital</w:t>
      </w:r>
      <w:r>
        <w:rPr>
          <w:spacing w:val="-9"/>
          <w:w w:val="105"/>
        </w:rPr>
        <w:t> </w:t>
      </w:r>
      <w:r>
        <w:rPr>
          <w:w w:val="105"/>
        </w:rPr>
        <w:t>spending</w:t>
      </w:r>
      <w:r>
        <w:rPr>
          <w:spacing w:val="-8"/>
          <w:w w:val="105"/>
        </w:rPr>
        <w:t> </w:t>
      </w:r>
      <w:r>
        <w:rPr>
          <w:w w:val="105"/>
        </w:rPr>
        <w:t>was</w:t>
      </w:r>
      <w:r>
        <w:rPr>
          <w:spacing w:val="-9"/>
          <w:w w:val="105"/>
        </w:rPr>
        <w:t> </w:t>
      </w:r>
      <w:r>
        <w:rPr>
          <w:w w:val="105"/>
        </w:rPr>
        <w:t>$1.6</w:t>
      </w:r>
      <w:r>
        <w:rPr>
          <w:spacing w:val="-8"/>
          <w:w w:val="105"/>
        </w:rPr>
        <w:t> </w:t>
      </w:r>
      <w:r>
        <w:rPr>
          <w:w w:val="105"/>
        </w:rPr>
        <w:t>billion</w:t>
      </w:r>
      <w:r>
        <w:rPr>
          <w:spacing w:val="-8"/>
          <w:w w:val="105"/>
        </w:rPr>
        <w:t> </w:t>
      </w:r>
      <w:r>
        <w:rPr>
          <w:w w:val="105"/>
        </w:rPr>
        <w:t>in</w:t>
      </w:r>
      <w:r>
        <w:rPr>
          <w:spacing w:val="-9"/>
          <w:w w:val="105"/>
        </w:rPr>
        <w:t> </w:t>
      </w:r>
      <w:r>
        <w:rPr>
          <w:w w:val="105"/>
        </w:rPr>
        <w:t>2021,</w:t>
      </w:r>
      <w:r>
        <w:rPr>
          <w:spacing w:val="-8"/>
          <w:w w:val="105"/>
        </w:rPr>
        <w:t> </w:t>
      </w:r>
      <w:r>
        <w:rPr>
          <w:w w:val="105"/>
        </w:rPr>
        <w:t>an</w:t>
      </w:r>
      <w:r>
        <w:rPr>
          <w:spacing w:val="-7"/>
          <w:w w:val="105"/>
        </w:rPr>
        <w:t> </w:t>
      </w:r>
      <w:r>
        <w:rPr>
          <w:w w:val="105"/>
        </w:rPr>
        <w:t>increase</w:t>
      </w:r>
      <w:r>
        <w:rPr>
          <w:spacing w:val="-8"/>
          <w:w w:val="105"/>
        </w:rPr>
        <w:t> </w:t>
      </w:r>
      <w:r>
        <w:rPr>
          <w:w w:val="105"/>
        </w:rPr>
        <w:t>of</w:t>
      </w:r>
      <w:r>
        <w:rPr>
          <w:spacing w:val="-8"/>
          <w:w w:val="105"/>
        </w:rPr>
        <w:t> </w:t>
      </w:r>
      <w:r>
        <w:rPr>
          <w:w w:val="105"/>
        </w:rPr>
        <w:t>$260</w:t>
      </w:r>
      <w:r>
        <w:rPr>
          <w:spacing w:val="-9"/>
          <w:w w:val="105"/>
        </w:rPr>
        <w:t> </w:t>
      </w:r>
      <w:r>
        <w:rPr>
          <w:w w:val="105"/>
        </w:rPr>
        <w:t>million</w:t>
      </w:r>
      <w:r>
        <w:rPr>
          <w:spacing w:val="-8"/>
          <w:w w:val="105"/>
        </w:rPr>
        <w:t> </w:t>
      </w:r>
      <w:r>
        <w:rPr>
          <w:w w:val="105"/>
        </w:rPr>
        <w:t>when</w:t>
      </w:r>
      <w:r>
        <w:rPr>
          <w:spacing w:val="-8"/>
          <w:w w:val="105"/>
        </w:rPr>
        <w:t> </w:t>
      </w:r>
      <w:r>
        <w:rPr>
          <w:w w:val="105"/>
        </w:rPr>
        <w:t>compared</w:t>
      </w:r>
      <w:r>
        <w:rPr>
          <w:spacing w:val="-9"/>
          <w:w w:val="105"/>
        </w:rPr>
        <w:t> </w:t>
      </w:r>
      <w:r>
        <w:rPr>
          <w:w w:val="105"/>
        </w:rPr>
        <w:t>to</w:t>
      </w:r>
      <w:r>
        <w:rPr>
          <w:spacing w:val="-8"/>
          <w:w w:val="105"/>
        </w:rPr>
        <w:t> </w:t>
      </w:r>
      <w:r>
        <w:rPr>
          <w:w w:val="105"/>
        </w:rPr>
        <w:t>2020.</w:t>
      </w:r>
      <w:r>
        <w:rPr>
          <w:spacing w:val="-8"/>
          <w:w w:val="105"/>
        </w:rPr>
        <w:t> </w:t>
      </w:r>
      <w:r>
        <w:rPr>
          <w:w w:val="105"/>
        </w:rPr>
        <w:t>We</w:t>
      </w:r>
      <w:r>
        <w:rPr>
          <w:spacing w:val="-9"/>
          <w:w w:val="105"/>
        </w:rPr>
        <w:t> </w:t>
      </w:r>
      <w:r>
        <w:rPr>
          <w:w w:val="105"/>
        </w:rPr>
        <w:t>expect</w:t>
      </w:r>
      <w:r>
        <w:rPr>
          <w:spacing w:val="-8"/>
          <w:w w:val="105"/>
        </w:rPr>
        <w:t> </w:t>
      </w:r>
      <w:r>
        <w:rPr>
          <w:w w:val="105"/>
        </w:rPr>
        <w:t>our</w:t>
      </w:r>
      <w:r>
        <w:rPr>
          <w:spacing w:val="-8"/>
          <w:w w:val="105"/>
        </w:rPr>
        <w:t> </w:t>
      </w:r>
      <w:r>
        <w:rPr>
          <w:w w:val="105"/>
        </w:rPr>
        <w:t>2022</w:t>
      </w:r>
      <w:r>
        <w:rPr>
          <w:spacing w:val="-9"/>
          <w:w w:val="105"/>
        </w:rPr>
        <w:t> </w:t>
      </w:r>
      <w:r>
        <w:rPr>
          <w:w w:val="105"/>
        </w:rPr>
        <w:t>capital</w:t>
      </w:r>
      <w:r>
        <w:rPr>
          <w:spacing w:val="-8"/>
          <w:w w:val="105"/>
        </w:rPr>
        <w:t> </w:t>
      </w:r>
      <w:r>
        <w:rPr>
          <w:w w:val="105"/>
        </w:rPr>
        <w:t>expenditures</w:t>
      </w:r>
      <w:r>
        <w:rPr>
          <w:spacing w:val="-9"/>
          <w:w w:val="105"/>
        </w:rPr>
        <w:t> </w:t>
      </w:r>
      <w:r>
        <w:rPr>
          <w:w w:val="105"/>
        </w:rPr>
        <w:t>to</w:t>
      </w:r>
      <w:r>
        <w:rPr>
          <w:spacing w:val="-8"/>
          <w:w w:val="105"/>
        </w:rPr>
        <w:t> </w:t>
      </w:r>
      <w:r>
        <w:rPr>
          <w:w w:val="105"/>
        </w:rPr>
        <w:t>be</w:t>
      </w:r>
      <w:r>
        <w:rPr>
          <w:spacing w:val="-7"/>
          <w:w w:val="105"/>
        </w:rPr>
        <w:t> </w:t>
      </w:r>
      <w:r>
        <w:rPr>
          <w:w w:val="105"/>
        </w:rPr>
        <w:t>consistent</w:t>
      </w:r>
      <w:r>
        <w:rPr>
          <w:spacing w:val="-8"/>
          <w:w w:val="105"/>
        </w:rPr>
        <w:t> </w:t>
      </w:r>
      <w:r>
        <w:rPr>
          <w:w w:val="105"/>
        </w:rPr>
        <w:t>with</w:t>
      </w:r>
      <w:r>
        <w:rPr>
          <w:spacing w:val="-8"/>
          <w:w w:val="105"/>
        </w:rPr>
        <w:t> </w:t>
      </w:r>
      <w:r>
        <w:rPr>
          <w:spacing w:val="-2"/>
          <w:w w:val="105"/>
        </w:rPr>
        <w:t>2021.</w:t>
      </w:r>
    </w:p>
    <w:p>
      <w:pPr>
        <w:pStyle w:val="BodyText"/>
        <w:spacing w:before="6" w:after="1"/>
        <w:rPr>
          <w:sz w:val="19"/>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5"/>
        <w:gridCol w:w="2267"/>
        <w:gridCol w:w="987"/>
        <w:gridCol w:w="586"/>
        <w:gridCol w:w="1811"/>
        <w:gridCol w:w="1042"/>
        <w:gridCol w:w="618"/>
      </w:tblGrid>
      <w:tr>
        <w:trPr>
          <w:trHeight w:val="718" w:hRule="atLeast"/>
        </w:trPr>
        <w:tc>
          <w:tcPr>
            <w:tcW w:w="4205" w:type="dxa"/>
            <w:tcBorders>
              <w:bottom w:val="single" w:sz="12" w:space="0" w:color="000000"/>
            </w:tcBorders>
          </w:tcPr>
          <w:p>
            <w:pPr>
              <w:pStyle w:val="TableParagraph"/>
              <w:spacing w:line="182" w:lineRule="exact"/>
              <w:rPr>
                <w:b/>
                <w:i/>
                <w:sz w:val="16"/>
              </w:rPr>
            </w:pPr>
            <w:r>
              <w:rPr>
                <w:b/>
                <w:i/>
                <w:spacing w:val="-2"/>
                <w:w w:val="105"/>
                <w:sz w:val="16"/>
              </w:rPr>
              <w:t>Cash</w:t>
            </w:r>
            <w:r>
              <w:rPr>
                <w:b/>
                <w:i/>
                <w:spacing w:val="-3"/>
                <w:w w:val="105"/>
                <w:sz w:val="16"/>
              </w:rPr>
              <w:t> </w:t>
            </w:r>
            <w:r>
              <w:rPr>
                <w:b/>
                <w:i/>
                <w:spacing w:val="-2"/>
                <w:w w:val="105"/>
                <w:sz w:val="16"/>
              </w:rPr>
              <w:t>Flows</w:t>
            </w:r>
          </w:p>
          <w:p>
            <w:pPr>
              <w:pStyle w:val="TableParagraph"/>
              <w:spacing w:before="39"/>
              <w:rPr>
                <w:sz w:val="16"/>
              </w:rPr>
            </w:pPr>
          </w:p>
          <w:p>
            <w:pPr>
              <w:pStyle w:val="TableParagraph"/>
              <w:rPr>
                <w:sz w:val="16"/>
              </w:rPr>
            </w:pPr>
            <w:r>
              <w:rPr>
                <w:w w:val="105"/>
                <w:sz w:val="16"/>
              </w:rPr>
              <w:t>Summary</w:t>
            </w:r>
            <w:r>
              <w:rPr>
                <w:spacing w:val="-8"/>
                <w:w w:val="105"/>
                <w:sz w:val="16"/>
              </w:rPr>
              <w:t> </w:t>
            </w:r>
            <w:r>
              <w:rPr>
                <w:w w:val="105"/>
                <w:sz w:val="16"/>
              </w:rPr>
              <w:t>of</w:t>
            </w:r>
            <w:r>
              <w:rPr>
                <w:spacing w:val="-7"/>
                <w:w w:val="105"/>
                <w:sz w:val="16"/>
              </w:rPr>
              <w:t> </w:t>
            </w:r>
            <w:r>
              <w:rPr>
                <w:w w:val="105"/>
                <w:sz w:val="16"/>
              </w:rPr>
              <w:t>cash</w:t>
            </w:r>
            <w:r>
              <w:rPr>
                <w:spacing w:val="-8"/>
                <w:w w:val="105"/>
                <w:sz w:val="16"/>
              </w:rPr>
              <w:t> </w:t>
            </w:r>
            <w:r>
              <w:rPr>
                <w:w w:val="105"/>
                <w:sz w:val="16"/>
              </w:rPr>
              <w:t>flow</w:t>
            </w:r>
            <w:r>
              <w:rPr>
                <w:spacing w:val="-7"/>
                <w:w w:val="105"/>
                <w:sz w:val="16"/>
              </w:rPr>
              <w:t> </w:t>
            </w:r>
            <w:r>
              <w:rPr>
                <w:w w:val="105"/>
                <w:sz w:val="16"/>
              </w:rPr>
              <w:t>data</w:t>
            </w:r>
            <w:r>
              <w:rPr>
                <w:spacing w:val="-7"/>
                <w:w w:val="105"/>
                <w:sz w:val="16"/>
              </w:rPr>
              <w:t> </w:t>
            </w:r>
            <w:r>
              <w:rPr>
                <w:w w:val="105"/>
                <w:sz w:val="16"/>
              </w:rPr>
              <w:t>(in</w:t>
            </w:r>
            <w:r>
              <w:rPr>
                <w:spacing w:val="-6"/>
                <w:w w:val="105"/>
                <w:sz w:val="16"/>
              </w:rPr>
              <w:t> </w:t>
            </w:r>
            <w:r>
              <w:rPr>
                <w:spacing w:val="-2"/>
                <w:w w:val="105"/>
                <w:sz w:val="16"/>
              </w:rPr>
              <w:t>millions):</w:t>
            </w:r>
          </w:p>
        </w:tc>
        <w:tc>
          <w:tcPr>
            <w:tcW w:w="7311" w:type="dxa"/>
            <w:gridSpan w:val="6"/>
            <w:tcBorders>
              <w:bottom w:val="single" w:sz="12" w:space="0" w:color="000000"/>
            </w:tcBorders>
          </w:tcPr>
          <w:p>
            <w:pPr>
              <w:pStyle w:val="TableParagraph"/>
              <w:rPr>
                <w:sz w:val="16"/>
              </w:rPr>
            </w:pPr>
          </w:p>
        </w:tc>
      </w:tr>
      <w:tr>
        <w:trPr>
          <w:trHeight w:val="200" w:hRule="atLeast"/>
        </w:trPr>
        <w:tc>
          <w:tcPr>
            <w:tcW w:w="4205" w:type="dxa"/>
            <w:tcBorders>
              <w:top w:val="single" w:sz="12" w:space="0" w:color="000000"/>
            </w:tcBorders>
          </w:tcPr>
          <w:p>
            <w:pPr>
              <w:pStyle w:val="TableParagraph"/>
              <w:rPr>
                <w:sz w:val="12"/>
              </w:rPr>
            </w:pPr>
          </w:p>
        </w:tc>
        <w:tc>
          <w:tcPr>
            <w:tcW w:w="2267" w:type="dxa"/>
            <w:tcBorders>
              <w:top w:val="single" w:sz="12" w:space="0" w:color="000000"/>
            </w:tcBorders>
          </w:tcPr>
          <w:p>
            <w:pPr>
              <w:pStyle w:val="TableParagraph"/>
              <w:rPr>
                <w:sz w:val="12"/>
              </w:rPr>
            </w:pPr>
          </w:p>
        </w:tc>
        <w:tc>
          <w:tcPr>
            <w:tcW w:w="987" w:type="dxa"/>
            <w:tcBorders>
              <w:top w:val="single" w:sz="12" w:space="0" w:color="000000"/>
              <w:bottom w:val="single" w:sz="6" w:space="0" w:color="000000"/>
            </w:tcBorders>
          </w:tcPr>
          <w:p>
            <w:pPr>
              <w:pStyle w:val="TableParagraph"/>
              <w:rPr>
                <w:sz w:val="12"/>
              </w:rPr>
            </w:pPr>
          </w:p>
        </w:tc>
        <w:tc>
          <w:tcPr>
            <w:tcW w:w="586" w:type="dxa"/>
            <w:tcBorders>
              <w:top w:val="single" w:sz="12" w:space="0" w:color="000000"/>
              <w:bottom w:val="single" w:sz="6" w:space="0" w:color="000000"/>
            </w:tcBorders>
          </w:tcPr>
          <w:p>
            <w:pPr>
              <w:pStyle w:val="TableParagraph"/>
              <w:rPr>
                <w:sz w:val="12"/>
              </w:rPr>
            </w:pPr>
          </w:p>
        </w:tc>
        <w:tc>
          <w:tcPr>
            <w:tcW w:w="1811" w:type="dxa"/>
            <w:tcBorders>
              <w:top w:val="single" w:sz="12" w:space="0" w:color="000000"/>
              <w:bottom w:val="single" w:sz="6" w:space="0" w:color="000000"/>
            </w:tcBorders>
          </w:tcPr>
          <w:p>
            <w:pPr>
              <w:pStyle w:val="TableParagraph"/>
              <w:spacing w:line="179" w:lineRule="exact" w:before="1"/>
              <w:ind w:right="54"/>
              <w:jc w:val="right"/>
              <w:rPr>
                <w:sz w:val="16"/>
              </w:rPr>
            </w:pPr>
            <w:r>
              <w:rPr>
                <w:w w:val="105"/>
                <w:sz w:val="16"/>
              </w:rPr>
              <w:t>Year</w:t>
            </w:r>
            <w:r>
              <w:rPr>
                <w:spacing w:val="-12"/>
                <w:w w:val="105"/>
                <w:sz w:val="16"/>
              </w:rPr>
              <w:t> </w:t>
            </w:r>
            <w:r>
              <w:rPr>
                <w:w w:val="105"/>
                <w:sz w:val="16"/>
              </w:rPr>
              <w:t>ended</w:t>
            </w:r>
            <w:r>
              <w:rPr>
                <w:spacing w:val="-10"/>
                <w:w w:val="105"/>
                <w:sz w:val="16"/>
              </w:rPr>
              <w:t> </w:t>
            </w:r>
            <w:r>
              <w:rPr>
                <w:w w:val="105"/>
                <w:sz w:val="16"/>
              </w:rPr>
              <w:t>December</w:t>
            </w:r>
            <w:r>
              <w:rPr>
                <w:spacing w:val="-10"/>
                <w:w w:val="105"/>
                <w:sz w:val="16"/>
              </w:rPr>
              <w:t> </w:t>
            </w:r>
            <w:r>
              <w:rPr>
                <w:spacing w:val="-5"/>
                <w:w w:val="105"/>
                <w:sz w:val="16"/>
              </w:rPr>
              <w:t>31,</w:t>
            </w:r>
          </w:p>
        </w:tc>
        <w:tc>
          <w:tcPr>
            <w:tcW w:w="1042" w:type="dxa"/>
            <w:tcBorders>
              <w:top w:val="single" w:sz="12" w:space="0" w:color="000000"/>
              <w:bottom w:val="single" w:sz="6" w:space="0" w:color="000000"/>
            </w:tcBorders>
          </w:tcPr>
          <w:p>
            <w:pPr>
              <w:pStyle w:val="TableParagraph"/>
              <w:rPr>
                <w:sz w:val="12"/>
              </w:rPr>
            </w:pPr>
          </w:p>
        </w:tc>
        <w:tc>
          <w:tcPr>
            <w:tcW w:w="618" w:type="dxa"/>
            <w:tcBorders>
              <w:top w:val="single" w:sz="12" w:space="0" w:color="000000"/>
              <w:bottom w:val="single" w:sz="6" w:space="0" w:color="000000"/>
            </w:tcBorders>
          </w:tcPr>
          <w:p>
            <w:pPr>
              <w:pStyle w:val="TableParagraph"/>
              <w:rPr>
                <w:sz w:val="12"/>
              </w:rPr>
            </w:pPr>
          </w:p>
        </w:tc>
      </w:tr>
      <w:tr>
        <w:trPr>
          <w:trHeight w:val="201" w:hRule="atLeast"/>
        </w:trPr>
        <w:tc>
          <w:tcPr>
            <w:tcW w:w="4205" w:type="dxa"/>
            <w:tcBorders>
              <w:bottom w:val="single" w:sz="6" w:space="0" w:color="000000"/>
            </w:tcBorders>
          </w:tcPr>
          <w:p>
            <w:pPr>
              <w:pStyle w:val="TableParagraph"/>
              <w:rPr>
                <w:sz w:val="14"/>
              </w:rPr>
            </w:pPr>
          </w:p>
        </w:tc>
        <w:tc>
          <w:tcPr>
            <w:tcW w:w="2267" w:type="dxa"/>
            <w:tcBorders>
              <w:bottom w:val="single" w:sz="6" w:space="0" w:color="000000"/>
            </w:tcBorders>
          </w:tcPr>
          <w:p>
            <w:pPr>
              <w:pStyle w:val="TableParagraph"/>
              <w:rPr>
                <w:sz w:val="14"/>
              </w:rPr>
            </w:pPr>
          </w:p>
        </w:tc>
        <w:tc>
          <w:tcPr>
            <w:tcW w:w="987" w:type="dxa"/>
            <w:tcBorders>
              <w:top w:val="single" w:sz="6" w:space="0" w:color="000000"/>
              <w:bottom w:val="single" w:sz="6" w:space="0" w:color="000000"/>
            </w:tcBorders>
          </w:tcPr>
          <w:p>
            <w:pPr>
              <w:pStyle w:val="TableParagraph"/>
              <w:spacing w:line="179" w:lineRule="exact" w:before="2"/>
              <w:ind w:left="578"/>
              <w:rPr>
                <w:b/>
                <w:sz w:val="16"/>
              </w:rPr>
            </w:pPr>
            <w:r>
              <w:rPr>
                <w:b/>
                <w:spacing w:val="-4"/>
                <w:w w:val="105"/>
                <w:sz w:val="16"/>
              </w:rPr>
              <w:t>2021</w:t>
            </w:r>
          </w:p>
        </w:tc>
        <w:tc>
          <w:tcPr>
            <w:tcW w:w="586" w:type="dxa"/>
            <w:tcBorders>
              <w:top w:val="single" w:sz="6" w:space="0" w:color="000000"/>
              <w:bottom w:val="single" w:sz="6" w:space="0" w:color="000000"/>
            </w:tcBorders>
          </w:tcPr>
          <w:p>
            <w:pPr>
              <w:pStyle w:val="TableParagraph"/>
              <w:rPr>
                <w:sz w:val="14"/>
              </w:rPr>
            </w:pPr>
          </w:p>
        </w:tc>
        <w:tc>
          <w:tcPr>
            <w:tcW w:w="1811" w:type="dxa"/>
            <w:tcBorders>
              <w:top w:val="single" w:sz="6" w:space="0" w:color="000000"/>
              <w:bottom w:val="single" w:sz="6" w:space="0" w:color="000000"/>
            </w:tcBorders>
          </w:tcPr>
          <w:p>
            <w:pPr>
              <w:pStyle w:val="TableParagraph"/>
              <w:spacing w:line="179" w:lineRule="exact" w:before="2"/>
              <w:ind w:right="27"/>
              <w:jc w:val="center"/>
              <w:rPr>
                <w:sz w:val="16"/>
              </w:rPr>
            </w:pPr>
            <w:r>
              <w:rPr>
                <w:spacing w:val="-4"/>
                <w:w w:val="105"/>
                <w:sz w:val="16"/>
              </w:rPr>
              <w:t>2020</w:t>
            </w:r>
          </w:p>
        </w:tc>
        <w:tc>
          <w:tcPr>
            <w:tcW w:w="1042" w:type="dxa"/>
            <w:tcBorders>
              <w:top w:val="single" w:sz="6" w:space="0" w:color="000000"/>
              <w:bottom w:val="single" w:sz="6" w:space="0" w:color="000000"/>
            </w:tcBorders>
          </w:tcPr>
          <w:p>
            <w:pPr>
              <w:pStyle w:val="TableParagraph"/>
              <w:spacing w:line="179" w:lineRule="exact" w:before="2"/>
              <w:ind w:left="634"/>
              <w:rPr>
                <w:sz w:val="16"/>
              </w:rPr>
            </w:pPr>
            <w:r>
              <w:rPr>
                <w:spacing w:val="-4"/>
                <w:w w:val="105"/>
                <w:sz w:val="16"/>
              </w:rPr>
              <w:t>2019</w:t>
            </w:r>
          </w:p>
        </w:tc>
        <w:tc>
          <w:tcPr>
            <w:tcW w:w="618" w:type="dxa"/>
            <w:tcBorders>
              <w:top w:val="single" w:sz="6" w:space="0" w:color="000000"/>
              <w:bottom w:val="single" w:sz="6" w:space="0" w:color="000000"/>
            </w:tcBorders>
          </w:tcPr>
          <w:p>
            <w:pPr>
              <w:pStyle w:val="TableParagraph"/>
              <w:rPr>
                <w:sz w:val="14"/>
              </w:rPr>
            </w:pPr>
          </w:p>
        </w:tc>
      </w:tr>
      <w:tr>
        <w:trPr>
          <w:trHeight w:val="202" w:hRule="atLeast"/>
        </w:trPr>
        <w:tc>
          <w:tcPr>
            <w:tcW w:w="4205" w:type="dxa"/>
            <w:tcBorders>
              <w:top w:val="single" w:sz="6" w:space="0" w:color="000000"/>
            </w:tcBorders>
            <w:shd w:val="clear" w:color="auto" w:fill="CCEDFF"/>
          </w:tcPr>
          <w:p>
            <w:pPr>
              <w:pStyle w:val="TableParagraph"/>
              <w:spacing w:line="180" w:lineRule="exact" w:before="2"/>
              <w:rPr>
                <w:sz w:val="16"/>
              </w:rPr>
            </w:pPr>
            <w:r>
              <w:rPr>
                <w:w w:val="105"/>
                <w:sz w:val="16"/>
              </w:rPr>
              <w:t>Net</w:t>
            </w:r>
            <w:r>
              <w:rPr>
                <w:spacing w:val="-9"/>
                <w:w w:val="105"/>
                <w:sz w:val="16"/>
              </w:rPr>
              <w:t> </w:t>
            </w:r>
            <w:r>
              <w:rPr>
                <w:w w:val="105"/>
                <w:sz w:val="16"/>
              </w:rPr>
              <w:t>cash</w:t>
            </w:r>
            <w:r>
              <w:rPr>
                <w:spacing w:val="-8"/>
                <w:w w:val="105"/>
                <w:sz w:val="16"/>
              </w:rPr>
              <w:t> </w:t>
            </w:r>
            <w:r>
              <w:rPr>
                <w:w w:val="105"/>
                <w:sz w:val="16"/>
              </w:rPr>
              <w:t>provided</w:t>
            </w:r>
            <w:r>
              <w:rPr>
                <w:spacing w:val="-9"/>
                <w:w w:val="105"/>
                <w:sz w:val="16"/>
              </w:rPr>
              <w:t> </w:t>
            </w:r>
            <w:r>
              <w:rPr>
                <w:w w:val="105"/>
                <w:sz w:val="16"/>
              </w:rPr>
              <w:t>by</w:t>
            </w:r>
            <w:r>
              <w:rPr>
                <w:spacing w:val="-8"/>
                <w:w w:val="105"/>
                <w:sz w:val="16"/>
              </w:rPr>
              <w:t> </w:t>
            </w:r>
            <w:r>
              <w:rPr>
                <w:w w:val="105"/>
                <w:sz w:val="16"/>
              </w:rPr>
              <w:t>operating</w:t>
            </w:r>
            <w:r>
              <w:rPr>
                <w:spacing w:val="-8"/>
                <w:w w:val="105"/>
                <w:sz w:val="16"/>
              </w:rPr>
              <w:t> </w:t>
            </w:r>
            <w:r>
              <w:rPr>
                <w:spacing w:val="-2"/>
                <w:w w:val="105"/>
                <w:sz w:val="16"/>
              </w:rPr>
              <w:t>activities</w:t>
            </w:r>
          </w:p>
        </w:tc>
        <w:tc>
          <w:tcPr>
            <w:tcW w:w="2267" w:type="dxa"/>
            <w:tcBorders>
              <w:top w:val="single" w:sz="6" w:space="0" w:color="000000"/>
            </w:tcBorders>
            <w:shd w:val="clear" w:color="auto" w:fill="CCEDFF"/>
          </w:tcPr>
          <w:p>
            <w:pPr>
              <w:pStyle w:val="TableParagraph"/>
              <w:rPr>
                <w:sz w:val="14"/>
              </w:rPr>
            </w:pPr>
          </w:p>
        </w:tc>
        <w:tc>
          <w:tcPr>
            <w:tcW w:w="987" w:type="dxa"/>
            <w:tcBorders>
              <w:top w:val="single" w:sz="6" w:space="0" w:color="000000"/>
            </w:tcBorders>
            <w:shd w:val="clear" w:color="auto" w:fill="CCEDFF"/>
          </w:tcPr>
          <w:p>
            <w:pPr>
              <w:pStyle w:val="TableParagraph"/>
              <w:spacing w:line="180" w:lineRule="exact" w:before="2"/>
              <w:ind w:left="-1"/>
              <w:rPr>
                <w:b/>
                <w:sz w:val="16"/>
              </w:rPr>
            </w:pPr>
            <w:r>
              <w:rPr>
                <w:b/>
                <w:spacing w:val="-10"/>
                <w:w w:val="105"/>
                <w:sz w:val="16"/>
              </w:rPr>
              <w:t>$</w:t>
            </w:r>
          </w:p>
        </w:tc>
        <w:tc>
          <w:tcPr>
            <w:tcW w:w="586" w:type="dxa"/>
            <w:tcBorders>
              <w:top w:val="single" w:sz="6" w:space="0" w:color="000000"/>
            </w:tcBorders>
            <w:shd w:val="clear" w:color="auto" w:fill="CCEDFF"/>
          </w:tcPr>
          <w:p>
            <w:pPr>
              <w:pStyle w:val="TableParagraph"/>
              <w:spacing w:line="180" w:lineRule="exact" w:before="2"/>
              <w:ind w:left="46"/>
              <w:jc w:val="center"/>
              <w:rPr>
                <w:b/>
                <w:sz w:val="16"/>
              </w:rPr>
            </w:pPr>
            <w:r>
              <w:rPr>
                <w:b/>
                <w:spacing w:val="-4"/>
                <w:w w:val="105"/>
                <w:sz w:val="16"/>
              </w:rPr>
              <w:t>3,412</w:t>
            </w:r>
          </w:p>
        </w:tc>
        <w:tc>
          <w:tcPr>
            <w:tcW w:w="1811" w:type="dxa"/>
            <w:tcBorders>
              <w:top w:val="single" w:sz="6" w:space="0" w:color="000000"/>
            </w:tcBorders>
            <w:shd w:val="clear" w:color="auto" w:fill="CCEDFF"/>
          </w:tcPr>
          <w:p>
            <w:pPr>
              <w:pStyle w:val="TableParagraph"/>
              <w:tabs>
                <w:tab w:pos="1263" w:val="left" w:leader="none"/>
              </w:tabs>
              <w:spacing w:line="180" w:lineRule="exact" w:before="2"/>
              <w:ind w:left="145"/>
              <w:rPr>
                <w:sz w:val="16"/>
              </w:rPr>
            </w:pPr>
            <w:r>
              <w:rPr>
                <w:spacing w:val="-10"/>
                <w:w w:val="105"/>
                <w:sz w:val="16"/>
              </w:rPr>
              <w:t>$</w:t>
            </w:r>
            <w:r>
              <w:rPr>
                <w:sz w:val="16"/>
              </w:rPr>
              <w:tab/>
            </w:r>
            <w:r>
              <w:rPr>
                <w:spacing w:val="-2"/>
                <w:w w:val="105"/>
                <w:sz w:val="16"/>
              </w:rPr>
              <w:t>2,180</w:t>
            </w:r>
          </w:p>
        </w:tc>
        <w:tc>
          <w:tcPr>
            <w:tcW w:w="1042" w:type="dxa"/>
            <w:tcBorders>
              <w:top w:val="single" w:sz="6" w:space="0" w:color="000000"/>
            </w:tcBorders>
            <w:shd w:val="clear" w:color="auto" w:fill="CCEDFF"/>
          </w:tcPr>
          <w:p>
            <w:pPr>
              <w:pStyle w:val="TableParagraph"/>
              <w:spacing w:line="180" w:lineRule="exact" w:before="2"/>
              <w:ind w:left="54"/>
              <w:rPr>
                <w:sz w:val="16"/>
              </w:rPr>
            </w:pPr>
            <w:r>
              <w:rPr>
                <w:spacing w:val="-10"/>
                <w:w w:val="105"/>
                <w:sz w:val="16"/>
              </w:rPr>
              <w:t>$</w:t>
            </w:r>
          </w:p>
        </w:tc>
        <w:tc>
          <w:tcPr>
            <w:tcW w:w="618" w:type="dxa"/>
            <w:tcBorders>
              <w:top w:val="single" w:sz="6" w:space="0" w:color="000000"/>
            </w:tcBorders>
            <w:shd w:val="clear" w:color="auto" w:fill="CCEDFF"/>
          </w:tcPr>
          <w:p>
            <w:pPr>
              <w:pStyle w:val="TableParagraph"/>
              <w:spacing w:line="180" w:lineRule="exact" w:before="2"/>
              <w:ind w:left="130"/>
              <w:rPr>
                <w:sz w:val="16"/>
              </w:rPr>
            </w:pPr>
            <w:r>
              <w:rPr>
                <w:spacing w:val="-4"/>
                <w:w w:val="105"/>
                <w:sz w:val="16"/>
              </w:rPr>
              <w:t>2,031</w:t>
            </w:r>
          </w:p>
        </w:tc>
      </w:tr>
      <w:tr>
        <w:trPr>
          <w:trHeight w:val="203" w:hRule="atLeast"/>
        </w:trPr>
        <w:tc>
          <w:tcPr>
            <w:tcW w:w="4205" w:type="dxa"/>
          </w:tcPr>
          <w:p>
            <w:pPr>
              <w:pStyle w:val="TableParagraph"/>
              <w:spacing w:line="180" w:lineRule="exact" w:before="3"/>
              <w:rPr>
                <w:sz w:val="16"/>
              </w:rPr>
            </w:pPr>
            <w:r>
              <w:rPr>
                <w:w w:val="105"/>
                <w:sz w:val="16"/>
              </w:rPr>
              <w:t>Net</w:t>
            </w:r>
            <w:r>
              <w:rPr>
                <w:spacing w:val="-8"/>
                <w:w w:val="105"/>
                <w:sz w:val="16"/>
              </w:rPr>
              <w:t> </w:t>
            </w:r>
            <w:r>
              <w:rPr>
                <w:w w:val="105"/>
                <w:sz w:val="16"/>
              </w:rPr>
              <w:t>cash</w:t>
            </w:r>
            <w:r>
              <w:rPr>
                <w:spacing w:val="-7"/>
                <w:w w:val="105"/>
                <w:sz w:val="16"/>
              </w:rPr>
              <w:t> </w:t>
            </w:r>
            <w:r>
              <w:rPr>
                <w:w w:val="105"/>
                <w:sz w:val="16"/>
              </w:rPr>
              <w:t>used</w:t>
            </w:r>
            <w:r>
              <w:rPr>
                <w:spacing w:val="-7"/>
                <w:w w:val="105"/>
                <w:sz w:val="16"/>
              </w:rPr>
              <w:t> </w:t>
            </w:r>
            <w:r>
              <w:rPr>
                <w:w w:val="105"/>
                <w:sz w:val="16"/>
              </w:rPr>
              <w:t>in</w:t>
            </w:r>
            <w:r>
              <w:rPr>
                <w:spacing w:val="-7"/>
                <w:w w:val="105"/>
                <w:sz w:val="16"/>
              </w:rPr>
              <w:t> </w:t>
            </w:r>
            <w:r>
              <w:rPr>
                <w:w w:val="105"/>
                <w:sz w:val="16"/>
              </w:rPr>
              <w:t>investing</w:t>
            </w:r>
            <w:r>
              <w:rPr>
                <w:spacing w:val="-7"/>
                <w:w w:val="105"/>
                <w:sz w:val="16"/>
              </w:rPr>
              <w:t> </w:t>
            </w:r>
            <w:r>
              <w:rPr>
                <w:spacing w:val="-2"/>
                <w:w w:val="105"/>
                <w:sz w:val="16"/>
              </w:rPr>
              <w:t>activities</w:t>
            </w:r>
          </w:p>
        </w:tc>
        <w:tc>
          <w:tcPr>
            <w:tcW w:w="2267" w:type="dxa"/>
          </w:tcPr>
          <w:p>
            <w:pPr>
              <w:pStyle w:val="TableParagraph"/>
              <w:rPr>
                <w:sz w:val="14"/>
              </w:rPr>
            </w:pPr>
          </w:p>
        </w:tc>
        <w:tc>
          <w:tcPr>
            <w:tcW w:w="987" w:type="dxa"/>
          </w:tcPr>
          <w:p>
            <w:pPr>
              <w:pStyle w:val="TableParagraph"/>
              <w:spacing w:line="180" w:lineRule="exact" w:before="3"/>
              <w:ind w:left="-1"/>
              <w:rPr>
                <w:b/>
                <w:sz w:val="16"/>
              </w:rPr>
            </w:pPr>
            <w:r>
              <w:rPr>
                <w:b/>
                <w:spacing w:val="-10"/>
                <w:w w:val="105"/>
                <w:sz w:val="16"/>
              </w:rPr>
              <w:t>$</w:t>
            </w:r>
          </w:p>
        </w:tc>
        <w:tc>
          <w:tcPr>
            <w:tcW w:w="586" w:type="dxa"/>
          </w:tcPr>
          <w:p>
            <w:pPr>
              <w:pStyle w:val="TableParagraph"/>
              <w:spacing w:line="180" w:lineRule="exact" w:before="3"/>
              <w:ind w:left="46"/>
              <w:jc w:val="center"/>
              <w:rPr>
                <w:b/>
                <w:sz w:val="16"/>
              </w:rPr>
            </w:pPr>
            <w:r>
              <w:rPr>
                <w:b/>
                <w:spacing w:val="-2"/>
                <w:w w:val="105"/>
                <w:sz w:val="16"/>
              </w:rPr>
              <w:t>(1,419)</w:t>
            </w:r>
          </w:p>
        </w:tc>
        <w:tc>
          <w:tcPr>
            <w:tcW w:w="1811" w:type="dxa"/>
          </w:tcPr>
          <w:p>
            <w:pPr>
              <w:pStyle w:val="TableParagraph"/>
              <w:tabs>
                <w:tab w:pos="1062" w:val="left" w:leader="none"/>
              </w:tabs>
              <w:spacing w:line="180" w:lineRule="exact" w:before="3"/>
              <w:ind w:right="117"/>
              <w:jc w:val="right"/>
              <w:rPr>
                <w:sz w:val="16"/>
              </w:rPr>
            </w:pPr>
            <w:r>
              <w:rPr>
                <w:spacing w:val="-10"/>
                <w:w w:val="105"/>
                <w:sz w:val="16"/>
              </w:rPr>
              <w:t>$</w:t>
            </w:r>
            <w:r>
              <w:rPr>
                <w:sz w:val="16"/>
              </w:rPr>
              <w:tab/>
            </w:r>
            <w:r>
              <w:rPr>
                <w:spacing w:val="-2"/>
                <w:w w:val="105"/>
                <w:sz w:val="16"/>
              </w:rPr>
              <w:t>(1,310)</w:t>
            </w:r>
          </w:p>
        </w:tc>
        <w:tc>
          <w:tcPr>
            <w:tcW w:w="1042" w:type="dxa"/>
          </w:tcPr>
          <w:p>
            <w:pPr>
              <w:pStyle w:val="TableParagraph"/>
              <w:spacing w:line="180" w:lineRule="exact" w:before="3"/>
              <w:ind w:left="54"/>
              <w:rPr>
                <w:sz w:val="16"/>
              </w:rPr>
            </w:pPr>
            <w:r>
              <w:rPr>
                <w:spacing w:val="-10"/>
                <w:w w:val="105"/>
                <w:sz w:val="16"/>
              </w:rPr>
              <w:t>$</w:t>
            </w:r>
          </w:p>
        </w:tc>
        <w:tc>
          <w:tcPr>
            <w:tcW w:w="618" w:type="dxa"/>
          </w:tcPr>
          <w:p>
            <w:pPr>
              <w:pStyle w:val="TableParagraph"/>
              <w:spacing w:line="180" w:lineRule="exact" w:before="3"/>
              <w:ind w:right="59"/>
              <w:jc w:val="right"/>
              <w:rPr>
                <w:sz w:val="16"/>
              </w:rPr>
            </w:pPr>
            <w:r>
              <w:rPr>
                <w:spacing w:val="-2"/>
                <w:w w:val="105"/>
                <w:sz w:val="16"/>
              </w:rPr>
              <w:t>(1,891)</w:t>
            </w:r>
          </w:p>
        </w:tc>
      </w:tr>
      <w:tr>
        <w:trPr>
          <w:trHeight w:val="200" w:hRule="atLeast"/>
        </w:trPr>
        <w:tc>
          <w:tcPr>
            <w:tcW w:w="4205" w:type="dxa"/>
            <w:tcBorders>
              <w:bottom w:val="double" w:sz="6" w:space="0" w:color="000000"/>
            </w:tcBorders>
            <w:shd w:val="clear" w:color="auto" w:fill="CCEDFF"/>
          </w:tcPr>
          <w:p>
            <w:pPr>
              <w:pStyle w:val="TableParagraph"/>
              <w:spacing w:line="177" w:lineRule="exact" w:before="3"/>
              <w:rPr>
                <w:sz w:val="16"/>
              </w:rPr>
            </w:pPr>
            <w:r>
              <w:rPr>
                <w:w w:val="105"/>
                <w:sz w:val="16"/>
              </w:rPr>
              <w:t>Net</w:t>
            </w:r>
            <w:r>
              <w:rPr>
                <w:spacing w:val="-8"/>
                <w:w w:val="105"/>
                <w:sz w:val="16"/>
              </w:rPr>
              <w:t> </w:t>
            </w:r>
            <w:r>
              <w:rPr>
                <w:w w:val="105"/>
                <w:sz w:val="16"/>
              </w:rPr>
              <w:t>cash</w:t>
            </w:r>
            <w:r>
              <w:rPr>
                <w:spacing w:val="-7"/>
                <w:w w:val="105"/>
                <w:sz w:val="16"/>
              </w:rPr>
              <w:t> </w:t>
            </w:r>
            <w:r>
              <w:rPr>
                <w:w w:val="105"/>
                <w:sz w:val="16"/>
              </w:rPr>
              <w:t>used</w:t>
            </w:r>
            <w:r>
              <w:rPr>
                <w:spacing w:val="-7"/>
                <w:w w:val="105"/>
                <w:sz w:val="16"/>
              </w:rPr>
              <w:t> </w:t>
            </w:r>
            <w:r>
              <w:rPr>
                <w:w w:val="105"/>
                <w:sz w:val="16"/>
              </w:rPr>
              <w:t>in</w:t>
            </w:r>
            <w:r>
              <w:rPr>
                <w:spacing w:val="-7"/>
                <w:w w:val="105"/>
                <w:sz w:val="16"/>
              </w:rPr>
              <w:t> </w:t>
            </w:r>
            <w:r>
              <w:rPr>
                <w:w w:val="105"/>
                <w:sz w:val="16"/>
              </w:rPr>
              <w:t>financing</w:t>
            </w:r>
            <w:r>
              <w:rPr>
                <w:spacing w:val="-7"/>
                <w:w w:val="105"/>
                <w:sz w:val="16"/>
              </w:rPr>
              <w:t> </w:t>
            </w:r>
            <w:r>
              <w:rPr>
                <w:spacing w:val="-2"/>
                <w:w w:val="105"/>
                <w:sz w:val="16"/>
              </w:rPr>
              <w:t>activities</w:t>
            </w:r>
          </w:p>
        </w:tc>
        <w:tc>
          <w:tcPr>
            <w:tcW w:w="2267" w:type="dxa"/>
            <w:tcBorders>
              <w:bottom w:val="double" w:sz="6" w:space="0" w:color="000000"/>
            </w:tcBorders>
            <w:shd w:val="clear" w:color="auto" w:fill="CCEDFF"/>
          </w:tcPr>
          <w:p>
            <w:pPr>
              <w:pStyle w:val="TableParagraph"/>
              <w:rPr>
                <w:sz w:val="12"/>
              </w:rPr>
            </w:pPr>
          </w:p>
        </w:tc>
        <w:tc>
          <w:tcPr>
            <w:tcW w:w="987" w:type="dxa"/>
            <w:tcBorders>
              <w:bottom w:val="double" w:sz="6" w:space="0" w:color="000000"/>
            </w:tcBorders>
            <w:shd w:val="clear" w:color="auto" w:fill="CCEDFF"/>
          </w:tcPr>
          <w:p>
            <w:pPr>
              <w:pStyle w:val="TableParagraph"/>
              <w:spacing w:line="177" w:lineRule="exact" w:before="3"/>
              <w:ind w:left="-1"/>
              <w:rPr>
                <w:b/>
                <w:sz w:val="16"/>
              </w:rPr>
            </w:pPr>
            <w:r>
              <w:rPr>
                <w:b/>
                <w:spacing w:val="-10"/>
                <w:w w:val="105"/>
                <w:sz w:val="16"/>
              </w:rPr>
              <w:t>$</w:t>
            </w:r>
          </w:p>
        </w:tc>
        <w:tc>
          <w:tcPr>
            <w:tcW w:w="586" w:type="dxa"/>
            <w:tcBorders>
              <w:bottom w:val="double" w:sz="6" w:space="0" w:color="000000"/>
            </w:tcBorders>
            <w:shd w:val="clear" w:color="auto" w:fill="CCEDFF"/>
          </w:tcPr>
          <w:p>
            <w:pPr>
              <w:pStyle w:val="TableParagraph"/>
              <w:spacing w:line="177" w:lineRule="exact" w:before="3"/>
              <w:ind w:left="46"/>
              <w:jc w:val="center"/>
              <w:rPr>
                <w:b/>
                <w:sz w:val="16"/>
              </w:rPr>
            </w:pPr>
            <w:r>
              <w:rPr>
                <w:b/>
                <w:spacing w:val="-2"/>
                <w:w w:val="105"/>
                <w:sz w:val="16"/>
              </w:rPr>
              <w:t>(2,452)</w:t>
            </w:r>
          </w:p>
        </w:tc>
        <w:tc>
          <w:tcPr>
            <w:tcW w:w="1811" w:type="dxa"/>
            <w:tcBorders>
              <w:bottom w:val="double" w:sz="6" w:space="0" w:color="000000"/>
            </w:tcBorders>
            <w:shd w:val="clear" w:color="auto" w:fill="CCEDFF"/>
          </w:tcPr>
          <w:p>
            <w:pPr>
              <w:pStyle w:val="TableParagraph"/>
              <w:tabs>
                <w:tab w:pos="1186" w:val="left" w:leader="none"/>
              </w:tabs>
              <w:spacing w:line="177" w:lineRule="exact" w:before="3"/>
              <w:ind w:right="117"/>
              <w:jc w:val="right"/>
              <w:rPr>
                <w:sz w:val="16"/>
              </w:rPr>
            </w:pPr>
            <w:r>
              <w:rPr>
                <w:spacing w:val="-10"/>
                <w:w w:val="105"/>
                <w:sz w:val="16"/>
              </w:rPr>
              <w:t>$</w:t>
            </w:r>
            <w:r>
              <w:rPr>
                <w:sz w:val="16"/>
              </w:rPr>
              <w:tab/>
            </w:r>
            <w:r>
              <w:rPr>
                <w:spacing w:val="-2"/>
                <w:w w:val="105"/>
                <w:sz w:val="16"/>
              </w:rPr>
              <w:t>(729)</w:t>
            </w:r>
          </w:p>
        </w:tc>
        <w:tc>
          <w:tcPr>
            <w:tcW w:w="1042" w:type="dxa"/>
            <w:tcBorders>
              <w:bottom w:val="double" w:sz="6" w:space="0" w:color="000000"/>
            </w:tcBorders>
            <w:shd w:val="clear" w:color="auto" w:fill="CCEDFF"/>
          </w:tcPr>
          <w:p>
            <w:pPr>
              <w:pStyle w:val="TableParagraph"/>
              <w:spacing w:line="177" w:lineRule="exact" w:before="3"/>
              <w:ind w:left="54"/>
              <w:rPr>
                <w:sz w:val="16"/>
              </w:rPr>
            </w:pPr>
            <w:r>
              <w:rPr>
                <w:spacing w:val="-10"/>
                <w:w w:val="105"/>
                <w:sz w:val="16"/>
              </w:rPr>
              <w:t>$</w:t>
            </w:r>
          </w:p>
        </w:tc>
        <w:tc>
          <w:tcPr>
            <w:tcW w:w="618" w:type="dxa"/>
            <w:tcBorders>
              <w:bottom w:val="double" w:sz="6" w:space="0" w:color="000000"/>
            </w:tcBorders>
            <w:shd w:val="clear" w:color="auto" w:fill="CCEDFF"/>
          </w:tcPr>
          <w:p>
            <w:pPr>
              <w:pStyle w:val="TableParagraph"/>
              <w:spacing w:line="177" w:lineRule="exact" w:before="3"/>
              <w:ind w:right="59"/>
              <w:jc w:val="right"/>
              <w:rPr>
                <w:sz w:val="16"/>
              </w:rPr>
            </w:pPr>
            <w:r>
              <w:rPr>
                <w:spacing w:val="-4"/>
                <w:w w:val="105"/>
                <w:sz w:val="16"/>
              </w:rPr>
              <w:t>(47)</w:t>
            </w:r>
          </w:p>
        </w:tc>
      </w:tr>
      <w:tr>
        <w:trPr>
          <w:trHeight w:val="478" w:hRule="atLeast"/>
        </w:trPr>
        <w:tc>
          <w:tcPr>
            <w:tcW w:w="4205" w:type="dxa"/>
            <w:tcBorders>
              <w:top w:val="double" w:sz="6" w:space="0" w:color="000000"/>
              <w:bottom w:val="single" w:sz="12" w:space="0" w:color="000000"/>
            </w:tcBorders>
          </w:tcPr>
          <w:p>
            <w:pPr>
              <w:pStyle w:val="TableParagraph"/>
              <w:rPr>
                <w:sz w:val="16"/>
              </w:rPr>
            </w:pPr>
          </w:p>
        </w:tc>
        <w:tc>
          <w:tcPr>
            <w:tcW w:w="2267" w:type="dxa"/>
            <w:tcBorders>
              <w:top w:val="double" w:sz="6" w:space="0" w:color="000000"/>
              <w:bottom w:val="single" w:sz="12" w:space="0" w:color="000000"/>
            </w:tcBorders>
          </w:tcPr>
          <w:p>
            <w:pPr>
              <w:pStyle w:val="TableParagraph"/>
              <w:spacing w:before="19"/>
              <w:rPr>
                <w:sz w:val="16"/>
              </w:rPr>
            </w:pPr>
          </w:p>
          <w:p>
            <w:pPr>
              <w:pStyle w:val="TableParagraph"/>
              <w:spacing w:before="1"/>
              <w:ind w:left="1469"/>
              <w:rPr>
                <w:sz w:val="16"/>
              </w:rPr>
            </w:pPr>
            <w:r>
              <w:rPr>
                <w:spacing w:val="-5"/>
                <w:w w:val="105"/>
                <w:sz w:val="16"/>
              </w:rPr>
              <w:t>40</w:t>
            </w:r>
          </w:p>
        </w:tc>
        <w:tc>
          <w:tcPr>
            <w:tcW w:w="987" w:type="dxa"/>
            <w:tcBorders>
              <w:top w:val="double" w:sz="6" w:space="0" w:color="000000"/>
              <w:bottom w:val="single" w:sz="12" w:space="0" w:color="000000"/>
            </w:tcBorders>
          </w:tcPr>
          <w:p>
            <w:pPr>
              <w:pStyle w:val="TableParagraph"/>
              <w:rPr>
                <w:sz w:val="16"/>
              </w:rPr>
            </w:pPr>
          </w:p>
        </w:tc>
        <w:tc>
          <w:tcPr>
            <w:tcW w:w="586" w:type="dxa"/>
            <w:tcBorders>
              <w:top w:val="double" w:sz="6" w:space="0" w:color="000000"/>
              <w:bottom w:val="single" w:sz="12" w:space="0" w:color="000000"/>
            </w:tcBorders>
          </w:tcPr>
          <w:p>
            <w:pPr>
              <w:pStyle w:val="TableParagraph"/>
              <w:rPr>
                <w:sz w:val="16"/>
              </w:rPr>
            </w:pPr>
          </w:p>
        </w:tc>
        <w:tc>
          <w:tcPr>
            <w:tcW w:w="1811" w:type="dxa"/>
            <w:tcBorders>
              <w:top w:val="double" w:sz="6" w:space="0" w:color="000000"/>
              <w:bottom w:val="single" w:sz="12" w:space="0" w:color="000000"/>
            </w:tcBorders>
          </w:tcPr>
          <w:p>
            <w:pPr>
              <w:pStyle w:val="TableParagraph"/>
              <w:rPr>
                <w:sz w:val="16"/>
              </w:rPr>
            </w:pPr>
          </w:p>
        </w:tc>
        <w:tc>
          <w:tcPr>
            <w:tcW w:w="1042" w:type="dxa"/>
            <w:tcBorders>
              <w:top w:val="double" w:sz="6" w:space="0" w:color="000000"/>
              <w:bottom w:val="single" w:sz="12" w:space="0" w:color="000000"/>
            </w:tcBorders>
          </w:tcPr>
          <w:p>
            <w:pPr>
              <w:pStyle w:val="TableParagraph"/>
              <w:rPr>
                <w:sz w:val="16"/>
              </w:rPr>
            </w:pPr>
          </w:p>
        </w:tc>
        <w:tc>
          <w:tcPr>
            <w:tcW w:w="618" w:type="dxa"/>
            <w:tcBorders>
              <w:top w:val="double" w:sz="6" w:space="0" w:color="000000"/>
              <w:bottom w:val="single" w:sz="12" w:space="0" w:color="000000"/>
            </w:tcBorders>
          </w:tcPr>
          <w:p>
            <w:pPr>
              <w:pStyle w:val="TableParagraph"/>
              <w:rPr>
                <w:sz w:val="16"/>
              </w:rPr>
            </w:pPr>
          </w:p>
        </w:tc>
      </w:tr>
    </w:tbl>
    <w:p>
      <w:pPr>
        <w:spacing w:after="0"/>
        <w:rPr>
          <w:sz w:val="16"/>
        </w:rPr>
        <w:sectPr>
          <w:pgSz w:w="12240" w:h="15840"/>
          <w:pgMar w:header="428" w:footer="0" w:top="620" w:bottom="280" w:left="200" w:right="260"/>
        </w:sectPr>
      </w:pPr>
    </w:p>
    <w:p>
      <w:pPr>
        <w:pStyle w:val="BodyText"/>
        <w:spacing w:before="38"/>
      </w:pPr>
    </w:p>
    <w:p>
      <w:pPr>
        <w:pStyle w:val="BodyText"/>
        <w:spacing w:line="266" w:lineRule="auto"/>
        <w:ind w:left="156" w:right="328"/>
      </w:pPr>
      <w:r>
        <w:rPr>
          <w:w w:val="105"/>
        </w:rPr>
        <w:t>Net</w:t>
      </w:r>
      <w:r>
        <w:rPr>
          <w:spacing w:val="-7"/>
          <w:w w:val="105"/>
        </w:rPr>
        <w:t> </w:t>
      </w:r>
      <w:r>
        <w:rPr>
          <w:w w:val="105"/>
        </w:rPr>
        <w:t>cash</w:t>
      </w:r>
      <w:r>
        <w:rPr>
          <w:spacing w:val="-7"/>
          <w:w w:val="105"/>
        </w:rPr>
        <w:t> </w:t>
      </w:r>
      <w:r>
        <w:rPr>
          <w:w w:val="105"/>
        </w:rPr>
        <w:t>provided</w:t>
      </w:r>
      <w:r>
        <w:rPr>
          <w:spacing w:val="-7"/>
          <w:w w:val="105"/>
        </w:rPr>
        <w:t> </w:t>
      </w:r>
      <w:r>
        <w:rPr>
          <w:w w:val="105"/>
        </w:rPr>
        <w:t>by</w:t>
      </w:r>
      <w:r>
        <w:rPr>
          <w:spacing w:val="-7"/>
          <w:w w:val="105"/>
        </w:rPr>
        <w:t> </w:t>
      </w:r>
      <w:r>
        <w:rPr>
          <w:w w:val="105"/>
        </w:rPr>
        <w:t>operating</w:t>
      </w:r>
      <w:r>
        <w:rPr>
          <w:spacing w:val="-7"/>
          <w:w w:val="105"/>
        </w:rPr>
        <w:t> </w:t>
      </w:r>
      <w:r>
        <w:rPr>
          <w:w w:val="105"/>
        </w:rPr>
        <w:t>activities</w:t>
      </w:r>
      <w:r>
        <w:rPr>
          <w:spacing w:val="-7"/>
          <w:w w:val="105"/>
        </w:rPr>
        <w:t> </w:t>
      </w:r>
      <w:r>
        <w:rPr>
          <w:w w:val="105"/>
        </w:rPr>
        <w:t>increased</w:t>
      </w:r>
      <w:r>
        <w:rPr>
          <w:spacing w:val="-7"/>
          <w:w w:val="105"/>
        </w:rPr>
        <w:t> </w:t>
      </w:r>
      <w:r>
        <w:rPr>
          <w:w w:val="105"/>
        </w:rPr>
        <w:t>by</w:t>
      </w:r>
      <w:r>
        <w:rPr>
          <w:spacing w:val="-7"/>
          <w:w w:val="105"/>
        </w:rPr>
        <w:t> </w:t>
      </w:r>
      <w:r>
        <w:rPr>
          <w:w w:val="105"/>
        </w:rPr>
        <w:t>$1,232</w:t>
      </w:r>
      <w:r>
        <w:rPr>
          <w:spacing w:val="-5"/>
          <w:w w:val="105"/>
        </w:rPr>
        <w:t> </w:t>
      </w:r>
      <w:r>
        <w:rPr>
          <w:w w:val="105"/>
        </w:rPr>
        <w:t>million</w:t>
      </w:r>
      <w:r>
        <w:rPr>
          <w:spacing w:val="-7"/>
          <w:w w:val="105"/>
        </w:rPr>
        <w:t> </w:t>
      </w:r>
      <w:r>
        <w:rPr>
          <w:w w:val="105"/>
        </w:rPr>
        <w:t>in</w:t>
      </w:r>
      <w:r>
        <w:rPr>
          <w:spacing w:val="-7"/>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7"/>
          <w:w w:val="105"/>
        </w:rPr>
        <w:t> </w:t>
      </w:r>
      <w:r>
        <w:rPr>
          <w:w w:val="105"/>
        </w:rPr>
        <w:t>when</w:t>
      </w:r>
      <w:r>
        <w:rPr>
          <w:spacing w:val="-7"/>
          <w:w w:val="105"/>
        </w:rPr>
        <w:t> </w:t>
      </w:r>
      <w:r>
        <w:rPr>
          <w:w w:val="105"/>
        </w:rPr>
        <w:t>compared</w:t>
      </w:r>
      <w:r>
        <w:rPr>
          <w:spacing w:val="-7"/>
          <w:w w:val="105"/>
        </w:rPr>
        <w:t> </w:t>
      </w:r>
      <w:r>
        <w:rPr>
          <w:w w:val="105"/>
        </w:rPr>
        <w:t>to</w:t>
      </w:r>
      <w:r>
        <w:rPr>
          <w:spacing w:val="-7"/>
          <w:w w:val="105"/>
        </w:rPr>
        <w:t> </w:t>
      </w:r>
      <w:r>
        <w:rPr>
          <w:w w:val="105"/>
        </w:rPr>
        <w:t>the</w:t>
      </w:r>
      <w:r>
        <w:rPr>
          <w:spacing w:val="-7"/>
          <w:w w:val="105"/>
        </w:rPr>
        <w:t> </w:t>
      </w:r>
      <w:r>
        <w:rPr>
          <w:w w:val="105"/>
        </w:rPr>
        <w:t>same</w:t>
      </w:r>
      <w:r>
        <w:rPr>
          <w:spacing w:val="-7"/>
          <w:w w:val="105"/>
        </w:rPr>
        <w:t> </w:t>
      </w:r>
      <w:r>
        <w:rPr>
          <w:w w:val="105"/>
        </w:rPr>
        <w:t>period</w:t>
      </w:r>
      <w:r>
        <w:rPr>
          <w:spacing w:val="-7"/>
          <w:w w:val="105"/>
        </w:rPr>
        <w:t> </w:t>
      </w:r>
      <w:r>
        <w:rPr>
          <w:w w:val="105"/>
        </w:rPr>
        <w:t>in</w:t>
      </w:r>
      <w:r>
        <w:rPr>
          <w:spacing w:val="-7"/>
          <w:w w:val="105"/>
        </w:rPr>
        <w:t> </w:t>
      </w:r>
      <w:r>
        <w:rPr>
          <w:w w:val="105"/>
        </w:rPr>
        <w:t>the</w:t>
      </w:r>
      <w:r>
        <w:rPr>
          <w:spacing w:val="-7"/>
          <w:w w:val="105"/>
        </w:rPr>
        <w:t> </w:t>
      </w:r>
      <w:r>
        <w:rPr>
          <w:w w:val="105"/>
        </w:rPr>
        <w:t>prior</w:t>
      </w:r>
      <w:r>
        <w:rPr>
          <w:spacing w:val="-7"/>
          <w:w w:val="105"/>
        </w:rPr>
        <w:t> </w:t>
      </w:r>
      <w:r>
        <w:rPr>
          <w:w w:val="105"/>
        </w:rPr>
        <w:t>year.</w:t>
      </w:r>
      <w:r>
        <w:rPr>
          <w:spacing w:val="28"/>
          <w:w w:val="105"/>
        </w:rPr>
        <w:t> </w:t>
      </w:r>
      <w:r>
        <w:rPr>
          <w:w w:val="105"/>
        </w:rPr>
        <w:t>The change was primarily driven by an increase in net income.</w:t>
      </w:r>
    </w:p>
    <w:p>
      <w:pPr>
        <w:pStyle w:val="BodyText"/>
        <w:spacing w:before="19"/>
      </w:pPr>
    </w:p>
    <w:p>
      <w:pPr>
        <w:pStyle w:val="BodyText"/>
        <w:spacing w:line="266" w:lineRule="auto"/>
        <w:ind w:left="156"/>
      </w:pPr>
      <w:r>
        <w:rPr>
          <w:w w:val="105"/>
        </w:rPr>
        <w:t>Net</w:t>
      </w:r>
      <w:r>
        <w:rPr>
          <w:spacing w:val="-7"/>
          <w:w w:val="105"/>
        </w:rPr>
        <w:t> </w:t>
      </w:r>
      <w:r>
        <w:rPr>
          <w:w w:val="105"/>
        </w:rPr>
        <w:t>cash</w:t>
      </w:r>
      <w:r>
        <w:rPr>
          <w:spacing w:val="-7"/>
          <w:w w:val="105"/>
        </w:rPr>
        <w:t> </w:t>
      </w:r>
      <w:r>
        <w:rPr>
          <w:w w:val="105"/>
        </w:rPr>
        <w:t>used</w:t>
      </w:r>
      <w:r>
        <w:rPr>
          <w:spacing w:val="-7"/>
          <w:w w:val="105"/>
        </w:rPr>
        <w:t> </w:t>
      </w:r>
      <w:r>
        <w:rPr>
          <w:w w:val="105"/>
        </w:rPr>
        <w:t>in</w:t>
      </w:r>
      <w:r>
        <w:rPr>
          <w:spacing w:val="-7"/>
          <w:w w:val="105"/>
        </w:rPr>
        <w:t> </w:t>
      </w:r>
      <w:r>
        <w:rPr>
          <w:w w:val="105"/>
        </w:rPr>
        <w:t>investing</w:t>
      </w:r>
      <w:r>
        <w:rPr>
          <w:spacing w:val="-7"/>
          <w:w w:val="105"/>
        </w:rPr>
        <w:t> </w:t>
      </w:r>
      <w:r>
        <w:rPr>
          <w:w w:val="105"/>
        </w:rPr>
        <w:t>activities</w:t>
      </w:r>
      <w:r>
        <w:rPr>
          <w:spacing w:val="-7"/>
          <w:w w:val="105"/>
        </w:rPr>
        <w:t> </w:t>
      </w:r>
      <w:r>
        <w:rPr>
          <w:w w:val="105"/>
        </w:rPr>
        <w:t>increased</w:t>
      </w:r>
      <w:r>
        <w:rPr>
          <w:spacing w:val="-7"/>
          <w:w w:val="105"/>
        </w:rPr>
        <w:t> </w:t>
      </w:r>
      <w:r>
        <w:rPr>
          <w:w w:val="105"/>
        </w:rPr>
        <w:t>by</w:t>
      </w:r>
      <w:r>
        <w:rPr>
          <w:spacing w:val="-7"/>
          <w:w w:val="105"/>
        </w:rPr>
        <w:t> </w:t>
      </w:r>
      <w:r>
        <w:rPr>
          <w:w w:val="105"/>
        </w:rPr>
        <w:t>$109</w:t>
      </w:r>
      <w:r>
        <w:rPr>
          <w:spacing w:val="-7"/>
          <w:w w:val="105"/>
        </w:rPr>
        <w:t> </w:t>
      </w:r>
      <w:r>
        <w:rPr>
          <w:w w:val="105"/>
        </w:rPr>
        <w:t>million</w:t>
      </w:r>
      <w:r>
        <w:rPr>
          <w:spacing w:val="-7"/>
          <w:w w:val="105"/>
        </w:rPr>
        <w:t> </w:t>
      </w:r>
      <w:r>
        <w:rPr>
          <w:w w:val="105"/>
        </w:rPr>
        <w:t>in</w:t>
      </w:r>
      <w:r>
        <w:rPr>
          <w:spacing w:val="-7"/>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7"/>
          <w:w w:val="105"/>
        </w:rPr>
        <w:t> </w:t>
      </w:r>
      <w:r>
        <w:rPr>
          <w:w w:val="105"/>
        </w:rPr>
        <w:t>when</w:t>
      </w:r>
      <w:r>
        <w:rPr>
          <w:spacing w:val="-7"/>
          <w:w w:val="105"/>
        </w:rPr>
        <w:t> </w:t>
      </w:r>
      <w:r>
        <w:rPr>
          <w:w w:val="105"/>
        </w:rPr>
        <w:t>compared</w:t>
      </w:r>
      <w:r>
        <w:rPr>
          <w:spacing w:val="-7"/>
          <w:w w:val="105"/>
        </w:rPr>
        <w:t> </w:t>
      </w:r>
      <w:r>
        <w:rPr>
          <w:w w:val="105"/>
        </w:rPr>
        <w:t>to</w:t>
      </w:r>
      <w:r>
        <w:rPr>
          <w:spacing w:val="-7"/>
          <w:w w:val="105"/>
        </w:rPr>
        <w:t> </w:t>
      </w:r>
      <w:r>
        <w:rPr>
          <w:w w:val="105"/>
        </w:rPr>
        <w:t>the</w:t>
      </w:r>
      <w:r>
        <w:rPr>
          <w:spacing w:val="-7"/>
          <w:w w:val="105"/>
        </w:rPr>
        <w:t> </w:t>
      </w:r>
      <w:r>
        <w:rPr>
          <w:w w:val="105"/>
        </w:rPr>
        <w:t>same</w:t>
      </w:r>
      <w:r>
        <w:rPr>
          <w:spacing w:val="-7"/>
          <w:w w:val="105"/>
        </w:rPr>
        <w:t> </w:t>
      </w:r>
      <w:r>
        <w:rPr>
          <w:w w:val="105"/>
        </w:rPr>
        <w:t>period</w:t>
      </w:r>
      <w:r>
        <w:rPr>
          <w:spacing w:val="-7"/>
          <w:w w:val="105"/>
        </w:rPr>
        <w:t> </w:t>
      </w:r>
      <w:r>
        <w:rPr>
          <w:w w:val="105"/>
        </w:rPr>
        <w:t>last</w:t>
      </w:r>
      <w:r>
        <w:rPr>
          <w:spacing w:val="-7"/>
          <w:w w:val="105"/>
        </w:rPr>
        <w:t> </w:t>
      </w:r>
      <w:r>
        <w:rPr>
          <w:w w:val="105"/>
        </w:rPr>
        <w:t>year,</w:t>
      </w:r>
      <w:r>
        <w:rPr>
          <w:spacing w:val="-7"/>
          <w:w w:val="105"/>
        </w:rPr>
        <w:t> </w:t>
      </w:r>
      <w:r>
        <w:rPr>
          <w:w w:val="105"/>
        </w:rPr>
        <w:t>primarily</w:t>
      </w:r>
      <w:r>
        <w:rPr>
          <w:spacing w:val="-7"/>
          <w:w w:val="105"/>
        </w:rPr>
        <w:t> </w:t>
      </w:r>
      <w:r>
        <w:rPr>
          <w:w w:val="105"/>
        </w:rPr>
        <w:t>driven</w:t>
      </w:r>
      <w:r>
        <w:rPr>
          <w:spacing w:val="-7"/>
          <w:w w:val="105"/>
        </w:rPr>
        <w:t> </w:t>
      </w:r>
      <w:r>
        <w:rPr>
          <w:w w:val="105"/>
        </w:rPr>
        <w:t>by</w:t>
      </w:r>
      <w:r>
        <w:rPr>
          <w:spacing w:val="-7"/>
          <w:w w:val="105"/>
        </w:rPr>
        <w:t> </w:t>
      </w:r>
      <w:r>
        <w:rPr>
          <w:w w:val="105"/>
        </w:rPr>
        <w:t>an increase in capital expenditures.</w:t>
      </w:r>
    </w:p>
    <w:p>
      <w:pPr>
        <w:pStyle w:val="BodyText"/>
        <w:spacing w:before="19"/>
      </w:pPr>
    </w:p>
    <w:p>
      <w:pPr>
        <w:pStyle w:val="BodyText"/>
        <w:spacing w:line="266" w:lineRule="auto"/>
        <w:ind w:left="156"/>
      </w:pPr>
      <w:r>
        <w:rPr>
          <w:w w:val="105"/>
        </w:rPr>
        <w:t>Net</w:t>
      </w:r>
      <w:r>
        <w:rPr>
          <w:spacing w:val="-1"/>
          <w:w w:val="105"/>
        </w:rPr>
        <w:t> </w:t>
      </w:r>
      <w:r>
        <w:rPr>
          <w:w w:val="105"/>
        </w:rPr>
        <w:t>cash</w:t>
      </w:r>
      <w:r>
        <w:rPr>
          <w:spacing w:val="-1"/>
          <w:w w:val="105"/>
        </w:rPr>
        <w:t> </w:t>
      </w:r>
      <w:r>
        <w:rPr>
          <w:w w:val="105"/>
        </w:rPr>
        <w:t>used</w:t>
      </w:r>
      <w:r>
        <w:rPr>
          <w:spacing w:val="-1"/>
          <w:w w:val="105"/>
        </w:rPr>
        <w:t> </w:t>
      </w:r>
      <w:r>
        <w:rPr>
          <w:w w:val="105"/>
        </w:rPr>
        <w:t>in</w:t>
      </w:r>
      <w:r>
        <w:rPr>
          <w:spacing w:val="-1"/>
          <w:w w:val="105"/>
        </w:rPr>
        <w:t> </w:t>
      </w:r>
      <w:r>
        <w:rPr>
          <w:w w:val="105"/>
        </w:rPr>
        <w:t>financing</w:t>
      </w:r>
      <w:r>
        <w:rPr>
          <w:spacing w:val="-1"/>
          <w:w w:val="105"/>
        </w:rPr>
        <w:t> </w:t>
      </w:r>
      <w:r>
        <w:rPr>
          <w:w w:val="105"/>
        </w:rPr>
        <w:t>activities</w:t>
      </w:r>
      <w:r>
        <w:rPr>
          <w:spacing w:val="-1"/>
          <w:w w:val="105"/>
        </w:rPr>
        <w:t> </w:t>
      </w:r>
      <w:r>
        <w:rPr>
          <w:w w:val="105"/>
        </w:rPr>
        <w:t>increased</w:t>
      </w:r>
      <w:r>
        <w:rPr>
          <w:spacing w:val="-1"/>
          <w:w w:val="105"/>
        </w:rPr>
        <w:t> </w:t>
      </w:r>
      <w:r>
        <w:rPr>
          <w:w w:val="105"/>
        </w:rPr>
        <w:t>by</w:t>
      </w:r>
      <w:r>
        <w:rPr>
          <w:spacing w:val="-1"/>
          <w:w w:val="105"/>
        </w:rPr>
        <w:t> </w:t>
      </w:r>
      <w:r>
        <w:rPr>
          <w:w w:val="105"/>
        </w:rPr>
        <w:t>$1,723</w:t>
      </w:r>
      <w:r>
        <w:rPr>
          <w:spacing w:val="-1"/>
          <w:w w:val="105"/>
        </w:rPr>
        <w:t> </w:t>
      </w:r>
      <w:r>
        <w:rPr>
          <w:w w:val="105"/>
        </w:rPr>
        <w:t>million</w:t>
      </w:r>
      <w:r>
        <w:rPr>
          <w:spacing w:val="-1"/>
          <w:w w:val="105"/>
        </w:rPr>
        <w:t> </w:t>
      </w:r>
      <w:r>
        <w:rPr>
          <w:w w:val="105"/>
        </w:rPr>
        <w:t>in</w:t>
      </w:r>
      <w:r>
        <w:rPr>
          <w:spacing w:val="-1"/>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1"/>
          <w:w w:val="105"/>
        </w:rPr>
        <w:t> </w:t>
      </w:r>
      <w:r>
        <w:rPr>
          <w:w w:val="105"/>
        </w:rPr>
        <w:t>2021,</w:t>
      </w:r>
      <w:r>
        <w:rPr>
          <w:spacing w:val="-1"/>
          <w:w w:val="105"/>
        </w:rPr>
        <w:t> </w:t>
      </w:r>
      <w:r>
        <w:rPr>
          <w:w w:val="105"/>
        </w:rPr>
        <w:t>when</w:t>
      </w:r>
      <w:r>
        <w:rPr>
          <w:spacing w:val="-1"/>
          <w:w w:val="105"/>
        </w:rPr>
        <w:t> </w:t>
      </w:r>
      <w:r>
        <w:rPr>
          <w:w w:val="105"/>
        </w:rPr>
        <w:t>compared</w:t>
      </w:r>
      <w:r>
        <w:rPr>
          <w:spacing w:val="-1"/>
          <w:w w:val="105"/>
        </w:rPr>
        <w:t> </w:t>
      </w:r>
      <w:r>
        <w:rPr>
          <w:w w:val="105"/>
        </w:rPr>
        <w:t>to</w:t>
      </w:r>
      <w:r>
        <w:rPr>
          <w:spacing w:val="-1"/>
          <w:w w:val="105"/>
        </w:rPr>
        <w:t> </w:t>
      </w:r>
      <w:r>
        <w:rPr>
          <w:w w:val="105"/>
        </w:rPr>
        <w:t>the</w:t>
      </w:r>
      <w:r>
        <w:rPr>
          <w:spacing w:val="-1"/>
          <w:w w:val="105"/>
        </w:rPr>
        <w:t> </w:t>
      </w:r>
      <w:r>
        <w:rPr>
          <w:w w:val="105"/>
        </w:rPr>
        <w:t>same</w:t>
      </w:r>
      <w:r>
        <w:rPr>
          <w:spacing w:val="-1"/>
          <w:w w:val="105"/>
        </w:rPr>
        <w:t> </w:t>
      </w:r>
      <w:r>
        <w:rPr>
          <w:w w:val="105"/>
        </w:rPr>
        <w:t>period</w:t>
      </w:r>
      <w:r>
        <w:rPr>
          <w:spacing w:val="-1"/>
          <w:w w:val="105"/>
        </w:rPr>
        <w:t> </w:t>
      </w:r>
      <w:r>
        <w:rPr>
          <w:w w:val="105"/>
        </w:rPr>
        <w:t>last</w:t>
      </w:r>
      <w:r>
        <w:rPr>
          <w:spacing w:val="-1"/>
          <w:w w:val="105"/>
        </w:rPr>
        <w:t> </w:t>
      </w:r>
      <w:r>
        <w:rPr>
          <w:w w:val="105"/>
        </w:rPr>
        <w:t>year.</w:t>
      </w:r>
      <w:r>
        <w:rPr>
          <w:spacing w:val="40"/>
          <w:w w:val="105"/>
        </w:rPr>
        <w:t> </w:t>
      </w:r>
      <w:r>
        <w:rPr>
          <w:w w:val="105"/>
        </w:rPr>
        <w:t>The</w:t>
      </w:r>
      <w:r>
        <w:rPr>
          <w:spacing w:val="-1"/>
          <w:w w:val="105"/>
        </w:rPr>
        <w:t> </w:t>
      </w:r>
      <w:r>
        <w:rPr>
          <w:w w:val="105"/>
        </w:rPr>
        <w:t>increase</w:t>
      </w:r>
      <w:r>
        <w:rPr>
          <w:spacing w:val="-1"/>
          <w:w w:val="105"/>
        </w:rPr>
        <w:t> </w:t>
      </w:r>
      <w:r>
        <w:rPr>
          <w:w w:val="105"/>
        </w:rPr>
        <w:t>was primarily</w:t>
      </w:r>
      <w:r>
        <w:rPr>
          <w:spacing w:val="-9"/>
          <w:w w:val="105"/>
        </w:rPr>
        <w:t> </w:t>
      </w:r>
      <w:r>
        <w:rPr>
          <w:w w:val="105"/>
        </w:rPr>
        <w:t>driven</w:t>
      </w:r>
      <w:r>
        <w:rPr>
          <w:spacing w:val="-9"/>
          <w:w w:val="105"/>
        </w:rPr>
        <w:t> </w:t>
      </w:r>
      <w:r>
        <w:rPr>
          <w:w w:val="105"/>
        </w:rPr>
        <w:t>by</w:t>
      </w:r>
      <w:r>
        <w:rPr>
          <w:spacing w:val="-9"/>
          <w:w w:val="105"/>
        </w:rPr>
        <w:t> </w:t>
      </w:r>
      <w:r>
        <w:rPr>
          <w:w w:val="105"/>
        </w:rPr>
        <w:t>higher</w:t>
      </w:r>
      <w:r>
        <w:rPr>
          <w:spacing w:val="-9"/>
          <w:w w:val="105"/>
        </w:rPr>
        <w:t> </w:t>
      </w:r>
      <w:r>
        <w:rPr>
          <w:w w:val="105"/>
        </w:rPr>
        <w:t>debt</w:t>
      </w:r>
      <w:r>
        <w:rPr>
          <w:spacing w:val="-9"/>
          <w:w w:val="105"/>
        </w:rPr>
        <w:t> </w:t>
      </w:r>
      <w:r>
        <w:rPr>
          <w:w w:val="105"/>
        </w:rPr>
        <w:t>repayments,</w:t>
      </w:r>
      <w:r>
        <w:rPr>
          <w:spacing w:val="-9"/>
          <w:w w:val="105"/>
        </w:rPr>
        <w:t> </w:t>
      </w:r>
      <w:r>
        <w:rPr>
          <w:w w:val="105"/>
        </w:rPr>
        <w:t>redemption</w:t>
      </w:r>
      <w:r>
        <w:rPr>
          <w:spacing w:val="-9"/>
          <w:w w:val="105"/>
        </w:rPr>
        <w:t> </w:t>
      </w:r>
      <w:r>
        <w:rPr>
          <w:w w:val="105"/>
        </w:rPr>
        <w:t>of</w:t>
      </w:r>
      <w:r>
        <w:rPr>
          <w:spacing w:val="-9"/>
          <w:w w:val="105"/>
        </w:rPr>
        <w:t> </w:t>
      </w:r>
      <w:r>
        <w:rPr>
          <w:w w:val="105"/>
        </w:rPr>
        <w:t>Preferred</w:t>
      </w:r>
      <w:r>
        <w:rPr>
          <w:spacing w:val="-9"/>
          <w:w w:val="105"/>
        </w:rPr>
        <w:t> </w:t>
      </w:r>
      <w:r>
        <w:rPr>
          <w:w w:val="105"/>
        </w:rPr>
        <w:t>Stock</w:t>
      </w:r>
      <w:r>
        <w:rPr>
          <w:spacing w:val="-9"/>
          <w:w w:val="105"/>
        </w:rPr>
        <w:t> </w:t>
      </w:r>
      <w:r>
        <w:rPr>
          <w:w w:val="105"/>
        </w:rPr>
        <w:t>and</w:t>
      </w:r>
      <w:r>
        <w:rPr>
          <w:spacing w:val="-9"/>
          <w:w w:val="105"/>
        </w:rPr>
        <w:t> </w:t>
      </w:r>
      <w:r>
        <w:rPr>
          <w:w w:val="105"/>
        </w:rPr>
        <w:t>repurchases</w:t>
      </w:r>
      <w:r>
        <w:rPr>
          <w:spacing w:val="-9"/>
          <w:w w:val="105"/>
        </w:rPr>
        <w:t> </w:t>
      </w:r>
      <w:r>
        <w:rPr>
          <w:w w:val="105"/>
        </w:rPr>
        <w:t>of</w:t>
      </w:r>
      <w:r>
        <w:rPr>
          <w:spacing w:val="-9"/>
          <w:w w:val="105"/>
        </w:rPr>
        <w:t> </w:t>
      </w:r>
      <w:r>
        <w:rPr>
          <w:w w:val="105"/>
        </w:rPr>
        <w:t>common</w:t>
      </w:r>
      <w:r>
        <w:rPr>
          <w:spacing w:val="-9"/>
          <w:w w:val="105"/>
        </w:rPr>
        <w:t> </w:t>
      </w:r>
      <w:r>
        <w:rPr>
          <w:w w:val="105"/>
        </w:rPr>
        <w:t>stock</w:t>
      </w:r>
      <w:r>
        <w:rPr>
          <w:spacing w:val="-9"/>
          <w:w w:val="105"/>
        </w:rPr>
        <w:t> </w:t>
      </w:r>
      <w:r>
        <w:rPr>
          <w:w w:val="105"/>
        </w:rPr>
        <w:t>of</w:t>
      </w:r>
      <w:r>
        <w:rPr>
          <w:spacing w:val="-9"/>
          <w:w w:val="105"/>
        </w:rPr>
        <w:t> </w:t>
      </w:r>
      <w:r>
        <w:rPr>
          <w:w w:val="105"/>
        </w:rPr>
        <w:t>$639</w:t>
      </w:r>
      <w:r>
        <w:rPr>
          <w:spacing w:val="-9"/>
          <w:w w:val="105"/>
        </w:rPr>
        <w:t> </w:t>
      </w:r>
      <w:r>
        <w:rPr>
          <w:w w:val="105"/>
        </w:rPr>
        <w:t>million,</w:t>
      </w:r>
      <w:r>
        <w:rPr>
          <w:spacing w:val="-9"/>
          <w:w w:val="105"/>
        </w:rPr>
        <w:t> </w:t>
      </w:r>
      <w:r>
        <w:rPr>
          <w:w w:val="105"/>
        </w:rPr>
        <w:t>$507</w:t>
      </w:r>
      <w:r>
        <w:rPr>
          <w:spacing w:val="-9"/>
          <w:w w:val="105"/>
        </w:rPr>
        <w:t> </w:t>
      </w:r>
      <w:r>
        <w:rPr>
          <w:w w:val="105"/>
        </w:rPr>
        <w:t>million</w:t>
      </w:r>
      <w:r>
        <w:rPr>
          <w:spacing w:val="-9"/>
          <w:w w:val="105"/>
        </w:rPr>
        <w:t> </w:t>
      </w:r>
      <w:r>
        <w:rPr>
          <w:w w:val="105"/>
        </w:rPr>
        <w:t>and</w:t>
      </w:r>
      <w:r>
        <w:rPr>
          <w:spacing w:val="-9"/>
          <w:w w:val="105"/>
        </w:rPr>
        <w:t> </w:t>
      </w:r>
      <w:r>
        <w:rPr>
          <w:w w:val="105"/>
        </w:rPr>
        <w:t>$169</w:t>
      </w:r>
      <w:r>
        <w:rPr>
          <w:spacing w:val="-9"/>
          <w:w w:val="105"/>
        </w:rPr>
        <w:t> </w:t>
      </w:r>
      <w:r>
        <w:rPr>
          <w:w w:val="105"/>
        </w:rPr>
        <w:t>million,</w:t>
      </w:r>
      <w:r>
        <w:rPr>
          <w:spacing w:val="-9"/>
          <w:w w:val="105"/>
        </w:rPr>
        <w:t> </w:t>
      </w:r>
      <w:r>
        <w:rPr>
          <w:w w:val="105"/>
        </w:rPr>
        <w:t>respectively.</w:t>
      </w:r>
    </w:p>
    <w:p>
      <w:pPr>
        <w:pStyle w:val="BodyText"/>
        <w:spacing w:before="19"/>
      </w:pPr>
    </w:p>
    <w:p>
      <w:pPr>
        <w:pStyle w:val="Heading3"/>
      </w:pPr>
      <w:r>
        <w:rPr/>
        <w:t>Defined</w:t>
      </w:r>
      <w:r>
        <w:rPr>
          <w:spacing w:val="14"/>
        </w:rPr>
        <w:t> </w:t>
      </w:r>
      <w:r>
        <w:rPr/>
        <w:t>Benefit</w:t>
      </w:r>
      <w:r>
        <w:rPr>
          <w:spacing w:val="14"/>
        </w:rPr>
        <w:t> </w:t>
      </w:r>
      <w:r>
        <w:rPr/>
        <w:t>Pension</w:t>
      </w:r>
      <w:r>
        <w:rPr>
          <w:spacing w:val="15"/>
        </w:rPr>
        <w:t> </w:t>
      </w:r>
      <w:r>
        <w:rPr>
          <w:spacing w:val="-2"/>
        </w:rPr>
        <w:t>Plans</w:t>
      </w:r>
    </w:p>
    <w:p>
      <w:pPr>
        <w:pStyle w:val="BodyText"/>
        <w:spacing w:before="40"/>
        <w:rPr>
          <w:b/>
          <w:i/>
        </w:rPr>
      </w:pPr>
    </w:p>
    <w:p>
      <w:pPr>
        <w:pStyle w:val="BodyText"/>
        <w:spacing w:line="266" w:lineRule="auto"/>
        <w:ind w:left="156"/>
      </w:pPr>
      <w:r>
        <w:rPr>
          <w:w w:val="105"/>
        </w:rPr>
        <w:t>We</w:t>
      </w:r>
      <w:r>
        <w:rPr>
          <w:spacing w:val="-9"/>
          <w:w w:val="105"/>
        </w:rPr>
        <w:t> </w:t>
      </w:r>
      <w:r>
        <w:rPr>
          <w:w w:val="105"/>
        </w:rPr>
        <w:t>have</w:t>
      </w:r>
      <w:r>
        <w:rPr>
          <w:spacing w:val="-9"/>
          <w:w w:val="105"/>
        </w:rPr>
        <w:t> </w:t>
      </w:r>
      <w:r>
        <w:rPr>
          <w:w w:val="105"/>
        </w:rPr>
        <w:t>defined</w:t>
      </w:r>
      <w:r>
        <w:rPr>
          <w:spacing w:val="-9"/>
          <w:w w:val="105"/>
        </w:rPr>
        <w:t> </w:t>
      </w:r>
      <w:r>
        <w:rPr>
          <w:w w:val="105"/>
        </w:rPr>
        <w:t>benefit</w:t>
      </w:r>
      <w:r>
        <w:rPr>
          <w:spacing w:val="-9"/>
          <w:w w:val="105"/>
        </w:rPr>
        <w:t> </w:t>
      </w:r>
      <w:r>
        <w:rPr>
          <w:w w:val="105"/>
        </w:rPr>
        <w:t>pension</w:t>
      </w:r>
      <w:r>
        <w:rPr>
          <w:spacing w:val="-9"/>
          <w:w w:val="105"/>
        </w:rPr>
        <w:t> </w:t>
      </w:r>
      <w:r>
        <w:rPr>
          <w:w w:val="105"/>
        </w:rPr>
        <w:t>plans</w:t>
      </w:r>
      <w:r>
        <w:rPr>
          <w:spacing w:val="-9"/>
          <w:w w:val="105"/>
        </w:rPr>
        <w:t> </w:t>
      </w:r>
      <w:r>
        <w:rPr>
          <w:w w:val="105"/>
        </w:rPr>
        <w:t>covering</w:t>
      </w:r>
      <w:r>
        <w:rPr>
          <w:spacing w:val="-9"/>
          <w:w w:val="105"/>
        </w:rPr>
        <w:t> </w:t>
      </w:r>
      <w:r>
        <w:rPr>
          <w:w w:val="105"/>
        </w:rPr>
        <w:t>certain</w:t>
      </w:r>
      <w:r>
        <w:rPr>
          <w:spacing w:val="-9"/>
          <w:w w:val="105"/>
        </w:rPr>
        <w:t> </w:t>
      </w:r>
      <w:r>
        <w:rPr>
          <w:w w:val="105"/>
        </w:rPr>
        <w:t>domestic</w:t>
      </w:r>
      <w:r>
        <w:rPr>
          <w:spacing w:val="-9"/>
          <w:w w:val="105"/>
        </w:rPr>
        <w:t> </w:t>
      </w:r>
      <w:r>
        <w:rPr>
          <w:w w:val="105"/>
        </w:rPr>
        <w:t>and</w:t>
      </w:r>
      <w:r>
        <w:rPr>
          <w:spacing w:val="-9"/>
          <w:w w:val="105"/>
        </w:rPr>
        <w:t> </w:t>
      </w:r>
      <w:r>
        <w:rPr>
          <w:w w:val="105"/>
        </w:rPr>
        <w:t>international</w:t>
      </w:r>
      <w:r>
        <w:rPr>
          <w:spacing w:val="-9"/>
          <w:w w:val="105"/>
        </w:rPr>
        <w:t> </w:t>
      </w:r>
      <w:r>
        <w:rPr>
          <w:w w:val="105"/>
        </w:rPr>
        <w:t>employees.</w:t>
      </w:r>
      <w:r>
        <w:rPr>
          <w:spacing w:val="-9"/>
          <w:w w:val="105"/>
        </w:rPr>
        <w:t> </w:t>
      </w:r>
      <w:r>
        <w:rPr>
          <w:w w:val="105"/>
        </w:rPr>
        <w:t>Our</w:t>
      </w:r>
      <w:r>
        <w:rPr>
          <w:spacing w:val="-9"/>
          <w:w w:val="105"/>
        </w:rPr>
        <w:t> </w:t>
      </w:r>
      <w:r>
        <w:rPr>
          <w:w w:val="105"/>
        </w:rPr>
        <w:t>largest</w:t>
      </w:r>
      <w:r>
        <w:rPr>
          <w:spacing w:val="-9"/>
          <w:w w:val="105"/>
        </w:rPr>
        <w:t> </w:t>
      </w:r>
      <w:r>
        <w:rPr>
          <w:w w:val="105"/>
        </w:rPr>
        <w:t>single</w:t>
      </w:r>
      <w:r>
        <w:rPr>
          <w:spacing w:val="-9"/>
          <w:w w:val="105"/>
        </w:rPr>
        <w:t> </w:t>
      </w:r>
      <w:r>
        <w:rPr>
          <w:w w:val="105"/>
        </w:rPr>
        <w:t>pension</w:t>
      </w:r>
      <w:r>
        <w:rPr>
          <w:spacing w:val="-9"/>
          <w:w w:val="105"/>
        </w:rPr>
        <w:t> </w:t>
      </w:r>
      <w:r>
        <w:rPr>
          <w:w w:val="105"/>
        </w:rPr>
        <w:t>plan</w:t>
      </w:r>
      <w:r>
        <w:rPr>
          <w:spacing w:val="-9"/>
          <w:w w:val="105"/>
        </w:rPr>
        <w:t> </w:t>
      </w:r>
      <w:r>
        <w:rPr>
          <w:w w:val="105"/>
        </w:rPr>
        <w:t>is</w:t>
      </w:r>
      <w:r>
        <w:rPr>
          <w:spacing w:val="-9"/>
          <w:w w:val="105"/>
        </w:rPr>
        <w:t> </w:t>
      </w:r>
      <w:r>
        <w:rPr>
          <w:w w:val="105"/>
        </w:rPr>
        <w:t>Corning’s</w:t>
      </w:r>
      <w:r>
        <w:rPr>
          <w:spacing w:val="-9"/>
          <w:w w:val="105"/>
        </w:rPr>
        <w:t> </w:t>
      </w:r>
      <w:r>
        <w:rPr>
          <w:w w:val="105"/>
        </w:rPr>
        <w:t>U.S.</w:t>
      </w:r>
      <w:r>
        <w:rPr>
          <w:spacing w:val="-9"/>
          <w:w w:val="105"/>
        </w:rPr>
        <w:t> </w:t>
      </w:r>
      <w:r>
        <w:rPr>
          <w:w w:val="105"/>
        </w:rPr>
        <w:t>qualified</w:t>
      </w:r>
      <w:r>
        <w:rPr>
          <w:spacing w:val="-9"/>
          <w:w w:val="105"/>
        </w:rPr>
        <w:t> </w:t>
      </w:r>
      <w:r>
        <w:rPr>
          <w:w w:val="105"/>
        </w:rPr>
        <w:t>plan.</w:t>
      </w:r>
      <w:r>
        <w:rPr>
          <w:spacing w:val="-9"/>
          <w:w w:val="105"/>
        </w:rPr>
        <w:t> </w:t>
      </w:r>
      <w:r>
        <w:rPr>
          <w:w w:val="105"/>
        </w:rPr>
        <w:t>At</w:t>
      </w:r>
      <w:r>
        <w:rPr>
          <w:spacing w:val="-9"/>
          <w:w w:val="105"/>
        </w:rPr>
        <w:t> </w:t>
      </w:r>
      <w:r>
        <w:rPr>
          <w:w w:val="105"/>
        </w:rPr>
        <w:t>December 31,</w:t>
      </w:r>
      <w:r>
        <w:rPr>
          <w:spacing w:val="-1"/>
          <w:w w:val="105"/>
        </w:rPr>
        <w:t> </w:t>
      </w:r>
      <w:r>
        <w:rPr>
          <w:w w:val="105"/>
        </w:rPr>
        <w:t>2021,</w:t>
      </w:r>
      <w:r>
        <w:rPr>
          <w:spacing w:val="-1"/>
          <w:w w:val="105"/>
        </w:rPr>
        <w:t> </w:t>
      </w:r>
      <w:r>
        <w:rPr>
          <w:w w:val="105"/>
        </w:rPr>
        <w:t>this</w:t>
      </w:r>
      <w:r>
        <w:rPr>
          <w:spacing w:val="-1"/>
          <w:w w:val="105"/>
        </w:rPr>
        <w:t> </w:t>
      </w:r>
      <w:r>
        <w:rPr>
          <w:w w:val="105"/>
        </w:rPr>
        <w:t>plan</w:t>
      </w:r>
      <w:r>
        <w:rPr>
          <w:spacing w:val="-1"/>
          <w:w w:val="105"/>
        </w:rPr>
        <w:t> </w:t>
      </w:r>
      <w:r>
        <w:rPr>
          <w:w w:val="105"/>
        </w:rPr>
        <w:t>accounted</w:t>
      </w:r>
      <w:r>
        <w:rPr>
          <w:spacing w:val="-1"/>
          <w:w w:val="105"/>
        </w:rPr>
        <w:t> </w:t>
      </w:r>
      <w:r>
        <w:rPr>
          <w:w w:val="105"/>
        </w:rPr>
        <w:t>for</w:t>
      </w:r>
      <w:r>
        <w:rPr>
          <w:spacing w:val="-1"/>
          <w:w w:val="105"/>
        </w:rPr>
        <w:t> </w:t>
      </w:r>
      <w:r>
        <w:rPr>
          <w:w w:val="105"/>
        </w:rPr>
        <w:t>77%</w:t>
      </w:r>
      <w:r>
        <w:rPr>
          <w:spacing w:val="-1"/>
          <w:w w:val="105"/>
        </w:rPr>
        <w:t> </w:t>
      </w:r>
      <w:r>
        <w:rPr>
          <w:w w:val="105"/>
        </w:rPr>
        <w:t>of</w:t>
      </w:r>
      <w:r>
        <w:rPr>
          <w:spacing w:val="-1"/>
          <w:w w:val="105"/>
        </w:rPr>
        <w:t> </w:t>
      </w:r>
      <w:r>
        <w:rPr>
          <w:w w:val="105"/>
        </w:rPr>
        <w:t>our</w:t>
      </w:r>
      <w:r>
        <w:rPr>
          <w:spacing w:val="-1"/>
          <w:w w:val="105"/>
        </w:rPr>
        <w:t> </w:t>
      </w:r>
      <w:r>
        <w:rPr>
          <w:w w:val="105"/>
        </w:rPr>
        <w:t>consolidated</w:t>
      </w:r>
      <w:r>
        <w:rPr>
          <w:spacing w:val="-1"/>
          <w:w w:val="105"/>
        </w:rPr>
        <w:t> </w:t>
      </w:r>
      <w:r>
        <w:rPr>
          <w:w w:val="105"/>
        </w:rPr>
        <w:t>defined</w:t>
      </w:r>
      <w:r>
        <w:rPr>
          <w:spacing w:val="-1"/>
          <w:w w:val="105"/>
        </w:rPr>
        <w:t> </w:t>
      </w:r>
      <w:r>
        <w:rPr>
          <w:w w:val="105"/>
        </w:rPr>
        <w:t>benefit</w:t>
      </w:r>
      <w:r>
        <w:rPr>
          <w:spacing w:val="-1"/>
          <w:w w:val="105"/>
        </w:rPr>
        <w:t> </w:t>
      </w:r>
      <w:r>
        <w:rPr>
          <w:w w:val="105"/>
        </w:rPr>
        <w:t>pension</w:t>
      </w:r>
      <w:r>
        <w:rPr>
          <w:spacing w:val="-1"/>
          <w:w w:val="105"/>
        </w:rPr>
        <w:t> </w:t>
      </w:r>
      <w:r>
        <w:rPr>
          <w:w w:val="105"/>
        </w:rPr>
        <w:t>plans’</w:t>
      </w:r>
      <w:r>
        <w:rPr>
          <w:spacing w:val="-1"/>
          <w:w w:val="105"/>
        </w:rPr>
        <w:t> </w:t>
      </w:r>
      <w:r>
        <w:rPr>
          <w:w w:val="105"/>
        </w:rPr>
        <w:t>projected</w:t>
      </w:r>
      <w:r>
        <w:rPr>
          <w:spacing w:val="-1"/>
          <w:w w:val="105"/>
        </w:rPr>
        <w:t> </w:t>
      </w:r>
      <w:r>
        <w:rPr>
          <w:w w:val="105"/>
        </w:rPr>
        <w:t>benefit</w:t>
      </w:r>
      <w:r>
        <w:rPr>
          <w:spacing w:val="-1"/>
          <w:w w:val="105"/>
        </w:rPr>
        <w:t> </w:t>
      </w:r>
      <w:r>
        <w:rPr>
          <w:w w:val="105"/>
        </w:rPr>
        <w:t>obligation</w:t>
      </w:r>
      <w:r>
        <w:rPr>
          <w:spacing w:val="-1"/>
          <w:w w:val="105"/>
        </w:rPr>
        <w:t> </w:t>
      </w:r>
      <w:r>
        <w:rPr>
          <w:w w:val="105"/>
        </w:rPr>
        <w:t>and</w:t>
      </w:r>
      <w:r>
        <w:rPr>
          <w:spacing w:val="-1"/>
          <w:w w:val="105"/>
        </w:rPr>
        <w:t> </w:t>
      </w:r>
      <w:r>
        <w:rPr>
          <w:w w:val="105"/>
        </w:rPr>
        <w:t>86%</w:t>
      </w:r>
      <w:r>
        <w:rPr>
          <w:spacing w:val="-1"/>
          <w:w w:val="105"/>
        </w:rPr>
        <w:t> </w:t>
      </w:r>
      <w:r>
        <w:rPr>
          <w:w w:val="105"/>
        </w:rPr>
        <w:t>of</w:t>
      </w:r>
      <w:r>
        <w:rPr>
          <w:spacing w:val="-1"/>
          <w:w w:val="105"/>
        </w:rPr>
        <w:t> </w:t>
      </w:r>
      <w:r>
        <w:rPr>
          <w:w w:val="105"/>
        </w:rPr>
        <w:t>the</w:t>
      </w:r>
      <w:r>
        <w:rPr>
          <w:spacing w:val="-1"/>
          <w:w w:val="105"/>
        </w:rPr>
        <w:t> </w:t>
      </w:r>
      <w:r>
        <w:rPr>
          <w:w w:val="105"/>
        </w:rPr>
        <w:t>related</w:t>
      </w:r>
      <w:r>
        <w:rPr>
          <w:spacing w:val="-1"/>
          <w:w w:val="105"/>
        </w:rPr>
        <w:t> </w:t>
      </w:r>
      <w:r>
        <w:rPr>
          <w:w w:val="105"/>
        </w:rPr>
        <w:t>plans’ assets.</w:t>
      </w:r>
    </w:p>
    <w:p>
      <w:pPr>
        <w:pStyle w:val="BodyText"/>
        <w:spacing w:before="19"/>
      </w:pPr>
    </w:p>
    <w:p>
      <w:pPr>
        <w:pStyle w:val="BodyText"/>
        <w:spacing w:line="266" w:lineRule="auto"/>
        <w:ind w:left="156" w:right="328"/>
      </w:pPr>
      <w:r>
        <w:rPr>
          <w:w w:val="105"/>
        </w:rPr>
        <w:t>In</w:t>
      </w:r>
      <w:r>
        <w:rPr>
          <w:spacing w:val="-8"/>
          <w:w w:val="105"/>
        </w:rPr>
        <w:t> </w:t>
      </w:r>
      <w:r>
        <w:rPr>
          <w:w w:val="105"/>
        </w:rPr>
        <w:t>2021,</w:t>
      </w:r>
      <w:r>
        <w:rPr>
          <w:spacing w:val="-8"/>
          <w:w w:val="105"/>
        </w:rPr>
        <w:t> </w:t>
      </w:r>
      <w:r>
        <w:rPr>
          <w:w w:val="105"/>
        </w:rPr>
        <w:t>Corning</w:t>
      </w:r>
      <w:r>
        <w:rPr>
          <w:spacing w:val="-8"/>
          <w:w w:val="105"/>
        </w:rPr>
        <w:t> </w:t>
      </w:r>
      <w:r>
        <w:rPr>
          <w:w w:val="105"/>
        </w:rPr>
        <w:t>made</w:t>
      </w:r>
      <w:r>
        <w:rPr>
          <w:spacing w:val="-8"/>
          <w:w w:val="105"/>
        </w:rPr>
        <w:t> </w:t>
      </w:r>
      <w:r>
        <w:rPr>
          <w:w w:val="105"/>
        </w:rPr>
        <w:t>no</w:t>
      </w:r>
      <w:r>
        <w:rPr>
          <w:spacing w:val="-8"/>
          <w:w w:val="105"/>
        </w:rPr>
        <w:t> </w:t>
      </w:r>
      <w:r>
        <w:rPr>
          <w:w w:val="105"/>
        </w:rPr>
        <w:t>voluntary</w:t>
      </w:r>
      <w:r>
        <w:rPr>
          <w:spacing w:val="-8"/>
          <w:w w:val="105"/>
        </w:rPr>
        <w:t> </w:t>
      </w:r>
      <w:r>
        <w:rPr>
          <w:w w:val="105"/>
        </w:rPr>
        <w:t>contributions</w:t>
      </w:r>
      <w:r>
        <w:rPr>
          <w:spacing w:val="-8"/>
          <w:w w:val="105"/>
        </w:rPr>
        <w:t> </w:t>
      </w:r>
      <w:r>
        <w:rPr>
          <w:w w:val="105"/>
        </w:rPr>
        <w:t>to</w:t>
      </w:r>
      <w:r>
        <w:rPr>
          <w:spacing w:val="-8"/>
          <w:w w:val="105"/>
        </w:rPr>
        <w:t> </w:t>
      </w:r>
      <w:r>
        <w:rPr>
          <w:w w:val="105"/>
        </w:rPr>
        <w:t>our</w:t>
      </w:r>
      <w:r>
        <w:rPr>
          <w:spacing w:val="-8"/>
          <w:w w:val="105"/>
        </w:rPr>
        <w:t> </w:t>
      </w:r>
      <w:r>
        <w:rPr>
          <w:w w:val="105"/>
        </w:rPr>
        <w:t>domestic</w:t>
      </w:r>
      <w:r>
        <w:rPr>
          <w:spacing w:val="-8"/>
          <w:w w:val="105"/>
        </w:rPr>
        <w:t> </w:t>
      </w:r>
      <w:r>
        <w:rPr>
          <w:w w:val="105"/>
        </w:rPr>
        <w:t>defined</w:t>
      </w:r>
      <w:r>
        <w:rPr>
          <w:spacing w:val="-8"/>
          <w:w w:val="105"/>
        </w:rPr>
        <w:t> </w:t>
      </w:r>
      <w:r>
        <w:rPr>
          <w:w w:val="105"/>
        </w:rPr>
        <w:t>benefit</w:t>
      </w:r>
      <w:r>
        <w:rPr>
          <w:spacing w:val="-8"/>
          <w:w w:val="105"/>
        </w:rPr>
        <w:t> </w:t>
      </w:r>
      <w:r>
        <w:rPr>
          <w:w w:val="105"/>
        </w:rPr>
        <w:t>pension</w:t>
      </w:r>
      <w:r>
        <w:rPr>
          <w:spacing w:val="-8"/>
          <w:w w:val="105"/>
        </w:rPr>
        <w:t> </w:t>
      </w:r>
      <w:r>
        <w:rPr>
          <w:w w:val="105"/>
        </w:rPr>
        <w:t>plan</w:t>
      </w:r>
      <w:r>
        <w:rPr>
          <w:spacing w:val="-8"/>
          <w:w w:val="105"/>
        </w:rPr>
        <w:t> </w:t>
      </w:r>
      <w:r>
        <w:rPr>
          <w:w w:val="105"/>
        </w:rPr>
        <w:t>and</w:t>
      </w:r>
      <w:r>
        <w:rPr>
          <w:spacing w:val="-8"/>
          <w:w w:val="105"/>
        </w:rPr>
        <w:t> </w:t>
      </w:r>
      <w:r>
        <w:rPr>
          <w:w w:val="105"/>
        </w:rPr>
        <w:t>cash</w:t>
      </w:r>
      <w:r>
        <w:rPr>
          <w:spacing w:val="-7"/>
          <w:w w:val="105"/>
        </w:rPr>
        <w:t> </w:t>
      </w:r>
      <w:r>
        <w:rPr>
          <w:w w:val="105"/>
        </w:rPr>
        <w:t>contributions</w:t>
      </w:r>
      <w:r>
        <w:rPr>
          <w:spacing w:val="-8"/>
          <w:w w:val="105"/>
        </w:rPr>
        <w:t> </w:t>
      </w:r>
      <w:r>
        <w:rPr>
          <w:w w:val="105"/>
        </w:rPr>
        <w:t>of</w:t>
      </w:r>
      <w:r>
        <w:rPr>
          <w:spacing w:val="-8"/>
          <w:w w:val="105"/>
        </w:rPr>
        <w:t> </w:t>
      </w:r>
      <w:r>
        <w:rPr>
          <w:w w:val="105"/>
        </w:rPr>
        <w:t>$24</w:t>
      </w:r>
      <w:r>
        <w:rPr>
          <w:spacing w:val="-8"/>
          <w:w w:val="105"/>
        </w:rPr>
        <w:t> </w:t>
      </w:r>
      <w:r>
        <w:rPr>
          <w:w w:val="105"/>
        </w:rPr>
        <w:t>million</w:t>
      </w:r>
      <w:r>
        <w:rPr>
          <w:spacing w:val="-8"/>
          <w:w w:val="105"/>
        </w:rPr>
        <w:t> </w:t>
      </w:r>
      <w:r>
        <w:rPr>
          <w:w w:val="105"/>
        </w:rPr>
        <w:t>to</w:t>
      </w:r>
      <w:r>
        <w:rPr>
          <w:spacing w:val="-8"/>
          <w:w w:val="105"/>
        </w:rPr>
        <w:t> </w:t>
      </w:r>
      <w:r>
        <w:rPr>
          <w:w w:val="105"/>
        </w:rPr>
        <w:t>our</w:t>
      </w:r>
      <w:r>
        <w:rPr>
          <w:spacing w:val="-8"/>
          <w:w w:val="105"/>
        </w:rPr>
        <w:t> </w:t>
      </w:r>
      <w:r>
        <w:rPr>
          <w:w w:val="105"/>
        </w:rPr>
        <w:t>international</w:t>
      </w:r>
      <w:r>
        <w:rPr>
          <w:spacing w:val="-8"/>
          <w:w w:val="105"/>
        </w:rPr>
        <w:t> </w:t>
      </w:r>
      <w:r>
        <w:rPr>
          <w:w w:val="105"/>
        </w:rPr>
        <w:t>pension</w:t>
      </w:r>
      <w:r>
        <w:rPr>
          <w:spacing w:val="-8"/>
          <w:w w:val="105"/>
        </w:rPr>
        <w:t> </w:t>
      </w:r>
      <w:r>
        <w:rPr>
          <w:w w:val="105"/>
        </w:rPr>
        <w:t>plans. During 2022, the Company anticipates making cash contributions of $29 million to the international pension plans.</w:t>
      </w:r>
    </w:p>
    <w:p>
      <w:pPr>
        <w:pStyle w:val="BodyText"/>
        <w:spacing w:before="19"/>
      </w:pPr>
    </w:p>
    <w:p>
      <w:pPr>
        <w:pStyle w:val="BodyText"/>
        <w:ind w:left="156"/>
      </w:pPr>
      <w:r>
        <w:rPr>
          <w:w w:val="105"/>
        </w:rPr>
        <w:t>Refer</w:t>
      </w:r>
      <w:r>
        <w:rPr>
          <w:spacing w:val="-10"/>
          <w:w w:val="105"/>
        </w:rPr>
        <w:t> </w:t>
      </w:r>
      <w:r>
        <w:rPr>
          <w:w w:val="105"/>
        </w:rPr>
        <w:t>to</w:t>
      </w:r>
      <w:r>
        <w:rPr>
          <w:spacing w:val="-9"/>
          <w:w w:val="105"/>
        </w:rPr>
        <w:t> </w:t>
      </w:r>
      <w:r>
        <w:rPr>
          <w:w w:val="105"/>
        </w:rPr>
        <w:t>Note</w:t>
      </w:r>
      <w:r>
        <w:rPr>
          <w:spacing w:val="-10"/>
          <w:w w:val="105"/>
        </w:rPr>
        <w:t> </w:t>
      </w:r>
      <w:r>
        <w:rPr>
          <w:w w:val="105"/>
        </w:rPr>
        <w:t>13</w:t>
      </w:r>
      <w:r>
        <w:rPr>
          <w:spacing w:val="-9"/>
          <w:w w:val="105"/>
        </w:rPr>
        <w:t> </w:t>
      </w:r>
      <w:r>
        <w:rPr>
          <w:w w:val="105"/>
        </w:rPr>
        <w:t>(Employee</w:t>
      </w:r>
      <w:r>
        <w:rPr>
          <w:spacing w:val="-10"/>
          <w:w w:val="105"/>
        </w:rPr>
        <w:t> </w:t>
      </w:r>
      <w:r>
        <w:rPr>
          <w:w w:val="105"/>
        </w:rPr>
        <w:t>Retirement</w:t>
      </w:r>
      <w:r>
        <w:rPr>
          <w:spacing w:val="-9"/>
          <w:w w:val="105"/>
        </w:rPr>
        <w:t> </w:t>
      </w:r>
      <w:r>
        <w:rPr>
          <w:w w:val="105"/>
        </w:rPr>
        <w:t>Plans)</w:t>
      </w:r>
      <w:r>
        <w:rPr>
          <w:spacing w:val="-10"/>
          <w:w w:val="105"/>
        </w:rPr>
        <w:t> </w:t>
      </w:r>
      <w:r>
        <w:rPr>
          <w:w w:val="105"/>
        </w:rPr>
        <w:t>to</w:t>
      </w:r>
      <w:r>
        <w:rPr>
          <w:spacing w:val="-9"/>
          <w:w w:val="105"/>
        </w:rPr>
        <w:t> </w:t>
      </w:r>
      <w:r>
        <w:rPr>
          <w:w w:val="105"/>
        </w:rPr>
        <w:t>the</w:t>
      </w:r>
      <w:r>
        <w:rPr>
          <w:spacing w:val="-9"/>
          <w:w w:val="105"/>
        </w:rPr>
        <w:t> </w:t>
      </w:r>
      <w:r>
        <w:rPr>
          <w:w w:val="105"/>
        </w:rPr>
        <w:t>consolidated</w:t>
      </w:r>
      <w:r>
        <w:rPr>
          <w:spacing w:val="-10"/>
          <w:w w:val="105"/>
        </w:rPr>
        <w:t> </w:t>
      </w:r>
      <w:r>
        <w:rPr>
          <w:w w:val="105"/>
        </w:rPr>
        <w:t>financial</w:t>
      </w:r>
      <w:r>
        <w:rPr>
          <w:spacing w:val="-9"/>
          <w:w w:val="105"/>
        </w:rPr>
        <w:t> </w:t>
      </w:r>
      <w:r>
        <w:rPr>
          <w:w w:val="105"/>
        </w:rPr>
        <w:t>statements</w:t>
      </w:r>
      <w:r>
        <w:rPr>
          <w:spacing w:val="-10"/>
          <w:w w:val="105"/>
        </w:rPr>
        <w:t> </w:t>
      </w:r>
      <w:r>
        <w:rPr>
          <w:w w:val="105"/>
        </w:rPr>
        <w:t>for</w:t>
      </w:r>
      <w:r>
        <w:rPr>
          <w:spacing w:val="-9"/>
          <w:w w:val="105"/>
        </w:rPr>
        <w:t> </w:t>
      </w:r>
      <w:r>
        <w:rPr>
          <w:w w:val="105"/>
        </w:rPr>
        <w:t>additional</w:t>
      </w:r>
      <w:r>
        <w:rPr>
          <w:spacing w:val="-10"/>
          <w:w w:val="105"/>
        </w:rPr>
        <w:t> </w:t>
      </w:r>
      <w:r>
        <w:rPr>
          <w:spacing w:val="-2"/>
          <w:w w:val="105"/>
        </w:rPr>
        <w:t>information.</w:t>
      </w:r>
    </w:p>
    <w:p>
      <w:pPr>
        <w:pStyle w:val="BodyText"/>
        <w:spacing w:before="39"/>
      </w:pPr>
    </w:p>
    <w:p>
      <w:pPr>
        <w:pStyle w:val="Heading3"/>
        <w:spacing w:before="1"/>
      </w:pPr>
      <w:r>
        <w:rPr>
          <w:w w:val="105"/>
        </w:rPr>
        <w:t>Key</w:t>
      </w:r>
      <w:r>
        <w:rPr>
          <w:spacing w:val="-9"/>
          <w:w w:val="105"/>
        </w:rPr>
        <w:t> </w:t>
      </w:r>
      <w:r>
        <w:rPr>
          <w:w w:val="105"/>
        </w:rPr>
        <w:t>Balance</w:t>
      </w:r>
      <w:r>
        <w:rPr>
          <w:spacing w:val="-9"/>
          <w:w w:val="105"/>
        </w:rPr>
        <w:t> </w:t>
      </w:r>
      <w:r>
        <w:rPr>
          <w:w w:val="105"/>
        </w:rPr>
        <w:t>Sheet</w:t>
      </w:r>
      <w:r>
        <w:rPr>
          <w:spacing w:val="-9"/>
          <w:w w:val="105"/>
        </w:rPr>
        <w:t> </w:t>
      </w:r>
      <w:r>
        <w:rPr>
          <w:spacing w:val="-4"/>
          <w:w w:val="105"/>
        </w:rPr>
        <w:t>Data</w:t>
      </w:r>
    </w:p>
    <w:p>
      <w:pPr>
        <w:pStyle w:val="BodyText"/>
        <w:spacing w:before="39"/>
        <w:rPr>
          <w:b/>
          <w:i/>
        </w:rPr>
      </w:pPr>
    </w:p>
    <w:p>
      <w:pPr>
        <w:pStyle w:val="BodyText"/>
        <w:ind w:left="156"/>
      </w:pPr>
      <w:r>
        <w:rPr>
          <w:w w:val="105"/>
        </w:rPr>
        <w:t>Balance</w:t>
      </w:r>
      <w:r>
        <w:rPr>
          <w:spacing w:val="-9"/>
          <w:w w:val="105"/>
        </w:rPr>
        <w:t> </w:t>
      </w:r>
      <w:r>
        <w:rPr>
          <w:w w:val="105"/>
        </w:rPr>
        <w:t>sheet</w:t>
      </w:r>
      <w:r>
        <w:rPr>
          <w:spacing w:val="-9"/>
          <w:w w:val="105"/>
        </w:rPr>
        <w:t> </w:t>
      </w:r>
      <w:r>
        <w:rPr>
          <w:w w:val="105"/>
        </w:rPr>
        <w:t>and</w:t>
      </w:r>
      <w:r>
        <w:rPr>
          <w:spacing w:val="-8"/>
          <w:w w:val="105"/>
        </w:rPr>
        <w:t> </w:t>
      </w:r>
      <w:r>
        <w:rPr>
          <w:w w:val="105"/>
        </w:rPr>
        <w:t>working</w:t>
      </w:r>
      <w:r>
        <w:rPr>
          <w:spacing w:val="-9"/>
          <w:w w:val="105"/>
        </w:rPr>
        <w:t> </w:t>
      </w:r>
      <w:r>
        <w:rPr>
          <w:w w:val="105"/>
        </w:rPr>
        <w:t>capital</w:t>
      </w:r>
      <w:r>
        <w:rPr>
          <w:spacing w:val="-9"/>
          <w:w w:val="105"/>
        </w:rPr>
        <w:t> </w:t>
      </w:r>
      <w:r>
        <w:rPr>
          <w:w w:val="105"/>
        </w:rPr>
        <w:t>measures</w:t>
      </w:r>
      <w:r>
        <w:rPr>
          <w:spacing w:val="-8"/>
          <w:w w:val="105"/>
        </w:rPr>
        <w:t> </w:t>
      </w:r>
      <w:r>
        <w:rPr>
          <w:w w:val="105"/>
        </w:rPr>
        <w:t>are</w:t>
      </w:r>
      <w:r>
        <w:rPr>
          <w:spacing w:val="-9"/>
          <w:w w:val="105"/>
        </w:rPr>
        <w:t> </w:t>
      </w:r>
      <w:r>
        <w:rPr>
          <w:w w:val="105"/>
        </w:rPr>
        <w:t>provided</w:t>
      </w:r>
      <w:r>
        <w:rPr>
          <w:spacing w:val="-8"/>
          <w:w w:val="105"/>
        </w:rPr>
        <w:t> </w:t>
      </w:r>
      <w:r>
        <w:rPr>
          <w:w w:val="105"/>
        </w:rPr>
        <w:t>in</w:t>
      </w:r>
      <w:r>
        <w:rPr>
          <w:spacing w:val="-9"/>
          <w:w w:val="105"/>
        </w:rPr>
        <w:t> </w:t>
      </w:r>
      <w:r>
        <w:rPr>
          <w:w w:val="105"/>
        </w:rPr>
        <w:t>the</w:t>
      </w:r>
      <w:r>
        <w:rPr>
          <w:spacing w:val="-9"/>
          <w:w w:val="105"/>
        </w:rPr>
        <w:t> </w:t>
      </w:r>
      <w:r>
        <w:rPr>
          <w:w w:val="105"/>
        </w:rPr>
        <w:t>following</w:t>
      </w:r>
      <w:r>
        <w:rPr>
          <w:spacing w:val="-8"/>
          <w:w w:val="105"/>
        </w:rPr>
        <w:t> </w:t>
      </w:r>
      <w:r>
        <w:rPr>
          <w:w w:val="105"/>
        </w:rPr>
        <w:t>table</w:t>
      </w:r>
      <w:r>
        <w:rPr>
          <w:spacing w:val="-9"/>
          <w:w w:val="105"/>
        </w:rPr>
        <w:t> </w:t>
      </w:r>
      <w:r>
        <w:rPr>
          <w:w w:val="105"/>
        </w:rPr>
        <w:t>(in</w:t>
      </w:r>
      <w:r>
        <w:rPr>
          <w:spacing w:val="-7"/>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619584">
                <wp:simplePos x="0" y="0"/>
                <wp:positionH relativeFrom="page">
                  <wp:posOffset>226479</wp:posOffset>
                </wp:positionH>
                <wp:positionV relativeFrom="paragraph">
                  <wp:posOffset>83491</wp:posOffset>
                </wp:positionV>
                <wp:extent cx="7312659" cy="1651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7312659" cy="16510"/>
                        </a:xfrm>
                        <a:custGeom>
                          <a:avLst/>
                          <a:gdLst/>
                          <a:ahLst/>
                          <a:cxnLst/>
                          <a:rect l="l" t="t" r="r" b="b"/>
                          <a:pathLst>
                            <a:path w="7312659" h="16510">
                              <a:moveTo>
                                <a:pt x="7312342" y="0"/>
                              </a:moveTo>
                              <a:lnTo>
                                <a:pt x="7223366" y="0"/>
                              </a:lnTo>
                              <a:lnTo>
                                <a:pt x="5152618" y="0"/>
                              </a:lnTo>
                              <a:lnTo>
                                <a:pt x="5079822" y="0"/>
                              </a:lnTo>
                              <a:lnTo>
                                <a:pt x="0" y="0"/>
                              </a:lnTo>
                              <a:lnTo>
                                <a:pt x="0" y="16179"/>
                              </a:lnTo>
                              <a:lnTo>
                                <a:pt x="5079822" y="16179"/>
                              </a:lnTo>
                              <a:lnTo>
                                <a:pt x="5152618" y="16179"/>
                              </a:lnTo>
                              <a:lnTo>
                                <a:pt x="722336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6.574131pt;width:575.8pt;height:1.3pt;mso-position-horizontal-relative:page;mso-position-vertical-relative:paragraph;z-index:-15696896;mso-wrap-distance-left:0;mso-wrap-distance-right:0" id="docshape71" coordorigin="357,131" coordsize="11516,26" path="m11872,131l11732,131,8471,131,8356,131,357,131,357,157,8356,157,8471,157,11732,157,11872,157,11872,131xe" filled="true" fillcolor="#000000" stroked="false">
                <v:path arrowok="t"/>
                <v:fill type="solid"/>
                <w10:wrap type="topAndBottom"/>
              </v:shape>
            </w:pict>
          </mc:Fallback>
        </mc:AlternateContent>
      </w:r>
    </w:p>
    <w:p>
      <w:pPr>
        <w:pStyle w:val="BodyText"/>
        <w:spacing w:before="3" w:after="23"/>
        <w:ind w:right="1412"/>
        <w:jc w:val="right"/>
      </w:pPr>
      <w:r>
        <w:rPr/>
        <w:t>December</w:t>
      </w:r>
      <w:r>
        <w:rPr>
          <w:spacing w:val="20"/>
        </w:rPr>
        <w:t> </w:t>
      </w:r>
      <w:r>
        <w:rPr>
          <w:spacing w:val="-5"/>
        </w:rPr>
        <w:t>31,</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4"/>
        <w:gridCol w:w="1014"/>
        <w:gridCol w:w="699"/>
        <w:gridCol w:w="389"/>
        <w:gridCol w:w="1300"/>
      </w:tblGrid>
      <w:tr>
        <w:trPr>
          <w:trHeight w:val="213" w:hRule="atLeast"/>
        </w:trPr>
        <w:tc>
          <w:tcPr>
            <w:tcW w:w="9128" w:type="dxa"/>
            <w:gridSpan w:val="2"/>
          </w:tcPr>
          <w:p>
            <w:pPr>
              <w:pStyle w:val="TableParagraph"/>
              <w:spacing w:before="2"/>
              <w:ind w:right="100"/>
              <w:jc w:val="right"/>
              <w:rPr>
                <w:b/>
                <w:sz w:val="16"/>
              </w:rPr>
            </w:pPr>
            <w:r>
              <w:rPr>
                <w:b/>
                <w:spacing w:val="-4"/>
                <w:w w:val="105"/>
                <w:sz w:val="16"/>
              </w:rPr>
              <w:t>2021</w:t>
            </w:r>
          </w:p>
        </w:tc>
        <w:tc>
          <w:tcPr>
            <w:tcW w:w="2388" w:type="dxa"/>
            <w:gridSpan w:val="3"/>
            <w:tcBorders>
              <w:top w:val="single" w:sz="6" w:space="0" w:color="000000"/>
            </w:tcBorders>
          </w:tcPr>
          <w:p>
            <w:pPr>
              <w:pStyle w:val="TableParagraph"/>
              <w:spacing w:before="2"/>
              <w:ind w:left="1336"/>
              <w:rPr>
                <w:sz w:val="16"/>
              </w:rPr>
            </w:pPr>
            <w:r>
              <w:rPr>
                <w:spacing w:val="-4"/>
                <w:w w:val="105"/>
                <w:sz w:val="16"/>
              </w:rPr>
              <w:t>2020</w:t>
            </w:r>
          </w:p>
        </w:tc>
      </w:tr>
      <w:tr>
        <w:trPr>
          <w:trHeight w:val="191" w:hRule="atLeast"/>
        </w:trPr>
        <w:tc>
          <w:tcPr>
            <w:tcW w:w="8114" w:type="dxa"/>
            <w:tcBorders>
              <w:top w:val="single" w:sz="6" w:space="0" w:color="000000"/>
            </w:tcBorders>
            <w:shd w:val="clear" w:color="auto" w:fill="CCEDFF"/>
          </w:tcPr>
          <w:p>
            <w:pPr>
              <w:pStyle w:val="TableParagraph"/>
              <w:spacing w:line="180" w:lineRule="exact" w:before="2"/>
              <w:rPr>
                <w:sz w:val="16"/>
              </w:rPr>
            </w:pPr>
            <w:r>
              <w:rPr>
                <w:sz w:val="16"/>
              </w:rPr>
              <w:t>Working</w:t>
            </w:r>
            <w:r>
              <w:rPr>
                <w:spacing w:val="18"/>
                <w:sz w:val="16"/>
              </w:rPr>
              <w:t> </w:t>
            </w:r>
            <w:r>
              <w:rPr>
                <w:spacing w:val="-2"/>
                <w:sz w:val="16"/>
              </w:rPr>
              <w:t>capital</w:t>
            </w:r>
          </w:p>
        </w:tc>
        <w:tc>
          <w:tcPr>
            <w:tcW w:w="1014"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699" w:type="dxa"/>
            <w:tcBorders>
              <w:top w:val="single" w:sz="6" w:space="0" w:color="000000"/>
            </w:tcBorders>
            <w:shd w:val="clear" w:color="auto" w:fill="CCEDFF"/>
          </w:tcPr>
          <w:p>
            <w:pPr>
              <w:pStyle w:val="TableParagraph"/>
              <w:spacing w:line="180" w:lineRule="exact" w:before="2"/>
              <w:ind w:left="104"/>
              <w:rPr>
                <w:b/>
                <w:sz w:val="16"/>
              </w:rPr>
            </w:pPr>
            <w:r>
              <w:rPr>
                <w:b/>
                <w:spacing w:val="-4"/>
                <w:w w:val="105"/>
                <w:sz w:val="16"/>
              </w:rPr>
              <w:t>2,853</w:t>
            </w:r>
          </w:p>
        </w:tc>
        <w:tc>
          <w:tcPr>
            <w:tcW w:w="389" w:type="dxa"/>
            <w:tcBorders>
              <w:top w:val="single" w:sz="6" w:space="0" w:color="000000"/>
            </w:tcBorders>
            <w:shd w:val="clear" w:color="auto" w:fill="CCEDFF"/>
          </w:tcPr>
          <w:p>
            <w:pPr>
              <w:pStyle w:val="TableParagraph"/>
              <w:spacing w:line="180" w:lineRule="exact" w:before="2"/>
              <w:ind w:left="57"/>
              <w:rPr>
                <w:sz w:val="16"/>
              </w:rPr>
            </w:pPr>
            <w:r>
              <w:rPr>
                <w:spacing w:val="-10"/>
                <w:w w:val="105"/>
                <w:sz w:val="16"/>
              </w:rPr>
              <w:t>$</w:t>
            </w:r>
          </w:p>
        </w:tc>
        <w:tc>
          <w:tcPr>
            <w:tcW w:w="1300" w:type="dxa"/>
            <w:tcBorders>
              <w:top w:val="single" w:sz="6" w:space="0" w:color="000000"/>
            </w:tcBorders>
            <w:shd w:val="clear" w:color="auto" w:fill="CCEDFF"/>
          </w:tcPr>
          <w:p>
            <w:pPr>
              <w:pStyle w:val="TableParagraph"/>
              <w:spacing w:line="180" w:lineRule="exact" w:before="2"/>
              <w:ind w:right="138"/>
              <w:jc w:val="right"/>
              <w:rPr>
                <w:sz w:val="16"/>
              </w:rPr>
            </w:pPr>
            <w:r>
              <w:rPr>
                <w:spacing w:val="-4"/>
                <w:w w:val="105"/>
                <w:sz w:val="16"/>
              </w:rPr>
              <w:t>4,237</w:t>
            </w:r>
          </w:p>
        </w:tc>
      </w:tr>
      <w:tr>
        <w:trPr>
          <w:trHeight w:val="203" w:hRule="atLeast"/>
        </w:trPr>
        <w:tc>
          <w:tcPr>
            <w:tcW w:w="8114" w:type="dxa"/>
          </w:tcPr>
          <w:p>
            <w:pPr>
              <w:pStyle w:val="TableParagraph"/>
              <w:spacing w:line="180" w:lineRule="exact" w:before="3"/>
              <w:rPr>
                <w:sz w:val="16"/>
              </w:rPr>
            </w:pPr>
            <w:r>
              <w:rPr>
                <w:sz w:val="16"/>
              </w:rPr>
              <w:t>Current</w:t>
            </w:r>
            <w:r>
              <w:rPr>
                <w:spacing w:val="15"/>
                <w:sz w:val="16"/>
              </w:rPr>
              <w:t> </w:t>
            </w:r>
            <w:r>
              <w:rPr>
                <w:spacing w:val="-2"/>
                <w:sz w:val="16"/>
              </w:rPr>
              <w:t>ratio</w:t>
            </w:r>
          </w:p>
        </w:tc>
        <w:tc>
          <w:tcPr>
            <w:tcW w:w="1014" w:type="dxa"/>
          </w:tcPr>
          <w:p>
            <w:pPr>
              <w:pStyle w:val="TableParagraph"/>
              <w:rPr>
                <w:sz w:val="14"/>
              </w:rPr>
            </w:pPr>
          </w:p>
        </w:tc>
        <w:tc>
          <w:tcPr>
            <w:tcW w:w="699" w:type="dxa"/>
          </w:tcPr>
          <w:p>
            <w:pPr>
              <w:pStyle w:val="TableParagraph"/>
              <w:spacing w:line="180" w:lineRule="exact" w:before="3"/>
              <w:ind w:left="131"/>
              <w:rPr>
                <w:b/>
                <w:sz w:val="16"/>
              </w:rPr>
            </w:pPr>
            <w:r>
              <w:rPr>
                <w:b/>
                <w:spacing w:val="-2"/>
                <w:w w:val="105"/>
                <w:sz w:val="16"/>
              </w:rPr>
              <w:t>1.6:1</w:t>
            </w:r>
          </w:p>
        </w:tc>
        <w:tc>
          <w:tcPr>
            <w:tcW w:w="389" w:type="dxa"/>
          </w:tcPr>
          <w:p>
            <w:pPr>
              <w:pStyle w:val="TableParagraph"/>
              <w:rPr>
                <w:sz w:val="14"/>
              </w:rPr>
            </w:pPr>
          </w:p>
        </w:tc>
        <w:tc>
          <w:tcPr>
            <w:tcW w:w="1300" w:type="dxa"/>
          </w:tcPr>
          <w:p>
            <w:pPr>
              <w:pStyle w:val="TableParagraph"/>
              <w:spacing w:line="180" w:lineRule="exact" w:before="3"/>
              <w:ind w:right="138"/>
              <w:jc w:val="right"/>
              <w:rPr>
                <w:sz w:val="16"/>
              </w:rPr>
            </w:pPr>
            <w:r>
              <w:rPr>
                <w:spacing w:val="-4"/>
                <w:w w:val="105"/>
                <w:sz w:val="16"/>
              </w:rPr>
              <w:t>2.1:1</w:t>
            </w:r>
          </w:p>
        </w:tc>
      </w:tr>
      <w:tr>
        <w:trPr>
          <w:trHeight w:val="203" w:hRule="atLeast"/>
        </w:trPr>
        <w:tc>
          <w:tcPr>
            <w:tcW w:w="8114" w:type="dxa"/>
            <w:shd w:val="clear" w:color="auto" w:fill="CCEDFF"/>
          </w:tcPr>
          <w:p>
            <w:pPr>
              <w:pStyle w:val="TableParagraph"/>
              <w:spacing w:line="180" w:lineRule="exact" w:before="3"/>
              <w:rPr>
                <w:sz w:val="16"/>
              </w:rPr>
            </w:pPr>
            <w:r>
              <w:rPr>
                <w:w w:val="105"/>
                <w:sz w:val="16"/>
              </w:rPr>
              <w:t>Trade</w:t>
            </w:r>
            <w:r>
              <w:rPr>
                <w:spacing w:val="-11"/>
                <w:w w:val="105"/>
                <w:sz w:val="16"/>
              </w:rPr>
              <w:t> </w:t>
            </w:r>
            <w:r>
              <w:rPr>
                <w:w w:val="105"/>
                <w:sz w:val="16"/>
              </w:rPr>
              <w:t>accounts</w:t>
            </w:r>
            <w:r>
              <w:rPr>
                <w:spacing w:val="-10"/>
                <w:w w:val="105"/>
                <w:sz w:val="16"/>
              </w:rPr>
              <w:t> </w:t>
            </w:r>
            <w:r>
              <w:rPr>
                <w:w w:val="105"/>
                <w:sz w:val="16"/>
              </w:rPr>
              <w:t>receivable,</w:t>
            </w:r>
            <w:r>
              <w:rPr>
                <w:spacing w:val="-10"/>
                <w:w w:val="105"/>
                <w:sz w:val="16"/>
              </w:rPr>
              <w:t> </w:t>
            </w:r>
            <w:r>
              <w:rPr>
                <w:w w:val="105"/>
                <w:sz w:val="16"/>
              </w:rPr>
              <w:t>net</w:t>
            </w:r>
            <w:r>
              <w:rPr>
                <w:spacing w:val="-10"/>
                <w:w w:val="105"/>
                <w:sz w:val="16"/>
              </w:rPr>
              <w:t> </w:t>
            </w:r>
            <w:r>
              <w:rPr>
                <w:w w:val="105"/>
                <w:sz w:val="16"/>
              </w:rPr>
              <w:t>of</w:t>
            </w:r>
            <w:r>
              <w:rPr>
                <w:spacing w:val="-10"/>
                <w:w w:val="105"/>
                <w:sz w:val="16"/>
              </w:rPr>
              <w:t> </w:t>
            </w:r>
            <w:r>
              <w:rPr>
                <w:w w:val="105"/>
                <w:sz w:val="16"/>
              </w:rPr>
              <w:t>doubtful</w:t>
            </w:r>
            <w:r>
              <w:rPr>
                <w:spacing w:val="-11"/>
                <w:w w:val="105"/>
                <w:sz w:val="16"/>
              </w:rPr>
              <w:t> </w:t>
            </w:r>
            <w:r>
              <w:rPr>
                <w:spacing w:val="-2"/>
                <w:w w:val="105"/>
                <w:sz w:val="16"/>
              </w:rPr>
              <w:t>accounts</w:t>
            </w:r>
          </w:p>
        </w:tc>
        <w:tc>
          <w:tcPr>
            <w:tcW w:w="1014" w:type="dxa"/>
            <w:shd w:val="clear" w:color="auto" w:fill="CCEDFF"/>
          </w:tcPr>
          <w:p>
            <w:pPr>
              <w:pStyle w:val="TableParagraph"/>
              <w:spacing w:line="180" w:lineRule="exact" w:before="3"/>
              <w:rPr>
                <w:b/>
                <w:sz w:val="16"/>
              </w:rPr>
            </w:pPr>
            <w:r>
              <w:rPr>
                <w:b/>
                <w:spacing w:val="-10"/>
                <w:w w:val="105"/>
                <w:sz w:val="16"/>
              </w:rPr>
              <w:t>$</w:t>
            </w:r>
          </w:p>
        </w:tc>
        <w:tc>
          <w:tcPr>
            <w:tcW w:w="699" w:type="dxa"/>
            <w:shd w:val="clear" w:color="auto" w:fill="CCEDFF"/>
          </w:tcPr>
          <w:p>
            <w:pPr>
              <w:pStyle w:val="TableParagraph"/>
              <w:spacing w:line="180" w:lineRule="exact" w:before="3"/>
              <w:ind w:left="104"/>
              <w:rPr>
                <w:b/>
                <w:sz w:val="16"/>
              </w:rPr>
            </w:pPr>
            <w:r>
              <w:rPr>
                <w:b/>
                <w:spacing w:val="-4"/>
                <w:w w:val="105"/>
                <w:sz w:val="16"/>
              </w:rPr>
              <w:t>2,004</w:t>
            </w:r>
          </w:p>
        </w:tc>
        <w:tc>
          <w:tcPr>
            <w:tcW w:w="389" w:type="dxa"/>
            <w:shd w:val="clear" w:color="auto" w:fill="CCEDFF"/>
          </w:tcPr>
          <w:p>
            <w:pPr>
              <w:pStyle w:val="TableParagraph"/>
              <w:spacing w:line="180" w:lineRule="exact" w:before="3"/>
              <w:ind w:left="57"/>
              <w:rPr>
                <w:sz w:val="16"/>
              </w:rPr>
            </w:pPr>
            <w:r>
              <w:rPr>
                <w:spacing w:val="-10"/>
                <w:w w:val="105"/>
                <w:sz w:val="16"/>
              </w:rPr>
              <w:t>$</w:t>
            </w:r>
          </w:p>
        </w:tc>
        <w:tc>
          <w:tcPr>
            <w:tcW w:w="1300" w:type="dxa"/>
            <w:shd w:val="clear" w:color="auto" w:fill="CCEDFF"/>
          </w:tcPr>
          <w:p>
            <w:pPr>
              <w:pStyle w:val="TableParagraph"/>
              <w:spacing w:line="180" w:lineRule="exact" w:before="3"/>
              <w:ind w:right="138"/>
              <w:jc w:val="right"/>
              <w:rPr>
                <w:sz w:val="16"/>
              </w:rPr>
            </w:pPr>
            <w:r>
              <w:rPr>
                <w:spacing w:val="-4"/>
                <w:w w:val="105"/>
                <w:sz w:val="16"/>
              </w:rPr>
              <w:t>2,133</w:t>
            </w:r>
          </w:p>
        </w:tc>
      </w:tr>
      <w:tr>
        <w:trPr>
          <w:trHeight w:val="203" w:hRule="atLeast"/>
        </w:trPr>
        <w:tc>
          <w:tcPr>
            <w:tcW w:w="8114" w:type="dxa"/>
          </w:tcPr>
          <w:p>
            <w:pPr>
              <w:pStyle w:val="TableParagraph"/>
              <w:spacing w:line="180" w:lineRule="exact" w:before="3"/>
              <w:rPr>
                <w:sz w:val="16"/>
              </w:rPr>
            </w:pPr>
            <w:r>
              <w:rPr>
                <w:spacing w:val="-2"/>
                <w:w w:val="105"/>
                <w:sz w:val="16"/>
              </w:rPr>
              <w:t>Days sales outstanding</w:t>
            </w:r>
          </w:p>
        </w:tc>
        <w:tc>
          <w:tcPr>
            <w:tcW w:w="1014" w:type="dxa"/>
          </w:tcPr>
          <w:p>
            <w:pPr>
              <w:pStyle w:val="TableParagraph"/>
              <w:rPr>
                <w:sz w:val="14"/>
              </w:rPr>
            </w:pPr>
          </w:p>
        </w:tc>
        <w:tc>
          <w:tcPr>
            <w:tcW w:w="699" w:type="dxa"/>
          </w:tcPr>
          <w:p>
            <w:pPr>
              <w:pStyle w:val="TableParagraph"/>
              <w:spacing w:line="180" w:lineRule="exact" w:before="3"/>
              <w:ind w:left="311"/>
              <w:rPr>
                <w:b/>
                <w:sz w:val="16"/>
              </w:rPr>
            </w:pPr>
            <w:r>
              <w:rPr>
                <w:b/>
                <w:spacing w:val="-5"/>
                <w:w w:val="105"/>
                <w:sz w:val="16"/>
              </w:rPr>
              <w:t>49</w:t>
            </w:r>
          </w:p>
        </w:tc>
        <w:tc>
          <w:tcPr>
            <w:tcW w:w="389" w:type="dxa"/>
          </w:tcPr>
          <w:p>
            <w:pPr>
              <w:pStyle w:val="TableParagraph"/>
              <w:rPr>
                <w:sz w:val="14"/>
              </w:rPr>
            </w:pPr>
          </w:p>
        </w:tc>
        <w:tc>
          <w:tcPr>
            <w:tcW w:w="1300" w:type="dxa"/>
          </w:tcPr>
          <w:p>
            <w:pPr>
              <w:pStyle w:val="TableParagraph"/>
              <w:spacing w:line="180" w:lineRule="exact" w:before="3"/>
              <w:ind w:right="138"/>
              <w:jc w:val="right"/>
              <w:rPr>
                <w:sz w:val="16"/>
              </w:rPr>
            </w:pPr>
            <w:r>
              <w:rPr>
                <w:spacing w:val="-5"/>
                <w:w w:val="105"/>
                <w:sz w:val="16"/>
              </w:rPr>
              <w:t>57</w:t>
            </w:r>
          </w:p>
        </w:tc>
      </w:tr>
      <w:tr>
        <w:trPr>
          <w:trHeight w:val="203" w:hRule="atLeast"/>
        </w:trPr>
        <w:tc>
          <w:tcPr>
            <w:tcW w:w="8114" w:type="dxa"/>
            <w:shd w:val="clear" w:color="auto" w:fill="CCEDFF"/>
          </w:tcPr>
          <w:p>
            <w:pPr>
              <w:pStyle w:val="TableParagraph"/>
              <w:spacing w:line="180" w:lineRule="exact" w:before="3"/>
              <w:rPr>
                <w:sz w:val="16"/>
              </w:rPr>
            </w:pPr>
            <w:r>
              <w:rPr>
                <w:spacing w:val="-2"/>
                <w:w w:val="105"/>
                <w:sz w:val="16"/>
              </w:rPr>
              <w:t>Inventories</w:t>
            </w:r>
          </w:p>
        </w:tc>
        <w:tc>
          <w:tcPr>
            <w:tcW w:w="1014" w:type="dxa"/>
            <w:shd w:val="clear" w:color="auto" w:fill="CCEDFF"/>
          </w:tcPr>
          <w:p>
            <w:pPr>
              <w:pStyle w:val="TableParagraph"/>
              <w:spacing w:line="180" w:lineRule="exact" w:before="3"/>
              <w:rPr>
                <w:b/>
                <w:sz w:val="16"/>
              </w:rPr>
            </w:pPr>
            <w:r>
              <w:rPr>
                <w:b/>
                <w:spacing w:val="-10"/>
                <w:w w:val="105"/>
                <w:sz w:val="16"/>
              </w:rPr>
              <w:t>$</w:t>
            </w:r>
          </w:p>
        </w:tc>
        <w:tc>
          <w:tcPr>
            <w:tcW w:w="699" w:type="dxa"/>
            <w:shd w:val="clear" w:color="auto" w:fill="CCEDFF"/>
          </w:tcPr>
          <w:p>
            <w:pPr>
              <w:pStyle w:val="TableParagraph"/>
              <w:spacing w:line="180" w:lineRule="exact" w:before="3"/>
              <w:ind w:left="104"/>
              <w:rPr>
                <w:b/>
                <w:sz w:val="16"/>
              </w:rPr>
            </w:pPr>
            <w:r>
              <w:rPr>
                <w:b/>
                <w:spacing w:val="-4"/>
                <w:w w:val="105"/>
                <w:sz w:val="16"/>
              </w:rPr>
              <w:t>2,481</w:t>
            </w:r>
          </w:p>
        </w:tc>
        <w:tc>
          <w:tcPr>
            <w:tcW w:w="389" w:type="dxa"/>
            <w:shd w:val="clear" w:color="auto" w:fill="CCEDFF"/>
          </w:tcPr>
          <w:p>
            <w:pPr>
              <w:pStyle w:val="TableParagraph"/>
              <w:spacing w:line="180" w:lineRule="exact" w:before="3"/>
              <w:ind w:left="57"/>
              <w:rPr>
                <w:sz w:val="16"/>
              </w:rPr>
            </w:pPr>
            <w:r>
              <w:rPr>
                <w:spacing w:val="-10"/>
                <w:w w:val="105"/>
                <w:sz w:val="16"/>
              </w:rPr>
              <w:t>$</w:t>
            </w:r>
          </w:p>
        </w:tc>
        <w:tc>
          <w:tcPr>
            <w:tcW w:w="1300" w:type="dxa"/>
            <w:shd w:val="clear" w:color="auto" w:fill="CCEDFF"/>
          </w:tcPr>
          <w:p>
            <w:pPr>
              <w:pStyle w:val="TableParagraph"/>
              <w:spacing w:line="180" w:lineRule="exact" w:before="3"/>
              <w:ind w:right="138"/>
              <w:jc w:val="right"/>
              <w:rPr>
                <w:sz w:val="16"/>
              </w:rPr>
            </w:pPr>
            <w:r>
              <w:rPr>
                <w:spacing w:val="-4"/>
                <w:w w:val="105"/>
                <w:sz w:val="16"/>
              </w:rPr>
              <w:t>2,438</w:t>
            </w:r>
          </w:p>
        </w:tc>
      </w:tr>
      <w:tr>
        <w:trPr>
          <w:trHeight w:val="203" w:hRule="atLeast"/>
        </w:trPr>
        <w:tc>
          <w:tcPr>
            <w:tcW w:w="8114" w:type="dxa"/>
          </w:tcPr>
          <w:p>
            <w:pPr>
              <w:pStyle w:val="TableParagraph"/>
              <w:spacing w:line="180" w:lineRule="exact" w:before="3"/>
              <w:rPr>
                <w:sz w:val="16"/>
              </w:rPr>
            </w:pPr>
            <w:r>
              <w:rPr>
                <w:sz w:val="16"/>
              </w:rPr>
              <w:t>Inventory</w:t>
            </w:r>
            <w:r>
              <w:rPr>
                <w:spacing w:val="19"/>
                <w:sz w:val="16"/>
              </w:rPr>
              <w:t> </w:t>
            </w:r>
            <w:r>
              <w:rPr>
                <w:spacing w:val="-2"/>
                <w:sz w:val="16"/>
              </w:rPr>
              <w:t>turns</w:t>
            </w:r>
          </w:p>
        </w:tc>
        <w:tc>
          <w:tcPr>
            <w:tcW w:w="1014" w:type="dxa"/>
          </w:tcPr>
          <w:p>
            <w:pPr>
              <w:pStyle w:val="TableParagraph"/>
              <w:rPr>
                <w:sz w:val="14"/>
              </w:rPr>
            </w:pPr>
          </w:p>
        </w:tc>
        <w:tc>
          <w:tcPr>
            <w:tcW w:w="699" w:type="dxa"/>
          </w:tcPr>
          <w:p>
            <w:pPr>
              <w:pStyle w:val="TableParagraph"/>
              <w:spacing w:line="180" w:lineRule="exact" w:before="3"/>
              <w:ind w:left="269"/>
              <w:rPr>
                <w:b/>
                <w:sz w:val="16"/>
              </w:rPr>
            </w:pPr>
            <w:r>
              <w:rPr>
                <w:b/>
                <w:spacing w:val="-5"/>
                <w:w w:val="105"/>
                <w:sz w:val="16"/>
              </w:rPr>
              <w:t>3.7</w:t>
            </w:r>
          </w:p>
        </w:tc>
        <w:tc>
          <w:tcPr>
            <w:tcW w:w="389" w:type="dxa"/>
          </w:tcPr>
          <w:p>
            <w:pPr>
              <w:pStyle w:val="TableParagraph"/>
              <w:rPr>
                <w:sz w:val="14"/>
              </w:rPr>
            </w:pPr>
          </w:p>
        </w:tc>
        <w:tc>
          <w:tcPr>
            <w:tcW w:w="1300" w:type="dxa"/>
          </w:tcPr>
          <w:p>
            <w:pPr>
              <w:pStyle w:val="TableParagraph"/>
              <w:spacing w:line="180" w:lineRule="exact" w:before="3"/>
              <w:ind w:right="138"/>
              <w:jc w:val="right"/>
              <w:rPr>
                <w:sz w:val="16"/>
              </w:rPr>
            </w:pPr>
            <w:r>
              <w:rPr>
                <w:spacing w:val="-5"/>
                <w:w w:val="105"/>
                <w:sz w:val="16"/>
              </w:rPr>
              <w:t>3.2</w:t>
            </w:r>
          </w:p>
        </w:tc>
      </w:tr>
      <w:tr>
        <w:trPr>
          <w:trHeight w:val="203" w:hRule="atLeast"/>
        </w:trPr>
        <w:tc>
          <w:tcPr>
            <w:tcW w:w="8114" w:type="dxa"/>
            <w:shd w:val="clear" w:color="auto" w:fill="CCEDFF"/>
          </w:tcPr>
          <w:p>
            <w:pPr>
              <w:pStyle w:val="TableParagraph"/>
              <w:spacing w:line="184" w:lineRule="exact"/>
              <w:rPr>
                <w:sz w:val="14"/>
              </w:rPr>
            </w:pPr>
            <w:r>
              <w:rPr>
                <w:sz w:val="16"/>
              </w:rPr>
              <w:t>Days</w:t>
            </w:r>
            <w:r>
              <w:rPr>
                <w:spacing w:val="15"/>
                <w:sz w:val="16"/>
              </w:rPr>
              <w:t> </w:t>
            </w:r>
            <w:r>
              <w:rPr>
                <w:sz w:val="16"/>
              </w:rPr>
              <w:t>payable</w:t>
            </w:r>
            <w:r>
              <w:rPr>
                <w:spacing w:val="16"/>
                <w:sz w:val="16"/>
              </w:rPr>
              <w:t> </w:t>
            </w:r>
            <w:r>
              <w:rPr>
                <w:sz w:val="16"/>
              </w:rPr>
              <w:t>outstanding</w:t>
            </w:r>
            <w:r>
              <w:rPr>
                <w:spacing w:val="17"/>
                <w:sz w:val="16"/>
              </w:rPr>
              <w:t> </w:t>
            </w:r>
            <w:r>
              <w:rPr>
                <w:spacing w:val="-5"/>
                <w:position w:val="3"/>
                <w:sz w:val="14"/>
              </w:rPr>
              <w:t>(1)</w:t>
            </w:r>
          </w:p>
        </w:tc>
        <w:tc>
          <w:tcPr>
            <w:tcW w:w="1014" w:type="dxa"/>
            <w:shd w:val="clear" w:color="auto" w:fill="CCEDFF"/>
          </w:tcPr>
          <w:p>
            <w:pPr>
              <w:pStyle w:val="TableParagraph"/>
              <w:rPr>
                <w:sz w:val="14"/>
              </w:rPr>
            </w:pPr>
          </w:p>
        </w:tc>
        <w:tc>
          <w:tcPr>
            <w:tcW w:w="699" w:type="dxa"/>
            <w:shd w:val="clear" w:color="auto" w:fill="CCEDFF"/>
          </w:tcPr>
          <w:p>
            <w:pPr>
              <w:pStyle w:val="TableParagraph"/>
              <w:spacing w:line="180" w:lineRule="exact" w:before="3"/>
              <w:ind w:left="311"/>
              <w:rPr>
                <w:b/>
                <w:sz w:val="16"/>
              </w:rPr>
            </w:pPr>
            <w:r>
              <w:rPr>
                <w:b/>
                <w:spacing w:val="-5"/>
                <w:w w:val="105"/>
                <w:sz w:val="16"/>
              </w:rPr>
              <w:t>50</w:t>
            </w:r>
          </w:p>
        </w:tc>
        <w:tc>
          <w:tcPr>
            <w:tcW w:w="389" w:type="dxa"/>
            <w:shd w:val="clear" w:color="auto" w:fill="CCEDFF"/>
          </w:tcPr>
          <w:p>
            <w:pPr>
              <w:pStyle w:val="TableParagraph"/>
              <w:rPr>
                <w:sz w:val="14"/>
              </w:rPr>
            </w:pPr>
          </w:p>
        </w:tc>
        <w:tc>
          <w:tcPr>
            <w:tcW w:w="1300" w:type="dxa"/>
            <w:shd w:val="clear" w:color="auto" w:fill="CCEDFF"/>
          </w:tcPr>
          <w:p>
            <w:pPr>
              <w:pStyle w:val="TableParagraph"/>
              <w:spacing w:line="180" w:lineRule="exact" w:before="3"/>
              <w:ind w:right="138"/>
              <w:jc w:val="right"/>
              <w:rPr>
                <w:sz w:val="16"/>
              </w:rPr>
            </w:pPr>
            <w:r>
              <w:rPr>
                <w:spacing w:val="-5"/>
                <w:w w:val="105"/>
                <w:sz w:val="16"/>
              </w:rPr>
              <w:t>44</w:t>
            </w:r>
          </w:p>
        </w:tc>
      </w:tr>
      <w:tr>
        <w:trPr>
          <w:trHeight w:val="203" w:hRule="atLeast"/>
        </w:trPr>
        <w:tc>
          <w:tcPr>
            <w:tcW w:w="8114" w:type="dxa"/>
          </w:tcPr>
          <w:p>
            <w:pPr>
              <w:pStyle w:val="TableParagraph"/>
              <w:spacing w:line="180" w:lineRule="exact" w:before="3"/>
              <w:rPr>
                <w:sz w:val="16"/>
              </w:rPr>
            </w:pPr>
            <w:r>
              <w:rPr>
                <w:sz w:val="16"/>
              </w:rPr>
              <w:t>Long-term</w:t>
            </w:r>
            <w:r>
              <w:rPr>
                <w:spacing w:val="21"/>
                <w:sz w:val="16"/>
              </w:rPr>
              <w:t> </w:t>
            </w:r>
            <w:r>
              <w:rPr>
                <w:spacing w:val="-4"/>
                <w:sz w:val="16"/>
              </w:rPr>
              <w:t>debt</w:t>
            </w:r>
          </w:p>
        </w:tc>
        <w:tc>
          <w:tcPr>
            <w:tcW w:w="1014" w:type="dxa"/>
          </w:tcPr>
          <w:p>
            <w:pPr>
              <w:pStyle w:val="TableParagraph"/>
              <w:spacing w:line="180" w:lineRule="exact" w:before="3"/>
              <w:rPr>
                <w:b/>
                <w:sz w:val="16"/>
              </w:rPr>
            </w:pPr>
            <w:r>
              <w:rPr>
                <w:b/>
                <w:spacing w:val="-10"/>
                <w:w w:val="105"/>
                <w:sz w:val="16"/>
              </w:rPr>
              <w:t>$</w:t>
            </w:r>
          </w:p>
        </w:tc>
        <w:tc>
          <w:tcPr>
            <w:tcW w:w="699" w:type="dxa"/>
          </w:tcPr>
          <w:p>
            <w:pPr>
              <w:pStyle w:val="TableParagraph"/>
              <w:spacing w:line="180" w:lineRule="exact" w:before="3"/>
              <w:ind w:left="104"/>
              <w:rPr>
                <w:b/>
                <w:sz w:val="16"/>
              </w:rPr>
            </w:pPr>
            <w:r>
              <w:rPr>
                <w:b/>
                <w:spacing w:val="-4"/>
                <w:w w:val="105"/>
                <w:sz w:val="16"/>
              </w:rPr>
              <w:t>6,989</w:t>
            </w:r>
          </w:p>
        </w:tc>
        <w:tc>
          <w:tcPr>
            <w:tcW w:w="389" w:type="dxa"/>
          </w:tcPr>
          <w:p>
            <w:pPr>
              <w:pStyle w:val="TableParagraph"/>
              <w:spacing w:line="180" w:lineRule="exact" w:before="3"/>
              <w:ind w:left="57"/>
              <w:rPr>
                <w:sz w:val="16"/>
              </w:rPr>
            </w:pPr>
            <w:r>
              <w:rPr>
                <w:spacing w:val="-10"/>
                <w:w w:val="105"/>
                <w:sz w:val="16"/>
              </w:rPr>
              <w:t>$</w:t>
            </w:r>
          </w:p>
        </w:tc>
        <w:tc>
          <w:tcPr>
            <w:tcW w:w="1300" w:type="dxa"/>
          </w:tcPr>
          <w:p>
            <w:pPr>
              <w:pStyle w:val="TableParagraph"/>
              <w:spacing w:line="180" w:lineRule="exact" w:before="3"/>
              <w:ind w:right="138"/>
              <w:jc w:val="right"/>
              <w:rPr>
                <w:sz w:val="16"/>
              </w:rPr>
            </w:pPr>
            <w:r>
              <w:rPr>
                <w:spacing w:val="-4"/>
                <w:w w:val="105"/>
                <w:sz w:val="16"/>
              </w:rPr>
              <w:t>7,816</w:t>
            </w:r>
          </w:p>
        </w:tc>
      </w:tr>
      <w:tr>
        <w:trPr>
          <w:trHeight w:val="203" w:hRule="atLeast"/>
        </w:trPr>
        <w:tc>
          <w:tcPr>
            <w:tcW w:w="8114" w:type="dxa"/>
            <w:shd w:val="clear" w:color="auto" w:fill="CCEDFF"/>
          </w:tcPr>
          <w:p>
            <w:pPr>
              <w:pStyle w:val="TableParagraph"/>
              <w:spacing w:line="180" w:lineRule="exact" w:before="3"/>
              <w:rPr>
                <w:sz w:val="16"/>
              </w:rPr>
            </w:pPr>
            <w:r>
              <w:rPr>
                <w:w w:val="105"/>
                <w:sz w:val="16"/>
              </w:rPr>
              <w:t>Total</w:t>
            </w:r>
            <w:r>
              <w:rPr>
                <w:spacing w:val="-8"/>
                <w:w w:val="105"/>
                <w:sz w:val="16"/>
              </w:rPr>
              <w:t> </w:t>
            </w:r>
            <w:r>
              <w:rPr>
                <w:spacing w:val="-4"/>
                <w:w w:val="105"/>
                <w:sz w:val="16"/>
              </w:rPr>
              <w:t>debt</w:t>
            </w:r>
          </w:p>
        </w:tc>
        <w:tc>
          <w:tcPr>
            <w:tcW w:w="1014" w:type="dxa"/>
            <w:shd w:val="clear" w:color="auto" w:fill="CCEDFF"/>
          </w:tcPr>
          <w:p>
            <w:pPr>
              <w:pStyle w:val="TableParagraph"/>
              <w:spacing w:line="180" w:lineRule="exact" w:before="3"/>
              <w:rPr>
                <w:b/>
                <w:sz w:val="16"/>
              </w:rPr>
            </w:pPr>
            <w:r>
              <w:rPr>
                <w:b/>
                <w:spacing w:val="-10"/>
                <w:w w:val="105"/>
                <w:sz w:val="16"/>
              </w:rPr>
              <w:t>$</w:t>
            </w:r>
          </w:p>
        </w:tc>
        <w:tc>
          <w:tcPr>
            <w:tcW w:w="699" w:type="dxa"/>
            <w:shd w:val="clear" w:color="auto" w:fill="CCEDFF"/>
          </w:tcPr>
          <w:p>
            <w:pPr>
              <w:pStyle w:val="TableParagraph"/>
              <w:spacing w:line="180" w:lineRule="exact" w:before="3"/>
              <w:ind w:left="104"/>
              <w:rPr>
                <w:b/>
                <w:sz w:val="16"/>
              </w:rPr>
            </w:pPr>
            <w:r>
              <w:rPr>
                <w:b/>
                <w:spacing w:val="-4"/>
                <w:w w:val="105"/>
                <w:sz w:val="16"/>
              </w:rPr>
              <w:t>7,044</w:t>
            </w:r>
          </w:p>
        </w:tc>
        <w:tc>
          <w:tcPr>
            <w:tcW w:w="389" w:type="dxa"/>
            <w:shd w:val="clear" w:color="auto" w:fill="CCEDFF"/>
          </w:tcPr>
          <w:p>
            <w:pPr>
              <w:pStyle w:val="TableParagraph"/>
              <w:spacing w:line="180" w:lineRule="exact" w:before="3"/>
              <w:ind w:left="57"/>
              <w:rPr>
                <w:sz w:val="16"/>
              </w:rPr>
            </w:pPr>
            <w:r>
              <w:rPr>
                <w:spacing w:val="-10"/>
                <w:w w:val="105"/>
                <w:sz w:val="16"/>
              </w:rPr>
              <w:t>$</w:t>
            </w:r>
          </w:p>
        </w:tc>
        <w:tc>
          <w:tcPr>
            <w:tcW w:w="1300" w:type="dxa"/>
            <w:shd w:val="clear" w:color="auto" w:fill="CCEDFF"/>
          </w:tcPr>
          <w:p>
            <w:pPr>
              <w:pStyle w:val="TableParagraph"/>
              <w:spacing w:line="180" w:lineRule="exact" w:before="3"/>
              <w:ind w:right="138"/>
              <w:jc w:val="right"/>
              <w:rPr>
                <w:sz w:val="16"/>
              </w:rPr>
            </w:pPr>
            <w:r>
              <w:rPr>
                <w:spacing w:val="-4"/>
                <w:w w:val="105"/>
                <w:sz w:val="16"/>
              </w:rPr>
              <w:t>7,972</w:t>
            </w:r>
          </w:p>
        </w:tc>
      </w:tr>
      <w:tr>
        <w:trPr>
          <w:trHeight w:val="200" w:hRule="atLeast"/>
        </w:trPr>
        <w:tc>
          <w:tcPr>
            <w:tcW w:w="8114" w:type="dxa"/>
            <w:tcBorders>
              <w:bottom w:val="double" w:sz="6" w:space="0" w:color="000000"/>
            </w:tcBorders>
          </w:tcPr>
          <w:p>
            <w:pPr>
              <w:pStyle w:val="TableParagraph"/>
              <w:spacing w:line="177" w:lineRule="exact" w:before="3"/>
              <w:rPr>
                <w:sz w:val="16"/>
              </w:rPr>
            </w:pPr>
            <w:r>
              <w:rPr>
                <w:w w:val="105"/>
                <w:sz w:val="16"/>
              </w:rPr>
              <w:t>Total</w:t>
            </w:r>
            <w:r>
              <w:rPr>
                <w:spacing w:val="-7"/>
                <w:w w:val="105"/>
                <w:sz w:val="16"/>
              </w:rPr>
              <w:t> </w:t>
            </w:r>
            <w:r>
              <w:rPr>
                <w:w w:val="105"/>
                <w:sz w:val="16"/>
              </w:rPr>
              <w:t>debt</w:t>
            </w:r>
            <w:r>
              <w:rPr>
                <w:spacing w:val="-6"/>
                <w:w w:val="105"/>
                <w:sz w:val="16"/>
              </w:rPr>
              <w:t> </w:t>
            </w:r>
            <w:r>
              <w:rPr>
                <w:w w:val="105"/>
                <w:sz w:val="16"/>
              </w:rPr>
              <w:t>to</w:t>
            </w:r>
            <w:r>
              <w:rPr>
                <w:spacing w:val="-6"/>
                <w:w w:val="105"/>
                <w:sz w:val="16"/>
              </w:rPr>
              <w:t> </w:t>
            </w:r>
            <w:r>
              <w:rPr>
                <w:w w:val="105"/>
                <w:sz w:val="16"/>
              </w:rPr>
              <w:t>total</w:t>
            </w:r>
            <w:r>
              <w:rPr>
                <w:spacing w:val="-6"/>
                <w:w w:val="105"/>
                <w:sz w:val="16"/>
              </w:rPr>
              <w:t> </w:t>
            </w:r>
            <w:r>
              <w:rPr>
                <w:spacing w:val="-2"/>
                <w:w w:val="105"/>
                <w:sz w:val="16"/>
              </w:rPr>
              <w:t>capital</w:t>
            </w:r>
          </w:p>
        </w:tc>
        <w:tc>
          <w:tcPr>
            <w:tcW w:w="1014" w:type="dxa"/>
            <w:tcBorders>
              <w:bottom w:val="double" w:sz="6" w:space="0" w:color="000000"/>
            </w:tcBorders>
          </w:tcPr>
          <w:p>
            <w:pPr>
              <w:pStyle w:val="TableParagraph"/>
              <w:rPr>
                <w:sz w:val="12"/>
              </w:rPr>
            </w:pPr>
          </w:p>
        </w:tc>
        <w:tc>
          <w:tcPr>
            <w:tcW w:w="699" w:type="dxa"/>
            <w:tcBorders>
              <w:bottom w:val="double" w:sz="6" w:space="0" w:color="000000"/>
            </w:tcBorders>
          </w:tcPr>
          <w:p>
            <w:pPr>
              <w:pStyle w:val="TableParagraph"/>
              <w:spacing w:line="177" w:lineRule="exact" w:before="3"/>
              <w:ind w:left="311"/>
              <w:rPr>
                <w:b/>
                <w:sz w:val="16"/>
              </w:rPr>
            </w:pPr>
            <w:r>
              <w:rPr>
                <w:b/>
                <w:spacing w:val="-5"/>
                <w:w w:val="105"/>
                <w:sz w:val="16"/>
              </w:rPr>
              <w:t>36%</w:t>
            </w:r>
          </w:p>
        </w:tc>
        <w:tc>
          <w:tcPr>
            <w:tcW w:w="389" w:type="dxa"/>
            <w:tcBorders>
              <w:bottom w:val="double" w:sz="6" w:space="0" w:color="000000"/>
            </w:tcBorders>
          </w:tcPr>
          <w:p>
            <w:pPr>
              <w:pStyle w:val="TableParagraph"/>
              <w:rPr>
                <w:sz w:val="12"/>
              </w:rPr>
            </w:pPr>
          </w:p>
        </w:tc>
        <w:tc>
          <w:tcPr>
            <w:tcW w:w="1300" w:type="dxa"/>
            <w:tcBorders>
              <w:bottom w:val="double" w:sz="6" w:space="0" w:color="000000"/>
            </w:tcBorders>
          </w:tcPr>
          <w:p>
            <w:pPr>
              <w:pStyle w:val="TableParagraph"/>
              <w:spacing w:line="177" w:lineRule="exact" w:before="3"/>
              <w:jc w:val="right"/>
              <w:rPr>
                <w:sz w:val="16"/>
              </w:rPr>
            </w:pPr>
            <w:r>
              <w:rPr>
                <w:spacing w:val="-5"/>
                <w:w w:val="105"/>
                <w:sz w:val="16"/>
              </w:rPr>
              <w:t>37%</w:t>
            </w:r>
          </w:p>
        </w:tc>
      </w:tr>
      <w:tr>
        <w:trPr>
          <w:trHeight w:val="745" w:hRule="atLeast"/>
        </w:trPr>
        <w:tc>
          <w:tcPr>
            <w:tcW w:w="8114" w:type="dxa"/>
            <w:tcBorders>
              <w:top w:val="double" w:sz="6" w:space="0" w:color="000000"/>
            </w:tcBorders>
          </w:tcPr>
          <w:p>
            <w:pPr>
              <w:pStyle w:val="TableParagraph"/>
              <w:spacing w:before="36"/>
              <w:rPr>
                <w:sz w:val="14"/>
              </w:rPr>
            </w:pPr>
          </w:p>
          <w:p>
            <w:pPr>
              <w:pStyle w:val="TableParagraph"/>
              <w:rPr>
                <w:sz w:val="14"/>
              </w:rPr>
            </w:pPr>
            <w:r>
              <w:rPr>
                <w:sz w:val="14"/>
              </w:rPr>
              <w:t>(1)</w:t>
            </w:r>
            <w:r>
              <w:rPr>
                <w:spacing w:val="29"/>
                <w:sz w:val="14"/>
              </w:rPr>
              <w:t>  </w:t>
            </w:r>
            <w:r>
              <w:rPr>
                <w:sz w:val="14"/>
              </w:rPr>
              <w:t>Includes</w:t>
            </w:r>
            <w:r>
              <w:rPr>
                <w:spacing w:val="-2"/>
                <w:sz w:val="14"/>
              </w:rPr>
              <w:t> </w:t>
            </w:r>
            <w:r>
              <w:rPr>
                <w:sz w:val="14"/>
              </w:rPr>
              <w:t>trade</w:t>
            </w:r>
            <w:r>
              <w:rPr>
                <w:spacing w:val="-2"/>
                <w:sz w:val="14"/>
              </w:rPr>
              <w:t> </w:t>
            </w:r>
            <w:r>
              <w:rPr>
                <w:sz w:val="14"/>
              </w:rPr>
              <w:t>payables</w:t>
            </w:r>
            <w:r>
              <w:rPr>
                <w:spacing w:val="-2"/>
                <w:sz w:val="14"/>
              </w:rPr>
              <w:t> only.</w:t>
            </w:r>
          </w:p>
          <w:p>
            <w:pPr>
              <w:pStyle w:val="TableParagraph"/>
              <w:spacing w:before="41"/>
              <w:rPr>
                <w:sz w:val="14"/>
              </w:rPr>
            </w:pPr>
          </w:p>
          <w:p>
            <w:pPr>
              <w:pStyle w:val="TableParagraph"/>
              <w:spacing w:line="165" w:lineRule="exact"/>
              <w:rPr>
                <w:b/>
                <w:i/>
                <w:sz w:val="16"/>
              </w:rPr>
            </w:pPr>
            <w:r>
              <w:rPr>
                <w:b/>
                <w:i/>
                <w:sz w:val="16"/>
              </w:rPr>
              <w:t>Management</w:t>
            </w:r>
            <w:r>
              <w:rPr>
                <w:b/>
                <w:i/>
                <w:spacing w:val="18"/>
                <w:sz w:val="16"/>
              </w:rPr>
              <w:t> </w:t>
            </w:r>
            <w:r>
              <w:rPr>
                <w:b/>
                <w:i/>
                <w:sz w:val="16"/>
              </w:rPr>
              <w:t>Assessment</w:t>
            </w:r>
            <w:r>
              <w:rPr>
                <w:b/>
                <w:i/>
                <w:spacing w:val="19"/>
                <w:sz w:val="16"/>
              </w:rPr>
              <w:t> </w:t>
            </w:r>
            <w:r>
              <w:rPr>
                <w:b/>
                <w:i/>
                <w:sz w:val="16"/>
              </w:rPr>
              <w:t>of</w:t>
            </w:r>
            <w:r>
              <w:rPr>
                <w:b/>
                <w:i/>
                <w:spacing w:val="18"/>
                <w:sz w:val="16"/>
              </w:rPr>
              <w:t> </w:t>
            </w:r>
            <w:r>
              <w:rPr>
                <w:b/>
                <w:i/>
                <w:spacing w:val="-2"/>
                <w:sz w:val="16"/>
              </w:rPr>
              <w:t>Liquidity</w:t>
            </w:r>
          </w:p>
        </w:tc>
        <w:tc>
          <w:tcPr>
            <w:tcW w:w="1014" w:type="dxa"/>
            <w:tcBorders>
              <w:top w:val="double" w:sz="6" w:space="0" w:color="000000"/>
            </w:tcBorders>
          </w:tcPr>
          <w:p>
            <w:pPr>
              <w:pStyle w:val="TableParagraph"/>
              <w:rPr>
                <w:sz w:val="16"/>
              </w:rPr>
            </w:pPr>
          </w:p>
        </w:tc>
        <w:tc>
          <w:tcPr>
            <w:tcW w:w="699" w:type="dxa"/>
            <w:tcBorders>
              <w:top w:val="double" w:sz="6" w:space="0" w:color="000000"/>
            </w:tcBorders>
          </w:tcPr>
          <w:p>
            <w:pPr>
              <w:pStyle w:val="TableParagraph"/>
              <w:rPr>
                <w:sz w:val="16"/>
              </w:rPr>
            </w:pPr>
          </w:p>
        </w:tc>
        <w:tc>
          <w:tcPr>
            <w:tcW w:w="389" w:type="dxa"/>
            <w:tcBorders>
              <w:top w:val="double" w:sz="6" w:space="0" w:color="000000"/>
            </w:tcBorders>
          </w:tcPr>
          <w:p>
            <w:pPr>
              <w:pStyle w:val="TableParagraph"/>
              <w:rPr>
                <w:sz w:val="16"/>
              </w:rPr>
            </w:pPr>
          </w:p>
        </w:tc>
        <w:tc>
          <w:tcPr>
            <w:tcW w:w="1300" w:type="dxa"/>
            <w:tcBorders>
              <w:top w:val="double" w:sz="6" w:space="0" w:color="000000"/>
            </w:tcBorders>
          </w:tcPr>
          <w:p>
            <w:pPr>
              <w:pStyle w:val="TableParagraph"/>
              <w:rPr>
                <w:sz w:val="16"/>
              </w:rPr>
            </w:pPr>
          </w:p>
        </w:tc>
      </w:tr>
    </w:tbl>
    <w:p>
      <w:pPr>
        <w:pStyle w:val="BodyText"/>
        <w:spacing w:before="38"/>
      </w:pPr>
    </w:p>
    <w:p>
      <w:pPr>
        <w:pStyle w:val="BodyText"/>
        <w:spacing w:line="266" w:lineRule="auto" w:before="1"/>
        <w:ind w:left="156" w:right="328"/>
      </w:pPr>
      <w:r>
        <w:rPr>
          <w:w w:val="105"/>
        </w:rPr>
        <w:t>We</w:t>
      </w:r>
      <w:r>
        <w:rPr>
          <w:spacing w:val="-2"/>
          <w:w w:val="105"/>
        </w:rPr>
        <w:t> </w:t>
      </w:r>
      <w:r>
        <w:rPr>
          <w:w w:val="105"/>
        </w:rPr>
        <w:t>ended</w:t>
      </w:r>
      <w:r>
        <w:rPr>
          <w:spacing w:val="-2"/>
          <w:w w:val="105"/>
        </w:rPr>
        <w:t> </w:t>
      </w:r>
      <w:r>
        <w:rPr>
          <w:w w:val="105"/>
        </w:rPr>
        <w:t>2021</w:t>
      </w:r>
      <w:r>
        <w:rPr>
          <w:spacing w:val="-2"/>
          <w:w w:val="105"/>
        </w:rPr>
        <w:t> </w:t>
      </w:r>
      <w:r>
        <w:rPr>
          <w:w w:val="105"/>
        </w:rPr>
        <w:t>with</w:t>
      </w:r>
      <w:r>
        <w:rPr>
          <w:spacing w:val="-2"/>
          <w:w w:val="105"/>
        </w:rPr>
        <w:t> </w:t>
      </w:r>
      <w:r>
        <w:rPr>
          <w:w w:val="105"/>
        </w:rPr>
        <w:t>$2.1</w:t>
      </w:r>
      <w:r>
        <w:rPr>
          <w:spacing w:val="-2"/>
          <w:w w:val="105"/>
        </w:rPr>
        <w:t> </w:t>
      </w:r>
      <w:r>
        <w:rPr>
          <w:w w:val="105"/>
        </w:rPr>
        <w:t>billion</w:t>
      </w:r>
      <w:r>
        <w:rPr>
          <w:spacing w:val="-2"/>
          <w:w w:val="105"/>
        </w:rPr>
        <w:t> </w:t>
      </w:r>
      <w:r>
        <w:rPr>
          <w:w w:val="105"/>
        </w:rPr>
        <w:t>of</w:t>
      </w:r>
      <w:r>
        <w:rPr>
          <w:spacing w:val="-2"/>
          <w:w w:val="105"/>
        </w:rPr>
        <w:t> </w:t>
      </w:r>
      <w:r>
        <w:rPr>
          <w:w w:val="105"/>
        </w:rPr>
        <w:t>cash and</w:t>
      </w:r>
      <w:r>
        <w:rPr>
          <w:spacing w:val="-2"/>
          <w:w w:val="105"/>
        </w:rPr>
        <w:t> </w:t>
      </w:r>
      <w:r>
        <w:rPr>
          <w:w w:val="105"/>
        </w:rPr>
        <w:t>cash</w:t>
      </w:r>
      <w:r>
        <w:rPr>
          <w:spacing w:val="-2"/>
          <w:w w:val="105"/>
        </w:rPr>
        <w:t> </w:t>
      </w:r>
      <w:r>
        <w:rPr>
          <w:w w:val="105"/>
        </w:rPr>
        <w:t>equivalents.</w:t>
      </w:r>
      <w:r>
        <w:rPr>
          <w:spacing w:val="-2"/>
          <w:w w:val="105"/>
        </w:rPr>
        <w:t> </w:t>
      </w:r>
      <w:r>
        <w:rPr>
          <w:w w:val="105"/>
        </w:rPr>
        <w:t>Our</w:t>
      </w:r>
      <w:r>
        <w:rPr>
          <w:spacing w:val="-2"/>
          <w:w w:val="105"/>
        </w:rPr>
        <w:t> </w:t>
      </w:r>
      <w:r>
        <w:rPr>
          <w:w w:val="105"/>
        </w:rPr>
        <w:t>cash</w:t>
      </w:r>
      <w:r>
        <w:rPr>
          <w:spacing w:val="-2"/>
          <w:w w:val="105"/>
        </w:rPr>
        <w:t> </w:t>
      </w:r>
      <w:r>
        <w:rPr>
          <w:w w:val="105"/>
        </w:rPr>
        <w:t>and</w:t>
      </w:r>
      <w:r>
        <w:rPr>
          <w:spacing w:val="-2"/>
          <w:w w:val="105"/>
        </w:rPr>
        <w:t> </w:t>
      </w:r>
      <w:r>
        <w:rPr>
          <w:w w:val="105"/>
        </w:rPr>
        <w:t>cash</w:t>
      </w:r>
      <w:r>
        <w:rPr>
          <w:spacing w:val="-2"/>
          <w:w w:val="105"/>
        </w:rPr>
        <w:t> </w:t>
      </w:r>
      <w:r>
        <w:rPr>
          <w:w w:val="105"/>
        </w:rPr>
        <w:t>equivalents</w:t>
      </w:r>
      <w:r>
        <w:rPr>
          <w:spacing w:val="-2"/>
          <w:w w:val="105"/>
        </w:rPr>
        <w:t> </w:t>
      </w:r>
      <w:r>
        <w:rPr>
          <w:w w:val="105"/>
        </w:rPr>
        <w:t>are</w:t>
      </w:r>
      <w:r>
        <w:rPr>
          <w:spacing w:val="-2"/>
          <w:w w:val="105"/>
        </w:rPr>
        <w:t> </w:t>
      </w:r>
      <w:r>
        <w:rPr>
          <w:w w:val="105"/>
        </w:rPr>
        <w:t>held</w:t>
      </w:r>
      <w:r>
        <w:rPr>
          <w:spacing w:val="-2"/>
          <w:w w:val="105"/>
        </w:rPr>
        <w:t> </w:t>
      </w:r>
      <w:r>
        <w:rPr>
          <w:w w:val="105"/>
        </w:rPr>
        <w:t>in</w:t>
      </w:r>
      <w:r>
        <w:rPr>
          <w:spacing w:val="-2"/>
          <w:w w:val="105"/>
        </w:rPr>
        <w:t> </w:t>
      </w:r>
      <w:r>
        <w:rPr>
          <w:w w:val="105"/>
        </w:rPr>
        <w:t>various</w:t>
      </w:r>
      <w:r>
        <w:rPr>
          <w:spacing w:val="-2"/>
          <w:w w:val="105"/>
        </w:rPr>
        <w:t> </w:t>
      </w:r>
      <w:r>
        <w:rPr>
          <w:w w:val="105"/>
        </w:rPr>
        <w:t>locations</w:t>
      </w:r>
      <w:r>
        <w:rPr>
          <w:spacing w:val="-2"/>
          <w:w w:val="105"/>
        </w:rPr>
        <w:t> </w:t>
      </w:r>
      <w:r>
        <w:rPr>
          <w:w w:val="105"/>
        </w:rPr>
        <w:t>throughout</w:t>
      </w:r>
      <w:r>
        <w:rPr>
          <w:spacing w:val="-2"/>
          <w:w w:val="105"/>
        </w:rPr>
        <w:t> </w:t>
      </w:r>
      <w:r>
        <w:rPr>
          <w:w w:val="105"/>
        </w:rPr>
        <w:t>the</w:t>
      </w:r>
      <w:r>
        <w:rPr>
          <w:spacing w:val="-2"/>
          <w:w w:val="105"/>
        </w:rPr>
        <w:t> </w:t>
      </w:r>
      <w:r>
        <w:rPr>
          <w:w w:val="105"/>
        </w:rPr>
        <w:t>world</w:t>
      </w:r>
      <w:r>
        <w:rPr>
          <w:spacing w:val="-2"/>
          <w:w w:val="105"/>
        </w:rPr>
        <w:t> </w:t>
      </w:r>
      <w:r>
        <w:rPr>
          <w:w w:val="105"/>
        </w:rPr>
        <w:t>and</w:t>
      </w:r>
      <w:r>
        <w:rPr>
          <w:spacing w:val="-2"/>
          <w:w w:val="105"/>
        </w:rPr>
        <w:t> </w:t>
      </w:r>
      <w:r>
        <w:rPr>
          <w:w w:val="105"/>
        </w:rPr>
        <w:t>are</w:t>
      </w:r>
      <w:r>
        <w:rPr>
          <w:spacing w:val="-2"/>
          <w:w w:val="105"/>
        </w:rPr>
        <w:t> </w:t>
      </w:r>
      <w:r>
        <w:rPr>
          <w:w w:val="105"/>
        </w:rPr>
        <w:t>generally unrestricted.</w:t>
      </w:r>
      <w:r>
        <w:rPr>
          <w:spacing w:val="-7"/>
          <w:w w:val="105"/>
        </w:rPr>
        <w:t> </w:t>
      </w:r>
      <w:r>
        <w:rPr>
          <w:w w:val="105"/>
        </w:rPr>
        <w:t>We</w:t>
      </w:r>
      <w:r>
        <w:rPr>
          <w:spacing w:val="-7"/>
          <w:w w:val="105"/>
        </w:rPr>
        <w:t> </w:t>
      </w:r>
      <w:r>
        <w:rPr>
          <w:w w:val="105"/>
        </w:rPr>
        <w:t>utilize</w:t>
      </w:r>
      <w:r>
        <w:rPr>
          <w:spacing w:val="-7"/>
          <w:w w:val="105"/>
        </w:rPr>
        <w:t> </w:t>
      </w:r>
      <w:r>
        <w:rPr>
          <w:w w:val="105"/>
        </w:rPr>
        <w:t>a</w:t>
      </w:r>
      <w:r>
        <w:rPr>
          <w:spacing w:val="-7"/>
          <w:w w:val="105"/>
        </w:rPr>
        <w:t> </w:t>
      </w:r>
      <w:r>
        <w:rPr>
          <w:w w:val="105"/>
        </w:rPr>
        <w:t>variety</w:t>
      </w:r>
      <w:r>
        <w:rPr>
          <w:spacing w:val="-7"/>
          <w:w w:val="105"/>
        </w:rPr>
        <w:t> </w:t>
      </w:r>
      <w:r>
        <w:rPr>
          <w:w w:val="105"/>
        </w:rPr>
        <w:t>of</w:t>
      </w:r>
      <w:r>
        <w:rPr>
          <w:spacing w:val="-7"/>
          <w:w w:val="105"/>
        </w:rPr>
        <w:t> </w:t>
      </w:r>
      <w:r>
        <w:rPr>
          <w:w w:val="105"/>
        </w:rPr>
        <w:t>strategies</w:t>
      </w:r>
      <w:r>
        <w:rPr>
          <w:spacing w:val="-7"/>
          <w:w w:val="105"/>
        </w:rPr>
        <w:t> </w:t>
      </w:r>
      <w:r>
        <w:rPr>
          <w:w w:val="105"/>
        </w:rPr>
        <w:t>to</w:t>
      </w:r>
      <w:r>
        <w:rPr>
          <w:spacing w:val="-7"/>
          <w:w w:val="105"/>
        </w:rPr>
        <w:t> </w:t>
      </w:r>
      <w:r>
        <w:rPr>
          <w:w w:val="105"/>
        </w:rPr>
        <w:t>ensure</w:t>
      </w:r>
      <w:r>
        <w:rPr>
          <w:spacing w:val="-7"/>
          <w:w w:val="105"/>
        </w:rPr>
        <w:t> </w:t>
      </w:r>
      <w:r>
        <w:rPr>
          <w:w w:val="105"/>
        </w:rPr>
        <w:t>that</w:t>
      </w:r>
      <w:r>
        <w:rPr>
          <w:spacing w:val="-7"/>
          <w:w w:val="105"/>
        </w:rPr>
        <w:t> </w:t>
      </w:r>
      <w:r>
        <w:rPr>
          <w:w w:val="105"/>
        </w:rPr>
        <w:t>our</w:t>
      </w:r>
      <w:r>
        <w:rPr>
          <w:spacing w:val="-7"/>
          <w:w w:val="105"/>
        </w:rPr>
        <w:t> </w:t>
      </w:r>
      <w:r>
        <w:rPr>
          <w:w w:val="105"/>
        </w:rPr>
        <w:t>worldwide</w:t>
      </w:r>
      <w:r>
        <w:rPr>
          <w:spacing w:val="-7"/>
          <w:w w:val="105"/>
        </w:rPr>
        <w:t> </w:t>
      </w:r>
      <w:r>
        <w:rPr>
          <w:w w:val="105"/>
        </w:rPr>
        <w:t>cash</w:t>
      </w:r>
      <w:r>
        <w:rPr>
          <w:spacing w:val="-7"/>
          <w:w w:val="105"/>
        </w:rPr>
        <w:t> </w:t>
      </w:r>
      <w:r>
        <w:rPr>
          <w:w w:val="105"/>
        </w:rPr>
        <w:t>is</w:t>
      </w:r>
      <w:r>
        <w:rPr>
          <w:spacing w:val="-7"/>
          <w:w w:val="105"/>
        </w:rPr>
        <w:t> </w:t>
      </w:r>
      <w:r>
        <w:rPr>
          <w:w w:val="105"/>
        </w:rPr>
        <w:t>available</w:t>
      </w:r>
      <w:r>
        <w:rPr>
          <w:spacing w:val="-7"/>
          <w:w w:val="105"/>
        </w:rPr>
        <w:t> </w:t>
      </w:r>
      <w:r>
        <w:rPr>
          <w:w w:val="105"/>
        </w:rPr>
        <w:t>in</w:t>
      </w:r>
      <w:r>
        <w:rPr>
          <w:spacing w:val="-6"/>
          <w:w w:val="105"/>
        </w:rPr>
        <w:t> </w:t>
      </w:r>
      <w:r>
        <w:rPr>
          <w:w w:val="105"/>
        </w:rPr>
        <w:t>the</w:t>
      </w:r>
      <w:r>
        <w:rPr>
          <w:spacing w:val="-7"/>
          <w:w w:val="105"/>
        </w:rPr>
        <w:t> </w:t>
      </w:r>
      <w:r>
        <w:rPr>
          <w:w w:val="105"/>
        </w:rPr>
        <w:t>locations</w:t>
      </w:r>
      <w:r>
        <w:rPr>
          <w:spacing w:val="-7"/>
          <w:w w:val="105"/>
        </w:rPr>
        <w:t> </w:t>
      </w:r>
      <w:r>
        <w:rPr>
          <w:w w:val="105"/>
        </w:rPr>
        <w:t>in</w:t>
      </w:r>
      <w:r>
        <w:rPr>
          <w:spacing w:val="-7"/>
          <w:w w:val="105"/>
        </w:rPr>
        <w:t> </w:t>
      </w:r>
      <w:r>
        <w:rPr>
          <w:w w:val="105"/>
        </w:rPr>
        <w:t>which</w:t>
      </w:r>
      <w:r>
        <w:rPr>
          <w:spacing w:val="-7"/>
          <w:w w:val="105"/>
        </w:rPr>
        <w:t> </w:t>
      </w:r>
      <w:r>
        <w:rPr>
          <w:w w:val="105"/>
        </w:rPr>
        <w:t>it</w:t>
      </w:r>
      <w:r>
        <w:rPr>
          <w:spacing w:val="-7"/>
          <w:w w:val="105"/>
        </w:rPr>
        <w:t> </w:t>
      </w:r>
      <w:r>
        <w:rPr>
          <w:w w:val="105"/>
        </w:rPr>
        <w:t>is</w:t>
      </w:r>
      <w:r>
        <w:rPr>
          <w:spacing w:val="-7"/>
          <w:w w:val="105"/>
        </w:rPr>
        <w:t> </w:t>
      </w:r>
      <w:r>
        <w:rPr>
          <w:w w:val="105"/>
        </w:rPr>
        <w:t>needed.</w:t>
      </w:r>
      <w:r>
        <w:rPr>
          <w:spacing w:val="-7"/>
          <w:w w:val="105"/>
        </w:rPr>
        <w:t> </w:t>
      </w:r>
      <w:r>
        <w:rPr>
          <w:w w:val="105"/>
        </w:rPr>
        <w:t>At</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7"/>
          <w:w w:val="105"/>
        </w:rPr>
        <w:t> </w:t>
      </w:r>
      <w:r>
        <w:rPr>
          <w:w w:val="105"/>
        </w:rPr>
        <w:t>approximately 58% of the consolidated cash and cash equivalents were held outside the U.S.</w:t>
      </w:r>
    </w:p>
    <w:p>
      <w:pPr>
        <w:pStyle w:val="BodyText"/>
        <w:spacing w:before="18"/>
      </w:pPr>
    </w:p>
    <w:p>
      <w:pPr>
        <w:pStyle w:val="BodyText"/>
        <w:spacing w:line="266" w:lineRule="auto"/>
        <w:ind w:left="156" w:right="117"/>
      </w:pPr>
      <w:r>
        <w:rPr>
          <w:w w:val="105"/>
        </w:rPr>
        <w:t>Corning</w:t>
      </w:r>
      <w:r>
        <w:rPr>
          <w:spacing w:val="-8"/>
          <w:w w:val="105"/>
        </w:rPr>
        <w:t> </w:t>
      </w:r>
      <w:r>
        <w:rPr>
          <w:w w:val="105"/>
        </w:rPr>
        <w:t>also</w:t>
      </w:r>
      <w:r>
        <w:rPr>
          <w:spacing w:val="-8"/>
          <w:w w:val="105"/>
        </w:rPr>
        <w:t> </w:t>
      </w:r>
      <w:r>
        <w:rPr>
          <w:w w:val="105"/>
        </w:rPr>
        <w:t>has</w:t>
      </w:r>
      <w:r>
        <w:rPr>
          <w:spacing w:val="-8"/>
          <w:w w:val="105"/>
        </w:rPr>
        <w:t> </w:t>
      </w:r>
      <w:r>
        <w:rPr>
          <w:w w:val="105"/>
        </w:rPr>
        <w:t>a</w:t>
      </w:r>
      <w:r>
        <w:rPr>
          <w:spacing w:val="-8"/>
          <w:w w:val="105"/>
        </w:rPr>
        <w:t> </w:t>
      </w:r>
      <w:r>
        <w:rPr>
          <w:w w:val="105"/>
        </w:rPr>
        <w:t>commercial</w:t>
      </w:r>
      <w:r>
        <w:rPr>
          <w:spacing w:val="-8"/>
          <w:w w:val="105"/>
        </w:rPr>
        <w:t> </w:t>
      </w:r>
      <w:r>
        <w:rPr>
          <w:w w:val="105"/>
        </w:rPr>
        <w:t>paper</w:t>
      </w:r>
      <w:r>
        <w:rPr>
          <w:spacing w:val="-8"/>
          <w:w w:val="105"/>
        </w:rPr>
        <w:t> </w:t>
      </w:r>
      <w:r>
        <w:rPr>
          <w:w w:val="105"/>
        </w:rPr>
        <w:t>program</w:t>
      </w:r>
      <w:r>
        <w:rPr>
          <w:spacing w:val="-8"/>
          <w:w w:val="105"/>
        </w:rPr>
        <w:t> </w:t>
      </w:r>
      <w:r>
        <w:rPr>
          <w:w w:val="105"/>
        </w:rPr>
        <w:t>pursuant</w:t>
      </w:r>
      <w:r>
        <w:rPr>
          <w:spacing w:val="-8"/>
          <w:w w:val="105"/>
        </w:rPr>
        <w:t> </w:t>
      </w:r>
      <w:r>
        <w:rPr>
          <w:w w:val="105"/>
        </w:rPr>
        <w:t>to</w:t>
      </w:r>
      <w:r>
        <w:rPr>
          <w:spacing w:val="-8"/>
          <w:w w:val="105"/>
        </w:rPr>
        <w:t> </w:t>
      </w:r>
      <w:r>
        <w:rPr>
          <w:w w:val="105"/>
        </w:rPr>
        <w:t>which</w:t>
      </w:r>
      <w:r>
        <w:rPr>
          <w:spacing w:val="-8"/>
          <w:w w:val="105"/>
        </w:rPr>
        <w:t> </w:t>
      </w:r>
      <w:r>
        <w:rPr>
          <w:w w:val="105"/>
        </w:rPr>
        <w:t>we</w:t>
      </w:r>
      <w:r>
        <w:rPr>
          <w:spacing w:val="-8"/>
          <w:w w:val="105"/>
        </w:rPr>
        <w:t> </w:t>
      </w:r>
      <w:r>
        <w:rPr>
          <w:w w:val="105"/>
        </w:rPr>
        <w:t>may</w:t>
      </w:r>
      <w:r>
        <w:rPr>
          <w:spacing w:val="-8"/>
          <w:w w:val="105"/>
        </w:rPr>
        <w:t> </w:t>
      </w:r>
      <w:r>
        <w:rPr>
          <w:w w:val="105"/>
        </w:rPr>
        <w:t>issue</w:t>
      </w:r>
      <w:r>
        <w:rPr>
          <w:spacing w:val="-8"/>
          <w:w w:val="105"/>
        </w:rPr>
        <w:t> </w:t>
      </w:r>
      <w:r>
        <w:rPr>
          <w:w w:val="105"/>
        </w:rPr>
        <w:t>short-term,</w:t>
      </w:r>
      <w:r>
        <w:rPr>
          <w:spacing w:val="-8"/>
          <w:w w:val="105"/>
        </w:rPr>
        <w:t> </w:t>
      </w:r>
      <w:r>
        <w:rPr>
          <w:w w:val="105"/>
        </w:rPr>
        <w:t>unsecured</w:t>
      </w:r>
      <w:r>
        <w:rPr>
          <w:spacing w:val="-8"/>
          <w:w w:val="105"/>
        </w:rPr>
        <w:t> </w:t>
      </w:r>
      <w:r>
        <w:rPr>
          <w:w w:val="105"/>
        </w:rPr>
        <w:t>commercial</w:t>
      </w:r>
      <w:r>
        <w:rPr>
          <w:spacing w:val="-8"/>
          <w:w w:val="105"/>
        </w:rPr>
        <w:t> </w:t>
      </w:r>
      <w:r>
        <w:rPr>
          <w:w w:val="105"/>
        </w:rPr>
        <w:t>paper</w:t>
      </w:r>
      <w:r>
        <w:rPr>
          <w:spacing w:val="-8"/>
          <w:w w:val="105"/>
        </w:rPr>
        <w:t> </w:t>
      </w:r>
      <w:r>
        <w:rPr>
          <w:w w:val="105"/>
        </w:rPr>
        <w:t>notes</w:t>
      </w:r>
      <w:r>
        <w:rPr>
          <w:spacing w:val="-8"/>
          <w:w w:val="105"/>
        </w:rPr>
        <w:t> </w:t>
      </w:r>
      <w:r>
        <w:rPr>
          <w:w w:val="105"/>
        </w:rPr>
        <w:t>up</w:t>
      </w:r>
      <w:r>
        <w:rPr>
          <w:spacing w:val="-8"/>
          <w:w w:val="105"/>
        </w:rPr>
        <w:t> </w:t>
      </w:r>
      <w:r>
        <w:rPr>
          <w:w w:val="105"/>
        </w:rPr>
        <w:t>to</w:t>
      </w:r>
      <w:r>
        <w:rPr>
          <w:spacing w:val="-8"/>
          <w:w w:val="105"/>
        </w:rPr>
        <w:t> </w:t>
      </w:r>
      <w:r>
        <w:rPr>
          <w:w w:val="105"/>
        </w:rPr>
        <w:t>a</w:t>
      </w:r>
      <w:r>
        <w:rPr>
          <w:spacing w:val="-8"/>
          <w:w w:val="105"/>
        </w:rPr>
        <w:t> </w:t>
      </w:r>
      <w:r>
        <w:rPr>
          <w:w w:val="105"/>
        </w:rPr>
        <w:t>maximum</w:t>
      </w:r>
      <w:r>
        <w:rPr>
          <w:spacing w:val="-8"/>
          <w:w w:val="105"/>
        </w:rPr>
        <w:t> </w:t>
      </w:r>
      <w:r>
        <w:rPr>
          <w:w w:val="105"/>
        </w:rPr>
        <w:t>aggregate</w:t>
      </w:r>
      <w:r>
        <w:rPr>
          <w:spacing w:val="-8"/>
          <w:w w:val="105"/>
        </w:rPr>
        <w:t> </w:t>
      </w:r>
      <w:r>
        <w:rPr>
          <w:w w:val="105"/>
        </w:rPr>
        <w:t>principal</w:t>
      </w:r>
      <w:r>
        <w:rPr>
          <w:spacing w:val="-8"/>
          <w:w w:val="105"/>
        </w:rPr>
        <w:t> </w:t>
      </w:r>
      <w:r>
        <w:rPr>
          <w:w w:val="105"/>
        </w:rPr>
        <w:t>amount outstanding</w:t>
      </w:r>
      <w:r>
        <w:rPr>
          <w:spacing w:val="-1"/>
          <w:w w:val="105"/>
        </w:rPr>
        <w:t> </w:t>
      </w:r>
      <w:r>
        <w:rPr>
          <w:w w:val="105"/>
        </w:rPr>
        <w:t>at</w:t>
      </w:r>
      <w:r>
        <w:rPr>
          <w:spacing w:val="-1"/>
          <w:w w:val="105"/>
        </w:rPr>
        <w:t> </w:t>
      </w:r>
      <w:r>
        <w:rPr>
          <w:w w:val="105"/>
        </w:rPr>
        <w:t>any</w:t>
      </w:r>
      <w:r>
        <w:rPr>
          <w:spacing w:val="-1"/>
          <w:w w:val="105"/>
        </w:rPr>
        <w:t> </w:t>
      </w:r>
      <w:r>
        <w:rPr>
          <w:w w:val="105"/>
        </w:rPr>
        <w:t>one</w:t>
      </w:r>
      <w:r>
        <w:rPr>
          <w:spacing w:val="-1"/>
          <w:w w:val="105"/>
        </w:rPr>
        <w:t> </w:t>
      </w:r>
      <w:r>
        <w:rPr>
          <w:w w:val="105"/>
        </w:rPr>
        <w:t>time</w:t>
      </w:r>
      <w:r>
        <w:rPr>
          <w:spacing w:val="-1"/>
          <w:w w:val="105"/>
        </w:rPr>
        <w:t> </w:t>
      </w:r>
      <w:r>
        <w:rPr>
          <w:w w:val="105"/>
        </w:rPr>
        <w:t>of</w:t>
      </w:r>
      <w:r>
        <w:rPr>
          <w:spacing w:val="-1"/>
          <w:w w:val="105"/>
        </w:rPr>
        <w:t> </w:t>
      </w:r>
      <w:r>
        <w:rPr>
          <w:w w:val="105"/>
        </w:rPr>
        <w:t>$1.5</w:t>
      </w:r>
      <w:r>
        <w:rPr>
          <w:spacing w:val="-1"/>
          <w:w w:val="105"/>
        </w:rPr>
        <w:t> </w:t>
      </w:r>
      <w:r>
        <w:rPr>
          <w:w w:val="105"/>
        </w:rPr>
        <w:t>billion.</w:t>
      </w:r>
      <w:r>
        <w:rPr>
          <w:spacing w:val="-1"/>
          <w:w w:val="105"/>
        </w:rPr>
        <w:t> </w:t>
      </w:r>
      <w:r>
        <w:rPr>
          <w:w w:val="105"/>
        </w:rPr>
        <w:t>Under</w:t>
      </w:r>
      <w:r>
        <w:rPr>
          <w:spacing w:val="-1"/>
          <w:w w:val="105"/>
        </w:rPr>
        <w:t> </w:t>
      </w:r>
      <w:r>
        <w:rPr>
          <w:w w:val="105"/>
        </w:rPr>
        <w:t>this</w:t>
      </w:r>
      <w:r>
        <w:rPr>
          <w:spacing w:val="-1"/>
          <w:w w:val="105"/>
        </w:rPr>
        <w:t> </w:t>
      </w:r>
      <w:r>
        <w:rPr>
          <w:w w:val="105"/>
        </w:rPr>
        <w:t>program,</w:t>
      </w:r>
      <w:r>
        <w:rPr>
          <w:spacing w:val="-1"/>
          <w:w w:val="105"/>
        </w:rPr>
        <w:t> </w:t>
      </w:r>
      <w:r>
        <w:rPr>
          <w:w w:val="105"/>
        </w:rPr>
        <w:t>the</w:t>
      </w:r>
      <w:r>
        <w:rPr>
          <w:spacing w:val="-1"/>
          <w:w w:val="105"/>
        </w:rPr>
        <w:t> </w:t>
      </w:r>
      <w:r>
        <w:rPr>
          <w:w w:val="105"/>
        </w:rPr>
        <w:t>Company</w:t>
      </w:r>
      <w:r>
        <w:rPr>
          <w:spacing w:val="-1"/>
          <w:w w:val="105"/>
        </w:rPr>
        <w:t> </w:t>
      </w:r>
      <w:r>
        <w:rPr>
          <w:w w:val="105"/>
        </w:rPr>
        <w:t>may</w:t>
      </w:r>
      <w:r>
        <w:rPr>
          <w:spacing w:val="-1"/>
          <w:w w:val="105"/>
        </w:rPr>
        <w:t> </w:t>
      </w:r>
      <w:r>
        <w:rPr>
          <w:w w:val="105"/>
        </w:rPr>
        <w:t>issue</w:t>
      </w:r>
      <w:r>
        <w:rPr>
          <w:spacing w:val="-1"/>
          <w:w w:val="105"/>
        </w:rPr>
        <w:t> </w:t>
      </w:r>
      <w:r>
        <w:rPr>
          <w:w w:val="105"/>
        </w:rPr>
        <w:t>the</w:t>
      </w:r>
      <w:r>
        <w:rPr>
          <w:spacing w:val="-1"/>
          <w:w w:val="105"/>
        </w:rPr>
        <w:t> </w:t>
      </w:r>
      <w:r>
        <w:rPr>
          <w:w w:val="105"/>
        </w:rPr>
        <w:t>paper</w:t>
      </w:r>
      <w:r>
        <w:rPr>
          <w:spacing w:val="-1"/>
          <w:w w:val="105"/>
        </w:rPr>
        <w:t> </w:t>
      </w:r>
      <w:r>
        <w:rPr>
          <w:w w:val="105"/>
        </w:rPr>
        <w:t>from</w:t>
      </w:r>
      <w:r>
        <w:rPr>
          <w:spacing w:val="-1"/>
          <w:w w:val="105"/>
        </w:rPr>
        <w:t> </w:t>
      </w:r>
      <w:r>
        <w:rPr>
          <w:w w:val="105"/>
        </w:rPr>
        <w:t>time</w:t>
      </w:r>
      <w:r>
        <w:rPr>
          <w:spacing w:val="-1"/>
          <w:w w:val="105"/>
        </w:rPr>
        <w:t> </w:t>
      </w:r>
      <w:r>
        <w:rPr>
          <w:w w:val="105"/>
        </w:rPr>
        <w:t>to</w:t>
      </w:r>
      <w:r>
        <w:rPr>
          <w:spacing w:val="-1"/>
          <w:w w:val="105"/>
        </w:rPr>
        <w:t> </w:t>
      </w:r>
      <w:r>
        <w:rPr>
          <w:w w:val="105"/>
        </w:rPr>
        <w:t>time</w:t>
      </w:r>
      <w:r>
        <w:rPr>
          <w:spacing w:val="-1"/>
          <w:w w:val="105"/>
        </w:rPr>
        <w:t> </w:t>
      </w:r>
      <w:r>
        <w:rPr>
          <w:w w:val="105"/>
        </w:rPr>
        <w:t>and</w:t>
      </w:r>
      <w:r>
        <w:rPr>
          <w:spacing w:val="-1"/>
          <w:w w:val="105"/>
        </w:rPr>
        <w:t> </w:t>
      </w:r>
      <w:r>
        <w:rPr>
          <w:w w:val="105"/>
        </w:rPr>
        <w:t>will</w:t>
      </w:r>
      <w:r>
        <w:rPr>
          <w:spacing w:val="-1"/>
          <w:w w:val="105"/>
        </w:rPr>
        <w:t> </w:t>
      </w:r>
      <w:r>
        <w:rPr>
          <w:w w:val="105"/>
        </w:rPr>
        <w:t>use</w:t>
      </w:r>
      <w:r>
        <w:rPr>
          <w:spacing w:val="-1"/>
          <w:w w:val="105"/>
        </w:rPr>
        <w:t> </w:t>
      </w:r>
      <w:r>
        <w:rPr>
          <w:w w:val="105"/>
        </w:rPr>
        <w:t>the</w:t>
      </w:r>
      <w:r>
        <w:rPr>
          <w:spacing w:val="-1"/>
          <w:w w:val="105"/>
        </w:rPr>
        <w:t> </w:t>
      </w:r>
      <w:r>
        <w:rPr>
          <w:w w:val="105"/>
        </w:rPr>
        <w:t>proceeds</w:t>
      </w:r>
      <w:r>
        <w:rPr>
          <w:spacing w:val="-1"/>
          <w:w w:val="105"/>
        </w:rPr>
        <w:t> </w:t>
      </w:r>
      <w:r>
        <w:rPr>
          <w:w w:val="105"/>
        </w:rPr>
        <w:t>for</w:t>
      </w:r>
      <w:r>
        <w:rPr>
          <w:spacing w:val="-1"/>
          <w:w w:val="105"/>
        </w:rPr>
        <w:t> </w:t>
      </w:r>
      <w:r>
        <w:rPr>
          <w:w w:val="105"/>
        </w:rPr>
        <w:t>general</w:t>
      </w:r>
      <w:r>
        <w:rPr>
          <w:spacing w:val="-1"/>
          <w:w w:val="105"/>
        </w:rPr>
        <w:t> </w:t>
      </w:r>
      <w:r>
        <w:rPr>
          <w:w w:val="105"/>
        </w:rPr>
        <w:t>corporate purposes.</w:t>
      </w:r>
      <w:r>
        <w:rPr>
          <w:spacing w:val="40"/>
          <w:w w:val="105"/>
        </w:rPr>
        <w:t> </w:t>
      </w:r>
      <w:r>
        <w:rPr>
          <w:w w:val="105"/>
        </w:rPr>
        <w:t>At December 31, 2021, Corning did not have outstanding commercial paper.</w:t>
      </w:r>
    </w:p>
    <w:p>
      <w:pPr>
        <w:pStyle w:val="BodyText"/>
        <w:spacing w:before="19"/>
      </w:pPr>
    </w:p>
    <w:p>
      <w:pPr>
        <w:pStyle w:val="BodyText"/>
        <w:spacing w:line="266" w:lineRule="auto"/>
        <w:ind w:left="156" w:right="328"/>
      </w:pPr>
      <w:r>
        <w:rPr>
          <w:w w:val="105"/>
        </w:rPr>
        <w:t>The</w:t>
      </w:r>
      <w:r>
        <w:rPr>
          <w:spacing w:val="-9"/>
          <w:w w:val="105"/>
        </w:rPr>
        <w:t> </w:t>
      </w:r>
      <w:r>
        <w:rPr>
          <w:w w:val="105"/>
        </w:rPr>
        <w:t>Company’s</w:t>
      </w:r>
      <w:r>
        <w:rPr>
          <w:spacing w:val="-9"/>
          <w:w w:val="105"/>
        </w:rPr>
        <w:t> </w:t>
      </w:r>
      <w:r>
        <w:rPr>
          <w:w w:val="105"/>
        </w:rPr>
        <w:t>$1.5</w:t>
      </w:r>
      <w:r>
        <w:rPr>
          <w:spacing w:val="-9"/>
          <w:w w:val="105"/>
        </w:rPr>
        <w:t> </w:t>
      </w:r>
      <w:r>
        <w:rPr>
          <w:w w:val="105"/>
        </w:rPr>
        <w:t>billion</w:t>
      </w:r>
      <w:r>
        <w:rPr>
          <w:spacing w:val="-9"/>
          <w:w w:val="105"/>
        </w:rPr>
        <w:t> </w:t>
      </w:r>
      <w:r>
        <w:rPr>
          <w:w w:val="105"/>
        </w:rPr>
        <w:t>Revolving</w:t>
      </w:r>
      <w:r>
        <w:rPr>
          <w:spacing w:val="-9"/>
          <w:w w:val="105"/>
        </w:rPr>
        <w:t> </w:t>
      </w:r>
      <w:r>
        <w:rPr>
          <w:w w:val="105"/>
        </w:rPr>
        <w:t>Credit</w:t>
      </w:r>
      <w:r>
        <w:rPr>
          <w:spacing w:val="-9"/>
          <w:w w:val="105"/>
        </w:rPr>
        <w:t> </w:t>
      </w:r>
      <w:r>
        <w:rPr>
          <w:w w:val="105"/>
        </w:rPr>
        <w:t>Agreement</w:t>
      </w:r>
      <w:r>
        <w:rPr>
          <w:spacing w:val="-9"/>
          <w:w w:val="105"/>
        </w:rPr>
        <w:t> </w:t>
      </w:r>
      <w:r>
        <w:rPr>
          <w:w w:val="105"/>
        </w:rPr>
        <w:t>is</w:t>
      </w:r>
      <w:r>
        <w:rPr>
          <w:spacing w:val="-9"/>
          <w:w w:val="105"/>
        </w:rPr>
        <w:t> </w:t>
      </w:r>
      <w:r>
        <w:rPr>
          <w:w w:val="105"/>
        </w:rPr>
        <w:t>available</w:t>
      </w:r>
      <w:r>
        <w:rPr>
          <w:spacing w:val="-7"/>
          <w:w w:val="105"/>
        </w:rPr>
        <w:t> </w:t>
      </w:r>
      <w:r>
        <w:rPr>
          <w:w w:val="105"/>
        </w:rPr>
        <w:t>to</w:t>
      </w:r>
      <w:r>
        <w:rPr>
          <w:spacing w:val="-9"/>
          <w:w w:val="105"/>
        </w:rPr>
        <w:t> </w:t>
      </w:r>
      <w:r>
        <w:rPr>
          <w:w w:val="105"/>
        </w:rPr>
        <w:t>support</w:t>
      </w:r>
      <w:r>
        <w:rPr>
          <w:spacing w:val="-9"/>
          <w:w w:val="105"/>
        </w:rPr>
        <w:t> </w:t>
      </w:r>
      <w:r>
        <w:rPr>
          <w:w w:val="105"/>
        </w:rPr>
        <w:t>obligations</w:t>
      </w:r>
      <w:r>
        <w:rPr>
          <w:spacing w:val="-9"/>
          <w:w w:val="105"/>
        </w:rPr>
        <w:t> </w:t>
      </w:r>
      <w:r>
        <w:rPr>
          <w:w w:val="105"/>
        </w:rPr>
        <w:t>under</w:t>
      </w:r>
      <w:r>
        <w:rPr>
          <w:spacing w:val="-9"/>
          <w:w w:val="105"/>
        </w:rPr>
        <w:t> </w:t>
      </w:r>
      <w:r>
        <w:rPr>
          <w:w w:val="105"/>
        </w:rPr>
        <w:t>the</w:t>
      </w:r>
      <w:r>
        <w:rPr>
          <w:spacing w:val="-9"/>
          <w:w w:val="105"/>
        </w:rPr>
        <w:t> </w:t>
      </w:r>
      <w:r>
        <w:rPr>
          <w:w w:val="105"/>
        </w:rPr>
        <w:t>commercial</w:t>
      </w:r>
      <w:r>
        <w:rPr>
          <w:spacing w:val="-9"/>
          <w:w w:val="105"/>
        </w:rPr>
        <w:t> </w:t>
      </w:r>
      <w:r>
        <w:rPr>
          <w:w w:val="105"/>
        </w:rPr>
        <w:t>paper</w:t>
      </w:r>
      <w:r>
        <w:rPr>
          <w:spacing w:val="-9"/>
          <w:w w:val="105"/>
        </w:rPr>
        <w:t> </w:t>
      </w:r>
      <w:r>
        <w:rPr>
          <w:w w:val="105"/>
        </w:rPr>
        <w:t>program</w:t>
      </w:r>
      <w:r>
        <w:rPr>
          <w:spacing w:val="-9"/>
          <w:w w:val="105"/>
        </w:rPr>
        <w:t> </w:t>
      </w:r>
      <w:r>
        <w:rPr>
          <w:w w:val="105"/>
        </w:rPr>
        <w:t>and</w:t>
      </w:r>
      <w:r>
        <w:rPr>
          <w:spacing w:val="-9"/>
          <w:w w:val="105"/>
        </w:rPr>
        <w:t> </w:t>
      </w:r>
      <w:r>
        <w:rPr>
          <w:w w:val="105"/>
        </w:rPr>
        <w:t>for</w:t>
      </w:r>
      <w:r>
        <w:rPr>
          <w:spacing w:val="-9"/>
          <w:w w:val="105"/>
        </w:rPr>
        <w:t> </w:t>
      </w:r>
      <w:r>
        <w:rPr>
          <w:w w:val="105"/>
        </w:rPr>
        <w:t>general</w:t>
      </w:r>
      <w:r>
        <w:rPr>
          <w:spacing w:val="-9"/>
          <w:w w:val="105"/>
        </w:rPr>
        <w:t> </w:t>
      </w:r>
      <w:r>
        <w:rPr>
          <w:w w:val="105"/>
        </w:rPr>
        <w:t>corporate</w:t>
      </w:r>
      <w:r>
        <w:rPr>
          <w:spacing w:val="-9"/>
          <w:w w:val="105"/>
        </w:rPr>
        <w:t> </w:t>
      </w:r>
      <w:r>
        <w:rPr>
          <w:w w:val="105"/>
        </w:rPr>
        <w:t>purposes,</w:t>
      </w:r>
      <w:r>
        <w:rPr>
          <w:spacing w:val="-9"/>
          <w:w w:val="105"/>
        </w:rPr>
        <w:t> </w:t>
      </w:r>
      <w:r>
        <w:rPr>
          <w:w w:val="105"/>
        </w:rPr>
        <w:t>if needed.</w:t>
      </w:r>
      <w:r>
        <w:rPr>
          <w:spacing w:val="40"/>
          <w:w w:val="105"/>
        </w:rPr>
        <w:t> </w:t>
      </w:r>
      <w:r>
        <w:rPr>
          <w:w w:val="105"/>
        </w:rPr>
        <w:t>At December 31, 2021, Corning did not have any amounts outstanding under the Revolving Credit Agreement.</w:t>
      </w:r>
    </w:p>
    <w:p>
      <w:pPr>
        <w:pStyle w:val="BodyText"/>
      </w:pPr>
    </w:p>
    <w:p>
      <w:pPr>
        <w:pStyle w:val="BodyText"/>
        <w:spacing w:before="38"/>
      </w:pPr>
    </w:p>
    <w:p>
      <w:pPr>
        <w:pStyle w:val="BodyText"/>
        <w:spacing w:before="1"/>
        <w:ind w:left="48"/>
        <w:jc w:val="center"/>
      </w:pPr>
      <w:r>
        <w:rPr>
          <w:spacing w:val="-5"/>
          <w:w w:val="105"/>
        </w:rPr>
        <w:t>41</w:t>
      </w:r>
    </w:p>
    <w:p>
      <w:pPr>
        <w:pStyle w:val="BodyText"/>
        <w:spacing w:before="11"/>
        <w:rPr>
          <w:sz w:val="5"/>
        </w:rPr>
      </w:pPr>
      <w:r>
        <w:rPr/>
        <mc:AlternateContent>
          <mc:Choice Requires="wps">
            <w:drawing>
              <wp:anchor distT="0" distB="0" distL="0" distR="0" allowOverlap="1" layoutInCell="1" locked="0" behindDoc="1" simplePos="0" relativeHeight="487620096">
                <wp:simplePos x="0" y="0"/>
                <wp:positionH relativeFrom="page">
                  <wp:posOffset>226488</wp:posOffset>
                </wp:positionH>
                <wp:positionV relativeFrom="paragraph">
                  <wp:posOffset>58734</wp:posOffset>
                </wp:positionV>
                <wp:extent cx="7312659" cy="1651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96384;mso-wrap-distance-left:0;mso-wrap-distance-right:0" id="docshape72"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spacing w:before="0"/>
        <w:ind w:left="156" w:right="0" w:firstLine="0"/>
        <w:jc w:val="left"/>
        <w:rPr>
          <w:i/>
          <w:sz w:val="16"/>
        </w:rPr>
      </w:pPr>
      <w:r>
        <w:rPr>
          <w:i/>
          <w:w w:val="105"/>
          <w:sz w:val="16"/>
        </w:rPr>
        <w:t>Share</w:t>
      </w:r>
      <w:r>
        <w:rPr>
          <w:i/>
          <w:spacing w:val="-9"/>
          <w:w w:val="105"/>
          <w:sz w:val="16"/>
        </w:rPr>
        <w:t> </w:t>
      </w:r>
      <w:r>
        <w:rPr>
          <w:i/>
          <w:spacing w:val="-2"/>
          <w:w w:val="105"/>
          <w:sz w:val="16"/>
        </w:rPr>
        <w:t>Repurchases</w:t>
      </w:r>
    </w:p>
    <w:p>
      <w:pPr>
        <w:pStyle w:val="BodyText"/>
        <w:spacing w:before="40"/>
        <w:rPr>
          <w:i/>
        </w:rPr>
      </w:pPr>
    </w:p>
    <w:p>
      <w:pPr>
        <w:pStyle w:val="BodyText"/>
        <w:spacing w:line="266" w:lineRule="auto"/>
        <w:ind w:left="156"/>
      </w:pPr>
      <w:r>
        <w:rPr>
          <w:w w:val="105"/>
        </w:rPr>
        <w:t>During</w:t>
      </w:r>
      <w:r>
        <w:rPr>
          <w:spacing w:val="-8"/>
          <w:w w:val="105"/>
        </w:rPr>
        <w:t> </w:t>
      </w:r>
      <w:r>
        <w:rPr>
          <w:w w:val="105"/>
        </w:rPr>
        <w:t>the</w:t>
      </w:r>
      <w:r>
        <w:rPr>
          <w:spacing w:val="-8"/>
          <w:w w:val="105"/>
        </w:rPr>
        <w:t> </w:t>
      </w:r>
      <w:r>
        <w:rPr>
          <w:w w:val="105"/>
        </w:rPr>
        <w:t>years</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and</w:t>
      </w:r>
      <w:r>
        <w:rPr>
          <w:spacing w:val="-8"/>
          <w:w w:val="105"/>
        </w:rPr>
        <w:t> </w:t>
      </w:r>
      <w:r>
        <w:rPr>
          <w:w w:val="105"/>
        </w:rPr>
        <w:t>2020,</w:t>
      </w:r>
      <w:r>
        <w:rPr>
          <w:spacing w:val="-8"/>
          <w:w w:val="105"/>
        </w:rPr>
        <w:t> </w:t>
      </w:r>
      <w:r>
        <w:rPr>
          <w:w w:val="105"/>
        </w:rPr>
        <w:t>the</w:t>
      </w:r>
      <w:r>
        <w:rPr>
          <w:spacing w:val="-8"/>
          <w:w w:val="105"/>
        </w:rPr>
        <w:t> </w:t>
      </w:r>
      <w:r>
        <w:rPr>
          <w:w w:val="105"/>
        </w:rPr>
        <w:t>Company</w:t>
      </w:r>
      <w:r>
        <w:rPr>
          <w:spacing w:val="-8"/>
          <w:w w:val="105"/>
        </w:rPr>
        <w:t> </w:t>
      </w:r>
      <w:r>
        <w:rPr>
          <w:w w:val="105"/>
        </w:rPr>
        <w:t>repurchased</w:t>
      </w:r>
      <w:r>
        <w:rPr>
          <w:spacing w:val="-8"/>
          <w:w w:val="105"/>
        </w:rPr>
        <w:t> </w:t>
      </w:r>
      <w:r>
        <w:rPr>
          <w:w w:val="105"/>
        </w:rPr>
        <w:t>7.3</w:t>
      </w:r>
      <w:r>
        <w:rPr>
          <w:spacing w:val="-8"/>
          <w:w w:val="105"/>
        </w:rPr>
        <w:t> </w:t>
      </w:r>
      <w:r>
        <w:rPr>
          <w:w w:val="105"/>
        </w:rPr>
        <w:t>million</w:t>
      </w:r>
      <w:r>
        <w:rPr>
          <w:spacing w:val="-8"/>
          <w:w w:val="105"/>
        </w:rPr>
        <w:t> </w:t>
      </w:r>
      <w:r>
        <w:rPr>
          <w:w w:val="105"/>
        </w:rPr>
        <w:t>and</w:t>
      </w:r>
      <w:r>
        <w:rPr>
          <w:spacing w:val="-8"/>
          <w:w w:val="105"/>
        </w:rPr>
        <w:t> </w:t>
      </w:r>
      <w:r>
        <w:rPr>
          <w:w w:val="105"/>
        </w:rPr>
        <w:t>4.1</w:t>
      </w:r>
      <w:r>
        <w:rPr>
          <w:spacing w:val="-8"/>
          <w:w w:val="105"/>
        </w:rPr>
        <w:t> </w:t>
      </w:r>
      <w:r>
        <w:rPr>
          <w:w w:val="105"/>
        </w:rPr>
        <w:t>million</w:t>
      </w:r>
      <w:r>
        <w:rPr>
          <w:spacing w:val="-8"/>
          <w:w w:val="105"/>
        </w:rPr>
        <w:t> </w:t>
      </w:r>
      <w:r>
        <w:rPr>
          <w:w w:val="105"/>
        </w:rPr>
        <w:t>shares</w:t>
      </w:r>
      <w:r>
        <w:rPr>
          <w:spacing w:val="-8"/>
          <w:w w:val="105"/>
        </w:rPr>
        <w:t> </w:t>
      </w:r>
      <w:r>
        <w:rPr>
          <w:w w:val="105"/>
        </w:rPr>
        <w:t>of</w:t>
      </w:r>
      <w:r>
        <w:rPr>
          <w:spacing w:val="-6"/>
          <w:w w:val="105"/>
        </w:rPr>
        <w:t> </w:t>
      </w:r>
      <w:r>
        <w:rPr>
          <w:w w:val="105"/>
        </w:rPr>
        <w:t>common</w:t>
      </w:r>
      <w:r>
        <w:rPr>
          <w:spacing w:val="-8"/>
          <w:w w:val="105"/>
        </w:rPr>
        <w:t> </w:t>
      </w:r>
      <w:r>
        <w:rPr>
          <w:w w:val="105"/>
        </w:rPr>
        <w:t>stock,</w:t>
      </w:r>
      <w:r>
        <w:rPr>
          <w:spacing w:val="-8"/>
          <w:w w:val="105"/>
        </w:rPr>
        <w:t> </w:t>
      </w:r>
      <w:r>
        <w:rPr>
          <w:w w:val="105"/>
        </w:rPr>
        <w:t>respectively,</w:t>
      </w:r>
      <w:r>
        <w:rPr>
          <w:spacing w:val="-8"/>
          <w:w w:val="105"/>
        </w:rPr>
        <w:t> </w:t>
      </w:r>
      <w:r>
        <w:rPr>
          <w:w w:val="105"/>
        </w:rPr>
        <w:t>on</w:t>
      </w:r>
      <w:r>
        <w:rPr>
          <w:spacing w:val="-6"/>
          <w:w w:val="105"/>
        </w:rPr>
        <w:t> </w:t>
      </w:r>
      <w:r>
        <w:rPr>
          <w:w w:val="105"/>
        </w:rPr>
        <w:t>the</w:t>
      </w:r>
      <w:r>
        <w:rPr>
          <w:spacing w:val="-8"/>
          <w:w w:val="105"/>
        </w:rPr>
        <w:t> </w:t>
      </w:r>
      <w:r>
        <w:rPr>
          <w:w w:val="105"/>
        </w:rPr>
        <w:t>open</w:t>
      </w:r>
      <w:r>
        <w:rPr>
          <w:spacing w:val="-8"/>
          <w:w w:val="105"/>
        </w:rPr>
        <w:t> </w:t>
      </w:r>
      <w:r>
        <w:rPr>
          <w:w w:val="105"/>
        </w:rPr>
        <w:t>market</w:t>
      </w:r>
      <w:r>
        <w:rPr>
          <w:spacing w:val="-8"/>
          <w:w w:val="105"/>
        </w:rPr>
        <w:t> </w:t>
      </w:r>
      <w:r>
        <w:rPr>
          <w:w w:val="105"/>
        </w:rPr>
        <w:t>for approximately $274 million and $105 million as part of its 2018 and 2019 Repurchase Programs.</w:t>
      </w:r>
    </w:p>
    <w:p>
      <w:pPr>
        <w:pStyle w:val="BodyText"/>
        <w:spacing w:before="19"/>
      </w:pPr>
    </w:p>
    <w:p>
      <w:pPr>
        <w:pStyle w:val="BodyText"/>
        <w:spacing w:line="266" w:lineRule="auto"/>
        <w:ind w:left="156" w:right="228"/>
      </w:pPr>
      <w:r>
        <w:rPr>
          <w:w w:val="105"/>
        </w:rPr>
        <w:t>On</w:t>
      </w:r>
      <w:r>
        <w:rPr>
          <w:spacing w:val="-1"/>
          <w:w w:val="105"/>
        </w:rPr>
        <w:t> </w:t>
      </w:r>
      <w:r>
        <w:rPr>
          <w:w w:val="105"/>
        </w:rPr>
        <w:t>April</w:t>
      </w:r>
      <w:r>
        <w:rPr>
          <w:spacing w:val="-1"/>
          <w:w w:val="105"/>
        </w:rPr>
        <w:t> </w:t>
      </w:r>
      <w:r>
        <w:rPr>
          <w:w w:val="105"/>
        </w:rPr>
        <w:t>8,</w:t>
      </w:r>
      <w:r>
        <w:rPr>
          <w:spacing w:val="-1"/>
          <w:w w:val="105"/>
        </w:rPr>
        <w:t> </w:t>
      </w:r>
      <w:r>
        <w:rPr>
          <w:w w:val="105"/>
        </w:rPr>
        <w:t>2021,</w:t>
      </w:r>
      <w:r>
        <w:rPr>
          <w:spacing w:val="-1"/>
          <w:w w:val="105"/>
        </w:rPr>
        <w:t> </w:t>
      </w:r>
      <w:r>
        <w:rPr>
          <w:w w:val="105"/>
        </w:rPr>
        <w:t>the</w:t>
      </w:r>
      <w:r>
        <w:rPr>
          <w:spacing w:val="-1"/>
          <w:w w:val="105"/>
        </w:rPr>
        <w:t> </w:t>
      </w:r>
      <w:r>
        <w:rPr>
          <w:w w:val="105"/>
        </w:rPr>
        <w:t>Company</w:t>
      </w:r>
      <w:r>
        <w:rPr>
          <w:spacing w:val="-1"/>
          <w:w w:val="105"/>
        </w:rPr>
        <w:t> </w:t>
      </w:r>
      <w:r>
        <w:rPr>
          <w:w w:val="105"/>
        </w:rPr>
        <w:t>repurchased</w:t>
      </w:r>
      <w:r>
        <w:rPr>
          <w:spacing w:val="-1"/>
          <w:w w:val="105"/>
        </w:rPr>
        <w:t> </w:t>
      </w:r>
      <w:r>
        <w:rPr>
          <w:w w:val="105"/>
        </w:rPr>
        <w:t>35</w:t>
      </w:r>
      <w:r>
        <w:rPr>
          <w:spacing w:val="-1"/>
          <w:w w:val="105"/>
        </w:rPr>
        <w:t> </w:t>
      </w:r>
      <w:r>
        <w:rPr>
          <w:w w:val="105"/>
        </w:rPr>
        <w:t>million</w:t>
      </w:r>
      <w:r>
        <w:rPr>
          <w:spacing w:val="-1"/>
          <w:w w:val="105"/>
        </w:rPr>
        <w:t> </w:t>
      </w:r>
      <w:r>
        <w:rPr>
          <w:w w:val="105"/>
        </w:rPr>
        <w:t>shares</w:t>
      </w:r>
      <w:r>
        <w:rPr>
          <w:spacing w:val="-1"/>
          <w:w w:val="105"/>
        </w:rPr>
        <w:t> </w:t>
      </w:r>
      <w:r>
        <w:rPr>
          <w:w w:val="105"/>
        </w:rPr>
        <w:t>of</w:t>
      </w:r>
      <w:r>
        <w:rPr>
          <w:spacing w:val="-1"/>
          <w:w w:val="105"/>
        </w:rPr>
        <w:t> </w:t>
      </w:r>
      <w:r>
        <w:rPr>
          <w:w w:val="105"/>
        </w:rPr>
        <w:t>common</w:t>
      </w:r>
      <w:r>
        <w:rPr>
          <w:spacing w:val="-1"/>
          <w:w w:val="105"/>
        </w:rPr>
        <w:t> </w:t>
      </w:r>
      <w:r>
        <w:rPr>
          <w:w w:val="105"/>
        </w:rPr>
        <w:t>stock,</w:t>
      </w:r>
      <w:r>
        <w:rPr>
          <w:spacing w:val="-1"/>
          <w:w w:val="105"/>
        </w:rPr>
        <w:t> </w:t>
      </w:r>
      <w:r>
        <w:rPr>
          <w:w w:val="105"/>
        </w:rPr>
        <w:t>under</w:t>
      </w:r>
      <w:r>
        <w:rPr>
          <w:spacing w:val="-1"/>
          <w:w w:val="105"/>
        </w:rPr>
        <w:t> </w:t>
      </w:r>
      <w:r>
        <w:rPr>
          <w:w w:val="105"/>
        </w:rPr>
        <w:t>the</w:t>
      </w:r>
      <w:r>
        <w:rPr>
          <w:spacing w:val="-1"/>
          <w:w w:val="105"/>
        </w:rPr>
        <w:t> </w:t>
      </w:r>
      <w:r>
        <w:rPr>
          <w:w w:val="105"/>
        </w:rPr>
        <w:t>2018</w:t>
      </w:r>
      <w:r>
        <w:rPr>
          <w:spacing w:val="-1"/>
          <w:w w:val="105"/>
        </w:rPr>
        <w:t> </w:t>
      </w:r>
      <w:r>
        <w:rPr>
          <w:w w:val="105"/>
        </w:rPr>
        <w:t>and</w:t>
      </w:r>
      <w:r>
        <w:rPr>
          <w:spacing w:val="-1"/>
          <w:w w:val="105"/>
        </w:rPr>
        <w:t> </w:t>
      </w:r>
      <w:r>
        <w:rPr>
          <w:w w:val="105"/>
        </w:rPr>
        <w:t>2019</w:t>
      </w:r>
      <w:r>
        <w:rPr>
          <w:spacing w:val="-1"/>
          <w:w w:val="105"/>
        </w:rPr>
        <w:t> </w:t>
      </w:r>
      <w:r>
        <w:rPr>
          <w:w w:val="105"/>
        </w:rPr>
        <w:t>Repurchase</w:t>
      </w:r>
      <w:r>
        <w:rPr>
          <w:spacing w:val="-1"/>
          <w:w w:val="105"/>
        </w:rPr>
        <w:t> </w:t>
      </w:r>
      <w:r>
        <w:rPr>
          <w:w w:val="105"/>
        </w:rPr>
        <w:t>Programs.</w:t>
      </w:r>
      <w:r>
        <w:rPr>
          <w:spacing w:val="40"/>
          <w:w w:val="105"/>
        </w:rPr>
        <w:t> </w:t>
      </w:r>
      <w:r>
        <w:rPr>
          <w:w w:val="105"/>
        </w:rPr>
        <w:t>These</w:t>
      </w:r>
      <w:r>
        <w:rPr>
          <w:spacing w:val="-1"/>
          <w:w w:val="105"/>
        </w:rPr>
        <w:t> </w:t>
      </w:r>
      <w:r>
        <w:rPr>
          <w:w w:val="105"/>
        </w:rPr>
        <w:t>shares</w:t>
      </w:r>
      <w:r>
        <w:rPr>
          <w:spacing w:val="-1"/>
          <w:w w:val="105"/>
        </w:rPr>
        <w:t> </w:t>
      </w:r>
      <w:r>
        <w:rPr>
          <w:w w:val="105"/>
        </w:rPr>
        <w:t>were</w:t>
      </w:r>
      <w:r>
        <w:rPr>
          <w:spacing w:val="-1"/>
          <w:w w:val="105"/>
        </w:rPr>
        <w:t> </w:t>
      </w:r>
      <w:r>
        <w:rPr>
          <w:w w:val="105"/>
        </w:rPr>
        <w:t>repurchased immediately</w:t>
      </w:r>
      <w:r>
        <w:rPr>
          <w:spacing w:val="-9"/>
          <w:w w:val="105"/>
        </w:rPr>
        <w:t> </w:t>
      </w:r>
      <w:r>
        <w:rPr>
          <w:w w:val="105"/>
        </w:rPr>
        <w:t>following</w:t>
      </w:r>
      <w:r>
        <w:rPr>
          <w:spacing w:val="-7"/>
          <w:w w:val="105"/>
        </w:rPr>
        <w:t> </w:t>
      </w:r>
      <w:r>
        <w:rPr>
          <w:w w:val="105"/>
        </w:rPr>
        <w:t>the</w:t>
      </w:r>
      <w:r>
        <w:rPr>
          <w:spacing w:val="-9"/>
          <w:w w:val="105"/>
        </w:rPr>
        <w:t> </w:t>
      </w:r>
      <w:r>
        <w:rPr>
          <w:w w:val="105"/>
        </w:rPr>
        <w:t>conversion</w:t>
      </w:r>
      <w:r>
        <w:rPr>
          <w:spacing w:val="-9"/>
          <w:w w:val="105"/>
        </w:rPr>
        <w:t> </w:t>
      </w:r>
      <w:r>
        <w:rPr>
          <w:w w:val="105"/>
        </w:rPr>
        <w:t>of</w:t>
      </w:r>
      <w:r>
        <w:rPr>
          <w:spacing w:val="-9"/>
          <w:w w:val="105"/>
        </w:rPr>
        <w:t> </w:t>
      </w:r>
      <w:r>
        <w:rPr>
          <w:w w:val="105"/>
        </w:rPr>
        <w:t>Preferred</w:t>
      </w:r>
      <w:r>
        <w:rPr>
          <w:spacing w:val="-9"/>
          <w:w w:val="105"/>
        </w:rPr>
        <w:t> </w:t>
      </w:r>
      <w:r>
        <w:rPr>
          <w:w w:val="105"/>
        </w:rPr>
        <w:t>Stock,</w:t>
      </w:r>
      <w:r>
        <w:rPr>
          <w:spacing w:val="-9"/>
          <w:w w:val="105"/>
        </w:rPr>
        <w:t> </w:t>
      </w:r>
      <w:r>
        <w:rPr>
          <w:w w:val="105"/>
        </w:rPr>
        <w:t>for</w:t>
      </w:r>
      <w:r>
        <w:rPr>
          <w:spacing w:val="-9"/>
          <w:w w:val="105"/>
        </w:rPr>
        <w:t> </w:t>
      </w:r>
      <w:r>
        <w:rPr>
          <w:w w:val="105"/>
        </w:rPr>
        <w:t>an</w:t>
      </w:r>
      <w:r>
        <w:rPr>
          <w:spacing w:val="-9"/>
          <w:w w:val="105"/>
        </w:rPr>
        <w:t> </w:t>
      </w:r>
      <w:r>
        <w:rPr>
          <w:w w:val="105"/>
        </w:rPr>
        <w:t>aggregate</w:t>
      </w:r>
      <w:r>
        <w:rPr>
          <w:spacing w:val="-9"/>
          <w:w w:val="105"/>
        </w:rPr>
        <w:t> </w:t>
      </w:r>
      <w:r>
        <w:rPr>
          <w:w w:val="105"/>
        </w:rPr>
        <w:t>purchase</w:t>
      </w:r>
      <w:r>
        <w:rPr>
          <w:spacing w:val="-9"/>
          <w:w w:val="105"/>
        </w:rPr>
        <w:t> </w:t>
      </w:r>
      <w:r>
        <w:rPr>
          <w:w w:val="105"/>
        </w:rPr>
        <w:t>price</w:t>
      </w:r>
      <w:r>
        <w:rPr>
          <w:spacing w:val="-9"/>
          <w:w w:val="105"/>
        </w:rPr>
        <w:t> </w:t>
      </w:r>
      <w:r>
        <w:rPr>
          <w:w w:val="105"/>
        </w:rPr>
        <w:t>of</w:t>
      </w:r>
      <w:r>
        <w:rPr>
          <w:spacing w:val="-9"/>
          <w:w w:val="105"/>
        </w:rPr>
        <w:t> </w:t>
      </w:r>
      <w:r>
        <w:rPr>
          <w:w w:val="105"/>
        </w:rPr>
        <w:t>approximately</w:t>
      </w:r>
      <w:r>
        <w:rPr>
          <w:spacing w:val="-9"/>
          <w:w w:val="105"/>
        </w:rPr>
        <w:t> </w:t>
      </w:r>
      <w:r>
        <w:rPr>
          <w:w w:val="105"/>
        </w:rPr>
        <w:t>$1.5</w:t>
      </w:r>
      <w:r>
        <w:rPr>
          <w:spacing w:val="-9"/>
          <w:w w:val="105"/>
        </w:rPr>
        <w:t> </w:t>
      </w:r>
      <w:r>
        <w:rPr>
          <w:w w:val="105"/>
        </w:rPr>
        <w:t>billion,</w:t>
      </w:r>
      <w:r>
        <w:rPr>
          <w:spacing w:val="-9"/>
          <w:w w:val="105"/>
        </w:rPr>
        <w:t> </w:t>
      </w:r>
      <w:r>
        <w:rPr>
          <w:w w:val="105"/>
        </w:rPr>
        <w:t>of</w:t>
      </w:r>
      <w:r>
        <w:rPr>
          <w:spacing w:val="-9"/>
          <w:w w:val="105"/>
        </w:rPr>
        <w:t> </w:t>
      </w:r>
      <w:r>
        <w:rPr>
          <w:w w:val="105"/>
        </w:rPr>
        <w:t>which</w:t>
      </w:r>
      <w:r>
        <w:rPr>
          <w:spacing w:val="-9"/>
          <w:w w:val="105"/>
        </w:rPr>
        <w:t> </w:t>
      </w:r>
      <w:r>
        <w:rPr>
          <w:w w:val="105"/>
        </w:rPr>
        <w:t>approximately</w:t>
      </w:r>
      <w:r>
        <w:rPr>
          <w:spacing w:val="-9"/>
          <w:w w:val="105"/>
        </w:rPr>
        <w:t> </w:t>
      </w:r>
      <w:r>
        <w:rPr>
          <w:w w:val="105"/>
        </w:rPr>
        <w:t>$507</w:t>
      </w:r>
      <w:r>
        <w:rPr>
          <w:spacing w:val="-9"/>
          <w:w w:val="105"/>
        </w:rPr>
        <w:t> </w:t>
      </w:r>
      <w:r>
        <w:rPr>
          <w:w w:val="105"/>
        </w:rPr>
        <w:t>million</w:t>
      </w:r>
      <w:r>
        <w:rPr>
          <w:spacing w:val="-9"/>
          <w:w w:val="105"/>
        </w:rPr>
        <w:t> </w:t>
      </w:r>
      <w:r>
        <w:rPr>
          <w:w w:val="105"/>
        </w:rPr>
        <w:t>was</w:t>
      </w:r>
      <w:r>
        <w:rPr>
          <w:spacing w:val="-9"/>
          <w:w w:val="105"/>
        </w:rPr>
        <w:t> </w:t>
      </w:r>
      <w:r>
        <w:rPr>
          <w:w w:val="105"/>
        </w:rPr>
        <w:t>paid</w:t>
      </w:r>
      <w:r>
        <w:rPr>
          <w:spacing w:val="-9"/>
          <w:w w:val="105"/>
        </w:rPr>
        <w:t> </w:t>
      </w:r>
      <w:r>
        <w:rPr>
          <w:w w:val="105"/>
        </w:rPr>
        <w:t>on the</w:t>
      </w:r>
      <w:r>
        <w:rPr>
          <w:spacing w:val="-2"/>
          <w:w w:val="105"/>
        </w:rPr>
        <w:t> </w:t>
      </w:r>
      <w:r>
        <w:rPr>
          <w:w w:val="105"/>
        </w:rPr>
        <w:t>Initial</w:t>
      </w:r>
      <w:r>
        <w:rPr>
          <w:spacing w:val="-2"/>
          <w:w w:val="105"/>
        </w:rPr>
        <w:t> </w:t>
      </w:r>
      <w:r>
        <w:rPr>
          <w:w w:val="105"/>
        </w:rPr>
        <w:t>Closing</w:t>
      </w:r>
      <w:r>
        <w:rPr>
          <w:spacing w:val="-2"/>
          <w:w w:val="105"/>
        </w:rPr>
        <w:t> </w:t>
      </w:r>
      <w:r>
        <w:rPr>
          <w:w w:val="105"/>
        </w:rPr>
        <w:t>Date.</w:t>
      </w:r>
      <w:r>
        <w:rPr>
          <w:spacing w:val="-2"/>
          <w:w w:val="105"/>
        </w:rPr>
        <w:t> </w:t>
      </w:r>
      <w:r>
        <w:rPr>
          <w:w w:val="105"/>
        </w:rPr>
        <w:t>Subsequent</w:t>
      </w:r>
      <w:r>
        <w:rPr>
          <w:spacing w:val="-2"/>
          <w:w w:val="105"/>
        </w:rPr>
        <w:t> </w:t>
      </w:r>
      <w:r>
        <w:rPr>
          <w:w w:val="105"/>
        </w:rPr>
        <w:t>payments</w:t>
      </w:r>
      <w:r>
        <w:rPr>
          <w:spacing w:val="-2"/>
          <w:w w:val="105"/>
        </w:rPr>
        <w:t> </w:t>
      </w:r>
      <w:r>
        <w:rPr>
          <w:w w:val="105"/>
        </w:rPr>
        <w:t>of</w:t>
      </w:r>
      <w:r>
        <w:rPr>
          <w:spacing w:val="-2"/>
          <w:w w:val="105"/>
        </w:rPr>
        <w:t> </w:t>
      </w:r>
      <w:r>
        <w:rPr>
          <w:w w:val="105"/>
        </w:rPr>
        <w:t>approximately</w:t>
      </w:r>
      <w:r>
        <w:rPr>
          <w:spacing w:val="-2"/>
          <w:w w:val="105"/>
        </w:rPr>
        <w:t> </w:t>
      </w:r>
      <w:r>
        <w:rPr>
          <w:w w:val="105"/>
        </w:rPr>
        <w:t>$507</w:t>
      </w:r>
      <w:r>
        <w:rPr>
          <w:spacing w:val="-2"/>
          <w:w w:val="105"/>
        </w:rPr>
        <w:t> </w:t>
      </w:r>
      <w:r>
        <w:rPr>
          <w:w w:val="105"/>
        </w:rPr>
        <w:t>million</w:t>
      </w:r>
      <w:r>
        <w:rPr>
          <w:spacing w:val="-2"/>
          <w:w w:val="105"/>
        </w:rPr>
        <w:t> </w:t>
      </w:r>
      <w:r>
        <w:rPr>
          <w:w w:val="105"/>
        </w:rPr>
        <w:t>will</w:t>
      </w:r>
      <w:r>
        <w:rPr>
          <w:spacing w:val="-2"/>
          <w:w w:val="105"/>
        </w:rPr>
        <w:t> </w:t>
      </w:r>
      <w:r>
        <w:rPr>
          <w:w w:val="105"/>
        </w:rPr>
        <w:t>be</w:t>
      </w:r>
      <w:r>
        <w:rPr>
          <w:spacing w:val="-2"/>
          <w:w w:val="105"/>
        </w:rPr>
        <w:t> </w:t>
      </w:r>
      <w:r>
        <w:rPr>
          <w:w w:val="105"/>
        </w:rPr>
        <w:t>paid</w:t>
      </w:r>
      <w:r>
        <w:rPr>
          <w:spacing w:val="-2"/>
          <w:w w:val="105"/>
        </w:rPr>
        <w:t> </w:t>
      </w:r>
      <w:r>
        <w:rPr>
          <w:w w:val="105"/>
        </w:rPr>
        <w:t>on</w:t>
      </w:r>
      <w:r>
        <w:rPr>
          <w:spacing w:val="-2"/>
          <w:w w:val="105"/>
        </w:rPr>
        <w:t> </w:t>
      </w:r>
      <w:r>
        <w:rPr>
          <w:w w:val="105"/>
        </w:rPr>
        <w:t>each</w:t>
      </w:r>
      <w:r>
        <w:rPr>
          <w:spacing w:val="-2"/>
          <w:w w:val="105"/>
        </w:rPr>
        <w:t> </w:t>
      </w:r>
      <w:r>
        <w:rPr>
          <w:w w:val="105"/>
        </w:rPr>
        <w:t>of</w:t>
      </w:r>
      <w:r>
        <w:rPr>
          <w:spacing w:val="-2"/>
          <w:w w:val="105"/>
        </w:rPr>
        <w:t> </w:t>
      </w:r>
      <w:r>
        <w:rPr>
          <w:w w:val="105"/>
        </w:rPr>
        <w:t>the</w:t>
      </w:r>
      <w:r>
        <w:rPr>
          <w:spacing w:val="-2"/>
          <w:w w:val="105"/>
        </w:rPr>
        <w:t> </w:t>
      </w:r>
      <w:r>
        <w:rPr>
          <w:w w:val="105"/>
        </w:rPr>
        <w:t>first</w:t>
      </w:r>
      <w:r>
        <w:rPr>
          <w:spacing w:val="-2"/>
          <w:w w:val="105"/>
        </w:rPr>
        <w:t> </w:t>
      </w:r>
      <w:r>
        <w:rPr>
          <w:w w:val="105"/>
        </w:rPr>
        <w:t>and</w:t>
      </w:r>
      <w:r>
        <w:rPr>
          <w:spacing w:val="-2"/>
          <w:w w:val="105"/>
        </w:rPr>
        <w:t> </w:t>
      </w:r>
      <w:r>
        <w:rPr>
          <w:w w:val="105"/>
        </w:rPr>
        <w:t>second</w:t>
      </w:r>
      <w:r>
        <w:rPr>
          <w:spacing w:val="-2"/>
          <w:w w:val="105"/>
        </w:rPr>
        <w:t> </w:t>
      </w:r>
      <w:r>
        <w:rPr>
          <w:w w:val="105"/>
        </w:rPr>
        <w:t>anniversaries</w:t>
      </w:r>
      <w:r>
        <w:rPr>
          <w:spacing w:val="-2"/>
          <w:w w:val="105"/>
        </w:rPr>
        <w:t> </w:t>
      </w:r>
      <w:r>
        <w:rPr>
          <w:w w:val="105"/>
        </w:rPr>
        <w:t>of</w:t>
      </w:r>
      <w:r>
        <w:rPr>
          <w:spacing w:val="-2"/>
          <w:w w:val="105"/>
        </w:rPr>
        <w:t> </w:t>
      </w:r>
      <w:r>
        <w:rPr>
          <w:w w:val="105"/>
        </w:rPr>
        <w:t>the</w:t>
      </w:r>
      <w:r>
        <w:rPr>
          <w:spacing w:val="-2"/>
          <w:w w:val="105"/>
        </w:rPr>
        <w:t> </w:t>
      </w:r>
      <w:r>
        <w:rPr>
          <w:w w:val="105"/>
        </w:rPr>
        <w:t>Initial</w:t>
      </w:r>
      <w:r>
        <w:rPr>
          <w:spacing w:val="-2"/>
          <w:w w:val="105"/>
        </w:rPr>
        <w:t> </w:t>
      </w:r>
      <w:r>
        <w:rPr>
          <w:w w:val="105"/>
        </w:rPr>
        <w:t>Closing</w:t>
      </w:r>
      <w:r>
        <w:rPr>
          <w:spacing w:val="-2"/>
          <w:w w:val="105"/>
        </w:rPr>
        <w:t> </w:t>
      </w:r>
      <w:r>
        <w:rPr>
          <w:w w:val="105"/>
        </w:rPr>
        <w:t>Date.</w:t>
      </w:r>
    </w:p>
    <w:p>
      <w:pPr>
        <w:pStyle w:val="BodyText"/>
        <w:spacing w:before="18"/>
      </w:pPr>
    </w:p>
    <w:p>
      <w:pPr>
        <w:pStyle w:val="BodyText"/>
        <w:ind w:left="156"/>
      </w:pPr>
      <w:r>
        <w:rPr>
          <w:w w:val="105"/>
        </w:rPr>
        <w:t>Refer</w:t>
      </w:r>
      <w:r>
        <w:rPr>
          <w:spacing w:val="-10"/>
          <w:w w:val="105"/>
        </w:rPr>
        <w:t> </w:t>
      </w:r>
      <w:r>
        <w:rPr>
          <w:w w:val="105"/>
        </w:rPr>
        <w:t>to</w:t>
      </w:r>
      <w:r>
        <w:rPr>
          <w:spacing w:val="-10"/>
          <w:w w:val="105"/>
        </w:rPr>
        <w:t> </w:t>
      </w:r>
      <w:r>
        <w:rPr>
          <w:w w:val="105"/>
        </w:rPr>
        <w:t>Note</w:t>
      </w:r>
      <w:r>
        <w:rPr>
          <w:spacing w:val="-10"/>
          <w:w w:val="105"/>
        </w:rPr>
        <w:t> </w:t>
      </w:r>
      <w:r>
        <w:rPr>
          <w:w w:val="105"/>
        </w:rPr>
        <w:t>17</w:t>
      </w:r>
      <w:r>
        <w:rPr>
          <w:spacing w:val="-10"/>
          <w:w w:val="105"/>
        </w:rPr>
        <w:t> </w:t>
      </w:r>
      <w:r>
        <w:rPr>
          <w:w w:val="105"/>
        </w:rPr>
        <w:t>(Shareholders’</w:t>
      </w:r>
      <w:r>
        <w:rPr>
          <w:spacing w:val="-10"/>
          <w:w w:val="105"/>
        </w:rPr>
        <w:t> </w:t>
      </w:r>
      <w:r>
        <w:rPr>
          <w:w w:val="105"/>
        </w:rPr>
        <w:t>Equity)</w:t>
      </w:r>
      <w:r>
        <w:rPr>
          <w:spacing w:val="-10"/>
          <w:w w:val="105"/>
        </w:rPr>
        <w:t> </w:t>
      </w:r>
      <w:r>
        <w:rPr>
          <w:w w:val="105"/>
        </w:rPr>
        <w:t>to</w:t>
      </w:r>
      <w:r>
        <w:rPr>
          <w:spacing w:val="-10"/>
          <w:w w:val="105"/>
        </w:rPr>
        <w:t> </w:t>
      </w:r>
      <w:r>
        <w:rPr>
          <w:w w:val="105"/>
        </w:rPr>
        <w:t>the</w:t>
      </w:r>
      <w:r>
        <w:rPr>
          <w:spacing w:val="-10"/>
          <w:w w:val="105"/>
        </w:rPr>
        <w:t> </w:t>
      </w:r>
      <w:r>
        <w:rPr>
          <w:w w:val="105"/>
        </w:rPr>
        <w:t>consolidated</w:t>
      </w:r>
      <w:r>
        <w:rPr>
          <w:spacing w:val="-10"/>
          <w:w w:val="105"/>
        </w:rPr>
        <w:t> </w:t>
      </w:r>
      <w:r>
        <w:rPr>
          <w:w w:val="105"/>
        </w:rPr>
        <w:t>financial</w:t>
      </w:r>
      <w:r>
        <w:rPr>
          <w:spacing w:val="-10"/>
          <w:w w:val="105"/>
        </w:rPr>
        <w:t> </w:t>
      </w:r>
      <w:r>
        <w:rPr>
          <w:w w:val="105"/>
        </w:rPr>
        <w:t>statements</w:t>
      </w:r>
      <w:r>
        <w:rPr>
          <w:spacing w:val="-8"/>
          <w:w w:val="105"/>
        </w:rPr>
        <w:t> </w:t>
      </w:r>
      <w:r>
        <w:rPr>
          <w:w w:val="105"/>
        </w:rPr>
        <w:t>for</w:t>
      </w:r>
      <w:r>
        <w:rPr>
          <w:spacing w:val="-10"/>
          <w:w w:val="105"/>
        </w:rPr>
        <w:t> </w:t>
      </w:r>
      <w:r>
        <w:rPr>
          <w:w w:val="105"/>
        </w:rPr>
        <w:t>additional</w:t>
      </w:r>
      <w:r>
        <w:rPr>
          <w:spacing w:val="-10"/>
          <w:w w:val="105"/>
        </w:rPr>
        <w:t> </w:t>
      </w:r>
      <w:r>
        <w:rPr>
          <w:spacing w:val="-2"/>
          <w:w w:val="105"/>
        </w:rPr>
        <w:t>information.</w:t>
      </w:r>
    </w:p>
    <w:p>
      <w:pPr>
        <w:pStyle w:val="BodyText"/>
        <w:spacing w:before="40"/>
      </w:pPr>
    </w:p>
    <w:p>
      <w:pPr>
        <w:spacing w:before="0"/>
        <w:ind w:left="156" w:right="0" w:firstLine="0"/>
        <w:jc w:val="left"/>
        <w:rPr>
          <w:i/>
          <w:sz w:val="16"/>
        </w:rPr>
      </w:pPr>
      <w:r>
        <w:rPr>
          <w:i/>
          <w:spacing w:val="-2"/>
          <w:w w:val="105"/>
          <w:sz w:val="16"/>
        </w:rPr>
        <w:t>Other</w:t>
      </w:r>
    </w:p>
    <w:p>
      <w:pPr>
        <w:pStyle w:val="BodyText"/>
        <w:spacing w:before="40"/>
        <w:rPr>
          <w:i/>
        </w:rPr>
      </w:pPr>
    </w:p>
    <w:p>
      <w:pPr>
        <w:pStyle w:val="BodyText"/>
        <w:spacing w:line="266" w:lineRule="auto"/>
        <w:ind w:left="156"/>
      </w:pPr>
      <w:r>
        <w:rPr>
          <w:w w:val="105"/>
        </w:rPr>
        <w:t>We</w:t>
      </w:r>
      <w:r>
        <w:rPr>
          <w:spacing w:val="-2"/>
          <w:w w:val="105"/>
        </w:rPr>
        <w:t> </w:t>
      </w:r>
      <w:r>
        <w:rPr>
          <w:w w:val="105"/>
        </w:rPr>
        <w:t>complete</w:t>
      </w:r>
      <w:r>
        <w:rPr>
          <w:spacing w:val="-2"/>
          <w:w w:val="105"/>
        </w:rPr>
        <w:t> </w:t>
      </w:r>
      <w:r>
        <w:rPr>
          <w:w w:val="105"/>
        </w:rPr>
        <w:t>comprehensive</w:t>
      </w:r>
      <w:r>
        <w:rPr>
          <w:spacing w:val="-2"/>
          <w:w w:val="105"/>
        </w:rPr>
        <w:t> </w:t>
      </w:r>
      <w:r>
        <w:rPr>
          <w:w w:val="105"/>
        </w:rPr>
        <w:t>reviews</w:t>
      </w:r>
      <w:r>
        <w:rPr>
          <w:spacing w:val="-2"/>
          <w:w w:val="105"/>
        </w:rPr>
        <w:t> </w:t>
      </w:r>
      <w:r>
        <w:rPr>
          <w:w w:val="105"/>
        </w:rPr>
        <w:t>of</w:t>
      </w:r>
      <w:r>
        <w:rPr>
          <w:spacing w:val="-2"/>
          <w:w w:val="105"/>
        </w:rPr>
        <w:t> </w:t>
      </w:r>
      <w:r>
        <w:rPr>
          <w:w w:val="105"/>
        </w:rPr>
        <w:t>our</w:t>
      </w:r>
      <w:r>
        <w:rPr>
          <w:spacing w:val="-2"/>
          <w:w w:val="105"/>
        </w:rPr>
        <w:t> </w:t>
      </w:r>
      <w:r>
        <w:rPr>
          <w:w w:val="105"/>
        </w:rPr>
        <w:t>significant</w:t>
      </w:r>
      <w:r>
        <w:rPr>
          <w:spacing w:val="-2"/>
          <w:w w:val="105"/>
        </w:rPr>
        <w:t> </w:t>
      </w:r>
      <w:r>
        <w:rPr>
          <w:w w:val="105"/>
        </w:rPr>
        <w:t>customers</w:t>
      </w:r>
      <w:r>
        <w:rPr>
          <w:spacing w:val="-2"/>
          <w:w w:val="105"/>
        </w:rPr>
        <w:t> </w:t>
      </w:r>
      <w:r>
        <w:rPr>
          <w:w w:val="105"/>
        </w:rPr>
        <w:t>and</w:t>
      </w:r>
      <w:r>
        <w:rPr>
          <w:spacing w:val="-2"/>
          <w:w w:val="105"/>
        </w:rPr>
        <w:t> </w:t>
      </w:r>
      <w:r>
        <w:rPr>
          <w:w w:val="105"/>
        </w:rPr>
        <w:t>their</w:t>
      </w:r>
      <w:r>
        <w:rPr>
          <w:spacing w:val="-2"/>
          <w:w w:val="105"/>
        </w:rPr>
        <w:t> </w:t>
      </w:r>
      <w:r>
        <w:rPr>
          <w:w w:val="105"/>
        </w:rPr>
        <w:t>creditworthiness</w:t>
      </w:r>
      <w:r>
        <w:rPr>
          <w:spacing w:val="-2"/>
          <w:w w:val="105"/>
        </w:rPr>
        <w:t> </w:t>
      </w:r>
      <w:r>
        <w:rPr>
          <w:w w:val="105"/>
        </w:rPr>
        <w:t>by</w:t>
      </w:r>
      <w:r>
        <w:rPr>
          <w:spacing w:val="-2"/>
          <w:w w:val="105"/>
        </w:rPr>
        <w:t> </w:t>
      </w:r>
      <w:r>
        <w:rPr>
          <w:w w:val="105"/>
        </w:rPr>
        <w:t>analyzing</w:t>
      </w:r>
      <w:r>
        <w:rPr>
          <w:spacing w:val="-2"/>
          <w:w w:val="105"/>
        </w:rPr>
        <w:t> </w:t>
      </w:r>
      <w:r>
        <w:rPr>
          <w:w w:val="105"/>
        </w:rPr>
        <w:t>their</w:t>
      </w:r>
      <w:r>
        <w:rPr>
          <w:spacing w:val="-2"/>
          <w:w w:val="105"/>
        </w:rPr>
        <w:t> </w:t>
      </w:r>
      <w:r>
        <w:rPr>
          <w:w w:val="105"/>
        </w:rPr>
        <w:t>financial</w:t>
      </w:r>
      <w:r>
        <w:rPr>
          <w:spacing w:val="-2"/>
          <w:w w:val="105"/>
        </w:rPr>
        <w:t> </w:t>
      </w:r>
      <w:r>
        <w:rPr>
          <w:w w:val="105"/>
        </w:rPr>
        <w:t>strength</w:t>
      </w:r>
      <w:r>
        <w:rPr>
          <w:spacing w:val="-2"/>
          <w:w w:val="105"/>
        </w:rPr>
        <w:t> </w:t>
      </w:r>
      <w:r>
        <w:rPr>
          <w:w w:val="105"/>
        </w:rPr>
        <w:t>at</w:t>
      </w:r>
      <w:r>
        <w:rPr>
          <w:spacing w:val="-2"/>
          <w:w w:val="105"/>
        </w:rPr>
        <w:t> </w:t>
      </w:r>
      <w:r>
        <w:rPr>
          <w:w w:val="105"/>
        </w:rPr>
        <w:t>least</w:t>
      </w:r>
      <w:r>
        <w:rPr>
          <w:spacing w:val="-2"/>
          <w:w w:val="105"/>
        </w:rPr>
        <w:t> </w:t>
      </w:r>
      <w:r>
        <w:rPr>
          <w:w w:val="105"/>
        </w:rPr>
        <w:t>annually</w:t>
      </w:r>
      <w:r>
        <w:rPr>
          <w:spacing w:val="-2"/>
          <w:w w:val="105"/>
        </w:rPr>
        <w:t> </w:t>
      </w:r>
      <w:r>
        <w:rPr>
          <w:w w:val="105"/>
        </w:rPr>
        <w:t>or</w:t>
      </w:r>
      <w:r>
        <w:rPr>
          <w:spacing w:val="-2"/>
          <w:w w:val="105"/>
        </w:rPr>
        <w:t> </w:t>
      </w:r>
      <w:r>
        <w:rPr>
          <w:w w:val="105"/>
        </w:rPr>
        <w:t>more</w:t>
      </w:r>
      <w:r>
        <w:rPr>
          <w:spacing w:val="-2"/>
          <w:w w:val="105"/>
        </w:rPr>
        <w:t> </w:t>
      </w:r>
      <w:r>
        <w:rPr>
          <w:w w:val="105"/>
        </w:rPr>
        <w:t>frequently</w:t>
      </w:r>
      <w:r>
        <w:rPr>
          <w:spacing w:val="-2"/>
          <w:w w:val="105"/>
        </w:rPr>
        <w:t> </w:t>
      </w:r>
      <w:r>
        <w:rPr>
          <w:w w:val="105"/>
        </w:rPr>
        <w:t>for customers</w:t>
      </w:r>
      <w:r>
        <w:rPr>
          <w:spacing w:val="-8"/>
          <w:w w:val="105"/>
        </w:rPr>
        <w:t> </w:t>
      </w:r>
      <w:r>
        <w:rPr>
          <w:w w:val="105"/>
        </w:rPr>
        <w:t>where</w:t>
      </w:r>
      <w:r>
        <w:rPr>
          <w:spacing w:val="-8"/>
          <w:w w:val="105"/>
        </w:rPr>
        <w:t> </w:t>
      </w:r>
      <w:r>
        <w:rPr>
          <w:w w:val="105"/>
        </w:rPr>
        <w:t>we</w:t>
      </w:r>
      <w:r>
        <w:rPr>
          <w:spacing w:val="-8"/>
          <w:w w:val="105"/>
        </w:rPr>
        <w:t> </w:t>
      </w:r>
      <w:r>
        <w:rPr>
          <w:w w:val="105"/>
        </w:rPr>
        <w:t>have</w:t>
      </w:r>
      <w:r>
        <w:rPr>
          <w:spacing w:val="-8"/>
          <w:w w:val="105"/>
        </w:rPr>
        <w:t> </w:t>
      </w:r>
      <w:r>
        <w:rPr>
          <w:w w:val="105"/>
        </w:rPr>
        <w:t>identified</w:t>
      </w:r>
      <w:r>
        <w:rPr>
          <w:spacing w:val="-8"/>
          <w:w w:val="105"/>
        </w:rPr>
        <w:t> </w:t>
      </w:r>
      <w:r>
        <w:rPr>
          <w:w w:val="105"/>
        </w:rPr>
        <w:t>a</w:t>
      </w:r>
      <w:r>
        <w:rPr>
          <w:spacing w:val="-8"/>
          <w:w w:val="105"/>
        </w:rPr>
        <w:t> </w:t>
      </w:r>
      <w:r>
        <w:rPr>
          <w:w w:val="105"/>
        </w:rPr>
        <w:t>measure</w:t>
      </w:r>
      <w:r>
        <w:rPr>
          <w:spacing w:val="-8"/>
          <w:w w:val="105"/>
        </w:rPr>
        <w:t> </w:t>
      </w:r>
      <w:r>
        <w:rPr>
          <w:w w:val="105"/>
        </w:rPr>
        <w:t>of</w:t>
      </w:r>
      <w:r>
        <w:rPr>
          <w:spacing w:val="-8"/>
          <w:w w:val="105"/>
        </w:rPr>
        <w:t> </w:t>
      </w:r>
      <w:r>
        <w:rPr>
          <w:w w:val="105"/>
        </w:rPr>
        <w:t>increased</w:t>
      </w:r>
      <w:r>
        <w:rPr>
          <w:spacing w:val="-8"/>
          <w:w w:val="105"/>
        </w:rPr>
        <w:t> </w:t>
      </w:r>
      <w:r>
        <w:rPr>
          <w:w w:val="105"/>
        </w:rPr>
        <w:t>risk.</w:t>
      </w:r>
      <w:r>
        <w:rPr>
          <w:spacing w:val="-8"/>
          <w:w w:val="105"/>
        </w:rPr>
        <w:t> </w:t>
      </w:r>
      <w:r>
        <w:rPr>
          <w:w w:val="105"/>
        </w:rPr>
        <w:t>We</w:t>
      </w:r>
      <w:r>
        <w:rPr>
          <w:spacing w:val="-8"/>
          <w:w w:val="105"/>
        </w:rPr>
        <w:t> </w:t>
      </w:r>
      <w:r>
        <w:rPr>
          <w:w w:val="105"/>
        </w:rPr>
        <w:t>closely</w:t>
      </w:r>
      <w:r>
        <w:rPr>
          <w:spacing w:val="-8"/>
          <w:w w:val="105"/>
        </w:rPr>
        <w:t> </w:t>
      </w:r>
      <w:r>
        <w:rPr>
          <w:w w:val="105"/>
        </w:rPr>
        <w:t>monitor</w:t>
      </w:r>
      <w:r>
        <w:rPr>
          <w:spacing w:val="-8"/>
          <w:w w:val="105"/>
        </w:rPr>
        <w:t> </w:t>
      </w:r>
      <w:r>
        <w:rPr>
          <w:w w:val="105"/>
        </w:rPr>
        <w:t>payments</w:t>
      </w:r>
      <w:r>
        <w:rPr>
          <w:spacing w:val="-8"/>
          <w:w w:val="105"/>
        </w:rPr>
        <w:t> </w:t>
      </w:r>
      <w:r>
        <w:rPr>
          <w:w w:val="105"/>
        </w:rPr>
        <w:t>and</w:t>
      </w:r>
      <w:r>
        <w:rPr>
          <w:spacing w:val="-8"/>
          <w:w w:val="105"/>
        </w:rPr>
        <w:t> </w:t>
      </w:r>
      <w:r>
        <w:rPr>
          <w:w w:val="105"/>
        </w:rPr>
        <w:t>developments</w:t>
      </w:r>
      <w:r>
        <w:rPr>
          <w:spacing w:val="-8"/>
          <w:w w:val="105"/>
        </w:rPr>
        <w:t> </w:t>
      </w:r>
      <w:r>
        <w:rPr>
          <w:w w:val="105"/>
        </w:rPr>
        <w:t>to</w:t>
      </w:r>
      <w:r>
        <w:rPr>
          <w:spacing w:val="-8"/>
          <w:w w:val="105"/>
        </w:rPr>
        <w:t> </w:t>
      </w:r>
      <w:r>
        <w:rPr>
          <w:w w:val="105"/>
        </w:rPr>
        <w:t>identify</w:t>
      </w:r>
      <w:r>
        <w:rPr>
          <w:spacing w:val="-8"/>
          <w:w w:val="105"/>
        </w:rPr>
        <w:t> </w:t>
      </w:r>
      <w:r>
        <w:rPr>
          <w:w w:val="105"/>
        </w:rPr>
        <w:t>potential</w:t>
      </w:r>
      <w:r>
        <w:rPr>
          <w:spacing w:val="-6"/>
          <w:w w:val="105"/>
        </w:rPr>
        <w:t> </w:t>
      </w:r>
      <w:r>
        <w:rPr>
          <w:w w:val="105"/>
        </w:rPr>
        <w:t>customer</w:t>
      </w:r>
      <w:r>
        <w:rPr>
          <w:spacing w:val="-8"/>
          <w:w w:val="105"/>
        </w:rPr>
        <w:t> </w:t>
      </w:r>
      <w:r>
        <w:rPr>
          <w:w w:val="105"/>
        </w:rPr>
        <w:t>credit</w:t>
      </w:r>
      <w:r>
        <w:rPr>
          <w:spacing w:val="-8"/>
          <w:w w:val="105"/>
        </w:rPr>
        <w:t> </w:t>
      </w:r>
      <w:r>
        <w:rPr>
          <w:w w:val="105"/>
        </w:rPr>
        <w:t>issues.</w:t>
      </w:r>
      <w:r>
        <w:rPr>
          <w:spacing w:val="26"/>
          <w:w w:val="105"/>
        </w:rPr>
        <w:t> </w:t>
      </w:r>
      <w:r>
        <w:rPr>
          <w:w w:val="105"/>
        </w:rPr>
        <w:t>From</w:t>
      </w:r>
      <w:r>
        <w:rPr>
          <w:spacing w:val="-6"/>
          <w:w w:val="105"/>
        </w:rPr>
        <w:t> </w:t>
      </w:r>
      <w:r>
        <w:rPr>
          <w:w w:val="105"/>
        </w:rPr>
        <w:t>time</w:t>
      </w:r>
      <w:r>
        <w:rPr>
          <w:spacing w:val="-8"/>
          <w:w w:val="105"/>
        </w:rPr>
        <w:t> </w:t>
      </w:r>
      <w:r>
        <w:rPr>
          <w:w w:val="105"/>
        </w:rPr>
        <w:t>to time,</w:t>
      </w:r>
      <w:r>
        <w:rPr>
          <w:spacing w:val="-2"/>
          <w:w w:val="105"/>
        </w:rPr>
        <w:t> </w:t>
      </w:r>
      <w:r>
        <w:rPr>
          <w:w w:val="105"/>
        </w:rPr>
        <w:t>we</w:t>
      </w:r>
      <w:r>
        <w:rPr>
          <w:spacing w:val="-2"/>
          <w:w w:val="105"/>
        </w:rPr>
        <w:t> </w:t>
      </w:r>
      <w:r>
        <w:rPr>
          <w:w w:val="105"/>
        </w:rPr>
        <w:t>factor</w:t>
      </w:r>
      <w:r>
        <w:rPr>
          <w:spacing w:val="-2"/>
          <w:w w:val="105"/>
        </w:rPr>
        <w:t> </w:t>
      </w:r>
      <w:r>
        <w:rPr>
          <w:w w:val="105"/>
        </w:rPr>
        <w:t>or</w:t>
      </w:r>
      <w:r>
        <w:rPr>
          <w:spacing w:val="-2"/>
          <w:w w:val="105"/>
        </w:rPr>
        <w:t> </w:t>
      </w:r>
      <w:r>
        <w:rPr>
          <w:w w:val="105"/>
        </w:rPr>
        <w:t>sell</w:t>
      </w:r>
      <w:r>
        <w:rPr>
          <w:spacing w:val="-2"/>
          <w:w w:val="105"/>
        </w:rPr>
        <w:t> </w:t>
      </w:r>
      <w:r>
        <w:rPr>
          <w:w w:val="105"/>
        </w:rPr>
        <w:t>accounts</w:t>
      </w:r>
      <w:r>
        <w:rPr>
          <w:spacing w:val="-2"/>
          <w:w w:val="105"/>
        </w:rPr>
        <w:t> </w:t>
      </w:r>
      <w:r>
        <w:rPr>
          <w:w w:val="105"/>
        </w:rPr>
        <w:t>receivable.</w:t>
      </w:r>
      <w:r>
        <w:rPr>
          <w:spacing w:val="-2"/>
          <w:w w:val="105"/>
        </w:rPr>
        <w:t> </w:t>
      </w:r>
      <w:r>
        <w:rPr>
          <w:w w:val="105"/>
        </w:rPr>
        <w:t>Sales</w:t>
      </w:r>
      <w:r>
        <w:rPr>
          <w:spacing w:val="-2"/>
          <w:w w:val="105"/>
        </w:rPr>
        <w:t> </w:t>
      </w:r>
      <w:r>
        <w:rPr>
          <w:w w:val="105"/>
        </w:rPr>
        <w:t>of</w:t>
      </w:r>
      <w:r>
        <w:rPr>
          <w:spacing w:val="-2"/>
          <w:w w:val="105"/>
        </w:rPr>
        <w:t> </w:t>
      </w:r>
      <w:r>
        <w:rPr>
          <w:w w:val="105"/>
        </w:rPr>
        <w:t>accounts</w:t>
      </w:r>
      <w:r>
        <w:rPr>
          <w:spacing w:val="-2"/>
          <w:w w:val="105"/>
        </w:rPr>
        <w:t> </w:t>
      </w:r>
      <w:r>
        <w:rPr>
          <w:w w:val="105"/>
        </w:rPr>
        <w:t>receivable</w:t>
      </w:r>
      <w:r>
        <w:rPr>
          <w:spacing w:val="-2"/>
          <w:w w:val="105"/>
        </w:rPr>
        <w:t> </w:t>
      </w:r>
      <w:r>
        <w:rPr>
          <w:w w:val="105"/>
        </w:rPr>
        <w:t>during</w:t>
      </w:r>
      <w:r>
        <w:rPr>
          <w:spacing w:val="-2"/>
          <w:w w:val="105"/>
        </w:rPr>
        <w:t> </w:t>
      </w:r>
      <w:r>
        <w:rPr>
          <w:w w:val="105"/>
        </w:rPr>
        <w:t>2021</w:t>
      </w:r>
      <w:r>
        <w:rPr>
          <w:spacing w:val="-2"/>
          <w:w w:val="105"/>
        </w:rPr>
        <w:t> </w:t>
      </w:r>
      <w:r>
        <w:rPr>
          <w:w w:val="105"/>
        </w:rPr>
        <w:t>were</w:t>
      </w:r>
      <w:r>
        <w:rPr>
          <w:spacing w:val="-2"/>
          <w:w w:val="105"/>
        </w:rPr>
        <w:t> </w:t>
      </w:r>
      <w:r>
        <w:rPr>
          <w:w w:val="105"/>
        </w:rPr>
        <w:t>$602</w:t>
      </w:r>
      <w:r>
        <w:rPr>
          <w:spacing w:val="-2"/>
          <w:w w:val="105"/>
        </w:rPr>
        <w:t> </w:t>
      </w:r>
      <w:r>
        <w:rPr>
          <w:w w:val="105"/>
        </w:rPr>
        <w:t>million.</w:t>
      </w:r>
      <w:r>
        <w:rPr>
          <w:spacing w:val="39"/>
          <w:w w:val="105"/>
        </w:rPr>
        <w:t> </w:t>
      </w:r>
      <w:r>
        <w:rPr>
          <w:w w:val="105"/>
        </w:rPr>
        <w:t>We</w:t>
      </w:r>
      <w:r>
        <w:rPr>
          <w:spacing w:val="-2"/>
          <w:w w:val="105"/>
        </w:rPr>
        <w:t> </w:t>
      </w:r>
      <w:r>
        <w:rPr>
          <w:w w:val="105"/>
        </w:rPr>
        <w:t>believe</w:t>
      </w:r>
      <w:r>
        <w:rPr>
          <w:spacing w:val="-2"/>
          <w:w w:val="105"/>
        </w:rPr>
        <w:t> </w:t>
      </w:r>
      <w:r>
        <w:rPr>
          <w:w w:val="105"/>
        </w:rPr>
        <w:t>$405</w:t>
      </w:r>
      <w:r>
        <w:rPr>
          <w:spacing w:val="-2"/>
          <w:w w:val="105"/>
        </w:rPr>
        <w:t> </w:t>
      </w:r>
      <w:r>
        <w:rPr>
          <w:w w:val="105"/>
        </w:rPr>
        <w:t>million</w:t>
      </w:r>
      <w:r>
        <w:rPr>
          <w:spacing w:val="-2"/>
          <w:w w:val="105"/>
        </w:rPr>
        <w:t> </w:t>
      </w:r>
      <w:r>
        <w:rPr>
          <w:w w:val="105"/>
        </w:rPr>
        <w:t>would</w:t>
      </w:r>
      <w:r>
        <w:rPr>
          <w:spacing w:val="-2"/>
          <w:w w:val="105"/>
        </w:rPr>
        <w:t> </w:t>
      </w:r>
      <w:r>
        <w:rPr>
          <w:w w:val="105"/>
        </w:rPr>
        <w:t>have</w:t>
      </w:r>
      <w:r>
        <w:rPr>
          <w:spacing w:val="-2"/>
          <w:w w:val="105"/>
        </w:rPr>
        <w:t> </w:t>
      </w:r>
      <w:r>
        <w:rPr>
          <w:w w:val="105"/>
        </w:rPr>
        <w:t>been</w:t>
      </w:r>
      <w:r>
        <w:rPr>
          <w:spacing w:val="-2"/>
          <w:w w:val="105"/>
        </w:rPr>
        <w:t> </w:t>
      </w:r>
      <w:r>
        <w:rPr>
          <w:w w:val="105"/>
        </w:rPr>
        <w:t>collected</w:t>
      </w:r>
      <w:r>
        <w:rPr>
          <w:spacing w:val="-2"/>
          <w:w w:val="105"/>
        </w:rPr>
        <w:t> </w:t>
      </w:r>
      <w:r>
        <w:rPr>
          <w:w w:val="105"/>
        </w:rPr>
        <w:t>during</w:t>
      </w:r>
      <w:r>
        <w:rPr>
          <w:spacing w:val="-2"/>
          <w:w w:val="105"/>
        </w:rPr>
        <w:t> </w:t>
      </w:r>
      <w:r>
        <w:rPr>
          <w:w w:val="105"/>
        </w:rPr>
        <w:t>the normal</w:t>
      </w:r>
      <w:r>
        <w:rPr>
          <w:spacing w:val="-1"/>
          <w:w w:val="105"/>
        </w:rPr>
        <w:t> </w:t>
      </w:r>
      <w:r>
        <w:rPr>
          <w:w w:val="105"/>
        </w:rPr>
        <w:t>course</w:t>
      </w:r>
      <w:r>
        <w:rPr>
          <w:spacing w:val="-1"/>
          <w:w w:val="105"/>
        </w:rPr>
        <w:t> </w:t>
      </w:r>
      <w:r>
        <w:rPr>
          <w:w w:val="105"/>
        </w:rPr>
        <w:t>of</w:t>
      </w:r>
      <w:r>
        <w:rPr>
          <w:spacing w:val="-1"/>
          <w:w w:val="105"/>
        </w:rPr>
        <w:t> </w:t>
      </w:r>
      <w:r>
        <w:rPr>
          <w:w w:val="105"/>
        </w:rPr>
        <w:t>business</w:t>
      </w:r>
      <w:r>
        <w:rPr>
          <w:spacing w:val="-1"/>
          <w:w w:val="105"/>
        </w:rPr>
        <w:t> </w:t>
      </w:r>
      <w:r>
        <w:rPr>
          <w:w w:val="105"/>
        </w:rPr>
        <w:t>in</w:t>
      </w:r>
      <w:r>
        <w:rPr>
          <w:spacing w:val="-1"/>
          <w:w w:val="105"/>
        </w:rPr>
        <w:t> </w:t>
      </w:r>
      <w:r>
        <w:rPr>
          <w:w w:val="105"/>
        </w:rPr>
        <w:t>2021.</w:t>
      </w:r>
      <w:r>
        <w:rPr>
          <w:spacing w:val="-1"/>
          <w:w w:val="105"/>
        </w:rPr>
        <w:t> </w:t>
      </w:r>
      <w:r>
        <w:rPr>
          <w:w w:val="105"/>
        </w:rPr>
        <w:t>We</w:t>
      </w:r>
      <w:r>
        <w:rPr>
          <w:spacing w:val="-1"/>
          <w:w w:val="105"/>
        </w:rPr>
        <w:t> </w:t>
      </w:r>
      <w:r>
        <w:rPr>
          <w:w w:val="105"/>
        </w:rPr>
        <w:t>currently</w:t>
      </w:r>
      <w:r>
        <w:rPr>
          <w:spacing w:val="-1"/>
          <w:w w:val="105"/>
        </w:rPr>
        <w:t> </w:t>
      </w:r>
      <w:r>
        <w:rPr>
          <w:w w:val="105"/>
        </w:rPr>
        <w:t>have</w:t>
      </w:r>
      <w:r>
        <w:rPr>
          <w:spacing w:val="-1"/>
          <w:w w:val="105"/>
        </w:rPr>
        <w:t> </w:t>
      </w:r>
      <w:r>
        <w:rPr>
          <w:w w:val="105"/>
        </w:rPr>
        <w:t>not</w:t>
      </w:r>
      <w:r>
        <w:rPr>
          <w:spacing w:val="-1"/>
          <w:w w:val="105"/>
        </w:rPr>
        <w:t> </w:t>
      </w:r>
      <w:r>
        <w:rPr>
          <w:w w:val="105"/>
        </w:rPr>
        <w:t>identified</w:t>
      </w:r>
      <w:r>
        <w:rPr>
          <w:spacing w:val="-1"/>
          <w:w w:val="105"/>
        </w:rPr>
        <w:t> </w:t>
      </w:r>
      <w:r>
        <w:rPr>
          <w:w w:val="105"/>
        </w:rPr>
        <w:t>any</w:t>
      </w:r>
      <w:r>
        <w:rPr>
          <w:spacing w:val="-1"/>
          <w:w w:val="105"/>
        </w:rPr>
        <w:t> </w:t>
      </w:r>
      <w:r>
        <w:rPr>
          <w:w w:val="105"/>
        </w:rPr>
        <w:t>potential</w:t>
      </w:r>
      <w:r>
        <w:rPr>
          <w:spacing w:val="-1"/>
          <w:w w:val="105"/>
        </w:rPr>
        <w:t> </w:t>
      </w:r>
      <w:r>
        <w:rPr>
          <w:w w:val="105"/>
        </w:rPr>
        <w:t>material</w:t>
      </w:r>
      <w:r>
        <w:rPr>
          <w:spacing w:val="-1"/>
          <w:w w:val="105"/>
        </w:rPr>
        <w:t> </w:t>
      </w:r>
      <w:r>
        <w:rPr>
          <w:w w:val="105"/>
        </w:rPr>
        <w:t>impact</w:t>
      </w:r>
      <w:r>
        <w:rPr>
          <w:spacing w:val="-1"/>
          <w:w w:val="105"/>
        </w:rPr>
        <w:t> </w:t>
      </w:r>
      <w:r>
        <w:rPr>
          <w:w w:val="105"/>
        </w:rPr>
        <w:t>on</w:t>
      </w:r>
      <w:r>
        <w:rPr>
          <w:spacing w:val="-1"/>
          <w:w w:val="105"/>
        </w:rPr>
        <w:t> </w:t>
      </w:r>
      <w:r>
        <w:rPr>
          <w:w w:val="105"/>
        </w:rPr>
        <w:t>our</w:t>
      </w:r>
      <w:r>
        <w:rPr>
          <w:spacing w:val="-1"/>
          <w:w w:val="105"/>
        </w:rPr>
        <w:t> </w:t>
      </w:r>
      <w:r>
        <w:rPr>
          <w:w w:val="105"/>
        </w:rPr>
        <w:t>liquidity</w:t>
      </w:r>
      <w:r>
        <w:rPr>
          <w:spacing w:val="-1"/>
          <w:w w:val="105"/>
        </w:rPr>
        <w:t> </w:t>
      </w:r>
      <w:r>
        <w:rPr>
          <w:w w:val="105"/>
        </w:rPr>
        <w:t>resulting</w:t>
      </w:r>
      <w:r>
        <w:rPr>
          <w:spacing w:val="-1"/>
          <w:w w:val="105"/>
        </w:rPr>
        <w:t> </w:t>
      </w:r>
      <w:r>
        <w:rPr>
          <w:w w:val="105"/>
        </w:rPr>
        <w:t>from</w:t>
      </w:r>
      <w:r>
        <w:rPr>
          <w:spacing w:val="-1"/>
          <w:w w:val="105"/>
        </w:rPr>
        <w:t> </w:t>
      </w:r>
      <w:r>
        <w:rPr>
          <w:w w:val="105"/>
        </w:rPr>
        <w:t>customer</w:t>
      </w:r>
      <w:r>
        <w:rPr>
          <w:spacing w:val="-1"/>
          <w:w w:val="105"/>
        </w:rPr>
        <w:t> </w:t>
      </w:r>
      <w:r>
        <w:rPr>
          <w:w w:val="105"/>
        </w:rPr>
        <w:t>credit</w:t>
      </w:r>
      <w:r>
        <w:rPr>
          <w:spacing w:val="-1"/>
          <w:w w:val="105"/>
        </w:rPr>
        <w:t> </w:t>
      </w:r>
      <w:r>
        <w:rPr>
          <w:w w:val="105"/>
        </w:rPr>
        <w:t>issues.</w:t>
      </w:r>
    </w:p>
    <w:p>
      <w:pPr>
        <w:pStyle w:val="BodyText"/>
        <w:spacing w:before="18"/>
      </w:pPr>
    </w:p>
    <w:p>
      <w:pPr>
        <w:pStyle w:val="BodyText"/>
        <w:spacing w:line="266" w:lineRule="auto"/>
        <w:ind w:left="156" w:right="328"/>
      </w:pPr>
      <w:r>
        <w:rPr>
          <w:w w:val="105"/>
        </w:rPr>
        <w:t>Our</w:t>
      </w:r>
      <w:r>
        <w:rPr>
          <w:spacing w:val="-7"/>
          <w:w w:val="105"/>
        </w:rPr>
        <w:t> </w:t>
      </w:r>
      <w:r>
        <w:rPr>
          <w:w w:val="105"/>
        </w:rPr>
        <w:t>major</w:t>
      </w:r>
      <w:r>
        <w:rPr>
          <w:spacing w:val="-7"/>
          <w:w w:val="105"/>
        </w:rPr>
        <w:t> </w:t>
      </w:r>
      <w:r>
        <w:rPr>
          <w:w w:val="105"/>
        </w:rPr>
        <w:t>source</w:t>
      </w:r>
      <w:r>
        <w:rPr>
          <w:spacing w:val="-7"/>
          <w:w w:val="105"/>
        </w:rPr>
        <w:t> </w:t>
      </w:r>
      <w:r>
        <w:rPr>
          <w:w w:val="105"/>
        </w:rPr>
        <w:t>of</w:t>
      </w:r>
      <w:r>
        <w:rPr>
          <w:spacing w:val="-7"/>
          <w:w w:val="105"/>
        </w:rPr>
        <w:t> </w:t>
      </w:r>
      <w:r>
        <w:rPr>
          <w:w w:val="105"/>
        </w:rPr>
        <w:t>funding</w:t>
      </w:r>
      <w:r>
        <w:rPr>
          <w:spacing w:val="-7"/>
          <w:w w:val="105"/>
        </w:rPr>
        <w:t> </w:t>
      </w:r>
      <w:r>
        <w:rPr>
          <w:w w:val="105"/>
        </w:rPr>
        <w:t>for</w:t>
      </w:r>
      <w:r>
        <w:rPr>
          <w:spacing w:val="-7"/>
          <w:w w:val="105"/>
        </w:rPr>
        <w:t> </w:t>
      </w:r>
      <w:r>
        <w:rPr>
          <w:w w:val="105"/>
        </w:rPr>
        <w:t>2021</w:t>
      </w:r>
      <w:r>
        <w:rPr>
          <w:spacing w:val="-6"/>
          <w:w w:val="105"/>
        </w:rPr>
        <w:t> </w:t>
      </w:r>
      <w:r>
        <w:rPr>
          <w:w w:val="105"/>
        </w:rPr>
        <w:t>and</w:t>
      </w:r>
      <w:r>
        <w:rPr>
          <w:spacing w:val="-7"/>
          <w:w w:val="105"/>
        </w:rPr>
        <w:t> </w:t>
      </w:r>
      <w:r>
        <w:rPr>
          <w:w w:val="105"/>
        </w:rPr>
        <w:t>beyond</w:t>
      </w:r>
      <w:r>
        <w:rPr>
          <w:spacing w:val="-7"/>
          <w:w w:val="105"/>
        </w:rPr>
        <w:t> </w:t>
      </w:r>
      <w:r>
        <w:rPr>
          <w:w w:val="105"/>
        </w:rPr>
        <w:t>will</w:t>
      </w:r>
      <w:r>
        <w:rPr>
          <w:spacing w:val="-7"/>
          <w:w w:val="105"/>
        </w:rPr>
        <w:t> </w:t>
      </w:r>
      <w:r>
        <w:rPr>
          <w:w w:val="105"/>
        </w:rPr>
        <w:t>be</w:t>
      </w:r>
      <w:r>
        <w:rPr>
          <w:spacing w:val="-7"/>
          <w:w w:val="105"/>
        </w:rPr>
        <w:t> </w:t>
      </w:r>
      <w:r>
        <w:rPr>
          <w:w w:val="105"/>
        </w:rPr>
        <w:t>our</w:t>
      </w:r>
      <w:r>
        <w:rPr>
          <w:spacing w:val="-7"/>
          <w:w w:val="105"/>
        </w:rPr>
        <w:t> </w:t>
      </w:r>
      <w:r>
        <w:rPr>
          <w:w w:val="105"/>
        </w:rPr>
        <w:t>operating</w:t>
      </w:r>
      <w:r>
        <w:rPr>
          <w:spacing w:val="-7"/>
          <w:w w:val="105"/>
        </w:rPr>
        <w:t> </w:t>
      </w:r>
      <w:r>
        <w:rPr>
          <w:w w:val="105"/>
        </w:rPr>
        <w:t>cash</w:t>
      </w:r>
      <w:r>
        <w:rPr>
          <w:spacing w:val="-6"/>
          <w:w w:val="105"/>
        </w:rPr>
        <w:t> </w:t>
      </w:r>
      <w:r>
        <w:rPr>
          <w:w w:val="105"/>
        </w:rPr>
        <w:t>flow,</w:t>
      </w:r>
      <w:r>
        <w:rPr>
          <w:spacing w:val="-7"/>
          <w:w w:val="105"/>
        </w:rPr>
        <w:t> </w:t>
      </w:r>
      <w:r>
        <w:rPr>
          <w:w w:val="105"/>
        </w:rPr>
        <w:t>our</w:t>
      </w:r>
      <w:r>
        <w:rPr>
          <w:spacing w:val="-7"/>
          <w:w w:val="105"/>
        </w:rPr>
        <w:t> </w:t>
      </w:r>
      <w:r>
        <w:rPr>
          <w:w w:val="105"/>
        </w:rPr>
        <w:t>existing</w:t>
      </w:r>
      <w:r>
        <w:rPr>
          <w:spacing w:val="-7"/>
          <w:w w:val="105"/>
        </w:rPr>
        <w:t> </w:t>
      </w:r>
      <w:r>
        <w:rPr>
          <w:w w:val="105"/>
        </w:rPr>
        <w:t>balances</w:t>
      </w:r>
      <w:r>
        <w:rPr>
          <w:spacing w:val="-7"/>
          <w:w w:val="105"/>
        </w:rPr>
        <w:t> </w:t>
      </w:r>
      <w:r>
        <w:rPr>
          <w:w w:val="105"/>
        </w:rPr>
        <w:t>of</w:t>
      </w:r>
      <w:r>
        <w:rPr>
          <w:spacing w:val="-7"/>
          <w:w w:val="105"/>
        </w:rPr>
        <w:t> </w:t>
      </w:r>
      <w:r>
        <w:rPr>
          <w:w w:val="105"/>
        </w:rPr>
        <w:t>cash</w:t>
      </w:r>
      <w:r>
        <w:rPr>
          <w:spacing w:val="-7"/>
          <w:w w:val="105"/>
        </w:rPr>
        <w:t> </w:t>
      </w:r>
      <w:r>
        <w:rPr>
          <w:w w:val="105"/>
        </w:rPr>
        <w:t>and</w:t>
      </w:r>
      <w:r>
        <w:rPr>
          <w:spacing w:val="-7"/>
          <w:w w:val="105"/>
        </w:rPr>
        <w:t> </w:t>
      </w:r>
      <w:r>
        <w:rPr>
          <w:w w:val="105"/>
        </w:rPr>
        <w:t>cash</w:t>
      </w:r>
      <w:r>
        <w:rPr>
          <w:spacing w:val="-7"/>
          <w:w w:val="105"/>
        </w:rPr>
        <w:t> </w:t>
      </w:r>
      <w:r>
        <w:rPr>
          <w:w w:val="105"/>
        </w:rPr>
        <w:t>equivalents</w:t>
      </w:r>
      <w:r>
        <w:rPr>
          <w:spacing w:val="-7"/>
          <w:w w:val="105"/>
        </w:rPr>
        <w:t> </w:t>
      </w:r>
      <w:r>
        <w:rPr>
          <w:w w:val="105"/>
        </w:rPr>
        <w:t>and</w:t>
      </w:r>
      <w:r>
        <w:rPr>
          <w:spacing w:val="-7"/>
          <w:w w:val="105"/>
        </w:rPr>
        <w:t> </w:t>
      </w:r>
      <w:r>
        <w:rPr>
          <w:w w:val="105"/>
        </w:rPr>
        <w:t>proceeds</w:t>
      </w:r>
      <w:r>
        <w:rPr>
          <w:spacing w:val="-7"/>
          <w:w w:val="105"/>
        </w:rPr>
        <w:t> </w:t>
      </w:r>
      <w:r>
        <w:rPr>
          <w:w w:val="105"/>
        </w:rPr>
        <w:t>from</w:t>
      </w:r>
      <w:r>
        <w:rPr>
          <w:spacing w:val="-7"/>
          <w:w w:val="105"/>
        </w:rPr>
        <w:t> </w:t>
      </w:r>
      <w:r>
        <w:rPr>
          <w:w w:val="105"/>
        </w:rPr>
        <w:t>any</w:t>
      </w:r>
      <w:r>
        <w:rPr>
          <w:spacing w:val="-7"/>
          <w:w w:val="105"/>
        </w:rPr>
        <w:t> </w:t>
      </w:r>
      <w:r>
        <w:rPr>
          <w:w w:val="105"/>
        </w:rPr>
        <w:t>issuances</w:t>
      </w:r>
      <w:r>
        <w:rPr>
          <w:spacing w:val="-7"/>
          <w:w w:val="105"/>
        </w:rPr>
        <w:t> </w:t>
      </w:r>
      <w:r>
        <w:rPr>
          <w:w w:val="105"/>
        </w:rPr>
        <w:t>of debt.</w:t>
      </w:r>
      <w:r>
        <w:rPr>
          <w:spacing w:val="-6"/>
          <w:w w:val="105"/>
        </w:rPr>
        <w:t> </w:t>
      </w:r>
      <w:r>
        <w:rPr>
          <w:w w:val="105"/>
        </w:rPr>
        <w:t>We</w:t>
      </w:r>
      <w:r>
        <w:rPr>
          <w:spacing w:val="-6"/>
          <w:w w:val="105"/>
        </w:rPr>
        <w:t> </w:t>
      </w:r>
      <w:r>
        <w:rPr>
          <w:w w:val="105"/>
        </w:rPr>
        <w:t>believe</w:t>
      </w:r>
      <w:r>
        <w:rPr>
          <w:spacing w:val="-6"/>
          <w:w w:val="105"/>
        </w:rPr>
        <w:t> </w:t>
      </w:r>
      <w:r>
        <w:rPr>
          <w:w w:val="105"/>
        </w:rPr>
        <w:t>we</w:t>
      </w:r>
      <w:r>
        <w:rPr>
          <w:spacing w:val="-6"/>
          <w:w w:val="105"/>
        </w:rPr>
        <w:t> </w:t>
      </w:r>
      <w:r>
        <w:rPr>
          <w:w w:val="105"/>
        </w:rPr>
        <w:t>have</w:t>
      </w:r>
      <w:r>
        <w:rPr>
          <w:spacing w:val="-6"/>
          <w:w w:val="105"/>
        </w:rPr>
        <w:t> </w:t>
      </w:r>
      <w:r>
        <w:rPr>
          <w:w w:val="105"/>
        </w:rPr>
        <w:t>sufficient</w:t>
      </w:r>
      <w:r>
        <w:rPr>
          <w:spacing w:val="-6"/>
          <w:w w:val="105"/>
        </w:rPr>
        <w:t> </w:t>
      </w:r>
      <w:r>
        <w:rPr>
          <w:w w:val="105"/>
        </w:rPr>
        <w:t>liquidity</w:t>
      </w:r>
      <w:r>
        <w:rPr>
          <w:spacing w:val="-6"/>
          <w:w w:val="105"/>
        </w:rPr>
        <w:t> </w:t>
      </w:r>
      <w:r>
        <w:rPr>
          <w:w w:val="105"/>
        </w:rPr>
        <w:t>to</w:t>
      </w:r>
      <w:r>
        <w:rPr>
          <w:spacing w:val="-6"/>
          <w:w w:val="105"/>
        </w:rPr>
        <w:t> </w:t>
      </w:r>
      <w:r>
        <w:rPr>
          <w:w w:val="105"/>
        </w:rPr>
        <w:t>fund</w:t>
      </w:r>
      <w:r>
        <w:rPr>
          <w:spacing w:val="-6"/>
          <w:w w:val="105"/>
        </w:rPr>
        <w:t> </w:t>
      </w:r>
      <w:r>
        <w:rPr>
          <w:w w:val="105"/>
        </w:rPr>
        <w:t>operations,</w:t>
      </w:r>
      <w:r>
        <w:rPr>
          <w:spacing w:val="-6"/>
          <w:w w:val="105"/>
        </w:rPr>
        <w:t> </w:t>
      </w:r>
      <w:r>
        <w:rPr>
          <w:w w:val="105"/>
        </w:rPr>
        <w:t>acquisitions,</w:t>
      </w:r>
      <w:r>
        <w:rPr>
          <w:spacing w:val="-6"/>
          <w:w w:val="105"/>
        </w:rPr>
        <w:t> </w:t>
      </w:r>
      <w:r>
        <w:rPr>
          <w:w w:val="105"/>
        </w:rPr>
        <w:t>capital</w:t>
      </w:r>
      <w:r>
        <w:rPr>
          <w:spacing w:val="-6"/>
          <w:w w:val="105"/>
        </w:rPr>
        <w:t> </w:t>
      </w:r>
      <w:r>
        <w:rPr>
          <w:w w:val="105"/>
        </w:rPr>
        <w:t>expenditures,</w:t>
      </w:r>
      <w:r>
        <w:rPr>
          <w:spacing w:val="-6"/>
          <w:w w:val="105"/>
        </w:rPr>
        <w:t> </w:t>
      </w:r>
      <w:r>
        <w:rPr>
          <w:w w:val="105"/>
        </w:rPr>
        <w:t>scheduled</w:t>
      </w:r>
      <w:r>
        <w:rPr>
          <w:spacing w:val="-6"/>
          <w:w w:val="105"/>
        </w:rPr>
        <w:t> </w:t>
      </w:r>
      <w:r>
        <w:rPr>
          <w:w w:val="105"/>
        </w:rPr>
        <w:t>debt</w:t>
      </w:r>
      <w:r>
        <w:rPr>
          <w:spacing w:val="-6"/>
          <w:w w:val="105"/>
        </w:rPr>
        <w:t> </w:t>
      </w:r>
      <w:r>
        <w:rPr>
          <w:w w:val="105"/>
        </w:rPr>
        <w:t>repayments,</w:t>
      </w:r>
      <w:r>
        <w:rPr>
          <w:spacing w:val="-6"/>
          <w:w w:val="105"/>
        </w:rPr>
        <w:t> </w:t>
      </w:r>
      <w:r>
        <w:rPr>
          <w:w w:val="105"/>
        </w:rPr>
        <w:t>dividend</w:t>
      </w:r>
      <w:r>
        <w:rPr>
          <w:spacing w:val="-6"/>
          <w:w w:val="105"/>
        </w:rPr>
        <w:t> </w:t>
      </w:r>
      <w:r>
        <w:rPr>
          <w:w w:val="105"/>
        </w:rPr>
        <w:t>payments</w:t>
      </w:r>
      <w:r>
        <w:rPr>
          <w:spacing w:val="-6"/>
          <w:w w:val="105"/>
        </w:rPr>
        <w:t> </w:t>
      </w:r>
      <w:r>
        <w:rPr>
          <w:w w:val="105"/>
        </w:rPr>
        <w:t>and</w:t>
      </w:r>
      <w:r>
        <w:rPr>
          <w:spacing w:val="-6"/>
          <w:w w:val="105"/>
        </w:rPr>
        <w:t> </w:t>
      </w:r>
      <w:r>
        <w:rPr>
          <w:w w:val="105"/>
        </w:rPr>
        <w:t>share</w:t>
      </w:r>
      <w:r>
        <w:rPr>
          <w:spacing w:val="-6"/>
          <w:w w:val="105"/>
        </w:rPr>
        <w:t> </w:t>
      </w:r>
      <w:r>
        <w:rPr>
          <w:w w:val="105"/>
        </w:rPr>
        <w:t>repurchase programs for the next twelve months.</w:t>
      </w:r>
    </w:p>
    <w:p>
      <w:pPr>
        <w:pStyle w:val="BodyText"/>
        <w:spacing w:before="18"/>
      </w:pPr>
    </w:p>
    <w:p>
      <w:pPr>
        <w:pStyle w:val="BodyText"/>
        <w:spacing w:line="266" w:lineRule="auto" w:before="1"/>
        <w:ind w:left="156" w:right="139"/>
      </w:pPr>
      <w:r>
        <w:rPr>
          <w:w w:val="105"/>
        </w:rPr>
        <w:t>Our</w:t>
      </w:r>
      <w:r>
        <w:rPr>
          <w:spacing w:val="-2"/>
          <w:w w:val="105"/>
        </w:rPr>
        <w:t> </w:t>
      </w:r>
      <w:r>
        <w:rPr>
          <w:w w:val="105"/>
        </w:rPr>
        <w:t>Revolving</w:t>
      </w:r>
      <w:r>
        <w:rPr>
          <w:spacing w:val="-2"/>
          <w:w w:val="105"/>
        </w:rPr>
        <w:t> </w:t>
      </w:r>
      <w:r>
        <w:rPr>
          <w:w w:val="105"/>
        </w:rPr>
        <w:t>Credit</w:t>
      </w:r>
      <w:r>
        <w:rPr>
          <w:spacing w:val="-2"/>
          <w:w w:val="105"/>
        </w:rPr>
        <w:t> </w:t>
      </w:r>
      <w:r>
        <w:rPr>
          <w:w w:val="105"/>
        </w:rPr>
        <w:t>Agreement</w:t>
      </w:r>
      <w:r>
        <w:rPr>
          <w:spacing w:val="-2"/>
          <w:w w:val="105"/>
        </w:rPr>
        <w:t> </w:t>
      </w:r>
      <w:r>
        <w:rPr>
          <w:w w:val="105"/>
        </w:rPr>
        <w:t>includes</w:t>
      </w:r>
      <w:r>
        <w:rPr>
          <w:spacing w:val="-2"/>
          <w:w w:val="105"/>
        </w:rPr>
        <w:t> </w:t>
      </w:r>
      <w:r>
        <w:rPr>
          <w:w w:val="105"/>
        </w:rPr>
        <w:t>affirmative</w:t>
      </w:r>
      <w:r>
        <w:rPr>
          <w:spacing w:val="-2"/>
          <w:w w:val="105"/>
        </w:rPr>
        <w:t> </w:t>
      </w:r>
      <w:r>
        <w:rPr>
          <w:w w:val="105"/>
        </w:rPr>
        <w:t>and</w:t>
      </w:r>
      <w:r>
        <w:rPr>
          <w:spacing w:val="-2"/>
          <w:w w:val="105"/>
        </w:rPr>
        <w:t> </w:t>
      </w:r>
      <w:r>
        <w:rPr>
          <w:w w:val="105"/>
        </w:rPr>
        <w:t>negative</w:t>
      </w:r>
      <w:r>
        <w:rPr>
          <w:spacing w:val="-2"/>
          <w:w w:val="105"/>
        </w:rPr>
        <w:t> </w:t>
      </w:r>
      <w:r>
        <w:rPr>
          <w:w w:val="105"/>
        </w:rPr>
        <w:t>covenants</w:t>
      </w:r>
      <w:r>
        <w:rPr>
          <w:spacing w:val="-2"/>
          <w:w w:val="105"/>
        </w:rPr>
        <w:t> </w:t>
      </w:r>
      <w:r>
        <w:rPr>
          <w:w w:val="105"/>
        </w:rPr>
        <w:t>with</w:t>
      </w:r>
      <w:r>
        <w:rPr>
          <w:spacing w:val="-2"/>
          <w:w w:val="105"/>
        </w:rPr>
        <w:t> </w:t>
      </w:r>
      <w:r>
        <w:rPr>
          <w:w w:val="105"/>
        </w:rPr>
        <w:t>which</w:t>
      </w:r>
      <w:r>
        <w:rPr>
          <w:spacing w:val="-2"/>
          <w:w w:val="105"/>
        </w:rPr>
        <w:t> </w:t>
      </w:r>
      <w:r>
        <w:rPr>
          <w:w w:val="105"/>
        </w:rPr>
        <w:t>we</w:t>
      </w:r>
      <w:r>
        <w:rPr>
          <w:spacing w:val="-2"/>
          <w:w w:val="105"/>
        </w:rPr>
        <w:t> </w:t>
      </w:r>
      <w:r>
        <w:rPr>
          <w:w w:val="105"/>
        </w:rPr>
        <w:t>must comply,</w:t>
      </w:r>
      <w:r>
        <w:rPr>
          <w:spacing w:val="-2"/>
          <w:w w:val="105"/>
        </w:rPr>
        <w:t> </w:t>
      </w:r>
      <w:r>
        <w:rPr>
          <w:w w:val="105"/>
        </w:rPr>
        <w:t>including</w:t>
      </w:r>
      <w:r>
        <w:rPr>
          <w:spacing w:val="-2"/>
          <w:w w:val="105"/>
        </w:rPr>
        <w:t> </w:t>
      </w:r>
      <w:r>
        <w:rPr>
          <w:w w:val="105"/>
        </w:rPr>
        <w:t>a</w:t>
      </w:r>
      <w:r>
        <w:rPr>
          <w:spacing w:val="-2"/>
          <w:w w:val="105"/>
        </w:rPr>
        <w:t> </w:t>
      </w:r>
      <w:r>
        <w:rPr>
          <w:w w:val="105"/>
        </w:rPr>
        <w:t>leverage</w:t>
      </w:r>
      <w:r>
        <w:rPr>
          <w:spacing w:val="-2"/>
          <w:w w:val="105"/>
        </w:rPr>
        <w:t> </w:t>
      </w:r>
      <w:r>
        <w:rPr>
          <w:w w:val="105"/>
        </w:rPr>
        <w:t>(debt</w:t>
      </w:r>
      <w:r>
        <w:rPr>
          <w:spacing w:val="-2"/>
          <w:w w:val="105"/>
        </w:rPr>
        <w:t> </w:t>
      </w:r>
      <w:r>
        <w:rPr>
          <w:w w:val="105"/>
        </w:rPr>
        <w:t>to</w:t>
      </w:r>
      <w:r>
        <w:rPr>
          <w:spacing w:val="-2"/>
          <w:w w:val="105"/>
        </w:rPr>
        <w:t> </w:t>
      </w:r>
      <w:r>
        <w:rPr>
          <w:w w:val="105"/>
        </w:rPr>
        <w:t>capital</w:t>
      </w:r>
      <w:r>
        <w:rPr>
          <w:spacing w:val="-2"/>
          <w:w w:val="105"/>
        </w:rPr>
        <w:t> </w:t>
      </w:r>
      <w:r>
        <w:rPr>
          <w:w w:val="105"/>
        </w:rPr>
        <w:t>ratio)</w:t>
      </w:r>
      <w:r>
        <w:rPr>
          <w:spacing w:val="-2"/>
          <w:w w:val="105"/>
        </w:rPr>
        <w:t> </w:t>
      </w:r>
      <w:r>
        <w:rPr>
          <w:w w:val="105"/>
        </w:rPr>
        <w:t>financial</w:t>
      </w:r>
      <w:r>
        <w:rPr>
          <w:spacing w:val="-2"/>
          <w:w w:val="105"/>
        </w:rPr>
        <w:t> </w:t>
      </w:r>
      <w:r>
        <w:rPr>
          <w:w w:val="105"/>
        </w:rPr>
        <w:t>covenant. The</w:t>
      </w:r>
      <w:r>
        <w:rPr>
          <w:spacing w:val="-8"/>
          <w:w w:val="105"/>
        </w:rPr>
        <w:t> </w:t>
      </w:r>
      <w:r>
        <w:rPr>
          <w:w w:val="105"/>
        </w:rPr>
        <w:t>required</w:t>
      </w:r>
      <w:r>
        <w:rPr>
          <w:spacing w:val="-8"/>
          <w:w w:val="105"/>
        </w:rPr>
        <w:t> </w:t>
      </w:r>
      <w:r>
        <w:rPr>
          <w:w w:val="105"/>
        </w:rPr>
        <w:t>leverage</w:t>
      </w:r>
      <w:r>
        <w:rPr>
          <w:spacing w:val="-6"/>
          <w:w w:val="105"/>
        </w:rPr>
        <w:t> </w:t>
      </w:r>
      <w:r>
        <w:rPr>
          <w:w w:val="105"/>
        </w:rPr>
        <w:t>ratio</w:t>
      </w:r>
      <w:r>
        <w:rPr>
          <w:spacing w:val="-8"/>
          <w:w w:val="105"/>
        </w:rPr>
        <w:t> </w:t>
      </w:r>
      <w:r>
        <w:rPr>
          <w:w w:val="105"/>
        </w:rPr>
        <w:t>is</w:t>
      </w:r>
      <w:r>
        <w:rPr>
          <w:spacing w:val="-8"/>
          <w:w w:val="105"/>
        </w:rPr>
        <w:t> </w:t>
      </w:r>
      <w:r>
        <w:rPr>
          <w:w w:val="105"/>
        </w:rPr>
        <w:t>a</w:t>
      </w:r>
      <w:r>
        <w:rPr>
          <w:spacing w:val="-8"/>
          <w:w w:val="105"/>
        </w:rPr>
        <w:t> </w:t>
      </w:r>
      <w:r>
        <w:rPr>
          <w:w w:val="105"/>
        </w:rPr>
        <w:t>maximum</w:t>
      </w:r>
      <w:r>
        <w:rPr>
          <w:spacing w:val="-8"/>
          <w:w w:val="105"/>
        </w:rPr>
        <w:t> </w:t>
      </w:r>
      <w:r>
        <w:rPr>
          <w:w w:val="105"/>
        </w:rPr>
        <w:t>of</w:t>
      </w:r>
      <w:r>
        <w:rPr>
          <w:spacing w:val="-8"/>
          <w:w w:val="105"/>
        </w:rPr>
        <w:t> </w:t>
      </w:r>
      <w:r>
        <w:rPr>
          <w:w w:val="105"/>
        </w:rPr>
        <w:t>60%.</w:t>
      </w:r>
      <w:r>
        <w:rPr>
          <w:spacing w:val="-8"/>
          <w:w w:val="105"/>
        </w:rPr>
        <w:t> </w:t>
      </w:r>
      <w:r>
        <w:rPr>
          <w:w w:val="105"/>
        </w:rPr>
        <w:t>At</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our</w:t>
      </w:r>
      <w:r>
        <w:rPr>
          <w:spacing w:val="-8"/>
          <w:w w:val="105"/>
        </w:rPr>
        <w:t> </w:t>
      </w:r>
      <w:r>
        <w:rPr>
          <w:w w:val="105"/>
        </w:rPr>
        <w:t>leverage</w:t>
      </w:r>
      <w:r>
        <w:rPr>
          <w:spacing w:val="-8"/>
          <w:w w:val="105"/>
        </w:rPr>
        <w:t> </w:t>
      </w:r>
      <w:r>
        <w:rPr>
          <w:w w:val="105"/>
        </w:rPr>
        <w:t>using</w:t>
      </w:r>
      <w:r>
        <w:rPr>
          <w:spacing w:val="-6"/>
          <w:w w:val="105"/>
        </w:rPr>
        <w:t> </w:t>
      </w:r>
      <w:r>
        <w:rPr>
          <w:w w:val="105"/>
        </w:rPr>
        <w:t>this</w:t>
      </w:r>
      <w:r>
        <w:rPr>
          <w:spacing w:val="-8"/>
          <w:w w:val="105"/>
        </w:rPr>
        <w:t> </w:t>
      </w:r>
      <w:r>
        <w:rPr>
          <w:w w:val="105"/>
        </w:rPr>
        <w:t>measure</w:t>
      </w:r>
      <w:r>
        <w:rPr>
          <w:spacing w:val="-8"/>
          <w:w w:val="105"/>
        </w:rPr>
        <w:t> </w:t>
      </w:r>
      <w:r>
        <w:rPr>
          <w:w w:val="105"/>
        </w:rPr>
        <w:t>was</w:t>
      </w:r>
      <w:r>
        <w:rPr>
          <w:spacing w:val="-8"/>
          <w:w w:val="105"/>
        </w:rPr>
        <w:t> </w:t>
      </w:r>
      <w:r>
        <w:rPr>
          <w:w w:val="105"/>
        </w:rPr>
        <w:t>approximately</w:t>
      </w:r>
      <w:r>
        <w:rPr>
          <w:spacing w:val="-8"/>
          <w:w w:val="105"/>
        </w:rPr>
        <w:t> </w:t>
      </w:r>
      <w:r>
        <w:rPr>
          <w:w w:val="105"/>
        </w:rPr>
        <w:t>36%.</w:t>
      </w:r>
      <w:r>
        <w:rPr>
          <w:spacing w:val="-8"/>
          <w:w w:val="105"/>
        </w:rPr>
        <w:t> </w:t>
      </w:r>
      <w:r>
        <w:rPr>
          <w:w w:val="105"/>
        </w:rPr>
        <w:t>As</w:t>
      </w:r>
      <w:r>
        <w:rPr>
          <w:spacing w:val="-8"/>
          <w:w w:val="105"/>
        </w:rPr>
        <w:t> </w:t>
      </w:r>
      <w:r>
        <w:rPr>
          <w:w w:val="105"/>
        </w:rPr>
        <w:t>of</w:t>
      </w:r>
      <w:r>
        <w:rPr>
          <w:spacing w:val="-8"/>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Corning</w:t>
      </w:r>
      <w:r>
        <w:rPr>
          <w:spacing w:val="-8"/>
          <w:w w:val="105"/>
        </w:rPr>
        <w:t> </w:t>
      </w:r>
      <w:r>
        <w:rPr>
          <w:w w:val="105"/>
        </w:rPr>
        <w:t>was in compliance and no amounts were outstanding under the Company’s Revolving Credit Agreement.</w:t>
      </w:r>
    </w:p>
    <w:p>
      <w:pPr>
        <w:pStyle w:val="BodyText"/>
        <w:spacing w:before="18"/>
      </w:pPr>
    </w:p>
    <w:p>
      <w:pPr>
        <w:pStyle w:val="BodyText"/>
        <w:spacing w:line="266" w:lineRule="auto"/>
        <w:ind w:left="156" w:right="200"/>
      </w:pPr>
      <w:r>
        <w:rPr>
          <w:w w:val="105"/>
        </w:rPr>
        <w:t>Our</w:t>
      </w:r>
      <w:r>
        <w:rPr>
          <w:spacing w:val="-9"/>
          <w:w w:val="105"/>
        </w:rPr>
        <w:t> </w:t>
      </w:r>
      <w:r>
        <w:rPr>
          <w:w w:val="105"/>
        </w:rPr>
        <w:t>debt</w:t>
      </w:r>
      <w:r>
        <w:rPr>
          <w:spacing w:val="-9"/>
          <w:w w:val="105"/>
        </w:rPr>
        <w:t> </w:t>
      </w:r>
      <w:r>
        <w:rPr>
          <w:w w:val="105"/>
        </w:rPr>
        <w:t>instruments</w:t>
      </w:r>
      <w:r>
        <w:rPr>
          <w:spacing w:val="-9"/>
          <w:w w:val="105"/>
        </w:rPr>
        <w:t> </w:t>
      </w:r>
      <w:r>
        <w:rPr>
          <w:w w:val="105"/>
        </w:rPr>
        <w:t>contain</w:t>
      </w:r>
      <w:r>
        <w:rPr>
          <w:spacing w:val="-7"/>
          <w:w w:val="105"/>
        </w:rPr>
        <w:t> </w:t>
      </w:r>
      <w:r>
        <w:rPr>
          <w:w w:val="105"/>
        </w:rPr>
        <w:t>customary</w:t>
      </w:r>
      <w:r>
        <w:rPr>
          <w:spacing w:val="-9"/>
          <w:w w:val="105"/>
        </w:rPr>
        <w:t> </w:t>
      </w:r>
      <w:r>
        <w:rPr>
          <w:w w:val="105"/>
        </w:rPr>
        <w:t>event</w:t>
      </w:r>
      <w:r>
        <w:rPr>
          <w:spacing w:val="-9"/>
          <w:w w:val="105"/>
        </w:rPr>
        <w:t> </w:t>
      </w:r>
      <w:r>
        <w:rPr>
          <w:w w:val="105"/>
        </w:rPr>
        <w:t>of</w:t>
      </w:r>
      <w:r>
        <w:rPr>
          <w:spacing w:val="-9"/>
          <w:w w:val="105"/>
        </w:rPr>
        <w:t> </w:t>
      </w:r>
      <w:r>
        <w:rPr>
          <w:w w:val="105"/>
        </w:rPr>
        <w:t>default</w:t>
      </w:r>
      <w:r>
        <w:rPr>
          <w:spacing w:val="-9"/>
          <w:w w:val="105"/>
        </w:rPr>
        <w:t> </w:t>
      </w:r>
      <w:r>
        <w:rPr>
          <w:w w:val="105"/>
        </w:rPr>
        <w:t>provisions,</w:t>
      </w:r>
      <w:r>
        <w:rPr>
          <w:spacing w:val="-9"/>
          <w:w w:val="105"/>
        </w:rPr>
        <w:t> </w:t>
      </w:r>
      <w:r>
        <w:rPr>
          <w:w w:val="105"/>
        </w:rPr>
        <w:t>which</w:t>
      </w:r>
      <w:r>
        <w:rPr>
          <w:spacing w:val="-9"/>
          <w:w w:val="105"/>
        </w:rPr>
        <w:t> </w:t>
      </w:r>
      <w:r>
        <w:rPr>
          <w:w w:val="105"/>
        </w:rPr>
        <w:t>allow</w:t>
      </w:r>
      <w:r>
        <w:rPr>
          <w:spacing w:val="-9"/>
          <w:w w:val="105"/>
        </w:rPr>
        <w:t> </w:t>
      </w:r>
      <w:r>
        <w:rPr>
          <w:w w:val="105"/>
        </w:rPr>
        <w:t>the</w:t>
      </w:r>
      <w:r>
        <w:rPr>
          <w:spacing w:val="-9"/>
          <w:w w:val="105"/>
        </w:rPr>
        <w:t> </w:t>
      </w:r>
      <w:r>
        <w:rPr>
          <w:w w:val="105"/>
        </w:rPr>
        <w:t>lenders</w:t>
      </w:r>
      <w:r>
        <w:rPr>
          <w:spacing w:val="-7"/>
          <w:w w:val="105"/>
        </w:rPr>
        <w:t> </w:t>
      </w:r>
      <w:r>
        <w:rPr>
          <w:w w:val="105"/>
        </w:rPr>
        <w:t>the</w:t>
      </w:r>
      <w:r>
        <w:rPr>
          <w:spacing w:val="-9"/>
          <w:w w:val="105"/>
        </w:rPr>
        <w:t> </w:t>
      </w:r>
      <w:r>
        <w:rPr>
          <w:w w:val="105"/>
        </w:rPr>
        <w:t>option</w:t>
      </w:r>
      <w:r>
        <w:rPr>
          <w:spacing w:val="-9"/>
          <w:w w:val="105"/>
        </w:rPr>
        <w:t> </w:t>
      </w:r>
      <w:r>
        <w:rPr>
          <w:w w:val="105"/>
        </w:rPr>
        <w:t>of</w:t>
      </w:r>
      <w:r>
        <w:rPr>
          <w:spacing w:val="-9"/>
          <w:w w:val="105"/>
        </w:rPr>
        <w:t> </w:t>
      </w:r>
      <w:r>
        <w:rPr>
          <w:w w:val="105"/>
        </w:rPr>
        <w:t>accelerating</w:t>
      </w:r>
      <w:r>
        <w:rPr>
          <w:spacing w:val="-9"/>
          <w:w w:val="105"/>
        </w:rPr>
        <w:t> </w:t>
      </w:r>
      <w:r>
        <w:rPr>
          <w:w w:val="105"/>
        </w:rPr>
        <w:t>all</w:t>
      </w:r>
      <w:r>
        <w:rPr>
          <w:spacing w:val="-9"/>
          <w:w w:val="105"/>
        </w:rPr>
        <w:t> </w:t>
      </w:r>
      <w:r>
        <w:rPr>
          <w:w w:val="105"/>
        </w:rPr>
        <w:t>obligations</w:t>
      </w:r>
      <w:r>
        <w:rPr>
          <w:spacing w:val="-9"/>
          <w:w w:val="105"/>
        </w:rPr>
        <w:t> </w:t>
      </w:r>
      <w:r>
        <w:rPr>
          <w:w w:val="105"/>
        </w:rPr>
        <w:t>upon</w:t>
      </w:r>
      <w:r>
        <w:rPr>
          <w:spacing w:val="-9"/>
          <w:w w:val="105"/>
        </w:rPr>
        <w:t> </w:t>
      </w:r>
      <w:r>
        <w:rPr>
          <w:w w:val="105"/>
        </w:rPr>
        <w:t>the</w:t>
      </w:r>
      <w:r>
        <w:rPr>
          <w:spacing w:val="-9"/>
          <w:w w:val="105"/>
        </w:rPr>
        <w:t> </w:t>
      </w:r>
      <w:r>
        <w:rPr>
          <w:w w:val="105"/>
        </w:rPr>
        <w:t>occurrence</w:t>
      </w:r>
      <w:r>
        <w:rPr>
          <w:spacing w:val="-9"/>
          <w:w w:val="105"/>
        </w:rPr>
        <w:t> </w:t>
      </w:r>
      <w:r>
        <w:rPr>
          <w:w w:val="105"/>
        </w:rPr>
        <w:t>of</w:t>
      </w:r>
      <w:r>
        <w:rPr>
          <w:spacing w:val="-9"/>
          <w:w w:val="105"/>
        </w:rPr>
        <w:t> </w:t>
      </w:r>
      <w:r>
        <w:rPr>
          <w:w w:val="105"/>
        </w:rPr>
        <w:t>certain</w:t>
      </w:r>
      <w:r>
        <w:rPr>
          <w:spacing w:val="-7"/>
          <w:w w:val="105"/>
        </w:rPr>
        <w:t> </w:t>
      </w:r>
      <w:r>
        <w:rPr>
          <w:w w:val="105"/>
        </w:rPr>
        <w:t>events. In</w:t>
      </w:r>
      <w:r>
        <w:rPr>
          <w:spacing w:val="-2"/>
          <w:w w:val="105"/>
        </w:rPr>
        <w:t> </w:t>
      </w:r>
      <w:r>
        <w:rPr>
          <w:w w:val="105"/>
        </w:rPr>
        <w:t>addition,</w:t>
      </w:r>
      <w:r>
        <w:rPr>
          <w:spacing w:val="-2"/>
          <w:w w:val="105"/>
        </w:rPr>
        <w:t> </w:t>
      </w:r>
      <w:r>
        <w:rPr>
          <w:w w:val="105"/>
        </w:rPr>
        <w:t>some</w:t>
      </w:r>
      <w:r>
        <w:rPr>
          <w:spacing w:val="-2"/>
          <w:w w:val="105"/>
        </w:rPr>
        <w:t> </w:t>
      </w:r>
      <w:r>
        <w:rPr>
          <w:w w:val="105"/>
        </w:rPr>
        <w:t>of</w:t>
      </w:r>
      <w:r>
        <w:rPr>
          <w:spacing w:val="-2"/>
          <w:w w:val="105"/>
        </w:rPr>
        <w:t> </w:t>
      </w:r>
      <w:r>
        <w:rPr>
          <w:w w:val="105"/>
        </w:rPr>
        <w:t>our</w:t>
      </w:r>
      <w:r>
        <w:rPr>
          <w:spacing w:val="-2"/>
          <w:w w:val="105"/>
        </w:rPr>
        <w:t> </w:t>
      </w:r>
      <w:r>
        <w:rPr>
          <w:w w:val="105"/>
        </w:rPr>
        <w:t>debt</w:t>
      </w:r>
      <w:r>
        <w:rPr>
          <w:spacing w:val="-2"/>
          <w:w w:val="105"/>
        </w:rPr>
        <w:t> </w:t>
      </w:r>
      <w:r>
        <w:rPr>
          <w:w w:val="105"/>
        </w:rPr>
        <w:t>instruments</w:t>
      </w:r>
      <w:r>
        <w:rPr>
          <w:spacing w:val="-2"/>
          <w:w w:val="105"/>
        </w:rPr>
        <w:t> </w:t>
      </w:r>
      <w:r>
        <w:rPr>
          <w:w w:val="105"/>
        </w:rPr>
        <w:t>contain</w:t>
      </w:r>
      <w:r>
        <w:rPr>
          <w:spacing w:val="-2"/>
          <w:w w:val="105"/>
        </w:rPr>
        <w:t> </w:t>
      </w:r>
      <w:r>
        <w:rPr>
          <w:w w:val="105"/>
        </w:rPr>
        <w:t>a</w:t>
      </w:r>
      <w:r>
        <w:rPr>
          <w:spacing w:val="-2"/>
          <w:w w:val="105"/>
        </w:rPr>
        <w:t> </w:t>
      </w:r>
      <w:r>
        <w:rPr>
          <w:w w:val="105"/>
        </w:rPr>
        <w:t>cross</w:t>
      </w:r>
      <w:r>
        <w:rPr>
          <w:spacing w:val="-2"/>
          <w:w w:val="105"/>
        </w:rPr>
        <w:t> </w:t>
      </w:r>
      <w:r>
        <w:rPr>
          <w:w w:val="105"/>
        </w:rPr>
        <w:t>default</w:t>
      </w:r>
      <w:r>
        <w:rPr>
          <w:spacing w:val="-2"/>
          <w:w w:val="105"/>
        </w:rPr>
        <w:t> </w:t>
      </w:r>
      <w:r>
        <w:rPr>
          <w:w w:val="105"/>
        </w:rPr>
        <w:t>provision,</w:t>
      </w:r>
      <w:r>
        <w:rPr>
          <w:spacing w:val="-2"/>
          <w:w w:val="105"/>
        </w:rPr>
        <w:t> </w:t>
      </w:r>
      <w:r>
        <w:rPr>
          <w:w w:val="105"/>
        </w:rPr>
        <w:t>whereby</w:t>
      </w:r>
      <w:r>
        <w:rPr>
          <w:spacing w:val="-2"/>
          <w:w w:val="105"/>
        </w:rPr>
        <w:t> </w:t>
      </w:r>
      <w:r>
        <w:rPr>
          <w:w w:val="105"/>
        </w:rPr>
        <w:t>an</w:t>
      </w:r>
      <w:r>
        <w:rPr>
          <w:spacing w:val="-2"/>
          <w:w w:val="105"/>
        </w:rPr>
        <w:t> </w:t>
      </w:r>
      <w:r>
        <w:rPr>
          <w:w w:val="105"/>
        </w:rPr>
        <w:t>uncured</w:t>
      </w:r>
      <w:r>
        <w:rPr>
          <w:spacing w:val="-2"/>
          <w:w w:val="105"/>
        </w:rPr>
        <w:t> </w:t>
      </w:r>
      <w:r>
        <w:rPr>
          <w:w w:val="105"/>
        </w:rPr>
        <w:t>default</w:t>
      </w:r>
      <w:r>
        <w:rPr>
          <w:spacing w:val="-2"/>
          <w:w w:val="105"/>
        </w:rPr>
        <w:t> </w:t>
      </w:r>
      <w:r>
        <w:rPr>
          <w:w w:val="105"/>
        </w:rPr>
        <w:t>exceeding</w:t>
      </w:r>
      <w:r>
        <w:rPr>
          <w:spacing w:val="-2"/>
          <w:w w:val="105"/>
        </w:rPr>
        <w:t> </w:t>
      </w:r>
      <w:r>
        <w:rPr>
          <w:w w:val="105"/>
        </w:rPr>
        <w:t>a</w:t>
      </w:r>
      <w:r>
        <w:rPr>
          <w:spacing w:val="-2"/>
          <w:w w:val="105"/>
        </w:rPr>
        <w:t> </w:t>
      </w:r>
      <w:r>
        <w:rPr>
          <w:w w:val="105"/>
        </w:rPr>
        <w:t>specified</w:t>
      </w:r>
      <w:r>
        <w:rPr>
          <w:spacing w:val="-2"/>
          <w:w w:val="105"/>
        </w:rPr>
        <w:t> </w:t>
      </w:r>
      <w:r>
        <w:rPr>
          <w:w w:val="105"/>
        </w:rPr>
        <w:t>amount</w:t>
      </w:r>
      <w:r>
        <w:rPr>
          <w:spacing w:val="-2"/>
          <w:w w:val="105"/>
        </w:rPr>
        <w:t> </w:t>
      </w:r>
      <w:r>
        <w:rPr>
          <w:w w:val="105"/>
        </w:rPr>
        <w:t>on</w:t>
      </w:r>
      <w:r>
        <w:rPr>
          <w:spacing w:val="-2"/>
          <w:w w:val="105"/>
        </w:rPr>
        <w:t> </w:t>
      </w:r>
      <w:r>
        <w:rPr>
          <w:w w:val="105"/>
        </w:rPr>
        <w:t>one</w:t>
      </w:r>
      <w:r>
        <w:rPr>
          <w:spacing w:val="-2"/>
          <w:w w:val="105"/>
        </w:rPr>
        <w:t> </w:t>
      </w:r>
      <w:r>
        <w:rPr>
          <w:w w:val="105"/>
        </w:rPr>
        <w:t>debt</w:t>
      </w:r>
      <w:r>
        <w:rPr>
          <w:spacing w:val="-2"/>
          <w:w w:val="105"/>
        </w:rPr>
        <w:t> </w:t>
      </w:r>
      <w:r>
        <w:rPr>
          <w:w w:val="105"/>
        </w:rPr>
        <w:t>obligation</w:t>
      </w:r>
      <w:r>
        <w:rPr>
          <w:spacing w:val="-2"/>
          <w:w w:val="105"/>
        </w:rPr>
        <w:t> </w:t>
      </w:r>
      <w:r>
        <w:rPr>
          <w:w w:val="105"/>
        </w:rPr>
        <w:t>of</w:t>
      </w:r>
      <w:r>
        <w:rPr>
          <w:spacing w:val="-2"/>
          <w:w w:val="105"/>
        </w:rPr>
        <w:t> </w:t>
      </w:r>
      <w:r>
        <w:rPr>
          <w:w w:val="105"/>
        </w:rPr>
        <w:t>the Company,</w:t>
      </w:r>
      <w:r>
        <w:rPr>
          <w:spacing w:val="-1"/>
          <w:w w:val="105"/>
        </w:rPr>
        <w:t> </w:t>
      </w:r>
      <w:r>
        <w:rPr>
          <w:w w:val="105"/>
        </w:rPr>
        <w:t>also</w:t>
      </w:r>
      <w:r>
        <w:rPr>
          <w:spacing w:val="-1"/>
          <w:w w:val="105"/>
        </w:rPr>
        <w:t> </w:t>
      </w:r>
      <w:r>
        <w:rPr>
          <w:w w:val="105"/>
        </w:rPr>
        <w:t>would</w:t>
      </w:r>
      <w:r>
        <w:rPr>
          <w:spacing w:val="-1"/>
          <w:w w:val="105"/>
        </w:rPr>
        <w:t> </w:t>
      </w:r>
      <w:r>
        <w:rPr>
          <w:w w:val="105"/>
        </w:rPr>
        <w:t>be</w:t>
      </w:r>
      <w:r>
        <w:rPr>
          <w:spacing w:val="-1"/>
          <w:w w:val="105"/>
        </w:rPr>
        <w:t> </w:t>
      </w:r>
      <w:r>
        <w:rPr>
          <w:w w:val="105"/>
        </w:rPr>
        <w:t>considered</w:t>
      </w:r>
      <w:r>
        <w:rPr>
          <w:spacing w:val="-1"/>
          <w:w w:val="105"/>
        </w:rPr>
        <w:t> </w:t>
      </w:r>
      <w:r>
        <w:rPr>
          <w:w w:val="105"/>
        </w:rPr>
        <w:t>a</w:t>
      </w:r>
      <w:r>
        <w:rPr>
          <w:spacing w:val="-1"/>
          <w:w w:val="105"/>
        </w:rPr>
        <w:t> </w:t>
      </w:r>
      <w:r>
        <w:rPr>
          <w:w w:val="105"/>
        </w:rPr>
        <w:t>default</w:t>
      </w:r>
      <w:r>
        <w:rPr>
          <w:spacing w:val="-1"/>
          <w:w w:val="105"/>
        </w:rPr>
        <w:t> </w:t>
      </w:r>
      <w:r>
        <w:rPr>
          <w:w w:val="105"/>
        </w:rPr>
        <w:t>under</w:t>
      </w:r>
      <w:r>
        <w:rPr>
          <w:spacing w:val="-1"/>
          <w:w w:val="105"/>
        </w:rPr>
        <w:t> </w:t>
      </w:r>
      <w:r>
        <w:rPr>
          <w:w w:val="105"/>
        </w:rPr>
        <w:t>the</w:t>
      </w:r>
      <w:r>
        <w:rPr>
          <w:spacing w:val="-1"/>
          <w:w w:val="105"/>
        </w:rPr>
        <w:t> </w:t>
      </w:r>
      <w:r>
        <w:rPr>
          <w:w w:val="105"/>
        </w:rPr>
        <w:t>terms</w:t>
      </w:r>
      <w:r>
        <w:rPr>
          <w:spacing w:val="-1"/>
          <w:w w:val="105"/>
        </w:rPr>
        <w:t> </w:t>
      </w:r>
      <w:r>
        <w:rPr>
          <w:w w:val="105"/>
        </w:rPr>
        <w:t>of</w:t>
      </w:r>
      <w:r>
        <w:rPr>
          <w:spacing w:val="-1"/>
          <w:w w:val="105"/>
        </w:rPr>
        <w:t> </w:t>
      </w:r>
      <w:r>
        <w:rPr>
          <w:w w:val="105"/>
        </w:rPr>
        <w:t>another</w:t>
      </w:r>
      <w:r>
        <w:rPr>
          <w:spacing w:val="-1"/>
          <w:w w:val="105"/>
        </w:rPr>
        <w:t> </w:t>
      </w:r>
      <w:r>
        <w:rPr>
          <w:w w:val="105"/>
        </w:rPr>
        <w:t>debt</w:t>
      </w:r>
      <w:r>
        <w:rPr>
          <w:spacing w:val="-1"/>
          <w:w w:val="105"/>
        </w:rPr>
        <w:t> </w:t>
      </w:r>
      <w:r>
        <w:rPr>
          <w:w w:val="105"/>
        </w:rPr>
        <w:t>instrument.</w:t>
      </w:r>
      <w:r>
        <w:rPr>
          <w:spacing w:val="-1"/>
          <w:w w:val="105"/>
        </w:rPr>
        <w:t> </w:t>
      </w:r>
      <w:r>
        <w:rPr>
          <w:w w:val="105"/>
        </w:rPr>
        <w:t>As</w:t>
      </w:r>
      <w:r>
        <w:rPr>
          <w:spacing w:val="-1"/>
          <w:w w:val="105"/>
        </w:rPr>
        <w:t> </w:t>
      </w:r>
      <w:r>
        <w:rPr>
          <w:w w:val="105"/>
        </w:rPr>
        <w:t>of</w:t>
      </w:r>
      <w:r>
        <w:rPr>
          <w:spacing w:val="-1"/>
          <w:w w:val="105"/>
        </w:rPr>
        <w:t> </w:t>
      </w:r>
      <w:r>
        <w:rPr>
          <w:w w:val="105"/>
        </w:rPr>
        <w:t>December</w:t>
      </w:r>
      <w:r>
        <w:rPr>
          <w:spacing w:val="-1"/>
          <w:w w:val="105"/>
        </w:rPr>
        <w:t> </w:t>
      </w:r>
      <w:r>
        <w:rPr>
          <w:w w:val="105"/>
        </w:rPr>
        <w:t>31,</w:t>
      </w:r>
      <w:r>
        <w:rPr>
          <w:spacing w:val="-1"/>
          <w:w w:val="105"/>
        </w:rPr>
        <w:t> </w:t>
      </w:r>
      <w:r>
        <w:rPr>
          <w:w w:val="105"/>
        </w:rPr>
        <w:t>2021,</w:t>
      </w:r>
      <w:r>
        <w:rPr>
          <w:spacing w:val="-1"/>
          <w:w w:val="105"/>
        </w:rPr>
        <w:t> </w:t>
      </w:r>
      <w:r>
        <w:rPr>
          <w:w w:val="105"/>
        </w:rPr>
        <w:t>we</w:t>
      </w:r>
      <w:r>
        <w:rPr>
          <w:spacing w:val="-1"/>
          <w:w w:val="105"/>
        </w:rPr>
        <w:t> </w:t>
      </w:r>
      <w:r>
        <w:rPr>
          <w:w w:val="105"/>
        </w:rPr>
        <w:t>were</w:t>
      </w:r>
      <w:r>
        <w:rPr>
          <w:spacing w:val="-1"/>
          <w:w w:val="105"/>
        </w:rPr>
        <w:t> </w:t>
      </w:r>
      <w:r>
        <w:rPr>
          <w:w w:val="105"/>
        </w:rPr>
        <w:t>in</w:t>
      </w:r>
      <w:r>
        <w:rPr>
          <w:spacing w:val="-1"/>
          <w:w w:val="105"/>
        </w:rPr>
        <w:t> </w:t>
      </w:r>
      <w:r>
        <w:rPr>
          <w:w w:val="105"/>
        </w:rPr>
        <w:t>compliance</w:t>
      </w:r>
      <w:r>
        <w:rPr>
          <w:spacing w:val="-1"/>
          <w:w w:val="105"/>
        </w:rPr>
        <w:t> </w:t>
      </w:r>
      <w:r>
        <w:rPr>
          <w:w w:val="105"/>
        </w:rPr>
        <w:t>with</w:t>
      </w:r>
      <w:r>
        <w:rPr>
          <w:spacing w:val="-1"/>
          <w:w w:val="105"/>
        </w:rPr>
        <w:t> </w:t>
      </w:r>
      <w:r>
        <w:rPr>
          <w:w w:val="105"/>
        </w:rPr>
        <w:t>all</w:t>
      </w:r>
      <w:r>
        <w:rPr>
          <w:spacing w:val="-1"/>
          <w:w w:val="105"/>
        </w:rPr>
        <w:t> </w:t>
      </w:r>
      <w:r>
        <w:rPr>
          <w:w w:val="105"/>
        </w:rPr>
        <w:t>such</w:t>
      </w:r>
      <w:r>
        <w:rPr>
          <w:spacing w:val="-1"/>
          <w:w w:val="105"/>
        </w:rPr>
        <w:t> </w:t>
      </w:r>
      <w:r>
        <w:rPr>
          <w:w w:val="105"/>
        </w:rPr>
        <w:t>provisions.</w:t>
      </w:r>
    </w:p>
    <w:p>
      <w:pPr>
        <w:pStyle w:val="BodyText"/>
        <w:spacing w:before="19"/>
      </w:pPr>
    </w:p>
    <w:p>
      <w:pPr>
        <w:pStyle w:val="BodyText"/>
        <w:spacing w:line="266" w:lineRule="auto"/>
        <w:ind w:left="156"/>
      </w:pPr>
      <w:r>
        <w:rPr>
          <w:w w:val="105"/>
        </w:rPr>
        <w:t>Management</w:t>
      </w:r>
      <w:r>
        <w:rPr>
          <w:spacing w:val="-7"/>
          <w:w w:val="105"/>
        </w:rPr>
        <w:t> </w:t>
      </w:r>
      <w:r>
        <w:rPr>
          <w:w w:val="105"/>
        </w:rPr>
        <w:t>is</w:t>
      </w:r>
      <w:r>
        <w:rPr>
          <w:spacing w:val="-7"/>
          <w:w w:val="105"/>
        </w:rPr>
        <w:t> </w:t>
      </w:r>
      <w:r>
        <w:rPr>
          <w:w w:val="105"/>
        </w:rPr>
        <w:t>not</w:t>
      </w:r>
      <w:r>
        <w:rPr>
          <w:spacing w:val="-7"/>
          <w:w w:val="105"/>
        </w:rPr>
        <w:t> </w:t>
      </w:r>
      <w:r>
        <w:rPr>
          <w:w w:val="105"/>
        </w:rPr>
        <w:t>aware</w:t>
      </w:r>
      <w:r>
        <w:rPr>
          <w:spacing w:val="-7"/>
          <w:w w:val="105"/>
        </w:rPr>
        <w:t> </w:t>
      </w:r>
      <w:r>
        <w:rPr>
          <w:w w:val="105"/>
        </w:rPr>
        <w:t>of</w:t>
      </w:r>
      <w:r>
        <w:rPr>
          <w:spacing w:val="-6"/>
          <w:w w:val="105"/>
        </w:rPr>
        <w:t> </w:t>
      </w:r>
      <w:r>
        <w:rPr>
          <w:w w:val="105"/>
        </w:rPr>
        <w:t>any</w:t>
      </w:r>
      <w:r>
        <w:rPr>
          <w:spacing w:val="-7"/>
          <w:w w:val="105"/>
        </w:rPr>
        <w:t> </w:t>
      </w:r>
      <w:r>
        <w:rPr>
          <w:w w:val="105"/>
        </w:rPr>
        <w:t>known</w:t>
      </w:r>
      <w:r>
        <w:rPr>
          <w:spacing w:val="-7"/>
          <w:w w:val="105"/>
        </w:rPr>
        <w:t> </w:t>
      </w:r>
      <w:r>
        <w:rPr>
          <w:w w:val="105"/>
        </w:rPr>
        <w:t>trends</w:t>
      </w:r>
      <w:r>
        <w:rPr>
          <w:spacing w:val="-7"/>
          <w:w w:val="105"/>
        </w:rPr>
        <w:t> </w:t>
      </w:r>
      <w:r>
        <w:rPr>
          <w:w w:val="105"/>
        </w:rPr>
        <w:t>or</w:t>
      </w:r>
      <w:r>
        <w:rPr>
          <w:spacing w:val="-7"/>
          <w:w w:val="105"/>
        </w:rPr>
        <w:t> </w:t>
      </w:r>
      <w:r>
        <w:rPr>
          <w:w w:val="105"/>
        </w:rPr>
        <w:t>any</w:t>
      </w:r>
      <w:r>
        <w:rPr>
          <w:spacing w:val="-7"/>
          <w:w w:val="105"/>
        </w:rPr>
        <w:t> </w:t>
      </w:r>
      <w:r>
        <w:rPr>
          <w:w w:val="105"/>
        </w:rPr>
        <w:t>known</w:t>
      </w:r>
      <w:r>
        <w:rPr>
          <w:spacing w:val="-7"/>
          <w:w w:val="105"/>
        </w:rPr>
        <w:t> </w:t>
      </w:r>
      <w:r>
        <w:rPr>
          <w:w w:val="105"/>
        </w:rPr>
        <w:t>demands,</w:t>
      </w:r>
      <w:r>
        <w:rPr>
          <w:spacing w:val="-7"/>
          <w:w w:val="105"/>
        </w:rPr>
        <w:t> </w:t>
      </w:r>
      <w:r>
        <w:rPr>
          <w:w w:val="105"/>
        </w:rPr>
        <w:t>commitments,</w:t>
      </w:r>
      <w:r>
        <w:rPr>
          <w:spacing w:val="-7"/>
          <w:w w:val="105"/>
        </w:rPr>
        <w:t> </w:t>
      </w:r>
      <w:r>
        <w:rPr>
          <w:w w:val="105"/>
        </w:rPr>
        <w:t>events</w:t>
      </w:r>
      <w:r>
        <w:rPr>
          <w:spacing w:val="-7"/>
          <w:w w:val="105"/>
        </w:rPr>
        <w:t> </w:t>
      </w:r>
      <w:r>
        <w:rPr>
          <w:w w:val="105"/>
        </w:rPr>
        <w:t>or</w:t>
      </w:r>
      <w:r>
        <w:rPr>
          <w:spacing w:val="-7"/>
          <w:w w:val="105"/>
        </w:rPr>
        <w:t> </w:t>
      </w:r>
      <w:r>
        <w:rPr>
          <w:w w:val="105"/>
        </w:rPr>
        <w:t>uncertainties</w:t>
      </w:r>
      <w:r>
        <w:rPr>
          <w:spacing w:val="-7"/>
          <w:w w:val="105"/>
        </w:rPr>
        <w:t> </w:t>
      </w:r>
      <w:r>
        <w:rPr>
          <w:w w:val="105"/>
        </w:rPr>
        <w:t>that</w:t>
      </w:r>
      <w:r>
        <w:rPr>
          <w:spacing w:val="-7"/>
          <w:w w:val="105"/>
        </w:rPr>
        <w:t> </w:t>
      </w:r>
      <w:r>
        <w:rPr>
          <w:w w:val="105"/>
        </w:rPr>
        <w:t>will</w:t>
      </w:r>
      <w:r>
        <w:rPr>
          <w:spacing w:val="-7"/>
          <w:w w:val="105"/>
        </w:rPr>
        <w:t> </w:t>
      </w:r>
      <w:r>
        <w:rPr>
          <w:w w:val="105"/>
        </w:rPr>
        <w:t>result</w:t>
      </w:r>
      <w:r>
        <w:rPr>
          <w:spacing w:val="-7"/>
          <w:w w:val="105"/>
        </w:rPr>
        <w:t> </w:t>
      </w:r>
      <w:r>
        <w:rPr>
          <w:w w:val="105"/>
        </w:rPr>
        <w:t>in</w:t>
      </w:r>
      <w:r>
        <w:rPr>
          <w:spacing w:val="-7"/>
          <w:w w:val="105"/>
        </w:rPr>
        <w:t> </w:t>
      </w:r>
      <w:r>
        <w:rPr>
          <w:w w:val="105"/>
        </w:rPr>
        <w:t>or</w:t>
      </w:r>
      <w:r>
        <w:rPr>
          <w:spacing w:val="-6"/>
          <w:w w:val="105"/>
        </w:rPr>
        <w:t> </w:t>
      </w:r>
      <w:r>
        <w:rPr>
          <w:w w:val="105"/>
        </w:rPr>
        <w:t>that</w:t>
      </w:r>
      <w:r>
        <w:rPr>
          <w:spacing w:val="-7"/>
          <w:w w:val="105"/>
        </w:rPr>
        <w:t> </w:t>
      </w:r>
      <w:r>
        <w:rPr>
          <w:w w:val="105"/>
        </w:rPr>
        <w:t>are</w:t>
      </w:r>
      <w:r>
        <w:rPr>
          <w:spacing w:val="-7"/>
          <w:w w:val="105"/>
        </w:rPr>
        <w:t> </w:t>
      </w:r>
      <w:r>
        <w:rPr>
          <w:w w:val="105"/>
        </w:rPr>
        <w:t>reasonably</w:t>
      </w:r>
      <w:r>
        <w:rPr>
          <w:spacing w:val="-7"/>
          <w:w w:val="105"/>
        </w:rPr>
        <w:t> </w:t>
      </w:r>
      <w:r>
        <w:rPr>
          <w:w w:val="105"/>
        </w:rPr>
        <w:t>likely</w:t>
      </w:r>
      <w:r>
        <w:rPr>
          <w:spacing w:val="-7"/>
          <w:w w:val="105"/>
        </w:rPr>
        <w:t> </w:t>
      </w:r>
      <w:r>
        <w:rPr>
          <w:w w:val="105"/>
        </w:rPr>
        <w:t>to</w:t>
      </w:r>
      <w:r>
        <w:rPr>
          <w:spacing w:val="-7"/>
          <w:w w:val="105"/>
        </w:rPr>
        <w:t> </w:t>
      </w:r>
      <w:r>
        <w:rPr>
          <w:w w:val="105"/>
        </w:rPr>
        <w:t>result</w:t>
      </w:r>
      <w:r>
        <w:rPr>
          <w:spacing w:val="-7"/>
          <w:w w:val="105"/>
        </w:rPr>
        <w:t> </w:t>
      </w:r>
      <w:r>
        <w:rPr>
          <w:w w:val="105"/>
        </w:rPr>
        <w:t>in</w:t>
      </w:r>
      <w:r>
        <w:rPr>
          <w:spacing w:val="-7"/>
          <w:w w:val="105"/>
        </w:rPr>
        <w:t> </w:t>
      </w:r>
      <w:r>
        <w:rPr>
          <w:w w:val="105"/>
        </w:rPr>
        <w:t>a material</w:t>
      </w:r>
      <w:r>
        <w:rPr>
          <w:spacing w:val="-3"/>
          <w:w w:val="105"/>
        </w:rPr>
        <w:t> </w:t>
      </w:r>
      <w:r>
        <w:rPr>
          <w:w w:val="105"/>
        </w:rPr>
        <w:t>decrease</w:t>
      </w:r>
      <w:r>
        <w:rPr>
          <w:spacing w:val="-3"/>
          <w:w w:val="105"/>
        </w:rPr>
        <w:t> </w:t>
      </w:r>
      <w:r>
        <w:rPr>
          <w:w w:val="105"/>
        </w:rPr>
        <w:t>in</w:t>
      </w:r>
      <w:r>
        <w:rPr>
          <w:spacing w:val="-3"/>
          <w:w w:val="105"/>
        </w:rPr>
        <w:t> </w:t>
      </w:r>
      <w:r>
        <w:rPr>
          <w:w w:val="105"/>
        </w:rPr>
        <w:t>our</w:t>
      </w:r>
      <w:r>
        <w:rPr>
          <w:spacing w:val="-3"/>
          <w:w w:val="105"/>
        </w:rPr>
        <w:t> </w:t>
      </w:r>
      <w:r>
        <w:rPr>
          <w:w w:val="105"/>
        </w:rPr>
        <w:t>liquidity.</w:t>
      </w:r>
      <w:r>
        <w:rPr>
          <w:spacing w:val="-3"/>
          <w:w w:val="105"/>
        </w:rPr>
        <w:t> </w:t>
      </w:r>
      <w:r>
        <w:rPr>
          <w:w w:val="105"/>
        </w:rPr>
        <w:t>In</w:t>
      </w:r>
      <w:r>
        <w:rPr>
          <w:spacing w:val="-3"/>
          <w:w w:val="105"/>
        </w:rPr>
        <w:t> </w:t>
      </w:r>
      <w:r>
        <w:rPr>
          <w:w w:val="105"/>
        </w:rPr>
        <w:t>addition,</w:t>
      </w:r>
      <w:r>
        <w:rPr>
          <w:spacing w:val="-3"/>
          <w:w w:val="105"/>
        </w:rPr>
        <w:t> </w:t>
      </w:r>
      <w:r>
        <w:rPr>
          <w:w w:val="105"/>
        </w:rPr>
        <w:t>other</w:t>
      </w:r>
      <w:r>
        <w:rPr>
          <w:spacing w:val="-3"/>
          <w:w w:val="105"/>
        </w:rPr>
        <w:t> </w:t>
      </w:r>
      <w:r>
        <w:rPr>
          <w:w w:val="105"/>
        </w:rPr>
        <w:t>than</w:t>
      </w:r>
      <w:r>
        <w:rPr>
          <w:spacing w:val="-3"/>
          <w:w w:val="105"/>
        </w:rPr>
        <w:t> </w:t>
      </w:r>
      <w:r>
        <w:rPr>
          <w:w w:val="105"/>
        </w:rPr>
        <w:t>items</w:t>
      </w:r>
      <w:r>
        <w:rPr>
          <w:spacing w:val="-3"/>
          <w:w w:val="105"/>
        </w:rPr>
        <w:t> </w:t>
      </w:r>
      <w:r>
        <w:rPr>
          <w:w w:val="105"/>
        </w:rPr>
        <w:t>discussed,</w:t>
      </w:r>
      <w:r>
        <w:rPr>
          <w:spacing w:val="-1"/>
          <w:w w:val="105"/>
        </w:rPr>
        <w:t> </w:t>
      </w:r>
      <w:r>
        <w:rPr>
          <w:w w:val="105"/>
        </w:rPr>
        <w:t>there</w:t>
      </w:r>
      <w:r>
        <w:rPr>
          <w:spacing w:val="-3"/>
          <w:w w:val="105"/>
        </w:rPr>
        <w:t> </w:t>
      </w:r>
      <w:r>
        <w:rPr>
          <w:w w:val="105"/>
        </w:rPr>
        <w:t>are</w:t>
      </w:r>
      <w:r>
        <w:rPr>
          <w:spacing w:val="-3"/>
          <w:w w:val="105"/>
        </w:rPr>
        <w:t> </w:t>
      </w:r>
      <w:r>
        <w:rPr>
          <w:w w:val="105"/>
        </w:rPr>
        <w:t>no</w:t>
      </w:r>
      <w:r>
        <w:rPr>
          <w:spacing w:val="-3"/>
          <w:w w:val="105"/>
        </w:rPr>
        <w:t> </w:t>
      </w:r>
      <w:r>
        <w:rPr>
          <w:w w:val="105"/>
        </w:rPr>
        <w:t>known</w:t>
      </w:r>
      <w:r>
        <w:rPr>
          <w:spacing w:val="-3"/>
          <w:w w:val="105"/>
        </w:rPr>
        <w:t> </w:t>
      </w:r>
      <w:r>
        <w:rPr>
          <w:w w:val="105"/>
        </w:rPr>
        <w:t>material</w:t>
      </w:r>
      <w:r>
        <w:rPr>
          <w:spacing w:val="-3"/>
          <w:w w:val="105"/>
        </w:rPr>
        <w:t> </w:t>
      </w:r>
      <w:r>
        <w:rPr>
          <w:w w:val="105"/>
        </w:rPr>
        <w:t>trends,</w:t>
      </w:r>
      <w:r>
        <w:rPr>
          <w:spacing w:val="-3"/>
          <w:w w:val="105"/>
        </w:rPr>
        <w:t> </w:t>
      </w:r>
      <w:r>
        <w:rPr>
          <w:w w:val="105"/>
        </w:rPr>
        <w:t>favorable</w:t>
      </w:r>
      <w:r>
        <w:rPr>
          <w:spacing w:val="-3"/>
          <w:w w:val="105"/>
        </w:rPr>
        <w:t> </w:t>
      </w:r>
      <w:r>
        <w:rPr>
          <w:w w:val="105"/>
        </w:rPr>
        <w:t>or</w:t>
      </w:r>
      <w:r>
        <w:rPr>
          <w:spacing w:val="-3"/>
          <w:w w:val="105"/>
        </w:rPr>
        <w:t> </w:t>
      </w:r>
      <w:r>
        <w:rPr>
          <w:w w:val="105"/>
        </w:rPr>
        <w:t>unfavorable,</w:t>
      </w:r>
      <w:r>
        <w:rPr>
          <w:spacing w:val="-3"/>
          <w:w w:val="105"/>
        </w:rPr>
        <w:t> </w:t>
      </w:r>
      <w:r>
        <w:rPr>
          <w:w w:val="105"/>
        </w:rPr>
        <w:t>in</w:t>
      </w:r>
      <w:r>
        <w:rPr>
          <w:spacing w:val="-3"/>
          <w:w w:val="105"/>
        </w:rPr>
        <w:t> </w:t>
      </w:r>
      <w:r>
        <w:rPr>
          <w:w w:val="105"/>
        </w:rPr>
        <w:t>our</w:t>
      </w:r>
      <w:r>
        <w:rPr>
          <w:spacing w:val="-3"/>
          <w:w w:val="105"/>
        </w:rPr>
        <w:t> </w:t>
      </w:r>
      <w:r>
        <w:rPr>
          <w:w w:val="105"/>
        </w:rPr>
        <w:t>capital</w:t>
      </w:r>
      <w:r>
        <w:rPr>
          <w:spacing w:val="-3"/>
          <w:w w:val="105"/>
        </w:rPr>
        <w:t> </w:t>
      </w:r>
      <w:r>
        <w:rPr>
          <w:w w:val="105"/>
        </w:rPr>
        <w:t>resources</w:t>
      </w:r>
      <w:r>
        <w:rPr>
          <w:spacing w:val="-3"/>
          <w:w w:val="105"/>
        </w:rPr>
        <w:t> </w:t>
      </w:r>
      <w:r>
        <w:rPr>
          <w:w w:val="105"/>
        </w:rPr>
        <w:t>and</w:t>
      </w:r>
      <w:r>
        <w:rPr>
          <w:spacing w:val="-3"/>
          <w:w w:val="105"/>
        </w:rPr>
        <w:t> </w:t>
      </w:r>
      <w:r>
        <w:rPr>
          <w:w w:val="105"/>
        </w:rPr>
        <w:t>no expected material changes in the mix and relative cost of such resources.</w:t>
      </w:r>
    </w:p>
    <w:p>
      <w:pPr>
        <w:pStyle w:val="BodyText"/>
        <w:spacing w:before="18"/>
      </w:pPr>
    </w:p>
    <w:p>
      <w:pPr>
        <w:spacing w:before="0"/>
        <w:ind w:left="156" w:right="0" w:firstLine="0"/>
        <w:jc w:val="left"/>
        <w:rPr>
          <w:i/>
          <w:sz w:val="16"/>
        </w:rPr>
      </w:pPr>
      <w:r>
        <w:rPr>
          <w:i/>
          <w:sz w:val="16"/>
        </w:rPr>
        <w:t>Translated</w:t>
      </w:r>
      <w:r>
        <w:rPr>
          <w:i/>
          <w:spacing w:val="16"/>
          <w:sz w:val="16"/>
        </w:rPr>
        <w:t> </w:t>
      </w:r>
      <w:r>
        <w:rPr>
          <w:i/>
          <w:sz w:val="16"/>
        </w:rPr>
        <w:t>Earnings</w:t>
      </w:r>
      <w:r>
        <w:rPr>
          <w:i/>
          <w:spacing w:val="17"/>
          <w:sz w:val="16"/>
        </w:rPr>
        <w:t> </w:t>
      </w:r>
      <w:r>
        <w:rPr>
          <w:i/>
          <w:spacing w:val="-2"/>
          <w:sz w:val="16"/>
        </w:rPr>
        <w:t>Contracts</w:t>
      </w:r>
    </w:p>
    <w:p>
      <w:pPr>
        <w:pStyle w:val="BodyText"/>
        <w:spacing w:before="40"/>
        <w:rPr>
          <w:i/>
        </w:rPr>
      </w:pPr>
    </w:p>
    <w:p>
      <w:pPr>
        <w:pStyle w:val="BodyText"/>
        <w:spacing w:line="266" w:lineRule="auto"/>
        <w:ind w:left="156"/>
      </w:pPr>
      <w:r>
        <w:rPr>
          <w:w w:val="105"/>
        </w:rPr>
        <w:t>Corning</w:t>
      </w:r>
      <w:r>
        <w:rPr>
          <w:spacing w:val="-2"/>
          <w:w w:val="105"/>
        </w:rPr>
        <w:t> </w:t>
      </w:r>
      <w:r>
        <w:rPr>
          <w:w w:val="105"/>
        </w:rPr>
        <w:t>has</w:t>
      </w:r>
      <w:r>
        <w:rPr>
          <w:spacing w:val="-2"/>
          <w:w w:val="105"/>
        </w:rPr>
        <w:t> </w:t>
      </w:r>
      <w:r>
        <w:rPr>
          <w:w w:val="105"/>
        </w:rPr>
        <w:t>hedged</w:t>
      </w:r>
      <w:r>
        <w:rPr>
          <w:spacing w:val="-2"/>
          <w:w w:val="105"/>
        </w:rPr>
        <w:t> </w:t>
      </w:r>
      <w:r>
        <w:rPr>
          <w:w w:val="105"/>
        </w:rPr>
        <w:t>a</w:t>
      </w:r>
      <w:r>
        <w:rPr>
          <w:spacing w:val="-2"/>
          <w:w w:val="105"/>
        </w:rPr>
        <w:t> </w:t>
      </w:r>
      <w:r>
        <w:rPr>
          <w:w w:val="105"/>
        </w:rPr>
        <w:t>significant</w:t>
      </w:r>
      <w:r>
        <w:rPr>
          <w:spacing w:val="-2"/>
          <w:w w:val="105"/>
        </w:rPr>
        <w:t> </w:t>
      </w:r>
      <w:r>
        <w:rPr>
          <w:w w:val="105"/>
        </w:rPr>
        <w:t>portion</w:t>
      </w:r>
      <w:r>
        <w:rPr>
          <w:spacing w:val="-2"/>
          <w:w w:val="105"/>
        </w:rPr>
        <w:t> </w:t>
      </w:r>
      <w:r>
        <w:rPr>
          <w:w w:val="105"/>
        </w:rPr>
        <w:t>of</w:t>
      </w:r>
      <w:r>
        <w:rPr>
          <w:spacing w:val="-2"/>
          <w:w w:val="105"/>
        </w:rPr>
        <w:t> </w:t>
      </w:r>
      <w:r>
        <w:rPr>
          <w:w w:val="105"/>
        </w:rPr>
        <w:t>its</w:t>
      </w:r>
      <w:r>
        <w:rPr>
          <w:spacing w:val="-2"/>
          <w:w w:val="105"/>
        </w:rPr>
        <w:t> </w:t>
      </w:r>
      <w:r>
        <w:rPr>
          <w:w w:val="105"/>
        </w:rPr>
        <w:t>projected</w:t>
      </w:r>
      <w:r>
        <w:rPr>
          <w:spacing w:val="-2"/>
          <w:w w:val="105"/>
        </w:rPr>
        <w:t> </w:t>
      </w:r>
      <w:r>
        <w:rPr>
          <w:w w:val="105"/>
        </w:rPr>
        <w:t>yen exposure</w:t>
      </w:r>
      <w:r>
        <w:rPr>
          <w:spacing w:val="-2"/>
          <w:w w:val="105"/>
        </w:rPr>
        <w:t> </w:t>
      </w:r>
      <w:r>
        <w:rPr>
          <w:w w:val="105"/>
        </w:rPr>
        <w:t>for</w:t>
      </w:r>
      <w:r>
        <w:rPr>
          <w:spacing w:val="-2"/>
          <w:w w:val="105"/>
        </w:rPr>
        <w:t> </w:t>
      </w:r>
      <w:r>
        <w:rPr>
          <w:w w:val="105"/>
        </w:rPr>
        <w:t>the</w:t>
      </w:r>
      <w:r>
        <w:rPr>
          <w:spacing w:val="-2"/>
          <w:w w:val="105"/>
        </w:rPr>
        <w:t> </w:t>
      </w:r>
      <w:r>
        <w:rPr>
          <w:w w:val="105"/>
        </w:rPr>
        <w:t>period</w:t>
      </w:r>
      <w:r>
        <w:rPr>
          <w:spacing w:val="-2"/>
          <w:w w:val="105"/>
        </w:rPr>
        <w:t> </w:t>
      </w:r>
      <w:r>
        <w:rPr>
          <w:w w:val="105"/>
        </w:rPr>
        <w:t>2022</w:t>
      </w:r>
      <w:r>
        <w:rPr>
          <w:spacing w:val="-2"/>
          <w:w w:val="105"/>
        </w:rPr>
        <w:t> </w:t>
      </w:r>
      <w:r>
        <w:rPr>
          <w:w w:val="105"/>
        </w:rPr>
        <w:t>through</w:t>
      </w:r>
      <w:r>
        <w:rPr>
          <w:spacing w:val="-2"/>
          <w:w w:val="105"/>
        </w:rPr>
        <w:t> </w:t>
      </w:r>
      <w:r>
        <w:rPr>
          <w:w w:val="105"/>
        </w:rPr>
        <w:t>2024,</w:t>
      </w:r>
      <w:r>
        <w:rPr>
          <w:spacing w:val="-2"/>
          <w:w w:val="105"/>
        </w:rPr>
        <w:t> </w:t>
      </w:r>
      <w:r>
        <w:rPr>
          <w:w w:val="105"/>
        </w:rPr>
        <w:t>with average</w:t>
      </w:r>
      <w:r>
        <w:rPr>
          <w:spacing w:val="-2"/>
          <w:w w:val="105"/>
        </w:rPr>
        <w:t> </w:t>
      </w:r>
      <w:r>
        <w:rPr>
          <w:w w:val="105"/>
        </w:rPr>
        <w:t>rate</w:t>
      </w:r>
      <w:r>
        <w:rPr>
          <w:spacing w:val="-2"/>
          <w:w w:val="105"/>
        </w:rPr>
        <w:t> </w:t>
      </w:r>
      <w:r>
        <w:rPr>
          <w:w w:val="105"/>
        </w:rPr>
        <w:t>forwards</w:t>
      </w:r>
      <w:r>
        <w:rPr>
          <w:spacing w:val="-2"/>
          <w:w w:val="105"/>
        </w:rPr>
        <w:t> </w:t>
      </w:r>
      <w:r>
        <w:rPr>
          <w:w w:val="105"/>
        </w:rPr>
        <w:t>and</w:t>
      </w:r>
      <w:r>
        <w:rPr>
          <w:spacing w:val="-2"/>
          <w:w w:val="105"/>
        </w:rPr>
        <w:t> </w:t>
      </w:r>
      <w:r>
        <w:rPr>
          <w:w w:val="105"/>
        </w:rPr>
        <w:t>options.</w:t>
      </w:r>
      <w:r>
        <w:rPr>
          <w:spacing w:val="-2"/>
          <w:w w:val="105"/>
        </w:rPr>
        <w:t> </w:t>
      </w:r>
      <w:r>
        <w:rPr>
          <w:w w:val="105"/>
        </w:rPr>
        <w:t>In</w:t>
      </w:r>
      <w:r>
        <w:rPr>
          <w:spacing w:val="-2"/>
          <w:w w:val="105"/>
        </w:rPr>
        <w:t> </w:t>
      </w:r>
      <w:r>
        <w:rPr>
          <w:w w:val="105"/>
        </w:rPr>
        <w:t>the</w:t>
      </w:r>
      <w:r>
        <w:rPr>
          <w:spacing w:val="-2"/>
          <w:w w:val="105"/>
        </w:rPr>
        <w:t> </w:t>
      </w:r>
      <w:r>
        <w:rPr>
          <w:w w:val="105"/>
        </w:rPr>
        <w:t>years</w:t>
      </w:r>
      <w:r>
        <w:rPr>
          <w:spacing w:val="-2"/>
          <w:w w:val="105"/>
        </w:rPr>
        <w:t> </w:t>
      </w:r>
      <w:r>
        <w:rPr>
          <w:w w:val="105"/>
        </w:rPr>
        <w:t>ended December</w:t>
      </w:r>
      <w:r>
        <w:rPr>
          <w:spacing w:val="-7"/>
          <w:w w:val="105"/>
        </w:rPr>
        <w:t> </w:t>
      </w:r>
      <w:r>
        <w:rPr>
          <w:w w:val="105"/>
        </w:rPr>
        <w:t>31,</w:t>
      </w:r>
      <w:r>
        <w:rPr>
          <w:spacing w:val="-7"/>
          <w:w w:val="105"/>
        </w:rPr>
        <w:t> </w:t>
      </w:r>
      <w:r>
        <w:rPr>
          <w:w w:val="105"/>
        </w:rPr>
        <w:t>2021</w:t>
      </w:r>
      <w:r>
        <w:rPr>
          <w:spacing w:val="-7"/>
          <w:w w:val="105"/>
        </w:rPr>
        <w:t> </w:t>
      </w:r>
      <w:r>
        <w:rPr>
          <w:w w:val="105"/>
        </w:rPr>
        <w:t>and</w:t>
      </w:r>
      <w:r>
        <w:rPr>
          <w:spacing w:val="-7"/>
          <w:w w:val="105"/>
        </w:rPr>
        <w:t> </w:t>
      </w:r>
      <w:r>
        <w:rPr>
          <w:w w:val="105"/>
        </w:rPr>
        <w:t>2020,</w:t>
      </w:r>
      <w:r>
        <w:rPr>
          <w:spacing w:val="-7"/>
          <w:w w:val="105"/>
        </w:rPr>
        <w:t> </w:t>
      </w:r>
      <w:r>
        <w:rPr>
          <w:w w:val="105"/>
        </w:rPr>
        <w:t>we</w:t>
      </w:r>
      <w:r>
        <w:rPr>
          <w:spacing w:val="-7"/>
          <w:w w:val="105"/>
        </w:rPr>
        <w:t> </w:t>
      </w:r>
      <w:r>
        <w:rPr>
          <w:w w:val="105"/>
        </w:rPr>
        <w:t>recorded</w:t>
      </w:r>
      <w:r>
        <w:rPr>
          <w:spacing w:val="-7"/>
          <w:w w:val="105"/>
        </w:rPr>
        <w:t> </w:t>
      </w:r>
      <w:r>
        <w:rPr>
          <w:w w:val="105"/>
        </w:rPr>
        <w:t>a</w:t>
      </w:r>
      <w:r>
        <w:rPr>
          <w:spacing w:val="-7"/>
          <w:w w:val="105"/>
        </w:rPr>
        <w:t> </w:t>
      </w:r>
      <w:r>
        <w:rPr>
          <w:w w:val="105"/>
        </w:rPr>
        <w:t>pre-tax</w:t>
      </w:r>
      <w:r>
        <w:rPr>
          <w:spacing w:val="-7"/>
          <w:w w:val="105"/>
        </w:rPr>
        <w:t> </w:t>
      </w:r>
      <w:r>
        <w:rPr>
          <w:w w:val="105"/>
        </w:rPr>
        <w:t>net</w:t>
      </w:r>
      <w:r>
        <w:rPr>
          <w:spacing w:val="-7"/>
          <w:w w:val="105"/>
        </w:rPr>
        <w:t> </w:t>
      </w:r>
      <w:r>
        <w:rPr>
          <w:w w:val="105"/>
        </w:rPr>
        <w:t>gain</w:t>
      </w:r>
      <w:r>
        <w:rPr>
          <w:spacing w:val="-7"/>
          <w:w w:val="105"/>
        </w:rPr>
        <w:t> </w:t>
      </w:r>
      <w:r>
        <w:rPr>
          <w:w w:val="105"/>
        </w:rPr>
        <w:t>of</w:t>
      </w:r>
      <w:r>
        <w:rPr>
          <w:spacing w:val="-7"/>
          <w:w w:val="105"/>
        </w:rPr>
        <w:t> </w:t>
      </w:r>
      <w:r>
        <w:rPr>
          <w:w w:val="105"/>
        </w:rPr>
        <w:t>$363</w:t>
      </w:r>
      <w:r>
        <w:rPr>
          <w:spacing w:val="-7"/>
          <w:w w:val="105"/>
        </w:rPr>
        <w:t> </w:t>
      </w:r>
      <w:r>
        <w:rPr>
          <w:w w:val="105"/>
        </w:rPr>
        <w:t>million</w:t>
      </w:r>
      <w:r>
        <w:rPr>
          <w:spacing w:val="-7"/>
          <w:w w:val="105"/>
        </w:rPr>
        <w:t> </w:t>
      </w:r>
      <w:r>
        <w:rPr>
          <w:w w:val="105"/>
        </w:rPr>
        <w:t>and</w:t>
      </w:r>
      <w:r>
        <w:rPr>
          <w:spacing w:val="-7"/>
          <w:w w:val="105"/>
        </w:rPr>
        <w:t> </w:t>
      </w:r>
      <w:r>
        <w:rPr>
          <w:w w:val="105"/>
        </w:rPr>
        <w:t>a</w:t>
      </w:r>
      <w:r>
        <w:rPr>
          <w:spacing w:val="-7"/>
          <w:w w:val="105"/>
        </w:rPr>
        <w:t> </w:t>
      </w:r>
      <w:r>
        <w:rPr>
          <w:w w:val="105"/>
        </w:rPr>
        <w:t>pre-tax</w:t>
      </w:r>
      <w:r>
        <w:rPr>
          <w:spacing w:val="29"/>
          <w:w w:val="105"/>
        </w:rPr>
        <w:t> </w:t>
      </w:r>
      <w:r>
        <w:rPr>
          <w:w w:val="105"/>
        </w:rPr>
        <w:t>net</w:t>
      </w:r>
      <w:r>
        <w:rPr>
          <w:spacing w:val="-7"/>
          <w:w w:val="105"/>
        </w:rPr>
        <w:t> </w:t>
      </w:r>
      <w:r>
        <w:rPr>
          <w:w w:val="105"/>
        </w:rPr>
        <w:t>loss</w:t>
      </w:r>
      <w:r>
        <w:rPr>
          <w:spacing w:val="-7"/>
          <w:w w:val="105"/>
        </w:rPr>
        <w:t> </w:t>
      </w:r>
      <w:r>
        <w:rPr>
          <w:w w:val="105"/>
        </w:rPr>
        <w:t>of</w:t>
      </w:r>
      <w:r>
        <w:rPr>
          <w:spacing w:val="-7"/>
          <w:w w:val="105"/>
        </w:rPr>
        <w:t> </w:t>
      </w:r>
      <w:r>
        <w:rPr>
          <w:w w:val="105"/>
        </w:rPr>
        <w:t>$38</w:t>
      </w:r>
      <w:r>
        <w:rPr>
          <w:spacing w:val="-5"/>
          <w:w w:val="105"/>
        </w:rPr>
        <w:t> </w:t>
      </w:r>
      <w:r>
        <w:rPr>
          <w:w w:val="105"/>
        </w:rPr>
        <w:t>million,</w:t>
      </w:r>
      <w:r>
        <w:rPr>
          <w:spacing w:val="-7"/>
          <w:w w:val="105"/>
        </w:rPr>
        <w:t> </w:t>
      </w:r>
      <w:r>
        <w:rPr>
          <w:w w:val="105"/>
        </w:rPr>
        <w:t>respectively,</w:t>
      </w:r>
      <w:r>
        <w:rPr>
          <w:spacing w:val="-5"/>
          <w:w w:val="105"/>
        </w:rPr>
        <w:t> </w:t>
      </w:r>
      <w:r>
        <w:rPr>
          <w:w w:val="105"/>
        </w:rPr>
        <w:t>related</w:t>
      </w:r>
      <w:r>
        <w:rPr>
          <w:spacing w:val="-7"/>
          <w:w w:val="105"/>
        </w:rPr>
        <w:t> </w:t>
      </w:r>
      <w:r>
        <w:rPr>
          <w:w w:val="105"/>
        </w:rPr>
        <w:t>to</w:t>
      </w:r>
      <w:r>
        <w:rPr>
          <w:spacing w:val="-7"/>
          <w:w w:val="105"/>
        </w:rPr>
        <w:t> </w:t>
      </w:r>
      <w:r>
        <w:rPr>
          <w:w w:val="105"/>
        </w:rPr>
        <w:t>changes</w:t>
      </w:r>
      <w:r>
        <w:rPr>
          <w:spacing w:val="-7"/>
          <w:w w:val="105"/>
        </w:rPr>
        <w:t> </w:t>
      </w:r>
      <w:r>
        <w:rPr>
          <w:w w:val="105"/>
        </w:rPr>
        <w:t>in</w:t>
      </w:r>
      <w:r>
        <w:rPr>
          <w:spacing w:val="-7"/>
          <w:w w:val="105"/>
        </w:rPr>
        <w:t> </w:t>
      </w:r>
      <w:r>
        <w:rPr>
          <w:w w:val="105"/>
        </w:rPr>
        <w:t>the</w:t>
      </w:r>
      <w:r>
        <w:rPr>
          <w:spacing w:val="-5"/>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these instruments.</w:t>
      </w:r>
      <w:r>
        <w:rPr>
          <w:spacing w:val="39"/>
          <w:w w:val="105"/>
        </w:rPr>
        <w:t> </w:t>
      </w:r>
      <w:r>
        <w:rPr>
          <w:w w:val="105"/>
        </w:rPr>
        <w:t>Included</w:t>
      </w:r>
      <w:r>
        <w:rPr>
          <w:spacing w:val="-2"/>
          <w:w w:val="105"/>
        </w:rPr>
        <w:t> </w:t>
      </w:r>
      <w:r>
        <w:rPr>
          <w:w w:val="105"/>
        </w:rPr>
        <w:t>in</w:t>
      </w:r>
      <w:r>
        <w:rPr>
          <w:spacing w:val="-2"/>
          <w:w w:val="105"/>
        </w:rPr>
        <w:t> </w:t>
      </w:r>
      <w:r>
        <w:rPr>
          <w:w w:val="105"/>
        </w:rPr>
        <w:t>these</w:t>
      </w:r>
      <w:r>
        <w:rPr>
          <w:spacing w:val="-2"/>
          <w:w w:val="105"/>
        </w:rPr>
        <w:t> </w:t>
      </w:r>
      <w:r>
        <w:rPr>
          <w:w w:val="105"/>
        </w:rPr>
        <w:t>amounts</w:t>
      </w:r>
      <w:r>
        <w:rPr>
          <w:spacing w:val="-2"/>
          <w:w w:val="105"/>
        </w:rPr>
        <w:t> </w:t>
      </w:r>
      <w:r>
        <w:rPr>
          <w:w w:val="105"/>
        </w:rPr>
        <w:t>is</w:t>
      </w:r>
      <w:r>
        <w:rPr>
          <w:spacing w:val="-2"/>
          <w:w w:val="105"/>
        </w:rPr>
        <w:t> </w:t>
      </w:r>
      <w:r>
        <w:rPr>
          <w:w w:val="105"/>
        </w:rPr>
        <w:t>a</w:t>
      </w:r>
      <w:r>
        <w:rPr>
          <w:spacing w:val="-2"/>
          <w:w w:val="105"/>
        </w:rPr>
        <w:t> </w:t>
      </w:r>
      <w:r>
        <w:rPr>
          <w:w w:val="105"/>
        </w:rPr>
        <w:t>realized</w:t>
      </w:r>
      <w:r>
        <w:rPr>
          <w:spacing w:val="-2"/>
          <w:w w:val="105"/>
        </w:rPr>
        <w:t> </w:t>
      </w:r>
      <w:r>
        <w:rPr>
          <w:w w:val="105"/>
        </w:rPr>
        <w:t>gain</w:t>
      </w:r>
      <w:r>
        <w:rPr>
          <w:spacing w:val="-2"/>
          <w:w w:val="105"/>
        </w:rPr>
        <w:t> </w:t>
      </w:r>
      <w:r>
        <w:rPr>
          <w:w w:val="105"/>
        </w:rPr>
        <w:t>of</w:t>
      </w:r>
      <w:r>
        <w:rPr>
          <w:spacing w:val="-2"/>
          <w:w w:val="105"/>
        </w:rPr>
        <w:t> </w:t>
      </w:r>
      <w:r>
        <w:rPr>
          <w:w w:val="105"/>
        </w:rPr>
        <w:t>$27</w:t>
      </w:r>
      <w:r>
        <w:rPr>
          <w:spacing w:val="-2"/>
          <w:w w:val="105"/>
        </w:rPr>
        <w:t> </w:t>
      </w:r>
      <w:r>
        <w:rPr>
          <w:w w:val="105"/>
        </w:rPr>
        <w:t>million</w:t>
      </w:r>
      <w:r>
        <w:rPr>
          <w:spacing w:val="-2"/>
          <w:w w:val="105"/>
        </w:rPr>
        <w:t> </w:t>
      </w:r>
      <w:r>
        <w:rPr>
          <w:w w:val="105"/>
        </w:rPr>
        <w:t>and</w:t>
      </w:r>
      <w:r>
        <w:rPr>
          <w:spacing w:val="-2"/>
          <w:w w:val="105"/>
        </w:rPr>
        <w:t> </w:t>
      </w:r>
      <w:r>
        <w:rPr>
          <w:w w:val="105"/>
        </w:rPr>
        <w:t>a</w:t>
      </w:r>
      <w:r>
        <w:rPr>
          <w:spacing w:val="-2"/>
          <w:w w:val="105"/>
        </w:rPr>
        <w:t> </w:t>
      </w:r>
      <w:r>
        <w:rPr>
          <w:w w:val="105"/>
        </w:rPr>
        <w:t>realized</w:t>
      </w:r>
      <w:r>
        <w:rPr>
          <w:spacing w:val="-2"/>
          <w:w w:val="105"/>
        </w:rPr>
        <w:t> </w:t>
      </w:r>
      <w:r>
        <w:rPr>
          <w:w w:val="105"/>
        </w:rPr>
        <w:t>loss</w:t>
      </w:r>
      <w:r>
        <w:rPr>
          <w:spacing w:val="-2"/>
          <w:w w:val="105"/>
        </w:rPr>
        <w:t> </w:t>
      </w:r>
      <w:r>
        <w:rPr>
          <w:w w:val="105"/>
        </w:rPr>
        <w:t>of</w:t>
      </w:r>
      <w:r>
        <w:rPr>
          <w:spacing w:val="-2"/>
          <w:w w:val="105"/>
        </w:rPr>
        <w:t> </w:t>
      </w:r>
      <w:r>
        <w:rPr>
          <w:w w:val="105"/>
        </w:rPr>
        <w:t>$31</w:t>
      </w:r>
      <w:r>
        <w:rPr>
          <w:spacing w:val="-2"/>
          <w:w w:val="105"/>
        </w:rPr>
        <w:t> </w:t>
      </w:r>
      <w:r>
        <w:rPr>
          <w:w w:val="105"/>
        </w:rPr>
        <w:t>million,</w:t>
      </w:r>
      <w:r>
        <w:rPr>
          <w:spacing w:val="-2"/>
          <w:w w:val="105"/>
        </w:rPr>
        <w:t> </w:t>
      </w:r>
      <w:r>
        <w:rPr>
          <w:w w:val="105"/>
        </w:rPr>
        <w:t>respectively.</w:t>
      </w:r>
      <w:r>
        <w:rPr>
          <w:spacing w:val="39"/>
          <w:w w:val="105"/>
        </w:rPr>
        <w:t> </w:t>
      </w:r>
      <w:r>
        <w:rPr>
          <w:w w:val="105"/>
        </w:rPr>
        <w:t>The</w:t>
      </w:r>
      <w:r>
        <w:rPr>
          <w:spacing w:val="-2"/>
          <w:w w:val="105"/>
        </w:rPr>
        <w:t> </w:t>
      </w:r>
      <w:r>
        <w:rPr>
          <w:w w:val="105"/>
        </w:rPr>
        <w:t>gross</w:t>
      </w:r>
      <w:r>
        <w:rPr>
          <w:spacing w:val="-2"/>
          <w:w w:val="105"/>
        </w:rPr>
        <w:t> </w:t>
      </w:r>
      <w:r>
        <w:rPr>
          <w:w w:val="105"/>
        </w:rPr>
        <w:t>notional</w:t>
      </w:r>
      <w:r>
        <w:rPr>
          <w:spacing w:val="-2"/>
          <w:w w:val="105"/>
        </w:rPr>
        <w:t> </w:t>
      </w:r>
      <w:r>
        <w:rPr>
          <w:w w:val="105"/>
        </w:rPr>
        <w:t>value</w:t>
      </w:r>
      <w:r>
        <w:rPr>
          <w:spacing w:val="-2"/>
          <w:w w:val="105"/>
        </w:rPr>
        <w:t> </w:t>
      </w:r>
      <w:r>
        <w:rPr>
          <w:w w:val="105"/>
        </w:rPr>
        <w:t>outstanding</w:t>
      </w:r>
      <w:r>
        <w:rPr>
          <w:spacing w:val="-2"/>
          <w:w w:val="105"/>
        </w:rPr>
        <w:t> </w:t>
      </w:r>
      <w:r>
        <w:rPr>
          <w:w w:val="105"/>
        </w:rPr>
        <w:t>for</w:t>
      </w:r>
      <w:r>
        <w:rPr>
          <w:spacing w:val="-2"/>
          <w:w w:val="105"/>
        </w:rPr>
        <w:t> </w:t>
      </w:r>
      <w:r>
        <w:rPr>
          <w:w w:val="105"/>
        </w:rPr>
        <w:t>these instruments which hedge our exposure to the Japanese yen at December 31, 2021 and 2020, was $6.5 billion.</w:t>
      </w:r>
    </w:p>
    <w:p>
      <w:pPr>
        <w:pStyle w:val="BodyText"/>
        <w:spacing w:before="18"/>
      </w:pPr>
    </w:p>
    <w:p>
      <w:pPr>
        <w:pStyle w:val="BodyText"/>
        <w:spacing w:line="266" w:lineRule="auto"/>
        <w:ind w:left="156" w:right="117"/>
      </w:pPr>
      <w:r>
        <w:rPr>
          <w:w w:val="105"/>
        </w:rPr>
        <w:t>We</w:t>
      </w:r>
      <w:r>
        <w:rPr>
          <w:spacing w:val="-7"/>
          <w:w w:val="105"/>
        </w:rPr>
        <w:t> </w:t>
      </w:r>
      <w:r>
        <w:rPr>
          <w:w w:val="105"/>
        </w:rPr>
        <w:t>have</w:t>
      </w:r>
      <w:r>
        <w:rPr>
          <w:spacing w:val="-7"/>
          <w:w w:val="105"/>
        </w:rPr>
        <w:t> </w:t>
      </w:r>
      <w:r>
        <w:rPr>
          <w:w w:val="105"/>
        </w:rPr>
        <w:t>entered</w:t>
      </w:r>
      <w:r>
        <w:rPr>
          <w:spacing w:val="-7"/>
          <w:w w:val="105"/>
        </w:rPr>
        <w:t> </w:t>
      </w:r>
      <w:r>
        <w:rPr>
          <w:w w:val="105"/>
        </w:rPr>
        <w:t>into</w:t>
      </w:r>
      <w:r>
        <w:rPr>
          <w:spacing w:val="-7"/>
          <w:w w:val="105"/>
        </w:rPr>
        <w:t> </w:t>
      </w:r>
      <w:r>
        <w:rPr>
          <w:w w:val="105"/>
        </w:rPr>
        <w:t>average</w:t>
      </w:r>
      <w:r>
        <w:rPr>
          <w:spacing w:val="-7"/>
          <w:w w:val="105"/>
        </w:rPr>
        <w:t> </w:t>
      </w:r>
      <w:r>
        <w:rPr>
          <w:w w:val="105"/>
        </w:rPr>
        <w:t>rate</w:t>
      </w:r>
      <w:r>
        <w:rPr>
          <w:spacing w:val="-7"/>
          <w:w w:val="105"/>
        </w:rPr>
        <w:t> </w:t>
      </w:r>
      <w:r>
        <w:rPr>
          <w:w w:val="105"/>
        </w:rPr>
        <w:t>forwards</w:t>
      </w:r>
      <w:r>
        <w:rPr>
          <w:spacing w:val="-7"/>
          <w:w w:val="105"/>
        </w:rPr>
        <w:t> </w:t>
      </w:r>
      <w:r>
        <w:rPr>
          <w:w w:val="105"/>
        </w:rPr>
        <w:t>to</w:t>
      </w:r>
      <w:r>
        <w:rPr>
          <w:spacing w:val="-7"/>
          <w:w w:val="105"/>
        </w:rPr>
        <w:t> </w:t>
      </w:r>
      <w:r>
        <w:rPr>
          <w:w w:val="105"/>
        </w:rPr>
        <w:t>hedge</w:t>
      </w:r>
      <w:r>
        <w:rPr>
          <w:spacing w:val="-7"/>
          <w:w w:val="105"/>
        </w:rPr>
        <w:t> </w:t>
      </w:r>
      <w:r>
        <w:rPr>
          <w:w w:val="105"/>
        </w:rPr>
        <w:t>our</w:t>
      </w:r>
      <w:r>
        <w:rPr>
          <w:spacing w:val="-7"/>
          <w:w w:val="105"/>
        </w:rPr>
        <w:t> </w:t>
      </w:r>
      <w:r>
        <w:rPr>
          <w:w w:val="105"/>
        </w:rPr>
        <w:t>translation</w:t>
      </w:r>
      <w:r>
        <w:rPr>
          <w:spacing w:val="-7"/>
          <w:w w:val="105"/>
        </w:rPr>
        <w:t> </w:t>
      </w:r>
      <w:r>
        <w:rPr>
          <w:w w:val="105"/>
        </w:rPr>
        <w:t>exposure</w:t>
      </w:r>
      <w:r>
        <w:rPr>
          <w:spacing w:val="-7"/>
          <w:w w:val="105"/>
        </w:rPr>
        <w:t> </w:t>
      </w:r>
      <w:r>
        <w:rPr>
          <w:w w:val="105"/>
        </w:rPr>
        <w:t>resulting</w:t>
      </w:r>
      <w:r>
        <w:rPr>
          <w:spacing w:val="-7"/>
          <w:w w:val="105"/>
        </w:rPr>
        <w:t> </w:t>
      </w:r>
      <w:r>
        <w:rPr>
          <w:w w:val="105"/>
        </w:rPr>
        <w:t>from</w:t>
      </w:r>
      <w:r>
        <w:rPr>
          <w:spacing w:val="-7"/>
          <w:w w:val="105"/>
        </w:rPr>
        <w:t> </w:t>
      </w:r>
      <w:r>
        <w:rPr>
          <w:w w:val="105"/>
        </w:rPr>
        <w:t>movements</w:t>
      </w:r>
      <w:r>
        <w:rPr>
          <w:spacing w:val="-7"/>
          <w:w w:val="105"/>
        </w:rPr>
        <w:t> </w:t>
      </w:r>
      <w:r>
        <w:rPr>
          <w:w w:val="105"/>
        </w:rPr>
        <w:t>in</w:t>
      </w:r>
      <w:r>
        <w:rPr>
          <w:spacing w:val="-5"/>
          <w:w w:val="105"/>
        </w:rPr>
        <w:t> </w:t>
      </w:r>
      <w:r>
        <w:rPr>
          <w:w w:val="105"/>
        </w:rPr>
        <w:t>the</w:t>
      </w:r>
      <w:r>
        <w:rPr>
          <w:spacing w:val="-7"/>
          <w:w w:val="105"/>
        </w:rPr>
        <w:t> </w:t>
      </w:r>
      <w:r>
        <w:rPr>
          <w:w w:val="105"/>
        </w:rPr>
        <w:t>South</w:t>
      </w:r>
      <w:r>
        <w:rPr>
          <w:spacing w:val="-7"/>
          <w:w w:val="105"/>
        </w:rPr>
        <w:t> </w:t>
      </w:r>
      <w:r>
        <w:rPr>
          <w:w w:val="105"/>
        </w:rPr>
        <w:t>Korean</w:t>
      </w:r>
      <w:r>
        <w:rPr>
          <w:spacing w:val="-7"/>
          <w:w w:val="105"/>
        </w:rPr>
        <w:t> </w:t>
      </w:r>
      <w:r>
        <w:rPr>
          <w:w w:val="105"/>
        </w:rPr>
        <w:t>won</w:t>
      </w:r>
      <w:r>
        <w:rPr>
          <w:spacing w:val="-7"/>
          <w:w w:val="105"/>
        </w:rPr>
        <w:t> </w:t>
      </w:r>
      <w:r>
        <w:rPr>
          <w:w w:val="105"/>
        </w:rPr>
        <w:t>and</w:t>
      </w:r>
      <w:r>
        <w:rPr>
          <w:spacing w:val="-7"/>
          <w:w w:val="105"/>
        </w:rPr>
        <w:t> </w:t>
      </w:r>
      <w:r>
        <w:rPr>
          <w:w w:val="105"/>
        </w:rPr>
        <w:t>its</w:t>
      </w:r>
      <w:r>
        <w:rPr>
          <w:spacing w:val="-7"/>
          <w:w w:val="105"/>
        </w:rPr>
        <w:t> </w:t>
      </w:r>
      <w:r>
        <w:rPr>
          <w:w w:val="105"/>
        </w:rPr>
        <w:t>impact</w:t>
      </w:r>
      <w:r>
        <w:rPr>
          <w:spacing w:val="-7"/>
          <w:w w:val="105"/>
        </w:rPr>
        <w:t> </w:t>
      </w:r>
      <w:r>
        <w:rPr>
          <w:w w:val="105"/>
        </w:rPr>
        <w:t>on</w:t>
      </w:r>
      <w:r>
        <w:rPr>
          <w:spacing w:val="-7"/>
          <w:w w:val="105"/>
        </w:rPr>
        <w:t> </w:t>
      </w:r>
      <w:r>
        <w:rPr>
          <w:w w:val="105"/>
        </w:rPr>
        <w:t>our</w:t>
      </w:r>
      <w:r>
        <w:rPr>
          <w:spacing w:val="-7"/>
          <w:w w:val="105"/>
        </w:rPr>
        <w:t> </w:t>
      </w:r>
      <w:r>
        <w:rPr>
          <w:w w:val="105"/>
        </w:rPr>
        <w:t>net</w:t>
      </w:r>
      <w:r>
        <w:rPr>
          <w:spacing w:val="-7"/>
          <w:w w:val="105"/>
        </w:rPr>
        <w:t> </w:t>
      </w:r>
      <w:r>
        <w:rPr>
          <w:w w:val="105"/>
        </w:rPr>
        <w:t>income.</w:t>
      </w:r>
      <w:r>
        <w:rPr>
          <w:spacing w:val="28"/>
          <w:w w:val="105"/>
        </w:rPr>
        <w:t> </w:t>
      </w:r>
      <w:r>
        <w:rPr>
          <w:w w:val="105"/>
        </w:rPr>
        <w:t>In</w:t>
      </w:r>
      <w:r>
        <w:rPr>
          <w:spacing w:val="-7"/>
          <w:w w:val="105"/>
        </w:rPr>
        <w:t> </w:t>
      </w:r>
      <w:r>
        <w:rPr>
          <w:w w:val="105"/>
        </w:rPr>
        <w:t>the years</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2021</w:t>
      </w:r>
      <w:r>
        <w:rPr>
          <w:spacing w:val="-2"/>
          <w:w w:val="105"/>
        </w:rPr>
        <w:t> </w:t>
      </w:r>
      <w:r>
        <w:rPr>
          <w:w w:val="105"/>
        </w:rPr>
        <w:t>and</w:t>
      </w:r>
      <w:r>
        <w:rPr>
          <w:spacing w:val="-2"/>
          <w:w w:val="105"/>
        </w:rPr>
        <w:t> </w:t>
      </w:r>
      <w:r>
        <w:rPr>
          <w:w w:val="105"/>
        </w:rPr>
        <w:t>2020,</w:t>
      </w:r>
      <w:r>
        <w:rPr>
          <w:spacing w:val="-2"/>
          <w:w w:val="105"/>
        </w:rPr>
        <w:t> </w:t>
      </w:r>
      <w:r>
        <w:rPr>
          <w:w w:val="105"/>
        </w:rPr>
        <w:t>we</w:t>
      </w:r>
      <w:r>
        <w:rPr>
          <w:spacing w:val="-2"/>
          <w:w w:val="105"/>
        </w:rPr>
        <w:t> </w:t>
      </w:r>
      <w:r>
        <w:rPr>
          <w:w w:val="105"/>
        </w:rPr>
        <w:t>recorded</w:t>
      </w:r>
      <w:r>
        <w:rPr>
          <w:spacing w:val="-2"/>
          <w:w w:val="105"/>
        </w:rPr>
        <w:t> </w:t>
      </w:r>
      <w:r>
        <w:rPr>
          <w:w w:val="105"/>
        </w:rPr>
        <w:t>a</w:t>
      </w:r>
      <w:r>
        <w:rPr>
          <w:spacing w:val="-2"/>
          <w:w w:val="105"/>
        </w:rPr>
        <w:t> </w:t>
      </w:r>
      <w:r>
        <w:rPr>
          <w:w w:val="105"/>
        </w:rPr>
        <w:t>pre-tax</w:t>
      </w:r>
      <w:r>
        <w:rPr>
          <w:spacing w:val="-2"/>
          <w:w w:val="105"/>
        </w:rPr>
        <w:t> </w:t>
      </w:r>
      <w:r>
        <w:rPr>
          <w:w w:val="105"/>
        </w:rPr>
        <w:t>net</w:t>
      </w:r>
      <w:r>
        <w:rPr>
          <w:spacing w:val="-2"/>
          <w:w w:val="105"/>
        </w:rPr>
        <w:t> </w:t>
      </w:r>
      <w:r>
        <w:rPr>
          <w:w w:val="105"/>
        </w:rPr>
        <w:t>loss</w:t>
      </w:r>
      <w:r>
        <w:rPr>
          <w:spacing w:val="-2"/>
          <w:w w:val="105"/>
        </w:rPr>
        <w:t> </w:t>
      </w:r>
      <w:r>
        <w:rPr>
          <w:w w:val="105"/>
        </w:rPr>
        <w:t>of</w:t>
      </w:r>
      <w:r>
        <w:rPr>
          <w:spacing w:val="-2"/>
          <w:w w:val="105"/>
        </w:rPr>
        <w:t> </w:t>
      </w:r>
      <w:r>
        <w:rPr>
          <w:w w:val="105"/>
        </w:rPr>
        <w:t>$33</w:t>
      </w:r>
      <w:r>
        <w:rPr>
          <w:spacing w:val="-2"/>
          <w:w w:val="105"/>
        </w:rPr>
        <w:t> </w:t>
      </w:r>
      <w:r>
        <w:rPr>
          <w:w w:val="105"/>
        </w:rPr>
        <w:t>million</w:t>
      </w:r>
      <w:r>
        <w:rPr>
          <w:spacing w:val="-2"/>
          <w:w w:val="105"/>
        </w:rPr>
        <w:t> </w:t>
      </w:r>
      <w:r>
        <w:rPr>
          <w:w w:val="105"/>
        </w:rPr>
        <w:t>and</w:t>
      </w:r>
      <w:r>
        <w:rPr>
          <w:spacing w:val="-2"/>
          <w:w w:val="105"/>
        </w:rPr>
        <w:t> </w:t>
      </w:r>
      <w:r>
        <w:rPr>
          <w:w w:val="105"/>
        </w:rPr>
        <w:t>a</w:t>
      </w:r>
      <w:r>
        <w:rPr>
          <w:spacing w:val="-2"/>
          <w:w w:val="105"/>
        </w:rPr>
        <w:t> </w:t>
      </w:r>
      <w:r>
        <w:rPr>
          <w:w w:val="105"/>
        </w:rPr>
        <w:t>pre-tax</w:t>
      </w:r>
      <w:r>
        <w:rPr>
          <w:spacing w:val="-2"/>
          <w:w w:val="105"/>
        </w:rPr>
        <w:t> </w:t>
      </w:r>
      <w:r>
        <w:rPr>
          <w:w w:val="105"/>
        </w:rPr>
        <w:t>net</w:t>
      </w:r>
      <w:r>
        <w:rPr>
          <w:spacing w:val="-2"/>
          <w:w w:val="105"/>
        </w:rPr>
        <w:t> </w:t>
      </w:r>
      <w:r>
        <w:rPr>
          <w:w w:val="105"/>
        </w:rPr>
        <w:t>gain</w:t>
      </w:r>
      <w:r>
        <w:rPr>
          <w:spacing w:val="-2"/>
          <w:w w:val="105"/>
        </w:rPr>
        <w:t> </w:t>
      </w:r>
      <w:r>
        <w:rPr>
          <w:w w:val="105"/>
        </w:rPr>
        <w:t>of</w:t>
      </w:r>
      <w:r>
        <w:rPr>
          <w:spacing w:val="-2"/>
          <w:w w:val="105"/>
        </w:rPr>
        <w:t> </w:t>
      </w:r>
      <w:r>
        <w:rPr>
          <w:w w:val="105"/>
        </w:rPr>
        <w:t>$24</w:t>
      </w:r>
      <w:r>
        <w:rPr>
          <w:spacing w:val="-2"/>
          <w:w w:val="105"/>
        </w:rPr>
        <w:t> </w:t>
      </w:r>
      <w:r>
        <w:rPr>
          <w:w w:val="105"/>
        </w:rPr>
        <w:t>million,</w:t>
      </w:r>
      <w:r>
        <w:rPr>
          <w:spacing w:val="-2"/>
          <w:w w:val="105"/>
        </w:rPr>
        <w:t> </w:t>
      </w:r>
      <w:r>
        <w:rPr>
          <w:w w:val="105"/>
        </w:rPr>
        <w:t>respectively,</w:t>
      </w:r>
      <w:r>
        <w:rPr>
          <w:spacing w:val="-2"/>
          <w:w w:val="105"/>
        </w:rPr>
        <w:t> </w:t>
      </w:r>
      <w:r>
        <w:rPr>
          <w:w w:val="105"/>
        </w:rPr>
        <w:t>related</w:t>
      </w:r>
      <w:r>
        <w:rPr>
          <w:spacing w:val="-2"/>
          <w:w w:val="105"/>
        </w:rPr>
        <w:t> </w:t>
      </w:r>
      <w:r>
        <w:rPr>
          <w:w w:val="105"/>
        </w:rPr>
        <w:t>to</w:t>
      </w:r>
      <w:r>
        <w:rPr>
          <w:spacing w:val="-2"/>
          <w:w w:val="105"/>
        </w:rPr>
        <w:t> </w:t>
      </w:r>
      <w:r>
        <w:rPr>
          <w:w w:val="105"/>
        </w:rPr>
        <w:t>changes</w:t>
      </w:r>
      <w:r>
        <w:rPr>
          <w:spacing w:val="-2"/>
          <w:w w:val="105"/>
        </w:rPr>
        <w:t> </w:t>
      </w:r>
      <w:r>
        <w:rPr>
          <w:w w:val="105"/>
        </w:rPr>
        <w:t>in</w:t>
      </w:r>
      <w:r>
        <w:rPr>
          <w:spacing w:val="-2"/>
          <w:w w:val="105"/>
        </w:rPr>
        <w:t> </w:t>
      </w:r>
      <w:r>
        <w:rPr>
          <w:w w:val="105"/>
        </w:rPr>
        <w:t>the</w:t>
      </w:r>
      <w:r>
        <w:rPr>
          <w:spacing w:val="-2"/>
          <w:w w:val="105"/>
        </w:rPr>
        <w:t> </w:t>
      </w:r>
      <w:r>
        <w:rPr>
          <w:w w:val="105"/>
        </w:rPr>
        <w:t>fair value</w:t>
      </w:r>
      <w:r>
        <w:rPr>
          <w:spacing w:val="-2"/>
          <w:w w:val="105"/>
        </w:rPr>
        <w:t> </w:t>
      </w:r>
      <w:r>
        <w:rPr>
          <w:w w:val="105"/>
        </w:rPr>
        <w:t>of</w:t>
      </w:r>
      <w:r>
        <w:rPr>
          <w:spacing w:val="-2"/>
          <w:w w:val="105"/>
        </w:rPr>
        <w:t> </w:t>
      </w:r>
      <w:r>
        <w:rPr>
          <w:w w:val="105"/>
        </w:rPr>
        <w:t>these</w:t>
      </w:r>
      <w:r>
        <w:rPr>
          <w:spacing w:val="-2"/>
          <w:w w:val="105"/>
        </w:rPr>
        <w:t> </w:t>
      </w:r>
      <w:r>
        <w:rPr>
          <w:w w:val="105"/>
        </w:rPr>
        <w:t>instruments.</w:t>
      </w:r>
      <w:r>
        <w:rPr>
          <w:spacing w:val="39"/>
          <w:w w:val="105"/>
        </w:rPr>
        <w:t> </w:t>
      </w:r>
      <w:r>
        <w:rPr>
          <w:w w:val="105"/>
        </w:rPr>
        <w:t>Included</w:t>
      </w:r>
      <w:r>
        <w:rPr>
          <w:spacing w:val="-2"/>
          <w:w w:val="105"/>
        </w:rPr>
        <w:t> </w:t>
      </w:r>
      <w:r>
        <w:rPr>
          <w:w w:val="105"/>
        </w:rPr>
        <w:t>in</w:t>
      </w:r>
      <w:r>
        <w:rPr>
          <w:spacing w:val="-2"/>
          <w:w w:val="105"/>
        </w:rPr>
        <w:t> </w:t>
      </w:r>
      <w:r>
        <w:rPr>
          <w:w w:val="105"/>
        </w:rPr>
        <w:t>these</w:t>
      </w:r>
      <w:r>
        <w:rPr>
          <w:spacing w:val="-2"/>
          <w:w w:val="105"/>
        </w:rPr>
        <w:t> </w:t>
      </w:r>
      <w:r>
        <w:rPr>
          <w:w w:val="105"/>
        </w:rPr>
        <w:t>amounts</w:t>
      </w:r>
      <w:r>
        <w:rPr>
          <w:spacing w:val="-2"/>
          <w:w w:val="105"/>
        </w:rPr>
        <w:t> </w:t>
      </w:r>
      <w:r>
        <w:rPr>
          <w:w w:val="105"/>
        </w:rPr>
        <w:t>are</w:t>
      </w:r>
      <w:r>
        <w:rPr>
          <w:spacing w:val="-2"/>
          <w:w w:val="105"/>
        </w:rPr>
        <w:t> </w:t>
      </w:r>
      <w:r>
        <w:rPr>
          <w:w w:val="105"/>
        </w:rPr>
        <w:t>realized</w:t>
      </w:r>
      <w:r>
        <w:rPr>
          <w:spacing w:val="-2"/>
          <w:w w:val="105"/>
        </w:rPr>
        <w:t> </w:t>
      </w:r>
      <w:r>
        <w:rPr>
          <w:w w:val="105"/>
        </w:rPr>
        <w:t>gains</w:t>
      </w:r>
      <w:r>
        <w:rPr>
          <w:spacing w:val="-2"/>
          <w:w w:val="105"/>
        </w:rPr>
        <w:t> </w:t>
      </w:r>
      <w:r>
        <w:rPr>
          <w:w w:val="105"/>
        </w:rPr>
        <w:t>of</w:t>
      </w:r>
      <w:r>
        <w:rPr>
          <w:spacing w:val="-2"/>
          <w:w w:val="105"/>
        </w:rPr>
        <w:t> </w:t>
      </w:r>
      <w:r>
        <w:rPr>
          <w:w w:val="105"/>
        </w:rPr>
        <w:t>$11</w:t>
      </w:r>
      <w:r>
        <w:rPr>
          <w:spacing w:val="-2"/>
          <w:w w:val="105"/>
        </w:rPr>
        <w:t> </w:t>
      </w:r>
      <w:r>
        <w:rPr>
          <w:w w:val="105"/>
        </w:rPr>
        <w:t>million</w:t>
      </w:r>
      <w:r>
        <w:rPr>
          <w:spacing w:val="-2"/>
          <w:w w:val="105"/>
        </w:rPr>
        <w:t> </w:t>
      </w:r>
      <w:r>
        <w:rPr>
          <w:w w:val="105"/>
        </w:rPr>
        <w:t>and</w:t>
      </w:r>
      <w:r>
        <w:rPr>
          <w:spacing w:val="-2"/>
          <w:w w:val="105"/>
        </w:rPr>
        <w:t> </w:t>
      </w:r>
      <w:r>
        <w:rPr>
          <w:w w:val="105"/>
        </w:rPr>
        <w:t>$1</w:t>
      </w:r>
      <w:r>
        <w:rPr>
          <w:spacing w:val="-2"/>
          <w:w w:val="105"/>
        </w:rPr>
        <w:t> </w:t>
      </w:r>
      <w:r>
        <w:rPr>
          <w:w w:val="105"/>
        </w:rPr>
        <w:t>million,</w:t>
      </w:r>
      <w:r>
        <w:rPr>
          <w:spacing w:val="-2"/>
          <w:w w:val="105"/>
        </w:rPr>
        <w:t> </w:t>
      </w:r>
      <w:r>
        <w:rPr>
          <w:w w:val="105"/>
        </w:rPr>
        <w:t>respectively.</w:t>
      </w:r>
      <w:r>
        <w:rPr>
          <w:spacing w:val="39"/>
          <w:w w:val="105"/>
        </w:rPr>
        <w:t> </w:t>
      </w:r>
      <w:r>
        <w:rPr>
          <w:w w:val="105"/>
        </w:rPr>
        <w:t>These</w:t>
      </w:r>
      <w:r>
        <w:rPr>
          <w:spacing w:val="-2"/>
          <w:w w:val="105"/>
        </w:rPr>
        <w:t> </w:t>
      </w:r>
      <w:r>
        <w:rPr>
          <w:w w:val="105"/>
        </w:rPr>
        <w:t>instruments</w:t>
      </w:r>
      <w:r>
        <w:rPr>
          <w:spacing w:val="-2"/>
          <w:w w:val="105"/>
        </w:rPr>
        <w:t> </w:t>
      </w:r>
      <w:r>
        <w:rPr>
          <w:w w:val="105"/>
        </w:rPr>
        <w:t>had</w:t>
      </w:r>
      <w:r>
        <w:rPr>
          <w:spacing w:val="-2"/>
          <w:w w:val="105"/>
        </w:rPr>
        <w:t> </w:t>
      </w:r>
      <w:r>
        <w:rPr>
          <w:w w:val="105"/>
        </w:rPr>
        <w:t>a</w:t>
      </w:r>
      <w:r>
        <w:rPr>
          <w:spacing w:val="-2"/>
          <w:w w:val="105"/>
        </w:rPr>
        <w:t> </w:t>
      </w:r>
      <w:r>
        <w:rPr>
          <w:w w:val="105"/>
        </w:rPr>
        <w:t>gross</w:t>
      </w:r>
      <w:r>
        <w:rPr>
          <w:spacing w:val="-2"/>
          <w:w w:val="105"/>
        </w:rPr>
        <w:t> </w:t>
      </w:r>
      <w:r>
        <w:rPr>
          <w:w w:val="105"/>
        </w:rPr>
        <w:t>notional</w:t>
      </w:r>
      <w:r>
        <w:rPr>
          <w:spacing w:val="-2"/>
          <w:w w:val="105"/>
        </w:rPr>
        <w:t> </w:t>
      </w:r>
      <w:r>
        <w:rPr>
          <w:w w:val="105"/>
        </w:rPr>
        <w:t>value outstanding at December 31, 2021 and 2020, of $1.2 billion and $0.4 billion, respectively.</w:t>
      </w:r>
    </w:p>
    <w:p>
      <w:pPr>
        <w:pStyle w:val="BodyText"/>
        <w:spacing w:before="18"/>
      </w:pPr>
    </w:p>
    <w:p>
      <w:pPr>
        <w:pStyle w:val="BodyText"/>
        <w:ind w:left="48"/>
        <w:jc w:val="center"/>
      </w:pPr>
      <w:r>
        <w:rPr>
          <w:spacing w:val="-5"/>
          <w:w w:val="105"/>
        </w:rPr>
        <w:t>42</w:t>
      </w:r>
    </w:p>
    <w:p>
      <w:pPr>
        <w:pStyle w:val="BodyText"/>
        <w:rPr>
          <w:sz w:val="6"/>
        </w:rPr>
      </w:pPr>
      <w:r>
        <w:rPr/>
        <mc:AlternateContent>
          <mc:Choice Requires="wps">
            <w:drawing>
              <wp:anchor distT="0" distB="0" distL="0" distR="0" allowOverlap="1" layoutInCell="1" locked="0" behindDoc="1" simplePos="0" relativeHeight="487620608">
                <wp:simplePos x="0" y="0"/>
                <wp:positionH relativeFrom="page">
                  <wp:posOffset>226488</wp:posOffset>
                </wp:positionH>
                <wp:positionV relativeFrom="paragraph">
                  <wp:posOffset>59051</wp:posOffset>
                </wp:positionV>
                <wp:extent cx="7312659" cy="1651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95872;mso-wrap-distance-left:0;mso-wrap-distance-right:0" id="docshape73"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BodyText"/>
        <w:spacing w:line="266" w:lineRule="auto"/>
        <w:ind w:left="156" w:right="117"/>
      </w:pPr>
      <w:r>
        <w:rPr>
          <w:w w:val="105"/>
        </w:rPr>
        <w:t>We</w:t>
      </w:r>
      <w:r>
        <w:rPr>
          <w:spacing w:val="-7"/>
          <w:w w:val="105"/>
        </w:rPr>
        <w:t> </w:t>
      </w:r>
      <w:r>
        <w:rPr>
          <w:w w:val="105"/>
        </w:rPr>
        <w:t>have</w:t>
      </w:r>
      <w:r>
        <w:rPr>
          <w:spacing w:val="-7"/>
          <w:w w:val="105"/>
        </w:rPr>
        <w:t> </w:t>
      </w:r>
      <w:r>
        <w:rPr>
          <w:w w:val="105"/>
        </w:rPr>
        <w:t>entered</w:t>
      </w:r>
      <w:r>
        <w:rPr>
          <w:spacing w:val="-7"/>
          <w:w w:val="105"/>
        </w:rPr>
        <w:t> </w:t>
      </w:r>
      <w:r>
        <w:rPr>
          <w:w w:val="105"/>
        </w:rPr>
        <w:t>into</w:t>
      </w:r>
      <w:r>
        <w:rPr>
          <w:spacing w:val="-7"/>
          <w:w w:val="105"/>
        </w:rPr>
        <w:t> </w:t>
      </w:r>
      <w:r>
        <w:rPr>
          <w:w w:val="105"/>
        </w:rPr>
        <w:t>a</w:t>
      </w:r>
      <w:r>
        <w:rPr>
          <w:spacing w:val="-7"/>
          <w:w w:val="105"/>
        </w:rPr>
        <w:t> </w:t>
      </w:r>
      <w:r>
        <w:rPr>
          <w:w w:val="105"/>
        </w:rPr>
        <w:t>portfolio</w:t>
      </w:r>
      <w:r>
        <w:rPr>
          <w:spacing w:val="-7"/>
          <w:w w:val="105"/>
        </w:rPr>
        <w:t> </w:t>
      </w:r>
      <w:r>
        <w:rPr>
          <w:w w:val="105"/>
        </w:rPr>
        <w:t>of</w:t>
      </w:r>
      <w:r>
        <w:rPr>
          <w:spacing w:val="-7"/>
          <w:w w:val="105"/>
        </w:rPr>
        <w:t> </w:t>
      </w:r>
      <w:r>
        <w:rPr>
          <w:w w:val="105"/>
        </w:rPr>
        <w:t>average</w:t>
      </w:r>
      <w:r>
        <w:rPr>
          <w:spacing w:val="-7"/>
          <w:w w:val="105"/>
        </w:rPr>
        <w:t> </w:t>
      </w:r>
      <w:r>
        <w:rPr>
          <w:w w:val="105"/>
        </w:rPr>
        <w:t>rate</w:t>
      </w:r>
      <w:r>
        <w:rPr>
          <w:spacing w:val="-7"/>
          <w:w w:val="105"/>
        </w:rPr>
        <w:t> </w:t>
      </w:r>
      <w:r>
        <w:rPr>
          <w:w w:val="105"/>
        </w:rPr>
        <w:t>forwards</w:t>
      </w:r>
      <w:r>
        <w:rPr>
          <w:spacing w:val="-7"/>
          <w:w w:val="105"/>
        </w:rPr>
        <w:t> </w:t>
      </w:r>
      <w:r>
        <w:rPr>
          <w:w w:val="105"/>
        </w:rPr>
        <w:t>to</w:t>
      </w:r>
      <w:r>
        <w:rPr>
          <w:spacing w:val="-7"/>
          <w:w w:val="105"/>
        </w:rPr>
        <w:t> </w:t>
      </w:r>
      <w:r>
        <w:rPr>
          <w:w w:val="105"/>
        </w:rPr>
        <w:t>hedge</w:t>
      </w:r>
      <w:r>
        <w:rPr>
          <w:spacing w:val="-7"/>
          <w:w w:val="105"/>
        </w:rPr>
        <w:t> </w:t>
      </w:r>
      <w:r>
        <w:rPr>
          <w:w w:val="105"/>
        </w:rPr>
        <w:t>against</w:t>
      </w:r>
      <w:r>
        <w:rPr>
          <w:spacing w:val="-7"/>
          <w:w w:val="105"/>
        </w:rPr>
        <w:t> </w:t>
      </w:r>
      <w:r>
        <w:rPr>
          <w:w w:val="105"/>
        </w:rPr>
        <w:t>our</w:t>
      </w:r>
      <w:r>
        <w:rPr>
          <w:spacing w:val="-6"/>
          <w:w w:val="105"/>
        </w:rPr>
        <w:t> </w:t>
      </w:r>
      <w:r>
        <w:rPr>
          <w:w w:val="105"/>
        </w:rPr>
        <w:t>euro</w:t>
      </w:r>
      <w:r>
        <w:rPr>
          <w:spacing w:val="-7"/>
          <w:w w:val="105"/>
        </w:rPr>
        <w:t> </w:t>
      </w:r>
      <w:r>
        <w:rPr>
          <w:w w:val="105"/>
        </w:rPr>
        <w:t>translation</w:t>
      </w:r>
      <w:r>
        <w:rPr>
          <w:spacing w:val="-7"/>
          <w:w w:val="105"/>
        </w:rPr>
        <w:t> </w:t>
      </w:r>
      <w:r>
        <w:rPr>
          <w:w w:val="105"/>
        </w:rPr>
        <w:t>exposure.</w:t>
      </w:r>
      <w:r>
        <w:rPr>
          <w:spacing w:val="28"/>
          <w:w w:val="105"/>
        </w:rPr>
        <w:t> </w:t>
      </w:r>
      <w:r>
        <w:rPr>
          <w:w w:val="105"/>
        </w:rPr>
        <w:t>In</w:t>
      </w:r>
      <w:r>
        <w:rPr>
          <w:spacing w:val="-6"/>
          <w:w w:val="105"/>
        </w:rPr>
        <w:t> </w:t>
      </w:r>
      <w:r>
        <w:rPr>
          <w:w w:val="105"/>
        </w:rPr>
        <w:t>the</w:t>
      </w:r>
      <w:r>
        <w:rPr>
          <w:spacing w:val="-7"/>
          <w:w w:val="105"/>
        </w:rPr>
        <w:t> </w:t>
      </w:r>
      <w:r>
        <w:rPr>
          <w:w w:val="105"/>
        </w:rPr>
        <w:t>years</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7"/>
          <w:w w:val="105"/>
        </w:rPr>
        <w:t> </w:t>
      </w:r>
      <w:r>
        <w:rPr>
          <w:w w:val="105"/>
        </w:rPr>
        <w:t>and</w:t>
      </w:r>
      <w:r>
        <w:rPr>
          <w:spacing w:val="-7"/>
          <w:w w:val="105"/>
        </w:rPr>
        <w:t> </w:t>
      </w:r>
      <w:r>
        <w:rPr>
          <w:w w:val="105"/>
        </w:rPr>
        <w:t>2020,</w:t>
      </w:r>
      <w:r>
        <w:rPr>
          <w:spacing w:val="-7"/>
          <w:w w:val="105"/>
        </w:rPr>
        <w:t> </w:t>
      </w:r>
      <w:r>
        <w:rPr>
          <w:w w:val="105"/>
        </w:rPr>
        <w:t>we</w:t>
      </w:r>
      <w:r>
        <w:rPr>
          <w:spacing w:val="-6"/>
          <w:w w:val="105"/>
        </w:rPr>
        <w:t> </w:t>
      </w:r>
      <w:r>
        <w:rPr>
          <w:w w:val="105"/>
        </w:rPr>
        <w:t>recorded</w:t>
      </w:r>
      <w:r>
        <w:rPr>
          <w:spacing w:val="-7"/>
          <w:w w:val="105"/>
        </w:rPr>
        <w:t> </w:t>
      </w:r>
      <w:r>
        <w:rPr>
          <w:w w:val="105"/>
        </w:rPr>
        <w:t>pre- tax</w:t>
      </w:r>
      <w:r>
        <w:rPr>
          <w:spacing w:val="-2"/>
          <w:w w:val="105"/>
        </w:rPr>
        <w:t> </w:t>
      </w:r>
      <w:r>
        <w:rPr>
          <w:w w:val="105"/>
        </w:rPr>
        <w:t>losses</w:t>
      </w:r>
      <w:r>
        <w:rPr>
          <w:spacing w:val="-2"/>
          <w:w w:val="105"/>
        </w:rPr>
        <w:t> </w:t>
      </w:r>
      <w:r>
        <w:rPr>
          <w:w w:val="105"/>
        </w:rPr>
        <w:t>of</w:t>
      </w:r>
      <w:r>
        <w:rPr>
          <w:spacing w:val="-2"/>
          <w:w w:val="105"/>
        </w:rPr>
        <w:t> </w:t>
      </w:r>
      <w:r>
        <w:rPr>
          <w:w w:val="105"/>
        </w:rPr>
        <w:t>$24</w:t>
      </w:r>
      <w:r>
        <w:rPr>
          <w:spacing w:val="-2"/>
          <w:w w:val="105"/>
        </w:rPr>
        <w:t> </w:t>
      </w:r>
      <w:r>
        <w:rPr>
          <w:w w:val="105"/>
        </w:rPr>
        <w:t>million</w:t>
      </w:r>
      <w:r>
        <w:rPr>
          <w:spacing w:val="-2"/>
          <w:w w:val="105"/>
        </w:rPr>
        <w:t> </w:t>
      </w:r>
      <w:r>
        <w:rPr>
          <w:w w:val="105"/>
        </w:rPr>
        <w:t>and</w:t>
      </w:r>
      <w:r>
        <w:rPr>
          <w:spacing w:val="-2"/>
          <w:w w:val="105"/>
        </w:rPr>
        <w:t> </w:t>
      </w:r>
      <w:r>
        <w:rPr>
          <w:w w:val="105"/>
        </w:rPr>
        <w:t>$21</w:t>
      </w:r>
      <w:r>
        <w:rPr>
          <w:spacing w:val="-2"/>
          <w:w w:val="105"/>
        </w:rPr>
        <w:t> </w:t>
      </w:r>
      <w:r>
        <w:rPr>
          <w:w w:val="105"/>
        </w:rPr>
        <w:t>million,</w:t>
      </w:r>
      <w:r>
        <w:rPr>
          <w:spacing w:val="-2"/>
          <w:w w:val="105"/>
        </w:rPr>
        <w:t> </w:t>
      </w:r>
      <w:r>
        <w:rPr>
          <w:w w:val="105"/>
        </w:rPr>
        <w:t>respectively.</w:t>
      </w:r>
      <w:r>
        <w:rPr>
          <w:spacing w:val="39"/>
          <w:w w:val="105"/>
        </w:rPr>
        <w:t> </w:t>
      </w:r>
      <w:r>
        <w:rPr>
          <w:w w:val="105"/>
        </w:rPr>
        <w:t>Included</w:t>
      </w:r>
      <w:r>
        <w:rPr>
          <w:spacing w:val="-2"/>
          <w:w w:val="105"/>
        </w:rPr>
        <w:t> </w:t>
      </w:r>
      <w:r>
        <w:rPr>
          <w:w w:val="105"/>
        </w:rPr>
        <w:t>in</w:t>
      </w:r>
      <w:r>
        <w:rPr>
          <w:spacing w:val="-2"/>
          <w:w w:val="105"/>
        </w:rPr>
        <w:t> </w:t>
      </w:r>
      <w:r>
        <w:rPr>
          <w:w w:val="105"/>
        </w:rPr>
        <w:t>these</w:t>
      </w:r>
      <w:r>
        <w:rPr>
          <w:spacing w:val="-2"/>
          <w:w w:val="105"/>
        </w:rPr>
        <w:t> </w:t>
      </w:r>
      <w:r>
        <w:rPr>
          <w:w w:val="105"/>
        </w:rPr>
        <w:t>amounts</w:t>
      </w:r>
      <w:r>
        <w:rPr>
          <w:spacing w:val="-2"/>
          <w:w w:val="105"/>
        </w:rPr>
        <w:t> </w:t>
      </w:r>
      <w:r>
        <w:rPr>
          <w:w w:val="105"/>
        </w:rPr>
        <w:t>are realized</w:t>
      </w:r>
      <w:r>
        <w:rPr>
          <w:spacing w:val="-2"/>
          <w:w w:val="105"/>
        </w:rPr>
        <w:t> </w:t>
      </w:r>
      <w:r>
        <w:rPr>
          <w:w w:val="105"/>
        </w:rPr>
        <w:t>gains</w:t>
      </w:r>
      <w:r>
        <w:rPr>
          <w:spacing w:val="-2"/>
          <w:w w:val="105"/>
        </w:rPr>
        <w:t> </w:t>
      </w:r>
      <w:r>
        <w:rPr>
          <w:w w:val="105"/>
        </w:rPr>
        <w:t>of</w:t>
      </w:r>
      <w:r>
        <w:rPr>
          <w:spacing w:val="-2"/>
          <w:w w:val="105"/>
        </w:rPr>
        <w:t> </w:t>
      </w:r>
      <w:r>
        <w:rPr>
          <w:w w:val="105"/>
        </w:rPr>
        <w:t>$12</w:t>
      </w:r>
      <w:r>
        <w:rPr>
          <w:spacing w:val="-2"/>
          <w:w w:val="105"/>
        </w:rPr>
        <w:t> </w:t>
      </w:r>
      <w:r>
        <w:rPr>
          <w:w w:val="105"/>
        </w:rPr>
        <w:t>million</w:t>
      </w:r>
      <w:r>
        <w:rPr>
          <w:spacing w:val="-2"/>
          <w:w w:val="105"/>
        </w:rPr>
        <w:t> </w:t>
      </w:r>
      <w:r>
        <w:rPr>
          <w:w w:val="105"/>
        </w:rPr>
        <w:t>and</w:t>
      </w:r>
      <w:r>
        <w:rPr>
          <w:spacing w:val="-2"/>
          <w:w w:val="105"/>
        </w:rPr>
        <w:t> </w:t>
      </w:r>
      <w:r>
        <w:rPr>
          <w:w w:val="105"/>
        </w:rPr>
        <w:t>$20</w:t>
      </w:r>
      <w:r>
        <w:rPr>
          <w:spacing w:val="-2"/>
          <w:w w:val="105"/>
        </w:rPr>
        <w:t> </w:t>
      </w:r>
      <w:r>
        <w:rPr>
          <w:w w:val="105"/>
        </w:rPr>
        <w:t>million,</w:t>
      </w:r>
      <w:r>
        <w:rPr>
          <w:spacing w:val="-2"/>
          <w:w w:val="105"/>
        </w:rPr>
        <w:t> </w:t>
      </w:r>
      <w:r>
        <w:rPr>
          <w:w w:val="105"/>
        </w:rPr>
        <w:t>respectively.</w:t>
      </w:r>
      <w:r>
        <w:rPr>
          <w:spacing w:val="39"/>
          <w:w w:val="105"/>
        </w:rPr>
        <w:t> </w:t>
      </w:r>
      <w:r>
        <w:rPr>
          <w:w w:val="105"/>
        </w:rPr>
        <w:t>At</w:t>
      </w:r>
      <w:r>
        <w:rPr>
          <w:spacing w:val="-2"/>
          <w:w w:val="105"/>
        </w:rPr>
        <w:t> </w:t>
      </w:r>
      <w:r>
        <w:rPr>
          <w:w w:val="105"/>
        </w:rPr>
        <w:t>December</w:t>
      </w:r>
      <w:r>
        <w:rPr>
          <w:spacing w:val="-2"/>
          <w:w w:val="105"/>
        </w:rPr>
        <w:t> </w:t>
      </w:r>
      <w:r>
        <w:rPr>
          <w:w w:val="105"/>
        </w:rPr>
        <w:t>31,</w:t>
      </w:r>
      <w:r>
        <w:rPr>
          <w:spacing w:val="-2"/>
          <w:w w:val="105"/>
        </w:rPr>
        <w:t> </w:t>
      </w:r>
      <w:r>
        <w:rPr>
          <w:w w:val="105"/>
        </w:rPr>
        <w:t>2021 and 2020, the euro-denominated average rate instruments had a gross notional amount of $0.2 billion and $0.5 billion, respectively.</w:t>
      </w:r>
    </w:p>
    <w:p>
      <w:pPr>
        <w:pStyle w:val="BodyText"/>
        <w:spacing w:before="19"/>
      </w:pPr>
    </w:p>
    <w:p>
      <w:pPr>
        <w:pStyle w:val="BodyText"/>
        <w:spacing w:line="266" w:lineRule="auto"/>
        <w:ind w:left="156" w:right="328"/>
      </w:pPr>
      <w:r>
        <w:rPr>
          <w:w w:val="105"/>
        </w:rPr>
        <w:t>These</w:t>
      </w:r>
      <w:r>
        <w:rPr>
          <w:spacing w:val="-8"/>
          <w:w w:val="105"/>
        </w:rPr>
        <w:t> </w:t>
      </w:r>
      <w:r>
        <w:rPr>
          <w:w w:val="105"/>
        </w:rPr>
        <w:t>derivative</w:t>
      </w:r>
      <w:r>
        <w:rPr>
          <w:spacing w:val="-8"/>
          <w:w w:val="105"/>
        </w:rPr>
        <w:t> </w:t>
      </w:r>
      <w:r>
        <w:rPr>
          <w:w w:val="105"/>
        </w:rPr>
        <w:t>instruments</w:t>
      </w:r>
      <w:r>
        <w:rPr>
          <w:spacing w:val="-8"/>
          <w:w w:val="105"/>
        </w:rPr>
        <w:t> </w:t>
      </w:r>
      <w:r>
        <w:rPr>
          <w:w w:val="105"/>
        </w:rPr>
        <w:t>are</w:t>
      </w:r>
      <w:r>
        <w:rPr>
          <w:spacing w:val="-8"/>
          <w:w w:val="105"/>
        </w:rPr>
        <w:t> </w:t>
      </w:r>
      <w:r>
        <w:rPr>
          <w:w w:val="105"/>
        </w:rPr>
        <w:t>not</w:t>
      </w:r>
      <w:r>
        <w:rPr>
          <w:spacing w:val="-8"/>
          <w:w w:val="105"/>
        </w:rPr>
        <w:t> </w:t>
      </w:r>
      <w:r>
        <w:rPr>
          <w:w w:val="105"/>
        </w:rPr>
        <w:t>designated</w:t>
      </w:r>
      <w:r>
        <w:rPr>
          <w:spacing w:val="-8"/>
          <w:w w:val="105"/>
        </w:rPr>
        <w:t> </w:t>
      </w:r>
      <w:r>
        <w:rPr>
          <w:w w:val="105"/>
        </w:rPr>
        <w:t>as</w:t>
      </w:r>
      <w:r>
        <w:rPr>
          <w:spacing w:val="-6"/>
          <w:w w:val="105"/>
        </w:rPr>
        <w:t> </w:t>
      </w:r>
      <w:r>
        <w:rPr>
          <w:w w:val="105"/>
        </w:rPr>
        <w:t>accounting</w:t>
      </w:r>
      <w:r>
        <w:rPr>
          <w:spacing w:val="-8"/>
          <w:w w:val="105"/>
        </w:rPr>
        <w:t> </w:t>
      </w:r>
      <w:r>
        <w:rPr>
          <w:w w:val="105"/>
        </w:rPr>
        <w:t>hedges,</w:t>
      </w:r>
      <w:r>
        <w:rPr>
          <w:spacing w:val="-8"/>
          <w:w w:val="105"/>
        </w:rPr>
        <w:t> </w:t>
      </w:r>
      <w:r>
        <w:rPr>
          <w:w w:val="105"/>
        </w:rPr>
        <w:t>and</w:t>
      </w:r>
      <w:r>
        <w:rPr>
          <w:spacing w:val="-8"/>
          <w:w w:val="105"/>
        </w:rPr>
        <w:t> </w:t>
      </w:r>
      <w:r>
        <w:rPr>
          <w:w w:val="105"/>
        </w:rPr>
        <w:t>changes</w:t>
      </w:r>
      <w:r>
        <w:rPr>
          <w:spacing w:val="-8"/>
          <w:w w:val="105"/>
        </w:rPr>
        <w:t> </w:t>
      </w:r>
      <w:r>
        <w:rPr>
          <w:w w:val="105"/>
        </w:rPr>
        <w:t>in</w:t>
      </w:r>
      <w:r>
        <w:rPr>
          <w:spacing w:val="-8"/>
          <w:w w:val="105"/>
        </w:rPr>
        <w:t> </w:t>
      </w:r>
      <w:r>
        <w:rPr>
          <w:w w:val="105"/>
        </w:rPr>
        <w:t>fair</w:t>
      </w:r>
      <w:r>
        <w:rPr>
          <w:spacing w:val="-8"/>
          <w:w w:val="105"/>
        </w:rPr>
        <w:t> </w:t>
      </w:r>
      <w:r>
        <w:rPr>
          <w:w w:val="105"/>
        </w:rPr>
        <w:t>value</w:t>
      </w:r>
      <w:r>
        <w:rPr>
          <w:spacing w:val="-8"/>
          <w:w w:val="105"/>
        </w:rPr>
        <w:t> </w:t>
      </w:r>
      <w:r>
        <w:rPr>
          <w:w w:val="105"/>
        </w:rPr>
        <w:t>are</w:t>
      </w:r>
      <w:r>
        <w:rPr>
          <w:spacing w:val="-8"/>
          <w:w w:val="105"/>
        </w:rPr>
        <w:t> </w:t>
      </w:r>
      <w:r>
        <w:rPr>
          <w:w w:val="105"/>
        </w:rPr>
        <w:t>recorded</w:t>
      </w:r>
      <w:r>
        <w:rPr>
          <w:spacing w:val="-8"/>
          <w:w w:val="105"/>
        </w:rPr>
        <w:t> </w:t>
      </w:r>
      <w:r>
        <w:rPr>
          <w:w w:val="105"/>
        </w:rPr>
        <w:t>in</w:t>
      </w:r>
      <w:r>
        <w:rPr>
          <w:spacing w:val="-8"/>
          <w:w w:val="105"/>
        </w:rPr>
        <w:t> </w:t>
      </w:r>
      <w:r>
        <w:rPr>
          <w:w w:val="105"/>
        </w:rPr>
        <w:t>earnings</w:t>
      </w:r>
      <w:r>
        <w:rPr>
          <w:spacing w:val="-8"/>
          <w:w w:val="105"/>
        </w:rPr>
        <w:t> </w:t>
      </w:r>
      <w:r>
        <w:rPr>
          <w:w w:val="105"/>
        </w:rPr>
        <w:t>in</w:t>
      </w:r>
      <w:r>
        <w:rPr>
          <w:spacing w:val="-8"/>
          <w:w w:val="105"/>
        </w:rPr>
        <w:t> </w:t>
      </w:r>
      <w:r>
        <w:rPr>
          <w:w w:val="105"/>
        </w:rPr>
        <w:t>the</w:t>
      </w:r>
      <w:r>
        <w:rPr>
          <w:spacing w:val="-8"/>
          <w:w w:val="105"/>
        </w:rPr>
        <w:t> </w:t>
      </w:r>
      <w:r>
        <w:rPr>
          <w:w w:val="105"/>
        </w:rPr>
        <w:t>translated</w:t>
      </w:r>
      <w:r>
        <w:rPr>
          <w:spacing w:val="-8"/>
          <w:w w:val="105"/>
        </w:rPr>
        <w:t> </w:t>
      </w:r>
      <w:r>
        <w:rPr>
          <w:w w:val="105"/>
        </w:rPr>
        <w:t>earnings</w:t>
      </w:r>
      <w:r>
        <w:rPr>
          <w:spacing w:val="-8"/>
          <w:w w:val="105"/>
        </w:rPr>
        <w:t> </w:t>
      </w:r>
      <w:r>
        <w:rPr>
          <w:w w:val="105"/>
        </w:rPr>
        <w:t>contract</w:t>
      </w:r>
      <w:r>
        <w:rPr>
          <w:spacing w:val="-8"/>
          <w:w w:val="105"/>
        </w:rPr>
        <w:t> </w:t>
      </w:r>
      <w:r>
        <w:rPr>
          <w:w w:val="105"/>
        </w:rPr>
        <w:t>gain</w:t>
      </w:r>
      <w:r>
        <w:rPr>
          <w:spacing w:val="-8"/>
          <w:w w:val="105"/>
        </w:rPr>
        <w:t> </w:t>
      </w:r>
      <w:r>
        <w:rPr>
          <w:w w:val="105"/>
        </w:rPr>
        <w:t>(loss),</w:t>
      </w:r>
      <w:r>
        <w:rPr>
          <w:spacing w:val="-8"/>
          <w:w w:val="105"/>
        </w:rPr>
        <w:t> </w:t>
      </w:r>
      <w:r>
        <w:rPr>
          <w:w w:val="105"/>
        </w:rPr>
        <w:t>net line of the consolidated statements of income.</w:t>
      </w:r>
    </w:p>
    <w:p>
      <w:pPr>
        <w:pStyle w:val="BodyText"/>
        <w:spacing w:before="19"/>
      </w:pPr>
    </w:p>
    <w:p>
      <w:pPr>
        <w:spacing w:before="0"/>
        <w:ind w:left="156" w:right="0" w:firstLine="0"/>
        <w:jc w:val="left"/>
        <w:rPr>
          <w:i/>
          <w:sz w:val="16"/>
        </w:rPr>
      </w:pPr>
      <w:r>
        <w:rPr>
          <w:i/>
          <w:w w:val="105"/>
          <w:sz w:val="16"/>
        </w:rPr>
        <w:t>Off</w:t>
      </w:r>
      <w:r>
        <w:rPr>
          <w:i/>
          <w:spacing w:val="-9"/>
          <w:w w:val="105"/>
          <w:sz w:val="16"/>
        </w:rPr>
        <w:t> </w:t>
      </w:r>
      <w:r>
        <w:rPr>
          <w:i/>
          <w:w w:val="105"/>
          <w:sz w:val="16"/>
        </w:rPr>
        <w:t>Balance</w:t>
      </w:r>
      <w:r>
        <w:rPr>
          <w:i/>
          <w:spacing w:val="-8"/>
          <w:w w:val="105"/>
          <w:sz w:val="16"/>
        </w:rPr>
        <w:t> </w:t>
      </w:r>
      <w:r>
        <w:rPr>
          <w:i/>
          <w:w w:val="105"/>
          <w:sz w:val="16"/>
        </w:rPr>
        <w:t>Sheet</w:t>
      </w:r>
      <w:r>
        <w:rPr>
          <w:i/>
          <w:spacing w:val="-8"/>
          <w:w w:val="105"/>
          <w:sz w:val="16"/>
        </w:rPr>
        <w:t> </w:t>
      </w:r>
      <w:r>
        <w:rPr>
          <w:i/>
          <w:spacing w:val="-2"/>
          <w:w w:val="105"/>
          <w:sz w:val="16"/>
        </w:rPr>
        <w:t>Arrangements</w:t>
      </w:r>
    </w:p>
    <w:p>
      <w:pPr>
        <w:pStyle w:val="BodyText"/>
        <w:spacing w:before="39"/>
        <w:rPr>
          <w:i/>
        </w:rPr>
      </w:pPr>
    </w:p>
    <w:p>
      <w:pPr>
        <w:pStyle w:val="BodyText"/>
        <w:spacing w:line="266" w:lineRule="auto"/>
        <w:ind w:left="156" w:right="328"/>
      </w:pPr>
      <w:r>
        <w:rPr>
          <w:w w:val="105"/>
        </w:rPr>
        <w:t>Off</w:t>
      </w:r>
      <w:r>
        <w:rPr>
          <w:spacing w:val="-9"/>
          <w:w w:val="105"/>
        </w:rPr>
        <w:t> </w:t>
      </w:r>
      <w:r>
        <w:rPr>
          <w:w w:val="105"/>
        </w:rPr>
        <w:t>balance</w:t>
      </w:r>
      <w:r>
        <w:rPr>
          <w:spacing w:val="-9"/>
          <w:w w:val="105"/>
        </w:rPr>
        <w:t> </w:t>
      </w:r>
      <w:r>
        <w:rPr>
          <w:w w:val="105"/>
        </w:rPr>
        <w:t>sheet</w:t>
      </w:r>
      <w:r>
        <w:rPr>
          <w:spacing w:val="-9"/>
          <w:w w:val="105"/>
        </w:rPr>
        <w:t> </w:t>
      </w:r>
      <w:r>
        <w:rPr>
          <w:w w:val="105"/>
        </w:rPr>
        <w:t>arrangements</w:t>
      </w:r>
      <w:r>
        <w:rPr>
          <w:spacing w:val="-9"/>
          <w:w w:val="105"/>
        </w:rPr>
        <w:t> </w:t>
      </w:r>
      <w:r>
        <w:rPr>
          <w:w w:val="105"/>
        </w:rPr>
        <w:t>are</w:t>
      </w:r>
      <w:r>
        <w:rPr>
          <w:spacing w:val="-9"/>
          <w:w w:val="105"/>
        </w:rPr>
        <w:t> </w:t>
      </w:r>
      <w:r>
        <w:rPr>
          <w:w w:val="105"/>
        </w:rPr>
        <w:t>transactions,</w:t>
      </w:r>
      <w:r>
        <w:rPr>
          <w:spacing w:val="-9"/>
          <w:w w:val="105"/>
        </w:rPr>
        <w:t> </w:t>
      </w:r>
      <w:r>
        <w:rPr>
          <w:w w:val="105"/>
        </w:rPr>
        <w:t>agreements,</w:t>
      </w:r>
      <w:r>
        <w:rPr>
          <w:spacing w:val="-9"/>
          <w:w w:val="105"/>
        </w:rPr>
        <w:t> </w:t>
      </w:r>
      <w:r>
        <w:rPr>
          <w:w w:val="105"/>
        </w:rPr>
        <w:t>or</w:t>
      </w:r>
      <w:r>
        <w:rPr>
          <w:spacing w:val="-9"/>
          <w:w w:val="105"/>
        </w:rPr>
        <w:t> </w:t>
      </w:r>
      <w:r>
        <w:rPr>
          <w:w w:val="105"/>
        </w:rPr>
        <w:t>other</w:t>
      </w:r>
      <w:r>
        <w:rPr>
          <w:spacing w:val="-7"/>
          <w:w w:val="105"/>
        </w:rPr>
        <w:t> </w:t>
      </w:r>
      <w:r>
        <w:rPr>
          <w:w w:val="105"/>
        </w:rPr>
        <w:t>contractual</w:t>
      </w:r>
      <w:r>
        <w:rPr>
          <w:spacing w:val="-9"/>
          <w:w w:val="105"/>
        </w:rPr>
        <w:t> </w:t>
      </w:r>
      <w:r>
        <w:rPr>
          <w:w w:val="105"/>
        </w:rPr>
        <w:t>arrangements</w:t>
      </w:r>
      <w:r>
        <w:rPr>
          <w:spacing w:val="-9"/>
          <w:w w:val="105"/>
        </w:rPr>
        <w:t> </w:t>
      </w:r>
      <w:r>
        <w:rPr>
          <w:w w:val="105"/>
        </w:rPr>
        <w:t>with</w:t>
      </w:r>
      <w:r>
        <w:rPr>
          <w:spacing w:val="-9"/>
          <w:w w:val="105"/>
        </w:rPr>
        <w:t> </w:t>
      </w:r>
      <w:r>
        <w:rPr>
          <w:w w:val="105"/>
        </w:rPr>
        <w:t>an</w:t>
      </w:r>
      <w:r>
        <w:rPr>
          <w:spacing w:val="-9"/>
          <w:w w:val="105"/>
        </w:rPr>
        <w:t> </w:t>
      </w:r>
      <w:r>
        <w:rPr>
          <w:w w:val="105"/>
        </w:rPr>
        <w:t>unconsolidated</w:t>
      </w:r>
      <w:r>
        <w:rPr>
          <w:spacing w:val="-9"/>
          <w:w w:val="105"/>
        </w:rPr>
        <w:t> </w:t>
      </w:r>
      <w:r>
        <w:rPr>
          <w:w w:val="105"/>
        </w:rPr>
        <w:t>entity</w:t>
      </w:r>
      <w:r>
        <w:rPr>
          <w:spacing w:val="-9"/>
          <w:w w:val="105"/>
        </w:rPr>
        <w:t> </w:t>
      </w:r>
      <w:r>
        <w:rPr>
          <w:w w:val="105"/>
        </w:rPr>
        <w:t>for</w:t>
      </w:r>
      <w:r>
        <w:rPr>
          <w:spacing w:val="-9"/>
          <w:w w:val="105"/>
        </w:rPr>
        <w:t> </w:t>
      </w:r>
      <w:r>
        <w:rPr>
          <w:w w:val="105"/>
        </w:rPr>
        <w:t>which</w:t>
      </w:r>
      <w:r>
        <w:rPr>
          <w:spacing w:val="-9"/>
          <w:w w:val="105"/>
        </w:rPr>
        <w:t> </w:t>
      </w:r>
      <w:r>
        <w:rPr>
          <w:w w:val="105"/>
        </w:rPr>
        <w:t>Corning</w:t>
      </w:r>
      <w:r>
        <w:rPr>
          <w:spacing w:val="-9"/>
          <w:w w:val="105"/>
        </w:rPr>
        <w:t> </w:t>
      </w:r>
      <w:r>
        <w:rPr>
          <w:w w:val="105"/>
        </w:rPr>
        <w:t>has</w:t>
      </w:r>
      <w:r>
        <w:rPr>
          <w:spacing w:val="-9"/>
          <w:w w:val="105"/>
        </w:rPr>
        <w:t> </w:t>
      </w:r>
      <w:r>
        <w:rPr>
          <w:w w:val="105"/>
        </w:rPr>
        <w:t>an</w:t>
      </w:r>
      <w:r>
        <w:rPr>
          <w:spacing w:val="-9"/>
          <w:w w:val="105"/>
        </w:rPr>
        <w:t> </w:t>
      </w:r>
      <w:r>
        <w:rPr>
          <w:w w:val="105"/>
        </w:rPr>
        <w:t>obligation</w:t>
      </w:r>
      <w:r>
        <w:rPr>
          <w:spacing w:val="-7"/>
          <w:w w:val="105"/>
        </w:rPr>
        <w:t> </w:t>
      </w:r>
      <w:r>
        <w:rPr>
          <w:w w:val="105"/>
        </w:rPr>
        <w:t>to</w:t>
      </w:r>
      <w:r>
        <w:rPr>
          <w:spacing w:val="-9"/>
          <w:w w:val="105"/>
        </w:rPr>
        <w:t> </w:t>
      </w:r>
      <w:r>
        <w:rPr>
          <w:w w:val="105"/>
        </w:rPr>
        <w:t>the entity that is not recorded in our consolidated financial statements.</w:t>
      </w:r>
    </w:p>
    <w:p>
      <w:pPr>
        <w:pStyle w:val="BodyText"/>
        <w:spacing w:before="19"/>
      </w:pPr>
    </w:p>
    <w:p>
      <w:pPr>
        <w:pStyle w:val="BodyText"/>
        <w:spacing w:line="266" w:lineRule="auto"/>
        <w:ind w:left="156" w:right="290"/>
      </w:pPr>
      <w:r>
        <w:rPr>
          <w:w w:val="105"/>
        </w:rPr>
        <w:t>Corning’s</w:t>
      </w:r>
      <w:r>
        <w:rPr>
          <w:spacing w:val="-8"/>
          <w:w w:val="105"/>
        </w:rPr>
        <w:t> </w:t>
      </w:r>
      <w:r>
        <w:rPr>
          <w:w w:val="105"/>
        </w:rPr>
        <w:t>off</w:t>
      </w:r>
      <w:r>
        <w:rPr>
          <w:spacing w:val="-8"/>
          <w:w w:val="105"/>
        </w:rPr>
        <w:t> </w:t>
      </w:r>
      <w:r>
        <w:rPr>
          <w:w w:val="105"/>
        </w:rPr>
        <w:t>balance</w:t>
      </w:r>
      <w:r>
        <w:rPr>
          <w:spacing w:val="-8"/>
          <w:w w:val="105"/>
        </w:rPr>
        <w:t> </w:t>
      </w:r>
      <w:r>
        <w:rPr>
          <w:w w:val="105"/>
        </w:rPr>
        <w:t>sheet</w:t>
      </w:r>
      <w:r>
        <w:rPr>
          <w:spacing w:val="-6"/>
          <w:w w:val="105"/>
        </w:rPr>
        <w:t> </w:t>
      </w:r>
      <w:r>
        <w:rPr>
          <w:w w:val="105"/>
        </w:rPr>
        <w:t>arrangements</w:t>
      </w:r>
      <w:r>
        <w:rPr>
          <w:spacing w:val="-8"/>
          <w:w w:val="105"/>
        </w:rPr>
        <w:t> </w:t>
      </w:r>
      <w:r>
        <w:rPr>
          <w:w w:val="105"/>
        </w:rPr>
        <w:t>include</w:t>
      </w:r>
      <w:r>
        <w:rPr>
          <w:spacing w:val="-8"/>
          <w:w w:val="105"/>
        </w:rPr>
        <w:t> </w:t>
      </w:r>
      <w:r>
        <w:rPr>
          <w:w w:val="105"/>
        </w:rPr>
        <w:t>guarantee</w:t>
      </w:r>
      <w:r>
        <w:rPr>
          <w:spacing w:val="-8"/>
          <w:w w:val="105"/>
        </w:rPr>
        <w:t> </w:t>
      </w:r>
      <w:r>
        <w:rPr>
          <w:w w:val="105"/>
        </w:rPr>
        <w:t>and</w:t>
      </w:r>
      <w:r>
        <w:rPr>
          <w:spacing w:val="-8"/>
          <w:w w:val="105"/>
        </w:rPr>
        <w:t> </w:t>
      </w:r>
      <w:r>
        <w:rPr>
          <w:w w:val="105"/>
        </w:rPr>
        <w:t>indemnity</w:t>
      </w:r>
      <w:r>
        <w:rPr>
          <w:spacing w:val="-8"/>
          <w:w w:val="105"/>
        </w:rPr>
        <w:t> </w:t>
      </w:r>
      <w:r>
        <w:rPr>
          <w:w w:val="105"/>
        </w:rPr>
        <w:t>contracts.</w:t>
      </w:r>
      <w:r>
        <w:rPr>
          <w:spacing w:val="-8"/>
          <w:w w:val="105"/>
        </w:rPr>
        <w:t> </w:t>
      </w:r>
      <w:r>
        <w:rPr>
          <w:w w:val="105"/>
        </w:rPr>
        <w:t>At</w:t>
      </w:r>
      <w:r>
        <w:rPr>
          <w:spacing w:val="-8"/>
          <w:w w:val="105"/>
        </w:rPr>
        <w:t> </w:t>
      </w:r>
      <w:r>
        <w:rPr>
          <w:w w:val="105"/>
        </w:rPr>
        <w:t>the</w:t>
      </w:r>
      <w:r>
        <w:rPr>
          <w:spacing w:val="-8"/>
          <w:w w:val="105"/>
        </w:rPr>
        <w:t> </w:t>
      </w:r>
      <w:r>
        <w:rPr>
          <w:w w:val="105"/>
        </w:rPr>
        <w:t>time</w:t>
      </w:r>
      <w:r>
        <w:rPr>
          <w:spacing w:val="-8"/>
          <w:w w:val="105"/>
        </w:rPr>
        <w:t> </w:t>
      </w:r>
      <w:r>
        <w:rPr>
          <w:w w:val="105"/>
        </w:rPr>
        <w:t>a</w:t>
      </w:r>
      <w:r>
        <w:rPr>
          <w:spacing w:val="-8"/>
          <w:w w:val="105"/>
        </w:rPr>
        <w:t> </w:t>
      </w:r>
      <w:r>
        <w:rPr>
          <w:w w:val="105"/>
        </w:rPr>
        <w:t>guarantee</w:t>
      </w:r>
      <w:r>
        <w:rPr>
          <w:spacing w:val="-8"/>
          <w:w w:val="105"/>
        </w:rPr>
        <w:t> </w:t>
      </w:r>
      <w:r>
        <w:rPr>
          <w:w w:val="105"/>
        </w:rPr>
        <w:t>is</w:t>
      </w:r>
      <w:r>
        <w:rPr>
          <w:spacing w:val="-8"/>
          <w:w w:val="105"/>
        </w:rPr>
        <w:t> </w:t>
      </w:r>
      <w:r>
        <w:rPr>
          <w:w w:val="105"/>
        </w:rPr>
        <w:t>issued,</w:t>
      </w:r>
      <w:r>
        <w:rPr>
          <w:spacing w:val="-8"/>
          <w:w w:val="105"/>
        </w:rPr>
        <w:t> </w:t>
      </w:r>
      <w:r>
        <w:rPr>
          <w:w w:val="105"/>
        </w:rPr>
        <w:t>the</w:t>
      </w:r>
      <w:r>
        <w:rPr>
          <w:spacing w:val="-8"/>
          <w:w w:val="105"/>
        </w:rPr>
        <w:t> </w:t>
      </w:r>
      <w:r>
        <w:rPr>
          <w:w w:val="105"/>
        </w:rPr>
        <w:t>Company</w:t>
      </w:r>
      <w:r>
        <w:rPr>
          <w:spacing w:val="-8"/>
          <w:w w:val="105"/>
        </w:rPr>
        <w:t> </w:t>
      </w:r>
      <w:r>
        <w:rPr>
          <w:w w:val="105"/>
        </w:rPr>
        <w:t>is</w:t>
      </w:r>
      <w:r>
        <w:rPr>
          <w:spacing w:val="-8"/>
          <w:w w:val="105"/>
        </w:rPr>
        <w:t> </w:t>
      </w:r>
      <w:r>
        <w:rPr>
          <w:w w:val="105"/>
        </w:rPr>
        <w:t>required</w:t>
      </w:r>
      <w:r>
        <w:rPr>
          <w:spacing w:val="-8"/>
          <w:w w:val="105"/>
        </w:rPr>
        <w:t> </w:t>
      </w:r>
      <w:r>
        <w:rPr>
          <w:w w:val="105"/>
        </w:rPr>
        <w:t>to</w:t>
      </w:r>
      <w:r>
        <w:rPr>
          <w:spacing w:val="-8"/>
          <w:w w:val="105"/>
        </w:rPr>
        <w:t> </w:t>
      </w:r>
      <w:r>
        <w:rPr>
          <w:w w:val="105"/>
        </w:rPr>
        <w:t>recognize</w:t>
      </w:r>
      <w:r>
        <w:rPr>
          <w:spacing w:val="-8"/>
          <w:w w:val="105"/>
        </w:rPr>
        <w:t> </w:t>
      </w:r>
      <w:r>
        <w:rPr>
          <w:w w:val="105"/>
        </w:rPr>
        <w:t>a</w:t>
      </w:r>
      <w:r>
        <w:rPr>
          <w:spacing w:val="-8"/>
          <w:w w:val="105"/>
        </w:rPr>
        <w:t> </w:t>
      </w:r>
      <w:r>
        <w:rPr>
          <w:w w:val="105"/>
        </w:rPr>
        <w:t>liability</w:t>
      </w:r>
      <w:r>
        <w:rPr>
          <w:spacing w:val="-8"/>
          <w:w w:val="105"/>
        </w:rPr>
        <w:t> </w:t>
      </w:r>
      <w:r>
        <w:rPr>
          <w:w w:val="105"/>
        </w:rPr>
        <w:t>for the</w:t>
      </w:r>
      <w:r>
        <w:rPr>
          <w:spacing w:val="-5"/>
          <w:w w:val="105"/>
        </w:rPr>
        <w:t> </w:t>
      </w:r>
      <w:r>
        <w:rPr>
          <w:w w:val="105"/>
        </w:rPr>
        <w:t>fair</w:t>
      </w:r>
      <w:r>
        <w:rPr>
          <w:spacing w:val="-5"/>
          <w:w w:val="105"/>
        </w:rPr>
        <w:t> </w:t>
      </w:r>
      <w:r>
        <w:rPr>
          <w:w w:val="105"/>
        </w:rPr>
        <w:t>value</w:t>
      </w:r>
      <w:r>
        <w:rPr>
          <w:spacing w:val="-5"/>
          <w:w w:val="105"/>
        </w:rPr>
        <w:t> </w:t>
      </w:r>
      <w:r>
        <w:rPr>
          <w:w w:val="105"/>
        </w:rPr>
        <w:t>or</w:t>
      </w:r>
      <w:r>
        <w:rPr>
          <w:spacing w:val="-5"/>
          <w:w w:val="105"/>
        </w:rPr>
        <w:t> </w:t>
      </w:r>
      <w:r>
        <w:rPr>
          <w:w w:val="105"/>
        </w:rPr>
        <w:t>market</w:t>
      </w:r>
      <w:r>
        <w:rPr>
          <w:spacing w:val="-5"/>
          <w:w w:val="105"/>
        </w:rPr>
        <w:t> </w:t>
      </w:r>
      <w:r>
        <w:rPr>
          <w:w w:val="105"/>
        </w:rPr>
        <w:t>value</w:t>
      </w:r>
      <w:r>
        <w:rPr>
          <w:spacing w:val="-5"/>
          <w:w w:val="105"/>
        </w:rPr>
        <w:t> </w:t>
      </w:r>
      <w:r>
        <w:rPr>
          <w:w w:val="105"/>
        </w:rPr>
        <w:t>of</w:t>
      </w:r>
      <w:r>
        <w:rPr>
          <w:spacing w:val="-5"/>
          <w:w w:val="105"/>
        </w:rPr>
        <w:t> </w:t>
      </w:r>
      <w:r>
        <w:rPr>
          <w:w w:val="105"/>
        </w:rPr>
        <w:t>the</w:t>
      </w:r>
      <w:r>
        <w:rPr>
          <w:spacing w:val="-5"/>
          <w:w w:val="105"/>
        </w:rPr>
        <w:t> </w:t>
      </w:r>
      <w:r>
        <w:rPr>
          <w:w w:val="105"/>
        </w:rPr>
        <w:t>obligation</w:t>
      </w:r>
      <w:r>
        <w:rPr>
          <w:spacing w:val="-5"/>
          <w:w w:val="105"/>
        </w:rPr>
        <w:t> </w:t>
      </w:r>
      <w:r>
        <w:rPr>
          <w:w w:val="105"/>
        </w:rPr>
        <w:t>it</w:t>
      </w:r>
      <w:r>
        <w:rPr>
          <w:spacing w:val="-5"/>
          <w:w w:val="105"/>
        </w:rPr>
        <w:t> </w:t>
      </w:r>
      <w:r>
        <w:rPr>
          <w:w w:val="105"/>
        </w:rPr>
        <w:t>assumes.</w:t>
      </w:r>
      <w:r>
        <w:rPr>
          <w:spacing w:val="-5"/>
          <w:w w:val="105"/>
        </w:rPr>
        <w:t> </w:t>
      </w:r>
      <w:r>
        <w:rPr>
          <w:w w:val="105"/>
        </w:rPr>
        <w:t>In</w:t>
      </w:r>
      <w:r>
        <w:rPr>
          <w:spacing w:val="-5"/>
          <w:w w:val="105"/>
        </w:rPr>
        <w:t> </w:t>
      </w:r>
      <w:r>
        <w:rPr>
          <w:w w:val="105"/>
        </w:rPr>
        <w:t>the</w:t>
      </w:r>
      <w:r>
        <w:rPr>
          <w:spacing w:val="-5"/>
          <w:w w:val="105"/>
        </w:rPr>
        <w:t> </w:t>
      </w:r>
      <w:r>
        <w:rPr>
          <w:w w:val="105"/>
        </w:rPr>
        <w:t>normal</w:t>
      </w:r>
      <w:r>
        <w:rPr>
          <w:spacing w:val="-3"/>
          <w:w w:val="105"/>
        </w:rPr>
        <w:t> </w:t>
      </w:r>
      <w:r>
        <w:rPr>
          <w:w w:val="105"/>
        </w:rPr>
        <w:t>course</w:t>
      </w:r>
      <w:r>
        <w:rPr>
          <w:spacing w:val="-5"/>
          <w:w w:val="105"/>
        </w:rPr>
        <w:t> </w:t>
      </w:r>
      <w:r>
        <w:rPr>
          <w:w w:val="105"/>
        </w:rPr>
        <w:t>of</w:t>
      </w:r>
      <w:r>
        <w:rPr>
          <w:spacing w:val="-5"/>
          <w:w w:val="105"/>
        </w:rPr>
        <w:t> </w:t>
      </w:r>
      <w:r>
        <w:rPr>
          <w:w w:val="105"/>
        </w:rPr>
        <w:t>our</w:t>
      </w:r>
      <w:r>
        <w:rPr>
          <w:spacing w:val="-5"/>
          <w:w w:val="105"/>
        </w:rPr>
        <w:t> </w:t>
      </w:r>
      <w:r>
        <w:rPr>
          <w:w w:val="105"/>
        </w:rPr>
        <w:t>business,</w:t>
      </w:r>
      <w:r>
        <w:rPr>
          <w:spacing w:val="-5"/>
          <w:w w:val="105"/>
        </w:rPr>
        <w:t> </w:t>
      </w:r>
      <w:r>
        <w:rPr>
          <w:w w:val="105"/>
        </w:rPr>
        <w:t>we</w:t>
      </w:r>
      <w:r>
        <w:rPr>
          <w:spacing w:val="-5"/>
          <w:w w:val="105"/>
        </w:rPr>
        <w:t> </w:t>
      </w:r>
      <w:r>
        <w:rPr>
          <w:w w:val="105"/>
        </w:rPr>
        <w:t>do</w:t>
      </w:r>
      <w:r>
        <w:rPr>
          <w:spacing w:val="-5"/>
          <w:w w:val="105"/>
        </w:rPr>
        <w:t> </w:t>
      </w:r>
      <w:r>
        <w:rPr>
          <w:w w:val="105"/>
        </w:rPr>
        <w:t>not</w:t>
      </w:r>
      <w:r>
        <w:rPr>
          <w:spacing w:val="-5"/>
          <w:w w:val="105"/>
        </w:rPr>
        <w:t> </w:t>
      </w:r>
      <w:r>
        <w:rPr>
          <w:w w:val="105"/>
        </w:rPr>
        <w:t>routinely</w:t>
      </w:r>
      <w:r>
        <w:rPr>
          <w:spacing w:val="-5"/>
          <w:w w:val="105"/>
        </w:rPr>
        <w:t> </w:t>
      </w:r>
      <w:r>
        <w:rPr>
          <w:w w:val="105"/>
        </w:rPr>
        <w:t>provide</w:t>
      </w:r>
      <w:r>
        <w:rPr>
          <w:spacing w:val="-5"/>
          <w:w w:val="105"/>
        </w:rPr>
        <w:t> </w:t>
      </w:r>
      <w:r>
        <w:rPr>
          <w:w w:val="105"/>
        </w:rPr>
        <w:t>significant</w:t>
      </w:r>
      <w:r>
        <w:rPr>
          <w:spacing w:val="-5"/>
          <w:w w:val="105"/>
        </w:rPr>
        <w:t> </w:t>
      </w:r>
      <w:r>
        <w:rPr>
          <w:w w:val="105"/>
        </w:rPr>
        <w:t>third-party</w:t>
      </w:r>
      <w:r>
        <w:rPr>
          <w:spacing w:val="-5"/>
          <w:w w:val="105"/>
        </w:rPr>
        <w:t> </w:t>
      </w:r>
      <w:r>
        <w:rPr>
          <w:w w:val="105"/>
        </w:rPr>
        <w:t>guarantees.</w:t>
      </w:r>
      <w:r>
        <w:rPr>
          <w:spacing w:val="-5"/>
          <w:w w:val="105"/>
        </w:rPr>
        <w:t> </w:t>
      </w:r>
      <w:r>
        <w:rPr>
          <w:w w:val="105"/>
        </w:rPr>
        <w:t>Generally, third-party</w:t>
      </w:r>
      <w:r>
        <w:rPr>
          <w:spacing w:val="-2"/>
          <w:w w:val="105"/>
        </w:rPr>
        <w:t> </w:t>
      </w:r>
      <w:r>
        <w:rPr>
          <w:w w:val="105"/>
        </w:rPr>
        <w:t>guarantees</w:t>
      </w:r>
      <w:r>
        <w:rPr>
          <w:spacing w:val="-2"/>
          <w:w w:val="105"/>
        </w:rPr>
        <w:t> </w:t>
      </w:r>
      <w:r>
        <w:rPr>
          <w:w w:val="105"/>
        </w:rPr>
        <w:t>provided</w:t>
      </w:r>
      <w:r>
        <w:rPr>
          <w:spacing w:val="-2"/>
          <w:w w:val="105"/>
        </w:rPr>
        <w:t> </w:t>
      </w:r>
      <w:r>
        <w:rPr>
          <w:w w:val="105"/>
        </w:rPr>
        <w:t>by</w:t>
      </w:r>
      <w:r>
        <w:rPr>
          <w:spacing w:val="-2"/>
          <w:w w:val="105"/>
        </w:rPr>
        <w:t> </w:t>
      </w:r>
      <w:r>
        <w:rPr>
          <w:w w:val="105"/>
        </w:rPr>
        <w:t>Corning</w:t>
      </w:r>
      <w:r>
        <w:rPr>
          <w:spacing w:val="-2"/>
          <w:w w:val="105"/>
        </w:rPr>
        <w:t> </w:t>
      </w:r>
      <w:r>
        <w:rPr>
          <w:w w:val="105"/>
        </w:rPr>
        <w:t>are</w:t>
      </w:r>
      <w:r>
        <w:rPr>
          <w:spacing w:val="-2"/>
          <w:w w:val="105"/>
        </w:rPr>
        <w:t> </w:t>
      </w:r>
      <w:r>
        <w:rPr>
          <w:w w:val="105"/>
        </w:rPr>
        <w:t>limited</w:t>
      </w:r>
      <w:r>
        <w:rPr>
          <w:spacing w:val="-2"/>
          <w:w w:val="105"/>
        </w:rPr>
        <w:t> </w:t>
      </w:r>
      <w:r>
        <w:rPr>
          <w:w w:val="105"/>
        </w:rPr>
        <w:t>to</w:t>
      </w:r>
      <w:r>
        <w:rPr>
          <w:spacing w:val="-2"/>
          <w:w w:val="105"/>
        </w:rPr>
        <w:t> </w:t>
      </w:r>
      <w:r>
        <w:rPr>
          <w:w w:val="105"/>
        </w:rPr>
        <w:t>certain</w:t>
      </w:r>
      <w:r>
        <w:rPr>
          <w:spacing w:val="-2"/>
          <w:w w:val="105"/>
        </w:rPr>
        <w:t> </w:t>
      </w:r>
      <w:r>
        <w:rPr>
          <w:w w:val="105"/>
        </w:rPr>
        <w:t>financial</w:t>
      </w:r>
      <w:r>
        <w:rPr>
          <w:spacing w:val="-2"/>
          <w:w w:val="105"/>
        </w:rPr>
        <w:t> </w:t>
      </w:r>
      <w:r>
        <w:rPr>
          <w:w w:val="105"/>
        </w:rPr>
        <w:t>guarantees,</w:t>
      </w:r>
      <w:r>
        <w:rPr>
          <w:spacing w:val="-2"/>
          <w:w w:val="105"/>
        </w:rPr>
        <w:t> </w:t>
      </w:r>
      <w:r>
        <w:rPr>
          <w:w w:val="105"/>
        </w:rPr>
        <w:t>including</w:t>
      </w:r>
      <w:r>
        <w:rPr>
          <w:spacing w:val="-2"/>
          <w:w w:val="105"/>
        </w:rPr>
        <w:t> </w:t>
      </w:r>
      <w:r>
        <w:rPr>
          <w:w w:val="105"/>
        </w:rPr>
        <w:t>stand-by</w:t>
      </w:r>
      <w:r>
        <w:rPr>
          <w:spacing w:val="-2"/>
          <w:w w:val="105"/>
        </w:rPr>
        <w:t> </w:t>
      </w:r>
      <w:r>
        <w:rPr>
          <w:w w:val="105"/>
        </w:rPr>
        <w:t>letters</w:t>
      </w:r>
      <w:r>
        <w:rPr>
          <w:spacing w:val="-2"/>
          <w:w w:val="105"/>
        </w:rPr>
        <w:t> </w:t>
      </w:r>
      <w:r>
        <w:rPr>
          <w:w w:val="105"/>
        </w:rPr>
        <w:t>of</w:t>
      </w:r>
      <w:r>
        <w:rPr>
          <w:spacing w:val="-2"/>
          <w:w w:val="105"/>
        </w:rPr>
        <w:t> </w:t>
      </w:r>
      <w:r>
        <w:rPr>
          <w:w w:val="105"/>
        </w:rPr>
        <w:t>credit</w:t>
      </w:r>
      <w:r>
        <w:rPr>
          <w:spacing w:val="-2"/>
          <w:w w:val="105"/>
        </w:rPr>
        <w:t> </w:t>
      </w:r>
      <w:r>
        <w:rPr>
          <w:w w:val="105"/>
        </w:rPr>
        <w:t>and</w:t>
      </w:r>
      <w:r>
        <w:rPr>
          <w:spacing w:val="-2"/>
          <w:w w:val="105"/>
        </w:rPr>
        <w:t> </w:t>
      </w:r>
      <w:r>
        <w:rPr>
          <w:w w:val="105"/>
        </w:rPr>
        <w:t>performance</w:t>
      </w:r>
      <w:r>
        <w:rPr>
          <w:spacing w:val="-2"/>
          <w:w w:val="105"/>
        </w:rPr>
        <w:t> </w:t>
      </w:r>
      <w:r>
        <w:rPr>
          <w:w w:val="105"/>
        </w:rPr>
        <w:t>bonds,</w:t>
      </w:r>
      <w:r>
        <w:rPr>
          <w:spacing w:val="-2"/>
          <w:w w:val="105"/>
        </w:rPr>
        <w:t> </w:t>
      </w:r>
      <w:r>
        <w:rPr>
          <w:w w:val="105"/>
        </w:rPr>
        <w:t>and</w:t>
      </w:r>
      <w:r>
        <w:rPr>
          <w:spacing w:val="-2"/>
          <w:w w:val="105"/>
        </w:rPr>
        <w:t> </w:t>
      </w:r>
      <w:r>
        <w:rPr>
          <w:w w:val="105"/>
        </w:rPr>
        <w:t>the incurrence</w:t>
      </w:r>
      <w:r>
        <w:rPr>
          <w:spacing w:val="-2"/>
          <w:w w:val="105"/>
        </w:rPr>
        <w:t> </w:t>
      </w:r>
      <w:r>
        <w:rPr>
          <w:w w:val="105"/>
        </w:rPr>
        <w:t>of contingent</w:t>
      </w:r>
      <w:r>
        <w:rPr>
          <w:spacing w:val="-5"/>
          <w:w w:val="105"/>
        </w:rPr>
        <w:t> </w:t>
      </w:r>
      <w:r>
        <w:rPr>
          <w:w w:val="105"/>
        </w:rPr>
        <w:t>liabilities</w:t>
      </w:r>
      <w:r>
        <w:rPr>
          <w:spacing w:val="-5"/>
          <w:w w:val="105"/>
        </w:rPr>
        <w:t> </w:t>
      </w:r>
      <w:r>
        <w:rPr>
          <w:w w:val="105"/>
        </w:rPr>
        <w:t>in</w:t>
      </w:r>
      <w:r>
        <w:rPr>
          <w:spacing w:val="-5"/>
          <w:w w:val="105"/>
        </w:rPr>
        <w:t> </w:t>
      </w:r>
      <w:r>
        <w:rPr>
          <w:w w:val="105"/>
        </w:rPr>
        <w:t>the</w:t>
      </w:r>
      <w:r>
        <w:rPr>
          <w:spacing w:val="-5"/>
          <w:w w:val="105"/>
        </w:rPr>
        <w:t> </w:t>
      </w:r>
      <w:r>
        <w:rPr>
          <w:w w:val="105"/>
        </w:rPr>
        <w:t>form</w:t>
      </w:r>
      <w:r>
        <w:rPr>
          <w:spacing w:val="-5"/>
          <w:w w:val="105"/>
        </w:rPr>
        <w:t> </w:t>
      </w:r>
      <w:r>
        <w:rPr>
          <w:w w:val="105"/>
        </w:rPr>
        <w:t>of</w:t>
      </w:r>
      <w:r>
        <w:rPr>
          <w:spacing w:val="-5"/>
          <w:w w:val="105"/>
        </w:rPr>
        <w:t> </w:t>
      </w:r>
      <w:r>
        <w:rPr>
          <w:w w:val="105"/>
        </w:rPr>
        <w:t>purchase</w:t>
      </w:r>
      <w:r>
        <w:rPr>
          <w:spacing w:val="-5"/>
          <w:w w:val="105"/>
        </w:rPr>
        <w:t> </w:t>
      </w:r>
      <w:r>
        <w:rPr>
          <w:w w:val="105"/>
        </w:rPr>
        <w:t>price</w:t>
      </w:r>
      <w:r>
        <w:rPr>
          <w:spacing w:val="-5"/>
          <w:w w:val="105"/>
        </w:rPr>
        <w:t> </w:t>
      </w:r>
      <w:r>
        <w:rPr>
          <w:w w:val="105"/>
        </w:rPr>
        <w:t>adjustments</w:t>
      </w:r>
      <w:r>
        <w:rPr>
          <w:spacing w:val="-5"/>
          <w:w w:val="105"/>
        </w:rPr>
        <w:t> </w:t>
      </w:r>
      <w:r>
        <w:rPr>
          <w:w w:val="105"/>
        </w:rPr>
        <w:t>related</w:t>
      </w:r>
      <w:r>
        <w:rPr>
          <w:spacing w:val="-5"/>
          <w:w w:val="105"/>
        </w:rPr>
        <w:t> </w:t>
      </w:r>
      <w:r>
        <w:rPr>
          <w:w w:val="105"/>
        </w:rPr>
        <w:t>to</w:t>
      </w:r>
      <w:r>
        <w:rPr>
          <w:spacing w:val="-5"/>
          <w:w w:val="105"/>
        </w:rPr>
        <w:t> </w:t>
      </w:r>
      <w:r>
        <w:rPr>
          <w:w w:val="105"/>
        </w:rPr>
        <w:t>attainment</w:t>
      </w:r>
      <w:r>
        <w:rPr>
          <w:spacing w:val="-5"/>
          <w:w w:val="105"/>
        </w:rPr>
        <w:t> </w:t>
      </w:r>
      <w:r>
        <w:rPr>
          <w:w w:val="105"/>
        </w:rPr>
        <w:t>of</w:t>
      </w:r>
      <w:r>
        <w:rPr>
          <w:spacing w:val="-3"/>
          <w:w w:val="105"/>
        </w:rPr>
        <w:t> </w:t>
      </w:r>
      <w:r>
        <w:rPr>
          <w:w w:val="105"/>
        </w:rPr>
        <w:t>milestones.</w:t>
      </w:r>
      <w:r>
        <w:rPr>
          <w:spacing w:val="-5"/>
          <w:w w:val="105"/>
        </w:rPr>
        <w:t> </w:t>
      </w:r>
      <w:r>
        <w:rPr>
          <w:w w:val="105"/>
        </w:rPr>
        <w:t>These</w:t>
      </w:r>
      <w:r>
        <w:rPr>
          <w:spacing w:val="-5"/>
          <w:w w:val="105"/>
        </w:rPr>
        <w:t> </w:t>
      </w:r>
      <w:r>
        <w:rPr>
          <w:w w:val="105"/>
        </w:rPr>
        <w:t>guarantees</w:t>
      </w:r>
      <w:r>
        <w:rPr>
          <w:spacing w:val="-5"/>
          <w:w w:val="105"/>
        </w:rPr>
        <w:t> </w:t>
      </w:r>
      <w:r>
        <w:rPr>
          <w:w w:val="105"/>
        </w:rPr>
        <w:t>have</w:t>
      </w:r>
      <w:r>
        <w:rPr>
          <w:spacing w:val="-5"/>
          <w:w w:val="105"/>
        </w:rPr>
        <w:t> </w:t>
      </w:r>
      <w:r>
        <w:rPr>
          <w:w w:val="105"/>
        </w:rPr>
        <w:t>various</w:t>
      </w:r>
      <w:r>
        <w:rPr>
          <w:spacing w:val="-5"/>
          <w:w w:val="105"/>
        </w:rPr>
        <w:t> </w:t>
      </w:r>
      <w:r>
        <w:rPr>
          <w:w w:val="105"/>
        </w:rPr>
        <w:t>terms,</w:t>
      </w:r>
      <w:r>
        <w:rPr>
          <w:spacing w:val="-5"/>
          <w:w w:val="105"/>
        </w:rPr>
        <w:t> </w:t>
      </w:r>
      <w:r>
        <w:rPr>
          <w:w w:val="105"/>
        </w:rPr>
        <w:t>and</w:t>
      </w:r>
      <w:r>
        <w:rPr>
          <w:spacing w:val="-5"/>
          <w:w w:val="105"/>
        </w:rPr>
        <w:t> </w:t>
      </w:r>
      <w:r>
        <w:rPr>
          <w:w w:val="105"/>
        </w:rPr>
        <w:t>none</w:t>
      </w:r>
      <w:r>
        <w:rPr>
          <w:spacing w:val="-5"/>
          <w:w w:val="105"/>
        </w:rPr>
        <w:t> </w:t>
      </w:r>
      <w:r>
        <w:rPr>
          <w:w w:val="105"/>
        </w:rPr>
        <w:t>of</w:t>
      </w:r>
      <w:r>
        <w:rPr>
          <w:spacing w:val="-3"/>
          <w:w w:val="105"/>
        </w:rPr>
        <w:t> </w:t>
      </w:r>
      <w:r>
        <w:rPr>
          <w:w w:val="105"/>
        </w:rPr>
        <w:t>these</w:t>
      </w:r>
      <w:r>
        <w:rPr>
          <w:spacing w:val="-5"/>
          <w:w w:val="105"/>
        </w:rPr>
        <w:t> </w:t>
      </w:r>
      <w:r>
        <w:rPr>
          <w:w w:val="105"/>
        </w:rPr>
        <w:t>guarantees</w:t>
      </w:r>
      <w:r>
        <w:rPr>
          <w:spacing w:val="-5"/>
          <w:w w:val="105"/>
        </w:rPr>
        <w:t> </w:t>
      </w:r>
      <w:r>
        <w:rPr>
          <w:w w:val="105"/>
        </w:rPr>
        <w:t>are individually</w:t>
      </w:r>
      <w:r>
        <w:rPr>
          <w:spacing w:val="-1"/>
          <w:w w:val="105"/>
        </w:rPr>
        <w:t> </w:t>
      </w:r>
      <w:r>
        <w:rPr>
          <w:w w:val="105"/>
        </w:rPr>
        <w:t>significant.</w:t>
      </w:r>
    </w:p>
    <w:p>
      <w:pPr>
        <w:pStyle w:val="BodyText"/>
        <w:spacing w:before="18"/>
      </w:pPr>
    </w:p>
    <w:p>
      <w:pPr>
        <w:pStyle w:val="BodyText"/>
        <w:ind w:left="156"/>
      </w:pPr>
      <w:r>
        <w:rPr>
          <w:spacing w:val="-2"/>
          <w:w w:val="105"/>
        </w:rPr>
        <w:t>Refer</w:t>
      </w:r>
      <w:r>
        <w:rPr>
          <w:spacing w:val="2"/>
          <w:w w:val="105"/>
        </w:rPr>
        <w:t> </w:t>
      </w:r>
      <w:r>
        <w:rPr>
          <w:spacing w:val="-2"/>
          <w:w w:val="105"/>
        </w:rPr>
        <w:t>to</w:t>
      </w:r>
      <w:r>
        <w:rPr>
          <w:spacing w:val="2"/>
          <w:w w:val="105"/>
        </w:rPr>
        <w:t> </w:t>
      </w:r>
      <w:r>
        <w:rPr>
          <w:spacing w:val="-2"/>
          <w:w w:val="105"/>
        </w:rPr>
        <w:t>Note</w:t>
      </w:r>
      <w:r>
        <w:rPr>
          <w:spacing w:val="3"/>
          <w:w w:val="105"/>
        </w:rPr>
        <w:t> </w:t>
      </w:r>
      <w:r>
        <w:rPr>
          <w:spacing w:val="-2"/>
          <w:w w:val="105"/>
        </w:rPr>
        <w:t>14</w:t>
      </w:r>
      <w:r>
        <w:rPr>
          <w:spacing w:val="2"/>
          <w:w w:val="105"/>
        </w:rPr>
        <w:t> </w:t>
      </w:r>
      <w:r>
        <w:rPr>
          <w:spacing w:val="-2"/>
          <w:w w:val="105"/>
        </w:rPr>
        <w:t>(Commitments,</w:t>
      </w:r>
      <w:r>
        <w:rPr>
          <w:spacing w:val="3"/>
          <w:w w:val="105"/>
        </w:rPr>
        <w:t> </w:t>
      </w:r>
      <w:r>
        <w:rPr>
          <w:spacing w:val="-2"/>
          <w:w w:val="105"/>
        </w:rPr>
        <w:t>Contingencies</w:t>
      </w:r>
      <w:r>
        <w:rPr>
          <w:spacing w:val="2"/>
          <w:w w:val="105"/>
        </w:rPr>
        <w:t> </w:t>
      </w:r>
      <w:r>
        <w:rPr>
          <w:spacing w:val="-2"/>
          <w:w w:val="105"/>
        </w:rPr>
        <w:t>and</w:t>
      </w:r>
      <w:r>
        <w:rPr>
          <w:spacing w:val="3"/>
          <w:w w:val="105"/>
        </w:rPr>
        <w:t> </w:t>
      </w:r>
      <w:r>
        <w:rPr>
          <w:spacing w:val="-2"/>
          <w:w w:val="105"/>
        </w:rPr>
        <w:t>Guarantees)</w:t>
      </w:r>
      <w:r>
        <w:rPr>
          <w:spacing w:val="2"/>
          <w:w w:val="105"/>
        </w:rPr>
        <w:t> </w:t>
      </w:r>
      <w:r>
        <w:rPr>
          <w:spacing w:val="-2"/>
          <w:w w:val="105"/>
        </w:rPr>
        <w:t>to</w:t>
      </w:r>
      <w:r>
        <w:rPr>
          <w:spacing w:val="5"/>
          <w:w w:val="105"/>
        </w:rPr>
        <w:t> </w:t>
      </w:r>
      <w:r>
        <w:rPr>
          <w:spacing w:val="-2"/>
          <w:w w:val="105"/>
        </w:rPr>
        <w:t>the</w:t>
      </w:r>
      <w:r>
        <w:rPr>
          <w:spacing w:val="2"/>
          <w:w w:val="105"/>
        </w:rPr>
        <w:t> </w:t>
      </w:r>
      <w:r>
        <w:rPr>
          <w:spacing w:val="-2"/>
          <w:w w:val="105"/>
        </w:rPr>
        <w:t>consolidated</w:t>
      </w:r>
      <w:r>
        <w:rPr>
          <w:spacing w:val="3"/>
          <w:w w:val="105"/>
        </w:rPr>
        <w:t> </w:t>
      </w:r>
      <w:r>
        <w:rPr>
          <w:spacing w:val="-2"/>
          <w:w w:val="105"/>
        </w:rPr>
        <w:t>financial</w:t>
      </w:r>
      <w:r>
        <w:rPr>
          <w:spacing w:val="2"/>
          <w:w w:val="105"/>
        </w:rPr>
        <w:t> </w:t>
      </w:r>
      <w:r>
        <w:rPr>
          <w:spacing w:val="-2"/>
          <w:w w:val="105"/>
        </w:rPr>
        <w:t>statements</w:t>
      </w:r>
      <w:r>
        <w:rPr>
          <w:spacing w:val="2"/>
          <w:w w:val="105"/>
        </w:rPr>
        <w:t> </w:t>
      </w:r>
      <w:r>
        <w:rPr>
          <w:spacing w:val="-2"/>
          <w:w w:val="105"/>
        </w:rPr>
        <w:t>for</w:t>
      </w:r>
      <w:r>
        <w:rPr>
          <w:spacing w:val="3"/>
          <w:w w:val="105"/>
        </w:rPr>
        <w:t> </w:t>
      </w:r>
      <w:r>
        <w:rPr>
          <w:spacing w:val="-2"/>
          <w:w w:val="105"/>
        </w:rPr>
        <w:t>additional</w:t>
      </w:r>
      <w:r>
        <w:rPr>
          <w:spacing w:val="2"/>
          <w:w w:val="105"/>
        </w:rPr>
        <w:t> </w:t>
      </w:r>
      <w:r>
        <w:rPr>
          <w:spacing w:val="-2"/>
          <w:w w:val="105"/>
        </w:rPr>
        <w:t>information.</w:t>
      </w:r>
    </w:p>
    <w:p>
      <w:pPr>
        <w:pStyle w:val="BodyText"/>
        <w:spacing w:before="40"/>
      </w:pPr>
    </w:p>
    <w:p>
      <w:pPr>
        <w:pStyle w:val="BodyText"/>
        <w:spacing w:line="266" w:lineRule="auto"/>
        <w:ind w:left="156"/>
      </w:pPr>
      <w:r>
        <w:rPr>
          <w:w w:val="105"/>
        </w:rPr>
        <w:t>For</w:t>
      </w:r>
      <w:r>
        <w:rPr>
          <w:spacing w:val="-7"/>
          <w:w w:val="105"/>
        </w:rPr>
        <w:t> </w:t>
      </w:r>
      <w:r>
        <w:rPr>
          <w:w w:val="105"/>
        </w:rPr>
        <w:t>variable</w:t>
      </w:r>
      <w:r>
        <w:rPr>
          <w:spacing w:val="-7"/>
          <w:w w:val="105"/>
        </w:rPr>
        <w:t> </w:t>
      </w:r>
      <w:r>
        <w:rPr>
          <w:w w:val="105"/>
        </w:rPr>
        <w:t>interest</w:t>
      </w:r>
      <w:r>
        <w:rPr>
          <w:spacing w:val="-7"/>
          <w:w w:val="105"/>
        </w:rPr>
        <w:t> </w:t>
      </w:r>
      <w:r>
        <w:rPr>
          <w:w w:val="105"/>
        </w:rPr>
        <w:t>entities,</w:t>
      </w:r>
      <w:r>
        <w:rPr>
          <w:spacing w:val="-7"/>
          <w:w w:val="105"/>
        </w:rPr>
        <w:t> </w:t>
      </w:r>
      <w:r>
        <w:rPr>
          <w:w w:val="105"/>
        </w:rPr>
        <w:t>we</w:t>
      </w:r>
      <w:r>
        <w:rPr>
          <w:spacing w:val="-7"/>
          <w:w w:val="105"/>
        </w:rPr>
        <w:t> </w:t>
      </w:r>
      <w:r>
        <w:rPr>
          <w:w w:val="105"/>
        </w:rPr>
        <w:t>assess</w:t>
      </w:r>
      <w:r>
        <w:rPr>
          <w:spacing w:val="-7"/>
          <w:w w:val="105"/>
        </w:rPr>
        <w:t> </w:t>
      </w:r>
      <w:r>
        <w:rPr>
          <w:w w:val="105"/>
        </w:rPr>
        <w:t>the</w:t>
      </w:r>
      <w:r>
        <w:rPr>
          <w:spacing w:val="-7"/>
          <w:w w:val="105"/>
        </w:rPr>
        <w:t> </w:t>
      </w:r>
      <w:r>
        <w:rPr>
          <w:w w:val="105"/>
        </w:rPr>
        <w:t>terms</w:t>
      </w:r>
      <w:r>
        <w:rPr>
          <w:spacing w:val="-9"/>
          <w:w w:val="105"/>
        </w:rPr>
        <w:t> </w:t>
      </w:r>
      <w:r>
        <w:rPr>
          <w:w w:val="105"/>
        </w:rPr>
        <w:t>of</w:t>
      </w:r>
      <w:r>
        <w:rPr>
          <w:spacing w:val="-7"/>
          <w:w w:val="105"/>
        </w:rPr>
        <w:t> </w:t>
      </w:r>
      <w:r>
        <w:rPr>
          <w:w w:val="105"/>
        </w:rPr>
        <w:t>our</w:t>
      </w:r>
      <w:r>
        <w:rPr>
          <w:spacing w:val="-7"/>
          <w:w w:val="105"/>
        </w:rPr>
        <w:t> </w:t>
      </w:r>
      <w:r>
        <w:rPr>
          <w:w w:val="105"/>
        </w:rPr>
        <w:t>interest</w:t>
      </w:r>
      <w:r>
        <w:rPr>
          <w:spacing w:val="-7"/>
          <w:w w:val="105"/>
        </w:rPr>
        <w:t> </w:t>
      </w:r>
      <w:r>
        <w:rPr>
          <w:w w:val="105"/>
        </w:rPr>
        <w:t>in</w:t>
      </w:r>
      <w:r>
        <w:rPr>
          <w:spacing w:val="-7"/>
          <w:w w:val="105"/>
        </w:rPr>
        <w:t> </w:t>
      </w:r>
      <w:r>
        <w:rPr>
          <w:w w:val="105"/>
        </w:rPr>
        <w:t>each</w:t>
      </w:r>
      <w:r>
        <w:rPr>
          <w:spacing w:val="-7"/>
          <w:w w:val="105"/>
        </w:rPr>
        <w:t> </w:t>
      </w:r>
      <w:r>
        <w:rPr>
          <w:w w:val="105"/>
        </w:rPr>
        <w:t>entity</w:t>
      </w:r>
      <w:r>
        <w:rPr>
          <w:spacing w:val="-7"/>
          <w:w w:val="105"/>
        </w:rPr>
        <w:t> </w:t>
      </w:r>
      <w:r>
        <w:rPr>
          <w:w w:val="105"/>
        </w:rPr>
        <w:t>to</w:t>
      </w:r>
      <w:r>
        <w:rPr>
          <w:spacing w:val="-7"/>
          <w:w w:val="105"/>
        </w:rPr>
        <w:t> </w:t>
      </w:r>
      <w:r>
        <w:rPr>
          <w:w w:val="105"/>
        </w:rPr>
        <w:t>determine</w:t>
      </w:r>
      <w:r>
        <w:rPr>
          <w:spacing w:val="-7"/>
          <w:w w:val="105"/>
        </w:rPr>
        <w:t> </w:t>
      </w:r>
      <w:r>
        <w:rPr>
          <w:w w:val="105"/>
        </w:rPr>
        <w:t>if</w:t>
      </w:r>
      <w:r>
        <w:rPr>
          <w:spacing w:val="-7"/>
          <w:w w:val="105"/>
        </w:rPr>
        <w:t> </w:t>
      </w:r>
      <w:r>
        <w:rPr>
          <w:w w:val="105"/>
        </w:rPr>
        <w:t>we</w:t>
      </w:r>
      <w:r>
        <w:rPr>
          <w:spacing w:val="-7"/>
          <w:w w:val="105"/>
        </w:rPr>
        <w:t> </w:t>
      </w:r>
      <w:r>
        <w:rPr>
          <w:w w:val="105"/>
        </w:rPr>
        <w:t>are</w:t>
      </w:r>
      <w:r>
        <w:rPr>
          <w:spacing w:val="-7"/>
          <w:w w:val="105"/>
        </w:rPr>
        <w:t> </w:t>
      </w:r>
      <w:r>
        <w:rPr>
          <w:w w:val="105"/>
        </w:rPr>
        <w:t>the</w:t>
      </w:r>
      <w:r>
        <w:rPr>
          <w:spacing w:val="-7"/>
          <w:w w:val="105"/>
        </w:rPr>
        <w:t> </w:t>
      </w:r>
      <w:r>
        <w:rPr>
          <w:w w:val="105"/>
        </w:rPr>
        <w:t>primary</w:t>
      </w:r>
      <w:r>
        <w:rPr>
          <w:spacing w:val="-7"/>
          <w:w w:val="105"/>
        </w:rPr>
        <w:t> </w:t>
      </w:r>
      <w:r>
        <w:rPr>
          <w:w w:val="105"/>
        </w:rPr>
        <w:t>beneficiary.</w:t>
      </w:r>
      <w:r>
        <w:rPr>
          <w:spacing w:val="-7"/>
          <w:w w:val="105"/>
        </w:rPr>
        <w:t> </w:t>
      </w:r>
      <w:r>
        <w:rPr>
          <w:w w:val="105"/>
        </w:rPr>
        <w:t>The</w:t>
      </w:r>
      <w:r>
        <w:rPr>
          <w:spacing w:val="-9"/>
          <w:w w:val="105"/>
        </w:rPr>
        <w:t> </w:t>
      </w:r>
      <w:r>
        <w:rPr>
          <w:w w:val="105"/>
        </w:rPr>
        <w:t>primary</w:t>
      </w:r>
      <w:r>
        <w:rPr>
          <w:spacing w:val="-7"/>
          <w:w w:val="105"/>
        </w:rPr>
        <w:t> </w:t>
      </w:r>
      <w:r>
        <w:rPr>
          <w:w w:val="105"/>
        </w:rPr>
        <w:t>beneficiary</w:t>
      </w:r>
      <w:r>
        <w:rPr>
          <w:spacing w:val="-7"/>
          <w:w w:val="105"/>
        </w:rPr>
        <w:t> </w:t>
      </w:r>
      <w:r>
        <w:rPr>
          <w:w w:val="105"/>
        </w:rPr>
        <w:t>of</w:t>
      </w:r>
      <w:r>
        <w:rPr>
          <w:spacing w:val="-7"/>
          <w:w w:val="105"/>
        </w:rPr>
        <w:t> </w:t>
      </w:r>
      <w:r>
        <w:rPr>
          <w:w w:val="105"/>
        </w:rPr>
        <w:t>a</w:t>
      </w:r>
      <w:r>
        <w:rPr>
          <w:spacing w:val="-7"/>
          <w:w w:val="105"/>
        </w:rPr>
        <w:t> </w:t>
      </w:r>
      <w:r>
        <w:rPr>
          <w:w w:val="105"/>
        </w:rPr>
        <w:t>variable</w:t>
      </w:r>
      <w:r>
        <w:rPr>
          <w:spacing w:val="-7"/>
          <w:w w:val="105"/>
        </w:rPr>
        <w:t> </w:t>
      </w:r>
      <w:r>
        <w:rPr>
          <w:w w:val="105"/>
        </w:rPr>
        <w:t>interest entity</w:t>
      </w:r>
      <w:r>
        <w:rPr>
          <w:spacing w:val="-2"/>
          <w:w w:val="105"/>
        </w:rPr>
        <w:t> </w:t>
      </w:r>
      <w:r>
        <w:rPr>
          <w:w w:val="105"/>
        </w:rPr>
        <w:t>is</w:t>
      </w:r>
      <w:r>
        <w:rPr>
          <w:spacing w:val="-2"/>
          <w:w w:val="105"/>
        </w:rPr>
        <w:t> </w:t>
      </w:r>
      <w:r>
        <w:rPr>
          <w:w w:val="105"/>
        </w:rPr>
        <w:t>the</w:t>
      </w:r>
      <w:r>
        <w:rPr>
          <w:spacing w:val="-2"/>
          <w:w w:val="105"/>
        </w:rPr>
        <w:t> </w:t>
      </w:r>
      <w:r>
        <w:rPr>
          <w:w w:val="105"/>
        </w:rPr>
        <w:t>party</w:t>
      </w:r>
      <w:r>
        <w:rPr>
          <w:spacing w:val="-2"/>
          <w:w w:val="105"/>
        </w:rPr>
        <w:t> </w:t>
      </w:r>
      <w:r>
        <w:rPr>
          <w:w w:val="105"/>
        </w:rPr>
        <w:t>that</w:t>
      </w:r>
      <w:r>
        <w:rPr>
          <w:spacing w:val="-2"/>
          <w:w w:val="105"/>
        </w:rPr>
        <w:t> </w:t>
      </w:r>
      <w:r>
        <w:rPr>
          <w:w w:val="105"/>
        </w:rPr>
        <w:t>holds</w:t>
      </w:r>
      <w:r>
        <w:rPr>
          <w:spacing w:val="-2"/>
          <w:w w:val="105"/>
        </w:rPr>
        <w:t> </w:t>
      </w:r>
      <w:r>
        <w:rPr>
          <w:w w:val="105"/>
        </w:rPr>
        <w:t>a</w:t>
      </w:r>
      <w:r>
        <w:rPr>
          <w:spacing w:val="-2"/>
          <w:w w:val="105"/>
        </w:rPr>
        <w:t> </w:t>
      </w:r>
      <w:r>
        <w:rPr>
          <w:w w:val="105"/>
        </w:rPr>
        <w:t>controlling</w:t>
      </w:r>
      <w:r>
        <w:rPr>
          <w:spacing w:val="-2"/>
          <w:w w:val="105"/>
        </w:rPr>
        <w:t> </w:t>
      </w:r>
      <w:r>
        <w:rPr>
          <w:w w:val="105"/>
        </w:rPr>
        <w:t>financial</w:t>
      </w:r>
      <w:r>
        <w:rPr>
          <w:spacing w:val="-2"/>
          <w:w w:val="105"/>
        </w:rPr>
        <w:t> </w:t>
      </w:r>
      <w:r>
        <w:rPr>
          <w:w w:val="105"/>
        </w:rPr>
        <w:t>interest.</w:t>
      </w:r>
      <w:r>
        <w:rPr>
          <w:spacing w:val="39"/>
          <w:w w:val="105"/>
        </w:rPr>
        <w:t> </w:t>
      </w:r>
      <w:r>
        <w:rPr>
          <w:w w:val="105"/>
        </w:rPr>
        <w:t>Variable</w:t>
      </w:r>
      <w:r>
        <w:rPr>
          <w:spacing w:val="-2"/>
          <w:w w:val="105"/>
        </w:rPr>
        <w:t> </w:t>
      </w:r>
      <w:r>
        <w:rPr>
          <w:w w:val="105"/>
        </w:rPr>
        <w:t>interests</w:t>
      </w:r>
      <w:r>
        <w:rPr>
          <w:spacing w:val="-2"/>
          <w:w w:val="105"/>
        </w:rPr>
        <w:t> </w:t>
      </w:r>
      <w:r>
        <w:rPr>
          <w:w w:val="105"/>
        </w:rPr>
        <w:t>are</w:t>
      </w:r>
      <w:r>
        <w:rPr>
          <w:spacing w:val="-2"/>
          <w:w w:val="105"/>
        </w:rPr>
        <w:t> </w:t>
      </w:r>
      <w:r>
        <w:rPr>
          <w:w w:val="105"/>
        </w:rPr>
        <w:t>the</w:t>
      </w:r>
      <w:r>
        <w:rPr>
          <w:spacing w:val="-2"/>
          <w:w w:val="105"/>
        </w:rPr>
        <w:t> </w:t>
      </w:r>
      <w:r>
        <w:rPr>
          <w:w w:val="105"/>
        </w:rPr>
        <w:t>ownership,</w:t>
      </w:r>
      <w:r>
        <w:rPr>
          <w:spacing w:val="-2"/>
          <w:w w:val="105"/>
        </w:rPr>
        <w:t> </w:t>
      </w:r>
      <w:r>
        <w:rPr>
          <w:w w:val="105"/>
        </w:rPr>
        <w:t>contractual,</w:t>
      </w:r>
      <w:r>
        <w:rPr>
          <w:spacing w:val="-2"/>
          <w:w w:val="105"/>
        </w:rPr>
        <w:t> </w:t>
      </w:r>
      <w:r>
        <w:rPr>
          <w:w w:val="105"/>
        </w:rPr>
        <w:t>or</w:t>
      </w:r>
      <w:r>
        <w:rPr>
          <w:spacing w:val="-2"/>
          <w:w w:val="105"/>
        </w:rPr>
        <w:t> </w:t>
      </w:r>
      <w:r>
        <w:rPr>
          <w:w w:val="105"/>
        </w:rPr>
        <w:t>other</w:t>
      </w:r>
      <w:r>
        <w:rPr>
          <w:spacing w:val="-2"/>
          <w:w w:val="105"/>
        </w:rPr>
        <w:t> </w:t>
      </w:r>
      <w:r>
        <w:rPr>
          <w:w w:val="105"/>
        </w:rPr>
        <w:t>pecuniary</w:t>
      </w:r>
      <w:r>
        <w:rPr>
          <w:spacing w:val="-2"/>
          <w:w w:val="105"/>
        </w:rPr>
        <w:t> </w:t>
      </w:r>
      <w:r>
        <w:rPr>
          <w:w w:val="105"/>
        </w:rPr>
        <w:t>interests</w:t>
      </w:r>
      <w:r>
        <w:rPr>
          <w:spacing w:val="-2"/>
          <w:w w:val="105"/>
        </w:rPr>
        <w:t> </w:t>
      </w:r>
      <w:r>
        <w:rPr>
          <w:w w:val="105"/>
        </w:rPr>
        <w:t>in</w:t>
      </w:r>
      <w:r>
        <w:rPr>
          <w:spacing w:val="-2"/>
          <w:w w:val="105"/>
        </w:rPr>
        <w:t> </w:t>
      </w:r>
      <w:r>
        <w:rPr>
          <w:w w:val="105"/>
        </w:rPr>
        <w:t>an entity,</w:t>
      </w:r>
      <w:r>
        <w:rPr>
          <w:spacing w:val="-2"/>
          <w:w w:val="105"/>
        </w:rPr>
        <w:t> </w:t>
      </w:r>
      <w:r>
        <w:rPr>
          <w:w w:val="105"/>
        </w:rPr>
        <w:t>that</w:t>
      </w:r>
      <w:r>
        <w:rPr>
          <w:spacing w:val="-2"/>
          <w:w w:val="105"/>
        </w:rPr>
        <w:t> </w:t>
      </w:r>
      <w:r>
        <w:rPr>
          <w:w w:val="105"/>
        </w:rPr>
        <w:t>change</w:t>
      </w:r>
      <w:r>
        <w:rPr>
          <w:spacing w:val="-2"/>
          <w:w w:val="105"/>
        </w:rPr>
        <w:t> </w:t>
      </w:r>
      <w:r>
        <w:rPr>
          <w:w w:val="105"/>
        </w:rPr>
        <w:t>with changes in the fair value, of the entity’s net assets excluding variable interest entities.</w:t>
      </w:r>
    </w:p>
    <w:p>
      <w:pPr>
        <w:pStyle w:val="BodyText"/>
        <w:spacing w:before="18"/>
      </w:pPr>
    </w:p>
    <w:p>
      <w:pPr>
        <w:pStyle w:val="BodyText"/>
        <w:spacing w:line="266" w:lineRule="auto"/>
        <w:ind w:left="156"/>
      </w:pPr>
      <w:r>
        <w:rPr>
          <w:w w:val="105"/>
        </w:rPr>
        <w:t>Corning</w:t>
      </w:r>
      <w:r>
        <w:rPr>
          <w:spacing w:val="-9"/>
          <w:w w:val="105"/>
        </w:rPr>
        <w:t> </w:t>
      </w:r>
      <w:r>
        <w:rPr>
          <w:w w:val="105"/>
        </w:rPr>
        <w:t>has</w:t>
      </w:r>
      <w:r>
        <w:rPr>
          <w:spacing w:val="-9"/>
          <w:w w:val="105"/>
        </w:rPr>
        <w:t> </w:t>
      </w:r>
      <w:r>
        <w:rPr>
          <w:w w:val="105"/>
        </w:rPr>
        <w:t>identified</w:t>
      </w:r>
      <w:r>
        <w:rPr>
          <w:spacing w:val="-9"/>
          <w:w w:val="105"/>
        </w:rPr>
        <w:t> </w:t>
      </w:r>
      <w:r>
        <w:rPr>
          <w:w w:val="105"/>
        </w:rPr>
        <w:t>nine</w:t>
      </w:r>
      <w:r>
        <w:rPr>
          <w:spacing w:val="-9"/>
          <w:w w:val="105"/>
        </w:rPr>
        <w:t> </w:t>
      </w:r>
      <w:r>
        <w:rPr>
          <w:w w:val="105"/>
        </w:rPr>
        <w:t>entities</w:t>
      </w:r>
      <w:r>
        <w:rPr>
          <w:spacing w:val="-9"/>
          <w:w w:val="105"/>
        </w:rPr>
        <w:t> </w:t>
      </w:r>
      <w:r>
        <w:rPr>
          <w:w w:val="105"/>
        </w:rPr>
        <w:t>that</w:t>
      </w:r>
      <w:r>
        <w:rPr>
          <w:spacing w:val="-9"/>
          <w:w w:val="105"/>
        </w:rPr>
        <w:t> </w:t>
      </w:r>
      <w:r>
        <w:rPr>
          <w:w w:val="105"/>
        </w:rPr>
        <w:t>qualify</w:t>
      </w:r>
      <w:r>
        <w:rPr>
          <w:spacing w:val="-9"/>
          <w:w w:val="105"/>
        </w:rPr>
        <w:t> </w:t>
      </w:r>
      <w:r>
        <w:rPr>
          <w:w w:val="105"/>
        </w:rPr>
        <w:t>as</w:t>
      </w:r>
      <w:r>
        <w:rPr>
          <w:spacing w:val="-9"/>
          <w:w w:val="105"/>
        </w:rPr>
        <w:t> </w:t>
      </w:r>
      <w:r>
        <w:rPr>
          <w:w w:val="105"/>
        </w:rPr>
        <w:t>variable</w:t>
      </w:r>
      <w:r>
        <w:rPr>
          <w:spacing w:val="-9"/>
          <w:w w:val="105"/>
        </w:rPr>
        <w:t> </w:t>
      </w:r>
      <w:r>
        <w:rPr>
          <w:w w:val="105"/>
        </w:rPr>
        <w:t>interest</w:t>
      </w:r>
      <w:r>
        <w:rPr>
          <w:spacing w:val="-9"/>
          <w:w w:val="105"/>
        </w:rPr>
        <w:t> </w:t>
      </w:r>
      <w:r>
        <w:rPr>
          <w:w w:val="105"/>
        </w:rPr>
        <w:t>entities</w:t>
      </w:r>
      <w:r>
        <w:rPr>
          <w:spacing w:val="-9"/>
          <w:w w:val="105"/>
        </w:rPr>
        <w:t> </w:t>
      </w:r>
      <w:r>
        <w:rPr>
          <w:w w:val="105"/>
        </w:rPr>
        <w:t>and</w:t>
      </w:r>
      <w:r>
        <w:rPr>
          <w:spacing w:val="-9"/>
          <w:w w:val="105"/>
        </w:rPr>
        <w:t> </w:t>
      </w:r>
      <w:r>
        <w:rPr>
          <w:w w:val="105"/>
        </w:rPr>
        <w:t>are</w:t>
      </w:r>
      <w:r>
        <w:rPr>
          <w:spacing w:val="-9"/>
          <w:w w:val="105"/>
        </w:rPr>
        <w:t> </w:t>
      </w:r>
      <w:r>
        <w:rPr>
          <w:w w:val="105"/>
        </w:rPr>
        <w:t>not</w:t>
      </w:r>
      <w:r>
        <w:rPr>
          <w:spacing w:val="-9"/>
          <w:w w:val="105"/>
        </w:rPr>
        <w:t> </w:t>
      </w:r>
      <w:r>
        <w:rPr>
          <w:w w:val="105"/>
        </w:rPr>
        <w:t>consolidated.</w:t>
      </w:r>
      <w:r>
        <w:rPr>
          <w:spacing w:val="-9"/>
          <w:w w:val="105"/>
        </w:rPr>
        <w:t> </w:t>
      </w:r>
      <w:r>
        <w:rPr>
          <w:w w:val="105"/>
        </w:rPr>
        <w:t>These</w:t>
      </w:r>
      <w:r>
        <w:rPr>
          <w:spacing w:val="-9"/>
          <w:w w:val="105"/>
        </w:rPr>
        <w:t> </w:t>
      </w:r>
      <w:r>
        <w:rPr>
          <w:w w:val="105"/>
        </w:rPr>
        <w:t>entities</w:t>
      </w:r>
      <w:r>
        <w:rPr>
          <w:spacing w:val="-9"/>
          <w:w w:val="105"/>
        </w:rPr>
        <w:t> </w:t>
      </w:r>
      <w:r>
        <w:rPr>
          <w:w w:val="105"/>
        </w:rPr>
        <w:t>are</w:t>
      </w:r>
      <w:r>
        <w:rPr>
          <w:spacing w:val="-9"/>
          <w:w w:val="105"/>
        </w:rPr>
        <w:t> </w:t>
      </w:r>
      <w:r>
        <w:rPr>
          <w:w w:val="105"/>
        </w:rPr>
        <w:t>not</w:t>
      </w:r>
      <w:r>
        <w:rPr>
          <w:spacing w:val="-9"/>
          <w:w w:val="105"/>
        </w:rPr>
        <w:t> </w:t>
      </w:r>
      <w:r>
        <w:rPr>
          <w:w w:val="105"/>
        </w:rPr>
        <w:t>significant</w:t>
      </w:r>
      <w:r>
        <w:rPr>
          <w:spacing w:val="-9"/>
          <w:w w:val="105"/>
        </w:rPr>
        <w:t> </w:t>
      </w:r>
      <w:r>
        <w:rPr>
          <w:w w:val="105"/>
        </w:rPr>
        <w:t>to</w:t>
      </w:r>
      <w:r>
        <w:rPr>
          <w:spacing w:val="-9"/>
          <w:w w:val="105"/>
        </w:rPr>
        <w:t> </w:t>
      </w:r>
      <w:r>
        <w:rPr>
          <w:w w:val="105"/>
        </w:rPr>
        <w:t>Corning’s</w:t>
      </w:r>
      <w:r>
        <w:rPr>
          <w:spacing w:val="-9"/>
          <w:w w:val="105"/>
        </w:rPr>
        <w:t> </w:t>
      </w:r>
      <w:r>
        <w:rPr>
          <w:w w:val="105"/>
        </w:rPr>
        <w:t>consolidated</w:t>
      </w:r>
      <w:r>
        <w:rPr>
          <w:spacing w:val="-9"/>
          <w:w w:val="105"/>
        </w:rPr>
        <w:t> </w:t>
      </w:r>
      <w:r>
        <w:rPr>
          <w:w w:val="105"/>
        </w:rPr>
        <w:t>financial </w:t>
      </w:r>
      <w:r>
        <w:rPr>
          <w:spacing w:val="-2"/>
          <w:w w:val="105"/>
        </w:rPr>
        <w:t>statements.</w:t>
      </w:r>
    </w:p>
    <w:p>
      <w:pPr>
        <w:pStyle w:val="BodyText"/>
        <w:spacing w:before="19"/>
      </w:pPr>
    </w:p>
    <w:p>
      <w:pPr>
        <w:pStyle w:val="BodyText"/>
        <w:spacing w:before="1"/>
        <w:ind w:left="156"/>
      </w:pPr>
      <w:r>
        <w:rPr>
          <w:w w:val="105"/>
        </w:rPr>
        <w:t>Corning</w:t>
      </w:r>
      <w:r>
        <w:rPr>
          <w:spacing w:val="-9"/>
          <w:w w:val="105"/>
        </w:rPr>
        <w:t> </w:t>
      </w:r>
      <w:r>
        <w:rPr>
          <w:w w:val="105"/>
        </w:rPr>
        <w:t>does</w:t>
      </w:r>
      <w:r>
        <w:rPr>
          <w:spacing w:val="-8"/>
          <w:w w:val="105"/>
        </w:rPr>
        <w:t> </w:t>
      </w:r>
      <w:r>
        <w:rPr>
          <w:w w:val="105"/>
        </w:rPr>
        <w:t>not</w:t>
      </w:r>
      <w:r>
        <w:rPr>
          <w:spacing w:val="-8"/>
          <w:w w:val="105"/>
        </w:rPr>
        <w:t> </w:t>
      </w:r>
      <w:r>
        <w:rPr>
          <w:w w:val="105"/>
        </w:rPr>
        <w:t>have</w:t>
      </w:r>
      <w:r>
        <w:rPr>
          <w:spacing w:val="-8"/>
          <w:w w:val="105"/>
        </w:rPr>
        <w:t> </w:t>
      </w:r>
      <w:r>
        <w:rPr>
          <w:w w:val="105"/>
        </w:rPr>
        <w:t>retained</w:t>
      </w:r>
      <w:r>
        <w:rPr>
          <w:spacing w:val="-8"/>
          <w:w w:val="105"/>
        </w:rPr>
        <w:t> </w:t>
      </w:r>
      <w:r>
        <w:rPr>
          <w:w w:val="105"/>
        </w:rPr>
        <w:t>interest</w:t>
      </w:r>
      <w:r>
        <w:rPr>
          <w:spacing w:val="-8"/>
          <w:w w:val="105"/>
        </w:rPr>
        <w:t> </w:t>
      </w:r>
      <w:r>
        <w:rPr>
          <w:w w:val="105"/>
        </w:rPr>
        <w:t>in</w:t>
      </w:r>
      <w:r>
        <w:rPr>
          <w:spacing w:val="-8"/>
          <w:w w:val="105"/>
        </w:rPr>
        <w:t> </w:t>
      </w:r>
      <w:r>
        <w:rPr>
          <w:w w:val="105"/>
        </w:rPr>
        <w:t>assets</w:t>
      </w:r>
      <w:r>
        <w:rPr>
          <w:spacing w:val="-8"/>
          <w:w w:val="105"/>
        </w:rPr>
        <w:t> </w:t>
      </w:r>
      <w:r>
        <w:rPr>
          <w:w w:val="105"/>
        </w:rPr>
        <w:t>transferred</w:t>
      </w:r>
      <w:r>
        <w:rPr>
          <w:spacing w:val="-8"/>
          <w:w w:val="105"/>
        </w:rPr>
        <w:t> </w:t>
      </w:r>
      <w:r>
        <w:rPr>
          <w:w w:val="105"/>
        </w:rPr>
        <w:t>to</w:t>
      </w:r>
      <w:r>
        <w:rPr>
          <w:spacing w:val="-8"/>
          <w:w w:val="105"/>
        </w:rPr>
        <w:t> </w:t>
      </w:r>
      <w:r>
        <w:rPr>
          <w:w w:val="105"/>
        </w:rPr>
        <w:t>an</w:t>
      </w:r>
      <w:r>
        <w:rPr>
          <w:spacing w:val="-8"/>
          <w:w w:val="105"/>
        </w:rPr>
        <w:t> </w:t>
      </w:r>
      <w:r>
        <w:rPr>
          <w:w w:val="105"/>
        </w:rPr>
        <w:t>unconsolidated</w:t>
      </w:r>
      <w:r>
        <w:rPr>
          <w:spacing w:val="-8"/>
          <w:w w:val="105"/>
        </w:rPr>
        <w:t> </w:t>
      </w:r>
      <w:r>
        <w:rPr>
          <w:w w:val="105"/>
        </w:rPr>
        <w:t>entity</w:t>
      </w:r>
      <w:r>
        <w:rPr>
          <w:spacing w:val="-8"/>
          <w:w w:val="105"/>
        </w:rPr>
        <w:t> </w:t>
      </w:r>
      <w:r>
        <w:rPr>
          <w:w w:val="105"/>
        </w:rPr>
        <w:t>that</w:t>
      </w:r>
      <w:r>
        <w:rPr>
          <w:spacing w:val="-8"/>
          <w:w w:val="105"/>
        </w:rPr>
        <w:t> </w:t>
      </w:r>
      <w:r>
        <w:rPr>
          <w:w w:val="105"/>
        </w:rPr>
        <w:t>serve</w:t>
      </w:r>
      <w:r>
        <w:rPr>
          <w:spacing w:val="-8"/>
          <w:w w:val="105"/>
        </w:rPr>
        <w:t> </w:t>
      </w:r>
      <w:r>
        <w:rPr>
          <w:w w:val="105"/>
        </w:rPr>
        <w:t>as</w:t>
      </w:r>
      <w:r>
        <w:rPr>
          <w:spacing w:val="-8"/>
          <w:w w:val="105"/>
        </w:rPr>
        <w:t> </w:t>
      </w:r>
      <w:r>
        <w:rPr>
          <w:w w:val="105"/>
        </w:rPr>
        <w:t>credit,</w:t>
      </w:r>
      <w:r>
        <w:rPr>
          <w:spacing w:val="-8"/>
          <w:w w:val="105"/>
        </w:rPr>
        <w:t> </w:t>
      </w:r>
      <w:r>
        <w:rPr>
          <w:w w:val="105"/>
        </w:rPr>
        <w:t>liquidity</w:t>
      </w:r>
      <w:r>
        <w:rPr>
          <w:spacing w:val="-8"/>
          <w:w w:val="105"/>
        </w:rPr>
        <w:t> </w:t>
      </w:r>
      <w:r>
        <w:rPr>
          <w:w w:val="105"/>
        </w:rPr>
        <w:t>or</w:t>
      </w:r>
      <w:r>
        <w:rPr>
          <w:spacing w:val="-8"/>
          <w:w w:val="105"/>
        </w:rPr>
        <w:t> </w:t>
      </w:r>
      <w:r>
        <w:rPr>
          <w:w w:val="105"/>
        </w:rPr>
        <w:t>market</w:t>
      </w:r>
      <w:r>
        <w:rPr>
          <w:spacing w:val="-7"/>
          <w:w w:val="105"/>
        </w:rPr>
        <w:t> </w:t>
      </w:r>
      <w:r>
        <w:rPr>
          <w:w w:val="105"/>
        </w:rPr>
        <w:t>risk</w:t>
      </w:r>
      <w:r>
        <w:rPr>
          <w:spacing w:val="-8"/>
          <w:w w:val="105"/>
        </w:rPr>
        <w:t> </w:t>
      </w:r>
      <w:r>
        <w:rPr>
          <w:w w:val="105"/>
        </w:rPr>
        <w:t>support</w:t>
      </w:r>
      <w:r>
        <w:rPr>
          <w:spacing w:val="-8"/>
          <w:w w:val="105"/>
        </w:rPr>
        <w:t> </w:t>
      </w:r>
      <w:r>
        <w:rPr>
          <w:w w:val="105"/>
        </w:rPr>
        <w:t>to</w:t>
      </w:r>
      <w:r>
        <w:rPr>
          <w:spacing w:val="-8"/>
          <w:w w:val="105"/>
        </w:rPr>
        <w:t> </w:t>
      </w:r>
      <w:r>
        <w:rPr>
          <w:w w:val="105"/>
        </w:rPr>
        <w:t>that</w:t>
      </w:r>
      <w:r>
        <w:rPr>
          <w:spacing w:val="-8"/>
          <w:w w:val="105"/>
        </w:rPr>
        <w:t> </w:t>
      </w:r>
      <w:r>
        <w:rPr>
          <w:spacing w:val="-2"/>
          <w:w w:val="105"/>
        </w:rPr>
        <w:t>entity.</w:t>
      </w:r>
    </w:p>
    <w:p>
      <w:pPr>
        <w:pStyle w:val="BodyText"/>
      </w:pPr>
    </w:p>
    <w:p>
      <w:pPr>
        <w:pStyle w:val="BodyText"/>
        <w:spacing w:before="59"/>
      </w:pPr>
    </w:p>
    <w:p>
      <w:pPr>
        <w:pStyle w:val="Heading1"/>
      </w:pPr>
      <w:r>
        <w:rPr>
          <w:spacing w:val="-2"/>
          <w:w w:val="105"/>
        </w:rPr>
        <w:t>ENVIRONMENT</w:t>
      </w:r>
    </w:p>
    <w:p>
      <w:pPr>
        <w:pStyle w:val="BodyText"/>
        <w:spacing w:before="39"/>
        <w:rPr>
          <w:b/>
        </w:rPr>
      </w:pPr>
    </w:p>
    <w:p>
      <w:pPr>
        <w:pStyle w:val="BodyText"/>
        <w:spacing w:before="1"/>
        <w:ind w:left="156"/>
      </w:pPr>
      <w:r>
        <w:rPr>
          <w:w w:val="105"/>
        </w:rPr>
        <w:t>Refer</w:t>
      </w:r>
      <w:r>
        <w:rPr>
          <w:spacing w:val="-11"/>
          <w:w w:val="105"/>
        </w:rPr>
        <w:t> </w:t>
      </w:r>
      <w:r>
        <w:rPr>
          <w:w w:val="105"/>
        </w:rPr>
        <w:t>to</w:t>
      </w:r>
      <w:r>
        <w:rPr>
          <w:spacing w:val="-10"/>
          <w:w w:val="105"/>
        </w:rPr>
        <w:t> </w:t>
      </w:r>
      <w:r>
        <w:rPr>
          <w:w w:val="105"/>
        </w:rPr>
        <w:t>Item</w:t>
      </w:r>
      <w:r>
        <w:rPr>
          <w:spacing w:val="-10"/>
          <w:w w:val="105"/>
        </w:rPr>
        <w:t> </w:t>
      </w:r>
      <w:r>
        <w:rPr>
          <w:w w:val="105"/>
        </w:rPr>
        <w:t>3.</w:t>
      </w:r>
      <w:r>
        <w:rPr>
          <w:spacing w:val="-10"/>
          <w:w w:val="105"/>
        </w:rPr>
        <w:t> </w:t>
      </w:r>
      <w:r>
        <w:rPr>
          <w:w w:val="105"/>
        </w:rPr>
        <w:t>Legal</w:t>
      </w:r>
      <w:r>
        <w:rPr>
          <w:spacing w:val="-10"/>
          <w:w w:val="105"/>
        </w:rPr>
        <w:t> </w:t>
      </w:r>
      <w:r>
        <w:rPr>
          <w:w w:val="105"/>
        </w:rPr>
        <w:t>Proceedings</w:t>
      </w:r>
      <w:r>
        <w:rPr>
          <w:spacing w:val="-11"/>
          <w:w w:val="105"/>
        </w:rPr>
        <w:t> </w:t>
      </w:r>
      <w:r>
        <w:rPr>
          <w:w w:val="105"/>
        </w:rPr>
        <w:t>or</w:t>
      </w:r>
      <w:r>
        <w:rPr>
          <w:spacing w:val="-10"/>
          <w:w w:val="105"/>
        </w:rPr>
        <w:t> </w:t>
      </w:r>
      <w:r>
        <w:rPr>
          <w:w w:val="105"/>
        </w:rPr>
        <w:t>Note</w:t>
      </w:r>
      <w:r>
        <w:rPr>
          <w:spacing w:val="-10"/>
          <w:w w:val="105"/>
        </w:rPr>
        <w:t> </w:t>
      </w:r>
      <w:r>
        <w:rPr>
          <w:w w:val="105"/>
        </w:rPr>
        <w:t>14</w:t>
      </w:r>
      <w:r>
        <w:rPr>
          <w:spacing w:val="-10"/>
          <w:w w:val="105"/>
        </w:rPr>
        <w:t> </w:t>
      </w:r>
      <w:r>
        <w:rPr>
          <w:w w:val="105"/>
        </w:rPr>
        <w:t>(Commitments,</w:t>
      </w:r>
      <w:r>
        <w:rPr>
          <w:spacing w:val="-10"/>
          <w:w w:val="105"/>
        </w:rPr>
        <w:t> </w:t>
      </w:r>
      <w:r>
        <w:rPr>
          <w:w w:val="105"/>
        </w:rPr>
        <w:t>Contingencies</w:t>
      </w:r>
      <w:r>
        <w:rPr>
          <w:spacing w:val="-10"/>
          <w:w w:val="105"/>
        </w:rPr>
        <w:t> </w:t>
      </w:r>
      <w:r>
        <w:rPr>
          <w:w w:val="105"/>
        </w:rPr>
        <w:t>and</w:t>
      </w:r>
      <w:r>
        <w:rPr>
          <w:spacing w:val="-11"/>
          <w:w w:val="105"/>
        </w:rPr>
        <w:t> </w:t>
      </w:r>
      <w:r>
        <w:rPr>
          <w:w w:val="105"/>
        </w:rPr>
        <w:t>Guarantees)</w:t>
      </w:r>
      <w:r>
        <w:rPr>
          <w:spacing w:val="-10"/>
          <w:w w:val="105"/>
        </w:rPr>
        <w:t> </w:t>
      </w:r>
      <w:r>
        <w:rPr>
          <w:w w:val="105"/>
        </w:rPr>
        <w:t>to</w:t>
      </w:r>
      <w:r>
        <w:rPr>
          <w:spacing w:val="-10"/>
          <w:w w:val="105"/>
        </w:rPr>
        <w:t> </w:t>
      </w:r>
      <w:r>
        <w:rPr>
          <w:w w:val="105"/>
        </w:rPr>
        <w:t>the</w:t>
      </w:r>
      <w:r>
        <w:rPr>
          <w:spacing w:val="-10"/>
          <w:w w:val="105"/>
        </w:rPr>
        <w:t> </w:t>
      </w:r>
      <w:r>
        <w:rPr>
          <w:w w:val="105"/>
        </w:rPr>
        <w:t>consolidated</w:t>
      </w:r>
      <w:r>
        <w:rPr>
          <w:spacing w:val="-10"/>
          <w:w w:val="105"/>
        </w:rPr>
        <w:t> </w:t>
      </w:r>
      <w:r>
        <w:rPr>
          <w:w w:val="105"/>
        </w:rPr>
        <w:t>financial</w:t>
      </w:r>
      <w:r>
        <w:rPr>
          <w:spacing w:val="-10"/>
          <w:w w:val="105"/>
        </w:rPr>
        <w:t> </w:t>
      </w:r>
      <w:r>
        <w:rPr>
          <w:w w:val="105"/>
        </w:rPr>
        <w:t>statements</w:t>
      </w:r>
      <w:r>
        <w:rPr>
          <w:spacing w:val="-11"/>
          <w:w w:val="105"/>
        </w:rPr>
        <w:t> </w:t>
      </w:r>
      <w:r>
        <w:rPr>
          <w:w w:val="105"/>
        </w:rPr>
        <w:t>for</w:t>
      </w:r>
      <w:r>
        <w:rPr>
          <w:spacing w:val="-10"/>
          <w:w w:val="105"/>
        </w:rPr>
        <w:t> </w:t>
      </w:r>
      <w:r>
        <w:rPr>
          <w:spacing w:val="-2"/>
          <w:w w:val="105"/>
        </w:rPr>
        <w:t>information.</w:t>
      </w:r>
    </w:p>
    <w:p>
      <w:pPr>
        <w:pStyle w:val="BodyText"/>
      </w:pPr>
    </w:p>
    <w:p>
      <w:pPr>
        <w:pStyle w:val="BodyText"/>
        <w:spacing w:before="59"/>
      </w:pPr>
    </w:p>
    <w:p>
      <w:pPr>
        <w:pStyle w:val="Heading1"/>
      </w:pPr>
      <w:r>
        <w:rPr/>
        <w:t>CRITICAL</w:t>
      </w:r>
      <w:r>
        <w:rPr>
          <w:spacing w:val="21"/>
        </w:rPr>
        <w:t> </w:t>
      </w:r>
      <w:r>
        <w:rPr/>
        <w:t>ACCOUNTING</w:t>
      </w:r>
      <w:r>
        <w:rPr>
          <w:spacing w:val="22"/>
        </w:rPr>
        <w:t> </w:t>
      </w:r>
      <w:r>
        <w:rPr>
          <w:spacing w:val="-2"/>
        </w:rPr>
        <w:t>ESTIMATES</w:t>
      </w:r>
    </w:p>
    <w:p>
      <w:pPr>
        <w:pStyle w:val="BodyText"/>
        <w:spacing w:before="40"/>
        <w:rPr>
          <w:b/>
        </w:rPr>
      </w:pPr>
    </w:p>
    <w:p>
      <w:pPr>
        <w:pStyle w:val="BodyText"/>
        <w:spacing w:line="266" w:lineRule="auto"/>
        <w:ind w:left="156"/>
      </w:pPr>
      <w:r>
        <w:rPr>
          <w:w w:val="105"/>
        </w:rPr>
        <w:t>The</w:t>
      </w:r>
      <w:r>
        <w:rPr>
          <w:spacing w:val="-8"/>
          <w:w w:val="105"/>
        </w:rPr>
        <w:t> </w:t>
      </w:r>
      <w:r>
        <w:rPr>
          <w:w w:val="105"/>
        </w:rPr>
        <w:t>preparation</w:t>
      </w:r>
      <w:r>
        <w:rPr>
          <w:spacing w:val="-8"/>
          <w:w w:val="105"/>
        </w:rPr>
        <w:t> </w:t>
      </w:r>
      <w:r>
        <w:rPr>
          <w:w w:val="105"/>
        </w:rPr>
        <w:t>of</w:t>
      </w:r>
      <w:r>
        <w:rPr>
          <w:spacing w:val="-8"/>
          <w:w w:val="105"/>
        </w:rPr>
        <w:t> </w:t>
      </w:r>
      <w:r>
        <w:rPr>
          <w:w w:val="105"/>
        </w:rPr>
        <w:t>financial</w:t>
      </w:r>
      <w:r>
        <w:rPr>
          <w:spacing w:val="-10"/>
          <w:w w:val="105"/>
        </w:rPr>
        <w:t> </w:t>
      </w:r>
      <w:r>
        <w:rPr>
          <w:w w:val="105"/>
        </w:rPr>
        <w:t>statements</w:t>
      </w:r>
      <w:r>
        <w:rPr>
          <w:spacing w:val="-8"/>
          <w:w w:val="105"/>
        </w:rPr>
        <w:t> </w:t>
      </w:r>
      <w:r>
        <w:rPr>
          <w:w w:val="105"/>
        </w:rPr>
        <w:t>requires</w:t>
      </w:r>
      <w:r>
        <w:rPr>
          <w:spacing w:val="-8"/>
          <w:w w:val="105"/>
        </w:rPr>
        <w:t> </w:t>
      </w:r>
      <w:r>
        <w:rPr>
          <w:w w:val="105"/>
        </w:rPr>
        <w:t>us</w:t>
      </w:r>
      <w:r>
        <w:rPr>
          <w:spacing w:val="-8"/>
          <w:w w:val="105"/>
        </w:rPr>
        <w:t> </w:t>
      </w:r>
      <w:r>
        <w:rPr>
          <w:w w:val="105"/>
        </w:rPr>
        <w:t>to</w:t>
      </w:r>
      <w:r>
        <w:rPr>
          <w:spacing w:val="-10"/>
          <w:w w:val="105"/>
        </w:rPr>
        <w:t> </w:t>
      </w:r>
      <w:r>
        <w:rPr>
          <w:w w:val="105"/>
        </w:rPr>
        <w:t>make</w:t>
      </w:r>
      <w:r>
        <w:rPr>
          <w:spacing w:val="-8"/>
          <w:w w:val="105"/>
        </w:rPr>
        <w:t> </w:t>
      </w:r>
      <w:r>
        <w:rPr>
          <w:w w:val="105"/>
        </w:rPr>
        <w:t>estimates</w:t>
      </w:r>
      <w:r>
        <w:rPr>
          <w:spacing w:val="-8"/>
          <w:w w:val="105"/>
        </w:rPr>
        <w:t> </w:t>
      </w:r>
      <w:r>
        <w:rPr>
          <w:w w:val="105"/>
        </w:rPr>
        <w:t>and</w:t>
      </w:r>
      <w:r>
        <w:rPr>
          <w:spacing w:val="-8"/>
          <w:w w:val="105"/>
        </w:rPr>
        <w:t> </w:t>
      </w:r>
      <w:r>
        <w:rPr>
          <w:w w:val="105"/>
        </w:rPr>
        <w:t>assumptions</w:t>
      </w:r>
      <w:r>
        <w:rPr>
          <w:spacing w:val="-8"/>
          <w:w w:val="105"/>
        </w:rPr>
        <w:t> </w:t>
      </w:r>
      <w:r>
        <w:rPr>
          <w:w w:val="105"/>
        </w:rPr>
        <w:t>that</w:t>
      </w:r>
      <w:r>
        <w:rPr>
          <w:spacing w:val="-8"/>
          <w:w w:val="105"/>
        </w:rPr>
        <w:t> </w:t>
      </w:r>
      <w:r>
        <w:rPr>
          <w:w w:val="105"/>
        </w:rPr>
        <w:t>affect</w:t>
      </w:r>
      <w:r>
        <w:rPr>
          <w:spacing w:val="-8"/>
          <w:w w:val="105"/>
        </w:rPr>
        <w:t> </w:t>
      </w:r>
      <w:r>
        <w:rPr>
          <w:w w:val="105"/>
        </w:rPr>
        <w:t>amounts</w:t>
      </w:r>
      <w:r>
        <w:rPr>
          <w:spacing w:val="-8"/>
          <w:w w:val="105"/>
        </w:rPr>
        <w:t> </w:t>
      </w:r>
      <w:r>
        <w:rPr>
          <w:w w:val="105"/>
        </w:rPr>
        <w:t>reported</w:t>
      </w:r>
      <w:r>
        <w:rPr>
          <w:spacing w:val="-8"/>
          <w:w w:val="105"/>
        </w:rPr>
        <w:t> </w:t>
      </w:r>
      <w:r>
        <w:rPr>
          <w:w w:val="105"/>
        </w:rPr>
        <w:t>therein.</w:t>
      </w:r>
      <w:r>
        <w:rPr>
          <w:spacing w:val="-8"/>
          <w:w w:val="105"/>
        </w:rPr>
        <w:t> </w:t>
      </w:r>
      <w:r>
        <w:rPr>
          <w:w w:val="105"/>
        </w:rPr>
        <w:t>The</w:t>
      </w:r>
      <w:r>
        <w:rPr>
          <w:spacing w:val="-8"/>
          <w:w w:val="105"/>
        </w:rPr>
        <w:t> </w:t>
      </w:r>
      <w:r>
        <w:rPr>
          <w:w w:val="105"/>
        </w:rPr>
        <w:t>estimates</w:t>
      </w:r>
      <w:r>
        <w:rPr>
          <w:spacing w:val="-8"/>
          <w:w w:val="105"/>
        </w:rPr>
        <w:t> </w:t>
      </w:r>
      <w:r>
        <w:rPr>
          <w:w w:val="105"/>
        </w:rPr>
        <w:t>that</w:t>
      </w:r>
      <w:r>
        <w:rPr>
          <w:spacing w:val="-8"/>
          <w:w w:val="105"/>
        </w:rPr>
        <w:t> </w:t>
      </w:r>
      <w:r>
        <w:rPr>
          <w:w w:val="105"/>
        </w:rPr>
        <w:t>required</w:t>
      </w:r>
      <w:r>
        <w:rPr>
          <w:spacing w:val="-8"/>
          <w:w w:val="105"/>
        </w:rPr>
        <w:t> </w:t>
      </w:r>
      <w:r>
        <w:rPr>
          <w:w w:val="105"/>
        </w:rPr>
        <w:t>us</w:t>
      </w:r>
      <w:r>
        <w:rPr>
          <w:spacing w:val="-8"/>
          <w:w w:val="105"/>
        </w:rPr>
        <w:t> </w:t>
      </w:r>
      <w:r>
        <w:rPr>
          <w:w w:val="105"/>
        </w:rPr>
        <w:t>to</w:t>
      </w:r>
      <w:r>
        <w:rPr>
          <w:spacing w:val="-8"/>
          <w:w w:val="105"/>
        </w:rPr>
        <w:t> </w:t>
      </w:r>
      <w:r>
        <w:rPr>
          <w:w w:val="105"/>
        </w:rPr>
        <w:t>make</w:t>
      </w:r>
      <w:r>
        <w:rPr>
          <w:spacing w:val="-10"/>
          <w:w w:val="105"/>
        </w:rPr>
        <w:t> </w:t>
      </w:r>
      <w:r>
        <w:rPr>
          <w:w w:val="105"/>
        </w:rPr>
        <w:t>difficult, subjective or complex judgments, including future projections of performance and relevant discount rates, are set forth below.</w:t>
      </w:r>
    </w:p>
    <w:p>
      <w:pPr>
        <w:pStyle w:val="BodyText"/>
        <w:spacing w:before="19"/>
      </w:pPr>
    </w:p>
    <w:p>
      <w:pPr>
        <w:pStyle w:val="BodyText"/>
        <w:ind w:left="48"/>
        <w:jc w:val="center"/>
      </w:pPr>
      <w:r>
        <w:rPr>
          <w:spacing w:val="-5"/>
          <w:w w:val="105"/>
        </w:rPr>
        <w:t>43</w:t>
      </w:r>
    </w:p>
    <w:p>
      <w:pPr>
        <w:pStyle w:val="BodyText"/>
        <w:spacing w:before="11"/>
        <w:rPr>
          <w:sz w:val="5"/>
        </w:rPr>
      </w:pPr>
      <w:r>
        <w:rPr/>
        <mc:AlternateContent>
          <mc:Choice Requires="wps">
            <w:drawing>
              <wp:anchor distT="0" distB="0" distL="0" distR="0" allowOverlap="1" layoutInCell="1" locked="0" behindDoc="1" simplePos="0" relativeHeight="487621120">
                <wp:simplePos x="0" y="0"/>
                <wp:positionH relativeFrom="page">
                  <wp:posOffset>226488</wp:posOffset>
                </wp:positionH>
                <wp:positionV relativeFrom="paragraph">
                  <wp:posOffset>58734</wp:posOffset>
                </wp:positionV>
                <wp:extent cx="7312659" cy="1651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95360;mso-wrap-distance-left:0;mso-wrap-distance-right:0" id="docshape74"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3"/>
      </w:pPr>
      <w:r>
        <w:rPr>
          <w:spacing w:val="-2"/>
          <w:w w:val="105"/>
        </w:rPr>
        <w:t>Valuation</w:t>
      </w:r>
      <w:r>
        <w:rPr>
          <w:w w:val="105"/>
        </w:rPr>
        <w:t> </w:t>
      </w:r>
      <w:r>
        <w:rPr>
          <w:spacing w:val="-2"/>
          <w:w w:val="105"/>
        </w:rPr>
        <w:t>of</w:t>
      </w:r>
      <w:r>
        <w:rPr>
          <w:w w:val="105"/>
        </w:rPr>
        <w:t> </w:t>
      </w:r>
      <w:r>
        <w:rPr>
          <w:spacing w:val="-2"/>
          <w:w w:val="105"/>
        </w:rPr>
        <w:t>the</w:t>
      </w:r>
      <w:r>
        <w:rPr>
          <w:w w:val="105"/>
        </w:rPr>
        <w:t> </w:t>
      </w:r>
      <w:r>
        <w:rPr>
          <w:spacing w:val="-2"/>
          <w:w w:val="105"/>
        </w:rPr>
        <w:t>Previously</w:t>
      </w:r>
      <w:r>
        <w:rPr>
          <w:w w:val="105"/>
        </w:rPr>
        <w:t> </w:t>
      </w:r>
      <w:r>
        <w:rPr>
          <w:spacing w:val="-2"/>
          <w:w w:val="105"/>
        </w:rPr>
        <w:t>Held</w:t>
      </w:r>
      <w:r>
        <w:rPr>
          <w:spacing w:val="1"/>
          <w:w w:val="105"/>
        </w:rPr>
        <w:t> </w:t>
      </w:r>
      <w:r>
        <w:rPr>
          <w:spacing w:val="-2"/>
          <w:w w:val="105"/>
        </w:rPr>
        <w:t>Equity</w:t>
      </w:r>
      <w:r>
        <w:rPr>
          <w:w w:val="105"/>
        </w:rPr>
        <w:t> </w:t>
      </w:r>
      <w:r>
        <w:rPr>
          <w:spacing w:val="-2"/>
          <w:w w:val="105"/>
        </w:rPr>
        <w:t>Interest</w:t>
      </w:r>
      <w:r>
        <w:rPr>
          <w:w w:val="105"/>
        </w:rPr>
        <w:t> </w:t>
      </w:r>
      <w:r>
        <w:rPr>
          <w:spacing w:val="-2"/>
          <w:w w:val="105"/>
        </w:rPr>
        <w:t>from</w:t>
      </w:r>
      <w:r>
        <w:rPr>
          <w:w w:val="105"/>
        </w:rPr>
        <w:t> </w:t>
      </w:r>
      <w:r>
        <w:rPr>
          <w:spacing w:val="-2"/>
          <w:w w:val="105"/>
        </w:rPr>
        <w:t>the</w:t>
      </w:r>
      <w:r>
        <w:rPr>
          <w:w w:val="105"/>
        </w:rPr>
        <w:t> </w:t>
      </w:r>
      <w:r>
        <w:rPr>
          <w:spacing w:val="-2"/>
          <w:w w:val="105"/>
        </w:rPr>
        <w:t>Consolidation</w:t>
      </w:r>
      <w:r>
        <w:rPr>
          <w:spacing w:val="1"/>
          <w:w w:val="105"/>
        </w:rPr>
        <w:t> </w:t>
      </w:r>
      <w:r>
        <w:rPr>
          <w:spacing w:val="-2"/>
          <w:w w:val="105"/>
        </w:rPr>
        <w:t>of</w:t>
      </w:r>
      <w:r>
        <w:rPr>
          <w:w w:val="105"/>
        </w:rPr>
        <w:t> </w:t>
      </w:r>
      <w:r>
        <w:rPr>
          <w:spacing w:val="-5"/>
          <w:w w:val="105"/>
        </w:rPr>
        <w:t>HSG</w:t>
      </w:r>
    </w:p>
    <w:p>
      <w:pPr>
        <w:pStyle w:val="BodyText"/>
        <w:spacing w:before="40"/>
        <w:rPr>
          <w:b/>
          <w:i/>
        </w:rPr>
      </w:pPr>
    </w:p>
    <w:p>
      <w:pPr>
        <w:pStyle w:val="BodyText"/>
        <w:spacing w:line="266" w:lineRule="auto"/>
        <w:ind w:left="156" w:right="117"/>
      </w:pPr>
      <w:r>
        <w:rPr>
          <w:w w:val="105"/>
        </w:rPr>
        <w:t>We</w:t>
      </w:r>
      <w:r>
        <w:rPr>
          <w:spacing w:val="-2"/>
          <w:w w:val="105"/>
        </w:rPr>
        <w:t> </w:t>
      </w:r>
      <w:r>
        <w:rPr>
          <w:w w:val="105"/>
        </w:rPr>
        <w:t>account</w:t>
      </w:r>
      <w:r>
        <w:rPr>
          <w:spacing w:val="-2"/>
          <w:w w:val="105"/>
        </w:rPr>
        <w:t> </w:t>
      </w:r>
      <w:r>
        <w:rPr>
          <w:w w:val="105"/>
        </w:rPr>
        <w:t>for</w:t>
      </w:r>
      <w:r>
        <w:rPr>
          <w:spacing w:val="-2"/>
          <w:w w:val="105"/>
        </w:rPr>
        <w:t> </w:t>
      </w:r>
      <w:r>
        <w:rPr>
          <w:w w:val="105"/>
        </w:rPr>
        <w:t>the</w:t>
      </w:r>
      <w:r>
        <w:rPr>
          <w:spacing w:val="-2"/>
          <w:w w:val="105"/>
        </w:rPr>
        <w:t> </w:t>
      </w:r>
      <w:r>
        <w:rPr>
          <w:w w:val="105"/>
        </w:rPr>
        <w:t>change</w:t>
      </w:r>
      <w:r>
        <w:rPr>
          <w:spacing w:val="-2"/>
          <w:w w:val="105"/>
        </w:rPr>
        <w:t> </w:t>
      </w:r>
      <w:r>
        <w:rPr>
          <w:w w:val="105"/>
        </w:rPr>
        <w:t>in</w:t>
      </w:r>
      <w:r>
        <w:rPr>
          <w:spacing w:val="-2"/>
          <w:w w:val="105"/>
        </w:rPr>
        <w:t> </w:t>
      </w:r>
      <w:r>
        <w:rPr>
          <w:w w:val="105"/>
        </w:rPr>
        <w:t>controlling</w:t>
      </w:r>
      <w:r>
        <w:rPr>
          <w:spacing w:val="-2"/>
          <w:w w:val="105"/>
        </w:rPr>
        <w:t> </w:t>
      </w:r>
      <w:r>
        <w:rPr>
          <w:w w:val="105"/>
        </w:rPr>
        <w:t>interest</w:t>
      </w:r>
      <w:r>
        <w:rPr>
          <w:spacing w:val="-2"/>
          <w:w w:val="105"/>
        </w:rPr>
        <w:t> </w:t>
      </w:r>
      <w:r>
        <w:rPr>
          <w:w w:val="105"/>
        </w:rPr>
        <w:t>using</w:t>
      </w:r>
      <w:r>
        <w:rPr>
          <w:spacing w:val="-2"/>
          <w:w w:val="105"/>
        </w:rPr>
        <w:t> </w:t>
      </w:r>
      <w:r>
        <w:rPr>
          <w:w w:val="105"/>
        </w:rPr>
        <w:t>the</w:t>
      </w:r>
      <w:r>
        <w:rPr>
          <w:spacing w:val="-2"/>
          <w:w w:val="105"/>
        </w:rPr>
        <w:t> </w:t>
      </w:r>
      <w:r>
        <w:rPr>
          <w:w w:val="105"/>
        </w:rPr>
        <w:t>acquisition</w:t>
      </w:r>
      <w:r>
        <w:rPr>
          <w:spacing w:val="-2"/>
          <w:w w:val="105"/>
        </w:rPr>
        <w:t> </w:t>
      </w:r>
      <w:r>
        <w:rPr>
          <w:w w:val="105"/>
        </w:rPr>
        <w:t>method</w:t>
      </w:r>
      <w:r>
        <w:rPr>
          <w:spacing w:val="-2"/>
          <w:w w:val="105"/>
        </w:rPr>
        <w:t> </w:t>
      </w:r>
      <w:r>
        <w:rPr>
          <w:w w:val="105"/>
        </w:rPr>
        <w:t>of</w:t>
      </w:r>
      <w:r>
        <w:rPr>
          <w:spacing w:val="-2"/>
          <w:w w:val="105"/>
        </w:rPr>
        <w:t> </w:t>
      </w:r>
      <w:r>
        <w:rPr>
          <w:w w:val="105"/>
        </w:rPr>
        <w:t>accounting,</w:t>
      </w:r>
      <w:r>
        <w:rPr>
          <w:spacing w:val="-2"/>
          <w:w w:val="105"/>
        </w:rPr>
        <w:t> </w:t>
      </w:r>
      <w:r>
        <w:rPr>
          <w:w w:val="105"/>
        </w:rPr>
        <w:t>which</w:t>
      </w:r>
      <w:r>
        <w:rPr>
          <w:spacing w:val="-2"/>
          <w:w w:val="105"/>
        </w:rPr>
        <w:t> </w:t>
      </w:r>
      <w:r>
        <w:rPr>
          <w:w w:val="105"/>
        </w:rPr>
        <w:t>requires</w:t>
      </w:r>
      <w:r>
        <w:rPr>
          <w:spacing w:val="-2"/>
          <w:w w:val="105"/>
        </w:rPr>
        <w:t> </w:t>
      </w:r>
      <w:r>
        <w:rPr>
          <w:w w:val="105"/>
        </w:rPr>
        <w:t>us</w:t>
      </w:r>
      <w:r>
        <w:rPr>
          <w:spacing w:val="-2"/>
          <w:w w:val="105"/>
        </w:rPr>
        <w:t> </w:t>
      </w:r>
      <w:r>
        <w:rPr>
          <w:w w:val="105"/>
        </w:rPr>
        <w:t>to estimate</w:t>
      </w:r>
      <w:r>
        <w:rPr>
          <w:spacing w:val="-2"/>
          <w:w w:val="105"/>
        </w:rPr>
        <w:t> </w:t>
      </w:r>
      <w:r>
        <w:rPr>
          <w:w w:val="105"/>
        </w:rPr>
        <w:t>the</w:t>
      </w:r>
      <w:r>
        <w:rPr>
          <w:spacing w:val="-2"/>
          <w:w w:val="105"/>
        </w:rPr>
        <w:t> </w:t>
      </w:r>
      <w:r>
        <w:rPr>
          <w:w w:val="105"/>
        </w:rPr>
        <w:t>fair</w:t>
      </w:r>
      <w:r>
        <w:rPr>
          <w:spacing w:val="-2"/>
          <w:w w:val="105"/>
        </w:rPr>
        <w:t> </w:t>
      </w:r>
      <w:r>
        <w:rPr>
          <w:w w:val="105"/>
        </w:rPr>
        <w:t>values</w:t>
      </w:r>
      <w:r>
        <w:rPr>
          <w:spacing w:val="-2"/>
          <w:w w:val="105"/>
        </w:rPr>
        <w:t> </w:t>
      </w:r>
      <w:r>
        <w:rPr>
          <w:w w:val="105"/>
        </w:rPr>
        <w:t>of</w:t>
      </w:r>
      <w:r>
        <w:rPr>
          <w:spacing w:val="-2"/>
          <w:w w:val="105"/>
        </w:rPr>
        <w:t> </w:t>
      </w:r>
      <w:r>
        <w:rPr>
          <w:w w:val="105"/>
        </w:rPr>
        <w:t>the</w:t>
      </w:r>
      <w:r>
        <w:rPr>
          <w:spacing w:val="-2"/>
          <w:w w:val="105"/>
        </w:rPr>
        <w:t> </w:t>
      </w:r>
      <w:r>
        <w:rPr>
          <w:w w:val="105"/>
        </w:rPr>
        <w:t>assets</w:t>
      </w:r>
      <w:r>
        <w:rPr>
          <w:spacing w:val="-2"/>
          <w:w w:val="105"/>
        </w:rPr>
        <w:t> </w:t>
      </w:r>
      <w:r>
        <w:rPr>
          <w:w w:val="105"/>
        </w:rPr>
        <w:t>and</w:t>
      </w:r>
      <w:r>
        <w:rPr>
          <w:spacing w:val="-2"/>
          <w:w w:val="105"/>
        </w:rPr>
        <w:t> </w:t>
      </w:r>
      <w:r>
        <w:rPr>
          <w:w w:val="105"/>
        </w:rPr>
        <w:t>liabilities recorded.</w:t>
      </w:r>
      <w:r>
        <w:rPr>
          <w:spacing w:val="37"/>
          <w:w w:val="105"/>
        </w:rPr>
        <w:t> </w:t>
      </w:r>
      <w:r>
        <w:rPr>
          <w:w w:val="105"/>
        </w:rPr>
        <w:t>Assets</w:t>
      </w:r>
      <w:r>
        <w:rPr>
          <w:spacing w:val="-3"/>
          <w:w w:val="105"/>
        </w:rPr>
        <w:t> </w:t>
      </w:r>
      <w:r>
        <w:rPr>
          <w:w w:val="105"/>
        </w:rPr>
        <w:t>recorded</w:t>
      </w:r>
      <w:r>
        <w:rPr>
          <w:spacing w:val="-3"/>
          <w:w w:val="105"/>
        </w:rPr>
        <w:t> </w:t>
      </w:r>
      <w:r>
        <w:rPr>
          <w:w w:val="105"/>
        </w:rPr>
        <w:t>include</w:t>
      </w:r>
      <w:r>
        <w:rPr>
          <w:spacing w:val="-3"/>
          <w:w w:val="105"/>
        </w:rPr>
        <w:t> </w:t>
      </w:r>
      <w:r>
        <w:rPr>
          <w:w w:val="105"/>
        </w:rPr>
        <w:t>intangible</w:t>
      </w:r>
      <w:r>
        <w:rPr>
          <w:spacing w:val="-3"/>
          <w:w w:val="105"/>
        </w:rPr>
        <w:t> </w:t>
      </w:r>
      <w:r>
        <w:rPr>
          <w:w w:val="105"/>
        </w:rPr>
        <w:t>assets</w:t>
      </w:r>
      <w:r>
        <w:rPr>
          <w:spacing w:val="-3"/>
          <w:w w:val="105"/>
        </w:rPr>
        <w:t> </w:t>
      </w:r>
      <w:r>
        <w:rPr>
          <w:w w:val="105"/>
        </w:rPr>
        <w:t>such</w:t>
      </w:r>
      <w:r>
        <w:rPr>
          <w:spacing w:val="-1"/>
          <w:w w:val="105"/>
        </w:rPr>
        <w:t> </w:t>
      </w:r>
      <w:r>
        <w:rPr>
          <w:w w:val="105"/>
        </w:rPr>
        <w:t>as</w:t>
      </w:r>
      <w:r>
        <w:rPr>
          <w:spacing w:val="-3"/>
          <w:w w:val="105"/>
        </w:rPr>
        <w:t> </w:t>
      </w:r>
      <w:r>
        <w:rPr>
          <w:w w:val="105"/>
        </w:rPr>
        <w:t>developed</w:t>
      </w:r>
      <w:r>
        <w:rPr>
          <w:spacing w:val="-3"/>
          <w:w w:val="105"/>
        </w:rPr>
        <w:t> </w:t>
      </w:r>
      <w:r>
        <w:rPr>
          <w:w w:val="105"/>
        </w:rPr>
        <w:t>technologies</w:t>
      </w:r>
      <w:r>
        <w:rPr>
          <w:spacing w:val="-3"/>
          <w:w w:val="105"/>
        </w:rPr>
        <w:t> </w:t>
      </w:r>
      <w:r>
        <w:rPr>
          <w:w w:val="105"/>
        </w:rPr>
        <w:t>and</w:t>
      </w:r>
      <w:r>
        <w:rPr>
          <w:spacing w:val="-3"/>
          <w:w w:val="105"/>
        </w:rPr>
        <w:t> </w:t>
      </w:r>
      <w:r>
        <w:rPr>
          <w:w w:val="105"/>
        </w:rPr>
        <w:t>know-how,</w:t>
      </w:r>
      <w:r>
        <w:rPr>
          <w:spacing w:val="-3"/>
          <w:w w:val="105"/>
        </w:rPr>
        <w:t> </w:t>
      </w:r>
      <w:r>
        <w:rPr>
          <w:w w:val="105"/>
        </w:rPr>
        <w:t>tradenames</w:t>
      </w:r>
      <w:r>
        <w:rPr>
          <w:spacing w:val="-3"/>
          <w:w w:val="105"/>
        </w:rPr>
        <w:t> </w:t>
      </w:r>
      <w:r>
        <w:rPr>
          <w:w w:val="105"/>
        </w:rPr>
        <w:t>and</w:t>
      </w:r>
      <w:r>
        <w:rPr>
          <w:spacing w:val="-3"/>
          <w:w w:val="105"/>
        </w:rPr>
        <w:t> </w:t>
      </w:r>
      <w:r>
        <w:rPr>
          <w:w w:val="105"/>
        </w:rPr>
        <w:t>customer-related</w:t>
      </w:r>
      <w:r>
        <w:rPr>
          <w:spacing w:val="-3"/>
          <w:w w:val="105"/>
        </w:rPr>
        <w:t> </w:t>
      </w:r>
      <w:r>
        <w:rPr>
          <w:w w:val="105"/>
        </w:rPr>
        <w:t>intangibles,</w:t>
      </w:r>
      <w:r>
        <w:rPr>
          <w:spacing w:val="-3"/>
          <w:w w:val="105"/>
        </w:rPr>
        <w:t> </w:t>
      </w:r>
      <w:r>
        <w:rPr>
          <w:w w:val="105"/>
        </w:rPr>
        <w:t>fixed</w:t>
      </w:r>
      <w:r>
        <w:rPr>
          <w:spacing w:val="-3"/>
          <w:w w:val="105"/>
        </w:rPr>
        <w:t> </w:t>
      </w:r>
      <w:r>
        <w:rPr>
          <w:w w:val="105"/>
        </w:rPr>
        <w:t>assets</w:t>
      </w:r>
      <w:r>
        <w:rPr>
          <w:spacing w:val="-3"/>
          <w:w w:val="105"/>
        </w:rPr>
        <w:t> </w:t>
      </w:r>
      <w:r>
        <w:rPr>
          <w:w w:val="105"/>
        </w:rPr>
        <w:t>and inventories.</w:t>
      </w:r>
      <w:r>
        <w:rPr>
          <w:spacing w:val="-2"/>
          <w:w w:val="105"/>
        </w:rPr>
        <w:t> </w:t>
      </w:r>
      <w:r>
        <w:rPr>
          <w:w w:val="105"/>
        </w:rPr>
        <w:t>Liabilities</w:t>
      </w:r>
      <w:r>
        <w:rPr>
          <w:spacing w:val="-2"/>
          <w:w w:val="105"/>
        </w:rPr>
        <w:t> </w:t>
      </w:r>
      <w:r>
        <w:rPr>
          <w:w w:val="105"/>
        </w:rPr>
        <w:t>recorded</w:t>
      </w:r>
      <w:r>
        <w:rPr>
          <w:spacing w:val="-2"/>
          <w:w w:val="105"/>
        </w:rPr>
        <w:t> </w:t>
      </w:r>
      <w:r>
        <w:rPr>
          <w:w w:val="105"/>
        </w:rPr>
        <w:t>include</w:t>
      </w:r>
      <w:r>
        <w:rPr>
          <w:spacing w:val="-2"/>
          <w:w w:val="105"/>
        </w:rPr>
        <w:t> </w:t>
      </w:r>
      <w:r>
        <w:rPr>
          <w:w w:val="105"/>
        </w:rPr>
        <w:t>contract</w:t>
      </w:r>
      <w:r>
        <w:rPr>
          <w:spacing w:val="-2"/>
          <w:w w:val="105"/>
        </w:rPr>
        <w:t> </w:t>
      </w:r>
      <w:r>
        <w:rPr>
          <w:w w:val="105"/>
        </w:rPr>
        <w:t>liabilities</w:t>
      </w:r>
      <w:r>
        <w:rPr>
          <w:spacing w:val="-4"/>
          <w:w w:val="105"/>
        </w:rPr>
        <w:t> </w:t>
      </w:r>
      <w:r>
        <w:rPr>
          <w:w w:val="105"/>
        </w:rPr>
        <w:t>such</w:t>
      </w:r>
      <w:r>
        <w:rPr>
          <w:spacing w:val="-2"/>
          <w:w w:val="105"/>
        </w:rPr>
        <w:t> </w:t>
      </w:r>
      <w:r>
        <w:rPr>
          <w:w w:val="105"/>
        </w:rPr>
        <w:t>as</w:t>
      </w:r>
      <w:r>
        <w:rPr>
          <w:spacing w:val="-2"/>
          <w:w w:val="105"/>
        </w:rPr>
        <w:t> </w:t>
      </w:r>
      <w:r>
        <w:rPr>
          <w:w w:val="105"/>
        </w:rPr>
        <w:t>customer</w:t>
      </w:r>
      <w:r>
        <w:rPr>
          <w:spacing w:val="-2"/>
          <w:w w:val="105"/>
        </w:rPr>
        <w:t> </w:t>
      </w:r>
      <w:r>
        <w:rPr>
          <w:w w:val="105"/>
        </w:rPr>
        <w:t>deposits</w:t>
      </w:r>
      <w:r>
        <w:rPr>
          <w:spacing w:val="-2"/>
          <w:w w:val="105"/>
        </w:rPr>
        <w:t> </w:t>
      </w:r>
      <w:r>
        <w:rPr>
          <w:w w:val="105"/>
        </w:rPr>
        <w:t>and</w:t>
      </w:r>
      <w:r>
        <w:rPr>
          <w:spacing w:val="-2"/>
          <w:w w:val="105"/>
        </w:rPr>
        <w:t> </w:t>
      </w:r>
      <w:r>
        <w:rPr>
          <w:w w:val="105"/>
        </w:rPr>
        <w:t>deferred</w:t>
      </w:r>
      <w:r>
        <w:rPr>
          <w:spacing w:val="-2"/>
          <w:w w:val="105"/>
        </w:rPr>
        <w:t> </w:t>
      </w:r>
      <w:r>
        <w:rPr>
          <w:w w:val="105"/>
        </w:rPr>
        <w:t>revenue,</w:t>
      </w:r>
      <w:r>
        <w:rPr>
          <w:spacing w:val="-4"/>
          <w:w w:val="105"/>
        </w:rPr>
        <w:t> </w:t>
      </w:r>
      <w:r>
        <w:rPr>
          <w:w w:val="105"/>
        </w:rPr>
        <w:t>debt,</w:t>
      </w:r>
      <w:r>
        <w:rPr>
          <w:spacing w:val="-2"/>
          <w:w w:val="105"/>
        </w:rPr>
        <w:t> </w:t>
      </w:r>
      <w:r>
        <w:rPr>
          <w:w w:val="105"/>
        </w:rPr>
        <w:t>and</w:t>
      </w:r>
      <w:r>
        <w:rPr>
          <w:spacing w:val="-2"/>
          <w:w w:val="105"/>
        </w:rPr>
        <w:t> </w:t>
      </w:r>
      <w:r>
        <w:rPr>
          <w:w w:val="105"/>
        </w:rPr>
        <w:t>other</w:t>
      </w:r>
      <w:r>
        <w:rPr>
          <w:spacing w:val="-2"/>
          <w:w w:val="105"/>
        </w:rPr>
        <w:t> </w:t>
      </w:r>
      <w:r>
        <w:rPr>
          <w:w w:val="105"/>
        </w:rPr>
        <w:t>liabilities.</w:t>
      </w:r>
      <w:r>
        <w:rPr>
          <w:spacing w:val="-2"/>
          <w:w w:val="105"/>
        </w:rPr>
        <w:t> </w:t>
      </w:r>
      <w:r>
        <w:rPr>
          <w:w w:val="105"/>
        </w:rPr>
        <w:t>These</w:t>
      </w:r>
      <w:r>
        <w:rPr>
          <w:spacing w:val="-2"/>
          <w:w w:val="105"/>
        </w:rPr>
        <w:t> </w:t>
      </w:r>
      <w:r>
        <w:rPr>
          <w:w w:val="105"/>
        </w:rPr>
        <w:t>assets</w:t>
      </w:r>
      <w:r>
        <w:rPr>
          <w:spacing w:val="-2"/>
          <w:w w:val="105"/>
        </w:rPr>
        <w:t> </w:t>
      </w:r>
      <w:r>
        <w:rPr>
          <w:w w:val="105"/>
        </w:rPr>
        <w:t>and</w:t>
      </w:r>
      <w:r>
        <w:rPr>
          <w:spacing w:val="-2"/>
          <w:w w:val="105"/>
        </w:rPr>
        <w:t> </w:t>
      </w:r>
      <w:r>
        <w:rPr>
          <w:w w:val="105"/>
        </w:rPr>
        <w:t>liabilities</w:t>
      </w:r>
      <w:r>
        <w:rPr>
          <w:spacing w:val="-2"/>
          <w:w w:val="105"/>
        </w:rPr>
        <w:t> </w:t>
      </w:r>
      <w:r>
        <w:rPr>
          <w:w w:val="105"/>
        </w:rPr>
        <w:t>recorded are</w:t>
      </w:r>
      <w:r>
        <w:rPr>
          <w:spacing w:val="-7"/>
          <w:w w:val="105"/>
        </w:rPr>
        <w:t> </w:t>
      </w:r>
      <w:r>
        <w:rPr>
          <w:w w:val="105"/>
        </w:rPr>
        <w:t>assessed</w:t>
      </w:r>
      <w:r>
        <w:rPr>
          <w:spacing w:val="-7"/>
          <w:w w:val="105"/>
        </w:rPr>
        <w:t> </w:t>
      </w:r>
      <w:r>
        <w:rPr>
          <w:w w:val="105"/>
        </w:rPr>
        <w:t>at</w:t>
      </w:r>
      <w:r>
        <w:rPr>
          <w:spacing w:val="-7"/>
          <w:w w:val="105"/>
        </w:rPr>
        <w:t> </w:t>
      </w:r>
      <w:r>
        <w:rPr>
          <w:w w:val="105"/>
        </w:rPr>
        <w:t>the</w:t>
      </w:r>
      <w:r>
        <w:rPr>
          <w:spacing w:val="-7"/>
          <w:w w:val="105"/>
        </w:rPr>
        <w:t> </w:t>
      </w:r>
      <w:r>
        <w:rPr>
          <w:w w:val="105"/>
        </w:rPr>
        <w:t>time</w:t>
      </w:r>
      <w:r>
        <w:rPr>
          <w:spacing w:val="-7"/>
          <w:w w:val="105"/>
        </w:rPr>
        <w:t> </w:t>
      </w:r>
      <w:r>
        <w:rPr>
          <w:w w:val="105"/>
        </w:rPr>
        <w:t>of</w:t>
      </w:r>
      <w:r>
        <w:rPr>
          <w:spacing w:val="-7"/>
          <w:w w:val="105"/>
        </w:rPr>
        <w:t> </w:t>
      </w:r>
      <w:r>
        <w:rPr>
          <w:w w:val="105"/>
        </w:rPr>
        <w:t>the</w:t>
      </w:r>
      <w:r>
        <w:rPr>
          <w:spacing w:val="-7"/>
          <w:w w:val="105"/>
        </w:rPr>
        <w:t> </w:t>
      </w:r>
      <w:r>
        <w:rPr>
          <w:w w:val="105"/>
        </w:rPr>
        <w:t>change</w:t>
      </w:r>
      <w:r>
        <w:rPr>
          <w:spacing w:val="-7"/>
          <w:w w:val="105"/>
        </w:rPr>
        <w:t> </w:t>
      </w:r>
      <w:r>
        <w:rPr>
          <w:w w:val="105"/>
        </w:rPr>
        <w:t>in</w:t>
      </w:r>
      <w:r>
        <w:rPr>
          <w:spacing w:val="-7"/>
          <w:w w:val="105"/>
        </w:rPr>
        <w:t> </w:t>
      </w:r>
      <w:r>
        <w:rPr>
          <w:w w:val="105"/>
        </w:rPr>
        <w:t>control</w:t>
      </w:r>
      <w:r>
        <w:rPr>
          <w:spacing w:val="-6"/>
          <w:w w:val="105"/>
        </w:rPr>
        <w:t> </w:t>
      </w:r>
      <w:r>
        <w:rPr>
          <w:w w:val="105"/>
        </w:rPr>
        <w:t>and</w:t>
      </w:r>
      <w:r>
        <w:rPr>
          <w:spacing w:val="-7"/>
          <w:w w:val="105"/>
        </w:rPr>
        <w:t> </w:t>
      </w:r>
      <w:r>
        <w:rPr>
          <w:w w:val="105"/>
        </w:rPr>
        <w:t>require</w:t>
      </w:r>
      <w:r>
        <w:rPr>
          <w:spacing w:val="-7"/>
          <w:w w:val="105"/>
        </w:rPr>
        <w:t> </w:t>
      </w:r>
      <w:r>
        <w:rPr>
          <w:w w:val="105"/>
        </w:rPr>
        <w:t>judgment</w:t>
      </w:r>
      <w:r>
        <w:rPr>
          <w:spacing w:val="-7"/>
          <w:w w:val="105"/>
        </w:rPr>
        <w:t> </w:t>
      </w:r>
      <w:r>
        <w:rPr>
          <w:w w:val="105"/>
        </w:rPr>
        <w:t>in</w:t>
      </w:r>
      <w:r>
        <w:rPr>
          <w:spacing w:val="-7"/>
          <w:w w:val="105"/>
        </w:rPr>
        <w:t> </w:t>
      </w:r>
      <w:r>
        <w:rPr>
          <w:w w:val="105"/>
        </w:rPr>
        <w:t>ascertaining</w:t>
      </w:r>
      <w:r>
        <w:rPr>
          <w:spacing w:val="-7"/>
          <w:w w:val="105"/>
        </w:rPr>
        <w:t> </w:t>
      </w:r>
      <w:r>
        <w:rPr>
          <w:w w:val="105"/>
        </w:rPr>
        <w:t>the</w:t>
      </w:r>
      <w:r>
        <w:rPr>
          <w:spacing w:val="-7"/>
          <w:w w:val="105"/>
        </w:rPr>
        <w:t> </w:t>
      </w:r>
      <w:r>
        <w:rPr>
          <w:w w:val="105"/>
        </w:rPr>
        <w:t>fair</w:t>
      </w:r>
      <w:r>
        <w:rPr>
          <w:spacing w:val="-7"/>
          <w:w w:val="105"/>
        </w:rPr>
        <w:t> </w:t>
      </w:r>
      <w:r>
        <w:rPr>
          <w:w w:val="105"/>
        </w:rPr>
        <w:t>values.</w:t>
      </w:r>
      <w:r>
        <w:rPr>
          <w:spacing w:val="-7"/>
          <w:w w:val="105"/>
        </w:rPr>
        <w:t> </w:t>
      </w:r>
      <w:r>
        <w:rPr>
          <w:w w:val="105"/>
        </w:rPr>
        <w:t>In</w:t>
      </w:r>
      <w:r>
        <w:rPr>
          <w:spacing w:val="-7"/>
          <w:w w:val="105"/>
        </w:rPr>
        <w:t> </w:t>
      </w:r>
      <w:r>
        <w:rPr>
          <w:w w:val="105"/>
        </w:rPr>
        <w:t>this</w:t>
      </w:r>
      <w:r>
        <w:rPr>
          <w:spacing w:val="-7"/>
          <w:w w:val="105"/>
        </w:rPr>
        <w:t> </w:t>
      </w:r>
      <w:r>
        <w:rPr>
          <w:w w:val="105"/>
        </w:rPr>
        <w:t>business</w:t>
      </w:r>
      <w:r>
        <w:rPr>
          <w:spacing w:val="-7"/>
          <w:w w:val="105"/>
        </w:rPr>
        <w:t> </w:t>
      </w:r>
      <w:r>
        <w:rPr>
          <w:w w:val="105"/>
        </w:rPr>
        <w:t>combination,</w:t>
      </w:r>
      <w:r>
        <w:rPr>
          <w:spacing w:val="-6"/>
          <w:w w:val="105"/>
        </w:rPr>
        <w:t> </w:t>
      </w:r>
      <w:r>
        <w:rPr>
          <w:w w:val="105"/>
        </w:rPr>
        <w:t>achieved</w:t>
      </w:r>
      <w:r>
        <w:rPr>
          <w:spacing w:val="-7"/>
          <w:w w:val="105"/>
        </w:rPr>
        <w:t> </w:t>
      </w:r>
      <w:r>
        <w:rPr>
          <w:w w:val="105"/>
        </w:rPr>
        <w:t>in</w:t>
      </w:r>
      <w:r>
        <w:rPr>
          <w:spacing w:val="-7"/>
          <w:w w:val="105"/>
        </w:rPr>
        <w:t> </w:t>
      </w:r>
      <w:r>
        <w:rPr>
          <w:w w:val="105"/>
        </w:rPr>
        <w:t>stages,</w:t>
      </w:r>
      <w:r>
        <w:rPr>
          <w:spacing w:val="-7"/>
          <w:w w:val="105"/>
        </w:rPr>
        <w:t> </w:t>
      </w:r>
      <w:r>
        <w:rPr>
          <w:w w:val="105"/>
        </w:rPr>
        <w:t>we</w:t>
      </w:r>
      <w:r>
        <w:rPr>
          <w:spacing w:val="-7"/>
          <w:w w:val="105"/>
        </w:rPr>
        <w:t> </w:t>
      </w:r>
      <w:r>
        <w:rPr>
          <w:w w:val="105"/>
        </w:rPr>
        <w:t>also</w:t>
      </w:r>
      <w:r>
        <w:rPr>
          <w:spacing w:val="-7"/>
          <w:w w:val="105"/>
        </w:rPr>
        <w:t> </w:t>
      </w:r>
      <w:r>
        <w:rPr>
          <w:w w:val="105"/>
        </w:rPr>
        <w:t>remeasure</w:t>
      </w:r>
      <w:r>
        <w:rPr>
          <w:spacing w:val="-7"/>
          <w:w w:val="105"/>
        </w:rPr>
        <w:t> </w:t>
      </w:r>
      <w:r>
        <w:rPr>
          <w:w w:val="105"/>
        </w:rPr>
        <w:t>the previously</w:t>
      </w:r>
      <w:r>
        <w:rPr>
          <w:spacing w:val="-2"/>
          <w:w w:val="105"/>
        </w:rPr>
        <w:t> </w:t>
      </w:r>
      <w:r>
        <w:rPr>
          <w:w w:val="105"/>
        </w:rPr>
        <w:t>held</w:t>
      </w:r>
      <w:r>
        <w:rPr>
          <w:spacing w:val="-2"/>
          <w:w w:val="105"/>
        </w:rPr>
        <w:t> </w:t>
      </w:r>
      <w:r>
        <w:rPr>
          <w:w w:val="105"/>
        </w:rPr>
        <w:t>equity</w:t>
      </w:r>
      <w:r>
        <w:rPr>
          <w:spacing w:val="-2"/>
          <w:w w:val="105"/>
        </w:rPr>
        <w:t> </w:t>
      </w:r>
      <w:r>
        <w:rPr>
          <w:w w:val="105"/>
        </w:rPr>
        <w:t>interest</w:t>
      </w:r>
      <w:r>
        <w:rPr>
          <w:spacing w:val="-2"/>
          <w:w w:val="105"/>
        </w:rPr>
        <w:t> </w:t>
      </w:r>
      <w:r>
        <w:rPr>
          <w:w w:val="105"/>
        </w:rPr>
        <w:t>in</w:t>
      </w:r>
      <w:r>
        <w:rPr>
          <w:spacing w:val="-2"/>
          <w:w w:val="105"/>
        </w:rPr>
        <w:t> </w:t>
      </w:r>
      <w:r>
        <w:rPr>
          <w:w w:val="105"/>
        </w:rPr>
        <w:t>HSG</w:t>
      </w:r>
      <w:r>
        <w:rPr>
          <w:spacing w:val="-2"/>
          <w:w w:val="105"/>
        </w:rPr>
        <w:t> </w:t>
      </w:r>
      <w:r>
        <w:rPr>
          <w:w w:val="105"/>
        </w:rPr>
        <w:t>at</w:t>
      </w:r>
      <w:r>
        <w:rPr>
          <w:spacing w:val="-2"/>
          <w:w w:val="105"/>
        </w:rPr>
        <w:t> </w:t>
      </w:r>
      <w:r>
        <w:rPr>
          <w:w w:val="105"/>
        </w:rPr>
        <w:t>the</w:t>
      </w:r>
      <w:r>
        <w:rPr>
          <w:spacing w:val="-2"/>
          <w:w w:val="105"/>
        </w:rPr>
        <w:t> </w:t>
      </w:r>
      <w:r>
        <w:rPr>
          <w:w w:val="105"/>
        </w:rPr>
        <w:t>time</w:t>
      </w:r>
      <w:r>
        <w:rPr>
          <w:spacing w:val="-2"/>
          <w:w w:val="105"/>
        </w:rPr>
        <w:t> </w:t>
      </w:r>
      <w:r>
        <w:rPr>
          <w:w w:val="105"/>
        </w:rPr>
        <w:t>of</w:t>
      </w:r>
      <w:r>
        <w:rPr>
          <w:spacing w:val="-2"/>
          <w:w w:val="105"/>
        </w:rPr>
        <w:t> </w:t>
      </w:r>
      <w:r>
        <w:rPr>
          <w:w w:val="105"/>
        </w:rPr>
        <w:t>the</w:t>
      </w:r>
      <w:r>
        <w:rPr>
          <w:spacing w:val="-2"/>
          <w:w w:val="105"/>
        </w:rPr>
        <w:t> </w:t>
      </w:r>
      <w:r>
        <w:rPr>
          <w:w w:val="105"/>
        </w:rPr>
        <w:t>change</w:t>
      </w:r>
      <w:r>
        <w:rPr>
          <w:spacing w:val="-2"/>
          <w:w w:val="105"/>
        </w:rPr>
        <w:t> </w:t>
      </w:r>
      <w:r>
        <w:rPr>
          <w:w w:val="105"/>
        </w:rPr>
        <w:t>in</w:t>
      </w:r>
      <w:r>
        <w:rPr>
          <w:spacing w:val="-2"/>
          <w:w w:val="105"/>
        </w:rPr>
        <w:t> </w:t>
      </w:r>
      <w:r>
        <w:rPr>
          <w:w w:val="105"/>
        </w:rPr>
        <w:t>control</w:t>
      </w:r>
      <w:r>
        <w:rPr>
          <w:spacing w:val="-2"/>
          <w:w w:val="105"/>
        </w:rPr>
        <w:t> </w:t>
      </w:r>
      <w:r>
        <w:rPr>
          <w:w w:val="105"/>
        </w:rPr>
        <w:t>at</w:t>
      </w:r>
      <w:r>
        <w:rPr>
          <w:spacing w:val="-2"/>
          <w:w w:val="105"/>
        </w:rPr>
        <w:t> </w:t>
      </w:r>
      <w:r>
        <w:rPr>
          <w:w w:val="105"/>
        </w:rPr>
        <w:t>fair</w:t>
      </w:r>
      <w:r>
        <w:rPr>
          <w:spacing w:val="-2"/>
          <w:w w:val="105"/>
        </w:rPr>
        <w:t> </w:t>
      </w:r>
      <w:r>
        <w:rPr>
          <w:w w:val="105"/>
        </w:rPr>
        <w:t>value</w:t>
      </w:r>
      <w:r>
        <w:rPr>
          <w:spacing w:val="-2"/>
          <w:w w:val="105"/>
        </w:rPr>
        <w:t> </w:t>
      </w:r>
      <w:r>
        <w:rPr>
          <w:w w:val="105"/>
        </w:rPr>
        <w:t>and</w:t>
      </w:r>
      <w:r>
        <w:rPr>
          <w:spacing w:val="-2"/>
          <w:w w:val="105"/>
        </w:rPr>
        <w:t> </w:t>
      </w:r>
      <w:r>
        <w:rPr>
          <w:w w:val="105"/>
        </w:rPr>
        <w:t>recognize</w:t>
      </w:r>
      <w:r>
        <w:rPr>
          <w:spacing w:val="-2"/>
          <w:w w:val="105"/>
        </w:rPr>
        <w:t> </w:t>
      </w:r>
      <w:r>
        <w:rPr>
          <w:w w:val="105"/>
        </w:rPr>
        <w:t>the</w:t>
      </w:r>
      <w:r>
        <w:rPr>
          <w:spacing w:val="-2"/>
          <w:w w:val="105"/>
        </w:rPr>
        <w:t> </w:t>
      </w:r>
      <w:r>
        <w:rPr>
          <w:w w:val="105"/>
        </w:rPr>
        <w:t>resulting</w:t>
      </w:r>
      <w:r>
        <w:rPr>
          <w:spacing w:val="-2"/>
          <w:w w:val="105"/>
        </w:rPr>
        <w:t> </w:t>
      </w:r>
      <w:r>
        <w:rPr>
          <w:w w:val="105"/>
        </w:rPr>
        <w:t>gain</w:t>
      </w:r>
      <w:r>
        <w:rPr>
          <w:spacing w:val="-2"/>
          <w:w w:val="105"/>
        </w:rPr>
        <w:t> </w:t>
      </w:r>
      <w:r>
        <w:rPr>
          <w:w w:val="105"/>
        </w:rPr>
        <w:t>in</w:t>
      </w:r>
      <w:r>
        <w:rPr>
          <w:spacing w:val="-2"/>
          <w:w w:val="105"/>
        </w:rPr>
        <w:t> </w:t>
      </w:r>
      <w:r>
        <w:rPr>
          <w:w w:val="105"/>
        </w:rPr>
        <w:t>earnings.</w:t>
      </w:r>
      <w:r>
        <w:rPr>
          <w:spacing w:val="-2"/>
          <w:w w:val="105"/>
        </w:rPr>
        <w:t> </w:t>
      </w:r>
      <w:r>
        <w:rPr>
          <w:w w:val="105"/>
        </w:rPr>
        <w:t>Independent</w:t>
      </w:r>
      <w:r>
        <w:rPr>
          <w:spacing w:val="-2"/>
          <w:w w:val="105"/>
        </w:rPr>
        <w:t> </w:t>
      </w:r>
      <w:r>
        <w:rPr>
          <w:w w:val="105"/>
        </w:rPr>
        <w:t>appraisals</w:t>
      </w:r>
      <w:r>
        <w:rPr>
          <w:spacing w:val="-2"/>
          <w:w w:val="105"/>
        </w:rPr>
        <w:t> </w:t>
      </w:r>
      <w:r>
        <w:rPr>
          <w:w w:val="105"/>
        </w:rPr>
        <w:t>assisted the Company</w:t>
      </w:r>
      <w:r>
        <w:rPr>
          <w:spacing w:val="-6"/>
          <w:w w:val="105"/>
        </w:rPr>
        <w:t> </w:t>
      </w:r>
      <w:r>
        <w:rPr>
          <w:w w:val="105"/>
        </w:rPr>
        <w:t>in</w:t>
      </w:r>
      <w:r>
        <w:rPr>
          <w:spacing w:val="-6"/>
          <w:w w:val="105"/>
        </w:rPr>
        <w:t> </w:t>
      </w:r>
      <w:r>
        <w:rPr>
          <w:w w:val="105"/>
        </w:rPr>
        <w:t>the</w:t>
      </w:r>
      <w:r>
        <w:rPr>
          <w:spacing w:val="-6"/>
          <w:w w:val="105"/>
        </w:rPr>
        <w:t> </w:t>
      </w:r>
      <w:r>
        <w:rPr>
          <w:w w:val="105"/>
        </w:rPr>
        <w:t>determination</w:t>
      </w:r>
      <w:r>
        <w:rPr>
          <w:spacing w:val="-6"/>
          <w:w w:val="105"/>
        </w:rPr>
        <w:t> </w:t>
      </w:r>
      <w:r>
        <w:rPr>
          <w:w w:val="105"/>
        </w:rPr>
        <w:t>of</w:t>
      </w:r>
      <w:r>
        <w:rPr>
          <w:spacing w:val="-6"/>
          <w:w w:val="105"/>
        </w:rPr>
        <w:t> </w:t>
      </w:r>
      <w:r>
        <w:rPr>
          <w:w w:val="105"/>
        </w:rPr>
        <w:t>the</w:t>
      </w:r>
      <w:r>
        <w:rPr>
          <w:spacing w:val="-6"/>
          <w:w w:val="105"/>
        </w:rPr>
        <w:t> </w:t>
      </w:r>
      <w:r>
        <w:rPr>
          <w:w w:val="105"/>
        </w:rPr>
        <w:t>fair</w:t>
      </w:r>
      <w:r>
        <w:rPr>
          <w:spacing w:val="-6"/>
          <w:w w:val="105"/>
        </w:rPr>
        <w:t> </w:t>
      </w:r>
      <w:r>
        <w:rPr>
          <w:w w:val="105"/>
        </w:rPr>
        <w:t>value</w:t>
      </w:r>
      <w:r>
        <w:rPr>
          <w:spacing w:val="-6"/>
          <w:w w:val="105"/>
        </w:rPr>
        <w:t> </w:t>
      </w:r>
      <w:r>
        <w:rPr>
          <w:w w:val="105"/>
        </w:rPr>
        <w:t>of</w:t>
      </w:r>
      <w:r>
        <w:rPr>
          <w:spacing w:val="-6"/>
          <w:w w:val="105"/>
        </w:rPr>
        <w:t> </w:t>
      </w:r>
      <w:r>
        <w:rPr>
          <w:w w:val="105"/>
        </w:rPr>
        <w:t>certain</w:t>
      </w:r>
      <w:r>
        <w:rPr>
          <w:spacing w:val="-6"/>
          <w:w w:val="105"/>
        </w:rPr>
        <w:t> </w:t>
      </w:r>
      <w:r>
        <w:rPr>
          <w:w w:val="105"/>
        </w:rPr>
        <w:t>assets</w:t>
      </w:r>
      <w:r>
        <w:rPr>
          <w:spacing w:val="-6"/>
          <w:w w:val="105"/>
        </w:rPr>
        <w:t> </w:t>
      </w:r>
      <w:r>
        <w:rPr>
          <w:w w:val="105"/>
        </w:rPr>
        <w:t>and</w:t>
      </w:r>
      <w:r>
        <w:rPr>
          <w:spacing w:val="-6"/>
          <w:w w:val="105"/>
        </w:rPr>
        <w:t> </w:t>
      </w:r>
      <w:r>
        <w:rPr>
          <w:w w:val="105"/>
        </w:rPr>
        <w:t>liabilities.</w:t>
      </w:r>
      <w:r>
        <w:rPr>
          <w:spacing w:val="31"/>
          <w:w w:val="105"/>
        </w:rPr>
        <w:t> </w:t>
      </w:r>
      <w:r>
        <w:rPr>
          <w:w w:val="105"/>
        </w:rPr>
        <w:t>Such</w:t>
      </w:r>
      <w:r>
        <w:rPr>
          <w:spacing w:val="-6"/>
          <w:w w:val="105"/>
        </w:rPr>
        <w:t> </w:t>
      </w:r>
      <w:r>
        <w:rPr>
          <w:w w:val="105"/>
        </w:rPr>
        <w:t>appraisals</w:t>
      </w:r>
      <w:r>
        <w:rPr>
          <w:spacing w:val="-6"/>
          <w:w w:val="105"/>
        </w:rPr>
        <w:t> </w:t>
      </w:r>
      <w:r>
        <w:rPr>
          <w:w w:val="105"/>
        </w:rPr>
        <w:t>are</w:t>
      </w:r>
      <w:r>
        <w:rPr>
          <w:spacing w:val="-6"/>
          <w:w w:val="105"/>
        </w:rPr>
        <w:t> </w:t>
      </w:r>
      <w:r>
        <w:rPr>
          <w:w w:val="105"/>
        </w:rPr>
        <w:t>based</w:t>
      </w:r>
      <w:r>
        <w:rPr>
          <w:spacing w:val="-6"/>
          <w:w w:val="105"/>
        </w:rPr>
        <w:t> </w:t>
      </w:r>
      <w:r>
        <w:rPr>
          <w:w w:val="105"/>
        </w:rPr>
        <w:t>on</w:t>
      </w:r>
      <w:r>
        <w:rPr>
          <w:spacing w:val="-6"/>
          <w:w w:val="105"/>
        </w:rPr>
        <w:t> </w:t>
      </w:r>
      <w:r>
        <w:rPr>
          <w:w w:val="105"/>
        </w:rPr>
        <w:t>acceptable</w:t>
      </w:r>
      <w:r>
        <w:rPr>
          <w:spacing w:val="-6"/>
          <w:w w:val="105"/>
        </w:rPr>
        <w:t> </w:t>
      </w:r>
      <w:r>
        <w:rPr>
          <w:w w:val="105"/>
        </w:rPr>
        <w:t>valuation</w:t>
      </w:r>
      <w:r>
        <w:rPr>
          <w:spacing w:val="-6"/>
          <w:w w:val="105"/>
        </w:rPr>
        <w:t> </w:t>
      </w:r>
      <w:r>
        <w:rPr>
          <w:w w:val="105"/>
        </w:rPr>
        <w:t>models</w:t>
      </w:r>
      <w:r>
        <w:rPr>
          <w:spacing w:val="-6"/>
          <w:w w:val="105"/>
        </w:rPr>
        <w:t> </w:t>
      </w:r>
      <w:r>
        <w:rPr>
          <w:w w:val="105"/>
        </w:rPr>
        <w:t>as</w:t>
      </w:r>
      <w:r>
        <w:rPr>
          <w:spacing w:val="-6"/>
          <w:w w:val="105"/>
        </w:rPr>
        <w:t> </w:t>
      </w:r>
      <w:r>
        <w:rPr>
          <w:w w:val="105"/>
        </w:rPr>
        <w:t>well</w:t>
      </w:r>
      <w:r>
        <w:rPr>
          <w:spacing w:val="-6"/>
          <w:w w:val="105"/>
        </w:rPr>
        <w:t> </w:t>
      </w:r>
      <w:r>
        <w:rPr>
          <w:w w:val="105"/>
        </w:rPr>
        <w:t>as</w:t>
      </w:r>
      <w:r>
        <w:rPr>
          <w:spacing w:val="-6"/>
          <w:w w:val="105"/>
        </w:rPr>
        <w:t> </w:t>
      </w:r>
      <w:r>
        <w:rPr>
          <w:w w:val="105"/>
        </w:rPr>
        <w:t>inputs</w:t>
      </w:r>
      <w:r>
        <w:rPr>
          <w:spacing w:val="-6"/>
          <w:w w:val="105"/>
        </w:rPr>
        <w:t> </w:t>
      </w:r>
      <w:r>
        <w:rPr>
          <w:w w:val="105"/>
        </w:rPr>
        <w:t>and</w:t>
      </w:r>
      <w:r>
        <w:rPr>
          <w:spacing w:val="-4"/>
          <w:w w:val="105"/>
        </w:rPr>
        <w:t> </w:t>
      </w:r>
      <w:r>
        <w:rPr>
          <w:w w:val="105"/>
        </w:rPr>
        <w:t>assumptions provided</w:t>
      </w:r>
      <w:r>
        <w:rPr>
          <w:spacing w:val="-2"/>
          <w:w w:val="105"/>
        </w:rPr>
        <w:t> </w:t>
      </w:r>
      <w:r>
        <w:rPr>
          <w:w w:val="105"/>
        </w:rPr>
        <w:t>by</w:t>
      </w:r>
      <w:r>
        <w:rPr>
          <w:spacing w:val="-2"/>
          <w:w w:val="105"/>
        </w:rPr>
        <w:t> </w:t>
      </w:r>
      <w:r>
        <w:rPr>
          <w:w w:val="105"/>
        </w:rPr>
        <w:t>us.</w:t>
      </w:r>
      <w:r>
        <w:rPr>
          <w:spacing w:val="-2"/>
          <w:w w:val="105"/>
        </w:rPr>
        <w:t> </w:t>
      </w:r>
      <w:r>
        <w:rPr>
          <w:w w:val="105"/>
        </w:rPr>
        <w:t>Additional</w:t>
      </w:r>
      <w:r>
        <w:rPr>
          <w:spacing w:val="-2"/>
          <w:w w:val="105"/>
        </w:rPr>
        <w:t> </w:t>
      </w:r>
      <w:r>
        <w:rPr>
          <w:w w:val="105"/>
        </w:rPr>
        <w:t>information</w:t>
      </w:r>
      <w:r>
        <w:rPr>
          <w:spacing w:val="-2"/>
          <w:w w:val="105"/>
        </w:rPr>
        <w:t> </w:t>
      </w:r>
      <w:r>
        <w:rPr>
          <w:w w:val="105"/>
        </w:rPr>
        <w:t>related</w:t>
      </w:r>
      <w:r>
        <w:rPr>
          <w:spacing w:val="-2"/>
          <w:w w:val="105"/>
        </w:rPr>
        <w:t> </w:t>
      </w:r>
      <w:r>
        <w:rPr>
          <w:w w:val="105"/>
        </w:rPr>
        <w:t>to</w:t>
      </w:r>
      <w:r>
        <w:rPr>
          <w:spacing w:val="-2"/>
          <w:w w:val="105"/>
        </w:rPr>
        <w:t> </w:t>
      </w:r>
      <w:r>
        <w:rPr>
          <w:w w:val="105"/>
        </w:rPr>
        <w:t>the</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the</w:t>
      </w:r>
      <w:r>
        <w:rPr>
          <w:spacing w:val="-2"/>
          <w:w w:val="105"/>
        </w:rPr>
        <w:t> </w:t>
      </w:r>
      <w:r>
        <w:rPr>
          <w:w w:val="105"/>
        </w:rPr>
        <w:t>assets</w:t>
      </w:r>
      <w:r>
        <w:rPr>
          <w:spacing w:val="-2"/>
          <w:w w:val="105"/>
        </w:rPr>
        <w:t> </w:t>
      </w:r>
      <w:r>
        <w:rPr>
          <w:w w:val="105"/>
        </w:rPr>
        <w:t>and</w:t>
      </w:r>
      <w:r>
        <w:rPr>
          <w:spacing w:val="-2"/>
          <w:w w:val="105"/>
        </w:rPr>
        <w:t> </w:t>
      </w:r>
      <w:r>
        <w:rPr>
          <w:w w:val="105"/>
        </w:rPr>
        <w:t>liabilities</w:t>
      </w:r>
      <w:r>
        <w:rPr>
          <w:spacing w:val="-2"/>
          <w:w w:val="105"/>
        </w:rPr>
        <w:t> </w:t>
      </w:r>
      <w:r>
        <w:rPr>
          <w:w w:val="105"/>
        </w:rPr>
        <w:t>recorded</w:t>
      </w:r>
      <w:r>
        <w:rPr>
          <w:spacing w:val="-2"/>
          <w:w w:val="105"/>
        </w:rPr>
        <w:t> </w:t>
      </w:r>
      <w:r>
        <w:rPr>
          <w:w w:val="105"/>
        </w:rPr>
        <w:t>during</w:t>
      </w:r>
      <w:r>
        <w:rPr>
          <w:spacing w:val="-2"/>
          <w:w w:val="105"/>
        </w:rPr>
        <w:t> </w:t>
      </w:r>
      <w:r>
        <w:rPr>
          <w:w w:val="105"/>
        </w:rPr>
        <w:t>the</w:t>
      </w:r>
      <w:r>
        <w:rPr>
          <w:spacing w:val="-2"/>
          <w:w w:val="105"/>
        </w:rPr>
        <w:t> </w:t>
      </w:r>
      <w:r>
        <w:rPr>
          <w:w w:val="105"/>
        </w:rPr>
        <w:t>allocation</w:t>
      </w:r>
      <w:r>
        <w:rPr>
          <w:spacing w:val="-2"/>
          <w:w w:val="105"/>
        </w:rPr>
        <w:t> </w:t>
      </w:r>
      <w:r>
        <w:rPr>
          <w:w w:val="105"/>
        </w:rPr>
        <w:t>period,</w:t>
      </w:r>
      <w:r>
        <w:rPr>
          <w:spacing w:val="-2"/>
          <w:w w:val="105"/>
        </w:rPr>
        <w:t> </w:t>
      </w:r>
      <w:r>
        <w:rPr>
          <w:w w:val="105"/>
        </w:rPr>
        <w:t>not</w:t>
      </w:r>
      <w:r>
        <w:rPr>
          <w:spacing w:val="-2"/>
          <w:w w:val="105"/>
        </w:rPr>
        <w:t> </w:t>
      </w:r>
      <w:r>
        <w:rPr>
          <w:w w:val="105"/>
        </w:rPr>
        <w:t>to</w:t>
      </w:r>
      <w:r>
        <w:rPr>
          <w:spacing w:val="-2"/>
          <w:w w:val="105"/>
        </w:rPr>
        <w:t> </w:t>
      </w:r>
      <w:r>
        <w:rPr>
          <w:w w:val="105"/>
        </w:rPr>
        <w:t>exceed</w:t>
      </w:r>
      <w:r>
        <w:rPr>
          <w:spacing w:val="-2"/>
          <w:w w:val="105"/>
        </w:rPr>
        <w:t> </w:t>
      </w:r>
      <w:r>
        <w:rPr>
          <w:w w:val="105"/>
        </w:rPr>
        <w:t>one</w:t>
      </w:r>
      <w:r>
        <w:rPr>
          <w:spacing w:val="-2"/>
          <w:w w:val="105"/>
        </w:rPr>
        <w:t> </w:t>
      </w:r>
      <w:r>
        <w:rPr>
          <w:w w:val="105"/>
        </w:rPr>
        <w:t>year,</w:t>
      </w:r>
      <w:r>
        <w:rPr>
          <w:spacing w:val="-2"/>
          <w:w w:val="105"/>
        </w:rPr>
        <w:t> </w:t>
      </w:r>
      <w:r>
        <w:rPr>
          <w:w w:val="105"/>
        </w:rPr>
        <w:t>may result</w:t>
      </w:r>
      <w:r>
        <w:rPr>
          <w:spacing w:val="-2"/>
          <w:w w:val="105"/>
        </w:rPr>
        <w:t> </w:t>
      </w:r>
      <w:r>
        <w:rPr>
          <w:w w:val="105"/>
        </w:rPr>
        <w:t>in changes</w:t>
      </w:r>
      <w:r>
        <w:rPr>
          <w:spacing w:val="-2"/>
          <w:w w:val="105"/>
        </w:rPr>
        <w:t> </w:t>
      </w:r>
      <w:r>
        <w:rPr>
          <w:w w:val="105"/>
        </w:rPr>
        <w:t>to</w:t>
      </w:r>
      <w:r>
        <w:rPr>
          <w:spacing w:val="-2"/>
          <w:w w:val="105"/>
        </w:rPr>
        <w:t> </w:t>
      </w:r>
      <w:r>
        <w:rPr>
          <w:w w:val="105"/>
        </w:rPr>
        <w:t>the</w:t>
      </w:r>
      <w:r>
        <w:rPr>
          <w:spacing w:val="-2"/>
          <w:w w:val="105"/>
        </w:rPr>
        <w:t> </w:t>
      </w:r>
      <w:r>
        <w:rPr>
          <w:w w:val="105"/>
        </w:rPr>
        <w:t>recorded</w:t>
      </w:r>
      <w:r>
        <w:rPr>
          <w:spacing w:val="-2"/>
          <w:w w:val="105"/>
        </w:rPr>
        <w:t> </w:t>
      </w:r>
      <w:r>
        <w:rPr>
          <w:w w:val="105"/>
        </w:rPr>
        <w:t>values</w:t>
      </w:r>
      <w:r>
        <w:rPr>
          <w:spacing w:val="-2"/>
          <w:w w:val="105"/>
        </w:rPr>
        <w:t> </w:t>
      </w:r>
      <w:r>
        <w:rPr>
          <w:w w:val="105"/>
        </w:rPr>
        <w:t>of</w:t>
      </w:r>
      <w:r>
        <w:rPr>
          <w:spacing w:val="-2"/>
          <w:w w:val="105"/>
        </w:rPr>
        <w:t> </w:t>
      </w:r>
      <w:r>
        <w:rPr>
          <w:w w:val="105"/>
        </w:rPr>
        <w:t>assets</w:t>
      </w:r>
      <w:r>
        <w:rPr>
          <w:spacing w:val="-2"/>
          <w:w w:val="105"/>
        </w:rPr>
        <w:t> </w:t>
      </w:r>
      <w:r>
        <w:rPr>
          <w:w w:val="105"/>
        </w:rPr>
        <w:t>and</w:t>
      </w:r>
      <w:r>
        <w:rPr>
          <w:spacing w:val="-2"/>
          <w:w w:val="105"/>
        </w:rPr>
        <w:t> </w:t>
      </w:r>
      <w:r>
        <w:rPr>
          <w:w w:val="105"/>
        </w:rPr>
        <w:t>liabilities,</w:t>
      </w:r>
      <w:r>
        <w:rPr>
          <w:spacing w:val="-2"/>
          <w:w w:val="105"/>
        </w:rPr>
        <w:t> </w:t>
      </w:r>
      <w:r>
        <w:rPr>
          <w:w w:val="105"/>
        </w:rPr>
        <w:t>resulting</w:t>
      </w:r>
      <w:r>
        <w:rPr>
          <w:spacing w:val="-2"/>
          <w:w w:val="105"/>
        </w:rPr>
        <w:t> </w:t>
      </w:r>
      <w:r>
        <w:rPr>
          <w:w w:val="105"/>
        </w:rPr>
        <w:t>in</w:t>
      </w:r>
      <w:r>
        <w:rPr>
          <w:spacing w:val="-2"/>
          <w:w w:val="105"/>
        </w:rPr>
        <w:t> </w:t>
      </w:r>
      <w:r>
        <w:rPr>
          <w:w w:val="105"/>
        </w:rPr>
        <w:t>an</w:t>
      </w:r>
      <w:r>
        <w:rPr>
          <w:spacing w:val="-2"/>
          <w:w w:val="105"/>
        </w:rPr>
        <w:t> </w:t>
      </w:r>
      <w:r>
        <w:rPr>
          <w:w w:val="105"/>
        </w:rPr>
        <w:t>offsetting</w:t>
      </w:r>
      <w:r>
        <w:rPr>
          <w:spacing w:val="-2"/>
          <w:w w:val="105"/>
        </w:rPr>
        <w:t> </w:t>
      </w:r>
      <w:r>
        <w:rPr>
          <w:w w:val="105"/>
        </w:rPr>
        <w:t>adjustment</w:t>
      </w:r>
      <w:r>
        <w:rPr>
          <w:spacing w:val="-2"/>
          <w:w w:val="105"/>
        </w:rPr>
        <w:t> </w:t>
      </w:r>
      <w:r>
        <w:rPr>
          <w:w w:val="105"/>
        </w:rPr>
        <w:t>to</w:t>
      </w:r>
      <w:r>
        <w:rPr>
          <w:spacing w:val="-2"/>
          <w:w w:val="105"/>
        </w:rPr>
        <w:t> </w:t>
      </w:r>
      <w:r>
        <w:rPr>
          <w:w w:val="105"/>
        </w:rPr>
        <w:t>the</w:t>
      </w:r>
      <w:r>
        <w:rPr>
          <w:spacing w:val="-2"/>
          <w:w w:val="105"/>
        </w:rPr>
        <w:t> </w:t>
      </w:r>
      <w:r>
        <w:rPr>
          <w:w w:val="105"/>
        </w:rPr>
        <w:t>goodwill</w:t>
      </w:r>
      <w:r>
        <w:rPr>
          <w:spacing w:val="-2"/>
          <w:w w:val="105"/>
        </w:rPr>
        <w:t> </w:t>
      </w:r>
      <w:r>
        <w:rPr>
          <w:w w:val="105"/>
        </w:rPr>
        <w:t>associated</w:t>
      </w:r>
      <w:r>
        <w:rPr>
          <w:spacing w:val="-2"/>
          <w:w w:val="105"/>
        </w:rPr>
        <w:t> </w:t>
      </w:r>
      <w:r>
        <w:rPr>
          <w:w w:val="105"/>
        </w:rPr>
        <w:t>with</w:t>
      </w:r>
      <w:r>
        <w:rPr>
          <w:spacing w:val="-2"/>
          <w:w w:val="105"/>
        </w:rPr>
        <w:t> </w:t>
      </w:r>
      <w:r>
        <w:rPr>
          <w:w w:val="105"/>
        </w:rPr>
        <w:t>the</w:t>
      </w:r>
      <w:r>
        <w:rPr>
          <w:spacing w:val="-2"/>
          <w:w w:val="105"/>
        </w:rPr>
        <w:t> </w:t>
      </w:r>
      <w:r>
        <w:rPr>
          <w:w w:val="105"/>
        </w:rPr>
        <w:t>business</w:t>
      </w:r>
      <w:r>
        <w:rPr>
          <w:spacing w:val="-2"/>
          <w:w w:val="105"/>
        </w:rPr>
        <w:t> </w:t>
      </w:r>
      <w:r>
        <w:rPr>
          <w:w w:val="105"/>
        </w:rPr>
        <w:t>combination.</w:t>
      </w:r>
      <w:r>
        <w:rPr>
          <w:spacing w:val="-2"/>
          <w:w w:val="105"/>
        </w:rPr>
        <w:t> </w:t>
      </w:r>
      <w:r>
        <w:rPr>
          <w:w w:val="105"/>
        </w:rPr>
        <w:t>Changes</w:t>
      </w:r>
      <w:r>
        <w:rPr>
          <w:spacing w:val="-2"/>
          <w:w w:val="105"/>
        </w:rPr>
        <w:t> </w:t>
      </w:r>
      <w:r>
        <w:rPr>
          <w:w w:val="105"/>
        </w:rPr>
        <w:t>in assumptions</w:t>
      </w:r>
      <w:r>
        <w:rPr>
          <w:spacing w:val="-2"/>
          <w:w w:val="105"/>
        </w:rPr>
        <w:t> </w:t>
      </w:r>
      <w:r>
        <w:rPr>
          <w:w w:val="105"/>
        </w:rPr>
        <w:t>and</w:t>
      </w:r>
      <w:r>
        <w:rPr>
          <w:spacing w:val="-2"/>
          <w:w w:val="105"/>
        </w:rPr>
        <w:t> </w:t>
      </w:r>
      <w:r>
        <w:rPr>
          <w:w w:val="105"/>
        </w:rPr>
        <w:t>estimates</w:t>
      </w:r>
      <w:r>
        <w:rPr>
          <w:spacing w:val="-2"/>
          <w:w w:val="105"/>
        </w:rPr>
        <w:t> </w:t>
      </w:r>
      <w:r>
        <w:rPr>
          <w:w w:val="105"/>
        </w:rPr>
        <w:t>after</w:t>
      </w:r>
      <w:r>
        <w:rPr>
          <w:spacing w:val="-2"/>
          <w:w w:val="105"/>
        </w:rPr>
        <w:t> </w:t>
      </w:r>
      <w:r>
        <w:rPr>
          <w:w w:val="105"/>
        </w:rPr>
        <w:t>completing</w:t>
      </w:r>
      <w:r>
        <w:rPr>
          <w:spacing w:val="-2"/>
          <w:w w:val="105"/>
        </w:rPr>
        <w:t> </w:t>
      </w:r>
      <w:r>
        <w:rPr>
          <w:w w:val="105"/>
        </w:rPr>
        <w:t>the</w:t>
      </w:r>
      <w:r>
        <w:rPr>
          <w:spacing w:val="-2"/>
          <w:w w:val="105"/>
        </w:rPr>
        <w:t> </w:t>
      </w:r>
      <w:r>
        <w:rPr>
          <w:w w:val="105"/>
        </w:rPr>
        <w:t>allocation</w:t>
      </w:r>
      <w:r>
        <w:rPr>
          <w:spacing w:val="-4"/>
          <w:w w:val="105"/>
        </w:rPr>
        <w:t> </w:t>
      </w:r>
      <w:r>
        <w:rPr>
          <w:w w:val="105"/>
        </w:rPr>
        <w:t>of</w:t>
      </w:r>
      <w:r>
        <w:rPr>
          <w:spacing w:val="-2"/>
          <w:w w:val="105"/>
        </w:rPr>
        <w:t> </w:t>
      </w:r>
      <w:r>
        <w:rPr>
          <w:w w:val="105"/>
        </w:rPr>
        <w:t>the</w:t>
      </w:r>
      <w:r>
        <w:rPr>
          <w:spacing w:val="-2"/>
          <w:w w:val="105"/>
        </w:rPr>
        <w:t> </w:t>
      </w:r>
      <w:r>
        <w:rPr>
          <w:w w:val="105"/>
        </w:rPr>
        <w:t>purchase</w:t>
      </w:r>
      <w:r>
        <w:rPr>
          <w:spacing w:val="-2"/>
          <w:w w:val="105"/>
        </w:rPr>
        <w:t> </w:t>
      </w:r>
      <w:r>
        <w:rPr>
          <w:w w:val="105"/>
        </w:rPr>
        <w:t>price</w:t>
      </w:r>
      <w:r>
        <w:rPr>
          <w:spacing w:val="-2"/>
          <w:w w:val="105"/>
        </w:rPr>
        <w:t> </w:t>
      </w:r>
      <w:r>
        <w:rPr>
          <w:w w:val="105"/>
        </w:rPr>
        <w:t>to</w:t>
      </w:r>
      <w:r>
        <w:rPr>
          <w:spacing w:val="-4"/>
          <w:w w:val="105"/>
        </w:rPr>
        <w:t> </w:t>
      </w:r>
      <w:r>
        <w:rPr>
          <w:w w:val="105"/>
        </w:rPr>
        <w:t>the</w:t>
      </w:r>
      <w:r>
        <w:rPr>
          <w:spacing w:val="-2"/>
          <w:w w:val="105"/>
        </w:rPr>
        <w:t> </w:t>
      </w:r>
      <w:r>
        <w:rPr>
          <w:w w:val="105"/>
        </w:rPr>
        <w:t>assets</w:t>
      </w:r>
      <w:r>
        <w:rPr>
          <w:spacing w:val="-2"/>
          <w:w w:val="105"/>
        </w:rPr>
        <w:t> </w:t>
      </w:r>
      <w:r>
        <w:rPr>
          <w:w w:val="105"/>
        </w:rPr>
        <w:t>and</w:t>
      </w:r>
      <w:r>
        <w:rPr>
          <w:spacing w:val="-2"/>
          <w:w w:val="105"/>
        </w:rPr>
        <w:t> </w:t>
      </w:r>
      <w:r>
        <w:rPr>
          <w:w w:val="105"/>
        </w:rPr>
        <w:t>liabilities</w:t>
      </w:r>
      <w:r>
        <w:rPr>
          <w:spacing w:val="-2"/>
          <w:w w:val="105"/>
        </w:rPr>
        <w:t> </w:t>
      </w:r>
      <w:r>
        <w:rPr>
          <w:w w:val="105"/>
        </w:rPr>
        <w:t>acquired,</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differences</w:t>
      </w:r>
      <w:r>
        <w:rPr>
          <w:spacing w:val="-2"/>
          <w:w w:val="105"/>
        </w:rPr>
        <w:t> </w:t>
      </w:r>
      <w:r>
        <w:rPr>
          <w:w w:val="105"/>
        </w:rPr>
        <w:t>in</w:t>
      </w:r>
      <w:r>
        <w:rPr>
          <w:spacing w:val="-2"/>
          <w:w w:val="105"/>
        </w:rPr>
        <w:t> </w:t>
      </w:r>
      <w:r>
        <w:rPr>
          <w:w w:val="105"/>
        </w:rPr>
        <w:t>actual</w:t>
      </w:r>
      <w:r>
        <w:rPr>
          <w:spacing w:val="-2"/>
          <w:w w:val="105"/>
        </w:rPr>
        <w:t> </w:t>
      </w:r>
      <w:r>
        <w:rPr>
          <w:w w:val="105"/>
        </w:rPr>
        <w:t>and</w:t>
      </w:r>
      <w:r>
        <w:rPr>
          <w:spacing w:val="-2"/>
          <w:w w:val="105"/>
        </w:rPr>
        <w:t> </w:t>
      </w:r>
      <w:r>
        <w:rPr>
          <w:w w:val="105"/>
        </w:rPr>
        <w:t>estimated</w:t>
      </w:r>
      <w:r>
        <w:rPr>
          <w:spacing w:val="-2"/>
          <w:w w:val="105"/>
        </w:rPr>
        <w:t> </w:t>
      </w:r>
      <w:r>
        <w:rPr>
          <w:w w:val="105"/>
        </w:rPr>
        <w:t>results could result in impacts to Corning’s financial results.</w:t>
      </w:r>
    </w:p>
    <w:p>
      <w:pPr>
        <w:pStyle w:val="BodyText"/>
        <w:spacing w:before="15"/>
      </w:pPr>
    </w:p>
    <w:p>
      <w:pPr>
        <w:pStyle w:val="BodyText"/>
        <w:spacing w:line="266" w:lineRule="auto" w:before="1"/>
        <w:ind w:left="156" w:right="117"/>
      </w:pPr>
      <w:r>
        <w:rPr>
          <w:w w:val="105"/>
        </w:rPr>
        <w:t>In</w:t>
      </w:r>
      <w:r>
        <w:rPr>
          <w:spacing w:val="-2"/>
          <w:w w:val="105"/>
        </w:rPr>
        <w:t> </w:t>
      </w:r>
      <w:r>
        <w:rPr>
          <w:w w:val="105"/>
        </w:rPr>
        <w:t>September</w:t>
      </w:r>
      <w:r>
        <w:rPr>
          <w:spacing w:val="-2"/>
          <w:w w:val="105"/>
        </w:rPr>
        <w:t> </w:t>
      </w:r>
      <w:r>
        <w:rPr>
          <w:w w:val="105"/>
        </w:rPr>
        <w:t>2020,</w:t>
      </w:r>
      <w:r>
        <w:rPr>
          <w:spacing w:val="-2"/>
          <w:w w:val="105"/>
        </w:rPr>
        <w:t> </w:t>
      </w:r>
      <w:r>
        <w:rPr>
          <w:w w:val="105"/>
        </w:rPr>
        <w:t>HSG</w:t>
      </w:r>
      <w:r>
        <w:rPr>
          <w:spacing w:val="-2"/>
          <w:w w:val="105"/>
        </w:rPr>
        <w:t> </w:t>
      </w:r>
      <w:r>
        <w:rPr>
          <w:w w:val="105"/>
        </w:rPr>
        <w:t>redeemed</w:t>
      </w:r>
      <w:r>
        <w:rPr>
          <w:spacing w:val="-2"/>
          <w:w w:val="105"/>
        </w:rPr>
        <w:t> </w:t>
      </w:r>
      <w:r>
        <w:rPr>
          <w:w w:val="105"/>
        </w:rPr>
        <w:t>DuPont’s</w:t>
      </w:r>
      <w:r>
        <w:rPr>
          <w:spacing w:val="-2"/>
          <w:w w:val="105"/>
        </w:rPr>
        <w:t> </w:t>
      </w:r>
      <w:r>
        <w:rPr>
          <w:w w:val="105"/>
        </w:rPr>
        <w:t>entire</w:t>
      </w:r>
      <w:r>
        <w:rPr>
          <w:spacing w:val="-2"/>
          <w:w w:val="105"/>
        </w:rPr>
        <w:t> </w:t>
      </w:r>
      <w:r>
        <w:rPr>
          <w:w w:val="105"/>
        </w:rPr>
        <w:t>ownership</w:t>
      </w:r>
      <w:r>
        <w:rPr>
          <w:spacing w:val="-2"/>
          <w:w w:val="105"/>
        </w:rPr>
        <w:t> </w:t>
      </w:r>
      <w:r>
        <w:rPr>
          <w:w w:val="105"/>
        </w:rPr>
        <w:t>interest</w:t>
      </w:r>
      <w:r>
        <w:rPr>
          <w:spacing w:val="-2"/>
          <w:w w:val="105"/>
        </w:rPr>
        <w:t> </w:t>
      </w:r>
      <w:r>
        <w:rPr>
          <w:w w:val="105"/>
        </w:rPr>
        <w:t>in</w:t>
      </w:r>
      <w:r>
        <w:rPr>
          <w:spacing w:val="-2"/>
          <w:w w:val="105"/>
        </w:rPr>
        <w:t> </w:t>
      </w:r>
      <w:r>
        <w:rPr>
          <w:w w:val="105"/>
        </w:rPr>
        <w:t>HSG</w:t>
      </w:r>
      <w:r>
        <w:rPr>
          <w:spacing w:val="-2"/>
          <w:w w:val="105"/>
        </w:rPr>
        <w:t> </w:t>
      </w:r>
      <w:r>
        <w:rPr>
          <w:w w:val="105"/>
        </w:rPr>
        <w:t>for</w:t>
      </w:r>
      <w:r>
        <w:rPr>
          <w:spacing w:val="-2"/>
          <w:w w:val="105"/>
        </w:rPr>
        <w:t> </w:t>
      </w:r>
      <w:r>
        <w:rPr>
          <w:w w:val="105"/>
        </w:rPr>
        <w:t>$250</w:t>
      </w:r>
      <w:r>
        <w:rPr>
          <w:spacing w:val="-2"/>
          <w:w w:val="105"/>
        </w:rPr>
        <w:t> </w:t>
      </w:r>
      <w:r>
        <w:rPr>
          <w:w w:val="105"/>
        </w:rPr>
        <w:t>million</w:t>
      </w:r>
      <w:r>
        <w:rPr>
          <w:spacing w:val="-2"/>
          <w:w w:val="105"/>
        </w:rPr>
        <w:t> </w:t>
      </w:r>
      <w:r>
        <w:rPr>
          <w:w w:val="105"/>
        </w:rPr>
        <w:t>(the</w:t>
      </w:r>
      <w:r>
        <w:rPr>
          <w:spacing w:val="-2"/>
          <w:w w:val="105"/>
        </w:rPr>
        <w:t> </w:t>
      </w:r>
      <w:r>
        <w:rPr>
          <w:w w:val="105"/>
        </w:rPr>
        <w:t>"Redemption").</w:t>
      </w:r>
      <w:r>
        <w:rPr>
          <w:spacing w:val="-2"/>
          <w:w w:val="105"/>
        </w:rPr>
        <w:t> </w:t>
      </w:r>
      <w:r>
        <w:rPr>
          <w:w w:val="105"/>
        </w:rPr>
        <w:t>Upon</w:t>
      </w:r>
      <w:r>
        <w:rPr>
          <w:spacing w:val="-2"/>
          <w:w w:val="105"/>
        </w:rPr>
        <w:t> </w:t>
      </w:r>
      <w:r>
        <w:rPr>
          <w:w w:val="105"/>
        </w:rPr>
        <w:t>completion</w:t>
      </w:r>
      <w:r>
        <w:rPr>
          <w:spacing w:val="-2"/>
          <w:w w:val="105"/>
        </w:rPr>
        <w:t> </w:t>
      </w:r>
      <w:r>
        <w:rPr>
          <w:w w:val="105"/>
        </w:rPr>
        <w:t>of</w:t>
      </w:r>
      <w:r>
        <w:rPr>
          <w:spacing w:val="-2"/>
          <w:w w:val="105"/>
        </w:rPr>
        <w:t> </w:t>
      </w:r>
      <w:r>
        <w:rPr>
          <w:w w:val="105"/>
        </w:rPr>
        <w:t>the</w:t>
      </w:r>
      <w:r>
        <w:rPr>
          <w:spacing w:val="-2"/>
          <w:w w:val="105"/>
        </w:rPr>
        <w:t> </w:t>
      </w:r>
      <w:r>
        <w:rPr>
          <w:w w:val="105"/>
        </w:rPr>
        <w:t>Redemption,</w:t>
      </w:r>
      <w:r>
        <w:rPr>
          <w:spacing w:val="-2"/>
          <w:w w:val="105"/>
        </w:rPr>
        <w:t> </w:t>
      </w:r>
      <w:r>
        <w:rPr>
          <w:w w:val="105"/>
        </w:rPr>
        <w:t>Corning recognized</w:t>
      </w:r>
      <w:r>
        <w:rPr>
          <w:spacing w:val="-2"/>
          <w:w w:val="105"/>
        </w:rPr>
        <w:t> </w:t>
      </w:r>
      <w:r>
        <w:rPr>
          <w:w w:val="105"/>
        </w:rPr>
        <w:t>a</w:t>
      </w:r>
      <w:r>
        <w:rPr>
          <w:spacing w:val="-2"/>
          <w:w w:val="105"/>
        </w:rPr>
        <w:t> </w:t>
      </w:r>
      <w:r>
        <w:rPr>
          <w:w w:val="105"/>
        </w:rPr>
        <w:t>pre-tax</w:t>
      </w:r>
      <w:r>
        <w:rPr>
          <w:spacing w:val="-2"/>
          <w:w w:val="105"/>
        </w:rPr>
        <w:t> </w:t>
      </w:r>
      <w:r>
        <w:rPr>
          <w:w w:val="105"/>
        </w:rPr>
        <w:t>gain</w:t>
      </w:r>
      <w:r>
        <w:rPr>
          <w:spacing w:val="-2"/>
          <w:w w:val="105"/>
        </w:rPr>
        <w:t> </w:t>
      </w:r>
      <w:r>
        <w:rPr>
          <w:w w:val="105"/>
        </w:rPr>
        <w:t>of</w:t>
      </w:r>
      <w:r>
        <w:rPr>
          <w:spacing w:val="-2"/>
          <w:w w:val="105"/>
        </w:rPr>
        <w:t> </w:t>
      </w:r>
      <w:r>
        <w:rPr>
          <w:w w:val="105"/>
        </w:rPr>
        <w:t>$498</w:t>
      </w:r>
      <w:r>
        <w:rPr>
          <w:spacing w:val="-2"/>
          <w:w w:val="105"/>
        </w:rPr>
        <w:t> </w:t>
      </w:r>
      <w:r>
        <w:rPr>
          <w:w w:val="105"/>
        </w:rPr>
        <w:t>million</w:t>
      </w:r>
      <w:r>
        <w:rPr>
          <w:spacing w:val="-2"/>
          <w:w w:val="105"/>
        </w:rPr>
        <w:t> </w:t>
      </w:r>
      <w:r>
        <w:rPr>
          <w:w w:val="105"/>
        </w:rPr>
        <w:t>on</w:t>
      </w:r>
      <w:r>
        <w:rPr>
          <w:spacing w:val="-2"/>
          <w:w w:val="105"/>
        </w:rPr>
        <w:t> </w:t>
      </w:r>
      <w:r>
        <w:rPr>
          <w:w w:val="105"/>
        </w:rPr>
        <w:t>its</w:t>
      </w:r>
      <w:r>
        <w:rPr>
          <w:spacing w:val="-2"/>
          <w:w w:val="105"/>
        </w:rPr>
        <w:t> </w:t>
      </w:r>
      <w:r>
        <w:rPr>
          <w:w w:val="105"/>
        </w:rPr>
        <w:t>previously</w:t>
      </w:r>
      <w:r>
        <w:rPr>
          <w:spacing w:val="-2"/>
          <w:w w:val="105"/>
        </w:rPr>
        <w:t> </w:t>
      </w:r>
      <w:r>
        <w:rPr>
          <w:w w:val="105"/>
        </w:rPr>
        <w:t>held</w:t>
      </w:r>
      <w:r>
        <w:rPr>
          <w:spacing w:val="-2"/>
          <w:w w:val="105"/>
        </w:rPr>
        <w:t> </w:t>
      </w:r>
      <w:r>
        <w:rPr>
          <w:w w:val="105"/>
        </w:rPr>
        <w:t>equity</w:t>
      </w:r>
      <w:r>
        <w:rPr>
          <w:spacing w:val="-2"/>
          <w:w w:val="105"/>
        </w:rPr>
        <w:t> </w:t>
      </w:r>
      <w:r>
        <w:rPr>
          <w:w w:val="105"/>
        </w:rPr>
        <w:t>investment</w:t>
      </w:r>
      <w:r>
        <w:rPr>
          <w:spacing w:val="-2"/>
          <w:w w:val="105"/>
        </w:rPr>
        <w:t> </w:t>
      </w:r>
      <w:r>
        <w:rPr>
          <w:w w:val="105"/>
        </w:rPr>
        <w:t>in</w:t>
      </w:r>
      <w:r>
        <w:rPr>
          <w:spacing w:val="-2"/>
          <w:w w:val="105"/>
        </w:rPr>
        <w:t> </w:t>
      </w:r>
      <w:r>
        <w:rPr>
          <w:w w:val="105"/>
        </w:rPr>
        <w:t>HSG</w:t>
      </w:r>
      <w:r>
        <w:rPr>
          <w:spacing w:val="-2"/>
          <w:w w:val="105"/>
        </w:rPr>
        <w:t> </w:t>
      </w:r>
      <w:r>
        <w:rPr>
          <w:w w:val="105"/>
        </w:rPr>
        <w:t>as</w:t>
      </w:r>
      <w:r>
        <w:rPr>
          <w:spacing w:val="-2"/>
          <w:w w:val="105"/>
        </w:rPr>
        <w:t> </w:t>
      </w:r>
      <w:r>
        <w:rPr>
          <w:w w:val="105"/>
        </w:rPr>
        <w:t>a</w:t>
      </w:r>
      <w:r>
        <w:rPr>
          <w:spacing w:val="-2"/>
          <w:w w:val="105"/>
        </w:rPr>
        <w:t> </w:t>
      </w:r>
      <w:r>
        <w:rPr>
          <w:w w:val="105"/>
        </w:rPr>
        <w:t>result</w:t>
      </w:r>
      <w:r>
        <w:rPr>
          <w:spacing w:val="-2"/>
          <w:w w:val="105"/>
        </w:rPr>
        <w:t> </w:t>
      </w:r>
      <w:r>
        <w:rPr>
          <w:w w:val="105"/>
        </w:rPr>
        <w:t>of</w:t>
      </w:r>
      <w:r>
        <w:rPr>
          <w:spacing w:val="-2"/>
          <w:w w:val="105"/>
        </w:rPr>
        <w:t> </w:t>
      </w:r>
      <w:r>
        <w:rPr>
          <w:w w:val="105"/>
        </w:rPr>
        <w:t>the</w:t>
      </w:r>
      <w:r>
        <w:rPr>
          <w:spacing w:val="-2"/>
          <w:w w:val="105"/>
        </w:rPr>
        <w:t> </w:t>
      </w:r>
      <w:r>
        <w:rPr>
          <w:w w:val="105"/>
        </w:rPr>
        <w:t>consolidation</w:t>
      </w:r>
      <w:r>
        <w:rPr>
          <w:spacing w:val="-2"/>
          <w:w w:val="105"/>
        </w:rPr>
        <w:t> </w:t>
      </w:r>
      <w:r>
        <w:rPr>
          <w:w w:val="105"/>
        </w:rPr>
        <w:t>resulting</w:t>
      </w:r>
      <w:r>
        <w:rPr>
          <w:spacing w:val="-2"/>
          <w:w w:val="105"/>
        </w:rPr>
        <w:t> </w:t>
      </w:r>
      <w:r>
        <w:rPr>
          <w:w w:val="105"/>
        </w:rPr>
        <w:t>from</w:t>
      </w:r>
      <w:r>
        <w:rPr>
          <w:spacing w:val="-2"/>
          <w:w w:val="105"/>
        </w:rPr>
        <w:t> </w:t>
      </w:r>
      <w:r>
        <w:rPr>
          <w:w w:val="105"/>
        </w:rPr>
        <w:t>the</w:t>
      </w:r>
      <w:r>
        <w:rPr>
          <w:spacing w:val="-2"/>
          <w:w w:val="105"/>
        </w:rPr>
        <w:t> </w:t>
      </w:r>
      <w:r>
        <w:rPr>
          <w:w w:val="105"/>
        </w:rPr>
        <w:t>Redemption.</w:t>
      </w:r>
      <w:r>
        <w:rPr>
          <w:spacing w:val="-2"/>
          <w:w w:val="105"/>
        </w:rPr>
        <w:t> </w:t>
      </w:r>
      <w:r>
        <w:rPr>
          <w:w w:val="105"/>
        </w:rPr>
        <w:t>The</w:t>
      </w:r>
      <w:r>
        <w:rPr>
          <w:spacing w:val="-2"/>
          <w:w w:val="105"/>
        </w:rPr>
        <w:t> </w:t>
      </w:r>
      <w:r>
        <w:rPr>
          <w:w w:val="105"/>
        </w:rPr>
        <w:t>gain</w:t>
      </w:r>
      <w:r>
        <w:rPr>
          <w:spacing w:val="-2"/>
          <w:w w:val="105"/>
        </w:rPr>
        <w:t> </w:t>
      </w:r>
      <w:r>
        <w:rPr>
          <w:w w:val="105"/>
        </w:rPr>
        <w:t>was calculated</w:t>
      </w:r>
      <w:r>
        <w:rPr>
          <w:spacing w:val="-2"/>
          <w:w w:val="105"/>
        </w:rPr>
        <w:t> </w:t>
      </w:r>
      <w:r>
        <w:rPr>
          <w:w w:val="105"/>
        </w:rPr>
        <w:t>based</w:t>
      </w:r>
      <w:r>
        <w:rPr>
          <w:spacing w:val="-2"/>
          <w:w w:val="105"/>
        </w:rPr>
        <w:t> </w:t>
      </w:r>
      <w:r>
        <w:rPr>
          <w:w w:val="105"/>
        </w:rPr>
        <w:t>on</w:t>
      </w:r>
      <w:r>
        <w:rPr>
          <w:spacing w:val="-2"/>
          <w:w w:val="105"/>
        </w:rPr>
        <w:t> </w:t>
      </w:r>
      <w:r>
        <w:rPr>
          <w:w w:val="105"/>
        </w:rPr>
        <w:t>the</w:t>
      </w:r>
      <w:r>
        <w:rPr>
          <w:spacing w:val="-4"/>
          <w:w w:val="105"/>
        </w:rPr>
        <w:t> </w:t>
      </w:r>
      <w:r>
        <w:rPr>
          <w:w w:val="105"/>
        </w:rPr>
        <w:t>difference</w:t>
      </w:r>
      <w:r>
        <w:rPr>
          <w:spacing w:val="-2"/>
          <w:w w:val="105"/>
        </w:rPr>
        <w:t> </w:t>
      </w:r>
      <w:r>
        <w:rPr>
          <w:w w:val="105"/>
        </w:rPr>
        <w:t>between</w:t>
      </w:r>
      <w:r>
        <w:rPr>
          <w:spacing w:val="-2"/>
          <w:w w:val="105"/>
        </w:rPr>
        <w:t> </w:t>
      </w:r>
      <w:r>
        <w:rPr>
          <w:w w:val="105"/>
        </w:rPr>
        <w:t>fair</w:t>
      </w:r>
      <w:r>
        <w:rPr>
          <w:spacing w:val="-2"/>
          <w:w w:val="105"/>
        </w:rPr>
        <w:t> </w:t>
      </w:r>
      <w:r>
        <w:rPr>
          <w:w w:val="105"/>
        </w:rPr>
        <w:t>value</w:t>
      </w:r>
      <w:r>
        <w:rPr>
          <w:spacing w:val="-2"/>
          <w:w w:val="105"/>
        </w:rPr>
        <w:t> </w:t>
      </w:r>
      <w:r>
        <w:rPr>
          <w:w w:val="105"/>
        </w:rPr>
        <w:t>and</w:t>
      </w:r>
      <w:r>
        <w:rPr>
          <w:spacing w:val="-2"/>
          <w:w w:val="105"/>
        </w:rPr>
        <w:t> </w:t>
      </w:r>
      <w:r>
        <w:rPr>
          <w:w w:val="105"/>
        </w:rPr>
        <w:t>carrying</w:t>
      </w:r>
      <w:r>
        <w:rPr>
          <w:spacing w:val="-2"/>
          <w:w w:val="105"/>
        </w:rPr>
        <w:t> </w:t>
      </w:r>
      <w:r>
        <w:rPr>
          <w:w w:val="105"/>
        </w:rPr>
        <w:t>value</w:t>
      </w:r>
      <w:r>
        <w:rPr>
          <w:spacing w:val="-2"/>
          <w:w w:val="105"/>
        </w:rPr>
        <w:t> </w:t>
      </w:r>
      <w:r>
        <w:rPr>
          <w:w w:val="105"/>
        </w:rPr>
        <w:t>of</w:t>
      </w:r>
      <w:r>
        <w:rPr>
          <w:spacing w:val="-2"/>
          <w:w w:val="105"/>
        </w:rPr>
        <w:t> </w:t>
      </w:r>
      <w:r>
        <w:rPr>
          <w:w w:val="105"/>
        </w:rPr>
        <w:t>the</w:t>
      </w:r>
      <w:r>
        <w:rPr>
          <w:spacing w:val="-2"/>
          <w:w w:val="105"/>
        </w:rPr>
        <w:t> </w:t>
      </w:r>
      <w:r>
        <w:rPr>
          <w:w w:val="105"/>
        </w:rPr>
        <w:t>equity</w:t>
      </w:r>
      <w:r>
        <w:rPr>
          <w:spacing w:val="-2"/>
          <w:w w:val="105"/>
        </w:rPr>
        <w:t> </w:t>
      </w:r>
      <w:r>
        <w:rPr>
          <w:w w:val="105"/>
        </w:rPr>
        <w:t>method</w:t>
      </w:r>
      <w:r>
        <w:rPr>
          <w:spacing w:val="-2"/>
          <w:w w:val="105"/>
        </w:rPr>
        <w:t> </w:t>
      </w:r>
      <w:r>
        <w:rPr>
          <w:w w:val="105"/>
        </w:rPr>
        <w:t>investment</w:t>
      </w:r>
      <w:r>
        <w:rPr>
          <w:spacing w:val="-2"/>
          <w:w w:val="105"/>
        </w:rPr>
        <w:t> </w:t>
      </w:r>
      <w:r>
        <w:rPr>
          <w:w w:val="105"/>
        </w:rPr>
        <w:t>immediately</w:t>
      </w:r>
      <w:r>
        <w:rPr>
          <w:spacing w:val="-2"/>
          <w:w w:val="105"/>
        </w:rPr>
        <w:t> </w:t>
      </w:r>
      <w:r>
        <w:rPr>
          <w:w w:val="105"/>
        </w:rPr>
        <w:t>preceding</w:t>
      </w:r>
      <w:r>
        <w:rPr>
          <w:spacing w:val="-2"/>
          <w:w w:val="105"/>
        </w:rPr>
        <w:t> </w:t>
      </w:r>
      <w:r>
        <w:rPr>
          <w:w w:val="105"/>
        </w:rPr>
        <w:t>the</w:t>
      </w:r>
      <w:r>
        <w:rPr>
          <w:spacing w:val="-2"/>
          <w:w w:val="105"/>
        </w:rPr>
        <w:t> </w:t>
      </w:r>
      <w:r>
        <w:rPr>
          <w:w w:val="105"/>
        </w:rPr>
        <w:t>Redemption.</w:t>
      </w:r>
      <w:r>
        <w:rPr>
          <w:spacing w:val="-2"/>
          <w:w w:val="105"/>
        </w:rPr>
        <w:t> </w:t>
      </w:r>
      <w:r>
        <w:rPr>
          <w:w w:val="105"/>
        </w:rPr>
        <w:t>The</w:t>
      </w:r>
      <w:r>
        <w:rPr>
          <w:spacing w:val="-2"/>
          <w:w w:val="105"/>
        </w:rPr>
        <w:t> </w:t>
      </w:r>
      <w:r>
        <w:rPr>
          <w:w w:val="105"/>
        </w:rPr>
        <w:t>fair</w:t>
      </w:r>
      <w:r>
        <w:rPr>
          <w:spacing w:val="-2"/>
          <w:w w:val="105"/>
        </w:rPr>
        <w:t> </w:t>
      </w:r>
      <w:r>
        <w:rPr>
          <w:w w:val="105"/>
        </w:rPr>
        <w:t>value</w:t>
      </w:r>
      <w:r>
        <w:rPr>
          <w:spacing w:val="-2"/>
          <w:w w:val="105"/>
        </w:rPr>
        <w:t> </w:t>
      </w:r>
      <w:r>
        <w:rPr>
          <w:w w:val="105"/>
        </w:rPr>
        <w:t>of Corning’s</w:t>
      </w:r>
      <w:r>
        <w:rPr>
          <w:spacing w:val="-9"/>
          <w:w w:val="105"/>
        </w:rPr>
        <w:t> </w:t>
      </w:r>
      <w:r>
        <w:rPr>
          <w:w w:val="105"/>
        </w:rPr>
        <w:t>equity</w:t>
      </w:r>
      <w:r>
        <w:rPr>
          <w:spacing w:val="-9"/>
          <w:w w:val="105"/>
        </w:rPr>
        <w:t> </w:t>
      </w:r>
      <w:r>
        <w:rPr>
          <w:w w:val="105"/>
        </w:rPr>
        <w:t>interest</w:t>
      </w:r>
      <w:r>
        <w:rPr>
          <w:spacing w:val="-9"/>
          <w:w w:val="105"/>
        </w:rPr>
        <w:t> </w:t>
      </w:r>
      <w:r>
        <w:rPr>
          <w:w w:val="105"/>
        </w:rPr>
        <w:t>in</w:t>
      </w:r>
      <w:r>
        <w:rPr>
          <w:spacing w:val="-9"/>
          <w:w w:val="105"/>
        </w:rPr>
        <w:t> </w:t>
      </w:r>
      <w:r>
        <w:rPr>
          <w:w w:val="105"/>
        </w:rPr>
        <w:t>HSG</w:t>
      </w:r>
      <w:r>
        <w:rPr>
          <w:spacing w:val="-9"/>
          <w:w w:val="105"/>
        </w:rPr>
        <w:t> </w:t>
      </w:r>
      <w:r>
        <w:rPr>
          <w:w w:val="105"/>
        </w:rPr>
        <w:t>was</w:t>
      </w:r>
      <w:r>
        <w:rPr>
          <w:spacing w:val="-9"/>
          <w:w w:val="105"/>
        </w:rPr>
        <w:t> </w:t>
      </w:r>
      <w:r>
        <w:rPr>
          <w:w w:val="105"/>
        </w:rPr>
        <w:t>estimated</w:t>
      </w:r>
      <w:r>
        <w:rPr>
          <w:spacing w:val="-9"/>
          <w:w w:val="105"/>
        </w:rPr>
        <w:t> </w:t>
      </w:r>
      <w:r>
        <w:rPr>
          <w:w w:val="105"/>
        </w:rPr>
        <w:t>by</w:t>
      </w:r>
      <w:r>
        <w:rPr>
          <w:spacing w:val="-9"/>
          <w:w w:val="105"/>
        </w:rPr>
        <w:t> </w:t>
      </w:r>
      <w:r>
        <w:rPr>
          <w:w w:val="105"/>
        </w:rPr>
        <w:t>applying</w:t>
      </w:r>
      <w:r>
        <w:rPr>
          <w:spacing w:val="-9"/>
          <w:w w:val="105"/>
        </w:rPr>
        <w:t> </w:t>
      </w:r>
      <w:r>
        <w:rPr>
          <w:w w:val="105"/>
        </w:rPr>
        <w:t>the</w:t>
      </w:r>
      <w:r>
        <w:rPr>
          <w:spacing w:val="-9"/>
          <w:w w:val="105"/>
        </w:rPr>
        <w:t> </w:t>
      </w:r>
      <w:r>
        <w:rPr>
          <w:w w:val="105"/>
        </w:rPr>
        <w:t>income</w:t>
      </w:r>
      <w:r>
        <w:rPr>
          <w:spacing w:val="-7"/>
          <w:w w:val="105"/>
        </w:rPr>
        <w:t> </w:t>
      </w:r>
      <w:r>
        <w:rPr>
          <w:w w:val="105"/>
        </w:rPr>
        <w:t>approach,</w:t>
      </w:r>
      <w:r>
        <w:rPr>
          <w:spacing w:val="-9"/>
          <w:w w:val="105"/>
        </w:rPr>
        <w:t> </w:t>
      </w:r>
      <w:r>
        <w:rPr>
          <w:w w:val="105"/>
        </w:rPr>
        <w:t>which</w:t>
      </w:r>
      <w:r>
        <w:rPr>
          <w:spacing w:val="-9"/>
          <w:w w:val="105"/>
        </w:rPr>
        <w:t> </w:t>
      </w:r>
      <w:r>
        <w:rPr>
          <w:w w:val="105"/>
        </w:rPr>
        <w:t>was</w:t>
      </w:r>
      <w:r>
        <w:rPr>
          <w:spacing w:val="-9"/>
          <w:w w:val="105"/>
        </w:rPr>
        <w:t> </w:t>
      </w:r>
      <w:r>
        <w:rPr>
          <w:w w:val="105"/>
        </w:rPr>
        <w:t>based</w:t>
      </w:r>
      <w:r>
        <w:rPr>
          <w:spacing w:val="-9"/>
          <w:w w:val="105"/>
        </w:rPr>
        <w:t> </w:t>
      </w:r>
      <w:r>
        <w:rPr>
          <w:w w:val="105"/>
        </w:rPr>
        <w:t>on</w:t>
      </w:r>
      <w:r>
        <w:rPr>
          <w:spacing w:val="-9"/>
          <w:w w:val="105"/>
        </w:rPr>
        <w:t> </w:t>
      </w:r>
      <w:r>
        <w:rPr>
          <w:w w:val="105"/>
        </w:rPr>
        <w:t>significant</w:t>
      </w:r>
      <w:r>
        <w:rPr>
          <w:spacing w:val="-9"/>
          <w:w w:val="105"/>
        </w:rPr>
        <w:t> </w:t>
      </w:r>
      <w:r>
        <w:rPr>
          <w:w w:val="105"/>
        </w:rPr>
        <w:t>assumptions</w:t>
      </w:r>
      <w:r>
        <w:rPr>
          <w:spacing w:val="-9"/>
          <w:w w:val="105"/>
        </w:rPr>
        <w:t> </w:t>
      </w:r>
      <w:r>
        <w:rPr>
          <w:w w:val="105"/>
        </w:rPr>
        <w:t>such</w:t>
      </w:r>
      <w:r>
        <w:rPr>
          <w:spacing w:val="-9"/>
          <w:w w:val="105"/>
        </w:rPr>
        <w:t> </w:t>
      </w:r>
      <w:r>
        <w:rPr>
          <w:w w:val="105"/>
        </w:rPr>
        <w:t>as</w:t>
      </w:r>
      <w:r>
        <w:rPr>
          <w:spacing w:val="-9"/>
          <w:w w:val="105"/>
        </w:rPr>
        <w:t> </w:t>
      </w:r>
      <w:r>
        <w:rPr>
          <w:w w:val="105"/>
        </w:rPr>
        <w:t>projected</w:t>
      </w:r>
      <w:r>
        <w:rPr>
          <w:spacing w:val="-7"/>
          <w:w w:val="105"/>
        </w:rPr>
        <w:t> </w:t>
      </w:r>
      <w:r>
        <w:rPr>
          <w:w w:val="105"/>
        </w:rPr>
        <w:t>revenue</w:t>
      </w:r>
      <w:r>
        <w:rPr>
          <w:spacing w:val="-9"/>
          <w:w w:val="105"/>
        </w:rPr>
        <w:t> </w:t>
      </w:r>
      <w:r>
        <w:rPr>
          <w:w w:val="105"/>
        </w:rPr>
        <w:t>and</w:t>
      </w:r>
      <w:r>
        <w:rPr>
          <w:spacing w:val="-9"/>
          <w:w w:val="105"/>
        </w:rPr>
        <w:t> </w:t>
      </w:r>
      <w:r>
        <w:rPr>
          <w:w w:val="105"/>
        </w:rPr>
        <w:t>discount</w:t>
      </w:r>
      <w:r>
        <w:rPr>
          <w:spacing w:val="-9"/>
          <w:w w:val="105"/>
        </w:rPr>
        <w:t> </w:t>
      </w:r>
      <w:r>
        <w:rPr>
          <w:w w:val="105"/>
        </w:rPr>
        <w:t>rate. The Company used a discount rate of 16.5% and terminal growth rate of zero.</w:t>
      </w:r>
    </w:p>
    <w:p>
      <w:pPr>
        <w:pStyle w:val="BodyText"/>
        <w:spacing w:before="17"/>
      </w:pPr>
    </w:p>
    <w:p>
      <w:pPr>
        <w:pStyle w:val="BodyText"/>
        <w:spacing w:line="266" w:lineRule="auto"/>
        <w:ind w:left="156" w:right="328"/>
      </w:pPr>
      <w:r>
        <w:rPr>
          <w:w w:val="105"/>
        </w:rPr>
        <w:t>Upon</w:t>
      </w:r>
      <w:r>
        <w:rPr>
          <w:spacing w:val="-5"/>
          <w:w w:val="105"/>
        </w:rPr>
        <w:t> </w:t>
      </w:r>
      <w:r>
        <w:rPr>
          <w:w w:val="105"/>
        </w:rPr>
        <w:t>completion</w:t>
      </w:r>
      <w:r>
        <w:rPr>
          <w:spacing w:val="-5"/>
          <w:w w:val="105"/>
        </w:rPr>
        <w:t> </w:t>
      </w:r>
      <w:r>
        <w:rPr>
          <w:w w:val="105"/>
        </w:rPr>
        <w:t>of</w:t>
      </w:r>
      <w:r>
        <w:rPr>
          <w:spacing w:val="-5"/>
          <w:w w:val="105"/>
        </w:rPr>
        <w:t> </w:t>
      </w:r>
      <w:r>
        <w:rPr>
          <w:w w:val="105"/>
        </w:rPr>
        <w:t>the</w:t>
      </w:r>
      <w:r>
        <w:rPr>
          <w:spacing w:val="-5"/>
          <w:w w:val="105"/>
        </w:rPr>
        <w:t> </w:t>
      </w:r>
      <w:r>
        <w:rPr>
          <w:w w:val="105"/>
        </w:rPr>
        <w:t>Redemption,</w:t>
      </w:r>
      <w:r>
        <w:rPr>
          <w:spacing w:val="-5"/>
          <w:w w:val="105"/>
        </w:rPr>
        <w:t> </w:t>
      </w:r>
      <w:r>
        <w:rPr>
          <w:w w:val="105"/>
        </w:rPr>
        <w:t>we</w:t>
      </w:r>
      <w:r>
        <w:rPr>
          <w:spacing w:val="-3"/>
          <w:w w:val="105"/>
        </w:rPr>
        <w:t> </w:t>
      </w:r>
      <w:r>
        <w:rPr>
          <w:w w:val="105"/>
        </w:rPr>
        <w:t>recognized</w:t>
      </w:r>
      <w:r>
        <w:rPr>
          <w:spacing w:val="-5"/>
          <w:w w:val="105"/>
        </w:rPr>
        <w:t> </w:t>
      </w:r>
      <w:r>
        <w:rPr>
          <w:w w:val="105"/>
        </w:rPr>
        <w:t>intangible</w:t>
      </w:r>
      <w:r>
        <w:rPr>
          <w:spacing w:val="-5"/>
          <w:w w:val="105"/>
        </w:rPr>
        <w:t> </w:t>
      </w:r>
      <w:r>
        <w:rPr>
          <w:w w:val="105"/>
        </w:rPr>
        <w:t>assets</w:t>
      </w:r>
      <w:r>
        <w:rPr>
          <w:spacing w:val="-5"/>
          <w:w w:val="105"/>
        </w:rPr>
        <w:t> </w:t>
      </w:r>
      <w:r>
        <w:rPr>
          <w:w w:val="105"/>
        </w:rPr>
        <w:t>consisting</w:t>
      </w:r>
      <w:r>
        <w:rPr>
          <w:spacing w:val="-5"/>
          <w:w w:val="105"/>
        </w:rPr>
        <w:t> </w:t>
      </w:r>
      <w:r>
        <w:rPr>
          <w:w w:val="105"/>
        </w:rPr>
        <w:t>primarily</w:t>
      </w:r>
      <w:r>
        <w:rPr>
          <w:spacing w:val="-5"/>
          <w:w w:val="105"/>
        </w:rPr>
        <w:t> </w:t>
      </w:r>
      <w:r>
        <w:rPr>
          <w:w w:val="105"/>
        </w:rPr>
        <w:t>of</w:t>
      </w:r>
      <w:r>
        <w:rPr>
          <w:spacing w:val="-5"/>
          <w:w w:val="105"/>
        </w:rPr>
        <w:t> </w:t>
      </w:r>
      <w:r>
        <w:rPr>
          <w:w w:val="105"/>
        </w:rPr>
        <w:t>$215</w:t>
      </w:r>
      <w:r>
        <w:rPr>
          <w:spacing w:val="-5"/>
          <w:w w:val="105"/>
        </w:rPr>
        <w:t> </w:t>
      </w:r>
      <w:r>
        <w:rPr>
          <w:w w:val="105"/>
        </w:rPr>
        <w:t>million</w:t>
      </w:r>
      <w:r>
        <w:rPr>
          <w:spacing w:val="-5"/>
          <w:w w:val="105"/>
        </w:rPr>
        <w:t> </w:t>
      </w:r>
      <w:r>
        <w:rPr>
          <w:w w:val="105"/>
        </w:rPr>
        <w:t>of</w:t>
      </w:r>
      <w:r>
        <w:rPr>
          <w:spacing w:val="-5"/>
          <w:w w:val="105"/>
        </w:rPr>
        <w:t> </w:t>
      </w:r>
      <w:r>
        <w:rPr>
          <w:w w:val="105"/>
        </w:rPr>
        <w:t>developed</w:t>
      </w:r>
      <w:r>
        <w:rPr>
          <w:spacing w:val="-5"/>
          <w:w w:val="105"/>
        </w:rPr>
        <w:t> </w:t>
      </w:r>
      <w:r>
        <w:rPr>
          <w:w w:val="105"/>
        </w:rPr>
        <w:t>technologies</w:t>
      </w:r>
      <w:r>
        <w:rPr>
          <w:spacing w:val="-5"/>
          <w:w w:val="105"/>
        </w:rPr>
        <w:t> </w:t>
      </w:r>
      <w:r>
        <w:rPr>
          <w:w w:val="105"/>
        </w:rPr>
        <w:t>and</w:t>
      </w:r>
      <w:r>
        <w:rPr>
          <w:spacing w:val="-5"/>
          <w:w w:val="105"/>
        </w:rPr>
        <w:t> </w:t>
      </w:r>
      <w:r>
        <w:rPr>
          <w:w w:val="105"/>
        </w:rPr>
        <w:t>know-how,</w:t>
      </w:r>
      <w:r>
        <w:rPr>
          <w:spacing w:val="-5"/>
          <w:w w:val="105"/>
        </w:rPr>
        <w:t> </w:t>
      </w:r>
      <w:r>
        <w:rPr>
          <w:w w:val="105"/>
        </w:rPr>
        <w:t>and</w:t>
      </w:r>
      <w:r>
        <w:rPr>
          <w:spacing w:val="-5"/>
          <w:w w:val="105"/>
        </w:rPr>
        <w:t> </w:t>
      </w:r>
      <w:r>
        <w:rPr>
          <w:w w:val="105"/>
        </w:rPr>
        <w:t>$70</w:t>
      </w:r>
      <w:r>
        <w:rPr>
          <w:spacing w:val="-5"/>
          <w:w w:val="105"/>
        </w:rPr>
        <w:t> </w:t>
      </w:r>
      <w:r>
        <w:rPr>
          <w:w w:val="105"/>
        </w:rPr>
        <w:t>million</w:t>
      </w:r>
      <w:r>
        <w:rPr>
          <w:spacing w:val="-5"/>
          <w:w w:val="105"/>
        </w:rPr>
        <w:t> </w:t>
      </w:r>
      <w:r>
        <w:rPr>
          <w:w w:val="105"/>
        </w:rPr>
        <w:t>of other</w:t>
      </w:r>
      <w:r>
        <w:rPr>
          <w:spacing w:val="-3"/>
          <w:w w:val="105"/>
        </w:rPr>
        <w:t> </w:t>
      </w:r>
      <w:r>
        <w:rPr>
          <w:w w:val="105"/>
        </w:rPr>
        <w:t>intangibles</w:t>
      </w:r>
      <w:r>
        <w:rPr>
          <w:spacing w:val="-3"/>
          <w:w w:val="105"/>
        </w:rPr>
        <w:t> </w:t>
      </w:r>
      <w:r>
        <w:rPr>
          <w:w w:val="105"/>
        </w:rPr>
        <w:t>that</w:t>
      </w:r>
      <w:r>
        <w:rPr>
          <w:spacing w:val="-1"/>
          <w:w w:val="105"/>
        </w:rPr>
        <w:t> </w:t>
      </w:r>
      <w:r>
        <w:rPr>
          <w:w w:val="105"/>
        </w:rPr>
        <w:t>are</w:t>
      </w:r>
      <w:r>
        <w:rPr>
          <w:spacing w:val="-3"/>
          <w:w w:val="105"/>
        </w:rPr>
        <w:t> </w:t>
      </w:r>
      <w:r>
        <w:rPr>
          <w:w w:val="105"/>
        </w:rPr>
        <w:t>amortized</w:t>
      </w:r>
      <w:r>
        <w:rPr>
          <w:spacing w:val="-3"/>
          <w:w w:val="105"/>
        </w:rPr>
        <w:t> </w:t>
      </w:r>
      <w:r>
        <w:rPr>
          <w:w w:val="105"/>
        </w:rPr>
        <w:t>over</w:t>
      </w:r>
      <w:r>
        <w:rPr>
          <w:spacing w:val="-3"/>
          <w:w w:val="105"/>
        </w:rPr>
        <w:t> </w:t>
      </w:r>
      <w:r>
        <w:rPr>
          <w:w w:val="105"/>
        </w:rPr>
        <w:t>the</w:t>
      </w:r>
      <w:r>
        <w:rPr>
          <w:spacing w:val="-3"/>
          <w:w w:val="105"/>
        </w:rPr>
        <w:t> </w:t>
      </w:r>
      <w:r>
        <w:rPr>
          <w:w w:val="105"/>
        </w:rPr>
        <w:t>weighted</w:t>
      </w:r>
      <w:r>
        <w:rPr>
          <w:spacing w:val="-3"/>
          <w:w w:val="105"/>
        </w:rPr>
        <w:t> </w:t>
      </w:r>
      <w:r>
        <w:rPr>
          <w:w w:val="105"/>
        </w:rPr>
        <w:t>average</w:t>
      </w:r>
      <w:r>
        <w:rPr>
          <w:spacing w:val="-3"/>
          <w:w w:val="105"/>
        </w:rPr>
        <w:t> </w:t>
      </w:r>
      <w:r>
        <w:rPr>
          <w:w w:val="105"/>
        </w:rPr>
        <w:t>useful</w:t>
      </w:r>
      <w:r>
        <w:rPr>
          <w:spacing w:val="-3"/>
          <w:w w:val="105"/>
        </w:rPr>
        <w:t> </w:t>
      </w:r>
      <w:r>
        <w:rPr>
          <w:w w:val="105"/>
        </w:rPr>
        <w:t>life</w:t>
      </w:r>
      <w:r>
        <w:rPr>
          <w:spacing w:val="-3"/>
          <w:w w:val="105"/>
        </w:rPr>
        <w:t> </w:t>
      </w:r>
      <w:r>
        <w:rPr>
          <w:w w:val="105"/>
        </w:rPr>
        <w:t>of</w:t>
      </w:r>
      <w:r>
        <w:rPr>
          <w:spacing w:val="-3"/>
          <w:w w:val="105"/>
        </w:rPr>
        <w:t> </w:t>
      </w:r>
      <w:r>
        <w:rPr>
          <w:w w:val="105"/>
        </w:rPr>
        <w:t>approximately</w:t>
      </w:r>
      <w:r>
        <w:rPr>
          <w:spacing w:val="-3"/>
          <w:w w:val="105"/>
        </w:rPr>
        <w:t> </w:t>
      </w:r>
      <w:r>
        <w:rPr>
          <w:w w:val="105"/>
        </w:rPr>
        <w:t>20</w:t>
      </w:r>
      <w:r>
        <w:rPr>
          <w:spacing w:val="-3"/>
          <w:w w:val="105"/>
        </w:rPr>
        <w:t> </w:t>
      </w:r>
      <w:r>
        <w:rPr>
          <w:w w:val="105"/>
        </w:rPr>
        <w:t>and</w:t>
      </w:r>
      <w:r>
        <w:rPr>
          <w:spacing w:val="-3"/>
          <w:w w:val="105"/>
        </w:rPr>
        <w:t> </w:t>
      </w:r>
      <w:r>
        <w:rPr>
          <w:w w:val="105"/>
        </w:rPr>
        <w:t>15</w:t>
      </w:r>
      <w:r>
        <w:rPr>
          <w:spacing w:val="-3"/>
          <w:w w:val="105"/>
        </w:rPr>
        <w:t> </w:t>
      </w:r>
      <w:r>
        <w:rPr>
          <w:w w:val="105"/>
        </w:rPr>
        <w:t>years,</w:t>
      </w:r>
      <w:r>
        <w:rPr>
          <w:spacing w:val="-3"/>
          <w:w w:val="105"/>
        </w:rPr>
        <w:t> </w:t>
      </w:r>
      <w:r>
        <w:rPr>
          <w:w w:val="105"/>
        </w:rPr>
        <w:t>respectively.</w:t>
      </w:r>
      <w:r>
        <w:rPr>
          <w:spacing w:val="-3"/>
          <w:w w:val="105"/>
        </w:rPr>
        <w:t> </w:t>
      </w:r>
      <w:r>
        <w:rPr>
          <w:w w:val="105"/>
        </w:rPr>
        <w:t>The</w:t>
      </w:r>
      <w:r>
        <w:rPr>
          <w:spacing w:val="-3"/>
          <w:w w:val="105"/>
        </w:rPr>
        <w:t> </w:t>
      </w:r>
      <w:r>
        <w:rPr>
          <w:w w:val="105"/>
        </w:rPr>
        <w:t>developed</w:t>
      </w:r>
      <w:r>
        <w:rPr>
          <w:spacing w:val="-3"/>
          <w:w w:val="105"/>
        </w:rPr>
        <w:t> </w:t>
      </w:r>
      <w:r>
        <w:rPr>
          <w:w w:val="105"/>
        </w:rPr>
        <w:t>technologies</w:t>
      </w:r>
      <w:r>
        <w:rPr>
          <w:spacing w:val="-3"/>
          <w:w w:val="105"/>
        </w:rPr>
        <w:t> </w:t>
      </w:r>
      <w:r>
        <w:rPr>
          <w:w w:val="105"/>
        </w:rPr>
        <w:t>and</w:t>
      </w:r>
      <w:r>
        <w:rPr>
          <w:spacing w:val="-3"/>
          <w:w w:val="105"/>
        </w:rPr>
        <w:t> </w:t>
      </w:r>
      <w:r>
        <w:rPr>
          <w:w w:val="105"/>
        </w:rPr>
        <w:t>know-how intangible</w:t>
      </w:r>
      <w:r>
        <w:rPr>
          <w:spacing w:val="-5"/>
          <w:w w:val="105"/>
        </w:rPr>
        <w:t> </w:t>
      </w:r>
      <w:r>
        <w:rPr>
          <w:w w:val="105"/>
        </w:rPr>
        <w:t>assets</w:t>
      </w:r>
      <w:r>
        <w:rPr>
          <w:spacing w:val="-5"/>
          <w:w w:val="105"/>
        </w:rPr>
        <w:t> </w:t>
      </w:r>
      <w:r>
        <w:rPr>
          <w:w w:val="105"/>
        </w:rPr>
        <w:t>were</w:t>
      </w:r>
      <w:r>
        <w:rPr>
          <w:spacing w:val="-5"/>
          <w:w w:val="105"/>
        </w:rPr>
        <w:t> </w:t>
      </w:r>
      <w:r>
        <w:rPr>
          <w:w w:val="105"/>
        </w:rPr>
        <w:t>valued</w:t>
      </w:r>
      <w:r>
        <w:rPr>
          <w:spacing w:val="-5"/>
          <w:w w:val="105"/>
        </w:rPr>
        <w:t> </w:t>
      </w:r>
      <w:r>
        <w:rPr>
          <w:w w:val="105"/>
        </w:rPr>
        <w:t>using</w:t>
      </w:r>
      <w:r>
        <w:rPr>
          <w:spacing w:val="-5"/>
          <w:w w:val="105"/>
        </w:rPr>
        <w:t> </w:t>
      </w:r>
      <w:r>
        <w:rPr>
          <w:w w:val="105"/>
        </w:rPr>
        <w:t>two</w:t>
      </w:r>
      <w:r>
        <w:rPr>
          <w:spacing w:val="-5"/>
          <w:w w:val="105"/>
        </w:rPr>
        <w:t> </w:t>
      </w:r>
      <w:r>
        <w:rPr>
          <w:w w:val="105"/>
        </w:rPr>
        <w:t>appropriate</w:t>
      </w:r>
      <w:r>
        <w:rPr>
          <w:spacing w:val="-5"/>
          <w:w w:val="105"/>
        </w:rPr>
        <w:t> </w:t>
      </w:r>
      <w:r>
        <w:rPr>
          <w:w w:val="105"/>
        </w:rPr>
        <w:t>valuation</w:t>
      </w:r>
      <w:r>
        <w:rPr>
          <w:spacing w:val="-5"/>
          <w:w w:val="105"/>
        </w:rPr>
        <w:t> </w:t>
      </w:r>
      <w:r>
        <w:rPr>
          <w:w w:val="105"/>
        </w:rPr>
        <w:t>methods.</w:t>
      </w:r>
      <w:r>
        <w:rPr>
          <w:spacing w:val="-5"/>
          <w:w w:val="105"/>
        </w:rPr>
        <w:t> </w:t>
      </w:r>
      <w:r>
        <w:rPr>
          <w:w w:val="105"/>
        </w:rPr>
        <w:t>The</w:t>
      </w:r>
      <w:r>
        <w:rPr>
          <w:spacing w:val="-5"/>
          <w:w w:val="105"/>
        </w:rPr>
        <w:t> </w:t>
      </w:r>
      <w:r>
        <w:rPr>
          <w:w w:val="105"/>
        </w:rPr>
        <w:t>developed</w:t>
      </w:r>
      <w:r>
        <w:rPr>
          <w:spacing w:val="-5"/>
          <w:w w:val="105"/>
        </w:rPr>
        <w:t> </w:t>
      </w:r>
      <w:r>
        <w:rPr>
          <w:w w:val="105"/>
        </w:rPr>
        <w:t>technologies</w:t>
      </w:r>
      <w:r>
        <w:rPr>
          <w:spacing w:val="-5"/>
          <w:w w:val="105"/>
        </w:rPr>
        <w:t> </w:t>
      </w:r>
      <w:r>
        <w:rPr>
          <w:w w:val="105"/>
        </w:rPr>
        <w:t>and</w:t>
      </w:r>
      <w:r>
        <w:rPr>
          <w:spacing w:val="-5"/>
          <w:w w:val="105"/>
        </w:rPr>
        <w:t> </w:t>
      </w:r>
      <w:r>
        <w:rPr>
          <w:w w:val="105"/>
        </w:rPr>
        <w:t>know-how</w:t>
      </w:r>
      <w:r>
        <w:rPr>
          <w:spacing w:val="-5"/>
          <w:w w:val="105"/>
        </w:rPr>
        <w:t> </w:t>
      </w:r>
      <w:r>
        <w:rPr>
          <w:w w:val="105"/>
        </w:rPr>
        <w:t>intangibles</w:t>
      </w:r>
      <w:r>
        <w:rPr>
          <w:spacing w:val="-5"/>
          <w:w w:val="105"/>
        </w:rPr>
        <w:t> </w:t>
      </w:r>
      <w:r>
        <w:rPr>
          <w:w w:val="105"/>
        </w:rPr>
        <w:t>assets</w:t>
      </w:r>
      <w:r>
        <w:rPr>
          <w:spacing w:val="-5"/>
          <w:w w:val="105"/>
        </w:rPr>
        <w:t> </w:t>
      </w:r>
      <w:r>
        <w:rPr>
          <w:w w:val="105"/>
        </w:rPr>
        <w:t>valued</w:t>
      </w:r>
      <w:r>
        <w:rPr>
          <w:spacing w:val="-5"/>
          <w:w w:val="105"/>
        </w:rPr>
        <w:t> </w:t>
      </w:r>
      <w:r>
        <w:rPr>
          <w:w w:val="105"/>
        </w:rPr>
        <w:t>at</w:t>
      </w:r>
      <w:r>
        <w:rPr>
          <w:spacing w:val="-5"/>
          <w:w w:val="105"/>
        </w:rPr>
        <w:t> </w:t>
      </w:r>
      <w:r>
        <w:rPr>
          <w:w w:val="105"/>
        </w:rPr>
        <w:t>$125</w:t>
      </w:r>
      <w:r>
        <w:rPr>
          <w:spacing w:val="-5"/>
          <w:w w:val="105"/>
        </w:rPr>
        <w:t> </w:t>
      </w:r>
      <w:r>
        <w:rPr>
          <w:w w:val="105"/>
        </w:rPr>
        <w:t>million</w:t>
      </w:r>
      <w:r>
        <w:rPr>
          <w:spacing w:val="-5"/>
          <w:w w:val="105"/>
        </w:rPr>
        <w:t> </w:t>
      </w:r>
      <w:r>
        <w:rPr>
          <w:w w:val="105"/>
        </w:rPr>
        <w:t>utilized</w:t>
      </w:r>
      <w:r>
        <w:rPr>
          <w:spacing w:val="-5"/>
          <w:w w:val="105"/>
        </w:rPr>
        <w:t> </w:t>
      </w:r>
      <w:r>
        <w:rPr>
          <w:w w:val="105"/>
        </w:rPr>
        <w:t>the relief</w:t>
      </w:r>
      <w:r>
        <w:rPr>
          <w:spacing w:val="-8"/>
          <w:w w:val="105"/>
        </w:rPr>
        <w:t> </w:t>
      </w:r>
      <w:r>
        <w:rPr>
          <w:w w:val="105"/>
        </w:rPr>
        <w:t>from</w:t>
      </w:r>
      <w:r>
        <w:rPr>
          <w:spacing w:val="-8"/>
          <w:w w:val="105"/>
        </w:rPr>
        <w:t> </w:t>
      </w:r>
      <w:r>
        <w:rPr>
          <w:w w:val="105"/>
        </w:rPr>
        <w:t>royalty</w:t>
      </w:r>
      <w:r>
        <w:rPr>
          <w:spacing w:val="-8"/>
          <w:w w:val="105"/>
        </w:rPr>
        <w:t> </w:t>
      </w:r>
      <w:r>
        <w:rPr>
          <w:w w:val="105"/>
        </w:rPr>
        <w:t>method,</w:t>
      </w:r>
      <w:r>
        <w:rPr>
          <w:spacing w:val="-8"/>
          <w:w w:val="105"/>
        </w:rPr>
        <w:t> </w:t>
      </w:r>
      <w:r>
        <w:rPr>
          <w:w w:val="105"/>
        </w:rPr>
        <w:t>which</w:t>
      </w:r>
      <w:r>
        <w:rPr>
          <w:spacing w:val="-8"/>
          <w:w w:val="105"/>
        </w:rPr>
        <w:t> </w:t>
      </w:r>
      <w:r>
        <w:rPr>
          <w:w w:val="105"/>
        </w:rPr>
        <w:t>was</w:t>
      </w:r>
      <w:r>
        <w:rPr>
          <w:spacing w:val="-8"/>
          <w:w w:val="105"/>
        </w:rPr>
        <w:t> </w:t>
      </w:r>
      <w:r>
        <w:rPr>
          <w:w w:val="105"/>
        </w:rPr>
        <w:t>based</w:t>
      </w:r>
      <w:r>
        <w:rPr>
          <w:spacing w:val="-8"/>
          <w:w w:val="105"/>
        </w:rPr>
        <w:t> </w:t>
      </w:r>
      <w:r>
        <w:rPr>
          <w:w w:val="105"/>
        </w:rPr>
        <w:t>on</w:t>
      </w:r>
      <w:r>
        <w:rPr>
          <w:spacing w:val="-8"/>
          <w:w w:val="105"/>
        </w:rPr>
        <w:t> </w:t>
      </w:r>
      <w:r>
        <w:rPr>
          <w:w w:val="105"/>
        </w:rPr>
        <w:t>significant</w:t>
      </w:r>
      <w:r>
        <w:rPr>
          <w:spacing w:val="-8"/>
          <w:w w:val="105"/>
        </w:rPr>
        <w:t> </w:t>
      </w:r>
      <w:r>
        <w:rPr>
          <w:w w:val="105"/>
        </w:rPr>
        <w:t>inputs</w:t>
      </w:r>
      <w:r>
        <w:rPr>
          <w:spacing w:val="-8"/>
          <w:w w:val="105"/>
        </w:rPr>
        <w:t> </w:t>
      </w:r>
      <w:r>
        <w:rPr>
          <w:w w:val="105"/>
        </w:rPr>
        <w:t>such</w:t>
      </w:r>
      <w:r>
        <w:rPr>
          <w:spacing w:val="-8"/>
          <w:w w:val="105"/>
        </w:rPr>
        <w:t> </w:t>
      </w:r>
      <w:r>
        <w:rPr>
          <w:w w:val="105"/>
        </w:rPr>
        <w:t>as</w:t>
      </w:r>
      <w:r>
        <w:rPr>
          <w:spacing w:val="-8"/>
          <w:w w:val="105"/>
        </w:rPr>
        <w:t> </w:t>
      </w:r>
      <w:r>
        <w:rPr>
          <w:w w:val="105"/>
        </w:rPr>
        <w:t>projected</w:t>
      </w:r>
      <w:r>
        <w:rPr>
          <w:spacing w:val="-8"/>
          <w:w w:val="105"/>
        </w:rPr>
        <w:t> </w:t>
      </w:r>
      <w:r>
        <w:rPr>
          <w:w w:val="105"/>
        </w:rPr>
        <w:t>revenue</w:t>
      </w:r>
      <w:r>
        <w:rPr>
          <w:spacing w:val="-8"/>
          <w:w w:val="105"/>
        </w:rPr>
        <w:t> </w:t>
      </w:r>
      <w:r>
        <w:rPr>
          <w:w w:val="105"/>
        </w:rPr>
        <w:t>and</w:t>
      </w:r>
      <w:r>
        <w:rPr>
          <w:spacing w:val="-8"/>
          <w:w w:val="105"/>
        </w:rPr>
        <w:t> </w:t>
      </w:r>
      <w:r>
        <w:rPr>
          <w:w w:val="105"/>
        </w:rPr>
        <w:t>key</w:t>
      </w:r>
      <w:r>
        <w:rPr>
          <w:spacing w:val="-8"/>
          <w:w w:val="105"/>
        </w:rPr>
        <w:t> </w:t>
      </w:r>
      <w:r>
        <w:rPr>
          <w:w w:val="105"/>
        </w:rPr>
        <w:t>assumptions,</w:t>
      </w:r>
      <w:r>
        <w:rPr>
          <w:spacing w:val="-8"/>
          <w:w w:val="105"/>
        </w:rPr>
        <w:t> </w:t>
      </w:r>
      <w:r>
        <w:rPr>
          <w:w w:val="105"/>
        </w:rPr>
        <w:t>including</w:t>
      </w:r>
      <w:r>
        <w:rPr>
          <w:spacing w:val="-8"/>
          <w:w w:val="105"/>
        </w:rPr>
        <w:t> </w:t>
      </w:r>
      <w:r>
        <w:rPr>
          <w:w w:val="105"/>
        </w:rPr>
        <w:t>a</w:t>
      </w:r>
      <w:r>
        <w:rPr>
          <w:spacing w:val="-8"/>
          <w:w w:val="105"/>
        </w:rPr>
        <w:t> </w:t>
      </w:r>
      <w:r>
        <w:rPr>
          <w:w w:val="105"/>
        </w:rPr>
        <w:t>discount</w:t>
      </w:r>
      <w:r>
        <w:rPr>
          <w:spacing w:val="-8"/>
          <w:w w:val="105"/>
        </w:rPr>
        <w:t> </w:t>
      </w:r>
      <w:r>
        <w:rPr>
          <w:w w:val="105"/>
        </w:rPr>
        <w:t>rate</w:t>
      </w:r>
      <w:r>
        <w:rPr>
          <w:spacing w:val="-8"/>
          <w:w w:val="105"/>
        </w:rPr>
        <w:t> </w:t>
      </w:r>
      <w:r>
        <w:rPr>
          <w:w w:val="105"/>
        </w:rPr>
        <w:t>of</w:t>
      </w:r>
      <w:r>
        <w:rPr>
          <w:spacing w:val="-8"/>
          <w:w w:val="105"/>
        </w:rPr>
        <w:t> </w:t>
      </w:r>
      <w:r>
        <w:rPr>
          <w:w w:val="105"/>
        </w:rPr>
        <w:t>21.0%</w:t>
      </w:r>
      <w:r>
        <w:rPr>
          <w:spacing w:val="-8"/>
          <w:w w:val="105"/>
        </w:rPr>
        <w:t> </w:t>
      </w:r>
      <w:r>
        <w:rPr>
          <w:w w:val="105"/>
        </w:rPr>
        <w:t>and</w:t>
      </w:r>
      <w:r>
        <w:rPr>
          <w:spacing w:val="-8"/>
          <w:w w:val="105"/>
        </w:rPr>
        <w:t> </w:t>
      </w:r>
      <w:r>
        <w:rPr>
          <w:w w:val="105"/>
        </w:rPr>
        <w:t>a</w:t>
      </w:r>
      <w:r>
        <w:rPr>
          <w:spacing w:val="-8"/>
          <w:w w:val="105"/>
        </w:rPr>
        <w:t> </w:t>
      </w:r>
      <w:r>
        <w:rPr>
          <w:w w:val="105"/>
        </w:rPr>
        <w:t>royalty</w:t>
      </w:r>
      <w:r>
        <w:rPr>
          <w:spacing w:val="-8"/>
          <w:w w:val="105"/>
        </w:rPr>
        <w:t> </w:t>
      </w:r>
      <w:r>
        <w:rPr>
          <w:w w:val="105"/>
        </w:rPr>
        <w:t>rate</w:t>
      </w:r>
      <w:r>
        <w:rPr>
          <w:spacing w:val="-8"/>
          <w:w w:val="105"/>
        </w:rPr>
        <w:t> </w:t>
      </w:r>
      <w:r>
        <w:rPr>
          <w:w w:val="105"/>
        </w:rPr>
        <w:t>of 7.0%.</w:t>
      </w:r>
      <w:r>
        <w:rPr>
          <w:spacing w:val="-3"/>
          <w:w w:val="105"/>
        </w:rPr>
        <w:t> </w:t>
      </w:r>
      <w:r>
        <w:rPr>
          <w:w w:val="105"/>
        </w:rPr>
        <w:t>The</w:t>
      </w:r>
      <w:r>
        <w:rPr>
          <w:spacing w:val="-3"/>
          <w:w w:val="105"/>
        </w:rPr>
        <w:t> </w:t>
      </w:r>
      <w:r>
        <w:rPr>
          <w:w w:val="105"/>
        </w:rPr>
        <w:t>developed</w:t>
      </w:r>
      <w:r>
        <w:rPr>
          <w:spacing w:val="-3"/>
          <w:w w:val="105"/>
        </w:rPr>
        <w:t> </w:t>
      </w:r>
      <w:r>
        <w:rPr>
          <w:w w:val="105"/>
        </w:rPr>
        <w:t>technologies</w:t>
      </w:r>
      <w:r>
        <w:rPr>
          <w:spacing w:val="-2"/>
          <w:w w:val="105"/>
        </w:rPr>
        <w:t> </w:t>
      </w:r>
      <w:r>
        <w:rPr>
          <w:w w:val="105"/>
        </w:rPr>
        <w:t>and</w:t>
      </w:r>
      <w:r>
        <w:rPr>
          <w:spacing w:val="-3"/>
          <w:w w:val="105"/>
        </w:rPr>
        <w:t> </w:t>
      </w:r>
      <w:r>
        <w:rPr>
          <w:w w:val="105"/>
        </w:rPr>
        <w:t>know-how</w:t>
      </w:r>
      <w:r>
        <w:rPr>
          <w:spacing w:val="-3"/>
          <w:w w:val="105"/>
        </w:rPr>
        <w:t> </w:t>
      </w:r>
      <w:r>
        <w:rPr>
          <w:w w:val="105"/>
        </w:rPr>
        <w:t>intangibles</w:t>
      </w:r>
      <w:r>
        <w:rPr>
          <w:spacing w:val="-3"/>
          <w:w w:val="105"/>
        </w:rPr>
        <w:t> </w:t>
      </w:r>
      <w:r>
        <w:rPr>
          <w:w w:val="105"/>
        </w:rPr>
        <w:t>assets</w:t>
      </w:r>
      <w:r>
        <w:rPr>
          <w:spacing w:val="-3"/>
          <w:w w:val="105"/>
        </w:rPr>
        <w:t> </w:t>
      </w:r>
      <w:r>
        <w:rPr>
          <w:w w:val="105"/>
        </w:rPr>
        <w:t>valued</w:t>
      </w:r>
      <w:r>
        <w:rPr>
          <w:spacing w:val="-3"/>
          <w:w w:val="105"/>
        </w:rPr>
        <w:t> </w:t>
      </w:r>
      <w:r>
        <w:rPr>
          <w:w w:val="105"/>
        </w:rPr>
        <w:t>at</w:t>
      </w:r>
      <w:r>
        <w:rPr>
          <w:spacing w:val="-3"/>
          <w:w w:val="105"/>
        </w:rPr>
        <w:t> </w:t>
      </w:r>
      <w:r>
        <w:rPr>
          <w:w w:val="105"/>
        </w:rPr>
        <w:t>$90</w:t>
      </w:r>
      <w:r>
        <w:rPr>
          <w:spacing w:val="-3"/>
          <w:w w:val="105"/>
        </w:rPr>
        <w:t> </w:t>
      </w:r>
      <w:r>
        <w:rPr>
          <w:w w:val="105"/>
        </w:rPr>
        <w:t>million</w:t>
      </w:r>
      <w:r>
        <w:rPr>
          <w:spacing w:val="-3"/>
          <w:w w:val="105"/>
        </w:rPr>
        <w:t> </w:t>
      </w:r>
      <w:r>
        <w:rPr>
          <w:w w:val="105"/>
        </w:rPr>
        <w:t>utilized</w:t>
      </w:r>
      <w:r>
        <w:rPr>
          <w:spacing w:val="-3"/>
          <w:w w:val="105"/>
        </w:rPr>
        <w:t> </w:t>
      </w:r>
      <w:r>
        <w:rPr>
          <w:w w:val="105"/>
        </w:rPr>
        <w:t>the</w:t>
      </w:r>
      <w:r>
        <w:rPr>
          <w:spacing w:val="-3"/>
          <w:w w:val="105"/>
        </w:rPr>
        <w:t> </w:t>
      </w:r>
      <w:r>
        <w:rPr>
          <w:w w:val="105"/>
        </w:rPr>
        <w:t>multi-period</w:t>
      </w:r>
      <w:r>
        <w:rPr>
          <w:spacing w:val="-3"/>
          <w:w w:val="105"/>
        </w:rPr>
        <w:t> </w:t>
      </w:r>
      <w:r>
        <w:rPr>
          <w:w w:val="105"/>
        </w:rPr>
        <w:t>excess</w:t>
      </w:r>
      <w:r>
        <w:rPr>
          <w:spacing w:val="-3"/>
          <w:w w:val="105"/>
        </w:rPr>
        <w:t> </w:t>
      </w:r>
      <w:r>
        <w:rPr>
          <w:w w:val="105"/>
        </w:rPr>
        <w:t>earnings</w:t>
      </w:r>
      <w:r>
        <w:rPr>
          <w:spacing w:val="-3"/>
          <w:w w:val="105"/>
        </w:rPr>
        <w:t> </w:t>
      </w:r>
      <w:r>
        <w:rPr>
          <w:w w:val="105"/>
        </w:rPr>
        <w:t>method</w:t>
      </w:r>
      <w:r>
        <w:rPr>
          <w:spacing w:val="-3"/>
          <w:w w:val="105"/>
        </w:rPr>
        <w:t> </w:t>
      </w:r>
      <w:r>
        <w:rPr>
          <w:w w:val="105"/>
        </w:rPr>
        <w:t>under</w:t>
      </w:r>
      <w:r>
        <w:rPr>
          <w:spacing w:val="-3"/>
          <w:w w:val="105"/>
        </w:rPr>
        <w:t> </w:t>
      </w:r>
      <w:r>
        <w:rPr>
          <w:w w:val="105"/>
        </w:rPr>
        <w:t>the</w:t>
      </w:r>
      <w:r>
        <w:rPr>
          <w:spacing w:val="-3"/>
          <w:w w:val="105"/>
        </w:rPr>
        <w:t> </w:t>
      </w:r>
      <w:r>
        <w:rPr>
          <w:w w:val="105"/>
        </w:rPr>
        <w:t>income</w:t>
      </w:r>
      <w:r>
        <w:rPr>
          <w:spacing w:val="-3"/>
          <w:w w:val="105"/>
        </w:rPr>
        <w:t> </w:t>
      </w:r>
      <w:r>
        <w:rPr>
          <w:w w:val="105"/>
        </w:rPr>
        <w:t>approach, which was based on significant inputs such as projected revenue and the key assumption of a discount rate of 19.0%.</w:t>
      </w:r>
    </w:p>
    <w:p>
      <w:pPr>
        <w:pStyle w:val="BodyText"/>
        <w:spacing w:before="18"/>
      </w:pPr>
    </w:p>
    <w:p>
      <w:pPr>
        <w:pStyle w:val="Heading3"/>
      </w:pPr>
      <w:r>
        <w:rPr>
          <w:spacing w:val="-2"/>
          <w:w w:val="105"/>
        </w:rPr>
        <w:t>Valuation</w:t>
      </w:r>
      <w:r>
        <w:rPr>
          <w:w w:val="105"/>
        </w:rPr>
        <w:t> </w:t>
      </w:r>
      <w:r>
        <w:rPr>
          <w:spacing w:val="-2"/>
          <w:w w:val="105"/>
        </w:rPr>
        <w:t>of</w:t>
      </w:r>
      <w:r>
        <w:rPr>
          <w:w w:val="105"/>
        </w:rPr>
        <w:t> </w:t>
      </w:r>
      <w:r>
        <w:rPr>
          <w:spacing w:val="-2"/>
          <w:w w:val="105"/>
        </w:rPr>
        <w:t>Deferred</w:t>
      </w:r>
      <w:r>
        <w:rPr>
          <w:w w:val="105"/>
        </w:rPr>
        <w:t> </w:t>
      </w:r>
      <w:r>
        <w:rPr>
          <w:spacing w:val="-2"/>
          <w:w w:val="105"/>
        </w:rPr>
        <w:t>Revenue</w:t>
      </w:r>
      <w:r>
        <w:rPr>
          <w:w w:val="105"/>
        </w:rPr>
        <w:t> </w:t>
      </w:r>
      <w:r>
        <w:rPr>
          <w:spacing w:val="-2"/>
          <w:w w:val="105"/>
        </w:rPr>
        <w:t>and</w:t>
      </w:r>
      <w:r>
        <w:rPr>
          <w:w w:val="105"/>
        </w:rPr>
        <w:t> </w:t>
      </w:r>
      <w:r>
        <w:rPr>
          <w:spacing w:val="-2"/>
          <w:w w:val="105"/>
        </w:rPr>
        <w:t>Customer</w:t>
      </w:r>
      <w:r>
        <w:rPr>
          <w:w w:val="105"/>
        </w:rPr>
        <w:t> </w:t>
      </w:r>
      <w:r>
        <w:rPr>
          <w:spacing w:val="-2"/>
          <w:w w:val="105"/>
        </w:rPr>
        <w:t>Deposits</w:t>
      </w:r>
      <w:r>
        <w:rPr>
          <w:w w:val="105"/>
        </w:rPr>
        <w:t> </w:t>
      </w:r>
      <w:r>
        <w:rPr>
          <w:spacing w:val="-2"/>
          <w:w w:val="105"/>
        </w:rPr>
        <w:t>from</w:t>
      </w:r>
      <w:r>
        <w:rPr>
          <w:w w:val="105"/>
        </w:rPr>
        <w:t> </w:t>
      </w:r>
      <w:r>
        <w:rPr>
          <w:spacing w:val="-2"/>
          <w:w w:val="105"/>
        </w:rPr>
        <w:t>the</w:t>
      </w:r>
      <w:r>
        <w:rPr>
          <w:w w:val="105"/>
        </w:rPr>
        <w:t> </w:t>
      </w:r>
      <w:r>
        <w:rPr>
          <w:spacing w:val="-2"/>
          <w:w w:val="105"/>
        </w:rPr>
        <w:t>consolidation</w:t>
      </w:r>
      <w:r>
        <w:rPr>
          <w:spacing w:val="1"/>
          <w:w w:val="105"/>
        </w:rPr>
        <w:t> </w:t>
      </w:r>
      <w:r>
        <w:rPr>
          <w:spacing w:val="-2"/>
          <w:w w:val="105"/>
        </w:rPr>
        <w:t>of</w:t>
      </w:r>
      <w:r>
        <w:rPr>
          <w:w w:val="105"/>
        </w:rPr>
        <w:t> </w:t>
      </w:r>
      <w:r>
        <w:rPr>
          <w:spacing w:val="-5"/>
          <w:w w:val="105"/>
        </w:rPr>
        <w:t>HSG</w:t>
      </w:r>
    </w:p>
    <w:p>
      <w:pPr>
        <w:pStyle w:val="BodyText"/>
        <w:spacing w:before="39"/>
        <w:rPr>
          <w:b/>
          <w:i/>
        </w:rPr>
      </w:pPr>
    </w:p>
    <w:p>
      <w:pPr>
        <w:pStyle w:val="BodyText"/>
        <w:ind w:left="156"/>
      </w:pPr>
      <w:r>
        <w:rPr>
          <w:w w:val="105"/>
        </w:rPr>
        <w:t>Upon</w:t>
      </w:r>
      <w:r>
        <w:rPr>
          <w:spacing w:val="-10"/>
          <w:w w:val="105"/>
        </w:rPr>
        <w:t> </w:t>
      </w:r>
      <w:r>
        <w:rPr>
          <w:w w:val="105"/>
        </w:rPr>
        <w:t>completion</w:t>
      </w:r>
      <w:r>
        <w:rPr>
          <w:spacing w:val="-9"/>
          <w:w w:val="105"/>
        </w:rPr>
        <w:t> </w:t>
      </w:r>
      <w:r>
        <w:rPr>
          <w:w w:val="105"/>
        </w:rPr>
        <w:t>of</w:t>
      </w:r>
      <w:r>
        <w:rPr>
          <w:spacing w:val="-10"/>
          <w:w w:val="105"/>
        </w:rPr>
        <w:t> </w:t>
      </w:r>
      <w:r>
        <w:rPr>
          <w:w w:val="105"/>
        </w:rPr>
        <w:t>the</w:t>
      </w:r>
      <w:r>
        <w:rPr>
          <w:spacing w:val="-9"/>
          <w:w w:val="105"/>
        </w:rPr>
        <w:t> </w:t>
      </w:r>
      <w:r>
        <w:rPr>
          <w:w w:val="105"/>
        </w:rPr>
        <w:t>Redemption</w:t>
      </w:r>
      <w:r>
        <w:rPr>
          <w:spacing w:val="-8"/>
          <w:w w:val="105"/>
        </w:rPr>
        <w:t> </w:t>
      </w:r>
      <w:r>
        <w:rPr>
          <w:w w:val="105"/>
        </w:rPr>
        <w:t>and</w:t>
      </w:r>
      <w:r>
        <w:rPr>
          <w:spacing w:val="-10"/>
          <w:w w:val="105"/>
        </w:rPr>
        <w:t> </w:t>
      </w:r>
      <w:r>
        <w:rPr>
          <w:w w:val="105"/>
        </w:rPr>
        <w:t>resulting</w:t>
      </w:r>
      <w:r>
        <w:rPr>
          <w:spacing w:val="-9"/>
          <w:w w:val="105"/>
        </w:rPr>
        <w:t> </w:t>
      </w:r>
      <w:r>
        <w:rPr>
          <w:w w:val="105"/>
        </w:rPr>
        <w:t>consolidation,</w:t>
      </w:r>
      <w:r>
        <w:rPr>
          <w:spacing w:val="-10"/>
          <w:w w:val="105"/>
        </w:rPr>
        <w:t> </w:t>
      </w:r>
      <w:r>
        <w:rPr>
          <w:w w:val="105"/>
        </w:rPr>
        <w:t>we</w:t>
      </w:r>
      <w:r>
        <w:rPr>
          <w:spacing w:val="-9"/>
          <w:w w:val="105"/>
        </w:rPr>
        <w:t> </w:t>
      </w:r>
      <w:r>
        <w:rPr>
          <w:w w:val="105"/>
        </w:rPr>
        <w:t>recorded</w:t>
      </w:r>
      <w:r>
        <w:rPr>
          <w:spacing w:val="-9"/>
          <w:w w:val="105"/>
        </w:rPr>
        <w:t> </w:t>
      </w:r>
      <w:r>
        <w:rPr>
          <w:w w:val="105"/>
        </w:rPr>
        <w:t>a</w:t>
      </w:r>
      <w:r>
        <w:rPr>
          <w:spacing w:val="-10"/>
          <w:w w:val="105"/>
        </w:rPr>
        <w:t> </w:t>
      </w:r>
      <w:r>
        <w:rPr>
          <w:w w:val="105"/>
        </w:rPr>
        <w:t>customer</w:t>
      </w:r>
      <w:r>
        <w:rPr>
          <w:spacing w:val="-9"/>
          <w:w w:val="105"/>
        </w:rPr>
        <w:t> </w:t>
      </w:r>
      <w:r>
        <w:rPr>
          <w:w w:val="105"/>
        </w:rPr>
        <w:t>deposit</w:t>
      </w:r>
      <w:r>
        <w:rPr>
          <w:spacing w:val="-8"/>
          <w:w w:val="105"/>
        </w:rPr>
        <w:t> </w:t>
      </w:r>
      <w:r>
        <w:rPr>
          <w:w w:val="105"/>
        </w:rPr>
        <w:t>liability</w:t>
      </w:r>
      <w:r>
        <w:rPr>
          <w:spacing w:val="-10"/>
          <w:w w:val="105"/>
        </w:rPr>
        <w:t> </w:t>
      </w:r>
      <w:r>
        <w:rPr>
          <w:w w:val="105"/>
        </w:rPr>
        <w:t>and</w:t>
      </w:r>
      <w:r>
        <w:rPr>
          <w:spacing w:val="-9"/>
          <w:w w:val="105"/>
        </w:rPr>
        <w:t> </w:t>
      </w:r>
      <w:r>
        <w:rPr>
          <w:w w:val="105"/>
        </w:rPr>
        <w:t>deferred</w:t>
      </w:r>
      <w:r>
        <w:rPr>
          <w:spacing w:val="-10"/>
          <w:w w:val="105"/>
        </w:rPr>
        <w:t> </w:t>
      </w:r>
      <w:r>
        <w:rPr>
          <w:spacing w:val="-2"/>
          <w:w w:val="105"/>
        </w:rPr>
        <w:t>revenue.</w:t>
      </w:r>
    </w:p>
    <w:p>
      <w:pPr>
        <w:pStyle w:val="BodyText"/>
        <w:spacing w:before="40"/>
      </w:pPr>
    </w:p>
    <w:p>
      <w:pPr>
        <w:pStyle w:val="BodyText"/>
        <w:spacing w:line="266" w:lineRule="auto"/>
        <w:ind w:left="156"/>
      </w:pPr>
      <w:r>
        <w:rPr>
          <w:w w:val="105"/>
        </w:rPr>
        <w:t>Corning</w:t>
      </w:r>
      <w:r>
        <w:rPr>
          <w:spacing w:val="-8"/>
          <w:w w:val="105"/>
        </w:rPr>
        <w:t> </w:t>
      </w:r>
      <w:r>
        <w:rPr>
          <w:w w:val="105"/>
        </w:rPr>
        <w:t>recorded</w:t>
      </w:r>
      <w:r>
        <w:rPr>
          <w:spacing w:val="-8"/>
          <w:w w:val="105"/>
        </w:rPr>
        <w:t> </w:t>
      </w:r>
      <w:r>
        <w:rPr>
          <w:w w:val="105"/>
        </w:rPr>
        <w:t>a</w:t>
      </w:r>
      <w:r>
        <w:rPr>
          <w:spacing w:val="-8"/>
          <w:w w:val="105"/>
        </w:rPr>
        <w:t> </w:t>
      </w:r>
      <w:r>
        <w:rPr>
          <w:w w:val="105"/>
        </w:rPr>
        <w:t>customer</w:t>
      </w:r>
      <w:r>
        <w:rPr>
          <w:spacing w:val="-8"/>
          <w:w w:val="105"/>
        </w:rPr>
        <w:t> </w:t>
      </w:r>
      <w:r>
        <w:rPr>
          <w:w w:val="105"/>
        </w:rPr>
        <w:t>deposit</w:t>
      </w:r>
      <w:r>
        <w:rPr>
          <w:spacing w:val="-8"/>
          <w:w w:val="105"/>
        </w:rPr>
        <w:t> </w:t>
      </w:r>
      <w:r>
        <w:rPr>
          <w:w w:val="105"/>
        </w:rPr>
        <w:t>of</w:t>
      </w:r>
      <w:r>
        <w:rPr>
          <w:spacing w:val="-8"/>
          <w:w w:val="105"/>
        </w:rPr>
        <w:t> </w:t>
      </w:r>
      <w:r>
        <w:rPr>
          <w:w w:val="105"/>
        </w:rPr>
        <w:t>$264</w:t>
      </w:r>
      <w:r>
        <w:rPr>
          <w:spacing w:val="-8"/>
          <w:w w:val="105"/>
        </w:rPr>
        <w:t> </w:t>
      </w:r>
      <w:r>
        <w:rPr>
          <w:w w:val="105"/>
        </w:rPr>
        <w:t>million,</w:t>
      </w:r>
      <w:r>
        <w:rPr>
          <w:spacing w:val="-8"/>
          <w:w w:val="105"/>
        </w:rPr>
        <w:t> </w:t>
      </w:r>
      <w:r>
        <w:rPr>
          <w:w w:val="105"/>
        </w:rPr>
        <w:t>at</w:t>
      </w:r>
      <w:r>
        <w:rPr>
          <w:spacing w:val="-8"/>
          <w:w w:val="105"/>
        </w:rPr>
        <w:t> </w:t>
      </w:r>
      <w:r>
        <w:rPr>
          <w:w w:val="105"/>
        </w:rPr>
        <w:t>the</w:t>
      </w:r>
      <w:r>
        <w:rPr>
          <w:spacing w:val="-6"/>
          <w:w w:val="105"/>
        </w:rPr>
        <w:t> </w:t>
      </w:r>
      <w:r>
        <w:rPr>
          <w:w w:val="105"/>
        </w:rPr>
        <w:t>fair</w:t>
      </w:r>
      <w:r>
        <w:rPr>
          <w:spacing w:val="-8"/>
          <w:w w:val="105"/>
        </w:rPr>
        <w:t> </w:t>
      </w:r>
      <w:r>
        <w:rPr>
          <w:w w:val="105"/>
        </w:rPr>
        <w:t>value,</w:t>
      </w:r>
      <w:r>
        <w:rPr>
          <w:spacing w:val="-8"/>
          <w:w w:val="105"/>
        </w:rPr>
        <w:t> </w:t>
      </w:r>
      <w:r>
        <w:rPr>
          <w:w w:val="105"/>
        </w:rPr>
        <w:t>of</w:t>
      </w:r>
      <w:r>
        <w:rPr>
          <w:spacing w:val="-8"/>
          <w:w w:val="105"/>
        </w:rPr>
        <w:t> </w:t>
      </w:r>
      <w:r>
        <w:rPr>
          <w:w w:val="105"/>
        </w:rPr>
        <w:t>refundable</w:t>
      </w:r>
      <w:r>
        <w:rPr>
          <w:spacing w:val="-8"/>
          <w:w w:val="105"/>
        </w:rPr>
        <w:t> </w:t>
      </w:r>
      <w:r>
        <w:rPr>
          <w:w w:val="105"/>
        </w:rPr>
        <w:t>payments</w:t>
      </w:r>
      <w:r>
        <w:rPr>
          <w:spacing w:val="-8"/>
          <w:w w:val="105"/>
        </w:rPr>
        <w:t> </w:t>
      </w:r>
      <w:r>
        <w:rPr>
          <w:w w:val="105"/>
        </w:rPr>
        <w:t>that</w:t>
      </w:r>
      <w:r>
        <w:rPr>
          <w:spacing w:val="-8"/>
          <w:w w:val="105"/>
        </w:rPr>
        <w:t> </w:t>
      </w:r>
      <w:r>
        <w:rPr>
          <w:w w:val="105"/>
        </w:rPr>
        <w:t>HSG</w:t>
      </w:r>
      <w:r>
        <w:rPr>
          <w:spacing w:val="-8"/>
          <w:w w:val="105"/>
        </w:rPr>
        <w:t> </w:t>
      </w:r>
      <w:r>
        <w:rPr>
          <w:w w:val="105"/>
        </w:rPr>
        <w:t>received</w:t>
      </w:r>
      <w:r>
        <w:rPr>
          <w:spacing w:val="-8"/>
          <w:w w:val="105"/>
        </w:rPr>
        <w:t> </w:t>
      </w:r>
      <w:r>
        <w:rPr>
          <w:w w:val="105"/>
        </w:rPr>
        <w:t>from</w:t>
      </w:r>
      <w:r>
        <w:rPr>
          <w:spacing w:val="-8"/>
          <w:w w:val="105"/>
        </w:rPr>
        <w:t> </w:t>
      </w:r>
      <w:r>
        <w:rPr>
          <w:w w:val="105"/>
        </w:rPr>
        <w:t>a</w:t>
      </w:r>
      <w:r>
        <w:rPr>
          <w:spacing w:val="-8"/>
          <w:w w:val="105"/>
        </w:rPr>
        <w:t> </w:t>
      </w:r>
      <w:r>
        <w:rPr>
          <w:w w:val="105"/>
        </w:rPr>
        <w:t>customer</w:t>
      </w:r>
      <w:r>
        <w:rPr>
          <w:spacing w:val="-8"/>
          <w:w w:val="105"/>
        </w:rPr>
        <w:t> </w:t>
      </w:r>
      <w:r>
        <w:rPr>
          <w:w w:val="105"/>
        </w:rPr>
        <w:t>under</w:t>
      </w:r>
      <w:r>
        <w:rPr>
          <w:spacing w:val="-8"/>
          <w:w w:val="105"/>
        </w:rPr>
        <w:t> </w:t>
      </w:r>
      <w:r>
        <w:rPr>
          <w:w w:val="105"/>
        </w:rPr>
        <w:t>a</w:t>
      </w:r>
      <w:r>
        <w:rPr>
          <w:spacing w:val="-8"/>
          <w:w w:val="105"/>
        </w:rPr>
        <w:t> </w:t>
      </w:r>
      <w:r>
        <w:rPr>
          <w:w w:val="105"/>
        </w:rPr>
        <w:t>long-term</w:t>
      </w:r>
      <w:r>
        <w:rPr>
          <w:spacing w:val="-8"/>
          <w:w w:val="105"/>
        </w:rPr>
        <w:t> </w:t>
      </w:r>
      <w:r>
        <w:rPr>
          <w:w w:val="105"/>
        </w:rPr>
        <w:t>supply</w:t>
      </w:r>
      <w:r>
        <w:rPr>
          <w:spacing w:val="-8"/>
          <w:w w:val="105"/>
        </w:rPr>
        <w:t> </w:t>
      </w:r>
      <w:r>
        <w:rPr>
          <w:w w:val="105"/>
        </w:rPr>
        <w:t>agreement.</w:t>
      </w:r>
      <w:r>
        <w:rPr>
          <w:spacing w:val="-8"/>
          <w:w w:val="105"/>
        </w:rPr>
        <w:t> </w:t>
      </w:r>
      <w:r>
        <w:rPr>
          <w:w w:val="105"/>
        </w:rPr>
        <w:t>The discount</w:t>
      </w:r>
      <w:r>
        <w:rPr>
          <w:spacing w:val="-2"/>
          <w:w w:val="105"/>
        </w:rPr>
        <w:t> </w:t>
      </w:r>
      <w:r>
        <w:rPr>
          <w:w w:val="105"/>
        </w:rPr>
        <w:t>rates</w:t>
      </w:r>
      <w:r>
        <w:rPr>
          <w:spacing w:val="-2"/>
          <w:w w:val="105"/>
        </w:rPr>
        <w:t> </w:t>
      </w:r>
      <w:r>
        <w:rPr>
          <w:w w:val="105"/>
        </w:rPr>
        <w:t>used</w:t>
      </w:r>
      <w:r>
        <w:rPr>
          <w:spacing w:val="-2"/>
          <w:w w:val="105"/>
        </w:rPr>
        <w:t> </w:t>
      </w:r>
      <w:r>
        <w:rPr>
          <w:w w:val="105"/>
        </w:rPr>
        <w:t>to</w:t>
      </w:r>
      <w:r>
        <w:rPr>
          <w:spacing w:val="-2"/>
          <w:w w:val="105"/>
        </w:rPr>
        <w:t> </w:t>
      </w:r>
      <w:r>
        <w:rPr>
          <w:w w:val="105"/>
        </w:rPr>
        <w:t>calculate</w:t>
      </w:r>
      <w:r>
        <w:rPr>
          <w:spacing w:val="-2"/>
          <w:w w:val="105"/>
        </w:rPr>
        <w:t> </w:t>
      </w:r>
      <w:r>
        <w:rPr>
          <w:w w:val="105"/>
        </w:rPr>
        <w:t>the</w:t>
      </w:r>
      <w:r>
        <w:rPr>
          <w:spacing w:val="-2"/>
          <w:w w:val="105"/>
        </w:rPr>
        <w:t> </w:t>
      </w:r>
      <w:r>
        <w:rPr>
          <w:w w:val="105"/>
        </w:rPr>
        <w:t>present</w:t>
      </w:r>
      <w:r>
        <w:rPr>
          <w:spacing w:val="-2"/>
          <w:w w:val="105"/>
        </w:rPr>
        <w:t> </w:t>
      </w:r>
      <w:r>
        <w:rPr>
          <w:w w:val="105"/>
        </w:rPr>
        <w:t>value</w:t>
      </w:r>
      <w:r>
        <w:rPr>
          <w:spacing w:val="-2"/>
          <w:w w:val="105"/>
        </w:rPr>
        <w:t> </w:t>
      </w:r>
      <w:r>
        <w:rPr>
          <w:w w:val="105"/>
        </w:rPr>
        <w:t>of</w:t>
      </w:r>
      <w:r>
        <w:rPr>
          <w:spacing w:val="-2"/>
          <w:w w:val="105"/>
        </w:rPr>
        <w:t> </w:t>
      </w:r>
      <w:r>
        <w:rPr>
          <w:w w:val="105"/>
        </w:rPr>
        <w:t>the</w:t>
      </w:r>
      <w:r>
        <w:rPr>
          <w:spacing w:val="-2"/>
          <w:w w:val="105"/>
        </w:rPr>
        <w:t> </w:t>
      </w:r>
      <w:r>
        <w:rPr>
          <w:w w:val="105"/>
        </w:rPr>
        <w:t>customer</w:t>
      </w:r>
      <w:r>
        <w:rPr>
          <w:spacing w:val="-2"/>
          <w:w w:val="105"/>
        </w:rPr>
        <w:t> </w:t>
      </w:r>
      <w:r>
        <w:rPr>
          <w:w w:val="105"/>
        </w:rPr>
        <w:t>deposit</w:t>
      </w:r>
      <w:r>
        <w:rPr>
          <w:spacing w:val="-2"/>
          <w:w w:val="105"/>
        </w:rPr>
        <w:t> </w:t>
      </w:r>
      <w:r>
        <w:rPr>
          <w:w w:val="105"/>
        </w:rPr>
        <w:t>range</w:t>
      </w:r>
      <w:r>
        <w:rPr>
          <w:spacing w:val="-2"/>
          <w:w w:val="105"/>
        </w:rPr>
        <w:t> </w:t>
      </w:r>
      <w:r>
        <w:rPr>
          <w:w w:val="105"/>
        </w:rPr>
        <w:t>from</w:t>
      </w:r>
      <w:r>
        <w:rPr>
          <w:spacing w:val="-2"/>
          <w:w w:val="105"/>
        </w:rPr>
        <w:t> </w:t>
      </w:r>
      <w:r>
        <w:rPr>
          <w:w w:val="105"/>
        </w:rPr>
        <w:t>2.54%</w:t>
      </w:r>
      <w:r>
        <w:rPr>
          <w:spacing w:val="-2"/>
          <w:w w:val="105"/>
        </w:rPr>
        <w:t> </w:t>
      </w:r>
      <w:r>
        <w:rPr>
          <w:w w:val="105"/>
        </w:rPr>
        <w:t>to</w:t>
      </w:r>
      <w:r>
        <w:rPr>
          <w:spacing w:val="-2"/>
          <w:w w:val="105"/>
        </w:rPr>
        <w:t> </w:t>
      </w:r>
      <w:r>
        <w:rPr>
          <w:w w:val="105"/>
        </w:rPr>
        <w:t>3.23%.</w:t>
      </w:r>
      <w:r>
        <w:rPr>
          <w:spacing w:val="-2"/>
          <w:w w:val="105"/>
        </w:rPr>
        <w:t> </w:t>
      </w:r>
      <w:r>
        <w:rPr>
          <w:w w:val="105"/>
        </w:rPr>
        <w:t>The</w:t>
      </w:r>
      <w:r>
        <w:rPr>
          <w:spacing w:val="-2"/>
          <w:w w:val="105"/>
        </w:rPr>
        <w:t> </w:t>
      </w:r>
      <w:r>
        <w:rPr>
          <w:w w:val="105"/>
        </w:rPr>
        <w:t>deposits</w:t>
      </w:r>
      <w:r>
        <w:rPr>
          <w:spacing w:val="-2"/>
          <w:w w:val="105"/>
        </w:rPr>
        <w:t> </w:t>
      </w:r>
      <w:r>
        <w:rPr>
          <w:w w:val="105"/>
        </w:rPr>
        <w:t>will</w:t>
      </w:r>
      <w:r>
        <w:rPr>
          <w:spacing w:val="-2"/>
          <w:w w:val="105"/>
        </w:rPr>
        <w:t> </w:t>
      </w:r>
      <w:r>
        <w:rPr>
          <w:w w:val="105"/>
        </w:rPr>
        <w:t>be</w:t>
      </w:r>
      <w:r>
        <w:rPr>
          <w:spacing w:val="-2"/>
          <w:w w:val="105"/>
        </w:rPr>
        <w:t> </w:t>
      </w:r>
      <w:r>
        <w:rPr>
          <w:w w:val="105"/>
        </w:rPr>
        <w:t>repaid</w:t>
      </w:r>
      <w:r>
        <w:rPr>
          <w:spacing w:val="-2"/>
          <w:w w:val="105"/>
        </w:rPr>
        <w:t> </w:t>
      </w:r>
      <w:r>
        <w:rPr>
          <w:w w:val="105"/>
        </w:rPr>
        <w:t>from</w:t>
      </w:r>
      <w:r>
        <w:rPr>
          <w:spacing w:val="-2"/>
          <w:w w:val="105"/>
        </w:rPr>
        <w:t> </w:t>
      </w:r>
      <w:r>
        <w:rPr>
          <w:w w:val="105"/>
        </w:rPr>
        <w:t>2029</w:t>
      </w:r>
      <w:r>
        <w:rPr>
          <w:spacing w:val="-2"/>
          <w:w w:val="105"/>
        </w:rPr>
        <w:t> </w:t>
      </w:r>
      <w:r>
        <w:rPr>
          <w:w w:val="105"/>
        </w:rPr>
        <w:t>to</w:t>
      </w:r>
      <w:r>
        <w:rPr>
          <w:spacing w:val="-2"/>
          <w:w w:val="105"/>
        </w:rPr>
        <w:t> </w:t>
      </w:r>
      <w:r>
        <w:rPr>
          <w:w w:val="105"/>
        </w:rPr>
        <w:t>2034</w:t>
      </w:r>
      <w:r>
        <w:rPr>
          <w:spacing w:val="-2"/>
          <w:w w:val="105"/>
        </w:rPr>
        <w:t> </w:t>
      </w:r>
      <w:r>
        <w:rPr>
          <w:w w:val="105"/>
        </w:rPr>
        <w:t>provided that</w:t>
      </w:r>
      <w:r>
        <w:rPr>
          <w:spacing w:val="-2"/>
          <w:w w:val="105"/>
        </w:rPr>
        <w:t> </w:t>
      </w:r>
      <w:r>
        <w:rPr>
          <w:w w:val="105"/>
        </w:rPr>
        <w:t>all purchase obligations of this customer under the supply agreement have been satisfied.</w:t>
      </w:r>
    </w:p>
    <w:p>
      <w:pPr>
        <w:pStyle w:val="BodyText"/>
        <w:spacing w:before="18"/>
      </w:pPr>
    </w:p>
    <w:p>
      <w:pPr>
        <w:pStyle w:val="BodyText"/>
        <w:spacing w:line="266" w:lineRule="auto" w:before="1"/>
        <w:ind w:left="156" w:right="117"/>
      </w:pPr>
      <w:r>
        <w:rPr>
          <w:w w:val="105"/>
        </w:rPr>
        <w:t>We</w:t>
      </w:r>
      <w:r>
        <w:rPr>
          <w:spacing w:val="-2"/>
          <w:w w:val="105"/>
        </w:rPr>
        <w:t> </w:t>
      </w:r>
      <w:r>
        <w:rPr>
          <w:w w:val="105"/>
        </w:rPr>
        <w:t>recorded</w:t>
      </w:r>
      <w:r>
        <w:rPr>
          <w:spacing w:val="-2"/>
          <w:w w:val="105"/>
        </w:rPr>
        <w:t> </w:t>
      </w:r>
      <w:r>
        <w:rPr>
          <w:w w:val="105"/>
        </w:rPr>
        <w:t>deferred</w:t>
      </w:r>
      <w:r>
        <w:rPr>
          <w:spacing w:val="-2"/>
          <w:w w:val="105"/>
        </w:rPr>
        <w:t> </w:t>
      </w:r>
      <w:r>
        <w:rPr>
          <w:w w:val="105"/>
        </w:rPr>
        <w:t>revenue</w:t>
      </w:r>
      <w:r>
        <w:rPr>
          <w:spacing w:val="-2"/>
          <w:w w:val="105"/>
        </w:rPr>
        <w:t> </w:t>
      </w:r>
      <w:r>
        <w:rPr>
          <w:w w:val="105"/>
        </w:rPr>
        <w:t>of</w:t>
      </w:r>
      <w:r>
        <w:rPr>
          <w:spacing w:val="-2"/>
          <w:w w:val="105"/>
        </w:rPr>
        <w:t> </w:t>
      </w:r>
      <w:r>
        <w:rPr>
          <w:w w:val="105"/>
        </w:rPr>
        <w:t>$1,070</w:t>
      </w:r>
      <w:r>
        <w:rPr>
          <w:spacing w:val="-2"/>
          <w:w w:val="105"/>
        </w:rPr>
        <w:t> </w:t>
      </w:r>
      <w:r>
        <w:rPr>
          <w:w w:val="105"/>
        </w:rPr>
        <w:t>million</w:t>
      </w:r>
      <w:r>
        <w:rPr>
          <w:spacing w:val="-2"/>
          <w:w w:val="105"/>
        </w:rPr>
        <w:t> </w:t>
      </w:r>
      <w:r>
        <w:rPr>
          <w:w w:val="105"/>
        </w:rPr>
        <w:t>at fair</w:t>
      </w:r>
      <w:r>
        <w:rPr>
          <w:spacing w:val="-2"/>
          <w:w w:val="105"/>
        </w:rPr>
        <w:t> </w:t>
      </w:r>
      <w:r>
        <w:rPr>
          <w:w w:val="105"/>
        </w:rPr>
        <w:t>value</w:t>
      </w:r>
      <w:r>
        <w:rPr>
          <w:spacing w:val="-2"/>
          <w:w w:val="105"/>
        </w:rPr>
        <w:t> </w:t>
      </w:r>
      <w:r>
        <w:rPr>
          <w:w w:val="105"/>
        </w:rPr>
        <w:t>related to</w:t>
      </w:r>
      <w:r>
        <w:rPr>
          <w:spacing w:val="-2"/>
          <w:w w:val="105"/>
        </w:rPr>
        <w:t> </w:t>
      </w:r>
      <w:r>
        <w:rPr>
          <w:w w:val="105"/>
        </w:rPr>
        <w:t>the</w:t>
      </w:r>
      <w:r>
        <w:rPr>
          <w:spacing w:val="-2"/>
          <w:w w:val="105"/>
        </w:rPr>
        <w:t> </w:t>
      </w:r>
      <w:r>
        <w:rPr>
          <w:w w:val="105"/>
        </w:rPr>
        <w:t>performance</w:t>
      </w:r>
      <w:r>
        <w:rPr>
          <w:spacing w:val="-2"/>
          <w:w w:val="105"/>
        </w:rPr>
        <w:t> </w:t>
      </w:r>
      <w:r>
        <w:rPr>
          <w:w w:val="105"/>
        </w:rPr>
        <w:t>obligations</w:t>
      </w:r>
      <w:r>
        <w:rPr>
          <w:spacing w:val="-2"/>
          <w:w w:val="105"/>
        </w:rPr>
        <w:t> </w:t>
      </w:r>
      <w:r>
        <w:rPr>
          <w:w w:val="105"/>
        </w:rPr>
        <w:t>of</w:t>
      </w:r>
      <w:r>
        <w:rPr>
          <w:spacing w:val="-2"/>
          <w:w w:val="105"/>
        </w:rPr>
        <w:t> </w:t>
      </w:r>
      <w:r>
        <w:rPr>
          <w:w w:val="105"/>
        </w:rPr>
        <w:t>non-refundable</w:t>
      </w:r>
      <w:r>
        <w:rPr>
          <w:spacing w:val="-2"/>
          <w:w w:val="105"/>
        </w:rPr>
        <w:t> </w:t>
      </w:r>
      <w:r>
        <w:rPr>
          <w:w w:val="105"/>
        </w:rPr>
        <w:t>consideration</w:t>
      </w:r>
      <w:r>
        <w:rPr>
          <w:spacing w:val="-2"/>
          <w:w w:val="105"/>
        </w:rPr>
        <w:t> </w:t>
      </w:r>
      <w:r>
        <w:rPr>
          <w:w w:val="105"/>
        </w:rPr>
        <w:t>previously</w:t>
      </w:r>
      <w:r>
        <w:rPr>
          <w:spacing w:val="-2"/>
          <w:w w:val="105"/>
        </w:rPr>
        <w:t> </w:t>
      </w:r>
      <w:r>
        <w:rPr>
          <w:w w:val="105"/>
        </w:rPr>
        <w:t>received</w:t>
      </w:r>
      <w:r>
        <w:rPr>
          <w:spacing w:val="-2"/>
          <w:w w:val="105"/>
        </w:rPr>
        <w:t> </w:t>
      </w:r>
      <w:r>
        <w:rPr>
          <w:w w:val="105"/>
        </w:rPr>
        <w:t>by</w:t>
      </w:r>
      <w:r>
        <w:rPr>
          <w:spacing w:val="-2"/>
          <w:w w:val="105"/>
        </w:rPr>
        <w:t> </w:t>
      </w:r>
      <w:r>
        <w:rPr>
          <w:w w:val="105"/>
        </w:rPr>
        <w:t>HSG</w:t>
      </w:r>
      <w:r>
        <w:rPr>
          <w:spacing w:val="-2"/>
          <w:w w:val="105"/>
        </w:rPr>
        <w:t> </w:t>
      </w:r>
      <w:r>
        <w:rPr>
          <w:w w:val="105"/>
        </w:rPr>
        <w:t>from</w:t>
      </w:r>
      <w:r>
        <w:rPr>
          <w:spacing w:val="-2"/>
          <w:w w:val="105"/>
        </w:rPr>
        <w:t> </w:t>
      </w:r>
      <w:r>
        <w:rPr>
          <w:w w:val="105"/>
        </w:rPr>
        <w:t>its customers</w:t>
      </w:r>
      <w:r>
        <w:rPr>
          <w:spacing w:val="-8"/>
          <w:w w:val="105"/>
        </w:rPr>
        <w:t> </w:t>
      </w:r>
      <w:r>
        <w:rPr>
          <w:w w:val="105"/>
        </w:rPr>
        <w:t>under</w:t>
      </w:r>
      <w:r>
        <w:rPr>
          <w:spacing w:val="-8"/>
          <w:w w:val="105"/>
        </w:rPr>
        <w:t> </w:t>
      </w:r>
      <w:r>
        <w:rPr>
          <w:w w:val="105"/>
        </w:rPr>
        <w:t>long</w:t>
      </w:r>
      <w:r>
        <w:rPr>
          <w:spacing w:val="-8"/>
          <w:w w:val="105"/>
        </w:rPr>
        <w:t> </w:t>
      </w:r>
      <w:r>
        <w:rPr>
          <w:w w:val="105"/>
        </w:rPr>
        <w:t>term</w:t>
      </w:r>
      <w:r>
        <w:rPr>
          <w:spacing w:val="-8"/>
          <w:w w:val="105"/>
        </w:rPr>
        <w:t> </w:t>
      </w:r>
      <w:r>
        <w:rPr>
          <w:w w:val="105"/>
        </w:rPr>
        <w:t>supply</w:t>
      </w:r>
      <w:r>
        <w:rPr>
          <w:spacing w:val="-8"/>
          <w:w w:val="105"/>
        </w:rPr>
        <w:t> </w:t>
      </w:r>
      <w:r>
        <w:rPr>
          <w:w w:val="105"/>
        </w:rPr>
        <w:t>agreements.</w:t>
      </w:r>
      <w:r>
        <w:rPr>
          <w:spacing w:val="-8"/>
          <w:w w:val="105"/>
        </w:rPr>
        <w:t> </w:t>
      </w:r>
      <w:r>
        <w:rPr>
          <w:w w:val="105"/>
        </w:rPr>
        <w:t>The</w:t>
      </w:r>
      <w:r>
        <w:rPr>
          <w:spacing w:val="-8"/>
          <w:w w:val="105"/>
        </w:rPr>
        <w:t> </w:t>
      </w:r>
      <w:r>
        <w:rPr>
          <w:w w:val="105"/>
        </w:rPr>
        <w:t>fair</w:t>
      </w:r>
      <w:r>
        <w:rPr>
          <w:spacing w:val="-8"/>
          <w:w w:val="105"/>
        </w:rPr>
        <w:t> </w:t>
      </w:r>
      <w:r>
        <w:rPr>
          <w:w w:val="105"/>
        </w:rPr>
        <w:t>values</w:t>
      </w:r>
      <w:r>
        <w:rPr>
          <w:spacing w:val="-8"/>
          <w:w w:val="105"/>
        </w:rPr>
        <w:t> </w:t>
      </w:r>
      <w:r>
        <w:rPr>
          <w:w w:val="105"/>
        </w:rPr>
        <w:t>of</w:t>
      </w:r>
      <w:r>
        <w:rPr>
          <w:spacing w:val="-8"/>
          <w:w w:val="105"/>
        </w:rPr>
        <w:t> </w:t>
      </w:r>
      <w:r>
        <w:rPr>
          <w:w w:val="105"/>
        </w:rPr>
        <w:t>deferred</w:t>
      </w:r>
      <w:r>
        <w:rPr>
          <w:spacing w:val="-8"/>
          <w:w w:val="105"/>
        </w:rPr>
        <w:t> </w:t>
      </w:r>
      <w:r>
        <w:rPr>
          <w:w w:val="105"/>
        </w:rPr>
        <w:t>revenue</w:t>
      </w:r>
      <w:r>
        <w:rPr>
          <w:spacing w:val="-8"/>
          <w:w w:val="105"/>
        </w:rPr>
        <w:t> </w:t>
      </w:r>
      <w:r>
        <w:rPr>
          <w:w w:val="105"/>
        </w:rPr>
        <w:t>were</w:t>
      </w:r>
      <w:r>
        <w:rPr>
          <w:spacing w:val="-8"/>
          <w:w w:val="105"/>
        </w:rPr>
        <w:t> </w:t>
      </w:r>
      <w:r>
        <w:rPr>
          <w:w w:val="105"/>
        </w:rPr>
        <w:t>estimated</w:t>
      </w:r>
      <w:r>
        <w:rPr>
          <w:spacing w:val="-8"/>
          <w:w w:val="105"/>
        </w:rPr>
        <w:t> </w:t>
      </w:r>
      <w:r>
        <w:rPr>
          <w:w w:val="105"/>
        </w:rPr>
        <w:t>by</w:t>
      </w:r>
      <w:r>
        <w:rPr>
          <w:spacing w:val="-8"/>
          <w:w w:val="105"/>
        </w:rPr>
        <w:t> </w:t>
      </w:r>
      <w:r>
        <w:rPr>
          <w:w w:val="105"/>
        </w:rPr>
        <w:t>applying</w:t>
      </w:r>
      <w:r>
        <w:rPr>
          <w:spacing w:val="-7"/>
          <w:w w:val="105"/>
        </w:rPr>
        <w:t> </w:t>
      </w:r>
      <w:r>
        <w:rPr>
          <w:w w:val="105"/>
        </w:rPr>
        <w:t>a</w:t>
      </w:r>
      <w:r>
        <w:rPr>
          <w:spacing w:val="-8"/>
          <w:w w:val="105"/>
        </w:rPr>
        <w:t> </w:t>
      </w:r>
      <w:r>
        <w:rPr>
          <w:w w:val="105"/>
        </w:rPr>
        <w:t>bottoms-up</w:t>
      </w:r>
      <w:r>
        <w:rPr>
          <w:spacing w:val="-8"/>
          <w:w w:val="105"/>
        </w:rPr>
        <w:t> </w:t>
      </w:r>
      <w:r>
        <w:rPr>
          <w:w w:val="105"/>
        </w:rPr>
        <w:t>cost</w:t>
      </w:r>
      <w:r>
        <w:rPr>
          <w:spacing w:val="-8"/>
          <w:w w:val="105"/>
        </w:rPr>
        <w:t> </w:t>
      </w:r>
      <w:r>
        <w:rPr>
          <w:w w:val="105"/>
        </w:rPr>
        <w:t>buildup</w:t>
      </w:r>
      <w:r>
        <w:rPr>
          <w:spacing w:val="-8"/>
          <w:w w:val="105"/>
        </w:rPr>
        <w:t> </w:t>
      </w:r>
      <w:r>
        <w:rPr>
          <w:w w:val="105"/>
        </w:rPr>
        <w:t>method</w:t>
      </w:r>
      <w:r>
        <w:rPr>
          <w:spacing w:val="-8"/>
          <w:w w:val="105"/>
        </w:rPr>
        <w:t> </w:t>
      </w:r>
      <w:r>
        <w:rPr>
          <w:w w:val="105"/>
        </w:rPr>
        <w:t>of</w:t>
      </w:r>
      <w:r>
        <w:rPr>
          <w:spacing w:val="-7"/>
          <w:w w:val="105"/>
        </w:rPr>
        <w:t> </w:t>
      </w:r>
      <w:r>
        <w:rPr>
          <w:w w:val="105"/>
        </w:rPr>
        <w:t>the</w:t>
      </w:r>
      <w:r>
        <w:rPr>
          <w:spacing w:val="-8"/>
          <w:w w:val="105"/>
        </w:rPr>
        <w:t> </w:t>
      </w:r>
      <w:r>
        <w:rPr>
          <w:w w:val="105"/>
        </w:rPr>
        <w:t>cost</w:t>
      </w:r>
      <w:r>
        <w:rPr>
          <w:spacing w:val="-8"/>
          <w:w w:val="105"/>
        </w:rPr>
        <w:t> </w:t>
      </w:r>
      <w:r>
        <w:rPr>
          <w:w w:val="105"/>
        </w:rPr>
        <w:t>approach</w:t>
      </w:r>
      <w:r>
        <w:rPr>
          <w:spacing w:val="-8"/>
          <w:w w:val="105"/>
        </w:rPr>
        <w:t> </w:t>
      </w:r>
      <w:r>
        <w:rPr>
          <w:w w:val="105"/>
        </w:rPr>
        <w:t>based on</w:t>
      </w:r>
      <w:r>
        <w:rPr>
          <w:spacing w:val="-1"/>
          <w:w w:val="105"/>
        </w:rPr>
        <w:t> </w:t>
      </w:r>
      <w:r>
        <w:rPr>
          <w:w w:val="105"/>
        </w:rPr>
        <w:t>significant</w:t>
      </w:r>
      <w:r>
        <w:rPr>
          <w:spacing w:val="-1"/>
          <w:w w:val="105"/>
        </w:rPr>
        <w:t> </w:t>
      </w:r>
      <w:r>
        <w:rPr>
          <w:w w:val="105"/>
        </w:rPr>
        <w:t>inputs</w:t>
      </w:r>
      <w:r>
        <w:rPr>
          <w:spacing w:val="-1"/>
          <w:w w:val="105"/>
        </w:rPr>
        <w:t> </w:t>
      </w:r>
      <w:r>
        <w:rPr>
          <w:w w:val="105"/>
        </w:rPr>
        <w:t>such</w:t>
      </w:r>
      <w:r>
        <w:rPr>
          <w:spacing w:val="-1"/>
          <w:w w:val="105"/>
        </w:rPr>
        <w:t> </w:t>
      </w:r>
      <w:r>
        <w:rPr>
          <w:w w:val="105"/>
        </w:rPr>
        <w:t>as</w:t>
      </w:r>
      <w:r>
        <w:rPr>
          <w:spacing w:val="-1"/>
          <w:w w:val="105"/>
        </w:rPr>
        <w:t> </w:t>
      </w:r>
      <w:r>
        <w:rPr>
          <w:w w:val="105"/>
        </w:rPr>
        <w:t>the</w:t>
      </w:r>
      <w:r>
        <w:rPr>
          <w:spacing w:val="-1"/>
          <w:w w:val="105"/>
        </w:rPr>
        <w:t> </w:t>
      </w:r>
      <w:r>
        <w:rPr>
          <w:w w:val="105"/>
        </w:rPr>
        <w:t>cost</w:t>
      </w:r>
      <w:r>
        <w:rPr>
          <w:spacing w:val="-1"/>
          <w:w w:val="105"/>
        </w:rPr>
        <w:t> </w:t>
      </w:r>
      <w:r>
        <w:rPr>
          <w:w w:val="105"/>
        </w:rPr>
        <w:t>to</w:t>
      </w:r>
      <w:r>
        <w:rPr>
          <w:spacing w:val="-1"/>
          <w:w w:val="105"/>
        </w:rPr>
        <w:t> </w:t>
      </w:r>
      <w:r>
        <w:rPr>
          <w:w w:val="105"/>
        </w:rPr>
        <w:t>fulfill</w:t>
      </w:r>
      <w:r>
        <w:rPr>
          <w:spacing w:val="-1"/>
          <w:w w:val="105"/>
        </w:rPr>
        <w:t> </w:t>
      </w:r>
      <w:r>
        <w:rPr>
          <w:w w:val="105"/>
        </w:rPr>
        <w:t>the</w:t>
      </w:r>
      <w:r>
        <w:rPr>
          <w:spacing w:val="-1"/>
          <w:w w:val="105"/>
        </w:rPr>
        <w:t> </w:t>
      </w:r>
      <w:r>
        <w:rPr>
          <w:w w:val="105"/>
        </w:rPr>
        <w:t>obligations</w:t>
      </w:r>
      <w:r>
        <w:rPr>
          <w:spacing w:val="-1"/>
          <w:w w:val="105"/>
        </w:rPr>
        <w:t> </w:t>
      </w:r>
      <w:r>
        <w:rPr>
          <w:w w:val="105"/>
        </w:rPr>
        <w:t>as</w:t>
      </w:r>
      <w:r>
        <w:rPr>
          <w:spacing w:val="-1"/>
          <w:w w:val="105"/>
        </w:rPr>
        <w:t> </w:t>
      </w:r>
      <w:r>
        <w:rPr>
          <w:w w:val="105"/>
        </w:rPr>
        <w:t>well</w:t>
      </w:r>
      <w:r>
        <w:rPr>
          <w:spacing w:val="-1"/>
          <w:w w:val="105"/>
        </w:rPr>
        <w:t> </w:t>
      </w:r>
      <w:r>
        <w:rPr>
          <w:w w:val="105"/>
        </w:rPr>
        <w:t>as</w:t>
      </w:r>
      <w:r>
        <w:rPr>
          <w:spacing w:val="-1"/>
          <w:w w:val="105"/>
        </w:rPr>
        <w:t> </w:t>
      </w:r>
      <w:r>
        <w:rPr>
          <w:w w:val="105"/>
        </w:rPr>
        <w:t>key</w:t>
      </w:r>
      <w:r>
        <w:rPr>
          <w:spacing w:val="-1"/>
          <w:w w:val="105"/>
        </w:rPr>
        <w:t> </w:t>
      </w:r>
      <w:r>
        <w:rPr>
          <w:w w:val="105"/>
        </w:rPr>
        <w:t>assumptions including</w:t>
      </w:r>
      <w:r>
        <w:rPr>
          <w:spacing w:val="-1"/>
          <w:w w:val="105"/>
        </w:rPr>
        <w:t> </w:t>
      </w:r>
      <w:r>
        <w:rPr>
          <w:w w:val="105"/>
        </w:rPr>
        <w:t>a</w:t>
      </w:r>
      <w:r>
        <w:rPr>
          <w:spacing w:val="-1"/>
          <w:w w:val="105"/>
        </w:rPr>
        <w:t> </w:t>
      </w:r>
      <w:r>
        <w:rPr>
          <w:w w:val="105"/>
        </w:rPr>
        <w:t>normal</w:t>
      </w:r>
      <w:r>
        <w:rPr>
          <w:spacing w:val="-1"/>
          <w:w w:val="105"/>
        </w:rPr>
        <w:t> </w:t>
      </w:r>
      <w:r>
        <w:rPr>
          <w:w w:val="105"/>
        </w:rPr>
        <w:t>profit margin.</w:t>
      </w:r>
    </w:p>
    <w:p>
      <w:pPr>
        <w:pStyle w:val="BodyText"/>
        <w:spacing w:before="18"/>
      </w:pPr>
    </w:p>
    <w:p>
      <w:pPr>
        <w:pStyle w:val="BodyText"/>
        <w:ind w:left="156"/>
      </w:pPr>
      <w:r>
        <w:rPr>
          <w:w w:val="105"/>
        </w:rPr>
        <w:t>Refer</w:t>
      </w:r>
      <w:r>
        <w:rPr>
          <w:spacing w:val="-11"/>
          <w:w w:val="105"/>
        </w:rPr>
        <w:t> </w:t>
      </w:r>
      <w:r>
        <w:rPr>
          <w:w w:val="105"/>
        </w:rPr>
        <w:t>to</w:t>
      </w:r>
      <w:r>
        <w:rPr>
          <w:spacing w:val="-10"/>
          <w:w w:val="105"/>
        </w:rPr>
        <w:t> </w:t>
      </w:r>
      <w:r>
        <w:rPr>
          <w:w w:val="105"/>
        </w:rPr>
        <w:t>Note</w:t>
      </w:r>
      <w:r>
        <w:rPr>
          <w:spacing w:val="-11"/>
          <w:w w:val="105"/>
        </w:rPr>
        <w:t> </w:t>
      </w:r>
      <w:r>
        <w:rPr>
          <w:w w:val="105"/>
        </w:rPr>
        <w:t>3</w:t>
      </w:r>
      <w:r>
        <w:rPr>
          <w:spacing w:val="-10"/>
          <w:w w:val="105"/>
        </w:rPr>
        <w:t> </w:t>
      </w:r>
      <w:r>
        <w:rPr>
          <w:w w:val="105"/>
        </w:rPr>
        <w:t>(Investments)</w:t>
      </w:r>
      <w:r>
        <w:rPr>
          <w:spacing w:val="-10"/>
          <w:w w:val="105"/>
        </w:rPr>
        <w:t> </w:t>
      </w:r>
      <w:r>
        <w:rPr>
          <w:w w:val="105"/>
        </w:rPr>
        <w:t>and</w:t>
      </w:r>
      <w:r>
        <w:rPr>
          <w:spacing w:val="-11"/>
          <w:w w:val="105"/>
        </w:rPr>
        <w:t> </w:t>
      </w:r>
      <w:r>
        <w:rPr>
          <w:w w:val="105"/>
        </w:rPr>
        <w:t>Note</w:t>
      </w:r>
      <w:r>
        <w:rPr>
          <w:spacing w:val="-10"/>
          <w:w w:val="105"/>
        </w:rPr>
        <w:t> </w:t>
      </w:r>
      <w:r>
        <w:rPr>
          <w:w w:val="105"/>
        </w:rPr>
        <w:t>4</w:t>
      </w:r>
      <w:r>
        <w:rPr>
          <w:spacing w:val="-11"/>
          <w:w w:val="105"/>
        </w:rPr>
        <w:t> </w:t>
      </w:r>
      <w:r>
        <w:rPr>
          <w:w w:val="105"/>
        </w:rPr>
        <w:t>(HSG</w:t>
      </w:r>
      <w:r>
        <w:rPr>
          <w:spacing w:val="-10"/>
          <w:w w:val="105"/>
        </w:rPr>
        <w:t> </w:t>
      </w:r>
      <w:r>
        <w:rPr>
          <w:w w:val="105"/>
        </w:rPr>
        <w:t>Transactions</w:t>
      </w:r>
      <w:r>
        <w:rPr>
          <w:spacing w:val="-10"/>
          <w:w w:val="105"/>
        </w:rPr>
        <w:t> </w:t>
      </w:r>
      <w:r>
        <w:rPr>
          <w:w w:val="105"/>
        </w:rPr>
        <w:t>and</w:t>
      </w:r>
      <w:r>
        <w:rPr>
          <w:spacing w:val="-11"/>
          <w:w w:val="105"/>
        </w:rPr>
        <w:t> </w:t>
      </w:r>
      <w:r>
        <w:rPr>
          <w:w w:val="105"/>
        </w:rPr>
        <w:t>Acquisitions)</w:t>
      </w:r>
      <w:r>
        <w:rPr>
          <w:spacing w:val="-9"/>
          <w:w w:val="105"/>
        </w:rPr>
        <w:t> </w:t>
      </w:r>
      <w:r>
        <w:rPr>
          <w:w w:val="105"/>
        </w:rPr>
        <w:t>to</w:t>
      </w:r>
      <w:r>
        <w:rPr>
          <w:spacing w:val="-10"/>
          <w:w w:val="105"/>
        </w:rPr>
        <w:t> </w:t>
      </w:r>
      <w:r>
        <w:rPr>
          <w:w w:val="105"/>
        </w:rPr>
        <w:t>the</w:t>
      </w:r>
      <w:r>
        <w:rPr>
          <w:spacing w:val="-10"/>
          <w:w w:val="105"/>
        </w:rPr>
        <w:t> </w:t>
      </w:r>
      <w:r>
        <w:rPr>
          <w:w w:val="105"/>
        </w:rPr>
        <w:t>consolidated</w:t>
      </w:r>
      <w:r>
        <w:rPr>
          <w:spacing w:val="-11"/>
          <w:w w:val="105"/>
        </w:rPr>
        <w:t> </w:t>
      </w:r>
      <w:r>
        <w:rPr>
          <w:w w:val="105"/>
        </w:rPr>
        <w:t>financial</w:t>
      </w:r>
      <w:r>
        <w:rPr>
          <w:spacing w:val="-10"/>
          <w:w w:val="105"/>
        </w:rPr>
        <w:t> </w:t>
      </w:r>
      <w:r>
        <w:rPr>
          <w:w w:val="105"/>
        </w:rPr>
        <w:t>statements</w:t>
      </w:r>
      <w:r>
        <w:rPr>
          <w:spacing w:val="-10"/>
          <w:w w:val="105"/>
        </w:rPr>
        <w:t> </w:t>
      </w:r>
      <w:r>
        <w:rPr>
          <w:w w:val="105"/>
        </w:rPr>
        <w:t>for</w:t>
      </w:r>
      <w:r>
        <w:rPr>
          <w:spacing w:val="-11"/>
          <w:w w:val="105"/>
        </w:rPr>
        <w:t> </w:t>
      </w:r>
      <w:r>
        <w:rPr>
          <w:w w:val="105"/>
        </w:rPr>
        <w:t>more</w:t>
      </w:r>
      <w:r>
        <w:rPr>
          <w:spacing w:val="-10"/>
          <w:w w:val="105"/>
        </w:rPr>
        <w:t> </w:t>
      </w:r>
      <w:r>
        <w:rPr>
          <w:spacing w:val="-2"/>
          <w:w w:val="105"/>
        </w:rPr>
        <w:t>information.</w:t>
      </w:r>
    </w:p>
    <w:p>
      <w:pPr>
        <w:pStyle w:val="BodyText"/>
        <w:spacing w:before="40"/>
      </w:pPr>
    </w:p>
    <w:p>
      <w:pPr>
        <w:pStyle w:val="Heading3"/>
      </w:pPr>
      <w:r>
        <w:rPr>
          <w:w w:val="105"/>
        </w:rPr>
        <w:t>Impairment</w:t>
      </w:r>
      <w:r>
        <w:rPr>
          <w:spacing w:val="-10"/>
          <w:w w:val="105"/>
        </w:rPr>
        <w:t> </w:t>
      </w:r>
      <w:r>
        <w:rPr>
          <w:w w:val="105"/>
        </w:rPr>
        <w:t>of</w:t>
      </w:r>
      <w:r>
        <w:rPr>
          <w:spacing w:val="-10"/>
          <w:w w:val="105"/>
        </w:rPr>
        <w:t> </w:t>
      </w:r>
      <w:r>
        <w:rPr>
          <w:w w:val="105"/>
        </w:rPr>
        <w:t>assets</w:t>
      </w:r>
      <w:r>
        <w:rPr>
          <w:spacing w:val="-9"/>
          <w:w w:val="105"/>
        </w:rPr>
        <w:t> </w:t>
      </w:r>
      <w:r>
        <w:rPr>
          <w:w w:val="105"/>
        </w:rPr>
        <w:t>held</w:t>
      </w:r>
      <w:r>
        <w:rPr>
          <w:spacing w:val="-10"/>
          <w:w w:val="105"/>
        </w:rPr>
        <w:t> </w:t>
      </w:r>
      <w:r>
        <w:rPr>
          <w:w w:val="105"/>
        </w:rPr>
        <w:t>for</w:t>
      </w:r>
      <w:r>
        <w:rPr>
          <w:spacing w:val="-9"/>
          <w:w w:val="105"/>
        </w:rPr>
        <w:t> </w:t>
      </w:r>
      <w:r>
        <w:rPr>
          <w:spacing w:val="-5"/>
          <w:w w:val="105"/>
        </w:rPr>
        <w:t>use</w:t>
      </w:r>
    </w:p>
    <w:p>
      <w:pPr>
        <w:pStyle w:val="BodyText"/>
        <w:spacing w:before="39"/>
        <w:rPr>
          <w:b/>
          <w:i/>
        </w:rPr>
      </w:pPr>
    </w:p>
    <w:p>
      <w:pPr>
        <w:pStyle w:val="BodyText"/>
        <w:spacing w:line="266" w:lineRule="auto" w:before="1"/>
        <w:ind w:left="156" w:right="328"/>
      </w:pPr>
      <w:r>
        <w:rPr>
          <w:w w:val="105"/>
        </w:rPr>
        <w:t>We</w:t>
      </w:r>
      <w:r>
        <w:rPr>
          <w:spacing w:val="-8"/>
          <w:w w:val="105"/>
        </w:rPr>
        <w:t> </w:t>
      </w:r>
      <w:r>
        <w:rPr>
          <w:w w:val="105"/>
        </w:rPr>
        <w:t>are</w:t>
      </w:r>
      <w:r>
        <w:rPr>
          <w:spacing w:val="-8"/>
          <w:w w:val="105"/>
        </w:rPr>
        <w:t> </w:t>
      </w:r>
      <w:r>
        <w:rPr>
          <w:w w:val="105"/>
        </w:rPr>
        <w:t>required</w:t>
      </w:r>
      <w:r>
        <w:rPr>
          <w:spacing w:val="-8"/>
          <w:w w:val="105"/>
        </w:rPr>
        <w:t> </w:t>
      </w:r>
      <w:r>
        <w:rPr>
          <w:w w:val="105"/>
        </w:rPr>
        <w:t>to</w:t>
      </w:r>
      <w:r>
        <w:rPr>
          <w:spacing w:val="-8"/>
          <w:w w:val="105"/>
        </w:rPr>
        <w:t> </w:t>
      </w:r>
      <w:r>
        <w:rPr>
          <w:w w:val="105"/>
        </w:rPr>
        <w:t>assess</w:t>
      </w:r>
      <w:r>
        <w:rPr>
          <w:spacing w:val="-8"/>
          <w:w w:val="105"/>
        </w:rPr>
        <w:t> </w:t>
      </w:r>
      <w:r>
        <w:rPr>
          <w:w w:val="105"/>
        </w:rPr>
        <w:t>the</w:t>
      </w:r>
      <w:r>
        <w:rPr>
          <w:spacing w:val="-8"/>
          <w:w w:val="105"/>
        </w:rPr>
        <w:t> </w:t>
      </w:r>
      <w:r>
        <w:rPr>
          <w:w w:val="105"/>
        </w:rPr>
        <w:t>recoverability</w:t>
      </w:r>
      <w:r>
        <w:rPr>
          <w:spacing w:val="-8"/>
          <w:w w:val="105"/>
        </w:rPr>
        <w:t> </w:t>
      </w:r>
      <w:r>
        <w:rPr>
          <w:w w:val="105"/>
        </w:rPr>
        <w:t>of</w:t>
      </w:r>
      <w:r>
        <w:rPr>
          <w:spacing w:val="-8"/>
          <w:w w:val="105"/>
        </w:rPr>
        <w:t> </w:t>
      </w:r>
      <w:r>
        <w:rPr>
          <w:w w:val="105"/>
        </w:rPr>
        <w:t>the</w:t>
      </w:r>
      <w:r>
        <w:rPr>
          <w:spacing w:val="-8"/>
          <w:w w:val="105"/>
        </w:rPr>
        <w:t> </w:t>
      </w:r>
      <w:r>
        <w:rPr>
          <w:w w:val="105"/>
        </w:rPr>
        <w:t>carrying</w:t>
      </w:r>
      <w:r>
        <w:rPr>
          <w:spacing w:val="-8"/>
          <w:w w:val="105"/>
        </w:rPr>
        <w:t> </w:t>
      </w:r>
      <w:r>
        <w:rPr>
          <w:w w:val="105"/>
        </w:rPr>
        <w:t>value</w:t>
      </w:r>
      <w:r>
        <w:rPr>
          <w:spacing w:val="-8"/>
          <w:w w:val="105"/>
        </w:rPr>
        <w:t> </w:t>
      </w:r>
      <w:r>
        <w:rPr>
          <w:w w:val="105"/>
        </w:rPr>
        <w:t>of</w:t>
      </w:r>
      <w:r>
        <w:rPr>
          <w:spacing w:val="-8"/>
          <w:w w:val="105"/>
        </w:rPr>
        <w:t> </w:t>
      </w:r>
      <w:r>
        <w:rPr>
          <w:w w:val="105"/>
        </w:rPr>
        <w:t>long-lived</w:t>
      </w:r>
      <w:r>
        <w:rPr>
          <w:spacing w:val="-8"/>
          <w:w w:val="105"/>
        </w:rPr>
        <w:t> </w:t>
      </w:r>
      <w:r>
        <w:rPr>
          <w:w w:val="105"/>
        </w:rPr>
        <w:t>assets</w:t>
      </w:r>
      <w:r>
        <w:rPr>
          <w:spacing w:val="-8"/>
          <w:w w:val="105"/>
        </w:rPr>
        <w:t> </w:t>
      </w:r>
      <w:r>
        <w:rPr>
          <w:w w:val="105"/>
        </w:rPr>
        <w:t>when</w:t>
      </w:r>
      <w:r>
        <w:rPr>
          <w:spacing w:val="-8"/>
          <w:w w:val="105"/>
        </w:rPr>
        <w:t> </w:t>
      </w:r>
      <w:r>
        <w:rPr>
          <w:w w:val="105"/>
        </w:rPr>
        <w:t>an</w:t>
      </w:r>
      <w:r>
        <w:rPr>
          <w:spacing w:val="-8"/>
          <w:w w:val="105"/>
        </w:rPr>
        <w:t> </w:t>
      </w:r>
      <w:r>
        <w:rPr>
          <w:w w:val="105"/>
        </w:rPr>
        <w:t>indicator</w:t>
      </w:r>
      <w:r>
        <w:rPr>
          <w:spacing w:val="-8"/>
          <w:w w:val="105"/>
        </w:rPr>
        <w:t> </w:t>
      </w:r>
      <w:r>
        <w:rPr>
          <w:w w:val="105"/>
        </w:rPr>
        <w:t>of</w:t>
      </w:r>
      <w:r>
        <w:rPr>
          <w:spacing w:val="-8"/>
          <w:w w:val="105"/>
        </w:rPr>
        <w:t> </w:t>
      </w:r>
      <w:r>
        <w:rPr>
          <w:w w:val="105"/>
        </w:rPr>
        <w:t>impairment</w:t>
      </w:r>
      <w:r>
        <w:rPr>
          <w:spacing w:val="-8"/>
          <w:w w:val="105"/>
        </w:rPr>
        <w:t> </w:t>
      </w:r>
      <w:r>
        <w:rPr>
          <w:w w:val="105"/>
        </w:rPr>
        <w:t>has</w:t>
      </w:r>
      <w:r>
        <w:rPr>
          <w:spacing w:val="-8"/>
          <w:w w:val="105"/>
        </w:rPr>
        <w:t> </w:t>
      </w:r>
      <w:r>
        <w:rPr>
          <w:w w:val="105"/>
        </w:rPr>
        <w:t>been</w:t>
      </w:r>
      <w:r>
        <w:rPr>
          <w:spacing w:val="-6"/>
          <w:w w:val="105"/>
        </w:rPr>
        <w:t> </w:t>
      </w:r>
      <w:r>
        <w:rPr>
          <w:w w:val="105"/>
        </w:rPr>
        <w:t>identified.</w:t>
      </w:r>
      <w:r>
        <w:rPr>
          <w:spacing w:val="-8"/>
          <w:w w:val="105"/>
        </w:rPr>
        <w:t> </w:t>
      </w:r>
      <w:r>
        <w:rPr>
          <w:w w:val="105"/>
        </w:rPr>
        <w:t>We</w:t>
      </w:r>
      <w:r>
        <w:rPr>
          <w:spacing w:val="-8"/>
          <w:w w:val="105"/>
        </w:rPr>
        <w:t> </w:t>
      </w:r>
      <w:r>
        <w:rPr>
          <w:w w:val="105"/>
        </w:rPr>
        <w:t>review</w:t>
      </w:r>
      <w:r>
        <w:rPr>
          <w:spacing w:val="-8"/>
          <w:w w:val="105"/>
        </w:rPr>
        <w:t> </w:t>
      </w:r>
      <w:r>
        <w:rPr>
          <w:w w:val="105"/>
        </w:rPr>
        <w:t>long-lived</w:t>
      </w:r>
      <w:r>
        <w:rPr>
          <w:spacing w:val="-8"/>
          <w:w w:val="105"/>
        </w:rPr>
        <w:t> </w:t>
      </w:r>
      <w:r>
        <w:rPr>
          <w:w w:val="105"/>
        </w:rPr>
        <w:t>assets</w:t>
      </w:r>
      <w:r>
        <w:rPr>
          <w:spacing w:val="-8"/>
          <w:w w:val="105"/>
        </w:rPr>
        <w:t> </w:t>
      </w:r>
      <w:r>
        <w:rPr>
          <w:w w:val="105"/>
        </w:rPr>
        <w:t>in each</w:t>
      </w:r>
      <w:r>
        <w:rPr>
          <w:spacing w:val="-1"/>
          <w:w w:val="105"/>
        </w:rPr>
        <w:t> </w:t>
      </w:r>
      <w:r>
        <w:rPr>
          <w:w w:val="105"/>
        </w:rPr>
        <w:t>quarter</w:t>
      </w:r>
      <w:r>
        <w:rPr>
          <w:spacing w:val="-1"/>
          <w:w w:val="105"/>
        </w:rPr>
        <w:t> </w:t>
      </w:r>
      <w:r>
        <w:rPr>
          <w:w w:val="105"/>
        </w:rPr>
        <w:t>in</w:t>
      </w:r>
      <w:r>
        <w:rPr>
          <w:spacing w:val="-1"/>
          <w:w w:val="105"/>
        </w:rPr>
        <w:t> </w:t>
      </w:r>
      <w:r>
        <w:rPr>
          <w:w w:val="105"/>
        </w:rPr>
        <w:t>which</w:t>
      </w:r>
      <w:r>
        <w:rPr>
          <w:spacing w:val="-1"/>
          <w:w w:val="105"/>
        </w:rPr>
        <w:t> </w:t>
      </w:r>
      <w:r>
        <w:rPr>
          <w:w w:val="105"/>
        </w:rPr>
        <w:t>impairment</w:t>
      </w:r>
      <w:r>
        <w:rPr>
          <w:spacing w:val="-1"/>
          <w:w w:val="105"/>
        </w:rPr>
        <w:t> </w:t>
      </w:r>
      <w:r>
        <w:rPr>
          <w:w w:val="105"/>
        </w:rPr>
        <w:t>indicators</w:t>
      </w:r>
      <w:r>
        <w:rPr>
          <w:spacing w:val="-1"/>
          <w:w w:val="105"/>
        </w:rPr>
        <w:t> </w:t>
      </w:r>
      <w:r>
        <w:rPr>
          <w:w w:val="105"/>
        </w:rPr>
        <w:t>are</w:t>
      </w:r>
      <w:r>
        <w:rPr>
          <w:spacing w:val="-1"/>
          <w:w w:val="105"/>
        </w:rPr>
        <w:t> </w:t>
      </w:r>
      <w:r>
        <w:rPr>
          <w:w w:val="105"/>
        </w:rPr>
        <w:t>present.</w:t>
      </w:r>
      <w:r>
        <w:rPr>
          <w:spacing w:val="-1"/>
          <w:w w:val="105"/>
        </w:rPr>
        <w:t> </w:t>
      </w:r>
      <w:r>
        <w:rPr>
          <w:w w:val="105"/>
        </w:rPr>
        <w:t>We</w:t>
      </w:r>
      <w:r>
        <w:rPr>
          <w:spacing w:val="-1"/>
          <w:w w:val="105"/>
        </w:rPr>
        <w:t> </w:t>
      </w:r>
      <w:r>
        <w:rPr>
          <w:w w:val="105"/>
        </w:rPr>
        <w:t>must</w:t>
      </w:r>
      <w:r>
        <w:rPr>
          <w:spacing w:val="-1"/>
          <w:w w:val="105"/>
        </w:rPr>
        <w:t> </w:t>
      </w:r>
      <w:r>
        <w:rPr>
          <w:w w:val="105"/>
        </w:rPr>
        <w:t>exercise</w:t>
      </w:r>
      <w:r>
        <w:rPr>
          <w:spacing w:val="-1"/>
          <w:w w:val="105"/>
        </w:rPr>
        <w:t> </w:t>
      </w:r>
      <w:r>
        <w:rPr>
          <w:w w:val="105"/>
        </w:rPr>
        <w:t>judgment</w:t>
      </w:r>
      <w:r>
        <w:rPr>
          <w:spacing w:val="-1"/>
          <w:w w:val="105"/>
        </w:rPr>
        <w:t> </w:t>
      </w:r>
      <w:r>
        <w:rPr>
          <w:w w:val="105"/>
        </w:rPr>
        <w:t>in</w:t>
      </w:r>
      <w:r>
        <w:rPr>
          <w:spacing w:val="-1"/>
          <w:w w:val="105"/>
        </w:rPr>
        <w:t> </w:t>
      </w:r>
      <w:r>
        <w:rPr>
          <w:w w:val="105"/>
        </w:rPr>
        <w:t>assessing</w:t>
      </w:r>
      <w:r>
        <w:rPr>
          <w:spacing w:val="-1"/>
          <w:w w:val="105"/>
        </w:rPr>
        <w:t> </w:t>
      </w:r>
      <w:r>
        <w:rPr>
          <w:w w:val="105"/>
        </w:rPr>
        <w:t>whether</w:t>
      </w:r>
      <w:r>
        <w:rPr>
          <w:spacing w:val="-1"/>
          <w:w w:val="105"/>
        </w:rPr>
        <w:t> </w:t>
      </w:r>
      <w:r>
        <w:rPr>
          <w:w w:val="105"/>
        </w:rPr>
        <w:t>an</w:t>
      </w:r>
      <w:r>
        <w:rPr>
          <w:spacing w:val="-1"/>
          <w:w w:val="105"/>
        </w:rPr>
        <w:t> </w:t>
      </w:r>
      <w:r>
        <w:rPr>
          <w:w w:val="105"/>
        </w:rPr>
        <w:t>event</w:t>
      </w:r>
      <w:r>
        <w:rPr>
          <w:spacing w:val="-1"/>
          <w:w w:val="105"/>
        </w:rPr>
        <w:t> </w:t>
      </w:r>
      <w:r>
        <w:rPr>
          <w:w w:val="105"/>
        </w:rPr>
        <w:t>of</w:t>
      </w:r>
      <w:r>
        <w:rPr>
          <w:spacing w:val="-1"/>
          <w:w w:val="105"/>
        </w:rPr>
        <w:t> </w:t>
      </w:r>
      <w:r>
        <w:rPr>
          <w:w w:val="105"/>
        </w:rPr>
        <w:t>impairment</w:t>
      </w:r>
      <w:r>
        <w:rPr>
          <w:spacing w:val="-1"/>
          <w:w w:val="105"/>
        </w:rPr>
        <w:t> </w:t>
      </w:r>
      <w:r>
        <w:rPr>
          <w:w w:val="105"/>
        </w:rPr>
        <w:t>has</w:t>
      </w:r>
      <w:r>
        <w:rPr>
          <w:spacing w:val="-1"/>
          <w:w w:val="105"/>
        </w:rPr>
        <w:t> </w:t>
      </w:r>
      <w:r>
        <w:rPr>
          <w:w w:val="105"/>
        </w:rPr>
        <w:t>occurred.</w:t>
      </w:r>
    </w:p>
    <w:p>
      <w:pPr>
        <w:pStyle w:val="BodyText"/>
        <w:spacing w:before="18"/>
      </w:pPr>
    </w:p>
    <w:p>
      <w:pPr>
        <w:pStyle w:val="BodyText"/>
        <w:spacing w:before="1"/>
        <w:ind w:left="48"/>
        <w:jc w:val="center"/>
      </w:pPr>
      <w:r>
        <w:rPr>
          <w:spacing w:val="-5"/>
          <w:w w:val="105"/>
        </w:rPr>
        <w:t>44</w:t>
      </w:r>
    </w:p>
    <w:p>
      <w:pPr>
        <w:pStyle w:val="BodyText"/>
        <w:spacing w:before="11"/>
        <w:rPr>
          <w:sz w:val="5"/>
        </w:rPr>
      </w:pPr>
      <w:r>
        <w:rPr/>
        <mc:AlternateContent>
          <mc:Choice Requires="wps">
            <w:drawing>
              <wp:anchor distT="0" distB="0" distL="0" distR="0" allowOverlap="1" layoutInCell="1" locked="0" behindDoc="1" simplePos="0" relativeHeight="487621632">
                <wp:simplePos x="0" y="0"/>
                <wp:positionH relativeFrom="page">
                  <wp:posOffset>226488</wp:posOffset>
                </wp:positionH>
                <wp:positionV relativeFrom="paragraph">
                  <wp:posOffset>58835</wp:posOffset>
                </wp:positionV>
                <wp:extent cx="7312659" cy="1651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32693pt;width:575.775087pt;height:1.273839pt;mso-position-horizontal-relative:page;mso-position-vertical-relative:paragraph;z-index:-15694848;mso-wrap-distance-left:0;mso-wrap-distance-right:0" id="docshape75"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BodyText"/>
        <w:spacing w:line="266" w:lineRule="auto"/>
        <w:ind w:left="156" w:right="228"/>
      </w:pPr>
      <w:r>
        <w:rPr>
          <w:w w:val="105"/>
        </w:rPr>
        <w:t>Manufacturing</w:t>
      </w:r>
      <w:r>
        <w:rPr>
          <w:spacing w:val="-10"/>
          <w:w w:val="105"/>
        </w:rPr>
        <w:t> </w:t>
      </w:r>
      <w:r>
        <w:rPr>
          <w:w w:val="105"/>
        </w:rPr>
        <w:t>equipment</w:t>
      </w:r>
      <w:r>
        <w:rPr>
          <w:spacing w:val="-8"/>
          <w:w w:val="105"/>
        </w:rPr>
        <w:t> </w:t>
      </w:r>
      <w:r>
        <w:rPr>
          <w:w w:val="105"/>
        </w:rPr>
        <w:t>includes</w:t>
      </w:r>
      <w:r>
        <w:rPr>
          <w:spacing w:val="-10"/>
          <w:w w:val="105"/>
        </w:rPr>
        <w:t> </w:t>
      </w:r>
      <w:r>
        <w:rPr>
          <w:w w:val="105"/>
        </w:rPr>
        <w:t>certain</w:t>
      </w:r>
      <w:r>
        <w:rPr>
          <w:spacing w:val="-10"/>
          <w:w w:val="105"/>
        </w:rPr>
        <w:t> </w:t>
      </w:r>
      <w:r>
        <w:rPr>
          <w:w w:val="105"/>
        </w:rPr>
        <w:t>components</w:t>
      </w:r>
      <w:r>
        <w:rPr>
          <w:spacing w:val="-10"/>
          <w:w w:val="105"/>
        </w:rPr>
        <w:t> </w:t>
      </w:r>
      <w:r>
        <w:rPr>
          <w:w w:val="105"/>
        </w:rPr>
        <w:t>of</w:t>
      </w:r>
      <w:r>
        <w:rPr>
          <w:spacing w:val="-10"/>
          <w:w w:val="105"/>
        </w:rPr>
        <w:t> </w:t>
      </w:r>
      <w:r>
        <w:rPr>
          <w:w w:val="105"/>
        </w:rPr>
        <w:t>production</w:t>
      </w:r>
      <w:r>
        <w:rPr>
          <w:spacing w:val="-10"/>
          <w:w w:val="105"/>
        </w:rPr>
        <w:t> </w:t>
      </w:r>
      <w:r>
        <w:rPr>
          <w:w w:val="105"/>
        </w:rPr>
        <w:t>equipment</w:t>
      </w:r>
      <w:r>
        <w:rPr>
          <w:spacing w:val="-10"/>
          <w:w w:val="105"/>
        </w:rPr>
        <w:t> </w:t>
      </w:r>
      <w:r>
        <w:rPr>
          <w:w w:val="105"/>
        </w:rPr>
        <w:t>that</w:t>
      </w:r>
      <w:r>
        <w:rPr>
          <w:spacing w:val="-10"/>
          <w:w w:val="105"/>
        </w:rPr>
        <w:t> </w:t>
      </w:r>
      <w:r>
        <w:rPr>
          <w:w w:val="105"/>
        </w:rPr>
        <w:t>are</w:t>
      </w:r>
      <w:r>
        <w:rPr>
          <w:spacing w:val="-10"/>
          <w:w w:val="105"/>
        </w:rPr>
        <w:t> </w:t>
      </w:r>
      <w:r>
        <w:rPr>
          <w:w w:val="105"/>
        </w:rPr>
        <w:t>constructed</w:t>
      </w:r>
      <w:r>
        <w:rPr>
          <w:spacing w:val="-10"/>
          <w:w w:val="105"/>
        </w:rPr>
        <w:t> </w:t>
      </w:r>
      <w:r>
        <w:rPr>
          <w:w w:val="105"/>
        </w:rPr>
        <w:t>of</w:t>
      </w:r>
      <w:r>
        <w:rPr>
          <w:spacing w:val="-10"/>
          <w:w w:val="105"/>
        </w:rPr>
        <w:t> </w:t>
      </w:r>
      <w:r>
        <w:rPr>
          <w:w w:val="105"/>
        </w:rPr>
        <w:t>precious</w:t>
      </w:r>
      <w:r>
        <w:rPr>
          <w:spacing w:val="-10"/>
          <w:w w:val="105"/>
        </w:rPr>
        <w:t> </w:t>
      </w:r>
      <w:r>
        <w:rPr>
          <w:w w:val="105"/>
        </w:rPr>
        <w:t>metals,</w:t>
      </w:r>
      <w:r>
        <w:rPr>
          <w:spacing w:val="-10"/>
          <w:w w:val="105"/>
        </w:rPr>
        <w:t> </w:t>
      </w:r>
      <w:r>
        <w:rPr>
          <w:w w:val="105"/>
        </w:rPr>
        <w:t>primarily</w:t>
      </w:r>
      <w:r>
        <w:rPr>
          <w:spacing w:val="-10"/>
          <w:w w:val="105"/>
        </w:rPr>
        <w:t> </w:t>
      </w:r>
      <w:r>
        <w:rPr>
          <w:w w:val="105"/>
        </w:rPr>
        <w:t>platinum</w:t>
      </w:r>
      <w:r>
        <w:rPr>
          <w:spacing w:val="-10"/>
          <w:w w:val="105"/>
        </w:rPr>
        <w:t> </w:t>
      </w:r>
      <w:r>
        <w:rPr>
          <w:w w:val="105"/>
        </w:rPr>
        <w:t>and</w:t>
      </w:r>
      <w:r>
        <w:rPr>
          <w:spacing w:val="-10"/>
          <w:w w:val="105"/>
        </w:rPr>
        <w:t> </w:t>
      </w:r>
      <w:r>
        <w:rPr>
          <w:w w:val="105"/>
        </w:rPr>
        <w:t>rhodium.</w:t>
      </w:r>
      <w:r>
        <w:rPr>
          <w:spacing w:val="-10"/>
          <w:w w:val="105"/>
        </w:rPr>
        <w:t> </w:t>
      </w:r>
      <w:r>
        <w:rPr>
          <w:w w:val="105"/>
        </w:rPr>
        <w:t>These</w:t>
      </w:r>
      <w:r>
        <w:rPr>
          <w:spacing w:val="-10"/>
          <w:w w:val="105"/>
        </w:rPr>
        <w:t> </w:t>
      </w:r>
      <w:r>
        <w:rPr>
          <w:w w:val="105"/>
        </w:rPr>
        <w:t>metals</w:t>
      </w:r>
      <w:r>
        <w:rPr>
          <w:spacing w:val="-10"/>
          <w:w w:val="105"/>
        </w:rPr>
        <w:t> </w:t>
      </w:r>
      <w:r>
        <w:rPr>
          <w:w w:val="105"/>
        </w:rPr>
        <w:t>are not</w:t>
      </w:r>
      <w:r>
        <w:rPr>
          <w:spacing w:val="-2"/>
          <w:w w:val="105"/>
        </w:rPr>
        <w:t> </w:t>
      </w:r>
      <w:r>
        <w:rPr>
          <w:w w:val="105"/>
        </w:rPr>
        <w:t>depreciated</w:t>
      </w:r>
      <w:r>
        <w:rPr>
          <w:spacing w:val="-2"/>
          <w:w w:val="105"/>
        </w:rPr>
        <w:t> </w:t>
      </w:r>
      <w:r>
        <w:rPr>
          <w:w w:val="105"/>
        </w:rPr>
        <w:t>because</w:t>
      </w:r>
      <w:r>
        <w:rPr>
          <w:spacing w:val="-2"/>
          <w:w w:val="105"/>
        </w:rPr>
        <w:t> </w:t>
      </w:r>
      <w:r>
        <w:rPr>
          <w:w w:val="105"/>
        </w:rPr>
        <w:t>they</w:t>
      </w:r>
      <w:r>
        <w:rPr>
          <w:spacing w:val="-2"/>
          <w:w w:val="105"/>
        </w:rPr>
        <w:t> </w:t>
      </w:r>
      <w:r>
        <w:rPr>
          <w:w w:val="105"/>
        </w:rPr>
        <w:t>have</w:t>
      </w:r>
      <w:r>
        <w:rPr>
          <w:spacing w:val="-2"/>
          <w:w w:val="105"/>
        </w:rPr>
        <w:t> </w:t>
      </w:r>
      <w:r>
        <w:rPr>
          <w:w w:val="105"/>
        </w:rPr>
        <w:t>very</w:t>
      </w:r>
      <w:r>
        <w:rPr>
          <w:spacing w:val="-2"/>
          <w:w w:val="105"/>
        </w:rPr>
        <w:t> </w:t>
      </w:r>
      <w:r>
        <w:rPr>
          <w:w w:val="105"/>
        </w:rPr>
        <w:t>low</w:t>
      </w:r>
      <w:r>
        <w:rPr>
          <w:spacing w:val="-2"/>
          <w:w w:val="105"/>
        </w:rPr>
        <w:t> </w:t>
      </w:r>
      <w:r>
        <w:rPr>
          <w:w w:val="105"/>
        </w:rPr>
        <w:t>physical</w:t>
      </w:r>
      <w:r>
        <w:rPr>
          <w:spacing w:val="-2"/>
          <w:w w:val="105"/>
        </w:rPr>
        <w:t> </w:t>
      </w:r>
      <w:r>
        <w:rPr>
          <w:w w:val="105"/>
        </w:rPr>
        <w:t>losses and</w:t>
      </w:r>
      <w:r>
        <w:rPr>
          <w:spacing w:val="-2"/>
          <w:w w:val="105"/>
        </w:rPr>
        <w:t> </w:t>
      </w:r>
      <w:r>
        <w:rPr>
          <w:w w:val="105"/>
        </w:rPr>
        <w:t>are</w:t>
      </w:r>
      <w:r>
        <w:rPr>
          <w:spacing w:val="-2"/>
          <w:w w:val="105"/>
        </w:rPr>
        <w:t> </w:t>
      </w:r>
      <w:r>
        <w:rPr>
          <w:w w:val="105"/>
        </w:rPr>
        <w:t>repeatedly</w:t>
      </w:r>
      <w:r>
        <w:rPr>
          <w:spacing w:val="-2"/>
          <w:w w:val="105"/>
        </w:rPr>
        <w:t> </w:t>
      </w:r>
      <w:r>
        <w:rPr>
          <w:w w:val="105"/>
        </w:rPr>
        <w:t>reclaimed</w:t>
      </w:r>
      <w:r>
        <w:rPr>
          <w:spacing w:val="-2"/>
          <w:w w:val="105"/>
        </w:rPr>
        <w:t> </w:t>
      </w:r>
      <w:r>
        <w:rPr>
          <w:w w:val="105"/>
        </w:rPr>
        <w:t>and</w:t>
      </w:r>
      <w:r>
        <w:rPr>
          <w:spacing w:val="-2"/>
          <w:w w:val="105"/>
        </w:rPr>
        <w:t> </w:t>
      </w:r>
      <w:r>
        <w:rPr>
          <w:w w:val="105"/>
        </w:rPr>
        <w:t>reused</w:t>
      </w:r>
      <w:r>
        <w:rPr>
          <w:spacing w:val="-2"/>
          <w:w w:val="105"/>
        </w:rPr>
        <w:t> </w:t>
      </w:r>
      <w:r>
        <w:rPr>
          <w:w w:val="105"/>
        </w:rPr>
        <w:t>in</w:t>
      </w:r>
      <w:r>
        <w:rPr>
          <w:spacing w:val="-2"/>
          <w:w w:val="105"/>
        </w:rPr>
        <w:t> </w:t>
      </w:r>
      <w:r>
        <w:rPr>
          <w:w w:val="105"/>
        </w:rPr>
        <w:t>our</w:t>
      </w:r>
      <w:r>
        <w:rPr>
          <w:spacing w:val="-2"/>
          <w:w w:val="105"/>
        </w:rPr>
        <w:t> </w:t>
      </w:r>
      <w:r>
        <w:rPr>
          <w:w w:val="105"/>
        </w:rPr>
        <w:t>manufacturing</w:t>
      </w:r>
      <w:r>
        <w:rPr>
          <w:spacing w:val="-2"/>
          <w:w w:val="105"/>
        </w:rPr>
        <w:t> </w:t>
      </w:r>
      <w:r>
        <w:rPr>
          <w:w w:val="105"/>
        </w:rPr>
        <w:t>process</w:t>
      </w:r>
      <w:r>
        <w:rPr>
          <w:spacing w:val="-2"/>
          <w:w w:val="105"/>
        </w:rPr>
        <w:t> </w:t>
      </w:r>
      <w:r>
        <w:rPr>
          <w:w w:val="105"/>
        </w:rPr>
        <w:t>over</w:t>
      </w:r>
      <w:r>
        <w:rPr>
          <w:spacing w:val="-2"/>
          <w:w w:val="105"/>
        </w:rPr>
        <w:t> </w:t>
      </w:r>
      <w:r>
        <w:rPr>
          <w:w w:val="105"/>
        </w:rPr>
        <w:t>a</w:t>
      </w:r>
      <w:r>
        <w:rPr>
          <w:spacing w:val="-2"/>
          <w:w w:val="105"/>
        </w:rPr>
        <w:t> </w:t>
      </w:r>
      <w:r>
        <w:rPr>
          <w:w w:val="105"/>
        </w:rPr>
        <w:t>very</w:t>
      </w:r>
      <w:r>
        <w:rPr>
          <w:spacing w:val="-2"/>
          <w:w w:val="105"/>
        </w:rPr>
        <w:t> </w:t>
      </w:r>
      <w:r>
        <w:rPr>
          <w:w w:val="105"/>
        </w:rPr>
        <w:t>long</w:t>
      </w:r>
      <w:r>
        <w:rPr>
          <w:spacing w:val="-2"/>
          <w:w w:val="105"/>
        </w:rPr>
        <w:t> </w:t>
      </w:r>
      <w:r>
        <w:rPr>
          <w:w w:val="105"/>
        </w:rPr>
        <w:t>useful</w:t>
      </w:r>
      <w:r>
        <w:rPr>
          <w:spacing w:val="-2"/>
          <w:w w:val="105"/>
        </w:rPr>
        <w:t> </w:t>
      </w:r>
      <w:r>
        <w:rPr>
          <w:w w:val="105"/>
        </w:rPr>
        <w:t>life.</w:t>
      </w:r>
      <w:r>
        <w:rPr>
          <w:spacing w:val="-2"/>
          <w:w w:val="105"/>
        </w:rPr>
        <w:t> </w:t>
      </w:r>
      <w:r>
        <w:rPr>
          <w:w w:val="105"/>
        </w:rPr>
        <w:t>Precious metals</w:t>
      </w:r>
      <w:r>
        <w:rPr>
          <w:spacing w:val="-3"/>
          <w:w w:val="105"/>
        </w:rPr>
        <w:t> </w:t>
      </w:r>
      <w:r>
        <w:rPr>
          <w:w w:val="105"/>
        </w:rPr>
        <w:t>are</w:t>
      </w:r>
      <w:r>
        <w:rPr>
          <w:spacing w:val="-3"/>
          <w:w w:val="105"/>
        </w:rPr>
        <w:t> </w:t>
      </w:r>
      <w:r>
        <w:rPr>
          <w:w w:val="105"/>
        </w:rPr>
        <w:t>reviewed</w:t>
      </w:r>
      <w:r>
        <w:rPr>
          <w:spacing w:val="-1"/>
          <w:w w:val="105"/>
        </w:rPr>
        <w:t> </w:t>
      </w:r>
      <w:r>
        <w:rPr>
          <w:w w:val="105"/>
        </w:rPr>
        <w:t>for</w:t>
      </w:r>
      <w:r>
        <w:rPr>
          <w:spacing w:val="-3"/>
          <w:w w:val="105"/>
        </w:rPr>
        <w:t> </w:t>
      </w:r>
      <w:r>
        <w:rPr>
          <w:w w:val="105"/>
        </w:rPr>
        <w:t>impairment</w:t>
      </w:r>
      <w:r>
        <w:rPr>
          <w:spacing w:val="-3"/>
          <w:w w:val="105"/>
        </w:rPr>
        <w:t> </w:t>
      </w:r>
      <w:r>
        <w:rPr>
          <w:w w:val="105"/>
        </w:rPr>
        <w:t>as</w:t>
      </w:r>
      <w:r>
        <w:rPr>
          <w:spacing w:val="-3"/>
          <w:w w:val="105"/>
        </w:rPr>
        <w:t> </w:t>
      </w:r>
      <w:r>
        <w:rPr>
          <w:w w:val="105"/>
        </w:rPr>
        <w:t>part</w:t>
      </w:r>
      <w:r>
        <w:rPr>
          <w:spacing w:val="-3"/>
          <w:w w:val="105"/>
        </w:rPr>
        <w:t> </w:t>
      </w:r>
      <w:r>
        <w:rPr>
          <w:w w:val="105"/>
        </w:rPr>
        <w:t>of</w:t>
      </w:r>
      <w:r>
        <w:rPr>
          <w:spacing w:val="-3"/>
          <w:w w:val="105"/>
        </w:rPr>
        <w:t> </w:t>
      </w:r>
      <w:r>
        <w:rPr>
          <w:w w:val="105"/>
        </w:rPr>
        <w:t>our</w:t>
      </w:r>
      <w:r>
        <w:rPr>
          <w:spacing w:val="-3"/>
          <w:w w:val="105"/>
        </w:rPr>
        <w:t> </w:t>
      </w:r>
      <w:r>
        <w:rPr>
          <w:w w:val="105"/>
        </w:rPr>
        <w:t>assessment</w:t>
      </w:r>
      <w:r>
        <w:rPr>
          <w:spacing w:val="-3"/>
          <w:w w:val="105"/>
        </w:rPr>
        <w:t> </w:t>
      </w:r>
      <w:r>
        <w:rPr>
          <w:w w:val="105"/>
        </w:rPr>
        <w:t>of</w:t>
      </w:r>
      <w:r>
        <w:rPr>
          <w:spacing w:val="-3"/>
          <w:w w:val="105"/>
        </w:rPr>
        <w:t> </w:t>
      </w:r>
      <w:r>
        <w:rPr>
          <w:w w:val="105"/>
        </w:rPr>
        <w:t>long-lived</w:t>
      </w:r>
      <w:r>
        <w:rPr>
          <w:spacing w:val="-3"/>
          <w:w w:val="105"/>
        </w:rPr>
        <w:t> </w:t>
      </w:r>
      <w:r>
        <w:rPr>
          <w:w w:val="105"/>
        </w:rPr>
        <w:t>assets.</w:t>
      </w:r>
      <w:r>
        <w:rPr>
          <w:spacing w:val="-3"/>
          <w:w w:val="105"/>
        </w:rPr>
        <w:t> </w:t>
      </w:r>
      <w:r>
        <w:rPr>
          <w:w w:val="105"/>
        </w:rPr>
        <w:t>This</w:t>
      </w:r>
      <w:r>
        <w:rPr>
          <w:spacing w:val="-3"/>
          <w:w w:val="105"/>
        </w:rPr>
        <w:t> </w:t>
      </w:r>
      <w:r>
        <w:rPr>
          <w:w w:val="105"/>
        </w:rPr>
        <w:t>review</w:t>
      </w:r>
      <w:r>
        <w:rPr>
          <w:spacing w:val="-3"/>
          <w:w w:val="105"/>
        </w:rPr>
        <w:t> </w:t>
      </w:r>
      <w:r>
        <w:rPr>
          <w:w w:val="105"/>
        </w:rPr>
        <w:t>considers</w:t>
      </w:r>
      <w:r>
        <w:rPr>
          <w:spacing w:val="-3"/>
          <w:w w:val="105"/>
        </w:rPr>
        <w:t> </w:t>
      </w:r>
      <w:r>
        <w:rPr>
          <w:w w:val="105"/>
        </w:rPr>
        <w:t>all</w:t>
      </w:r>
      <w:r>
        <w:rPr>
          <w:spacing w:val="-3"/>
          <w:w w:val="105"/>
        </w:rPr>
        <w:t> </w:t>
      </w:r>
      <w:r>
        <w:rPr>
          <w:w w:val="105"/>
        </w:rPr>
        <w:t>the</w:t>
      </w:r>
      <w:r>
        <w:rPr>
          <w:spacing w:val="-3"/>
          <w:w w:val="105"/>
        </w:rPr>
        <w:t> </w:t>
      </w:r>
      <w:r>
        <w:rPr>
          <w:w w:val="105"/>
        </w:rPr>
        <w:t>Company’s</w:t>
      </w:r>
      <w:r>
        <w:rPr>
          <w:spacing w:val="-3"/>
          <w:w w:val="105"/>
        </w:rPr>
        <w:t> </w:t>
      </w:r>
      <w:r>
        <w:rPr>
          <w:w w:val="105"/>
        </w:rPr>
        <w:t>precious</w:t>
      </w:r>
      <w:r>
        <w:rPr>
          <w:spacing w:val="-3"/>
          <w:w w:val="105"/>
        </w:rPr>
        <w:t> </w:t>
      </w:r>
      <w:r>
        <w:rPr>
          <w:w w:val="105"/>
        </w:rPr>
        <w:t>metals</w:t>
      </w:r>
      <w:r>
        <w:rPr>
          <w:spacing w:val="-3"/>
          <w:w w:val="105"/>
        </w:rPr>
        <w:t> </w:t>
      </w:r>
      <w:r>
        <w:rPr>
          <w:w w:val="105"/>
        </w:rPr>
        <w:t>that</w:t>
      </w:r>
      <w:r>
        <w:rPr>
          <w:spacing w:val="-3"/>
          <w:w w:val="105"/>
        </w:rPr>
        <w:t> </w:t>
      </w:r>
      <w:r>
        <w:rPr>
          <w:w w:val="105"/>
        </w:rPr>
        <w:t>are</w:t>
      </w:r>
      <w:r>
        <w:rPr>
          <w:spacing w:val="-3"/>
          <w:w w:val="105"/>
        </w:rPr>
        <w:t> </w:t>
      </w:r>
      <w:r>
        <w:rPr>
          <w:w w:val="105"/>
        </w:rPr>
        <w:t>either</w:t>
      </w:r>
      <w:r>
        <w:rPr>
          <w:spacing w:val="-1"/>
          <w:w w:val="105"/>
        </w:rPr>
        <w:t> </w:t>
      </w:r>
      <w:r>
        <w:rPr>
          <w:w w:val="105"/>
        </w:rPr>
        <w:t>in</w:t>
      </w:r>
      <w:r>
        <w:rPr>
          <w:spacing w:val="-3"/>
          <w:w w:val="105"/>
        </w:rPr>
        <w:t> </w:t>
      </w:r>
      <w:r>
        <w:rPr>
          <w:w w:val="105"/>
        </w:rPr>
        <w:t>place</w:t>
      </w:r>
      <w:r>
        <w:rPr>
          <w:spacing w:val="-3"/>
          <w:w w:val="105"/>
        </w:rPr>
        <w:t> </w:t>
      </w:r>
      <w:r>
        <w:rPr>
          <w:w w:val="105"/>
        </w:rPr>
        <w:t>in</w:t>
      </w:r>
      <w:r>
        <w:rPr>
          <w:spacing w:val="-3"/>
          <w:w w:val="105"/>
        </w:rPr>
        <w:t> </w:t>
      </w:r>
      <w:r>
        <w:rPr>
          <w:w w:val="105"/>
        </w:rPr>
        <w:t>the production</w:t>
      </w:r>
      <w:r>
        <w:rPr>
          <w:spacing w:val="-5"/>
          <w:w w:val="105"/>
        </w:rPr>
        <w:t> </w:t>
      </w:r>
      <w:r>
        <w:rPr>
          <w:w w:val="105"/>
        </w:rPr>
        <w:t>process;</w:t>
      </w:r>
      <w:r>
        <w:rPr>
          <w:spacing w:val="-5"/>
          <w:w w:val="105"/>
        </w:rPr>
        <w:t> </w:t>
      </w:r>
      <w:r>
        <w:rPr>
          <w:w w:val="105"/>
        </w:rPr>
        <w:t>in</w:t>
      </w:r>
      <w:r>
        <w:rPr>
          <w:spacing w:val="-5"/>
          <w:w w:val="105"/>
        </w:rPr>
        <w:t> </w:t>
      </w:r>
      <w:r>
        <w:rPr>
          <w:w w:val="105"/>
        </w:rPr>
        <w:t>reclamation,</w:t>
      </w:r>
      <w:r>
        <w:rPr>
          <w:spacing w:val="-5"/>
          <w:w w:val="105"/>
        </w:rPr>
        <w:t> </w:t>
      </w:r>
      <w:r>
        <w:rPr>
          <w:w w:val="105"/>
        </w:rPr>
        <w:t>fabrication,</w:t>
      </w:r>
      <w:r>
        <w:rPr>
          <w:spacing w:val="-5"/>
          <w:w w:val="105"/>
        </w:rPr>
        <w:t> </w:t>
      </w:r>
      <w:r>
        <w:rPr>
          <w:w w:val="105"/>
        </w:rPr>
        <w:t>or</w:t>
      </w:r>
      <w:r>
        <w:rPr>
          <w:spacing w:val="-5"/>
          <w:w w:val="105"/>
        </w:rPr>
        <w:t> </w:t>
      </w:r>
      <w:r>
        <w:rPr>
          <w:w w:val="105"/>
        </w:rPr>
        <w:t>refinement</w:t>
      </w:r>
      <w:r>
        <w:rPr>
          <w:spacing w:val="-5"/>
          <w:w w:val="105"/>
        </w:rPr>
        <w:t> </w:t>
      </w:r>
      <w:r>
        <w:rPr>
          <w:w w:val="105"/>
        </w:rPr>
        <w:t>in</w:t>
      </w:r>
      <w:r>
        <w:rPr>
          <w:spacing w:val="-5"/>
          <w:w w:val="105"/>
        </w:rPr>
        <w:t> </w:t>
      </w:r>
      <w:r>
        <w:rPr>
          <w:w w:val="105"/>
        </w:rPr>
        <w:t>anticipation</w:t>
      </w:r>
      <w:r>
        <w:rPr>
          <w:spacing w:val="-5"/>
          <w:w w:val="105"/>
        </w:rPr>
        <w:t> </w:t>
      </w:r>
      <w:r>
        <w:rPr>
          <w:w w:val="105"/>
        </w:rPr>
        <w:t>of</w:t>
      </w:r>
      <w:r>
        <w:rPr>
          <w:spacing w:val="-5"/>
          <w:w w:val="105"/>
        </w:rPr>
        <w:t> </w:t>
      </w:r>
      <w:r>
        <w:rPr>
          <w:w w:val="105"/>
        </w:rPr>
        <w:t>re-use;</w:t>
      </w:r>
      <w:r>
        <w:rPr>
          <w:spacing w:val="-5"/>
          <w:w w:val="105"/>
        </w:rPr>
        <w:t> </w:t>
      </w:r>
      <w:r>
        <w:rPr>
          <w:w w:val="105"/>
        </w:rPr>
        <w:t>or</w:t>
      </w:r>
      <w:r>
        <w:rPr>
          <w:spacing w:val="-3"/>
          <w:w w:val="105"/>
        </w:rPr>
        <w:t> </w:t>
      </w:r>
      <w:r>
        <w:rPr>
          <w:w w:val="105"/>
        </w:rPr>
        <w:t>awaiting</w:t>
      </w:r>
      <w:r>
        <w:rPr>
          <w:spacing w:val="-5"/>
          <w:w w:val="105"/>
        </w:rPr>
        <w:t> </w:t>
      </w:r>
      <w:r>
        <w:rPr>
          <w:w w:val="105"/>
        </w:rPr>
        <w:t>use</w:t>
      </w:r>
      <w:r>
        <w:rPr>
          <w:spacing w:val="-5"/>
          <w:w w:val="105"/>
        </w:rPr>
        <w:t> </w:t>
      </w:r>
      <w:r>
        <w:rPr>
          <w:w w:val="105"/>
        </w:rPr>
        <w:t>to</w:t>
      </w:r>
      <w:r>
        <w:rPr>
          <w:spacing w:val="-5"/>
          <w:w w:val="105"/>
        </w:rPr>
        <w:t> </w:t>
      </w:r>
      <w:r>
        <w:rPr>
          <w:w w:val="105"/>
        </w:rPr>
        <w:t>support</w:t>
      </w:r>
      <w:r>
        <w:rPr>
          <w:spacing w:val="-5"/>
          <w:w w:val="105"/>
        </w:rPr>
        <w:t> </w:t>
      </w:r>
      <w:r>
        <w:rPr>
          <w:w w:val="105"/>
        </w:rPr>
        <w:t>increased</w:t>
      </w:r>
      <w:r>
        <w:rPr>
          <w:spacing w:val="-5"/>
          <w:w w:val="105"/>
        </w:rPr>
        <w:t> </w:t>
      </w:r>
      <w:r>
        <w:rPr>
          <w:w w:val="105"/>
        </w:rPr>
        <w:t>capacity.</w:t>
      </w:r>
      <w:r>
        <w:rPr>
          <w:spacing w:val="-5"/>
          <w:w w:val="105"/>
        </w:rPr>
        <w:t> </w:t>
      </w:r>
      <w:r>
        <w:rPr>
          <w:w w:val="105"/>
        </w:rPr>
        <w:t>Precious</w:t>
      </w:r>
      <w:r>
        <w:rPr>
          <w:spacing w:val="-5"/>
          <w:w w:val="105"/>
        </w:rPr>
        <w:t> </w:t>
      </w:r>
      <w:r>
        <w:rPr>
          <w:w w:val="105"/>
        </w:rPr>
        <w:t>metals</w:t>
      </w:r>
      <w:r>
        <w:rPr>
          <w:spacing w:val="-5"/>
          <w:w w:val="105"/>
        </w:rPr>
        <w:t> </w:t>
      </w:r>
      <w:r>
        <w:rPr>
          <w:w w:val="105"/>
        </w:rPr>
        <w:t>are</w:t>
      </w:r>
      <w:r>
        <w:rPr>
          <w:spacing w:val="-5"/>
          <w:w w:val="105"/>
        </w:rPr>
        <w:t> </w:t>
      </w:r>
      <w:r>
        <w:rPr>
          <w:w w:val="105"/>
        </w:rPr>
        <w:t>only</w:t>
      </w:r>
      <w:r>
        <w:rPr>
          <w:spacing w:val="-5"/>
          <w:w w:val="105"/>
        </w:rPr>
        <w:t> </w:t>
      </w:r>
      <w:r>
        <w:rPr>
          <w:w w:val="105"/>
        </w:rPr>
        <w:t>acquired</w:t>
      </w:r>
      <w:r>
        <w:rPr>
          <w:spacing w:val="-5"/>
          <w:w w:val="105"/>
        </w:rPr>
        <w:t> </w:t>
      </w:r>
      <w:r>
        <w:rPr>
          <w:w w:val="105"/>
        </w:rPr>
        <w:t>to support our operations and are not held for trading or other non-manufacturing related purposes.</w:t>
      </w:r>
    </w:p>
    <w:p>
      <w:pPr>
        <w:pStyle w:val="BodyText"/>
        <w:spacing w:before="18"/>
      </w:pPr>
    </w:p>
    <w:p>
      <w:pPr>
        <w:pStyle w:val="BodyText"/>
        <w:ind w:left="156"/>
      </w:pPr>
      <w:r>
        <w:rPr>
          <w:w w:val="105"/>
        </w:rPr>
        <w:t>Examples</w:t>
      </w:r>
      <w:r>
        <w:rPr>
          <w:spacing w:val="-9"/>
          <w:w w:val="105"/>
        </w:rPr>
        <w:t> </w:t>
      </w:r>
      <w:r>
        <w:rPr>
          <w:w w:val="105"/>
        </w:rPr>
        <w:t>of</w:t>
      </w:r>
      <w:r>
        <w:rPr>
          <w:spacing w:val="-9"/>
          <w:w w:val="105"/>
        </w:rPr>
        <w:t> </w:t>
      </w:r>
      <w:r>
        <w:rPr>
          <w:w w:val="105"/>
        </w:rPr>
        <w:t>events</w:t>
      </w:r>
      <w:r>
        <w:rPr>
          <w:spacing w:val="-9"/>
          <w:w w:val="105"/>
        </w:rPr>
        <w:t> </w:t>
      </w:r>
      <w:r>
        <w:rPr>
          <w:w w:val="105"/>
        </w:rPr>
        <w:t>or</w:t>
      </w:r>
      <w:r>
        <w:rPr>
          <w:spacing w:val="-10"/>
          <w:w w:val="105"/>
        </w:rPr>
        <w:t> </w:t>
      </w:r>
      <w:r>
        <w:rPr>
          <w:w w:val="105"/>
        </w:rPr>
        <w:t>circumstances</w:t>
      </w:r>
      <w:r>
        <w:rPr>
          <w:spacing w:val="-9"/>
          <w:w w:val="105"/>
        </w:rPr>
        <w:t> </w:t>
      </w:r>
      <w:r>
        <w:rPr>
          <w:w w:val="105"/>
        </w:rPr>
        <w:t>that</w:t>
      </w:r>
      <w:r>
        <w:rPr>
          <w:spacing w:val="-8"/>
          <w:w w:val="105"/>
        </w:rPr>
        <w:t> </w:t>
      </w:r>
      <w:r>
        <w:rPr>
          <w:w w:val="105"/>
        </w:rPr>
        <w:t>may</w:t>
      </w:r>
      <w:r>
        <w:rPr>
          <w:spacing w:val="-9"/>
          <w:w w:val="105"/>
        </w:rPr>
        <w:t> </w:t>
      </w:r>
      <w:r>
        <w:rPr>
          <w:w w:val="105"/>
        </w:rPr>
        <w:t>be</w:t>
      </w:r>
      <w:r>
        <w:rPr>
          <w:spacing w:val="-9"/>
          <w:w w:val="105"/>
        </w:rPr>
        <w:t> </w:t>
      </w:r>
      <w:r>
        <w:rPr>
          <w:w w:val="105"/>
        </w:rPr>
        <w:t>indicative</w:t>
      </w:r>
      <w:r>
        <w:rPr>
          <w:spacing w:val="-8"/>
          <w:w w:val="105"/>
        </w:rPr>
        <w:t> </w:t>
      </w:r>
      <w:r>
        <w:rPr>
          <w:w w:val="105"/>
        </w:rPr>
        <w:t>of</w:t>
      </w:r>
      <w:r>
        <w:rPr>
          <w:spacing w:val="-9"/>
          <w:w w:val="105"/>
        </w:rPr>
        <w:t> </w:t>
      </w:r>
      <w:r>
        <w:rPr>
          <w:w w:val="105"/>
        </w:rPr>
        <w:t>impairments</w:t>
      </w:r>
      <w:r>
        <w:rPr>
          <w:spacing w:val="-9"/>
          <w:w w:val="105"/>
        </w:rPr>
        <w:t> </w:t>
      </w:r>
      <w:r>
        <w:rPr>
          <w:w w:val="105"/>
        </w:rPr>
        <w:t>include,</w:t>
      </w:r>
      <w:r>
        <w:rPr>
          <w:spacing w:val="-10"/>
          <w:w w:val="105"/>
        </w:rPr>
        <w:t> </w:t>
      </w:r>
      <w:r>
        <w:rPr>
          <w:w w:val="105"/>
        </w:rPr>
        <w:t>but</w:t>
      </w:r>
      <w:r>
        <w:rPr>
          <w:spacing w:val="-9"/>
          <w:w w:val="105"/>
        </w:rPr>
        <w:t> </w:t>
      </w:r>
      <w:r>
        <w:rPr>
          <w:w w:val="105"/>
        </w:rPr>
        <w:t>are</w:t>
      </w:r>
      <w:r>
        <w:rPr>
          <w:spacing w:val="-8"/>
          <w:w w:val="105"/>
        </w:rPr>
        <w:t> </w:t>
      </w:r>
      <w:r>
        <w:rPr>
          <w:w w:val="105"/>
        </w:rPr>
        <w:t>not</w:t>
      </w:r>
      <w:r>
        <w:rPr>
          <w:spacing w:val="-9"/>
          <w:w w:val="105"/>
        </w:rPr>
        <w:t> </w:t>
      </w:r>
      <w:r>
        <w:rPr>
          <w:w w:val="105"/>
        </w:rPr>
        <w:t>limited</w:t>
      </w:r>
      <w:r>
        <w:rPr>
          <w:spacing w:val="-9"/>
          <w:w w:val="105"/>
        </w:rPr>
        <w:t> </w:t>
      </w:r>
      <w:r>
        <w:rPr>
          <w:spacing w:val="-5"/>
          <w:w w:val="105"/>
        </w:rPr>
        <w:t>to:</w:t>
      </w:r>
    </w:p>
    <w:p>
      <w:pPr>
        <w:pStyle w:val="BodyText"/>
        <w:spacing w:before="39"/>
      </w:pPr>
    </w:p>
    <w:p>
      <w:pPr>
        <w:pStyle w:val="ListParagraph"/>
        <w:numPr>
          <w:ilvl w:val="0"/>
          <w:numId w:val="17"/>
        </w:numPr>
        <w:tabs>
          <w:tab w:pos="462" w:val="left" w:leader="none"/>
        </w:tabs>
        <w:spacing w:line="240" w:lineRule="auto" w:before="1" w:after="0"/>
        <w:ind w:left="462" w:right="0" w:hanging="306"/>
        <w:jc w:val="left"/>
        <w:rPr>
          <w:sz w:val="16"/>
        </w:rPr>
      </w:pPr>
      <w:r>
        <w:rPr>
          <w:w w:val="105"/>
          <w:sz w:val="16"/>
        </w:rPr>
        <w:t>A</w:t>
      </w:r>
      <w:r>
        <w:rPr>
          <w:spacing w:val="-8"/>
          <w:w w:val="105"/>
          <w:sz w:val="16"/>
        </w:rPr>
        <w:t> </w:t>
      </w:r>
      <w:r>
        <w:rPr>
          <w:w w:val="105"/>
          <w:sz w:val="16"/>
        </w:rPr>
        <w:t>significant</w:t>
      </w:r>
      <w:r>
        <w:rPr>
          <w:spacing w:val="-7"/>
          <w:w w:val="105"/>
          <w:sz w:val="16"/>
        </w:rPr>
        <w:t> </w:t>
      </w:r>
      <w:r>
        <w:rPr>
          <w:w w:val="105"/>
          <w:sz w:val="16"/>
        </w:rPr>
        <w:t>decrease</w:t>
      </w:r>
      <w:r>
        <w:rPr>
          <w:spacing w:val="-7"/>
          <w:w w:val="105"/>
          <w:sz w:val="16"/>
        </w:rPr>
        <w:t> </w:t>
      </w:r>
      <w:r>
        <w:rPr>
          <w:w w:val="105"/>
          <w:sz w:val="16"/>
        </w:rPr>
        <w:t>in</w:t>
      </w:r>
      <w:r>
        <w:rPr>
          <w:spacing w:val="-8"/>
          <w:w w:val="105"/>
          <w:sz w:val="16"/>
        </w:rPr>
        <w:t> </w:t>
      </w:r>
      <w:r>
        <w:rPr>
          <w:w w:val="105"/>
          <w:sz w:val="16"/>
        </w:rPr>
        <w:t>the</w:t>
      </w:r>
      <w:r>
        <w:rPr>
          <w:spacing w:val="-7"/>
          <w:w w:val="105"/>
          <w:sz w:val="16"/>
        </w:rPr>
        <w:t> </w:t>
      </w:r>
      <w:r>
        <w:rPr>
          <w:w w:val="105"/>
          <w:sz w:val="16"/>
        </w:rPr>
        <w:t>market</w:t>
      </w:r>
      <w:r>
        <w:rPr>
          <w:spacing w:val="-8"/>
          <w:w w:val="105"/>
          <w:sz w:val="16"/>
        </w:rPr>
        <w:t> </w:t>
      </w:r>
      <w:r>
        <w:rPr>
          <w:w w:val="105"/>
          <w:sz w:val="16"/>
        </w:rPr>
        <w:t>price</w:t>
      </w:r>
      <w:r>
        <w:rPr>
          <w:spacing w:val="-7"/>
          <w:w w:val="105"/>
          <w:sz w:val="16"/>
        </w:rPr>
        <w:t> </w:t>
      </w:r>
      <w:r>
        <w:rPr>
          <w:w w:val="105"/>
          <w:sz w:val="16"/>
        </w:rPr>
        <w:t>of</w:t>
      </w:r>
      <w:r>
        <w:rPr>
          <w:spacing w:val="-7"/>
          <w:w w:val="105"/>
          <w:sz w:val="16"/>
        </w:rPr>
        <w:t> </w:t>
      </w:r>
      <w:r>
        <w:rPr>
          <w:w w:val="105"/>
          <w:sz w:val="16"/>
        </w:rPr>
        <w:t>an</w:t>
      </w:r>
      <w:r>
        <w:rPr>
          <w:spacing w:val="-7"/>
          <w:w w:val="105"/>
          <w:sz w:val="16"/>
        </w:rPr>
        <w:t> </w:t>
      </w:r>
      <w:r>
        <w:rPr>
          <w:spacing w:val="-2"/>
          <w:w w:val="105"/>
          <w:sz w:val="16"/>
        </w:rPr>
        <w:t>asset;</w:t>
      </w:r>
    </w:p>
    <w:p>
      <w:pPr>
        <w:pStyle w:val="ListParagraph"/>
        <w:numPr>
          <w:ilvl w:val="0"/>
          <w:numId w:val="17"/>
        </w:numPr>
        <w:tabs>
          <w:tab w:pos="462" w:val="left" w:leader="none"/>
        </w:tabs>
        <w:spacing w:line="240" w:lineRule="auto" w:before="19" w:after="0"/>
        <w:ind w:left="462" w:right="0" w:hanging="306"/>
        <w:jc w:val="left"/>
        <w:rPr>
          <w:sz w:val="16"/>
        </w:rPr>
      </w:pPr>
      <w:r>
        <w:rPr>
          <w:w w:val="105"/>
          <w:sz w:val="16"/>
        </w:rPr>
        <w:t>A</w:t>
      </w:r>
      <w:r>
        <w:rPr>
          <w:spacing w:val="-7"/>
          <w:w w:val="105"/>
          <w:sz w:val="16"/>
        </w:rPr>
        <w:t> </w:t>
      </w:r>
      <w:r>
        <w:rPr>
          <w:w w:val="105"/>
          <w:sz w:val="16"/>
        </w:rPr>
        <w:t>significant</w:t>
      </w:r>
      <w:r>
        <w:rPr>
          <w:spacing w:val="-7"/>
          <w:w w:val="105"/>
          <w:sz w:val="16"/>
        </w:rPr>
        <w:t> </w:t>
      </w:r>
      <w:r>
        <w:rPr>
          <w:w w:val="105"/>
          <w:sz w:val="16"/>
        </w:rPr>
        <w:t>change</w:t>
      </w:r>
      <w:r>
        <w:rPr>
          <w:spacing w:val="-6"/>
          <w:w w:val="105"/>
          <w:sz w:val="16"/>
        </w:rPr>
        <w:t> </w:t>
      </w:r>
      <w:r>
        <w:rPr>
          <w:w w:val="105"/>
          <w:sz w:val="16"/>
        </w:rPr>
        <w:t>in</w:t>
      </w:r>
      <w:r>
        <w:rPr>
          <w:spacing w:val="-7"/>
          <w:w w:val="105"/>
          <w:sz w:val="16"/>
        </w:rPr>
        <w:t> </w:t>
      </w:r>
      <w:r>
        <w:rPr>
          <w:w w:val="105"/>
          <w:sz w:val="16"/>
        </w:rPr>
        <w:t>the</w:t>
      </w:r>
      <w:r>
        <w:rPr>
          <w:spacing w:val="-7"/>
          <w:w w:val="105"/>
          <w:sz w:val="16"/>
        </w:rPr>
        <w:t> </w:t>
      </w:r>
      <w:r>
        <w:rPr>
          <w:w w:val="105"/>
          <w:sz w:val="16"/>
        </w:rPr>
        <w:t>use</w:t>
      </w:r>
      <w:r>
        <w:rPr>
          <w:spacing w:val="-6"/>
          <w:w w:val="105"/>
          <w:sz w:val="16"/>
        </w:rPr>
        <w:t> </w:t>
      </w:r>
      <w:r>
        <w:rPr>
          <w:w w:val="105"/>
          <w:sz w:val="16"/>
        </w:rPr>
        <w:t>of</w:t>
      </w:r>
      <w:r>
        <w:rPr>
          <w:spacing w:val="-7"/>
          <w:w w:val="105"/>
          <w:sz w:val="16"/>
        </w:rPr>
        <w:t> </w:t>
      </w:r>
      <w:r>
        <w:rPr>
          <w:w w:val="105"/>
          <w:sz w:val="16"/>
        </w:rPr>
        <w:t>a</w:t>
      </w:r>
      <w:r>
        <w:rPr>
          <w:spacing w:val="-7"/>
          <w:w w:val="105"/>
          <w:sz w:val="16"/>
        </w:rPr>
        <w:t> </w:t>
      </w:r>
      <w:r>
        <w:rPr>
          <w:w w:val="105"/>
          <w:sz w:val="16"/>
        </w:rPr>
        <w:t>long-lived</w:t>
      </w:r>
      <w:r>
        <w:rPr>
          <w:spacing w:val="-6"/>
          <w:w w:val="105"/>
          <w:sz w:val="16"/>
        </w:rPr>
        <w:t> </w:t>
      </w:r>
      <w:r>
        <w:rPr>
          <w:w w:val="105"/>
          <w:sz w:val="16"/>
        </w:rPr>
        <w:t>asset</w:t>
      </w:r>
      <w:r>
        <w:rPr>
          <w:spacing w:val="-7"/>
          <w:w w:val="105"/>
          <w:sz w:val="16"/>
        </w:rPr>
        <w:t> </w:t>
      </w:r>
      <w:r>
        <w:rPr>
          <w:w w:val="105"/>
          <w:sz w:val="16"/>
        </w:rPr>
        <w:t>or</w:t>
      </w:r>
      <w:r>
        <w:rPr>
          <w:spacing w:val="-7"/>
          <w:w w:val="105"/>
          <w:sz w:val="16"/>
        </w:rPr>
        <w:t> </w:t>
      </w:r>
      <w:r>
        <w:rPr>
          <w:w w:val="105"/>
          <w:sz w:val="16"/>
        </w:rPr>
        <w:t>its</w:t>
      </w:r>
      <w:r>
        <w:rPr>
          <w:spacing w:val="-6"/>
          <w:w w:val="105"/>
          <w:sz w:val="16"/>
        </w:rPr>
        <w:t> </w:t>
      </w:r>
      <w:r>
        <w:rPr>
          <w:w w:val="105"/>
          <w:sz w:val="16"/>
        </w:rPr>
        <w:t>physical</w:t>
      </w:r>
      <w:r>
        <w:rPr>
          <w:spacing w:val="-7"/>
          <w:w w:val="105"/>
          <w:sz w:val="16"/>
        </w:rPr>
        <w:t> </w:t>
      </w:r>
      <w:r>
        <w:rPr>
          <w:spacing w:val="-2"/>
          <w:w w:val="105"/>
          <w:sz w:val="16"/>
        </w:rPr>
        <w:t>condition;</w:t>
      </w:r>
    </w:p>
    <w:p>
      <w:pPr>
        <w:pStyle w:val="ListParagraph"/>
        <w:numPr>
          <w:ilvl w:val="0"/>
          <w:numId w:val="17"/>
        </w:numPr>
        <w:tabs>
          <w:tab w:pos="462" w:val="left" w:leader="none"/>
        </w:tabs>
        <w:spacing w:line="240" w:lineRule="auto" w:before="20" w:after="0"/>
        <w:ind w:left="462" w:right="0" w:hanging="306"/>
        <w:jc w:val="left"/>
        <w:rPr>
          <w:sz w:val="16"/>
        </w:rPr>
      </w:pPr>
      <w:r>
        <w:rPr>
          <w:w w:val="105"/>
          <w:sz w:val="16"/>
        </w:rPr>
        <w:t>A</w:t>
      </w:r>
      <w:r>
        <w:rPr>
          <w:spacing w:val="-8"/>
          <w:w w:val="105"/>
          <w:sz w:val="16"/>
        </w:rPr>
        <w:t> </w:t>
      </w:r>
      <w:r>
        <w:rPr>
          <w:w w:val="105"/>
          <w:sz w:val="16"/>
        </w:rPr>
        <w:t>significant</w:t>
      </w:r>
      <w:r>
        <w:rPr>
          <w:spacing w:val="-8"/>
          <w:w w:val="105"/>
          <w:sz w:val="16"/>
        </w:rPr>
        <w:t> </w:t>
      </w:r>
      <w:r>
        <w:rPr>
          <w:w w:val="105"/>
          <w:sz w:val="16"/>
        </w:rPr>
        <w:t>adverse</w:t>
      </w:r>
      <w:r>
        <w:rPr>
          <w:spacing w:val="-7"/>
          <w:w w:val="105"/>
          <w:sz w:val="16"/>
        </w:rPr>
        <w:t> </w:t>
      </w:r>
      <w:r>
        <w:rPr>
          <w:w w:val="105"/>
          <w:sz w:val="16"/>
        </w:rPr>
        <w:t>change</w:t>
      </w:r>
      <w:r>
        <w:rPr>
          <w:spacing w:val="-8"/>
          <w:w w:val="105"/>
          <w:sz w:val="16"/>
        </w:rPr>
        <w:t> </w:t>
      </w:r>
      <w:r>
        <w:rPr>
          <w:w w:val="105"/>
          <w:sz w:val="16"/>
        </w:rPr>
        <w:t>in</w:t>
      </w:r>
      <w:r>
        <w:rPr>
          <w:spacing w:val="-7"/>
          <w:w w:val="105"/>
          <w:sz w:val="16"/>
        </w:rPr>
        <w:t> </w:t>
      </w:r>
      <w:r>
        <w:rPr>
          <w:w w:val="105"/>
          <w:sz w:val="16"/>
        </w:rPr>
        <w:t>legal</w:t>
      </w:r>
      <w:r>
        <w:rPr>
          <w:spacing w:val="-8"/>
          <w:w w:val="105"/>
          <w:sz w:val="16"/>
        </w:rPr>
        <w:t> </w:t>
      </w:r>
      <w:r>
        <w:rPr>
          <w:w w:val="105"/>
          <w:sz w:val="16"/>
        </w:rPr>
        <w:t>factors</w:t>
      </w:r>
      <w:r>
        <w:rPr>
          <w:spacing w:val="-7"/>
          <w:w w:val="105"/>
          <w:sz w:val="16"/>
        </w:rPr>
        <w:t> </w:t>
      </w:r>
      <w:r>
        <w:rPr>
          <w:w w:val="105"/>
          <w:sz w:val="16"/>
        </w:rPr>
        <w:t>or</w:t>
      </w:r>
      <w:r>
        <w:rPr>
          <w:spacing w:val="-8"/>
          <w:w w:val="105"/>
          <w:sz w:val="16"/>
        </w:rPr>
        <w:t> </w:t>
      </w:r>
      <w:r>
        <w:rPr>
          <w:w w:val="105"/>
          <w:sz w:val="16"/>
        </w:rPr>
        <w:t>in</w:t>
      </w:r>
      <w:r>
        <w:rPr>
          <w:spacing w:val="-6"/>
          <w:w w:val="105"/>
          <w:sz w:val="16"/>
        </w:rPr>
        <w:t> </w:t>
      </w:r>
      <w:r>
        <w:rPr>
          <w:w w:val="105"/>
          <w:sz w:val="16"/>
        </w:rPr>
        <w:t>the</w:t>
      </w:r>
      <w:r>
        <w:rPr>
          <w:spacing w:val="-7"/>
          <w:w w:val="105"/>
          <w:sz w:val="16"/>
        </w:rPr>
        <w:t> </w:t>
      </w:r>
      <w:r>
        <w:rPr>
          <w:w w:val="105"/>
          <w:sz w:val="16"/>
        </w:rPr>
        <w:t>business</w:t>
      </w:r>
      <w:r>
        <w:rPr>
          <w:spacing w:val="-8"/>
          <w:w w:val="105"/>
          <w:sz w:val="16"/>
        </w:rPr>
        <w:t> </w:t>
      </w:r>
      <w:r>
        <w:rPr>
          <w:w w:val="105"/>
          <w:sz w:val="16"/>
        </w:rPr>
        <w:t>climate</w:t>
      </w:r>
      <w:r>
        <w:rPr>
          <w:spacing w:val="-7"/>
          <w:w w:val="105"/>
          <w:sz w:val="16"/>
        </w:rPr>
        <w:t> </w:t>
      </w:r>
      <w:r>
        <w:rPr>
          <w:w w:val="105"/>
          <w:sz w:val="16"/>
        </w:rPr>
        <w:t>that</w:t>
      </w:r>
      <w:r>
        <w:rPr>
          <w:spacing w:val="-8"/>
          <w:w w:val="105"/>
          <w:sz w:val="16"/>
        </w:rPr>
        <w:t> </w:t>
      </w:r>
      <w:r>
        <w:rPr>
          <w:w w:val="105"/>
          <w:sz w:val="16"/>
        </w:rPr>
        <w:t>could</w:t>
      </w:r>
      <w:r>
        <w:rPr>
          <w:spacing w:val="-8"/>
          <w:w w:val="105"/>
          <w:sz w:val="16"/>
        </w:rPr>
        <w:t> </w:t>
      </w:r>
      <w:r>
        <w:rPr>
          <w:w w:val="105"/>
          <w:sz w:val="16"/>
        </w:rPr>
        <w:t>affect</w:t>
      </w:r>
      <w:r>
        <w:rPr>
          <w:spacing w:val="-7"/>
          <w:w w:val="105"/>
          <w:sz w:val="16"/>
        </w:rPr>
        <w:t> </w:t>
      </w:r>
      <w:r>
        <w:rPr>
          <w:w w:val="105"/>
          <w:sz w:val="16"/>
        </w:rPr>
        <w:t>the</w:t>
      </w:r>
      <w:r>
        <w:rPr>
          <w:spacing w:val="-8"/>
          <w:w w:val="105"/>
          <w:sz w:val="16"/>
        </w:rPr>
        <w:t> </w:t>
      </w:r>
      <w:r>
        <w:rPr>
          <w:w w:val="105"/>
          <w:sz w:val="16"/>
        </w:rPr>
        <w:t>value</w:t>
      </w:r>
      <w:r>
        <w:rPr>
          <w:spacing w:val="-7"/>
          <w:w w:val="105"/>
          <w:sz w:val="16"/>
        </w:rPr>
        <w:t> </w:t>
      </w:r>
      <w:r>
        <w:rPr>
          <w:w w:val="105"/>
          <w:sz w:val="16"/>
        </w:rPr>
        <w:t>of</w:t>
      </w:r>
      <w:r>
        <w:rPr>
          <w:spacing w:val="-8"/>
          <w:w w:val="105"/>
          <w:sz w:val="16"/>
        </w:rPr>
        <w:t> </w:t>
      </w:r>
      <w:r>
        <w:rPr>
          <w:w w:val="105"/>
          <w:sz w:val="16"/>
        </w:rPr>
        <w:t>the</w:t>
      </w:r>
      <w:r>
        <w:rPr>
          <w:spacing w:val="-7"/>
          <w:w w:val="105"/>
          <w:sz w:val="16"/>
        </w:rPr>
        <w:t> </w:t>
      </w:r>
      <w:r>
        <w:rPr>
          <w:w w:val="105"/>
          <w:sz w:val="16"/>
        </w:rPr>
        <w:t>asset,</w:t>
      </w:r>
      <w:r>
        <w:rPr>
          <w:spacing w:val="-8"/>
          <w:w w:val="105"/>
          <w:sz w:val="16"/>
        </w:rPr>
        <w:t> </w:t>
      </w:r>
      <w:r>
        <w:rPr>
          <w:w w:val="105"/>
          <w:sz w:val="16"/>
        </w:rPr>
        <w:t>including</w:t>
      </w:r>
      <w:r>
        <w:rPr>
          <w:spacing w:val="-7"/>
          <w:w w:val="105"/>
          <w:sz w:val="16"/>
        </w:rPr>
        <w:t> </w:t>
      </w:r>
      <w:r>
        <w:rPr>
          <w:w w:val="105"/>
          <w:sz w:val="16"/>
        </w:rPr>
        <w:t>an</w:t>
      </w:r>
      <w:r>
        <w:rPr>
          <w:spacing w:val="-8"/>
          <w:w w:val="105"/>
          <w:sz w:val="16"/>
        </w:rPr>
        <w:t> </w:t>
      </w:r>
      <w:r>
        <w:rPr>
          <w:w w:val="105"/>
          <w:sz w:val="16"/>
        </w:rPr>
        <w:t>adverse</w:t>
      </w:r>
      <w:r>
        <w:rPr>
          <w:spacing w:val="-8"/>
          <w:w w:val="105"/>
          <w:sz w:val="16"/>
        </w:rPr>
        <w:t> </w:t>
      </w:r>
      <w:r>
        <w:rPr>
          <w:w w:val="105"/>
          <w:sz w:val="16"/>
        </w:rPr>
        <w:t>action</w:t>
      </w:r>
      <w:r>
        <w:rPr>
          <w:spacing w:val="-7"/>
          <w:w w:val="105"/>
          <w:sz w:val="16"/>
        </w:rPr>
        <w:t> </w:t>
      </w:r>
      <w:r>
        <w:rPr>
          <w:w w:val="105"/>
          <w:sz w:val="16"/>
        </w:rPr>
        <w:t>or</w:t>
      </w:r>
      <w:r>
        <w:rPr>
          <w:spacing w:val="-8"/>
          <w:w w:val="105"/>
          <w:sz w:val="16"/>
        </w:rPr>
        <w:t> </w:t>
      </w:r>
      <w:r>
        <w:rPr>
          <w:w w:val="105"/>
          <w:sz w:val="16"/>
        </w:rPr>
        <w:t>assessment</w:t>
      </w:r>
      <w:r>
        <w:rPr>
          <w:spacing w:val="-7"/>
          <w:w w:val="105"/>
          <w:sz w:val="16"/>
        </w:rPr>
        <w:t> </w:t>
      </w:r>
      <w:r>
        <w:rPr>
          <w:w w:val="105"/>
          <w:sz w:val="16"/>
        </w:rPr>
        <w:t>by</w:t>
      </w:r>
      <w:r>
        <w:rPr>
          <w:spacing w:val="-6"/>
          <w:w w:val="105"/>
          <w:sz w:val="16"/>
        </w:rPr>
        <w:t> </w:t>
      </w:r>
      <w:r>
        <w:rPr>
          <w:w w:val="105"/>
          <w:sz w:val="16"/>
        </w:rPr>
        <w:t>a</w:t>
      </w:r>
      <w:r>
        <w:rPr>
          <w:spacing w:val="-8"/>
          <w:w w:val="105"/>
          <w:sz w:val="16"/>
        </w:rPr>
        <w:t> </w:t>
      </w:r>
      <w:r>
        <w:rPr>
          <w:spacing w:val="-2"/>
          <w:w w:val="105"/>
          <w:sz w:val="16"/>
        </w:rPr>
        <w:t>regulator;</w:t>
      </w:r>
    </w:p>
    <w:p>
      <w:pPr>
        <w:pStyle w:val="ListParagraph"/>
        <w:numPr>
          <w:ilvl w:val="0"/>
          <w:numId w:val="17"/>
        </w:numPr>
        <w:tabs>
          <w:tab w:pos="462" w:val="left" w:leader="none"/>
        </w:tabs>
        <w:spacing w:line="240" w:lineRule="auto" w:before="20" w:after="0"/>
        <w:ind w:left="462" w:right="0" w:hanging="306"/>
        <w:jc w:val="left"/>
        <w:rPr>
          <w:sz w:val="16"/>
        </w:rPr>
      </w:pPr>
      <w:r>
        <w:rPr>
          <w:w w:val="105"/>
          <w:sz w:val="16"/>
        </w:rPr>
        <w:t>An</w:t>
      </w:r>
      <w:r>
        <w:rPr>
          <w:spacing w:val="-9"/>
          <w:w w:val="105"/>
          <w:sz w:val="16"/>
        </w:rPr>
        <w:t> </w:t>
      </w:r>
      <w:r>
        <w:rPr>
          <w:w w:val="105"/>
          <w:sz w:val="16"/>
        </w:rPr>
        <w:t>accumulation</w:t>
      </w:r>
      <w:r>
        <w:rPr>
          <w:spacing w:val="-9"/>
          <w:w w:val="105"/>
          <w:sz w:val="16"/>
        </w:rPr>
        <w:t> </w:t>
      </w:r>
      <w:r>
        <w:rPr>
          <w:w w:val="105"/>
          <w:sz w:val="16"/>
        </w:rPr>
        <w:t>of</w:t>
      </w:r>
      <w:r>
        <w:rPr>
          <w:spacing w:val="-9"/>
          <w:w w:val="105"/>
          <w:sz w:val="16"/>
        </w:rPr>
        <w:t> </w:t>
      </w:r>
      <w:r>
        <w:rPr>
          <w:w w:val="105"/>
          <w:sz w:val="16"/>
        </w:rPr>
        <w:t>costs</w:t>
      </w:r>
      <w:r>
        <w:rPr>
          <w:spacing w:val="-9"/>
          <w:w w:val="105"/>
          <w:sz w:val="16"/>
        </w:rPr>
        <w:t> </w:t>
      </w:r>
      <w:r>
        <w:rPr>
          <w:w w:val="105"/>
          <w:sz w:val="16"/>
        </w:rPr>
        <w:t>significantly</w:t>
      </w:r>
      <w:r>
        <w:rPr>
          <w:spacing w:val="-9"/>
          <w:w w:val="105"/>
          <w:sz w:val="16"/>
        </w:rPr>
        <w:t> </w:t>
      </w:r>
      <w:r>
        <w:rPr>
          <w:w w:val="105"/>
          <w:sz w:val="16"/>
        </w:rPr>
        <w:t>more</w:t>
      </w:r>
      <w:r>
        <w:rPr>
          <w:spacing w:val="-9"/>
          <w:w w:val="105"/>
          <w:sz w:val="16"/>
        </w:rPr>
        <w:t> </w:t>
      </w:r>
      <w:r>
        <w:rPr>
          <w:w w:val="105"/>
          <w:sz w:val="16"/>
        </w:rPr>
        <w:t>than</w:t>
      </w:r>
      <w:r>
        <w:rPr>
          <w:spacing w:val="-9"/>
          <w:w w:val="105"/>
          <w:sz w:val="16"/>
        </w:rPr>
        <w:t> </w:t>
      </w:r>
      <w:r>
        <w:rPr>
          <w:w w:val="105"/>
          <w:sz w:val="16"/>
        </w:rPr>
        <w:t>the</w:t>
      </w:r>
      <w:r>
        <w:rPr>
          <w:spacing w:val="-7"/>
          <w:w w:val="105"/>
          <w:sz w:val="16"/>
        </w:rPr>
        <w:t> </w:t>
      </w:r>
      <w:r>
        <w:rPr>
          <w:w w:val="105"/>
          <w:sz w:val="16"/>
        </w:rPr>
        <w:t>amount</w:t>
      </w:r>
      <w:r>
        <w:rPr>
          <w:spacing w:val="-9"/>
          <w:w w:val="105"/>
          <w:sz w:val="16"/>
        </w:rPr>
        <w:t> </w:t>
      </w:r>
      <w:r>
        <w:rPr>
          <w:w w:val="105"/>
          <w:sz w:val="16"/>
        </w:rPr>
        <w:t>originally</w:t>
      </w:r>
      <w:r>
        <w:rPr>
          <w:spacing w:val="-9"/>
          <w:w w:val="105"/>
          <w:sz w:val="16"/>
        </w:rPr>
        <w:t> </w:t>
      </w:r>
      <w:r>
        <w:rPr>
          <w:w w:val="105"/>
          <w:sz w:val="16"/>
        </w:rPr>
        <w:t>expected</w:t>
      </w:r>
      <w:r>
        <w:rPr>
          <w:spacing w:val="-9"/>
          <w:w w:val="105"/>
          <w:sz w:val="16"/>
        </w:rPr>
        <w:t> </w:t>
      </w:r>
      <w:r>
        <w:rPr>
          <w:w w:val="105"/>
          <w:sz w:val="16"/>
        </w:rPr>
        <w:t>for</w:t>
      </w:r>
      <w:r>
        <w:rPr>
          <w:spacing w:val="-9"/>
          <w:w w:val="105"/>
          <w:sz w:val="16"/>
        </w:rPr>
        <w:t> </w:t>
      </w:r>
      <w:r>
        <w:rPr>
          <w:w w:val="105"/>
          <w:sz w:val="16"/>
        </w:rPr>
        <w:t>the</w:t>
      </w:r>
      <w:r>
        <w:rPr>
          <w:spacing w:val="-8"/>
          <w:w w:val="105"/>
          <w:sz w:val="16"/>
        </w:rPr>
        <w:t> </w:t>
      </w:r>
      <w:r>
        <w:rPr>
          <w:w w:val="105"/>
          <w:sz w:val="16"/>
        </w:rPr>
        <w:t>acquisition</w:t>
      </w:r>
      <w:r>
        <w:rPr>
          <w:spacing w:val="-9"/>
          <w:w w:val="105"/>
          <w:sz w:val="16"/>
        </w:rPr>
        <w:t> </w:t>
      </w:r>
      <w:r>
        <w:rPr>
          <w:w w:val="105"/>
          <w:sz w:val="16"/>
        </w:rPr>
        <w:t>or</w:t>
      </w:r>
      <w:r>
        <w:rPr>
          <w:spacing w:val="-9"/>
          <w:w w:val="105"/>
          <w:sz w:val="16"/>
        </w:rPr>
        <w:t> </w:t>
      </w:r>
      <w:r>
        <w:rPr>
          <w:w w:val="105"/>
          <w:sz w:val="16"/>
        </w:rPr>
        <w:t>construction</w:t>
      </w:r>
      <w:r>
        <w:rPr>
          <w:spacing w:val="-9"/>
          <w:w w:val="105"/>
          <w:sz w:val="16"/>
        </w:rPr>
        <w:t> </w:t>
      </w:r>
      <w:r>
        <w:rPr>
          <w:w w:val="105"/>
          <w:sz w:val="16"/>
        </w:rPr>
        <w:t>of</w:t>
      </w:r>
      <w:r>
        <w:rPr>
          <w:spacing w:val="-9"/>
          <w:w w:val="105"/>
          <w:sz w:val="16"/>
        </w:rPr>
        <w:t> </w:t>
      </w:r>
      <w:r>
        <w:rPr>
          <w:w w:val="105"/>
          <w:sz w:val="16"/>
        </w:rPr>
        <w:t>an</w:t>
      </w:r>
      <w:r>
        <w:rPr>
          <w:spacing w:val="-9"/>
          <w:w w:val="105"/>
          <w:sz w:val="16"/>
        </w:rPr>
        <w:t> </w:t>
      </w:r>
      <w:r>
        <w:rPr>
          <w:spacing w:val="-2"/>
          <w:w w:val="105"/>
          <w:sz w:val="16"/>
        </w:rPr>
        <w:t>asset;</w:t>
      </w:r>
    </w:p>
    <w:p>
      <w:pPr>
        <w:pStyle w:val="ListParagraph"/>
        <w:numPr>
          <w:ilvl w:val="0"/>
          <w:numId w:val="17"/>
        </w:numPr>
        <w:tabs>
          <w:tab w:pos="462" w:val="left" w:leader="none"/>
        </w:tabs>
        <w:spacing w:line="266" w:lineRule="auto" w:before="20" w:after="0"/>
        <w:ind w:left="462" w:right="438" w:hanging="306"/>
        <w:jc w:val="left"/>
        <w:rPr>
          <w:sz w:val="16"/>
        </w:rPr>
      </w:pPr>
      <w:r>
        <w:rPr>
          <w:w w:val="105"/>
          <w:sz w:val="16"/>
        </w:rPr>
        <w:t>A</w:t>
      </w:r>
      <w:r>
        <w:rPr>
          <w:spacing w:val="-8"/>
          <w:w w:val="105"/>
          <w:sz w:val="16"/>
        </w:rPr>
        <w:t> </w:t>
      </w:r>
      <w:r>
        <w:rPr>
          <w:w w:val="105"/>
          <w:sz w:val="16"/>
        </w:rPr>
        <w:t>current-period</w:t>
      </w:r>
      <w:r>
        <w:rPr>
          <w:spacing w:val="-8"/>
          <w:w w:val="105"/>
          <w:sz w:val="16"/>
        </w:rPr>
        <w:t> </w:t>
      </w:r>
      <w:r>
        <w:rPr>
          <w:w w:val="105"/>
          <w:sz w:val="16"/>
        </w:rPr>
        <w:t>operating</w:t>
      </w:r>
      <w:r>
        <w:rPr>
          <w:spacing w:val="-8"/>
          <w:w w:val="105"/>
          <w:sz w:val="16"/>
        </w:rPr>
        <w:t> </w:t>
      </w:r>
      <w:r>
        <w:rPr>
          <w:w w:val="105"/>
          <w:sz w:val="16"/>
        </w:rPr>
        <w:t>or</w:t>
      </w:r>
      <w:r>
        <w:rPr>
          <w:spacing w:val="-8"/>
          <w:w w:val="105"/>
          <w:sz w:val="16"/>
        </w:rPr>
        <w:t> </w:t>
      </w:r>
      <w:r>
        <w:rPr>
          <w:w w:val="105"/>
          <w:sz w:val="16"/>
        </w:rPr>
        <w:t>cash</w:t>
      </w:r>
      <w:r>
        <w:rPr>
          <w:spacing w:val="-8"/>
          <w:w w:val="105"/>
          <w:sz w:val="16"/>
        </w:rPr>
        <w:t> </w:t>
      </w:r>
      <w:r>
        <w:rPr>
          <w:w w:val="105"/>
          <w:sz w:val="16"/>
        </w:rPr>
        <w:t>flow</w:t>
      </w:r>
      <w:r>
        <w:rPr>
          <w:spacing w:val="-8"/>
          <w:w w:val="105"/>
          <w:sz w:val="16"/>
        </w:rPr>
        <w:t> </w:t>
      </w:r>
      <w:r>
        <w:rPr>
          <w:w w:val="105"/>
          <w:sz w:val="16"/>
        </w:rPr>
        <w:t>loss</w:t>
      </w:r>
      <w:r>
        <w:rPr>
          <w:spacing w:val="-8"/>
          <w:w w:val="105"/>
          <w:sz w:val="16"/>
        </w:rPr>
        <w:t> </w:t>
      </w:r>
      <w:r>
        <w:rPr>
          <w:w w:val="105"/>
          <w:sz w:val="16"/>
        </w:rPr>
        <w:t>combined</w:t>
      </w:r>
      <w:r>
        <w:rPr>
          <w:spacing w:val="-8"/>
          <w:w w:val="105"/>
          <w:sz w:val="16"/>
        </w:rPr>
        <w:t> </w:t>
      </w:r>
      <w:r>
        <w:rPr>
          <w:w w:val="105"/>
          <w:sz w:val="16"/>
        </w:rPr>
        <w:t>with</w:t>
      </w:r>
      <w:r>
        <w:rPr>
          <w:spacing w:val="-8"/>
          <w:w w:val="105"/>
          <w:sz w:val="16"/>
        </w:rPr>
        <w:t> </w:t>
      </w:r>
      <w:r>
        <w:rPr>
          <w:w w:val="105"/>
          <w:sz w:val="16"/>
        </w:rPr>
        <w:t>a</w:t>
      </w:r>
      <w:r>
        <w:rPr>
          <w:spacing w:val="-8"/>
          <w:w w:val="105"/>
          <w:sz w:val="16"/>
        </w:rPr>
        <w:t> </w:t>
      </w:r>
      <w:r>
        <w:rPr>
          <w:w w:val="105"/>
          <w:sz w:val="16"/>
        </w:rPr>
        <w:t>history</w:t>
      </w:r>
      <w:r>
        <w:rPr>
          <w:spacing w:val="-8"/>
          <w:w w:val="105"/>
          <w:sz w:val="16"/>
        </w:rPr>
        <w:t> </w:t>
      </w:r>
      <w:r>
        <w:rPr>
          <w:w w:val="105"/>
          <w:sz w:val="16"/>
        </w:rPr>
        <w:t>of</w:t>
      </w:r>
      <w:r>
        <w:rPr>
          <w:spacing w:val="-8"/>
          <w:w w:val="105"/>
          <w:sz w:val="16"/>
        </w:rPr>
        <w:t> </w:t>
      </w:r>
      <w:r>
        <w:rPr>
          <w:w w:val="105"/>
          <w:sz w:val="16"/>
        </w:rPr>
        <w:t>operating</w:t>
      </w:r>
      <w:r>
        <w:rPr>
          <w:spacing w:val="-8"/>
          <w:w w:val="105"/>
          <w:sz w:val="16"/>
        </w:rPr>
        <w:t> </w:t>
      </w:r>
      <w:r>
        <w:rPr>
          <w:w w:val="105"/>
          <w:sz w:val="16"/>
        </w:rPr>
        <w:t>or</w:t>
      </w:r>
      <w:r>
        <w:rPr>
          <w:spacing w:val="-8"/>
          <w:w w:val="105"/>
          <w:sz w:val="16"/>
        </w:rPr>
        <w:t> </w:t>
      </w:r>
      <w:r>
        <w:rPr>
          <w:w w:val="105"/>
          <w:sz w:val="16"/>
        </w:rPr>
        <w:t>cash</w:t>
      </w:r>
      <w:r>
        <w:rPr>
          <w:spacing w:val="-8"/>
          <w:w w:val="105"/>
          <w:sz w:val="16"/>
        </w:rPr>
        <w:t> </w:t>
      </w:r>
      <w:r>
        <w:rPr>
          <w:w w:val="105"/>
          <w:sz w:val="16"/>
        </w:rPr>
        <w:t>flow</w:t>
      </w:r>
      <w:r>
        <w:rPr>
          <w:spacing w:val="-8"/>
          <w:w w:val="105"/>
          <w:sz w:val="16"/>
        </w:rPr>
        <w:t> </w:t>
      </w:r>
      <w:r>
        <w:rPr>
          <w:w w:val="105"/>
          <w:sz w:val="16"/>
        </w:rPr>
        <w:t>losses</w:t>
      </w:r>
      <w:r>
        <w:rPr>
          <w:spacing w:val="-8"/>
          <w:w w:val="105"/>
          <w:sz w:val="16"/>
        </w:rPr>
        <w:t> </w:t>
      </w:r>
      <w:r>
        <w:rPr>
          <w:w w:val="105"/>
          <w:sz w:val="16"/>
        </w:rPr>
        <w:t>or</w:t>
      </w:r>
      <w:r>
        <w:rPr>
          <w:spacing w:val="-8"/>
          <w:w w:val="105"/>
          <w:sz w:val="16"/>
        </w:rPr>
        <w:t> </w:t>
      </w:r>
      <w:r>
        <w:rPr>
          <w:w w:val="105"/>
          <w:sz w:val="16"/>
        </w:rPr>
        <w:t>a</w:t>
      </w:r>
      <w:r>
        <w:rPr>
          <w:spacing w:val="-8"/>
          <w:w w:val="105"/>
          <w:sz w:val="16"/>
        </w:rPr>
        <w:t> </w:t>
      </w:r>
      <w:r>
        <w:rPr>
          <w:w w:val="105"/>
          <w:sz w:val="16"/>
        </w:rPr>
        <w:t>projection</w:t>
      </w:r>
      <w:r>
        <w:rPr>
          <w:spacing w:val="-8"/>
          <w:w w:val="105"/>
          <w:sz w:val="16"/>
        </w:rPr>
        <w:t> </w:t>
      </w:r>
      <w:r>
        <w:rPr>
          <w:w w:val="105"/>
          <w:sz w:val="16"/>
        </w:rPr>
        <w:t>or</w:t>
      </w:r>
      <w:r>
        <w:rPr>
          <w:spacing w:val="-8"/>
          <w:w w:val="105"/>
          <w:sz w:val="16"/>
        </w:rPr>
        <w:t> </w:t>
      </w:r>
      <w:r>
        <w:rPr>
          <w:w w:val="105"/>
          <w:sz w:val="16"/>
        </w:rPr>
        <w:t>forecast</w:t>
      </w:r>
      <w:r>
        <w:rPr>
          <w:spacing w:val="-8"/>
          <w:w w:val="105"/>
          <w:sz w:val="16"/>
        </w:rPr>
        <w:t> </w:t>
      </w:r>
      <w:r>
        <w:rPr>
          <w:w w:val="105"/>
          <w:sz w:val="16"/>
        </w:rPr>
        <w:t>that</w:t>
      </w:r>
      <w:r>
        <w:rPr>
          <w:spacing w:val="-8"/>
          <w:w w:val="105"/>
          <w:sz w:val="16"/>
        </w:rPr>
        <w:t> </w:t>
      </w:r>
      <w:r>
        <w:rPr>
          <w:w w:val="105"/>
          <w:sz w:val="16"/>
        </w:rPr>
        <w:t>demonstrates</w:t>
      </w:r>
      <w:r>
        <w:rPr>
          <w:spacing w:val="-6"/>
          <w:w w:val="105"/>
          <w:sz w:val="16"/>
        </w:rPr>
        <w:t> </w:t>
      </w:r>
      <w:r>
        <w:rPr>
          <w:w w:val="105"/>
          <w:sz w:val="16"/>
        </w:rPr>
        <w:t>continuing</w:t>
      </w:r>
      <w:r>
        <w:rPr>
          <w:spacing w:val="-8"/>
          <w:w w:val="105"/>
          <w:sz w:val="16"/>
        </w:rPr>
        <w:t> </w:t>
      </w:r>
      <w:r>
        <w:rPr>
          <w:w w:val="105"/>
          <w:sz w:val="16"/>
        </w:rPr>
        <w:t>losses associated with the use of an asset; and</w:t>
      </w:r>
    </w:p>
    <w:p>
      <w:pPr>
        <w:pStyle w:val="ListParagraph"/>
        <w:numPr>
          <w:ilvl w:val="0"/>
          <w:numId w:val="17"/>
        </w:numPr>
        <w:tabs>
          <w:tab w:pos="462" w:val="left" w:leader="none"/>
        </w:tabs>
        <w:spacing w:line="183" w:lineRule="exact" w:before="0" w:after="0"/>
        <w:ind w:left="462" w:right="0" w:hanging="306"/>
        <w:jc w:val="left"/>
        <w:rPr>
          <w:sz w:val="16"/>
        </w:rPr>
      </w:pPr>
      <w:r>
        <w:rPr>
          <w:w w:val="105"/>
          <w:sz w:val="16"/>
        </w:rPr>
        <w:t>A</w:t>
      </w:r>
      <w:r>
        <w:rPr>
          <w:spacing w:val="-8"/>
          <w:w w:val="105"/>
          <w:sz w:val="16"/>
        </w:rPr>
        <w:t> </w:t>
      </w:r>
      <w:r>
        <w:rPr>
          <w:w w:val="105"/>
          <w:sz w:val="16"/>
        </w:rPr>
        <w:t>current</w:t>
      </w:r>
      <w:r>
        <w:rPr>
          <w:spacing w:val="-8"/>
          <w:w w:val="105"/>
          <w:sz w:val="16"/>
        </w:rPr>
        <w:t> </w:t>
      </w:r>
      <w:r>
        <w:rPr>
          <w:w w:val="105"/>
          <w:sz w:val="16"/>
        </w:rPr>
        <w:t>expectation</w:t>
      </w:r>
      <w:r>
        <w:rPr>
          <w:spacing w:val="-8"/>
          <w:w w:val="105"/>
          <w:sz w:val="16"/>
        </w:rPr>
        <w:t> </w:t>
      </w:r>
      <w:r>
        <w:rPr>
          <w:w w:val="105"/>
          <w:sz w:val="16"/>
        </w:rPr>
        <w:t>that,</w:t>
      </w:r>
      <w:r>
        <w:rPr>
          <w:spacing w:val="-8"/>
          <w:w w:val="105"/>
          <w:sz w:val="16"/>
        </w:rPr>
        <w:t> </w:t>
      </w:r>
      <w:r>
        <w:rPr>
          <w:w w:val="105"/>
          <w:sz w:val="16"/>
        </w:rPr>
        <w:t>more</w:t>
      </w:r>
      <w:r>
        <w:rPr>
          <w:spacing w:val="-8"/>
          <w:w w:val="105"/>
          <w:sz w:val="16"/>
        </w:rPr>
        <w:t> </w:t>
      </w:r>
      <w:r>
        <w:rPr>
          <w:w w:val="105"/>
          <w:sz w:val="16"/>
        </w:rPr>
        <w:t>likely</w:t>
      </w:r>
      <w:r>
        <w:rPr>
          <w:spacing w:val="-8"/>
          <w:w w:val="105"/>
          <w:sz w:val="16"/>
        </w:rPr>
        <w:t> </w:t>
      </w:r>
      <w:r>
        <w:rPr>
          <w:w w:val="105"/>
          <w:sz w:val="16"/>
        </w:rPr>
        <w:t>than</w:t>
      </w:r>
      <w:r>
        <w:rPr>
          <w:spacing w:val="-7"/>
          <w:w w:val="105"/>
          <w:sz w:val="16"/>
        </w:rPr>
        <w:t> </w:t>
      </w:r>
      <w:r>
        <w:rPr>
          <w:w w:val="105"/>
          <w:sz w:val="16"/>
        </w:rPr>
        <w:t>not,</w:t>
      </w:r>
      <w:r>
        <w:rPr>
          <w:spacing w:val="-8"/>
          <w:w w:val="105"/>
          <w:sz w:val="16"/>
        </w:rPr>
        <w:t> </w:t>
      </w:r>
      <w:r>
        <w:rPr>
          <w:w w:val="105"/>
          <w:sz w:val="16"/>
        </w:rPr>
        <w:t>an</w:t>
      </w:r>
      <w:r>
        <w:rPr>
          <w:spacing w:val="-6"/>
          <w:w w:val="105"/>
          <w:sz w:val="16"/>
        </w:rPr>
        <w:t> </w:t>
      </w:r>
      <w:r>
        <w:rPr>
          <w:w w:val="105"/>
          <w:sz w:val="16"/>
        </w:rPr>
        <w:t>asset</w:t>
      </w:r>
      <w:r>
        <w:rPr>
          <w:spacing w:val="-8"/>
          <w:w w:val="105"/>
          <w:sz w:val="16"/>
        </w:rPr>
        <w:t> </w:t>
      </w:r>
      <w:r>
        <w:rPr>
          <w:w w:val="105"/>
          <w:sz w:val="16"/>
        </w:rPr>
        <w:t>will</w:t>
      </w:r>
      <w:r>
        <w:rPr>
          <w:spacing w:val="-8"/>
          <w:w w:val="105"/>
          <w:sz w:val="16"/>
        </w:rPr>
        <w:t> </w:t>
      </w:r>
      <w:r>
        <w:rPr>
          <w:w w:val="105"/>
          <w:sz w:val="16"/>
        </w:rPr>
        <w:t>be</w:t>
      </w:r>
      <w:r>
        <w:rPr>
          <w:spacing w:val="-8"/>
          <w:w w:val="105"/>
          <w:sz w:val="16"/>
        </w:rPr>
        <w:t> </w:t>
      </w:r>
      <w:r>
        <w:rPr>
          <w:w w:val="105"/>
          <w:sz w:val="16"/>
        </w:rPr>
        <w:t>sold</w:t>
      </w:r>
      <w:r>
        <w:rPr>
          <w:spacing w:val="-8"/>
          <w:w w:val="105"/>
          <w:sz w:val="16"/>
        </w:rPr>
        <w:t> </w:t>
      </w:r>
      <w:r>
        <w:rPr>
          <w:w w:val="105"/>
          <w:sz w:val="16"/>
        </w:rPr>
        <w:t>or</w:t>
      </w:r>
      <w:r>
        <w:rPr>
          <w:spacing w:val="-8"/>
          <w:w w:val="105"/>
          <w:sz w:val="16"/>
        </w:rPr>
        <w:t> </w:t>
      </w:r>
      <w:r>
        <w:rPr>
          <w:w w:val="105"/>
          <w:sz w:val="16"/>
        </w:rPr>
        <w:t>otherwise</w:t>
      </w:r>
      <w:r>
        <w:rPr>
          <w:spacing w:val="-8"/>
          <w:w w:val="105"/>
          <w:sz w:val="16"/>
        </w:rPr>
        <w:t> </w:t>
      </w:r>
      <w:r>
        <w:rPr>
          <w:w w:val="105"/>
          <w:sz w:val="16"/>
        </w:rPr>
        <w:t>disposed</w:t>
      </w:r>
      <w:r>
        <w:rPr>
          <w:spacing w:val="-7"/>
          <w:w w:val="105"/>
          <w:sz w:val="16"/>
        </w:rPr>
        <w:t> </w:t>
      </w:r>
      <w:r>
        <w:rPr>
          <w:w w:val="105"/>
          <w:sz w:val="16"/>
        </w:rPr>
        <w:t>of</w:t>
      </w:r>
      <w:r>
        <w:rPr>
          <w:spacing w:val="-8"/>
          <w:w w:val="105"/>
          <w:sz w:val="16"/>
        </w:rPr>
        <w:t> </w:t>
      </w:r>
      <w:r>
        <w:rPr>
          <w:w w:val="105"/>
          <w:sz w:val="16"/>
        </w:rPr>
        <w:t>significantly</w:t>
      </w:r>
      <w:r>
        <w:rPr>
          <w:spacing w:val="-8"/>
          <w:w w:val="105"/>
          <w:sz w:val="16"/>
        </w:rPr>
        <w:t> </w:t>
      </w:r>
      <w:r>
        <w:rPr>
          <w:w w:val="105"/>
          <w:sz w:val="16"/>
        </w:rPr>
        <w:t>before</w:t>
      </w:r>
      <w:r>
        <w:rPr>
          <w:spacing w:val="-8"/>
          <w:w w:val="105"/>
          <w:sz w:val="16"/>
        </w:rPr>
        <w:t> </w:t>
      </w:r>
      <w:r>
        <w:rPr>
          <w:w w:val="105"/>
          <w:sz w:val="16"/>
        </w:rPr>
        <w:t>the</w:t>
      </w:r>
      <w:r>
        <w:rPr>
          <w:spacing w:val="-8"/>
          <w:w w:val="105"/>
          <w:sz w:val="16"/>
        </w:rPr>
        <w:t> </w:t>
      </w:r>
      <w:r>
        <w:rPr>
          <w:w w:val="105"/>
          <w:sz w:val="16"/>
        </w:rPr>
        <w:t>end</w:t>
      </w:r>
      <w:r>
        <w:rPr>
          <w:spacing w:val="-8"/>
          <w:w w:val="105"/>
          <w:sz w:val="16"/>
        </w:rPr>
        <w:t> </w:t>
      </w:r>
      <w:r>
        <w:rPr>
          <w:w w:val="105"/>
          <w:sz w:val="16"/>
        </w:rPr>
        <w:t>of</w:t>
      </w:r>
      <w:r>
        <w:rPr>
          <w:spacing w:val="-8"/>
          <w:w w:val="105"/>
          <w:sz w:val="16"/>
        </w:rPr>
        <w:t> </w:t>
      </w:r>
      <w:r>
        <w:rPr>
          <w:w w:val="105"/>
          <w:sz w:val="16"/>
        </w:rPr>
        <w:t>its</w:t>
      </w:r>
      <w:r>
        <w:rPr>
          <w:spacing w:val="-7"/>
          <w:w w:val="105"/>
          <w:sz w:val="16"/>
        </w:rPr>
        <w:t> </w:t>
      </w:r>
      <w:r>
        <w:rPr>
          <w:w w:val="105"/>
          <w:sz w:val="16"/>
        </w:rPr>
        <w:t>previously</w:t>
      </w:r>
      <w:r>
        <w:rPr>
          <w:spacing w:val="-8"/>
          <w:w w:val="105"/>
          <w:sz w:val="16"/>
        </w:rPr>
        <w:t> </w:t>
      </w:r>
      <w:r>
        <w:rPr>
          <w:w w:val="105"/>
          <w:sz w:val="16"/>
        </w:rPr>
        <w:t>estimated</w:t>
      </w:r>
      <w:r>
        <w:rPr>
          <w:spacing w:val="-8"/>
          <w:w w:val="105"/>
          <w:sz w:val="16"/>
        </w:rPr>
        <w:t> </w:t>
      </w:r>
      <w:r>
        <w:rPr>
          <w:w w:val="105"/>
          <w:sz w:val="16"/>
        </w:rPr>
        <w:t>useful</w:t>
      </w:r>
      <w:r>
        <w:rPr>
          <w:spacing w:val="-8"/>
          <w:w w:val="105"/>
          <w:sz w:val="16"/>
        </w:rPr>
        <w:t> </w:t>
      </w:r>
      <w:r>
        <w:rPr>
          <w:spacing w:val="-2"/>
          <w:w w:val="105"/>
          <w:sz w:val="16"/>
        </w:rPr>
        <w:t>life.</w:t>
      </w:r>
    </w:p>
    <w:p>
      <w:pPr>
        <w:pStyle w:val="BodyText"/>
        <w:spacing w:before="39"/>
      </w:pPr>
    </w:p>
    <w:p>
      <w:pPr>
        <w:pStyle w:val="BodyText"/>
        <w:spacing w:line="266" w:lineRule="auto" w:before="1"/>
        <w:ind w:left="156"/>
      </w:pPr>
      <w:r>
        <w:rPr>
          <w:w w:val="105"/>
        </w:rPr>
        <w:t>For</w:t>
      </w:r>
      <w:r>
        <w:rPr>
          <w:spacing w:val="-2"/>
          <w:w w:val="105"/>
        </w:rPr>
        <w:t> </w:t>
      </w:r>
      <w:r>
        <w:rPr>
          <w:w w:val="105"/>
        </w:rPr>
        <w:t>purposes</w:t>
      </w:r>
      <w:r>
        <w:rPr>
          <w:spacing w:val="-2"/>
          <w:w w:val="105"/>
        </w:rPr>
        <w:t> </w:t>
      </w:r>
      <w:r>
        <w:rPr>
          <w:w w:val="105"/>
        </w:rPr>
        <w:t>of</w:t>
      </w:r>
      <w:r>
        <w:rPr>
          <w:spacing w:val="-2"/>
          <w:w w:val="105"/>
        </w:rPr>
        <w:t> </w:t>
      </w:r>
      <w:r>
        <w:rPr>
          <w:w w:val="105"/>
        </w:rPr>
        <w:t>recognition</w:t>
      </w:r>
      <w:r>
        <w:rPr>
          <w:spacing w:val="-2"/>
          <w:w w:val="105"/>
        </w:rPr>
        <w:t> </w:t>
      </w:r>
      <w:r>
        <w:rPr>
          <w:w w:val="105"/>
        </w:rPr>
        <w:t>and</w:t>
      </w:r>
      <w:r>
        <w:rPr>
          <w:spacing w:val="-2"/>
          <w:w w:val="105"/>
        </w:rPr>
        <w:t> </w:t>
      </w:r>
      <w:r>
        <w:rPr>
          <w:w w:val="105"/>
        </w:rPr>
        <w:t>measurement</w:t>
      </w:r>
      <w:r>
        <w:rPr>
          <w:spacing w:val="-2"/>
          <w:w w:val="105"/>
        </w:rPr>
        <w:t> </w:t>
      </w:r>
      <w:r>
        <w:rPr>
          <w:w w:val="105"/>
        </w:rPr>
        <w:t>of</w:t>
      </w:r>
      <w:r>
        <w:rPr>
          <w:spacing w:val="-2"/>
          <w:w w:val="105"/>
        </w:rPr>
        <w:t> </w:t>
      </w:r>
      <w:r>
        <w:rPr>
          <w:w w:val="105"/>
        </w:rPr>
        <w:t>an</w:t>
      </w:r>
      <w:r>
        <w:rPr>
          <w:spacing w:val="-2"/>
          <w:w w:val="105"/>
        </w:rPr>
        <w:t> </w:t>
      </w:r>
      <w:r>
        <w:rPr>
          <w:w w:val="105"/>
        </w:rPr>
        <w:t>impairment</w:t>
      </w:r>
      <w:r>
        <w:rPr>
          <w:spacing w:val="-2"/>
          <w:w w:val="105"/>
        </w:rPr>
        <w:t> </w:t>
      </w:r>
      <w:r>
        <w:rPr>
          <w:w w:val="105"/>
        </w:rPr>
        <w:t>loss,</w:t>
      </w:r>
      <w:r>
        <w:rPr>
          <w:spacing w:val="-2"/>
          <w:w w:val="105"/>
        </w:rPr>
        <w:t> </w:t>
      </w:r>
      <w:r>
        <w:rPr>
          <w:w w:val="105"/>
        </w:rPr>
        <w:t>a</w:t>
      </w:r>
      <w:r>
        <w:rPr>
          <w:spacing w:val="-2"/>
          <w:w w:val="105"/>
        </w:rPr>
        <w:t> </w:t>
      </w:r>
      <w:r>
        <w:rPr>
          <w:w w:val="105"/>
        </w:rPr>
        <w:t>long-lived</w:t>
      </w:r>
      <w:r>
        <w:rPr>
          <w:spacing w:val="-2"/>
          <w:w w:val="105"/>
        </w:rPr>
        <w:t> </w:t>
      </w:r>
      <w:r>
        <w:rPr>
          <w:w w:val="105"/>
        </w:rPr>
        <w:t>asset</w:t>
      </w:r>
      <w:r>
        <w:rPr>
          <w:spacing w:val="-2"/>
          <w:w w:val="105"/>
        </w:rPr>
        <w:t> </w:t>
      </w:r>
      <w:r>
        <w:rPr>
          <w:w w:val="105"/>
        </w:rPr>
        <w:t>or</w:t>
      </w:r>
      <w:r>
        <w:rPr>
          <w:spacing w:val="-2"/>
          <w:w w:val="105"/>
        </w:rPr>
        <w:t> </w:t>
      </w:r>
      <w:r>
        <w:rPr>
          <w:w w:val="105"/>
        </w:rPr>
        <w:t>assets</w:t>
      </w:r>
      <w:r>
        <w:rPr>
          <w:spacing w:val="-2"/>
          <w:w w:val="105"/>
        </w:rPr>
        <w:t> </w:t>
      </w:r>
      <w:r>
        <w:rPr>
          <w:w w:val="105"/>
        </w:rPr>
        <w:t>is</w:t>
      </w:r>
      <w:r>
        <w:rPr>
          <w:spacing w:val="-2"/>
          <w:w w:val="105"/>
        </w:rPr>
        <w:t> </w:t>
      </w:r>
      <w:r>
        <w:rPr>
          <w:w w:val="105"/>
        </w:rPr>
        <w:t>grouped</w:t>
      </w:r>
      <w:r>
        <w:rPr>
          <w:spacing w:val="-2"/>
          <w:w w:val="105"/>
        </w:rPr>
        <w:t> </w:t>
      </w:r>
      <w:r>
        <w:rPr>
          <w:w w:val="105"/>
        </w:rPr>
        <w:t>with</w:t>
      </w:r>
      <w:r>
        <w:rPr>
          <w:spacing w:val="-2"/>
          <w:w w:val="105"/>
        </w:rPr>
        <w:t> </w:t>
      </w:r>
      <w:r>
        <w:rPr>
          <w:w w:val="105"/>
        </w:rPr>
        <w:t>other</w:t>
      </w:r>
      <w:r>
        <w:rPr>
          <w:spacing w:val="-2"/>
          <w:w w:val="105"/>
        </w:rPr>
        <w:t> </w:t>
      </w:r>
      <w:r>
        <w:rPr>
          <w:w w:val="105"/>
        </w:rPr>
        <w:t>assets</w:t>
      </w:r>
      <w:r>
        <w:rPr>
          <w:spacing w:val="-2"/>
          <w:w w:val="105"/>
        </w:rPr>
        <w:t> </w:t>
      </w:r>
      <w:r>
        <w:rPr>
          <w:w w:val="105"/>
        </w:rPr>
        <w:t>and</w:t>
      </w:r>
      <w:r>
        <w:rPr>
          <w:spacing w:val="-2"/>
          <w:w w:val="105"/>
        </w:rPr>
        <w:t> </w:t>
      </w:r>
      <w:r>
        <w:rPr>
          <w:w w:val="105"/>
        </w:rPr>
        <w:t>liabilities</w:t>
      </w:r>
      <w:r>
        <w:rPr>
          <w:spacing w:val="-2"/>
          <w:w w:val="105"/>
        </w:rPr>
        <w:t> </w:t>
      </w:r>
      <w:r>
        <w:rPr>
          <w:w w:val="105"/>
        </w:rPr>
        <w:t>at the</w:t>
      </w:r>
      <w:r>
        <w:rPr>
          <w:spacing w:val="-2"/>
          <w:w w:val="105"/>
        </w:rPr>
        <w:t> </w:t>
      </w:r>
      <w:r>
        <w:rPr>
          <w:w w:val="105"/>
        </w:rPr>
        <w:t>lowest</w:t>
      </w:r>
      <w:r>
        <w:rPr>
          <w:spacing w:val="-2"/>
          <w:w w:val="105"/>
        </w:rPr>
        <w:t> </w:t>
      </w:r>
      <w:r>
        <w:rPr>
          <w:w w:val="105"/>
        </w:rPr>
        <w:t>level</w:t>
      </w:r>
      <w:r>
        <w:rPr>
          <w:spacing w:val="-2"/>
          <w:w w:val="105"/>
        </w:rPr>
        <w:t> </w:t>
      </w:r>
      <w:r>
        <w:rPr>
          <w:w w:val="105"/>
        </w:rPr>
        <w:t>for</w:t>
      </w:r>
      <w:r>
        <w:rPr>
          <w:spacing w:val="-2"/>
          <w:w w:val="105"/>
        </w:rPr>
        <w:t> </w:t>
      </w:r>
      <w:r>
        <w:rPr>
          <w:w w:val="105"/>
        </w:rPr>
        <w:t>which identifiable</w:t>
      </w:r>
      <w:r>
        <w:rPr>
          <w:spacing w:val="-8"/>
          <w:w w:val="105"/>
        </w:rPr>
        <w:t> </w:t>
      </w:r>
      <w:r>
        <w:rPr>
          <w:w w:val="105"/>
        </w:rPr>
        <w:t>cash</w:t>
      </w:r>
      <w:r>
        <w:rPr>
          <w:spacing w:val="-8"/>
          <w:w w:val="105"/>
        </w:rPr>
        <w:t> </w:t>
      </w:r>
      <w:r>
        <w:rPr>
          <w:w w:val="105"/>
        </w:rPr>
        <w:t>flows</w:t>
      </w:r>
      <w:r>
        <w:rPr>
          <w:spacing w:val="-8"/>
          <w:w w:val="105"/>
        </w:rPr>
        <w:t> </w:t>
      </w:r>
      <w:r>
        <w:rPr>
          <w:w w:val="105"/>
        </w:rPr>
        <w:t>are</w:t>
      </w:r>
      <w:r>
        <w:rPr>
          <w:spacing w:val="-8"/>
          <w:w w:val="105"/>
        </w:rPr>
        <w:t> </w:t>
      </w:r>
      <w:r>
        <w:rPr>
          <w:w w:val="105"/>
        </w:rPr>
        <w:t>largely</w:t>
      </w:r>
      <w:r>
        <w:rPr>
          <w:spacing w:val="-8"/>
          <w:w w:val="105"/>
        </w:rPr>
        <w:t> </w:t>
      </w:r>
      <w:r>
        <w:rPr>
          <w:w w:val="105"/>
        </w:rPr>
        <w:t>independent</w:t>
      </w:r>
      <w:r>
        <w:rPr>
          <w:spacing w:val="-8"/>
          <w:w w:val="105"/>
        </w:rPr>
        <w:t> </w:t>
      </w:r>
      <w:r>
        <w:rPr>
          <w:w w:val="105"/>
        </w:rPr>
        <w:t>of</w:t>
      </w:r>
      <w:r>
        <w:rPr>
          <w:spacing w:val="-8"/>
          <w:w w:val="105"/>
        </w:rPr>
        <w:t> </w:t>
      </w:r>
      <w:r>
        <w:rPr>
          <w:w w:val="105"/>
        </w:rPr>
        <w:t>the</w:t>
      </w:r>
      <w:r>
        <w:rPr>
          <w:spacing w:val="-8"/>
          <w:w w:val="105"/>
        </w:rPr>
        <w:t> </w:t>
      </w:r>
      <w:r>
        <w:rPr>
          <w:w w:val="105"/>
        </w:rPr>
        <w:t>cash</w:t>
      </w:r>
      <w:r>
        <w:rPr>
          <w:spacing w:val="-8"/>
          <w:w w:val="105"/>
        </w:rPr>
        <w:t> </w:t>
      </w:r>
      <w:r>
        <w:rPr>
          <w:w w:val="105"/>
        </w:rPr>
        <w:t>flows</w:t>
      </w:r>
      <w:r>
        <w:rPr>
          <w:spacing w:val="-8"/>
          <w:w w:val="105"/>
        </w:rPr>
        <w:t> </w:t>
      </w:r>
      <w:r>
        <w:rPr>
          <w:w w:val="105"/>
        </w:rPr>
        <w:t>of</w:t>
      </w:r>
      <w:r>
        <w:rPr>
          <w:spacing w:val="-8"/>
          <w:w w:val="105"/>
        </w:rPr>
        <w:t> </w:t>
      </w:r>
      <w:r>
        <w:rPr>
          <w:w w:val="105"/>
        </w:rPr>
        <w:t>other</w:t>
      </w:r>
      <w:r>
        <w:rPr>
          <w:spacing w:val="-8"/>
          <w:w w:val="105"/>
        </w:rPr>
        <w:t> </w:t>
      </w:r>
      <w:r>
        <w:rPr>
          <w:w w:val="105"/>
        </w:rPr>
        <w:t>assets</w:t>
      </w:r>
      <w:r>
        <w:rPr>
          <w:spacing w:val="-6"/>
          <w:w w:val="105"/>
        </w:rPr>
        <w:t> </w:t>
      </w:r>
      <w:r>
        <w:rPr>
          <w:w w:val="105"/>
        </w:rPr>
        <w:t>and</w:t>
      </w:r>
      <w:r>
        <w:rPr>
          <w:spacing w:val="-8"/>
          <w:w w:val="105"/>
        </w:rPr>
        <w:t> </w:t>
      </w:r>
      <w:r>
        <w:rPr>
          <w:w w:val="105"/>
        </w:rPr>
        <w:t>liabilities.</w:t>
      </w:r>
      <w:r>
        <w:rPr>
          <w:spacing w:val="-8"/>
          <w:w w:val="105"/>
        </w:rPr>
        <w:t> </w:t>
      </w:r>
      <w:r>
        <w:rPr>
          <w:w w:val="105"/>
        </w:rPr>
        <w:t>We</w:t>
      </w:r>
      <w:r>
        <w:rPr>
          <w:spacing w:val="-8"/>
          <w:w w:val="105"/>
        </w:rPr>
        <w:t> </w:t>
      </w:r>
      <w:r>
        <w:rPr>
          <w:w w:val="105"/>
        </w:rPr>
        <w:t>must</w:t>
      </w:r>
      <w:r>
        <w:rPr>
          <w:spacing w:val="-8"/>
          <w:w w:val="105"/>
        </w:rPr>
        <w:t> </w:t>
      </w:r>
      <w:r>
        <w:rPr>
          <w:w w:val="105"/>
        </w:rPr>
        <w:t>exercise</w:t>
      </w:r>
      <w:r>
        <w:rPr>
          <w:spacing w:val="-8"/>
          <w:w w:val="105"/>
        </w:rPr>
        <w:t> </w:t>
      </w:r>
      <w:r>
        <w:rPr>
          <w:w w:val="105"/>
        </w:rPr>
        <w:t>judgment</w:t>
      </w:r>
      <w:r>
        <w:rPr>
          <w:spacing w:val="-8"/>
          <w:w w:val="105"/>
        </w:rPr>
        <w:t> </w:t>
      </w:r>
      <w:r>
        <w:rPr>
          <w:w w:val="105"/>
        </w:rPr>
        <w:t>in</w:t>
      </w:r>
      <w:r>
        <w:rPr>
          <w:spacing w:val="-8"/>
          <w:w w:val="105"/>
        </w:rPr>
        <w:t> </w:t>
      </w:r>
      <w:r>
        <w:rPr>
          <w:w w:val="105"/>
        </w:rPr>
        <w:t>assessing</w:t>
      </w:r>
      <w:r>
        <w:rPr>
          <w:spacing w:val="-8"/>
          <w:w w:val="105"/>
        </w:rPr>
        <w:t> </w:t>
      </w:r>
      <w:r>
        <w:rPr>
          <w:w w:val="105"/>
        </w:rPr>
        <w:t>the</w:t>
      </w:r>
      <w:r>
        <w:rPr>
          <w:spacing w:val="-8"/>
          <w:w w:val="105"/>
        </w:rPr>
        <w:t> </w:t>
      </w:r>
      <w:r>
        <w:rPr>
          <w:w w:val="105"/>
        </w:rPr>
        <w:t>lowest</w:t>
      </w:r>
      <w:r>
        <w:rPr>
          <w:spacing w:val="-8"/>
          <w:w w:val="105"/>
        </w:rPr>
        <w:t> </w:t>
      </w:r>
      <w:r>
        <w:rPr>
          <w:w w:val="105"/>
        </w:rPr>
        <w:t>level</w:t>
      </w:r>
      <w:r>
        <w:rPr>
          <w:spacing w:val="-8"/>
          <w:w w:val="105"/>
        </w:rPr>
        <w:t> </w:t>
      </w:r>
      <w:r>
        <w:rPr>
          <w:w w:val="105"/>
        </w:rPr>
        <w:t>for</w:t>
      </w:r>
      <w:r>
        <w:rPr>
          <w:spacing w:val="-8"/>
          <w:w w:val="105"/>
        </w:rPr>
        <w:t> </w:t>
      </w:r>
      <w:r>
        <w:rPr>
          <w:w w:val="105"/>
        </w:rPr>
        <w:t>which</w:t>
      </w:r>
      <w:r>
        <w:rPr>
          <w:spacing w:val="-6"/>
          <w:w w:val="105"/>
        </w:rPr>
        <w:t> </w:t>
      </w:r>
      <w:r>
        <w:rPr>
          <w:w w:val="105"/>
        </w:rPr>
        <w:t>identifiable cash</w:t>
      </w:r>
      <w:r>
        <w:rPr>
          <w:spacing w:val="-2"/>
          <w:w w:val="105"/>
        </w:rPr>
        <w:t> </w:t>
      </w:r>
      <w:r>
        <w:rPr>
          <w:w w:val="105"/>
        </w:rPr>
        <w:t>flows</w:t>
      </w:r>
      <w:r>
        <w:rPr>
          <w:spacing w:val="-2"/>
          <w:w w:val="105"/>
        </w:rPr>
        <w:t> </w:t>
      </w:r>
      <w:r>
        <w:rPr>
          <w:w w:val="105"/>
        </w:rPr>
        <w:t>are</w:t>
      </w:r>
      <w:r>
        <w:rPr>
          <w:spacing w:val="-2"/>
          <w:w w:val="105"/>
        </w:rPr>
        <w:t> </w:t>
      </w:r>
      <w:r>
        <w:rPr>
          <w:w w:val="105"/>
        </w:rPr>
        <w:t>largely</w:t>
      </w:r>
      <w:r>
        <w:rPr>
          <w:spacing w:val="-2"/>
          <w:w w:val="105"/>
        </w:rPr>
        <w:t> </w:t>
      </w:r>
      <w:r>
        <w:rPr>
          <w:w w:val="105"/>
        </w:rPr>
        <w:t>independent</w:t>
      </w:r>
      <w:r>
        <w:rPr>
          <w:spacing w:val="-2"/>
          <w:w w:val="105"/>
        </w:rPr>
        <w:t> </w:t>
      </w:r>
      <w:r>
        <w:rPr>
          <w:w w:val="105"/>
        </w:rPr>
        <w:t>of</w:t>
      </w:r>
      <w:r>
        <w:rPr>
          <w:spacing w:val="-2"/>
          <w:w w:val="105"/>
        </w:rPr>
        <w:t> </w:t>
      </w:r>
      <w:r>
        <w:rPr>
          <w:w w:val="105"/>
        </w:rPr>
        <w:t>the</w:t>
      </w:r>
      <w:r>
        <w:rPr>
          <w:spacing w:val="-2"/>
          <w:w w:val="105"/>
        </w:rPr>
        <w:t> </w:t>
      </w:r>
      <w:r>
        <w:rPr>
          <w:w w:val="105"/>
        </w:rPr>
        <w:t>cash</w:t>
      </w:r>
      <w:r>
        <w:rPr>
          <w:spacing w:val="-2"/>
          <w:w w:val="105"/>
        </w:rPr>
        <w:t> </w:t>
      </w:r>
      <w:r>
        <w:rPr>
          <w:w w:val="105"/>
        </w:rPr>
        <w:t>flows</w:t>
      </w:r>
      <w:r>
        <w:rPr>
          <w:spacing w:val="-2"/>
          <w:w w:val="105"/>
        </w:rPr>
        <w:t> </w:t>
      </w:r>
      <w:r>
        <w:rPr>
          <w:w w:val="105"/>
        </w:rPr>
        <w:t>of</w:t>
      </w:r>
      <w:r>
        <w:rPr>
          <w:spacing w:val="-2"/>
          <w:w w:val="105"/>
        </w:rPr>
        <w:t> </w:t>
      </w:r>
      <w:r>
        <w:rPr>
          <w:w w:val="105"/>
        </w:rPr>
        <w:t>other</w:t>
      </w:r>
      <w:r>
        <w:rPr>
          <w:spacing w:val="-2"/>
          <w:w w:val="105"/>
        </w:rPr>
        <w:t> </w:t>
      </w:r>
      <w:r>
        <w:rPr>
          <w:w w:val="105"/>
        </w:rPr>
        <w:t>assets</w:t>
      </w:r>
      <w:r>
        <w:rPr>
          <w:spacing w:val="-2"/>
          <w:w w:val="105"/>
        </w:rPr>
        <w:t> </w:t>
      </w:r>
      <w:r>
        <w:rPr>
          <w:w w:val="105"/>
        </w:rPr>
        <w:t>and</w:t>
      </w:r>
      <w:r>
        <w:rPr>
          <w:spacing w:val="-2"/>
          <w:w w:val="105"/>
        </w:rPr>
        <w:t> </w:t>
      </w:r>
      <w:r>
        <w:rPr>
          <w:w w:val="105"/>
        </w:rPr>
        <w:t>liabilities.</w:t>
      </w:r>
      <w:r>
        <w:rPr>
          <w:spacing w:val="-2"/>
          <w:w w:val="105"/>
        </w:rPr>
        <w:t> </w:t>
      </w:r>
      <w:r>
        <w:rPr>
          <w:w w:val="105"/>
        </w:rPr>
        <w:t>Our</w:t>
      </w:r>
      <w:r>
        <w:rPr>
          <w:spacing w:val="-2"/>
          <w:w w:val="105"/>
        </w:rPr>
        <w:t> </w:t>
      </w:r>
      <w:r>
        <w:rPr>
          <w:w w:val="105"/>
        </w:rPr>
        <w:t>assessment</w:t>
      </w:r>
      <w:r>
        <w:rPr>
          <w:spacing w:val="-2"/>
          <w:w w:val="105"/>
        </w:rPr>
        <w:t> </w:t>
      </w:r>
      <w:r>
        <w:rPr>
          <w:w w:val="105"/>
        </w:rPr>
        <w:t>is</w:t>
      </w:r>
      <w:r>
        <w:rPr>
          <w:spacing w:val="-2"/>
          <w:w w:val="105"/>
        </w:rPr>
        <w:t> </w:t>
      </w:r>
      <w:r>
        <w:rPr>
          <w:w w:val="105"/>
        </w:rPr>
        <w:t>performed at</w:t>
      </w:r>
      <w:r>
        <w:rPr>
          <w:spacing w:val="-2"/>
          <w:w w:val="105"/>
        </w:rPr>
        <w:t> </w:t>
      </w:r>
      <w:r>
        <w:rPr>
          <w:w w:val="105"/>
        </w:rPr>
        <w:t>the</w:t>
      </w:r>
      <w:r>
        <w:rPr>
          <w:spacing w:val="-2"/>
          <w:w w:val="105"/>
        </w:rPr>
        <w:t> </w:t>
      </w:r>
      <w:r>
        <w:rPr>
          <w:w w:val="105"/>
        </w:rPr>
        <w:t>reportable</w:t>
      </w:r>
      <w:r>
        <w:rPr>
          <w:spacing w:val="-2"/>
          <w:w w:val="105"/>
        </w:rPr>
        <w:t> </w:t>
      </w:r>
      <w:r>
        <w:rPr>
          <w:w w:val="105"/>
        </w:rPr>
        <w:t>segment</w:t>
      </w:r>
      <w:r>
        <w:rPr>
          <w:spacing w:val="-2"/>
          <w:w w:val="105"/>
        </w:rPr>
        <w:t> </w:t>
      </w:r>
      <w:r>
        <w:rPr>
          <w:w w:val="105"/>
        </w:rPr>
        <w:t>level.</w:t>
      </w:r>
      <w:r>
        <w:rPr>
          <w:spacing w:val="-2"/>
          <w:w w:val="105"/>
        </w:rPr>
        <w:t> </w:t>
      </w:r>
      <w:r>
        <w:rPr>
          <w:w w:val="105"/>
        </w:rPr>
        <w:t>For</w:t>
      </w:r>
      <w:r>
        <w:rPr>
          <w:spacing w:val="-2"/>
          <w:w w:val="105"/>
        </w:rPr>
        <w:t> </w:t>
      </w:r>
      <w:r>
        <w:rPr>
          <w:w w:val="105"/>
        </w:rPr>
        <w:t>most</w:t>
      </w:r>
      <w:r>
        <w:rPr>
          <w:spacing w:val="-2"/>
          <w:w w:val="105"/>
        </w:rPr>
        <w:t> </w:t>
      </w:r>
      <w:r>
        <w:rPr>
          <w:w w:val="105"/>
        </w:rPr>
        <w:t>of</w:t>
      </w:r>
      <w:r>
        <w:rPr>
          <w:spacing w:val="-2"/>
          <w:w w:val="105"/>
        </w:rPr>
        <w:t> </w:t>
      </w:r>
      <w:r>
        <w:rPr>
          <w:w w:val="105"/>
        </w:rPr>
        <w:t>our</w:t>
      </w:r>
      <w:r>
        <w:rPr>
          <w:spacing w:val="-2"/>
          <w:w w:val="105"/>
        </w:rPr>
        <w:t> </w:t>
      </w:r>
      <w:r>
        <w:rPr>
          <w:w w:val="105"/>
        </w:rPr>
        <w:t>reportable segments,</w:t>
      </w:r>
      <w:r>
        <w:rPr>
          <w:spacing w:val="-2"/>
          <w:w w:val="105"/>
        </w:rPr>
        <w:t> </w:t>
      </w:r>
      <w:r>
        <w:rPr>
          <w:w w:val="105"/>
        </w:rPr>
        <w:t>we</w:t>
      </w:r>
      <w:r>
        <w:rPr>
          <w:spacing w:val="-2"/>
          <w:w w:val="105"/>
        </w:rPr>
        <w:t> </w:t>
      </w:r>
      <w:r>
        <w:rPr>
          <w:w w:val="105"/>
        </w:rPr>
        <w:t>concluded</w:t>
      </w:r>
      <w:r>
        <w:rPr>
          <w:spacing w:val="-2"/>
          <w:w w:val="105"/>
        </w:rPr>
        <w:t> </w:t>
      </w:r>
      <w:r>
        <w:rPr>
          <w:w w:val="105"/>
        </w:rPr>
        <w:t>that</w:t>
      </w:r>
      <w:r>
        <w:rPr>
          <w:spacing w:val="-2"/>
          <w:w w:val="105"/>
        </w:rPr>
        <w:t> </w:t>
      </w:r>
      <w:r>
        <w:rPr>
          <w:w w:val="105"/>
        </w:rPr>
        <w:t>locations</w:t>
      </w:r>
      <w:r>
        <w:rPr>
          <w:spacing w:val="-2"/>
          <w:w w:val="105"/>
        </w:rPr>
        <w:t> </w:t>
      </w:r>
      <w:r>
        <w:rPr>
          <w:w w:val="105"/>
        </w:rPr>
        <w:t>or</w:t>
      </w:r>
      <w:r>
        <w:rPr>
          <w:spacing w:val="-2"/>
          <w:w w:val="105"/>
        </w:rPr>
        <w:t> </w:t>
      </w:r>
      <w:r>
        <w:rPr>
          <w:w w:val="105"/>
        </w:rPr>
        <w:t>businesses</w:t>
      </w:r>
      <w:r>
        <w:rPr>
          <w:spacing w:val="-2"/>
          <w:w w:val="105"/>
        </w:rPr>
        <w:t> </w:t>
      </w:r>
      <w:r>
        <w:rPr>
          <w:w w:val="105"/>
        </w:rPr>
        <w:t>within</w:t>
      </w:r>
      <w:r>
        <w:rPr>
          <w:spacing w:val="-2"/>
          <w:w w:val="105"/>
        </w:rPr>
        <w:t> </w:t>
      </w:r>
      <w:r>
        <w:rPr>
          <w:w w:val="105"/>
        </w:rPr>
        <w:t>these</w:t>
      </w:r>
      <w:r>
        <w:rPr>
          <w:spacing w:val="-2"/>
          <w:w w:val="105"/>
        </w:rPr>
        <w:t> </w:t>
      </w:r>
      <w:r>
        <w:rPr>
          <w:w w:val="105"/>
        </w:rPr>
        <w:t>segments</w:t>
      </w:r>
      <w:r>
        <w:rPr>
          <w:spacing w:val="-2"/>
          <w:w w:val="105"/>
        </w:rPr>
        <w:t> </w:t>
      </w:r>
      <w:r>
        <w:rPr>
          <w:w w:val="105"/>
        </w:rPr>
        <w:t>which</w:t>
      </w:r>
      <w:r>
        <w:rPr>
          <w:spacing w:val="-2"/>
          <w:w w:val="105"/>
        </w:rPr>
        <w:t> </w:t>
      </w:r>
      <w:r>
        <w:rPr>
          <w:w w:val="105"/>
        </w:rPr>
        <w:t>share</w:t>
      </w:r>
      <w:r>
        <w:rPr>
          <w:spacing w:val="-2"/>
          <w:w w:val="105"/>
        </w:rPr>
        <w:t> </w:t>
      </w:r>
      <w:r>
        <w:rPr>
          <w:w w:val="105"/>
        </w:rPr>
        <w:t>production</w:t>
      </w:r>
      <w:r>
        <w:rPr>
          <w:spacing w:val="-2"/>
          <w:w w:val="105"/>
        </w:rPr>
        <w:t> </w:t>
      </w:r>
      <w:r>
        <w:rPr>
          <w:w w:val="105"/>
        </w:rPr>
        <w:t>along</w:t>
      </w:r>
      <w:r>
        <w:rPr>
          <w:spacing w:val="-2"/>
          <w:w w:val="105"/>
        </w:rPr>
        <w:t> </w:t>
      </w:r>
      <w:r>
        <w:rPr>
          <w:w w:val="105"/>
        </w:rPr>
        <w:t>the</w:t>
      </w:r>
      <w:r>
        <w:rPr>
          <w:spacing w:val="-2"/>
          <w:w w:val="105"/>
        </w:rPr>
        <w:t> </w:t>
      </w:r>
      <w:r>
        <w:rPr>
          <w:w w:val="105"/>
        </w:rPr>
        <w:t>supply</w:t>
      </w:r>
      <w:r>
        <w:rPr>
          <w:spacing w:val="-2"/>
          <w:w w:val="105"/>
        </w:rPr>
        <w:t> </w:t>
      </w:r>
      <w:r>
        <w:rPr>
          <w:w w:val="105"/>
        </w:rPr>
        <w:t>chain</w:t>
      </w:r>
      <w:r>
        <w:rPr>
          <w:spacing w:val="-2"/>
          <w:w w:val="105"/>
        </w:rPr>
        <w:t> </w:t>
      </w:r>
      <w:r>
        <w:rPr>
          <w:w w:val="105"/>
        </w:rPr>
        <w:t>must</w:t>
      </w:r>
      <w:r>
        <w:rPr>
          <w:spacing w:val="-2"/>
          <w:w w:val="105"/>
        </w:rPr>
        <w:t> </w:t>
      </w:r>
      <w:r>
        <w:rPr>
          <w:w w:val="105"/>
        </w:rPr>
        <w:t>be</w:t>
      </w:r>
      <w:r>
        <w:rPr>
          <w:spacing w:val="-2"/>
          <w:w w:val="105"/>
        </w:rPr>
        <w:t> </w:t>
      </w:r>
      <w:r>
        <w:rPr>
          <w:w w:val="105"/>
        </w:rPr>
        <w:t>combined</w:t>
      </w:r>
      <w:r>
        <w:rPr>
          <w:spacing w:val="-2"/>
          <w:w w:val="105"/>
        </w:rPr>
        <w:t> </w:t>
      </w:r>
      <w:r>
        <w:rPr>
          <w:w w:val="105"/>
        </w:rPr>
        <w:t>to</w:t>
      </w:r>
      <w:r>
        <w:rPr>
          <w:spacing w:val="-2"/>
          <w:w w:val="105"/>
        </w:rPr>
        <w:t> </w:t>
      </w:r>
      <w:r>
        <w:rPr>
          <w:w w:val="105"/>
        </w:rPr>
        <w:t>appropriately</w:t>
      </w:r>
      <w:r>
        <w:rPr>
          <w:spacing w:val="-2"/>
          <w:w w:val="105"/>
        </w:rPr>
        <w:t> </w:t>
      </w:r>
      <w:r>
        <w:rPr>
          <w:w w:val="105"/>
        </w:rPr>
        <w:t>identify</w:t>
      </w:r>
      <w:r>
        <w:rPr>
          <w:spacing w:val="-2"/>
          <w:w w:val="105"/>
        </w:rPr>
        <w:t> </w:t>
      </w:r>
      <w:r>
        <w:rPr>
          <w:w w:val="105"/>
        </w:rPr>
        <w:t>cash flows that are largely independent of the cash flows of other assets and liabilities.</w:t>
      </w:r>
    </w:p>
    <w:p>
      <w:pPr>
        <w:pStyle w:val="BodyText"/>
        <w:spacing w:before="17"/>
      </w:pPr>
    </w:p>
    <w:p>
      <w:pPr>
        <w:pStyle w:val="BodyText"/>
        <w:spacing w:line="266" w:lineRule="auto"/>
        <w:ind w:left="156"/>
      </w:pPr>
      <w:r>
        <w:rPr>
          <w:w w:val="105"/>
        </w:rPr>
        <w:t>For</w:t>
      </w:r>
      <w:r>
        <w:rPr>
          <w:spacing w:val="-9"/>
          <w:w w:val="105"/>
        </w:rPr>
        <w:t> </w:t>
      </w:r>
      <w:r>
        <w:rPr>
          <w:w w:val="105"/>
        </w:rPr>
        <w:t>long-lived</w:t>
      </w:r>
      <w:r>
        <w:rPr>
          <w:spacing w:val="-9"/>
          <w:w w:val="105"/>
        </w:rPr>
        <w:t> </w:t>
      </w:r>
      <w:r>
        <w:rPr>
          <w:w w:val="105"/>
        </w:rPr>
        <w:t>assets,</w:t>
      </w:r>
      <w:r>
        <w:rPr>
          <w:spacing w:val="-9"/>
          <w:w w:val="105"/>
        </w:rPr>
        <w:t> </w:t>
      </w:r>
      <w:r>
        <w:rPr>
          <w:w w:val="105"/>
        </w:rPr>
        <w:t>when</w:t>
      </w:r>
      <w:r>
        <w:rPr>
          <w:spacing w:val="-9"/>
          <w:w w:val="105"/>
        </w:rPr>
        <w:t> </w:t>
      </w:r>
      <w:r>
        <w:rPr>
          <w:w w:val="105"/>
        </w:rPr>
        <w:t>impairment</w:t>
      </w:r>
      <w:r>
        <w:rPr>
          <w:spacing w:val="-9"/>
          <w:w w:val="105"/>
        </w:rPr>
        <w:t> </w:t>
      </w:r>
      <w:r>
        <w:rPr>
          <w:w w:val="105"/>
        </w:rPr>
        <w:t>indicators</w:t>
      </w:r>
      <w:r>
        <w:rPr>
          <w:spacing w:val="-9"/>
          <w:w w:val="105"/>
        </w:rPr>
        <w:t> </w:t>
      </w:r>
      <w:r>
        <w:rPr>
          <w:w w:val="105"/>
        </w:rPr>
        <w:t>are</w:t>
      </w:r>
      <w:r>
        <w:rPr>
          <w:spacing w:val="-9"/>
          <w:w w:val="105"/>
        </w:rPr>
        <w:t> </w:t>
      </w:r>
      <w:r>
        <w:rPr>
          <w:w w:val="105"/>
        </w:rPr>
        <w:t>present,</w:t>
      </w:r>
      <w:r>
        <w:rPr>
          <w:spacing w:val="-9"/>
          <w:w w:val="105"/>
        </w:rPr>
        <w:t> </w:t>
      </w:r>
      <w:r>
        <w:rPr>
          <w:w w:val="105"/>
        </w:rPr>
        <w:t>we</w:t>
      </w:r>
      <w:r>
        <w:rPr>
          <w:spacing w:val="-9"/>
          <w:w w:val="105"/>
        </w:rPr>
        <w:t> </w:t>
      </w:r>
      <w:r>
        <w:rPr>
          <w:w w:val="105"/>
        </w:rPr>
        <w:t>compare</w:t>
      </w:r>
      <w:r>
        <w:rPr>
          <w:spacing w:val="-9"/>
          <w:w w:val="105"/>
        </w:rPr>
        <w:t> </w:t>
      </w:r>
      <w:r>
        <w:rPr>
          <w:w w:val="105"/>
        </w:rPr>
        <w:t>estimated</w:t>
      </w:r>
      <w:r>
        <w:rPr>
          <w:spacing w:val="-9"/>
          <w:w w:val="105"/>
        </w:rPr>
        <w:t> </w:t>
      </w:r>
      <w:r>
        <w:rPr>
          <w:w w:val="105"/>
        </w:rPr>
        <w:t>undiscounted</w:t>
      </w:r>
      <w:r>
        <w:rPr>
          <w:spacing w:val="-9"/>
          <w:w w:val="105"/>
        </w:rPr>
        <w:t> </w:t>
      </w:r>
      <w:r>
        <w:rPr>
          <w:w w:val="105"/>
        </w:rPr>
        <w:t>future</w:t>
      </w:r>
      <w:r>
        <w:rPr>
          <w:spacing w:val="-9"/>
          <w:w w:val="105"/>
        </w:rPr>
        <w:t> </w:t>
      </w:r>
      <w:r>
        <w:rPr>
          <w:w w:val="105"/>
        </w:rPr>
        <w:t>cash</w:t>
      </w:r>
      <w:r>
        <w:rPr>
          <w:spacing w:val="-7"/>
          <w:w w:val="105"/>
        </w:rPr>
        <w:t> </w:t>
      </w:r>
      <w:r>
        <w:rPr>
          <w:w w:val="105"/>
        </w:rPr>
        <w:t>flows,</w:t>
      </w:r>
      <w:r>
        <w:rPr>
          <w:spacing w:val="-9"/>
          <w:w w:val="105"/>
        </w:rPr>
        <w:t> </w:t>
      </w:r>
      <w:r>
        <w:rPr>
          <w:w w:val="105"/>
        </w:rPr>
        <w:t>including</w:t>
      </w:r>
      <w:r>
        <w:rPr>
          <w:spacing w:val="-9"/>
          <w:w w:val="105"/>
        </w:rPr>
        <w:t> </w:t>
      </w:r>
      <w:r>
        <w:rPr>
          <w:w w:val="105"/>
        </w:rPr>
        <w:t>the</w:t>
      </w:r>
      <w:r>
        <w:rPr>
          <w:spacing w:val="-9"/>
          <w:w w:val="105"/>
        </w:rPr>
        <w:t> </w:t>
      </w:r>
      <w:r>
        <w:rPr>
          <w:w w:val="105"/>
        </w:rPr>
        <w:t>eventual</w:t>
      </w:r>
      <w:r>
        <w:rPr>
          <w:spacing w:val="-9"/>
          <w:w w:val="105"/>
        </w:rPr>
        <w:t> </w:t>
      </w:r>
      <w:r>
        <w:rPr>
          <w:w w:val="105"/>
        </w:rPr>
        <w:t>disposition</w:t>
      </w:r>
      <w:r>
        <w:rPr>
          <w:spacing w:val="-9"/>
          <w:w w:val="105"/>
        </w:rPr>
        <w:t> </w:t>
      </w:r>
      <w:r>
        <w:rPr>
          <w:w w:val="105"/>
        </w:rPr>
        <w:t>of</w:t>
      </w:r>
      <w:r>
        <w:rPr>
          <w:spacing w:val="-9"/>
          <w:w w:val="105"/>
        </w:rPr>
        <w:t> </w:t>
      </w:r>
      <w:r>
        <w:rPr>
          <w:w w:val="105"/>
        </w:rPr>
        <w:t>the</w:t>
      </w:r>
      <w:r>
        <w:rPr>
          <w:spacing w:val="-9"/>
          <w:w w:val="105"/>
        </w:rPr>
        <w:t> </w:t>
      </w:r>
      <w:r>
        <w:rPr>
          <w:w w:val="105"/>
        </w:rPr>
        <w:t>asset</w:t>
      </w:r>
      <w:r>
        <w:rPr>
          <w:spacing w:val="-9"/>
          <w:w w:val="105"/>
        </w:rPr>
        <w:t> </w:t>
      </w:r>
      <w:r>
        <w:rPr>
          <w:w w:val="105"/>
        </w:rPr>
        <w:t>group</w:t>
      </w:r>
      <w:r>
        <w:rPr>
          <w:spacing w:val="-9"/>
          <w:w w:val="105"/>
        </w:rPr>
        <w:t> </w:t>
      </w:r>
      <w:r>
        <w:rPr>
          <w:w w:val="105"/>
        </w:rPr>
        <w:t>at market</w:t>
      </w:r>
      <w:r>
        <w:rPr>
          <w:spacing w:val="-7"/>
          <w:w w:val="105"/>
        </w:rPr>
        <w:t> </w:t>
      </w:r>
      <w:r>
        <w:rPr>
          <w:w w:val="105"/>
        </w:rPr>
        <w:t>value,</w:t>
      </w:r>
      <w:r>
        <w:rPr>
          <w:spacing w:val="-7"/>
          <w:w w:val="105"/>
        </w:rPr>
        <w:t> </w:t>
      </w:r>
      <w:r>
        <w:rPr>
          <w:w w:val="105"/>
        </w:rPr>
        <w:t>to</w:t>
      </w:r>
      <w:r>
        <w:rPr>
          <w:spacing w:val="-7"/>
          <w:w w:val="105"/>
        </w:rPr>
        <w:t> </w:t>
      </w:r>
      <w:r>
        <w:rPr>
          <w:w w:val="105"/>
        </w:rPr>
        <w:t>the</w:t>
      </w:r>
      <w:r>
        <w:rPr>
          <w:spacing w:val="-7"/>
          <w:w w:val="105"/>
        </w:rPr>
        <w:t> </w:t>
      </w:r>
      <w:r>
        <w:rPr>
          <w:w w:val="105"/>
        </w:rPr>
        <w:t>assets’</w:t>
      </w:r>
      <w:r>
        <w:rPr>
          <w:spacing w:val="-7"/>
          <w:w w:val="105"/>
        </w:rPr>
        <w:t> </w:t>
      </w:r>
      <w:r>
        <w:rPr>
          <w:w w:val="105"/>
        </w:rPr>
        <w:t>carrying</w:t>
      </w:r>
      <w:r>
        <w:rPr>
          <w:spacing w:val="-7"/>
          <w:w w:val="105"/>
        </w:rPr>
        <w:t> </w:t>
      </w:r>
      <w:r>
        <w:rPr>
          <w:w w:val="105"/>
        </w:rPr>
        <w:t>value</w:t>
      </w:r>
      <w:r>
        <w:rPr>
          <w:spacing w:val="-7"/>
          <w:w w:val="105"/>
        </w:rPr>
        <w:t> </w:t>
      </w:r>
      <w:r>
        <w:rPr>
          <w:w w:val="105"/>
        </w:rPr>
        <w:t>to</w:t>
      </w:r>
      <w:r>
        <w:rPr>
          <w:spacing w:val="-7"/>
          <w:w w:val="105"/>
        </w:rPr>
        <w:t> </w:t>
      </w:r>
      <w:r>
        <w:rPr>
          <w:w w:val="105"/>
        </w:rPr>
        <w:t>determine</w:t>
      </w:r>
      <w:r>
        <w:rPr>
          <w:spacing w:val="-7"/>
          <w:w w:val="105"/>
        </w:rPr>
        <w:t> </w:t>
      </w:r>
      <w:r>
        <w:rPr>
          <w:w w:val="105"/>
        </w:rPr>
        <w:t>if</w:t>
      </w:r>
      <w:r>
        <w:rPr>
          <w:spacing w:val="-7"/>
          <w:w w:val="105"/>
        </w:rPr>
        <w:t> </w:t>
      </w:r>
      <w:r>
        <w:rPr>
          <w:w w:val="105"/>
        </w:rPr>
        <w:t>the</w:t>
      </w:r>
      <w:r>
        <w:rPr>
          <w:spacing w:val="-7"/>
          <w:w w:val="105"/>
        </w:rPr>
        <w:t> </w:t>
      </w:r>
      <w:r>
        <w:rPr>
          <w:w w:val="105"/>
        </w:rPr>
        <w:t>asset</w:t>
      </w:r>
      <w:r>
        <w:rPr>
          <w:spacing w:val="-7"/>
          <w:w w:val="105"/>
        </w:rPr>
        <w:t> </w:t>
      </w:r>
      <w:r>
        <w:rPr>
          <w:w w:val="105"/>
        </w:rPr>
        <w:t>group</w:t>
      </w:r>
      <w:r>
        <w:rPr>
          <w:spacing w:val="-7"/>
          <w:w w:val="105"/>
        </w:rPr>
        <w:t> </w:t>
      </w:r>
      <w:r>
        <w:rPr>
          <w:w w:val="105"/>
        </w:rPr>
        <w:t>is</w:t>
      </w:r>
      <w:r>
        <w:rPr>
          <w:spacing w:val="-7"/>
          <w:w w:val="105"/>
        </w:rPr>
        <w:t> </w:t>
      </w:r>
      <w:r>
        <w:rPr>
          <w:w w:val="105"/>
        </w:rPr>
        <w:t>recoverable.</w:t>
      </w:r>
      <w:r>
        <w:rPr>
          <w:spacing w:val="-7"/>
          <w:w w:val="105"/>
        </w:rPr>
        <w:t> </w:t>
      </w:r>
      <w:r>
        <w:rPr>
          <w:w w:val="105"/>
        </w:rPr>
        <w:t>This</w:t>
      </w:r>
      <w:r>
        <w:rPr>
          <w:spacing w:val="-7"/>
          <w:w w:val="105"/>
        </w:rPr>
        <w:t> </w:t>
      </w:r>
      <w:r>
        <w:rPr>
          <w:w w:val="105"/>
        </w:rPr>
        <w:t>assessment</w:t>
      </w:r>
      <w:r>
        <w:rPr>
          <w:spacing w:val="-7"/>
          <w:w w:val="105"/>
        </w:rPr>
        <w:t> </w:t>
      </w:r>
      <w:r>
        <w:rPr>
          <w:w w:val="105"/>
        </w:rPr>
        <w:t>requires</w:t>
      </w:r>
      <w:r>
        <w:rPr>
          <w:spacing w:val="-7"/>
          <w:w w:val="105"/>
        </w:rPr>
        <w:t> </w:t>
      </w:r>
      <w:r>
        <w:rPr>
          <w:w w:val="105"/>
        </w:rPr>
        <w:t>the</w:t>
      </w:r>
      <w:r>
        <w:rPr>
          <w:spacing w:val="-7"/>
          <w:w w:val="105"/>
        </w:rPr>
        <w:t> </w:t>
      </w:r>
      <w:r>
        <w:rPr>
          <w:w w:val="105"/>
        </w:rPr>
        <w:t>exercise</w:t>
      </w:r>
      <w:r>
        <w:rPr>
          <w:spacing w:val="-7"/>
          <w:w w:val="105"/>
        </w:rPr>
        <w:t> </w:t>
      </w:r>
      <w:r>
        <w:rPr>
          <w:w w:val="105"/>
        </w:rPr>
        <w:t>of</w:t>
      </w:r>
      <w:r>
        <w:rPr>
          <w:spacing w:val="-7"/>
          <w:w w:val="105"/>
        </w:rPr>
        <w:t> </w:t>
      </w:r>
      <w:r>
        <w:rPr>
          <w:w w:val="105"/>
        </w:rPr>
        <w:t>judgment</w:t>
      </w:r>
      <w:r>
        <w:rPr>
          <w:spacing w:val="-7"/>
          <w:w w:val="105"/>
        </w:rPr>
        <w:t> </w:t>
      </w:r>
      <w:r>
        <w:rPr>
          <w:w w:val="105"/>
        </w:rPr>
        <w:t>in</w:t>
      </w:r>
      <w:r>
        <w:rPr>
          <w:spacing w:val="-7"/>
          <w:w w:val="105"/>
        </w:rPr>
        <w:t> </w:t>
      </w:r>
      <w:r>
        <w:rPr>
          <w:w w:val="105"/>
        </w:rPr>
        <w:t>assessing</w:t>
      </w:r>
      <w:r>
        <w:rPr>
          <w:spacing w:val="-7"/>
          <w:w w:val="105"/>
        </w:rPr>
        <w:t> </w:t>
      </w:r>
      <w:r>
        <w:rPr>
          <w:w w:val="105"/>
        </w:rPr>
        <w:t>the</w:t>
      </w:r>
      <w:r>
        <w:rPr>
          <w:spacing w:val="-7"/>
          <w:w w:val="105"/>
        </w:rPr>
        <w:t> </w:t>
      </w:r>
      <w:r>
        <w:rPr>
          <w:w w:val="105"/>
        </w:rPr>
        <w:t>future</w:t>
      </w:r>
      <w:r>
        <w:rPr>
          <w:spacing w:val="-7"/>
          <w:w w:val="105"/>
        </w:rPr>
        <w:t> </w:t>
      </w:r>
      <w:r>
        <w:rPr>
          <w:w w:val="105"/>
        </w:rPr>
        <w:t>use</w:t>
      </w:r>
      <w:r>
        <w:rPr>
          <w:spacing w:val="-7"/>
          <w:w w:val="105"/>
        </w:rPr>
        <w:t> </w:t>
      </w:r>
      <w:r>
        <w:rPr>
          <w:w w:val="105"/>
        </w:rPr>
        <w:t>of</w:t>
      </w:r>
      <w:r>
        <w:rPr>
          <w:spacing w:val="-7"/>
          <w:w w:val="105"/>
        </w:rPr>
        <w:t> </w:t>
      </w:r>
      <w:r>
        <w:rPr>
          <w:w w:val="105"/>
        </w:rPr>
        <w:t>and projected</w:t>
      </w:r>
      <w:r>
        <w:rPr>
          <w:spacing w:val="-3"/>
          <w:w w:val="105"/>
        </w:rPr>
        <w:t> </w:t>
      </w:r>
      <w:r>
        <w:rPr>
          <w:w w:val="105"/>
        </w:rPr>
        <w:t>value</w:t>
      </w:r>
      <w:r>
        <w:rPr>
          <w:spacing w:val="-3"/>
          <w:w w:val="105"/>
        </w:rPr>
        <w:t> </w:t>
      </w:r>
      <w:r>
        <w:rPr>
          <w:w w:val="105"/>
        </w:rPr>
        <w:t>to</w:t>
      </w:r>
      <w:r>
        <w:rPr>
          <w:spacing w:val="-3"/>
          <w:w w:val="105"/>
        </w:rPr>
        <w:t> </w:t>
      </w:r>
      <w:r>
        <w:rPr>
          <w:w w:val="105"/>
        </w:rPr>
        <w:t>be</w:t>
      </w:r>
      <w:r>
        <w:rPr>
          <w:spacing w:val="-3"/>
          <w:w w:val="105"/>
        </w:rPr>
        <w:t> </w:t>
      </w:r>
      <w:r>
        <w:rPr>
          <w:w w:val="105"/>
        </w:rPr>
        <w:t>derived</w:t>
      </w:r>
      <w:r>
        <w:rPr>
          <w:spacing w:val="-3"/>
          <w:w w:val="105"/>
        </w:rPr>
        <w:t> </w:t>
      </w:r>
      <w:r>
        <w:rPr>
          <w:w w:val="105"/>
        </w:rPr>
        <w:t>from</w:t>
      </w:r>
      <w:r>
        <w:rPr>
          <w:spacing w:val="-3"/>
          <w:w w:val="105"/>
        </w:rPr>
        <w:t> </w:t>
      </w:r>
      <w:r>
        <w:rPr>
          <w:w w:val="105"/>
        </w:rPr>
        <w:t>the</w:t>
      </w:r>
      <w:r>
        <w:rPr>
          <w:spacing w:val="-3"/>
          <w:w w:val="105"/>
        </w:rPr>
        <w:t> </w:t>
      </w:r>
      <w:r>
        <w:rPr>
          <w:w w:val="105"/>
        </w:rPr>
        <w:t>assets</w:t>
      </w:r>
      <w:r>
        <w:rPr>
          <w:spacing w:val="-3"/>
          <w:w w:val="105"/>
        </w:rPr>
        <w:t> </w:t>
      </w:r>
      <w:r>
        <w:rPr>
          <w:w w:val="105"/>
        </w:rPr>
        <w:t>to</w:t>
      </w:r>
      <w:r>
        <w:rPr>
          <w:spacing w:val="-3"/>
          <w:w w:val="105"/>
        </w:rPr>
        <w:t> </w:t>
      </w:r>
      <w:r>
        <w:rPr>
          <w:w w:val="105"/>
        </w:rPr>
        <w:t>be</w:t>
      </w:r>
      <w:r>
        <w:rPr>
          <w:spacing w:val="-3"/>
          <w:w w:val="105"/>
        </w:rPr>
        <w:t> </w:t>
      </w:r>
      <w:r>
        <w:rPr>
          <w:w w:val="105"/>
        </w:rPr>
        <w:t>held</w:t>
      </w:r>
      <w:r>
        <w:rPr>
          <w:spacing w:val="-3"/>
          <w:w w:val="105"/>
        </w:rPr>
        <w:t> </w:t>
      </w:r>
      <w:r>
        <w:rPr>
          <w:w w:val="105"/>
        </w:rPr>
        <w:t>and</w:t>
      </w:r>
      <w:r>
        <w:rPr>
          <w:spacing w:val="-3"/>
          <w:w w:val="105"/>
        </w:rPr>
        <w:t> </w:t>
      </w:r>
      <w:r>
        <w:rPr>
          <w:w w:val="105"/>
        </w:rPr>
        <w:t>used.</w:t>
      </w:r>
      <w:r>
        <w:rPr>
          <w:spacing w:val="-3"/>
          <w:w w:val="105"/>
        </w:rPr>
        <w:t> </w:t>
      </w:r>
      <w:r>
        <w:rPr>
          <w:w w:val="105"/>
        </w:rPr>
        <w:t>Assessments</w:t>
      </w:r>
      <w:r>
        <w:rPr>
          <w:spacing w:val="-3"/>
          <w:w w:val="105"/>
        </w:rPr>
        <w:t> </w:t>
      </w:r>
      <w:r>
        <w:rPr>
          <w:w w:val="105"/>
        </w:rPr>
        <w:t>also</w:t>
      </w:r>
      <w:r>
        <w:rPr>
          <w:spacing w:val="-3"/>
          <w:w w:val="105"/>
        </w:rPr>
        <w:t> </w:t>
      </w:r>
      <w:r>
        <w:rPr>
          <w:w w:val="105"/>
        </w:rPr>
        <w:t>consider</w:t>
      </w:r>
      <w:r>
        <w:rPr>
          <w:spacing w:val="-1"/>
          <w:w w:val="105"/>
        </w:rPr>
        <w:t> </w:t>
      </w:r>
      <w:r>
        <w:rPr>
          <w:w w:val="105"/>
        </w:rPr>
        <w:t>changes</w:t>
      </w:r>
      <w:r>
        <w:rPr>
          <w:spacing w:val="-3"/>
          <w:w w:val="105"/>
        </w:rPr>
        <w:t> </w:t>
      </w:r>
      <w:r>
        <w:rPr>
          <w:w w:val="105"/>
        </w:rPr>
        <w:t>in</w:t>
      </w:r>
      <w:r>
        <w:rPr>
          <w:spacing w:val="-3"/>
          <w:w w:val="105"/>
        </w:rPr>
        <w:t> </w:t>
      </w:r>
      <w:r>
        <w:rPr>
          <w:w w:val="105"/>
        </w:rPr>
        <w:t>asset</w:t>
      </w:r>
      <w:r>
        <w:rPr>
          <w:spacing w:val="-3"/>
          <w:w w:val="105"/>
        </w:rPr>
        <w:t> </w:t>
      </w:r>
      <w:r>
        <w:rPr>
          <w:w w:val="105"/>
        </w:rPr>
        <w:t>utilization,</w:t>
      </w:r>
      <w:r>
        <w:rPr>
          <w:spacing w:val="-3"/>
          <w:w w:val="105"/>
        </w:rPr>
        <w:t> </w:t>
      </w:r>
      <w:r>
        <w:rPr>
          <w:w w:val="105"/>
        </w:rPr>
        <w:t>including</w:t>
      </w:r>
      <w:r>
        <w:rPr>
          <w:spacing w:val="-3"/>
          <w:w w:val="105"/>
        </w:rPr>
        <w:t> </w:t>
      </w:r>
      <w:r>
        <w:rPr>
          <w:w w:val="105"/>
        </w:rPr>
        <w:t>the</w:t>
      </w:r>
      <w:r>
        <w:rPr>
          <w:spacing w:val="-3"/>
          <w:w w:val="105"/>
        </w:rPr>
        <w:t> </w:t>
      </w:r>
      <w:r>
        <w:rPr>
          <w:w w:val="105"/>
        </w:rPr>
        <w:t>temporary</w:t>
      </w:r>
      <w:r>
        <w:rPr>
          <w:spacing w:val="-3"/>
          <w:w w:val="105"/>
        </w:rPr>
        <w:t> </w:t>
      </w:r>
      <w:r>
        <w:rPr>
          <w:w w:val="105"/>
        </w:rPr>
        <w:t>idling</w:t>
      </w:r>
      <w:r>
        <w:rPr>
          <w:spacing w:val="-3"/>
          <w:w w:val="105"/>
        </w:rPr>
        <w:t> </w:t>
      </w:r>
      <w:r>
        <w:rPr>
          <w:w w:val="105"/>
        </w:rPr>
        <w:t>of</w:t>
      </w:r>
      <w:r>
        <w:rPr>
          <w:spacing w:val="-3"/>
          <w:w w:val="105"/>
        </w:rPr>
        <w:t> </w:t>
      </w:r>
      <w:r>
        <w:rPr>
          <w:w w:val="105"/>
        </w:rPr>
        <w:t>capacity</w:t>
      </w:r>
      <w:r>
        <w:rPr>
          <w:spacing w:val="-3"/>
          <w:w w:val="105"/>
        </w:rPr>
        <w:t> </w:t>
      </w:r>
      <w:r>
        <w:rPr>
          <w:w w:val="105"/>
        </w:rPr>
        <w:t>and</w:t>
      </w:r>
      <w:r>
        <w:rPr>
          <w:spacing w:val="-3"/>
          <w:w w:val="105"/>
        </w:rPr>
        <w:t> </w:t>
      </w:r>
      <w:r>
        <w:rPr>
          <w:w w:val="105"/>
        </w:rPr>
        <w:t>the expected timing for placing this capacity back into production.</w:t>
      </w:r>
    </w:p>
    <w:p>
      <w:pPr>
        <w:pStyle w:val="BodyText"/>
        <w:spacing w:before="18"/>
      </w:pPr>
    </w:p>
    <w:p>
      <w:pPr>
        <w:pStyle w:val="BodyText"/>
        <w:spacing w:line="266" w:lineRule="auto" w:before="1"/>
        <w:ind w:left="156" w:right="228"/>
      </w:pPr>
      <w:r>
        <w:rPr>
          <w:w w:val="105"/>
        </w:rPr>
        <w:t>For</w:t>
      </w:r>
      <w:r>
        <w:rPr>
          <w:spacing w:val="-6"/>
          <w:w w:val="105"/>
        </w:rPr>
        <w:t> </w:t>
      </w:r>
      <w:r>
        <w:rPr>
          <w:w w:val="105"/>
        </w:rPr>
        <w:t>an</w:t>
      </w:r>
      <w:r>
        <w:rPr>
          <w:spacing w:val="-6"/>
          <w:w w:val="105"/>
        </w:rPr>
        <w:t> </w:t>
      </w:r>
      <w:r>
        <w:rPr>
          <w:w w:val="105"/>
        </w:rPr>
        <w:t>asset</w:t>
      </w:r>
      <w:r>
        <w:rPr>
          <w:spacing w:val="-6"/>
          <w:w w:val="105"/>
        </w:rPr>
        <w:t> </w:t>
      </w:r>
      <w:r>
        <w:rPr>
          <w:w w:val="105"/>
        </w:rPr>
        <w:t>group</w:t>
      </w:r>
      <w:r>
        <w:rPr>
          <w:spacing w:val="-6"/>
          <w:w w:val="105"/>
        </w:rPr>
        <w:t> </w:t>
      </w:r>
      <w:r>
        <w:rPr>
          <w:w w:val="105"/>
        </w:rPr>
        <w:t>that</w:t>
      </w:r>
      <w:r>
        <w:rPr>
          <w:spacing w:val="-6"/>
          <w:w w:val="105"/>
        </w:rPr>
        <w:t> </w:t>
      </w:r>
      <w:r>
        <w:rPr>
          <w:w w:val="105"/>
        </w:rPr>
        <w:t>fails</w:t>
      </w:r>
      <w:r>
        <w:rPr>
          <w:spacing w:val="-5"/>
          <w:w w:val="105"/>
        </w:rPr>
        <w:t> </w:t>
      </w:r>
      <w:r>
        <w:rPr>
          <w:w w:val="105"/>
        </w:rPr>
        <w:t>the</w:t>
      </w:r>
      <w:r>
        <w:rPr>
          <w:spacing w:val="-6"/>
          <w:w w:val="105"/>
        </w:rPr>
        <w:t> </w:t>
      </w:r>
      <w:r>
        <w:rPr>
          <w:w w:val="105"/>
        </w:rPr>
        <w:t>test</w:t>
      </w:r>
      <w:r>
        <w:rPr>
          <w:spacing w:val="-6"/>
          <w:w w:val="105"/>
        </w:rPr>
        <w:t> </w:t>
      </w:r>
      <w:r>
        <w:rPr>
          <w:w w:val="105"/>
        </w:rPr>
        <w:t>of</w:t>
      </w:r>
      <w:r>
        <w:rPr>
          <w:spacing w:val="-6"/>
          <w:w w:val="105"/>
        </w:rPr>
        <w:t> </w:t>
      </w:r>
      <w:r>
        <w:rPr>
          <w:w w:val="105"/>
        </w:rPr>
        <w:t>recoverability,</w:t>
      </w:r>
      <w:r>
        <w:rPr>
          <w:spacing w:val="-6"/>
          <w:w w:val="105"/>
        </w:rPr>
        <w:t> </w:t>
      </w:r>
      <w:r>
        <w:rPr>
          <w:w w:val="105"/>
        </w:rPr>
        <w:t>the</w:t>
      </w:r>
      <w:r>
        <w:rPr>
          <w:spacing w:val="-6"/>
          <w:w w:val="105"/>
        </w:rPr>
        <w:t> </w:t>
      </w:r>
      <w:r>
        <w:rPr>
          <w:w w:val="105"/>
        </w:rPr>
        <w:t>estimated</w:t>
      </w:r>
      <w:r>
        <w:rPr>
          <w:spacing w:val="-6"/>
          <w:w w:val="105"/>
        </w:rPr>
        <w:t> </w:t>
      </w:r>
      <w:r>
        <w:rPr>
          <w:w w:val="105"/>
        </w:rPr>
        <w:t>fair</w:t>
      </w:r>
      <w:r>
        <w:rPr>
          <w:spacing w:val="-6"/>
          <w:w w:val="105"/>
        </w:rPr>
        <w:t> </w:t>
      </w:r>
      <w:r>
        <w:rPr>
          <w:w w:val="105"/>
        </w:rPr>
        <w:t>value</w:t>
      </w:r>
      <w:r>
        <w:rPr>
          <w:spacing w:val="-6"/>
          <w:w w:val="105"/>
        </w:rPr>
        <w:t> </w:t>
      </w:r>
      <w:r>
        <w:rPr>
          <w:w w:val="105"/>
        </w:rPr>
        <w:t>of</w:t>
      </w:r>
      <w:r>
        <w:rPr>
          <w:spacing w:val="-6"/>
          <w:w w:val="105"/>
        </w:rPr>
        <w:t> </w:t>
      </w:r>
      <w:r>
        <w:rPr>
          <w:w w:val="105"/>
        </w:rPr>
        <w:t>long-lived</w:t>
      </w:r>
      <w:r>
        <w:rPr>
          <w:spacing w:val="-6"/>
          <w:w w:val="105"/>
        </w:rPr>
        <w:t> </w:t>
      </w:r>
      <w:r>
        <w:rPr>
          <w:w w:val="105"/>
        </w:rPr>
        <w:t>assets</w:t>
      </w:r>
      <w:r>
        <w:rPr>
          <w:spacing w:val="-6"/>
          <w:w w:val="105"/>
        </w:rPr>
        <w:t> </w:t>
      </w:r>
      <w:r>
        <w:rPr>
          <w:w w:val="105"/>
        </w:rPr>
        <w:t>is</w:t>
      </w:r>
      <w:r>
        <w:rPr>
          <w:spacing w:val="-6"/>
          <w:w w:val="105"/>
        </w:rPr>
        <w:t> </w:t>
      </w:r>
      <w:r>
        <w:rPr>
          <w:w w:val="105"/>
        </w:rPr>
        <w:t>determined</w:t>
      </w:r>
      <w:r>
        <w:rPr>
          <w:spacing w:val="-6"/>
          <w:w w:val="105"/>
        </w:rPr>
        <w:t> </w:t>
      </w:r>
      <w:r>
        <w:rPr>
          <w:w w:val="105"/>
        </w:rPr>
        <w:t>using</w:t>
      </w:r>
      <w:r>
        <w:rPr>
          <w:spacing w:val="-6"/>
          <w:w w:val="105"/>
        </w:rPr>
        <w:t> </w:t>
      </w:r>
      <w:r>
        <w:rPr>
          <w:w w:val="105"/>
        </w:rPr>
        <w:t>an</w:t>
      </w:r>
      <w:r>
        <w:rPr>
          <w:spacing w:val="-6"/>
          <w:w w:val="105"/>
        </w:rPr>
        <w:t> </w:t>
      </w:r>
      <w:r>
        <w:rPr>
          <w:w w:val="105"/>
        </w:rPr>
        <w:t>“income</w:t>
      </w:r>
      <w:r>
        <w:rPr>
          <w:spacing w:val="-6"/>
          <w:w w:val="105"/>
        </w:rPr>
        <w:t> </w:t>
      </w:r>
      <w:r>
        <w:rPr>
          <w:w w:val="105"/>
        </w:rPr>
        <w:t>approach”</w:t>
      </w:r>
      <w:r>
        <w:rPr>
          <w:spacing w:val="-6"/>
          <w:w w:val="105"/>
        </w:rPr>
        <w:t> </w:t>
      </w:r>
      <w:r>
        <w:rPr>
          <w:w w:val="105"/>
        </w:rPr>
        <w:t>that</w:t>
      </w:r>
      <w:r>
        <w:rPr>
          <w:spacing w:val="-6"/>
          <w:w w:val="105"/>
        </w:rPr>
        <w:t> </w:t>
      </w:r>
      <w:r>
        <w:rPr>
          <w:w w:val="105"/>
        </w:rPr>
        <w:t>starts</w:t>
      </w:r>
      <w:r>
        <w:rPr>
          <w:spacing w:val="-6"/>
          <w:w w:val="105"/>
        </w:rPr>
        <w:t> </w:t>
      </w:r>
      <w:r>
        <w:rPr>
          <w:w w:val="105"/>
        </w:rPr>
        <w:t>with</w:t>
      </w:r>
      <w:r>
        <w:rPr>
          <w:spacing w:val="-6"/>
          <w:w w:val="105"/>
        </w:rPr>
        <w:t> </w:t>
      </w:r>
      <w:r>
        <w:rPr>
          <w:w w:val="105"/>
        </w:rPr>
        <w:t>the</w:t>
      </w:r>
      <w:r>
        <w:rPr>
          <w:spacing w:val="-6"/>
          <w:w w:val="105"/>
        </w:rPr>
        <w:t> </w:t>
      </w:r>
      <w:r>
        <w:rPr>
          <w:w w:val="105"/>
        </w:rPr>
        <w:t>forecast</w:t>
      </w:r>
      <w:r>
        <w:rPr>
          <w:spacing w:val="-6"/>
          <w:w w:val="105"/>
        </w:rPr>
        <w:t> </w:t>
      </w:r>
      <w:r>
        <w:rPr>
          <w:w w:val="105"/>
        </w:rPr>
        <w:t>of all</w:t>
      </w:r>
      <w:r>
        <w:rPr>
          <w:spacing w:val="-3"/>
          <w:w w:val="105"/>
        </w:rPr>
        <w:t> </w:t>
      </w:r>
      <w:r>
        <w:rPr>
          <w:w w:val="105"/>
        </w:rPr>
        <w:t>the</w:t>
      </w:r>
      <w:r>
        <w:rPr>
          <w:spacing w:val="-3"/>
          <w:w w:val="105"/>
        </w:rPr>
        <w:t> </w:t>
      </w:r>
      <w:r>
        <w:rPr>
          <w:w w:val="105"/>
        </w:rPr>
        <w:t>expected</w:t>
      </w:r>
      <w:r>
        <w:rPr>
          <w:spacing w:val="-3"/>
          <w:w w:val="105"/>
        </w:rPr>
        <w:t> </w:t>
      </w:r>
      <w:r>
        <w:rPr>
          <w:w w:val="105"/>
        </w:rPr>
        <w:t>future</w:t>
      </w:r>
      <w:r>
        <w:rPr>
          <w:spacing w:val="-3"/>
          <w:w w:val="105"/>
        </w:rPr>
        <w:t> </w:t>
      </w:r>
      <w:r>
        <w:rPr>
          <w:w w:val="105"/>
        </w:rPr>
        <w:t>net</w:t>
      </w:r>
      <w:r>
        <w:rPr>
          <w:spacing w:val="-3"/>
          <w:w w:val="105"/>
        </w:rPr>
        <w:t> </w:t>
      </w:r>
      <w:r>
        <w:rPr>
          <w:w w:val="105"/>
        </w:rPr>
        <w:t>cash</w:t>
      </w:r>
      <w:r>
        <w:rPr>
          <w:spacing w:val="-3"/>
          <w:w w:val="105"/>
        </w:rPr>
        <w:t> </w:t>
      </w:r>
      <w:r>
        <w:rPr>
          <w:w w:val="105"/>
        </w:rPr>
        <w:t>flows,</w:t>
      </w:r>
      <w:r>
        <w:rPr>
          <w:spacing w:val="-3"/>
          <w:w w:val="105"/>
        </w:rPr>
        <w:t> </w:t>
      </w:r>
      <w:r>
        <w:rPr>
          <w:w w:val="105"/>
        </w:rPr>
        <w:t>including</w:t>
      </w:r>
      <w:r>
        <w:rPr>
          <w:spacing w:val="-3"/>
          <w:w w:val="105"/>
        </w:rPr>
        <w:t> </w:t>
      </w:r>
      <w:r>
        <w:rPr>
          <w:w w:val="105"/>
        </w:rPr>
        <w:t>the</w:t>
      </w:r>
      <w:r>
        <w:rPr>
          <w:spacing w:val="-1"/>
          <w:w w:val="105"/>
        </w:rPr>
        <w:t> </w:t>
      </w:r>
      <w:r>
        <w:rPr>
          <w:w w:val="105"/>
        </w:rPr>
        <w:t>eventual</w:t>
      </w:r>
      <w:r>
        <w:rPr>
          <w:spacing w:val="-3"/>
          <w:w w:val="105"/>
        </w:rPr>
        <w:t> </w:t>
      </w:r>
      <w:r>
        <w:rPr>
          <w:w w:val="105"/>
        </w:rPr>
        <w:t>disposition</w:t>
      </w:r>
      <w:r>
        <w:rPr>
          <w:spacing w:val="-3"/>
          <w:w w:val="105"/>
        </w:rPr>
        <w:t> </w:t>
      </w:r>
      <w:r>
        <w:rPr>
          <w:w w:val="105"/>
        </w:rPr>
        <w:t>at</w:t>
      </w:r>
      <w:r>
        <w:rPr>
          <w:spacing w:val="-3"/>
          <w:w w:val="105"/>
        </w:rPr>
        <w:t> </w:t>
      </w:r>
      <w:r>
        <w:rPr>
          <w:w w:val="105"/>
        </w:rPr>
        <w:t>market</w:t>
      </w:r>
      <w:r>
        <w:rPr>
          <w:spacing w:val="-3"/>
          <w:w w:val="105"/>
        </w:rPr>
        <w:t> </w:t>
      </w:r>
      <w:r>
        <w:rPr>
          <w:w w:val="105"/>
        </w:rPr>
        <w:t>value</w:t>
      </w:r>
      <w:r>
        <w:rPr>
          <w:spacing w:val="-3"/>
          <w:w w:val="105"/>
        </w:rPr>
        <w:t> </w:t>
      </w:r>
      <w:r>
        <w:rPr>
          <w:w w:val="105"/>
        </w:rPr>
        <w:t>of</w:t>
      </w:r>
      <w:r>
        <w:rPr>
          <w:spacing w:val="-3"/>
          <w:w w:val="105"/>
        </w:rPr>
        <w:t> </w:t>
      </w:r>
      <w:r>
        <w:rPr>
          <w:w w:val="105"/>
        </w:rPr>
        <w:t>long-lived</w:t>
      </w:r>
      <w:r>
        <w:rPr>
          <w:spacing w:val="-3"/>
          <w:w w:val="105"/>
        </w:rPr>
        <w:t> </w:t>
      </w:r>
      <w:r>
        <w:rPr>
          <w:w w:val="105"/>
        </w:rPr>
        <w:t>assets,</w:t>
      </w:r>
      <w:r>
        <w:rPr>
          <w:spacing w:val="-3"/>
          <w:w w:val="105"/>
        </w:rPr>
        <w:t> </w:t>
      </w:r>
      <w:r>
        <w:rPr>
          <w:w w:val="105"/>
        </w:rPr>
        <w:t>and</w:t>
      </w:r>
      <w:r>
        <w:rPr>
          <w:spacing w:val="-3"/>
          <w:w w:val="105"/>
        </w:rPr>
        <w:t> </w:t>
      </w:r>
      <w:r>
        <w:rPr>
          <w:w w:val="105"/>
        </w:rPr>
        <w:t>considers</w:t>
      </w:r>
      <w:r>
        <w:rPr>
          <w:spacing w:val="-3"/>
          <w:w w:val="105"/>
        </w:rPr>
        <w:t> </w:t>
      </w:r>
      <w:r>
        <w:rPr>
          <w:w w:val="105"/>
        </w:rPr>
        <w:t>the</w:t>
      </w:r>
      <w:r>
        <w:rPr>
          <w:spacing w:val="-3"/>
          <w:w w:val="105"/>
        </w:rPr>
        <w:t> </w:t>
      </w:r>
      <w:r>
        <w:rPr>
          <w:w w:val="105"/>
        </w:rPr>
        <w:t>fair</w:t>
      </w:r>
      <w:r>
        <w:rPr>
          <w:spacing w:val="-1"/>
          <w:w w:val="105"/>
        </w:rPr>
        <w:t> </w:t>
      </w:r>
      <w:r>
        <w:rPr>
          <w:w w:val="105"/>
        </w:rPr>
        <w:t>market</w:t>
      </w:r>
      <w:r>
        <w:rPr>
          <w:spacing w:val="-3"/>
          <w:w w:val="105"/>
        </w:rPr>
        <w:t> </w:t>
      </w:r>
      <w:r>
        <w:rPr>
          <w:w w:val="105"/>
        </w:rPr>
        <w:t>value</w:t>
      </w:r>
      <w:r>
        <w:rPr>
          <w:spacing w:val="-3"/>
          <w:w w:val="105"/>
        </w:rPr>
        <w:t> </w:t>
      </w:r>
      <w:r>
        <w:rPr>
          <w:w w:val="105"/>
        </w:rPr>
        <w:t>of</w:t>
      </w:r>
      <w:r>
        <w:rPr>
          <w:spacing w:val="-3"/>
          <w:w w:val="105"/>
        </w:rPr>
        <w:t> </w:t>
      </w:r>
      <w:r>
        <w:rPr>
          <w:w w:val="105"/>
        </w:rPr>
        <w:t>all</w:t>
      </w:r>
      <w:r>
        <w:rPr>
          <w:spacing w:val="-3"/>
          <w:w w:val="105"/>
        </w:rPr>
        <w:t> </w:t>
      </w:r>
      <w:r>
        <w:rPr>
          <w:w w:val="105"/>
        </w:rPr>
        <w:t>precious</w:t>
      </w:r>
      <w:r>
        <w:rPr>
          <w:spacing w:val="-3"/>
          <w:w w:val="105"/>
        </w:rPr>
        <w:t> </w:t>
      </w:r>
      <w:r>
        <w:rPr>
          <w:w w:val="105"/>
        </w:rPr>
        <w:t>metals,</w:t>
      </w:r>
      <w:r>
        <w:rPr>
          <w:spacing w:val="-3"/>
          <w:w w:val="105"/>
        </w:rPr>
        <w:t> </w:t>
      </w:r>
      <w:r>
        <w:rPr>
          <w:w w:val="105"/>
        </w:rPr>
        <w:t>if applicable.</w:t>
      </w:r>
      <w:r>
        <w:rPr>
          <w:spacing w:val="-2"/>
          <w:w w:val="105"/>
        </w:rPr>
        <w:t> </w:t>
      </w:r>
      <w:r>
        <w:rPr>
          <w:w w:val="105"/>
        </w:rPr>
        <w:t>We</w:t>
      </w:r>
      <w:r>
        <w:rPr>
          <w:spacing w:val="-2"/>
          <w:w w:val="105"/>
        </w:rPr>
        <w:t> </w:t>
      </w:r>
      <w:r>
        <w:rPr>
          <w:w w:val="105"/>
        </w:rPr>
        <w:t>assess</w:t>
      </w:r>
      <w:r>
        <w:rPr>
          <w:spacing w:val="-2"/>
          <w:w w:val="105"/>
        </w:rPr>
        <w:t> </w:t>
      </w:r>
      <w:r>
        <w:rPr>
          <w:w w:val="105"/>
        </w:rPr>
        <w:t>the</w:t>
      </w:r>
      <w:r>
        <w:rPr>
          <w:spacing w:val="-2"/>
          <w:w w:val="105"/>
        </w:rPr>
        <w:t> </w:t>
      </w:r>
      <w:r>
        <w:rPr>
          <w:w w:val="105"/>
        </w:rPr>
        <w:t>recoverability</w:t>
      </w:r>
      <w:r>
        <w:rPr>
          <w:spacing w:val="-2"/>
          <w:w w:val="105"/>
        </w:rPr>
        <w:t> </w:t>
      </w:r>
      <w:r>
        <w:rPr>
          <w:w w:val="105"/>
        </w:rPr>
        <w:t>of</w:t>
      </w:r>
      <w:r>
        <w:rPr>
          <w:spacing w:val="-2"/>
          <w:w w:val="105"/>
        </w:rPr>
        <w:t> </w:t>
      </w:r>
      <w:r>
        <w:rPr>
          <w:w w:val="105"/>
        </w:rPr>
        <w:t>the</w:t>
      </w:r>
      <w:r>
        <w:rPr>
          <w:spacing w:val="-2"/>
          <w:w w:val="105"/>
        </w:rPr>
        <w:t> </w:t>
      </w:r>
      <w:r>
        <w:rPr>
          <w:w w:val="105"/>
        </w:rPr>
        <w:t>carrying</w:t>
      </w:r>
      <w:r>
        <w:rPr>
          <w:spacing w:val="-2"/>
          <w:w w:val="105"/>
        </w:rPr>
        <w:t> </w:t>
      </w:r>
      <w:r>
        <w:rPr>
          <w:w w:val="105"/>
        </w:rPr>
        <w:t>value</w:t>
      </w:r>
      <w:r>
        <w:rPr>
          <w:spacing w:val="-2"/>
          <w:w w:val="105"/>
        </w:rPr>
        <w:t> </w:t>
      </w:r>
      <w:r>
        <w:rPr>
          <w:w w:val="105"/>
        </w:rPr>
        <w:t>of</w:t>
      </w:r>
      <w:r>
        <w:rPr>
          <w:spacing w:val="-2"/>
          <w:w w:val="105"/>
        </w:rPr>
        <w:t> </w:t>
      </w:r>
      <w:r>
        <w:rPr>
          <w:w w:val="105"/>
        </w:rPr>
        <w:t>long-lived</w:t>
      </w:r>
      <w:r>
        <w:rPr>
          <w:spacing w:val="-2"/>
          <w:w w:val="105"/>
        </w:rPr>
        <w:t> </w:t>
      </w:r>
      <w:r>
        <w:rPr>
          <w:w w:val="105"/>
        </w:rPr>
        <w:t>assets</w:t>
      </w:r>
      <w:r>
        <w:rPr>
          <w:spacing w:val="-2"/>
          <w:w w:val="105"/>
        </w:rPr>
        <w:t> </w:t>
      </w:r>
      <w:r>
        <w:rPr>
          <w:w w:val="105"/>
        </w:rPr>
        <w:t>at</w:t>
      </w:r>
      <w:r>
        <w:rPr>
          <w:spacing w:val="-2"/>
          <w:w w:val="105"/>
        </w:rPr>
        <w:t> </w:t>
      </w:r>
      <w:r>
        <w:rPr>
          <w:w w:val="105"/>
        </w:rPr>
        <w:t>the</w:t>
      </w:r>
      <w:r>
        <w:rPr>
          <w:spacing w:val="-2"/>
          <w:w w:val="105"/>
        </w:rPr>
        <w:t> </w:t>
      </w:r>
      <w:r>
        <w:rPr>
          <w:w w:val="105"/>
        </w:rPr>
        <w:t>lowest</w:t>
      </w:r>
      <w:r>
        <w:rPr>
          <w:spacing w:val="-2"/>
          <w:w w:val="105"/>
        </w:rPr>
        <w:t> </w:t>
      </w:r>
      <w:r>
        <w:rPr>
          <w:w w:val="105"/>
        </w:rPr>
        <w:t>level</w:t>
      </w:r>
      <w:r>
        <w:rPr>
          <w:spacing w:val="-2"/>
          <w:w w:val="105"/>
        </w:rPr>
        <w:t> </w:t>
      </w:r>
      <w:r>
        <w:rPr>
          <w:w w:val="105"/>
        </w:rPr>
        <w:t>for</w:t>
      </w:r>
      <w:r>
        <w:rPr>
          <w:spacing w:val="-2"/>
          <w:w w:val="105"/>
        </w:rPr>
        <w:t> </w:t>
      </w:r>
      <w:r>
        <w:rPr>
          <w:w w:val="105"/>
        </w:rPr>
        <w:t>which</w:t>
      </w:r>
      <w:r>
        <w:rPr>
          <w:spacing w:val="-2"/>
          <w:w w:val="105"/>
        </w:rPr>
        <w:t> </w:t>
      </w:r>
      <w:r>
        <w:rPr>
          <w:w w:val="105"/>
        </w:rPr>
        <w:t>identifiable</w:t>
      </w:r>
      <w:r>
        <w:rPr>
          <w:spacing w:val="-2"/>
          <w:w w:val="105"/>
        </w:rPr>
        <w:t> </w:t>
      </w:r>
      <w:r>
        <w:rPr>
          <w:w w:val="105"/>
        </w:rPr>
        <w:t>cash</w:t>
      </w:r>
      <w:r>
        <w:rPr>
          <w:spacing w:val="-2"/>
          <w:w w:val="105"/>
        </w:rPr>
        <w:t> </w:t>
      </w:r>
      <w:r>
        <w:rPr>
          <w:w w:val="105"/>
        </w:rPr>
        <w:t>flows</w:t>
      </w:r>
      <w:r>
        <w:rPr>
          <w:spacing w:val="-2"/>
          <w:w w:val="105"/>
        </w:rPr>
        <w:t> </w:t>
      </w:r>
      <w:r>
        <w:rPr>
          <w:w w:val="105"/>
        </w:rPr>
        <w:t>are</w:t>
      </w:r>
      <w:r>
        <w:rPr>
          <w:spacing w:val="-2"/>
          <w:w w:val="105"/>
        </w:rPr>
        <w:t> </w:t>
      </w:r>
      <w:r>
        <w:rPr>
          <w:w w:val="105"/>
        </w:rPr>
        <w:t>largely</w:t>
      </w:r>
      <w:r>
        <w:rPr>
          <w:spacing w:val="-2"/>
          <w:w w:val="105"/>
        </w:rPr>
        <w:t> </w:t>
      </w:r>
      <w:r>
        <w:rPr>
          <w:w w:val="105"/>
        </w:rPr>
        <w:t>independent</w:t>
      </w:r>
      <w:r>
        <w:rPr>
          <w:spacing w:val="-2"/>
          <w:w w:val="105"/>
        </w:rPr>
        <w:t> </w:t>
      </w:r>
      <w:r>
        <w:rPr>
          <w:w w:val="105"/>
        </w:rPr>
        <w:t>of</w:t>
      </w:r>
      <w:r>
        <w:rPr>
          <w:spacing w:val="-2"/>
          <w:w w:val="105"/>
        </w:rPr>
        <w:t> </w:t>
      </w:r>
      <w:r>
        <w:rPr>
          <w:w w:val="105"/>
        </w:rPr>
        <w:t>the</w:t>
      </w:r>
      <w:r>
        <w:rPr>
          <w:spacing w:val="-2"/>
          <w:w w:val="105"/>
        </w:rPr>
        <w:t> </w:t>
      </w:r>
      <w:r>
        <w:rPr>
          <w:w w:val="105"/>
        </w:rPr>
        <w:t>cash flows</w:t>
      </w:r>
      <w:r>
        <w:rPr>
          <w:spacing w:val="-7"/>
          <w:w w:val="105"/>
        </w:rPr>
        <w:t> </w:t>
      </w:r>
      <w:r>
        <w:rPr>
          <w:w w:val="105"/>
        </w:rPr>
        <w:t>of</w:t>
      </w:r>
      <w:r>
        <w:rPr>
          <w:spacing w:val="-7"/>
          <w:w w:val="105"/>
        </w:rPr>
        <w:t> </w:t>
      </w:r>
      <w:r>
        <w:rPr>
          <w:w w:val="105"/>
        </w:rPr>
        <w:t>other</w:t>
      </w:r>
      <w:r>
        <w:rPr>
          <w:spacing w:val="-7"/>
          <w:w w:val="105"/>
        </w:rPr>
        <w:t> </w:t>
      </w:r>
      <w:r>
        <w:rPr>
          <w:w w:val="105"/>
        </w:rPr>
        <w:t>assets</w:t>
      </w:r>
      <w:r>
        <w:rPr>
          <w:spacing w:val="-7"/>
          <w:w w:val="105"/>
        </w:rPr>
        <w:t> </w:t>
      </w:r>
      <w:r>
        <w:rPr>
          <w:w w:val="105"/>
        </w:rPr>
        <w:t>and</w:t>
      </w:r>
      <w:r>
        <w:rPr>
          <w:spacing w:val="-7"/>
          <w:w w:val="105"/>
        </w:rPr>
        <w:t> </w:t>
      </w:r>
      <w:r>
        <w:rPr>
          <w:w w:val="105"/>
        </w:rPr>
        <w:t>liabilities.</w:t>
      </w:r>
      <w:r>
        <w:rPr>
          <w:spacing w:val="-7"/>
          <w:w w:val="105"/>
        </w:rPr>
        <w:t> </w:t>
      </w:r>
      <w:r>
        <w:rPr>
          <w:w w:val="105"/>
        </w:rPr>
        <w:t>If</w:t>
      </w:r>
      <w:r>
        <w:rPr>
          <w:spacing w:val="-7"/>
          <w:w w:val="105"/>
        </w:rPr>
        <w:t> </w:t>
      </w:r>
      <w:r>
        <w:rPr>
          <w:w w:val="105"/>
        </w:rPr>
        <w:t>there</w:t>
      </w:r>
      <w:r>
        <w:rPr>
          <w:spacing w:val="-7"/>
          <w:w w:val="105"/>
        </w:rPr>
        <w:t> </w:t>
      </w:r>
      <w:r>
        <w:rPr>
          <w:w w:val="105"/>
        </w:rPr>
        <w:t>is</w:t>
      </w:r>
      <w:r>
        <w:rPr>
          <w:spacing w:val="-8"/>
          <w:w w:val="105"/>
        </w:rPr>
        <w:t> </w:t>
      </w:r>
      <w:r>
        <w:rPr>
          <w:w w:val="105"/>
        </w:rPr>
        <w:t>an</w:t>
      </w:r>
      <w:r>
        <w:rPr>
          <w:spacing w:val="-7"/>
          <w:w w:val="105"/>
        </w:rPr>
        <w:t> </w:t>
      </w:r>
      <w:r>
        <w:rPr>
          <w:w w:val="105"/>
        </w:rPr>
        <w:t>impairment,</w:t>
      </w:r>
      <w:r>
        <w:rPr>
          <w:spacing w:val="-7"/>
          <w:w w:val="105"/>
        </w:rPr>
        <w:t> </w:t>
      </w:r>
      <w:r>
        <w:rPr>
          <w:w w:val="105"/>
        </w:rPr>
        <w:t>a</w:t>
      </w:r>
      <w:r>
        <w:rPr>
          <w:spacing w:val="-7"/>
          <w:w w:val="105"/>
        </w:rPr>
        <w:t> </w:t>
      </w:r>
      <w:r>
        <w:rPr>
          <w:w w:val="105"/>
        </w:rPr>
        <w:t>loss</w:t>
      </w:r>
      <w:r>
        <w:rPr>
          <w:spacing w:val="-7"/>
          <w:w w:val="105"/>
        </w:rPr>
        <w:t> </w:t>
      </w:r>
      <w:r>
        <w:rPr>
          <w:w w:val="105"/>
        </w:rPr>
        <w:t>is</w:t>
      </w:r>
      <w:r>
        <w:rPr>
          <w:spacing w:val="-8"/>
          <w:w w:val="105"/>
        </w:rPr>
        <w:t> </w:t>
      </w:r>
      <w:r>
        <w:rPr>
          <w:w w:val="105"/>
        </w:rPr>
        <w:t>recorded</w:t>
      </w:r>
      <w:r>
        <w:rPr>
          <w:spacing w:val="-7"/>
          <w:w w:val="105"/>
        </w:rPr>
        <w:t> </w:t>
      </w:r>
      <w:r>
        <w:rPr>
          <w:w w:val="105"/>
        </w:rPr>
        <w:t>to</w:t>
      </w:r>
      <w:r>
        <w:rPr>
          <w:spacing w:val="-7"/>
          <w:w w:val="105"/>
        </w:rPr>
        <w:t> </w:t>
      </w:r>
      <w:r>
        <w:rPr>
          <w:w w:val="105"/>
        </w:rPr>
        <w:t>reflect</w:t>
      </w:r>
      <w:r>
        <w:rPr>
          <w:spacing w:val="-7"/>
          <w:w w:val="105"/>
        </w:rPr>
        <w:t> </w:t>
      </w:r>
      <w:r>
        <w:rPr>
          <w:w w:val="105"/>
        </w:rPr>
        <w:t>the</w:t>
      </w:r>
      <w:r>
        <w:rPr>
          <w:spacing w:val="-7"/>
          <w:w w:val="105"/>
        </w:rPr>
        <w:t> </w:t>
      </w:r>
      <w:r>
        <w:rPr>
          <w:w w:val="105"/>
        </w:rPr>
        <w:t>difference</w:t>
      </w:r>
      <w:r>
        <w:rPr>
          <w:spacing w:val="-8"/>
          <w:w w:val="105"/>
        </w:rPr>
        <w:t> </w:t>
      </w:r>
      <w:r>
        <w:rPr>
          <w:w w:val="105"/>
        </w:rPr>
        <w:t>between</w:t>
      </w:r>
      <w:r>
        <w:rPr>
          <w:spacing w:val="-7"/>
          <w:w w:val="105"/>
        </w:rPr>
        <w:t> </w:t>
      </w:r>
      <w:r>
        <w:rPr>
          <w:w w:val="105"/>
        </w:rPr>
        <w:t>the</w:t>
      </w:r>
      <w:r>
        <w:rPr>
          <w:spacing w:val="-7"/>
          <w:w w:val="105"/>
        </w:rPr>
        <w:t> </w:t>
      </w:r>
      <w:r>
        <w:rPr>
          <w:w w:val="105"/>
        </w:rPr>
        <w:t>assets’</w:t>
      </w:r>
      <w:r>
        <w:rPr>
          <w:spacing w:val="-7"/>
          <w:w w:val="105"/>
        </w:rPr>
        <w:t> </w:t>
      </w:r>
      <w:r>
        <w:rPr>
          <w:w w:val="105"/>
        </w:rPr>
        <w:t>fair</w:t>
      </w:r>
      <w:r>
        <w:rPr>
          <w:spacing w:val="-7"/>
          <w:w w:val="105"/>
        </w:rPr>
        <w:t> </w:t>
      </w:r>
      <w:r>
        <w:rPr>
          <w:w w:val="105"/>
        </w:rPr>
        <w:t>value</w:t>
      </w:r>
      <w:r>
        <w:rPr>
          <w:spacing w:val="-7"/>
          <w:w w:val="105"/>
        </w:rPr>
        <w:t> </w:t>
      </w:r>
      <w:r>
        <w:rPr>
          <w:w w:val="105"/>
        </w:rPr>
        <w:t>and</w:t>
      </w:r>
      <w:r>
        <w:rPr>
          <w:spacing w:val="-7"/>
          <w:w w:val="105"/>
        </w:rPr>
        <w:t> </w:t>
      </w:r>
      <w:r>
        <w:rPr>
          <w:w w:val="105"/>
        </w:rPr>
        <w:t>carrying</w:t>
      </w:r>
      <w:r>
        <w:rPr>
          <w:spacing w:val="-7"/>
          <w:w w:val="105"/>
        </w:rPr>
        <w:t> </w:t>
      </w:r>
      <w:r>
        <w:rPr>
          <w:w w:val="105"/>
        </w:rPr>
        <w:t>value.</w:t>
      </w:r>
      <w:r>
        <w:rPr>
          <w:spacing w:val="-8"/>
          <w:w w:val="105"/>
        </w:rPr>
        <w:t> </w:t>
      </w:r>
      <w:r>
        <w:rPr>
          <w:w w:val="105"/>
        </w:rPr>
        <w:t>Our</w:t>
      </w:r>
      <w:r>
        <w:rPr>
          <w:spacing w:val="-7"/>
          <w:w w:val="105"/>
        </w:rPr>
        <w:t> </w:t>
      </w:r>
      <w:r>
        <w:rPr>
          <w:w w:val="105"/>
        </w:rPr>
        <w:t>estimates</w:t>
      </w:r>
      <w:r>
        <w:rPr>
          <w:spacing w:val="-7"/>
          <w:w w:val="105"/>
        </w:rPr>
        <w:t> </w:t>
      </w:r>
      <w:r>
        <w:rPr>
          <w:w w:val="105"/>
        </w:rPr>
        <w:t>are based</w:t>
      </w:r>
      <w:r>
        <w:rPr>
          <w:spacing w:val="-2"/>
          <w:w w:val="105"/>
        </w:rPr>
        <w:t> </w:t>
      </w:r>
      <w:r>
        <w:rPr>
          <w:w w:val="105"/>
        </w:rPr>
        <w:t>upon</w:t>
      </w:r>
      <w:r>
        <w:rPr>
          <w:spacing w:val="-2"/>
          <w:w w:val="105"/>
        </w:rPr>
        <w:t> </w:t>
      </w:r>
      <w:r>
        <w:rPr>
          <w:w w:val="105"/>
        </w:rPr>
        <w:t>our</w:t>
      </w:r>
      <w:r>
        <w:rPr>
          <w:spacing w:val="-2"/>
          <w:w w:val="105"/>
        </w:rPr>
        <w:t> </w:t>
      </w:r>
      <w:r>
        <w:rPr>
          <w:w w:val="105"/>
        </w:rPr>
        <w:t>historical</w:t>
      </w:r>
      <w:r>
        <w:rPr>
          <w:spacing w:val="-2"/>
          <w:w w:val="105"/>
        </w:rPr>
        <w:t> </w:t>
      </w:r>
      <w:r>
        <w:rPr>
          <w:w w:val="105"/>
        </w:rPr>
        <w:t>experience,</w:t>
      </w:r>
      <w:r>
        <w:rPr>
          <w:spacing w:val="-2"/>
          <w:w w:val="105"/>
        </w:rPr>
        <w:t> </w:t>
      </w:r>
      <w:r>
        <w:rPr>
          <w:w w:val="105"/>
        </w:rPr>
        <w:t>our</w:t>
      </w:r>
      <w:r>
        <w:rPr>
          <w:spacing w:val="-2"/>
          <w:w w:val="105"/>
        </w:rPr>
        <w:t> </w:t>
      </w:r>
      <w:r>
        <w:rPr>
          <w:w w:val="105"/>
        </w:rPr>
        <w:t>commercial</w:t>
      </w:r>
      <w:r>
        <w:rPr>
          <w:spacing w:val="-2"/>
          <w:w w:val="105"/>
        </w:rPr>
        <w:t> </w:t>
      </w:r>
      <w:r>
        <w:rPr>
          <w:w w:val="105"/>
        </w:rPr>
        <w:t>relationships,</w:t>
      </w:r>
      <w:r>
        <w:rPr>
          <w:spacing w:val="-2"/>
          <w:w w:val="105"/>
        </w:rPr>
        <w:t> </w:t>
      </w:r>
      <w:r>
        <w:rPr>
          <w:w w:val="105"/>
        </w:rPr>
        <w:t>and</w:t>
      </w:r>
      <w:r>
        <w:rPr>
          <w:spacing w:val="-2"/>
          <w:w w:val="105"/>
        </w:rPr>
        <w:t> </w:t>
      </w:r>
      <w:r>
        <w:rPr>
          <w:w w:val="105"/>
        </w:rPr>
        <w:t>available</w:t>
      </w:r>
      <w:r>
        <w:rPr>
          <w:spacing w:val="-2"/>
          <w:w w:val="105"/>
        </w:rPr>
        <w:t> </w:t>
      </w:r>
      <w:r>
        <w:rPr>
          <w:w w:val="105"/>
        </w:rPr>
        <w:t>external</w:t>
      </w:r>
      <w:r>
        <w:rPr>
          <w:spacing w:val="-2"/>
          <w:w w:val="105"/>
        </w:rPr>
        <w:t> </w:t>
      </w:r>
      <w:r>
        <w:rPr>
          <w:w w:val="105"/>
        </w:rPr>
        <w:t>information</w:t>
      </w:r>
      <w:r>
        <w:rPr>
          <w:spacing w:val="-2"/>
          <w:w w:val="105"/>
        </w:rPr>
        <w:t> </w:t>
      </w:r>
      <w:r>
        <w:rPr>
          <w:w w:val="105"/>
        </w:rPr>
        <w:t>about</w:t>
      </w:r>
      <w:r>
        <w:rPr>
          <w:spacing w:val="-2"/>
          <w:w w:val="105"/>
        </w:rPr>
        <w:t> </w:t>
      </w:r>
      <w:r>
        <w:rPr>
          <w:w w:val="105"/>
        </w:rPr>
        <w:t>future</w:t>
      </w:r>
      <w:r>
        <w:rPr>
          <w:spacing w:val="-2"/>
          <w:w w:val="105"/>
        </w:rPr>
        <w:t> </w:t>
      </w:r>
      <w:r>
        <w:rPr>
          <w:w w:val="105"/>
        </w:rPr>
        <w:t>trends. We</w:t>
      </w:r>
      <w:r>
        <w:rPr>
          <w:spacing w:val="-2"/>
          <w:w w:val="105"/>
        </w:rPr>
        <w:t> </w:t>
      </w:r>
      <w:r>
        <w:rPr>
          <w:w w:val="105"/>
        </w:rPr>
        <w:t>believe</w:t>
      </w:r>
      <w:r>
        <w:rPr>
          <w:spacing w:val="-2"/>
          <w:w w:val="105"/>
        </w:rPr>
        <w:t> </w:t>
      </w:r>
      <w:r>
        <w:rPr>
          <w:w w:val="105"/>
        </w:rPr>
        <w:t>fair</w:t>
      </w:r>
      <w:r>
        <w:rPr>
          <w:spacing w:val="-2"/>
          <w:w w:val="105"/>
        </w:rPr>
        <w:t> </w:t>
      </w:r>
      <w:r>
        <w:rPr>
          <w:w w:val="105"/>
        </w:rPr>
        <w:t>value</w:t>
      </w:r>
      <w:r>
        <w:rPr>
          <w:spacing w:val="-2"/>
          <w:w w:val="105"/>
        </w:rPr>
        <w:t> </w:t>
      </w:r>
      <w:r>
        <w:rPr>
          <w:w w:val="105"/>
        </w:rPr>
        <w:t>assessments</w:t>
      </w:r>
      <w:r>
        <w:rPr>
          <w:spacing w:val="-2"/>
          <w:w w:val="105"/>
        </w:rPr>
        <w:t> </w:t>
      </w:r>
      <w:r>
        <w:rPr>
          <w:w w:val="105"/>
        </w:rPr>
        <w:t>are</w:t>
      </w:r>
      <w:r>
        <w:rPr>
          <w:spacing w:val="-2"/>
          <w:w w:val="105"/>
        </w:rPr>
        <w:t> </w:t>
      </w:r>
      <w:r>
        <w:rPr>
          <w:w w:val="105"/>
        </w:rPr>
        <w:t>most sensitive</w:t>
      </w:r>
      <w:r>
        <w:rPr>
          <w:spacing w:val="-1"/>
          <w:w w:val="105"/>
        </w:rPr>
        <w:t> </w:t>
      </w:r>
      <w:r>
        <w:rPr>
          <w:w w:val="105"/>
        </w:rPr>
        <w:t>to</w:t>
      </w:r>
      <w:r>
        <w:rPr>
          <w:spacing w:val="-1"/>
          <w:w w:val="105"/>
        </w:rPr>
        <w:t> </w:t>
      </w:r>
      <w:r>
        <w:rPr>
          <w:w w:val="105"/>
        </w:rPr>
        <w:t>market</w:t>
      </w:r>
      <w:r>
        <w:rPr>
          <w:spacing w:val="-1"/>
          <w:w w:val="105"/>
        </w:rPr>
        <w:t> </w:t>
      </w:r>
      <w:r>
        <w:rPr>
          <w:w w:val="105"/>
        </w:rPr>
        <w:t>growth and</w:t>
      </w:r>
      <w:r>
        <w:rPr>
          <w:spacing w:val="-1"/>
          <w:w w:val="105"/>
        </w:rPr>
        <w:t> </w:t>
      </w:r>
      <w:r>
        <w:rPr>
          <w:w w:val="105"/>
        </w:rPr>
        <w:t>the</w:t>
      </w:r>
      <w:r>
        <w:rPr>
          <w:spacing w:val="-1"/>
          <w:w w:val="105"/>
        </w:rPr>
        <w:t> </w:t>
      </w:r>
      <w:r>
        <w:rPr>
          <w:w w:val="105"/>
        </w:rPr>
        <w:t>corresponding</w:t>
      </w:r>
      <w:r>
        <w:rPr>
          <w:spacing w:val="-1"/>
          <w:w w:val="105"/>
        </w:rPr>
        <w:t> </w:t>
      </w:r>
      <w:r>
        <w:rPr>
          <w:w w:val="105"/>
        </w:rPr>
        <w:t>impact</w:t>
      </w:r>
      <w:r>
        <w:rPr>
          <w:spacing w:val="-1"/>
          <w:w w:val="105"/>
        </w:rPr>
        <w:t> </w:t>
      </w:r>
      <w:r>
        <w:rPr>
          <w:w w:val="105"/>
        </w:rPr>
        <w:t>on</w:t>
      </w:r>
      <w:r>
        <w:rPr>
          <w:spacing w:val="-1"/>
          <w:w w:val="105"/>
        </w:rPr>
        <w:t> </w:t>
      </w:r>
      <w:r>
        <w:rPr>
          <w:w w:val="105"/>
        </w:rPr>
        <w:t>volume</w:t>
      </w:r>
      <w:r>
        <w:rPr>
          <w:spacing w:val="-1"/>
          <w:w w:val="105"/>
        </w:rPr>
        <w:t> </w:t>
      </w:r>
      <w:r>
        <w:rPr>
          <w:w w:val="105"/>
        </w:rPr>
        <w:t>and</w:t>
      </w:r>
      <w:r>
        <w:rPr>
          <w:spacing w:val="-1"/>
          <w:w w:val="105"/>
        </w:rPr>
        <w:t> </w:t>
      </w:r>
      <w:r>
        <w:rPr>
          <w:w w:val="105"/>
        </w:rPr>
        <w:t>selling</w:t>
      </w:r>
      <w:r>
        <w:rPr>
          <w:spacing w:val="-1"/>
          <w:w w:val="105"/>
        </w:rPr>
        <w:t> </w:t>
      </w:r>
      <w:r>
        <w:rPr>
          <w:w w:val="105"/>
        </w:rPr>
        <w:t>prices</w:t>
      </w:r>
      <w:r>
        <w:rPr>
          <w:spacing w:val="-1"/>
          <w:w w:val="105"/>
        </w:rPr>
        <w:t> </w:t>
      </w:r>
      <w:r>
        <w:rPr>
          <w:w w:val="105"/>
        </w:rPr>
        <w:t>and that</w:t>
      </w:r>
      <w:r>
        <w:rPr>
          <w:spacing w:val="-1"/>
          <w:w w:val="105"/>
        </w:rPr>
        <w:t> </w:t>
      </w:r>
      <w:r>
        <w:rPr>
          <w:w w:val="105"/>
        </w:rPr>
        <w:t>these</w:t>
      </w:r>
      <w:r>
        <w:rPr>
          <w:spacing w:val="-1"/>
          <w:w w:val="105"/>
        </w:rPr>
        <w:t> </w:t>
      </w:r>
      <w:r>
        <w:rPr>
          <w:w w:val="105"/>
        </w:rPr>
        <w:t>are</w:t>
      </w:r>
      <w:r>
        <w:rPr>
          <w:spacing w:val="-1"/>
          <w:w w:val="105"/>
        </w:rPr>
        <w:t> </w:t>
      </w:r>
      <w:r>
        <w:rPr>
          <w:w w:val="105"/>
        </w:rPr>
        <w:t>also</w:t>
      </w:r>
      <w:r>
        <w:rPr>
          <w:spacing w:val="-1"/>
          <w:w w:val="105"/>
        </w:rPr>
        <w:t> </w:t>
      </w:r>
      <w:r>
        <w:rPr>
          <w:w w:val="105"/>
        </w:rPr>
        <w:t>more</w:t>
      </w:r>
      <w:r>
        <w:rPr>
          <w:spacing w:val="-1"/>
          <w:w w:val="105"/>
        </w:rPr>
        <w:t> </w:t>
      </w:r>
      <w:r>
        <w:rPr>
          <w:w w:val="105"/>
        </w:rPr>
        <w:t>subjective</w:t>
      </w:r>
      <w:r>
        <w:rPr>
          <w:spacing w:val="-1"/>
          <w:w w:val="105"/>
        </w:rPr>
        <w:t> </w:t>
      </w:r>
      <w:r>
        <w:rPr>
          <w:w w:val="105"/>
        </w:rPr>
        <w:t>than</w:t>
      </w:r>
      <w:r>
        <w:rPr>
          <w:spacing w:val="-1"/>
          <w:w w:val="105"/>
        </w:rPr>
        <w:t> </w:t>
      </w:r>
      <w:r>
        <w:rPr>
          <w:w w:val="105"/>
        </w:rPr>
        <w:t>manufacturing</w:t>
      </w:r>
      <w:r>
        <w:rPr>
          <w:spacing w:val="-1"/>
          <w:w w:val="105"/>
        </w:rPr>
        <w:t> </w:t>
      </w:r>
      <w:r>
        <w:rPr>
          <w:w w:val="105"/>
        </w:rPr>
        <w:t>cost</w:t>
      </w:r>
      <w:r>
        <w:rPr>
          <w:spacing w:val="-1"/>
          <w:w w:val="105"/>
        </w:rPr>
        <w:t> </w:t>
      </w:r>
      <w:r>
        <w:rPr>
          <w:w w:val="105"/>
        </w:rPr>
        <w:t>and</w:t>
      </w:r>
      <w:r>
        <w:rPr>
          <w:spacing w:val="-1"/>
          <w:w w:val="105"/>
        </w:rPr>
        <w:t> </w:t>
      </w:r>
      <w:r>
        <w:rPr>
          <w:w w:val="105"/>
        </w:rPr>
        <w:t>other assumptions. The Company believes its current assumptions and estimates are reasonable and appropriate.</w:t>
      </w:r>
    </w:p>
    <w:p>
      <w:pPr>
        <w:pStyle w:val="BodyText"/>
        <w:spacing w:before="16"/>
      </w:pPr>
    </w:p>
    <w:p>
      <w:pPr>
        <w:pStyle w:val="BodyText"/>
        <w:spacing w:line="266" w:lineRule="auto" w:before="1"/>
        <w:ind w:left="156" w:right="117"/>
      </w:pPr>
      <w:r>
        <w:rPr>
          <w:w w:val="105"/>
        </w:rPr>
        <w:t>At</w:t>
      </w:r>
      <w:r>
        <w:rPr>
          <w:spacing w:val="-2"/>
          <w:w w:val="105"/>
        </w:rPr>
        <w:t> </w:t>
      </w:r>
      <w:r>
        <w:rPr>
          <w:w w:val="105"/>
        </w:rPr>
        <w:t>December</w:t>
      </w:r>
      <w:r>
        <w:rPr>
          <w:spacing w:val="-2"/>
          <w:w w:val="105"/>
        </w:rPr>
        <w:t> </w:t>
      </w:r>
      <w:r>
        <w:rPr>
          <w:w w:val="105"/>
        </w:rPr>
        <w:t>31,</w:t>
      </w:r>
      <w:r>
        <w:rPr>
          <w:spacing w:val="-2"/>
          <w:w w:val="105"/>
        </w:rPr>
        <w:t> </w:t>
      </w:r>
      <w:r>
        <w:rPr>
          <w:w w:val="105"/>
        </w:rPr>
        <w:t>2021</w:t>
      </w:r>
      <w:r>
        <w:rPr>
          <w:spacing w:val="-2"/>
          <w:w w:val="105"/>
        </w:rPr>
        <w:t> </w:t>
      </w:r>
      <w:r>
        <w:rPr>
          <w:w w:val="105"/>
        </w:rPr>
        <w:t>and</w:t>
      </w:r>
      <w:r>
        <w:rPr>
          <w:spacing w:val="-2"/>
          <w:w w:val="105"/>
        </w:rPr>
        <w:t> </w:t>
      </w:r>
      <w:r>
        <w:rPr>
          <w:w w:val="105"/>
        </w:rPr>
        <w:t>2020,</w:t>
      </w:r>
      <w:r>
        <w:rPr>
          <w:spacing w:val="-2"/>
          <w:w w:val="105"/>
        </w:rPr>
        <w:t> </w:t>
      </w:r>
      <w:r>
        <w:rPr>
          <w:w w:val="105"/>
        </w:rPr>
        <w:t>the</w:t>
      </w:r>
      <w:r>
        <w:rPr>
          <w:spacing w:val="-2"/>
          <w:w w:val="105"/>
        </w:rPr>
        <w:t> </w:t>
      </w:r>
      <w:r>
        <w:rPr>
          <w:w w:val="105"/>
        </w:rPr>
        <w:t>carrying</w:t>
      </w:r>
      <w:r>
        <w:rPr>
          <w:spacing w:val="-2"/>
          <w:w w:val="105"/>
        </w:rPr>
        <w:t> </w:t>
      </w:r>
      <w:r>
        <w:rPr>
          <w:w w:val="105"/>
        </w:rPr>
        <w:t>value</w:t>
      </w:r>
      <w:r>
        <w:rPr>
          <w:spacing w:val="-2"/>
          <w:w w:val="105"/>
        </w:rPr>
        <w:t> </w:t>
      </w:r>
      <w:r>
        <w:rPr>
          <w:w w:val="105"/>
        </w:rPr>
        <w:t>of</w:t>
      </w:r>
      <w:r>
        <w:rPr>
          <w:spacing w:val="-2"/>
          <w:w w:val="105"/>
        </w:rPr>
        <w:t> </w:t>
      </w:r>
      <w:r>
        <w:rPr>
          <w:w w:val="105"/>
        </w:rPr>
        <w:t>precious</w:t>
      </w:r>
      <w:r>
        <w:rPr>
          <w:spacing w:val="-2"/>
          <w:w w:val="105"/>
        </w:rPr>
        <w:t> </w:t>
      </w:r>
      <w:r>
        <w:rPr>
          <w:w w:val="105"/>
        </w:rPr>
        <w:t>metals</w:t>
      </w:r>
      <w:r>
        <w:rPr>
          <w:spacing w:val="-2"/>
          <w:w w:val="105"/>
        </w:rPr>
        <w:t> </w:t>
      </w:r>
      <w:r>
        <w:rPr>
          <w:w w:val="105"/>
        </w:rPr>
        <w:t>was</w:t>
      </w:r>
      <w:r>
        <w:rPr>
          <w:spacing w:val="-2"/>
          <w:w w:val="105"/>
        </w:rPr>
        <w:t> </w:t>
      </w:r>
      <w:r>
        <w:rPr>
          <w:w w:val="105"/>
        </w:rPr>
        <w:t>$3.5</w:t>
      </w:r>
      <w:r>
        <w:rPr>
          <w:spacing w:val="-2"/>
          <w:w w:val="105"/>
        </w:rPr>
        <w:t> </w:t>
      </w:r>
      <w:r>
        <w:rPr>
          <w:w w:val="105"/>
        </w:rPr>
        <w:t>billion</w:t>
      </w:r>
      <w:r>
        <w:rPr>
          <w:spacing w:val="-2"/>
          <w:w w:val="105"/>
        </w:rPr>
        <w:t> </w:t>
      </w:r>
      <w:r>
        <w:rPr>
          <w:w w:val="105"/>
        </w:rPr>
        <w:t>and</w:t>
      </w:r>
      <w:r>
        <w:rPr>
          <w:spacing w:val="-2"/>
          <w:w w:val="105"/>
        </w:rPr>
        <w:t> </w:t>
      </w:r>
      <w:r>
        <w:rPr>
          <w:w w:val="105"/>
        </w:rPr>
        <w:t>$3.4</w:t>
      </w:r>
      <w:r>
        <w:rPr>
          <w:spacing w:val="-2"/>
          <w:w w:val="105"/>
        </w:rPr>
        <w:t> </w:t>
      </w:r>
      <w:r>
        <w:rPr>
          <w:w w:val="105"/>
        </w:rPr>
        <w:t>billion,</w:t>
      </w:r>
      <w:r>
        <w:rPr>
          <w:spacing w:val="-2"/>
          <w:w w:val="105"/>
        </w:rPr>
        <w:t> </w:t>
      </w:r>
      <w:r>
        <w:rPr>
          <w:w w:val="105"/>
        </w:rPr>
        <w:t>respectively,</w:t>
      </w:r>
      <w:r>
        <w:rPr>
          <w:spacing w:val="-2"/>
          <w:w w:val="105"/>
        </w:rPr>
        <w:t> </w:t>
      </w:r>
      <w:r>
        <w:rPr>
          <w:w w:val="105"/>
        </w:rPr>
        <w:t>and</w:t>
      </w:r>
      <w:r>
        <w:rPr>
          <w:spacing w:val="-2"/>
          <w:w w:val="105"/>
        </w:rPr>
        <w:t> </w:t>
      </w:r>
      <w:r>
        <w:rPr>
          <w:w w:val="105"/>
        </w:rPr>
        <w:t>significantly</w:t>
      </w:r>
      <w:r>
        <w:rPr>
          <w:spacing w:val="-2"/>
          <w:w w:val="105"/>
        </w:rPr>
        <w:t> </w:t>
      </w:r>
      <w:r>
        <w:rPr>
          <w:w w:val="105"/>
        </w:rPr>
        <w:t>lower</w:t>
      </w:r>
      <w:r>
        <w:rPr>
          <w:spacing w:val="-2"/>
          <w:w w:val="105"/>
        </w:rPr>
        <w:t> </w:t>
      </w:r>
      <w:r>
        <w:rPr>
          <w:w w:val="105"/>
        </w:rPr>
        <w:t>than</w:t>
      </w:r>
      <w:r>
        <w:rPr>
          <w:spacing w:val="-2"/>
          <w:w w:val="105"/>
        </w:rPr>
        <w:t> </w:t>
      </w:r>
      <w:r>
        <w:rPr>
          <w:w w:val="105"/>
        </w:rPr>
        <w:t>the</w:t>
      </w:r>
      <w:r>
        <w:rPr>
          <w:spacing w:val="-2"/>
          <w:w w:val="105"/>
        </w:rPr>
        <w:t> </w:t>
      </w:r>
      <w:r>
        <w:rPr>
          <w:w w:val="105"/>
        </w:rPr>
        <w:t>fair</w:t>
      </w:r>
      <w:r>
        <w:rPr>
          <w:spacing w:val="-2"/>
          <w:w w:val="105"/>
        </w:rPr>
        <w:t> </w:t>
      </w:r>
      <w:r>
        <w:rPr>
          <w:w w:val="105"/>
        </w:rPr>
        <w:t>market</w:t>
      </w:r>
      <w:r>
        <w:rPr>
          <w:spacing w:val="-2"/>
          <w:w w:val="105"/>
        </w:rPr>
        <w:t> </w:t>
      </w:r>
      <w:r>
        <w:rPr>
          <w:w w:val="105"/>
        </w:rPr>
        <w:t>value. Most</w:t>
      </w:r>
      <w:r>
        <w:rPr>
          <w:spacing w:val="-8"/>
          <w:w w:val="105"/>
        </w:rPr>
        <w:t> </w:t>
      </w:r>
      <w:r>
        <w:rPr>
          <w:w w:val="105"/>
        </w:rPr>
        <w:t>of</w:t>
      </w:r>
      <w:r>
        <w:rPr>
          <w:spacing w:val="-8"/>
          <w:w w:val="105"/>
        </w:rPr>
        <w:t> </w:t>
      </w:r>
      <w:r>
        <w:rPr>
          <w:w w:val="105"/>
        </w:rPr>
        <w:t>these</w:t>
      </w:r>
      <w:r>
        <w:rPr>
          <w:spacing w:val="-8"/>
          <w:w w:val="105"/>
        </w:rPr>
        <w:t> </w:t>
      </w:r>
      <w:r>
        <w:rPr>
          <w:w w:val="105"/>
        </w:rPr>
        <w:t>precious</w:t>
      </w:r>
      <w:r>
        <w:rPr>
          <w:spacing w:val="-8"/>
          <w:w w:val="105"/>
        </w:rPr>
        <w:t> </w:t>
      </w:r>
      <w:r>
        <w:rPr>
          <w:w w:val="105"/>
        </w:rPr>
        <w:t>metals</w:t>
      </w:r>
      <w:r>
        <w:rPr>
          <w:spacing w:val="-8"/>
          <w:w w:val="105"/>
        </w:rPr>
        <w:t> </w:t>
      </w:r>
      <w:r>
        <w:rPr>
          <w:w w:val="105"/>
        </w:rPr>
        <w:t>are</w:t>
      </w:r>
      <w:r>
        <w:rPr>
          <w:spacing w:val="-8"/>
          <w:w w:val="105"/>
        </w:rPr>
        <w:t> </w:t>
      </w:r>
      <w:r>
        <w:rPr>
          <w:w w:val="105"/>
        </w:rPr>
        <w:t>utilized</w:t>
      </w:r>
      <w:r>
        <w:rPr>
          <w:spacing w:val="-8"/>
          <w:w w:val="105"/>
        </w:rPr>
        <w:t> </w:t>
      </w:r>
      <w:r>
        <w:rPr>
          <w:w w:val="105"/>
        </w:rPr>
        <w:t>by</w:t>
      </w:r>
      <w:r>
        <w:rPr>
          <w:spacing w:val="-8"/>
          <w:w w:val="105"/>
        </w:rPr>
        <w:t> </w:t>
      </w:r>
      <w:r>
        <w:rPr>
          <w:w w:val="105"/>
        </w:rPr>
        <w:t>the</w:t>
      </w:r>
      <w:r>
        <w:rPr>
          <w:spacing w:val="-8"/>
          <w:w w:val="105"/>
        </w:rPr>
        <w:t> </w:t>
      </w:r>
      <w:r>
        <w:rPr>
          <w:w w:val="105"/>
        </w:rPr>
        <w:t>Display</w:t>
      </w:r>
      <w:r>
        <w:rPr>
          <w:spacing w:val="-8"/>
          <w:w w:val="105"/>
        </w:rPr>
        <w:t> </w:t>
      </w:r>
      <w:r>
        <w:rPr>
          <w:w w:val="105"/>
        </w:rPr>
        <w:t>Technologies</w:t>
      </w:r>
      <w:r>
        <w:rPr>
          <w:spacing w:val="-8"/>
          <w:w w:val="105"/>
        </w:rPr>
        <w:t> </w:t>
      </w:r>
      <w:r>
        <w:rPr>
          <w:w w:val="105"/>
        </w:rPr>
        <w:t>and</w:t>
      </w:r>
      <w:r>
        <w:rPr>
          <w:spacing w:val="-8"/>
          <w:w w:val="105"/>
        </w:rPr>
        <w:t> </w:t>
      </w:r>
      <w:r>
        <w:rPr>
          <w:w w:val="105"/>
        </w:rPr>
        <w:t>Specialty</w:t>
      </w:r>
      <w:r>
        <w:rPr>
          <w:spacing w:val="-8"/>
          <w:w w:val="105"/>
        </w:rPr>
        <w:t> </w:t>
      </w:r>
      <w:r>
        <w:rPr>
          <w:w w:val="105"/>
        </w:rPr>
        <w:t>Materials</w:t>
      </w:r>
      <w:r>
        <w:rPr>
          <w:spacing w:val="-8"/>
          <w:w w:val="105"/>
        </w:rPr>
        <w:t> </w:t>
      </w:r>
      <w:r>
        <w:rPr>
          <w:w w:val="105"/>
        </w:rPr>
        <w:t>segments.</w:t>
      </w:r>
      <w:r>
        <w:rPr>
          <w:spacing w:val="27"/>
          <w:w w:val="105"/>
        </w:rPr>
        <w:t> </w:t>
      </w:r>
      <w:r>
        <w:rPr>
          <w:w w:val="105"/>
        </w:rPr>
        <w:t>The</w:t>
      </w:r>
      <w:r>
        <w:rPr>
          <w:spacing w:val="-8"/>
          <w:w w:val="105"/>
        </w:rPr>
        <w:t> </w:t>
      </w:r>
      <w:r>
        <w:rPr>
          <w:w w:val="105"/>
        </w:rPr>
        <w:t>potential</w:t>
      </w:r>
      <w:r>
        <w:rPr>
          <w:spacing w:val="-8"/>
          <w:w w:val="105"/>
        </w:rPr>
        <w:t> </w:t>
      </w:r>
      <w:r>
        <w:rPr>
          <w:w w:val="105"/>
        </w:rPr>
        <w:t>for</w:t>
      </w:r>
      <w:r>
        <w:rPr>
          <w:spacing w:val="-8"/>
          <w:w w:val="105"/>
        </w:rPr>
        <w:t> </w:t>
      </w:r>
      <w:r>
        <w:rPr>
          <w:w w:val="105"/>
        </w:rPr>
        <w:t>impairment</w:t>
      </w:r>
      <w:r>
        <w:rPr>
          <w:spacing w:val="-8"/>
          <w:w w:val="105"/>
        </w:rPr>
        <w:t> </w:t>
      </w:r>
      <w:r>
        <w:rPr>
          <w:w w:val="105"/>
        </w:rPr>
        <w:t>exists</w:t>
      </w:r>
      <w:r>
        <w:rPr>
          <w:spacing w:val="-8"/>
          <w:w w:val="105"/>
        </w:rPr>
        <w:t> </w:t>
      </w:r>
      <w:r>
        <w:rPr>
          <w:w w:val="105"/>
        </w:rPr>
        <w:t>in</w:t>
      </w:r>
      <w:r>
        <w:rPr>
          <w:spacing w:val="-8"/>
          <w:w w:val="105"/>
        </w:rPr>
        <w:t> </w:t>
      </w:r>
      <w:r>
        <w:rPr>
          <w:w w:val="105"/>
        </w:rPr>
        <w:t>the</w:t>
      </w:r>
      <w:r>
        <w:rPr>
          <w:spacing w:val="-8"/>
          <w:w w:val="105"/>
        </w:rPr>
        <w:t> </w:t>
      </w:r>
      <w:r>
        <w:rPr>
          <w:w w:val="105"/>
        </w:rPr>
        <w:t>future</w:t>
      </w:r>
      <w:r>
        <w:rPr>
          <w:spacing w:val="-8"/>
          <w:w w:val="105"/>
        </w:rPr>
        <w:t> </w:t>
      </w:r>
      <w:r>
        <w:rPr>
          <w:w w:val="105"/>
        </w:rPr>
        <w:t>if</w:t>
      </w:r>
      <w:r>
        <w:rPr>
          <w:spacing w:val="-8"/>
          <w:w w:val="105"/>
        </w:rPr>
        <w:t> </w:t>
      </w:r>
      <w:r>
        <w:rPr>
          <w:w w:val="105"/>
        </w:rPr>
        <w:t>negative</w:t>
      </w:r>
      <w:r>
        <w:rPr>
          <w:spacing w:val="-8"/>
          <w:w w:val="105"/>
        </w:rPr>
        <w:t> </w:t>
      </w:r>
      <w:r>
        <w:rPr>
          <w:w w:val="105"/>
        </w:rPr>
        <w:t>events significantly</w:t>
      </w:r>
      <w:r>
        <w:rPr>
          <w:spacing w:val="-3"/>
          <w:w w:val="105"/>
        </w:rPr>
        <w:t> </w:t>
      </w:r>
      <w:r>
        <w:rPr>
          <w:w w:val="105"/>
        </w:rPr>
        <w:t>decrease</w:t>
      </w:r>
      <w:r>
        <w:rPr>
          <w:spacing w:val="-3"/>
          <w:w w:val="105"/>
        </w:rPr>
        <w:t> </w:t>
      </w:r>
      <w:r>
        <w:rPr>
          <w:w w:val="105"/>
        </w:rPr>
        <w:t>the</w:t>
      </w:r>
      <w:r>
        <w:rPr>
          <w:spacing w:val="-3"/>
          <w:w w:val="105"/>
        </w:rPr>
        <w:t> </w:t>
      </w:r>
      <w:r>
        <w:rPr>
          <w:w w:val="105"/>
        </w:rPr>
        <w:t>cash</w:t>
      </w:r>
      <w:r>
        <w:rPr>
          <w:spacing w:val="-3"/>
          <w:w w:val="105"/>
        </w:rPr>
        <w:t> </w:t>
      </w:r>
      <w:r>
        <w:rPr>
          <w:w w:val="105"/>
        </w:rPr>
        <w:t>flow</w:t>
      </w:r>
      <w:r>
        <w:rPr>
          <w:spacing w:val="-3"/>
          <w:w w:val="105"/>
        </w:rPr>
        <w:t> </w:t>
      </w:r>
      <w:r>
        <w:rPr>
          <w:w w:val="105"/>
        </w:rPr>
        <w:t>of</w:t>
      </w:r>
      <w:r>
        <w:rPr>
          <w:spacing w:val="-3"/>
          <w:w w:val="105"/>
        </w:rPr>
        <w:t> </w:t>
      </w:r>
      <w:r>
        <w:rPr>
          <w:w w:val="105"/>
        </w:rPr>
        <w:t>these</w:t>
      </w:r>
      <w:r>
        <w:rPr>
          <w:spacing w:val="-3"/>
          <w:w w:val="105"/>
        </w:rPr>
        <w:t> </w:t>
      </w:r>
      <w:r>
        <w:rPr>
          <w:w w:val="105"/>
        </w:rPr>
        <w:t>segments.</w:t>
      </w:r>
      <w:r>
        <w:rPr>
          <w:spacing w:val="-3"/>
          <w:w w:val="105"/>
        </w:rPr>
        <w:t> </w:t>
      </w:r>
      <w:r>
        <w:rPr>
          <w:w w:val="105"/>
        </w:rPr>
        <w:t>Such</w:t>
      </w:r>
      <w:r>
        <w:rPr>
          <w:spacing w:val="-3"/>
          <w:w w:val="105"/>
        </w:rPr>
        <w:t> </w:t>
      </w:r>
      <w:r>
        <w:rPr>
          <w:w w:val="105"/>
        </w:rPr>
        <w:t>events</w:t>
      </w:r>
      <w:r>
        <w:rPr>
          <w:spacing w:val="-3"/>
          <w:w w:val="105"/>
        </w:rPr>
        <w:t> </w:t>
      </w:r>
      <w:r>
        <w:rPr>
          <w:w w:val="105"/>
        </w:rPr>
        <w:t>include,</w:t>
      </w:r>
      <w:r>
        <w:rPr>
          <w:spacing w:val="-3"/>
          <w:w w:val="105"/>
        </w:rPr>
        <w:t> </w:t>
      </w:r>
      <w:r>
        <w:rPr>
          <w:w w:val="105"/>
        </w:rPr>
        <w:t>but</w:t>
      </w:r>
      <w:r>
        <w:rPr>
          <w:spacing w:val="-3"/>
          <w:w w:val="105"/>
        </w:rPr>
        <w:t> </w:t>
      </w:r>
      <w:r>
        <w:rPr>
          <w:w w:val="105"/>
        </w:rPr>
        <w:t>are</w:t>
      </w:r>
      <w:r>
        <w:rPr>
          <w:spacing w:val="-3"/>
          <w:w w:val="105"/>
        </w:rPr>
        <w:t> </w:t>
      </w:r>
      <w:r>
        <w:rPr>
          <w:w w:val="105"/>
        </w:rPr>
        <w:t>not</w:t>
      </w:r>
      <w:r>
        <w:rPr>
          <w:spacing w:val="-3"/>
          <w:w w:val="105"/>
        </w:rPr>
        <w:t> </w:t>
      </w:r>
      <w:r>
        <w:rPr>
          <w:w w:val="105"/>
        </w:rPr>
        <w:t>limited</w:t>
      </w:r>
      <w:r>
        <w:rPr>
          <w:spacing w:val="-3"/>
          <w:w w:val="105"/>
        </w:rPr>
        <w:t> </w:t>
      </w:r>
      <w:r>
        <w:rPr>
          <w:w w:val="105"/>
        </w:rPr>
        <w:t>to,</w:t>
      </w:r>
      <w:r>
        <w:rPr>
          <w:spacing w:val="-3"/>
          <w:w w:val="105"/>
        </w:rPr>
        <w:t> </w:t>
      </w:r>
      <w:r>
        <w:rPr>
          <w:w w:val="105"/>
        </w:rPr>
        <w:t>a</w:t>
      </w:r>
      <w:r>
        <w:rPr>
          <w:spacing w:val="-3"/>
          <w:w w:val="105"/>
        </w:rPr>
        <w:t> </w:t>
      </w:r>
      <w:r>
        <w:rPr>
          <w:w w:val="105"/>
        </w:rPr>
        <w:t>significant</w:t>
      </w:r>
      <w:r>
        <w:rPr>
          <w:spacing w:val="-3"/>
          <w:w w:val="105"/>
        </w:rPr>
        <w:t> </w:t>
      </w:r>
      <w:r>
        <w:rPr>
          <w:w w:val="105"/>
        </w:rPr>
        <w:t>decrease</w:t>
      </w:r>
      <w:r>
        <w:rPr>
          <w:spacing w:val="-3"/>
          <w:w w:val="105"/>
        </w:rPr>
        <w:t> </w:t>
      </w:r>
      <w:r>
        <w:rPr>
          <w:w w:val="105"/>
        </w:rPr>
        <w:t>in</w:t>
      </w:r>
      <w:r>
        <w:rPr>
          <w:spacing w:val="-3"/>
          <w:w w:val="105"/>
        </w:rPr>
        <w:t> </w:t>
      </w:r>
      <w:r>
        <w:rPr>
          <w:w w:val="105"/>
        </w:rPr>
        <w:t>demand</w:t>
      </w:r>
      <w:r>
        <w:rPr>
          <w:spacing w:val="-1"/>
          <w:w w:val="105"/>
        </w:rPr>
        <w:t> </w:t>
      </w:r>
      <w:r>
        <w:rPr>
          <w:w w:val="105"/>
        </w:rPr>
        <w:t>for</w:t>
      </w:r>
      <w:r>
        <w:rPr>
          <w:spacing w:val="-3"/>
          <w:w w:val="105"/>
        </w:rPr>
        <w:t> </w:t>
      </w:r>
      <w:r>
        <w:rPr>
          <w:w w:val="105"/>
        </w:rPr>
        <w:t>products</w:t>
      </w:r>
      <w:r>
        <w:rPr>
          <w:spacing w:val="-3"/>
          <w:w w:val="105"/>
        </w:rPr>
        <w:t> </w:t>
      </w:r>
      <w:r>
        <w:rPr>
          <w:w w:val="105"/>
        </w:rPr>
        <w:t>or</w:t>
      </w:r>
      <w:r>
        <w:rPr>
          <w:spacing w:val="-3"/>
          <w:w w:val="105"/>
        </w:rPr>
        <w:t> </w:t>
      </w:r>
      <w:r>
        <w:rPr>
          <w:w w:val="105"/>
        </w:rPr>
        <w:t>a</w:t>
      </w:r>
      <w:r>
        <w:rPr>
          <w:spacing w:val="-3"/>
          <w:w w:val="105"/>
        </w:rPr>
        <w:t> </w:t>
      </w:r>
      <w:r>
        <w:rPr>
          <w:w w:val="105"/>
        </w:rPr>
        <w:t>significant</w:t>
      </w:r>
      <w:r>
        <w:rPr>
          <w:spacing w:val="-3"/>
          <w:w w:val="105"/>
        </w:rPr>
        <w:t> </w:t>
      </w:r>
      <w:r>
        <w:rPr>
          <w:w w:val="105"/>
        </w:rPr>
        <w:t>decrease</w:t>
      </w:r>
      <w:r>
        <w:rPr>
          <w:spacing w:val="-3"/>
          <w:w w:val="105"/>
        </w:rPr>
        <w:t> </w:t>
      </w:r>
      <w:r>
        <w:rPr>
          <w:w w:val="105"/>
        </w:rPr>
        <w:t>in profitability in our Display Technologies or Specialty Materials segments.</w:t>
      </w:r>
    </w:p>
    <w:p>
      <w:pPr>
        <w:pStyle w:val="BodyText"/>
        <w:spacing w:before="18"/>
      </w:pPr>
    </w:p>
    <w:p>
      <w:pPr>
        <w:pStyle w:val="BodyText"/>
        <w:spacing w:line="266" w:lineRule="auto"/>
        <w:ind w:left="156"/>
      </w:pPr>
      <w:r>
        <w:rPr>
          <w:w w:val="105"/>
        </w:rPr>
        <w:t>For</w:t>
      </w:r>
      <w:r>
        <w:rPr>
          <w:spacing w:val="-8"/>
          <w:w w:val="105"/>
        </w:rPr>
        <w:t> </w:t>
      </w:r>
      <w:r>
        <w:rPr>
          <w:w w:val="105"/>
        </w:rPr>
        <w:t>the</w:t>
      </w:r>
      <w:r>
        <w:rPr>
          <w:spacing w:val="-8"/>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2020,</w:t>
      </w:r>
      <w:r>
        <w:rPr>
          <w:spacing w:val="-8"/>
          <w:w w:val="105"/>
        </w:rPr>
        <w:t> </w:t>
      </w:r>
      <w:r>
        <w:rPr>
          <w:w w:val="105"/>
        </w:rPr>
        <w:t>Corning</w:t>
      </w:r>
      <w:r>
        <w:rPr>
          <w:spacing w:val="-8"/>
          <w:w w:val="105"/>
        </w:rPr>
        <w:t> </w:t>
      </w:r>
      <w:r>
        <w:rPr>
          <w:w w:val="105"/>
        </w:rPr>
        <w:t>incurred</w:t>
      </w:r>
      <w:r>
        <w:rPr>
          <w:spacing w:val="-8"/>
          <w:w w:val="105"/>
        </w:rPr>
        <w:t> </w:t>
      </w:r>
      <w:r>
        <w:rPr>
          <w:w w:val="105"/>
        </w:rPr>
        <w:t>a</w:t>
      </w:r>
      <w:r>
        <w:rPr>
          <w:spacing w:val="-8"/>
          <w:w w:val="105"/>
        </w:rPr>
        <w:t> </w:t>
      </w:r>
      <w:r>
        <w:rPr>
          <w:w w:val="105"/>
        </w:rPr>
        <w:t>long-lived</w:t>
      </w:r>
      <w:r>
        <w:rPr>
          <w:spacing w:val="-8"/>
          <w:w w:val="105"/>
        </w:rPr>
        <w:t> </w:t>
      </w:r>
      <w:r>
        <w:rPr>
          <w:w w:val="105"/>
        </w:rPr>
        <w:t>asset</w:t>
      </w:r>
      <w:r>
        <w:rPr>
          <w:spacing w:val="-8"/>
          <w:w w:val="105"/>
        </w:rPr>
        <w:t> </w:t>
      </w:r>
      <w:r>
        <w:rPr>
          <w:w w:val="105"/>
        </w:rPr>
        <w:t>impairment</w:t>
      </w:r>
      <w:r>
        <w:rPr>
          <w:spacing w:val="-8"/>
          <w:w w:val="105"/>
        </w:rPr>
        <w:t> </w:t>
      </w:r>
      <w:r>
        <w:rPr>
          <w:w w:val="105"/>
        </w:rPr>
        <w:t>and</w:t>
      </w:r>
      <w:r>
        <w:rPr>
          <w:spacing w:val="-8"/>
          <w:w w:val="105"/>
        </w:rPr>
        <w:t> </w:t>
      </w:r>
      <w:r>
        <w:rPr>
          <w:w w:val="105"/>
        </w:rPr>
        <w:t>disposal</w:t>
      </w:r>
      <w:r>
        <w:rPr>
          <w:spacing w:val="-8"/>
          <w:w w:val="105"/>
        </w:rPr>
        <w:t> </w:t>
      </w:r>
      <w:r>
        <w:rPr>
          <w:w w:val="105"/>
        </w:rPr>
        <w:t>loss</w:t>
      </w:r>
      <w:r>
        <w:rPr>
          <w:spacing w:val="-8"/>
          <w:w w:val="105"/>
        </w:rPr>
        <w:t> </w:t>
      </w:r>
      <w:r>
        <w:rPr>
          <w:w w:val="105"/>
        </w:rPr>
        <w:t>for</w:t>
      </w:r>
      <w:r>
        <w:rPr>
          <w:spacing w:val="-8"/>
          <w:w w:val="105"/>
        </w:rPr>
        <w:t> </w:t>
      </w:r>
      <w:r>
        <w:rPr>
          <w:w w:val="105"/>
        </w:rPr>
        <w:t>an</w:t>
      </w:r>
      <w:r>
        <w:rPr>
          <w:spacing w:val="-8"/>
          <w:w w:val="105"/>
        </w:rPr>
        <w:t> </w:t>
      </w:r>
      <w:r>
        <w:rPr>
          <w:w w:val="105"/>
        </w:rPr>
        <w:t>asset</w:t>
      </w:r>
      <w:r>
        <w:rPr>
          <w:spacing w:val="-8"/>
          <w:w w:val="105"/>
        </w:rPr>
        <w:t> </w:t>
      </w:r>
      <w:r>
        <w:rPr>
          <w:w w:val="105"/>
        </w:rPr>
        <w:t>group</w:t>
      </w:r>
      <w:r>
        <w:rPr>
          <w:spacing w:val="-8"/>
          <w:w w:val="105"/>
        </w:rPr>
        <w:t> </w:t>
      </w:r>
      <w:r>
        <w:rPr>
          <w:w w:val="105"/>
        </w:rPr>
        <w:t>related</w:t>
      </w:r>
      <w:r>
        <w:rPr>
          <w:spacing w:val="-8"/>
          <w:w w:val="105"/>
        </w:rPr>
        <w:t> </w:t>
      </w:r>
      <w:r>
        <w:rPr>
          <w:w w:val="105"/>
        </w:rPr>
        <w:t>to</w:t>
      </w:r>
      <w:r>
        <w:rPr>
          <w:spacing w:val="-8"/>
          <w:w w:val="105"/>
        </w:rPr>
        <w:t> </w:t>
      </w:r>
      <w:r>
        <w:rPr>
          <w:w w:val="105"/>
        </w:rPr>
        <w:t>the</w:t>
      </w:r>
      <w:r>
        <w:rPr>
          <w:spacing w:val="-8"/>
          <w:w w:val="105"/>
        </w:rPr>
        <w:t> </w:t>
      </w:r>
      <w:r>
        <w:rPr>
          <w:w w:val="105"/>
        </w:rPr>
        <w:t>reassessment</w:t>
      </w:r>
      <w:r>
        <w:rPr>
          <w:spacing w:val="-8"/>
          <w:w w:val="105"/>
        </w:rPr>
        <w:t> </w:t>
      </w:r>
      <w:r>
        <w:rPr>
          <w:w w:val="105"/>
        </w:rPr>
        <w:t>and</w:t>
      </w:r>
      <w:r>
        <w:rPr>
          <w:spacing w:val="-6"/>
          <w:w w:val="105"/>
        </w:rPr>
        <w:t> </w:t>
      </w:r>
      <w:r>
        <w:rPr>
          <w:w w:val="105"/>
        </w:rPr>
        <w:t>reprioritization</w:t>
      </w:r>
      <w:r>
        <w:rPr>
          <w:spacing w:val="-8"/>
          <w:w w:val="105"/>
        </w:rPr>
        <w:t> </w:t>
      </w:r>
      <w:r>
        <w:rPr>
          <w:w w:val="105"/>
        </w:rPr>
        <w:t>of research</w:t>
      </w:r>
      <w:r>
        <w:rPr>
          <w:spacing w:val="-2"/>
          <w:w w:val="105"/>
        </w:rPr>
        <w:t> </w:t>
      </w:r>
      <w:r>
        <w:rPr>
          <w:w w:val="105"/>
        </w:rPr>
        <w:t>and</w:t>
      </w:r>
      <w:r>
        <w:rPr>
          <w:spacing w:val="-2"/>
          <w:w w:val="105"/>
        </w:rPr>
        <w:t> </w:t>
      </w:r>
      <w:r>
        <w:rPr>
          <w:w w:val="105"/>
        </w:rPr>
        <w:t>development</w:t>
      </w:r>
      <w:r>
        <w:rPr>
          <w:spacing w:val="-2"/>
          <w:w w:val="105"/>
        </w:rPr>
        <w:t> </w:t>
      </w:r>
      <w:r>
        <w:rPr>
          <w:w w:val="105"/>
        </w:rPr>
        <w:t>programs</w:t>
      </w:r>
      <w:r>
        <w:rPr>
          <w:spacing w:val="-2"/>
          <w:w w:val="105"/>
        </w:rPr>
        <w:t> </w:t>
      </w:r>
      <w:r>
        <w:rPr>
          <w:w w:val="105"/>
        </w:rPr>
        <w:t>within</w:t>
      </w:r>
      <w:r>
        <w:rPr>
          <w:spacing w:val="-2"/>
          <w:w w:val="105"/>
        </w:rPr>
        <w:t> </w:t>
      </w:r>
      <w:r>
        <w:rPr>
          <w:w w:val="105"/>
        </w:rPr>
        <w:t>“All</w:t>
      </w:r>
      <w:r>
        <w:rPr>
          <w:spacing w:val="-2"/>
          <w:w w:val="105"/>
        </w:rPr>
        <w:t> </w:t>
      </w:r>
      <w:r>
        <w:rPr>
          <w:w w:val="105"/>
        </w:rPr>
        <w:t>Other”.</w:t>
      </w:r>
      <w:r>
        <w:rPr>
          <w:spacing w:val="-2"/>
          <w:w w:val="105"/>
        </w:rPr>
        <w:t> </w:t>
      </w:r>
      <w:r>
        <w:rPr>
          <w:w w:val="105"/>
        </w:rPr>
        <w:t>Given the</w:t>
      </w:r>
      <w:r>
        <w:rPr>
          <w:spacing w:val="-2"/>
          <w:w w:val="105"/>
        </w:rPr>
        <w:t> </w:t>
      </w:r>
      <w:r>
        <w:rPr>
          <w:w w:val="105"/>
        </w:rPr>
        <w:t>economic</w:t>
      </w:r>
      <w:r>
        <w:rPr>
          <w:spacing w:val="-2"/>
          <w:w w:val="105"/>
        </w:rPr>
        <w:t> </w:t>
      </w:r>
      <w:r>
        <w:rPr>
          <w:w w:val="105"/>
        </w:rPr>
        <w:t>environment and</w:t>
      </w:r>
      <w:r>
        <w:rPr>
          <w:spacing w:val="-2"/>
          <w:w w:val="105"/>
        </w:rPr>
        <w:t> </w:t>
      </w:r>
      <w:r>
        <w:rPr>
          <w:w w:val="105"/>
        </w:rPr>
        <w:t>market</w:t>
      </w:r>
      <w:r>
        <w:rPr>
          <w:spacing w:val="-2"/>
          <w:w w:val="105"/>
        </w:rPr>
        <w:t> </w:t>
      </w:r>
      <w:r>
        <w:rPr>
          <w:w w:val="105"/>
        </w:rPr>
        <w:t>opportunities,</w:t>
      </w:r>
      <w:r>
        <w:rPr>
          <w:spacing w:val="-2"/>
          <w:w w:val="105"/>
        </w:rPr>
        <w:t> </w:t>
      </w:r>
      <w:r>
        <w:rPr>
          <w:w w:val="105"/>
        </w:rPr>
        <w:t>Corning</w:t>
      </w:r>
      <w:r>
        <w:rPr>
          <w:spacing w:val="-2"/>
          <w:w w:val="105"/>
        </w:rPr>
        <w:t> </w:t>
      </w:r>
      <w:r>
        <w:rPr>
          <w:w w:val="105"/>
        </w:rPr>
        <w:t>discontinued</w:t>
      </w:r>
      <w:r>
        <w:rPr>
          <w:spacing w:val="-2"/>
          <w:w w:val="105"/>
        </w:rPr>
        <w:t> </w:t>
      </w:r>
      <w:r>
        <w:rPr>
          <w:w w:val="105"/>
        </w:rPr>
        <w:t>its</w:t>
      </w:r>
      <w:r>
        <w:rPr>
          <w:spacing w:val="-2"/>
          <w:w w:val="105"/>
        </w:rPr>
        <w:t> </w:t>
      </w:r>
      <w:r>
        <w:rPr>
          <w:w w:val="105"/>
        </w:rPr>
        <w:t>investment in</w:t>
      </w:r>
      <w:r>
        <w:rPr>
          <w:spacing w:val="-2"/>
          <w:w w:val="105"/>
        </w:rPr>
        <w:t> </w:t>
      </w:r>
      <w:r>
        <w:rPr>
          <w:w w:val="105"/>
        </w:rPr>
        <w:t>these</w:t>
      </w:r>
      <w:r>
        <w:rPr>
          <w:spacing w:val="-2"/>
          <w:w w:val="105"/>
        </w:rPr>
        <w:t> </w:t>
      </w:r>
      <w:r>
        <w:rPr>
          <w:w w:val="105"/>
        </w:rPr>
        <w:t>research and</w:t>
      </w:r>
      <w:r>
        <w:rPr>
          <w:spacing w:val="-2"/>
          <w:w w:val="105"/>
        </w:rPr>
        <w:t> </w:t>
      </w:r>
      <w:r>
        <w:rPr>
          <w:w w:val="105"/>
        </w:rPr>
        <w:t>development</w:t>
      </w:r>
      <w:r>
        <w:rPr>
          <w:spacing w:val="-2"/>
          <w:w w:val="105"/>
        </w:rPr>
        <w:t> </w:t>
      </w:r>
      <w:r>
        <w:rPr>
          <w:w w:val="105"/>
        </w:rPr>
        <w:t>programs.</w:t>
      </w:r>
      <w:r>
        <w:rPr>
          <w:spacing w:val="-2"/>
          <w:w w:val="105"/>
        </w:rPr>
        <w:t> </w:t>
      </w:r>
      <w:r>
        <w:rPr>
          <w:w w:val="105"/>
        </w:rPr>
        <w:t>The impairment</w:t>
      </w:r>
      <w:r>
        <w:rPr>
          <w:spacing w:val="-2"/>
          <w:w w:val="105"/>
        </w:rPr>
        <w:t> </w:t>
      </w:r>
      <w:r>
        <w:rPr>
          <w:w w:val="105"/>
        </w:rPr>
        <w:t>analysis</w:t>
      </w:r>
      <w:r>
        <w:rPr>
          <w:spacing w:val="-2"/>
          <w:w w:val="105"/>
        </w:rPr>
        <w:t> </w:t>
      </w:r>
      <w:r>
        <w:rPr>
          <w:w w:val="105"/>
        </w:rPr>
        <w:t>and</w:t>
      </w:r>
      <w:r>
        <w:rPr>
          <w:spacing w:val="-2"/>
          <w:w w:val="105"/>
        </w:rPr>
        <w:t> </w:t>
      </w:r>
      <w:r>
        <w:rPr>
          <w:w w:val="105"/>
        </w:rPr>
        <w:t>disposition</w:t>
      </w:r>
      <w:r>
        <w:rPr>
          <w:spacing w:val="-2"/>
          <w:w w:val="105"/>
        </w:rPr>
        <w:t> </w:t>
      </w:r>
      <w:r>
        <w:rPr>
          <w:w w:val="105"/>
        </w:rPr>
        <w:t>of</w:t>
      </w:r>
      <w:r>
        <w:rPr>
          <w:spacing w:val="-2"/>
          <w:w w:val="105"/>
        </w:rPr>
        <w:t> </w:t>
      </w:r>
      <w:r>
        <w:rPr>
          <w:w w:val="105"/>
        </w:rPr>
        <w:t>certain</w:t>
      </w:r>
      <w:r>
        <w:rPr>
          <w:spacing w:val="-2"/>
          <w:w w:val="105"/>
        </w:rPr>
        <w:t> </w:t>
      </w:r>
      <w:r>
        <w:rPr>
          <w:w w:val="105"/>
        </w:rPr>
        <w:t>assets</w:t>
      </w:r>
      <w:r>
        <w:rPr>
          <w:spacing w:val="-2"/>
          <w:w w:val="105"/>
        </w:rPr>
        <w:t> </w:t>
      </w:r>
      <w:r>
        <w:rPr>
          <w:w w:val="105"/>
        </w:rPr>
        <w:t>resulted</w:t>
      </w:r>
      <w:r>
        <w:rPr>
          <w:spacing w:val="-2"/>
          <w:w w:val="105"/>
        </w:rPr>
        <w:t> </w:t>
      </w:r>
      <w:r>
        <w:rPr>
          <w:w w:val="105"/>
        </w:rPr>
        <w:t>in</w:t>
      </w:r>
      <w:r>
        <w:rPr>
          <w:spacing w:val="-2"/>
          <w:w w:val="105"/>
        </w:rPr>
        <w:t> </w:t>
      </w:r>
      <w:r>
        <w:rPr>
          <w:w w:val="105"/>
        </w:rPr>
        <w:t>a</w:t>
      </w:r>
      <w:r>
        <w:rPr>
          <w:spacing w:val="-2"/>
          <w:w w:val="105"/>
        </w:rPr>
        <w:t> </w:t>
      </w:r>
      <w:r>
        <w:rPr>
          <w:w w:val="105"/>
        </w:rPr>
        <w:t>total</w:t>
      </w:r>
      <w:r>
        <w:rPr>
          <w:spacing w:val="-2"/>
          <w:w w:val="105"/>
        </w:rPr>
        <w:t> </w:t>
      </w:r>
      <w:r>
        <w:rPr>
          <w:w w:val="105"/>
        </w:rPr>
        <w:t>pre-tax</w:t>
      </w:r>
      <w:r>
        <w:rPr>
          <w:spacing w:val="-2"/>
          <w:w w:val="105"/>
        </w:rPr>
        <w:t> </w:t>
      </w:r>
      <w:r>
        <w:rPr>
          <w:w w:val="105"/>
        </w:rPr>
        <w:t>charge</w:t>
      </w:r>
      <w:r>
        <w:rPr>
          <w:spacing w:val="-2"/>
          <w:w w:val="105"/>
        </w:rPr>
        <w:t> </w:t>
      </w:r>
      <w:r>
        <w:rPr>
          <w:w w:val="105"/>
        </w:rPr>
        <w:t>of</w:t>
      </w:r>
      <w:r>
        <w:rPr>
          <w:spacing w:val="-2"/>
          <w:w w:val="105"/>
        </w:rPr>
        <w:t> </w:t>
      </w:r>
      <w:r>
        <w:rPr>
          <w:w w:val="105"/>
        </w:rPr>
        <w:t>$217</w:t>
      </w:r>
      <w:r>
        <w:rPr>
          <w:spacing w:val="-2"/>
          <w:w w:val="105"/>
        </w:rPr>
        <w:t> </w:t>
      </w:r>
      <w:r>
        <w:rPr>
          <w:w w:val="105"/>
        </w:rPr>
        <w:t>million,</w:t>
      </w:r>
      <w:r>
        <w:rPr>
          <w:spacing w:val="-2"/>
          <w:w w:val="105"/>
        </w:rPr>
        <w:t> </w:t>
      </w:r>
      <w:r>
        <w:rPr>
          <w:w w:val="105"/>
        </w:rPr>
        <w:t>which</w:t>
      </w:r>
      <w:r>
        <w:rPr>
          <w:spacing w:val="-2"/>
          <w:w w:val="105"/>
        </w:rPr>
        <w:t> </w:t>
      </w:r>
      <w:r>
        <w:rPr>
          <w:w w:val="105"/>
        </w:rPr>
        <w:t>was</w:t>
      </w:r>
      <w:r>
        <w:rPr>
          <w:spacing w:val="-2"/>
          <w:w w:val="105"/>
        </w:rPr>
        <w:t> </w:t>
      </w:r>
      <w:r>
        <w:rPr>
          <w:w w:val="105"/>
        </w:rPr>
        <w:t>substantially</w:t>
      </w:r>
      <w:r>
        <w:rPr>
          <w:spacing w:val="-2"/>
          <w:w w:val="105"/>
        </w:rPr>
        <w:t> </w:t>
      </w:r>
      <w:r>
        <w:rPr>
          <w:w w:val="105"/>
        </w:rPr>
        <w:t>all</w:t>
      </w:r>
      <w:r>
        <w:rPr>
          <w:spacing w:val="-2"/>
          <w:w w:val="105"/>
        </w:rPr>
        <w:t> </w:t>
      </w:r>
      <w:r>
        <w:rPr>
          <w:w w:val="105"/>
        </w:rPr>
        <w:t>the carrying</w:t>
      </w:r>
      <w:r>
        <w:rPr>
          <w:spacing w:val="-2"/>
          <w:w w:val="105"/>
        </w:rPr>
        <w:t> </w:t>
      </w:r>
      <w:r>
        <w:rPr>
          <w:w w:val="105"/>
        </w:rPr>
        <w:t>value,</w:t>
      </w:r>
      <w:r>
        <w:rPr>
          <w:spacing w:val="-2"/>
          <w:w w:val="105"/>
        </w:rPr>
        <w:t> </w:t>
      </w:r>
      <w:r>
        <w:rPr>
          <w:w w:val="105"/>
        </w:rPr>
        <w:t>inclusive</w:t>
      </w:r>
      <w:r>
        <w:rPr>
          <w:spacing w:val="-2"/>
          <w:w w:val="105"/>
        </w:rPr>
        <w:t> </w:t>
      </w:r>
      <w:r>
        <w:rPr>
          <w:w w:val="105"/>
        </w:rPr>
        <w:t>of</w:t>
      </w:r>
      <w:r>
        <w:rPr>
          <w:spacing w:val="-2"/>
          <w:w w:val="105"/>
        </w:rPr>
        <w:t> </w:t>
      </w:r>
      <w:r>
        <w:rPr>
          <w:w w:val="105"/>
        </w:rPr>
        <w:t>an</w:t>
      </w:r>
      <w:r>
        <w:rPr>
          <w:spacing w:val="-2"/>
          <w:w w:val="105"/>
        </w:rPr>
        <w:t> </w:t>
      </w:r>
      <w:r>
        <w:rPr>
          <w:w w:val="105"/>
        </w:rPr>
        <w:t>insignificant</w:t>
      </w:r>
      <w:r>
        <w:rPr>
          <w:spacing w:val="-2"/>
          <w:w w:val="105"/>
        </w:rPr>
        <w:t> </w:t>
      </w:r>
      <w:r>
        <w:rPr>
          <w:w w:val="105"/>
        </w:rPr>
        <w:t>amount</w:t>
      </w:r>
      <w:r>
        <w:rPr>
          <w:spacing w:val="-2"/>
          <w:w w:val="105"/>
        </w:rPr>
        <w:t> </w:t>
      </w:r>
      <w:r>
        <w:rPr>
          <w:w w:val="105"/>
        </w:rPr>
        <w:t>of</w:t>
      </w:r>
      <w:r>
        <w:rPr>
          <w:spacing w:val="-2"/>
          <w:w w:val="105"/>
        </w:rPr>
        <w:t> </w:t>
      </w:r>
      <w:r>
        <w:rPr>
          <w:w w:val="105"/>
        </w:rPr>
        <w:t>goodwill.</w:t>
      </w:r>
      <w:r>
        <w:rPr>
          <w:spacing w:val="-2"/>
          <w:w w:val="105"/>
        </w:rPr>
        <w:t> </w:t>
      </w:r>
      <w:r>
        <w:rPr>
          <w:w w:val="105"/>
        </w:rPr>
        <w:t>The</w:t>
      </w:r>
      <w:r>
        <w:rPr>
          <w:spacing w:val="-2"/>
          <w:w w:val="105"/>
        </w:rPr>
        <w:t> </w:t>
      </w:r>
      <w:r>
        <w:rPr>
          <w:w w:val="105"/>
        </w:rPr>
        <w:t>fair</w:t>
      </w:r>
      <w:r>
        <w:rPr>
          <w:spacing w:val="-2"/>
          <w:w w:val="105"/>
        </w:rPr>
        <w:t> </w:t>
      </w:r>
      <w:r>
        <w:rPr>
          <w:w w:val="105"/>
        </w:rPr>
        <w:t>value</w:t>
      </w:r>
      <w:r>
        <w:rPr>
          <w:spacing w:val="-2"/>
          <w:w w:val="105"/>
        </w:rPr>
        <w:t> </w:t>
      </w:r>
      <w:r>
        <w:rPr>
          <w:w w:val="105"/>
        </w:rPr>
        <w:t>of the</w:t>
      </w:r>
      <w:r>
        <w:rPr>
          <w:spacing w:val="-2"/>
          <w:w w:val="105"/>
        </w:rPr>
        <w:t> </w:t>
      </w:r>
      <w:r>
        <w:rPr>
          <w:w w:val="105"/>
        </w:rPr>
        <w:t>asset</w:t>
      </w:r>
      <w:r>
        <w:rPr>
          <w:spacing w:val="-2"/>
          <w:w w:val="105"/>
        </w:rPr>
        <w:t> </w:t>
      </w:r>
      <w:r>
        <w:rPr>
          <w:w w:val="105"/>
        </w:rPr>
        <w:t>group</w:t>
      </w:r>
      <w:r>
        <w:rPr>
          <w:spacing w:val="-2"/>
          <w:w w:val="105"/>
        </w:rPr>
        <w:t> </w:t>
      </w:r>
      <w:r>
        <w:rPr>
          <w:w w:val="105"/>
        </w:rPr>
        <w:t>for</w:t>
      </w:r>
      <w:r>
        <w:rPr>
          <w:spacing w:val="-2"/>
          <w:w w:val="105"/>
        </w:rPr>
        <w:t> </w:t>
      </w:r>
      <w:r>
        <w:rPr>
          <w:w w:val="105"/>
        </w:rPr>
        <w:t>the</w:t>
      </w:r>
      <w:r>
        <w:rPr>
          <w:spacing w:val="-2"/>
          <w:w w:val="105"/>
        </w:rPr>
        <w:t> </w:t>
      </w:r>
      <w:r>
        <w:rPr>
          <w:w w:val="105"/>
        </w:rPr>
        <w:t>impairment</w:t>
      </w:r>
      <w:r>
        <w:rPr>
          <w:spacing w:val="-2"/>
          <w:w w:val="105"/>
        </w:rPr>
        <w:t> </w:t>
      </w:r>
      <w:r>
        <w:rPr>
          <w:w w:val="105"/>
        </w:rPr>
        <w:t>analysis</w:t>
      </w:r>
      <w:r>
        <w:rPr>
          <w:spacing w:val="-2"/>
          <w:w w:val="105"/>
        </w:rPr>
        <w:t> </w:t>
      </w:r>
      <w:r>
        <w:rPr>
          <w:w w:val="105"/>
        </w:rPr>
        <w:t>was</w:t>
      </w:r>
      <w:r>
        <w:rPr>
          <w:spacing w:val="-2"/>
          <w:w w:val="105"/>
        </w:rPr>
        <w:t> </w:t>
      </w:r>
      <w:r>
        <w:rPr>
          <w:w w:val="105"/>
        </w:rPr>
        <w:t>measured</w:t>
      </w:r>
      <w:r>
        <w:rPr>
          <w:spacing w:val="-2"/>
          <w:w w:val="105"/>
        </w:rPr>
        <w:t> </w:t>
      </w:r>
      <w:r>
        <w:rPr>
          <w:w w:val="105"/>
        </w:rPr>
        <w:t>using</w:t>
      </w:r>
      <w:r>
        <w:rPr>
          <w:spacing w:val="-2"/>
          <w:w w:val="105"/>
        </w:rPr>
        <w:t> </w:t>
      </w:r>
      <w:r>
        <w:rPr>
          <w:w w:val="105"/>
        </w:rPr>
        <w:t>unobservable</w:t>
      </w:r>
      <w:r>
        <w:rPr>
          <w:spacing w:val="-2"/>
          <w:w w:val="105"/>
        </w:rPr>
        <w:t> </w:t>
      </w:r>
      <w:r>
        <w:rPr>
          <w:w w:val="105"/>
        </w:rPr>
        <w:t>(Level</w:t>
      </w:r>
      <w:r>
        <w:rPr>
          <w:spacing w:val="-2"/>
          <w:w w:val="105"/>
        </w:rPr>
        <w:t> </w:t>
      </w:r>
      <w:r>
        <w:rPr>
          <w:w w:val="105"/>
        </w:rPr>
        <w:t>3) </w:t>
      </w:r>
      <w:r>
        <w:rPr>
          <w:spacing w:val="-2"/>
          <w:w w:val="105"/>
        </w:rPr>
        <w:t>inputs.</w:t>
      </w:r>
    </w:p>
    <w:p>
      <w:pPr>
        <w:pStyle w:val="BodyText"/>
        <w:spacing w:before="17"/>
      </w:pPr>
    </w:p>
    <w:p>
      <w:pPr>
        <w:pStyle w:val="BodyText"/>
        <w:spacing w:before="1"/>
        <w:ind w:left="48"/>
        <w:jc w:val="center"/>
      </w:pPr>
      <w:r>
        <w:rPr>
          <w:spacing w:val="-5"/>
          <w:w w:val="105"/>
        </w:rPr>
        <w:t>45</w:t>
      </w:r>
    </w:p>
    <w:p>
      <w:pPr>
        <w:pStyle w:val="BodyText"/>
        <w:spacing w:before="11"/>
        <w:rPr>
          <w:sz w:val="5"/>
        </w:rPr>
      </w:pPr>
      <w:r>
        <w:rPr/>
        <mc:AlternateContent>
          <mc:Choice Requires="wps">
            <w:drawing>
              <wp:anchor distT="0" distB="0" distL="0" distR="0" allowOverlap="1" layoutInCell="1" locked="0" behindDoc="1" simplePos="0" relativeHeight="487622144">
                <wp:simplePos x="0" y="0"/>
                <wp:positionH relativeFrom="page">
                  <wp:posOffset>226488</wp:posOffset>
                </wp:positionH>
                <wp:positionV relativeFrom="paragraph">
                  <wp:posOffset>58792</wp:posOffset>
                </wp:positionV>
                <wp:extent cx="7312659" cy="1651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9298pt;width:575.775087pt;height:1.273839pt;mso-position-horizontal-relative:page;mso-position-vertical-relative:paragraph;z-index:-15694336;mso-wrap-distance-left:0;mso-wrap-distance-right:0" id="docshape76"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BodyText"/>
        <w:spacing w:line="266" w:lineRule="auto"/>
        <w:ind w:left="156"/>
      </w:pPr>
      <w:r>
        <w:rPr>
          <w:w w:val="105"/>
        </w:rPr>
        <w:t>Refer</w:t>
      </w:r>
      <w:r>
        <w:rPr>
          <w:spacing w:val="-9"/>
          <w:w w:val="105"/>
        </w:rPr>
        <w:t> </w:t>
      </w:r>
      <w:r>
        <w:rPr>
          <w:w w:val="105"/>
        </w:rPr>
        <w:t>to</w:t>
      </w:r>
      <w:r>
        <w:rPr>
          <w:spacing w:val="-9"/>
          <w:w w:val="105"/>
        </w:rPr>
        <w:t> </w:t>
      </w:r>
      <w:r>
        <w:rPr>
          <w:w w:val="105"/>
        </w:rPr>
        <w:t>Note</w:t>
      </w:r>
      <w:r>
        <w:rPr>
          <w:spacing w:val="-9"/>
          <w:w w:val="105"/>
        </w:rPr>
        <w:t> </w:t>
      </w:r>
      <w:r>
        <w:rPr>
          <w:w w:val="105"/>
        </w:rPr>
        <w:t>2</w:t>
      </w:r>
      <w:r>
        <w:rPr>
          <w:spacing w:val="-9"/>
          <w:w w:val="105"/>
        </w:rPr>
        <w:t> </w:t>
      </w:r>
      <w:r>
        <w:rPr>
          <w:w w:val="105"/>
        </w:rPr>
        <w:t>(Restructuring,</w:t>
      </w:r>
      <w:r>
        <w:rPr>
          <w:spacing w:val="-8"/>
          <w:w w:val="105"/>
        </w:rPr>
        <w:t> </w:t>
      </w:r>
      <w:r>
        <w:rPr>
          <w:w w:val="105"/>
        </w:rPr>
        <w:t>Impairment</w:t>
      </w:r>
      <w:r>
        <w:rPr>
          <w:spacing w:val="-9"/>
          <w:w w:val="105"/>
        </w:rPr>
        <w:t> </w:t>
      </w:r>
      <w:r>
        <w:rPr>
          <w:w w:val="105"/>
        </w:rPr>
        <w:t>and</w:t>
      </w:r>
      <w:r>
        <w:rPr>
          <w:spacing w:val="-9"/>
          <w:w w:val="105"/>
        </w:rPr>
        <w:t> </w:t>
      </w:r>
      <w:r>
        <w:rPr>
          <w:w w:val="105"/>
        </w:rPr>
        <w:t>Other</w:t>
      </w:r>
      <w:r>
        <w:rPr>
          <w:spacing w:val="-9"/>
          <w:w w:val="105"/>
        </w:rPr>
        <w:t> </w:t>
      </w:r>
      <w:r>
        <w:rPr>
          <w:w w:val="105"/>
        </w:rPr>
        <w:t>Charges</w:t>
      </w:r>
      <w:r>
        <w:rPr>
          <w:spacing w:val="-8"/>
          <w:w w:val="105"/>
        </w:rPr>
        <w:t> </w:t>
      </w:r>
      <w:r>
        <w:rPr>
          <w:w w:val="105"/>
        </w:rPr>
        <w:t>and</w:t>
      </w:r>
      <w:r>
        <w:rPr>
          <w:spacing w:val="-9"/>
          <w:w w:val="105"/>
        </w:rPr>
        <w:t> </w:t>
      </w:r>
      <w:r>
        <w:rPr>
          <w:w w:val="105"/>
        </w:rPr>
        <w:t>Credits)</w:t>
      </w:r>
      <w:r>
        <w:rPr>
          <w:spacing w:val="-9"/>
          <w:w w:val="105"/>
        </w:rPr>
        <w:t> </w:t>
      </w:r>
      <w:r>
        <w:rPr>
          <w:w w:val="105"/>
        </w:rPr>
        <w:t>to</w:t>
      </w:r>
      <w:r>
        <w:rPr>
          <w:spacing w:val="-9"/>
          <w:w w:val="105"/>
        </w:rPr>
        <w:t> </w:t>
      </w:r>
      <w:r>
        <w:rPr>
          <w:w w:val="105"/>
        </w:rPr>
        <w:t>the</w:t>
      </w:r>
      <w:r>
        <w:rPr>
          <w:spacing w:val="-9"/>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for</w:t>
      </w:r>
      <w:r>
        <w:rPr>
          <w:spacing w:val="-9"/>
          <w:w w:val="105"/>
        </w:rPr>
        <w:t> </w:t>
      </w:r>
      <w:r>
        <w:rPr>
          <w:w w:val="105"/>
        </w:rPr>
        <w:t>additional</w:t>
      </w:r>
      <w:r>
        <w:rPr>
          <w:spacing w:val="-9"/>
          <w:w w:val="105"/>
        </w:rPr>
        <w:t> </w:t>
      </w:r>
      <w:r>
        <w:rPr>
          <w:w w:val="105"/>
        </w:rPr>
        <w:t>information</w:t>
      </w:r>
      <w:r>
        <w:rPr>
          <w:spacing w:val="-9"/>
          <w:w w:val="105"/>
        </w:rPr>
        <w:t> </w:t>
      </w:r>
      <w:r>
        <w:rPr>
          <w:w w:val="105"/>
        </w:rPr>
        <w:t>on</w:t>
      </w:r>
      <w:r>
        <w:rPr>
          <w:spacing w:val="-9"/>
          <w:w w:val="105"/>
        </w:rPr>
        <w:t> </w:t>
      </w:r>
      <w:r>
        <w:rPr>
          <w:w w:val="105"/>
        </w:rPr>
        <w:t>restructuring</w:t>
      </w:r>
      <w:r>
        <w:rPr>
          <w:spacing w:val="-9"/>
          <w:w w:val="105"/>
        </w:rPr>
        <w:t> </w:t>
      </w:r>
      <w:r>
        <w:rPr>
          <w:w w:val="105"/>
        </w:rPr>
        <w:t>activities</w:t>
      </w:r>
      <w:r>
        <w:rPr>
          <w:spacing w:val="-9"/>
          <w:w w:val="105"/>
        </w:rPr>
        <w:t> </w:t>
      </w:r>
      <w:r>
        <w:rPr>
          <w:w w:val="105"/>
        </w:rPr>
        <w:t>and </w:t>
      </w:r>
      <w:r>
        <w:rPr>
          <w:spacing w:val="-2"/>
          <w:w w:val="105"/>
        </w:rPr>
        <w:t>impairment.</w:t>
      </w:r>
    </w:p>
    <w:p>
      <w:pPr>
        <w:pStyle w:val="BodyText"/>
        <w:spacing w:before="19"/>
      </w:pPr>
    </w:p>
    <w:p>
      <w:pPr>
        <w:pStyle w:val="Heading3"/>
      </w:pPr>
      <w:r>
        <w:rPr/>
        <w:t>Income</w:t>
      </w:r>
      <w:r>
        <w:rPr>
          <w:spacing w:val="15"/>
        </w:rPr>
        <w:t> </w:t>
      </w:r>
      <w:r>
        <w:rPr>
          <w:spacing w:val="-2"/>
        </w:rPr>
        <w:t>taxes</w:t>
      </w:r>
    </w:p>
    <w:p>
      <w:pPr>
        <w:pStyle w:val="BodyText"/>
        <w:spacing w:before="40"/>
        <w:rPr>
          <w:b/>
          <w:i/>
        </w:rPr>
      </w:pPr>
    </w:p>
    <w:p>
      <w:pPr>
        <w:pStyle w:val="BodyText"/>
        <w:spacing w:line="266" w:lineRule="auto"/>
        <w:ind w:left="156" w:right="117"/>
      </w:pPr>
      <w:r>
        <w:rPr>
          <w:w w:val="105"/>
        </w:rPr>
        <w:t>We</w:t>
      </w:r>
      <w:r>
        <w:rPr>
          <w:spacing w:val="-2"/>
          <w:w w:val="105"/>
        </w:rPr>
        <w:t> </w:t>
      </w:r>
      <w:r>
        <w:rPr>
          <w:w w:val="105"/>
        </w:rPr>
        <w:t>are</w:t>
      </w:r>
      <w:r>
        <w:rPr>
          <w:spacing w:val="-2"/>
          <w:w w:val="105"/>
        </w:rPr>
        <w:t> </w:t>
      </w:r>
      <w:r>
        <w:rPr>
          <w:w w:val="105"/>
        </w:rPr>
        <w:t>required</w:t>
      </w:r>
      <w:r>
        <w:rPr>
          <w:spacing w:val="-2"/>
          <w:w w:val="105"/>
        </w:rPr>
        <w:t> </w:t>
      </w:r>
      <w:r>
        <w:rPr>
          <w:w w:val="105"/>
        </w:rPr>
        <w:t>to</w:t>
      </w:r>
      <w:r>
        <w:rPr>
          <w:spacing w:val="-2"/>
          <w:w w:val="105"/>
        </w:rPr>
        <w:t> </w:t>
      </w:r>
      <w:r>
        <w:rPr>
          <w:w w:val="105"/>
        </w:rPr>
        <w:t>exercise</w:t>
      </w:r>
      <w:r>
        <w:rPr>
          <w:spacing w:val="-2"/>
          <w:w w:val="105"/>
        </w:rPr>
        <w:t> </w:t>
      </w:r>
      <w:r>
        <w:rPr>
          <w:w w:val="105"/>
        </w:rPr>
        <w:t>judgment</w:t>
      </w:r>
      <w:r>
        <w:rPr>
          <w:spacing w:val="-2"/>
          <w:w w:val="105"/>
        </w:rPr>
        <w:t> </w:t>
      </w:r>
      <w:r>
        <w:rPr>
          <w:w w:val="105"/>
        </w:rPr>
        <w:t>about</w:t>
      </w:r>
      <w:r>
        <w:rPr>
          <w:spacing w:val="-2"/>
          <w:w w:val="105"/>
        </w:rPr>
        <w:t> </w:t>
      </w:r>
      <w:r>
        <w:rPr>
          <w:w w:val="105"/>
        </w:rPr>
        <w:t>our</w:t>
      </w:r>
      <w:r>
        <w:rPr>
          <w:spacing w:val="-2"/>
          <w:w w:val="105"/>
        </w:rPr>
        <w:t> </w:t>
      </w:r>
      <w:r>
        <w:rPr>
          <w:w w:val="105"/>
        </w:rPr>
        <w:t>future</w:t>
      </w:r>
      <w:r>
        <w:rPr>
          <w:spacing w:val="-2"/>
          <w:w w:val="105"/>
        </w:rPr>
        <w:t> </w:t>
      </w:r>
      <w:r>
        <w:rPr>
          <w:w w:val="105"/>
        </w:rPr>
        <w:t>results</w:t>
      </w:r>
      <w:r>
        <w:rPr>
          <w:spacing w:val="-2"/>
          <w:w w:val="105"/>
        </w:rPr>
        <w:t> </w:t>
      </w:r>
      <w:r>
        <w:rPr>
          <w:w w:val="105"/>
        </w:rPr>
        <w:t>in</w:t>
      </w:r>
      <w:r>
        <w:rPr>
          <w:spacing w:val="-2"/>
          <w:w w:val="105"/>
        </w:rPr>
        <w:t> </w:t>
      </w:r>
      <w:r>
        <w:rPr>
          <w:w w:val="105"/>
        </w:rPr>
        <w:t>assessing</w:t>
      </w:r>
      <w:r>
        <w:rPr>
          <w:spacing w:val="-2"/>
          <w:w w:val="105"/>
        </w:rPr>
        <w:t> </w:t>
      </w:r>
      <w:r>
        <w:rPr>
          <w:w w:val="105"/>
        </w:rPr>
        <w:t>the realizability</w:t>
      </w:r>
      <w:r>
        <w:rPr>
          <w:spacing w:val="-2"/>
          <w:w w:val="105"/>
        </w:rPr>
        <w:t> </w:t>
      </w:r>
      <w:r>
        <w:rPr>
          <w:w w:val="105"/>
        </w:rPr>
        <w:t>of</w:t>
      </w:r>
      <w:r>
        <w:rPr>
          <w:spacing w:val="-2"/>
          <w:w w:val="105"/>
        </w:rPr>
        <w:t> </w:t>
      </w:r>
      <w:r>
        <w:rPr>
          <w:w w:val="105"/>
        </w:rPr>
        <w:t>our</w:t>
      </w:r>
      <w:r>
        <w:rPr>
          <w:spacing w:val="-2"/>
          <w:w w:val="105"/>
        </w:rPr>
        <w:t> </w:t>
      </w:r>
      <w:r>
        <w:rPr>
          <w:w w:val="105"/>
        </w:rPr>
        <w:t>deferred</w:t>
      </w:r>
      <w:r>
        <w:rPr>
          <w:spacing w:val="-2"/>
          <w:w w:val="105"/>
        </w:rPr>
        <w:t> </w:t>
      </w:r>
      <w:r>
        <w:rPr>
          <w:w w:val="105"/>
        </w:rPr>
        <w:t>tax</w:t>
      </w:r>
      <w:r>
        <w:rPr>
          <w:spacing w:val="-2"/>
          <w:w w:val="105"/>
        </w:rPr>
        <w:t> </w:t>
      </w:r>
      <w:r>
        <w:rPr>
          <w:w w:val="105"/>
        </w:rPr>
        <w:t>assets.</w:t>
      </w:r>
      <w:r>
        <w:rPr>
          <w:spacing w:val="-2"/>
          <w:w w:val="105"/>
        </w:rPr>
        <w:t> </w:t>
      </w:r>
      <w:r>
        <w:rPr>
          <w:w w:val="105"/>
        </w:rPr>
        <w:t>Inherent</w:t>
      </w:r>
      <w:r>
        <w:rPr>
          <w:spacing w:val="-2"/>
          <w:w w:val="105"/>
        </w:rPr>
        <w:t> </w:t>
      </w:r>
      <w:r>
        <w:rPr>
          <w:w w:val="105"/>
        </w:rPr>
        <w:t>in</w:t>
      </w:r>
      <w:r>
        <w:rPr>
          <w:spacing w:val="-2"/>
          <w:w w:val="105"/>
        </w:rPr>
        <w:t> </w:t>
      </w:r>
      <w:r>
        <w:rPr>
          <w:w w:val="105"/>
        </w:rPr>
        <w:t>this</w:t>
      </w:r>
      <w:r>
        <w:rPr>
          <w:spacing w:val="-2"/>
          <w:w w:val="105"/>
        </w:rPr>
        <w:t> </w:t>
      </w:r>
      <w:r>
        <w:rPr>
          <w:w w:val="105"/>
        </w:rPr>
        <w:t>estimation</w:t>
      </w:r>
      <w:r>
        <w:rPr>
          <w:spacing w:val="-2"/>
          <w:w w:val="105"/>
        </w:rPr>
        <w:t> </w:t>
      </w:r>
      <w:r>
        <w:rPr>
          <w:w w:val="105"/>
        </w:rPr>
        <w:t>process</w:t>
      </w:r>
      <w:r>
        <w:rPr>
          <w:spacing w:val="-2"/>
          <w:w w:val="105"/>
        </w:rPr>
        <w:t> </w:t>
      </w:r>
      <w:r>
        <w:rPr>
          <w:w w:val="105"/>
        </w:rPr>
        <w:t>is</w:t>
      </w:r>
      <w:r>
        <w:rPr>
          <w:spacing w:val="-2"/>
          <w:w w:val="105"/>
        </w:rPr>
        <w:t> </w:t>
      </w:r>
      <w:r>
        <w:rPr>
          <w:w w:val="105"/>
        </w:rPr>
        <w:t>the</w:t>
      </w:r>
      <w:r>
        <w:rPr>
          <w:spacing w:val="-2"/>
          <w:w w:val="105"/>
        </w:rPr>
        <w:t> </w:t>
      </w:r>
      <w:r>
        <w:rPr>
          <w:w w:val="105"/>
        </w:rPr>
        <w:t>requirement for</w:t>
      </w:r>
      <w:r>
        <w:rPr>
          <w:spacing w:val="-8"/>
          <w:w w:val="105"/>
        </w:rPr>
        <w:t> </w:t>
      </w:r>
      <w:r>
        <w:rPr>
          <w:w w:val="105"/>
        </w:rPr>
        <w:t>us</w:t>
      </w:r>
      <w:r>
        <w:rPr>
          <w:spacing w:val="-8"/>
          <w:w w:val="105"/>
        </w:rPr>
        <w:t> </w:t>
      </w:r>
      <w:r>
        <w:rPr>
          <w:w w:val="105"/>
        </w:rPr>
        <w:t>to</w:t>
      </w:r>
      <w:r>
        <w:rPr>
          <w:spacing w:val="-8"/>
          <w:w w:val="105"/>
        </w:rPr>
        <w:t> </w:t>
      </w:r>
      <w:r>
        <w:rPr>
          <w:w w:val="105"/>
        </w:rPr>
        <w:t>estimate</w:t>
      </w:r>
      <w:r>
        <w:rPr>
          <w:spacing w:val="-8"/>
          <w:w w:val="105"/>
        </w:rPr>
        <w:t> </w:t>
      </w:r>
      <w:r>
        <w:rPr>
          <w:w w:val="105"/>
        </w:rPr>
        <w:t>future</w:t>
      </w:r>
      <w:r>
        <w:rPr>
          <w:spacing w:val="-8"/>
          <w:w w:val="105"/>
        </w:rPr>
        <w:t> </w:t>
      </w:r>
      <w:r>
        <w:rPr>
          <w:w w:val="105"/>
        </w:rPr>
        <w:t>book</w:t>
      </w:r>
      <w:r>
        <w:rPr>
          <w:spacing w:val="-8"/>
          <w:w w:val="105"/>
        </w:rPr>
        <w:t> </w:t>
      </w:r>
      <w:r>
        <w:rPr>
          <w:w w:val="105"/>
        </w:rPr>
        <w:t>and</w:t>
      </w:r>
      <w:r>
        <w:rPr>
          <w:spacing w:val="-8"/>
          <w:w w:val="105"/>
        </w:rPr>
        <w:t> </w:t>
      </w:r>
      <w:r>
        <w:rPr>
          <w:w w:val="105"/>
        </w:rPr>
        <w:t>taxable</w:t>
      </w:r>
      <w:r>
        <w:rPr>
          <w:spacing w:val="-8"/>
          <w:w w:val="105"/>
        </w:rPr>
        <w:t> </w:t>
      </w:r>
      <w:r>
        <w:rPr>
          <w:w w:val="105"/>
        </w:rPr>
        <w:t>income</w:t>
      </w:r>
      <w:r>
        <w:rPr>
          <w:spacing w:val="-8"/>
          <w:w w:val="105"/>
        </w:rPr>
        <w:t> </w:t>
      </w:r>
      <w:r>
        <w:rPr>
          <w:w w:val="105"/>
        </w:rPr>
        <w:t>and</w:t>
      </w:r>
      <w:r>
        <w:rPr>
          <w:spacing w:val="-8"/>
          <w:w w:val="105"/>
        </w:rPr>
        <w:t> </w:t>
      </w:r>
      <w:r>
        <w:rPr>
          <w:w w:val="105"/>
        </w:rPr>
        <w:t>possible</w:t>
      </w:r>
      <w:r>
        <w:rPr>
          <w:spacing w:val="-8"/>
          <w:w w:val="105"/>
        </w:rPr>
        <w:t> </w:t>
      </w:r>
      <w:r>
        <w:rPr>
          <w:w w:val="105"/>
        </w:rPr>
        <w:t>tax</w:t>
      </w:r>
      <w:r>
        <w:rPr>
          <w:spacing w:val="-8"/>
          <w:w w:val="105"/>
        </w:rPr>
        <w:t> </w:t>
      </w:r>
      <w:r>
        <w:rPr>
          <w:w w:val="105"/>
        </w:rPr>
        <w:t>planning</w:t>
      </w:r>
      <w:r>
        <w:rPr>
          <w:spacing w:val="-8"/>
          <w:w w:val="105"/>
        </w:rPr>
        <w:t> </w:t>
      </w:r>
      <w:r>
        <w:rPr>
          <w:w w:val="105"/>
        </w:rPr>
        <w:t>strategies.</w:t>
      </w:r>
      <w:r>
        <w:rPr>
          <w:spacing w:val="-8"/>
          <w:w w:val="105"/>
        </w:rPr>
        <w:t> </w:t>
      </w:r>
      <w:r>
        <w:rPr>
          <w:w w:val="105"/>
        </w:rPr>
        <w:t>These</w:t>
      </w:r>
      <w:r>
        <w:rPr>
          <w:spacing w:val="-8"/>
          <w:w w:val="105"/>
        </w:rPr>
        <w:t> </w:t>
      </w:r>
      <w:r>
        <w:rPr>
          <w:w w:val="105"/>
        </w:rPr>
        <w:t>estimates</w:t>
      </w:r>
      <w:r>
        <w:rPr>
          <w:spacing w:val="-8"/>
          <w:w w:val="105"/>
        </w:rPr>
        <w:t> </w:t>
      </w:r>
      <w:r>
        <w:rPr>
          <w:w w:val="105"/>
        </w:rPr>
        <w:t>require</w:t>
      </w:r>
      <w:r>
        <w:rPr>
          <w:spacing w:val="-8"/>
          <w:w w:val="105"/>
        </w:rPr>
        <w:t> </w:t>
      </w:r>
      <w:r>
        <w:rPr>
          <w:w w:val="105"/>
        </w:rPr>
        <w:t>us</w:t>
      </w:r>
      <w:r>
        <w:rPr>
          <w:spacing w:val="-8"/>
          <w:w w:val="105"/>
        </w:rPr>
        <w:t> </w:t>
      </w:r>
      <w:r>
        <w:rPr>
          <w:w w:val="105"/>
        </w:rPr>
        <w:t>to</w:t>
      </w:r>
      <w:r>
        <w:rPr>
          <w:spacing w:val="-8"/>
          <w:w w:val="105"/>
        </w:rPr>
        <w:t> </w:t>
      </w:r>
      <w:r>
        <w:rPr>
          <w:w w:val="105"/>
        </w:rPr>
        <w:t>exercise</w:t>
      </w:r>
      <w:r>
        <w:rPr>
          <w:spacing w:val="-8"/>
          <w:w w:val="105"/>
        </w:rPr>
        <w:t> </w:t>
      </w:r>
      <w:r>
        <w:rPr>
          <w:w w:val="105"/>
        </w:rPr>
        <w:t>judgment</w:t>
      </w:r>
      <w:r>
        <w:rPr>
          <w:spacing w:val="-8"/>
          <w:w w:val="105"/>
        </w:rPr>
        <w:t> </w:t>
      </w:r>
      <w:r>
        <w:rPr>
          <w:w w:val="105"/>
        </w:rPr>
        <w:t>about</w:t>
      </w:r>
      <w:r>
        <w:rPr>
          <w:spacing w:val="-8"/>
          <w:w w:val="105"/>
        </w:rPr>
        <w:t> </w:t>
      </w:r>
      <w:r>
        <w:rPr>
          <w:w w:val="105"/>
        </w:rPr>
        <w:t>our</w:t>
      </w:r>
      <w:r>
        <w:rPr>
          <w:spacing w:val="-8"/>
          <w:w w:val="105"/>
        </w:rPr>
        <w:t> </w:t>
      </w:r>
      <w:r>
        <w:rPr>
          <w:w w:val="105"/>
        </w:rPr>
        <w:t>future</w:t>
      </w:r>
      <w:r>
        <w:rPr>
          <w:spacing w:val="-8"/>
          <w:w w:val="105"/>
        </w:rPr>
        <w:t> </w:t>
      </w:r>
      <w:r>
        <w:rPr>
          <w:w w:val="105"/>
        </w:rPr>
        <w:t>results,</w:t>
      </w:r>
      <w:r>
        <w:rPr>
          <w:spacing w:val="-8"/>
          <w:w w:val="105"/>
        </w:rPr>
        <w:t> </w:t>
      </w:r>
      <w:r>
        <w:rPr>
          <w:w w:val="105"/>
        </w:rPr>
        <w:t>the</w:t>
      </w:r>
      <w:r>
        <w:rPr>
          <w:spacing w:val="-8"/>
          <w:w w:val="105"/>
        </w:rPr>
        <w:t> </w:t>
      </w:r>
      <w:r>
        <w:rPr>
          <w:w w:val="105"/>
        </w:rPr>
        <w:t>prudence and</w:t>
      </w:r>
      <w:r>
        <w:rPr>
          <w:spacing w:val="-7"/>
          <w:w w:val="105"/>
        </w:rPr>
        <w:t> </w:t>
      </w:r>
      <w:r>
        <w:rPr>
          <w:w w:val="105"/>
        </w:rPr>
        <w:t>feasibility</w:t>
      </w:r>
      <w:r>
        <w:rPr>
          <w:spacing w:val="-7"/>
          <w:w w:val="105"/>
        </w:rPr>
        <w:t> </w:t>
      </w:r>
      <w:r>
        <w:rPr>
          <w:w w:val="105"/>
        </w:rPr>
        <w:t>of</w:t>
      </w:r>
      <w:r>
        <w:rPr>
          <w:spacing w:val="-7"/>
          <w:w w:val="105"/>
        </w:rPr>
        <w:t> </w:t>
      </w:r>
      <w:r>
        <w:rPr>
          <w:w w:val="105"/>
        </w:rPr>
        <w:t>possible</w:t>
      </w:r>
      <w:r>
        <w:rPr>
          <w:spacing w:val="-7"/>
          <w:w w:val="105"/>
        </w:rPr>
        <w:t> </w:t>
      </w:r>
      <w:r>
        <w:rPr>
          <w:w w:val="105"/>
        </w:rPr>
        <w:t>tax</w:t>
      </w:r>
      <w:r>
        <w:rPr>
          <w:spacing w:val="-7"/>
          <w:w w:val="105"/>
        </w:rPr>
        <w:t> </w:t>
      </w:r>
      <w:r>
        <w:rPr>
          <w:w w:val="105"/>
        </w:rPr>
        <w:t>planning</w:t>
      </w:r>
      <w:r>
        <w:rPr>
          <w:spacing w:val="-7"/>
          <w:w w:val="105"/>
        </w:rPr>
        <w:t> </w:t>
      </w:r>
      <w:r>
        <w:rPr>
          <w:w w:val="105"/>
        </w:rPr>
        <w:t>strategies,</w:t>
      </w:r>
      <w:r>
        <w:rPr>
          <w:spacing w:val="-5"/>
          <w:w w:val="105"/>
        </w:rPr>
        <w:t> </w:t>
      </w:r>
      <w:r>
        <w:rPr>
          <w:w w:val="105"/>
        </w:rPr>
        <w:t>and</w:t>
      </w:r>
      <w:r>
        <w:rPr>
          <w:spacing w:val="-7"/>
          <w:w w:val="105"/>
        </w:rPr>
        <w:t> </w:t>
      </w:r>
      <w:r>
        <w:rPr>
          <w:w w:val="105"/>
        </w:rPr>
        <w:t>the</w:t>
      </w:r>
      <w:r>
        <w:rPr>
          <w:spacing w:val="-7"/>
          <w:w w:val="105"/>
        </w:rPr>
        <w:t> </w:t>
      </w:r>
      <w:r>
        <w:rPr>
          <w:w w:val="105"/>
        </w:rPr>
        <w:t>economic</w:t>
      </w:r>
      <w:r>
        <w:rPr>
          <w:spacing w:val="-7"/>
          <w:w w:val="105"/>
        </w:rPr>
        <w:t> </w:t>
      </w:r>
      <w:r>
        <w:rPr>
          <w:w w:val="105"/>
        </w:rPr>
        <w:t>environments</w:t>
      </w:r>
      <w:r>
        <w:rPr>
          <w:spacing w:val="-7"/>
          <w:w w:val="105"/>
        </w:rPr>
        <w:t> </w:t>
      </w:r>
      <w:r>
        <w:rPr>
          <w:w w:val="105"/>
        </w:rPr>
        <w:t>in</w:t>
      </w:r>
      <w:r>
        <w:rPr>
          <w:spacing w:val="-7"/>
          <w:w w:val="105"/>
        </w:rPr>
        <w:t> </w:t>
      </w:r>
      <w:r>
        <w:rPr>
          <w:w w:val="105"/>
        </w:rPr>
        <w:t>which</w:t>
      </w:r>
      <w:r>
        <w:rPr>
          <w:spacing w:val="-7"/>
          <w:w w:val="105"/>
        </w:rPr>
        <w:t> </w:t>
      </w:r>
      <w:r>
        <w:rPr>
          <w:w w:val="105"/>
        </w:rPr>
        <w:t>we</w:t>
      </w:r>
      <w:r>
        <w:rPr>
          <w:spacing w:val="-7"/>
          <w:w w:val="105"/>
        </w:rPr>
        <w:t> </w:t>
      </w:r>
      <w:r>
        <w:rPr>
          <w:w w:val="105"/>
        </w:rPr>
        <w:t>do</w:t>
      </w:r>
      <w:r>
        <w:rPr>
          <w:spacing w:val="-7"/>
          <w:w w:val="105"/>
        </w:rPr>
        <w:t> </w:t>
      </w:r>
      <w:r>
        <w:rPr>
          <w:w w:val="105"/>
        </w:rPr>
        <w:t>business.</w:t>
      </w:r>
      <w:r>
        <w:rPr>
          <w:spacing w:val="-7"/>
          <w:w w:val="105"/>
        </w:rPr>
        <w:t> </w:t>
      </w:r>
      <w:r>
        <w:rPr>
          <w:w w:val="105"/>
        </w:rPr>
        <w:t>It</w:t>
      </w:r>
      <w:r>
        <w:rPr>
          <w:spacing w:val="-7"/>
          <w:w w:val="105"/>
        </w:rPr>
        <w:t> </w:t>
      </w:r>
      <w:r>
        <w:rPr>
          <w:w w:val="105"/>
        </w:rPr>
        <w:t>is</w:t>
      </w:r>
      <w:r>
        <w:rPr>
          <w:spacing w:val="-7"/>
          <w:w w:val="105"/>
        </w:rPr>
        <w:t> </w:t>
      </w:r>
      <w:r>
        <w:rPr>
          <w:w w:val="105"/>
        </w:rPr>
        <w:t>possible</w:t>
      </w:r>
      <w:r>
        <w:rPr>
          <w:spacing w:val="-7"/>
          <w:w w:val="105"/>
        </w:rPr>
        <w:t> </w:t>
      </w:r>
      <w:r>
        <w:rPr>
          <w:w w:val="105"/>
        </w:rPr>
        <w:t>that</w:t>
      </w:r>
      <w:r>
        <w:rPr>
          <w:spacing w:val="-7"/>
          <w:w w:val="105"/>
        </w:rPr>
        <w:t> </w:t>
      </w:r>
      <w:r>
        <w:rPr>
          <w:w w:val="105"/>
        </w:rPr>
        <w:t>actual</w:t>
      </w:r>
      <w:r>
        <w:rPr>
          <w:spacing w:val="-7"/>
          <w:w w:val="105"/>
        </w:rPr>
        <w:t> </w:t>
      </w:r>
      <w:r>
        <w:rPr>
          <w:w w:val="105"/>
        </w:rPr>
        <w:t>results</w:t>
      </w:r>
      <w:r>
        <w:rPr>
          <w:spacing w:val="-7"/>
          <w:w w:val="105"/>
        </w:rPr>
        <w:t> </w:t>
      </w:r>
      <w:r>
        <w:rPr>
          <w:w w:val="105"/>
        </w:rPr>
        <w:t>will</w:t>
      </w:r>
      <w:r>
        <w:rPr>
          <w:spacing w:val="-7"/>
          <w:w w:val="105"/>
        </w:rPr>
        <w:t> </w:t>
      </w:r>
      <w:r>
        <w:rPr>
          <w:w w:val="105"/>
        </w:rPr>
        <w:t>differ</w:t>
      </w:r>
      <w:r>
        <w:rPr>
          <w:spacing w:val="-7"/>
          <w:w w:val="105"/>
        </w:rPr>
        <w:t> </w:t>
      </w:r>
      <w:r>
        <w:rPr>
          <w:w w:val="105"/>
        </w:rPr>
        <w:t>from</w:t>
      </w:r>
      <w:r>
        <w:rPr>
          <w:spacing w:val="-7"/>
          <w:w w:val="105"/>
        </w:rPr>
        <w:t> </w:t>
      </w:r>
      <w:r>
        <w:rPr>
          <w:w w:val="105"/>
        </w:rPr>
        <w:t>assumptions</w:t>
      </w:r>
      <w:r>
        <w:rPr>
          <w:spacing w:val="-7"/>
          <w:w w:val="105"/>
        </w:rPr>
        <w:t> </w:t>
      </w:r>
      <w:r>
        <w:rPr>
          <w:w w:val="105"/>
        </w:rPr>
        <w:t>and require adjustments to allowances.</w:t>
      </w:r>
    </w:p>
    <w:p>
      <w:pPr>
        <w:pStyle w:val="BodyText"/>
        <w:spacing w:before="18"/>
      </w:pPr>
    </w:p>
    <w:p>
      <w:pPr>
        <w:pStyle w:val="BodyText"/>
        <w:spacing w:line="266" w:lineRule="auto"/>
        <w:ind w:left="156" w:right="117"/>
      </w:pPr>
      <w:r>
        <w:rPr>
          <w:w w:val="105"/>
        </w:rPr>
        <w:t>Corning</w:t>
      </w:r>
      <w:r>
        <w:rPr>
          <w:spacing w:val="-3"/>
          <w:w w:val="105"/>
        </w:rPr>
        <w:t> </w:t>
      </w:r>
      <w:r>
        <w:rPr>
          <w:w w:val="105"/>
        </w:rPr>
        <w:t>accounts</w:t>
      </w:r>
      <w:r>
        <w:rPr>
          <w:spacing w:val="-3"/>
          <w:w w:val="105"/>
        </w:rPr>
        <w:t> </w:t>
      </w:r>
      <w:r>
        <w:rPr>
          <w:w w:val="105"/>
        </w:rPr>
        <w:t>for</w:t>
      </w:r>
      <w:r>
        <w:rPr>
          <w:spacing w:val="-3"/>
          <w:w w:val="105"/>
        </w:rPr>
        <w:t> </w:t>
      </w:r>
      <w:r>
        <w:rPr>
          <w:w w:val="105"/>
        </w:rPr>
        <w:t>uncertain</w:t>
      </w:r>
      <w:r>
        <w:rPr>
          <w:spacing w:val="-3"/>
          <w:w w:val="105"/>
        </w:rPr>
        <w:t> </w:t>
      </w:r>
      <w:r>
        <w:rPr>
          <w:w w:val="105"/>
        </w:rPr>
        <w:t>tax</w:t>
      </w:r>
      <w:r>
        <w:rPr>
          <w:spacing w:val="-3"/>
          <w:w w:val="105"/>
        </w:rPr>
        <w:t> </w:t>
      </w:r>
      <w:r>
        <w:rPr>
          <w:w w:val="105"/>
        </w:rPr>
        <w:t>positions</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ASC</w:t>
      </w:r>
      <w:r>
        <w:rPr>
          <w:spacing w:val="-3"/>
          <w:w w:val="105"/>
        </w:rPr>
        <w:t> </w:t>
      </w:r>
      <w:r>
        <w:rPr>
          <w:w w:val="105"/>
        </w:rPr>
        <w:t>Topic</w:t>
      </w:r>
      <w:r>
        <w:rPr>
          <w:spacing w:val="-3"/>
          <w:w w:val="105"/>
        </w:rPr>
        <w:t> </w:t>
      </w:r>
      <w:r>
        <w:rPr>
          <w:w w:val="105"/>
        </w:rPr>
        <w:t>740,</w:t>
      </w:r>
      <w:r>
        <w:rPr>
          <w:spacing w:val="-3"/>
          <w:w w:val="105"/>
        </w:rPr>
        <w:t> </w:t>
      </w:r>
      <w:r>
        <w:rPr>
          <w:w w:val="105"/>
        </w:rPr>
        <w:t>Income</w:t>
      </w:r>
      <w:r>
        <w:rPr>
          <w:spacing w:val="-3"/>
          <w:w w:val="105"/>
        </w:rPr>
        <w:t> </w:t>
      </w:r>
      <w:r>
        <w:rPr>
          <w:w w:val="105"/>
        </w:rPr>
        <w:t>Taxes,</w:t>
      </w:r>
      <w:r>
        <w:rPr>
          <w:spacing w:val="-3"/>
          <w:w w:val="105"/>
        </w:rPr>
        <w:t> </w:t>
      </w:r>
      <w:r>
        <w:rPr>
          <w:w w:val="105"/>
        </w:rPr>
        <w:t>which</w:t>
      </w:r>
      <w:r>
        <w:rPr>
          <w:spacing w:val="-3"/>
          <w:w w:val="105"/>
        </w:rPr>
        <w:t> </w:t>
      </w:r>
      <w:r>
        <w:rPr>
          <w:w w:val="105"/>
        </w:rPr>
        <w:t>requires</w:t>
      </w:r>
      <w:r>
        <w:rPr>
          <w:spacing w:val="-1"/>
          <w:w w:val="105"/>
        </w:rPr>
        <w:t> </w:t>
      </w:r>
      <w:r>
        <w:rPr>
          <w:w w:val="105"/>
        </w:rPr>
        <w:t>that</w:t>
      </w:r>
      <w:r>
        <w:rPr>
          <w:spacing w:val="-3"/>
          <w:w w:val="105"/>
        </w:rPr>
        <w:t> </w:t>
      </w:r>
      <w:r>
        <w:rPr>
          <w:w w:val="105"/>
        </w:rPr>
        <w:t>companies</w:t>
      </w:r>
      <w:r>
        <w:rPr>
          <w:spacing w:val="-3"/>
          <w:w w:val="105"/>
        </w:rPr>
        <w:t> </w:t>
      </w:r>
      <w:r>
        <w:rPr>
          <w:w w:val="105"/>
        </w:rPr>
        <w:t>only</w:t>
      </w:r>
      <w:r>
        <w:rPr>
          <w:spacing w:val="-3"/>
          <w:w w:val="105"/>
        </w:rPr>
        <w:t> </w:t>
      </w:r>
      <w:r>
        <w:rPr>
          <w:w w:val="105"/>
        </w:rPr>
        <w:t>record</w:t>
      </w:r>
      <w:r>
        <w:rPr>
          <w:spacing w:val="-1"/>
          <w:w w:val="105"/>
        </w:rPr>
        <w:t> </w:t>
      </w:r>
      <w:r>
        <w:rPr>
          <w:w w:val="105"/>
        </w:rPr>
        <w:t>tax</w:t>
      </w:r>
      <w:r>
        <w:rPr>
          <w:spacing w:val="-3"/>
          <w:w w:val="105"/>
        </w:rPr>
        <w:t> </w:t>
      </w:r>
      <w:r>
        <w:rPr>
          <w:w w:val="105"/>
        </w:rPr>
        <w:t>benefits</w:t>
      </w:r>
      <w:r>
        <w:rPr>
          <w:spacing w:val="-3"/>
          <w:w w:val="105"/>
        </w:rPr>
        <w:t> </w:t>
      </w:r>
      <w:r>
        <w:rPr>
          <w:w w:val="105"/>
        </w:rPr>
        <w:t>for</w:t>
      </w:r>
      <w:r>
        <w:rPr>
          <w:spacing w:val="-3"/>
          <w:w w:val="105"/>
        </w:rPr>
        <w:t> </w:t>
      </w:r>
      <w:r>
        <w:rPr>
          <w:w w:val="105"/>
        </w:rPr>
        <w:t>technical positions</w:t>
      </w:r>
      <w:r>
        <w:rPr>
          <w:spacing w:val="-2"/>
          <w:w w:val="105"/>
        </w:rPr>
        <w:t> </w:t>
      </w:r>
      <w:r>
        <w:rPr>
          <w:w w:val="105"/>
        </w:rPr>
        <w:t>that</w:t>
      </w:r>
      <w:r>
        <w:rPr>
          <w:spacing w:val="-2"/>
          <w:w w:val="105"/>
        </w:rPr>
        <w:t> </w:t>
      </w:r>
      <w:r>
        <w:rPr>
          <w:w w:val="105"/>
        </w:rPr>
        <w:t>are</w:t>
      </w:r>
      <w:r>
        <w:rPr>
          <w:spacing w:val="-2"/>
          <w:w w:val="105"/>
        </w:rPr>
        <w:t> </w:t>
      </w:r>
      <w:r>
        <w:rPr>
          <w:w w:val="105"/>
        </w:rPr>
        <w:t>believed</w:t>
      </w:r>
      <w:r>
        <w:rPr>
          <w:spacing w:val="-2"/>
          <w:w w:val="105"/>
        </w:rPr>
        <w:t> </w:t>
      </w:r>
      <w:r>
        <w:rPr>
          <w:w w:val="105"/>
        </w:rPr>
        <w:t>to</w:t>
      </w:r>
      <w:r>
        <w:rPr>
          <w:spacing w:val="-2"/>
          <w:w w:val="105"/>
        </w:rPr>
        <w:t> </w:t>
      </w:r>
      <w:r>
        <w:rPr>
          <w:w w:val="105"/>
        </w:rPr>
        <w:t>have</w:t>
      </w:r>
      <w:r>
        <w:rPr>
          <w:spacing w:val="-2"/>
          <w:w w:val="105"/>
        </w:rPr>
        <w:t> </w:t>
      </w:r>
      <w:r>
        <w:rPr>
          <w:w w:val="105"/>
        </w:rPr>
        <w:t>a</w:t>
      </w:r>
      <w:r>
        <w:rPr>
          <w:spacing w:val="-2"/>
          <w:w w:val="105"/>
        </w:rPr>
        <w:t> </w:t>
      </w:r>
      <w:r>
        <w:rPr>
          <w:w w:val="105"/>
        </w:rPr>
        <w:t>greater</w:t>
      </w:r>
      <w:r>
        <w:rPr>
          <w:spacing w:val="-2"/>
          <w:w w:val="105"/>
        </w:rPr>
        <w:t> </w:t>
      </w:r>
      <w:r>
        <w:rPr>
          <w:w w:val="105"/>
        </w:rPr>
        <w:t>than</w:t>
      </w:r>
      <w:r>
        <w:rPr>
          <w:spacing w:val="-2"/>
          <w:w w:val="105"/>
        </w:rPr>
        <w:t> </w:t>
      </w:r>
      <w:r>
        <w:rPr>
          <w:w w:val="105"/>
        </w:rPr>
        <w:t>50%</w:t>
      </w:r>
      <w:r>
        <w:rPr>
          <w:spacing w:val="-2"/>
          <w:w w:val="105"/>
        </w:rPr>
        <w:t> </w:t>
      </w:r>
      <w:r>
        <w:rPr>
          <w:w w:val="105"/>
        </w:rPr>
        <w:t>likelihood</w:t>
      </w:r>
      <w:r>
        <w:rPr>
          <w:spacing w:val="-2"/>
          <w:w w:val="105"/>
        </w:rPr>
        <w:t> </w:t>
      </w:r>
      <w:r>
        <w:rPr>
          <w:w w:val="105"/>
        </w:rPr>
        <w:t>of</w:t>
      </w:r>
      <w:r>
        <w:rPr>
          <w:spacing w:val="-2"/>
          <w:w w:val="105"/>
        </w:rPr>
        <w:t> </w:t>
      </w:r>
      <w:r>
        <w:rPr>
          <w:w w:val="105"/>
        </w:rPr>
        <w:t>being</w:t>
      </w:r>
      <w:r>
        <w:rPr>
          <w:spacing w:val="-2"/>
          <w:w w:val="105"/>
        </w:rPr>
        <w:t> </w:t>
      </w:r>
      <w:r>
        <w:rPr>
          <w:w w:val="105"/>
        </w:rPr>
        <w:t>sustained</w:t>
      </w:r>
      <w:r>
        <w:rPr>
          <w:spacing w:val="-2"/>
          <w:w w:val="105"/>
        </w:rPr>
        <w:t> </w:t>
      </w:r>
      <w:r>
        <w:rPr>
          <w:w w:val="105"/>
        </w:rPr>
        <w:t>on</w:t>
      </w:r>
      <w:r>
        <w:rPr>
          <w:spacing w:val="-2"/>
          <w:w w:val="105"/>
        </w:rPr>
        <w:t> </w:t>
      </w:r>
      <w:r>
        <w:rPr>
          <w:w w:val="105"/>
        </w:rPr>
        <w:t>their</w:t>
      </w:r>
      <w:r>
        <w:rPr>
          <w:spacing w:val="-2"/>
          <w:w w:val="105"/>
        </w:rPr>
        <w:t> </w:t>
      </w:r>
      <w:r>
        <w:rPr>
          <w:w w:val="105"/>
        </w:rPr>
        <w:t>technical</w:t>
      </w:r>
      <w:r>
        <w:rPr>
          <w:spacing w:val="-2"/>
          <w:w w:val="105"/>
        </w:rPr>
        <w:t> </w:t>
      </w:r>
      <w:r>
        <w:rPr>
          <w:w w:val="105"/>
        </w:rPr>
        <w:t>merits</w:t>
      </w:r>
      <w:r>
        <w:rPr>
          <w:spacing w:val="-2"/>
          <w:w w:val="105"/>
        </w:rPr>
        <w:t> </w:t>
      </w:r>
      <w:r>
        <w:rPr>
          <w:w w:val="105"/>
        </w:rPr>
        <w:t>and</w:t>
      </w:r>
      <w:r>
        <w:rPr>
          <w:spacing w:val="-2"/>
          <w:w w:val="105"/>
        </w:rPr>
        <w:t> </w:t>
      </w:r>
      <w:r>
        <w:rPr>
          <w:w w:val="105"/>
        </w:rPr>
        <w:t>then</w:t>
      </w:r>
      <w:r>
        <w:rPr>
          <w:spacing w:val="-2"/>
          <w:w w:val="105"/>
        </w:rPr>
        <w:t> </w:t>
      </w:r>
      <w:r>
        <w:rPr>
          <w:w w:val="105"/>
        </w:rPr>
        <w:t>only</w:t>
      </w:r>
      <w:r>
        <w:rPr>
          <w:spacing w:val="-2"/>
          <w:w w:val="105"/>
        </w:rPr>
        <w:t> </w:t>
      </w:r>
      <w:r>
        <w:rPr>
          <w:w w:val="105"/>
        </w:rPr>
        <w:t>to</w:t>
      </w:r>
      <w:r>
        <w:rPr>
          <w:spacing w:val="-2"/>
          <w:w w:val="105"/>
        </w:rPr>
        <w:t> </w:t>
      </w:r>
      <w:r>
        <w:rPr>
          <w:w w:val="105"/>
        </w:rPr>
        <w:t>the</w:t>
      </w:r>
      <w:r>
        <w:rPr>
          <w:spacing w:val="-2"/>
          <w:w w:val="105"/>
        </w:rPr>
        <w:t> </w:t>
      </w:r>
      <w:r>
        <w:rPr>
          <w:w w:val="105"/>
        </w:rPr>
        <w:t>extent</w:t>
      </w:r>
      <w:r>
        <w:rPr>
          <w:spacing w:val="-2"/>
          <w:w w:val="105"/>
        </w:rPr>
        <w:t> </w:t>
      </w:r>
      <w:r>
        <w:rPr>
          <w:w w:val="105"/>
        </w:rPr>
        <w:t>of</w:t>
      </w:r>
      <w:r>
        <w:rPr>
          <w:spacing w:val="-2"/>
          <w:w w:val="105"/>
        </w:rPr>
        <w:t> </w:t>
      </w:r>
      <w:r>
        <w:rPr>
          <w:w w:val="105"/>
        </w:rPr>
        <w:t>the</w:t>
      </w:r>
      <w:r>
        <w:rPr>
          <w:spacing w:val="-2"/>
          <w:w w:val="105"/>
        </w:rPr>
        <w:t> </w:t>
      </w:r>
      <w:r>
        <w:rPr>
          <w:w w:val="105"/>
        </w:rPr>
        <w:t>amount</w:t>
      </w:r>
      <w:r>
        <w:rPr>
          <w:spacing w:val="-2"/>
          <w:w w:val="105"/>
        </w:rPr>
        <w:t> </w:t>
      </w:r>
      <w:r>
        <w:rPr>
          <w:w w:val="105"/>
        </w:rPr>
        <w:t>of</w:t>
      </w:r>
      <w:r>
        <w:rPr>
          <w:spacing w:val="-2"/>
          <w:w w:val="105"/>
        </w:rPr>
        <w:t> </w:t>
      </w:r>
      <w:r>
        <w:rPr>
          <w:w w:val="105"/>
        </w:rPr>
        <w:t>tax</w:t>
      </w:r>
      <w:r>
        <w:rPr>
          <w:spacing w:val="-2"/>
          <w:w w:val="105"/>
        </w:rPr>
        <w:t> </w:t>
      </w:r>
      <w:r>
        <w:rPr>
          <w:w w:val="105"/>
        </w:rPr>
        <w:t>benefit</w:t>
      </w:r>
      <w:r>
        <w:rPr>
          <w:spacing w:val="-2"/>
          <w:w w:val="105"/>
        </w:rPr>
        <w:t> </w:t>
      </w:r>
      <w:r>
        <w:rPr>
          <w:w w:val="105"/>
        </w:rPr>
        <w:t>that</w:t>
      </w:r>
      <w:r>
        <w:rPr>
          <w:spacing w:val="-2"/>
          <w:w w:val="105"/>
        </w:rPr>
        <w:t> </w:t>
      </w:r>
      <w:r>
        <w:rPr>
          <w:w w:val="105"/>
        </w:rPr>
        <w:t>is greater</w:t>
      </w:r>
      <w:r>
        <w:rPr>
          <w:spacing w:val="-7"/>
          <w:w w:val="105"/>
        </w:rPr>
        <w:t> </w:t>
      </w:r>
      <w:r>
        <w:rPr>
          <w:w w:val="105"/>
        </w:rPr>
        <w:t>than</w:t>
      </w:r>
      <w:r>
        <w:rPr>
          <w:spacing w:val="-7"/>
          <w:w w:val="105"/>
        </w:rPr>
        <w:t> </w:t>
      </w:r>
      <w:r>
        <w:rPr>
          <w:w w:val="105"/>
        </w:rPr>
        <w:t>50%</w:t>
      </w:r>
      <w:r>
        <w:rPr>
          <w:spacing w:val="-7"/>
          <w:w w:val="105"/>
        </w:rPr>
        <w:t> </w:t>
      </w:r>
      <w:r>
        <w:rPr>
          <w:w w:val="105"/>
        </w:rPr>
        <w:t>likely</w:t>
      </w:r>
      <w:r>
        <w:rPr>
          <w:spacing w:val="-7"/>
          <w:w w:val="105"/>
        </w:rPr>
        <w:t> </w:t>
      </w:r>
      <w:r>
        <w:rPr>
          <w:w w:val="105"/>
        </w:rPr>
        <w:t>of</w:t>
      </w:r>
      <w:r>
        <w:rPr>
          <w:spacing w:val="-7"/>
          <w:w w:val="105"/>
        </w:rPr>
        <w:t> </w:t>
      </w:r>
      <w:r>
        <w:rPr>
          <w:w w:val="105"/>
        </w:rPr>
        <w:t>being</w:t>
      </w:r>
      <w:r>
        <w:rPr>
          <w:spacing w:val="-7"/>
          <w:w w:val="105"/>
        </w:rPr>
        <w:t> </w:t>
      </w:r>
      <w:r>
        <w:rPr>
          <w:w w:val="105"/>
        </w:rPr>
        <w:t>realized</w:t>
      </w:r>
      <w:r>
        <w:rPr>
          <w:spacing w:val="-7"/>
          <w:w w:val="105"/>
        </w:rPr>
        <w:t> </w:t>
      </w:r>
      <w:r>
        <w:rPr>
          <w:w w:val="105"/>
        </w:rPr>
        <w:t>upon</w:t>
      </w:r>
      <w:r>
        <w:rPr>
          <w:spacing w:val="-7"/>
          <w:w w:val="105"/>
        </w:rPr>
        <w:t> </w:t>
      </w:r>
      <w:r>
        <w:rPr>
          <w:w w:val="105"/>
        </w:rPr>
        <w:t>settlement.</w:t>
      </w:r>
      <w:r>
        <w:rPr>
          <w:spacing w:val="-7"/>
          <w:w w:val="105"/>
        </w:rPr>
        <w:t> </w:t>
      </w:r>
      <w:r>
        <w:rPr>
          <w:w w:val="105"/>
        </w:rPr>
        <w:t>In</w:t>
      </w:r>
      <w:r>
        <w:rPr>
          <w:spacing w:val="-7"/>
          <w:w w:val="105"/>
        </w:rPr>
        <w:t> </w:t>
      </w:r>
      <w:r>
        <w:rPr>
          <w:w w:val="105"/>
        </w:rPr>
        <w:t>estimating</w:t>
      </w:r>
      <w:r>
        <w:rPr>
          <w:spacing w:val="-7"/>
          <w:w w:val="105"/>
        </w:rPr>
        <w:t> </w:t>
      </w:r>
      <w:r>
        <w:rPr>
          <w:w w:val="105"/>
        </w:rPr>
        <w:t>these</w:t>
      </w:r>
      <w:r>
        <w:rPr>
          <w:spacing w:val="-7"/>
          <w:w w:val="105"/>
        </w:rPr>
        <w:t> </w:t>
      </w:r>
      <w:r>
        <w:rPr>
          <w:w w:val="105"/>
        </w:rPr>
        <w:t>amounts,</w:t>
      </w:r>
      <w:r>
        <w:rPr>
          <w:spacing w:val="-7"/>
          <w:w w:val="105"/>
        </w:rPr>
        <w:t> </w:t>
      </w:r>
      <w:r>
        <w:rPr>
          <w:w w:val="105"/>
        </w:rPr>
        <w:t>we</w:t>
      </w:r>
      <w:r>
        <w:rPr>
          <w:spacing w:val="-7"/>
          <w:w w:val="105"/>
        </w:rPr>
        <w:t> </w:t>
      </w:r>
      <w:r>
        <w:rPr>
          <w:w w:val="105"/>
        </w:rPr>
        <w:t>must</w:t>
      </w:r>
      <w:r>
        <w:rPr>
          <w:spacing w:val="-7"/>
          <w:w w:val="105"/>
        </w:rPr>
        <w:t> </w:t>
      </w:r>
      <w:r>
        <w:rPr>
          <w:w w:val="105"/>
        </w:rPr>
        <w:t>exercise</w:t>
      </w:r>
      <w:r>
        <w:rPr>
          <w:spacing w:val="-7"/>
          <w:w w:val="105"/>
        </w:rPr>
        <w:t> </w:t>
      </w:r>
      <w:r>
        <w:rPr>
          <w:w w:val="105"/>
        </w:rPr>
        <w:t>judgment</w:t>
      </w:r>
      <w:r>
        <w:rPr>
          <w:spacing w:val="-7"/>
          <w:w w:val="105"/>
        </w:rPr>
        <w:t> </w:t>
      </w:r>
      <w:r>
        <w:rPr>
          <w:w w:val="105"/>
        </w:rPr>
        <w:t>around</w:t>
      </w:r>
      <w:r>
        <w:rPr>
          <w:spacing w:val="-7"/>
          <w:w w:val="105"/>
        </w:rPr>
        <w:t> </w:t>
      </w:r>
      <w:r>
        <w:rPr>
          <w:w w:val="105"/>
        </w:rPr>
        <w:t>factors</w:t>
      </w:r>
      <w:r>
        <w:rPr>
          <w:spacing w:val="-7"/>
          <w:w w:val="105"/>
        </w:rPr>
        <w:t> </w:t>
      </w:r>
      <w:r>
        <w:rPr>
          <w:w w:val="105"/>
        </w:rPr>
        <w:t>such</w:t>
      </w:r>
      <w:r>
        <w:rPr>
          <w:spacing w:val="-7"/>
          <w:w w:val="105"/>
        </w:rPr>
        <w:t> </w:t>
      </w:r>
      <w:r>
        <w:rPr>
          <w:w w:val="105"/>
        </w:rPr>
        <w:t>as</w:t>
      </w:r>
      <w:r>
        <w:rPr>
          <w:spacing w:val="-7"/>
          <w:w w:val="105"/>
        </w:rPr>
        <w:t> </w:t>
      </w:r>
      <w:r>
        <w:rPr>
          <w:w w:val="105"/>
        </w:rPr>
        <w:t>the</w:t>
      </w:r>
      <w:r>
        <w:rPr>
          <w:spacing w:val="-7"/>
          <w:w w:val="105"/>
        </w:rPr>
        <w:t> </w:t>
      </w:r>
      <w:r>
        <w:rPr>
          <w:w w:val="105"/>
        </w:rPr>
        <w:t>weighting</w:t>
      </w:r>
      <w:r>
        <w:rPr>
          <w:spacing w:val="-7"/>
          <w:w w:val="105"/>
        </w:rPr>
        <w:t> </w:t>
      </w:r>
      <w:r>
        <w:rPr>
          <w:w w:val="105"/>
        </w:rPr>
        <w:t>of</w:t>
      </w:r>
      <w:r>
        <w:rPr>
          <w:spacing w:val="-7"/>
          <w:w w:val="105"/>
        </w:rPr>
        <w:t> </w:t>
      </w:r>
      <w:r>
        <w:rPr>
          <w:w w:val="105"/>
        </w:rPr>
        <w:t>the</w:t>
      </w:r>
      <w:r>
        <w:rPr>
          <w:spacing w:val="-7"/>
          <w:w w:val="105"/>
        </w:rPr>
        <w:t> </w:t>
      </w:r>
      <w:r>
        <w:rPr>
          <w:w w:val="105"/>
        </w:rPr>
        <w:t>tax</w:t>
      </w:r>
      <w:r>
        <w:rPr>
          <w:spacing w:val="-7"/>
          <w:w w:val="105"/>
        </w:rPr>
        <w:t> </w:t>
      </w:r>
      <w:r>
        <w:rPr>
          <w:w w:val="105"/>
        </w:rPr>
        <w:t>law</w:t>
      </w:r>
      <w:r>
        <w:rPr>
          <w:spacing w:val="-7"/>
          <w:w w:val="105"/>
        </w:rPr>
        <w:t> </w:t>
      </w:r>
      <w:r>
        <w:rPr>
          <w:w w:val="105"/>
        </w:rPr>
        <w:t>in</w:t>
      </w:r>
      <w:r>
        <w:rPr>
          <w:spacing w:val="-7"/>
          <w:w w:val="105"/>
        </w:rPr>
        <w:t> </w:t>
      </w:r>
      <w:r>
        <w:rPr>
          <w:w w:val="105"/>
        </w:rPr>
        <w:t>our favor,</w:t>
      </w:r>
      <w:r>
        <w:rPr>
          <w:spacing w:val="-6"/>
          <w:w w:val="105"/>
        </w:rPr>
        <w:t> </w:t>
      </w:r>
      <w:r>
        <w:rPr>
          <w:w w:val="105"/>
        </w:rPr>
        <w:t>the</w:t>
      </w:r>
      <w:r>
        <w:rPr>
          <w:spacing w:val="-6"/>
          <w:w w:val="105"/>
        </w:rPr>
        <w:t> </w:t>
      </w:r>
      <w:r>
        <w:rPr>
          <w:w w:val="105"/>
        </w:rPr>
        <w:t>willingness</w:t>
      </w:r>
      <w:r>
        <w:rPr>
          <w:spacing w:val="-6"/>
          <w:w w:val="105"/>
        </w:rPr>
        <w:t> </w:t>
      </w:r>
      <w:r>
        <w:rPr>
          <w:w w:val="105"/>
        </w:rPr>
        <w:t>of</w:t>
      </w:r>
      <w:r>
        <w:rPr>
          <w:spacing w:val="-6"/>
          <w:w w:val="105"/>
        </w:rPr>
        <w:t> </w:t>
      </w:r>
      <w:r>
        <w:rPr>
          <w:w w:val="105"/>
        </w:rPr>
        <w:t>a</w:t>
      </w:r>
      <w:r>
        <w:rPr>
          <w:spacing w:val="-6"/>
          <w:w w:val="105"/>
        </w:rPr>
        <w:t> </w:t>
      </w:r>
      <w:r>
        <w:rPr>
          <w:w w:val="105"/>
        </w:rPr>
        <w:t>tax</w:t>
      </w:r>
      <w:r>
        <w:rPr>
          <w:spacing w:val="-6"/>
          <w:w w:val="105"/>
        </w:rPr>
        <w:t> </w:t>
      </w:r>
      <w:r>
        <w:rPr>
          <w:w w:val="105"/>
        </w:rPr>
        <w:t>authority</w:t>
      </w:r>
      <w:r>
        <w:rPr>
          <w:spacing w:val="-6"/>
          <w:w w:val="105"/>
        </w:rPr>
        <w:t> </w:t>
      </w:r>
      <w:r>
        <w:rPr>
          <w:w w:val="105"/>
        </w:rPr>
        <w:t>to</w:t>
      </w:r>
      <w:r>
        <w:rPr>
          <w:spacing w:val="-6"/>
          <w:w w:val="105"/>
        </w:rPr>
        <w:t> </w:t>
      </w:r>
      <w:r>
        <w:rPr>
          <w:w w:val="105"/>
        </w:rPr>
        <w:t>aggressively</w:t>
      </w:r>
      <w:r>
        <w:rPr>
          <w:spacing w:val="-6"/>
          <w:w w:val="105"/>
        </w:rPr>
        <w:t> </w:t>
      </w:r>
      <w:r>
        <w:rPr>
          <w:w w:val="105"/>
        </w:rPr>
        <w:t>pursue</w:t>
      </w:r>
      <w:r>
        <w:rPr>
          <w:spacing w:val="-6"/>
          <w:w w:val="105"/>
        </w:rPr>
        <w:t> </w:t>
      </w:r>
      <w:r>
        <w:rPr>
          <w:w w:val="105"/>
        </w:rPr>
        <w:t>an</w:t>
      </w:r>
      <w:r>
        <w:rPr>
          <w:spacing w:val="-6"/>
          <w:w w:val="105"/>
        </w:rPr>
        <w:t> </w:t>
      </w:r>
      <w:r>
        <w:rPr>
          <w:w w:val="105"/>
        </w:rPr>
        <w:t>opposing</w:t>
      </w:r>
      <w:r>
        <w:rPr>
          <w:spacing w:val="-6"/>
          <w:w w:val="105"/>
        </w:rPr>
        <w:t> </w:t>
      </w:r>
      <w:r>
        <w:rPr>
          <w:w w:val="105"/>
        </w:rPr>
        <w:t>position,</w:t>
      </w:r>
      <w:r>
        <w:rPr>
          <w:spacing w:val="-6"/>
          <w:w w:val="105"/>
        </w:rPr>
        <w:t> </w:t>
      </w:r>
      <w:r>
        <w:rPr>
          <w:w w:val="105"/>
        </w:rPr>
        <w:t>or</w:t>
      </w:r>
      <w:r>
        <w:rPr>
          <w:spacing w:val="-6"/>
          <w:w w:val="105"/>
        </w:rPr>
        <w:t> </w:t>
      </w:r>
      <w:r>
        <w:rPr>
          <w:w w:val="105"/>
        </w:rPr>
        <w:t>alternatively,</w:t>
      </w:r>
      <w:r>
        <w:rPr>
          <w:spacing w:val="-6"/>
          <w:w w:val="105"/>
        </w:rPr>
        <w:t> </w:t>
      </w:r>
      <w:r>
        <w:rPr>
          <w:w w:val="105"/>
        </w:rPr>
        <w:t>consider</w:t>
      </w:r>
      <w:r>
        <w:rPr>
          <w:spacing w:val="-6"/>
          <w:w w:val="105"/>
        </w:rPr>
        <w:t> </w:t>
      </w:r>
      <w:r>
        <w:rPr>
          <w:w w:val="105"/>
        </w:rPr>
        <w:t>a</w:t>
      </w:r>
      <w:r>
        <w:rPr>
          <w:spacing w:val="-6"/>
          <w:w w:val="105"/>
        </w:rPr>
        <w:t> </w:t>
      </w:r>
      <w:r>
        <w:rPr>
          <w:w w:val="105"/>
        </w:rPr>
        <w:t>negotiated</w:t>
      </w:r>
      <w:r>
        <w:rPr>
          <w:spacing w:val="-6"/>
          <w:w w:val="105"/>
        </w:rPr>
        <w:t> </w:t>
      </w:r>
      <w:r>
        <w:rPr>
          <w:w w:val="105"/>
        </w:rPr>
        <w:t>compromise,</w:t>
      </w:r>
      <w:r>
        <w:rPr>
          <w:spacing w:val="-6"/>
          <w:w w:val="105"/>
        </w:rPr>
        <w:t> </w:t>
      </w:r>
      <w:r>
        <w:rPr>
          <w:w w:val="105"/>
        </w:rPr>
        <w:t>and</w:t>
      </w:r>
      <w:r>
        <w:rPr>
          <w:spacing w:val="-6"/>
          <w:w w:val="105"/>
        </w:rPr>
        <w:t> </w:t>
      </w:r>
      <w:r>
        <w:rPr>
          <w:w w:val="105"/>
        </w:rPr>
        <w:t>our</w:t>
      </w:r>
      <w:r>
        <w:rPr>
          <w:spacing w:val="-6"/>
          <w:w w:val="105"/>
        </w:rPr>
        <w:t> </w:t>
      </w:r>
      <w:r>
        <w:rPr>
          <w:w w:val="105"/>
        </w:rPr>
        <w:t>willingness</w:t>
      </w:r>
      <w:r>
        <w:rPr>
          <w:spacing w:val="-6"/>
          <w:w w:val="105"/>
        </w:rPr>
        <w:t> </w:t>
      </w:r>
      <w:r>
        <w:rPr>
          <w:w w:val="105"/>
        </w:rPr>
        <w:t>to</w:t>
      </w:r>
      <w:r>
        <w:rPr>
          <w:spacing w:val="-6"/>
          <w:w w:val="105"/>
        </w:rPr>
        <w:t> </w:t>
      </w:r>
      <w:r>
        <w:rPr>
          <w:w w:val="105"/>
        </w:rPr>
        <w:t>dispute</w:t>
      </w:r>
      <w:r>
        <w:rPr>
          <w:spacing w:val="-6"/>
          <w:w w:val="105"/>
        </w:rPr>
        <w:t> </w:t>
      </w:r>
      <w:r>
        <w:rPr>
          <w:w w:val="105"/>
        </w:rPr>
        <w:t>a</w:t>
      </w:r>
      <w:r>
        <w:rPr>
          <w:spacing w:val="-6"/>
          <w:w w:val="105"/>
        </w:rPr>
        <w:t> </w:t>
      </w:r>
      <w:r>
        <w:rPr>
          <w:w w:val="105"/>
        </w:rPr>
        <w:t>tax authorities’</w:t>
      </w:r>
      <w:r>
        <w:rPr>
          <w:spacing w:val="-1"/>
          <w:w w:val="105"/>
        </w:rPr>
        <w:t> </w:t>
      </w:r>
      <w:r>
        <w:rPr>
          <w:w w:val="105"/>
        </w:rPr>
        <w:t>assertion</w:t>
      </w:r>
      <w:r>
        <w:rPr>
          <w:spacing w:val="-1"/>
          <w:w w:val="105"/>
        </w:rPr>
        <w:t> </w:t>
      </w:r>
      <w:r>
        <w:rPr>
          <w:w w:val="105"/>
        </w:rPr>
        <w:t>to</w:t>
      </w:r>
      <w:r>
        <w:rPr>
          <w:spacing w:val="-1"/>
          <w:w w:val="105"/>
        </w:rPr>
        <w:t> </w:t>
      </w:r>
      <w:r>
        <w:rPr>
          <w:w w:val="105"/>
        </w:rPr>
        <w:t>the</w:t>
      </w:r>
      <w:r>
        <w:rPr>
          <w:spacing w:val="-1"/>
          <w:w w:val="105"/>
        </w:rPr>
        <w:t> </w:t>
      </w:r>
      <w:r>
        <w:rPr>
          <w:w w:val="105"/>
        </w:rPr>
        <w:t>level</w:t>
      </w:r>
      <w:r>
        <w:rPr>
          <w:spacing w:val="-1"/>
          <w:w w:val="105"/>
        </w:rPr>
        <w:t> </w:t>
      </w:r>
      <w:r>
        <w:rPr>
          <w:w w:val="105"/>
        </w:rPr>
        <w:t>of</w:t>
      </w:r>
      <w:r>
        <w:rPr>
          <w:spacing w:val="-1"/>
          <w:w w:val="105"/>
        </w:rPr>
        <w:t> </w:t>
      </w:r>
      <w:r>
        <w:rPr>
          <w:w w:val="105"/>
        </w:rPr>
        <w:t>appeal</w:t>
      </w:r>
      <w:r>
        <w:rPr>
          <w:spacing w:val="-1"/>
          <w:w w:val="105"/>
        </w:rPr>
        <w:t> </w:t>
      </w:r>
      <w:r>
        <w:rPr>
          <w:w w:val="105"/>
        </w:rPr>
        <w:t>we</w:t>
      </w:r>
      <w:r>
        <w:rPr>
          <w:spacing w:val="-1"/>
          <w:w w:val="105"/>
        </w:rPr>
        <w:t> </w:t>
      </w:r>
      <w:r>
        <w:rPr>
          <w:w w:val="105"/>
        </w:rPr>
        <w:t>believe</w:t>
      </w:r>
      <w:r>
        <w:rPr>
          <w:spacing w:val="-1"/>
          <w:w w:val="105"/>
        </w:rPr>
        <w:t> </w:t>
      </w:r>
      <w:r>
        <w:rPr>
          <w:w w:val="105"/>
        </w:rPr>
        <w:t>is</w:t>
      </w:r>
      <w:r>
        <w:rPr>
          <w:spacing w:val="-1"/>
          <w:w w:val="105"/>
        </w:rPr>
        <w:t> </w:t>
      </w:r>
      <w:r>
        <w:rPr>
          <w:w w:val="105"/>
        </w:rPr>
        <w:t>required</w:t>
      </w:r>
      <w:r>
        <w:rPr>
          <w:spacing w:val="-1"/>
          <w:w w:val="105"/>
        </w:rPr>
        <w:t> </w:t>
      </w:r>
      <w:r>
        <w:rPr>
          <w:w w:val="105"/>
        </w:rPr>
        <w:t>to</w:t>
      </w:r>
      <w:r>
        <w:rPr>
          <w:spacing w:val="-1"/>
          <w:w w:val="105"/>
        </w:rPr>
        <w:t> </w:t>
      </w:r>
      <w:r>
        <w:rPr>
          <w:w w:val="105"/>
        </w:rPr>
        <w:t>sustain</w:t>
      </w:r>
      <w:r>
        <w:rPr>
          <w:spacing w:val="-1"/>
          <w:w w:val="105"/>
        </w:rPr>
        <w:t> </w:t>
      </w:r>
      <w:r>
        <w:rPr>
          <w:w w:val="105"/>
        </w:rPr>
        <w:t>our</w:t>
      </w:r>
      <w:r>
        <w:rPr>
          <w:spacing w:val="-1"/>
          <w:w w:val="105"/>
        </w:rPr>
        <w:t> </w:t>
      </w:r>
      <w:r>
        <w:rPr>
          <w:w w:val="105"/>
        </w:rPr>
        <w:t>position.</w:t>
      </w:r>
      <w:r>
        <w:rPr>
          <w:spacing w:val="-1"/>
          <w:w w:val="105"/>
        </w:rPr>
        <w:t> </w:t>
      </w:r>
      <w:r>
        <w:rPr>
          <w:w w:val="105"/>
        </w:rPr>
        <w:t>As</w:t>
      </w:r>
      <w:r>
        <w:rPr>
          <w:spacing w:val="-1"/>
          <w:w w:val="105"/>
        </w:rPr>
        <w:t> </w:t>
      </w:r>
      <w:r>
        <w:rPr>
          <w:w w:val="105"/>
        </w:rPr>
        <w:t>a</w:t>
      </w:r>
      <w:r>
        <w:rPr>
          <w:spacing w:val="-1"/>
          <w:w w:val="105"/>
        </w:rPr>
        <w:t> </w:t>
      </w:r>
      <w:r>
        <w:rPr>
          <w:w w:val="105"/>
        </w:rPr>
        <w:t>result,</w:t>
      </w:r>
      <w:r>
        <w:rPr>
          <w:spacing w:val="-1"/>
          <w:w w:val="105"/>
        </w:rPr>
        <w:t> </w:t>
      </w:r>
      <w:r>
        <w:rPr>
          <w:w w:val="105"/>
        </w:rPr>
        <w:t>it</w:t>
      </w:r>
      <w:r>
        <w:rPr>
          <w:spacing w:val="-1"/>
          <w:w w:val="105"/>
        </w:rPr>
        <w:t> </w:t>
      </w:r>
      <w:r>
        <w:rPr>
          <w:w w:val="105"/>
        </w:rPr>
        <w:t>is</w:t>
      </w:r>
      <w:r>
        <w:rPr>
          <w:spacing w:val="-1"/>
          <w:w w:val="105"/>
        </w:rPr>
        <w:t> </w:t>
      </w:r>
      <w:r>
        <w:rPr>
          <w:w w:val="105"/>
        </w:rPr>
        <w:t>possible</w:t>
      </w:r>
      <w:r>
        <w:rPr>
          <w:spacing w:val="-1"/>
          <w:w w:val="105"/>
        </w:rPr>
        <w:t> </w:t>
      </w:r>
      <w:r>
        <w:rPr>
          <w:w w:val="105"/>
        </w:rPr>
        <w:t>that</w:t>
      </w:r>
      <w:r>
        <w:rPr>
          <w:spacing w:val="-1"/>
          <w:w w:val="105"/>
        </w:rPr>
        <w:t> </w:t>
      </w:r>
      <w:r>
        <w:rPr>
          <w:w w:val="105"/>
        </w:rPr>
        <w:t>our</w:t>
      </w:r>
      <w:r>
        <w:rPr>
          <w:spacing w:val="-1"/>
          <w:w w:val="105"/>
        </w:rPr>
        <w:t> </w:t>
      </w:r>
      <w:r>
        <w:rPr>
          <w:w w:val="105"/>
        </w:rPr>
        <w:t>estimate</w:t>
      </w:r>
      <w:r>
        <w:rPr>
          <w:spacing w:val="-1"/>
          <w:w w:val="105"/>
        </w:rPr>
        <w:t> </w:t>
      </w:r>
      <w:r>
        <w:rPr>
          <w:w w:val="105"/>
        </w:rPr>
        <w:t>of</w:t>
      </w:r>
      <w:r>
        <w:rPr>
          <w:spacing w:val="-1"/>
          <w:w w:val="105"/>
        </w:rPr>
        <w:t> </w:t>
      </w:r>
      <w:r>
        <w:rPr>
          <w:w w:val="105"/>
        </w:rPr>
        <w:t>the</w:t>
      </w:r>
      <w:r>
        <w:rPr>
          <w:spacing w:val="-1"/>
          <w:w w:val="105"/>
        </w:rPr>
        <w:t> </w:t>
      </w:r>
      <w:r>
        <w:rPr>
          <w:w w:val="105"/>
        </w:rPr>
        <w:t>benefits</w:t>
      </w:r>
      <w:r>
        <w:rPr>
          <w:spacing w:val="-1"/>
          <w:w w:val="105"/>
        </w:rPr>
        <w:t> </w:t>
      </w:r>
      <w:r>
        <w:rPr>
          <w:w w:val="105"/>
        </w:rPr>
        <w:t>we</w:t>
      </w:r>
      <w:r>
        <w:rPr>
          <w:spacing w:val="-1"/>
          <w:w w:val="105"/>
        </w:rPr>
        <w:t> </w:t>
      </w:r>
      <w:r>
        <w:rPr>
          <w:w w:val="105"/>
        </w:rPr>
        <w:t>will</w:t>
      </w:r>
      <w:r>
        <w:rPr>
          <w:spacing w:val="-1"/>
          <w:w w:val="105"/>
        </w:rPr>
        <w:t> </w:t>
      </w:r>
      <w:r>
        <w:rPr>
          <w:w w:val="105"/>
        </w:rPr>
        <w:t>realize</w:t>
      </w:r>
      <w:r>
        <w:rPr>
          <w:spacing w:val="-1"/>
          <w:w w:val="105"/>
        </w:rPr>
        <w:t> </w:t>
      </w:r>
      <w:r>
        <w:rPr>
          <w:w w:val="105"/>
        </w:rPr>
        <w:t>for uncertain tax positions may change when we become aware of new information affecting these judgments and estimates.</w:t>
      </w:r>
    </w:p>
    <w:p>
      <w:pPr>
        <w:pStyle w:val="BodyText"/>
        <w:spacing w:before="17"/>
      </w:pPr>
    </w:p>
    <w:p>
      <w:pPr>
        <w:pStyle w:val="Heading3"/>
      </w:pPr>
      <w:r>
        <w:rPr>
          <w:w w:val="105"/>
        </w:rPr>
        <w:t>Fair</w:t>
      </w:r>
      <w:r>
        <w:rPr>
          <w:spacing w:val="-9"/>
          <w:w w:val="105"/>
        </w:rPr>
        <w:t> </w:t>
      </w:r>
      <w:r>
        <w:rPr>
          <w:w w:val="105"/>
        </w:rPr>
        <w:t>value</w:t>
      </w:r>
      <w:r>
        <w:rPr>
          <w:spacing w:val="-9"/>
          <w:w w:val="105"/>
        </w:rPr>
        <w:t> </w:t>
      </w:r>
      <w:r>
        <w:rPr>
          <w:spacing w:val="-2"/>
          <w:w w:val="105"/>
        </w:rPr>
        <w:t>measures</w:t>
      </w:r>
    </w:p>
    <w:p>
      <w:pPr>
        <w:pStyle w:val="BodyText"/>
        <w:spacing w:before="40"/>
        <w:rPr>
          <w:b/>
          <w:i/>
        </w:rPr>
      </w:pPr>
    </w:p>
    <w:p>
      <w:pPr>
        <w:pStyle w:val="BodyText"/>
        <w:spacing w:line="266" w:lineRule="auto"/>
        <w:ind w:left="156" w:right="139"/>
      </w:pPr>
      <w:r>
        <w:rPr>
          <w:w w:val="105"/>
        </w:rPr>
        <w:t>As</w:t>
      </w:r>
      <w:r>
        <w:rPr>
          <w:spacing w:val="-5"/>
          <w:w w:val="105"/>
        </w:rPr>
        <w:t> </w:t>
      </w:r>
      <w:r>
        <w:rPr>
          <w:w w:val="105"/>
        </w:rPr>
        <w:t>required,</w:t>
      </w:r>
      <w:r>
        <w:rPr>
          <w:spacing w:val="-5"/>
          <w:w w:val="105"/>
        </w:rPr>
        <w:t> </w:t>
      </w:r>
      <w:r>
        <w:rPr>
          <w:w w:val="105"/>
        </w:rPr>
        <w:t>Corning</w:t>
      </w:r>
      <w:r>
        <w:rPr>
          <w:spacing w:val="-5"/>
          <w:w w:val="105"/>
        </w:rPr>
        <w:t> </w:t>
      </w:r>
      <w:r>
        <w:rPr>
          <w:w w:val="105"/>
        </w:rPr>
        <w:t>uses</w:t>
      </w:r>
      <w:r>
        <w:rPr>
          <w:spacing w:val="-5"/>
          <w:w w:val="105"/>
        </w:rPr>
        <w:t> </w:t>
      </w:r>
      <w:r>
        <w:rPr>
          <w:w w:val="105"/>
        </w:rPr>
        <w:t>two</w:t>
      </w:r>
      <w:r>
        <w:rPr>
          <w:spacing w:val="-5"/>
          <w:w w:val="105"/>
        </w:rPr>
        <w:t> </w:t>
      </w:r>
      <w:r>
        <w:rPr>
          <w:w w:val="105"/>
        </w:rPr>
        <w:t>kinds</w:t>
      </w:r>
      <w:r>
        <w:rPr>
          <w:spacing w:val="-5"/>
          <w:w w:val="105"/>
        </w:rPr>
        <w:t> </w:t>
      </w:r>
      <w:r>
        <w:rPr>
          <w:w w:val="105"/>
        </w:rPr>
        <w:t>of</w:t>
      </w:r>
      <w:r>
        <w:rPr>
          <w:spacing w:val="-5"/>
          <w:w w:val="105"/>
        </w:rPr>
        <w:t> </w:t>
      </w:r>
      <w:r>
        <w:rPr>
          <w:w w:val="105"/>
        </w:rPr>
        <w:t>inputs</w:t>
      </w:r>
      <w:r>
        <w:rPr>
          <w:spacing w:val="-5"/>
          <w:w w:val="105"/>
        </w:rPr>
        <w:t> </w:t>
      </w:r>
      <w:r>
        <w:rPr>
          <w:w w:val="105"/>
        </w:rPr>
        <w:t>to</w:t>
      </w:r>
      <w:r>
        <w:rPr>
          <w:spacing w:val="-5"/>
          <w:w w:val="105"/>
        </w:rPr>
        <w:t> </w:t>
      </w:r>
      <w:r>
        <w:rPr>
          <w:w w:val="105"/>
        </w:rPr>
        <w:t>determine</w:t>
      </w:r>
      <w:r>
        <w:rPr>
          <w:spacing w:val="-5"/>
          <w:w w:val="105"/>
        </w:rPr>
        <w:t> </w:t>
      </w:r>
      <w:r>
        <w:rPr>
          <w:w w:val="105"/>
        </w:rPr>
        <w:t>the</w:t>
      </w:r>
      <w:r>
        <w:rPr>
          <w:spacing w:val="-5"/>
          <w:w w:val="105"/>
        </w:rPr>
        <w:t> </w:t>
      </w:r>
      <w:r>
        <w:rPr>
          <w:w w:val="105"/>
        </w:rPr>
        <w:t>fair</w:t>
      </w:r>
      <w:r>
        <w:rPr>
          <w:spacing w:val="-5"/>
          <w:w w:val="105"/>
        </w:rPr>
        <w:t> </w:t>
      </w:r>
      <w:r>
        <w:rPr>
          <w:w w:val="105"/>
        </w:rPr>
        <w:t>value</w:t>
      </w:r>
      <w:r>
        <w:rPr>
          <w:spacing w:val="-5"/>
          <w:w w:val="105"/>
        </w:rPr>
        <w:t> </w:t>
      </w:r>
      <w:r>
        <w:rPr>
          <w:w w:val="105"/>
        </w:rPr>
        <w:t>of</w:t>
      </w:r>
      <w:r>
        <w:rPr>
          <w:spacing w:val="-5"/>
          <w:w w:val="105"/>
        </w:rPr>
        <w:t> </w:t>
      </w:r>
      <w:r>
        <w:rPr>
          <w:w w:val="105"/>
        </w:rPr>
        <w:t>assets</w:t>
      </w:r>
      <w:r>
        <w:rPr>
          <w:spacing w:val="-5"/>
          <w:w w:val="105"/>
        </w:rPr>
        <w:t> </w:t>
      </w:r>
      <w:r>
        <w:rPr>
          <w:w w:val="105"/>
        </w:rPr>
        <w:t>and</w:t>
      </w:r>
      <w:r>
        <w:rPr>
          <w:spacing w:val="-5"/>
          <w:w w:val="105"/>
        </w:rPr>
        <w:t> </w:t>
      </w:r>
      <w:r>
        <w:rPr>
          <w:w w:val="105"/>
        </w:rPr>
        <w:t>liabilities:</w:t>
      </w:r>
      <w:r>
        <w:rPr>
          <w:spacing w:val="-5"/>
          <w:w w:val="105"/>
        </w:rPr>
        <w:t> </w:t>
      </w:r>
      <w:r>
        <w:rPr>
          <w:w w:val="105"/>
        </w:rPr>
        <w:t>observable</w:t>
      </w:r>
      <w:r>
        <w:rPr>
          <w:spacing w:val="-5"/>
          <w:w w:val="105"/>
        </w:rPr>
        <w:t> </w:t>
      </w:r>
      <w:r>
        <w:rPr>
          <w:w w:val="105"/>
        </w:rPr>
        <w:t>and</w:t>
      </w:r>
      <w:r>
        <w:rPr>
          <w:spacing w:val="-5"/>
          <w:w w:val="105"/>
        </w:rPr>
        <w:t> </w:t>
      </w:r>
      <w:r>
        <w:rPr>
          <w:w w:val="105"/>
        </w:rPr>
        <w:t>unobservable.</w:t>
      </w:r>
      <w:r>
        <w:rPr>
          <w:spacing w:val="-5"/>
          <w:w w:val="105"/>
        </w:rPr>
        <w:t> </w:t>
      </w:r>
      <w:r>
        <w:rPr>
          <w:w w:val="105"/>
        </w:rPr>
        <w:t>Observable</w:t>
      </w:r>
      <w:r>
        <w:rPr>
          <w:spacing w:val="-5"/>
          <w:w w:val="105"/>
        </w:rPr>
        <w:t> </w:t>
      </w:r>
      <w:r>
        <w:rPr>
          <w:w w:val="105"/>
        </w:rPr>
        <w:t>inputs</w:t>
      </w:r>
      <w:r>
        <w:rPr>
          <w:spacing w:val="-5"/>
          <w:w w:val="105"/>
        </w:rPr>
        <w:t> </w:t>
      </w:r>
      <w:r>
        <w:rPr>
          <w:w w:val="105"/>
        </w:rPr>
        <w:t>are</w:t>
      </w:r>
      <w:r>
        <w:rPr>
          <w:spacing w:val="-5"/>
          <w:w w:val="105"/>
        </w:rPr>
        <w:t> </w:t>
      </w:r>
      <w:r>
        <w:rPr>
          <w:w w:val="105"/>
        </w:rPr>
        <w:t>based</w:t>
      </w:r>
      <w:r>
        <w:rPr>
          <w:spacing w:val="-5"/>
          <w:w w:val="105"/>
        </w:rPr>
        <w:t> </w:t>
      </w:r>
      <w:r>
        <w:rPr>
          <w:w w:val="105"/>
        </w:rPr>
        <w:t>on</w:t>
      </w:r>
      <w:r>
        <w:rPr>
          <w:spacing w:val="-4"/>
          <w:w w:val="105"/>
        </w:rPr>
        <w:t> </w:t>
      </w:r>
      <w:r>
        <w:rPr>
          <w:w w:val="105"/>
        </w:rPr>
        <w:t>market</w:t>
      </w:r>
      <w:r>
        <w:rPr>
          <w:spacing w:val="-5"/>
          <w:w w:val="105"/>
        </w:rPr>
        <w:t> </w:t>
      </w:r>
      <w:r>
        <w:rPr>
          <w:w w:val="105"/>
        </w:rPr>
        <w:t>data or</w:t>
      </w:r>
      <w:r>
        <w:rPr>
          <w:spacing w:val="-9"/>
          <w:w w:val="105"/>
        </w:rPr>
        <w:t> </w:t>
      </w:r>
      <w:r>
        <w:rPr>
          <w:w w:val="105"/>
        </w:rPr>
        <w:t>independent</w:t>
      </w:r>
      <w:r>
        <w:rPr>
          <w:spacing w:val="-9"/>
          <w:w w:val="105"/>
        </w:rPr>
        <w:t> </w:t>
      </w:r>
      <w:r>
        <w:rPr>
          <w:w w:val="105"/>
        </w:rPr>
        <w:t>sources,</w:t>
      </w:r>
      <w:r>
        <w:rPr>
          <w:spacing w:val="-9"/>
          <w:w w:val="105"/>
        </w:rPr>
        <w:t> </w:t>
      </w:r>
      <w:r>
        <w:rPr>
          <w:w w:val="105"/>
        </w:rPr>
        <w:t>while</w:t>
      </w:r>
      <w:r>
        <w:rPr>
          <w:spacing w:val="-9"/>
          <w:w w:val="105"/>
        </w:rPr>
        <w:t> </w:t>
      </w:r>
      <w:r>
        <w:rPr>
          <w:w w:val="105"/>
        </w:rPr>
        <w:t>unobservable</w:t>
      </w:r>
      <w:r>
        <w:rPr>
          <w:spacing w:val="-9"/>
          <w:w w:val="105"/>
        </w:rPr>
        <w:t> </w:t>
      </w:r>
      <w:r>
        <w:rPr>
          <w:w w:val="105"/>
        </w:rPr>
        <w:t>inputs</w:t>
      </w:r>
      <w:r>
        <w:rPr>
          <w:spacing w:val="-9"/>
          <w:w w:val="105"/>
        </w:rPr>
        <w:t> </w:t>
      </w:r>
      <w:r>
        <w:rPr>
          <w:w w:val="105"/>
        </w:rPr>
        <w:t>are</w:t>
      </w:r>
      <w:r>
        <w:rPr>
          <w:spacing w:val="-9"/>
          <w:w w:val="105"/>
        </w:rPr>
        <w:t> </w:t>
      </w:r>
      <w:r>
        <w:rPr>
          <w:w w:val="105"/>
        </w:rPr>
        <w:t>based</w:t>
      </w:r>
      <w:r>
        <w:rPr>
          <w:spacing w:val="-9"/>
          <w:w w:val="105"/>
        </w:rPr>
        <w:t> </w:t>
      </w:r>
      <w:r>
        <w:rPr>
          <w:w w:val="105"/>
        </w:rPr>
        <w:t>on</w:t>
      </w:r>
      <w:r>
        <w:rPr>
          <w:spacing w:val="-9"/>
          <w:w w:val="105"/>
        </w:rPr>
        <w:t> </w:t>
      </w:r>
      <w:r>
        <w:rPr>
          <w:w w:val="105"/>
        </w:rPr>
        <w:t>the</w:t>
      </w:r>
      <w:r>
        <w:rPr>
          <w:spacing w:val="-9"/>
          <w:w w:val="105"/>
        </w:rPr>
        <w:t> </w:t>
      </w:r>
      <w:r>
        <w:rPr>
          <w:w w:val="105"/>
        </w:rPr>
        <w:t>Company’s</w:t>
      </w:r>
      <w:r>
        <w:rPr>
          <w:spacing w:val="-9"/>
          <w:w w:val="105"/>
        </w:rPr>
        <w:t> </w:t>
      </w:r>
      <w:r>
        <w:rPr>
          <w:w w:val="105"/>
        </w:rPr>
        <w:t>own</w:t>
      </w:r>
      <w:r>
        <w:rPr>
          <w:spacing w:val="-9"/>
          <w:w w:val="105"/>
        </w:rPr>
        <w:t> </w:t>
      </w:r>
      <w:r>
        <w:rPr>
          <w:w w:val="105"/>
        </w:rPr>
        <w:t>market</w:t>
      </w:r>
      <w:r>
        <w:rPr>
          <w:spacing w:val="-9"/>
          <w:w w:val="105"/>
        </w:rPr>
        <w:t> </w:t>
      </w:r>
      <w:r>
        <w:rPr>
          <w:w w:val="105"/>
        </w:rPr>
        <w:t>assumptions.</w:t>
      </w:r>
      <w:r>
        <w:rPr>
          <w:spacing w:val="-9"/>
          <w:w w:val="105"/>
        </w:rPr>
        <w:t> </w:t>
      </w:r>
      <w:r>
        <w:rPr>
          <w:w w:val="105"/>
        </w:rPr>
        <w:t>Once</w:t>
      </w:r>
      <w:r>
        <w:rPr>
          <w:spacing w:val="-9"/>
          <w:w w:val="105"/>
        </w:rPr>
        <w:t> </w:t>
      </w:r>
      <w:r>
        <w:rPr>
          <w:w w:val="105"/>
        </w:rPr>
        <w:t>inputs</w:t>
      </w:r>
      <w:r>
        <w:rPr>
          <w:spacing w:val="-9"/>
          <w:w w:val="105"/>
        </w:rPr>
        <w:t> </w:t>
      </w:r>
      <w:r>
        <w:rPr>
          <w:w w:val="105"/>
        </w:rPr>
        <w:t>have</w:t>
      </w:r>
      <w:r>
        <w:rPr>
          <w:spacing w:val="-9"/>
          <w:w w:val="105"/>
        </w:rPr>
        <w:t> </w:t>
      </w:r>
      <w:r>
        <w:rPr>
          <w:w w:val="105"/>
        </w:rPr>
        <w:t>been</w:t>
      </w:r>
      <w:r>
        <w:rPr>
          <w:spacing w:val="-9"/>
          <w:w w:val="105"/>
        </w:rPr>
        <w:t> </w:t>
      </w:r>
      <w:r>
        <w:rPr>
          <w:w w:val="105"/>
        </w:rPr>
        <w:t>characterized,</w:t>
      </w:r>
      <w:r>
        <w:rPr>
          <w:spacing w:val="-9"/>
          <w:w w:val="105"/>
        </w:rPr>
        <w:t> </w:t>
      </w:r>
      <w:r>
        <w:rPr>
          <w:w w:val="105"/>
        </w:rPr>
        <w:t>we</w:t>
      </w:r>
      <w:r>
        <w:rPr>
          <w:spacing w:val="-9"/>
          <w:w w:val="105"/>
        </w:rPr>
        <w:t> </w:t>
      </w:r>
      <w:r>
        <w:rPr>
          <w:w w:val="105"/>
        </w:rPr>
        <w:t>prioritize</w:t>
      </w:r>
      <w:r>
        <w:rPr>
          <w:spacing w:val="-9"/>
          <w:w w:val="105"/>
        </w:rPr>
        <w:t> </w:t>
      </w:r>
      <w:r>
        <w:rPr>
          <w:w w:val="105"/>
        </w:rPr>
        <w:t>the</w:t>
      </w:r>
      <w:r>
        <w:rPr>
          <w:spacing w:val="-9"/>
          <w:w w:val="105"/>
        </w:rPr>
        <w:t> </w:t>
      </w:r>
      <w:r>
        <w:rPr>
          <w:w w:val="105"/>
        </w:rPr>
        <w:t>inputs</w:t>
      </w:r>
      <w:r>
        <w:rPr>
          <w:spacing w:val="-9"/>
          <w:w w:val="105"/>
        </w:rPr>
        <w:t> </w:t>
      </w:r>
      <w:r>
        <w:rPr>
          <w:w w:val="105"/>
        </w:rPr>
        <w:t>used to</w:t>
      </w:r>
      <w:r>
        <w:rPr>
          <w:spacing w:val="-6"/>
          <w:w w:val="105"/>
        </w:rPr>
        <w:t> </w:t>
      </w:r>
      <w:r>
        <w:rPr>
          <w:w w:val="105"/>
        </w:rPr>
        <w:t>measure</w:t>
      </w:r>
      <w:r>
        <w:rPr>
          <w:spacing w:val="-6"/>
          <w:w w:val="105"/>
        </w:rPr>
        <w:t> </w:t>
      </w:r>
      <w:r>
        <w:rPr>
          <w:w w:val="105"/>
        </w:rPr>
        <w:t>fair</w:t>
      </w:r>
      <w:r>
        <w:rPr>
          <w:spacing w:val="-6"/>
          <w:w w:val="105"/>
        </w:rPr>
        <w:t> </w:t>
      </w:r>
      <w:r>
        <w:rPr>
          <w:w w:val="105"/>
        </w:rPr>
        <w:t>value</w:t>
      </w:r>
      <w:r>
        <w:rPr>
          <w:spacing w:val="-6"/>
          <w:w w:val="105"/>
        </w:rPr>
        <w:t> </w:t>
      </w:r>
      <w:r>
        <w:rPr>
          <w:w w:val="105"/>
        </w:rPr>
        <w:t>into</w:t>
      </w:r>
      <w:r>
        <w:rPr>
          <w:spacing w:val="-6"/>
          <w:w w:val="105"/>
        </w:rPr>
        <w:t> </w:t>
      </w:r>
      <w:r>
        <w:rPr>
          <w:w w:val="105"/>
        </w:rPr>
        <w:t>one</w:t>
      </w:r>
      <w:r>
        <w:rPr>
          <w:spacing w:val="-6"/>
          <w:w w:val="105"/>
        </w:rPr>
        <w:t> </w:t>
      </w:r>
      <w:r>
        <w:rPr>
          <w:w w:val="105"/>
        </w:rPr>
        <w:t>of</w:t>
      </w:r>
      <w:r>
        <w:rPr>
          <w:spacing w:val="-6"/>
          <w:w w:val="105"/>
        </w:rPr>
        <w:t> </w:t>
      </w:r>
      <w:r>
        <w:rPr>
          <w:w w:val="105"/>
        </w:rPr>
        <w:t>three</w:t>
      </w:r>
      <w:r>
        <w:rPr>
          <w:spacing w:val="-6"/>
          <w:w w:val="105"/>
        </w:rPr>
        <w:t> </w:t>
      </w:r>
      <w:r>
        <w:rPr>
          <w:w w:val="105"/>
        </w:rPr>
        <w:t>broad</w:t>
      </w:r>
      <w:r>
        <w:rPr>
          <w:spacing w:val="-6"/>
          <w:w w:val="105"/>
        </w:rPr>
        <w:t> </w:t>
      </w:r>
      <w:r>
        <w:rPr>
          <w:w w:val="105"/>
        </w:rPr>
        <w:t>levels.</w:t>
      </w:r>
      <w:r>
        <w:rPr>
          <w:spacing w:val="-6"/>
          <w:w w:val="105"/>
        </w:rPr>
        <w:t> </w:t>
      </w:r>
      <w:r>
        <w:rPr>
          <w:w w:val="105"/>
        </w:rPr>
        <w:t>Characterization</w:t>
      </w:r>
      <w:r>
        <w:rPr>
          <w:spacing w:val="-6"/>
          <w:w w:val="105"/>
        </w:rPr>
        <w:t> </w:t>
      </w:r>
      <w:r>
        <w:rPr>
          <w:w w:val="105"/>
        </w:rPr>
        <w:t>of</w:t>
      </w:r>
      <w:r>
        <w:rPr>
          <w:spacing w:val="-6"/>
          <w:w w:val="105"/>
        </w:rPr>
        <w:t> </w:t>
      </w:r>
      <w:r>
        <w:rPr>
          <w:w w:val="105"/>
        </w:rPr>
        <w:t>fair</w:t>
      </w:r>
      <w:r>
        <w:rPr>
          <w:spacing w:val="-6"/>
          <w:w w:val="105"/>
        </w:rPr>
        <w:t> </w:t>
      </w:r>
      <w:r>
        <w:rPr>
          <w:w w:val="105"/>
        </w:rPr>
        <w:t>value</w:t>
      </w:r>
      <w:r>
        <w:rPr>
          <w:spacing w:val="-6"/>
          <w:w w:val="105"/>
        </w:rPr>
        <w:t> </w:t>
      </w:r>
      <w:r>
        <w:rPr>
          <w:w w:val="105"/>
        </w:rPr>
        <w:t>inputs</w:t>
      </w:r>
      <w:r>
        <w:rPr>
          <w:spacing w:val="-6"/>
          <w:w w:val="105"/>
        </w:rPr>
        <w:t> </w:t>
      </w:r>
      <w:r>
        <w:rPr>
          <w:w w:val="105"/>
        </w:rPr>
        <w:t>is</w:t>
      </w:r>
      <w:r>
        <w:rPr>
          <w:spacing w:val="-6"/>
          <w:w w:val="105"/>
        </w:rPr>
        <w:t> </w:t>
      </w:r>
      <w:r>
        <w:rPr>
          <w:w w:val="105"/>
        </w:rPr>
        <w:t>required</w:t>
      </w:r>
      <w:r>
        <w:rPr>
          <w:spacing w:val="-6"/>
          <w:w w:val="105"/>
        </w:rPr>
        <w:t> </w:t>
      </w:r>
      <w:r>
        <w:rPr>
          <w:w w:val="105"/>
        </w:rPr>
        <w:t>for</w:t>
      </w:r>
      <w:r>
        <w:rPr>
          <w:spacing w:val="-6"/>
          <w:w w:val="105"/>
        </w:rPr>
        <w:t> </w:t>
      </w:r>
      <w:r>
        <w:rPr>
          <w:w w:val="105"/>
        </w:rPr>
        <w:t>those</w:t>
      </w:r>
      <w:r>
        <w:rPr>
          <w:spacing w:val="-6"/>
          <w:w w:val="105"/>
        </w:rPr>
        <w:t> </w:t>
      </w:r>
      <w:r>
        <w:rPr>
          <w:w w:val="105"/>
        </w:rPr>
        <w:t>accounting</w:t>
      </w:r>
      <w:r>
        <w:rPr>
          <w:spacing w:val="-6"/>
          <w:w w:val="105"/>
        </w:rPr>
        <w:t> </w:t>
      </w:r>
      <w:r>
        <w:rPr>
          <w:w w:val="105"/>
        </w:rPr>
        <w:t>pronouncements</w:t>
      </w:r>
      <w:r>
        <w:rPr>
          <w:spacing w:val="-6"/>
          <w:w w:val="105"/>
        </w:rPr>
        <w:t> </w:t>
      </w:r>
      <w:r>
        <w:rPr>
          <w:w w:val="105"/>
        </w:rPr>
        <w:t>that</w:t>
      </w:r>
      <w:r>
        <w:rPr>
          <w:spacing w:val="-6"/>
          <w:w w:val="105"/>
        </w:rPr>
        <w:t> </w:t>
      </w:r>
      <w:r>
        <w:rPr>
          <w:w w:val="105"/>
        </w:rPr>
        <w:t>prescribe</w:t>
      </w:r>
      <w:r>
        <w:rPr>
          <w:spacing w:val="-6"/>
          <w:w w:val="105"/>
        </w:rPr>
        <w:t> </w:t>
      </w:r>
      <w:r>
        <w:rPr>
          <w:w w:val="105"/>
        </w:rPr>
        <w:t>or</w:t>
      </w:r>
      <w:r>
        <w:rPr>
          <w:spacing w:val="-6"/>
          <w:w w:val="105"/>
        </w:rPr>
        <w:t> </w:t>
      </w:r>
      <w:r>
        <w:rPr>
          <w:w w:val="105"/>
        </w:rPr>
        <w:t>permit</w:t>
      </w:r>
      <w:r>
        <w:rPr>
          <w:spacing w:val="-6"/>
          <w:w w:val="105"/>
        </w:rPr>
        <w:t> </w:t>
      </w:r>
      <w:r>
        <w:rPr>
          <w:w w:val="105"/>
        </w:rPr>
        <w:t>fair</w:t>
      </w:r>
      <w:r>
        <w:rPr>
          <w:spacing w:val="-6"/>
          <w:w w:val="105"/>
        </w:rPr>
        <w:t> </w:t>
      </w:r>
      <w:r>
        <w:rPr>
          <w:w w:val="105"/>
        </w:rPr>
        <w:t>value measurement.</w:t>
      </w:r>
      <w:r>
        <w:rPr>
          <w:spacing w:val="-2"/>
          <w:w w:val="105"/>
        </w:rPr>
        <w:t> </w:t>
      </w:r>
      <w:r>
        <w:rPr>
          <w:w w:val="105"/>
        </w:rPr>
        <w:t>In</w:t>
      </w:r>
      <w:r>
        <w:rPr>
          <w:spacing w:val="-2"/>
          <w:w w:val="105"/>
        </w:rPr>
        <w:t> </w:t>
      </w:r>
      <w:r>
        <w:rPr>
          <w:w w:val="105"/>
        </w:rPr>
        <w:t>addition,</w:t>
      </w:r>
      <w:r>
        <w:rPr>
          <w:spacing w:val="-2"/>
          <w:w w:val="105"/>
        </w:rPr>
        <w:t> </w:t>
      </w:r>
      <w:r>
        <w:rPr>
          <w:w w:val="105"/>
        </w:rPr>
        <w:t>observable</w:t>
      </w:r>
      <w:r>
        <w:rPr>
          <w:spacing w:val="-2"/>
          <w:w w:val="105"/>
        </w:rPr>
        <w:t> </w:t>
      </w:r>
      <w:r>
        <w:rPr>
          <w:w w:val="105"/>
        </w:rPr>
        <w:t>market</w:t>
      </w:r>
      <w:r>
        <w:rPr>
          <w:spacing w:val="-2"/>
          <w:w w:val="105"/>
        </w:rPr>
        <w:t> </w:t>
      </w:r>
      <w:r>
        <w:rPr>
          <w:w w:val="105"/>
        </w:rPr>
        <w:t>data</w:t>
      </w:r>
      <w:r>
        <w:rPr>
          <w:spacing w:val="-2"/>
          <w:w w:val="105"/>
        </w:rPr>
        <w:t> </w:t>
      </w:r>
      <w:r>
        <w:rPr>
          <w:w w:val="105"/>
        </w:rPr>
        <w:t>must</w:t>
      </w:r>
      <w:r>
        <w:rPr>
          <w:spacing w:val="-2"/>
          <w:w w:val="105"/>
        </w:rPr>
        <w:t> </w:t>
      </w:r>
      <w:r>
        <w:rPr>
          <w:w w:val="105"/>
        </w:rPr>
        <w:t>be</w:t>
      </w:r>
      <w:r>
        <w:rPr>
          <w:spacing w:val="-2"/>
          <w:w w:val="105"/>
        </w:rPr>
        <w:t> </w:t>
      </w:r>
      <w:r>
        <w:rPr>
          <w:w w:val="105"/>
        </w:rPr>
        <w:t>used</w:t>
      </w:r>
      <w:r>
        <w:rPr>
          <w:spacing w:val="-2"/>
          <w:w w:val="105"/>
        </w:rPr>
        <w:t> </w:t>
      </w:r>
      <w:r>
        <w:rPr>
          <w:w w:val="105"/>
        </w:rPr>
        <w:t>when</w:t>
      </w:r>
      <w:r>
        <w:rPr>
          <w:spacing w:val="-2"/>
          <w:w w:val="105"/>
        </w:rPr>
        <w:t> </w:t>
      </w:r>
      <w:r>
        <w:rPr>
          <w:w w:val="105"/>
        </w:rPr>
        <w:t>available</w:t>
      </w:r>
      <w:r>
        <w:rPr>
          <w:spacing w:val="-2"/>
          <w:w w:val="105"/>
        </w:rPr>
        <w:t> </w:t>
      </w:r>
      <w:r>
        <w:rPr>
          <w:w w:val="105"/>
        </w:rPr>
        <w:t>and the</w:t>
      </w:r>
      <w:r>
        <w:rPr>
          <w:spacing w:val="-2"/>
          <w:w w:val="105"/>
        </w:rPr>
        <w:t> </w:t>
      </w:r>
      <w:r>
        <w:rPr>
          <w:w w:val="105"/>
        </w:rPr>
        <w:t>highest-and-best-use</w:t>
      </w:r>
      <w:r>
        <w:rPr>
          <w:spacing w:val="-2"/>
          <w:w w:val="105"/>
        </w:rPr>
        <w:t> </w:t>
      </w:r>
      <w:r>
        <w:rPr>
          <w:w w:val="105"/>
        </w:rPr>
        <w:t>measure</w:t>
      </w:r>
      <w:r>
        <w:rPr>
          <w:spacing w:val="-2"/>
          <w:w w:val="105"/>
        </w:rPr>
        <w:t> </w:t>
      </w:r>
      <w:r>
        <w:rPr>
          <w:w w:val="105"/>
        </w:rPr>
        <w:t>should</w:t>
      </w:r>
      <w:r>
        <w:rPr>
          <w:spacing w:val="-2"/>
          <w:w w:val="105"/>
        </w:rPr>
        <w:t> </w:t>
      </w:r>
      <w:r>
        <w:rPr>
          <w:w w:val="105"/>
        </w:rPr>
        <w:t>be</w:t>
      </w:r>
      <w:r>
        <w:rPr>
          <w:spacing w:val="-2"/>
          <w:w w:val="105"/>
        </w:rPr>
        <w:t> </w:t>
      </w:r>
      <w:r>
        <w:rPr>
          <w:w w:val="105"/>
        </w:rPr>
        <w:t>applied</w:t>
      </w:r>
      <w:r>
        <w:rPr>
          <w:spacing w:val="-2"/>
          <w:w w:val="105"/>
        </w:rPr>
        <w:t> </w:t>
      </w:r>
      <w:r>
        <w:rPr>
          <w:w w:val="105"/>
        </w:rPr>
        <w:t>to</w:t>
      </w:r>
      <w:r>
        <w:rPr>
          <w:spacing w:val="-2"/>
          <w:w w:val="105"/>
        </w:rPr>
        <w:t> </w:t>
      </w:r>
      <w:r>
        <w:rPr>
          <w:w w:val="105"/>
        </w:rPr>
        <w:t>non-financial</w:t>
      </w:r>
      <w:r>
        <w:rPr>
          <w:spacing w:val="-2"/>
          <w:w w:val="105"/>
        </w:rPr>
        <w:t> </w:t>
      </w:r>
      <w:r>
        <w:rPr>
          <w:w w:val="105"/>
        </w:rPr>
        <w:t>assets.</w:t>
      </w:r>
      <w:r>
        <w:rPr>
          <w:spacing w:val="-2"/>
          <w:w w:val="105"/>
        </w:rPr>
        <w:t> </w:t>
      </w:r>
      <w:r>
        <w:rPr>
          <w:w w:val="105"/>
        </w:rPr>
        <w:t>Corning’s major</w:t>
      </w:r>
      <w:r>
        <w:rPr>
          <w:spacing w:val="-2"/>
          <w:w w:val="105"/>
        </w:rPr>
        <w:t> </w:t>
      </w:r>
      <w:r>
        <w:rPr>
          <w:w w:val="105"/>
        </w:rPr>
        <w:t>categories</w:t>
      </w:r>
      <w:r>
        <w:rPr>
          <w:spacing w:val="-2"/>
          <w:w w:val="105"/>
        </w:rPr>
        <w:t> </w:t>
      </w:r>
      <w:r>
        <w:rPr>
          <w:w w:val="105"/>
        </w:rPr>
        <w:t>of</w:t>
      </w:r>
      <w:r>
        <w:rPr>
          <w:spacing w:val="-2"/>
          <w:w w:val="105"/>
        </w:rPr>
        <w:t> </w:t>
      </w:r>
      <w:r>
        <w:rPr>
          <w:w w:val="105"/>
        </w:rPr>
        <w:t>financial</w:t>
      </w:r>
      <w:r>
        <w:rPr>
          <w:spacing w:val="-2"/>
          <w:w w:val="105"/>
        </w:rPr>
        <w:t> </w:t>
      </w:r>
      <w:r>
        <w:rPr>
          <w:w w:val="105"/>
        </w:rPr>
        <w:t>assets</w:t>
      </w:r>
      <w:r>
        <w:rPr>
          <w:spacing w:val="-2"/>
          <w:w w:val="105"/>
        </w:rPr>
        <w:t> </w:t>
      </w:r>
      <w:r>
        <w:rPr>
          <w:w w:val="105"/>
        </w:rPr>
        <w:t>and</w:t>
      </w:r>
      <w:r>
        <w:rPr>
          <w:spacing w:val="-2"/>
          <w:w w:val="105"/>
        </w:rPr>
        <w:t> </w:t>
      </w:r>
      <w:r>
        <w:rPr>
          <w:w w:val="105"/>
        </w:rPr>
        <w:t>liabilities</w:t>
      </w:r>
      <w:r>
        <w:rPr>
          <w:spacing w:val="-2"/>
          <w:w w:val="105"/>
        </w:rPr>
        <w:t> </w:t>
      </w:r>
      <w:r>
        <w:rPr>
          <w:w w:val="105"/>
        </w:rPr>
        <w:t>required</w:t>
      </w:r>
      <w:r>
        <w:rPr>
          <w:spacing w:val="-2"/>
          <w:w w:val="105"/>
        </w:rPr>
        <w:t> </w:t>
      </w:r>
      <w:r>
        <w:rPr>
          <w:w w:val="105"/>
        </w:rPr>
        <w:t>to</w:t>
      </w:r>
      <w:r>
        <w:rPr>
          <w:spacing w:val="-2"/>
          <w:w w:val="105"/>
        </w:rPr>
        <w:t> </w:t>
      </w:r>
      <w:r>
        <w:rPr>
          <w:w w:val="105"/>
        </w:rPr>
        <w:t>be</w:t>
      </w:r>
      <w:r>
        <w:rPr>
          <w:spacing w:val="-2"/>
          <w:w w:val="105"/>
        </w:rPr>
        <w:t> </w:t>
      </w:r>
      <w:r>
        <w:rPr>
          <w:w w:val="105"/>
        </w:rPr>
        <w:t>measured</w:t>
      </w:r>
      <w:r>
        <w:rPr>
          <w:spacing w:val="-2"/>
          <w:w w:val="105"/>
        </w:rPr>
        <w:t> </w:t>
      </w:r>
      <w:r>
        <w:rPr>
          <w:w w:val="105"/>
        </w:rPr>
        <w:t>at</w:t>
      </w:r>
      <w:r>
        <w:rPr>
          <w:spacing w:val="-2"/>
          <w:w w:val="105"/>
        </w:rPr>
        <w:t> </w:t>
      </w:r>
      <w:r>
        <w:rPr>
          <w:w w:val="105"/>
        </w:rPr>
        <w:t>fair</w:t>
      </w:r>
      <w:r>
        <w:rPr>
          <w:spacing w:val="-2"/>
          <w:w w:val="105"/>
        </w:rPr>
        <w:t> </w:t>
      </w:r>
      <w:r>
        <w:rPr>
          <w:w w:val="105"/>
        </w:rPr>
        <w:t>value</w:t>
      </w:r>
      <w:r>
        <w:rPr>
          <w:spacing w:val="-2"/>
          <w:w w:val="105"/>
        </w:rPr>
        <w:t> </w:t>
      </w:r>
      <w:r>
        <w:rPr>
          <w:w w:val="105"/>
        </w:rPr>
        <w:t>are</w:t>
      </w:r>
      <w:r>
        <w:rPr>
          <w:spacing w:val="-4"/>
          <w:w w:val="105"/>
        </w:rPr>
        <w:t> </w:t>
      </w:r>
      <w:r>
        <w:rPr>
          <w:w w:val="105"/>
        </w:rPr>
        <w:t>short-term</w:t>
      </w:r>
      <w:r>
        <w:rPr>
          <w:spacing w:val="-2"/>
          <w:w w:val="105"/>
        </w:rPr>
        <w:t> </w:t>
      </w:r>
      <w:r>
        <w:rPr>
          <w:w w:val="105"/>
        </w:rPr>
        <w:t>and</w:t>
      </w:r>
      <w:r>
        <w:rPr>
          <w:spacing w:val="-2"/>
          <w:w w:val="105"/>
        </w:rPr>
        <w:t> </w:t>
      </w:r>
      <w:r>
        <w:rPr>
          <w:w w:val="105"/>
        </w:rPr>
        <w:t>long-term</w:t>
      </w:r>
      <w:r>
        <w:rPr>
          <w:spacing w:val="-2"/>
          <w:w w:val="105"/>
        </w:rPr>
        <w:t> </w:t>
      </w:r>
      <w:r>
        <w:rPr>
          <w:w w:val="105"/>
        </w:rPr>
        <w:t>investments,</w:t>
      </w:r>
      <w:r>
        <w:rPr>
          <w:spacing w:val="-2"/>
          <w:w w:val="105"/>
        </w:rPr>
        <w:t> </w:t>
      </w:r>
      <w:r>
        <w:rPr>
          <w:w w:val="105"/>
        </w:rPr>
        <w:t>certain</w:t>
      </w:r>
      <w:r>
        <w:rPr>
          <w:spacing w:val="-2"/>
          <w:w w:val="105"/>
        </w:rPr>
        <w:t> </w:t>
      </w:r>
      <w:r>
        <w:rPr>
          <w:w w:val="105"/>
        </w:rPr>
        <w:t>pension</w:t>
      </w:r>
      <w:r>
        <w:rPr>
          <w:spacing w:val="-4"/>
          <w:w w:val="105"/>
        </w:rPr>
        <w:t> </w:t>
      </w:r>
      <w:r>
        <w:rPr>
          <w:w w:val="105"/>
        </w:rPr>
        <w:t>asset</w:t>
      </w:r>
      <w:r>
        <w:rPr>
          <w:spacing w:val="-2"/>
          <w:w w:val="105"/>
        </w:rPr>
        <w:t> </w:t>
      </w:r>
      <w:r>
        <w:rPr>
          <w:w w:val="105"/>
        </w:rPr>
        <w:t>investments</w:t>
      </w:r>
      <w:r>
        <w:rPr>
          <w:spacing w:val="-2"/>
          <w:w w:val="105"/>
        </w:rPr>
        <w:t> </w:t>
      </w:r>
      <w:r>
        <w:rPr>
          <w:w w:val="105"/>
        </w:rPr>
        <w:t>and derivatives.</w:t>
      </w:r>
      <w:r>
        <w:rPr>
          <w:spacing w:val="-2"/>
          <w:w w:val="105"/>
        </w:rPr>
        <w:t> </w:t>
      </w:r>
      <w:r>
        <w:rPr>
          <w:w w:val="105"/>
        </w:rPr>
        <w:t>These</w:t>
      </w:r>
      <w:r>
        <w:rPr>
          <w:spacing w:val="-2"/>
          <w:w w:val="105"/>
        </w:rPr>
        <w:t> </w:t>
      </w:r>
      <w:r>
        <w:rPr>
          <w:w w:val="105"/>
        </w:rPr>
        <w:t>categories</w:t>
      </w:r>
      <w:r>
        <w:rPr>
          <w:spacing w:val="-2"/>
          <w:w w:val="105"/>
        </w:rPr>
        <w:t> </w:t>
      </w:r>
      <w:r>
        <w:rPr>
          <w:w w:val="105"/>
        </w:rPr>
        <w:t>use</w:t>
      </w:r>
      <w:r>
        <w:rPr>
          <w:spacing w:val="-2"/>
          <w:w w:val="105"/>
        </w:rPr>
        <w:t> </w:t>
      </w:r>
      <w:r>
        <w:rPr>
          <w:w w:val="105"/>
        </w:rPr>
        <w:t>observable</w:t>
      </w:r>
      <w:r>
        <w:rPr>
          <w:spacing w:val="-2"/>
          <w:w w:val="105"/>
        </w:rPr>
        <w:t> </w:t>
      </w:r>
      <w:r>
        <w:rPr>
          <w:w w:val="105"/>
        </w:rPr>
        <w:t>inputs</w:t>
      </w:r>
      <w:r>
        <w:rPr>
          <w:spacing w:val="-2"/>
          <w:w w:val="105"/>
        </w:rPr>
        <w:t> </w:t>
      </w:r>
      <w:r>
        <w:rPr>
          <w:w w:val="105"/>
        </w:rPr>
        <w:t>only and</w:t>
      </w:r>
      <w:r>
        <w:rPr>
          <w:spacing w:val="-2"/>
          <w:w w:val="105"/>
        </w:rPr>
        <w:t> </w:t>
      </w:r>
      <w:r>
        <w:rPr>
          <w:w w:val="105"/>
        </w:rPr>
        <w:t>are</w:t>
      </w:r>
      <w:r>
        <w:rPr>
          <w:spacing w:val="-2"/>
          <w:w w:val="105"/>
        </w:rPr>
        <w:t> </w:t>
      </w:r>
      <w:r>
        <w:rPr>
          <w:w w:val="105"/>
        </w:rPr>
        <w:t>measured</w:t>
      </w:r>
      <w:r>
        <w:rPr>
          <w:spacing w:val="-2"/>
          <w:w w:val="105"/>
        </w:rPr>
        <w:t> </w:t>
      </w:r>
      <w:r>
        <w:rPr>
          <w:w w:val="105"/>
        </w:rPr>
        <w:t>using</w:t>
      </w:r>
      <w:r>
        <w:rPr>
          <w:spacing w:val="-2"/>
          <w:w w:val="105"/>
        </w:rPr>
        <w:t> </w:t>
      </w:r>
      <w:r>
        <w:rPr>
          <w:w w:val="105"/>
        </w:rPr>
        <w:t>a</w:t>
      </w:r>
      <w:r>
        <w:rPr>
          <w:spacing w:val="-2"/>
          <w:w w:val="105"/>
        </w:rPr>
        <w:t> </w:t>
      </w:r>
      <w:r>
        <w:rPr>
          <w:w w:val="105"/>
        </w:rPr>
        <w:t>market</w:t>
      </w:r>
      <w:r>
        <w:rPr>
          <w:spacing w:val="-2"/>
          <w:w w:val="105"/>
        </w:rPr>
        <w:t> </w:t>
      </w:r>
      <w:r>
        <w:rPr>
          <w:w w:val="105"/>
        </w:rPr>
        <w:t>approach</w:t>
      </w:r>
      <w:r>
        <w:rPr>
          <w:spacing w:val="-2"/>
          <w:w w:val="105"/>
        </w:rPr>
        <w:t> </w:t>
      </w:r>
      <w:r>
        <w:rPr>
          <w:w w:val="105"/>
        </w:rPr>
        <w:t>based</w:t>
      </w:r>
      <w:r>
        <w:rPr>
          <w:spacing w:val="-2"/>
          <w:w w:val="105"/>
        </w:rPr>
        <w:t> </w:t>
      </w:r>
      <w:r>
        <w:rPr>
          <w:w w:val="105"/>
        </w:rPr>
        <w:t>on</w:t>
      </w:r>
      <w:r>
        <w:rPr>
          <w:spacing w:val="-2"/>
          <w:w w:val="105"/>
        </w:rPr>
        <w:t> </w:t>
      </w:r>
      <w:r>
        <w:rPr>
          <w:w w:val="105"/>
        </w:rPr>
        <w:t>quoted</w:t>
      </w:r>
      <w:r>
        <w:rPr>
          <w:spacing w:val="-2"/>
          <w:w w:val="105"/>
        </w:rPr>
        <w:t> </w:t>
      </w:r>
      <w:r>
        <w:rPr>
          <w:w w:val="105"/>
        </w:rPr>
        <w:t>prices</w:t>
      </w:r>
      <w:r>
        <w:rPr>
          <w:spacing w:val="-2"/>
          <w:w w:val="105"/>
        </w:rPr>
        <w:t> </w:t>
      </w:r>
      <w:r>
        <w:rPr>
          <w:w w:val="105"/>
        </w:rPr>
        <w:t>in</w:t>
      </w:r>
      <w:r>
        <w:rPr>
          <w:spacing w:val="-2"/>
          <w:w w:val="105"/>
        </w:rPr>
        <w:t> </w:t>
      </w:r>
      <w:r>
        <w:rPr>
          <w:w w:val="105"/>
        </w:rPr>
        <w:t>markets</w:t>
      </w:r>
      <w:r>
        <w:rPr>
          <w:spacing w:val="-2"/>
          <w:w w:val="105"/>
        </w:rPr>
        <w:t> </w:t>
      </w:r>
      <w:r>
        <w:rPr>
          <w:w w:val="105"/>
        </w:rPr>
        <w:t>considered active</w:t>
      </w:r>
      <w:r>
        <w:rPr>
          <w:spacing w:val="-2"/>
          <w:w w:val="105"/>
        </w:rPr>
        <w:t> </w:t>
      </w:r>
      <w:r>
        <w:rPr>
          <w:w w:val="105"/>
        </w:rPr>
        <w:t>or</w:t>
      </w:r>
      <w:r>
        <w:rPr>
          <w:spacing w:val="-2"/>
          <w:w w:val="105"/>
        </w:rPr>
        <w:t> </w:t>
      </w:r>
      <w:r>
        <w:rPr>
          <w:w w:val="105"/>
        </w:rPr>
        <w:t>in</w:t>
      </w:r>
      <w:r>
        <w:rPr>
          <w:spacing w:val="-2"/>
          <w:w w:val="105"/>
        </w:rPr>
        <w:t> </w:t>
      </w:r>
      <w:r>
        <w:rPr>
          <w:w w:val="105"/>
        </w:rPr>
        <w:t>markets</w:t>
      </w:r>
      <w:r>
        <w:rPr>
          <w:spacing w:val="-2"/>
          <w:w w:val="105"/>
        </w:rPr>
        <w:t> </w:t>
      </w:r>
      <w:r>
        <w:rPr>
          <w:w w:val="105"/>
        </w:rPr>
        <w:t>in which there are few transactions.</w:t>
      </w:r>
    </w:p>
    <w:p>
      <w:pPr>
        <w:pStyle w:val="BodyText"/>
        <w:spacing w:before="17"/>
      </w:pPr>
    </w:p>
    <w:p>
      <w:pPr>
        <w:pStyle w:val="BodyText"/>
        <w:spacing w:line="266" w:lineRule="auto"/>
        <w:ind w:left="156" w:right="117"/>
      </w:pPr>
      <w:r>
        <w:rPr>
          <w:w w:val="105"/>
        </w:rPr>
        <w:t>Derivative</w:t>
      </w:r>
      <w:r>
        <w:rPr>
          <w:spacing w:val="-3"/>
          <w:w w:val="105"/>
        </w:rPr>
        <w:t> </w:t>
      </w:r>
      <w:r>
        <w:rPr>
          <w:w w:val="105"/>
        </w:rPr>
        <w:t>assets</w:t>
      </w:r>
      <w:r>
        <w:rPr>
          <w:spacing w:val="-3"/>
          <w:w w:val="105"/>
        </w:rPr>
        <w:t> </w:t>
      </w:r>
      <w:r>
        <w:rPr>
          <w:w w:val="105"/>
        </w:rPr>
        <w:t>and</w:t>
      </w:r>
      <w:r>
        <w:rPr>
          <w:spacing w:val="-3"/>
          <w:w w:val="105"/>
        </w:rPr>
        <w:t> </w:t>
      </w:r>
      <w:r>
        <w:rPr>
          <w:w w:val="105"/>
        </w:rPr>
        <w:t>liabilities</w:t>
      </w:r>
      <w:r>
        <w:rPr>
          <w:spacing w:val="-3"/>
          <w:w w:val="105"/>
        </w:rPr>
        <w:t> </w:t>
      </w:r>
      <w:r>
        <w:rPr>
          <w:w w:val="105"/>
        </w:rPr>
        <w:t>may</w:t>
      </w:r>
      <w:r>
        <w:rPr>
          <w:spacing w:val="-3"/>
          <w:w w:val="105"/>
        </w:rPr>
        <w:t> </w:t>
      </w:r>
      <w:r>
        <w:rPr>
          <w:w w:val="105"/>
        </w:rPr>
        <w:t>include</w:t>
      </w:r>
      <w:r>
        <w:rPr>
          <w:spacing w:val="-1"/>
          <w:w w:val="105"/>
        </w:rPr>
        <w:t> </w:t>
      </w:r>
      <w:r>
        <w:rPr>
          <w:w w:val="105"/>
        </w:rPr>
        <w:t>interest</w:t>
      </w:r>
      <w:r>
        <w:rPr>
          <w:spacing w:val="-3"/>
          <w:w w:val="105"/>
        </w:rPr>
        <w:t> </w:t>
      </w:r>
      <w:r>
        <w:rPr>
          <w:w w:val="105"/>
        </w:rPr>
        <w:t>rate</w:t>
      </w:r>
      <w:r>
        <w:rPr>
          <w:spacing w:val="-3"/>
          <w:w w:val="105"/>
        </w:rPr>
        <w:t> </w:t>
      </w:r>
      <w:r>
        <w:rPr>
          <w:w w:val="105"/>
        </w:rPr>
        <w:t>swaps</w:t>
      </w:r>
      <w:r>
        <w:rPr>
          <w:spacing w:val="-3"/>
          <w:w w:val="105"/>
        </w:rPr>
        <w:t> </w:t>
      </w:r>
      <w:r>
        <w:rPr>
          <w:w w:val="105"/>
        </w:rPr>
        <w:t>and</w:t>
      </w:r>
      <w:r>
        <w:rPr>
          <w:spacing w:val="-3"/>
          <w:w w:val="105"/>
        </w:rPr>
        <w:t> </w:t>
      </w:r>
      <w:r>
        <w:rPr>
          <w:w w:val="105"/>
        </w:rPr>
        <w:t>forward</w:t>
      </w:r>
      <w:r>
        <w:rPr>
          <w:spacing w:val="-3"/>
          <w:w w:val="105"/>
        </w:rPr>
        <w:t> </w:t>
      </w:r>
      <w:r>
        <w:rPr>
          <w:w w:val="105"/>
        </w:rPr>
        <w:t>exchange</w:t>
      </w:r>
      <w:r>
        <w:rPr>
          <w:spacing w:val="-3"/>
          <w:w w:val="105"/>
        </w:rPr>
        <w:t> </w:t>
      </w:r>
      <w:r>
        <w:rPr>
          <w:w w:val="105"/>
        </w:rPr>
        <w:t>contracts</w:t>
      </w:r>
      <w:r>
        <w:rPr>
          <w:spacing w:val="-3"/>
          <w:w w:val="105"/>
        </w:rPr>
        <w:t> </w:t>
      </w:r>
      <w:r>
        <w:rPr>
          <w:w w:val="105"/>
        </w:rPr>
        <w:t>that</w:t>
      </w:r>
      <w:r>
        <w:rPr>
          <w:spacing w:val="-3"/>
          <w:w w:val="105"/>
        </w:rPr>
        <w:t> </w:t>
      </w:r>
      <w:r>
        <w:rPr>
          <w:w w:val="105"/>
        </w:rPr>
        <w:t>are</w:t>
      </w:r>
      <w:r>
        <w:rPr>
          <w:spacing w:val="-3"/>
          <w:w w:val="105"/>
        </w:rPr>
        <w:t> </w:t>
      </w:r>
      <w:r>
        <w:rPr>
          <w:w w:val="105"/>
        </w:rPr>
        <w:t>measured</w:t>
      </w:r>
      <w:r>
        <w:rPr>
          <w:spacing w:val="-3"/>
          <w:w w:val="105"/>
        </w:rPr>
        <w:t> </w:t>
      </w:r>
      <w:r>
        <w:rPr>
          <w:w w:val="105"/>
        </w:rPr>
        <w:t>using</w:t>
      </w:r>
      <w:r>
        <w:rPr>
          <w:spacing w:val="-3"/>
          <w:w w:val="105"/>
        </w:rPr>
        <w:t> </w:t>
      </w:r>
      <w:r>
        <w:rPr>
          <w:w w:val="105"/>
        </w:rPr>
        <w:t>observable</w:t>
      </w:r>
      <w:r>
        <w:rPr>
          <w:spacing w:val="-3"/>
          <w:w w:val="105"/>
        </w:rPr>
        <w:t> </w:t>
      </w:r>
      <w:r>
        <w:rPr>
          <w:w w:val="105"/>
        </w:rPr>
        <w:t>quoted</w:t>
      </w:r>
      <w:r>
        <w:rPr>
          <w:spacing w:val="-3"/>
          <w:w w:val="105"/>
        </w:rPr>
        <w:t> </w:t>
      </w:r>
      <w:r>
        <w:rPr>
          <w:w w:val="105"/>
        </w:rPr>
        <w:t>prices</w:t>
      </w:r>
      <w:r>
        <w:rPr>
          <w:spacing w:val="-3"/>
          <w:w w:val="105"/>
        </w:rPr>
        <w:t> </w:t>
      </w:r>
      <w:r>
        <w:rPr>
          <w:w w:val="105"/>
        </w:rPr>
        <w:t>for</w:t>
      </w:r>
      <w:r>
        <w:rPr>
          <w:spacing w:val="-3"/>
          <w:w w:val="105"/>
        </w:rPr>
        <w:t> </w:t>
      </w:r>
      <w:r>
        <w:rPr>
          <w:w w:val="105"/>
        </w:rPr>
        <w:t>similar</w:t>
      </w:r>
      <w:r>
        <w:rPr>
          <w:spacing w:val="-3"/>
          <w:w w:val="105"/>
        </w:rPr>
        <w:t> </w:t>
      </w:r>
      <w:r>
        <w:rPr>
          <w:w w:val="105"/>
        </w:rPr>
        <w:t>assets</w:t>
      </w:r>
      <w:r>
        <w:rPr>
          <w:spacing w:val="-3"/>
          <w:w w:val="105"/>
        </w:rPr>
        <w:t> </w:t>
      </w:r>
      <w:r>
        <w:rPr>
          <w:w w:val="105"/>
        </w:rPr>
        <w:t>and liabilities.</w:t>
      </w:r>
      <w:r>
        <w:rPr>
          <w:spacing w:val="39"/>
          <w:w w:val="105"/>
        </w:rPr>
        <w:t> </w:t>
      </w:r>
      <w:r>
        <w:rPr>
          <w:w w:val="105"/>
        </w:rPr>
        <w:t>Included</w:t>
      </w:r>
      <w:r>
        <w:rPr>
          <w:spacing w:val="-2"/>
          <w:w w:val="105"/>
        </w:rPr>
        <w:t> </w:t>
      </w:r>
      <w:r>
        <w:rPr>
          <w:w w:val="105"/>
        </w:rPr>
        <w:t>in</w:t>
      </w:r>
      <w:r>
        <w:rPr>
          <w:spacing w:val="-2"/>
          <w:w w:val="105"/>
        </w:rPr>
        <w:t> </w:t>
      </w:r>
      <w:r>
        <w:rPr>
          <w:w w:val="105"/>
        </w:rPr>
        <w:t>our</w:t>
      </w:r>
      <w:r>
        <w:rPr>
          <w:spacing w:val="-2"/>
          <w:w w:val="105"/>
        </w:rPr>
        <w:t> </w:t>
      </w:r>
      <w:r>
        <w:rPr>
          <w:w w:val="105"/>
        </w:rPr>
        <w:t>forward</w:t>
      </w:r>
      <w:r>
        <w:rPr>
          <w:spacing w:val="-2"/>
          <w:w w:val="105"/>
        </w:rPr>
        <w:t> </w:t>
      </w:r>
      <w:r>
        <w:rPr>
          <w:w w:val="105"/>
        </w:rPr>
        <w:t>exchange</w:t>
      </w:r>
      <w:r>
        <w:rPr>
          <w:spacing w:val="-2"/>
          <w:w w:val="105"/>
        </w:rPr>
        <w:t> </w:t>
      </w:r>
      <w:r>
        <w:rPr>
          <w:w w:val="105"/>
        </w:rPr>
        <w:t>contracts</w:t>
      </w:r>
      <w:r>
        <w:rPr>
          <w:spacing w:val="-2"/>
          <w:w w:val="105"/>
        </w:rPr>
        <w:t> </w:t>
      </w:r>
      <w:r>
        <w:rPr>
          <w:w w:val="105"/>
        </w:rPr>
        <w:t>are</w:t>
      </w:r>
      <w:r>
        <w:rPr>
          <w:spacing w:val="-2"/>
          <w:w w:val="105"/>
        </w:rPr>
        <w:t> </w:t>
      </w:r>
      <w:r>
        <w:rPr>
          <w:w w:val="105"/>
        </w:rPr>
        <w:t>foreign</w:t>
      </w:r>
      <w:r>
        <w:rPr>
          <w:spacing w:val="-2"/>
          <w:w w:val="105"/>
        </w:rPr>
        <w:t> </w:t>
      </w:r>
      <w:r>
        <w:rPr>
          <w:w w:val="105"/>
        </w:rPr>
        <w:t>currency</w:t>
      </w:r>
      <w:r>
        <w:rPr>
          <w:spacing w:val="-2"/>
          <w:w w:val="105"/>
        </w:rPr>
        <w:t> </w:t>
      </w:r>
      <w:r>
        <w:rPr>
          <w:w w:val="105"/>
        </w:rPr>
        <w:t>hedges</w:t>
      </w:r>
      <w:r>
        <w:rPr>
          <w:spacing w:val="-2"/>
          <w:w w:val="105"/>
        </w:rPr>
        <w:t> </w:t>
      </w:r>
      <w:r>
        <w:rPr>
          <w:w w:val="105"/>
        </w:rPr>
        <w:t>that</w:t>
      </w:r>
      <w:r>
        <w:rPr>
          <w:spacing w:val="-2"/>
          <w:w w:val="105"/>
        </w:rPr>
        <w:t> </w:t>
      </w:r>
      <w:r>
        <w:rPr>
          <w:w w:val="105"/>
        </w:rPr>
        <w:t>hedge</w:t>
      </w:r>
      <w:r>
        <w:rPr>
          <w:spacing w:val="-2"/>
          <w:w w:val="105"/>
        </w:rPr>
        <w:t> </w:t>
      </w:r>
      <w:r>
        <w:rPr>
          <w:w w:val="105"/>
        </w:rPr>
        <w:t>our</w:t>
      </w:r>
      <w:r>
        <w:rPr>
          <w:spacing w:val="-2"/>
          <w:w w:val="105"/>
        </w:rPr>
        <w:t> </w:t>
      </w:r>
      <w:r>
        <w:rPr>
          <w:w w:val="105"/>
        </w:rPr>
        <w:t>cash</w:t>
      </w:r>
      <w:r>
        <w:rPr>
          <w:spacing w:val="-2"/>
          <w:w w:val="105"/>
        </w:rPr>
        <w:t> </w:t>
      </w:r>
      <w:r>
        <w:rPr>
          <w:w w:val="105"/>
        </w:rPr>
        <w:t>flow</w:t>
      </w:r>
      <w:r>
        <w:rPr>
          <w:spacing w:val="-2"/>
          <w:w w:val="105"/>
        </w:rPr>
        <w:t> </w:t>
      </w:r>
      <w:r>
        <w:rPr>
          <w:w w:val="105"/>
        </w:rPr>
        <w:t>and</w:t>
      </w:r>
      <w:r>
        <w:rPr>
          <w:spacing w:val="-2"/>
          <w:w w:val="105"/>
        </w:rPr>
        <w:t> </w:t>
      </w:r>
      <w:r>
        <w:rPr>
          <w:w w:val="105"/>
        </w:rPr>
        <w:t>translation</w:t>
      </w:r>
      <w:r>
        <w:rPr>
          <w:spacing w:val="-2"/>
          <w:w w:val="105"/>
        </w:rPr>
        <w:t> </w:t>
      </w:r>
      <w:r>
        <w:rPr>
          <w:w w:val="105"/>
        </w:rPr>
        <w:t>exposure</w:t>
      </w:r>
      <w:r>
        <w:rPr>
          <w:spacing w:val="-2"/>
          <w:w w:val="105"/>
        </w:rPr>
        <w:t> </w:t>
      </w:r>
      <w:r>
        <w:rPr>
          <w:w w:val="105"/>
        </w:rPr>
        <w:t>resulting</w:t>
      </w:r>
      <w:r>
        <w:rPr>
          <w:spacing w:val="-2"/>
          <w:w w:val="105"/>
        </w:rPr>
        <w:t> </w:t>
      </w:r>
      <w:r>
        <w:rPr>
          <w:w w:val="105"/>
        </w:rPr>
        <w:t>from</w:t>
      </w:r>
      <w:r>
        <w:rPr>
          <w:spacing w:val="-2"/>
          <w:w w:val="105"/>
        </w:rPr>
        <w:t> </w:t>
      </w:r>
      <w:r>
        <w:rPr>
          <w:w w:val="105"/>
        </w:rPr>
        <w:t>movements</w:t>
      </w:r>
      <w:r>
        <w:rPr>
          <w:spacing w:val="-2"/>
          <w:w w:val="105"/>
        </w:rPr>
        <w:t> </w:t>
      </w:r>
      <w:r>
        <w:rPr>
          <w:w w:val="105"/>
        </w:rPr>
        <w:t>in</w:t>
      </w:r>
      <w:r>
        <w:rPr>
          <w:spacing w:val="-2"/>
          <w:w w:val="105"/>
        </w:rPr>
        <w:t> </w:t>
      </w:r>
      <w:r>
        <w:rPr>
          <w:w w:val="105"/>
        </w:rPr>
        <w:t>the Japanese</w:t>
      </w:r>
      <w:r>
        <w:rPr>
          <w:spacing w:val="-2"/>
          <w:w w:val="105"/>
        </w:rPr>
        <w:t> </w:t>
      </w:r>
      <w:r>
        <w:rPr>
          <w:w w:val="105"/>
        </w:rPr>
        <w:t>yen,</w:t>
      </w:r>
      <w:r>
        <w:rPr>
          <w:spacing w:val="-2"/>
          <w:w w:val="105"/>
        </w:rPr>
        <w:t> </w:t>
      </w:r>
      <w:r>
        <w:rPr>
          <w:w w:val="105"/>
        </w:rPr>
        <w:t>South</w:t>
      </w:r>
      <w:r>
        <w:rPr>
          <w:spacing w:val="-2"/>
          <w:w w:val="105"/>
        </w:rPr>
        <w:t> </w:t>
      </w:r>
      <w:r>
        <w:rPr>
          <w:w w:val="105"/>
        </w:rPr>
        <w:t>Korean</w:t>
      </w:r>
      <w:r>
        <w:rPr>
          <w:spacing w:val="-2"/>
          <w:w w:val="105"/>
        </w:rPr>
        <w:t> </w:t>
      </w:r>
      <w:r>
        <w:rPr>
          <w:w w:val="105"/>
        </w:rPr>
        <w:t>won,</w:t>
      </w:r>
      <w:r>
        <w:rPr>
          <w:spacing w:val="-2"/>
          <w:w w:val="105"/>
        </w:rPr>
        <w:t> </w:t>
      </w:r>
      <w:r>
        <w:rPr>
          <w:w w:val="105"/>
        </w:rPr>
        <w:t>euro,</w:t>
      </w:r>
      <w:r>
        <w:rPr>
          <w:spacing w:val="-2"/>
          <w:w w:val="105"/>
        </w:rPr>
        <w:t> </w:t>
      </w:r>
      <w:r>
        <w:rPr>
          <w:w w:val="105"/>
        </w:rPr>
        <w:t>new</w:t>
      </w:r>
      <w:r>
        <w:rPr>
          <w:spacing w:val="-2"/>
          <w:w w:val="105"/>
        </w:rPr>
        <w:t> </w:t>
      </w:r>
      <w:r>
        <w:rPr>
          <w:w w:val="105"/>
        </w:rPr>
        <w:t>Taiwan</w:t>
      </w:r>
      <w:r>
        <w:rPr>
          <w:spacing w:val="-2"/>
          <w:w w:val="105"/>
        </w:rPr>
        <w:t> </w:t>
      </w:r>
      <w:r>
        <w:rPr>
          <w:w w:val="105"/>
        </w:rPr>
        <w:t>dollar,</w:t>
      </w:r>
      <w:r>
        <w:rPr>
          <w:spacing w:val="-2"/>
          <w:w w:val="105"/>
        </w:rPr>
        <w:t> </w:t>
      </w:r>
      <w:r>
        <w:rPr>
          <w:w w:val="105"/>
        </w:rPr>
        <w:t>Chinese</w:t>
      </w:r>
      <w:r>
        <w:rPr>
          <w:spacing w:val="-2"/>
          <w:w w:val="105"/>
        </w:rPr>
        <w:t> </w:t>
      </w:r>
      <w:r>
        <w:rPr>
          <w:w w:val="105"/>
        </w:rPr>
        <w:t>yuan</w:t>
      </w:r>
      <w:r>
        <w:rPr>
          <w:spacing w:val="-2"/>
          <w:w w:val="105"/>
        </w:rPr>
        <w:t> </w:t>
      </w:r>
      <w:r>
        <w:rPr>
          <w:w w:val="105"/>
        </w:rPr>
        <w:t>and</w:t>
      </w:r>
      <w:r>
        <w:rPr>
          <w:spacing w:val="-2"/>
          <w:w w:val="105"/>
        </w:rPr>
        <w:t> </w:t>
      </w:r>
      <w:r>
        <w:rPr>
          <w:w w:val="105"/>
        </w:rPr>
        <w:t>British</w:t>
      </w:r>
      <w:r>
        <w:rPr>
          <w:spacing w:val="-2"/>
          <w:w w:val="105"/>
        </w:rPr>
        <w:t> </w:t>
      </w:r>
      <w:r>
        <w:rPr>
          <w:w w:val="105"/>
        </w:rPr>
        <w:t>pound.</w:t>
      </w:r>
      <w:r>
        <w:rPr>
          <w:spacing w:val="39"/>
          <w:w w:val="105"/>
        </w:rPr>
        <w:t> </w:t>
      </w:r>
      <w:r>
        <w:rPr>
          <w:w w:val="105"/>
        </w:rPr>
        <w:t>Changes</w:t>
      </w:r>
      <w:r>
        <w:rPr>
          <w:spacing w:val="-2"/>
          <w:w w:val="105"/>
        </w:rPr>
        <w:t> </w:t>
      </w:r>
      <w:r>
        <w:rPr>
          <w:w w:val="105"/>
        </w:rPr>
        <w:t>in</w:t>
      </w:r>
      <w:r>
        <w:rPr>
          <w:spacing w:val="-2"/>
          <w:w w:val="105"/>
        </w:rPr>
        <w:t> </w:t>
      </w:r>
      <w:r>
        <w:rPr>
          <w:w w:val="105"/>
        </w:rPr>
        <w:t>the fair</w:t>
      </w:r>
      <w:r>
        <w:rPr>
          <w:spacing w:val="-2"/>
          <w:w w:val="105"/>
        </w:rPr>
        <w:t> </w:t>
      </w:r>
      <w:r>
        <w:rPr>
          <w:w w:val="105"/>
        </w:rPr>
        <w:t>value</w:t>
      </w:r>
      <w:r>
        <w:rPr>
          <w:spacing w:val="-2"/>
          <w:w w:val="105"/>
        </w:rPr>
        <w:t> </w:t>
      </w:r>
      <w:r>
        <w:rPr>
          <w:w w:val="105"/>
        </w:rPr>
        <w:t>of</w:t>
      </w:r>
      <w:r>
        <w:rPr>
          <w:spacing w:val="-2"/>
          <w:w w:val="105"/>
        </w:rPr>
        <w:t> </w:t>
      </w:r>
      <w:r>
        <w:rPr>
          <w:w w:val="105"/>
        </w:rPr>
        <w:t>contracts</w:t>
      </w:r>
      <w:r>
        <w:rPr>
          <w:spacing w:val="-2"/>
          <w:w w:val="105"/>
        </w:rPr>
        <w:t> </w:t>
      </w:r>
      <w:r>
        <w:rPr>
          <w:w w:val="105"/>
        </w:rPr>
        <w:t>designated</w:t>
      </w:r>
      <w:r>
        <w:rPr>
          <w:spacing w:val="-2"/>
          <w:w w:val="105"/>
        </w:rPr>
        <w:t> </w:t>
      </w:r>
      <w:r>
        <w:rPr>
          <w:w w:val="105"/>
        </w:rPr>
        <w:t>as</w:t>
      </w:r>
      <w:r>
        <w:rPr>
          <w:spacing w:val="-2"/>
          <w:w w:val="105"/>
        </w:rPr>
        <w:t> </w:t>
      </w:r>
      <w:r>
        <w:rPr>
          <w:w w:val="105"/>
        </w:rPr>
        <w:t>cash</w:t>
      </w:r>
      <w:r>
        <w:rPr>
          <w:spacing w:val="-2"/>
          <w:w w:val="105"/>
        </w:rPr>
        <w:t> </w:t>
      </w:r>
      <w:r>
        <w:rPr>
          <w:w w:val="105"/>
        </w:rPr>
        <w:t>flow</w:t>
      </w:r>
      <w:r>
        <w:rPr>
          <w:spacing w:val="-2"/>
          <w:w w:val="105"/>
        </w:rPr>
        <w:t> </w:t>
      </w:r>
      <w:r>
        <w:rPr>
          <w:w w:val="105"/>
        </w:rPr>
        <w:t>hedges</w:t>
      </w:r>
      <w:r>
        <w:rPr>
          <w:spacing w:val="-2"/>
          <w:w w:val="105"/>
        </w:rPr>
        <w:t> </w:t>
      </w:r>
      <w:r>
        <w:rPr>
          <w:w w:val="105"/>
        </w:rPr>
        <w:t>are recorded</w:t>
      </w:r>
      <w:r>
        <w:rPr>
          <w:spacing w:val="-2"/>
          <w:w w:val="105"/>
        </w:rPr>
        <w:t> </w:t>
      </w:r>
      <w:r>
        <w:rPr>
          <w:w w:val="105"/>
        </w:rPr>
        <w:t>in</w:t>
      </w:r>
      <w:r>
        <w:rPr>
          <w:spacing w:val="-2"/>
          <w:w w:val="105"/>
        </w:rPr>
        <w:t> </w:t>
      </w:r>
      <w:r>
        <w:rPr>
          <w:w w:val="105"/>
        </w:rPr>
        <w:t>accumulated</w:t>
      </w:r>
      <w:r>
        <w:rPr>
          <w:spacing w:val="-2"/>
          <w:w w:val="105"/>
        </w:rPr>
        <w:t> </w:t>
      </w:r>
      <w:r>
        <w:rPr>
          <w:w w:val="105"/>
        </w:rPr>
        <w:t>other</w:t>
      </w:r>
      <w:r>
        <w:rPr>
          <w:spacing w:val="-2"/>
          <w:w w:val="105"/>
        </w:rPr>
        <w:t> </w:t>
      </w:r>
      <w:r>
        <w:rPr>
          <w:w w:val="105"/>
        </w:rPr>
        <w:t>comprehensive</w:t>
      </w:r>
      <w:r>
        <w:rPr>
          <w:spacing w:val="-2"/>
          <w:w w:val="105"/>
        </w:rPr>
        <w:t> </w:t>
      </w:r>
      <w:r>
        <w:rPr>
          <w:w w:val="105"/>
        </w:rPr>
        <w:t>loss in</w:t>
      </w:r>
      <w:r>
        <w:rPr>
          <w:spacing w:val="-2"/>
          <w:w w:val="105"/>
        </w:rPr>
        <w:t> </w:t>
      </w:r>
      <w:r>
        <w:rPr>
          <w:w w:val="105"/>
        </w:rPr>
        <w:t>shareholders’</w:t>
      </w:r>
      <w:r>
        <w:rPr>
          <w:spacing w:val="-2"/>
          <w:w w:val="105"/>
        </w:rPr>
        <w:t> </w:t>
      </w:r>
      <w:r>
        <w:rPr>
          <w:w w:val="105"/>
        </w:rPr>
        <w:t>equity</w:t>
      </w:r>
      <w:r>
        <w:rPr>
          <w:spacing w:val="-2"/>
          <w:w w:val="105"/>
        </w:rPr>
        <w:t> </w:t>
      </w:r>
      <w:r>
        <w:rPr>
          <w:w w:val="105"/>
        </w:rPr>
        <w:t>and</w:t>
      </w:r>
      <w:r>
        <w:rPr>
          <w:spacing w:val="-2"/>
          <w:w w:val="105"/>
        </w:rPr>
        <w:t> </w:t>
      </w:r>
      <w:r>
        <w:rPr>
          <w:w w:val="105"/>
        </w:rPr>
        <w:t>reclassified</w:t>
      </w:r>
      <w:r>
        <w:rPr>
          <w:spacing w:val="-2"/>
          <w:w w:val="105"/>
        </w:rPr>
        <w:t> </w:t>
      </w:r>
      <w:r>
        <w:rPr>
          <w:w w:val="105"/>
        </w:rPr>
        <w:t>into</w:t>
      </w:r>
      <w:r>
        <w:rPr>
          <w:spacing w:val="-2"/>
          <w:w w:val="105"/>
        </w:rPr>
        <w:t> </w:t>
      </w:r>
      <w:r>
        <w:rPr>
          <w:w w:val="105"/>
        </w:rPr>
        <w:t>income</w:t>
      </w:r>
      <w:r>
        <w:rPr>
          <w:spacing w:val="-2"/>
          <w:w w:val="105"/>
        </w:rPr>
        <w:t> </w:t>
      </w:r>
      <w:r>
        <w:rPr>
          <w:w w:val="105"/>
        </w:rPr>
        <w:t>when</w:t>
      </w:r>
      <w:r>
        <w:rPr>
          <w:spacing w:val="-2"/>
          <w:w w:val="105"/>
        </w:rPr>
        <w:t> </w:t>
      </w:r>
      <w:r>
        <w:rPr>
          <w:w w:val="105"/>
        </w:rPr>
        <w:t>the</w:t>
      </w:r>
      <w:r>
        <w:rPr>
          <w:spacing w:val="-2"/>
          <w:w w:val="105"/>
        </w:rPr>
        <w:t> </w:t>
      </w:r>
      <w:r>
        <w:rPr>
          <w:w w:val="105"/>
        </w:rPr>
        <w:t>underlying</w:t>
      </w:r>
      <w:r>
        <w:rPr>
          <w:spacing w:val="-2"/>
          <w:w w:val="105"/>
        </w:rPr>
        <w:t> </w:t>
      </w:r>
      <w:r>
        <w:rPr>
          <w:w w:val="105"/>
        </w:rPr>
        <w:t>hedged</w:t>
      </w:r>
      <w:r>
        <w:rPr>
          <w:spacing w:val="-2"/>
          <w:w w:val="105"/>
        </w:rPr>
        <w:t> </w:t>
      </w:r>
      <w:r>
        <w:rPr>
          <w:w w:val="105"/>
        </w:rPr>
        <w:t>item impacts</w:t>
      </w:r>
      <w:r>
        <w:rPr>
          <w:spacing w:val="-2"/>
          <w:w w:val="105"/>
        </w:rPr>
        <w:t> </w:t>
      </w:r>
      <w:r>
        <w:rPr>
          <w:w w:val="105"/>
        </w:rPr>
        <w:t>earnings.</w:t>
      </w:r>
      <w:r>
        <w:rPr>
          <w:spacing w:val="39"/>
          <w:w w:val="105"/>
        </w:rPr>
        <w:t> </w:t>
      </w:r>
      <w:r>
        <w:rPr>
          <w:w w:val="105"/>
        </w:rPr>
        <w:t>For</w:t>
      </w:r>
      <w:r>
        <w:rPr>
          <w:spacing w:val="-2"/>
          <w:w w:val="105"/>
        </w:rPr>
        <w:t> </w:t>
      </w:r>
      <w:r>
        <w:rPr>
          <w:w w:val="105"/>
        </w:rPr>
        <w:t>contracts</w:t>
      </w:r>
      <w:r>
        <w:rPr>
          <w:w w:val="105"/>
        </w:rPr>
        <w:t> that</w:t>
      </w:r>
      <w:r>
        <w:rPr>
          <w:spacing w:val="-2"/>
          <w:w w:val="105"/>
        </w:rPr>
        <w:t> </w:t>
      </w:r>
      <w:r>
        <w:rPr>
          <w:w w:val="105"/>
        </w:rPr>
        <w:t>are</w:t>
      </w:r>
      <w:r>
        <w:rPr>
          <w:spacing w:val="-2"/>
          <w:w w:val="105"/>
        </w:rPr>
        <w:t> </w:t>
      </w:r>
      <w:r>
        <w:rPr>
          <w:w w:val="105"/>
        </w:rPr>
        <w:t>not</w:t>
      </w:r>
      <w:r>
        <w:rPr>
          <w:spacing w:val="-2"/>
          <w:w w:val="105"/>
        </w:rPr>
        <w:t> </w:t>
      </w:r>
      <w:r>
        <w:rPr>
          <w:w w:val="105"/>
        </w:rPr>
        <w:t>designated as</w:t>
      </w:r>
      <w:r>
        <w:rPr>
          <w:spacing w:val="-2"/>
          <w:w w:val="105"/>
        </w:rPr>
        <w:t> </w:t>
      </w:r>
      <w:r>
        <w:rPr>
          <w:w w:val="105"/>
        </w:rPr>
        <w:t>accounting</w:t>
      </w:r>
      <w:r>
        <w:rPr>
          <w:spacing w:val="-2"/>
          <w:w w:val="105"/>
        </w:rPr>
        <w:t> </w:t>
      </w:r>
      <w:r>
        <w:rPr>
          <w:w w:val="105"/>
        </w:rPr>
        <w:t>hedges,</w:t>
      </w:r>
      <w:r>
        <w:rPr>
          <w:spacing w:val="-2"/>
          <w:w w:val="105"/>
        </w:rPr>
        <w:t> </w:t>
      </w:r>
      <w:r>
        <w:rPr>
          <w:w w:val="105"/>
        </w:rPr>
        <w:t>changes</w:t>
      </w:r>
      <w:r>
        <w:rPr>
          <w:spacing w:val="-2"/>
          <w:w w:val="105"/>
        </w:rPr>
        <w:t> </w:t>
      </w:r>
      <w:r>
        <w:rPr>
          <w:w w:val="105"/>
        </w:rPr>
        <w:t>in</w:t>
      </w:r>
      <w:r>
        <w:rPr>
          <w:spacing w:val="-2"/>
          <w:w w:val="105"/>
        </w:rPr>
        <w:t> </w:t>
      </w:r>
      <w:r>
        <w:rPr>
          <w:w w:val="105"/>
        </w:rPr>
        <w:t>fair</w:t>
      </w:r>
      <w:r>
        <w:rPr>
          <w:spacing w:val="-2"/>
          <w:w w:val="105"/>
        </w:rPr>
        <w:t> </w:t>
      </w:r>
      <w:r>
        <w:rPr>
          <w:w w:val="105"/>
        </w:rPr>
        <w:t>value</w:t>
      </w:r>
      <w:r>
        <w:rPr>
          <w:spacing w:val="-2"/>
          <w:w w:val="105"/>
        </w:rPr>
        <w:t> </w:t>
      </w:r>
      <w:r>
        <w:rPr>
          <w:w w:val="105"/>
        </w:rPr>
        <w:t>are</w:t>
      </w:r>
      <w:r>
        <w:rPr>
          <w:spacing w:val="-2"/>
          <w:w w:val="105"/>
        </w:rPr>
        <w:t> </w:t>
      </w:r>
      <w:r>
        <w:rPr>
          <w:w w:val="105"/>
        </w:rPr>
        <w:t>recorded</w:t>
      </w:r>
      <w:r>
        <w:rPr>
          <w:spacing w:val="-2"/>
          <w:w w:val="105"/>
        </w:rPr>
        <w:t> </w:t>
      </w:r>
      <w:r>
        <w:rPr>
          <w:w w:val="105"/>
        </w:rPr>
        <w:t>in</w:t>
      </w:r>
      <w:r>
        <w:rPr>
          <w:spacing w:val="-2"/>
          <w:w w:val="105"/>
        </w:rPr>
        <w:t> </w:t>
      </w:r>
      <w:r>
        <w:rPr>
          <w:w w:val="105"/>
        </w:rPr>
        <w:t>earnings</w:t>
      </w:r>
      <w:r>
        <w:rPr>
          <w:spacing w:val="-2"/>
          <w:w w:val="105"/>
        </w:rPr>
        <w:t> </w:t>
      </w:r>
      <w:r>
        <w:rPr>
          <w:w w:val="105"/>
        </w:rPr>
        <w:t>in</w:t>
      </w:r>
      <w:r>
        <w:rPr>
          <w:spacing w:val="-2"/>
          <w:w w:val="105"/>
        </w:rPr>
        <w:t> </w:t>
      </w:r>
      <w:r>
        <w:rPr>
          <w:w w:val="105"/>
        </w:rPr>
        <w:t>the</w:t>
      </w:r>
      <w:r>
        <w:rPr>
          <w:spacing w:val="-2"/>
          <w:w w:val="105"/>
        </w:rPr>
        <w:t> </w:t>
      </w:r>
      <w:r>
        <w:rPr>
          <w:w w:val="105"/>
        </w:rPr>
        <w:t>translated</w:t>
      </w:r>
      <w:r>
        <w:rPr>
          <w:spacing w:val="-2"/>
          <w:w w:val="105"/>
        </w:rPr>
        <w:t> </w:t>
      </w:r>
      <w:r>
        <w:rPr>
          <w:w w:val="105"/>
        </w:rPr>
        <w:t>earnings</w:t>
      </w:r>
      <w:r>
        <w:rPr>
          <w:spacing w:val="-2"/>
          <w:w w:val="105"/>
        </w:rPr>
        <w:t> </w:t>
      </w:r>
      <w:r>
        <w:rPr>
          <w:w w:val="105"/>
        </w:rPr>
        <w:t>contract</w:t>
      </w:r>
      <w:r>
        <w:rPr>
          <w:spacing w:val="-2"/>
          <w:w w:val="105"/>
        </w:rPr>
        <w:t> </w:t>
      </w:r>
      <w:r>
        <w:rPr>
          <w:w w:val="105"/>
        </w:rPr>
        <w:t>gain</w:t>
      </w:r>
      <w:r>
        <w:rPr>
          <w:spacing w:val="-2"/>
          <w:w w:val="105"/>
        </w:rPr>
        <w:t> </w:t>
      </w:r>
      <w:r>
        <w:rPr>
          <w:w w:val="105"/>
        </w:rPr>
        <w:t>(loss),</w:t>
      </w:r>
      <w:r>
        <w:rPr>
          <w:spacing w:val="-2"/>
          <w:w w:val="105"/>
        </w:rPr>
        <w:t> </w:t>
      </w:r>
      <w:r>
        <w:rPr>
          <w:w w:val="105"/>
        </w:rPr>
        <w:t>net</w:t>
      </w:r>
      <w:r>
        <w:rPr>
          <w:spacing w:val="-2"/>
          <w:w w:val="105"/>
        </w:rPr>
        <w:t> </w:t>
      </w:r>
      <w:r>
        <w:rPr>
          <w:w w:val="105"/>
        </w:rPr>
        <w:t>line</w:t>
      </w:r>
      <w:r>
        <w:rPr>
          <w:spacing w:val="-2"/>
          <w:w w:val="105"/>
        </w:rPr>
        <w:t> </w:t>
      </w:r>
      <w:r>
        <w:rPr>
          <w:w w:val="105"/>
        </w:rPr>
        <w:t>of</w:t>
      </w:r>
      <w:r>
        <w:rPr>
          <w:spacing w:val="-2"/>
          <w:w w:val="105"/>
        </w:rPr>
        <w:t> </w:t>
      </w:r>
      <w:r>
        <w:rPr>
          <w:w w:val="105"/>
        </w:rPr>
        <w:t>the consolidated statements</w:t>
      </w:r>
      <w:r>
        <w:rPr>
          <w:spacing w:val="-8"/>
          <w:w w:val="105"/>
        </w:rPr>
        <w:t> </w:t>
      </w:r>
      <w:r>
        <w:rPr>
          <w:w w:val="105"/>
        </w:rPr>
        <w:t>of</w:t>
      </w:r>
      <w:r>
        <w:rPr>
          <w:spacing w:val="-8"/>
          <w:w w:val="105"/>
        </w:rPr>
        <w:t> </w:t>
      </w:r>
      <w:r>
        <w:rPr>
          <w:w w:val="105"/>
        </w:rPr>
        <w:t>income.</w:t>
      </w:r>
      <w:r>
        <w:rPr>
          <w:spacing w:val="28"/>
          <w:w w:val="105"/>
        </w:rPr>
        <w:t> </w:t>
      </w:r>
      <w:r>
        <w:rPr>
          <w:w w:val="105"/>
        </w:rPr>
        <w:t>In</w:t>
      </w:r>
      <w:r>
        <w:rPr>
          <w:spacing w:val="-8"/>
          <w:w w:val="105"/>
        </w:rPr>
        <w:t> </w:t>
      </w:r>
      <w:r>
        <w:rPr>
          <w:w w:val="105"/>
        </w:rPr>
        <w:t>arriving</w:t>
      </w:r>
      <w:r>
        <w:rPr>
          <w:spacing w:val="-8"/>
          <w:w w:val="105"/>
        </w:rPr>
        <w:t> </w:t>
      </w:r>
      <w:r>
        <w:rPr>
          <w:w w:val="105"/>
        </w:rPr>
        <w:t>at</w:t>
      </w:r>
      <w:r>
        <w:rPr>
          <w:spacing w:val="-8"/>
          <w:w w:val="105"/>
        </w:rPr>
        <w:t> </w:t>
      </w:r>
      <w:r>
        <w:rPr>
          <w:w w:val="105"/>
        </w:rPr>
        <w:t>the</w:t>
      </w:r>
      <w:r>
        <w:rPr>
          <w:spacing w:val="-8"/>
          <w:w w:val="105"/>
        </w:rPr>
        <w:t> </w:t>
      </w:r>
      <w:r>
        <w:rPr>
          <w:w w:val="105"/>
        </w:rPr>
        <w:t>fair</w:t>
      </w:r>
      <w:r>
        <w:rPr>
          <w:spacing w:val="-8"/>
          <w:w w:val="105"/>
        </w:rPr>
        <w:t> </w:t>
      </w:r>
      <w:r>
        <w:rPr>
          <w:w w:val="105"/>
        </w:rPr>
        <w:t>value</w:t>
      </w:r>
      <w:r>
        <w:rPr>
          <w:spacing w:val="-8"/>
          <w:w w:val="105"/>
        </w:rPr>
        <w:t> </w:t>
      </w:r>
      <w:r>
        <w:rPr>
          <w:w w:val="105"/>
        </w:rPr>
        <w:t>of</w:t>
      </w:r>
      <w:r>
        <w:rPr>
          <w:spacing w:val="-8"/>
          <w:w w:val="105"/>
        </w:rPr>
        <w:t> </w:t>
      </w:r>
      <w:r>
        <w:rPr>
          <w:w w:val="105"/>
        </w:rPr>
        <w:t>Corning’s</w:t>
      </w:r>
      <w:r>
        <w:rPr>
          <w:spacing w:val="-8"/>
          <w:w w:val="105"/>
        </w:rPr>
        <w:t> </w:t>
      </w:r>
      <w:r>
        <w:rPr>
          <w:w w:val="105"/>
        </w:rPr>
        <w:t>derivative</w:t>
      </w:r>
      <w:r>
        <w:rPr>
          <w:spacing w:val="-8"/>
          <w:w w:val="105"/>
        </w:rPr>
        <w:t> </w:t>
      </w:r>
      <w:r>
        <w:rPr>
          <w:w w:val="105"/>
        </w:rPr>
        <w:t>assets</w:t>
      </w:r>
      <w:r>
        <w:rPr>
          <w:spacing w:val="-8"/>
          <w:w w:val="105"/>
        </w:rPr>
        <w:t> </w:t>
      </w:r>
      <w:r>
        <w:rPr>
          <w:w w:val="105"/>
        </w:rPr>
        <w:t>and</w:t>
      </w:r>
      <w:r>
        <w:rPr>
          <w:spacing w:val="-8"/>
          <w:w w:val="105"/>
        </w:rPr>
        <w:t> </w:t>
      </w:r>
      <w:r>
        <w:rPr>
          <w:w w:val="105"/>
        </w:rPr>
        <w:t>liabilities,</w:t>
      </w:r>
      <w:r>
        <w:rPr>
          <w:spacing w:val="-8"/>
          <w:w w:val="105"/>
        </w:rPr>
        <w:t> </w:t>
      </w:r>
      <w:r>
        <w:rPr>
          <w:w w:val="105"/>
        </w:rPr>
        <w:t>we</w:t>
      </w:r>
      <w:r>
        <w:rPr>
          <w:spacing w:val="-8"/>
          <w:w w:val="105"/>
        </w:rPr>
        <w:t> </w:t>
      </w:r>
      <w:r>
        <w:rPr>
          <w:w w:val="105"/>
        </w:rPr>
        <w:t>have</w:t>
      </w:r>
      <w:r>
        <w:rPr>
          <w:spacing w:val="-8"/>
          <w:w w:val="105"/>
        </w:rPr>
        <w:t> </w:t>
      </w:r>
      <w:r>
        <w:rPr>
          <w:w w:val="105"/>
        </w:rPr>
        <w:t>considered</w:t>
      </w:r>
      <w:r>
        <w:rPr>
          <w:spacing w:val="-8"/>
          <w:w w:val="105"/>
        </w:rPr>
        <w:t> </w:t>
      </w:r>
      <w:r>
        <w:rPr>
          <w:w w:val="105"/>
        </w:rPr>
        <w:t>the</w:t>
      </w:r>
      <w:r>
        <w:rPr>
          <w:spacing w:val="-8"/>
          <w:w w:val="105"/>
        </w:rPr>
        <w:t> </w:t>
      </w:r>
      <w:r>
        <w:rPr>
          <w:w w:val="105"/>
        </w:rPr>
        <w:t>appropriate</w:t>
      </w:r>
      <w:r>
        <w:rPr>
          <w:spacing w:val="-8"/>
          <w:w w:val="105"/>
        </w:rPr>
        <w:t> </w:t>
      </w:r>
      <w:r>
        <w:rPr>
          <w:w w:val="105"/>
        </w:rPr>
        <w:t>valuation</w:t>
      </w:r>
      <w:r>
        <w:rPr>
          <w:spacing w:val="-8"/>
          <w:w w:val="105"/>
        </w:rPr>
        <w:t> </w:t>
      </w:r>
      <w:r>
        <w:rPr>
          <w:w w:val="105"/>
        </w:rPr>
        <w:t>and</w:t>
      </w:r>
      <w:r>
        <w:rPr>
          <w:spacing w:val="-8"/>
          <w:w w:val="105"/>
        </w:rPr>
        <w:t> </w:t>
      </w:r>
      <w:r>
        <w:rPr>
          <w:w w:val="105"/>
        </w:rPr>
        <w:t>risk</w:t>
      </w:r>
      <w:r>
        <w:rPr>
          <w:spacing w:val="-8"/>
          <w:w w:val="105"/>
        </w:rPr>
        <w:t> </w:t>
      </w:r>
      <w:r>
        <w:rPr>
          <w:w w:val="105"/>
        </w:rPr>
        <w:t>criteria,</w:t>
      </w:r>
      <w:r>
        <w:rPr>
          <w:spacing w:val="-8"/>
          <w:w w:val="105"/>
        </w:rPr>
        <w:t> </w:t>
      </w:r>
      <w:r>
        <w:rPr>
          <w:w w:val="105"/>
        </w:rPr>
        <w:t>including</w:t>
      </w:r>
      <w:r>
        <w:rPr>
          <w:spacing w:val="-8"/>
          <w:w w:val="105"/>
        </w:rPr>
        <w:t> </w:t>
      </w:r>
      <w:r>
        <w:rPr>
          <w:w w:val="105"/>
        </w:rPr>
        <w:t>such factors as credit risk of the relevant party to the transaction.</w:t>
      </w:r>
      <w:r>
        <w:rPr>
          <w:spacing w:val="40"/>
          <w:w w:val="105"/>
        </w:rPr>
        <w:t> </w:t>
      </w:r>
      <w:r>
        <w:rPr>
          <w:w w:val="105"/>
        </w:rPr>
        <w:t>Amounts related to credit risk are not material.</w:t>
      </w:r>
    </w:p>
    <w:p>
      <w:pPr>
        <w:pStyle w:val="BodyText"/>
        <w:spacing w:before="17"/>
      </w:pPr>
    </w:p>
    <w:p>
      <w:pPr>
        <w:pStyle w:val="BodyText"/>
        <w:ind w:left="156"/>
      </w:pPr>
      <w:r>
        <w:rPr>
          <w:w w:val="105"/>
        </w:rPr>
        <w:t>Refer</w:t>
      </w:r>
      <w:r>
        <w:rPr>
          <w:spacing w:val="-10"/>
          <w:w w:val="105"/>
        </w:rPr>
        <w:t> </w:t>
      </w:r>
      <w:r>
        <w:rPr>
          <w:w w:val="105"/>
        </w:rPr>
        <w:t>to</w:t>
      </w:r>
      <w:r>
        <w:rPr>
          <w:spacing w:val="-9"/>
          <w:w w:val="105"/>
        </w:rPr>
        <w:t> </w:t>
      </w:r>
      <w:r>
        <w:rPr>
          <w:w w:val="105"/>
        </w:rPr>
        <w:t>Note</w:t>
      </w:r>
      <w:r>
        <w:rPr>
          <w:spacing w:val="-9"/>
          <w:w w:val="105"/>
        </w:rPr>
        <w:t> </w:t>
      </w:r>
      <w:r>
        <w:rPr>
          <w:w w:val="105"/>
        </w:rPr>
        <w:t>16</w:t>
      </w:r>
      <w:r>
        <w:rPr>
          <w:spacing w:val="-9"/>
          <w:w w:val="105"/>
        </w:rPr>
        <w:t> </w:t>
      </w:r>
      <w:r>
        <w:rPr>
          <w:w w:val="105"/>
        </w:rPr>
        <w:t>(Fair</w:t>
      </w:r>
      <w:r>
        <w:rPr>
          <w:spacing w:val="-9"/>
          <w:w w:val="105"/>
        </w:rPr>
        <w:t> </w:t>
      </w:r>
      <w:r>
        <w:rPr>
          <w:w w:val="105"/>
        </w:rPr>
        <w:t>Value</w:t>
      </w:r>
      <w:r>
        <w:rPr>
          <w:spacing w:val="-10"/>
          <w:w w:val="105"/>
        </w:rPr>
        <w:t> </w:t>
      </w:r>
      <w:r>
        <w:rPr>
          <w:w w:val="105"/>
        </w:rPr>
        <w:t>Measurements)</w:t>
      </w:r>
      <w:r>
        <w:rPr>
          <w:spacing w:val="-9"/>
          <w:w w:val="105"/>
        </w:rPr>
        <w:t> </w:t>
      </w:r>
      <w:r>
        <w:rPr>
          <w:w w:val="105"/>
        </w:rPr>
        <w:t>to</w:t>
      </w:r>
      <w:r>
        <w:rPr>
          <w:spacing w:val="-9"/>
          <w:w w:val="105"/>
        </w:rPr>
        <w:t> </w:t>
      </w:r>
      <w:r>
        <w:rPr>
          <w:w w:val="105"/>
        </w:rPr>
        <w:t>the</w:t>
      </w:r>
      <w:r>
        <w:rPr>
          <w:spacing w:val="-9"/>
          <w:w w:val="105"/>
        </w:rPr>
        <w:t> </w:t>
      </w:r>
      <w:r>
        <w:rPr>
          <w:w w:val="105"/>
        </w:rPr>
        <w:t>consolidated</w:t>
      </w:r>
      <w:r>
        <w:rPr>
          <w:spacing w:val="-9"/>
          <w:w w:val="105"/>
        </w:rPr>
        <w:t> </w:t>
      </w:r>
      <w:r>
        <w:rPr>
          <w:w w:val="105"/>
        </w:rPr>
        <w:t>financial</w:t>
      </w:r>
      <w:r>
        <w:rPr>
          <w:spacing w:val="-9"/>
          <w:w w:val="105"/>
        </w:rPr>
        <w:t> </w:t>
      </w:r>
      <w:r>
        <w:rPr>
          <w:w w:val="105"/>
        </w:rPr>
        <w:t>statements</w:t>
      </w:r>
      <w:r>
        <w:rPr>
          <w:spacing w:val="-10"/>
          <w:w w:val="105"/>
        </w:rPr>
        <w:t> </w:t>
      </w:r>
      <w:r>
        <w:rPr>
          <w:w w:val="105"/>
        </w:rPr>
        <w:t>for</w:t>
      </w:r>
      <w:r>
        <w:rPr>
          <w:spacing w:val="-9"/>
          <w:w w:val="105"/>
        </w:rPr>
        <w:t> </w:t>
      </w:r>
      <w:r>
        <w:rPr>
          <w:w w:val="105"/>
        </w:rPr>
        <w:t>additional</w:t>
      </w:r>
      <w:r>
        <w:rPr>
          <w:spacing w:val="-9"/>
          <w:w w:val="105"/>
        </w:rPr>
        <w:t> </w:t>
      </w:r>
      <w:r>
        <w:rPr>
          <w:spacing w:val="-2"/>
          <w:w w:val="105"/>
        </w:rPr>
        <w:t>information.</w:t>
      </w:r>
    </w:p>
    <w:p>
      <w:pPr>
        <w:pStyle w:val="BodyText"/>
        <w:spacing w:before="39"/>
      </w:pPr>
    </w:p>
    <w:p>
      <w:pPr>
        <w:pStyle w:val="Heading3"/>
        <w:spacing w:before="1"/>
      </w:pPr>
      <w:r>
        <w:rPr/>
        <w:t>Probability</w:t>
      </w:r>
      <w:r>
        <w:rPr>
          <w:spacing w:val="12"/>
        </w:rPr>
        <w:t> </w:t>
      </w:r>
      <w:r>
        <w:rPr/>
        <w:t>of</w:t>
      </w:r>
      <w:r>
        <w:rPr>
          <w:spacing w:val="13"/>
        </w:rPr>
        <w:t> </w:t>
      </w:r>
      <w:r>
        <w:rPr/>
        <w:t>litigation</w:t>
      </w:r>
      <w:r>
        <w:rPr>
          <w:spacing w:val="12"/>
        </w:rPr>
        <w:t> </w:t>
      </w:r>
      <w:r>
        <w:rPr>
          <w:spacing w:val="-2"/>
        </w:rPr>
        <w:t>outcomes</w:t>
      </w:r>
    </w:p>
    <w:p>
      <w:pPr>
        <w:pStyle w:val="BodyText"/>
        <w:spacing w:before="39"/>
        <w:rPr>
          <w:b/>
          <w:i/>
        </w:rPr>
      </w:pPr>
    </w:p>
    <w:p>
      <w:pPr>
        <w:pStyle w:val="BodyText"/>
        <w:spacing w:line="266" w:lineRule="auto"/>
        <w:ind w:left="156" w:right="232"/>
        <w:jc w:val="both"/>
      </w:pPr>
      <w:r>
        <w:rPr>
          <w:w w:val="105"/>
        </w:rPr>
        <w:t>Corning</w:t>
      </w:r>
      <w:r>
        <w:rPr>
          <w:spacing w:val="-6"/>
          <w:w w:val="105"/>
        </w:rPr>
        <w:t> </w:t>
      </w:r>
      <w:r>
        <w:rPr>
          <w:w w:val="105"/>
        </w:rPr>
        <w:t>is</w:t>
      </w:r>
      <w:r>
        <w:rPr>
          <w:spacing w:val="-6"/>
          <w:w w:val="105"/>
        </w:rPr>
        <w:t> </w:t>
      </w:r>
      <w:r>
        <w:rPr>
          <w:w w:val="105"/>
        </w:rPr>
        <w:t>required</w:t>
      </w:r>
      <w:r>
        <w:rPr>
          <w:spacing w:val="-6"/>
          <w:w w:val="105"/>
        </w:rPr>
        <w:t> </w:t>
      </w:r>
      <w:r>
        <w:rPr>
          <w:w w:val="105"/>
        </w:rPr>
        <w:t>to</w:t>
      </w:r>
      <w:r>
        <w:rPr>
          <w:spacing w:val="-6"/>
          <w:w w:val="105"/>
        </w:rPr>
        <w:t> </w:t>
      </w:r>
      <w:r>
        <w:rPr>
          <w:w w:val="105"/>
        </w:rPr>
        <w:t>make</w:t>
      </w:r>
      <w:r>
        <w:rPr>
          <w:spacing w:val="-6"/>
          <w:w w:val="105"/>
        </w:rPr>
        <w:t> </w:t>
      </w:r>
      <w:r>
        <w:rPr>
          <w:w w:val="105"/>
        </w:rPr>
        <w:t>judgments</w:t>
      </w:r>
      <w:r>
        <w:rPr>
          <w:spacing w:val="-6"/>
          <w:w w:val="105"/>
        </w:rPr>
        <w:t> </w:t>
      </w:r>
      <w:r>
        <w:rPr>
          <w:w w:val="105"/>
        </w:rPr>
        <w:t>about</w:t>
      </w:r>
      <w:r>
        <w:rPr>
          <w:spacing w:val="-6"/>
          <w:w w:val="105"/>
        </w:rPr>
        <w:t> </w:t>
      </w:r>
      <w:r>
        <w:rPr>
          <w:w w:val="105"/>
        </w:rPr>
        <w:t>future</w:t>
      </w:r>
      <w:r>
        <w:rPr>
          <w:spacing w:val="-6"/>
          <w:w w:val="105"/>
        </w:rPr>
        <w:t> </w:t>
      </w:r>
      <w:r>
        <w:rPr>
          <w:w w:val="105"/>
        </w:rPr>
        <w:t>events</w:t>
      </w:r>
      <w:r>
        <w:rPr>
          <w:spacing w:val="-6"/>
          <w:w w:val="105"/>
        </w:rPr>
        <w:t> </w:t>
      </w:r>
      <w:r>
        <w:rPr>
          <w:w w:val="105"/>
        </w:rPr>
        <w:t>that</w:t>
      </w:r>
      <w:r>
        <w:rPr>
          <w:spacing w:val="-6"/>
          <w:w w:val="105"/>
        </w:rPr>
        <w:t> </w:t>
      </w:r>
      <w:r>
        <w:rPr>
          <w:w w:val="105"/>
        </w:rPr>
        <w:t>are</w:t>
      </w:r>
      <w:r>
        <w:rPr>
          <w:spacing w:val="-6"/>
          <w:w w:val="105"/>
        </w:rPr>
        <w:t> </w:t>
      </w:r>
      <w:r>
        <w:rPr>
          <w:w w:val="105"/>
        </w:rPr>
        <w:t>inherently</w:t>
      </w:r>
      <w:r>
        <w:rPr>
          <w:spacing w:val="-6"/>
          <w:w w:val="105"/>
        </w:rPr>
        <w:t> </w:t>
      </w:r>
      <w:r>
        <w:rPr>
          <w:w w:val="105"/>
        </w:rPr>
        <w:t>uncertain.</w:t>
      </w:r>
      <w:r>
        <w:rPr>
          <w:spacing w:val="-6"/>
          <w:w w:val="105"/>
        </w:rPr>
        <w:t> </w:t>
      </w:r>
      <w:r>
        <w:rPr>
          <w:w w:val="105"/>
        </w:rPr>
        <w:t>In</w:t>
      </w:r>
      <w:r>
        <w:rPr>
          <w:spacing w:val="-6"/>
          <w:w w:val="105"/>
        </w:rPr>
        <w:t> </w:t>
      </w:r>
      <w:r>
        <w:rPr>
          <w:w w:val="105"/>
        </w:rPr>
        <w:t>making</w:t>
      </w:r>
      <w:r>
        <w:rPr>
          <w:spacing w:val="-6"/>
          <w:w w:val="105"/>
        </w:rPr>
        <w:t> </w:t>
      </w:r>
      <w:r>
        <w:rPr>
          <w:w w:val="105"/>
        </w:rPr>
        <w:t>determinations</w:t>
      </w:r>
      <w:r>
        <w:rPr>
          <w:spacing w:val="-6"/>
          <w:w w:val="105"/>
        </w:rPr>
        <w:t> </w:t>
      </w:r>
      <w:r>
        <w:rPr>
          <w:w w:val="105"/>
        </w:rPr>
        <w:t>of</w:t>
      </w:r>
      <w:r>
        <w:rPr>
          <w:spacing w:val="-6"/>
          <w:w w:val="105"/>
        </w:rPr>
        <w:t> </w:t>
      </w:r>
      <w:r>
        <w:rPr>
          <w:w w:val="105"/>
        </w:rPr>
        <w:t>likely</w:t>
      </w:r>
      <w:r>
        <w:rPr>
          <w:spacing w:val="-6"/>
          <w:w w:val="105"/>
        </w:rPr>
        <w:t> </w:t>
      </w:r>
      <w:r>
        <w:rPr>
          <w:w w:val="105"/>
        </w:rPr>
        <w:t>outcomes</w:t>
      </w:r>
      <w:r>
        <w:rPr>
          <w:spacing w:val="-6"/>
          <w:w w:val="105"/>
        </w:rPr>
        <w:t> </w:t>
      </w:r>
      <w:r>
        <w:rPr>
          <w:w w:val="105"/>
        </w:rPr>
        <w:t>of</w:t>
      </w:r>
      <w:r>
        <w:rPr>
          <w:spacing w:val="-6"/>
          <w:w w:val="105"/>
        </w:rPr>
        <w:t> </w:t>
      </w:r>
      <w:r>
        <w:rPr>
          <w:w w:val="105"/>
        </w:rPr>
        <w:t>litigation</w:t>
      </w:r>
      <w:r>
        <w:rPr>
          <w:spacing w:val="-6"/>
          <w:w w:val="105"/>
        </w:rPr>
        <w:t> </w:t>
      </w:r>
      <w:r>
        <w:rPr>
          <w:w w:val="105"/>
        </w:rPr>
        <w:t>matters,</w:t>
      </w:r>
      <w:r>
        <w:rPr>
          <w:spacing w:val="-6"/>
          <w:w w:val="105"/>
        </w:rPr>
        <w:t> </w:t>
      </w:r>
      <w:r>
        <w:rPr>
          <w:w w:val="105"/>
        </w:rPr>
        <w:t>we</w:t>
      </w:r>
      <w:r>
        <w:rPr>
          <w:spacing w:val="-6"/>
          <w:w w:val="105"/>
        </w:rPr>
        <w:t> </w:t>
      </w:r>
      <w:r>
        <w:rPr>
          <w:w w:val="105"/>
        </w:rPr>
        <w:t>consider</w:t>
      </w:r>
      <w:r>
        <w:rPr>
          <w:spacing w:val="-6"/>
          <w:w w:val="105"/>
        </w:rPr>
        <w:t> </w:t>
      </w:r>
      <w:r>
        <w:rPr>
          <w:w w:val="105"/>
        </w:rPr>
        <w:t>the evaluation</w:t>
      </w:r>
      <w:r>
        <w:rPr>
          <w:spacing w:val="-8"/>
          <w:w w:val="105"/>
        </w:rPr>
        <w:t> </w:t>
      </w:r>
      <w:r>
        <w:rPr>
          <w:w w:val="105"/>
        </w:rPr>
        <w:t>of</w:t>
      </w:r>
      <w:r>
        <w:rPr>
          <w:spacing w:val="-8"/>
          <w:w w:val="105"/>
        </w:rPr>
        <w:t> </w:t>
      </w:r>
      <w:r>
        <w:rPr>
          <w:w w:val="105"/>
        </w:rPr>
        <w:t>legal</w:t>
      </w:r>
      <w:r>
        <w:rPr>
          <w:spacing w:val="-8"/>
          <w:w w:val="105"/>
        </w:rPr>
        <w:t> </w:t>
      </w:r>
      <w:r>
        <w:rPr>
          <w:w w:val="105"/>
        </w:rPr>
        <w:t>counsel</w:t>
      </w:r>
      <w:r>
        <w:rPr>
          <w:spacing w:val="-8"/>
          <w:w w:val="105"/>
        </w:rPr>
        <w:t> </w:t>
      </w:r>
      <w:r>
        <w:rPr>
          <w:w w:val="105"/>
        </w:rPr>
        <w:t>knowledgeable</w:t>
      </w:r>
      <w:r>
        <w:rPr>
          <w:spacing w:val="-8"/>
          <w:w w:val="105"/>
        </w:rPr>
        <w:t> </w:t>
      </w:r>
      <w:r>
        <w:rPr>
          <w:w w:val="105"/>
        </w:rPr>
        <w:t>about</w:t>
      </w:r>
      <w:r>
        <w:rPr>
          <w:spacing w:val="-8"/>
          <w:w w:val="105"/>
        </w:rPr>
        <w:t> </w:t>
      </w:r>
      <w:r>
        <w:rPr>
          <w:w w:val="105"/>
        </w:rPr>
        <w:t>each</w:t>
      </w:r>
      <w:r>
        <w:rPr>
          <w:spacing w:val="-8"/>
          <w:w w:val="105"/>
        </w:rPr>
        <w:t> </w:t>
      </w:r>
      <w:r>
        <w:rPr>
          <w:w w:val="105"/>
        </w:rPr>
        <w:t>matter,</w:t>
      </w:r>
      <w:r>
        <w:rPr>
          <w:spacing w:val="-8"/>
          <w:w w:val="105"/>
        </w:rPr>
        <w:t> </w:t>
      </w:r>
      <w:r>
        <w:rPr>
          <w:w w:val="105"/>
        </w:rPr>
        <w:t>case</w:t>
      </w:r>
      <w:r>
        <w:rPr>
          <w:spacing w:val="-8"/>
          <w:w w:val="105"/>
        </w:rPr>
        <w:t> </w:t>
      </w:r>
      <w:r>
        <w:rPr>
          <w:w w:val="105"/>
        </w:rPr>
        <w:t>law,</w:t>
      </w:r>
      <w:r>
        <w:rPr>
          <w:spacing w:val="-8"/>
          <w:w w:val="105"/>
        </w:rPr>
        <w:t> </w:t>
      </w:r>
      <w:r>
        <w:rPr>
          <w:w w:val="105"/>
        </w:rPr>
        <w:t>and</w:t>
      </w:r>
      <w:r>
        <w:rPr>
          <w:spacing w:val="-8"/>
          <w:w w:val="105"/>
        </w:rPr>
        <w:t> </w:t>
      </w:r>
      <w:r>
        <w:rPr>
          <w:w w:val="105"/>
        </w:rPr>
        <w:t>other</w:t>
      </w:r>
      <w:r>
        <w:rPr>
          <w:spacing w:val="-6"/>
          <w:w w:val="105"/>
        </w:rPr>
        <w:t> </w:t>
      </w:r>
      <w:r>
        <w:rPr>
          <w:w w:val="105"/>
        </w:rPr>
        <w:t>case-specific</w:t>
      </w:r>
      <w:r>
        <w:rPr>
          <w:spacing w:val="-8"/>
          <w:w w:val="105"/>
        </w:rPr>
        <w:t> </w:t>
      </w:r>
      <w:r>
        <w:rPr>
          <w:w w:val="105"/>
        </w:rPr>
        <w:t>issues.</w:t>
      </w:r>
      <w:r>
        <w:rPr>
          <w:spacing w:val="-8"/>
          <w:w w:val="105"/>
        </w:rPr>
        <w:t> </w:t>
      </w:r>
      <w:r>
        <w:rPr>
          <w:w w:val="105"/>
        </w:rPr>
        <w:t>See</w:t>
      </w:r>
      <w:r>
        <w:rPr>
          <w:spacing w:val="-8"/>
          <w:w w:val="105"/>
        </w:rPr>
        <w:t> </w:t>
      </w:r>
      <w:r>
        <w:rPr>
          <w:w w:val="105"/>
        </w:rPr>
        <w:t>Part</w:t>
      </w:r>
      <w:r>
        <w:rPr>
          <w:spacing w:val="-8"/>
          <w:w w:val="105"/>
        </w:rPr>
        <w:t> </w:t>
      </w:r>
      <w:r>
        <w:rPr>
          <w:w w:val="105"/>
        </w:rPr>
        <w:t>II</w:t>
      </w:r>
      <w:r>
        <w:rPr>
          <w:spacing w:val="-8"/>
          <w:w w:val="105"/>
        </w:rPr>
        <w:t> </w:t>
      </w:r>
      <w:r>
        <w:rPr>
          <w:w w:val="105"/>
        </w:rPr>
        <w:t>–</w:t>
      </w:r>
      <w:r>
        <w:rPr>
          <w:spacing w:val="-8"/>
          <w:w w:val="105"/>
        </w:rPr>
        <w:t> </w:t>
      </w:r>
      <w:r>
        <w:rPr>
          <w:w w:val="105"/>
        </w:rPr>
        <w:t>Item</w:t>
      </w:r>
      <w:r>
        <w:rPr>
          <w:spacing w:val="-8"/>
          <w:w w:val="105"/>
        </w:rPr>
        <w:t> </w:t>
      </w:r>
      <w:r>
        <w:rPr>
          <w:w w:val="105"/>
        </w:rPr>
        <w:t>3.</w:t>
      </w:r>
      <w:r>
        <w:rPr>
          <w:spacing w:val="-8"/>
          <w:w w:val="105"/>
        </w:rPr>
        <w:t> </w:t>
      </w:r>
      <w:r>
        <w:rPr>
          <w:w w:val="105"/>
        </w:rPr>
        <w:t>Legal</w:t>
      </w:r>
      <w:r>
        <w:rPr>
          <w:spacing w:val="-8"/>
          <w:w w:val="105"/>
        </w:rPr>
        <w:t> </w:t>
      </w:r>
      <w:r>
        <w:rPr>
          <w:w w:val="105"/>
        </w:rPr>
        <w:t>Proceedings</w:t>
      </w:r>
      <w:r>
        <w:rPr>
          <w:spacing w:val="-8"/>
          <w:w w:val="105"/>
        </w:rPr>
        <w:t> </w:t>
      </w:r>
      <w:r>
        <w:rPr>
          <w:w w:val="105"/>
        </w:rPr>
        <w:t>for</w:t>
      </w:r>
      <w:r>
        <w:rPr>
          <w:spacing w:val="-8"/>
          <w:w w:val="105"/>
        </w:rPr>
        <w:t> </w:t>
      </w:r>
      <w:r>
        <w:rPr>
          <w:w w:val="105"/>
        </w:rPr>
        <w:t>a</w:t>
      </w:r>
      <w:r>
        <w:rPr>
          <w:spacing w:val="-8"/>
          <w:w w:val="105"/>
        </w:rPr>
        <w:t> </w:t>
      </w:r>
      <w:r>
        <w:rPr>
          <w:w w:val="105"/>
        </w:rPr>
        <w:t>discussion</w:t>
      </w:r>
      <w:r>
        <w:rPr>
          <w:spacing w:val="-8"/>
          <w:w w:val="105"/>
        </w:rPr>
        <w:t> </w:t>
      </w:r>
      <w:r>
        <w:rPr>
          <w:w w:val="105"/>
        </w:rPr>
        <w:t>of</w:t>
      </w:r>
      <w:r>
        <w:rPr>
          <w:spacing w:val="-8"/>
          <w:w w:val="105"/>
        </w:rPr>
        <w:t> </w:t>
      </w:r>
      <w:r>
        <w:rPr>
          <w:w w:val="105"/>
        </w:rPr>
        <w:t>Corning’s material litigation matters.</w:t>
      </w:r>
    </w:p>
    <w:p>
      <w:pPr>
        <w:pStyle w:val="BodyText"/>
        <w:spacing w:before="19"/>
      </w:pPr>
    </w:p>
    <w:p>
      <w:pPr>
        <w:pStyle w:val="Heading3"/>
      </w:pPr>
      <w:r>
        <w:rPr>
          <w:spacing w:val="-2"/>
          <w:w w:val="105"/>
        </w:rPr>
        <w:t>Other</w:t>
      </w:r>
      <w:r>
        <w:rPr>
          <w:w w:val="105"/>
        </w:rPr>
        <w:t> </w:t>
      </w:r>
      <w:r>
        <w:rPr>
          <w:spacing w:val="-2"/>
          <w:w w:val="105"/>
        </w:rPr>
        <w:t>possible</w:t>
      </w:r>
      <w:r>
        <w:rPr>
          <w:spacing w:val="1"/>
          <w:w w:val="105"/>
        </w:rPr>
        <w:t> </w:t>
      </w:r>
      <w:r>
        <w:rPr>
          <w:spacing w:val="-2"/>
          <w:w w:val="105"/>
        </w:rPr>
        <w:t>liabilities</w:t>
      </w:r>
    </w:p>
    <w:p>
      <w:pPr>
        <w:pStyle w:val="BodyText"/>
        <w:spacing w:before="39"/>
        <w:rPr>
          <w:b/>
          <w:i/>
        </w:rPr>
      </w:pPr>
    </w:p>
    <w:p>
      <w:pPr>
        <w:pStyle w:val="BodyText"/>
        <w:spacing w:line="266" w:lineRule="auto" w:before="1"/>
        <w:ind w:left="156" w:right="328"/>
      </w:pPr>
      <w:r>
        <w:rPr>
          <w:w w:val="105"/>
        </w:rPr>
        <w:t>The</w:t>
      </w:r>
      <w:r>
        <w:rPr>
          <w:spacing w:val="-7"/>
          <w:w w:val="105"/>
        </w:rPr>
        <w:t> </w:t>
      </w:r>
      <w:r>
        <w:rPr>
          <w:w w:val="105"/>
        </w:rPr>
        <w:t>Company</w:t>
      </w:r>
      <w:r>
        <w:rPr>
          <w:spacing w:val="-7"/>
          <w:w w:val="105"/>
        </w:rPr>
        <w:t> </w:t>
      </w:r>
      <w:r>
        <w:rPr>
          <w:w w:val="105"/>
        </w:rPr>
        <w:t>is</w:t>
      </w:r>
      <w:r>
        <w:rPr>
          <w:spacing w:val="-7"/>
          <w:w w:val="105"/>
        </w:rPr>
        <w:t> </w:t>
      </w:r>
      <w:r>
        <w:rPr>
          <w:w w:val="105"/>
        </w:rPr>
        <w:t>required</w:t>
      </w:r>
      <w:r>
        <w:rPr>
          <w:spacing w:val="-7"/>
          <w:w w:val="105"/>
        </w:rPr>
        <w:t> </w:t>
      </w:r>
      <w:r>
        <w:rPr>
          <w:w w:val="105"/>
        </w:rPr>
        <w:t>to</w:t>
      </w:r>
      <w:r>
        <w:rPr>
          <w:spacing w:val="-7"/>
          <w:w w:val="105"/>
        </w:rPr>
        <w:t> </w:t>
      </w:r>
      <w:r>
        <w:rPr>
          <w:w w:val="105"/>
        </w:rPr>
        <w:t>make</w:t>
      </w:r>
      <w:r>
        <w:rPr>
          <w:spacing w:val="-5"/>
          <w:w w:val="105"/>
        </w:rPr>
        <w:t> </w:t>
      </w:r>
      <w:r>
        <w:rPr>
          <w:w w:val="105"/>
        </w:rPr>
        <w:t>judgments</w:t>
      </w:r>
      <w:r>
        <w:rPr>
          <w:spacing w:val="-7"/>
          <w:w w:val="105"/>
        </w:rPr>
        <w:t> </w:t>
      </w:r>
      <w:r>
        <w:rPr>
          <w:w w:val="105"/>
        </w:rPr>
        <w:t>about</w:t>
      </w:r>
      <w:r>
        <w:rPr>
          <w:spacing w:val="-7"/>
          <w:w w:val="105"/>
        </w:rPr>
        <w:t> </w:t>
      </w:r>
      <w:r>
        <w:rPr>
          <w:w w:val="105"/>
        </w:rPr>
        <w:t>future</w:t>
      </w:r>
      <w:r>
        <w:rPr>
          <w:spacing w:val="-7"/>
          <w:w w:val="105"/>
        </w:rPr>
        <w:t> </w:t>
      </w:r>
      <w:r>
        <w:rPr>
          <w:w w:val="105"/>
        </w:rPr>
        <w:t>events</w:t>
      </w:r>
      <w:r>
        <w:rPr>
          <w:spacing w:val="-5"/>
          <w:w w:val="105"/>
        </w:rPr>
        <w:t> </w:t>
      </w:r>
      <w:r>
        <w:rPr>
          <w:w w:val="105"/>
        </w:rPr>
        <w:t>that</w:t>
      </w:r>
      <w:r>
        <w:rPr>
          <w:spacing w:val="-7"/>
          <w:w w:val="105"/>
        </w:rPr>
        <w:t> </w:t>
      </w:r>
      <w:r>
        <w:rPr>
          <w:w w:val="105"/>
        </w:rPr>
        <w:t>are</w:t>
      </w:r>
      <w:r>
        <w:rPr>
          <w:spacing w:val="-7"/>
          <w:w w:val="105"/>
        </w:rPr>
        <w:t> </w:t>
      </w:r>
      <w:r>
        <w:rPr>
          <w:w w:val="105"/>
        </w:rPr>
        <w:t>inherently</w:t>
      </w:r>
      <w:r>
        <w:rPr>
          <w:spacing w:val="-7"/>
          <w:w w:val="105"/>
        </w:rPr>
        <w:t> </w:t>
      </w:r>
      <w:r>
        <w:rPr>
          <w:w w:val="105"/>
        </w:rPr>
        <w:t>uncertain.</w:t>
      </w:r>
      <w:r>
        <w:rPr>
          <w:spacing w:val="-7"/>
          <w:w w:val="105"/>
        </w:rPr>
        <w:t> </w:t>
      </w:r>
      <w:r>
        <w:rPr>
          <w:w w:val="105"/>
        </w:rPr>
        <w:t>In</w:t>
      </w:r>
      <w:r>
        <w:rPr>
          <w:spacing w:val="-7"/>
          <w:w w:val="105"/>
        </w:rPr>
        <w:t> </w:t>
      </w:r>
      <w:r>
        <w:rPr>
          <w:w w:val="105"/>
        </w:rPr>
        <w:t>making</w:t>
      </w:r>
      <w:r>
        <w:rPr>
          <w:spacing w:val="-7"/>
          <w:w w:val="105"/>
        </w:rPr>
        <w:t> </w:t>
      </w:r>
      <w:r>
        <w:rPr>
          <w:w w:val="105"/>
        </w:rPr>
        <w:t>determinations</w:t>
      </w:r>
      <w:r>
        <w:rPr>
          <w:spacing w:val="-7"/>
          <w:w w:val="105"/>
        </w:rPr>
        <w:t> </w:t>
      </w:r>
      <w:r>
        <w:rPr>
          <w:w w:val="105"/>
        </w:rPr>
        <w:t>of</w:t>
      </w:r>
      <w:r>
        <w:rPr>
          <w:spacing w:val="-7"/>
          <w:w w:val="105"/>
        </w:rPr>
        <w:t> </w:t>
      </w:r>
      <w:r>
        <w:rPr>
          <w:w w:val="105"/>
        </w:rPr>
        <w:t>likely</w:t>
      </w:r>
      <w:r>
        <w:rPr>
          <w:spacing w:val="-7"/>
          <w:w w:val="105"/>
        </w:rPr>
        <w:t> </w:t>
      </w:r>
      <w:r>
        <w:rPr>
          <w:w w:val="105"/>
        </w:rPr>
        <w:t>outcomes</w:t>
      </w:r>
      <w:r>
        <w:rPr>
          <w:spacing w:val="-7"/>
          <w:w w:val="105"/>
        </w:rPr>
        <w:t> </w:t>
      </w:r>
      <w:r>
        <w:rPr>
          <w:w w:val="105"/>
        </w:rPr>
        <w:t>of</w:t>
      </w:r>
      <w:r>
        <w:rPr>
          <w:spacing w:val="-7"/>
          <w:w w:val="105"/>
        </w:rPr>
        <w:t> </w:t>
      </w:r>
      <w:r>
        <w:rPr>
          <w:w w:val="105"/>
        </w:rPr>
        <w:t>certain</w:t>
      </w:r>
      <w:r>
        <w:rPr>
          <w:spacing w:val="-7"/>
          <w:w w:val="105"/>
        </w:rPr>
        <w:t> </w:t>
      </w:r>
      <w:r>
        <w:rPr>
          <w:w w:val="105"/>
        </w:rPr>
        <w:t>matters,</w:t>
      </w:r>
      <w:r>
        <w:rPr>
          <w:spacing w:val="-7"/>
          <w:w w:val="105"/>
        </w:rPr>
        <w:t> </w:t>
      </w:r>
      <w:r>
        <w:rPr>
          <w:w w:val="105"/>
        </w:rPr>
        <w:t>including certain</w:t>
      </w:r>
      <w:r>
        <w:rPr>
          <w:spacing w:val="-8"/>
          <w:w w:val="105"/>
        </w:rPr>
        <w:t> </w:t>
      </w:r>
      <w:r>
        <w:rPr>
          <w:w w:val="105"/>
        </w:rPr>
        <w:t>tax</w:t>
      </w:r>
      <w:r>
        <w:rPr>
          <w:spacing w:val="-8"/>
          <w:w w:val="105"/>
        </w:rPr>
        <w:t> </w:t>
      </w:r>
      <w:r>
        <w:rPr>
          <w:w w:val="105"/>
        </w:rPr>
        <w:t>planning</w:t>
      </w:r>
      <w:r>
        <w:rPr>
          <w:spacing w:val="-8"/>
          <w:w w:val="105"/>
        </w:rPr>
        <w:t> </w:t>
      </w:r>
      <w:r>
        <w:rPr>
          <w:w w:val="105"/>
        </w:rPr>
        <w:t>and</w:t>
      </w:r>
      <w:r>
        <w:rPr>
          <w:spacing w:val="-7"/>
          <w:w w:val="105"/>
        </w:rPr>
        <w:t> </w:t>
      </w:r>
      <w:r>
        <w:rPr>
          <w:w w:val="105"/>
        </w:rPr>
        <w:t>environmental</w:t>
      </w:r>
      <w:r>
        <w:rPr>
          <w:spacing w:val="-8"/>
          <w:w w:val="105"/>
        </w:rPr>
        <w:t> </w:t>
      </w:r>
      <w:r>
        <w:rPr>
          <w:w w:val="105"/>
        </w:rPr>
        <w:t>matters,</w:t>
      </w:r>
      <w:r>
        <w:rPr>
          <w:spacing w:val="-8"/>
          <w:w w:val="105"/>
        </w:rPr>
        <w:t> </w:t>
      </w:r>
      <w:r>
        <w:rPr>
          <w:w w:val="105"/>
        </w:rPr>
        <w:t>these</w:t>
      </w:r>
      <w:r>
        <w:rPr>
          <w:spacing w:val="-8"/>
          <w:w w:val="105"/>
        </w:rPr>
        <w:t> </w:t>
      </w:r>
      <w:r>
        <w:rPr>
          <w:w w:val="105"/>
        </w:rPr>
        <w:t>judgments</w:t>
      </w:r>
      <w:r>
        <w:rPr>
          <w:spacing w:val="-8"/>
          <w:w w:val="105"/>
        </w:rPr>
        <w:t> </w:t>
      </w:r>
      <w:r>
        <w:rPr>
          <w:w w:val="105"/>
        </w:rPr>
        <w:t>require</w:t>
      </w:r>
      <w:r>
        <w:rPr>
          <w:spacing w:val="-8"/>
          <w:w w:val="105"/>
        </w:rPr>
        <w:t> </w:t>
      </w:r>
      <w:r>
        <w:rPr>
          <w:w w:val="105"/>
        </w:rPr>
        <w:t>us</w:t>
      </w:r>
      <w:r>
        <w:rPr>
          <w:spacing w:val="-7"/>
          <w:w w:val="105"/>
        </w:rPr>
        <w:t> </w:t>
      </w:r>
      <w:r>
        <w:rPr>
          <w:w w:val="105"/>
        </w:rPr>
        <w:t>to</w:t>
      </w:r>
      <w:r>
        <w:rPr>
          <w:spacing w:val="-8"/>
          <w:w w:val="105"/>
        </w:rPr>
        <w:t> </w:t>
      </w:r>
      <w:r>
        <w:rPr>
          <w:w w:val="105"/>
        </w:rPr>
        <w:t>consider</w:t>
      </w:r>
      <w:r>
        <w:rPr>
          <w:spacing w:val="-8"/>
          <w:w w:val="105"/>
        </w:rPr>
        <w:t> </w:t>
      </w:r>
      <w:r>
        <w:rPr>
          <w:w w:val="105"/>
        </w:rPr>
        <w:t>events</w:t>
      </w:r>
      <w:r>
        <w:rPr>
          <w:spacing w:val="-8"/>
          <w:w w:val="105"/>
        </w:rPr>
        <w:t> </w:t>
      </w:r>
      <w:r>
        <w:rPr>
          <w:w w:val="105"/>
        </w:rPr>
        <w:t>and</w:t>
      </w:r>
      <w:r>
        <w:rPr>
          <w:spacing w:val="-8"/>
          <w:w w:val="105"/>
        </w:rPr>
        <w:t> </w:t>
      </w:r>
      <w:r>
        <w:rPr>
          <w:w w:val="105"/>
        </w:rPr>
        <w:t>actions</w:t>
      </w:r>
      <w:r>
        <w:rPr>
          <w:spacing w:val="-7"/>
          <w:w w:val="105"/>
        </w:rPr>
        <w:t> </w:t>
      </w:r>
      <w:r>
        <w:rPr>
          <w:w w:val="105"/>
        </w:rPr>
        <w:t>that</w:t>
      </w:r>
      <w:r>
        <w:rPr>
          <w:spacing w:val="-8"/>
          <w:w w:val="105"/>
        </w:rPr>
        <w:t> </w:t>
      </w:r>
      <w:r>
        <w:rPr>
          <w:w w:val="105"/>
        </w:rPr>
        <w:t>are</w:t>
      </w:r>
      <w:r>
        <w:rPr>
          <w:spacing w:val="-8"/>
          <w:w w:val="105"/>
        </w:rPr>
        <w:t> </w:t>
      </w:r>
      <w:r>
        <w:rPr>
          <w:w w:val="105"/>
        </w:rPr>
        <w:t>outside</w:t>
      </w:r>
      <w:r>
        <w:rPr>
          <w:spacing w:val="-8"/>
          <w:w w:val="105"/>
        </w:rPr>
        <w:t> </w:t>
      </w:r>
      <w:r>
        <w:rPr>
          <w:w w:val="105"/>
        </w:rPr>
        <w:t>our</w:t>
      </w:r>
      <w:r>
        <w:rPr>
          <w:spacing w:val="-8"/>
          <w:w w:val="105"/>
        </w:rPr>
        <w:t> </w:t>
      </w:r>
      <w:r>
        <w:rPr>
          <w:w w:val="105"/>
        </w:rPr>
        <w:t>control</w:t>
      </w:r>
      <w:r>
        <w:rPr>
          <w:spacing w:val="-8"/>
          <w:w w:val="105"/>
        </w:rPr>
        <w:t> </w:t>
      </w:r>
      <w:r>
        <w:rPr>
          <w:w w:val="105"/>
        </w:rPr>
        <w:t>in</w:t>
      </w:r>
      <w:r>
        <w:rPr>
          <w:spacing w:val="-8"/>
          <w:w w:val="105"/>
        </w:rPr>
        <w:t> </w:t>
      </w:r>
      <w:r>
        <w:rPr>
          <w:w w:val="105"/>
        </w:rPr>
        <w:t>determining</w:t>
      </w:r>
      <w:r>
        <w:rPr>
          <w:spacing w:val="-8"/>
          <w:w w:val="105"/>
        </w:rPr>
        <w:t> </w:t>
      </w:r>
      <w:r>
        <w:rPr>
          <w:w w:val="105"/>
        </w:rPr>
        <w:t>whether</w:t>
      </w:r>
      <w:r>
        <w:rPr>
          <w:spacing w:val="-8"/>
          <w:w w:val="105"/>
        </w:rPr>
        <w:t> </w:t>
      </w:r>
      <w:r>
        <w:rPr>
          <w:w w:val="105"/>
        </w:rPr>
        <w:t>probable</w:t>
      </w:r>
      <w:r>
        <w:rPr>
          <w:spacing w:val="-8"/>
          <w:w w:val="105"/>
        </w:rPr>
        <w:t> </w:t>
      </w:r>
      <w:r>
        <w:rPr>
          <w:w w:val="105"/>
        </w:rPr>
        <w:t>or possible</w:t>
      </w:r>
      <w:r>
        <w:rPr>
          <w:spacing w:val="-1"/>
          <w:w w:val="105"/>
        </w:rPr>
        <w:t> </w:t>
      </w:r>
      <w:r>
        <w:rPr>
          <w:w w:val="105"/>
        </w:rPr>
        <w:t>liabilities</w:t>
      </w:r>
      <w:r>
        <w:rPr>
          <w:spacing w:val="-1"/>
          <w:w w:val="105"/>
        </w:rPr>
        <w:t> </w:t>
      </w:r>
      <w:r>
        <w:rPr>
          <w:w w:val="105"/>
        </w:rPr>
        <w:t>require</w:t>
      </w:r>
      <w:r>
        <w:rPr>
          <w:spacing w:val="-1"/>
          <w:w w:val="105"/>
        </w:rPr>
        <w:t> </w:t>
      </w:r>
      <w:r>
        <w:rPr>
          <w:w w:val="105"/>
        </w:rPr>
        <w:t>accrual</w:t>
      </w:r>
      <w:r>
        <w:rPr>
          <w:spacing w:val="-1"/>
          <w:w w:val="105"/>
        </w:rPr>
        <w:t> </w:t>
      </w:r>
      <w:r>
        <w:rPr>
          <w:w w:val="105"/>
        </w:rPr>
        <w:t>or</w:t>
      </w:r>
      <w:r>
        <w:rPr>
          <w:spacing w:val="-1"/>
          <w:w w:val="105"/>
        </w:rPr>
        <w:t> </w:t>
      </w:r>
      <w:r>
        <w:rPr>
          <w:w w:val="105"/>
        </w:rPr>
        <w:t>disclosure.</w:t>
      </w:r>
      <w:r>
        <w:rPr>
          <w:spacing w:val="-1"/>
          <w:w w:val="105"/>
        </w:rPr>
        <w:t> </w:t>
      </w:r>
      <w:r>
        <w:rPr>
          <w:w w:val="105"/>
        </w:rPr>
        <w:t>It</w:t>
      </w:r>
      <w:r>
        <w:rPr>
          <w:spacing w:val="-1"/>
          <w:w w:val="105"/>
        </w:rPr>
        <w:t> </w:t>
      </w:r>
      <w:r>
        <w:rPr>
          <w:w w:val="105"/>
        </w:rPr>
        <w:t>is</w:t>
      </w:r>
      <w:r>
        <w:rPr>
          <w:spacing w:val="-3"/>
          <w:w w:val="105"/>
        </w:rPr>
        <w:t> </w:t>
      </w:r>
      <w:r>
        <w:rPr>
          <w:w w:val="105"/>
        </w:rPr>
        <w:t>possible</w:t>
      </w:r>
      <w:r>
        <w:rPr>
          <w:spacing w:val="-1"/>
          <w:w w:val="105"/>
        </w:rPr>
        <w:t> </w:t>
      </w:r>
      <w:r>
        <w:rPr>
          <w:w w:val="105"/>
        </w:rPr>
        <w:t>that</w:t>
      </w:r>
      <w:r>
        <w:rPr>
          <w:spacing w:val="-1"/>
          <w:w w:val="105"/>
        </w:rPr>
        <w:t> </w:t>
      </w:r>
      <w:r>
        <w:rPr>
          <w:w w:val="105"/>
        </w:rPr>
        <w:t>actual</w:t>
      </w:r>
      <w:r>
        <w:rPr>
          <w:spacing w:val="-1"/>
          <w:w w:val="105"/>
        </w:rPr>
        <w:t> </w:t>
      </w:r>
      <w:r>
        <w:rPr>
          <w:w w:val="105"/>
        </w:rPr>
        <w:t>results</w:t>
      </w:r>
      <w:r>
        <w:rPr>
          <w:spacing w:val="-1"/>
          <w:w w:val="105"/>
        </w:rPr>
        <w:t> </w:t>
      </w:r>
      <w:r>
        <w:rPr>
          <w:w w:val="105"/>
        </w:rPr>
        <w:t>will</w:t>
      </w:r>
      <w:r>
        <w:rPr>
          <w:spacing w:val="-1"/>
          <w:w w:val="105"/>
        </w:rPr>
        <w:t> </w:t>
      </w:r>
      <w:r>
        <w:rPr>
          <w:w w:val="105"/>
        </w:rPr>
        <w:t>differ</w:t>
      </w:r>
      <w:r>
        <w:rPr>
          <w:spacing w:val="-1"/>
          <w:w w:val="105"/>
        </w:rPr>
        <w:t> </w:t>
      </w:r>
      <w:r>
        <w:rPr>
          <w:w w:val="105"/>
        </w:rPr>
        <w:t>from</w:t>
      </w:r>
      <w:r>
        <w:rPr>
          <w:spacing w:val="-1"/>
          <w:w w:val="105"/>
        </w:rPr>
        <w:t> </w:t>
      </w:r>
      <w:r>
        <w:rPr>
          <w:w w:val="105"/>
        </w:rPr>
        <w:t>assumptions</w:t>
      </w:r>
      <w:r>
        <w:rPr>
          <w:spacing w:val="-1"/>
          <w:w w:val="105"/>
        </w:rPr>
        <w:t> </w:t>
      </w:r>
      <w:r>
        <w:rPr>
          <w:w w:val="105"/>
        </w:rPr>
        <w:t>and</w:t>
      </w:r>
      <w:r>
        <w:rPr>
          <w:spacing w:val="-1"/>
          <w:w w:val="105"/>
        </w:rPr>
        <w:t> </w:t>
      </w:r>
      <w:r>
        <w:rPr>
          <w:w w:val="105"/>
        </w:rPr>
        <w:t>require</w:t>
      </w:r>
      <w:r>
        <w:rPr>
          <w:spacing w:val="-1"/>
          <w:w w:val="105"/>
        </w:rPr>
        <w:t> </w:t>
      </w:r>
      <w:r>
        <w:rPr>
          <w:w w:val="105"/>
        </w:rPr>
        <w:t>adjustments</w:t>
      </w:r>
      <w:r>
        <w:rPr>
          <w:spacing w:val="-1"/>
          <w:w w:val="105"/>
        </w:rPr>
        <w:t> </w:t>
      </w:r>
      <w:r>
        <w:rPr>
          <w:w w:val="105"/>
        </w:rPr>
        <w:t>to</w:t>
      </w:r>
      <w:r>
        <w:rPr>
          <w:spacing w:val="-1"/>
          <w:w w:val="105"/>
        </w:rPr>
        <w:t> </w:t>
      </w:r>
      <w:r>
        <w:rPr>
          <w:w w:val="105"/>
        </w:rPr>
        <w:t>accruals.</w:t>
      </w:r>
    </w:p>
    <w:p>
      <w:pPr>
        <w:pStyle w:val="BodyText"/>
        <w:spacing w:before="18"/>
      </w:pPr>
    </w:p>
    <w:p>
      <w:pPr>
        <w:pStyle w:val="BodyText"/>
        <w:ind w:left="48"/>
        <w:jc w:val="center"/>
      </w:pPr>
      <w:r>
        <w:rPr>
          <w:spacing w:val="-5"/>
          <w:w w:val="105"/>
        </w:rPr>
        <w:t>46</w:t>
      </w:r>
    </w:p>
    <w:p>
      <w:pPr>
        <w:pStyle w:val="BodyText"/>
        <w:rPr>
          <w:sz w:val="6"/>
        </w:rPr>
      </w:pPr>
      <w:r>
        <w:rPr/>
        <mc:AlternateContent>
          <mc:Choice Requires="wps">
            <w:drawing>
              <wp:anchor distT="0" distB="0" distL="0" distR="0" allowOverlap="1" layoutInCell="1" locked="0" behindDoc="1" simplePos="0" relativeHeight="487622656">
                <wp:simplePos x="0" y="0"/>
                <wp:positionH relativeFrom="page">
                  <wp:posOffset>226488</wp:posOffset>
                </wp:positionH>
                <wp:positionV relativeFrom="paragraph">
                  <wp:posOffset>59051</wp:posOffset>
                </wp:positionV>
                <wp:extent cx="7312659" cy="1651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93824;mso-wrap-distance-left:0;mso-wrap-distance-right:0" id="docshape77"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3"/>
      </w:pPr>
      <w:r>
        <w:rPr/>
        <w:t>Pension</w:t>
      </w:r>
      <w:r>
        <w:rPr>
          <w:spacing w:val="14"/>
        </w:rPr>
        <w:t> </w:t>
      </w:r>
      <w:r>
        <w:rPr/>
        <w:t>and</w:t>
      </w:r>
      <w:r>
        <w:rPr>
          <w:spacing w:val="15"/>
        </w:rPr>
        <w:t> </w:t>
      </w:r>
      <w:r>
        <w:rPr/>
        <w:t>other</w:t>
      </w:r>
      <w:r>
        <w:rPr>
          <w:spacing w:val="14"/>
        </w:rPr>
        <w:t> </w:t>
      </w:r>
      <w:r>
        <w:rPr/>
        <w:t>postretirement</w:t>
      </w:r>
      <w:r>
        <w:rPr>
          <w:spacing w:val="15"/>
        </w:rPr>
        <w:t> </w:t>
      </w:r>
      <w:r>
        <w:rPr/>
        <w:t>employee</w:t>
      </w:r>
      <w:r>
        <w:rPr>
          <w:spacing w:val="14"/>
        </w:rPr>
        <w:t> </w:t>
      </w:r>
      <w:r>
        <w:rPr/>
        <w:t>benefits</w:t>
      </w:r>
      <w:r>
        <w:rPr>
          <w:spacing w:val="15"/>
        </w:rPr>
        <w:t> </w:t>
      </w:r>
      <w:r>
        <w:rPr>
          <w:spacing w:val="-2"/>
        </w:rPr>
        <w:t>(OPEB)</w:t>
      </w:r>
    </w:p>
    <w:p>
      <w:pPr>
        <w:pStyle w:val="BodyText"/>
        <w:spacing w:before="40"/>
        <w:rPr>
          <w:b/>
          <w:i/>
        </w:rPr>
      </w:pPr>
    </w:p>
    <w:p>
      <w:pPr>
        <w:pStyle w:val="BodyText"/>
        <w:spacing w:line="266" w:lineRule="auto"/>
        <w:ind w:left="156" w:right="117"/>
      </w:pPr>
      <w:r>
        <w:rPr>
          <w:w w:val="105"/>
        </w:rPr>
        <w:t>Corning</w:t>
      </w:r>
      <w:r>
        <w:rPr>
          <w:spacing w:val="-3"/>
          <w:w w:val="105"/>
        </w:rPr>
        <w:t> </w:t>
      </w:r>
      <w:r>
        <w:rPr>
          <w:w w:val="105"/>
        </w:rPr>
        <w:t>offers</w:t>
      </w:r>
      <w:r>
        <w:rPr>
          <w:spacing w:val="-3"/>
          <w:w w:val="105"/>
        </w:rPr>
        <w:t> </w:t>
      </w:r>
      <w:r>
        <w:rPr>
          <w:w w:val="105"/>
        </w:rPr>
        <w:t>employee</w:t>
      </w:r>
      <w:r>
        <w:rPr>
          <w:spacing w:val="-3"/>
          <w:w w:val="105"/>
        </w:rPr>
        <w:t> </w:t>
      </w:r>
      <w:r>
        <w:rPr>
          <w:w w:val="105"/>
        </w:rPr>
        <w:t>retirement</w:t>
      </w:r>
      <w:r>
        <w:rPr>
          <w:spacing w:val="-3"/>
          <w:w w:val="105"/>
        </w:rPr>
        <w:t> </w:t>
      </w:r>
      <w:r>
        <w:rPr>
          <w:w w:val="105"/>
        </w:rPr>
        <w:t>plans</w:t>
      </w:r>
      <w:r>
        <w:rPr>
          <w:spacing w:val="-3"/>
          <w:w w:val="105"/>
        </w:rPr>
        <w:t> </w:t>
      </w:r>
      <w:r>
        <w:rPr>
          <w:w w:val="105"/>
        </w:rPr>
        <w:t>consisting</w:t>
      </w:r>
      <w:r>
        <w:rPr>
          <w:spacing w:val="-3"/>
          <w:w w:val="105"/>
        </w:rPr>
        <w:t> </w:t>
      </w:r>
      <w:r>
        <w:rPr>
          <w:w w:val="105"/>
        </w:rPr>
        <w:t>of</w:t>
      </w:r>
      <w:r>
        <w:rPr>
          <w:spacing w:val="-3"/>
          <w:w w:val="105"/>
        </w:rPr>
        <w:t> </w:t>
      </w:r>
      <w:r>
        <w:rPr>
          <w:w w:val="105"/>
        </w:rPr>
        <w:t>defined</w:t>
      </w:r>
      <w:r>
        <w:rPr>
          <w:spacing w:val="-3"/>
          <w:w w:val="105"/>
        </w:rPr>
        <w:t> </w:t>
      </w:r>
      <w:r>
        <w:rPr>
          <w:w w:val="105"/>
        </w:rPr>
        <w:t>benefit</w:t>
      </w:r>
      <w:r>
        <w:rPr>
          <w:spacing w:val="-3"/>
          <w:w w:val="105"/>
        </w:rPr>
        <w:t> </w:t>
      </w:r>
      <w:r>
        <w:rPr>
          <w:w w:val="105"/>
        </w:rPr>
        <w:t>pension</w:t>
      </w:r>
      <w:r>
        <w:rPr>
          <w:spacing w:val="-3"/>
          <w:w w:val="105"/>
        </w:rPr>
        <w:t> </w:t>
      </w:r>
      <w:r>
        <w:rPr>
          <w:w w:val="105"/>
        </w:rPr>
        <w:t>plans</w:t>
      </w:r>
      <w:r>
        <w:rPr>
          <w:spacing w:val="-3"/>
          <w:w w:val="105"/>
        </w:rPr>
        <w:t> </w:t>
      </w:r>
      <w:r>
        <w:rPr>
          <w:w w:val="105"/>
        </w:rPr>
        <w:t>covering</w:t>
      </w:r>
      <w:r>
        <w:rPr>
          <w:spacing w:val="-3"/>
          <w:w w:val="105"/>
        </w:rPr>
        <w:t> </w:t>
      </w:r>
      <w:r>
        <w:rPr>
          <w:w w:val="105"/>
        </w:rPr>
        <w:t>certain</w:t>
      </w:r>
      <w:r>
        <w:rPr>
          <w:spacing w:val="-3"/>
          <w:w w:val="105"/>
        </w:rPr>
        <w:t> </w:t>
      </w:r>
      <w:r>
        <w:rPr>
          <w:w w:val="105"/>
        </w:rPr>
        <w:t>domestic</w:t>
      </w:r>
      <w:r>
        <w:rPr>
          <w:spacing w:val="-3"/>
          <w:w w:val="105"/>
        </w:rPr>
        <w:t> </w:t>
      </w:r>
      <w:r>
        <w:rPr>
          <w:w w:val="105"/>
        </w:rPr>
        <w:t>and</w:t>
      </w:r>
      <w:r>
        <w:rPr>
          <w:spacing w:val="-3"/>
          <w:w w:val="105"/>
        </w:rPr>
        <w:t> </w:t>
      </w:r>
      <w:r>
        <w:rPr>
          <w:w w:val="105"/>
        </w:rPr>
        <w:t>international</w:t>
      </w:r>
      <w:r>
        <w:rPr>
          <w:spacing w:val="-1"/>
          <w:w w:val="105"/>
        </w:rPr>
        <w:t> </w:t>
      </w:r>
      <w:r>
        <w:rPr>
          <w:w w:val="105"/>
        </w:rPr>
        <w:t>employees</w:t>
      </w:r>
      <w:r>
        <w:rPr>
          <w:spacing w:val="-3"/>
          <w:w w:val="105"/>
        </w:rPr>
        <w:t> </w:t>
      </w:r>
      <w:r>
        <w:rPr>
          <w:w w:val="105"/>
        </w:rPr>
        <w:t>and</w:t>
      </w:r>
      <w:r>
        <w:rPr>
          <w:spacing w:val="-3"/>
          <w:w w:val="105"/>
        </w:rPr>
        <w:t> </w:t>
      </w:r>
      <w:r>
        <w:rPr>
          <w:w w:val="105"/>
        </w:rPr>
        <w:t>postretirement</w:t>
      </w:r>
      <w:r>
        <w:rPr>
          <w:spacing w:val="-3"/>
          <w:w w:val="105"/>
        </w:rPr>
        <w:t> </w:t>
      </w:r>
      <w:r>
        <w:rPr>
          <w:w w:val="105"/>
        </w:rPr>
        <w:t>plans</w:t>
      </w:r>
      <w:r>
        <w:rPr>
          <w:spacing w:val="-3"/>
          <w:w w:val="105"/>
        </w:rPr>
        <w:t> </w:t>
      </w:r>
      <w:r>
        <w:rPr>
          <w:w w:val="105"/>
        </w:rPr>
        <w:t>that provide</w:t>
      </w:r>
      <w:r>
        <w:rPr>
          <w:spacing w:val="-3"/>
          <w:w w:val="105"/>
        </w:rPr>
        <w:t> </w:t>
      </w:r>
      <w:r>
        <w:rPr>
          <w:w w:val="105"/>
        </w:rPr>
        <w:t>health</w:t>
      </w:r>
      <w:r>
        <w:rPr>
          <w:spacing w:val="-3"/>
          <w:w w:val="105"/>
        </w:rPr>
        <w:t> </w:t>
      </w:r>
      <w:r>
        <w:rPr>
          <w:w w:val="105"/>
        </w:rPr>
        <w:t>care</w:t>
      </w:r>
      <w:r>
        <w:rPr>
          <w:spacing w:val="-3"/>
          <w:w w:val="105"/>
        </w:rPr>
        <w:t> </w:t>
      </w:r>
      <w:r>
        <w:rPr>
          <w:w w:val="105"/>
        </w:rPr>
        <w:t>and</w:t>
      </w:r>
      <w:r>
        <w:rPr>
          <w:spacing w:val="-1"/>
          <w:w w:val="105"/>
        </w:rPr>
        <w:t> </w:t>
      </w:r>
      <w:r>
        <w:rPr>
          <w:w w:val="105"/>
        </w:rPr>
        <w:t>life</w:t>
      </w:r>
      <w:r>
        <w:rPr>
          <w:spacing w:val="-3"/>
          <w:w w:val="105"/>
        </w:rPr>
        <w:t> </w:t>
      </w:r>
      <w:r>
        <w:rPr>
          <w:w w:val="105"/>
        </w:rPr>
        <w:t>insurance</w:t>
      </w:r>
      <w:r>
        <w:rPr>
          <w:spacing w:val="-3"/>
          <w:w w:val="105"/>
        </w:rPr>
        <w:t> </w:t>
      </w:r>
      <w:r>
        <w:rPr>
          <w:w w:val="105"/>
        </w:rPr>
        <w:t>benefits</w:t>
      </w:r>
      <w:r>
        <w:rPr>
          <w:spacing w:val="-3"/>
          <w:w w:val="105"/>
        </w:rPr>
        <w:t> </w:t>
      </w:r>
      <w:r>
        <w:rPr>
          <w:w w:val="105"/>
        </w:rPr>
        <w:t>for</w:t>
      </w:r>
      <w:r>
        <w:rPr>
          <w:spacing w:val="-3"/>
          <w:w w:val="105"/>
        </w:rPr>
        <w:t> </w:t>
      </w:r>
      <w:r>
        <w:rPr>
          <w:w w:val="105"/>
        </w:rPr>
        <w:t>eligible</w:t>
      </w:r>
      <w:r>
        <w:rPr>
          <w:spacing w:val="-3"/>
          <w:w w:val="105"/>
        </w:rPr>
        <w:t> </w:t>
      </w:r>
      <w:r>
        <w:rPr>
          <w:w w:val="105"/>
        </w:rPr>
        <w:t>retirees</w:t>
      </w:r>
      <w:r>
        <w:rPr>
          <w:spacing w:val="-3"/>
          <w:w w:val="105"/>
        </w:rPr>
        <w:t> </w:t>
      </w:r>
      <w:r>
        <w:rPr>
          <w:w w:val="105"/>
        </w:rPr>
        <w:t>and</w:t>
      </w:r>
      <w:r>
        <w:rPr>
          <w:spacing w:val="-3"/>
          <w:w w:val="105"/>
        </w:rPr>
        <w:t> </w:t>
      </w:r>
      <w:r>
        <w:rPr>
          <w:w w:val="105"/>
        </w:rPr>
        <w:t>dependents.</w:t>
      </w:r>
      <w:r>
        <w:rPr>
          <w:spacing w:val="-3"/>
          <w:w w:val="105"/>
        </w:rPr>
        <w:t> </w:t>
      </w:r>
      <w:r>
        <w:rPr>
          <w:w w:val="105"/>
        </w:rPr>
        <w:t>The</w:t>
      </w:r>
      <w:r>
        <w:rPr>
          <w:spacing w:val="-3"/>
          <w:w w:val="105"/>
        </w:rPr>
        <w:t> </w:t>
      </w:r>
      <w:r>
        <w:rPr>
          <w:w w:val="105"/>
        </w:rPr>
        <w:t>costs</w:t>
      </w:r>
      <w:r>
        <w:rPr>
          <w:spacing w:val="-3"/>
          <w:w w:val="105"/>
        </w:rPr>
        <w:t> </w:t>
      </w:r>
      <w:r>
        <w:rPr>
          <w:w w:val="105"/>
        </w:rPr>
        <w:t>and</w:t>
      </w:r>
      <w:r>
        <w:rPr>
          <w:spacing w:val="-3"/>
          <w:w w:val="105"/>
        </w:rPr>
        <w:t> </w:t>
      </w:r>
      <w:r>
        <w:rPr>
          <w:w w:val="105"/>
        </w:rPr>
        <w:t>obligations</w:t>
      </w:r>
      <w:r>
        <w:rPr>
          <w:spacing w:val="-3"/>
          <w:w w:val="105"/>
        </w:rPr>
        <w:t> </w:t>
      </w:r>
      <w:r>
        <w:rPr>
          <w:w w:val="105"/>
        </w:rPr>
        <w:t>related</w:t>
      </w:r>
      <w:r>
        <w:rPr>
          <w:spacing w:val="-3"/>
          <w:w w:val="105"/>
        </w:rPr>
        <w:t> </w:t>
      </w:r>
      <w:r>
        <w:rPr>
          <w:w w:val="105"/>
        </w:rPr>
        <w:t>to</w:t>
      </w:r>
      <w:r>
        <w:rPr>
          <w:spacing w:val="-3"/>
          <w:w w:val="105"/>
        </w:rPr>
        <w:t> </w:t>
      </w:r>
      <w:r>
        <w:rPr>
          <w:w w:val="105"/>
        </w:rPr>
        <w:t>these</w:t>
      </w:r>
      <w:r>
        <w:rPr>
          <w:spacing w:val="-3"/>
          <w:w w:val="105"/>
        </w:rPr>
        <w:t> </w:t>
      </w:r>
      <w:r>
        <w:rPr>
          <w:w w:val="105"/>
        </w:rPr>
        <w:t>benefits</w:t>
      </w:r>
      <w:r>
        <w:rPr>
          <w:spacing w:val="-3"/>
          <w:w w:val="105"/>
        </w:rPr>
        <w:t> </w:t>
      </w:r>
      <w:r>
        <w:rPr>
          <w:w w:val="105"/>
        </w:rPr>
        <w:t>reflect</w:t>
      </w:r>
      <w:r>
        <w:rPr>
          <w:spacing w:val="-1"/>
          <w:w w:val="105"/>
        </w:rPr>
        <w:t> </w:t>
      </w:r>
      <w:r>
        <w:rPr>
          <w:w w:val="105"/>
        </w:rPr>
        <w:t>the</w:t>
      </w:r>
      <w:r>
        <w:rPr>
          <w:spacing w:val="-3"/>
          <w:w w:val="105"/>
        </w:rPr>
        <w:t> </w:t>
      </w:r>
      <w:r>
        <w:rPr>
          <w:w w:val="105"/>
        </w:rPr>
        <w:t>Company’s</w:t>
      </w:r>
      <w:r>
        <w:rPr>
          <w:spacing w:val="-3"/>
          <w:w w:val="105"/>
        </w:rPr>
        <w:t> </w:t>
      </w:r>
      <w:r>
        <w:rPr>
          <w:w w:val="105"/>
        </w:rPr>
        <w:t>assumptions related</w:t>
      </w:r>
      <w:r>
        <w:rPr>
          <w:spacing w:val="-4"/>
          <w:w w:val="105"/>
        </w:rPr>
        <w:t> </w:t>
      </w:r>
      <w:r>
        <w:rPr>
          <w:w w:val="105"/>
        </w:rPr>
        <w:t>to</w:t>
      </w:r>
      <w:r>
        <w:rPr>
          <w:spacing w:val="-4"/>
          <w:w w:val="105"/>
        </w:rPr>
        <w:t> </w:t>
      </w:r>
      <w:r>
        <w:rPr>
          <w:w w:val="105"/>
        </w:rPr>
        <w:t>general</w:t>
      </w:r>
      <w:r>
        <w:rPr>
          <w:spacing w:val="-4"/>
          <w:w w:val="105"/>
        </w:rPr>
        <w:t> </w:t>
      </w:r>
      <w:r>
        <w:rPr>
          <w:w w:val="105"/>
        </w:rPr>
        <w:t>economic</w:t>
      </w:r>
      <w:r>
        <w:rPr>
          <w:spacing w:val="-4"/>
          <w:w w:val="105"/>
        </w:rPr>
        <w:t> </w:t>
      </w:r>
      <w:r>
        <w:rPr>
          <w:w w:val="105"/>
        </w:rPr>
        <w:t>conditions</w:t>
      </w:r>
      <w:r>
        <w:rPr>
          <w:spacing w:val="-4"/>
          <w:w w:val="105"/>
        </w:rPr>
        <w:t> </w:t>
      </w:r>
      <w:r>
        <w:rPr>
          <w:w w:val="105"/>
        </w:rPr>
        <w:t>(particularly</w:t>
      </w:r>
      <w:r>
        <w:rPr>
          <w:spacing w:val="-4"/>
          <w:w w:val="105"/>
        </w:rPr>
        <w:t> </w:t>
      </w:r>
      <w:r>
        <w:rPr>
          <w:w w:val="105"/>
        </w:rPr>
        <w:t>interest</w:t>
      </w:r>
      <w:r>
        <w:rPr>
          <w:spacing w:val="-4"/>
          <w:w w:val="105"/>
        </w:rPr>
        <w:t> </w:t>
      </w:r>
      <w:r>
        <w:rPr>
          <w:w w:val="105"/>
        </w:rPr>
        <w:t>rates),</w:t>
      </w:r>
      <w:r>
        <w:rPr>
          <w:spacing w:val="-4"/>
          <w:w w:val="105"/>
        </w:rPr>
        <w:t> </w:t>
      </w:r>
      <w:r>
        <w:rPr>
          <w:w w:val="105"/>
        </w:rPr>
        <w:t>expected</w:t>
      </w:r>
      <w:r>
        <w:rPr>
          <w:spacing w:val="-4"/>
          <w:w w:val="105"/>
        </w:rPr>
        <w:t> </w:t>
      </w:r>
      <w:r>
        <w:rPr>
          <w:w w:val="105"/>
        </w:rPr>
        <w:t>return</w:t>
      </w:r>
      <w:r>
        <w:rPr>
          <w:spacing w:val="-4"/>
          <w:w w:val="105"/>
        </w:rPr>
        <w:t> </w:t>
      </w:r>
      <w:r>
        <w:rPr>
          <w:w w:val="105"/>
        </w:rPr>
        <w:t>on</w:t>
      </w:r>
      <w:r>
        <w:rPr>
          <w:spacing w:val="-6"/>
          <w:w w:val="105"/>
        </w:rPr>
        <w:t> </w:t>
      </w:r>
      <w:r>
        <w:rPr>
          <w:w w:val="105"/>
        </w:rPr>
        <w:t>plan</w:t>
      </w:r>
      <w:r>
        <w:rPr>
          <w:spacing w:val="-4"/>
          <w:w w:val="105"/>
        </w:rPr>
        <w:t> </w:t>
      </w:r>
      <w:r>
        <w:rPr>
          <w:w w:val="105"/>
        </w:rPr>
        <w:t>assets,</w:t>
      </w:r>
      <w:r>
        <w:rPr>
          <w:spacing w:val="-4"/>
          <w:w w:val="105"/>
        </w:rPr>
        <w:t> </w:t>
      </w:r>
      <w:r>
        <w:rPr>
          <w:w w:val="105"/>
        </w:rPr>
        <w:t>rate</w:t>
      </w:r>
      <w:r>
        <w:rPr>
          <w:spacing w:val="-4"/>
          <w:w w:val="105"/>
        </w:rPr>
        <w:t> </w:t>
      </w:r>
      <w:r>
        <w:rPr>
          <w:w w:val="105"/>
        </w:rPr>
        <w:t>of</w:t>
      </w:r>
      <w:r>
        <w:rPr>
          <w:spacing w:val="-4"/>
          <w:w w:val="105"/>
        </w:rPr>
        <w:t> </w:t>
      </w:r>
      <w:r>
        <w:rPr>
          <w:w w:val="105"/>
        </w:rPr>
        <w:t>compensation</w:t>
      </w:r>
      <w:r>
        <w:rPr>
          <w:spacing w:val="-4"/>
          <w:w w:val="105"/>
        </w:rPr>
        <w:t> </w:t>
      </w:r>
      <w:r>
        <w:rPr>
          <w:w w:val="105"/>
        </w:rPr>
        <w:t>increase</w:t>
      </w:r>
      <w:r>
        <w:rPr>
          <w:spacing w:val="-4"/>
          <w:w w:val="105"/>
        </w:rPr>
        <w:t> </w:t>
      </w:r>
      <w:r>
        <w:rPr>
          <w:w w:val="105"/>
        </w:rPr>
        <w:t>for</w:t>
      </w:r>
      <w:r>
        <w:rPr>
          <w:spacing w:val="-4"/>
          <w:w w:val="105"/>
        </w:rPr>
        <w:t> </w:t>
      </w:r>
      <w:r>
        <w:rPr>
          <w:w w:val="105"/>
        </w:rPr>
        <w:t>employees</w:t>
      </w:r>
      <w:r>
        <w:rPr>
          <w:spacing w:val="-4"/>
          <w:w w:val="105"/>
        </w:rPr>
        <w:t> </w:t>
      </w:r>
      <w:r>
        <w:rPr>
          <w:w w:val="105"/>
        </w:rPr>
        <w:t>and</w:t>
      </w:r>
      <w:r>
        <w:rPr>
          <w:spacing w:val="-4"/>
          <w:w w:val="105"/>
        </w:rPr>
        <w:t> </w:t>
      </w:r>
      <w:r>
        <w:rPr>
          <w:w w:val="105"/>
        </w:rPr>
        <w:t>health</w:t>
      </w:r>
      <w:r>
        <w:rPr>
          <w:spacing w:val="-4"/>
          <w:w w:val="105"/>
        </w:rPr>
        <w:t> </w:t>
      </w:r>
      <w:r>
        <w:rPr>
          <w:w w:val="105"/>
        </w:rPr>
        <w:t>care</w:t>
      </w:r>
      <w:r>
        <w:rPr>
          <w:spacing w:val="-4"/>
          <w:w w:val="105"/>
        </w:rPr>
        <w:t> </w:t>
      </w:r>
      <w:r>
        <w:rPr>
          <w:w w:val="105"/>
        </w:rPr>
        <w:t>trend</w:t>
      </w:r>
      <w:r>
        <w:rPr>
          <w:spacing w:val="-4"/>
          <w:w w:val="105"/>
        </w:rPr>
        <w:t> </w:t>
      </w:r>
      <w:r>
        <w:rPr>
          <w:w w:val="105"/>
        </w:rPr>
        <w:t>rates. The</w:t>
      </w:r>
      <w:r>
        <w:rPr>
          <w:spacing w:val="-10"/>
          <w:w w:val="105"/>
        </w:rPr>
        <w:t> </w:t>
      </w:r>
      <w:r>
        <w:rPr>
          <w:w w:val="105"/>
        </w:rPr>
        <w:t>cost</w:t>
      </w:r>
      <w:r>
        <w:rPr>
          <w:spacing w:val="-10"/>
          <w:w w:val="105"/>
        </w:rPr>
        <w:t> </w:t>
      </w:r>
      <w:r>
        <w:rPr>
          <w:w w:val="105"/>
        </w:rPr>
        <w:t>of</w:t>
      </w:r>
      <w:r>
        <w:rPr>
          <w:spacing w:val="-10"/>
          <w:w w:val="105"/>
        </w:rPr>
        <w:t> </w:t>
      </w:r>
      <w:r>
        <w:rPr>
          <w:w w:val="105"/>
        </w:rPr>
        <w:t>providing</w:t>
      </w:r>
      <w:r>
        <w:rPr>
          <w:spacing w:val="-10"/>
          <w:w w:val="105"/>
        </w:rPr>
        <w:t> </w:t>
      </w:r>
      <w:r>
        <w:rPr>
          <w:w w:val="105"/>
        </w:rPr>
        <w:t>plan</w:t>
      </w:r>
      <w:r>
        <w:rPr>
          <w:spacing w:val="-10"/>
          <w:w w:val="105"/>
        </w:rPr>
        <w:t> </w:t>
      </w:r>
      <w:r>
        <w:rPr>
          <w:w w:val="105"/>
        </w:rPr>
        <w:t>benefits</w:t>
      </w:r>
      <w:r>
        <w:rPr>
          <w:spacing w:val="-10"/>
          <w:w w:val="105"/>
        </w:rPr>
        <w:t> </w:t>
      </w:r>
      <w:r>
        <w:rPr>
          <w:w w:val="105"/>
        </w:rPr>
        <w:t>depends</w:t>
      </w:r>
      <w:r>
        <w:rPr>
          <w:spacing w:val="-10"/>
          <w:w w:val="105"/>
        </w:rPr>
        <w:t> </w:t>
      </w:r>
      <w:r>
        <w:rPr>
          <w:w w:val="105"/>
        </w:rPr>
        <w:t>on</w:t>
      </w:r>
      <w:r>
        <w:rPr>
          <w:spacing w:val="-10"/>
          <w:w w:val="105"/>
        </w:rPr>
        <w:t> </w:t>
      </w:r>
      <w:r>
        <w:rPr>
          <w:w w:val="105"/>
        </w:rPr>
        <w:t>demographic</w:t>
      </w:r>
      <w:r>
        <w:rPr>
          <w:spacing w:val="-10"/>
          <w:w w:val="105"/>
        </w:rPr>
        <w:t> </w:t>
      </w:r>
      <w:r>
        <w:rPr>
          <w:w w:val="105"/>
        </w:rPr>
        <w:t>assumptions</w:t>
      </w:r>
      <w:r>
        <w:rPr>
          <w:spacing w:val="-10"/>
          <w:w w:val="105"/>
        </w:rPr>
        <w:t> </w:t>
      </w:r>
      <w:r>
        <w:rPr>
          <w:w w:val="105"/>
        </w:rPr>
        <w:t>including</w:t>
      </w:r>
      <w:r>
        <w:rPr>
          <w:spacing w:val="-10"/>
          <w:w w:val="105"/>
        </w:rPr>
        <w:t> </w:t>
      </w:r>
      <w:r>
        <w:rPr>
          <w:w w:val="105"/>
        </w:rPr>
        <w:t>retirements,</w:t>
      </w:r>
      <w:r>
        <w:rPr>
          <w:spacing w:val="-10"/>
          <w:w w:val="105"/>
        </w:rPr>
        <w:t> </w:t>
      </w:r>
      <w:r>
        <w:rPr>
          <w:w w:val="105"/>
        </w:rPr>
        <w:t>mortality,</w:t>
      </w:r>
      <w:r>
        <w:rPr>
          <w:spacing w:val="-10"/>
          <w:w w:val="105"/>
        </w:rPr>
        <w:t> </w:t>
      </w:r>
      <w:r>
        <w:rPr>
          <w:w w:val="105"/>
        </w:rPr>
        <w:t>turnover</w:t>
      </w:r>
      <w:r>
        <w:rPr>
          <w:spacing w:val="-10"/>
          <w:w w:val="105"/>
        </w:rPr>
        <w:t> </w:t>
      </w:r>
      <w:r>
        <w:rPr>
          <w:w w:val="105"/>
        </w:rPr>
        <w:t>and</w:t>
      </w:r>
      <w:r>
        <w:rPr>
          <w:spacing w:val="-10"/>
          <w:w w:val="105"/>
        </w:rPr>
        <w:t> </w:t>
      </w:r>
      <w:r>
        <w:rPr>
          <w:w w:val="105"/>
        </w:rPr>
        <w:t>plan</w:t>
      </w:r>
      <w:r>
        <w:rPr>
          <w:spacing w:val="-10"/>
          <w:w w:val="105"/>
        </w:rPr>
        <w:t> </w:t>
      </w:r>
      <w:r>
        <w:rPr>
          <w:w w:val="105"/>
        </w:rPr>
        <w:t>participation.</w:t>
      </w:r>
      <w:r>
        <w:rPr>
          <w:spacing w:val="-10"/>
          <w:w w:val="105"/>
        </w:rPr>
        <w:t> </w:t>
      </w:r>
      <w:r>
        <w:rPr>
          <w:w w:val="105"/>
        </w:rPr>
        <w:t>While</w:t>
      </w:r>
      <w:r>
        <w:rPr>
          <w:spacing w:val="-10"/>
          <w:w w:val="105"/>
        </w:rPr>
        <w:t> </w:t>
      </w:r>
      <w:r>
        <w:rPr>
          <w:w w:val="105"/>
        </w:rPr>
        <w:t>management</w:t>
      </w:r>
      <w:r>
        <w:rPr>
          <w:spacing w:val="-10"/>
          <w:w w:val="105"/>
        </w:rPr>
        <w:t> </w:t>
      </w:r>
      <w:r>
        <w:rPr>
          <w:w w:val="105"/>
        </w:rPr>
        <w:t>believes</w:t>
      </w:r>
      <w:r>
        <w:rPr>
          <w:spacing w:val="-10"/>
          <w:w w:val="105"/>
        </w:rPr>
        <w:t> </w:t>
      </w:r>
      <w:r>
        <w:rPr>
          <w:w w:val="105"/>
        </w:rPr>
        <w:t>that the</w:t>
      </w:r>
      <w:r>
        <w:rPr>
          <w:spacing w:val="-3"/>
          <w:w w:val="105"/>
        </w:rPr>
        <w:t> </w:t>
      </w:r>
      <w:r>
        <w:rPr>
          <w:w w:val="105"/>
        </w:rPr>
        <w:t>assumptions</w:t>
      </w:r>
      <w:r>
        <w:rPr>
          <w:spacing w:val="-3"/>
          <w:w w:val="105"/>
        </w:rPr>
        <w:t> </w:t>
      </w:r>
      <w:r>
        <w:rPr>
          <w:w w:val="105"/>
        </w:rPr>
        <w:t>used</w:t>
      </w:r>
      <w:r>
        <w:rPr>
          <w:spacing w:val="-3"/>
          <w:w w:val="105"/>
        </w:rPr>
        <w:t> </w:t>
      </w:r>
      <w:r>
        <w:rPr>
          <w:w w:val="105"/>
        </w:rPr>
        <w:t>are</w:t>
      </w:r>
      <w:r>
        <w:rPr>
          <w:spacing w:val="-3"/>
          <w:w w:val="105"/>
        </w:rPr>
        <w:t> </w:t>
      </w:r>
      <w:r>
        <w:rPr>
          <w:w w:val="105"/>
        </w:rPr>
        <w:t>appropriate,</w:t>
      </w:r>
      <w:r>
        <w:rPr>
          <w:spacing w:val="-3"/>
          <w:w w:val="105"/>
        </w:rPr>
        <w:t> </w:t>
      </w:r>
      <w:r>
        <w:rPr>
          <w:w w:val="105"/>
        </w:rPr>
        <w:t>differences</w:t>
      </w:r>
      <w:r>
        <w:rPr>
          <w:spacing w:val="-1"/>
          <w:w w:val="105"/>
        </w:rPr>
        <w:t> </w:t>
      </w:r>
      <w:r>
        <w:rPr>
          <w:w w:val="105"/>
        </w:rPr>
        <w:t>in</w:t>
      </w:r>
      <w:r>
        <w:rPr>
          <w:spacing w:val="-3"/>
          <w:w w:val="105"/>
        </w:rPr>
        <w:t> </w:t>
      </w:r>
      <w:r>
        <w:rPr>
          <w:w w:val="105"/>
        </w:rPr>
        <w:t>actual</w:t>
      </w:r>
      <w:r>
        <w:rPr>
          <w:spacing w:val="-3"/>
          <w:w w:val="105"/>
        </w:rPr>
        <w:t> </w:t>
      </w:r>
      <w:r>
        <w:rPr>
          <w:w w:val="105"/>
        </w:rPr>
        <w:t>experience</w:t>
      </w:r>
      <w:r>
        <w:rPr>
          <w:spacing w:val="-3"/>
          <w:w w:val="105"/>
        </w:rPr>
        <w:t> </w:t>
      </w:r>
      <w:r>
        <w:rPr>
          <w:w w:val="105"/>
        </w:rPr>
        <w:t>or</w:t>
      </w:r>
      <w:r>
        <w:rPr>
          <w:spacing w:val="-3"/>
          <w:w w:val="105"/>
        </w:rPr>
        <w:t> </w:t>
      </w:r>
      <w:r>
        <w:rPr>
          <w:w w:val="105"/>
        </w:rPr>
        <w:t>changes</w:t>
      </w:r>
      <w:r>
        <w:rPr>
          <w:spacing w:val="-3"/>
          <w:w w:val="105"/>
        </w:rPr>
        <w:t> </w:t>
      </w:r>
      <w:r>
        <w:rPr>
          <w:w w:val="105"/>
        </w:rPr>
        <w:t>in</w:t>
      </w:r>
      <w:r>
        <w:rPr>
          <w:spacing w:val="-3"/>
          <w:w w:val="105"/>
        </w:rPr>
        <w:t> </w:t>
      </w:r>
      <w:r>
        <w:rPr>
          <w:w w:val="105"/>
        </w:rPr>
        <w:t>assumptions</w:t>
      </w:r>
      <w:r>
        <w:rPr>
          <w:spacing w:val="-3"/>
          <w:w w:val="105"/>
        </w:rPr>
        <w:t> </w:t>
      </w:r>
      <w:r>
        <w:rPr>
          <w:w w:val="105"/>
        </w:rPr>
        <w:t>may</w:t>
      </w:r>
      <w:r>
        <w:rPr>
          <w:spacing w:val="-3"/>
          <w:w w:val="105"/>
        </w:rPr>
        <w:t> </w:t>
      </w:r>
      <w:r>
        <w:rPr>
          <w:w w:val="105"/>
        </w:rPr>
        <w:t>affect</w:t>
      </w:r>
      <w:r>
        <w:rPr>
          <w:spacing w:val="-3"/>
          <w:w w:val="105"/>
        </w:rPr>
        <w:t> </w:t>
      </w:r>
      <w:r>
        <w:rPr>
          <w:w w:val="105"/>
        </w:rPr>
        <w:t>Corning’s</w:t>
      </w:r>
      <w:r>
        <w:rPr>
          <w:spacing w:val="-3"/>
          <w:w w:val="105"/>
        </w:rPr>
        <w:t> </w:t>
      </w:r>
      <w:r>
        <w:rPr>
          <w:w w:val="105"/>
        </w:rPr>
        <w:t>employee</w:t>
      </w:r>
      <w:r>
        <w:rPr>
          <w:spacing w:val="-3"/>
          <w:w w:val="105"/>
        </w:rPr>
        <w:t> </w:t>
      </w:r>
      <w:r>
        <w:rPr>
          <w:w w:val="105"/>
        </w:rPr>
        <w:t>pension</w:t>
      </w:r>
      <w:r>
        <w:rPr>
          <w:spacing w:val="-1"/>
          <w:w w:val="105"/>
        </w:rPr>
        <w:t> </w:t>
      </w:r>
      <w:r>
        <w:rPr>
          <w:w w:val="105"/>
        </w:rPr>
        <w:t>and</w:t>
      </w:r>
      <w:r>
        <w:rPr>
          <w:spacing w:val="-3"/>
          <w:w w:val="105"/>
        </w:rPr>
        <w:t> </w:t>
      </w:r>
      <w:r>
        <w:rPr>
          <w:w w:val="105"/>
        </w:rPr>
        <w:t>other</w:t>
      </w:r>
      <w:r>
        <w:rPr>
          <w:spacing w:val="-3"/>
          <w:w w:val="105"/>
        </w:rPr>
        <w:t> </w:t>
      </w:r>
      <w:r>
        <w:rPr>
          <w:w w:val="105"/>
        </w:rPr>
        <w:t>postretirement obligations, and current and future expense.</w:t>
      </w:r>
    </w:p>
    <w:p>
      <w:pPr>
        <w:pStyle w:val="BodyText"/>
        <w:spacing w:before="17"/>
      </w:pPr>
    </w:p>
    <w:p>
      <w:pPr>
        <w:pStyle w:val="BodyText"/>
        <w:spacing w:line="266" w:lineRule="auto"/>
        <w:ind w:left="156" w:right="117"/>
      </w:pPr>
      <w:r>
        <w:rPr>
          <w:w w:val="105"/>
        </w:rPr>
        <w:t>Costs</w:t>
      </w:r>
      <w:r>
        <w:rPr>
          <w:spacing w:val="-2"/>
          <w:w w:val="105"/>
        </w:rPr>
        <w:t> </w:t>
      </w:r>
      <w:r>
        <w:rPr>
          <w:w w:val="105"/>
        </w:rPr>
        <w:t>for</w:t>
      </w:r>
      <w:r>
        <w:rPr>
          <w:spacing w:val="-2"/>
          <w:w w:val="105"/>
        </w:rPr>
        <w:t> </w:t>
      </w:r>
      <w:r>
        <w:rPr>
          <w:w w:val="105"/>
        </w:rPr>
        <w:t>our</w:t>
      </w:r>
      <w:r>
        <w:rPr>
          <w:spacing w:val="-2"/>
          <w:w w:val="105"/>
        </w:rPr>
        <w:t> </w:t>
      </w:r>
      <w:r>
        <w:rPr>
          <w:w w:val="105"/>
        </w:rPr>
        <w:t>defined</w:t>
      </w:r>
      <w:r>
        <w:rPr>
          <w:spacing w:val="-2"/>
          <w:w w:val="105"/>
        </w:rPr>
        <w:t> </w:t>
      </w:r>
      <w:r>
        <w:rPr>
          <w:w w:val="105"/>
        </w:rPr>
        <w:t>benefit</w:t>
      </w:r>
      <w:r>
        <w:rPr>
          <w:spacing w:val="-2"/>
          <w:w w:val="105"/>
        </w:rPr>
        <w:t> </w:t>
      </w:r>
      <w:r>
        <w:rPr>
          <w:w w:val="105"/>
        </w:rPr>
        <w:t>pension</w:t>
      </w:r>
      <w:r>
        <w:rPr>
          <w:spacing w:val="-2"/>
          <w:w w:val="105"/>
        </w:rPr>
        <w:t> </w:t>
      </w:r>
      <w:r>
        <w:rPr>
          <w:w w:val="105"/>
        </w:rPr>
        <w:t>plans</w:t>
      </w:r>
      <w:r>
        <w:rPr>
          <w:spacing w:val="-2"/>
          <w:w w:val="105"/>
        </w:rPr>
        <w:t> </w:t>
      </w:r>
      <w:r>
        <w:rPr>
          <w:w w:val="105"/>
        </w:rPr>
        <w:t>consist</w:t>
      </w:r>
      <w:r>
        <w:rPr>
          <w:spacing w:val="-2"/>
          <w:w w:val="105"/>
        </w:rPr>
        <w:t> </w:t>
      </w:r>
      <w:r>
        <w:rPr>
          <w:w w:val="105"/>
        </w:rPr>
        <w:t>of</w:t>
      </w:r>
      <w:r>
        <w:rPr>
          <w:spacing w:val="-2"/>
          <w:w w:val="105"/>
        </w:rPr>
        <w:t> </w:t>
      </w:r>
      <w:r>
        <w:rPr>
          <w:w w:val="105"/>
        </w:rPr>
        <w:t>two</w:t>
      </w:r>
      <w:r>
        <w:rPr>
          <w:spacing w:val="-2"/>
          <w:w w:val="105"/>
        </w:rPr>
        <w:t> </w:t>
      </w:r>
      <w:r>
        <w:rPr>
          <w:w w:val="105"/>
        </w:rPr>
        <w:t>elements:</w:t>
      </w:r>
      <w:r>
        <w:rPr>
          <w:spacing w:val="-2"/>
          <w:w w:val="105"/>
        </w:rPr>
        <w:t> </w:t>
      </w:r>
      <w:r>
        <w:rPr>
          <w:w w:val="105"/>
        </w:rPr>
        <w:t>1)</w:t>
      </w:r>
      <w:r>
        <w:rPr>
          <w:spacing w:val="-2"/>
          <w:w w:val="105"/>
        </w:rPr>
        <w:t> </w:t>
      </w:r>
      <w:r>
        <w:rPr>
          <w:w w:val="105"/>
        </w:rPr>
        <w:t>on-going</w:t>
      </w:r>
      <w:r>
        <w:rPr>
          <w:spacing w:val="-2"/>
          <w:w w:val="105"/>
        </w:rPr>
        <w:t> </w:t>
      </w:r>
      <w:r>
        <w:rPr>
          <w:w w:val="105"/>
        </w:rPr>
        <w:t>costs</w:t>
      </w:r>
      <w:r>
        <w:rPr>
          <w:spacing w:val="-2"/>
          <w:w w:val="105"/>
        </w:rPr>
        <w:t> </w:t>
      </w:r>
      <w:r>
        <w:rPr>
          <w:w w:val="105"/>
        </w:rPr>
        <w:t>recognized</w:t>
      </w:r>
      <w:r>
        <w:rPr>
          <w:spacing w:val="-2"/>
          <w:w w:val="105"/>
        </w:rPr>
        <w:t> </w:t>
      </w:r>
      <w:r>
        <w:rPr>
          <w:w w:val="105"/>
        </w:rPr>
        <w:t>quarterly,</w:t>
      </w:r>
      <w:r>
        <w:rPr>
          <w:spacing w:val="-2"/>
          <w:w w:val="105"/>
        </w:rPr>
        <w:t> </w:t>
      </w:r>
      <w:r>
        <w:rPr>
          <w:w w:val="105"/>
        </w:rPr>
        <w:t>which</w:t>
      </w:r>
      <w:r>
        <w:rPr>
          <w:spacing w:val="-2"/>
          <w:w w:val="105"/>
        </w:rPr>
        <w:t> </w:t>
      </w:r>
      <w:r>
        <w:rPr>
          <w:w w:val="105"/>
        </w:rPr>
        <w:t>are</w:t>
      </w:r>
      <w:r>
        <w:rPr>
          <w:spacing w:val="-2"/>
          <w:w w:val="105"/>
        </w:rPr>
        <w:t> </w:t>
      </w:r>
      <w:r>
        <w:rPr>
          <w:w w:val="105"/>
        </w:rPr>
        <w:t>comprised</w:t>
      </w:r>
      <w:r>
        <w:rPr>
          <w:spacing w:val="-2"/>
          <w:w w:val="105"/>
        </w:rPr>
        <w:t> </w:t>
      </w:r>
      <w:r>
        <w:rPr>
          <w:w w:val="105"/>
        </w:rPr>
        <w:t>of</w:t>
      </w:r>
      <w:r>
        <w:rPr>
          <w:spacing w:val="-2"/>
          <w:w w:val="105"/>
        </w:rPr>
        <w:t> </w:t>
      </w:r>
      <w:r>
        <w:rPr>
          <w:w w:val="105"/>
        </w:rPr>
        <w:t>service</w:t>
      </w:r>
      <w:r>
        <w:rPr>
          <w:spacing w:val="-2"/>
          <w:w w:val="105"/>
        </w:rPr>
        <w:t> </w:t>
      </w:r>
      <w:r>
        <w:rPr>
          <w:w w:val="105"/>
        </w:rPr>
        <w:t>and</w:t>
      </w:r>
      <w:r>
        <w:rPr>
          <w:spacing w:val="-2"/>
          <w:w w:val="105"/>
        </w:rPr>
        <w:t> </w:t>
      </w:r>
      <w:r>
        <w:rPr>
          <w:w w:val="105"/>
        </w:rPr>
        <w:t>interest</w:t>
      </w:r>
      <w:r>
        <w:rPr>
          <w:spacing w:val="-2"/>
          <w:w w:val="105"/>
        </w:rPr>
        <w:t> </w:t>
      </w:r>
      <w:r>
        <w:rPr>
          <w:w w:val="105"/>
        </w:rPr>
        <w:t>costs,</w:t>
      </w:r>
      <w:r>
        <w:rPr>
          <w:spacing w:val="-2"/>
          <w:w w:val="105"/>
        </w:rPr>
        <w:t> </w:t>
      </w:r>
      <w:r>
        <w:rPr>
          <w:w w:val="105"/>
        </w:rPr>
        <w:t>expected return</w:t>
      </w:r>
      <w:r>
        <w:rPr>
          <w:spacing w:val="-7"/>
          <w:w w:val="105"/>
        </w:rPr>
        <w:t> </w:t>
      </w:r>
      <w:r>
        <w:rPr>
          <w:w w:val="105"/>
        </w:rPr>
        <w:t>on</w:t>
      </w:r>
      <w:r>
        <w:rPr>
          <w:spacing w:val="-7"/>
          <w:w w:val="105"/>
        </w:rPr>
        <w:t> </w:t>
      </w:r>
      <w:r>
        <w:rPr>
          <w:w w:val="105"/>
        </w:rPr>
        <w:t>plan</w:t>
      </w:r>
      <w:r>
        <w:rPr>
          <w:spacing w:val="-7"/>
          <w:w w:val="105"/>
        </w:rPr>
        <w:t> </w:t>
      </w:r>
      <w:r>
        <w:rPr>
          <w:w w:val="105"/>
        </w:rPr>
        <w:t>assets</w:t>
      </w:r>
      <w:r>
        <w:rPr>
          <w:spacing w:val="-7"/>
          <w:w w:val="105"/>
        </w:rPr>
        <w:t> </w:t>
      </w:r>
      <w:r>
        <w:rPr>
          <w:w w:val="105"/>
        </w:rPr>
        <w:t>and</w:t>
      </w:r>
      <w:r>
        <w:rPr>
          <w:spacing w:val="-7"/>
          <w:w w:val="105"/>
        </w:rPr>
        <w:t> </w:t>
      </w:r>
      <w:r>
        <w:rPr>
          <w:w w:val="105"/>
        </w:rPr>
        <w:t>amortization</w:t>
      </w:r>
      <w:r>
        <w:rPr>
          <w:spacing w:val="-7"/>
          <w:w w:val="105"/>
        </w:rPr>
        <w:t> </w:t>
      </w:r>
      <w:r>
        <w:rPr>
          <w:w w:val="105"/>
        </w:rPr>
        <w:t>of</w:t>
      </w:r>
      <w:r>
        <w:rPr>
          <w:spacing w:val="-7"/>
          <w:w w:val="105"/>
        </w:rPr>
        <w:t> </w:t>
      </w:r>
      <w:r>
        <w:rPr>
          <w:w w:val="105"/>
        </w:rPr>
        <w:t>prior</w:t>
      </w:r>
      <w:r>
        <w:rPr>
          <w:spacing w:val="-7"/>
          <w:w w:val="105"/>
        </w:rPr>
        <w:t> </w:t>
      </w:r>
      <w:r>
        <w:rPr>
          <w:w w:val="105"/>
        </w:rPr>
        <w:t>service</w:t>
      </w:r>
      <w:r>
        <w:rPr>
          <w:spacing w:val="-7"/>
          <w:w w:val="105"/>
        </w:rPr>
        <w:t> </w:t>
      </w:r>
      <w:r>
        <w:rPr>
          <w:w w:val="105"/>
        </w:rPr>
        <w:t>costs;</w:t>
      </w:r>
      <w:r>
        <w:rPr>
          <w:spacing w:val="-7"/>
          <w:w w:val="105"/>
        </w:rPr>
        <w:t> </w:t>
      </w:r>
      <w:r>
        <w:rPr>
          <w:w w:val="105"/>
        </w:rPr>
        <w:t>and</w:t>
      </w:r>
      <w:r>
        <w:rPr>
          <w:spacing w:val="-7"/>
          <w:w w:val="105"/>
        </w:rPr>
        <w:t> </w:t>
      </w:r>
      <w:r>
        <w:rPr>
          <w:w w:val="105"/>
        </w:rPr>
        <w:t>2)</w:t>
      </w:r>
      <w:r>
        <w:rPr>
          <w:spacing w:val="-7"/>
          <w:w w:val="105"/>
        </w:rPr>
        <w:t> </w:t>
      </w:r>
      <w:r>
        <w:rPr>
          <w:w w:val="105"/>
        </w:rPr>
        <w:t>mark-to-market</w:t>
      </w:r>
      <w:r>
        <w:rPr>
          <w:spacing w:val="-7"/>
          <w:w w:val="105"/>
        </w:rPr>
        <w:t> </w:t>
      </w:r>
      <w:r>
        <w:rPr>
          <w:w w:val="105"/>
        </w:rPr>
        <w:t>gains</w:t>
      </w:r>
      <w:r>
        <w:rPr>
          <w:spacing w:val="-7"/>
          <w:w w:val="105"/>
        </w:rPr>
        <w:t> </w:t>
      </w:r>
      <w:r>
        <w:rPr>
          <w:w w:val="105"/>
        </w:rPr>
        <w:t>and</w:t>
      </w:r>
      <w:r>
        <w:rPr>
          <w:spacing w:val="-7"/>
          <w:w w:val="105"/>
        </w:rPr>
        <w:t> </w:t>
      </w:r>
      <w:r>
        <w:rPr>
          <w:w w:val="105"/>
        </w:rPr>
        <w:t>losses</w:t>
      </w:r>
      <w:r>
        <w:rPr>
          <w:spacing w:val="-7"/>
          <w:w w:val="105"/>
        </w:rPr>
        <w:t> </w:t>
      </w:r>
      <w:r>
        <w:rPr>
          <w:w w:val="105"/>
        </w:rPr>
        <w:t>outside</w:t>
      </w:r>
      <w:r>
        <w:rPr>
          <w:spacing w:val="-7"/>
          <w:w w:val="105"/>
        </w:rPr>
        <w:t> </w:t>
      </w:r>
      <w:r>
        <w:rPr>
          <w:w w:val="105"/>
        </w:rPr>
        <w:t>of</w:t>
      </w:r>
      <w:r>
        <w:rPr>
          <w:spacing w:val="-7"/>
          <w:w w:val="105"/>
        </w:rPr>
        <w:t> </w:t>
      </w:r>
      <w:r>
        <w:rPr>
          <w:w w:val="105"/>
        </w:rPr>
        <w:t>the</w:t>
      </w:r>
      <w:r>
        <w:rPr>
          <w:spacing w:val="-7"/>
          <w:w w:val="105"/>
        </w:rPr>
        <w:t> </w:t>
      </w:r>
      <w:r>
        <w:rPr>
          <w:w w:val="105"/>
        </w:rPr>
        <w:t>corridor,</w:t>
      </w:r>
      <w:r>
        <w:rPr>
          <w:spacing w:val="-7"/>
          <w:w w:val="105"/>
        </w:rPr>
        <w:t> </w:t>
      </w:r>
      <w:r>
        <w:rPr>
          <w:w w:val="105"/>
        </w:rPr>
        <w:t>where</w:t>
      </w:r>
      <w:r>
        <w:rPr>
          <w:spacing w:val="-7"/>
          <w:w w:val="105"/>
        </w:rPr>
        <w:t> </w:t>
      </w:r>
      <w:r>
        <w:rPr>
          <w:w w:val="105"/>
        </w:rPr>
        <w:t>the</w:t>
      </w:r>
      <w:r>
        <w:rPr>
          <w:spacing w:val="-5"/>
          <w:w w:val="105"/>
        </w:rPr>
        <w:t> </w:t>
      </w:r>
      <w:r>
        <w:rPr>
          <w:w w:val="105"/>
        </w:rPr>
        <w:t>corridor</w:t>
      </w:r>
      <w:r>
        <w:rPr>
          <w:spacing w:val="-7"/>
          <w:w w:val="105"/>
        </w:rPr>
        <w:t> </w:t>
      </w:r>
      <w:r>
        <w:rPr>
          <w:w w:val="105"/>
        </w:rPr>
        <w:t>is</w:t>
      </w:r>
      <w:r>
        <w:rPr>
          <w:spacing w:val="-7"/>
          <w:w w:val="105"/>
        </w:rPr>
        <w:t> </w:t>
      </w:r>
      <w:r>
        <w:rPr>
          <w:w w:val="105"/>
        </w:rPr>
        <w:t>equal</w:t>
      </w:r>
      <w:r>
        <w:rPr>
          <w:spacing w:val="-7"/>
          <w:w w:val="105"/>
        </w:rPr>
        <w:t> </w:t>
      </w:r>
      <w:r>
        <w:rPr>
          <w:w w:val="105"/>
        </w:rPr>
        <w:t>to</w:t>
      </w:r>
      <w:r>
        <w:rPr>
          <w:spacing w:val="-7"/>
          <w:w w:val="105"/>
        </w:rPr>
        <w:t> </w:t>
      </w:r>
      <w:r>
        <w:rPr>
          <w:w w:val="105"/>
        </w:rPr>
        <w:t>10%</w:t>
      </w:r>
      <w:r>
        <w:rPr>
          <w:spacing w:val="-7"/>
          <w:w w:val="105"/>
        </w:rPr>
        <w:t> </w:t>
      </w:r>
      <w:r>
        <w:rPr>
          <w:w w:val="105"/>
        </w:rPr>
        <w:t>of</w:t>
      </w:r>
      <w:r>
        <w:rPr>
          <w:spacing w:val="-7"/>
          <w:w w:val="105"/>
        </w:rPr>
        <w:t> </w:t>
      </w:r>
      <w:r>
        <w:rPr>
          <w:w w:val="105"/>
        </w:rPr>
        <w:t>the</w:t>
      </w:r>
      <w:r>
        <w:rPr>
          <w:spacing w:val="-7"/>
          <w:w w:val="105"/>
        </w:rPr>
        <w:t> </w:t>
      </w:r>
      <w:r>
        <w:rPr>
          <w:w w:val="105"/>
        </w:rPr>
        <w:t>greater of</w:t>
      </w:r>
      <w:r>
        <w:rPr>
          <w:spacing w:val="-6"/>
          <w:w w:val="105"/>
        </w:rPr>
        <w:t> </w:t>
      </w:r>
      <w:r>
        <w:rPr>
          <w:w w:val="105"/>
        </w:rPr>
        <w:t>the</w:t>
      </w:r>
      <w:r>
        <w:rPr>
          <w:spacing w:val="-6"/>
          <w:w w:val="105"/>
        </w:rPr>
        <w:t> </w:t>
      </w:r>
      <w:r>
        <w:rPr>
          <w:w w:val="105"/>
        </w:rPr>
        <w:t>benefit</w:t>
      </w:r>
      <w:r>
        <w:rPr>
          <w:spacing w:val="-6"/>
          <w:w w:val="105"/>
        </w:rPr>
        <w:t> </w:t>
      </w:r>
      <w:r>
        <w:rPr>
          <w:w w:val="105"/>
        </w:rPr>
        <w:t>obligation</w:t>
      </w:r>
      <w:r>
        <w:rPr>
          <w:spacing w:val="-6"/>
          <w:w w:val="105"/>
        </w:rPr>
        <w:t> </w:t>
      </w:r>
      <w:r>
        <w:rPr>
          <w:w w:val="105"/>
        </w:rPr>
        <w:t>or</w:t>
      </w:r>
      <w:r>
        <w:rPr>
          <w:spacing w:val="-6"/>
          <w:w w:val="105"/>
        </w:rPr>
        <w:t> </w:t>
      </w:r>
      <w:r>
        <w:rPr>
          <w:w w:val="105"/>
        </w:rPr>
        <w:t>the</w:t>
      </w:r>
      <w:r>
        <w:rPr>
          <w:spacing w:val="-6"/>
          <w:w w:val="105"/>
        </w:rPr>
        <w:t> </w:t>
      </w:r>
      <w:r>
        <w:rPr>
          <w:w w:val="105"/>
        </w:rPr>
        <w:t>market-related</w:t>
      </w:r>
      <w:r>
        <w:rPr>
          <w:spacing w:val="-6"/>
          <w:w w:val="105"/>
        </w:rPr>
        <w:t> </w:t>
      </w:r>
      <w:r>
        <w:rPr>
          <w:w w:val="105"/>
        </w:rPr>
        <w:t>value</w:t>
      </w:r>
      <w:r>
        <w:rPr>
          <w:spacing w:val="-6"/>
          <w:w w:val="105"/>
        </w:rPr>
        <w:t> </w:t>
      </w:r>
      <w:r>
        <w:rPr>
          <w:w w:val="105"/>
        </w:rPr>
        <w:t>of</w:t>
      </w:r>
      <w:r>
        <w:rPr>
          <w:spacing w:val="-6"/>
          <w:w w:val="105"/>
        </w:rPr>
        <w:t> </w:t>
      </w:r>
      <w:r>
        <w:rPr>
          <w:w w:val="105"/>
        </w:rPr>
        <w:t>plan</w:t>
      </w:r>
      <w:r>
        <w:rPr>
          <w:spacing w:val="-6"/>
          <w:w w:val="105"/>
        </w:rPr>
        <w:t> </w:t>
      </w:r>
      <w:r>
        <w:rPr>
          <w:w w:val="105"/>
        </w:rPr>
        <w:t>assets</w:t>
      </w:r>
      <w:r>
        <w:rPr>
          <w:spacing w:val="-6"/>
          <w:w w:val="105"/>
        </w:rPr>
        <w:t> </w:t>
      </w:r>
      <w:r>
        <w:rPr>
          <w:w w:val="105"/>
        </w:rPr>
        <w:t>at</w:t>
      </w:r>
      <w:r>
        <w:rPr>
          <w:spacing w:val="-6"/>
          <w:w w:val="105"/>
        </w:rPr>
        <w:t> </w:t>
      </w:r>
      <w:r>
        <w:rPr>
          <w:w w:val="105"/>
        </w:rPr>
        <w:t>the</w:t>
      </w:r>
      <w:r>
        <w:rPr>
          <w:spacing w:val="-6"/>
          <w:w w:val="105"/>
        </w:rPr>
        <w:t> </w:t>
      </w:r>
      <w:r>
        <w:rPr>
          <w:w w:val="105"/>
        </w:rPr>
        <w:t>beginning</w:t>
      </w:r>
      <w:r>
        <w:rPr>
          <w:spacing w:val="-6"/>
          <w:w w:val="105"/>
        </w:rPr>
        <w:t> </w:t>
      </w:r>
      <w:r>
        <w:rPr>
          <w:w w:val="105"/>
        </w:rPr>
        <w:t>of</w:t>
      </w:r>
      <w:r>
        <w:rPr>
          <w:spacing w:val="-6"/>
          <w:w w:val="105"/>
        </w:rPr>
        <w:t> </w:t>
      </w:r>
      <w:r>
        <w:rPr>
          <w:w w:val="105"/>
        </w:rPr>
        <w:t>the</w:t>
      </w:r>
      <w:r>
        <w:rPr>
          <w:spacing w:val="-6"/>
          <w:w w:val="105"/>
        </w:rPr>
        <w:t> </w:t>
      </w:r>
      <w:r>
        <w:rPr>
          <w:w w:val="105"/>
        </w:rPr>
        <w:t>year,</w:t>
      </w:r>
      <w:r>
        <w:rPr>
          <w:spacing w:val="-6"/>
          <w:w w:val="105"/>
        </w:rPr>
        <w:t> </w:t>
      </w:r>
      <w:r>
        <w:rPr>
          <w:w w:val="105"/>
        </w:rPr>
        <w:t>which</w:t>
      </w:r>
      <w:r>
        <w:rPr>
          <w:spacing w:val="-4"/>
          <w:w w:val="105"/>
        </w:rPr>
        <w:t> </w:t>
      </w:r>
      <w:r>
        <w:rPr>
          <w:w w:val="105"/>
        </w:rPr>
        <w:t>are</w:t>
      </w:r>
      <w:r>
        <w:rPr>
          <w:spacing w:val="-6"/>
          <w:w w:val="105"/>
        </w:rPr>
        <w:t> </w:t>
      </w:r>
      <w:r>
        <w:rPr>
          <w:w w:val="105"/>
        </w:rPr>
        <w:t>recognized</w:t>
      </w:r>
      <w:r>
        <w:rPr>
          <w:spacing w:val="-6"/>
          <w:w w:val="105"/>
        </w:rPr>
        <w:t> </w:t>
      </w:r>
      <w:r>
        <w:rPr>
          <w:w w:val="105"/>
        </w:rPr>
        <w:t>annually</w:t>
      </w:r>
      <w:r>
        <w:rPr>
          <w:spacing w:val="-4"/>
          <w:w w:val="105"/>
        </w:rPr>
        <w:t> </w:t>
      </w:r>
      <w:r>
        <w:rPr>
          <w:w w:val="105"/>
        </w:rPr>
        <w:t>in</w:t>
      </w:r>
      <w:r>
        <w:rPr>
          <w:spacing w:val="-6"/>
          <w:w w:val="105"/>
        </w:rPr>
        <w:t> </w:t>
      </w:r>
      <w:r>
        <w:rPr>
          <w:w w:val="105"/>
        </w:rPr>
        <w:t>the</w:t>
      </w:r>
      <w:r>
        <w:rPr>
          <w:spacing w:val="-6"/>
          <w:w w:val="105"/>
        </w:rPr>
        <w:t> </w:t>
      </w:r>
      <w:r>
        <w:rPr>
          <w:w w:val="105"/>
        </w:rPr>
        <w:t>fourth</w:t>
      </w:r>
      <w:r>
        <w:rPr>
          <w:spacing w:val="-6"/>
          <w:w w:val="105"/>
        </w:rPr>
        <w:t> </w:t>
      </w:r>
      <w:r>
        <w:rPr>
          <w:w w:val="105"/>
        </w:rPr>
        <w:t>quarter</w:t>
      </w:r>
      <w:r>
        <w:rPr>
          <w:spacing w:val="-6"/>
          <w:w w:val="105"/>
        </w:rPr>
        <w:t> </w:t>
      </w:r>
      <w:r>
        <w:rPr>
          <w:w w:val="105"/>
        </w:rPr>
        <w:t>of</w:t>
      </w:r>
      <w:r>
        <w:rPr>
          <w:spacing w:val="-6"/>
          <w:w w:val="105"/>
        </w:rPr>
        <w:t> </w:t>
      </w:r>
      <w:r>
        <w:rPr>
          <w:w w:val="105"/>
        </w:rPr>
        <w:t>each</w:t>
      </w:r>
      <w:r>
        <w:rPr>
          <w:spacing w:val="-6"/>
          <w:w w:val="105"/>
        </w:rPr>
        <w:t> </w:t>
      </w:r>
      <w:r>
        <w:rPr>
          <w:w w:val="105"/>
        </w:rPr>
        <w:t>year.</w:t>
      </w:r>
      <w:r>
        <w:rPr>
          <w:spacing w:val="-6"/>
          <w:w w:val="105"/>
        </w:rPr>
        <w:t> </w:t>
      </w:r>
      <w:r>
        <w:rPr>
          <w:w w:val="105"/>
        </w:rPr>
        <w:t>These</w:t>
      </w:r>
      <w:r>
        <w:rPr>
          <w:spacing w:val="-6"/>
          <w:w w:val="105"/>
        </w:rPr>
        <w:t> </w:t>
      </w:r>
      <w:r>
        <w:rPr>
          <w:w w:val="105"/>
        </w:rPr>
        <w:t>gains and</w:t>
      </w:r>
      <w:r>
        <w:rPr>
          <w:spacing w:val="-2"/>
          <w:w w:val="105"/>
        </w:rPr>
        <w:t> </w:t>
      </w:r>
      <w:r>
        <w:rPr>
          <w:w w:val="105"/>
        </w:rPr>
        <w:t>losses</w:t>
      </w:r>
      <w:r>
        <w:rPr>
          <w:spacing w:val="-2"/>
          <w:w w:val="105"/>
        </w:rPr>
        <w:t> </w:t>
      </w:r>
      <w:r>
        <w:rPr>
          <w:w w:val="105"/>
        </w:rPr>
        <w:t>result</w:t>
      </w:r>
      <w:r>
        <w:rPr>
          <w:spacing w:val="-2"/>
          <w:w w:val="105"/>
        </w:rPr>
        <w:t> </w:t>
      </w:r>
      <w:r>
        <w:rPr>
          <w:w w:val="105"/>
        </w:rPr>
        <w:t>from</w:t>
      </w:r>
      <w:r>
        <w:rPr>
          <w:spacing w:val="-2"/>
          <w:w w:val="105"/>
        </w:rPr>
        <w:t> </w:t>
      </w:r>
      <w:r>
        <w:rPr>
          <w:w w:val="105"/>
        </w:rPr>
        <w:t>changes</w:t>
      </w:r>
      <w:r>
        <w:rPr>
          <w:spacing w:val="-2"/>
          <w:w w:val="105"/>
        </w:rPr>
        <w:t> </w:t>
      </w:r>
      <w:r>
        <w:rPr>
          <w:w w:val="105"/>
        </w:rPr>
        <w:t>in</w:t>
      </w:r>
      <w:r>
        <w:rPr>
          <w:spacing w:val="-2"/>
          <w:w w:val="105"/>
        </w:rPr>
        <w:t> </w:t>
      </w:r>
      <w:r>
        <w:rPr>
          <w:w w:val="105"/>
        </w:rPr>
        <w:t>actuarial</w:t>
      </w:r>
      <w:r>
        <w:rPr>
          <w:spacing w:val="-2"/>
          <w:w w:val="105"/>
        </w:rPr>
        <w:t> </w:t>
      </w:r>
      <w:r>
        <w:rPr>
          <w:w w:val="105"/>
        </w:rPr>
        <w:t>assumptions</w:t>
      </w:r>
      <w:r>
        <w:rPr>
          <w:spacing w:val="-2"/>
          <w:w w:val="105"/>
        </w:rPr>
        <w:t> </w:t>
      </w:r>
      <w:r>
        <w:rPr>
          <w:w w:val="105"/>
        </w:rPr>
        <w:t>and</w:t>
      </w:r>
      <w:r>
        <w:rPr>
          <w:spacing w:val="-2"/>
          <w:w w:val="105"/>
        </w:rPr>
        <w:t> </w:t>
      </w:r>
      <w:r>
        <w:rPr>
          <w:w w:val="105"/>
        </w:rPr>
        <w:t>the</w:t>
      </w:r>
      <w:r>
        <w:rPr>
          <w:spacing w:val="-2"/>
          <w:w w:val="105"/>
        </w:rPr>
        <w:t> </w:t>
      </w:r>
      <w:r>
        <w:rPr>
          <w:w w:val="105"/>
        </w:rPr>
        <w:t>differences</w:t>
      </w:r>
      <w:r>
        <w:rPr>
          <w:spacing w:val="-2"/>
          <w:w w:val="105"/>
        </w:rPr>
        <w:t> </w:t>
      </w:r>
      <w:r>
        <w:rPr>
          <w:w w:val="105"/>
        </w:rPr>
        <w:t>between</w:t>
      </w:r>
      <w:r>
        <w:rPr>
          <w:spacing w:val="-2"/>
          <w:w w:val="105"/>
        </w:rPr>
        <w:t> </w:t>
      </w:r>
      <w:r>
        <w:rPr>
          <w:w w:val="105"/>
        </w:rPr>
        <w:t>actual</w:t>
      </w:r>
      <w:r>
        <w:rPr>
          <w:spacing w:val="-2"/>
          <w:w w:val="105"/>
        </w:rPr>
        <w:t> </w:t>
      </w:r>
      <w:r>
        <w:rPr>
          <w:w w:val="105"/>
        </w:rPr>
        <w:t>and</w:t>
      </w:r>
      <w:r>
        <w:rPr>
          <w:spacing w:val="-2"/>
          <w:w w:val="105"/>
        </w:rPr>
        <w:t> </w:t>
      </w:r>
      <w:r>
        <w:rPr>
          <w:w w:val="105"/>
        </w:rPr>
        <w:t>expected return</w:t>
      </w:r>
      <w:r>
        <w:rPr>
          <w:spacing w:val="-2"/>
          <w:w w:val="105"/>
        </w:rPr>
        <w:t> </w:t>
      </w:r>
      <w:r>
        <w:rPr>
          <w:w w:val="105"/>
        </w:rPr>
        <w:t>on</w:t>
      </w:r>
      <w:r>
        <w:rPr>
          <w:spacing w:val="-2"/>
          <w:w w:val="105"/>
        </w:rPr>
        <w:t> </w:t>
      </w:r>
      <w:r>
        <w:rPr>
          <w:w w:val="105"/>
        </w:rPr>
        <w:t>plan</w:t>
      </w:r>
      <w:r>
        <w:rPr>
          <w:spacing w:val="-2"/>
          <w:w w:val="105"/>
        </w:rPr>
        <w:t> </w:t>
      </w:r>
      <w:r>
        <w:rPr>
          <w:w w:val="105"/>
        </w:rPr>
        <w:t>assets.</w:t>
      </w:r>
      <w:r>
        <w:rPr>
          <w:spacing w:val="-2"/>
          <w:w w:val="105"/>
        </w:rPr>
        <w:t> </w:t>
      </w:r>
      <w:r>
        <w:rPr>
          <w:w w:val="105"/>
        </w:rPr>
        <w:t>Any</w:t>
      </w:r>
      <w:r>
        <w:rPr>
          <w:spacing w:val="-2"/>
          <w:w w:val="105"/>
        </w:rPr>
        <w:t> </w:t>
      </w:r>
      <w:r>
        <w:rPr>
          <w:w w:val="105"/>
        </w:rPr>
        <w:t>interim</w:t>
      </w:r>
      <w:r>
        <w:rPr>
          <w:spacing w:val="-2"/>
          <w:w w:val="105"/>
        </w:rPr>
        <w:t> </w:t>
      </w:r>
      <w:r>
        <w:rPr>
          <w:w w:val="105"/>
        </w:rPr>
        <w:t>remeasurement,</w:t>
      </w:r>
      <w:r>
        <w:rPr>
          <w:spacing w:val="-2"/>
          <w:w w:val="105"/>
        </w:rPr>
        <w:t> </w:t>
      </w:r>
      <w:r>
        <w:rPr>
          <w:w w:val="105"/>
        </w:rPr>
        <w:t>such</w:t>
      </w:r>
      <w:r>
        <w:rPr>
          <w:spacing w:val="-2"/>
          <w:w w:val="105"/>
        </w:rPr>
        <w:t> </w:t>
      </w:r>
      <w:r>
        <w:rPr>
          <w:w w:val="105"/>
        </w:rPr>
        <w:t>as curtailments,</w:t>
      </w:r>
      <w:r>
        <w:rPr>
          <w:spacing w:val="-2"/>
          <w:w w:val="105"/>
        </w:rPr>
        <w:t> </w:t>
      </w:r>
      <w:r>
        <w:rPr>
          <w:w w:val="105"/>
        </w:rPr>
        <w:t>settlements,</w:t>
      </w:r>
      <w:r>
        <w:rPr>
          <w:spacing w:val="-2"/>
          <w:w w:val="105"/>
        </w:rPr>
        <w:t> </w:t>
      </w:r>
      <w:r>
        <w:rPr>
          <w:w w:val="105"/>
        </w:rPr>
        <w:t>significant</w:t>
      </w:r>
      <w:r>
        <w:rPr>
          <w:spacing w:val="-2"/>
          <w:w w:val="105"/>
        </w:rPr>
        <w:t> </w:t>
      </w:r>
      <w:r>
        <w:rPr>
          <w:w w:val="105"/>
        </w:rPr>
        <w:t>plan</w:t>
      </w:r>
      <w:r>
        <w:rPr>
          <w:spacing w:val="-2"/>
          <w:w w:val="105"/>
        </w:rPr>
        <w:t> </w:t>
      </w:r>
      <w:r>
        <w:rPr>
          <w:w w:val="105"/>
        </w:rPr>
        <w:t>changes,</w:t>
      </w:r>
      <w:r>
        <w:rPr>
          <w:spacing w:val="-2"/>
          <w:w w:val="105"/>
        </w:rPr>
        <w:t> </w:t>
      </w:r>
      <w:r>
        <w:rPr>
          <w:w w:val="105"/>
        </w:rPr>
        <w:t>or</w:t>
      </w:r>
      <w:r>
        <w:rPr>
          <w:spacing w:val="-2"/>
          <w:w w:val="105"/>
        </w:rPr>
        <w:t> </w:t>
      </w:r>
      <w:r>
        <w:rPr>
          <w:w w:val="105"/>
        </w:rPr>
        <w:t>adjustments</w:t>
      </w:r>
      <w:r>
        <w:rPr>
          <w:spacing w:val="-2"/>
          <w:w w:val="105"/>
        </w:rPr>
        <w:t> </w:t>
      </w:r>
      <w:r>
        <w:rPr>
          <w:w w:val="105"/>
        </w:rPr>
        <w:t>to</w:t>
      </w:r>
      <w:r>
        <w:rPr>
          <w:spacing w:val="-2"/>
          <w:w w:val="105"/>
        </w:rPr>
        <w:t> </w:t>
      </w:r>
      <w:r>
        <w:rPr>
          <w:w w:val="105"/>
        </w:rPr>
        <w:t>the</w:t>
      </w:r>
      <w:r>
        <w:rPr>
          <w:spacing w:val="-2"/>
          <w:w w:val="105"/>
        </w:rPr>
        <w:t> </w:t>
      </w:r>
      <w:r>
        <w:rPr>
          <w:w w:val="105"/>
        </w:rPr>
        <w:t>annual</w:t>
      </w:r>
      <w:r>
        <w:rPr>
          <w:spacing w:val="-2"/>
          <w:w w:val="105"/>
        </w:rPr>
        <w:t> </w:t>
      </w:r>
      <w:r>
        <w:rPr>
          <w:w w:val="105"/>
        </w:rPr>
        <w:t>valuation,</w:t>
      </w:r>
      <w:r>
        <w:rPr>
          <w:spacing w:val="-2"/>
          <w:w w:val="105"/>
        </w:rPr>
        <w:t> </w:t>
      </w:r>
      <w:r>
        <w:rPr>
          <w:w w:val="105"/>
        </w:rPr>
        <w:t>is</w:t>
      </w:r>
      <w:r>
        <w:rPr>
          <w:spacing w:val="-2"/>
          <w:w w:val="105"/>
        </w:rPr>
        <w:t> </w:t>
      </w:r>
      <w:r>
        <w:rPr>
          <w:w w:val="105"/>
        </w:rPr>
        <w:t>recognized</w:t>
      </w:r>
      <w:r>
        <w:rPr>
          <w:spacing w:val="-2"/>
          <w:w w:val="105"/>
        </w:rPr>
        <w:t> </w:t>
      </w:r>
      <w:r>
        <w:rPr>
          <w:w w:val="105"/>
        </w:rPr>
        <w:t>as</w:t>
      </w:r>
      <w:r>
        <w:rPr>
          <w:spacing w:val="-2"/>
          <w:w w:val="105"/>
        </w:rPr>
        <w:t> </w:t>
      </w:r>
      <w:r>
        <w:rPr>
          <w:w w:val="105"/>
        </w:rPr>
        <w:t>a</w:t>
      </w:r>
      <w:r>
        <w:rPr>
          <w:spacing w:val="-2"/>
          <w:w w:val="105"/>
        </w:rPr>
        <w:t> </w:t>
      </w:r>
      <w:r>
        <w:rPr>
          <w:w w:val="105"/>
        </w:rPr>
        <w:t>mark-to-market</w:t>
      </w:r>
      <w:r>
        <w:rPr>
          <w:spacing w:val="-2"/>
          <w:w w:val="105"/>
        </w:rPr>
        <w:t> </w:t>
      </w:r>
      <w:r>
        <w:rPr>
          <w:w w:val="105"/>
        </w:rPr>
        <w:t>adjustment</w:t>
      </w:r>
      <w:r>
        <w:rPr>
          <w:spacing w:val="-2"/>
          <w:w w:val="105"/>
        </w:rPr>
        <w:t> </w:t>
      </w:r>
      <w:r>
        <w:rPr>
          <w:w w:val="105"/>
        </w:rPr>
        <w:t>in</w:t>
      </w:r>
      <w:r>
        <w:rPr>
          <w:spacing w:val="-2"/>
          <w:w w:val="105"/>
        </w:rPr>
        <w:t> </w:t>
      </w:r>
      <w:r>
        <w:rPr>
          <w:w w:val="105"/>
        </w:rPr>
        <w:t>the</w:t>
      </w:r>
      <w:r>
        <w:rPr>
          <w:spacing w:val="-2"/>
          <w:w w:val="105"/>
        </w:rPr>
        <w:t> </w:t>
      </w:r>
      <w:r>
        <w:rPr>
          <w:w w:val="105"/>
        </w:rPr>
        <w:t>quarter</w:t>
      </w:r>
      <w:r>
        <w:rPr>
          <w:spacing w:val="-2"/>
          <w:w w:val="105"/>
        </w:rPr>
        <w:t> </w:t>
      </w:r>
      <w:r>
        <w:rPr>
          <w:w w:val="105"/>
        </w:rPr>
        <w:t>in</w:t>
      </w:r>
      <w:r>
        <w:rPr>
          <w:spacing w:val="-2"/>
          <w:w w:val="105"/>
        </w:rPr>
        <w:t> </w:t>
      </w:r>
      <w:r>
        <w:rPr>
          <w:w w:val="105"/>
        </w:rPr>
        <w:t>which</w:t>
      </w:r>
      <w:r>
        <w:rPr>
          <w:spacing w:val="-2"/>
          <w:w w:val="105"/>
        </w:rPr>
        <w:t> </w:t>
      </w:r>
      <w:r>
        <w:rPr>
          <w:w w:val="105"/>
        </w:rPr>
        <w:t>such</w:t>
      </w:r>
      <w:r>
        <w:rPr>
          <w:spacing w:val="-2"/>
          <w:w w:val="105"/>
        </w:rPr>
        <w:t> </w:t>
      </w:r>
      <w:r>
        <w:rPr>
          <w:w w:val="105"/>
        </w:rPr>
        <w:t>an event</w:t>
      </w:r>
      <w:r>
        <w:rPr>
          <w:spacing w:val="-1"/>
          <w:w w:val="105"/>
        </w:rPr>
        <w:t> </w:t>
      </w:r>
      <w:r>
        <w:rPr>
          <w:w w:val="105"/>
        </w:rPr>
        <w:t>occurs.</w:t>
      </w:r>
    </w:p>
    <w:p>
      <w:pPr>
        <w:pStyle w:val="BodyText"/>
        <w:spacing w:before="17"/>
      </w:pPr>
    </w:p>
    <w:p>
      <w:pPr>
        <w:pStyle w:val="BodyText"/>
        <w:spacing w:line="266" w:lineRule="auto" w:before="1"/>
        <w:ind w:left="156" w:right="117"/>
      </w:pPr>
      <w:r>
        <w:rPr>
          <w:w w:val="105"/>
        </w:rPr>
        <w:t>Costs</w:t>
      </w:r>
      <w:r>
        <w:rPr>
          <w:spacing w:val="-8"/>
          <w:w w:val="105"/>
        </w:rPr>
        <w:t> </w:t>
      </w:r>
      <w:r>
        <w:rPr>
          <w:w w:val="105"/>
        </w:rPr>
        <w:t>for</w:t>
      </w:r>
      <w:r>
        <w:rPr>
          <w:spacing w:val="-8"/>
          <w:w w:val="105"/>
        </w:rPr>
        <w:t> </w:t>
      </w:r>
      <w:r>
        <w:rPr>
          <w:w w:val="105"/>
        </w:rPr>
        <w:t>OPEB</w:t>
      </w:r>
      <w:r>
        <w:rPr>
          <w:spacing w:val="-8"/>
          <w:w w:val="105"/>
        </w:rPr>
        <w:t> </w:t>
      </w:r>
      <w:r>
        <w:rPr>
          <w:w w:val="105"/>
        </w:rPr>
        <w:t>plans</w:t>
      </w:r>
      <w:r>
        <w:rPr>
          <w:spacing w:val="-8"/>
          <w:w w:val="105"/>
        </w:rPr>
        <w:t> </w:t>
      </w:r>
      <w:r>
        <w:rPr>
          <w:w w:val="105"/>
        </w:rPr>
        <w:t>consist</w:t>
      </w:r>
      <w:r>
        <w:rPr>
          <w:spacing w:val="-8"/>
          <w:w w:val="105"/>
        </w:rPr>
        <w:t> </w:t>
      </w:r>
      <w:r>
        <w:rPr>
          <w:w w:val="105"/>
        </w:rPr>
        <w:t>of</w:t>
      </w:r>
      <w:r>
        <w:rPr>
          <w:spacing w:val="-8"/>
          <w:w w:val="105"/>
        </w:rPr>
        <w:t> </w:t>
      </w:r>
      <w:r>
        <w:rPr>
          <w:w w:val="105"/>
        </w:rPr>
        <w:t>on-going</w:t>
      </w:r>
      <w:r>
        <w:rPr>
          <w:spacing w:val="-8"/>
          <w:w w:val="105"/>
        </w:rPr>
        <w:t> </w:t>
      </w:r>
      <w:r>
        <w:rPr>
          <w:w w:val="105"/>
        </w:rPr>
        <w:t>costs</w:t>
      </w:r>
      <w:r>
        <w:rPr>
          <w:spacing w:val="-8"/>
          <w:w w:val="105"/>
        </w:rPr>
        <w:t> </w:t>
      </w:r>
      <w:r>
        <w:rPr>
          <w:w w:val="105"/>
        </w:rPr>
        <w:t>recognized</w:t>
      </w:r>
      <w:r>
        <w:rPr>
          <w:spacing w:val="-8"/>
          <w:w w:val="105"/>
        </w:rPr>
        <w:t> </w:t>
      </w:r>
      <w:r>
        <w:rPr>
          <w:w w:val="105"/>
        </w:rPr>
        <w:t>quarterly,</w:t>
      </w:r>
      <w:r>
        <w:rPr>
          <w:spacing w:val="-8"/>
          <w:w w:val="105"/>
        </w:rPr>
        <w:t> </w:t>
      </w:r>
      <w:r>
        <w:rPr>
          <w:w w:val="105"/>
        </w:rPr>
        <w:t>and</w:t>
      </w:r>
      <w:r>
        <w:rPr>
          <w:spacing w:val="-8"/>
          <w:w w:val="105"/>
        </w:rPr>
        <w:t> </w:t>
      </w:r>
      <w:r>
        <w:rPr>
          <w:w w:val="105"/>
        </w:rPr>
        <w:t>are</w:t>
      </w:r>
      <w:r>
        <w:rPr>
          <w:spacing w:val="-7"/>
          <w:w w:val="105"/>
        </w:rPr>
        <w:t> </w:t>
      </w:r>
      <w:r>
        <w:rPr>
          <w:w w:val="105"/>
        </w:rPr>
        <w:t>comprised</w:t>
      </w:r>
      <w:r>
        <w:rPr>
          <w:spacing w:val="-8"/>
          <w:w w:val="105"/>
        </w:rPr>
        <w:t> </w:t>
      </w:r>
      <w:r>
        <w:rPr>
          <w:w w:val="105"/>
        </w:rPr>
        <w:t>of</w:t>
      </w:r>
      <w:r>
        <w:rPr>
          <w:spacing w:val="-8"/>
          <w:w w:val="105"/>
        </w:rPr>
        <w:t> </w:t>
      </w:r>
      <w:r>
        <w:rPr>
          <w:w w:val="105"/>
        </w:rPr>
        <w:t>service</w:t>
      </w:r>
      <w:r>
        <w:rPr>
          <w:spacing w:val="-8"/>
          <w:w w:val="105"/>
        </w:rPr>
        <w:t> </w:t>
      </w:r>
      <w:r>
        <w:rPr>
          <w:w w:val="105"/>
        </w:rPr>
        <w:t>and</w:t>
      </w:r>
      <w:r>
        <w:rPr>
          <w:spacing w:val="-8"/>
          <w:w w:val="105"/>
        </w:rPr>
        <w:t> </w:t>
      </w:r>
      <w:r>
        <w:rPr>
          <w:w w:val="105"/>
        </w:rPr>
        <w:t>interest</w:t>
      </w:r>
      <w:r>
        <w:rPr>
          <w:spacing w:val="-8"/>
          <w:w w:val="105"/>
        </w:rPr>
        <w:t> </w:t>
      </w:r>
      <w:r>
        <w:rPr>
          <w:w w:val="105"/>
        </w:rPr>
        <w:t>costs,</w:t>
      </w:r>
      <w:r>
        <w:rPr>
          <w:spacing w:val="-8"/>
          <w:w w:val="105"/>
        </w:rPr>
        <w:t> </w:t>
      </w:r>
      <w:r>
        <w:rPr>
          <w:w w:val="105"/>
        </w:rPr>
        <w:t>amortization</w:t>
      </w:r>
      <w:r>
        <w:rPr>
          <w:spacing w:val="-8"/>
          <w:w w:val="105"/>
        </w:rPr>
        <w:t> </w:t>
      </w:r>
      <w:r>
        <w:rPr>
          <w:w w:val="105"/>
        </w:rPr>
        <w:t>of</w:t>
      </w:r>
      <w:r>
        <w:rPr>
          <w:spacing w:val="-8"/>
          <w:w w:val="105"/>
        </w:rPr>
        <w:t> </w:t>
      </w:r>
      <w:r>
        <w:rPr>
          <w:w w:val="105"/>
        </w:rPr>
        <w:t>prior</w:t>
      </w:r>
      <w:r>
        <w:rPr>
          <w:spacing w:val="-8"/>
          <w:w w:val="105"/>
        </w:rPr>
        <w:t> </w:t>
      </w:r>
      <w:r>
        <w:rPr>
          <w:w w:val="105"/>
        </w:rPr>
        <w:t>service</w:t>
      </w:r>
      <w:r>
        <w:rPr>
          <w:spacing w:val="-8"/>
          <w:w w:val="105"/>
        </w:rPr>
        <w:t> </w:t>
      </w:r>
      <w:r>
        <w:rPr>
          <w:w w:val="105"/>
        </w:rPr>
        <w:t>costs</w:t>
      </w:r>
      <w:r>
        <w:rPr>
          <w:spacing w:val="-8"/>
          <w:w w:val="105"/>
        </w:rPr>
        <w:t> </w:t>
      </w:r>
      <w:r>
        <w:rPr>
          <w:w w:val="105"/>
        </w:rPr>
        <w:t>and</w:t>
      </w:r>
      <w:r>
        <w:rPr>
          <w:spacing w:val="-8"/>
          <w:w w:val="105"/>
        </w:rPr>
        <w:t> </w:t>
      </w:r>
      <w:r>
        <w:rPr>
          <w:w w:val="105"/>
        </w:rPr>
        <w:t>amortization</w:t>
      </w:r>
      <w:r>
        <w:rPr>
          <w:spacing w:val="-8"/>
          <w:w w:val="105"/>
        </w:rPr>
        <w:t> </w:t>
      </w:r>
      <w:r>
        <w:rPr>
          <w:w w:val="105"/>
        </w:rPr>
        <w:t>of actuarial</w:t>
      </w:r>
      <w:r>
        <w:rPr>
          <w:spacing w:val="-8"/>
          <w:w w:val="105"/>
        </w:rPr>
        <w:t> </w:t>
      </w:r>
      <w:r>
        <w:rPr>
          <w:w w:val="105"/>
        </w:rPr>
        <w:t>gains</w:t>
      </w:r>
      <w:r>
        <w:rPr>
          <w:spacing w:val="-8"/>
          <w:w w:val="105"/>
        </w:rPr>
        <w:t> </w:t>
      </w:r>
      <w:r>
        <w:rPr>
          <w:w w:val="105"/>
        </w:rPr>
        <w:t>and</w:t>
      </w:r>
      <w:r>
        <w:rPr>
          <w:spacing w:val="-8"/>
          <w:w w:val="105"/>
        </w:rPr>
        <w:t> </w:t>
      </w:r>
      <w:r>
        <w:rPr>
          <w:w w:val="105"/>
        </w:rPr>
        <w:t>losses.</w:t>
      </w:r>
      <w:r>
        <w:rPr>
          <w:spacing w:val="-8"/>
          <w:w w:val="105"/>
        </w:rPr>
        <w:t> </w:t>
      </w:r>
      <w:r>
        <w:rPr>
          <w:w w:val="105"/>
        </w:rPr>
        <w:t>We</w:t>
      </w:r>
      <w:r>
        <w:rPr>
          <w:spacing w:val="-8"/>
          <w:w w:val="105"/>
        </w:rPr>
        <w:t> </w:t>
      </w:r>
      <w:r>
        <w:rPr>
          <w:w w:val="105"/>
        </w:rPr>
        <w:t>recognize</w:t>
      </w:r>
      <w:r>
        <w:rPr>
          <w:spacing w:val="-8"/>
          <w:w w:val="105"/>
        </w:rPr>
        <w:t> </w:t>
      </w:r>
      <w:r>
        <w:rPr>
          <w:w w:val="105"/>
        </w:rPr>
        <w:t>the</w:t>
      </w:r>
      <w:r>
        <w:rPr>
          <w:spacing w:val="-8"/>
          <w:w w:val="105"/>
        </w:rPr>
        <w:t> </w:t>
      </w:r>
      <w:r>
        <w:rPr>
          <w:w w:val="105"/>
        </w:rPr>
        <w:t>actuarial</w:t>
      </w:r>
      <w:r>
        <w:rPr>
          <w:spacing w:val="-8"/>
          <w:w w:val="105"/>
        </w:rPr>
        <w:t> </w:t>
      </w:r>
      <w:r>
        <w:rPr>
          <w:w w:val="105"/>
        </w:rPr>
        <w:t>gains</w:t>
      </w:r>
      <w:r>
        <w:rPr>
          <w:spacing w:val="-8"/>
          <w:w w:val="105"/>
        </w:rPr>
        <w:t> </w:t>
      </w:r>
      <w:r>
        <w:rPr>
          <w:w w:val="105"/>
        </w:rPr>
        <w:t>and</w:t>
      </w:r>
      <w:r>
        <w:rPr>
          <w:spacing w:val="-8"/>
          <w:w w:val="105"/>
        </w:rPr>
        <w:t> </w:t>
      </w:r>
      <w:r>
        <w:rPr>
          <w:w w:val="105"/>
        </w:rPr>
        <w:t>losses</w:t>
      </w:r>
      <w:r>
        <w:rPr>
          <w:spacing w:val="-8"/>
          <w:w w:val="105"/>
        </w:rPr>
        <w:t> </w:t>
      </w:r>
      <w:r>
        <w:rPr>
          <w:w w:val="105"/>
        </w:rPr>
        <w:t>resulting</w:t>
      </w:r>
      <w:r>
        <w:rPr>
          <w:spacing w:val="-8"/>
          <w:w w:val="105"/>
        </w:rPr>
        <w:t> </w:t>
      </w:r>
      <w:r>
        <w:rPr>
          <w:w w:val="105"/>
        </w:rPr>
        <w:t>from</w:t>
      </w:r>
      <w:r>
        <w:rPr>
          <w:spacing w:val="-8"/>
          <w:w w:val="105"/>
        </w:rPr>
        <w:t> </w:t>
      </w:r>
      <w:r>
        <w:rPr>
          <w:w w:val="105"/>
        </w:rPr>
        <w:t>changes</w:t>
      </w:r>
      <w:r>
        <w:rPr>
          <w:spacing w:val="-8"/>
          <w:w w:val="105"/>
        </w:rPr>
        <w:t> </w:t>
      </w:r>
      <w:r>
        <w:rPr>
          <w:w w:val="105"/>
        </w:rPr>
        <w:t>in</w:t>
      </w:r>
      <w:r>
        <w:rPr>
          <w:spacing w:val="-8"/>
          <w:w w:val="105"/>
        </w:rPr>
        <w:t> </w:t>
      </w:r>
      <w:r>
        <w:rPr>
          <w:w w:val="105"/>
        </w:rPr>
        <w:t>actuarial</w:t>
      </w:r>
      <w:r>
        <w:rPr>
          <w:spacing w:val="-8"/>
          <w:w w:val="105"/>
        </w:rPr>
        <w:t> </w:t>
      </w:r>
      <w:r>
        <w:rPr>
          <w:w w:val="105"/>
        </w:rPr>
        <w:t>assumptions</w:t>
      </w:r>
      <w:r>
        <w:rPr>
          <w:spacing w:val="-8"/>
          <w:w w:val="105"/>
        </w:rPr>
        <w:t> </w:t>
      </w:r>
      <w:r>
        <w:rPr>
          <w:w w:val="105"/>
        </w:rPr>
        <w:t>as</w:t>
      </w:r>
      <w:r>
        <w:rPr>
          <w:spacing w:val="-8"/>
          <w:w w:val="105"/>
        </w:rPr>
        <w:t> </w:t>
      </w:r>
      <w:r>
        <w:rPr>
          <w:w w:val="105"/>
        </w:rPr>
        <w:t>a</w:t>
      </w:r>
      <w:r>
        <w:rPr>
          <w:spacing w:val="-8"/>
          <w:w w:val="105"/>
        </w:rPr>
        <w:t> </w:t>
      </w:r>
      <w:r>
        <w:rPr>
          <w:w w:val="105"/>
        </w:rPr>
        <w:t>component</w:t>
      </w:r>
      <w:r>
        <w:rPr>
          <w:spacing w:val="-8"/>
          <w:w w:val="105"/>
        </w:rPr>
        <w:t> </w:t>
      </w:r>
      <w:r>
        <w:rPr>
          <w:w w:val="105"/>
        </w:rPr>
        <w:t>of</w:t>
      </w:r>
      <w:r>
        <w:rPr>
          <w:spacing w:val="-8"/>
          <w:w w:val="105"/>
        </w:rPr>
        <w:t> </w:t>
      </w:r>
      <w:r>
        <w:rPr>
          <w:w w:val="105"/>
        </w:rPr>
        <w:t>accumulated</w:t>
      </w:r>
      <w:r>
        <w:rPr>
          <w:spacing w:val="-8"/>
          <w:w w:val="105"/>
        </w:rPr>
        <w:t> </w:t>
      </w:r>
      <w:r>
        <w:rPr>
          <w:w w:val="105"/>
        </w:rPr>
        <w:t>other</w:t>
      </w:r>
      <w:r>
        <w:rPr>
          <w:spacing w:val="-8"/>
          <w:w w:val="105"/>
        </w:rPr>
        <w:t> </w:t>
      </w:r>
      <w:r>
        <w:rPr>
          <w:w w:val="105"/>
        </w:rPr>
        <w:t>comprehensive loss</w:t>
      </w:r>
      <w:r>
        <w:rPr>
          <w:spacing w:val="-2"/>
          <w:w w:val="105"/>
        </w:rPr>
        <w:t> </w:t>
      </w:r>
      <w:r>
        <w:rPr>
          <w:w w:val="105"/>
        </w:rPr>
        <w:t>in</w:t>
      </w:r>
      <w:r>
        <w:rPr>
          <w:spacing w:val="-2"/>
          <w:w w:val="105"/>
        </w:rPr>
        <w:t> </w:t>
      </w:r>
      <w:r>
        <w:rPr>
          <w:w w:val="105"/>
        </w:rPr>
        <w:t>shareholders’</w:t>
      </w:r>
      <w:r>
        <w:rPr>
          <w:spacing w:val="-2"/>
          <w:w w:val="105"/>
        </w:rPr>
        <w:t> </w:t>
      </w:r>
      <w:r>
        <w:rPr>
          <w:w w:val="105"/>
        </w:rPr>
        <w:t>equity</w:t>
      </w:r>
      <w:r>
        <w:rPr>
          <w:spacing w:val="-2"/>
          <w:w w:val="105"/>
        </w:rPr>
        <w:t> </w:t>
      </w:r>
      <w:r>
        <w:rPr>
          <w:w w:val="105"/>
        </w:rPr>
        <w:t>on an</w:t>
      </w:r>
      <w:r>
        <w:rPr>
          <w:spacing w:val="-2"/>
          <w:w w:val="105"/>
        </w:rPr>
        <w:t> </w:t>
      </w:r>
      <w:r>
        <w:rPr>
          <w:w w:val="105"/>
        </w:rPr>
        <w:t>annual</w:t>
      </w:r>
      <w:r>
        <w:rPr>
          <w:spacing w:val="-2"/>
          <w:w w:val="105"/>
        </w:rPr>
        <w:t> </w:t>
      </w:r>
      <w:r>
        <w:rPr>
          <w:w w:val="105"/>
        </w:rPr>
        <w:t>basis</w:t>
      </w:r>
      <w:r>
        <w:rPr>
          <w:spacing w:val="-2"/>
          <w:w w:val="105"/>
        </w:rPr>
        <w:t> </w:t>
      </w:r>
      <w:r>
        <w:rPr>
          <w:w w:val="105"/>
        </w:rPr>
        <w:t>and</w:t>
      </w:r>
      <w:r>
        <w:rPr>
          <w:spacing w:val="-2"/>
          <w:w w:val="105"/>
        </w:rPr>
        <w:t> </w:t>
      </w:r>
      <w:r>
        <w:rPr>
          <w:w w:val="105"/>
        </w:rPr>
        <w:t>amortize</w:t>
      </w:r>
      <w:r>
        <w:rPr>
          <w:spacing w:val="-2"/>
          <w:w w:val="105"/>
        </w:rPr>
        <w:t> </w:t>
      </w:r>
      <w:r>
        <w:rPr>
          <w:w w:val="105"/>
        </w:rPr>
        <w:t>them</w:t>
      </w:r>
      <w:r>
        <w:rPr>
          <w:spacing w:val="-2"/>
          <w:w w:val="105"/>
        </w:rPr>
        <w:t> </w:t>
      </w:r>
      <w:r>
        <w:rPr>
          <w:w w:val="105"/>
        </w:rPr>
        <w:t>into</w:t>
      </w:r>
      <w:r>
        <w:rPr>
          <w:spacing w:val="-2"/>
          <w:w w:val="105"/>
        </w:rPr>
        <w:t> </w:t>
      </w:r>
      <w:r>
        <w:rPr>
          <w:w w:val="105"/>
        </w:rPr>
        <w:t>our</w:t>
      </w:r>
      <w:r>
        <w:rPr>
          <w:spacing w:val="-2"/>
          <w:w w:val="105"/>
        </w:rPr>
        <w:t> </w:t>
      </w:r>
      <w:r>
        <w:rPr>
          <w:w w:val="105"/>
        </w:rPr>
        <w:t>operating</w:t>
      </w:r>
      <w:r>
        <w:rPr>
          <w:spacing w:val="-2"/>
          <w:w w:val="105"/>
        </w:rPr>
        <w:t> </w:t>
      </w:r>
      <w:r>
        <w:rPr>
          <w:w w:val="105"/>
        </w:rPr>
        <w:t>results</w:t>
      </w:r>
      <w:r>
        <w:rPr>
          <w:spacing w:val="-2"/>
          <w:w w:val="105"/>
        </w:rPr>
        <w:t> </w:t>
      </w:r>
      <w:r>
        <w:rPr>
          <w:w w:val="105"/>
        </w:rPr>
        <w:t>over</w:t>
      </w:r>
      <w:r>
        <w:rPr>
          <w:spacing w:val="-2"/>
          <w:w w:val="105"/>
        </w:rPr>
        <w:t> </w:t>
      </w:r>
      <w:r>
        <w:rPr>
          <w:w w:val="105"/>
        </w:rPr>
        <w:t>the</w:t>
      </w:r>
      <w:r>
        <w:rPr>
          <w:spacing w:val="-2"/>
          <w:w w:val="105"/>
        </w:rPr>
        <w:t> </w:t>
      </w:r>
      <w:r>
        <w:rPr>
          <w:w w:val="105"/>
        </w:rPr>
        <w:t>average</w:t>
      </w:r>
      <w:r>
        <w:rPr>
          <w:spacing w:val="-2"/>
          <w:w w:val="105"/>
        </w:rPr>
        <w:t> </w:t>
      </w:r>
      <w:r>
        <w:rPr>
          <w:w w:val="105"/>
        </w:rPr>
        <w:t>remaining</w:t>
      </w:r>
      <w:r>
        <w:rPr>
          <w:spacing w:val="-2"/>
          <w:w w:val="105"/>
        </w:rPr>
        <w:t> </w:t>
      </w:r>
      <w:r>
        <w:rPr>
          <w:w w:val="105"/>
        </w:rPr>
        <w:t>service</w:t>
      </w:r>
      <w:r>
        <w:rPr>
          <w:spacing w:val="-2"/>
          <w:w w:val="105"/>
        </w:rPr>
        <w:t> </w:t>
      </w:r>
      <w:r>
        <w:rPr>
          <w:w w:val="105"/>
        </w:rPr>
        <w:t>period</w:t>
      </w:r>
      <w:r>
        <w:rPr>
          <w:spacing w:val="-2"/>
          <w:w w:val="105"/>
        </w:rPr>
        <w:t> </w:t>
      </w:r>
      <w:r>
        <w:rPr>
          <w:w w:val="105"/>
        </w:rPr>
        <w:t>of</w:t>
      </w:r>
      <w:r>
        <w:rPr>
          <w:spacing w:val="-2"/>
          <w:w w:val="105"/>
        </w:rPr>
        <w:t> </w:t>
      </w:r>
      <w:r>
        <w:rPr>
          <w:w w:val="105"/>
        </w:rPr>
        <w:t>employees</w:t>
      </w:r>
      <w:r>
        <w:rPr>
          <w:spacing w:val="-2"/>
          <w:w w:val="105"/>
        </w:rPr>
        <w:t> </w:t>
      </w:r>
      <w:r>
        <w:rPr>
          <w:w w:val="105"/>
        </w:rPr>
        <w:t>expected</w:t>
      </w:r>
      <w:r>
        <w:rPr>
          <w:spacing w:val="-2"/>
          <w:w w:val="105"/>
        </w:rPr>
        <w:t> </w:t>
      </w:r>
      <w:r>
        <w:rPr>
          <w:w w:val="105"/>
        </w:rPr>
        <w:t>to</w:t>
      </w:r>
      <w:r>
        <w:rPr>
          <w:spacing w:val="-2"/>
          <w:w w:val="105"/>
        </w:rPr>
        <w:t> </w:t>
      </w:r>
      <w:r>
        <w:rPr>
          <w:w w:val="105"/>
        </w:rPr>
        <w:t>receive benefits under the plans, to the extent such gains and losses are outside of the corridor.</w:t>
      </w:r>
    </w:p>
    <w:p>
      <w:pPr>
        <w:pStyle w:val="BodyText"/>
        <w:spacing w:before="18"/>
      </w:pPr>
    </w:p>
    <w:p>
      <w:pPr>
        <w:pStyle w:val="BodyText"/>
        <w:ind w:left="156"/>
      </w:pPr>
      <w:r>
        <w:rPr>
          <w:w w:val="105"/>
        </w:rPr>
        <w:t>The</w:t>
      </w:r>
      <w:r>
        <w:rPr>
          <w:spacing w:val="-9"/>
          <w:w w:val="105"/>
        </w:rPr>
        <w:t> </w:t>
      </w:r>
      <w:r>
        <w:rPr>
          <w:w w:val="105"/>
        </w:rPr>
        <w:t>following</w:t>
      </w:r>
      <w:r>
        <w:rPr>
          <w:spacing w:val="-8"/>
          <w:w w:val="105"/>
        </w:rPr>
        <w:t> </w:t>
      </w:r>
      <w:r>
        <w:rPr>
          <w:w w:val="105"/>
        </w:rPr>
        <w:t>table</w:t>
      </w:r>
      <w:r>
        <w:rPr>
          <w:spacing w:val="-8"/>
          <w:w w:val="105"/>
        </w:rPr>
        <w:t> </w:t>
      </w:r>
      <w:r>
        <w:rPr>
          <w:w w:val="105"/>
        </w:rPr>
        <w:t>presents</w:t>
      </w:r>
      <w:r>
        <w:rPr>
          <w:spacing w:val="-9"/>
          <w:w w:val="105"/>
        </w:rPr>
        <w:t> </w:t>
      </w:r>
      <w:r>
        <w:rPr>
          <w:w w:val="105"/>
        </w:rPr>
        <w:t>our</w:t>
      </w:r>
      <w:r>
        <w:rPr>
          <w:spacing w:val="-8"/>
          <w:w w:val="105"/>
        </w:rPr>
        <w:t> </w:t>
      </w:r>
      <w:r>
        <w:rPr>
          <w:w w:val="105"/>
        </w:rPr>
        <w:t>actual</w:t>
      </w:r>
      <w:r>
        <w:rPr>
          <w:spacing w:val="-8"/>
          <w:w w:val="105"/>
        </w:rPr>
        <w:t> </w:t>
      </w:r>
      <w:r>
        <w:rPr>
          <w:w w:val="105"/>
        </w:rPr>
        <w:t>and</w:t>
      </w:r>
      <w:r>
        <w:rPr>
          <w:spacing w:val="-9"/>
          <w:w w:val="105"/>
        </w:rPr>
        <w:t> </w:t>
      </w:r>
      <w:r>
        <w:rPr>
          <w:w w:val="105"/>
        </w:rPr>
        <w:t>expected</w:t>
      </w:r>
      <w:r>
        <w:rPr>
          <w:spacing w:val="-8"/>
          <w:w w:val="105"/>
        </w:rPr>
        <w:t> </w:t>
      </w:r>
      <w:r>
        <w:rPr>
          <w:w w:val="105"/>
        </w:rPr>
        <w:t>return</w:t>
      </w:r>
      <w:r>
        <w:rPr>
          <w:spacing w:val="-8"/>
          <w:w w:val="105"/>
        </w:rPr>
        <w:t> </w:t>
      </w:r>
      <w:r>
        <w:rPr>
          <w:w w:val="105"/>
        </w:rPr>
        <w:t>on</w:t>
      </w:r>
      <w:r>
        <w:rPr>
          <w:spacing w:val="-9"/>
          <w:w w:val="105"/>
        </w:rPr>
        <w:t> </w:t>
      </w:r>
      <w:r>
        <w:rPr>
          <w:w w:val="105"/>
        </w:rPr>
        <w:t>assets,</w:t>
      </w:r>
      <w:r>
        <w:rPr>
          <w:spacing w:val="-8"/>
          <w:w w:val="105"/>
        </w:rPr>
        <w:t> </w:t>
      </w:r>
      <w:r>
        <w:rPr>
          <w:w w:val="105"/>
        </w:rPr>
        <w:t>as</w:t>
      </w:r>
      <w:r>
        <w:rPr>
          <w:spacing w:val="-8"/>
          <w:w w:val="105"/>
        </w:rPr>
        <w:t> </w:t>
      </w:r>
      <w:r>
        <w:rPr>
          <w:w w:val="105"/>
        </w:rPr>
        <w:t>well</w:t>
      </w:r>
      <w:r>
        <w:rPr>
          <w:spacing w:val="-9"/>
          <w:w w:val="105"/>
        </w:rPr>
        <w:t> </w:t>
      </w:r>
      <w:r>
        <w:rPr>
          <w:w w:val="105"/>
        </w:rPr>
        <w:t>as</w:t>
      </w:r>
      <w:r>
        <w:rPr>
          <w:spacing w:val="-8"/>
          <w:w w:val="105"/>
        </w:rPr>
        <w:t> </w:t>
      </w:r>
      <w:r>
        <w:rPr>
          <w:w w:val="105"/>
        </w:rPr>
        <w:t>the</w:t>
      </w:r>
      <w:r>
        <w:rPr>
          <w:spacing w:val="-8"/>
          <w:w w:val="105"/>
        </w:rPr>
        <w:t> </w:t>
      </w:r>
      <w:r>
        <w:rPr>
          <w:w w:val="105"/>
        </w:rPr>
        <w:t>corresponding</w:t>
      </w:r>
      <w:r>
        <w:rPr>
          <w:spacing w:val="-9"/>
          <w:w w:val="105"/>
        </w:rPr>
        <w:t> </w:t>
      </w:r>
      <w:r>
        <w:rPr>
          <w:spacing w:val="-2"/>
          <w:w w:val="105"/>
        </w:rPr>
        <w:t>percentages:</w:t>
      </w:r>
    </w:p>
    <w:p>
      <w:pPr>
        <w:pStyle w:val="BodyText"/>
        <w:spacing w:before="5" w:after="1"/>
        <w:rPr>
          <w:sz w:val="12"/>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4"/>
        <w:gridCol w:w="328"/>
        <w:gridCol w:w="719"/>
        <w:gridCol w:w="692"/>
        <w:gridCol w:w="238"/>
        <w:gridCol w:w="1037"/>
        <w:gridCol w:w="480"/>
        <w:gridCol w:w="386"/>
        <w:gridCol w:w="738"/>
        <w:gridCol w:w="550"/>
      </w:tblGrid>
      <w:tr>
        <w:trPr>
          <w:trHeight w:val="200" w:hRule="atLeast"/>
        </w:trPr>
        <w:tc>
          <w:tcPr>
            <w:tcW w:w="8321" w:type="dxa"/>
            <w:gridSpan w:val="5"/>
            <w:tcBorders>
              <w:top w:val="single" w:sz="12" w:space="0" w:color="000000"/>
            </w:tcBorders>
          </w:tcPr>
          <w:p>
            <w:pPr>
              <w:pStyle w:val="TableParagraph"/>
              <w:rPr>
                <w:sz w:val="12"/>
              </w:rPr>
            </w:pPr>
          </w:p>
        </w:tc>
        <w:tc>
          <w:tcPr>
            <w:tcW w:w="1037" w:type="dxa"/>
            <w:tcBorders>
              <w:top w:val="single" w:sz="12" w:space="0" w:color="000000"/>
              <w:bottom w:val="single" w:sz="6" w:space="0" w:color="000000"/>
            </w:tcBorders>
          </w:tcPr>
          <w:p>
            <w:pPr>
              <w:pStyle w:val="TableParagraph"/>
              <w:spacing w:line="179" w:lineRule="exact" w:before="1"/>
              <w:ind w:left="39"/>
              <w:jc w:val="center"/>
              <w:rPr>
                <w:sz w:val="16"/>
              </w:rPr>
            </w:pPr>
            <w:r>
              <w:rPr>
                <w:sz w:val="16"/>
              </w:rPr>
              <w:t>December</w:t>
            </w:r>
            <w:r>
              <w:rPr>
                <w:spacing w:val="20"/>
                <w:sz w:val="16"/>
              </w:rPr>
              <w:t> </w:t>
            </w:r>
            <w:r>
              <w:rPr>
                <w:spacing w:val="-5"/>
                <w:sz w:val="16"/>
              </w:rPr>
              <w:t>31,</w:t>
            </w:r>
          </w:p>
        </w:tc>
        <w:tc>
          <w:tcPr>
            <w:tcW w:w="2154" w:type="dxa"/>
            <w:gridSpan w:val="4"/>
            <w:tcBorders>
              <w:top w:val="single" w:sz="12" w:space="0" w:color="000000"/>
              <w:bottom w:val="single" w:sz="6" w:space="0" w:color="000000"/>
            </w:tcBorders>
          </w:tcPr>
          <w:p>
            <w:pPr>
              <w:pStyle w:val="TableParagraph"/>
              <w:rPr>
                <w:sz w:val="12"/>
              </w:rPr>
            </w:pPr>
          </w:p>
        </w:tc>
      </w:tr>
      <w:tr>
        <w:trPr>
          <w:trHeight w:val="201" w:hRule="atLeast"/>
        </w:trPr>
        <w:tc>
          <w:tcPr>
            <w:tcW w:w="6344" w:type="dxa"/>
            <w:tcBorders>
              <w:bottom w:val="single" w:sz="6" w:space="0" w:color="000000"/>
            </w:tcBorders>
          </w:tcPr>
          <w:p>
            <w:pPr>
              <w:pStyle w:val="TableParagraph"/>
              <w:spacing w:line="179" w:lineRule="exact" w:before="2"/>
              <w:rPr>
                <w:sz w:val="16"/>
              </w:rPr>
            </w:pPr>
            <w:r>
              <w:rPr>
                <w:w w:val="105"/>
                <w:sz w:val="16"/>
              </w:rPr>
              <w:t>(In</w:t>
            </w:r>
            <w:r>
              <w:rPr>
                <w:spacing w:val="-5"/>
                <w:w w:val="105"/>
                <w:sz w:val="16"/>
              </w:rPr>
              <w:t> </w:t>
            </w:r>
            <w:r>
              <w:rPr>
                <w:spacing w:val="-2"/>
                <w:w w:val="105"/>
                <w:sz w:val="16"/>
              </w:rPr>
              <w:t>millions)</w:t>
            </w:r>
          </w:p>
        </w:tc>
        <w:tc>
          <w:tcPr>
            <w:tcW w:w="328" w:type="dxa"/>
            <w:tcBorders>
              <w:top w:val="single" w:sz="6" w:space="0" w:color="000000"/>
              <w:bottom w:val="single" w:sz="6" w:space="0" w:color="000000"/>
            </w:tcBorders>
          </w:tcPr>
          <w:p>
            <w:pPr>
              <w:pStyle w:val="TableParagraph"/>
              <w:rPr>
                <w:sz w:val="14"/>
              </w:rPr>
            </w:pPr>
          </w:p>
        </w:tc>
        <w:tc>
          <w:tcPr>
            <w:tcW w:w="719" w:type="dxa"/>
            <w:tcBorders>
              <w:top w:val="single" w:sz="6" w:space="0" w:color="000000"/>
              <w:bottom w:val="single" w:sz="6" w:space="0" w:color="000000"/>
            </w:tcBorders>
          </w:tcPr>
          <w:p>
            <w:pPr>
              <w:pStyle w:val="TableParagraph"/>
              <w:spacing w:line="179" w:lineRule="exact" w:before="2"/>
              <w:ind w:left="244"/>
              <w:rPr>
                <w:b/>
                <w:sz w:val="16"/>
              </w:rPr>
            </w:pPr>
            <w:r>
              <w:rPr>
                <w:b/>
                <w:spacing w:val="-4"/>
                <w:w w:val="105"/>
                <w:sz w:val="16"/>
              </w:rPr>
              <w:t>2021</w:t>
            </w:r>
          </w:p>
        </w:tc>
        <w:tc>
          <w:tcPr>
            <w:tcW w:w="692" w:type="dxa"/>
            <w:tcBorders>
              <w:top w:val="single" w:sz="6" w:space="0" w:color="000000"/>
              <w:bottom w:val="single" w:sz="6" w:space="0" w:color="000000"/>
            </w:tcBorders>
          </w:tcPr>
          <w:p>
            <w:pPr>
              <w:pStyle w:val="TableParagraph"/>
              <w:rPr>
                <w:sz w:val="14"/>
              </w:rPr>
            </w:pPr>
          </w:p>
        </w:tc>
        <w:tc>
          <w:tcPr>
            <w:tcW w:w="238" w:type="dxa"/>
            <w:tcBorders>
              <w:top w:val="single" w:sz="6" w:space="0" w:color="000000"/>
              <w:bottom w:val="single" w:sz="6" w:space="0" w:color="000000"/>
            </w:tcBorders>
          </w:tcPr>
          <w:p>
            <w:pPr>
              <w:pStyle w:val="TableParagraph"/>
              <w:rPr>
                <w:sz w:val="14"/>
              </w:rPr>
            </w:pPr>
          </w:p>
        </w:tc>
        <w:tc>
          <w:tcPr>
            <w:tcW w:w="1037" w:type="dxa"/>
            <w:tcBorders>
              <w:top w:val="single" w:sz="6" w:space="0" w:color="000000"/>
              <w:bottom w:val="single" w:sz="6" w:space="0" w:color="000000"/>
            </w:tcBorders>
          </w:tcPr>
          <w:p>
            <w:pPr>
              <w:pStyle w:val="TableParagraph"/>
              <w:spacing w:line="179" w:lineRule="exact" w:before="2"/>
              <w:ind w:left="129"/>
              <w:jc w:val="center"/>
              <w:rPr>
                <w:sz w:val="16"/>
              </w:rPr>
            </w:pPr>
            <w:r>
              <w:rPr>
                <w:spacing w:val="-4"/>
                <w:w w:val="105"/>
                <w:sz w:val="16"/>
              </w:rPr>
              <w:t>2020</w:t>
            </w:r>
          </w:p>
        </w:tc>
        <w:tc>
          <w:tcPr>
            <w:tcW w:w="480" w:type="dxa"/>
            <w:tcBorders>
              <w:top w:val="single" w:sz="6" w:space="0" w:color="000000"/>
              <w:bottom w:val="single" w:sz="6" w:space="0" w:color="000000"/>
            </w:tcBorders>
          </w:tcPr>
          <w:p>
            <w:pPr>
              <w:pStyle w:val="TableParagraph"/>
              <w:rPr>
                <w:sz w:val="14"/>
              </w:rPr>
            </w:pPr>
          </w:p>
        </w:tc>
        <w:tc>
          <w:tcPr>
            <w:tcW w:w="386" w:type="dxa"/>
            <w:tcBorders>
              <w:top w:val="single" w:sz="6" w:space="0" w:color="000000"/>
              <w:bottom w:val="single" w:sz="6" w:space="0" w:color="000000"/>
            </w:tcBorders>
          </w:tcPr>
          <w:p>
            <w:pPr>
              <w:pStyle w:val="TableParagraph"/>
              <w:rPr>
                <w:sz w:val="14"/>
              </w:rPr>
            </w:pPr>
          </w:p>
        </w:tc>
        <w:tc>
          <w:tcPr>
            <w:tcW w:w="738" w:type="dxa"/>
            <w:tcBorders>
              <w:top w:val="single" w:sz="6" w:space="0" w:color="000000"/>
              <w:bottom w:val="single" w:sz="6" w:space="0" w:color="000000"/>
            </w:tcBorders>
          </w:tcPr>
          <w:p>
            <w:pPr>
              <w:pStyle w:val="TableParagraph"/>
              <w:spacing w:line="179" w:lineRule="exact" w:before="2"/>
              <w:ind w:left="246"/>
              <w:rPr>
                <w:sz w:val="16"/>
              </w:rPr>
            </w:pPr>
            <w:r>
              <w:rPr>
                <w:spacing w:val="-4"/>
                <w:w w:val="105"/>
                <w:sz w:val="16"/>
              </w:rPr>
              <w:t>2019</w:t>
            </w:r>
          </w:p>
        </w:tc>
        <w:tc>
          <w:tcPr>
            <w:tcW w:w="550" w:type="dxa"/>
            <w:tcBorders>
              <w:top w:val="single" w:sz="6" w:space="0" w:color="000000"/>
              <w:bottom w:val="single" w:sz="6" w:space="0" w:color="000000"/>
            </w:tcBorders>
          </w:tcPr>
          <w:p>
            <w:pPr>
              <w:pStyle w:val="TableParagraph"/>
              <w:rPr>
                <w:sz w:val="14"/>
              </w:rPr>
            </w:pPr>
          </w:p>
        </w:tc>
      </w:tr>
      <w:tr>
        <w:trPr>
          <w:trHeight w:val="202" w:hRule="atLeast"/>
        </w:trPr>
        <w:tc>
          <w:tcPr>
            <w:tcW w:w="6344" w:type="dxa"/>
            <w:tcBorders>
              <w:top w:val="single" w:sz="6" w:space="0" w:color="000000"/>
            </w:tcBorders>
            <w:shd w:val="clear" w:color="auto" w:fill="CCEDFF"/>
          </w:tcPr>
          <w:p>
            <w:pPr>
              <w:pStyle w:val="TableParagraph"/>
              <w:spacing w:line="180" w:lineRule="exact" w:before="2"/>
              <w:ind w:left="152"/>
              <w:rPr>
                <w:sz w:val="16"/>
              </w:rPr>
            </w:pPr>
            <w:r>
              <w:rPr>
                <w:w w:val="105"/>
                <w:sz w:val="16"/>
              </w:rPr>
              <w:t>Actual</w:t>
            </w:r>
            <w:r>
              <w:rPr>
                <w:spacing w:val="-9"/>
                <w:w w:val="105"/>
                <w:sz w:val="16"/>
              </w:rPr>
              <w:t> </w:t>
            </w:r>
            <w:r>
              <w:rPr>
                <w:w w:val="105"/>
                <w:sz w:val="16"/>
              </w:rPr>
              <w:t>return</w:t>
            </w:r>
            <w:r>
              <w:rPr>
                <w:spacing w:val="-8"/>
                <w:w w:val="105"/>
                <w:sz w:val="16"/>
              </w:rPr>
              <w:t> </w:t>
            </w:r>
            <w:r>
              <w:rPr>
                <w:w w:val="105"/>
                <w:sz w:val="16"/>
              </w:rPr>
              <w:t>on</w:t>
            </w:r>
            <w:r>
              <w:rPr>
                <w:spacing w:val="-8"/>
                <w:w w:val="105"/>
                <w:sz w:val="16"/>
              </w:rPr>
              <w:t> </w:t>
            </w:r>
            <w:r>
              <w:rPr>
                <w:w w:val="105"/>
                <w:sz w:val="16"/>
              </w:rPr>
              <w:t>plan</w:t>
            </w:r>
            <w:r>
              <w:rPr>
                <w:spacing w:val="-8"/>
                <w:w w:val="105"/>
                <w:sz w:val="16"/>
              </w:rPr>
              <w:t> </w:t>
            </w:r>
            <w:r>
              <w:rPr>
                <w:w w:val="105"/>
                <w:sz w:val="16"/>
              </w:rPr>
              <w:t>assets</w:t>
            </w:r>
            <w:r>
              <w:rPr>
                <w:spacing w:val="-8"/>
                <w:w w:val="105"/>
                <w:sz w:val="16"/>
              </w:rPr>
              <w:t> </w:t>
            </w:r>
            <w:r>
              <w:rPr>
                <w:w w:val="105"/>
                <w:sz w:val="16"/>
              </w:rPr>
              <w:t>–</w:t>
            </w:r>
            <w:r>
              <w:rPr>
                <w:spacing w:val="-8"/>
                <w:w w:val="105"/>
                <w:sz w:val="16"/>
              </w:rPr>
              <w:t> </w:t>
            </w:r>
            <w:r>
              <w:rPr>
                <w:w w:val="105"/>
                <w:sz w:val="16"/>
              </w:rPr>
              <w:t>Domestic</w:t>
            </w:r>
            <w:r>
              <w:rPr>
                <w:spacing w:val="-8"/>
                <w:w w:val="105"/>
                <w:sz w:val="16"/>
              </w:rPr>
              <w:t> </w:t>
            </w:r>
            <w:r>
              <w:rPr>
                <w:spacing w:val="-2"/>
                <w:w w:val="105"/>
                <w:sz w:val="16"/>
              </w:rPr>
              <w:t>plans</w:t>
            </w:r>
          </w:p>
        </w:tc>
        <w:tc>
          <w:tcPr>
            <w:tcW w:w="328" w:type="dxa"/>
            <w:tcBorders>
              <w:top w:val="single" w:sz="6" w:space="0" w:color="000000"/>
            </w:tcBorders>
            <w:shd w:val="clear" w:color="auto" w:fill="CCEDFF"/>
          </w:tcPr>
          <w:p>
            <w:pPr>
              <w:pStyle w:val="TableParagraph"/>
              <w:spacing w:line="180" w:lineRule="exact" w:before="2"/>
              <w:ind w:left="-1"/>
              <w:rPr>
                <w:b/>
                <w:sz w:val="16"/>
              </w:rPr>
            </w:pPr>
            <w:r>
              <w:rPr>
                <w:b/>
                <w:spacing w:val="-10"/>
                <w:w w:val="105"/>
                <w:sz w:val="16"/>
              </w:rPr>
              <w:t>$</w:t>
            </w:r>
          </w:p>
        </w:tc>
        <w:tc>
          <w:tcPr>
            <w:tcW w:w="719" w:type="dxa"/>
            <w:tcBorders>
              <w:top w:val="single" w:sz="6" w:space="0" w:color="000000"/>
            </w:tcBorders>
            <w:shd w:val="clear" w:color="auto" w:fill="CCEDFF"/>
          </w:tcPr>
          <w:p>
            <w:pPr>
              <w:pStyle w:val="TableParagraph"/>
              <w:rPr>
                <w:sz w:val="14"/>
              </w:rPr>
            </w:pPr>
          </w:p>
        </w:tc>
        <w:tc>
          <w:tcPr>
            <w:tcW w:w="692" w:type="dxa"/>
            <w:tcBorders>
              <w:top w:val="single" w:sz="6" w:space="0" w:color="000000"/>
            </w:tcBorders>
            <w:shd w:val="clear" w:color="auto" w:fill="CCEDFF"/>
          </w:tcPr>
          <w:p>
            <w:pPr>
              <w:pStyle w:val="TableParagraph"/>
              <w:spacing w:line="180" w:lineRule="exact" w:before="2"/>
              <w:ind w:right="77"/>
              <w:jc w:val="center"/>
              <w:rPr>
                <w:b/>
                <w:sz w:val="16"/>
              </w:rPr>
            </w:pPr>
            <w:r>
              <w:rPr>
                <w:b/>
                <w:spacing w:val="-5"/>
                <w:w w:val="105"/>
                <w:sz w:val="16"/>
              </w:rPr>
              <w:t>208</w:t>
            </w:r>
          </w:p>
        </w:tc>
        <w:tc>
          <w:tcPr>
            <w:tcW w:w="238" w:type="dxa"/>
            <w:tcBorders>
              <w:top w:val="single" w:sz="6" w:space="0" w:color="000000"/>
            </w:tcBorders>
            <w:shd w:val="clear" w:color="auto" w:fill="CCEDFF"/>
          </w:tcPr>
          <w:p>
            <w:pPr>
              <w:pStyle w:val="TableParagraph"/>
              <w:spacing w:line="180" w:lineRule="exact" w:before="2"/>
              <w:ind w:left="82"/>
              <w:rPr>
                <w:sz w:val="16"/>
              </w:rPr>
            </w:pPr>
            <w:r>
              <w:rPr>
                <w:spacing w:val="-10"/>
                <w:w w:val="105"/>
                <w:sz w:val="16"/>
              </w:rPr>
              <w:t>$</w:t>
            </w:r>
          </w:p>
        </w:tc>
        <w:tc>
          <w:tcPr>
            <w:tcW w:w="1037" w:type="dxa"/>
            <w:tcBorders>
              <w:top w:val="single" w:sz="6" w:space="0" w:color="000000"/>
            </w:tcBorders>
            <w:shd w:val="clear" w:color="auto" w:fill="CCEDFF"/>
          </w:tcPr>
          <w:p>
            <w:pPr>
              <w:pStyle w:val="TableParagraph"/>
              <w:rPr>
                <w:sz w:val="14"/>
              </w:rPr>
            </w:pPr>
          </w:p>
        </w:tc>
        <w:tc>
          <w:tcPr>
            <w:tcW w:w="480" w:type="dxa"/>
            <w:tcBorders>
              <w:top w:val="single" w:sz="6" w:space="0" w:color="000000"/>
            </w:tcBorders>
            <w:shd w:val="clear" w:color="auto" w:fill="CCEDFF"/>
          </w:tcPr>
          <w:p>
            <w:pPr>
              <w:pStyle w:val="TableParagraph"/>
              <w:spacing w:line="180" w:lineRule="exact" w:before="2"/>
              <w:ind w:right="193"/>
              <w:jc w:val="right"/>
              <w:rPr>
                <w:sz w:val="16"/>
              </w:rPr>
            </w:pPr>
            <w:r>
              <w:rPr>
                <w:spacing w:val="-5"/>
                <w:w w:val="105"/>
                <w:sz w:val="16"/>
              </w:rPr>
              <w:t>420</w:t>
            </w:r>
          </w:p>
        </w:tc>
        <w:tc>
          <w:tcPr>
            <w:tcW w:w="386" w:type="dxa"/>
            <w:tcBorders>
              <w:top w:val="single" w:sz="6" w:space="0" w:color="000000"/>
            </w:tcBorders>
            <w:shd w:val="clear" w:color="auto" w:fill="CCEDFF"/>
          </w:tcPr>
          <w:p>
            <w:pPr>
              <w:pStyle w:val="TableParagraph"/>
              <w:spacing w:line="180" w:lineRule="exact" w:before="2"/>
              <w:ind w:left="59"/>
              <w:rPr>
                <w:sz w:val="16"/>
              </w:rPr>
            </w:pPr>
            <w:r>
              <w:rPr>
                <w:spacing w:val="-10"/>
                <w:w w:val="105"/>
                <w:sz w:val="16"/>
              </w:rPr>
              <w:t>$</w:t>
            </w:r>
          </w:p>
        </w:tc>
        <w:tc>
          <w:tcPr>
            <w:tcW w:w="738" w:type="dxa"/>
            <w:tcBorders>
              <w:top w:val="single" w:sz="6" w:space="0" w:color="000000"/>
            </w:tcBorders>
            <w:shd w:val="clear" w:color="auto" w:fill="CCEDFF"/>
          </w:tcPr>
          <w:p>
            <w:pPr>
              <w:pStyle w:val="TableParagraph"/>
              <w:rPr>
                <w:sz w:val="14"/>
              </w:rPr>
            </w:pPr>
          </w:p>
        </w:tc>
        <w:tc>
          <w:tcPr>
            <w:tcW w:w="550" w:type="dxa"/>
            <w:tcBorders>
              <w:top w:val="single" w:sz="6" w:space="0" w:color="000000"/>
            </w:tcBorders>
            <w:shd w:val="clear" w:color="auto" w:fill="CCEDFF"/>
          </w:tcPr>
          <w:p>
            <w:pPr>
              <w:pStyle w:val="TableParagraph"/>
              <w:spacing w:line="180" w:lineRule="exact" w:before="2"/>
              <w:ind w:left="28"/>
              <w:jc w:val="center"/>
              <w:rPr>
                <w:sz w:val="16"/>
              </w:rPr>
            </w:pPr>
            <w:r>
              <w:rPr>
                <w:spacing w:val="-5"/>
                <w:w w:val="105"/>
                <w:sz w:val="16"/>
              </w:rPr>
              <w:t>576</w:t>
            </w:r>
          </w:p>
        </w:tc>
      </w:tr>
      <w:tr>
        <w:trPr>
          <w:trHeight w:val="203" w:hRule="atLeast"/>
        </w:trPr>
        <w:tc>
          <w:tcPr>
            <w:tcW w:w="6344" w:type="dxa"/>
          </w:tcPr>
          <w:p>
            <w:pPr>
              <w:pStyle w:val="TableParagraph"/>
              <w:spacing w:line="180" w:lineRule="exact" w:before="3"/>
              <w:ind w:left="152"/>
              <w:rPr>
                <w:sz w:val="16"/>
              </w:rPr>
            </w:pPr>
            <w:r>
              <w:rPr>
                <w:w w:val="105"/>
                <w:sz w:val="16"/>
              </w:rPr>
              <w:t>Expected</w:t>
            </w:r>
            <w:r>
              <w:rPr>
                <w:spacing w:val="-8"/>
                <w:w w:val="105"/>
                <w:sz w:val="16"/>
              </w:rPr>
              <w:t> </w:t>
            </w:r>
            <w:r>
              <w:rPr>
                <w:w w:val="105"/>
                <w:sz w:val="16"/>
              </w:rPr>
              <w:t>return</w:t>
            </w:r>
            <w:r>
              <w:rPr>
                <w:spacing w:val="-8"/>
                <w:w w:val="105"/>
                <w:sz w:val="16"/>
              </w:rPr>
              <w:t> </w:t>
            </w:r>
            <w:r>
              <w:rPr>
                <w:w w:val="105"/>
                <w:sz w:val="16"/>
              </w:rPr>
              <w:t>on</w:t>
            </w:r>
            <w:r>
              <w:rPr>
                <w:spacing w:val="-8"/>
                <w:w w:val="105"/>
                <w:sz w:val="16"/>
              </w:rPr>
              <w:t> </w:t>
            </w:r>
            <w:r>
              <w:rPr>
                <w:w w:val="105"/>
                <w:sz w:val="16"/>
              </w:rPr>
              <w:t>plan</w:t>
            </w:r>
            <w:r>
              <w:rPr>
                <w:spacing w:val="-8"/>
                <w:w w:val="105"/>
                <w:sz w:val="16"/>
              </w:rPr>
              <w:t> </w:t>
            </w:r>
            <w:r>
              <w:rPr>
                <w:w w:val="105"/>
                <w:sz w:val="16"/>
              </w:rPr>
              <w:t>assets</w:t>
            </w:r>
            <w:r>
              <w:rPr>
                <w:spacing w:val="-8"/>
                <w:w w:val="105"/>
                <w:sz w:val="16"/>
              </w:rPr>
              <w:t> </w:t>
            </w:r>
            <w:r>
              <w:rPr>
                <w:w w:val="105"/>
                <w:sz w:val="16"/>
              </w:rPr>
              <w:t>–</w:t>
            </w:r>
            <w:r>
              <w:rPr>
                <w:spacing w:val="-8"/>
                <w:w w:val="105"/>
                <w:sz w:val="16"/>
              </w:rPr>
              <w:t> </w:t>
            </w:r>
            <w:r>
              <w:rPr>
                <w:w w:val="105"/>
                <w:sz w:val="16"/>
              </w:rPr>
              <w:t>Domestic</w:t>
            </w:r>
            <w:r>
              <w:rPr>
                <w:spacing w:val="-8"/>
                <w:w w:val="105"/>
                <w:sz w:val="16"/>
              </w:rPr>
              <w:t> </w:t>
            </w:r>
            <w:r>
              <w:rPr>
                <w:spacing w:val="-2"/>
                <w:w w:val="105"/>
                <w:sz w:val="16"/>
              </w:rPr>
              <w:t>plans</w:t>
            </w:r>
          </w:p>
        </w:tc>
        <w:tc>
          <w:tcPr>
            <w:tcW w:w="328" w:type="dxa"/>
          </w:tcPr>
          <w:p>
            <w:pPr>
              <w:pStyle w:val="TableParagraph"/>
              <w:rPr>
                <w:sz w:val="14"/>
              </w:rPr>
            </w:pPr>
          </w:p>
        </w:tc>
        <w:tc>
          <w:tcPr>
            <w:tcW w:w="719" w:type="dxa"/>
          </w:tcPr>
          <w:p>
            <w:pPr>
              <w:pStyle w:val="TableParagraph"/>
              <w:rPr>
                <w:sz w:val="14"/>
              </w:rPr>
            </w:pPr>
          </w:p>
        </w:tc>
        <w:tc>
          <w:tcPr>
            <w:tcW w:w="692" w:type="dxa"/>
          </w:tcPr>
          <w:p>
            <w:pPr>
              <w:pStyle w:val="TableParagraph"/>
              <w:spacing w:line="180" w:lineRule="exact" w:before="3"/>
              <w:ind w:right="77"/>
              <w:jc w:val="center"/>
              <w:rPr>
                <w:b/>
                <w:sz w:val="16"/>
              </w:rPr>
            </w:pPr>
            <w:r>
              <w:rPr>
                <w:b/>
                <w:spacing w:val="-5"/>
                <w:w w:val="105"/>
                <w:sz w:val="16"/>
              </w:rPr>
              <w:t>209</w:t>
            </w:r>
          </w:p>
        </w:tc>
        <w:tc>
          <w:tcPr>
            <w:tcW w:w="238" w:type="dxa"/>
          </w:tcPr>
          <w:p>
            <w:pPr>
              <w:pStyle w:val="TableParagraph"/>
              <w:rPr>
                <w:sz w:val="14"/>
              </w:rPr>
            </w:pPr>
          </w:p>
        </w:tc>
        <w:tc>
          <w:tcPr>
            <w:tcW w:w="1037" w:type="dxa"/>
          </w:tcPr>
          <w:p>
            <w:pPr>
              <w:pStyle w:val="TableParagraph"/>
              <w:rPr>
                <w:sz w:val="14"/>
              </w:rPr>
            </w:pPr>
          </w:p>
        </w:tc>
        <w:tc>
          <w:tcPr>
            <w:tcW w:w="480" w:type="dxa"/>
          </w:tcPr>
          <w:p>
            <w:pPr>
              <w:pStyle w:val="TableParagraph"/>
              <w:spacing w:line="180" w:lineRule="exact" w:before="3"/>
              <w:ind w:right="193"/>
              <w:jc w:val="right"/>
              <w:rPr>
                <w:sz w:val="16"/>
              </w:rPr>
            </w:pPr>
            <w:r>
              <w:rPr>
                <w:spacing w:val="-5"/>
                <w:w w:val="105"/>
                <w:sz w:val="16"/>
              </w:rPr>
              <w:t>186</w:t>
            </w:r>
          </w:p>
        </w:tc>
        <w:tc>
          <w:tcPr>
            <w:tcW w:w="386" w:type="dxa"/>
          </w:tcPr>
          <w:p>
            <w:pPr>
              <w:pStyle w:val="TableParagraph"/>
              <w:rPr>
                <w:sz w:val="14"/>
              </w:rPr>
            </w:pPr>
          </w:p>
        </w:tc>
        <w:tc>
          <w:tcPr>
            <w:tcW w:w="738" w:type="dxa"/>
          </w:tcPr>
          <w:p>
            <w:pPr>
              <w:pStyle w:val="TableParagraph"/>
              <w:rPr>
                <w:sz w:val="14"/>
              </w:rPr>
            </w:pPr>
          </w:p>
        </w:tc>
        <w:tc>
          <w:tcPr>
            <w:tcW w:w="550" w:type="dxa"/>
          </w:tcPr>
          <w:p>
            <w:pPr>
              <w:pStyle w:val="TableParagraph"/>
              <w:spacing w:line="180" w:lineRule="exact" w:before="3"/>
              <w:ind w:left="28"/>
              <w:jc w:val="center"/>
              <w:rPr>
                <w:sz w:val="16"/>
              </w:rPr>
            </w:pPr>
            <w:r>
              <w:rPr>
                <w:spacing w:val="-5"/>
                <w:w w:val="105"/>
                <w:sz w:val="16"/>
              </w:rPr>
              <w:t>161</w:t>
            </w:r>
          </w:p>
        </w:tc>
      </w:tr>
      <w:tr>
        <w:trPr>
          <w:trHeight w:val="203" w:hRule="atLeast"/>
        </w:trPr>
        <w:tc>
          <w:tcPr>
            <w:tcW w:w="6344" w:type="dxa"/>
            <w:shd w:val="clear" w:color="auto" w:fill="CCEDFF"/>
          </w:tcPr>
          <w:p>
            <w:pPr>
              <w:pStyle w:val="TableParagraph"/>
              <w:spacing w:line="180" w:lineRule="exact" w:before="3"/>
              <w:ind w:left="152"/>
              <w:rPr>
                <w:sz w:val="16"/>
              </w:rPr>
            </w:pPr>
            <w:r>
              <w:rPr>
                <w:w w:val="105"/>
                <w:sz w:val="16"/>
              </w:rPr>
              <w:t>Actual</w:t>
            </w:r>
            <w:r>
              <w:rPr>
                <w:spacing w:val="-9"/>
                <w:w w:val="105"/>
                <w:sz w:val="16"/>
              </w:rPr>
              <w:t> </w:t>
            </w:r>
            <w:r>
              <w:rPr>
                <w:w w:val="105"/>
                <w:sz w:val="16"/>
              </w:rPr>
              <w:t>return</w:t>
            </w:r>
            <w:r>
              <w:rPr>
                <w:spacing w:val="-9"/>
                <w:w w:val="105"/>
                <w:sz w:val="16"/>
              </w:rPr>
              <w:t> </w:t>
            </w:r>
            <w:r>
              <w:rPr>
                <w:w w:val="105"/>
                <w:sz w:val="16"/>
              </w:rPr>
              <w:t>on</w:t>
            </w:r>
            <w:r>
              <w:rPr>
                <w:spacing w:val="-9"/>
                <w:w w:val="105"/>
                <w:sz w:val="16"/>
              </w:rPr>
              <w:t> </w:t>
            </w:r>
            <w:r>
              <w:rPr>
                <w:w w:val="105"/>
                <w:sz w:val="16"/>
              </w:rPr>
              <w:t>plan</w:t>
            </w:r>
            <w:r>
              <w:rPr>
                <w:spacing w:val="-9"/>
                <w:w w:val="105"/>
                <w:sz w:val="16"/>
              </w:rPr>
              <w:t> </w:t>
            </w:r>
            <w:r>
              <w:rPr>
                <w:w w:val="105"/>
                <w:sz w:val="16"/>
              </w:rPr>
              <w:t>assets</w:t>
            </w:r>
            <w:r>
              <w:rPr>
                <w:spacing w:val="-9"/>
                <w:w w:val="105"/>
                <w:sz w:val="16"/>
              </w:rPr>
              <w:t> </w:t>
            </w:r>
            <w:r>
              <w:rPr>
                <w:w w:val="105"/>
                <w:sz w:val="16"/>
              </w:rPr>
              <w:t>–</w:t>
            </w:r>
            <w:r>
              <w:rPr>
                <w:spacing w:val="-7"/>
                <w:w w:val="105"/>
                <w:sz w:val="16"/>
              </w:rPr>
              <w:t> </w:t>
            </w:r>
            <w:r>
              <w:rPr>
                <w:w w:val="105"/>
                <w:sz w:val="16"/>
              </w:rPr>
              <w:t>International</w:t>
            </w:r>
            <w:r>
              <w:rPr>
                <w:spacing w:val="-9"/>
                <w:w w:val="105"/>
                <w:sz w:val="16"/>
              </w:rPr>
              <w:t> </w:t>
            </w:r>
            <w:r>
              <w:rPr>
                <w:spacing w:val="-2"/>
                <w:w w:val="105"/>
                <w:sz w:val="16"/>
              </w:rPr>
              <w:t>plans</w:t>
            </w:r>
          </w:p>
        </w:tc>
        <w:tc>
          <w:tcPr>
            <w:tcW w:w="328" w:type="dxa"/>
            <w:shd w:val="clear" w:color="auto" w:fill="CCEDFF"/>
          </w:tcPr>
          <w:p>
            <w:pPr>
              <w:pStyle w:val="TableParagraph"/>
              <w:rPr>
                <w:sz w:val="14"/>
              </w:rPr>
            </w:pPr>
          </w:p>
        </w:tc>
        <w:tc>
          <w:tcPr>
            <w:tcW w:w="719" w:type="dxa"/>
            <w:shd w:val="clear" w:color="auto" w:fill="CCEDFF"/>
          </w:tcPr>
          <w:p>
            <w:pPr>
              <w:pStyle w:val="TableParagraph"/>
              <w:rPr>
                <w:sz w:val="14"/>
              </w:rPr>
            </w:pPr>
          </w:p>
        </w:tc>
        <w:tc>
          <w:tcPr>
            <w:tcW w:w="692" w:type="dxa"/>
            <w:shd w:val="clear" w:color="auto" w:fill="CCEDFF"/>
          </w:tcPr>
          <w:p>
            <w:pPr>
              <w:pStyle w:val="TableParagraph"/>
              <w:spacing w:line="180" w:lineRule="exact" w:before="3"/>
              <w:ind w:left="85"/>
              <w:jc w:val="center"/>
              <w:rPr>
                <w:b/>
                <w:sz w:val="16"/>
              </w:rPr>
            </w:pPr>
            <w:r>
              <w:rPr>
                <w:b/>
                <w:spacing w:val="-5"/>
                <w:w w:val="105"/>
                <w:sz w:val="16"/>
              </w:rPr>
              <w:t>(2)</w:t>
            </w:r>
          </w:p>
        </w:tc>
        <w:tc>
          <w:tcPr>
            <w:tcW w:w="238" w:type="dxa"/>
            <w:shd w:val="clear" w:color="auto" w:fill="CCEDFF"/>
          </w:tcPr>
          <w:p>
            <w:pPr>
              <w:pStyle w:val="TableParagraph"/>
              <w:rPr>
                <w:sz w:val="14"/>
              </w:rPr>
            </w:pPr>
          </w:p>
        </w:tc>
        <w:tc>
          <w:tcPr>
            <w:tcW w:w="1037" w:type="dxa"/>
            <w:shd w:val="clear" w:color="auto" w:fill="CCEDFF"/>
          </w:tcPr>
          <w:p>
            <w:pPr>
              <w:pStyle w:val="TableParagraph"/>
              <w:rPr>
                <w:sz w:val="14"/>
              </w:rPr>
            </w:pPr>
          </w:p>
        </w:tc>
        <w:tc>
          <w:tcPr>
            <w:tcW w:w="480" w:type="dxa"/>
            <w:shd w:val="clear" w:color="auto" w:fill="CCEDFF"/>
          </w:tcPr>
          <w:p>
            <w:pPr>
              <w:pStyle w:val="TableParagraph"/>
              <w:spacing w:line="180" w:lineRule="exact" w:before="3"/>
              <w:ind w:right="193"/>
              <w:jc w:val="right"/>
              <w:rPr>
                <w:sz w:val="16"/>
              </w:rPr>
            </w:pPr>
            <w:r>
              <w:rPr>
                <w:spacing w:val="-5"/>
                <w:w w:val="105"/>
                <w:sz w:val="16"/>
              </w:rPr>
              <w:t>49</w:t>
            </w:r>
          </w:p>
        </w:tc>
        <w:tc>
          <w:tcPr>
            <w:tcW w:w="386" w:type="dxa"/>
            <w:shd w:val="clear" w:color="auto" w:fill="CCEDFF"/>
          </w:tcPr>
          <w:p>
            <w:pPr>
              <w:pStyle w:val="TableParagraph"/>
              <w:rPr>
                <w:sz w:val="14"/>
              </w:rPr>
            </w:pPr>
          </w:p>
        </w:tc>
        <w:tc>
          <w:tcPr>
            <w:tcW w:w="738" w:type="dxa"/>
            <w:shd w:val="clear" w:color="auto" w:fill="CCEDFF"/>
          </w:tcPr>
          <w:p>
            <w:pPr>
              <w:pStyle w:val="TableParagraph"/>
              <w:rPr>
                <w:sz w:val="14"/>
              </w:rPr>
            </w:pPr>
          </w:p>
        </w:tc>
        <w:tc>
          <w:tcPr>
            <w:tcW w:w="550" w:type="dxa"/>
            <w:shd w:val="clear" w:color="auto" w:fill="CCEDFF"/>
          </w:tcPr>
          <w:p>
            <w:pPr>
              <w:pStyle w:val="TableParagraph"/>
              <w:spacing w:line="180" w:lineRule="exact" w:before="3"/>
              <w:ind w:left="163" w:right="52"/>
              <w:jc w:val="center"/>
              <w:rPr>
                <w:sz w:val="16"/>
              </w:rPr>
            </w:pPr>
            <w:r>
              <w:rPr>
                <w:spacing w:val="-5"/>
                <w:w w:val="105"/>
                <w:sz w:val="16"/>
              </w:rPr>
              <w:t>39</w:t>
            </w:r>
          </w:p>
        </w:tc>
      </w:tr>
      <w:tr>
        <w:trPr>
          <w:trHeight w:val="203" w:hRule="atLeast"/>
        </w:trPr>
        <w:tc>
          <w:tcPr>
            <w:tcW w:w="6344" w:type="dxa"/>
          </w:tcPr>
          <w:p>
            <w:pPr>
              <w:pStyle w:val="TableParagraph"/>
              <w:spacing w:line="180" w:lineRule="exact" w:before="3"/>
              <w:ind w:left="152"/>
              <w:rPr>
                <w:sz w:val="16"/>
              </w:rPr>
            </w:pPr>
            <w:r>
              <w:rPr>
                <w:w w:val="105"/>
                <w:sz w:val="16"/>
              </w:rPr>
              <w:t>Expected</w:t>
            </w:r>
            <w:r>
              <w:rPr>
                <w:spacing w:val="-9"/>
                <w:w w:val="105"/>
                <w:sz w:val="16"/>
              </w:rPr>
              <w:t> </w:t>
            </w:r>
            <w:r>
              <w:rPr>
                <w:w w:val="105"/>
                <w:sz w:val="16"/>
              </w:rPr>
              <w:t>return</w:t>
            </w:r>
            <w:r>
              <w:rPr>
                <w:spacing w:val="-9"/>
                <w:w w:val="105"/>
                <w:sz w:val="16"/>
              </w:rPr>
              <w:t> </w:t>
            </w:r>
            <w:r>
              <w:rPr>
                <w:w w:val="105"/>
                <w:sz w:val="16"/>
              </w:rPr>
              <w:t>on</w:t>
            </w:r>
            <w:r>
              <w:rPr>
                <w:spacing w:val="-8"/>
                <w:w w:val="105"/>
                <w:sz w:val="16"/>
              </w:rPr>
              <w:t> </w:t>
            </w:r>
            <w:r>
              <w:rPr>
                <w:w w:val="105"/>
                <w:sz w:val="16"/>
              </w:rPr>
              <w:t>plan</w:t>
            </w:r>
            <w:r>
              <w:rPr>
                <w:spacing w:val="-9"/>
                <w:w w:val="105"/>
                <w:sz w:val="16"/>
              </w:rPr>
              <w:t> </w:t>
            </w:r>
            <w:r>
              <w:rPr>
                <w:w w:val="105"/>
                <w:sz w:val="16"/>
              </w:rPr>
              <w:t>assets</w:t>
            </w:r>
            <w:r>
              <w:rPr>
                <w:spacing w:val="-8"/>
                <w:w w:val="105"/>
                <w:sz w:val="16"/>
              </w:rPr>
              <w:t> </w:t>
            </w:r>
            <w:r>
              <w:rPr>
                <w:w w:val="105"/>
                <w:sz w:val="16"/>
              </w:rPr>
              <w:t>–</w:t>
            </w:r>
            <w:r>
              <w:rPr>
                <w:spacing w:val="-9"/>
                <w:w w:val="105"/>
                <w:sz w:val="16"/>
              </w:rPr>
              <w:t> </w:t>
            </w:r>
            <w:r>
              <w:rPr>
                <w:w w:val="105"/>
                <w:sz w:val="16"/>
              </w:rPr>
              <w:t>International</w:t>
            </w:r>
            <w:r>
              <w:rPr>
                <w:spacing w:val="-8"/>
                <w:w w:val="105"/>
                <w:sz w:val="16"/>
              </w:rPr>
              <w:t> </w:t>
            </w:r>
            <w:r>
              <w:rPr>
                <w:spacing w:val="-2"/>
                <w:w w:val="105"/>
                <w:sz w:val="16"/>
              </w:rPr>
              <w:t>plans</w:t>
            </w:r>
          </w:p>
        </w:tc>
        <w:tc>
          <w:tcPr>
            <w:tcW w:w="328" w:type="dxa"/>
          </w:tcPr>
          <w:p>
            <w:pPr>
              <w:pStyle w:val="TableParagraph"/>
              <w:rPr>
                <w:sz w:val="14"/>
              </w:rPr>
            </w:pPr>
          </w:p>
        </w:tc>
        <w:tc>
          <w:tcPr>
            <w:tcW w:w="719" w:type="dxa"/>
          </w:tcPr>
          <w:p>
            <w:pPr>
              <w:pStyle w:val="TableParagraph"/>
              <w:rPr>
                <w:sz w:val="14"/>
              </w:rPr>
            </w:pPr>
          </w:p>
        </w:tc>
        <w:tc>
          <w:tcPr>
            <w:tcW w:w="692" w:type="dxa"/>
          </w:tcPr>
          <w:p>
            <w:pPr>
              <w:pStyle w:val="TableParagraph"/>
              <w:spacing w:line="180" w:lineRule="exact" w:before="3"/>
              <w:ind w:left="85"/>
              <w:jc w:val="center"/>
              <w:rPr>
                <w:b/>
                <w:sz w:val="16"/>
              </w:rPr>
            </w:pPr>
            <w:r>
              <w:rPr>
                <w:b/>
                <w:spacing w:val="-10"/>
                <w:w w:val="105"/>
                <w:sz w:val="16"/>
              </w:rPr>
              <w:t>7</w:t>
            </w:r>
          </w:p>
        </w:tc>
        <w:tc>
          <w:tcPr>
            <w:tcW w:w="238" w:type="dxa"/>
          </w:tcPr>
          <w:p>
            <w:pPr>
              <w:pStyle w:val="TableParagraph"/>
              <w:rPr>
                <w:sz w:val="14"/>
              </w:rPr>
            </w:pPr>
          </w:p>
        </w:tc>
        <w:tc>
          <w:tcPr>
            <w:tcW w:w="1037" w:type="dxa"/>
          </w:tcPr>
          <w:p>
            <w:pPr>
              <w:pStyle w:val="TableParagraph"/>
              <w:rPr>
                <w:sz w:val="14"/>
              </w:rPr>
            </w:pPr>
          </w:p>
        </w:tc>
        <w:tc>
          <w:tcPr>
            <w:tcW w:w="480" w:type="dxa"/>
          </w:tcPr>
          <w:p>
            <w:pPr>
              <w:pStyle w:val="TableParagraph"/>
              <w:spacing w:line="180" w:lineRule="exact" w:before="3"/>
              <w:ind w:right="193"/>
              <w:jc w:val="right"/>
              <w:rPr>
                <w:sz w:val="16"/>
              </w:rPr>
            </w:pPr>
            <w:r>
              <w:rPr>
                <w:spacing w:val="-10"/>
                <w:w w:val="105"/>
                <w:sz w:val="16"/>
              </w:rPr>
              <w:t>9</w:t>
            </w:r>
          </w:p>
        </w:tc>
        <w:tc>
          <w:tcPr>
            <w:tcW w:w="386" w:type="dxa"/>
          </w:tcPr>
          <w:p>
            <w:pPr>
              <w:pStyle w:val="TableParagraph"/>
              <w:rPr>
                <w:sz w:val="14"/>
              </w:rPr>
            </w:pPr>
          </w:p>
        </w:tc>
        <w:tc>
          <w:tcPr>
            <w:tcW w:w="738" w:type="dxa"/>
          </w:tcPr>
          <w:p>
            <w:pPr>
              <w:pStyle w:val="TableParagraph"/>
              <w:rPr>
                <w:sz w:val="14"/>
              </w:rPr>
            </w:pPr>
          </w:p>
        </w:tc>
        <w:tc>
          <w:tcPr>
            <w:tcW w:w="550" w:type="dxa"/>
          </w:tcPr>
          <w:p>
            <w:pPr>
              <w:pStyle w:val="TableParagraph"/>
              <w:spacing w:line="180" w:lineRule="exact" w:before="3"/>
              <w:ind w:left="163" w:right="52"/>
              <w:jc w:val="center"/>
              <w:rPr>
                <w:sz w:val="16"/>
              </w:rPr>
            </w:pPr>
            <w:r>
              <w:rPr>
                <w:spacing w:val="-5"/>
                <w:w w:val="105"/>
                <w:sz w:val="16"/>
              </w:rPr>
              <w:t>10</w:t>
            </w:r>
          </w:p>
        </w:tc>
      </w:tr>
      <w:tr>
        <w:trPr>
          <w:trHeight w:val="203" w:hRule="atLeast"/>
        </w:trPr>
        <w:tc>
          <w:tcPr>
            <w:tcW w:w="6344" w:type="dxa"/>
            <w:shd w:val="clear" w:color="auto" w:fill="CCEDFF"/>
          </w:tcPr>
          <w:p>
            <w:pPr>
              <w:pStyle w:val="TableParagraph"/>
              <w:rPr>
                <w:sz w:val="14"/>
              </w:rPr>
            </w:pPr>
          </w:p>
        </w:tc>
        <w:tc>
          <w:tcPr>
            <w:tcW w:w="328" w:type="dxa"/>
            <w:shd w:val="clear" w:color="auto" w:fill="CCEDFF"/>
          </w:tcPr>
          <w:p>
            <w:pPr>
              <w:pStyle w:val="TableParagraph"/>
              <w:rPr>
                <w:sz w:val="14"/>
              </w:rPr>
            </w:pPr>
          </w:p>
        </w:tc>
        <w:tc>
          <w:tcPr>
            <w:tcW w:w="719" w:type="dxa"/>
            <w:shd w:val="clear" w:color="auto" w:fill="CCEDFF"/>
          </w:tcPr>
          <w:p>
            <w:pPr>
              <w:pStyle w:val="TableParagraph"/>
              <w:rPr>
                <w:sz w:val="14"/>
              </w:rPr>
            </w:pPr>
          </w:p>
        </w:tc>
        <w:tc>
          <w:tcPr>
            <w:tcW w:w="692" w:type="dxa"/>
            <w:shd w:val="clear" w:color="auto" w:fill="CCEDFF"/>
          </w:tcPr>
          <w:p>
            <w:pPr>
              <w:pStyle w:val="TableParagraph"/>
              <w:rPr>
                <w:sz w:val="14"/>
              </w:rPr>
            </w:pPr>
          </w:p>
        </w:tc>
        <w:tc>
          <w:tcPr>
            <w:tcW w:w="238" w:type="dxa"/>
            <w:shd w:val="clear" w:color="auto" w:fill="CCEDFF"/>
          </w:tcPr>
          <w:p>
            <w:pPr>
              <w:pStyle w:val="TableParagraph"/>
              <w:rPr>
                <w:sz w:val="14"/>
              </w:rPr>
            </w:pPr>
          </w:p>
        </w:tc>
        <w:tc>
          <w:tcPr>
            <w:tcW w:w="1037" w:type="dxa"/>
            <w:shd w:val="clear" w:color="auto" w:fill="CCEDFF"/>
          </w:tcPr>
          <w:p>
            <w:pPr>
              <w:pStyle w:val="TableParagraph"/>
              <w:rPr>
                <w:sz w:val="14"/>
              </w:rPr>
            </w:pPr>
          </w:p>
        </w:tc>
        <w:tc>
          <w:tcPr>
            <w:tcW w:w="480" w:type="dxa"/>
            <w:shd w:val="clear" w:color="auto" w:fill="CCEDFF"/>
          </w:tcPr>
          <w:p>
            <w:pPr>
              <w:pStyle w:val="TableParagraph"/>
              <w:rPr>
                <w:sz w:val="14"/>
              </w:rPr>
            </w:pPr>
          </w:p>
        </w:tc>
        <w:tc>
          <w:tcPr>
            <w:tcW w:w="386" w:type="dxa"/>
            <w:shd w:val="clear" w:color="auto" w:fill="CCEDFF"/>
          </w:tcPr>
          <w:p>
            <w:pPr>
              <w:pStyle w:val="TableParagraph"/>
              <w:rPr>
                <w:sz w:val="14"/>
              </w:rPr>
            </w:pPr>
          </w:p>
        </w:tc>
        <w:tc>
          <w:tcPr>
            <w:tcW w:w="738" w:type="dxa"/>
            <w:shd w:val="clear" w:color="auto" w:fill="CCEDFF"/>
          </w:tcPr>
          <w:p>
            <w:pPr>
              <w:pStyle w:val="TableParagraph"/>
              <w:rPr>
                <w:sz w:val="14"/>
              </w:rPr>
            </w:pPr>
          </w:p>
        </w:tc>
        <w:tc>
          <w:tcPr>
            <w:tcW w:w="550" w:type="dxa"/>
            <w:shd w:val="clear" w:color="auto" w:fill="CCEDFF"/>
          </w:tcPr>
          <w:p>
            <w:pPr>
              <w:pStyle w:val="TableParagraph"/>
              <w:rPr>
                <w:sz w:val="14"/>
              </w:rPr>
            </w:pPr>
          </w:p>
        </w:tc>
      </w:tr>
      <w:tr>
        <w:trPr>
          <w:trHeight w:val="203" w:hRule="atLeast"/>
        </w:trPr>
        <w:tc>
          <w:tcPr>
            <w:tcW w:w="7391" w:type="dxa"/>
            <w:gridSpan w:val="3"/>
          </w:tcPr>
          <w:p>
            <w:pPr>
              <w:pStyle w:val="TableParagraph"/>
              <w:spacing w:line="180" w:lineRule="exact" w:before="3"/>
              <w:rPr>
                <w:sz w:val="16"/>
              </w:rPr>
            </w:pPr>
            <w:r>
              <w:rPr>
                <w:sz w:val="16"/>
              </w:rPr>
              <w:t>Weighted-average</w:t>
            </w:r>
            <w:r>
              <w:rPr>
                <w:spacing w:val="15"/>
                <w:sz w:val="16"/>
              </w:rPr>
              <w:t> </w:t>
            </w:r>
            <w:r>
              <w:rPr>
                <w:sz w:val="16"/>
              </w:rPr>
              <w:t>actual</w:t>
            </w:r>
            <w:r>
              <w:rPr>
                <w:spacing w:val="15"/>
                <w:sz w:val="16"/>
              </w:rPr>
              <w:t> </w:t>
            </w:r>
            <w:r>
              <w:rPr>
                <w:sz w:val="16"/>
              </w:rPr>
              <w:t>and</w:t>
            </w:r>
            <w:r>
              <w:rPr>
                <w:spacing w:val="15"/>
                <w:sz w:val="16"/>
              </w:rPr>
              <w:t> </w:t>
            </w:r>
            <w:r>
              <w:rPr>
                <w:sz w:val="16"/>
              </w:rPr>
              <w:t>expected</w:t>
            </w:r>
            <w:r>
              <w:rPr>
                <w:spacing w:val="15"/>
                <w:sz w:val="16"/>
              </w:rPr>
              <w:t> </w:t>
            </w:r>
            <w:r>
              <w:rPr>
                <w:sz w:val="16"/>
              </w:rPr>
              <w:t>return</w:t>
            </w:r>
            <w:r>
              <w:rPr>
                <w:spacing w:val="15"/>
                <w:sz w:val="16"/>
              </w:rPr>
              <w:t> </w:t>
            </w:r>
            <w:r>
              <w:rPr>
                <w:sz w:val="16"/>
              </w:rPr>
              <w:t>on</w:t>
            </w:r>
            <w:r>
              <w:rPr>
                <w:spacing w:val="15"/>
                <w:sz w:val="16"/>
              </w:rPr>
              <w:t> </w:t>
            </w:r>
            <w:r>
              <w:rPr>
                <w:spacing w:val="-2"/>
                <w:sz w:val="16"/>
              </w:rPr>
              <w:t>assets:</w:t>
            </w:r>
          </w:p>
        </w:tc>
        <w:tc>
          <w:tcPr>
            <w:tcW w:w="692" w:type="dxa"/>
          </w:tcPr>
          <w:p>
            <w:pPr>
              <w:pStyle w:val="TableParagraph"/>
              <w:rPr>
                <w:sz w:val="14"/>
              </w:rPr>
            </w:pPr>
          </w:p>
        </w:tc>
        <w:tc>
          <w:tcPr>
            <w:tcW w:w="1755" w:type="dxa"/>
            <w:gridSpan w:val="3"/>
          </w:tcPr>
          <w:p>
            <w:pPr>
              <w:pStyle w:val="TableParagraph"/>
              <w:rPr>
                <w:sz w:val="14"/>
              </w:rPr>
            </w:pPr>
          </w:p>
        </w:tc>
        <w:tc>
          <w:tcPr>
            <w:tcW w:w="1674" w:type="dxa"/>
            <w:gridSpan w:val="3"/>
          </w:tcPr>
          <w:p>
            <w:pPr>
              <w:pStyle w:val="TableParagraph"/>
              <w:rPr>
                <w:sz w:val="14"/>
              </w:rPr>
            </w:pPr>
          </w:p>
        </w:tc>
      </w:tr>
      <w:tr>
        <w:trPr>
          <w:trHeight w:val="203" w:hRule="atLeast"/>
        </w:trPr>
        <w:tc>
          <w:tcPr>
            <w:tcW w:w="7391" w:type="dxa"/>
            <w:gridSpan w:val="3"/>
            <w:shd w:val="clear" w:color="auto" w:fill="CCEDFF"/>
          </w:tcPr>
          <w:p>
            <w:pPr>
              <w:pStyle w:val="TableParagraph"/>
              <w:spacing w:line="180" w:lineRule="exact" w:before="3"/>
              <w:ind w:left="152"/>
              <w:rPr>
                <w:sz w:val="16"/>
              </w:rPr>
            </w:pPr>
            <w:r>
              <w:rPr>
                <w:w w:val="105"/>
                <w:sz w:val="16"/>
              </w:rPr>
              <w:t>Actual</w:t>
            </w:r>
            <w:r>
              <w:rPr>
                <w:spacing w:val="-9"/>
                <w:w w:val="105"/>
                <w:sz w:val="16"/>
              </w:rPr>
              <w:t> </w:t>
            </w:r>
            <w:r>
              <w:rPr>
                <w:w w:val="105"/>
                <w:sz w:val="16"/>
              </w:rPr>
              <w:t>return</w:t>
            </w:r>
            <w:r>
              <w:rPr>
                <w:spacing w:val="-8"/>
                <w:w w:val="105"/>
                <w:sz w:val="16"/>
              </w:rPr>
              <w:t> </w:t>
            </w:r>
            <w:r>
              <w:rPr>
                <w:w w:val="105"/>
                <w:sz w:val="16"/>
              </w:rPr>
              <w:t>on</w:t>
            </w:r>
            <w:r>
              <w:rPr>
                <w:spacing w:val="-8"/>
                <w:w w:val="105"/>
                <w:sz w:val="16"/>
              </w:rPr>
              <w:t> </w:t>
            </w:r>
            <w:r>
              <w:rPr>
                <w:w w:val="105"/>
                <w:sz w:val="16"/>
              </w:rPr>
              <w:t>plan</w:t>
            </w:r>
            <w:r>
              <w:rPr>
                <w:spacing w:val="-8"/>
                <w:w w:val="105"/>
                <w:sz w:val="16"/>
              </w:rPr>
              <w:t> </w:t>
            </w:r>
            <w:r>
              <w:rPr>
                <w:w w:val="105"/>
                <w:sz w:val="16"/>
              </w:rPr>
              <w:t>assets</w:t>
            </w:r>
            <w:r>
              <w:rPr>
                <w:spacing w:val="-8"/>
                <w:w w:val="105"/>
                <w:sz w:val="16"/>
              </w:rPr>
              <w:t> </w:t>
            </w:r>
            <w:r>
              <w:rPr>
                <w:w w:val="105"/>
                <w:sz w:val="16"/>
              </w:rPr>
              <w:t>–</w:t>
            </w:r>
            <w:r>
              <w:rPr>
                <w:spacing w:val="-8"/>
                <w:w w:val="105"/>
                <w:sz w:val="16"/>
              </w:rPr>
              <w:t> </w:t>
            </w:r>
            <w:r>
              <w:rPr>
                <w:w w:val="105"/>
                <w:sz w:val="16"/>
              </w:rPr>
              <w:t>Domestic</w:t>
            </w:r>
            <w:r>
              <w:rPr>
                <w:spacing w:val="-8"/>
                <w:w w:val="105"/>
                <w:sz w:val="16"/>
              </w:rPr>
              <w:t> </w:t>
            </w:r>
            <w:r>
              <w:rPr>
                <w:spacing w:val="-2"/>
                <w:w w:val="105"/>
                <w:sz w:val="16"/>
              </w:rPr>
              <w:t>plans</w:t>
            </w:r>
          </w:p>
        </w:tc>
        <w:tc>
          <w:tcPr>
            <w:tcW w:w="692" w:type="dxa"/>
            <w:shd w:val="clear" w:color="auto" w:fill="CCEDFF"/>
          </w:tcPr>
          <w:p>
            <w:pPr>
              <w:pStyle w:val="TableParagraph"/>
              <w:spacing w:line="180" w:lineRule="exact" w:before="3"/>
              <w:ind w:left="121" w:right="77"/>
              <w:jc w:val="center"/>
              <w:rPr>
                <w:b/>
                <w:sz w:val="16"/>
              </w:rPr>
            </w:pPr>
            <w:r>
              <w:rPr>
                <w:b/>
                <w:spacing w:val="-2"/>
                <w:w w:val="105"/>
                <w:sz w:val="16"/>
              </w:rPr>
              <w:t>6.17%</w:t>
            </w:r>
          </w:p>
        </w:tc>
        <w:tc>
          <w:tcPr>
            <w:tcW w:w="1755" w:type="dxa"/>
            <w:gridSpan w:val="3"/>
            <w:shd w:val="clear" w:color="auto" w:fill="CCEDFF"/>
          </w:tcPr>
          <w:p>
            <w:pPr>
              <w:pStyle w:val="TableParagraph"/>
              <w:spacing w:line="180" w:lineRule="exact" w:before="3"/>
              <w:ind w:right="55"/>
              <w:jc w:val="right"/>
              <w:rPr>
                <w:sz w:val="16"/>
              </w:rPr>
            </w:pPr>
            <w:r>
              <w:rPr>
                <w:spacing w:val="-2"/>
                <w:w w:val="105"/>
                <w:sz w:val="16"/>
              </w:rPr>
              <w:t>13.90%</w:t>
            </w:r>
          </w:p>
        </w:tc>
        <w:tc>
          <w:tcPr>
            <w:tcW w:w="1674" w:type="dxa"/>
            <w:gridSpan w:val="3"/>
            <w:shd w:val="clear" w:color="auto" w:fill="CCEDFF"/>
          </w:tcPr>
          <w:p>
            <w:pPr>
              <w:pStyle w:val="TableParagraph"/>
              <w:spacing w:line="180" w:lineRule="exact" w:before="3"/>
              <w:ind w:right="-15"/>
              <w:jc w:val="right"/>
              <w:rPr>
                <w:sz w:val="16"/>
              </w:rPr>
            </w:pPr>
            <w:r>
              <w:rPr>
                <w:spacing w:val="-2"/>
                <w:w w:val="105"/>
                <w:sz w:val="16"/>
              </w:rPr>
              <w:t>21.89%</w:t>
            </w:r>
          </w:p>
        </w:tc>
      </w:tr>
      <w:tr>
        <w:trPr>
          <w:trHeight w:val="203" w:hRule="atLeast"/>
        </w:trPr>
        <w:tc>
          <w:tcPr>
            <w:tcW w:w="7391" w:type="dxa"/>
            <w:gridSpan w:val="3"/>
          </w:tcPr>
          <w:p>
            <w:pPr>
              <w:pStyle w:val="TableParagraph"/>
              <w:spacing w:line="180" w:lineRule="exact" w:before="3"/>
              <w:ind w:left="152"/>
              <w:rPr>
                <w:sz w:val="16"/>
              </w:rPr>
            </w:pPr>
            <w:r>
              <w:rPr>
                <w:w w:val="105"/>
                <w:sz w:val="16"/>
              </w:rPr>
              <w:t>Expected</w:t>
            </w:r>
            <w:r>
              <w:rPr>
                <w:spacing w:val="-8"/>
                <w:w w:val="105"/>
                <w:sz w:val="16"/>
              </w:rPr>
              <w:t> </w:t>
            </w:r>
            <w:r>
              <w:rPr>
                <w:w w:val="105"/>
                <w:sz w:val="16"/>
              </w:rPr>
              <w:t>return</w:t>
            </w:r>
            <w:r>
              <w:rPr>
                <w:spacing w:val="-8"/>
                <w:w w:val="105"/>
                <w:sz w:val="16"/>
              </w:rPr>
              <w:t> </w:t>
            </w:r>
            <w:r>
              <w:rPr>
                <w:w w:val="105"/>
                <w:sz w:val="16"/>
              </w:rPr>
              <w:t>on</w:t>
            </w:r>
            <w:r>
              <w:rPr>
                <w:spacing w:val="-8"/>
                <w:w w:val="105"/>
                <w:sz w:val="16"/>
              </w:rPr>
              <w:t> </w:t>
            </w:r>
            <w:r>
              <w:rPr>
                <w:w w:val="105"/>
                <w:sz w:val="16"/>
              </w:rPr>
              <w:t>plan</w:t>
            </w:r>
            <w:r>
              <w:rPr>
                <w:spacing w:val="-8"/>
                <w:w w:val="105"/>
                <w:sz w:val="16"/>
              </w:rPr>
              <w:t> </w:t>
            </w:r>
            <w:r>
              <w:rPr>
                <w:w w:val="105"/>
                <w:sz w:val="16"/>
              </w:rPr>
              <w:t>assets</w:t>
            </w:r>
            <w:r>
              <w:rPr>
                <w:spacing w:val="-8"/>
                <w:w w:val="105"/>
                <w:sz w:val="16"/>
              </w:rPr>
              <w:t> </w:t>
            </w:r>
            <w:r>
              <w:rPr>
                <w:w w:val="105"/>
                <w:sz w:val="16"/>
              </w:rPr>
              <w:t>–</w:t>
            </w:r>
            <w:r>
              <w:rPr>
                <w:spacing w:val="-8"/>
                <w:w w:val="105"/>
                <w:sz w:val="16"/>
              </w:rPr>
              <w:t> </w:t>
            </w:r>
            <w:r>
              <w:rPr>
                <w:w w:val="105"/>
                <w:sz w:val="16"/>
              </w:rPr>
              <w:t>Domestic</w:t>
            </w:r>
            <w:r>
              <w:rPr>
                <w:spacing w:val="-8"/>
                <w:w w:val="105"/>
                <w:sz w:val="16"/>
              </w:rPr>
              <w:t> </w:t>
            </w:r>
            <w:r>
              <w:rPr>
                <w:spacing w:val="-2"/>
                <w:w w:val="105"/>
                <w:sz w:val="16"/>
              </w:rPr>
              <w:t>plans</w:t>
            </w:r>
          </w:p>
        </w:tc>
        <w:tc>
          <w:tcPr>
            <w:tcW w:w="692" w:type="dxa"/>
          </w:tcPr>
          <w:p>
            <w:pPr>
              <w:pStyle w:val="TableParagraph"/>
              <w:spacing w:line="180" w:lineRule="exact" w:before="3"/>
              <w:ind w:left="121" w:right="77"/>
              <w:jc w:val="center"/>
              <w:rPr>
                <w:b/>
                <w:sz w:val="16"/>
              </w:rPr>
            </w:pPr>
            <w:r>
              <w:rPr>
                <w:b/>
                <w:spacing w:val="-2"/>
                <w:w w:val="105"/>
                <w:sz w:val="16"/>
              </w:rPr>
              <w:t>6.00%</w:t>
            </w:r>
          </w:p>
        </w:tc>
        <w:tc>
          <w:tcPr>
            <w:tcW w:w="1755" w:type="dxa"/>
            <w:gridSpan w:val="3"/>
          </w:tcPr>
          <w:p>
            <w:pPr>
              <w:pStyle w:val="TableParagraph"/>
              <w:spacing w:line="180" w:lineRule="exact" w:before="3"/>
              <w:ind w:right="55"/>
              <w:jc w:val="right"/>
              <w:rPr>
                <w:sz w:val="16"/>
              </w:rPr>
            </w:pPr>
            <w:r>
              <w:rPr>
                <w:spacing w:val="-2"/>
                <w:w w:val="105"/>
                <w:sz w:val="16"/>
              </w:rPr>
              <w:t>6.00%</w:t>
            </w:r>
          </w:p>
        </w:tc>
        <w:tc>
          <w:tcPr>
            <w:tcW w:w="1674" w:type="dxa"/>
            <w:gridSpan w:val="3"/>
          </w:tcPr>
          <w:p>
            <w:pPr>
              <w:pStyle w:val="TableParagraph"/>
              <w:spacing w:line="180" w:lineRule="exact" w:before="3"/>
              <w:ind w:right="-15"/>
              <w:jc w:val="right"/>
              <w:rPr>
                <w:sz w:val="16"/>
              </w:rPr>
            </w:pPr>
            <w:r>
              <w:rPr>
                <w:spacing w:val="-2"/>
                <w:w w:val="105"/>
                <w:sz w:val="16"/>
              </w:rPr>
              <w:t>6.00%</w:t>
            </w:r>
          </w:p>
        </w:tc>
      </w:tr>
      <w:tr>
        <w:trPr>
          <w:trHeight w:val="203" w:hRule="atLeast"/>
        </w:trPr>
        <w:tc>
          <w:tcPr>
            <w:tcW w:w="7391" w:type="dxa"/>
            <w:gridSpan w:val="3"/>
            <w:shd w:val="clear" w:color="auto" w:fill="CCEDFF"/>
          </w:tcPr>
          <w:p>
            <w:pPr>
              <w:pStyle w:val="TableParagraph"/>
              <w:spacing w:line="180" w:lineRule="exact" w:before="3"/>
              <w:ind w:left="152"/>
              <w:rPr>
                <w:sz w:val="16"/>
              </w:rPr>
            </w:pPr>
            <w:r>
              <w:rPr>
                <w:w w:val="105"/>
                <w:sz w:val="16"/>
              </w:rPr>
              <w:t>Actual</w:t>
            </w:r>
            <w:r>
              <w:rPr>
                <w:spacing w:val="-9"/>
                <w:w w:val="105"/>
                <w:sz w:val="16"/>
              </w:rPr>
              <w:t> </w:t>
            </w:r>
            <w:r>
              <w:rPr>
                <w:w w:val="105"/>
                <w:sz w:val="16"/>
              </w:rPr>
              <w:t>return</w:t>
            </w:r>
            <w:r>
              <w:rPr>
                <w:spacing w:val="-9"/>
                <w:w w:val="105"/>
                <w:sz w:val="16"/>
              </w:rPr>
              <w:t> </w:t>
            </w:r>
            <w:r>
              <w:rPr>
                <w:w w:val="105"/>
                <w:sz w:val="16"/>
              </w:rPr>
              <w:t>on</w:t>
            </w:r>
            <w:r>
              <w:rPr>
                <w:spacing w:val="-9"/>
                <w:w w:val="105"/>
                <w:sz w:val="16"/>
              </w:rPr>
              <w:t> </w:t>
            </w:r>
            <w:r>
              <w:rPr>
                <w:w w:val="105"/>
                <w:sz w:val="16"/>
              </w:rPr>
              <w:t>plan</w:t>
            </w:r>
            <w:r>
              <w:rPr>
                <w:spacing w:val="-9"/>
                <w:w w:val="105"/>
                <w:sz w:val="16"/>
              </w:rPr>
              <w:t> </w:t>
            </w:r>
            <w:r>
              <w:rPr>
                <w:w w:val="105"/>
                <w:sz w:val="16"/>
              </w:rPr>
              <w:t>assets</w:t>
            </w:r>
            <w:r>
              <w:rPr>
                <w:spacing w:val="-9"/>
                <w:w w:val="105"/>
                <w:sz w:val="16"/>
              </w:rPr>
              <w:t> </w:t>
            </w:r>
            <w:r>
              <w:rPr>
                <w:w w:val="105"/>
                <w:sz w:val="16"/>
              </w:rPr>
              <w:t>–</w:t>
            </w:r>
            <w:r>
              <w:rPr>
                <w:spacing w:val="-7"/>
                <w:w w:val="105"/>
                <w:sz w:val="16"/>
              </w:rPr>
              <w:t> </w:t>
            </w:r>
            <w:r>
              <w:rPr>
                <w:w w:val="105"/>
                <w:sz w:val="16"/>
              </w:rPr>
              <w:t>International</w:t>
            </w:r>
            <w:r>
              <w:rPr>
                <w:spacing w:val="-9"/>
                <w:w w:val="105"/>
                <w:sz w:val="16"/>
              </w:rPr>
              <w:t> </w:t>
            </w:r>
            <w:r>
              <w:rPr>
                <w:spacing w:val="-2"/>
                <w:w w:val="105"/>
                <w:sz w:val="16"/>
              </w:rPr>
              <w:t>plans</w:t>
            </w:r>
          </w:p>
        </w:tc>
        <w:tc>
          <w:tcPr>
            <w:tcW w:w="692" w:type="dxa"/>
            <w:shd w:val="clear" w:color="auto" w:fill="CCEDFF"/>
          </w:tcPr>
          <w:p>
            <w:pPr>
              <w:pStyle w:val="TableParagraph"/>
              <w:spacing w:line="180" w:lineRule="exact" w:before="3"/>
              <w:ind w:left="44"/>
              <w:jc w:val="center"/>
              <w:rPr>
                <w:b/>
                <w:sz w:val="16"/>
              </w:rPr>
            </w:pPr>
            <w:r>
              <w:rPr>
                <w:b/>
                <w:spacing w:val="-2"/>
                <w:w w:val="105"/>
                <w:sz w:val="16"/>
              </w:rPr>
              <w:t>(0.33)%</w:t>
            </w:r>
          </w:p>
        </w:tc>
        <w:tc>
          <w:tcPr>
            <w:tcW w:w="1755" w:type="dxa"/>
            <w:gridSpan w:val="3"/>
            <w:shd w:val="clear" w:color="auto" w:fill="CCEDFF"/>
          </w:tcPr>
          <w:p>
            <w:pPr>
              <w:pStyle w:val="TableParagraph"/>
              <w:spacing w:line="180" w:lineRule="exact" w:before="3"/>
              <w:ind w:right="55"/>
              <w:jc w:val="right"/>
              <w:rPr>
                <w:sz w:val="16"/>
              </w:rPr>
            </w:pPr>
            <w:r>
              <w:rPr>
                <w:spacing w:val="-2"/>
                <w:w w:val="105"/>
                <w:sz w:val="16"/>
              </w:rPr>
              <w:t>10.00%</w:t>
            </w:r>
          </w:p>
        </w:tc>
        <w:tc>
          <w:tcPr>
            <w:tcW w:w="1674" w:type="dxa"/>
            <w:gridSpan w:val="3"/>
            <w:shd w:val="clear" w:color="auto" w:fill="CCEDFF"/>
          </w:tcPr>
          <w:p>
            <w:pPr>
              <w:pStyle w:val="TableParagraph"/>
              <w:spacing w:line="180" w:lineRule="exact" w:before="3"/>
              <w:ind w:right="-15"/>
              <w:jc w:val="right"/>
              <w:rPr>
                <w:sz w:val="16"/>
              </w:rPr>
            </w:pPr>
            <w:r>
              <w:rPr>
                <w:spacing w:val="-2"/>
                <w:w w:val="105"/>
                <w:sz w:val="16"/>
              </w:rPr>
              <w:t>7.99%</w:t>
            </w:r>
          </w:p>
        </w:tc>
      </w:tr>
      <w:tr>
        <w:trPr>
          <w:trHeight w:val="200" w:hRule="atLeast"/>
        </w:trPr>
        <w:tc>
          <w:tcPr>
            <w:tcW w:w="7391" w:type="dxa"/>
            <w:gridSpan w:val="3"/>
            <w:tcBorders>
              <w:bottom w:val="double" w:sz="6" w:space="0" w:color="000000"/>
            </w:tcBorders>
          </w:tcPr>
          <w:p>
            <w:pPr>
              <w:pStyle w:val="TableParagraph"/>
              <w:spacing w:line="177" w:lineRule="exact" w:before="3"/>
              <w:ind w:left="152"/>
              <w:rPr>
                <w:sz w:val="16"/>
              </w:rPr>
            </w:pPr>
            <w:r>
              <w:rPr>
                <w:w w:val="105"/>
                <w:sz w:val="16"/>
              </w:rPr>
              <w:t>Expected</w:t>
            </w:r>
            <w:r>
              <w:rPr>
                <w:spacing w:val="-9"/>
                <w:w w:val="105"/>
                <w:sz w:val="16"/>
              </w:rPr>
              <w:t> </w:t>
            </w:r>
            <w:r>
              <w:rPr>
                <w:w w:val="105"/>
                <w:sz w:val="16"/>
              </w:rPr>
              <w:t>return</w:t>
            </w:r>
            <w:r>
              <w:rPr>
                <w:spacing w:val="-9"/>
                <w:w w:val="105"/>
                <w:sz w:val="16"/>
              </w:rPr>
              <w:t> </w:t>
            </w:r>
            <w:r>
              <w:rPr>
                <w:w w:val="105"/>
                <w:sz w:val="16"/>
              </w:rPr>
              <w:t>on</w:t>
            </w:r>
            <w:r>
              <w:rPr>
                <w:spacing w:val="-8"/>
                <w:w w:val="105"/>
                <w:sz w:val="16"/>
              </w:rPr>
              <w:t> </w:t>
            </w:r>
            <w:r>
              <w:rPr>
                <w:w w:val="105"/>
                <w:sz w:val="16"/>
              </w:rPr>
              <w:t>plan</w:t>
            </w:r>
            <w:r>
              <w:rPr>
                <w:spacing w:val="-9"/>
                <w:w w:val="105"/>
                <w:sz w:val="16"/>
              </w:rPr>
              <w:t> </w:t>
            </w:r>
            <w:r>
              <w:rPr>
                <w:w w:val="105"/>
                <w:sz w:val="16"/>
              </w:rPr>
              <w:t>assets</w:t>
            </w:r>
            <w:r>
              <w:rPr>
                <w:spacing w:val="-8"/>
                <w:w w:val="105"/>
                <w:sz w:val="16"/>
              </w:rPr>
              <w:t> </w:t>
            </w:r>
            <w:r>
              <w:rPr>
                <w:w w:val="105"/>
                <w:sz w:val="16"/>
              </w:rPr>
              <w:t>–</w:t>
            </w:r>
            <w:r>
              <w:rPr>
                <w:spacing w:val="-9"/>
                <w:w w:val="105"/>
                <w:sz w:val="16"/>
              </w:rPr>
              <w:t> </w:t>
            </w:r>
            <w:r>
              <w:rPr>
                <w:w w:val="105"/>
                <w:sz w:val="16"/>
              </w:rPr>
              <w:t>International</w:t>
            </w:r>
            <w:r>
              <w:rPr>
                <w:spacing w:val="-8"/>
                <w:w w:val="105"/>
                <w:sz w:val="16"/>
              </w:rPr>
              <w:t> </w:t>
            </w:r>
            <w:r>
              <w:rPr>
                <w:spacing w:val="-2"/>
                <w:w w:val="105"/>
                <w:sz w:val="16"/>
              </w:rPr>
              <w:t>plans</w:t>
            </w:r>
          </w:p>
        </w:tc>
        <w:tc>
          <w:tcPr>
            <w:tcW w:w="692" w:type="dxa"/>
            <w:tcBorders>
              <w:bottom w:val="double" w:sz="6" w:space="0" w:color="000000"/>
            </w:tcBorders>
          </w:tcPr>
          <w:p>
            <w:pPr>
              <w:pStyle w:val="TableParagraph"/>
              <w:spacing w:line="177" w:lineRule="exact" w:before="3"/>
              <w:ind w:left="121" w:right="77"/>
              <w:jc w:val="center"/>
              <w:rPr>
                <w:b/>
                <w:sz w:val="16"/>
              </w:rPr>
            </w:pPr>
            <w:r>
              <w:rPr>
                <w:b/>
                <w:spacing w:val="-2"/>
                <w:w w:val="105"/>
                <w:sz w:val="16"/>
              </w:rPr>
              <w:t>1.26%</w:t>
            </w:r>
          </w:p>
        </w:tc>
        <w:tc>
          <w:tcPr>
            <w:tcW w:w="1755" w:type="dxa"/>
            <w:gridSpan w:val="3"/>
            <w:tcBorders>
              <w:bottom w:val="double" w:sz="6" w:space="0" w:color="000000"/>
            </w:tcBorders>
          </w:tcPr>
          <w:p>
            <w:pPr>
              <w:pStyle w:val="TableParagraph"/>
              <w:spacing w:line="177" w:lineRule="exact" w:before="3"/>
              <w:ind w:right="55"/>
              <w:jc w:val="right"/>
              <w:rPr>
                <w:sz w:val="16"/>
              </w:rPr>
            </w:pPr>
            <w:r>
              <w:rPr>
                <w:spacing w:val="-2"/>
                <w:w w:val="105"/>
                <w:sz w:val="16"/>
              </w:rPr>
              <w:t>1.71%</w:t>
            </w:r>
          </w:p>
        </w:tc>
        <w:tc>
          <w:tcPr>
            <w:tcW w:w="1674" w:type="dxa"/>
            <w:gridSpan w:val="3"/>
            <w:tcBorders>
              <w:bottom w:val="double" w:sz="6" w:space="0" w:color="000000"/>
            </w:tcBorders>
          </w:tcPr>
          <w:p>
            <w:pPr>
              <w:pStyle w:val="TableParagraph"/>
              <w:spacing w:line="177" w:lineRule="exact" w:before="3"/>
              <w:ind w:right="-15"/>
              <w:jc w:val="right"/>
              <w:rPr>
                <w:sz w:val="16"/>
              </w:rPr>
            </w:pPr>
            <w:r>
              <w:rPr>
                <w:spacing w:val="-2"/>
                <w:w w:val="105"/>
                <w:sz w:val="16"/>
              </w:rPr>
              <w:t>2.01%</w:t>
            </w:r>
          </w:p>
        </w:tc>
      </w:tr>
      <w:tr>
        <w:trPr>
          <w:trHeight w:val="501" w:hRule="atLeast"/>
        </w:trPr>
        <w:tc>
          <w:tcPr>
            <w:tcW w:w="7391" w:type="dxa"/>
            <w:gridSpan w:val="3"/>
            <w:tcBorders>
              <w:top w:val="double" w:sz="6" w:space="0" w:color="000000"/>
            </w:tcBorders>
          </w:tcPr>
          <w:p>
            <w:pPr>
              <w:pStyle w:val="TableParagraph"/>
              <w:spacing w:before="19"/>
              <w:rPr>
                <w:sz w:val="16"/>
              </w:rPr>
            </w:pPr>
          </w:p>
          <w:p>
            <w:pPr>
              <w:pStyle w:val="TableParagraph"/>
              <w:spacing w:before="1"/>
              <w:rPr>
                <w:sz w:val="16"/>
              </w:rPr>
            </w:pPr>
            <w:r>
              <w:rPr>
                <w:w w:val="105"/>
                <w:sz w:val="16"/>
              </w:rPr>
              <w:t>As</w:t>
            </w:r>
            <w:r>
              <w:rPr>
                <w:spacing w:val="-9"/>
                <w:w w:val="105"/>
                <w:sz w:val="16"/>
              </w:rPr>
              <w:t> </w:t>
            </w:r>
            <w:r>
              <w:rPr>
                <w:w w:val="105"/>
                <w:sz w:val="16"/>
              </w:rPr>
              <w:t>of</w:t>
            </w:r>
            <w:r>
              <w:rPr>
                <w:spacing w:val="-8"/>
                <w:w w:val="105"/>
                <w:sz w:val="16"/>
              </w:rPr>
              <w:t> </w:t>
            </w:r>
            <w:r>
              <w:rPr>
                <w:w w:val="105"/>
                <w:sz w:val="16"/>
              </w:rPr>
              <w:t>December</w:t>
            </w:r>
            <w:r>
              <w:rPr>
                <w:spacing w:val="-9"/>
                <w:w w:val="105"/>
                <w:sz w:val="16"/>
              </w:rPr>
              <w:t> </w:t>
            </w:r>
            <w:r>
              <w:rPr>
                <w:w w:val="105"/>
                <w:sz w:val="16"/>
              </w:rPr>
              <w:t>31,</w:t>
            </w:r>
            <w:r>
              <w:rPr>
                <w:spacing w:val="-8"/>
                <w:w w:val="105"/>
                <w:sz w:val="16"/>
              </w:rPr>
              <w:t> </w:t>
            </w:r>
            <w:r>
              <w:rPr>
                <w:w w:val="105"/>
                <w:sz w:val="16"/>
              </w:rPr>
              <w:t>2021,</w:t>
            </w:r>
            <w:r>
              <w:rPr>
                <w:spacing w:val="-9"/>
                <w:w w:val="105"/>
                <w:sz w:val="16"/>
              </w:rPr>
              <w:t> </w:t>
            </w:r>
            <w:r>
              <w:rPr>
                <w:w w:val="105"/>
                <w:sz w:val="16"/>
              </w:rPr>
              <w:t>the</w:t>
            </w:r>
            <w:r>
              <w:rPr>
                <w:spacing w:val="-8"/>
                <w:w w:val="105"/>
                <w:sz w:val="16"/>
              </w:rPr>
              <w:t> </w:t>
            </w:r>
            <w:r>
              <w:rPr>
                <w:w w:val="105"/>
                <w:sz w:val="16"/>
              </w:rPr>
              <w:t>Projected</w:t>
            </w:r>
            <w:r>
              <w:rPr>
                <w:spacing w:val="-9"/>
                <w:w w:val="105"/>
                <w:sz w:val="16"/>
              </w:rPr>
              <w:t> </w:t>
            </w:r>
            <w:r>
              <w:rPr>
                <w:w w:val="105"/>
                <w:sz w:val="16"/>
              </w:rPr>
              <w:t>Benefit</w:t>
            </w:r>
            <w:r>
              <w:rPr>
                <w:spacing w:val="-8"/>
                <w:w w:val="105"/>
                <w:sz w:val="16"/>
              </w:rPr>
              <w:t> </w:t>
            </w:r>
            <w:r>
              <w:rPr>
                <w:w w:val="105"/>
                <w:sz w:val="16"/>
              </w:rPr>
              <w:t>Obligation</w:t>
            </w:r>
            <w:r>
              <w:rPr>
                <w:spacing w:val="-9"/>
                <w:w w:val="105"/>
                <w:sz w:val="16"/>
              </w:rPr>
              <w:t> </w:t>
            </w:r>
            <w:r>
              <w:rPr>
                <w:w w:val="105"/>
                <w:sz w:val="16"/>
              </w:rPr>
              <w:t>(PBO)</w:t>
            </w:r>
            <w:r>
              <w:rPr>
                <w:spacing w:val="-8"/>
                <w:w w:val="105"/>
                <w:sz w:val="16"/>
              </w:rPr>
              <w:t> </w:t>
            </w:r>
            <w:r>
              <w:rPr>
                <w:w w:val="105"/>
                <w:sz w:val="16"/>
              </w:rPr>
              <w:t>for</w:t>
            </w:r>
            <w:r>
              <w:rPr>
                <w:spacing w:val="-9"/>
                <w:w w:val="105"/>
                <w:sz w:val="16"/>
              </w:rPr>
              <w:t> </w:t>
            </w:r>
            <w:r>
              <w:rPr>
                <w:w w:val="105"/>
                <w:sz w:val="16"/>
              </w:rPr>
              <w:t>U.S.</w:t>
            </w:r>
            <w:r>
              <w:rPr>
                <w:spacing w:val="-8"/>
                <w:w w:val="105"/>
                <w:sz w:val="16"/>
              </w:rPr>
              <w:t> </w:t>
            </w:r>
            <w:r>
              <w:rPr>
                <w:w w:val="105"/>
                <w:sz w:val="16"/>
              </w:rPr>
              <w:t>pension</w:t>
            </w:r>
            <w:r>
              <w:rPr>
                <w:spacing w:val="-9"/>
                <w:w w:val="105"/>
                <w:sz w:val="16"/>
              </w:rPr>
              <w:t> </w:t>
            </w:r>
            <w:r>
              <w:rPr>
                <w:w w:val="105"/>
                <w:sz w:val="16"/>
              </w:rPr>
              <w:t>plans</w:t>
            </w:r>
            <w:r>
              <w:rPr>
                <w:spacing w:val="-8"/>
                <w:w w:val="105"/>
                <w:sz w:val="16"/>
              </w:rPr>
              <w:t> </w:t>
            </w:r>
            <w:r>
              <w:rPr>
                <w:w w:val="105"/>
                <w:sz w:val="16"/>
              </w:rPr>
              <w:t>was</w:t>
            </w:r>
            <w:r>
              <w:rPr>
                <w:spacing w:val="-9"/>
                <w:w w:val="105"/>
                <w:sz w:val="16"/>
              </w:rPr>
              <w:t> </w:t>
            </w:r>
            <w:r>
              <w:rPr>
                <w:w w:val="105"/>
                <w:sz w:val="16"/>
              </w:rPr>
              <w:t>$4.1</w:t>
            </w:r>
            <w:r>
              <w:rPr>
                <w:spacing w:val="-8"/>
                <w:w w:val="105"/>
                <w:sz w:val="16"/>
              </w:rPr>
              <w:t> </w:t>
            </w:r>
            <w:r>
              <w:rPr>
                <w:spacing w:val="-2"/>
                <w:w w:val="105"/>
                <w:sz w:val="16"/>
              </w:rPr>
              <w:t>billion.</w:t>
            </w:r>
          </w:p>
        </w:tc>
        <w:tc>
          <w:tcPr>
            <w:tcW w:w="692" w:type="dxa"/>
            <w:tcBorders>
              <w:top w:val="double" w:sz="6" w:space="0" w:color="000000"/>
            </w:tcBorders>
          </w:tcPr>
          <w:p>
            <w:pPr>
              <w:pStyle w:val="TableParagraph"/>
              <w:rPr>
                <w:sz w:val="16"/>
              </w:rPr>
            </w:pPr>
          </w:p>
        </w:tc>
        <w:tc>
          <w:tcPr>
            <w:tcW w:w="1755" w:type="dxa"/>
            <w:gridSpan w:val="3"/>
            <w:tcBorders>
              <w:top w:val="double" w:sz="6" w:space="0" w:color="000000"/>
            </w:tcBorders>
          </w:tcPr>
          <w:p>
            <w:pPr>
              <w:pStyle w:val="TableParagraph"/>
              <w:rPr>
                <w:sz w:val="16"/>
              </w:rPr>
            </w:pPr>
          </w:p>
        </w:tc>
        <w:tc>
          <w:tcPr>
            <w:tcW w:w="1674" w:type="dxa"/>
            <w:gridSpan w:val="3"/>
            <w:tcBorders>
              <w:top w:val="double" w:sz="6" w:space="0" w:color="000000"/>
            </w:tcBorders>
          </w:tcPr>
          <w:p>
            <w:pPr>
              <w:pStyle w:val="TableParagraph"/>
              <w:rPr>
                <w:sz w:val="16"/>
              </w:rPr>
            </w:pPr>
          </w:p>
        </w:tc>
      </w:tr>
      <w:tr>
        <w:trPr>
          <w:trHeight w:val="423" w:hRule="atLeast"/>
        </w:trPr>
        <w:tc>
          <w:tcPr>
            <w:tcW w:w="7391" w:type="dxa"/>
            <w:gridSpan w:val="3"/>
            <w:tcBorders>
              <w:bottom w:val="single" w:sz="12" w:space="0" w:color="000000"/>
            </w:tcBorders>
          </w:tcPr>
          <w:p>
            <w:pPr>
              <w:pStyle w:val="TableParagraph"/>
              <w:spacing w:before="110"/>
              <w:rPr>
                <w:sz w:val="16"/>
              </w:rPr>
            </w:pPr>
            <w:r>
              <w:rPr>
                <w:w w:val="105"/>
                <w:sz w:val="16"/>
              </w:rPr>
              <w:t>The</w:t>
            </w:r>
            <w:r>
              <w:rPr>
                <w:spacing w:val="-10"/>
                <w:w w:val="105"/>
                <w:sz w:val="16"/>
              </w:rPr>
              <w:t> </w:t>
            </w:r>
            <w:r>
              <w:rPr>
                <w:w w:val="105"/>
                <w:sz w:val="16"/>
              </w:rPr>
              <w:t>following</w:t>
            </w:r>
            <w:r>
              <w:rPr>
                <w:spacing w:val="-10"/>
                <w:w w:val="105"/>
                <w:sz w:val="16"/>
              </w:rPr>
              <w:t> </w:t>
            </w:r>
            <w:r>
              <w:rPr>
                <w:w w:val="105"/>
                <w:sz w:val="16"/>
              </w:rPr>
              <w:t>information</w:t>
            </w:r>
            <w:r>
              <w:rPr>
                <w:spacing w:val="-10"/>
                <w:w w:val="105"/>
                <w:sz w:val="16"/>
              </w:rPr>
              <w:t> </w:t>
            </w:r>
            <w:r>
              <w:rPr>
                <w:w w:val="105"/>
                <w:sz w:val="16"/>
              </w:rPr>
              <w:t>illustrates</w:t>
            </w:r>
            <w:r>
              <w:rPr>
                <w:spacing w:val="-10"/>
                <w:w w:val="105"/>
                <w:sz w:val="16"/>
              </w:rPr>
              <w:t> </w:t>
            </w:r>
            <w:r>
              <w:rPr>
                <w:w w:val="105"/>
                <w:sz w:val="16"/>
              </w:rPr>
              <w:t>the</w:t>
            </w:r>
            <w:r>
              <w:rPr>
                <w:spacing w:val="-10"/>
                <w:w w:val="105"/>
                <w:sz w:val="16"/>
              </w:rPr>
              <w:t> </w:t>
            </w:r>
            <w:r>
              <w:rPr>
                <w:w w:val="105"/>
                <w:sz w:val="16"/>
              </w:rPr>
              <w:t>sensitivity</w:t>
            </w:r>
            <w:r>
              <w:rPr>
                <w:spacing w:val="-10"/>
                <w:w w:val="105"/>
                <w:sz w:val="16"/>
              </w:rPr>
              <w:t> </w:t>
            </w:r>
            <w:r>
              <w:rPr>
                <w:w w:val="105"/>
                <w:sz w:val="16"/>
              </w:rPr>
              <w:t>to</w:t>
            </w:r>
            <w:r>
              <w:rPr>
                <w:spacing w:val="-10"/>
                <w:w w:val="105"/>
                <w:sz w:val="16"/>
              </w:rPr>
              <w:t> </w:t>
            </w:r>
            <w:r>
              <w:rPr>
                <w:w w:val="105"/>
                <w:sz w:val="16"/>
              </w:rPr>
              <w:t>a</w:t>
            </w:r>
            <w:r>
              <w:rPr>
                <w:spacing w:val="-10"/>
                <w:w w:val="105"/>
                <w:sz w:val="16"/>
              </w:rPr>
              <w:t> </w:t>
            </w:r>
            <w:r>
              <w:rPr>
                <w:w w:val="105"/>
                <w:sz w:val="16"/>
              </w:rPr>
              <w:t>change</w:t>
            </w:r>
            <w:r>
              <w:rPr>
                <w:spacing w:val="-10"/>
                <w:w w:val="105"/>
                <w:sz w:val="16"/>
              </w:rPr>
              <w:t> </w:t>
            </w:r>
            <w:r>
              <w:rPr>
                <w:w w:val="105"/>
                <w:sz w:val="16"/>
              </w:rPr>
              <w:t>in</w:t>
            </w:r>
            <w:r>
              <w:rPr>
                <w:spacing w:val="-10"/>
                <w:w w:val="105"/>
                <w:sz w:val="16"/>
              </w:rPr>
              <w:t> </w:t>
            </w:r>
            <w:r>
              <w:rPr>
                <w:w w:val="105"/>
                <w:sz w:val="16"/>
              </w:rPr>
              <w:t>certain</w:t>
            </w:r>
            <w:r>
              <w:rPr>
                <w:spacing w:val="-10"/>
                <w:w w:val="105"/>
                <w:sz w:val="16"/>
              </w:rPr>
              <w:t> </w:t>
            </w:r>
            <w:r>
              <w:rPr>
                <w:w w:val="105"/>
                <w:sz w:val="16"/>
              </w:rPr>
              <w:t>assumptions</w:t>
            </w:r>
            <w:r>
              <w:rPr>
                <w:spacing w:val="-10"/>
                <w:w w:val="105"/>
                <w:sz w:val="16"/>
              </w:rPr>
              <w:t> </w:t>
            </w:r>
            <w:r>
              <w:rPr>
                <w:w w:val="105"/>
                <w:sz w:val="16"/>
              </w:rPr>
              <w:t>for</w:t>
            </w:r>
            <w:r>
              <w:rPr>
                <w:spacing w:val="-10"/>
                <w:w w:val="105"/>
                <w:sz w:val="16"/>
              </w:rPr>
              <w:t> </w:t>
            </w:r>
            <w:r>
              <w:rPr>
                <w:w w:val="105"/>
                <w:sz w:val="16"/>
              </w:rPr>
              <w:t>U.S.</w:t>
            </w:r>
            <w:r>
              <w:rPr>
                <w:spacing w:val="-10"/>
                <w:w w:val="105"/>
                <w:sz w:val="16"/>
              </w:rPr>
              <w:t> </w:t>
            </w:r>
            <w:r>
              <w:rPr>
                <w:w w:val="105"/>
                <w:sz w:val="16"/>
              </w:rPr>
              <w:t>pension</w:t>
            </w:r>
            <w:r>
              <w:rPr>
                <w:spacing w:val="-10"/>
                <w:w w:val="105"/>
                <w:sz w:val="16"/>
              </w:rPr>
              <w:t> </w:t>
            </w:r>
            <w:r>
              <w:rPr>
                <w:spacing w:val="-2"/>
                <w:w w:val="105"/>
                <w:sz w:val="16"/>
              </w:rPr>
              <w:t>plans:</w:t>
            </w:r>
          </w:p>
        </w:tc>
        <w:tc>
          <w:tcPr>
            <w:tcW w:w="692" w:type="dxa"/>
            <w:tcBorders>
              <w:bottom w:val="single" w:sz="12" w:space="0" w:color="000000"/>
            </w:tcBorders>
          </w:tcPr>
          <w:p>
            <w:pPr>
              <w:pStyle w:val="TableParagraph"/>
              <w:rPr>
                <w:sz w:val="16"/>
              </w:rPr>
            </w:pPr>
          </w:p>
        </w:tc>
        <w:tc>
          <w:tcPr>
            <w:tcW w:w="1755" w:type="dxa"/>
            <w:gridSpan w:val="3"/>
            <w:tcBorders>
              <w:bottom w:val="single" w:sz="12" w:space="0" w:color="000000"/>
            </w:tcBorders>
          </w:tcPr>
          <w:p>
            <w:pPr>
              <w:pStyle w:val="TableParagraph"/>
              <w:rPr>
                <w:sz w:val="16"/>
              </w:rPr>
            </w:pPr>
          </w:p>
        </w:tc>
        <w:tc>
          <w:tcPr>
            <w:tcW w:w="1674" w:type="dxa"/>
            <w:gridSpan w:val="3"/>
            <w:tcBorders>
              <w:bottom w:val="single" w:sz="12" w:space="0" w:color="000000"/>
            </w:tcBorders>
          </w:tcPr>
          <w:p>
            <w:pPr>
              <w:pStyle w:val="TableParagraph"/>
              <w:rPr>
                <w:sz w:val="16"/>
              </w:rPr>
            </w:pPr>
          </w:p>
        </w:tc>
      </w:tr>
      <w:tr>
        <w:trPr>
          <w:trHeight w:val="404" w:hRule="atLeast"/>
        </w:trPr>
        <w:tc>
          <w:tcPr>
            <w:tcW w:w="7391" w:type="dxa"/>
            <w:gridSpan w:val="3"/>
            <w:tcBorders>
              <w:top w:val="single" w:sz="12" w:space="0" w:color="000000"/>
              <w:bottom w:val="single" w:sz="6" w:space="0" w:color="000000"/>
            </w:tcBorders>
          </w:tcPr>
          <w:p>
            <w:pPr>
              <w:pStyle w:val="TableParagraph"/>
              <w:spacing w:before="21"/>
              <w:rPr>
                <w:sz w:val="16"/>
              </w:rPr>
            </w:pPr>
          </w:p>
          <w:p>
            <w:pPr>
              <w:pStyle w:val="TableParagraph"/>
              <w:spacing w:line="179" w:lineRule="exact"/>
              <w:rPr>
                <w:sz w:val="16"/>
              </w:rPr>
            </w:pPr>
            <w:r>
              <w:rPr>
                <w:w w:val="105"/>
                <w:sz w:val="16"/>
              </w:rPr>
              <w:t>Change</w:t>
            </w:r>
            <w:r>
              <w:rPr>
                <w:spacing w:val="-8"/>
                <w:w w:val="105"/>
                <w:sz w:val="16"/>
              </w:rPr>
              <w:t> </w:t>
            </w:r>
            <w:r>
              <w:rPr>
                <w:w w:val="105"/>
                <w:sz w:val="16"/>
              </w:rPr>
              <w:t>in</w:t>
            </w:r>
            <w:r>
              <w:rPr>
                <w:spacing w:val="-7"/>
                <w:w w:val="105"/>
                <w:sz w:val="16"/>
              </w:rPr>
              <w:t> </w:t>
            </w:r>
            <w:r>
              <w:rPr>
                <w:spacing w:val="-2"/>
                <w:w w:val="105"/>
                <w:sz w:val="16"/>
              </w:rPr>
              <w:t>assumption</w:t>
            </w:r>
          </w:p>
        </w:tc>
        <w:tc>
          <w:tcPr>
            <w:tcW w:w="692" w:type="dxa"/>
            <w:tcBorders>
              <w:top w:val="single" w:sz="12" w:space="0" w:color="000000"/>
              <w:bottom w:val="single" w:sz="6" w:space="0" w:color="000000"/>
            </w:tcBorders>
          </w:tcPr>
          <w:p>
            <w:pPr>
              <w:pStyle w:val="TableParagraph"/>
              <w:rPr>
                <w:sz w:val="16"/>
              </w:rPr>
            </w:pPr>
          </w:p>
        </w:tc>
        <w:tc>
          <w:tcPr>
            <w:tcW w:w="1755" w:type="dxa"/>
            <w:gridSpan w:val="3"/>
            <w:tcBorders>
              <w:top w:val="single" w:sz="12" w:space="0" w:color="000000"/>
              <w:bottom w:val="single" w:sz="6" w:space="0" w:color="000000"/>
            </w:tcBorders>
          </w:tcPr>
          <w:p>
            <w:pPr>
              <w:pStyle w:val="TableParagraph"/>
              <w:spacing w:before="1"/>
              <w:ind w:right="175"/>
              <w:jc w:val="center"/>
              <w:rPr>
                <w:sz w:val="16"/>
              </w:rPr>
            </w:pPr>
            <w:r>
              <w:rPr>
                <w:w w:val="105"/>
                <w:sz w:val="16"/>
              </w:rPr>
              <w:t>Effect</w:t>
            </w:r>
            <w:r>
              <w:rPr>
                <w:spacing w:val="-9"/>
                <w:w w:val="105"/>
                <w:sz w:val="16"/>
              </w:rPr>
              <w:t> </w:t>
            </w:r>
            <w:r>
              <w:rPr>
                <w:w w:val="105"/>
                <w:sz w:val="16"/>
              </w:rPr>
              <w:t>on</w:t>
            </w:r>
            <w:r>
              <w:rPr>
                <w:spacing w:val="-9"/>
                <w:w w:val="105"/>
                <w:sz w:val="16"/>
              </w:rPr>
              <w:t> </w:t>
            </w:r>
            <w:r>
              <w:rPr>
                <w:w w:val="105"/>
                <w:sz w:val="16"/>
              </w:rPr>
              <w:t>2022</w:t>
            </w:r>
            <w:r>
              <w:rPr>
                <w:spacing w:val="-8"/>
                <w:w w:val="105"/>
                <w:sz w:val="16"/>
              </w:rPr>
              <w:t> </w:t>
            </w:r>
            <w:r>
              <w:rPr>
                <w:w w:val="105"/>
                <w:sz w:val="16"/>
              </w:rPr>
              <w:t>pre-</w:t>
            </w:r>
            <w:r>
              <w:rPr>
                <w:spacing w:val="-5"/>
                <w:w w:val="105"/>
                <w:sz w:val="16"/>
              </w:rPr>
              <w:t>tax</w:t>
            </w:r>
          </w:p>
          <w:p>
            <w:pPr>
              <w:pStyle w:val="TableParagraph"/>
              <w:spacing w:line="179" w:lineRule="exact" w:before="20"/>
              <w:ind w:right="175"/>
              <w:jc w:val="center"/>
              <w:rPr>
                <w:sz w:val="16"/>
              </w:rPr>
            </w:pPr>
            <w:r>
              <w:rPr>
                <w:sz w:val="16"/>
              </w:rPr>
              <w:t>pension</w:t>
            </w:r>
            <w:r>
              <w:rPr>
                <w:spacing w:val="15"/>
                <w:sz w:val="16"/>
              </w:rPr>
              <w:t> </w:t>
            </w:r>
            <w:r>
              <w:rPr>
                <w:spacing w:val="-2"/>
                <w:sz w:val="16"/>
              </w:rPr>
              <w:t>expense</w:t>
            </w:r>
          </w:p>
        </w:tc>
        <w:tc>
          <w:tcPr>
            <w:tcW w:w="1674" w:type="dxa"/>
            <w:gridSpan w:val="3"/>
            <w:tcBorders>
              <w:top w:val="single" w:sz="12" w:space="0" w:color="000000"/>
              <w:bottom w:val="single" w:sz="6" w:space="0" w:color="000000"/>
            </w:tcBorders>
          </w:tcPr>
          <w:p>
            <w:pPr>
              <w:pStyle w:val="TableParagraph"/>
              <w:spacing w:before="1"/>
              <w:ind w:left="74"/>
              <w:jc w:val="center"/>
              <w:rPr>
                <w:sz w:val="16"/>
              </w:rPr>
            </w:pPr>
            <w:r>
              <w:rPr>
                <w:w w:val="105"/>
                <w:sz w:val="16"/>
              </w:rPr>
              <w:t>Effect</w:t>
            </w:r>
            <w:r>
              <w:rPr>
                <w:spacing w:val="-10"/>
                <w:w w:val="105"/>
                <w:sz w:val="16"/>
              </w:rPr>
              <w:t> </w:t>
            </w:r>
            <w:r>
              <w:rPr>
                <w:w w:val="105"/>
                <w:sz w:val="16"/>
              </w:rPr>
              <w:t>on</w:t>
            </w:r>
            <w:r>
              <w:rPr>
                <w:spacing w:val="-9"/>
                <w:w w:val="105"/>
                <w:sz w:val="16"/>
              </w:rPr>
              <w:t> </w:t>
            </w:r>
            <w:r>
              <w:rPr>
                <w:w w:val="105"/>
                <w:sz w:val="16"/>
              </w:rPr>
              <w:t>December</w:t>
            </w:r>
            <w:r>
              <w:rPr>
                <w:spacing w:val="-9"/>
                <w:w w:val="105"/>
                <w:sz w:val="16"/>
              </w:rPr>
              <w:t> </w:t>
            </w:r>
            <w:r>
              <w:rPr>
                <w:spacing w:val="-5"/>
                <w:w w:val="105"/>
                <w:sz w:val="16"/>
              </w:rPr>
              <w:t>31,</w:t>
            </w:r>
          </w:p>
          <w:p>
            <w:pPr>
              <w:pStyle w:val="TableParagraph"/>
              <w:spacing w:line="179" w:lineRule="exact" w:before="20"/>
              <w:ind w:left="75"/>
              <w:jc w:val="center"/>
              <w:rPr>
                <w:sz w:val="16"/>
              </w:rPr>
            </w:pPr>
            <w:r>
              <w:rPr>
                <w:w w:val="105"/>
                <w:sz w:val="16"/>
              </w:rPr>
              <w:t>2021</w:t>
            </w:r>
            <w:r>
              <w:rPr>
                <w:spacing w:val="-11"/>
                <w:w w:val="105"/>
                <w:sz w:val="16"/>
              </w:rPr>
              <w:t> </w:t>
            </w:r>
            <w:r>
              <w:rPr>
                <w:spacing w:val="-5"/>
                <w:w w:val="105"/>
                <w:sz w:val="16"/>
              </w:rPr>
              <w:t>PBO</w:t>
            </w:r>
          </w:p>
        </w:tc>
      </w:tr>
      <w:tr>
        <w:trPr>
          <w:trHeight w:val="202" w:hRule="atLeast"/>
        </w:trPr>
        <w:tc>
          <w:tcPr>
            <w:tcW w:w="7391" w:type="dxa"/>
            <w:gridSpan w:val="3"/>
            <w:tcBorders>
              <w:top w:val="single" w:sz="6" w:space="0" w:color="000000"/>
            </w:tcBorders>
            <w:shd w:val="clear" w:color="auto" w:fill="CCEDFF"/>
          </w:tcPr>
          <w:p>
            <w:pPr>
              <w:pStyle w:val="TableParagraph"/>
              <w:spacing w:line="180" w:lineRule="exact" w:before="2"/>
              <w:rPr>
                <w:sz w:val="16"/>
              </w:rPr>
            </w:pPr>
            <w:r>
              <w:rPr>
                <w:w w:val="105"/>
                <w:sz w:val="16"/>
              </w:rPr>
              <w:t>25</w:t>
            </w:r>
            <w:r>
              <w:rPr>
                <w:spacing w:val="-8"/>
                <w:w w:val="105"/>
                <w:sz w:val="16"/>
              </w:rPr>
              <w:t> </w:t>
            </w:r>
            <w:r>
              <w:rPr>
                <w:w w:val="105"/>
                <w:sz w:val="16"/>
              </w:rPr>
              <w:t>basis</w:t>
            </w:r>
            <w:r>
              <w:rPr>
                <w:spacing w:val="-7"/>
                <w:w w:val="105"/>
                <w:sz w:val="16"/>
              </w:rPr>
              <w:t> </w:t>
            </w:r>
            <w:r>
              <w:rPr>
                <w:w w:val="105"/>
                <w:sz w:val="16"/>
              </w:rPr>
              <w:t>point</w:t>
            </w:r>
            <w:r>
              <w:rPr>
                <w:spacing w:val="-7"/>
                <w:w w:val="105"/>
                <w:sz w:val="16"/>
              </w:rPr>
              <w:t> </w:t>
            </w:r>
            <w:r>
              <w:rPr>
                <w:w w:val="105"/>
                <w:sz w:val="16"/>
              </w:rPr>
              <w:t>decrease</w:t>
            </w:r>
            <w:r>
              <w:rPr>
                <w:spacing w:val="-7"/>
                <w:w w:val="105"/>
                <w:sz w:val="16"/>
              </w:rPr>
              <w:t> </w:t>
            </w:r>
            <w:r>
              <w:rPr>
                <w:w w:val="105"/>
                <w:sz w:val="16"/>
              </w:rPr>
              <w:t>in</w:t>
            </w:r>
            <w:r>
              <w:rPr>
                <w:spacing w:val="-7"/>
                <w:w w:val="105"/>
                <w:sz w:val="16"/>
              </w:rPr>
              <w:t> </w:t>
            </w:r>
            <w:r>
              <w:rPr>
                <w:w w:val="105"/>
                <w:sz w:val="16"/>
              </w:rPr>
              <w:t>each</w:t>
            </w:r>
            <w:r>
              <w:rPr>
                <w:spacing w:val="-7"/>
                <w:w w:val="105"/>
                <w:sz w:val="16"/>
              </w:rPr>
              <w:t> </w:t>
            </w:r>
            <w:r>
              <w:rPr>
                <w:w w:val="105"/>
                <w:sz w:val="16"/>
              </w:rPr>
              <w:t>spot</w:t>
            </w:r>
            <w:r>
              <w:rPr>
                <w:spacing w:val="-7"/>
                <w:w w:val="105"/>
                <w:sz w:val="16"/>
              </w:rPr>
              <w:t> </w:t>
            </w:r>
            <w:r>
              <w:rPr>
                <w:spacing w:val="-4"/>
                <w:w w:val="105"/>
                <w:sz w:val="16"/>
              </w:rPr>
              <w:t>rate</w:t>
            </w:r>
          </w:p>
        </w:tc>
        <w:tc>
          <w:tcPr>
            <w:tcW w:w="692" w:type="dxa"/>
            <w:tcBorders>
              <w:top w:val="single" w:sz="6" w:space="0" w:color="000000"/>
            </w:tcBorders>
            <w:shd w:val="clear" w:color="auto" w:fill="CCEDFF"/>
          </w:tcPr>
          <w:p>
            <w:pPr>
              <w:pStyle w:val="TableParagraph"/>
              <w:rPr>
                <w:sz w:val="14"/>
              </w:rPr>
            </w:pPr>
          </w:p>
        </w:tc>
        <w:tc>
          <w:tcPr>
            <w:tcW w:w="1755" w:type="dxa"/>
            <w:gridSpan w:val="3"/>
            <w:tcBorders>
              <w:top w:val="single" w:sz="6" w:space="0" w:color="000000"/>
            </w:tcBorders>
            <w:shd w:val="clear" w:color="auto" w:fill="CCEDFF"/>
          </w:tcPr>
          <w:p>
            <w:pPr>
              <w:pStyle w:val="TableParagraph"/>
              <w:spacing w:line="180" w:lineRule="exact" w:before="2"/>
              <w:ind w:left="439"/>
              <w:rPr>
                <w:sz w:val="16"/>
              </w:rPr>
            </w:pPr>
            <w:r>
              <w:rPr>
                <w:w w:val="105"/>
                <w:sz w:val="16"/>
              </w:rPr>
              <w:t>-</w:t>
            </w:r>
            <w:r>
              <w:rPr>
                <w:spacing w:val="-3"/>
                <w:w w:val="105"/>
                <w:sz w:val="16"/>
              </w:rPr>
              <w:t> </w:t>
            </w:r>
            <w:r>
              <w:rPr>
                <w:w w:val="105"/>
                <w:sz w:val="16"/>
              </w:rPr>
              <w:t>3</w:t>
            </w:r>
            <w:r>
              <w:rPr>
                <w:spacing w:val="-2"/>
                <w:w w:val="105"/>
                <w:sz w:val="16"/>
              </w:rPr>
              <w:t> million</w:t>
            </w:r>
          </w:p>
        </w:tc>
        <w:tc>
          <w:tcPr>
            <w:tcW w:w="1674" w:type="dxa"/>
            <w:gridSpan w:val="3"/>
            <w:tcBorders>
              <w:top w:val="single" w:sz="6" w:space="0" w:color="000000"/>
            </w:tcBorders>
            <w:shd w:val="clear" w:color="auto" w:fill="CCEDFF"/>
          </w:tcPr>
          <w:p>
            <w:pPr>
              <w:pStyle w:val="TableParagraph"/>
              <w:spacing w:line="180" w:lineRule="exact" w:before="2"/>
              <w:ind w:left="423"/>
              <w:rPr>
                <w:sz w:val="16"/>
              </w:rPr>
            </w:pPr>
            <w:r>
              <w:rPr>
                <w:w w:val="105"/>
                <w:sz w:val="16"/>
              </w:rPr>
              <w:t>+</w:t>
            </w:r>
            <w:r>
              <w:rPr>
                <w:spacing w:val="-5"/>
                <w:w w:val="105"/>
                <w:sz w:val="16"/>
              </w:rPr>
              <w:t> </w:t>
            </w:r>
            <w:r>
              <w:rPr>
                <w:w w:val="105"/>
                <w:sz w:val="16"/>
              </w:rPr>
              <w:t>115</w:t>
            </w:r>
            <w:r>
              <w:rPr>
                <w:spacing w:val="-4"/>
                <w:w w:val="105"/>
                <w:sz w:val="16"/>
              </w:rPr>
              <w:t> </w:t>
            </w:r>
            <w:r>
              <w:rPr>
                <w:spacing w:val="-2"/>
                <w:w w:val="105"/>
                <w:sz w:val="16"/>
              </w:rPr>
              <w:t>million</w:t>
            </w:r>
          </w:p>
        </w:tc>
      </w:tr>
      <w:tr>
        <w:trPr>
          <w:trHeight w:val="203" w:hRule="atLeast"/>
        </w:trPr>
        <w:tc>
          <w:tcPr>
            <w:tcW w:w="7391" w:type="dxa"/>
            <w:gridSpan w:val="3"/>
          </w:tcPr>
          <w:p>
            <w:pPr>
              <w:pStyle w:val="TableParagraph"/>
              <w:spacing w:line="180" w:lineRule="exact" w:before="3"/>
              <w:rPr>
                <w:sz w:val="16"/>
              </w:rPr>
            </w:pPr>
            <w:r>
              <w:rPr>
                <w:w w:val="105"/>
                <w:sz w:val="16"/>
              </w:rPr>
              <w:t>25</w:t>
            </w:r>
            <w:r>
              <w:rPr>
                <w:spacing w:val="-8"/>
                <w:w w:val="105"/>
                <w:sz w:val="16"/>
              </w:rPr>
              <w:t> </w:t>
            </w:r>
            <w:r>
              <w:rPr>
                <w:w w:val="105"/>
                <w:sz w:val="16"/>
              </w:rPr>
              <w:t>basis</w:t>
            </w:r>
            <w:r>
              <w:rPr>
                <w:spacing w:val="-7"/>
                <w:w w:val="105"/>
                <w:sz w:val="16"/>
              </w:rPr>
              <w:t> </w:t>
            </w:r>
            <w:r>
              <w:rPr>
                <w:w w:val="105"/>
                <w:sz w:val="16"/>
              </w:rPr>
              <w:t>point</w:t>
            </w:r>
            <w:r>
              <w:rPr>
                <w:spacing w:val="-7"/>
                <w:w w:val="105"/>
                <w:sz w:val="16"/>
              </w:rPr>
              <w:t> </w:t>
            </w:r>
            <w:r>
              <w:rPr>
                <w:w w:val="105"/>
                <w:sz w:val="16"/>
              </w:rPr>
              <w:t>increase</w:t>
            </w:r>
            <w:r>
              <w:rPr>
                <w:spacing w:val="-7"/>
                <w:w w:val="105"/>
                <w:sz w:val="16"/>
              </w:rPr>
              <w:t> </w:t>
            </w:r>
            <w:r>
              <w:rPr>
                <w:w w:val="105"/>
                <w:sz w:val="16"/>
              </w:rPr>
              <w:t>in</w:t>
            </w:r>
            <w:r>
              <w:rPr>
                <w:spacing w:val="-7"/>
                <w:w w:val="105"/>
                <w:sz w:val="16"/>
              </w:rPr>
              <w:t> </w:t>
            </w:r>
            <w:r>
              <w:rPr>
                <w:w w:val="105"/>
                <w:sz w:val="16"/>
              </w:rPr>
              <w:t>each</w:t>
            </w:r>
            <w:r>
              <w:rPr>
                <w:spacing w:val="-7"/>
                <w:w w:val="105"/>
                <w:sz w:val="16"/>
              </w:rPr>
              <w:t> </w:t>
            </w:r>
            <w:r>
              <w:rPr>
                <w:w w:val="105"/>
                <w:sz w:val="16"/>
              </w:rPr>
              <w:t>spot</w:t>
            </w:r>
            <w:r>
              <w:rPr>
                <w:spacing w:val="-7"/>
                <w:w w:val="105"/>
                <w:sz w:val="16"/>
              </w:rPr>
              <w:t> </w:t>
            </w:r>
            <w:r>
              <w:rPr>
                <w:spacing w:val="-4"/>
                <w:w w:val="105"/>
                <w:sz w:val="16"/>
              </w:rPr>
              <w:t>rate</w:t>
            </w:r>
          </w:p>
        </w:tc>
        <w:tc>
          <w:tcPr>
            <w:tcW w:w="692" w:type="dxa"/>
          </w:tcPr>
          <w:p>
            <w:pPr>
              <w:pStyle w:val="TableParagraph"/>
              <w:rPr>
                <w:sz w:val="14"/>
              </w:rPr>
            </w:pPr>
          </w:p>
        </w:tc>
        <w:tc>
          <w:tcPr>
            <w:tcW w:w="1755" w:type="dxa"/>
            <w:gridSpan w:val="3"/>
          </w:tcPr>
          <w:p>
            <w:pPr>
              <w:pStyle w:val="TableParagraph"/>
              <w:spacing w:line="180" w:lineRule="exact" w:before="3"/>
              <w:ind w:left="420"/>
              <w:rPr>
                <w:sz w:val="16"/>
              </w:rPr>
            </w:pPr>
            <w:r>
              <w:rPr>
                <w:w w:val="105"/>
                <w:sz w:val="16"/>
              </w:rPr>
              <w:t>+</w:t>
            </w:r>
            <w:r>
              <w:rPr>
                <w:spacing w:val="-3"/>
                <w:w w:val="105"/>
                <w:sz w:val="16"/>
              </w:rPr>
              <w:t> </w:t>
            </w:r>
            <w:r>
              <w:rPr>
                <w:w w:val="105"/>
                <w:sz w:val="16"/>
              </w:rPr>
              <w:t>3</w:t>
            </w:r>
            <w:r>
              <w:rPr>
                <w:spacing w:val="-3"/>
                <w:w w:val="105"/>
                <w:sz w:val="16"/>
              </w:rPr>
              <w:t> </w:t>
            </w:r>
            <w:r>
              <w:rPr>
                <w:spacing w:val="-2"/>
                <w:w w:val="105"/>
                <w:sz w:val="16"/>
              </w:rPr>
              <w:t>million</w:t>
            </w:r>
          </w:p>
        </w:tc>
        <w:tc>
          <w:tcPr>
            <w:tcW w:w="1674" w:type="dxa"/>
            <w:gridSpan w:val="3"/>
          </w:tcPr>
          <w:p>
            <w:pPr>
              <w:pStyle w:val="TableParagraph"/>
              <w:spacing w:line="180" w:lineRule="exact" w:before="3"/>
              <w:ind w:left="442"/>
              <w:rPr>
                <w:sz w:val="16"/>
              </w:rPr>
            </w:pPr>
            <w:r>
              <w:rPr>
                <w:w w:val="105"/>
                <w:sz w:val="16"/>
              </w:rPr>
              <w:t>-</w:t>
            </w:r>
            <w:r>
              <w:rPr>
                <w:spacing w:val="-4"/>
                <w:w w:val="105"/>
                <w:sz w:val="16"/>
              </w:rPr>
              <w:t> </w:t>
            </w:r>
            <w:r>
              <w:rPr>
                <w:w w:val="105"/>
                <w:sz w:val="16"/>
              </w:rPr>
              <w:t>109</w:t>
            </w:r>
            <w:r>
              <w:rPr>
                <w:spacing w:val="-4"/>
                <w:w w:val="105"/>
                <w:sz w:val="16"/>
              </w:rPr>
              <w:t> </w:t>
            </w:r>
            <w:r>
              <w:rPr>
                <w:spacing w:val="-2"/>
                <w:w w:val="105"/>
                <w:sz w:val="16"/>
              </w:rPr>
              <w:t>million</w:t>
            </w:r>
          </w:p>
        </w:tc>
      </w:tr>
      <w:tr>
        <w:trPr>
          <w:trHeight w:val="203" w:hRule="atLeast"/>
        </w:trPr>
        <w:tc>
          <w:tcPr>
            <w:tcW w:w="7391" w:type="dxa"/>
            <w:gridSpan w:val="3"/>
            <w:shd w:val="clear" w:color="auto" w:fill="CCEDFF"/>
          </w:tcPr>
          <w:p>
            <w:pPr>
              <w:pStyle w:val="TableParagraph"/>
              <w:spacing w:line="180" w:lineRule="exact" w:before="3"/>
              <w:rPr>
                <w:sz w:val="16"/>
              </w:rPr>
            </w:pPr>
            <w:r>
              <w:rPr>
                <w:w w:val="105"/>
                <w:sz w:val="16"/>
              </w:rPr>
              <w:t>25</w:t>
            </w:r>
            <w:r>
              <w:rPr>
                <w:spacing w:val="-8"/>
                <w:w w:val="105"/>
                <w:sz w:val="16"/>
              </w:rPr>
              <w:t> </w:t>
            </w:r>
            <w:r>
              <w:rPr>
                <w:w w:val="105"/>
                <w:sz w:val="16"/>
              </w:rPr>
              <w:t>basis</w:t>
            </w:r>
            <w:r>
              <w:rPr>
                <w:spacing w:val="-8"/>
                <w:w w:val="105"/>
                <w:sz w:val="16"/>
              </w:rPr>
              <w:t> </w:t>
            </w:r>
            <w:r>
              <w:rPr>
                <w:w w:val="105"/>
                <w:sz w:val="16"/>
              </w:rPr>
              <w:t>point</w:t>
            </w:r>
            <w:r>
              <w:rPr>
                <w:spacing w:val="-8"/>
                <w:w w:val="105"/>
                <w:sz w:val="16"/>
              </w:rPr>
              <w:t> </w:t>
            </w:r>
            <w:r>
              <w:rPr>
                <w:w w:val="105"/>
                <w:sz w:val="16"/>
              </w:rPr>
              <w:t>decrease</w:t>
            </w:r>
            <w:r>
              <w:rPr>
                <w:spacing w:val="-7"/>
                <w:w w:val="105"/>
                <w:sz w:val="16"/>
              </w:rPr>
              <w:t> </w:t>
            </w:r>
            <w:r>
              <w:rPr>
                <w:w w:val="105"/>
                <w:sz w:val="16"/>
              </w:rPr>
              <w:t>in</w:t>
            </w:r>
            <w:r>
              <w:rPr>
                <w:spacing w:val="-8"/>
                <w:w w:val="105"/>
                <w:sz w:val="16"/>
              </w:rPr>
              <w:t> </w:t>
            </w:r>
            <w:r>
              <w:rPr>
                <w:w w:val="105"/>
                <w:sz w:val="16"/>
              </w:rPr>
              <w:t>expected</w:t>
            </w:r>
            <w:r>
              <w:rPr>
                <w:spacing w:val="-8"/>
                <w:w w:val="105"/>
                <w:sz w:val="16"/>
              </w:rPr>
              <w:t> </w:t>
            </w:r>
            <w:r>
              <w:rPr>
                <w:w w:val="105"/>
                <w:sz w:val="16"/>
              </w:rPr>
              <w:t>return</w:t>
            </w:r>
            <w:r>
              <w:rPr>
                <w:spacing w:val="-8"/>
                <w:w w:val="105"/>
                <w:sz w:val="16"/>
              </w:rPr>
              <w:t> </w:t>
            </w:r>
            <w:r>
              <w:rPr>
                <w:w w:val="105"/>
                <w:sz w:val="16"/>
              </w:rPr>
              <w:t>on</w:t>
            </w:r>
            <w:r>
              <w:rPr>
                <w:spacing w:val="-7"/>
                <w:w w:val="105"/>
                <w:sz w:val="16"/>
              </w:rPr>
              <w:t> </w:t>
            </w:r>
            <w:r>
              <w:rPr>
                <w:spacing w:val="-2"/>
                <w:w w:val="105"/>
                <w:sz w:val="16"/>
              </w:rPr>
              <w:t>assets</w:t>
            </w:r>
          </w:p>
        </w:tc>
        <w:tc>
          <w:tcPr>
            <w:tcW w:w="692" w:type="dxa"/>
            <w:shd w:val="clear" w:color="auto" w:fill="CCEDFF"/>
          </w:tcPr>
          <w:p>
            <w:pPr>
              <w:pStyle w:val="TableParagraph"/>
              <w:rPr>
                <w:sz w:val="14"/>
              </w:rPr>
            </w:pPr>
          </w:p>
        </w:tc>
        <w:tc>
          <w:tcPr>
            <w:tcW w:w="1755" w:type="dxa"/>
            <w:gridSpan w:val="3"/>
            <w:shd w:val="clear" w:color="auto" w:fill="CCEDFF"/>
          </w:tcPr>
          <w:p>
            <w:pPr>
              <w:pStyle w:val="TableParagraph"/>
              <w:spacing w:line="180" w:lineRule="exact" w:before="3"/>
              <w:ind w:left="420"/>
              <w:rPr>
                <w:sz w:val="16"/>
              </w:rPr>
            </w:pPr>
            <w:r>
              <w:rPr>
                <w:w w:val="105"/>
                <w:sz w:val="16"/>
              </w:rPr>
              <w:t>+</w:t>
            </w:r>
            <w:r>
              <w:rPr>
                <w:spacing w:val="-3"/>
                <w:w w:val="105"/>
                <w:sz w:val="16"/>
              </w:rPr>
              <w:t> </w:t>
            </w:r>
            <w:r>
              <w:rPr>
                <w:w w:val="105"/>
                <w:sz w:val="16"/>
              </w:rPr>
              <w:t>9</w:t>
            </w:r>
            <w:r>
              <w:rPr>
                <w:spacing w:val="-3"/>
                <w:w w:val="105"/>
                <w:sz w:val="16"/>
              </w:rPr>
              <w:t> </w:t>
            </w:r>
            <w:r>
              <w:rPr>
                <w:spacing w:val="-2"/>
                <w:w w:val="105"/>
                <w:sz w:val="16"/>
              </w:rPr>
              <w:t>million</w:t>
            </w:r>
          </w:p>
        </w:tc>
        <w:tc>
          <w:tcPr>
            <w:tcW w:w="1674" w:type="dxa"/>
            <w:gridSpan w:val="3"/>
            <w:shd w:val="clear" w:color="auto" w:fill="CCEDFF"/>
          </w:tcPr>
          <w:p>
            <w:pPr>
              <w:pStyle w:val="TableParagraph"/>
              <w:rPr>
                <w:sz w:val="14"/>
              </w:rPr>
            </w:pPr>
          </w:p>
        </w:tc>
      </w:tr>
      <w:tr>
        <w:trPr>
          <w:trHeight w:val="200" w:hRule="atLeast"/>
        </w:trPr>
        <w:tc>
          <w:tcPr>
            <w:tcW w:w="7391" w:type="dxa"/>
            <w:gridSpan w:val="3"/>
            <w:tcBorders>
              <w:bottom w:val="double" w:sz="6" w:space="0" w:color="000000"/>
            </w:tcBorders>
          </w:tcPr>
          <w:p>
            <w:pPr>
              <w:pStyle w:val="TableParagraph"/>
              <w:spacing w:line="177" w:lineRule="exact" w:before="3"/>
              <w:rPr>
                <w:sz w:val="16"/>
              </w:rPr>
            </w:pPr>
            <w:r>
              <w:rPr>
                <w:w w:val="105"/>
                <w:sz w:val="16"/>
              </w:rPr>
              <w:t>25</w:t>
            </w:r>
            <w:r>
              <w:rPr>
                <w:spacing w:val="-8"/>
                <w:w w:val="105"/>
                <w:sz w:val="16"/>
              </w:rPr>
              <w:t> </w:t>
            </w:r>
            <w:r>
              <w:rPr>
                <w:w w:val="105"/>
                <w:sz w:val="16"/>
              </w:rPr>
              <w:t>basis</w:t>
            </w:r>
            <w:r>
              <w:rPr>
                <w:spacing w:val="-8"/>
                <w:w w:val="105"/>
                <w:sz w:val="16"/>
              </w:rPr>
              <w:t> </w:t>
            </w:r>
            <w:r>
              <w:rPr>
                <w:w w:val="105"/>
                <w:sz w:val="16"/>
              </w:rPr>
              <w:t>point</w:t>
            </w:r>
            <w:r>
              <w:rPr>
                <w:spacing w:val="-7"/>
                <w:w w:val="105"/>
                <w:sz w:val="16"/>
              </w:rPr>
              <w:t> </w:t>
            </w:r>
            <w:r>
              <w:rPr>
                <w:w w:val="105"/>
                <w:sz w:val="16"/>
              </w:rPr>
              <w:t>increase</w:t>
            </w:r>
            <w:r>
              <w:rPr>
                <w:spacing w:val="-8"/>
                <w:w w:val="105"/>
                <w:sz w:val="16"/>
              </w:rPr>
              <w:t> </w:t>
            </w:r>
            <w:r>
              <w:rPr>
                <w:w w:val="105"/>
                <w:sz w:val="16"/>
              </w:rPr>
              <w:t>in</w:t>
            </w:r>
            <w:r>
              <w:rPr>
                <w:spacing w:val="-8"/>
                <w:w w:val="105"/>
                <w:sz w:val="16"/>
              </w:rPr>
              <w:t> </w:t>
            </w:r>
            <w:r>
              <w:rPr>
                <w:w w:val="105"/>
                <w:sz w:val="16"/>
              </w:rPr>
              <w:t>expected</w:t>
            </w:r>
            <w:r>
              <w:rPr>
                <w:spacing w:val="-8"/>
                <w:w w:val="105"/>
                <w:sz w:val="16"/>
              </w:rPr>
              <w:t> </w:t>
            </w:r>
            <w:r>
              <w:rPr>
                <w:w w:val="105"/>
                <w:sz w:val="16"/>
              </w:rPr>
              <w:t>return</w:t>
            </w:r>
            <w:r>
              <w:rPr>
                <w:spacing w:val="-7"/>
                <w:w w:val="105"/>
                <w:sz w:val="16"/>
              </w:rPr>
              <w:t> </w:t>
            </w:r>
            <w:r>
              <w:rPr>
                <w:w w:val="105"/>
                <w:sz w:val="16"/>
              </w:rPr>
              <w:t>on</w:t>
            </w:r>
            <w:r>
              <w:rPr>
                <w:spacing w:val="-8"/>
                <w:w w:val="105"/>
                <w:sz w:val="16"/>
              </w:rPr>
              <w:t> </w:t>
            </w:r>
            <w:r>
              <w:rPr>
                <w:spacing w:val="-2"/>
                <w:w w:val="105"/>
                <w:sz w:val="16"/>
              </w:rPr>
              <w:t>assets</w:t>
            </w:r>
          </w:p>
        </w:tc>
        <w:tc>
          <w:tcPr>
            <w:tcW w:w="692" w:type="dxa"/>
            <w:tcBorders>
              <w:bottom w:val="double" w:sz="6" w:space="0" w:color="000000"/>
            </w:tcBorders>
          </w:tcPr>
          <w:p>
            <w:pPr>
              <w:pStyle w:val="TableParagraph"/>
              <w:rPr>
                <w:sz w:val="12"/>
              </w:rPr>
            </w:pPr>
          </w:p>
        </w:tc>
        <w:tc>
          <w:tcPr>
            <w:tcW w:w="1755" w:type="dxa"/>
            <w:gridSpan w:val="3"/>
            <w:tcBorders>
              <w:bottom w:val="double" w:sz="6" w:space="0" w:color="000000"/>
            </w:tcBorders>
          </w:tcPr>
          <w:p>
            <w:pPr>
              <w:pStyle w:val="TableParagraph"/>
              <w:spacing w:line="177" w:lineRule="exact" w:before="3"/>
              <w:ind w:left="439"/>
              <w:rPr>
                <w:sz w:val="16"/>
              </w:rPr>
            </w:pPr>
            <w:r>
              <w:rPr>
                <w:w w:val="105"/>
                <w:sz w:val="16"/>
              </w:rPr>
              <w:t>-</w:t>
            </w:r>
            <w:r>
              <w:rPr>
                <w:spacing w:val="-3"/>
                <w:w w:val="105"/>
                <w:sz w:val="16"/>
              </w:rPr>
              <w:t> </w:t>
            </w:r>
            <w:r>
              <w:rPr>
                <w:w w:val="105"/>
                <w:sz w:val="16"/>
              </w:rPr>
              <w:t>9</w:t>
            </w:r>
            <w:r>
              <w:rPr>
                <w:spacing w:val="-2"/>
                <w:w w:val="105"/>
                <w:sz w:val="16"/>
              </w:rPr>
              <w:t> million</w:t>
            </w:r>
          </w:p>
        </w:tc>
        <w:tc>
          <w:tcPr>
            <w:tcW w:w="1674" w:type="dxa"/>
            <w:gridSpan w:val="3"/>
            <w:tcBorders>
              <w:bottom w:val="double" w:sz="6" w:space="0" w:color="000000"/>
            </w:tcBorders>
          </w:tcPr>
          <w:p>
            <w:pPr>
              <w:pStyle w:val="TableParagraph"/>
              <w:rPr>
                <w:sz w:val="12"/>
              </w:rPr>
            </w:pPr>
          </w:p>
        </w:tc>
      </w:tr>
    </w:tbl>
    <w:p>
      <w:pPr>
        <w:pStyle w:val="BodyText"/>
        <w:spacing w:before="16"/>
      </w:pPr>
    </w:p>
    <w:p>
      <w:pPr>
        <w:pStyle w:val="BodyText"/>
        <w:spacing w:line="266" w:lineRule="auto"/>
        <w:ind w:left="156" w:right="117"/>
      </w:pPr>
      <w:r>
        <w:rPr>
          <w:w w:val="105"/>
        </w:rPr>
        <w:t>The</w:t>
      </w:r>
      <w:r>
        <w:rPr>
          <w:spacing w:val="-9"/>
          <w:w w:val="105"/>
        </w:rPr>
        <w:t> </w:t>
      </w:r>
      <w:r>
        <w:rPr>
          <w:w w:val="105"/>
        </w:rPr>
        <w:t>above</w:t>
      </w:r>
      <w:r>
        <w:rPr>
          <w:spacing w:val="-9"/>
          <w:w w:val="105"/>
        </w:rPr>
        <w:t> </w:t>
      </w:r>
      <w:r>
        <w:rPr>
          <w:w w:val="105"/>
        </w:rPr>
        <w:t>sensitivities</w:t>
      </w:r>
      <w:r>
        <w:rPr>
          <w:spacing w:val="-9"/>
          <w:w w:val="105"/>
        </w:rPr>
        <w:t> </w:t>
      </w:r>
      <w:r>
        <w:rPr>
          <w:w w:val="105"/>
        </w:rPr>
        <w:t>reflect</w:t>
      </w:r>
      <w:r>
        <w:rPr>
          <w:spacing w:val="-9"/>
          <w:w w:val="105"/>
        </w:rPr>
        <w:t> </w:t>
      </w:r>
      <w:r>
        <w:rPr>
          <w:w w:val="105"/>
        </w:rPr>
        <w:t>the</w:t>
      </w:r>
      <w:r>
        <w:rPr>
          <w:spacing w:val="-9"/>
          <w:w w:val="105"/>
        </w:rPr>
        <w:t> </w:t>
      </w:r>
      <w:r>
        <w:rPr>
          <w:w w:val="105"/>
        </w:rPr>
        <w:t>impact</w:t>
      </w:r>
      <w:r>
        <w:rPr>
          <w:spacing w:val="-9"/>
          <w:w w:val="105"/>
        </w:rPr>
        <w:t> </w:t>
      </w:r>
      <w:r>
        <w:rPr>
          <w:w w:val="105"/>
        </w:rPr>
        <w:t>of</w:t>
      </w:r>
      <w:r>
        <w:rPr>
          <w:spacing w:val="-9"/>
          <w:w w:val="105"/>
        </w:rPr>
        <w:t> </w:t>
      </w:r>
      <w:r>
        <w:rPr>
          <w:w w:val="105"/>
        </w:rPr>
        <w:t>changing</w:t>
      </w:r>
      <w:r>
        <w:rPr>
          <w:spacing w:val="-9"/>
          <w:w w:val="105"/>
        </w:rPr>
        <w:t> </w:t>
      </w:r>
      <w:r>
        <w:rPr>
          <w:w w:val="105"/>
        </w:rPr>
        <w:t>one</w:t>
      </w:r>
      <w:r>
        <w:rPr>
          <w:spacing w:val="-9"/>
          <w:w w:val="105"/>
        </w:rPr>
        <w:t> </w:t>
      </w:r>
      <w:r>
        <w:rPr>
          <w:w w:val="105"/>
        </w:rPr>
        <w:t>assumption</w:t>
      </w:r>
      <w:r>
        <w:rPr>
          <w:spacing w:val="-9"/>
          <w:w w:val="105"/>
        </w:rPr>
        <w:t> </w:t>
      </w:r>
      <w:r>
        <w:rPr>
          <w:w w:val="105"/>
        </w:rPr>
        <w:t>at</w:t>
      </w:r>
      <w:r>
        <w:rPr>
          <w:spacing w:val="-9"/>
          <w:w w:val="105"/>
        </w:rPr>
        <w:t> </w:t>
      </w:r>
      <w:r>
        <w:rPr>
          <w:w w:val="105"/>
        </w:rPr>
        <w:t>a</w:t>
      </w:r>
      <w:r>
        <w:rPr>
          <w:spacing w:val="-9"/>
          <w:w w:val="105"/>
        </w:rPr>
        <w:t> </w:t>
      </w:r>
      <w:r>
        <w:rPr>
          <w:w w:val="105"/>
        </w:rPr>
        <w:t>time.</w:t>
      </w:r>
      <w:r>
        <w:rPr>
          <w:spacing w:val="-9"/>
          <w:w w:val="105"/>
        </w:rPr>
        <w:t> </w:t>
      </w:r>
      <w:r>
        <w:rPr>
          <w:w w:val="105"/>
        </w:rPr>
        <w:t>Note</w:t>
      </w:r>
      <w:r>
        <w:rPr>
          <w:spacing w:val="-9"/>
          <w:w w:val="105"/>
        </w:rPr>
        <w:t> </w:t>
      </w:r>
      <w:r>
        <w:rPr>
          <w:w w:val="105"/>
        </w:rPr>
        <w:t>that</w:t>
      </w:r>
      <w:r>
        <w:rPr>
          <w:spacing w:val="-9"/>
          <w:w w:val="105"/>
        </w:rPr>
        <w:t> </w:t>
      </w:r>
      <w:r>
        <w:rPr>
          <w:w w:val="105"/>
        </w:rPr>
        <w:t>economic</w:t>
      </w:r>
      <w:r>
        <w:rPr>
          <w:spacing w:val="-9"/>
          <w:w w:val="105"/>
        </w:rPr>
        <w:t> </w:t>
      </w:r>
      <w:r>
        <w:rPr>
          <w:w w:val="105"/>
        </w:rPr>
        <w:t>factors</w:t>
      </w:r>
      <w:r>
        <w:rPr>
          <w:spacing w:val="-9"/>
          <w:w w:val="105"/>
        </w:rPr>
        <w:t> </w:t>
      </w:r>
      <w:r>
        <w:rPr>
          <w:w w:val="105"/>
        </w:rPr>
        <w:t>and</w:t>
      </w:r>
      <w:r>
        <w:rPr>
          <w:spacing w:val="-9"/>
          <w:w w:val="105"/>
        </w:rPr>
        <w:t> </w:t>
      </w:r>
      <w:r>
        <w:rPr>
          <w:w w:val="105"/>
        </w:rPr>
        <w:t>conditions</w:t>
      </w:r>
      <w:r>
        <w:rPr>
          <w:spacing w:val="-9"/>
          <w:w w:val="105"/>
        </w:rPr>
        <w:t> </w:t>
      </w:r>
      <w:r>
        <w:rPr>
          <w:w w:val="105"/>
        </w:rPr>
        <w:t>often</w:t>
      </w:r>
      <w:r>
        <w:rPr>
          <w:spacing w:val="-9"/>
          <w:w w:val="105"/>
        </w:rPr>
        <w:t> </w:t>
      </w:r>
      <w:r>
        <w:rPr>
          <w:w w:val="105"/>
        </w:rPr>
        <w:t>affect</w:t>
      </w:r>
      <w:r>
        <w:rPr>
          <w:spacing w:val="-9"/>
          <w:w w:val="105"/>
        </w:rPr>
        <w:t> </w:t>
      </w:r>
      <w:r>
        <w:rPr>
          <w:w w:val="105"/>
        </w:rPr>
        <w:t>multiple</w:t>
      </w:r>
      <w:r>
        <w:rPr>
          <w:spacing w:val="-9"/>
          <w:w w:val="105"/>
        </w:rPr>
        <w:t> </w:t>
      </w:r>
      <w:r>
        <w:rPr>
          <w:w w:val="105"/>
        </w:rPr>
        <w:t>assumptions</w:t>
      </w:r>
      <w:r>
        <w:rPr>
          <w:spacing w:val="-9"/>
          <w:w w:val="105"/>
        </w:rPr>
        <w:t> </w:t>
      </w:r>
      <w:r>
        <w:rPr>
          <w:w w:val="105"/>
        </w:rPr>
        <w:t>simultaneously and</w:t>
      </w:r>
      <w:r>
        <w:rPr>
          <w:spacing w:val="-3"/>
          <w:w w:val="105"/>
        </w:rPr>
        <w:t> </w:t>
      </w:r>
      <w:r>
        <w:rPr>
          <w:w w:val="105"/>
        </w:rPr>
        <w:t>the</w:t>
      </w:r>
      <w:r>
        <w:rPr>
          <w:spacing w:val="-3"/>
          <w:w w:val="105"/>
        </w:rPr>
        <w:t> </w:t>
      </w:r>
      <w:r>
        <w:rPr>
          <w:w w:val="105"/>
        </w:rPr>
        <w:t>effects</w:t>
      </w:r>
      <w:r>
        <w:rPr>
          <w:spacing w:val="-3"/>
          <w:w w:val="105"/>
        </w:rPr>
        <w:t> </w:t>
      </w:r>
      <w:r>
        <w:rPr>
          <w:w w:val="105"/>
        </w:rPr>
        <w:t>of</w:t>
      </w:r>
      <w:r>
        <w:rPr>
          <w:spacing w:val="-3"/>
          <w:w w:val="105"/>
        </w:rPr>
        <w:t> </w:t>
      </w:r>
      <w:r>
        <w:rPr>
          <w:w w:val="105"/>
        </w:rPr>
        <w:t>changes</w:t>
      </w:r>
      <w:r>
        <w:rPr>
          <w:spacing w:val="-3"/>
          <w:w w:val="105"/>
        </w:rPr>
        <w:t> </w:t>
      </w:r>
      <w:r>
        <w:rPr>
          <w:w w:val="105"/>
        </w:rPr>
        <w:t>in</w:t>
      </w:r>
      <w:r>
        <w:rPr>
          <w:spacing w:val="-3"/>
          <w:w w:val="105"/>
        </w:rPr>
        <w:t> </w:t>
      </w:r>
      <w:r>
        <w:rPr>
          <w:w w:val="105"/>
        </w:rPr>
        <w:t>key</w:t>
      </w:r>
      <w:r>
        <w:rPr>
          <w:spacing w:val="-3"/>
          <w:w w:val="105"/>
        </w:rPr>
        <w:t> </w:t>
      </w:r>
      <w:r>
        <w:rPr>
          <w:w w:val="105"/>
        </w:rPr>
        <w:t>assumptions</w:t>
      </w:r>
      <w:r>
        <w:rPr>
          <w:spacing w:val="-3"/>
          <w:w w:val="105"/>
        </w:rPr>
        <w:t> </w:t>
      </w:r>
      <w:r>
        <w:rPr>
          <w:w w:val="105"/>
        </w:rPr>
        <w:t>are</w:t>
      </w:r>
      <w:r>
        <w:rPr>
          <w:spacing w:val="-3"/>
          <w:w w:val="105"/>
        </w:rPr>
        <w:t> </w:t>
      </w:r>
      <w:r>
        <w:rPr>
          <w:w w:val="105"/>
        </w:rPr>
        <w:t>not</w:t>
      </w:r>
      <w:r>
        <w:rPr>
          <w:spacing w:val="-3"/>
          <w:w w:val="105"/>
        </w:rPr>
        <w:t> </w:t>
      </w:r>
      <w:r>
        <w:rPr>
          <w:w w:val="105"/>
        </w:rPr>
        <w:t>necessarily</w:t>
      </w:r>
      <w:r>
        <w:rPr>
          <w:spacing w:val="-3"/>
          <w:w w:val="105"/>
        </w:rPr>
        <w:t> </w:t>
      </w:r>
      <w:r>
        <w:rPr>
          <w:w w:val="105"/>
        </w:rPr>
        <w:t>linear.</w:t>
      </w:r>
      <w:r>
        <w:rPr>
          <w:spacing w:val="-3"/>
          <w:w w:val="105"/>
        </w:rPr>
        <w:t> </w:t>
      </w:r>
      <w:r>
        <w:rPr>
          <w:w w:val="105"/>
        </w:rPr>
        <w:t>These</w:t>
      </w:r>
      <w:r>
        <w:rPr>
          <w:spacing w:val="-3"/>
          <w:w w:val="105"/>
        </w:rPr>
        <w:t> </w:t>
      </w:r>
      <w:r>
        <w:rPr>
          <w:w w:val="105"/>
        </w:rPr>
        <w:t>changes</w:t>
      </w:r>
      <w:r>
        <w:rPr>
          <w:spacing w:val="-3"/>
          <w:w w:val="105"/>
        </w:rPr>
        <w:t> </w:t>
      </w:r>
      <w:r>
        <w:rPr>
          <w:w w:val="105"/>
        </w:rPr>
        <w:t>in</w:t>
      </w:r>
      <w:r>
        <w:rPr>
          <w:spacing w:val="-3"/>
          <w:w w:val="105"/>
        </w:rPr>
        <w:t> </w:t>
      </w:r>
      <w:r>
        <w:rPr>
          <w:w w:val="105"/>
        </w:rPr>
        <w:t>assumptions</w:t>
      </w:r>
      <w:r>
        <w:rPr>
          <w:spacing w:val="-3"/>
          <w:w w:val="105"/>
        </w:rPr>
        <w:t> </w:t>
      </w:r>
      <w:r>
        <w:rPr>
          <w:w w:val="105"/>
        </w:rPr>
        <w:t>would</w:t>
      </w:r>
      <w:r>
        <w:rPr>
          <w:spacing w:val="-3"/>
          <w:w w:val="105"/>
        </w:rPr>
        <w:t> </w:t>
      </w:r>
      <w:r>
        <w:rPr>
          <w:w w:val="105"/>
        </w:rPr>
        <w:t>have</w:t>
      </w:r>
      <w:r>
        <w:rPr>
          <w:spacing w:val="-3"/>
          <w:w w:val="105"/>
        </w:rPr>
        <w:t> </w:t>
      </w:r>
      <w:r>
        <w:rPr>
          <w:w w:val="105"/>
        </w:rPr>
        <w:t>no</w:t>
      </w:r>
      <w:r>
        <w:rPr>
          <w:spacing w:val="-3"/>
          <w:w w:val="105"/>
        </w:rPr>
        <w:t> </w:t>
      </w:r>
      <w:r>
        <w:rPr>
          <w:w w:val="105"/>
        </w:rPr>
        <w:t>effect</w:t>
      </w:r>
      <w:r>
        <w:rPr>
          <w:spacing w:val="-3"/>
          <w:w w:val="105"/>
        </w:rPr>
        <w:t> </w:t>
      </w:r>
      <w:r>
        <w:rPr>
          <w:w w:val="105"/>
        </w:rPr>
        <w:t>on</w:t>
      </w:r>
      <w:r>
        <w:rPr>
          <w:spacing w:val="-3"/>
          <w:w w:val="105"/>
        </w:rPr>
        <w:t> </w:t>
      </w:r>
      <w:r>
        <w:rPr>
          <w:w w:val="105"/>
        </w:rPr>
        <w:t>Corning’s</w:t>
      </w:r>
      <w:r>
        <w:rPr>
          <w:spacing w:val="-3"/>
          <w:w w:val="105"/>
        </w:rPr>
        <w:t> </w:t>
      </w:r>
      <w:r>
        <w:rPr>
          <w:w w:val="105"/>
        </w:rPr>
        <w:t>funding</w:t>
      </w:r>
      <w:r>
        <w:rPr>
          <w:spacing w:val="-3"/>
          <w:w w:val="105"/>
        </w:rPr>
        <w:t> </w:t>
      </w:r>
      <w:r>
        <w:rPr>
          <w:w w:val="105"/>
        </w:rPr>
        <w:t>requirements.</w:t>
      </w:r>
    </w:p>
    <w:p>
      <w:pPr>
        <w:pStyle w:val="BodyText"/>
        <w:spacing w:before="19"/>
      </w:pPr>
    </w:p>
    <w:p>
      <w:pPr>
        <w:pStyle w:val="BodyText"/>
        <w:ind w:left="48"/>
        <w:jc w:val="center"/>
      </w:pPr>
      <w:r>
        <w:rPr>
          <w:spacing w:val="-5"/>
          <w:w w:val="105"/>
        </w:rPr>
        <w:t>47</w:t>
      </w:r>
    </w:p>
    <w:p>
      <w:pPr>
        <w:pStyle w:val="BodyText"/>
        <w:rPr>
          <w:sz w:val="6"/>
        </w:rPr>
      </w:pPr>
      <w:r>
        <w:rPr/>
        <mc:AlternateContent>
          <mc:Choice Requires="wps">
            <w:drawing>
              <wp:anchor distT="0" distB="0" distL="0" distR="0" allowOverlap="1" layoutInCell="1" locked="0" behindDoc="1" simplePos="0" relativeHeight="487623168">
                <wp:simplePos x="0" y="0"/>
                <wp:positionH relativeFrom="page">
                  <wp:posOffset>226488</wp:posOffset>
                </wp:positionH>
                <wp:positionV relativeFrom="paragraph">
                  <wp:posOffset>59051</wp:posOffset>
                </wp:positionV>
                <wp:extent cx="7312659" cy="1651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93312;mso-wrap-distance-left:0;mso-wrap-distance-right:0" id="docshape78"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BodyText"/>
        <w:spacing w:line="266" w:lineRule="auto"/>
        <w:ind w:left="156" w:right="228"/>
      </w:pPr>
      <w:r>
        <w:rPr>
          <w:w w:val="105"/>
        </w:rPr>
        <w:t>In</w:t>
      </w:r>
      <w:r>
        <w:rPr>
          <w:spacing w:val="-7"/>
          <w:w w:val="105"/>
        </w:rPr>
        <w:t> </w:t>
      </w:r>
      <w:r>
        <w:rPr>
          <w:w w:val="105"/>
        </w:rPr>
        <w:t>addition,</w:t>
      </w:r>
      <w:r>
        <w:rPr>
          <w:spacing w:val="-7"/>
          <w:w w:val="105"/>
        </w:rPr>
        <w:t> </w:t>
      </w:r>
      <w:r>
        <w:rPr>
          <w:w w:val="105"/>
        </w:rPr>
        <w:t>at</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5"/>
          <w:w w:val="105"/>
        </w:rPr>
        <w:t> </w:t>
      </w:r>
      <w:r>
        <w:rPr>
          <w:w w:val="105"/>
        </w:rPr>
        <w:t>a</w:t>
      </w:r>
      <w:r>
        <w:rPr>
          <w:spacing w:val="-7"/>
          <w:w w:val="105"/>
        </w:rPr>
        <w:t> </w:t>
      </w:r>
      <w:r>
        <w:rPr>
          <w:w w:val="105"/>
        </w:rPr>
        <w:t>25</w:t>
      </w:r>
      <w:r>
        <w:rPr>
          <w:spacing w:val="-7"/>
          <w:w w:val="105"/>
        </w:rPr>
        <w:t> </w:t>
      </w:r>
      <w:r>
        <w:rPr>
          <w:w w:val="105"/>
        </w:rPr>
        <w:t>basis</w:t>
      </w:r>
      <w:r>
        <w:rPr>
          <w:spacing w:val="-7"/>
          <w:w w:val="105"/>
        </w:rPr>
        <w:t> </w:t>
      </w:r>
      <w:r>
        <w:rPr>
          <w:w w:val="105"/>
        </w:rPr>
        <w:t>point</w:t>
      </w:r>
      <w:r>
        <w:rPr>
          <w:spacing w:val="-7"/>
          <w:w w:val="105"/>
        </w:rPr>
        <w:t> </w:t>
      </w:r>
      <w:r>
        <w:rPr>
          <w:w w:val="105"/>
        </w:rPr>
        <w:t>decrease</w:t>
      </w:r>
      <w:r>
        <w:rPr>
          <w:spacing w:val="-7"/>
          <w:w w:val="105"/>
        </w:rPr>
        <w:t> </w:t>
      </w:r>
      <w:r>
        <w:rPr>
          <w:w w:val="105"/>
        </w:rPr>
        <w:t>in</w:t>
      </w:r>
      <w:r>
        <w:rPr>
          <w:spacing w:val="-7"/>
          <w:w w:val="105"/>
        </w:rPr>
        <w:t> </w:t>
      </w:r>
      <w:r>
        <w:rPr>
          <w:w w:val="105"/>
        </w:rPr>
        <w:t>each</w:t>
      </w:r>
      <w:r>
        <w:rPr>
          <w:spacing w:val="-7"/>
          <w:w w:val="105"/>
        </w:rPr>
        <w:t> </w:t>
      </w:r>
      <w:r>
        <w:rPr>
          <w:w w:val="105"/>
        </w:rPr>
        <w:t>spot</w:t>
      </w:r>
      <w:r>
        <w:rPr>
          <w:spacing w:val="-7"/>
          <w:w w:val="105"/>
        </w:rPr>
        <w:t> </w:t>
      </w:r>
      <w:r>
        <w:rPr>
          <w:w w:val="105"/>
        </w:rPr>
        <w:t>rate</w:t>
      </w:r>
      <w:r>
        <w:rPr>
          <w:spacing w:val="-7"/>
          <w:w w:val="105"/>
        </w:rPr>
        <w:t> </w:t>
      </w:r>
      <w:r>
        <w:rPr>
          <w:w w:val="105"/>
        </w:rPr>
        <w:t>would</w:t>
      </w:r>
      <w:r>
        <w:rPr>
          <w:spacing w:val="-7"/>
          <w:w w:val="105"/>
        </w:rPr>
        <w:t> </w:t>
      </w:r>
      <w:r>
        <w:rPr>
          <w:w w:val="105"/>
        </w:rPr>
        <w:t>decrease</w:t>
      </w:r>
      <w:r>
        <w:rPr>
          <w:spacing w:val="-7"/>
          <w:w w:val="105"/>
        </w:rPr>
        <w:t> </w:t>
      </w:r>
      <w:r>
        <w:rPr>
          <w:w w:val="105"/>
        </w:rPr>
        <w:t>shareholders’</w:t>
      </w:r>
      <w:r>
        <w:rPr>
          <w:spacing w:val="-7"/>
          <w:w w:val="105"/>
        </w:rPr>
        <w:t> </w:t>
      </w:r>
      <w:r>
        <w:rPr>
          <w:w w:val="105"/>
        </w:rPr>
        <w:t>equity</w:t>
      </w:r>
      <w:r>
        <w:rPr>
          <w:spacing w:val="-7"/>
          <w:w w:val="105"/>
        </w:rPr>
        <w:t> </w:t>
      </w:r>
      <w:r>
        <w:rPr>
          <w:w w:val="105"/>
        </w:rPr>
        <w:t>by</w:t>
      </w:r>
      <w:r>
        <w:rPr>
          <w:spacing w:val="-7"/>
          <w:w w:val="105"/>
        </w:rPr>
        <w:t> </w:t>
      </w:r>
      <w:r>
        <w:rPr>
          <w:w w:val="105"/>
        </w:rPr>
        <w:t>$137</w:t>
      </w:r>
      <w:r>
        <w:rPr>
          <w:spacing w:val="-7"/>
          <w:w w:val="105"/>
        </w:rPr>
        <w:t> </w:t>
      </w:r>
      <w:r>
        <w:rPr>
          <w:w w:val="105"/>
        </w:rPr>
        <w:t>million</w:t>
      </w:r>
      <w:r>
        <w:rPr>
          <w:spacing w:val="-7"/>
          <w:w w:val="105"/>
        </w:rPr>
        <w:t> </w:t>
      </w:r>
      <w:r>
        <w:rPr>
          <w:w w:val="105"/>
        </w:rPr>
        <w:t>before</w:t>
      </w:r>
      <w:r>
        <w:rPr>
          <w:spacing w:val="-7"/>
          <w:w w:val="105"/>
        </w:rPr>
        <w:t> </w:t>
      </w:r>
      <w:r>
        <w:rPr>
          <w:w w:val="105"/>
        </w:rPr>
        <w:t>tax,</w:t>
      </w:r>
      <w:r>
        <w:rPr>
          <w:spacing w:val="-7"/>
          <w:w w:val="105"/>
        </w:rPr>
        <w:t> </w:t>
      </w:r>
      <w:r>
        <w:rPr>
          <w:w w:val="105"/>
        </w:rPr>
        <w:t>and</w:t>
      </w:r>
      <w:r>
        <w:rPr>
          <w:spacing w:val="-7"/>
          <w:w w:val="105"/>
        </w:rPr>
        <w:t> </w:t>
      </w:r>
      <w:r>
        <w:rPr>
          <w:w w:val="105"/>
        </w:rPr>
        <w:t>a</w:t>
      </w:r>
      <w:r>
        <w:rPr>
          <w:spacing w:val="-7"/>
          <w:w w:val="105"/>
        </w:rPr>
        <w:t> </w:t>
      </w:r>
      <w:r>
        <w:rPr>
          <w:w w:val="105"/>
        </w:rPr>
        <w:t>25</w:t>
      </w:r>
      <w:r>
        <w:rPr>
          <w:spacing w:val="-7"/>
          <w:w w:val="105"/>
        </w:rPr>
        <w:t> </w:t>
      </w:r>
      <w:r>
        <w:rPr>
          <w:w w:val="105"/>
        </w:rPr>
        <w:t>basis</w:t>
      </w:r>
      <w:r>
        <w:rPr>
          <w:spacing w:val="-7"/>
          <w:w w:val="105"/>
        </w:rPr>
        <w:t> </w:t>
      </w:r>
      <w:r>
        <w:rPr>
          <w:w w:val="105"/>
        </w:rPr>
        <w:t>point</w:t>
      </w:r>
      <w:r>
        <w:rPr>
          <w:spacing w:val="-7"/>
          <w:w w:val="105"/>
        </w:rPr>
        <w:t> </w:t>
      </w:r>
      <w:r>
        <w:rPr>
          <w:w w:val="105"/>
        </w:rPr>
        <w:t>increase in</w:t>
      </w:r>
      <w:r>
        <w:rPr>
          <w:spacing w:val="-1"/>
          <w:w w:val="105"/>
        </w:rPr>
        <w:t> </w:t>
      </w:r>
      <w:r>
        <w:rPr>
          <w:w w:val="105"/>
        </w:rPr>
        <w:t>each</w:t>
      </w:r>
      <w:r>
        <w:rPr>
          <w:spacing w:val="-1"/>
          <w:w w:val="105"/>
        </w:rPr>
        <w:t> </w:t>
      </w:r>
      <w:r>
        <w:rPr>
          <w:w w:val="105"/>
        </w:rPr>
        <w:t>spot</w:t>
      </w:r>
      <w:r>
        <w:rPr>
          <w:spacing w:val="-1"/>
          <w:w w:val="105"/>
        </w:rPr>
        <w:t> </w:t>
      </w:r>
      <w:r>
        <w:rPr>
          <w:w w:val="105"/>
        </w:rPr>
        <w:t>rate</w:t>
      </w:r>
      <w:r>
        <w:rPr>
          <w:spacing w:val="-1"/>
          <w:w w:val="105"/>
        </w:rPr>
        <w:t> </w:t>
      </w:r>
      <w:r>
        <w:rPr>
          <w:w w:val="105"/>
        </w:rPr>
        <w:t>would</w:t>
      </w:r>
      <w:r>
        <w:rPr>
          <w:spacing w:val="-1"/>
          <w:w w:val="105"/>
        </w:rPr>
        <w:t> </w:t>
      </w:r>
      <w:r>
        <w:rPr>
          <w:w w:val="105"/>
        </w:rPr>
        <w:t>increase</w:t>
      </w:r>
      <w:r>
        <w:rPr>
          <w:spacing w:val="-1"/>
          <w:w w:val="105"/>
        </w:rPr>
        <w:t> </w:t>
      </w:r>
      <w:r>
        <w:rPr>
          <w:w w:val="105"/>
        </w:rPr>
        <w:t>shareholders’</w:t>
      </w:r>
      <w:r>
        <w:rPr>
          <w:spacing w:val="-1"/>
          <w:w w:val="105"/>
        </w:rPr>
        <w:t> </w:t>
      </w:r>
      <w:r>
        <w:rPr>
          <w:w w:val="105"/>
        </w:rPr>
        <w:t>equity</w:t>
      </w:r>
      <w:r>
        <w:rPr>
          <w:spacing w:val="-1"/>
          <w:w w:val="105"/>
        </w:rPr>
        <w:t> </w:t>
      </w:r>
      <w:r>
        <w:rPr>
          <w:w w:val="105"/>
        </w:rPr>
        <w:t>by</w:t>
      </w:r>
      <w:r>
        <w:rPr>
          <w:spacing w:val="-1"/>
          <w:w w:val="105"/>
        </w:rPr>
        <w:t> </w:t>
      </w:r>
      <w:r>
        <w:rPr>
          <w:w w:val="105"/>
        </w:rPr>
        <w:t>$129 million.</w:t>
      </w:r>
      <w:r>
        <w:rPr>
          <w:spacing w:val="-1"/>
          <w:w w:val="105"/>
        </w:rPr>
        <w:t> </w:t>
      </w:r>
      <w:r>
        <w:rPr>
          <w:w w:val="105"/>
        </w:rPr>
        <w:t>In</w:t>
      </w:r>
      <w:r>
        <w:rPr>
          <w:spacing w:val="-1"/>
          <w:w w:val="105"/>
        </w:rPr>
        <w:t> </w:t>
      </w:r>
      <w:r>
        <w:rPr>
          <w:w w:val="105"/>
        </w:rPr>
        <w:t>addition,</w:t>
      </w:r>
      <w:r>
        <w:rPr>
          <w:spacing w:val="-1"/>
          <w:w w:val="105"/>
        </w:rPr>
        <w:t> </w:t>
      </w:r>
      <w:r>
        <w:rPr>
          <w:w w:val="105"/>
        </w:rPr>
        <w:t>the</w:t>
      </w:r>
      <w:r>
        <w:rPr>
          <w:spacing w:val="-1"/>
          <w:w w:val="105"/>
        </w:rPr>
        <w:t> </w:t>
      </w:r>
      <w:r>
        <w:rPr>
          <w:w w:val="105"/>
        </w:rPr>
        <w:t>impact</w:t>
      </w:r>
      <w:r>
        <w:rPr>
          <w:spacing w:val="-1"/>
          <w:w w:val="105"/>
        </w:rPr>
        <w:t> </w:t>
      </w:r>
      <w:r>
        <w:rPr>
          <w:w w:val="105"/>
        </w:rPr>
        <w:t>of</w:t>
      </w:r>
      <w:r>
        <w:rPr>
          <w:spacing w:val="-1"/>
          <w:w w:val="105"/>
        </w:rPr>
        <w:t> </w:t>
      </w:r>
      <w:r>
        <w:rPr>
          <w:w w:val="105"/>
        </w:rPr>
        <w:t>greater</w:t>
      </w:r>
      <w:r>
        <w:rPr>
          <w:spacing w:val="-1"/>
          <w:w w:val="105"/>
        </w:rPr>
        <w:t> </w:t>
      </w:r>
      <w:r>
        <w:rPr>
          <w:w w:val="105"/>
        </w:rPr>
        <w:t>than a</w:t>
      </w:r>
      <w:r>
        <w:rPr>
          <w:spacing w:val="-1"/>
          <w:w w:val="105"/>
        </w:rPr>
        <w:t> </w:t>
      </w:r>
      <w:r>
        <w:rPr>
          <w:w w:val="105"/>
        </w:rPr>
        <w:t>25</w:t>
      </w:r>
      <w:r>
        <w:rPr>
          <w:spacing w:val="-1"/>
          <w:w w:val="105"/>
        </w:rPr>
        <w:t> </w:t>
      </w:r>
      <w:r>
        <w:rPr>
          <w:w w:val="105"/>
        </w:rPr>
        <w:t>basis</w:t>
      </w:r>
      <w:r>
        <w:rPr>
          <w:spacing w:val="-1"/>
          <w:w w:val="105"/>
        </w:rPr>
        <w:t> </w:t>
      </w:r>
      <w:r>
        <w:rPr>
          <w:w w:val="105"/>
        </w:rPr>
        <w:t>point</w:t>
      </w:r>
      <w:r>
        <w:rPr>
          <w:spacing w:val="-1"/>
          <w:w w:val="105"/>
        </w:rPr>
        <w:t> </w:t>
      </w:r>
      <w:r>
        <w:rPr>
          <w:w w:val="105"/>
        </w:rPr>
        <w:t>decrease</w:t>
      </w:r>
      <w:r>
        <w:rPr>
          <w:spacing w:val="-1"/>
          <w:w w:val="105"/>
        </w:rPr>
        <w:t> </w:t>
      </w:r>
      <w:r>
        <w:rPr>
          <w:w w:val="105"/>
        </w:rPr>
        <w:t>in</w:t>
      </w:r>
      <w:r>
        <w:rPr>
          <w:spacing w:val="-1"/>
          <w:w w:val="105"/>
        </w:rPr>
        <w:t> </w:t>
      </w:r>
      <w:r>
        <w:rPr>
          <w:w w:val="105"/>
        </w:rPr>
        <w:t>each</w:t>
      </w:r>
      <w:r>
        <w:rPr>
          <w:spacing w:val="-1"/>
          <w:w w:val="105"/>
        </w:rPr>
        <w:t> </w:t>
      </w:r>
      <w:r>
        <w:rPr>
          <w:w w:val="105"/>
        </w:rPr>
        <w:t>spot</w:t>
      </w:r>
      <w:r>
        <w:rPr>
          <w:spacing w:val="-1"/>
          <w:w w:val="105"/>
        </w:rPr>
        <w:t> </w:t>
      </w:r>
      <w:r>
        <w:rPr>
          <w:w w:val="105"/>
        </w:rPr>
        <w:t>rate</w:t>
      </w:r>
      <w:r>
        <w:rPr>
          <w:spacing w:val="-1"/>
          <w:w w:val="105"/>
        </w:rPr>
        <w:t> </w:t>
      </w:r>
      <w:r>
        <w:rPr>
          <w:w w:val="105"/>
        </w:rPr>
        <w:t>would</w:t>
      </w:r>
      <w:r>
        <w:rPr>
          <w:spacing w:val="-1"/>
          <w:w w:val="105"/>
        </w:rPr>
        <w:t> </w:t>
      </w:r>
      <w:r>
        <w:rPr>
          <w:w w:val="105"/>
        </w:rPr>
        <w:t>not</w:t>
      </w:r>
      <w:r>
        <w:rPr>
          <w:spacing w:val="-1"/>
          <w:w w:val="105"/>
        </w:rPr>
        <w:t> </w:t>
      </w:r>
      <w:r>
        <w:rPr>
          <w:w w:val="105"/>
        </w:rPr>
        <w:t>be proportional to the first 25 basis point decrease in each spot rate.</w:t>
      </w:r>
    </w:p>
    <w:p>
      <w:pPr>
        <w:pStyle w:val="BodyText"/>
        <w:spacing w:before="9"/>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78"/>
        <w:gridCol w:w="1591"/>
        <w:gridCol w:w="1248"/>
      </w:tblGrid>
      <w:tr>
        <w:trPr>
          <w:trHeight w:val="310" w:hRule="atLeast"/>
        </w:trPr>
        <w:tc>
          <w:tcPr>
            <w:tcW w:w="8678" w:type="dxa"/>
            <w:tcBorders>
              <w:bottom w:val="single" w:sz="12" w:space="0" w:color="000000"/>
            </w:tcBorders>
          </w:tcPr>
          <w:p>
            <w:pPr>
              <w:pStyle w:val="TableParagraph"/>
              <w:spacing w:line="182" w:lineRule="exact"/>
              <w:rPr>
                <w:sz w:val="16"/>
              </w:rPr>
            </w:pPr>
            <w:r>
              <w:rPr>
                <w:w w:val="105"/>
                <w:sz w:val="16"/>
              </w:rPr>
              <w:t>The</w:t>
            </w:r>
            <w:r>
              <w:rPr>
                <w:spacing w:val="-9"/>
                <w:w w:val="105"/>
                <w:sz w:val="16"/>
              </w:rPr>
              <w:t> </w:t>
            </w:r>
            <w:r>
              <w:rPr>
                <w:w w:val="105"/>
                <w:sz w:val="16"/>
              </w:rPr>
              <w:t>following</w:t>
            </w:r>
            <w:r>
              <w:rPr>
                <w:spacing w:val="-9"/>
                <w:w w:val="105"/>
                <w:sz w:val="16"/>
              </w:rPr>
              <w:t> </w:t>
            </w:r>
            <w:r>
              <w:rPr>
                <w:w w:val="105"/>
                <w:sz w:val="16"/>
              </w:rPr>
              <w:t>table</w:t>
            </w:r>
            <w:r>
              <w:rPr>
                <w:spacing w:val="-9"/>
                <w:w w:val="105"/>
                <w:sz w:val="16"/>
              </w:rPr>
              <w:t> </w:t>
            </w:r>
            <w:r>
              <w:rPr>
                <w:w w:val="105"/>
                <w:sz w:val="16"/>
              </w:rPr>
              <w:t>illustrates</w:t>
            </w:r>
            <w:r>
              <w:rPr>
                <w:spacing w:val="-8"/>
                <w:w w:val="105"/>
                <w:sz w:val="16"/>
              </w:rPr>
              <w:t> </w:t>
            </w:r>
            <w:r>
              <w:rPr>
                <w:w w:val="105"/>
                <w:sz w:val="16"/>
              </w:rPr>
              <w:t>the</w:t>
            </w:r>
            <w:r>
              <w:rPr>
                <w:spacing w:val="-9"/>
                <w:w w:val="105"/>
                <w:sz w:val="16"/>
              </w:rPr>
              <w:t> </w:t>
            </w:r>
            <w:r>
              <w:rPr>
                <w:w w:val="105"/>
                <w:sz w:val="16"/>
              </w:rPr>
              <w:t>sensitivity</w:t>
            </w:r>
            <w:r>
              <w:rPr>
                <w:spacing w:val="-9"/>
                <w:w w:val="105"/>
                <w:sz w:val="16"/>
              </w:rPr>
              <w:t> </w:t>
            </w:r>
            <w:r>
              <w:rPr>
                <w:w w:val="105"/>
                <w:sz w:val="16"/>
              </w:rPr>
              <w:t>to</w:t>
            </w:r>
            <w:r>
              <w:rPr>
                <w:spacing w:val="-7"/>
                <w:w w:val="105"/>
                <w:sz w:val="16"/>
              </w:rPr>
              <w:t> </w:t>
            </w:r>
            <w:r>
              <w:rPr>
                <w:w w:val="105"/>
                <w:sz w:val="16"/>
              </w:rPr>
              <w:t>a</w:t>
            </w:r>
            <w:r>
              <w:rPr>
                <w:spacing w:val="-8"/>
                <w:w w:val="105"/>
                <w:sz w:val="16"/>
              </w:rPr>
              <w:t> </w:t>
            </w:r>
            <w:r>
              <w:rPr>
                <w:w w:val="105"/>
                <w:sz w:val="16"/>
              </w:rPr>
              <w:t>change</w:t>
            </w:r>
            <w:r>
              <w:rPr>
                <w:spacing w:val="-9"/>
                <w:w w:val="105"/>
                <w:sz w:val="16"/>
              </w:rPr>
              <w:t> </w:t>
            </w:r>
            <w:r>
              <w:rPr>
                <w:w w:val="105"/>
                <w:sz w:val="16"/>
              </w:rPr>
              <w:t>in</w:t>
            </w:r>
            <w:r>
              <w:rPr>
                <w:spacing w:val="-9"/>
                <w:w w:val="105"/>
                <w:sz w:val="16"/>
              </w:rPr>
              <w:t> </w:t>
            </w:r>
            <w:r>
              <w:rPr>
                <w:w w:val="105"/>
                <w:sz w:val="16"/>
              </w:rPr>
              <w:t>each</w:t>
            </w:r>
            <w:r>
              <w:rPr>
                <w:spacing w:val="-9"/>
                <w:w w:val="105"/>
                <w:sz w:val="16"/>
              </w:rPr>
              <w:t> </w:t>
            </w:r>
            <w:r>
              <w:rPr>
                <w:w w:val="105"/>
                <w:sz w:val="16"/>
              </w:rPr>
              <w:t>spot</w:t>
            </w:r>
            <w:r>
              <w:rPr>
                <w:spacing w:val="-8"/>
                <w:w w:val="105"/>
                <w:sz w:val="16"/>
              </w:rPr>
              <w:t> </w:t>
            </w:r>
            <w:r>
              <w:rPr>
                <w:w w:val="105"/>
                <w:sz w:val="16"/>
              </w:rPr>
              <w:t>rate</w:t>
            </w:r>
            <w:r>
              <w:rPr>
                <w:spacing w:val="-7"/>
                <w:w w:val="105"/>
                <w:sz w:val="16"/>
              </w:rPr>
              <w:t> </w:t>
            </w:r>
            <w:r>
              <w:rPr>
                <w:w w:val="105"/>
                <w:sz w:val="16"/>
              </w:rPr>
              <w:t>assumption</w:t>
            </w:r>
            <w:r>
              <w:rPr>
                <w:spacing w:val="-9"/>
                <w:w w:val="105"/>
                <w:sz w:val="16"/>
              </w:rPr>
              <w:t> </w:t>
            </w:r>
            <w:r>
              <w:rPr>
                <w:w w:val="105"/>
                <w:sz w:val="16"/>
              </w:rPr>
              <w:t>related</w:t>
            </w:r>
            <w:r>
              <w:rPr>
                <w:spacing w:val="-9"/>
                <w:w w:val="105"/>
                <w:sz w:val="16"/>
              </w:rPr>
              <w:t> </w:t>
            </w:r>
            <w:r>
              <w:rPr>
                <w:w w:val="105"/>
                <w:sz w:val="16"/>
              </w:rPr>
              <w:t>to</w:t>
            </w:r>
            <w:r>
              <w:rPr>
                <w:spacing w:val="-8"/>
                <w:w w:val="105"/>
                <w:sz w:val="16"/>
              </w:rPr>
              <w:t> </w:t>
            </w:r>
            <w:r>
              <w:rPr>
                <w:w w:val="105"/>
                <w:sz w:val="16"/>
              </w:rPr>
              <w:t>Corning’s</w:t>
            </w:r>
            <w:r>
              <w:rPr>
                <w:spacing w:val="-9"/>
                <w:w w:val="105"/>
                <w:sz w:val="16"/>
              </w:rPr>
              <w:t> </w:t>
            </w:r>
            <w:r>
              <w:rPr>
                <w:w w:val="105"/>
                <w:sz w:val="16"/>
              </w:rPr>
              <w:t>U.S.</w:t>
            </w:r>
            <w:r>
              <w:rPr>
                <w:spacing w:val="-9"/>
                <w:w w:val="105"/>
                <w:sz w:val="16"/>
              </w:rPr>
              <w:t> </w:t>
            </w:r>
            <w:r>
              <w:rPr>
                <w:w w:val="105"/>
                <w:sz w:val="16"/>
              </w:rPr>
              <w:t>OPEB</w:t>
            </w:r>
            <w:r>
              <w:rPr>
                <w:spacing w:val="-9"/>
                <w:w w:val="105"/>
                <w:sz w:val="16"/>
              </w:rPr>
              <w:t> </w:t>
            </w:r>
            <w:r>
              <w:rPr>
                <w:spacing w:val="-2"/>
                <w:w w:val="105"/>
                <w:sz w:val="16"/>
              </w:rPr>
              <w:t>plans:</w:t>
            </w:r>
          </w:p>
        </w:tc>
        <w:tc>
          <w:tcPr>
            <w:tcW w:w="2839" w:type="dxa"/>
            <w:gridSpan w:val="2"/>
            <w:tcBorders>
              <w:bottom w:val="single" w:sz="12" w:space="0" w:color="000000"/>
            </w:tcBorders>
          </w:tcPr>
          <w:p>
            <w:pPr>
              <w:pStyle w:val="TableParagraph"/>
              <w:rPr>
                <w:sz w:val="16"/>
              </w:rPr>
            </w:pPr>
          </w:p>
        </w:tc>
      </w:tr>
      <w:tr>
        <w:trPr>
          <w:trHeight w:val="608" w:hRule="atLeast"/>
        </w:trPr>
        <w:tc>
          <w:tcPr>
            <w:tcW w:w="8678" w:type="dxa"/>
            <w:tcBorders>
              <w:top w:val="single" w:sz="12" w:space="0" w:color="000000"/>
              <w:bottom w:val="single" w:sz="6" w:space="0" w:color="000000"/>
            </w:tcBorders>
          </w:tcPr>
          <w:p>
            <w:pPr>
              <w:pStyle w:val="TableParagraph"/>
              <w:rPr>
                <w:sz w:val="16"/>
              </w:rPr>
            </w:pPr>
          </w:p>
          <w:p>
            <w:pPr>
              <w:pStyle w:val="TableParagraph"/>
              <w:spacing w:before="40"/>
              <w:rPr>
                <w:sz w:val="16"/>
              </w:rPr>
            </w:pPr>
          </w:p>
          <w:p>
            <w:pPr>
              <w:pStyle w:val="TableParagraph"/>
              <w:spacing w:line="179" w:lineRule="exact" w:before="1"/>
              <w:rPr>
                <w:sz w:val="16"/>
              </w:rPr>
            </w:pPr>
            <w:r>
              <w:rPr>
                <w:w w:val="105"/>
                <w:sz w:val="16"/>
              </w:rPr>
              <w:t>Change</w:t>
            </w:r>
            <w:r>
              <w:rPr>
                <w:spacing w:val="-8"/>
                <w:w w:val="105"/>
                <w:sz w:val="16"/>
              </w:rPr>
              <w:t> </w:t>
            </w:r>
            <w:r>
              <w:rPr>
                <w:w w:val="105"/>
                <w:sz w:val="16"/>
              </w:rPr>
              <w:t>in</w:t>
            </w:r>
            <w:r>
              <w:rPr>
                <w:spacing w:val="-7"/>
                <w:w w:val="105"/>
                <w:sz w:val="16"/>
              </w:rPr>
              <w:t> </w:t>
            </w:r>
            <w:r>
              <w:rPr>
                <w:spacing w:val="-2"/>
                <w:w w:val="105"/>
                <w:sz w:val="16"/>
              </w:rPr>
              <w:t>assumption</w:t>
            </w:r>
          </w:p>
        </w:tc>
        <w:tc>
          <w:tcPr>
            <w:tcW w:w="1591" w:type="dxa"/>
            <w:tcBorders>
              <w:top w:val="single" w:sz="12" w:space="0" w:color="000000"/>
              <w:bottom w:val="single" w:sz="6" w:space="0" w:color="000000"/>
            </w:tcBorders>
          </w:tcPr>
          <w:p>
            <w:pPr>
              <w:pStyle w:val="TableParagraph"/>
              <w:spacing w:line="266" w:lineRule="auto" w:before="1"/>
              <w:ind w:left="396" w:right="208"/>
              <w:jc w:val="center"/>
              <w:rPr>
                <w:sz w:val="16"/>
              </w:rPr>
            </w:pPr>
            <w:r>
              <w:rPr>
                <w:spacing w:val="-2"/>
                <w:w w:val="105"/>
                <w:sz w:val="16"/>
              </w:rPr>
              <w:t>Effect</w:t>
            </w:r>
            <w:r>
              <w:rPr>
                <w:spacing w:val="-9"/>
                <w:w w:val="105"/>
                <w:sz w:val="16"/>
              </w:rPr>
              <w:t> </w:t>
            </w:r>
            <w:r>
              <w:rPr>
                <w:spacing w:val="-2"/>
                <w:w w:val="105"/>
                <w:sz w:val="16"/>
              </w:rPr>
              <w:t>on</w:t>
            </w:r>
            <w:r>
              <w:rPr>
                <w:spacing w:val="-8"/>
                <w:w w:val="105"/>
                <w:sz w:val="16"/>
              </w:rPr>
              <w:t> </w:t>
            </w:r>
            <w:r>
              <w:rPr>
                <w:spacing w:val="-2"/>
                <w:w w:val="105"/>
                <w:sz w:val="16"/>
              </w:rPr>
              <w:t>2022</w:t>
            </w:r>
            <w:r>
              <w:rPr>
                <w:w w:val="105"/>
                <w:sz w:val="16"/>
              </w:rPr>
              <w:t> pre-tax</w:t>
            </w:r>
            <w:r>
              <w:rPr>
                <w:spacing w:val="-11"/>
                <w:w w:val="105"/>
                <w:sz w:val="16"/>
              </w:rPr>
              <w:t> </w:t>
            </w:r>
            <w:r>
              <w:rPr>
                <w:spacing w:val="-4"/>
                <w:w w:val="105"/>
                <w:sz w:val="16"/>
              </w:rPr>
              <w:t>OPEB</w:t>
            </w:r>
          </w:p>
          <w:p>
            <w:pPr>
              <w:pStyle w:val="TableParagraph"/>
              <w:spacing w:line="178" w:lineRule="exact"/>
              <w:ind w:left="186"/>
              <w:jc w:val="center"/>
              <w:rPr>
                <w:sz w:val="16"/>
              </w:rPr>
            </w:pPr>
            <w:r>
              <w:rPr>
                <w:spacing w:val="-2"/>
                <w:w w:val="105"/>
                <w:sz w:val="16"/>
              </w:rPr>
              <w:t>expense</w:t>
            </w:r>
          </w:p>
        </w:tc>
        <w:tc>
          <w:tcPr>
            <w:tcW w:w="1248" w:type="dxa"/>
            <w:tcBorders>
              <w:top w:val="single" w:sz="12" w:space="0" w:color="000000"/>
              <w:bottom w:val="single" w:sz="6" w:space="0" w:color="000000"/>
            </w:tcBorders>
          </w:tcPr>
          <w:p>
            <w:pPr>
              <w:pStyle w:val="TableParagraph"/>
              <w:spacing w:line="266" w:lineRule="auto" w:before="1"/>
              <w:ind w:left="208" w:right="108" w:hanging="1"/>
              <w:jc w:val="center"/>
              <w:rPr>
                <w:sz w:val="16"/>
              </w:rPr>
            </w:pPr>
            <w:r>
              <w:rPr>
                <w:w w:val="105"/>
                <w:sz w:val="16"/>
              </w:rPr>
              <w:t>Effect</w:t>
            </w:r>
            <w:r>
              <w:rPr>
                <w:spacing w:val="-1"/>
                <w:w w:val="105"/>
                <w:sz w:val="16"/>
              </w:rPr>
              <w:t> </w:t>
            </w:r>
            <w:r>
              <w:rPr>
                <w:w w:val="105"/>
                <w:sz w:val="16"/>
              </w:rPr>
              <w:t>on </w:t>
            </w:r>
            <w:r>
              <w:rPr>
                <w:sz w:val="16"/>
              </w:rPr>
              <w:t>December</w:t>
            </w:r>
            <w:r>
              <w:rPr>
                <w:spacing w:val="20"/>
                <w:sz w:val="16"/>
              </w:rPr>
              <w:t> </w:t>
            </w:r>
            <w:r>
              <w:rPr>
                <w:spacing w:val="-5"/>
                <w:sz w:val="16"/>
              </w:rPr>
              <w:t>31,</w:t>
            </w:r>
          </w:p>
          <w:p>
            <w:pPr>
              <w:pStyle w:val="TableParagraph"/>
              <w:spacing w:line="178" w:lineRule="exact"/>
              <w:ind w:left="97"/>
              <w:jc w:val="center"/>
              <w:rPr>
                <w:sz w:val="16"/>
              </w:rPr>
            </w:pPr>
            <w:r>
              <w:rPr>
                <w:w w:val="105"/>
                <w:sz w:val="16"/>
              </w:rPr>
              <w:t>2021</w:t>
            </w:r>
            <w:r>
              <w:rPr>
                <w:spacing w:val="-11"/>
                <w:w w:val="105"/>
                <w:sz w:val="16"/>
              </w:rPr>
              <w:t> </w:t>
            </w:r>
            <w:r>
              <w:rPr>
                <w:spacing w:val="-4"/>
                <w:w w:val="105"/>
                <w:sz w:val="16"/>
              </w:rPr>
              <w:t>APBO*</w:t>
            </w:r>
          </w:p>
        </w:tc>
      </w:tr>
      <w:tr>
        <w:trPr>
          <w:trHeight w:val="202" w:hRule="atLeast"/>
        </w:trPr>
        <w:tc>
          <w:tcPr>
            <w:tcW w:w="8678" w:type="dxa"/>
            <w:tcBorders>
              <w:top w:val="single" w:sz="6" w:space="0" w:color="000000"/>
            </w:tcBorders>
            <w:shd w:val="clear" w:color="auto" w:fill="CCEDFF"/>
          </w:tcPr>
          <w:p>
            <w:pPr>
              <w:pStyle w:val="TableParagraph"/>
              <w:spacing w:line="180" w:lineRule="exact" w:before="2"/>
              <w:rPr>
                <w:sz w:val="16"/>
              </w:rPr>
            </w:pPr>
            <w:r>
              <w:rPr>
                <w:w w:val="105"/>
                <w:sz w:val="16"/>
              </w:rPr>
              <w:t>25</w:t>
            </w:r>
            <w:r>
              <w:rPr>
                <w:spacing w:val="-8"/>
                <w:w w:val="105"/>
                <w:sz w:val="16"/>
              </w:rPr>
              <w:t> </w:t>
            </w:r>
            <w:r>
              <w:rPr>
                <w:w w:val="105"/>
                <w:sz w:val="16"/>
              </w:rPr>
              <w:t>basis</w:t>
            </w:r>
            <w:r>
              <w:rPr>
                <w:spacing w:val="-7"/>
                <w:w w:val="105"/>
                <w:sz w:val="16"/>
              </w:rPr>
              <w:t> </w:t>
            </w:r>
            <w:r>
              <w:rPr>
                <w:w w:val="105"/>
                <w:sz w:val="16"/>
              </w:rPr>
              <w:t>point</w:t>
            </w:r>
            <w:r>
              <w:rPr>
                <w:spacing w:val="-7"/>
                <w:w w:val="105"/>
                <w:sz w:val="16"/>
              </w:rPr>
              <w:t> </w:t>
            </w:r>
            <w:r>
              <w:rPr>
                <w:w w:val="105"/>
                <w:sz w:val="16"/>
              </w:rPr>
              <w:t>decrease</w:t>
            </w:r>
            <w:r>
              <w:rPr>
                <w:spacing w:val="-7"/>
                <w:w w:val="105"/>
                <w:sz w:val="16"/>
              </w:rPr>
              <w:t> </w:t>
            </w:r>
            <w:r>
              <w:rPr>
                <w:w w:val="105"/>
                <w:sz w:val="16"/>
              </w:rPr>
              <w:t>in</w:t>
            </w:r>
            <w:r>
              <w:rPr>
                <w:spacing w:val="-7"/>
                <w:w w:val="105"/>
                <w:sz w:val="16"/>
              </w:rPr>
              <w:t> </w:t>
            </w:r>
            <w:r>
              <w:rPr>
                <w:w w:val="105"/>
                <w:sz w:val="16"/>
              </w:rPr>
              <w:t>each</w:t>
            </w:r>
            <w:r>
              <w:rPr>
                <w:spacing w:val="-7"/>
                <w:w w:val="105"/>
                <w:sz w:val="16"/>
              </w:rPr>
              <w:t> </w:t>
            </w:r>
            <w:r>
              <w:rPr>
                <w:w w:val="105"/>
                <w:sz w:val="16"/>
              </w:rPr>
              <w:t>spot</w:t>
            </w:r>
            <w:r>
              <w:rPr>
                <w:spacing w:val="-7"/>
                <w:w w:val="105"/>
                <w:sz w:val="16"/>
              </w:rPr>
              <w:t> </w:t>
            </w:r>
            <w:r>
              <w:rPr>
                <w:spacing w:val="-4"/>
                <w:w w:val="105"/>
                <w:sz w:val="16"/>
              </w:rPr>
              <w:t>rate</w:t>
            </w:r>
          </w:p>
        </w:tc>
        <w:tc>
          <w:tcPr>
            <w:tcW w:w="1591" w:type="dxa"/>
            <w:tcBorders>
              <w:top w:val="single" w:sz="6" w:space="0" w:color="000000"/>
            </w:tcBorders>
            <w:shd w:val="clear" w:color="auto" w:fill="CCEDFF"/>
          </w:tcPr>
          <w:p>
            <w:pPr>
              <w:pStyle w:val="TableParagraph"/>
              <w:spacing w:line="180" w:lineRule="exact" w:before="2"/>
              <w:ind w:left="185"/>
              <w:jc w:val="center"/>
              <w:rPr>
                <w:sz w:val="16"/>
              </w:rPr>
            </w:pPr>
            <w:r>
              <w:rPr>
                <w:w w:val="105"/>
                <w:sz w:val="16"/>
              </w:rPr>
              <w:t>+</w:t>
            </w:r>
            <w:r>
              <w:rPr>
                <w:spacing w:val="-3"/>
                <w:w w:val="105"/>
                <w:sz w:val="16"/>
              </w:rPr>
              <w:t> </w:t>
            </w:r>
            <w:r>
              <w:rPr>
                <w:w w:val="105"/>
                <w:sz w:val="16"/>
              </w:rPr>
              <w:t>2</w:t>
            </w:r>
            <w:r>
              <w:rPr>
                <w:spacing w:val="-3"/>
                <w:w w:val="105"/>
                <w:sz w:val="16"/>
              </w:rPr>
              <w:t> </w:t>
            </w:r>
            <w:r>
              <w:rPr>
                <w:spacing w:val="-2"/>
                <w:w w:val="105"/>
                <w:sz w:val="16"/>
              </w:rPr>
              <w:t>million</w:t>
            </w:r>
          </w:p>
        </w:tc>
        <w:tc>
          <w:tcPr>
            <w:tcW w:w="1248" w:type="dxa"/>
            <w:tcBorders>
              <w:top w:val="single" w:sz="6" w:space="0" w:color="000000"/>
            </w:tcBorders>
            <w:shd w:val="clear" w:color="auto" w:fill="CCEDFF"/>
          </w:tcPr>
          <w:p>
            <w:pPr>
              <w:pStyle w:val="TableParagraph"/>
              <w:spacing w:line="180" w:lineRule="exact" w:before="2"/>
              <w:ind w:left="97"/>
              <w:jc w:val="center"/>
              <w:rPr>
                <w:sz w:val="16"/>
              </w:rPr>
            </w:pPr>
            <w:r>
              <w:rPr>
                <w:w w:val="105"/>
                <w:sz w:val="16"/>
              </w:rPr>
              <w:t>+</w:t>
            </w:r>
            <w:r>
              <w:rPr>
                <w:spacing w:val="-6"/>
                <w:w w:val="105"/>
                <w:sz w:val="16"/>
              </w:rPr>
              <w:t> </w:t>
            </w:r>
            <w:r>
              <w:rPr>
                <w:w w:val="105"/>
                <w:sz w:val="16"/>
              </w:rPr>
              <w:t>22</w:t>
            </w:r>
            <w:r>
              <w:rPr>
                <w:spacing w:val="-3"/>
                <w:w w:val="105"/>
                <w:sz w:val="16"/>
              </w:rPr>
              <w:t> </w:t>
            </w:r>
            <w:r>
              <w:rPr>
                <w:spacing w:val="-2"/>
                <w:w w:val="105"/>
                <w:sz w:val="16"/>
              </w:rPr>
              <w:t>million</w:t>
            </w:r>
          </w:p>
        </w:tc>
      </w:tr>
      <w:tr>
        <w:trPr>
          <w:trHeight w:val="200" w:hRule="atLeast"/>
        </w:trPr>
        <w:tc>
          <w:tcPr>
            <w:tcW w:w="8678" w:type="dxa"/>
            <w:tcBorders>
              <w:bottom w:val="double" w:sz="6" w:space="0" w:color="000000"/>
            </w:tcBorders>
          </w:tcPr>
          <w:p>
            <w:pPr>
              <w:pStyle w:val="TableParagraph"/>
              <w:spacing w:line="177" w:lineRule="exact" w:before="3"/>
              <w:rPr>
                <w:sz w:val="16"/>
              </w:rPr>
            </w:pPr>
            <w:r>
              <w:rPr>
                <w:w w:val="105"/>
                <w:sz w:val="16"/>
              </w:rPr>
              <w:t>25</w:t>
            </w:r>
            <w:r>
              <w:rPr>
                <w:spacing w:val="-8"/>
                <w:w w:val="105"/>
                <w:sz w:val="16"/>
              </w:rPr>
              <w:t> </w:t>
            </w:r>
            <w:r>
              <w:rPr>
                <w:w w:val="105"/>
                <w:sz w:val="16"/>
              </w:rPr>
              <w:t>basis</w:t>
            </w:r>
            <w:r>
              <w:rPr>
                <w:spacing w:val="-7"/>
                <w:w w:val="105"/>
                <w:sz w:val="16"/>
              </w:rPr>
              <w:t> </w:t>
            </w:r>
            <w:r>
              <w:rPr>
                <w:w w:val="105"/>
                <w:sz w:val="16"/>
              </w:rPr>
              <w:t>point</w:t>
            </w:r>
            <w:r>
              <w:rPr>
                <w:spacing w:val="-7"/>
                <w:w w:val="105"/>
                <w:sz w:val="16"/>
              </w:rPr>
              <w:t> </w:t>
            </w:r>
            <w:r>
              <w:rPr>
                <w:w w:val="105"/>
                <w:sz w:val="16"/>
              </w:rPr>
              <w:t>increase</w:t>
            </w:r>
            <w:r>
              <w:rPr>
                <w:spacing w:val="-7"/>
                <w:w w:val="105"/>
                <w:sz w:val="16"/>
              </w:rPr>
              <w:t> </w:t>
            </w:r>
            <w:r>
              <w:rPr>
                <w:w w:val="105"/>
                <w:sz w:val="16"/>
              </w:rPr>
              <w:t>in</w:t>
            </w:r>
            <w:r>
              <w:rPr>
                <w:spacing w:val="-7"/>
                <w:w w:val="105"/>
                <w:sz w:val="16"/>
              </w:rPr>
              <w:t> </w:t>
            </w:r>
            <w:r>
              <w:rPr>
                <w:w w:val="105"/>
                <w:sz w:val="16"/>
              </w:rPr>
              <w:t>each</w:t>
            </w:r>
            <w:r>
              <w:rPr>
                <w:spacing w:val="-7"/>
                <w:w w:val="105"/>
                <w:sz w:val="16"/>
              </w:rPr>
              <w:t> </w:t>
            </w:r>
            <w:r>
              <w:rPr>
                <w:w w:val="105"/>
                <w:sz w:val="16"/>
              </w:rPr>
              <w:t>spot</w:t>
            </w:r>
            <w:r>
              <w:rPr>
                <w:spacing w:val="-7"/>
                <w:w w:val="105"/>
                <w:sz w:val="16"/>
              </w:rPr>
              <w:t> </w:t>
            </w:r>
            <w:r>
              <w:rPr>
                <w:spacing w:val="-4"/>
                <w:w w:val="105"/>
                <w:sz w:val="16"/>
              </w:rPr>
              <w:t>rate</w:t>
            </w:r>
          </w:p>
        </w:tc>
        <w:tc>
          <w:tcPr>
            <w:tcW w:w="1591" w:type="dxa"/>
            <w:tcBorders>
              <w:bottom w:val="double" w:sz="6" w:space="0" w:color="000000"/>
            </w:tcBorders>
          </w:tcPr>
          <w:p>
            <w:pPr>
              <w:pStyle w:val="TableParagraph"/>
              <w:spacing w:line="177" w:lineRule="exact" w:before="3"/>
              <w:ind w:left="185"/>
              <w:jc w:val="center"/>
              <w:rPr>
                <w:sz w:val="16"/>
              </w:rPr>
            </w:pPr>
            <w:r>
              <w:rPr>
                <w:w w:val="105"/>
                <w:sz w:val="16"/>
              </w:rPr>
              <w:t>-</w:t>
            </w:r>
            <w:r>
              <w:rPr>
                <w:spacing w:val="-3"/>
                <w:w w:val="105"/>
                <w:sz w:val="16"/>
              </w:rPr>
              <w:t> </w:t>
            </w:r>
            <w:r>
              <w:rPr>
                <w:w w:val="105"/>
                <w:sz w:val="16"/>
              </w:rPr>
              <w:t>2</w:t>
            </w:r>
            <w:r>
              <w:rPr>
                <w:spacing w:val="-2"/>
                <w:w w:val="105"/>
                <w:sz w:val="16"/>
              </w:rPr>
              <w:t> million</w:t>
            </w:r>
          </w:p>
        </w:tc>
        <w:tc>
          <w:tcPr>
            <w:tcW w:w="1248" w:type="dxa"/>
            <w:tcBorders>
              <w:bottom w:val="double" w:sz="6" w:space="0" w:color="000000"/>
            </w:tcBorders>
          </w:tcPr>
          <w:p>
            <w:pPr>
              <w:pStyle w:val="TableParagraph"/>
              <w:spacing w:line="177" w:lineRule="exact" w:before="3"/>
              <w:ind w:left="97"/>
              <w:jc w:val="center"/>
              <w:rPr>
                <w:sz w:val="16"/>
              </w:rPr>
            </w:pPr>
            <w:r>
              <w:rPr>
                <w:w w:val="105"/>
                <w:sz w:val="16"/>
              </w:rPr>
              <w:t>-</w:t>
            </w:r>
            <w:r>
              <w:rPr>
                <w:spacing w:val="-4"/>
                <w:w w:val="105"/>
                <w:sz w:val="16"/>
              </w:rPr>
              <w:t> </w:t>
            </w:r>
            <w:r>
              <w:rPr>
                <w:w w:val="105"/>
                <w:sz w:val="16"/>
              </w:rPr>
              <w:t>20</w:t>
            </w:r>
            <w:r>
              <w:rPr>
                <w:spacing w:val="-3"/>
                <w:w w:val="105"/>
                <w:sz w:val="16"/>
              </w:rPr>
              <w:t> </w:t>
            </w:r>
            <w:r>
              <w:rPr>
                <w:spacing w:val="-2"/>
                <w:w w:val="105"/>
                <w:sz w:val="16"/>
              </w:rPr>
              <w:t>million</w:t>
            </w:r>
          </w:p>
        </w:tc>
      </w:tr>
      <w:tr>
        <w:trPr>
          <w:trHeight w:val="358" w:hRule="atLeast"/>
        </w:trPr>
        <w:tc>
          <w:tcPr>
            <w:tcW w:w="8678" w:type="dxa"/>
            <w:tcBorders>
              <w:top w:val="double" w:sz="6" w:space="0" w:color="000000"/>
            </w:tcBorders>
          </w:tcPr>
          <w:p>
            <w:pPr>
              <w:pStyle w:val="TableParagraph"/>
              <w:spacing w:before="36"/>
              <w:rPr>
                <w:sz w:val="14"/>
              </w:rPr>
            </w:pPr>
          </w:p>
          <w:p>
            <w:pPr>
              <w:pStyle w:val="TableParagraph"/>
              <w:tabs>
                <w:tab w:pos="305" w:val="left" w:leader="none"/>
              </w:tabs>
              <w:spacing w:line="141" w:lineRule="exact"/>
              <w:rPr>
                <w:sz w:val="14"/>
              </w:rPr>
            </w:pPr>
            <w:r>
              <w:rPr>
                <w:spacing w:val="-10"/>
                <w:sz w:val="14"/>
              </w:rPr>
              <w:t>*</w:t>
            </w:r>
            <w:r>
              <w:rPr>
                <w:sz w:val="14"/>
              </w:rPr>
              <w:tab/>
              <w:t>Accumulated Postretirement Benefit Obligation </w:t>
            </w:r>
            <w:r>
              <w:rPr>
                <w:spacing w:val="-2"/>
                <w:sz w:val="14"/>
              </w:rPr>
              <w:t>(APBO).</w:t>
            </w:r>
          </w:p>
        </w:tc>
        <w:tc>
          <w:tcPr>
            <w:tcW w:w="1591" w:type="dxa"/>
            <w:tcBorders>
              <w:top w:val="double" w:sz="6" w:space="0" w:color="000000"/>
            </w:tcBorders>
          </w:tcPr>
          <w:p>
            <w:pPr>
              <w:pStyle w:val="TableParagraph"/>
              <w:rPr>
                <w:sz w:val="16"/>
              </w:rPr>
            </w:pPr>
          </w:p>
        </w:tc>
        <w:tc>
          <w:tcPr>
            <w:tcW w:w="1248" w:type="dxa"/>
            <w:tcBorders>
              <w:top w:val="double" w:sz="6" w:space="0" w:color="000000"/>
            </w:tcBorders>
          </w:tcPr>
          <w:p>
            <w:pPr>
              <w:pStyle w:val="TableParagraph"/>
              <w:rPr>
                <w:sz w:val="16"/>
              </w:rPr>
            </w:pPr>
          </w:p>
        </w:tc>
      </w:tr>
    </w:tbl>
    <w:p>
      <w:pPr>
        <w:pStyle w:val="BodyText"/>
        <w:spacing w:before="20"/>
      </w:pPr>
    </w:p>
    <w:p>
      <w:pPr>
        <w:pStyle w:val="BodyText"/>
        <w:spacing w:line="266" w:lineRule="auto"/>
        <w:ind w:left="156" w:right="117"/>
      </w:pPr>
      <w:r>
        <w:rPr>
          <w:w w:val="105"/>
        </w:rPr>
        <w:t>The</w:t>
      </w:r>
      <w:r>
        <w:rPr>
          <w:spacing w:val="-9"/>
          <w:w w:val="105"/>
        </w:rPr>
        <w:t> </w:t>
      </w:r>
      <w:r>
        <w:rPr>
          <w:w w:val="105"/>
        </w:rPr>
        <w:t>above</w:t>
      </w:r>
      <w:r>
        <w:rPr>
          <w:spacing w:val="-9"/>
          <w:w w:val="105"/>
        </w:rPr>
        <w:t> </w:t>
      </w:r>
      <w:r>
        <w:rPr>
          <w:w w:val="105"/>
        </w:rPr>
        <w:t>sensitivities</w:t>
      </w:r>
      <w:r>
        <w:rPr>
          <w:spacing w:val="-9"/>
          <w:w w:val="105"/>
        </w:rPr>
        <w:t> </w:t>
      </w:r>
      <w:r>
        <w:rPr>
          <w:w w:val="105"/>
        </w:rPr>
        <w:t>reflect</w:t>
      </w:r>
      <w:r>
        <w:rPr>
          <w:spacing w:val="-9"/>
          <w:w w:val="105"/>
        </w:rPr>
        <w:t> </w:t>
      </w:r>
      <w:r>
        <w:rPr>
          <w:w w:val="105"/>
        </w:rPr>
        <w:t>the</w:t>
      </w:r>
      <w:r>
        <w:rPr>
          <w:spacing w:val="-9"/>
          <w:w w:val="105"/>
        </w:rPr>
        <w:t> </w:t>
      </w:r>
      <w:r>
        <w:rPr>
          <w:w w:val="105"/>
        </w:rPr>
        <w:t>impact</w:t>
      </w:r>
      <w:r>
        <w:rPr>
          <w:spacing w:val="-9"/>
          <w:w w:val="105"/>
        </w:rPr>
        <w:t> </w:t>
      </w:r>
      <w:r>
        <w:rPr>
          <w:w w:val="105"/>
        </w:rPr>
        <w:t>of</w:t>
      </w:r>
      <w:r>
        <w:rPr>
          <w:spacing w:val="-9"/>
          <w:w w:val="105"/>
        </w:rPr>
        <w:t> </w:t>
      </w:r>
      <w:r>
        <w:rPr>
          <w:w w:val="105"/>
        </w:rPr>
        <w:t>changing</w:t>
      </w:r>
      <w:r>
        <w:rPr>
          <w:spacing w:val="-9"/>
          <w:w w:val="105"/>
        </w:rPr>
        <w:t> </w:t>
      </w:r>
      <w:r>
        <w:rPr>
          <w:w w:val="105"/>
        </w:rPr>
        <w:t>one</w:t>
      </w:r>
      <w:r>
        <w:rPr>
          <w:spacing w:val="-9"/>
          <w:w w:val="105"/>
        </w:rPr>
        <w:t> </w:t>
      </w:r>
      <w:r>
        <w:rPr>
          <w:w w:val="105"/>
        </w:rPr>
        <w:t>assumption</w:t>
      </w:r>
      <w:r>
        <w:rPr>
          <w:spacing w:val="-9"/>
          <w:w w:val="105"/>
        </w:rPr>
        <w:t> </w:t>
      </w:r>
      <w:r>
        <w:rPr>
          <w:w w:val="105"/>
        </w:rPr>
        <w:t>at</w:t>
      </w:r>
      <w:r>
        <w:rPr>
          <w:spacing w:val="-9"/>
          <w:w w:val="105"/>
        </w:rPr>
        <w:t> </w:t>
      </w:r>
      <w:r>
        <w:rPr>
          <w:w w:val="105"/>
        </w:rPr>
        <w:t>a</w:t>
      </w:r>
      <w:r>
        <w:rPr>
          <w:spacing w:val="-9"/>
          <w:w w:val="105"/>
        </w:rPr>
        <w:t> </w:t>
      </w:r>
      <w:r>
        <w:rPr>
          <w:w w:val="105"/>
        </w:rPr>
        <w:t>time.</w:t>
      </w:r>
      <w:r>
        <w:rPr>
          <w:spacing w:val="-9"/>
          <w:w w:val="105"/>
        </w:rPr>
        <w:t> </w:t>
      </w:r>
      <w:r>
        <w:rPr>
          <w:w w:val="105"/>
        </w:rPr>
        <w:t>Note</w:t>
      </w:r>
      <w:r>
        <w:rPr>
          <w:spacing w:val="-9"/>
          <w:w w:val="105"/>
        </w:rPr>
        <w:t> </w:t>
      </w:r>
      <w:r>
        <w:rPr>
          <w:w w:val="105"/>
        </w:rPr>
        <w:t>that</w:t>
      </w:r>
      <w:r>
        <w:rPr>
          <w:spacing w:val="-9"/>
          <w:w w:val="105"/>
        </w:rPr>
        <w:t> </w:t>
      </w:r>
      <w:r>
        <w:rPr>
          <w:w w:val="105"/>
        </w:rPr>
        <w:t>economic</w:t>
      </w:r>
      <w:r>
        <w:rPr>
          <w:spacing w:val="-9"/>
          <w:w w:val="105"/>
        </w:rPr>
        <w:t> </w:t>
      </w:r>
      <w:r>
        <w:rPr>
          <w:w w:val="105"/>
        </w:rPr>
        <w:t>factors</w:t>
      </w:r>
      <w:r>
        <w:rPr>
          <w:spacing w:val="-9"/>
          <w:w w:val="105"/>
        </w:rPr>
        <w:t> </w:t>
      </w:r>
      <w:r>
        <w:rPr>
          <w:w w:val="105"/>
        </w:rPr>
        <w:t>and</w:t>
      </w:r>
      <w:r>
        <w:rPr>
          <w:spacing w:val="-9"/>
          <w:w w:val="105"/>
        </w:rPr>
        <w:t> </w:t>
      </w:r>
      <w:r>
        <w:rPr>
          <w:w w:val="105"/>
        </w:rPr>
        <w:t>conditions</w:t>
      </w:r>
      <w:r>
        <w:rPr>
          <w:spacing w:val="-9"/>
          <w:w w:val="105"/>
        </w:rPr>
        <w:t> </w:t>
      </w:r>
      <w:r>
        <w:rPr>
          <w:w w:val="105"/>
        </w:rPr>
        <w:t>often</w:t>
      </w:r>
      <w:r>
        <w:rPr>
          <w:spacing w:val="-9"/>
          <w:w w:val="105"/>
        </w:rPr>
        <w:t> </w:t>
      </w:r>
      <w:r>
        <w:rPr>
          <w:w w:val="105"/>
        </w:rPr>
        <w:t>affect</w:t>
      </w:r>
      <w:r>
        <w:rPr>
          <w:spacing w:val="-9"/>
          <w:w w:val="105"/>
        </w:rPr>
        <w:t> </w:t>
      </w:r>
      <w:r>
        <w:rPr>
          <w:w w:val="105"/>
        </w:rPr>
        <w:t>multiple</w:t>
      </w:r>
      <w:r>
        <w:rPr>
          <w:spacing w:val="-9"/>
          <w:w w:val="105"/>
        </w:rPr>
        <w:t> </w:t>
      </w:r>
      <w:r>
        <w:rPr>
          <w:w w:val="105"/>
        </w:rPr>
        <w:t>assumptions</w:t>
      </w:r>
      <w:r>
        <w:rPr>
          <w:spacing w:val="-9"/>
          <w:w w:val="105"/>
        </w:rPr>
        <w:t> </w:t>
      </w:r>
      <w:r>
        <w:rPr>
          <w:w w:val="105"/>
        </w:rPr>
        <w:t>simultaneously and the effects of changes in key assumptions are not necessarily linear.</w:t>
      </w:r>
    </w:p>
    <w:p>
      <w:pPr>
        <w:pStyle w:val="BodyText"/>
        <w:spacing w:before="19"/>
      </w:pPr>
    </w:p>
    <w:p>
      <w:pPr>
        <w:pStyle w:val="Heading3"/>
      </w:pPr>
      <w:r>
        <w:rPr/>
        <w:t>Revenue</w:t>
      </w:r>
      <w:r>
        <w:rPr>
          <w:spacing w:val="18"/>
        </w:rPr>
        <w:t> </w:t>
      </w:r>
      <w:r>
        <w:rPr>
          <w:spacing w:val="-2"/>
        </w:rPr>
        <w:t>recognition</w:t>
      </w:r>
    </w:p>
    <w:p>
      <w:pPr>
        <w:pStyle w:val="BodyText"/>
        <w:spacing w:before="40"/>
        <w:rPr>
          <w:b/>
          <w:i/>
        </w:rPr>
      </w:pPr>
    </w:p>
    <w:p>
      <w:pPr>
        <w:pStyle w:val="BodyText"/>
        <w:spacing w:line="266" w:lineRule="auto"/>
        <w:ind w:left="156" w:right="117"/>
      </w:pPr>
      <w:r>
        <w:rPr>
          <w:w w:val="105"/>
        </w:rPr>
        <w:t>The</w:t>
      </w:r>
      <w:r>
        <w:rPr>
          <w:spacing w:val="-2"/>
          <w:w w:val="105"/>
        </w:rPr>
        <w:t> </w:t>
      </w:r>
      <w:r>
        <w:rPr>
          <w:w w:val="105"/>
        </w:rPr>
        <w:t>Company</w:t>
      </w:r>
      <w:r>
        <w:rPr>
          <w:spacing w:val="-2"/>
          <w:w w:val="105"/>
        </w:rPr>
        <w:t> </w:t>
      </w:r>
      <w:r>
        <w:rPr>
          <w:w w:val="105"/>
        </w:rPr>
        <w:t>recognizes</w:t>
      </w:r>
      <w:r>
        <w:rPr>
          <w:spacing w:val="-2"/>
          <w:w w:val="105"/>
        </w:rPr>
        <w:t> </w:t>
      </w:r>
      <w:r>
        <w:rPr>
          <w:w w:val="105"/>
        </w:rPr>
        <w:t>revenue</w:t>
      </w:r>
      <w:r>
        <w:rPr>
          <w:spacing w:val="-2"/>
          <w:w w:val="105"/>
        </w:rPr>
        <w:t> </w:t>
      </w:r>
      <w:r>
        <w:rPr>
          <w:w w:val="105"/>
        </w:rPr>
        <w:t>when all</w:t>
      </w:r>
      <w:r>
        <w:rPr>
          <w:spacing w:val="-2"/>
          <w:w w:val="105"/>
        </w:rPr>
        <w:t> </w:t>
      </w:r>
      <w:r>
        <w:rPr>
          <w:w w:val="105"/>
        </w:rPr>
        <w:t>performance</w:t>
      </w:r>
      <w:r>
        <w:rPr>
          <w:spacing w:val="-2"/>
          <w:w w:val="105"/>
        </w:rPr>
        <w:t> </w:t>
      </w:r>
      <w:r>
        <w:rPr>
          <w:w w:val="105"/>
        </w:rPr>
        <w:t>obligations</w:t>
      </w:r>
      <w:r>
        <w:rPr>
          <w:spacing w:val="-2"/>
          <w:w w:val="105"/>
        </w:rPr>
        <w:t> </w:t>
      </w:r>
      <w:r>
        <w:rPr>
          <w:w w:val="105"/>
        </w:rPr>
        <w:t>under</w:t>
      </w:r>
      <w:r>
        <w:rPr>
          <w:spacing w:val="-2"/>
          <w:w w:val="105"/>
        </w:rPr>
        <w:t> </w:t>
      </w:r>
      <w:r>
        <w:rPr>
          <w:w w:val="105"/>
        </w:rPr>
        <w:t>the</w:t>
      </w:r>
      <w:r>
        <w:rPr>
          <w:spacing w:val="-2"/>
          <w:w w:val="105"/>
        </w:rPr>
        <w:t> </w:t>
      </w:r>
      <w:r>
        <w:rPr>
          <w:w w:val="105"/>
        </w:rPr>
        <w:t>terms</w:t>
      </w:r>
      <w:r>
        <w:rPr>
          <w:spacing w:val="-2"/>
          <w:w w:val="105"/>
        </w:rPr>
        <w:t> </w:t>
      </w:r>
      <w:r>
        <w:rPr>
          <w:w w:val="105"/>
        </w:rPr>
        <w:t>of</w:t>
      </w:r>
      <w:r>
        <w:rPr>
          <w:spacing w:val="-2"/>
          <w:w w:val="105"/>
        </w:rPr>
        <w:t> </w:t>
      </w:r>
      <w:r>
        <w:rPr>
          <w:w w:val="105"/>
        </w:rPr>
        <w:t>a contract</w:t>
      </w:r>
      <w:r>
        <w:rPr>
          <w:spacing w:val="-2"/>
          <w:w w:val="105"/>
        </w:rPr>
        <w:t> </w:t>
      </w:r>
      <w:r>
        <w:rPr>
          <w:w w:val="105"/>
        </w:rPr>
        <w:t>with</w:t>
      </w:r>
      <w:r>
        <w:rPr>
          <w:spacing w:val="-2"/>
          <w:w w:val="105"/>
        </w:rPr>
        <w:t> </w:t>
      </w:r>
      <w:r>
        <w:rPr>
          <w:w w:val="105"/>
        </w:rPr>
        <w:t>our</w:t>
      </w:r>
      <w:r>
        <w:rPr>
          <w:spacing w:val="-2"/>
          <w:w w:val="105"/>
        </w:rPr>
        <w:t> </w:t>
      </w:r>
      <w:r>
        <w:rPr>
          <w:w w:val="105"/>
        </w:rPr>
        <w:t>customer are</w:t>
      </w:r>
      <w:r>
        <w:rPr>
          <w:spacing w:val="-2"/>
          <w:w w:val="105"/>
        </w:rPr>
        <w:t> </w:t>
      </w:r>
      <w:r>
        <w:rPr>
          <w:w w:val="105"/>
        </w:rPr>
        <w:t>satisfied,</w:t>
      </w:r>
      <w:r>
        <w:rPr>
          <w:spacing w:val="-2"/>
          <w:w w:val="105"/>
        </w:rPr>
        <w:t> </w:t>
      </w:r>
      <w:r>
        <w:rPr>
          <w:w w:val="105"/>
        </w:rPr>
        <w:t>and</w:t>
      </w:r>
      <w:r>
        <w:rPr>
          <w:spacing w:val="-2"/>
          <w:w w:val="105"/>
        </w:rPr>
        <w:t> </w:t>
      </w:r>
      <w:r>
        <w:rPr>
          <w:w w:val="105"/>
        </w:rPr>
        <w:t>control</w:t>
      </w:r>
      <w:r>
        <w:rPr>
          <w:spacing w:val="-2"/>
          <w:w w:val="105"/>
        </w:rPr>
        <w:t> </w:t>
      </w:r>
      <w:r>
        <w:rPr>
          <w:w w:val="105"/>
        </w:rPr>
        <w:t>of</w:t>
      </w:r>
      <w:r>
        <w:rPr>
          <w:spacing w:val="-2"/>
          <w:w w:val="105"/>
        </w:rPr>
        <w:t> </w:t>
      </w:r>
      <w:r>
        <w:rPr>
          <w:w w:val="105"/>
        </w:rPr>
        <w:t>the</w:t>
      </w:r>
      <w:r>
        <w:rPr>
          <w:spacing w:val="-2"/>
          <w:w w:val="105"/>
        </w:rPr>
        <w:t> </w:t>
      </w:r>
      <w:r>
        <w:rPr>
          <w:w w:val="105"/>
        </w:rPr>
        <w:t>product</w:t>
      </w:r>
      <w:r>
        <w:rPr>
          <w:spacing w:val="-2"/>
          <w:w w:val="105"/>
        </w:rPr>
        <w:t> </w:t>
      </w:r>
      <w:r>
        <w:rPr>
          <w:w w:val="105"/>
        </w:rPr>
        <w:t>has</w:t>
      </w:r>
      <w:r>
        <w:rPr>
          <w:spacing w:val="-2"/>
          <w:w w:val="105"/>
        </w:rPr>
        <w:t> </w:t>
      </w:r>
      <w:r>
        <w:rPr>
          <w:w w:val="105"/>
        </w:rPr>
        <w:t>been transferred</w:t>
      </w:r>
      <w:r>
        <w:rPr>
          <w:spacing w:val="-2"/>
          <w:w w:val="105"/>
        </w:rPr>
        <w:t> </w:t>
      </w:r>
      <w:r>
        <w:rPr>
          <w:w w:val="105"/>
        </w:rPr>
        <w:t>to</w:t>
      </w:r>
      <w:r>
        <w:rPr>
          <w:spacing w:val="-2"/>
          <w:w w:val="105"/>
        </w:rPr>
        <w:t> </w:t>
      </w:r>
      <w:r>
        <w:rPr>
          <w:w w:val="105"/>
        </w:rPr>
        <w:t>the</w:t>
      </w:r>
      <w:r>
        <w:rPr>
          <w:spacing w:val="-2"/>
          <w:w w:val="105"/>
        </w:rPr>
        <w:t> </w:t>
      </w:r>
      <w:r>
        <w:rPr>
          <w:w w:val="105"/>
        </w:rPr>
        <w:t>customer.</w:t>
      </w:r>
      <w:r>
        <w:rPr>
          <w:spacing w:val="-4"/>
          <w:w w:val="105"/>
        </w:rPr>
        <w:t> </w:t>
      </w:r>
      <w:r>
        <w:rPr>
          <w:w w:val="105"/>
        </w:rPr>
        <w:t>If</w:t>
      </w:r>
      <w:r>
        <w:rPr>
          <w:spacing w:val="-2"/>
          <w:w w:val="105"/>
        </w:rPr>
        <w:t> </w:t>
      </w:r>
      <w:r>
        <w:rPr>
          <w:w w:val="105"/>
        </w:rPr>
        <w:t>customer</w:t>
      </w:r>
      <w:r>
        <w:rPr>
          <w:spacing w:val="-2"/>
          <w:w w:val="105"/>
        </w:rPr>
        <w:t> </w:t>
      </w:r>
      <w:r>
        <w:rPr>
          <w:w w:val="105"/>
        </w:rPr>
        <w:t>acceptance</w:t>
      </w:r>
      <w:r>
        <w:rPr>
          <w:spacing w:val="-2"/>
          <w:w w:val="105"/>
        </w:rPr>
        <w:t> </w:t>
      </w:r>
      <w:r>
        <w:rPr>
          <w:w w:val="105"/>
        </w:rPr>
        <w:t>clauses</w:t>
      </w:r>
      <w:r>
        <w:rPr>
          <w:spacing w:val="-2"/>
          <w:w w:val="105"/>
        </w:rPr>
        <w:t> </w:t>
      </w:r>
      <w:r>
        <w:rPr>
          <w:w w:val="105"/>
        </w:rPr>
        <w:t>are</w:t>
      </w:r>
      <w:r>
        <w:rPr>
          <w:spacing w:val="-4"/>
          <w:w w:val="105"/>
        </w:rPr>
        <w:t> </w:t>
      </w:r>
      <w:r>
        <w:rPr>
          <w:w w:val="105"/>
        </w:rPr>
        <w:t>present</w:t>
      </w:r>
      <w:r>
        <w:rPr>
          <w:spacing w:val="-2"/>
          <w:w w:val="105"/>
        </w:rPr>
        <w:t> </w:t>
      </w:r>
      <w:r>
        <w:rPr>
          <w:w w:val="105"/>
        </w:rPr>
        <w:t>and</w:t>
      </w:r>
      <w:r>
        <w:rPr>
          <w:spacing w:val="-2"/>
          <w:w w:val="105"/>
        </w:rPr>
        <w:t> </w:t>
      </w:r>
      <w:r>
        <w:rPr>
          <w:w w:val="105"/>
        </w:rPr>
        <w:t>it</w:t>
      </w:r>
      <w:r>
        <w:rPr>
          <w:spacing w:val="-2"/>
          <w:w w:val="105"/>
        </w:rPr>
        <w:t> </w:t>
      </w:r>
      <w:r>
        <w:rPr>
          <w:w w:val="105"/>
        </w:rPr>
        <w:t>cannot</w:t>
      </w:r>
      <w:r>
        <w:rPr>
          <w:spacing w:val="-4"/>
          <w:w w:val="105"/>
        </w:rPr>
        <w:t> </w:t>
      </w:r>
      <w:r>
        <w:rPr>
          <w:w w:val="105"/>
        </w:rPr>
        <w:t>be</w:t>
      </w:r>
      <w:r>
        <w:rPr>
          <w:spacing w:val="-2"/>
          <w:w w:val="105"/>
        </w:rPr>
        <w:t> </w:t>
      </w:r>
      <w:r>
        <w:rPr>
          <w:w w:val="105"/>
        </w:rPr>
        <w:t>objectively</w:t>
      </w:r>
      <w:r>
        <w:rPr>
          <w:spacing w:val="-2"/>
          <w:w w:val="105"/>
        </w:rPr>
        <w:t> </w:t>
      </w:r>
      <w:r>
        <w:rPr>
          <w:w w:val="105"/>
        </w:rPr>
        <w:t>determined</w:t>
      </w:r>
      <w:r>
        <w:rPr>
          <w:spacing w:val="-2"/>
          <w:w w:val="105"/>
        </w:rPr>
        <w:t> </w:t>
      </w:r>
      <w:r>
        <w:rPr>
          <w:w w:val="105"/>
        </w:rPr>
        <w:t>that</w:t>
      </w:r>
      <w:r>
        <w:rPr>
          <w:spacing w:val="-2"/>
          <w:w w:val="105"/>
        </w:rPr>
        <w:t> </w:t>
      </w:r>
      <w:r>
        <w:rPr>
          <w:w w:val="105"/>
        </w:rPr>
        <w:t>control</w:t>
      </w:r>
      <w:r>
        <w:rPr>
          <w:spacing w:val="-2"/>
          <w:w w:val="105"/>
        </w:rPr>
        <w:t> </w:t>
      </w:r>
      <w:r>
        <w:rPr>
          <w:w w:val="105"/>
        </w:rPr>
        <w:t>has</w:t>
      </w:r>
      <w:r>
        <w:rPr>
          <w:spacing w:val="-2"/>
          <w:w w:val="105"/>
        </w:rPr>
        <w:t> </w:t>
      </w:r>
      <w:r>
        <w:rPr>
          <w:w w:val="105"/>
        </w:rPr>
        <w:t>been</w:t>
      </w:r>
      <w:r>
        <w:rPr>
          <w:spacing w:val="-2"/>
          <w:w w:val="105"/>
        </w:rPr>
        <w:t> </w:t>
      </w:r>
      <w:r>
        <w:rPr>
          <w:w w:val="105"/>
        </w:rPr>
        <w:t>transferred,</w:t>
      </w:r>
      <w:r>
        <w:rPr>
          <w:spacing w:val="-2"/>
          <w:w w:val="105"/>
        </w:rPr>
        <w:t> </w:t>
      </w:r>
      <w:r>
        <w:rPr>
          <w:w w:val="105"/>
        </w:rPr>
        <w:t>revenue</w:t>
      </w:r>
      <w:r>
        <w:rPr>
          <w:spacing w:val="-2"/>
          <w:w w:val="105"/>
        </w:rPr>
        <w:t> </w:t>
      </w:r>
      <w:r>
        <w:rPr>
          <w:w w:val="105"/>
        </w:rPr>
        <w:t>is</w:t>
      </w:r>
      <w:r>
        <w:rPr>
          <w:spacing w:val="-2"/>
          <w:w w:val="105"/>
        </w:rPr>
        <w:t> </w:t>
      </w:r>
      <w:r>
        <w:rPr>
          <w:w w:val="105"/>
        </w:rPr>
        <w:t>only</w:t>
      </w:r>
      <w:r>
        <w:rPr>
          <w:spacing w:val="-2"/>
          <w:w w:val="105"/>
        </w:rPr>
        <w:t> </w:t>
      </w:r>
      <w:r>
        <w:rPr>
          <w:w w:val="105"/>
        </w:rPr>
        <w:t>recorded when</w:t>
      </w:r>
      <w:r>
        <w:rPr>
          <w:spacing w:val="-9"/>
          <w:w w:val="105"/>
        </w:rPr>
        <w:t> </w:t>
      </w:r>
      <w:r>
        <w:rPr>
          <w:w w:val="105"/>
        </w:rPr>
        <w:t>customer</w:t>
      </w:r>
      <w:r>
        <w:rPr>
          <w:spacing w:val="-9"/>
          <w:w w:val="105"/>
        </w:rPr>
        <w:t> </w:t>
      </w:r>
      <w:r>
        <w:rPr>
          <w:w w:val="105"/>
        </w:rPr>
        <w:t>acceptance</w:t>
      </w:r>
      <w:r>
        <w:rPr>
          <w:spacing w:val="-9"/>
          <w:w w:val="105"/>
        </w:rPr>
        <w:t> </w:t>
      </w:r>
      <w:r>
        <w:rPr>
          <w:w w:val="105"/>
        </w:rPr>
        <w:t>is</w:t>
      </w:r>
      <w:r>
        <w:rPr>
          <w:spacing w:val="-9"/>
          <w:w w:val="105"/>
        </w:rPr>
        <w:t> </w:t>
      </w:r>
      <w:r>
        <w:rPr>
          <w:w w:val="105"/>
        </w:rPr>
        <w:t>received</w:t>
      </w:r>
      <w:r>
        <w:rPr>
          <w:spacing w:val="-9"/>
          <w:w w:val="105"/>
        </w:rPr>
        <w:t> </w:t>
      </w:r>
      <w:r>
        <w:rPr>
          <w:w w:val="105"/>
        </w:rPr>
        <w:t>and</w:t>
      </w:r>
      <w:r>
        <w:rPr>
          <w:spacing w:val="-9"/>
          <w:w w:val="105"/>
        </w:rPr>
        <w:t> </w:t>
      </w:r>
      <w:r>
        <w:rPr>
          <w:w w:val="105"/>
        </w:rPr>
        <w:t>all</w:t>
      </w:r>
      <w:r>
        <w:rPr>
          <w:spacing w:val="-9"/>
          <w:w w:val="105"/>
        </w:rPr>
        <w:t> </w:t>
      </w:r>
      <w:r>
        <w:rPr>
          <w:w w:val="105"/>
        </w:rPr>
        <w:t>performance</w:t>
      </w:r>
      <w:r>
        <w:rPr>
          <w:spacing w:val="-9"/>
          <w:w w:val="105"/>
        </w:rPr>
        <w:t> </w:t>
      </w:r>
      <w:r>
        <w:rPr>
          <w:w w:val="105"/>
        </w:rPr>
        <w:t>obligations</w:t>
      </w:r>
      <w:r>
        <w:rPr>
          <w:spacing w:val="-9"/>
          <w:w w:val="105"/>
        </w:rPr>
        <w:t> </w:t>
      </w:r>
      <w:r>
        <w:rPr>
          <w:w w:val="105"/>
        </w:rPr>
        <w:t>have</w:t>
      </w:r>
      <w:r>
        <w:rPr>
          <w:spacing w:val="-9"/>
          <w:w w:val="105"/>
        </w:rPr>
        <w:t> </w:t>
      </w:r>
      <w:r>
        <w:rPr>
          <w:w w:val="105"/>
        </w:rPr>
        <w:t>been</w:t>
      </w:r>
      <w:r>
        <w:rPr>
          <w:spacing w:val="-9"/>
          <w:w w:val="105"/>
        </w:rPr>
        <w:t> </w:t>
      </w:r>
      <w:r>
        <w:rPr>
          <w:w w:val="105"/>
        </w:rPr>
        <w:t>satisfied.</w:t>
      </w:r>
      <w:r>
        <w:rPr>
          <w:spacing w:val="-9"/>
          <w:w w:val="105"/>
        </w:rPr>
        <w:t> </w:t>
      </w:r>
      <w:r>
        <w:rPr>
          <w:w w:val="105"/>
        </w:rPr>
        <w:t>Sales</w:t>
      </w:r>
      <w:r>
        <w:rPr>
          <w:spacing w:val="-9"/>
          <w:w w:val="105"/>
        </w:rPr>
        <w:t> </w:t>
      </w:r>
      <w:r>
        <w:rPr>
          <w:w w:val="105"/>
        </w:rPr>
        <w:t>of</w:t>
      </w:r>
      <w:r>
        <w:rPr>
          <w:spacing w:val="-9"/>
          <w:w w:val="105"/>
        </w:rPr>
        <w:t> </w:t>
      </w:r>
      <w:r>
        <w:rPr>
          <w:w w:val="105"/>
        </w:rPr>
        <w:t>goods</w:t>
      </w:r>
      <w:r>
        <w:rPr>
          <w:spacing w:val="-9"/>
          <w:w w:val="105"/>
        </w:rPr>
        <w:t> </w:t>
      </w:r>
      <w:r>
        <w:rPr>
          <w:w w:val="105"/>
        </w:rPr>
        <w:t>typically</w:t>
      </w:r>
      <w:r>
        <w:rPr>
          <w:spacing w:val="-9"/>
          <w:w w:val="105"/>
        </w:rPr>
        <w:t> </w:t>
      </w:r>
      <w:r>
        <w:rPr>
          <w:w w:val="105"/>
        </w:rPr>
        <w:t>do</w:t>
      </w:r>
      <w:r>
        <w:rPr>
          <w:spacing w:val="-9"/>
          <w:w w:val="105"/>
        </w:rPr>
        <w:t> </w:t>
      </w:r>
      <w:r>
        <w:rPr>
          <w:w w:val="105"/>
        </w:rPr>
        <w:t>not</w:t>
      </w:r>
      <w:r>
        <w:rPr>
          <w:spacing w:val="-9"/>
          <w:w w:val="105"/>
        </w:rPr>
        <w:t> </w:t>
      </w:r>
      <w:r>
        <w:rPr>
          <w:w w:val="105"/>
        </w:rPr>
        <w:t>include</w:t>
      </w:r>
      <w:r>
        <w:rPr>
          <w:spacing w:val="-9"/>
          <w:w w:val="105"/>
        </w:rPr>
        <w:t> </w:t>
      </w:r>
      <w:r>
        <w:rPr>
          <w:w w:val="105"/>
        </w:rPr>
        <w:t>multiple</w:t>
      </w:r>
      <w:r>
        <w:rPr>
          <w:spacing w:val="-9"/>
          <w:w w:val="105"/>
        </w:rPr>
        <w:t> </w:t>
      </w:r>
      <w:r>
        <w:rPr>
          <w:w w:val="105"/>
        </w:rPr>
        <w:t>product</w:t>
      </w:r>
      <w:r>
        <w:rPr>
          <w:spacing w:val="-9"/>
          <w:w w:val="105"/>
        </w:rPr>
        <w:t> </w:t>
      </w:r>
      <w:r>
        <w:rPr>
          <w:w w:val="105"/>
        </w:rPr>
        <w:t>and/or</w:t>
      </w:r>
      <w:r>
        <w:rPr>
          <w:spacing w:val="-9"/>
          <w:w w:val="105"/>
        </w:rPr>
        <w:t> </w:t>
      </w:r>
      <w:r>
        <w:rPr>
          <w:w w:val="105"/>
        </w:rPr>
        <w:t>service</w:t>
      </w:r>
      <w:r>
        <w:rPr>
          <w:spacing w:val="-9"/>
          <w:w w:val="105"/>
        </w:rPr>
        <w:t> </w:t>
      </w:r>
      <w:r>
        <w:rPr>
          <w:w w:val="105"/>
        </w:rPr>
        <w:t>elements. Corning</w:t>
      </w:r>
      <w:r>
        <w:rPr>
          <w:spacing w:val="-3"/>
          <w:w w:val="105"/>
        </w:rPr>
        <w:t> </w:t>
      </w:r>
      <w:r>
        <w:rPr>
          <w:w w:val="105"/>
        </w:rPr>
        <w:t>also</w:t>
      </w:r>
      <w:r>
        <w:rPr>
          <w:spacing w:val="-3"/>
          <w:w w:val="105"/>
        </w:rPr>
        <w:t> </w:t>
      </w:r>
      <w:r>
        <w:rPr>
          <w:w w:val="105"/>
        </w:rPr>
        <w:t>has</w:t>
      </w:r>
      <w:r>
        <w:rPr>
          <w:spacing w:val="-3"/>
          <w:w w:val="105"/>
        </w:rPr>
        <w:t> </w:t>
      </w:r>
      <w:r>
        <w:rPr>
          <w:w w:val="105"/>
        </w:rPr>
        <w:t>contractual</w:t>
      </w:r>
      <w:r>
        <w:rPr>
          <w:spacing w:val="-1"/>
          <w:w w:val="105"/>
        </w:rPr>
        <w:t> </w:t>
      </w:r>
      <w:r>
        <w:rPr>
          <w:w w:val="105"/>
        </w:rPr>
        <w:t>arrangements</w:t>
      </w:r>
      <w:r>
        <w:rPr>
          <w:spacing w:val="-3"/>
          <w:w w:val="105"/>
        </w:rPr>
        <w:t> </w:t>
      </w:r>
      <w:r>
        <w:rPr>
          <w:w w:val="105"/>
        </w:rPr>
        <w:t>with</w:t>
      </w:r>
      <w:r>
        <w:rPr>
          <w:spacing w:val="-3"/>
          <w:w w:val="105"/>
        </w:rPr>
        <w:t> </w:t>
      </w:r>
      <w:r>
        <w:rPr>
          <w:w w:val="105"/>
        </w:rPr>
        <w:t>certain</w:t>
      </w:r>
      <w:r>
        <w:rPr>
          <w:spacing w:val="-3"/>
          <w:w w:val="105"/>
        </w:rPr>
        <w:t> </w:t>
      </w:r>
      <w:r>
        <w:rPr>
          <w:w w:val="105"/>
        </w:rPr>
        <w:t>customers</w:t>
      </w:r>
      <w:r>
        <w:rPr>
          <w:spacing w:val="-3"/>
          <w:w w:val="105"/>
        </w:rPr>
        <w:t> </w:t>
      </w:r>
      <w:r>
        <w:rPr>
          <w:w w:val="105"/>
        </w:rPr>
        <w:t>in</w:t>
      </w:r>
      <w:r>
        <w:rPr>
          <w:spacing w:val="-3"/>
          <w:w w:val="105"/>
        </w:rPr>
        <w:t> </w:t>
      </w:r>
      <w:r>
        <w:rPr>
          <w:w w:val="105"/>
        </w:rPr>
        <w:t>which</w:t>
      </w:r>
      <w:r>
        <w:rPr>
          <w:spacing w:val="-3"/>
          <w:w w:val="105"/>
        </w:rPr>
        <w:t> </w:t>
      </w:r>
      <w:r>
        <w:rPr>
          <w:w w:val="105"/>
        </w:rPr>
        <w:t>we</w:t>
      </w:r>
      <w:r>
        <w:rPr>
          <w:spacing w:val="-3"/>
          <w:w w:val="105"/>
        </w:rPr>
        <w:t> </w:t>
      </w:r>
      <w:r>
        <w:rPr>
          <w:w w:val="105"/>
        </w:rPr>
        <w:t>recognize</w:t>
      </w:r>
      <w:r>
        <w:rPr>
          <w:spacing w:val="-3"/>
          <w:w w:val="105"/>
        </w:rPr>
        <w:t> </w:t>
      </w:r>
      <w:r>
        <w:rPr>
          <w:w w:val="105"/>
        </w:rPr>
        <w:t>revenue</w:t>
      </w:r>
      <w:r>
        <w:rPr>
          <w:spacing w:val="-3"/>
          <w:w w:val="105"/>
        </w:rPr>
        <w:t> </w:t>
      </w:r>
      <w:r>
        <w:rPr>
          <w:w w:val="105"/>
        </w:rPr>
        <w:t>over</w:t>
      </w:r>
      <w:r>
        <w:rPr>
          <w:spacing w:val="-3"/>
          <w:w w:val="105"/>
        </w:rPr>
        <w:t> </w:t>
      </w:r>
      <w:r>
        <w:rPr>
          <w:w w:val="105"/>
        </w:rPr>
        <w:t>time.</w:t>
      </w:r>
      <w:r>
        <w:rPr>
          <w:spacing w:val="-3"/>
          <w:w w:val="105"/>
        </w:rPr>
        <w:t> </w:t>
      </w:r>
      <w:r>
        <w:rPr>
          <w:w w:val="105"/>
        </w:rPr>
        <w:t>The</w:t>
      </w:r>
      <w:r>
        <w:rPr>
          <w:spacing w:val="-3"/>
          <w:w w:val="105"/>
        </w:rPr>
        <w:t> </w:t>
      </w:r>
      <w:r>
        <w:rPr>
          <w:w w:val="105"/>
        </w:rPr>
        <w:t>performance</w:t>
      </w:r>
      <w:r>
        <w:rPr>
          <w:spacing w:val="-3"/>
          <w:w w:val="105"/>
        </w:rPr>
        <w:t> </w:t>
      </w:r>
      <w:r>
        <w:rPr>
          <w:w w:val="105"/>
        </w:rPr>
        <w:t>obligations</w:t>
      </w:r>
      <w:r>
        <w:rPr>
          <w:spacing w:val="-3"/>
          <w:w w:val="105"/>
        </w:rPr>
        <w:t> </w:t>
      </w:r>
      <w:r>
        <w:rPr>
          <w:w w:val="105"/>
        </w:rPr>
        <w:t>under</w:t>
      </w:r>
      <w:r>
        <w:rPr>
          <w:spacing w:val="-3"/>
          <w:w w:val="105"/>
        </w:rPr>
        <w:t> </w:t>
      </w:r>
      <w:r>
        <w:rPr>
          <w:w w:val="105"/>
        </w:rPr>
        <w:t>these</w:t>
      </w:r>
      <w:r>
        <w:rPr>
          <w:spacing w:val="-3"/>
          <w:w w:val="105"/>
        </w:rPr>
        <w:t> </w:t>
      </w:r>
      <w:r>
        <w:rPr>
          <w:w w:val="105"/>
        </w:rPr>
        <w:t>contracts</w:t>
      </w:r>
      <w:r>
        <w:rPr>
          <w:spacing w:val="-3"/>
          <w:w w:val="105"/>
        </w:rPr>
        <w:t> </w:t>
      </w:r>
      <w:r>
        <w:rPr>
          <w:w w:val="105"/>
        </w:rPr>
        <w:t>generally require</w:t>
      </w:r>
      <w:r>
        <w:rPr>
          <w:spacing w:val="-1"/>
          <w:w w:val="105"/>
        </w:rPr>
        <w:t> </w:t>
      </w:r>
      <w:r>
        <w:rPr>
          <w:w w:val="105"/>
        </w:rPr>
        <w:t>services</w:t>
      </w:r>
      <w:r>
        <w:rPr>
          <w:spacing w:val="-1"/>
          <w:w w:val="105"/>
        </w:rPr>
        <w:t> </w:t>
      </w:r>
      <w:r>
        <w:rPr>
          <w:w w:val="105"/>
        </w:rPr>
        <w:t>to</w:t>
      </w:r>
      <w:r>
        <w:rPr>
          <w:spacing w:val="-1"/>
          <w:w w:val="105"/>
        </w:rPr>
        <w:t> </w:t>
      </w:r>
      <w:r>
        <w:rPr>
          <w:w w:val="105"/>
        </w:rPr>
        <w:t>be</w:t>
      </w:r>
      <w:r>
        <w:rPr>
          <w:spacing w:val="-1"/>
          <w:w w:val="105"/>
        </w:rPr>
        <w:t> </w:t>
      </w:r>
      <w:r>
        <w:rPr>
          <w:w w:val="105"/>
        </w:rPr>
        <w:t>performed</w:t>
      </w:r>
      <w:r>
        <w:rPr>
          <w:spacing w:val="-1"/>
          <w:w w:val="105"/>
        </w:rPr>
        <w:t> </w:t>
      </w:r>
      <w:r>
        <w:rPr>
          <w:w w:val="105"/>
        </w:rPr>
        <w:t>over</w:t>
      </w:r>
      <w:r>
        <w:rPr>
          <w:spacing w:val="-1"/>
          <w:w w:val="105"/>
        </w:rPr>
        <w:t> </w:t>
      </w:r>
      <w:r>
        <w:rPr>
          <w:w w:val="105"/>
        </w:rPr>
        <w:t>time,</w:t>
      </w:r>
      <w:r>
        <w:rPr>
          <w:spacing w:val="-1"/>
          <w:w w:val="105"/>
        </w:rPr>
        <w:t> </w:t>
      </w:r>
      <w:r>
        <w:rPr>
          <w:w w:val="105"/>
        </w:rPr>
        <w:t>resulting</w:t>
      </w:r>
      <w:r>
        <w:rPr>
          <w:spacing w:val="-1"/>
          <w:w w:val="105"/>
        </w:rPr>
        <w:t> </w:t>
      </w:r>
      <w:r>
        <w:rPr>
          <w:w w:val="105"/>
        </w:rPr>
        <w:t>in</w:t>
      </w:r>
      <w:r>
        <w:rPr>
          <w:spacing w:val="-1"/>
          <w:w w:val="105"/>
        </w:rPr>
        <w:t> </w:t>
      </w:r>
      <w:r>
        <w:rPr>
          <w:w w:val="105"/>
        </w:rPr>
        <w:t>either</w:t>
      </w:r>
      <w:r>
        <w:rPr>
          <w:spacing w:val="-1"/>
          <w:w w:val="105"/>
        </w:rPr>
        <w:t> </w:t>
      </w:r>
      <w:r>
        <w:rPr>
          <w:w w:val="105"/>
        </w:rPr>
        <w:t>a</w:t>
      </w:r>
      <w:r>
        <w:rPr>
          <w:spacing w:val="-1"/>
          <w:w w:val="105"/>
        </w:rPr>
        <w:t> </w:t>
      </w:r>
      <w:r>
        <w:rPr>
          <w:w w:val="105"/>
        </w:rPr>
        <w:t>straight-line</w:t>
      </w:r>
      <w:r>
        <w:rPr>
          <w:spacing w:val="-1"/>
          <w:w w:val="105"/>
        </w:rPr>
        <w:t> </w:t>
      </w:r>
      <w:r>
        <w:rPr>
          <w:w w:val="105"/>
        </w:rPr>
        <w:t>amortization</w:t>
      </w:r>
      <w:r>
        <w:rPr>
          <w:spacing w:val="-1"/>
          <w:w w:val="105"/>
        </w:rPr>
        <w:t> </w:t>
      </w:r>
      <w:r>
        <w:rPr>
          <w:w w:val="105"/>
        </w:rPr>
        <w:t>method</w:t>
      </w:r>
      <w:r>
        <w:rPr>
          <w:spacing w:val="-1"/>
          <w:w w:val="105"/>
        </w:rPr>
        <w:t> </w:t>
      </w:r>
      <w:r>
        <w:rPr>
          <w:w w:val="105"/>
        </w:rPr>
        <w:t>or</w:t>
      </w:r>
      <w:r>
        <w:rPr>
          <w:spacing w:val="-1"/>
          <w:w w:val="105"/>
        </w:rPr>
        <w:t> </w:t>
      </w:r>
      <w:r>
        <w:rPr>
          <w:w w:val="105"/>
        </w:rPr>
        <w:t>an</w:t>
      </w:r>
      <w:r>
        <w:rPr>
          <w:spacing w:val="-1"/>
          <w:w w:val="105"/>
        </w:rPr>
        <w:t> </w:t>
      </w:r>
      <w:r>
        <w:rPr>
          <w:w w:val="105"/>
        </w:rPr>
        <w:t>input</w:t>
      </w:r>
      <w:r>
        <w:rPr>
          <w:spacing w:val="-1"/>
          <w:w w:val="105"/>
        </w:rPr>
        <w:t> </w:t>
      </w:r>
      <w:r>
        <w:rPr>
          <w:w w:val="105"/>
        </w:rPr>
        <w:t>method</w:t>
      </w:r>
      <w:r>
        <w:rPr>
          <w:spacing w:val="-1"/>
          <w:w w:val="105"/>
        </w:rPr>
        <w:t> </w:t>
      </w:r>
      <w:r>
        <w:rPr>
          <w:w w:val="105"/>
        </w:rPr>
        <w:t>using</w:t>
      </w:r>
      <w:r>
        <w:rPr>
          <w:spacing w:val="-1"/>
          <w:w w:val="105"/>
        </w:rPr>
        <w:t> </w:t>
      </w:r>
      <w:r>
        <w:rPr>
          <w:w w:val="105"/>
        </w:rPr>
        <w:t>incurred</w:t>
      </w:r>
      <w:r>
        <w:rPr>
          <w:spacing w:val="-1"/>
          <w:w w:val="105"/>
        </w:rPr>
        <w:t> </w:t>
      </w:r>
      <w:r>
        <w:rPr>
          <w:w w:val="105"/>
        </w:rPr>
        <w:t>and</w:t>
      </w:r>
      <w:r>
        <w:rPr>
          <w:spacing w:val="-1"/>
          <w:w w:val="105"/>
        </w:rPr>
        <w:t> </w:t>
      </w:r>
      <w:r>
        <w:rPr>
          <w:w w:val="105"/>
        </w:rPr>
        <w:t>forecasted</w:t>
      </w:r>
      <w:r>
        <w:rPr>
          <w:spacing w:val="-1"/>
          <w:w w:val="105"/>
        </w:rPr>
        <w:t> </w:t>
      </w:r>
      <w:r>
        <w:rPr>
          <w:w w:val="105"/>
        </w:rPr>
        <w:t>expense</w:t>
      </w:r>
      <w:r>
        <w:rPr>
          <w:spacing w:val="-1"/>
          <w:w w:val="105"/>
        </w:rPr>
        <w:t> </w:t>
      </w:r>
      <w:r>
        <w:rPr>
          <w:w w:val="105"/>
        </w:rPr>
        <w:t>to</w:t>
      </w:r>
      <w:r>
        <w:rPr>
          <w:spacing w:val="-1"/>
          <w:w w:val="105"/>
        </w:rPr>
        <w:t> </w:t>
      </w:r>
      <w:r>
        <w:rPr>
          <w:w w:val="105"/>
        </w:rPr>
        <w:t>predict revenue recognition patterns which follows satisfaction of the performance obligation.</w:t>
      </w:r>
    </w:p>
    <w:p>
      <w:pPr>
        <w:pStyle w:val="BodyText"/>
        <w:spacing w:before="17"/>
      </w:pPr>
    </w:p>
    <w:p>
      <w:pPr>
        <w:pStyle w:val="Heading1"/>
      </w:pPr>
      <w:r>
        <w:rPr/>
        <w:t>NEW</w:t>
      </w:r>
      <w:r>
        <w:rPr>
          <w:spacing w:val="17"/>
        </w:rPr>
        <w:t> </w:t>
      </w:r>
      <w:r>
        <w:rPr/>
        <w:t>ACCOUNTING</w:t>
      </w:r>
      <w:r>
        <w:rPr>
          <w:spacing w:val="18"/>
        </w:rPr>
        <w:t> </w:t>
      </w:r>
      <w:r>
        <w:rPr>
          <w:spacing w:val="-2"/>
        </w:rPr>
        <w:t>STANDARDS</w:t>
      </w:r>
    </w:p>
    <w:p>
      <w:pPr>
        <w:pStyle w:val="BodyText"/>
        <w:spacing w:before="40"/>
        <w:rPr>
          <w:b/>
        </w:rPr>
      </w:pPr>
    </w:p>
    <w:p>
      <w:pPr>
        <w:pStyle w:val="BodyText"/>
        <w:ind w:left="156"/>
      </w:pPr>
      <w:r>
        <w:rPr>
          <w:w w:val="105"/>
        </w:rPr>
        <w:t>Refer</w:t>
      </w:r>
      <w:r>
        <w:rPr>
          <w:spacing w:val="-9"/>
          <w:w w:val="105"/>
        </w:rPr>
        <w:t> </w:t>
      </w:r>
      <w:r>
        <w:rPr>
          <w:w w:val="105"/>
        </w:rPr>
        <w:t>to</w:t>
      </w:r>
      <w:r>
        <w:rPr>
          <w:spacing w:val="-9"/>
          <w:w w:val="105"/>
        </w:rPr>
        <w:t> </w:t>
      </w:r>
      <w:r>
        <w:rPr>
          <w:w w:val="105"/>
        </w:rPr>
        <w:t>Note</w:t>
      </w:r>
      <w:r>
        <w:rPr>
          <w:spacing w:val="-9"/>
          <w:w w:val="105"/>
        </w:rPr>
        <w:t> </w:t>
      </w:r>
      <w:r>
        <w:rPr>
          <w:w w:val="105"/>
        </w:rPr>
        <w:t>1</w:t>
      </w:r>
      <w:r>
        <w:rPr>
          <w:spacing w:val="-9"/>
          <w:w w:val="105"/>
        </w:rPr>
        <w:t> </w:t>
      </w:r>
      <w:r>
        <w:rPr>
          <w:w w:val="105"/>
        </w:rPr>
        <w:t>(Summary</w:t>
      </w:r>
      <w:r>
        <w:rPr>
          <w:spacing w:val="-9"/>
          <w:w w:val="105"/>
        </w:rPr>
        <w:t> </w:t>
      </w:r>
      <w:r>
        <w:rPr>
          <w:w w:val="105"/>
        </w:rPr>
        <w:t>of</w:t>
      </w:r>
      <w:r>
        <w:rPr>
          <w:spacing w:val="-9"/>
          <w:w w:val="105"/>
        </w:rPr>
        <w:t> </w:t>
      </w:r>
      <w:r>
        <w:rPr>
          <w:w w:val="105"/>
        </w:rPr>
        <w:t>Significant</w:t>
      </w:r>
      <w:r>
        <w:rPr>
          <w:spacing w:val="-9"/>
          <w:w w:val="105"/>
        </w:rPr>
        <w:t> </w:t>
      </w:r>
      <w:r>
        <w:rPr>
          <w:w w:val="105"/>
        </w:rPr>
        <w:t>Accounting</w:t>
      </w:r>
      <w:r>
        <w:rPr>
          <w:spacing w:val="-9"/>
          <w:w w:val="105"/>
        </w:rPr>
        <w:t> </w:t>
      </w:r>
      <w:r>
        <w:rPr>
          <w:w w:val="105"/>
        </w:rPr>
        <w:t>Policies)</w:t>
      </w:r>
      <w:r>
        <w:rPr>
          <w:spacing w:val="-9"/>
          <w:w w:val="105"/>
        </w:rPr>
        <w:t> </w:t>
      </w:r>
      <w:r>
        <w:rPr>
          <w:w w:val="105"/>
        </w:rPr>
        <w:t>to</w:t>
      </w:r>
      <w:r>
        <w:rPr>
          <w:spacing w:val="-7"/>
          <w:w w:val="105"/>
        </w:rPr>
        <w:t> </w:t>
      </w:r>
      <w:r>
        <w:rPr>
          <w:w w:val="105"/>
        </w:rPr>
        <w:t>the</w:t>
      </w:r>
      <w:r>
        <w:rPr>
          <w:spacing w:val="-9"/>
          <w:w w:val="105"/>
        </w:rPr>
        <w:t> </w:t>
      </w:r>
      <w:r>
        <w:rPr>
          <w:w w:val="105"/>
        </w:rPr>
        <w:t>consolidated</w:t>
      </w:r>
      <w:r>
        <w:rPr>
          <w:spacing w:val="-9"/>
          <w:w w:val="105"/>
        </w:rPr>
        <w:t> </w:t>
      </w:r>
      <w:r>
        <w:rPr>
          <w:w w:val="105"/>
        </w:rPr>
        <w:t>financial</w:t>
      </w:r>
      <w:r>
        <w:rPr>
          <w:spacing w:val="-9"/>
          <w:w w:val="105"/>
        </w:rPr>
        <w:t> </w:t>
      </w:r>
      <w:r>
        <w:rPr>
          <w:spacing w:val="-2"/>
          <w:w w:val="105"/>
        </w:rPr>
        <w:t>statements.</w:t>
      </w:r>
    </w:p>
    <w:p>
      <w:pPr>
        <w:pStyle w:val="BodyText"/>
        <w:spacing w:before="40"/>
      </w:pPr>
    </w:p>
    <w:p>
      <w:pPr>
        <w:pStyle w:val="BodyText"/>
        <w:ind w:left="48"/>
        <w:jc w:val="center"/>
      </w:pPr>
      <w:r>
        <w:rPr>
          <w:spacing w:val="-5"/>
          <w:w w:val="105"/>
        </w:rPr>
        <w:t>48</w:t>
      </w:r>
    </w:p>
    <w:p>
      <w:pPr>
        <w:pStyle w:val="BodyText"/>
        <w:spacing w:before="11"/>
        <w:rPr>
          <w:sz w:val="5"/>
        </w:rPr>
      </w:pPr>
      <w:r>
        <w:rPr/>
        <mc:AlternateContent>
          <mc:Choice Requires="wps">
            <w:drawing>
              <wp:anchor distT="0" distB="0" distL="0" distR="0" allowOverlap="1" layoutInCell="1" locked="0" behindDoc="1" simplePos="0" relativeHeight="487623680">
                <wp:simplePos x="0" y="0"/>
                <wp:positionH relativeFrom="page">
                  <wp:posOffset>226488</wp:posOffset>
                </wp:positionH>
                <wp:positionV relativeFrom="paragraph">
                  <wp:posOffset>58734</wp:posOffset>
                </wp:positionV>
                <wp:extent cx="7312659" cy="1651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92800;mso-wrap-distance-left:0;mso-wrap-distance-right:0" id="docshape79"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1"/>
      </w:pPr>
      <w:r>
        <w:rPr>
          <w:spacing w:val="2"/>
        </w:rPr>
        <w:t>FORWARD-LOOKING</w:t>
      </w:r>
      <w:r>
        <w:rPr>
          <w:spacing w:val="21"/>
        </w:rPr>
        <w:t> </w:t>
      </w:r>
      <w:r>
        <w:rPr>
          <w:spacing w:val="-2"/>
        </w:rPr>
        <w:t>STATEMENTS</w:t>
      </w:r>
    </w:p>
    <w:p>
      <w:pPr>
        <w:pStyle w:val="BodyText"/>
        <w:spacing w:before="40"/>
        <w:rPr>
          <w:b/>
        </w:rPr>
      </w:pPr>
    </w:p>
    <w:p>
      <w:pPr>
        <w:pStyle w:val="BodyText"/>
        <w:spacing w:line="266" w:lineRule="auto"/>
        <w:ind w:left="156" w:right="148"/>
      </w:pPr>
      <w:r>
        <w:rPr>
          <w:w w:val="105"/>
        </w:rPr>
        <w:t>The</w:t>
      </w:r>
      <w:r>
        <w:rPr>
          <w:spacing w:val="-8"/>
          <w:w w:val="105"/>
        </w:rPr>
        <w:t> </w:t>
      </w:r>
      <w:r>
        <w:rPr>
          <w:w w:val="105"/>
        </w:rPr>
        <w:t>statements</w:t>
      </w:r>
      <w:r>
        <w:rPr>
          <w:spacing w:val="-8"/>
          <w:w w:val="105"/>
        </w:rPr>
        <w:t> </w:t>
      </w:r>
      <w:r>
        <w:rPr>
          <w:w w:val="105"/>
        </w:rPr>
        <w:t>in</w:t>
      </w:r>
      <w:r>
        <w:rPr>
          <w:spacing w:val="-8"/>
          <w:w w:val="105"/>
        </w:rPr>
        <w:t> </w:t>
      </w:r>
      <w:r>
        <w:rPr>
          <w:w w:val="105"/>
        </w:rPr>
        <w:t>this</w:t>
      </w:r>
      <w:r>
        <w:rPr>
          <w:spacing w:val="-8"/>
          <w:w w:val="105"/>
        </w:rPr>
        <w:t> </w:t>
      </w:r>
      <w:r>
        <w:rPr>
          <w:w w:val="105"/>
        </w:rPr>
        <w:t>Annual</w:t>
      </w:r>
      <w:r>
        <w:rPr>
          <w:spacing w:val="-8"/>
          <w:w w:val="105"/>
        </w:rPr>
        <w:t> </w:t>
      </w:r>
      <w:r>
        <w:rPr>
          <w:w w:val="105"/>
        </w:rPr>
        <w:t>Report</w:t>
      </w:r>
      <w:r>
        <w:rPr>
          <w:spacing w:val="-8"/>
          <w:w w:val="105"/>
        </w:rPr>
        <w:t> </w:t>
      </w:r>
      <w:r>
        <w:rPr>
          <w:w w:val="105"/>
        </w:rPr>
        <w:t>on</w:t>
      </w:r>
      <w:r>
        <w:rPr>
          <w:spacing w:val="-8"/>
          <w:w w:val="105"/>
        </w:rPr>
        <w:t> </w:t>
      </w:r>
      <w:r>
        <w:rPr>
          <w:w w:val="105"/>
        </w:rPr>
        <w:t>Form</w:t>
      </w:r>
      <w:r>
        <w:rPr>
          <w:spacing w:val="-8"/>
          <w:w w:val="105"/>
        </w:rPr>
        <w:t> </w:t>
      </w:r>
      <w:r>
        <w:rPr>
          <w:w w:val="105"/>
        </w:rPr>
        <w:t>10-K,</w:t>
      </w:r>
      <w:r>
        <w:rPr>
          <w:spacing w:val="-8"/>
          <w:w w:val="105"/>
        </w:rPr>
        <w:t> </w:t>
      </w:r>
      <w:r>
        <w:rPr>
          <w:w w:val="105"/>
        </w:rPr>
        <w:t>in</w:t>
      </w:r>
      <w:r>
        <w:rPr>
          <w:spacing w:val="-8"/>
          <w:w w:val="105"/>
        </w:rPr>
        <w:t> </w:t>
      </w:r>
      <w:r>
        <w:rPr>
          <w:w w:val="105"/>
        </w:rPr>
        <w:t>reports</w:t>
      </w:r>
      <w:r>
        <w:rPr>
          <w:spacing w:val="-8"/>
          <w:w w:val="105"/>
        </w:rPr>
        <w:t> </w:t>
      </w:r>
      <w:r>
        <w:rPr>
          <w:w w:val="105"/>
        </w:rPr>
        <w:t>subsequently</w:t>
      </w:r>
      <w:r>
        <w:rPr>
          <w:spacing w:val="-8"/>
          <w:w w:val="105"/>
        </w:rPr>
        <w:t> </w:t>
      </w:r>
      <w:r>
        <w:rPr>
          <w:w w:val="105"/>
        </w:rPr>
        <w:t>filed</w:t>
      </w:r>
      <w:r>
        <w:rPr>
          <w:spacing w:val="-8"/>
          <w:w w:val="105"/>
        </w:rPr>
        <w:t> </w:t>
      </w:r>
      <w:r>
        <w:rPr>
          <w:w w:val="105"/>
        </w:rPr>
        <w:t>by</w:t>
      </w:r>
      <w:r>
        <w:rPr>
          <w:spacing w:val="-8"/>
          <w:w w:val="105"/>
        </w:rPr>
        <w:t> </w:t>
      </w:r>
      <w:r>
        <w:rPr>
          <w:w w:val="105"/>
        </w:rPr>
        <w:t>Corning</w:t>
      </w:r>
      <w:r>
        <w:rPr>
          <w:spacing w:val="-8"/>
          <w:w w:val="105"/>
        </w:rPr>
        <w:t> </w:t>
      </w:r>
      <w:r>
        <w:rPr>
          <w:w w:val="105"/>
        </w:rPr>
        <w:t>with</w:t>
      </w:r>
      <w:r>
        <w:rPr>
          <w:spacing w:val="-8"/>
          <w:w w:val="105"/>
        </w:rPr>
        <w:t> </w:t>
      </w:r>
      <w:r>
        <w:rPr>
          <w:w w:val="105"/>
        </w:rPr>
        <w:t>the</w:t>
      </w:r>
      <w:r>
        <w:rPr>
          <w:spacing w:val="-8"/>
          <w:w w:val="105"/>
        </w:rPr>
        <w:t> </w:t>
      </w:r>
      <w:r>
        <w:rPr>
          <w:w w:val="105"/>
        </w:rPr>
        <w:t>Securities</w:t>
      </w:r>
      <w:r>
        <w:rPr>
          <w:spacing w:val="-6"/>
          <w:w w:val="105"/>
        </w:rPr>
        <w:t> </w:t>
      </w:r>
      <w:r>
        <w:rPr>
          <w:w w:val="105"/>
        </w:rPr>
        <w:t>and</w:t>
      </w:r>
      <w:r>
        <w:rPr>
          <w:spacing w:val="-8"/>
          <w:w w:val="105"/>
        </w:rPr>
        <w:t> </w:t>
      </w:r>
      <w:r>
        <w:rPr>
          <w:w w:val="105"/>
        </w:rPr>
        <w:t>Exchange</w:t>
      </w:r>
      <w:r>
        <w:rPr>
          <w:spacing w:val="-8"/>
          <w:w w:val="105"/>
        </w:rPr>
        <w:t> </w:t>
      </w:r>
      <w:r>
        <w:rPr>
          <w:w w:val="105"/>
        </w:rPr>
        <w:t>Commission</w:t>
      </w:r>
      <w:r>
        <w:rPr>
          <w:spacing w:val="-8"/>
          <w:w w:val="105"/>
        </w:rPr>
        <w:t> </w:t>
      </w:r>
      <w:r>
        <w:rPr>
          <w:w w:val="105"/>
        </w:rPr>
        <w:t>(SEC)</w:t>
      </w:r>
      <w:r>
        <w:rPr>
          <w:spacing w:val="-8"/>
          <w:w w:val="105"/>
        </w:rPr>
        <w:t> </w:t>
      </w:r>
      <w:r>
        <w:rPr>
          <w:w w:val="105"/>
        </w:rPr>
        <w:t>on</w:t>
      </w:r>
      <w:r>
        <w:rPr>
          <w:spacing w:val="-8"/>
          <w:w w:val="105"/>
        </w:rPr>
        <w:t> </w:t>
      </w:r>
      <w:r>
        <w:rPr>
          <w:w w:val="105"/>
        </w:rPr>
        <w:t>Form</w:t>
      </w:r>
      <w:r>
        <w:rPr>
          <w:spacing w:val="-8"/>
          <w:w w:val="105"/>
        </w:rPr>
        <w:t> </w:t>
      </w:r>
      <w:r>
        <w:rPr>
          <w:w w:val="105"/>
        </w:rPr>
        <w:t>10-Q</w:t>
      </w:r>
      <w:r>
        <w:rPr>
          <w:spacing w:val="-8"/>
          <w:w w:val="105"/>
        </w:rPr>
        <w:t> </w:t>
      </w:r>
      <w:r>
        <w:rPr>
          <w:w w:val="105"/>
        </w:rPr>
        <w:t>and</w:t>
      </w:r>
      <w:r>
        <w:rPr>
          <w:spacing w:val="-8"/>
          <w:w w:val="105"/>
        </w:rPr>
        <w:t> </w:t>
      </w:r>
      <w:r>
        <w:rPr>
          <w:w w:val="105"/>
        </w:rPr>
        <w:t>Form 8-K,</w:t>
      </w:r>
      <w:r>
        <w:rPr>
          <w:spacing w:val="-4"/>
          <w:w w:val="105"/>
        </w:rPr>
        <w:t> </w:t>
      </w:r>
      <w:r>
        <w:rPr>
          <w:w w:val="105"/>
        </w:rPr>
        <w:t>and</w:t>
      </w:r>
      <w:r>
        <w:rPr>
          <w:spacing w:val="-4"/>
          <w:w w:val="105"/>
        </w:rPr>
        <w:t> </w:t>
      </w:r>
      <w:r>
        <w:rPr>
          <w:w w:val="105"/>
        </w:rPr>
        <w:t>related</w:t>
      </w:r>
      <w:r>
        <w:rPr>
          <w:spacing w:val="-4"/>
          <w:w w:val="105"/>
        </w:rPr>
        <w:t> </w:t>
      </w:r>
      <w:r>
        <w:rPr>
          <w:w w:val="105"/>
        </w:rPr>
        <w:t>comments</w:t>
      </w:r>
      <w:r>
        <w:rPr>
          <w:spacing w:val="-4"/>
          <w:w w:val="105"/>
        </w:rPr>
        <w:t> </w:t>
      </w:r>
      <w:r>
        <w:rPr>
          <w:w w:val="105"/>
        </w:rPr>
        <w:t>by</w:t>
      </w:r>
      <w:r>
        <w:rPr>
          <w:spacing w:val="-3"/>
          <w:w w:val="105"/>
        </w:rPr>
        <w:t> </w:t>
      </w:r>
      <w:r>
        <w:rPr>
          <w:w w:val="105"/>
        </w:rPr>
        <w:t>management</w:t>
      </w:r>
      <w:r>
        <w:rPr>
          <w:spacing w:val="-4"/>
          <w:w w:val="105"/>
        </w:rPr>
        <w:t> </w:t>
      </w:r>
      <w:r>
        <w:rPr>
          <w:w w:val="105"/>
        </w:rPr>
        <w:t>that</w:t>
      </w:r>
      <w:r>
        <w:rPr>
          <w:spacing w:val="-4"/>
          <w:w w:val="105"/>
        </w:rPr>
        <w:t> </w:t>
      </w:r>
      <w:r>
        <w:rPr>
          <w:w w:val="105"/>
        </w:rPr>
        <w:t>are</w:t>
      </w:r>
      <w:r>
        <w:rPr>
          <w:spacing w:val="-4"/>
          <w:w w:val="105"/>
        </w:rPr>
        <w:t> </w:t>
      </w:r>
      <w:r>
        <w:rPr>
          <w:w w:val="105"/>
        </w:rPr>
        <w:t>not</w:t>
      </w:r>
      <w:r>
        <w:rPr>
          <w:spacing w:val="-4"/>
          <w:w w:val="105"/>
        </w:rPr>
        <w:t> </w:t>
      </w:r>
      <w:r>
        <w:rPr>
          <w:w w:val="105"/>
        </w:rPr>
        <w:t>historical</w:t>
      </w:r>
      <w:r>
        <w:rPr>
          <w:spacing w:val="-4"/>
          <w:w w:val="105"/>
        </w:rPr>
        <w:t> </w:t>
      </w:r>
      <w:r>
        <w:rPr>
          <w:w w:val="105"/>
        </w:rPr>
        <w:t>facts</w:t>
      </w:r>
      <w:r>
        <w:rPr>
          <w:spacing w:val="-4"/>
          <w:w w:val="105"/>
        </w:rPr>
        <w:t> </w:t>
      </w:r>
      <w:r>
        <w:rPr>
          <w:w w:val="105"/>
        </w:rPr>
        <w:t>or</w:t>
      </w:r>
      <w:r>
        <w:rPr>
          <w:spacing w:val="-3"/>
          <w:w w:val="105"/>
        </w:rPr>
        <w:t> </w:t>
      </w:r>
      <w:r>
        <w:rPr>
          <w:w w:val="105"/>
        </w:rPr>
        <w:t>information</w:t>
      </w:r>
      <w:r>
        <w:rPr>
          <w:spacing w:val="-4"/>
          <w:w w:val="105"/>
        </w:rPr>
        <w:t> </w:t>
      </w:r>
      <w:r>
        <w:rPr>
          <w:w w:val="105"/>
        </w:rPr>
        <w:t>and</w:t>
      </w:r>
      <w:r>
        <w:rPr>
          <w:spacing w:val="-4"/>
          <w:w w:val="105"/>
        </w:rPr>
        <w:t> </w:t>
      </w:r>
      <w:r>
        <w:rPr>
          <w:w w:val="105"/>
        </w:rPr>
        <w:t>contain</w:t>
      </w:r>
      <w:r>
        <w:rPr>
          <w:spacing w:val="-4"/>
          <w:w w:val="105"/>
        </w:rPr>
        <w:t> </w:t>
      </w:r>
      <w:r>
        <w:rPr>
          <w:w w:val="105"/>
        </w:rPr>
        <w:t>words</w:t>
      </w:r>
      <w:r>
        <w:rPr>
          <w:spacing w:val="-4"/>
          <w:w w:val="105"/>
        </w:rPr>
        <w:t> </w:t>
      </w:r>
      <w:r>
        <w:rPr>
          <w:w w:val="105"/>
        </w:rPr>
        <w:t>such</w:t>
      </w:r>
      <w:r>
        <w:rPr>
          <w:spacing w:val="-3"/>
          <w:w w:val="105"/>
        </w:rPr>
        <w:t> </w:t>
      </w:r>
      <w:r>
        <w:rPr>
          <w:w w:val="105"/>
        </w:rPr>
        <w:t>as</w:t>
      </w:r>
      <w:r>
        <w:rPr>
          <w:spacing w:val="-4"/>
          <w:w w:val="105"/>
        </w:rPr>
        <w:t> </w:t>
      </w:r>
      <w:r>
        <w:rPr>
          <w:w w:val="105"/>
        </w:rPr>
        <w:t>“will,”</w:t>
      </w:r>
      <w:r>
        <w:rPr>
          <w:spacing w:val="-4"/>
          <w:w w:val="105"/>
        </w:rPr>
        <w:t> </w:t>
      </w:r>
      <w:r>
        <w:rPr>
          <w:w w:val="105"/>
        </w:rPr>
        <w:t>“believe,”</w:t>
      </w:r>
      <w:r>
        <w:rPr>
          <w:spacing w:val="-4"/>
          <w:w w:val="105"/>
        </w:rPr>
        <w:t> </w:t>
      </w:r>
      <w:r>
        <w:rPr>
          <w:w w:val="105"/>
        </w:rPr>
        <w:t>“anticipate,”</w:t>
      </w:r>
      <w:r>
        <w:rPr>
          <w:spacing w:val="-4"/>
          <w:w w:val="105"/>
        </w:rPr>
        <w:t> </w:t>
      </w:r>
      <w:r>
        <w:rPr>
          <w:w w:val="105"/>
        </w:rPr>
        <w:t>“expect,”</w:t>
      </w:r>
      <w:r>
        <w:rPr>
          <w:spacing w:val="-4"/>
          <w:w w:val="105"/>
        </w:rPr>
        <w:t> </w:t>
      </w:r>
      <w:r>
        <w:rPr>
          <w:w w:val="105"/>
        </w:rPr>
        <w:t>“intend,”</w:t>
      </w:r>
      <w:r>
        <w:rPr>
          <w:spacing w:val="-4"/>
          <w:w w:val="105"/>
        </w:rPr>
        <w:t> </w:t>
      </w:r>
      <w:r>
        <w:rPr>
          <w:w w:val="105"/>
        </w:rPr>
        <w:t>“plan,” “seek,”</w:t>
      </w:r>
      <w:r>
        <w:rPr>
          <w:spacing w:val="-7"/>
          <w:w w:val="105"/>
        </w:rPr>
        <w:t> </w:t>
      </w:r>
      <w:r>
        <w:rPr>
          <w:w w:val="105"/>
        </w:rPr>
        <w:t>“see,”</w:t>
      </w:r>
      <w:r>
        <w:rPr>
          <w:spacing w:val="-7"/>
          <w:w w:val="105"/>
        </w:rPr>
        <w:t> </w:t>
      </w:r>
      <w:r>
        <w:rPr>
          <w:w w:val="105"/>
        </w:rPr>
        <w:t>“would,”</w:t>
      </w:r>
      <w:r>
        <w:rPr>
          <w:spacing w:val="-7"/>
          <w:w w:val="105"/>
        </w:rPr>
        <w:t> </w:t>
      </w:r>
      <w:r>
        <w:rPr>
          <w:w w:val="105"/>
        </w:rPr>
        <w:t>and</w:t>
      </w:r>
      <w:r>
        <w:rPr>
          <w:spacing w:val="-7"/>
          <w:w w:val="105"/>
        </w:rPr>
        <w:t> </w:t>
      </w:r>
      <w:r>
        <w:rPr>
          <w:w w:val="105"/>
        </w:rPr>
        <w:t>“target”</w:t>
      </w:r>
      <w:r>
        <w:rPr>
          <w:spacing w:val="-7"/>
          <w:w w:val="105"/>
        </w:rPr>
        <w:t> </w:t>
      </w:r>
      <w:r>
        <w:rPr>
          <w:w w:val="105"/>
        </w:rPr>
        <w:t>and</w:t>
      </w:r>
      <w:r>
        <w:rPr>
          <w:spacing w:val="-7"/>
          <w:w w:val="105"/>
        </w:rPr>
        <w:t> </w:t>
      </w:r>
      <w:r>
        <w:rPr>
          <w:w w:val="105"/>
        </w:rPr>
        <w:t>similar</w:t>
      </w:r>
      <w:r>
        <w:rPr>
          <w:spacing w:val="-5"/>
          <w:w w:val="105"/>
        </w:rPr>
        <w:t> </w:t>
      </w:r>
      <w:r>
        <w:rPr>
          <w:w w:val="105"/>
        </w:rPr>
        <w:t>expressions</w:t>
      </w:r>
      <w:r>
        <w:rPr>
          <w:spacing w:val="-7"/>
          <w:w w:val="105"/>
        </w:rPr>
        <w:t> </w:t>
      </w:r>
      <w:r>
        <w:rPr>
          <w:w w:val="105"/>
        </w:rPr>
        <w:t>are</w:t>
      </w:r>
      <w:r>
        <w:rPr>
          <w:spacing w:val="-7"/>
          <w:w w:val="105"/>
        </w:rPr>
        <w:t> </w:t>
      </w:r>
      <w:r>
        <w:rPr>
          <w:w w:val="105"/>
        </w:rPr>
        <w:t>forward-looking</w:t>
      </w:r>
      <w:r>
        <w:rPr>
          <w:spacing w:val="-7"/>
          <w:w w:val="105"/>
        </w:rPr>
        <w:t> </w:t>
      </w:r>
      <w:r>
        <w:rPr>
          <w:w w:val="105"/>
        </w:rPr>
        <w:t>statements.</w:t>
      </w:r>
      <w:r>
        <w:rPr>
          <w:spacing w:val="-7"/>
          <w:w w:val="105"/>
        </w:rPr>
        <w:t> </w:t>
      </w:r>
      <w:r>
        <w:rPr>
          <w:w w:val="105"/>
        </w:rPr>
        <w:t>Such</w:t>
      </w:r>
      <w:r>
        <w:rPr>
          <w:spacing w:val="-7"/>
          <w:w w:val="105"/>
        </w:rPr>
        <w:t> </w:t>
      </w:r>
      <w:r>
        <w:rPr>
          <w:w w:val="105"/>
        </w:rPr>
        <w:t>statements</w:t>
      </w:r>
      <w:r>
        <w:rPr>
          <w:spacing w:val="-7"/>
          <w:w w:val="105"/>
        </w:rPr>
        <w:t> </w:t>
      </w:r>
      <w:r>
        <w:rPr>
          <w:w w:val="105"/>
        </w:rPr>
        <w:t>relate</w:t>
      </w:r>
      <w:r>
        <w:rPr>
          <w:spacing w:val="-7"/>
          <w:w w:val="105"/>
        </w:rPr>
        <w:t> </w:t>
      </w:r>
      <w:r>
        <w:rPr>
          <w:w w:val="105"/>
        </w:rPr>
        <w:t>to</w:t>
      </w:r>
      <w:r>
        <w:rPr>
          <w:spacing w:val="-7"/>
          <w:w w:val="105"/>
        </w:rPr>
        <w:t> </w:t>
      </w:r>
      <w:r>
        <w:rPr>
          <w:w w:val="105"/>
        </w:rPr>
        <w:t>future</w:t>
      </w:r>
      <w:r>
        <w:rPr>
          <w:spacing w:val="-7"/>
          <w:w w:val="105"/>
        </w:rPr>
        <w:t> </w:t>
      </w:r>
      <w:r>
        <w:rPr>
          <w:w w:val="105"/>
        </w:rPr>
        <w:t>events</w:t>
      </w:r>
      <w:r>
        <w:rPr>
          <w:spacing w:val="-7"/>
          <w:w w:val="105"/>
        </w:rPr>
        <w:t> </w:t>
      </w:r>
      <w:r>
        <w:rPr>
          <w:w w:val="105"/>
        </w:rPr>
        <w:t>that</w:t>
      </w:r>
      <w:r>
        <w:rPr>
          <w:spacing w:val="-7"/>
          <w:w w:val="105"/>
        </w:rPr>
        <w:t> </w:t>
      </w:r>
      <w:r>
        <w:rPr>
          <w:w w:val="105"/>
        </w:rPr>
        <w:t>by</w:t>
      </w:r>
      <w:r>
        <w:rPr>
          <w:spacing w:val="-7"/>
          <w:w w:val="105"/>
        </w:rPr>
        <w:t> </w:t>
      </w:r>
      <w:r>
        <w:rPr>
          <w:w w:val="105"/>
        </w:rPr>
        <w:t>their</w:t>
      </w:r>
      <w:r>
        <w:rPr>
          <w:spacing w:val="-7"/>
          <w:w w:val="105"/>
        </w:rPr>
        <w:t> </w:t>
      </w:r>
      <w:r>
        <w:rPr>
          <w:w w:val="105"/>
        </w:rPr>
        <w:t>nature</w:t>
      </w:r>
      <w:r>
        <w:rPr>
          <w:spacing w:val="-5"/>
          <w:w w:val="105"/>
        </w:rPr>
        <w:t> </w:t>
      </w:r>
      <w:r>
        <w:rPr>
          <w:w w:val="105"/>
        </w:rPr>
        <w:t>address</w:t>
      </w:r>
      <w:r>
        <w:rPr>
          <w:spacing w:val="-7"/>
          <w:w w:val="105"/>
        </w:rPr>
        <w:t> </w:t>
      </w:r>
      <w:r>
        <w:rPr>
          <w:w w:val="105"/>
        </w:rPr>
        <w:t>matters</w:t>
      </w:r>
      <w:r>
        <w:rPr>
          <w:spacing w:val="-7"/>
          <w:w w:val="105"/>
        </w:rPr>
        <w:t> </w:t>
      </w:r>
      <w:r>
        <w:rPr>
          <w:w w:val="105"/>
        </w:rPr>
        <w:t>that are,</w:t>
      </w:r>
      <w:r>
        <w:rPr>
          <w:spacing w:val="-2"/>
          <w:w w:val="105"/>
        </w:rPr>
        <w:t> </w:t>
      </w:r>
      <w:r>
        <w:rPr>
          <w:w w:val="105"/>
        </w:rPr>
        <w:t>to</w:t>
      </w:r>
      <w:r>
        <w:rPr>
          <w:spacing w:val="-2"/>
          <w:w w:val="105"/>
        </w:rPr>
        <w:t> </w:t>
      </w:r>
      <w:r>
        <w:rPr>
          <w:w w:val="105"/>
        </w:rPr>
        <w:t>different</w:t>
      </w:r>
      <w:r>
        <w:rPr>
          <w:spacing w:val="-2"/>
          <w:w w:val="105"/>
        </w:rPr>
        <w:t> </w:t>
      </w:r>
      <w:r>
        <w:rPr>
          <w:w w:val="105"/>
        </w:rPr>
        <w:t>degrees,</w:t>
      </w:r>
      <w:r>
        <w:rPr>
          <w:spacing w:val="-2"/>
          <w:w w:val="105"/>
        </w:rPr>
        <w:t> </w:t>
      </w:r>
      <w:r>
        <w:rPr>
          <w:w w:val="105"/>
        </w:rPr>
        <w:t>uncertain.</w:t>
      </w:r>
      <w:r>
        <w:rPr>
          <w:spacing w:val="-2"/>
          <w:w w:val="105"/>
        </w:rPr>
        <w:t> </w:t>
      </w:r>
      <w:r>
        <w:rPr>
          <w:w w:val="105"/>
        </w:rPr>
        <w:t>These</w:t>
      </w:r>
      <w:r>
        <w:rPr>
          <w:spacing w:val="-2"/>
          <w:w w:val="105"/>
        </w:rPr>
        <w:t> </w:t>
      </w:r>
      <w:r>
        <w:rPr>
          <w:w w:val="105"/>
        </w:rPr>
        <w:t>forward-looking</w:t>
      </w:r>
      <w:r>
        <w:rPr>
          <w:spacing w:val="-2"/>
          <w:w w:val="105"/>
        </w:rPr>
        <w:t> </w:t>
      </w:r>
      <w:r>
        <w:rPr>
          <w:w w:val="105"/>
        </w:rPr>
        <w:t>statements</w:t>
      </w:r>
      <w:r>
        <w:rPr>
          <w:spacing w:val="-2"/>
          <w:w w:val="105"/>
        </w:rPr>
        <w:t> </w:t>
      </w:r>
      <w:r>
        <w:rPr>
          <w:w w:val="105"/>
        </w:rPr>
        <w:t>relate</w:t>
      </w:r>
      <w:r>
        <w:rPr>
          <w:spacing w:val="-2"/>
          <w:w w:val="105"/>
        </w:rPr>
        <w:t> </w:t>
      </w:r>
      <w:r>
        <w:rPr>
          <w:w w:val="105"/>
        </w:rPr>
        <w:t>to,</w:t>
      </w:r>
      <w:r>
        <w:rPr>
          <w:spacing w:val="-2"/>
          <w:w w:val="105"/>
        </w:rPr>
        <w:t> </w:t>
      </w:r>
      <w:r>
        <w:rPr>
          <w:w w:val="105"/>
        </w:rPr>
        <w:t>among</w:t>
      </w:r>
      <w:r>
        <w:rPr>
          <w:spacing w:val="-2"/>
          <w:w w:val="105"/>
        </w:rPr>
        <w:t> </w:t>
      </w:r>
      <w:r>
        <w:rPr>
          <w:w w:val="105"/>
        </w:rPr>
        <w:t>other</w:t>
      </w:r>
      <w:r>
        <w:rPr>
          <w:spacing w:val="-2"/>
          <w:w w:val="105"/>
        </w:rPr>
        <w:t> </w:t>
      </w:r>
      <w:r>
        <w:rPr>
          <w:w w:val="105"/>
        </w:rPr>
        <w:t>things,</w:t>
      </w:r>
      <w:r>
        <w:rPr>
          <w:spacing w:val="-2"/>
          <w:w w:val="105"/>
        </w:rPr>
        <w:t> </w:t>
      </w:r>
      <w:r>
        <w:rPr>
          <w:w w:val="105"/>
        </w:rPr>
        <w:t>the</w:t>
      </w:r>
      <w:r>
        <w:rPr>
          <w:spacing w:val="-2"/>
          <w:w w:val="105"/>
        </w:rPr>
        <w:t> </w:t>
      </w:r>
      <w:r>
        <w:rPr>
          <w:w w:val="105"/>
        </w:rPr>
        <w:t>Company’s</w:t>
      </w:r>
      <w:r>
        <w:rPr>
          <w:spacing w:val="-2"/>
          <w:w w:val="105"/>
        </w:rPr>
        <w:t> </w:t>
      </w:r>
      <w:r>
        <w:rPr>
          <w:w w:val="105"/>
        </w:rPr>
        <w:t>future</w:t>
      </w:r>
      <w:r>
        <w:rPr>
          <w:spacing w:val="-2"/>
          <w:w w:val="105"/>
        </w:rPr>
        <w:t> </w:t>
      </w:r>
      <w:r>
        <w:rPr>
          <w:w w:val="105"/>
        </w:rPr>
        <w:t>operating</w:t>
      </w:r>
      <w:r>
        <w:rPr>
          <w:spacing w:val="-2"/>
          <w:w w:val="105"/>
        </w:rPr>
        <w:t> </w:t>
      </w:r>
      <w:r>
        <w:rPr>
          <w:w w:val="105"/>
        </w:rPr>
        <w:t>performance,</w:t>
      </w:r>
      <w:r>
        <w:rPr>
          <w:spacing w:val="-2"/>
          <w:w w:val="105"/>
        </w:rPr>
        <w:t> </w:t>
      </w:r>
      <w:r>
        <w:rPr>
          <w:w w:val="105"/>
        </w:rPr>
        <w:t>the</w:t>
      </w:r>
      <w:r>
        <w:rPr>
          <w:spacing w:val="-2"/>
          <w:w w:val="105"/>
        </w:rPr>
        <w:t> </w:t>
      </w:r>
      <w:r>
        <w:rPr>
          <w:w w:val="105"/>
        </w:rPr>
        <w:t>Company’s</w:t>
      </w:r>
      <w:r>
        <w:rPr>
          <w:spacing w:val="-2"/>
          <w:w w:val="105"/>
        </w:rPr>
        <w:t> </w:t>
      </w:r>
      <w:r>
        <w:rPr>
          <w:w w:val="105"/>
        </w:rPr>
        <w:t>share</w:t>
      </w:r>
      <w:r>
        <w:rPr>
          <w:spacing w:val="-2"/>
          <w:w w:val="105"/>
        </w:rPr>
        <w:t> </w:t>
      </w:r>
      <w:r>
        <w:rPr>
          <w:w w:val="105"/>
        </w:rPr>
        <w:t>of new</w:t>
      </w:r>
      <w:r>
        <w:rPr>
          <w:spacing w:val="-4"/>
          <w:w w:val="105"/>
        </w:rPr>
        <w:t> </w:t>
      </w:r>
      <w:r>
        <w:rPr>
          <w:w w:val="105"/>
        </w:rPr>
        <w:t>and</w:t>
      </w:r>
      <w:r>
        <w:rPr>
          <w:spacing w:val="-4"/>
          <w:w w:val="105"/>
        </w:rPr>
        <w:t> </w:t>
      </w:r>
      <w:r>
        <w:rPr>
          <w:w w:val="105"/>
        </w:rPr>
        <w:t>existing</w:t>
      </w:r>
      <w:r>
        <w:rPr>
          <w:spacing w:val="-4"/>
          <w:w w:val="105"/>
        </w:rPr>
        <w:t> </w:t>
      </w:r>
      <w:r>
        <w:rPr>
          <w:w w:val="105"/>
        </w:rPr>
        <w:t>markets,</w:t>
      </w:r>
      <w:r>
        <w:rPr>
          <w:spacing w:val="-4"/>
          <w:w w:val="105"/>
        </w:rPr>
        <w:t> </w:t>
      </w:r>
      <w:r>
        <w:rPr>
          <w:w w:val="105"/>
        </w:rPr>
        <w:t>the</w:t>
      </w:r>
      <w:r>
        <w:rPr>
          <w:spacing w:val="-4"/>
          <w:w w:val="105"/>
        </w:rPr>
        <w:t> </w:t>
      </w:r>
      <w:r>
        <w:rPr>
          <w:w w:val="105"/>
        </w:rPr>
        <w:t>Company’s</w:t>
      </w:r>
      <w:r>
        <w:rPr>
          <w:spacing w:val="-4"/>
          <w:w w:val="105"/>
        </w:rPr>
        <w:t> </w:t>
      </w:r>
      <w:r>
        <w:rPr>
          <w:w w:val="105"/>
        </w:rPr>
        <w:t>revenue</w:t>
      </w:r>
      <w:r>
        <w:rPr>
          <w:spacing w:val="-4"/>
          <w:w w:val="105"/>
        </w:rPr>
        <w:t> </w:t>
      </w:r>
      <w:r>
        <w:rPr>
          <w:w w:val="105"/>
        </w:rPr>
        <w:t>and</w:t>
      </w:r>
      <w:r>
        <w:rPr>
          <w:spacing w:val="-4"/>
          <w:w w:val="105"/>
        </w:rPr>
        <w:t> </w:t>
      </w:r>
      <w:r>
        <w:rPr>
          <w:w w:val="105"/>
        </w:rPr>
        <w:t>earnings</w:t>
      </w:r>
      <w:r>
        <w:rPr>
          <w:spacing w:val="-4"/>
          <w:w w:val="105"/>
        </w:rPr>
        <w:t> </w:t>
      </w:r>
      <w:r>
        <w:rPr>
          <w:w w:val="105"/>
        </w:rPr>
        <w:t>growth</w:t>
      </w:r>
      <w:r>
        <w:rPr>
          <w:spacing w:val="-4"/>
          <w:w w:val="105"/>
        </w:rPr>
        <w:t> </w:t>
      </w:r>
      <w:r>
        <w:rPr>
          <w:w w:val="105"/>
        </w:rPr>
        <w:t>rates,</w:t>
      </w:r>
      <w:r>
        <w:rPr>
          <w:spacing w:val="-4"/>
          <w:w w:val="105"/>
        </w:rPr>
        <w:t> </w:t>
      </w:r>
      <w:r>
        <w:rPr>
          <w:w w:val="105"/>
        </w:rPr>
        <w:t>the</w:t>
      </w:r>
      <w:r>
        <w:rPr>
          <w:spacing w:val="-4"/>
          <w:w w:val="105"/>
        </w:rPr>
        <w:t> </w:t>
      </w:r>
      <w:r>
        <w:rPr>
          <w:w w:val="105"/>
        </w:rPr>
        <w:t>Company’s</w:t>
      </w:r>
      <w:r>
        <w:rPr>
          <w:spacing w:val="-4"/>
          <w:w w:val="105"/>
        </w:rPr>
        <w:t> </w:t>
      </w:r>
      <w:r>
        <w:rPr>
          <w:w w:val="105"/>
        </w:rPr>
        <w:t>ability</w:t>
      </w:r>
      <w:r>
        <w:rPr>
          <w:spacing w:val="-4"/>
          <w:w w:val="105"/>
        </w:rPr>
        <w:t> </w:t>
      </w:r>
      <w:r>
        <w:rPr>
          <w:w w:val="105"/>
        </w:rPr>
        <w:t>to</w:t>
      </w:r>
      <w:r>
        <w:rPr>
          <w:spacing w:val="-2"/>
          <w:w w:val="105"/>
        </w:rPr>
        <w:t> </w:t>
      </w:r>
      <w:r>
        <w:rPr>
          <w:w w:val="105"/>
        </w:rPr>
        <w:t>innovate</w:t>
      </w:r>
      <w:r>
        <w:rPr>
          <w:spacing w:val="-4"/>
          <w:w w:val="105"/>
        </w:rPr>
        <w:t> </w:t>
      </w:r>
      <w:r>
        <w:rPr>
          <w:w w:val="105"/>
        </w:rPr>
        <w:t>and</w:t>
      </w:r>
      <w:r>
        <w:rPr>
          <w:spacing w:val="-4"/>
          <w:w w:val="105"/>
        </w:rPr>
        <w:t> </w:t>
      </w:r>
      <w:r>
        <w:rPr>
          <w:w w:val="105"/>
        </w:rPr>
        <w:t>commercialize</w:t>
      </w:r>
      <w:r>
        <w:rPr>
          <w:spacing w:val="-4"/>
          <w:w w:val="105"/>
        </w:rPr>
        <w:t> </w:t>
      </w:r>
      <w:r>
        <w:rPr>
          <w:w w:val="105"/>
        </w:rPr>
        <w:t>new</w:t>
      </w:r>
      <w:r>
        <w:rPr>
          <w:spacing w:val="-4"/>
          <w:w w:val="105"/>
        </w:rPr>
        <w:t> </w:t>
      </w:r>
      <w:r>
        <w:rPr>
          <w:w w:val="105"/>
        </w:rPr>
        <w:t>products,</w:t>
      </w:r>
      <w:r>
        <w:rPr>
          <w:spacing w:val="-4"/>
          <w:w w:val="105"/>
        </w:rPr>
        <w:t> </w:t>
      </w:r>
      <w:r>
        <w:rPr>
          <w:w w:val="105"/>
        </w:rPr>
        <w:t>the</w:t>
      </w:r>
      <w:r>
        <w:rPr>
          <w:spacing w:val="-4"/>
          <w:w w:val="105"/>
        </w:rPr>
        <w:t> </w:t>
      </w:r>
      <w:r>
        <w:rPr>
          <w:w w:val="105"/>
        </w:rPr>
        <w:t>Company's</w:t>
      </w:r>
      <w:r>
        <w:rPr>
          <w:spacing w:val="-4"/>
          <w:w w:val="105"/>
        </w:rPr>
        <w:t> </w:t>
      </w:r>
      <w:r>
        <w:rPr>
          <w:w w:val="105"/>
        </w:rPr>
        <w:t>expected capital</w:t>
      </w:r>
      <w:r>
        <w:rPr>
          <w:spacing w:val="-2"/>
          <w:w w:val="105"/>
        </w:rPr>
        <w:t> </w:t>
      </w:r>
      <w:r>
        <w:rPr>
          <w:w w:val="105"/>
        </w:rPr>
        <w:t>expenditure, and</w:t>
      </w:r>
      <w:r>
        <w:rPr>
          <w:spacing w:val="-2"/>
          <w:w w:val="105"/>
        </w:rPr>
        <w:t> </w:t>
      </w:r>
      <w:r>
        <w:rPr>
          <w:w w:val="105"/>
        </w:rPr>
        <w:t>the</w:t>
      </w:r>
      <w:r>
        <w:rPr>
          <w:spacing w:val="-2"/>
          <w:w w:val="105"/>
        </w:rPr>
        <w:t> </w:t>
      </w:r>
      <w:r>
        <w:rPr>
          <w:w w:val="105"/>
        </w:rPr>
        <w:t>Company’s</w:t>
      </w:r>
      <w:r>
        <w:rPr>
          <w:spacing w:val="-2"/>
          <w:w w:val="105"/>
        </w:rPr>
        <w:t> </w:t>
      </w:r>
      <w:r>
        <w:rPr>
          <w:w w:val="105"/>
        </w:rPr>
        <w:t>implementation</w:t>
      </w:r>
      <w:r>
        <w:rPr>
          <w:spacing w:val="-2"/>
          <w:w w:val="105"/>
        </w:rPr>
        <w:t> </w:t>
      </w:r>
      <w:r>
        <w:rPr>
          <w:w w:val="105"/>
        </w:rPr>
        <w:t>of</w:t>
      </w:r>
      <w:r>
        <w:rPr>
          <w:spacing w:val="-2"/>
          <w:w w:val="105"/>
        </w:rPr>
        <w:t> </w:t>
      </w:r>
      <w:r>
        <w:rPr>
          <w:w w:val="105"/>
        </w:rPr>
        <w:t>cost-reduction</w:t>
      </w:r>
      <w:r>
        <w:rPr>
          <w:spacing w:val="-2"/>
          <w:w w:val="105"/>
        </w:rPr>
        <w:t> </w:t>
      </w:r>
      <w:r>
        <w:rPr>
          <w:w w:val="105"/>
        </w:rPr>
        <w:t>initiatives</w:t>
      </w:r>
      <w:r>
        <w:rPr>
          <w:spacing w:val="-2"/>
          <w:w w:val="105"/>
        </w:rPr>
        <w:t> </w:t>
      </w:r>
      <w:r>
        <w:rPr>
          <w:w w:val="105"/>
        </w:rPr>
        <w:t>and</w:t>
      </w:r>
      <w:r>
        <w:rPr>
          <w:spacing w:val="-2"/>
          <w:w w:val="105"/>
        </w:rPr>
        <w:t> </w:t>
      </w:r>
      <w:r>
        <w:rPr>
          <w:w w:val="105"/>
        </w:rPr>
        <w:t>measures</w:t>
      </w:r>
      <w:r>
        <w:rPr>
          <w:spacing w:val="-2"/>
          <w:w w:val="105"/>
        </w:rPr>
        <w:t> </w:t>
      </w:r>
      <w:r>
        <w:rPr>
          <w:w w:val="105"/>
        </w:rPr>
        <w:t>to improve</w:t>
      </w:r>
      <w:r>
        <w:rPr>
          <w:spacing w:val="-2"/>
          <w:w w:val="105"/>
        </w:rPr>
        <w:t> </w:t>
      </w:r>
      <w:r>
        <w:rPr>
          <w:w w:val="105"/>
        </w:rPr>
        <w:t>pricing,</w:t>
      </w:r>
      <w:r>
        <w:rPr>
          <w:spacing w:val="-2"/>
          <w:w w:val="105"/>
        </w:rPr>
        <w:t> </w:t>
      </w:r>
      <w:r>
        <w:rPr>
          <w:w w:val="105"/>
        </w:rPr>
        <w:t>including</w:t>
      </w:r>
      <w:r>
        <w:rPr>
          <w:spacing w:val="-2"/>
          <w:w w:val="105"/>
        </w:rPr>
        <w:t> </w:t>
      </w:r>
      <w:r>
        <w:rPr>
          <w:w w:val="105"/>
        </w:rPr>
        <w:t>the</w:t>
      </w:r>
      <w:r>
        <w:rPr>
          <w:spacing w:val="-2"/>
          <w:w w:val="105"/>
        </w:rPr>
        <w:t> </w:t>
      </w:r>
      <w:r>
        <w:rPr>
          <w:w w:val="105"/>
        </w:rPr>
        <w:t>optimization</w:t>
      </w:r>
      <w:r>
        <w:rPr>
          <w:spacing w:val="-2"/>
          <w:w w:val="105"/>
        </w:rPr>
        <w:t> </w:t>
      </w:r>
      <w:r>
        <w:rPr>
          <w:w w:val="105"/>
        </w:rPr>
        <w:t>of</w:t>
      </w:r>
      <w:r>
        <w:rPr>
          <w:spacing w:val="-2"/>
          <w:w w:val="105"/>
        </w:rPr>
        <w:t> </w:t>
      </w:r>
      <w:r>
        <w:rPr>
          <w:w w:val="105"/>
        </w:rPr>
        <w:t>the</w:t>
      </w:r>
      <w:r>
        <w:rPr>
          <w:spacing w:val="-2"/>
          <w:w w:val="105"/>
        </w:rPr>
        <w:t> </w:t>
      </w:r>
      <w:r>
        <w:rPr>
          <w:w w:val="105"/>
        </w:rPr>
        <w:t>Company’s manufacturing</w:t>
      </w:r>
      <w:r>
        <w:rPr>
          <w:spacing w:val="-1"/>
          <w:w w:val="105"/>
        </w:rPr>
        <w:t> </w:t>
      </w:r>
      <w:r>
        <w:rPr>
          <w:w w:val="105"/>
        </w:rPr>
        <w:t>capacity.</w:t>
      </w:r>
    </w:p>
    <w:p>
      <w:pPr>
        <w:pStyle w:val="BodyText"/>
        <w:spacing w:before="17"/>
      </w:pPr>
    </w:p>
    <w:p>
      <w:pPr>
        <w:pStyle w:val="BodyText"/>
        <w:spacing w:line="266" w:lineRule="auto"/>
        <w:ind w:left="156" w:right="117"/>
      </w:pPr>
      <w:r>
        <w:rPr>
          <w:w w:val="105"/>
        </w:rPr>
        <w:t>Although</w:t>
      </w:r>
      <w:r>
        <w:rPr>
          <w:spacing w:val="-2"/>
          <w:w w:val="105"/>
        </w:rPr>
        <w:t> </w:t>
      </w:r>
      <w:r>
        <w:rPr>
          <w:w w:val="105"/>
        </w:rPr>
        <w:t>the</w:t>
      </w:r>
      <w:r>
        <w:rPr>
          <w:spacing w:val="-2"/>
          <w:w w:val="105"/>
        </w:rPr>
        <w:t> </w:t>
      </w:r>
      <w:r>
        <w:rPr>
          <w:w w:val="105"/>
        </w:rPr>
        <w:t>Company</w:t>
      </w:r>
      <w:r>
        <w:rPr>
          <w:spacing w:val="-2"/>
          <w:w w:val="105"/>
        </w:rPr>
        <w:t> </w:t>
      </w:r>
      <w:r>
        <w:rPr>
          <w:w w:val="105"/>
        </w:rPr>
        <w:t>believes</w:t>
      </w:r>
      <w:r>
        <w:rPr>
          <w:spacing w:val="-2"/>
          <w:w w:val="105"/>
        </w:rPr>
        <w:t> </w:t>
      </w:r>
      <w:r>
        <w:rPr>
          <w:w w:val="105"/>
        </w:rPr>
        <w:t>that these</w:t>
      </w:r>
      <w:r>
        <w:rPr>
          <w:spacing w:val="-2"/>
          <w:w w:val="105"/>
        </w:rPr>
        <w:t> </w:t>
      </w:r>
      <w:r>
        <w:rPr>
          <w:w w:val="105"/>
        </w:rPr>
        <w:t>forward-looking</w:t>
      </w:r>
      <w:r>
        <w:rPr>
          <w:spacing w:val="-2"/>
          <w:w w:val="105"/>
        </w:rPr>
        <w:t> </w:t>
      </w:r>
      <w:r>
        <w:rPr>
          <w:w w:val="105"/>
        </w:rPr>
        <w:t>statements</w:t>
      </w:r>
      <w:r>
        <w:rPr>
          <w:spacing w:val="-2"/>
          <w:w w:val="105"/>
        </w:rPr>
        <w:t> </w:t>
      </w:r>
      <w:r>
        <w:rPr>
          <w:w w:val="105"/>
        </w:rPr>
        <w:t>are</w:t>
      </w:r>
      <w:r>
        <w:rPr>
          <w:spacing w:val="-2"/>
          <w:w w:val="105"/>
        </w:rPr>
        <w:t> </w:t>
      </w:r>
      <w:r>
        <w:rPr>
          <w:w w:val="105"/>
        </w:rPr>
        <w:t>based</w:t>
      </w:r>
      <w:r>
        <w:rPr>
          <w:spacing w:val="-2"/>
          <w:w w:val="105"/>
        </w:rPr>
        <w:t> </w:t>
      </w:r>
      <w:r>
        <w:rPr>
          <w:w w:val="105"/>
        </w:rPr>
        <w:t>upon</w:t>
      </w:r>
      <w:r>
        <w:rPr>
          <w:spacing w:val="-2"/>
          <w:w w:val="105"/>
        </w:rPr>
        <w:t> </w:t>
      </w:r>
      <w:r>
        <w:rPr>
          <w:w w:val="105"/>
        </w:rPr>
        <w:t>reasonable</w:t>
      </w:r>
      <w:r>
        <w:rPr>
          <w:spacing w:val="-2"/>
          <w:w w:val="105"/>
        </w:rPr>
        <w:t> </w:t>
      </w:r>
      <w:r>
        <w:rPr>
          <w:w w:val="105"/>
        </w:rPr>
        <w:t>assumptions</w:t>
      </w:r>
      <w:r>
        <w:rPr>
          <w:spacing w:val="-2"/>
          <w:w w:val="105"/>
        </w:rPr>
        <w:t> </w:t>
      </w:r>
      <w:r>
        <w:rPr>
          <w:w w:val="105"/>
        </w:rPr>
        <w:t>regarding,</w:t>
      </w:r>
      <w:r>
        <w:rPr>
          <w:spacing w:val="-2"/>
          <w:w w:val="105"/>
        </w:rPr>
        <w:t> </w:t>
      </w:r>
      <w:r>
        <w:rPr>
          <w:w w:val="105"/>
        </w:rPr>
        <w:t>among</w:t>
      </w:r>
      <w:r>
        <w:rPr>
          <w:spacing w:val="-2"/>
          <w:w w:val="105"/>
        </w:rPr>
        <w:t> </w:t>
      </w:r>
      <w:r>
        <w:rPr>
          <w:w w:val="105"/>
        </w:rPr>
        <w:t>other</w:t>
      </w:r>
      <w:r>
        <w:rPr>
          <w:spacing w:val="-2"/>
          <w:w w:val="105"/>
        </w:rPr>
        <w:t> </w:t>
      </w:r>
      <w:r>
        <w:rPr>
          <w:w w:val="105"/>
        </w:rPr>
        <w:t>things,</w:t>
      </w:r>
      <w:r>
        <w:rPr>
          <w:spacing w:val="-2"/>
          <w:w w:val="105"/>
        </w:rPr>
        <w:t> </w:t>
      </w:r>
      <w:r>
        <w:rPr>
          <w:w w:val="105"/>
        </w:rPr>
        <w:t>current</w:t>
      </w:r>
      <w:r>
        <w:rPr>
          <w:spacing w:val="-2"/>
          <w:w w:val="105"/>
        </w:rPr>
        <w:t> </w:t>
      </w:r>
      <w:r>
        <w:rPr>
          <w:w w:val="105"/>
        </w:rPr>
        <w:t>estimates</w:t>
      </w:r>
      <w:r>
        <w:rPr>
          <w:spacing w:val="-2"/>
          <w:w w:val="105"/>
        </w:rPr>
        <w:t> </w:t>
      </w:r>
      <w:r>
        <w:rPr>
          <w:w w:val="105"/>
        </w:rPr>
        <w:t>and forecasts,</w:t>
      </w:r>
      <w:r>
        <w:rPr>
          <w:spacing w:val="-9"/>
          <w:w w:val="105"/>
        </w:rPr>
        <w:t> </w:t>
      </w:r>
      <w:r>
        <w:rPr>
          <w:w w:val="105"/>
        </w:rPr>
        <w:t>general</w:t>
      </w:r>
      <w:r>
        <w:rPr>
          <w:spacing w:val="-9"/>
          <w:w w:val="105"/>
        </w:rPr>
        <w:t> </w:t>
      </w:r>
      <w:r>
        <w:rPr>
          <w:w w:val="105"/>
        </w:rPr>
        <w:t>economic</w:t>
      </w:r>
      <w:r>
        <w:rPr>
          <w:spacing w:val="-9"/>
          <w:w w:val="105"/>
        </w:rPr>
        <w:t> </w:t>
      </w:r>
      <w:r>
        <w:rPr>
          <w:w w:val="105"/>
        </w:rPr>
        <w:t>conditions,</w:t>
      </w:r>
      <w:r>
        <w:rPr>
          <w:spacing w:val="-9"/>
          <w:w w:val="105"/>
        </w:rPr>
        <w:t> </w:t>
      </w:r>
      <w:r>
        <w:rPr>
          <w:w w:val="105"/>
        </w:rPr>
        <w:t>its</w:t>
      </w:r>
      <w:r>
        <w:rPr>
          <w:spacing w:val="-9"/>
          <w:w w:val="105"/>
        </w:rPr>
        <w:t> </w:t>
      </w:r>
      <w:r>
        <w:rPr>
          <w:w w:val="105"/>
        </w:rPr>
        <w:t>knowledge</w:t>
      </w:r>
      <w:r>
        <w:rPr>
          <w:spacing w:val="-9"/>
          <w:w w:val="105"/>
        </w:rPr>
        <w:t> </w:t>
      </w:r>
      <w:r>
        <w:rPr>
          <w:w w:val="105"/>
        </w:rPr>
        <w:t>of</w:t>
      </w:r>
      <w:r>
        <w:rPr>
          <w:spacing w:val="-7"/>
          <w:w w:val="105"/>
        </w:rPr>
        <w:t> </w:t>
      </w:r>
      <w:r>
        <w:rPr>
          <w:w w:val="105"/>
        </w:rPr>
        <w:t>its</w:t>
      </w:r>
      <w:r>
        <w:rPr>
          <w:spacing w:val="-9"/>
          <w:w w:val="105"/>
        </w:rPr>
        <w:t> </w:t>
      </w:r>
      <w:r>
        <w:rPr>
          <w:w w:val="105"/>
        </w:rPr>
        <w:t>business,</w:t>
      </w:r>
      <w:r>
        <w:rPr>
          <w:spacing w:val="-9"/>
          <w:w w:val="105"/>
        </w:rPr>
        <w:t> </w:t>
      </w:r>
      <w:r>
        <w:rPr>
          <w:w w:val="105"/>
        </w:rPr>
        <w:t>and</w:t>
      </w:r>
      <w:r>
        <w:rPr>
          <w:spacing w:val="-9"/>
          <w:w w:val="105"/>
        </w:rPr>
        <w:t> </w:t>
      </w:r>
      <w:r>
        <w:rPr>
          <w:w w:val="105"/>
        </w:rPr>
        <w:t>key</w:t>
      </w:r>
      <w:r>
        <w:rPr>
          <w:spacing w:val="-9"/>
          <w:w w:val="105"/>
        </w:rPr>
        <w:t> </w:t>
      </w:r>
      <w:r>
        <w:rPr>
          <w:w w:val="105"/>
        </w:rPr>
        <w:t>performance</w:t>
      </w:r>
      <w:r>
        <w:rPr>
          <w:spacing w:val="-9"/>
          <w:w w:val="105"/>
        </w:rPr>
        <w:t> </w:t>
      </w:r>
      <w:r>
        <w:rPr>
          <w:w w:val="105"/>
        </w:rPr>
        <w:t>indicators</w:t>
      </w:r>
      <w:r>
        <w:rPr>
          <w:spacing w:val="-9"/>
          <w:w w:val="105"/>
        </w:rPr>
        <w:t> </w:t>
      </w:r>
      <w:r>
        <w:rPr>
          <w:w w:val="105"/>
        </w:rPr>
        <w:t>that</w:t>
      </w:r>
      <w:r>
        <w:rPr>
          <w:spacing w:val="-9"/>
          <w:w w:val="105"/>
        </w:rPr>
        <w:t> </w:t>
      </w:r>
      <w:r>
        <w:rPr>
          <w:w w:val="105"/>
        </w:rPr>
        <w:t>impact</w:t>
      </w:r>
      <w:r>
        <w:rPr>
          <w:spacing w:val="-9"/>
          <w:w w:val="105"/>
        </w:rPr>
        <w:t> </w:t>
      </w:r>
      <w:r>
        <w:rPr>
          <w:w w:val="105"/>
        </w:rPr>
        <w:t>the</w:t>
      </w:r>
      <w:r>
        <w:rPr>
          <w:spacing w:val="-9"/>
          <w:w w:val="105"/>
        </w:rPr>
        <w:t> </w:t>
      </w:r>
      <w:r>
        <w:rPr>
          <w:w w:val="105"/>
        </w:rPr>
        <w:t>Company,</w:t>
      </w:r>
      <w:r>
        <w:rPr>
          <w:spacing w:val="-9"/>
          <w:w w:val="105"/>
        </w:rPr>
        <w:t> </w:t>
      </w:r>
      <w:r>
        <w:rPr>
          <w:w w:val="105"/>
        </w:rPr>
        <w:t>actual</w:t>
      </w:r>
      <w:r>
        <w:rPr>
          <w:spacing w:val="-9"/>
          <w:w w:val="105"/>
        </w:rPr>
        <w:t> </w:t>
      </w:r>
      <w:r>
        <w:rPr>
          <w:w w:val="105"/>
        </w:rPr>
        <w:t>results</w:t>
      </w:r>
      <w:r>
        <w:rPr>
          <w:spacing w:val="-9"/>
          <w:w w:val="105"/>
        </w:rPr>
        <w:t> </w:t>
      </w:r>
      <w:r>
        <w:rPr>
          <w:w w:val="105"/>
        </w:rPr>
        <w:t>could</w:t>
      </w:r>
      <w:r>
        <w:rPr>
          <w:spacing w:val="-9"/>
          <w:w w:val="105"/>
        </w:rPr>
        <w:t> </w:t>
      </w:r>
      <w:r>
        <w:rPr>
          <w:w w:val="105"/>
        </w:rPr>
        <w:t>differ</w:t>
      </w:r>
      <w:r>
        <w:rPr>
          <w:spacing w:val="-9"/>
          <w:w w:val="105"/>
        </w:rPr>
        <w:t> </w:t>
      </w:r>
      <w:r>
        <w:rPr>
          <w:w w:val="105"/>
        </w:rPr>
        <w:t>materially.</w:t>
      </w:r>
      <w:r>
        <w:rPr>
          <w:spacing w:val="25"/>
          <w:w w:val="105"/>
        </w:rPr>
        <w:t> </w:t>
      </w:r>
      <w:r>
        <w:rPr>
          <w:w w:val="105"/>
        </w:rPr>
        <w:t>Some of</w:t>
      </w:r>
      <w:r>
        <w:rPr>
          <w:spacing w:val="-5"/>
          <w:w w:val="105"/>
        </w:rPr>
        <w:t> </w:t>
      </w:r>
      <w:r>
        <w:rPr>
          <w:w w:val="105"/>
        </w:rPr>
        <w:t>the</w:t>
      </w:r>
      <w:r>
        <w:rPr>
          <w:spacing w:val="-5"/>
          <w:w w:val="105"/>
        </w:rPr>
        <w:t> </w:t>
      </w:r>
      <w:r>
        <w:rPr>
          <w:w w:val="105"/>
        </w:rPr>
        <w:t>risks,</w:t>
      </w:r>
      <w:r>
        <w:rPr>
          <w:spacing w:val="-5"/>
          <w:w w:val="105"/>
        </w:rPr>
        <w:t> </w:t>
      </w:r>
      <w:r>
        <w:rPr>
          <w:w w:val="105"/>
        </w:rPr>
        <w:t>uncertainties</w:t>
      </w:r>
      <w:r>
        <w:rPr>
          <w:spacing w:val="-5"/>
          <w:w w:val="105"/>
        </w:rPr>
        <w:t> </w:t>
      </w:r>
      <w:r>
        <w:rPr>
          <w:w w:val="105"/>
        </w:rPr>
        <w:t>and</w:t>
      </w:r>
      <w:r>
        <w:rPr>
          <w:spacing w:val="-5"/>
          <w:w w:val="105"/>
        </w:rPr>
        <w:t> </w:t>
      </w:r>
      <w:r>
        <w:rPr>
          <w:w w:val="105"/>
        </w:rPr>
        <w:t>other</w:t>
      </w:r>
      <w:r>
        <w:rPr>
          <w:spacing w:val="-5"/>
          <w:w w:val="105"/>
        </w:rPr>
        <w:t> </w:t>
      </w:r>
      <w:r>
        <w:rPr>
          <w:w w:val="105"/>
        </w:rPr>
        <w:t>factors</w:t>
      </w:r>
      <w:r>
        <w:rPr>
          <w:spacing w:val="-5"/>
          <w:w w:val="105"/>
        </w:rPr>
        <w:t> </w:t>
      </w:r>
      <w:r>
        <w:rPr>
          <w:w w:val="105"/>
        </w:rPr>
        <w:t>that</w:t>
      </w:r>
      <w:r>
        <w:rPr>
          <w:spacing w:val="-5"/>
          <w:w w:val="105"/>
        </w:rPr>
        <w:t> </w:t>
      </w:r>
      <w:r>
        <w:rPr>
          <w:w w:val="105"/>
        </w:rPr>
        <w:t>could</w:t>
      </w:r>
      <w:r>
        <w:rPr>
          <w:spacing w:val="-5"/>
          <w:w w:val="105"/>
        </w:rPr>
        <w:t> </w:t>
      </w:r>
      <w:r>
        <w:rPr>
          <w:w w:val="105"/>
        </w:rPr>
        <w:t>cause</w:t>
      </w:r>
      <w:r>
        <w:rPr>
          <w:spacing w:val="-5"/>
          <w:w w:val="105"/>
        </w:rPr>
        <w:t> </w:t>
      </w:r>
      <w:r>
        <w:rPr>
          <w:w w:val="105"/>
        </w:rPr>
        <w:t>actual</w:t>
      </w:r>
      <w:r>
        <w:rPr>
          <w:spacing w:val="-5"/>
          <w:w w:val="105"/>
        </w:rPr>
        <w:t> </w:t>
      </w:r>
      <w:r>
        <w:rPr>
          <w:w w:val="105"/>
        </w:rPr>
        <w:t>results</w:t>
      </w:r>
      <w:r>
        <w:rPr>
          <w:spacing w:val="-5"/>
          <w:w w:val="105"/>
        </w:rPr>
        <w:t> </w:t>
      </w:r>
      <w:r>
        <w:rPr>
          <w:w w:val="105"/>
        </w:rPr>
        <w:t>to</w:t>
      </w:r>
      <w:r>
        <w:rPr>
          <w:spacing w:val="-5"/>
          <w:w w:val="105"/>
        </w:rPr>
        <w:t> </w:t>
      </w:r>
      <w:r>
        <w:rPr>
          <w:w w:val="105"/>
        </w:rPr>
        <w:t>differ</w:t>
      </w:r>
      <w:r>
        <w:rPr>
          <w:spacing w:val="-5"/>
          <w:w w:val="105"/>
        </w:rPr>
        <w:t> </w:t>
      </w:r>
      <w:r>
        <w:rPr>
          <w:w w:val="105"/>
        </w:rPr>
        <w:t>materially</w:t>
      </w:r>
      <w:r>
        <w:rPr>
          <w:spacing w:val="-5"/>
          <w:w w:val="105"/>
        </w:rPr>
        <w:t> </w:t>
      </w:r>
      <w:r>
        <w:rPr>
          <w:w w:val="105"/>
        </w:rPr>
        <w:t>from</w:t>
      </w:r>
      <w:r>
        <w:rPr>
          <w:spacing w:val="-5"/>
          <w:w w:val="105"/>
        </w:rPr>
        <w:t> </w:t>
      </w:r>
      <w:r>
        <w:rPr>
          <w:w w:val="105"/>
        </w:rPr>
        <w:t>those</w:t>
      </w:r>
      <w:r>
        <w:rPr>
          <w:spacing w:val="-5"/>
          <w:w w:val="105"/>
        </w:rPr>
        <w:t> </w:t>
      </w:r>
      <w:r>
        <w:rPr>
          <w:w w:val="105"/>
        </w:rPr>
        <w:t>expressed</w:t>
      </w:r>
      <w:r>
        <w:rPr>
          <w:spacing w:val="-4"/>
          <w:w w:val="105"/>
        </w:rPr>
        <w:t> </w:t>
      </w:r>
      <w:r>
        <w:rPr>
          <w:w w:val="105"/>
        </w:rPr>
        <w:t>in</w:t>
      </w:r>
      <w:r>
        <w:rPr>
          <w:spacing w:val="-5"/>
          <w:w w:val="105"/>
        </w:rPr>
        <w:t> </w:t>
      </w:r>
      <w:r>
        <w:rPr>
          <w:w w:val="105"/>
        </w:rPr>
        <w:t>or</w:t>
      </w:r>
      <w:r>
        <w:rPr>
          <w:spacing w:val="-5"/>
          <w:w w:val="105"/>
        </w:rPr>
        <w:t> </w:t>
      </w:r>
      <w:r>
        <w:rPr>
          <w:w w:val="105"/>
        </w:rPr>
        <w:t>implied</w:t>
      </w:r>
      <w:r>
        <w:rPr>
          <w:spacing w:val="-5"/>
          <w:w w:val="105"/>
        </w:rPr>
        <w:t> </w:t>
      </w:r>
      <w:r>
        <w:rPr>
          <w:w w:val="105"/>
        </w:rPr>
        <w:t>by</w:t>
      </w:r>
      <w:r>
        <w:rPr>
          <w:spacing w:val="-5"/>
          <w:w w:val="105"/>
        </w:rPr>
        <w:t> </w:t>
      </w:r>
      <w:r>
        <w:rPr>
          <w:w w:val="105"/>
        </w:rPr>
        <w:t>the</w:t>
      </w:r>
      <w:r>
        <w:rPr>
          <w:spacing w:val="-5"/>
          <w:w w:val="105"/>
        </w:rPr>
        <w:t> </w:t>
      </w:r>
      <w:r>
        <w:rPr>
          <w:w w:val="105"/>
        </w:rPr>
        <w:t>forward-looking</w:t>
      </w:r>
      <w:r>
        <w:rPr>
          <w:spacing w:val="-5"/>
          <w:w w:val="105"/>
        </w:rPr>
        <w:t> </w:t>
      </w:r>
      <w:r>
        <w:rPr>
          <w:w w:val="105"/>
        </w:rPr>
        <w:t>statements</w:t>
      </w:r>
      <w:r>
        <w:rPr>
          <w:spacing w:val="-5"/>
          <w:w w:val="105"/>
        </w:rPr>
        <w:t> </w:t>
      </w:r>
      <w:r>
        <w:rPr>
          <w:w w:val="105"/>
        </w:rPr>
        <w:t>include, but are not limited to:</w:t>
      </w:r>
    </w:p>
    <w:p>
      <w:pPr>
        <w:pStyle w:val="BodyText"/>
        <w:spacing w:before="18"/>
      </w:pPr>
    </w:p>
    <w:p>
      <w:pPr>
        <w:pStyle w:val="ListParagraph"/>
        <w:numPr>
          <w:ilvl w:val="0"/>
          <w:numId w:val="18"/>
        </w:numPr>
        <w:tabs>
          <w:tab w:pos="461" w:val="left" w:leader="none"/>
        </w:tabs>
        <w:spacing w:line="240" w:lineRule="auto" w:before="0" w:after="0"/>
        <w:ind w:left="461" w:right="0" w:hanging="305"/>
        <w:jc w:val="left"/>
        <w:rPr>
          <w:sz w:val="16"/>
        </w:rPr>
      </w:pPr>
      <w:r>
        <w:rPr>
          <w:w w:val="105"/>
          <w:sz w:val="16"/>
        </w:rPr>
        <w:t>the</w:t>
      </w:r>
      <w:r>
        <w:rPr>
          <w:spacing w:val="-10"/>
          <w:w w:val="105"/>
          <w:sz w:val="16"/>
        </w:rPr>
        <w:t> </w:t>
      </w:r>
      <w:r>
        <w:rPr>
          <w:w w:val="105"/>
          <w:sz w:val="16"/>
        </w:rPr>
        <w:t>duration</w:t>
      </w:r>
      <w:r>
        <w:rPr>
          <w:spacing w:val="-9"/>
          <w:w w:val="105"/>
          <w:sz w:val="16"/>
        </w:rPr>
        <w:t> </w:t>
      </w:r>
      <w:r>
        <w:rPr>
          <w:w w:val="105"/>
          <w:sz w:val="16"/>
        </w:rPr>
        <w:t>and</w:t>
      </w:r>
      <w:r>
        <w:rPr>
          <w:spacing w:val="-9"/>
          <w:w w:val="105"/>
          <w:sz w:val="16"/>
        </w:rPr>
        <w:t> </w:t>
      </w:r>
      <w:r>
        <w:rPr>
          <w:w w:val="105"/>
          <w:sz w:val="16"/>
        </w:rPr>
        <w:t>severity</w:t>
      </w:r>
      <w:r>
        <w:rPr>
          <w:spacing w:val="-9"/>
          <w:w w:val="105"/>
          <w:sz w:val="16"/>
        </w:rPr>
        <w:t> </w:t>
      </w:r>
      <w:r>
        <w:rPr>
          <w:w w:val="105"/>
          <w:sz w:val="16"/>
        </w:rPr>
        <w:t>of</w:t>
      </w:r>
      <w:r>
        <w:rPr>
          <w:spacing w:val="-9"/>
          <w:w w:val="105"/>
          <w:sz w:val="16"/>
        </w:rPr>
        <w:t> </w:t>
      </w:r>
      <w:r>
        <w:rPr>
          <w:w w:val="105"/>
          <w:sz w:val="16"/>
        </w:rPr>
        <w:t>the</w:t>
      </w:r>
      <w:r>
        <w:rPr>
          <w:spacing w:val="-9"/>
          <w:w w:val="105"/>
          <w:sz w:val="16"/>
        </w:rPr>
        <w:t> </w:t>
      </w:r>
      <w:r>
        <w:rPr>
          <w:w w:val="105"/>
          <w:sz w:val="16"/>
        </w:rPr>
        <w:t>COVID-19</w:t>
      </w:r>
      <w:r>
        <w:rPr>
          <w:spacing w:val="-9"/>
          <w:w w:val="105"/>
          <w:sz w:val="16"/>
        </w:rPr>
        <w:t> </w:t>
      </w:r>
      <w:r>
        <w:rPr>
          <w:w w:val="105"/>
          <w:sz w:val="16"/>
        </w:rPr>
        <w:t>pandemic,</w:t>
      </w:r>
      <w:r>
        <w:rPr>
          <w:spacing w:val="-10"/>
          <w:w w:val="105"/>
          <w:sz w:val="16"/>
        </w:rPr>
        <w:t> </w:t>
      </w:r>
      <w:r>
        <w:rPr>
          <w:w w:val="105"/>
          <w:sz w:val="16"/>
        </w:rPr>
        <w:t>and</w:t>
      </w:r>
      <w:r>
        <w:rPr>
          <w:spacing w:val="-9"/>
          <w:w w:val="105"/>
          <w:sz w:val="16"/>
        </w:rPr>
        <w:t> </w:t>
      </w:r>
      <w:r>
        <w:rPr>
          <w:w w:val="105"/>
          <w:sz w:val="16"/>
        </w:rPr>
        <w:t>its</w:t>
      </w:r>
      <w:r>
        <w:rPr>
          <w:spacing w:val="-9"/>
          <w:w w:val="105"/>
          <w:sz w:val="16"/>
        </w:rPr>
        <w:t> </w:t>
      </w:r>
      <w:r>
        <w:rPr>
          <w:w w:val="105"/>
          <w:sz w:val="16"/>
        </w:rPr>
        <w:t>impact</w:t>
      </w:r>
      <w:r>
        <w:rPr>
          <w:spacing w:val="-9"/>
          <w:w w:val="105"/>
          <w:sz w:val="16"/>
        </w:rPr>
        <w:t> </w:t>
      </w:r>
      <w:r>
        <w:rPr>
          <w:w w:val="105"/>
          <w:sz w:val="16"/>
        </w:rPr>
        <w:t>across</w:t>
      </w:r>
      <w:r>
        <w:rPr>
          <w:spacing w:val="-9"/>
          <w:w w:val="105"/>
          <w:sz w:val="16"/>
        </w:rPr>
        <w:t> </w:t>
      </w:r>
      <w:r>
        <w:rPr>
          <w:w w:val="105"/>
          <w:sz w:val="16"/>
        </w:rPr>
        <w:t>our</w:t>
      </w:r>
      <w:r>
        <w:rPr>
          <w:spacing w:val="-9"/>
          <w:w w:val="105"/>
          <w:sz w:val="16"/>
        </w:rPr>
        <w:t> </w:t>
      </w:r>
      <w:r>
        <w:rPr>
          <w:w w:val="105"/>
          <w:sz w:val="16"/>
        </w:rPr>
        <w:t>businesses</w:t>
      </w:r>
      <w:r>
        <w:rPr>
          <w:spacing w:val="-9"/>
          <w:w w:val="105"/>
          <w:sz w:val="16"/>
        </w:rPr>
        <w:t> </w:t>
      </w:r>
      <w:r>
        <w:rPr>
          <w:w w:val="105"/>
          <w:sz w:val="16"/>
        </w:rPr>
        <w:t>on</w:t>
      </w:r>
      <w:r>
        <w:rPr>
          <w:spacing w:val="-10"/>
          <w:w w:val="105"/>
          <w:sz w:val="16"/>
        </w:rPr>
        <w:t> </w:t>
      </w:r>
      <w:r>
        <w:rPr>
          <w:w w:val="105"/>
          <w:sz w:val="16"/>
        </w:rPr>
        <w:t>demand,</w:t>
      </w:r>
      <w:r>
        <w:rPr>
          <w:spacing w:val="-9"/>
          <w:w w:val="105"/>
          <w:sz w:val="16"/>
        </w:rPr>
        <w:t> </w:t>
      </w:r>
      <w:r>
        <w:rPr>
          <w:w w:val="105"/>
          <w:sz w:val="16"/>
        </w:rPr>
        <w:t>operations,</w:t>
      </w:r>
      <w:r>
        <w:rPr>
          <w:spacing w:val="-9"/>
          <w:w w:val="105"/>
          <w:sz w:val="16"/>
        </w:rPr>
        <w:t> </w:t>
      </w:r>
      <w:r>
        <w:rPr>
          <w:w w:val="105"/>
          <w:sz w:val="16"/>
        </w:rPr>
        <w:t>our</w:t>
      </w:r>
      <w:r>
        <w:rPr>
          <w:spacing w:val="-9"/>
          <w:w w:val="105"/>
          <w:sz w:val="16"/>
        </w:rPr>
        <w:t> </w:t>
      </w:r>
      <w:r>
        <w:rPr>
          <w:w w:val="105"/>
          <w:sz w:val="16"/>
        </w:rPr>
        <w:t>global</w:t>
      </w:r>
      <w:r>
        <w:rPr>
          <w:spacing w:val="-9"/>
          <w:w w:val="105"/>
          <w:sz w:val="16"/>
        </w:rPr>
        <w:t> </w:t>
      </w:r>
      <w:r>
        <w:rPr>
          <w:w w:val="105"/>
          <w:sz w:val="16"/>
        </w:rPr>
        <w:t>supply</w:t>
      </w:r>
      <w:r>
        <w:rPr>
          <w:spacing w:val="-9"/>
          <w:w w:val="105"/>
          <w:sz w:val="16"/>
        </w:rPr>
        <w:t> </w:t>
      </w:r>
      <w:r>
        <w:rPr>
          <w:w w:val="105"/>
          <w:sz w:val="16"/>
        </w:rPr>
        <w:t>chains</w:t>
      </w:r>
      <w:r>
        <w:rPr>
          <w:spacing w:val="-9"/>
          <w:w w:val="105"/>
          <w:sz w:val="16"/>
        </w:rPr>
        <w:t> </w:t>
      </w:r>
      <w:r>
        <w:rPr>
          <w:w w:val="105"/>
          <w:sz w:val="16"/>
        </w:rPr>
        <w:t>and</w:t>
      </w:r>
      <w:r>
        <w:rPr>
          <w:spacing w:val="-10"/>
          <w:w w:val="105"/>
          <w:sz w:val="16"/>
        </w:rPr>
        <w:t> </w:t>
      </w:r>
      <w:r>
        <w:rPr>
          <w:w w:val="105"/>
          <w:sz w:val="16"/>
        </w:rPr>
        <w:t>stock</w:t>
      </w:r>
      <w:r>
        <w:rPr>
          <w:spacing w:val="-9"/>
          <w:w w:val="105"/>
          <w:sz w:val="16"/>
        </w:rPr>
        <w:t> </w:t>
      </w:r>
      <w:r>
        <w:rPr>
          <w:spacing w:val="-2"/>
          <w:w w:val="105"/>
          <w:sz w:val="16"/>
        </w:rPr>
        <w:t>price;</w:t>
      </w:r>
    </w:p>
    <w:p>
      <w:pPr>
        <w:pStyle w:val="ListParagraph"/>
        <w:numPr>
          <w:ilvl w:val="0"/>
          <w:numId w:val="18"/>
        </w:numPr>
        <w:tabs>
          <w:tab w:pos="461" w:val="left" w:leader="none"/>
        </w:tabs>
        <w:spacing w:line="240" w:lineRule="auto" w:before="20" w:after="0"/>
        <w:ind w:left="461" w:right="0" w:hanging="305"/>
        <w:jc w:val="left"/>
        <w:rPr>
          <w:sz w:val="16"/>
        </w:rPr>
      </w:pPr>
      <w:r>
        <w:rPr>
          <w:spacing w:val="-2"/>
          <w:w w:val="105"/>
          <w:sz w:val="16"/>
        </w:rPr>
        <w:t>the</w:t>
      </w:r>
      <w:r>
        <w:rPr>
          <w:spacing w:val="1"/>
          <w:w w:val="105"/>
          <w:sz w:val="16"/>
        </w:rPr>
        <w:t> </w:t>
      </w:r>
      <w:r>
        <w:rPr>
          <w:spacing w:val="-2"/>
          <w:w w:val="105"/>
          <w:sz w:val="16"/>
        </w:rPr>
        <w:t>effects</w:t>
      </w:r>
      <w:r>
        <w:rPr>
          <w:spacing w:val="1"/>
          <w:w w:val="105"/>
          <w:sz w:val="16"/>
        </w:rPr>
        <w:t> </w:t>
      </w:r>
      <w:r>
        <w:rPr>
          <w:spacing w:val="-2"/>
          <w:w w:val="105"/>
          <w:sz w:val="16"/>
        </w:rPr>
        <w:t>of</w:t>
      </w:r>
      <w:r>
        <w:rPr>
          <w:spacing w:val="2"/>
          <w:w w:val="105"/>
          <w:sz w:val="16"/>
        </w:rPr>
        <w:t> </w:t>
      </w:r>
      <w:r>
        <w:rPr>
          <w:spacing w:val="-2"/>
          <w:w w:val="105"/>
          <w:sz w:val="16"/>
        </w:rPr>
        <w:t>acquisitions,</w:t>
      </w:r>
      <w:r>
        <w:rPr>
          <w:spacing w:val="1"/>
          <w:w w:val="105"/>
          <w:sz w:val="16"/>
        </w:rPr>
        <w:t> </w:t>
      </w:r>
      <w:r>
        <w:rPr>
          <w:spacing w:val="-2"/>
          <w:w w:val="105"/>
          <w:sz w:val="16"/>
        </w:rPr>
        <w:t>dispositions</w:t>
      </w:r>
      <w:r>
        <w:rPr>
          <w:spacing w:val="2"/>
          <w:w w:val="105"/>
          <w:sz w:val="16"/>
        </w:rPr>
        <w:t> </w:t>
      </w:r>
      <w:r>
        <w:rPr>
          <w:spacing w:val="-2"/>
          <w:w w:val="105"/>
          <w:sz w:val="16"/>
        </w:rPr>
        <w:t>and</w:t>
      </w:r>
      <w:r>
        <w:rPr>
          <w:spacing w:val="1"/>
          <w:w w:val="105"/>
          <w:sz w:val="16"/>
        </w:rPr>
        <w:t> </w:t>
      </w:r>
      <w:r>
        <w:rPr>
          <w:spacing w:val="-2"/>
          <w:w w:val="105"/>
          <w:sz w:val="16"/>
        </w:rPr>
        <w:t>other</w:t>
      </w:r>
      <w:r>
        <w:rPr>
          <w:spacing w:val="2"/>
          <w:w w:val="105"/>
          <w:sz w:val="16"/>
        </w:rPr>
        <w:t> </w:t>
      </w:r>
      <w:r>
        <w:rPr>
          <w:spacing w:val="-2"/>
          <w:w w:val="105"/>
          <w:sz w:val="16"/>
        </w:rPr>
        <w:t>similar</w:t>
      </w:r>
      <w:r>
        <w:rPr>
          <w:spacing w:val="1"/>
          <w:w w:val="105"/>
          <w:sz w:val="16"/>
        </w:rPr>
        <w:t> </w:t>
      </w:r>
      <w:r>
        <w:rPr>
          <w:spacing w:val="-2"/>
          <w:w w:val="105"/>
          <w:sz w:val="16"/>
        </w:rPr>
        <w:t>transactions;</w:t>
      </w:r>
    </w:p>
    <w:p>
      <w:pPr>
        <w:pStyle w:val="ListParagraph"/>
        <w:numPr>
          <w:ilvl w:val="0"/>
          <w:numId w:val="18"/>
        </w:numPr>
        <w:tabs>
          <w:tab w:pos="462" w:val="left" w:leader="none"/>
        </w:tabs>
        <w:spacing w:line="266" w:lineRule="auto" w:before="20" w:after="0"/>
        <w:ind w:left="462" w:right="331" w:hanging="306"/>
        <w:jc w:val="left"/>
        <w:rPr>
          <w:sz w:val="16"/>
        </w:rPr>
      </w:pPr>
      <w:r>
        <w:rPr>
          <w:w w:val="105"/>
          <w:sz w:val="16"/>
        </w:rPr>
        <w:t>global</w:t>
      </w:r>
      <w:r>
        <w:rPr>
          <w:spacing w:val="-8"/>
          <w:w w:val="105"/>
          <w:sz w:val="16"/>
        </w:rPr>
        <w:t> </w:t>
      </w:r>
      <w:r>
        <w:rPr>
          <w:w w:val="105"/>
          <w:sz w:val="16"/>
        </w:rPr>
        <w:t>economic</w:t>
      </w:r>
      <w:r>
        <w:rPr>
          <w:spacing w:val="-8"/>
          <w:w w:val="105"/>
          <w:sz w:val="16"/>
        </w:rPr>
        <w:t> </w:t>
      </w:r>
      <w:r>
        <w:rPr>
          <w:w w:val="105"/>
          <w:sz w:val="16"/>
        </w:rPr>
        <w:t>trends,</w:t>
      </w:r>
      <w:r>
        <w:rPr>
          <w:spacing w:val="-8"/>
          <w:w w:val="105"/>
          <w:sz w:val="16"/>
        </w:rPr>
        <w:t> </w:t>
      </w:r>
      <w:r>
        <w:rPr>
          <w:w w:val="105"/>
          <w:sz w:val="16"/>
        </w:rPr>
        <w:t>competition</w:t>
      </w:r>
      <w:r>
        <w:rPr>
          <w:spacing w:val="-8"/>
          <w:w w:val="105"/>
          <w:sz w:val="16"/>
        </w:rPr>
        <w:t> </w:t>
      </w:r>
      <w:r>
        <w:rPr>
          <w:w w:val="105"/>
          <w:sz w:val="16"/>
        </w:rPr>
        <w:t>and</w:t>
      </w:r>
      <w:r>
        <w:rPr>
          <w:spacing w:val="-8"/>
          <w:w w:val="105"/>
          <w:sz w:val="16"/>
        </w:rPr>
        <w:t> </w:t>
      </w:r>
      <w:r>
        <w:rPr>
          <w:w w:val="105"/>
          <w:sz w:val="16"/>
        </w:rPr>
        <w:t>geopolitical</w:t>
      </w:r>
      <w:r>
        <w:rPr>
          <w:spacing w:val="-8"/>
          <w:w w:val="105"/>
          <w:sz w:val="16"/>
        </w:rPr>
        <w:t> </w:t>
      </w:r>
      <w:r>
        <w:rPr>
          <w:w w:val="105"/>
          <w:sz w:val="16"/>
        </w:rPr>
        <w:t>risks,</w:t>
      </w:r>
      <w:r>
        <w:rPr>
          <w:spacing w:val="-8"/>
          <w:w w:val="105"/>
          <w:sz w:val="16"/>
        </w:rPr>
        <w:t> </w:t>
      </w:r>
      <w:r>
        <w:rPr>
          <w:w w:val="105"/>
          <w:sz w:val="16"/>
        </w:rPr>
        <w:t>or</w:t>
      </w:r>
      <w:r>
        <w:rPr>
          <w:spacing w:val="-8"/>
          <w:w w:val="105"/>
          <w:sz w:val="16"/>
        </w:rPr>
        <w:t> </w:t>
      </w:r>
      <w:r>
        <w:rPr>
          <w:w w:val="105"/>
          <w:sz w:val="16"/>
        </w:rPr>
        <w:t>an</w:t>
      </w:r>
      <w:r>
        <w:rPr>
          <w:spacing w:val="-8"/>
          <w:w w:val="105"/>
          <w:sz w:val="16"/>
        </w:rPr>
        <w:t> </w:t>
      </w:r>
      <w:r>
        <w:rPr>
          <w:w w:val="105"/>
          <w:sz w:val="16"/>
        </w:rPr>
        <w:t>escalation</w:t>
      </w:r>
      <w:r>
        <w:rPr>
          <w:spacing w:val="-8"/>
          <w:w w:val="105"/>
          <w:sz w:val="16"/>
        </w:rPr>
        <w:t> </w:t>
      </w:r>
      <w:r>
        <w:rPr>
          <w:w w:val="105"/>
          <w:sz w:val="16"/>
        </w:rPr>
        <w:t>of</w:t>
      </w:r>
      <w:r>
        <w:rPr>
          <w:spacing w:val="-8"/>
          <w:w w:val="105"/>
          <w:sz w:val="16"/>
        </w:rPr>
        <w:t> </w:t>
      </w:r>
      <w:r>
        <w:rPr>
          <w:w w:val="105"/>
          <w:sz w:val="16"/>
        </w:rPr>
        <w:t>sanctions,</w:t>
      </w:r>
      <w:r>
        <w:rPr>
          <w:spacing w:val="-8"/>
          <w:w w:val="105"/>
          <w:sz w:val="16"/>
        </w:rPr>
        <w:t> </w:t>
      </w:r>
      <w:r>
        <w:rPr>
          <w:w w:val="105"/>
          <w:sz w:val="16"/>
        </w:rPr>
        <w:t>tariffs</w:t>
      </w:r>
      <w:r>
        <w:rPr>
          <w:spacing w:val="-8"/>
          <w:w w:val="105"/>
          <w:sz w:val="16"/>
        </w:rPr>
        <w:t> </w:t>
      </w:r>
      <w:r>
        <w:rPr>
          <w:w w:val="105"/>
          <w:sz w:val="16"/>
        </w:rPr>
        <w:t>or</w:t>
      </w:r>
      <w:r>
        <w:rPr>
          <w:spacing w:val="-8"/>
          <w:w w:val="105"/>
          <w:sz w:val="16"/>
        </w:rPr>
        <w:t> </w:t>
      </w:r>
      <w:r>
        <w:rPr>
          <w:w w:val="105"/>
          <w:sz w:val="16"/>
        </w:rPr>
        <w:t>other</w:t>
      </w:r>
      <w:r>
        <w:rPr>
          <w:spacing w:val="-8"/>
          <w:w w:val="105"/>
          <w:sz w:val="16"/>
        </w:rPr>
        <w:t> </w:t>
      </w:r>
      <w:r>
        <w:rPr>
          <w:w w:val="105"/>
          <w:sz w:val="16"/>
        </w:rPr>
        <w:t>trade</w:t>
      </w:r>
      <w:r>
        <w:rPr>
          <w:spacing w:val="-8"/>
          <w:w w:val="105"/>
          <w:sz w:val="16"/>
        </w:rPr>
        <w:t> </w:t>
      </w:r>
      <w:r>
        <w:rPr>
          <w:w w:val="105"/>
          <w:sz w:val="16"/>
        </w:rPr>
        <w:t>tensions</w:t>
      </w:r>
      <w:r>
        <w:rPr>
          <w:spacing w:val="-8"/>
          <w:w w:val="105"/>
          <w:sz w:val="16"/>
        </w:rPr>
        <w:t> </w:t>
      </w:r>
      <w:r>
        <w:rPr>
          <w:w w:val="105"/>
          <w:sz w:val="16"/>
        </w:rPr>
        <w:t>between</w:t>
      </w:r>
      <w:r>
        <w:rPr>
          <w:spacing w:val="-8"/>
          <w:w w:val="105"/>
          <w:sz w:val="16"/>
        </w:rPr>
        <w:t> </w:t>
      </w:r>
      <w:r>
        <w:rPr>
          <w:w w:val="105"/>
          <w:sz w:val="16"/>
        </w:rPr>
        <w:t>the</w:t>
      </w:r>
      <w:r>
        <w:rPr>
          <w:spacing w:val="-8"/>
          <w:w w:val="105"/>
          <w:sz w:val="16"/>
        </w:rPr>
        <w:t> </w:t>
      </w:r>
      <w:r>
        <w:rPr>
          <w:w w:val="105"/>
          <w:sz w:val="16"/>
        </w:rPr>
        <w:t>U.S.</w:t>
      </w:r>
      <w:r>
        <w:rPr>
          <w:spacing w:val="-8"/>
          <w:w w:val="105"/>
          <w:sz w:val="16"/>
        </w:rPr>
        <w:t> </w:t>
      </w:r>
      <w:r>
        <w:rPr>
          <w:w w:val="105"/>
          <w:sz w:val="16"/>
        </w:rPr>
        <w:t>and</w:t>
      </w:r>
      <w:r>
        <w:rPr>
          <w:spacing w:val="-8"/>
          <w:w w:val="105"/>
          <w:sz w:val="16"/>
        </w:rPr>
        <w:t> </w:t>
      </w:r>
      <w:r>
        <w:rPr>
          <w:w w:val="105"/>
          <w:sz w:val="16"/>
        </w:rPr>
        <w:t>China</w:t>
      </w:r>
      <w:r>
        <w:rPr>
          <w:spacing w:val="-8"/>
          <w:w w:val="105"/>
          <w:sz w:val="16"/>
        </w:rPr>
        <w:t> </w:t>
      </w:r>
      <w:r>
        <w:rPr>
          <w:w w:val="105"/>
          <w:sz w:val="16"/>
        </w:rPr>
        <w:t>or</w:t>
      </w:r>
      <w:r>
        <w:rPr>
          <w:spacing w:val="-8"/>
          <w:w w:val="105"/>
          <w:sz w:val="16"/>
        </w:rPr>
        <w:t> </w:t>
      </w:r>
      <w:r>
        <w:rPr>
          <w:w w:val="105"/>
          <w:sz w:val="16"/>
        </w:rPr>
        <w:t>other</w:t>
      </w:r>
      <w:r>
        <w:rPr>
          <w:spacing w:val="-8"/>
          <w:w w:val="105"/>
          <w:sz w:val="16"/>
        </w:rPr>
        <w:t> </w:t>
      </w:r>
      <w:r>
        <w:rPr>
          <w:w w:val="105"/>
          <w:sz w:val="16"/>
        </w:rPr>
        <w:t>countries, and related impacts on our businesses' global supply chains and strategies;</w:t>
      </w:r>
    </w:p>
    <w:p>
      <w:pPr>
        <w:pStyle w:val="ListParagraph"/>
        <w:numPr>
          <w:ilvl w:val="0"/>
          <w:numId w:val="18"/>
        </w:numPr>
        <w:tabs>
          <w:tab w:pos="462" w:val="left" w:leader="none"/>
        </w:tabs>
        <w:spacing w:line="266" w:lineRule="auto" w:before="0" w:after="0"/>
        <w:ind w:left="462" w:right="118" w:hanging="306"/>
        <w:jc w:val="left"/>
        <w:rPr>
          <w:sz w:val="16"/>
        </w:rPr>
      </w:pPr>
      <w:r>
        <w:rPr>
          <w:w w:val="105"/>
          <w:sz w:val="16"/>
        </w:rPr>
        <w:t>changes</w:t>
      </w:r>
      <w:r>
        <w:rPr>
          <w:spacing w:val="-6"/>
          <w:w w:val="105"/>
          <w:sz w:val="16"/>
        </w:rPr>
        <w:t> </w:t>
      </w:r>
      <w:r>
        <w:rPr>
          <w:w w:val="105"/>
          <w:sz w:val="16"/>
        </w:rPr>
        <w:t>in</w:t>
      </w:r>
      <w:r>
        <w:rPr>
          <w:spacing w:val="-6"/>
          <w:w w:val="105"/>
          <w:sz w:val="16"/>
        </w:rPr>
        <w:t> </w:t>
      </w:r>
      <w:r>
        <w:rPr>
          <w:w w:val="105"/>
          <w:sz w:val="16"/>
        </w:rPr>
        <w:t>macroeconomic</w:t>
      </w:r>
      <w:r>
        <w:rPr>
          <w:spacing w:val="-6"/>
          <w:w w:val="105"/>
          <w:sz w:val="16"/>
        </w:rPr>
        <w:t> </w:t>
      </w:r>
      <w:r>
        <w:rPr>
          <w:w w:val="105"/>
          <w:sz w:val="16"/>
        </w:rPr>
        <w:t>and</w:t>
      </w:r>
      <w:r>
        <w:rPr>
          <w:spacing w:val="-6"/>
          <w:w w:val="105"/>
          <w:sz w:val="16"/>
        </w:rPr>
        <w:t> </w:t>
      </w:r>
      <w:r>
        <w:rPr>
          <w:w w:val="105"/>
          <w:sz w:val="16"/>
        </w:rPr>
        <w:t>market</w:t>
      </w:r>
      <w:r>
        <w:rPr>
          <w:spacing w:val="-6"/>
          <w:w w:val="105"/>
          <w:sz w:val="16"/>
        </w:rPr>
        <w:t> </w:t>
      </w:r>
      <w:r>
        <w:rPr>
          <w:w w:val="105"/>
          <w:sz w:val="16"/>
        </w:rPr>
        <w:t>conditions</w:t>
      </w:r>
      <w:r>
        <w:rPr>
          <w:spacing w:val="-6"/>
          <w:w w:val="105"/>
          <w:sz w:val="16"/>
        </w:rPr>
        <w:t> </w:t>
      </w:r>
      <w:r>
        <w:rPr>
          <w:w w:val="105"/>
          <w:sz w:val="16"/>
        </w:rPr>
        <w:t>and</w:t>
      </w:r>
      <w:r>
        <w:rPr>
          <w:spacing w:val="-6"/>
          <w:w w:val="105"/>
          <w:sz w:val="16"/>
        </w:rPr>
        <w:t> </w:t>
      </w:r>
      <w:r>
        <w:rPr>
          <w:w w:val="105"/>
          <w:sz w:val="16"/>
        </w:rPr>
        <w:t>market</w:t>
      </w:r>
      <w:r>
        <w:rPr>
          <w:spacing w:val="-6"/>
          <w:w w:val="105"/>
          <w:sz w:val="16"/>
        </w:rPr>
        <w:t> </w:t>
      </w:r>
      <w:r>
        <w:rPr>
          <w:w w:val="105"/>
          <w:sz w:val="16"/>
        </w:rPr>
        <w:t>volatility,</w:t>
      </w:r>
      <w:r>
        <w:rPr>
          <w:spacing w:val="-6"/>
          <w:w w:val="105"/>
          <w:sz w:val="16"/>
        </w:rPr>
        <w:t> </w:t>
      </w:r>
      <w:r>
        <w:rPr>
          <w:w w:val="105"/>
          <w:sz w:val="16"/>
        </w:rPr>
        <w:t>including</w:t>
      </w:r>
      <w:r>
        <w:rPr>
          <w:spacing w:val="-6"/>
          <w:w w:val="105"/>
          <w:sz w:val="16"/>
        </w:rPr>
        <w:t> </w:t>
      </w:r>
      <w:r>
        <w:rPr>
          <w:w w:val="105"/>
          <w:sz w:val="16"/>
        </w:rPr>
        <w:t>developments</w:t>
      </w:r>
      <w:r>
        <w:rPr>
          <w:spacing w:val="-6"/>
          <w:w w:val="105"/>
          <w:sz w:val="16"/>
        </w:rPr>
        <w:t> </w:t>
      </w:r>
      <w:r>
        <w:rPr>
          <w:w w:val="105"/>
          <w:sz w:val="16"/>
        </w:rPr>
        <w:t>and</w:t>
      </w:r>
      <w:r>
        <w:rPr>
          <w:spacing w:val="-6"/>
          <w:w w:val="105"/>
          <w:sz w:val="16"/>
        </w:rPr>
        <w:t> </w:t>
      </w:r>
      <w:r>
        <w:rPr>
          <w:w w:val="105"/>
          <w:sz w:val="16"/>
        </w:rPr>
        <w:t>volatility</w:t>
      </w:r>
      <w:r>
        <w:rPr>
          <w:spacing w:val="-6"/>
          <w:w w:val="105"/>
          <w:sz w:val="16"/>
        </w:rPr>
        <w:t> </w:t>
      </w:r>
      <w:r>
        <w:rPr>
          <w:w w:val="105"/>
          <w:sz w:val="16"/>
        </w:rPr>
        <w:t>arising</w:t>
      </w:r>
      <w:r>
        <w:rPr>
          <w:spacing w:val="-6"/>
          <w:w w:val="105"/>
          <w:sz w:val="16"/>
        </w:rPr>
        <w:t> </w:t>
      </w:r>
      <w:r>
        <w:rPr>
          <w:w w:val="105"/>
          <w:sz w:val="16"/>
        </w:rPr>
        <w:t>from</w:t>
      </w:r>
      <w:r>
        <w:rPr>
          <w:spacing w:val="-6"/>
          <w:w w:val="105"/>
          <w:sz w:val="16"/>
        </w:rPr>
        <w:t> </w:t>
      </w:r>
      <w:r>
        <w:rPr>
          <w:w w:val="105"/>
          <w:sz w:val="16"/>
        </w:rPr>
        <w:t>the</w:t>
      </w:r>
      <w:r>
        <w:rPr>
          <w:spacing w:val="-6"/>
          <w:w w:val="105"/>
          <w:sz w:val="16"/>
        </w:rPr>
        <w:t> </w:t>
      </w:r>
      <w:r>
        <w:rPr>
          <w:w w:val="105"/>
          <w:sz w:val="16"/>
        </w:rPr>
        <w:t>COVID-19</w:t>
      </w:r>
      <w:r>
        <w:rPr>
          <w:spacing w:val="-6"/>
          <w:w w:val="105"/>
          <w:sz w:val="16"/>
        </w:rPr>
        <w:t> </w:t>
      </w:r>
      <w:r>
        <w:rPr>
          <w:w w:val="105"/>
          <w:sz w:val="16"/>
        </w:rPr>
        <w:t>pandemic,</w:t>
      </w:r>
      <w:r>
        <w:rPr>
          <w:spacing w:val="-6"/>
          <w:w w:val="105"/>
          <w:sz w:val="16"/>
        </w:rPr>
        <w:t> </w:t>
      </w:r>
      <w:r>
        <w:rPr>
          <w:w w:val="105"/>
          <w:sz w:val="16"/>
        </w:rPr>
        <w:t>inflation,</w:t>
      </w:r>
      <w:r>
        <w:rPr>
          <w:spacing w:val="-6"/>
          <w:w w:val="105"/>
          <w:sz w:val="16"/>
        </w:rPr>
        <w:t> </w:t>
      </w:r>
      <w:r>
        <w:rPr>
          <w:w w:val="105"/>
          <w:sz w:val="16"/>
        </w:rPr>
        <w:t>interest rates,</w:t>
      </w:r>
      <w:r>
        <w:rPr>
          <w:spacing w:val="-2"/>
          <w:w w:val="105"/>
          <w:sz w:val="16"/>
        </w:rPr>
        <w:t> </w:t>
      </w:r>
      <w:r>
        <w:rPr>
          <w:w w:val="105"/>
          <w:sz w:val="16"/>
        </w:rPr>
        <w:t>the</w:t>
      </w:r>
      <w:r>
        <w:rPr>
          <w:spacing w:val="-2"/>
          <w:w w:val="105"/>
          <w:sz w:val="16"/>
        </w:rPr>
        <w:t> </w:t>
      </w:r>
      <w:r>
        <w:rPr>
          <w:w w:val="105"/>
          <w:sz w:val="16"/>
        </w:rPr>
        <w:t>value</w:t>
      </w:r>
      <w:r>
        <w:rPr>
          <w:spacing w:val="-2"/>
          <w:w w:val="105"/>
          <w:sz w:val="16"/>
        </w:rPr>
        <w:t> </w:t>
      </w:r>
      <w:r>
        <w:rPr>
          <w:w w:val="105"/>
          <w:sz w:val="16"/>
        </w:rPr>
        <w:t>of</w:t>
      </w:r>
      <w:r>
        <w:rPr>
          <w:spacing w:val="-2"/>
          <w:w w:val="105"/>
          <w:sz w:val="16"/>
        </w:rPr>
        <w:t> </w:t>
      </w:r>
      <w:r>
        <w:rPr>
          <w:w w:val="105"/>
          <w:sz w:val="16"/>
        </w:rPr>
        <w:t>securities</w:t>
      </w:r>
      <w:r>
        <w:rPr>
          <w:spacing w:val="-2"/>
          <w:w w:val="105"/>
          <w:sz w:val="16"/>
        </w:rPr>
        <w:t> </w:t>
      </w:r>
      <w:r>
        <w:rPr>
          <w:w w:val="105"/>
          <w:sz w:val="16"/>
        </w:rPr>
        <w:t>and</w:t>
      </w:r>
      <w:r>
        <w:rPr>
          <w:spacing w:val="-2"/>
          <w:w w:val="105"/>
          <w:sz w:val="16"/>
        </w:rPr>
        <w:t> </w:t>
      </w:r>
      <w:r>
        <w:rPr>
          <w:w w:val="105"/>
          <w:sz w:val="16"/>
        </w:rPr>
        <w:t>other</w:t>
      </w:r>
      <w:r>
        <w:rPr>
          <w:spacing w:val="-2"/>
          <w:w w:val="105"/>
          <w:sz w:val="16"/>
        </w:rPr>
        <w:t> </w:t>
      </w:r>
      <w:r>
        <w:rPr>
          <w:w w:val="105"/>
          <w:sz w:val="16"/>
        </w:rPr>
        <w:t>financial</w:t>
      </w:r>
      <w:r>
        <w:rPr>
          <w:spacing w:val="-2"/>
          <w:w w:val="105"/>
          <w:sz w:val="16"/>
        </w:rPr>
        <w:t> </w:t>
      </w:r>
      <w:r>
        <w:rPr>
          <w:w w:val="105"/>
          <w:sz w:val="16"/>
        </w:rPr>
        <w:t>assets,</w:t>
      </w:r>
      <w:r>
        <w:rPr>
          <w:spacing w:val="-2"/>
          <w:w w:val="105"/>
          <w:sz w:val="16"/>
        </w:rPr>
        <w:t> </w:t>
      </w:r>
      <w:r>
        <w:rPr>
          <w:w w:val="105"/>
          <w:sz w:val="16"/>
        </w:rPr>
        <w:t>precious</w:t>
      </w:r>
      <w:r>
        <w:rPr>
          <w:spacing w:val="-2"/>
          <w:w w:val="105"/>
          <w:sz w:val="16"/>
        </w:rPr>
        <w:t> </w:t>
      </w:r>
      <w:r>
        <w:rPr>
          <w:w w:val="105"/>
          <w:sz w:val="16"/>
        </w:rPr>
        <w:t>metals,</w:t>
      </w:r>
      <w:r>
        <w:rPr>
          <w:spacing w:val="-2"/>
          <w:w w:val="105"/>
          <w:sz w:val="16"/>
        </w:rPr>
        <w:t> </w:t>
      </w:r>
      <w:r>
        <w:rPr>
          <w:w w:val="105"/>
          <w:sz w:val="16"/>
        </w:rPr>
        <w:t>oil,</w:t>
      </w:r>
      <w:r>
        <w:rPr>
          <w:spacing w:val="-2"/>
          <w:w w:val="105"/>
          <w:sz w:val="16"/>
        </w:rPr>
        <w:t> </w:t>
      </w:r>
      <w:r>
        <w:rPr>
          <w:w w:val="105"/>
          <w:sz w:val="16"/>
        </w:rPr>
        <w:t>natural</w:t>
      </w:r>
      <w:r>
        <w:rPr>
          <w:spacing w:val="-2"/>
          <w:w w:val="105"/>
          <w:sz w:val="16"/>
        </w:rPr>
        <w:t> </w:t>
      </w:r>
      <w:r>
        <w:rPr>
          <w:w w:val="105"/>
          <w:sz w:val="16"/>
        </w:rPr>
        <w:t>gas</w:t>
      </w:r>
      <w:r>
        <w:rPr>
          <w:spacing w:val="-2"/>
          <w:w w:val="105"/>
          <w:sz w:val="16"/>
        </w:rPr>
        <w:t> </w:t>
      </w:r>
      <w:r>
        <w:rPr>
          <w:w w:val="105"/>
          <w:sz w:val="16"/>
        </w:rPr>
        <w:t>and</w:t>
      </w:r>
      <w:r>
        <w:rPr>
          <w:spacing w:val="-2"/>
          <w:w w:val="105"/>
          <w:sz w:val="16"/>
        </w:rPr>
        <w:t> </w:t>
      </w:r>
      <w:r>
        <w:rPr>
          <w:w w:val="105"/>
          <w:sz w:val="16"/>
        </w:rPr>
        <w:t>other</w:t>
      </w:r>
      <w:r>
        <w:rPr>
          <w:spacing w:val="-2"/>
          <w:w w:val="105"/>
          <w:sz w:val="16"/>
        </w:rPr>
        <w:t> </w:t>
      </w:r>
      <w:r>
        <w:rPr>
          <w:w w:val="105"/>
          <w:sz w:val="16"/>
        </w:rPr>
        <w:t>commodity</w:t>
      </w:r>
      <w:r>
        <w:rPr>
          <w:spacing w:val="-2"/>
          <w:w w:val="105"/>
          <w:sz w:val="16"/>
        </w:rPr>
        <w:t> </w:t>
      </w:r>
      <w:r>
        <w:rPr>
          <w:w w:val="105"/>
          <w:sz w:val="16"/>
        </w:rPr>
        <w:t>prices</w:t>
      </w:r>
      <w:r>
        <w:rPr>
          <w:spacing w:val="-2"/>
          <w:w w:val="105"/>
          <w:sz w:val="16"/>
        </w:rPr>
        <w:t> </w:t>
      </w:r>
      <w:r>
        <w:rPr>
          <w:w w:val="105"/>
          <w:sz w:val="16"/>
        </w:rPr>
        <w:t>and</w:t>
      </w:r>
      <w:r>
        <w:rPr>
          <w:spacing w:val="-2"/>
          <w:w w:val="105"/>
          <w:sz w:val="16"/>
        </w:rPr>
        <w:t> </w:t>
      </w:r>
      <w:r>
        <w:rPr>
          <w:w w:val="105"/>
          <w:sz w:val="16"/>
        </w:rPr>
        <w:t>exchange</w:t>
      </w:r>
      <w:r>
        <w:rPr>
          <w:spacing w:val="-2"/>
          <w:w w:val="105"/>
          <w:sz w:val="16"/>
        </w:rPr>
        <w:t> </w:t>
      </w:r>
      <w:r>
        <w:rPr>
          <w:w w:val="105"/>
          <w:sz w:val="16"/>
        </w:rPr>
        <w:t>rates</w:t>
      </w:r>
      <w:r>
        <w:rPr>
          <w:spacing w:val="-2"/>
          <w:w w:val="105"/>
          <w:sz w:val="16"/>
        </w:rPr>
        <w:t> </w:t>
      </w:r>
      <w:r>
        <w:rPr>
          <w:w w:val="105"/>
          <w:sz w:val="16"/>
        </w:rPr>
        <w:t>(particularly</w:t>
      </w:r>
      <w:r>
        <w:rPr>
          <w:spacing w:val="-2"/>
          <w:w w:val="105"/>
          <w:sz w:val="16"/>
        </w:rPr>
        <w:t> </w:t>
      </w:r>
      <w:r>
        <w:rPr>
          <w:w w:val="105"/>
          <w:sz w:val="16"/>
        </w:rPr>
        <w:t>between</w:t>
      </w:r>
      <w:r>
        <w:rPr>
          <w:spacing w:val="-2"/>
          <w:w w:val="105"/>
          <w:sz w:val="16"/>
        </w:rPr>
        <w:t> </w:t>
      </w:r>
      <w:r>
        <w:rPr>
          <w:w w:val="105"/>
          <w:sz w:val="16"/>
        </w:rPr>
        <w:t>the</w:t>
      </w:r>
      <w:r>
        <w:rPr>
          <w:spacing w:val="-2"/>
          <w:w w:val="105"/>
          <w:sz w:val="16"/>
        </w:rPr>
        <w:t> </w:t>
      </w:r>
      <w:r>
        <w:rPr>
          <w:w w:val="105"/>
          <w:sz w:val="16"/>
        </w:rPr>
        <w:t>U.S. dollar</w:t>
      </w:r>
      <w:r>
        <w:rPr>
          <w:spacing w:val="-8"/>
          <w:w w:val="105"/>
          <w:sz w:val="16"/>
        </w:rPr>
        <w:t> </w:t>
      </w:r>
      <w:r>
        <w:rPr>
          <w:w w:val="105"/>
          <w:sz w:val="16"/>
        </w:rPr>
        <w:t>and</w:t>
      </w:r>
      <w:r>
        <w:rPr>
          <w:spacing w:val="-8"/>
          <w:w w:val="105"/>
          <w:sz w:val="16"/>
        </w:rPr>
        <w:t> </w:t>
      </w:r>
      <w:r>
        <w:rPr>
          <w:w w:val="105"/>
          <w:sz w:val="16"/>
        </w:rPr>
        <w:t>the</w:t>
      </w:r>
      <w:r>
        <w:rPr>
          <w:spacing w:val="-8"/>
          <w:w w:val="105"/>
          <w:sz w:val="16"/>
        </w:rPr>
        <w:t> </w:t>
      </w:r>
      <w:r>
        <w:rPr>
          <w:w w:val="105"/>
          <w:sz w:val="16"/>
        </w:rPr>
        <w:t>Japanese</w:t>
      </w:r>
      <w:r>
        <w:rPr>
          <w:spacing w:val="-8"/>
          <w:w w:val="105"/>
          <w:sz w:val="16"/>
        </w:rPr>
        <w:t> </w:t>
      </w:r>
      <w:r>
        <w:rPr>
          <w:w w:val="105"/>
          <w:sz w:val="16"/>
        </w:rPr>
        <w:t>yen,</w:t>
      </w:r>
      <w:r>
        <w:rPr>
          <w:spacing w:val="-8"/>
          <w:w w:val="105"/>
          <w:sz w:val="16"/>
        </w:rPr>
        <w:t> </w:t>
      </w:r>
      <w:r>
        <w:rPr>
          <w:w w:val="105"/>
          <w:sz w:val="16"/>
        </w:rPr>
        <w:t>new</w:t>
      </w:r>
      <w:r>
        <w:rPr>
          <w:spacing w:val="-8"/>
          <w:w w:val="105"/>
          <w:sz w:val="16"/>
        </w:rPr>
        <w:t> </w:t>
      </w:r>
      <w:r>
        <w:rPr>
          <w:w w:val="105"/>
          <w:sz w:val="16"/>
        </w:rPr>
        <w:t>Taiwan</w:t>
      </w:r>
      <w:r>
        <w:rPr>
          <w:spacing w:val="-8"/>
          <w:w w:val="105"/>
          <w:sz w:val="16"/>
        </w:rPr>
        <w:t> </w:t>
      </w:r>
      <w:r>
        <w:rPr>
          <w:w w:val="105"/>
          <w:sz w:val="16"/>
        </w:rPr>
        <w:t>dollar,</w:t>
      </w:r>
      <w:r>
        <w:rPr>
          <w:spacing w:val="-8"/>
          <w:w w:val="105"/>
          <w:sz w:val="16"/>
        </w:rPr>
        <w:t> </w:t>
      </w:r>
      <w:r>
        <w:rPr>
          <w:w w:val="105"/>
          <w:sz w:val="16"/>
        </w:rPr>
        <w:t>euro,</w:t>
      </w:r>
      <w:r>
        <w:rPr>
          <w:spacing w:val="-8"/>
          <w:w w:val="105"/>
          <w:sz w:val="16"/>
        </w:rPr>
        <w:t> </w:t>
      </w:r>
      <w:r>
        <w:rPr>
          <w:w w:val="105"/>
          <w:sz w:val="16"/>
        </w:rPr>
        <w:t>Chinese</w:t>
      </w:r>
      <w:r>
        <w:rPr>
          <w:spacing w:val="-8"/>
          <w:w w:val="105"/>
          <w:sz w:val="16"/>
        </w:rPr>
        <w:t> </w:t>
      </w:r>
      <w:r>
        <w:rPr>
          <w:w w:val="105"/>
          <w:sz w:val="16"/>
        </w:rPr>
        <w:t>yuan</w:t>
      </w:r>
      <w:r>
        <w:rPr>
          <w:spacing w:val="-8"/>
          <w:w w:val="105"/>
          <w:sz w:val="16"/>
        </w:rPr>
        <w:t> </w:t>
      </w:r>
      <w:r>
        <w:rPr>
          <w:w w:val="105"/>
          <w:sz w:val="16"/>
        </w:rPr>
        <w:t>and</w:t>
      </w:r>
      <w:r>
        <w:rPr>
          <w:spacing w:val="-8"/>
          <w:w w:val="105"/>
          <w:sz w:val="16"/>
        </w:rPr>
        <w:t> </w:t>
      </w:r>
      <w:r>
        <w:rPr>
          <w:w w:val="105"/>
          <w:sz w:val="16"/>
        </w:rPr>
        <w:t>South</w:t>
      </w:r>
      <w:r>
        <w:rPr>
          <w:spacing w:val="-8"/>
          <w:w w:val="105"/>
          <w:sz w:val="16"/>
        </w:rPr>
        <w:t> </w:t>
      </w:r>
      <w:r>
        <w:rPr>
          <w:w w:val="105"/>
          <w:sz w:val="16"/>
        </w:rPr>
        <w:t>Korean</w:t>
      </w:r>
      <w:r>
        <w:rPr>
          <w:spacing w:val="-8"/>
          <w:w w:val="105"/>
          <w:sz w:val="16"/>
        </w:rPr>
        <w:t> </w:t>
      </w:r>
      <w:r>
        <w:rPr>
          <w:w w:val="105"/>
          <w:sz w:val="16"/>
        </w:rPr>
        <w:t>won),</w:t>
      </w:r>
      <w:r>
        <w:rPr>
          <w:spacing w:val="-8"/>
          <w:w w:val="105"/>
          <w:sz w:val="16"/>
        </w:rPr>
        <w:t> </w:t>
      </w:r>
      <w:r>
        <w:rPr>
          <w:w w:val="105"/>
          <w:sz w:val="16"/>
        </w:rPr>
        <w:t>decreases</w:t>
      </w:r>
      <w:r>
        <w:rPr>
          <w:spacing w:val="-8"/>
          <w:w w:val="105"/>
          <w:sz w:val="16"/>
        </w:rPr>
        <w:t> </w:t>
      </w:r>
      <w:r>
        <w:rPr>
          <w:w w:val="105"/>
          <w:sz w:val="16"/>
        </w:rPr>
        <w:t>or</w:t>
      </w:r>
      <w:r>
        <w:rPr>
          <w:spacing w:val="-8"/>
          <w:w w:val="105"/>
          <w:sz w:val="16"/>
        </w:rPr>
        <w:t> </w:t>
      </w:r>
      <w:r>
        <w:rPr>
          <w:w w:val="105"/>
          <w:sz w:val="16"/>
        </w:rPr>
        <w:t>sudden</w:t>
      </w:r>
      <w:r>
        <w:rPr>
          <w:spacing w:val="-8"/>
          <w:w w:val="105"/>
          <w:sz w:val="16"/>
        </w:rPr>
        <w:t> </w:t>
      </w:r>
      <w:r>
        <w:rPr>
          <w:w w:val="105"/>
          <w:sz w:val="16"/>
        </w:rPr>
        <w:t>increases</w:t>
      </w:r>
      <w:r>
        <w:rPr>
          <w:spacing w:val="-8"/>
          <w:w w:val="105"/>
          <w:sz w:val="16"/>
        </w:rPr>
        <w:t> </w:t>
      </w:r>
      <w:r>
        <w:rPr>
          <w:w w:val="105"/>
          <w:sz w:val="16"/>
        </w:rPr>
        <w:t>of</w:t>
      </w:r>
      <w:r>
        <w:rPr>
          <w:spacing w:val="-8"/>
          <w:w w:val="105"/>
          <w:sz w:val="16"/>
        </w:rPr>
        <w:t> </w:t>
      </w:r>
      <w:r>
        <w:rPr>
          <w:w w:val="105"/>
          <w:sz w:val="16"/>
        </w:rPr>
        <w:t>consumer</w:t>
      </w:r>
      <w:r>
        <w:rPr>
          <w:spacing w:val="-8"/>
          <w:w w:val="105"/>
          <w:sz w:val="16"/>
        </w:rPr>
        <w:t> </w:t>
      </w:r>
      <w:r>
        <w:rPr>
          <w:w w:val="105"/>
          <w:sz w:val="16"/>
        </w:rPr>
        <w:t>demand,</w:t>
      </w:r>
      <w:r>
        <w:rPr>
          <w:spacing w:val="-8"/>
          <w:w w:val="105"/>
          <w:sz w:val="16"/>
        </w:rPr>
        <w:t> </w:t>
      </w:r>
      <w:r>
        <w:rPr>
          <w:w w:val="105"/>
          <w:sz w:val="16"/>
        </w:rPr>
        <w:t>and</w:t>
      </w:r>
      <w:r>
        <w:rPr>
          <w:spacing w:val="-8"/>
          <w:w w:val="105"/>
          <w:sz w:val="16"/>
        </w:rPr>
        <w:t> </w:t>
      </w:r>
      <w:r>
        <w:rPr>
          <w:w w:val="105"/>
          <w:sz w:val="16"/>
        </w:rPr>
        <w:t>the</w:t>
      </w:r>
      <w:r>
        <w:rPr>
          <w:spacing w:val="-6"/>
          <w:w w:val="105"/>
          <w:sz w:val="16"/>
        </w:rPr>
        <w:t> </w:t>
      </w:r>
      <w:r>
        <w:rPr>
          <w:w w:val="105"/>
          <w:sz w:val="16"/>
        </w:rPr>
        <w:t>impact</w:t>
      </w:r>
      <w:r>
        <w:rPr>
          <w:spacing w:val="-8"/>
          <w:w w:val="105"/>
          <w:sz w:val="16"/>
        </w:rPr>
        <w:t> </w:t>
      </w:r>
      <w:r>
        <w:rPr>
          <w:w w:val="105"/>
          <w:sz w:val="16"/>
        </w:rPr>
        <w:t>of</w:t>
      </w:r>
      <w:r>
        <w:rPr>
          <w:spacing w:val="-8"/>
          <w:w w:val="105"/>
          <w:sz w:val="16"/>
        </w:rPr>
        <w:t> </w:t>
      </w:r>
      <w:r>
        <w:rPr>
          <w:w w:val="105"/>
          <w:sz w:val="16"/>
        </w:rPr>
        <w:t>such changes and volatility on our financial position and businesses;</w:t>
      </w:r>
    </w:p>
    <w:p>
      <w:pPr>
        <w:pStyle w:val="ListParagraph"/>
        <w:numPr>
          <w:ilvl w:val="0"/>
          <w:numId w:val="18"/>
        </w:numPr>
        <w:tabs>
          <w:tab w:pos="461" w:val="left" w:leader="none"/>
        </w:tabs>
        <w:spacing w:line="182" w:lineRule="exact" w:before="0" w:after="0"/>
        <w:ind w:left="461" w:right="0" w:hanging="305"/>
        <w:jc w:val="left"/>
        <w:rPr>
          <w:sz w:val="16"/>
        </w:rPr>
      </w:pPr>
      <w:r>
        <w:rPr>
          <w:w w:val="105"/>
          <w:sz w:val="16"/>
        </w:rPr>
        <w:t>product</w:t>
      </w:r>
      <w:r>
        <w:rPr>
          <w:spacing w:val="-10"/>
          <w:w w:val="105"/>
          <w:sz w:val="16"/>
        </w:rPr>
        <w:t> </w:t>
      </w:r>
      <w:r>
        <w:rPr>
          <w:w w:val="105"/>
          <w:sz w:val="16"/>
        </w:rPr>
        <w:t>demand</w:t>
      </w:r>
      <w:r>
        <w:rPr>
          <w:spacing w:val="-10"/>
          <w:w w:val="105"/>
          <w:sz w:val="16"/>
        </w:rPr>
        <w:t> </w:t>
      </w:r>
      <w:r>
        <w:rPr>
          <w:w w:val="105"/>
          <w:sz w:val="16"/>
        </w:rPr>
        <w:t>and</w:t>
      </w:r>
      <w:r>
        <w:rPr>
          <w:spacing w:val="-10"/>
          <w:w w:val="105"/>
          <w:sz w:val="16"/>
        </w:rPr>
        <w:t> </w:t>
      </w:r>
      <w:r>
        <w:rPr>
          <w:w w:val="105"/>
          <w:sz w:val="16"/>
        </w:rPr>
        <w:t>industry</w:t>
      </w:r>
      <w:r>
        <w:rPr>
          <w:spacing w:val="-10"/>
          <w:w w:val="105"/>
          <w:sz w:val="16"/>
        </w:rPr>
        <w:t> </w:t>
      </w:r>
      <w:r>
        <w:rPr>
          <w:spacing w:val="-2"/>
          <w:w w:val="105"/>
          <w:sz w:val="16"/>
        </w:rPr>
        <w:t>capacity;</w:t>
      </w:r>
    </w:p>
    <w:p>
      <w:pPr>
        <w:pStyle w:val="ListParagraph"/>
        <w:numPr>
          <w:ilvl w:val="0"/>
          <w:numId w:val="18"/>
        </w:numPr>
        <w:tabs>
          <w:tab w:pos="461" w:val="left" w:leader="none"/>
        </w:tabs>
        <w:spacing w:line="240" w:lineRule="auto" w:before="19" w:after="0"/>
        <w:ind w:left="461" w:right="0" w:hanging="305"/>
        <w:jc w:val="left"/>
        <w:rPr>
          <w:sz w:val="16"/>
        </w:rPr>
      </w:pPr>
      <w:r>
        <w:rPr>
          <w:sz w:val="16"/>
        </w:rPr>
        <w:t>competitive</w:t>
      </w:r>
      <w:r>
        <w:rPr>
          <w:spacing w:val="14"/>
          <w:sz w:val="16"/>
        </w:rPr>
        <w:t> </w:t>
      </w:r>
      <w:r>
        <w:rPr>
          <w:sz w:val="16"/>
        </w:rPr>
        <w:t>products</w:t>
      </w:r>
      <w:r>
        <w:rPr>
          <w:spacing w:val="14"/>
          <w:sz w:val="16"/>
        </w:rPr>
        <w:t> </w:t>
      </w:r>
      <w:r>
        <w:rPr>
          <w:sz w:val="16"/>
        </w:rPr>
        <w:t>and</w:t>
      </w:r>
      <w:r>
        <w:rPr>
          <w:spacing w:val="14"/>
          <w:sz w:val="16"/>
        </w:rPr>
        <w:t> </w:t>
      </w:r>
      <w:r>
        <w:rPr>
          <w:spacing w:val="-2"/>
          <w:sz w:val="16"/>
        </w:rPr>
        <w:t>pricing;</w:t>
      </w:r>
    </w:p>
    <w:p>
      <w:pPr>
        <w:pStyle w:val="ListParagraph"/>
        <w:numPr>
          <w:ilvl w:val="0"/>
          <w:numId w:val="18"/>
        </w:numPr>
        <w:tabs>
          <w:tab w:pos="461" w:val="left" w:leader="none"/>
        </w:tabs>
        <w:spacing w:line="240" w:lineRule="auto" w:before="19" w:after="0"/>
        <w:ind w:left="461" w:right="0" w:hanging="305"/>
        <w:jc w:val="left"/>
        <w:rPr>
          <w:sz w:val="16"/>
        </w:rPr>
      </w:pPr>
      <w:r>
        <w:rPr>
          <w:sz w:val="16"/>
        </w:rPr>
        <w:t>availability</w:t>
      </w:r>
      <w:r>
        <w:rPr>
          <w:spacing w:val="15"/>
          <w:sz w:val="16"/>
        </w:rPr>
        <w:t> </w:t>
      </w:r>
      <w:r>
        <w:rPr>
          <w:sz w:val="16"/>
        </w:rPr>
        <w:t>and</w:t>
      </w:r>
      <w:r>
        <w:rPr>
          <w:spacing w:val="15"/>
          <w:sz w:val="16"/>
        </w:rPr>
        <w:t> </w:t>
      </w:r>
      <w:r>
        <w:rPr>
          <w:sz w:val="16"/>
        </w:rPr>
        <w:t>costs</w:t>
      </w:r>
      <w:r>
        <w:rPr>
          <w:spacing w:val="16"/>
          <w:sz w:val="16"/>
        </w:rPr>
        <w:t> </w:t>
      </w:r>
      <w:r>
        <w:rPr>
          <w:sz w:val="16"/>
        </w:rPr>
        <w:t>of</w:t>
      </w:r>
      <w:r>
        <w:rPr>
          <w:spacing w:val="12"/>
          <w:sz w:val="16"/>
        </w:rPr>
        <w:t> </w:t>
      </w:r>
      <w:r>
        <w:rPr>
          <w:sz w:val="16"/>
        </w:rPr>
        <w:t>critical</w:t>
      </w:r>
      <w:r>
        <w:rPr>
          <w:spacing w:val="16"/>
          <w:sz w:val="16"/>
        </w:rPr>
        <w:t> </w:t>
      </w:r>
      <w:r>
        <w:rPr>
          <w:sz w:val="16"/>
        </w:rPr>
        <w:t>components,</w:t>
      </w:r>
      <w:r>
        <w:rPr>
          <w:spacing w:val="15"/>
          <w:sz w:val="16"/>
        </w:rPr>
        <w:t> </w:t>
      </w:r>
      <w:r>
        <w:rPr>
          <w:sz w:val="16"/>
        </w:rPr>
        <w:t>materials,</w:t>
      </w:r>
      <w:r>
        <w:rPr>
          <w:spacing w:val="15"/>
          <w:sz w:val="16"/>
        </w:rPr>
        <w:t> </w:t>
      </w:r>
      <w:r>
        <w:rPr>
          <w:sz w:val="16"/>
        </w:rPr>
        <w:t>equipment,</w:t>
      </w:r>
      <w:r>
        <w:rPr>
          <w:spacing w:val="16"/>
          <w:sz w:val="16"/>
        </w:rPr>
        <w:t> </w:t>
      </w:r>
      <w:r>
        <w:rPr>
          <w:sz w:val="16"/>
        </w:rPr>
        <w:t>natural</w:t>
      </w:r>
      <w:r>
        <w:rPr>
          <w:spacing w:val="15"/>
          <w:sz w:val="16"/>
        </w:rPr>
        <w:t> </w:t>
      </w:r>
      <w:r>
        <w:rPr>
          <w:sz w:val="16"/>
        </w:rPr>
        <w:t>resources</w:t>
      </w:r>
      <w:r>
        <w:rPr>
          <w:spacing w:val="13"/>
          <w:sz w:val="16"/>
        </w:rPr>
        <w:t> </w:t>
      </w:r>
      <w:r>
        <w:rPr>
          <w:sz w:val="16"/>
        </w:rPr>
        <w:t>and</w:t>
      </w:r>
      <w:r>
        <w:rPr>
          <w:spacing w:val="15"/>
          <w:sz w:val="16"/>
        </w:rPr>
        <w:t> </w:t>
      </w:r>
      <w:r>
        <w:rPr>
          <w:spacing w:val="-2"/>
          <w:sz w:val="16"/>
        </w:rPr>
        <w:t>utilities;</w:t>
      </w:r>
    </w:p>
    <w:p>
      <w:pPr>
        <w:pStyle w:val="ListParagraph"/>
        <w:numPr>
          <w:ilvl w:val="0"/>
          <w:numId w:val="18"/>
        </w:numPr>
        <w:tabs>
          <w:tab w:pos="461" w:val="left" w:leader="none"/>
        </w:tabs>
        <w:spacing w:line="240" w:lineRule="auto" w:before="20" w:after="0"/>
        <w:ind w:left="461" w:right="0" w:hanging="305"/>
        <w:jc w:val="left"/>
        <w:rPr>
          <w:sz w:val="16"/>
        </w:rPr>
      </w:pPr>
      <w:r>
        <w:rPr>
          <w:spacing w:val="-2"/>
          <w:w w:val="105"/>
          <w:sz w:val="16"/>
        </w:rPr>
        <w:t>new</w:t>
      </w:r>
      <w:r>
        <w:rPr>
          <w:spacing w:val="1"/>
          <w:w w:val="105"/>
          <w:sz w:val="16"/>
        </w:rPr>
        <w:t> </w:t>
      </w:r>
      <w:r>
        <w:rPr>
          <w:spacing w:val="-2"/>
          <w:w w:val="105"/>
          <w:sz w:val="16"/>
        </w:rPr>
        <w:t>product</w:t>
      </w:r>
      <w:r>
        <w:rPr>
          <w:spacing w:val="1"/>
          <w:w w:val="105"/>
          <w:sz w:val="16"/>
        </w:rPr>
        <w:t> </w:t>
      </w:r>
      <w:r>
        <w:rPr>
          <w:spacing w:val="-2"/>
          <w:w w:val="105"/>
          <w:sz w:val="16"/>
        </w:rPr>
        <w:t>development</w:t>
      </w:r>
      <w:r>
        <w:rPr>
          <w:spacing w:val="2"/>
          <w:w w:val="105"/>
          <w:sz w:val="16"/>
        </w:rPr>
        <w:t> </w:t>
      </w:r>
      <w:r>
        <w:rPr>
          <w:spacing w:val="-2"/>
          <w:w w:val="105"/>
          <w:sz w:val="16"/>
        </w:rPr>
        <w:t>and</w:t>
      </w:r>
      <w:r>
        <w:rPr>
          <w:spacing w:val="1"/>
          <w:w w:val="105"/>
          <w:sz w:val="16"/>
        </w:rPr>
        <w:t> </w:t>
      </w:r>
      <w:r>
        <w:rPr>
          <w:spacing w:val="-2"/>
          <w:w w:val="105"/>
          <w:sz w:val="16"/>
        </w:rPr>
        <w:t>commercialization;</w:t>
      </w:r>
    </w:p>
    <w:p>
      <w:pPr>
        <w:pStyle w:val="ListParagraph"/>
        <w:numPr>
          <w:ilvl w:val="0"/>
          <w:numId w:val="18"/>
        </w:numPr>
        <w:tabs>
          <w:tab w:pos="461" w:val="left" w:leader="none"/>
        </w:tabs>
        <w:spacing w:line="240" w:lineRule="auto" w:before="20" w:after="0"/>
        <w:ind w:left="461" w:right="0" w:hanging="305"/>
        <w:jc w:val="left"/>
        <w:rPr>
          <w:sz w:val="16"/>
        </w:rPr>
      </w:pPr>
      <w:r>
        <w:rPr>
          <w:w w:val="105"/>
          <w:sz w:val="16"/>
        </w:rPr>
        <w:t>order</w:t>
      </w:r>
      <w:r>
        <w:rPr>
          <w:spacing w:val="-9"/>
          <w:w w:val="105"/>
          <w:sz w:val="16"/>
        </w:rPr>
        <w:t> </w:t>
      </w:r>
      <w:r>
        <w:rPr>
          <w:w w:val="105"/>
          <w:sz w:val="16"/>
        </w:rPr>
        <w:t>activity</w:t>
      </w:r>
      <w:r>
        <w:rPr>
          <w:spacing w:val="-8"/>
          <w:w w:val="105"/>
          <w:sz w:val="16"/>
        </w:rPr>
        <w:t> </w:t>
      </w:r>
      <w:r>
        <w:rPr>
          <w:w w:val="105"/>
          <w:sz w:val="16"/>
        </w:rPr>
        <w:t>and</w:t>
      </w:r>
      <w:r>
        <w:rPr>
          <w:spacing w:val="-8"/>
          <w:w w:val="105"/>
          <w:sz w:val="16"/>
        </w:rPr>
        <w:t> </w:t>
      </w:r>
      <w:r>
        <w:rPr>
          <w:w w:val="105"/>
          <w:sz w:val="16"/>
        </w:rPr>
        <w:t>demand</w:t>
      </w:r>
      <w:r>
        <w:rPr>
          <w:spacing w:val="-8"/>
          <w:w w:val="105"/>
          <w:sz w:val="16"/>
        </w:rPr>
        <w:t> </w:t>
      </w:r>
      <w:r>
        <w:rPr>
          <w:w w:val="105"/>
          <w:sz w:val="16"/>
        </w:rPr>
        <w:t>from</w:t>
      </w:r>
      <w:r>
        <w:rPr>
          <w:spacing w:val="-8"/>
          <w:w w:val="105"/>
          <w:sz w:val="16"/>
        </w:rPr>
        <w:t> </w:t>
      </w:r>
      <w:r>
        <w:rPr>
          <w:w w:val="105"/>
          <w:sz w:val="16"/>
        </w:rPr>
        <w:t>major</w:t>
      </w:r>
      <w:r>
        <w:rPr>
          <w:spacing w:val="-8"/>
          <w:w w:val="105"/>
          <w:sz w:val="16"/>
        </w:rPr>
        <w:t> </w:t>
      </w:r>
      <w:r>
        <w:rPr>
          <w:spacing w:val="-2"/>
          <w:w w:val="105"/>
          <w:sz w:val="16"/>
        </w:rPr>
        <w:t>customers;</w:t>
      </w:r>
    </w:p>
    <w:p>
      <w:pPr>
        <w:pStyle w:val="ListParagraph"/>
        <w:numPr>
          <w:ilvl w:val="0"/>
          <w:numId w:val="18"/>
        </w:numPr>
        <w:tabs>
          <w:tab w:pos="462" w:val="left" w:leader="none"/>
        </w:tabs>
        <w:spacing w:line="266" w:lineRule="auto" w:before="20" w:after="0"/>
        <w:ind w:left="462" w:right="732" w:hanging="306"/>
        <w:jc w:val="left"/>
        <w:rPr>
          <w:sz w:val="16"/>
        </w:rPr>
      </w:pPr>
      <w:r>
        <w:rPr>
          <w:w w:val="105"/>
          <w:sz w:val="16"/>
        </w:rPr>
        <w:t>the</w:t>
      </w:r>
      <w:r>
        <w:rPr>
          <w:spacing w:val="-7"/>
          <w:w w:val="105"/>
          <w:sz w:val="16"/>
        </w:rPr>
        <w:t> </w:t>
      </w:r>
      <w:r>
        <w:rPr>
          <w:w w:val="105"/>
          <w:sz w:val="16"/>
        </w:rPr>
        <w:t>amount</w:t>
      </w:r>
      <w:r>
        <w:rPr>
          <w:spacing w:val="-7"/>
          <w:w w:val="105"/>
          <w:sz w:val="16"/>
        </w:rPr>
        <w:t> </w:t>
      </w:r>
      <w:r>
        <w:rPr>
          <w:w w:val="105"/>
          <w:sz w:val="16"/>
        </w:rPr>
        <w:t>and</w:t>
      </w:r>
      <w:r>
        <w:rPr>
          <w:spacing w:val="-7"/>
          <w:w w:val="105"/>
          <w:sz w:val="16"/>
        </w:rPr>
        <w:t> </w:t>
      </w:r>
      <w:r>
        <w:rPr>
          <w:w w:val="105"/>
          <w:sz w:val="16"/>
        </w:rPr>
        <w:t>timing</w:t>
      </w:r>
      <w:r>
        <w:rPr>
          <w:spacing w:val="-7"/>
          <w:w w:val="105"/>
          <w:sz w:val="16"/>
        </w:rPr>
        <w:t> </w:t>
      </w:r>
      <w:r>
        <w:rPr>
          <w:w w:val="105"/>
          <w:sz w:val="16"/>
        </w:rPr>
        <w:t>of</w:t>
      </w:r>
      <w:r>
        <w:rPr>
          <w:spacing w:val="-7"/>
          <w:w w:val="105"/>
          <w:sz w:val="16"/>
        </w:rPr>
        <w:t> </w:t>
      </w:r>
      <w:r>
        <w:rPr>
          <w:w w:val="105"/>
          <w:sz w:val="16"/>
        </w:rPr>
        <w:t>our</w:t>
      </w:r>
      <w:r>
        <w:rPr>
          <w:spacing w:val="-5"/>
          <w:w w:val="105"/>
          <w:sz w:val="16"/>
        </w:rPr>
        <w:t> </w:t>
      </w:r>
      <w:r>
        <w:rPr>
          <w:w w:val="105"/>
          <w:sz w:val="16"/>
        </w:rPr>
        <w:t>cash</w:t>
      </w:r>
      <w:r>
        <w:rPr>
          <w:spacing w:val="-7"/>
          <w:w w:val="105"/>
          <w:sz w:val="16"/>
        </w:rPr>
        <w:t> </w:t>
      </w:r>
      <w:r>
        <w:rPr>
          <w:w w:val="105"/>
          <w:sz w:val="16"/>
        </w:rPr>
        <w:t>flows</w:t>
      </w:r>
      <w:r>
        <w:rPr>
          <w:spacing w:val="-7"/>
          <w:w w:val="105"/>
          <w:sz w:val="16"/>
        </w:rPr>
        <w:t> </w:t>
      </w:r>
      <w:r>
        <w:rPr>
          <w:w w:val="105"/>
          <w:sz w:val="16"/>
        </w:rPr>
        <w:t>and</w:t>
      </w:r>
      <w:r>
        <w:rPr>
          <w:spacing w:val="-7"/>
          <w:w w:val="105"/>
          <w:sz w:val="16"/>
        </w:rPr>
        <w:t> </w:t>
      </w:r>
      <w:r>
        <w:rPr>
          <w:w w:val="105"/>
          <w:sz w:val="16"/>
        </w:rPr>
        <w:t>earnings</w:t>
      </w:r>
      <w:r>
        <w:rPr>
          <w:spacing w:val="-7"/>
          <w:w w:val="105"/>
          <w:sz w:val="16"/>
        </w:rPr>
        <w:t> </w:t>
      </w:r>
      <w:r>
        <w:rPr>
          <w:w w:val="105"/>
          <w:sz w:val="16"/>
        </w:rPr>
        <w:t>and</w:t>
      </w:r>
      <w:r>
        <w:rPr>
          <w:spacing w:val="-7"/>
          <w:w w:val="105"/>
          <w:sz w:val="16"/>
        </w:rPr>
        <w:t> </w:t>
      </w:r>
      <w:r>
        <w:rPr>
          <w:w w:val="105"/>
          <w:sz w:val="16"/>
        </w:rPr>
        <w:t>other</w:t>
      </w:r>
      <w:r>
        <w:rPr>
          <w:spacing w:val="-7"/>
          <w:w w:val="105"/>
          <w:sz w:val="16"/>
        </w:rPr>
        <w:t> </w:t>
      </w:r>
      <w:r>
        <w:rPr>
          <w:w w:val="105"/>
          <w:sz w:val="16"/>
        </w:rPr>
        <w:t>conditions,</w:t>
      </w:r>
      <w:r>
        <w:rPr>
          <w:spacing w:val="-7"/>
          <w:w w:val="105"/>
          <w:sz w:val="16"/>
        </w:rPr>
        <w:t> </w:t>
      </w:r>
      <w:r>
        <w:rPr>
          <w:w w:val="105"/>
          <w:sz w:val="16"/>
        </w:rPr>
        <w:t>which</w:t>
      </w:r>
      <w:r>
        <w:rPr>
          <w:spacing w:val="-7"/>
          <w:w w:val="105"/>
          <w:sz w:val="16"/>
        </w:rPr>
        <w:t> </w:t>
      </w:r>
      <w:r>
        <w:rPr>
          <w:w w:val="105"/>
          <w:sz w:val="16"/>
        </w:rPr>
        <w:t>may</w:t>
      </w:r>
      <w:r>
        <w:rPr>
          <w:spacing w:val="-7"/>
          <w:w w:val="105"/>
          <w:sz w:val="16"/>
        </w:rPr>
        <w:t> </w:t>
      </w:r>
      <w:r>
        <w:rPr>
          <w:w w:val="105"/>
          <w:sz w:val="16"/>
        </w:rPr>
        <w:t>affect</w:t>
      </w:r>
      <w:r>
        <w:rPr>
          <w:spacing w:val="-7"/>
          <w:w w:val="105"/>
          <w:sz w:val="16"/>
        </w:rPr>
        <w:t> </w:t>
      </w:r>
      <w:r>
        <w:rPr>
          <w:w w:val="105"/>
          <w:sz w:val="16"/>
        </w:rPr>
        <w:t>our</w:t>
      </w:r>
      <w:r>
        <w:rPr>
          <w:spacing w:val="-5"/>
          <w:w w:val="105"/>
          <w:sz w:val="16"/>
        </w:rPr>
        <w:t> </w:t>
      </w:r>
      <w:r>
        <w:rPr>
          <w:w w:val="105"/>
          <w:sz w:val="16"/>
        </w:rPr>
        <w:t>ability</w:t>
      </w:r>
      <w:r>
        <w:rPr>
          <w:spacing w:val="-7"/>
          <w:w w:val="105"/>
          <w:sz w:val="16"/>
        </w:rPr>
        <w:t> </w:t>
      </w:r>
      <w:r>
        <w:rPr>
          <w:w w:val="105"/>
          <w:sz w:val="16"/>
        </w:rPr>
        <w:t>to</w:t>
      </w:r>
      <w:r>
        <w:rPr>
          <w:spacing w:val="-7"/>
          <w:w w:val="105"/>
          <w:sz w:val="16"/>
        </w:rPr>
        <w:t> </w:t>
      </w:r>
      <w:r>
        <w:rPr>
          <w:w w:val="105"/>
          <w:sz w:val="16"/>
        </w:rPr>
        <w:t>pay</w:t>
      </w:r>
      <w:r>
        <w:rPr>
          <w:spacing w:val="-7"/>
          <w:w w:val="105"/>
          <w:sz w:val="16"/>
        </w:rPr>
        <w:t> </w:t>
      </w:r>
      <w:r>
        <w:rPr>
          <w:w w:val="105"/>
          <w:sz w:val="16"/>
        </w:rPr>
        <w:t>our</w:t>
      </w:r>
      <w:r>
        <w:rPr>
          <w:spacing w:val="-7"/>
          <w:w w:val="105"/>
          <w:sz w:val="16"/>
        </w:rPr>
        <w:t> </w:t>
      </w:r>
      <w:r>
        <w:rPr>
          <w:w w:val="105"/>
          <w:sz w:val="16"/>
        </w:rPr>
        <w:t>quarterly</w:t>
      </w:r>
      <w:r>
        <w:rPr>
          <w:spacing w:val="-7"/>
          <w:w w:val="105"/>
          <w:sz w:val="16"/>
        </w:rPr>
        <w:t> </w:t>
      </w:r>
      <w:r>
        <w:rPr>
          <w:w w:val="105"/>
          <w:sz w:val="16"/>
        </w:rPr>
        <w:t>dividend</w:t>
      </w:r>
      <w:r>
        <w:rPr>
          <w:spacing w:val="-7"/>
          <w:w w:val="105"/>
          <w:sz w:val="16"/>
        </w:rPr>
        <w:t> </w:t>
      </w:r>
      <w:r>
        <w:rPr>
          <w:w w:val="105"/>
          <w:sz w:val="16"/>
        </w:rPr>
        <w:t>at</w:t>
      </w:r>
      <w:r>
        <w:rPr>
          <w:spacing w:val="-7"/>
          <w:w w:val="105"/>
          <w:sz w:val="16"/>
        </w:rPr>
        <w:t> </w:t>
      </w:r>
      <w:r>
        <w:rPr>
          <w:w w:val="105"/>
          <w:sz w:val="16"/>
        </w:rPr>
        <w:t>the</w:t>
      </w:r>
      <w:r>
        <w:rPr>
          <w:spacing w:val="-7"/>
          <w:w w:val="105"/>
          <w:sz w:val="16"/>
        </w:rPr>
        <w:t> </w:t>
      </w:r>
      <w:r>
        <w:rPr>
          <w:w w:val="105"/>
          <w:sz w:val="16"/>
        </w:rPr>
        <w:t>planned</w:t>
      </w:r>
      <w:r>
        <w:rPr>
          <w:spacing w:val="-7"/>
          <w:w w:val="105"/>
          <w:sz w:val="16"/>
        </w:rPr>
        <w:t> </w:t>
      </w:r>
      <w:r>
        <w:rPr>
          <w:w w:val="105"/>
          <w:sz w:val="16"/>
        </w:rPr>
        <w:t>level</w:t>
      </w:r>
      <w:r>
        <w:rPr>
          <w:spacing w:val="-7"/>
          <w:w w:val="105"/>
          <w:sz w:val="16"/>
        </w:rPr>
        <w:t> </w:t>
      </w:r>
      <w:r>
        <w:rPr>
          <w:w w:val="105"/>
          <w:sz w:val="16"/>
        </w:rPr>
        <w:t>or</w:t>
      </w:r>
      <w:r>
        <w:rPr>
          <w:spacing w:val="-7"/>
          <w:w w:val="105"/>
          <w:sz w:val="16"/>
        </w:rPr>
        <w:t> </w:t>
      </w:r>
      <w:r>
        <w:rPr>
          <w:w w:val="105"/>
          <w:sz w:val="16"/>
        </w:rPr>
        <w:t>to repurchase shares at planned levels;</w:t>
      </w:r>
    </w:p>
    <w:p>
      <w:pPr>
        <w:pStyle w:val="ListParagraph"/>
        <w:numPr>
          <w:ilvl w:val="0"/>
          <w:numId w:val="18"/>
        </w:numPr>
        <w:tabs>
          <w:tab w:pos="462" w:val="left" w:leader="none"/>
        </w:tabs>
        <w:spacing w:line="266" w:lineRule="auto" w:before="0" w:after="0"/>
        <w:ind w:left="462" w:right="261" w:hanging="306"/>
        <w:jc w:val="left"/>
        <w:rPr>
          <w:sz w:val="16"/>
        </w:rPr>
      </w:pPr>
      <w:r>
        <w:rPr>
          <w:w w:val="105"/>
          <w:sz w:val="16"/>
        </w:rPr>
        <w:t>possible</w:t>
      </w:r>
      <w:r>
        <w:rPr>
          <w:spacing w:val="-9"/>
          <w:w w:val="105"/>
          <w:sz w:val="16"/>
        </w:rPr>
        <w:t> </w:t>
      </w:r>
      <w:r>
        <w:rPr>
          <w:w w:val="105"/>
          <w:sz w:val="16"/>
        </w:rPr>
        <w:t>disruption</w:t>
      </w:r>
      <w:r>
        <w:rPr>
          <w:spacing w:val="-10"/>
          <w:w w:val="105"/>
          <w:sz w:val="16"/>
        </w:rPr>
        <w:t> </w:t>
      </w:r>
      <w:r>
        <w:rPr>
          <w:w w:val="105"/>
          <w:sz w:val="16"/>
        </w:rPr>
        <w:t>in</w:t>
      </w:r>
      <w:r>
        <w:rPr>
          <w:spacing w:val="-9"/>
          <w:w w:val="105"/>
          <w:sz w:val="16"/>
        </w:rPr>
        <w:t> </w:t>
      </w:r>
      <w:r>
        <w:rPr>
          <w:w w:val="105"/>
          <w:sz w:val="16"/>
        </w:rPr>
        <w:t>commercial</w:t>
      </w:r>
      <w:r>
        <w:rPr>
          <w:spacing w:val="-9"/>
          <w:w w:val="105"/>
          <w:sz w:val="16"/>
        </w:rPr>
        <w:t> </w:t>
      </w:r>
      <w:r>
        <w:rPr>
          <w:w w:val="105"/>
          <w:sz w:val="16"/>
        </w:rPr>
        <w:t>activities</w:t>
      </w:r>
      <w:r>
        <w:rPr>
          <w:spacing w:val="-9"/>
          <w:w w:val="105"/>
          <w:sz w:val="16"/>
        </w:rPr>
        <w:t> </w:t>
      </w:r>
      <w:r>
        <w:rPr>
          <w:w w:val="105"/>
          <w:sz w:val="16"/>
        </w:rPr>
        <w:t>or</w:t>
      </w:r>
      <w:r>
        <w:rPr>
          <w:spacing w:val="-9"/>
          <w:w w:val="105"/>
          <w:sz w:val="16"/>
        </w:rPr>
        <w:t> </w:t>
      </w:r>
      <w:r>
        <w:rPr>
          <w:w w:val="105"/>
          <w:sz w:val="16"/>
        </w:rPr>
        <w:t>our</w:t>
      </w:r>
      <w:r>
        <w:rPr>
          <w:spacing w:val="-10"/>
          <w:w w:val="105"/>
          <w:sz w:val="16"/>
        </w:rPr>
        <w:t> </w:t>
      </w:r>
      <w:r>
        <w:rPr>
          <w:w w:val="105"/>
          <w:sz w:val="16"/>
        </w:rPr>
        <w:t>supply</w:t>
      </w:r>
      <w:r>
        <w:rPr>
          <w:spacing w:val="-9"/>
          <w:w w:val="105"/>
          <w:sz w:val="16"/>
        </w:rPr>
        <w:t> </w:t>
      </w:r>
      <w:r>
        <w:rPr>
          <w:w w:val="105"/>
          <w:sz w:val="16"/>
        </w:rPr>
        <w:t>chain</w:t>
      </w:r>
      <w:r>
        <w:rPr>
          <w:spacing w:val="-9"/>
          <w:w w:val="105"/>
          <w:sz w:val="16"/>
        </w:rPr>
        <w:t> </w:t>
      </w:r>
      <w:r>
        <w:rPr>
          <w:w w:val="105"/>
          <w:sz w:val="16"/>
        </w:rPr>
        <w:t>due</w:t>
      </w:r>
      <w:r>
        <w:rPr>
          <w:spacing w:val="-9"/>
          <w:w w:val="105"/>
          <w:sz w:val="16"/>
        </w:rPr>
        <w:t> </w:t>
      </w:r>
      <w:r>
        <w:rPr>
          <w:w w:val="105"/>
          <w:sz w:val="16"/>
        </w:rPr>
        <w:t>to</w:t>
      </w:r>
      <w:r>
        <w:rPr>
          <w:spacing w:val="-10"/>
          <w:w w:val="105"/>
          <w:sz w:val="16"/>
        </w:rPr>
        <w:t> </w:t>
      </w:r>
      <w:r>
        <w:rPr>
          <w:w w:val="105"/>
          <w:sz w:val="16"/>
        </w:rPr>
        <w:t>terrorist</w:t>
      </w:r>
      <w:r>
        <w:rPr>
          <w:spacing w:val="-9"/>
          <w:w w:val="105"/>
          <w:sz w:val="16"/>
        </w:rPr>
        <w:t> </w:t>
      </w:r>
      <w:r>
        <w:rPr>
          <w:w w:val="105"/>
          <w:sz w:val="16"/>
        </w:rPr>
        <w:t>activity,</w:t>
      </w:r>
      <w:r>
        <w:rPr>
          <w:spacing w:val="-9"/>
          <w:w w:val="105"/>
          <w:sz w:val="16"/>
        </w:rPr>
        <w:t> </w:t>
      </w:r>
      <w:r>
        <w:rPr>
          <w:w w:val="105"/>
          <w:sz w:val="16"/>
        </w:rPr>
        <w:t>cyber-attack,</w:t>
      </w:r>
      <w:r>
        <w:rPr>
          <w:spacing w:val="-9"/>
          <w:w w:val="105"/>
          <w:sz w:val="16"/>
        </w:rPr>
        <w:t> </w:t>
      </w:r>
      <w:r>
        <w:rPr>
          <w:w w:val="105"/>
          <w:sz w:val="16"/>
        </w:rPr>
        <w:t>armed</w:t>
      </w:r>
      <w:r>
        <w:rPr>
          <w:spacing w:val="-9"/>
          <w:w w:val="105"/>
          <w:sz w:val="16"/>
        </w:rPr>
        <w:t> </w:t>
      </w:r>
      <w:r>
        <w:rPr>
          <w:w w:val="105"/>
          <w:sz w:val="16"/>
        </w:rPr>
        <w:t>conflict,</w:t>
      </w:r>
      <w:r>
        <w:rPr>
          <w:spacing w:val="-9"/>
          <w:w w:val="105"/>
          <w:sz w:val="16"/>
        </w:rPr>
        <w:t> </w:t>
      </w:r>
      <w:r>
        <w:rPr>
          <w:w w:val="105"/>
          <w:sz w:val="16"/>
        </w:rPr>
        <w:t>political</w:t>
      </w:r>
      <w:r>
        <w:rPr>
          <w:spacing w:val="-9"/>
          <w:w w:val="105"/>
          <w:sz w:val="16"/>
        </w:rPr>
        <w:t> </w:t>
      </w:r>
      <w:r>
        <w:rPr>
          <w:w w:val="105"/>
          <w:sz w:val="16"/>
        </w:rPr>
        <w:t>or</w:t>
      </w:r>
      <w:r>
        <w:rPr>
          <w:spacing w:val="-9"/>
          <w:w w:val="105"/>
          <w:sz w:val="16"/>
        </w:rPr>
        <w:t> </w:t>
      </w:r>
      <w:r>
        <w:rPr>
          <w:w w:val="105"/>
          <w:sz w:val="16"/>
        </w:rPr>
        <w:t>financial</w:t>
      </w:r>
      <w:r>
        <w:rPr>
          <w:spacing w:val="-10"/>
          <w:w w:val="105"/>
          <w:sz w:val="16"/>
        </w:rPr>
        <w:t> </w:t>
      </w:r>
      <w:r>
        <w:rPr>
          <w:w w:val="105"/>
          <w:sz w:val="16"/>
        </w:rPr>
        <w:t>instability,</w:t>
      </w:r>
      <w:r>
        <w:rPr>
          <w:spacing w:val="-9"/>
          <w:w w:val="105"/>
          <w:sz w:val="16"/>
        </w:rPr>
        <w:t> </w:t>
      </w:r>
      <w:r>
        <w:rPr>
          <w:w w:val="105"/>
          <w:sz w:val="16"/>
        </w:rPr>
        <w:t>natural</w:t>
      </w:r>
      <w:r>
        <w:rPr>
          <w:spacing w:val="-9"/>
          <w:w w:val="105"/>
          <w:sz w:val="16"/>
        </w:rPr>
        <w:t> </w:t>
      </w:r>
      <w:r>
        <w:rPr>
          <w:w w:val="105"/>
          <w:sz w:val="16"/>
        </w:rPr>
        <w:t>disasters, international trade disputes or major health concerns;</w:t>
      </w:r>
    </w:p>
    <w:p>
      <w:pPr>
        <w:pStyle w:val="ListParagraph"/>
        <w:numPr>
          <w:ilvl w:val="0"/>
          <w:numId w:val="18"/>
        </w:numPr>
        <w:tabs>
          <w:tab w:pos="461" w:val="left" w:leader="none"/>
        </w:tabs>
        <w:spacing w:line="183" w:lineRule="exact" w:before="0" w:after="0"/>
        <w:ind w:left="461" w:right="0" w:hanging="305"/>
        <w:jc w:val="left"/>
        <w:rPr>
          <w:sz w:val="16"/>
        </w:rPr>
      </w:pPr>
      <w:r>
        <w:rPr>
          <w:w w:val="105"/>
          <w:sz w:val="16"/>
        </w:rPr>
        <w:t>loss</w:t>
      </w:r>
      <w:r>
        <w:rPr>
          <w:spacing w:val="-10"/>
          <w:w w:val="105"/>
          <w:sz w:val="16"/>
        </w:rPr>
        <w:t> </w:t>
      </w:r>
      <w:r>
        <w:rPr>
          <w:w w:val="105"/>
          <w:sz w:val="16"/>
        </w:rPr>
        <w:t>of</w:t>
      </w:r>
      <w:r>
        <w:rPr>
          <w:spacing w:val="-9"/>
          <w:w w:val="105"/>
          <w:sz w:val="16"/>
        </w:rPr>
        <w:t> </w:t>
      </w:r>
      <w:r>
        <w:rPr>
          <w:w w:val="105"/>
          <w:sz w:val="16"/>
        </w:rPr>
        <w:t>intellectual</w:t>
      </w:r>
      <w:r>
        <w:rPr>
          <w:spacing w:val="-9"/>
          <w:w w:val="105"/>
          <w:sz w:val="16"/>
        </w:rPr>
        <w:t> </w:t>
      </w:r>
      <w:r>
        <w:rPr>
          <w:w w:val="105"/>
          <w:sz w:val="16"/>
        </w:rPr>
        <w:t>property</w:t>
      </w:r>
      <w:r>
        <w:rPr>
          <w:spacing w:val="-9"/>
          <w:w w:val="105"/>
          <w:sz w:val="16"/>
        </w:rPr>
        <w:t> </w:t>
      </w:r>
      <w:r>
        <w:rPr>
          <w:w w:val="105"/>
          <w:sz w:val="16"/>
        </w:rPr>
        <w:t>due</w:t>
      </w:r>
      <w:r>
        <w:rPr>
          <w:spacing w:val="-9"/>
          <w:w w:val="105"/>
          <w:sz w:val="16"/>
        </w:rPr>
        <w:t> </w:t>
      </w:r>
      <w:r>
        <w:rPr>
          <w:w w:val="105"/>
          <w:sz w:val="16"/>
        </w:rPr>
        <w:t>to</w:t>
      </w:r>
      <w:r>
        <w:rPr>
          <w:spacing w:val="-9"/>
          <w:w w:val="105"/>
          <w:sz w:val="16"/>
        </w:rPr>
        <w:t> </w:t>
      </w:r>
      <w:r>
        <w:rPr>
          <w:w w:val="105"/>
          <w:sz w:val="16"/>
        </w:rPr>
        <w:t>theft,</w:t>
      </w:r>
      <w:r>
        <w:rPr>
          <w:spacing w:val="-9"/>
          <w:w w:val="105"/>
          <w:sz w:val="16"/>
        </w:rPr>
        <w:t> </w:t>
      </w:r>
      <w:r>
        <w:rPr>
          <w:w w:val="105"/>
          <w:sz w:val="16"/>
        </w:rPr>
        <w:t>cyber-attack,</w:t>
      </w:r>
      <w:r>
        <w:rPr>
          <w:spacing w:val="-9"/>
          <w:w w:val="105"/>
          <w:sz w:val="16"/>
        </w:rPr>
        <w:t> </w:t>
      </w:r>
      <w:r>
        <w:rPr>
          <w:w w:val="105"/>
          <w:sz w:val="16"/>
        </w:rPr>
        <w:t>or</w:t>
      </w:r>
      <w:r>
        <w:rPr>
          <w:spacing w:val="-9"/>
          <w:w w:val="105"/>
          <w:sz w:val="16"/>
        </w:rPr>
        <w:t> </w:t>
      </w:r>
      <w:r>
        <w:rPr>
          <w:w w:val="105"/>
          <w:sz w:val="16"/>
        </w:rPr>
        <w:t>disruption</w:t>
      </w:r>
      <w:r>
        <w:rPr>
          <w:spacing w:val="-10"/>
          <w:w w:val="105"/>
          <w:sz w:val="16"/>
        </w:rPr>
        <w:t> </w:t>
      </w:r>
      <w:r>
        <w:rPr>
          <w:w w:val="105"/>
          <w:sz w:val="16"/>
        </w:rPr>
        <w:t>to</w:t>
      </w:r>
      <w:r>
        <w:rPr>
          <w:spacing w:val="-9"/>
          <w:w w:val="105"/>
          <w:sz w:val="16"/>
        </w:rPr>
        <w:t> </w:t>
      </w:r>
      <w:r>
        <w:rPr>
          <w:w w:val="105"/>
          <w:sz w:val="16"/>
        </w:rPr>
        <w:t>our</w:t>
      </w:r>
      <w:r>
        <w:rPr>
          <w:spacing w:val="-7"/>
          <w:w w:val="105"/>
          <w:sz w:val="16"/>
        </w:rPr>
        <w:t> </w:t>
      </w:r>
      <w:r>
        <w:rPr>
          <w:w w:val="105"/>
          <w:sz w:val="16"/>
        </w:rPr>
        <w:t>information</w:t>
      </w:r>
      <w:r>
        <w:rPr>
          <w:spacing w:val="-9"/>
          <w:w w:val="105"/>
          <w:sz w:val="16"/>
        </w:rPr>
        <w:t> </w:t>
      </w:r>
      <w:r>
        <w:rPr>
          <w:w w:val="105"/>
          <w:sz w:val="16"/>
        </w:rPr>
        <w:t>technology</w:t>
      </w:r>
      <w:r>
        <w:rPr>
          <w:spacing w:val="-9"/>
          <w:w w:val="105"/>
          <w:sz w:val="16"/>
        </w:rPr>
        <w:t> </w:t>
      </w:r>
      <w:r>
        <w:rPr>
          <w:spacing w:val="-2"/>
          <w:w w:val="105"/>
          <w:sz w:val="16"/>
        </w:rPr>
        <w:t>infrastructure;</w:t>
      </w:r>
    </w:p>
    <w:p>
      <w:pPr>
        <w:pStyle w:val="ListParagraph"/>
        <w:numPr>
          <w:ilvl w:val="0"/>
          <w:numId w:val="18"/>
        </w:numPr>
        <w:tabs>
          <w:tab w:pos="461" w:val="left" w:leader="none"/>
        </w:tabs>
        <w:spacing w:line="240" w:lineRule="auto" w:before="19" w:after="0"/>
        <w:ind w:left="461" w:right="0" w:hanging="305"/>
        <w:jc w:val="left"/>
        <w:rPr>
          <w:sz w:val="16"/>
        </w:rPr>
      </w:pPr>
      <w:r>
        <w:rPr>
          <w:spacing w:val="-2"/>
          <w:w w:val="105"/>
          <w:sz w:val="16"/>
        </w:rPr>
        <w:t>unanticipated</w:t>
      </w:r>
      <w:r>
        <w:rPr>
          <w:spacing w:val="2"/>
          <w:w w:val="105"/>
          <w:sz w:val="16"/>
        </w:rPr>
        <w:t> </w:t>
      </w:r>
      <w:r>
        <w:rPr>
          <w:spacing w:val="-2"/>
          <w:w w:val="105"/>
          <w:sz w:val="16"/>
        </w:rPr>
        <w:t>disruption</w:t>
      </w:r>
      <w:r>
        <w:rPr>
          <w:spacing w:val="5"/>
          <w:w w:val="105"/>
          <w:sz w:val="16"/>
        </w:rPr>
        <w:t> </w:t>
      </w:r>
      <w:r>
        <w:rPr>
          <w:spacing w:val="-2"/>
          <w:w w:val="105"/>
          <w:sz w:val="16"/>
        </w:rPr>
        <w:t>to</w:t>
      </w:r>
      <w:r>
        <w:rPr>
          <w:spacing w:val="3"/>
          <w:w w:val="105"/>
          <w:sz w:val="16"/>
        </w:rPr>
        <w:t> </w:t>
      </w:r>
      <w:r>
        <w:rPr>
          <w:spacing w:val="-2"/>
          <w:w w:val="105"/>
          <w:sz w:val="16"/>
        </w:rPr>
        <w:t>Corning's,</w:t>
      </w:r>
      <w:r>
        <w:rPr>
          <w:spacing w:val="3"/>
          <w:w w:val="105"/>
          <w:sz w:val="16"/>
        </w:rPr>
        <w:t> </w:t>
      </w:r>
      <w:r>
        <w:rPr>
          <w:spacing w:val="-2"/>
          <w:w w:val="105"/>
          <w:sz w:val="16"/>
        </w:rPr>
        <w:t>our</w:t>
      </w:r>
      <w:r>
        <w:rPr>
          <w:spacing w:val="3"/>
          <w:w w:val="105"/>
          <w:sz w:val="16"/>
        </w:rPr>
        <w:t> </w:t>
      </w:r>
      <w:r>
        <w:rPr>
          <w:spacing w:val="-2"/>
          <w:w w:val="105"/>
          <w:sz w:val="16"/>
        </w:rPr>
        <w:t>suppliers'</w:t>
      </w:r>
      <w:r>
        <w:rPr>
          <w:spacing w:val="2"/>
          <w:w w:val="105"/>
          <w:sz w:val="16"/>
        </w:rPr>
        <w:t> </w:t>
      </w:r>
      <w:r>
        <w:rPr>
          <w:spacing w:val="-2"/>
          <w:w w:val="105"/>
          <w:sz w:val="16"/>
        </w:rPr>
        <w:t>and</w:t>
      </w:r>
      <w:r>
        <w:rPr>
          <w:spacing w:val="3"/>
          <w:w w:val="105"/>
          <w:sz w:val="16"/>
        </w:rPr>
        <w:t> </w:t>
      </w:r>
      <w:r>
        <w:rPr>
          <w:spacing w:val="-2"/>
          <w:w w:val="105"/>
          <w:sz w:val="16"/>
        </w:rPr>
        <w:t>manufacturers'</w:t>
      </w:r>
      <w:r>
        <w:rPr>
          <w:spacing w:val="3"/>
          <w:w w:val="105"/>
          <w:sz w:val="16"/>
        </w:rPr>
        <w:t> </w:t>
      </w:r>
      <w:r>
        <w:rPr>
          <w:spacing w:val="-2"/>
          <w:w w:val="105"/>
          <w:sz w:val="16"/>
        </w:rPr>
        <w:t>supply</w:t>
      </w:r>
      <w:r>
        <w:rPr>
          <w:spacing w:val="3"/>
          <w:w w:val="105"/>
          <w:sz w:val="16"/>
        </w:rPr>
        <w:t> </w:t>
      </w:r>
      <w:r>
        <w:rPr>
          <w:spacing w:val="-2"/>
          <w:w w:val="105"/>
          <w:sz w:val="16"/>
        </w:rPr>
        <w:t>chain,</w:t>
      </w:r>
      <w:r>
        <w:rPr>
          <w:spacing w:val="3"/>
          <w:w w:val="105"/>
          <w:sz w:val="16"/>
        </w:rPr>
        <w:t> </w:t>
      </w:r>
      <w:r>
        <w:rPr>
          <w:spacing w:val="-2"/>
          <w:w w:val="105"/>
          <w:sz w:val="16"/>
        </w:rPr>
        <w:t>equipment,</w:t>
      </w:r>
      <w:r>
        <w:rPr>
          <w:spacing w:val="4"/>
          <w:w w:val="105"/>
          <w:sz w:val="16"/>
        </w:rPr>
        <w:t> </w:t>
      </w:r>
      <w:r>
        <w:rPr>
          <w:spacing w:val="-2"/>
          <w:w w:val="105"/>
          <w:sz w:val="16"/>
        </w:rPr>
        <w:t>facilities,</w:t>
      </w:r>
      <w:r>
        <w:rPr>
          <w:spacing w:val="3"/>
          <w:w w:val="105"/>
          <w:sz w:val="16"/>
        </w:rPr>
        <w:t> </w:t>
      </w:r>
      <w:r>
        <w:rPr>
          <w:spacing w:val="-2"/>
          <w:w w:val="105"/>
          <w:sz w:val="16"/>
        </w:rPr>
        <w:t>IT</w:t>
      </w:r>
      <w:r>
        <w:rPr>
          <w:spacing w:val="3"/>
          <w:w w:val="105"/>
          <w:sz w:val="16"/>
        </w:rPr>
        <w:t> </w:t>
      </w:r>
      <w:r>
        <w:rPr>
          <w:spacing w:val="-2"/>
          <w:w w:val="105"/>
          <w:sz w:val="16"/>
        </w:rPr>
        <w:t>systems</w:t>
      </w:r>
      <w:r>
        <w:rPr>
          <w:spacing w:val="3"/>
          <w:w w:val="105"/>
          <w:sz w:val="16"/>
        </w:rPr>
        <w:t> </w:t>
      </w:r>
      <w:r>
        <w:rPr>
          <w:spacing w:val="-2"/>
          <w:w w:val="105"/>
          <w:sz w:val="16"/>
        </w:rPr>
        <w:t>or</w:t>
      </w:r>
      <w:r>
        <w:rPr>
          <w:spacing w:val="3"/>
          <w:w w:val="105"/>
          <w:sz w:val="16"/>
        </w:rPr>
        <w:t> </w:t>
      </w:r>
      <w:r>
        <w:rPr>
          <w:spacing w:val="-2"/>
          <w:w w:val="105"/>
          <w:sz w:val="16"/>
        </w:rPr>
        <w:t>operations;</w:t>
      </w:r>
    </w:p>
    <w:p>
      <w:pPr>
        <w:pStyle w:val="ListParagraph"/>
        <w:numPr>
          <w:ilvl w:val="0"/>
          <w:numId w:val="18"/>
        </w:numPr>
        <w:tabs>
          <w:tab w:pos="461" w:val="left" w:leader="none"/>
        </w:tabs>
        <w:spacing w:line="240" w:lineRule="auto" w:before="20" w:after="0"/>
        <w:ind w:left="461" w:right="0" w:hanging="305"/>
        <w:jc w:val="left"/>
        <w:rPr>
          <w:sz w:val="16"/>
        </w:rPr>
      </w:pPr>
      <w:r>
        <w:rPr>
          <w:w w:val="105"/>
          <w:sz w:val="16"/>
        </w:rPr>
        <w:t>effect</w:t>
      </w:r>
      <w:r>
        <w:rPr>
          <w:spacing w:val="-8"/>
          <w:w w:val="105"/>
          <w:sz w:val="16"/>
        </w:rPr>
        <w:t> </w:t>
      </w:r>
      <w:r>
        <w:rPr>
          <w:w w:val="105"/>
          <w:sz w:val="16"/>
        </w:rPr>
        <w:t>of</w:t>
      </w:r>
      <w:r>
        <w:rPr>
          <w:spacing w:val="-7"/>
          <w:w w:val="105"/>
          <w:sz w:val="16"/>
        </w:rPr>
        <w:t> </w:t>
      </w:r>
      <w:r>
        <w:rPr>
          <w:w w:val="105"/>
          <w:sz w:val="16"/>
        </w:rPr>
        <w:t>regulatory</w:t>
      </w:r>
      <w:r>
        <w:rPr>
          <w:spacing w:val="-8"/>
          <w:w w:val="105"/>
          <w:sz w:val="16"/>
        </w:rPr>
        <w:t> </w:t>
      </w:r>
      <w:r>
        <w:rPr>
          <w:w w:val="105"/>
          <w:sz w:val="16"/>
        </w:rPr>
        <w:t>and</w:t>
      </w:r>
      <w:r>
        <w:rPr>
          <w:spacing w:val="-7"/>
          <w:w w:val="105"/>
          <w:sz w:val="16"/>
        </w:rPr>
        <w:t> </w:t>
      </w:r>
      <w:r>
        <w:rPr>
          <w:w w:val="105"/>
          <w:sz w:val="16"/>
        </w:rPr>
        <w:t>legal</w:t>
      </w:r>
      <w:r>
        <w:rPr>
          <w:spacing w:val="-7"/>
          <w:w w:val="105"/>
          <w:sz w:val="16"/>
        </w:rPr>
        <w:t> </w:t>
      </w:r>
      <w:r>
        <w:rPr>
          <w:spacing w:val="-2"/>
          <w:w w:val="105"/>
          <w:sz w:val="16"/>
        </w:rPr>
        <w:t>developments;</w:t>
      </w:r>
    </w:p>
    <w:p>
      <w:pPr>
        <w:pStyle w:val="ListParagraph"/>
        <w:numPr>
          <w:ilvl w:val="0"/>
          <w:numId w:val="18"/>
        </w:numPr>
        <w:tabs>
          <w:tab w:pos="461" w:val="left" w:leader="none"/>
        </w:tabs>
        <w:spacing w:line="240" w:lineRule="auto" w:before="20" w:after="0"/>
        <w:ind w:left="461" w:right="0" w:hanging="305"/>
        <w:jc w:val="left"/>
        <w:rPr>
          <w:sz w:val="16"/>
        </w:rPr>
      </w:pPr>
      <w:r>
        <w:rPr>
          <w:w w:val="105"/>
          <w:sz w:val="16"/>
        </w:rPr>
        <w:t>ability</w:t>
      </w:r>
      <w:r>
        <w:rPr>
          <w:spacing w:val="-9"/>
          <w:w w:val="105"/>
          <w:sz w:val="16"/>
        </w:rPr>
        <w:t> </w:t>
      </w:r>
      <w:r>
        <w:rPr>
          <w:w w:val="105"/>
          <w:sz w:val="16"/>
        </w:rPr>
        <w:t>to</w:t>
      </w:r>
      <w:r>
        <w:rPr>
          <w:spacing w:val="-9"/>
          <w:w w:val="105"/>
          <w:sz w:val="16"/>
        </w:rPr>
        <w:t> </w:t>
      </w:r>
      <w:r>
        <w:rPr>
          <w:w w:val="105"/>
          <w:sz w:val="16"/>
        </w:rPr>
        <w:t>pace</w:t>
      </w:r>
      <w:r>
        <w:rPr>
          <w:spacing w:val="-9"/>
          <w:w w:val="105"/>
          <w:sz w:val="16"/>
        </w:rPr>
        <w:t> </w:t>
      </w:r>
      <w:r>
        <w:rPr>
          <w:w w:val="105"/>
          <w:sz w:val="16"/>
        </w:rPr>
        <w:t>capital</w:t>
      </w:r>
      <w:r>
        <w:rPr>
          <w:spacing w:val="-8"/>
          <w:w w:val="105"/>
          <w:sz w:val="16"/>
        </w:rPr>
        <w:t> </w:t>
      </w:r>
      <w:r>
        <w:rPr>
          <w:w w:val="105"/>
          <w:sz w:val="16"/>
        </w:rPr>
        <w:t>spending</w:t>
      </w:r>
      <w:r>
        <w:rPr>
          <w:spacing w:val="-9"/>
          <w:w w:val="105"/>
          <w:sz w:val="16"/>
        </w:rPr>
        <w:t> </w:t>
      </w:r>
      <w:r>
        <w:rPr>
          <w:w w:val="105"/>
          <w:sz w:val="16"/>
        </w:rPr>
        <w:t>to</w:t>
      </w:r>
      <w:r>
        <w:rPr>
          <w:spacing w:val="-9"/>
          <w:w w:val="105"/>
          <w:sz w:val="16"/>
        </w:rPr>
        <w:t> </w:t>
      </w:r>
      <w:r>
        <w:rPr>
          <w:w w:val="105"/>
          <w:sz w:val="16"/>
        </w:rPr>
        <w:t>anticipated</w:t>
      </w:r>
      <w:r>
        <w:rPr>
          <w:spacing w:val="-9"/>
          <w:w w:val="105"/>
          <w:sz w:val="16"/>
        </w:rPr>
        <w:t> </w:t>
      </w:r>
      <w:r>
        <w:rPr>
          <w:w w:val="105"/>
          <w:sz w:val="16"/>
        </w:rPr>
        <w:t>levels</w:t>
      </w:r>
      <w:r>
        <w:rPr>
          <w:spacing w:val="-10"/>
          <w:w w:val="105"/>
          <w:sz w:val="16"/>
        </w:rPr>
        <w:t> </w:t>
      </w:r>
      <w:r>
        <w:rPr>
          <w:w w:val="105"/>
          <w:sz w:val="16"/>
        </w:rPr>
        <w:t>of</w:t>
      </w:r>
      <w:r>
        <w:rPr>
          <w:spacing w:val="-9"/>
          <w:w w:val="105"/>
          <w:sz w:val="16"/>
        </w:rPr>
        <w:t> </w:t>
      </w:r>
      <w:r>
        <w:rPr>
          <w:w w:val="105"/>
          <w:sz w:val="16"/>
        </w:rPr>
        <w:t>customer</w:t>
      </w:r>
      <w:r>
        <w:rPr>
          <w:spacing w:val="-8"/>
          <w:w w:val="105"/>
          <w:sz w:val="16"/>
        </w:rPr>
        <w:t> </w:t>
      </w:r>
      <w:r>
        <w:rPr>
          <w:spacing w:val="-2"/>
          <w:w w:val="105"/>
          <w:sz w:val="16"/>
        </w:rPr>
        <w:t>demand;</w:t>
      </w:r>
    </w:p>
    <w:p>
      <w:pPr>
        <w:pStyle w:val="ListParagraph"/>
        <w:numPr>
          <w:ilvl w:val="0"/>
          <w:numId w:val="18"/>
        </w:numPr>
        <w:tabs>
          <w:tab w:pos="461" w:val="left" w:leader="none"/>
        </w:tabs>
        <w:spacing w:line="240" w:lineRule="auto" w:before="19" w:after="0"/>
        <w:ind w:left="461" w:right="0" w:hanging="305"/>
        <w:jc w:val="left"/>
        <w:rPr>
          <w:sz w:val="16"/>
        </w:rPr>
      </w:pPr>
      <w:r>
        <w:rPr>
          <w:spacing w:val="-2"/>
          <w:w w:val="105"/>
          <w:sz w:val="16"/>
        </w:rPr>
        <w:t>our</w:t>
      </w:r>
      <w:r>
        <w:rPr>
          <w:spacing w:val="2"/>
          <w:w w:val="105"/>
          <w:sz w:val="16"/>
        </w:rPr>
        <w:t> </w:t>
      </w:r>
      <w:r>
        <w:rPr>
          <w:spacing w:val="-2"/>
          <w:w w:val="105"/>
          <w:sz w:val="16"/>
        </w:rPr>
        <w:t>ability</w:t>
      </w:r>
      <w:r>
        <w:rPr>
          <w:spacing w:val="2"/>
          <w:w w:val="105"/>
          <w:sz w:val="16"/>
        </w:rPr>
        <w:t> </w:t>
      </w:r>
      <w:r>
        <w:rPr>
          <w:spacing w:val="-2"/>
          <w:w w:val="105"/>
          <w:sz w:val="16"/>
        </w:rPr>
        <w:t>to</w:t>
      </w:r>
      <w:r>
        <w:rPr>
          <w:spacing w:val="3"/>
          <w:w w:val="105"/>
          <w:sz w:val="16"/>
        </w:rPr>
        <w:t> </w:t>
      </w:r>
      <w:r>
        <w:rPr>
          <w:spacing w:val="-2"/>
          <w:w w:val="105"/>
          <w:sz w:val="16"/>
        </w:rPr>
        <w:t>increase</w:t>
      </w:r>
      <w:r>
        <w:rPr>
          <w:spacing w:val="2"/>
          <w:w w:val="105"/>
          <w:sz w:val="16"/>
        </w:rPr>
        <w:t> </w:t>
      </w:r>
      <w:r>
        <w:rPr>
          <w:spacing w:val="-2"/>
          <w:w w:val="105"/>
          <w:sz w:val="16"/>
        </w:rPr>
        <w:t>margins</w:t>
      </w:r>
      <w:r>
        <w:rPr>
          <w:spacing w:val="3"/>
          <w:w w:val="105"/>
          <w:sz w:val="16"/>
        </w:rPr>
        <w:t> </w:t>
      </w:r>
      <w:r>
        <w:rPr>
          <w:spacing w:val="-2"/>
          <w:w w:val="105"/>
          <w:sz w:val="16"/>
        </w:rPr>
        <w:t>through</w:t>
      </w:r>
      <w:r>
        <w:rPr>
          <w:spacing w:val="2"/>
          <w:w w:val="105"/>
          <w:sz w:val="16"/>
        </w:rPr>
        <w:t> </w:t>
      </w:r>
      <w:r>
        <w:rPr>
          <w:spacing w:val="-2"/>
          <w:w w:val="105"/>
          <w:sz w:val="16"/>
        </w:rPr>
        <w:t>implementation</w:t>
      </w:r>
      <w:r>
        <w:rPr>
          <w:spacing w:val="3"/>
          <w:w w:val="105"/>
          <w:sz w:val="16"/>
        </w:rPr>
        <w:t> </w:t>
      </w:r>
      <w:r>
        <w:rPr>
          <w:spacing w:val="-2"/>
          <w:w w:val="105"/>
          <w:sz w:val="16"/>
        </w:rPr>
        <w:t>of</w:t>
      </w:r>
      <w:r>
        <w:rPr>
          <w:spacing w:val="2"/>
          <w:w w:val="105"/>
          <w:sz w:val="16"/>
        </w:rPr>
        <w:t> </w:t>
      </w:r>
      <w:r>
        <w:rPr>
          <w:spacing w:val="-2"/>
          <w:w w:val="105"/>
          <w:sz w:val="16"/>
        </w:rPr>
        <w:t>operational</w:t>
      </w:r>
      <w:r>
        <w:rPr>
          <w:spacing w:val="3"/>
          <w:w w:val="105"/>
          <w:sz w:val="16"/>
        </w:rPr>
        <w:t> </w:t>
      </w:r>
      <w:r>
        <w:rPr>
          <w:spacing w:val="-2"/>
          <w:w w:val="105"/>
          <w:sz w:val="16"/>
        </w:rPr>
        <w:t>changes,</w:t>
      </w:r>
      <w:r>
        <w:rPr>
          <w:spacing w:val="2"/>
          <w:w w:val="105"/>
          <w:sz w:val="16"/>
        </w:rPr>
        <w:t> </w:t>
      </w:r>
      <w:r>
        <w:rPr>
          <w:spacing w:val="-2"/>
          <w:w w:val="105"/>
          <w:sz w:val="16"/>
        </w:rPr>
        <w:t>pricing</w:t>
      </w:r>
      <w:r>
        <w:rPr>
          <w:spacing w:val="3"/>
          <w:w w:val="105"/>
          <w:sz w:val="16"/>
        </w:rPr>
        <w:t> </w:t>
      </w:r>
      <w:r>
        <w:rPr>
          <w:spacing w:val="-2"/>
          <w:w w:val="105"/>
          <w:sz w:val="16"/>
        </w:rPr>
        <w:t>actions</w:t>
      </w:r>
      <w:r>
        <w:rPr>
          <w:spacing w:val="2"/>
          <w:w w:val="105"/>
          <w:sz w:val="16"/>
        </w:rPr>
        <w:t> </w:t>
      </w:r>
      <w:r>
        <w:rPr>
          <w:spacing w:val="-2"/>
          <w:w w:val="105"/>
          <w:sz w:val="16"/>
        </w:rPr>
        <w:t>and</w:t>
      </w:r>
      <w:r>
        <w:rPr>
          <w:spacing w:val="3"/>
          <w:w w:val="105"/>
          <w:sz w:val="16"/>
        </w:rPr>
        <w:t> </w:t>
      </w:r>
      <w:r>
        <w:rPr>
          <w:spacing w:val="-2"/>
          <w:w w:val="105"/>
          <w:sz w:val="16"/>
        </w:rPr>
        <w:t>cost</w:t>
      </w:r>
      <w:r>
        <w:rPr>
          <w:spacing w:val="4"/>
          <w:w w:val="105"/>
          <w:sz w:val="16"/>
        </w:rPr>
        <w:t> </w:t>
      </w:r>
      <w:r>
        <w:rPr>
          <w:spacing w:val="-2"/>
          <w:w w:val="105"/>
          <w:sz w:val="16"/>
        </w:rPr>
        <w:t>reduction</w:t>
      </w:r>
      <w:r>
        <w:rPr>
          <w:spacing w:val="3"/>
          <w:w w:val="105"/>
          <w:sz w:val="16"/>
        </w:rPr>
        <w:t> </w:t>
      </w:r>
      <w:r>
        <w:rPr>
          <w:spacing w:val="-2"/>
          <w:w w:val="105"/>
          <w:sz w:val="16"/>
        </w:rPr>
        <w:t>measures;</w:t>
      </w:r>
    </w:p>
    <w:p>
      <w:pPr>
        <w:pStyle w:val="ListParagraph"/>
        <w:numPr>
          <w:ilvl w:val="0"/>
          <w:numId w:val="18"/>
        </w:numPr>
        <w:tabs>
          <w:tab w:pos="461" w:val="left" w:leader="none"/>
        </w:tabs>
        <w:spacing w:line="240" w:lineRule="auto" w:before="20" w:after="0"/>
        <w:ind w:left="461" w:right="0" w:hanging="305"/>
        <w:jc w:val="left"/>
        <w:rPr>
          <w:sz w:val="16"/>
        </w:rPr>
      </w:pPr>
      <w:r>
        <w:rPr>
          <w:w w:val="105"/>
          <w:sz w:val="16"/>
        </w:rPr>
        <w:t>rate</w:t>
      </w:r>
      <w:r>
        <w:rPr>
          <w:spacing w:val="-9"/>
          <w:w w:val="105"/>
          <w:sz w:val="16"/>
        </w:rPr>
        <w:t> </w:t>
      </w:r>
      <w:r>
        <w:rPr>
          <w:w w:val="105"/>
          <w:sz w:val="16"/>
        </w:rPr>
        <w:t>of</w:t>
      </w:r>
      <w:r>
        <w:rPr>
          <w:spacing w:val="-8"/>
          <w:w w:val="105"/>
          <w:sz w:val="16"/>
        </w:rPr>
        <w:t> </w:t>
      </w:r>
      <w:r>
        <w:rPr>
          <w:w w:val="105"/>
          <w:sz w:val="16"/>
        </w:rPr>
        <w:t>technology</w:t>
      </w:r>
      <w:r>
        <w:rPr>
          <w:spacing w:val="-8"/>
          <w:w w:val="105"/>
          <w:sz w:val="16"/>
        </w:rPr>
        <w:t> </w:t>
      </w:r>
      <w:r>
        <w:rPr>
          <w:spacing w:val="-2"/>
          <w:w w:val="105"/>
          <w:sz w:val="16"/>
        </w:rPr>
        <w:t>change;</w:t>
      </w:r>
    </w:p>
    <w:p>
      <w:pPr>
        <w:pStyle w:val="ListParagraph"/>
        <w:numPr>
          <w:ilvl w:val="0"/>
          <w:numId w:val="18"/>
        </w:numPr>
        <w:tabs>
          <w:tab w:pos="461" w:val="left" w:leader="none"/>
        </w:tabs>
        <w:spacing w:line="240" w:lineRule="auto" w:before="20" w:after="0"/>
        <w:ind w:left="461" w:right="0" w:hanging="305"/>
        <w:jc w:val="left"/>
        <w:rPr>
          <w:sz w:val="16"/>
        </w:rPr>
      </w:pPr>
      <w:r>
        <w:rPr>
          <w:w w:val="105"/>
          <w:sz w:val="16"/>
        </w:rPr>
        <w:t>ability</w:t>
      </w:r>
      <w:r>
        <w:rPr>
          <w:spacing w:val="-10"/>
          <w:w w:val="105"/>
          <w:sz w:val="16"/>
        </w:rPr>
        <w:t> </w:t>
      </w:r>
      <w:r>
        <w:rPr>
          <w:w w:val="105"/>
          <w:sz w:val="16"/>
        </w:rPr>
        <w:t>to</w:t>
      </w:r>
      <w:r>
        <w:rPr>
          <w:spacing w:val="-9"/>
          <w:w w:val="105"/>
          <w:sz w:val="16"/>
        </w:rPr>
        <w:t> </w:t>
      </w:r>
      <w:r>
        <w:rPr>
          <w:w w:val="105"/>
          <w:sz w:val="16"/>
        </w:rPr>
        <w:t>enforce</w:t>
      </w:r>
      <w:r>
        <w:rPr>
          <w:spacing w:val="-9"/>
          <w:w w:val="105"/>
          <w:sz w:val="16"/>
        </w:rPr>
        <w:t> </w:t>
      </w:r>
      <w:r>
        <w:rPr>
          <w:w w:val="105"/>
          <w:sz w:val="16"/>
        </w:rPr>
        <w:t>patents</w:t>
      </w:r>
      <w:r>
        <w:rPr>
          <w:spacing w:val="-9"/>
          <w:w w:val="105"/>
          <w:sz w:val="16"/>
        </w:rPr>
        <w:t> </w:t>
      </w:r>
      <w:r>
        <w:rPr>
          <w:w w:val="105"/>
          <w:sz w:val="16"/>
        </w:rPr>
        <w:t>and</w:t>
      </w:r>
      <w:r>
        <w:rPr>
          <w:spacing w:val="-9"/>
          <w:w w:val="105"/>
          <w:sz w:val="16"/>
        </w:rPr>
        <w:t> </w:t>
      </w:r>
      <w:r>
        <w:rPr>
          <w:w w:val="105"/>
          <w:sz w:val="16"/>
        </w:rPr>
        <w:t>protect</w:t>
      </w:r>
      <w:r>
        <w:rPr>
          <w:spacing w:val="-9"/>
          <w:w w:val="105"/>
          <w:sz w:val="16"/>
        </w:rPr>
        <w:t> </w:t>
      </w:r>
      <w:r>
        <w:rPr>
          <w:w w:val="105"/>
          <w:sz w:val="16"/>
        </w:rPr>
        <w:t>intellectual</w:t>
      </w:r>
      <w:r>
        <w:rPr>
          <w:spacing w:val="-10"/>
          <w:w w:val="105"/>
          <w:sz w:val="16"/>
        </w:rPr>
        <w:t> </w:t>
      </w:r>
      <w:r>
        <w:rPr>
          <w:w w:val="105"/>
          <w:sz w:val="16"/>
        </w:rPr>
        <w:t>property</w:t>
      </w:r>
      <w:r>
        <w:rPr>
          <w:spacing w:val="-10"/>
          <w:w w:val="105"/>
          <w:sz w:val="16"/>
        </w:rPr>
        <w:t> </w:t>
      </w:r>
      <w:r>
        <w:rPr>
          <w:w w:val="105"/>
          <w:sz w:val="16"/>
        </w:rPr>
        <w:t>and</w:t>
      </w:r>
      <w:r>
        <w:rPr>
          <w:spacing w:val="-9"/>
          <w:w w:val="105"/>
          <w:sz w:val="16"/>
        </w:rPr>
        <w:t> </w:t>
      </w:r>
      <w:r>
        <w:rPr>
          <w:w w:val="105"/>
          <w:sz w:val="16"/>
        </w:rPr>
        <w:t>trade</w:t>
      </w:r>
      <w:r>
        <w:rPr>
          <w:spacing w:val="-9"/>
          <w:w w:val="105"/>
          <w:sz w:val="16"/>
        </w:rPr>
        <w:t> </w:t>
      </w:r>
      <w:r>
        <w:rPr>
          <w:spacing w:val="-2"/>
          <w:w w:val="105"/>
          <w:sz w:val="16"/>
        </w:rPr>
        <w:t>secrets;</w:t>
      </w:r>
    </w:p>
    <w:p>
      <w:pPr>
        <w:pStyle w:val="ListParagraph"/>
        <w:numPr>
          <w:ilvl w:val="0"/>
          <w:numId w:val="18"/>
        </w:numPr>
        <w:tabs>
          <w:tab w:pos="461" w:val="left" w:leader="none"/>
        </w:tabs>
        <w:spacing w:line="240" w:lineRule="auto" w:before="20" w:after="0"/>
        <w:ind w:left="461" w:right="0" w:hanging="305"/>
        <w:jc w:val="left"/>
        <w:rPr>
          <w:sz w:val="16"/>
        </w:rPr>
      </w:pPr>
      <w:r>
        <w:rPr>
          <w:sz w:val="16"/>
        </w:rPr>
        <w:t>adverse</w:t>
      </w:r>
      <w:r>
        <w:rPr>
          <w:spacing w:val="15"/>
          <w:sz w:val="16"/>
        </w:rPr>
        <w:t> </w:t>
      </w:r>
      <w:r>
        <w:rPr>
          <w:spacing w:val="-2"/>
          <w:sz w:val="16"/>
        </w:rPr>
        <w:t>litigation;</w:t>
      </w:r>
    </w:p>
    <w:p>
      <w:pPr>
        <w:pStyle w:val="ListParagraph"/>
        <w:numPr>
          <w:ilvl w:val="0"/>
          <w:numId w:val="18"/>
        </w:numPr>
        <w:tabs>
          <w:tab w:pos="461" w:val="left" w:leader="none"/>
        </w:tabs>
        <w:spacing w:line="240" w:lineRule="auto" w:before="20" w:after="0"/>
        <w:ind w:left="461" w:right="0" w:hanging="305"/>
        <w:jc w:val="left"/>
        <w:rPr>
          <w:sz w:val="16"/>
        </w:rPr>
      </w:pPr>
      <w:r>
        <w:rPr>
          <w:sz w:val="16"/>
        </w:rPr>
        <w:t>product</w:t>
      </w:r>
      <w:r>
        <w:rPr>
          <w:spacing w:val="16"/>
          <w:sz w:val="16"/>
        </w:rPr>
        <w:t> </w:t>
      </w:r>
      <w:r>
        <w:rPr>
          <w:sz w:val="16"/>
        </w:rPr>
        <w:t>and</w:t>
      </w:r>
      <w:r>
        <w:rPr>
          <w:spacing w:val="17"/>
          <w:sz w:val="16"/>
        </w:rPr>
        <w:t> </w:t>
      </w:r>
      <w:r>
        <w:rPr>
          <w:sz w:val="16"/>
        </w:rPr>
        <w:t>components</w:t>
      </w:r>
      <w:r>
        <w:rPr>
          <w:spacing w:val="16"/>
          <w:sz w:val="16"/>
        </w:rPr>
        <w:t> </w:t>
      </w:r>
      <w:r>
        <w:rPr>
          <w:sz w:val="16"/>
        </w:rPr>
        <w:t>performance</w:t>
      </w:r>
      <w:r>
        <w:rPr>
          <w:spacing w:val="17"/>
          <w:sz w:val="16"/>
        </w:rPr>
        <w:t> </w:t>
      </w:r>
      <w:r>
        <w:rPr>
          <w:spacing w:val="-2"/>
          <w:sz w:val="16"/>
        </w:rPr>
        <w:t>issues;</w:t>
      </w:r>
    </w:p>
    <w:p>
      <w:pPr>
        <w:pStyle w:val="ListParagraph"/>
        <w:numPr>
          <w:ilvl w:val="0"/>
          <w:numId w:val="18"/>
        </w:numPr>
        <w:tabs>
          <w:tab w:pos="461" w:val="left" w:leader="none"/>
        </w:tabs>
        <w:spacing w:line="240" w:lineRule="auto" w:before="20" w:after="0"/>
        <w:ind w:left="461" w:right="0" w:hanging="305"/>
        <w:jc w:val="left"/>
        <w:rPr>
          <w:sz w:val="16"/>
        </w:rPr>
      </w:pPr>
      <w:r>
        <w:rPr>
          <w:w w:val="105"/>
          <w:sz w:val="16"/>
        </w:rPr>
        <w:t>retention</w:t>
      </w:r>
      <w:r>
        <w:rPr>
          <w:spacing w:val="-8"/>
          <w:w w:val="105"/>
          <w:sz w:val="16"/>
        </w:rPr>
        <w:t> </w:t>
      </w:r>
      <w:r>
        <w:rPr>
          <w:w w:val="105"/>
          <w:sz w:val="16"/>
        </w:rPr>
        <w:t>of</w:t>
      </w:r>
      <w:r>
        <w:rPr>
          <w:spacing w:val="-7"/>
          <w:w w:val="105"/>
          <w:sz w:val="16"/>
        </w:rPr>
        <w:t> </w:t>
      </w:r>
      <w:r>
        <w:rPr>
          <w:w w:val="105"/>
          <w:sz w:val="16"/>
        </w:rPr>
        <w:t>key</w:t>
      </w:r>
      <w:r>
        <w:rPr>
          <w:spacing w:val="-7"/>
          <w:w w:val="105"/>
          <w:sz w:val="16"/>
        </w:rPr>
        <w:t> </w:t>
      </w:r>
      <w:r>
        <w:rPr>
          <w:spacing w:val="-2"/>
          <w:w w:val="105"/>
          <w:sz w:val="16"/>
        </w:rPr>
        <w:t>personnel;</w:t>
      </w:r>
    </w:p>
    <w:p>
      <w:pPr>
        <w:pStyle w:val="ListParagraph"/>
        <w:numPr>
          <w:ilvl w:val="0"/>
          <w:numId w:val="18"/>
        </w:numPr>
        <w:tabs>
          <w:tab w:pos="461" w:val="left" w:leader="none"/>
        </w:tabs>
        <w:spacing w:line="240" w:lineRule="auto" w:before="19" w:after="0"/>
        <w:ind w:left="461" w:right="0" w:hanging="305"/>
        <w:jc w:val="left"/>
        <w:rPr>
          <w:sz w:val="16"/>
        </w:rPr>
      </w:pPr>
      <w:r>
        <w:rPr>
          <w:spacing w:val="-2"/>
          <w:w w:val="105"/>
          <w:sz w:val="16"/>
        </w:rPr>
        <w:t>customer</w:t>
      </w:r>
      <w:r>
        <w:rPr>
          <w:spacing w:val="1"/>
          <w:w w:val="105"/>
          <w:sz w:val="16"/>
        </w:rPr>
        <w:t> </w:t>
      </w:r>
      <w:r>
        <w:rPr>
          <w:spacing w:val="-2"/>
          <w:w w:val="105"/>
          <w:sz w:val="16"/>
        </w:rPr>
        <w:t>ability</w:t>
      </w:r>
      <w:r>
        <w:rPr>
          <w:spacing w:val="2"/>
          <w:w w:val="105"/>
          <w:sz w:val="16"/>
        </w:rPr>
        <w:t> </w:t>
      </w:r>
      <w:r>
        <w:rPr>
          <w:spacing w:val="-2"/>
          <w:w w:val="105"/>
          <w:sz w:val="16"/>
        </w:rPr>
        <w:t>to</w:t>
      </w:r>
      <w:r>
        <w:rPr>
          <w:spacing w:val="2"/>
          <w:w w:val="105"/>
          <w:sz w:val="16"/>
        </w:rPr>
        <w:t> </w:t>
      </w:r>
      <w:r>
        <w:rPr>
          <w:spacing w:val="-2"/>
          <w:w w:val="105"/>
          <w:sz w:val="16"/>
        </w:rPr>
        <w:t>maintain</w:t>
      </w:r>
      <w:r>
        <w:rPr>
          <w:spacing w:val="2"/>
          <w:w w:val="105"/>
          <w:sz w:val="16"/>
        </w:rPr>
        <w:t> </w:t>
      </w:r>
      <w:r>
        <w:rPr>
          <w:spacing w:val="-2"/>
          <w:w w:val="105"/>
          <w:sz w:val="16"/>
        </w:rPr>
        <w:t>profitable</w:t>
      </w:r>
      <w:r>
        <w:rPr>
          <w:spacing w:val="2"/>
          <w:w w:val="105"/>
          <w:sz w:val="16"/>
        </w:rPr>
        <w:t> </w:t>
      </w:r>
      <w:r>
        <w:rPr>
          <w:spacing w:val="-2"/>
          <w:w w:val="105"/>
          <w:sz w:val="16"/>
        </w:rPr>
        <w:t>operations</w:t>
      </w:r>
      <w:r>
        <w:rPr>
          <w:spacing w:val="2"/>
          <w:w w:val="105"/>
          <w:sz w:val="16"/>
        </w:rPr>
        <w:t> </w:t>
      </w:r>
      <w:r>
        <w:rPr>
          <w:spacing w:val="-2"/>
          <w:w w:val="105"/>
          <w:sz w:val="16"/>
        </w:rPr>
        <w:t>and</w:t>
      </w:r>
      <w:r>
        <w:rPr>
          <w:spacing w:val="2"/>
          <w:w w:val="105"/>
          <w:sz w:val="16"/>
        </w:rPr>
        <w:t> </w:t>
      </w:r>
      <w:r>
        <w:rPr>
          <w:spacing w:val="-2"/>
          <w:w w:val="105"/>
          <w:sz w:val="16"/>
        </w:rPr>
        <w:t>obtain</w:t>
      </w:r>
      <w:r>
        <w:rPr>
          <w:spacing w:val="2"/>
          <w:w w:val="105"/>
          <w:sz w:val="16"/>
        </w:rPr>
        <w:t> </w:t>
      </w:r>
      <w:r>
        <w:rPr>
          <w:spacing w:val="-2"/>
          <w:w w:val="105"/>
          <w:sz w:val="16"/>
        </w:rPr>
        <w:t>financing</w:t>
      </w:r>
      <w:r>
        <w:rPr>
          <w:spacing w:val="4"/>
          <w:w w:val="105"/>
          <w:sz w:val="16"/>
        </w:rPr>
        <w:t> </w:t>
      </w:r>
      <w:r>
        <w:rPr>
          <w:spacing w:val="-2"/>
          <w:w w:val="105"/>
          <w:sz w:val="16"/>
        </w:rPr>
        <w:t>to</w:t>
      </w:r>
      <w:r>
        <w:rPr>
          <w:spacing w:val="2"/>
          <w:w w:val="105"/>
          <w:sz w:val="16"/>
        </w:rPr>
        <w:t> </w:t>
      </w:r>
      <w:r>
        <w:rPr>
          <w:spacing w:val="-2"/>
          <w:w w:val="105"/>
          <w:sz w:val="16"/>
        </w:rPr>
        <w:t>fund</w:t>
      </w:r>
      <w:r>
        <w:rPr>
          <w:spacing w:val="2"/>
          <w:w w:val="105"/>
          <w:sz w:val="16"/>
        </w:rPr>
        <w:t> </w:t>
      </w:r>
      <w:r>
        <w:rPr>
          <w:spacing w:val="-2"/>
          <w:w w:val="105"/>
          <w:sz w:val="16"/>
        </w:rPr>
        <w:t>ongoing</w:t>
      </w:r>
      <w:r>
        <w:rPr>
          <w:spacing w:val="2"/>
          <w:w w:val="105"/>
          <w:sz w:val="16"/>
        </w:rPr>
        <w:t> </w:t>
      </w:r>
      <w:r>
        <w:rPr>
          <w:spacing w:val="-2"/>
          <w:w w:val="105"/>
          <w:sz w:val="16"/>
        </w:rPr>
        <w:t>operations</w:t>
      </w:r>
      <w:r>
        <w:rPr>
          <w:spacing w:val="2"/>
          <w:w w:val="105"/>
          <w:sz w:val="16"/>
        </w:rPr>
        <w:t> </w:t>
      </w:r>
      <w:r>
        <w:rPr>
          <w:spacing w:val="-2"/>
          <w:w w:val="105"/>
          <w:sz w:val="16"/>
        </w:rPr>
        <w:t>and</w:t>
      </w:r>
      <w:r>
        <w:rPr>
          <w:spacing w:val="2"/>
          <w:w w:val="105"/>
          <w:sz w:val="16"/>
        </w:rPr>
        <w:t> </w:t>
      </w:r>
      <w:r>
        <w:rPr>
          <w:spacing w:val="-2"/>
          <w:w w:val="105"/>
          <w:sz w:val="16"/>
        </w:rPr>
        <w:t>manufacturing</w:t>
      </w:r>
      <w:r>
        <w:rPr>
          <w:spacing w:val="2"/>
          <w:w w:val="105"/>
          <w:sz w:val="16"/>
        </w:rPr>
        <w:t> </w:t>
      </w:r>
      <w:r>
        <w:rPr>
          <w:spacing w:val="-2"/>
          <w:w w:val="105"/>
          <w:sz w:val="16"/>
        </w:rPr>
        <w:t>expansions</w:t>
      </w:r>
      <w:r>
        <w:rPr>
          <w:spacing w:val="2"/>
          <w:w w:val="105"/>
          <w:sz w:val="16"/>
        </w:rPr>
        <w:t> </w:t>
      </w:r>
      <w:r>
        <w:rPr>
          <w:spacing w:val="-2"/>
          <w:w w:val="105"/>
          <w:sz w:val="16"/>
        </w:rPr>
        <w:t>and</w:t>
      </w:r>
      <w:r>
        <w:rPr>
          <w:spacing w:val="2"/>
          <w:w w:val="105"/>
          <w:sz w:val="16"/>
        </w:rPr>
        <w:t> </w:t>
      </w:r>
      <w:r>
        <w:rPr>
          <w:spacing w:val="-2"/>
          <w:w w:val="105"/>
          <w:sz w:val="16"/>
        </w:rPr>
        <w:t>pay</w:t>
      </w:r>
      <w:r>
        <w:rPr>
          <w:spacing w:val="2"/>
          <w:w w:val="105"/>
          <w:sz w:val="16"/>
        </w:rPr>
        <w:t> </w:t>
      </w:r>
      <w:r>
        <w:rPr>
          <w:spacing w:val="-2"/>
          <w:w w:val="105"/>
          <w:sz w:val="16"/>
        </w:rPr>
        <w:t>receivables</w:t>
      </w:r>
      <w:r>
        <w:rPr>
          <w:spacing w:val="2"/>
          <w:w w:val="105"/>
          <w:sz w:val="16"/>
        </w:rPr>
        <w:t> </w:t>
      </w:r>
      <w:r>
        <w:rPr>
          <w:spacing w:val="-2"/>
          <w:w w:val="105"/>
          <w:sz w:val="16"/>
        </w:rPr>
        <w:t>when</w:t>
      </w:r>
      <w:r>
        <w:rPr>
          <w:spacing w:val="2"/>
          <w:w w:val="105"/>
          <w:sz w:val="16"/>
        </w:rPr>
        <w:t> </w:t>
      </w:r>
      <w:r>
        <w:rPr>
          <w:spacing w:val="-4"/>
          <w:w w:val="105"/>
          <w:sz w:val="16"/>
        </w:rPr>
        <w:t>due;</w:t>
      </w:r>
    </w:p>
    <w:p>
      <w:pPr>
        <w:pStyle w:val="ListParagraph"/>
        <w:numPr>
          <w:ilvl w:val="0"/>
          <w:numId w:val="18"/>
        </w:numPr>
        <w:tabs>
          <w:tab w:pos="461" w:val="left" w:leader="none"/>
        </w:tabs>
        <w:spacing w:line="240" w:lineRule="auto" w:before="20" w:after="0"/>
        <w:ind w:left="461" w:right="0" w:hanging="305"/>
        <w:jc w:val="left"/>
        <w:rPr>
          <w:sz w:val="16"/>
        </w:rPr>
      </w:pPr>
      <w:r>
        <w:rPr>
          <w:w w:val="105"/>
          <w:sz w:val="16"/>
        </w:rPr>
        <w:t>loss</w:t>
      </w:r>
      <w:r>
        <w:rPr>
          <w:spacing w:val="-10"/>
          <w:w w:val="105"/>
          <w:sz w:val="16"/>
        </w:rPr>
        <w:t> </w:t>
      </w:r>
      <w:r>
        <w:rPr>
          <w:w w:val="105"/>
          <w:sz w:val="16"/>
        </w:rPr>
        <w:t>of</w:t>
      </w:r>
      <w:r>
        <w:rPr>
          <w:spacing w:val="-9"/>
          <w:w w:val="105"/>
          <w:sz w:val="16"/>
        </w:rPr>
        <w:t> </w:t>
      </w:r>
      <w:r>
        <w:rPr>
          <w:w w:val="105"/>
          <w:sz w:val="16"/>
        </w:rPr>
        <w:t>significant</w:t>
      </w:r>
      <w:r>
        <w:rPr>
          <w:spacing w:val="-9"/>
          <w:w w:val="105"/>
          <w:sz w:val="16"/>
        </w:rPr>
        <w:t> </w:t>
      </w:r>
      <w:r>
        <w:rPr>
          <w:spacing w:val="-2"/>
          <w:w w:val="105"/>
          <w:sz w:val="16"/>
        </w:rPr>
        <w:t>customers;</w:t>
      </w:r>
    </w:p>
    <w:p>
      <w:pPr>
        <w:pStyle w:val="ListParagraph"/>
        <w:numPr>
          <w:ilvl w:val="0"/>
          <w:numId w:val="18"/>
        </w:numPr>
        <w:tabs>
          <w:tab w:pos="461" w:val="left" w:leader="none"/>
        </w:tabs>
        <w:spacing w:line="240" w:lineRule="auto" w:before="20" w:after="0"/>
        <w:ind w:left="461" w:right="0" w:hanging="305"/>
        <w:jc w:val="left"/>
        <w:rPr>
          <w:sz w:val="16"/>
        </w:rPr>
      </w:pPr>
      <w:r>
        <w:rPr>
          <w:w w:val="105"/>
          <w:sz w:val="16"/>
        </w:rPr>
        <w:t>changes</w:t>
      </w:r>
      <w:r>
        <w:rPr>
          <w:spacing w:val="-10"/>
          <w:w w:val="105"/>
          <w:sz w:val="16"/>
        </w:rPr>
        <w:t> </w:t>
      </w:r>
      <w:r>
        <w:rPr>
          <w:w w:val="105"/>
          <w:sz w:val="16"/>
        </w:rPr>
        <w:t>in</w:t>
      </w:r>
      <w:r>
        <w:rPr>
          <w:spacing w:val="-10"/>
          <w:w w:val="105"/>
          <w:sz w:val="16"/>
        </w:rPr>
        <w:t> </w:t>
      </w:r>
      <w:r>
        <w:rPr>
          <w:w w:val="105"/>
          <w:sz w:val="16"/>
        </w:rPr>
        <w:t>tax</w:t>
      </w:r>
      <w:r>
        <w:rPr>
          <w:spacing w:val="-9"/>
          <w:w w:val="105"/>
          <w:sz w:val="16"/>
        </w:rPr>
        <w:t> </w:t>
      </w:r>
      <w:r>
        <w:rPr>
          <w:w w:val="105"/>
          <w:sz w:val="16"/>
        </w:rPr>
        <w:t>laws,</w:t>
      </w:r>
      <w:r>
        <w:rPr>
          <w:spacing w:val="-10"/>
          <w:w w:val="105"/>
          <w:sz w:val="16"/>
        </w:rPr>
        <w:t> </w:t>
      </w:r>
      <w:r>
        <w:rPr>
          <w:w w:val="105"/>
          <w:sz w:val="16"/>
        </w:rPr>
        <w:t>regulations</w:t>
      </w:r>
      <w:r>
        <w:rPr>
          <w:spacing w:val="-10"/>
          <w:w w:val="105"/>
          <w:sz w:val="16"/>
        </w:rPr>
        <w:t> </w:t>
      </w:r>
      <w:r>
        <w:rPr>
          <w:w w:val="105"/>
          <w:sz w:val="16"/>
        </w:rPr>
        <w:t>and</w:t>
      </w:r>
      <w:r>
        <w:rPr>
          <w:spacing w:val="-9"/>
          <w:w w:val="105"/>
          <w:sz w:val="16"/>
        </w:rPr>
        <w:t> </w:t>
      </w:r>
      <w:r>
        <w:rPr>
          <w:w w:val="105"/>
          <w:sz w:val="16"/>
        </w:rPr>
        <w:t>international</w:t>
      </w:r>
      <w:r>
        <w:rPr>
          <w:spacing w:val="-10"/>
          <w:w w:val="105"/>
          <w:sz w:val="16"/>
        </w:rPr>
        <w:t> </w:t>
      </w:r>
      <w:r>
        <w:rPr>
          <w:w w:val="105"/>
          <w:sz w:val="16"/>
        </w:rPr>
        <w:t>tax</w:t>
      </w:r>
      <w:r>
        <w:rPr>
          <w:spacing w:val="-10"/>
          <w:w w:val="105"/>
          <w:sz w:val="16"/>
        </w:rPr>
        <w:t> </w:t>
      </w:r>
      <w:r>
        <w:rPr>
          <w:spacing w:val="-2"/>
          <w:w w:val="105"/>
          <w:sz w:val="16"/>
        </w:rPr>
        <w:t>standards;</w:t>
      </w:r>
    </w:p>
    <w:p>
      <w:pPr>
        <w:pStyle w:val="ListParagraph"/>
        <w:numPr>
          <w:ilvl w:val="0"/>
          <w:numId w:val="18"/>
        </w:numPr>
        <w:tabs>
          <w:tab w:pos="461" w:val="left" w:leader="none"/>
        </w:tabs>
        <w:spacing w:line="240" w:lineRule="auto" w:before="20" w:after="0"/>
        <w:ind w:left="461" w:right="0" w:hanging="305"/>
        <w:jc w:val="left"/>
        <w:rPr>
          <w:sz w:val="16"/>
        </w:rPr>
      </w:pPr>
      <w:r>
        <w:rPr>
          <w:w w:val="105"/>
          <w:sz w:val="16"/>
        </w:rPr>
        <w:t>the</w:t>
      </w:r>
      <w:r>
        <w:rPr>
          <w:spacing w:val="-10"/>
          <w:w w:val="105"/>
          <w:sz w:val="16"/>
        </w:rPr>
        <w:t> </w:t>
      </w:r>
      <w:r>
        <w:rPr>
          <w:w w:val="105"/>
          <w:sz w:val="16"/>
        </w:rPr>
        <w:t>impacts</w:t>
      </w:r>
      <w:r>
        <w:rPr>
          <w:spacing w:val="-9"/>
          <w:w w:val="105"/>
          <w:sz w:val="16"/>
        </w:rPr>
        <w:t> </w:t>
      </w:r>
      <w:r>
        <w:rPr>
          <w:w w:val="105"/>
          <w:sz w:val="16"/>
        </w:rPr>
        <w:t>of</w:t>
      </w:r>
      <w:r>
        <w:rPr>
          <w:spacing w:val="-10"/>
          <w:w w:val="105"/>
          <w:sz w:val="16"/>
        </w:rPr>
        <w:t> </w:t>
      </w:r>
      <w:r>
        <w:rPr>
          <w:w w:val="105"/>
          <w:sz w:val="16"/>
        </w:rPr>
        <w:t>audits</w:t>
      </w:r>
      <w:r>
        <w:rPr>
          <w:spacing w:val="-9"/>
          <w:w w:val="105"/>
          <w:sz w:val="16"/>
        </w:rPr>
        <w:t> </w:t>
      </w:r>
      <w:r>
        <w:rPr>
          <w:w w:val="105"/>
          <w:sz w:val="16"/>
        </w:rPr>
        <w:t>by</w:t>
      </w:r>
      <w:r>
        <w:rPr>
          <w:spacing w:val="-9"/>
          <w:w w:val="105"/>
          <w:sz w:val="16"/>
        </w:rPr>
        <w:t> </w:t>
      </w:r>
      <w:r>
        <w:rPr>
          <w:w w:val="105"/>
          <w:sz w:val="16"/>
        </w:rPr>
        <w:t>taxing</w:t>
      </w:r>
      <w:r>
        <w:rPr>
          <w:spacing w:val="-10"/>
          <w:w w:val="105"/>
          <w:sz w:val="16"/>
        </w:rPr>
        <w:t> </w:t>
      </w:r>
      <w:r>
        <w:rPr>
          <w:w w:val="105"/>
          <w:sz w:val="16"/>
        </w:rPr>
        <w:t>authorities;</w:t>
      </w:r>
      <w:r>
        <w:rPr>
          <w:spacing w:val="-9"/>
          <w:w w:val="105"/>
          <w:sz w:val="16"/>
        </w:rPr>
        <w:t> </w:t>
      </w:r>
      <w:r>
        <w:rPr>
          <w:spacing w:val="-5"/>
          <w:w w:val="105"/>
          <w:sz w:val="16"/>
        </w:rPr>
        <w:t>and</w:t>
      </w:r>
    </w:p>
    <w:p>
      <w:pPr>
        <w:pStyle w:val="ListParagraph"/>
        <w:numPr>
          <w:ilvl w:val="0"/>
          <w:numId w:val="18"/>
        </w:numPr>
        <w:tabs>
          <w:tab w:pos="461" w:val="left" w:leader="none"/>
        </w:tabs>
        <w:spacing w:line="240" w:lineRule="auto" w:before="20" w:after="0"/>
        <w:ind w:left="461" w:right="0" w:hanging="305"/>
        <w:jc w:val="left"/>
        <w:rPr>
          <w:sz w:val="16"/>
        </w:rPr>
      </w:pPr>
      <w:r>
        <w:rPr>
          <w:w w:val="105"/>
          <w:sz w:val="16"/>
        </w:rPr>
        <w:t>the</w:t>
      </w:r>
      <w:r>
        <w:rPr>
          <w:spacing w:val="-10"/>
          <w:w w:val="105"/>
          <w:sz w:val="16"/>
        </w:rPr>
        <w:t> </w:t>
      </w:r>
      <w:r>
        <w:rPr>
          <w:w w:val="105"/>
          <w:sz w:val="16"/>
        </w:rPr>
        <w:t>potential</w:t>
      </w:r>
      <w:r>
        <w:rPr>
          <w:spacing w:val="-10"/>
          <w:w w:val="105"/>
          <w:sz w:val="16"/>
        </w:rPr>
        <w:t> </w:t>
      </w:r>
      <w:r>
        <w:rPr>
          <w:w w:val="105"/>
          <w:sz w:val="16"/>
        </w:rPr>
        <w:t>impact</w:t>
      </w:r>
      <w:r>
        <w:rPr>
          <w:spacing w:val="-9"/>
          <w:w w:val="105"/>
          <w:sz w:val="16"/>
        </w:rPr>
        <w:t> </w:t>
      </w:r>
      <w:r>
        <w:rPr>
          <w:w w:val="105"/>
          <w:sz w:val="16"/>
        </w:rPr>
        <w:t>of</w:t>
      </w:r>
      <w:r>
        <w:rPr>
          <w:spacing w:val="-10"/>
          <w:w w:val="105"/>
          <w:sz w:val="16"/>
        </w:rPr>
        <w:t> </w:t>
      </w:r>
      <w:r>
        <w:rPr>
          <w:w w:val="105"/>
          <w:sz w:val="16"/>
        </w:rPr>
        <w:t>legislation,</w:t>
      </w:r>
      <w:r>
        <w:rPr>
          <w:spacing w:val="-10"/>
          <w:w w:val="105"/>
          <w:sz w:val="16"/>
        </w:rPr>
        <w:t> </w:t>
      </w:r>
      <w:r>
        <w:rPr>
          <w:w w:val="105"/>
          <w:sz w:val="16"/>
        </w:rPr>
        <w:t>government</w:t>
      </w:r>
      <w:r>
        <w:rPr>
          <w:spacing w:val="-9"/>
          <w:w w:val="105"/>
          <w:sz w:val="16"/>
        </w:rPr>
        <w:t> </w:t>
      </w:r>
      <w:r>
        <w:rPr>
          <w:w w:val="105"/>
          <w:sz w:val="16"/>
        </w:rPr>
        <w:t>regulations,</w:t>
      </w:r>
      <w:r>
        <w:rPr>
          <w:spacing w:val="-10"/>
          <w:w w:val="105"/>
          <w:sz w:val="16"/>
        </w:rPr>
        <w:t> </w:t>
      </w:r>
      <w:r>
        <w:rPr>
          <w:w w:val="105"/>
          <w:sz w:val="16"/>
        </w:rPr>
        <w:t>and</w:t>
      </w:r>
      <w:r>
        <w:rPr>
          <w:spacing w:val="-10"/>
          <w:w w:val="105"/>
          <w:sz w:val="16"/>
        </w:rPr>
        <w:t> </w:t>
      </w:r>
      <w:r>
        <w:rPr>
          <w:w w:val="105"/>
          <w:sz w:val="16"/>
        </w:rPr>
        <w:t>other</w:t>
      </w:r>
      <w:r>
        <w:rPr>
          <w:spacing w:val="-9"/>
          <w:w w:val="105"/>
          <w:sz w:val="16"/>
        </w:rPr>
        <w:t> </w:t>
      </w:r>
      <w:r>
        <w:rPr>
          <w:w w:val="105"/>
          <w:sz w:val="16"/>
        </w:rPr>
        <w:t>government</w:t>
      </w:r>
      <w:r>
        <w:rPr>
          <w:spacing w:val="-10"/>
          <w:w w:val="105"/>
          <w:sz w:val="16"/>
        </w:rPr>
        <w:t> </w:t>
      </w:r>
      <w:r>
        <w:rPr>
          <w:w w:val="105"/>
          <w:sz w:val="16"/>
        </w:rPr>
        <w:t>action</w:t>
      </w:r>
      <w:r>
        <w:rPr>
          <w:spacing w:val="-10"/>
          <w:w w:val="105"/>
          <w:sz w:val="16"/>
        </w:rPr>
        <w:t> </w:t>
      </w:r>
      <w:r>
        <w:rPr>
          <w:w w:val="105"/>
          <w:sz w:val="16"/>
        </w:rPr>
        <w:t>and</w:t>
      </w:r>
      <w:r>
        <w:rPr>
          <w:spacing w:val="-9"/>
          <w:w w:val="105"/>
          <w:sz w:val="16"/>
        </w:rPr>
        <w:t> </w:t>
      </w:r>
      <w:r>
        <w:rPr>
          <w:spacing w:val="-2"/>
          <w:w w:val="105"/>
          <w:sz w:val="16"/>
        </w:rPr>
        <w:t>investigations.</w:t>
      </w:r>
    </w:p>
    <w:p>
      <w:pPr>
        <w:pStyle w:val="BodyText"/>
        <w:spacing w:before="39"/>
      </w:pPr>
    </w:p>
    <w:p>
      <w:pPr>
        <w:pStyle w:val="BodyText"/>
        <w:spacing w:line="266" w:lineRule="auto"/>
        <w:ind w:left="156"/>
      </w:pPr>
      <w:r>
        <w:rPr>
          <w:w w:val="105"/>
        </w:rPr>
        <w:t>While</w:t>
      </w:r>
      <w:r>
        <w:rPr>
          <w:spacing w:val="-9"/>
          <w:w w:val="105"/>
        </w:rPr>
        <w:t> </w:t>
      </w:r>
      <w:r>
        <w:rPr>
          <w:w w:val="105"/>
        </w:rPr>
        <w:t>the</w:t>
      </w:r>
      <w:r>
        <w:rPr>
          <w:spacing w:val="-9"/>
          <w:w w:val="105"/>
        </w:rPr>
        <w:t> </w:t>
      </w:r>
      <w:r>
        <w:rPr>
          <w:w w:val="105"/>
        </w:rPr>
        <w:t>Company</w:t>
      </w:r>
      <w:r>
        <w:rPr>
          <w:spacing w:val="-9"/>
          <w:w w:val="105"/>
        </w:rPr>
        <w:t> </w:t>
      </w:r>
      <w:r>
        <w:rPr>
          <w:w w:val="105"/>
        </w:rPr>
        <w:t>continually</w:t>
      </w:r>
      <w:r>
        <w:rPr>
          <w:spacing w:val="-9"/>
          <w:w w:val="105"/>
        </w:rPr>
        <w:t> </w:t>
      </w:r>
      <w:r>
        <w:rPr>
          <w:w w:val="105"/>
        </w:rPr>
        <w:t>reviews</w:t>
      </w:r>
      <w:r>
        <w:rPr>
          <w:spacing w:val="-9"/>
          <w:w w:val="105"/>
        </w:rPr>
        <w:t> </w:t>
      </w:r>
      <w:r>
        <w:rPr>
          <w:w w:val="105"/>
        </w:rPr>
        <w:t>trends</w:t>
      </w:r>
      <w:r>
        <w:rPr>
          <w:spacing w:val="-9"/>
          <w:w w:val="105"/>
        </w:rPr>
        <w:t> </w:t>
      </w:r>
      <w:r>
        <w:rPr>
          <w:w w:val="105"/>
        </w:rPr>
        <w:t>and</w:t>
      </w:r>
      <w:r>
        <w:rPr>
          <w:spacing w:val="-9"/>
          <w:w w:val="105"/>
        </w:rPr>
        <w:t> </w:t>
      </w:r>
      <w:r>
        <w:rPr>
          <w:w w:val="105"/>
        </w:rPr>
        <w:t>uncertainties</w:t>
      </w:r>
      <w:r>
        <w:rPr>
          <w:spacing w:val="-9"/>
          <w:w w:val="105"/>
        </w:rPr>
        <w:t> </w:t>
      </w:r>
      <w:r>
        <w:rPr>
          <w:w w:val="105"/>
        </w:rPr>
        <w:t>affecting</w:t>
      </w:r>
      <w:r>
        <w:rPr>
          <w:spacing w:val="-9"/>
          <w:w w:val="105"/>
        </w:rPr>
        <w:t> </w:t>
      </w:r>
      <w:r>
        <w:rPr>
          <w:w w:val="105"/>
        </w:rPr>
        <w:t>the</w:t>
      </w:r>
      <w:r>
        <w:rPr>
          <w:spacing w:val="-9"/>
          <w:w w:val="105"/>
        </w:rPr>
        <w:t> </w:t>
      </w:r>
      <w:r>
        <w:rPr>
          <w:w w:val="105"/>
        </w:rPr>
        <w:t>Company's</w:t>
      </w:r>
      <w:r>
        <w:rPr>
          <w:spacing w:val="-9"/>
          <w:w w:val="105"/>
        </w:rPr>
        <w:t> </w:t>
      </w:r>
      <w:r>
        <w:rPr>
          <w:w w:val="105"/>
        </w:rPr>
        <w:t>results</w:t>
      </w:r>
      <w:r>
        <w:rPr>
          <w:spacing w:val="-9"/>
          <w:w w:val="105"/>
        </w:rPr>
        <w:t> </w:t>
      </w:r>
      <w:r>
        <w:rPr>
          <w:w w:val="105"/>
        </w:rPr>
        <w:t>of</w:t>
      </w:r>
      <w:r>
        <w:rPr>
          <w:spacing w:val="-9"/>
          <w:w w:val="105"/>
        </w:rPr>
        <w:t> </w:t>
      </w:r>
      <w:r>
        <w:rPr>
          <w:w w:val="105"/>
        </w:rPr>
        <w:t>operations</w:t>
      </w:r>
      <w:r>
        <w:rPr>
          <w:spacing w:val="-9"/>
          <w:w w:val="105"/>
        </w:rPr>
        <w:t> </w:t>
      </w:r>
      <w:r>
        <w:rPr>
          <w:w w:val="105"/>
        </w:rPr>
        <w:t>and</w:t>
      </w:r>
      <w:r>
        <w:rPr>
          <w:spacing w:val="-9"/>
          <w:w w:val="105"/>
        </w:rPr>
        <w:t> </w:t>
      </w:r>
      <w:r>
        <w:rPr>
          <w:w w:val="105"/>
        </w:rPr>
        <w:t>financial</w:t>
      </w:r>
      <w:r>
        <w:rPr>
          <w:spacing w:val="-9"/>
          <w:w w:val="105"/>
        </w:rPr>
        <w:t> </w:t>
      </w:r>
      <w:r>
        <w:rPr>
          <w:w w:val="105"/>
        </w:rPr>
        <w:t>condition,</w:t>
      </w:r>
      <w:r>
        <w:rPr>
          <w:spacing w:val="-9"/>
          <w:w w:val="105"/>
        </w:rPr>
        <w:t> </w:t>
      </w:r>
      <w:r>
        <w:rPr>
          <w:w w:val="105"/>
        </w:rPr>
        <w:t>the</w:t>
      </w:r>
      <w:r>
        <w:rPr>
          <w:spacing w:val="-9"/>
          <w:w w:val="105"/>
        </w:rPr>
        <w:t> </w:t>
      </w:r>
      <w:r>
        <w:rPr>
          <w:w w:val="105"/>
        </w:rPr>
        <w:t>Company</w:t>
      </w:r>
      <w:r>
        <w:rPr>
          <w:spacing w:val="-9"/>
          <w:w w:val="105"/>
        </w:rPr>
        <w:t> </w:t>
      </w:r>
      <w:r>
        <w:rPr>
          <w:w w:val="105"/>
        </w:rPr>
        <w:t>does</w:t>
      </w:r>
      <w:r>
        <w:rPr>
          <w:spacing w:val="-9"/>
          <w:w w:val="105"/>
        </w:rPr>
        <w:t> </w:t>
      </w:r>
      <w:r>
        <w:rPr>
          <w:w w:val="105"/>
        </w:rPr>
        <w:t>not</w:t>
      </w:r>
      <w:r>
        <w:rPr>
          <w:spacing w:val="-9"/>
          <w:w w:val="105"/>
        </w:rPr>
        <w:t> </w:t>
      </w:r>
      <w:r>
        <w:rPr>
          <w:w w:val="105"/>
        </w:rPr>
        <w:t>assume</w:t>
      </w:r>
      <w:r>
        <w:rPr>
          <w:spacing w:val="-9"/>
          <w:w w:val="105"/>
        </w:rPr>
        <w:t> </w:t>
      </w:r>
      <w:r>
        <w:rPr>
          <w:w w:val="105"/>
        </w:rPr>
        <w:t>any obligation to update or supplement any particular forward-looking statements contained in this document, unless required by law.</w:t>
      </w:r>
    </w:p>
    <w:p>
      <w:pPr>
        <w:pStyle w:val="BodyText"/>
        <w:spacing w:before="19"/>
      </w:pPr>
    </w:p>
    <w:p>
      <w:pPr>
        <w:pStyle w:val="BodyText"/>
        <w:ind w:left="48"/>
        <w:jc w:val="center"/>
      </w:pPr>
      <w:r>
        <w:rPr>
          <w:spacing w:val="-5"/>
          <w:w w:val="105"/>
        </w:rPr>
        <w:t>49</w:t>
      </w:r>
    </w:p>
    <w:p>
      <w:pPr>
        <w:pStyle w:val="BodyText"/>
        <w:rPr>
          <w:sz w:val="6"/>
        </w:rPr>
      </w:pPr>
      <w:r>
        <w:rPr/>
        <mc:AlternateContent>
          <mc:Choice Requires="wps">
            <w:drawing>
              <wp:anchor distT="0" distB="0" distL="0" distR="0" allowOverlap="1" layoutInCell="1" locked="0" behindDoc="1" simplePos="0" relativeHeight="487624192">
                <wp:simplePos x="0" y="0"/>
                <wp:positionH relativeFrom="page">
                  <wp:posOffset>226488</wp:posOffset>
                </wp:positionH>
                <wp:positionV relativeFrom="paragraph">
                  <wp:posOffset>59051</wp:posOffset>
                </wp:positionV>
                <wp:extent cx="7312659" cy="1651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92288;mso-wrap-distance-left:0;mso-wrap-distance-right:0" id="docshape80"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pPr>
    </w:p>
    <w:p>
      <w:pPr>
        <w:pStyle w:val="BodyText"/>
        <w:spacing w:before="58"/>
      </w:pPr>
    </w:p>
    <w:p>
      <w:pPr>
        <w:spacing w:before="0"/>
        <w:ind w:left="156" w:right="0" w:firstLine="0"/>
        <w:jc w:val="left"/>
        <w:rPr>
          <w:b/>
          <w:sz w:val="16"/>
        </w:rPr>
      </w:pPr>
      <w:r>
        <w:rPr>
          <w:b/>
          <w:sz w:val="16"/>
          <w:u w:val="single"/>
        </w:rPr>
        <w:t>Item</w:t>
      </w:r>
      <w:r>
        <w:rPr>
          <w:b/>
          <w:spacing w:val="15"/>
          <w:sz w:val="16"/>
          <w:u w:val="single"/>
        </w:rPr>
        <w:t> </w:t>
      </w:r>
      <w:r>
        <w:rPr>
          <w:b/>
          <w:sz w:val="16"/>
          <w:u w:val="single"/>
        </w:rPr>
        <w:t>7A.</w:t>
      </w:r>
      <w:r>
        <w:rPr>
          <w:b/>
          <w:spacing w:val="16"/>
          <w:sz w:val="16"/>
          <w:u w:val="single"/>
        </w:rPr>
        <w:t> </w:t>
      </w:r>
      <w:r>
        <w:rPr>
          <w:b/>
          <w:sz w:val="16"/>
          <w:u w:val="single"/>
        </w:rPr>
        <w:t>Quantitative</w:t>
      </w:r>
      <w:r>
        <w:rPr>
          <w:b/>
          <w:spacing w:val="16"/>
          <w:sz w:val="16"/>
          <w:u w:val="single"/>
        </w:rPr>
        <w:t> </w:t>
      </w:r>
      <w:r>
        <w:rPr>
          <w:b/>
          <w:sz w:val="16"/>
          <w:u w:val="single"/>
        </w:rPr>
        <w:t>and</w:t>
      </w:r>
      <w:r>
        <w:rPr>
          <w:b/>
          <w:spacing w:val="16"/>
          <w:sz w:val="16"/>
          <w:u w:val="single"/>
        </w:rPr>
        <w:t> </w:t>
      </w:r>
      <w:r>
        <w:rPr>
          <w:b/>
          <w:sz w:val="16"/>
          <w:u w:val="single"/>
        </w:rPr>
        <w:t>Qualitative</w:t>
      </w:r>
      <w:r>
        <w:rPr>
          <w:b/>
          <w:spacing w:val="16"/>
          <w:sz w:val="16"/>
          <w:u w:val="single"/>
        </w:rPr>
        <w:t> </w:t>
      </w:r>
      <w:r>
        <w:rPr>
          <w:b/>
          <w:sz w:val="16"/>
          <w:u w:val="single"/>
        </w:rPr>
        <w:t>Disclosures</w:t>
      </w:r>
      <w:r>
        <w:rPr>
          <w:b/>
          <w:spacing w:val="16"/>
          <w:sz w:val="16"/>
          <w:u w:val="single"/>
        </w:rPr>
        <w:t> </w:t>
      </w:r>
      <w:r>
        <w:rPr>
          <w:b/>
          <w:sz w:val="16"/>
          <w:u w:val="single"/>
        </w:rPr>
        <w:t>About</w:t>
      </w:r>
      <w:r>
        <w:rPr>
          <w:b/>
          <w:spacing w:val="15"/>
          <w:sz w:val="16"/>
          <w:u w:val="single"/>
        </w:rPr>
        <w:t> </w:t>
      </w:r>
      <w:r>
        <w:rPr>
          <w:b/>
          <w:sz w:val="16"/>
          <w:u w:val="single"/>
        </w:rPr>
        <w:t>Market</w:t>
      </w:r>
      <w:r>
        <w:rPr>
          <w:b/>
          <w:spacing w:val="16"/>
          <w:sz w:val="16"/>
          <w:u w:val="single"/>
        </w:rPr>
        <w:t> </w:t>
      </w:r>
      <w:r>
        <w:rPr>
          <w:b/>
          <w:spacing w:val="-2"/>
          <w:sz w:val="16"/>
          <w:u w:val="single"/>
        </w:rPr>
        <w:t>Risks</w:t>
      </w:r>
    </w:p>
    <w:p>
      <w:pPr>
        <w:pStyle w:val="BodyText"/>
        <w:spacing w:before="39"/>
        <w:rPr>
          <w:b/>
        </w:rPr>
      </w:pPr>
    </w:p>
    <w:p>
      <w:pPr>
        <w:pStyle w:val="BodyText"/>
        <w:spacing w:line="266" w:lineRule="auto" w:before="1"/>
        <w:ind w:left="156" w:right="328"/>
      </w:pPr>
      <w:r>
        <w:rPr>
          <w:w w:val="105"/>
        </w:rPr>
        <w:t>We</w:t>
      </w:r>
      <w:r>
        <w:rPr>
          <w:spacing w:val="-8"/>
          <w:w w:val="105"/>
        </w:rPr>
        <w:t> </w:t>
      </w:r>
      <w:r>
        <w:rPr>
          <w:w w:val="105"/>
        </w:rPr>
        <w:t>operate</w:t>
      </w:r>
      <w:r>
        <w:rPr>
          <w:spacing w:val="-8"/>
          <w:w w:val="105"/>
        </w:rPr>
        <w:t> </w:t>
      </w:r>
      <w:r>
        <w:rPr>
          <w:w w:val="105"/>
        </w:rPr>
        <w:t>and</w:t>
      </w:r>
      <w:r>
        <w:rPr>
          <w:spacing w:val="-8"/>
          <w:w w:val="105"/>
        </w:rPr>
        <w:t> </w:t>
      </w:r>
      <w:r>
        <w:rPr>
          <w:w w:val="105"/>
        </w:rPr>
        <w:t>conduct</w:t>
      </w:r>
      <w:r>
        <w:rPr>
          <w:spacing w:val="-8"/>
          <w:w w:val="105"/>
        </w:rPr>
        <w:t> </w:t>
      </w:r>
      <w:r>
        <w:rPr>
          <w:w w:val="105"/>
        </w:rPr>
        <w:t>business</w:t>
      </w:r>
      <w:r>
        <w:rPr>
          <w:spacing w:val="-8"/>
          <w:w w:val="105"/>
        </w:rPr>
        <w:t> </w:t>
      </w:r>
      <w:r>
        <w:rPr>
          <w:w w:val="105"/>
        </w:rPr>
        <w:t>in</w:t>
      </w:r>
      <w:r>
        <w:rPr>
          <w:spacing w:val="-8"/>
          <w:w w:val="105"/>
        </w:rPr>
        <w:t> </w:t>
      </w:r>
      <w:r>
        <w:rPr>
          <w:w w:val="105"/>
        </w:rPr>
        <w:t>many</w:t>
      </w:r>
      <w:r>
        <w:rPr>
          <w:spacing w:val="-8"/>
          <w:w w:val="105"/>
        </w:rPr>
        <w:t> </w:t>
      </w:r>
      <w:r>
        <w:rPr>
          <w:w w:val="105"/>
        </w:rPr>
        <w:t>foreign</w:t>
      </w:r>
      <w:r>
        <w:rPr>
          <w:spacing w:val="-8"/>
          <w:w w:val="105"/>
        </w:rPr>
        <w:t> </w:t>
      </w:r>
      <w:r>
        <w:rPr>
          <w:w w:val="105"/>
        </w:rPr>
        <w:t>countries</w:t>
      </w:r>
      <w:r>
        <w:rPr>
          <w:spacing w:val="-6"/>
          <w:w w:val="105"/>
        </w:rPr>
        <w:t> </w:t>
      </w:r>
      <w:r>
        <w:rPr>
          <w:w w:val="105"/>
        </w:rPr>
        <w:t>and</w:t>
      </w:r>
      <w:r>
        <w:rPr>
          <w:spacing w:val="-8"/>
          <w:w w:val="105"/>
        </w:rPr>
        <w:t> </w:t>
      </w:r>
      <w:r>
        <w:rPr>
          <w:w w:val="105"/>
        </w:rPr>
        <w:t>as</w:t>
      </w:r>
      <w:r>
        <w:rPr>
          <w:spacing w:val="-8"/>
          <w:w w:val="105"/>
        </w:rPr>
        <w:t> </w:t>
      </w:r>
      <w:r>
        <w:rPr>
          <w:w w:val="105"/>
        </w:rPr>
        <w:t>a</w:t>
      </w:r>
      <w:r>
        <w:rPr>
          <w:spacing w:val="-8"/>
          <w:w w:val="105"/>
        </w:rPr>
        <w:t> </w:t>
      </w:r>
      <w:r>
        <w:rPr>
          <w:w w:val="105"/>
        </w:rPr>
        <w:t>result</w:t>
      </w:r>
      <w:r>
        <w:rPr>
          <w:spacing w:val="-8"/>
          <w:w w:val="105"/>
        </w:rPr>
        <w:t> </w:t>
      </w:r>
      <w:r>
        <w:rPr>
          <w:w w:val="105"/>
        </w:rPr>
        <w:t>are</w:t>
      </w:r>
      <w:r>
        <w:rPr>
          <w:spacing w:val="-8"/>
          <w:w w:val="105"/>
        </w:rPr>
        <w:t> </w:t>
      </w:r>
      <w:r>
        <w:rPr>
          <w:w w:val="105"/>
        </w:rPr>
        <w:t>exposed</w:t>
      </w:r>
      <w:r>
        <w:rPr>
          <w:spacing w:val="-8"/>
          <w:w w:val="105"/>
        </w:rPr>
        <w:t> </w:t>
      </w:r>
      <w:r>
        <w:rPr>
          <w:w w:val="105"/>
        </w:rPr>
        <w:t>to</w:t>
      </w:r>
      <w:r>
        <w:rPr>
          <w:spacing w:val="-6"/>
          <w:w w:val="105"/>
        </w:rPr>
        <w:t> </w:t>
      </w:r>
      <w:r>
        <w:rPr>
          <w:w w:val="105"/>
        </w:rPr>
        <w:t>movements</w:t>
      </w:r>
      <w:r>
        <w:rPr>
          <w:spacing w:val="-8"/>
          <w:w w:val="105"/>
        </w:rPr>
        <w:t> </w:t>
      </w:r>
      <w:r>
        <w:rPr>
          <w:w w:val="105"/>
        </w:rPr>
        <w:t>in</w:t>
      </w:r>
      <w:r>
        <w:rPr>
          <w:spacing w:val="-8"/>
          <w:w w:val="105"/>
        </w:rPr>
        <w:t> </w:t>
      </w:r>
      <w:r>
        <w:rPr>
          <w:w w:val="105"/>
        </w:rPr>
        <w:t>foreign</w:t>
      </w:r>
      <w:r>
        <w:rPr>
          <w:spacing w:val="-8"/>
          <w:w w:val="105"/>
        </w:rPr>
        <w:t> </w:t>
      </w:r>
      <w:r>
        <w:rPr>
          <w:w w:val="105"/>
        </w:rPr>
        <w:t>currency</w:t>
      </w:r>
      <w:r>
        <w:rPr>
          <w:spacing w:val="-8"/>
          <w:w w:val="105"/>
        </w:rPr>
        <w:t> </w:t>
      </w:r>
      <w:r>
        <w:rPr>
          <w:w w:val="105"/>
        </w:rPr>
        <w:t>exchange</w:t>
      </w:r>
      <w:r>
        <w:rPr>
          <w:spacing w:val="-8"/>
          <w:w w:val="105"/>
        </w:rPr>
        <w:t> </w:t>
      </w:r>
      <w:r>
        <w:rPr>
          <w:w w:val="105"/>
        </w:rPr>
        <w:t>rates.</w:t>
      </w:r>
      <w:r>
        <w:rPr>
          <w:spacing w:val="-8"/>
          <w:w w:val="105"/>
        </w:rPr>
        <w:t> </w:t>
      </w:r>
      <w:r>
        <w:rPr>
          <w:w w:val="105"/>
        </w:rPr>
        <w:t>Our</w:t>
      </w:r>
      <w:r>
        <w:rPr>
          <w:spacing w:val="-8"/>
          <w:w w:val="105"/>
        </w:rPr>
        <w:t> </w:t>
      </w:r>
      <w:r>
        <w:rPr>
          <w:w w:val="105"/>
        </w:rPr>
        <w:t>exposure</w:t>
      </w:r>
      <w:r>
        <w:rPr>
          <w:spacing w:val="-6"/>
          <w:w w:val="105"/>
        </w:rPr>
        <w:t> </w:t>
      </w:r>
      <w:r>
        <w:rPr>
          <w:w w:val="105"/>
        </w:rPr>
        <w:t>to</w:t>
      </w:r>
      <w:r>
        <w:rPr>
          <w:spacing w:val="-8"/>
          <w:w w:val="105"/>
        </w:rPr>
        <w:t> </w:t>
      </w:r>
      <w:r>
        <w:rPr>
          <w:w w:val="105"/>
        </w:rPr>
        <w:t>exchange</w:t>
      </w:r>
      <w:r>
        <w:rPr>
          <w:spacing w:val="-8"/>
          <w:w w:val="105"/>
        </w:rPr>
        <w:t> </w:t>
      </w:r>
      <w:r>
        <w:rPr>
          <w:w w:val="105"/>
        </w:rPr>
        <w:t>rates has the following effects:</w:t>
      </w:r>
    </w:p>
    <w:p>
      <w:pPr>
        <w:pStyle w:val="BodyText"/>
        <w:spacing w:before="18"/>
      </w:pPr>
    </w:p>
    <w:p>
      <w:pPr>
        <w:pStyle w:val="ListParagraph"/>
        <w:numPr>
          <w:ilvl w:val="0"/>
          <w:numId w:val="19"/>
        </w:numPr>
        <w:tabs>
          <w:tab w:pos="462" w:val="left" w:leader="none"/>
        </w:tabs>
        <w:spacing w:line="240" w:lineRule="auto" w:before="1" w:after="0"/>
        <w:ind w:left="462" w:right="0" w:hanging="306"/>
        <w:jc w:val="left"/>
        <w:rPr>
          <w:sz w:val="16"/>
        </w:rPr>
      </w:pPr>
      <w:r>
        <w:rPr>
          <w:sz w:val="16"/>
        </w:rPr>
        <w:t>Exchange</w:t>
      </w:r>
      <w:r>
        <w:rPr>
          <w:spacing w:val="15"/>
          <w:sz w:val="16"/>
        </w:rPr>
        <w:t> </w:t>
      </w:r>
      <w:r>
        <w:rPr>
          <w:sz w:val="16"/>
        </w:rPr>
        <w:t>rate</w:t>
      </w:r>
      <w:r>
        <w:rPr>
          <w:spacing w:val="16"/>
          <w:sz w:val="16"/>
        </w:rPr>
        <w:t> </w:t>
      </w:r>
      <w:r>
        <w:rPr>
          <w:sz w:val="16"/>
        </w:rPr>
        <w:t>movements</w:t>
      </w:r>
      <w:r>
        <w:rPr>
          <w:spacing w:val="13"/>
          <w:sz w:val="16"/>
        </w:rPr>
        <w:t> </w:t>
      </w:r>
      <w:r>
        <w:rPr>
          <w:sz w:val="16"/>
        </w:rPr>
        <w:t>on</w:t>
      </w:r>
      <w:r>
        <w:rPr>
          <w:spacing w:val="15"/>
          <w:sz w:val="16"/>
        </w:rPr>
        <w:t> </w:t>
      </w:r>
      <w:r>
        <w:rPr>
          <w:sz w:val="16"/>
        </w:rPr>
        <w:t>financial</w:t>
      </w:r>
      <w:r>
        <w:rPr>
          <w:spacing w:val="16"/>
          <w:sz w:val="16"/>
        </w:rPr>
        <w:t> </w:t>
      </w:r>
      <w:r>
        <w:rPr>
          <w:sz w:val="16"/>
        </w:rPr>
        <w:t>instruments</w:t>
      </w:r>
      <w:r>
        <w:rPr>
          <w:spacing w:val="16"/>
          <w:sz w:val="16"/>
        </w:rPr>
        <w:t> </w:t>
      </w:r>
      <w:r>
        <w:rPr>
          <w:sz w:val="16"/>
        </w:rPr>
        <w:t>and</w:t>
      </w:r>
      <w:r>
        <w:rPr>
          <w:spacing w:val="15"/>
          <w:sz w:val="16"/>
        </w:rPr>
        <w:t> </w:t>
      </w:r>
      <w:r>
        <w:rPr>
          <w:sz w:val="16"/>
        </w:rPr>
        <w:t>transactions</w:t>
      </w:r>
      <w:r>
        <w:rPr>
          <w:spacing w:val="16"/>
          <w:sz w:val="16"/>
        </w:rPr>
        <w:t> </w:t>
      </w:r>
      <w:r>
        <w:rPr>
          <w:sz w:val="16"/>
        </w:rPr>
        <w:t>denominated</w:t>
      </w:r>
      <w:r>
        <w:rPr>
          <w:spacing w:val="13"/>
          <w:sz w:val="16"/>
        </w:rPr>
        <w:t> </w:t>
      </w:r>
      <w:r>
        <w:rPr>
          <w:sz w:val="16"/>
        </w:rPr>
        <w:t>in</w:t>
      </w:r>
      <w:r>
        <w:rPr>
          <w:spacing w:val="15"/>
          <w:sz w:val="16"/>
        </w:rPr>
        <w:t> </w:t>
      </w:r>
      <w:r>
        <w:rPr>
          <w:sz w:val="16"/>
        </w:rPr>
        <w:t>foreign</w:t>
      </w:r>
      <w:r>
        <w:rPr>
          <w:spacing w:val="16"/>
          <w:sz w:val="16"/>
        </w:rPr>
        <w:t> </w:t>
      </w:r>
      <w:r>
        <w:rPr>
          <w:sz w:val="16"/>
        </w:rPr>
        <w:t>currencies</w:t>
      </w:r>
      <w:r>
        <w:rPr>
          <w:spacing w:val="16"/>
          <w:sz w:val="16"/>
        </w:rPr>
        <w:t> </w:t>
      </w:r>
      <w:r>
        <w:rPr>
          <w:sz w:val="16"/>
        </w:rPr>
        <w:t>that</w:t>
      </w:r>
      <w:r>
        <w:rPr>
          <w:spacing w:val="15"/>
          <w:sz w:val="16"/>
        </w:rPr>
        <w:t> </w:t>
      </w:r>
      <w:r>
        <w:rPr>
          <w:sz w:val="16"/>
        </w:rPr>
        <w:t>impact</w:t>
      </w:r>
      <w:r>
        <w:rPr>
          <w:spacing w:val="16"/>
          <w:sz w:val="16"/>
        </w:rPr>
        <w:t> </w:t>
      </w:r>
      <w:r>
        <w:rPr>
          <w:sz w:val="16"/>
        </w:rPr>
        <w:t>earnings;</w:t>
      </w:r>
      <w:r>
        <w:rPr>
          <w:spacing w:val="16"/>
          <w:sz w:val="16"/>
        </w:rPr>
        <w:t> </w:t>
      </w:r>
      <w:r>
        <w:rPr>
          <w:spacing w:val="-5"/>
          <w:sz w:val="16"/>
        </w:rPr>
        <w:t>and</w:t>
      </w:r>
    </w:p>
    <w:p>
      <w:pPr>
        <w:pStyle w:val="ListParagraph"/>
        <w:numPr>
          <w:ilvl w:val="0"/>
          <w:numId w:val="19"/>
        </w:numPr>
        <w:tabs>
          <w:tab w:pos="462" w:val="left" w:leader="none"/>
        </w:tabs>
        <w:spacing w:line="240" w:lineRule="auto" w:before="19" w:after="0"/>
        <w:ind w:left="462" w:right="0" w:hanging="306"/>
        <w:jc w:val="left"/>
        <w:rPr>
          <w:sz w:val="16"/>
        </w:rPr>
      </w:pPr>
      <w:r>
        <w:rPr>
          <w:w w:val="105"/>
          <w:sz w:val="16"/>
        </w:rPr>
        <w:t>Exchange</w:t>
      </w:r>
      <w:r>
        <w:rPr>
          <w:spacing w:val="-9"/>
          <w:w w:val="105"/>
          <w:sz w:val="16"/>
        </w:rPr>
        <w:t> </w:t>
      </w:r>
      <w:r>
        <w:rPr>
          <w:w w:val="105"/>
          <w:sz w:val="16"/>
        </w:rPr>
        <w:t>rate</w:t>
      </w:r>
      <w:r>
        <w:rPr>
          <w:spacing w:val="-9"/>
          <w:w w:val="105"/>
          <w:sz w:val="16"/>
        </w:rPr>
        <w:t> </w:t>
      </w:r>
      <w:r>
        <w:rPr>
          <w:w w:val="105"/>
          <w:sz w:val="16"/>
        </w:rPr>
        <w:t>movements</w:t>
      </w:r>
      <w:r>
        <w:rPr>
          <w:spacing w:val="-9"/>
          <w:w w:val="105"/>
          <w:sz w:val="16"/>
        </w:rPr>
        <w:t> </w:t>
      </w:r>
      <w:r>
        <w:rPr>
          <w:w w:val="105"/>
          <w:sz w:val="16"/>
        </w:rPr>
        <w:t>upon</w:t>
      </w:r>
      <w:r>
        <w:rPr>
          <w:spacing w:val="-7"/>
          <w:w w:val="105"/>
          <w:sz w:val="16"/>
        </w:rPr>
        <w:t> </w:t>
      </w:r>
      <w:r>
        <w:rPr>
          <w:w w:val="105"/>
          <w:sz w:val="16"/>
        </w:rPr>
        <w:t>conversion</w:t>
      </w:r>
      <w:r>
        <w:rPr>
          <w:spacing w:val="-9"/>
          <w:w w:val="105"/>
          <w:sz w:val="16"/>
        </w:rPr>
        <w:t> </w:t>
      </w:r>
      <w:r>
        <w:rPr>
          <w:w w:val="105"/>
          <w:sz w:val="16"/>
        </w:rPr>
        <w:t>of</w:t>
      </w:r>
      <w:r>
        <w:rPr>
          <w:spacing w:val="-9"/>
          <w:w w:val="105"/>
          <w:sz w:val="16"/>
        </w:rPr>
        <w:t> </w:t>
      </w:r>
      <w:r>
        <w:rPr>
          <w:w w:val="105"/>
          <w:sz w:val="16"/>
        </w:rPr>
        <w:t>net</w:t>
      </w:r>
      <w:r>
        <w:rPr>
          <w:spacing w:val="-9"/>
          <w:w w:val="105"/>
          <w:sz w:val="16"/>
        </w:rPr>
        <w:t> </w:t>
      </w:r>
      <w:r>
        <w:rPr>
          <w:w w:val="105"/>
          <w:sz w:val="16"/>
        </w:rPr>
        <w:t>assets</w:t>
      </w:r>
      <w:r>
        <w:rPr>
          <w:spacing w:val="-8"/>
          <w:w w:val="105"/>
          <w:sz w:val="16"/>
        </w:rPr>
        <w:t> </w:t>
      </w:r>
      <w:r>
        <w:rPr>
          <w:w w:val="105"/>
          <w:sz w:val="16"/>
        </w:rPr>
        <w:t>and</w:t>
      </w:r>
      <w:r>
        <w:rPr>
          <w:spacing w:val="-9"/>
          <w:w w:val="105"/>
          <w:sz w:val="16"/>
        </w:rPr>
        <w:t> </w:t>
      </w:r>
      <w:r>
        <w:rPr>
          <w:w w:val="105"/>
          <w:sz w:val="16"/>
        </w:rPr>
        <w:t>net</w:t>
      </w:r>
      <w:r>
        <w:rPr>
          <w:spacing w:val="-7"/>
          <w:w w:val="105"/>
          <w:sz w:val="16"/>
        </w:rPr>
        <w:t> </w:t>
      </w:r>
      <w:r>
        <w:rPr>
          <w:w w:val="105"/>
          <w:sz w:val="16"/>
        </w:rPr>
        <w:t>income</w:t>
      </w:r>
      <w:r>
        <w:rPr>
          <w:spacing w:val="-9"/>
          <w:w w:val="105"/>
          <w:sz w:val="16"/>
        </w:rPr>
        <w:t> </w:t>
      </w:r>
      <w:r>
        <w:rPr>
          <w:w w:val="105"/>
          <w:sz w:val="16"/>
        </w:rPr>
        <w:t>of</w:t>
      </w:r>
      <w:r>
        <w:rPr>
          <w:spacing w:val="-9"/>
          <w:w w:val="105"/>
          <w:sz w:val="16"/>
        </w:rPr>
        <w:t> </w:t>
      </w:r>
      <w:r>
        <w:rPr>
          <w:w w:val="105"/>
          <w:sz w:val="16"/>
        </w:rPr>
        <w:t>foreign</w:t>
      </w:r>
      <w:r>
        <w:rPr>
          <w:spacing w:val="-9"/>
          <w:w w:val="105"/>
          <w:sz w:val="16"/>
        </w:rPr>
        <w:t> </w:t>
      </w:r>
      <w:r>
        <w:rPr>
          <w:w w:val="105"/>
          <w:sz w:val="16"/>
        </w:rPr>
        <w:t>subsidiaries</w:t>
      </w:r>
      <w:r>
        <w:rPr>
          <w:spacing w:val="-9"/>
          <w:w w:val="105"/>
          <w:sz w:val="16"/>
        </w:rPr>
        <w:t> </w:t>
      </w:r>
      <w:r>
        <w:rPr>
          <w:w w:val="105"/>
          <w:sz w:val="16"/>
        </w:rPr>
        <w:t>for</w:t>
      </w:r>
      <w:r>
        <w:rPr>
          <w:spacing w:val="-9"/>
          <w:w w:val="105"/>
          <w:sz w:val="16"/>
        </w:rPr>
        <w:t> </w:t>
      </w:r>
      <w:r>
        <w:rPr>
          <w:w w:val="105"/>
          <w:sz w:val="16"/>
        </w:rPr>
        <w:t>which</w:t>
      </w:r>
      <w:r>
        <w:rPr>
          <w:spacing w:val="-8"/>
          <w:w w:val="105"/>
          <w:sz w:val="16"/>
        </w:rPr>
        <w:t> </w:t>
      </w:r>
      <w:r>
        <w:rPr>
          <w:w w:val="105"/>
          <w:sz w:val="16"/>
        </w:rPr>
        <w:t>the</w:t>
      </w:r>
      <w:r>
        <w:rPr>
          <w:spacing w:val="-9"/>
          <w:w w:val="105"/>
          <w:sz w:val="16"/>
        </w:rPr>
        <w:t> </w:t>
      </w:r>
      <w:r>
        <w:rPr>
          <w:w w:val="105"/>
          <w:sz w:val="16"/>
        </w:rPr>
        <w:t>functional</w:t>
      </w:r>
      <w:r>
        <w:rPr>
          <w:spacing w:val="-7"/>
          <w:w w:val="105"/>
          <w:sz w:val="16"/>
        </w:rPr>
        <w:t> </w:t>
      </w:r>
      <w:r>
        <w:rPr>
          <w:w w:val="105"/>
          <w:sz w:val="16"/>
        </w:rPr>
        <w:t>currency</w:t>
      </w:r>
      <w:r>
        <w:rPr>
          <w:spacing w:val="-9"/>
          <w:w w:val="105"/>
          <w:sz w:val="16"/>
        </w:rPr>
        <w:t> </w:t>
      </w:r>
      <w:r>
        <w:rPr>
          <w:w w:val="105"/>
          <w:sz w:val="16"/>
        </w:rPr>
        <w:t>is</w:t>
      </w:r>
      <w:r>
        <w:rPr>
          <w:spacing w:val="-9"/>
          <w:w w:val="105"/>
          <w:sz w:val="16"/>
        </w:rPr>
        <w:t> </w:t>
      </w:r>
      <w:r>
        <w:rPr>
          <w:w w:val="105"/>
          <w:sz w:val="16"/>
        </w:rPr>
        <w:t>not</w:t>
      </w:r>
      <w:r>
        <w:rPr>
          <w:spacing w:val="-9"/>
          <w:w w:val="105"/>
          <w:sz w:val="16"/>
        </w:rPr>
        <w:t> </w:t>
      </w:r>
      <w:r>
        <w:rPr>
          <w:w w:val="105"/>
          <w:sz w:val="16"/>
        </w:rPr>
        <w:t>the</w:t>
      </w:r>
      <w:r>
        <w:rPr>
          <w:spacing w:val="-9"/>
          <w:w w:val="105"/>
          <w:sz w:val="16"/>
        </w:rPr>
        <w:t> </w:t>
      </w:r>
      <w:r>
        <w:rPr>
          <w:w w:val="105"/>
          <w:sz w:val="16"/>
        </w:rPr>
        <w:t>U.S.</w:t>
      </w:r>
      <w:r>
        <w:rPr>
          <w:spacing w:val="-9"/>
          <w:w w:val="105"/>
          <w:sz w:val="16"/>
        </w:rPr>
        <w:t> </w:t>
      </w:r>
      <w:r>
        <w:rPr>
          <w:spacing w:val="-2"/>
          <w:w w:val="105"/>
          <w:sz w:val="16"/>
        </w:rPr>
        <w:t>dollar.</w:t>
      </w:r>
    </w:p>
    <w:p>
      <w:pPr>
        <w:pStyle w:val="BodyText"/>
        <w:spacing w:before="40"/>
      </w:pPr>
    </w:p>
    <w:p>
      <w:pPr>
        <w:pStyle w:val="BodyText"/>
        <w:spacing w:line="266" w:lineRule="auto"/>
        <w:ind w:left="156" w:right="328"/>
      </w:pPr>
      <w:r>
        <w:rPr>
          <w:w w:val="105"/>
        </w:rPr>
        <w:t>Our</w:t>
      </w:r>
      <w:r>
        <w:rPr>
          <w:spacing w:val="-8"/>
          <w:w w:val="105"/>
        </w:rPr>
        <w:t> </w:t>
      </w:r>
      <w:r>
        <w:rPr>
          <w:w w:val="105"/>
        </w:rPr>
        <w:t>most</w:t>
      </w:r>
      <w:r>
        <w:rPr>
          <w:spacing w:val="-8"/>
          <w:w w:val="105"/>
        </w:rPr>
        <w:t> </w:t>
      </w:r>
      <w:r>
        <w:rPr>
          <w:w w:val="105"/>
        </w:rPr>
        <w:t>significant</w:t>
      </w:r>
      <w:r>
        <w:rPr>
          <w:spacing w:val="-8"/>
          <w:w w:val="105"/>
        </w:rPr>
        <w:t> </w:t>
      </w:r>
      <w:r>
        <w:rPr>
          <w:w w:val="105"/>
        </w:rPr>
        <w:t>foreign</w:t>
      </w:r>
      <w:r>
        <w:rPr>
          <w:spacing w:val="-8"/>
          <w:w w:val="105"/>
        </w:rPr>
        <w:t> </w:t>
      </w:r>
      <w:r>
        <w:rPr>
          <w:w w:val="105"/>
        </w:rPr>
        <w:t>currency</w:t>
      </w:r>
      <w:r>
        <w:rPr>
          <w:spacing w:val="-8"/>
          <w:w w:val="105"/>
        </w:rPr>
        <w:t> </w:t>
      </w:r>
      <w:r>
        <w:rPr>
          <w:w w:val="105"/>
        </w:rPr>
        <w:t>exposure</w:t>
      </w:r>
      <w:r>
        <w:rPr>
          <w:spacing w:val="-8"/>
          <w:w w:val="105"/>
        </w:rPr>
        <w:t> </w:t>
      </w:r>
      <w:r>
        <w:rPr>
          <w:w w:val="105"/>
        </w:rPr>
        <w:t>relates</w:t>
      </w:r>
      <w:r>
        <w:rPr>
          <w:spacing w:val="-8"/>
          <w:w w:val="105"/>
        </w:rPr>
        <w:t> </w:t>
      </w:r>
      <w:r>
        <w:rPr>
          <w:w w:val="105"/>
        </w:rPr>
        <w:t>to</w:t>
      </w:r>
      <w:r>
        <w:rPr>
          <w:spacing w:val="-8"/>
          <w:w w:val="105"/>
        </w:rPr>
        <w:t> </w:t>
      </w:r>
      <w:r>
        <w:rPr>
          <w:w w:val="105"/>
        </w:rPr>
        <w:t>the</w:t>
      </w:r>
      <w:r>
        <w:rPr>
          <w:spacing w:val="-8"/>
          <w:w w:val="105"/>
        </w:rPr>
        <w:t> </w:t>
      </w:r>
      <w:r>
        <w:rPr>
          <w:w w:val="105"/>
        </w:rPr>
        <w:t>Japanese</w:t>
      </w:r>
      <w:r>
        <w:rPr>
          <w:spacing w:val="-8"/>
          <w:w w:val="105"/>
        </w:rPr>
        <w:t> </w:t>
      </w:r>
      <w:r>
        <w:rPr>
          <w:w w:val="105"/>
        </w:rPr>
        <w:t>yen,</w:t>
      </w:r>
      <w:r>
        <w:rPr>
          <w:spacing w:val="-8"/>
          <w:w w:val="105"/>
        </w:rPr>
        <w:t> </w:t>
      </w:r>
      <w:r>
        <w:rPr>
          <w:w w:val="105"/>
        </w:rPr>
        <w:t>South</w:t>
      </w:r>
      <w:r>
        <w:rPr>
          <w:spacing w:val="-8"/>
          <w:w w:val="105"/>
        </w:rPr>
        <w:t> </w:t>
      </w:r>
      <w:r>
        <w:rPr>
          <w:w w:val="105"/>
        </w:rPr>
        <w:t>Korean</w:t>
      </w:r>
      <w:r>
        <w:rPr>
          <w:spacing w:val="-8"/>
          <w:w w:val="105"/>
        </w:rPr>
        <w:t> </w:t>
      </w:r>
      <w:r>
        <w:rPr>
          <w:w w:val="105"/>
        </w:rPr>
        <w:t>won,</w:t>
      </w:r>
      <w:r>
        <w:rPr>
          <w:spacing w:val="-8"/>
          <w:w w:val="105"/>
        </w:rPr>
        <w:t> </w:t>
      </w:r>
      <w:r>
        <w:rPr>
          <w:w w:val="105"/>
        </w:rPr>
        <w:t>new</w:t>
      </w:r>
      <w:r>
        <w:rPr>
          <w:spacing w:val="-8"/>
          <w:w w:val="105"/>
        </w:rPr>
        <w:t> </w:t>
      </w:r>
      <w:r>
        <w:rPr>
          <w:w w:val="105"/>
        </w:rPr>
        <w:t>Taiwan</w:t>
      </w:r>
      <w:r>
        <w:rPr>
          <w:spacing w:val="-8"/>
          <w:w w:val="105"/>
        </w:rPr>
        <w:t> </w:t>
      </w:r>
      <w:r>
        <w:rPr>
          <w:w w:val="105"/>
        </w:rPr>
        <w:t>dollar,</w:t>
      </w:r>
      <w:r>
        <w:rPr>
          <w:spacing w:val="-8"/>
          <w:w w:val="105"/>
        </w:rPr>
        <w:t> </w:t>
      </w:r>
      <w:r>
        <w:rPr>
          <w:w w:val="105"/>
        </w:rPr>
        <w:t>Chinese</w:t>
      </w:r>
      <w:r>
        <w:rPr>
          <w:spacing w:val="-8"/>
          <w:w w:val="105"/>
        </w:rPr>
        <w:t> </w:t>
      </w:r>
      <w:r>
        <w:rPr>
          <w:w w:val="105"/>
        </w:rPr>
        <w:t>yuan,</w:t>
      </w:r>
      <w:r>
        <w:rPr>
          <w:spacing w:val="-8"/>
          <w:w w:val="105"/>
        </w:rPr>
        <w:t> </w:t>
      </w:r>
      <w:r>
        <w:rPr>
          <w:w w:val="105"/>
        </w:rPr>
        <w:t>and</w:t>
      </w:r>
      <w:r>
        <w:rPr>
          <w:spacing w:val="-8"/>
          <w:w w:val="105"/>
        </w:rPr>
        <w:t> </w:t>
      </w:r>
      <w:r>
        <w:rPr>
          <w:w w:val="105"/>
        </w:rPr>
        <w:t>the</w:t>
      </w:r>
      <w:r>
        <w:rPr>
          <w:spacing w:val="-8"/>
          <w:w w:val="105"/>
        </w:rPr>
        <w:t> </w:t>
      </w:r>
      <w:r>
        <w:rPr>
          <w:w w:val="105"/>
        </w:rPr>
        <w:t>euro.</w:t>
      </w:r>
      <w:r>
        <w:rPr>
          <w:spacing w:val="-8"/>
          <w:w w:val="105"/>
        </w:rPr>
        <w:t> </w:t>
      </w:r>
      <w:r>
        <w:rPr>
          <w:w w:val="105"/>
        </w:rPr>
        <w:t>We</w:t>
      </w:r>
      <w:r>
        <w:rPr>
          <w:spacing w:val="-8"/>
          <w:w w:val="105"/>
        </w:rPr>
        <w:t> </w:t>
      </w:r>
      <w:r>
        <w:rPr>
          <w:w w:val="105"/>
        </w:rPr>
        <w:t>seek</w:t>
      </w:r>
      <w:r>
        <w:rPr>
          <w:spacing w:val="-8"/>
          <w:w w:val="105"/>
        </w:rPr>
        <w:t> </w:t>
      </w:r>
      <w:r>
        <w:rPr>
          <w:w w:val="105"/>
        </w:rPr>
        <w:t>to</w:t>
      </w:r>
      <w:r>
        <w:rPr>
          <w:spacing w:val="-8"/>
          <w:w w:val="105"/>
        </w:rPr>
        <w:t> </w:t>
      </w:r>
      <w:r>
        <w:rPr>
          <w:w w:val="105"/>
        </w:rPr>
        <w:t>mitigate</w:t>
      </w:r>
      <w:r>
        <w:rPr>
          <w:spacing w:val="-8"/>
          <w:w w:val="105"/>
        </w:rPr>
        <w:t> </w:t>
      </w:r>
      <w:r>
        <w:rPr>
          <w:w w:val="105"/>
        </w:rPr>
        <w:t>the impact</w:t>
      </w:r>
      <w:r>
        <w:rPr>
          <w:spacing w:val="-2"/>
          <w:w w:val="105"/>
        </w:rPr>
        <w:t> </w:t>
      </w:r>
      <w:r>
        <w:rPr>
          <w:w w:val="105"/>
        </w:rPr>
        <w:t>of</w:t>
      </w:r>
      <w:r>
        <w:rPr>
          <w:spacing w:val="-2"/>
          <w:w w:val="105"/>
        </w:rPr>
        <w:t> </w:t>
      </w:r>
      <w:r>
        <w:rPr>
          <w:w w:val="105"/>
        </w:rPr>
        <w:t>exchange</w:t>
      </w:r>
      <w:r>
        <w:rPr>
          <w:spacing w:val="-2"/>
          <w:w w:val="105"/>
        </w:rPr>
        <w:t> </w:t>
      </w:r>
      <w:r>
        <w:rPr>
          <w:w w:val="105"/>
        </w:rPr>
        <w:t>rate</w:t>
      </w:r>
      <w:r>
        <w:rPr>
          <w:spacing w:val="-2"/>
          <w:w w:val="105"/>
        </w:rPr>
        <w:t> </w:t>
      </w:r>
      <w:r>
        <w:rPr>
          <w:w w:val="105"/>
        </w:rPr>
        <w:t>movements</w:t>
      </w:r>
      <w:r>
        <w:rPr>
          <w:spacing w:val="-2"/>
          <w:w w:val="105"/>
        </w:rPr>
        <w:t> </w:t>
      </w:r>
      <w:r>
        <w:rPr>
          <w:w w:val="105"/>
        </w:rPr>
        <w:t>in</w:t>
      </w:r>
      <w:r>
        <w:rPr>
          <w:spacing w:val="-2"/>
          <w:w w:val="105"/>
        </w:rPr>
        <w:t> </w:t>
      </w:r>
      <w:r>
        <w:rPr>
          <w:w w:val="105"/>
        </w:rPr>
        <w:t>our</w:t>
      </w:r>
      <w:r>
        <w:rPr>
          <w:spacing w:val="-2"/>
          <w:w w:val="105"/>
        </w:rPr>
        <w:t> </w:t>
      </w:r>
      <w:r>
        <w:rPr>
          <w:w w:val="105"/>
        </w:rPr>
        <w:t>income</w:t>
      </w:r>
      <w:r>
        <w:rPr>
          <w:spacing w:val="-2"/>
          <w:w w:val="105"/>
        </w:rPr>
        <w:t> </w:t>
      </w:r>
      <w:r>
        <w:rPr>
          <w:w w:val="105"/>
        </w:rPr>
        <w:t>statement</w:t>
      </w:r>
      <w:r>
        <w:rPr>
          <w:spacing w:val="-2"/>
          <w:w w:val="105"/>
        </w:rPr>
        <w:t> </w:t>
      </w:r>
      <w:r>
        <w:rPr>
          <w:w w:val="105"/>
        </w:rPr>
        <w:t>by</w:t>
      </w:r>
      <w:r>
        <w:rPr>
          <w:spacing w:val="-2"/>
          <w:w w:val="105"/>
        </w:rPr>
        <w:t> </w:t>
      </w:r>
      <w:r>
        <w:rPr>
          <w:w w:val="105"/>
        </w:rPr>
        <w:t>using</w:t>
      </w:r>
      <w:r>
        <w:rPr>
          <w:spacing w:val="-2"/>
          <w:w w:val="105"/>
        </w:rPr>
        <w:t> </w:t>
      </w:r>
      <w:r>
        <w:rPr>
          <w:w w:val="105"/>
        </w:rPr>
        <w:t>over-the-counter</w:t>
      </w:r>
      <w:r>
        <w:rPr>
          <w:spacing w:val="-2"/>
          <w:w w:val="105"/>
        </w:rPr>
        <w:t> </w:t>
      </w:r>
      <w:r>
        <w:rPr>
          <w:w w:val="105"/>
        </w:rPr>
        <w:t>(OTC)</w:t>
      </w:r>
      <w:r>
        <w:rPr>
          <w:spacing w:val="-2"/>
          <w:w w:val="105"/>
        </w:rPr>
        <w:t> </w:t>
      </w:r>
      <w:r>
        <w:rPr>
          <w:w w:val="105"/>
        </w:rPr>
        <w:t>derivative</w:t>
      </w:r>
      <w:r>
        <w:rPr>
          <w:spacing w:val="-2"/>
          <w:w w:val="105"/>
        </w:rPr>
        <w:t> </w:t>
      </w:r>
      <w:r>
        <w:rPr>
          <w:w w:val="105"/>
        </w:rPr>
        <w:t>instruments</w:t>
      </w:r>
      <w:r>
        <w:rPr>
          <w:spacing w:val="-2"/>
          <w:w w:val="105"/>
        </w:rPr>
        <w:t> </w:t>
      </w:r>
      <w:r>
        <w:rPr>
          <w:w w:val="105"/>
        </w:rPr>
        <w:t>including</w:t>
      </w:r>
      <w:r>
        <w:rPr>
          <w:spacing w:val="-2"/>
          <w:w w:val="105"/>
        </w:rPr>
        <w:t> </w:t>
      </w:r>
      <w:r>
        <w:rPr>
          <w:w w:val="105"/>
        </w:rPr>
        <w:t>foreign exchange</w:t>
      </w:r>
      <w:r>
        <w:rPr>
          <w:spacing w:val="-2"/>
          <w:w w:val="105"/>
        </w:rPr>
        <w:t> </w:t>
      </w:r>
      <w:r>
        <w:rPr>
          <w:w w:val="105"/>
        </w:rPr>
        <w:t>forward</w:t>
      </w:r>
      <w:r>
        <w:rPr>
          <w:spacing w:val="-2"/>
          <w:w w:val="105"/>
        </w:rPr>
        <w:t> </w:t>
      </w:r>
      <w:r>
        <w:rPr>
          <w:w w:val="105"/>
        </w:rPr>
        <w:t>and</w:t>
      </w:r>
      <w:r>
        <w:rPr>
          <w:spacing w:val="-2"/>
          <w:w w:val="105"/>
        </w:rPr>
        <w:t> </w:t>
      </w:r>
      <w:r>
        <w:rPr>
          <w:w w:val="105"/>
        </w:rPr>
        <w:t>option contracts. In general, these hedges expire coincident with the timing of the underlying foreign currency commitments and transactions.</w:t>
      </w:r>
    </w:p>
    <w:p>
      <w:pPr>
        <w:pStyle w:val="BodyText"/>
        <w:spacing w:before="19"/>
      </w:pPr>
    </w:p>
    <w:p>
      <w:pPr>
        <w:pStyle w:val="BodyText"/>
        <w:spacing w:line="266" w:lineRule="auto"/>
        <w:ind w:left="156" w:right="117"/>
      </w:pPr>
      <w:r>
        <w:rPr>
          <w:w w:val="105"/>
        </w:rPr>
        <w:t>We</w:t>
      </w:r>
      <w:r>
        <w:rPr>
          <w:spacing w:val="-2"/>
          <w:w w:val="105"/>
        </w:rPr>
        <w:t> </w:t>
      </w:r>
      <w:r>
        <w:rPr>
          <w:w w:val="105"/>
        </w:rPr>
        <w:t>are</w:t>
      </w:r>
      <w:r>
        <w:rPr>
          <w:spacing w:val="-2"/>
          <w:w w:val="105"/>
        </w:rPr>
        <w:t> </w:t>
      </w:r>
      <w:r>
        <w:rPr>
          <w:w w:val="105"/>
        </w:rPr>
        <w:t>exposed</w:t>
      </w:r>
      <w:r>
        <w:rPr>
          <w:spacing w:val="-2"/>
          <w:w w:val="105"/>
        </w:rPr>
        <w:t> </w:t>
      </w:r>
      <w:r>
        <w:rPr>
          <w:w w:val="105"/>
        </w:rPr>
        <w:t>to</w:t>
      </w:r>
      <w:r>
        <w:rPr>
          <w:spacing w:val="-2"/>
          <w:w w:val="105"/>
        </w:rPr>
        <w:t> </w:t>
      </w:r>
      <w:r>
        <w:rPr>
          <w:w w:val="105"/>
        </w:rPr>
        <w:t>potential</w:t>
      </w:r>
      <w:r>
        <w:rPr>
          <w:spacing w:val="-2"/>
          <w:w w:val="105"/>
        </w:rPr>
        <w:t> </w:t>
      </w:r>
      <w:r>
        <w:rPr>
          <w:w w:val="105"/>
        </w:rPr>
        <w:t>losses</w:t>
      </w:r>
      <w:r>
        <w:rPr>
          <w:spacing w:val="-2"/>
          <w:w w:val="105"/>
        </w:rPr>
        <w:t> </w:t>
      </w:r>
      <w:r>
        <w:rPr>
          <w:w w:val="105"/>
        </w:rPr>
        <w:t>in</w:t>
      </w:r>
      <w:r>
        <w:rPr>
          <w:spacing w:val="-2"/>
          <w:w w:val="105"/>
        </w:rPr>
        <w:t> </w:t>
      </w:r>
      <w:r>
        <w:rPr>
          <w:w w:val="105"/>
        </w:rPr>
        <w:t>the</w:t>
      </w:r>
      <w:r>
        <w:rPr>
          <w:spacing w:val="-2"/>
          <w:w w:val="105"/>
        </w:rPr>
        <w:t> </w:t>
      </w:r>
      <w:r>
        <w:rPr>
          <w:w w:val="105"/>
        </w:rPr>
        <w:t>event</w:t>
      </w:r>
      <w:r>
        <w:rPr>
          <w:spacing w:val="-2"/>
          <w:w w:val="105"/>
        </w:rPr>
        <w:t> </w:t>
      </w:r>
      <w:r>
        <w:rPr>
          <w:w w:val="105"/>
        </w:rPr>
        <w:t>of</w:t>
      </w:r>
      <w:r>
        <w:rPr>
          <w:spacing w:val="-2"/>
          <w:w w:val="105"/>
        </w:rPr>
        <w:t> </w:t>
      </w:r>
      <w:r>
        <w:rPr>
          <w:w w:val="105"/>
        </w:rPr>
        <w:t>non-performance</w:t>
      </w:r>
      <w:r>
        <w:rPr>
          <w:spacing w:val="-2"/>
          <w:w w:val="105"/>
        </w:rPr>
        <w:t> </w:t>
      </w:r>
      <w:r>
        <w:rPr>
          <w:w w:val="105"/>
        </w:rPr>
        <w:t>by</w:t>
      </w:r>
      <w:r>
        <w:rPr>
          <w:spacing w:val="-2"/>
          <w:w w:val="105"/>
        </w:rPr>
        <w:t> </w:t>
      </w:r>
      <w:r>
        <w:rPr>
          <w:w w:val="105"/>
        </w:rPr>
        <w:t>our</w:t>
      </w:r>
      <w:r>
        <w:rPr>
          <w:spacing w:val="-2"/>
          <w:w w:val="105"/>
        </w:rPr>
        <w:t> </w:t>
      </w:r>
      <w:r>
        <w:rPr>
          <w:w w:val="105"/>
        </w:rPr>
        <w:t>counterparties</w:t>
      </w:r>
      <w:r>
        <w:rPr>
          <w:spacing w:val="-2"/>
          <w:w w:val="105"/>
        </w:rPr>
        <w:t> </w:t>
      </w:r>
      <w:r>
        <w:rPr>
          <w:w w:val="105"/>
        </w:rPr>
        <w:t>to</w:t>
      </w:r>
      <w:r>
        <w:rPr>
          <w:spacing w:val="-2"/>
          <w:w w:val="105"/>
        </w:rPr>
        <w:t> </w:t>
      </w:r>
      <w:r>
        <w:rPr>
          <w:w w:val="105"/>
        </w:rPr>
        <w:t>these</w:t>
      </w:r>
      <w:r>
        <w:rPr>
          <w:spacing w:val="-2"/>
          <w:w w:val="105"/>
        </w:rPr>
        <w:t> </w:t>
      </w:r>
      <w:r>
        <w:rPr>
          <w:w w:val="105"/>
        </w:rPr>
        <w:t>derivative</w:t>
      </w:r>
      <w:r>
        <w:rPr>
          <w:spacing w:val="-2"/>
          <w:w w:val="105"/>
        </w:rPr>
        <w:t> </w:t>
      </w:r>
      <w:r>
        <w:rPr>
          <w:w w:val="105"/>
        </w:rPr>
        <w:t>contracts.</w:t>
      </w:r>
      <w:r>
        <w:rPr>
          <w:spacing w:val="-2"/>
          <w:w w:val="105"/>
        </w:rPr>
        <w:t> </w:t>
      </w:r>
      <w:r>
        <w:rPr>
          <w:w w:val="105"/>
        </w:rPr>
        <w:t>However,</w:t>
      </w:r>
      <w:r>
        <w:rPr>
          <w:spacing w:val="-2"/>
          <w:w w:val="105"/>
        </w:rPr>
        <w:t> </w:t>
      </w:r>
      <w:r>
        <w:rPr>
          <w:w w:val="105"/>
        </w:rPr>
        <w:t>we</w:t>
      </w:r>
      <w:r>
        <w:rPr>
          <w:spacing w:val="-2"/>
          <w:w w:val="105"/>
        </w:rPr>
        <w:t> </w:t>
      </w:r>
      <w:r>
        <w:rPr>
          <w:w w:val="105"/>
        </w:rPr>
        <w:t>minimize</w:t>
      </w:r>
      <w:r>
        <w:rPr>
          <w:spacing w:val="-2"/>
          <w:w w:val="105"/>
        </w:rPr>
        <w:t> </w:t>
      </w:r>
      <w:r>
        <w:rPr>
          <w:w w:val="105"/>
        </w:rPr>
        <w:t>this</w:t>
      </w:r>
      <w:r>
        <w:rPr>
          <w:spacing w:val="-2"/>
          <w:w w:val="105"/>
        </w:rPr>
        <w:t> </w:t>
      </w:r>
      <w:r>
        <w:rPr>
          <w:w w:val="105"/>
        </w:rPr>
        <w:t>risk</w:t>
      </w:r>
      <w:r>
        <w:rPr>
          <w:spacing w:val="-2"/>
          <w:w w:val="105"/>
        </w:rPr>
        <w:t> </w:t>
      </w:r>
      <w:r>
        <w:rPr>
          <w:w w:val="105"/>
        </w:rPr>
        <w:t>by</w:t>
      </w:r>
      <w:r>
        <w:rPr>
          <w:spacing w:val="-2"/>
          <w:w w:val="105"/>
        </w:rPr>
        <w:t> </w:t>
      </w:r>
      <w:r>
        <w:rPr>
          <w:w w:val="105"/>
        </w:rPr>
        <w:t>maintaining</w:t>
      </w:r>
      <w:r>
        <w:rPr>
          <w:spacing w:val="-2"/>
          <w:w w:val="105"/>
        </w:rPr>
        <w:t> </w:t>
      </w:r>
      <w:r>
        <w:rPr>
          <w:w w:val="105"/>
        </w:rPr>
        <w:t>a diverse</w:t>
      </w:r>
      <w:r>
        <w:rPr>
          <w:spacing w:val="-8"/>
          <w:w w:val="105"/>
        </w:rPr>
        <w:t> </w:t>
      </w:r>
      <w:r>
        <w:rPr>
          <w:w w:val="105"/>
        </w:rPr>
        <w:t>group</w:t>
      </w:r>
      <w:r>
        <w:rPr>
          <w:spacing w:val="-8"/>
          <w:w w:val="105"/>
        </w:rPr>
        <w:t> </w:t>
      </w:r>
      <w:r>
        <w:rPr>
          <w:w w:val="105"/>
        </w:rPr>
        <w:t>of</w:t>
      </w:r>
      <w:r>
        <w:rPr>
          <w:spacing w:val="-8"/>
          <w:w w:val="105"/>
        </w:rPr>
        <w:t> </w:t>
      </w:r>
      <w:r>
        <w:rPr>
          <w:w w:val="105"/>
        </w:rPr>
        <w:t>highly-rated</w:t>
      </w:r>
      <w:r>
        <w:rPr>
          <w:spacing w:val="-8"/>
          <w:w w:val="105"/>
        </w:rPr>
        <w:t> </w:t>
      </w:r>
      <w:r>
        <w:rPr>
          <w:w w:val="105"/>
        </w:rPr>
        <w:t>major</w:t>
      </w:r>
      <w:r>
        <w:rPr>
          <w:spacing w:val="-8"/>
          <w:w w:val="105"/>
        </w:rPr>
        <w:t> </w:t>
      </w:r>
      <w:r>
        <w:rPr>
          <w:w w:val="105"/>
        </w:rPr>
        <w:t>financial</w:t>
      </w:r>
      <w:r>
        <w:rPr>
          <w:spacing w:val="-8"/>
          <w:w w:val="105"/>
        </w:rPr>
        <w:t> </w:t>
      </w:r>
      <w:r>
        <w:rPr>
          <w:w w:val="105"/>
        </w:rPr>
        <w:t>institutions</w:t>
      </w:r>
      <w:r>
        <w:rPr>
          <w:spacing w:val="-8"/>
          <w:w w:val="105"/>
        </w:rPr>
        <w:t> </w:t>
      </w:r>
      <w:r>
        <w:rPr>
          <w:w w:val="105"/>
        </w:rPr>
        <w:t>as</w:t>
      </w:r>
      <w:r>
        <w:rPr>
          <w:spacing w:val="-8"/>
          <w:w w:val="105"/>
        </w:rPr>
        <w:t> </w:t>
      </w:r>
      <w:r>
        <w:rPr>
          <w:w w:val="105"/>
        </w:rPr>
        <w:t>our</w:t>
      </w:r>
      <w:r>
        <w:rPr>
          <w:spacing w:val="-8"/>
          <w:w w:val="105"/>
        </w:rPr>
        <w:t> </w:t>
      </w:r>
      <w:r>
        <w:rPr>
          <w:w w:val="105"/>
        </w:rPr>
        <w:t>counterparties.</w:t>
      </w:r>
      <w:r>
        <w:rPr>
          <w:spacing w:val="-8"/>
          <w:w w:val="105"/>
        </w:rPr>
        <w:t> </w:t>
      </w:r>
      <w:r>
        <w:rPr>
          <w:w w:val="105"/>
        </w:rPr>
        <w:t>We</w:t>
      </w:r>
      <w:r>
        <w:rPr>
          <w:spacing w:val="-8"/>
          <w:w w:val="105"/>
        </w:rPr>
        <w:t> </w:t>
      </w:r>
      <w:r>
        <w:rPr>
          <w:w w:val="105"/>
        </w:rPr>
        <w:t>do</w:t>
      </w:r>
      <w:r>
        <w:rPr>
          <w:spacing w:val="-8"/>
          <w:w w:val="105"/>
        </w:rPr>
        <w:t> </w:t>
      </w:r>
      <w:r>
        <w:rPr>
          <w:w w:val="105"/>
        </w:rPr>
        <w:t>not</w:t>
      </w:r>
      <w:r>
        <w:rPr>
          <w:spacing w:val="-8"/>
          <w:w w:val="105"/>
        </w:rPr>
        <w:t> </w:t>
      </w:r>
      <w:r>
        <w:rPr>
          <w:w w:val="105"/>
        </w:rPr>
        <w:t>expect</w:t>
      </w:r>
      <w:r>
        <w:rPr>
          <w:spacing w:val="-8"/>
          <w:w w:val="105"/>
        </w:rPr>
        <w:t> </w:t>
      </w:r>
      <w:r>
        <w:rPr>
          <w:w w:val="105"/>
        </w:rPr>
        <w:t>to</w:t>
      </w:r>
      <w:r>
        <w:rPr>
          <w:spacing w:val="-8"/>
          <w:w w:val="105"/>
        </w:rPr>
        <w:t> </w:t>
      </w:r>
      <w:r>
        <w:rPr>
          <w:w w:val="105"/>
        </w:rPr>
        <w:t>record</w:t>
      </w:r>
      <w:r>
        <w:rPr>
          <w:spacing w:val="-8"/>
          <w:w w:val="105"/>
        </w:rPr>
        <w:t> </w:t>
      </w:r>
      <w:r>
        <w:rPr>
          <w:w w:val="105"/>
        </w:rPr>
        <w:t>any</w:t>
      </w:r>
      <w:r>
        <w:rPr>
          <w:spacing w:val="-8"/>
          <w:w w:val="105"/>
        </w:rPr>
        <w:t> </w:t>
      </w:r>
      <w:r>
        <w:rPr>
          <w:w w:val="105"/>
        </w:rPr>
        <w:t>losses</w:t>
      </w:r>
      <w:r>
        <w:rPr>
          <w:spacing w:val="-8"/>
          <w:w w:val="105"/>
        </w:rPr>
        <w:t> </w:t>
      </w:r>
      <w:r>
        <w:rPr>
          <w:w w:val="105"/>
        </w:rPr>
        <w:t>as</w:t>
      </w:r>
      <w:r>
        <w:rPr>
          <w:spacing w:val="-8"/>
          <w:w w:val="105"/>
        </w:rPr>
        <w:t> </w:t>
      </w:r>
      <w:r>
        <w:rPr>
          <w:w w:val="105"/>
        </w:rPr>
        <w:t>a</w:t>
      </w:r>
      <w:r>
        <w:rPr>
          <w:spacing w:val="-8"/>
          <w:w w:val="105"/>
        </w:rPr>
        <w:t> </w:t>
      </w:r>
      <w:r>
        <w:rPr>
          <w:w w:val="105"/>
        </w:rPr>
        <w:t>result</w:t>
      </w:r>
      <w:r>
        <w:rPr>
          <w:spacing w:val="-8"/>
          <w:w w:val="105"/>
        </w:rPr>
        <w:t> </w:t>
      </w:r>
      <w:r>
        <w:rPr>
          <w:w w:val="105"/>
        </w:rPr>
        <w:t>of</w:t>
      </w:r>
      <w:r>
        <w:rPr>
          <w:spacing w:val="-8"/>
          <w:w w:val="105"/>
        </w:rPr>
        <w:t> </w:t>
      </w:r>
      <w:r>
        <w:rPr>
          <w:w w:val="105"/>
        </w:rPr>
        <w:t>such</w:t>
      </w:r>
      <w:r>
        <w:rPr>
          <w:spacing w:val="-6"/>
          <w:w w:val="105"/>
        </w:rPr>
        <w:t> </w:t>
      </w:r>
      <w:r>
        <w:rPr>
          <w:w w:val="105"/>
        </w:rPr>
        <w:t>counterparty</w:t>
      </w:r>
      <w:r>
        <w:rPr>
          <w:spacing w:val="-8"/>
          <w:w w:val="105"/>
        </w:rPr>
        <w:t> </w:t>
      </w:r>
      <w:r>
        <w:rPr>
          <w:w w:val="105"/>
        </w:rPr>
        <w:t>default.</w:t>
      </w:r>
      <w:r>
        <w:rPr>
          <w:spacing w:val="-8"/>
          <w:w w:val="105"/>
        </w:rPr>
        <w:t> </w:t>
      </w:r>
      <w:r>
        <w:rPr>
          <w:w w:val="105"/>
        </w:rPr>
        <w:t>Neither</w:t>
      </w:r>
      <w:r>
        <w:rPr>
          <w:spacing w:val="-8"/>
          <w:w w:val="105"/>
        </w:rPr>
        <w:t> </w:t>
      </w:r>
      <w:r>
        <w:rPr>
          <w:w w:val="105"/>
        </w:rPr>
        <w:t>we</w:t>
      </w:r>
      <w:r>
        <w:rPr>
          <w:spacing w:val="-8"/>
          <w:w w:val="105"/>
        </w:rPr>
        <w:t> </w:t>
      </w:r>
      <w:r>
        <w:rPr>
          <w:w w:val="105"/>
        </w:rPr>
        <w:t>nor our counterparties are required to post collateral for these financial instruments.</w:t>
      </w:r>
    </w:p>
    <w:p>
      <w:pPr>
        <w:pStyle w:val="BodyText"/>
        <w:spacing w:before="18"/>
      </w:pPr>
    </w:p>
    <w:p>
      <w:pPr>
        <w:pStyle w:val="BodyText"/>
        <w:spacing w:line="266" w:lineRule="auto"/>
        <w:ind w:left="156"/>
      </w:pPr>
      <w:r>
        <w:rPr>
          <w:w w:val="105"/>
        </w:rPr>
        <w:t>Our</w:t>
      </w:r>
      <w:r>
        <w:rPr>
          <w:spacing w:val="-8"/>
          <w:w w:val="105"/>
        </w:rPr>
        <w:t> </w:t>
      </w:r>
      <w:r>
        <w:rPr>
          <w:w w:val="105"/>
        </w:rPr>
        <w:t>cash</w:t>
      </w:r>
      <w:r>
        <w:rPr>
          <w:spacing w:val="-8"/>
          <w:w w:val="105"/>
        </w:rPr>
        <w:t> </w:t>
      </w:r>
      <w:r>
        <w:rPr>
          <w:w w:val="105"/>
        </w:rPr>
        <w:t>flow</w:t>
      </w:r>
      <w:r>
        <w:rPr>
          <w:spacing w:val="-8"/>
          <w:w w:val="105"/>
        </w:rPr>
        <w:t> </w:t>
      </w:r>
      <w:r>
        <w:rPr>
          <w:w w:val="105"/>
        </w:rPr>
        <w:t>hedging</w:t>
      </w:r>
      <w:r>
        <w:rPr>
          <w:spacing w:val="-8"/>
          <w:w w:val="105"/>
        </w:rPr>
        <w:t> </w:t>
      </w:r>
      <w:r>
        <w:rPr>
          <w:w w:val="105"/>
        </w:rPr>
        <w:t>activities</w:t>
      </w:r>
      <w:r>
        <w:rPr>
          <w:spacing w:val="-8"/>
          <w:w w:val="105"/>
        </w:rPr>
        <w:t> </w:t>
      </w:r>
      <w:r>
        <w:rPr>
          <w:w w:val="105"/>
        </w:rPr>
        <w:t>utilize</w:t>
      </w:r>
      <w:r>
        <w:rPr>
          <w:spacing w:val="-8"/>
          <w:w w:val="105"/>
        </w:rPr>
        <w:t> </w:t>
      </w:r>
      <w:r>
        <w:rPr>
          <w:w w:val="105"/>
        </w:rPr>
        <w:t>OTC</w:t>
      </w:r>
      <w:r>
        <w:rPr>
          <w:spacing w:val="-8"/>
          <w:w w:val="105"/>
        </w:rPr>
        <w:t> </w:t>
      </w:r>
      <w:r>
        <w:rPr>
          <w:w w:val="105"/>
        </w:rPr>
        <w:t>foreign</w:t>
      </w:r>
      <w:r>
        <w:rPr>
          <w:spacing w:val="-8"/>
          <w:w w:val="105"/>
        </w:rPr>
        <w:t> </w:t>
      </w:r>
      <w:r>
        <w:rPr>
          <w:w w:val="105"/>
        </w:rPr>
        <w:t>exchange</w:t>
      </w:r>
      <w:r>
        <w:rPr>
          <w:spacing w:val="-6"/>
          <w:w w:val="105"/>
        </w:rPr>
        <w:t> </w:t>
      </w:r>
      <w:r>
        <w:rPr>
          <w:w w:val="105"/>
        </w:rPr>
        <w:t>forward</w:t>
      </w:r>
      <w:r>
        <w:rPr>
          <w:spacing w:val="-8"/>
          <w:w w:val="105"/>
        </w:rPr>
        <w:t> </w:t>
      </w:r>
      <w:r>
        <w:rPr>
          <w:w w:val="105"/>
        </w:rPr>
        <w:t>contracts</w:t>
      </w:r>
      <w:r>
        <w:rPr>
          <w:spacing w:val="-8"/>
          <w:w w:val="105"/>
        </w:rPr>
        <w:t> </w:t>
      </w:r>
      <w:r>
        <w:rPr>
          <w:w w:val="105"/>
        </w:rPr>
        <w:t>to</w:t>
      </w:r>
      <w:r>
        <w:rPr>
          <w:spacing w:val="-8"/>
          <w:w w:val="105"/>
        </w:rPr>
        <w:t> </w:t>
      </w:r>
      <w:r>
        <w:rPr>
          <w:w w:val="105"/>
        </w:rPr>
        <w:t>reduce</w:t>
      </w:r>
      <w:r>
        <w:rPr>
          <w:spacing w:val="-8"/>
          <w:w w:val="105"/>
        </w:rPr>
        <w:t> </w:t>
      </w:r>
      <w:r>
        <w:rPr>
          <w:w w:val="105"/>
        </w:rPr>
        <w:t>the</w:t>
      </w:r>
      <w:r>
        <w:rPr>
          <w:spacing w:val="-8"/>
          <w:w w:val="105"/>
        </w:rPr>
        <w:t> </w:t>
      </w:r>
      <w:r>
        <w:rPr>
          <w:w w:val="105"/>
        </w:rPr>
        <w:t>risk</w:t>
      </w:r>
      <w:r>
        <w:rPr>
          <w:spacing w:val="-8"/>
          <w:w w:val="105"/>
        </w:rPr>
        <w:t> </w:t>
      </w:r>
      <w:r>
        <w:rPr>
          <w:w w:val="105"/>
        </w:rPr>
        <w:t>that</w:t>
      </w:r>
      <w:r>
        <w:rPr>
          <w:spacing w:val="-8"/>
          <w:w w:val="105"/>
        </w:rPr>
        <w:t> </w:t>
      </w:r>
      <w:r>
        <w:rPr>
          <w:w w:val="105"/>
        </w:rPr>
        <w:t>movements</w:t>
      </w:r>
      <w:r>
        <w:rPr>
          <w:spacing w:val="-6"/>
          <w:w w:val="105"/>
        </w:rPr>
        <w:t> </w:t>
      </w:r>
      <w:r>
        <w:rPr>
          <w:w w:val="105"/>
        </w:rPr>
        <w:t>in</w:t>
      </w:r>
      <w:r>
        <w:rPr>
          <w:spacing w:val="-8"/>
          <w:w w:val="105"/>
        </w:rPr>
        <w:t> </w:t>
      </w:r>
      <w:r>
        <w:rPr>
          <w:w w:val="105"/>
        </w:rPr>
        <w:t>exchange</w:t>
      </w:r>
      <w:r>
        <w:rPr>
          <w:spacing w:val="-8"/>
          <w:w w:val="105"/>
        </w:rPr>
        <w:t> </w:t>
      </w:r>
      <w:r>
        <w:rPr>
          <w:w w:val="105"/>
        </w:rPr>
        <w:t>rates</w:t>
      </w:r>
      <w:r>
        <w:rPr>
          <w:spacing w:val="-8"/>
          <w:w w:val="105"/>
        </w:rPr>
        <w:t> </w:t>
      </w:r>
      <w:r>
        <w:rPr>
          <w:w w:val="105"/>
        </w:rPr>
        <w:t>will</w:t>
      </w:r>
      <w:r>
        <w:rPr>
          <w:spacing w:val="-8"/>
          <w:w w:val="105"/>
        </w:rPr>
        <w:t> </w:t>
      </w:r>
      <w:r>
        <w:rPr>
          <w:w w:val="105"/>
        </w:rPr>
        <w:t>adversely</w:t>
      </w:r>
      <w:r>
        <w:rPr>
          <w:spacing w:val="-8"/>
          <w:w w:val="105"/>
        </w:rPr>
        <w:t> </w:t>
      </w:r>
      <w:r>
        <w:rPr>
          <w:w w:val="105"/>
        </w:rPr>
        <w:t>affect</w:t>
      </w:r>
      <w:r>
        <w:rPr>
          <w:spacing w:val="-8"/>
          <w:w w:val="105"/>
        </w:rPr>
        <w:t> </w:t>
      </w:r>
      <w:r>
        <w:rPr>
          <w:w w:val="105"/>
        </w:rPr>
        <w:t>the</w:t>
      </w:r>
      <w:r>
        <w:rPr>
          <w:spacing w:val="-8"/>
          <w:w w:val="105"/>
        </w:rPr>
        <w:t> </w:t>
      </w:r>
      <w:r>
        <w:rPr>
          <w:w w:val="105"/>
        </w:rPr>
        <w:t>net</w:t>
      </w:r>
      <w:r>
        <w:rPr>
          <w:spacing w:val="-6"/>
          <w:w w:val="105"/>
        </w:rPr>
        <w:t> </w:t>
      </w:r>
      <w:r>
        <w:rPr>
          <w:w w:val="105"/>
        </w:rPr>
        <w:t>cash</w:t>
      </w:r>
      <w:r>
        <w:rPr>
          <w:spacing w:val="-8"/>
          <w:w w:val="105"/>
        </w:rPr>
        <w:t> </w:t>
      </w:r>
      <w:r>
        <w:rPr>
          <w:w w:val="105"/>
        </w:rPr>
        <w:t>flows resulting</w:t>
      </w:r>
      <w:r>
        <w:rPr>
          <w:spacing w:val="-7"/>
          <w:w w:val="105"/>
        </w:rPr>
        <w:t> </w:t>
      </w:r>
      <w:r>
        <w:rPr>
          <w:w w:val="105"/>
        </w:rPr>
        <w:t>from</w:t>
      </w:r>
      <w:r>
        <w:rPr>
          <w:spacing w:val="-7"/>
          <w:w w:val="105"/>
        </w:rPr>
        <w:t> </w:t>
      </w:r>
      <w:r>
        <w:rPr>
          <w:w w:val="105"/>
        </w:rPr>
        <w:t>the</w:t>
      </w:r>
      <w:r>
        <w:rPr>
          <w:spacing w:val="-7"/>
          <w:w w:val="105"/>
        </w:rPr>
        <w:t> </w:t>
      </w:r>
      <w:r>
        <w:rPr>
          <w:w w:val="105"/>
        </w:rPr>
        <w:t>sale</w:t>
      </w:r>
      <w:r>
        <w:rPr>
          <w:spacing w:val="-7"/>
          <w:w w:val="105"/>
        </w:rPr>
        <w:t> </w:t>
      </w:r>
      <w:r>
        <w:rPr>
          <w:w w:val="105"/>
        </w:rPr>
        <w:t>of</w:t>
      </w:r>
      <w:r>
        <w:rPr>
          <w:spacing w:val="-7"/>
          <w:w w:val="105"/>
        </w:rPr>
        <w:t> </w:t>
      </w:r>
      <w:r>
        <w:rPr>
          <w:w w:val="105"/>
        </w:rPr>
        <w:t>products</w:t>
      </w:r>
      <w:r>
        <w:rPr>
          <w:spacing w:val="-7"/>
          <w:w w:val="105"/>
        </w:rPr>
        <w:t> </w:t>
      </w:r>
      <w:r>
        <w:rPr>
          <w:w w:val="105"/>
        </w:rPr>
        <w:t>to</w:t>
      </w:r>
      <w:r>
        <w:rPr>
          <w:spacing w:val="-7"/>
          <w:w w:val="105"/>
        </w:rPr>
        <w:t> </w:t>
      </w:r>
      <w:r>
        <w:rPr>
          <w:w w:val="105"/>
        </w:rPr>
        <w:t>foreign</w:t>
      </w:r>
      <w:r>
        <w:rPr>
          <w:spacing w:val="-7"/>
          <w:w w:val="105"/>
        </w:rPr>
        <w:t> </w:t>
      </w:r>
      <w:r>
        <w:rPr>
          <w:w w:val="105"/>
        </w:rPr>
        <w:t>customers</w:t>
      </w:r>
      <w:r>
        <w:rPr>
          <w:spacing w:val="-7"/>
          <w:w w:val="105"/>
        </w:rPr>
        <w:t> </w:t>
      </w:r>
      <w:r>
        <w:rPr>
          <w:w w:val="105"/>
        </w:rPr>
        <w:t>and</w:t>
      </w:r>
      <w:r>
        <w:rPr>
          <w:spacing w:val="-7"/>
          <w:w w:val="105"/>
        </w:rPr>
        <w:t> </w:t>
      </w:r>
      <w:r>
        <w:rPr>
          <w:w w:val="105"/>
        </w:rPr>
        <w:t>purchases</w:t>
      </w:r>
      <w:r>
        <w:rPr>
          <w:spacing w:val="-7"/>
          <w:w w:val="105"/>
        </w:rPr>
        <w:t> </w:t>
      </w:r>
      <w:r>
        <w:rPr>
          <w:w w:val="105"/>
        </w:rPr>
        <w:t>from</w:t>
      </w:r>
      <w:r>
        <w:rPr>
          <w:spacing w:val="-7"/>
          <w:w w:val="105"/>
        </w:rPr>
        <w:t> </w:t>
      </w:r>
      <w:r>
        <w:rPr>
          <w:w w:val="105"/>
        </w:rPr>
        <w:t>foreign</w:t>
      </w:r>
      <w:r>
        <w:rPr>
          <w:spacing w:val="-7"/>
          <w:w w:val="105"/>
        </w:rPr>
        <w:t> </w:t>
      </w:r>
      <w:r>
        <w:rPr>
          <w:w w:val="105"/>
        </w:rPr>
        <w:t>suppliers.</w:t>
      </w:r>
      <w:r>
        <w:rPr>
          <w:spacing w:val="-7"/>
          <w:w w:val="105"/>
        </w:rPr>
        <w:t> </w:t>
      </w:r>
      <w:r>
        <w:rPr>
          <w:w w:val="105"/>
        </w:rPr>
        <w:t>In</w:t>
      </w:r>
      <w:r>
        <w:rPr>
          <w:spacing w:val="-7"/>
          <w:w w:val="105"/>
        </w:rPr>
        <w:t> </w:t>
      </w:r>
      <w:r>
        <w:rPr>
          <w:w w:val="105"/>
        </w:rPr>
        <w:t>our</w:t>
      </w:r>
      <w:r>
        <w:rPr>
          <w:spacing w:val="-7"/>
          <w:w w:val="105"/>
        </w:rPr>
        <w:t> </w:t>
      </w:r>
      <w:r>
        <w:rPr>
          <w:w w:val="105"/>
        </w:rPr>
        <w:t>net</w:t>
      </w:r>
      <w:r>
        <w:rPr>
          <w:spacing w:val="-7"/>
          <w:w w:val="105"/>
        </w:rPr>
        <w:t> </w:t>
      </w:r>
      <w:r>
        <w:rPr>
          <w:w w:val="105"/>
        </w:rPr>
        <w:t>investment</w:t>
      </w:r>
      <w:r>
        <w:rPr>
          <w:spacing w:val="-7"/>
          <w:w w:val="105"/>
        </w:rPr>
        <w:t> </w:t>
      </w:r>
      <w:r>
        <w:rPr>
          <w:w w:val="105"/>
        </w:rPr>
        <w:t>hedging</w:t>
      </w:r>
      <w:r>
        <w:rPr>
          <w:spacing w:val="-7"/>
          <w:w w:val="105"/>
        </w:rPr>
        <w:t> </w:t>
      </w:r>
      <w:r>
        <w:rPr>
          <w:w w:val="105"/>
        </w:rPr>
        <w:t>activity,</w:t>
      </w:r>
      <w:r>
        <w:rPr>
          <w:spacing w:val="-7"/>
          <w:w w:val="105"/>
        </w:rPr>
        <w:t> </w:t>
      </w:r>
      <w:r>
        <w:rPr>
          <w:w w:val="105"/>
        </w:rPr>
        <w:t>we</w:t>
      </w:r>
      <w:r>
        <w:rPr>
          <w:spacing w:val="-7"/>
          <w:w w:val="105"/>
        </w:rPr>
        <w:t> </w:t>
      </w:r>
      <w:r>
        <w:rPr>
          <w:w w:val="105"/>
        </w:rPr>
        <w:t>use</w:t>
      </w:r>
      <w:r>
        <w:rPr>
          <w:spacing w:val="-7"/>
          <w:w w:val="105"/>
        </w:rPr>
        <w:t> </w:t>
      </w:r>
      <w:r>
        <w:rPr>
          <w:w w:val="105"/>
        </w:rPr>
        <w:t>OTC</w:t>
      </w:r>
      <w:r>
        <w:rPr>
          <w:spacing w:val="-7"/>
          <w:w w:val="105"/>
        </w:rPr>
        <w:t> </w:t>
      </w:r>
      <w:r>
        <w:rPr>
          <w:w w:val="105"/>
        </w:rPr>
        <w:t>foreign</w:t>
      </w:r>
      <w:r>
        <w:rPr>
          <w:spacing w:val="-6"/>
          <w:w w:val="105"/>
        </w:rPr>
        <w:t> </w:t>
      </w:r>
      <w:r>
        <w:rPr>
          <w:w w:val="105"/>
        </w:rPr>
        <w:t>exchange</w:t>
      </w:r>
      <w:r>
        <w:rPr>
          <w:spacing w:val="-7"/>
          <w:w w:val="105"/>
        </w:rPr>
        <w:t> </w:t>
      </w:r>
      <w:r>
        <w:rPr>
          <w:w w:val="105"/>
        </w:rPr>
        <w:t>forward contracts</w:t>
      </w:r>
      <w:r>
        <w:rPr>
          <w:spacing w:val="-8"/>
          <w:w w:val="105"/>
        </w:rPr>
        <w:t> </w:t>
      </w:r>
      <w:r>
        <w:rPr>
          <w:w w:val="105"/>
        </w:rPr>
        <w:t>to</w:t>
      </w:r>
      <w:r>
        <w:rPr>
          <w:spacing w:val="-8"/>
          <w:w w:val="105"/>
        </w:rPr>
        <w:t> </w:t>
      </w:r>
      <w:r>
        <w:rPr>
          <w:w w:val="105"/>
        </w:rPr>
        <w:t>hedge</w:t>
      </w:r>
      <w:r>
        <w:rPr>
          <w:spacing w:val="-8"/>
          <w:w w:val="105"/>
        </w:rPr>
        <w:t> </w:t>
      </w:r>
      <w:r>
        <w:rPr>
          <w:w w:val="105"/>
        </w:rPr>
        <w:t>a</w:t>
      </w:r>
      <w:r>
        <w:rPr>
          <w:spacing w:val="-8"/>
          <w:w w:val="105"/>
        </w:rPr>
        <w:t> </w:t>
      </w:r>
      <w:r>
        <w:rPr>
          <w:w w:val="105"/>
        </w:rPr>
        <w:t>portion</w:t>
      </w:r>
      <w:r>
        <w:rPr>
          <w:spacing w:val="-8"/>
          <w:w w:val="105"/>
        </w:rPr>
        <w:t> </w:t>
      </w:r>
      <w:r>
        <w:rPr>
          <w:w w:val="105"/>
        </w:rPr>
        <w:t>of</w:t>
      </w:r>
      <w:r>
        <w:rPr>
          <w:spacing w:val="-8"/>
          <w:w w:val="105"/>
        </w:rPr>
        <w:t> </w:t>
      </w:r>
      <w:r>
        <w:rPr>
          <w:w w:val="105"/>
        </w:rPr>
        <w:t>our</w:t>
      </w:r>
      <w:r>
        <w:rPr>
          <w:spacing w:val="-8"/>
          <w:w w:val="105"/>
        </w:rPr>
        <w:t> </w:t>
      </w:r>
      <w:r>
        <w:rPr>
          <w:w w:val="105"/>
        </w:rPr>
        <w:t>net</w:t>
      </w:r>
      <w:r>
        <w:rPr>
          <w:spacing w:val="-8"/>
          <w:w w:val="105"/>
        </w:rPr>
        <w:t> </w:t>
      </w:r>
      <w:r>
        <w:rPr>
          <w:w w:val="105"/>
        </w:rPr>
        <w:t>investment</w:t>
      </w:r>
      <w:r>
        <w:rPr>
          <w:spacing w:val="-8"/>
          <w:w w:val="105"/>
        </w:rPr>
        <w:t> </w:t>
      </w:r>
      <w:r>
        <w:rPr>
          <w:w w:val="105"/>
        </w:rPr>
        <w:t>in</w:t>
      </w:r>
      <w:r>
        <w:rPr>
          <w:spacing w:val="-8"/>
          <w:w w:val="105"/>
        </w:rPr>
        <w:t> </w:t>
      </w:r>
      <w:r>
        <w:rPr>
          <w:w w:val="105"/>
        </w:rPr>
        <w:t>certain</w:t>
      </w:r>
      <w:r>
        <w:rPr>
          <w:spacing w:val="-8"/>
          <w:w w:val="105"/>
        </w:rPr>
        <w:t> </w:t>
      </w:r>
      <w:r>
        <w:rPr>
          <w:w w:val="105"/>
        </w:rPr>
        <w:t>foreign</w:t>
      </w:r>
      <w:r>
        <w:rPr>
          <w:spacing w:val="-8"/>
          <w:w w:val="105"/>
        </w:rPr>
        <w:t> </w:t>
      </w:r>
      <w:r>
        <w:rPr>
          <w:w w:val="105"/>
        </w:rPr>
        <w:t>operations</w:t>
      </w:r>
      <w:r>
        <w:rPr>
          <w:spacing w:val="-8"/>
          <w:w w:val="105"/>
        </w:rPr>
        <w:t> </w:t>
      </w:r>
      <w:r>
        <w:rPr>
          <w:w w:val="105"/>
        </w:rPr>
        <w:t>against</w:t>
      </w:r>
      <w:r>
        <w:rPr>
          <w:spacing w:val="-8"/>
          <w:w w:val="105"/>
        </w:rPr>
        <w:t> </w:t>
      </w:r>
      <w:r>
        <w:rPr>
          <w:w w:val="105"/>
        </w:rPr>
        <w:t>movements</w:t>
      </w:r>
      <w:r>
        <w:rPr>
          <w:spacing w:val="-8"/>
          <w:w w:val="105"/>
        </w:rPr>
        <w:t> </w:t>
      </w:r>
      <w:r>
        <w:rPr>
          <w:w w:val="105"/>
        </w:rPr>
        <w:t>in</w:t>
      </w:r>
      <w:r>
        <w:rPr>
          <w:spacing w:val="-8"/>
          <w:w w:val="105"/>
        </w:rPr>
        <w:t> </w:t>
      </w:r>
      <w:r>
        <w:rPr>
          <w:w w:val="105"/>
        </w:rPr>
        <w:t>exchange</w:t>
      </w:r>
      <w:r>
        <w:rPr>
          <w:spacing w:val="-8"/>
          <w:w w:val="105"/>
        </w:rPr>
        <w:t> </w:t>
      </w:r>
      <w:r>
        <w:rPr>
          <w:w w:val="105"/>
        </w:rPr>
        <w:t>rates.</w:t>
      </w:r>
      <w:r>
        <w:rPr>
          <w:spacing w:val="-8"/>
          <w:w w:val="105"/>
        </w:rPr>
        <w:t> </w:t>
      </w:r>
      <w:r>
        <w:rPr>
          <w:w w:val="105"/>
        </w:rPr>
        <w:t>We</w:t>
      </w:r>
      <w:r>
        <w:rPr>
          <w:spacing w:val="-8"/>
          <w:w w:val="105"/>
        </w:rPr>
        <w:t> </w:t>
      </w:r>
      <w:r>
        <w:rPr>
          <w:w w:val="105"/>
        </w:rPr>
        <w:t>also</w:t>
      </w:r>
      <w:r>
        <w:rPr>
          <w:spacing w:val="-8"/>
          <w:w w:val="105"/>
        </w:rPr>
        <w:t> </w:t>
      </w:r>
      <w:r>
        <w:rPr>
          <w:w w:val="105"/>
        </w:rPr>
        <w:t>use</w:t>
      </w:r>
      <w:r>
        <w:rPr>
          <w:spacing w:val="-8"/>
          <w:w w:val="105"/>
        </w:rPr>
        <w:t> </w:t>
      </w:r>
      <w:r>
        <w:rPr>
          <w:w w:val="105"/>
        </w:rPr>
        <w:t>OTC</w:t>
      </w:r>
      <w:r>
        <w:rPr>
          <w:spacing w:val="-8"/>
          <w:w w:val="105"/>
        </w:rPr>
        <w:t> </w:t>
      </w:r>
      <w:r>
        <w:rPr>
          <w:w w:val="105"/>
        </w:rPr>
        <w:t>foreign</w:t>
      </w:r>
      <w:r>
        <w:rPr>
          <w:spacing w:val="-6"/>
          <w:w w:val="105"/>
        </w:rPr>
        <w:t> </w:t>
      </w:r>
      <w:r>
        <w:rPr>
          <w:w w:val="105"/>
        </w:rPr>
        <w:t>exchange</w:t>
      </w:r>
      <w:r>
        <w:rPr>
          <w:spacing w:val="-8"/>
          <w:w w:val="105"/>
        </w:rPr>
        <w:t> </w:t>
      </w:r>
      <w:r>
        <w:rPr>
          <w:w w:val="105"/>
        </w:rPr>
        <w:t>forward</w:t>
      </w:r>
      <w:r>
        <w:rPr>
          <w:spacing w:val="-8"/>
          <w:w w:val="105"/>
        </w:rPr>
        <w:t> </w:t>
      </w:r>
      <w:r>
        <w:rPr>
          <w:w w:val="105"/>
        </w:rPr>
        <w:t>and</w:t>
      </w:r>
      <w:r>
        <w:rPr>
          <w:spacing w:val="-8"/>
          <w:w w:val="105"/>
        </w:rPr>
        <w:t> </w:t>
      </w:r>
      <w:r>
        <w:rPr>
          <w:w w:val="105"/>
        </w:rPr>
        <w:t>option contracts</w:t>
      </w:r>
      <w:r>
        <w:rPr>
          <w:spacing w:val="-2"/>
          <w:w w:val="105"/>
        </w:rPr>
        <w:t> </w:t>
      </w:r>
      <w:r>
        <w:rPr>
          <w:w w:val="105"/>
        </w:rPr>
        <w:t>that</w:t>
      </w:r>
      <w:r>
        <w:rPr>
          <w:spacing w:val="-2"/>
          <w:w w:val="105"/>
        </w:rPr>
        <w:t> </w:t>
      </w:r>
      <w:r>
        <w:rPr>
          <w:w w:val="105"/>
        </w:rPr>
        <w:t>are</w:t>
      </w:r>
      <w:r>
        <w:rPr>
          <w:spacing w:val="-2"/>
          <w:w w:val="105"/>
        </w:rPr>
        <w:t> </w:t>
      </w:r>
      <w:r>
        <w:rPr>
          <w:w w:val="105"/>
        </w:rPr>
        <w:t>not</w:t>
      </w:r>
      <w:r>
        <w:rPr>
          <w:spacing w:val="-2"/>
          <w:w w:val="105"/>
        </w:rPr>
        <w:t> </w:t>
      </w:r>
      <w:r>
        <w:rPr>
          <w:w w:val="105"/>
        </w:rPr>
        <w:t>designated</w:t>
      </w:r>
      <w:r>
        <w:rPr>
          <w:spacing w:val="-2"/>
          <w:w w:val="105"/>
        </w:rPr>
        <w:t> </w:t>
      </w:r>
      <w:r>
        <w:rPr>
          <w:w w:val="105"/>
        </w:rPr>
        <w:t>as</w:t>
      </w:r>
      <w:r>
        <w:rPr>
          <w:spacing w:val="-2"/>
          <w:w w:val="105"/>
        </w:rPr>
        <w:t> </w:t>
      </w:r>
      <w:r>
        <w:rPr>
          <w:w w:val="105"/>
        </w:rPr>
        <w:t>hedged</w:t>
      </w:r>
      <w:r>
        <w:rPr>
          <w:spacing w:val="-2"/>
          <w:w w:val="105"/>
        </w:rPr>
        <w:t> </w:t>
      </w:r>
      <w:r>
        <w:rPr>
          <w:w w:val="105"/>
        </w:rPr>
        <w:t>instruments.</w:t>
      </w:r>
      <w:r>
        <w:rPr>
          <w:spacing w:val="-2"/>
          <w:w w:val="105"/>
        </w:rPr>
        <w:t> </w:t>
      </w:r>
      <w:r>
        <w:rPr>
          <w:w w:val="105"/>
        </w:rPr>
        <w:t>These</w:t>
      </w:r>
      <w:r>
        <w:rPr>
          <w:spacing w:val="-2"/>
          <w:w w:val="105"/>
        </w:rPr>
        <w:t> </w:t>
      </w:r>
      <w:r>
        <w:rPr>
          <w:w w:val="105"/>
        </w:rPr>
        <w:t>contracts</w:t>
      </w:r>
      <w:r>
        <w:rPr>
          <w:spacing w:val="-2"/>
          <w:w w:val="105"/>
        </w:rPr>
        <w:t> </w:t>
      </w:r>
      <w:r>
        <w:rPr>
          <w:w w:val="105"/>
        </w:rPr>
        <w:t>are</w:t>
      </w:r>
      <w:r>
        <w:rPr>
          <w:spacing w:val="-2"/>
          <w:w w:val="105"/>
        </w:rPr>
        <w:t> </w:t>
      </w:r>
      <w:r>
        <w:rPr>
          <w:w w:val="105"/>
        </w:rPr>
        <w:t>used</w:t>
      </w:r>
      <w:r>
        <w:rPr>
          <w:spacing w:val="-2"/>
          <w:w w:val="105"/>
        </w:rPr>
        <w:t> </w:t>
      </w:r>
      <w:r>
        <w:rPr>
          <w:w w:val="105"/>
        </w:rPr>
        <w:t>to</w:t>
      </w:r>
      <w:r>
        <w:rPr>
          <w:spacing w:val="-2"/>
          <w:w w:val="105"/>
        </w:rPr>
        <w:t> </w:t>
      </w:r>
      <w:r>
        <w:rPr>
          <w:w w:val="105"/>
        </w:rPr>
        <w:t>offset</w:t>
      </w:r>
      <w:r>
        <w:rPr>
          <w:spacing w:val="-2"/>
          <w:w w:val="105"/>
        </w:rPr>
        <w:t> </w:t>
      </w:r>
      <w:r>
        <w:rPr>
          <w:w w:val="105"/>
        </w:rPr>
        <w:t>economic</w:t>
      </w:r>
      <w:r>
        <w:rPr>
          <w:spacing w:val="-2"/>
          <w:w w:val="105"/>
        </w:rPr>
        <w:t> </w:t>
      </w:r>
      <w:r>
        <w:rPr>
          <w:w w:val="105"/>
        </w:rPr>
        <w:t>currency</w:t>
      </w:r>
      <w:r>
        <w:rPr>
          <w:spacing w:val="-2"/>
          <w:w w:val="105"/>
        </w:rPr>
        <w:t> </w:t>
      </w:r>
      <w:r>
        <w:rPr>
          <w:w w:val="105"/>
        </w:rPr>
        <w:t>risks.</w:t>
      </w:r>
      <w:r>
        <w:rPr>
          <w:spacing w:val="-2"/>
          <w:w w:val="105"/>
        </w:rPr>
        <w:t> </w:t>
      </w:r>
      <w:r>
        <w:rPr>
          <w:w w:val="105"/>
        </w:rPr>
        <w:t>The</w:t>
      </w:r>
      <w:r>
        <w:rPr>
          <w:spacing w:val="-2"/>
          <w:w w:val="105"/>
        </w:rPr>
        <w:t> </w:t>
      </w:r>
      <w:r>
        <w:rPr>
          <w:w w:val="105"/>
        </w:rPr>
        <w:t>undesignated</w:t>
      </w:r>
      <w:r>
        <w:rPr>
          <w:spacing w:val="-2"/>
          <w:w w:val="105"/>
        </w:rPr>
        <w:t> </w:t>
      </w:r>
      <w:r>
        <w:rPr>
          <w:w w:val="105"/>
        </w:rPr>
        <w:t>hedges limit</w:t>
      </w:r>
      <w:r>
        <w:rPr>
          <w:spacing w:val="-2"/>
          <w:w w:val="105"/>
        </w:rPr>
        <w:t> </w:t>
      </w:r>
      <w:r>
        <w:rPr>
          <w:w w:val="105"/>
        </w:rPr>
        <w:t>exposure</w:t>
      </w:r>
      <w:r>
        <w:rPr>
          <w:spacing w:val="-2"/>
          <w:w w:val="105"/>
        </w:rPr>
        <w:t> </w:t>
      </w:r>
      <w:r>
        <w:rPr>
          <w:w w:val="105"/>
        </w:rPr>
        <w:t>to</w:t>
      </w:r>
      <w:r>
        <w:rPr>
          <w:spacing w:val="-2"/>
          <w:w w:val="105"/>
        </w:rPr>
        <w:t> </w:t>
      </w:r>
      <w:r>
        <w:rPr>
          <w:w w:val="105"/>
        </w:rPr>
        <w:t>foreign functional</w:t>
      </w:r>
      <w:r>
        <w:rPr>
          <w:spacing w:val="-3"/>
          <w:w w:val="105"/>
        </w:rPr>
        <w:t> </w:t>
      </w:r>
      <w:r>
        <w:rPr>
          <w:w w:val="105"/>
        </w:rPr>
        <w:t>currency</w:t>
      </w:r>
      <w:r>
        <w:rPr>
          <w:spacing w:val="-3"/>
          <w:w w:val="105"/>
        </w:rPr>
        <w:t> </w:t>
      </w:r>
      <w:r>
        <w:rPr>
          <w:w w:val="105"/>
        </w:rPr>
        <w:t>fluctuations</w:t>
      </w:r>
      <w:r>
        <w:rPr>
          <w:spacing w:val="-3"/>
          <w:w w:val="105"/>
        </w:rPr>
        <w:t> </w:t>
      </w:r>
      <w:r>
        <w:rPr>
          <w:w w:val="105"/>
        </w:rPr>
        <w:t>related</w:t>
      </w:r>
      <w:r>
        <w:rPr>
          <w:spacing w:val="-3"/>
          <w:w w:val="105"/>
        </w:rPr>
        <w:t> </w:t>
      </w:r>
      <w:r>
        <w:rPr>
          <w:w w:val="105"/>
        </w:rPr>
        <w:t>to</w:t>
      </w:r>
      <w:r>
        <w:rPr>
          <w:spacing w:val="-1"/>
          <w:w w:val="105"/>
        </w:rPr>
        <w:t> </w:t>
      </w:r>
      <w:r>
        <w:rPr>
          <w:w w:val="105"/>
        </w:rPr>
        <w:t>certain</w:t>
      </w:r>
      <w:r>
        <w:rPr>
          <w:spacing w:val="-3"/>
          <w:w w:val="105"/>
        </w:rPr>
        <w:t> </w:t>
      </w:r>
      <w:r>
        <w:rPr>
          <w:w w:val="105"/>
        </w:rPr>
        <w:t>subsidiaries’</w:t>
      </w:r>
      <w:r>
        <w:rPr>
          <w:spacing w:val="-1"/>
          <w:w w:val="105"/>
        </w:rPr>
        <w:t> </w:t>
      </w:r>
      <w:r>
        <w:rPr>
          <w:w w:val="105"/>
        </w:rPr>
        <w:t>monetary</w:t>
      </w:r>
      <w:r>
        <w:rPr>
          <w:spacing w:val="-3"/>
          <w:w w:val="105"/>
        </w:rPr>
        <w:t> </w:t>
      </w:r>
      <w:r>
        <w:rPr>
          <w:w w:val="105"/>
        </w:rPr>
        <w:t>assets,</w:t>
      </w:r>
      <w:r>
        <w:rPr>
          <w:spacing w:val="-3"/>
          <w:w w:val="105"/>
        </w:rPr>
        <w:t> </w:t>
      </w:r>
      <w:r>
        <w:rPr>
          <w:w w:val="105"/>
        </w:rPr>
        <w:t>monetary</w:t>
      </w:r>
      <w:r>
        <w:rPr>
          <w:spacing w:val="-1"/>
          <w:w w:val="105"/>
        </w:rPr>
        <w:t> </w:t>
      </w:r>
      <w:r>
        <w:rPr>
          <w:w w:val="105"/>
        </w:rPr>
        <w:t>liabilities</w:t>
      </w:r>
      <w:r>
        <w:rPr>
          <w:spacing w:val="-3"/>
          <w:w w:val="105"/>
        </w:rPr>
        <w:t> </w:t>
      </w:r>
      <w:r>
        <w:rPr>
          <w:w w:val="105"/>
        </w:rPr>
        <w:t>and</w:t>
      </w:r>
      <w:r>
        <w:rPr>
          <w:spacing w:val="-3"/>
          <w:w w:val="105"/>
        </w:rPr>
        <w:t> </w:t>
      </w:r>
      <w:r>
        <w:rPr>
          <w:w w:val="105"/>
        </w:rPr>
        <w:t>net</w:t>
      </w:r>
      <w:r>
        <w:rPr>
          <w:spacing w:val="-3"/>
          <w:w w:val="105"/>
        </w:rPr>
        <w:t> </w:t>
      </w:r>
      <w:r>
        <w:rPr>
          <w:w w:val="105"/>
        </w:rPr>
        <w:t>earnings</w:t>
      </w:r>
      <w:r>
        <w:rPr>
          <w:spacing w:val="-3"/>
          <w:w w:val="105"/>
        </w:rPr>
        <w:t> </w:t>
      </w:r>
      <w:r>
        <w:rPr>
          <w:w w:val="105"/>
        </w:rPr>
        <w:t>in</w:t>
      </w:r>
      <w:r>
        <w:rPr>
          <w:spacing w:val="-3"/>
          <w:w w:val="105"/>
        </w:rPr>
        <w:t> </w:t>
      </w:r>
      <w:r>
        <w:rPr>
          <w:w w:val="105"/>
        </w:rPr>
        <w:t>foreign</w:t>
      </w:r>
      <w:r>
        <w:rPr>
          <w:spacing w:val="-3"/>
          <w:w w:val="105"/>
        </w:rPr>
        <w:t> </w:t>
      </w:r>
      <w:r>
        <w:rPr>
          <w:w w:val="105"/>
        </w:rPr>
        <w:t>currencies.</w:t>
      </w:r>
      <w:r>
        <w:rPr>
          <w:spacing w:val="-3"/>
          <w:w w:val="105"/>
        </w:rPr>
        <w:t> </w:t>
      </w:r>
      <w:r>
        <w:rPr>
          <w:w w:val="105"/>
        </w:rPr>
        <w:t>A</w:t>
      </w:r>
      <w:r>
        <w:rPr>
          <w:spacing w:val="-3"/>
          <w:w w:val="105"/>
        </w:rPr>
        <w:t> </w:t>
      </w:r>
      <w:r>
        <w:rPr>
          <w:w w:val="105"/>
        </w:rPr>
        <w:t>significant</w:t>
      </w:r>
      <w:r>
        <w:rPr>
          <w:spacing w:val="-3"/>
          <w:w w:val="105"/>
        </w:rPr>
        <w:t> </w:t>
      </w:r>
      <w:r>
        <w:rPr>
          <w:w w:val="105"/>
        </w:rPr>
        <w:t>portion</w:t>
      </w:r>
      <w:r>
        <w:rPr>
          <w:spacing w:val="-3"/>
          <w:w w:val="105"/>
        </w:rPr>
        <w:t> </w:t>
      </w:r>
      <w:r>
        <w:rPr>
          <w:w w:val="105"/>
        </w:rPr>
        <w:t>of</w:t>
      </w:r>
      <w:r>
        <w:rPr>
          <w:spacing w:val="-3"/>
          <w:w w:val="105"/>
        </w:rPr>
        <w:t> </w:t>
      </w:r>
      <w:r>
        <w:rPr>
          <w:w w:val="105"/>
        </w:rPr>
        <w:t>the Company’s</w:t>
      </w:r>
      <w:r>
        <w:rPr>
          <w:spacing w:val="-2"/>
          <w:w w:val="105"/>
        </w:rPr>
        <w:t> </w:t>
      </w:r>
      <w:r>
        <w:rPr>
          <w:w w:val="105"/>
        </w:rPr>
        <w:t>non-U.S.</w:t>
      </w:r>
      <w:r>
        <w:rPr>
          <w:spacing w:val="-2"/>
          <w:w w:val="105"/>
        </w:rPr>
        <w:t> </w:t>
      </w:r>
      <w:r>
        <w:rPr>
          <w:w w:val="105"/>
        </w:rPr>
        <w:t>revenue</w:t>
      </w:r>
      <w:r>
        <w:rPr>
          <w:spacing w:val="-2"/>
          <w:w w:val="105"/>
        </w:rPr>
        <w:t> </w:t>
      </w:r>
      <w:r>
        <w:rPr>
          <w:w w:val="105"/>
        </w:rPr>
        <w:t>is</w:t>
      </w:r>
      <w:r>
        <w:rPr>
          <w:spacing w:val="-2"/>
          <w:w w:val="105"/>
        </w:rPr>
        <w:t> </w:t>
      </w:r>
      <w:r>
        <w:rPr>
          <w:w w:val="105"/>
        </w:rPr>
        <w:t>denominated in</w:t>
      </w:r>
      <w:r>
        <w:rPr>
          <w:spacing w:val="-2"/>
          <w:w w:val="105"/>
        </w:rPr>
        <w:t> </w:t>
      </w:r>
      <w:r>
        <w:rPr>
          <w:w w:val="105"/>
        </w:rPr>
        <w:t>Japanese</w:t>
      </w:r>
      <w:r>
        <w:rPr>
          <w:spacing w:val="-2"/>
          <w:w w:val="105"/>
        </w:rPr>
        <w:t> </w:t>
      </w:r>
      <w:r>
        <w:rPr>
          <w:w w:val="105"/>
        </w:rPr>
        <w:t>yen.</w:t>
      </w:r>
      <w:r>
        <w:rPr>
          <w:spacing w:val="-2"/>
          <w:w w:val="105"/>
        </w:rPr>
        <w:t> </w:t>
      </w:r>
      <w:r>
        <w:rPr>
          <w:w w:val="105"/>
        </w:rPr>
        <w:t>When</w:t>
      </w:r>
      <w:r>
        <w:rPr>
          <w:spacing w:val="-2"/>
          <w:w w:val="105"/>
        </w:rPr>
        <w:t> </w:t>
      </w:r>
      <w:r>
        <w:rPr>
          <w:w w:val="105"/>
        </w:rPr>
        <w:t>this</w:t>
      </w:r>
      <w:r>
        <w:rPr>
          <w:spacing w:val="-2"/>
          <w:w w:val="105"/>
        </w:rPr>
        <w:t> </w:t>
      </w:r>
      <w:r>
        <w:rPr>
          <w:w w:val="105"/>
        </w:rPr>
        <w:t>revenue</w:t>
      </w:r>
      <w:r>
        <w:rPr>
          <w:spacing w:val="-2"/>
          <w:w w:val="105"/>
        </w:rPr>
        <w:t> </w:t>
      </w:r>
      <w:r>
        <w:rPr>
          <w:w w:val="105"/>
        </w:rPr>
        <w:t>is</w:t>
      </w:r>
      <w:r>
        <w:rPr>
          <w:spacing w:val="-2"/>
          <w:w w:val="105"/>
        </w:rPr>
        <w:t> </w:t>
      </w:r>
      <w:r>
        <w:rPr>
          <w:w w:val="105"/>
        </w:rPr>
        <w:t>translated</w:t>
      </w:r>
      <w:r>
        <w:rPr>
          <w:spacing w:val="-2"/>
          <w:w w:val="105"/>
        </w:rPr>
        <w:t> </w:t>
      </w:r>
      <w:r>
        <w:rPr>
          <w:w w:val="105"/>
        </w:rPr>
        <w:t>back</w:t>
      </w:r>
      <w:r>
        <w:rPr>
          <w:spacing w:val="-2"/>
          <w:w w:val="105"/>
        </w:rPr>
        <w:t> </w:t>
      </w:r>
      <w:r>
        <w:rPr>
          <w:w w:val="105"/>
        </w:rPr>
        <w:t>to</w:t>
      </w:r>
      <w:r>
        <w:rPr>
          <w:spacing w:val="-2"/>
          <w:w w:val="105"/>
        </w:rPr>
        <w:t> </w:t>
      </w:r>
      <w:r>
        <w:rPr>
          <w:w w:val="105"/>
        </w:rPr>
        <w:t>U.S.</w:t>
      </w:r>
      <w:r>
        <w:rPr>
          <w:spacing w:val="-2"/>
          <w:w w:val="105"/>
        </w:rPr>
        <w:t> </w:t>
      </w:r>
      <w:r>
        <w:rPr>
          <w:w w:val="105"/>
        </w:rPr>
        <w:t>dollars,</w:t>
      </w:r>
      <w:r>
        <w:rPr>
          <w:spacing w:val="-2"/>
          <w:w w:val="105"/>
        </w:rPr>
        <w:t> </w:t>
      </w:r>
      <w:r>
        <w:rPr>
          <w:w w:val="105"/>
        </w:rPr>
        <w:t>the</w:t>
      </w:r>
      <w:r>
        <w:rPr>
          <w:spacing w:val="-2"/>
          <w:w w:val="105"/>
        </w:rPr>
        <w:t> </w:t>
      </w:r>
      <w:r>
        <w:rPr>
          <w:w w:val="105"/>
        </w:rPr>
        <w:t>Company</w:t>
      </w:r>
      <w:r>
        <w:rPr>
          <w:spacing w:val="-2"/>
          <w:w w:val="105"/>
        </w:rPr>
        <w:t> </w:t>
      </w:r>
      <w:r>
        <w:rPr>
          <w:w w:val="105"/>
        </w:rPr>
        <w:t>is</w:t>
      </w:r>
      <w:r>
        <w:rPr>
          <w:spacing w:val="-2"/>
          <w:w w:val="105"/>
        </w:rPr>
        <w:t> </w:t>
      </w:r>
      <w:r>
        <w:rPr>
          <w:w w:val="105"/>
        </w:rPr>
        <w:t>exposed</w:t>
      </w:r>
      <w:r>
        <w:rPr>
          <w:spacing w:val="-2"/>
          <w:w w:val="105"/>
        </w:rPr>
        <w:t> </w:t>
      </w:r>
      <w:r>
        <w:rPr>
          <w:w w:val="105"/>
        </w:rPr>
        <w:t>to</w:t>
      </w:r>
      <w:r>
        <w:rPr>
          <w:spacing w:val="-2"/>
          <w:w w:val="105"/>
        </w:rPr>
        <w:t> </w:t>
      </w:r>
      <w:r>
        <w:rPr>
          <w:w w:val="105"/>
        </w:rPr>
        <w:t>foreign</w:t>
      </w:r>
      <w:r>
        <w:rPr>
          <w:spacing w:val="-2"/>
          <w:w w:val="105"/>
        </w:rPr>
        <w:t> </w:t>
      </w:r>
      <w:r>
        <w:rPr>
          <w:w w:val="105"/>
        </w:rPr>
        <w:t>exchange</w:t>
      </w:r>
      <w:r>
        <w:rPr>
          <w:spacing w:val="-2"/>
          <w:w w:val="105"/>
        </w:rPr>
        <w:t> </w:t>
      </w:r>
      <w:r>
        <w:rPr>
          <w:w w:val="105"/>
        </w:rPr>
        <w:t>rate movements</w:t>
      </w:r>
      <w:r>
        <w:rPr>
          <w:spacing w:val="-3"/>
          <w:w w:val="105"/>
        </w:rPr>
        <w:t> </w:t>
      </w:r>
      <w:r>
        <w:rPr>
          <w:w w:val="105"/>
        </w:rPr>
        <w:t>in</w:t>
      </w:r>
      <w:r>
        <w:rPr>
          <w:spacing w:val="-3"/>
          <w:w w:val="105"/>
        </w:rPr>
        <w:t> </w:t>
      </w:r>
      <w:r>
        <w:rPr>
          <w:w w:val="105"/>
        </w:rPr>
        <w:t>the</w:t>
      </w:r>
      <w:r>
        <w:rPr>
          <w:spacing w:val="-3"/>
          <w:w w:val="105"/>
        </w:rPr>
        <w:t> </w:t>
      </w:r>
      <w:r>
        <w:rPr>
          <w:w w:val="105"/>
        </w:rPr>
        <w:t>Japanese</w:t>
      </w:r>
      <w:r>
        <w:rPr>
          <w:spacing w:val="-3"/>
          <w:w w:val="105"/>
        </w:rPr>
        <w:t> </w:t>
      </w:r>
      <w:r>
        <w:rPr>
          <w:w w:val="105"/>
        </w:rPr>
        <w:t>yen.</w:t>
      </w:r>
      <w:r>
        <w:rPr>
          <w:spacing w:val="-3"/>
          <w:w w:val="105"/>
        </w:rPr>
        <w:t> </w:t>
      </w:r>
      <w:r>
        <w:rPr>
          <w:w w:val="105"/>
        </w:rPr>
        <w:t>To</w:t>
      </w:r>
      <w:r>
        <w:rPr>
          <w:spacing w:val="-3"/>
          <w:w w:val="105"/>
        </w:rPr>
        <w:t> </w:t>
      </w:r>
      <w:r>
        <w:rPr>
          <w:w w:val="105"/>
        </w:rPr>
        <w:t>protect</w:t>
      </w:r>
      <w:r>
        <w:rPr>
          <w:spacing w:val="-3"/>
          <w:w w:val="105"/>
        </w:rPr>
        <w:t> </w:t>
      </w:r>
      <w:r>
        <w:rPr>
          <w:w w:val="105"/>
        </w:rPr>
        <w:t>translated</w:t>
      </w:r>
      <w:r>
        <w:rPr>
          <w:spacing w:val="-1"/>
          <w:w w:val="105"/>
        </w:rPr>
        <w:t> </w:t>
      </w:r>
      <w:r>
        <w:rPr>
          <w:w w:val="105"/>
        </w:rPr>
        <w:t>earnings</w:t>
      </w:r>
      <w:r>
        <w:rPr>
          <w:spacing w:val="-3"/>
          <w:w w:val="105"/>
        </w:rPr>
        <w:t> </w:t>
      </w:r>
      <w:r>
        <w:rPr>
          <w:w w:val="105"/>
        </w:rPr>
        <w:t>against</w:t>
      </w:r>
      <w:r>
        <w:rPr>
          <w:spacing w:val="-3"/>
          <w:w w:val="105"/>
        </w:rPr>
        <w:t> </w:t>
      </w:r>
      <w:r>
        <w:rPr>
          <w:w w:val="105"/>
        </w:rPr>
        <w:t>movements</w:t>
      </w:r>
      <w:r>
        <w:rPr>
          <w:spacing w:val="-1"/>
          <w:w w:val="105"/>
        </w:rPr>
        <w:t> </w:t>
      </w:r>
      <w:r>
        <w:rPr>
          <w:w w:val="105"/>
        </w:rPr>
        <w:t>in</w:t>
      </w:r>
      <w:r>
        <w:rPr>
          <w:spacing w:val="-3"/>
          <w:w w:val="105"/>
        </w:rPr>
        <w:t> </w:t>
      </w:r>
      <w:r>
        <w:rPr>
          <w:w w:val="105"/>
        </w:rPr>
        <w:t>the</w:t>
      </w:r>
      <w:r>
        <w:rPr>
          <w:spacing w:val="-3"/>
          <w:w w:val="105"/>
        </w:rPr>
        <w:t> </w:t>
      </w:r>
      <w:r>
        <w:rPr>
          <w:w w:val="105"/>
        </w:rPr>
        <w:t>Japanese</w:t>
      </w:r>
      <w:r>
        <w:rPr>
          <w:spacing w:val="-3"/>
          <w:w w:val="105"/>
        </w:rPr>
        <w:t> </w:t>
      </w:r>
      <w:r>
        <w:rPr>
          <w:w w:val="105"/>
        </w:rPr>
        <w:t>yen,</w:t>
      </w:r>
      <w:r>
        <w:rPr>
          <w:spacing w:val="-3"/>
          <w:w w:val="105"/>
        </w:rPr>
        <w:t> </w:t>
      </w:r>
      <w:r>
        <w:rPr>
          <w:w w:val="105"/>
        </w:rPr>
        <w:t>the</w:t>
      </w:r>
      <w:r>
        <w:rPr>
          <w:spacing w:val="-3"/>
          <w:w w:val="105"/>
        </w:rPr>
        <w:t> </w:t>
      </w:r>
      <w:r>
        <w:rPr>
          <w:w w:val="105"/>
        </w:rPr>
        <w:t>Company</w:t>
      </w:r>
      <w:r>
        <w:rPr>
          <w:spacing w:val="-3"/>
          <w:w w:val="105"/>
        </w:rPr>
        <w:t> </w:t>
      </w:r>
      <w:r>
        <w:rPr>
          <w:w w:val="105"/>
        </w:rPr>
        <w:t>has</w:t>
      </w:r>
      <w:r>
        <w:rPr>
          <w:spacing w:val="-3"/>
          <w:w w:val="105"/>
        </w:rPr>
        <w:t> </w:t>
      </w:r>
      <w:r>
        <w:rPr>
          <w:w w:val="105"/>
        </w:rPr>
        <w:t>entered</w:t>
      </w:r>
      <w:r>
        <w:rPr>
          <w:spacing w:val="-3"/>
          <w:w w:val="105"/>
        </w:rPr>
        <w:t> </w:t>
      </w:r>
      <w:r>
        <w:rPr>
          <w:w w:val="105"/>
        </w:rPr>
        <w:t>into</w:t>
      </w:r>
      <w:r>
        <w:rPr>
          <w:spacing w:val="-3"/>
          <w:w w:val="105"/>
        </w:rPr>
        <w:t> </w:t>
      </w:r>
      <w:r>
        <w:rPr>
          <w:w w:val="105"/>
        </w:rPr>
        <w:t>a</w:t>
      </w:r>
      <w:r>
        <w:rPr>
          <w:spacing w:val="-3"/>
          <w:w w:val="105"/>
        </w:rPr>
        <w:t> </w:t>
      </w:r>
      <w:r>
        <w:rPr>
          <w:w w:val="105"/>
        </w:rPr>
        <w:t>series</w:t>
      </w:r>
      <w:r>
        <w:rPr>
          <w:spacing w:val="-3"/>
          <w:w w:val="105"/>
        </w:rPr>
        <w:t> </w:t>
      </w:r>
      <w:r>
        <w:rPr>
          <w:w w:val="105"/>
        </w:rPr>
        <w:t>of</w:t>
      </w:r>
      <w:r>
        <w:rPr>
          <w:spacing w:val="-3"/>
          <w:w w:val="105"/>
        </w:rPr>
        <w:t> </w:t>
      </w:r>
      <w:r>
        <w:rPr>
          <w:w w:val="105"/>
        </w:rPr>
        <w:t>average</w:t>
      </w:r>
      <w:r>
        <w:rPr>
          <w:spacing w:val="-3"/>
          <w:w w:val="105"/>
        </w:rPr>
        <w:t> </w:t>
      </w:r>
      <w:r>
        <w:rPr>
          <w:w w:val="105"/>
        </w:rPr>
        <w:t>rate</w:t>
      </w:r>
      <w:r>
        <w:rPr>
          <w:spacing w:val="-3"/>
          <w:w w:val="105"/>
        </w:rPr>
        <w:t> </w:t>
      </w:r>
      <w:r>
        <w:rPr>
          <w:w w:val="105"/>
        </w:rPr>
        <w:t>forwards</w:t>
      </w:r>
      <w:r>
        <w:rPr>
          <w:spacing w:val="-3"/>
          <w:w w:val="105"/>
        </w:rPr>
        <w:t> </w:t>
      </w:r>
      <w:r>
        <w:rPr>
          <w:w w:val="105"/>
        </w:rPr>
        <w:t>and other derivative instruments.</w:t>
      </w:r>
    </w:p>
    <w:p>
      <w:pPr>
        <w:pStyle w:val="BodyText"/>
        <w:spacing w:before="17"/>
      </w:pPr>
    </w:p>
    <w:p>
      <w:pPr>
        <w:pStyle w:val="BodyText"/>
        <w:spacing w:line="266" w:lineRule="auto"/>
        <w:ind w:left="156" w:right="200"/>
      </w:pPr>
      <w:r>
        <w:rPr>
          <w:w w:val="105"/>
        </w:rPr>
        <w:t>We</w:t>
      </w:r>
      <w:r>
        <w:rPr>
          <w:spacing w:val="-2"/>
          <w:w w:val="105"/>
        </w:rPr>
        <w:t> </w:t>
      </w:r>
      <w:r>
        <w:rPr>
          <w:w w:val="105"/>
        </w:rPr>
        <w:t>use</w:t>
      </w:r>
      <w:r>
        <w:rPr>
          <w:spacing w:val="-2"/>
          <w:w w:val="105"/>
        </w:rPr>
        <w:t> </w:t>
      </w:r>
      <w:r>
        <w:rPr>
          <w:w w:val="105"/>
        </w:rPr>
        <w:t>a</w:t>
      </w:r>
      <w:r>
        <w:rPr>
          <w:spacing w:val="-2"/>
          <w:w w:val="105"/>
        </w:rPr>
        <w:t> </w:t>
      </w:r>
      <w:r>
        <w:rPr>
          <w:w w:val="105"/>
        </w:rPr>
        <w:t>sensitivity</w:t>
      </w:r>
      <w:r>
        <w:rPr>
          <w:spacing w:val="-2"/>
          <w:w w:val="105"/>
        </w:rPr>
        <w:t> </w:t>
      </w:r>
      <w:r>
        <w:rPr>
          <w:w w:val="105"/>
        </w:rPr>
        <w:t>analysis</w:t>
      </w:r>
      <w:r>
        <w:rPr>
          <w:spacing w:val="-2"/>
          <w:w w:val="105"/>
        </w:rPr>
        <w:t> </w:t>
      </w:r>
      <w:r>
        <w:rPr>
          <w:w w:val="105"/>
        </w:rPr>
        <w:t>to</w:t>
      </w:r>
      <w:r>
        <w:rPr>
          <w:spacing w:val="-2"/>
          <w:w w:val="105"/>
        </w:rPr>
        <w:t> </w:t>
      </w:r>
      <w:r>
        <w:rPr>
          <w:w w:val="105"/>
        </w:rPr>
        <w:t>assess</w:t>
      </w:r>
      <w:r>
        <w:rPr>
          <w:spacing w:val="-2"/>
          <w:w w:val="105"/>
        </w:rPr>
        <w:t> </w:t>
      </w:r>
      <w:r>
        <w:rPr>
          <w:w w:val="105"/>
        </w:rPr>
        <w:t>the</w:t>
      </w:r>
      <w:r>
        <w:rPr>
          <w:spacing w:val="-2"/>
          <w:w w:val="105"/>
        </w:rPr>
        <w:t> </w:t>
      </w:r>
      <w:r>
        <w:rPr>
          <w:w w:val="105"/>
        </w:rPr>
        <w:t>market</w:t>
      </w:r>
      <w:r>
        <w:rPr>
          <w:spacing w:val="-2"/>
          <w:w w:val="105"/>
        </w:rPr>
        <w:t> </w:t>
      </w:r>
      <w:r>
        <w:rPr>
          <w:w w:val="105"/>
        </w:rPr>
        <w:t>risk</w:t>
      </w:r>
      <w:r>
        <w:rPr>
          <w:spacing w:val="-2"/>
          <w:w w:val="105"/>
        </w:rPr>
        <w:t> </w:t>
      </w:r>
      <w:r>
        <w:rPr>
          <w:w w:val="105"/>
        </w:rPr>
        <w:t>associated</w:t>
      </w:r>
      <w:r>
        <w:rPr>
          <w:spacing w:val="-2"/>
          <w:w w:val="105"/>
        </w:rPr>
        <w:t> </w:t>
      </w:r>
      <w:r>
        <w:rPr>
          <w:w w:val="105"/>
        </w:rPr>
        <w:t>with</w:t>
      </w:r>
      <w:r>
        <w:rPr>
          <w:spacing w:val="-2"/>
          <w:w w:val="105"/>
        </w:rPr>
        <w:t> </w:t>
      </w:r>
      <w:r>
        <w:rPr>
          <w:w w:val="105"/>
        </w:rPr>
        <w:t>foreign</w:t>
      </w:r>
      <w:r>
        <w:rPr>
          <w:spacing w:val="-2"/>
          <w:w w:val="105"/>
        </w:rPr>
        <w:t> </w:t>
      </w:r>
      <w:r>
        <w:rPr>
          <w:w w:val="105"/>
        </w:rPr>
        <w:t>currency</w:t>
      </w:r>
      <w:r>
        <w:rPr>
          <w:spacing w:val="-2"/>
          <w:w w:val="105"/>
        </w:rPr>
        <w:t> </w:t>
      </w:r>
      <w:r>
        <w:rPr>
          <w:w w:val="105"/>
        </w:rPr>
        <w:t>exposure.</w:t>
      </w:r>
      <w:r>
        <w:rPr>
          <w:spacing w:val="-2"/>
          <w:w w:val="105"/>
        </w:rPr>
        <w:t> </w:t>
      </w:r>
      <w:r>
        <w:rPr>
          <w:w w:val="105"/>
        </w:rPr>
        <w:t>Market</w:t>
      </w:r>
      <w:r>
        <w:rPr>
          <w:spacing w:val="-2"/>
          <w:w w:val="105"/>
        </w:rPr>
        <w:t> </w:t>
      </w:r>
      <w:r>
        <w:rPr>
          <w:w w:val="105"/>
        </w:rPr>
        <w:t>risk is</w:t>
      </w:r>
      <w:r>
        <w:rPr>
          <w:spacing w:val="-2"/>
          <w:w w:val="105"/>
        </w:rPr>
        <w:t> </w:t>
      </w:r>
      <w:r>
        <w:rPr>
          <w:w w:val="105"/>
        </w:rPr>
        <w:t>defined</w:t>
      </w:r>
      <w:r>
        <w:rPr>
          <w:spacing w:val="-2"/>
          <w:w w:val="105"/>
        </w:rPr>
        <w:t> </w:t>
      </w:r>
      <w:r>
        <w:rPr>
          <w:w w:val="105"/>
        </w:rPr>
        <w:t>as</w:t>
      </w:r>
      <w:r>
        <w:rPr>
          <w:spacing w:val="-2"/>
          <w:w w:val="105"/>
        </w:rPr>
        <w:t> </w:t>
      </w:r>
      <w:r>
        <w:rPr>
          <w:w w:val="105"/>
        </w:rPr>
        <w:t>the</w:t>
      </w:r>
      <w:r>
        <w:rPr>
          <w:spacing w:val="-2"/>
          <w:w w:val="105"/>
        </w:rPr>
        <w:t> </w:t>
      </w:r>
      <w:r>
        <w:rPr>
          <w:w w:val="105"/>
        </w:rPr>
        <w:t>potential</w:t>
      </w:r>
      <w:r>
        <w:rPr>
          <w:spacing w:val="-2"/>
          <w:w w:val="105"/>
        </w:rPr>
        <w:t> </w:t>
      </w:r>
      <w:r>
        <w:rPr>
          <w:w w:val="105"/>
        </w:rPr>
        <w:t>change</w:t>
      </w:r>
      <w:r>
        <w:rPr>
          <w:spacing w:val="-2"/>
          <w:w w:val="105"/>
        </w:rPr>
        <w:t> </w:t>
      </w:r>
      <w:r>
        <w:rPr>
          <w:w w:val="105"/>
        </w:rPr>
        <w:t>in</w:t>
      </w:r>
      <w:r>
        <w:rPr>
          <w:spacing w:val="-2"/>
          <w:w w:val="105"/>
        </w:rPr>
        <w:t> </w:t>
      </w:r>
      <w:r>
        <w:rPr>
          <w:w w:val="105"/>
        </w:rPr>
        <w:t>fair</w:t>
      </w:r>
      <w:r>
        <w:rPr>
          <w:spacing w:val="-2"/>
          <w:w w:val="105"/>
        </w:rPr>
        <w:t> </w:t>
      </w:r>
      <w:r>
        <w:rPr>
          <w:w w:val="105"/>
        </w:rPr>
        <w:t>value</w:t>
      </w:r>
      <w:r>
        <w:rPr>
          <w:spacing w:val="-2"/>
          <w:w w:val="105"/>
        </w:rPr>
        <w:t> </w:t>
      </w:r>
      <w:r>
        <w:rPr>
          <w:w w:val="105"/>
        </w:rPr>
        <w:t>of assets</w:t>
      </w:r>
      <w:r>
        <w:rPr>
          <w:spacing w:val="-2"/>
          <w:w w:val="105"/>
        </w:rPr>
        <w:t> </w:t>
      </w:r>
      <w:r>
        <w:rPr>
          <w:w w:val="105"/>
        </w:rPr>
        <w:t>and liabilities</w:t>
      </w:r>
      <w:r>
        <w:rPr>
          <w:spacing w:val="-2"/>
          <w:w w:val="105"/>
        </w:rPr>
        <w:t> </w:t>
      </w:r>
      <w:r>
        <w:rPr>
          <w:w w:val="105"/>
        </w:rPr>
        <w:t>resulting</w:t>
      </w:r>
      <w:r>
        <w:rPr>
          <w:spacing w:val="-2"/>
          <w:w w:val="105"/>
        </w:rPr>
        <w:t> </w:t>
      </w:r>
      <w:r>
        <w:rPr>
          <w:w w:val="105"/>
        </w:rPr>
        <w:t>from</w:t>
      </w:r>
      <w:r>
        <w:rPr>
          <w:spacing w:val="-2"/>
          <w:w w:val="105"/>
        </w:rPr>
        <w:t> </w:t>
      </w:r>
      <w:r>
        <w:rPr>
          <w:w w:val="105"/>
        </w:rPr>
        <w:t>an</w:t>
      </w:r>
      <w:r>
        <w:rPr>
          <w:spacing w:val="-2"/>
          <w:w w:val="105"/>
        </w:rPr>
        <w:t> </w:t>
      </w:r>
      <w:r>
        <w:rPr>
          <w:w w:val="105"/>
        </w:rPr>
        <w:t>adverse</w:t>
      </w:r>
      <w:r>
        <w:rPr>
          <w:spacing w:val="-2"/>
          <w:w w:val="105"/>
        </w:rPr>
        <w:t> </w:t>
      </w:r>
      <w:r>
        <w:rPr>
          <w:w w:val="105"/>
        </w:rPr>
        <w:t>movement</w:t>
      </w:r>
      <w:r>
        <w:rPr>
          <w:spacing w:val="-2"/>
          <w:w w:val="105"/>
        </w:rPr>
        <w:t> </w:t>
      </w:r>
      <w:r>
        <w:rPr>
          <w:w w:val="105"/>
        </w:rPr>
        <w:t>in</w:t>
      </w:r>
      <w:r>
        <w:rPr>
          <w:spacing w:val="-2"/>
          <w:w w:val="105"/>
        </w:rPr>
        <w:t> </w:t>
      </w:r>
      <w:r>
        <w:rPr>
          <w:w w:val="105"/>
        </w:rPr>
        <w:t>foreign</w:t>
      </w:r>
      <w:r>
        <w:rPr>
          <w:spacing w:val="-2"/>
          <w:w w:val="105"/>
        </w:rPr>
        <w:t> </w:t>
      </w:r>
      <w:r>
        <w:rPr>
          <w:w w:val="105"/>
        </w:rPr>
        <w:t>currency</w:t>
      </w:r>
      <w:r>
        <w:rPr>
          <w:spacing w:val="-2"/>
          <w:w w:val="105"/>
        </w:rPr>
        <w:t> </w:t>
      </w:r>
      <w:r>
        <w:rPr>
          <w:w w:val="105"/>
        </w:rPr>
        <w:t>exchange</w:t>
      </w:r>
      <w:r>
        <w:rPr>
          <w:spacing w:val="-2"/>
          <w:w w:val="105"/>
        </w:rPr>
        <w:t> </w:t>
      </w:r>
      <w:r>
        <w:rPr>
          <w:w w:val="105"/>
        </w:rPr>
        <w:t>rates.</w:t>
      </w:r>
      <w:r>
        <w:rPr>
          <w:spacing w:val="-2"/>
          <w:w w:val="105"/>
        </w:rPr>
        <w:t> </w:t>
      </w:r>
      <w:r>
        <w:rPr>
          <w:w w:val="105"/>
        </w:rPr>
        <w:t>At</w:t>
      </w:r>
      <w:r>
        <w:rPr>
          <w:spacing w:val="-2"/>
          <w:w w:val="105"/>
        </w:rPr>
        <w:t> </w:t>
      </w:r>
      <w:r>
        <w:rPr>
          <w:w w:val="105"/>
        </w:rPr>
        <w:t>December</w:t>
      </w:r>
      <w:r>
        <w:rPr>
          <w:spacing w:val="-2"/>
          <w:w w:val="105"/>
        </w:rPr>
        <w:t> </w:t>
      </w:r>
      <w:r>
        <w:rPr>
          <w:w w:val="105"/>
        </w:rPr>
        <w:t>31,</w:t>
      </w:r>
      <w:r>
        <w:rPr>
          <w:spacing w:val="-2"/>
          <w:w w:val="105"/>
        </w:rPr>
        <w:t> </w:t>
      </w:r>
      <w:r>
        <w:rPr>
          <w:w w:val="105"/>
        </w:rPr>
        <w:t>2021,</w:t>
      </w:r>
      <w:r>
        <w:rPr>
          <w:spacing w:val="-2"/>
          <w:w w:val="105"/>
        </w:rPr>
        <w:t> </w:t>
      </w:r>
      <w:r>
        <w:rPr>
          <w:w w:val="105"/>
        </w:rPr>
        <w:t>with respect</w:t>
      </w:r>
      <w:r>
        <w:rPr>
          <w:spacing w:val="-2"/>
          <w:w w:val="105"/>
        </w:rPr>
        <w:t> </w:t>
      </w:r>
      <w:r>
        <w:rPr>
          <w:w w:val="105"/>
        </w:rPr>
        <w:t>to</w:t>
      </w:r>
      <w:r>
        <w:rPr>
          <w:spacing w:val="-2"/>
          <w:w w:val="105"/>
        </w:rPr>
        <w:t> </w:t>
      </w:r>
      <w:r>
        <w:rPr>
          <w:w w:val="105"/>
        </w:rPr>
        <w:t>open</w:t>
      </w:r>
      <w:r>
        <w:rPr>
          <w:spacing w:val="-2"/>
          <w:w w:val="105"/>
        </w:rPr>
        <w:t> </w:t>
      </w:r>
      <w:r>
        <w:rPr>
          <w:w w:val="105"/>
        </w:rPr>
        <w:t>foreign</w:t>
      </w:r>
      <w:r>
        <w:rPr>
          <w:spacing w:val="-2"/>
          <w:w w:val="105"/>
        </w:rPr>
        <w:t> </w:t>
      </w:r>
      <w:r>
        <w:rPr>
          <w:w w:val="105"/>
        </w:rPr>
        <w:t>exchange</w:t>
      </w:r>
      <w:r>
        <w:rPr>
          <w:spacing w:val="-2"/>
          <w:w w:val="105"/>
        </w:rPr>
        <w:t> </w:t>
      </w:r>
      <w:r>
        <w:rPr>
          <w:w w:val="105"/>
        </w:rPr>
        <w:t>forward</w:t>
      </w:r>
      <w:r>
        <w:rPr>
          <w:spacing w:val="-2"/>
          <w:w w:val="105"/>
        </w:rPr>
        <w:t> </w:t>
      </w:r>
      <w:r>
        <w:rPr>
          <w:w w:val="105"/>
        </w:rPr>
        <w:t>and</w:t>
      </w:r>
      <w:r>
        <w:rPr>
          <w:spacing w:val="-2"/>
          <w:w w:val="105"/>
        </w:rPr>
        <w:t> </w:t>
      </w:r>
      <w:r>
        <w:rPr>
          <w:w w:val="105"/>
        </w:rPr>
        <w:t>option contracts,</w:t>
      </w:r>
      <w:r>
        <w:rPr>
          <w:spacing w:val="-9"/>
          <w:w w:val="105"/>
        </w:rPr>
        <w:t> </w:t>
      </w:r>
      <w:r>
        <w:rPr>
          <w:w w:val="105"/>
        </w:rPr>
        <w:t>and</w:t>
      </w:r>
      <w:r>
        <w:rPr>
          <w:spacing w:val="-9"/>
          <w:w w:val="105"/>
        </w:rPr>
        <w:t> </w:t>
      </w:r>
      <w:r>
        <w:rPr>
          <w:w w:val="105"/>
        </w:rPr>
        <w:t>foreign</w:t>
      </w:r>
      <w:r>
        <w:rPr>
          <w:spacing w:val="-9"/>
          <w:w w:val="105"/>
        </w:rPr>
        <w:t> </w:t>
      </w:r>
      <w:r>
        <w:rPr>
          <w:w w:val="105"/>
        </w:rPr>
        <w:t>denominated</w:t>
      </w:r>
      <w:r>
        <w:rPr>
          <w:spacing w:val="-9"/>
          <w:w w:val="105"/>
        </w:rPr>
        <w:t> </w:t>
      </w:r>
      <w:r>
        <w:rPr>
          <w:w w:val="105"/>
        </w:rPr>
        <w:t>debt</w:t>
      </w:r>
      <w:r>
        <w:rPr>
          <w:spacing w:val="-9"/>
          <w:w w:val="105"/>
        </w:rPr>
        <w:t> </w:t>
      </w:r>
      <w:r>
        <w:rPr>
          <w:w w:val="105"/>
        </w:rPr>
        <w:t>with</w:t>
      </w:r>
      <w:r>
        <w:rPr>
          <w:spacing w:val="-9"/>
          <w:w w:val="105"/>
        </w:rPr>
        <w:t> </w:t>
      </w:r>
      <w:r>
        <w:rPr>
          <w:w w:val="105"/>
        </w:rPr>
        <w:t>values</w:t>
      </w:r>
      <w:r>
        <w:rPr>
          <w:spacing w:val="-9"/>
          <w:w w:val="105"/>
        </w:rPr>
        <w:t> </w:t>
      </w:r>
      <w:r>
        <w:rPr>
          <w:w w:val="105"/>
        </w:rPr>
        <w:t>exposed</w:t>
      </w:r>
      <w:r>
        <w:rPr>
          <w:spacing w:val="-7"/>
          <w:w w:val="105"/>
        </w:rPr>
        <w:t> </w:t>
      </w:r>
      <w:r>
        <w:rPr>
          <w:w w:val="105"/>
        </w:rPr>
        <w:t>to</w:t>
      </w:r>
      <w:r>
        <w:rPr>
          <w:spacing w:val="-9"/>
          <w:w w:val="105"/>
        </w:rPr>
        <w:t> </w:t>
      </w:r>
      <w:r>
        <w:rPr>
          <w:w w:val="105"/>
        </w:rPr>
        <w:t>exchange</w:t>
      </w:r>
      <w:r>
        <w:rPr>
          <w:spacing w:val="-9"/>
          <w:w w:val="105"/>
        </w:rPr>
        <w:t> </w:t>
      </w:r>
      <w:r>
        <w:rPr>
          <w:w w:val="105"/>
        </w:rPr>
        <w:t>rate</w:t>
      </w:r>
      <w:r>
        <w:rPr>
          <w:spacing w:val="-9"/>
          <w:w w:val="105"/>
        </w:rPr>
        <w:t> </w:t>
      </w:r>
      <w:r>
        <w:rPr>
          <w:w w:val="105"/>
        </w:rPr>
        <w:t>movements,</w:t>
      </w:r>
      <w:r>
        <w:rPr>
          <w:spacing w:val="-9"/>
          <w:w w:val="105"/>
        </w:rPr>
        <w:t> </w:t>
      </w:r>
      <w:r>
        <w:rPr>
          <w:w w:val="105"/>
        </w:rPr>
        <w:t>a</w:t>
      </w:r>
      <w:r>
        <w:rPr>
          <w:spacing w:val="-9"/>
          <w:w w:val="105"/>
        </w:rPr>
        <w:t> </w:t>
      </w:r>
      <w:r>
        <w:rPr>
          <w:w w:val="105"/>
        </w:rPr>
        <w:t>10%</w:t>
      </w:r>
      <w:r>
        <w:rPr>
          <w:spacing w:val="-9"/>
          <w:w w:val="105"/>
        </w:rPr>
        <w:t> </w:t>
      </w:r>
      <w:r>
        <w:rPr>
          <w:w w:val="105"/>
        </w:rPr>
        <w:t>adverse</w:t>
      </w:r>
      <w:r>
        <w:rPr>
          <w:spacing w:val="-9"/>
          <w:w w:val="105"/>
        </w:rPr>
        <w:t> </w:t>
      </w:r>
      <w:r>
        <w:rPr>
          <w:w w:val="105"/>
        </w:rPr>
        <w:t>movement</w:t>
      </w:r>
      <w:r>
        <w:rPr>
          <w:spacing w:val="-9"/>
          <w:w w:val="105"/>
        </w:rPr>
        <w:t> </w:t>
      </w:r>
      <w:r>
        <w:rPr>
          <w:w w:val="105"/>
        </w:rPr>
        <w:t>in</w:t>
      </w:r>
      <w:r>
        <w:rPr>
          <w:spacing w:val="-9"/>
          <w:w w:val="105"/>
        </w:rPr>
        <w:t> </w:t>
      </w:r>
      <w:r>
        <w:rPr>
          <w:w w:val="105"/>
        </w:rPr>
        <w:t>quoted</w:t>
      </w:r>
      <w:r>
        <w:rPr>
          <w:spacing w:val="-9"/>
          <w:w w:val="105"/>
        </w:rPr>
        <w:t> </w:t>
      </w:r>
      <w:r>
        <w:rPr>
          <w:w w:val="105"/>
        </w:rPr>
        <w:t>foreign</w:t>
      </w:r>
      <w:r>
        <w:rPr>
          <w:spacing w:val="-9"/>
          <w:w w:val="105"/>
        </w:rPr>
        <w:t> </w:t>
      </w:r>
      <w:r>
        <w:rPr>
          <w:w w:val="105"/>
        </w:rPr>
        <w:t>currency</w:t>
      </w:r>
      <w:r>
        <w:rPr>
          <w:spacing w:val="-9"/>
          <w:w w:val="105"/>
        </w:rPr>
        <w:t> </w:t>
      </w:r>
      <w:r>
        <w:rPr>
          <w:w w:val="105"/>
        </w:rPr>
        <w:t>exchange</w:t>
      </w:r>
      <w:r>
        <w:rPr>
          <w:spacing w:val="-9"/>
          <w:w w:val="105"/>
        </w:rPr>
        <w:t> </w:t>
      </w:r>
      <w:r>
        <w:rPr>
          <w:w w:val="105"/>
        </w:rPr>
        <w:t>rates</w:t>
      </w:r>
      <w:r>
        <w:rPr>
          <w:spacing w:val="-9"/>
          <w:w w:val="105"/>
        </w:rPr>
        <w:t> </w:t>
      </w:r>
      <w:r>
        <w:rPr>
          <w:w w:val="105"/>
        </w:rPr>
        <w:t>could</w:t>
      </w:r>
      <w:r>
        <w:rPr>
          <w:spacing w:val="-9"/>
          <w:w w:val="105"/>
        </w:rPr>
        <w:t> </w:t>
      </w:r>
      <w:r>
        <w:rPr>
          <w:w w:val="105"/>
        </w:rPr>
        <w:t>result in</w:t>
      </w:r>
      <w:r>
        <w:rPr>
          <w:spacing w:val="-4"/>
          <w:w w:val="105"/>
        </w:rPr>
        <w:t> </w:t>
      </w:r>
      <w:r>
        <w:rPr>
          <w:w w:val="105"/>
        </w:rPr>
        <w:t>a</w:t>
      </w:r>
      <w:r>
        <w:rPr>
          <w:spacing w:val="-4"/>
          <w:w w:val="105"/>
        </w:rPr>
        <w:t> </w:t>
      </w:r>
      <w:r>
        <w:rPr>
          <w:w w:val="105"/>
        </w:rPr>
        <w:t>loss</w:t>
      </w:r>
      <w:r>
        <w:rPr>
          <w:spacing w:val="-4"/>
          <w:w w:val="105"/>
        </w:rPr>
        <w:t> </w:t>
      </w:r>
      <w:r>
        <w:rPr>
          <w:w w:val="105"/>
        </w:rPr>
        <w:t>in</w:t>
      </w:r>
      <w:r>
        <w:rPr>
          <w:spacing w:val="-4"/>
          <w:w w:val="105"/>
        </w:rPr>
        <w:t> </w:t>
      </w:r>
      <w:r>
        <w:rPr>
          <w:w w:val="105"/>
        </w:rPr>
        <w:t>fair</w:t>
      </w:r>
      <w:r>
        <w:rPr>
          <w:spacing w:val="-4"/>
          <w:w w:val="105"/>
        </w:rPr>
        <w:t> </w:t>
      </w:r>
      <w:r>
        <w:rPr>
          <w:w w:val="105"/>
        </w:rPr>
        <w:t>value</w:t>
      </w:r>
      <w:r>
        <w:rPr>
          <w:spacing w:val="-4"/>
          <w:w w:val="105"/>
        </w:rPr>
        <w:t> </w:t>
      </w:r>
      <w:r>
        <w:rPr>
          <w:w w:val="105"/>
        </w:rPr>
        <w:t>of</w:t>
      </w:r>
      <w:r>
        <w:rPr>
          <w:spacing w:val="-2"/>
          <w:w w:val="105"/>
        </w:rPr>
        <w:t> </w:t>
      </w:r>
      <w:r>
        <w:rPr>
          <w:w w:val="105"/>
        </w:rPr>
        <w:t>these</w:t>
      </w:r>
      <w:r>
        <w:rPr>
          <w:spacing w:val="-4"/>
          <w:w w:val="105"/>
        </w:rPr>
        <w:t> </w:t>
      </w:r>
      <w:r>
        <w:rPr>
          <w:w w:val="105"/>
        </w:rPr>
        <w:t>instruments</w:t>
      </w:r>
      <w:r>
        <w:rPr>
          <w:spacing w:val="-4"/>
          <w:w w:val="105"/>
        </w:rPr>
        <w:t> </w:t>
      </w:r>
      <w:r>
        <w:rPr>
          <w:w w:val="105"/>
        </w:rPr>
        <w:t>of</w:t>
      </w:r>
      <w:r>
        <w:rPr>
          <w:spacing w:val="-4"/>
          <w:w w:val="105"/>
        </w:rPr>
        <w:t> </w:t>
      </w:r>
      <w:r>
        <w:rPr>
          <w:w w:val="105"/>
        </w:rPr>
        <w:t>$0.7</w:t>
      </w:r>
      <w:r>
        <w:rPr>
          <w:spacing w:val="-4"/>
          <w:w w:val="105"/>
        </w:rPr>
        <w:t> </w:t>
      </w:r>
      <w:r>
        <w:rPr>
          <w:w w:val="105"/>
        </w:rPr>
        <w:t>billion</w:t>
      </w:r>
      <w:r>
        <w:rPr>
          <w:spacing w:val="-4"/>
          <w:w w:val="105"/>
        </w:rPr>
        <w:t> </w:t>
      </w:r>
      <w:r>
        <w:rPr>
          <w:w w:val="105"/>
        </w:rPr>
        <w:t>compared</w:t>
      </w:r>
      <w:r>
        <w:rPr>
          <w:spacing w:val="-4"/>
          <w:w w:val="105"/>
        </w:rPr>
        <w:t> </w:t>
      </w:r>
      <w:r>
        <w:rPr>
          <w:w w:val="105"/>
        </w:rPr>
        <w:t>to</w:t>
      </w:r>
      <w:r>
        <w:rPr>
          <w:spacing w:val="-4"/>
          <w:w w:val="105"/>
        </w:rPr>
        <w:t> </w:t>
      </w:r>
      <w:r>
        <w:rPr>
          <w:w w:val="105"/>
        </w:rPr>
        <w:t>$1.0</w:t>
      </w:r>
      <w:r>
        <w:rPr>
          <w:spacing w:val="-4"/>
          <w:w w:val="105"/>
        </w:rPr>
        <w:t> </w:t>
      </w:r>
      <w:r>
        <w:rPr>
          <w:w w:val="105"/>
        </w:rPr>
        <w:t>billion</w:t>
      </w:r>
      <w:r>
        <w:rPr>
          <w:spacing w:val="-4"/>
          <w:w w:val="105"/>
        </w:rPr>
        <w:t> </w:t>
      </w:r>
      <w:r>
        <w:rPr>
          <w:w w:val="105"/>
        </w:rPr>
        <w:t>at</w:t>
      </w:r>
      <w:r>
        <w:rPr>
          <w:spacing w:val="-4"/>
          <w:w w:val="105"/>
        </w:rPr>
        <w:t> </w:t>
      </w:r>
      <w:r>
        <w:rPr>
          <w:w w:val="105"/>
        </w:rPr>
        <w:t>December</w:t>
      </w:r>
      <w:r>
        <w:rPr>
          <w:spacing w:val="-4"/>
          <w:w w:val="105"/>
        </w:rPr>
        <w:t> </w:t>
      </w:r>
      <w:r>
        <w:rPr>
          <w:w w:val="105"/>
        </w:rPr>
        <w:t>31,</w:t>
      </w:r>
      <w:r>
        <w:rPr>
          <w:spacing w:val="-4"/>
          <w:w w:val="105"/>
        </w:rPr>
        <w:t> </w:t>
      </w:r>
      <w:r>
        <w:rPr>
          <w:w w:val="105"/>
        </w:rPr>
        <w:t>2020.</w:t>
      </w:r>
      <w:r>
        <w:rPr>
          <w:spacing w:val="-4"/>
          <w:w w:val="105"/>
        </w:rPr>
        <w:t> </w:t>
      </w:r>
      <w:r>
        <w:rPr>
          <w:w w:val="105"/>
        </w:rPr>
        <w:t>Specific</w:t>
      </w:r>
      <w:r>
        <w:rPr>
          <w:spacing w:val="-4"/>
          <w:w w:val="105"/>
        </w:rPr>
        <w:t> </w:t>
      </w:r>
      <w:r>
        <w:rPr>
          <w:w w:val="105"/>
        </w:rPr>
        <w:t>to</w:t>
      </w:r>
      <w:r>
        <w:rPr>
          <w:spacing w:val="-4"/>
          <w:w w:val="105"/>
        </w:rPr>
        <w:t> </w:t>
      </w:r>
      <w:r>
        <w:rPr>
          <w:w w:val="105"/>
        </w:rPr>
        <w:t>the</w:t>
      </w:r>
      <w:r>
        <w:rPr>
          <w:spacing w:val="-4"/>
          <w:w w:val="105"/>
        </w:rPr>
        <w:t> </w:t>
      </w:r>
      <w:r>
        <w:rPr>
          <w:w w:val="105"/>
        </w:rPr>
        <w:t>Japanese</w:t>
      </w:r>
      <w:r>
        <w:rPr>
          <w:spacing w:val="-4"/>
          <w:w w:val="105"/>
        </w:rPr>
        <w:t> </w:t>
      </w:r>
      <w:r>
        <w:rPr>
          <w:w w:val="105"/>
        </w:rPr>
        <w:t>yen,</w:t>
      </w:r>
      <w:r>
        <w:rPr>
          <w:spacing w:val="-4"/>
          <w:w w:val="105"/>
        </w:rPr>
        <w:t> </w:t>
      </w:r>
      <w:r>
        <w:rPr>
          <w:w w:val="105"/>
        </w:rPr>
        <w:t>a</w:t>
      </w:r>
      <w:r>
        <w:rPr>
          <w:spacing w:val="-4"/>
          <w:w w:val="105"/>
        </w:rPr>
        <w:t> </w:t>
      </w:r>
      <w:r>
        <w:rPr>
          <w:w w:val="105"/>
        </w:rPr>
        <w:t>10%</w:t>
      </w:r>
      <w:r>
        <w:rPr>
          <w:spacing w:val="-4"/>
          <w:w w:val="105"/>
        </w:rPr>
        <w:t> </w:t>
      </w:r>
      <w:r>
        <w:rPr>
          <w:w w:val="105"/>
        </w:rPr>
        <w:t>adverse</w:t>
      </w:r>
      <w:r>
        <w:rPr>
          <w:spacing w:val="-4"/>
          <w:w w:val="105"/>
        </w:rPr>
        <w:t> </w:t>
      </w:r>
      <w:r>
        <w:rPr>
          <w:w w:val="105"/>
        </w:rPr>
        <w:t>movement</w:t>
      </w:r>
      <w:r>
        <w:rPr>
          <w:spacing w:val="-4"/>
          <w:w w:val="105"/>
        </w:rPr>
        <w:t> </w:t>
      </w:r>
      <w:r>
        <w:rPr>
          <w:w w:val="105"/>
        </w:rPr>
        <w:t>in</w:t>
      </w:r>
      <w:r>
        <w:rPr>
          <w:spacing w:val="-4"/>
          <w:w w:val="105"/>
        </w:rPr>
        <w:t> </w:t>
      </w:r>
      <w:r>
        <w:rPr>
          <w:w w:val="105"/>
        </w:rPr>
        <w:t>quoted yen</w:t>
      </w:r>
      <w:r>
        <w:rPr>
          <w:spacing w:val="-2"/>
          <w:w w:val="105"/>
        </w:rPr>
        <w:t> </w:t>
      </w:r>
      <w:r>
        <w:rPr>
          <w:w w:val="105"/>
        </w:rPr>
        <w:t>exchange</w:t>
      </w:r>
      <w:r>
        <w:rPr>
          <w:spacing w:val="-2"/>
          <w:w w:val="105"/>
        </w:rPr>
        <w:t> </w:t>
      </w:r>
      <w:r>
        <w:rPr>
          <w:w w:val="105"/>
        </w:rPr>
        <w:t>rates</w:t>
      </w:r>
      <w:r>
        <w:rPr>
          <w:spacing w:val="-2"/>
          <w:w w:val="105"/>
        </w:rPr>
        <w:t> </w:t>
      </w:r>
      <w:r>
        <w:rPr>
          <w:w w:val="105"/>
        </w:rPr>
        <w:t>could</w:t>
      </w:r>
      <w:r>
        <w:rPr>
          <w:spacing w:val="-2"/>
          <w:w w:val="105"/>
        </w:rPr>
        <w:t> </w:t>
      </w:r>
      <w:r>
        <w:rPr>
          <w:w w:val="105"/>
        </w:rPr>
        <w:t>result</w:t>
      </w:r>
      <w:r>
        <w:rPr>
          <w:spacing w:val="-2"/>
          <w:w w:val="105"/>
        </w:rPr>
        <w:t> </w:t>
      </w:r>
      <w:r>
        <w:rPr>
          <w:w w:val="105"/>
        </w:rPr>
        <w:t>in</w:t>
      </w:r>
      <w:r>
        <w:rPr>
          <w:spacing w:val="-2"/>
          <w:w w:val="105"/>
        </w:rPr>
        <w:t> </w:t>
      </w:r>
      <w:r>
        <w:rPr>
          <w:w w:val="105"/>
        </w:rPr>
        <w:t>a</w:t>
      </w:r>
      <w:r>
        <w:rPr>
          <w:spacing w:val="-2"/>
          <w:w w:val="105"/>
        </w:rPr>
        <w:t> </w:t>
      </w:r>
      <w:r>
        <w:rPr>
          <w:w w:val="105"/>
        </w:rPr>
        <w:t>loss</w:t>
      </w:r>
      <w:r>
        <w:rPr>
          <w:spacing w:val="-2"/>
          <w:w w:val="105"/>
        </w:rPr>
        <w:t> </w:t>
      </w:r>
      <w:r>
        <w:rPr>
          <w:w w:val="105"/>
        </w:rPr>
        <w:t>in</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these</w:t>
      </w:r>
      <w:r>
        <w:rPr>
          <w:spacing w:val="-2"/>
          <w:w w:val="105"/>
        </w:rPr>
        <w:t> </w:t>
      </w:r>
      <w:r>
        <w:rPr>
          <w:w w:val="105"/>
        </w:rPr>
        <w:t>instruments</w:t>
      </w:r>
      <w:r>
        <w:rPr>
          <w:spacing w:val="-2"/>
          <w:w w:val="105"/>
        </w:rPr>
        <w:t> </w:t>
      </w:r>
      <w:r>
        <w:rPr>
          <w:w w:val="105"/>
        </w:rPr>
        <w:t>of</w:t>
      </w:r>
      <w:r>
        <w:rPr>
          <w:spacing w:val="-2"/>
          <w:w w:val="105"/>
        </w:rPr>
        <w:t> </w:t>
      </w:r>
      <w:r>
        <w:rPr>
          <w:w w:val="105"/>
        </w:rPr>
        <w:t>$0.6</w:t>
      </w:r>
      <w:r>
        <w:rPr>
          <w:spacing w:val="-2"/>
          <w:w w:val="105"/>
        </w:rPr>
        <w:t> </w:t>
      </w:r>
      <w:r>
        <w:rPr>
          <w:w w:val="105"/>
        </w:rPr>
        <w:t>billion</w:t>
      </w:r>
      <w:r>
        <w:rPr>
          <w:spacing w:val="-2"/>
          <w:w w:val="105"/>
        </w:rPr>
        <w:t> </w:t>
      </w:r>
      <w:r>
        <w:rPr>
          <w:w w:val="105"/>
        </w:rPr>
        <w:t>and</w:t>
      </w:r>
      <w:r>
        <w:rPr>
          <w:spacing w:val="-2"/>
          <w:w w:val="105"/>
        </w:rPr>
        <w:t> </w:t>
      </w:r>
      <w:r>
        <w:rPr>
          <w:w w:val="105"/>
        </w:rPr>
        <w:t>$0.8</w:t>
      </w:r>
      <w:r>
        <w:rPr>
          <w:spacing w:val="-2"/>
          <w:w w:val="105"/>
        </w:rPr>
        <w:t> </w:t>
      </w:r>
      <w:r>
        <w:rPr>
          <w:w w:val="105"/>
        </w:rPr>
        <w:t>billion</w:t>
      </w:r>
      <w:r>
        <w:rPr>
          <w:spacing w:val="-2"/>
          <w:w w:val="105"/>
        </w:rPr>
        <w:t> </w:t>
      </w:r>
      <w:r>
        <w:rPr>
          <w:w w:val="105"/>
        </w:rPr>
        <w:t>at</w:t>
      </w:r>
      <w:r>
        <w:rPr>
          <w:spacing w:val="-2"/>
          <w:w w:val="105"/>
        </w:rPr>
        <w:t> </w:t>
      </w:r>
      <w:r>
        <w:rPr>
          <w:w w:val="105"/>
        </w:rPr>
        <w:t>December</w:t>
      </w:r>
      <w:r>
        <w:rPr>
          <w:spacing w:val="-2"/>
          <w:w w:val="105"/>
        </w:rPr>
        <w:t> </w:t>
      </w:r>
      <w:r>
        <w:rPr>
          <w:w w:val="105"/>
        </w:rPr>
        <w:t>31,</w:t>
      </w:r>
      <w:r>
        <w:rPr>
          <w:spacing w:val="-2"/>
          <w:w w:val="105"/>
        </w:rPr>
        <w:t> </w:t>
      </w:r>
      <w:r>
        <w:rPr>
          <w:w w:val="105"/>
        </w:rPr>
        <w:t>2021</w:t>
      </w:r>
      <w:r>
        <w:rPr>
          <w:spacing w:val="-2"/>
          <w:w w:val="105"/>
        </w:rPr>
        <w:t> </w:t>
      </w:r>
      <w:r>
        <w:rPr>
          <w:w w:val="105"/>
        </w:rPr>
        <w:t>and</w:t>
      </w:r>
      <w:r>
        <w:rPr>
          <w:spacing w:val="-2"/>
          <w:w w:val="105"/>
        </w:rPr>
        <w:t> </w:t>
      </w:r>
      <w:r>
        <w:rPr>
          <w:w w:val="105"/>
        </w:rPr>
        <w:t>2020,</w:t>
      </w:r>
      <w:r>
        <w:rPr>
          <w:spacing w:val="-2"/>
          <w:w w:val="105"/>
        </w:rPr>
        <w:t> </w:t>
      </w:r>
      <w:r>
        <w:rPr>
          <w:w w:val="105"/>
        </w:rPr>
        <w:t>respectively.</w:t>
      </w:r>
      <w:r>
        <w:rPr>
          <w:spacing w:val="-2"/>
          <w:w w:val="105"/>
        </w:rPr>
        <w:t> </w:t>
      </w:r>
      <w:r>
        <w:rPr>
          <w:w w:val="105"/>
        </w:rPr>
        <w:t>The</w:t>
      </w:r>
      <w:r>
        <w:rPr>
          <w:spacing w:val="-2"/>
          <w:w w:val="105"/>
        </w:rPr>
        <w:t> </w:t>
      </w:r>
      <w:r>
        <w:rPr>
          <w:w w:val="105"/>
        </w:rPr>
        <w:t>Company expects</w:t>
      </w:r>
      <w:r>
        <w:rPr>
          <w:spacing w:val="-8"/>
          <w:w w:val="105"/>
        </w:rPr>
        <w:t> </w:t>
      </w:r>
      <w:r>
        <w:rPr>
          <w:w w:val="105"/>
        </w:rPr>
        <w:t>that</w:t>
      </w:r>
      <w:r>
        <w:rPr>
          <w:spacing w:val="-8"/>
          <w:w w:val="105"/>
        </w:rPr>
        <w:t> </w:t>
      </w:r>
      <w:r>
        <w:rPr>
          <w:w w:val="105"/>
        </w:rPr>
        <w:t>these</w:t>
      </w:r>
      <w:r>
        <w:rPr>
          <w:spacing w:val="-8"/>
          <w:w w:val="105"/>
        </w:rPr>
        <w:t> </w:t>
      </w:r>
      <w:r>
        <w:rPr>
          <w:w w:val="105"/>
        </w:rPr>
        <w:t>hypothetical</w:t>
      </w:r>
      <w:r>
        <w:rPr>
          <w:spacing w:val="-8"/>
          <w:w w:val="105"/>
        </w:rPr>
        <w:t> </w:t>
      </w:r>
      <w:r>
        <w:rPr>
          <w:w w:val="105"/>
        </w:rPr>
        <w:t>losses</w:t>
      </w:r>
      <w:r>
        <w:rPr>
          <w:spacing w:val="-8"/>
          <w:w w:val="105"/>
        </w:rPr>
        <w:t> </w:t>
      </w:r>
      <w:r>
        <w:rPr>
          <w:w w:val="105"/>
        </w:rPr>
        <w:t>from</w:t>
      </w:r>
      <w:r>
        <w:rPr>
          <w:spacing w:val="-8"/>
          <w:w w:val="105"/>
        </w:rPr>
        <w:t> </w:t>
      </w:r>
      <w:r>
        <w:rPr>
          <w:w w:val="105"/>
        </w:rPr>
        <w:t>a</w:t>
      </w:r>
      <w:r>
        <w:rPr>
          <w:spacing w:val="-8"/>
          <w:w w:val="105"/>
        </w:rPr>
        <w:t> </w:t>
      </w:r>
      <w:r>
        <w:rPr>
          <w:w w:val="105"/>
        </w:rPr>
        <w:t>10%</w:t>
      </w:r>
      <w:r>
        <w:rPr>
          <w:spacing w:val="-8"/>
          <w:w w:val="105"/>
        </w:rPr>
        <w:t> </w:t>
      </w:r>
      <w:r>
        <w:rPr>
          <w:w w:val="105"/>
        </w:rPr>
        <w:t>adverse</w:t>
      </w:r>
      <w:r>
        <w:rPr>
          <w:spacing w:val="-8"/>
          <w:w w:val="105"/>
        </w:rPr>
        <w:t> </w:t>
      </w:r>
      <w:r>
        <w:rPr>
          <w:w w:val="105"/>
        </w:rPr>
        <w:t>movement</w:t>
      </w:r>
      <w:r>
        <w:rPr>
          <w:spacing w:val="-8"/>
          <w:w w:val="105"/>
        </w:rPr>
        <w:t> </w:t>
      </w:r>
      <w:r>
        <w:rPr>
          <w:w w:val="105"/>
        </w:rPr>
        <w:t>in</w:t>
      </w:r>
      <w:r>
        <w:rPr>
          <w:spacing w:val="-8"/>
          <w:w w:val="105"/>
        </w:rPr>
        <w:t> </w:t>
      </w:r>
      <w:r>
        <w:rPr>
          <w:w w:val="105"/>
        </w:rPr>
        <w:t>quoted</w:t>
      </w:r>
      <w:r>
        <w:rPr>
          <w:spacing w:val="-8"/>
          <w:w w:val="105"/>
        </w:rPr>
        <w:t> </w:t>
      </w:r>
      <w:r>
        <w:rPr>
          <w:w w:val="105"/>
        </w:rPr>
        <w:t>foreign</w:t>
      </w:r>
      <w:r>
        <w:rPr>
          <w:spacing w:val="-8"/>
          <w:w w:val="105"/>
        </w:rPr>
        <w:t> </w:t>
      </w:r>
      <w:r>
        <w:rPr>
          <w:w w:val="105"/>
        </w:rPr>
        <w:t>currency</w:t>
      </w:r>
      <w:r>
        <w:rPr>
          <w:spacing w:val="-8"/>
          <w:w w:val="105"/>
        </w:rPr>
        <w:t> </w:t>
      </w:r>
      <w:r>
        <w:rPr>
          <w:w w:val="105"/>
        </w:rPr>
        <w:t>exchange</w:t>
      </w:r>
      <w:r>
        <w:rPr>
          <w:spacing w:val="-8"/>
          <w:w w:val="105"/>
        </w:rPr>
        <w:t> </w:t>
      </w:r>
      <w:r>
        <w:rPr>
          <w:w w:val="105"/>
        </w:rPr>
        <w:t>rates</w:t>
      </w:r>
      <w:r>
        <w:rPr>
          <w:spacing w:val="-8"/>
          <w:w w:val="105"/>
        </w:rPr>
        <w:t> </w:t>
      </w:r>
      <w:r>
        <w:rPr>
          <w:w w:val="105"/>
        </w:rPr>
        <w:t>on</w:t>
      </w:r>
      <w:r>
        <w:rPr>
          <w:spacing w:val="-8"/>
          <w:w w:val="105"/>
        </w:rPr>
        <w:t> </w:t>
      </w:r>
      <w:r>
        <w:rPr>
          <w:w w:val="105"/>
        </w:rPr>
        <w:t>the</w:t>
      </w:r>
      <w:r>
        <w:rPr>
          <w:spacing w:val="-8"/>
          <w:w w:val="105"/>
        </w:rPr>
        <w:t> </w:t>
      </w:r>
      <w:r>
        <w:rPr>
          <w:w w:val="105"/>
        </w:rPr>
        <w:t>derivative</w:t>
      </w:r>
      <w:r>
        <w:rPr>
          <w:spacing w:val="-8"/>
          <w:w w:val="105"/>
        </w:rPr>
        <w:t> </w:t>
      </w:r>
      <w:r>
        <w:rPr>
          <w:w w:val="105"/>
        </w:rPr>
        <w:t>financial</w:t>
      </w:r>
      <w:r>
        <w:rPr>
          <w:spacing w:val="-8"/>
          <w:w w:val="105"/>
        </w:rPr>
        <w:t> </w:t>
      </w:r>
      <w:r>
        <w:rPr>
          <w:w w:val="105"/>
        </w:rPr>
        <w:t>instruments</w:t>
      </w:r>
      <w:r>
        <w:rPr>
          <w:spacing w:val="-8"/>
          <w:w w:val="105"/>
        </w:rPr>
        <w:t> </w:t>
      </w:r>
      <w:r>
        <w:rPr>
          <w:w w:val="105"/>
        </w:rPr>
        <w:t>should</w:t>
      </w:r>
      <w:r>
        <w:rPr>
          <w:spacing w:val="-8"/>
          <w:w w:val="105"/>
        </w:rPr>
        <w:t> </w:t>
      </w:r>
      <w:r>
        <w:rPr>
          <w:w w:val="105"/>
        </w:rPr>
        <w:t>largely</w:t>
      </w:r>
      <w:r>
        <w:rPr>
          <w:spacing w:val="-8"/>
          <w:w w:val="105"/>
        </w:rPr>
        <w:t> </w:t>
      </w:r>
      <w:r>
        <w:rPr>
          <w:w w:val="105"/>
        </w:rPr>
        <w:t>offset gains on the assets, liabilities and future transactions being hedged.</w:t>
      </w:r>
    </w:p>
    <w:p>
      <w:pPr>
        <w:pStyle w:val="BodyText"/>
        <w:spacing w:before="17"/>
      </w:pPr>
    </w:p>
    <w:p>
      <w:pPr>
        <w:spacing w:before="0"/>
        <w:ind w:left="156" w:right="0" w:firstLine="0"/>
        <w:jc w:val="left"/>
        <w:rPr>
          <w:b/>
          <w:sz w:val="16"/>
        </w:rPr>
      </w:pPr>
      <w:r>
        <w:rPr>
          <w:b/>
          <w:sz w:val="16"/>
          <w:u w:val="single"/>
        </w:rPr>
        <w:t>Item</w:t>
      </w:r>
      <w:r>
        <w:rPr>
          <w:b/>
          <w:spacing w:val="14"/>
          <w:sz w:val="16"/>
          <w:u w:val="single"/>
        </w:rPr>
        <w:t> </w:t>
      </w:r>
      <w:r>
        <w:rPr>
          <w:b/>
          <w:sz w:val="16"/>
          <w:u w:val="single"/>
        </w:rPr>
        <w:t>8.</w:t>
      </w:r>
      <w:r>
        <w:rPr>
          <w:b/>
          <w:spacing w:val="15"/>
          <w:sz w:val="16"/>
          <w:u w:val="single"/>
        </w:rPr>
        <w:t> </w:t>
      </w:r>
      <w:r>
        <w:rPr>
          <w:b/>
          <w:sz w:val="16"/>
          <w:u w:val="single"/>
        </w:rPr>
        <w:t>Financial</w:t>
      </w:r>
      <w:r>
        <w:rPr>
          <w:b/>
          <w:spacing w:val="15"/>
          <w:sz w:val="16"/>
          <w:u w:val="single"/>
        </w:rPr>
        <w:t> </w:t>
      </w:r>
      <w:r>
        <w:rPr>
          <w:b/>
          <w:sz w:val="16"/>
          <w:u w:val="single"/>
        </w:rPr>
        <w:t>Statements</w:t>
      </w:r>
      <w:r>
        <w:rPr>
          <w:b/>
          <w:spacing w:val="15"/>
          <w:sz w:val="16"/>
          <w:u w:val="single"/>
        </w:rPr>
        <w:t> </w:t>
      </w:r>
      <w:r>
        <w:rPr>
          <w:b/>
          <w:sz w:val="16"/>
          <w:u w:val="single"/>
        </w:rPr>
        <w:t>and</w:t>
      </w:r>
      <w:r>
        <w:rPr>
          <w:b/>
          <w:spacing w:val="15"/>
          <w:sz w:val="16"/>
          <w:u w:val="single"/>
        </w:rPr>
        <w:t> </w:t>
      </w:r>
      <w:r>
        <w:rPr>
          <w:b/>
          <w:sz w:val="16"/>
          <w:u w:val="single"/>
        </w:rPr>
        <w:t>Supplementary</w:t>
      </w:r>
      <w:r>
        <w:rPr>
          <w:b/>
          <w:spacing w:val="15"/>
          <w:sz w:val="16"/>
          <w:u w:val="single"/>
        </w:rPr>
        <w:t> </w:t>
      </w:r>
      <w:r>
        <w:rPr>
          <w:b/>
          <w:spacing w:val="-4"/>
          <w:sz w:val="16"/>
          <w:u w:val="single"/>
        </w:rPr>
        <w:t>Data</w:t>
      </w:r>
    </w:p>
    <w:p>
      <w:pPr>
        <w:pStyle w:val="BodyText"/>
        <w:spacing w:before="39"/>
        <w:rPr>
          <w:b/>
        </w:rPr>
      </w:pPr>
    </w:p>
    <w:p>
      <w:pPr>
        <w:pStyle w:val="BodyText"/>
        <w:spacing w:line="266" w:lineRule="auto" w:before="1"/>
        <w:ind w:left="156" w:right="328"/>
      </w:pPr>
      <w:r>
        <w:rPr>
          <w:w w:val="105"/>
        </w:rPr>
        <w:t>The</w:t>
      </w:r>
      <w:r>
        <w:rPr>
          <w:spacing w:val="-8"/>
          <w:w w:val="105"/>
        </w:rPr>
        <w:t> </w:t>
      </w:r>
      <w:r>
        <w:rPr>
          <w:w w:val="105"/>
        </w:rPr>
        <w:t>response</w:t>
      </w:r>
      <w:r>
        <w:rPr>
          <w:spacing w:val="-8"/>
          <w:w w:val="105"/>
        </w:rPr>
        <w:t> </w:t>
      </w:r>
      <w:r>
        <w:rPr>
          <w:w w:val="105"/>
        </w:rPr>
        <w:t>to</w:t>
      </w:r>
      <w:r>
        <w:rPr>
          <w:spacing w:val="-8"/>
          <w:w w:val="105"/>
        </w:rPr>
        <w:t> </w:t>
      </w:r>
      <w:r>
        <w:rPr>
          <w:w w:val="105"/>
        </w:rPr>
        <w:t>this</w:t>
      </w:r>
      <w:r>
        <w:rPr>
          <w:spacing w:val="-8"/>
          <w:w w:val="105"/>
        </w:rPr>
        <w:t> </w:t>
      </w:r>
      <w:r>
        <w:rPr>
          <w:w w:val="105"/>
        </w:rPr>
        <w:t>Item</w:t>
      </w:r>
      <w:r>
        <w:rPr>
          <w:spacing w:val="-8"/>
          <w:w w:val="105"/>
        </w:rPr>
        <w:t> </w:t>
      </w:r>
      <w:r>
        <w:rPr>
          <w:w w:val="105"/>
        </w:rPr>
        <w:t>8</w:t>
      </w:r>
      <w:r>
        <w:rPr>
          <w:spacing w:val="-8"/>
          <w:w w:val="105"/>
        </w:rPr>
        <w:t> </w:t>
      </w:r>
      <w:r>
        <w:rPr>
          <w:w w:val="105"/>
        </w:rPr>
        <w:t>is</w:t>
      </w:r>
      <w:r>
        <w:rPr>
          <w:spacing w:val="-6"/>
          <w:w w:val="105"/>
        </w:rPr>
        <w:t> </w:t>
      </w:r>
      <w:r>
        <w:rPr>
          <w:w w:val="105"/>
        </w:rPr>
        <w:t>included</w:t>
      </w:r>
      <w:r>
        <w:rPr>
          <w:spacing w:val="-8"/>
          <w:w w:val="105"/>
        </w:rPr>
        <w:t> </w:t>
      </w:r>
      <w:r>
        <w:rPr>
          <w:w w:val="105"/>
        </w:rPr>
        <w:t>in</w:t>
      </w:r>
      <w:r>
        <w:rPr>
          <w:spacing w:val="-8"/>
          <w:w w:val="105"/>
        </w:rPr>
        <w:t> </w:t>
      </w:r>
      <w:r>
        <w:rPr>
          <w:w w:val="105"/>
        </w:rPr>
        <w:t>our</w:t>
      </w:r>
      <w:r>
        <w:rPr>
          <w:spacing w:val="-8"/>
          <w:w w:val="105"/>
        </w:rPr>
        <w:t> </w:t>
      </w:r>
      <w:r>
        <w:rPr>
          <w:w w:val="105"/>
        </w:rPr>
        <w:t>audited</w:t>
      </w:r>
      <w:r>
        <w:rPr>
          <w:spacing w:val="-8"/>
          <w:w w:val="105"/>
        </w:rPr>
        <w:t> </w:t>
      </w:r>
      <w:r>
        <w:rPr>
          <w:w w:val="105"/>
        </w:rPr>
        <w:t>Consolidated</w:t>
      </w:r>
      <w:r>
        <w:rPr>
          <w:spacing w:val="-8"/>
          <w:w w:val="105"/>
        </w:rPr>
        <w:t> </w:t>
      </w:r>
      <w:r>
        <w:rPr>
          <w:w w:val="105"/>
        </w:rPr>
        <w:t>Financial</w:t>
      </w:r>
      <w:r>
        <w:rPr>
          <w:spacing w:val="-8"/>
          <w:w w:val="105"/>
        </w:rPr>
        <w:t> </w:t>
      </w:r>
      <w:r>
        <w:rPr>
          <w:w w:val="105"/>
        </w:rPr>
        <w:t>Statements</w:t>
      </w:r>
      <w:r>
        <w:rPr>
          <w:spacing w:val="-8"/>
          <w:w w:val="105"/>
        </w:rPr>
        <w:t> </w:t>
      </w:r>
      <w:r>
        <w:rPr>
          <w:w w:val="105"/>
        </w:rPr>
        <w:t>and</w:t>
      </w:r>
      <w:r>
        <w:rPr>
          <w:spacing w:val="-8"/>
          <w:w w:val="105"/>
        </w:rPr>
        <w:t> </w:t>
      </w:r>
      <w:r>
        <w:rPr>
          <w:w w:val="105"/>
        </w:rPr>
        <w:t>Notes</w:t>
      </w:r>
      <w:r>
        <w:rPr>
          <w:spacing w:val="-8"/>
          <w:w w:val="105"/>
        </w:rPr>
        <w:t> </w:t>
      </w:r>
      <w:r>
        <w:rPr>
          <w:w w:val="105"/>
        </w:rPr>
        <w:t>to</w:t>
      </w:r>
      <w:r>
        <w:rPr>
          <w:spacing w:val="-8"/>
          <w:w w:val="105"/>
        </w:rPr>
        <w:t> </w:t>
      </w:r>
      <w:r>
        <w:rPr>
          <w:w w:val="105"/>
        </w:rPr>
        <w:t>Consolidated</w:t>
      </w:r>
      <w:r>
        <w:rPr>
          <w:spacing w:val="-8"/>
          <w:w w:val="105"/>
        </w:rPr>
        <w:t> </w:t>
      </w:r>
      <w:r>
        <w:rPr>
          <w:w w:val="105"/>
        </w:rPr>
        <w:t>Financial</w:t>
      </w:r>
      <w:r>
        <w:rPr>
          <w:spacing w:val="-8"/>
          <w:w w:val="105"/>
        </w:rPr>
        <w:t> </w:t>
      </w:r>
      <w:r>
        <w:rPr>
          <w:w w:val="105"/>
        </w:rPr>
        <w:t>Statements,</w:t>
      </w:r>
      <w:r>
        <w:rPr>
          <w:spacing w:val="-8"/>
          <w:w w:val="105"/>
        </w:rPr>
        <w:t> </w:t>
      </w:r>
      <w:r>
        <w:rPr>
          <w:w w:val="105"/>
        </w:rPr>
        <w:t>which</w:t>
      </w:r>
      <w:r>
        <w:rPr>
          <w:spacing w:val="-8"/>
          <w:w w:val="105"/>
        </w:rPr>
        <w:t> </w:t>
      </w:r>
      <w:r>
        <w:rPr>
          <w:w w:val="105"/>
        </w:rPr>
        <w:t>are</w:t>
      </w:r>
      <w:r>
        <w:rPr>
          <w:spacing w:val="-8"/>
          <w:w w:val="105"/>
        </w:rPr>
        <w:t> </w:t>
      </w:r>
      <w:r>
        <w:rPr>
          <w:w w:val="105"/>
        </w:rPr>
        <w:t>contained</w:t>
      </w:r>
      <w:r>
        <w:rPr>
          <w:spacing w:val="-6"/>
          <w:w w:val="105"/>
        </w:rPr>
        <w:t> </w:t>
      </w:r>
      <w:r>
        <w:rPr>
          <w:w w:val="105"/>
        </w:rPr>
        <w:t>in</w:t>
      </w:r>
      <w:r>
        <w:rPr>
          <w:spacing w:val="-8"/>
          <w:w w:val="105"/>
        </w:rPr>
        <w:t> </w:t>
      </w:r>
      <w:r>
        <w:rPr>
          <w:w w:val="105"/>
        </w:rPr>
        <w:t>Part</w:t>
      </w:r>
      <w:r>
        <w:rPr>
          <w:spacing w:val="-8"/>
          <w:w w:val="105"/>
        </w:rPr>
        <w:t> </w:t>
      </w:r>
      <w:r>
        <w:rPr>
          <w:w w:val="105"/>
        </w:rPr>
        <w:t>IV, Item 15 of this Form 10-K.</w:t>
      </w:r>
    </w:p>
    <w:p>
      <w:pPr>
        <w:pStyle w:val="BodyText"/>
        <w:spacing w:before="18"/>
      </w:pPr>
    </w:p>
    <w:p>
      <w:pPr>
        <w:spacing w:before="1"/>
        <w:ind w:left="156" w:right="0" w:firstLine="0"/>
        <w:jc w:val="left"/>
        <w:rPr>
          <w:b/>
          <w:sz w:val="16"/>
        </w:rPr>
      </w:pPr>
      <w:r>
        <w:rPr>
          <w:b/>
          <w:sz w:val="16"/>
          <w:u w:val="single"/>
        </w:rPr>
        <w:t>Item</w:t>
      </w:r>
      <w:r>
        <w:rPr>
          <w:b/>
          <w:spacing w:val="11"/>
          <w:sz w:val="16"/>
          <w:u w:val="single"/>
        </w:rPr>
        <w:t> </w:t>
      </w:r>
      <w:r>
        <w:rPr>
          <w:b/>
          <w:sz w:val="16"/>
          <w:u w:val="single"/>
        </w:rPr>
        <w:t>9.</w:t>
      </w:r>
      <w:r>
        <w:rPr>
          <w:b/>
          <w:spacing w:val="11"/>
          <w:sz w:val="16"/>
          <w:u w:val="single"/>
        </w:rPr>
        <w:t> </w:t>
      </w:r>
      <w:r>
        <w:rPr>
          <w:b/>
          <w:sz w:val="16"/>
          <w:u w:val="single"/>
        </w:rPr>
        <w:t>Changes</w:t>
      </w:r>
      <w:r>
        <w:rPr>
          <w:b/>
          <w:spacing w:val="12"/>
          <w:sz w:val="16"/>
          <w:u w:val="single"/>
        </w:rPr>
        <w:t> </w:t>
      </w:r>
      <w:r>
        <w:rPr>
          <w:b/>
          <w:sz w:val="16"/>
          <w:u w:val="single"/>
        </w:rPr>
        <w:t>in</w:t>
      </w:r>
      <w:r>
        <w:rPr>
          <w:b/>
          <w:spacing w:val="11"/>
          <w:sz w:val="16"/>
          <w:u w:val="single"/>
        </w:rPr>
        <w:t> </w:t>
      </w:r>
      <w:r>
        <w:rPr>
          <w:b/>
          <w:sz w:val="16"/>
          <w:u w:val="single"/>
        </w:rPr>
        <w:t>and</w:t>
      </w:r>
      <w:r>
        <w:rPr>
          <w:b/>
          <w:spacing w:val="12"/>
          <w:sz w:val="16"/>
          <w:u w:val="single"/>
        </w:rPr>
        <w:t> </w:t>
      </w:r>
      <w:r>
        <w:rPr>
          <w:b/>
          <w:sz w:val="16"/>
          <w:u w:val="single"/>
        </w:rPr>
        <w:t>Disagreements</w:t>
      </w:r>
      <w:r>
        <w:rPr>
          <w:b/>
          <w:spacing w:val="11"/>
          <w:sz w:val="16"/>
          <w:u w:val="single"/>
        </w:rPr>
        <w:t> </w:t>
      </w:r>
      <w:r>
        <w:rPr>
          <w:b/>
          <w:sz w:val="16"/>
          <w:u w:val="single"/>
        </w:rPr>
        <w:t>with</w:t>
      </w:r>
      <w:r>
        <w:rPr>
          <w:b/>
          <w:spacing w:val="12"/>
          <w:sz w:val="16"/>
          <w:u w:val="single"/>
        </w:rPr>
        <w:t> </w:t>
      </w:r>
      <w:r>
        <w:rPr>
          <w:b/>
          <w:sz w:val="16"/>
          <w:u w:val="single"/>
        </w:rPr>
        <w:t>Accountants</w:t>
      </w:r>
      <w:r>
        <w:rPr>
          <w:b/>
          <w:spacing w:val="11"/>
          <w:sz w:val="16"/>
          <w:u w:val="single"/>
        </w:rPr>
        <w:t> </w:t>
      </w:r>
      <w:r>
        <w:rPr>
          <w:b/>
          <w:sz w:val="16"/>
          <w:u w:val="single"/>
        </w:rPr>
        <w:t>on</w:t>
      </w:r>
      <w:r>
        <w:rPr>
          <w:b/>
          <w:spacing w:val="12"/>
          <w:sz w:val="16"/>
          <w:u w:val="single"/>
        </w:rPr>
        <w:t> </w:t>
      </w:r>
      <w:r>
        <w:rPr>
          <w:b/>
          <w:sz w:val="16"/>
          <w:u w:val="single"/>
        </w:rPr>
        <w:t>Accounting</w:t>
      </w:r>
      <w:r>
        <w:rPr>
          <w:b/>
          <w:spacing w:val="11"/>
          <w:sz w:val="16"/>
          <w:u w:val="single"/>
        </w:rPr>
        <w:t> </w:t>
      </w:r>
      <w:r>
        <w:rPr>
          <w:b/>
          <w:sz w:val="16"/>
          <w:u w:val="single"/>
        </w:rPr>
        <w:t>and</w:t>
      </w:r>
      <w:r>
        <w:rPr>
          <w:b/>
          <w:spacing w:val="12"/>
          <w:sz w:val="16"/>
          <w:u w:val="single"/>
        </w:rPr>
        <w:t> </w:t>
      </w:r>
      <w:r>
        <w:rPr>
          <w:b/>
          <w:sz w:val="16"/>
          <w:u w:val="single"/>
        </w:rPr>
        <w:t>Financial</w:t>
      </w:r>
      <w:r>
        <w:rPr>
          <w:b/>
          <w:spacing w:val="11"/>
          <w:sz w:val="16"/>
          <w:u w:val="single"/>
        </w:rPr>
        <w:t> </w:t>
      </w:r>
      <w:r>
        <w:rPr>
          <w:b/>
          <w:spacing w:val="-2"/>
          <w:sz w:val="16"/>
          <w:u w:val="single"/>
        </w:rPr>
        <w:t>Disclosure</w:t>
      </w:r>
    </w:p>
    <w:p>
      <w:pPr>
        <w:pStyle w:val="BodyText"/>
        <w:spacing w:before="39"/>
        <w:rPr>
          <w:b/>
        </w:rPr>
      </w:pPr>
    </w:p>
    <w:p>
      <w:pPr>
        <w:pStyle w:val="BodyText"/>
        <w:ind w:left="156"/>
      </w:pPr>
      <w:r>
        <w:rPr>
          <w:spacing w:val="-2"/>
          <w:w w:val="105"/>
        </w:rPr>
        <w:t>None.</w:t>
      </w:r>
    </w:p>
    <w:p>
      <w:pPr>
        <w:pStyle w:val="BodyText"/>
        <w:spacing w:before="40"/>
      </w:pPr>
    </w:p>
    <w:p>
      <w:pPr>
        <w:pStyle w:val="BodyText"/>
        <w:ind w:left="48"/>
        <w:jc w:val="center"/>
      </w:pPr>
      <w:r>
        <w:rPr>
          <w:spacing w:val="-5"/>
          <w:w w:val="105"/>
        </w:rPr>
        <w:t>50</w:t>
      </w:r>
    </w:p>
    <w:p>
      <w:pPr>
        <w:pStyle w:val="BodyText"/>
        <w:spacing w:before="11"/>
        <w:rPr>
          <w:sz w:val="5"/>
        </w:rPr>
      </w:pPr>
      <w:r>
        <w:rPr/>
        <mc:AlternateContent>
          <mc:Choice Requires="wps">
            <w:drawing>
              <wp:anchor distT="0" distB="0" distL="0" distR="0" allowOverlap="1" layoutInCell="1" locked="0" behindDoc="1" simplePos="0" relativeHeight="487624704">
                <wp:simplePos x="0" y="0"/>
                <wp:positionH relativeFrom="page">
                  <wp:posOffset>226488</wp:posOffset>
                </wp:positionH>
                <wp:positionV relativeFrom="paragraph">
                  <wp:posOffset>58734</wp:posOffset>
                </wp:positionV>
                <wp:extent cx="7312659" cy="1651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91776;mso-wrap-distance-left:0;mso-wrap-distance-right:0" id="docshape81"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spacing w:before="0"/>
        <w:ind w:left="156" w:right="0" w:firstLine="0"/>
        <w:jc w:val="left"/>
        <w:rPr>
          <w:b/>
          <w:sz w:val="16"/>
        </w:rPr>
      </w:pPr>
      <w:r>
        <w:rPr>
          <w:b/>
          <w:w w:val="105"/>
          <w:sz w:val="16"/>
          <w:u w:val="single"/>
        </w:rPr>
        <w:t>Item</w:t>
      </w:r>
      <w:r>
        <w:rPr>
          <w:b/>
          <w:spacing w:val="-11"/>
          <w:w w:val="105"/>
          <w:sz w:val="16"/>
          <w:u w:val="single"/>
        </w:rPr>
        <w:t> </w:t>
      </w:r>
      <w:r>
        <w:rPr>
          <w:b/>
          <w:w w:val="105"/>
          <w:sz w:val="16"/>
          <w:u w:val="single"/>
        </w:rPr>
        <w:t>9A.</w:t>
      </w:r>
      <w:r>
        <w:rPr>
          <w:b/>
          <w:spacing w:val="-10"/>
          <w:w w:val="105"/>
          <w:sz w:val="16"/>
          <w:u w:val="single"/>
        </w:rPr>
        <w:t> </w:t>
      </w:r>
      <w:r>
        <w:rPr>
          <w:b/>
          <w:w w:val="105"/>
          <w:sz w:val="16"/>
          <w:u w:val="single"/>
        </w:rPr>
        <w:t>Controls</w:t>
      </w:r>
      <w:r>
        <w:rPr>
          <w:b/>
          <w:spacing w:val="-10"/>
          <w:w w:val="105"/>
          <w:sz w:val="16"/>
          <w:u w:val="single"/>
        </w:rPr>
        <w:t> </w:t>
      </w:r>
      <w:r>
        <w:rPr>
          <w:b/>
          <w:w w:val="105"/>
          <w:sz w:val="16"/>
          <w:u w:val="single"/>
        </w:rPr>
        <w:t>and</w:t>
      </w:r>
      <w:r>
        <w:rPr>
          <w:b/>
          <w:spacing w:val="-11"/>
          <w:w w:val="105"/>
          <w:sz w:val="16"/>
          <w:u w:val="single"/>
        </w:rPr>
        <w:t> </w:t>
      </w:r>
      <w:r>
        <w:rPr>
          <w:b/>
          <w:spacing w:val="-2"/>
          <w:w w:val="105"/>
          <w:sz w:val="16"/>
          <w:u w:val="single"/>
        </w:rPr>
        <w:t>Procedures</w:t>
      </w:r>
    </w:p>
    <w:p>
      <w:pPr>
        <w:pStyle w:val="BodyText"/>
        <w:spacing w:before="40"/>
        <w:rPr>
          <w:b/>
        </w:rPr>
      </w:pPr>
    </w:p>
    <w:p>
      <w:pPr>
        <w:pStyle w:val="Heading2"/>
      </w:pPr>
      <w:r>
        <w:rPr/>
        <w:t>Disclosure</w:t>
      </w:r>
      <w:r>
        <w:rPr>
          <w:spacing w:val="13"/>
        </w:rPr>
        <w:t> </w:t>
      </w:r>
      <w:r>
        <w:rPr/>
        <w:t>Controls</w:t>
      </w:r>
      <w:r>
        <w:rPr>
          <w:spacing w:val="14"/>
        </w:rPr>
        <w:t> </w:t>
      </w:r>
      <w:r>
        <w:rPr/>
        <w:t>and</w:t>
      </w:r>
      <w:r>
        <w:rPr>
          <w:spacing w:val="13"/>
        </w:rPr>
        <w:t> </w:t>
      </w:r>
      <w:r>
        <w:rPr>
          <w:spacing w:val="-2"/>
        </w:rPr>
        <w:t>Procedures</w:t>
      </w:r>
    </w:p>
    <w:p>
      <w:pPr>
        <w:pStyle w:val="BodyText"/>
        <w:spacing w:before="39"/>
        <w:rPr>
          <w:b/>
        </w:rPr>
      </w:pPr>
    </w:p>
    <w:p>
      <w:pPr>
        <w:pStyle w:val="BodyText"/>
        <w:spacing w:line="266" w:lineRule="auto"/>
        <w:ind w:left="156"/>
      </w:pPr>
      <w:r>
        <w:rPr>
          <w:w w:val="105"/>
        </w:rPr>
        <w:t>The</w:t>
      </w:r>
      <w:r>
        <w:rPr>
          <w:spacing w:val="-3"/>
          <w:w w:val="105"/>
        </w:rPr>
        <w:t> </w:t>
      </w:r>
      <w:r>
        <w:rPr>
          <w:w w:val="105"/>
        </w:rPr>
        <w:t>Company’s</w:t>
      </w:r>
      <w:r>
        <w:rPr>
          <w:spacing w:val="-3"/>
          <w:w w:val="105"/>
        </w:rPr>
        <w:t> </w:t>
      </w:r>
      <w:r>
        <w:rPr>
          <w:w w:val="105"/>
        </w:rPr>
        <w:t>principal</w:t>
      </w:r>
      <w:r>
        <w:rPr>
          <w:spacing w:val="-3"/>
          <w:w w:val="105"/>
        </w:rPr>
        <w:t> </w:t>
      </w:r>
      <w:r>
        <w:rPr>
          <w:w w:val="105"/>
        </w:rPr>
        <w:t>executive</w:t>
      </w:r>
      <w:r>
        <w:rPr>
          <w:spacing w:val="-3"/>
          <w:w w:val="105"/>
        </w:rPr>
        <w:t> </w:t>
      </w:r>
      <w:r>
        <w:rPr>
          <w:w w:val="105"/>
        </w:rPr>
        <w:t>and</w:t>
      </w:r>
      <w:r>
        <w:rPr>
          <w:spacing w:val="-3"/>
          <w:w w:val="105"/>
        </w:rPr>
        <w:t> </w:t>
      </w:r>
      <w:r>
        <w:rPr>
          <w:w w:val="105"/>
        </w:rPr>
        <w:t>principal</w:t>
      </w:r>
      <w:r>
        <w:rPr>
          <w:spacing w:val="-3"/>
          <w:w w:val="105"/>
        </w:rPr>
        <w:t> </w:t>
      </w:r>
      <w:r>
        <w:rPr>
          <w:w w:val="105"/>
        </w:rPr>
        <w:t>financial</w:t>
      </w:r>
      <w:r>
        <w:rPr>
          <w:spacing w:val="-3"/>
          <w:w w:val="105"/>
        </w:rPr>
        <w:t> </w:t>
      </w:r>
      <w:r>
        <w:rPr>
          <w:w w:val="105"/>
        </w:rPr>
        <w:t>officers,</w:t>
      </w:r>
      <w:r>
        <w:rPr>
          <w:spacing w:val="-3"/>
          <w:w w:val="105"/>
        </w:rPr>
        <w:t> </w:t>
      </w:r>
      <w:r>
        <w:rPr>
          <w:w w:val="105"/>
        </w:rPr>
        <w:t>after</w:t>
      </w:r>
      <w:r>
        <w:rPr>
          <w:spacing w:val="-3"/>
          <w:w w:val="105"/>
        </w:rPr>
        <w:t> </w:t>
      </w:r>
      <w:r>
        <w:rPr>
          <w:w w:val="105"/>
        </w:rPr>
        <w:t>evaluating</w:t>
      </w:r>
      <w:r>
        <w:rPr>
          <w:spacing w:val="-3"/>
          <w:w w:val="105"/>
        </w:rPr>
        <w:t> </w:t>
      </w:r>
      <w:r>
        <w:rPr>
          <w:w w:val="105"/>
        </w:rPr>
        <w:t>the</w:t>
      </w:r>
      <w:r>
        <w:rPr>
          <w:spacing w:val="-3"/>
          <w:w w:val="105"/>
        </w:rPr>
        <w:t> </w:t>
      </w:r>
      <w:r>
        <w:rPr>
          <w:w w:val="105"/>
        </w:rPr>
        <w:t>effectiveness</w:t>
      </w:r>
      <w:r>
        <w:rPr>
          <w:spacing w:val="-3"/>
          <w:w w:val="105"/>
        </w:rPr>
        <w:t> </w:t>
      </w:r>
      <w:r>
        <w:rPr>
          <w:w w:val="105"/>
        </w:rPr>
        <w:t>of</w:t>
      </w:r>
      <w:r>
        <w:rPr>
          <w:spacing w:val="-3"/>
          <w:w w:val="105"/>
        </w:rPr>
        <w:t> </w:t>
      </w:r>
      <w:r>
        <w:rPr>
          <w:w w:val="105"/>
        </w:rPr>
        <w:t>disclosure</w:t>
      </w:r>
      <w:r>
        <w:rPr>
          <w:spacing w:val="-3"/>
          <w:w w:val="105"/>
        </w:rPr>
        <w:t> </w:t>
      </w:r>
      <w:r>
        <w:rPr>
          <w:w w:val="105"/>
        </w:rPr>
        <w:t>controls</w:t>
      </w:r>
      <w:r>
        <w:rPr>
          <w:spacing w:val="-3"/>
          <w:w w:val="105"/>
        </w:rPr>
        <w:t> </w:t>
      </w:r>
      <w:r>
        <w:rPr>
          <w:w w:val="105"/>
        </w:rPr>
        <w:t>and</w:t>
      </w:r>
      <w:r>
        <w:rPr>
          <w:spacing w:val="-3"/>
          <w:w w:val="105"/>
        </w:rPr>
        <w:t> </w:t>
      </w:r>
      <w:r>
        <w:rPr>
          <w:w w:val="105"/>
        </w:rPr>
        <w:t>procedures</w:t>
      </w:r>
      <w:r>
        <w:rPr>
          <w:spacing w:val="-3"/>
          <w:w w:val="105"/>
        </w:rPr>
        <w:t> </w:t>
      </w:r>
      <w:r>
        <w:rPr>
          <w:w w:val="105"/>
        </w:rPr>
        <w:t>(as</w:t>
      </w:r>
      <w:r>
        <w:rPr>
          <w:spacing w:val="-3"/>
          <w:w w:val="105"/>
        </w:rPr>
        <w:t> </w:t>
      </w:r>
      <w:r>
        <w:rPr>
          <w:w w:val="105"/>
        </w:rPr>
        <w:t>defined</w:t>
      </w:r>
      <w:r>
        <w:rPr>
          <w:spacing w:val="-3"/>
          <w:w w:val="105"/>
        </w:rPr>
        <w:t> </w:t>
      </w:r>
      <w:r>
        <w:rPr>
          <w:w w:val="105"/>
        </w:rPr>
        <w:t>in</w:t>
      </w:r>
      <w:r>
        <w:rPr>
          <w:spacing w:val="-3"/>
          <w:w w:val="105"/>
        </w:rPr>
        <w:t> </w:t>
      </w:r>
      <w:r>
        <w:rPr>
          <w:w w:val="105"/>
        </w:rPr>
        <w:t>the</w:t>
      </w:r>
      <w:r>
        <w:rPr>
          <w:spacing w:val="-3"/>
          <w:w w:val="105"/>
        </w:rPr>
        <w:t> </w:t>
      </w:r>
      <w:r>
        <w:rPr>
          <w:w w:val="105"/>
        </w:rPr>
        <w:t>Securities Exchange</w:t>
      </w:r>
      <w:r>
        <w:rPr>
          <w:spacing w:val="-7"/>
          <w:w w:val="105"/>
        </w:rPr>
        <w:t> </w:t>
      </w:r>
      <w:r>
        <w:rPr>
          <w:w w:val="105"/>
        </w:rPr>
        <w:t>Act</w:t>
      </w:r>
      <w:r>
        <w:rPr>
          <w:spacing w:val="-7"/>
          <w:w w:val="105"/>
        </w:rPr>
        <w:t> </w:t>
      </w:r>
      <w:r>
        <w:rPr>
          <w:w w:val="105"/>
        </w:rPr>
        <w:t>of</w:t>
      </w:r>
      <w:r>
        <w:rPr>
          <w:spacing w:val="-7"/>
          <w:w w:val="105"/>
        </w:rPr>
        <w:t> </w:t>
      </w:r>
      <w:r>
        <w:rPr>
          <w:w w:val="105"/>
        </w:rPr>
        <w:t>1934</w:t>
      </w:r>
      <w:r>
        <w:rPr>
          <w:spacing w:val="-7"/>
          <w:w w:val="105"/>
        </w:rPr>
        <w:t> </w:t>
      </w:r>
      <w:r>
        <w:rPr>
          <w:w w:val="105"/>
        </w:rPr>
        <w:t>(Exchange</w:t>
      </w:r>
      <w:r>
        <w:rPr>
          <w:spacing w:val="-7"/>
          <w:w w:val="105"/>
        </w:rPr>
        <w:t> </w:t>
      </w:r>
      <w:r>
        <w:rPr>
          <w:w w:val="105"/>
        </w:rPr>
        <w:t>Act)</w:t>
      </w:r>
      <w:r>
        <w:rPr>
          <w:spacing w:val="-7"/>
          <w:w w:val="105"/>
        </w:rPr>
        <w:t> </w:t>
      </w:r>
      <w:r>
        <w:rPr>
          <w:w w:val="105"/>
        </w:rPr>
        <w:t>Rules</w:t>
      </w:r>
      <w:r>
        <w:rPr>
          <w:spacing w:val="-7"/>
          <w:w w:val="105"/>
        </w:rPr>
        <w:t> </w:t>
      </w:r>
      <w:r>
        <w:rPr>
          <w:w w:val="105"/>
        </w:rPr>
        <w:t>13a-15(e)</w:t>
      </w:r>
      <w:r>
        <w:rPr>
          <w:spacing w:val="-7"/>
          <w:w w:val="105"/>
        </w:rPr>
        <w:t> </w:t>
      </w:r>
      <w:r>
        <w:rPr>
          <w:w w:val="105"/>
        </w:rPr>
        <w:t>or</w:t>
      </w:r>
      <w:r>
        <w:rPr>
          <w:spacing w:val="-7"/>
          <w:w w:val="105"/>
        </w:rPr>
        <w:t> </w:t>
      </w:r>
      <w:r>
        <w:rPr>
          <w:w w:val="105"/>
        </w:rPr>
        <w:t>15d-15(e)</w:t>
      </w:r>
      <w:r>
        <w:rPr>
          <w:spacing w:val="-7"/>
          <w:w w:val="105"/>
        </w:rPr>
        <w:t> </w:t>
      </w:r>
      <w:r>
        <w:rPr>
          <w:w w:val="105"/>
        </w:rPr>
        <w:t>as</w:t>
      </w:r>
      <w:r>
        <w:rPr>
          <w:spacing w:val="-7"/>
          <w:w w:val="105"/>
        </w:rPr>
        <w:t> </w:t>
      </w:r>
      <w:r>
        <w:rPr>
          <w:w w:val="105"/>
        </w:rPr>
        <w:t>of</w:t>
      </w:r>
      <w:r>
        <w:rPr>
          <w:spacing w:val="-7"/>
          <w:w w:val="105"/>
        </w:rPr>
        <w:t> </w:t>
      </w:r>
      <w:r>
        <w:rPr>
          <w:w w:val="105"/>
        </w:rPr>
        <w:t>the</w:t>
      </w:r>
      <w:r>
        <w:rPr>
          <w:spacing w:val="-7"/>
          <w:w w:val="105"/>
        </w:rPr>
        <w:t> </w:t>
      </w:r>
      <w:r>
        <w:rPr>
          <w:w w:val="105"/>
        </w:rPr>
        <w:t>end</w:t>
      </w:r>
      <w:r>
        <w:rPr>
          <w:spacing w:val="-7"/>
          <w:w w:val="105"/>
        </w:rPr>
        <w:t> </w:t>
      </w:r>
      <w:r>
        <w:rPr>
          <w:w w:val="105"/>
        </w:rPr>
        <w:t>of</w:t>
      </w:r>
      <w:r>
        <w:rPr>
          <w:spacing w:val="-7"/>
          <w:w w:val="105"/>
        </w:rPr>
        <w:t> </w:t>
      </w:r>
      <w:r>
        <w:rPr>
          <w:w w:val="105"/>
        </w:rPr>
        <w:t>the</w:t>
      </w:r>
      <w:r>
        <w:rPr>
          <w:spacing w:val="-7"/>
          <w:w w:val="105"/>
        </w:rPr>
        <w:t> </w:t>
      </w:r>
      <w:r>
        <w:rPr>
          <w:w w:val="105"/>
        </w:rPr>
        <w:t>period</w:t>
      </w:r>
      <w:r>
        <w:rPr>
          <w:spacing w:val="-7"/>
          <w:w w:val="105"/>
        </w:rPr>
        <w:t> </w:t>
      </w:r>
      <w:r>
        <w:rPr>
          <w:w w:val="105"/>
        </w:rPr>
        <w:t>covered</w:t>
      </w:r>
      <w:r>
        <w:rPr>
          <w:spacing w:val="-7"/>
          <w:w w:val="105"/>
        </w:rPr>
        <w:t> </w:t>
      </w:r>
      <w:r>
        <w:rPr>
          <w:w w:val="105"/>
        </w:rPr>
        <w:t>by</w:t>
      </w:r>
      <w:r>
        <w:rPr>
          <w:spacing w:val="-7"/>
          <w:w w:val="105"/>
        </w:rPr>
        <w:t> </w:t>
      </w:r>
      <w:r>
        <w:rPr>
          <w:w w:val="105"/>
        </w:rPr>
        <w:t>this</w:t>
      </w:r>
      <w:r>
        <w:rPr>
          <w:spacing w:val="-7"/>
          <w:w w:val="105"/>
        </w:rPr>
        <w:t> </w:t>
      </w:r>
      <w:r>
        <w:rPr>
          <w:w w:val="105"/>
        </w:rPr>
        <w:t>report,</w:t>
      </w:r>
      <w:r>
        <w:rPr>
          <w:spacing w:val="-7"/>
          <w:w w:val="105"/>
        </w:rPr>
        <w:t> </w:t>
      </w:r>
      <w:r>
        <w:rPr>
          <w:w w:val="105"/>
        </w:rPr>
        <w:t>have</w:t>
      </w:r>
      <w:r>
        <w:rPr>
          <w:spacing w:val="-7"/>
          <w:w w:val="105"/>
        </w:rPr>
        <w:t> </w:t>
      </w:r>
      <w:r>
        <w:rPr>
          <w:w w:val="105"/>
        </w:rPr>
        <w:t>concluded</w:t>
      </w:r>
      <w:r>
        <w:rPr>
          <w:spacing w:val="-7"/>
          <w:w w:val="105"/>
        </w:rPr>
        <w:t> </w:t>
      </w:r>
      <w:r>
        <w:rPr>
          <w:w w:val="105"/>
        </w:rPr>
        <w:t>that</w:t>
      </w:r>
      <w:r>
        <w:rPr>
          <w:spacing w:val="-7"/>
          <w:w w:val="105"/>
        </w:rPr>
        <w:t> </w:t>
      </w:r>
      <w:r>
        <w:rPr>
          <w:w w:val="105"/>
        </w:rPr>
        <w:t>based</w:t>
      </w:r>
      <w:r>
        <w:rPr>
          <w:spacing w:val="-7"/>
          <w:w w:val="105"/>
        </w:rPr>
        <w:t> </w:t>
      </w:r>
      <w:r>
        <w:rPr>
          <w:w w:val="105"/>
        </w:rPr>
        <w:t>on</w:t>
      </w:r>
      <w:r>
        <w:rPr>
          <w:spacing w:val="-7"/>
          <w:w w:val="105"/>
        </w:rPr>
        <w:t> </w:t>
      </w:r>
      <w:r>
        <w:rPr>
          <w:w w:val="105"/>
        </w:rPr>
        <w:t>the</w:t>
      </w:r>
      <w:r>
        <w:rPr>
          <w:spacing w:val="-7"/>
          <w:w w:val="105"/>
        </w:rPr>
        <w:t> </w:t>
      </w:r>
      <w:r>
        <w:rPr>
          <w:w w:val="105"/>
        </w:rPr>
        <w:t>evaluation</w:t>
      </w:r>
      <w:r>
        <w:rPr>
          <w:spacing w:val="-7"/>
          <w:w w:val="105"/>
        </w:rPr>
        <w:t> </w:t>
      </w:r>
      <w:r>
        <w:rPr>
          <w:w w:val="105"/>
        </w:rPr>
        <w:t>of</w:t>
      </w:r>
      <w:r>
        <w:rPr>
          <w:spacing w:val="-7"/>
          <w:w w:val="105"/>
        </w:rPr>
        <w:t> </w:t>
      </w:r>
      <w:r>
        <w:rPr>
          <w:w w:val="105"/>
        </w:rPr>
        <w:t>these controls</w:t>
      </w:r>
      <w:r>
        <w:rPr>
          <w:spacing w:val="-3"/>
          <w:w w:val="105"/>
        </w:rPr>
        <w:t> </w:t>
      </w:r>
      <w:r>
        <w:rPr>
          <w:w w:val="105"/>
        </w:rPr>
        <w:t>and</w:t>
      </w:r>
      <w:r>
        <w:rPr>
          <w:spacing w:val="-3"/>
          <w:w w:val="105"/>
        </w:rPr>
        <w:t> </w:t>
      </w:r>
      <w:r>
        <w:rPr>
          <w:w w:val="105"/>
        </w:rPr>
        <w:t>procedures</w:t>
      </w:r>
      <w:r>
        <w:rPr>
          <w:spacing w:val="-3"/>
          <w:w w:val="105"/>
        </w:rPr>
        <w:t> </w:t>
      </w:r>
      <w:r>
        <w:rPr>
          <w:w w:val="105"/>
        </w:rPr>
        <w:t>required</w:t>
      </w:r>
      <w:r>
        <w:rPr>
          <w:spacing w:val="-3"/>
          <w:w w:val="105"/>
        </w:rPr>
        <w:t> </w:t>
      </w:r>
      <w:r>
        <w:rPr>
          <w:w w:val="105"/>
        </w:rPr>
        <w:t>by</w:t>
      </w:r>
      <w:r>
        <w:rPr>
          <w:spacing w:val="-3"/>
          <w:w w:val="105"/>
        </w:rPr>
        <w:t> </w:t>
      </w:r>
      <w:r>
        <w:rPr>
          <w:w w:val="105"/>
        </w:rPr>
        <w:t>paragraph</w:t>
      </w:r>
      <w:r>
        <w:rPr>
          <w:spacing w:val="-3"/>
          <w:w w:val="105"/>
        </w:rPr>
        <w:t> </w:t>
      </w:r>
      <w:r>
        <w:rPr>
          <w:w w:val="105"/>
        </w:rPr>
        <w:t>(b)</w:t>
      </w:r>
      <w:r>
        <w:rPr>
          <w:spacing w:val="-3"/>
          <w:w w:val="105"/>
        </w:rPr>
        <w:t> </w:t>
      </w:r>
      <w:r>
        <w:rPr>
          <w:w w:val="105"/>
        </w:rPr>
        <w:t>of</w:t>
      </w:r>
      <w:r>
        <w:rPr>
          <w:spacing w:val="-3"/>
          <w:w w:val="105"/>
        </w:rPr>
        <w:t> </w:t>
      </w:r>
      <w:r>
        <w:rPr>
          <w:w w:val="105"/>
        </w:rPr>
        <w:t>Exchange</w:t>
      </w:r>
      <w:r>
        <w:rPr>
          <w:spacing w:val="-3"/>
          <w:w w:val="105"/>
        </w:rPr>
        <w:t> </w:t>
      </w:r>
      <w:r>
        <w:rPr>
          <w:w w:val="105"/>
        </w:rPr>
        <w:t>Act</w:t>
      </w:r>
      <w:r>
        <w:rPr>
          <w:spacing w:val="-3"/>
          <w:w w:val="105"/>
        </w:rPr>
        <w:t> </w:t>
      </w:r>
      <w:r>
        <w:rPr>
          <w:w w:val="105"/>
        </w:rPr>
        <w:t>Rules</w:t>
      </w:r>
      <w:r>
        <w:rPr>
          <w:spacing w:val="-3"/>
          <w:w w:val="105"/>
        </w:rPr>
        <w:t> </w:t>
      </w:r>
      <w:r>
        <w:rPr>
          <w:w w:val="105"/>
        </w:rPr>
        <w:t>13a-15</w:t>
      </w:r>
      <w:r>
        <w:rPr>
          <w:spacing w:val="-3"/>
          <w:w w:val="105"/>
        </w:rPr>
        <w:t> </w:t>
      </w:r>
      <w:r>
        <w:rPr>
          <w:w w:val="105"/>
        </w:rPr>
        <w:t>or</w:t>
      </w:r>
      <w:r>
        <w:rPr>
          <w:spacing w:val="-3"/>
          <w:w w:val="105"/>
        </w:rPr>
        <w:t> </w:t>
      </w:r>
      <w:r>
        <w:rPr>
          <w:w w:val="105"/>
        </w:rPr>
        <w:t>15d-15,</w:t>
      </w:r>
      <w:r>
        <w:rPr>
          <w:spacing w:val="-3"/>
          <w:w w:val="105"/>
        </w:rPr>
        <w:t> </w:t>
      </w:r>
      <w:r>
        <w:rPr>
          <w:w w:val="105"/>
        </w:rPr>
        <w:t>that</w:t>
      </w:r>
      <w:r>
        <w:rPr>
          <w:spacing w:val="-3"/>
          <w:w w:val="105"/>
        </w:rPr>
        <w:t> </w:t>
      </w:r>
      <w:r>
        <w:rPr>
          <w:w w:val="105"/>
        </w:rPr>
        <w:t>Corning’s</w:t>
      </w:r>
      <w:r>
        <w:rPr>
          <w:spacing w:val="-3"/>
          <w:w w:val="105"/>
        </w:rPr>
        <w:t> </w:t>
      </w:r>
      <w:r>
        <w:rPr>
          <w:w w:val="105"/>
        </w:rPr>
        <w:t>disclosure</w:t>
      </w:r>
      <w:r>
        <w:rPr>
          <w:spacing w:val="-3"/>
          <w:w w:val="105"/>
        </w:rPr>
        <w:t> </w:t>
      </w:r>
      <w:r>
        <w:rPr>
          <w:w w:val="105"/>
        </w:rPr>
        <w:t>controls</w:t>
      </w:r>
      <w:r>
        <w:rPr>
          <w:spacing w:val="-3"/>
          <w:w w:val="105"/>
        </w:rPr>
        <w:t> </w:t>
      </w:r>
      <w:r>
        <w:rPr>
          <w:w w:val="105"/>
        </w:rPr>
        <w:t>and</w:t>
      </w:r>
      <w:r>
        <w:rPr>
          <w:spacing w:val="-3"/>
          <w:w w:val="105"/>
        </w:rPr>
        <w:t> </w:t>
      </w:r>
      <w:r>
        <w:rPr>
          <w:w w:val="105"/>
        </w:rPr>
        <w:t>procedures</w:t>
      </w:r>
      <w:r>
        <w:rPr>
          <w:spacing w:val="-3"/>
          <w:w w:val="105"/>
        </w:rPr>
        <w:t> </w:t>
      </w:r>
      <w:r>
        <w:rPr>
          <w:w w:val="105"/>
        </w:rPr>
        <w:t>were</w:t>
      </w:r>
      <w:r>
        <w:rPr>
          <w:spacing w:val="-3"/>
          <w:w w:val="105"/>
        </w:rPr>
        <w:t> </w:t>
      </w:r>
      <w:r>
        <w:rPr>
          <w:w w:val="105"/>
        </w:rPr>
        <w:t>effective.</w:t>
      </w:r>
    </w:p>
    <w:p>
      <w:pPr>
        <w:pStyle w:val="BodyText"/>
        <w:spacing w:before="19"/>
      </w:pPr>
    </w:p>
    <w:p>
      <w:pPr>
        <w:pStyle w:val="BodyText"/>
        <w:spacing w:line="266" w:lineRule="auto"/>
        <w:ind w:left="156"/>
      </w:pPr>
      <w:r>
        <w:rPr>
          <w:w w:val="105"/>
        </w:rPr>
        <w:t>Disclosure</w:t>
      </w:r>
      <w:r>
        <w:rPr>
          <w:spacing w:val="-8"/>
          <w:w w:val="105"/>
        </w:rPr>
        <w:t> </w:t>
      </w:r>
      <w:r>
        <w:rPr>
          <w:w w:val="105"/>
        </w:rPr>
        <w:t>controls</w:t>
      </w:r>
      <w:r>
        <w:rPr>
          <w:spacing w:val="-8"/>
          <w:w w:val="105"/>
        </w:rPr>
        <w:t> </w:t>
      </w:r>
      <w:r>
        <w:rPr>
          <w:w w:val="105"/>
        </w:rPr>
        <w:t>and</w:t>
      </w:r>
      <w:r>
        <w:rPr>
          <w:spacing w:val="-8"/>
          <w:w w:val="105"/>
        </w:rPr>
        <w:t> </w:t>
      </w:r>
      <w:r>
        <w:rPr>
          <w:w w:val="105"/>
        </w:rPr>
        <w:t>procedures</w:t>
      </w:r>
      <w:r>
        <w:rPr>
          <w:spacing w:val="-8"/>
          <w:w w:val="105"/>
        </w:rPr>
        <w:t> </w:t>
      </w:r>
      <w:r>
        <w:rPr>
          <w:w w:val="105"/>
        </w:rPr>
        <w:t>mean</w:t>
      </w:r>
      <w:r>
        <w:rPr>
          <w:spacing w:val="-8"/>
          <w:w w:val="105"/>
        </w:rPr>
        <w:t> </w:t>
      </w:r>
      <w:r>
        <w:rPr>
          <w:w w:val="105"/>
        </w:rPr>
        <w:t>controls</w:t>
      </w:r>
      <w:r>
        <w:rPr>
          <w:spacing w:val="-8"/>
          <w:w w:val="105"/>
        </w:rPr>
        <w:t> </w:t>
      </w:r>
      <w:r>
        <w:rPr>
          <w:w w:val="105"/>
        </w:rPr>
        <w:t>and</w:t>
      </w:r>
      <w:r>
        <w:rPr>
          <w:spacing w:val="-8"/>
          <w:w w:val="105"/>
        </w:rPr>
        <w:t> </w:t>
      </w:r>
      <w:r>
        <w:rPr>
          <w:w w:val="105"/>
        </w:rPr>
        <w:t>other</w:t>
      </w:r>
      <w:r>
        <w:rPr>
          <w:spacing w:val="-8"/>
          <w:w w:val="105"/>
        </w:rPr>
        <w:t> </w:t>
      </w:r>
      <w:r>
        <w:rPr>
          <w:w w:val="105"/>
        </w:rPr>
        <w:t>procedures</w:t>
      </w:r>
      <w:r>
        <w:rPr>
          <w:spacing w:val="-8"/>
          <w:w w:val="105"/>
        </w:rPr>
        <w:t> </w:t>
      </w:r>
      <w:r>
        <w:rPr>
          <w:w w:val="105"/>
        </w:rPr>
        <w:t>of</w:t>
      </w:r>
      <w:r>
        <w:rPr>
          <w:spacing w:val="-8"/>
          <w:w w:val="105"/>
        </w:rPr>
        <w:t> </w:t>
      </w:r>
      <w:r>
        <w:rPr>
          <w:w w:val="105"/>
        </w:rPr>
        <w:t>an</w:t>
      </w:r>
      <w:r>
        <w:rPr>
          <w:spacing w:val="-8"/>
          <w:w w:val="105"/>
        </w:rPr>
        <w:t> </w:t>
      </w:r>
      <w:r>
        <w:rPr>
          <w:w w:val="105"/>
        </w:rPr>
        <w:t>issuer</w:t>
      </w:r>
      <w:r>
        <w:rPr>
          <w:spacing w:val="-8"/>
          <w:w w:val="105"/>
        </w:rPr>
        <w:t> </w:t>
      </w:r>
      <w:r>
        <w:rPr>
          <w:w w:val="105"/>
        </w:rPr>
        <w:t>that</w:t>
      </w:r>
      <w:r>
        <w:rPr>
          <w:spacing w:val="-6"/>
          <w:w w:val="105"/>
        </w:rPr>
        <w:t> </w:t>
      </w:r>
      <w:r>
        <w:rPr>
          <w:w w:val="105"/>
        </w:rPr>
        <w:t>are</w:t>
      </w:r>
      <w:r>
        <w:rPr>
          <w:spacing w:val="-8"/>
          <w:w w:val="105"/>
        </w:rPr>
        <w:t> </w:t>
      </w:r>
      <w:r>
        <w:rPr>
          <w:w w:val="105"/>
        </w:rPr>
        <w:t>designed</w:t>
      </w:r>
      <w:r>
        <w:rPr>
          <w:spacing w:val="-8"/>
          <w:w w:val="105"/>
        </w:rPr>
        <w:t> </w:t>
      </w:r>
      <w:r>
        <w:rPr>
          <w:w w:val="105"/>
        </w:rPr>
        <w:t>to</w:t>
      </w:r>
      <w:r>
        <w:rPr>
          <w:spacing w:val="-8"/>
          <w:w w:val="105"/>
        </w:rPr>
        <w:t> </w:t>
      </w:r>
      <w:r>
        <w:rPr>
          <w:w w:val="105"/>
        </w:rPr>
        <w:t>ensure</w:t>
      </w:r>
      <w:r>
        <w:rPr>
          <w:spacing w:val="-8"/>
          <w:w w:val="105"/>
        </w:rPr>
        <w:t> </w:t>
      </w:r>
      <w:r>
        <w:rPr>
          <w:w w:val="105"/>
        </w:rPr>
        <w:t>that</w:t>
      </w:r>
      <w:r>
        <w:rPr>
          <w:spacing w:val="-6"/>
          <w:w w:val="105"/>
        </w:rPr>
        <w:t> </w:t>
      </w:r>
      <w:r>
        <w:rPr>
          <w:w w:val="105"/>
        </w:rPr>
        <w:t>information</w:t>
      </w:r>
      <w:r>
        <w:rPr>
          <w:spacing w:val="-8"/>
          <w:w w:val="105"/>
        </w:rPr>
        <w:t> </w:t>
      </w:r>
      <w:r>
        <w:rPr>
          <w:w w:val="105"/>
        </w:rPr>
        <w:t>required</w:t>
      </w:r>
      <w:r>
        <w:rPr>
          <w:spacing w:val="-8"/>
          <w:w w:val="105"/>
        </w:rPr>
        <w:t> </w:t>
      </w:r>
      <w:r>
        <w:rPr>
          <w:w w:val="105"/>
        </w:rPr>
        <w:t>to</w:t>
      </w:r>
      <w:r>
        <w:rPr>
          <w:spacing w:val="-8"/>
          <w:w w:val="105"/>
        </w:rPr>
        <w:t> </w:t>
      </w:r>
      <w:r>
        <w:rPr>
          <w:w w:val="105"/>
        </w:rPr>
        <w:t>be</w:t>
      </w:r>
      <w:r>
        <w:rPr>
          <w:spacing w:val="-8"/>
          <w:w w:val="105"/>
        </w:rPr>
        <w:t> </w:t>
      </w:r>
      <w:r>
        <w:rPr>
          <w:w w:val="105"/>
        </w:rPr>
        <w:t>disclosed</w:t>
      </w:r>
      <w:r>
        <w:rPr>
          <w:spacing w:val="-8"/>
          <w:w w:val="105"/>
        </w:rPr>
        <w:t> </w:t>
      </w:r>
      <w:r>
        <w:rPr>
          <w:w w:val="105"/>
        </w:rPr>
        <w:t>by</w:t>
      </w:r>
      <w:r>
        <w:rPr>
          <w:spacing w:val="-8"/>
          <w:w w:val="105"/>
        </w:rPr>
        <w:t> </w:t>
      </w:r>
      <w:r>
        <w:rPr>
          <w:w w:val="105"/>
        </w:rPr>
        <w:t>the</w:t>
      </w:r>
      <w:r>
        <w:rPr>
          <w:spacing w:val="-8"/>
          <w:w w:val="105"/>
        </w:rPr>
        <w:t> </w:t>
      </w:r>
      <w:r>
        <w:rPr>
          <w:w w:val="105"/>
        </w:rPr>
        <w:t>issuer</w:t>
      </w:r>
      <w:r>
        <w:rPr>
          <w:spacing w:val="-8"/>
          <w:w w:val="105"/>
        </w:rPr>
        <w:t> </w:t>
      </w:r>
      <w:r>
        <w:rPr>
          <w:w w:val="105"/>
        </w:rPr>
        <w:t>in</w:t>
      </w:r>
      <w:r>
        <w:rPr>
          <w:spacing w:val="-8"/>
          <w:w w:val="105"/>
        </w:rPr>
        <w:t> </w:t>
      </w:r>
      <w:r>
        <w:rPr>
          <w:w w:val="105"/>
        </w:rPr>
        <w:t>the reports</w:t>
      </w:r>
      <w:r>
        <w:rPr>
          <w:spacing w:val="-2"/>
          <w:w w:val="105"/>
        </w:rPr>
        <w:t> </w:t>
      </w:r>
      <w:r>
        <w:rPr>
          <w:w w:val="105"/>
        </w:rPr>
        <w:t>that</w:t>
      </w:r>
      <w:r>
        <w:rPr>
          <w:spacing w:val="-2"/>
          <w:w w:val="105"/>
        </w:rPr>
        <w:t> </w:t>
      </w:r>
      <w:r>
        <w:rPr>
          <w:w w:val="105"/>
        </w:rPr>
        <w:t>it</w:t>
      </w:r>
      <w:r>
        <w:rPr>
          <w:spacing w:val="-2"/>
          <w:w w:val="105"/>
        </w:rPr>
        <w:t> </w:t>
      </w:r>
      <w:r>
        <w:rPr>
          <w:w w:val="105"/>
        </w:rPr>
        <w:t>files</w:t>
      </w:r>
      <w:r>
        <w:rPr>
          <w:spacing w:val="-2"/>
          <w:w w:val="105"/>
        </w:rPr>
        <w:t> </w:t>
      </w:r>
      <w:r>
        <w:rPr>
          <w:w w:val="105"/>
        </w:rPr>
        <w:t>or</w:t>
      </w:r>
      <w:r>
        <w:rPr>
          <w:spacing w:val="-2"/>
          <w:w w:val="105"/>
        </w:rPr>
        <w:t> </w:t>
      </w:r>
      <w:r>
        <w:rPr>
          <w:w w:val="105"/>
        </w:rPr>
        <w:t>submits</w:t>
      </w:r>
      <w:r>
        <w:rPr>
          <w:spacing w:val="-2"/>
          <w:w w:val="105"/>
        </w:rPr>
        <w:t> </w:t>
      </w:r>
      <w:r>
        <w:rPr>
          <w:w w:val="105"/>
        </w:rPr>
        <w:t>under</w:t>
      </w:r>
      <w:r>
        <w:rPr>
          <w:spacing w:val="-2"/>
          <w:w w:val="105"/>
        </w:rPr>
        <w:t> </w:t>
      </w:r>
      <w:r>
        <w:rPr>
          <w:w w:val="105"/>
        </w:rPr>
        <w:t>the</w:t>
      </w:r>
      <w:r>
        <w:rPr>
          <w:spacing w:val="-2"/>
          <w:w w:val="105"/>
        </w:rPr>
        <w:t> </w:t>
      </w:r>
      <w:r>
        <w:rPr>
          <w:w w:val="105"/>
        </w:rPr>
        <w:t>Exchange</w:t>
      </w:r>
      <w:r>
        <w:rPr>
          <w:spacing w:val="-2"/>
          <w:w w:val="105"/>
        </w:rPr>
        <w:t> </w:t>
      </w:r>
      <w:r>
        <w:rPr>
          <w:w w:val="105"/>
        </w:rPr>
        <w:t>Act is</w:t>
      </w:r>
      <w:r>
        <w:rPr>
          <w:spacing w:val="-2"/>
          <w:w w:val="105"/>
        </w:rPr>
        <w:t> </w:t>
      </w:r>
      <w:r>
        <w:rPr>
          <w:w w:val="105"/>
        </w:rPr>
        <w:t>recorded,</w:t>
      </w:r>
      <w:r>
        <w:rPr>
          <w:spacing w:val="-2"/>
          <w:w w:val="105"/>
        </w:rPr>
        <w:t> </w:t>
      </w:r>
      <w:r>
        <w:rPr>
          <w:w w:val="105"/>
        </w:rPr>
        <w:t>processed,</w:t>
      </w:r>
      <w:r>
        <w:rPr>
          <w:spacing w:val="-2"/>
          <w:w w:val="105"/>
        </w:rPr>
        <w:t> </w:t>
      </w:r>
      <w:r>
        <w:rPr>
          <w:w w:val="105"/>
        </w:rPr>
        <w:t>summarized,</w:t>
      </w:r>
      <w:r>
        <w:rPr>
          <w:spacing w:val="-2"/>
          <w:w w:val="105"/>
        </w:rPr>
        <w:t> </w:t>
      </w:r>
      <w:r>
        <w:rPr>
          <w:w w:val="105"/>
        </w:rPr>
        <w:t>and</w:t>
      </w:r>
      <w:r>
        <w:rPr>
          <w:spacing w:val="-2"/>
          <w:w w:val="105"/>
        </w:rPr>
        <w:t> </w:t>
      </w:r>
      <w:r>
        <w:rPr>
          <w:w w:val="105"/>
        </w:rPr>
        <w:t>reported,</w:t>
      </w:r>
      <w:r>
        <w:rPr>
          <w:spacing w:val="-2"/>
          <w:w w:val="105"/>
        </w:rPr>
        <w:t> </w:t>
      </w:r>
      <w:r>
        <w:rPr>
          <w:w w:val="105"/>
        </w:rPr>
        <w:t>within</w:t>
      </w:r>
      <w:r>
        <w:rPr>
          <w:spacing w:val="-2"/>
          <w:w w:val="105"/>
        </w:rPr>
        <w:t> </w:t>
      </w:r>
      <w:r>
        <w:rPr>
          <w:w w:val="105"/>
        </w:rPr>
        <w:t>the</w:t>
      </w:r>
      <w:r>
        <w:rPr>
          <w:spacing w:val="-2"/>
          <w:w w:val="105"/>
        </w:rPr>
        <w:t> </w:t>
      </w:r>
      <w:r>
        <w:rPr>
          <w:w w:val="105"/>
        </w:rPr>
        <w:t>time</w:t>
      </w:r>
      <w:r>
        <w:rPr>
          <w:spacing w:val="-2"/>
          <w:w w:val="105"/>
        </w:rPr>
        <w:t> </w:t>
      </w:r>
      <w:r>
        <w:rPr>
          <w:w w:val="105"/>
        </w:rPr>
        <w:t>periods</w:t>
      </w:r>
      <w:r>
        <w:rPr>
          <w:spacing w:val="-2"/>
          <w:w w:val="105"/>
        </w:rPr>
        <w:t> </w:t>
      </w:r>
      <w:r>
        <w:rPr>
          <w:w w:val="105"/>
        </w:rPr>
        <w:t>specified</w:t>
      </w:r>
      <w:r>
        <w:rPr>
          <w:spacing w:val="-2"/>
          <w:w w:val="105"/>
        </w:rPr>
        <w:t> </w:t>
      </w:r>
      <w:r>
        <w:rPr>
          <w:w w:val="105"/>
        </w:rPr>
        <w:t>in</w:t>
      </w:r>
      <w:r>
        <w:rPr>
          <w:spacing w:val="-2"/>
          <w:w w:val="105"/>
        </w:rPr>
        <w:t> </w:t>
      </w:r>
      <w:r>
        <w:rPr>
          <w:w w:val="105"/>
        </w:rPr>
        <w:t>the</w:t>
      </w:r>
      <w:r>
        <w:rPr>
          <w:spacing w:val="-2"/>
          <w:w w:val="105"/>
        </w:rPr>
        <w:t> </w:t>
      </w:r>
      <w:r>
        <w:rPr>
          <w:w w:val="105"/>
        </w:rPr>
        <w:t>SEC’s</w:t>
      </w:r>
      <w:r>
        <w:rPr>
          <w:spacing w:val="-2"/>
          <w:w w:val="105"/>
        </w:rPr>
        <w:t> </w:t>
      </w:r>
      <w:r>
        <w:rPr>
          <w:w w:val="105"/>
        </w:rPr>
        <w:t>rules</w:t>
      </w:r>
      <w:r>
        <w:rPr>
          <w:spacing w:val="-2"/>
          <w:w w:val="105"/>
        </w:rPr>
        <w:t> </w:t>
      </w:r>
      <w:r>
        <w:rPr>
          <w:w w:val="105"/>
        </w:rPr>
        <w:t>and</w:t>
      </w:r>
      <w:r>
        <w:rPr>
          <w:spacing w:val="-2"/>
          <w:w w:val="105"/>
        </w:rPr>
        <w:t> </w:t>
      </w:r>
      <w:r>
        <w:rPr>
          <w:w w:val="105"/>
        </w:rPr>
        <w:t>forms.</w:t>
      </w:r>
    </w:p>
    <w:p>
      <w:pPr>
        <w:pStyle w:val="BodyText"/>
        <w:spacing w:line="266" w:lineRule="auto"/>
        <w:ind w:left="156" w:right="117"/>
      </w:pPr>
      <w:r>
        <w:rPr>
          <w:w w:val="105"/>
        </w:rPr>
        <w:t>Corning’s</w:t>
      </w:r>
      <w:r>
        <w:rPr>
          <w:spacing w:val="-9"/>
          <w:w w:val="105"/>
        </w:rPr>
        <w:t> </w:t>
      </w:r>
      <w:r>
        <w:rPr>
          <w:w w:val="105"/>
        </w:rPr>
        <w:t>disclosure</w:t>
      </w:r>
      <w:r>
        <w:rPr>
          <w:spacing w:val="-9"/>
          <w:w w:val="105"/>
        </w:rPr>
        <w:t> </w:t>
      </w:r>
      <w:r>
        <w:rPr>
          <w:w w:val="105"/>
        </w:rPr>
        <w:t>controls</w:t>
      </w:r>
      <w:r>
        <w:rPr>
          <w:spacing w:val="-9"/>
          <w:w w:val="105"/>
        </w:rPr>
        <w:t> </w:t>
      </w:r>
      <w:r>
        <w:rPr>
          <w:w w:val="105"/>
        </w:rPr>
        <w:t>and</w:t>
      </w:r>
      <w:r>
        <w:rPr>
          <w:spacing w:val="-9"/>
          <w:w w:val="105"/>
        </w:rPr>
        <w:t> </w:t>
      </w:r>
      <w:r>
        <w:rPr>
          <w:w w:val="105"/>
        </w:rPr>
        <w:t>procedures</w:t>
      </w:r>
      <w:r>
        <w:rPr>
          <w:spacing w:val="-9"/>
          <w:w w:val="105"/>
        </w:rPr>
        <w:t> </w:t>
      </w:r>
      <w:r>
        <w:rPr>
          <w:w w:val="105"/>
        </w:rPr>
        <w:t>include,</w:t>
      </w:r>
      <w:r>
        <w:rPr>
          <w:spacing w:val="-9"/>
          <w:w w:val="105"/>
        </w:rPr>
        <w:t> </w:t>
      </w:r>
      <w:r>
        <w:rPr>
          <w:w w:val="105"/>
        </w:rPr>
        <w:t>without</w:t>
      </w:r>
      <w:r>
        <w:rPr>
          <w:spacing w:val="-9"/>
          <w:w w:val="105"/>
        </w:rPr>
        <w:t> </w:t>
      </w:r>
      <w:r>
        <w:rPr>
          <w:w w:val="105"/>
        </w:rPr>
        <w:t>limitation,</w:t>
      </w:r>
      <w:r>
        <w:rPr>
          <w:spacing w:val="-9"/>
          <w:w w:val="105"/>
        </w:rPr>
        <w:t> </w:t>
      </w:r>
      <w:r>
        <w:rPr>
          <w:w w:val="105"/>
        </w:rPr>
        <w:t>controls</w:t>
      </w:r>
      <w:r>
        <w:rPr>
          <w:spacing w:val="-9"/>
          <w:w w:val="105"/>
        </w:rPr>
        <w:t> </w:t>
      </w:r>
      <w:r>
        <w:rPr>
          <w:w w:val="105"/>
        </w:rPr>
        <w:t>and</w:t>
      </w:r>
      <w:r>
        <w:rPr>
          <w:spacing w:val="-9"/>
          <w:w w:val="105"/>
        </w:rPr>
        <w:t> </w:t>
      </w:r>
      <w:r>
        <w:rPr>
          <w:w w:val="105"/>
        </w:rPr>
        <w:t>procedures</w:t>
      </w:r>
      <w:r>
        <w:rPr>
          <w:spacing w:val="-9"/>
          <w:w w:val="105"/>
        </w:rPr>
        <w:t> </w:t>
      </w:r>
      <w:r>
        <w:rPr>
          <w:w w:val="105"/>
        </w:rPr>
        <w:t>designed</w:t>
      </w:r>
      <w:r>
        <w:rPr>
          <w:spacing w:val="-9"/>
          <w:w w:val="105"/>
        </w:rPr>
        <w:t> </w:t>
      </w:r>
      <w:r>
        <w:rPr>
          <w:w w:val="105"/>
        </w:rPr>
        <w:t>to</w:t>
      </w:r>
      <w:r>
        <w:rPr>
          <w:spacing w:val="-9"/>
          <w:w w:val="105"/>
        </w:rPr>
        <w:t> </w:t>
      </w:r>
      <w:r>
        <w:rPr>
          <w:w w:val="105"/>
        </w:rPr>
        <w:t>ensure</w:t>
      </w:r>
      <w:r>
        <w:rPr>
          <w:spacing w:val="-9"/>
          <w:w w:val="105"/>
        </w:rPr>
        <w:t> </w:t>
      </w:r>
      <w:r>
        <w:rPr>
          <w:w w:val="105"/>
        </w:rPr>
        <w:t>that</w:t>
      </w:r>
      <w:r>
        <w:rPr>
          <w:spacing w:val="-8"/>
          <w:w w:val="105"/>
        </w:rPr>
        <w:t> </w:t>
      </w:r>
      <w:r>
        <w:rPr>
          <w:w w:val="105"/>
        </w:rPr>
        <w:t>information</w:t>
      </w:r>
      <w:r>
        <w:rPr>
          <w:spacing w:val="-9"/>
          <w:w w:val="105"/>
        </w:rPr>
        <w:t> </w:t>
      </w:r>
      <w:r>
        <w:rPr>
          <w:w w:val="105"/>
        </w:rPr>
        <w:t>required</w:t>
      </w:r>
      <w:r>
        <w:rPr>
          <w:spacing w:val="-9"/>
          <w:w w:val="105"/>
        </w:rPr>
        <w:t> </w:t>
      </w:r>
      <w:r>
        <w:rPr>
          <w:w w:val="105"/>
        </w:rPr>
        <w:t>to</w:t>
      </w:r>
      <w:r>
        <w:rPr>
          <w:spacing w:val="-9"/>
          <w:w w:val="105"/>
        </w:rPr>
        <w:t> </w:t>
      </w:r>
      <w:r>
        <w:rPr>
          <w:w w:val="105"/>
        </w:rPr>
        <w:t>be</w:t>
      </w:r>
      <w:r>
        <w:rPr>
          <w:spacing w:val="-9"/>
          <w:w w:val="105"/>
        </w:rPr>
        <w:t> </w:t>
      </w:r>
      <w:r>
        <w:rPr>
          <w:w w:val="105"/>
        </w:rPr>
        <w:t>disclosed</w:t>
      </w:r>
      <w:r>
        <w:rPr>
          <w:spacing w:val="-9"/>
          <w:w w:val="105"/>
        </w:rPr>
        <w:t> </w:t>
      </w:r>
      <w:r>
        <w:rPr>
          <w:w w:val="105"/>
        </w:rPr>
        <w:t>by</w:t>
      </w:r>
      <w:r>
        <w:rPr>
          <w:spacing w:val="-9"/>
          <w:w w:val="105"/>
        </w:rPr>
        <w:t> </w:t>
      </w:r>
      <w:r>
        <w:rPr>
          <w:w w:val="105"/>
        </w:rPr>
        <w:t>Corning</w:t>
      </w:r>
      <w:r>
        <w:rPr>
          <w:spacing w:val="-9"/>
          <w:w w:val="105"/>
        </w:rPr>
        <w:t> </w:t>
      </w:r>
      <w:r>
        <w:rPr>
          <w:w w:val="105"/>
        </w:rPr>
        <w:t>in the</w:t>
      </w:r>
      <w:r>
        <w:rPr>
          <w:spacing w:val="-3"/>
          <w:w w:val="105"/>
        </w:rPr>
        <w:t> </w:t>
      </w:r>
      <w:r>
        <w:rPr>
          <w:w w:val="105"/>
        </w:rPr>
        <w:t>reports</w:t>
      </w:r>
      <w:r>
        <w:rPr>
          <w:spacing w:val="-3"/>
          <w:w w:val="105"/>
        </w:rPr>
        <w:t> </w:t>
      </w:r>
      <w:r>
        <w:rPr>
          <w:w w:val="105"/>
        </w:rPr>
        <w:t>that</w:t>
      </w:r>
      <w:r>
        <w:rPr>
          <w:spacing w:val="-3"/>
          <w:w w:val="105"/>
        </w:rPr>
        <w:t> </w:t>
      </w:r>
      <w:r>
        <w:rPr>
          <w:w w:val="105"/>
        </w:rPr>
        <w:t>it</w:t>
      </w:r>
      <w:r>
        <w:rPr>
          <w:spacing w:val="-3"/>
          <w:w w:val="105"/>
        </w:rPr>
        <w:t> </w:t>
      </w:r>
      <w:r>
        <w:rPr>
          <w:w w:val="105"/>
        </w:rPr>
        <w:t>files</w:t>
      </w:r>
      <w:r>
        <w:rPr>
          <w:spacing w:val="-3"/>
          <w:w w:val="105"/>
        </w:rPr>
        <w:t> </w:t>
      </w:r>
      <w:r>
        <w:rPr>
          <w:w w:val="105"/>
        </w:rPr>
        <w:t>or</w:t>
      </w:r>
      <w:r>
        <w:rPr>
          <w:spacing w:val="-3"/>
          <w:w w:val="105"/>
        </w:rPr>
        <w:t> </w:t>
      </w:r>
      <w:r>
        <w:rPr>
          <w:w w:val="105"/>
        </w:rPr>
        <w:t>submits</w:t>
      </w:r>
      <w:r>
        <w:rPr>
          <w:spacing w:val="-3"/>
          <w:w w:val="105"/>
        </w:rPr>
        <w:t> </w:t>
      </w:r>
      <w:r>
        <w:rPr>
          <w:w w:val="105"/>
        </w:rPr>
        <w:t>under</w:t>
      </w:r>
      <w:r>
        <w:rPr>
          <w:spacing w:val="-3"/>
          <w:w w:val="105"/>
        </w:rPr>
        <w:t> </w:t>
      </w:r>
      <w:r>
        <w:rPr>
          <w:w w:val="105"/>
        </w:rPr>
        <w:t>the</w:t>
      </w:r>
      <w:r>
        <w:rPr>
          <w:spacing w:val="-3"/>
          <w:w w:val="105"/>
        </w:rPr>
        <w:t> </w:t>
      </w:r>
      <w:r>
        <w:rPr>
          <w:w w:val="105"/>
        </w:rPr>
        <w:t>Exchange</w:t>
      </w:r>
      <w:r>
        <w:rPr>
          <w:spacing w:val="-3"/>
          <w:w w:val="105"/>
        </w:rPr>
        <w:t> </w:t>
      </w:r>
      <w:r>
        <w:rPr>
          <w:w w:val="105"/>
        </w:rPr>
        <w:t>Act</w:t>
      </w:r>
      <w:r>
        <w:rPr>
          <w:spacing w:val="-3"/>
          <w:w w:val="105"/>
        </w:rPr>
        <w:t> </w:t>
      </w:r>
      <w:r>
        <w:rPr>
          <w:w w:val="105"/>
        </w:rPr>
        <w:t>is</w:t>
      </w:r>
      <w:r>
        <w:rPr>
          <w:spacing w:val="-3"/>
          <w:w w:val="105"/>
        </w:rPr>
        <w:t> </w:t>
      </w:r>
      <w:r>
        <w:rPr>
          <w:w w:val="105"/>
        </w:rPr>
        <w:t>accumulated</w:t>
      </w:r>
      <w:r>
        <w:rPr>
          <w:spacing w:val="-3"/>
          <w:w w:val="105"/>
        </w:rPr>
        <w:t> </w:t>
      </w:r>
      <w:r>
        <w:rPr>
          <w:w w:val="105"/>
        </w:rPr>
        <w:t>and</w:t>
      </w:r>
      <w:r>
        <w:rPr>
          <w:spacing w:val="-3"/>
          <w:w w:val="105"/>
        </w:rPr>
        <w:t> </w:t>
      </w:r>
      <w:r>
        <w:rPr>
          <w:w w:val="105"/>
        </w:rPr>
        <w:t>communicated</w:t>
      </w:r>
      <w:r>
        <w:rPr>
          <w:spacing w:val="-3"/>
          <w:w w:val="105"/>
        </w:rPr>
        <w:t> </w:t>
      </w:r>
      <w:r>
        <w:rPr>
          <w:w w:val="105"/>
        </w:rPr>
        <w:t>to</w:t>
      </w:r>
      <w:r>
        <w:rPr>
          <w:spacing w:val="-3"/>
          <w:w w:val="105"/>
        </w:rPr>
        <w:t> </w:t>
      </w:r>
      <w:r>
        <w:rPr>
          <w:w w:val="105"/>
        </w:rPr>
        <w:t>Corning’s</w:t>
      </w:r>
      <w:r>
        <w:rPr>
          <w:spacing w:val="-3"/>
          <w:w w:val="105"/>
        </w:rPr>
        <w:t> </w:t>
      </w:r>
      <w:r>
        <w:rPr>
          <w:w w:val="105"/>
        </w:rPr>
        <w:t>management,</w:t>
      </w:r>
      <w:r>
        <w:rPr>
          <w:spacing w:val="-3"/>
          <w:w w:val="105"/>
        </w:rPr>
        <w:t> </w:t>
      </w:r>
      <w:r>
        <w:rPr>
          <w:w w:val="105"/>
        </w:rPr>
        <w:t>including</w:t>
      </w:r>
      <w:r>
        <w:rPr>
          <w:spacing w:val="-3"/>
          <w:w w:val="105"/>
        </w:rPr>
        <w:t> </w:t>
      </w:r>
      <w:r>
        <w:rPr>
          <w:w w:val="105"/>
        </w:rPr>
        <w:t>Corning’s</w:t>
      </w:r>
      <w:r>
        <w:rPr>
          <w:spacing w:val="-3"/>
          <w:w w:val="105"/>
        </w:rPr>
        <w:t> </w:t>
      </w:r>
      <w:r>
        <w:rPr>
          <w:w w:val="105"/>
        </w:rPr>
        <w:t>principal</w:t>
      </w:r>
      <w:r>
        <w:rPr>
          <w:spacing w:val="-3"/>
          <w:w w:val="105"/>
        </w:rPr>
        <w:t> </w:t>
      </w:r>
      <w:r>
        <w:rPr>
          <w:w w:val="105"/>
        </w:rPr>
        <w:t>executive</w:t>
      </w:r>
      <w:r>
        <w:rPr>
          <w:spacing w:val="-3"/>
          <w:w w:val="105"/>
        </w:rPr>
        <w:t> </w:t>
      </w:r>
      <w:r>
        <w:rPr>
          <w:w w:val="105"/>
        </w:rPr>
        <w:t>and principal</w:t>
      </w:r>
      <w:r>
        <w:rPr>
          <w:spacing w:val="-1"/>
          <w:w w:val="105"/>
        </w:rPr>
        <w:t> </w:t>
      </w:r>
      <w:r>
        <w:rPr>
          <w:w w:val="105"/>
        </w:rPr>
        <w:t>financial</w:t>
      </w:r>
      <w:r>
        <w:rPr>
          <w:spacing w:val="-1"/>
          <w:w w:val="105"/>
        </w:rPr>
        <w:t> </w:t>
      </w:r>
      <w:r>
        <w:rPr>
          <w:w w:val="105"/>
        </w:rPr>
        <w:t>officers,</w:t>
      </w:r>
      <w:r>
        <w:rPr>
          <w:spacing w:val="-1"/>
          <w:w w:val="105"/>
        </w:rPr>
        <w:t> </w:t>
      </w:r>
      <w:r>
        <w:rPr>
          <w:w w:val="105"/>
        </w:rPr>
        <w:t>or</w:t>
      </w:r>
      <w:r>
        <w:rPr>
          <w:spacing w:val="-1"/>
          <w:w w:val="105"/>
        </w:rPr>
        <w:t> </w:t>
      </w:r>
      <w:r>
        <w:rPr>
          <w:w w:val="105"/>
        </w:rPr>
        <w:t>other</w:t>
      </w:r>
      <w:r>
        <w:rPr>
          <w:spacing w:val="-1"/>
          <w:w w:val="105"/>
        </w:rPr>
        <w:t> </w:t>
      </w:r>
      <w:r>
        <w:rPr>
          <w:w w:val="105"/>
        </w:rPr>
        <w:t>persons</w:t>
      </w:r>
      <w:r>
        <w:rPr>
          <w:spacing w:val="-1"/>
          <w:w w:val="105"/>
        </w:rPr>
        <w:t> </w:t>
      </w:r>
      <w:r>
        <w:rPr>
          <w:w w:val="105"/>
        </w:rPr>
        <w:t>performing</w:t>
      </w:r>
      <w:r>
        <w:rPr>
          <w:spacing w:val="-1"/>
          <w:w w:val="105"/>
        </w:rPr>
        <w:t> </w:t>
      </w:r>
      <w:r>
        <w:rPr>
          <w:w w:val="105"/>
        </w:rPr>
        <w:t>similar</w:t>
      </w:r>
      <w:r>
        <w:rPr>
          <w:spacing w:val="-1"/>
          <w:w w:val="105"/>
        </w:rPr>
        <w:t> </w:t>
      </w:r>
      <w:r>
        <w:rPr>
          <w:w w:val="105"/>
        </w:rPr>
        <w:t>functions,</w:t>
      </w:r>
      <w:r>
        <w:rPr>
          <w:spacing w:val="-1"/>
          <w:w w:val="105"/>
        </w:rPr>
        <w:t> </w:t>
      </w:r>
      <w:r>
        <w:rPr>
          <w:w w:val="105"/>
        </w:rPr>
        <w:t>as</w:t>
      </w:r>
      <w:r>
        <w:rPr>
          <w:spacing w:val="-1"/>
          <w:w w:val="105"/>
        </w:rPr>
        <w:t> </w:t>
      </w:r>
      <w:r>
        <w:rPr>
          <w:w w:val="105"/>
        </w:rPr>
        <w:t>appropriate</w:t>
      </w:r>
      <w:r>
        <w:rPr>
          <w:spacing w:val="-1"/>
          <w:w w:val="105"/>
        </w:rPr>
        <w:t> </w:t>
      </w:r>
      <w:r>
        <w:rPr>
          <w:w w:val="105"/>
        </w:rPr>
        <w:t>to</w:t>
      </w:r>
      <w:r>
        <w:rPr>
          <w:spacing w:val="-1"/>
          <w:w w:val="105"/>
        </w:rPr>
        <w:t> </w:t>
      </w:r>
      <w:r>
        <w:rPr>
          <w:w w:val="105"/>
        </w:rPr>
        <w:t>allow</w:t>
      </w:r>
      <w:r>
        <w:rPr>
          <w:spacing w:val="-1"/>
          <w:w w:val="105"/>
        </w:rPr>
        <w:t> </w:t>
      </w:r>
      <w:r>
        <w:rPr>
          <w:w w:val="105"/>
        </w:rPr>
        <w:t>timely</w:t>
      </w:r>
      <w:r>
        <w:rPr>
          <w:spacing w:val="-1"/>
          <w:w w:val="105"/>
        </w:rPr>
        <w:t> </w:t>
      </w:r>
      <w:r>
        <w:rPr>
          <w:w w:val="105"/>
        </w:rPr>
        <w:t>decisions</w:t>
      </w:r>
      <w:r>
        <w:rPr>
          <w:spacing w:val="-1"/>
          <w:w w:val="105"/>
        </w:rPr>
        <w:t> </w:t>
      </w:r>
      <w:r>
        <w:rPr>
          <w:w w:val="105"/>
        </w:rPr>
        <w:t>regarding</w:t>
      </w:r>
      <w:r>
        <w:rPr>
          <w:spacing w:val="-1"/>
          <w:w w:val="105"/>
        </w:rPr>
        <w:t> </w:t>
      </w:r>
      <w:r>
        <w:rPr>
          <w:w w:val="105"/>
        </w:rPr>
        <w:t>required</w:t>
      </w:r>
      <w:r>
        <w:rPr>
          <w:spacing w:val="-1"/>
          <w:w w:val="105"/>
        </w:rPr>
        <w:t> </w:t>
      </w:r>
      <w:r>
        <w:rPr>
          <w:w w:val="105"/>
        </w:rPr>
        <w:t>disclosure.</w:t>
      </w:r>
    </w:p>
    <w:p>
      <w:pPr>
        <w:pStyle w:val="BodyText"/>
        <w:spacing w:before="18"/>
      </w:pPr>
    </w:p>
    <w:p>
      <w:pPr>
        <w:pStyle w:val="Heading2"/>
      </w:pPr>
      <w:r>
        <w:rPr/>
        <w:t>Internal</w:t>
      </w:r>
      <w:r>
        <w:rPr>
          <w:spacing w:val="16"/>
        </w:rPr>
        <w:t> </w:t>
      </w:r>
      <w:r>
        <w:rPr/>
        <w:t>Control</w:t>
      </w:r>
      <w:r>
        <w:rPr>
          <w:spacing w:val="17"/>
        </w:rPr>
        <w:t> </w:t>
      </w:r>
      <w:r>
        <w:rPr/>
        <w:t>Over</w:t>
      </w:r>
      <w:r>
        <w:rPr>
          <w:spacing w:val="16"/>
        </w:rPr>
        <w:t> </w:t>
      </w:r>
      <w:r>
        <w:rPr/>
        <w:t>Financial</w:t>
      </w:r>
      <w:r>
        <w:rPr>
          <w:spacing w:val="17"/>
        </w:rPr>
        <w:t> </w:t>
      </w:r>
      <w:r>
        <w:rPr>
          <w:spacing w:val="-2"/>
        </w:rPr>
        <w:t>Reporting</w:t>
      </w:r>
    </w:p>
    <w:p>
      <w:pPr>
        <w:pStyle w:val="BodyText"/>
        <w:spacing w:before="39"/>
        <w:rPr>
          <w:b/>
        </w:rPr>
      </w:pPr>
    </w:p>
    <w:p>
      <w:pPr>
        <w:pStyle w:val="ListParagraph"/>
        <w:numPr>
          <w:ilvl w:val="0"/>
          <w:numId w:val="20"/>
        </w:numPr>
        <w:tabs>
          <w:tab w:pos="460" w:val="left" w:leader="none"/>
        </w:tabs>
        <w:spacing w:line="240" w:lineRule="auto" w:before="1" w:after="0"/>
        <w:ind w:left="460" w:right="0" w:hanging="304"/>
        <w:jc w:val="left"/>
        <w:rPr>
          <w:sz w:val="16"/>
        </w:rPr>
      </w:pPr>
      <w:r>
        <w:rPr>
          <w:sz w:val="16"/>
          <w:u w:val="single"/>
        </w:rPr>
        <w:t>Management’s</w:t>
      </w:r>
      <w:r>
        <w:rPr>
          <w:spacing w:val="14"/>
          <w:sz w:val="16"/>
          <w:u w:val="single"/>
        </w:rPr>
        <w:t> </w:t>
      </w:r>
      <w:r>
        <w:rPr>
          <w:sz w:val="16"/>
          <w:u w:val="single"/>
        </w:rPr>
        <w:t>Annual</w:t>
      </w:r>
      <w:r>
        <w:rPr>
          <w:spacing w:val="15"/>
          <w:sz w:val="16"/>
          <w:u w:val="single"/>
        </w:rPr>
        <w:t> </w:t>
      </w:r>
      <w:r>
        <w:rPr>
          <w:sz w:val="16"/>
          <w:u w:val="single"/>
        </w:rPr>
        <w:t>Report</w:t>
      </w:r>
      <w:r>
        <w:rPr>
          <w:spacing w:val="14"/>
          <w:sz w:val="16"/>
          <w:u w:val="single"/>
        </w:rPr>
        <w:t> </w:t>
      </w:r>
      <w:r>
        <w:rPr>
          <w:sz w:val="16"/>
          <w:u w:val="single"/>
        </w:rPr>
        <w:t>on</w:t>
      </w:r>
      <w:r>
        <w:rPr>
          <w:spacing w:val="15"/>
          <w:sz w:val="16"/>
          <w:u w:val="single"/>
        </w:rPr>
        <w:t> </w:t>
      </w:r>
      <w:r>
        <w:rPr>
          <w:sz w:val="16"/>
          <w:u w:val="single"/>
        </w:rPr>
        <w:t>Internal</w:t>
      </w:r>
      <w:r>
        <w:rPr>
          <w:spacing w:val="14"/>
          <w:sz w:val="16"/>
          <w:u w:val="single"/>
        </w:rPr>
        <w:t> </w:t>
      </w:r>
      <w:r>
        <w:rPr>
          <w:sz w:val="16"/>
          <w:u w:val="single"/>
        </w:rPr>
        <w:t>Control</w:t>
      </w:r>
      <w:r>
        <w:rPr>
          <w:spacing w:val="15"/>
          <w:sz w:val="16"/>
          <w:u w:val="single"/>
        </w:rPr>
        <w:t> </w:t>
      </w:r>
      <w:r>
        <w:rPr>
          <w:sz w:val="16"/>
          <w:u w:val="single"/>
        </w:rPr>
        <w:t>Over</w:t>
      </w:r>
      <w:r>
        <w:rPr>
          <w:spacing w:val="15"/>
          <w:sz w:val="16"/>
          <w:u w:val="single"/>
        </w:rPr>
        <w:t> </w:t>
      </w:r>
      <w:r>
        <w:rPr>
          <w:sz w:val="16"/>
          <w:u w:val="single"/>
        </w:rPr>
        <w:t>Financial</w:t>
      </w:r>
      <w:r>
        <w:rPr>
          <w:spacing w:val="14"/>
          <w:sz w:val="16"/>
          <w:u w:val="single"/>
        </w:rPr>
        <w:t> </w:t>
      </w:r>
      <w:r>
        <w:rPr>
          <w:spacing w:val="-2"/>
          <w:sz w:val="16"/>
          <w:u w:val="single"/>
        </w:rPr>
        <w:t>Reporting</w:t>
      </w:r>
    </w:p>
    <w:p>
      <w:pPr>
        <w:pStyle w:val="BodyText"/>
        <w:spacing w:before="39"/>
      </w:pPr>
    </w:p>
    <w:p>
      <w:pPr>
        <w:pStyle w:val="BodyText"/>
        <w:ind w:left="156"/>
      </w:pPr>
      <w:r>
        <w:rPr/>
        <w:t>Management</w:t>
      </w:r>
      <w:r>
        <w:rPr>
          <w:spacing w:val="15"/>
        </w:rPr>
        <w:t> </w:t>
      </w:r>
      <w:r>
        <w:rPr/>
        <w:t>is</w:t>
      </w:r>
      <w:r>
        <w:rPr>
          <w:spacing w:val="16"/>
        </w:rPr>
        <w:t> </w:t>
      </w:r>
      <w:r>
        <w:rPr/>
        <w:t>responsible</w:t>
      </w:r>
      <w:r>
        <w:rPr>
          <w:spacing w:val="19"/>
        </w:rPr>
        <w:t> </w:t>
      </w:r>
      <w:r>
        <w:rPr/>
        <w:t>for</w:t>
      </w:r>
      <w:r>
        <w:rPr>
          <w:spacing w:val="15"/>
        </w:rPr>
        <w:t> </w:t>
      </w:r>
      <w:r>
        <w:rPr/>
        <w:t>establishing</w:t>
      </w:r>
      <w:r>
        <w:rPr>
          <w:spacing w:val="16"/>
        </w:rPr>
        <w:t> </w:t>
      </w:r>
      <w:r>
        <w:rPr/>
        <w:t>and</w:t>
      </w:r>
      <w:r>
        <w:rPr>
          <w:spacing w:val="16"/>
        </w:rPr>
        <w:t> </w:t>
      </w:r>
      <w:r>
        <w:rPr/>
        <w:t>maintaining</w:t>
      </w:r>
      <w:r>
        <w:rPr>
          <w:spacing w:val="16"/>
        </w:rPr>
        <w:t> </w:t>
      </w:r>
      <w:r>
        <w:rPr/>
        <w:t>adequate</w:t>
      </w:r>
      <w:r>
        <w:rPr>
          <w:spacing w:val="15"/>
        </w:rPr>
        <w:t> </w:t>
      </w:r>
      <w:r>
        <w:rPr/>
        <w:t>internal</w:t>
      </w:r>
      <w:r>
        <w:rPr>
          <w:spacing w:val="16"/>
        </w:rPr>
        <w:t> </w:t>
      </w:r>
      <w:r>
        <w:rPr/>
        <w:t>control</w:t>
      </w:r>
      <w:r>
        <w:rPr>
          <w:spacing w:val="16"/>
        </w:rPr>
        <w:t> </w:t>
      </w:r>
      <w:r>
        <w:rPr/>
        <w:t>over</w:t>
      </w:r>
      <w:r>
        <w:rPr>
          <w:spacing w:val="16"/>
        </w:rPr>
        <w:t> </w:t>
      </w:r>
      <w:r>
        <w:rPr/>
        <w:t>financial</w:t>
      </w:r>
      <w:r>
        <w:rPr>
          <w:spacing w:val="15"/>
        </w:rPr>
        <w:t> </w:t>
      </w:r>
      <w:r>
        <w:rPr/>
        <w:t>reporting</w:t>
      </w:r>
      <w:r>
        <w:rPr>
          <w:spacing w:val="16"/>
        </w:rPr>
        <w:t> </w:t>
      </w:r>
      <w:r>
        <w:rPr/>
        <w:t>for</w:t>
      </w:r>
      <w:r>
        <w:rPr>
          <w:spacing w:val="16"/>
        </w:rPr>
        <w:t> </w:t>
      </w:r>
      <w:r>
        <w:rPr>
          <w:spacing w:val="-2"/>
        </w:rPr>
        <w:t>Corning.</w:t>
      </w:r>
    </w:p>
    <w:p>
      <w:pPr>
        <w:pStyle w:val="BodyText"/>
        <w:spacing w:before="1"/>
      </w:pPr>
    </w:p>
    <w:p>
      <w:pPr>
        <w:pStyle w:val="BodyText"/>
        <w:spacing w:line="266" w:lineRule="auto" w:before="1"/>
        <w:ind w:left="156" w:right="105"/>
      </w:pPr>
      <w:r>
        <w:rPr>
          <w:w w:val="105"/>
        </w:rPr>
        <w:t>Corning’s</w:t>
      </w:r>
      <w:r>
        <w:rPr>
          <w:spacing w:val="-7"/>
          <w:w w:val="105"/>
        </w:rPr>
        <w:t> </w:t>
      </w:r>
      <w:r>
        <w:rPr>
          <w:w w:val="105"/>
        </w:rPr>
        <w:t>internal</w:t>
      </w:r>
      <w:r>
        <w:rPr>
          <w:spacing w:val="-7"/>
          <w:w w:val="105"/>
        </w:rPr>
        <w:t> </w:t>
      </w:r>
      <w:r>
        <w:rPr>
          <w:w w:val="105"/>
        </w:rPr>
        <w:t>control</w:t>
      </w:r>
      <w:r>
        <w:rPr>
          <w:spacing w:val="-7"/>
          <w:w w:val="105"/>
        </w:rPr>
        <w:t> </w:t>
      </w:r>
      <w:r>
        <w:rPr>
          <w:w w:val="105"/>
        </w:rPr>
        <w:t>over</w:t>
      </w:r>
      <w:r>
        <w:rPr>
          <w:spacing w:val="-7"/>
          <w:w w:val="105"/>
        </w:rPr>
        <w:t> </w:t>
      </w:r>
      <w:r>
        <w:rPr>
          <w:w w:val="105"/>
        </w:rPr>
        <w:t>financial</w:t>
      </w:r>
      <w:r>
        <w:rPr>
          <w:spacing w:val="-7"/>
          <w:w w:val="105"/>
        </w:rPr>
        <w:t> </w:t>
      </w:r>
      <w:r>
        <w:rPr>
          <w:w w:val="105"/>
        </w:rPr>
        <w:t>reporting</w:t>
      </w:r>
      <w:r>
        <w:rPr>
          <w:spacing w:val="-7"/>
          <w:w w:val="105"/>
        </w:rPr>
        <w:t> </w:t>
      </w:r>
      <w:r>
        <w:rPr>
          <w:w w:val="105"/>
        </w:rPr>
        <w:t>is</w:t>
      </w:r>
      <w:r>
        <w:rPr>
          <w:spacing w:val="-7"/>
          <w:w w:val="105"/>
        </w:rPr>
        <w:t> </w:t>
      </w:r>
      <w:r>
        <w:rPr>
          <w:w w:val="105"/>
        </w:rPr>
        <w:t>a</w:t>
      </w:r>
      <w:r>
        <w:rPr>
          <w:spacing w:val="-7"/>
          <w:w w:val="105"/>
        </w:rPr>
        <w:t> </w:t>
      </w:r>
      <w:r>
        <w:rPr>
          <w:w w:val="105"/>
        </w:rPr>
        <w:t>process</w:t>
      </w:r>
      <w:r>
        <w:rPr>
          <w:spacing w:val="-7"/>
          <w:w w:val="105"/>
        </w:rPr>
        <w:t> </w:t>
      </w:r>
      <w:r>
        <w:rPr>
          <w:w w:val="105"/>
        </w:rPr>
        <w:t>designed</w:t>
      </w:r>
      <w:r>
        <w:rPr>
          <w:spacing w:val="-7"/>
          <w:w w:val="105"/>
        </w:rPr>
        <w:t> </w:t>
      </w:r>
      <w:r>
        <w:rPr>
          <w:w w:val="105"/>
        </w:rPr>
        <w:t>to</w:t>
      </w:r>
      <w:r>
        <w:rPr>
          <w:spacing w:val="-7"/>
          <w:w w:val="105"/>
        </w:rPr>
        <w:t> </w:t>
      </w:r>
      <w:r>
        <w:rPr>
          <w:w w:val="105"/>
        </w:rPr>
        <w:t>provide</w:t>
      </w:r>
      <w:r>
        <w:rPr>
          <w:spacing w:val="-6"/>
          <w:w w:val="105"/>
        </w:rPr>
        <w:t> </w:t>
      </w:r>
      <w:r>
        <w:rPr>
          <w:w w:val="105"/>
        </w:rPr>
        <w:t>reasonable</w:t>
      </w:r>
      <w:r>
        <w:rPr>
          <w:spacing w:val="-7"/>
          <w:w w:val="105"/>
        </w:rPr>
        <w:t> </w:t>
      </w:r>
      <w:r>
        <w:rPr>
          <w:w w:val="105"/>
        </w:rPr>
        <w:t>assurance</w:t>
      </w:r>
      <w:r>
        <w:rPr>
          <w:spacing w:val="-7"/>
          <w:w w:val="105"/>
        </w:rPr>
        <w:t> </w:t>
      </w:r>
      <w:r>
        <w:rPr>
          <w:w w:val="105"/>
        </w:rPr>
        <w:t>regarding</w:t>
      </w:r>
      <w:r>
        <w:rPr>
          <w:spacing w:val="-7"/>
          <w:w w:val="105"/>
        </w:rPr>
        <w:t> </w:t>
      </w:r>
      <w:r>
        <w:rPr>
          <w:w w:val="105"/>
        </w:rPr>
        <w:t>the</w:t>
      </w:r>
      <w:r>
        <w:rPr>
          <w:spacing w:val="-7"/>
          <w:w w:val="105"/>
        </w:rPr>
        <w:t> </w:t>
      </w:r>
      <w:r>
        <w:rPr>
          <w:w w:val="105"/>
        </w:rPr>
        <w:t>reliability</w:t>
      </w:r>
      <w:r>
        <w:rPr>
          <w:spacing w:val="-7"/>
          <w:w w:val="105"/>
        </w:rPr>
        <w:t> </w:t>
      </w:r>
      <w:r>
        <w:rPr>
          <w:w w:val="105"/>
        </w:rPr>
        <w:t>of</w:t>
      </w:r>
      <w:r>
        <w:rPr>
          <w:spacing w:val="-7"/>
          <w:w w:val="105"/>
        </w:rPr>
        <w:t> </w:t>
      </w:r>
      <w:r>
        <w:rPr>
          <w:w w:val="105"/>
        </w:rPr>
        <w:t>financial</w:t>
      </w:r>
      <w:r>
        <w:rPr>
          <w:spacing w:val="-7"/>
          <w:w w:val="105"/>
        </w:rPr>
        <w:t> </w:t>
      </w:r>
      <w:r>
        <w:rPr>
          <w:w w:val="105"/>
        </w:rPr>
        <w:t>reporting</w:t>
      </w:r>
      <w:r>
        <w:rPr>
          <w:spacing w:val="-7"/>
          <w:w w:val="105"/>
        </w:rPr>
        <w:t> </w:t>
      </w:r>
      <w:r>
        <w:rPr>
          <w:w w:val="105"/>
        </w:rPr>
        <w:t>and</w:t>
      </w:r>
      <w:r>
        <w:rPr>
          <w:spacing w:val="-7"/>
          <w:w w:val="105"/>
        </w:rPr>
        <w:t> </w:t>
      </w:r>
      <w:r>
        <w:rPr>
          <w:w w:val="105"/>
        </w:rPr>
        <w:t>the</w:t>
      </w:r>
      <w:r>
        <w:rPr>
          <w:spacing w:val="-7"/>
          <w:w w:val="105"/>
        </w:rPr>
        <w:t> </w:t>
      </w:r>
      <w:r>
        <w:rPr>
          <w:w w:val="105"/>
        </w:rPr>
        <w:t>preparation</w:t>
      </w:r>
      <w:r>
        <w:rPr>
          <w:spacing w:val="-7"/>
          <w:w w:val="105"/>
        </w:rPr>
        <w:t> </w:t>
      </w:r>
      <w:r>
        <w:rPr>
          <w:w w:val="105"/>
        </w:rPr>
        <w:t>of financial</w:t>
      </w:r>
      <w:r>
        <w:rPr>
          <w:spacing w:val="-10"/>
          <w:w w:val="105"/>
        </w:rPr>
        <w:t> </w:t>
      </w:r>
      <w:r>
        <w:rPr>
          <w:w w:val="105"/>
        </w:rPr>
        <w:t>statements</w:t>
      </w:r>
      <w:r>
        <w:rPr>
          <w:spacing w:val="-10"/>
          <w:w w:val="105"/>
        </w:rPr>
        <w:t> </w:t>
      </w:r>
      <w:r>
        <w:rPr>
          <w:w w:val="105"/>
        </w:rPr>
        <w:t>for</w:t>
      </w:r>
      <w:r>
        <w:rPr>
          <w:spacing w:val="-10"/>
          <w:w w:val="105"/>
        </w:rPr>
        <w:t> </w:t>
      </w:r>
      <w:r>
        <w:rPr>
          <w:w w:val="105"/>
        </w:rPr>
        <w:t>external</w:t>
      </w:r>
      <w:r>
        <w:rPr>
          <w:spacing w:val="-10"/>
          <w:w w:val="105"/>
        </w:rPr>
        <w:t> </w:t>
      </w:r>
      <w:r>
        <w:rPr>
          <w:w w:val="105"/>
        </w:rPr>
        <w:t>purposes</w:t>
      </w:r>
      <w:r>
        <w:rPr>
          <w:spacing w:val="-10"/>
          <w:w w:val="105"/>
        </w:rPr>
        <w:t> </w:t>
      </w:r>
      <w:r>
        <w:rPr>
          <w:w w:val="105"/>
        </w:rPr>
        <w:t>in</w:t>
      </w:r>
      <w:r>
        <w:rPr>
          <w:spacing w:val="-8"/>
          <w:w w:val="105"/>
        </w:rPr>
        <w:t> </w:t>
      </w:r>
      <w:r>
        <w:rPr>
          <w:w w:val="105"/>
        </w:rPr>
        <w:t>accordance</w:t>
      </w:r>
      <w:r>
        <w:rPr>
          <w:spacing w:val="-10"/>
          <w:w w:val="105"/>
        </w:rPr>
        <w:t> </w:t>
      </w:r>
      <w:r>
        <w:rPr>
          <w:w w:val="105"/>
        </w:rPr>
        <w:t>with</w:t>
      </w:r>
      <w:r>
        <w:rPr>
          <w:spacing w:val="-10"/>
          <w:w w:val="105"/>
        </w:rPr>
        <w:t> </w:t>
      </w:r>
      <w:r>
        <w:rPr>
          <w:w w:val="105"/>
        </w:rPr>
        <w:t>accounting</w:t>
      </w:r>
      <w:r>
        <w:rPr>
          <w:spacing w:val="-10"/>
          <w:w w:val="105"/>
        </w:rPr>
        <w:t> </w:t>
      </w:r>
      <w:r>
        <w:rPr>
          <w:w w:val="105"/>
        </w:rPr>
        <w:t>principles</w:t>
      </w:r>
      <w:r>
        <w:rPr>
          <w:spacing w:val="-10"/>
          <w:w w:val="105"/>
        </w:rPr>
        <w:t> </w:t>
      </w:r>
      <w:r>
        <w:rPr>
          <w:w w:val="105"/>
        </w:rPr>
        <w:t>generally</w:t>
      </w:r>
      <w:r>
        <w:rPr>
          <w:spacing w:val="-10"/>
          <w:w w:val="105"/>
        </w:rPr>
        <w:t> </w:t>
      </w:r>
      <w:r>
        <w:rPr>
          <w:w w:val="105"/>
        </w:rPr>
        <w:t>accepted</w:t>
      </w:r>
      <w:r>
        <w:rPr>
          <w:spacing w:val="-10"/>
          <w:w w:val="105"/>
        </w:rPr>
        <w:t> </w:t>
      </w:r>
      <w:r>
        <w:rPr>
          <w:w w:val="105"/>
        </w:rPr>
        <w:t>in</w:t>
      </w:r>
      <w:r>
        <w:rPr>
          <w:spacing w:val="-10"/>
          <w:w w:val="105"/>
        </w:rPr>
        <w:t> </w:t>
      </w:r>
      <w:r>
        <w:rPr>
          <w:w w:val="105"/>
        </w:rPr>
        <w:t>the</w:t>
      </w:r>
      <w:r>
        <w:rPr>
          <w:spacing w:val="-10"/>
          <w:w w:val="105"/>
        </w:rPr>
        <w:t> </w:t>
      </w:r>
      <w:r>
        <w:rPr>
          <w:w w:val="105"/>
        </w:rPr>
        <w:t>U.S.</w:t>
      </w:r>
      <w:r>
        <w:rPr>
          <w:spacing w:val="-10"/>
          <w:w w:val="105"/>
        </w:rPr>
        <w:t> </w:t>
      </w:r>
      <w:r>
        <w:rPr>
          <w:w w:val="105"/>
        </w:rPr>
        <w:t>Corning’s</w:t>
      </w:r>
      <w:r>
        <w:rPr>
          <w:spacing w:val="-10"/>
          <w:w w:val="105"/>
        </w:rPr>
        <w:t> </w:t>
      </w:r>
      <w:r>
        <w:rPr>
          <w:w w:val="105"/>
        </w:rPr>
        <w:t>internal</w:t>
      </w:r>
      <w:r>
        <w:rPr>
          <w:spacing w:val="-10"/>
          <w:w w:val="105"/>
        </w:rPr>
        <w:t> </w:t>
      </w:r>
      <w:r>
        <w:rPr>
          <w:w w:val="105"/>
        </w:rPr>
        <w:t>control</w:t>
      </w:r>
      <w:r>
        <w:rPr>
          <w:spacing w:val="-10"/>
          <w:w w:val="105"/>
        </w:rPr>
        <w:t> </w:t>
      </w:r>
      <w:r>
        <w:rPr>
          <w:w w:val="105"/>
        </w:rPr>
        <w:t>over</w:t>
      </w:r>
      <w:r>
        <w:rPr>
          <w:spacing w:val="-10"/>
          <w:w w:val="105"/>
        </w:rPr>
        <w:t> </w:t>
      </w:r>
      <w:r>
        <w:rPr>
          <w:w w:val="105"/>
        </w:rPr>
        <w:t>financial</w:t>
      </w:r>
      <w:r>
        <w:rPr>
          <w:spacing w:val="-10"/>
          <w:w w:val="105"/>
        </w:rPr>
        <w:t> </w:t>
      </w:r>
      <w:r>
        <w:rPr>
          <w:w w:val="105"/>
        </w:rPr>
        <w:t>reporting</w:t>
      </w:r>
      <w:r>
        <w:rPr>
          <w:spacing w:val="-10"/>
          <w:w w:val="105"/>
        </w:rPr>
        <w:t> </w:t>
      </w:r>
      <w:r>
        <w:rPr>
          <w:w w:val="105"/>
        </w:rPr>
        <w:t>includes those</w:t>
      </w:r>
      <w:r>
        <w:rPr>
          <w:spacing w:val="-3"/>
          <w:w w:val="105"/>
        </w:rPr>
        <w:t> </w:t>
      </w:r>
      <w:r>
        <w:rPr>
          <w:w w:val="105"/>
        </w:rPr>
        <w:t>policies</w:t>
      </w:r>
      <w:r>
        <w:rPr>
          <w:spacing w:val="-3"/>
          <w:w w:val="105"/>
        </w:rPr>
        <w:t> </w:t>
      </w:r>
      <w:r>
        <w:rPr>
          <w:w w:val="105"/>
        </w:rPr>
        <w:t>and</w:t>
      </w:r>
      <w:r>
        <w:rPr>
          <w:spacing w:val="-3"/>
          <w:w w:val="105"/>
        </w:rPr>
        <w:t> </w:t>
      </w:r>
      <w:r>
        <w:rPr>
          <w:w w:val="105"/>
        </w:rPr>
        <w:t>procedures</w:t>
      </w:r>
      <w:r>
        <w:rPr>
          <w:spacing w:val="-3"/>
          <w:w w:val="105"/>
        </w:rPr>
        <w:t> </w:t>
      </w:r>
      <w:r>
        <w:rPr>
          <w:w w:val="105"/>
        </w:rPr>
        <w:t>that</w:t>
      </w:r>
      <w:r>
        <w:rPr>
          <w:spacing w:val="-3"/>
          <w:w w:val="105"/>
        </w:rPr>
        <w:t> </w:t>
      </w:r>
      <w:r>
        <w:rPr>
          <w:w w:val="105"/>
        </w:rPr>
        <w:t>(i)</w:t>
      </w:r>
      <w:r>
        <w:rPr>
          <w:spacing w:val="-3"/>
          <w:w w:val="105"/>
        </w:rPr>
        <w:t> </w:t>
      </w:r>
      <w:r>
        <w:rPr>
          <w:w w:val="105"/>
        </w:rPr>
        <w:t>pertain</w:t>
      </w:r>
      <w:r>
        <w:rPr>
          <w:spacing w:val="-3"/>
          <w:w w:val="105"/>
        </w:rPr>
        <w:t> </w:t>
      </w:r>
      <w:r>
        <w:rPr>
          <w:w w:val="105"/>
        </w:rPr>
        <w:t>to</w:t>
      </w:r>
      <w:r>
        <w:rPr>
          <w:spacing w:val="-1"/>
          <w:w w:val="105"/>
        </w:rPr>
        <w:t> </w:t>
      </w:r>
      <w:r>
        <w:rPr>
          <w:w w:val="105"/>
        </w:rPr>
        <w:t>the</w:t>
      </w:r>
      <w:r>
        <w:rPr>
          <w:spacing w:val="-3"/>
          <w:w w:val="105"/>
        </w:rPr>
        <w:t> </w:t>
      </w:r>
      <w:r>
        <w:rPr>
          <w:w w:val="105"/>
        </w:rPr>
        <w:t>maintenance</w:t>
      </w:r>
      <w:r>
        <w:rPr>
          <w:spacing w:val="-3"/>
          <w:w w:val="105"/>
        </w:rPr>
        <w:t> </w:t>
      </w:r>
      <w:r>
        <w:rPr>
          <w:w w:val="105"/>
        </w:rPr>
        <w:t>of</w:t>
      </w:r>
      <w:r>
        <w:rPr>
          <w:spacing w:val="-3"/>
          <w:w w:val="105"/>
        </w:rPr>
        <w:t> </w:t>
      </w:r>
      <w:r>
        <w:rPr>
          <w:w w:val="105"/>
        </w:rPr>
        <w:t>records</w:t>
      </w:r>
      <w:r>
        <w:rPr>
          <w:spacing w:val="-3"/>
          <w:w w:val="105"/>
        </w:rPr>
        <w:t> </w:t>
      </w:r>
      <w:r>
        <w:rPr>
          <w:w w:val="105"/>
        </w:rPr>
        <w:t>that,</w:t>
      </w:r>
      <w:r>
        <w:rPr>
          <w:spacing w:val="-3"/>
          <w:w w:val="105"/>
        </w:rPr>
        <w:t> </w:t>
      </w:r>
      <w:r>
        <w:rPr>
          <w:w w:val="105"/>
        </w:rPr>
        <w:t>in</w:t>
      </w:r>
      <w:r>
        <w:rPr>
          <w:spacing w:val="-3"/>
          <w:w w:val="105"/>
        </w:rPr>
        <w:t> </w:t>
      </w:r>
      <w:r>
        <w:rPr>
          <w:w w:val="105"/>
        </w:rPr>
        <w:t>reasonable</w:t>
      </w:r>
      <w:r>
        <w:rPr>
          <w:spacing w:val="-3"/>
          <w:w w:val="105"/>
        </w:rPr>
        <w:t> </w:t>
      </w:r>
      <w:r>
        <w:rPr>
          <w:w w:val="105"/>
        </w:rPr>
        <w:t>detail,</w:t>
      </w:r>
      <w:r>
        <w:rPr>
          <w:spacing w:val="-3"/>
          <w:w w:val="105"/>
        </w:rPr>
        <w:t> </w:t>
      </w:r>
      <w:r>
        <w:rPr>
          <w:w w:val="105"/>
        </w:rPr>
        <w:t>accurately</w:t>
      </w:r>
      <w:r>
        <w:rPr>
          <w:spacing w:val="-3"/>
          <w:w w:val="105"/>
        </w:rPr>
        <w:t> </w:t>
      </w:r>
      <w:r>
        <w:rPr>
          <w:w w:val="105"/>
        </w:rPr>
        <w:t>and</w:t>
      </w:r>
      <w:r>
        <w:rPr>
          <w:spacing w:val="-1"/>
          <w:w w:val="105"/>
        </w:rPr>
        <w:t> </w:t>
      </w:r>
      <w:r>
        <w:rPr>
          <w:w w:val="105"/>
        </w:rPr>
        <w:t>fairly</w:t>
      </w:r>
      <w:r>
        <w:rPr>
          <w:spacing w:val="-3"/>
          <w:w w:val="105"/>
        </w:rPr>
        <w:t> </w:t>
      </w:r>
      <w:r>
        <w:rPr>
          <w:w w:val="105"/>
        </w:rPr>
        <w:t>reflect</w:t>
      </w:r>
      <w:r>
        <w:rPr>
          <w:spacing w:val="-3"/>
          <w:w w:val="105"/>
        </w:rPr>
        <w:t> </w:t>
      </w:r>
      <w:r>
        <w:rPr>
          <w:w w:val="105"/>
        </w:rPr>
        <w:t>the</w:t>
      </w:r>
      <w:r>
        <w:rPr>
          <w:spacing w:val="-3"/>
          <w:w w:val="105"/>
        </w:rPr>
        <w:t> </w:t>
      </w:r>
      <w:r>
        <w:rPr>
          <w:w w:val="105"/>
        </w:rPr>
        <w:t>transactions</w:t>
      </w:r>
      <w:r>
        <w:rPr>
          <w:spacing w:val="-3"/>
          <w:w w:val="105"/>
        </w:rPr>
        <w:t> </w:t>
      </w:r>
      <w:r>
        <w:rPr>
          <w:w w:val="105"/>
        </w:rPr>
        <w:t>and</w:t>
      </w:r>
      <w:r>
        <w:rPr>
          <w:spacing w:val="-3"/>
          <w:w w:val="105"/>
        </w:rPr>
        <w:t> </w:t>
      </w:r>
      <w:r>
        <w:rPr>
          <w:w w:val="105"/>
        </w:rPr>
        <w:t>dispositions</w:t>
      </w:r>
      <w:r>
        <w:rPr>
          <w:spacing w:val="-3"/>
          <w:w w:val="105"/>
        </w:rPr>
        <w:t> </w:t>
      </w:r>
      <w:r>
        <w:rPr>
          <w:w w:val="105"/>
        </w:rPr>
        <w:t>of Corning’s</w:t>
      </w:r>
      <w:r>
        <w:rPr>
          <w:spacing w:val="-3"/>
          <w:w w:val="105"/>
        </w:rPr>
        <w:t> </w:t>
      </w:r>
      <w:r>
        <w:rPr>
          <w:w w:val="105"/>
        </w:rPr>
        <w:t>assets;</w:t>
      </w:r>
      <w:r>
        <w:rPr>
          <w:spacing w:val="-3"/>
          <w:w w:val="105"/>
        </w:rPr>
        <w:t> </w:t>
      </w:r>
      <w:r>
        <w:rPr>
          <w:w w:val="105"/>
        </w:rPr>
        <w:t>(ii)</w:t>
      </w:r>
      <w:r>
        <w:rPr>
          <w:spacing w:val="-3"/>
          <w:w w:val="105"/>
        </w:rPr>
        <w:t> </w:t>
      </w:r>
      <w:r>
        <w:rPr>
          <w:w w:val="105"/>
        </w:rPr>
        <w:t>provide</w:t>
      </w:r>
      <w:r>
        <w:rPr>
          <w:spacing w:val="-3"/>
          <w:w w:val="105"/>
        </w:rPr>
        <w:t> </w:t>
      </w:r>
      <w:r>
        <w:rPr>
          <w:w w:val="105"/>
        </w:rPr>
        <w:t>reasonable</w:t>
      </w:r>
      <w:r>
        <w:rPr>
          <w:spacing w:val="-3"/>
          <w:w w:val="105"/>
        </w:rPr>
        <w:t> </w:t>
      </w:r>
      <w:r>
        <w:rPr>
          <w:w w:val="105"/>
        </w:rPr>
        <w:t>assurance</w:t>
      </w:r>
      <w:r>
        <w:rPr>
          <w:spacing w:val="-3"/>
          <w:w w:val="105"/>
        </w:rPr>
        <w:t> </w:t>
      </w:r>
      <w:r>
        <w:rPr>
          <w:w w:val="105"/>
        </w:rPr>
        <w:t>that</w:t>
      </w:r>
      <w:r>
        <w:rPr>
          <w:spacing w:val="-3"/>
          <w:w w:val="105"/>
        </w:rPr>
        <w:t> </w:t>
      </w:r>
      <w:r>
        <w:rPr>
          <w:w w:val="105"/>
        </w:rPr>
        <w:t>transactions</w:t>
      </w:r>
      <w:r>
        <w:rPr>
          <w:spacing w:val="-3"/>
          <w:w w:val="105"/>
        </w:rPr>
        <w:t> </w:t>
      </w:r>
      <w:r>
        <w:rPr>
          <w:w w:val="105"/>
        </w:rPr>
        <w:t>are</w:t>
      </w:r>
      <w:r>
        <w:rPr>
          <w:spacing w:val="-3"/>
          <w:w w:val="105"/>
        </w:rPr>
        <w:t> </w:t>
      </w:r>
      <w:r>
        <w:rPr>
          <w:w w:val="105"/>
        </w:rPr>
        <w:t>recorded</w:t>
      </w:r>
      <w:r>
        <w:rPr>
          <w:spacing w:val="-3"/>
          <w:w w:val="105"/>
        </w:rPr>
        <w:t> </w:t>
      </w:r>
      <w:r>
        <w:rPr>
          <w:w w:val="105"/>
        </w:rPr>
        <w:t>as</w:t>
      </w:r>
      <w:r>
        <w:rPr>
          <w:spacing w:val="-3"/>
          <w:w w:val="105"/>
        </w:rPr>
        <w:t> </w:t>
      </w:r>
      <w:r>
        <w:rPr>
          <w:w w:val="105"/>
        </w:rPr>
        <w:t>necessary</w:t>
      </w:r>
      <w:r>
        <w:rPr>
          <w:spacing w:val="-3"/>
          <w:w w:val="105"/>
        </w:rPr>
        <w:t> </w:t>
      </w:r>
      <w:r>
        <w:rPr>
          <w:w w:val="105"/>
        </w:rPr>
        <w:t>to</w:t>
      </w:r>
      <w:r>
        <w:rPr>
          <w:spacing w:val="-3"/>
          <w:w w:val="105"/>
        </w:rPr>
        <w:t> </w:t>
      </w:r>
      <w:r>
        <w:rPr>
          <w:w w:val="105"/>
        </w:rPr>
        <w:t>permit</w:t>
      </w:r>
      <w:r>
        <w:rPr>
          <w:spacing w:val="-3"/>
          <w:w w:val="105"/>
        </w:rPr>
        <w:t> </w:t>
      </w:r>
      <w:r>
        <w:rPr>
          <w:w w:val="105"/>
        </w:rPr>
        <w:t>preparation</w:t>
      </w:r>
      <w:r>
        <w:rPr>
          <w:spacing w:val="-3"/>
          <w:w w:val="105"/>
        </w:rPr>
        <w:t> </w:t>
      </w:r>
      <w:r>
        <w:rPr>
          <w:w w:val="105"/>
        </w:rPr>
        <w:t>of</w:t>
      </w:r>
      <w:r>
        <w:rPr>
          <w:spacing w:val="-3"/>
          <w:w w:val="105"/>
        </w:rPr>
        <w:t> </w:t>
      </w:r>
      <w:r>
        <w:rPr>
          <w:w w:val="105"/>
        </w:rPr>
        <w:t>financial</w:t>
      </w:r>
      <w:r>
        <w:rPr>
          <w:spacing w:val="-3"/>
          <w:w w:val="105"/>
        </w:rPr>
        <w:t> </w:t>
      </w:r>
      <w:r>
        <w:rPr>
          <w:w w:val="105"/>
        </w:rPr>
        <w:t>statements</w:t>
      </w:r>
      <w:r>
        <w:rPr>
          <w:spacing w:val="-3"/>
          <w:w w:val="105"/>
        </w:rPr>
        <w:t> </w:t>
      </w:r>
      <w:r>
        <w:rPr>
          <w:w w:val="105"/>
        </w:rPr>
        <w:t>in</w:t>
      </w:r>
      <w:r>
        <w:rPr>
          <w:spacing w:val="-1"/>
          <w:w w:val="105"/>
        </w:rPr>
        <w:t> </w:t>
      </w:r>
      <w:r>
        <w:rPr>
          <w:w w:val="105"/>
        </w:rPr>
        <w:t>accordance</w:t>
      </w:r>
      <w:r>
        <w:rPr>
          <w:spacing w:val="-3"/>
          <w:w w:val="105"/>
        </w:rPr>
        <w:t> </w:t>
      </w:r>
      <w:r>
        <w:rPr>
          <w:w w:val="105"/>
        </w:rPr>
        <w:t>with</w:t>
      </w:r>
      <w:r>
        <w:rPr>
          <w:spacing w:val="-3"/>
          <w:w w:val="105"/>
        </w:rPr>
        <w:t> </w:t>
      </w:r>
      <w:r>
        <w:rPr>
          <w:w w:val="105"/>
        </w:rPr>
        <w:t>accounting principles</w:t>
      </w:r>
      <w:r>
        <w:rPr>
          <w:spacing w:val="-6"/>
          <w:w w:val="105"/>
        </w:rPr>
        <w:t> </w:t>
      </w:r>
      <w:r>
        <w:rPr>
          <w:w w:val="105"/>
        </w:rPr>
        <w:t>generally</w:t>
      </w:r>
      <w:r>
        <w:rPr>
          <w:spacing w:val="-4"/>
          <w:w w:val="105"/>
        </w:rPr>
        <w:t> </w:t>
      </w:r>
      <w:r>
        <w:rPr>
          <w:w w:val="105"/>
        </w:rPr>
        <w:t>accepted</w:t>
      </w:r>
      <w:r>
        <w:rPr>
          <w:spacing w:val="-6"/>
          <w:w w:val="105"/>
        </w:rPr>
        <w:t> </w:t>
      </w:r>
      <w:r>
        <w:rPr>
          <w:w w:val="105"/>
        </w:rPr>
        <w:t>in</w:t>
      </w:r>
      <w:r>
        <w:rPr>
          <w:spacing w:val="-6"/>
          <w:w w:val="105"/>
        </w:rPr>
        <w:t> </w:t>
      </w:r>
      <w:r>
        <w:rPr>
          <w:w w:val="105"/>
        </w:rPr>
        <w:t>the</w:t>
      </w:r>
      <w:r>
        <w:rPr>
          <w:spacing w:val="-5"/>
          <w:w w:val="105"/>
        </w:rPr>
        <w:t> </w:t>
      </w:r>
      <w:r>
        <w:rPr>
          <w:w w:val="105"/>
        </w:rPr>
        <w:t>U.S.,</w:t>
      </w:r>
      <w:r>
        <w:rPr>
          <w:spacing w:val="-6"/>
          <w:w w:val="105"/>
        </w:rPr>
        <w:t> </w:t>
      </w:r>
      <w:r>
        <w:rPr>
          <w:w w:val="105"/>
        </w:rPr>
        <w:t>and</w:t>
      </w:r>
      <w:r>
        <w:rPr>
          <w:spacing w:val="-6"/>
          <w:w w:val="105"/>
        </w:rPr>
        <w:t> </w:t>
      </w:r>
      <w:r>
        <w:rPr>
          <w:w w:val="105"/>
        </w:rPr>
        <w:t>that</w:t>
      </w:r>
      <w:r>
        <w:rPr>
          <w:spacing w:val="-6"/>
          <w:w w:val="105"/>
        </w:rPr>
        <w:t> </w:t>
      </w:r>
      <w:r>
        <w:rPr>
          <w:w w:val="105"/>
        </w:rPr>
        <w:t>Corning’s</w:t>
      </w:r>
      <w:r>
        <w:rPr>
          <w:spacing w:val="-6"/>
          <w:w w:val="105"/>
        </w:rPr>
        <w:t> </w:t>
      </w:r>
      <w:r>
        <w:rPr>
          <w:w w:val="105"/>
        </w:rPr>
        <w:t>receipts</w:t>
      </w:r>
      <w:r>
        <w:rPr>
          <w:spacing w:val="-6"/>
          <w:w w:val="105"/>
        </w:rPr>
        <w:t> </w:t>
      </w:r>
      <w:r>
        <w:rPr>
          <w:w w:val="105"/>
        </w:rPr>
        <w:t>and</w:t>
      </w:r>
      <w:r>
        <w:rPr>
          <w:spacing w:val="-4"/>
          <w:w w:val="105"/>
        </w:rPr>
        <w:t> </w:t>
      </w:r>
      <w:r>
        <w:rPr>
          <w:w w:val="105"/>
        </w:rPr>
        <w:t>expenditures</w:t>
      </w:r>
      <w:r>
        <w:rPr>
          <w:spacing w:val="-6"/>
          <w:w w:val="105"/>
        </w:rPr>
        <w:t> </w:t>
      </w:r>
      <w:r>
        <w:rPr>
          <w:w w:val="105"/>
        </w:rPr>
        <w:t>are</w:t>
      </w:r>
      <w:r>
        <w:rPr>
          <w:spacing w:val="-6"/>
          <w:w w:val="105"/>
        </w:rPr>
        <w:t> </w:t>
      </w:r>
      <w:r>
        <w:rPr>
          <w:w w:val="105"/>
        </w:rPr>
        <w:t>being</w:t>
      </w:r>
      <w:r>
        <w:rPr>
          <w:spacing w:val="-6"/>
          <w:w w:val="105"/>
        </w:rPr>
        <w:t> </w:t>
      </w:r>
      <w:r>
        <w:rPr>
          <w:w w:val="105"/>
        </w:rPr>
        <w:t>made</w:t>
      </w:r>
      <w:r>
        <w:rPr>
          <w:spacing w:val="-6"/>
          <w:w w:val="105"/>
        </w:rPr>
        <w:t> </w:t>
      </w:r>
      <w:r>
        <w:rPr>
          <w:w w:val="105"/>
        </w:rPr>
        <w:t>only</w:t>
      </w:r>
      <w:r>
        <w:rPr>
          <w:spacing w:val="-6"/>
          <w:w w:val="105"/>
        </w:rPr>
        <w:t> </w:t>
      </w:r>
      <w:r>
        <w:rPr>
          <w:w w:val="105"/>
        </w:rPr>
        <w:t>in</w:t>
      </w:r>
      <w:r>
        <w:rPr>
          <w:spacing w:val="-6"/>
          <w:w w:val="105"/>
        </w:rPr>
        <w:t> </w:t>
      </w:r>
      <w:r>
        <w:rPr>
          <w:w w:val="105"/>
        </w:rPr>
        <w:t>accordance</w:t>
      </w:r>
      <w:r>
        <w:rPr>
          <w:spacing w:val="-6"/>
          <w:w w:val="105"/>
        </w:rPr>
        <w:t> </w:t>
      </w:r>
      <w:r>
        <w:rPr>
          <w:w w:val="105"/>
        </w:rPr>
        <w:t>with</w:t>
      </w:r>
      <w:r>
        <w:rPr>
          <w:spacing w:val="-6"/>
          <w:w w:val="105"/>
        </w:rPr>
        <w:t> </w:t>
      </w:r>
      <w:r>
        <w:rPr>
          <w:w w:val="105"/>
        </w:rPr>
        <w:t>authorizations</w:t>
      </w:r>
      <w:r>
        <w:rPr>
          <w:spacing w:val="-6"/>
          <w:w w:val="105"/>
        </w:rPr>
        <w:t> </w:t>
      </w:r>
      <w:r>
        <w:rPr>
          <w:w w:val="105"/>
        </w:rPr>
        <w:t>of</w:t>
      </w:r>
      <w:r>
        <w:rPr>
          <w:spacing w:val="-6"/>
          <w:w w:val="105"/>
        </w:rPr>
        <w:t> </w:t>
      </w:r>
      <w:r>
        <w:rPr>
          <w:w w:val="105"/>
        </w:rPr>
        <w:t>Corning’s</w:t>
      </w:r>
      <w:r>
        <w:rPr>
          <w:spacing w:val="-6"/>
          <w:w w:val="105"/>
        </w:rPr>
        <w:t> </w:t>
      </w:r>
      <w:r>
        <w:rPr>
          <w:w w:val="105"/>
        </w:rPr>
        <w:t>management</w:t>
      </w:r>
      <w:r>
        <w:rPr>
          <w:spacing w:val="-6"/>
          <w:w w:val="105"/>
        </w:rPr>
        <w:t> </w:t>
      </w:r>
      <w:r>
        <w:rPr>
          <w:w w:val="105"/>
        </w:rPr>
        <w:t>and directors;</w:t>
      </w:r>
      <w:r>
        <w:rPr>
          <w:spacing w:val="-5"/>
          <w:w w:val="105"/>
        </w:rPr>
        <w:t> </w:t>
      </w:r>
      <w:r>
        <w:rPr>
          <w:w w:val="105"/>
        </w:rPr>
        <w:t>and</w:t>
      </w:r>
      <w:r>
        <w:rPr>
          <w:spacing w:val="-5"/>
          <w:w w:val="105"/>
        </w:rPr>
        <w:t> </w:t>
      </w:r>
      <w:r>
        <w:rPr>
          <w:w w:val="105"/>
        </w:rPr>
        <w:t>(iii)</w:t>
      </w:r>
      <w:r>
        <w:rPr>
          <w:spacing w:val="-5"/>
          <w:w w:val="105"/>
        </w:rPr>
        <w:t> </w:t>
      </w:r>
      <w:r>
        <w:rPr>
          <w:w w:val="105"/>
        </w:rPr>
        <w:t>provide</w:t>
      </w:r>
      <w:r>
        <w:rPr>
          <w:spacing w:val="-5"/>
          <w:w w:val="105"/>
        </w:rPr>
        <w:t> </w:t>
      </w:r>
      <w:r>
        <w:rPr>
          <w:w w:val="105"/>
        </w:rPr>
        <w:t>reasonable</w:t>
      </w:r>
      <w:r>
        <w:rPr>
          <w:spacing w:val="-5"/>
          <w:w w:val="105"/>
        </w:rPr>
        <w:t> </w:t>
      </w:r>
      <w:r>
        <w:rPr>
          <w:w w:val="105"/>
        </w:rPr>
        <w:t>assurance</w:t>
      </w:r>
      <w:r>
        <w:rPr>
          <w:spacing w:val="-5"/>
          <w:w w:val="105"/>
        </w:rPr>
        <w:t> </w:t>
      </w:r>
      <w:r>
        <w:rPr>
          <w:w w:val="105"/>
        </w:rPr>
        <w:t>regarding</w:t>
      </w:r>
      <w:r>
        <w:rPr>
          <w:spacing w:val="-5"/>
          <w:w w:val="105"/>
        </w:rPr>
        <w:t> </w:t>
      </w:r>
      <w:r>
        <w:rPr>
          <w:w w:val="105"/>
        </w:rPr>
        <w:t>prevention</w:t>
      </w:r>
      <w:r>
        <w:rPr>
          <w:spacing w:val="-5"/>
          <w:w w:val="105"/>
        </w:rPr>
        <w:t> </w:t>
      </w:r>
      <w:r>
        <w:rPr>
          <w:w w:val="105"/>
        </w:rPr>
        <w:t>or</w:t>
      </w:r>
      <w:r>
        <w:rPr>
          <w:spacing w:val="-3"/>
          <w:w w:val="105"/>
        </w:rPr>
        <w:t> </w:t>
      </w:r>
      <w:r>
        <w:rPr>
          <w:w w:val="105"/>
        </w:rPr>
        <w:t>timely</w:t>
      </w:r>
      <w:r>
        <w:rPr>
          <w:spacing w:val="-5"/>
          <w:w w:val="105"/>
        </w:rPr>
        <w:t> </w:t>
      </w:r>
      <w:r>
        <w:rPr>
          <w:w w:val="105"/>
        </w:rPr>
        <w:t>detection</w:t>
      </w:r>
      <w:r>
        <w:rPr>
          <w:spacing w:val="-5"/>
          <w:w w:val="105"/>
        </w:rPr>
        <w:t> </w:t>
      </w:r>
      <w:r>
        <w:rPr>
          <w:w w:val="105"/>
        </w:rPr>
        <w:t>of</w:t>
      </w:r>
      <w:r>
        <w:rPr>
          <w:spacing w:val="-5"/>
          <w:w w:val="105"/>
        </w:rPr>
        <w:t> </w:t>
      </w:r>
      <w:r>
        <w:rPr>
          <w:w w:val="105"/>
        </w:rPr>
        <w:t>unauthorized</w:t>
      </w:r>
      <w:r>
        <w:rPr>
          <w:spacing w:val="-5"/>
          <w:w w:val="105"/>
        </w:rPr>
        <w:t> </w:t>
      </w:r>
      <w:r>
        <w:rPr>
          <w:w w:val="105"/>
        </w:rPr>
        <w:t>acquisition,</w:t>
      </w:r>
      <w:r>
        <w:rPr>
          <w:spacing w:val="-5"/>
          <w:w w:val="105"/>
        </w:rPr>
        <w:t> </w:t>
      </w:r>
      <w:r>
        <w:rPr>
          <w:w w:val="105"/>
        </w:rPr>
        <w:t>use,</w:t>
      </w:r>
      <w:r>
        <w:rPr>
          <w:spacing w:val="-5"/>
          <w:w w:val="105"/>
        </w:rPr>
        <w:t> </w:t>
      </w:r>
      <w:r>
        <w:rPr>
          <w:w w:val="105"/>
        </w:rPr>
        <w:t>or</w:t>
      </w:r>
      <w:r>
        <w:rPr>
          <w:spacing w:val="-5"/>
          <w:w w:val="105"/>
        </w:rPr>
        <w:t> </w:t>
      </w:r>
      <w:r>
        <w:rPr>
          <w:w w:val="105"/>
        </w:rPr>
        <w:t>disposition</w:t>
      </w:r>
      <w:r>
        <w:rPr>
          <w:spacing w:val="-5"/>
          <w:w w:val="105"/>
        </w:rPr>
        <w:t> </w:t>
      </w:r>
      <w:r>
        <w:rPr>
          <w:w w:val="105"/>
        </w:rPr>
        <w:t>of</w:t>
      </w:r>
      <w:r>
        <w:rPr>
          <w:spacing w:val="-5"/>
          <w:w w:val="105"/>
        </w:rPr>
        <w:t> </w:t>
      </w:r>
      <w:r>
        <w:rPr>
          <w:w w:val="105"/>
        </w:rPr>
        <w:t>Corning’s</w:t>
      </w:r>
      <w:r>
        <w:rPr>
          <w:spacing w:val="-5"/>
          <w:w w:val="105"/>
        </w:rPr>
        <w:t> </w:t>
      </w:r>
      <w:r>
        <w:rPr>
          <w:w w:val="105"/>
        </w:rPr>
        <w:t>assets</w:t>
      </w:r>
      <w:r>
        <w:rPr>
          <w:spacing w:val="-5"/>
          <w:w w:val="105"/>
        </w:rPr>
        <w:t> </w:t>
      </w:r>
      <w:r>
        <w:rPr>
          <w:w w:val="105"/>
        </w:rPr>
        <w:t>that</w:t>
      </w:r>
      <w:r>
        <w:rPr>
          <w:spacing w:val="-3"/>
          <w:w w:val="105"/>
        </w:rPr>
        <w:t> </w:t>
      </w:r>
      <w:r>
        <w:rPr>
          <w:w w:val="105"/>
        </w:rPr>
        <w:t>could</w:t>
      </w:r>
      <w:r>
        <w:rPr>
          <w:spacing w:val="-5"/>
          <w:w w:val="105"/>
        </w:rPr>
        <w:t> </w:t>
      </w:r>
      <w:r>
        <w:rPr>
          <w:w w:val="105"/>
        </w:rPr>
        <w:t>have</w:t>
      </w:r>
      <w:r>
        <w:rPr>
          <w:w w:val="105"/>
        </w:rPr>
        <w:t> a</w:t>
      </w:r>
      <w:r>
        <w:rPr>
          <w:spacing w:val="-2"/>
          <w:w w:val="105"/>
        </w:rPr>
        <w:t> </w:t>
      </w:r>
      <w:r>
        <w:rPr>
          <w:w w:val="105"/>
        </w:rPr>
        <w:t>material</w:t>
      </w:r>
      <w:r>
        <w:rPr>
          <w:spacing w:val="-2"/>
          <w:w w:val="105"/>
        </w:rPr>
        <w:t> </w:t>
      </w:r>
      <w:r>
        <w:rPr>
          <w:w w:val="105"/>
        </w:rPr>
        <w:t>effect</w:t>
      </w:r>
      <w:r>
        <w:rPr>
          <w:spacing w:val="-2"/>
          <w:w w:val="105"/>
        </w:rPr>
        <w:t> </w:t>
      </w:r>
      <w:r>
        <w:rPr>
          <w:w w:val="105"/>
        </w:rPr>
        <w:t>on</w:t>
      </w:r>
      <w:r>
        <w:rPr>
          <w:spacing w:val="-2"/>
          <w:w w:val="105"/>
        </w:rPr>
        <w:t> </w:t>
      </w:r>
      <w:r>
        <w:rPr>
          <w:w w:val="105"/>
        </w:rPr>
        <w:t>the</w:t>
      </w:r>
      <w:r>
        <w:rPr>
          <w:spacing w:val="-2"/>
          <w:w w:val="105"/>
        </w:rPr>
        <w:t> </w:t>
      </w:r>
      <w:r>
        <w:rPr>
          <w:w w:val="105"/>
        </w:rPr>
        <w:t>financial</w:t>
      </w:r>
      <w:r>
        <w:rPr>
          <w:spacing w:val="-2"/>
          <w:w w:val="105"/>
        </w:rPr>
        <w:t> </w:t>
      </w:r>
      <w:r>
        <w:rPr>
          <w:w w:val="105"/>
        </w:rPr>
        <w:t>statements.</w:t>
      </w:r>
      <w:r>
        <w:rPr>
          <w:spacing w:val="-2"/>
          <w:w w:val="105"/>
        </w:rPr>
        <w:t> </w:t>
      </w:r>
      <w:r>
        <w:rPr>
          <w:w w:val="105"/>
        </w:rPr>
        <w:t>Because</w:t>
      </w:r>
      <w:r>
        <w:rPr>
          <w:spacing w:val="-2"/>
          <w:w w:val="105"/>
        </w:rPr>
        <w:t> </w:t>
      </w:r>
      <w:r>
        <w:rPr>
          <w:w w:val="105"/>
        </w:rPr>
        <w:t>of</w:t>
      </w:r>
      <w:r>
        <w:rPr>
          <w:spacing w:val="-2"/>
          <w:w w:val="105"/>
        </w:rPr>
        <w:t> </w:t>
      </w:r>
      <w:r>
        <w:rPr>
          <w:w w:val="105"/>
        </w:rPr>
        <w:t>its</w:t>
      </w:r>
      <w:r>
        <w:rPr>
          <w:spacing w:val="-2"/>
          <w:w w:val="105"/>
        </w:rPr>
        <w:t> </w:t>
      </w:r>
      <w:r>
        <w:rPr>
          <w:w w:val="105"/>
        </w:rPr>
        <w:t>inherent</w:t>
      </w:r>
      <w:r>
        <w:rPr>
          <w:spacing w:val="-2"/>
          <w:w w:val="105"/>
        </w:rPr>
        <w:t> </w:t>
      </w:r>
      <w:r>
        <w:rPr>
          <w:w w:val="105"/>
        </w:rPr>
        <w:t>limitations,</w:t>
      </w:r>
      <w:r>
        <w:rPr>
          <w:spacing w:val="-2"/>
          <w:w w:val="105"/>
        </w:rPr>
        <w:t> </w:t>
      </w:r>
      <w:r>
        <w:rPr>
          <w:w w:val="105"/>
        </w:rPr>
        <w:t>internal</w:t>
      </w:r>
      <w:r>
        <w:rPr>
          <w:spacing w:val="-2"/>
          <w:w w:val="105"/>
        </w:rPr>
        <w:t> </w:t>
      </w:r>
      <w:r>
        <w:rPr>
          <w:w w:val="105"/>
        </w:rPr>
        <w:t>control</w:t>
      </w:r>
      <w:r>
        <w:rPr>
          <w:spacing w:val="-2"/>
          <w:w w:val="105"/>
        </w:rPr>
        <w:t> </w:t>
      </w:r>
      <w:r>
        <w:rPr>
          <w:w w:val="105"/>
        </w:rPr>
        <w:t>over</w:t>
      </w:r>
      <w:r>
        <w:rPr>
          <w:spacing w:val="-2"/>
          <w:w w:val="105"/>
        </w:rPr>
        <w:t> </w:t>
      </w:r>
      <w:r>
        <w:rPr>
          <w:w w:val="105"/>
        </w:rPr>
        <w:t>financial</w:t>
      </w:r>
      <w:r>
        <w:rPr>
          <w:spacing w:val="-2"/>
          <w:w w:val="105"/>
        </w:rPr>
        <w:t> </w:t>
      </w:r>
      <w:r>
        <w:rPr>
          <w:w w:val="105"/>
        </w:rPr>
        <w:t>reporting</w:t>
      </w:r>
      <w:r>
        <w:rPr>
          <w:spacing w:val="-4"/>
          <w:w w:val="105"/>
        </w:rPr>
        <w:t> </w:t>
      </w:r>
      <w:r>
        <w:rPr>
          <w:w w:val="105"/>
        </w:rPr>
        <w:t>may</w:t>
      </w:r>
      <w:r>
        <w:rPr>
          <w:spacing w:val="-2"/>
          <w:w w:val="105"/>
        </w:rPr>
        <w:t> </w:t>
      </w:r>
      <w:r>
        <w:rPr>
          <w:w w:val="105"/>
        </w:rPr>
        <w:t>not</w:t>
      </w:r>
      <w:r>
        <w:rPr>
          <w:spacing w:val="-2"/>
          <w:w w:val="105"/>
        </w:rPr>
        <w:t> </w:t>
      </w:r>
      <w:r>
        <w:rPr>
          <w:w w:val="105"/>
        </w:rPr>
        <w:t>prevent</w:t>
      </w:r>
      <w:r>
        <w:rPr>
          <w:spacing w:val="-2"/>
          <w:w w:val="105"/>
        </w:rPr>
        <w:t> </w:t>
      </w:r>
      <w:r>
        <w:rPr>
          <w:w w:val="105"/>
        </w:rPr>
        <w:t>or</w:t>
      </w:r>
      <w:r>
        <w:rPr>
          <w:spacing w:val="-2"/>
          <w:w w:val="105"/>
        </w:rPr>
        <w:t> </w:t>
      </w:r>
      <w:r>
        <w:rPr>
          <w:w w:val="105"/>
        </w:rPr>
        <w:t>detect</w:t>
      </w:r>
      <w:r>
        <w:rPr>
          <w:spacing w:val="-4"/>
          <w:w w:val="105"/>
        </w:rPr>
        <w:t> </w:t>
      </w:r>
      <w:r>
        <w:rPr>
          <w:w w:val="105"/>
        </w:rPr>
        <w:t>misstatements.</w:t>
      </w:r>
      <w:r>
        <w:rPr>
          <w:spacing w:val="-2"/>
          <w:w w:val="105"/>
        </w:rPr>
        <w:t> </w:t>
      </w:r>
      <w:r>
        <w:rPr>
          <w:w w:val="105"/>
        </w:rPr>
        <w:t>Also, projections</w:t>
      </w:r>
      <w:r>
        <w:rPr>
          <w:spacing w:val="-3"/>
          <w:w w:val="105"/>
        </w:rPr>
        <w:t> </w:t>
      </w:r>
      <w:r>
        <w:rPr>
          <w:w w:val="105"/>
        </w:rPr>
        <w:t>of</w:t>
      </w:r>
      <w:r>
        <w:rPr>
          <w:spacing w:val="-3"/>
          <w:w w:val="105"/>
        </w:rPr>
        <w:t> </w:t>
      </w:r>
      <w:r>
        <w:rPr>
          <w:w w:val="105"/>
        </w:rPr>
        <w:t>any</w:t>
      </w:r>
      <w:r>
        <w:rPr>
          <w:spacing w:val="-3"/>
          <w:w w:val="105"/>
        </w:rPr>
        <w:t> </w:t>
      </w:r>
      <w:r>
        <w:rPr>
          <w:w w:val="105"/>
        </w:rPr>
        <w:t>evaluation</w:t>
      </w:r>
      <w:r>
        <w:rPr>
          <w:spacing w:val="-3"/>
          <w:w w:val="105"/>
        </w:rPr>
        <w:t> </w:t>
      </w:r>
      <w:r>
        <w:rPr>
          <w:w w:val="105"/>
        </w:rPr>
        <w:t>of</w:t>
      </w:r>
      <w:r>
        <w:rPr>
          <w:spacing w:val="-3"/>
          <w:w w:val="105"/>
        </w:rPr>
        <w:t> </w:t>
      </w:r>
      <w:r>
        <w:rPr>
          <w:w w:val="105"/>
        </w:rPr>
        <w:t>effectiveness</w:t>
      </w:r>
      <w:r>
        <w:rPr>
          <w:spacing w:val="-3"/>
          <w:w w:val="105"/>
        </w:rPr>
        <w:t> </w:t>
      </w:r>
      <w:r>
        <w:rPr>
          <w:w w:val="105"/>
        </w:rPr>
        <w:t>to</w:t>
      </w:r>
      <w:r>
        <w:rPr>
          <w:spacing w:val="-1"/>
          <w:w w:val="105"/>
        </w:rPr>
        <w:t> </w:t>
      </w:r>
      <w:r>
        <w:rPr>
          <w:w w:val="105"/>
        </w:rPr>
        <w:t>future</w:t>
      </w:r>
      <w:r>
        <w:rPr>
          <w:spacing w:val="-3"/>
          <w:w w:val="105"/>
        </w:rPr>
        <w:t> </w:t>
      </w:r>
      <w:r>
        <w:rPr>
          <w:w w:val="105"/>
        </w:rPr>
        <w:t>periods</w:t>
      </w:r>
      <w:r>
        <w:rPr>
          <w:spacing w:val="-3"/>
          <w:w w:val="105"/>
        </w:rPr>
        <w:t> </w:t>
      </w:r>
      <w:r>
        <w:rPr>
          <w:w w:val="105"/>
        </w:rPr>
        <w:t>are</w:t>
      </w:r>
      <w:r>
        <w:rPr>
          <w:spacing w:val="-3"/>
          <w:w w:val="105"/>
        </w:rPr>
        <w:t> </w:t>
      </w:r>
      <w:r>
        <w:rPr>
          <w:w w:val="105"/>
        </w:rPr>
        <w:t>subject</w:t>
      </w:r>
      <w:r>
        <w:rPr>
          <w:spacing w:val="-3"/>
          <w:w w:val="105"/>
        </w:rPr>
        <w:t> </w:t>
      </w:r>
      <w:r>
        <w:rPr>
          <w:w w:val="105"/>
        </w:rPr>
        <w:t>to</w:t>
      </w:r>
      <w:r>
        <w:rPr>
          <w:spacing w:val="-3"/>
          <w:w w:val="105"/>
        </w:rPr>
        <w:t> </w:t>
      </w:r>
      <w:r>
        <w:rPr>
          <w:w w:val="105"/>
        </w:rPr>
        <w:t>the</w:t>
      </w:r>
      <w:r>
        <w:rPr>
          <w:spacing w:val="-3"/>
          <w:w w:val="105"/>
        </w:rPr>
        <w:t> </w:t>
      </w:r>
      <w:r>
        <w:rPr>
          <w:w w:val="105"/>
        </w:rPr>
        <w:t>risk</w:t>
      </w:r>
      <w:r>
        <w:rPr>
          <w:spacing w:val="-3"/>
          <w:w w:val="105"/>
        </w:rPr>
        <w:t> </w:t>
      </w:r>
      <w:r>
        <w:rPr>
          <w:w w:val="105"/>
        </w:rPr>
        <w:t>that</w:t>
      </w:r>
      <w:r>
        <w:rPr>
          <w:spacing w:val="-3"/>
          <w:w w:val="105"/>
        </w:rPr>
        <w:t> </w:t>
      </w:r>
      <w:r>
        <w:rPr>
          <w:w w:val="105"/>
        </w:rPr>
        <w:t>controls</w:t>
      </w:r>
      <w:r>
        <w:rPr>
          <w:spacing w:val="-1"/>
          <w:w w:val="105"/>
        </w:rPr>
        <w:t> </w:t>
      </w:r>
      <w:r>
        <w:rPr>
          <w:w w:val="105"/>
        </w:rPr>
        <w:t>may</w:t>
      </w:r>
      <w:r>
        <w:rPr>
          <w:spacing w:val="-3"/>
          <w:w w:val="105"/>
        </w:rPr>
        <w:t> </w:t>
      </w:r>
      <w:r>
        <w:rPr>
          <w:w w:val="105"/>
        </w:rPr>
        <w:t>become</w:t>
      </w:r>
      <w:r>
        <w:rPr>
          <w:spacing w:val="-3"/>
          <w:w w:val="105"/>
        </w:rPr>
        <w:t> </w:t>
      </w:r>
      <w:r>
        <w:rPr>
          <w:w w:val="105"/>
        </w:rPr>
        <w:t>inadequate</w:t>
      </w:r>
      <w:r>
        <w:rPr>
          <w:spacing w:val="-3"/>
          <w:w w:val="105"/>
        </w:rPr>
        <w:t> </w:t>
      </w:r>
      <w:r>
        <w:rPr>
          <w:w w:val="105"/>
        </w:rPr>
        <w:t>because</w:t>
      </w:r>
      <w:r>
        <w:rPr>
          <w:spacing w:val="-3"/>
          <w:w w:val="105"/>
        </w:rPr>
        <w:t> </w:t>
      </w:r>
      <w:r>
        <w:rPr>
          <w:w w:val="105"/>
        </w:rPr>
        <w:t>of</w:t>
      </w:r>
      <w:r>
        <w:rPr>
          <w:spacing w:val="-3"/>
          <w:w w:val="105"/>
        </w:rPr>
        <w:t> </w:t>
      </w:r>
      <w:r>
        <w:rPr>
          <w:w w:val="105"/>
        </w:rPr>
        <w:t>changes</w:t>
      </w:r>
      <w:r>
        <w:rPr>
          <w:spacing w:val="-3"/>
          <w:w w:val="105"/>
        </w:rPr>
        <w:t> </w:t>
      </w:r>
      <w:r>
        <w:rPr>
          <w:w w:val="105"/>
        </w:rPr>
        <w:t>in</w:t>
      </w:r>
      <w:r>
        <w:rPr>
          <w:spacing w:val="-3"/>
          <w:w w:val="105"/>
        </w:rPr>
        <w:t> </w:t>
      </w:r>
      <w:r>
        <w:rPr>
          <w:w w:val="105"/>
        </w:rPr>
        <w:t>conditions,</w:t>
      </w:r>
      <w:r>
        <w:rPr>
          <w:spacing w:val="-3"/>
          <w:w w:val="105"/>
        </w:rPr>
        <w:t> </w:t>
      </w:r>
      <w:r>
        <w:rPr>
          <w:w w:val="105"/>
        </w:rPr>
        <w:t>or</w:t>
      </w:r>
      <w:r>
        <w:rPr>
          <w:spacing w:val="-1"/>
          <w:w w:val="105"/>
        </w:rPr>
        <w:t> </w:t>
      </w:r>
      <w:r>
        <w:rPr>
          <w:w w:val="105"/>
        </w:rPr>
        <w:t>that</w:t>
      </w:r>
      <w:r>
        <w:rPr>
          <w:spacing w:val="-3"/>
          <w:w w:val="105"/>
        </w:rPr>
        <w:t> </w:t>
      </w:r>
      <w:r>
        <w:rPr>
          <w:w w:val="105"/>
        </w:rPr>
        <w:t>the degree of compliance with the policies and procedures may deteriorate.</w:t>
      </w:r>
    </w:p>
    <w:p>
      <w:pPr>
        <w:pStyle w:val="BodyText"/>
        <w:spacing w:before="162"/>
        <w:ind w:left="156"/>
      </w:pPr>
      <w:r>
        <w:rPr>
          <w:w w:val="105"/>
        </w:rPr>
        <w:t>Management</w:t>
      </w:r>
      <w:r>
        <w:rPr>
          <w:spacing w:val="-10"/>
          <w:w w:val="105"/>
        </w:rPr>
        <w:t> </w:t>
      </w:r>
      <w:r>
        <w:rPr>
          <w:w w:val="105"/>
        </w:rPr>
        <w:t>conducted</w:t>
      </w:r>
      <w:r>
        <w:rPr>
          <w:spacing w:val="-10"/>
          <w:w w:val="105"/>
        </w:rPr>
        <w:t> </w:t>
      </w:r>
      <w:r>
        <w:rPr>
          <w:w w:val="105"/>
        </w:rPr>
        <w:t>an</w:t>
      </w:r>
      <w:r>
        <w:rPr>
          <w:spacing w:val="-10"/>
          <w:w w:val="105"/>
        </w:rPr>
        <w:t> </w:t>
      </w:r>
      <w:r>
        <w:rPr>
          <w:w w:val="105"/>
        </w:rPr>
        <w:t>evaluation</w:t>
      </w:r>
      <w:r>
        <w:rPr>
          <w:spacing w:val="-10"/>
          <w:w w:val="105"/>
        </w:rPr>
        <w:t> </w:t>
      </w:r>
      <w:r>
        <w:rPr>
          <w:w w:val="105"/>
        </w:rPr>
        <w:t>of</w:t>
      </w:r>
      <w:r>
        <w:rPr>
          <w:spacing w:val="-10"/>
          <w:w w:val="105"/>
        </w:rPr>
        <w:t> </w:t>
      </w:r>
      <w:r>
        <w:rPr>
          <w:w w:val="105"/>
        </w:rPr>
        <w:t>the</w:t>
      </w:r>
      <w:r>
        <w:rPr>
          <w:spacing w:val="-10"/>
          <w:w w:val="105"/>
        </w:rPr>
        <w:t> </w:t>
      </w:r>
      <w:r>
        <w:rPr>
          <w:w w:val="105"/>
        </w:rPr>
        <w:t>effectiveness</w:t>
      </w:r>
      <w:r>
        <w:rPr>
          <w:spacing w:val="-9"/>
          <w:w w:val="105"/>
        </w:rPr>
        <w:t> </w:t>
      </w:r>
      <w:r>
        <w:rPr>
          <w:w w:val="105"/>
        </w:rPr>
        <w:t>of</w:t>
      </w:r>
      <w:r>
        <w:rPr>
          <w:spacing w:val="-10"/>
          <w:w w:val="105"/>
        </w:rPr>
        <w:t> </w:t>
      </w:r>
      <w:r>
        <w:rPr>
          <w:w w:val="105"/>
        </w:rPr>
        <w:t>the</w:t>
      </w:r>
      <w:r>
        <w:rPr>
          <w:spacing w:val="-10"/>
          <w:w w:val="105"/>
        </w:rPr>
        <w:t> </w:t>
      </w:r>
      <w:r>
        <w:rPr>
          <w:w w:val="105"/>
        </w:rPr>
        <w:t>Company’s</w:t>
      </w:r>
      <w:r>
        <w:rPr>
          <w:spacing w:val="-10"/>
          <w:w w:val="105"/>
        </w:rPr>
        <w:t> </w:t>
      </w:r>
      <w:r>
        <w:rPr>
          <w:w w:val="105"/>
        </w:rPr>
        <w:t>internal</w:t>
      </w:r>
      <w:r>
        <w:rPr>
          <w:spacing w:val="-10"/>
          <w:w w:val="105"/>
        </w:rPr>
        <w:t> </w:t>
      </w:r>
      <w:r>
        <w:rPr>
          <w:w w:val="105"/>
        </w:rPr>
        <w:t>control</w:t>
      </w:r>
      <w:r>
        <w:rPr>
          <w:spacing w:val="-10"/>
          <w:w w:val="105"/>
        </w:rPr>
        <w:t> </w:t>
      </w:r>
      <w:r>
        <w:rPr>
          <w:w w:val="105"/>
        </w:rPr>
        <w:t>over</w:t>
      </w:r>
      <w:r>
        <w:rPr>
          <w:spacing w:val="-9"/>
          <w:w w:val="105"/>
        </w:rPr>
        <w:t> </w:t>
      </w:r>
      <w:r>
        <w:rPr>
          <w:w w:val="105"/>
        </w:rPr>
        <w:t>financial</w:t>
      </w:r>
      <w:r>
        <w:rPr>
          <w:spacing w:val="-10"/>
          <w:w w:val="105"/>
        </w:rPr>
        <w:t> </w:t>
      </w:r>
      <w:r>
        <w:rPr>
          <w:w w:val="105"/>
        </w:rPr>
        <w:t>reporting</w:t>
      </w:r>
      <w:r>
        <w:rPr>
          <w:spacing w:val="-10"/>
          <w:w w:val="105"/>
        </w:rPr>
        <w:t> </w:t>
      </w:r>
      <w:r>
        <w:rPr>
          <w:w w:val="105"/>
        </w:rPr>
        <w:t>based</w:t>
      </w:r>
      <w:r>
        <w:rPr>
          <w:spacing w:val="-10"/>
          <w:w w:val="105"/>
        </w:rPr>
        <w:t> </w:t>
      </w:r>
      <w:r>
        <w:rPr>
          <w:w w:val="105"/>
        </w:rPr>
        <w:t>on</w:t>
      </w:r>
      <w:r>
        <w:rPr>
          <w:spacing w:val="-10"/>
          <w:w w:val="105"/>
        </w:rPr>
        <w:t> </w:t>
      </w:r>
      <w:r>
        <w:rPr>
          <w:w w:val="105"/>
        </w:rPr>
        <w:t>the</w:t>
      </w:r>
      <w:r>
        <w:rPr>
          <w:spacing w:val="-10"/>
          <w:w w:val="105"/>
        </w:rPr>
        <w:t> </w:t>
      </w:r>
      <w:r>
        <w:rPr>
          <w:w w:val="105"/>
        </w:rPr>
        <w:t>framework</w:t>
      </w:r>
      <w:r>
        <w:rPr>
          <w:spacing w:val="-9"/>
          <w:w w:val="105"/>
        </w:rPr>
        <w:t> </w:t>
      </w:r>
      <w:r>
        <w:rPr>
          <w:w w:val="105"/>
        </w:rPr>
        <w:t>in</w:t>
      </w:r>
      <w:r>
        <w:rPr>
          <w:spacing w:val="-10"/>
          <w:w w:val="105"/>
        </w:rPr>
        <w:t> </w:t>
      </w:r>
      <w:r>
        <w:rPr>
          <w:i/>
          <w:w w:val="105"/>
        </w:rPr>
        <w:t>Internal</w:t>
      </w:r>
      <w:r>
        <w:rPr>
          <w:i/>
          <w:spacing w:val="-10"/>
          <w:w w:val="105"/>
        </w:rPr>
        <w:t> </w:t>
      </w:r>
      <w:r>
        <w:rPr>
          <w:i/>
          <w:w w:val="105"/>
        </w:rPr>
        <w:t>Control</w:t>
      </w:r>
      <w:r>
        <w:rPr>
          <w:i/>
          <w:spacing w:val="-10"/>
          <w:w w:val="105"/>
        </w:rPr>
        <w:t> </w:t>
      </w:r>
      <w:r>
        <w:rPr>
          <w:spacing w:val="-10"/>
          <w:w w:val="105"/>
        </w:rPr>
        <w:t>–</w:t>
      </w:r>
    </w:p>
    <w:p>
      <w:pPr>
        <w:spacing w:before="19"/>
        <w:ind w:left="156" w:right="0" w:firstLine="0"/>
        <w:jc w:val="left"/>
        <w:rPr>
          <w:sz w:val="16"/>
        </w:rPr>
      </w:pPr>
      <w:r>
        <w:rPr>
          <w:i/>
          <w:spacing w:val="-2"/>
          <w:w w:val="105"/>
          <w:sz w:val="16"/>
        </w:rPr>
        <w:t>Integrated</w:t>
      </w:r>
      <w:r>
        <w:rPr>
          <w:i/>
          <w:spacing w:val="1"/>
          <w:w w:val="105"/>
          <w:sz w:val="16"/>
        </w:rPr>
        <w:t> </w:t>
      </w:r>
      <w:r>
        <w:rPr>
          <w:i/>
          <w:spacing w:val="-2"/>
          <w:w w:val="105"/>
          <w:sz w:val="16"/>
        </w:rPr>
        <w:t>Framework</w:t>
      </w:r>
      <w:r>
        <w:rPr>
          <w:i/>
          <w:spacing w:val="3"/>
          <w:w w:val="105"/>
          <w:sz w:val="16"/>
        </w:rPr>
        <w:t> </w:t>
      </w:r>
      <w:r>
        <w:rPr>
          <w:i/>
          <w:spacing w:val="-2"/>
          <w:w w:val="105"/>
          <w:sz w:val="16"/>
        </w:rPr>
        <w:t>(2013)</w:t>
      </w:r>
      <w:r>
        <w:rPr>
          <w:i/>
          <w:spacing w:val="2"/>
          <w:w w:val="105"/>
          <w:sz w:val="16"/>
        </w:rPr>
        <w:t> </w:t>
      </w:r>
      <w:r>
        <w:rPr>
          <w:spacing w:val="-2"/>
          <w:w w:val="105"/>
          <w:sz w:val="16"/>
        </w:rPr>
        <w:t>issued</w:t>
      </w:r>
      <w:r>
        <w:rPr>
          <w:spacing w:val="2"/>
          <w:w w:val="105"/>
          <w:sz w:val="16"/>
        </w:rPr>
        <w:t> </w:t>
      </w:r>
      <w:r>
        <w:rPr>
          <w:spacing w:val="-2"/>
          <w:w w:val="105"/>
          <w:sz w:val="16"/>
        </w:rPr>
        <w:t>by</w:t>
      </w:r>
      <w:r>
        <w:rPr>
          <w:spacing w:val="2"/>
          <w:w w:val="105"/>
          <w:sz w:val="16"/>
        </w:rPr>
        <w:t> </w:t>
      </w:r>
      <w:r>
        <w:rPr>
          <w:spacing w:val="-2"/>
          <w:w w:val="105"/>
          <w:sz w:val="16"/>
        </w:rPr>
        <w:t>the</w:t>
      </w:r>
      <w:r>
        <w:rPr>
          <w:spacing w:val="2"/>
          <w:w w:val="105"/>
          <w:sz w:val="16"/>
        </w:rPr>
        <w:t> </w:t>
      </w:r>
      <w:r>
        <w:rPr>
          <w:spacing w:val="-2"/>
          <w:w w:val="105"/>
          <w:sz w:val="16"/>
        </w:rPr>
        <w:t>Committee</w:t>
      </w:r>
      <w:r>
        <w:rPr>
          <w:spacing w:val="2"/>
          <w:w w:val="105"/>
          <w:sz w:val="16"/>
        </w:rPr>
        <w:t> </w:t>
      </w:r>
      <w:r>
        <w:rPr>
          <w:spacing w:val="-2"/>
          <w:w w:val="105"/>
          <w:sz w:val="16"/>
        </w:rPr>
        <w:t>of</w:t>
      </w:r>
      <w:r>
        <w:rPr>
          <w:spacing w:val="2"/>
          <w:w w:val="105"/>
          <w:sz w:val="16"/>
        </w:rPr>
        <w:t> </w:t>
      </w:r>
      <w:r>
        <w:rPr>
          <w:spacing w:val="-2"/>
          <w:w w:val="105"/>
          <w:sz w:val="16"/>
        </w:rPr>
        <w:t>Sponsoring</w:t>
      </w:r>
      <w:r>
        <w:rPr>
          <w:spacing w:val="2"/>
          <w:w w:val="105"/>
          <w:sz w:val="16"/>
        </w:rPr>
        <w:t> </w:t>
      </w:r>
      <w:r>
        <w:rPr>
          <w:spacing w:val="-2"/>
          <w:w w:val="105"/>
          <w:sz w:val="16"/>
        </w:rPr>
        <w:t>Organizations</w:t>
      </w:r>
      <w:r>
        <w:rPr>
          <w:spacing w:val="2"/>
          <w:w w:val="105"/>
          <w:sz w:val="16"/>
        </w:rPr>
        <w:t> </w:t>
      </w:r>
      <w:r>
        <w:rPr>
          <w:spacing w:val="-2"/>
          <w:w w:val="105"/>
          <w:sz w:val="16"/>
        </w:rPr>
        <w:t>of</w:t>
      </w:r>
      <w:r>
        <w:rPr>
          <w:spacing w:val="2"/>
          <w:w w:val="105"/>
          <w:sz w:val="16"/>
        </w:rPr>
        <w:t> </w:t>
      </w:r>
      <w:r>
        <w:rPr>
          <w:spacing w:val="-2"/>
          <w:w w:val="105"/>
          <w:sz w:val="16"/>
        </w:rPr>
        <w:t>the</w:t>
      </w:r>
      <w:r>
        <w:rPr>
          <w:spacing w:val="2"/>
          <w:w w:val="105"/>
          <w:sz w:val="16"/>
        </w:rPr>
        <w:t> </w:t>
      </w:r>
      <w:r>
        <w:rPr>
          <w:spacing w:val="-2"/>
          <w:w w:val="105"/>
          <w:sz w:val="16"/>
        </w:rPr>
        <w:t>Treadway</w:t>
      </w:r>
      <w:r>
        <w:rPr>
          <w:spacing w:val="2"/>
          <w:w w:val="105"/>
          <w:sz w:val="16"/>
        </w:rPr>
        <w:t> </w:t>
      </w:r>
      <w:r>
        <w:rPr>
          <w:spacing w:val="-2"/>
          <w:w w:val="105"/>
          <w:sz w:val="16"/>
        </w:rPr>
        <w:t>Commission.</w:t>
      </w:r>
    </w:p>
    <w:p>
      <w:pPr>
        <w:pStyle w:val="BodyText"/>
        <w:spacing w:before="2"/>
      </w:pPr>
    </w:p>
    <w:p>
      <w:pPr>
        <w:pStyle w:val="BodyText"/>
        <w:spacing w:line="266" w:lineRule="auto"/>
        <w:ind w:left="156" w:right="228"/>
      </w:pPr>
      <w:r>
        <w:rPr>
          <w:w w:val="105"/>
        </w:rPr>
        <w:t>Based</w:t>
      </w:r>
      <w:r>
        <w:rPr>
          <w:spacing w:val="-9"/>
          <w:w w:val="105"/>
        </w:rPr>
        <w:t> </w:t>
      </w:r>
      <w:r>
        <w:rPr>
          <w:w w:val="105"/>
        </w:rPr>
        <w:t>on</w:t>
      </w:r>
      <w:r>
        <w:rPr>
          <w:spacing w:val="-9"/>
          <w:w w:val="105"/>
        </w:rPr>
        <w:t> </w:t>
      </w:r>
      <w:r>
        <w:rPr>
          <w:w w:val="105"/>
        </w:rPr>
        <w:t>this</w:t>
      </w:r>
      <w:r>
        <w:rPr>
          <w:spacing w:val="-9"/>
          <w:w w:val="105"/>
        </w:rPr>
        <w:t> </w:t>
      </w:r>
      <w:r>
        <w:rPr>
          <w:w w:val="105"/>
        </w:rPr>
        <w:t>evaluation,</w:t>
      </w:r>
      <w:r>
        <w:rPr>
          <w:spacing w:val="-9"/>
          <w:w w:val="105"/>
        </w:rPr>
        <w:t> </w:t>
      </w:r>
      <w:r>
        <w:rPr>
          <w:w w:val="105"/>
        </w:rPr>
        <w:t>management</w:t>
      </w:r>
      <w:r>
        <w:rPr>
          <w:spacing w:val="-9"/>
          <w:w w:val="105"/>
        </w:rPr>
        <w:t> </w:t>
      </w:r>
      <w:r>
        <w:rPr>
          <w:w w:val="105"/>
        </w:rPr>
        <w:t>concluded</w:t>
      </w:r>
      <w:r>
        <w:rPr>
          <w:spacing w:val="-9"/>
          <w:w w:val="105"/>
        </w:rPr>
        <w:t> </w:t>
      </w:r>
      <w:r>
        <w:rPr>
          <w:w w:val="105"/>
        </w:rPr>
        <w:t>that</w:t>
      </w:r>
      <w:r>
        <w:rPr>
          <w:spacing w:val="-9"/>
          <w:w w:val="105"/>
        </w:rPr>
        <w:t> </w:t>
      </w:r>
      <w:r>
        <w:rPr>
          <w:w w:val="105"/>
        </w:rPr>
        <w:t>the</w:t>
      </w:r>
      <w:r>
        <w:rPr>
          <w:spacing w:val="-9"/>
          <w:w w:val="105"/>
        </w:rPr>
        <w:t> </w:t>
      </w:r>
      <w:r>
        <w:rPr>
          <w:w w:val="105"/>
        </w:rPr>
        <w:t>Company’s</w:t>
      </w:r>
      <w:r>
        <w:rPr>
          <w:spacing w:val="-9"/>
          <w:w w:val="105"/>
        </w:rPr>
        <w:t> </w:t>
      </w:r>
      <w:r>
        <w:rPr>
          <w:w w:val="105"/>
        </w:rPr>
        <w:t>internal</w:t>
      </w:r>
      <w:r>
        <w:rPr>
          <w:spacing w:val="-9"/>
          <w:w w:val="105"/>
        </w:rPr>
        <w:t> </w:t>
      </w:r>
      <w:r>
        <w:rPr>
          <w:w w:val="105"/>
        </w:rPr>
        <w:t>control</w:t>
      </w:r>
      <w:r>
        <w:rPr>
          <w:spacing w:val="-9"/>
          <w:w w:val="105"/>
        </w:rPr>
        <w:t> </w:t>
      </w:r>
      <w:r>
        <w:rPr>
          <w:w w:val="105"/>
        </w:rPr>
        <w:t>over</w:t>
      </w:r>
      <w:r>
        <w:rPr>
          <w:spacing w:val="-9"/>
          <w:w w:val="105"/>
        </w:rPr>
        <w:t> </w:t>
      </w:r>
      <w:r>
        <w:rPr>
          <w:w w:val="105"/>
        </w:rPr>
        <w:t>financial</w:t>
      </w:r>
      <w:r>
        <w:rPr>
          <w:spacing w:val="-9"/>
          <w:w w:val="105"/>
        </w:rPr>
        <w:t> </w:t>
      </w:r>
      <w:r>
        <w:rPr>
          <w:w w:val="105"/>
        </w:rPr>
        <w:t>reporting</w:t>
      </w:r>
      <w:r>
        <w:rPr>
          <w:spacing w:val="-9"/>
          <w:w w:val="105"/>
        </w:rPr>
        <w:t> </w:t>
      </w:r>
      <w:r>
        <w:rPr>
          <w:w w:val="105"/>
        </w:rPr>
        <w:t>was</w:t>
      </w:r>
      <w:r>
        <w:rPr>
          <w:spacing w:val="-7"/>
          <w:w w:val="105"/>
        </w:rPr>
        <w:t> </w:t>
      </w:r>
      <w:r>
        <w:rPr>
          <w:w w:val="105"/>
        </w:rPr>
        <w:t>effective</w:t>
      </w:r>
      <w:r>
        <w:rPr>
          <w:spacing w:val="-9"/>
          <w:w w:val="105"/>
        </w:rPr>
        <w:t> </w:t>
      </w: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2021.</w:t>
      </w:r>
      <w:r>
        <w:rPr>
          <w:spacing w:val="-9"/>
          <w:w w:val="105"/>
        </w:rPr>
        <w:t> </w:t>
      </w:r>
      <w:r>
        <w:rPr>
          <w:w w:val="105"/>
        </w:rPr>
        <w:t>The</w:t>
      </w:r>
      <w:r>
        <w:rPr>
          <w:spacing w:val="-9"/>
          <w:w w:val="105"/>
        </w:rPr>
        <w:t> </w:t>
      </w:r>
      <w:r>
        <w:rPr>
          <w:w w:val="105"/>
        </w:rPr>
        <w:t>effectiveness</w:t>
      </w:r>
      <w:r>
        <w:rPr>
          <w:spacing w:val="-9"/>
          <w:w w:val="105"/>
        </w:rPr>
        <w:t> </w:t>
      </w:r>
      <w:r>
        <w:rPr>
          <w:w w:val="105"/>
        </w:rPr>
        <w:t>of the</w:t>
      </w:r>
      <w:r>
        <w:rPr>
          <w:spacing w:val="-3"/>
          <w:w w:val="105"/>
        </w:rPr>
        <w:t> </w:t>
      </w:r>
      <w:r>
        <w:rPr>
          <w:w w:val="105"/>
        </w:rPr>
        <w:t>Company’s</w:t>
      </w:r>
      <w:r>
        <w:rPr>
          <w:spacing w:val="-3"/>
          <w:w w:val="105"/>
        </w:rPr>
        <w:t> </w:t>
      </w:r>
      <w:r>
        <w:rPr>
          <w:w w:val="105"/>
        </w:rPr>
        <w:t>internal</w:t>
      </w:r>
      <w:r>
        <w:rPr>
          <w:spacing w:val="-3"/>
          <w:w w:val="105"/>
        </w:rPr>
        <w:t> </w:t>
      </w:r>
      <w:r>
        <w:rPr>
          <w:w w:val="105"/>
        </w:rPr>
        <w:t>control</w:t>
      </w:r>
      <w:r>
        <w:rPr>
          <w:spacing w:val="-3"/>
          <w:w w:val="105"/>
        </w:rPr>
        <w:t> </w:t>
      </w:r>
      <w:r>
        <w:rPr>
          <w:w w:val="105"/>
        </w:rPr>
        <w:t>over</w:t>
      </w:r>
      <w:r>
        <w:rPr>
          <w:spacing w:val="-3"/>
          <w:w w:val="105"/>
        </w:rPr>
        <w:t> </w:t>
      </w:r>
      <w:r>
        <w:rPr>
          <w:w w:val="105"/>
        </w:rPr>
        <w:t>financial</w:t>
      </w:r>
      <w:r>
        <w:rPr>
          <w:spacing w:val="-3"/>
          <w:w w:val="105"/>
        </w:rPr>
        <w:t> </w:t>
      </w:r>
      <w:r>
        <w:rPr>
          <w:w w:val="105"/>
        </w:rPr>
        <w:t>reporting</w:t>
      </w:r>
      <w:r>
        <w:rPr>
          <w:spacing w:val="-3"/>
          <w:w w:val="105"/>
        </w:rPr>
        <w:t> </w:t>
      </w:r>
      <w:r>
        <w:rPr>
          <w:w w:val="105"/>
        </w:rPr>
        <w:t>as</w:t>
      </w:r>
      <w:r>
        <w:rPr>
          <w:spacing w:val="-3"/>
          <w:w w:val="105"/>
        </w:rPr>
        <w:t> </w:t>
      </w:r>
      <w:r>
        <w:rPr>
          <w:w w:val="105"/>
        </w:rPr>
        <w:t>of</w:t>
      </w:r>
      <w:r>
        <w:rPr>
          <w:spacing w:val="-3"/>
          <w:w w:val="105"/>
        </w:rPr>
        <w:t> </w:t>
      </w:r>
      <w:r>
        <w:rPr>
          <w:w w:val="105"/>
        </w:rPr>
        <w:t>December</w:t>
      </w:r>
      <w:r>
        <w:rPr>
          <w:spacing w:val="-3"/>
          <w:w w:val="105"/>
        </w:rPr>
        <w:t> </w:t>
      </w:r>
      <w:r>
        <w:rPr>
          <w:w w:val="105"/>
        </w:rPr>
        <w:t>31,</w:t>
      </w:r>
      <w:r>
        <w:rPr>
          <w:spacing w:val="-3"/>
          <w:w w:val="105"/>
        </w:rPr>
        <w:t> </w:t>
      </w:r>
      <w:r>
        <w:rPr>
          <w:w w:val="105"/>
        </w:rPr>
        <w:t>2021</w:t>
      </w:r>
      <w:r>
        <w:rPr>
          <w:spacing w:val="-3"/>
          <w:w w:val="105"/>
        </w:rPr>
        <w:t> </w:t>
      </w:r>
      <w:r>
        <w:rPr>
          <w:w w:val="105"/>
        </w:rPr>
        <w:t>has</w:t>
      </w:r>
      <w:r>
        <w:rPr>
          <w:spacing w:val="-3"/>
          <w:w w:val="105"/>
        </w:rPr>
        <w:t> </w:t>
      </w:r>
      <w:r>
        <w:rPr>
          <w:w w:val="105"/>
        </w:rPr>
        <w:t>been</w:t>
      </w:r>
      <w:r>
        <w:rPr>
          <w:spacing w:val="-1"/>
          <w:w w:val="105"/>
        </w:rPr>
        <w:t> </w:t>
      </w:r>
      <w:r>
        <w:rPr>
          <w:w w:val="105"/>
        </w:rPr>
        <w:t>audited</w:t>
      </w:r>
      <w:r>
        <w:rPr>
          <w:spacing w:val="-3"/>
          <w:w w:val="105"/>
        </w:rPr>
        <w:t> </w:t>
      </w:r>
      <w:r>
        <w:rPr>
          <w:w w:val="105"/>
        </w:rPr>
        <w:t>by</w:t>
      </w:r>
      <w:r>
        <w:rPr>
          <w:spacing w:val="-3"/>
          <w:w w:val="105"/>
        </w:rPr>
        <w:t> </w:t>
      </w:r>
      <w:r>
        <w:rPr>
          <w:w w:val="105"/>
        </w:rPr>
        <w:t>PricewaterhouseCoopers</w:t>
      </w:r>
      <w:r>
        <w:rPr>
          <w:spacing w:val="-3"/>
          <w:w w:val="105"/>
        </w:rPr>
        <w:t> </w:t>
      </w:r>
      <w:r>
        <w:rPr>
          <w:w w:val="105"/>
        </w:rPr>
        <w:t>LLP,</w:t>
      </w:r>
      <w:r>
        <w:rPr>
          <w:spacing w:val="-3"/>
          <w:w w:val="105"/>
        </w:rPr>
        <w:t> </w:t>
      </w:r>
      <w:r>
        <w:rPr>
          <w:w w:val="105"/>
        </w:rPr>
        <w:t>an</w:t>
      </w:r>
      <w:r>
        <w:rPr>
          <w:spacing w:val="-3"/>
          <w:w w:val="105"/>
        </w:rPr>
        <w:t> </w:t>
      </w:r>
      <w:r>
        <w:rPr>
          <w:w w:val="105"/>
        </w:rPr>
        <w:t>independent</w:t>
      </w:r>
      <w:r>
        <w:rPr>
          <w:spacing w:val="-3"/>
          <w:w w:val="105"/>
        </w:rPr>
        <w:t> </w:t>
      </w:r>
      <w:r>
        <w:rPr>
          <w:w w:val="105"/>
        </w:rPr>
        <w:t>registered</w:t>
      </w:r>
      <w:r>
        <w:rPr>
          <w:spacing w:val="-3"/>
          <w:w w:val="105"/>
        </w:rPr>
        <w:t> </w:t>
      </w:r>
      <w:r>
        <w:rPr>
          <w:w w:val="105"/>
        </w:rPr>
        <w:t>public accounting firm, as stated in their report and is included herein.</w:t>
      </w:r>
    </w:p>
    <w:p>
      <w:pPr>
        <w:pStyle w:val="ListParagraph"/>
        <w:numPr>
          <w:ilvl w:val="0"/>
          <w:numId w:val="20"/>
        </w:numPr>
        <w:tabs>
          <w:tab w:pos="461" w:val="left" w:leader="none"/>
        </w:tabs>
        <w:spacing w:line="240" w:lineRule="auto" w:before="164" w:after="0"/>
        <w:ind w:left="461" w:right="0" w:hanging="305"/>
        <w:jc w:val="left"/>
        <w:rPr>
          <w:sz w:val="16"/>
        </w:rPr>
      </w:pPr>
      <w:r>
        <w:rPr>
          <w:w w:val="105"/>
          <w:sz w:val="16"/>
          <w:u w:val="single"/>
        </w:rPr>
        <w:t>Changes</w:t>
      </w:r>
      <w:r>
        <w:rPr>
          <w:spacing w:val="-11"/>
          <w:w w:val="105"/>
          <w:sz w:val="16"/>
          <w:u w:val="single"/>
        </w:rPr>
        <w:t> </w:t>
      </w:r>
      <w:r>
        <w:rPr>
          <w:w w:val="105"/>
          <w:sz w:val="16"/>
          <w:u w:val="single"/>
        </w:rPr>
        <w:t>in</w:t>
      </w:r>
      <w:r>
        <w:rPr>
          <w:spacing w:val="-10"/>
          <w:w w:val="105"/>
          <w:sz w:val="16"/>
          <w:u w:val="single"/>
        </w:rPr>
        <w:t> </w:t>
      </w:r>
      <w:r>
        <w:rPr>
          <w:w w:val="105"/>
          <w:sz w:val="16"/>
          <w:u w:val="single"/>
        </w:rPr>
        <w:t>Internal</w:t>
      </w:r>
      <w:r>
        <w:rPr>
          <w:spacing w:val="-10"/>
          <w:w w:val="105"/>
          <w:sz w:val="16"/>
          <w:u w:val="single"/>
        </w:rPr>
        <w:t> </w:t>
      </w:r>
      <w:r>
        <w:rPr>
          <w:w w:val="105"/>
          <w:sz w:val="16"/>
          <w:u w:val="single"/>
        </w:rPr>
        <w:t>Control</w:t>
      </w:r>
      <w:r>
        <w:rPr>
          <w:spacing w:val="-11"/>
          <w:w w:val="105"/>
          <w:sz w:val="16"/>
          <w:u w:val="single"/>
        </w:rPr>
        <w:t> </w:t>
      </w:r>
      <w:r>
        <w:rPr>
          <w:w w:val="105"/>
          <w:sz w:val="16"/>
          <w:u w:val="single"/>
        </w:rPr>
        <w:t>Over</w:t>
      </w:r>
      <w:r>
        <w:rPr>
          <w:spacing w:val="-10"/>
          <w:w w:val="105"/>
          <w:sz w:val="16"/>
          <w:u w:val="single"/>
        </w:rPr>
        <w:t> </w:t>
      </w:r>
      <w:r>
        <w:rPr>
          <w:w w:val="105"/>
          <w:sz w:val="16"/>
          <w:u w:val="single"/>
        </w:rPr>
        <w:t>Financial</w:t>
      </w:r>
      <w:r>
        <w:rPr>
          <w:spacing w:val="-10"/>
          <w:w w:val="105"/>
          <w:sz w:val="16"/>
          <w:u w:val="single"/>
        </w:rPr>
        <w:t> </w:t>
      </w:r>
      <w:r>
        <w:rPr>
          <w:spacing w:val="-2"/>
          <w:w w:val="105"/>
          <w:sz w:val="16"/>
          <w:u w:val="single"/>
        </w:rPr>
        <w:t>Reporting</w:t>
      </w:r>
    </w:p>
    <w:p>
      <w:pPr>
        <w:pStyle w:val="BodyText"/>
        <w:spacing w:before="40"/>
      </w:pPr>
    </w:p>
    <w:p>
      <w:pPr>
        <w:pStyle w:val="BodyText"/>
        <w:spacing w:line="266" w:lineRule="auto"/>
        <w:ind w:left="156" w:right="348"/>
      </w:pPr>
      <w:r>
        <w:rPr>
          <w:w w:val="105"/>
        </w:rPr>
        <w:t>There</w:t>
      </w:r>
      <w:r>
        <w:rPr>
          <w:spacing w:val="-8"/>
          <w:w w:val="105"/>
        </w:rPr>
        <w:t> </w:t>
      </w:r>
      <w:r>
        <w:rPr>
          <w:w w:val="105"/>
        </w:rPr>
        <w:t>were</w:t>
      </w:r>
      <w:r>
        <w:rPr>
          <w:spacing w:val="-8"/>
          <w:w w:val="105"/>
        </w:rPr>
        <w:t> </w:t>
      </w:r>
      <w:r>
        <w:rPr>
          <w:w w:val="105"/>
        </w:rPr>
        <w:t>no</w:t>
      </w:r>
      <w:r>
        <w:rPr>
          <w:spacing w:val="-8"/>
          <w:w w:val="105"/>
        </w:rPr>
        <w:t> </w:t>
      </w:r>
      <w:r>
        <w:rPr>
          <w:w w:val="105"/>
        </w:rPr>
        <w:t>changes</w:t>
      </w:r>
      <w:r>
        <w:rPr>
          <w:spacing w:val="-8"/>
          <w:w w:val="105"/>
        </w:rPr>
        <w:t> </w:t>
      </w:r>
      <w:r>
        <w:rPr>
          <w:w w:val="105"/>
        </w:rPr>
        <w:t>in</w:t>
      </w:r>
      <w:r>
        <w:rPr>
          <w:spacing w:val="-8"/>
          <w:w w:val="105"/>
        </w:rPr>
        <w:t> </w:t>
      </w:r>
      <w:r>
        <w:rPr>
          <w:w w:val="105"/>
        </w:rPr>
        <w:t>the</w:t>
      </w:r>
      <w:r>
        <w:rPr>
          <w:spacing w:val="-8"/>
          <w:w w:val="105"/>
        </w:rPr>
        <w:t> </w:t>
      </w:r>
      <w:r>
        <w:rPr>
          <w:w w:val="105"/>
        </w:rPr>
        <w:t>Company’s</w:t>
      </w:r>
      <w:r>
        <w:rPr>
          <w:spacing w:val="-8"/>
          <w:w w:val="105"/>
        </w:rPr>
        <w:t> </w:t>
      </w:r>
      <w:r>
        <w:rPr>
          <w:w w:val="105"/>
        </w:rPr>
        <w:t>internal</w:t>
      </w:r>
      <w:r>
        <w:rPr>
          <w:spacing w:val="-8"/>
          <w:w w:val="105"/>
        </w:rPr>
        <w:t> </w:t>
      </w:r>
      <w:r>
        <w:rPr>
          <w:w w:val="105"/>
        </w:rPr>
        <w:t>control</w:t>
      </w:r>
      <w:r>
        <w:rPr>
          <w:spacing w:val="-8"/>
          <w:w w:val="105"/>
        </w:rPr>
        <w:t> </w:t>
      </w:r>
      <w:r>
        <w:rPr>
          <w:w w:val="105"/>
        </w:rPr>
        <w:t>over</w:t>
      </w:r>
      <w:r>
        <w:rPr>
          <w:spacing w:val="-6"/>
          <w:w w:val="105"/>
        </w:rPr>
        <w:t> </w:t>
      </w:r>
      <w:r>
        <w:rPr>
          <w:w w:val="105"/>
        </w:rPr>
        <w:t>financial</w:t>
      </w:r>
      <w:r>
        <w:rPr>
          <w:spacing w:val="-8"/>
          <w:w w:val="105"/>
        </w:rPr>
        <w:t> </w:t>
      </w:r>
      <w:r>
        <w:rPr>
          <w:w w:val="105"/>
        </w:rPr>
        <w:t>reporting</w:t>
      </w:r>
      <w:r>
        <w:rPr>
          <w:spacing w:val="-8"/>
          <w:w w:val="105"/>
        </w:rPr>
        <w:t> </w:t>
      </w:r>
      <w:r>
        <w:rPr>
          <w:w w:val="105"/>
        </w:rPr>
        <w:t>identified</w:t>
      </w:r>
      <w:r>
        <w:rPr>
          <w:spacing w:val="-8"/>
          <w:w w:val="105"/>
        </w:rPr>
        <w:t> </w:t>
      </w:r>
      <w:r>
        <w:rPr>
          <w:w w:val="105"/>
        </w:rPr>
        <w:t>by</w:t>
      </w:r>
      <w:r>
        <w:rPr>
          <w:spacing w:val="-8"/>
          <w:w w:val="105"/>
        </w:rPr>
        <w:t> </w:t>
      </w:r>
      <w:r>
        <w:rPr>
          <w:w w:val="105"/>
        </w:rPr>
        <w:t>the</w:t>
      </w:r>
      <w:r>
        <w:rPr>
          <w:spacing w:val="-8"/>
          <w:w w:val="105"/>
        </w:rPr>
        <w:t> </w:t>
      </w:r>
      <w:r>
        <w:rPr>
          <w:w w:val="105"/>
        </w:rPr>
        <w:t>evaluation</w:t>
      </w:r>
      <w:r>
        <w:rPr>
          <w:spacing w:val="-8"/>
          <w:w w:val="105"/>
        </w:rPr>
        <w:t> </w:t>
      </w:r>
      <w:r>
        <w:rPr>
          <w:w w:val="105"/>
        </w:rPr>
        <w:t>required</w:t>
      </w:r>
      <w:r>
        <w:rPr>
          <w:spacing w:val="-8"/>
          <w:w w:val="105"/>
        </w:rPr>
        <w:t> </w:t>
      </w:r>
      <w:r>
        <w:rPr>
          <w:w w:val="105"/>
        </w:rPr>
        <w:t>by</w:t>
      </w:r>
      <w:r>
        <w:rPr>
          <w:spacing w:val="-8"/>
          <w:w w:val="105"/>
        </w:rPr>
        <w:t> </w:t>
      </w:r>
      <w:r>
        <w:rPr>
          <w:w w:val="105"/>
        </w:rPr>
        <w:t>paragraph</w:t>
      </w:r>
      <w:r>
        <w:rPr>
          <w:spacing w:val="-8"/>
          <w:w w:val="105"/>
        </w:rPr>
        <w:t> </w:t>
      </w:r>
      <w:r>
        <w:rPr>
          <w:w w:val="105"/>
        </w:rPr>
        <w:t>(d)</w:t>
      </w:r>
      <w:r>
        <w:rPr>
          <w:spacing w:val="-8"/>
          <w:w w:val="105"/>
        </w:rPr>
        <w:t> </w:t>
      </w:r>
      <w:r>
        <w:rPr>
          <w:w w:val="105"/>
        </w:rPr>
        <w:t>of</w:t>
      </w:r>
      <w:r>
        <w:rPr>
          <w:spacing w:val="-8"/>
          <w:w w:val="105"/>
        </w:rPr>
        <w:t> </w:t>
      </w:r>
      <w:r>
        <w:rPr>
          <w:w w:val="105"/>
        </w:rPr>
        <w:t>Exchange</w:t>
      </w:r>
      <w:r>
        <w:rPr>
          <w:spacing w:val="-8"/>
          <w:w w:val="105"/>
        </w:rPr>
        <w:t> </w:t>
      </w:r>
      <w:r>
        <w:rPr>
          <w:w w:val="105"/>
        </w:rPr>
        <w:t>Act</w:t>
      </w:r>
      <w:r>
        <w:rPr>
          <w:spacing w:val="-8"/>
          <w:w w:val="105"/>
        </w:rPr>
        <w:t> </w:t>
      </w:r>
      <w:r>
        <w:rPr>
          <w:w w:val="105"/>
        </w:rPr>
        <w:t>Rules</w:t>
      </w:r>
      <w:r>
        <w:rPr>
          <w:spacing w:val="-8"/>
          <w:w w:val="105"/>
        </w:rPr>
        <w:t> </w:t>
      </w:r>
      <w:r>
        <w:rPr>
          <w:w w:val="105"/>
        </w:rPr>
        <w:t>13a-15</w:t>
      </w:r>
      <w:r>
        <w:rPr>
          <w:spacing w:val="-8"/>
          <w:w w:val="105"/>
        </w:rPr>
        <w:t> </w:t>
      </w:r>
      <w:r>
        <w:rPr>
          <w:w w:val="105"/>
        </w:rPr>
        <w:t>or 15d-15</w:t>
      </w:r>
      <w:r>
        <w:rPr>
          <w:spacing w:val="-2"/>
          <w:w w:val="105"/>
        </w:rPr>
        <w:t> </w:t>
      </w:r>
      <w:r>
        <w:rPr>
          <w:w w:val="105"/>
        </w:rPr>
        <w:t>that</w:t>
      </w:r>
      <w:r>
        <w:rPr>
          <w:spacing w:val="-2"/>
          <w:w w:val="105"/>
        </w:rPr>
        <w:t> </w:t>
      </w:r>
      <w:r>
        <w:rPr>
          <w:w w:val="105"/>
        </w:rPr>
        <w:t>occurred</w:t>
      </w:r>
      <w:r>
        <w:rPr>
          <w:spacing w:val="-4"/>
          <w:w w:val="105"/>
        </w:rPr>
        <w:t> </w:t>
      </w:r>
      <w:r>
        <w:rPr>
          <w:w w:val="105"/>
        </w:rPr>
        <w:t>during</w:t>
      </w:r>
      <w:r>
        <w:rPr>
          <w:spacing w:val="-2"/>
          <w:w w:val="105"/>
        </w:rPr>
        <w:t> </w:t>
      </w:r>
      <w:r>
        <w:rPr>
          <w:w w:val="105"/>
        </w:rPr>
        <w:t>the</w:t>
      </w:r>
      <w:r>
        <w:rPr>
          <w:spacing w:val="-2"/>
          <w:w w:val="105"/>
        </w:rPr>
        <w:t> </w:t>
      </w:r>
      <w:r>
        <w:rPr>
          <w:w w:val="105"/>
        </w:rPr>
        <w:t>most</w:t>
      </w:r>
      <w:r>
        <w:rPr>
          <w:spacing w:val="-2"/>
          <w:w w:val="105"/>
        </w:rPr>
        <w:t> </w:t>
      </w:r>
      <w:r>
        <w:rPr>
          <w:w w:val="105"/>
        </w:rPr>
        <w:t>recently</w:t>
      </w:r>
      <w:r>
        <w:rPr>
          <w:spacing w:val="-2"/>
          <w:w w:val="105"/>
        </w:rPr>
        <w:t> </w:t>
      </w:r>
      <w:r>
        <w:rPr>
          <w:w w:val="105"/>
        </w:rPr>
        <w:t>completed</w:t>
      </w:r>
      <w:r>
        <w:rPr>
          <w:spacing w:val="-2"/>
          <w:w w:val="105"/>
        </w:rPr>
        <w:t> </w:t>
      </w:r>
      <w:r>
        <w:rPr>
          <w:w w:val="105"/>
        </w:rPr>
        <w:t>fiscal</w:t>
      </w:r>
      <w:r>
        <w:rPr>
          <w:spacing w:val="-2"/>
          <w:w w:val="105"/>
        </w:rPr>
        <w:t> </w:t>
      </w:r>
      <w:r>
        <w:rPr>
          <w:w w:val="105"/>
        </w:rPr>
        <w:t>quarter</w:t>
      </w:r>
      <w:r>
        <w:rPr>
          <w:spacing w:val="-2"/>
          <w:w w:val="105"/>
        </w:rPr>
        <w:t> </w:t>
      </w:r>
      <w:r>
        <w:rPr>
          <w:w w:val="105"/>
        </w:rPr>
        <w:t>that</w:t>
      </w:r>
      <w:r>
        <w:rPr>
          <w:spacing w:val="-2"/>
          <w:w w:val="105"/>
        </w:rPr>
        <w:t> </w:t>
      </w:r>
      <w:r>
        <w:rPr>
          <w:w w:val="105"/>
        </w:rPr>
        <w:t>have</w:t>
      </w:r>
      <w:r>
        <w:rPr>
          <w:spacing w:val="-4"/>
          <w:w w:val="105"/>
        </w:rPr>
        <w:t> </w:t>
      </w:r>
      <w:r>
        <w:rPr>
          <w:w w:val="105"/>
        </w:rPr>
        <w:t>materially</w:t>
      </w:r>
      <w:r>
        <w:rPr>
          <w:spacing w:val="-2"/>
          <w:w w:val="105"/>
        </w:rPr>
        <w:t> </w:t>
      </w:r>
      <w:r>
        <w:rPr>
          <w:w w:val="105"/>
        </w:rPr>
        <w:t>affected,</w:t>
      </w:r>
      <w:r>
        <w:rPr>
          <w:spacing w:val="-2"/>
          <w:w w:val="105"/>
        </w:rPr>
        <w:t> </w:t>
      </w:r>
      <w:r>
        <w:rPr>
          <w:w w:val="105"/>
        </w:rPr>
        <w:t>or</w:t>
      </w:r>
      <w:r>
        <w:rPr>
          <w:spacing w:val="-2"/>
          <w:w w:val="105"/>
        </w:rPr>
        <w:t> </w:t>
      </w:r>
      <w:r>
        <w:rPr>
          <w:w w:val="105"/>
        </w:rPr>
        <w:t>are</w:t>
      </w:r>
      <w:r>
        <w:rPr>
          <w:spacing w:val="-2"/>
          <w:w w:val="105"/>
        </w:rPr>
        <w:t> </w:t>
      </w:r>
      <w:r>
        <w:rPr>
          <w:w w:val="105"/>
        </w:rPr>
        <w:t>reasonably</w:t>
      </w:r>
      <w:r>
        <w:rPr>
          <w:spacing w:val="-2"/>
          <w:w w:val="105"/>
        </w:rPr>
        <w:t> </w:t>
      </w:r>
      <w:r>
        <w:rPr>
          <w:w w:val="105"/>
        </w:rPr>
        <w:t>likely</w:t>
      </w:r>
      <w:r>
        <w:rPr>
          <w:spacing w:val="-2"/>
          <w:w w:val="105"/>
        </w:rPr>
        <w:t> </w:t>
      </w:r>
      <w:r>
        <w:rPr>
          <w:w w:val="105"/>
        </w:rPr>
        <w:t>to</w:t>
      </w:r>
      <w:r>
        <w:rPr>
          <w:spacing w:val="-2"/>
          <w:w w:val="105"/>
        </w:rPr>
        <w:t> </w:t>
      </w:r>
      <w:r>
        <w:rPr>
          <w:w w:val="105"/>
        </w:rPr>
        <w:t>materially</w:t>
      </w:r>
      <w:r>
        <w:rPr>
          <w:spacing w:val="-2"/>
          <w:w w:val="105"/>
        </w:rPr>
        <w:t> </w:t>
      </w:r>
      <w:r>
        <w:rPr>
          <w:w w:val="105"/>
        </w:rPr>
        <w:t>affect,</w:t>
      </w:r>
      <w:r>
        <w:rPr>
          <w:spacing w:val="-2"/>
          <w:w w:val="105"/>
        </w:rPr>
        <w:t> </w:t>
      </w:r>
      <w:r>
        <w:rPr>
          <w:w w:val="105"/>
        </w:rPr>
        <w:t>internal</w:t>
      </w:r>
      <w:r>
        <w:rPr>
          <w:spacing w:val="-4"/>
          <w:w w:val="105"/>
        </w:rPr>
        <w:t> </w:t>
      </w:r>
      <w:r>
        <w:rPr>
          <w:w w:val="105"/>
        </w:rPr>
        <w:t>control</w:t>
      </w:r>
      <w:r>
        <w:rPr>
          <w:spacing w:val="-2"/>
          <w:w w:val="105"/>
        </w:rPr>
        <w:t> </w:t>
      </w:r>
      <w:r>
        <w:rPr>
          <w:w w:val="105"/>
        </w:rPr>
        <w:t>over financial</w:t>
      </w:r>
      <w:r>
        <w:rPr>
          <w:spacing w:val="-1"/>
          <w:w w:val="105"/>
        </w:rPr>
        <w:t> </w:t>
      </w:r>
      <w:r>
        <w:rPr>
          <w:w w:val="105"/>
        </w:rPr>
        <w:t>reporting.</w:t>
      </w:r>
    </w:p>
    <w:p>
      <w:pPr>
        <w:pStyle w:val="BodyText"/>
        <w:spacing w:before="18"/>
      </w:pPr>
    </w:p>
    <w:p>
      <w:pPr>
        <w:spacing w:before="0"/>
        <w:ind w:left="156" w:right="0" w:firstLine="0"/>
        <w:jc w:val="left"/>
        <w:rPr>
          <w:b/>
          <w:sz w:val="16"/>
        </w:rPr>
      </w:pPr>
      <w:r>
        <w:rPr>
          <w:b/>
          <w:w w:val="105"/>
          <w:sz w:val="16"/>
          <w:u w:val="single"/>
        </w:rPr>
        <w:t>Item</w:t>
      </w:r>
      <w:r>
        <w:rPr>
          <w:b/>
          <w:spacing w:val="-8"/>
          <w:w w:val="105"/>
          <w:sz w:val="16"/>
          <w:u w:val="single"/>
        </w:rPr>
        <w:t> </w:t>
      </w:r>
      <w:r>
        <w:rPr>
          <w:b/>
          <w:w w:val="105"/>
          <w:sz w:val="16"/>
          <w:u w:val="single"/>
        </w:rPr>
        <w:t>9B.</w:t>
      </w:r>
      <w:r>
        <w:rPr>
          <w:b/>
          <w:spacing w:val="-7"/>
          <w:w w:val="105"/>
          <w:sz w:val="16"/>
          <w:u w:val="single"/>
        </w:rPr>
        <w:t> </w:t>
      </w:r>
      <w:r>
        <w:rPr>
          <w:b/>
          <w:w w:val="105"/>
          <w:sz w:val="16"/>
          <w:u w:val="single"/>
        </w:rPr>
        <w:t>Other</w:t>
      </w:r>
      <w:r>
        <w:rPr>
          <w:b/>
          <w:spacing w:val="-8"/>
          <w:w w:val="105"/>
          <w:sz w:val="16"/>
          <w:u w:val="single"/>
        </w:rPr>
        <w:t> </w:t>
      </w:r>
      <w:r>
        <w:rPr>
          <w:b/>
          <w:spacing w:val="-2"/>
          <w:w w:val="105"/>
          <w:sz w:val="16"/>
          <w:u w:val="single"/>
        </w:rPr>
        <w:t>Information</w:t>
      </w:r>
    </w:p>
    <w:p>
      <w:pPr>
        <w:pStyle w:val="BodyText"/>
        <w:spacing w:before="40"/>
        <w:rPr>
          <w:b/>
        </w:rPr>
      </w:pPr>
    </w:p>
    <w:p>
      <w:pPr>
        <w:pStyle w:val="BodyText"/>
        <w:ind w:left="156"/>
      </w:pPr>
      <w:r>
        <w:rPr>
          <w:spacing w:val="-2"/>
          <w:w w:val="105"/>
        </w:rPr>
        <w:t>None.</w:t>
      </w:r>
    </w:p>
    <w:p>
      <w:pPr>
        <w:pStyle w:val="BodyText"/>
        <w:spacing w:before="40"/>
      </w:pPr>
    </w:p>
    <w:p>
      <w:pPr>
        <w:spacing w:before="0"/>
        <w:ind w:left="156" w:right="0" w:firstLine="0"/>
        <w:jc w:val="left"/>
        <w:rPr>
          <w:b/>
          <w:sz w:val="16"/>
        </w:rPr>
      </w:pPr>
      <w:r>
        <w:rPr>
          <w:b/>
          <w:sz w:val="16"/>
          <w:u w:val="single"/>
        </w:rPr>
        <w:t>Item</w:t>
      </w:r>
      <w:r>
        <w:rPr>
          <w:b/>
          <w:spacing w:val="14"/>
          <w:sz w:val="16"/>
          <w:u w:val="single"/>
        </w:rPr>
        <w:t> </w:t>
      </w:r>
      <w:r>
        <w:rPr>
          <w:b/>
          <w:sz w:val="16"/>
          <w:u w:val="single"/>
        </w:rPr>
        <w:t>9C.</w:t>
      </w:r>
      <w:r>
        <w:rPr>
          <w:b/>
          <w:spacing w:val="15"/>
          <w:sz w:val="16"/>
          <w:u w:val="single"/>
        </w:rPr>
        <w:t> </w:t>
      </w:r>
      <w:r>
        <w:rPr>
          <w:b/>
          <w:sz w:val="16"/>
          <w:u w:val="single"/>
        </w:rPr>
        <w:t>Disclosure</w:t>
      </w:r>
      <w:r>
        <w:rPr>
          <w:b/>
          <w:spacing w:val="15"/>
          <w:sz w:val="16"/>
          <w:u w:val="single"/>
        </w:rPr>
        <w:t> </w:t>
      </w:r>
      <w:r>
        <w:rPr>
          <w:b/>
          <w:sz w:val="16"/>
          <w:u w:val="single"/>
        </w:rPr>
        <w:t>Regarding</w:t>
      </w:r>
      <w:r>
        <w:rPr>
          <w:b/>
          <w:spacing w:val="15"/>
          <w:sz w:val="16"/>
          <w:u w:val="single"/>
        </w:rPr>
        <w:t> </w:t>
      </w:r>
      <w:r>
        <w:rPr>
          <w:b/>
          <w:sz w:val="16"/>
          <w:u w:val="single"/>
        </w:rPr>
        <w:t>Foreign</w:t>
      </w:r>
      <w:r>
        <w:rPr>
          <w:b/>
          <w:spacing w:val="14"/>
          <w:sz w:val="16"/>
          <w:u w:val="single"/>
        </w:rPr>
        <w:t> </w:t>
      </w:r>
      <w:r>
        <w:rPr>
          <w:b/>
          <w:sz w:val="16"/>
          <w:u w:val="single"/>
        </w:rPr>
        <w:t>Jurisdictions</w:t>
      </w:r>
      <w:r>
        <w:rPr>
          <w:b/>
          <w:spacing w:val="15"/>
          <w:sz w:val="16"/>
          <w:u w:val="single"/>
        </w:rPr>
        <w:t> </w:t>
      </w:r>
      <w:r>
        <w:rPr>
          <w:b/>
          <w:sz w:val="16"/>
          <w:u w:val="single"/>
        </w:rPr>
        <w:t>that</w:t>
      </w:r>
      <w:r>
        <w:rPr>
          <w:b/>
          <w:spacing w:val="15"/>
          <w:sz w:val="16"/>
          <w:u w:val="single"/>
        </w:rPr>
        <w:t> </w:t>
      </w:r>
      <w:r>
        <w:rPr>
          <w:b/>
          <w:sz w:val="16"/>
          <w:u w:val="single"/>
        </w:rPr>
        <w:t>Prevent</w:t>
      </w:r>
      <w:r>
        <w:rPr>
          <w:b/>
          <w:spacing w:val="15"/>
          <w:sz w:val="16"/>
          <w:u w:val="single"/>
        </w:rPr>
        <w:t> </w:t>
      </w:r>
      <w:r>
        <w:rPr>
          <w:b/>
          <w:spacing w:val="-2"/>
          <w:sz w:val="16"/>
          <w:u w:val="single"/>
        </w:rPr>
        <w:t>Inspections</w:t>
      </w:r>
    </w:p>
    <w:p>
      <w:pPr>
        <w:pStyle w:val="BodyText"/>
        <w:spacing w:before="39"/>
        <w:rPr>
          <w:b/>
        </w:rPr>
      </w:pPr>
    </w:p>
    <w:p>
      <w:pPr>
        <w:pStyle w:val="BodyText"/>
        <w:ind w:left="156"/>
      </w:pPr>
      <w:r>
        <w:rPr>
          <w:spacing w:val="-2"/>
          <w:w w:val="105"/>
        </w:rPr>
        <w:t>None.</w:t>
      </w:r>
    </w:p>
    <w:p>
      <w:pPr>
        <w:pStyle w:val="BodyText"/>
        <w:spacing w:before="40"/>
      </w:pPr>
    </w:p>
    <w:p>
      <w:pPr>
        <w:pStyle w:val="BodyText"/>
        <w:ind w:left="48"/>
        <w:jc w:val="center"/>
      </w:pPr>
      <w:r>
        <w:rPr>
          <w:spacing w:val="-5"/>
          <w:w w:val="105"/>
        </w:rPr>
        <w:t>51</w:t>
      </w:r>
    </w:p>
    <w:p>
      <w:pPr>
        <w:pStyle w:val="BodyText"/>
        <w:rPr>
          <w:sz w:val="6"/>
        </w:rPr>
      </w:pPr>
      <w:r>
        <w:rPr/>
        <mc:AlternateContent>
          <mc:Choice Requires="wps">
            <w:drawing>
              <wp:anchor distT="0" distB="0" distL="0" distR="0" allowOverlap="1" layoutInCell="1" locked="0" behindDoc="1" simplePos="0" relativeHeight="487625216">
                <wp:simplePos x="0" y="0"/>
                <wp:positionH relativeFrom="page">
                  <wp:posOffset>226488</wp:posOffset>
                </wp:positionH>
                <wp:positionV relativeFrom="paragraph">
                  <wp:posOffset>59163</wp:posOffset>
                </wp:positionV>
                <wp:extent cx="7312659" cy="1651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8524pt;width:575.775087pt;height:1.273839pt;mso-position-horizontal-relative:page;mso-position-vertical-relative:paragraph;z-index:-15691264;mso-wrap-distance-left:0;mso-wrap-distance-right:0" id="docshape82"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pPr>
    </w:p>
    <w:p>
      <w:pPr>
        <w:pStyle w:val="BodyText"/>
        <w:spacing w:before="58"/>
      </w:pPr>
    </w:p>
    <w:p>
      <w:pPr>
        <w:pStyle w:val="Heading1"/>
        <w:ind w:left="48"/>
        <w:jc w:val="center"/>
      </w:pPr>
      <w:r>
        <w:rPr>
          <w:spacing w:val="-2"/>
          <w:w w:val="105"/>
        </w:rPr>
        <w:t>PART</w:t>
      </w:r>
      <w:r>
        <w:rPr>
          <w:spacing w:val="-5"/>
          <w:w w:val="105"/>
        </w:rPr>
        <w:t> III</w:t>
      </w:r>
    </w:p>
    <w:p>
      <w:pPr>
        <w:pStyle w:val="BodyText"/>
        <w:spacing w:before="39"/>
        <w:rPr>
          <w:b/>
        </w:rPr>
      </w:pPr>
    </w:p>
    <w:p>
      <w:pPr>
        <w:spacing w:before="1"/>
        <w:ind w:left="156" w:right="0" w:firstLine="0"/>
        <w:jc w:val="left"/>
        <w:rPr>
          <w:b/>
          <w:sz w:val="16"/>
        </w:rPr>
      </w:pPr>
      <w:r>
        <w:rPr>
          <w:b/>
          <w:sz w:val="16"/>
          <w:u w:val="single"/>
        </w:rPr>
        <w:t>Item</w:t>
      </w:r>
      <w:r>
        <w:rPr>
          <w:b/>
          <w:spacing w:val="14"/>
          <w:sz w:val="16"/>
          <w:u w:val="single"/>
        </w:rPr>
        <w:t> </w:t>
      </w:r>
      <w:r>
        <w:rPr>
          <w:b/>
          <w:sz w:val="16"/>
          <w:u w:val="single"/>
        </w:rPr>
        <w:t>10.</w:t>
      </w:r>
      <w:r>
        <w:rPr>
          <w:b/>
          <w:spacing w:val="15"/>
          <w:sz w:val="16"/>
          <w:u w:val="single"/>
        </w:rPr>
        <w:t> </w:t>
      </w:r>
      <w:r>
        <w:rPr>
          <w:b/>
          <w:sz w:val="16"/>
          <w:u w:val="single"/>
        </w:rPr>
        <w:t>Directors,</w:t>
      </w:r>
      <w:r>
        <w:rPr>
          <w:b/>
          <w:spacing w:val="14"/>
          <w:sz w:val="16"/>
          <w:u w:val="single"/>
        </w:rPr>
        <w:t> </w:t>
      </w:r>
      <w:r>
        <w:rPr>
          <w:b/>
          <w:sz w:val="16"/>
          <w:u w:val="single"/>
        </w:rPr>
        <w:t>Executive</w:t>
      </w:r>
      <w:r>
        <w:rPr>
          <w:b/>
          <w:spacing w:val="15"/>
          <w:sz w:val="16"/>
          <w:u w:val="single"/>
        </w:rPr>
        <w:t> </w:t>
      </w:r>
      <w:r>
        <w:rPr>
          <w:b/>
          <w:sz w:val="16"/>
          <w:u w:val="single"/>
        </w:rPr>
        <w:t>Officers</w:t>
      </w:r>
      <w:r>
        <w:rPr>
          <w:b/>
          <w:spacing w:val="15"/>
          <w:sz w:val="16"/>
          <w:u w:val="single"/>
        </w:rPr>
        <w:t> </w:t>
      </w:r>
      <w:r>
        <w:rPr>
          <w:b/>
          <w:sz w:val="16"/>
          <w:u w:val="single"/>
        </w:rPr>
        <w:t>and</w:t>
      </w:r>
      <w:r>
        <w:rPr>
          <w:b/>
          <w:spacing w:val="14"/>
          <w:sz w:val="16"/>
          <w:u w:val="single"/>
        </w:rPr>
        <w:t> </w:t>
      </w:r>
      <w:r>
        <w:rPr>
          <w:b/>
          <w:sz w:val="16"/>
          <w:u w:val="single"/>
        </w:rPr>
        <w:t>Corporate</w:t>
      </w:r>
      <w:r>
        <w:rPr>
          <w:b/>
          <w:spacing w:val="15"/>
          <w:sz w:val="16"/>
          <w:u w:val="single"/>
        </w:rPr>
        <w:t> </w:t>
      </w:r>
      <w:r>
        <w:rPr>
          <w:b/>
          <w:spacing w:val="-2"/>
          <w:sz w:val="16"/>
          <w:u w:val="single"/>
        </w:rPr>
        <w:t>Governance</w:t>
      </w:r>
    </w:p>
    <w:p>
      <w:pPr>
        <w:pStyle w:val="BodyText"/>
        <w:spacing w:before="39"/>
        <w:rPr>
          <w:b/>
        </w:rPr>
      </w:pPr>
    </w:p>
    <w:p>
      <w:pPr>
        <w:pStyle w:val="BodyText"/>
        <w:spacing w:line="266" w:lineRule="auto"/>
        <w:ind w:left="156"/>
      </w:pPr>
      <w:r>
        <w:rPr>
          <w:w w:val="105"/>
        </w:rPr>
        <w:t>The</w:t>
      </w:r>
      <w:r>
        <w:rPr>
          <w:spacing w:val="-9"/>
          <w:w w:val="105"/>
        </w:rPr>
        <w:t> </w:t>
      </w:r>
      <w:r>
        <w:rPr>
          <w:w w:val="105"/>
        </w:rPr>
        <w:t>sections</w:t>
      </w:r>
      <w:r>
        <w:rPr>
          <w:spacing w:val="-9"/>
          <w:w w:val="105"/>
        </w:rPr>
        <w:t> </w:t>
      </w:r>
      <w:r>
        <w:rPr>
          <w:w w:val="105"/>
        </w:rPr>
        <w:t>titled</w:t>
      </w:r>
      <w:r>
        <w:rPr>
          <w:spacing w:val="-9"/>
          <w:w w:val="105"/>
        </w:rPr>
        <w:t> </w:t>
      </w:r>
      <w:r>
        <w:rPr>
          <w:w w:val="105"/>
        </w:rPr>
        <w:t>“Proposal</w:t>
      </w:r>
      <w:r>
        <w:rPr>
          <w:spacing w:val="-9"/>
          <w:w w:val="105"/>
        </w:rPr>
        <w:t> </w:t>
      </w:r>
      <w:r>
        <w:rPr>
          <w:w w:val="105"/>
        </w:rPr>
        <w:t>1</w:t>
      </w:r>
      <w:r>
        <w:rPr>
          <w:spacing w:val="-9"/>
          <w:w w:val="105"/>
        </w:rPr>
        <w:t> </w:t>
      </w:r>
      <w:r>
        <w:rPr>
          <w:w w:val="105"/>
        </w:rPr>
        <w:t>Election</w:t>
      </w:r>
      <w:r>
        <w:rPr>
          <w:spacing w:val="-9"/>
          <w:w w:val="105"/>
        </w:rPr>
        <w:t> </w:t>
      </w:r>
      <w:r>
        <w:rPr>
          <w:w w:val="105"/>
        </w:rPr>
        <w:t>of</w:t>
      </w:r>
      <w:r>
        <w:rPr>
          <w:spacing w:val="-9"/>
          <w:w w:val="105"/>
        </w:rPr>
        <w:t> </w:t>
      </w:r>
      <w:r>
        <w:rPr>
          <w:w w:val="105"/>
        </w:rPr>
        <w:t>Directors,”</w:t>
      </w:r>
      <w:r>
        <w:rPr>
          <w:spacing w:val="-7"/>
          <w:w w:val="105"/>
        </w:rPr>
        <w:t> </w:t>
      </w:r>
      <w:r>
        <w:rPr>
          <w:w w:val="105"/>
        </w:rPr>
        <w:t>“Corporate</w:t>
      </w:r>
      <w:r>
        <w:rPr>
          <w:spacing w:val="-9"/>
          <w:w w:val="105"/>
        </w:rPr>
        <w:t> </w:t>
      </w:r>
      <w:r>
        <w:rPr>
          <w:w w:val="105"/>
        </w:rPr>
        <w:t>Governance</w:t>
      </w:r>
      <w:r>
        <w:rPr>
          <w:spacing w:val="-9"/>
          <w:w w:val="105"/>
        </w:rPr>
        <w:t> </w:t>
      </w:r>
      <w:r>
        <w:rPr>
          <w:w w:val="105"/>
        </w:rPr>
        <w:t>and</w:t>
      </w:r>
      <w:r>
        <w:rPr>
          <w:spacing w:val="-9"/>
          <w:w w:val="105"/>
        </w:rPr>
        <w:t> </w:t>
      </w:r>
      <w:r>
        <w:rPr>
          <w:w w:val="105"/>
        </w:rPr>
        <w:t>the</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and</w:t>
      </w:r>
      <w:r>
        <w:rPr>
          <w:spacing w:val="-9"/>
          <w:w w:val="105"/>
        </w:rPr>
        <w:t> </w:t>
      </w:r>
      <w:r>
        <w:rPr>
          <w:w w:val="105"/>
        </w:rPr>
        <w:t>“Delinquent</w:t>
      </w:r>
      <w:r>
        <w:rPr>
          <w:spacing w:val="-9"/>
          <w:w w:val="105"/>
        </w:rPr>
        <w:t> </w:t>
      </w:r>
      <w:r>
        <w:rPr>
          <w:w w:val="105"/>
        </w:rPr>
        <w:t>Section</w:t>
      </w:r>
      <w:r>
        <w:rPr>
          <w:spacing w:val="-9"/>
          <w:w w:val="105"/>
        </w:rPr>
        <w:t> </w:t>
      </w:r>
      <w:r>
        <w:rPr>
          <w:w w:val="105"/>
        </w:rPr>
        <w:t>16(a)</w:t>
      </w:r>
      <w:r>
        <w:rPr>
          <w:spacing w:val="-9"/>
          <w:w w:val="105"/>
        </w:rPr>
        <w:t> </w:t>
      </w:r>
      <w:r>
        <w:rPr>
          <w:w w:val="105"/>
        </w:rPr>
        <w:t>Reports”</w:t>
      </w:r>
      <w:r>
        <w:rPr>
          <w:spacing w:val="-9"/>
          <w:w w:val="105"/>
        </w:rPr>
        <w:t> </w:t>
      </w:r>
      <w:r>
        <w:rPr>
          <w:w w:val="105"/>
        </w:rPr>
        <w:t>in</w:t>
      </w:r>
      <w:r>
        <w:rPr>
          <w:spacing w:val="-9"/>
          <w:w w:val="105"/>
        </w:rPr>
        <w:t> </w:t>
      </w:r>
      <w:r>
        <w:rPr>
          <w:w w:val="105"/>
        </w:rPr>
        <w:t>our</w:t>
      </w:r>
      <w:r>
        <w:rPr>
          <w:spacing w:val="-9"/>
          <w:w w:val="105"/>
        </w:rPr>
        <w:t> </w:t>
      </w:r>
      <w:r>
        <w:rPr>
          <w:w w:val="105"/>
        </w:rPr>
        <w:t>Definitive</w:t>
      </w:r>
      <w:r>
        <w:rPr>
          <w:spacing w:val="-9"/>
          <w:w w:val="105"/>
        </w:rPr>
        <w:t> </w:t>
      </w:r>
      <w:r>
        <w:rPr>
          <w:w w:val="105"/>
        </w:rPr>
        <w:t>Proxy Statement</w:t>
      </w:r>
      <w:r>
        <w:rPr>
          <w:spacing w:val="-1"/>
          <w:w w:val="105"/>
        </w:rPr>
        <w:t> </w:t>
      </w:r>
      <w:r>
        <w:rPr>
          <w:w w:val="105"/>
        </w:rPr>
        <w:t>relating to</w:t>
      </w:r>
      <w:r>
        <w:rPr>
          <w:spacing w:val="-1"/>
          <w:w w:val="105"/>
        </w:rPr>
        <w:t> </w:t>
      </w:r>
      <w:r>
        <w:rPr>
          <w:w w:val="105"/>
        </w:rPr>
        <w:t>our</w:t>
      </w:r>
      <w:r>
        <w:rPr>
          <w:spacing w:val="-1"/>
          <w:w w:val="105"/>
        </w:rPr>
        <w:t> </w:t>
      </w:r>
      <w:r>
        <w:rPr>
          <w:w w:val="105"/>
        </w:rPr>
        <w:t>Annual</w:t>
      </w:r>
      <w:r>
        <w:rPr>
          <w:spacing w:val="-1"/>
          <w:w w:val="105"/>
        </w:rPr>
        <w:t> </w:t>
      </w:r>
      <w:r>
        <w:rPr>
          <w:w w:val="105"/>
        </w:rPr>
        <w:t>Meeting</w:t>
      </w:r>
      <w:r>
        <w:rPr>
          <w:spacing w:val="-1"/>
          <w:w w:val="105"/>
        </w:rPr>
        <w:t> </w:t>
      </w:r>
      <w:r>
        <w:rPr>
          <w:w w:val="105"/>
        </w:rPr>
        <w:t>of</w:t>
      </w:r>
      <w:r>
        <w:rPr>
          <w:spacing w:val="-1"/>
          <w:w w:val="105"/>
        </w:rPr>
        <w:t> </w:t>
      </w:r>
      <w:r>
        <w:rPr>
          <w:w w:val="105"/>
        </w:rPr>
        <w:t>Shareholders to</w:t>
      </w:r>
      <w:r>
        <w:rPr>
          <w:spacing w:val="-1"/>
          <w:w w:val="105"/>
        </w:rPr>
        <w:t> </w:t>
      </w:r>
      <w:r>
        <w:rPr>
          <w:w w:val="105"/>
        </w:rPr>
        <w:t>be</w:t>
      </w:r>
      <w:r>
        <w:rPr>
          <w:spacing w:val="-1"/>
          <w:w w:val="105"/>
        </w:rPr>
        <w:t> </w:t>
      </w:r>
      <w:r>
        <w:rPr>
          <w:w w:val="105"/>
        </w:rPr>
        <w:t>held</w:t>
      </w:r>
      <w:r>
        <w:rPr>
          <w:spacing w:val="-1"/>
          <w:w w:val="105"/>
        </w:rPr>
        <w:t> </w:t>
      </w:r>
      <w:r>
        <w:rPr>
          <w:w w:val="105"/>
        </w:rPr>
        <w:t>on</w:t>
      </w:r>
      <w:r>
        <w:rPr>
          <w:spacing w:val="-1"/>
          <w:w w:val="105"/>
        </w:rPr>
        <w:t> </w:t>
      </w:r>
      <w:r>
        <w:rPr>
          <w:w w:val="105"/>
        </w:rPr>
        <w:t>April</w:t>
      </w:r>
      <w:r>
        <w:rPr>
          <w:spacing w:val="-1"/>
          <w:w w:val="105"/>
        </w:rPr>
        <w:t> </w:t>
      </w:r>
      <w:r>
        <w:rPr>
          <w:w w:val="105"/>
        </w:rPr>
        <w:t>28,</w:t>
      </w:r>
      <w:r>
        <w:rPr>
          <w:spacing w:val="-1"/>
          <w:w w:val="105"/>
        </w:rPr>
        <w:t> </w:t>
      </w:r>
      <w:r>
        <w:rPr>
          <w:w w:val="105"/>
        </w:rPr>
        <w:t>2022,</w:t>
      </w:r>
      <w:r>
        <w:rPr>
          <w:spacing w:val="-1"/>
          <w:w w:val="105"/>
        </w:rPr>
        <w:t> </w:t>
      </w:r>
      <w:r>
        <w:rPr>
          <w:w w:val="105"/>
        </w:rPr>
        <w:t>are</w:t>
      </w:r>
      <w:r>
        <w:rPr>
          <w:spacing w:val="-1"/>
          <w:w w:val="105"/>
        </w:rPr>
        <w:t> </w:t>
      </w:r>
      <w:r>
        <w:rPr>
          <w:w w:val="105"/>
        </w:rPr>
        <w:t>incorporated</w:t>
      </w:r>
      <w:r>
        <w:rPr>
          <w:spacing w:val="-1"/>
          <w:w w:val="105"/>
        </w:rPr>
        <w:t> </w:t>
      </w:r>
      <w:r>
        <w:rPr>
          <w:w w:val="105"/>
        </w:rPr>
        <w:t>by</w:t>
      </w:r>
      <w:r>
        <w:rPr>
          <w:spacing w:val="-1"/>
          <w:w w:val="105"/>
        </w:rPr>
        <w:t> </w:t>
      </w:r>
      <w:r>
        <w:rPr>
          <w:w w:val="105"/>
        </w:rPr>
        <w:t>reference</w:t>
      </w:r>
      <w:r>
        <w:rPr>
          <w:spacing w:val="-1"/>
          <w:w w:val="105"/>
        </w:rPr>
        <w:t> </w:t>
      </w:r>
      <w:r>
        <w:rPr>
          <w:w w:val="105"/>
        </w:rPr>
        <w:t>in</w:t>
      </w:r>
      <w:r>
        <w:rPr>
          <w:spacing w:val="-1"/>
          <w:w w:val="105"/>
        </w:rPr>
        <w:t> </w:t>
      </w:r>
      <w:r>
        <w:rPr>
          <w:w w:val="105"/>
        </w:rPr>
        <w:t>this</w:t>
      </w:r>
      <w:r>
        <w:rPr>
          <w:spacing w:val="-1"/>
          <w:w w:val="105"/>
        </w:rPr>
        <w:t> </w:t>
      </w:r>
      <w:r>
        <w:rPr>
          <w:w w:val="105"/>
        </w:rPr>
        <w:t>Annual</w:t>
      </w:r>
      <w:r>
        <w:rPr>
          <w:spacing w:val="-1"/>
          <w:w w:val="105"/>
        </w:rPr>
        <w:t> </w:t>
      </w:r>
      <w:r>
        <w:rPr>
          <w:w w:val="105"/>
        </w:rPr>
        <w:t>Report</w:t>
      </w:r>
      <w:r>
        <w:rPr>
          <w:spacing w:val="-1"/>
          <w:w w:val="105"/>
        </w:rPr>
        <w:t> </w:t>
      </w:r>
      <w:r>
        <w:rPr>
          <w:w w:val="105"/>
        </w:rPr>
        <w:t>on</w:t>
      </w:r>
      <w:r>
        <w:rPr>
          <w:spacing w:val="-1"/>
          <w:w w:val="105"/>
        </w:rPr>
        <w:t> </w:t>
      </w:r>
      <w:r>
        <w:rPr>
          <w:w w:val="105"/>
        </w:rPr>
        <w:t>Form</w:t>
      </w:r>
      <w:r>
        <w:rPr>
          <w:spacing w:val="-1"/>
          <w:w w:val="105"/>
        </w:rPr>
        <w:t> </w:t>
      </w:r>
      <w:r>
        <w:rPr>
          <w:w w:val="105"/>
        </w:rPr>
        <w:t>10-K.</w:t>
      </w:r>
    </w:p>
    <w:p>
      <w:pPr>
        <w:pStyle w:val="BodyText"/>
        <w:spacing w:before="19"/>
      </w:pPr>
    </w:p>
    <w:p>
      <w:pPr>
        <w:pStyle w:val="Heading2"/>
      </w:pPr>
      <w:r>
        <w:rPr>
          <w:spacing w:val="-2"/>
          <w:w w:val="105"/>
        </w:rPr>
        <w:t>Executive</w:t>
      </w:r>
      <w:r>
        <w:rPr>
          <w:w w:val="105"/>
        </w:rPr>
        <w:t> </w:t>
      </w:r>
      <w:r>
        <w:rPr>
          <w:spacing w:val="-2"/>
          <w:w w:val="105"/>
        </w:rPr>
        <w:t>Officers</w:t>
      </w:r>
      <w:r>
        <w:rPr>
          <w:w w:val="105"/>
        </w:rPr>
        <w:t> </w:t>
      </w:r>
      <w:r>
        <w:rPr>
          <w:spacing w:val="-2"/>
          <w:w w:val="105"/>
        </w:rPr>
        <w:t>of</w:t>
      </w:r>
      <w:r>
        <w:rPr>
          <w:spacing w:val="1"/>
          <w:w w:val="105"/>
        </w:rPr>
        <w:t> </w:t>
      </w:r>
      <w:r>
        <w:rPr>
          <w:spacing w:val="-2"/>
          <w:w w:val="105"/>
        </w:rPr>
        <w:t>the</w:t>
      </w:r>
      <w:r>
        <w:rPr>
          <w:w w:val="105"/>
        </w:rPr>
        <w:t> </w:t>
      </w:r>
      <w:r>
        <w:rPr>
          <w:spacing w:val="-2"/>
          <w:w w:val="105"/>
        </w:rPr>
        <w:t>Registrant</w:t>
      </w:r>
    </w:p>
    <w:p>
      <w:pPr>
        <w:pStyle w:val="BodyText"/>
        <w:spacing w:before="40"/>
        <w:rPr>
          <w:b/>
        </w:rPr>
      </w:pPr>
    </w:p>
    <w:p>
      <w:pPr>
        <w:pStyle w:val="BodyText"/>
        <w:ind w:left="156"/>
      </w:pPr>
      <w:r>
        <w:rPr>
          <w:w w:val="105"/>
        </w:rPr>
        <w:t>Refer</w:t>
      </w:r>
      <w:r>
        <w:rPr>
          <w:spacing w:val="-7"/>
          <w:w w:val="105"/>
        </w:rPr>
        <w:t> </w:t>
      </w:r>
      <w:r>
        <w:rPr>
          <w:w w:val="105"/>
        </w:rPr>
        <w:t>to</w:t>
      </w:r>
      <w:r>
        <w:rPr>
          <w:spacing w:val="-6"/>
          <w:w w:val="105"/>
        </w:rPr>
        <w:t> </w:t>
      </w:r>
      <w:r>
        <w:rPr>
          <w:w w:val="105"/>
        </w:rPr>
        <w:t>Part</w:t>
      </w:r>
      <w:r>
        <w:rPr>
          <w:spacing w:val="-6"/>
          <w:w w:val="105"/>
        </w:rPr>
        <w:t> </w:t>
      </w:r>
      <w:r>
        <w:rPr>
          <w:w w:val="105"/>
        </w:rPr>
        <w:t>I,</w:t>
      </w:r>
      <w:r>
        <w:rPr>
          <w:spacing w:val="-6"/>
          <w:w w:val="105"/>
        </w:rPr>
        <w:t> </w:t>
      </w:r>
      <w:r>
        <w:rPr>
          <w:w w:val="105"/>
        </w:rPr>
        <w:t>Item</w:t>
      </w:r>
      <w:r>
        <w:rPr>
          <w:spacing w:val="-6"/>
          <w:w w:val="105"/>
        </w:rPr>
        <w:t> </w:t>
      </w:r>
      <w:r>
        <w:rPr>
          <w:w w:val="105"/>
        </w:rPr>
        <w:t>1.</w:t>
      </w:r>
      <w:r>
        <w:rPr>
          <w:spacing w:val="-6"/>
          <w:w w:val="105"/>
        </w:rPr>
        <w:t> </w:t>
      </w:r>
      <w:r>
        <w:rPr>
          <w:w w:val="105"/>
        </w:rPr>
        <w:t>of</w:t>
      </w:r>
      <w:r>
        <w:rPr>
          <w:spacing w:val="-5"/>
          <w:w w:val="105"/>
        </w:rPr>
        <w:t> </w:t>
      </w:r>
      <w:r>
        <w:rPr>
          <w:w w:val="105"/>
        </w:rPr>
        <w:t>this</w:t>
      </w:r>
      <w:r>
        <w:rPr>
          <w:spacing w:val="-6"/>
          <w:w w:val="105"/>
        </w:rPr>
        <w:t> </w:t>
      </w:r>
      <w:r>
        <w:rPr>
          <w:w w:val="105"/>
        </w:rPr>
        <w:t>Form</w:t>
      </w:r>
      <w:r>
        <w:rPr>
          <w:spacing w:val="-6"/>
          <w:w w:val="105"/>
        </w:rPr>
        <w:t> </w:t>
      </w:r>
      <w:r>
        <w:rPr>
          <w:w w:val="105"/>
        </w:rPr>
        <w:t>10-K</w:t>
      </w:r>
      <w:r>
        <w:rPr>
          <w:spacing w:val="-6"/>
          <w:w w:val="105"/>
        </w:rPr>
        <w:t> </w:t>
      </w:r>
      <w:r>
        <w:rPr>
          <w:w w:val="105"/>
        </w:rPr>
        <w:t>for</w:t>
      </w:r>
      <w:r>
        <w:rPr>
          <w:spacing w:val="-7"/>
          <w:w w:val="105"/>
        </w:rPr>
        <w:t> </w:t>
      </w:r>
      <w:r>
        <w:rPr>
          <w:w w:val="105"/>
        </w:rPr>
        <w:t>a</w:t>
      </w:r>
      <w:r>
        <w:rPr>
          <w:spacing w:val="-6"/>
          <w:w w:val="105"/>
        </w:rPr>
        <w:t> </w:t>
      </w:r>
      <w:r>
        <w:rPr>
          <w:w w:val="105"/>
        </w:rPr>
        <w:t>listing</w:t>
      </w:r>
      <w:r>
        <w:rPr>
          <w:spacing w:val="-6"/>
          <w:w w:val="105"/>
        </w:rPr>
        <w:t> </w:t>
      </w:r>
      <w:r>
        <w:rPr>
          <w:w w:val="105"/>
        </w:rPr>
        <w:t>of</w:t>
      </w:r>
      <w:r>
        <w:rPr>
          <w:spacing w:val="-6"/>
          <w:w w:val="105"/>
        </w:rPr>
        <w:t> </w:t>
      </w:r>
      <w:r>
        <w:rPr>
          <w:w w:val="105"/>
        </w:rPr>
        <w:t>executive</w:t>
      </w:r>
      <w:r>
        <w:rPr>
          <w:spacing w:val="-6"/>
          <w:w w:val="105"/>
        </w:rPr>
        <w:t> </w:t>
      </w:r>
      <w:r>
        <w:rPr>
          <w:spacing w:val="-2"/>
          <w:w w:val="105"/>
        </w:rPr>
        <w:t>officers.</w:t>
      </w:r>
    </w:p>
    <w:p>
      <w:pPr>
        <w:pStyle w:val="BodyText"/>
        <w:spacing w:before="39"/>
      </w:pPr>
    </w:p>
    <w:p>
      <w:pPr>
        <w:pStyle w:val="Heading2"/>
        <w:spacing w:before="1"/>
      </w:pPr>
      <w:r>
        <w:rPr>
          <w:spacing w:val="-2"/>
          <w:w w:val="105"/>
        </w:rPr>
        <w:t>Corning</w:t>
      </w:r>
      <w:r>
        <w:rPr>
          <w:b w:val="0"/>
          <w:spacing w:val="-2"/>
          <w:w w:val="105"/>
        </w:rPr>
        <w:t>’</w:t>
      </w:r>
      <w:r>
        <w:rPr>
          <w:spacing w:val="-2"/>
          <w:w w:val="105"/>
        </w:rPr>
        <w:t>s Board of Directors</w:t>
      </w:r>
    </w:p>
    <w:p>
      <w:pPr>
        <w:pStyle w:val="BodyText"/>
        <w:spacing w:before="39"/>
        <w:rPr>
          <w:b/>
        </w:rPr>
      </w:pPr>
    </w:p>
    <w:p>
      <w:pPr>
        <w:spacing w:before="0"/>
        <w:ind w:left="156" w:right="0" w:firstLine="0"/>
        <w:jc w:val="left"/>
        <w:rPr>
          <w:i/>
          <w:sz w:val="16"/>
        </w:rPr>
      </w:pPr>
      <w:r>
        <w:rPr>
          <w:w w:val="105"/>
          <w:sz w:val="16"/>
        </w:rPr>
        <w:t>Donald</w:t>
      </w:r>
      <w:r>
        <w:rPr>
          <w:spacing w:val="-9"/>
          <w:w w:val="105"/>
          <w:sz w:val="16"/>
        </w:rPr>
        <w:t> </w:t>
      </w:r>
      <w:r>
        <w:rPr>
          <w:w w:val="105"/>
          <w:sz w:val="16"/>
        </w:rPr>
        <w:t>W.</w:t>
      </w:r>
      <w:r>
        <w:rPr>
          <w:spacing w:val="-8"/>
          <w:w w:val="105"/>
          <w:sz w:val="16"/>
        </w:rPr>
        <w:t> </w:t>
      </w:r>
      <w:r>
        <w:rPr>
          <w:w w:val="105"/>
          <w:sz w:val="16"/>
        </w:rPr>
        <w:t>Blair</w:t>
      </w:r>
      <w:r>
        <w:rPr>
          <w:spacing w:val="25"/>
          <w:w w:val="105"/>
          <w:sz w:val="16"/>
        </w:rPr>
        <w:t> </w:t>
      </w:r>
      <w:r>
        <w:rPr>
          <w:i/>
          <w:w w:val="105"/>
          <w:sz w:val="16"/>
        </w:rPr>
        <w:t>Retired</w:t>
      </w:r>
      <w:r>
        <w:rPr>
          <w:i/>
          <w:spacing w:val="-8"/>
          <w:w w:val="105"/>
          <w:sz w:val="16"/>
        </w:rPr>
        <w:t> </w:t>
      </w:r>
      <w:r>
        <w:rPr>
          <w:i/>
          <w:w w:val="105"/>
          <w:sz w:val="16"/>
        </w:rPr>
        <w:t>Executive</w:t>
      </w:r>
      <w:r>
        <w:rPr>
          <w:i/>
          <w:spacing w:val="-9"/>
          <w:w w:val="105"/>
          <w:sz w:val="16"/>
        </w:rPr>
        <w:t> </w:t>
      </w:r>
      <w:r>
        <w:rPr>
          <w:i/>
          <w:w w:val="105"/>
          <w:sz w:val="16"/>
        </w:rPr>
        <w:t>Vice</w:t>
      </w:r>
      <w:r>
        <w:rPr>
          <w:i/>
          <w:spacing w:val="-8"/>
          <w:w w:val="105"/>
          <w:sz w:val="16"/>
        </w:rPr>
        <w:t> </w:t>
      </w:r>
      <w:r>
        <w:rPr>
          <w:i/>
          <w:w w:val="105"/>
          <w:sz w:val="16"/>
        </w:rPr>
        <w:t>President</w:t>
      </w:r>
      <w:r>
        <w:rPr>
          <w:i/>
          <w:spacing w:val="-9"/>
          <w:w w:val="105"/>
          <w:sz w:val="16"/>
        </w:rPr>
        <w:t> </w:t>
      </w:r>
      <w:r>
        <w:rPr>
          <w:i/>
          <w:w w:val="105"/>
          <w:sz w:val="16"/>
        </w:rPr>
        <w:t>and</w:t>
      </w:r>
      <w:r>
        <w:rPr>
          <w:i/>
          <w:spacing w:val="-8"/>
          <w:w w:val="105"/>
          <w:sz w:val="16"/>
        </w:rPr>
        <w:t> </w:t>
      </w:r>
      <w:r>
        <w:rPr>
          <w:i/>
          <w:w w:val="105"/>
          <w:sz w:val="16"/>
        </w:rPr>
        <w:t>Chief</w:t>
      </w:r>
      <w:r>
        <w:rPr>
          <w:i/>
          <w:spacing w:val="-9"/>
          <w:w w:val="105"/>
          <w:sz w:val="16"/>
        </w:rPr>
        <w:t> </w:t>
      </w:r>
      <w:r>
        <w:rPr>
          <w:i/>
          <w:w w:val="105"/>
          <w:sz w:val="16"/>
        </w:rPr>
        <w:t>Financial</w:t>
      </w:r>
      <w:r>
        <w:rPr>
          <w:i/>
          <w:spacing w:val="-8"/>
          <w:w w:val="105"/>
          <w:sz w:val="16"/>
        </w:rPr>
        <w:t> </w:t>
      </w:r>
      <w:r>
        <w:rPr>
          <w:i/>
          <w:w w:val="105"/>
          <w:sz w:val="16"/>
        </w:rPr>
        <w:t>Officer,</w:t>
      </w:r>
      <w:r>
        <w:rPr>
          <w:i/>
          <w:spacing w:val="-9"/>
          <w:w w:val="105"/>
          <w:sz w:val="16"/>
        </w:rPr>
        <w:t> </w:t>
      </w:r>
      <w:r>
        <w:rPr>
          <w:i/>
          <w:w w:val="105"/>
          <w:sz w:val="16"/>
        </w:rPr>
        <w:t>NIKE,</w:t>
      </w:r>
      <w:r>
        <w:rPr>
          <w:i/>
          <w:spacing w:val="-8"/>
          <w:w w:val="105"/>
          <w:sz w:val="16"/>
        </w:rPr>
        <w:t> </w:t>
      </w:r>
      <w:r>
        <w:rPr>
          <w:i/>
          <w:spacing w:val="-4"/>
          <w:w w:val="105"/>
          <w:sz w:val="16"/>
        </w:rPr>
        <w:t>Inc.</w:t>
      </w:r>
    </w:p>
    <w:p>
      <w:pPr>
        <w:pStyle w:val="BodyText"/>
        <w:spacing w:line="266" w:lineRule="auto" w:before="20"/>
        <w:ind w:left="156" w:right="150"/>
      </w:pPr>
      <w:r>
        <w:rPr>
          <w:w w:val="105"/>
        </w:rPr>
        <w:t>Mr.</w:t>
      </w:r>
      <w:r>
        <w:rPr>
          <w:spacing w:val="-7"/>
          <w:w w:val="105"/>
        </w:rPr>
        <w:t> </w:t>
      </w:r>
      <w:r>
        <w:rPr>
          <w:w w:val="105"/>
        </w:rPr>
        <w:t>Blair</w:t>
      </w:r>
      <w:r>
        <w:rPr>
          <w:spacing w:val="-7"/>
          <w:w w:val="105"/>
        </w:rPr>
        <w:t> </w:t>
      </w:r>
      <w:r>
        <w:rPr>
          <w:w w:val="105"/>
        </w:rPr>
        <w:t>was</w:t>
      </w:r>
      <w:r>
        <w:rPr>
          <w:spacing w:val="-7"/>
          <w:w w:val="105"/>
        </w:rPr>
        <w:t> </w:t>
      </w:r>
      <w:r>
        <w:rPr>
          <w:w w:val="105"/>
        </w:rPr>
        <w:t>the</w:t>
      </w:r>
      <w:r>
        <w:rPr>
          <w:spacing w:val="-7"/>
          <w:w w:val="105"/>
        </w:rPr>
        <w:t> </w:t>
      </w:r>
      <w:r>
        <w:rPr>
          <w:w w:val="105"/>
        </w:rPr>
        <w:t>executive</w:t>
      </w:r>
      <w:r>
        <w:rPr>
          <w:spacing w:val="-7"/>
          <w:w w:val="105"/>
        </w:rPr>
        <w:t> </w:t>
      </w:r>
      <w:r>
        <w:rPr>
          <w:w w:val="105"/>
        </w:rPr>
        <w:t>vice</w:t>
      </w:r>
      <w:r>
        <w:rPr>
          <w:spacing w:val="-7"/>
          <w:w w:val="105"/>
        </w:rPr>
        <w:t> </w:t>
      </w:r>
      <w:r>
        <w:rPr>
          <w:w w:val="105"/>
        </w:rPr>
        <w:t>president</w:t>
      </w:r>
      <w:r>
        <w:rPr>
          <w:spacing w:val="-7"/>
          <w:w w:val="105"/>
        </w:rPr>
        <w:t> </w:t>
      </w:r>
      <w:r>
        <w:rPr>
          <w:w w:val="105"/>
        </w:rPr>
        <w:t>and</w:t>
      </w:r>
      <w:r>
        <w:rPr>
          <w:spacing w:val="-7"/>
          <w:w w:val="105"/>
        </w:rPr>
        <w:t> </w:t>
      </w:r>
      <w:r>
        <w:rPr>
          <w:w w:val="105"/>
        </w:rPr>
        <w:t>chief</w:t>
      </w:r>
      <w:r>
        <w:rPr>
          <w:spacing w:val="-5"/>
          <w:w w:val="105"/>
        </w:rPr>
        <w:t> </w:t>
      </w:r>
      <w:r>
        <w:rPr>
          <w:w w:val="105"/>
        </w:rPr>
        <w:t>financial</w:t>
      </w:r>
      <w:r>
        <w:rPr>
          <w:spacing w:val="-7"/>
          <w:w w:val="105"/>
        </w:rPr>
        <w:t> </w:t>
      </w:r>
      <w:r>
        <w:rPr>
          <w:w w:val="105"/>
        </w:rPr>
        <w:t>officer</w:t>
      </w:r>
      <w:r>
        <w:rPr>
          <w:spacing w:val="-7"/>
          <w:w w:val="105"/>
        </w:rPr>
        <w:t> </w:t>
      </w:r>
      <w:r>
        <w:rPr>
          <w:w w:val="105"/>
        </w:rPr>
        <w:t>of</w:t>
      </w:r>
      <w:r>
        <w:rPr>
          <w:spacing w:val="-7"/>
          <w:w w:val="105"/>
        </w:rPr>
        <w:t> </w:t>
      </w:r>
      <w:r>
        <w:rPr>
          <w:w w:val="105"/>
        </w:rPr>
        <w:t>NIKE,</w:t>
      </w:r>
      <w:r>
        <w:rPr>
          <w:spacing w:val="-7"/>
          <w:w w:val="105"/>
        </w:rPr>
        <w:t> </w:t>
      </w:r>
      <w:r>
        <w:rPr>
          <w:w w:val="105"/>
        </w:rPr>
        <w:t>Inc.</w:t>
      </w:r>
      <w:r>
        <w:rPr>
          <w:spacing w:val="-7"/>
          <w:w w:val="105"/>
        </w:rPr>
        <w:t> </w:t>
      </w:r>
      <w:r>
        <w:rPr>
          <w:w w:val="105"/>
        </w:rPr>
        <w:t>from</w:t>
      </w:r>
      <w:r>
        <w:rPr>
          <w:spacing w:val="-7"/>
          <w:w w:val="105"/>
        </w:rPr>
        <w:t> </w:t>
      </w:r>
      <w:r>
        <w:rPr>
          <w:w w:val="105"/>
        </w:rPr>
        <w:t>1999</w:t>
      </w:r>
      <w:r>
        <w:rPr>
          <w:spacing w:val="-7"/>
          <w:w w:val="105"/>
        </w:rPr>
        <w:t> </w:t>
      </w:r>
      <w:r>
        <w:rPr>
          <w:w w:val="105"/>
        </w:rPr>
        <w:t>to</w:t>
      </w:r>
      <w:r>
        <w:rPr>
          <w:spacing w:val="-7"/>
          <w:w w:val="105"/>
        </w:rPr>
        <w:t> </w:t>
      </w:r>
      <w:r>
        <w:rPr>
          <w:w w:val="105"/>
        </w:rPr>
        <w:t>October</w:t>
      </w:r>
      <w:r>
        <w:rPr>
          <w:spacing w:val="-7"/>
          <w:w w:val="105"/>
        </w:rPr>
        <w:t> </w:t>
      </w:r>
      <w:r>
        <w:rPr>
          <w:w w:val="105"/>
        </w:rPr>
        <w:t>2015.</w:t>
      </w:r>
      <w:r>
        <w:rPr>
          <w:spacing w:val="-7"/>
          <w:w w:val="105"/>
        </w:rPr>
        <w:t> </w:t>
      </w:r>
      <w:r>
        <w:rPr>
          <w:w w:val="105"/>
        </w:rPr>
        <w:t>Prior</w:t>
      </w:r>
      <w:r>
        <w:rPr>
          <w:spacing w:val="-7"/>
          <w:w w:val="105"/>
        </w:rPr>
        <w:t> </w:t>
      </w:r>
      <w:r>
        <w:rPr>
          <w:w w:val="105"/>
        </w:rPr>
        <w:t>to</w:t>
      </w:r>
      <w:r>
        <w:rPr>
          <w:spacing w:val="-7"/>
          <w:w w:val="105"/>
        </w:rPr>
        <w:t> </w:t>
      </w:r>
      <w:r>
        <w:rPr>
          <w:w w:val="105"/>
        </w:rPr>
        <w:t>joining</w:t>
      </w:r>
      <w:r>
        <w:rPr>
          <w:spacing w:val="-7"/>
          <w:w w:val="105"/>
        </w:rPr>
        <w:t> </w:t>
      </w:r>
      <w:r>
        <w:rPr>
          <w:w w:val="105"/>
        </w:rPr>
        <w:t>NIKE,</w:t>
      </w:r>
      <w:r>
        <w:rPr>
          <w:spacing w:val="-7"/>
          <w:w w:val="105"/>
        </w:rPr>
        <w:t> </w:t>
      </w:r>
      <w:r>
        <w:rPr>
          <w:w w:val="105"/>
        </w:rPr>
        <w:t>he</w:t>
      </w:r>
      <w:r>
        <w:rPr>
          <w:spacing w:val="-7"/>
          <w:w w:val="105"/>
        </w:rPr>
        <w:t> </w:t>
      </w:r>
      <w:r>
        <w:rPr>
          <w:w w:val="105"/>
        </w:rPr>
        <w:t>served</w:t>
      </w:r>
      <w:r>
        <w:rPr>
          <w:spacing w:val="-7"/>
          <w:w w:val="105"/>
        </w:rPr>
        <w:t> </w:t>
      </w:r>
      <w:r>
        <w:rPr>
          <w:w w:val="105"/>
        </w:rPr>
        <w:t>15</w:t>
      </w:r>
      <w:r>
        <w:rPr>
          <w:spacing w:val="-7"/>
          <w:w w:val="105"/>
        </w:rPr>
        <w:t> </w:t>
      </w:r>
      <w:r>
        <w:rPr>
          <w:w w:val="105"/>
        </w:rPr>
        <w:t>years</w:t>
      </w:r>
      <w:r>
        <w:rPr>
          <w:spacing w:val="-7"/>
          <w:w w:val="105"/>
        </w:rPr>
        <w:t> </w:t>
      </w:r>
      <w:r>
        <w:rPr>
          <w:w w:val="105"/>
        </w:rPr>
        <w:t>at</w:t>
      </w:r>
      <w:r>
        <w:rPr>
          <w:spacing w:val="-7"/>
          <w:w w:val="105"/>
        </w:rPr>
        <w:t> </w:t>
      </w:r>
      <w:r>
        <w:rPr>
          <w:w w:val="105"/>
        </w:rPr>
        <w:t>PepsiCo,</w:t>
      </w:r>
      <w:r>
        <w:rPr>
          <w:spacing w:val="-7"/>
          <w:w w:val="105"/>
        </w:rPr>
        <w:t> </w:t>
      </w:r>
      <w:r>
        <w:rPr>
          <w:w w:val="105"/>
        </w:rPr>
        <w:t>Inc.</w:t>
      </w:r>
      <w:r>
        <w:rPr>
          <w:spacing w:val="-7"/>
          <w:w w:val="105"/>
        </w:rPr>
        <w:t> </w:t>
      </w:r>
      <w:r>
        <w:rPr>
          <w:w w:val="105"/>
        </w:rPr>
        <w:t>in a</w:t>
      </w:r>
      <w:r>
        <w:rPr>
          <w:spacing w:val="-6"/>
          <w:w w:val="105"/>
        </w:rPr>
        <w:t> </w:t>
      </w:r>
      <w:r>
        <w:rPr>
          <w:w w:val="105"/>
        </w:rPr>
        <w:t>number</w:t>
      </w:r>
      <w:r>
        <w:rPr>
          <w:spacing w:val="-6"/>
          <w:w w:val="105"/>
        </w:rPr>
        <w:t> </w:t>
      </w:r>
      <w:r>
        <w:rPr>
          <w:w w:val="105"/>
        </w:rPr>
        <w:t>of</w:t>
      </w:r>
      <w:r>
        <w:rPr>
          <w:spacing w:val="-6"/>
          <w:w w:val="105"/>
        </w:rPr>
        <w:t> </w:t>
      </w:r>
      <w:r>
        <w:rPr>
          <w:w w:val="105"/>
        </w:rPr>
        <w:t>senior</w:t>
      </w:r>
      <w:r>
        <w:rPr>
          <w:spacing w:val="-6"/>
          <w:w w:val="105"/>
        </w:rPr>
        <w:t> </w:t>
      </w:r>
      <w:r>
        <w:rPr>
          <w:w w:val="105"/>
        </w:rPr>
        <w:t>executive-level</w:t>
      </w:r>
      <w:r>
        <w:rPr>
          <w:spacing w:val="-6"/>
          <w:w w:val="105"/>
        </w:rPr>
        <w:t> </w:t>
      </w:r>
      <w:r>
        <w:rPr>
          <w:w w:val="105"/>
        </w:rPr>
        <w:t>corporate</w:t>
      </w:r>
      <w:r>
        <w:rPr>
          <w:spacing w:val="-4"/>
          <w:w w:val="105"/>
        </w:rPr>
        <w:t> </w:t>
      </w:r>
      <w:r>
        <w:rPr>
          <w:w w:val="105"/>
        </w:rPr>
        <w:t>and</w:t>
      </w:r>
      <w:r>
        <w:rPr>
          <w:spacing w:val="-6"/>
          <w:w w:val="105"/>
        </w:rPr>
        <w:t> </w:t>
      </w:r>
      <w:r>
        <w:rPr>
          <w:w w:val="105"/>
        </w:rPr>
        <w:t>operating</w:t>
      </w:r>
      <w:r>
        <w:rPr>
          <w:spacing w:val="-6"/>
          <w:w w:val="105"/>
        </w:rPr>
        <w:t> </w:t>
      </w:r>
      <w:r>
        <w:rPr>
          <w:w w:val="105"/>
        </w:rPr>
        <w:t>unit</w:t>
      </w:r>
      <w:r>
        <w:rPr>
          <w:spacing w:val="-6"/>
          <w:w w:val="105"/>
        </w:rPr>
        <w:t> </w:t>
      </w:r>
      <w:r>
        <w:rPr>
          <w:w w:val="105"/>
        </w:rPr>
        <w:t>financial</w:t>
      </w:r>
      <w:r>
        <w:rPr>
          <w:spacing w:val="-6"/>
          <w:w w:val="105"/>
        </w:rPr>
        <w:t> </w:t>
      </w:r>
      <w:r>
        <w:rPr>
          <w:w w:val="105"/>
        </w:rPr>
        <w:t>assignments,</w:t>
      </w:r>
      <w:r>
        <w:rPr>
          <w:spacing w:val="-6"/>
          <w:w w:val="105"/>
        </w:rPr>
        <w:t> </w:t>
      </w:r>
      <w:r>
        <w:rPr>
          <w:w w:val="105"/>
        </w:rPr>
        <w:t>including</w:t>
      </w:r>
      <w:r>
        <w:rPr>
          <w:spacing w:val="-6"/>
          <w:w w:val="105"/>
        </w:rPr>
        <w:t> </w:t>
      </w:r>
      <w:r>
        <w:rPr>
          <w:w w:val="105"/>
        </w:rPr>
        <w:t>chief</w:t>
      </w:r>
      <w:r>
        <w:rPr>
          <w:spacing w:val="-6"/>
          <w:w w:val="105"/>
        </w:rPr>
        <w:t> </w:t>
      </w:r>
      <w:r>
        <w:rPr>
          <w:w w:val="105"/>
        </w:rPr>
        <w:t>financial</w:t>
      </w:r>
      <w:r>
        <w:rPr>
          <w:spacing w:val="-6"/>
          <w:w w:val="105"/>
        </w:rPr>
        <w:t> </w:t>
      </w:r>
      <w:r>
        <w:rPr>
          <w:w w:val="105"/>
        </w:rPr>
        <w:t>officer</w:t>
      </w:r>
      <w:r>
        <w:rPr>
          <w:spacing w:val="-6"/>
          <w:w w:val="105"/>
        </w:rPr>
        <w:t> </w:t>
      </w:r>
      <w:r>
        <w:rPr>
          <w:w w:val="105"/>
        </w:rPr>
        <w:t>roles</w:t>
      </w:r>
      <w:r>
        <w:rPr>
          <w:spacing w:val="-6"/>
          <w:w w:val="105"/>
        </w:rPr>
        <w:t> </w:t>
      </w:r>
      <w:r>
        <w:rPr>
          <w:w w:val="105"/>
        </w:rPr>
        <w:t>for</w:t>
      </w:r>
      <w:r>
        <w:rPr>
          <w:spacing w:val="-6"/>
          <w:w w:val="105"/>
        </w:rPr>
        <w:t> </w:t>
      </w:r>
      <w:r>
        <w:rPr>
          <w:w w:val="105"/>
        </w:rPr>
        <w:t>PepsiCo</w:t>
      </w:r>
      <w:r>
        <w:rPr>
          <w:spacing w:val="-6"/>
          <w:w w:val="105"/>
        </w:rPr>
        <w:t> </w:t>
      </w:r>
      <w:r>
        <w:rPr>
          <w:w w:val="105"/>
        </w:rPr>
        <w:t>Japan</w:t>
      </w:r>
      <w:r>
        <w:rPr>
          <w:spacing w:val="-6"/>
          <w:w w:val="105"/>
        </w:rPr>
        <w:t> </w:t>
      </w:r>
      <w:r>
        <w:rPr>
          <w:w w:val="105"/>
        </w:rPr>
        <w:t>(based</w:t>
      </w:r>
      <w:r>
        <w:rPr>
          <w:spacing w:val="-6"/>
          <w:w w:val="105"/>
        </w:rPr>
        <w:t> </w:t>
      </w:r>
      <w:r>
        <w:rPr>
          <w:w w:val="105"/>
        </w:rPr>
        <w:t>in</w:t>
      </w:r>
      <w:r>
        <w:rPr>
          <w:spacing w:val="-6"/>
          <w:w w:val="105"/>
        </w:rPr>
        <w:t> </w:t>
      </w:r>
      <w:r>
        <w:rPr>
          <w:w w:val="105"/>
        </w:rPr>
        <w:t>Tokyo)</w:t>
      </w:r>
      <w:r>
        <w:rPr>
          <w:spacing w:val="-6"/>
          <w:w w:val="105"/>
        </w:rPr>
        <w:t> </w:t>
      </w:r>
      <w:r>
        <w:rPr>
          <w:w w:val="105"/>
        </w:rPr>
        <w:t>and</w:t>
      </w:r>
      <w:r>
        <w:rPr>
          <w:spacing w:val="-6"/>
          <w:w w:val="105"/>
        </w:rPr>
        <w:t> </w:t>
      </w:r>
      <w:r>
        <w:rPr>
          <w:w w:val="105"/>
        </w:rPr>
        <w:t>Pepsi- Cola</w:t>
      </w:r>
      <w:r>
        <w:rPr>
          <w:spacing w:val="-4"/>
          <w:w w:val="105"/>
        </w:rPr>
        <w:t> </w:t>
      </w:r>
      <w:r>
        <w:rPr>
          <w:w w:val="105"/>
        </w:rPr>
        <w:t>International’s</w:t>
      </w:r>
      <w:r>
        <w:rPr>
          <w:spacing w:val="-4"/>
          <w:w w:val="105"/>
        </w:rPr>
        <w:t> </w:t>
      </w:r>
      <w:r>
        <w:rPr>
          <w:w w:val="105"/>
        </w:rPr>
        <w:t>Asia</w:t>
      </w:r>
      <w:r>
        <w:rPr>
          <w:spacing w:val="-4"/>
          <w:w w:val="105"/>
        </w:rPr>
        <w:t> </w:t>
      </w:r>
      <w:r>
        <w:rPr>
          <w:w w:val="105"/>
        </w:rPr>
        <w:t>Division</w:t>
      </w:r>
      <w:r>
        <w:rPr>
          <w:spacing w:val="-4"/>
          <w:w w:val="105"/>
        </w:rPr>
        <w:t> </w:t>
      </w:r>
      <w:r>
        <w:rPr>
          <w:w w:val="105"/>
        </w:rPr>
        <w:t>(based</w:t>
      </w:r>
      <w:r>
        <w:rPr>
          <w:spacing w:val="-4"/>
          <w:w w:val="105"/>
        </w:rPr>
        <w:t> </w:t>
      </w:r>
      <w:r>
        <w:rPr>
          <w:w w:val="105"/>
        </w:rPr>
        <w:t>in</w:t>
      </w:r>
      <w:r>
        <w:rPr>
          <w:spacing w:val="-4"/>
          <w:w w:val="105"/>
        </w:rPr>
        <w:t> </w:t>
      </w:r>
      <w:r>
        <w:rPr>
          <w:w w:val="105"/>
        </w:rPr>
        <w:t>Hong</w:t>
      </w:r>
      <w:r>
        <w:rPr>
          <w:spacing w:val="-4"/>
          <w:w w:val="105"/>
        </w:rPr>
        <w:t> </w:t>
      </w:r>
      <w:r>
        <w:rPr>
          <w:w w:val="105"/>
        </w:rPr>
        <w:t>Kong).</w:t>
      </w:r>
      <w:r>
        <w:rPr>
          <w:spacing w:val="-4"/>
          <w:w w:val="105"/>
        </w:rPr>
        <w:t> </w:t>
      </w:r>
      <w:r>
        <w:rPr>
          <w:w w:val="105"/>
        </w:rPr>
        <w:t>He</w:t>
      </w:r>
      <w:r>
        <w:rPr>
          <w:spacing w:val="-4"/>
          <w:w w:val="105"/>
        </w:rPr>
        <w:t> </w:t>
      </w:r>
      <w:r>
        <w:rPr>
          <w:w w:val="105"/>
        </w:rPr>
        <w:t>began</w:t>
      </w:r>
      <w:r>
        <w:rPr>
          <w:spacing w:val="-4"/>
          <w:w w:val="105"/>
        </w:rPr>
        <w:t> </w:t>
      </w:r>
      <w:r>
        <w:rPr>
          <w:w w:val="105"/>
        </w:rPr>
        <w:t>his</w:t>
      </w:r>
      <w:r>
        <w:rPr>
          <w:spacing w:val="-4"/>
          <w:w w:val="105"/>
        </w:rPr>
        <w:t> </w:t>
      </w:r>
      <w:r>
        <w:rPr>
          <w:w w:val="105"/>
        </w:rPr>
        <w:t>career</w:t>
      </w:r>
      <w:r>
        <w:rPr>
          <w:spacing w:val="-4"/>
          <w:w w:val="105"/>
        </w:rPr>
        <w:t> </w:t>
      </w:r>
      <w:r>
        <w:rPr>
          <w:w w:val="105"/>
        </w:rPr>
        <w:t>in</w:t>
      </w:r>
      <w:r>
        <w:rPr>
          <w:spacing w:val="-4"/>
          <w:w w:val="105"/>
        </w:rPr>
        <w:t> </w:t>
      </w:r>
      <w:r>
        <w:rPr>
          <w:w w:val="105"/>
        </w:rPr>
        <w:t>1981</w:t>
      </w:r>
      <w:r>
        <w:rPr>
          <w:spacing w:val="-4"/>
          <w:w w:val="105"/>
        </w:rPr>
        <w:t> </w:t>
      </w:r>
      <w:r>
        <w:rPr>
          <w:w w:val="105"/>
        </w:rPr>
        <w:t>as</w:t>
      </w:r>
      <w:r>
        <w:rPr>
          <w:spacing w:val="-4"/>
          <w:w w:val="105"/>
        </w:rPr>
        <w:t> </w:t>
      </w:r>
      <w:r>
        <w:rPr>
          <w:w w:val="105"/>
        </w:rPr>
        <w:t>an</w:t>
      </w:r>
      <w:r>
        <w:rPr>
          <w:spacing w:val="-4"/>
          <w:w w:val="105"/>
        </w:rPr>
        <w:t> </w:t>
      </w:r>
      <w:r>
        <w:rPr>
          <w:w w:val="105"/>
        </w:rPr>
        <w:t>accountant</w:t>
      </w:r>
      <w:r>
        <w:rPr>
          <w:spacing w:val="-4"/>
          <w:w w:val="105"/>
        </w:rPr>
        <w:t> </w:t>
      </w:r>
      <w:r>
        <w:rPr>
          <w:w w:val="105"/>
        </w:rPr>
        <w:t>with</w:t>
      </w:r>
      <w:r>
        <w:rPr>
          <w:spacing w:val="-4"/>
          <w:w w:val="105"/>
        </w:rPr>
        <w:t> </w:t>
      </w:r>
      <w:r>
        <w:rPr>
          <w:w w:val="105"/>
        </w:rPr>
        <w:t>Deloitte</w:t>
      </w:r>
      <w:r>
        <w:rPr>
          <w:spacing w:val="-4"/>
          <w:w w:val="105"/>
        </w:rPr>
        <w:t> </w:t>
      </w:r>
      <w:r>
        <w:rPr>
          <w:w w:val="105"/>
        </w:rPr>
        <w:t>Haskins</w:t>
      </w:r>
      <w:r>
        <w:rPr>
          <w:spacing w:val="-4"/>
          <w:w w:val="105"/>
        </w:rPr>
        <w:t> </w:t>
      </w:r>
      <w:r>
        <w:rPr>
          <w:w w:val="105"/>
        </w:rPr>
        <w:t>&amp;</w:t>
      </w:r>
      <w:r>
        <w:rPr>
          <w:spacing w:val="-4"/>
          <w:w w:val="105"/>
        </w:rPr>
        <w:t> </w:t>
      </w:r>
      <w:r>
        <w:rPr>
          <w:w w:val="105"/>
        </w:rPr>
        <w:t>Sells.</w:t>
      </w:r>
      <w:r>
        <w:rPr>
          <w:spacing w:val="-4"/>
          <w:w w:val="105"/>
        </w:rPr>
        <w:t> </w:t>
      </w:r>
      <w:r>
        <w:rPr>
          <w:w w:val="105"/>
        </w:rPr>
        <w:t>Mr.</w:t>
      </w:r>
      <w:r>
        <w:rPr>
          <w:spacing w:val="-4"/>
          <w:w w:val="105"/>
        </w:rPr>
        <w:t> </w:t>
      </w:r>
      <w:r>
        <w:rPr>
          <w:w w:val="105"/>
        </w:rPr>
        <w:t>Blair</w:t>
      </w:r>
      <w:r>
        <w:rPr>
          <w:spacing w:val="-4"/>
          <w:w w:val="105"/>
        </w:rPr>
        <w:t> </w:t>
      </w:r>
      <w:r>
        <w:rPr>
          <w:w w:val="105"/>
        </w:rPr>
        <w:t>joined</w:t>
      </w:r>
      <w:r>
        <w:rPr>
          <w:spacing w:val="-4"/>
          <w:w w:val="105"/>
        </w:rPr>
        <w:t> </w:t>
      </w:r>
      <w:r>
        <w:rPr>
          <w:w w:val="105"/>
        </w:rPr>
        <w:t>Corning’s</w:t>
      </w:r>
      <w:r>
        <w:rPr>
          <w:spacing w:val="-4"/>
          <w:w w:val="105"/>
        </w:rPr>
        <w:t> </w:t>
      </w:r>
      <w:r>
        <w:rPr>
          <w:w w:val="105"/>
        </w:rPr>
        <w:t>Board</w:t>
      </w:r>
      <w:r>
        <w:rPr>
          <w:spacing w:val="-4"/>
          <w:w w:val="105"/>
        </w:rPr>
        <w:t> </w:t>
      </w:r>
      <w:r>
        <w:rPr>
          <w:w w:val="105"/>
        </w:rPr>
        <w:t>in 2014. Age 63.</w:t>
      </w:r>
    </w:p>
    <w:p>
      <w:pPr>
        <w:pStyle w:val="BodyText"/>
        <w:spacing w:before="18"/>
      </w:pPr>
    </w:p>
    <w:p>
      <w:pPr>
        <w:spacing w:before="0"/>
        <w:ind w:left="156" w:right="0" w:firstLine="0"/>
        <w:jc w:val="left"/>
        <w:rPr>
          <w:i/>
          <w:sz w:val="16"/>
        </w:rPr>
      </w:pPr>
      <w:r>
        <w:rPr>
          <w:w w:val="105"/>
          <w:sz w:val="16"/>
        </w:rPr>
        <w:t>Leslie</w:t>
      </w:r>
      <w:r>
        <w:rPr>
          <w:spacing w:val="-9"/>
          <w:w w:val="105"/>
          <w:sz w:val="16"/>
        </w:rPr>
        <w:t> </w:t>
      </w:r>
      <w:r>
        <w:rPr>
          <w:w w:val="105"/>
          <w:sz w:val="16"/>
        </w:rPr>
        <w:t>A.</w:t>
      </w:r>
      <w:r>
        <w:rPr>
          <w:spacing w:val="-8"/>
          <w:w w:val="105"/>
          <w:sz w:val="16"/>
        </w:rPr>
        <w:t> </w:t>
      </w:r>
      <w:r>
        <w:rPr>
          <w:w w:val="105"/>
          <w:sz w:val="16"/>
        </w:rPr>
        <w:t>Brun</w:t>
      </w:r>
      <w:r>
        <w:rPr>
          <w:spacing w:val="26"/>
          <w:w w:val="105"/>
          <w:sz w:val="16"/>
        </w:rPr>
        <w:t> </w:t>
      </w:r>
      <w:r>
        <w:rPr>
          <w:i/>
          <w:w w:val="105"/>
          <w:sz w:val="16"/>
        </w:rPr>
        <w:t>Chairman</w:t>
      </w:r>
      <w:r>
        <w:rPr>
          <w:i/>
          <w:spacing w:val="-9"/>
          <w:w w:val="105"/>
          <w:sz w:val="16"/>
        </w:rPr>
        <w:t> </w:t>
      </w:r>
      <w:r>
        <w:rPr>
          <w:i/>
          <w:w w:val="105"/>
          <w:sz w:val="16"/>
        </w:rPr>
        <w:t>and</w:t>
      </w:r>
      <w:r>
        <w:rPr>
          <w:i/>
          <w:spacing w:val="-8"/>
          <w:w w:val="105"/>
          <w:sz w:val="16"/>
        </w:rPr>
        <w:t> </w:t>
      </w:r>
      <w:r>
        <w:rPr>
          <w:i/>
          <w:w w:val="105"/>
          <w:sz w:val="16"/>
        </w:rPr>
        <w:t>Chief</w:t>
      </w:r>
      <w:r>
        <w:rPr>
          <w:i/>
          <w:spacing w:val="-8"/>
          <w:w w:val="105"/>
          <w:sz w:val="16"/>
        </w:rPr>
        <w:t> </w:t>
      </w:r>
      <w:r>
        <w:rPr>
          <w:i/>
          <w:w w:val="105"/>
          <w:sz w:val="16"/>
        </w:rPr>
        <w:t>Executive</w:t>
      </w:r>
      <w:r>
        <w:rPr>
          <w:i/>
          <w:spacing w:val="-9"/>
          <w:w w:val="105"/>
          <w:sz w:val="16"/>
        </w:rPr>
        <w:t> </w:t>
      </w:r>
      <w:r>
        <w:rPr>
          <w:i/>
          <w:w w:val="105"/>
          <w:sz w:val="16"/>
        </w:rPr>
        <w:t>Officer,</w:t>
      </w:r>
      <w:r>
        <w:rPr>
          <w:i/>
          <w:spacing w:val="-8"/>
          <w:w w:val="105"/>
          <w:sz w:val="16"/>
        </w:rPr>
        <w:t> </w:t>
      </w:r>
      <w:r>
        <w:rPr>
          <w:i/>
          <w:w w:val="105"/>
          <w:sz w:val="16"/>
        </w:rPr>
        <w:t>Sarr</w:t>
      </w:r>
      <w:r>
        <w:rPr>
          <w:i/>
          <w:spacing w:val="-8"/>
          <w:w w:val="105"/>
          <w:sz w:val="16"/>
        </w:rPr>
        <w:t> </w:t>
      </w:r>
      <w:r>
        <w:rPr>
          <w:i/>
          <w:w w:val="105"/>
          <w:sz w:val="16"/>
        </w:rPr>
        <w:t>Group</w:t>
      </w:r>
      <w:r>
        <w:rPr>
          <w:i/>
          <w:spacing w:val="-9"/>
          <w:w w:val="105"/>
          <w:sz w:val="16"/>
        </w:rPr>
        <w:t> </w:t>
      </w:r>
      <w:r>
        <w:rPr>
          <w:i/>
          <w:spacing w:val="-5"/>
          <w:w w:val="105"/>
          <w:sz w:val="16"/>
        </w:rPr>
        <w:t>LLC</w:t>
      </w:r>
    </w:p>
    <w:p>
      <w:pPr>
        <w:pStyle w:val="BodyText"/>
        <w:spacing w:line="266" w:lineRule="auto" w:before="20"/>
        <w:ind w:left="156" w:right="146"/>
      </w:pPr>
      <w:r>
        <w:rPr>
          <w:w w:val="105"/>
        </w:rPr>
        <w:t>Mr.</w:t>
      </w:r>
      <w:r>
        <w:rPr>
          <w:spacing w:val="-8"/>
          <w:w w:val="105"/>
        </w:rPr>
        <w:t> </w:t>
      </w:r>
      <w:r>
        <w:rPr>
          <w:w w:val="105"/>
        </w:rPr>
        <w:t>Brun</w:t>
      </w:r>
      <w:r>
        <w:rPr>
          <w:spacing w:val="-8"/>
          <w:w w:val="105"/>
        </w:rPr>
        <w:t> </w:t>
      </w:r>
      <w:r>
        <w:rPr>
          <w:w w:val="105"/>
        </w:rPr>
        <w:t>is</w:t>
      </w:r>
      <w:r>
        <w:rPr>
          <w:spacing w:val="-8"/>
          <w:w w:val="105"/>
        </w:rPr>
        <w:t> </w:t>
      </w:r>
      <w:r>
        <w:rPr>
          <w:w w:val="105"/>
        </w:rPr>
        <w:t>chairman</w:t>
      </w:r>
      <w:r>
        <w:rPr>
          <w:spacing w:val="-8"/>
          <w:w w:val="105"/>
        </w:rPr>
        <w:t> </w:t>
      </w:r>
      <w:r>
        <w:rPr>
          <w:w w:val="105"/>
        </w:rPr>
        <w:t>and</w:t>
      </w:r>
      <w:r>
        <w:rPr>
          <w:spacing w:val="-8"/>
          <w:w w:val="105"/>
        </w:rPr>
        <w:t> </w:t>
      </w:r>
      <w:r>
        <w:rPr>
          <w:w w:val="105"/>
        </w:rPr>
        <w:t>chief</w:t>
      </w:r>
      <w:r>
        <w:rPr>
          <w:spacing w:val="-8"/>
          <w:w w:val="105"/>
        </w:rPr>
        <w:t> </w:t>
      </w:r>
      <w:r>
        <w:rPr>
          <w:w w:val="105"/>
        </w:rPr>
        <w:t>executive</w:t>
      </w:r>
      <w:r>
        <w:rPr>
          <w:spacing w:val="-8"/>
          <w:w w:val="105"/>
        </w:rPr>
        <w:t> </w:t>
      </w:r>
      <w:r>
        <w:rPr>
          <w:w w:val="105"/>
        </w:rPr>
        <w:t>officer</w:t>
      </w:r>
      <w:r>
        <w:rPr>
          <w:spacing w:val="-8"/>
          <w:w w:val="105"/>
        </w:rPr>
        <w:t> </w:t>
      </w:r>
      <w:r>
        <w:rPr>
          <w:w w:val="105"/>
        </w:rPr>
        <w:t>of</w:t>
      </w:r>
      <w:r>
        <w:rPr>
          <w:spacing w:val="-8"/>
          <w:w w:val="105"/>
        </w:rPr>
        <w:t> </w:t>
      </w:r>
      <w:r>
        <w:rPr>
          <w:w w:val="105"/>
        </w:rPr>
        <w:t>Sarr</w:t>
      </w:r>
      <w:r>
        <w:rPr>
          <w:spacing w:val="-8"/>
          <w:w w:val="105"/>
        </w:rPr>
        <w:t> </w:t>
      </w:r>
      <w:r>
        <w:rPr>
          <w:w w:val="105"/>
        </w:rPr>
        <w:t>Group,</w:t>
      </w:r>
      <w:r>
        <w:rPr>
          <w:spacing w:val="-8"/>
          <w:w w:val="105"/>
        </w:rPr>
        <w:t> </w:t>
      </w:r>
      <w:r>
        <w:rPr>
          <w:w w:val="105"/>
        </w:rPr>
        <w:t>LLC,</w:t>
      </w:r>
      <w:r>
        <w:rPr>
          <w:spacing w:val="-8"/>
          <w:w w:val="105"/>
        </w:rPr>
        <w:t> </w:t>
      </w:r>
      <w:r>
        <w:rPr>
          <w:w w:val="105"/>
        </w:rPr>
        <w:t>co-founder,</w:t>
      </w:r>
      <w:r>
        <w:rPr>
          <w:spacing w:val="-8"/>
          <w:w w:val="105"/>
        </w:rPr>
        <w:t> </w:t>
      </w:r>
      <w:r>
        <w:rPr>
          <w:w w:val="105"/>
        </w:rPr>
        <w:t>chairman</w:t>
      </w:r>
      <w:r>
        <w:rPr>
          <w:spacing w:val="-7"/>
          <w:w w:val="105"/>
        </w:rPr>
        <w:t> </w:t>
      </w:r>
      <w:r>
        <w:rPr>
          <w:w w:val="105"/>
        </w:rPr>
        <w:t>and</w:t>
      </w:r>
      <w:r>
        <w:rPr>
          <w:spacing w:val="-8"/>
          <w:w w:val="105"/>
        </w:rPr>
        <w:t> </w:t>
      </w:r>
      <w:r>
        <w:rPr>
          <w:w w:val="105"/>
        </w:rPr>
        <w:t>chief</w:t>
      </w:r>
      <w:r>
        <w:rPr>
          <w:spacing w:val="-8"/>
          <w:w w:val="105"/>
        </w:rPr>
        <w:t> </w:t>
      </w:r>
      <w:r>
        <w:rPr>
          <w:w w:val="105"/>
        </w:rPr>
        <w:t>executive</w:t>
      </w:r>
      <w:r>
        <w:rPr>
          <w:spacing w:val="-8"/>
          <w:w w:val="105"/>
        </w:rPr>
        <w:t> </w:t>
      </w:r>
      <w:r>
        <w:rPr>
          <w:w w:val="105"/>
        </w:rPr>
        <w:t>officer</w:t>
      </w:r>
      <w:r>
        <w:rPr>
          <w:spacing w:val="-8"/>
          <w:w w:val="105"/>
        </w:rPr>
        <w:t> </w:t>
      </w:r>
      <w:r>
        <w:rPr>
          <w:w w:val="105"/>
        </w:rPr>
        <w:t>of</w:t>
      </w:r>
      <w:r>
        <w:rPr>
          <w:spacing w:val="-8"/>
          <w:w w:val="105"/>
        </w:rPr>
        <w:t> </w:t>
      </w:r>
      <w:r>
        <w:rPr>
          <w:w w:val="105"/>
        </w:rPr>
        <w:t>Ariel</w:t>
      </w:r>
      <w:r>
        <w:rPr>
          <w:spacing w:val="-8"/>
          <w:w w:val="105"/>
        </w:rPr>
        <w:t> </w:t>
      </w:r>
      <w:r>
        <w:rPr>
          <w:w w:val="105"/>
        </w:rPr>
        <w:t>Alternatives,</w:t>
      </w:r>
      <w:r>
        <w:rPr>
          <w:spacing w:val="-8"/>
          <w:w w:val="105"/>
        </w:rPr>
        <w:t> </w:t>
      </w:r>
      <w:r>
        <w:rPr>
          <w:w w:val="105"/>
        </w:rPr>
        <w:t>LLC,</w:t>
      </w:r>
      <w:r>
        <w:rPr>
          <w:spacing w:val="-8"/>
          <w:w w:val="105"/>
        </w:rPr>
        <w:t> </w:t>
      </w:r>
      <w:r>
        <w:rPr>
          <w:w w:val="105"/>
        </w:rPr>
        <w:t>vice</w:t>
      </w:r>
      <w:r>
        <w:rPr>
          <w:spacing w:val="-8"/>
          <w:w w:val="105"/>
        </w:rPr>
        <w:t> </w:t>
      </w:r>
      <w:r>
        <w:rPr>
          <w:w w:val="105"/>
        </w:rPr>
        <w:t>chairman</w:t>
      </w:r>
      <w:r>
        <w:rPr>
          <w:spacing w:val="-8"/>
          <w:w w:val="105"/>
        </w:rPr>
        <w:t> </w:t>
      </w:r>
      <w:r>
        <w:rPr>
          <w:w w:val="105"/>
        </w:rPr>
        <w:t>and</w:t>
      </w:r>
      <w:r>
        <w:rPr>
          <w:spacing w:val="-8"/>
          <w:w w:val="105"/>
        </w:rPr>
        <w:t> </w:t>
      </w:r>
      <w:r>
        <w:rPr>
          <w:w w:val="105"/>
        </w:rPr>
        <w:t>senior advisor</w:t>
      </w:r>
      <w:r>
        <w:rPr>
          <w:spacing w:val="-2"/>
          <w:w w:val="105"/>
        </w:rPr>
        <w:t> </w:t>
      </w:r>
      <w:r>
        <w:rPr>
          <w:w w:val="105"/>
        </w:rPr>
        <w:t>of</w:t>
      </w:r>
      <w:r>
        <w:rPr>
          <w:spacing w:val="-2"/>
          <w:w w:val="105"/>
        </w:rPr>
        <w:t> </w:t>
      </w:r>
      <w:r>
        <w:rPr>
          <w:w w:val="105"/>
        </w:rPr>
        <w:t>G100</w:t>
      </w:r>
      <w:r>
        <w:rPr>
          <w:spacing w:val="-2"/>
          <w:w w:val="105"/>
        </w:rPr>
        <w:t> </w:t>
      </w:r>
      <w:r>
        <w:rPr>
          <w:w w:val="105"/>
        </w:rPr>
        <w:t>Companies</w:t>
      </w:r>
      <w:r>
        <w:rPr>
          <w:spacing w:val="-2"/>
          <w:w w:val="105"/>
        </w:rPr>
        <w:t> </w:t>
      </w:r>
      <w:r>
        <w:rPr>
          <w:w w:val="105"/>
        </w:rPr>
        <w:t>and</w:t>
      </w:r>
      <w:r>
        <w:rPr>
          <w:spacing w:val="-2"/>
          <w:w w:val="105"/>
        </w:rPr>
        <w:t> </w:t>
      </w:r>
      <w:r>
        <w:rPr>
          <w:w w:val="105"/>
        </w:rPr>
        <w:t>World</w:t>
      </w:r>
      <w:r>
        <w:rPr>
          <w:spacing w:val="-2"/>
          <w:w w:val="105"/>
        </w:rPr>
        <w:t> </w:t>
      </w:r>
      <w:r>
        <w:rPr>
          <w:w w:val="105"/>
        </w:rPr>
        <w:t>50</w:t>
      </w:r>
      <w:r>
        <w:rPr>
          <w:spacing w:val="-2"/>
          <w:w w:val="105"/>
        </w:rPr>
        <w:t> </w:t>
      </w:r>
      <w:r>
        <w:rPr>
          <w:w w:val="105"/>
        </w:rPr>
        <w:t>and</w:t>
      </w:r>
      <w:r>
        <w:rPr>
          <w:spacing w:val="-2"/>
          <w:w w:val="105"/>
        </w:rPr>
        <w:t> </w:t>
      </w:r>
      <w:r>
        <w:rPr>
          <w:w w:val="105"/>
        </w:rPr>
        <w:t>a member</w:t>
      </w:r>
      <w:r>
        <w:rPr>
          <w:spacing w:val="-2"/>
          <w:w w:val="105"/>
        </w:rPr>
        <w:t> </w:t>
      </w:r>
      <w:r>
        <w:rPr>
          <w:w w:val="105"/>
        </w:rPr>
        <w:t>of</w:t>
      </w:r>
      <w:r>
        <w:rPr>
          <w:spacing w:val="-2"/>
          <w:w w:val="105"/>
        </w:rPr>
        <w:t> </w:t>
      </w:r>
      <w:r>
        <w:rPr>
          <w:w w:val="105"/>
        </w:rPr>
        <w:t>the</w:t>
      </w:r>
      <w:r>
        <w:rPr>
          <w:spacing w:val="-2"/>
          <w:w w:val="105"/>
        </w:rPr>
        <w:t> </w:t>
      </w:r>
      <w:r>
        <w:rPr>
          <w:w w:val="105"/>
        </w:rPr>
        <w:t>Council</w:t>
      </w:r>
      <w:r>
        <w:rPr>
          <w:spacing w:val="-2"/>
          <w:w w:val="105"/>
        </w:rPr>
        <w:t> </w:t>
      </w:r>
      <w:r>
        <w:rPr>
          <w:w w:val="105"/>
        </w:rPr>
        <w:t>on</w:t>
      </w:r>
      <w:r>
        <w:rPr>
          <w:spacing w:val="-2"/>
          <w:w w:val="105"/>
        </w:rPr>
        <w:t> </w:t>
      </w:r>
      <w:r>
        <w:rPr>
          <w:w w:val="105"/>
        </w:rPr>
        <w:t>Foreign</w:t>
      </w:r>
      <w:r>
        <w:rPr>
          <w:spacing w:val="-2"/>
          <w:w w:val="105"/>
        </w:rPr>
        <w:t> </w:t>
      </w:r>
      <w:r>
        <w:rPr>
          <w:w w:val="105"/>
        </w:rPr>
        <w:t>Relations.</w:t>
      </w:r>
      <w:r>
        <w:rPr>
          <w:spacing w:val="-2"/>
          <w:w w:val="105"/>
        </w:rPr>
        <w:t> </w:t>
      </w:r>
      <w:r>
        <w:rPr>
          <w:w w:val="105"/>
        </w:rPr>
        <w:t>He</w:t>
      </w:r>
      <w:r>
        <w:rPr>
          <w:spacing w:val="-2"/>
          <w:w w:val="105"/>
        </w:rPr>
        <w:t> </w:t>
      </w:r>
      <w:r>
        <w:rPr>
          <w:w w:val="105"/>
        </w:rPr>
        <w:t>is</w:t>
      </w:r>
      <w:r>
        <w:rPr>
          <w:spacing w:val="-2"/>
          <w:w w:val="105"/>
        </w:rPr>
        <w:t> </w:t>
      </w:r>
      <w:r>
        <w:rPr>
          <w:w w:val="105"/>
        </w:rPr>
        <w:t>also</w:t>
      </w:r>
      <w:r>
        <w:rPr>
          <w:spacing w:val="-2"/>
          <w:w w:val="105"/>
        </w:rPr>
        <w:t> </w:t>
      </w:r>
      <w:r>
        <w:rPr>
          <w:w w:val="105"/>
        </w:rPr>
        <w:t>the</w:t>
      </w:r>
      <w:r>
        <w:rPr>
          <w:spacing w:val="-2"/>
          <w:w w:val="105"/>
        </w:rPr>
        <w:t> </w:t>
      </w:r>
      <w:r>
        <w:rPr>
          <w:w w:val="105"/>
        </w:rPr>
        <w:t>founder</w:t>
      </w:r>
      <w:r>
        <w:rPr>
          <w:spacing w:val="-2"/>
          <w:w w:val="105"/>
        </w:rPr>
        <w:t> </w:t>
      </w:r>
      <w:r>
        <w:rPr>
          <w:w w:val="105"/>
        </w:rPr>
        <w:t>and</w:t>
      </w:r>
      <w:r>
        <w:rPr>
          <w:spacing w:val="-2"/>
          <w:w w:val="105"/>
        </w:rPr>
        <w:t> </w:t>
      </w:r>
      <w:r>
        <w:rPr>
          <w:w w:val="105"/>
        </w:rPr>
        <w:t>former</w:t>
      </w:r>
      <w:r>
        <w:rPr>
          <w:spacing w:val="-2"/>
          <w:w w:val="105"/>
        </w:rPr>
        <w:t> </w:t>
      </w:r>
      <w:r>
        <w:rPr>
          <w:w w:val="105"/>
        </w:rPr>
        <w:t>chief</w:t>
      </w:r>
      <w:r>
        <w:rPr>
          <w:spacing w:val="-2"/>
          <w:w w:val="105"/>
        </w:rPr>
        <w:t> </w:t>
      </w:r>
      <w:r>
        <w:rPr>
          <w:w w:val="105"/>
        </w:rPr>
        <w:t>executive</w:t>
      </w:r>
      <w:r>
        <w:rPr>
          <w:spacing w:val="-2"/>
          <w:w w:val="105"/>
        </w:rPr>
        <w:t> </w:t>
      </w:r>
      <w:r>
        <w:rPr>
          <w:w w:val="105"/>
        </w:rPr>
        <w:t>officer</w:t>
      </w:r>
      <w:r>
        <w:rPr>
          <w:spacing w:val="-2"/>
          <w:w w:val="105"/>
        </w:rPr>
        <w:t> </w:t>
      </w:r>
      <w:r>
        <w:rPr>
          <w:w w:val="105"/>
        </w:rPr>
        <w:t>and</w:t>
      </w:r>
      <w:r>
        <w:rPr>
          <w:spacing w:val="-2"/>
          <w:w w:val="105"/>
        </w:rPr>
        <w:t> </w:t>
      </w:r>
      <w:r>
        <w:rPr>
          <w:w w:val="105"/>
        </w:rPr>
        <w:t>chairman</w:t>
      </w:r>
      <w:r>
        <w:rPr>
          <w:spacing w:val="-2"/>
          <w:w w:val="105"/>
        </w:rPr>
        <w:t> </w:t>
      </w:r>
      <w:r>
        <w:rPr>
          <w:w w:val="105"/>
        </w:rPr>
        <w:t>of Hamilton</w:t>
      </w:r>
      <w:r>
        <w:rPr>
          <w:spacing w:val="-6"/>
          <w:w w:val="105"/>
        </w:rPr>
        <w:t> </w:t>
      </w:r>
      <w:r>
        <w:rPr>
          <w:w w:val="105"/>
        </w:rPr>
        <w:t>Lane,</w:t>
      </w:r>
      <w:r>
        <w:rPr>
          <w:spacing w:val="-6"/>
          <w:w w:val="105"/>
        </w:rPr>
        <w:t> </w:t>
      </w:r>
      <w:r>
        <w:rPr>
          <w:w w:val="105"/>
        </w:rPr>
        <w:t>where</w:t>
      </w:r>
      <w:r>
        <w:rPr>
          <w:spacing w:val="-6"/>
          <w:w w:val="105"/>
        </w:rPr>
        <w:t> </w:t>
      </w:r>
      <w:r>
        <w:rPr>
          <w:w w:val="105"/>
        </w:rPr>
        <w:t>he</w:t>
      </w:r>
      <w:r>
        <w:rPr>
          <w:spacing w:val="-6"/>
          <w:w w:val="105"/>
        </w:rPr>
        <w:t> </w:t>
      </w:r>
      <w:r>
        <w:rPr>
          <w:w w:val="105"/>
        </w:rPr>
        <w:t>served</w:t>
      </w:r>
      <w:r>
        <w:rPr>
          <w:spacing w:val="-4"/>
          <w:w w:val="105"/>
        </w:rPr>
        <w:t> </w:t>
      </w:r>
      <w:r>
        <w:rPr>
          <w:w w:val="105"/>
        </w:rPr>
        <w:t>as</w:t>
      </w:r>
      <w:r>
        <w:rPr>
          <w:spacing w:val="-6"/>
          <w:w w:val="105"/>
        </w:rPr>
        <w:t> </w:t>
      </w:r>
      <w:r>
        <w:rPr>
          <w:w w:val="105"/>
        </w:rPr>
        <w:t>chief</w:t>
      </w:r>
      <w:r>
        <w:rPr>
          <w:spacing w:val="-6"/>
          <w:w w:val="105"/>
        </w:rPr>
        <w:t> </w:t>
      </w:r>
      <w:r>
        <w:rPr>
          <w:w w:val="105"/>
        </w:rPr>
        <w:t>executive</w:t>
      </w:r>
      <w:r>
        <w:rPr>
          <w:spacing w:val="-6"/>
          <w:w w:val="105"/>
        </w:rPr>
        <w:t> </w:t>
      </w:r>
      <w:r>
        <w:rPr>
          <w:w w:val="105"/>
        </w:rPr>
        <w:t>officer</w:t>
      </w:r>
      <w:r>
        <w:rPr>
          <w:spacing w:val="-6"/>
          <w:w w:val="105"/>
        </w:rPr>
        <w:t> </w:t>
      </w:r>
      <w:r>
        <w:rPr>
          <w:w w:val="105"/>
        </w:rPr>
        <w:t>and</w:t>
      </w:r>
      <w:r>
        <w:rPr>
          <w:spacing w:val="-6"/>
          <w:w w:val="105"/>
        </w:rPr>
        <w:t> </w:t>
      </w:r>
      <w:r>
        <w:rPr>
          <w:w w:val="105"/>
        </w:rPr>
        <w:t>chairman</w:t>
      </w:r>
      <w:r>
        <w:rPr>
          <w:spacing w:val="-6"/>
          <w:w w:val="105"/>
        </w:rPr>
        <w:t> </w:t>
      </w:r>
      <w:r>
        <w:rPr>
          <w:w w:val="105"/>
        </w:rPr>
        <w:t>from</w:t>
      </w:r>
      <w:r>
        <w:rPr>
          <w:spacing w:val="-6"/>
          <w:w w:val="105"/>
        </w:rPr>
        <w:t> </w:t>
      </w:r>
      <w:r>
        <w:rPr>
          <w:w w:val="105"/>
        </w:rPr>
        <w:t>1991</w:t>
      </w:r>
      <w:r>
        <w:rPr>
          <w:spacing w:val="-6"/>
          <w:w w:val="105"/>
        </w:rPr>
        <w:t> </w:t>
      </w:r>
      <w:r>
        <w:rPr>
          <w:w w:val="105"/>
        </w:rPr>
        <w:t>until</w:t>
      </w:r>
      <w:r>
        <w:rPr>
          <w:spacing w:val="-6"/>
          <w:w w:val="105"/>
        </w:rPr>
        <w:t> </w:t>
      </w:r>
      <w:r>
        <w:rPr>
          <w:w w:val="105"/>
        </w:rPr>
        <w:t>2005,</w:t>
      </w:r>
      <w:r>
        <w:rPr>
          <w:spacing w:val="-6"/>
          <w:w w:val="105"/>
        </w:rPr>
        <w:t> </w:t>
      </w:r>
      <w:r>
        <w:rPr>
          <w:w w:val="105"/>
        </w:rPr>
        <w:t>former</w:t>
      </w:r>
      <w:r>
        <w:rPr>
          <w:spacing w:val="-6"/>
          <w:w w:val="105"/>
        </w:rPr>
        <w:t> </w:t>
      </w:r>
      <w:r>
        <w:rPr>
          <w:w w:val="105"/>
        </w:rPr>
        <w:t>lead</w:t>
      </w:r>
      <w:r>
        <w:rPr>
          <w:spacing w:val="-6"/>
          <w:w w:val="105"/>
        </w:rPr>
        <w:t> </w:t>
      </w:r>
      <w:r>
        <w:rPr>
          <w:w w:val="105"/>
        </w:rPr>
        <w:t>director</w:t>
      </w:r>
      <w:r>
        <w:rPr>
          <w:spacing w:val="-6"/>
          <w:w w:val="105"/>
        </w:rPr>
        <w:t> </w:t>
      </w:r>
      <w:r>
        <w:rPr>
          <w:w w:val="105"/>
        </w:rPr>
        <w:t>of</w:t>
      </w:r>
      <w:r>
        <w:rPr>
          <w:spacing w:val="-6"/>
          <w:w w:val="105"/>
        </w:rPr>
        <w:t> </w:t>
      </w:r>
      <w:r>
        <w:rPr>
          <w:w w:val="105"/>
        </w:rPr>
        <w:t>Merck</w:t>
      </w:r>
      <w:r>
        <w:rPr>
          <w:spacing w:val="-6"/>
          <w:w w:val="105"/>
        </w:rPr>
        <w:t> </w:t>
      </w:r>
      <w:r>
        <w:rPr>
          <w:w w:val="105"/>
        </w:rPr>
        <w:t>&amp;</w:t>
      </w:r>
      <w:r>
        <w:rPr>
          <w:spacing w:val="-6"/>
          <w:w w:val="105"/>
        </w:rPr>
        <w:t> </w:t>
      </w:r>
      <w:r>
        <w:rPr>
          <w:w w:val="105"/>
        </w:rPr>
        <w:t>Co.,</w:t>
      </w:r>
      <w:r>
        <w:rPr>
          <w:spacing w:val="-6"/>
          <w:w w:val="105"/>
        </w:rPr>
        <w:t> </w:t>
      </w:r>
      <w:r>
        <w:rPr>
          <w:w w:val="105"/>
        </w:rPr>
        <w:t>Inc.;</w:t>
      </w:r>
      <w:r>
        <w:rPr>
          <w:spacing w:val="-6"/>
          <w:w w:val="105"/>
        </w:rPr>
        <w:t> </w:t>
      </w:r>
      <w:r>
        <w:rPr>
          <w:w w:val="105"/>
        </w:rPr>
        <w:t>a</w:t>
      </w:r>
      <w:r>
        <w:rPr>
          <w:spacing w:val="-4"/>
          <w:w w:val="105"/>
        </w:rPr>
        <w:t> </w:t>
      </w:r>
      <w:r>
        <w:rPr>
          <w:w w:val="105"/>
        </w:rPr>
        <w:t>former</w:t>
      </w:r>
      <w:r>
        <w:rPr>
          <w:spacing w:val="-6"/>
          <w:w w:val="105"/>
        </w:rPr>
        <w:t> </w:t>
      </w:r>
      <w:r>
        <w:rPr>
          <w:w w:val="105"/>
        </w:rPr>
        <w:t>director</w:t>
      </w:r>
      <w:r>
        <w:rPr>
          <w:spacing w:val="-6"/>
          <w:w w:val="105"/>
        </w:rPr>
        <w:t> </w:t>
      </w:r>
      <w:r>
        <w:rPr>
          <w:w w:val="105"/>
        </w:rPr>
        <w:t>and</w:t>
      </w:r>
      <w:r>
        <w:rPr>
          <w:spacing w:val="-6"/>
          <w:w w:val="105"/>
        </w:rPr>
        <w:t> </w:t>
      </w:r>
      <w:r>
        <w:rPr>
          <w:w w:val="105"/>
        </w:rPr>
        <w:t>chairman</w:t>
      </w:r>
      <w:r>
        <w:rPr>
          <w:spacing w:val="-6"/>
          <w:w w:val="105"/>
        </w:rPr>
        <w:t> </w:t>
      </w:r>
      <w:r>
        <w:rPr>
          <w:w w:val="105"/>
        </w:rPr>
        <w:t>of the</w:t>
      </w:r>
      <w:r>
        <w:rPr>
          <w:spacing w:val="-2"/>
          <w:w w:val="105"/>
        </w:rPr>
        <w:t> </w:t>
      </w:r>
      <w:r>
        <w:rPr>
          <w:w w:val="105"/>
        </w:rPr>
        <w:t>board</w:t>
      </w:r>
      <w:r>
        <w:rPr>
          <w:spacing w:val="-2"/>
          <w:w w:val="105"/>
        </w:rPr>
        <w:t> </w:t>
      </w:r>
      <w:r>
        <w:rPr>
          <w:w w:val="105"/>
        </w:rPr>
        <w:t>of</w:t>
      </w:r>
      <w:r>
        <w:rPr>
          <w:spacing w:val="-2"/>
          <w:w w:val="105"/>
        </w:rPr>
        <w:t> </w:t>
      </w:r>
      <w:r>
        <w:rPr>
          <w:w w:val="105"/>
        </w:rPr>
        <w:t>Automatic</w:t>
      </w:r>
      <w:r>
        <w:rPr>
          <w:spacing w:val="-2"/>
          <w:w w:val="105"/>
        </w:rPr>
        <w:t> </w:t>
      </w:r>
      <w:r>
        <w:rPr>
          <w:w w:val="105"/>
        </w:rPr>
        <w:t>Data</w:t>
      </w:r>
      <w:r>
        <w:rPr>
          <w:spacing w:val="-2"/>
          <w:w w:val="105"/>
        </w:rPr>
        <w:t> </w:t>
      </w:r>
      <w:r>
        <w:rPr>
          <w:w w:val="105"/>
        </w:rPr>
        <w:t>Processing,</w:t>
      </w:r>
      <w:r>
        <w:rPr>
          <w:spacing w:val="-2"/>
          <w:w w:val="105"/>
        </w:rPr>
        <w:t> </w:t>
      </w:r>
      <w:r>
        <w:rPr>
          <w:w w:val="105"/>
        </w:rPr>
        <w:t>Inc.,</w:t>
      </w:r>
      <w:r>
        <w:rPr>
          <w:spacing w:val="-2"/>
          <w:w w:val="105"/>
        </w:rPr>
        <w:t> </w:t>
      </w:r>
      <w:r>
        <w:rPr>
          <w:w w:val="105"/>
        </w:rPr>
        <w:t>and</w:t>
      </w:r>
      <w:r>
        <w:rPr>
          <w:spacing w:val="-2"/>
          <w:w w:val="105"/>
        </w:rPr>
        <w:t> </w:t>
      </w:r>
      <w:r>
        <w:rPr>
          <w:w w:val="105"/>
        </w:rPr>
        <w:t>a</w:t>
      </w:r>
      <w:r>
        <w:rPr>
          <w:spacing w:val="-2"/>
          <w:w w:val="105"/>
        </w:rPr>
        <w:t> </w:t>
      </w:r>
      <w:r>
        <w:rPr>
          <w:w w:val="105"/>
        </w:rPr>
        <w:t>former</w:t>
      </w:r>
      <w:r>
        <w:rPr>
          <w:spacing w:val="-2"/>
          <w:w w:val="105"/>
        </w:rPr>
        <w:t> </w:t>
      </w:r>
      <w:r>
        <w:rPr>
          <w:w w:val="105"/>
        </w:rPr>
        <w:t>director</w:t>
      </w:r>
      <w:r>
        <w:rPr>
          <w:spacing w:val="-2"/>
          <w:w w:val="105"/>
        </w:rPr>
        <w:t> </w:t>
      </w:r>
      <w:r>
        <w:rPr>
          <w:w w:val="105"/>
        </w:rPr>
        <w:t>of</w:t>
      </w:r>
      <w:r>
        <w:rPr>
          <w:spacing w:val="-2"/>
          <w:w w:val="105"/>
        </w:rPr>
        <w:t> </w:t>
      </w:r>
      <w:r>
        <w:rPr>
          <w:w w:val="105"/>
        </w:rPr>
        <w:t>Hewlett</w:t>
      </w:r>
      <w:r>
        <w:rPr>
          <w:spacing w:val="-2"/>
          <w:w w:val="105"/>
        </w:rPr>
        <w:t> </w:t>
      </w:r>
      <w:r>
        <w:rPr>
          <w:w w:val="105"/>
        </w:rPr>
        <w:t>Packard</w:t>
      </w:r>
      <w:r>
        <w:rPr>
          <w:spacing w:val="-2"/>
          <w:w w:val="105"/>
        </w:rPr>
        <w:t> </w:t>
      </w:r>
      <w:r>
        <w:rPr>
          <w:w w:val="105"/>
        </w:rPr>
        <w:t>Enterprise</w:t>
      </w:r>
      <w:r>
        <w:rPr>
          <w:spacing w:val="-2"/>
          <w:w w:val="105"/>
        </w:rPr>
        <w:t> </w:t>
      </w:r>
      <w:r>
        <w:rPr>
          <w:w w:val="105"/>
        </w:rPr>
        <w:t>Company.</w:t>
      </w:r>
      <w:r>
        <w:rPr>
          <w:spacing w:val="-2"/>
          <w:w w:val="105"/>
        </w:rPr>
        <w:t> </w:t>
      </w:r>
      <w:r>
        <w:rPr>
          <w:w w:val="105"/>
        </w:rPr>
        <w:t>In</w:t>
      </w:r>
      <w:r>
        <w:rPr>
          <w:spacing w:val="-2"/>
          <w:w w:val="105"/>
        </w:rPr>
        <w:t> </w:t>
      </w:r>
      <w:r>
        <w:rPr>
          <w:w w:val="105"/>
        </w:rPr>
        <w:t>addition,</w:t>
      </w:r>
      <w:r>
        <w:rPr>
          <w:spacing w:val="-2"/>
          <w:w w:val="105"/>
        </w:rPr>
        <w:t> </w:t>
      </w:r>
      <w:r>
        <w:rPr>
          <w:w w:val="105"/>
        </w:rPr>
        <w:t>Mr.</w:t>
      </w:r>
      <w:r>
        <w:rPr>
          <w:spacing w:val="-2"/>
          <w:w w:val="105"/>
        </w:rPr>
        <w:t> </w:t>
      </w:r>
      <w:r>
        <w:rPr>
          <w:w w:val="105"/>
        </w:rPr>
        <w:t>Brun</w:t>
      </w:r>
      <w:r>
        <w:rPr>
          <w:spacing w:val="-2"/>
          <w:w w:val="105"/>
        </w:rPr>
        <w:t> </w:t>
      </w:r>
      <w:r>
        <w:rPr>
          <w:w w:val="105"/>
        </w:rPr>
        <w:t>also</w:t>
      </w:r>
      <w:r>
        <w:rPr>
          <w:spacing w:val="-2"/>
          <w:w w:val="105"/>
        </w:rPr>
        <w:t> </w:t>
      </w:r>
      <w:r>
        <w:rPr>
          <w:w w:val="105"/>
        </w:rPr>
        <w:t>served</w:t>
      </w:r>
      <w:r>
        <w:rPr>
          <w:spacing w:val="-2"/>
          <w:w w:val="105"/>
        </w:rPr>
        <w:t> </w:t>
      </w:r>
      <w:r>
        <w:rPr>
          <w:w w:val="105"/>
        </w:rPr>
        <w:t>as</w:t>
      </w:r>
      <w:r>
        <w:rPr>
          <w:spacing w:val="-2"/>
          <w:w w:val="105"/>
        </w:rPr>
        <w:t> </w:t>
      </w:r>
      <w:r>
        <w:rPr>
          <w:w w:val="105"/>
        </w:rPr>
        <w:t>a</w:t>
      </w:r>
      <w:r>
        <w:rPr>
          <w:spacing w:val="-2"/>
          <w:w w:val="105"/>
        </w:rPr>
        <w:t> </w:t>
      </w:r>
      <w:r>
        <w:rPr>
          <w:w w:val="105"/>
        </w:rPr>
        <w:t>managing</w:t>
      </w:r>
      <w:r>
        <w:rPr>
          <w:spacing w:val="-2"/>
          <w:w w:val="105"/>
        </w:rPr>
        <w:t> </w:t>
      </w:r>
      <w:r>
        <w:rPr>
          <w:w w:val="105"/>
        </w:rPr>
        <w:t>director</w:t>
      </w:r>
      <w:r>
        <w:rPr>
          <w:spacing w:val="-2"/>
          <w:w w:val="105"/>
        </w:rPr>
        <w:t> </w:t>
      </w:r>
      <w:r>
        <w:rPr>
          <w:w w:val="105"/>
        </w:rPr>
        <w:t>and co-founder</w:t>
      </w:r>
      <w:r>
        <w:rPr>
          <w:spacing w:val="-5"/>
          <w:w w:val="105"/>
        </w:rPr>
        <w:t> </w:t>
      </w:r>
      <w:r>
        <w:rPr>
          <w:w w:val="105"/>
        </w:rPr>
        <w:t>of</w:t>
      </w:r>
      <w:r>
        <w:rPr>
          <w:spacing w:val="-5"/>
          <w:w w:val="105"/>
        </w:rPr>
        <w:t> </w:t>
      </w:r>
      <w:r>
        <w:rPr>
          <w:w w:val="105"/>
        </w:rPr>
        <w:t>the</w:t>
      </w:r>
      <w:r>
        <w:rPr>
          <w:spacing w:val="-5"/>
          <w:w w:val="105"/>
        </w:rPr>
        <w:t> </w:t>
      </w:r>
      <w:r>
        <w:rPr>
          <w:w w:val="105"/>
        </w:rPr>
        <w:t>investment</w:t>
      </w:r>
      <w:r>
        <w:rPr>
          <w:spacing w:val="-5"/>
          <w:w w:val="105"/>
        </w:rPr>
        <w:t> </w:t>
      </w:r>
      <w:r>
        <w:rPr>
          <w:w w:val="105"/>
        </w:rPr>
        <w:t>banking</w:t>
      </w:r>
      <w:r>
        <w:rPr>
          <w:spacing w:val="-5"/>
          <w:w w:val="105"/>
        </w:rPr>
        <w:t> </w:t>
      </w:r>
      <w:r>
        <w:rPr>
          <w:w w:val="105"/>
        </w:rPr>
        <w:t>group</w:t>
      </w:r>
      <w:r>
        <w:rPr>
          <w:spacing w:val="-5"/>
          <w:w w:val="105"/>
        </w:rPr>
        <w:t> </w:t>
      </w:r>
      <w:r>
        <w:rPr>
          <w:w w:val="105"/>
        </w:rPr>
        <w:t>of</w:t>
      </w:r>
      <w:r>
        <w:rPr>
          <w:spacing w:val="-5"/>
          <w:w w:val="105"/>
        </w:rPr>
        <w:t> </w:t>
      </w:r>
      <w:r>
        <w:rPr>
          <w:w w:val="105"/>
        </w:rPr>
        <w:t>Fidelity</w:t>
      </w:r>
      <w:r>
        <w:rPr>
          <w:spacing w:val="-5"/>
          <w:w w:val="105"/>
        </w:rPr>
        <w:t> </w:t>
      </w:r>
      <w:r>
        <w:rPr>
          <w:w w:val="105"/>
        </w:rPr>
        <w:t>Bank,</w:t>
      </w:r>
      <w:r>
        <w:rPr>
          <w:spacing w:val="-5"/>
          <w:w w:val="105"/>
        </w:rPr>
        <w:t> </w:t>
      </w:r>
      <w:r>
        <w:rPr>
          <w:w w:val="105"/>
        </w:rPr>
        <w:t>and</w:t>
      </w:r>
      <w:r>
        <w:rPr>
          <w:spacing w:val="-5"/>
          <w:w w:val="105"/>
        </w:rPr>
        <w:t> </w:t>
      </w:r>
      <w:r>
        <w:rPr>
          <w:w w:val="105"/>
        </w:rPr>
        <w:t>vice</w:t>
      </w:r>
      <w:r>
        <w:rPr>
          <w:spacing w:val="-5"/>
          <w:w w:val="105"/>
        </w:rPr>
        <w:t> </w:t>
      </w:r>
      <w:r>
        <w:rPr>
          <w:w w:val="105"/>
        </w:rPr>
        <w:t>president</w:t>
      </w:r>
      <w:r>
        <w:rPr>
          <w:spacing w:val="-5"/>
          <w:w w:val="105"/>
        </w:rPr>
        <w:t> </w:t>
      </w:r>
      <w:r>
        <w:rPr>
          <w:w w:val="105"/>
        </w:rPr>
        <w:t>in</w:t>
      </w:r>
      <w:r>
        <w:rPr>
          <w:spacing w:val="-5"/>
          <w:w w:val="105"/>
        </w:rPr>
        <w:t> </w:t>
      </w:r>
      <w:r>
        <w:rPr>
          <w:w w:val="105"/>
        </w:rPr>
        <w:t>the</w:t>
      </w:r>
      <w:r>
        <w:rPr>
          <w:spacing w:val="-5"/>
          <w:w w:val="105"/>
        </w:rPr>
        <w:t> </w:t>
      </w:r>
      <w:r>
        <w:rPr>
          <w:w w:val="105"/>
        </w:rPr>
        <w:t>corporate</w:t>
      </w:r>
      <w:r>
        <w:rPr>
          <w:spacing w:val="-5"/>
          <w:w w:val="105"/>
        </w:rPr>
        <w:t> </w:t>
      </w:r>
      <w:r>
        <w:rPr>
          <w:w w:val="105"/>
        </w:rPr>
        <w:t>finance</w:t>
      </w:r>
      <w:r>
        <w:rPr>
          <w:spacing w:val="-5"/>
          <w:w w:val="105"/>
        </w:rPr>
        <w:t> </w:t>
      </w:r>
      <w:r>
        <w:rPr>
          <w:w w:val="105"/>
        </w:rPr>
        <w:t>division</w:t>
      </w:r>
      <w:r>
        <w:rPr>
          <w:spacing w:val="-5"/>
          <w:w w:val="105"/>
        </w:rPr>
        <w:t> </w:t>
      </w:r>
      <w:r>
        <w:rPr>
          <w:w w:val="105"/>
        </w:rPr>
        <w:t>of</w:t>
      </w:r>
      <w:r>
        <w:rPr>
          <w:spacing w:val="-5"/>
          <w:w w:val="105"/>
        </w:rPr>
        <w:t> </w:t>
      </w:r>
      <w:r>
        <w:rPr>
          <w:w w:val="105"/>
        </w:rPr>
        <w:t>E.F.</w:t>
      </w:r>
      <w:r>
        <w:rPr>
          <w:spacing w:val="-5"/>
          <w:w w:val="105"/>
        </w:rPr>
        <w:t> </w:t>
      </w:r>
      <w:r>
        <w:rPr>
          <w:w w:val="105"/>
        </w:rPr>
        <w:t>Hutton</w:t>
      </w:r>
      <w:r>
        <w:rPr>
          <w:spacing w:val="-5"/>
          <w:w w:val="105"/>
        </w:rPr>
        <w:t> </w:t>
      </w:r>
      <w:r>
        <w:rPr>
          <w:w w:val="105"/>
        </w:rPr>
        <w:t>&amp;</w:t>
      </w:r>
      <w:r>
        <w:rPr>
          <w:spacing w:val="-5"/>
          <w:w w:val="105"/>
        </w:rPr>
        <w:t> </w:t>
      </w:r>
      <w:r>
        <w:rPr>
          <w:w w:val="105"/>
        </w:rPr>
        <w:t>Co.</w:t>
      </w:r>
      <w:r>
        <w:rPr>
          <w:spacing w:val="-5"/>
          <w:w w:val="105"/>
        </w:rPr>
        <w:t> </w:t>
      </w:r>
      <w:r>
        <w:rPr>
          <w:w w:val="105"/>
        </w:rPr>
        <w:t>Mr.</w:t>
      </w:r>
      <w:r>
        <w:rPr>
          <w:spacing w:val="-5"/>
          <w:w w:val="105"/>
        </w:rPr>
        <w:t> </w:t>
      </w:r>
      <w:r>
        <w:rPr>
          <w:w w:val="105"/>
        </w:rPr>
        <w:t>Brun</w:t>
      </w:r>
      <w:r>
        <w:rPr>
          <w:spacing w:val="-5"/>
          <w:w w:val="105"/>
        </w:rPr>
        <w:t> </w:t>
      </w:r>
      <w:r>
        <w:rPr>
          <w:w w:val="105"/>
        </w:rPr>
        <w:t>joined</w:t>
      </w:r>
      <w:r>
        <w:rPr>
          <w:spacing w:val="-5"/>
          <w:w w:val="105"/>
        </w:rPr>
        <w:t> </w:t>
      </w:r>
      <w:r>
        <w:rPr>
          <w:w w:val="105"/>
        </w:rPr>
        <w:t>Corning’s</w:t>
      </w:r>
      <w:r>
        <w:rPr>
          <w:spacing w:val="-5"/>
          <w:w w:val="105"/>
        </w:rPr>
        <w:t> </w:t>
      </w:r>
      <w:r>
        <w:rPr>
          <w:w w:val="105"/>
        </w:rPr>
        <w:t>Board</w:t>
      </w:r>
      <w:r>
        <w:rPr>
          <w:spacing w:val="-5"/>
          <w:w w:val="105"/>
        </w:rPr>
        <w:t> </w:t>
      </w:r>
      <w:r>
        <w:rPr>
          <w:w w:val="105"/>
        </w:rPr>
        <w:t>in 2018. Age 69.</w:t>
      </w:r>
    </w:p>
    <w:p>
      <w:pPr>
        <w:pStyle w:val="BodyText"/>
        <w:spacing w:before="17"/>
      </w:pPr>
    </w:p>
    <w:p>
      <w:pPr>
        <w:spacing w:before="1"/>
        <w:ind w:left="156" w:right="0" w:firstLine="0"/>
        <w:jc w:val="left"/>
        <w:rPr>
          <w:i/>
          <w:sz w:val="16"/>
        </w:rPr>
      </w:pPr>
      <w:r>
        <w:rPr>
          <w:i/>
          <w:w w:val="105"/>
          <w:sz w:val="16"/>
        </w:rPr>
        <w:t>Stephanie</w:t>
      </w:r>
      <w:r>
        <w:rPr>
          <w:i/>
          <w:spacing w:val="-10"/>
          <w:w w:val="105"/>
          <w:sz w:val="16"/>
        </w:rPr>
        <w:t> </w:t>
      </w:r>
      <w:r>
        <w:rPr>
          <w:i/>
          <w:w w:val="105"/>
          <w:sz w:val="16"/>
        </w:rPr>
        <w:t>A.</w:t>
      </w:r>
      <w:r>
        <w:rPr>
          <w:i/>
          <w:spacing w:val="-9"/>
          <w:w w:val="105"/>
          <w:sz w:val="16"/>
        </w:rPr>
        <w:t> </w:t>
      </w:r>
      <w:r>
        <w:rPr>
          <w:i/>
          <w:w w:val="105"/>
          <w:sz w:val="16"/>
        </w:rPr>
        <w:t>Burns</w:t>
      </w:r>
      <w:r>
        <w:rPr>
          <w:i/>
          <w:spacing w:val="25"/>
          <w:w w:val="105"/>
          <w:sz w:val="16"/>
        </w:rPr>
        <w:t> </w:t>
      </w:r>
      <w:r>
        <w:rPr>
          <w:i/>
          <w:w w:val="105"/>
          <w:sz w:val="16"/>
        </w:rPr>
        <w:t>Retired</w:t>
      </w:r>
      <w:r>
        <w:rPr>
          <w:i/>
          <w:spacing w:val="-10"/>
          <w:w w:val="105"/>
          <w:sz w:val="16"/>
        </w:rPr>
        <w:t> </w:t>
      </w:r>
      <w:r>
        <w:rPr>
          <w:i/>
          <w:w w:val="105"/>
          <w:sz w:val="16"/>
        </w:rPr>
        <w:t>Chairman</w:t>
      </w:r>
      <w:r>
        <w:rPr>
          <w:i/>
          <w:spacing w:val="-9"/>
          <w:w w:val="105"/>
          <w:sz w:val="16"/>
        </w:rPr>
        <w:t> </w:t>
      </w:r>
      <w:r>
        <w:rPr>
          <w:i/>
          <w:w w:val="105"/>
          <w:sz w:val="16"/>
        </w:rPr>
        <w:t>and</w:t>
      </w:r>
      <w:r>
        <w:rPr>
          <w:i/>
          <w:spacing w:val="-9"/>
          <w:w w:val="105"/>
          <w:sz w:val="16"/>
        </w:rPr>
        <w:t> </w:t>
      </w:r>
      <w:r>
        <w:rPr>
          <w:i/>
          <w:w w:val="105"/>
          <w:sz w:val="16"/>
        </w:rPr>
        <w:t>Chief</w:t>
      </w:r>
      <w:r>
        <w:rPr>
          <w:i/>
          <w:spacing w:val="-9"/>
          <w:w w:val="105"/>
          <w:sz w:val="16"/>
        </w:rPr>
        <w:t> </w:t>
      </w:r>
      <w:r>
        <w:rPr>
          <w:i/>
          <w:w w:val="105"/>
          <w:sz w:val="16"/>
        </w:rPr>
        <w:t>Executive</w:t>
      </w:r>
      <w:r>
        <w:rPr>
          <w:i/>
          <w:spacing w:val="-9"/>
          <w:w w:val="105"/>
          <w:sz w:val="16"/>
        </w:rPr>
        <w:t> </w:t>
      </w:r>
      <w:r>
        <w:rPr>
          <w:i/>
          <w:w w:val="105"/>
          <w:sz w:val="16"/>
        </w:rPr>
        <w:t>Officer,</w:t>
      </w:r>
      <w:r>
        <w:rPr>
          <w:i/>
          <w:spacing w:val="-9"/>
          <w:w w:val="105"/>
          <w:sz w:val="16"/>
        </w:rPr>
        <w:t> </w:t>
      </w:r>
      <w:r>
        <w:rPr>
          <w:i/>
          <w:w w:val="105"/>
          <w:sz w:val="16"/>
        </w:rPr>
        <w:t>Dow</w:t>
      </w:r>
      <w:r>
        <w:rPr>
          <w:i/>
          <w:spacing w:val="-9"/>
          <w:w w:val="105"/>
          <w:sz w:val="16"/>
        </w:rPr>
        <w:t> </w:t>
      </w:r>
      <w:r>
        <w:rPr>
          <w:i/>
          <w:w w:val="105"/>
          <w:sz w:val="16"/>
        </w:rPr>
        <w:t>Corning</w:t>
      </w:r>
      <w:r>
        <w:rPr>
          <w:i/>
          <w:spacing w:val="-10"/>
          <w:w w:val="105"/>
          <w:sz w:val="16"/>
        </w:rPr>
        <w:t> </w:t>
      </w:r>
      <w:r>
        <w:rPr>
          <w:i/>
          <w:spacing w:val="-2"/>
          <w:w w:val="105"/>
          <w:sz w:val="16"/>
        </w:rPr>
        <w:t>Corporation</w:t>
      </w:r>
    </w:p>
    <w:p>
      <w:pPr>
        <w:pStyle w:val="BodyText"/>
        <w:spacing w:line="266" w:lineRule="auto" w:before="19"/>
        <w:ind w:left="156"/>
      </w:pPr>
      <w:r>
        <w:rPr>
          <w:w w:val="105"/>
        </w:rPr>
        <w:t>Dr.</w:t>
      </w:r>
      <w:r>
        <w:rPr>
          <w:spacing w:val="-8"/>
          <w:w w:val="105"/>
        </w:rPr>
        <w:t> </w:t>
      </w:r>
      <w:r>
        <w:rPr>
          <w:w w:val="105"/>
        </w:rPr>
        <w:t>Burns</w:t>
      </w:r>
      <w:r>
        <w:rPr>
          <w:spacing w:val="-8"/>
          <w:w w:val="105"/>
        </w:rPr>
        <w:t> </w:t>
      </w:r>
      <w:r>
        <w:rPr>
          <w:w w:val="105"/>
        </w:rPr>
        <w:t>has</w:t>
      </w:r>
      <w:r>
        <w:rPr>
          <w:spacing w:val="-8"/>
          <w:w w:val="105"/>
        </w:rPr>
        <w:t> </w:t>
      </w:r>
      <w:r>
        <w:rPr>
          <w:w w:val="105"/>
        </w:rPr>
        <w:t>nearly</w:t>
      </w:r>
      <w:r>
        <w:rPr>
          <w:spacing w:val="-8"/>
          <w:w w:val="105"/>
        </w:rPr>
        <w:t> </w:t>
      </w:r>
      <w:r>
        <w:rPr>
          <w:w w:val="105"/>
        </w:rPr>
        <w:t>37</w:t>
      </w:r>
      <w:r>
        <w:rPr>
          <w:spacing w:val="-8"/>
          <w:w w:val="105"/>
        </w:rPr>
        <w:t> </w:t>
      </w:r>
      <w:r>
        <w:rPr>
          <w:w w:val="105"/>
        </w:rPr>
        <w:t>years</w:t>
      </w:r>
      <w:r>
        <w:rPr>
          <w:spacing w:val="-8"/>
          <w:w w:val="105"/>
        </w:rPr>
        <w:t> </w:t>
      </w:r>
      <w:r>
        <w:rPr>
          <w:w w:val="105"/>
        </w:rPr>
        <w:t>of</w:t>
      </w:r>
      <w:r>
        <w:rPr>
          <w:spacing w:val="-8"/>
          <w:w w:val="105"/>
        </w:rPr>
        <w:t> </w:t>
      </w:r>
      <w:r>
        <w:rPr>
          <w:w w:val="105"/>
        </w:rPr>
        <w:t>global</w:t>
      </w:r>
      <w:r>
        <w:rPr>
          <w:spacing w:val="-6"/>
          <w:w w:val="105"/>
        </w:rPr>
        <w:t> </w:t>
      </w:r>
      <w:r>
        <w:rPr>
          <w:w w:val="105"/>
        </w:rPr>
        <w:t>innovation</w:t>
      </w:r>
      <w:r>
        <w:rPr>
          <w:spacing w:val="-8"/>
          <w:w w:val="105"/>
        </w:rPr>
        <w:t> </w:t>
      </w:r>
      <w:r>
        <w:rPr>
          <w:w w:val="105"/>
        </w:rPr>
        <w:t>and</w:t>
      </w:r>
      <w:r>
        <w:rPr>
          <w:spacing w:val="-8"/>
          <w:w w:val="105"/>
        </w:rPr>
        <w:t> </w:t>
      </w:r>
      <w:r>
        <w:rPr>
          <w:w w:val="105"/>
        </w:rPr>
        <w:t>business</w:t>
      </w:r>
      <w:r>
        <w:rPr>
          <w:spacing w:val="-8"/>
          <w:w w:val="105"/>
        </w:rPr>
        <w:t> </w:t>
      </w:r>
      <w:r>
        <w:rPr>
          <w:w w:val="105"/>
        </w:rPr>
        <w:t>leadership</w:t>
      </w:r>
      <w:r>
        <w:rPr>
          <w:spacing w:val="-6"/>
          <w:w w:val="105"/>
        </w:rPr>
        <w:t> </w:t>
      </w:r>
      <w:r>
        <w:rPr>
          <w:w w:val="105"/>
        </w:rPr>
        <w:t>experience.</w:t>
      </w:r>
      <w:r>
        <w:rPr>
          <w:spacing w:val="-8"/>
          <w:w w:val="105"/>
        </w:rPr>
        <w:t> </w:t>
      </w:r>
      <w:r>
        <w:rPr>
          <w:w w:val="105"/>
        </w:rPr>
        <w:t>Dr.</w:t>
      </w:r>
      <w:r>
        <w:rPr>
          <w:spacing w:val="-8"/>
          <w:w w:val="105"/>
        </w:rPr>
        <w:t> </w:t>
      </w:r>
      <w:r>
        <w:rPr>
          <w:w w:val="105"/>
        </w:rPr>
        <w:t>Burns</w:t>
      </w:r>
      <w:r>
        <w:rPr>
          <w:spacing w:val="-8"/>
          <w:w w:val="105"/>
        </w:rPr>
        <w:t> </w:t>
      </w:r>
      <w:r>
        <w:rPr>
          <w:w w:val="105"/>
        </w:rPr>
        <w:t>joined</w:t>
      </w:r>
      <w:r>
        <w:rPr>
          <w:spacing w:val="-8"/>
          <w:w w:val="105"/>
        </w:rPr>
        <w:t> </w:t>
      </w:r>
      <w:r>
        <w:rPr>
          <w:w w:val="105"/>
        </w:rPr>
        <w:t>Dow</w:t>
      </w:r>
      <w:r>
        <w:rPr>
          <w:spacing w:val="-8"/>
          <w:w w:val="105"/>
        </w:rPr>
        <w:t> </w:t>
      </w:r>
      <w:r>
        <w:rPr>
          <w:w w:val="105"/>
        </w:rPr>
        <w:t>Corning</w:t>
      </w:r>
      <w:r>
        <w:rPr>
          <w:spacing w:val="-8"/>
          <w:w w:val="105"/>
        </w:rPr>
        <w:t> </w:t>
      </w:r>
      <w:r>
        <w:rPr>
          <w:w w:val="105"/>
        </w:rPr>
        <w:t>in</w:t>
      </w:r>
      <w:r>
        <w:rPr>
          <w:spacing w:val="-8"/>
          <w:w w:val="105"/>
        </w:rPr>
        <w:t> </w:t>
      </w:r>
      <w:r>
        <w:rPr>
          <w:w w:val="105"/>
        </w:rPr>
        <w:t>1983</w:t>
      </w:r>
      <w:r>
        <w:rPr>
          <w:spacing w:val="-8"/>
          <w:w w:val="105"/>
        </w:rPr>
        <w:t> </w:t>
      </w:r>
      <w:r>
        <w:rPr>
          <w:w w:val="105"/>
        </w:rPr>
        <w:t>as</w:t>
      </w:r>
      <w:r>
        <w:rPr>
          <w:spacing w:val="-8"/>
          <w:w w:val="105"/>
        </w:rPr>
        <w:t> </w:t>
      </w:r>
      <w:r>
        <w:rPr>
          <w:w w:val="105"/>
        </w:rPr>
        <w:t>a</w:t>
      </w:r>
      <w:r>
        <w:rPr>
          <w:spacing w:val="-8"/>
          <w:w w:val="105"/>
        </w:rPr>
        <w:t> </w:t>
      </w:r>
      <w:r>
        <w:rPr>
          <w:w w:val="105"/>
        </w:rPr>
        <w:t>researcher</w:t>
      </w:r>
      <w:r>
        <w:rPr>
          <w:spacing w:val="-8"/>
          <w:w w:val="105"/>
        </w:rPr>
        <w:t> </w:t>
      </w:r>
      <w:r>
        <w:rPr>
          <w:w w:val="105"/>
        </w:rPr>
        <w:t>and</w:t>
      </w:r>
      <w:r>
        <w:rPr>
          <w:spacing w:val="-8"/>
          <w:w w:val="105"/>
        </w:rPr>
        <w:t> </w:t>
      </w:r>
      <w:r>
        <w:rPr>
          <w:w w:val="105"/>
        </w:rPr>
        <w:t>specialist</w:t>
      </w:r>
      <w:r>
        <w:rPr>
          <w:spacing w:val="-8"/>
          <w:w w:val="105"/>
        </w:rPr>
        <w:t> </w:t>
      </w:r>
      <w:r>
        <w:rPr>
          <w:w w:val="105"/>
        </w:rPr>
        <w:t>in</w:t>
      </w:r>
      <w:r>
        <w:rPr>
          <w:spacing w:val="-8"/>
          <w:w w:val="105"/>
        </w:rPr>
        <w:t> </w:t>
      </w:r>
      <w:r>
        <w:rPr>
          <w:w w:val="105"/>
        </w:rPr>
        <w:t>organosilicon chemistry.</w:t>
      </w:r>
      <w:r>
        <w:rPr>
          <w:spacing w:val="-4"/>
          <w:w w:val="105"/>
        </w:rPr>
        <w:t> </w:t>
      </w:r>
      <w:r>
        <w:rPr>
          <w:w w:val="105"/>
        </w:rPr>
        <w:t>In</w:t>
      </w:r>
      <w:r>
        <w:rPr>
          <w:spacing w:val="-4"/>
          <w:w w:val="105"/>
        </w:rPr>
        <w:t> </w:t>
      </w:r>
      <w:r>
        <w:rPr>
          <w:w w:val="105"/>
        </w:rPr>
        <w:t>1994,</w:t>
      </w:r>
      <w:r>
        <w:rPr>
          <w:spacing w:val="-4"/>
          <w:w w:val="105"/>
        </w:rPr>
        <w:t> </w:t>
      </w:r>
      <w:r>
        <w:rPr>
          <w:w w:val="105"/>
        </w:rPr>
        <w:t>she</w:t>
      </w:r>
      <w:r>
        <w:rPr>
          <w:spacing w:val="-4"/>
          <w:w w:val="105"/>
        </w:rPr>
        <w:t> </w:t>
      </w:r>
      <w:r>
        <w:rPr>
          <w:w w:val="105"/>
        </w:rPr>
        <w:t>became</w:t>
      </w:r>
      <w:r>
        <w:rPr>
          <w:spacing w:val="-4"/>
          <w:w w:val="105"/>
        </w:rPr>
        <w:t> </w:t>
      </w:r>
      <w:r>
        <w:rPr>
          <w:w w:val="105"/>
        </w:rPr>
        <w:t>the</w:t>
      </w:r>
      <w:r>
        <w:rPr>
          <w:spacing w:val="-4"/>
          <w:w w:val="105"/>
        </w:rPr>
        <w:t> </w:t>
      </w:r>
      <w:r>
        <w:rPr>
          <w:w w:val="105"/>
        </w:rPr>
        <w:t>company’s</w:t>
      </w:r>
      <w:r>
        <w:rPr>
          <w:spacing w:val="-4"/>
          <w:w w:val="105"/>
        </w:rPr>
        <w:t> </w:t>
      </w:r>
      <w:r>
        <w:rPr>
          <w:w w:val="105"/>
        </w:rPr>
        <w:t>first</w:t>
      </w:r>
      <w:r>
        <w:rPr>
          <w:spacing w:val="-4"/>
          <w:w w:val="105"/>
        </w:rPr>
        <w:t> </w:t>
      </w:r>
      <w:r>
        <w:rPr>
          <w:w w:val="105"/>
        </w:rPr>
        <w:t>director</w:t>
      </w:r>
      <w:r>
        <w:rPr>
          <w:spacing w:val="-4"/>
          <w:w w:val="105"/>
        </w:rPr>
        <w:t> </w:t>
      </w:r>
      <w:r>
        <w:rPr>
          <w:w w:val="105"/>
        </w:rPr>
        <w:t>of</w:t>
      </w:r>
      <w:r>
        <w:rPr>
          <w:spacing w:val="-4"/>
          <w:w w:val="105"/>
        </w:rPr>
        <w:t> </w:t>
      </w:r>
      <w:r>
        <w:rPr>
          <w:w w:val="105"/>
        </w:rPr>
        <w:t>women’s</w:t>
      </w:r>
      <w:r>
        <w:rPr>
          <w:spacing w:val="-4"/>
          <w:w w:val="105"/>
        </w:rPr>
        <w:t> </w:t>
      </w:r>
      <w:r>
        <w:rPr>
          <w:w w:val="105"/>
        </w:rPr>
        <w:t>health.</w:t>
      </w:r>
      <w:r>
        <w:rPr>
          <w:spacing w:val="-4"/>
          <w:w w:val="105"/>
        </w:rPr>
        <w:t> </w:t>
      </w:r>
      <w:r>
        <w:rPr>
          <w:w w:val="105"/>
        </w:rPr>
        <w:t>She</w:t>
      </w:r>
      <w:r>
        <w:rPr>
          <w:spacing w:val="-4"/>
          <w:w w:val="105"/>
        </w:rPr>
        <w:t> </w:t>
      </w:r>
      <w:r>
        <w:rPr>
          <w:w w:val="105"/>
        </w:rPr>
        <w:t>was</w:t>
      </w:r>
      <w:r>
        <w:rPr>
          <w:spacing w:val="-4"/>
          <w:w w:val="105"/>
        </w:rPr>
        <w:t> </w:t>
      </w:r>
      <w:r>
        <w:rPr>
          <w:w w:val="105"/>
        </w:rPr>
        <w:t>elected</w:t>
      </w:r>
      <w:r>
        <w:rPr>
          <w:spacing w:val="-4"/>
          <w:w w:val="105"/>
        </w:rPr>
        <w:t> </w:t>
      </w:r>
      <w:r>
        <w:rPr>
          <w:w w:val="105"/>
        </w:rPr>
        <w:t>to</w:t>
      </w:r>
      <w:r>
        <w:rPr>
          <w:spacing w:val="-4"/>
          <w:w w:val="105"/>
        </w:rPr>
        <w:t> </w:t>
      </w:r>
      <w:r>
        <w:rPr>
          <w:w w:val="105"/>
        </w:rPr>
        <w:t>the</w:t>
      </w:r>
      <w:r>
        <w:rPr>
          <w:spacing w:val="-4"/>
          <w:w w:val="105"/>
        </w:rPr>
        <w:t> </w:t>
      </w:r>
      <w:r>
        <w:rPr>
          <w:w w:val="105"/>
        </w:rPr>
        <w:t>Dow</w:t>
      </w:r>
      <w:r>
        <w:rPr>
          <w:spacing w:val="-4"/>
          <w:w w:val="105"/>
        </w:rPr>
        <w:t> </w:t>
      </w:r>
      <w:r>
        <w:rPr>
          <w:w w:val="105"/>
        </w:rPr>
        <w:t>Corning</w:t>
      </w:r>
      <w:r>
        <w:rPr>
          <w:spacing w:val="-4"/>
          <w:w w:val="105"/>
        </w:rPr>
        <w:t> </w:t>
      </w:r>
      <w:r>
        <w:rPr>
          <w:w w:val="105"/>
        </w:rPr>
        <w:t>Board</w:t>
      </w:r>
      <w:r>
        <w:rPr>
          <w:spacing w:val="-4"/>
          <w:w w:val="105"/>
        </w:rPr>
        <w:t> </w:t>
      </w:r>
      <w:r>
        <w:rPr>
          <w:w w:val="105"/>
        </w:rPr>
        <w:t>of</w:t>
      </w:r>
      <w:r>
        <w:rPr>
          <w:spacing w:val="-4"/>
          <w:w w:val="105"/>
        </w:rPr>
        <w:t> </w:t>
      </w:r>
      <w:r>
        <w:rPr>
          <w:w w:val="105"/>
        </w:rPr>
        <w:t>Directors</w:t>
      </w:r>
      <w:r>
        <w:rPr>
          <w:spacing w:val="-2"/>
          <w:w w:val="105"/>
        </w:rPr>
        <w:t> </w:t>
      </w:r>
      <w:r>
        <w:rPr>
          <w:w w:val="105"/>
        </w:rPr>
        <w:t>in</w:t>
      </w:r>
      <w:r>
        <w:rPr>
          <w:spacing w:val="-4"/>
          <w:w w:val="105"/>
        </w:rPr>
        <w:t> </w:t>
      </w:r>
      <w:r>
        <w:rPr>
          <w:w w:val="105"/>
        </w:rPr>
        <w:t>2001</w:t>
      </w:r>
      <w:r>
        <w:rPr>
          <w:spacing w:val="-4"/>
          <w:w w:val="105"/>
        </w:rPr>
        <w:t> </w:t>
      </w:r>
      <w:r>
        <w:rPr>
          <w:w w:val="105"/>
        </w:rPr>
        <w:t>and</w:t>
      </w:r>
      <w:r>
        <w:rPr>
          <w:spacing w:val="-4"/>
          <w:w w:val="105"/>
        </w:rPr>
        <w:t> </w:t>
      </w:r>
      <w:r>
        <w:rPr>
          <w:w w:val="105"/>
        </w:rPr>
        <w:t>elected</w:t>
      </w:r>
      <w:r>
        <w:rPr>
          <w:spacing w:val="-4"/>
          <w:w w:val="105"/>
        </w:rPr>
        <w:t> </w:t>
      </w:r>
      <w:r>
        <w:rPr>
          <w:w w:val="105"/>
        </w:rPr>
        <w:t>as</w:t>
      </w:r>
      <w:r>
        <w:rPr>
          <w:spacing w:val="-4"/>
          <w:w w:val="105"/>
        </w:rPr>
        <w:t> </w:t>
      </w:r>
      <w:r>
        <w:rPr>
          <w:w w:val="105"/>
        </w:rPr>
        <w:t>president</w:t>
      </w:r>
      <w:r>
        <w:rPr>
          <w:spacing w:val="-4"/>
          <w:w w:val="105"/>
        </w:rPr>
        <w:t> </w:t>
      </w:r>
      <w:r>
        <w:rPr>
          <w:w w:val="105"/>
        </w:rPr>
        <w:t>in 2003.</w:t>
      </w:r>
      <w:r>
        <w:rPr>
          <w:spacing w:val="-2"/>
          <w:w w:val="105"/>
        </w:rPr>
        <w:t> </w:t>
      </w:r>
      <w:r>
        <w:rPr>
          <w:w w:val="105"/>
        </w:rPr>
        <w:t>She</w:t>
      </w:r>
      <w:r>
        <w:rPr>
          <w:spacing w:val="-2"/>
          <w:w w:val="105"/>
        </w:rPr>
        <w:t> </w:t>
      </w:r>
      <w:r>
        <w:rPr>
          <w:w w:val="105"/>
        </w:rPr>
        <w:t>served</w:t>
      </w:r>
      <w:r>
        <w:rPr>
          <w:spacing w:val="-2"/>
          <w:w w:val="105"/>
        </w:rPr>
        <w:t> </w:t>
      </w:r>
      <w:r>
        <w:rPr>
          <w:w w:val="105"/>
        </w:rPr>
        <w:t>as</w:t>
      </w:r>
      <w:r>
        <w:rPr>
          <w:spacing w:val="-2"/>
          <w:w w:val="105"/>
        </w:rPr>
        <w:t> </w:t>
      </w:r>
      <w:r>
        <w:rPr>
          <w:w w:val="105"/>
        </w:rPr>
        <w:t>chief</w:t>
      </w:r>
      <w:r>
        <w:rPr>
          <w:spacing w:val="-2"/>
          <w:w w:val="105"/>
        </w:rPr>
        <w:t> </w:t>
      </w:r>
      <w:r>
        <w:rPr>
          <w:w w:val="105"/>
        </w:rPr>
        <w:t>executive</w:t>
      </w:r>
      <w:r>
        <w:rPr>
          <w:spacing w:val="-2"/>
          <w:w w:val="105"/>
        </w:rPr>
        <w:t> </w:t>
      </w:r>
      <w:r>
        <w:rPr>
          <w:w w:val="105"/>
        </w:rPr>
        <w:t>officer</w:t>
      </w:r>
      <w:r>
        <w:rPr>
          <w:spacing w:val="-2"/>
          <w:w w:val="105"/>
        </w:rPr>
        <w:t> </w:t>
      </w:r>
      <w:r>
        <w:rPr>
          <w:w w:val="105"/>
        </w:rPr>
        <w:t>from</w:t>
      </w:r>
      <w:r>
        <w:rPr>
          <w:spacing w:val="-2"/>
          <w:w w:val="105"/>
        </w:rPr>
        <w:t> </w:t>
      </w:r>
      <w:r>
        <w:rPr>
          <w:w w:val="105"/>
        </w:rPr>
        <w:t>2004</w:t>
      </w:r>
      <w:r>
        <w:rPr>
          <w:spacing w:val="-2"/>
          <w:w w:val="105"/>
        </w:rPr>
        <w:t> </w:t>
      </w:r>
      <w:r>
        <w:rPr>
          <w:w w:val="105"/>
        </w:rPr>
        <w:t>until</w:t>
      </w:r>
      <w:r>
        <w:rPr>
          <w:spacing w:val="-2"/>
          <w:w w:val="105"/>
        </w:rPr>
        <w:t> </w:t>
      </w:r>
      <w:r>
        <w:rPr>
          <w:w w:val="105"/>
        </w:rPr>
        <w:t>May</w:t>
      </w:r>
      <w:r>
        <w:rPr>
          <w:spacing w:val="-2"/>
          <w:w w:val="105"/>
        </w:rPr>
        <w:t> </w:t>
      </w:r>
      <w:r>
        <w:rPr>
          <w:w w:val="105"/>
        </w:rPr>
        <w:t>2011</w:t>
      </w:r>
      <w:r>
        <w:rPr>
          <w:spacing w:val="-2"/>
          <w:w w:val="105"/>
        </w:rPr>
        <w:t> </w:t>
      </w:r>
      <w:r>
        <w:rPr>
          <w:w w:val="105"/>
        </w:rPr>
        <w:t>and</w:t>
      </w:r>
      <w:r>
        <w:rPr>
          <w:spacing w:val="-2"/>
          <w:w w:val="105"/>
        </w:rPr>
        <w:t> </w:t>
      </w:r>
      <w:r>
        <w:rPr>
          <w:w w:val="105"/>
        </w:rPr>
        <w:t>served</w:t>
      </w:r>
      <w:r>
        <w:rPr>
          <w:spacing w:val="-2"/>
          <w:w w:val="105"/>
        </w:rPr>
        <w:t> </w:t>
      </w:r>
      <w:r>
        <w:rPr>
          <w:w w:val="105"/>
        </w:rPr>
        <w:t>as</w:t>
      </w:r>
      <w:r>
        <w:rPr>
          <w:spacing w:val="-2"/>
          <w:w w:val="105"/>
        </w:rPr>
        <w:t> </w:t>
      </w:r>
      <w:r>
        <w:rPr>
          <w:w w:val="105"/>
        </w:rPr>
        <w:t>chair</w:t>
      </w:r>
      <w:r>
        <w:rPr>
          <w:spacing w:val="-2"/>
          <w:w w:val="105"/>
        </w:rPr>
        <w:t> </w:t>
      </w:r>
      <w:r>
        <w:rPr>
          <w:w w:val="105"/>
        </w:rPr>
        <w:t>from</w:t>
      </w:r>
      <w:r>
        <w:rPr>
          <w:spacing w:val="-2"/>
          <w:w w:val="105"/>
        </w:rPr>
        <w:t> </w:t>
      </w:r>
      <w:r>
        <w:rPr>
          <w:w w:val="105"/>
        </w:rPr>
        <w:t>2006</w:t>
      </w:r>
      <w:r>
        <w:rPr>
          <w:spacing w:val="-2"/>
          <w:w w:val="105"/>
        </w:rPr>
        <w:t> </w:t>
      </w:r>
      <w:r>
        <w:rPr>
          <w:w w:val="105"/>
        </w:rPr>
        <w:t>until</w:t>
      </w:r>
      <w:r>
        <w:rPr>
          <w:spacing w:val="-2"/>
          <w:w w:val="105"/>
        </w:rPr>
        <w:t> </w:t>
      </w:r>
      <w:r>
        <w:rPr>
          <w:w w:val="105"/>
        </w:rPr>
        <w:t>her</w:t>
      </w:r>
      <w:r>
        <w:rPr>
          <w:spacing w:val="-2"/>
          <w:w w:val="105"/>
        </w:rPr>
        <w:t> </w:t>
      </w:r>
      <w:r>
        <w:rPr>
          <w:w w:val="105"/>
        </w:rPr>
        <w:t>retirement</w:t>
      </w:r>
      <w:r>
        <w:rPr>
          <w:spacing w:val="-2"/>
          <w:w w:val="105"/>
        </w:rPr>
        <w:t> </w:t>
      </w:r>
      <w:r>
        <w:rPr>
          <w:w w:val="105"/>
        </w:rPr>
        <w:t>in</w:t>
      </w:r>
      <w:r>
        <w:rPr>
          <w:spacing w:val="-2"/>
          <w:w w:val="105"/>
        </w:rPr>
        <w:t> </w:t>
      </w:r>
      <w:r>
        <w:rPr>
          <w:w w:val="105"/>
        </w:rPr>
        <w:t>December</w:t>
      </w:r>
      <w:r>
        <w:rPr>
          <w:spacing w:val="-2"/>
          <w:w w:val="105"/>
        </w:rPr>
        <w:t> </w:t>
      </w:r>
      <w:r>
        <w:rPr>
          <w:w w:val="105"/>
        </w:rPr>
        <w:t>2011.</w:t>
      </w:r>
      <w:r>
        <w:rPr>
          <w:spacing w:val="39"/>
          <w:w w:val="105"/>
        </w:rPr>
        <w:t> </w:t>
      </w:r>
      <w:r>
        <w:rPr>
          <w:w w:val="105"/>
        </w:rPr>
        <w:t>Dr.</w:t>
      </w:r>
      <w:r>
        <w:rPr>
          <w:spacing w:val="-2"/>
          <w:w w:val="105"/>
        </w:rPr>
        <w:t> </w:t>
      </w:r>
      <w:r>
        <w:rPr>
          <w:w w:val="105"/>
        </w:rPr>
        <w:t>Burns</w:t>
      </w:r>
      <w:r>
        <w:rPr>
          <w:spacing w:val="-2"/>
          <w:w w:val="105"/>
        </w:rPr>
        <w:t> </w:t>
      </w:r>
      <w:r>
        <w:rPr>
          <w:w w:val="105"/>
        </w:rPr>
        <w:t>joined</w:t>
      </w:r>
      <w:r>
        <w:rPr>
          <w:spacing w:val="-2"/>
          <w:w w:val="105"/>
        </w:rPr>
        <w:t> </w:t>
      </w:r>
      <w:r>
        <w:rPr>
          <w:w w:val="105"/>
        </w:rPr>
        <w:t>Corning’s Board in 2012. Age 67.</w:t>
      </w:r>
    </w:p>
    <w:p>
      <w:pPr>
        <w:pStyle w:val="BodyText"/>
        <w:spacing w:before="18"/>
      </w:pPr>
    </w:p>
    <w:p>
      <w:pPr>
        <w:spacing w:before="1"/>
        <w:ind w:left="156" w:right="0" w:firstLine="0"/>
        <w:jc w:val="left"/>
        <w:rPr>
          <w:i/>
          <w:sz w:val="16"/>
        </w:rPr>
      </w:pPr>
      <w:r>
        <w:rPr>
          <w:w w:val="105"/>
          <w:sz w:val="16"/>
        </w:rPr>
        <w:t>Richard</w:t>
      </w:r>
      <w:r>
        <w:rPr>
          <w:spacing w:val="-9"/>
          <w:w w:val="105"/>
          <w:sz w:val="16"/>
        </w:rPr>
        <w:t> </w:t>
      </w:r>
      <w:r>
        <w:rPr>
          <w:w w:val="105"/>
          <w:sz w:val="16"/>
        </w:rPr>
        <w:t>T.</w:t>
      </w:r>
      <w:r>
        <w:rPr>
          <w:spacing w:val="-9"/>
          <w:w w:val="105"/>
          <w:sz w:val="16"/>
        </w:rPr>
        <w:t> </w:t>
      </w:r>
      <w:r>
        <w:rPr>
          <w:w w:val="105"/>
          <w:sz w:val="16"/>
        </w:rPr>
        <w:t>Clark</w:t>
      </w:r>
      <w:r>
        <w:rPr>
          <w:spacing w:val="25"/>
          <w:w w:val="105"/>
          <w:sz w:val="16"/>
        </w:rPr>
        <w:t> </w:t>
      </w:r>
      <w:r>
        <w:rPr>
          <w:i/>
          <w:w w:val="105"/>
          <w:sz w:val="16"/>
        </w:rPr>
        <w:t>Retired</w:t>
      </w:r>
      <w:r>
        <w:rPr>
          <w:i/>
          <w:spacing w:val="-9"/>
          <w:w w:val="105"/>
          <w:sz w:val="16"/>
        </w:rPr>
        <w:t> </w:t>
      </w:r>
      <w:r>
        <w:rPr>
          <w:i/>
          <w:w w:val="105"/>
          <w:sz w:val="16"/>
        </w:rPr>
        <w:t>Chairman,</w:t>
      </w:r>
      <w:r>
        <w:rPr>
          <w:i/>
          <w:spacing w:val="-8"/>
          <w:w w:val="105"/>
          <w:sz w:val="16"/>
        </w:rPr>
        <w:t> </w:t>
      </w:r>
      <w:r>
        <w:rPr>
          <w:i/>
          <w:w w:val="105"/>
          <w:sz w:val="16"/>
        </w:rPr>
        <w:t>Chief</w:t>
      </w:r>
      <w:r>
        <w:rPr>
          <w:i/>
          <w:spacing w:val="-9"/>
          <w:w w:val="105"/>
          <w:sz w:val="16"/>
        </w:rPr>
        <w:t> </w:t>
      </w:r>
      <w:r>
        <w:rPr>
          <w:i/>
          <w:w w:val="105"/>
          <w:sz w:val="16"/>
        </w:rPr>
        <w:t>Executive</w:t>
      </w:r>
      <w:r>
        <w:rPr>
          <w:i/>
          <w:spacing w:val="-9"/>
          <w:w w:val="105"/>
          <w:sz w:val="16"/>
        </w:rPr>
        <w:t> </w:t>
      </w:r>
      <w:r>
        <w:rPr>
          <w:i/>
          <w:w w:val="105"/>
          <w:sz w:val="16"/>
        </w:rPr>
        <w:t>Officer</w:t>
      </w:r>
      <w:r>
        <w:rPr>
          <w:i/>
          <w:spacing w:val="-9"/>
          <w:w w:val="105"/>
          <w:sz w:val="16"/>
        </w:rPr>
        <w:t> </w:t>
      </w:r>
      <w:r>
        <w:rPr>
          <w:i/>
          <w:w w:val="105"/>
          <w:sz w:val="16"/>
        </w:rPr>
        <w:t>and</w:t>
      </w:r>
      <w:r>
        <w:rPr>
          <w:i/>
          <w:spacing w:val="-9"/>
          <w:w w:val="105"/>
          <w:sz w:val="16"/>
        </w:rPr>
        <w:t> </w:t>
      </w:r>
      <w:r>
        <w:rPr>
          <w:i/>
          <w:w w:val="105"/>
          <w:sz w:val="16"/>
        </w:rPr>
        <w:t>President,</w:t>
      </w:r>
      <w:r>
        <w:rPr>
          <w:i/>
          <w:spacing w:val="-8"/>
          <w:w w:val="105"/>
          <w:sz w:val="16"/>
        </w:rPr>
        <w:t> </w:t>
      </w:r>
      <w:r>
        <w:rPr>
          <w:i/>
          <w:w w:val="105"/>
          <w:sz w:val="16"/>
        </w:rPr>
        <w:t>Merck</w:t>
      </w:r>
      <w:r>
        <w:rPr>
          <w:i/>
          <w:spacing w:val="-9"/>
          <w:w w:val="105"/>
          <w:sz w:val="16"/>
        </w:rPr>
        <w:t> </w:t>
      </w:r>
      <w:r>
        <w:rPr>
          <w:i/>
          <w:w w:val="105"/>
          <w:sz w:val="16"/>
        </w:rPr>
        <w:t>&amp;</w:t>
      </w:r>
      <w:r>
        <w:rPr>
          <w:i/>
          <w:spacing w:val="-9"/>
          <w:w w:val="105"/>
          <w:sz w:val="16"/>
        </w:rPr>
        <w:t> </w:t>
      </w:r>
      <w:r>
        <w:rPr>
          <w:i/>
          <w:w w:val="105"/>
          <w:sz w:val="16"/>
        </w:rPr>
        <w:t>Co.,</w:t>
      </w:r>
      <w:r>
        <w:rPr>
          <w:i/>
          <w:spacing w:val="-9"/>
          <w:w w:val="105"/>
          <w:sz w:val="16"/>
        </w:rPr>
        <w:t> </w:t>
      </w:r>
      <w:r>
        <w:rPr>
          <w:i/>
          <w:w w:val="105"/>
          <w:sz w:val="16"/>
        </w:rPr>
        <w:t>Inc.</w:t>
      </w:r>
      <w:r>
        <w:rPr>
          <w:i/>
          <w:spacing w:val="-8"/>
          <w:w w:val="105"/>
          <w:sz w:val="16"/>
        </w:rPr>
        <w:t> </w:t>
      </w:r>
      <w:r>
        <w:rPr>
          <w:i/>
          <w:w w:val="105"/>
          <w:sz w:val="16"/>
        </w:rPr>
        <w:t>Lead</w:t>
      </w:r>
      <w:r>
        <w:rPr>
          <w:i/>
          <w:spacing w:val="-9"/>
          <w:w w:val="105"/>
          <w:sz w:val="16"/>
        </w:rPr>
        <w:t> </w:t>
      </w:r>
      <w:r>
        <w:rPr>
          <w:i/>
          <w:w w:val="105"/>
          <w:sz w:val="16"/>
        </w:rPr>
        <w:t>Independent</w:t>
      </w:r>
      <w:r>
        <w:rPr>
          <w:i/>
          <w:spacing w:val="-9"/>
          <w:w w:val="105"/>
          <w:sz w:val="16"/>
        </w:rPr>
        <w:t> </w:t>
      </w:r>
      <w:r>
        <w:rPr>
          <w:i/>
          <w:spacing w:val="-2"/>
          <w:w w:val="105"/>
          <w:sz w:val="16"/>
        </w:rPr>
        <w:t>Director</w:t>
      </w:r>
    </w:p>
    <w:p>
      <w:pPr>
        <w:pStyle w:val="BodyText"/>
        <w:spacing w:line="266" w:lineRule="auto" w:before="19"/>
        <w:ind w:left="156"/>
      </w:pPr>
      <w:r>
        <w:rPr>
          <w:w w:val="105"/>
        </w:rPr>
        <w:t>Mr.</w:t>
      </w:r>
      <w:r>
        <w:rPr>
          <w:spacing w:val="-7"/>
          <w:w w:val="105"/>
        </w:rPr>
        <w:t> </w:t>
      </w:r>
      <w:r>
        <w:rPr>
          <w:w w:val="105"/>
        </w:rPr>
        <w:t>Clark</w:t>
      </w:r>
      <w:r>
        <w:rPr>
          <w:spacing w:val="-7"/>
          <w:w w:val="105"/>
        </w:rPr>
        <w:t> </w:t>
      </w:r>
      <w:r>
        <w:rPr>
          <w:w w:val="105"/>
        </w:rPr>
        <w:t>retired</w:t>
      </w:r>
      <w:r>
        <w:rPr>
          <w:spacing w:val="-7"/>
          <w:w w:val="105"/>
        </w:rPr>
        <w:t> </w:t>
      </w:r>
      <w:r>
        <w:rPr>
          <w:w w:val="105"/>
        </w:rPr>
        <w:t>from</w:t>
      </w:r>
      <w:r>
        <w:rPr>
          <w:spacing w:val="-7"/>
          <w:w w:val="105"/>
        </w:rPr>
        <w:t> </w:t>
      </w:r>
      <w:r>
        <w:rPr>
          <w:w w:val="105"/>
        </w:rPr>
        <w:t>Merck</w:t>
      </w:r>
      <w:r>
        <w:rPr>
          <w:spacing w:val="-7"/>
          <w:w w:val="105"/>
        </w:rPr>
        <w:t> </w:t>
      </w:r>
      <w:r>
        <w:rPr>
          <w:w w:val="105"/>
        </w:rPr>
        <w:t>in</w:t>
      </w:r>
      <w:r>
        <w:rPr>
          <w:spacing w:val="-7"/>
          <w:w w:val="105"/>
        </w:rPr>
        <w:t> </w:t>
      </w:r>
      <w:r>
        <w:rPr>
          <w:w w:val="105"/>
        </w:rPr>
        <w:t>2011.</w:t>
      </w:r>
      <w:r>
        <w:rPr>
          <w:spacing w:val="-7"/>
          <w:w w:val="105"/>
        </w:rPr>
        <w:t> </w:t>
      </w:r>
      <w:r>
        <w:rPr>
          <w:w w:val="105"/>
        </w:rPr>
        <w:t>He</w:t>
      </w:r>
      <w:r>
        <w:rPr>
          <w:spacing w:val="-7"/>
          <w:w w:val="105"/>
        </w:rPr>
        <w:t> </w:t>
      </w:r>
      <w:r>
        <w:rPr>
          <w:w w:val="105"/>
        </w:rPr>
        <w:t>joined</w:t>
      </w:r>
      <w:r>
        <w:rPr>
          <w:spacing w:val="-7"/>
          <w:w w:val="105"/>
        </w:rPr>
        <w:t> </w:t>
      </w:r>
      <w:r>
        <w:rPr>
          <w:w w:val="105"/>
        </w:rPr>
        <w:t>Merck</w:t>
      </w:r>
      <w:r>
        <w:rPr>
          <w:spacing w:val="-7"/>
          <w:w w:val="105"/>
        </w:rPr>
        <w:t> </w:t>
      </w:r>
      <w:r>
        <w:rPr>
          <w:w w:val="105"/>
        </w:rPr>
        <w:t>in</w:t>
      </w:r>
      <w:r>
        <w:rPr>
          <w:spacing w:val="-7"/>
          <w:w w:val="105"/>
        </w:rPr>
        <w:t> </w:t>
      </w:r>
      <w:r>
        <w:rPr>
          <w:w w:val="105"/>
        </w:rPr>
        <w:t>1972</w:t>
      </w:r>
      <w:r>
        <w:rPr>
          <w:spacing w:val="-7"/>
          <w:w w:val="105"/>
        </w:rPr>
        <w:t> </w:t>
      </w:r>
      <w:r>
        <w:rPr>
          <w:w w:val="105"/>
        </w:rPr>
        <w:t>and</w:t>
      </w:r>
      <w:r>
        <w:rPr>
          <w:spacing w:val="-7"/>
          <w:w w:val="105"/>
        </w:rPr>
        <w:t> </w:t>
      </w:r>
      <w:r>
        <w:rPr>
          <w:w w:val="105"/>
        </w:rPr>
        <w:t>held</w:t>
      </w:r>
      <w:r>
        <w:rPr>
          <w:spacing w:val="-7"/>
          <w:w w:val="105"/>
        </w:rPr>
        <w:t> </w:t>
      </w:r>
      <w:r>
        <w:rPr>
          <w:w w:val="105"/>
        </w:rPr>
        <w:t>a</w:t>
      </w:r>
      <w:r>
        <w:rPr>
          <w:spacing w:val="-7"/>
          <w:w w:val="105"/>
        </w:rPr>
        <w:t> </w:t>
      </w:r>
      <w:r>
        <w:rPr>
          <w:w w:val="105"/>
        </w:rPr>
        <w:t>broad</w:t>
      </w:r>
      <w:r>
        <w:rPr>
          <w:spacing w:val="-7"/>
          <w:w w:val="105"/>
        </w:rPr>
        <w:t> </w:t>
      </w:r>
      <w:r>
        <w:rPr>
          <w:w w:val="105"/>
        </w:rPr>
        <w:t>range</w:t>
      </w:r>
      <w:r>
        <w:rPr>
          <w:spacing w:val="-7"/>
          <w:w w:val="105"/>
        </w:rPr>
        <w:t> </w:t>
      </w:r>
      <w:r>
        <w:rPr>
          <w:w w:val="105"/>
        </w:rPr>
        <w:t>of</w:t>
      </w:r>
      <w:r>
        <w:rPr>
          <w:spacing w:val="-7"/>
          <w:w w:val="105"/>
        </w:rPr>
        <w:t> </w:t>
      </w:r>
      <w:r>
        <w:rPr>
          <w:w w:val="105"/>
        </w:rPr>
        <w:t>senior</w:t>
      </w:r>
      <w:r>
        <w:rPr>
          <w:spacing w:val="-7"/>
          <w:w w:val="105"/>
        </w:rPr>
        <w:t> </w:t>
      </w:r>
      <w:r>
        <w:rPr>
          <w:w w:val="105"/>
        </w:rPr>
        <w:t>management</w:t>
      </w:r>
      <w:r>
        <w:rPr>
          <w:spacing w:val="-7"/>
          <w:w w:val="105"/>
        </w:rPr>
        <w:t> </w:t>
      </w:r>
      <w:r>
        <w:rPr>
          <w:w w:val="105"/>
        </w:rPr>
        <w:t>positions.</w:t>
      </w:r>
      <w:r>
        <w:rPr>
          <w:spacing w:val="-7"/>
          <w:w w:val="105"/>
        </w:rPr>
        <w:t> </w:t>
      </w:r>
      <w:r>
        <w:rPr>
          <w:w w:val="105"/>
        </w:rPr>
        <w:t>He</w:t>
      </w:r>
      <w:r>
        <w:rPr>
          <w:spacing w:val="-7"/>
          <w:w w:val="105"/>
        </w:rPr>
        <w:t> </w:t>
      </w:r>
      <w:r>
        <w:rPr>
          <w:w w:val="105"/>
        </w:rPr>
        <w:t>became</w:t>
      </w:r>
      <w:r>
        <w:rPr>
          <w:spacing w:val="-7"/>
          <w:w w:val="105"/>
        </w:rPr>
        <w:t> </w:t>
      </w:r>
      <w:r>
        <w:rPr>
          <w:w w:val="105"/>
        </w:rPr>
        <w:t>president</w:t>
      </w:r>
      <w:r>
        <w:rPr>
          <w:spacing w:val="-7"/>
          <w:w w:val="105"/>
        </w:rPr>
        <w:t> </w:t>
      </w:r>
      <w:r>
        <w:rPr>
          <w:w w:val="105"/>
        </w:rPr>
        <w:t>and</w:t>
      </w:r>
      <w:r>
        <w:rPr>
          <w:spacing w:val="-7"/>
          <w:w w:val="105"/>
        </w:rPr>
        <w:t> </w:t>
      </w:r>
      <w:r>
        <w:rPr>
          <w:w w:val="105"/>
        </w:rPr>
        <w:t>chief</w:t>
      </w:r>
      <w:r>
        <w:rPr>
          <w:spacing w:val="-7"/>
          <w:w w:val="105"/>
        </w:rPr>
        <w:t> </w:t>
      </w:r>
      <w:r>
        <w:rPr>
          <w:w w:val="105"/>
        </w:rPr>
        <w:t>executive</w:t>
      </w:r>
      <w:r>
        <w:rPr>
          <w:spacing w:val="-7"/>
          <w:w w:val="105"/>
        </w:rPr>
        <w:t> </w:t>
      </w:r>
      <w:r>
        <w:rPr>
          <w:w w:val="105"/>
        </w:rPr>
        <w:t>officer</w:t>
      </w:r>
      <w:r>
        <w:rPr>
          <w:spacing w:val="-7"/>
          <w:w w:val="105"/>
        </w:rPr>
        <w:t> </w:t>
      </w:r>
      <w:r>
        <w:rPr>
          <w:w w:val="105"/>
        </w:rPr>
        <w:t>of Merck</w:t>
      </w:r>
      <w:r>
        <w:rPr>
          <w:spacing w:val="-1"/>
          <w:w w:val="105"/>
        </w:rPr>
        <w:t> </w:t>
      </w:r>
      <w:r>
        <w:rPr>
          <w:w w:val="105"/>
        </w:rPr>
        <w:t>in</w:t>
      </w:r>
      <w:r>
        <w:rPr>
          <w:spacing w:val="-1"/>
          <w:w w:val="105"/>
        </w:rPr>
        <w:t> </w:t>
      </w:r>
      <w:r>
        <w:rPr>
          <w:w w:val="105"/>
        </w:rPr>
        <w:t>May</w:t>
      </w:r>
      <w:r>
        <w:rPr>
          <w:spacing w:val="-1"/>
          <w:w w:val="105"/>
        </w:rPr>
        <w:t> </w:t>
      </w:r>
      <w:r>
        <w:rPr>
          <w:w w:val="105"/>
        </w:rPr>
        <w:t>2005</w:t>
      </w:r>
      <w:r>
        <w:rPr>
          <w:spacing w:val="-1"/>
          <w:w w:val="105"/>
        </w:rPr>
        <w:t> </w:t>
      </w:r>
      <w:r>
        <w:rPr>
          <w:w w:val="105"/>
        </w:rPr>
        <w:t>and</w:t>
      </w:r>
      <w:r>
        <w:rPr>
          <w:spacing w:val="-1"/>
          <w:w w:val="105"/>
        </w:rPr>
        <w:t> </w:t>
      </w:r>
      <w:r>
        <w:rPr>
          <w:w w:val="105"/>
        </w:rPr>
        <w:t>chairman</w:t>
      </w:r>
      <w:r>
        <w:rPr>
          <w:spacing w:val="-1"/>
          <w:w w:val="105"/>
        </w:rPr>
        <w:t> </w:t>
      </w:r>
      <w:r>
        <w:rPr>
          <w:w w:val="105"/>
        </w:rPr>
        <w:t>of</w:t>
      </w:r>
      <w:r>
        <w:rPr>
          <w:spacing w:val="-1"/>
          <w:w w:val="105"/>
        </w:rPr>
        <w:t> </w:t>
      </w:r>
      <w:r>
        <w:rPr>
          <w:w w:val="105"/>
        </w:rPr>
        <w:t>the</w:t>
      </w:r>
      <w:r>
        <w:rPr>
          <w:spacing w:val="-1"/>
          <w:w w:val="105"/>
        </w:rPr>
        <w:t> </w:t>
      </w:r>
      <w:r>
        <w:rPr>
          <w:w w:val="105"/>
        </w:rPr>
        <w:t>board</w:t>
      </w:r>
      <w:r>
        <w:rPr>
          <w:spacing w:val="-1"/>
          <w:w w:val="105"/>
        </w:rPr>
        <w:t> </w:t>
      </w:r>
      <w:r>
        <w:rPr>
          <w:w w:val="105"/>
        </w:rPr>
        <w:t>in</w:t>
      </w:r>
      <w:r>
        <w:rPr>
          <w:spacing w:val="-1"/>
          <w:w w:val="105"/>
        </w:rPr>
        <w:t> </w:t>
      </w:r>
      <w:r>
        <w:rPr>
          <w:w w:val="105"/>
        </w:rPr>
        <w:t>April</w:t>
      </w:r>
      <w:r>
        <w:rPr>
          <w:spacing w:val="-1"/>
          <w:w w:val="105"/>
        </w:rPr>
        <w:t> </w:t>
      </w:r>
      <w:r>
        <w:rPr>
          <w:w w:val="105"/>
        </w:rPr>
        <w:t>2007.</w:t>
      </w:r>
      <w:r>
        <w:rPr>
          <w:spacing w:val="-1"/>
          <w:w w:val="105"/>
        </w:rPr>
        <w:t> </w:t>
      </w:r>
      <w:r>
        <w:rPr>
          <w:w w:val="105"/>
        </w:rPr>
        <w:t>He</w:t>
      </w:r>
      <w:r>
        <w:rPr>
          <w:spacing w:val="-1"/>
          <w:w w:val="105"/>
        </w:rPr>
        <w:t> </w:t>
      </w:r>
      <w:r>
        <w:rPr>
          <w:w w:val="105"/>
        </w:rPr>
        <w:t>transitioned</w:t>
      </w:r>
      <w:r>
        <w:rPr>
          <w:spacing w:val="-1"/>
          <w:w w:val="105"/>
        </w:rPr>
        <w:t> </w:t>
      </w:r>
      <w:r>
        <w:rPr>
          <w:w w:val="105"/>
        </w:rPr>
        <w:t>from</w:t>
      </w:r>
      <w:r>
        <w:rPr>
          <w:spacing w:val="-1"/>
          <w:w w:val="105"/>
        </w:rPr>
        <w:t> </w:t>
      </w:r>
      <w:r>
        <w:rPr>
          <w:w w:val="105"/>
        </w:rPr>
        <w:t>the</w:t>
      </w:r>
      <w:r>
        <w:rPr>
          <w:spacing w:val="-1"/>
          <w:w w:val="105"/>
        </w:rPr>
        <w:t> </w:t>
      </w:r>
      <w:r>
        <w:rPr>
          <w:w w:val="105"/>
        </w:rPr>
        <w:t>chief</w:t>
      </w:r>
      <w:r>
        <w:rPr>
          <w:spacing w:val="-1"/>
          <w:w w:val="105"/>
        </w:rPr>
        <w:t> </w:t>
      </w:r>
      <w:r>
        <w:rPr>
          <w:w w:val="105"/>
        </w:rPr>
        <w:t>executive</w:t>
      </w:r>
      <w:r>
        <w:rPr>
          <w:spacing w:val="-1"/>
          <w:w w:val="105"/>
        </w:rPr>
        <w:t> </w:t>
      </w:r>
      <w:r>
        <w:rPr>
          <w:w w:val="105"/>
        </w:rPr>
        <w:t>officer</w:t>
      </w:r>
      <w:r>
        <w:rPr>
          <w:spacing w:val="-1"/>
          <w:w w:val="105"/>
        </w:rPr>
        <w:t> </w:t>
      </w:r>
      <w:r>
        <w:rPr>
          <w:w w:val="105"/>
        </w:rPr>
        <w:t>role in</w:t>
      </w:r>
      <w:r>
        <w:rPr>
          <w:spacing w:val="-1"/>
          <w:w w:val="105"/>
        </w:rPr>
        <w:t> </w:t>
      </w:r>
      <w:r>
        <w:rPr>
          <w:w w:val="105"/>
        </w:rPr>
        <w:t>January</w:t>
      </w:r>
      <w:r>
        <w:rPr>
          <w:spacing w:val="-1"/>
          <w:w w:val="105"/>
        </w:rPr>
        <w:t> </w:t>
      </w:r>
      <w:r>
        <w:rPr>
          <w:w w:val="105"/>
        </w:rPr>
        <w:t>2011</w:t>
      </w:r>
      <w:r>
        <w:rPr>
          <w:spacing w:val="-1"/>
          <w:w w:val="105"/>
        </w:rPr>
        <w:t> </w:t>
      </w:r>
      <w:r>
        <w:rPr>
          <w:w w:val="105"/>
        </w:rPr>
        <w:t>and</w:t>
      </w:r>
      <w:r>
        <w:rPr>
          <w:spacing w:val="-1"/>
          <w:w w:val="105"/>
        </w:rPr>
        <w:t> </w:t>
      </w:r>
      <w:r>
        <w:rPr>
          <w:w w:val="105"/>
        </w:rPr>
        <w:t>served</w:t>
      </w:r>
      <w:r>
        <w:rPr>
          <w:spacing w:val="-1"/>
          <w:w w:val="105"/>
        </w:rPr>
        <w:t> </w:t>
      </w:r>
      <w:r>
        <w:rPr>
          <w:w w:val="105"/>
        </w:rPr>
        <w:t>as</w:t>
      </w:r>
      <w:r>
        <w:rPr>
          <w:spacing w:val="-1"/>
          <w:w w:val="105"/>
        </w:rPr>
        <w:t> </w:t>
      </w:r>
      <w:r>
        <w:rPr>
          <w:w w:val="105"/>
        </w:rPr>
        <w:t>Merck</w:t>
      </w:r>
      <w:r>
        <w:rPr>
          <w:spacing w:val="-1"/>
          <w:w w:val="105"/>
        </w:rPr>
        <w:t> </w:t>
      </w:r>
      <w:r>
        <w:rPr>
          <w:w w:val="105"/>
        </w:rPr>
        <w:t>board</w:t>
      </w:r>
      <w:r>
        <w:rPr>
          <w:spacing w:val="-1"/>
          <w:w w:val="105"/>
        </w:rPr>
        <w:t> </w:t>
      </w:r>
      <w:r>
        <w:rPr>
          <w:w w:val="105"/>
        </w:rPr>
        <w:t>chairman through</w:t>
      </w:r>
      <w:r>
        <w:rPr>
          <w:spacing w:val="-6"/>
          <w:w w:val="105"/>
        </w:rPr>
        <w:t> </w:t>
      </w:r>
      <w:r>
        <w:rPr>
          <w:w w:val="105"/>
        </w:rPr>
        <w:t>November</w:t>
      </w:r>
      <w:r>
        <w:rPr>
          <w:spacing w:val="-6"/>
          <w:w w:val="105"/>
        </w:rPr>
        <w:t> </w:t>
      </w:r>
      <w:r>
        <w:rPr>
          <w:w w:val="105"/>
        </w:rPr>
        <w:t>2011.</w:t>
      </w:r>
      <w:r>
        <w:rPr>
          <w:spacing w:val="-6"/>
          <w:w w:val="105"/>
        </w:rPr>
        <w:t> </w:t>
      </w:r>
      <w:r>
        <w:rPr>
          <w:w w:val="105"/>
        </w:rPr>
        <w:t>He</w:t>
      </w:r>
      <w:r>
        <w:rPr>
          <w:spacing w:val="-6"/>
          <w:w w:val="105"/>
        </w:rPr>
        <w:t> </w:t>
      </w:r>
      <w:r>
        <w:rPr>
          <w:w w:val="105"/>
        </w:rPr>
        <w:t>was</w:t>
      </w:r>
      <w:r>
        <w:rPr>
          <w:spacing w:val="-6"/>
          <w:w w:val="105"/>
        </w:rPr>
        <w:t> </w:t>
      </w:r>
      <w:r>
        <w:rPr>
          <w:w w:val="105"/>
        </w:rPr>
        <w:t>president</w:t>
      </w:r>
      <w:r>
        <w:rPr>
          <w:spacing w:val="-6"/>
          <w:w w:val="105"/>
        </w:rPr>
        <w:t> </w:t>
      </w:r>
      <w:r>
        <w:rPr>
          <w:w w:val="105"/>
        </w:rPr>
        <w:t>of</w:t>
      </w:r>
      <w:r>
        <w:rPr>
          <w:spacing w:val="-6"/>
          <w:w w:val="105"/>
        </w:rPr>
        <w:t> </w:t>
      </w:r>
      <w:r>
        <w:rPr>
          <w:w w:val="105"/>
        </w:rPr>
        <w:t>the</w:t>
      </w:r>
      <w:r>
        <w:rPr>
          <w:spacing w:val="-6"/>
          <w:w w:val="105"/>
        </w:rPr>
        <w:t> </w:t>
      </w:r>
      <w:r>
        <w:rPr>
          <w:w w:val="105"/>
        </w:rPr>
        <w:t>Merck</w:t>
      </w:r>
      <w:r>
        <w:rPr>
          <w:spacing w:val="-6"/>
          <w:w w:val="105"/>
        </w:rPr>
        <w:t> </w:t>
      </w:r>
      <w:r>
        <w:rPr>
          <w:w w:val="105"/>
        </w:rPr>
        <w:t>Manufacturing</w:t>
      </w:r>
      <w:r>
        <w:rPr>
          <w:spacing w:val="-6"/>
          <w:w w:val="105"/>
        </w:rPr>
        <w:t> </w:t>
      </w:r>
      <w:r>
        <w:rPr>
          <w:w w:val="105"/>
        </w:rPr>
        <w:t>Division</w:t>
      </w:r>
      <w:r>
        <w:rPr>
          <w:spacing w:val="-4"/>
          <w:w w:val="105"/>
        </w:rPr>
        <w:t> </w:t>
      </w:r>
      <w:r>
        <w:rPr>
          <w:w w:val="105"/>
        </w:rPr>
        <w:t>(June</w:t>
      </w:r>
      <w:r>
        <w:rPr>
          <w:spacing w:val="-6"/>
          <w:w w:val="105"/>
        </w:rPr>
        <w:t> </w:t>
      </w:r>
      <w:r>
        <w:rPr>
          <w:w w:val="105"/>
        </w:rPr>
        <w:t>2003</w:t>
      </w:r>
      <w:r>
        <w:rPr>
          <w:spacing w:val="-6"/>
          <w:w w:val="105"/>
        </w:rPr>
        <w:t> </w:t>
      </w:r>
      <w:r>
        <w:rPr>
          <w:w w:val="105"/>
        </w:rPr>
        <w:t>to</w:t>
      </w:r>
      <w:r>
        <w:rPr>
          <w:spacing w:val="-6"/>
          <w:w w:val="105"/>
        </w:rPr>
        <w:t> </w:t>
      </w:r>
      <w:r>
        <w:rPr>
          <w:w w:val="105"/>
        </w:rPr>
        <w:t>May</w:t>
      </w:r>
      <w:r>
        <w:rPr>
          <w:spacing w:val="-6"/>
          <w:w w:val="105"/>
        </w:rPr>
        <w:t> </w:t>
      </w:r>
      <w:r>
        <w:rPr>
          <w:w w:val="105"/>
        </w:rPr>
        <w:t>2005)</w:t>
      </w:r>
      <w:r>
        <w:rPr>
          <w:spacing w:val="-6"/>
          <w:w w:val="105"/>
        </w:rPr>
        <w:t> </w:t>
      </w:r>
      <w:r>
        <w:rPr>
          <w:w w:val="105"/>
        </w:rPr>
        <w:t>of</w:t>
      </w:r>
      <w:r>
        <w:rPr>
          <w:spacing w:val="-6"/>
          <w:w w:val="105"/>
        </w:rPr>
        <w:t> </w:t>
      </w:r>
      <w:r>
        <w:rPr>
          <w:w w:val="105"/>
        </w:rPr>
        <w:t>Merck</w:t>
      </w:r>
      <w:r>
        <w:rPr>
          <w:spacing w:val="-6"/>
          <w:w w:val="105"/>
        </w:rPr>
        <w:t> </w:t>
      </w:r>
      <w:r>
        <w:rPr>
          <w:w w:val="105"/>
        </w:rPr>
        <w:t>Sharp</w:t>
      </w:r>
      <w:r>
        <w:rPr>
          <w:spacing w:val="-6"/>
          <w:w w:val="105"/>
        </w:rPr>
        <w:t> </w:t>
      </w:r>
      <w:r>
        <w:rPr>
          <w:w w:val="105"/>
        </w:rPr>
        <w:t>&amp;</w:t>
      </w:r>
      <w:r>
        <w:rPr>
          <w:spacing w:val="-6"/>
          <w:w w:val="105"/>
        </w:rPr>
        <w:t> </w:t>
      </w:r>
      <w:r>
        <w:rPr>
          <w:w w:val="105"/>
        </w:rPr>
        <w:t>Dohme</w:t>
      </w:r>
      <w:r>
        <w:rPr>
          <w:spacing w:val="-6"/>
          <w:w w:val="105"/>
        </w:rPr>
        <w:t> </w:t>
      </w:r>
      <w:r>
        <w:rPr>
          <w:w w:val="105"/>
        </w:rPr>
        <w:t>Corp.</w:t>
      </w:r>
      <w:r>
        <w:rPr>
          <w:spacing w:val="-6"/>
          <w:w w:val="105"/>
        </w:rPr>
        <w:t> </w:t>
      </w:r>
      <w:r>
        <w:rPr>
          <w:w w:val="105"/>
        </w:rPr>
        <w:t>He</w:t>
      </w:r>
      <w:r>
        <w:rPr>
          <w:spacing w:val="-6"/>
          <w:w w:val="105"/>
        </w:rPr>
        <w:t> </w:t>
      </w:r>
      <w:r>
        <w:rPr>
          <w:w w:val="105"/>
        </w:rPr>
        <w:t>is</w:t>
      </w:r>
      <w:r>
        <w:rPr>
          <w:spacing w:val="-4"/>
          <w:w w:val="105"/>
        </w:rPr>
        <w:t> </w:t>
      </w:r>
      <w:r>
        <w:rPr>
          <w:w w:val="105"/>
        </w:rPr>
        <w:t>chairman</w:t>
      </w:r>
      <w:r>
        <w:rPr>
          <w:spacing w:val="-6"/>
          <w:w w:val="105"/>
        </w:rPr>
        <w:t> </w:t>
      </w:r>
      <w:r>
        <w:rPr>
          <w:w w:val="105"/>
        </w:rPr>
        <w:t>emeritus</w:t>
      </w:r>
      <w:r>
        <w:rPr>
          <w:spacing w:val="-6"/>
          <w:w w:val="105"/>
        </w:rPr>
        <w:t> </w:t>
      </w:r>
      <w:r>
        <w:rPr>
          <w:w w:val="105"/>
        </w:rPr>
        <w:t>of</w:t>
      </w:r>
      <w:r>
        <w:rPr>
          <w:spacing w:val="-4"/>
          <w:w w:val="105"/>
        </w:rPr>
        <w:t> </w:t>
      </w:r>
      <w:r>
        <w:rPr>
          <w:w w:val="105"/>
        </w:rPr>
        <w:t>the board of Project Hope and a trustee of several charitable non-profit organizations. Mr. Clark joined Corning’s Board in 2011. Age 76.</w:t>
      </w:r>
    </w:p>
    <w:p>
      <w:pPr>
        <w:pStyle w:val="BodyText"/>
        <w:spacing w:before="18"/>
      </w:pPr>
    </w:p>
    <w:p>
      <w:pPr>
        <w:spacing w:before="1"/>
        <w:ind w:left="156" w:right="0" w:firstLine="0"/>
        <w:jc w:val="left"/>
        <w:rPr>
          <w:i/>
          <w:sz w:val="16"/>
        </w:rPr>
      </w:pPr>
      <w:r>
        <w:rPr>
          <w:w w:val="105"/>
          <w:sz w:val="16"/>
        </w:rPr>
        <w:t>Pamela</w:t>
      </w:r>
      <w:r>
        <w:rPr>
          <w:spacing w:val="-9"/>
          <w:w w:val="105"/>
          <w:sz w:val="16"/>
        </w:rPr>
        <w:t> </w:t>
      </w:r>
      <w:r>
        <w:rPr>
          <w:w w:val="105"/>
          <w:sz w:val="16"/>
        </w:rPr>
        <w:t>J.</w:t>
      </w:r>
      <w:r>
        <w:rPr>
          <w:spacing w:val="-9"/>
          <w:w w:val="105"/>
          <w:sz w:val="16"/>
        </w:rPr>
        <w:t> </w:t>
      </w:r>
      <w:r>
        <w:rPr>
          <w:w w:val="105"/>
          <w:sz w:val="16"/>
        </w:rPr>
        <w:t>Craig</w:t>
      </w:r>
      <w:r>
        <w:rPr>
          <w:spacing w:val="26"/>
          <w:w w:val="105"/>
          <w:sz w:val="16"/>
        </w:rPr>
        <w:t> </w:t>
      </w:r>
      <w:r>
        <w:rPr>
          <w:i/>
          <w:w w:val="105"/>
          <w:sz w:val="16"/>
        </w:rPr>
        <w:t>Retired</w:t>
      </w:r>
      <w:r>
        <w:rPr>
          <w:i/>
          <w:spacing w:val="-8"/>
          <w:w w:val="105"/>
          <w:sz w:val="16"/>
        </w:rPr>
        <w:t> </w:t>
      </w:r>
      <w:r>
        <w:rPr>
          <w:i/>
          <w:w w:val="105"/>
          <w:sz w:val="16"/>
        </w:rPr>
        <w:t>Chief</w:t>
      </w:r>
      <w:r>
        <w:rPr>
          <w:i/>
          <w:spacing w:val="-9"/>
          <w:w w:val="105"/>
          <w:sz w:val="16"/>
        </w:rPr>
        <w:t> </w:t>
      </w:r>
      <w:r>
        <w:rPr>
          <w:i/>
          <w:w w:val="105"/>
          <w:sz w:val="16"/>
        </w:rPr>
        <w:t>Financial</w:t>
      </w:r>
      <w:r>
        <w:rPr>
          <w:i/>
          <w:spacing w:val="-9"/>
          <w:w w:val="105"/>
          <w:sz w:val="16"/>
        </w:rPr>
        <w:t> </w:t>
      </w:r>
      <w:r>
        <w:rPr>
          <w:i/>
          <w:w w:val="105"/>
          <w:sz w:val="16"/>
        </w:rPr>
        <w:t>Officer,</w:t>
      </w:r>
      <w:r>
        <w:rPr>
          <w:i/>
          <w:spacing w:val="-8"/>
          <w:w w:val="105"/>
          <w:sz w:val="16"/>
        </w:rPr>
        <w:t> </w:t>
      </w:r>
      <w:r>
        <w:rPr>
          <w:i/>
          <w:w w:val="105"/>
          <w:sz w:val="16"/>
        </w:rPr>
        <w:t>Accenture</w:t>
      </w:r>
      <w:r>
        <w:rPr>
          <w:i/>
          <w:spacing w:val="-9"/>
          <w:w w:val="105"/>
          <w:sz w:val="16"/>
        </w:rPr>
        <w:t> </w:t>
      </w:r>
      <w:r>
        <w:rPr>
          <w:i/>
          <w:spacing w:val="-4"/>
          <w:w w:val="105"/>
          <w:sz w:val="16"/>
        </w:rPr>
        <w:t>plc.</w:t>
      </w:r>
    </w:p>
    <w:p>
      <w:pPr>
        <w:pStyle w:val="BodyText"/>
        <w:spacing w:line="266" w:lineRule="auto" w:before="19"/>
        <w:ind w:left="156"/>
      </w:pPr>
      <w:r>
        <w:rPr>
          <w:w w:val="105"/>
        </w:rPr>
        <w:t>From</w:t>
      </w:r>
      <w:r>
        <w:rPr>
          <w:spacing w:val="-2"/>
          <w:w w:val="105"/>
        </w:rPr>
        <w:t> </w:t>
      </w:r>
      <w:r>
        <w:rPr>
          <w:w w:val="105"/>
        </w:rPr>
        <w:t>2006</w:t>
      </w:r>
      <w:r>
        <w:rPr>
          <w:spacing w:val="-2"/>
          <w:w w:val="105"/>
        </w:rPr>
        <w:t> </w:t>
      </w:r>
      <w:r>
        <w:rPr>
          <w:w w:val="105"/>
        </w:rPr>
        <w:t>through</w:t>
      </w:r>
      <w:r>
        <w:rPr>
          <w:spacing w:val="-2"/>
          <w:w w:val="105"/>
        </w:rPr>
        <w:t> </w:t>
      </w:r>
      <w:r>
        <w:rPr>
          <w:w w:val="105"/>
        </w:rPr>
        <w:t>2013,</w:t>
      </w:r>
      <w:r>
        <w:rPr>
          <w:spacing w:val="-2"/>
          <w:w w:val="105"/>
        </w:rPr>
        <w:t> </w:t>
      </w:r>
      <w:r>
        <w:rPr>
          <w:w w:val="105"/>
        </w:rPr>
        <w:t>Ms.</w:t>
      </w:r>
      <w:r>
        <w:rPr>
          <w:spacing w:val="-2"/>
          <w:w w:val="105"/>
        </w:rPr>
        <w:t> </w:t>
      </w:r>
      <w:r>
        <w:rPr>
          <w:w w:val="105"/>
        </w:rPr>
        <w:t>Craig</w:t>
      </w:r>
      <w:r>
        <w:rPr>
          <w:spacing w:val="-2"/>
          <w:w w:val="105"/>
        </w:rPr>
        <w:t> </w:t>
      </w:r>
      <w:r>
        <w:rPr>
          <w:w w:val="105"/>
        </w:rPr>
        <w:t>served</w:t>
      </w:r>
      <w:r>
        <w:rPr>
          <w:spacing w:val="-2"/>
          <w:w w:val="105"/>
        </w:rPr>
        <w:t> </w:t>
      </w:r>
      <w:r>
        <w:rPr>
          <w:w w:val="105"/>
        </w:rPr>
        <w:t>as</w:t>
      </w:r>
      <w:r>
        <w:rPr>
          <w:spacing w:val="-2"/>
          <w:w w:val="105"/>
        </w:rPr>
        <w:t> </w:t>
      </w:r>
      <w:r>
        <w:rPr>
          <w:w w:val="105"/>
        </w:rPr>
        <w:t>chief</w:t>
      </w:r>
      <w:r>
        <w:rPr>
          <w:spacing w:val="-2"/>
          <w:w w:val="105"/>
        </w:rPr>
        <w:t> </w:t>
      </w:r>
      <w:r>
        <w:rPr>
          <w:w w:val="105"/>
        </w:rPr>
        <w:t>financial</w:t>
      </w:r>
      <w:r>
        <w:rPr>
          <w:spacing w:val="-2"/>
          <w:w w:val="105"/>
        </w:rPr>
        <w:t> </w:t>
      </w:r>
      <w:r>
        <w:rPr>
          <w:w w:val="105"/>
        </w:rPr>
        <w:t>officer</w:t>
      </w:r>
      <w:r>
        <w:rPr>
          <w:spacing w:val="-2"/>
          <w:w w:val="105"/>
        </w:rPr>
        <w:t> </w:t>
      </w:r>
      <w:r>
        <w:rPr>
          <w:w w:val="105"/>
        </w:rPr>
        <w:t>of</w:t>
      </w:r>
      <w:r>
        <w:rPr>
          <w:spacing w:val="-2"/>
          <w:w w:val="105"/>
        </w:rPr>
        <w:t> </w:t>
      </w:r>
      <w:r>
        <w:rPr>
          <w:w w:val="105"/>
        </w:rPr>
        <w:t>Accenture</w:t>
      </w:r>
      <w:r>
        <w:rPr>
          <w:spacing w:val="-2"/>
          <w:w w:val="105"/>
        </w:rPr>
        <w:t> </w:t>
      </w:r>
      <w:r>
        <w:rPr>
          <w:w w:val="105"/>
        </w:rPr>
        <w:t>plc.,</w:t>
      </w:r>
      <w:r>
        <w:rPr>
          <w:spacing w:val="-2"/>
          <w:w w:val="105"/>
        </w:rPr>
        <w:t> </w:t>
      </w:r>
      <w:r>
        <w:rPr>
          <w:w w:val="105"/>
        </w:rPr>
        <w:t>a</w:t>
      </w:r>
      <w:r>
        <w:rPr>
          <w:spacing w:val="-2"/>
          <w:w w:val="105"/>
        </w:rPr>
        <w:t> </w:t>
      </w:r>
      <w:r>
        <w:rPr>
          <w:w w:val="105"/>
        </w:rPr>
        <w:t>global management</w:t>
      </w:r>
      <w:r>
        <w:rPr>
          <w:spacing w:val="-2"/>
          <w:w w:val="105"/>
        </w:rPr>
        <w:t> </w:t>
      </w:r>
      <w:r>
        <w:rPr>
          <w:w w:val="105"/>
        </w:rPr>
        <w:t>consulting,</w:t>
      </w:r>
      <w:r>
        <w:rPr>
          <w:spacing w:val="-2"/>
          <w:w w:val="105"/>
        </w:rPr>
        <w:t> </w:t>
      </w:r>
      <w:r>
        <w:rPr>
          <w:w w:val="105"/>
        </w:rPr>
        <w:t>technology</w:t>
      </w:r>
      <w:r>
        <w:rPr>
          <w:spacing w:val="-2"/>
          <w:w w:val="105"/>
        </w:rPr>
        <w:t> </w:t>
      </w:r>
      <w:r>
        <w:rPr>
          <w:w w:val="105"/>
        </w:rPr>
        <w:t>services</w:t>
      </w:r>
      <w:r>
        <w:rPr>
          <w:spacing w:val="-2"/>
          <w:w w:val="105"/>
        </w:rPr>
        <w:t> </w:t>
      </w:r>
      <w:r>
        <w:rPr>
          <w:w w:val="105"/>
        </w:rPr>
        <w:t>and</w:t>
      </w:r>
      <w:r>
        <w:rPr>
          <w:spacing w:val="-2"/>
          <w:w w:val="105"/>
        </w:rPr>
        <w:t> </w:t>
      </w:r>
      <w:r>
        <w:rPr>
          <w:w w:val="105"/>
        </w:rPr>
        <w:t>outsourcing</w:t>
      </w:r>
      <w:r>
        <w:rPr>
          <w:spacing w:val="-2"/>
          <w:w w:val="105"/>
        </w:rPr>
        <w:t> </w:t>
      </w:r>
      <w:r>
        <w:rPr>
          <w:w w:val="105"/>
        </w:rPr>
        <w:t>company, following</w:t>
      </w:r>
      <w:r>
        <w:rPr>
          <w:spacing w:val="-9"/>
          <w:w w:val="105"/>
        </w:rPr>
        <w:t> </w:t>
      </w:r>
      <w:r>
        <w:rPr>
          <w:w w:val="105"/>
        </w:rPr>
        <w:t>many</w:t>
      </w:r>
      <w:r>
        <w:rPr>
          <w:spacing w:val="-9"/>
          <w:w w:val="105"/>
        </w:rPr>
        <w:t> </w:t>
      </w:r>
      <w:r>
        <w:rPr>
          <w:w w:val="105"/>
        </w:rPr>
        <w:t>other</w:t>
      </w:r>
      <w:r>
        <w:rPr>
          <w:spacing w:val="-9"/>
          <w:w w:val="105"/>
        </w:rPr>
        <w:t> </w:t>
      </w:r>
      <w:r>
        <w:rPr>
          <w:w w:val="105"/>
        </w:rPr>
        <w:t>leadership</w:t>
      </w:r>
      <w:r>
        <w:rPr>
          <w:spacing w:val="-9"/>
          <w:w w:val="105"/>
        </w:rPr>
        <w:t> </w:t>
      </w:r>
      <w:r>
        <w:rPr>
          <w:w w:val="105"/>
        </w:rPr>
        <w:t>roles</w:t>
      </w:r>
      <w:r>
        <w:rPr>
          <w:spacing w:val="-9"/>
          <w:w w:val="105"/>
        </w:rPr>
        <w:t> </w:t>
      </w:r>
      <w:r>
        <w:rPr>
          <w:w w:val="105"/>
        </w:rPr>
        <w:t>in</w:t>
      </w:r>
      <w:r>
        <w:rPr>
          <w:spacing w:val="-9"/>
          <w:w w:val="105"/>
        </w:rPr>
        <w:t> </w:t>
      </w:r>
      <w:r>
        <w:rPr>
          <w:w w:val="105"/>
        </w:rPr>
        <w:t>line</w:t>
      </w:r>
      <w:r>
        <w:rPr>
          <w:spacing w:val="-9"/>
          <w:w w:val="105"/>
        </w:rPr>
        <w:t> </w:t>
      </w:r>
      <w:r>
        <w:rPr>
          <w:w w:val="105"/>
        </w:rPr>
        <w:t>management,</w:t>
      </w:r>
      <w:r>
        <w:rPr>
          <w:spacing w:val="-9"/>
          <w:w w:val="105"/>
        </w:rPr>
        <w:t> </w:t>
      </w:r>
      <w:r>
        <w:rPr>
          <w:w w:val="105"/>
        </w:rPr>
        <w:t>consulting</w:t>
      </w:r>
      <w:r>
        <w:rPr>
          <w:spacing w:val="-9"/>
          <w:w w:val="105"/>
        </w:rPr>
        <w:t> </w:t>
      </w:r>
      <w:r>
        <w:rPr>
          <w:w w:val="105"/>
        </w:rPr>
        <w:t>and</w:t>
      </w:r>
      <w:r>
        <w:rPr>
          <w:spacing w:val="-9"/>
          <w:w w:val="105"/>
        </w:rPr>
        <w:t> </w:t>
      </w:r>
      <w:r>
        <w:rPr>
          <w:w w:val="105"/>
        </w:rPr>
        <w:t>operations</w:t>
      </w:r>
      <w:r>
        <w:rPr>
          <w:spacing w:val="-9"/>
          <w:w w:val="105"/>
        </w:rPr>
        <w:t> </w:t>
      </w:r>
      <w:r>
        <w:rPr>
          <w:w w:val="105"/>
        </w:rPr>
        <w:t>during</w:t>
      </w:r>
      <w:r>
        <w:rPr>
          <w:spacing w:val="-9"/>
          <w:w w:val="105"/>
        </w:rPr>
        <w:t> </w:t>
      </w:r>
      <w:r>
        <w:rPr>
          <w:w w:val="105"/>
        </w:rPr>
        <w:t>her</w:t>
      </w:r>
      <w:r>
        <w:rPr>
          <w:spacing w:val="-9"/>
          <w:w w:val="105"/>
        </w:rPr>
        <w:t> </w:t>
      </w:r>
      <w:r>
        <w:rPr>
          <w:w w:val="105"/>
        </w:rPr>
        <w:t>34</w:t>
      </w:r>
      <w:r>
        <w:rPr>
          <w:spacing w:val="-9"/>
          <w:w w:val="105"/>
        </w:rPr>
        <w:t> </w:t>
      </w:r>
      <w:r>
        <w:rPr>
          <w:w w:val="105"/>
        </w:rPr>
        <w:t>years</w:t>
      </w:r>
      <w:r>
        <w:rPr>
          <w:spacing w:val="-9"/>
          <w:w w:val="105"/>
        </w:rPr>
        <w:t> </w:t>
      </w:r>
      <w:r>
        <w:rPr>
          <w:w w:val="105"/>
        </w:rPr>
        <w:t>with</w:t>
      </w:r>
      <w:r>
        <w:rPr>
          <w:spacing w:val="-9"/>
          <w:w w:val="105"/>
        </w:rPr>
        <w:t> </w:t>
      </w:r>
      <w:r>
        <w:rPr>
          <w:w w:val="105"/>
        </w:rPr>
        <w:t>the</w:t>
      </w:r>
      <w:r>
        <w:rPr>
          <w:spacing w:val="-9"/>
          <w:w w:val="105"/>
        </w:rPr>
        <w:t> </w:t>
      </w:r>
      <w:r>
        <w:rPr>
          <w:w w:val="105"/>
        </w:rPr>
        <w:t>company.</w:t>
      </w:r>
      <w:r>
        <w:rPr>
          <w:spacing w:val="-9"/>
          <w:w w:val="105"/>
        </w:rPr>
        <w:t> </w:t>
      </w:r>
      <w:r>
        <w:rPr>
          <w:w w:val="105"/>
        </w:rPr>
        <w:t>Ms.</w:t>
      </w:r>
      <w:r>
        <w:rPr>
          <w:spacing w:val="-9"/>
          <w:w w:val="105"/>
        </w:rPr>
        <w:t> </w:t>
      </w:r>
      <w:r>
        <w:rPr>
          <w:w w:val="105"/>
        </w:rPr>
        <w:t>Craig</w:t>
      </w:r>
      <w:r>
        <w:rPr>
          <w:spacing w:val="-9"/>
          <w:w w:val="105"/>
        </w:rPr>
        <w:t> </w:t>
      </w:r>
      <w:r>
        <w:rPr>
          <w:w w:val="105"/>
        </w:rPr>
        <w:t>has</w:t>
      </w:r>
      <w:r>
        <w:rPr>
          <w:spacing w:val="-9"/>
          <w:w w:val="105"/>
        </w:rPr>
        <w:t> </w:t>
      </w:r>
      <w:r>
        <w:rPr>
          <w:w w:val="105"/>
        </w:rPr>
        <w:t>extensive</w:t>
      </w:r>
      <w:r>
        <w:rPr>
          <w:spacing w:val="-9"/>
          <w:w w:val="105"/>
        </w:rPr>
        <w:t> </w:t>
      </w:r>
      <w:r>
        <w:rPr>
          <w:w w:val="105"/>
        </w:rPr>
        <w:t>finance,</w:t>
      </w:r>
      <w:r>
        <w:rPr>
          <w:spacing w:val="-7"/>
          <w:w w:val="105"/>
        </w:rPr>
        <w:t> </w:t>
      </w:r>
      <w:r>
        <w:rPr>
          <w:w w:val="105"/>
        </w:rPr>
        <w:t>management, operational,</w:t>
      </w:r>
      <w:r>
        <w:rPr>
          <w:spacing w:val="-10"/>
          <w:w w:val="105"/>
        </w:rPr>
        <w:t> </w:t>
      </w:r>
      <w:r>
        <w:rPr>
          <w:w w:val="105"/>
        </w:rPr>
        <w:t>technology</w:t>
      </w:r>
      <w:r>
        <w:rPr>
          <w:spacing w:val="-10"/>
          <w:w w:val="105"/>
        </w:rPr>
        <w:t> </w:t>
      </w:r>
      <w:r>
        <w:rPr>
          <w:w w:val="105"/>
        </w:rPr>
        <w:t>and</w:t>
      </w:r>
      <w:r>
        <w:rPr>
          <w:spacing w:val="-9"/>
          <w:w w:val="105"/>
        </w:rPr>
        <w:t> </w:t>
      </w:r>
      <w:r>
        <w:rPr>
          <w:w w:val="105"/>
        </w:rPr>
        <w:t>international</w:t>
      </w:r>
      <w:r>
        <w:rPr>
          <w:spacing w:val="-10"/>
          <w:w w:val="105"/>
        </w:rPr>
        <w:t> </w:t>
      </w:r>
      <w:r>
        <w:rPr>
          <w:w w:val="105"/>
        </w:rPr>
        <w:t>business</w:t>
      </w:r>
      <w:r>
        <w:rPr>
          <w:spacing w:val="-10"/>
          <w:w w:val="105"/>
        </w:rPr>
        <w:t> </w:t>
      </w:r>
      <w:r>
        <w:rPr>
          <w:w w:val="105"/>
        </w:rPr>
        <w:t>expertise,</w:t>
      </w:r>
      <w:r>
        <w:rPr>
          <w:spacing w:val="-10"/>
          <w:w w:val="105"/>
        </w:rPr>
        <w:t> </w:t>
      </w:r>
      <w:r>
        <w:rPr>
          <w:w w:val="105"/>
        </w:rPr>
        <w:t>including</w:t>
      </w:r>
      <w:r>
        <w:rPr>
          <w:spacing w:val="-10"/>
          <w:w w:val="105"/>
        </w:rPr>
        <w:t> </w:t>
      </w:r>
      <w:r>
        <w:rPr>
          <w:w w:val="105"/>
        </w:rPr>
        <w:t>her</w:t>
      </w:r>
      <w:r>
        <w:rPr>
          <w:spacing w:val="-10"/>
          <w:w w:val="105"/>
        </w:rPr>
        <w:t> </w:t>
      </w:r>
      <w:r>
        <w:rPr>
          <w:w w:val="105"/>
        </w:rPr>
        <w:t>accomplishments</w:t>
      </w:r>
      <w:r>
        <w:rPr>
          <w:spacing w:val="-10"/>
          <w:w w:val="105"/>
        </w:rPr>
        <w:t> </w:t>
      </w:r>
      <w:r>
        <w:rPr>
          <w:w w:val="105"/>
        </w:rPr>
        <w:t>and</w:t>
      </w:r>
      <w:r>
        <w:rPr>
          <w:spacing w:val="-10"/>
          <w:w w:val="105"/>
        </w:rPr>
        <w:t> </w:t>
      </w:r>
      <w:r>
        <w:rPr>
          <w:w w:val="105"/>
        </w:rPr>
        <w:t>executive</w:t>
      </w:r>
      <w:r>
        <w:rPr>
          <w:spacing w:val="-9"/>
          <w:w w:val="105"/>
        </w:rPr>
        <w:t> </w:t>
      </w:r>
      <w:r>
        <w:rPr>
          <w:w w:val="105"/>
        </w:rPr>
        <w:t>abilities</w:t>
      </w:r>
      <w:r>
        <w:rPr>
          <w:spacing w:val="-10"/>
          <w:w w:val="105"/>
        </w:rPr>
        <w:t> </w:t>
      </w:r>
      <w:r>
        <w:rPr>
          <w:w w:val="105"/>
        </w:rPr>
        <w:t>as</w:t>
      </w:r>
      <w:r>
        <w:rPr>
          <w:spacing w:val="-10"/>
          <w:w w:val="105"/>
        </w:rPr>
        <w:t> </w:t>
      </w:r>
      <w:r>
        <w:rPr>
          <w:w w:val="105"/>
        </w:rPr>
        <w:t>chief</w:t>
      </w:r>
      <w:r>
        <w:rPr>
          <w:spacing w:val="-10"/>
          <w:w w:val="105"/>
        </w:rPr>
        <w:t> </w:t>
      </w:r>
      <w:r>
        <w:rPr>
          <w:w w:val="105"/>
        </w:rPr>
        <w:t>financial</w:t>
      </w:r>
      <w:r>
        <w:rPr>
          <w:spacing w:val="-10"/>
          <w:w w:val="105"/>
        </w:rPr>
        <w:t> </w:t>
      </w:r>
      <w:r>
        <w:rPr>
          <w:w w:val="105"/>
        </w:rPr>
        <w:t>officer</w:t>
      </w:r>
      <w:r>
        <w:rPr>
          <w:spacing w:val="-10"/>
          <w:w w:val="105"/>
        </w:rPr>
        <w:t> </w:t>
      </w:r>
      <w:r>
        <w:rPr>
          <w:w w:val="105"/>
        </w:rPr>
        <w:t>at</w:t>
      </w:r>
      <w:r>
        <w:rPr>
          <w:spacing w:val="-10"/>
          <w:w w:val="105"/>
        </w:rPr>
        <w:t> </w:t>
      </w:r>
      <w:r>
        <w:rPr>
          <w:w w:val="105"/>
        </w:rPr>
        <w:t>Accenture.</w:t>
      </w:r>
      <w:r>
        <w:rPr>
          <w:spacing w:val="-10"/>
          <w:w w:val="105"/>
        </w:rPr>
        <w:t> </w:t>
      </w:r>
      <w:r>
        <w:rPr>
          <w:w w:val="105"/>
        </w:rPr>
        <w:t>Ms.</w:t>
      </w:r>
      <w:r>
        <w:rPr>
          <w:spacing w:val="-10"/>
          <w:w w:val="105"/>
        </w:rPr>
        <w:t> </w:t>
      </w:r>
      <w:r>
        <w:rPr>
          <w:w w:val="105"/>
        </w:rPr>
        <w:t>Craig</w:t>
      </w:r>
      <w:r>
        <w:rPr>
          <w:spacing w:val="-10"/>
          <w:w w:val="105"/>
        </w:rPr>
        <w:t> </w:t>
      </w:r>
      <w:r>
        <w:rPr>
          <w:w w:val="105"/>
        </w:rPr>
        <w:t>joined Corning’s Board in 2021. Age 65.</w:t>
      </w:r>
    </w:p>
    <w:p>
      <w:pPr>
        <w:pStyle w:val="BodyText"/>
        <w:spacing w:before="18"/>
      </w:pPr>
    </w:p>
    <w:p>
      <w:pPr>
        <w:spacing w:before="1"/>
        <w:ind w:left="156" w:right="0" w:firstLine="0"/>
        <w:jc w:val="left"/>
        <w:rPr>
          <w:i/>
          <w:sz w:val="16"/>
        </w:rPr>
      </w:pPr>
      <w:r>
        <w:rPr>
          <w:w w:val="105"/>
          <w:sz w:val="16"/>
        </w:rPr>
        <w:t>Robert</w:t>
      </w:r>
      <w:r>
        <w:rPr>
          <w:spacing w:val="-9"/>
          <w:w w:val="105"/>
          <w:sz w:val="16"/>
        </w:rPr>
        <w:t> </w:t>
      </w:r>
      <w:r>
        <w:rPr>
          <w:w w:val="105"/>
          <w:sz w:val="16"/>
        </w:rPr>
        <w:t>F.</w:t>
      </w:r>
      <w:r>
        <w:rPr>
          <w:spacing w:val="-9"/>
          <w:w w:val="105"/>
          <w:sz w:val="16"/>
        </w:rPr>
        <w:t> </w:t>
      </w:r>
      <w:r>
        <w:rPr>
          <w:w w:val="105"/>
          <w:sz w:val="16"/>
        </w:rPr>
        <w:t>Cummings,</w:t>
      </w:r>
      <w:r>
        <w:rPr>
          <w:spacing w:val="-8"/>
          <w:w w:val="105"/>
          <w:sz w:val="16"/>
        </w:rPr>
        <w:t> </w:t>
      </w:r>
      <w:r>
        <w:rPr>
          <w:w w:val="105"/>
          <w:sz w:val="16"/>
        </w:rPr>
        <w:t>Jr.</w:t>
      </w:r>
      <w:r>
        <w:rPr>
          <w:spacing w:val="25"/>
          <w:w w:val="105"/>
          <w:sz w:val="16"/>
        </w:rPr>
        <w:t> </w:t>
      </w:r>
      <w:r>
        <w:rPr>
          <w:i/>
          <w:w w:val="105"/>
          <w:sz w:val="16"/>
        </w:rPr>
        <w:t>Retired</w:t>
      </w:r>
      <w:r>
        <w:rPr>
          <w:i/>
          <w:spacing w:val="-9"/>
          <w:w w:val="105"/>
          <w:sz w:val="16"/>
        </w:rPr>
        <w:t> </w:t>
      </w:r>
      <w:r>
        <w:rPr>
          <w:i/>
          <w:w w:val="105"/>
          <w:sz w:val="16"/>
        </w:rPr>
        <w:t>Vice</w:t>
      </w:r>
      <w:r>
        <w:rPr>
          <w:i/>
          <w:spacing w:val="-8"/>
          <w:w w:val="105"/>
          <w:sz w:val="16"/>
        </w:rPr>
        <w:t> </w:t>
      </w:r>
      <w:r>
        <w:rPr>
          <w:i/>
          <w:w w:val="105"/>
          <w:sz w:val="16"/>
        </w:rPr>
        <w:t>Chairman</w:t>
      </w:r>
      <w:r>
        <w:rPr>
          <w:i/>
          <w:spacing w:val="-9"/>
          <w:w w:val="105"/>
          <w:sz w:val="16"/>
        </w:rPr>
        <w:t> </w:t>
      </w:r>
      <w:r>
        <w:rPr>
          <w:i/>
          <w:w w:val="105"/>
          <w:sz w:val="16"/>
        </w:rPr>
        <w:t>of</w:t>
      </w:r>
      <w:r>
        <w:rPr>
          <w:i/>
          <w:spacing w:val="-9"/>
          <w:w w:val="105"/>
          <w:sz w:val="16"/>
        </w:rPr>
        <w:t> </w:t>
      </w:r>
      <w:r>
        <w:rPr>
          <w:i/>
          <w:w w:val="105"/>
          <w:sz w:val="16"/>
        </w:rPr>
        <w:t>Investment</w:t>
      </w:r>
      <w:r>
        <w:rPr>
          <w:i/>
          <w:spacing w:val="-8"/>
          <w:w w:val="105"/>
          <w:sz w:val="16"/>
        </w:rPr>
        <w:t> </w:t>
      </w:r>
      <w:r>
        <w:rPr>
          <w:i/>
          <w:w w:val="105"/>
          <w:sz w:val="16"/>
        </w:rPr>
        <w:t>Banking,</w:t>
      </w:r>
      <w:r>
        <w:rPr>
          <w:i/>
          <w:spacing w:val="-9"/>
          <w:w w:val="105"/>
          <w:sz w:val="16"/>
        </w:rPr>
        <w:t> </w:t>
      </w:r>
      <w:r>
        <w:rPr>
          <w:i/>
          <w:w w:val="105"/>
          <w:sz w:val="16"/>
        </w:rPr>
        <w:t>JPMorgan</w:t>
      </w:r>
      <w:r>
        <w:rPr>
          <w:i/>
          <w:spacing w:val="-9"/>
          <w:w w:val="105"/>
          <w:sz w:val="16"/>
        </w:rPr>
        <w:t> </w:t>
      </w:r>
      <w:r>
        <w:rPr>
          <w:i/>
          <w:w w:val="105"/>
          <w:sz w:val="16"/>
        </w:rPr>
        <w:t>Chase</w:t>
      </w:r>
      <w:r>
        <w:rPr>
          <w:i/>
          <w:spacing w:val="-8"/>
          <w:w w:val="105"/>
          <w:sz w:val="16"/>
        </w:rPr>
        <w:t> </w:t>
      </w:r>
      <w:r>
        <w:rPr>
          <w:i/>
          <w:w w:val="105"/>
          <w:sz w:val="16"/>
        </w:rPr>
        <w:t>&amp;</w:t>
      </w:r>
      <w:r>
        <w:rPr>
          <w:i/>
          <w:spacing w:val="-9"/>
          <w:w w:val="105"/>
          <w:sz w:val="16"/>
        </w:rPr>
        <w:t> </w:t>
      </w:r>
      <w:r>
        <w:rPr>
          <w:i/>
          <w:spacing w:val="-5"/>
          <w:w w:val="105"/>
          <w:sz w:val="16"/>
        </w:rPr>
        <w:t>Co.</w:t>
      </w:r>
    </w:p>
    <w:p>
      <w:pPr>
        <w:pStyle w:val="BodyText"/>
        <w:spacing w:line="266" w:lineRule="auto" w:before="19"/>
        <w:ind w:left="156" w:right="117"/>
      </w:pPr>
      <w:r>
        <w:rPr>
          <w:w w:val="105"/>
        </w:rPr>
        <w:t>Mr.</w:t>
      </w:r>
      <w:r>
        <w:rPr>
          <w:spacing w:val="-1"/>
          <w:w w:val="105"/>
        </w:rPr>
        <w:t> </w:t>
      </w:r>
      <w:r>
        <w:rPr>
          <w:w w:val="105"/>
        </w:rPr>
        <w:t>Cummings</w:t>
      </w:r>
      <w:r>
        <w:rPr>
          <w:spacing w:val="-1"/>
          <w:w w:val="105"/>
        </w:rPr>
        <w:t> </w:t>
      </w:r>
      <w:r>
        <w:rPr>
          <w:w w:val="105"/>
        </w:rPr>
        <w:t>retired</w:t>
      </w:r>
      <w:r>
        <w:rPr>
          <w:spacing w:val="-1"/>
          <w:w w:val="105"/>
        </w:rPr>
        <w:t> </w:t>
      </w:r>
      <w:r>
        <w:rPr>
          <w:w w:val="105"/>
        </w:rPr>
        <w:t>as</w:t>
      </w:r>
      <w:r>
        <w:rPr>
          <w:spacing w:val="-1"/>
          <w:w w:val="105"/>
        </w:rPr>
        <w:t> </w:t>
      </w:r>
      <w:r>
        <w:rPr>
          <w:w w:val="105"/>
        </w:rPr>
        <w:t>vice</w:t>
      </w:r>
      <w:r>
        <w:rPr>
          <w:spacing w:val="-1"/>
          <w:w w:val="105"/>
        </w:rPr>
        <w:t> </w:t>
      </w:r>
      <w:r>
        <w:rPr>
          <w:w w:val="105"/>
        </w:rPr>
        <w:t>chairman</w:t>
      </w:r>
      <w:r>
        <w:rPr>
          <w:spacing w:val="-1"/>
          <w:w w:val="105"/>
        </w:rPr>
        <w:t> </w:t>
      </w:r>
      <w:r>
        <w:rPr>
          <w:w w:val="105"/>
        </w:rPr>
        <w:t>of</w:t>
      </w:r>
      <w:r>
        <w:rPr>
          <w:spacing w:val="-1"/>
          <w:w w:val="105"/>
        </w:rPr>
        <w:t> </w:t>
      </w:r>
      <w:r>
        <w:rPr>
          <w:w w:val="105"/>
        </w:rPr>
        <w:t>Investment</w:t>
      </w:r>
      <w:r>
        <w:rPr>
          <w:spacing w:val="-1"/>
          <w:w w:val="105"/>
        </w:rPr>
        <w:t> </w:t>
      </w:r>
      <w:r>
        <w:rPr>
          <w:w w:val="105"/>
        </w:rPr>
        <w:t>Banking</w:t>
      </w:r>
      <w:r>
        <w:rPr>
          <w:spacing w:val="-1"/>
          <w:w w:val="105"/>
        </w:rPr>
        <w:t> </w:t>
      </w:r>
      <w:r>
        <w:rPr>
          <w:w w:val="105"/>
        </w:rPr>
        <w:t>at</w:t>
      </w:r>
      <w:r>
        <w:rPr>
          <w:spacing w:val="-1"/>
          <w:w w:val="105"/>
        </w:rPr>
        <w:t> </w:t>
      </w:r>
      <w:r>
        <w:rPr>
          <w:w w:val="105"/>
        </w:rPr>
        <w:t>JPMorgan</w:t>
      </w:r>
      <w:r>
        <w:rPr>
          <w:spacing w:val="-1"/>
          <w:w w:val="105"/>
        </w:rPr>
        <w:t> </w:t>
      </w:r>
      <w:r>
        <w:rPr>
          <w:w w:val="105"/>
        </w:rPr>
        <w:t>Chase</w:t>
      </w:r>
      <w:r>
        <w:rPr>
          <w:spacing w:val="-1"/>
          <w:w w:val="105"/>
        </w:rPr>
        <w:t> </w:t>
      </w:r>
      <w:r>
        <w:rPr>
          <w:w w:val="105"/>
        </w:rPr>
        <w:t>&amp;</w:t>
      </w:r>
      <w:r>
        <w:rPr>
          <w:spacing w:val="-1"/>
          <w:w w:val="105"/>
        </w:rPr>
        <w:t> </w:t>
      </w:r>
      <w:r>
        <w:rPr>
          <w:w w:val="105"/>
        </w:rPr>
        <w:t>Co.</w:t>
      </w:r>
      <w:r>
        <w:rPr>
          <w:spacing w:val="-1"/>
          <w:w w:val="105"/>
        </w:rPr>
        <w:t> </w:t>
      </w:r>
      <w:r>
        <w:rPr>
          <w:w w:val="105"/>
        </w:rPr>
        <w:t>(JPM)</w:t>
      </w:r>
      <w:r>
        <w:rPr>
          <w:spacing w:val="-1"/>
          <w:w w:val="105"/>
        </w:rPr>
        <w:t> </w:t>
      </w:r>
      <w:r>
        <w:rPr>
          <w:w w:val="105"/>
        </w:rPr>
        <w:t>in</w:t>
      </w:r>
      <w:r>
        <w:rPr>
          <w:spacing w:val="-1"/>
          <w:w w:val="105"/>
        </w:rPr>
        <w:t> </w:t>
      </w:r>
      <w:r>
        <w:rPr>
          <w:w w:val="105"/>
        </w:rPr>
        <w:t>February</w:t>
      </w:r>
      <w:r>
        <w:rPr>
          <w:spacing w:val="-1"/>
          <w:w w:val="105"/>
        </w:rPr>
        <w:t> </w:t>
      </w:r>
      <w:r>
        <w:rPr>
          <w:w w:val="105"/>
        </w:rPr>
        <w:t>2016.</w:t>
      </w:r>
      <w:r>
        <w:rPr>
          <w:spacing w:val="-1"/>
          <w:w w:val="105"/>
        </w:rPr>
        <w:t> </w:t>
      </w:r>
      <w:r>
        <w:rPr>
          <w:w w:val="105"/>
        </w:rPr>
        <w:t>He</w:t>
      </w:r>
      <w:r>
        <w:rPr>
          <w:spacing w:val="-1"/>
          <w:w w:val="105"/>
        </w:rPr>
        <w:t> </w:t>
      </w:r>
      <w:r>
        <w:rPr>
          <w:w w:val="105"/>
        </w:rPr>
        <w:t>had</w:t>
      </w:r>
      <w:r>
        <w:rPr>
          <w:spacing w:val="-1"/>
          <w:w w:val="105"/>
        </w:rPr>
        <w:t> </w:t>
      </w:r>
      <w:r>
        <w:rPr>
          <w:w w:val="105"/>
        </w:rPr>
        <w:t>served</w:t>
      </w:r>
      <w:r>
        <w:rPr>
          <w:spacing w:val="-1"/>
          <w:w w:val="105"/>
        </w:rPr>
        <w:t> </w:t>
      </w:r>
      <w:r>
        <w:rPr>
          <w:w w:val="105"/>
        </w:rPr>
        <w:t>in</w:t>
      </w:r>
      <w:r>
        <w:rPr>
          <w:spacing w:val="-1"/>
          <w:w w:val="105"/>
        </w:rPr>
        <w:t> </w:t>
      </w:r>
      <w:r>
        <w:rPr>
          <w:w w:val="105"/>
        </w:rPr>
        <w:t>that</w:t>
      </w:r>
      <w:r>
        <w:rPr>
          <w:spacing w:val="-1"/>
          <w:w w:val="105"/>
        </w:rPr>
        <w:t> </w:t>
      </w:r>
      <w:r>
        <w:rPr>
          <w:w w:val="105"/>
        </w:rPr>
        <w:t>role</w:t>
      </w:r>
      <w:r>
        <w:rPr>
          <w:spacing w:val="-1"/>
          <w:w w:val="105"/>
        </w:rPr>
        <w:t> </w:t>
      </w:r>
      <w:r>
        <w:rPr>
          <w:w w:val="105"/>
        </w:rPr>
        <w:t>since</w:t>
      </w:r>
      <w:r>
        <w:rPr>
          <w:spacing w:val="-1"/>
          <w:w w:val="105"/>
        </w:rPr>
        <w:t> </w:t>
      </w:r>
      <w:r>
        <w:rPr>
          <w:w w:val="105"/>
        </w:rPr>
        <w:t>December</w:t>
      </w:r>
      <w:r>
        <w:rPr>
          <w:spacing w:val="-1"/>
          <w:w w:val="105"/>
        </w:rPr>
        <w:t> </w:t>
      </w:r>
      <w:r>
        <w:rPr>
          <w:w w:val="105"/>
        </w:rPr>
        <w:t>2010, advising</w:t>
      </w:r>
      <w:r>
        <w:rPr>
          <w:spacing w:val="-8"/>
          <w:w w:val="105"/>
        </w:rPr>
        <w:t> </w:t>
      </w:r>
      <w:r>
        <w:rPr>
          <w:w w:val="105"/>
        </w:rPr>
        <w:t>on</w:t>
      </w:r>
      <w:r>
        <w:rPr>
          <w:spacing w:val="-8"/>
          <w:w w:val="105"/>
        </w:rPr>
        <w:t> </w:t>
      </w:r>
      <w:r>
        <w:rPr>
          <w:w w:val="105"/>
        </w:rPr>
        <w:t>client</w:t>
      </w:r>
      <w:r>
        <w:rPr>
          <w:spacing w:val="-8"/>
          <w:w w:val="105"/>
        </w:rPr>
        <w:t> </w:t>
      </w:r>
      <w:r>
        <w:rPr>
          <w:w w:val="105"/>
        </w:rPr>
        <w:t>opportunities</w:t>
      </w:r>
      <w:r>
        <w:rPr>
          <w:spacing w:val="-8"/>
          <w:w w:val="105"/>
        </w:rPr>
        <w:t> </w:t>
      </w:r>
      <w:r>
        <w:rPr>
          <w:w w:val="105"/>
        </w:rPr>
        <w:t>across</w:t>
      </w:r>
      <w:r>
        <w:rPr>
          <w:spacing w:val="-8"/>
          <w:w w:val="105"/>
        </w:rPr>
        <w:t> </w:t>
      </w:r>
      <w:r>
        <w:rPr>
          <w:w w:val="105"/>
        </w:rPr>
        <w:t>sectors</w:t>
      </w:r>
      <w:r>
        <w:rPr>
          <w:spacing w:val="-8"/>
          <w:w w:val="105"/>
        </w:rPr>
        <w:t> </w:t>
      </w:r>
      <w:r>
        <w:rPr>
          <w:w w:val="105"/>
        </w:rPr>
        <w:t>and</w:t>
      </w:r>
      <w:r>
        <w:rPr>
          <w:spacing w:val="-8"/>
          <w:w w:val="105"/>
        </w:rPr>
        <w:t> </w:t>
      </w:r>
      <w:r>
        <w:rPr>
          <w:w w:val="105"/>
        </w:rPr>
        <w:t>industry</w:t>
      </w:r>
      <w:r>
        <w:rPr>
          <w:spacing w:val="-8"/>
          <w:w w:val="105"/>
        </w:rPr>
        <w:t> </w:t>
      </w:r>
      <w:r>
        <w:rPr>
          <w:w w:val="105"/>
        </w:rPr>
        <w:t>groups.</w:t>
      </w:r>
      <w:r>
        <w:rPr>
          <w:spacing w:val="-8"/>
          <w:w w:val="105"/>
        </w:rPr>
        <w:t> </w:t>
      </w:r>
      <w:r>
        <w:rPr>
          <w:w w:val="105"/>
        </w:rPr>
        <w:t>Mr.</w:t>
      </w:r>
      <w:r>
        <w:rPr>
          <w:spacing w:val="-8"/>
          <w:w w:val="105"/>
        </w:rPr>
        <w:t> </w:t>
      </w:r>
      <w:r>
        <w:rPr>
          <w:w w:val="105"/>
        </w:rPr>
        <w:t>Cummings</w:t>
      </w:r>
      <w:r>
        <w:rPr>
          <w:spacing w:val="-8"/>
          <w:w w:val="105"/>
        </w:rPr>
        <w:t> </w:t>
      </w:r>
      <w:r>
        <w:rPr>
          <w:w w:val="105"/>
        </w:rPr>
        <w:t>began</w:t>
      </w:r>
      <w:r>
        <w:rPr>
          <w:spacing w:val="-8"/>
          <w:w w:val="105"/>
        </w:rPr>
        <w:t> </w:t>
      </w:r>
      <w:r>
        <w:rPr>
          <w:w w:val="105"/>
        </w:rPr>
        <w:t>his</w:t>
      </w:r>
      <w:r>
        <w:rPr>
          <w:spacing w:val="-8"/>
          <w:w w:val="105"/>
        </w:rPr>
        <w:t> </w:t>
      </w:r>
      <w:r>
        <w:rPr>
          <w:w w:val="105"/>
        </w:rPr>
        <w:t>business</w:t>
      </w:r>
      <w:r>
        <w:rPr>
          <w:spacing w:val="-8"/>
          <w:w w:val="105"/>
        </w:rPr>
        <w:t> </w:t>
      </w:r>
      <w:r>
        <w:rPr>
          <w:w w:val="105"/>
        </w:rPr>
        <w:t>career</w:t>
      </w:r>
      <w:r>
        <w:rPr>
          <w:spacing w:val="-8"/>
          <w:w w:val="105"/>
        </w:rPr>
        <w:t> </w:t>
      </w:r>
      <w:r>
        <w:rPr>
          <w:w w:val="105"/>
        </w:rPr>
        <w:t>in</w:t>
      </w:r>
      <w:r>
        <w:rPr>
          <w:spacing w:val="-8"/>
          <w:w w:val="105"/>
        </w:rPr>
        <w:t> </w:t>
      </w:r>
      <w:r>
        <w:rPr>
          <w:w w:val="105"/>
        </w:rPr>
        <w:t>the</w:t>
      </w:r>
      <w:r>
        <w:rPr>
          <w:spacing w:val="-8"/>
          <w:w w:val="105"/>
        </w:rPr>
        <w:t> </w:t>
      </w:r>
      <w:r>
        <w:rPr>
          <w:w w:val="105"/>
        </w:rPr>
        <w:t>investment</w:t>
      </w:r>
      <w:r>
        <w:rPr>
          <w:spacing w:val="-8"/>
          <w:w w:val="105"/>
        </w:rPr>
        <w:t> </w:t>
      </w:r>
      <w:r>
        <w:rPr>
          <w:w w:val="105"/>
        </w:rPr>
        <w:t>banking</w:t>
      </w:r>
      <w:r>
        <w:rPr>
          <w:spacing w:val="-8"/>
          <w:w w:val="105"/>
        </w:rPr>
        <w:t> </w:t>
      </w:r>
      <w:r>
        <w:rPr>
          <w:w w:val="105"/>
        </w:rPr>
        <w:t>division</w:t>
      </w:r>
      <w:r>
        <w:rPr>
          <w:spacing w:val="-8"/>
          <w:w w:val="105"/>
        </w:rPr>
        <w:t> </w:t>
      </w:r>
      <w:r>
        <w:rPr>
          <w:w w:val="105"/>
        </w:rPr>
        <w:t>of</w:t>
      </w:r>
      <w:r>
        <w:rPr>
          <w:spacing w:val="-8"/>
          <w:w w:val="105"/>
        </w:rPr>
        <w:t> </w:t>
      </w:r>
      <w:r>
        <w:rPr>
          <w:w w:val="105"/>
        </w:rPr>
        <w:t>Goldman,</w:t>
      </w:r>
      <w:r>
        <w:rPr>
          <w:spacing w:val="-8"/>
          <w:w w:val="105"/>
        </w:rPr>
        <w:t> </w:t>
      </w:r>
      <w:r>
        <w:rPr>
          <w:w w:val="105"/>
        </w:rPr>
        <w:t>Sachs</w:t>
      </w:r>
      <w:r>
        <w:rPr>
          <w:spacing w:val="-8"/>
          <w:w w:val="105"/>
        </w:rPr>
        <w:t> </w:t>
      </w:r>
      <w:r>
        <w:rPr>
          <w:w w:val="105"/>
        </w:rPr>
        <w:t>&amp;</w:t>
      </w:r>
      <w:r>
        <w:rPr>
          <w:spacing w:val="-8"/>
          <w:w w:val="105"/>
        </w:rPr>
        <w:t> </w:t>
      </w:r>
      <w:r>
        <w:rPr>
          <w:w w:val="105"/>
        </w:rPr>
        <w:t>Co.</w:t>
      </w:r>
      <w:r>
        <w:rPr>
          <w:spacing w:val="-8"/>
          <w:w w:val="105"/>
        </w:rPr>
        <w:t> </w:t>
      </w:r>
      <w:r>
        <w:rPr>
          <w:w w:val="105"/>
        </w:rPr>
        <w:t>in 1973</w:t>
      </w:r>
      <w:r>
        <w:rPr>
          <w:spacing w:val="-5"/>
          <w:w w:val="105"/>
        </w:rPr>
        <w:t> </w:t>
      </w:r>
      <w:r>
        <w:rPr>
          <w:w w:val="105"/>
        </w:rPr>
        <w:t>and</w:t>
      </w:r>
      <w:r>
        <w:rPr>
          <w:spacing w:val="-5"/>
          <w:w w:val="105"/>
        </w:rPr>
        <w:t> </w:t>
      </w:r>
      <w:r>
        <w:rPr>
          <w:w w:val="105"/>
        </w:rPr>
        <w:t>was</w:t>
      </w:r>
      <w:r>
        <w:rPr>
          <w:spacing w:val="-5"/>
          <w:w w:val="105"/>
        </w:rPr>
        <w:t> </w:t>
      </w:r>
      <w:r>
        <w:rPr>
          <w:w w:val="105"/>
        </w:rPr>
        <w:t>a</w:t>
      </w:r>
      <w:r>
        <w:rPr>
          <w:spacing w:val="-5"/>
          <w:w w:val="105"/>
        </w:rPr>
        <w:t> </w:t>
      </w:r>
      <w:r>
        <w:rPr>
          <w:w w:val="105"/>
        </w:rPr>
        <w:t>partner</w:t>
      </w:r>
      <w:r>
        <w:rPr>
          <w:spacing w:val="-5"/>
          <w:w w:val="105"/>
        </w:rPr>
        <w:t> </w:t>
      </w:r>
      <w:r>
        <w:rPr>
          <w:w w:val="105"/>
        </w:rPr>
        <w:t>of</w:t>
      </w:r>
      <w:r>
        <w:rPr>
          <w:spacing w:val="-5"/>
          <w:w w:val="105"/>
        </w:rPr>
        <w:t> </w:t>
      </w:r>
      <w:r>
        <w:rPr>
          <w:w w:val="105"/>
        </w:rPr>
        <w:t>that</w:t>
      </w:r>
      <w:r>
        <w:rPr>
          <w:spacing w:val="-5"/>
          <w:w w:val="105"/>
        </w:rPr>
        <w:t> </w:t>
      </w:r>
      <w:r>
        <w:rPr>
          <w:w w:val="105"/>
        </w:rPr>
        <w:t>firm</w:t>
      </w:r>
      <w:r>
        <w:rPr>
          <w:spacing w:val="-5"/>
          <w:w w:val="105"/>
        </w:rPr>
        <w:t> </w:t>
      </w:r>
      <w:r>
        <w:rPr>
          <w:w w:val="105"/>
        </w:rPr>
        <w:t>from</w:t>
      </w:r>
      <w:r>
        <w:rPr>
          <w:spacing w:val="-5"/>
          <w:w w:val="105"/>
        </w:rPr>
        <w:t> </w:t>
      </w:r>
      <w:r>
        <w:rPr>
          <w:w w:val="105"/>
        </w:rPr>
        <w:t>1986</w:t>
      </w:r>
      <w:r>
        <w:rPr>
          <w:spacing w:val="-5"/>
          <w:w w:val="105"/>
        </w:rPr>
        <w:t> </w:t>
      </w:r>
      <w:r>
        <w:rPr>
          <w:w w:val="105"/>
        </w:rPr>
        <w:t>until</w:t>
      </w:r>
      <w:r>
        <w:rPr>
          <w:spacing w:val="-5"/>
          <w:w w:val="105"/>
        </w:rPr>
        <w:t> </w:t>
      </w:r>
      <w:r>
        <w:rPr>
          <w:w w:val="105"/>
        </w:rPr>
        <w:t>his</w:t>
      </w:r>
      <w:r>
        <w:rPr>
          <w:spacing w:val="-5"/>
          <w:w w:val="105"/>
        </w:rPr>
        <w:t> </w:t>
      </w:r>
      <w:r>
        <w:rPr>
          <w:w w:val="105"/>
        </w:rPr>
        <w:t>retirement</w:t>
      </w:r>
      <w:r>
        <w:rPr>
          <w:spacing w:val="-5"/>
          <w:w w:val="105"/>
        </w:rPr>
        <w:t> </w:t>
      </w:r>
      <w:r>
        <w:rPr>
          <w:w w:val="105"/>
        </w:rPr>
        <w:t>in</w:t>
      </w:r>
      <w:r>
        <w:rPr>
          <w:spacing w:val="-5"/>
          <w:w w:val="105"/>
        </w:rPr>
        <w:t> </w:t>
      </w:r>
      <w:r>
        <w:rPr>
          <w:w w:val="105"/>
        </w:rPr>
        <w:t>1998.</w:t>
      </w:r>
      <w:r>
        <w:rPr>
          <w:spacing w:val="-5"/>
          <w:w w:val="105"/>
        </w:rPr>
        <w:t> </w:t>
      </w:r>
      <w:r>
        <w:rPr>
          <w:w w:val="105"/>
        </w:rPr>
        <w:t>He</w:t>
      </w:r>
      <w:r>
        <w:rPr>
          <w:spacing w:val="-5"/>
          <w:w w:val="105"/>
        </w:rPr>
        <w:t> </w:t>
      </w:r>
      <w:r>
        <w:rPr>
          <w:w w:val="105"/>
        </w:rPr>
        <w:t>served</w:t>
      </w:r>
      <w:r>
        <w:rPr>
          <w:spacing w:val="-5"/>
          <w:w w:val="105"/>
        </w:rPr>
        <w:t> </w:t>
      </w:r>
      <w:r>
        <w:rPr>
          <w:w w:val="105"/>
        </w:rPr>
        <w:t>as</w:t>
      </w:r>
      <w:r>
        <w:rPr>
          <w:spacing w:val="-5"/>
          <w:w w:val="105"/>
        </w:rPr>
        <w:t> </w:t>
      </w:r>
      <w:r>
        <w:rPr>
          <w:w w:val="105"/>
        </w:rPr>
        <w:t>an</w:t>
      </w:r>
      <w:r>
        <w:rPr>
          <w:spacing w:val="-5"/>
          <w:w w:val="105"/>
        </w:rPr>
        <w:t> </w:t>
      </w:r>
      <w:r>
        <w:rPr>
          <w:w w:val="105"/>
        </w:rPr>
        <w:t>advisory</w:t>
      </w:r>
      <w:r>
        <w:rPr>
          <w:spacing w:val="-5"/>
          <w:w w:val="105"/>
        </w:rPr>
        <w:t> </w:t>
      </w:r>
      <w:r>
        <w:rPr>
          <w:w w:val="105"/>
        </w:rPr>
        <w:t>director</w:t>
      </w:r>
      <w:r>
        <w:rPr>
          <w:spacing w:val="-5"/>
          <w:w w:val="105"/>
        </w:rPr>
        <w:t> </w:t>
      </w:r>
      <w:r>
        <w:rPr>
          <w:w w:val="105"/>
        </w:rPr>
        <w:t>at</w:t>
      </w:r>
      <w:r>
        <w:rPr>
          <w:spacing w:val="-5"/>
          <w:w w:val="105"/>
        </w:rPr>
        <w:t> </w:t>
      </w:r>
      <w:r>
        <w:rPr>
          <w:w w:val="105"/>
        </w:rPr>
        <w:t>Goldman</w:t>
      </w:r>
      <w:r>
        <w:rPr>
          <w:spacing w:val="-5"/>
          <w:w w:val="105"/>
        </w:rPr>
        <w:t> </w:t>
      </w:r>
      <w:r>
        <w:rPr>
          <w:w w:val="105"/>
        </w:rPr>
        <w:t>Sachs</w:t>
      </w:r>
      <w:r>
        <w:rPr>
          <w:spacing w:val="-5"/>
          <w:w w:val="105"/>
        </w:rPr>
        <w:t> </w:t>
      </w:r>
      <w:r>
        <w:rPr>
          <w:w w:val="105"/>
        </w:rPr>
        <w:t>until</w:t>
      </w:r>
      <w:r>
        <w:rPr>
          <w:spacing w:val="-5"/>
          <w:w w:val="105"/>
        </w:rPr>
        <w:t> </w:t>
      </w:r>
      <w:r>
        <w:rPr>
          <w:w w:val="105"/>
        </w:rPr>
        <w:t>2002.</w:t>
      </w:r>
      <w:r>
        <w:rPr>
          <w:spacing w:val="-5"/>
          <w:w w:val="105"/>
        </w:rPr>
        <w:t> </w:t>
      </w:r>
      <w:r>
        <w:rPr>
          <w:w w:val="105"/>
        </w:rPr>
        <w:t>Mr.</w:t>
      </w:r>
      <w:r>
        <w:rPr>
          <w:spacing w:val="-5"/>
          <w:w w:val="105"/>
        </w:rPr>
        <w:t> </w:t>
      </w:r>
      <w:r>
        <w:rPr>
          <w:w w:val="105"/>
        </w:rPr>
        <w:t>Cummings</w:t>
      </w:r>
      <w:r>
        <w:rPr>
          <w:spacing w:val="-5"/>
          <w:w w:val="105"/>
        </w:rPr>
        <w:t> </w:t>
      </w:r>
      <w:r>
        <w:rPr>
          <w:w w:val="105"/>
        </w:rPr>
        <w:t>joined</w:t>
      </w:r>
      <w:r>
        <w:rPr>
          <w:spacing w:val="-5"/>
          <w:w w:val="105"/>
        </w:rPr>
        <w:t> </w:t>
      </w:r>
      <w:r>
        <w:rPr>
          <w:w w:val="105"/>
        </w:rPr>
        <w:t>Corning’s Board in 2006. Age 72.</w:t>
      </w:r>
    </w:p>
    <w:p>
      <w:pPr>
        <w:pStyle w:val="BodyText"/>
        <w:spacing w:before="18"/>
      </w:pPr>
    </w:p>
    <w:p>
      <w:pPr>
        <w:pStyle w:val="BodyText"/>
        <w:spacing w:before="1"/>
        <w:ind w:left="48"/>
        <w:jc w:val="center"/>
      </w:pPr>
      <w:r>
        <w:rPr>
          <w:spacing w:val="-5"/>
          <w:w w:val="105"/>
        </w:rPr>
        <w:t>52</w:t>
      </w:r>
    </w:p>
    <w:p>
      <w:pPr>
        <w:pStyle w:val="BodyText"/>
        <w:spacing w:before="11"/>
        <w:rPr>
          <w:sz w:val="5"/>
        </w:rPr>
      </w:pPr>
      <w:r>
        <w:rPr/>
        <mc:AlternateContent>
          <mc:Choice Requires="wps">
            <w:drawing>
              <wp:anchor distT="0" distB="0" distL="0" distR="0" allowOverlap="1" layoutInCell="1" locked="0" behindDoc="1" simplePos="0" relativeHeight="487625728">
                <wp:simplePos x="0" y="0"/>
                <wp:positionH relativeFrom="page">
                  <wp:posOffset>226488</wp:posOffset>
                </wp:positionH>
                <wp:positionV relativeFrom="paragraph">
                  <wp:posOffset>58734</wp:posOffset>
                </wp:positionV>
                <wp:extent cx="7312659" cy="1651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90752;mso-wrap-distance-left:0;mso-wrap-distance-right:0" id="docshape83"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spacing w:before="0"/>
        <w:ind w:left="156" w:right="0" w:firstLine="0"/>
        <w:jc w:val="left"/>
        <w:rPr>
          <w:i/>
          <w:sz w:val="16"/>
        </w:rPr>
      </w:pPr>
      <w:r>
        <w:rPr>
          <w:w w:val="105"/>
          <w:sz w:val="16"/>
        </w:rPr>
        <w:t>Roger</w:t>
      </w:r>
      <w:r>
        <w:rPr>
          <w:spacing w:val="-9"/>
          <w:w w:val="105"/>
          <w:sz w:val="16"/>
        </w:rPr>
        <w:t> </w:t>
      </w:r>
      <w:r>
        <w:rPr>
          <w:w w:val="105"/>
          <w:sz w:val="16"/>
        </w:rPr>
        <w:t>W.</w:t>
      </w:r>
      <w:r>
        <w:rPr>
          <w:spacing w:val="-8"/>
          <w:w w:val="105"/>
          <w:sz w:val="16"/>
        </w:rPr>
        <w:t> </w:t>
      </w:r>
      <w:r>
        <w:rPr>
          <w:w w:val="105"/>
          <w:sz w:val="16"/>
        </w:rPr>
        <w:t>Ferguson,</w:t>
      </w:r>
      <w:r>
        <w:rPr>
          <w:spacing w:val="-9"/>
          <w:w w:val="105"/>
          <w:sz w:val="16"/>
        </w:rPr>
        <w:t> </w:t>
      </w:r>
      <w:r>
        <w:rPr>
          <w:w w:val="105"/>
          <w:sz w:val="16"/>
        </w:rPr>
        <w:t>Jr.</w:t>
      </w:r>
      <w:r>
        <w:rPr>
          <w:spacing w:val="27"/>
          <w:w w:val="105"/>
          <w:sz w:val="16"/>
        </w:rPr>
        <w:t> </w:t>
      </w:r>
      <w:r>
        <w:rPr>
          <w:i/>
          <w:w w:val="105"/>
          <w:sz w:val="16"/>
        </w:rPr>
        <w:t>Retired</w:t>
      </w:r>
      <w:r>
        <w:rPr>
          <w:i/>
          <w:spacing w:val="-9"/>
          <w:w w:val="105"/>
          <w:sz w:val="16"/>
        </w:rPr>
        <w:t> </w:t>
      </w:r>
      <w:r>
        <w:rPr>
          <w:i/>
          <w:w w:val="105"/>
          <w:sz w:val="16"/>
        </w:rPr>
        <w:t>President</w:t>
      </w:r>
      <w:r>
        <w:rPr>
          <w:i/>
          <w:spacing w:val="-8"/>
          <w:w w:val="105"/>
          <w:sz w:val="16"/>
        </w:rPr>
        <w:t> </w:t>
      </w:r>
      <w:r>
        <w:rPr>
          <w:i/>
          <w:w w:val="105"/>
          <w:sz w:val="16"/>
        </w:rPr>
        <w:t>and</w:t>
      </w:r>
      <w:r>
        <w:rPr>
          <w:i/>
          <w:spacing w:val="-9"/>
          <w:w w:val="105"/>
          <w:sz w:val="16"/>
        </w:rPr>
        <w:t> </w:t>
      </w:r>
      <w:r>
        <w:rPr>
          <w:i/>
          <w:w w:val="105"/>
          <w:sz w:val="16"/>
        </w:rPr>
        <w:t>Chief</w:t>
      </w:r>
      <w:r>
        <w:rPr>
          <w:i/>
          <w:spacing w:val="-8"/>
          <w:w w:val="105"/>
          <w:sz w:val="16"/>
        </w:rPr>
        <w:t> </w:t>
      </w:r>
      <w:r>
        <w:rPr>
          <w:i/>
          <w:w w:val="105"/>
          <w:sz w:val="16"/>
        </w:rPr>
        <w:t>Executive</w:t>
      </w:r>
      <w:r>
        <w:rPr>
          <w:i/>
          <w:spacing w:val="-8"/>
          <w:w w:val="105"/>
          <w:sz w:val="16"/>
        </w:rPr>
        <w:t> </w:t>
      </w:r>
      <w:r>
        <w:rPr>
          <w:i/>
          <w:w w:val="105"/>
          <w:sz w:val="16"/>
        </w:rPr>
        <w:t>Officer,</w:t>
      </w:r>
      <w:r>
        <w:rPr>
          <w:i/>
          <w:spacing w:val="-9"/>
          <w:w w:val="105"/>
          <w:sz w:val="16"/>
        </w:rPr>
        <w:t> </w:t>
      </w:r>
      <w:r>
        <w:rPr>
          <w:i/>
          <w:spacing w:val="-4"/>
          <w:w w:val="105"/>
          <w:sz w:val="16"/>
        </w:rPr>
        <w:t>TIAA</w:t>
      </w:r>
    </w:p>
    <w:p>
      <w:pPr>
        <w:pStyle w:val="BodyText"/>
        <w:spacing w:before="20"/>
        <w:ind w:left="156"/>
      </w:pPr>
      <w:r>
        <w:rPr>
          <w:w w:val="105"/>
        </w:rPr>
        <w:t>Mr.</w:t>
      </w:r>
      <w:r>
        <w:rPr>
          <w:spacing w:val="-8"/>
          <w:w w:val="105"/>
        </w:rPr>
        <w:t> </w:t>
      </w:r>
      <w:r>
        <w:rPr>
          <w:w w:val="105"/>
        </w:rPr>
        <w:t>Ferguson</w:t>
      </w:r>
      <w:r>
        <w:rPr>
          <w:spacing w:val="-7"/>
          <w:w w:val="105"/>
        </w:rPr>
        <w:t> </w:t>
      </w:r>
      <w:r>
        <w:rPr>
          <w:w w:val="105"/>
        </w:rPr>
        <w:t>was</w:t>
      </w:r>
      <w:r>
        <w:rPr>
          <w:spacing w:val="-8"/>
          <w:w w:val="105"/>
        </w:rPr>
        <w:t> </w:t>
      </w:r>
      <w:r>
        <w:rPr>
          <w:w w:val="105"/>
        </w:rPr>
        <w:t>the</w:t>
      </w:r>
      <w:r>
        <w:rPr>
          <w:spacing w:val="-7"/>
          <w:w w:val="105"/>
        </w:rPr>
        <w:t> </w:t>
      </w:r>
      <w:r>
        <w:rPr>
          <w:w w:val="105"/>
        </w:rPr>
        <w:t>President</w:t>
      </w:r>
      <w:r>
        <w:rPr>
          <w:spacing w:val="-8"/>
          <w:w w:val="105"/>
        </w:rPr>
        <w:t> </w:t>
      </w:r>
      <w:r>
        <w:rPr>
          <w:w w:val="105"/>
        </w:rPr>
        <w:t>and</w:t>
      </w:r>
      <w:r>
        <w:rPr>
          <w:spacing w:val="-7"/>
          <w:w w:val="105"/>
        </w:rPr>
        <w:t> </w:t>
      </w:r>
      <w:r>
        <w:rPr>
          <w:w w:val="105"/>
        </w:rPr>
        <w:t>Chief</w:t>
      </w:r>
      <w:r>
        <w:rPr>
          <w:spacing w:val="-7"/>
          <w:w w:val="105"/>
        </w:rPr>
        <w:t> </w:t>
      </w:r>
      <w:r>
        <w:rPr>
          <w:w w:val="105"/>
        </w:rPr>
        <w:t>Executive</w:t>
      </w:r>
      <w:r>
        <w:rPr>
          <w:spacing w:val="-8"/>
          <w:w w:val="105"/>
        </w:rPr>
        <w:t> </w:t>
      </w:r>
      <w:r>
        <w:rPr>
          <w:w w:val="105"/>
        </w:rPr>
        <w:t>Officer</w:t>
      </w:r>
      <w:r>
        <w:rPr>
          <w:spacing w:val="-7"/>
          <w:w w:val="105"/>
        </w:rPr>
        <w:t> </w:t>
      </w:r>
      <w:r>
        <w:rPr>
          <w:w w:val="105"/>
        </w:rPr>
        <w:t>of</w:t>
      </w:r>
      <w:r>
        <w:rPr>
          <w:spacing w:val="-8"/>
          <w:w w:val="105"/>
        </w:rPr>
        <w:t> </w:t>
      </w:r>
      <w:r>
        <w:rPr>
          <w:w w:val="105"/>
        </w:rPr>
        <w:t>TIAA</w:t>
      </w:r>
      <w:r>
        <w:rPr>
          <w:spacing w:val="-7"/>
          <w:w w:val="105"/>
        </w:rPr>
        <w:t> </w:t>
      </w:r>
      <w:r>
        <w:rPr>
          <w:w w:val="105"/>
        </w:rPr>
        <w:t>from</w:t>
      </w:r>
      <w:r>
        <w:rPr>
          <w:spacing w:val="-8"/>
          <w:w w:val="105"/>
        </w:rPr>
        <w:t> </w:t>
      </w:r>
      <w:r>
        <w:rPr>
          <w:w w:val="105"/>
        </w:rPr>
        <w:t>April</w:t>
      </w:r>
      <w:r>
        <w:rPr>
          <w:spacing w:val="-7"/>
          <w:w w:val="105"/>
        </w:rPr>
        <w:t> </w:t>
      </w:r>
      <w:r>
        <w:rPr>
          <w:w w:val="105"/>
        </w:rPr>
        <w:t>2008</w:t>
      </w:r>
      <w:r>
        <w:rPr>
          <w:spacing w:val="-7"/>
          <w:w w:val="105"/>
        </w:rPr>
        <w:t> </w:t>
      </w:r>
      <w:r>
        <w:rPr>
          <w:w w:val="105"/>
        </w:rPr>
        <w:t>–</w:t>
      </w:r>
      <w:r>
        <w:rPr>
          <w:spacing w:val="-8"/>
          <w:w w:val="105"/>
        </w:rPr>
        <w:t> </w:t>
      </w:r>
      <w:r>
        <w:rPr>
          <w:w w:val="105"/>
        </w:rPr>
        <w:t>March</w:t>
      </w:r>
      <w:r>
        <w:rPr>
          <w:spacing w:val="-7"/>
          <w:w w:val="105"/>
        </w:rPr>
        <w:t> </w:t>
      </w:r>
      <w:r>
        <w:rPr>
          <w:w w:val="105"/>
        </w:rPr>
        <w:t>2021.</w:t>
      </w:r>
      <w:r>
        <w:rPr>
          <w:spacing w:val="-8"/>
          <w:w w:val="105"/>
        </w:rPr>
        <w:t> </w:t>
      </w:r>
      <w:r>
        <w:rPr>
          <w:w w:val="105"/>
        </w:rPr>
        <w:t>He</w:t>
      </w:r>
      <w:r>
        <w:rPr>
          <w:spacing w:val="-7"/>
          <w:w w:val="105"/>
        </w:rPr>
        <w:t> </w:t>
      </w:r>
      <w:r>
        <w:rPr>
          <w:w w:val="105"/>
        </w:rPr>
        <w:t>is</w:t>
      </w:r>
      <w:r>
        <w:rPr>
          <w:spacing w:val="-7"/>
          <w:w w:val="105"/>
        </w:rPr>
        <w:t> </w:t>
      </w:r>
      <w:r>
        <w:rPr>
          <w:w w:val="105"/>
        </w:rPr>
        <w:t>also</w:t>
      </w:r>
      <w:r>
        <w:rPr>
          <w:spacing w:val="-8"/>
          <w:w w:val="105"/>
        </w:rPr>
        <w:t> </w:t>
      </w:r>
      <w:r>
        <w:rPr>
          <w:w w:val="105"/>
        </w:rPr>
        <w:t>the</w:t>
      </w:r>
      <w:r>
        <w:rPr>
          <w:spacing w:val="-7"/>
          <w:w w:val="105"/>
        </w:rPr>
        <w:t> </w:t>
      </w:r>
      <w:r>
        <w:rPr>
          <w:w w:val="105"/>
        </w:rPr>
        <w:t>former</w:t>
      </w:r>
      <w:r>
        <w:rPr>
          <w:spacing w:val="-8"/>
          <w:w w:val="105"/>
        </w:rPr>
        <w:t> </w:t>
      </w:r>
      <w:r>
        <w:rPr>
          <w:w w:val="105"/>
        </w:rPr>
        <w:t>Vice</w:t>
      </w:r>
      <w:r>
        <w:rPr>
          <w:spacing w:val="-7"/>
          <w:w w:val="105"/>
        </w:rPr>
        <w:t> </w:t>
      </w:r>
      <w:r>
        <w:rPr>
          <w:w w:val="105"/>
        </w:rPr>
        <w:t>Chairman</w:t>
      </w:r>
      <w:r>
        <w:rPr>
          <w:spacing w:val="-8"/>
          <w:w w:val="105"/>
        </w:rPr>
        <w:t> </w:t>
      </w:r>
      <w:r>
        <w:rPr>
          <w:w w:val="105"/>
        </w:rPr>
        <w:t>of</w:t>
      </w:r>
      <w:r>
        <w:rPr>
          <w:spacing w:val="-7"/>
          <w:w w:val="105"/>
        </w:rPr>
        <w:t> </w:t>
      </w:r>
      <w:r>
        <w:rPr>
          <w:w w:val="105"/>
        </w:rPr>
        <w:t>the</w:t>
      </w:r>
      <w:r>
        <w:rPr>
          <w:spacing w:val="-7"/>
          <w:w w:val="105"/>
        </w:rPr>
        <w:t> </w:t>
      </w:r>
      <w:r>
        <w:rPr>
          <w:w w:val="105"/>
        </w:rPr>
        <w:t>Board</w:t>
      </w:r>
      <w:r>
        <w:rPr>
          <w:spacing w:val="-8"/>
          <w:w w:val="105"/>
        </w:rPr>
        <w:t> </w:t>
      </w:r>
      <w:r>
        <w:rPr>
          <w:w w:val="105"/>
        </w:rPr>
        <w:t>of</w:t>
      </w:r>
      <w:r>
        <w:rPr>
          <w:spacing w:val="-7"/>
          <w:w w:val="105"/>
        </w:rPr>
        <w:t> </w:t>
      </w:r>
      <w:r>
        <w:rPr>
          <w:w w:val="105"/>
        </w:rPr>
        <w:t>Governors</w:t>
      </w:r>
      <w:r>
        <w:rPr>
          <w:spacing w:val="-8"/>
          <w:w w:val="105"/>
        </w:rPr>
        <w:t> </w:t>
      </w:r>
      <w:r>
        <w:rPr>
          <w:w w:val="105"/>
        </w:rPr>
        <w:t>of</w:t>
      </w:r>
      <w:r>
        <w:rPr>
          <w:spacing w:val="-7"/>
          <w:w w:val="105"/>
        </w:rPr>
        <w:t> </w:t>
      </w:r>
      <w:r>
        <w:rPr>
          <w:spacing w:val="-5"/>
          <w:w w:val="105"/>
        </w:rPr>
        <w:t>the</w:t>
      </w:r>
    </w:p>
    <w:p>
      <w:pPr>
        <w:pStyle w:val="BodyText"/>
        <w:spacing w:line="266" w:lineRule="auto" w:before="20"/>
        <w:ind w:left="156"/>
      </w:pPr>
      <w:r>
        <w:rPr>
          <w:w w:val="105"/>
        </w:rPr>
        <w:t>U.S.</w:t>
      </w:r>
      <w:r>
        <w:rPr>
          <w:spacing w:val="-2"/>
          <w:w w:val="105"/>
        </w:rPr>
        <w:t> </w:t>
      </w:r>
      <w:r>
        <w:rPr>
          <w:w w:val="105"/>
        </w:rPr>
        <w:t>Federal</w:t>
      </w:r>
      <w:r>
        <w:rPr>
          <w:spacing w:val="-2"/>
          <w:w w:val="105"/>
        </w:rPr>
        <w:t> </w:t>
      </w:r>
      <w:r>
        <w:rPr>
          <w:w w:val="105"/>
        </w:rPr>
        <w:t>Reserve</w:t>
      </w:r>
      <w:r>
        <w:rPr>
          <w:spacing w:val="-2"/>
          <w:w w:val="105"/>
        </w:rPr>
        <w:t> </w:t>
      </w:r>
      <w:r>
        <w:rPr>
          <w:w w:val="105"/>
        </w:rPr>
        <w:t>System.</w:t>
      </w:r>
      <w:r>
        <w:rPr>
          <w:spacing w:val="-2"/>
          <w:w w:val="105"/>
        </w:rPr>
        <w:t> </w:t>
      </w:r>
      <w:r>
        <w:rPr>
          <w:w w:val="105"/>
        </w:rPr>
        <w:t>Prior</w:t>
      </w:r>
      <w:r>
        <w:rPr>
          <w:spacing w:val="-2"/>
          <w:w w:val="105"/>
        </w:rPr>
        <w:t> </w:t>
      </w:r>
      <w:r>
        <w:rPr>
          <w:w w:val="105"/>
        </w:rPr>
        <w:t>to</w:t>
      </w:r>
      <w:r>
        <w:rPr>
          <w:spacing w:val="-2"/>
          <w:w w:val="105"/>
        </w:rPr>
        <w:t> </w:t>
      </w:r>
      <w:r>
        <w:rPr>
          <w:w w:val="105"/>
        </w:rPr>
        <w:t>joining</w:t>
      </w:r>
      <w:r>
        <w:rPr>
          <w:spacing w:val="-2"/>
          <w:w w:val="105"/>
        </w:rPr>
        <w:t> </w:t>
      </w:r>
      <w:r>
        <w:rPr>
          <w:w w:val="105"/>
        </w:rPr>
        <w:t>TIAA</w:t>
      </w:r>
      <w:r>
        <w:rPr>
          <w:spacing w:val="-2"/>
          <w:w w:val="105"/>
        </w:rPr>
        <w:t> </w:t>
      </w:r>
      <w:r>
        <w:rPr>
          <w:w w:val="105"/>
        </w:rPr>
        <w:t>in</w:t>
      </w:r>
      <w:r>
        <w:rPr>
          <w:spacing w:val="-2"/>
          <w:w w:val="105"/>
        </w:rPr>
        <w:t> </w:t>
      </w:r>
      <w:r>
        <w:rPr>
          <w:w w:val="105"/>
        </w:rPr>
        <w:t>April</w:t>
      </w:r>
      <w:r>
        <w:rPr>
          <w:spacing w:val="-2"/>
          <w:w w:val="105"/>
        </w:rPr>
        <w:t> </w:t>
      </w:r>
      <w:r>
        <w:rPr>
          <w:w w:val="105"/>
        </w:rPr>
        <w:t>2008,</w:t>
      </w:r>
      <w:r>
        <w:rPr>
          <w:spacing w:val="-2"/>
          <w:w w:val="105"/>
        </w:rPr>
        <w:t> </w:t>
      </w:r>
      <w:r>
        <w:rPr>
          <w:w w:val="105"/>
        </w:rPr>
        <w:t>Mr.</w:t>
      </w:r>
      <w:r>
        <w:rPr>
          <w:spacing w:val="-2"/>
          <w:w w:val="105"/>
        </w:rPr>
        <w:t> </w:t>
      </w:r>
      <w:r>
        <w:rPr>
          <w:w w:val="105"/>
        </w:rPr>
        <w:t>Ferguson</w:t>
      </w:r>
      <w:r>
        <w:rPr>
          <w:spacing w:val="-2"/>
          <w:w w:val="105"/>
        </w:rPr>
        <w:t> </w:t>
      </w:r>
      <w:r>
        <w:rPr>
          <w:w w:val="105"/>
        </w:rPr>
        <w:t>was</w:t>
      </w:r>
      <w:r>
        <w:rPr>
          <w:spacing w:val="-2"/>
          <w:w w:val="105"/>
        </w:rPr>
        <w:t> </w:t>
      </w:r>
      <w:r>
        <w:rPr>
          <w:w w:val="105"/>
        </w:rPr>
        <w:t>head</w:t>
      </w:r>
      <w:r>
        <w:rPr>
          <w:spacing w:val="-2"/>
          <w:w w:val="105"/>
        </w:rPr>
        <w:t> </w:t>
      </w:r>
      <w:r>
        <w:rPr>
          <w:w w:val="105"/>
        </w:rPr>
        <w:t>of</w:t>
      </w:r>
      <w:r>
        <w:rPr>
          <w:spacing w:val="-2"/>
          <w:w w:val="105"/>
        </w:rPr>
        <w:t> </w:t>
      </w:r>
      <w:r>
        <w:rPr>
          <w:w w:val="105"/>
        </w:rPr>
        <w:t>financial</w:t>
      </w:r>
      <w:r>
        <w:rPr>
          <w:spacing w:val="-2"/>
          <w:w w:val="105"/>
        </w:rPr>
        <w:t> </w:t>
      </w:r>
      <w:r>
        <w:rPr>
          <w:w w:val="105"/>
        </w:rPr>
        <w:t>services</w:t>
      </w:r>
      <w:r>
        <w:rPr>
          <w:spacing w:val="-2"/>
          <w:w w:val="105"/>
        </w:rPr>
        <w:t> </w:t>
      </w:r>
      <w:r>
        <w:rPr>
          <w:w w:val="105"/>
        </w:rPr>
        <w:t>for</w:t>
      </w:r>
      <w:r>
        <w:rPr>
          <w:spacing w:val="-2"/>
          <w:w w:val="105"/>
        </w:rPr>
        <w:t> </w:t>
      </w:r>
      <w:r>
        <w:rPr>
          <w:w w:val="105"/>
        </w:rPr>
        <w:t>Swiss</w:t>
      </w:r>
      <w:r>
        <w:rPr>
          <w:spacing w:val="-2"/>
          <w:w w:val="105"/>
        </w:rPr>
        <w:t> </w:t>
      </w:r>
      <w:r>
        <w:rPr>
          <w:w w:val="105"/>
        </w:rPr>
        <w:t>Re</w:t>
      </w:r>
      <w:r>
        <w:rPr>
          <w:spacing w:val="-2"/>
          <w:w w:val="105"/>
        </w:rPr>
        <w:t> </w:t>
      </w:r>
      <w:r>
        <w:rPr>
          <w:w w:val="105"/>
        </w:rPr>
        <w:t>and</w:t>
      </w:r>
      <w:r>
        <w:rPr>
          <w:spacing w:val="-2"/>
          <w:w w:val="105"/>
        </w:rPr>
        <w:t> </w:t>
      </w:r>
      <w:r>
        <w:rPr>
          <w:w w:val="105"/>
        </w:rPr>
        <w:t>Chairman</w:t>
      </w:r>
      <w:r>
        <w:rPr>
          <w:spacing w:val="-2"/>
          <w:w w:val="105"/>
        </w:rPr>
        <w:t> </w:t>
      </w:r>
      <w:r>
        <w:rPr>
          <w:w w:val="105"/>
        </w:rPr>
        <w:t>of</w:t>
      </w:r>
      <w:r>
        <w:rPr>
          <w:spacing w:val="-2"/>
          <w:w w:val="105"/>
        </w:rPr>
        <w:t> </w:t>
      </w:r>
      <w:r>
        <w:rPr>
          <w:w w:val="105"/>
        </w:rPr>
        <w:t>Swiss</w:t>
      </w:r>
      <w:r>
        <w:rPr>
          <w:spacing w:val="-2"/>
          <w:w w:val="105"/>
        </w:rPr>
        <w:t> </w:t>
      </w:r>
      <w:r>
        <w:rPr>
          <w:w w:val="105"/>
        </w:rPr>
        <w:t>Re</w:t>
      </w:r>
      <w:r>
        <w:rPr>
          <w:spacing w:val="-2"/>
          <w:w w:val="105"/>
        </w:rPr>
        <w:t> </w:t>
      </w:r>
      <w:r>
        <w:rPr>
          <w:w w:val="105"/>
        </w:rPr>
        <w:t>America</w:t>
      </w:r>
      <w:r>
        <w:rPr>
          <w:spacing w:val="-2"/>
          <w:w w:val="105"/>
        </w:rPr>
        <w:t> </w:t>
      </w:r>
      <w:r>
        <w:rPr>
          <w:w w:val="105"/>
        </w:rPr>
        <w:t>Holding Corporation.</w:t>
      </w:r>
      <w:r>
        <w:rPr>
          <w:spacing w:val="-7"/>
          <w:w w:val="105"/>
        </w:rPr>
        <w:t> </w:t>
      </w:r>
      <w:r>
        <w:rPr>
          <w:w w:val="105"/>
        </w:rPr>
        <w:t>From</w:t>
      </w:r>
      <w:r>
        <w:rPr>
          <w:spacing w:val="-7"/>
          <w:w w:val="105"/>
        </w:rPr>
        <w:t> </w:t>
      </w:r>
      <w:r>
        <w:rPr>
          <w:w w:val="105"/>
        </w:rPr>
        <w:t>1984</w:t>
      </w:r>
      <w:r>
        <w:rPr>
          <w:spacing w:val="-7"/>
          <w:w w:val="105"/>
        </w:rPr>
        <w:t> </w:t>
      </w:r>
      <w:r>
        <w:rPr>
          <w:w w:val="105"/>
        </w:rPr>
        <w:t>to</w:t>
      </w:r>
      <w:r>
        <w:rPr>
          <w:spacing w:val="-7"/>
          <w:w w:val="105"/>
        </w:rPr>
        <w:t> </w:t>
      </w:r>
      <w:r>
        <w:rPr>
          <w:w w:val="105"/>
        </w:rPr>
        <w:t>1997,</w:t>
      </w:r>
      <w:r>
        <w:rPr>
          <w:spacing w:val="-7"/>
          <w:w w:val="105"/>
        </w:rPr>
        <w:t> </w:t>
      </w:r>
      <w:r>
        <w:rPr>
          <w:w w:val="105"/>
        </w:rPr>
        <w:t>he</w:t>
      </w:r>
      <w:r>
        <w:rPr>
          <w:spacing w:val="-7"/>
          <w:w w:val="105"/>
        </w:rPr>
        <w:t> </w:t>
      </w:r>
      <w:r>
        <w:rPr>
          <w:w w:val="105"/>
        </w:rPr>
        <w:t>was</w:t>
      </w:r>
      <w:r>
        <w:rPr>
          <w:spacing w:val="-7"/>
          <w:w w:val="105"/>
        </w:rPr>
        <w:t> </w:t>
      </w:r>
      <w:r>
        <w:rPr>
          <w:w w:val="105"/>
        </w:rPr>
        <w:t>an</w:t>
      </w:r>
      <w:r>
        <w:rPr>
          <w:spacing w:val="-7"/>
          <w:w w:val="105"/>
        </w:rPr>
        <w:t> </w:t>
      </w:r>
      <w:r>
        <w:rPr>
          <w:w w:val="105"/>
        </w:rPr>
        <w:t>Associate</w:t>
      </w:r>
      <w:r>
        <w:rPr>
          <w:spacing w:val="-5"/>
          <w:w w:val="105"/>
        </w:rPr>
        <w:t> </w:t>
      </w:r>
      <w:r>
        <w:rPr>
          <w:w w:val="105"/>
        </w:rPr>
        <w:t>and</w:t>
      </w:r>
      <w:r>
        <w:rPr>
          <w:spacing w:val="-7"/>
          <w:w w:val="105"/>
        </w:rPr>
        <w:t> </w:t>
      </w:r>
      <w:r>
        <w:rPr>
          <w:w w:val="105"/>
        </w:rPr>
        <w:t>Partner</w:t>
      </w:r>
      <w:r>
        <w:rPr>
          <w:spacing w:val="-7"/>
          <w:w w:val="105"/>
        </w:rPr>
        <w:t> </w:t>
      </w:r>
      <w:r>
        <w:rPr>
          <w:w w:val="105"/>
        </w:rPr>
        <w:t>at</w:t>
      </w:r>
      <w:r>
        <w:rPr>
          <w:spacing w:val="-7"/>
          <w:w w:val="105"/>
        </w:rPr>
        <w:t> </w:t>
      </w:r>
      <w:r>
        <w:rPr>
          <w:w w:val="105"/>
        </w:rPr>
        <w:t>McKinsey</w:t>
      </w:r>
      <w:r>
        <w:rPr>
          <w:spacing w:val="-7"/>
          <w:w w:val="105"/>
        </w:rPr>
        <w:t> </w:t>
      </w:r>
      <w:r>
        <w:rPr>
          <w:w w:val="105"/>
        </w:rPr>
        <w:t>&amp;</w:t>
      </w:r>
      <w:r>
        <w:rPr>
          <w:spacing w:val="-7"/>
          <w:w w:val="105"/>
        </w:rPr>
        <w:t> </w:t>
      </w:r>
      <w:r>
        <w:rPr>
          <w:w w:val="105"/>
        </w:rPr>
        <w:t>Company.</w:t>
      </w:r>
      <w:r>
        <w:rPr>
          <w:spacing w:val="-7"/>
          <w:w w:val="105"/>
        </w:rPr>
        <w:t> </w:t>
      </w:r>
      <w:r>
        <w:rPr>
          <w:w w:val="105"/>
        </w:rPr>
        <w:t>He</w:t>
      </w:r>
      <w:r>
        <w:rPr>
          <w:spacing w:val="-7"/>
          <w:w w:val="105"/>
        </w:rPr>
        <w:t> </w:t>
      </w:r>
      <w:r>
        <w:rPr>
          <w:w w:val="105"/>
        </w:rPr>
        <w:t>began</w:t>
      </w:r>
      <w:r>
        <w:rPr>
          <w:spacing w:val="-7"/>
          <w:w w:val="105"/>
        </w:rPr>
        <w:t> </w:t>
      </w:r>
      <w:r>
        <w:rPr>
          <w:w w:val="105"/>
        </w:rPr>
        <w:t>his</w:t>
      </w:r>
      <w:r>
        <w:rPr>
          <w:spacing w:val="-7"/>
          <w:w w:val="105"/>
        </w:rPr>
        <w:t> </w:t>
      </w:r>
      <w:r>
        <w:rPr>
          <w:w w:val="105"/>
        </w:rPr>
        <w:t>career</w:t>
      </w:r>
      <w:r>
        <w:rPr>
          <w:spacing w:val="-7"/>
          <w:w w:val="105"/>
        </w:rPr>
        <w:t> </w:t>
      </w:r>
      <w:r>
        <w:rPr>
          <w:w w:val="105"/>
        </w:rPr>
        <w:t>as</w:t>
      </w:r>
      <w:r>
        <w:rPr>
          <w:spacing w:val="-7"/>
          <w:w w:val="105"/>
        </w:rPr>
        <w:t> </w:t>
      </w:r>
      <w:r>
        <w:rPr>
          <w:w w:val="105"/>
        </w:rPr>
        <w:t>an</w:t>
      </w:r>
      <w:r>
        <w:rPr>
          <w:spacing w:val="-7"/>
          <w:w w:val="105"/>
        </w:rPr>
        <w:t> </w:t>
      </w:r>
      <w:r>
        <w:rPr>
          <w:w w:val="105"/>
        </w:rPr>
        <w:t>attorney</w:t>
      </w:r>
      <w:r>
        <w:rPr>
          <w:spacing w:val="-7"/>
          <w:w w:val="105"/>
        </w:rPr>
        <w:t> </w:t>
      </w:r>
      <w:r>
        <w:rPr>
          <w:w w:val="105"/>
        </w:rPr>
        <w:t>at</w:t>
      </w:r>
      <w:r>
        <w:rPr>
          <w:spacing w:val="-7"/>
          <w:w w:val="105"/>
        </w:rPr>
        <w:t> </w:t>
      </w:r>
      <w:r>
        <w:rPr>
          <w:w w:val="105"/>
        </w:rPr>
        <w:t>the</w:t>
      </w:r>
      <w:r>
        <w:rPr>
          <w:spacing w:val="-7"/>
          <w:w w:val="105"/>
        </w:rPr>
        <w:t> </w:t>
      </w:r>
      <w:r>
        <w:rPr>
          <w:w w:val="105"/>
        </w:rPr>
        <w:t>New</w:t>
      </w:r>
      <w:r>
        <w:rPr>
          <w:spacing w:val="-7"/>
          <w:w w:val="105"/>
        </w:rPr>
        <w:t> </w:t>
      </w:r>
      <w:r>
        <w:rPr>
          <w:w w:val="105"/>
        </w:rPr>
        <w:t>York</w:t>
      </w:r>
      <w:r>
        <w:rPr>
          <w:spacing w:val="-7"/>
          <w:w w:val="105"/>
        </w:rPr>
        <w:t> </w:t>
      </w:r>
      <w:r>
        <w:rPr>
          <w:w w:val="105"/>
        </w:rPr>
        <w:t>City</w:t>
      </w:r>
      <w:r>
        <w:rPr>
          <w:spacing w:val="-7"/>
          <w:w w:val="105"/>
        </w:rPr>
        <w:t> </w:t>
      </w:r>
      <w:r>
        <w:rPr>
          <w:w w:val="105"/>
        </w:rPr>
        <w:t>office</w:t>
      </w:r>
      <w:r>
        <w:rPr>
          <w:spacing w:val="-7"/>
          <w:w w:val="105"/>
        </w:rPr>
        <w:t> </w:t>
      </w:r>
      <w:r>
        <w:rPr>
          <w:w w:val="105"/>
        </w:rPr>
        <w:t>of</w:t>
      </w:r>
      <w:r>
        <w:rPr>
          <w:spacing w:val="-7"/>
          <w:w w:val="105"/>
        </w:rPr>
        <w:t> </w:t>
      </w:r>
      <w:r>
        <w:rPr>
          <w:w w:val="105"/>
        </w:rPr>
        <w:t>Davis</w:t>
      </w:r>
      <w:r>
        <w:rPr>
          <w:spacing w:val="-7"/>
          <w:w w:val="105"/>
        </w:rPr>
        <w:t> </w:t>
      </w:r>
      <w:r>
        <w:rPr>
          <w:w w:val="105"/>
        </w:rPr>
        <w:t>Polk</w:t>
      </w:r>
      <w:r>
        <w:rPr>
          <w:spacing w:val="-7"/>
          <w:w w:val="105"/>
        </w:rPr>
        <w:t> </w:t>
      </w:r>
      <w:r>
        <w:rPr>
          <w:w w:val="105"/>
        </w:rPr>
        <w:t>&amp; Wardwell. Mr. Ferguson joined Corning’s Board in 2021. Age 70.</w:t>
      </w:r>
    </w:p>
    <w:p>
      <w:pPr>
        <w:pStyle w:val="BodyText"/>
        <w:spacing w:before="18"/>
      </w:pPr>
    </w:p>
    <w:p>
      <w:pPr>
        <w:spacing w:before="0"/>
        <w:ind w:left="156" w:right="0" w:firstLine="0"/>
        <w:jc w:val="left"/>
        <w:rPr>
          <w:i/>
          <w:sz w:val="16"/>
        </w:rPr>
      </w:pPr>
      <w:r>
        <w:rPr>
          <w:w w:val="105"/>
          <w:sz w:val="16"/>
        </w:rPr>
        <w:t>Deborah</w:t>
      </w:r>
      <w:r>
        <w:rPr>
          <w:spacing w:val="-9"/>
          <w:w w:val="105"/>
          <w:sz w:val="16"/>
        </w:rPr>
        <w:t> </w:t>
      </w:r>
      <w:r>
        <w:rPr>
          <w:w w:val="105"/>
          <w:sz w:val="16"/>
        </w:rPr>
        <w:t>A.</w:t>
      </w:r>
      <w:r>
        <w:rPr>
          <w:spacing w:val="-8"/>
          <w:w w:val="105"/>
          <w:sz w:val="16"/>
        </w:rPr>
        <w:t> </w:t>
      </w:r>
      <w:r>
        <w:rPr>
          <w:w w:val="105"/>
          <w:sz w:val="16"/>
        </w:rPr>
        <w:t>Henretta</w:t>
      </w:r>
      <w:r>
        <w:rPr>
          <w:spacing w:val="59"/>
          <w:w w:val="105"/>
          <w:sz w:val="16"/>
        </w:rPr>
        <w:t> </w:t>
      </w:r>
      <w:r>
        <w:rPr>
          <w:i/>
          <w:w w:val="105"/>
          <w:sz w:val="16"/>
        </w:rPr>
        <w:t>Retired</w:t>
      </w:r>
      <w:r>
        <w:rPr>
          <w:i/>
          <w:spacing w:val="-9"/>
          <w:w w:val="105"/>
          <w:sz w:val="16"/>
        </w:rPr>
        <w:t> </w:t>
      </w:r>
      <w:r>
        <w:rPr>
          <w:i/>
          <w:w w:val="105"/>
          <w:sz w:val="16"/>
        </w:rPr>
        <w:t>Group</w:t>
      </w:r>
      <w:r>
        <w:rPr>
          <w:i/>
          <w:spacing w:val="-8"/>
          <w:w w:val="105"/>
          <w:sz w:val="16"/>
        </w:rPr>
        <w:t> </w:t>
      </w:r>
      <w:r>
        <w:rPr>
          <w:i/>
          <w:w w:val="105"/>
          <w:sz w:val="16"/>
        </w:rPr>
        <w:t>President</w:t>
      </w:r>
      <w:r>
        <w:rPr>
          <w:i/>
          <w:spacing w:val="-9"/>
          <w:w w:val="105"/>
          <w:sz w:val="16"/>
        </w:rPr>
        <w:t> </w:t>
      </w:r>
      <w:r>
        <w:rPr>
          <w:i/>
          <w:w w:val="105"/>
          <w:sz w:val="16"/>
        </w:rPr>
        <w:t>of</w:t>
      </w:r>
      <w:r>
        <w:rPr>
          <w:i/>
          <w:spacing w:val="-8"/>
          <w:w w:val="105"/>
          <w:sz w:val="16"/>
        </w:rPr>
        <w:t> </w:t>
      </w:r>
      <w:r>
        <w:rPr>
          <w:i/>
          <w:w w:val="105"/>
          <w:sz w:val="16"/>
        </w:rPr>
        <w:t>Global</w:t>
      </w:r>
      <w:r>
        <w:rPr>
          <w:i/>
          <w:spacing w:val="-9"/>
          <w:w w:val="105"/>
          <w:sz w:val="16"/>
        </w:rPr>
        <w:t> </w:t>
      </w:r>
      <w:r>
        <w:rPr>
          <w:i/>
          <w:w w:val="105"/>
          <w:sz w:val="16"/>
        </w:rPr>
        <w:t>E-Business,</w:t>
      </w:r>
      <w:r>
        <w:rPr>
          <w:i/>
          <w:spacing w:val="-8"/>
          <w:w w:val="105"/>
          <w:sz w:val="16"/>
        </w:rPr>
        <w:t> </w:t>
      </w:r>
      <w:r>
        <w:rPr>
          <w:i/>
          <w:w w:val="105"/>
          <w:sz w:val="16"/>
        </w:rPr>
        <w:t>Procter</w:t>
      </w:r>
      <w:r>
        <w:rPr>
          <w:i/>
          <w:spacing w:val="-8"/>
          <w:w w:val="105"/>
          <w:sz w:val="16"/>
        </w:rPr>
        <w:t> </w:t>
      </w:r>
      <w:r>
        <w:rPr>
          <w:i/>
          <w:w w:val="105"/>
          <w:sz w:val="16"/>
        </w:rPr>
        <w:t>&amp;</w:t>
      </w:r>
      <w:r>
        <w:rPr>
          <w:i/>
          <w:spacing w:val="-9"/>
          <w:w w:val="105"/>
          <w:sz w:val="16"/>
        </w:rPr>
        <w:t> </w:t>
      </w:r>
      <w:r>
        <w:rPr>
          <w:i/>
          <w:w w:val="105"/>
          <w:sz w:val="16"/>
        </w:rPr>
        <w:t>Gamble</w:t>
      </w:r>
      <w:r>
        <w:rPr>
          <w:i/>
          <w:spacing w:val="-8"/>
          <w:w w:val="105"/>
          <w:sz w:val="16"/>
        </w:rPr>
        <w:t> </w:t>
      </w:r>
      <w:r>
        <w:rPr>
          <w:i/>
          <w:spacing w:val="-2"/>
          <w:w w:val="105"/>
          <w:sz w:val="16"/>
        </w:rPr>
        <w:t>Company</w:t>
      </w:r>
    </w:p>
    <w:p>
      <w:pPr>
        <w:pStyle w:val="BodyText"/>
        <w:spacing w:line="266" w:lineRule="auto" w:before="20"/>
        <w:ind w:left="156" w:right="328"/>
      </w:pPr>
      <w:r>
        <w:rPr>
          <w:w w:val="105"/>
        </w:rPr>
        <w:t>Ms.</w:t>
      </w:r>
      <w:r>
        <w:rPr>
          <w:spacing w:val="-2"/>
          <w:w w:val="105"/>
        </w:rPr>
        <w:t> </w:t>
      </w:r>
      <w:r>
        <w:rPr>
          <w:w w:val="105"/>
        </w:rPr>
        <w:t>Henretta</w:t>
      </w:r>
      <w:r>
        <w:rPr>
          <w:spacing w:val="-2"/>
          <w:w w:val="105"/>
        </w:rPr>
        <w:t> </w:t>
      </w:r>
      <w:r>
        <w:rPr>
          <w:w w:val="105"/>
        </w:rPr>
        <w:t>has</w:t>
      </w:r>
      <w:r>
        <w:rPr>
          <w:spacing w:val="-2"/>
          <w:w w:val="105"/>
        </w:rPr>
        <w:t> </w:t>
      </w:r>
      <w:r>
        <w:rPr>
          <w:w w:val="105"/>
        </w:rPr>
        <w:t>over</w:t>
      </w:r>
      <w:r>
        <w:rPr>
          <w:spacing w:val="-2"/>
          <w:w w:val="105"/>
        </w:rPr>
        <w:t> </w:t>
      </w:r>
      <w:r>
        <w:rPr>
          <w:w w:val="105"/>
        </w:rPr>
        <w:t>36</w:t>
      </w:r>
      <w:r>
        <w:rPr>
          <w:spacing w:val="-2"/>
          <w:w w:val="105"/>
        </w:rPr>
        <w:t> </w:t>
      </w:r>
      <w:r>
        <w:rPr>
          <w:w w:val="105"/>
        </w:rPr>
        <w:t>years</w:t>
      </w:r>
      <w:r>
        <w:rPr>
          <w:spacing w:val="-2"/>
          <w:w w:val="105"/>
        </w:rPr>
        <w:t> </w:t>
      </w:r>
      <w:r>
        <w:rPr>
          <w:w w:val="105"/>
        </w:rPr>
        <w:t>of</w:t>
      </w:r>
      <w:r>
        <w:rPr>
          <w:spacing w:val="-2"/>
          <w:w w:val="105"/>
        </w:rPr>
        <w:t> </w:t>
      </w:r>
      <w:r>
        <w:rPr>
          <w:w w:val="105"/>
        </w:rPr>
        <w:t>business</w:t>
      </w:r>
      <w:r>
        <w:rPr>
          <w:spacing w:val="-2"/>
          <w:w w:val="105"/>
        </w:rPr>
        <w:t> </w:t>
      </w:r>
      <w:r>
        <w:rPr>
          <w:w w:val="105"/>
        </w:rPr>
        <w:t>leadership</w:t>
      </w:r>
      <w:r>
        <w:rPr>
          <w:spacing w:val="-2"/>
          <w:w w:val="105"/>
        </w:rPr>
        <w:t> </w:t>
      </w:r>
      <w:r>
        <w:rPr>
          <w:w w:val="105"/>
        </w:rPr>
        <w:t>experience</w:t>
      </w:r>
      <w:r>
        <w:rPr>
          <w:spacing w:val="-2"/>
          <w:w w:val="105"/>
        </w:rPr>
        <w:t> </w:t>
      </w:r>
      <w:r>
        <w:rPr>
          <w:w w:val="105"/>
        </w:rPr>
        <w:t>across</w:t>
      </w:r>
      <w:r>
        <w:rPr>
          <w:spacing w:val="-2"/>
          <w:w w:val="105"/>
        </w:rPr>
        <w:t> </w:t>
      </w:r>
      <w:r>
        <w:rPr>
          <w:w w:val="105"/>
        </w:rPr>
        <w:t>both</w:t>
      </w:r>
      <w:r>
        <w:rPr>
          <w:spacing w:val="-2"/>
          <w:w w:val="105"/>
        </w:rPr>
        <w:t> </w:t>
      </w:r>
      <w:r>
        <w:rPr>
          <w:w w:val="105"/>
        </w:rPr>
        <w:t>developed</w:t>
      </w:r>
      <w:r>
        <w:rPr>
          <w:spacing w:val="-2"/>
          <w:w w:val="105"/>
        </w:rPr>
        <w:t> </w:t>
      </w:r>
      <w:r>
        <w:rPr>
          <w:w w:val="105"/>
        </w:rPr>
        <w:t>and</w:t>
      </w:r>
      <w:r>
        <w:rPr>
          <w:spacing w:val="-2"/>
          <w:w w:val="105"/>
        </w:rPr>
        <w:t> </w:t>
      </w:r>
      <w:r>
        <w:rPr>
          <w:w w:val="105"/>
        </w:rPr>
        <w:t>developing</w:t>
      </w:r>
      <w:r>
        <w:rPr>
          <w:spacing w:val="-2"/>
          <w:w w:val="105"/>
        </w:rPr>
        <w:t> </w:t>
      </w:r>
      <w:r>
        <w:rPr>
          <w:w w:val="105"/>
        </w:rPr>
        <w:t>markets,</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expertise</w:t>
      </w:r>
      <w:r>
        <w:rPr>
          <w:spacing w:val="-2"/>
          <w:w w:val="105"/>
        </w:rPr>
        <w:t> </w:t>
      </w:r>
      <w:r>
        <w:rPr>
          <w:w w:val="105"/>
        </w:rPr>
        <w:t>in</w:t>
      </w:r>
      <w:r>
        <w:rPr>
          <w:spacing w:val="-2"/>
          <w:w w:val="105"/>
        </w:rPr>
        <w:t> </w:t>
      </w:r>
      <w:r>
        <w:rPr>
          <w:w w:val="105"/>
        </w:rPr>
        <w:t>brand</w:t>
      </w:r>
      <w:r>
        <w:rPr>
          <w:spacing w:val="-2"/>
          <w:w w:val="105"/>
        </w:rPr>
        <w:t> </w:t>
      </w:r>
      <w:r>
        <w:rPr>
          <w:w w:val="105"/>
        </w:rPr>
        <w:t>building,</w:t>
      </w:r>
      <w:r>
        <w:rPr>
          <w:spacing w:val="-2"/>
          <w:w w:val="105"/>
        </w:rPr>
        <w:t> </w:t>
      </w:r>
      <w:r>
        <w:rPr>
          <w:w w:val="105"/>
        </w:rPr>
        <w:t>marketing, philanthropic</w:t>
      </w:r>
      <w:r>
        <w:rPr>
          <w:spacing w:val="-7"/>
          <w:w w:val="105"/>
        </w:rPr>
        <w:t> </w:t>
      </w:r>
      <w:r>
        <w:rPr>
          <w:w w:val="105"/>
        </w:rPr>
        <w:t>program</w:t>
      </w:r>
      <w:r>
        <w:rPr>
          <w:spacing w:val="-7"/>
          <w:w w:val="105"/>
        </w:rPr>
        <w:t> </w:t>
      </w:r>
      <w:r>
        <w:rPr>
          <w:w w:val="105"/>
        </w:rPr>
        <w:t>development</w:t>
      </w:r>
      <w:r>
        <w:rPr>
          <w:spacing w:val="-7"/>
          <w:w w:val="105"/>
        </w:rPr>
        <w:t> </w:t>
      </w:r>
      <w:r>
        <w:rPr>
          <w:w w:val="105"/>
        </w:rPr>
        <w:t>and</w:t>
      </w:r>
      <w:r>
        <w:rPr>
          <w:spacing w:val="-7"/>
          <w:w w:val="105"/>
        </w:rPr>
        <w:t> </w:t>
      </w:r>
      <w:r>
        <w:rPr>
          <w:w w:val="105"/>
        </w:rPr>
        <w:t>government</w:t>
      </w:r>
      <w:r>
        <w:rPr>
          <w:spacing w:val="-7"/>
          <w:w w:val="105"/>
        </w:rPr>
        <w:t> </w:t>
      </w:r>
      <w:r>
        <w:rPr>
          <w:w w:val="105"/>
        </w:rPr>
        <w:t>relations.</w:t>
      </w:r>
      <w:r>
        <w:rPr>
          <w:spacing w:val="-7"/>
          <w:w w:val="105"/>
        </w:rPr>
        <w:t> </w:t>
      </w:r>
      <w:r>
        <w:rPr>
          <w:w w:val="105"/>
        </w:rPr>
        <w:t>She</w:t>
      </w:r>
      <w:r>
        <w:rPr>
          <w:spacing w:val="-7"/>
          <w:w w:val="105"/>
        </w:rPr>
        <w:t> </w:t>
      </w:r>
      <w:r>
        <w:rPr>
          <w:w w:val="105"/>
        </w:rPr>
        <w:t>joined</w:t>
      </w:r>
      <w:r>
        <w:rPr>
          <w:spacing w:val="-7"/>
          <w:w w:val="105"/>
        </w:rPr>
        <w:t> </w:t>
      </w:r>
      <w:r>
        <w:rPr>
          <w:w w:val="105"/>
        </w:rPr>
        <w:t>Procter</w:t>
      </w:r>
      <w:r>
        <w:rPr>
          <w:spacing w:val="-7"/>
          <w:w w:val="105"/>
        </w:rPr>
        <w:t> </w:t>
      </w:r>
      <w:r>
        <w:rPr>
          <w:w w:val="105"/>
        </w:rPr>
        <w:t>&amp;</w:t>
      </w:r>
      <w:r>
        <w:rPr>
          <w:spacing w:val="-7"/>
          <w:w w:val="105"/>
        </w:rPr>
        <w:t> </w:t>
      </w:r>
      <w:r>
        <w:rPr>
          <w:w w:val="105"/>
        </w:rPr>
        <w:t>Gamble</w:t>
      </w:r>
      <w:r>
        <w:rPr>
          <w:spacing w:val="-7"/>
          <w:w w:val="105"/>
        </w:rPr>
        <w:t> </w:t>
      </w:r>
      <w:r>
        <w:rPr>
          <w:w w:val="105"/>
        </w:rPr>
        <w:t>(P&amp;G)</w:t>
      </w:r>
      <w:r>
        <w:rPr>
          <w:spacing w:val="-7"/>
          <w:w w:val="105"/>
        </w:rPr>
        <w:t> </w:t>
      </w:r>
      <w:r>
        <w:rPr>
          <w:w w:val="105"/>
        </w:rPr>
        <w:t>in</w:t>
      </w:r>
      <w:r>
        <w:rPr>
          <w:spacing w:val="-7"/>
          <w:w w:val="105"/>
        </w:rPr>
        <w:t> </w:t>
      </w:r>
      <w:r>
        <w:rPr>
          <w:w w:val="105"/>
        </w:rPr>
        <w:t>1985.</w:t>
      </w:r>
      <w:r>
        <w:rPr>
          <w:spacing w:val="-7"/>
          <w:w w:val="105"/>
        </w:rPr>
        <w:t> </w:t>
      </w:r>
      <w:r>
        <w:rPr>
          <w:w w:val="105"/>
        </w:rPr>
        <w:t>In</w:t>
      </w:r>
      <w:r>
        <w:rPr>
          <w:spacing w:val="-7"/>
          <w:w w:val="105"/>
        </w:rPr>
        <w:t> </w:t>
      </w:r>
      <w:r>
        <w:rPr>
          <w:w w:val="105"/>
        </w:rPr>
        <w:t>2005,</w:t>
      </w:r>
      <w:r>
        <w:rPr>
          <w:spacing w:val="-7"/>
          <w:w w:val="105"/>
        </w:rPr>
        <w:t> </w:t>
      </w:r>
      <w:r>
        <w:rPr>
          <w:w w:val="105"/>
        </w:rPr>
        <w:t>she</w:t>
      </w:r>
      <w:r>
        <w:rPr>
          <w:spacing w:val="-7"/>
          <w:w w:val="105"/>
        </w:rPr>
        <w:t> </w:t>
      </w:r>
      <w:r>
        <w:rPr>
          <w:w w:val="105"/>
        </w:rPr>
        <w:t>was</w:t>
      </w:r>
      <w:r>
        <w:rPr>
          <w:spacing w:val="-7"/>
          <w:w w:val="105"/>
        </w:rPr>
        <w:t> </w:t>
      </w:r>
      <w:r>
        <w:rPr>
          <w:w w:val="105"/>
        </w:rPr>
        <w:t>appointed</w:t>
      </w:r>
      <w:r>
        <w:rPr>
          <w:spacing w:val="-7"/>
          <w:w w:val="105"/>
        </w:rPr>
        <w:t> </w:t>
      </w:r>
      <w:r>
        <w:rPr>
          <w:w w:val="105"/>
        </w:rPr>
        <w:t>President</w:t>
      </w:r>
      <w:r>
        <w:rPr>
          <w:spacing w:val="-7"/>
          <w:w w:val="105"/>
        </w:rPr>
        <w:t> </w:t>
      </w:r>
      <w:r>
        <w:rPr>
          <w:w w:val="105"/>
        </w:rPr>
        <w:t>of</w:t>
      </w:r>
      <w:r>
        <w:rPr>
          <w:spacing w:val="-7"/>
          <w:w w:val="105"/>
        </w:rPr>
        <w:t> </w:t>
      </w:r>
      <w:r>
        <w:rPr>
          <w:w w:val="105"/>
        </w:rPr>
        <w:t>P&amp;G’s</w:t>
      </w:r>
      <w:r>
        <w:rPr>
          <w:spacing w:val="-7"/>
          <w:w w:val="105"/>
        </w:rPr>
        <w:t> </w:t>
      </w:r>
      <w:r>
        <w:rPr>
          <w:w w:val="105"/>
        </w:rPr>
        <w:t>business</w:t>
      </w:r>
      <w:r>
        <w:rPr>
          <w:spacing w:val="-7"/>
          <w:w w:val="105"/>
        </w:rPr>
        <w:t> </w:t>
      </w:r>
      <w:r>
        <w:rPr>
          <w:w w:val="105"/>
        </w:rPr>
        <w:t>in ASEAN,</w:t>
      </w:r>
      <w:r>
        <w:rPr>
          <w:spacing w:val="-8"/>
          <w:w w:val="105"/>
        </w:rPr>
        <w:t> </w:t>
      </w:r>
      <w:r>
        <w:rPr>
          <w:w w:val="105"/>
        </w:rPr>
        <w:t>Australia</w:t>
      </w:r>
      <w:r>
        <w:rPr>
          <w:spacing w:val="-8"/>
          <w:w w:val="105"/>
        </w:rPr>
        <w:t> </w:t>
      </w:r>
      <w:r>
        <w:rPr>
          <w:w w:val="105"/>
        </w:rPr>
        <w:t>and</w:t>
      </w:r>
      <w:r>
        <w:rPr>
          <w:spacing w:val="-8"/>
          <w:w w:val="105"/>
        </w:rPr>
        <w:t> </w:t>
      </w:r>
      <w:r>
        <w:rPr>
          <w:w w:val="105"/>
        </w:rPr>
        <w:t>India.</w:t>
      </w:r>
      <w:r>
        <w:rPr>
          <w:spacing w:val="-8"/>
          <w:w w:val="105"/>
        </w:rPr>
        <w:t> </w:t>
      </w:r>
      <w:r>
        <w:rPr>
          <w:w w:val="105"/>
        </w:rPr>
        <w:t>She</w:t>
      </w:r>
      <w:r>
        <w:rPr>
          <w:spacing w:val="-8"/>
          <w:w w:val="105"/>
        </w:rPr>
        <w:t> </w:t>
      </w:r>
      <w:r>
        <w:rPr>
          <w:w w:val="105"/>
        </w:rPr>
        <w:t>was</w:t>
      </w:r>
      <w:r>
        <w:rPr>
          <w:spacing w:val="-8"/>
          <w:w w:val="105"/>
        </w:rPr>
        <w:t> </w:t>
      </w:r>
      <w:r>
        <w:rPr>
          <w:w w:val="105"/>
        </w:rPr>
        <w:t>appointed</w:t>
      </w:r>
      <w:r>
        <w:rPr>
          <w:spacing w:val="-8"/>
          <w:w w:val="105"/>
        </w:rPr>
        <w:t> </w:t>
      </w:r>
      <w:r>
        <w:rPr>
          <w:w w:val="105"/>
        </w:rPr>
        <w:t>group</w:t>
      </w:r>
      <w:r>
        <w:rPr>
          <w:spacing w:val="-8"/>
          <w:w w:val="105"/>
        </w:rPr>
        <w:t> </w:t>
      </w:r>
      <w:r>
        <w:rPr>
          <w:w w:val="105"/>
        </w:rPr>
        <w:t>president,</w:t>
      </w:r>
      <w:r>
        <w:rPr>
          <w:spacing w:val="-8"/>
          <w:w w:val="105"/>
        </w:rPr>
        <w:t> </w:t>
      </w:r>
      <w:r>
        <w:rPr>
          <w:w w:val="105"/>
        </w:rPr>
        <w:t>P&amp;G</w:t>
      </w:r>
      <w:r>
        <w:rPr>
          <w:spacing w:val="-8"/>
          <w:w w:val="105"/>
        </w:rPr>
        <w:t> </w:t>
      </w:r>
      <w:r>
        <w:rPr>
          <w:w w:val="105"/>
        </w:rPr>
        <w:t>Asia</w:t>
      </w:r>
      <w:r>
        <w:rPr>
          <w:spacing w:val="-8"/>
          <w:w w:val="105"/>
        </w:rPr>
        <w:t> </w:t>
      </w:r>
      <w:r>
        <w:rPr>
          <w:w w:val="105"/>
        </w:rPr>
        <w:t>in</w:t>
      </w:r>
      <w:r>
        <w:rPr>
          <w:spacing w:val="-8"/>
          <w:w w:val="105"/>
        </w:rPr>
        <w:t> </w:t>
      </w:r>
      <w:r>
        <w:rPr>
          <w:w w:val="105"/>
        </w:rPr>
        <w:t>2007,</w:t>
      </w:r>
      <w:r>
        <w:rPr>
          <w:spacing w:val="-8"/>
          <w:w w:val="105"/>
        </w:rPr>
        <w:t> </w:t>
      </w:r>
      <w:r>
        <w:rPr>
          <w:w w:val="105"/>
        </w:rPr>
        <w:t>group</w:t>
      </w:r>
      <w:r>
        <w:rPr>
          <w:spacing w:val="-8"/>
          <w:w w:val="105"/>
        </w:rPr>
        <w:t> </w:t>
      </w:r>
      <w:r>
        <w:rPr>
          <w:w w:val="105"/>
        </w:rPr>
        <w:t>president</w:t>
      </w:r>
      <w:r>
        <w:rPr>
          <w:spacing w:val="-8"/>
          <w:w w:val="105"/>
        </w:rPr>
        <w:t> </w:t>
      </w:r>
      <w:r>
        <w:rPr>
          <w:w w:val="105"/>
        </w:rPr>
        <w:t>of</w:t>
      </w:r>
      <w:r>
        <w:rPr>
          <w:spacing w:val="-8"/>
          <w:w w:val="105"/>
        </w:rPr>
        <w:t> </w:t>
      </w:r>
      <w:r>
        <w:rPr>
          <w:w w:val="105"/>
        </w:rPr>
        <w:t>P&amp;G</w:t>
      </w:r>
      <w:r>
        <w:rPr>
          <w:spacing w:val="-8"/>
          <w:w w:val="105"/>
        </w:rPr>
        <w:t> </w:t>
      </w:r>
      <w:r>
        <w:rPr>
          <w:w w:val="105"/>
        </w:rPr>
        <w:t>Global</w:t>
      </w:r>
      <w:r>
        <w:rPr>
          <w:spacing w:val="-8"/>
          <w:w w:val="105"/>
        </w:rPr>
        <w:t> </w:t>
      </w:r>
      <w:r>
        <w:rPr>
          <w:w w:val="105"/>
        </w:rPr>
        <w:t>Beauty</w:t>
      </w:r>
      <w:r>
        <w:rPr>
          <w:spacing w:val="-8"/>
          <w:w w:val="105"/>
        </w:rPr>
        <w:t> </w:t>
      </w:r>
      <w:r>
        <w:rPr>
          <w:w w:val="105"/>
        </w:rPr>
        <w:t>Sector</w:t>
      </w:r>
      <w:r>
        <w:rPr>
          <w:spacing w:val="-8"/>
          <w:w w:val="105"/>
        </w:rPr>
        <w:t> </w:t>
      </w:r>
      <w:r>
        <w:rPr>
          <w:w w:val="105"/>
        </w:rPr>
        <w:t>in</w:t>
      </w:r>
      <w:r>
        <w:rPr>
          <w:spacing w:val="-8"/>
          <w:w w:val="105"/>
        </w:rPr>
        <w:t> </w:t>
      </w:r>
      <w:r>
        <w:rPr>
          <w:w w:val="105"/>
        </w:rPr>
        <w:t>June</w:t>
      </w:r>
      <w:r>
        <w:rPr>
          <w:spacing w:val="-8"/>
          <w:w w:val="105"/>
        </w:rPr>
        <w:t> </w:t>
      </w:r>
      <w:r>
        <w:rPr>
          <w:w w:val="105"/>
        </w:rPr>
        <w:t>2013,</w:t>
      </w:r>
      <w:r>
        <w:rPr>
          <w:spacing w:val="-8"/>
          <w:w w:val="105"/>
        </w:rPr>
        <w:t> </w:t>
      </w:r>
      <w:r>
        <w:rPr>
          <w:w w:val="105"/>
        </w:rPr>
        <w:t>and</w:t>
      </w:r>
      <w:r>
        <w:rPr>
          <w:spacing w:val="-8"/>
          <w:w w:val="105"/>
        </w:rPr>
        <w:t> </w:t>
      </w:r>
      <w:r>
        <w:rPr>
          <w:w w:val="105"/>
        </w:rPr>
        <w:t>group</w:t>
      </w:r>
      <w:r>
        <w:rPr>
          <w:spacing w:val="-8"/>
          <w:w w:val="105"/>
        </w:rPr>
        <w:t> </w:t>
      </w:r>
      <w:r>
        <w:rPr>
          <w:w w:val="105"/>
        </w:rPr>
        <w:t>president</w:t>
      </w:r>
      <w:r>
        <w:rPr>
          <w:spacing w:val="-8"/>
          <w:w w:val="105"/>
        </w:rPr>
        <w:t> </w:t>
      </w:r>
      <w:r>
        <w:rPr>
          <w:w w:val="105"/>
        </w:rPr>
        <w:t>of P&amp;G</w:t>
      </w:r>
      <w:r>
        <w:rPr>
          <w:spacing w:val="-1"/>
          <w:w w:val="105"/>
        </w:rPr>
        <w:t> </w:t>
      </w:r>
      <w:r>
        <w:rPr>
          <w:w w:val="105"/>
        </w:rPr>
        <w:t>E-Business</w:t>
      </w:r>
      <w:r>
        <w:rPr>
          <w:spacing w:val="-1"/>
          <w:w w:val="105"/>
        </w:rPr>
        <w:t> </w:t>
      </w:r>
      <w:r>
        <w:rPr>
          <w:w w:val="105"/>
        </w:rPr>
        <w:t>in</w:t>
      </w:r>
      <w:r>
        <w:rPr>
          <w:spacing w:val="-1"/>
          <w:w w:val="105"/>
        </w:rPr>
        <w:t> </w:t>
      </w:r>
      <w:r>
        <w:rPr>
          <w:w w:val="105"/>
        </w:rPr>
        <w:t>February</w:t>
      </w:r>
      <w:r>
        <w:rPr>
          <w:spacing w:val="-1"/>
          <w:w w:val="105"/>
        </w:rPr>
        <w:t> </w:t>
      </w:r>
      <w:r>
        <w:rPr>
          <w:w w:val="105"/>
        </w:rPr>
        <w:t>2015.</w:t>
      </w:r>
      <w:r>
        <w:rPr>
          <w:spacing w:val="-1"/>
          <w:w w:val="105"/>
        </w:rPr>
        <w:t> </w:t>
      </w:r>
      <w:r>
        <w:rPr>
          <w:w w:val="105"/>
        </w:rPr>
        <w:t>She</w:t>
      </w:r>
      <w:r>
        <w:rPr>
          <w:spacing w:val="-1"/>
          <w:w w:val="105"/>
        </w:rPr>
        <w:t> </w:t>
      </w:r>
      <w:r>
        <w:rPr>
          <w:w w:val="105"/>
        </w:rPr>
        <w:t>retired</w:t>
      </w:r>
      <w:r>
        <w:rPr>
          <w:spacing w:val="-1"/>
          <w:w w:val="105"/>
        </w:rPr>
        <w:t> </w:t>
      </w:r>
      <w:r>
        <w:rPr>
          <w:w w:val="105"/>
        </w:rPr>
        <w:t>from</w:t>
      </w:r>
      <w:r>
        <w:rPr>
          <w:spacing w:val="-1"/>
          <w:w w:val="105"/>
        </w:rPr>
        <w:t> </w:t>
      </w:r>
      <w:r>
        <w:rPr>
          <w:w w:val="105"/>
        </w:rPr>
        <w:t>P&amp;G</w:t>
      </w:r>
      <w:r>
        <w:rPr>
          <w:spacing w:val="-1"/>
          <w:w w:val="105"/>
        </w:rPr>
        <w:t> </w:t>
      </w:r>
      <w:r>
        <w:rPr>
          <w:w w:val="105"/>
        </w:rPr>
        <w:t>in</w:t>
      </w:r>
      <w:r>
        <w:rPr>
          <w:spacing w:val="-1"/>
          <w:w w:val="105"/>
        </w:rPr>
        <w:t> </w:t>
      </w:r>
      <w:r>
        <w:rPr>
          <w:w w:val="105"/>
        </w:rPr>
        <w:t>June</w:t>
      </w:r>
      <w:r>
        <w:rPr>
          <w:spacing w:val="-1"/>
          <w:w w:val="105"/>
        </w:rPr>
        <w:t> </w:t>
      </w:r>
      <w:r>
        <w:rPr>
          <w:w w:val="105"/>
        </w:rPr>
        <w:t>2015.</w:t>
      </w:r>
      <w:r>
        <w:rPr>
          <w:spacing w:val="-1"/>
          <w:w w:val="105"/>
        </w:rPr>
        <w:t> </w:t>
      </w:r>
      <w:r>
        <w:rPr>
          <w:w w:val="105"/>
        </w:rPr>
        <w:t>Ms.</w:t>
      </w:r>
      <w:r>
        <w:rPr>
          <w:spacing w:val="-1"/>
          <w:w w:val="105"/>
        </w:rPr>
        <w:t> </w:t>
      </w:r>
      <w:r>
        <w:rPr>
          <w:w w:val="105"/>
        </w:rPr>
        <w:t>Henretta</w:t>
      </w:r>
      <w:r>
        <w:rPr>
          <w:spacing w:val="-1"/>
          <w:w w:val="105"/>
        </w:rPr>
        <w:t> </w:t>
      </w:r>
      <w:r>
        <w:rPr>
          <w:w w:val="105"/>
        </w:rPr>
        <w:t>joined</w:t>
      </w:r>
      <w:r>
        <w:rPr>
          <w:spacing w:val="-1"/>
          <w:w w:val="105"/>
        </w:rPr>
        <w:t> </w:t>
      </w:r>
      <w:r>
        <w:rPr>
          <w:w w:val="105"/>
        </w:rPr>
        <w:t>Corning’s</w:t>
      </w:r>
      <w:r>
        <w:rPr>
          <w:spacing w:val="-1"/>
          <w:w w:val="105"/>
        </w:rPr>
        <w:t> </w:t>
      </w:r>
      <w:r>
        <w:rPr>
          <w:w w:val="105"/>
        </w:rPr>
        <w:t>Board</w:t>
      </w:r>
      <w:r>
        <w:rPr>
          <w:spacing w:val="-1"/>
          <w:w w:val="105"/>
        </w:rPr>
        <w:t> </w:t>
      </w:r>
      <w:r>
        <w:rPr>
          <w:w w:val="105"/>
        </w:rPr>
        <w:t>in</w:t>
      </w:r>
      <w:r>
        <w:rPr>
          <w:spacing w:val="-1"/>
          <w:w w:val="105"/>
        </w:rPr>
        <w:t> </w:t>
      </w:r>
      <w:r>
        <w:rPr>
          <w:w w:val="105"/>
        </w:rPr>
        <w:t>2013.</w:t>
      </w:r>
      <w:r>
        <w:rPr>
          <w:spacing w:val="-1"/>
          <w:w w:val="105"/>
        </w:rPr>
        <w:t> </w:t>
      </w:r>
      <w:r>
        <w:rPr>
          <w:w w:val="105"/>
        </w:rPr>
        <w:t>Age</w:t>
      </w:r>
      <w:r>
        <w:rPr>
          <w:spacing w:val="-1"/>
          <w:w w:val="105"/>
        </w:rPr>
        <w:t> </w:t>
      </w:r>
      <w:r>
        <w:rPr>
          <w:w w:val="105"/>
        </w:rPr>
        <w:t>60.</w:t>
      </w:r>
    </w:p>
    <w:p>
      <w:pPr>
        <w:pStyle w:val="BodyText"/>
        <w:spacing w:before="18"/>
      </w:pPr>
    </w:p>
    <w:p>
      <w:pPr>
        <w:spacing w:before="0"/>
        <w:ind w:left="156" w:right="0" w:firstLine="0"/>
        <w:jc w:val="left"/>
        <w:rPr>
          <w:i/>
          <w:sz w:val="16"/>
        </w:rPr>
      </w:pPr>
      <w:r>
        <w:rPr>
          <w:w w:val="105"/>
          <w:sz w:val="16"/>
        </w:rPr>
        <w:t>Daniel</w:t>
      </w:r>
      <w:r>
        <w:rPr>
          <w:spacing w:val="-9"/>
          <w:w w:val="105"/>
          <w:sz w:val="16"/>
        </w:rPr>
        <w:t> </w:t>
      </w:r>
      <w:r>
        <w:rPr>
          <w:w w:val="105"/>
          <w:sz w:val="16"/>
        </w:rPr>
        <w:t>P.</w:t>
      </w:r>
      <w:r>
        <w:rPr>
          <w:spacing w:val="-9"/>
          <w:w w:val="105"/>
          <w:sz w:val="16"/>
        </w:rPr>
        <w:t> </w:t>
      </w:r>
      <w:r>
        <w:rPr>
          <w:w w:val="105"/>
          <w:sz w:val="16"/>
        </w:rPr>
        <w:t>Huttenlocher</w:t>
      </w:r>
      <w:r>
        <w:rPr>
          <w:spacing w:val="26"/>
          <w:w w:val="105"/>
          <w:sz w:val="16"/>
        </w:rPr>
        <w:t> </w:t>
      </w:r>
      <w:r>
        <w:rPr>
          <w:i/>
          <w:w w:val="105"/>
          <w:sz w:val="16"/>
        </w:rPr>
        <w:t>Dean,</w:t>
      </w:r>
      <w:r>
        <w:rPr>
          <w:i/>
          <w:spacing w:val="-9"/>
          <w:w w:val="105"/>
          <w:sz w:val="16"/>
        </w:rPr>
        <w:t> </w:t>
      </w:r>
      <w:r>
        <w:rPr>
          <w:i/>
          <w:w w:val="105"/>
          <w:sz w:val="16"/>
        </w:rPr>
        <w:t>MIT</w:t>
      </w:r>
      <w:r>
        <w:rPr>
          <w:i/>
          <w:spacing w:val="-9"/>
          <w:w w:val="105"/>
          <w:sz w:val="16"/>
        </w:rPr>
        <w:t> </w:t>
      </w:r>
      <w:r>
        <w:rPr>
          <w:i/>
          <w:w w:val="105"/>
          <w:sz w:val="16"/>
        </w:rPr>
        <w:t>Stephen</w:t>
      </w:r>
      <w:r>
        <w:rPr>
          <w:i/>
          <w:spacing w:val="-8"/>
          <w:w w:val="105"/>
          <w:sz w:val="16"/>
        </w:rPr>
        <w:t> </w:t>
      </w:r>
      <w:r>
        <w:rPr>
          <w:i/>
          <w:w w:val="105"/>
          <w:sz w:val="16"/>
        </w:rPr>
        <w:t>A.</w:t>
      </w:r>
      <w:r>
        <w:rPr>
          <w:i/>
          <w:spacing w:val="-9"/>
          <w:w w:val="105"/>
          <w:sz w:val="16"/>
        </w:rPr>
        <w:t> </w:t>
      </w:r>
      <w:r>
        <w:rPr>
          <w:i/>
          <w:w w:val="105"/>
          <w:sz w:val="16"/>
        </w:rPr>
        <w:t>Schwarzman</w:t>
      </w:r>
      <w:r>
        <w:rPr>
          <w:i/>
          <w:spacing w:val="-9"/>
          <w:w w:val="105"/>
          <w:sz w:val="16"/>
        </w:rPr>
        <w:t> </w:t>
      </w:r>
      <w:r>
        <w:rPr>
          <w:i/>
          <w:w w:val="105"/>
          <w:sz w:val="16"/>
        </w:rPr>
        <w:t>College</w:t>
      </w:r>
      <w:r>
        <w:rPr>
          <w:i/>
          <w:spacing w:val="-9"/>
          <w:w w:val="105"/>
          <w:sz w:val="16"/>
        </w:rPr>
        <w:t> </w:t>
      </w:r>
      <w:r>
        <w:rPr>
          <w:i/>
          <w:w w:val="105"/>
          <w:sz w:val="16"/>
        </w:rPr>
        <w:t>of</w:t>
      </w:r>
      <w:r>
        <w:rPr>
          <w:i/>
          <w:spacing w:val="-8"/>
          <w:w w:val="105"/>
          <w:sz w:val="16"/>
        </w:rPr>
        <w:t> </w:t>
      </w:r>
      <w:r>
        <w:rPr>
          <w:i/>
          <w:spacing w:val="-2"/>
          <w:w w:val="105"/>
          <w:sz w:val="16"/>
        </w:rPr>
        <w:t>Computing</w:t>
      </w:r>
    </w:p>
    <w:p>
      <w:pPr>
        <w:pStyle w:val="BodyText"/>
        <w:spacing w:line="266" w:lineRule="auto" w:before="20"/>
        <w:ind w:left="156" w:right="117"/>
      </w:pPr>
      <w:r>
        <w:rPr>
          <w:w w:val="105"/>
        </w:rPr>
        <w:t>Dr.</w:t>
      </w:r>
      <w:r>
        <w:rPr>
          <w:spacing w:val="-8"/>
          <w:w w:val="105"/>
        </w:rPr>
        <w:t> </w:t>
      </w:r>
      <w:r>
        <w:rPr>
          <w:w w:val="105"/>
        </w:rPr>
        <w:t>Huttenlocher</w:t>
      </w:r>
      <w:r>
        <w:rPr>
          <w:spacing w:val="-8"/>
          <w:w w:val="105"/>
        </w:rPr>
        <w:t> </w:t>
      </w:r>
      <w:r>
        <w:rPr>
          <w:w w:val="105"/>
        </w:rPr>
        <w:t>is</w:t>
      </w:r>
      <w:r>
        <w:rPr>
          <w:spacing w:val="-8"/>
          <w:w w:val="105"/>
        </w:rPr>
        <w:t> </w:t>
      </w:r>
      <w:r>
        <w:rPr>
          <w:w w:val="105"/>
        </w:rPr>
        <w:t>the</w:t>
      </w:r>
      <w:r>
        <w:rPr>
          <w:spacing w:val="-8"/>
          <w:w w:val="105"/>
        </w:rPr>
        <w:t> </w:t>
      </w:r>
      <w:r>
        <w:rPr>
          <w:w w:val="105"/>
        </w:rPr>
        <w:t>Dean</w:t>
      </w:r>
      <w:r>
        <w:rPr>
          <w:spacing w:val="-8"/>
          <w:w w:val="105"/>
        </w:rPr>
        <w:t> </w:t>
      </w:r>
      <w:r>
        <w:rPr>
          <w:w w:val="105"/>
        </w:rPr>
        <w:t>of</w:t>
      </w:r>
      <w:r>
        <w:rPr>
          <w:spacing w:val="-8"/>
          <w:w w:val="105"/>
        </w:rPr>
        <w:t> </w:t>
      </w:r>
      <w:r>
        <w:rPr>
          <w:w w:val="105"/>
        </w:rPr>
        <w:t>the</w:t>
      </w:r>
      <w:r>
        <w:rPr>
          <w:spacing w:val="-8"/>
          <w:w w:val="105"/>
        </w:rPr>
        <w:t> </w:t>
      </w:r>
      <w:r>
        <w:rPr>
          <w:w w:val="105"/>
        </w:rPr>
        <w:t>MIT</w:t>
      </w:r>
      <w:r>
        <w:rPr>
          <w:spacing w:val="-8"/>
          <w:w w:val="105"/>
        </w:rPr>
        <w:t> </w:t>
      </w:r>
      <w:r>
        <w:rPr>
          <w:w w:val="105"/>
        </w:rPr>
        <w:t>Schwarzman</w:t>
      </w:r>
      <w:r>
        <w:rPr>
          <w:spacing w:val="-8"/>
          <w:w w:val="105"/>
        </w:rPr>
        <w:t> </w:t>
      </w:r>
      <w:r>
        <w:rPr>
          <w:w w:val="105"/>
        </w:rPr>
        <w:t>College</w:t>
      </w:r>
      <w:r>
        <w:rPr>
          <w:spacing w:val="-8"/>
          <w:w w:val="105"/>
        </w:rPr>
        <w:t> </w:t>
      </w:r>
      <w:r>
        <w:rPr>
          <w:w w:val="105"/>
        </w:rPr>
        <w:t>of</w:t>
      </w:r>
      <w:r>
        <w:rPr>
          <w:spacing w:val="-8"/>
          <w:w w:val="105"/>
        </w:rPr>
        <w:t> </w:t>
      </w:r>
      <w:r>
        <w:rPr>
          <w:w w:val="105"/>
        </w:rPr>
        <w:t>Computing.</w:t>
      </w:r>
      <w:r>
        <w:rPr>
          <w:spacing w:val="-8"/>
          <w:w w:val="105"/>
        </w:rPr>
        <w:t> </w:t>
      </w:r>
      <w:r>
        <w:rPr>
          <w:w w:val="105"/>
        </w:rPr>
        <w:t>Prior</w:t>
      </w:r>
      <w:r>
        <w:rPr>
          <w:spacing w:val="-8"/>
          <w:w w:val="105"/>
        </w:rPr>
        <w:t> </w:t>
      </w:r>
      <w:r>
        <w:rPr>
          <w:w w:val="105"/>
        </w:rPr>
        <w:t>to</w:t>
      </w:r>
      <w:r>
        <w:rPr>
          <w:spacing w:val="-8"/>
          <w:w w:val="105"/>
        </w:rPr>
        <w:t> </w:t>
      </w:r>
      <w:r>
        <w:rPr>
          <w:w w:val="105"/>
        </w:rPr>
        <w:t>joining</w:t>
      </w:r>
      <w:r>
        <w:rPr>
          <w:spacing w:val="-8"/>
          <w:w w:val="105"/>
        </w:rPr>
        <w:t> </w:t>
      </w:r>
      <w:r>
        <w:rPr>
          <w:w w:val="105"/>
        </w:rPr>
        <w:t>MIT,</w:t>
      </w:r>
      <w:r>
        <w:rPr>
          <w:spacing w:val="-8"/>
          <w:w w:val="105"/>
        </w:rPr>
        <w:t> </w:t>
      </w:r>
      <w:r>
        <w:rPr>
          <w:w w:val="105"/>
        </w:rPr>
        <w:t>Dr.</w:t>
      </w:r>
      <w:r>
        <w:rPr>
          <w:spacing w:val="-8"/>
          <w:w w:val="105"/>
        </w:rPr>
        <w:t> </w:t>
      </w:r>
      <w:r>
        <w:rPr>
          <w:w w:val="105"/>
        </w:rPr>
        <w:t>Huttenlocher</w:t>
      </w:r>
      <w:r>
        <w:rPr>
          <w:spacing w:val="-8"/>
          <w:w w:val="105"/>
        </w:rPr>
        <w:t> </w:t>
      </w:r>
      <w:r>
        <w:rPr>
          <w:w w:val="105"/>
        </w:rPr>
        <w:t>served</w:t>
      </w:r>
      <w:r>
        <w:rPr>
          <w:spacing w:val="-8"/>
          <w:w w:val="105"/>
        </w:rPr>
        <w:t> </w:t>
      </w:r>
      <w:r>
        <w:rPr>
          <w:w w:val="105"/>
        </w:rPr>
        <w:t>as</w:t>
      </w:r>
      <w:r>
        <w:rPr>
          <w:spacing w:val="-8"/>
          <w:w w:val="105"/>
        </w:rPr>
        <w:t> </w:t>
      </w:r>
      <w:r>
        <w:rPr>
          <w:w w:val="105"/>
        </w:rPr>
        <w:t>dean</w:t>
      </w:r>
      <w:r>
        <w:rPr>
          <w:spacing w:val="-8"/>
          <w:w w:val="105"/>
        </w:rPr>
        <w:t> </w:t>
      </w:r>
      <w:r>
        <w:rPr>
          <w:w w:val="105"/>
        </w:rPr>
        <w:t>and</w:t>
      </w:r>
      <w:r>
        <w:rPr>
          <w:spacing w:val="-8"/>
          <w:w w:val="105"/>
        </w:rPr>
        <w:t> </w:t>
      </w:r>
      <w:r>
        <w:rPr>
          <w:w w:val="105"/>
        </w:rPr>
        <w:t>vice</w:t>
      </w:r>
      <w:r>
        <w:rPr>
          <w:spacing w:val="-8"/>
          <w:w w:val="105"/>
        </w:rPr>
        <w:t> </w:t>
      </w:r>
      <w:r>
        <w:rPr>
          <w:w w:val="105"/>
        </w:rPr>
        <w:t>provost</w:t>
      </w:r>
      <w:r>
        <w:rPr>
          <w:spacing w:val="-8"/>
          <w:w w:val="105"/>
        </w:rPr>
        <w:t> </w:t>
      </w:r>
      <w:r>
        <w:rPr>
          <w:w w:val="105"/>
        </w:rPr>
        <w:t>of</w:t>
      </w:r>
      <w:r>
        <w:rPr>
          <w:spacing w:val="-8"/>
          <w:w w:val="105"/>
        </w:rPr>
        <w:t> </w:t>
      </w:r>
      <w:r>
        <w:rPr>
          <w:w w:val="105"/>
        </w:rPr>
        <w:t>Cornell</w:t>
      </w:r>
      <w:r>
        <w:rPr>
          <w:spacing w:val="-8"/>
          <w:w w:val="105"/>
        </w:rPr>
        <w:t> </w:t>
      </w:r>
      <w:r>
        <w:rPr>
          <w:w w:val="105"/>
        </w:rPr>
        <w:t>Tech</w:t>
      </w:r>
      <w:r>
        <w:rPr>
          <w:spacing w:val="-8"/>
          <w:w w:val="105"/>
        </w:rPr>
        <w:t> </w:t>
      </w:r>
      <w:r>
        <w:rPr>
          <w:w w:val="105"/>
        </w:rPr>
        <w:t>from 2012</w:t>
      </w:r>
      <w:r>
        <w:rPr>
          <w:spacing w:val="-6"/>
          <w:w w:val="105"/>
        </w:rPr>
        <w:t> </w:t>
      </w:r>
      <w:r>
        <w:rPr>
          <w:w w:val="105"/>
        </w:rPr>
        <w:t>–</w:t>
      </w:r>
      <w:r>
        <w:rPr>
          <w:spacing w:val="-6"/>
          <w:w w:val="105"/>
        </w:rPr>
        <w:t> </w:t>
      </w:r>
      <w:r>
        <w:rPr>
          <w:w w:val="105"/>
        </w:rPr>
        <w:t>2019</w:t>
      </w:r>
      <w:r>
        <w:rPr>
          <w:spacing w:val="-6"/>
          <w:w w:val="105"/>
        </w:rPr>
        <w:t> </w:t>
      </w:r>
      <w:r>
        <w:rPr>
          <w:w w:val="105"/>
        </w:rPr>
        <w:t>and</w:t>
      </w:r>
      <w:r>
        <w:rPr>
          <w:spacing w:val="-6"/>
          <w:w w:val="105"/>
        </w:rPr>
        <w:t> </w:t>
      </w:r>
      <w:r>
        <w:rPr>
          <w:w w:val="105"/>
        </w:rPr>
        <w:t>worked</w:t>
      </w:r>
      <w:r>
        <w:rPr>
          <w:spacing w:val="-6"/>
          <w:w w:val="105"/>
        </w:rPr>
        <w:t> </w:t>
      </w:r>
      <w:r>
        <w:rPr>
          <w:w w:val="105"/>
        </w:rPr>
        <w:t>for</w:t>
      </w:r>
      <w:r>
        <w:rPr>
          <w:spacing w:val="-6"/>
          <w:w w:val="105"/>
        </w:rPr>
        <w:t> </w:t>
      </w:r>
      <w:r>
        <w:rPr>
          <w:w w:val="105"/>
        </w:rPr>
        <w:t>Cornell</w:t>
      </w:r>
      <w:r>
        <w:rPr>
          <w:spacing w:val="-6"/>
          <w:w w:val="105"/>
        </w:rPr>
        <w:t> </w:t>
      </w:r>
      <w:r>
        <w:rPr>
          <w:w w:val="105"/>
        </w:rPr>
        <w:t>University</w:t>
      </w:r>
      <w:r>
        <w:rPr>
          <w:spacing w:val="-6"/>
          <w:w w:val="105"/>
        </w:rPr>
        <w:t> </w:t>
      </w:r>
      <w:r>
        <w:rPr>
          <w:w w:val="105"/>
        </w:rPr>
        <w:t>from</w:t>
      </w:r>
      <w:r>
        <w:rPr>
          <w:spacing w:val="-6"/>
          <w:w w:val="105"/>
        </w:rPr>
        <w:t> </w:t>
      </w:r>
      <w:r>
        <w:rPr>
          <w:w w:val="105"/>
        </w:rPr>
        <w:t>1988</w:t>
      </w:r>
      <w:r>
        <w:rPr>
          <w:spacing w:val="-6"/>
          <w:w w:val="105"/>
        </w:rPr>
        <w:t> </w:t>
      </w:r>
      <w:r>
        <w:rPr>
          <w:w w:val="105"/>
        </w:rPr>
        <w:t>to</w:t>
      </w:r>
      <w:r>
        <w:rPr>
          <w:spacing w:val="-6"/>
          <w:w w:val="105"/>
        </w:rPr>
        <w:t> </w:t>
      </w:r>
      <w:r>
        <w:rPr>
          <w:w w:val="105"/>
        </w:rPr>
        <w:t>2012</w:t>
      </w:r>
      <w:r>
        <w:rPr>
          <w:spacing w:val="-6"/>
          <w:w w:val="105"/>
        </w:rPr>
        <w:t> </w:t>
      </w:r>
      <w:r>
        <w:rPr>
          <w:w w:val="105"/>
        </w:rPr>
        <w:t>in</w:t>
      </w:r>
      <w:r>
        <w:rPr>
          <w:spacing w:val="-6"/>
          <w:w w:val="105"/>
        </w:rPr>
        <w:t> </w:t>
      </w:r>
      <w:r>
        <w:rPr>
          <w:w w:val="105"/>
        </w:rPr>
        <w:t>various</w:t>
      </w:r>
      <w:r>
        <w:rPr>
          <w:spacing w:val="-6"/>
          <w:w w:val="105"/>
        </w:rPr>
        <w:t> </w:t>
      </w:r>
      <w:r>
        <w:rPr>
          <w:w w:val="105"/>
        </w:rPr>
        <w:t>positions.</w:t>
      </w:r>
      <w:r>
        <w:rPr>
          <w:spacing w:val="-6"/>
          <w:w w:val="105"/>
        </w:rPr>
        <w:t> </w:t>
      </w:r>
      <w:r>
        <w:rPr>
          <w:w w:val="105"/>
        </w:rPr>
        <w:t>Before</w:t>
      </w:r>
      <w:r>
        <w:rPr>
          <w:spacing w:val="-6"/>
          <w:w w:val="105"/>
        </w:rPr>
        <w:t> </w:t>
      </w:r>
      <w:r>
        <w:rPr>
          <w:w w:val="105"/>
        </w:rPr>
        <w:t>Cornell,</w:t>
      </w:r>
      <w:r>
        <w:rPr>
          <w:spacing w:val="-6"/>
          <w:w w:val="105"/>
        </w:rPr>
        <w:t> </w:t>
      </w:r>
      <w:r>
        <w:rPr>
          <w:w w:val="105"/>
        </w:rPr>
        <w:t>Dr.</w:t>
      </w:r>
      <w:r>
        <w:rPr>
          <w:spacing w:val="-6"/>
          <w:w w:val="105"/>
        </w:rPr>
        <w:t> </w:t>
      </w:r>
      <w:r>
        <w:rPr>
          <w:w w:val="105"/>
        </w:rPr>
        <w:t>Huttenlocher</w:t>
      </w:r>
      <w:r>
        <w:rPr>
          <w:spacing w:val="-6"/>
          <w:w w:val="105"/>
        </w:rPr>
        <w:t> </w:t>
      </w:r>
      <w:r>
        <w:rPr>
          <w:w w:val="105"/>
        </w:rPr>
        <w:t>worked</w:t>
      </w:r>
      <w:r>
        <w:rPr>
          <w:spacing w:val="-6"/>
          <w:w w:val="105"/>
        </w:rPr>
        <w:t> </w:t>
      </w:r>
      <w:r>
        <w:rPr>
          <w:w w:val="105"/>
        </w:rPr>
        <w:t>at</w:t>
      </w:r>
      <w:r>
        <w:rPr>
          <w:spacing w:val="-6"/>
          <w:w w:val="105"/>
        </w:rPr>
        <w:t> </w:t>
      </w:r>
      <w:r>
        <w:rPr>
          <w:w w:val="105"/>
        </w:rPr>
        <w:t>Xerox</w:t>
      </w:r>
      <w:r>
        <w:rPr>
          <w:spacing w:val="-6"/>
          <w:w w:val="105"/>
        </w:rPr>
        <w:t> </w:t>
      </w:r>
      <w:r>
        <w:rPr>
          <w:w w:val="105"/>
        </w:rPr>
        <w:t>Palo</w:t>
      </w:r>
      <w:r>
        <w:rPr>
          <w:spacing w:val="-6"/>
          <w:w w:val="105"/>
        </w:rPr>
        <w:t> </w:t>
      </w:r>
      <w:r>
        <w:rPr>
          <w:w w:val="105"/>
        </w:rPr>
        <w:t>Alto</w:t>
      </w:r>
      <w:r>
        <w:rPr>
          <w:spacing w:val="-6"/>
          <w:w w:val="105"/>
        </w:rPr>
        <w:t> </w:t>
      </w:r>
      <w:r>
        <w:rPr>
          <w:w w:val="105"/>
        </w:rPr>
        <w:t>Research</w:t>
      </w:r>
      <w:r>
        <w:rPr>
          <w:spacing w:val="-6"/>
          <w:w w:val="105"/>
        </w:rPr>
        <w:t> </w:t>
      </w:r>
      <w:r>
        <w:rPr>
          <w:w w:val="105"/>
        </w:rPr>
        <w:t>Center</w:t>
      </w:r>
      <w:r>
        <w:rPr>
          <w:spacing w:val="-6"/>
          <w:w w:val="105"/>
        </w:rPr>
        <w:t> </w:t>
      </w:r>
      <w:r>
        <w:rPr>
          <w:w w:val="105"/>
        </w:rPr>
        <w:t>and was Chief Technology Officer at Intelligent Markets, Inc. Mr. Huttenlocher joined Corning’s Board in 2015. Age 63.</w:t>
      </w:r>
    </w:p>
    <w:p>
      <w:pPr>
        <w:pStyle w:val="BodyText"/>
        <w:spacing w:before="19"/>
      </w:pPr>
    </w:p>
    <w:p>
      <w:pPr>
        <w:spacing w:before="0"/>
        <w:ind w:left="156" w:right="0" w:firstLine="0"/>
        <w:jc w:val="left"/>
        <w:rPr>
          <w:i/>
          <w:sz w:val="16"/>
        </w:rPr>
      </w:pPr>
      <w:r>
        <w:rPr>
          <w:w w:val="105"/>
          <w:sz w:val="16"/>
        </w:rPr>
        <w:t>Kurt</w:t>
      </w:r>
      <w:r>
        <w:rPr>
          <w:spacing w:val="-12"/>
          <w:w w:val="105"/>
          <w:sz w:val="16"/>
        </w:rPr>
        <w:t> </w:t>
      </w:r>
      <w:r>
        <w:rPr>
          <w:w w:val="105"/>
          <w:sz w:val="16"/>
        </w:rPr>
        <w:t>M.</w:t>
      </w:r>
      <w:r>
        <w:rPr>
          <w:spacing w:val="-9"/>
          <w:w w:val="105"/>
          <w:sz w:val="16"/>
        </w:rPr>
        <w:t> </w:t>
      </w:r>
      <w:r>
        <w:rPr>
          <w:w w:val="105"/>
          <w:sz w:val="16"/>
        </w:rPr>
        <w:t>Landgraf</w:t>
      </w:r>
      <w:r>
        <w:rPr>
          <w:spacing w:val="24"/>
          <w:w w:val="105"/>
          <w:sz w:val="16"/>
        </w:rPr>
        <w:t> </w:t>
      </w:r>
      <w:r>
        <w:rPr>
          <w:i/>
          <w:w w:val="105"/>
          <w:sz w:val="16"/>
        </w:rPr>
        <w:t>Retired</w:t>
      </w:r>
      <w:r>
        <w:rPr>
          <w:i/>
          <w:spacing w:val="-10"/>
          <w:w w:val="105"/>
          <w:sz w:val="16"/>
        </w:rPr>
        <w:t> </w:t>
      </w:r>
      <w:r>
        <w:rPr>
          <w:i/>
          <w:w w:val="105"/>
          <w:sz w:val="16"/>
        </w:rPr>
        <w:t>President,</w:t>
      </w:r>
      <w:r>
        <w:rPr>
          <w:i/>
          <w:spacing w:val="-9"/>
          <w:w w:val="105"/>
          <w:sz w:val="16"/>
        </w:rPr>
        <w:t> </w:t>
      </w:r>
      <w:r>
        <w:rPr>
          <w:i/>
          <w:w w:val="105"/>
          <w:sz w:val="16"/>
        </w:rPr>
        <w:t>Washington</w:t>
      </w:r>
      <w:r>
        <w:rPr>
          <w:i/>
          <w:spacing w:val="-9"/>
          <w:w w:val="105"/>
          <w:sz w:val="16"/>
        </w:rPr>
        <w:t> </w:t>
      </w:r>
      <w:r>
        <w:rPr>
          <w:i/>
          <w:spacing w:val="-2"/>
          <w:w w:val="105"/>
          <w:sz w:val="16"/>
        </w:rPr>
        <w:t>College</w:t>
      </w:r>
    </w:p>
    <w:p>
      <w:pPr>
        <w:pStyle w:val="BodyText"/>
        <w:spacing w:line="266" w:lineRule="auto" w:before="20"/>
        <w:ind w:left="156"/>
      </w:pPr>
      <w:r>
        <w:rPr>
          <w:w w:val="105"/>
        </w:rPr>
        <w:t>From</w:t>
      </w:r>
      <w:r>
        <w:rPr>
          <w:spacing w:val="-2"/>
          <w:w w:val="105"/>
        </w:rPr>
        <w:t> </w:t>
      </w:r>
      <w:r>
        <w:rPr>
          <w:w w:val="105"/>
        </w:rPr>
        <w:t>July</w:t>
      </w:r>
      <w:r>
        <w:rPr>
          <w:spacing w:val="-2"/>
          <w:w w:val="105"/>
        </w:rPr>
        <w:t> </w:t>
      </w:r>
      <w:r>
        <w:rPr>
          <w:w w:val="105"/>
        </w:rPr>
        <w:t>2017</w:t>
      </w:r>
      <w:r>
        <w:rPr>
          <w:spacing w:val="-2"/>
          <w:w w:val="105"/>
        </w:rPr>
        <w:t> </w:t>
      </w:r>
      <w:r>
        <w:rPr>
          <w:w w:val="105"/>
        </w:rPr>
        <w:t>to</w:t>
      </w:r>
      <w:r>
        <w:rPr>
          <w:spacing w:val="-2"/>
          <w:w w:val="105"/>
        </w:rPr>
        <w:t> </w:t>
      </w:r>
      <w:r>
        <w:rPr>
          <w:w w:val="105"/>
        </w:rPr>
        <w:t>July</w:t>
      </w:r>
      <w:r>
        <w:rPr>
          <w:spacing w:val="-2"/>
          <w:w w:val="105"/>
        </w:rPr>
        <w:t> </w:t>
      </w:r>
      <w:r>
        <w:rPr>
          <w:w w:val="105"/>
        </w:rPr>
        <w:t>2020,</w:t>
      </w:r>
      <w:r>
        <w:rPr>
          <w:spacing w:val="-2"/>
          <w:w w:val="105"/>
        </w:rPr>
        <w:t> </w:t>
      </w:r>
      <w:r>
        <w:rPr>
          <w:w w:val="105"/>
        </w:rPr>
        <w:t>Mr.</w:t>
      </w:r>
      <w:r>
        <w:rPr>
          <w:spacing w:val="-2"/>
          <w:w w:val="105"/>
        </w:rPr>
        <w:t> </w:t>
      </w:r>
      <w:r>
        <w:rPr>
          <w:w w:val="105"/>
        </w:rPr>
        <w:t>Landgraf</w:t>
      </w:r>
      <w:r>
        <w:rPr>
          <w:spacing w:val="-2"/>
          <w:w w:val="105"/>
        </w:rPr>
        <w:t> </w:t>
      </w:r>
      <w:r>
        <w:rPr>
          <w:w w:val="105"/>
        </w:rPr>
        <w:t>was</w:t>
      </w:r>
      <w:r>
        <w:rPr>
          <w:spacing w:val="-2"/>
          <w:w w:val="105"/>
        </w:rPr>
        <w:t> </w:t>
      </w:r>
      <w:r>
        <w:rPr>
          <w:w w:val="105"/>
        </w:rPr>
        <w:t>president</w:t>
      </w:r>
      <w:r>
        <w:rPr>
          <w:spacing w:val="-2"/>
          <w:w w:val="105"/>
        </w:rPr>
        <w:t> </w:t>
      </w:r>
      <w:r>
        <w:rPr>
          <w:w w:val="105"/>
        </w:rPr>
        <w:t>of</w:t>
      </w:r>
      <w:r>
        <w:rPr>
          <w:spacing w:val="-2"/>
          <w:w w:val="105"/>
        </w:rPr>
        <w:t> </w:t>
      </w:r>
      <w:r>
        <w:rPr>
          <w:w w:val="105"/>
        </w:rPr>
        <w:t>Washington</w:t>
      </w:r>
      <w:r>
        <w:rPr>
          <w:spacing w:val="-2"/>
          <w:w w:val="105"/>
        </w:rPr>
        <w:t> </w:t>
      </w:r>
      <w:r>
        <w:rPr>
          <w:w w:val="105"/>
        </w:rPr>
        <w:t>College.</w:t>
      </w:r>
      <w:r>
        <w:rPr>
          <w:spacing w:val="-2"/>
          <w:w w:val="105"/>
        </w:rPr>
        <w:t> </w:t>
      </w:r>
      <w:r>
        <w:rPr>
          <w:w w:val="105"/>
        </w:rPr>
        <w:t>He</w:t>
      </w:r>
      <w:r>
        <w:rPr>
          <w:spacing w:val="-2"/>
          <w:w w:val="105"/>
        </w:rPr>
        <w:t> </w:t>
      </w:r>
      <w:r>
        <w:rPr>
          <w:w w:val="105"/>
        </w:rPr>
        <w:t>previously</w:t>
      </w:r>
      <w:r>
        <w:rPr>
          <w:spacing w:val="-2"/>
          <w:w w:val="105"/>
        </w:rPr>
        <w:t> </w:t>
      </w:r>
      <w:r>
        <w:rPr>
          <w:w w:val="105"/>
        </w:rPr>
        <w:t>served</w:t>
      </w:r>
      <w:r>
        <w:rPr>
          <w:spacing w:val="-2"/>
          <w:w w:val="105"/>
        </w:rPr>
        <w:t> </w:t>
      </w:r>
      <w:r>
        <w:rPr>
          <w:w w:val="105"/>
        </w:rPr>
        <w:t>as</w:t>
      </w:r>
      <w:r>
        <w:rPr>
          <w:spacing w:val="-2"/>
          <w:w w:val="105"/>
        </w:rPr>
        <w:t> </w:t>
      </w:r>
      <w:r>
        <w:rPr>
          <w:w w:val="105"/>
        </w:rPr>
        <w:t>president</w:t>
      </w:r>
      <w:r>
        <w:rPr>
          <w:spacing w:val="-2"/>
          <w:w w:val="105"/>
        </w:rPr>
        <w:t> </w:t>
      </w:r>
      <w:r>
        <w:rPr>
          <w:w w:val="105"/>
        </w:rPr>
        <w:t>and</w:t>
      </w:r>
      <w:r>
        <w:rPr>
          <w:spacing w:val="-2"/>
          <w:w w:val="105"/>
        </w:rPr>
        <w:t> </w:t>
      </w:r>
      <w:r>
        <w:rPr>
          <w:w w:val="105"/>
        </w:rPr>
        <w:t>chief</w:t>
      </w:r>
      <w:r>
        <w:rPr>
          <w:spacing w:val="-2"/>
          <w:w w:val="105"/>
        </w:rPr>
        <w:t> </w:t>
      </w:r>
      <w:r>
        <w:rPr>
          <w:w w:val="105"/>
        </w:rPr>
        <w:t>executive</w:t>
      </w:r>
      <w:r>
        <w:rPr>
          <w:spacing w:val="-2"/>
          <w:w w:val="105"/>
        </w:rPr>
        <w:t> </w:t>
      </w:r>
      <w:r>
        <w:rPr>
          <w:w w:val="105"/>
        </w:rPr>
        <w:t>officer</w:t>
      </w:r>
      <w:r>
        <w:rPr>
          <w:spacing w:val="-2"/>
          <w:w w:val="105"/>
        </w:rPr>
        <w:t> </w:t>
      </w:r>
      <w:r>
        <w:rPr>
          <w:w w:val="105"/>
        </w:rPr>
        <w:t>of</w:t>
      </w:r>
      <w:r>
        <w:rPr>
          <w:spacing w:val="-2"/>
          <w:w w:val="105"/>
        </w:rPr>
        <w:t> </w:t>
      </w:r>
      <w:r>
        <w:rPr>
          <w:w w:val="105"/>
        </w:rPr>
        <w:t>Educational</w:t>
      </w:r>
      <w:r>
        <w:rPr>
          <w:spacing w:val="-2"/>
          <w:w w:val="105"/>
        </w:rPr>
        <w:t> </w:t>
      </w:r>
      <w:r>
        <w:rPr>
          <w:w w:val="105"/>
        </w:rPr>
        <w:t>Testing Service</w:t>
      </w:r>
      <w:r>
        <w:rPr>
          <w:spacing w:val="-8"/>
          <w:w w:val="105"/>
        </w:rPr>
        <w:t> </w:t>
      </w:r>
      <w:r>
        <w:rPr>
          <w:w w:val="105"/>
        </w:rPr>
        <w:t>(ETS),</w:t>
      </w:r>
      <w:r>
        <w:rPr>
          <w:spacing w:val="-8"/>
          <w:w w:val="105"/>
        </w:rPr>
        <w:t> </w:t>
      </w:r>
      <w:r>
        <w:rPr>
          <w:w w:val="105"/>
        </w:rPr>
        <w:t>a</w:t>
      </w:r>
      <w:r>
        <w:rPr>
          <w:spacing w:val="-8"/>
          <w:w w:val="105"/>
        </w:rPr>
        <w:t> </w:t>
      </w:r>
      <w:r>
        <w:rPr>
          <w:w w:val="105"/>
        </w:rPr>
        <w:t>private</w:t>
      </w:r>
      <w:r>
        <w:rPr>
          <w:spacing w:val="-8"/>
          <w:w w:val="105"/>
        </w:rPr>
        <w:t> </w:t>
      </w:r>
      <w:r>
        <w:rPr>
          <w:w w:val="105"/>
        </w:rPr>
        <w:t>non-profit</w:t>
      </w:r>
      <w:r>
        <w:rPr>
          <w:spacing w:val="-8"/>
          <w:w w:val="105"/>
        </w:rPr>
        <w:t> </w:t>
      </w:r>
      <w:r>
        <w:rPr>
          <w:w w:val="105"/>
        </w:rPr>
        <w:t>educational</w:t>
      </w:r>
      <w:r>
        <w:rPr>
          <w:spacing w:val="-8"/>
          <w:w w:val="105"/>
        </w:rPr>
        <w:t> </w:t>
      </w:r>
      <w:r>
        <w:rPr>
          <w:w w:val="105"/>
        </w:rPr>
        <w:t>testing</w:t>
      </w:r>
      <w:r>
        <w:rPr>
          <w:spacing w:val="-8"/>
          <w:w w:val="105"/>
        </w:rPr>
        <w:t> </w:t>
      </w:r>
      <w:r>
        <w:rPr>
          <w:w w:val="105"/>
        </w:rPr>
        <w:t>and</w:t>
      </w:r>
      <w:r>
        <w:rPr>
          <w:spacing w:val="-8"/>
          <w:w w:val="105"/>
        </w:rPr>
        <w:t> </w:t>
      </w:r>
      <w:r>
        <w:rPr>
          <w:w w:val="105"/>
        </w:rPr>
        <w:t>measurement</w:t>
      </w:r>
      <w:r>
        <w:rPr>
          <w:spacing w:val="-8"/>
          <w:w w:val="105"/>
        </w:rPr>
        <w:t> </w:t>
      </w:r>
      <w:r>
        <w:rPr>
          <w:w w:val="105"/>
        </w:rPr>
        <w:t>organization,</w:t>
      </w:r>
      <w:r>
        <w:rPr>
          <w:spacing w:val="-8"/>
          <w:w w:val="105"/>
        </w:rPr>
        <w:t> </w:t>
      </w:r>
      <w:r>
        <w:rPr>
          <w:w w:val="105"/>
        </w:rPr>
        <w:t>from</w:t>
      </w:r>
      <w:r>
        <w:rPr>
          <w:spacing w:val="-8"/>
          <w:w w:val="105"/>
        </w:rPr>
        <w:t> </w:t>
      </w:r>
      <w:r>
        <w:rPr>
          <w:w w:val="105"/>
        </w:rPr>
        <w:t>2000</w:t>
      </w:r>
      <w:r>
        <w:rPr>
          <w:spacing w:val="-8"/>
          <w:w w:val="105"/>
        </w:rPr>
        <w:t> </w:t>
      </w:r>
      <w:r>
        <w:rPr>
          <w:w w:val="105"/>
        </w:rPr>
        <w:t>until</w:t>
      </w:r>
      <w:r>
        <w:rPr>
          <w:spacing w:val="-8"/>
          <w:w w:val="105"/>
        </w:rPr>
        <w:t> </w:t>
      </w:r>
      <w:r>
        <w:rPr>
          <w:w w:val="105"/>
        </w:rPr>
        <w:t>his</w:t>
      </w:r>
      <w:r>
        <w:rPr>
          <w:spacing w:val="-8"/>
          <w:w w:val="105"/>
        </w:rPr>
        <w:t> </w:t>
      </w:r>
      <w:r>
        <w:rPr>
          <w:w w:val="105"/>
        </w:rPr>
        <w:t>retirement</w:t>
      </w:r>
      <w:r>
        <w:rPr>
          <w:spacing w:val="-8"/>
          <w:w w:val="105"/>
        </w:rPr>
        <w:t> </w:t>
      </w:r>
      <w:r>
        <w:rPr>
          <w:w w:val="105"/>
        </w:rPr>
        <w:t>in</w:t>
      </w:r>
      <w:r>
        <w:rPr>
          <w:spacing w:val="-8"/>
          <w:w w:val="105"/>
        </w:rPr>
        <w:t> </w:t>
      </w:r>
      <w:r>
        <w:rPr>
          <w:w w:val="105"/>
        </w:rPr>
        <w:t>December</w:t>
      </w:r>
      <w:r>
        <w:rPr>
          <w:spacing w:val="-8"/>
          <w:w w:val="105"/>
        </w:rPr>
        <w:t> </w:t>
      </w:r>
      <w:r>
        <w:rPr>
          <w:w w:val="105"/>
        </w:rPr>
        <w:t>2013.</w:t>
      </w:r>
      <w:r>
        <w:rPr>
          <w:spacing w:val="-8"/>
          <w:w w:val="105"/>
        </w:rPr>
        <w:t> </w:t>
      </w:r>
      <w:r>
        <w:rPr>
          <w:w w:val="105"/>
        </w:rPr>
        <w:t>Prior</w:t>
      </w:r>
      <w:r>
        <w:rPr>
          <w:spacing w:val="-8"/>
          <w:w w:val="105"/>
        </w:rPr>
        <w:t> </w:t>
      </w:r>
      <w:r>
        <w:rPr>
          <w:w w:val="105"/>
        </w:rPr>
        <w:t>to</w:t>
      </w:r>
      <w:r>
        <w:rPr>
          <w:spacing w:val="-8"/>
          <w:w w:val="105"/>
        </w:rPr>
        <w:t> </w:t>
      </w:r>
      <w:r>
        <w:rPr>
          <w:w w:val="105"/>
        </w:rPr>
        <w:t>that,</w:t>
      </w:r>
      <w:r>
        <w:rPr>
          <w:spacing w:val="-8"/>
          <w:w w:val="105"/>
        </w:rPr>
        <w:t> </w:t>
      </w:r>
      <w:r>
        <w:rPr>
          <w:w w:val="105"/>
        </w:rPr>
        <w:t>he</w:t>
      </w:r>
      <w:r>
        <w:rPr>
          <w:spacing w:val="-8"/>
          <w:w w:val="105"/>
        </w:rPr>
        <w:t> </w:t>
      </w:r>
      <w:r>
        <w:rPr>
          <w:w w:val="105"/>
        </w:rPr>
        <w:t>was</w:t>
      </w:r>
      <w:r>
        <w:rPr>
          <w:spacing w:val="-8"/>
          <w:w w:val="105"/>
        </w:rPr>
        <w:t> </w:t>
      </w:r>
      <w:r>
        <w:rPr>
          <w:w w:val="105"/>
        </w:rPr>
        <w:t>executive</w:t>
      </w:r>
      <w:r>
        <w:rPr>
          <w:spacing w:val="-8"/>
          <w:w w:val="105"/>
        </w:rPr>
        <w:t> </w:t>
      </w:r>
      <w:r>
        <w:rPr>
          <w:w w:val="105"/>
        </w:rPr>
        <w:t>vice president</w:t>
      </w:r>
      <w:r>
        <w:rPr>
          <w:spacing w:val="-8"/>
          <w:w w:val="105"/>
        </w:rPr>
        <w:t> </w:t>
      </w:r>
      <w:r>
        <w:rPr>
          <w:w w:val="105"/>
        </w:rPr>
        <w:t>and</w:t>
      </w:r>
      <w:r>
        <w:rPr>
          <w:spacing w:val="-8"/>
          <w:w w:val="105"/>
        </w:rPr>
        <w:t> </w:t>
      </w:r>
      <w:r>
        <w:rPr>
          <w:w w:val="105"/>
        </w:rPr>
        <w:t>chief</w:t>
      </w:r>
      <w:r>
        <w:rPr>
          <w:spacing w:val="-8"/>
          <w:w w:val="105"/>
        </w:rPr>
        <w:t> </w:t>
      </w:r>
      <w:r>
        <w:rPr>
          <w:w w:val="105"/>
        </w:rPr>
        <w:t>operating</w:t>
      </w:r>
      <w:r>
        <w:rPr>
          <w:spacing w:val="-8"/>
          <w:w w:val="105"/>
        </w:rPr>
        <w:t> </w:t>
      </w:r>
      <w:r>
        <w:rPr>
          <w:w w:val="105"/>
        </w:rPr>
        <w:t>officer</w:t>
      </w:r>
      <w:r>
        <w:rPr>
          <w:spacing w:val="-8"/>
          <w:w w:val="105"/>
        </w:rPr>
        <w:t> </w:t>
      </w:r>
      <w:r>
        <w:rPr>
          <w:w w:val="105"/>
        </w:rPr>
        <w:t>of</w:t>
      </w:r>
      <w:r>
        <w:rPr>
          <w:spacing w:val="-8"/>
          <w:w w:val="105"/>
        </w:rPr>
        <w:t> </w:t>
      </w:r>
      <w:r>
        <w:rPr>
          <w:w w:val="105"/>
        </w:rPr>
        <w:t>E.I.</w:t>
      </w:r>
      <w:r>
        <w:rPr>
          <w:spacing w:val="-8"/>
          <w:w w:val="105"/>
        </w:rPr>
        <w:t> </w:t>
      </w:r>
      <w:r>
        <w:rPr>
          <w:w w:val="105"/>
        </w:rPr>
        <w:t>Du</w:t>
      </w:r>
      <w:r>
        <w:rPr>
          <w:spacing w:val="-8"/>
          <w:w w:val="105"/>
        </w:rPr>
        <w:t> </w:t>
      </w:r>
      <w:r>
        <w:rPr>
          <w:w w:val="105"/>
        </w:rPr>
        <w:t>Pont</w:t>
      </w:r>
      <w:r>
        <w:rPr>
          <w:spacing w:val="-8"/>
          <w:w w:val="105"/>
        </w:rPr>
        <w:t> </w:t>
      </w:r>
      <w:r>
        <w:rPr>
          <w:w w:val="105"/>
        </w:rPr>
        <w:t>de</w:t>
      </w:r>
      <w:r>
        <w:rPr>
          <w:spacing w:val="-8"/>
          <w:w w:val="105"/>
        </w:rPr>
        <w:t> </w:t>
      </w:r>
      <w:r>
        <w:rPr>
          <w:w w:val="105"/>
        </w:rPr>
        <w:t>Nemours</w:t>
      </w:r>
      <w:r>
        <w:rPr>
          <w:spacing w:val="-6"/>
          <w:w w:val="105"/>
        </w:rPr>
        <w:t> </w:t>
      </w:r>
      <w:r>
        <w:rPr>
          <w:w w:val="105"/>
        </w:rPr>
        <w:t>and</w:t>
      </w:r>
      <w:r>
        <w:rPr>
          <w:spacing w:val="-8"/>
          <w:w w:val="105"/>
        </w:rPr>
        <w:t> </w:t>
      </w:r>
      <w:r>
        <w:rPr>
          <w:w w:val="105"/>
        </w:rPr>
        <w:t>Company</w:t>
      </w:r>
      <w:r>
        <w:rPr>
          <w:spacing w:val="-8"/>
          <w:w w:val="105"/>
        </w:rPr>
        <w:t> </w:t>
      </w:r>
      <w:r>
        <w:rPr>
          <w:w w:val="105"/>
        </w:rPr>
        <w:t>(DuPont),</w:t>
      </w:r>
      <w:r>
        <w:rPr>
          <w:spacing w:val="-8"/>
          <w:w w:val="105"/>
        </w:rPr>
        <w:t> </w:t>
      </w:r>
      <w:r>
        <w:rPr>
          <w:w w:val="105"/>
        </w:rPr>
        <w:t>where</w:t>
      </w:r>
      <w:r>
        <w:rPr>
          <w:spacing w:val="-8"/>
          <w:w w:val="105"/>
        </w:rPr>
        <w:t> </w:t>
      </w:r>
      <w:r>
        <w:rPr>
          <w:w w:val="105"/>
        </w:rPr>
        <w:t>he</w:t>
      </w:r>
      <w:r>
        <w:rPr>
          <w:spacing w:val="-8"/>
          <w:w w:val="105"/>
        </w:rPr>
        <w:t> </w:t>
      </w:r>
      <w:r>
        <w:rPr>
          <w:w w:val="105"/>
        </w:rPr>
        <w:t>previously</w:t>
      </w:r>
      <w:r>
        <w:rPr>
          <w:spacing w:val="-8"/>
          <w:w w:val="105"/>
        </w:rPr>
        <w:t> </w:t>
      </w:r>
      <w:r>
        <w:rPr>
          <w:w w:val="105"/>
        </w:rPr>
        <w:t>held</w:t>
      </w:r>
      <w:r>
        <w:rPr>
          <w:spacing w:val="-8"/>
          <w:w w:val="105"/>
        </w:rPr>
        <w:t> </w:t>
      </w:r>
      <w:r>
        <w:rPr>
          <w:w w:val="105"/>
        </w:rPr>
        <w:t>a</w:t>
      </w:r>
      <w:r>
        <w:rPr>
          <w:spacing w:val="-8"/>
          <w:w w:val="105"/>
        </w:rPr>
        <w:t> </w:t>
      </w:r>
      <w:r>
        <w:rPr>
          <w:w w:val="105"/>
        </w:rPr>
        <w:t>number</w:t>
      </w:r>
      <w:r>
        <w:rPr>
          <w:spacing w:val="-8"/>
          <w:w w:val="105"/>
        </w:rPr>
        <w:t> </w:t>
      </w:r>
      <w:r>
        <w:rPr>
          <w:w w:val="105"/>
        </w:rPr>
        <w:t>of</w:t>
      </w:r>
      <w:r>
        <w:rPr>
          <w:spacing w:val="-8"/>
          <w:w w:val="105"/>
        </w:rPr>
        <w:t> </w:t>
      </w:r>
      <w:r>
        <w:rPr>
          <w:w w:val="105"/>
        </w:rPr>
        <w:t>senior</w:t>
      </w:r>
      <w:r>
        <w:rPr>
          <w:spacing w:val="-8"/>
          <w:w w:val="105"/>
        </w:rPr>
        <w:t> </w:t>
      </w:r>
      <w:r>
        <w:rPr>
          <w:w w:val="105"/>
        </w:rPr>
        <w:t>leadership</w:t>
      </w:r>
      <w:r>
        <w:rPr>
          <w:spacing w:val="-8"/>
          <w:w w:val="105"/>
        </w:rPr>
        <w:t> </w:t>
      </w:r>
      <w:r>
        <w:rPr>
          <w:w w:val="105"/>
        </w:rPr>
        <w:t>positions,</w:t>
      </w:r>
      <w:r>
        <w:rPr>
          <w:spacing w:val="-8"/>
          <w:w w:val="105"/>
        </w:rPr>
        <w:t> </w:t>
      </w:r>
      <w:r>
        <w:rPr>
          <w:w w:val="105"/>
        </w:rPr>
        <w:t>including</w:t>
      </w:r>
      <w:r>
        <w:rPr>
          <w:spacing w:val="-8"/>
          <w:w w:val="105"/>
        </w:rPr>
        <w:t> </w:t>
      </w:r>
      <w:r>
        <w:rPr>
          <w:w w:val="105"/>
        </w:rPr>
        <w:t>chief financial officer. Mr. Landgraf joined Corning’s Board in 2007. Age 75.</w:t>
      </w:r>
    </w:p>
    <w:p>
      <w:pPr>
        <w:pStyle w:val="BodyText"/>
        <w:spacing w:before="18"/>
      </w:pPr>
    </w:p>
    <w:p>
      <w:pPr>
        <w:spacing w:before="0"/>
        <w:ind w:left="156" w:right="0" w:firstLine="0"/>
        <w:jc w:val="left"/>
        <w:rPr>
          <w:i/>
          <w:sz w:val="16"/>
        </w:rPr>
      </w:pPr>
      <w:r>
        <w:rPr>
          <w:w w:val="105"/>
          <w:sz w:val="16"/>
        </w:rPr>
        <w:t>Kevin</w:t>
      </w:r>
      <w:r>
        <w:rPr>
          <w:spacing w:val="-8"/>
          <w:w w:val="105"/>
          <w:sz w:val="16"/>
        </w:rPr>
        <w:t> </w:t>
      </w:r>
      <w:r>
        <w:rPr>
          <w:w w:val="105"/>
          <w:sz w:val="16"/>
        </w:rPr>
        <w:t>J.</w:t>
      </w:r>
      <w:r>
        <w:rPr>
          <w:spacing w:val="-8"/>
          <w:w w:val="105"/>
          <w:sz w:val="16"/>
        </w:rPr>
        <w:t> </w:t>
      </w:r>
      <w:r>
        <w:rPr>
          <w:w w:val="105"/>
          <w:sz w:val="16"/>
        </w:rPr>
        <w:t>Martin</w:t>
      </w:r>
      <w:r>
        <w:rPr>
          <w:spacing w:val="27"/>
          <w:w w:val="105"/>
          <w:sz w:val="16"/>
        </w:rPr>
        <w:t> </w:t>
      </w:r>
      <w:r>
        <w:rPr>
          <w:i/>
          <w:w w:val="105"/>
          <w:sz w:val="16"/>
        </w:rPr>
        <w:t>Vice</w:t>
      </w:r>
      <w:r>
        <w:rPr>
          <w:i/>
          <w:spacing w:val="-8"/>
          <w:w w:val="105"/>
          <w:sz w:val="16"/>
        </w:rPr>
        <w:t> </w:t>
      </w:r>
      <w:r>
        <w:rPr>
          <w:i/>
          <w:w w:val="105"/>
          <w:sz w:val="16"/>
        </w:rPr>
        <w:t>President,</w:t>
      </w:r>
      <w:r>
        <w:rPr>
          <w:i/>
          <w:spacing w:val="-8"/>
          <w:w w:val="105"/>
          <w:sz w:val="16"/>
        </w:rPr>
        <w:t> </w:t>
      </w:r>
      <w:r>
        <w:rPr>
          <w:i/>
          <w:w w:val="105"/>
          <w:sz w:val="16"/>
        </w:rPr>
        <w:t>US</w:t>
      </w:r>
      <w:r>
        <w:rPr>
          <w:i/>
          <w:spacing w:val="-8"/>
          <w:w w:val="105"/>
          <w:sz w:val="16"/>
        </w:rPr>
        <w:t> </w:t>
      </w:r>
      <w:r>
        <w:rPr>
          <w:i/>
          <w:w w:val="105"/>
          <w:sz w:val="16"/>
        </w:rPr>
        <w:t>Public</w:t>
      </w:r>
      <w:r>
        <w:rPr>
          <w:i/>
          <w:spacing w:val="-8"/>
          <w:w w:val="105"/>
          <w:sz w:val="16"/>
        </w:rPr>
        <w:t> </w:t>
      </w:r>
      <w:r>
        <w:rPr>
          <w:i/>
          <w:w w:val="105"/>
          <w:sz w:val="16"/>
        </w:rPr>
        <w:t>Policy,</w:t>
      </w:r>
      <w:r>
        <w:rPr>
          <w:i/>
          <w:spacing w:val="-8"/>
          <w:w w:val="105"/>
          <w:sz w:val="16"/>
        </w:rPr>
        <w:t> </w:t>
      </w:r>
      <w:r>
        <w:rPr>
          <w:i/>
          <w:w w:val="105"/>
          <w:sz w:val="16"/>
        </w:rPr>
        <w:t>Meta</w:t>
      </w:r>
      <w:r>
        <w:rPr>
          <w:i/>
          <w:spacing w:val="-8"/>
          <w:w w:val="105"/>
          <w:sz w:val="16"/>
        </w:rPr>
        <w:t> </w:t>
      </w:r>
      <w:r>
        <w:rPr>
          <w:i/>
          <w:w w:val="105"/>
          <w:sz w:val="16"/>
        </w:rPr>
        <w:t>Platforms,</w:t>
      </w:r>
      <w:r>
        <w:rPr>
          <w:i/>
          <w:spacing w:val="-8"/>
          <w:w w:val="105"/>
          <w:sz w:val="16"/>
        </w:rPr>
        <w:t> </w:t>
      </w:r>
      <w:r>
        <w:rPr>
          <w:i/>
          <w:spacing w:val="-4"/>
          <w:w w:val="105"/>
          <w:sz w:val="16"/>
        </w:rPr>
        <w:t>Inc.</w:t>
      </w:r>
    </w:p>
    <w:p>
      <w:pPr>
        <w:pStyle w:val="BodyText"/>
        <w:spacing w:line="266" w:lineRule="auto" w:before="20"/>
        <w:ind w:left="156" w:right="328"/>
      </w:pPr>
      <w:r>
        <w:rPr>
          <w:w w:val="105"/>
        </w:rPr>
        <w:t>Mr.</w:t>
      </w:r>
      <w:r>
        <w:rPr>
          <w:spacing w:val="-7"/>
          <w:w w:val="105"/>
        </w:rPr>
        <w:t> </w:t>
      </w:r>
      <w:r>
        <w:rPr>
          <w:w w:val="105"/>
        </w:rPr>
        <w:t>Martin</w:t>
      </w:r>
      <w:r>
        <w:rPr>
          <w:spacing w:val="-7"/>
          <w:w w:val="105"/>
        </w:rPr>
        <w:t> </w:t>
      </w:r>
      <w:r>
        <w:rPr>
          <w:w w:val="105"/>
        </w:rPr>
        <w:t>is</w:t>
      </w:r>
      <w:r>
        <w:rPr>
          <w:spacing w:val="-7"/>
          <w:w w:val="105"/>
        </w:rPr>
        <w:t> </w:t>
      </w:r>
      <w:r>
        <w:rPr>
          <w:w w:val="105"/>
        </w:rPr>
        <w:t>Vice</w:t>
      </w:r>
      <w:r>
        <w:rPr>
          <w:spacing w:val="-7"/>
          <w:w w:val="105"/>
        </w:rPr>
        <w:t> </w:t>
      </w:r>
      <w:r>
        <w:rPr>
          <w:w w:val="105"/>
        </w:rPr>
        <w:t>President,</w:t>
      </w:r>
      <w:r>
        <w:rPr>
          <w:spacing w:val="-7"/>
          <w:w w:val="105"/>
        </w:rPr>
        <w:t> </w:t>
      </w:r>
      <w:r>
        <w:rPr>
          <w:w w:val="105"/>
        </w:rPr>
        <w:t>US</w:t>
      </w:r>
      <w:r>
        <w:rPr>
          <w:spacing w:val="-7"/>
          <w:w w:val="105"/>
        </w:rPr>
        <w:t> </w:t>
      </w:r>
      <w:r>
        <w:rPr>
          <w:w w:val="105"/>
        </w:rPr>
        <w:t>Public</w:t>
      </w:r>
      <w:r>
        <w:rPr>
          <w:spacing w:val="-7"/>
          <w:w w:val="105"/>
        </w:rPr>
        <w:t> </w:t>
      </w:r>
      <w:r>
        <w:rPr>
          <w:w w:val="105"/>
        </w:rPr>
        <w:t>Policy</w:t>
      </w:r>
      <w:r>
        <w:rPr>
          <w:spacing w:val="-7"/>
          <w:w w:val="105"/>
        </w:rPr>
        <w:t> </w:t>
      </w:r>
      <w:r>
        <w:rPr>
          <w:w w:val="105"/>
        </w:rPr>
        <w:t>at</w:t>
      </w:r>
      <w:r>
        <w:rPr>
          <w:spacing w:val="-7"/>
          <w:w w:val="105"/>
        </w:rPr>
        <w:t> </w:t>
      </w:r>
      <w:r>
        <w:rPr>
          <w:w w:val="105"/>
        </w:rPr>
        <w:t>Meta</w:t>
      </w:r>
      <w:r>
        <w:rPr>
          <w:spacing w:val="-7"/>
          <w:w w:val="105"/>
        </w:rPr>
        <w:t> </w:t>
      </w:r>
      <w:r>
        <w:rPr>
          <w:w w:val="105"/>
        </w:rPr>
        <w:t>Platforms,</w:t>
      </w:r>
      <w:r>
        <w:rPr>
          <w:spacing w:val="-7"/>
          <w:w w:val="105"/>
        </w:rPr>
        <w:t> </w:t>
      </w:r>
      <w:r>
        <w:rPr>
          <w:w w:val="105"/>
        </w:rPr>
        <w:t>Inc.</w:t>
      </w:r>
      <w:r>
        <w:rPr>
          <w:spacing w:val="-7"/>
          <w:w w:val="105"/>
        </w:rPr>
        <w:t> </w:t>
      </w:r>
      <w:r>
        <w:rPr>
          <w:w w:val="105"/>
        </w:rPr>
        <w:t>Prior</w:t>
      </w:r>
      <w:r>
        <w:rPr>
          <w:spacing w:val="-7"/>
          <w:w w:val="105"/>
        </w:rPr>
        <w:t> </w:t>
      </w:r>
      <w:r>
        <w:rPr>
          <w:w w:val="105"/>
        </w:rPr>
        <w:t>to</w:t>
      </w:r>
      <w:r>
        <w:rPr>
          <w:spacing w:val="-7"/>
          <w:w w:val="105"/>
        </w:rPr>
        <w:t> </w:t>
      </w:r>
      <w:r>
        <w:rPr>
          <w:w w:val="105"/>
        </w:rPr>
        <w:t>joining</w:t>
      </w:r>
      <w:r>
        <w:rPr>
          <w:spacing w:val="-7"/>
          <w:w w:val="105"/>
        </w:rPr>
        <w:t> </w:t>
      </w:r>
      <w:r>
        <w:rPr>
          <w:w w:val="105"/>
        </w:rPr>
        <w:t>Meta,</w:t>
      </w:r>
      <w:r>
        <w:rPr>
          <w:spacing w:val="-7"/>
          <w:w w:val="105"/>
        </w:rPr>
        <w:t> </w:t>
      </w:r>
      <w:r>
        <w:rPr>
          <w:w w:val="105"/>
        </w:rPr>
        <w:t>he</w:t>
      </w:r>
      <w:r>
        <w:rPr>
          <w:spacing w:val="-7"/>
          <w:w w:val="105"/>
        </w:rPr>
        <w:t> </w:t>
      </w:r>
      <w:r>
        <w:rPr>
          <w:w w:val="105"/>
        </w:rPr>
        <w:t>was</w:t>
      </w:r>
      <w:r>
        <w:rPr>
          <w:spacing w:val="-7"/>
          <w:w w:val="105"/>
        </w:rPr>
        <w:t> </w:t>
      </w:r>
      <w:r>
        <w:rPr>
          <w:w w:val="105"/>
        </w:rPr>
        <w:t>a</w:t>
      </w:r>
      <w:r>
        <w:rPr>
          <w:spacing w:val="-7"/>
          <w:w w:val="105"/>
        </w:rPr>
        <w:t> </w:t>
      </w:r>
      <w:r>
        <w:rPr>
          <w:w w:val="105"/>
        </w:rPr>
        <w:t>partner</w:t>
      </w:r>
      <w:r>
        <w:rPr>
          <w:spacing w:val="-7"/>
          <w:w w:val="105"/>
        </w:rPr>
        <w:t> </w:t>
      </w:r>
      <w:r>
        <w:rPr>
          <w:w w:val="105"/>
        </w:rPr>
        <w:t>and</w:t>
      </w:r>
      <w:r>
        <w:rPr>
          <w:spacing w:val="-7"/>
          <w:w w:val="105"/>
        </w:rPr>
        <w:t> </w:t>
      </w:r>
      <w:r>
        <w:rPr>
          <w:w w:val="105"/>
        </w:rPr>
        <w:t>co-chair</w:t>
      </w:r>
      <w:r>
        <w:rPr>
          <w:spacing w:val="-7"/>
          <w:w w:val="105"/>
        </w:rPr>
        <w:t> </w:t>
      </w:r>
      <w:r>
        <w:rPr>
          <w:w w:val="105"/>
        </w:rPr>
        <w:t>of</w:t>
      </w:r>
      <w:r>
        <w:rPr>
          <w:spacing w:val="-7"/>
          <w:w w:val="105"/>
        </w:rPr>
        <w:t> </w:t>
      </w:r>
      <w:r>
        <w:rPr>
          <w:w w:val="105"/>
        </w:rPr>
        <w:t>the</w:t>
      </w:r>
      <w:r>
        <w:rPr>
          <w:spacing w:val="-7"/>
          <w:w w:val="105"/>
        </w:rPr>
        <w:t> </w:t>
      </w:r>
      <w:r>
        <w:rPr>
          <w:w w:val="105"/>
        </w:rPr>
        <w:t>telecommunications</w:t>
      </w:r>
      <w:r>
        <w:rPr>
          <w:spacing w:val="-7"/>
          <w:w w:val="105"/>
        </w:rPr>
        <w:t> </w:t>
      </w:r>
      <w:r>
        <w:rPr>
          <w:w w:val="105"/>
        </w:rPr>
        <w:t>practice</w:t>
      </w:r>
      <w:r>
        <w:rPr>
          <w:spacing w:val="-7"/>
          <w:w w:val="105"/>
        </w:rPr>
        <w:t> </w:t>
      </w:r>
      <w:r>
        <w:rPr>
          <w:w w:val="105"/>
        </w:rPr>
        <w:t>at</w:t>
      </w:r>
      <w:r>
        <w:rPr>
          <w:spacing w:val="-7"/>
          <w:w w:val="105"/>
        </w:rPr>
        <w:t> </w:t>
      </w:r>
      <w:r>
        <w:rPr>
          <w:w w:val="105"/>
        </w:rPr>
        <w:t>Squire Patton</w:t>
      </w:r>
      <w:r>
        <w:rPr>
          <w:spacing w:val="-3"/>
          <w:w w:val="105"/>
        </w:rPr>
        <w:t> </w:t>
      </w:r>
      <w:r>
        <w:rPr>
          <w:w w:val="105"/>
        </w:rPr>
        <w:t>Boggs,</w:t>
      </w:r>
      <w:r>
        <w:rPr>
          <w:spacing w:val="-3"/>
          <w:w w:val="105"/>
        </w:rPr>
        <w:t> </w:t>
      </w:r>
      <w:r>
        <w:rPr>
          <w:w w:val="105"/>
        </w:rPr>
        <w:t>an</w:t>
      </w:r>
      <w:r>
        <w:rPr>
          <w:spacing w:val="-3"/>
          <w:w w:val="105"/>
        </w:rPr>
        <w:t> </w:t>
      </w:r>
      <w:r>
        <w:rPr>
          <w:w w:val="105"/>
        </w:rPr>
        <w:t>international</w:t>
      </w:r>
      <w:r>
        <w:rPr>
          <w:spacing w:val="-3"/>
          <w:w w:val="105"/>
        </w:rPr>
        <w:t> </w:t>
      </w:r>
      <w:r>
        <w:rPr>
          <w:w w:val="105"/>
        </w:rPr>
        <w:t>law</w:t>
      </w:r>
      <w:r>
        <w:rPr>
          <w:spacing w:val="-3"/>
          <w:w w:val="105"/>
        </w:rPr>
        <w:t> </w:t>
      </w:r>
      <w:r>
        <w:rPr>
          <w:w w:val="105"/>
        </w:rPr>
        <w:t>firm</w:t>
      </w:r>
      <w:r>
        <w:rPr>
          <w:spacing w:val="-3"/>
          <w:w w:val="105"/>
        </w:rPr>
        <w:t> </w:t>
      </w:r>
      <w:r>
        <w:rPr>
          <w:w w:val="105"/>
        </w:rPr>
        <w:t>(2009</w:t>
      </w:r>
      <w:r>
        <w:rPr>
          <w:spacing w:val="-3"/>
          <w:w w:val="105"/>
        </w:rPr>
        <w:t> </w:t>
      </w:r>
      <w:r>
        <w:rPr>
          <w:w w:val="105"/>
        </w:rPr>
        <w:t>to</w:t>
      </w:r>
      <w:r>
        <w:rPr>
          <w:spacing w:val="-3"/>
          <w:w w:val="105"/>
        </w:rPr>
        <w:t> </w:t>
      </w:r>
      <w:r>
        <w:rPr>
          <w:w w:val="105"/>
        </w:rPr>
        <w:t>2015).</w:t>
      </w:r>
      <w:r>
        <w:rPr>
          <w:spacing w:val="-3"/>
          <w:w w:val="105"/>
        </w:rPr>
        <w:t> </w:t>
      </w:r>
      <w:r>
        <w:rPr>
          <w:w w:val="105"/>
        </w:rPr>
        <w:t>From</w:t>
      </w:r>
      <w:r>
        <w:rPr>
          <w:spacing w:val="-3"/>
          <w:w w:val="105"/>
        </w:rPr>
        <w:t> </w:t>
      </w:r>
      <w:r>
        <w:rPr>
          <w:w w:val="105"/>
        </w:rPr>
        <w:t>March</w:t>
      </w:r>
      <w:r>
        <w:rPr>
          <w:spacing w:val="-3"/>
          <w:w w:val="105"/>
        </w:rPr>
        <w:t> </w:t>
      </w:r>
      <w:r>
        <w:rPr>
          <w:w w:val="105"/>
        </w:rPr>
        <w:t>2005</w:t>
      </w:r>
      <w:r>
        <w:rPr>
          <w:spacing w:val="-3"/>
          <w:w w:val="105"/>
        </w:rPr>
        <w:t> </w:t>
      </w:r>
      <w:r>
        <w:rPr>
          <w:w w:val="105"/>
        </w:rPr>
        <w:t>to</w:t>
      </w:r>
      <w:r>
        <w:rPr>
          <w:spacing w:val="-3"/>
          <w:w w:val="105"/>
        </w:rPr>
        <w:t> </w:t>
      </w:r>
      <w:r>
        <w:rPr>
          <w:w w:val="105"/>
        </w:rPr>
        <w:t>January</w:t>
      </w:r>
      <w:r>
        <w:rPr>
          <w:spacing w:val="-3"/>
          <w:w w:val="105"/>
        </w:rPr>
        <w:t> </w:t>
      </w:r>
      <w:r>
        <w:rPr>
          <w:w w:val="105"/>
        </w:rPr>
        <w:t>2009,</w:t>
      </w:r>
      <w:r>
        <w:rPr>
          <w:spacing w:val="-3"/>
          <w:w w:val="105"/>
        </w:rPr>
        <w:t> </w:t>
      </w:r>
      <w:r>
        <w:rPr>
          <w:w w:val="105"/>
        </w:rPr>
        <w:t>he</w:t>
      </w:r>
      <w:r>
        <w:rPr>
          <w:spacing w:val="-3"/>
          <w:w w:val="105"/>
        </w:rPr>
        <w:t> </w:t>
      </w:r>
      <w:r>
        <w:rPr>
          <w:w w:val="105"/>
        </w:rPr>
        <w:t>was</w:t>
      </w:r>
      <w:r>
        <w:rPr>
          <w:spacing w:val="-3"/>
          <w:w w:val="105"/>
        </w:rPr>
        <w:t> </w:t>
      </w:r>
      <w:r>
        <w:rPr>
          <w:w w:val="105"/>
        </w:rPr>
        <w:t>chairman</w:t>
      </w:r>
      <w:r>
        <w:rPr>
          <w:spacing w:val="-3"/>
          <w:w w:val="105"/>
        </w:rPr>
        <w:t> </w:t>
      </w:r>
      <w:r>
        <w:rPr>
          <w:w w:val="105"/>
        </w:rPr>
        <w:t>of</w:t>
      </w:r>
      <w:r>
        <w:rPr>
          <w:spacing w:val="-3"/>
          <w:w w:val="105"/>
        </w:rPr>
        <w:t> </w:t>
      </w:r>
      <w:r>
        <w:rPr>
          <w:w w:val="105"/>
        </w:rPr>
        <w:t>the</w:t>
      </w:r>
      <w:r>
        <w:rPr>
          <w:spacing w:val="-3"/>
          <w:w w:val="105"/>
        </w:rPr>
        <w:t> </w:t>
      </w:r>
      <w:r>
        <w:rPr>
          <w:w w:val="105"/>
        </w:rPr>
        <w:t>Federal</w:t>
      </w:r>
      <w:r>
        <w:rPr>
          <w:spacing w:val="-3"/>
          <w:w w:val="105"/>
        </w:rPr>
        <w:t> </w:t>
      </w:r>
      <w:r>
        <w:rPr>
          <w:w w:val="105"/>
        </w:rPr>
        <w:t>Communications</w:t>
      </w:r>
      <w:r>
        <w:rPr>
          <w:spacing w:val="-3"/>
          <w:w w:val="105"/>
        </w:rPr>
        <w:t> </w:t>
      </w:r>
      <w:r>
        <w:rPr>
          <w:w w:val="105"/>
        </w:rPr>
        <w:t>Commission</w:t>
      </w:r>
      <w:r>
        <w:rPr>
          <w:spacing w:val="-3"/>
          <w:w w:val="105"/>
        </w:rPr>
        <w:t> </w:t>
      </w:r>
      <w:r>
        <w:rPr>
          <w:w w:val="105"/>
        </w:rPr>
        <w:t>(FCC).</w:t>
      </w:r>
      <w:r>
        <w:rPr>
          <w:spacing w:val="-3"/>
          <w:w w:val="105"/>
        </w:rPr>
        <w:t> </w:t>
      </w:r>
      <w:r>
        <w:rPr>
          <w:w w:val="105"/>
        </w:rPr>
        <w:t>Mr. Martin joined Corning’s Board in 2013. Age 55.</w:t>
      </w:r>
    </w:p>
    <w:p>
      <w:pPr>
        <w:pStyle w:val="BodyText"/>
        <w:spacing w:before="18"/>
      </w:pPr>
    </w:p>
    <w:p>
      <w:pPr>
        <w:spacing w:before="0"/>
        <w:ind w:left="156" w:right="0" w:firstLine="0"/>
        <w:jc w:val="left"/>
        <w:rPr>
          <w:i/>
          <w:sz w:val="16"/>
        </w:rPr>
      </w:pPr>
      <w:r>
        <w:rPr>
          <w:w w:val="105"/>
          <w:sz w:val="16"/>
        </w:rPr>
        <w:t>Deborah</w:t>
      </w:r>
      <w:r>
        <w:rPr>
          <w:spacing w:val="-11"/>
          <w:w w:val="105"/>
          <w:sz w:val="16"/>
        </w:rPr>
        <w:t> </w:t>
      </w:r>
      <w:r>
        <w:rPr>
          <w:w w:val="105"/>
          <w:sz w:val="16"/>
        </w:rPr>
        <w:t>D.</w:t>
      </w:r>
      <w:r>
        <w:rPr>
          <w:spacing w:val="-10"/>
          <w:w w:val="105"/>
          <w:sz w:val="16"/>
        </w:rPr>
        <w:t> </w:t>
      </w:r>
      <w:r>
        <w:rPr>
          <w:w w:val="105"/>
          <w:sz w:val="16"/>
        </w:rPr>
        <w:t>Rieman</w:t>
      </w:r>
      <w:r>
        <w:rPr>
          <w:spacing w:val="15"/>
          <w:w w:val="105"/>
          <w:sz w:val="16"/>
        </w:rPr>
        <w:t> </w:t>
      </w:r>
      <w:r>
        <w:rPr>
          <w:i/>
          <w:w w:val="105"/>
          <w:sz w:val="16"/>
        </w:rPr>
        <w:t>Retired</w:t>
      </w:r>
      <w:r>
        <w:rPr>
          <w:i/>
          <w:spacing w:val="-10"/>
          <w:w w:val="105"/>
          <w:sz w:val="16"/>
        </w:rPr>
        <w:t> </w:t>
      </w:r>
      <w:r>
        <w:rPr>
          <w:i/>
          <w:w w:val="105"/>
          <w:sz w:val="16"/>
        </w:rPr>
        <w:t>Executive</w:t>
      </w:r>
      <w:r>
        <w:rPr>
          <w:i/>
          <w:spacing w:val="-11"/>
          <w:w w:val="105"/>
          <w:sz w:val="16"/>
        </w:rPr>
        <w:t> </w:t>
      </w:r>
      <w:r>
        <w:rPr>
          <w:i/>
          <w:w w:val="105"/>
          <w:sz w:val="16"/>
        </w:rPr>
        <w:t>Chairman,</w:t>
      </w:r>
      <w:r>
        <w:rPr>
          <w:i/>
          <w:spacing w:val="-10"/>
          <w:w w:val="105"/>
          <w:sz w:val="16"/>
        </w:rPr>
        <w:t> </w:t>
      </w:r>
      <w:r>
        <w:rPr>
          <w:i/>
          <w:w w:val="105"/>
          <w:sz w:val="16"/>
        </w:rPr>
        <w:t>Metamarkets</w:t>
      </w:r>
      <w:r>
        <w:rPr>
          <w:i/>
          <w:spacing w:val="-11"/>
          <w:w w:val="105"/>
          <w:sz w:val="16"/>
        </w:rPr>
        <w:t> </w:t>
      </w:r>
      <w:r>
        <w:rPr>
          <w:i/>
          <w:spacing w:val="-2"/>
          <w:w w:val="105"/>
          <w:sz w:val="16"/>
        </w:rPr>
        <w:t>Group</w:t>
      </w:r>
    </w:p>
    <w:p>
      <w:pPr>
        <w:pStyle w:val="BodyText"/>
        <w:spacing w:line="266" w:lineRule="auto" w:before="20"/>
        <w:ind w:left="156"/>
      </w:pPr>
      <w:r>
        <w:rPr>
          <w:w w:val="105"/>
        </w:rPr>
        <w:t>Dr.</w:t>
      </w:r>
      <w:r>
        <w:rPr>
          <w:spacing w:val="-8"/>
          <w:w w:val="105"/>
        </w:rPr>
        <w:t> </w:t>
      </w:r>
      <w:r>
        <w:rPr>
          <w:w w:val="105"/>
        </w:rPr>
        <w:t>Rieman</w:t>
      </w:r>
      <w:r>
        <w:rPr>
          <w:spacing w:val="-8"/>
          <w:w w:val="105"/>
        </w:rPr>
        <w:t> </w:t>
      </w:r>
      <w:r>
        <w:rPr>
          <w:w w:val="105"/>
        </w:rPr>
        <w:t>has</w:t>
      </w:r>
      <w:r>
        <w:rPr>
          <w:spacing w:val="-8"/>
          <w:w w:val="105"/>
        </w:rPr>
        <w:t> </w:t>
      </w:r>
      <w:r>
        <w:rPr>
          <w:w w:val="105"/>
        </w:rPr>
        <w:t>more</w:t>
      </w:r>
      <w:r>
        <w:rPr>
          <w:spacing w:val="-8"/>
          <w:w w:val="105"/>
        </w:rPr>
        <w:t> </w:t>
      </w:r>
      <w:r>
        <w:rPr>
          <w:w w:val="105"/>
        </w:rPr>
        <w:t>than</w:t>
      </w:r>
      <w:r>
        <w:rPr>
          <w:spacing w:val="-8"/>
          <w:w w:val="105"/>
        </w:rPr>
        <w:t> </w:t>
      </w:r>
      <w:r>
        <w:rPr>
          <w:w w:val="105"/>
        </w:rPr>
        <w:t>33</w:t>
      </w:r>
      <w:r>
        <w:rPr>
          <w:spacing w:val="-8"/>
          <w:w w:val="105"/>
        </w:rPr>
        <w:t> </w:t>
      </w:r>
      <w:r>
        <w:rPr>
          <w:w w:val="105"/>
        </w:rPr>
        <w:t>years</w:t>
      </w:r>
      <w:r>
        <w:rPr>
          <w:spacing w:val="-8"/>
          <w:w w:val="105"/>
        </w:rPr>
        <w:t> </w:t>
      </w:r>
      <w:r>
        <w:rPr>
          <w:w w:val="105"/>
        </w:rPr>
        <w:t>of</w:t>
      </w:r>
      <w:r>
        <w:rPr>
          <w:spacing w:val="-8"/>
          <w:w w:val="105"/>
        </w:rPr>
        <w:t> </w:t>
      </w:r>
      <w:r>
        <w:rPr>
          <w:w w:val="105"/>
        </w:rPr>
        <w:t>experience</w:t>
      </w:r>
      <w:r>
        <w:rPr>
          <w:spacing w:val="-8"/>
          <w:w w:val="105"/>
        </w:rPr>
        <w:t> </w:t>
      </w:r>
      <w:r>
        <w:rPr>
          <w:w w:val="105"/>
        </w:rPr>
        <w:t>in</w:t>
      </w:r>
      <w:r>
        <w:rPr>
          <w:spacing w:val="-8"/>
          <w:w w:val="105"/>
        </w:rPr>
        <w:t> </w:t>
      </w:r>
      <w:r>
        <w:rPr>
          <w:w w:val="105"/>
        </w:rPr>
        <w:t>the</w:t>
      </w:r>
      <w:r>
        <w:rPr>
          <w:spacing w:val="-8"/>
          <w:w w:val="105"/>
        </w:rPr>
        <w:t> </w:t>
      </w:r>
      <w:r>
        <w:rPr>
          <w:w w:val="105"/>
        </w:rPr>
        <w:t>software</w:t>
      </w:r>
      <w:r>
        <w:rPr>
          <w:spacing w:val="-8"/>
          <w:w w:val="105"/>
        </w:rPr>
        <w:t> </w:t>
      </w:r>
      <w:r>
        <w:rPr>
          <w:w w:val="105"/>
        </w:rPr>
        <w:t>industry.</w:t>
      </w:r>
      <w:r>
        <w:rPr>
          <w:spacing w:val="-8"/>
          <w:w w:val="105"/>
        </w:rPr>
        <w:t> </w:t>
      </w:r>
      <w:r>
        <w:rPr>
          <w:w w:val="105"/>
        </w:rPr>
        <w:t>In</w:t>
      </w:r>
      <w:r>
        <w:rPr>
          <w:spacing w:val="-8"/>
          <w:w w:val="105"/>
        </w:rPr>
        <w:t> </w:t>
      </w:r>
      <w:r>
        <w:rPr>
          <w:w w:val="105"/>
        </w:rPr>
        <w:t>2016,</w:t>
      </w:r>
      <w:r>
        <w:rPr>
          <w:spacing w:val="-8"/>
          <w:w w:val="105"/>
        </w:rPr>
        <w:t> </w:t>
      </w:r>
      <w:r>
        <w:rPr>
          <w:w w:val="105"/>
        </w:rPr>
        <w:t>she</w:t>
      </w:r>
      <w:r>
        <w:rPr>
          <w:spacing w:val="-8"/>
          <w:w w:val="105"/>
        </w:rPr>
        <w:t> </w:t>
      </w:r>
      <w:r>
        <w:rPr>
          <w:w w:val="105"/>
        </w:rPr>
        <w:t>retired</w:t>
      </w:r>
      <w:r>
        <w:rPr>
          <w:spacing w:val="-6"/>
          <w:w w:val="105"/>
        </w:rPr>
        <w:t> </w:t>
      </w:r>
      <w:r>
        <w:rPr>
          <w:w w:val="105"/>
        </w:rPr>
        <w:t>as</w:t>
      </w:r>
      <w:r>
        <w:rPr>
          <w:spacing w:val="-8"/>
          <w:w w:val="105"/>
        </w:rPr>
        <w:t> </w:t>
      </w:r>
      <w:r>
        <w:rPr>
          <w:w w:val="105"/>
        </w:rPr>
        <w:t>executive</w:t>
      </w:r>
      <w:r>
        <w:rPr>
          <w:spacing w:val="-8"/>
          <w:w w:val="105"/>
        </w:rPr>
        <w:t> </w:t>
      </w:r>
      <w:r>
        <w:rPr>
          <w:w w:val="105"/>
        </w:rPr>
        <w:t>chairman</w:t>
      </w:r>
      <w:r>
        <w:rPr>
          <w:spacing w:val="-8"/>
          <w:w w:val="105"/>
        </w:rPr>
        <w:t> </w:t>
      </w:r>
      <w:r>
        <w:rPr>
          <w:w w:val="105"/>
        </w:rPr>
        <w:t>of</w:t>
      </w:r>
      <w:r>
        <w:rPr>
          <w:spacing w:val="-8"/>
          <w:w w:val="105"/>
        </w:rPr>
        <w:t> </w:t>
      </w:r>
      <w:r>
        <w:rPr>
          <w:w w:val="105"/>
        </w:rPr>
        <w:t>Metamarkets</w:t>
      </w:r>
      <w:r>
        <w:rPr>
          <w:spacing w:val="-8"/>
          <w:w w:val="105"/>
        </w:rPr>
        <w:t> </w:t>
      </w:r>
      <w:r>
        <w:rPr>
          <w:w w:val="105"/>
        </w:rPr>
        <w:t>Group.</w:t>
      </w:r>
      <w:r>
        <w:rPr>
          <w:spacing w:val="-8"/>
          <w:w w:val="105"/>
        </w:rPr>
        <w:t> </w:t>
      </w:r>
      <w:r>
        <w:rPr>
          <w:w w:val="105"/>
        </w:rPr>
        <w:t>Previously,</w:t>
      </w:r>
      <w:r>
        <w:rPr>
          <w:spacing w:val="-8"/>
          <w:w w:val="105"/>
        </w:rPr>
        <w:t> </w:t>
      </w:r>
      <w:r>
        <w:rPr>
          <w:w w:val="105"/>
        </w:rPr>
        <w:t>she</w:t>
      </w:r>
      <w:r>
        <w:rPr>
          <w:spacing w:val="-8"/>
          <w:w w:val="105"/>
        </w:rPr>
        <w:t> </w:t>
      </w:r>
      <w:r>
        <w:rPr>
          <w:w w:val="105"/>
        </w:rPr>
        <w:t>was</w:t>
      </w:r>
      <w:r>
        <w:rPr>
          <w:spacing w:val="-6"/>
          <w:w w:val="105"/>
        </w:rPr>
        <w:t> </w:t>
      </w:r>
      <w:r>
        <w:rPr>
          <w:w w:val="105"/>
        </w:rPr>
        <w:t>managing director</w:t>
      </w:r>
      <w:r>
        <w:rPr>
          <w:spacing w:val="-1"/>
          <w:w w:val="105"/>
        </w:rPr>
        <w:t> </w:t>
      </w:r>
      <w:r>
        <w:rPr>
          <w:w w:val="105"/>
        </w:rPr>
        <w:t>of</w:t>
      </w:r>
      <w:r>
        <w:rPr>
          <w:spacing w:val="-1"/>
          <w:w w:val="105"/>
        </w:rPr>
        <w:t> </w:t>
      </w:r>
      <w:r>
        <w:rPr>
          <w:w w:val="105"/>
        </w:rPr>
        <w:t>Equus</w:t>
      </w:r>
      <w:r>
        <w:rPr>
          <w:spacing w:val="-1"/>
          <w:w w:val="105"/>
        </w:rPr>
        <w:t> </w:t>
      </w:r>
      <w:r>
        <w:rPr>
          <w:w w:val="105"/>
        </w:rPr>
        <w:t>Management</w:t>
      </w:r>
      <w:r>
        <w:rPr>
          <w:spacing w:val="-1"/>
          <w:w w:val="105"/>
        </w:rPr>
        <w:t> </w:t>
      </w:r>
      <w:r>
        <w:rPr>
          <w:w w:val="105"/>
        </w:rPr>
        <w:t>Company,</w:t>
      </w:r>
      <w:r>
        <w:rPr>
          <w:spacing w:val="-1"/>
          <w:w w:val="105"/>
        </w:rPr>
        <w:t> </w:t>
      </w:r>
      <w:r>
        <w:rPr>
          <w:w w:val="105"/>
        </w:rPr>
        <w:t>a</w:t>
      </w:r>
      <w:r>
        <w:rPr>
          <w:spacing w:val="-1"/>
          <w:w w:val="105"/>
        </w:rPr>
        <w:t> </w:t>
      </w:r>
      <w:r>
        <w:rPr>
          <w:w w:val="105"/>
        </w:rPr>
        <w:t>private</w:t>
      </w:r>
      <w:r>
        <w:rPr>
          <w:spacing w:val="-1"/>
          <w:w w:val="105"/>
        </w:rPr>
        <w:t> </w:t>
      </w:r>
      <w:r>
        <w:rPr>
          <w:w w:val="105"/>
        </w:rPr>
        <w:t>investment</w:t>
      </w:r>
      <w:r>
        <w:rPr>
          <w:spacing w:val="-1"/>
          <w:w w:val="105"/>
        </w:rPr>
        <w:t> </w:t>
      </w:r>
      <w:r>
        <w:rPr>
          <w:w w:val="105"/>
        </w:rPr>
        <w:t>fund.</w:t>
      </w:r>
      <w:r>
        <w:rPr>
          <w:spacing w:val="-1"/>
          <w:w w:val="105"/>
        </w:rPr>
        <w:t> </w:t>
      </w:r>
      <w:r>
        <w:rPr>
          <w:w w:val="105"/>
        </w:rPr>
        <w:t>From</w:t>
      </w:r>
      <w:r>
        <w:rPr>
          <w:spacing w:val="-1"/>
          <w:w w:val="105"/>
        </w:rPr>
        <w:t> </w:t>
      </w:r>
      <w:r>
        <w:rPr>
          <w:w w:val="105"/>
        </w:rPr>
        <w:t>1995</w:t>
      </w:r>
      <w:r>
        <w:rPr>
          <w:spacing w:val="-1"/>
          <w:w w:val="105"/>
        </w:rPr>
        <w:t> </w:t>
      </w:r>
      <w:r>
        <w:rPr>
          <w:w w:val="105"/>
        </w:rPr>
        <w:t>to</w:t>
      </w:r>
      <w:r>
        <w:rPr>
          <w:spacing w:val="-1"/>
          <w:w w:val="105"/>
        </w:rPr>
        <w:t> </w:t>
      </w:r>
      <w:r>
        <w:rPr>
          <w:w w:val="105"/>
        </w:rPr>
        <w:t>1999,</w:t>
      </w:r>
      <w:r>
        <w:rPr>
          <w:spacing w:val="-1"/>
          <w:w w:val="105"/>
        </w:rPr>
        <w:t> </w:t>
      </w:r>
      <w:r>
        <w:rPr>
          <w:w w:val="105"/>
        </w:rPr>
        <w:t>she</w:t>
      </w:r>
      <w:r>
        <w:rPr>
          <w:spacing w:val="-1"/>
          <w:w w:val="105"/>
        </w:rPr>
        <w:t> </w:t>
      </w:r>
      <w:r>
        <w:rPr>
          <w:w w:val="105"/>
        </w:rPr>
        <w:t>served</w:t>
      </w:r>
      <w:r>
        <w:rPr>
          <w:spacing w:val="-1"/>
          <w:w w:val="105"/>
        </w:rPr>
        <w:t> </w:t>
      </w:r>
      <w:r>
        <w:rPr>
          <w:w w:val="105"/>
        </w:rPr>
        <w:t>as</w:t>
      </w:r>
      <w:r>
        <w:rPr>
          <w:spacing w:val="-1"/>
          <w:w w:val="105"/>
        </w:rPr>
        <w:t> </w:t>
      </w:r>
      <w:r>
        <w:rPr>
          <w:w w:val="105"/>
        </w:rPr>
        <w:t>president</w:t>
      </w:r>
      <w:r>
        <w:rPr>
          <w:spacing w:val="-1"/>
          <w:w w:val="105"/>
        </w:rPr>
        <w:t> </w:t>
      </w:r>
      <w:r>
        <w:rPr>
          <w:w w:val="105"/>
        </w:rPr>
        <w:t>and</w:t>
      </w:r>
      <w:r>
        <w:rPr>
          <w:spacing w:val="-1"/>
          <w:w w:val="105"/>
        </w:rPr>
        <w:t> </w:t>
      </w:r>
      <w:r>
        <w:rPr>
          <w:w w:val="105"/>
        </w:rPr>
        <w:t>chief</w:t>
      </w:r>
      <w:r>
        <w:rPr>
          <w:spacing w:val="-1"/>
          <w:w w:val="105"/>
        </w:rPr>
        <w:t> </w:t>
      </w:r>
      <w:r>
        <w:rPr>
          <w:w w:val="105"/>
        </w:rPr>
        <w:t>executive</w:t>
      </w:r>
      <w:r>
        <w:rPr>
          <w:spacing w:val="-1"/>
          <w:w w:val="105"/>
        </w:rPr>
        <w:t> </w:t>
      </w:r>
      <w:r>
        <w:rPr>
          <w:w w:val="105"/>
        </w:rPr>
        <w:t>officer</w:t>
      </w:r>
      <w:r>
        <w:rPr>
          <w:spacing w:val="-1"/>
          <w:w w:val="105"/>
        </w:rPr>
        <w:t> </w:t>
      </w:r>
      <w:r>
        <w:rPr>
          <w:w w:val="105"/>
        </w:rPr>
        <w:t>of</w:t>
      </w:r>
      <w:r>
        <w:rPr>
          <w:spacing w:val="-1"/>
          <w:w w:val="105"/>
        </w:rPr>
        <w:t> </w:t>
      </w:r>
      <w:r>
        <w:rPr>
          <w:w w:val="105"/>
        </w:rPr>
        <w:t>Check</w:t>
      </w:r>
      <w:r>
        <w:rPr>
          <w:spacing w:val="-1"/>
          <w:w w:val="105"/>
        </w:rPr>
        <w:t> </w:t>
      </w:r>
      <w:r>
        <w:rPr>
          <w:w w:val="105"/>
        </w:rPr>
        <w:t>Point</w:t>
      </w:r>
      <w:r>
        <w:rPr>
          <w:spacing w:val="-1"/>
          <w:w w:val="105"/>
        </w:rPr>
        <w:t> </w:t>
      </w:r>
      <w:r>
        <w:rPr>
          <w:w w:val="105"/>
        </w:rPr>
        <w:t>Software Technologies, Incorporated. Dr. Rieman joined Corning’s Board in 1999. Age 72.</w:t>
      </w:r>
    </w:p>
    <w:p>
      <w:pPr>
        <w:pStyle w:val="BodyText"/>
        <w:spacing w:before="19"/>
      </w:pPr>
    </w:p>
    <w:p>
      <w:pPr>
        <w:spacing w:before="0"/>
        <w:ind w:left="156" w:right="0" w:firstLine="0"/>
        <w:jc w:val="left"/>
        <w:rPr>
          <w:i/>
          <w:sz w:val="16"/>
        </w:rPr>
      </w:pPr>
      <w:r>
        <w:rPr>
          <w:w w:val="105"/>
          <w:sz w:val="16"/>
        </w:rPr>
        <w:t>Hansel</w:t>
      </w:r>
      <w:r>
        <w:rPr>
          <w:spacing w:val="-10"/>
          <w:w w:val="105"/>
          <w:sz w:val="16"/>
        </w:rPr>
        <w:t> </w:t>
      </w:r>
      <w:r>
        <w:rPr>
          <w:w w:val="105"/>
          <w:sz w:val="16"/>
        </w:rPr>
        <w:t>E.</w:t>
      </w:r>
      <w:r>
        <w:rPr>
          <w:spacing w:val="-9"/>
          <w:w w:val="105"/>
          <w:sz w:val="16"/>
        </w:rPr>
        <w:t> </w:t>
      </w:r>
      <w:r>
        <w:rPr>
          <w:w w:val="105"/>
          <w:sz w:val="16"/>
        </w:rPr>
        <w:t>Tookes</w:t>
      </w:r>
      <w:r>
        <w:rPr>
          <w:spacing w:val="-9"/>
          <w:w w:val="105"/>
          <w:sz w:val="16"/>
        </w:rPr>
        <w:t> </w:t>
      </w:r>
      <w:r>
        <w:rPr>
          <w:w w:val="105"/>
          <w:sz w:val="16"/>
        </w:rPr>
        <w:t>II</w:t>
      </w:r>
      <w:r>
        <w:rPr>
          <w:spacing w:val="25"/>
          <w:w w:val="105"/>
          <w:sz w:val="16"/>
        </w:rPr>
        <w:t> </w:t>
      </w:r>
      <w:r>
        <w:rPr>
          <w:i/>
          <w:w w:val="105"/>
          <w:sz w:val="16"/>
        </w:rPr>
        <w:t>Retired</w:t>
      </w:r>
      <w:r>
        <w:rPr>
          <w:i/>
          <w:spacing w:val="-9"/>
          <w:w w:val="105"/>
          <w:sz w:val="16"/>
        </w:rPr>
        <w:t> </w:t>
      </w:r>
      <w:r>
        <w:rPr>
          <w:i/>
          <w:w w:val="105"/>
          <w:sz w:val="16"/>
        </w:rPr>
        <w:t>Chairman</w:t>
      </w:r>
      <w:r>
        <w:rPr>
          <w:i/>
          <w:spacing w:val="-9"/>
          <w:w w:val="105"/>
          <w:sz w:val="16"/>
        </w:rPr>
        <w:t> </w:t>
      </w:r>
      <w:r>
        <w:rPr>
          <w:i/>
          <w:w w:val="105"/>
          <w:sz w:val="16"/>
        </w:rPr>
        <w:t>and</w:t>
      </w:r>
      <w:r>
        <w:rPr>
          <w:i/>
          <w:spacing w:val="-9"/>
          <w:w w:val="105"/>
          <w:sz w:val="16"/>
        </w:rPr>
        <w:t> </w:t>
      </w:r>
      <w:r>
        <w:rPr>
          <w:i/>
          <w:w w:val="105"/>
          <w:sz w:val="16"/>
        </w:rPr>
        <w:t>Chief</w:t>
      </w:r>
      <w:r>
        <w:rPr>
          <w:i/>
          <w:spacing w:val="-9"/>
          <w:w w:val="105"/>
          <w:sz w:val="16"/>
        </w:rPr>
        <w:t> </w:t>
      </w:r>
      <w:r>
        <w:rPr>
          <w:i/>
          <w:w w:val="105"/>
          <w:sz w:val="16"/>
        </w:rPr>
        <w:t>Executive</w:t>
      </w:r>
      <w:r>
        <w:rPr>
          <w:i/>
          <w:spacing w:val="-9"/>
          <w:w w:val="105"/>
          <w:sz w:val="16"/>
        </w:rPr>
        <w:t> </w:t>
      </w:r>
      <w:r>
        <w:rPr>
          <w:i/>
          <w:w w:val="105"/>
          <w:sz w:val="16"/>
        </w:rPr>
        <w:t>Officer,</w:t>
      </w:r>
      <w:r>
        <w:rPr>
          <w:i/>
          <w:spacing w:val="-9"/>
          <w:w w:val="105"/>
          <w:sz w:val="16"/>
        </w:rPr>
        <w:t> </w:t>
      </w:r>
      <w:r>
        <w:rPr>
          <w:i/>
          <w:w w:val="105"/>
          <w:sz w:val="16"/>
        </w:rPr>
        <w:t>Raytheon</w:t>
      </w:r>
      <w:r>
        <w:rPr>
          <w:i/>
          <w:spacing w:val="-9"/>
          <w:w w:val="105"/>
          <w:sz w:val="16"/>
        </w:rPr>
        <w:t> </w:t>
      </w:r>
      <w:r>
        <w:rPr>
          <w:i/>
          <w:w w:val="105"/>
          <w:sz w:val="16"/>
        </w:rPr>
        <w:t>Aircraft</w:t>
      </w:r>
      <w:r>
        <w:rPr>
          <w:i/>
          <w:spacing w:val="-9"/>
          <w:w w:val="105"/>
          <w:sz w:val="16"/>
        </w:rPr>
        <w:t> </w:t>
      </w:r>
      <w:r>
        <w:rPr>
          <w:i/>
          <w:spacing w:val="-2"/>
          <w:w w:val="105"/>
          <w:sz w:val="16"/>
        </w:rPr>
        <w:t>Company</w:t>
      </w:r>
    </w:p>
    <w:p>
      <w:pPr>
        <w:pStyle w:val="BodyText"/>
        <w:spacing w:line="266" w:lineRule="auto" w:before="20"/>
        <w:ind w:left="156" w:right="328"/>
      </w:pPr>
      <w:r>
        <w:rPr>
          <w:w w:val="105"/>
        </w:rPr>
        <w:t>Mr.</w:t>
      </w:r>
      <w:r>
        <w:rPr>
          <w:spacing w:val="-1"/>
          <w:w w:val="105"/>
        </w:rPr>
        <w:t> </w:t>
      </w:r>
      <w:r>
        <w:rPr>
          <w:w w:val="105"/>
        </w:rPr>
        <w:t>Tookes</w:t>
      </w:r>
      <w:r>
        <w:rPr>
          <w:spacing w:val="-1"/>
          <w:w w:val="105"/>
        </w:rPr>
        <w:t> </w:t>
      </w:r>
      <w:r>
        <w:rPr>
          <w:w w:val="105"/>
        </w:rPr>
        <w:t>retired</w:t>
      </w:r>
      <w:r>
        <w:rPr>
          <w:spacing w:val="-1"/>
          <w:w w:val="105"/>
        </w:rPr>
        <w:t> </w:t>
      </w:r>
      <w:r>
        <w:rPr>
          <w:w w:val="105"/>
        </w:rPr>
        <w:t>from</w:t>
      </w:r>
      <w:r>
        <w:rPr>
          <w:spacing w:val="-1"/>
          <w:w w:val="105"/>
        </w:rPr>
        <w:t> </w:t>
      </w:r>
      <w:r>
        <w:rPr>
          <w:w w:val="105"/>
        </w:rPr>
        <w:t>Raytheon</w:t>
      </w:r>
      <w:r>
        <w:rPr>
          <w:spacing w:val="-1"/>
          <w:w w:val="105"/>
        </w:rPr>
        <w:t> </w:t>
      </w:r>
      <w:r>
        <w:rPr>
          <w:w w:val="105"/>
        </w:rPr>
        <w:t>Company</w:t>
      </w:r>
      <w:r>
        <w:rPr>
          <w:spacing w:val="-1"/>
          <w:w w:val="105"/>
        </w:rPr>
        <w:t> </w:t>
      </w:r>
      <w:r>
        <w:rPr>
          <w:w w:val="105"/>
        </w:rPr>
        <w:t>in</w:t>
      </w:r>
      <w:r>
        <w:rPr>
          <w:spacing w:val="-1"/>
          <w:w w:val="105"/>
        </w:rPr>
        <w:t> </w:t>
      </w:r>
      <w:r>
        <w:rPr>
          <w:w w:val="105"/>
        </w:rPr>
        <w:t>December</w:t>
      </w:r>
      <w:r>
        <w:rPr>
          <w:spacing w:val="-1"/>
          <w:w w:val="105"/>
        </w:rPr>
        <w:t> </w:t>
      </w:r>
      <w:r>
        <w:rPr>
          <w:w w:val="105"/>
        </w:rPr>
        <w:t>2002.</w:t>
      </w:r>
      <w:r>
        <w:rPr>
          <w:spacing w:val="-1"/>
          <w:w w:val="105"/>
        </w:rPr>
        <w:t> </w:t>
      </w:r>
      <w:r>
        <w:rPr>
          <w:w w:val="105"/>
        </w:rPr>
        <w:t>He</w:t>
      </w:r>
      <w:r>
        <w:rPr>
          <w:spacing w:val="-1"/>
          <w:w w:val="105"/>
        </w:rPr>
        <w:t> </w:t>
      </w:r>
      <w:r>
        <w:rPr>
          <w:w w:val="105"/>
        </w:rPr>
        <w:t>joined</w:t>
      </w:r>
      <w:r>
        <w:rPr>
          <w:spacing w:val="-1"/>
          <w:w w:val="105"/>
        </w:rPr>
        <w:t> </w:t>
      </w:r>
      <w:r>
        <w:rPr>
          <w:w w:val="105"/>
        </w:rPr>
        <w:t>Raytheon in</w:t>
      </w:r>
      <w:r>
        <w:rPr>
          <w:spacing w:val="-1"/>
          <w:w w:val="105"/>
        </w:rPr>
        <w:t> </w:t>
      </w:r>
      <w:r>
        <w:rPr>
          <w:w w:val="105"/>
        </w:rPr>
        <w:t>1999</w:t>
      </w:r>
      <w:r>
        <w:rPr>
          <w:spacing w:val="-1"/>
          <w:w w:val="105"/>
        </w:rPr>
        <w:t> </w:t>
      </w:r>
      <w:r>
        <w:rPr>
          <w:w w:val="105"/>
        </w:rPr>
        <w:t>and</w:t>
      </w:r>
      <w:r>
        <w:rPr>
          <w:spacing w:val="-1"/>
          <w:w w:val="105"/>
        </w:rPr>
        <w:t> </w:t>
      </w:r>
      <w:r>
        <w:rPr>
          <w:w w:val="105"/>
        </w:rPr>
        <w:t>served</w:t>
      </w:r>
      <w:r>
        <w:rPr>
          <w:spacing w:val="-1"/>
          <w:w w:val="105"/>
        </w:rPr>
        <w:t> </w:t>
      </w:r>
      <w:r>
        <w:rPr>
          <w:w w:val="105"/>
        </w:rPr>
        <w:t>as</w:t>
      </w:r>
      <w:r>
        <w:rPr>
          <w:spacing w:val="-1"/>
          <w:w w:val="105"/>
        </w:rPr>
        <w:t> </w:t>
      </w:r>
      <w:r>
        <w:rPr>
          <w:w w:val="105"/>
        </w:rPr>
        <w:t>president</w:t>
      </w:r>
      <w:r>
        <w:rPr>
          <w:spacing w:val="-1"/>
          <w:w w:val="105"/>
        </w:rPr>
        <w:t> </w:t>
      </w:r>
      <w:r>
        <w:rPr>
          <w:w w:val="105"/>
        </w:rPr>
        <w:t>of</w:t>
      </w:r>
      <w:r>
        <w:rPr>
          <w:spacing w:val="-1"/>
          <w:w w:val="105"/>
        </w:rPr>
        <w:t> </w:t>
      </w:r>
      <w:r>
        <w:rPr>
          <w:w w:val="105"/>
        </w:rPr>
        <w:t>Raytheon</w:t>
      </w:r>
      <w:r>
        <w:rPr>
          <w:spacing w:val="-1"/>
          <w:w w:val="105"/>
        </w:rPr>
        <w:t> </w:t>
      </w:r>
      <w:r>
        <w:rPr>
          <w:w w:val="105"/>
        </w:rPr>
        <w:t>International,</w:t>
      </w:r>
      <w:r>
        <w:rPr>
          <w:spacing w:val="-1"/>
          <w:w w:val="105"/>
        </w:rPr>
        <w:t> </w:t>
      </w:r>
      <w:r>
        <w:rPr>
          <w:w w:val="105"/>
        </w:rPr>
        <w:t>chairman</w:t>
      </w:r>
      <w:r>
        <w:rPr>
          <w:spacing w:val="-1"/>
          <w:w w:val="105"/>
        </w:rPr>
        <w:t> </w:t>
      </w:r>
      <w:r>
        <w:rPr>
          <w:w w:val="105"/>
        </w:rPr>
        <w:t>and</w:t>
      </w:r>
      <w:r>
        <w:rPr>
          <w:spacing w:val="-1"/>
          <w:w w:val="105"/>
        </w:rPr>
        <w:t> </w:t>
      </w:r>
      <w:r>
        <w:rPr>
          <w:w w:val="105"/>
        </w:rPr>
        <w:t>chief executive</w:t>
      </w:r>
      <w:r>
        <w:rPr>
          <w:spacing w:val="-9"/>
          <w:w w:val="105"/>
        </w:rPr>
        <w:t> </w:t>
      </w:r>
      <w:r>
        <w:rPr>
          <w:w w:val="105"/>
        </w:rPr>
        <w:t>officer</w:t>
      </w:r>
      <w:r>
        <w:rPr>
          <w:spacing w:val="-9"/>
          <w:w w:val="105"/>
        </w:rPr>
        <w:t> </w:t>
      </w:r>
      <w:r>
        <w:rPr>
          <w:w w:val="105"/>
        </w:rPr>
        <w:t>of</w:t>
      </w:r>
      <w:r>
        <w:rPr>
          <w:spacing w:val="-9"/>
          <w:w w:val="105"/>
        </w:rPr>
        <w:t> </w:t>
      </w:r>
      <w:r>
        <w:rPr>
          <w:w w:val="105"/>
        </w:rPr>
        <w:t>Raytheon</w:t>
      </w:r>
      <w:r>
        <w:rPr>
          <w:spacing w:val="-9"/>
          <w:w w:val="105"/>
        </w:rPr>
        <w:t> </w:t>
      </w:r>
      <w:r>
        <w:rPr>
          <w:w w:val="105"/>
        </w:rPr>
        <w:t>Aircraft,</w:t>
      </w:r>
      <w:r>
        <w:rPr>
          <w:spacing w:val="-9"/>
          <w:w w:val="105"/>
        </w:rPr>
        <w:t> </w:t>
      </w:r>
      <w:r>
        <w:rPr>
          <w:w w:val="105"/>
        </w:rPr>
        <w:t>and</w:t>
      </w:r>
      <w:r>
        <w:rPr>
          <w:spacing w:val="-9"/>
          <w:w w:val="105"/>
        </w:rPr>
        <w:t> </w:t>
      </w:r>
      <w:r>
        <w:rPr>
          <w:w w:val="105"/>
        </w:rPr>
        <w:t>executive</w:t>
      </w:r>
      <w:r>
        <w:rPr>
          <w:spacing w:val="-9"/>
          <w:w w:val="105"/>
        </w:rPr>
        <w:t> </w:t>
      </w:r>
      <w:r>
        <w:rPr>
          <w:w w:val="105"/>
        </w:rPr>
        <w:t>vice</w:t>
      </w:r>
      <w:r>
        <w:rPr>
          <w:spacing w:val="-9"/>
          <w:w w:val="105"/>
        </w:rPr>
        <w:t> </w:t>
      </w:r>
      <w:r>
        <w:rPr>
          <w:w w:val="105"/>
        </w:rPr>
        <w:t>president</w:t>
      </w:r>
      <w:r>
        <w:rPr>
          <w:spacing w:val="-9"/>
          <w:w w:val="105"/>
        </w:rPr>
        <w:t> </w:t>
      </w:r>
      <w:r>
        <w:rPr>
          <w:w w:val="105"/>
        </w:rPr>
        <w:t>of</w:t>
      </w:r>
      <w:r>
        <w:rPr>
          <w:spacing w:val="-9"/>
          <w:w w:val="105"/>
        </w:rPr>
        <w:t> </w:t>
      </w:r>
      <w:r>
        <w:rPr>
          <w:w w:val="105"/>
        </w:rPr>
        <w:t>Raytheon</w:t>
      </w:r>
      <w:r>
        <w:rPr>
          <w:spacing w:val="-9"/>
          <w:w w:val="105"/>
        </w:rPr>
        <w:t> </w:t>
      </w:r>
      <w:r>
        <w:rPr>
          <w:w w:val="105"/>
        </w:rPr>
        <w:t>Company.</w:t>
      </w:r>
      <w:r>
        <w:rPr>
          <w:spacing w:val="-9"/>
          <w:w w:val="105"/>
        </w:rPr>
        <w:t> </w:t>
      </w:r>
      <w:r>
        <w:rPr>
          <w:w w:val="105"/>
        </w:rPr>
        <w:t>From</w:t>
      </w:r>
      <w:r>
        <w:rPr>
          <w:spacing w:val="-9"/>
          <w:w w:val="105"/>
        </w:rPr>
        <w:t> </w:t>
      </w:r>
      <w:r>
        <w:rPr>
          <w:w w:val="105"/>
        </w:rPr>
        <w:t>1980</w:t>
      </w:r>
      <w:r>
        <w:rPr>
          <w:spacing w:val="-9"/>
          <w:w w:val="105"/>
        </w:rPr>
        <w:t> </w:t>
      </w:r>
      <w:r>
        <w:rPr>
          <w:w w:val="105"/>
        </w:rPr>
        <w:t>to</w:t>
      </w:r>
      <w:r>
        <w:rPr>
          <w:spacing w:val="-9"/>
          <w:w w:val="105"/>
        </w:rPr>
        <w:t> </w:t>
      </w:r>
      <w:r>
        <w:rPr>
          <w:w w:val="105"/>
        </w:rPr>
        <w:t>1999,</w:t>
      </w:r>
      <w:r>
        <w:rPr>
          <w:spacing w:val="-9"/>
          <w:w w:val="105"/>
        </w:rPr>
        <w:t> </w:t>
      </w:r>
      <w:r>
        <w:rPr>
          <w:w w:val="105"/>
        </w:rPr>
        <w:t>Mr.</w:t>
      </w:r>
      <w:r>
        <w:rPr>
          <w:spacing w:val="-9"/>
          <w:w w:val="105"/>
        </w:rPr>
        <w:t> </w:t>
      </w:r>
      <w:r>
        <w:rPr>
          <w:w w:val="105"/>
        </w:rPr>
        <w:t>Tookes</w:t>
      </w:r>
      <w:r>
        <w:rPr>
          <w:spacing w:val="-9"/>
          <w:w w:val="105"/>
        </w:rPr>
        <w:t> </w:t>
      </w:r>
      <w:r>
        <w:rPr>
          <w:w w:val="105"/>
        </w:rPr>
        <w:t>served</w:t>
      </w:r>
      <w:r>
        <w:rPr>
          <w:spacing w:val="-9"/>
          <w:w w:val="105"/>
        </w:rPr>
        <w:t> </w:t>
      </w:r>
      <w:r>
        <w:rPr>
          <w:w w:val="105"/>
        </w:rPr>
        <w:t>United</w:t>
      </w:r>
      <w:r>
        <w:rPr>
          <w:spacing w:val="-9"/>
          <w:w w:val="105"/>
        </w:rPr>
        <w:t> </w:t>
      </w:r>
      <w:r>
        <w:rPr>
          <w:w w:val="105"/>
        </w:rPr>
        <w:t>Technologies</w:t>
      </w:r>
      <w:r>
        <w:rPr>
          <w:spacing w:val="-9"/>
          <w:w w:val="105"/>
        </w:rPr>
        <w:t> </w:t>
      </w:r>
      <w:r>
        <w:rPr>
          <w:w w:val="105"/>
        </w:rPr>
        <w:t>Corporation</w:t>
      </w:r>
      <w:r>
        <w:rPr>
          <w:spacing w:val="-9"/>
          <w:w w:val="105"/>
        </w:rPr>
        <w:t> </w:t>
      </w:r>
      <w:r>
        <w:rPr>
          <w:w w:val="105"/>
        </w:rPr>
        <w:t>as president</w:t>
      </w:r>
      <w:r>
        <w:rPr>
          <w:spacing w:val="-2"/>
          <w:w w:val="105"/>
        </w:rPr>
        <w:t> </w:t>
      </w:r>
      <w:r>
        <w:rPr>
          <w:w w:val="105"/>
        </w:rPr>
        <w:t>of</w:t>
      </w:r>
      <w:r>
        <w:rPr>
          <w:spacing w:val="-2"/>
          <w:w w:val="105"/>
        </w:rPr>
        <w:t> </w:t>
      </w:r>
      <w:r>
        <w:rPr>
          <w:w w:val="105"/>
        </w:rPr>
        <w:t>Pratt</w:t>
      </w:r>
      <w:r>
        <w:rPr>
          <w:spacing w:val="-2"/>
          <w:w w:val="105"/>
        </w:rPr>
        <w:t> </w:t>
      </w:r>
      <w:r>
        <w:rPr>
          <w:w w:val="105"/>
        </w:rPr>
        <w:t>and</w:t>
      </w:r>
      <w:r>
        <w:rPr>
          <w:spacing w:val="-2"/>
          <w:w w:val="105"/>
        </w:rPr>
        <w:t> </w:t>
      </w:r>
      <w:r>
        <w:rPr>
          <w:w w:val="105"/>
        </w:rPr>
        <w:t>Whitney’s</w:t>
      </w:r>
      <w:r>
        <w:rPr>
          <w:spacing w:val="-2"/>
          <w:w w:val="105"/>
        </w:rPr>
        <w:t> </w:t>
      </w:r>
      <w:r>
        <w:rPr>
          <w:w w:val="105"/>
        </w:rPr>
        <w:t>Large</w:t>
      </w:r>
      <w:r>
        <w:rPr>
          <w:spacing w:val="-2"/>
          <w:w w:val="105"/>
        </w:rPr>
        <w:t> </w:t>
      </w:r>
      <w:r>
        <w:rPr>
          <w:w w:val="105"/>
        </w:rPr>
        <w:t>Military</w:t>
      </w:r>
      <w:r>
        <w:rPr>
          <w:spacing w:val="-2"/>
          <w:w w:val="105"/>
        </w:rPr>
        <w:t> </w:t>
      </w:r>
      <w:r>
        <w:rPr>
          <w:w w:val="105"/>
        </w:rPr>
        <w:t>Engines</w:t>
      </w:r>
      <w:r>
        <w:rPr>
          <w:spacing w:val="-2"/>
          <w:w w:val="105"/>
        </w:rPr>
        <w:t> </w:t>
      </w:r>
      <w:r>
        <w:rPr>
          <w:w w:val="105"/>
        </w:rPr>
        <w:t>Group</w:t>
      </w:r>
      <w:r>
        <w:rPr>
          <w:spacing w:val="-2"/>
          <w:w w:val="105"/>
        </w:rPr>
        <w:t> </w:t>
      </w:r>
      <w:r>
        <w:rPr>
          <w:w w:val="105"/>
        </w:rPr>
        <w:t>and</w:t>
      </w:r>
      <w:r>
        <w:rPr>
          <w:spacing w:val="-2"/>
          <w:w w:val="105"/>
        </w:rPr>
        <w:t> </w:t>
      </w:r>
      <w:r>
        <w:rPr>
          <w:w w:val="105"/>
        </w:rPr>
        <w:t>in</w:t>
      </w:r>
      <w:r>
        <w:rPr>
          <w:spacing w:val="-2"/>
          <w:w w:val="105"/>
        </w:rPr>
        <w:t> </w:t>
      </w:r>
      <w:r>
        <w:rPr>
          <w:w w:val="105"/>
        </w:rPr>
        <w:t>a</w:t>
      </w:r>
      <w:r>
        <w:rPr>
          <w:spacing w:val="-2"/>
          <w:w w:val="105"/>
        </w:rPr>
        <w:t> </w:t>
      </w:r>
      <w:r>
        <w:rPr>
          <w:w w:val="105"/>
        </w:rPr>
        <w:t>variety</w:t>
      </w:r>
      <w:r>
        <w:rPr>
          <w:spacing w:val="-2"/>
          <w:w w:val="105"/>
        </w:rPr>
        <w:t> </w:t>
      </w:r>
      <w:r>
        <w:rPr>
          <w:w w:val="105"/>
        </w:rPr>
        <w:t>of</w:t>
      </w:r>
      <w:r>
        <w:rPr>
          <w:spacing w:val="-2"/>
          <w:w w:val="105"/>
        </w:rPr>
        <w:t> </w:t>
      </w:r>
      <w:r>
        <w:rPr>
          <w:w w:val="105"/>
        </w:rPr>
        <w:t>other leadership</w:t>
      </w:r>
      <w:r>
        <w:rPr>
          <w:spacing w:val="-2"/>
          <w:w w:val="105"/>
        </w:rPr>
        <w:t> </w:t>
      </w:r>
      <w:r>
        <w:rPr>
          <w:w w:val="105"/>
        </w:rPr>
        <w:t>positions.</w:t>
      </w:r>
      <w:r>
        <w:rPr>
          <w:spacing w:val="-2"/>
          <w:w w:val="105"/>
        </w:rPr>
        <w:t> </w:t>
      </w:r>
      <w:r>
        <w:rPr>
          <w:w w:val="105"/>
        </w:rPr>
        <w:t>Mr.</w:t>
      </w:r>
      <w:r>
        <w:rPr>
          <w:spacing w:val="-2"/>
          <w:w w:val="105"/>
        </w:rPr>
        <w:t> </w:t>
      </w:r>
      <w:r>
        <w:rPr>
          <w:w w:val="105"/>
        </w:rPr>
        <w:t>Tookes</w:t>
      </w:r>
      <w:r>
        <w:rPr>
          <w:spacing w:val="-2"/>
          <w:w w:val="105"/>
        </w:rPr>
        <w:t> </w:t>
      </w:r>
      <w:r>
        <w:rPr>
          <w:w w:val="105"/>
        </w:rPr>
        <w:t>joined</w:t>
      </w:r>
      <w:r>
        <w:rPr>
          <w:spacing w:val="-2"/>
          <w:w w:val="105"/>
        </w:rPr>
        <w:t> </w:t>
      </w:r>
      <w:r>
        <w:rPr>
          <w:w w:val="105"/>
        </w:rPr>
        <w:t>Corning’s</w:t>
      </w:r>
      <w:r>
        <w:rPr>
          <w:spacing w:val="-2"/>
          <w:w w:val="105"/>
        </w:rPr>
        <w:t> </w:t>
      </w:r>
      <w:r>
        <w:rPr>
          <w:w w:val="105"/>
        </w:rPr>
        <w:t>Board</w:t>
      </w:r>
      <w:r>
        <w:rPr>
          <w:spacing w:val="-2"/>
          <w:w w:val="105"/>
        </w:rPr>
        <w:t> </w:t>
      </w:r>
      <w:r>
        <w:rPr>
          <w:w w:val="105"/>
        </w:rPr>
        <w:t>in</w:t>
      </w:r>
      <w:r>
        <w:rPr>
          <w:spacing w:val="-2"/>
          <w:w w:val="105"/>
        </w:rPr>
        <w:t> </w:t>
      </w:r>
      <w:r>
        <w:rPr>
          <w:w w:val="105"/>
        </w:rPr>
        <w:t>2001.</w:t>
      </w:r>
      <w:r>
        <w:rPr>
          <w:spacing w:val="-2"/>
          <w:w w:val="105"/>
        </w:rPr>
        <w:t> </w:t>
      </w:r>
      <w:r>
        <w:rPr>
          <w:w w:val="105"/>
        </w:rPr>
        <w:t>Age</w:t>
      </w:r>
      <w:r>
        <w:rPr>
          <w:spacing w:val="-2"/>
          <w:w w:val="105"/>
        </w:rPr>
        <w:t> </w:t>
      </w:r>
      <w:r>
        <w:rPr>
          <w:w w:val="105"/>
        </w:rPr>
        <w:t>74.</w:t>
      </w:r>
    </w:p>
    <w:p>
      <w:pPr>
        <w:pStyle w:val="BodyText"/>
        <w:spacing w:before="18"/>
      </w:pPr>
    </w:p>
    <w:p>
      <w:pPr>
        <w:spacing w:before="0"/>
        <w:ind w:left="156" w:right="0" w:firstLine="0"/>
        <w:jc w:val="left"/>
        <w:rPr>
          <w:i/>
          <w:sz w:val="16"/>
        </w:rPr>
      </w:pPr>
      <w:r>
        <w:rPr>
          <w:w w:val="105"/>
          <w:sz w:val="16"/>
        </w:rPr>
        <w:t>Wendell</w:t>
      </w:r>
      <w:r>
        <w:rPr>
          <w:spacing w:val="-9"/>
          <w:w w:val="105"/>
          <w:sz w:val="16"/>
        </w:rPr>
        <w:t> </w:t>
      </w:r>
      <w:r>
        <w:rPr>
          <w:w w:val="105"/>
          <w:sz w:val="16"/>
        </w:rPr>
        <w:t>P.</w:t>
      </w:r>
      <w:r>
        <w:rPr>
          <w:spacing w:val="-9"/>
          <w:w w:val="105"/>
          <w:sz w:val="16"/>
        </w:rPr>
        <w:t> </w:t>
      </w:r>
      <w:r>
        <w:rPr>
          <w:w w:val="105"/>
          <w:sz w:val="16"/>
        </w:rPr>
        <w:t>Weeks</w:t>
      </w:r>
      <w:r>
        <w:rPr>
          <w:spacing w:val="25"/>
          <w:w w:val="105"/>
          <w:sz w:val="16"/>
        </w:rPr>
        <w:t> </w:t>
      </w:r>
      <w:r>
        <w:rPr>
          <w:i/>
          <w:w w:val="105"/>
          <w:sz w:val="16"/>
        </w:rPr>
        <w:t>Chairman</w:t>
      </w:r>
      <w:r>
        <w:rPr>
          <w:i/>
          <w:spacing w:val="-9"/>
          <w:w w:val="105"/>
          <w:sz w:val="16"/>
        </w:rPr>
        <w:t> </w:t>
      </w:r>
      <w:r>
        <w:rPr>
          <w:i/>
          <w:w w:val="105"/>
          <w:sz w:val="16"/>
        </w:rPr>
        <w:t>and</w:t>
      </w:r>
      <w:r>
        <w:rPr>
          <w:i/>
          <w:spacing w:val="-9"/>
          <w:w w:val="105"/>
          <w:sz w:val="16"/>
        </w:rPr>
        <w:t> </w:t>
      </w:r>
      <w:r>
        <w:rPr>
          <w:i/>
          <w:w w:val="105"/>
          <w:sz w:val="16"/>
        </w:rPr>
        <w:t>Chief</w:t>
      </w:r>
      <w:r>
        <w:rPr>
          <w:i/>
          <w:spacing w:val="-9"/>
          <w:w w:val="105"/>
          <w:sz w:val="16"/>
        </w:rPr>
        <w:t> </w:t>
      </w:r>
      <w:r>
        <w:rPr>
          <w:i/>
          <w:w w:val="105"/>
          <w:sz w:val="16"/>
        </w:rPr>
        <w:t>Executive</w:t>
      </w:r>
      <w:r>
        <w:rPr>
          <w:i/>
          <w:spacing w:val="-9"/>
          <w:w w:val="105"/>
          <w:sz w:val="16"/>
        </w:rPr>
        <w:t> </w:t>
      </w:r>
      <w:r>
        <w:rPr>
          <w:i/>
          <w:spacing w:val="-2"/>
          <w:w w:val="105"/>
          <w:sz w:val="16"/>
        </w:rPr>
        <w:t>Officer</w:t>
      </w:r>
    </w:p>
    <w:p>
      <w:pPr>
        <w:pStyle w:val="BodyText"/>
        <w:spacing w:line="266" w:lineRule="auto" w:before="20"/>
        <w:ind w:left="156" w:right="117"/>
      </w:pPr>
      <w:r>
        <w:rPr>
          <w:w w:val="105"/>
        </w:rPr>
        <w:t>Mr.</w:t>
      </w:r>
      <w:r>
        <w:rPr>
          <w:spacing w:val="-2"/>
          <w:w w:val="105"/>
        </w:rPr>
        <w:t> </w:t>
      </w:r>
      <w:r>
        <w:rPr>
          <w:w w:val="105"/>
        </w:rPr>
        <w:t>Weeks</w:t>
      </w:r>
      <w:r>
        <w:rPr>
          <w:spacing w:val="-2"/>
          <w:w w:val="105"/>
        </w:rPr>
        <w:t> </w:t>
      </w:r>
      <w:r>
        <w:rPr>
          <w:w w:val="105"/>
        </w:rPr>
        <w:t>joined</w:t>
      </w:r>
      <w:r>
        <w:rPr>
          <w:spacing w:val="-2"/>
          <w:w w:val="105"/>
        </w:rPr>
        <w:t> </w:t>
      </w:r>
      <w:r>
        <w:rPr>
          <w:w w:val="105"/>
        </w:rPr>
        <w:t>Corning</w:t>
      </w:r>
      <w:r>
        <w:rPr>
          <w:spacing w:val="-2"/>
          <w:w w:val="105"/>
        </w:rPr>
        <w:t> </w:t>
      </w:r>
      <w:r>
        <w:rPr>
          <w:w w:val="105"/>
        </w:rPr>
        <w:t>in</w:t>
      </w:r>
      <w:r>
        <w:rPr>
          <w:spacing w:val="-2"/>
          <w:w w:val="105"/>
        </w:rPr>
        <w:t> </w:t>
      </w:r>
      <w:r>
        <w:rPr>
          <w:w w:val="105"/>
        </w:rPr>
        <w:t>1983</w:t>
      </w:r>
      <w:r>
        <w:rPr>
          <w:spacing w:val="-2"/>
          <w:w w:val="105"/>
        </w:rPr>
        <w:t> </w:t>
      </w:r>
      <w:r>
        <w:rPr>
          <w:w w:val="105"/>
        </w:rPr>
        <w:t>in</w:t>
      </w:r>
      <w:r>
        <w:rPr>
          <w:spacing w:val="-2"/>
          <w:w w:val="105"/>
        </w:rPr>
        <w:t> </w:t>
      </w:r>
      <w:r>
        <w:rPr>
          <w:w w:val="105"/>
        </w:rPr>
        <w:t>the finance</w:t>
      </w:r>
      <w:r>
        <w:rPr>
          <w:spacing w:val="-2"/>
          <w:w w:val="105"/>
        </w:rPr>
        <w:t> </w:t>
      </w:r>
      <w:r>
        <w:rPr>
          <w:w w:val="105"/>
        </w:rPr>
        <w:t>group.</w:t>
      </w:r>
      <w:r>
        <w:rPr>
          <w:spacing w:val="39"/>
          <w:w w:val="105"/>
        </w:rPr>
        <w:t> </w:t>
      </w:r>
      <w:r>
        <w:rPr>
          <w:w w:val="105"/>
        </w:rPr>
        <w:t>He</w:t>
      </w:r>
      <w:r>
        <w:rPr>
          <w:spacing w:val="-2"/>
          <w:w w:val="105"/>
        </w:rPr>
        <w:t> </w:t>
      </w:r>
      <w:r>
        <w:rPr>
          <w:w w:val="105"/>
        </w:rPr>
        <w:t>has</w:t>
      </w:r>
      <w:r>
        <w:rPr>
          <w:spacing w:val="-2"/>
          <w:w w:val="105"/>
        </w:rPr>
        <w:t> </w:t>
      </w:r>
      <w:r>
        <w:rPr>
          <w:w w:val="105"/>
        </w:rPr>
        <w:t>held</w:t>
      </w:r>
      <w:r>
        <w:rPr>
          <w:spacing w:val="-2"/>
          <w:w w:val="105"/>
        </w:rPr>
        <w:t> </w:t>
      </w:r>
      <w:r>
        <w:rPr>
          <w:w w:val="105"/>
        </w:rPr>
        <w:t>a</w:t>
      </w:r>
      <w:r>
        <w:rPr>
          <w:spacing w:val="-2"/>
          <w:w w:val="105"/>
        </w:rPr>
        <w:t> </w:t>
      </w:r>
      <w:r>
        <w:rPr>
          <w:w w:val="105"/>
        </w:rPr>
        <w:t>variety</w:t>
      </w:r>
      <w:r>
        <w:rPr>
          <w:spacing w:val="-2"/>
          <w:w w:val="105"/>
        </w:rPr>
        <w:t> </w:t>
      </w:r>
      <w:r>
        <w:rPr>
          <w:w w:val="105"/>
        </w:rPr>
        <w:t>of</w:t>
      </w:r>
      <w:r>
        <w:rPr>
          <w:spacing w:val="-2"/>
          <w:w w:val="105"/>
        </w:rPr>
        <w:t> </w:t>
      </w:r>
      <w:r>
        <w:rPr>
          <w:w w:val="105"/>
        </w:rPr>
        <w:t>financial,</w:t>
      </w:r>
      <w:r>
        <w:rPr>
          <w:spacing w:val="-2"/>
          <w:w w:val="105"/>
        </w:rPr>
        <w:t> </w:t>
      </w:r>
      <w:r>
        <w:rPr>
          <w:w w:val="105"/>
        </w:rPr>
        <w:t>business</w:t>
      </w:r>
      <w:r>
        <w:rPr>
          <w:spacing w:val="-2"/>
          <w:w w:val="105"/>
        </w:rPr>
        <w:t> </w:t>
      </w:r>
      <w:r>
        <w:rPr>
          <w:w w:val="105"/>
        </w:rPr>
        <w:t>development,</w:t>
      </w:r>
      <w:r>
        <w:rPr>
          <w:spacing w:val="-2"/>
          <w:w w:val="105"/>
        </w:rPr>
        <w:t> </w:t>
      </w:r>
      <w:r>
        <w:rPr>
          <w:w w:val="105"/>
        </w:rPr>
        <w:t>commercial,</w:t>
      </w:r>
      <w:r>
        <w:rPr>
          <w:spacing w:val="-2"/>
          <w:w w:val="105"/>
        </w:rPr>
        <w:t> </w:t>
      </w:r>
      <w:r>
        <w:rPr>
          <w:w w:val="105"/>
        </w:rPr>
        <w:t>and</w:t>
      </w:r>
      <w:r>
        <w:rPr>
          <w:spacing w:val="-2"/>
          <w:w w:val="105"/>
        </w:rPr>
        <w:t> </w:t>
      </w:r>
      <w:r>
        <w:rPr>
          <w:w w:val="105"/>
        </w:rPr>
        <w:t>general</w:t>
      </w:r>
      <w:r>
        <w:rPr>
          <w:spacing w:val="-2"/>
          <w:w w:val="105"/>
        </w:rPr>
        <w:t> </w:t>
      </w:r>
      <w:r>
        <w:rPr>
          <w:w w:val="105"/>
        </w:rPr>
        <w:t>management</w:t>
      </w:r>
      <w:r>
        <w:rPr>
          <w:spacing w:val="-2"/>
          <w:w w:val="105"/>
        </w:rPr>
        <w:t> </w:t>
      </w:r>
      <w:r>
        <w:rPr>
          <w:w w:val="105"/>
        </w:rPr>
        <w:t>roles.</w:t>
      </w:r>
      <w:r>
        <w:rPr>
          <w:spacing w:val="39"/>
          <w:w w:val="105"/>
        </w:rPr>
        <w:t> </w:t>
      </w:r>
      <w:r>
        <w:rPr>
          <w:w w:val="105"/>
        </w:rPr>
        <w:t>He</w:t>
      </w:r>
      <w:r>
        <w:rPr>
          <w:spacing w:val="-2"/>
          <w:w w:val="105"/>
        </w:rPr>
        <w:t> </w:t>
      </w:r>
      <w:r>
        <w:rPr>
          <w:w w:val="105"/>
        </w:rPr>
        <w:t>was named</w:t>
      </w:r>
      <w:r>
        <w:rPr>
          <w:spacing w:val="-2"/>
          <w:w w:val="105"/>
        </w:rPr>
        <w:t> </w:t>
      </w:r>
      <w:r>
        <w:rPr>
          <w:w w:val="105"/>
        </w:rPr>
        <w:t>vice</w:t>
      </w:r>
      <w:r>
        <w:rPr>
          <w:spacing w:val="-2"/>
          <w:w w:val="105"/>
        </w:rPr>
        <w:t> </w:t>
      </w:r>
      <w:r>
        <w:rPr>
          <w:w w:val="105"/>
        </w:rPr>
        <w:t>president</w:t>
      </w:r>
      <w:r>
        <w:rPr>
          <w:spacing w:val="-2"/>
          <w:w w:val="105"/>
        </w:rPr>
        <w:t> </w:t>
      </w:r>
      <w:r>
        <w:rPr>
          <w:w w:val="105"/>
        </w:rPr>
        <w:t>and</w:t>
      </w:r>
      <w:r>
        <w:rPr>
          <w:spacing w:val="-2"/>
          <w:w w:val="105"/>
        </w:rPr>
        <w:t> </w:t>
      </w:r>
      <w:r>
        <w:rPr>
          <w:w w:val="105"/>
        </w:rPr>
        <w:t>general</w:t>
      </w:r>
      <w:r>
        <w:rPr>
          <w:spacing w:val="-2"/>
          <w:w w:val="105"/>
        </w:rPr>
        <w:t> </w:t>
      </w:r>
      <w:r>
        <w:rPr>
          <w:w w:val="105"/>
        </w:rPr>
        <w:t>manager</w:t>
      </w:r>
      <w:r>
        <w:rPr>
          <w:spacing w:val="-2"/>
          <w:w w:val="105"/>
        </w:rPr>
        <w:t> </w:t>
      </w:r>
      <w:r>
        <w:rPr>
          <w:w w:val="105"/>
        </w:rPr>
        <w:t>of</w:t>
      </w:r>
      <w:r>
        <w:rPr>
          <w:spacing w:val="-2"/>
          <w:w w:val="105"/>
        </w:rPr>
        <w:t> </w:t>
      </w:r>
      <w:r>
        <w:rPr>
          <w:w w:val="105"/>
        </w:rPr>
        <w:t>the</w:t>
      </w:r>
      <w:r>
        <w:rPr>
          <w:spacing w:val="-2"/>
          <w:w w:val="105"/>
        </w:rPr>
        <w:t> </w:t>
      </w:r>
      <w:r>
        <w:rPr>
          <w:w w:val="105"/>
        </w:rPr>
        <w:t>Optical</w:t>
      </w:r>
      <w:r>
        <w:rPr>
          <w:spacing w:val="-2"/>
          <w:w w:val="105"/>
        </w:rPr>
        <w:t> </w:t>
      </w:r>
      <w:r>
        <w:rPr>
          <w:w w:val="105"/>
        </w:rPr>
        <w:t>Fiber</w:t>
      </w:r>
      <w:r>
        <w:rPr>
          <w:spacing w:val="-2"/>
          <w:w w:val="105"/>
        </w:rPr>
        <w:t> </w:t>
      </w:r>
      <w:r>
        <w:rPr>
          <w:w w:val="105"/>
        </w:rPr>
        <w:t>business</w:t>
      </w:r>
      <w:r>
        <w:rPr>
          <w:spacing w:val="-2"/>
          <w:w w:val="105"/>
        </w:rPr>
        <w:t> </w:t>
      </w:r>
      <w:r>
        <w:rPr>
          <w:w w:val="105"/>
        </w:rPr>
        <w:t>in</w:t>
      </w:r>
      <w:r>
        <w:rPr>
          <w:spacing w:val="-2"/>
          <w:w w:val="105"/>
        </w:rPr>
        <w:t> </w:t>
      </w:r>
      <w:r>
        <w:rPr>
          <w:w w:val="105"/>
        </w:rPr>
        <w:t>1996</w:t>
      </w:r>
      <w:r>
        <w:rPr>
          <w:spacing w:val="-2"/>
          <w:w w:val="105"/>
        </w:rPr>
        <w:t> </w:t>
      </w:r>
      <w:r>
        <w:rPr>
          <w:w w:val="105"/>
        </w:rPr>
        <w:t>and</w:t>
      </w:r>
      <w:r>
        <w:rPr>
          <w:spacing w:val="-2"/>
          <w:w w:val="105"/>
        </w:rPr>
        <w:t> </w:t>
      </w:r>
      <w:r>
        <w:rPr>
          <w:w w:val="105"/>
        </w:rPr>
        <w:t>president</w:t>
      </w:r>
      <w:r>
        <w:rPr>
          <w:spacing w:val="-2"/>
          <w:w w:val="105"/>
        </w:rPr>
        <w:t> </w:t>
      </w:r>
      <w:r>
        <w:rPr>
          <w:w w:val="105"/>
        </w:rPr>
        <w:t>of</w:t>
      </w:r>
      <w:r>
        <w:rPr>
          <w:spacing w:val="-2"/>
          <w:w w:val="105"/>
        </w:rPr>
        <w:t> </w:t>
      </w:r>
      <w:r>
        <w:rPr>
          <w:w w:val="105"/>
        </w:rPr>
        <w:t>Corning’s</w:t>
      </w:r>
      <w:r>
        <w:rPr>
          <w:spacing w:val="-2"/>
          <w:w w:val="105"/>
        </w:rPr>
        <w:t> </w:t>
      </w:r>
      <w:r>
        <w:rPr>
          <w:w w:val="105"/>
        </w:rPr>
        <w:t>Optical</w:t>
      </w:r>
      <w:r>
        <w:rPr>
          <w:spacing w:val="-2"/>
          <w:w w:val="105"/>
        </w:rPr>
        <w:t> </w:t>
      </w:r>
      <w:r>
        <w:rPr>
          <w:w w:val="105"/>
        </w:rPr>
        <w:t>Communications</w:t>
      </w:r>
      <w:r>
        <w:rPr>
          <w:spacing w:val="-2"/>
          <w:w w:val="105"/>
        </w:rPr>
        <w:t> </w:t>
      </w:r>
      <w:r>
        <w:rPr>
          <w:w w:val="105"/>
        </w:rPr>
        <w:t>division</w:t>
      </w:r>
      <w:r>
        <w:rPr>
          <w:spacing w:val="-2"/>
          <w:w w:val="105"/>
        </w:rPr>
        <w:t> </w:t>
      </w:r>
      <w:r>
        <w:rPr>
          <w:w w:val="105"/>
        </w:rPr>
        <w:t>in</w:t>
      </w:r>
      <w:r>
        <w:rPr>
          <w:spacing w:val="-2"/>
          <w:w w:val="105"/>
        </w:rPr>
        <w:t> </w:t>
      </w:r>
      <w:r>
        <w:rPr>
          <w:w w:val="105"/>
        </w:rPr>
        <w:t>2001.</w:t>
      </w:r>
      <w:r>
        <w:rPr>
          <w:spacing w:val="39"/>
          <w:w w:val="105"/>
        </w:rPr>
        <w:t> </w:t>
      </w:r>
      <w:r>
        <w:rPr>
          <w:w w:val="105"/>
        </w:rPr>
        <w:t>He</w:t>
      </w:r>
      <w:r>
        <w:rPr>
          <w:spacing w:val="-2"/>
          <w:w w:val="105"/>
        </w:rPr>
        <w:t> </w:t>
      </w:r>
      <w:r>
        <w:rPr>
          <w:w w:val="105"/>
        </w:rPr>
        <w:t>became Corning’s</w:t>
      </w:r>
      <w:r>
        <w:rPr>
          <w:spacing w:val="-7"/>
          <w:w w:val="105"/>
        </w:rPr>
        <w:t> </w:t>
      </w:r>
      <w:r>
        <w:rPr>
          <w:w w:val="105"/>
        </w:rPr>
        <w:t>president</w:t>
      </w:r>
      <w:r>
        <w:rPr>
          <w:spacing w:val="-7"/>
          <w:w w:val="105"/>
        </w:rPr>
        <w:t> </w:t>
      </w:r>
      <w:r>
        <w:rPr>
          <w:w w:val="105"/>
        </w:rPr>
        <w:t>and</w:t>
      </w:r>
      <w:r>
        <w:rPr>
          <w:spacing w:val="-7"/>
          <w:w w:val="105"/>
        </w:rPr>
        <w:t> </w:t>
      </w:r>
      <w:r>
        <w:rPr>
          <w:w w:val="105"/>
        </w:rPr>
        <w:t>chief</w:t>
      </w:r>
      <w:r>
        <w:rPr>
          <w:spacing w:val="-7"/>
          <w:w w:val="105"/>
        </w:rPr>
        <w:t> </w:t>
      </w:r>
      <w:r>
        <w:rPr>
          <w:w w:val="105"/>
        </w:rPr>
        <w:t>operation</w:t>
      </w:r>
      <w:r>
        <w:rPr>
          <w:spacing w:val="-7"/>
          <w:w w:val="105"/>
        </w:rPr>
        <w:t> </w:t>
      </w:r>
      <w:r>
        <w:rPr>
          <w:w w:val="105"/>
        </w:rPr>
        <w:t>officer</w:t>
      </w:r>
      <w:r>
        <w:rPr>
          <w:spacing w:val="-7"/>
          <w:w w:val="105"/>
        </w:rPr>
        <w:t> </w:t>
      </w:r>
      <w:r>
        <w:rPr>
          <w:w w:val="105"/>
        </w:rPr>
        <w:t>in</w:t>
      </w:r>
      <w:r>
        <w:rPr>
          <w:spacing w:val="-7"/>
          <w:w w:val="105"/>
        </w:rPr>
        <w:t> </w:t>
      </w:r>
      <w:r>
        <w:rPr>
          <w:w w:val="105"/>
        </w:rPr>
        <w:t>April</w:t>
      </w:r>
      <w:r>
        <w:rPr>
          <w:spacing w:val="-7"/>
          <w:w w:val="105"/>
        </w:rPr>
        <w:t> </w:t>
      </w:r>
      <w:r>
        <w:rPr>
          <w:w w:val="105"/>
        </w:rPr>
        <w:t>2002.</w:t>
      </w:r>
      <w:r>
        <w:rPr>
          <w:spacing w:val="-7"/>
          <w:w w:val="105"/>
        </w:rPr>
        <w:t> </w:t>
      </w:r>
      <w:r>
        <w:rPr>
          <w:w w:val="105"/>
        </w:rPr>
        <w:t>He</w:t>
      </w:r>
      <w:r>
        <w:rPr>
          <w:spacing w:val="-7"/>
          <w:w w:val="105"/>
        </w:rPr>
        <w:t> </w:t>
      </w:r>
      <w:r>
        <w:rPr>
          <w:w w:val="105"/>
        </w:rPr>
        <w:t>was</w:t>
      </w:r>
      <w:r>
        <w:rPr>
          <w:spacing w:val="-7"/>
          <w:w w:val="105"/>
        </w:rPr>
        <w:t> </w:t>
      </w:r>
      <w:r>
        <w:rPr>
          <w:w w:val="105"/>
        </w:rPr>
        <w:t>named</w:t>
      </w:r>
      <w:r>
        <w:rPr>
          <w:spacing w:val="-7"/>
          <w:w w:val="105"/>
        </w:rPr>
        <w:t> </w:t>
      </w:r>
      <w:r>
        <w:rPr>
          <w:w w:val="105"/>
        </w:rPr>
        <w:t>chief</w:t>
      </w:r>
      <w:r>
        <w:rPr>
          <w:spacing w:val="-7"/>
          <w:w w:val="105"/>
        </w:rPr>
        <w:t> </w:t>
      </w:r>
      <w:r>
        <w:rPr>
          <w:w w:val="105"/>
        </w:rPr>
        <w:t>executive</w:t>
      </w:r>
      <w:r>
        <w:rPr>
          <w:spacing w:val="-7"/>
          <w:w w:val="105"/>
        </w:rPr>
        <w:t> </w:t>
      </w:r>
      <w:r>
        <w:rPr>
          <w:w w:val="105"/>
        </w:rPr>
        <w:t>officer</w:t>
      </w:r>
      <w:r>
        <w:rPr>
          <w:spacing w:val="-7"/>
          <w:w w:val="105"/>
        </w:rPr>
        <w:t> </w:t>
      </w:r>
      <w:r>
        <w:rPr>
          <w:w w:val="105"/>
        </w:rPr>
        <w:t>in</w:t>
      </w:r>
      <w:r>
        <w:rPr>
          <w:spacing w:val="-7"/>
          <w:w w:val="105"/>
        </w:rPr>
        <w:t> </w:t>
      </w:r>
      <w:r>
        <w:rPr>
          <w:w w:val="105"/>
        </w:rPr>
        <w:t>April</w:t>
      </w:r>
      <w:r>
        <w:rPr>
          <w:spacing w:val="-7"/>
          <w:w w:val="105"/>
        </w:rPr>
        <w:t> </w:t>
      </w:r>
      <w:r>
        <w:rPr>
          <w:w w:val="105"/>
        </w:rPr>
        <w:t>2005</w:t>
      </w:r>
      <w:r>
        <w:rPr>
          <w:spacing w:val="-7"/>
          <w:w w:val="105"/>
        </w:rPr>
        <w:t> </w:t>
      </w:r>
      <w:r>
        <w:rPr>
          <w:w w:val="105"/>
        </w:rPr>
        <w:t>and</w:t>
      </w:r>
      <w:r>
        <w:rPr>
          <w:spacing w:val="-7"/>
          <w:w w:val="105"/>
        </w:rPr>
        <w:t> </w:t>
      </w:r>
      <w:r>
        <w:rPr>
          <w:w w:val="105"/>
        </w:rPr>
        <w:t>chairman</w:t>
      </w:r>
      <w:r>
        <w:rPr>
          <w:spacing w:val="-7"/>
          <w:w w:val="105"/>
        </w:rPr>
        <w:t> </w:t>
      </w:r>
      <w:r>
        <w:rPr>
          <w:w w:val="105"/>
        </w:rPr>
        <w:t>of</w:t>
      </w:r>
      <w:r>
        <w:rPr>
          <w:spacing w:val="-7"/>
          <w:w w:val="105"/>
        </w:rPr>
        <w:t> </w:t>
      </w:r>
      <w:r>
        <w:rPr>
          <w:w w:val="105"/>
        </w:rPr>
        <w:t>the</w:t>
      </w:r>
      <w:r>
        <w:rPr>
          <w:spacing w:val="-7"/>
          <w:w w:val="105"/>
        </w:rPr>
        <w:t> </w:t>
      </w:r>
      <w:r>
        <w:rPr>
          <w:w w:val="105"/>
        </w:rPr>
        <w:t>board</w:t>
      </w:r>
      <w:r>
        <w:rPr>
          <w:spacing w:val="-7"/>
          <w:w w:val="105"/>
        </w:rPr>
        <w:t> </w:t>
      </w:r>
      <w:r>
        <w:rPr>
          <w:w w:val="105"/>
        </w:rPr>
        <w:t>in</w:t>
      </w:r>
      <w:r>
        <w:rPr>
          <w:spacing w:val="-7"/>
          <w:w w:val="105"/>
        </w:rPr>
        <w:t> </w:t>
      </w:r>
      <w:r>
        <w:rPr>
          <w:w w:val="105"/>
        </w:rPr>
        <w:t>April</w:t>
      </w:r>
      <w:r>
        <w:rPr>
          <w:spacing w:val="-7"/>
          <w:w w:val="105"/>
        </w:rPr>
        <w:t> </w:t>
      </w:r>
      <w:r>
        <w:rPr>
          <w:w w:val="105"/>
        </w:rPr>
        <w:t>2007.</w:t>
      </w:r>
      <w:r>
        <w:rPr>
          <w:spacing w:val="29"/>
          <w:w w:val="105"/>
        </w:rPr>
        <w:t> </w:t>
      </w:r>
      <w:r>
        <w:rPr>
          <w:w w:val="105"/>
        </w:rPr>
        <w:t>Mr.</w:t>
      </w:r>
      <w:r>
        <w:rPr>
          <w:spacing w:val="-5"/>
          <w:w w:val="105"/>
        </w:rPr>
        <w:t> </w:t>
      </w:r>
      <w:r>
        <w:rPr>
          <w:w w:val="105"/>
        </w:rPr>
        <w:t>Weeks</w:t>
      </w:r>
      <w:r>
        <w:rPr>
          <w:spacing w:val="-7"/>
          <w:w w:val="105"/>
        </w:rPr>
        <w:t> </w:t>
      </w:r>
      <w:r>
        <w:rPr>
          <w:w w:val="105"/>
        </w:rPr>
        <w:t>is</w:t>
      </w:r>
      <w:r>
        <w:rPr>
          <w:spacing w:val="-7"/>
          <w:w w:val="105"/>
        </w:rPr>
        <w:t> </w:t>
      </w:r>
      <w:r>
        <w:rPr>
          <w:w w:val="105"/>
        </w:rPr>
        <w:t>a director of Amazon.com, Inc.</w:t>
      </w:r>
      <w:r>
        <w:rPr>
          <w:spacing w:val="40"/>
          <w:w w:val="105"/>
        </w:rPr>
        <w:t> </w:t>
      </w:r>
      <w:r>
        <w:rPr>
          <w:w w:val="105"/>
        </w:rPr>
        <w:t>Mr. Weeks joined Corning’s Board in 2000.</w:t>
      </w:r>
      <w:r>
        <w:rPr>
          <w:spacing w:val="40"/>
          <w:w w:val="105"/>
        </w:rPr>
        <w:t> </w:t>
      </w:r>
      <w:r>
        <w:rPr>
          <w:w w:val="105"/>
        </w:rPr>
        <w:t>Age 62.</w:t>
      </w:r>
    </w:p>
    <w:p>
      <w:pPr>
        <w:pStyle w:val="BodyText"/>
        <w:spacing w:before="18"/>
      </w:pPr>
    </w:p>
    <w:p>
      <w:pPr>
        <w:pStyle w:val="BodyText"/>
        <w:ind w:left="48"/>
        <w:jc w:val="center"/>
      </w:pPr>
      <w:r>
        <w:rPr>
          <w:spacing w:val="-5"/>
          <w:w w:val="105"/>
        </w:rPr>
        <w:t>53</w:t>
      </w:r>
    </w:p>
    <w:p>
      <w:pPr>
        <w:pStyle w:val="BodyText"/>
        <w:rPr>
          <w:sz w:val="6"/>
        </w:rPr>
      </w:pPr>
      <w:r>
        <w:rPr/>
        <mc:AlternateContent>
          <mc:Choice Requires="wps">
            <w:drawing>
              <wp:anchor distT="0" distB="0" distL="0" distR="0" allowOverlap="1" layoutInCell="1" locked="0" behindDoc="1" simplePos="0" relativeHeight="487626240">
                <wp:simplePos x="0" y="0"/>
                <wp:positionH relativeFrom="page">
                  <wp:posOffset>226488</wp:posOffset>
                </wp:positionH>
                <wp:positionV relativeFrom="paragraph">
                  <wp:posOffset>59051</wp:posOffset>
                </wp:positionV>
                <wp:extent cx="7312659" cy="1651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90240;mso-wrap-distance-left:0;mso-wrap-distance-right:0" id="docshape84"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spacing w:before="0"/>
        <w:ind w:left="156" w:right="0" w:firstLine="0"/>
        <w:jc w:val="left"/>
        <w:rPr>
          <w:i/>
          <w:sz w:val="16"/>
        </w:rPr>
      </w:pPr>
      <w:r>
        <w:rPr>
          <w:w w:val="105"/>
          <w:sz w:val="16"/>
        </w:rPr>
        <w:t>Mark</w:t>
      </w:r>
      <w:r>
        <w:rPr>
          <w:spacing w:val="-11"/>
          <w:w w:val="105"/>
          <w:sz w:val="16"/>
        </w:rPr>
        <w:t> </w:t>
      </w:r>
      <w:r>
        <w:rPr>
          <w:w w:val="105"/>
          <w:sz w:val="16"/>
        </w:rPr>
        <w:t>S.</w:t>
      </w:r>
      <w:r>
        <w:rPr>
          <w:spacing w:val="-10"/>
          <w:w w:val="105"/>
          <w:sz w:val="16"/>
        </w:rPr>
        <w:t> </w:t>
      </w:r>
      <w:r>
        <w:rPr>
          <w:w w:val="105"/>
          <w:sz w:val="16"/>
        </w:rPr>
        <w:t>Wrighton</w:t>
      </w:r>
      <w:r>
        <w:rPr>
          <w:spacing w:val="22"/>
          <w:w w:val="105"/>
          <w:sz w:val="16"/>
        </w:rPr>
        <w:t> </w:t>
      </w:r>
      <w:r>
        <w:rPr>
          <w:i/>
          <w:w w:val="105"/>
          <w:sz w:val="16"/>
        </w:rPr>
        <w:t>Interim</w:t>
      </w:r>
      <w:r>
        <w:rPr>
          <w:i/>
          <w:spacing w:val="-11"/>
          <w:w w:val="105"/>
          <w:sz w:val="16"/>
        </w:rPr>
        <w:t> </w:t>
      </w:r>
      <w:r>
        <w:rPr>
          <w:i/>
          <w:w w:val="105"/>
          <w:sz w:val="16"/>
        </w:rPr>
        <w:t>President,</w:t>
      </w:r>
      <w:r>
        <w:rPr>
          <w:i/>
          <w:spacing w:val="-10"/>
          <w:w w:val="105"/>
          <w:sz w:val="16"/>
        </w:rPr>
        <w:t> </w:t>
      </w:r>
      <w:r>
        <w:rPr>
          <w:i/>
          <w:w w:val="105"/>
          <w:sz w:val="16"/>
        </w:rPr>
        <w:t>George</w:t>
      </w:r>
      <w:r>
        <w:rPr>
          <w:i/>
          <w:spacing w:val="-10"/>
          <w:w w:val="105"/>
          <w:sz w:val="16"/>
        </w:rPr>
        <w:t> </w:t>
      </w:r>
      <w:r>
        <w:rPr>
          <w:i/>
          <w:w w:val="105"/>
          <w:sz w:val="16"/>
        </w:rPr>
        <w:t>Washington</w:t>
      </w:r>
      <w:r>
        <w:rPr>
          <w:i/>
          <w:spacing w:val="-11"/>
          <w:w w:val="105"/>
          <w:sz w:val="16"/>
        </w:rPr>
        <w:t> </w:t>
      </w:r>
      <w:r>
        <w:rPr>
          <w:i/>
          <w:spacing w:val="-2"/>
          <w:w w:val="105"/>
          <w:sz w:val="16"/>
        </w:rPr>
        <w:t>University</w:t>
      </w:r>
    </w:p>
    <w:p>
      <w:pPr>
        <w:pStyle w:val="BodyText"/>
        <w:spacing w:line="266" w:lineRule="auto" w:before="20"/>
        <w:ind w:left="156" w:right="117"/>
      </w:pPr>
      <w:r>
        <w:rPr>
          <w:w w:val="105"/>
        </w:rPr>
        <w:t>Dr.</w:t>
      </w:r>
      <w:r>
        <w:rPr>
          <w:spacing w:val="-2"/>
          <w:w w:val="105"/>
        </w:rPr>
        <w:t> </w:t>
      </w:r>
      <w:r>
        <w:rPr>
          <w:w w:val="105"/>
        </w:rPr>
        <w:t>Wrighton</w:t>
      </w:r>
      <w:r>
        <w:rPr>
          <w:spacing w:val="-2"/>
          <w:w w:val="105"/>
        </w:rPr>
        <w:t> </w:t>
      </w:r>
      <w:r>
        <w:rPr>
          <w:w w:val="105"/>
        </w:rPr>
        <w:t>has</w:t>
      </w:r>
      <w:r>
        <w:rPr>
          <w:spacing w:val="-2"/>
          <w:w w:val="105"/>
        </w:rPr>
        <w:t> </w:t>
      </w:r>
      <w:r>
        <w:rPr>
          <w:w w:val="105"/>
        </w:rPr>
        <w:t>more</w:t>
      </w:r>
      <w:r>
        <w:rPr>
          <w:spacing w:val="-2"/>
          <w:w w:val="105"/>
        </w:rPr>
        <w:t> </w:t>
      </w:r>
      <w:r>
        <w:rPr>
          <w:w w:val="105"/>
        </w:rPr>
        <w:t>than</w:t>
      </w:r>
      <w:r>
        <w:rPr>
          <w:spacing w:val="-2"/>
          <w:w w:val="105"/>
        </w:rPr>
        <w:t> </w:t>
      </w:r>
      <w:r>
        <w:rPr>
          <w:w w:val="105"/>
        </w:rPr>
        <w:t>28</w:t>
      </w:r>
      <w:r>
        <w:rPr>
          <w:spacing w:val="-2"/>
          <w:w w:val="105"/>
        </w:rPr>
        <w:t> </w:t>
      </w:r>
      <w:r>
        <w:rPr>
          <w:w w:val="105"/>
        </w:rPr>
        <w:t>years</w:t>
      </w:r>
      <w:r>
        <w:rPr>
          <w:spacing w:val="-2"/>
          <w:w w:val="105"/>
        </w:rPr>
        <w:t> </w:t>
      </w:r>
      <w:r>
        <w:rPr>
          <w:w w:val="105"/>
        </w:rPr>
        <w:t>of</w:t>
      </w:r>
      <w:r>
        <w:rPr>
          <w:spacing w:val="-2"/>
          <w:w w:val="105"/>
        </w:rPr>
        <w:t> </w:t>
      </w:r>
      <w:r>
        <w:rPr>
          <w:w w:val="105"/>
        </w:rPr>
        <w:t>leadership</w:t>
      </w:r>
      <w:r>
        <w:rPr>
          <w:spacing w:val="-2"/>
          <w:w w:val="105"/>
        </w:rPr>
        <w:t> </w:t>
      </w:r>
      <w:r>
        <w:rPr>
          <w:w w:val="105"/>
        </w:rPr>
        <w:t>experience</w:t>
      </w:r>
      <w:r>
        <w:rPr>
          <w:spacing w:val="-2"/>
          <w:w w:val="105"/>
        </w:rPr>
        <w:t> </w:t>
      </w:r>
      <w:r>
        <w:rPr>
          <w:w w:val="105"/>
        </w:rPr>
        <w:t>overseeing</w:t>
      </w:r>
      <w:r>
        <w:rPr>
          <w:spacing w:val="-2"/>
          <w:w w:val="105"/>
        </w:rPr>
        <w:t> </w:t>
      </w:r>
      <w:r>
        <w:rPr>
          <w:w w:val="105"/>
        </w:rPr>
        <w:t>large</w:t>
      </w:r>
      <w:r>
        <w:rPr>
          <w:spacing w:val="-2"/>
          <w:w w:val="105"/>
        </w:rPr>
        <w:t> </w:t>
      </w:r>
      <w:r>
        <w:rPr>
          <w:w w:val="105"/>
        </w:rPr>
        <w:t>research</w:t>
      </w:r>
      <w:r>
        <w:rPr>
          <w:spacing w:val="-2"/>
          <w:w w:val="105"/>
        </w:rPr>
        <w:t> </w:t>
      </w:r>
      <w:r>
        <w:rPr>
          <w:w w:val="105"/>
        </w:rPr>
        <w:t>universities.</w:t>
      </w:r>
      <w:r>
        <w:rPr>
          <w:spacing w:val="-2"/>
          <w:w w:val="105"/>
        </w:rPr>
        <w:t> </w:t>
      </w:r>
      <w:r>
        <w:rPr>
          <w:w w:val="105"/>
        </w:rPr>
        <w:t>He</w:t>
      </w:r>
      <w:r>
        <w:rPr>
          <w:spacing w:val="-2"/>
          <w:w w:val="105"/>
        </w:rPr>
        <w:t> </w:t>
      </w:r>
      <w:r>
        <w:rPr>
          <w:w w:val="105"/>
        </w:rPr>
        <w:t>currently</w:t>
      </w:r>
      <w:r>
        <w:rPr>
          <w:spacing w:val="-2"/>
          <w:w w:val="105"/>
        </w:rPr>
        <w:t> </w:t>
      </w:r>
      <w:r>
        <w:rPr>
          <w:w w:val="105"/>
        </w:rPr>
        <w:t>serves</w:t>
      </w:r>
      <w:r>
        <w:rPr>
          <w:spacing w:val="-2"/>
          <w:w w:val="105"/>
        </w:rPr>
        <w:t> </w:t>
      </w:r>
      <w:r>
        <w:rPr>
          <w:w w:val="105"/>
        </w:rPr>
        <w:t>as</w:t>
      </w:r>
      <w:r>
        <w:rPr>
          <w:spacing w:val="-2"/>
          <w:w w:val="105"/>
        </w:rPr>
        <w:t> </w:t>
      </w:r>
      <w:r>
        <w:rPr>
          <w:w w:val="105"/>
        </w:rPr>
        <w:t>interim</w:t>
      </w:r>
      <w:r>
        <w:rPr>
          <w:spacing w:val="-2"/>
          <w:w w:val="105"/>
        </w:rPr>
        <w:t> </w:t>
      </w:r>
      <w:r>
        <w:rPr>
          <w:w w:val="105"/>
        </w:rPr>
        <w:t>president</w:t>
      </w:r>
      <w:r>
        <w:rPr>
          <w:spacing w:val="-2"/>
          <w:w w:val="105"/>
        </w:rPr>
        <w:t> </w:t>
      </w:r>
      <w:r>
        <w:rPr>
          <w:w w:val="105"/>
        </w:rPr>
        <w:t>of</w:t>
      </w:r>
      <w:r>
        <w:rPr>
          <w:spacing w:val="-2"/>
          <w:w w:val="105"/>
        </w:rPr>
        <w:t> </w:t>
      </w:r>
      <w:r>
        <w:rPr>
          <w:w w:val="105"/>
        </w:rPr>
        <w:t>George</w:t>
      </w:r>
      <w:r>
        <w:rPr>
          <w:spacing w:val="-2"/>
          <w:w w:val="105"/>
        </w:rPr>
        <w:t> </w:t>
      </w:r>
      <w:r>
        <w:rPr>
          <w:w w:val="105"/>
        </w:rPr>
        <w:t>Washington University,</w:t>
      </w:r>
      <w:r>
        <w:rPr>
          <w:spacing w:val="-2"/>
          <w:w w:val="105"/>
        </w:rPr>
        <w:t> </w:t>
      </w:r>
      <w:r>
        <w:rPr>
          <w:w w:val="105"/>
        </w:rPr>
        <w:t>on</w:t>
      </w:r>
      <w:r>
        <w:rPr>
          <w:spacing w:val="-2"/>
          <w:w w:val="105"/>
        </w:rPr>
        <w:t> </w:t>
      </w:r>
      <w:r>
        <w:rPr>
          <w:w w:val="105"/>
        </w:rPr>
        <w:t>sabbatical</w:t>
      </w:r>
      <w:r>
        <w:rPr>
          <w:spacing w:val="-2"/>
          <w:w w:val="105"/>
        </w:rPr>
        <w:t> </w:t>
      </w:r>
      <w:r>
        <w:rPr>
          <w:w w:val="105"/>
        </w:rPr>
        <w:t>from</w:t>
      </w:r>
      <w:r>
        <w:rPr>
          <w:spacing w:val="-2"/>
          <w:w w:val="105"/>
        </w:rPr>
        <w:t> </w:t>
      </w:r>
      <w:r>
        <w:rPr>
          <w:w w:val="105"/>
        </w:rPr>
        <w:t>his</w:t>
      </w:r>
      <w:r>
        <w:rPr>
          <w:spacing w:val="-2"/>
          <w:w w:val="105"/>
        </w:rPr>
        <w:t> </w:t>
      </w:r>
      <w:r>
        <w:rPr>
          <w:w w:val="105"/>
        </w:rPr>
        <w:t>position</w:t>
      </w:r>
      <w:r>
        <w:rPr>
          <w:spacing w:val="-2"/>
          <w:w w:val="105"/>
        </w:rPr>
        <w:t> </w:t>
      </w:r>
      <w:r>
        <w:rPr>
          <w:w w:val="105"/>
        </w:rPr>
        <w:t>as</w:t>
      </w:r>
      <w:r>
        <w:rPr>
          <w:spacing w:val="-2"/>
          <w:w w:val="105"/>
        </w:rPr>
        <w:t> </w:t>
      </w:r>
      <w:r>
        <w:rPr>
          <w:w w:val="105"/>
        </w:rPr>
        <w:t>a</w:t>
      </w:r>
      <w:r>
        <w:rPr>
          <w:spacing w:val="-2"/>
          <w:w w:val="105"/>
        </w:rPr>
        <w:t> </w:t>
      </w:r>
      <w:r>
        <w:rPr>
          <w:w w:val="105"/>
        </w:rPr>
        <w:t>professor</w:t>
      </w:r>
      <w:r>
        <w:rPr>
          <w:spacing w:val="-2"/>
          <w:w w:val="105"/>
        </w:rPr>
        <w:t> </w:t>
      </w:r>
      <w:r>
        <w:rPr>
          <w:w w:val="105"/>
        </w:rPr>
        <w:t>and chancellor</w:t>
      </w:r>
      <w:r>
        <w:rPr>
          <w:spacing w:val="-2"/>
          <w:w w:val="105"/>
        </w:rPr>
        <w:t> </w:t>
      </w:r>
      <w:r>
        <w:rPr>
          <w:w w:val="105"/>
        </w:rPr>
        <w:t>emeritus</w:t>
      </w:r>
      <w:r>
        <w:rPr>
          <w:spacing w:val="-2"/>
          <w:w w:val="105"/>
        </w:rPr>
        <w:t> </w:t>
      </w:r>
      <w:r>
        <w:rPr>
          <w:w w:val="105"/>
        </w:rPr>
        <w:t>of</w:t>
      </w:r>
      <w:r>
        <w:rPr>
          <w:spacing w:val="-2"/>
          <w:w w:val="105"/>
        </w:rPr>
        <w:t> </w:t>
      </w:r>
      <w:r>
        <w:rPr>
          <w:w w:val="105"/>
        </w:rPr>
        <w:t>Washington</w:t>
      </w:r>
      <w:r>
        <w:rPr>
          <w:spacing w:val="-2"/>
          <w:w w:val="105"/>
        </w:rPr>
        <w:t> </w:t>
      </w:r>
      <w:r>
        <w:rPr>
          <w:w w:val="105"/>
        </w:rPr>
        <w:t>University</w:t>
      </w:r>
      <w:r>
        <w:rPr>
          <w:spacing w:val="-2"/>
          <w:w w:val="105"/>
        </w:rPr>
        <w:t> </w:t>
      </w:r>
      <w:r>
        <w:rPr>
          <w:w w:val="105"/>
        </w:rPr>
        <w:t>in</w:t>
      </w:r>
      <w:r>
        <w:rPr>
          <w:spacing w:val="-2"/>
          <w:w w:val="105"/>
        </w:rPr>
        <w:t> </w:t>
      </w:r>
      <w:r>
        <w:rPr>
          <w:w w:val="105"/>
        </w:rPr>
        <w:t>St.</w:t>
      </w:r>
      <w:r>
        <w:rPr>
          <w:spacing w:val="-2"/>
          <w:w w:val="105"/>
        </w:rPr>
        <w:t> </w:t>
      </w:r>
      <w:r>
        <w:rPr>
          <w:w w:val="105"/>
        </w:rPr>
        <w:t>Louis</w:t>
      </w:r>
      <w:r>
        <w:rPr>
          <w:spacing w:val="-2"/>
          <w:w w:val="105"/>
        </w:rPr>
        <w:t> </w:t>
      </w:r>
      <w:r>
        <w:rPr>
          <w:w w:val="105"/>
        </w:rPr>
        <w:t>where</w:t>
      </w:r>
      <w:r>
        <w:rPr>
          <w:spacing w:val="-2"/>
          <w:w w:val="105"/>
        </w:rPr>
        <w:t> </w:t>
      </w:r>
      <w:r>
        <w:rPr>
          <w:w w:val="105"/>
        </w:rPr>
        <w:t>he</w:t>
      </w:r>
      <w:r>
        <w:rPr>
          <w:spacing w:val="-2"/>
          <w:w w:val="105"/>
        </w:rPr>
        <w:t> </w:t>
      </w:r>
      <w:r>
        <w:rPr>
          <w:w w:val="105"/>
        </w:rPr>
        <w:t>served</w:t>
      </w:r>
      <w:r>
        <w:rPr>
          <w:spacing w:val="-2"/>
          <w:w w:val="105"/>
        </w:rPr>
        <w:t> </w:t>
      </w:r>
      <w:r>
        <w:rPr>
          <w:w w:val="105"/>
        </w:rPr>
        <w:t>24</w:t>
      </w:r>
      <w:r>
        <w:rPr>
          <w:spacing w:val="-2"/>
          <w:w w:val="105"/>
        </w:rPr>
        <w:t> </w:t>
      </w:r>
      <w:r>
        <w:rPr>
          <w:w w:val="105"/>
        </w:rPr>
        <w:t>years</w:t>
      </w:r>
      <w:r>
        <w:rPr>
          <w:spacing w:val="-2"/>
          <w:w w:val="105"/>
        </w:rPr>
        <w:t> </w:t>
      </w:r>
      <w:r>
        <w:rPr>
          <w:w w:val="105"/>
        </w:rPr>
        <w:t>as</w:t>
      </w:r>
      <w:r>
        <w:rPr>
          <w:spacing w:val="-2"/>
          <w:w w:val="105"/>
        </w:rPr>
        <w:t> </w:t>
      </w:r>
      <w:r>
        <w:rPr>
          <w:w w:val="105"/>
        </w:rPr>
        <w:t>its</w:t>
      </w:r>
      <w:r>
        <w:rPr>
          <w:spacing w:val="-2"/>
          <w:w w:val="105"/>
        </w:rPr>
        <w:t> </w:t>
      </w:r>
      <w:r>
        <w:rPr>
          <w:w w:val="105"/>
        </w:rPr>
        <w:t>chief</w:t>
      </w:r>
      <w:r>
        <w:rPr>
          <w:spacing w:val="-2"/>
          <w:w w:val="105"/>
        </w:rPr>
        <w:t> </w:t>
      </w:r>
      <w:r>
        <w:rPr>
          <w:w w:val="105"/>
        </w:rPr>
        <w:t>executive officer</w:t>
      </w:r>
      <w:r>
        <w:rPr>
          <w:spacing w:val="-8"/>
          <w:w w:val="105"/>
        </w:rPr>
        <w:t> </w:t>
      </w:r>
      <w:r>
        <w:rPr>
          <w:w w:val="105"/>
        </w:rPr>
        <w:t>and</w:t>
      </w:r>
      <w:r>
        <w:rPr>
          <w:spacing w:val="-8"/>
          <w:w w:val="105"/>
        </w:rPr>
        <w:t> </w:t>
      </w:r>
      <w:r>
        <w:rPr>
          <w:w w:val="105"/>
        </w:rPr>
        <w:t>14</w:t>
      </w:r>
      <w:r>
        <w:rPr>
          <w:spacing w:val="-8"/>
          <w:w w:val="105"/>
        </w:rPr>
        <w:t> </w:t>
      </w:r>
      <w:r>
        <w:rPr>
          <w:w w:val="105"/>
        </w:rPr>
        <w:t>years</w:t>
      </w:r>
      <w:r>
        <w:rPr>
          <w:spacing w:val="-8"/>
          <w:w w:val="105"/>
        </w:rPr>
        <w:t> </w:t>
      </w:r>
      <w:r>
        <w:rPr>
          <w:w w:val="105"/>
        </w:rPr>
        <w:t>as</w:t>
      </w:r>
      <w:r>
        <w:rPr>
          <w:spacing w:val="-8"/>
          <w:w w:val="105"/>
        </w:rPr>
        <w:t> </w:t>
      </w:r>
      <w:r>
        <w:rPr>
          <w:w w:val="105"/>
        </w:rPr>
        <w:t>chancellor.</w:t>
      </w:r>
      <w:r>
        <w:rPr>
          <w:spacing w:val="-8"/>
          <w:w w:val="105"/>
        </w:rPr>
        <w:t> </w:t>
      </w:r>
      <w:r>
        <w:rPr>
          <w:w w:val="105"/>
        </w:rPr>
        <w:t>Before</w:t>
      </w:r>
      <w:r>
        <w:rPr>
          <w:spacing w:val="-8"/>
          <w:w w:val="105"/>
        </w:rPr>
        <w:t> </w:t>
      </w:r>
      <w:r>
        <w:rPr>
          <w:w w:val="105"/>
        </w:rPr>
        <w:t>joining</w:t>
      </w:r>
      <w:r>
        <w:rPr>
          <w:spacing w:val="-8"/>
          <w:w w:val="105"/>
        </w:rPr>
        <w:t> </w:t>
      </w:r>
      <w:r>
        <w:rPr>
          <w:w w:val="105"/>
        </w:rPr>
        <w:t>Washington</w:t>
      </w:r>
      <w:r>
        <w:rPr>
          <w:spacing w:val="-8"/>
          <w:w w:val="105"/>
        </w:rPr>
        <w:t> </w:t>
      </w:r>
      <w:r>
        <w:rPr>
          <w:w w:val="105"/>
        </w:rPr>
        <w:t>University</w:t>
      </w:r>
      <w:r>
        <w:rPr>
          <w:spacing w:val="-8"/>
          <w:w w:val="105"/>
        </w:rPr>
        <w:t> </w:t>
      </w:r>
      <w:r>
        <w:rPr>
          <w:w w:val="105"/>
        </w:rPr>
        <w:t>in</w:t>
      </w:r>
      <w:r>
        <w:rPr>
          <w:spacing w:val="-8"/>
          <w:w w:val="105"/>
        </w:rPr>
        <w:t> </w:t>
      </w:r>
      <w:r>
        <w:rPr>
          <w:w w:val="105"/>
        </w:rPr>
        <w:t>St.</w:t>
      </w:r>
      <w:r>
        <w:rPr>
          <w:spacing w:val="-8"/>
          <w:w w:val="105"/>
        </w:rPr>
        <w:t> </w:t>
      </w:r>
      <w:r>
        <w:rPr>
          <w:w w:val="105"/>
        </w:rPr>
        <w:t>Louis,</w:t>
      </w:r>
      <w:r>
        <w:rPr>
          <w:spacing w:val="-8"/>
          <w:w w:val="105"/>
        </w:rPr>
        <w:t> </w:t>
      </w:r>
      <w:r>
        <w:rPr>
          <w:w w:val="105"/>
        </w:rPr>
        <w:t>he</w:t>
      </w:r>
      <w:r>
        <w:rPr>
          <w:spacing w:val="-8"/>
          <w:w w:val="105"/>
        </w:rPr>
        <w:t> </w:t>
      </w:r>
      <w:r>
        <w:rPr>
          <w:w w:val="105"/>
        </w:rPr>
        <w:t>was</w:t>
      </w:r>
      <w:r>
        <w:rPr>
          <w:spacing w:val="-8"/>
          <w:w w:val="105"/>
        </w:rPr>
        <w:t> </w:t>
      </w:r>
      <w:r>
        <w:rPr>
          <w:w w:val="105"/>
        </w:rPr>
        <w:t>a</w:t>
      </w:r>
      <w:r>
        <w:rPr>
          <w:spacing w:val="-8"/>
          <w:w w:val="105"/>
        </w:rPr>
        <w:t> </w:t>
      </w:r>
      <w:r>
        <w:rPr>
          <w:w w:val="105"/>
        </w:rPr>
        <w:t>researcher</w:t>
      </w:r>
      <w:r>
        <w:rPr>
          <w:spacing w:val="-8"/>
          <w:w w:val="105"/>
        </w:rPr>
        <w:t> </w:t>
      </w:r>
      <w:r>
        <w:rPr>
          <w:w w:val="105"/>
        </w:rPr>
        <w:t>and</w:t>
      </w:r>
      <w:r>
        <w:rPr>
          <w:spacing w:val="-8"/>
          <w:w w:val="105"/>
        </w:rPr>
        <w:t> </w:t>
      </w:r>
      <w:r>
        <w:rPr>
          <w:w w:val="105"/>
        </w:rPr>
        <w:t>professor</w:t>
      </w:r>
      <w:r>
        <w:rPr>
          <w:spacing w:val="-8"/>
          <w:w w:val="105"/>
        </w:rPr>
        <w:t> </w:t>
      </w:r>
      <w:r>
        <w:rPr>
          <w:w w:val="105"/>
        </w:rPr>
        <w:t>at</w:t>
      </w:r>
      <w:r>
        <w:rPr>
          <w:spacing w:val="-7"/>
          <w:w w:val="105"/>
        </w:rPr>
        <w:t> </w:t>
      </w:r>
      <w:r>
        <w:rPr>
          <w:w w:val="105"/>
        </w:rPr>
        <w:t>the</w:t>
      </w:r>
      <w:r>
        <w:rPr>
          <w:spacing w:val="-8"/>
          <w:w w:val="105"/>
        </w:rPr>
        <w:t> </w:t>
      </w:r>
      <w:r>
        <w:rPr>
          <w:w w:val="105"/>
        </w:rPr>
        <w:t>Massachusetts</w:t>
      </w:r>
      <w:r>
        <w:rPr>
          <w:spacing w:val="-8"/>
          <w:w w:val="105"/>
        </w:rPr>
        <w:t> </w:t>
      </w:r>
      <w:r>
        <w:rPr>
          <w:w w:val="105"/>
        </w:rPr>
        <w:t>Institute</w:t>
      </w:r>
      <w:r>
        <w:rPr>
          <w:spacing w:val="-8"/>
          <w:w w:val="105"/>
        </w:rPr>
        <w:t> </w:t>
      </w:r>
      <w:r>
        <w:rPr>
          <w:w w:val="105"/>
        </w:rPr>
        <w:t>of</w:t>
      </w:r>
      <w:r>
        <w:rPr>
          <w:spacing w:val="-8"/>
          <w:w w:val="105"/>
        </w:rPr>
        <w:t> </w:t>
      </w:r>
      <w:r>
        <w:rPr>
          <w:w w:val="105"/>
        </w:rPr>
        <w:t>Technology,</w:t>
      </w:r>
      <w:r>
        <w:rPr>
          <w:spacing w:val="-8"/>
          <w:w w:val="105"/>
        </w:rPr>
        <w:t> </w:t>
      </w:r>
      <w:r>
        <w:rPr>
          <w:w w:val="105"/>
        </w:rPr>
        <w:t>where he</w:t>
      </w:r>
      <w:r>
        <w:rPr>
          <w:spacing w:val="-2"/>
          <w:w w:val="105"/>
        </w:rPr>
        <w:t> </w:t>
      </w:r>
      <w:r>
        <w:rPr>
          <w:w w:val="105"/>
        </w:rPr>
        <w:t>was</w:t>
      </w:r>
      <w:r>
        <w:rPr>
          <w:spacing w:val="-2"/>
          <w:w w:val="105"/>
        </w:rPr>
        <w:t> </w:t>
      </w:r>
      <w:r>
        <w:rPr>
          <w:w w:val="105"/>
        </w:rPr>
        <w:t>head</w:t>
      </w:r>
      <w:r>
        <w:rPr>
          <w:spacing w:val="-2"/>
          <w:w w:val="105"/>
        </w:rPr>
        <w:t> </w:t>
      </w:r>
      <w:r>
        <w:rPr>
          <w:w w:val="105"/>
        </w:rPr>
        <w:t>of</w:t>
      </w:r>
      <w:r>
        <w:rPr>
          <w:spacing w:val="-2"/>
          <w:w w:val="105"/>
        </w:rPr>
        <w:t> </w:t>
      </w:r>
      <w:r>
        <w:rPr>
          <w:w w:val="105"/>
        </w:rPr>
        <w:t>the</w:t>
      </w:r>
      <w:r>
        <w:rPr>
          <w:spacing w:val="-2"/>
          <w:w w:val="105"/>
        </w:rPr>
        <w:t> </w:t>
      </w:r>
      <w:r>
        <w:rPr>
          <w:w w:val="105"/>
        </w:rPr>
        <w:t>Department</w:t>
      </w:r>
      <w:r>
        <w:rPr>
          <w:spacing w:val="-2"/>
          <w:w w:val="105"/>
        </w:rPr>
        <w:t> </w:t>
      </w:r>
      <w:r>
        <w:rPr>
          <w:w w:val="105"/>
        </w:rPr>
        <w:t>of</w:t>
      </w:r>
      <w:r>
        <w:rPr>
          <w:spacing w:val="-2"/>
          <w:w w:val="105"/>
        </w:rPr>
        <w:t> </w:t>
      </w:r>
      <w:r>
        <w:rPr>
          <w:w w:val="105"/>
        </w:rPr>
        <w:t>Chemistry</w:t>
      </w:r>
      <w:r>
        <w:rPr>
          <w:spacing w:val="-2"/>
          <w:w w:val="105"/>
        </w:rPr>
        <w:t> </w:t>
      </w:r>
      <w:r>
        <w:rPr>
          <w:w w:val="105"/>
        </w:rPr>
        <w:t>from</w:t>
      </w:r>
      <w:r>
        <w:rPr>
          <w:spacing w:val="-2"/>
          <w:w w:val="105"/>
        </w:rPr>
        <w:t> </w:t>
      </w:r>
      <w:r>
        <w:rPr>
          <w:w w:val="105"/>
        </w:rPr>
        <w:t>1987</w:t>
      </w:r>
      <w:r>
        <w:rPr>
          <w:spacing w:val="-2"/>
          <w:w w:val="105"/>
        </w:rPr>
        <w:t> </w:t>
      </w:r>
      <w:r>
        <w:rPr>
          <w:w w:val="105"/>
        </w:rPr>
        <w:t>to</w:t>
      </w:r>
      <w:r>
        <w:rPr>
          <w:spacing w:val="-2"/>
          <w:w w:val="105"/>
        </w:rPr>
        <w:t> </w:t>
      </w:r>
      <w:r>
        <w:rPr>
          <w:w w:val="105"/>
        </w:rPr>
        <w:t>1990,</w:t>
      </w:r>
      <w:r>
        <w:rPr>
          <w:spacing w:val="-2"/>
          <w:w w:val="105"/>
        </w:rPr>
        <w:t> </w:t>
      </w:r>
      <w:r>
        <w:rPr>
          <w:w w:val="105"/>
        </w:rPr>
        <w:t>and</w:t>
      </w:r>
      <w:r>
        <w:rPr>
          <w:spacing w:val="-2"/>
          <w:w w:val="105"/>
        </w:rPr>
        <w:t> </w:t>
      </w:r>
      <w:r>
        <w:rPr>
          <w:w w:val="105"/>
        </w:rPr>
        <w:t>then</w:t>
      </w:r>
      <w:r>
        <w:rPr>
          <w:spacing w:val="-2"/>
          <w:w w:val="105"/>
        </w:rPr>
        <w:t> </w:t>
      </w:r>
      <w:r>
        <w:rPr>
          <w:w w:val="105"/>
        </w:rPr>
        <w:t>provost</w:t>
      </w:r>
      <w:r>
        <w:rPr>
          <w:spacing w:val="-2"/>
          <w:w w:val="105"/>
        </w:rPr>
        <w:t> </w:t>
      </w:r>
      <w:r>
        <w:rPr>
          <w:w w:val="105"/>
        </w:rPr>
        <w:t>from</w:t>
      </w:r>
      <w:r>
        <w:rPr>
          <w:spacing w:val="-2"/>
          <w:w w:val="105"/>
        </w:rPr>
        <w:t> </w:t>
      </w:r>
      <w:r>
        <w:rPr>
          <w:w w:val="105"/>
        </w:rPr>
        <w:t>1990</w:t>
      </w:r>
      <w:r>
        <w:rPr>
          <w:spacing w:val="-2"/>
          <w:w w:val="105"/>
        </w:rPr>
        <w:t> </w:t>
      </w:r>
      <w:r>
        <w:rPr>
          <w:w w:val="105"/>
        </w:rPr>
        <w:t>to</w:t>
      </w:r>
      <w:r>
        <w:rPr>
          <w:spacing w:val="-2"/>
          <w:w w:val="105"/>
        </w:rPr>
        <w:t> </w:t>
      </w:r>
      <w:r>
        <w:rPr>
          <w:w w:val="105"/>
        </w:rPr>
        <w:t>1995.</w:t>
      </w:r>
      <w:r>
        <w:rPr>
          <w:spacing w:val="-2"/>
          <w:w w:val="105"/>
        </w:rPr>
        <w:t> </w:t>
      </w:r>
      <w:r>
        <w:rPr>
          <w:w w:val="105"/>
        </w:rPr>
        <w:t>Dr.</w:t>
      </w:r>
      <w:r>
        <w:rPr>
          <w:spacing w:val="-2"/>
          <w:w w:val="105"/>
        </w:rPr>
        <w:t> </w:t>
      </w:r>
      <w:r>
        <w:rPr>
          <w:w w:val="105"/>
        </w:rPr>
        <w:t>Wrighton</w:t>
      </w:r>
      <w:r>
        <w:rPr>
          <w:spacing w:val="-2"/>
          <w:w w:val="105"/>
        </w:rPr>
        <w:t> </w:t>
      </w:r>
      <w:r>
        <w:rPr>
          <w:w w:val="105"/>
        </w:rPr>
        <w:t>served</w:t>
      </w:r>
      <w:r>
        <w:rPr>
          <w:spacing w:val="-2"/>
          <w:w w:val="105"/>
        </w:rPr>
        <w:t> </w:t>
      </w:r>
      <w:r>
        <w:rPr>
          <w:w w:val="105"/>
        </w:rPr>
        <w:t>as a</w:t>
      </w:r>
      <w:r>
        <w:rPr>
          <w:spacing w:val="-2"/>
          <w:w w:val="105"/>
        </w:rPr>
        <w:t> </w:t>
      </w:r>
      <w:r>
        <w:rPr>
          <w:w w:val="105"/>
        </w:rPr>
        <w:t>presidential</w:t>
      </w:r>
      <w:r>
        <w:rPr>
          <w:spacing w:val="-2"/>
          <w:w w:val="105"/>
        </w:rPr>
        <w:t> </w:t>
      </w:r>
      <w:r>
        <w:rPr>
          <w:w w:val="105"/>
        </w:rPr>
        <w:t>appointee</w:t>
      </w:r>
      <w:r>
        <w:rPr>
          <w:spacing w:val="-2"/>
          <w:w w:val="105"/>
        </w:rPr>
        <w:t> </w:t>
      </w:r>
      <w:r>
        <w:rPr>
          <w:w w:val="105"/>
        </w:rPr>
        <w:t>to</w:t>
      </w:r>
      <w:r>
        <w:rPr>
          <w:spacing w:val="-2"/>
          <w:w w:val="105"/>
        </w:rPr>
        <w:t> </w:t>
      </w:r>
      <w:r>
        <w:rPr>
          <w:w w:val="105"/>
        </w:rPr>
        <w:t>the</w:t>
      </w:r>
      <w:r>
        <w:rPr>
          <w:spacing w:val="-2"/>
          <w:w w:val="105"/>
        </w:rPr>
        <w:t> </w:t>
      </w:r>
      <w:r>
        <w:rPr>
          <w:w w:val="105"/>
        </w:rPr>
        <w:t>National Science</w:t>
      </w:r>
      <w:r>
        <w:rPr>
          <w:spacing w:val="-2"/>
          <w:w w:val="105"/>
        </w:rPr>
        <w:t> </w:t>
      </w:r>
      <w:r>
        <w:rPr>
          <w:w w:val="105"/>
        </w:rPr>
        <w:t>Board</w:t>
      </w:r>
      <w:r>
        <w:rPr>
          <w:spacing w:val="-2"/>
          <w:w w:val="105"/>
        </w:rPr>
        <w:t> </w:t>
      </w:r>
      <w:r>
        <w:rPr>
          <w:w w:val="105"/>
        </w:rPr>
        <w:t>from</w:t>
      </w:r>
      <w:r>
        <w:rPr>
          <w:spacing w:val="-2"/>
          <w:w w:val="105"/>
        </w:rPr>
        <w:t> </w:t>
      </w:r>
      <w:r>
        <w:rPr>
          <w:w w:val="105"/>
        </w:rPr>
        <w:t>2000</w:t>
      </w:r>
      <w:r>
        <w:rPr>
          <w:spacing w:val="-2"/>
          <w:w w:val="105"/>
        </w:rPr>
        <w:t> </w:t>
      </w:r>
      <w:r>
        <w:rPr>
          <w:w w:val="105"/>
        </w:rPr>
        <w:t>to</w:t>
      </w:r>
      <w:r>
        <w:rPr>
          <w:spacing w:val="-2"/>
          <w:w w:val="105"/>
        </w:rPr>
        <w:t> </w:t>
      </w:r>
      <w:r>
        <w:rPr>
          <w:w w:val="105"/>
        </w:rPr>
        <w:t>2006.</w:t>
      </w:r>
      <w:r>
        <w:rPr>
          <w:spacing w:val="-2"/>
          <w:w w:val="105"/>
        </w:rPr>
        <w:t> </w:t>
      </w:r>
      <w:r>
        <w:rPr>
          <w:w w:val="105"/>
        </w:rPr>
        <w:t>He</w:t>
      </w:r>
      <w:r>
        <w:rPr>
          <w:spacing w:val="-2"/>
          <w:w w:val="105"/>
        </w:rPr>
        <w:t> </w:t>
      </w:r>
      <w:r>
        <w:rPr>
          <w:w w:val="105"/>
        </w:rPr>
        <w:t>is</w:t>
      </w:r>
      <w:r>
        <w:rPr>
          <w:spacing w:val="-2"/>
          <w:w w:val="105"/>
        </w:rPr>
        <w:t> </w:t>
      </w:r>
      <w:r>
        <w:rPr>
          <w:w w:val="105"/>
        </w:rPr>
        <w:t>also a</w:t>
      </w:r>
      <w:r>
        <w:rPr>
          <w:spacing w:val="-2"/>
          <w:w w:val="105"/>
        </w:rPr>
        <w:t> </w:t>
      </w:r>
      <w:r>
        <w:rPr>
          <w:w w:val="105"/>
        </w:rPr>
        <w:t>past</w:t>
      </w:r>
      <w:r>
        <w:rPr>
          <w:spacing w:val="-2"/>
          <w:w w:val="105"/>
        </w:rPr>
        <w:t> </w:t>
      </w:r>
      <w:r>
        <w:rPr>
          <w:w w:val="105"/>
        </w:rPr>
        <w:t>chair</w:t>
      </w:r>
      <w:r>
        <w:rPr>
          <w:spacing w:val="-2"/>
          <w:w w:val="105"/>
        </w:rPr>
        <w:t> </w:t>
      </w:r>
      <w:r>
        <w:rPr>
          <w:w w:val="105"/>
        </w:rPr>
        <w:t>of</w:t>
      </w:r>
      <w:r>
        <w:rPr>
          <w:spacing w:val="-2"/>
          <w:w w:val="105"/>
        </w:rPr>
        <w:t> </w:t>
      </w:r>
      <w:r>
        <w:rPr>
          <w:w w:val="105"/>
        </w:rPr>
        <w:t>the</w:t>
      </w:r>
      <w:r>
        <w:rPr>
          <w:spacing w:val="-2"/>
          <w:w w:val="105"/>
        </w:rPr>
        <w:t> </w:t>
      </w:r>
      <w:r>
        <w:rPr>
          <w:w w:val="105"/>
        </w:rPr>
        <w:t>Association</w:t>
      </w:r>
      <w:r>
        <w:rPr>
          <w:spacing w:val="-2"/>
          <w:w w:val="105"/>
        </w:rPr>
        <w:t> </w:t>
      </w:r>
      <w:r>
        <w:rPr>
          <w:w w:val="105"/>
        </w:rPr>
        <w:t>of</w:t>
      </w:r>
      <w:r>
        <w:rPr>
          <w:spacing w:val="-2"/>
          <w:w w:val="105"/>
        </w:rPr>
        <w:t> </w:t>
      </w:r>
      <w:r>
        <w:rPr>
          <w:w w:val="105"/>
        </w:rPr>
        <w:t>American</w:t>
      </w:r>
      <w:r>
        <w:rPr>
          <w:spacing w:val="-2"/>
          <w:w w:val="105"/>
        </w:rPr>
        <w:t> </w:t>
      </w:r>
      <w:r>
        <w:rPr>
          <w:w w:val="105"/>
        </w:rPr>
        <w:t>Universities, the</w:t>
      </w:r>
      <w:r>
        <w:rPr>
          <w:spacing w:val="-2"/>
          <w:w w:val="105"/>
        </w:rPr>
        <w:t> </w:t>
      </w:r>
      <w:r>
        <w:rPr>
          <w:w w:val="105"/>
        </w:rPr>
        <w:t>Business</w:t>
      </w:r>
      <w:r>
        <w:rPr>
          <w:spacing w:val="-2"/>
          <w:w w:val="105"/>
        </w:rPr>
        <w:t> </w:t>
      </w:r>
      <w:r>
        <w:rPr>
          <w:w w:val="105"/>
        </w:rPr>
        <w:t>Higher</w:t>
      </w:r>
      <w:r>
        <w:rPr>
          <w:spacing w:val="-2"/>
          <w:w w:val="105"/>
        </w:rPr>
        <w:t> </w:t>
      </w:r>
      <w:r>
        <w:rPr>
          <w:w w:val="105"/>
        </w:rPr>
        <w:t>Education</w:t>
      </w:r>
      <w:r>
        <w:rPr>
          <w:spacing w:val="-2"/>
          <w:w w:val="105"/>
        </w:rPr>
        <w:t> </w:t>
      </w:r>
      <w:r>
        <w:rPr>
          <w:w w:val="105"/>
        </w:rPr>
        <w:t>Forum,</w:t>
      </w:r>
      <w:r>
        <w:rPr>
          <w:spacing w:val="-2"/>
          <w:w w:val="105"/>
        </w:rPr>
        <w:t> </w:t>
      </w:r>
      <w:r>
        <w:rPr>
          <w:w w:val="105"/>
        </w:rPr>
        <w:t>and</w:t>
      </w:r>
      <w:r>
        <w:rPr>
          <w:spacing w:val="-2"/>
          <w:w w:val="105"/>
        </w:rPr>
        <w:t> </w:t>
      </w:r>
      <w:r>
        <w:rPr>
          <w:w w:val="105"/>
        </w:rPr>
        <w:t>the</w:t>
      </w:r>
      <w:r>
        <w:rPr>
          <w:spacing w:val="-2"/>
          <w:w w:val="105"/>
        </w:rPr>
        <w:t> </w:t>
      </w:r>
      <w:r>
        <w:rPr>
          <w:w w:val="105"/>
        </w:rPr>
        <w:t>Consortium</w:t>
      </w:r>
      <w:r>
        <w:rPr>
          <w:spacing w:val="-2"/>
          <w:w w:val="105"/>
        </w:rPr>
        <w:t> </w:t>
      </w:r>
      <w:r>
        <w:rPr>
          <w:w w:val="105"/>
        </w:rPr>
        <w:t>on Financing</w:t>
      </w:r>
      <w:r>
        <w:rPr>
          <w:spacing w:val="-3"/>
          <w:w w:val="105"/>
        </w:rPr>
        <w:t> </w:t>
      </w:r>
      <w:r>
        <w:rPr>
          <w:w w:val="105"/>
        </w:rPr>
        <w:t>Higher</w:t>
      </w:r>
      <w:r>
        <w:rPr>
          <w:spacing w:val="-3"/>
          <w:w w:val="105"/>
        </w:rPr>
        <w:t> </w:t>
      </w:r>
      <w:r>
        <w:rPr>
          <w:w w:val="105"/>
        </w:rPr>
        <w:t>Education.</w:t>
      </w:r>
      <w:r>
        <w:rPr>
          <w:spacing w:val="-3"/>
          <w:w w:val="105"/>
        </w:rPr>
        <w:t> </w:t>
      </w:r>
      <w:r>
        <w:rPr>
          <w:w w:val="105"/>
        </w:rPr>
        <w:t>He</w:t>
      </w:r>
      <w:r>
        <w:rPr>
          <w:spacing w:val="-3"/>
          <w:w w:val="105"/>
        </w:rPr>
        <w:t> </w:t>
      </w:r>
      <w:r>
        <w:rPr>
          <w:w w:val="105"/>
        </w:rPr>
        <w:t>was</w:t>
      </w:r>
      <w:r>
        <w:rPr>
          <w:spacing w:val="-3"/>
          <w:w w:val="105"/>
        </w:rPr>
        <w:t> </w:t>
      </w:r>
      <w:r>
        <w:rPr>
          <w:w w:val="105"/>
        </w:rPr>
        <w:t>elected</w:t>
      </w:r>
      <w:r>
        <w:rPr>
          <w:spacing w:val="-3"/>
          <w:w w:val="105"/>
        </w:rPr>
        <w:t> </w:t>
      </w:r>
      <w:r>
        <w:rPr>
          <w:w w:val="105"/>
        </w:rPr>
        <w:t>to</w:t>
      </w:r>
      <w:r>
        <w:rPr>
          <w:spacing w:val="-3"/>
          <w:w w:val="105"/>
        </w:rPr>
        <w:t> </w:t>
      </w:r>
      <w:r>
        <w:rPr>
          <w:w w:val="105"/>
        </w:rPr>
        <w:t>membership</w:t>
      </w:r>
      <w:r>
        <w:rPr>
          <w:spacing w:val="-3"/>
          <w:w w:val="105"/>
        </w:rPr>
        <w:t> </w:t>
      </w:r>
      <w:r>
        <w:rPr>
          <w:w w:val="105"/>
        </w:rPr>
        <w:t>in</w:t>
      </w:r>
      <w:r>
        <w:rPr>
          <w:spacing w:val="-3"/>
          <w:w w:val="105"/>
        </w:rPr>
        <w:t> </w:t>
      </w:r>
      <w:r>
        <w:rPr>
          <w:w w:val="105"/>
        </w:rPr>
        <w:t>the</w:t>
      </w:r>
      <w:r>
        <w:rPr>
          <w:spacing w:val="-3"/>
          <w:w w:val="105"/>
        </w:rPr>
        <w:t> </w:t>
      </w:r>
      <w:r>
        <w:rPr>
          <w:w w:val="105"/>
        </w:rPr>
        <w:t>American</w:t>
      </w:r>
      <w:r>
        <w:rPr>
          <w:spacing w:val="-3"/>
          <w:w w:val="105"/>
        </w:rPr>
        <w:t> </w:t>
      </w:r>
      <w:r>
        <w:rPr>
          <w:w w:val="105"/>
        </w:rPr>
        <w:t>Academy</w:t>
      </w:r>
      <w:r>
        <w:rPr>
          <w:spacing w:val="-3"/>
          <w:w w:val="105"/>
        </w:rPr>
        <w:t> </w:t>
      </w:r>
      <w:r>
        <w:rPr>
          <w:w w:val="105"/>
        </w:rPr>
        <w:t>of</w:t>
      </w:r>
      <w:r>
        <w:rPr>
          <w:spacing w:val="-3"/>
          <w:w w:val="105"/>
        </w:rPr>
        <w:t> </w:t>
      </w:r>
      <w:r>
        <w:rPr>
          <w:w w:val="105"/>
        </w:rPr>
        <w:t>Arts</w:t>
      </w:r>
      <w:r>
        <w:rPr>
          <w:spacing w:val="-3"/>
          <w:w w:val="105"/>
        </w:rPr>
        <w:t> </w:t>
      </w:r>
      <w:r>
        <w:rPr>
          <w:w w:val="105"/>
        </w:rPr>
        <w:t>and</w:t>
      </w:r>
      <w:r>
        <w:rPr>
          <w:spacing w:val="-3"/>
          <w:w w:val="105"/>
        </w:rPr>
        <w:t> </w:t>
      </w:r>
      <w:r>
        <w:rPr>
          <w:w w:val="105"/>
        </w:rPr>
        <w:t>Sciences</w:t>
      </w:r>
      <w:r>
        <w:rPr>
          <w:spacing w:val="-3"/>
          <w:w w:val="105"/>
        </w:rPr>
        <w:t> </w:t>
      </w:r>
      <w:r>
        <w:rPr>
          <w:w w:val="105"/>
        </w:rPr>
        <w:t>and</w:t>
      </w:r>
      <w:r>
        <w:rPr>
          <w:spacing w:val="-3"/>
          <w:w w:val="105"/>
        </w:rPr>
        <w:t> </w:t>
      </w:r>
      <w:r>
        <w:rPr>
          <w:w w:val="105"/>
        </w:rPr>
        <w:t>the</w:t>
      </w:r>
      <w:r>
        <w:rPr>
          <w:spacing w:val="-3"/>
          <w:w w:val="105"/>
        </w:rPr>
        <w:t> </w:t>
      </w:r>
      <w:r>
        <w:rPr>
          <w:w w:val="105"/>
        </w:rPr>
        <w:t>American</w:t>
      </w:r>
      <w:r>
        <w:rPr>
          <w:spacing w:val="-3"/>
          <w:w w:val="105"/>
        </w:rPr>
        <w:t> </w:t>
      </w:r>
      <w:r>
        <w:rPr>
          <w:w w:val="105"/>
        </w:rPr>
        <w:t>Philosophical</w:t>
      </w:r>
      <w:r>
        <w:rPr>
          <w:spacing w:val="-3"/>
          <w:w w:val="105"/>
        </w:rPr>
        <w:t> </w:t>
      </w:r>
      <w:r>
        <w:rPr>
          <w:w w:val="105"/>
        </w:rPr>
        <w:t>Society,</w:t>
      </w:r>
      <w:r>
        <w:rPr>
          <w:spacing w:val="-3"/>
          <w:w w:val="105"/>
        </w:rPr>
        <w:t> </w:t>
      </w:r>
      <w:r>
        <w:rPr>
          <w:w w:val="105"/>
        </w:rPr>
        <w:t>and</w:t>
      </w:r>
      <w:r>
        <w:rPr>
          <w:spacing w:val="-3"/>
          <w:w w:val="105"/>
        </w:rPr>
        <w:t> </w:t>
      </w:r>
      <w:r>
        <w:rPr>
          <w:w w:val="105"/>
        </w:rPr>
        <w:t>he</w:t>
      </w:r>
      <w:r>
        <w:rPr>
          <w:spacing w:val="-3"/>
          <w:w w:val="105"/>
        </w:rPr>
        <w:t> </w:t>
      </w:r>
      <w:r>
        <w:rPr>
          <w:w w:val="105"/>
        </w:rPr>
        <w:t>is</w:t>
      </w:r>
      <w:r>
        <w:rPr>
          <w:spacing w:val="-3"/>
          <w:w w:val="105"/>
        </w:rPr>
        <w:t> </w:t>
      </w:r>
      <w:r>
        <w:rPr>
          <w:w w:val="105"/>
        </w:rPr>
        <w:t>a</w:t>
      </w:r>
      <w:r>
        <w:rPr>
          <w:spacing w:val="-3"/>
          <w:w w:val="105"/>
        </w:rPr>
        <w:t> </w:t>
      </w:r>
      <w:r>
        <w:rPr>
          <w:w w:val="105"/>
        </w:rPr>
        <w:t>Fellow</w:t>
      </w:r>
      <w:r>
        <w:rPr>
          <w:spacing w:val="-3"/>
          <w:w w:val="105"/>
        </w:rPr>
        <w:t> </w:t>
      </w:r>
      <w:r>
        <w:rPr>
          <w:w w:val="105"/>
        </w:rPr>
        <w:t>of the American Association for the Advancement of Science. Dr. Wrighton joined Corning’s Board in 2009.</w:t>
      </w:r>
      <w:r>
        <w:rPr>
          <w:spacing w:val="40"/>
          <w:w w:val="105"/>
        </w:rPr>
        <w:t> </w:t>
      </w:r>
      <w:r>
        <w:rPr>
          <w:w w:val="105"/>
        </w:rPr>
        <w:t>Age 72.</w:t>
      </w:r>
    </w:p>
    <w:p>
      <w:pPr>
        <w:pStyle w:val="BodyText"/>
        <w:spacing w:before="17"/>
      </w:pPr>
    </w:p>
    <w:p>
      <w:pPr>
        <w:pStyle w:val="BodyText"/>
        <w:ind w:left="156"/>
      </w:pPr>
      <w:r>
        <w:rPr>
          <w:w w:val="105"/>
          <w:u w:val="single"/>
        </w:rPr>
        <w:t>Code</w:t>
      </w:r>
      <w:r>
        <w:rPr>
          <w:spacing w:val="-6"/>
          <w:w w:val="105"/>
          <w:u w:val="single"/>
        </w:rPr>
        <w:t> </w:t>
      </w:r>
      <w:r>
        <w:rPr>
          <w:w w:val="105"/>
          <w:u w:val="single"/>
        </w:rPr>
        <w:t>of</w:t>
      </w:r>
      <w:r>
        <w:rPr>
          <w:spacing w:val="-6"/>
          <w:w w:val="105"/>
          <w:u w:val="single"/>
        </w:rPr>
        <w:t> </w:t>
      </w:r>
      <w:r>
        <w:rPr>
          <w:spacing w:val="-2"/>
          <w:w w:val="105"/>
          <w:u w:val="single"/>
        </w:rPr>
        <w:t>Ethics</w:t>
      </w:r>
    </w:p>
    <w:p>
      <w:pPr>
        <w:pStyle w:val="BodyText"/>
        <w:spacing w:before="39"/>
      </w:pPr>
    </w:p>
    <w:p>
      <w:pPr>
        <w:pStyle w:val="BodyText"/>
        <w:spacing w:line="266" w:lineRule="auto" w:before="1"/>
        <w:ind w:left="156" w:right="118"/>
      </w:pPr>
      <w:r>
        <w:rPr>
          <w:w w:val="105"/>
        </w:rPr>
        <w:t>Our</w:t>
      </w:r>
      <w:r>
        <w:rPr>
          <w:spacing w:val="-2"/>
          <w:w w:val="105"/>
        </w:rPr>
        <w:t> </w:t>
      </w:r>
      <w:r>
        <w:rPr>
          <w:w w:val="105"/>
        </w:rPr>
        <w:t>Board</w:t>
      </w:r>
      <w:r>
        <w:rPr>
          <w:spacing w:val="-2"/>
          <w:w w:val="105"/>
        </w:rPr>
        <w:t> </w:t>
      </w:r>
      <w:r>
        <w:rPr>
          <w:w w:val="105"/>
        </w:rPr>
        <w:t>of</w:t>
      </w:r>
      <w:r>
        <w:rPr>
          <w:spacing w:val="-2"/>
          <w:w w:val="105"/>
        </w:rPr>
        <w:t> </w:t>
      </w:r>
      <w:r>
        <w:rPr>
          <w:w w:val="105"/>
        </w:rPr>
        <w:t>Directors</w:t>
      </w:r>
      <w:r>
        <w:rPr>
          <w:spacing w:val="-2"/>
          <w:w w:val="105"/>
        </w:rPr>
        <w:t> </w:t>
      </w:r>
      <w:r>
        <w:rPr>
          <w:w w:val="105"/>
        </w:rPr>
        <w:t>adopted</w:t>
      </w:r>
      <w:r>
        <w:rPr>
          <w:spacing w:val="-2"/>
          <w:w w:val="105"/>
        </w:rPr>
        <w:t> </w:t>
      </w:r>
      <w:r>
        <w:rPr>
          <w:w w:val="105"/>
        </w:rPr>
        <w:t>the</w:t>
      </w:r>
      <w:r>
        <w:rPr>
          <w:spacing w:val="-2"/>
          <w:w w:val="105"/>
        </w:rPr>
        <w:t> </w:t>
      </w:r>
      <w:r>
        <w:rPr>
          <w:w w:val="105"/>
        </w:rPr>
        <w:t>Code</w:t>
      </w:r>
      <w:r>
        <w:rPr>
          <w:spacing w:val="-2"/>
          <w:w w:val="105"/>
        </w:rPr>
        <w:t> </w:t>
      </w:r>
      <w:r>
        <w:rPr>
          <w:w w:val="105"/>
        </w:rPr>
        <w:t>of</w:t>
      </w:r>
      <w:r>
        <w:rPr>
          <w:spacing w:val="-2"/>
          <w:w w:val="105"/>
        </w:rPr>
        <w:t> </w:t>
      </w:r>
      <w:r>
        <w:rPr>
          <w:w w:val="105"/>
        </w:rPr>
        <w:t>Ethics</w:t>
      </w:r>
      <w:r>
        <w:rPr>
          <w:spacing w:val="-2"/>
          <w:w w:val="105"/>
        </w:rPr>
        <w:t> </w:t>
      </w:r>
      <w:r>
        <w:rPr>
          <w:w w:val="105"/>
        </w:rPr>
        <w:t>("Code")</w:t>
      </w:r>
      <w:r>
        <w:rPr>
          <w:spacing w:val="-2"/>
          <w:w w:val="105"/>
        </w:rPr>
        <w:t> </w:t>
      </w:r>
      <w:r>
        <w:rPr>
          <w:w w:val="105"/>
        </w:rPr>
        <w:t>for</w:t>
      </w:r>
      <w:r>
        <w:rPr>
          <w:spacing w:val="-2"/>
          <w:w w:val="105"/>
        </w:rPr>
        <w:t> </w:t>
      </w:r>
      <w:r>
        <w:rPr>
          <w:w w:val="105"/>
        </w:rPr>
        <w:t>the</w:t>
      </w:r>
      <w:r>
        <w:rPr>
          <w:spacing w:val="-2"/>
          <w:w w:val="105"/>
        </w:rPr>
        <w:t> </w:t>
      </w:r>
      <w:r>
        <w:rPr>
          <w:w w:val="105"/>
        </w:rPr>
        <w:t>Chief</w:t>
      </w:r>
      <w:r>
        <w:rPr>
          <w:spacing w:val="-2"/>
          <w:w w:val="105"/>
        </w:rPr>
        <w:t> </w:t>
      </w:r>
      <w:r>
        <w:rPr>
          <w:w w:val="105"/>
        </w:rPr>
        <w:t>Executive</w:t>
      </w:r>
      <w:r>
        <w:rPr>
          <w:spacing w:val="-2"/>
          <w:w w:val="105"/>
        </w:rPr>
        <w:t> </w:t>
      </w:r>
      <w:r>
        <w:rPr>
          <w:w w:val="105"/>
        </w:rPr>
        <w:t>Officer</w:t>
      </w:r>
      <w:r>
        <w:rPr>
          <w:spacing w:val="-2"/>
          <w:w w:val="105"/>
        </w:rPr>
        <w:t> </w:t>
      </w:r>
      <w:r>
        <w:rPr>
          <w:w w:val="105"/>
        </w:rPr>
        <w:t>and</w:t>
      </w:r>
      <w:r>
        <w:rPr>
          <w:spacing w:val="-2"/>
          <w:w w:val="105"/>
        </w:rPr>
        <w:t> </w:t>
      </w:r>
      <w:r>
        <w:rPr>
          <w:w w:val="105"/>
        </w:rPr>
        <w:t>Financial</w:t>
      </w:r>
      <w:r>
        <w:rPr>
          <w:spacing w:val="-2"/>
          <w:w w:val="105"/>
        </w:rPr>
        <w:t> </w:t>
      </w:r>
      <w:r>
        <w:rPr>
          <w:w w:val="105"/>
        </w:rPr>
        <w:t>Executives.</w:t>
      </w:r>
      <w:r>
        <w:rPr>
          <w:spacing w:val="-2"/>
          <w:w w:val="105"/>
        </w:rPr>
        <w:t> </w:t>
      </w:r>
      <w:r>
        <w:rPr>
          <w:w w:val="105"/>
        </w:rPr>
        <w:t>This</w:t>
      </w:r>
      <w:r>
        <w:rPr>
          <w:spacing w:val="-2"/>
          <w:w w:val="105"/>
        </w:rPr>
        <w:t> </w:t>
      </w:r>
      <w:r>
        <w:rPr>
          <w:w w:val="105"/>
        </w:rPr>
        <w:t>Code</w:t>
      </w:r>
      <w:r>
        <w:rPr>
          <w:spacing w:val="-2"/>
          <w:w w:val="105"/>
        </w:rPr>
        <w:t> </w:t>
      </w:r>
      <w:r>
        <w:rPr>
          <w:w w:val="105"/>
        </w:rPr>
        <w:t>has</w:t>
      </w:r>
      <w:r>
        <w:rPr>
          <w:spacing w:val="-2"/>
          <w:w w:val="105"/>
        </w:rPr>
        <w:t> </w:t>
      </w:r>
      <w:r>
        <w:rPr>
          <w:w w:val="105"/>
        </w:rPr>
        <w:t>been</w:t>
      </w:r>
      <w:r>
        <w:rPr>
          <w:spacing w:val="-2"/>
          <w:w w:val="105"/>
        </w:rPr>
        <w:t> </w:t>
      </w:r>
      <w:r>
        <w:rPr>
          <w:w w:val="105"/>
        </w:rPr>
        <w:t>in</w:t>
      </w:r>
      <w:r>
        <w:rPr>
          <w:spacing w:val="-2"/>
          <w:w w:val="105"/>
        </w:rPr>
        <w:t> </w:t>
      </w:r>
      <w:r>
        <w:rPr>
          <w:w w:val="105"/>
        </w:rPr>
        <w:t>existence</w:t>
      </w:r>
      <w:r>
        <w:rPr>
          <w:spacing w:val="-2"/>
          <w:w w:val="105"/>
        </w:rPr>
        <w:t> </w:t>
      </w:r>
      <w:r>
        <w:rPr>
          <w:w w:val="105"/>
        </w:rPr>
        <w:t>for</w:t>
      </w:r>
      <w:r>
        <w:rPr>
          <w:spacing w:val="-2"/>
          <w:w w:val="105"/>
        </w:rPr>
        <w:t> </w:t>
      </w:r>
      <w:r>
        <w:rPr>
          <w:w w:val="105"/>
        </w:rPr>
        <w:t>more</w:t>
      </w:r>
      <w:r>
        <w:rPr>
          <w:spacing w:val="-2"/>
          <w:w w:val="105"/>
        </w:rPr>
        <w:t> </w:t>
      </w:r>
      <w:r>
        <w:rPr>
          <w:w w:val="105"/>
        </w:rPr>
        <w:t>than</w:t>
      </w:r>
      <w:r>
        <w:rPr>
          <w:spacing w:val="-2"/>
          <w:w w:val="105"/>
        </w:rPr>
        <w:t> </w:t>
      </w:r>
      <w:r>
        <w:rPr>
          <w:w w:val="105"/>
        </w:rPr>
        <w:t>ten years.</w:t>
      </w:r>
      <w:r>
        <w:rPr>
          <w:spacing w:val="-8"/>
          <w:w w:val="105"/>
        </w:rPr>
        <w:t> </w:t>
      </w:r>
      <w:r>
        <w:rPr>
          <w:w w:val="105"/>
        </w:rPr>
        <w:t>The</w:t>
      </w:r>
      <w:r>
        <w:rPr>
          <w:spacing w:val="-8"/>
          <w:w w:val="105"/>
        </w:rPr>
        <w:t> </w:t>
      </w:r>
      <w:r>
        <w:rPr>
          <w:w w:val="105"/>
        </w:rPr>
        <w:t>Code</w:t>
      </w:r>
      <w:r>
        <w:rPr>
          <w:spacing w:val="-8"/>
          <w:w w:val="105"/>
        </w:rPr>
        <w:t> </w:t>
      </w:r>
      <w:r>
        <w:rPr>
          <w:w w:val="105"/>
        </w:rPr>
        <w:t>applies</w:t>
      </w:r>
      <w:r>
        <w:rPr>
          <w:spacing w:val="-8"/>
          <w:w w:val="105"/>
        </w:rPr>
        <w:t> </w:t>
      </w:r>
      <w:r>
        <w:rPr>
          <w:w w:val="105"/>
        </w:rPr>
        <w:t>to</w:t>
      </w:r>
      <w:r>
        <w:rPr>
          <w:spacing w:val="-8"/>
          <w:w w:val="105"/>
        </w:rPr>
        <w:t> </w:t>
      </w:r>
      <w:r>
        <w:rPr>
          <w:w w:val="105"/>
        </w:rPr>
        <w:t>our</w:t>
      </w:r>
      <w:r>
        <w:rPr>
          <w:spacing w:val="-8"/>
          <w:w w:val="105"/>
        </w:rPr>
        <w:t> </w:t>
      </w:r>
      <w:r>
        <w:rPr>
          <w:w w:val="105"/>
        </w:rPr>
        <w:t>Chief</w:t>
      </w:r>
      <w:r>
        <w:rPr>
          <w:spacing w:val="-8"/>
          <w:w w:val="105"/>
        </w:rPr>
        <w:t> </w:t>
      </w:r>
      <w:r>
        <w:rPr>
          <w:w w:val="105"/>
        </w:rPr>
        <w:t>Executive</w:t>
      </w:r>
      <w:r>
        <w:rPr>
          <w:spacing w:val="-8"/>
          <w:w w:val="105"/>
        </w:rPr>
        <w:t> </w:t>
      </w:r>
      <w:r>
        <w:rPr>
          <w:w w:val="105"/>
        </w:rPr>
        <w:t>Officer,</w:t>
      </w:r>
      <w:r>
        <w:rPr>
          <w:spacing w:val="-8"/>
          <w:w w:val="105"/>
        </w:rPr>
        <w:t> </w:t>
      </w:r>
      <w:r>
        <w:rPr>
          <w:w w:val="105"/>
        </w:rPr>
        <w:t>Chief</w:t>
      </w:r>
      <w:r>
        <w:rPr>
          <w:spacing w:val="-8"/>
          <w:w w:val="105"/>
        </w:rPr>
        <w:t> </w:t>
      </w:r>
      <w:r>
        <w:rPr>
          <w:w w:val="105"/>
        </w:rPr>
        <w:t>Financial</w:t>
      </w:r>
      <w:r>
        <w:rPr>
          <w:spacing w:val="-8"/>
          <w:w w:val="105"/>
        </w:rPr>
        <w:t> </w:t>
      </w:r>
      <w:r>
        <w:rPr>
          <w:w w:val="105"/>
        </w:rPr>
        <w:t>Officer,</w:t>
      </w:r>
      <w:r>
        <w:rPr>
          <w:spacing w:val="-8"/>
          <w:w w:val="105"/>
        </w:rPr>
        <w:t> </w:t>
      </w:r>
      <w:r>
        <w:rPr>
          <w:w w:val="105"/>
        </w:rPr>
        <w:t>Controller</w:t>
      </w:r>
      <w:r>
        <w:rPr>
          <w:spacing w:val="-8"/>
          <w:w w:val="105"/>
        </w:rPr>
        <w:t> </w:t>
      </w:r>
      <w:r>
        <w:rPr>
          <w:w w:val="105"/>
        </w:rPr>
        <w:t>and</w:t>
      </w:r>
      <w:r>
        <w:rPr>
          <w:spacing w:val="-8"/>
          <w:w w:val="105"/>
        </w:rPr>
        <w:t> </w:t>
      </w:r>
      <w:r>
        <w:rPr>
          <w:w w:val="105"/>
        </w:rPr>
        <w:t>other</w:t>
      </w:r>
      <w:r>
        <w:rPr>
          <w:spacing w:val="-8"/>
          <w:w w:val="105"/>
        </w:rPr>
        <w:t> </w:t>
      </w:r>
      <w:r>
        <w:rPr>
          <w:w w:val="105"/>
        </w:rPr>
        <w:t>financial</w:t>
      </w:r>
      <w:r>
        <w:rPr>
          <w:spacing w:val="-8"/>
          <w:w w:val="105"/>
        </w:rPr>
        <w:t> </w:t>
      </w:r>
      <w:r>
        <w:rPr>
          <w:w w:val="105"/>
        </w:rPr>
        <w:t>executives.</w:t>
      </w:r>
      <w:r>
        <w:rPr>
          <w:spacing w:val="27"/>
          <w:w w:val="105"/>
        </w:rPr>
        <w:t> </w:t>
      </w:r>
      <w:r>
        <w:rPr>
          <w:w w:val="105"/>
        </w:rPr>
        <w:t>During</w:t>
      </w:r>
      <w:r>
        <w:rPr>
          <w:spacing w:val="-8"/>
          <w:w w:val="105"/>
        </w:rPr>
        <w:t> </w:t>
      </w:r>
      <w:r>
        <w:rPr>
          <w:w w:val="105"/>
        </w:rPr>
        <w:t>2021,</w:t>
      </w:r>
      <w:r>
        <w:rPr>
          <w:spacing w:val="-8"/>
          <w:w w:val="105"/>
        </w:rPr>
        <w:t> </w:t>
      </w:r>
      <w:r>
        <w:rPr>
          <w:w w:val="105"/>
        </w:rPr>
        <w:t>no</w:t>
      </w:r>
      <w:r>
        <w:rPr>
          <w:spacing w:val="-8"/>
          <w:w w:val="105"/>
        </w:rPr>
        <w:t> </w:t>
      </w:r>
      <w:r>
        <w:rPr>
          <w:w w:val="105"/>
        </w:rPr>
        <w:t>amendments</w:t>
      </w:r>
      <w:r>
        <w:rPr>
          <w:spacing w:val="-8"/>
          <w:w w:val="105"/>
        </w:rPr>
        <w:t> </w:t>
      </w:r>
      <w:r>
        <w:rPr>
          <w:w w:val="105"/>
        </w:rPr>
        <w:t>to</w:t>
      </w:r>
      <w:r>
        <w:rPr>
          <w:spacing w:val="-8"/>
          <w:w w:val="105"/>
        </w:rPr>
        <w:t> </w:t>
      </w:r>
      <w:r>
        <w:rPr>
          <w:w w:val="105"/>
        </w:rPr>
        <w:t>or</w:t>
      </w:r>
      <w:r>
        <w:rPr>
          <w:spacing w:val="-8"/>
          <w:w w:val="105"/>
        </w:rPr>
        <w:t> </w:t>
      </w:r>
      <w:r>
        <w:rPr>
          <w:w w:val="105"/>
        </w:rPr>
        <w:t>waivers</w:t>
      </w:r>
      <w:r>
        <w:rPr>
          <w:spacing w:val="-8"/>
          <w:w w:val="105"/>
        </w:rPr>
        <w:t> </w:t>
      </w:r>
      <w:r>
        <w:rPr>
          <w:w w:val="105"/>
        </w:rPr>
        <w:t>of</w:t>
      </w:r>
      <w:r>
        <w:rPr>
          <w:spacing w:val="-8"/>
          <w:w w:val="105"/>
        </w:rPr>
        <w:t> </w:t>
      </w:r>
      <w:r>
        <w:rPr>
          <w:w w:val="105"/>
        </w:rPr>
        <w:t>the provisions</w:t>
      </w:r>
      <w:r>
        <w:rPr>
          <w:spacing w:val="-1"/>
          <w:w w:val="105"/>
        </w:rPr>
        <w:t> </w:t>
      </w:r>
      <w:r>
        <w:rPr>
          <w:w w:val="105"/>
        </w:rPr>
        <w:t>of</w:t>
      </w:r>
      <w:r>
        <w:rPr>
          <w:spacing w:val="-1"/>
          <w:w w:val="105"/>
        </w:rPr>
        <w:t> </w:t>
      </w:r>
      <w:r>
        <w:rPr>
          <w:w w:val="105"/>
        </w:rPr>
        <w:t>the</w:t>
      </w:r>
      <w:r>
        <w:rPr>
          <w:spacing w:val="-1"/>
          <w:w w:val="105"/>
        </w:rPr>
        <w:t> </w:t>
      </w:r>
      <w:r>
        <w:rPr>
          <w:w w:val="105"/>
        </w:rPr>
        <w:t>Code</w:t>
      </w:r>
      <w:r>
        <w:rPr>
          <w:spacing w:val="-1"/>
          <w:w w:val="105"/>
        </w:rPr>
        <w:t> </w:t>
      </w:r>
      <w:r>
        <w:rPr>
          <w:w w:val="105"/>
        </w:rPr>
        <w:t>were</w:t>
      </w:r>
      <w:r>
        <w:rPr>
          <w:spacing w:val="-1"/>
          <w:w w:val="105"/>
        </w:rPr>
        <w:t> </w:t>
      </w:r>
      <w:r>
        <w:rPr>
          <w:w w:val="105"/>
        </w:rPr>
        <w:t>made</w:t>
      </w:r>
      <w:r>
        <w:rPr>
          <w:spacing w:val="-1"/>
          <w:w w:val="105"/>
        </w:rPr>
        <w:t> </w:t>
      </w:r>
      <w:r>
        <w:rPr>
          <w:w w:val="105"/>
        </w:rPr>
        <w:t>with respect</w:t>
      </w:r>
      <w:r>
        <w:rPr>
          <w:spacing w:val="-1"/>
          <w:w w:val="105"/>
        </w:rPr>
        <w:t> </w:t>
      </w:r>
      <w:r>
        <w:rPr>
          <w:w w:val="105"/>
        </w:rPr>
        <w:t>to</w:t>
      </w:r>
      <w:r>
        <w:rPr>
          <w:spacing w:val="-1"/>
          <w:w w:val="105"/>
        </w:rPr>
        <w:t> </w:t>
      </w:r>
      <w:r>
        <w:rPr>
          <w:w w:val="105"/>
        </w:rPr>
        <w:t>any</w:t>
      </w:r>
      <w:r>
        <w:rPr>
          <w:spacing w:val="-1"/>
          <w:w w:val="105"/>
        </w:rPr>
        <w:t> </w:t>
      </w:r>
      <w:r>
        <w:rPr>
          <w:w w:val="105"/>
        </w:rPr>
        <w:t>of</w:t>
      </w:r>
      <w:r>
        <w:rPr>
          <w:spacing w:val="-1"/>
          <w:w w:val="105"/>
        </w:rPr>
        <w:t> </w:t>
      </w:r>
      <w:r>
        <w:rPr>
          <w:w w:val="105"/>
        </w:rPr>
        <w:t>our</w:t>
      </w:r>
      <w:r>
        <w:rPr>
          <w:spacing w:val="-1"/>
          <w:w w:val="105"/>
        </w:rPr>
        <w:t> </w:t>
      </w:r>
      <w:r>
        <w:rPr>
          <w:w w:val="105"/>
        </w:rPr>
        <w:t>directors</w:t>
      </w:r>
      <w:r>
        <w:rPr>
          <w:spacing w:val="-1"/>
          <w:w w:val="105"/>
        </w:rPr>
        <w:t> </w:t>
      </w:r>
      <w:r>
        <w:rPr>
          <w:w w:val="105"/>
        </w:rPr>
        <w:t>or</w:t>
      </w:r>
      <w:r>
        <w:rPr>
          <w:spacing w:val="-1"/>
          <w:w w:val="105"/>
        </w:rPr>
        <w:t> </w:t>
      </w:r>
      <w:r>
        <w:rPr>
          <w:w w:val="105"/>
        </w:rPr>
        <w:t>executive</w:t>
      </w:r>
      <w:r>
        <w:rPr>
          <w:spacing w:val="-1"/>
          <w:w w:val="105"/>
        </w:rPr>
        <w:t> </w:t>
      </w:r>
      <w:r>
        <w:rPr>
          <w:w w:val="105"/>
        </w:rPr>
        <w:t>officers.</w:t>
      </w:r>
      <w:r>
        <w:rPr>
          <w:spacing w:val="-1"/>
          <w:w w:val="105"/>
        </w:rPr>
        <w:t> </w:t>
      </w:r>
      <w:r>
        <w:rPr>
          <w:w w:val="105"/>
        </w:rPr>
        <w:t>A</w:t>
      </w:r>
      <w:r>
        <w:rPr>
          <w:spacing w:val="-1"/>
          <w:w w:val="105"/>
        </w:rPr>
        <w:t> </w:t>
      </w:r>
      <w:r>
        <w:rPr>
          <w:w w:val="105"/>
        </w:rPr>
        <w:t>copy</w:t>
      </w:r>
      <w:r>
        <w:rPr>
          <w:spacing w:val="-1"/>
          <w:w w:val="105"/>
        </w:rPr>
        <w:t> </w:t>
      </w:r>
      <w:r>
        <w:rPr>
          <w:w w:val="105"/>
        </w:rPr>
        <w:t>of</w:t>
      </w:r>
      <w:r>
        <w:rPr>
          <w:spacing w:val="-1"/>
          <w:w w:val="105"/>
        </w:rPr>
        <w:t> </w:t>
      </w:r>
      <w:r>
        <w:rPr>
          <w:w w:val="105"/>
        </w:rPr>
        <w:t>the</w:t>
      </w:r>
      <w:r>
        <w:rPr>
          <w:spacing w:val="-1"/>
          <w:w w:val="105"/>
        </w:rPr>
        <w:t> </w:t>
      </w:r>
      <w:r>
        <w:rPr>
          <w:w w:val="105"/>
        </w:rPr>
        <w:t>Code</w:t>
      </w:r>
      <w:r>
        <w:rPr>
          <w:spacing w:val="-1"/>
          <w:w w:val="105"/>
        </w:rPr>
        <w:t> </w:t>
      </w:r>
      <w:r>
        <w:rPr>
          <w:w w:val="105"/>
        </w:rPr>
        <w:t>of</w:t>
      </w:r>
      <w:r>
        <w:rPr>
          <w:spacing w:val="-1"/>
          <w:w w:val="105"/>
        </w:rPr>
        <w:t> </w:t>
      </w:r>
      <w:r>
        <w:rPr>
          <w:w w:val="105"/>
        </w:rPr>
        <w:t>Ethics</w:t>
      </w:r>
      <w:r>
        <w:rPr>
          <w:spacing w:val="-1"/>
          <w:w w:val="105"/>
        </w:rPr>
        <w:t> </w:t>
      </w:r>
      <w:r>
        <w:rPr>
          <w:w w:val="105"/>
        </w:rPr>
        <w:t>is</w:t>
      </w:r>
      <w:r>
        <w:rPr>
          <w:spacing w:val="-1"/>
          <w:w w:val="105"/>
        </w:rPr>
        <w:t> </w:t>
      </w:r>
      <w:r>
        <w:rPr>
          <w:w w:val="105"/>
        </w:rPr>
        <w:t>available</w:t>
      </w:r>
      <w:r>
        <w:rPr>
          <w:spacing w:val="-1"/>
          <w:w w:val="105"/>
        </w:rPr>
        <w:t> </w:t>
      </w:r>
      <w:r>
        <w:rPr>
          <w:w w:val="105"/>
        </w:rPr>
        <w:t>on</w:t>
      </w:r>
      <w:r>
        <w:rPr>
          <w:spacing w:val="-1"/>
          <w:w w:val="105"/>
        </w:rPr>
        <w:t> </w:t>
      </w:r>
      <w:r>
        <w:rPr>
          <w:w w:val="105"/>
        </w:rPr>
        <w:t>our</w:t>
      </w:r>
      <w:r>
        <w:rPr>
          <w:spacing w:val="-1"/>
          <w:w w:val="105"/>
        </w:rPr>
        <w:t> </w:t>
      </w:r>
      <w:r>
        <w:rPr>
          <w:w w:val="105"/>
        </w:rPr>
        <w:t>website</w:t>
      </w:r>
      <w:r>
        <w:rPr>
          <w:spacing w:val="-1"/>
          <w:w w:val="105"/>
        </w:rPr>
        <w:t> </w:t>
      </w:r>
      <w:r>
        <w:rPr>
          <w:w w:val="105"/>
        </w:rPr>
        <w:t>at </w:t>
      </w:r>
      <w:hyperlink r:id="rId11">
        <w:r>
          <w:rPr>
            <w:w w:val="105"/>
          </w:rPr>
          <w:t>http://www.corning.com/worldwide/en/about-us/investor-relations/codes-of-conduct-ethics.html.</w:t>
        </w:r>
      </w:hyperlink>
      <w:r>
        <w:rPr>
          <w:spacing w:val="-6"/>
          <w:w w:val="105"/>
        </w:rPr>
        <w:t> </w:t>
      </w:r>
      <w:r>
        <w:rPr>
          <w:w w:val="105"/>
        </w:rPr>
        <w:t>We</w:t>
      </w:r>
      <w:r>
        <w:rPr>
          <w:spacing w:val="-6"/>
          <w:w w:val="105"/>
        </w:rPr>
        <w:t> </w:t>
      </w:r>
      <w:r>
        <w:rPr>
          <w:w w:val="105"/>
        </w:rPr>
        <w:t>will</w:t>
      </w:r>
      <w:r>
        <w:rPr>
          <w:spacing w:val="-6"/>
          <w:w w:val="105"/>
        </w:rPr>
        <w:t> </w:t>
      </w:r>
      <w:r>
        <w:rPr>
          <w:w w:val="105"/>
        </w:rPr>
        <w:t>also</w:t>
      </w:r>
      <w:r>
        <w:rPr>
          <w:spacing w:val="-6"/>
          <w:w w:val="105"/>
        </w:rPr>
        <w:t> </w:t>
      </w:r>
      <w:r>
        <w:rPr>
          <w:w w:val="105"/>
        </w:rPr>
        <w:t>provide</w:t>
      </w:r>
      <w:r>
        <w:rPr>
          <w:spacing w:val="-6"/>
          <w:w w:val="105"/>
        </w:rPr>
        <w:t> </w:t>
      </w:r>
      <w:r>
        <w:rPr>
          <w:w w:val="105"/>
        </w:rPr>
        <w:t>a</w:t>
      </w:r>
      <w:r>
        <w:rPr>
          <w:spacing w:val="-6"/>
          <w:w w:val="105"/>
        </w:rPr>
        <w:t> </w:t>
      </w:r>
      <w:r>
        <w:rPr>
          <w:w w:val="105"/>
        </w:rPr>
        <w:t>copy</w:t>
      </w:r>
      <w:r>
        <w:rPr>
          <w:spacing w:val="-6"/>
          <w:w w:val="105"/>
        </w:rPr>
        <w:t> </w:t>
      </w:r>
      <w:r>
        <w:rPr>
          <w:w w:val="105"/>
        </w:rPr>
        <w:t>of</w:t>
      </w:r>
      <w:r>
        <w:rPr>
          <w:spacing w:val="-6"/>
          <w:w w:val="105"/>
        </w:rPr>
        <w:t> </w:t>
      </w:r>
      <w:r>
        <w:rPr>
          <w:w w:val="105"/>
        </w:rPr>
        <w:t>the</w:t>
      </w:r>
      <w:r>
        <w:rPr>
          <w:spacing w:val="-6"/>
          <w:w w:val="105"/>
        </w:rPr>
        <w:t> </w:t>
      </w:r>
      <w:r>
        <w:rPr>
          <w:w w:val="105"/>
        </w:rPr>
        <w:t>Code</w:t>
      </w:r>
      <w:r>
        <w:rPr>
          <w:spacing w:val="-6"/>
          <w:w w:val="105"/>
        </w:rPr>
        <w:t> </w:t>
      </w:r>
      <w:r>
        <w:rPr>
          <w:w w:val="105"/>
        </w:rPr>
        <w:t>of</w:t>
      </w:r>
      <w:r>
        <w:rPr>
          <w:spacing w:val="-6"/>
          <w:w w:val="105"/>
        </w:rPr>
        <w:t> </w:t>
      </w:r>
      <w:r>
        <w:rPr>
          <w:w w:val="105"/>
        </w:rPr>
        <w:t>Ethics</w:t>
      </w:r>
      <w:r>
        <w:rPr>
          <w:spacing w:val="-6"/>
          <w:w w:val="105"/>
        </w:rPr>
        <w:t> </w:t>
      </w:r>
      <w:r>
        <w:rPr>
          <w:w w:val="105"/>
        </w:rPr>
        <w:t>to</w:t>
      </w:r>
      <w:r>
        <w:rPr>
          <w:spacing w:val="-6"/>
          <w:w w:val="105"/>
        </w:rPr>
        <w:t> </w:t>
      </w:r>
      <w:r>
        <w:rPr>
          <w:w w:val="105"/>
        </w:rPr>
        <w:t>shareholders</w:t>
      </w:r>
      <w:r>
        <w:rPr>
          <w:spacing w:val="-6"/>
          <w:w w:val="105"/>
        </w:rPr>
        <w:t> </w:t>
      </w:r>
      <w:r>
        <w:rPr>
          <w:w w:val="105"/>
        </w:rPr>
        <w:t>without charge</w:t>
      </w:r>
      <w:r>
        <w:rPr>
          <w:spacing w:val="-6"/>
          <w:w w:val="105"/>
        </w:rPr>
        <w:t> </w:t>
      </w:r>
      <w:r>
        <w:rPr>
          <w:w w:val="105"/>
        </w:rPr>
        <w:t>upon</w:t>
      </w:r>
      <w:r>
        <w:rPr>
          <w:spacing w:val="-6"/>
          <w:w w:val="105"/>
        </w:rPr>
        <w:t> </w:t>
      </w:r>
      <w:r>
        <w:rPr>
          <w:w w:val="105"/>
        </w:rPr>
        <w:t>written</w:t>
      </w:r>
      <w:r>
        <w:rPr>
          <w:spacing w:val="-6"/>
          <w:w w:val="105"/>
        </w:rPr>
        <w:t> </w:t>
      </w:r>
      <w:r>
        <w:rPr>
          <w:w w:val="105"/>
        </w:rPr>
        <w:t>request</w:t>
      </w:r>
      <w:r>
        <w:rPr>
          <w:spacing w:val="-4"/>
          <w:w w:val="105"/>
        </w:rPr>
        <w:t> </w:t>
      </w:r>
      <w:r>
        <w:rPr>
          <w:w w:val="105"/>
        </w:rPr>
        <w:t>to</w:t>
      </w:r>
      <w:r>
        <w:rPr>
          <w:spacing w:val="-6"/>
          <w:w w:val="105"/>
        </w:rPr>
        <w:t> </w:t>
      </w:r>
      <w:r>
        <w:rPr>
          <w:w w:val="105"/>
        </w:rPr>
        <w:t>Corporate</w:t>
      </w:r>
      <w:r>
        <w:rPr>
          <w:spacing w:val="-6"/>
          <w:w w:val="105"/>
        </w:rPr>
        <w:t> </w:t>
      </w:r>
      <w:r>
        <w:rPr>
          <w:w w:val="105"/>
        </w:rPr>
        <w:t>Secretary,</w:t>
      </w:r>
      <w:r>
        <w:rPr>
          <w:spacing w:val="-6"/>
          <w:w w:val="105"/>
        </w:rPr>
        <w:t> </w:t>
      </w:r>
      <w:r>
        <w:rPr>
          <w:w w:val="105"/>
        </w:rPr>
        <w:t>Corning</w:t>
      </w:r>
      <w:r>
        <w:rPr>
          <w:spacing w:val="-6"/>
          <w:w w:val="105"/>
        </w:rPr>
        <w:t> </w:t>
      </w:r>
      <w:r>
        <w:rPr>
          <w:w w:val="105"/>
        </w:rPr>
        <w:t>Incorporated,</w:t>
      </w:r>
      <w:r>
        <w:rPr>
          <w:spacing w:val="-6"/>
          <w:w w:val="105"/>
        </w:rPr>
        <w:t> </w:t>
      </w:r>
      <w:r>
        <w:rPr>
          <w:w w:val="105"/>
        </w:rPr>
        <w:t>Corning,</w:t>
      </w:r>
      <w:r>
        <w:rPr>
          <w:spacing w:val="-6"/>
          <w:w w:val="105"/>
        </w:rPr>
        <w:t> </w:t>
      </w:r>
      <w:r>
        <w:rPr>
          <w:w w:val="105"/>
        </w:rPr>
        <w:t>NY</w:t>
      </w:r>
      <w:r>
        <w:rPr>
          <w:spacing w:val="-6"/>
          <w:w w:val="105"/>
        </w:rPr>
        <w:t> </w:t>
      </w:r>
      <w:r>
        <w:rPr>
          <w:w w:val="105"/>
        </w:rPr>
        <w:t>14831.</w:t>
      </w:r>
      <w:r>
        <w:rPr>
          <w:spacing w:val="-6"/>
          <w:w w:val="105"/>
        </w:rPr>
        <w:t> </w:t>
      </w:r>
      <w:r>
        <w:rPr>
          <w:w w:val="105"/>
        </w:rPr>
        <w:t>We</w:t>
      </w:r>
      <w:r>
        <w:rPr>
          <w:spacing w:val="-6"/>
          <w:w w:val="105"/>
        </w:rPr>
        <w:t> </w:t>
      </w:r>
      <w:r>
        <w:rPr>
          <w:w w:val="105"/>
        </w:rPr>
        <w:t>will</w:t>
      </w:r>
      <w:r>
        <w:rPr>
          <w:spacing w:val="-6"/>
          <w:w w:val="105"/>
        </w:rPr>
        <w:t> </w:t>
      </w:r>
      <w:r>
        <w:rPr>
          <w:w w:val="105"/>
        </w:rPr>
        <w:t>disclose</w:t>
      </w:r>
      <w:r>
        <w:rPr>
          <w:spacing w:val="-4"/>
          <w:w w:val="105"/>
        </w:rPr>
        <w:t> </w:t>
      </w:r>
      <w:r>
        <w:rPr>
          <w:w w:val="105"/>
        </w:rPr>
        <w:t>future</w:t>
      </w:r>
      <w:r>
        <w:rPr>
          <w:spacing w:val="-6"/>
          <w:w w:val="105"/>
        </w:rPr>
        <w:t> </w:t>
      </w:r>
      <w:r>
        <w:rPr>
          <w:w w:val="105"/>
        </w:rPr>
        <w:t>amendments</w:t>
      </w:r>
      <w:r>
        <w:rPr>
          <w:spacing w:val="-6"/>
          <w:w w:val="105"/>
        </w:rPr>
        <w:t> </w:t>
      </w:r>
      <w:r>
        <w:rPr>
          <w:w w:val="105"/>
        </w:rPr>
        <w:t>to,</w:t>
      </w:r>
      <w:r>
        <w:rPr>
          <w:spacing w:val="-6"/>
          <w:w w:val="105"/>
        </w:rPr>
        <w:t> </w:t>
      </w:r>
      <w:r>
        <w:rPr>
          <w:w w:val="105"/>
        </w:rPr>
        <w:t>or</w:t>
      </w:r>
      <w:r>
        <w:rPr>
          <w:spacing w:val="-6"/>
          <w:w w:val="105"/>
        </w:rPr>
        <w:t> </w:t>
      </w:r>
      <w:r>
        <w:rPr>
          <w:w w:val="105"/>
        </w:rPr>
        <w:t>waivers</w:t>
      </w:r>
      <w:r>
        <w:rPr>
          <w:spacing w:val="-6"/>
          <w:w w:val="105"/>
        </w:rPr>
        <w:t> </w:t>
      </w:r>
      <w:r>
        <w:rPr>
          <w:w w:val="105"/>
        </w:rPr>
        <w:t>from,</w:t>
      </w:r>
      <w:r>
        <w:rPr>
          <w:spacing w:val="-6"/>
          <w:w w:val="105"/>
        </w:rPr>
        <w:t> </w:t>
      </w:r>
      <w:r>
        <w:rPr>
          <w:w w:val="105"/>
        </w:rPr>
        <w:t>the</w:t>
      </w:r>
      <w:r>
        <w:rPr>
          <w:spacing w:val="-6"/>
          <w:w w:val="105"/>
        </w:rPr>
        <w:t> </w:t>
      </w:r>
      <w:r>
        <w:rPr>
          <w:w w:val="105"/>
        </w:rPr>
        <w:t>Code</w:t>
      </w:r>
      <w:r>
        <w:rPr>
          <w:spacing w:val="-6"/>
          <w:w w:val="105"/>
        </w:rPr>
        <w:t> </w:t>
      </w:r>
      <w:r>
        <w:rPr>
          <w:w w:val="105"/>
        </w:rPr>
        <w:t>of</w:t>
      </w:r>
      <w:r>
        <w:rPr>
          <w:spacing w:val="-6"/>
          <w:w w:val="105"/>
        </w:rPr>
        <w:t> </w:t>
      </w:r>
      <w:r>
        <w:rPr>
          <w:w w:val="105"/>
        </w:rPr>
        <w:t>Ethics on our website within four business days following the date of such amendment or waiver.</w:t>
      </w:r>
    </w:p>
    <w:p>
      <w:pPr>
        <w:pStyle w:val="BodyText"/>
        <w:spacing w:before="17"/>
      </w:pPr>
    </w:p>
    <w:p>
      <w:pPr>
        <w:spacing w:before="0"/>
        <w:ind w:left="156" w:right="0" w:firstLine="0"/>
        <w:jc w:val="left"/>
        <w:rPr>
          <w:b/>
          <w:sz w:val="16"/>
        </w:rPr>
      </w:pPr>
      <w:r>
        <w:rPr>
          <w:b/>
          <w:w w:val="105"/>
          <w:sz w:val="16"/>
          <w:u w:val="single"/>
        </w:rPr>
        <w:t>Item</w:t>
      </w:r>
      <w:r>
        <w:rPr>
          <w:b/>
          <w:spacing w:val="-9"/>
          <w:w w:val="105"/>
          <w:sz w:val="16"/>
          <w:u w:val="single"/>
        </w:rPr>
        <w:t> </w:t>
      </w:r>
      <w:r>
        <w:rPr>
          <w:b/>
          <w:w w:val="105"/>
          <w:sz w:val="16"/>
          <w:u w:val="single"/>
        </w:rPr>
        <w:t>11.</w:t>
      </w:r>
      <w:r>
        <w:rPr>
          <w:b/>
          <w:spacing w:val="-9"/>
          <w:w w:val="105"/>
          <w:sz w:val="16"/>
          <w:u w:val="single"/>
        </w:rPr>
        <w:t> </w:t>
      </w:r>
      <w:r>
        <w:rPr>
          <w:b/>
          <w:w w:val="105"/>
          <w:sz w:val="16"/>
          <w:u w:val="single"/>
        </w:rPr>
        <w:t>Executive</w:t>
      </w:r>
      <w:r>
        <w:rPr>
          <w:b/>
          <w:spacing w:val="-9"/>
          <w:w w:val="105"/>
          <w:sz w:val="16"/>
          <w:u w:val="single"/>
        </w:rPr>
        <w:t> </w:t>
      </w:r>
      <w:r>
        <w:rPr>
          <w:b/>
          <w:spacing w:val="-2"/>
          <w:w w:val="105"/>
          <w:sz w:val="16"/>
          <w:u w:val="single"/>
        </w:rPr>
        <w:t>Compensation</w:t>
      </w:r>
    </w:p>
    <w:p>
      <w:pPr>
        <w:pStyle w:val="BodyText"/>
        <w:spacing w:before="39"/>
        <w:rPr>
          <w:b/>
        </w:rPr>
      </w:pPr>
    </w:p>
    <w:p>
      <w:pPr>
        <w:pStyle w:val="BodyText"/>
        <w:spacing w:line="266" w:lineRule="auto" w:before="1"/>
        <w:ind w:left="156" w:right="117"/>
      </w:pPr>
      <w:r>
        <w:rPr>
          <w:w w:val="105"/>
        </w:rPr>
        <w:t>The</w:t>
      </w:r>
      <w:r>
        <w:rPr>
          <w:spacing w:val="-3"/>
          <w:w w:val="105"/>
        </w:rPr>
        <w:t> </w:t>
      </w:r>
      <w:r>
        <w:rPr>
          <w:w w:val="105"/>
        </w:rPr>
        <w:t>sections</w:t>
      </w:r>
      <w:r>
        <w:rPr>
          <w:spacing w:val="-3"/>
          <w:w w:val="105"/>
        </w:rPr>
        <w:t> </w:t>
      </w:r>
      <w:r>
        <w:rPr>
          <w:w w:val="105"/>
        </w:rPr>
        <w:t>titled</w:t>
      </w:r>
      <w:r>
        <w:rPr>
          <w:spacing w:val="-3"/>
          <w:w w:val="105"/>
        </w:rPr>
        <w:t> </w:t>
      </w:r>
      <w:r>
        <w:rPr>
          <w:w w:val="105"/>
        </w:rPr>
        <w:t>“Compensation</w:t>
      </w:r>
      <w:r>
        <w:rPr>
          <w:spacing w:val="-3"/>
          <w:w w:val="105"/>
        </w:rPr>
        <w:t> </w:t>
      </w:r>
      <w:r>
        <w:rPr>
          <w:w w:val="105"/>
        </w:rPr>
        <w:t>Discussion</w:t>
      </w:r>
      <w:r>
        <w:rPr>
          <w:spacing w:val="-3"/>
          <w:w w:val="105"/>
        </w:rPr>
        <w:t> </w:t>
      </w:r>
      <w:r>
        <w:rPr>
          <w:w w:val="105"/>
        </w:rPr>
        <w:t>and</w:t>
      </w:r>
      <w:r>
        <w:rPr>
          <w:spacing w:val="-3"/>
          <w:w w:val="105"/>
        </w:rPr>
        <w:t> </w:t>
      </w:r>
      <w:r>
        <w:rPr>
          <w:w w:val="105"/>
        </w:rPr>
        <w:t>Analysis”,</w:t>
      </w:r>
      <w:r>
        <w:rPr>
          <w:spacing w:val="-3"/>
          <w:w w:val="105"/>
        </w:rPr>
        <w:t> </w:t>
      </w:r>
      <w:r>
        <w:rPr>
          <w:w w:val="105"/>
        </w:rPr>
        <w:t>“Director</w:t>
      </w:r>
      <w:r>
        <w:rPr>
          <w:spacing w:val="-3"/>
          <w:w w:val="105"/>
        </w:rPr>
        <w:t> </w:t>
      </w:r>
      <w:r>
        <w:rPr>
          <w:w w:val="105"/>
        </w:rPr>
        <w:t>Compensation”</w:t>
      </w:r>
      <w:r>
        <w:rPr>
          <w:spacing w:val="-3"/>
          <w:w w:val="105"/>
        </w:rPr>
        <w:t> </w:t>
      </w:r>
      <w:r>
        <w:rPr>
          <w:w w:val="105"/>
        </w:rPr>
        <w:t>and</w:t>
      </w:r>
      <w:r>
        <w:rPr>
          <w:spacing w:val="-3"/>
          <w:w w:val="105"/>
        </w:rPr>
        <w:t> </w:t>
      </w:r>
      <w:r>
        <w:rPr>
          <w:w w:val="105"/>
        </w:rPr>
        <w:t>"Compensation</w:t>
      </w:r>
      <w:r>
        <w:rPr>
          <w:spacing w:val="-3"/>
          <w:w w:val="105"/>
        </w:rPr>
        <w:t> </w:t>
      </w:r>
      <w:r>
        <w:rPr>
          <w:w w:val="105"/>
        </w:rPr>
        <w:t>Committee</w:t>
      </w:r>
      <w:r>
        <w:rPr>
          <w:spacing w:val="-3"/>
          <w:w w:val="105"/>
        </w:rPr>
        <w:t> </w:t>
      </w:r>
      <w:r>
        <w:rPr>
          <w:w w:val="105"/>
        </w:rPr>
        <w:t>Interlocks</w:t>
      </w:r>
      <w:r>
        <w:rPr>
          <w:spacing w:val="-3"/>
          <w:w w:val="105"/>
        </w:rPr>
        <w:t> </w:t>
      </w:r>
      <w:r>
        <w:rPr>
          <w:w w:val="105"/>
        </w:rPr>
        <w:t>and</w:t>
      </w:r>
      <w:r>
        <w:rPr>
          <w:spacing w:val="-3"/>
          <w:w w:val="105"/>
        </w:rPr>
        <w:t> </w:t>
      </w:r>
      <w:r>
        <w:rPr>
          <w:w w:val="105"/>
        </w:rPr>
        <w:t>Insider</w:t>
      </w:r>
      <w:r>
        <w:rPr>
          <w:spacing w:val="-3"/>
          <w:w w:val="105"/>
        </w:rPr>
        <w:t> </w:t>
      </w:r>
      <w:r>
        <w:rPr>
          <w:w w:val="105"/>
        </w:rPr>
        <w:t>Participation"</w:t>
      </w:r>
      <w:r>
        <w:rPr>
          <w:spacing w:val="-3"/>
          <w:w w:val="105"/>
        </w:rPr>
        <w:t> </w:t>
      </w:r>
      <w:r>
        <w:rPr>
          <w:w w:val="105"/>
        </w:rPr>
        <w:t>in</w:t>
      </w:r>
      <w:r>
        <w:rPr>
          <w:spacing w:val="-3"/>
          <w:w w:val="105"/>
        </w:rPr>
        <w:t> </w:t>
      </w:r>
      <w:r>
        <w:rPr>
          <w:w w:val="105"/>
        </w:rPr>
        <w:t>our Definitive</w:t>
      </w:r>
      <w:r>
        <w:rPr>
          <w:spacing w:val="-8"/>
          <w:w w:val="105"/>
        </w:rPr>
        <w:t> </w:t>
      </w:r>
      <w:r>
        <w:rPr>
          <w:w w:val="105"/>
        </w:rPr>
        <w:t>Proxy</w:t>
      </w:r>
      <w:r>
        <w:rPr>
          <w:spacing w:val="-8"/>
          <w:w w:val="105"/>
        </w:rPr>
        <w:t> </w:t>
      </w:r>
      <w:r>
        <w:rPr>
          <w:w w:val="105"/>
        </w:rPr>
        <w:t>Statement</w:t>
      </w:r>
      <w:r>
        <w:rPr>
          <w:spacing w:val="-6"/>
          <w:w w:val="105"/>
        </w:rPr>
        <w:t> </w:t>
      </w:r>
      <w:r>
        <w:rPr>
          <w:w w:val="105"/>
        </w:rPr>
        <w:t>relating</w:t>
      </w:r>
      <w:r>
        <w:rPr>
          <w:spacing w:val="-8"/>
          <w:w w:val="105"/>
        </w:rPr>
        <w:t> </w:t>
      </w:r>
      <w:r>
        <w:rPr>
          <w:w w:val="105"/>
        </w:rPr>
        <w:t>to</w:t>
      </w:r>
      <w:r>
        <w:rPr>
          <w:spacing w:val="-8"/>
          <w:w w:val="105"/>
        </w:rPr>
        <w:t> </w:t>
      </w:r>
      <w:r>
        <w:rPr>
          <w:w w:val="105"/>
        </w:rPr>
        <w:t>the</w:t>
      </w:r>
      <w:r>
        <w:rPr>
          <w:spacing w:val="-8"/>
          <w:w w:val="105"/>
        </w:rPr>
        <w:t> </w:t>
      </w:r>
      <w:r>
        <w:rPr>
          <w:w w:val="105"/>
        </w:rPr>
        <w:t>Annual</w:t>
      </w:r>
      <w:r>
        <w:rPr>
          <w:spacing w:val="-8"/>
          <w:w w:val="105"/>
        </w:rPr>
        <w:t> </w:t>
      </w:r>
      <w:r>
        <w:rPr>
          <w:w w:val="105"/>
        </w:rPr>
        <w:t>Meeting</w:t>
      </w:r>
      <w:r>
        <w:rPr>
          <w:spacing w:val="-8"/>
          <w:w w:val="105"/>
        </w:rPr>
        <w:t> </w:t>
      </w:r>
      <w:r>
        <w:rPr>
          <w:w w:val="105"/>
        </w:rPr>
        <w:t>of</w:t>
      </w:r>
      <w:r>
        <w:rPr>
          <w:spacing w:val="-8"/>
          <w:w w:val="105"/>
        </w:rPr>
        <w:t> </w:t>
      </w:r>
      <w:r>
        <w:rPr>
          <w:w w:val="105"/>
        </w:rPr>
        <w:t>Shareholders</w:t>
      </w:r>
      <w:r>
        <w:rPr>
          <w:spacing w:val="-8"/>
          <w:w w:val="105"/>
        </w:rPr>
        <w:t> </w:t>
      </w:r>
      <w:r>
        <w:rPr>
          <w:w w:val="105"/>
        </w:rPr>
        <w:t>to</w:t>
      </w:r>
      <w:r>
        <w:rPr>
          <w:spacing w:val="-8"/>
          <w:w w:val="105"/>
        </w:rPr>
        <w:t> </w:t>
      </w:r>
      <w:r>
        <w:rPr>
          <w:w w:val="105"/>
        </w:rPr>
        <w:t>be</w:t>
      </w:r>
      <w:r>
        <w:rPr>
          <w:spacing w:val="-8"/>
          <w:w w:val="105"/>
        </w:rPr>
        <w:t> </w:t>
      </w:r>
      <w:r>
        <w:rPr>
          <w:w w:val="105"/>
        </w:rPr>
        <w:t>held</w:t>
      </w:r>
      <w:r>
        <w:rPr>
          <w:spacing w:val="-8"/>
          <w:w w:val="105"/>
        </w:rPr>
        <w:t> </w:t>
      </w:r>
      <w:r>
        <w:rPr>
          <w:w w:val="105"/>
        </w:rPr>
        <w:t>on</w:t>
      </w:r>
      <w:r>
        <w:rPr>
          <w:spacing w:val="-8"/>
          <w:w w:val="105"/>
        </w:rPr>
        <w:t> </w:t>
      </w:r>
      <w:r>
        <w:rPr>
          <w:w w:val="105"/>
        </w:rPr>
        <w:t>April</w:t>
      </w:r>
      <w:r>
        <w:rPr>
          <w:spacing w:val="-8"/>
          <w:w w:val="105"/>
        </w:rPr>
        <w:t> </w:t>
      </w:r>
      <w:r>
        <w:rPr>
          <w:w w:val="105"/>
        </w:rPr>
        <w:t>28,</w:t>
      </w:r>
      <w:r>
        <w:rPr>
          <w:spacing w:val="-8"/>
          <w:w w:val="105"/>
        </w:rPr>
        <w:t> </w:t>
      </w:r>
      <w:r>
        <w:rPr>
          <w:w w:val="105"/>
        </w:rPr>
        <w:t>2022,</w:t>
      </w:r>
      <w:r>
        <w:rPr>
          <w:spacing w:val="-6"/>
          <w:w w:val="105"/>
        </w:rPr>
        <w:t> </w:t>
      </w:r>
      <w:r>
        <w:rPr>
          <w:w w:val="105"/>
        </w:rPr>
        <w:t>are</w:t>
      </w:r>
      <w:r>
        <w:rPr>
          <w:spacing w:val="-8"/>
          <w:w w:val="105"/>
        </w:rPr>
        <w:t> </w:t>
      </w:r>
      <w:r>
        <w:rPr>
          <w:w w:val="105"/>
        </w:rPr>
        <w:t>incorporated</w:t>
      </w:r>
      <w:r>
        <w:rPr>
          <w:spacing w:val="-8"/>
          <w:w w:val="105"/>
        </w:rPr>
        <w:t> </w:t>
      </w:r>
      <w:r>
        <w:rPr>
          <w:w w:val="105"/>
        </w:rPr>
        <w:t>by</w:t>
      </w:r>
      <w:r>
        <w:rPr>
          <w:spacing w:val="-8"/>
          <w:w w:val="105"/>
        </w:rPr>
        <w:t> </w:t>
      </w:r>
      <w:r>
        <w:rPr>
          <w:w w:val="105"/>
        </w:rPr>
        <w:t>reference</w:t>
      </w:r>
      <w:r>
        <w:rPr>
          <w:spacing w:val="-8"/>
          <w:w w:val="105"/>
        </w:rPr>
        <w:t> </w:t>
      </w:r>
      <w:r>
        <w:rPr>
          <w:w w:val="105"/>
        </w:rPr>
        <w:t>in</w:t>
      </w:r>
      <w:r>
        <w:rPr>
          <w:spacing w:val="-8"/>
          <w:w w:val="105"/>
        </w:rPr>
        <w:t> </w:t>
      </w:r>
      <w:r>
        <w:rPr>
          <w:w w:val="105"/>
        </w:rPr>
        <w:t>this</w:t>
      </w:r>
      <w:r>
        <w:rPr>
          <w:spacing w:val="-8"/>
          <w:w w:val="105"/>
        </w:rPr>
        <w:t> </w:t>
      </w:r>
      <w:r>
        <w:rPr>
          <w:w w:val="105"/>
        </w:rPr>
        <w:t>Annual</w:t>
      </w:r>
      <w:r>
        <w:rPr>
          <w:spacing w:val="-8"/>
          <w:w w:val="105"/>
        </w:rPr>
        <w:t> </w:t>
      </w:r>
      <w:r>
        <w:rPr>
          <w:w w:val="105"/>
        </w:rPr>
        <w:t>Report</w:t>
      </w:r>
      <w:r>
        <w:rPr>
          <w:spacing w:val="-8"/>
          <w:w w:val="105"/>
        </w:rPr>
        <w:t> </w:t>
      </w:r>
      <w:r>
        <w:rPr>
          <w:w w:val="105"/>
        </w:rPr>
        <w:t>on</w:t>
      </w:r>
      <w:r>
        <w:rPr>
          <w:spacing w:val="-8"/>
          <w:w w:val="105"/>
        </w:rPr>
        <w:t> </w:t>
      </w:r>
      <w:r>
        <w:rPr>
          <w:w w:val="105"/>
        </w:rPr>
        <w:t>Form</w:t>
      </w:r>
      <w:r>
        <w:rPr>
          <w:spacing w:val="-8"/>
          <w:w w:val="105"/>
        </w:rPr>
        <w:t> </w:t>
      </w:r>
      <w:r>
        <w:rPr>
          <w:w w:val="105"/>
        </w:rPr>
        <w:t>10-K.</w:t>
      </w:r>
    </w:p>
    <w:p>
      <w:pPr>
        <w:pStyle w:val="BodyText"/>
        <w:spacing w:before="18"/>
      </w:pPr>
    </w:p>
    <w:p>
      <w:pPr>
        <w:spacing w:before="1"/>
        <w:ind w:left="156" w:right="0" w:firstLine="0"/>
        <w:jc w:val="left"/>
        <w:rPr>
          <w:b/>
          <w:sz w:val="16"/>
        </w:rPr>
      </w:pPr>
      <w:r>
        <w:rPr>
          <w:b/>
          <w:sz w:val="16"/>
          <w:u w:val="single"/>
        </w:rPr>
        <w:t>Item</w:t>
      </w:r>
      <w:r>
        <w:rPr>
          <w:b/>
          <w:spacing w:val="13"/>
          <w:sz w:val="16"/>
          <w:u w:val="single"/>
        </w:rPr>
        <w:t> </w:t>
      </w:r>
      <w:r>
        <w:rPr>
          <w:b/>
          <w:sz w:val="16"/>
          <w:u w:val="single"/>
        </w:rPr>
        <w:t>12.</w:t>
      </w:r>
      <w:r>
        <w:rPr>
          <w:b/>
          <w:spacing w:val="14"/>
          <w:sz w:val="16"/>
          <w:u w:val="single"/>
        </w:rPr>
        <w:t> </w:t>
      </w:r>
      <w:r>
        <w:rPr>
          <w:b/>
          <w:sz w:val="16"/>
          <w:u w:val="single"/>
        </w:rPr>
        <w:t>Security</w:t>
      </w:r>
      <w:r>
        <w:rPr>
          <w:b/>
          <w:spacing w:val="14"/>
          <w:sz w:val="16"/>
          <w:u w:val="single"/>
        </w:rPr>
        <w:t> </w:t>
      </w:r>
      <w:r>
        <w:rPr>
          <w:b/>
          <w:sz w:val="16"/>
          <w:u w:val="single"/>
        </w:rPr>
        <w:t>Ownership</w:t>
      </w:r>
      <w:r>
        <w:rPr>
          <w:b/>
          <w:spacing w:val="14"/>
          <w:sz w:val="16"/>
          <w:u w:val="single"/>
        </w:rPr>
        <w:t> </w:t>
      </w:r>
      <w:r>
        <w:rPr>
          <w:b/>
          <w:sz w:val="16"/>
          <w:u w:val="single"/>
        </w:rPr>
        <w:t>of</w:t>
      </w:r>
      <w:r>
        <w:rPr>
          <w:b/>
          <w:spacing w:val="14"/>
          <w:sz w:val="16"/>
          <w:u w:val="single"/>
        </w:rPr>
        <w:t> </w:t>
      </w:r>
      <w:r>
        <w:rPr>
          <w:b/>
          <w:sz w:val="16"/>
          <w:u w:val="single"/>
        </w:rPr>
        <w:t>Certain</w:t>
      </w:r>
      <w:r>
        <w:rPr>
          <w:b/>
          <w:spacing w:val="14"/>
          <w:sz w:val="16"/>
          <w:u w:val="single"/>
        </w:rPr>
        <w:t> </w:t>
      </w:r>
      <w:r>
        <w:rPr>
          <w:b/>
          <w:sz w:val="16"/>
          <w:u w:val="single"/>
        </w:rPr>
        <w:t>Beneficial</w:t>
      </w:r>
      <w:r>
        <w:rPr>
          <w:b/>
          <w:spacing w:val="14"/>
          <w:sz w:val="16"/>
          <w:u w:val="single"/>
        </w:rPr>
        <w:t> </w:t>
      </w:r>
      <w:r>
        <w:rPr>
          <w:b/>
          <w:sz w:val="16"/>
          <w:u w:val="single"/>
        </w:rPr>
        <w:t>Owners</w:t>
      </w:r>
      <w:r>
        <w:rPr>
          <w:b/>
          <w:spacing w:val="13"/>
          <w:sz w:val="16"/>
          <w:u w:val="single"/>
        </w:rPr>
        <w:t> </w:t>
      </w:r>
      <w:r>
        <w:rPr>
          <w:b/>
          <w:sz w:val="16"/>
          <w:u w:val="single"/>
        </w:rPr>
        <w:t>and</w:t>
      </w:r>
      <w:r>
        <w:rPr>
          <w:b/>
          <w:spacing w:val="14"/>
          <w:sz w:val="16"/>
          <w:u w:val="single"/>
        </w:rPr>
        <w:t> </w:t>
      </w:r>
      <w:r>
        <w:rPr>
          <w:b/>
          <w:sz w:val="16"/>
          <w:u w:val="single"/>
        </w:rPr>
        <w:t>Management</w:t>
      </w:r>
      <w:r>
        <w:rPr>
          <w:b/>
          <w:spacing w:val="14"/>
          <w:sz w:val="16"/>
          <w:u w:val="single"/>
        </w:rPr>
        <w:t> </w:t>
      </w:r>
      <w:r>
        <w:rPr>
          <w:b/>
          <w:sz w:val="16"/>
          <w:u w:val="single"/>
        </w:rPr>
        <w:t>and</w:t>
      </w:r>
      <w:r>
        <w:rPr>
          <w:b/>
          <w:spacing w:val="14"/>
          <w:sz w:val="16"/>
          <w:u w:val="single"/>
        </w:rPr>
        <w:t> </w:t>
      </w:r>
      <w:r>
        <w:rPr>
          <w:b/>
          <w:sz w:val="16"/>
          <w:u w:val="single"/>
        </w:rPr>
        <w:t>Related</w:t>
      </w:r>
      <w:r>
        <w:rPr>
          <w:b/>
          <w:spacing w:val="14"/>
          <w:sz w:val="16"/>
          <w:u w:val="single"/>
        </w:rPr>
        <w:t> </w:t>
      </w:r>
      <w:r>
        <w:rPr>
          <w:b/>
          <w:sz w:val="16"/>
          <w:u w:val="single"/>
        </w:rPr>
        <w:t>Stockholder</w:t>
      </w:r>
      <w:r>
        <w:rPr>
          <w:b/>
          <w:spacing w:val="14"/>
          <w:sz w:val="16"/>
          <w:u w:val="single"/>
        </w:rPr>
        <w:t> </w:t>
      </w:r>
      <w:r>
        <w:rPr>
          <w:b/>
          <w:spacing w:val="-2"/>
          <w:sz w:val="16"/>
          <w:u w:val="single"/>
        </w:rPr>
        <w:t>Matters</w:t>
      </w:r>
    </w:p>
    <w:p>
      <w:pPr>
        <w:pStyle w:val="BodyText"/>
        <w:spacing w:before="39"/>
        <w:rPr>
          <w:b/>
        </w:rPr>
      </w:pPr>
    </w:p>
    <w:p>
      <w:pPr>
        <w:pStyle w:val="BodyText"/>
        <w:spacing w:line="266" w:lineRule="auto"/>
        <w:ind w:left="156"/>
      </w:pPr>
      <w:r>
        <w:rPr>
          <w:w w:val="105"/>
        </w:rPr>
        <w:t>The</w:t>
      </w:r>
      <w:r>
        <w:rPr>
          <w:spacing w:val="-8"/>
          <w:w w:val="105"/>
        </w:rPr>
        <w:t> </w:t>
      </w:r>
      <w:r>
        <w:rPr>
          <w:w w:val="105"/>
        </w:rPr>
        <w:t>section</w:t>
      </w:r>
      <w:r>
        <w:rPr>
          <w:spacing w:val="-8"/>
          <w:w w:val="105"/>
        </w:rPr>
        <w:t> </w:t>
      </w:r>
      <w:r>
        <w:rPr>
          <w:w w:val="105"/>
        </w:rPr>
        <w:t>titled</w:t>
      </w:r>
      <w:r>
        <w:rPr>
          <w:spacing w:val="-8"/>
          <w:w w:val="105"/>
        </w:rPr>
        <w:t> </w:t>
      </w:r>
      <w:r>
        <w:rPr>
          <w:w w:val="105"/>
        </w:rPr>
        <w:t>“Beneficial</w:t>
      </w:r>
      <w:r>
        <w:rPr>
          <w:spacing w:val="-8"/>
          <w:w w:val="105"/>
        </w:rPr>
        <w:t> </w:t>
      </w:r>
      <w:r>
        <w:rPr>
          <w:w w:val="105"/>
        </w:rPr>
        <w:t>Ownership</w:t>
      </w:r>
      <w:r>
        <w:rPr>
          <w:spacing w:val="-8"/>
          <w:w w:val="105"/>
        </w:rPr>
        <w:t> </w:t>
      </w:r>
      <w:r>
        <w:rPr>
          <w:w w:val="105"/>
        </w:rPr>
        <w:t>Table”</w:t>
      </w:r>
      <w:r>
        <w:rPr>
          <w:spacing w:val="-8"/>
          <w:w w:val="105"/>
        </w:rPr>
        <w:t> </w:t>
      </w:r>
      <w:r>
        <w:rPr>
          <w:w w:val="105"/>
        </w:rPr>
        <w:t>in</w:t>
      </w:r>
      <w:r>
        <w:rPr>
          <w:spacing w:val="-8"/>
          <w:w w:val="105"/>
        </w:rPr>
        <w:t> </w:t>
      </w:r>
      <w:r>
        <w:rPr>
          <w:w w:val="105"/>
        </w:rPr>
        <w:t>our</w:t>
      </w:r>
      <w:r>
        <w:rPr>
          <w:spacing w:val="-8"/>
          <w:w w:val="105"/>
        </w:rPr>
        <w:t> </w:t>
      </w:r>
      <w:r>
        <w:rPr>
          <w:w w:val="105"/>
        </w:rPr>
        <w:t>Definitive</w:t>
      </w:r>
      <w:r>
        <w:rPr>
          <w:spacing w:val="-8"/>
          <w:w w:val="105"/>
        </w:rPr>
        <w:t> </w:t>
      </w:r>
      <w:r>
        <w:rPr>
          <w:w w:val="105"/>
        </w:rPr>
        <w:t>Proxy</w:t>
      </w:r>
      <w:r>
        <w:rPr>
          <w:spacing w:val="-8"/>
          <w:w w:val="105"/>
        </w:rPr>
        <w:t> </w:t>
      </w:r>
      <w:r>
        <w:rPr>
          <w:w w:val="105"/>
        </w:rPr>
        <w:t>Statement</w:t>
      </w:r>
      <w:r>
        <w:rPr>
          <w:spacing w:val="-8"/>
          <w:w w:val="105"/>
        </w:rPr>
        <w:t> </w:t>
      </w:r>
      <w:r>
        <w:rPr>
          <w:w w:val="105"/>
        </w:rPr>
        <w:t>relating</w:t>
      </w:r>
      <w:r>
        <w:rPr>
          <w:spacing w:val="-8"/>
          <w:w w:val="105"/>
        </w:rPr>
        <w:t> </w:t>
      </w:r>
      <w:r>
        <w:rPr>
          <w:w w:val="105"/>
        </w:rPr>
        <w:t>to</w:t>
      </w:r>
      <w:r>
        <w:rPr>
          <w:spacing w:val="-8"/>
          <w:w w:val="105"/>
        </w:rPr>
        <w:t> </w:t>
      </w:r>
      <w:r>
        <w:rPr>
          <w:w w:val="105"/>
        </w:rPr>
        <w:t>the</w:t>
      </w:r>
      <w:r>
        <w:rPr>
          <w:spacing w:val="-8"/>
          <w:w w:val="105"/>
        </w:rPr>
        <w:t> </w:t>
      </w:r>
      <w:r>
        <w:rPr>
          <w:w w:val="105"/>
        </w:rPr>
        <w:t>Annual</w:t>
      </w:r>
      <w:r>
        <w:rPr>
          <w:spacing w:val="-8"/>
          <w:w w:val="105"/>
        </w:rPr>
        <w:t> </w:t>
      </w:r>
      <w:r>
        <w:rPr>
          <w:w w:val="105"/>
        </w:rPr>
        <w:t>Meeting</w:t>
      </w:r>
      <w:r>
        <w:rPr>
          <w:spacing w:val="-8"/>
          <w:w w:val="105"/>
        </w:rPr>
        <w:t> </w:t>
      </w:r>
      <w:r>
        <w:rPr>
          <w:w w:val="105"/>
        </w:rPr>
        <w:t>of</w:t>
      </w:r>
      <w:r>
        <w:rPr>
          <w:spacing w:val="-8"/>
          <w:w w:val="105"/>
        </w:rPr>
        <w:t> </w:t>
      </w:r>
      <w:r>
        <w:rPr>
          <w:w w:val="105"/>
        </w:rPr>
        <w:t>Shareholders</w:t>
      </w:r>
      <w:r>
        <w:rPr>
          <w:spacing w:val="-8"/>
          <w:w w:val="105"/>
        </w:rPr>
        <w:t> </w:t>
      </w:r>
      <w:r>
        <w:rPr>
          <w:w w:val="105"/>
        </w:rPr>
        <w:t>to</w:t>
      </w:r>
      <w:r>
        <w:rPr>
          <w:spacing w:val="-8"/>
          <w:w w:val="105"/>
        </w:rPr>
        <w:t> </w:t>
      </w:r>
      <w:r>
        <w:rPr>
          <w:w w:val="105"/>
        </w:rPr>
        <w:t>be</w:t>
      </w:r>
      <w:r>
        <w:rPr>
          <w:spacing w:val="-8"/>
          <w:w w:val="105"/>
        </w:rPr>
        <w:t> </w:t>
      </w:r>
      <w:r>
        <w:rPr>
          <w:w w:val="105"/>
        </w:rPr>
        <w:t>held</w:t>
      </w:r>
      <w:r>
        <w:rPr>
          <w:spacing w:val="-8"/>
          <w:w w:val="105"/>
        </w:rPr>
        <w:t> </w:t>
      </w:r>
      <w:r>
        <w:rPr>
          <w:w w:val="105"/>
        </w:rPr>
        <w:t>on</w:t>
      </w:r>
      <w:r>
        <w:rPr>
          <w:spacing w:val="-8"/>
          <w:w w:val="105"/>
        </w:rPr>
        <w:t> </w:t>
      </w:r>
      <w:r>
        <w:rPr>
          <w:w w:val="105"/>
        </w:rPr>
        <w:t>April</w:t>
      </w:r>
      <w:r>
        <w:rPr>
          <w:spacing w:val="-8"/>
          <w:w w:val="105"/>
        </w:rPr>
        <w:t> </w:t>
      </w:r>
      <w:r>
        <w:rPr>
          <w:w w:val="105"/>
        </w:rPr>
        <w:t>28,</w:t>
      </w:r>
      <w:r>
        <w:rPr>
          <w:spacing w:val="-8"/>
          <w:w w:val="105"/>
        </w:rPr>
        <w:t> </w:t>
      </w:r>
      <w:r>
        <w:rPr>
          <w:w w:val="105"/>
        </w:rPr>
        <w:t>2022,</w:t>
      </w:r>
      <w:r>
        <w:rPr>
          <w:spacing w:val="-8"/>
          <w:w w:val="105"/>
        </w:rPr>
        <w:t> </w:t>
      </w:r>
      <w:r>
        <w:rPr>
          <w:w w:val="105"/>
        </w:rPr>
        <w:t>are incorporated by reference in this Annual Report on Form 10-K.</w:t>
      </w:r>
    </w:p>
    <w:p>
      <w:pPr>
        <w:pStyle w:val="BodyText"/>
        <w:spacing w:before="19"/>
      </w:pPr>
    </w:p>
    <w:p>
      <w:pPr>
        <w:pStyle w:val="Heading3"/>
      </w:pPr>
      <w:r>
        <w:rPr/>
        <w:t>Equity</w:t>
      </w:r>
      <w:r>
        <w:rPr>
          <w:spacing w:val="13"/>
        </w:rPr>
        <w:t> </w:t>
      </w:r>
      <w:r>
        <w:rPr/>
        <w:t>Compensation</w:t>
      </w:r>
      <w:r>
        <w:rPr>
          <w:spacing w:val="13"/>
        </w:rPr>
        <w:t> </w:t>
      </w:r>
      <w:r>
        <w:rPr/>
        <w:t>Plan</w:t>
      </w:r>
      <w:r>
        <w:rPr>
          <w:spacing w:val="13"/>
        </w:rPr>
        <w:t> </w:t>
      </w:r>
      <w:r>
        <w:rPr>
          <w:spacing w:val="-2"/>
        </w:rPr>
        <w:t>Information</w:t>
      </w:r>
    </w:p>
    <w:p>
      <w:pPr>
        <w:pStyle w:val="BodyText"/>
        <w:spacing w:before="40"/>
        <w:rPr>
          <w:b/>
          <w:i/>
        </w:rPr>
      </w:pPr>
    </w:p>
    <w:p>
      <w:pPr>
        <w:pStyle w:val="BodyText"/>
        <w:spacing w:line="266" w:lineRule="auto"/>
        <w:ind w:left="156" w:right="228"/>
      </w:pPr>
      <w:r>
        <w:rPr>
          <w:w w:val="105"/>
        </w:rPr>
        <w:t>The</w:t>
      </w:r>
      <w:r>
        <w:rPr>
          <w:spacing w:val="-9"/>
          <w:w w:val="105"/>
        </w:rPr>
        <w:t> </w:t>
      </w:r>
      <w:r>
        <w:rPr>
          <w:w w:val="105"/>
        </w:rPr>
        <w:t>following</w:t>
      </w:r>
      <w:r>
        <w:rPr>
          <w:spacing w:val="-9"/>
          <w:w w:val="105"/>
        </w:rPr>
        <w:t> </w:t>
      </w:r>
      <w:r>
        <w:rPr>
          <w:w w:val="105"/>
        </w:rPr>
        <w:t>table</w:t>
      </w:r>
      <w:r>
        <w:rPr>
          <w:spacing w:val="-9"/>
          <w:w w:val="105"/>
        </w:rPr>
        <w:t> </w:t>
      </w:r>
      <w:r>
        <w:rPr>
          <w:w w:val="105"/>
        </w:rPr>
        <w:t>shows</w:t>
      </w:r>
      <w:r>
        <w:rPr>
          <w:spacing w:val="-9"/>
          <w:w w:val="105"/>
        </w:rPr>
        <w:t> </w:t>
      </w:r>
      <w:r>
        <w:rPr>
          <w:w w:val="105"/>
        </w:rPr>
        <w:t>the</w:t>
      </w:r>
      <w:r>
        <w:rPr>
          <w:spacing w:val="-9"/>
          <w:w w:val="105"/>
        </w:rPr>
        <w:t> </w:t>
      </w:r>
      <w:r>
        <w:rPr>
          <w:w w:val="105"/>
        </w:rPr>
        <w:t>total</w:t>
      </w:r>
      <w:r>
        <w:rPr>
          <w:spacing w:val="-9"/>
          <w:w w:val="105"/>
        </w:rPr>
        <w:t> </w:t>
      </w:r>
      <w:r>
        <w:rPr>
          <w:w w:val="105"/>
        </w:rPr>
        <w:t>number</w:t>
      </w:r>
      <w:r>
        <w:rPr>
          <w:spacing w:val="-9"/>
          <w:w w:val="105"/>
        </w:rPr>
        <w:t> </w:t>
      </w:r>
      <w:r>
        <w:rPr>
          <w:w w:val="105"/>
        </w:rPr>
        <w:t>of</w:t>
      </w:r>
      <w:r>
        <w:rPr>
          <w:spacing w:val="-9"/>
          <w:w w:val="105"/>
        </w:rPr>
        <w:t> </w:t>
      </w:r>
      <w:r>
        <w:rPr>
          <w:w w:val="105"/>
        </w:rPr>
        <w:t>outstanding</w:t>
      </w:r>
      <w:r>
        <w:rPr>
          <w:spacing w:val="-9"/>
          <w:w w:val="105"/>
        </w:rPr>
        <w:t> </w:t>
      </w:r>
      <w:r>
        <w:rPr>
          <w:w w:val="105"/>
        </w:rPr>
        <w:t>stock</w:t>
      </w:r>
      <w:r>
        <w:rPr>
          <w:spacing w:val="-9"/>
          <w:w w:val="105"/>
        </w:rPr>
        <w:t> </w:t>
      </w:r>
      <w:r>
        <w:rPr>
          <w:w w:val="105"/>
        </w:rPr>
        <w:t>options</w:t>
      </w:r>
      <w:r>
        <w:rPr>
          <w:spacing w:val="-7"/>
          <w:w w:val="105"/>
        </w:rPr>
        <w:t> </w:t>
      </w:r>
      <w:r>
        <w:rPr>
          <w:w w:val="105"/>
        </w:rPr>
        <w:t>and</w:t>
      </w:r>
      <w:r>
        <w:rPr>
          <w:spacing w:val="-9"/>
          <w:w w:val="105"/>
        </w:rPr>
        <w:t> </w:t>
      </w:r>
      <w:r>
        <w:rPr>
          <w:w w:val="105"/>
        </w:rPr>
        <w:t>shares</w:t>
      </w:r>
      <w:r>
        <w:rPr>
          <w:spacing w:val="-9"/>
          <w:w w:val="105"/>
        </w:rPr>
        <w:t> </w:t>
      </w:r>
      <w:r>
        <w:rPr>
          <w:w w:val="105"/>
        </w:rPr>
        <w:t>available</w:t>
      </w:r>
      <w:r>
        <w:rPr>
          <w:spacing w:val="-9"/>
          <w:w w:val="105"/>
        </w:rPr>
        <w:t> </w:t>
      </w:r>
      <w:r>
        <w:rPr>
          <w:w w:val="105"/>
        </w:rPr>
        <w:t>for</w:t>
      </w:r>
      <w:r>
        <w:rPr>
          <w:spacing w:val="-9"/>
          <w:w w:val="105"/>
        </w:rPr>
        <w:t> </w:t>
      </w:r>
      <w:r>
        <w:rPr>
          <w:w w:val="105"/>
        </w:rPr>
        <w:t>other</w:t>
      </w:r>
      <w:r>
        <w:rPr>
          <w:spacing w:val="-9"/>
          <w:w w:val="105"/>
        </w:rPr>
        <w:t> </w:t>
      </w:r>
      <w:r>
        <w:rPr>
          <w:w w:val="105"/>
        </w:rPr>
        <w:t>future</w:t>
      </w:r>
      <w:r>
        <w:rPr>
          <w:spacing w:val="-9"/>
          <w:w w:val="105"/>
        </w:rPr>
        <w:t> </w:t>
      </w:r>
      <w:r>
        <w:rPr>
          <w:w w:val="105"/>
        </w:rPr>
        <w:t>issuances</w:t>
      </w:r>
      <w:r>
        <w:rPr>
          <w:spacing w:val="-9"/>
          <w:w w:val="105"/>
        </w:rPr>
        <w:t> </w:t>
      </w:r>
      <w:r>
        <w:rPr>
          <w:w w:val="105"/>
        </w:rPr>
        <w:t>of</w:t>
      </w:r>
      <w:r>
        <w:rPr>
          <w:spacing w:val="-9"/>
          <w:w w:val="105"/>
        </w:rPr>
        <w:t> </w:t>
      </w:r>
      <w:r>
        <w:rPr>
          <w:w w:val="105"/>
        </w:rPr>
        <w:t>options</w:t>
      </w:r>
      <w:r>
        <w:rPr>
          <w:spacing w:val="-9"/>
          <w:w w:val="105"/>
        </w:rPr>
        <w:t> </w:t>
      </w:r>
      <w:r>
        <w:rPr>
          <w:w w:val="105"/>
        </w:rPr>
        <w:t>under</w:t>
      </w:r>
      <w:r>
        <w:rPr>
          <w:spacing w:val="-9"/>
          <w:w w:val="105"/>
        </w:rPr>
        <w:t> </w:t>
      </w:r>
      <w:r>
        <w:rPr>
          <w:w w:val="105"/>
        </w:rPr>
        <w:t>existing</w:t>
      </w:r>
      <w:r>
        <w:rPr>
          <w:spacing w:val="-9"/>
          <w:w w:val="105"/>
        </w:rPr>
        <w:t> </w:t>
      </w:r>
      <w:r>
        <w:rPr>
          <w:w w:val="105"/>
        </w:rPr>
        <w:t>equity</w:t>
      </w:r>
      <w:r>
        <w:rPr>
          <w:spacing w:val="-9"/>
          <w:w w:val="105"/>
        </w:rPr>
        <w:t> </w:t>
      </w:r>
      <w:r>
        <w:rPr>
          <w:w w:val="105"/>
        </w:rPr>
        <w:t>compensation</w:t>
      </w:r>
      <w:r>
        <w:rPr>
          <w:spacing w:val="-9"/>
          <w:w w:val="105"/>
        </w:rPr>
        <w:t> </w:t>
      </w:r>
      <w:r>
        <w:rPr>
          <w:w w:val="105"/>
        </w:rPr>
        <w:t>plans as of December 31, 2021:</w:t>
      </w:r>
    </w:p>
    <w:p>
      <w:pPr>
        <w:pStyle w:val="BodyText"/>
        <w:spacing w:before="6"/>
        <w:rPr>
          <w:sz w:val="7"/>
        </w:rPr>
      </w:pPr>
      <w:r>
        <w:rPr/>
        <mc:AlternateContent>
          <mc:Choice Requires="wps">
            <w:drawing>
              <wp:anchor distT="0" distB="0" distL="0" distR="0" allowOverlap="1" layoutInCell="1" locked="0" behindDoc="1" simplePos="0" relativeHeight="487626752">
                <wp:simplePos x="0" y="0"/>
                <wp:positionH relativeFrom="page">
                  <wp:posOffset>226479</wp:posOffset>
                </wp:positionH>
                <wp:positionV relativeFrom="paragraph">
                  <wp:posOffset>70252</wp:posOffset>
                </wp:positionV>
                <wp:extent cx="7312659" cy="1651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5.531722pt;width:575.775027pt;height:1.274pt;mso-position-horizontal-relative:page;mso-position-vertical-relative:paragraph;z-index:-15689728;mso-wrap-distance-left:0;mso-wrap-distance-right:0" id="docshape85" filled="true" fillcolor="#000000" stroked="false">
                <v:fill type="solid"/>
                <w10:wrap type="topAndBottom"/>
              </v:rect>
            </w:pict>
          </mc:Fallback>
        </mc:AlternateContent>
      </w:r>
    </w:p>
    <w:p>
      <w:pPr>
        <w:pStyle w:val="BodyText"/>
        <w:tabs>
          <w:tab w:pos="9024" w:val="left" w:leader="none"/>
          <w:tab w:pos="10757" w:val="left" w:leader="none"/>
        </w:tabs>
        <w:spacing w:before="3" w:after="17"/>
        <w:ind w:left="7287"/>
      </w:pPr>
      <w:r>
        <w:rPr>
          <w:spacing w:val="-10"/>
          <w:w w:val="105"/>
        </w:rPr>
        <w:t>A</w:t>
      </w:r>
      <w:r>
        <w:rPr/>
        <w:tab/>
      </w:r>
      <w:r>
        <w:rPr>
          <w:spacing w:val="-10"/>
          <w:w w:val="105"/>
        </w:rPr>
        <w:t>B</w:t>
      </w:r>
      <w:r>
        <w:rPr/>
        <w:tab/>
      </w:r>
      <w:r>
        <w:rPr>
          <w:spacing w:val="-10"/>
          <w:w w:val="105"/>
        </w:rPr>
        <w:t>C</w:t>
      </w:r>
    </w:p>
    <w:p>
      <w:pPr>
        <w:pStyle w:val="BodyText"/>
        <w:spacing w:line="20" w:lineRule="exact"/>
        <w:ind w:left="156"/>
        <w:rPr>
          <w:sz w:val="2"/>
        </w:rPr>
      </w:pPr>
      <w:r>
        <w:rPr>
          <w:sz w:val="2"/>
        </w:rPr>
        <mc:AlternateContent>
          <mc:Choice Requires="wps">
            <w:drawing>
              <wp:inline distT="0" distB="0" distL="0" distR="0">
                <wp:extent cx="7312659" cy="8255"/>
                <wp:effectExtent l="0" t="0" r="0" b="0"/>
                <wp:docPr id="87" name="Group 87"/>
                <wp:cNvGraphicFramePr>
                  <a:graphicFrameLocks/>
                </wp:cNvGraphicFramePr>
                <a:graphic>
                  <a:graphicData uri="http://schemas.microsoft.com/office/word/2010/wordprocessingGroup">
                    <wpg:wgp>
                      <wpg:cNvPr id="87" name="Group 87"/>
                      <wpg:cNvGrpSpPr/>
                      <wpg:grpSpPr>
                        <a:xfrm>
                          <a:off x="0" y="0"/>
                          <a:ext cx="7312659" cy="8255"/>
                          <a:chExt cx="7312659" cy="8255"/>
                        </a:xfrm>
                      </wpg:grpSpPr>
                      <wps:wsp>
                        <wps:cNvPr id="88" name="Graphic 88"/>
                        <wps:cNvSpPr/>
                        <wps:spPr>
                          <a:xfrm>
                            <a:off x="-9" y="5"/>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65pt;mso-position-horizontal-relative:char;mso-position-vertical-relative:line" id="docshapegroup86" coordorigin="0,0" coordsize="11516,13">
                <v:rect style="position:absolute;left:-1;top:0;width:11516;height:13" id="docshape87" filled="true" fillcolor="#000000" stroked="false">
                  <v:fill type="solid"/>
                </v:rect>
              </v:group>
            </w:pict>
          </mc:Fallback>
        </mc:AlternateContent>
      </w:r>
      <w:r>
        <w:rPr>
          <w:sz w:val="2"/>
        </w:rPr>
      </w:r>
    </w:p>
    <w:p>
      <w:pPr>
        <w:pStyle w:val="BodyText"/>
        <w:spacing w:line="266" w:lineRule="auto"/>
        <w:ind w:left="10156" w:right="272" w:hanging="40"/>
        <w:jc w:val="both"/>
      </w:pPr>
      <w:r>
        <w:rPr>
          <w:spacing w:val="-2"/>
          <w:w w:val="105"/>
        </w:rPr>
        <w:t>Number</w:t>
      </w:r>
      <w:r>
        <w:rPr>
          <w:spacing w:val="-9"/>
          <w:w w:val="105"/>
        </w:rPr>
        <w:t> </w:t>
      </w:r>
      <w:r>
        <w:rPr>
          <w:spacing w:val="-2"/>
          <w:w w:val="105"/>
        </w:rPr>
        <w:t>of</w:t>
      </w:r>
      <w:r>
        <w:rPr>
          <w:spacing w:val="-8"/>
          <w:w w:val="105"/>
        </w:rPr>
        <w:t> </w:t>
      </w:r>
      <w:r>
        <w:rPr>
          <w:spacing w:val="-2"/>
          <w:w w:val="105"/>
        </w:rPr>
        <w:t>securities</w:t>
      </w:r>
      <w:r>
        <w:rPr>
          <w:w w:val="105"/>
        </w:rPr>
        <w:t> remaining</w:t>
      </w:r>
      <w:r>
        <w:rPr>
          <w:spacing w:val="-11"/>
          <w:w w:val="105"/>
        </w:rPr>
        <w:t> </w:t>
      </w:r>
      <w:r>
        <w:rPr>
          <w:w w:val="105"/>
        </w:rPr>
        <w:t>available for future issuance</w:t>
      </w:r>
    </w:p>
    <w:p>
      <w:pPr>
        <w:spacing w:after="0" w:line="266" w:lineRule="auto"/>
        <w:jc w:val="both"/>
        <w:sectPr>
          <w:pgSz w:w="12240" w:h="15840"/>
          <w:pgMar w:header="428" w:footer="0" w:top="620" w:bottom="280" w:left="200" w:right="260"/>
        </w:sectPr>
      </w:pPr>
    </w:p>
    <w:p>
      <w:pPr>
        <w:pStyle w:val="BodyText"/>
        <w:spacing w:line="266" w:lineRule="auto"/>
        <w:ind w:left="6652"/>
        <w:jc w:val="center"/>
      </w:pPr>
      <w:r>
        <w:rPr>
          <w:spacing w:val="-2"/>
          <w:w w:val="105"/>
        </w:rPr>
        <w:t>Number</w:t>
      </w:r>
      <w:r>
        <w:rPr>
          <w:spacing w:val="-9"/>
          <w:w w:val="105"/>
        </w:rPr>
        <w:t> </w:t>
      </w:r>
      <w:r>
        <w:rPr>
          <w:spacing w:val="-2"/>
          <w:w w:val="105"/>
        </w:rPr>
        <w:t>of</w:t>
      </w:r>
      <w:r>
        <w:rPr>
          <w:spacing w:val="-8"/>
          <w:w w:val="105"/>
        </w:rPr>
        <w:t> </w:t>
      </w:r>
      <w:r>
        <w:rPr>
          <w:spacing w:val="-2"/>
          <w:w w:val="105"/>
        </w:rPr>
        <w:t>securities</w:t>
      </w:r>
      <w:r>
        <w:rPr>
          <w:w w:val="105"/>
        </w:rPr>
        <w:t> to be issued upon exercise</w:t>
      </w:r>
      <w:r>
        <w:rPr>
          <w:spacing w:val="-1"/>
          <w:w w:val="105"/>
        </w:rPr>
        <w:t> </w:t>
      </w:r>
      <w:r>
        <w:rPr>
          <w:w w:val="105"/>
        </w:rPr>
        <w:t>of outstanding</w:t>
      </w:r>
      <w:r>
        <w:rPr>
          <w:spacing w:val="-11"/>
          <w:w w:val="105"/>
        </w:rPr>
        <w:t> </w:t>
      </w:r>
      <w:r>
        <w:rPr>
          <w:w w:val="105"/>
        </w:rPr>
        <w:t>options, warrants and rights</w:t>
      </w:r>
    </w:p>
    <w:p>
      <w:pPr>
        <w:spacing w:line="240" w:lineRule="auto" w:before="14"/>
        <w:rPr>
          <w:sz w:val="16"/>
        </w:rPr>
      </w:pPr>
      <w:r>
        <w:rPr/>
        <w:br w:type="column"/>
      </w:r>
      <w:r>
        <w:rPr>
          <w:sz w:val="16"/>
        </w:rPr>
      </w:r>
    </w:p>
    <w:p>
      <w:pPr>
        <w:pStyle w:val="BodyText"/>
        <w:spacing w:line="266" w:lineRule="auto" w:before="1"/>
        <w:ind w:left="327" w:hanging="1"/>
        <w:jc w:val="center"/>
      </w:pPr>
      <w:r>
        <w:rPr>
          <w:spacing w:val="-2"/>
          <w:w w:val="105"/>
        </w:rPr>
        <w:t>Weighted-average</w:t>
      </w:r>
      <w:r>
        <w:rPr>
          <w:w w:val="105"/>
        </w:rPr>
        <w:t> exercise price of </w:t>
      </w:r>
      <w:r>
        <w:rPr>
          <w:spacing w:val="-2"/>
          <w:w w:val="105"/>
        </w:rPr>
        <w:t>outstanding</w:t>
      </w:r>
      <w:r>
        <w:rPr>
          <w:spacing w:val="-9"/>
          <w:w w:val="105"/>
        </w:rPr>
        <w:t> </w:t>
      </w:r>
      <w:r>
        <w:rPr>
          <w:spacing w:val="-2"/>
          <w:w w:val="105"/>
        </w:rPr>
        <w:t>options,</w:t>
      </w:r>
      <w:r>
        <w:rPr>
          <w:w w:val="105"/>
        </w:rPr>
        <w:t> warrants and rights</w:t>
      </w:r>
    </w:p>
    <w:p>
      <w:pPr>
        <w:pStyle w:val="BodyText"/>
        <w:spacing w:line="266" w:lineRule="auto"/>
        <w:ind w:left="332" w:right="279" w:firstLine="1"/>
        <w:jc w:val="center"/>
      </w:pPr>
      <w:r>
        <w:rPr/>
        <w:br w:type="column"/>
      </w:r>
      <w:r>
        <w:rPr>
          <w:w w:val="105"/>
        </w:rPr>
        <w:t>under</w:t>
      </w:r>
      <w:r>
        <w:rPr>
          <w:spacing w:val="-1"/>
          <w:w w:val="105"/>
        </w:rPr>
        <w:t> </w:t>
      </w:r>
      <w:r>
        <w:rPr>
          <w:w w:val="105"/>
        </w:rPr>
        <w:t>equity compensation</w:t>
      </w:r>
      <w:r>
        <w:rPr>
          <w:spacing w:val="-1"/>
          <w:w w:val="105"/>
        </w:rPr>
        <w:t> </w:t>
      </w:r>
      <w:r>
        <w:rPr>
          <w:w w:val="105"/>
        </w:rPr>
        <w:t>plans </w:t>
      </w:r>
      <w:r>
        <w:rPr>
          <w:spacing w:val="-2"/>
          <w:w w:val="105"/>
        </w:rPr>
        <w:t>(excluding</w:t>
      </w:r>
      <w:r>
        <w:rPr>
          <w:spacing w:val="-9"/>
          <w:w w:val="105"/>
        </w:rPr>
        <w:t> </w:t>
      </w:r>
      <w:r>
        <w:rPr>
          <w:spacing w:val="-2"/>
          <w:w w:val="105"/>
        </w:rPr>
        <w:t>securities</w:t>
      </w:r>
      <w:r>
        <w:rPr>
          <w:w w:val="105"/>
        </w:rPr>
        <w:t> reflected in column </w:t>
      </w:r>
      <w:r>
        <w:rPr>
          <w:spacing w:val="-6"/>
          <w:w w:val="105"/>
        </w:rPr>
        <w:t>A)</w:t>
      </w:r>
    </w:p>
    <w:p>
      <w:pPr>
        <w:spacing w:after="0" w:line="266" w:lineRule="auto"/>
        <w:jc w:val="center"/>
        <w:sectPr>
          <w:type w:val="continuous"/>
          <w:pgSz w:w="12240" w:h="15840"/>
          <w:pgMar w:header="428" w:footer="0" w:top="700" w:bottom="280" w:left="200" w:right="260"/>
          <w:cols w:num="3" w:equalWidth="0">
            <w:col w:w="8041" w:space="40"/>
            <w:col w:w="1671" w:space="39"/>
            <w:col w:w="1989"/>
          </w:cols>
        </w:sectPr>
      </w:pPr>
    </w:p>
    <w:p>
      <w:pPr>
        <w:pStyle w:val="BodyText"/>
        <w:spacing w:line="216" w:lineRule="exact"/>
        <w:ind w:left="156"/>
        <w:rPr>
          <w:sz w:val="20"/>
        </w:rPr>
      </w:pPr>
      <w:r>
        <w:rPr>
          <w:position w:val="-3"/>
          <w:sz w:val="20"/>
        </w:rPr>
        <mc:AlternateContent>
          <mc:Choice Requires="wps">
            <w:drawing>
              <wp:inline distT="0" distB="0" distL="0" distR="0">
                <wp:extent cx="7312659" cy="137795"/>
                <wp:effectExtent l="9525" t="0" r="0" b="5080"/>
                <wp:docPr id="89" name="Group 89"/>
                <wp:cNvGraphicFramePr>
                  <a:graphicFrameLocks/>
                </wp:cNvGraphicFramePr>
                <a:graphic>
                  <a:graphicData uri="http://schemas.microsoft.com/office/word/2010/wordprocessingGroup">
                    <wpg:wgp>
                      <wpg:cNvPr id="89" name="Group 89"/>
                      <wpg:cNvGrpSpPr/>
                      <wpg:grpSpPr>
                        <a:xfrm>
                          <a:off x="0" y="0"/>
                          <a:ext cx="7312659" cy="137795"/>
                          <a:chExt cx="7312659" cy="137795"/>
                        </a:xfrm>
                      </wpg:grpSpPr>
                      <wps:wsp>
                        <wps:cNvPr id="90" name="Graphic 90"/>
                        <wps:cNvSpPr/>
                        <wps:spPr>
                          <a:xfrm>
                            <a:off x="-9" y="1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9" y="8100"/>
                            <a:ext cx="7312659" cy="129539"/>
                          </a:xfrm>
                          <a:custGeom>
                            <a:avLst/>
                            <a:gdLst/>
                            <a:ahLst/>
                            <a:cxnLst/>
                            <a:rect l="l" t="t" r="r" b="b"/>
                            <a:pathLst>
                              <a:path w="7312659" h="129539">
                                <a:moveTo>
                                  <a:pt x="7312342" y="0"/>
                                </a:moveTo>
                                <a:lnTo>
                                  <a:pt x="7312342" y="0"/>
                                </a:lnTo>
                                <a:lnTo>
                                  <a:pt x="0" y="0"/>
                                </a:lnTo>
                                <a:lnTo>
                                  <a:pt x="0" y="129413"/>
                                </a:lnTo>
                                <a:lnTo>
                                  <a:pt x="7312342" y="129413"/>
                                </a:lnTo>
                                <a:lnTo>
                                  <a:pt x="7312342" y="0"/>
                                </a:lnTo>
                                <a:close/>
                              </a:path>
                            </a:pathLst>
                          </a:custGeom>
                          <a:solidFill>
                            <a:srgbClr val="CCEDFF"/>
                          </a:solidFill>
                        </wps:spPr>
                        <wps:bodyPr wrap="square" lIns="0" tIns="0" rIns="0" bIns="0" rtlCol="0">
                          <a:prstTxWarp prst="textNoShape">
                            <a:avLst/>
                          </a:prstTxWarp>
                          <a:noAutofit/>
                        </wps:bodyPr>
                      </wps:wsp>
                      <wps:wsp>
                        <wps:cNvPr id="92" name="Textbox 92"/>
                        <wps:cNvSpPr txBox="1"/>
                        <wps:spPr>
                          <a:xfrm>
                            <a:off x="0" y="8088"/>
                            <a:ext cx="7312659" cy="129539"/>
                          </a:xfrm>
                          <a:prstGeom prst="rect">
                            <a:avLst/>
                          </a:prstGeom>
                        </wps:spPr>
                        <wps:txbx>
                          <w:txbxContent>
                            <w:p>
                              <w:pPr>
                                <w:tabs>
                                  <w:tab w:pos="7190" w:val="left" w:leader="none"/>
                                  <w:tab w:pos="8165" w:val="left" w:leader="none"/>
                                  <w:tab w:pos="9308" w:val="left" w:leader="none"/>
                                  <w:tab w:pos="10655" w:val="left" w:leader="none"/>
                                </w:tabs>
                                <w:spacing w:line="187" w:lineRule="exact" w:before="0"/>
                                <w:ind w:left="0" w:right="0" w:firstLine="0"/>
                                <w:jc w:val="left"/>
                                <w:rPr>
                                  <w:sz w:val="16"/>
                                </w:rPr>
                              </w:pPr>
                              <w:r>
                                <w:rPr>
                                  <w:sz w:val="16"/>
                                </w:rPr>
                                <w:t>Equity</w:t>
                              </w:r>
                              <w:r>
                                <w:rPr>
                                  <w:spacing w:val="14"/>
                                  <w:sz w:val="16"/>
                                </w:rPr>
                                <w:t> </w:t>
                              </w:r>
                              <w:r>
                                <w:rPr>
                                  <w:sz w:val="16"/>
                                </w:rPr>
                                <w:t>compensation</w:t>
                              </w:r>
                              <w:r>
                                <w:rPr>
                                  <w:spacing w:val="14"/>
                                  <w:sz w:val="16"/>
                                </w:rPr>
                                <w:t> </w:t>
                              </w:r>
                              <w:r>
                                <w:rPr>
                                  <w:sz w:val="16"/>
                                </w:rPr>
                                <w:t>plans</w:t>
                              </w:r>
                              <w:r>
                                <w:rPr>
                                  <w:spacing w:val="14"/>
                                  <w:sz w:val="16"/>
                                </w:rPr>
                                <w:t> </w:t>
                              </w:r>
                              <w:r>
                                <w:rPr>
                                  <w:sz w:val="16"/>
                                </w:rPr>
                                <w:t>approved</w:t>
                              </w:r>
                              <w:r>
                                <w:rPr>
                                  <w:spacing w:val="15"/>
                                  <w:sz w:val="16"/>
                                </w:rPr>
                                <w:t> </w:t>
                              </w:r>
                              <w:r>
                                <w:rPr>
                                  <w:sz w:val="16"/>
                                </w:rPr>
                                <w:t>by</w:t>
                              </w:r>
                              <w:r>
                                <w:rPr>
                                  <w:spacing w:val="14"/>
                                  <w:sz w:val="16"/>
                                </w:rPr>
                                <w:t> </w:t>
                              </w:r>
                              <w:r>
                                <w:rPr>
                                  <w:sz w:val="16"/>
                                </w:rPr>
                                <w:t>security</w:t>
                              </w:r>
                              <w:r>
                                <w:rPr>
                                  <w:spacing w:val="14"/>
                                  <w:sz w:val="16"/>
                                </w:rPr>
                                <w:t> </w:t>
                              </w:r>
                              <w:r>
                                <w:rPr>
                                  <w:sz w:val="16"/>
                                </w:rPr>
                                <w:t>holders</w:t>
                              </w:r>
                              <w:r>
                                <w:rPr>
                                  <w:spacing w:val="17"/>
                                  <w:sz w:val="16"/>
                                </w:rPr>
                                <w:t> </w:t>
                              </w:r>
                              <w:r>
                                <w:rPr>
                                  <w:spacing w:val="-5"/>
                                  <w:position w:val="3"/>
                                  <w:sz w:val="14"/>
                                </w:rPr>
                                <w:t>(1)</w:t>
                              </w:r>
                              <w:r>
                                <w:rPr>
                                  <w:position w:val="3"/>
                                  <w:sz w:val="14"/>
                                </w:rPr>
                                <w:tab/>
                              </w:r>
                              <w:r>
                                <w:rPr>
                                  <w:spacing w:val="-2"/>
                                  <w:sz w:val="16"/>
                                </w:rPr>
                                <w:t>11,904,441</w:t>
                              </w:r>
                              <w:r>
                                <w:rPr>
                                  <w:sz w:val="16"/>
                                </w:rPr>
                                <w:tab/>
                              </w:r>
                              <w:r>
                                <w:rPr>
                                  <w:spacing w:val="-10"/>
                                  <w:sz w:val="16"/>
                                </w:rPr>
                                <w:t>$</w:t>
                              </w:r>
                              <w:r>
                                <w:rPr>
                                  <w:sz w:val="16"/>
                                </w:rPr>
                                <w:tab/>
                              </w:r>
                              <w:r>
                                <w:rPr>
                                  <w:spacing w:val="-2"/>
                                  <w:sz w:val="16"/>
                                </w:rPr>
                                <w:t>22.31</w:t>
                              </w:r>
                              <w:r>
                                <w:rPr>
                                  <w:sz w:val="16"/>
                                </w:rPr>
                                <w:tab/>
                              </w:r>
                              <w:r>
                                <w:rPr>
                                  <w:spacing w:val="-2"/>
                                  <w:sz w:val="16"/>
                                </w:rPr>
                                <w:t>38,657,008</w:t>
                              </w:r>
                            </w:p>
                          </w:txbxContent>
                        </wps:txbx>
                        <wps:bodyPr wrap="square" lIns="0" tIns="0" rIns="0" bIns="0" rtlCol="0">
                          <a:noAutofit/>
                        </wps:bodyPr>
                      </wps:wsp>
                    </wpg:wgp>
                  </a:graphicData>
                </a:graphic>
              </wp:inline>
            </w:drawing>
          </mc:Choice>
          <mc:Fallback>
            <w:pict>
              <v:group style="width:575.8pt;height:10.85pt;mso-position-horizontal-relative:char;mso-position-vertical-relative:line" id="docshapegroup88" coordorigin="0,0" coordsize="11516,217">
                <v:rect style="position:absolute;left:-1;top:0;width:11516;height:13" id="docshape89" filled="true" fillcolor="#000000" stroked="false">
                  <v:fill type="solid"/>
                </v:rect>
                <v:rect style="position:absolute;left:-1;top:12;width:11516;height:204" id="docshape90" filled="true" fillcolor="#ccedff" stroked="false">
                  <v:fill type="solid"/>
                </v:rect>
                <v:shape style="position:absolute;left:0;top:12;width:11516;height:204" type="#_x0000_t202" id="docshape91" filled="false" stroked="false">
                  <v:textbox inset="0,0,0,0">
                    <w:txbxContent>
                      <w:p>
                        <w:pPr>
                          <w:tabs>
                            <w:tab w:pos="7190" w:val="left" w:leader="none"/>
                            <w:tab w:pos="8165" w:val="left" w:leader="none"/>
                            <w:tab w:pos="9308" w:val="left" w:leader="none"/>
                            <w:tab w:pos="10655" w:val="left" w:leader="none"/>
                          </w:tabs>
                          <w:spacing w:line="187" w:lineRule="exact" w:before="0"/>
                          <w:ind w:left="0" w:right="0" w:firstLine="0"/>
                          <w:jc w:val="left"/>
                          <w:rPr>
                            <w:sz w:val="16"/>
                          </w:rPr>
                        </w:pPr>
                        <w:r>
                          <w:rPr>
                            <w:sz w:val="16"/>
                          </w:rPr>
                          <w:t>Equity</w:t>
                        </w:r>
                        <w:r>
                          <w:rPr>
                            <w:spacing w:val="14"/>
                            <w:sz w:val="16"/>
                          </w:rPr>
                          <w:t> </w:t>
                        </w:r>
                        <w:r>
                          <w:rPr>
                            <w:sz w:val="16"/>
                          </w:rPr>
                          <w:t>compensation</w:t>
                        </w:r>
                        <w:r>
                          <w:rPr>
                            <w:spacing w:val="14"/>
                            <w:sz w:val="16"/>
                          </w:rPr>
                          <w:t> </w:t>
                        </w:r>
                        <w:r>
                          <w:rPr>
                            <w:sz w:val="16"/>
                          </w:rPr>
                          <w:t>plans</w:t>
                        </w:r>
                        <w:r>
                          <w:rPr>
                            <w:spacing w:val="14"/>
                            <w:sz w:val="16"/>
                          </w:rPr>
                          <w:t> </w:t>
                        </w:r>
                        <w:r>
                          <w:rPr>
                            <w:sz w:val="16"/>
                          </w:rPr>
                          <w:t>approved</w:t>
                        </w:r>
                        <w:r>
                          <w:rPr>
                            <w:spacing w:val="15"/>
                            <w:sz w:val="16"/>
                          </w:rPr>
                          <w:t> </w:t>
                        </w:r>
                        <w:r>
                          <w:rPr>
                            <w:sz w:val="16"/>
                          </w:rPr>
                          <w:t>by</w:t>
                        </w:r>
                        <w:r>
                          <w:rPr>
                            <w:spacing w:val="14"/>
                            <w:sz w:val="16"/>
                          </w:rPr>
                          <w:t> </w:t>
                        </w:r>
                        <w:r>
                          <w:rPr>
                            <w:sz w:val="16"/>
                          </w:rPr>
                          <w:t>security</w:t>
                        </w:r>
                        <w:r>
                          <w:rPr>
                            <w:spacing w:val="14"/>
                            <w:sz w:val="16"/>
                          </w:rPr>
                          <w:t> </w:t>
                        </w:r>
                        <w:r>
                          <w:rPr>
                            <w:sz w:val="16"/>
                          </w:rPr>
                          <w:t>holders</w:t>
                        </w:r>
                        <w:r>
                          <w:rPr>
                            <w:spacing w:val="17"/>
                            <w:sz w:val="16"/>
                          </w:rPr>
                          <w:t> </w:t>
                        </w:r>
                        <w:r>
                          <w:rPr>
                            <w:spacing w:val="-5"/>
                            <w:position w:val="3"/>
                            <w:sz w:val="14"/>
                          </w:rPr>
                          <w:t>(1)</w:t>
                        </w:r>
                        <w:r>
                          <w:rPr>
                            <w:position w:val="3"/>
                            <w:sz w:val="14"/>
                          </w:rPr>
                          <w:tab/>
                        </w:r>
                        <w:r>
                          <w:rPr>
                            <w:spacing w:val="-2"/>
                            <w:sz w:val="16"/>
                          </w:rPr>
                          <w:t>11,904,441</w:t>
                        </w:r>
                        <w:r>
                          <w:rPr>
                            <w:sz w:val="16"/>
                          </w:rPr>
                          <w:tab/>
                        </w:r>
                        <w:r>
                          <w:rPr>
                            <w:spacing w:val="-10"/>
                            <w:sz w:val="16"/>
                          </w:rPr>
                          <w:t>$</w:t>
                        </w:r>
                        <w:r>
                          <w:rPr>
                            <w:sz w:val="16"/>
                          </w:rPr>
                          <w:tab/>
                        </w:r>
                        <w:r>
                          <w:rPr>
                            <w:spacing w:val="-2"/>
                            <w:sz w:val="16"/>
                          </w:rPr>
                          <w:t>22.31</w:t>
                        </w:r>
                        <w:r>
                          <w:rPr>
                            <w:sz w:val="16"/>
                          </w:rPr>
                          <w:tab/>
                        </w:r>
                        <w:r>
                          <w:rPr>
                            <w:spacing w:val="-2"/>
                            <w:sz w:val="16"/>
                          </w:rPr>
                          <w:t>38,657,008</w:t>
                        </w:r>
                      </w:p>
                    </w:txbxContent>
                  </v:textbox>
                  <w10:wrap type="none"/>
                </v:shape>
              </v:group>
            </w:pict>
          </mc:Fallback>
        </mc:AlternateContent>
      </w:r>
      <w:r>
        <w:rPr>
          <w:position w:val="-3"/>
          <w:sz w:val="20"/>
        </w:rPr>
      </w:r>
    </w:p>
    <w:p>
      <w:pPr>
        <w:pStyle w:val="BodyText"/>
        <w:ind w:left="156"/>
      </w:pPr>
      <w:r>
        <w:rPr/>
        <mc:AlternateContent>
          <mc:Choice Requires="wps">
            <w:drawing>
              <wp:anchor distT="0" distB="0" distL="0" distR="0" allowOverlap="1" layoutInCell="1" locked="0" behindDoc="1" simplePos="0" relativeHeight="487628288">
                <wp:simplePos x="0" y="0"/>
                <wp:positionH relativeFrom="page">
                  <wp:posOffset>226488</wp:posOffset>
                </wp:positionH>
                <wp:positionV relativeFrom="paragraph">
                  <wp:posOffset>123086</wp:posOffset>
                </wp:positionV>
                <wp:extent cx="7312659" cy="161925"/>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7312659" cy="161925"/>
                          <a:chExt cx="7312659" cy="161925"/>
                        </a:xfrm>
                      </wpg:grpSpPr>
                      <wps:wsp>
                        <wps:cNvPr id="94" name="Graphic 94"/>
                        <wps:cNvSpPr/>
                        <wps:spPr>
                          <a:xfrm>
                            <a:off x="-9" y="6"/>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0" y="8088"/>
                            <a:ext cx="4020185" cy="154305"/>
                          </a:xfrm>
                          <a:custGeom>
                            <a:avLst/>
                            <a:gdLst/>
                            <a:ahLst/>
                            <a:cxnLst/>
                            <a:rect l="l" t="t" r="r" b="b"/>
                            <a:pathLst>
                              <a:path w="4020185" h="154305">
                                <a:moveTo>
                                  <a:pt x="0" y="0"/>
                                </a:moveTo>
                                <a:lnTo>
                                  <a:pt x="4020171" y="0"/>
                                </a:lnTo>
                                <a:lnTo>
                                  <a:pt x="4020171"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96" name="Graphic 96"/>
                        <wps:cNvSpPr/>
                        <wps:spPr>
                          <a:xfrm>
                            <a:off x="-9" y="137522"/>
                            <a:ext cx="4020185" cy="24765"/>
                          </a:xfrm>
                          <a:custGeom>
                            <a:avLst/>
                            <a:gdLst/>
                            <a:ahLst/>
                            <a:cxnLst/>
                            <a:rect l="l" t="t" r="r" b="b"/>
                            <a:pathLst>
                              <a:path w="4020185" h="24765">
                                <a:moveTo>
                                  <a:pt x="4020172" y="16167"/>
                                </a:moveTo>
                                <a:lnTo>
                                  <a:pt x="0" y="16167"/>
                                </a:lnTo>
                                <a:lnTo>
                                  <a:pt x="0" y="24257"/>
                                </a:lnTo>
                                <a:lnTo>
                                  <a:pt x="4020172" y="24257"/>
                                </a:lnTo>
                                <a:lnTo>
                                  <a:pt x="4020172" y="16167"/>
                                </a:lnTo>
                                <a:close/>
                              </a:path>
                              <a:path w="4020185" h="24765">
                                <a:moveTo>
                                  <a:pt x="4020172" y="0"/>
                                </a:moveTo>
                                <a:lnTo>
                                  <a:pt x="0" y="0"/>
                                </a:lnTo>
                                <a:lnTo>
                                  <a:pt x="0" y="8089"/>
                                </a:lnTo>
                                <a:lnTo>
                                  <a:pt x="4020172" y="8089"/>
                                </a:lnTo>
                                <a:lnTo>
                                  <a:pt x="402017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4020171"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98" name="Graphic 98"/>
                        <wps:cNvSpPr/>
                        <wps:spPr>
                          <a:xfrm>
                            <a:off x="4020163" y="137522"/>
                            <a:ext cx="73025" cy="24765"/>
                          </a:xfrm>
                          <a:custGeom>
                            <a:avLst/>
                            <a:gdLst/>
                            <a:ahLst/>
                            <a:cxnLst/>
                            <a:rect l="l" t="t" r="r" b="b"/>
                            <a:pathLst>
                              <a:path w="73025" h="24765">
                                <a:moveTo>
                                  <a:pt x="72796" y="16167"/>
                                </a:moveTo>
                                <a:lnTo>
                                  <a:pt x="0" y="16167"/>
                                </a:lnTo>
                                <a:lnTo>
                                  <a:pt x="0" y="24257"/>
                                </a:lnTo>
                                <a:lnTo>
                                  <a:pt x="72796" y="24257"/>
                                </a:lnTo>
                                <a:lnTo>
                                  <a:pt x="72796" y="16167"/>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4092971"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00" name="Graphic 100"/>
                        <wps:cNvSpPr/>
                        <wps:spPr>
                          <a:xfrm>
                            <a:off x="4092959" y="137522"/>
                            <a:ext cx="73025" cy="24765"/>
                          </a:xfrm>
                          <a:custGeom>
                            <a:avLst/>
                            <a:gdLst/>
                            <a:ahLst/>
                            <a:cxnLst/>
                            <a:rect l="l" t="t" r="r" b="b"/>
                            <a:pathLst>
                              <a:path w="73025" h="24765">
                                <a:moveTo>
                                  <a:pt x="72809" y="16167"/>
                                </a:moveTo>
                                <a:lnTo>
                                  <a:pt x="0" y="16167"/>
                                </a:lnTo>
                                <a:lnTo>
                                  <a:pt x="0" y="24257"/>
                                </a:lnTo>
                                <a:lnTo>
                                  <a:pt x="72809" y="24257"/>
                                </a:lnTo>
                                <a:lnTo>
                                  <a:pt x="72809" y="16167"/>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4165770" y="8088"/>
                            <a:ext cx="873760" cy="154305"/>
                          </a:xfrm>
                          <a:custGeom>
                            <a:avLst/>
                            <a:gdLst/>
                            <a:ahLst/>
                            <a:cxnLst/>
                            <a:rect l="l" t="t" r="r" b="b"/>
                            <a:pathLst>
                              <a:path w="873760" h="154305">
                                <a:moveTo>
                                  <a:pt x="0" y="0"/>
                                </a:moveTo>
                                <a:lnTo>
                                  <a:pt x="873598" y="0"/>
                                </a:lnTo>
                                <a:lnTo>
                                  <a:pt x="873598"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02" name="Graphic 102"/>
                        <wps:cNvSpPr/>
                        <wps:spPr>
                          <a:xfrm>
                            <a:off x="4165768" y="137522"/>
                            <a:ext cx="873760" cy="24765"/>
                          </a:xfrm>
                          <a:custGeom>
                            <a:avLst/>
                            <a:gdLst/>
                            <a:ahLst/>
                            <a:cxnLst/>
                            <a:rect l="l" t="t" r="r" b="b"/>
                            <a:pathLst>
                              <a:path w="873760" h="24765">
                                <a:moveTo>
                                  <a:pt x="873594" y="16167"/>
                                </a:moveTo>
                                <a:lnTo>
                                  <a:pt x="0" y="16167"/>
                                </a:lnTo>
                                <a:lnTo>
                                  <a:pt x="0" y="24257"/>
                                </a:lnTo>
                                <a:lnTo>
                                  <a:pt x="873594" y="24257"/>
                                </a:lnTo>
                                <a:lnTo>
                                  <a:pt x="873594" y="16167"/>
                                </a:lnTo>
                                <a:close/>
                              </a:path>
                              <a:path w="873760" h="24765">
                                <a:moveTo>
                                  <a:pt x="873594" y="0"/>
                                </a:moveTo>
                                <a:lnTo>
                                  <a:pt x="0" y="0"/>
                                </a:lnTo>
                                <a:lnTo>
                                  <a:pt x="0" y="8089"/>
                                </a:lnTo>
                                <a:lnTo>
                                  <a:pt x="873594" y="8089"/>
                                </a:lnTo>
                                <a:lnTo>
                                  <a:pt x="873594"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5039369"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04" name="Graphic 104"/>
                        <wps:cNvSpPr/>
                        <wps:spPr>
                          <a:xfrm>
                            <a:off x="5039363" y="137522"/>
                            <a:ext cx="73025" cy="24765"/>
                          </a:xfrm>
                          <a:custGeom>
                            <a:avLst/>
                            <a:gdLst/>
                            <a:ahLst/>
                            <a:cxnLst/>
                            <a:rect l="l" t="t" r="r" b="b"/>
                            <a:pathLst>
                              <a:path w="73025" h="24765">
                                <a:moveTo>
                                  <a:pt x="72796" y="16167"/>
                                </a:moveTo>
                                <a:lnTo>
                                  <a:pt x="0" y="16167"/>
                                </a:lnTo>
                                <a:lnTo>
                                  <a:pt x="0" y="24257"/>
                                </a:lnTo>
                                <a:lnTo>
                                  <a:pt x="72796" y="24257"/>
                                </a:lnTo>
                                <a:lnTo>
                                  <a:pt x="72796" y="16167"/>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5112169"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06" name="Graphic 106"/>
                        <wps:cNvSpPr/>
                        <wps:spPr>
                          <a:xfrm>
                            <a:off x="5112160" y="137522"/>
                            <a:ext cx="73025" cy="24765"/>
                          </a:xfrm>
                          <a:custGeom>
                            <a:avLst/>
                            <a:gdLst/>
                            <a:ahLst/>
                            <a:cxnLst/>
                            <a:rect l="l" t="t" r="r" b="b"/>
                            <a:pathLst>
                              <a:path w="73025" h="24765">
                                <a:moveTo>
                                  <a:pt x="72809" y="16167"/>
                                </a:moveTo>
                                <a:lnTo>
                                  <a:pt x="0" y="16167"/>
                                </a:lnTo>
                                <a:lnTo>
                                  <a:pt x="0" y="24257"/>
                                </a:lnTo>
                                <a:lnTo>
                                  <a:pt x="72809" y="24257"/>
                                </a:lnTo>
                                <a:lnTo>
                                  <a:pt x="72809" y="16167"/>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5184969" y="8088"/>
                            <a:ext cx="89535" cy="154305"/>
                          </a:xfrm>
                          <a:custGeom>
                            <a:avLst/>
                            <a:gdLst/>
                            <a:ahLst/>
                            <a:cxnLst/>
                            <a:rect l="l" t="t" r="r" b="b"/>
                            <a:pathLst>
                              <a:path w="89535" h="154305">
                                <a:moveTo>
                                  <a:pt x="0" y="0"/>
                                </a:moveTo>
                                <a:lnTo>
                                  <a:pt x="88977" y="0"/>
                                </a:lnTo>
                                <a:lnTo>
                                  <a:pt x="88977"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08" name="Graphic 108"/>
                        <wps:cNvSpPr/>
                        <wps:spPr>
                          <a:xfrm>
                            <a:off x="5184969" y="137522"/>
                            <a:ext cx="89535" cy="24765"/>
                          </a:xfrm>
                          <a:custGeom>
                            <a:avLst/>
                            <a:gdLst/>
                            <a:ahLst/>
                            <a:cxnLst/>
                            <a:rect l="l" t="t" r="r" b="b"/>
                            <a:pathLst>
                              <a:path w="89535" h="24765">
                                <a:moveTo>
                                  <a:pt x="88976" y="16167"/>
                                </a:moveTo>
                                <a:lnTo>
                                  <a:pt x="0" y="16167"/>
                                </a:lnTo>
                                <a:lnTo>
                                  <a:pt x="0" y="24257"/>
                                </a:lnTo>
                                <a:lnTo>
                                  <a:pt x="88976" y="24257"/>
                                </a:lnTo>
                                <a:lnTo>
                                  <a:pt x="88976" y="16167"/>
                                </a:lnTo>
                                <a:close/>
                              </a:path>
                              <a:path w="89535" h="24765">
                                <a:moveTo>
                                  <a:pt x="88976" y="0"/>
                                </a:moveTo>
                                <a:lnTo>
                                  <a:pt x="0" y="0"/>
                                </a:lnTo>
                                <a:lnTo>
                                  <a:pt x="0" y="8089"/>
                                </a:lnTo>
                                <a:lnTo>
                                  <a:pt x="88976" y="8089"/>
                                </a:lnTo>
                                <a:lnTo>
                                  <a:pt x="88976"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5273947" y="8088"/>
                            <a:ext cx="873760" cy="154305"/>
                          </a:xfrm>
                          <a:custGeom>
                            <a:avLst/>
                            <a:gdLst/>
                            <a:ahLst/>
                            <a:cxnLst/>
                            <a:rect l="l" t="t" r="r" b="b"/>
                            <a:pathLst>
                              <a:path w="873760" h="154305">
                                <a:moveTo>
                                  <a:pt x="0" y="0"/>
                                </a:moveTo>
                                <a:lnTo>
                                  <a:pt x="873598" y="0"/>
                                </a:lnTo>
                                <a:lnTo>
                                  <a:pt x="873598"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10" name="Graphic 110"/>
                        <wps:cNvSpPr/>
                        <wps:spPr>
                          <a:xfrm>
                            <a:off x="5273945" y="137522"/>
                            <a:ext cx="873760" cy="24765"/>
                          </a:xfrm>
                          <a:custGeom>
                            <a:avLst/>
                            <a:gdLst/>
                            <a:ahLst/>
                            <a:cxnLst/>
                            <a:rect l="l" t="t" r="r" b="b"/>
                            <a:pathLst>
                              <a:path w="873760" h="24765">
                                <a:moveTo>
                                  <a:pt x="873594" y="16167"/>
                                </a:moveTo>
                                <a:lnTo>
                                  <a:pt x="0" y="16167"/>
                                </a:lnTo>
                                <a:lnTo>
                                  <a:pt x="0" y="24257"/>
                                </a:lnTo>
                                <a:lnTo>
                                  <a:pt x="873594" y="24257"/>
                                </a:lnTo>
                                <a:lnTo>
                                  <a:pt x="873594" y="16167"/>
                                </a:lnTo>
                                <a:close/>
                              </a:path>
                              <a:path w="873760" h="24765">
                                <a:moveTo>
                                  <a:pt x="873594" y="0"/>
                                </a:moveTo>
                                <a:lnTo>
                                  <a:pt x="0" y="0"/>
                                </a:lnTo>
                                <a:lnTo>
                                  <a:pt x="0" y="8089"/>
                                </a:lnTo>
                                <a:lnTo>
                                  <a:pt x="873594" y="8089"/>
                                </a:lnTo>
                                <a:lnTo>
                                  <a:pt x="873594"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6147545"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12" name="Graphic 112"/>
                        <wps:cNvSpPr/>
                        <wps:spPr>
                          <a:xfrm>
                            <a:off x="6147540" y="137522"/>
                            <a:ext cx="73025" cy="24765"/>
                          </a:xfrm>
                          <a:custGeom>
                            <a:avLst/>
                            <a:gdLst/>
                            <a:ahLst/>
                            <a:cxnLst/>
                            <a:rect l="l" t="t" r="r" b="b"/>
                            <a:pathLst>
                              <a:path w="73025" h="24765">
                                <a:moveTo>
                                  <a:pt x="72796" y="16167"/>
                                </a:moveTo>
                                <a:lnTo>
                                  <a:pt x="0" y="16167"/>
                                </a:lnTo>
                                <a:lnTo>
                                  <a:pt x="0" y="24257"/>
                                </a:lnTo>
                                <a:lnTo>
                                  <a:pt x="72796" y="24257"/>
                                </a:lnTo>
                                <a:lnTo>
                                  <a:pt x="72796" y="16167"/>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6220345"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14" name="Graphic 114"/>
                        <wps:cNvSpPr/>
                        <wps:spPr>
                          <a:xfrm>
                            <a:off x="6220336" y="137522"/>
                            <a:ext cx="73025" cy="24765"/>
                          </a:xfrm>
                          <a:custGeom>
                            <a:avLst/>
                            <a:gdLst/>
                            <a:ahLst/>
                            <a:cxnLst/>
                            <a:rect l="l" t="t" r="r" b="b"/>
                            <a:pathLst>
                              <a:path w="73025" h="24765">
                                <a:moveTo>
                                  <a:pt x="72796" y="16167"/>
                                </a:moveTo>
                                <a:lnTo>
                                  <a:pt x="0" y="16167"/>
                                </a:lnTo>
                                <a:lnTo>
                                  <a:pt x="0" y="24257"/>
                                </a:lnTo>
                                <a:lnTo>
                                  <a:pt x="72796" y="24257"/>
                                </a:lnTo>
                                <a:lnTo>
                                  <a:pt x="72796" y="16167"/>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6293145"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16" name="Graphic 116"/>
                        <wps:cNvSpPr/>
                        <wps:spPr>
                          <a:xfrm>
                            <a:off x="6293132" y="137522"/>
                            <a:ext cx="73025" cy="24765"/>
                          </a:xfrm>
                          <a:custGeom>
                            <a:avLst/>
                            <a:gdLst/>
                            <a:ahLst/>
                            <a:cxnLst/>
                            <a:rect l="l" t="t" r="r" b="b"/>
                            <a:pathLst>
                              <a:path w="73025" h="24765">
                                <a:moveTo>
                                  <a:pt x="72809" y="16167"/>
                                </a:moveTo>
                                <a:lnTo>
                                  <a:pt x="0" y="16167"/>
                                </a:lnTo>
                                <a:lnTo>
                                  <a:pt x="0" y="24257"/>
                                </a:lnTo>
                                <a:lnTo>
                                  <a:pt x="72809" y="24257"/>
                                </a:lnTo>
                                <a:lnTo>
                                  <a:pt x="72809" y="16167"/>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6365945" y="8088"/>
                            <a:ext cx="873760" cy="154305"/>
                          </a:xfrm>
                          <a:custGeom>
                            <a:avLst/>
                            <a:gdLst/>
                            <a:ahLst/>
                            <a:cxnLst/>
                            <a:rect l="l" t="t" r="r" b="b"/>
                            <a:pathLst>
                              <a:path w="873760" h="154305">
                                <a:moveTo>
                                  <a:pt x="0" y="0"/>
                                </a:moveTo>
                                <a:lnTo>
                                  <a:pt x="873598" y="0"/>
                                </a:lnTo>
                                <a:lnTo>
                                  <a:pt x="873598"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18" name="Graphic 118"/>
                        <wps:cNvSpPr/>
                        <wps:spPr>
                          <a:xfrm>
                            <a:off x="6365942" y="137522"/>
                            <a:ext cx="873760" cy="24765"/>
                          </a:xfrm>
                          <a:custGeom>
                            <a:avLst/>
                            <a:gdLst/>
                            <a:ahLst/>
                            <a:cxnLst/>
                            <a:rect l="l" t="t" r="r" b="b"/>
                            <a:pathLst>
                              <a:path w="873760" h="24765">
                                <a:moveTo>
                                  <a:pt x="873594" y="16167"/>
                                </a:moveTo>
                                <a:lnTo>
                                  <a:pt x="0" y="16167"/>
                                </a:lnTo>
                                <a:lnTo>
                                  <a:pt x="0" y="24257"/>
                                </a:lnTo>
                                <a:lnTo>
                                  <a:pt x="873594" y="24257"/>
                                </a:lnTo>
                                <a:lnTo>
                                  <a:pt x="873594" y="16167"/>
                                </a:lnTo>
                                <a:close/>
                              </a:path>
                              <a:path w="873760" h="24765">
                                <a:moveTo>
                                  <a:pt x="873594" y="0"/>
                                </a:moveTo>
                                <a:lnTo>
                                  <a:pt x="0" y="0"/>
                                </a:lnTo>
                                <a:lnTo>
                                  <a:pt x="0" y="8089"/>
                                </a:lnTo>
                                <a:lnTo>
                                  <a:pt x="873594" y="8089"/>
                                </a:lnTo>
                                <a:lnTo>
                                  <a:pt x="873594"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7239543"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20" name="Graphic 120"/>
                        <wps:cNvSpPr/>
                        <wps:spPr>
                          <a:xfrm>
                            <a:off x="7239537" y="137522"/>
                            <a:ext cx="73025" cy="24765"/>
                          </a:xfrm>
                          <a:custGeom>
                            <a:avLst/>
                            <a:gdLst/>
                            <a:ahLst/>
                            <a:cxnLst/>
                            <a:rect l="l" t="t" r="r" b="b"/>
                            <a:pathLst>
                              <a:path w="73025" h="24765">
                                <a:moveTo>
                                  <a:pt x="72796" y="16167"/>
                                </a:moveTo>
                                <a:lnTo>
                                  <a:pt x="0" y="16167"/>
                                </a:lnTo>
                                <a:lnTo>
                                  <a:pt x="0" y="24257"/>
                                </a:lnTo>
                                <a:lnTo>
                                  <a:pt x="72796" y="24257"/>
                                </a:lnTo>
                                <a:lnTo>
                                  <a:pt x="72796" y="16167"/>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121" name="Textbox 121"/>
                        <wps:cNvSpPr txBox="1"/>
                        <wps:spPr>
                          <a:xfrm>
                            <a:off x="0" y="8088"/>
                            <a:ext cx="7312659" cy="137795"/>
                          </a:xfrm>
                          <a:prstGeom prst="rect">
                            <a:avLst/>
                          </a:prstGeom>
                        </wps:spPr>
                        <wps:txbx>
                          <w:txbxContent>
                            <w:p>
                              <w:pPr>
                                <w:tabs>
                                  <w:tab w:pos="7190" w:val="left" w:leader="none"/>
                                  <w:tab w:pos="8165" w:val="left" w:leader="none"/>
                                  <w:tab w:pos="9308" w:val="left" w:leader="none"/>
                                  <w:tab w:pos="10655" w:val="left" w:leader="none"/>
                                </w:tabs>
                                <w:spacing w:before="3"/>
                                <w:ind w:left="0" w:right="0" w:firstLine="0"/>
                                <w:jc w:val="left"/>
                                <w:rPr>
                                  <w:sz w:val="16"/>
                                </w:rPr>
                              </w:pPr>
                              <w:r>
                                <w:rPr>
                                  <w:spacing w:val="-4"/>
                                  <w:w w:val="105"/>
                                  <w:sz w:val="16"/>
                                </w:rPr>
                                <w:t>Total</w:t>
                              </w:r>
                              <w:r>
                                <w:rPr>
                                  <w:sz w:val="16"/>
                                </w:rPr>
                                <w:tab/>
                              </w:r>
                              <w:r>
                                <w:rPr>
                                  <w:spacing w:val="-2"/>
                                  <w:w w:val="105"/>
                                  <w:sz w:val="16"/>
                                </w:rPr>
                                <w:t>11,904,441</w:t>
                              </w:r>
                              <w:r>
                                <w:rPr>
                                  <w:sz w:val="16"/>
                                </w:rPr>
                                <w:tab/>
                              </w:r>
                              <w:r>
                                <w:rPr>
                                  <w:spacing w:val="-10"/>
                                  <w:w w:val="105"/>
                                  <w:sz w:val="16"/>
                                </w:rPr>
                                <w:t>$</w:t>
                              </w:r>
                              <w:r>
                                <w:rPr>
                                  <w:sz w:val="16"/>
                                </w:rPr>
                                <w:tab/>
                              </w:r>
                              <w:r>
                                <w:rPr>
                                  <w:spacing w:val="-2"/>
                                  <w:w w:val="105"/>
                                  <w:sz w:val="16"/>
                                </w:rPr>
                                <w:t>22.31</w:t>
                              </w:r>
                              <w:r>
                                <w:rPr>
                                  <w:sz w:val="16"/>
                                </w:rPr>
                                <w:tab/>
                              </w:r>
                              <w:r>
                                <w:rPr>
                                  <w:spacing w:val="-2"/>
                                  <w:w w:val="105"/>
                                  <w:sz w:val="16"/>
                                </w:rPr>
                                <w:t>38,657,008</w:t>
                              </w:r>
                            </w:p>
                          </w:txbxContent>
                        </wps:txbx>
                        <wps:bodyPr wrap="square" lIns="0" tIns="0" rIns="0" bIns="0" rtlCol="0">
                          <a:noAutofit/>
                        </wps:bodyPr>
                      </wps:wsp>
                    </wpg:wgp>
                  </a:graphicData>
                </a:graphic>
              </wp:anchor>
            </w:drawing>
          </mc:Choice>
          <mc:Fallback>
            <w:pict>
              <v:group style="position:absolute;margin-left:17.833740pt;margin-top:9.691864pt;width:575.8pt;height:12.75pt;mso-position-horizontal-relative:page;mso-position-vertical-relative:paragraph;z-index:-15688192;mso-wrap-distance-left:0;mso-wrap-distance-right:0" id="docshapegroup92" coordorigin="357,194" coordsize="11516,255">
                <v:rect style="position:absolute;left:356;top:193;width:11516;height:13" id="docshape93" filled="true" fillcolor="#000000" stroked="false">
                  <v:fill type="solid"/>
                </v:rect>
                <v:rect style="position:absolute;left:356;top:206;width:6331;height:243" id="docshape94" filled="true" fillcolor="#ccedff" stroked="false">
                  <v:fill type="solid"/>
                </v:rect>
                <v:shape style="position:absolute;left:356;top:410;width:6331;height:39" id="docshape95" coordorigin="357,410" coordsize="6331,39" path="m6688,436l357,436,357,449,6688,449,6688,436xm6688,410l357,410,357,423,6688,423,6688,410xe" filled="true" fillcolor="#000000" stroked="false">
                  <v:path arrowok="t"/>
                  <v:fill type="solid"/>
                </v:shape>
                <v:rect style="position:absolute;left:6687;top:206;width:115;height:243" id="docshape96" filled="true" fillcolor="#ccedff" stroked="false">
                  <v:fill type="solid"/>
                </v:rect>
                <v:shape style="position:absolute;left:6687;top:410;width:115;height:39" id="docshape97" coordorigin="6688,410" coordsize="115,39" path="m6802,436l6688,436,6688,449,6802,449,6802,436xm6802,410l6688,410,6688,423,6802,423,6802,410xe" filled="true" fillcolor="#000000" stroked="false">
                  <v:path arrowok="t"/>
                  <v:fill type="solid"/>
                </v:shape>
                <v:rect style="position:absolute;left:6802;top:206;width:115;height:243" id="docshape98" filled="true" fillcolor="#ccedff" stroked="false">
                  <v:fill type="solid"/>
                </v:rect>
                <v:shape style="position:absolute;left:6802;top:410;width:115;height:39" id="docshape99" coordorigin="6802,410" coordsize="115,39" path="m6917,436l6802,436,6802,449,6917,449,6917,436xm6917,410l6802,410,6802,423,6917,423,6917,410xe" filled="true" fillcolor="#000000" stroked="false">
                  <v:path arrowok="t"/>
                  <v:fill type="solid"/>
                </v:shape>
                <v:rect style="position:absolute;left:6916;top:206;width:1376;height:243" id="docshape100" filled="true" fillcolor="#ccedff" stroked="false">
                  <v:fill type="solid"/>
                </v:rect>
                <v:shape style="position:absolute;left:6916;top:410;width:1376;height:39" id="docshape101" coordorigin="6917,410" coordsize="1376,39" path="m8293,436l6917,436,6917,449,8293,449,8293,436xm8293,410l6917,410,6917,423,8293,423,8293,410xe" filled="true" fillcolor="#000000" stroked="false">
                  <v:path arrowok="t"/>
                  <v:fill type="solid"/>
                </v:shape>
                <v:rect style="position:absolute;left:8292;top:206;width:115;height:243" id="docshape102" filled="true" fillcolor="#ccedff" stroked="false">
                  <v:fill type="solid"/>
                </v:rect>
                <v:shape style="position:absolute;left:8292;top:410;width:115;height:39" id="docshape103" coordorigin="8293,410" coordsize="115,39" path="m8407,436l8293,436,8293,449,8407,449,8407,436xm8407,410l8293,410,8293,423,8407,423,8407,410xe" filled="true" fillcolor="#000000" stroked="false">
                  <v:path arrowok="t"/>
                  <v:fill type="solid"/>
                </v:shape>
                <v:rect style="position:absolute;left:8407;top:206;width:115;height:243" id="docshape104" filled="true" fillcolor="#ccedff" stroked="false">
                  <v:fill type="solid"/>
                </v:rect>
                <v:shape style="position:absolute;left:8407;top:410;width:115;height:39" id="docshape105" coordorigin="8407,410" coordsize="115,39" path="m8522,436l8407,436,8407,449,8522,449,8522,436xm8522,410l8407,410,8407,423,8522,423,8522,410xe" filled="true" fillcolor="#000000" stroked="false">
                  <v:path arrowok="t"/>
                  <v:fill type="solid"/>
                </v:shape>
                <v:rect style="position:absolute;left:8521;top:206;width:141;height:243" id="docshape106" filled="true" fillcolor="#ccedff" stroked="false">
                  <v:fill type="solid"/>
                </v:rect>
                <v:shape style="position:absolute;left:8521;top:410;width:141;height:39" id="docshape107" coordorigin="8522,410" coordsize="141,39" path="m8662,436l8522,436,8522,449,8662,449,8662,436xm8662,410l8522,410,8522,423,8662,423,8662,410xe" filled="true" fillcolor="#000000" stroked="false">
                  <v:path arrowok="t"/>
                  <v:fill type="solid"/>
                </v:shape>
                <v:rect style="position:absolute;left:8662;top:206;width:1376;height:243" id="docshape108" filled="true" fillcolor="#ccedff" stroked="false">
                  <v:fill type="solid"/>
                </v:rect>
                <v:shape style="position:absolute;left:8662;top:410;width:1376;height:39" id="docshape109" coordorigin="8662,410" coordsize="1376,39" path="m10038,436l8662,436,8662,449,10038,449,10038,436xm10038,410l8662,410,8662,423,10038,423,10038,410xe" filled="true" fillcolor="#000000" stroked="false">
                  <v:path arrowok="t"/>
                  <v:fill type="solid"/>
                </v:shape>
                <v:rect style="position:absolute;left:10037;top:206;width:115;height:243" id="docshape110" filled="true" fillcolor="#ccedff" stroked="false">
                  <v:fill type="solid"/>
                </v:rect>
                <v:shape style="position:absolute;left:10037;top:410;width:115;height:39" id="docshape111" coordorigin="10038,410" coordsize="115,39" path="m10152,436l10038,436,10038,449,10152,449,10152,436xm10152,410l10038,410,10038,423,10152,423,10152,410xe" filled="true" fillcolor="#000000" stroked="false">
                  <v:path arrowok="t"/>
                  <v:fill type="solid"/>
                </v:shape>
                <v:rect style="position:absolute;left:10152;top:206;width:115;height:243" id="docshape112" filled="true" fillcolor="#ccedff" stroked="false">
                  <v:fill type="solid"/>
                </v:rect>
                <v:shape style="position:absolute;left:10152;top:410;width:115;height:39" id="docshape113" coordorigin="10152,410" coordsize="115,39" path="m10267,436l10152,436,10152,449,10267,449,10267,436xm10267,410l10152,410,10152,423,10267,423,10267,410xe" filled="true" fillcolor="#000000" stroked="false">
                  <v:path arrowok="t"/>
                  <v:fill type="solid"/>
                </v:shape>
                <v:rect style="position:absolute;left:10267;top:206;width:115;height:243" id="docshape114" filled="true" fillcolor="#ccedff" stroked="false">
                  <v:fill type="solid"/>
                </v:rect>
                <v:shape style="position:absolute;left:10267;top:410;width:115;height:39" id="docshape115" coordorigin="10267,410" coordsize="115,39" path="m10382,436l10267,436,10267,449,10382,449,10382,436xm10382,410l10267,410,10267,423,10382,423,10382,410xe" filled="true" fillcolor="#000000" stroked="false">
                  <v:path arrowok="t"/>
                  <v:fill type="solid"/>
                </v:shape>
                <v:rect style="position:absolute;left:10381;top:206;width:1376;height:243" id="docshape116" filled="true" fillcolor="#ccedff" stroked="false">
                  <v:fill type="solid"/>
                </v:rect>
                <v:shape style="position:absolute;left:10381;top:410;width:1376;height:39" id="docshape117" coordorigin="10382,410" coordsize="1376,39" path="m11758,436l10382,436,10382,449,11758,449,11758,436xm11758,410l10382,410,10382,423,11758,423,11758,410xe" filled="true" fillcolor="#000000" stroked="false">
                  <v:path arrowok="t"/>
                  <v:fill type="solid"/>
                </v:shape>
                <v:rect style="position:absolute;left:11757;top:206;width:115;height:243" id="docshape118" filled="true" fillcolor="#ccedff" stroked="false">
                  <v:fill type="solid"/>
                </v:rect>
                <v:shape style="position:absolute;left:11757;top:410;width:115;height:39" id="docshape119" coordorigin="11758,410" coordsize="115,39" path="m11872,436l11758,436,11758,449,11872,449,11872,436xm11872,410l11758,410,11758,423,11872,423,11872,410xe" filled="true" fillcolor="#000000" stroked="false">
                  <v:path arrowok="t"/>
                  <v:fill type="solid"/>
                </v:shape>
                <v:shape style="position:absolute;left:356;top:206;width:11516;height:217" type="#_x0000_t202" id="docshape120" filled="false" stroked="false">
                  <v:textbox inset="0,0,0,0">
                    <w:txbxContent>
                      <w:p>
                        <w:pPr>
                          <w:tabs>
                            <w:tab w:pos="7190" w:val="left" w:leader="none"/>
                            <w:tab w:pos="8165" w:val="left" w:leader="none"/>
                            <w:tab w:pos="9308" w:val="left" w:leader="none"/>
                            <w:tab w:pos="10655" w:val="left" w:leader="none"/>
                          </w:tabs>
                          <w:spacing w:before="3"/>
                          <w:ind w:left="0" w:right="0" w:firstLine="0"/>
                          <w:jc w:val="left"/>
                          <w:rPr>
                            <w:sz w:val="16"/>
                          </w:rPr>
                        </w:pPr>
                        <w:r>
                          <w:rPr>
                            <w:spacing w:val="-4"/>
                            <w:w w:val="105"/>
                            <w:sz w:val="16"/>
                          </w:rPr>
                          <w:t>Total</w:t>
                        </w:r>
                        <w:r>
                          <w:rPr>
                            <w:sz w:val="16"/>
                          </w:rPr>
                          <w:tab/>
                        </w:r>
                        <w:r>
                          <w:rPr>
                            <w:spacing w:val="-2"/>
                            <w:w w:val="105"/>
                            <w:sz w:val="16"/>
                          </w:rPr>
                          <w:t>11,904,441</w:t>
                        </w:r>
                        <w:r>
                          <w:rPr>
                            <w:sz w:val="16"/>
                          </w:rPr>
                          <w:tab/>
                        </w:r>
                        <w:r>
                          <w:rPr>
                            <w:spacing w:val="-10"/>
                            <w:w w:val="105"/>
                            <w:sz w:val="16"/>
                          </w:rPr>
                          <w:t>$</w:t>
                        </w:r>
                        <w:r>
                          <w:rPr>
                            <w:sz w:val="16"/>
                          </w:rPr>
                          <w:tab/>
                        </w:r>
                        <w:r>
                          <w:rPr>
                            <w:spacing w:val="-2"/>
                            <w:w w:val="105"/>
                            <w:sz w:val="16"/>
                          </w:rPr>
                          <w:t>22.31</w:t>
                        </w:r>
                        <w:r>
                          <w:rPr>
                            <w:sz w:val="16"/>
                          </w:rPr>
                          <w:tab/>
                        </w:r>
                        <w:r>
                          <w:rPr>
                            <w:spacing w:val="-2"/>
                            <w:w w:val="105"/>
                            <w:sz w:val="16"/>
                          </w:rPr>
                          <w:t>38,657,008</w:t>
                        </w:r>
                      </w:p>
                    </w:txbxContent>
                  </v:textbox>
                  <w10:wrap type="none"/>
                </v:shape>
                <w10:wrap type="topAndBottom"/>
              </v:group>
            </w:pict>
          </mc:Fallback>
        </mc:AlternateContent>
      </w:r>
      <w:r>
        <w:rPr>
          <w:w w:val="105"/>
        </w:rPr>
        <w:t>Equity</w:t>
      </w:r>
      <w:r>
        <w:rPr>
          <w:spacing w:val="-11"/>
          <w:w w:val="105"/>
        </w:rPr>
        <w:t> </w:t>
      </w:r>
      <w:r>
        <w:rPr>
          <w:w w:val="105"/>
        </w:rPr>
        <w:t>compensation</w:t>
      </w:r>
      <w:r>
        <w:rPr>
          <w:spacing w:val="-10"/>
          <w:w w:val="105"/>
        </w:rPr>
        <w:t> </w:t>
      </w:r>
      <w:r>
        <w:rPr>
          <w:w w:val="105"/>
        </w:rPr>
        <w:t>plans</w:t>
      </w:r>
      <w:r>
        <w:rPr>
          <w:spacing w:val="-10"/>
          <w:w w:val="105"/>
        </w:rPr>
        <w:t> </w:t>
      </w:r>
      <w:r>
        <w:rPr>
          <w:w w:val="105"/>
        </w:rPr>
        <w:t>not</w:t>
      </w:r>
      <w:r>
        <w:rPr>
          <w:spacing w:val="-10"/>
          <w:w w:val="105"/>
        </w:rPr>
        <w:t> </w:t>
      </w:r>
      <w:r>
        <w:rPr>
          <w:w w:val="105"/>
        </w:rPr>
        <w:t>approved</w:t>
      </w:r>
      <w:r>
        <w:rPr>
          <w:spacing w:val="-10"/>
          <w:w w:val="105"/>
        </w:rPr>
        <w:t> </w:t>
      </w:r>
      <w:r>
        <w:rPr>
          <w:w w:val="105"/>
        </w:rPr>
        <w:t>by</w:t>
      </w:r>
      <w:r>
        <w:rPr>
          <w:spacing w:val="-11"/>
          <w:w w:val="105"/>
        </w:rPr>
        <w:t> </w:t>
      </w:r>
      <w:r>
        <w:rPr>
          <w:w w:val="105"/>
        </w:rPr>
        <w:t>security</w:t>
      </w:r>
      <w:r>
        <w:rPr>
          <w:spacing w:val="-10"/>
          <w:w w:val="105"/>
        </w:rPr>
        <w:t> </w:t>
      </w:r>
      <w:r>
        <w:rPr>
          <w:spacing w:val="-2"/>
          <w:w w:val="105"/>
        </w:rPr>
        <w:t>holders</w:t>
      </w:r>
    </w:p>
    <w:p>
      <w:pPr>
        <w:pStyle w:val="BodyText"/>
        <w:spacing w:before="39"/>
        <w:rPr>
          <w:sz w:val="14"/>
        </w:rPr>
      </w:pPr>
    </w:p>
    <w:p>
      <w:pPr>
        <w:spacing w:before="0"/>
        <w:ind w:left="156" w:right="0" w:firstLine="0"/>
        <w:jc w:val="left"/>
        <w:rPr>
          <w:sz w:val="14"/>
        </w:rPr>
      </w:pPr>
      <w:r>
        <w:rPr>
          <w:sz w:val="14"/>
        </w:rPr>
        <w:t>(1)</w:t>
      </w:r>
      <w:r>
        <w:rPr>
          <w:spacing w:val="34"/>
          <w:sz w:val="14"/>
        </w:rPr>
        <w:t>  </w:t>
      </w:r>
      <w:r>
        <w:rPr>
          <w:sz w:val="14"/>
        </w:rPr>
        <w:t>Shares</w:t>
      </w:r>
      <w:r>
        <w:rPr>
          <w:spacing w:val="-1"/>
          <w:sz w:val="14"/>
        </w:rPr>
        <w:t> </w:t>
      </w:r>
      <w:r>
        <w:rPr>
          <w:sz w:val="14"/>
        </w:rPr>
        <w:t>indicated are</w:t>
      </w:r>
      <w:r>
        <w:rPr>
          <w:spacing w:val="-1"/>
          <w:sz w:val="14"/>
        </w:rPr>
        <w:t> </w:t>
      </w:r>
      <w:r>
        <w:rPr>
          <w:sz w:val="14"/>
        </w:rPr>
        <w:t>total</w:t>
      </w:r>
      <w:r>
        <w:rPr>
          <w:spacing w:val="-1"/>
          <w:sz w:val="14"/>
        </w:rPr>
        <w:t> </w:t>
      </w:r>
      <w:r>
        <w:rPr>
          <w:sz w:val="14"/>
        </w:rPr>
        <w:t>grants</w:t>
      </w:r>
      <w:r>
        <w:rPr>
          <w:spacing w:val="-1"/>
          <w:sz w:val="14"/>
        </w:rPr>
        <w:t> </w:t>
      </w:r>
      <w:r>
        <w:rPr>
          <w:sz w:val="14"/>
        </w:rPr>
        <w:t>under</w:t>
      </w:r>
      <w:r>
        <w:rPr>
          <w:spacing w:val="-1"/>
          <w:sz w:val="14"/>
        </w:rPr>
        <w:t> </w:t>
      </w:r>
      <w:r>
        <w:rPr>
          <w:sz w:val="14"/>
        </w:rPr>
        <w:t>the most</w:t>
      </w:r>
      <w:r>
        <w:rPr>
          <w:spacing w:val="-1"/>
          <w:sz w:val="14"/>
        </w:rPr>
        <w:t> </w:t>
      </w:r>
      <w:r>
        <w:rPr>
          <w:sz w:val="14"/>
        </w:rPr>
        <w:t>recent</w:t>
      </w:r>
      <w:r>
        <w:rPr>
          <w:spacing w:val="-1"/>
          <w:sz w:val="14"/>
        </w:rPr>
        <w:t> </w:t>
      </w:r>
      <w:r>
        <w:rPr>
          <w:sz w:val="14"/>
        </w:rPr>
        <w:t>shareholder</w:t>
      </w:r>
      <w:r>
        <w:rPr>
          <w:spacing w:val="-1"/>
          <w:sz w:val="14"/>
        </w:rPr>
        <w:t> </w:t>
      </w:r>
      <w:r>
        <w:rPr>
          <w:sz w:val="14"/>
        </w:rPr>
        <w:t>approved </w:t>
      </w:r>
      <w:r>
        <w:rPr>
          <w:spacing w:val="-2"/>
          <w:sz w:val="14"/>
        </w:rPr>
        <w:t>plans.</w:t>
      </w:r>
    </w:p>
    <w:p>
      <w:pPr>
        <w:pStyle w:val="BodyText"/>
        <w:spacing w:before="19"/>
      </w:pPr>
    </w:p>
    <w:p>
      <w:pPr>
        <w:pStyle w:val="BodyText"/>
        <w:ind w:left="48"/>
        <w:jc w:val="center"/>
      </w:pPr>
      <w:r>
        <w:rPr>
          <w:spacing w:val="-5"/>
          <w:w w:val="105"/>
        </w:rPr>
        <w:t>54</w:t>
      </w:r>
    </w:p>
    <w:p>
      <w:pPr>
        <w:pStyle w:val="BodyText"/>
        <w:spacing w:before="11"/>
        <w:rPr>
          <w:sz w:val="5"/>
        </w:rPr>
      </w:pPr>
      <w:r>
        <w:rPr/>
        <mc:AlternateContent>
          <mc:Choice Requires="wps">
            <w:drawing>
              <wp:anchor distT="0" distB="0" distL="0" distR="0" allowOverlap="1" layoutInCell="1" locked="0" behindDoc="1" simplePos="0" relativeHeight="487628800">
                <wp:simplePos x="0" y="0"/>
                <wp:positionH relativeFrom="page">
                  <wp:posOffset>226488</wp:posOffset>
                </wp:positionH>
                <wp:positionV relativeFrom="paragraph">
                  <wp:posOffset>58734</wp:posOffset>
                </wp:positionV>
                <wp:extent cx="7312659" cy="1651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87680;mso-wrap-distance-left:0;mso-wrap-distance-right:0" id="docshape121" filled="true" fillcolor="#000000" stroked="false">
                <v:fill type="solid"/>
                <w10:wrap type="topAndBottom"/>
              </v:rect>
            </w:pict>
          </mc:Fallback>
        </mc:AlternateContent>
      </w:r>
    </w:p>
    <w:p>
      <w:pPr>
        <w:spacing w:after="0"/>
        <w:rPr>
          <w:sz w:val="5"/>
        </w:rPr>
        <w:sectPr>
          <w:type w:val="continuous"/>
          <w:pgSz w:w="12240" w:h="15840"/>
          <w:pgMar w:header="428" w:footer="0" w:top="700" w:bottom="280" w:left="200" w:right="260"/>
        </w:sectPr>
      </w:pPr>
    </w:p>
    <w:p>
      <w:pPr>
        <w:pStyle w:val="BodyText"/>
        <w:spacing w:before="38"/>
      </w:pPr>
    </w:p>
    <w:p>
      <w:pPr>
        <w:spacing w:before="0"/>
        <w:ind w:left="156" w:right="0" w:firstLine="0"/>
        <w:jc w:val="left"/>
        <w:rPr>
          <w:b/>
          <w:sz w:val="16"/>
        </w:rPr>
      </w:pPr>
      <w:r>
        <w:rPr>
          <w:b/>
          <w:sz w:val="16"/>
          <w:u w:val="single"/>
        </w:rPr>
        <w:t>Item</w:t>
      </w:r>
      <w:r>
        <w:rPr>
          <w:b/>
          <w:spacing w:val="11"/>
          <w:sz w:val="16"/>
          <w:u w:val="single"/>
        </w:rPr>
        <w:t> </w:t>
      </w:r>
      <w:r>
        <w:rPr>
          <w:b/>
          <w:sz w:val="16"/>
          <w:u w:val="single"/>
        </w:rPr>
        <w:t>13.</w:t>
      </w:r>
      <w:r>
        <w:rPr>
          <w:b/>
          <w:spacing w:val="12"/>
          <w:sz w:val="16"/>
          <w:u w:val="single"/>
        </w:rPr>
        <w:t> </w:t>
      </w:r>
      <w:r>
        <w:rPr>
          <w:b/>
          <w:sz w:val="16"/>
          <w:u w:val="single"/>
        </w:rPr>
        <w:t>Certain</w:t>
      </w:r>
      <w:r>
        <w:rPr>
          <w:b/>
          <w:spacing w:val="11"/>
          <w:sz w:val="16"/>
          <w:u w:val="single"/>
        </w:rPr>
        <w:t> </w:t>
      </w:r>
      <w:r>
        <w:rPr>
          <w:b/>
          <w:sz w:val="16"/>
          <w:u w:val="single"/>
        </w:rPr>
        <w:t>Relationships</w:t>
      </w:r>
      <w:r>
        <w:rPr>
          <w:b/>
          <w:spacing w:val="12"/>
          <w:sz w:val="16"/>
          <w:u w:val="single"/>
        </w:rPr>
        <w:t> </w:t>
      </w:r>
      <w:r>
        <w:rPr>
          <w:b/>
          <w:sz w:val="16"/>
          <w:u w:val="single"/>
        </w:rPr>
        <w:t>and</w:t>
      </w:r>
      <w:r>
        <w:rPr>
          <w:b/>
          <w:spacing w:val="11"/>
          <w:sz w:val="16"/>
          <w:u w:val="single"/>
        </w:rPr>
        <w:t> </w:t>
      </w:r>
      <w:r>
        <w:rPr>
          <w:b/>
          <w:sz w:val="16"/>
          <w:u w:val="single"/>
        </w:rPr>
        <w:t>Related</w:t>
      </w:r>
      <w:r>
        <w:rPr>
          <w:b/>
          <w:spacing w:val="12"/>
          <w:sz w:val="16"/>
          <w:u w:val="single"/>
        </w:rPr>
        <w:t> </w:t>
      </w:r>
      <w:r>
        <w:rPr>
          <w:b/>
          <w:sz w:val="16"/>
          <w:u w:val="single"/>
        </w:rPr>
        <w:t>Transactions</w:t>
      </w:r>
      <w:r>
        <w:rPr>
          <w:b/>
          <w:spacing w:val="12"/>
          <w:sz w:val="16"/>
          <w:u w:val="single"/>
        </w:rPr>
        <w:t> </w:t>
      </w:r>
      <w:r>
        <w:rPr>
          <w:b/>
          <w:sz w:val="16"/>
          <w:u w:val="single"/>
        </w:rPr>
        <w:t>and</w:t>
      </w:r>
      <w:r>
        <w:rPr>
          <w:b/>
          <w:spacing w:val="11"/>
          <w:sz w:val="16"/>
          <w:u w:val="single"/>
        </w:rPr>
        <w:t> </w:t>
      </w:r>
      <w:r>
        <w:rPr>
          <w:b/>
          <w:sz w:val="16"/>
          <w:u w:val="single"/>
        </w:rPr>
        <w:t>Director</w:t>
      </w:r>
      <w:r>
        <w:rPr>
          <w:b/>
          <w:spacing w:val="12"/>
          <w:sz w:val="16"/>
          <w:u w:val="single"/>
        </w:rPr>
        <w:t> </w:t>
      </w:r>
      <w:r>
        <w:rPr>
          <w:b/>
          <w:spacing w:val="-2"/>
          <w:sz w:val="16"/>
          <w:u w:val="single"/>
        </w:rPr>
        <w:t>Independence</w:t>
      </w:r>
    </w:p>
    <w:p>
      <w:pPr>
        <w:pStyle w:val="BodyText"/>
        <w:spacing w:before="40"/>
        <w:rPr>
          <w:b/>
        </w:rPr>
      </w:pPr>
    </w:p>
    <w:p>
      <w:pPr>
        <w:pStyle w:val="BodyText"/>
        <w:spacing w:line="266" w:lineRule="auto"/>
        <w:ind w:left="156"/>
      </w:pPr>
      <w:r>
        <w:rPr>
          <w:w w:val="105"/>
        </w:rPr>
        <w:t>The</w:t>
      </w:r>
      <w:r>
        <w:rPr>
          <w:spacing w:val="-5"/>
          <w:w w:val="105"/>
        </w:rPr>
        <w:t> </w:t>
      </w:r>
      <w:r>
        <w:rPr>
          <w:w w:val="105"/>
        </w:rPr>
        <w:t>sections</w:t>
      </w:r>
      <w:r>
        <w:rPr>
          <w:spacing w:val="-5"/>
          <w:w w:val="105"/>
        </w:rPr>
        <w:t> </w:t>
      </w:r>
      <w:r>
        <w:rPr>
          <w:w w:val="105"/>
        </w:rPr>
        <w:t>entitled</w:t>
      </w:r>
      <w:r>
        <w:rPr>
          <w:spacing w:val="-5"/>
          <w:w w:val="105"/>
        </w:rPr>
        <w:t> </w:t>
      </w:r>
      <w:r>
        <w:rPr>
          <w:w w:val="105"/>
        </w:rPr>
        <w:t>“Policy</w:t>
      </w:r>
      <w:r>
        <w:rPr>
          <w:spacing w:val="-5"/>
          <w:w w:val="105"/>
        </w:rPr>
        <w:t> </w:t>
      </w:r>
      <w:r>
        <w:rPr>
          <w:w w:val="105"/>
        </w:rPr>
        <w:t>on</w:t>
      </w:r>
      <w:r>
        <w:rPr>
          <w:spacing w:val="-5"/>
          <w:w w:val="105"/>
        </w:rPr>
        <w:t> </w:t>
      </w:r>
      <w:r>
        <w:rPr>
          <w:w w:val="105"/>
        </w:rPr>
        <w:t>Transactions</w:t>
      </w:r>
      <w:r>
        <w:rPr>
          <w:spacing w:val="-5"/>
          <w:w w:val="105"/>
        </w:rPr>
        <w:t> </w:t>
      </w:r>
      <w:r>
        <w:rPr>
          <w:w w:val="105"/>
        </w:rPr>
        <w:t>with</w:t>
      </w:r>
      <w:r>
        <w:rPr>
          <w:spacing w:val="-5"/>
          <w:w w:val="105"/>
        </w:rPr>
        <w:t> </w:t>
      </w:r>
      <w:r>
        <w:rPr>
          <w:w w:val="105"/>
        </w:rPr>
        <w:t>Related</w:t>
      </w:r>
      <w:r>
        <w:rPr>
          <w:spacing w:val="-5"/>
          <w:w w:val="105"/>
        </w:rPr>
        <w:t> </w:t>
      </w:r>
      <w:r>
        <w:rPr>
          <w:w w:val="105"/>
        </w:rPr>
        <w:t>Persons”,</w:t>
      </w:r>
      <w:r>
        <w:rPr>
          <w:spacing w:val="-5"/>
          <w:w w:val="105"/>
        </w:rPr>
        <w:t> </w:t>
      </w:r>
      <w:r>
        <w:rPr>
          <w:w w:val="105"/>
        </w:rPr>
        <w:t>“Director</w:t>
      </w:r>
      <w:r>
        <w:rPr>
          <w:spacing w:val="-5"/>
          <w:w w:val="105"/>
        </w:rPr>
        <w:t> </w:t>
      </w:r>
      <w:r>
        <w:rPr>
          <w:w w:val="105"/>
        </w:rPr>
        <w:t>Independence”</w:t>
      </w:r>
      <w:r>
        <w:rPr>
          <w:spacing w:val="-5"/>
          <w:w w:val="105"/>
        </w:rPr>
        <w:t> </w:t>
      </w:r>
      <w:r>
        <w:rPr>
          <w:w w:val="105"/>
        </w:rPr>
        <w:t>and</w:t>
      </w:r>
      <w:r>
        <w:rPr>
          <w:spacing w:val="-5"/>
          <w:w w:val="105"/>
        </w:rPr>
        <w:t> </w:t>
      </w:r>
      <w:r>
        <w:rPr>
          <w:w w:val="105"/>
        </w:rPr>
        <w:t>“Corporate</w:t>
      </w:r>
      <w:r>
        <w:rPr>
          <w:spacing w:val="-5"/>
          <w:w w:val="105"/>
        </w:rPr>
        <w:t> </w:t>
      </w:r>
      <w:r>
        <w:rPr>
          <w:w w:val="105"/>
        </w:rPr>
        <w:t>Governance</w:t>
      </w:r>
      <w:r>
        <w:rPr>
          <w:spacing w:val="-5"/>
          <w:w w:val="105"/>
        </w:rPr>
        <w:t> </w:t>
      </w:r>
      <w:r>
        <w:rPr>
          <w:w w:val="105"/>
        </w:rPr>
        <w:t>and</w:t>
      </w:r>
      <w:r>
        <w:rPr>
          <w:spacing w:val="-3"/>
          <w:w w:val="105"/>
        </w:rPr>
        <w:t> </w:t>
      </w:r>
      <w:r>
        <w:rPr>
          <w:w w:val="105"/>
        </w:rPr>
        <w:t>the</w:t>
      </w:r>
      <w:r>
        <w:rPr>
          <w:spacing w:val="-5"/>
          <w:w w:val="105"/>
        </w:rPr>
        <w:t> </w:t>
      </w:r>
      <w:r>
        <w:rPr>
          <w:w w:val="105"/>
        </w:rPr>
        <w:t>Board</w:t>
      </w:r>
      <w:r>
        <w:rPr>
          <w:spacing w:val="-5"/>
          <w:w w:val="105"/>
        </w:rPr>
        <w:t> </w:t>
      </w:r>
      <w:r>
        <w:rPr>
          <w:w w:val="105"/>
        </w:rPr>
        <w:t>of</w:t>
      </w:r>
      <w:r>
        <w:rPr>
          <w:spacing w:val="-5"/>
          <w:w w:val="105"/>
        </w:rPr>
        <w:t> </w:t>
      </w:r>
      <w:r>
        <w:rPr>
          <w:w w:val="105"/>
        </w:rPr>
        <w:t>Directors-Committees”</w:t>
      </w:r>
      <w:r>
        <w:rPr>
          <w:spacing w:val="-5"/>
          <w:w w:val="105"/>
        </w:rPr>
        <w:t> </w:t>
      </w:r>
      <w:r>
        <w:rPr>
          <w:w w:val="105"/>
        </w:rPr>
        <w:t>in</w:t>
      </w:r>
      <w:r>
        <w:rPr>
          <w:spacing w:val="-5"/>
          <w:w w:val="105"/>
        </w:rPr>
        <w:t> </w:t>
      </w:r>
      <w:r>
        <w:rPr>
          <w:w w:val="105"/>
        </w:rPr>
        <w:t>our Definitive</w:t>
      </w:r>
      <w:r>
        <w:rPr>
          <w:spacing w:val="-8"/>
          <w:w w:val="105"/>
        </w:rPr>
        <w:t> </w:t>
      </w:r>
      <w:r>
        <w:rPr>
          <w:w w:val="105"/>
        </w:rPr>
        <w:t>Proxy</w:t>
      </w:r>
      <w:r>
        <w:rPr>
          <w:spacing w:val="-8"/>
          <w:w w:val="105"/>
        </w:rPr>
        <w:t> </w:t>
      </w:r>
      <w:r>
        <w:rPr>
          <w:w w:val="105"/>
        </w:rPr>
        <w:t>Statement</w:t>
      </w:r>
      <w:r>
        <w:rPr>
          <w:spacing w:val="-6"/>
          <w:w w:val="105"/>
        </w:rPr>
        <w:t> </w:t>
      </w:r>
      <w:r>
        <w:rPr>
          <w:w w:val="105"/>
        </w:rPr>
        <w:t>relating</w:t>
      </w:r>
      <w:r>
        <w:rPr>
          <w:spacing w:val="-8"/>
          <w:w w:val="105"/>
        </w:rPr>
        <w:t> </w:t>
      </w:r>
      <w:r>
        <w:rPr>
          <w:w w:val="105"/>
        </w:rPr>
        <w:t>to</w:t>
      </w:r>
      <w:r>
        <w:rPr>
          <w:spacing w:val="-8"/>
          <w:w w:val="105"/>
        </w:rPr>
        <w:t> </w:t>
      </w:r>
      <w:r>
        <w:rPr>
          <w:w w:val="105"/>
        </w:rPr>
        <w:t>the</w:t>
      </w:r>
      <w:r>
        <w:rPr>
          <w:spacing w:val="-8"/>
          <w:w w:val="105"/>
        </w:rPr>
        <w:t> </w:t>
      </w:r>
      <w:r>
        <w:rPr>
          <w:w w:val="105"/>
        </w:rPr>
        <w:t>Annual</w:t>
      </w:r>
      <w:r>
        <w:rPr>
          <w:spacing w:val="-8"/>
          <w:w w:val="105"/>
        </w:rPr>
        <w:t> </w:t>
      </w:r>
      <w:r>
        <w:rPr>
          <w:w w:val="105"/>
        </w:rPr>
        <w:t>Meeting</w:t>
      </w:r>
      <w:r>
        <w:rPr>
          <w:spacing w:val="-8"/>
          <w:w w:val="105"/>
        </w:rPr>
        <w:t> </w:t>
      </w:r>
      <w:r>
        <w:rPr>
          <w:w w:val="105"/>
        </w:rPr>
        <w:t>of</w:t>
      </w:r>
      <w:r>
        <w:rPr>
          <w:spacing w:val="-8"/>
          <w:w w:val="105"/>
        </w:rPr>
        <w:t> </w:t>
      </w:r>
      <w:r>
        <w:rPr>
          <w:w w:val="105"/>
        </w:rPr>
        <w:t>Shareholders</w:t>
      </w:r>
      <w:r>
        <w:rPr>
          <w:spacing w:val="-8"/>
          <w:w w:val="105"/>
        </w:rPr>
        <w:t> </w:t>
      </w:r>
      <w:r>
        <w:rPr>
          <w:w w:val="105"/>
        </w:rPr>
        <w:t>to</w:t>
      </w:r>
      <w:r>
        <w:rPr>
          <w:spacing w:val="-8"/>
          <w:w w:val="105"/>
        </w:rPr>
        <w:t> </w:t>
      </w:r>
      <w:r>
        <w:rPr>
          <w:w w:val="105"/>
        </w:rPr>
        <w:t>be</w:t>
      </w:r>
      <w:r>
        <w:rPr>
          <w:spacing w:val="-8"/>
          <w:w w:val="105"/>
        </w:rPr>
        <w:t> </w:t>
      </w:r>
      <w:r>
        <w:rPr>
          <w:w w:val="105"/>
        </w:rPr>
        <w:t>held</w:t>
      </w:r>
      <w:r>
        <w:rPr>
          <w:spacing w:val="-8"/>
          <w:w w:val="105"/>
        </w:rPr>
        <w:t> </w:t>
      </w:r>
      <w:r>
        <w:rPr>
          <w:w w:val="105"/>
        </w:rPr>
        <w:t>on</w:t>
      </w:r>
      <w:r>
        <w:rPr>
          <w:spacing w:val="-8"/>
          <w:w w:val="105"/>
        </w:rPr>
        <w:t> </w:t>
      </w:r>
      <w:r>
        <w:rPr>
          <w:w w:val="105"/>
        </w:rPr>
        <w:t>April</w:t>
      </w:r>
      <w:r>
        <w:rPr>
          <w:spacing w:val="-8"/>
          <w:w w:val="105"/>
        </w:rPr>
        <w:t> </w:t>
      </w:r>
      <w:r>
        <w:rPr>
          <w:w w:val="105"/>
        </w:rPr>
        <w:t>28,</w:t>
      </w:r>
      <w:r>
        <w:rPr>
          <w:spacing w:val="-8"/>
          <w:w w:val="105"/>
        </w:rPr>
        <w:t> </w:t>
      </w:r>
      <w:r>
        <w:rPr>
          <w:w w:val="105"/>
        </w:rPr>
        <w:t>2022,</w:t>
      </w:r>
      <w:r>
        <w:rPr>
          <w:spacing w:val="-6"/>
          <w:w w:val="105"/>
        </w:rPr>
        <w:t> </w:t>
      </w:r>
      <w:r>
        <w:rPr>
          <w:w w:val="105"/>
        </w:rPr>
        <w:t>are</w:t>
      </w:r>
      <w:r>
        <w:rPr>
          <w:spacing w:val="-8"/>
          <w:w w:val="105"/>
        </w:rPr>
        <w:t> </w:t>
      </w:r>
      <w:r>
        <w:rPr>
          <w:w w:val="105"/>
        </w:rPr>
        <w:t>incorporated</w:t>
      </w:r>
      <w:r>
        <w:rPr>
          <w:spacing w:val="-8"/>
          <w:w w:val="105"/>
        </w:rPr>
        <w:t> </w:t>
      </w:r>
      <w:r>
        <w:rPr>
          <w:w w:val="105"/>
        </w:rPr>
        <w:t>by</w:t>
      </w:r>
      <w:r>
        <w:rPr>
          <w:spacing w:val="-8"/>
          <w:w w:val="105"/>
        </w:rPr>
        <w:t> </w:t>
      </w:r>
      <w:r>
        <w:rPr>
          <w:w w:val="105"/>
        </w:rPr>
        <w:t>reference</w:t>
      </w:r>
      <w:r>
        <w:rPr>
          <w:spacing w:val="-8"/>
          <w:w w:val="105"/>
        </w:rPr>
        <w:t> </w:t>
      </w:r>
      <w:r>
        <w:rPr>
          <w:w w:val="105"/>
        </w:rPr>
        <w:t>in</w:t>
      </w:r>
      <w:r>
        <w:rPr>
          <w:spacing w:val="-8"/>
          <w:w w:val="105"/>
        </w:rPr>
        <w:t> </w:t>
      </w:r>
      <w:r>
        <w:rPr>
          <w:w w:val="105"/>
        </w:rPr>
        <w:t>this</w:t>
      </w:r>
      <w:r>
        <w:rPr>
          <w:spacing w:val="-8"/>
          <w:w w:val="105"/>
        </w:rPr>
        <w:t> </w:t>
      </w:r>
      <w:r>
        <w:rPr>
          <w:w w:val="105"/>
        </w:rPr>
        <w:t>Annual</w:t>
      </w:r>
      <w:r>
        <w:rPr>
          <w:spacing w:val="-8"/>
          <w:w w:val="105"/>
        </w:rPr>
        <w:t> </w:t>
      </w:r>
      <w:r>
        <w:rPr>
          <w:w w:val="105"/>
        </w:rPr>
        <w:t>Report</w:t>
      </w:r>
      <w:r>
        <w:rPr>
          <w:spacing w:val="-8"/>
          <w:w w:val="105"/>
        </w:rPr>
        <w:t> </w:t>
      </w:r>
      <w:r>
        <w:rPr>
          <w:w w:val="105"/>
        </w:rPr>
        <w:t>on</w:t>
      </w:r>
      <w:r>
        <w:rPr>
          <w:spacing w:val="-8"/>
          <w:w w:val="105"/>
        </w:rPr>
        <w:t> </w:t>
      </w:r>
      <w:r>
        <w:rPr>
          <w:w w:val="105"/>
        </w:rPr>
        <w:t>Form</w:t>
      </w:r>
      <w:r>
        <w:rPr>
          <w:spacing w:val="-8"/>
          <w:w w:val="105"/>
        </w:rPr>
        <w:t> </w:t>
      </w:r>
      <w:r>
        <w:rPr>
          <w:w w:val="105"/>
        </w:rPr>
        <w:t>10-K.</w:t>
      </w:r>
    </w:p>
    <w:p>
      <w:pPr>
        <w:pStyle w:val="BodyText"/>
        <w:spacing w:before="19"/>
      </w:pPr>
    </w:p>
    <w:p>
      <w:pPr>
        <w:spacing w:before="0"/>
        <w:ind w:left="156" w:right="0" w:firstLine="0"/>
        <w:jc w:val="left"/>
        <w:rPr>
          <w:b/>
          <w:sz w:val="16"/>
        </w:rPr>
      </w:pPr>
      <w:r>
        <w:rPr>
          <w:b/>
          <w:w w:val="105"/>
          <w:sz w:val="16"/>
          <w:u w:val="single"/>
        </w:rPr>
        <w:t>Item</w:t>
      </w:r>
      <w:r>
        <w:rPr>
          <w:b/>
          <w:spacing w:val="-11"/>
          <w:w w:val="105"/>
          <w:sz w:val="16"/>
          <w:u w:val="single"/>
        </w:rPr>
        <w:t> </w:t>
      </w:r>
      <w:r>
        <w:rPr>
          <w:b/>
          <w:w w:val="105"/>
          <w:sz w:val="16"/>
          <w:u w:val="single"/>
        </w:rPr>
        <w:t>14.</w:t>
      </w:r>
      <w:r>
        <w:rPr>
          <w:b/>
          <w:spacing w:val="-10"/>
          <w:w w:val="105"/>
          <w:sz w:val="16"/>
          <w:u w:val="single"/>
        </w:rPr>
        <w:t> </w:t>
      </w:r>
      <w:r>
        <w:rPr>
          <w:b/>
          <w:w w:val="105"/>
          <w:sz w:val="16"/>
          <w:u w:val="single"/>
        </w:rPr>
        <w:t>Principal</w:t>
      </w:r>
      <w:r>
        <w:rPr>
          <w:b/>
          <w:spacing w:val="-10"/>
          <w:w w:val="105"/>
          <w:sz w:val="16"/>
          <w:u w:val="single"/>
        </w:rPr>
        <w:t> </w:t>
      </w:r>
      <w:r>
        <w:rPr>
          <w:b/>
          <w:w w:val="105"/>
          <w:sz w:val="16"/>
          <w:u w:val="single"/>
        </w:rPr>
        <w:t>Accounting</w:t>
      </w:r>
      <w:r>
        <w:rPr>
          <w:b/>
          <w:spacing w:val="-10"/>
          <w:w w:val="105"/>
          <w:sz w:val="16"/>
          <w:u w:val="single"/>
        </w:rPr>
        <w:t> </w:t>
      </w:r>
      <w:r>
        <w:rPr>
          <w:b/>
          <w:w w:val="105"/>
          <w:sz w:val="16"/>
          <w:u w:val="single"/>
        </w:rPr>
        <w:t>Fees</w:t>
      </w:r>
      <w:r>
        <w:rPr>
          <w:b/>
          <w:spacing w:val="-10"/>
          <w:w w:val="105"/>
          <w:sz w:val="16"/>
          <w:u w:val="single"/>
        </w:rPr>
        <w:t> </w:t>
      </w:r>
      <w:r>
        <w:rPr>
          <w:b/>
          <w:w w:val="105"/>
          <w:sz w:val="16"/>
          <w:u w:val="single"/>
        </w:rPr>
        <w:t>and</w:t>
      </w:r>
      <w:r>
        <w:rPr>
          <w:b/>
          <w:spacing w:val="-10"/>
          <w:w w:val="105"/>
          <w:sz w:val="16"/>
          <w:u w:val="single"/>
        </w:rPr>
        <w:t> </w:t>
      </w:r>
      <w:r>
        <w:rPr>
          <w:b/>
          <w:spacing w:val="-2"/>
          <w:w w:val="105"/>
          <w:sz w:val="16"/>
          <w:u w:val="single"/>
        </w:rPr>
        <w:t>Services</w:t>
      </w:r>
    </w:p>
    <w:p>
      <w:pPr>
        <w:pStyle w:val="BodyText"/>
        <w:spacing w:before="39"/>
        <w:rPr>
          <w:b/>
        </w:rPr>
      </w:pPr>
    </w:p>
    <w:p>
      <w:pPr>
        <w:pStyle w:val="BodyText"/>
        <w:spacing w:line="266" w:lineRule="auto"/>
        <w:ind w:left="156"/>
      </w:pPr>
      <w:r>
        <w:rPr>
          <w:w w:val="105"/>
        </w:rPr>
        <w:t>The</w:t>
      </w:r>
      <w:r>
        <w:rPr>
          <w:spacing w:val="-2"/>
          <w:w w:val="105"/>
        </w:rPr>
        <w:t> </w:t>
      </w:r>
      <w:r>
        <w:rPr>
          <w:w w:val="105"/>
        </w:rPr>
        <w:t>sections</w:t>
      </w:r>
      <w:r>
        <w:rPr>
          <w:spacing w:val="-2"/>
          <w:w w:val="105"/>
        </w:rPr>
        <w:t> </w:t>
      </w:r>
      <w:r>
        <w:rPr>
          <w:w w:val="105"/>
        </w:rPr>
        <w:t>entitled</w:t>
      </w:r>
      <w:r>
        <w:rPr>
          <w:spacing w:val="-2"/>
          <w:w w:val="105"/>
        </w:rPr>
        <w:t> </w:t>
      </w:r>
      <w:r>
        <w:rPr>
          <w:w w:val="105"/>
        </w:rPr>
        <w:t>“Fees</w:t>
      </w:r>
      <w:r>
        <w:rPr>
          <w:spacing w:val="-2"/>
          <w:w w:val="105"/>
        </w:rPr>
        <w:t> </w:t>
      </w:r>
      <w:r>
        <w:rPr>
          <w:w w:val="105"/>
        </w:rPr>
        <w:t>Paid</w:t>
      </w:r>
      <w:r>
        <w:rPr>
          <w:spacing w:val="-2"/>
          <w:w w:val="105"/>
        </w:rPr>
        <w:t> </w:t>
      </w:r>
      <w:r>
        <w:rPr>
          <w:w w:val="105"/>
        </w:rPr>
        <w:t>to</w:t>
      </w:r>
      <w:r>
        <w:rPr>
          <w:spacing w:val="-2"/>
          <w:w w:val="105"/>
        </w:rPr>
        <w:t> </w:t>
      </w:r>
      <w:r>
        <w:rPr>
          <w:w w:val="105"/>
        </w:rPr>
        <w:t>Independent</w:t>
      </w:r>
      <w:r>
        <w:rPr>
          <w:spacing w:val="-2"/>
          <w:w w:val="105"/>
        </w:rPr>
        <w:t> </w:t>
      </w:r>
      <w:r>
        <w:rPr>
          <w:w w:val="105"/>
        </w:rPr>
        <w:t>Registered</w:t>
      </w:r>
      <w:r>
        <w:rPr>
          <w:spacing w:val="-2"/>
          <w:w w:val="105"/>
        </w:rPr>
        <w:t> </w:t>
      </w:r>
      <w:r>
        <w:rPr>
          <w:w w:val="105"/>
        </w:rPr>
        <w:t>Public</w:t>
      </w:r>
      <w:r>
        <w:rPr>
          <w:spacing w:val="-2"/>
          <w:w w:val="105"/>
        </w:rPr>
        <w:t> </w:t>
      </w:r>
      <w:r>
        <w:rPr>
          <w:w w:val="105"/>
        </w:rPr>
        <w:t>Accounting</w:t>
      </w:r>
      <w:r>
        <w:rPr>
          <w:spacing w:val="-2"/>
          <w:w w:val="105"/>
        </w:rPr>
        <w:t> </w:t>
      </w:r>
      <w:r>
        <w:rPr>
          <w:w w:val="105"/>
        </w:rPr>
        <w:t>Firm”</w:t>
      </w:r>
      <w:r>
        <w:rPr>
          <w:spacing w:val="-2"/>
          <w:w w:val="105"/>
        </w:rPr>
        <w:t> </w:t>
      </w:r>
      <w:r>
        <w:rPr>
          <w:w w:val="105"/>
        </w:rPr>
        <w:t>and</w:t>
      </w:r>
      <w:r>
        <w:rPr>
          <w:spacing w:val="-2"/>
          <w:w w:val="105"/>
        </w:rPr>
        <w:t> </w:t>
      </w:r>
      <w:r>
        <w:rPr>
          <w:w w:val="105"/>
        </w:rPr>
        <w:t>“Policy</w:t>
      </w:r>
      <w:r>
        <w:rPr>
          <w:spacing w:val="-2"/>
          <w:w w:val="105"/>
        </w:rPr>
        <w:t> </w:t>
      </w:r>
      <w:r>
        <w:rPr>
          <w:w w:val="105"/>
        </w:rPr>
        <w:t>Regarding</w:t>
      </w:r>
      <w:r>
        <w:rPr>
          <w:spacing w:val="-2"/>
          <w:w w:val="105"/>
        </w:rPr>
        <w:t> </w:t>
      </w:r>
      <w:r>
        <w:rPr>
          <w:w w:val="105"/>
        </w:rPr>
        <w:t>Audit</w:t>
      </w:r>
      <w:r>
        <w:rPr>
          <w:spacing w:val="-2"/>
          <w:w w:val="105"/>
        </w:rPr>
        <w:t> </w:t>
      </w:r>
      <w:r>
        <w:rPr>
          <w:w w:val="105"/>
        </w:rPr>
        <w:t>Committee</w:t>
      </w:r>
      <w:r>
        <w:rPr>
          <w:spacing w:val="-2"/>
          <w:w w:val="105"/>
        </w:rPr>
        <w:t> </w:t>
      </w:r>
      <w:r>
        <w:rPr>
          <w:w w:val="105"/>
        </w:rPr>
        <w:t>Pre-Approval</w:t>
      </w:r>
      <w:r>
        <w:rPr>
          <w:spacing w:val="-2"/>
          <w:w w:val="105"/>
        </w:rPr>
        <w:t> </w:t>
      </w:r>
      <w:r>
        <w:rPr>
          <w:w w:val="105"/>
        </w:rPr>
        <w:t>of</w:t>
      </w:r>
      <w:r>
        <w:rPr>
          <w:spacing w:val="-2"/>
          <w:w w:val="105"/>
        </w:rPr>
        <w:t> </w:t>
      </w:r>
      <w:r>
        <w:rPr>
          <w:w w:val="105"/>
        </w:rPr>
        <w:t>Audit</w:t>
      </w:r>
      <w:r>
        <w:rPr>
          <w:spacing w:val="-2"/>
          <w:w w:val="105"/>
        </w:rPr>
        <w:t> </w:t>
      </w:r>
      <w:r>
        <w:rPr>
          <w:w w:val="105"/>
        </w:rPr>
        <w:t>and</w:t>
      </w:r>
      <w:r>
        <w:rPr>
          <w:spacing w:val="-2"/>
          <w:w w:val="105"/>
        </w:rPr>
        <w:t> </w:t>
      </w:r>
      <w:r>
        <w:rPr>
          <w:w w:val="105"/>
        </w:rPr>
        <w:t>Permitted</w:t>
      </w:r>
      <w:r>
        <w:rPr>
          <w:spacing w:val="-2"/>
          <w:w w:val="105"/>
        </w:rPr>
        <w:t> </w:t>
      </w:r>
      <w:r>
        <w:rPr>
          <w:w w:val="105"/>
        </w:rPr>
        <w:t>Non- Audit</w:t>
      </w:r>
      <w:r>
        <w:rPr>
          <w:spacing w:val="-8"/>
          <w:w w:val="105"/>
        </w:rPr>
        <w:t> </w:t>
      </w:r>
      <w:r>
        <w:rPr>
          <w:w w:val="105"/>
        </w:rPr>
        <w:t>Services</w:t>
      </w:r>
      <w:r>
        <w:rPr>
          <w:spacing w:val="-8"/>
          <w:w w:val="105"/>
        </w:rPr>
        <w:t> </w:t>
      </w:r>
      <w:r>
        <w:rPr>
          <w:w w:val="105"/>
        </w:rPr>
        <w:t>of</w:t>
      </w:r>
      <w:r>
        <w:rPr>
          <w:spacing w:val="-8"/>
          <w:w w:val="105"/>
        </w:rPr>
        <w:t> </w:t>
      </w:r>
      <w:r>
        <w:rPr>
          <w:w w:val="105"/>
        </w:rPr>
        <w:t>Independent</w:t>
      </w:r>
      <w:r>
        <w:rPr>
          <w:spacing w:val="-8"/>
          <w:w w:val="105"/>
        </w:rPr>
        <w:t> </w:t>
      </w:r>
      <w:r>
        <w:rPr>
          <w:w w:val="105"/>
        </w:rPr>
        <w:t>Registered</w:t>
      </w:r>
      <w:r>
        <w:rPr>
          <w:spacing w:val="-8"/>
          <w:w w:val="105"/>
        </w:rPr>
        <w:t> </w:t>
      </w:r>
      <w:r>
        <w:rPr>
          <w:w w:val="105"/>
        </w:rPr>
        <w:t>Public</w:t>
      </w:r>
      <w:r>
        <w:rPr>
          <w:spacing w:val="-8"/>
          <w:w w:val="105"/>
        </w:rPr>
        <w:t> </w:t>
      </w:r>
      <w:r>
        <w:rPr>
          <w:w w:val="105"/>
        </w:rPr>
        <w:t>Accounting</w:t>
      </w:r>
      <w:r>
        <w:rPr>
          <w:spacing w:val="-8"/>
          <w:w w:val="105"/>
        </w:rPr>
        <w:t> </w:t>
      </w:r>
      <w:r>
        <w:rPr>
          <w:w w:val="105"/>
        </w:rPr>
        <w:t>Firm”</w:t>
      </w:r>
      <w:r>
        <w:rPr>
          <w:spacing w:val="-8"/>
          <w:w w:val="105"/>
        </w:rPr>
        <w:t> </w:t>
      </w:r>
      <w:r>
        <w:rPr>
          <w:w w:val="105"/>
        </w:rPr>
        <w:t>in</w:t>
      </w:r>
      <w:r>
        <w:rPr>
          <w:spacing w:val="-8"/>
          <w:w w:val="105"/>
        </w:rPr>
        <w:t> </w:t>
      </w:r>
      <w:r>
        <w:rPr>
          <w:w w:val="105"/>
        </w:rPr>
        <w:t>our</w:t>
      </w:r>
      <w:r>
        <w:rPr>
          <w:spacing w:val="-8"/>
          <w:w w:val="105"/>
        </w:rPr>
        <w:t> </w:t>
      </w:r>
      <w:r>
        <w:rPr>
          <w:w w:val="105"/>
        </w:rPr>
        <w:t>Definitive</w:t>
      </w:r>
      <w:r>
        <w:rPr>
          <w:spacing w:val="-8"/>
          <w:w w:val="105"/>
        </w:rPr>
        <w:t> </w:t>
      </w:r>
      <w:r>
        <w:rPr>
          <w:w w:val="105"/>
        </w:rPr>
        <w:t>Proxy</w:t>
      </w:r>
      <w:r>
        <w:rPr>
          <w:spacing w:val="-8"/>
          <w:w w:val="105"/>
        </w:rPr>
        <w:t> </w:t>
      </w:r>
      <w:r>
        <w:rPr>
          <w:w w:val="105"/>
        </w:rPr>
        <w:t>Statement</w:t>
      </w:r>
      <w:r>
        <w:rPr>
          <w:spacing w:val="-7"/>
          <w:w w:val="105"/>
        </w:rPr>
        <w:t> </w:t>
      </w:r>
      <w:r>
        <w:rPr>
          <w:w w:val="105"/>
        </w:rPr>
        <w:t>relating</w:t>
      </w:r>
      <w:r>
        <w:rPr>
          <w:spacing w:val="-8"/>
          <w:w w:val="105"/>
        </w:rPr>
        <w:t> </w:t>
      </w:r>
      <w:r>
        <w:rPr>
          <w:w w:val="105"/>
        </w:rPr>
        <w:t>to</w:t>
      </w:r>
      <w:r>
        <w:rPr>
          <w:spacing w:val="-8"/>
          <w:w w:val="105"/>
        </w:rPr>
        <w:t> </w:t>
      </w:r>
      <w:r>
        <w:rPr>
          <w:w w:val="105"/>
        </w:rPr>
        <w:t>the</w:t>
      </w:r>
      <w:r>
        <w:rPr>
          <w:spacing w:val="-8"/>
          <w:w w:val="105"/>
        </w:rPr>
        <w:t> </w:t>
      </w:r>
      <w:r>
        <w:rPr>
          <w:w w:val="105"/>
        </w:rPr>
        <w:t>Annual</w:t>
      </w:r>
      <w:r>
        <w:rPr>
          <w:spacing w:val="-8"/>
          <w:w w:val="105"/>
        </w:rPr>
        <w:t> </w:t>
      </w:r>
      <w:r>
        <w:rPr>
          <w:w w:val="105"/>
        </w:rPr>
        <w:t>Meeting</w:t>
      </w:r>
      <w:r>
        <w:rPr>
          <w:spacing w:val="-8"/>
          <w:w w:val="105"/>
        </w:rPr>
        <w:t> </w:t>
      </w:r>
      <w:r>
        <w:rPr>
          <w:w w:val="105"/>
        </w:rPr>
        <w:t>of</w:t>
      </w:r>
      <w:r>
        <w:rPr>
          <w:spacing w:val="-8"/>
          <w:w w:val="105"/>
        </w:rPr>
        <w:t> </w:t>
      </w:r>
      <w:r>
        <w:rPr>
          <w:w w:val="105"/>
        </w:rPr>
        <w:t>Shareholders</w:t>
      </w:r>
      <w:r>
        <w:rPr>
          <w:spacing w:val="-8"/>
          <w:w w:val="105"/>
        </w:rPr>
        <w:t> </w:t>
      </w:r>
      <w:r>
        <w:rPr>
          <w:w w:val="105"/>
        </w:rPr>
        <w:t>to</w:t>
      </w:r>
      <w:r>
        <w:rPr>
          <w:spacing w:val="-8"/>
          <w:w w:val="105"/>
        </w:rPr>
        <w:t> </w:t>
      </w:r>
      <w:r>
        <w:rPr>
          <w:w w:val="105"/>
        </w:rPr>
        <w:t>be</w:t>
      </w:r>
      <w:r>
        <w:rPr>
          <w:spacing w:val="-8"/>
          <w:w w:val="105"/>
        </w:rPr>
        <w:t> </w:t>
      </w:r>
      <w:r>
        <w:rPr>
          <w:w w:val="105"/>
        </w:rPr>
        <w:t>held</w:t>
      </w:r>
      <w:r>
        <w:rPr>
          <w:spacing w:val="-8"/>
          <w:w w:val="105"/>
        </w:rPr>
        <w:t> </w:t>
      </w:r>
      <w:r>
        <w:rPr>
          <w:w w:val="105"/>
        </w:rPr>
        <w:t>on</w:t>
      </w:r>
      <w:r>
        <w:rPr>
          <w:spacing w:val="-8"/>
          <w:w w:val="105"/>
        </w:rPr>
        <w:t> </w:t>
      </w:r>
      <w:r>
        <w:rPr>
          <w:w w:val="105"/>
        </w:rPr>
        <w:t>April</w:t>
      </w:r>
      <w:r>
        <w:rPr>
          <w:spacing w:val="-8"/>
          <w:w w:val="105"/>
        </w:rPr>
        <w:t> </w:t>
      </w:r>
      <w:r>
        <w:rPr>
          <w:w w:val="105"/>
        </w:rPr>
        <w:t>28, 2022, are incorporated by reference in this Annual Report on Form 10-K.</w:t>
      </w:r>
    </w:p>
    <w:p>
      <w:pPr>
        <w:pStyle w:val="BodyText"/>
        <w:spacing w:before="19"/>
      </w:pPr>
    </w:p>
    <w:p>
      <w:pPr>
        <w:pStyle w:val="BodyText"/>
        <w:spacing w:line="266" w:lineRule="auto"/>
        <w:ind w:left="156" w:right="231"/>
        <w:jc w:val="both"/>
      </w:pPr>
      <w:r>
        <w:rPr>
          <w:w w:val="105"/>
        </w:rPr>
        <w:t>In</w:t>
      </w:r>
      <w:r>
        <w:rPr>
          <w:spacing w:val="-8"/>
          <w:w w:val="105"/>
        </w:rPr>
        <w:t> </w:t>
      </w:r>
      <w:r>
        <w:rPr>
          <w:w w:val="105"/>
        </w:rPr>
        <w:t>April</w:t>
      </w:r>
      <w:r>
        <w:rPr>
          <w:spacing w:val="-8"/>
          <w:w w:val="105"/>
        </w:rPr>
        <w:t> </w:t>
      </w:r>
      <w:r>
        <w:rPr>
          <w:w w:val="105"/>
        </w:rPr>
        <w:t>2021,</w:t>
      </w:r>
      <w:r>
        <w:rPr>
          <w:spacing w:val="-8"/>
          <w:w w:val="105"/>
        </w:rPr>
        <w:t> </w:t>
      </w:r>
      <w:r>
        <w:rPr>
          <w:w w:val="105"/>
        </w:rPr>
        <w:t>PricewaterhouseCoopers</w:t>
      </w:r>
      <w:r>
        <w:rPr>
          <w:spacing w:val="-8"/>
          <w:w w:val="105"/>
        </w:rPr>
        <w:t> </w:t>
      </w:r>
      <w:r>
        <w:rPr>
          <w:w w:val="105"/>
        </w:rPr>
        <w:t>LLP</w:t>
      </w:r>
      <w:r>
        <w:rPr>
          <w:spacing w:val="-8"/>
          <w:w w:val="105"/>
        </w:rPr>
        <w:t> </w:t>
      </w:r>
      <w:r>
        <w:rPr>
          <w:w w:val="105"/>
        </w:rPr>
        <w:t>(PwC)</w:t>
      </w:r>
      <w:r>
        <w:rPr>
          <w:spacing w:val="-8"/>
          <w:w w:val="105"/>
        </w:rPr>
        <w:t> </w:t>
      </w:r>
      <w:r>
        <w:rPr>
          <w:w w:val="105"/>
        </w:rPr>
        <w:t>issued</w:t>
      </w:r>
      <w:r>
        <w:rPr>
          <w:spacing w:val="-8"/>
          <w:w w:val="105"/>
        </w:rPr>
        <w:t> </w:t>
      </w:r>
      <w:r>
        <w:rPr>
          <w:w w:val="105"/>
        </w:rPr>
        <w:t>its</w:t>
      </w:r>
      <w:r>
        <w:rPr>
          <w:spacing w:val="-8"/>
          <w:w w:val="105"/>
        </w:rPr>
        <w:t> </w:t>
      </w:r>
      <w:r>
        <w:rPr>
          <w:w w:val="105"/>
        </w:rPr>
        <w:t>annual</w:t>
      </w:r>
      <w:r>
        <w:rPr>
          <w:spacing w:val="-8"/>
          <w:w w:val="105"/>
        </w:rPr>
        <w:t> </w:t>
      </w:r>
      <w:r>
        <w:rPr>
          <w:w w:val="105"/>
        </w:rPr>
        <w:t>Public</w:t>
      </w:r>
      <w:r>
        <w:rPr>
          <w:spacing w:val="-8"/>
          <w:w w:val="105"/>
        </w:rPr>
        <w:t> </w:t>
      </w:r>
      <w:r>
        <w:rPr>
          <w:w w:val="105"/>
        </w:rPr>
        <w:t>Company</w:t>
      </w:r>
      <w:r>
        <w:rPr>
          <w:spacing w:val="-8"/>
          <w:w w:val="105"/>
        </w:rPr>
        <w:t> </w:t>
      </w:r>
      <w:r>
        <w:rPr>
          <w:w w:val="105"/>
        </w:rPr>
        <w:t>Accounting</w:t>
      </w:r>
      <w:r>
        <w:rPr>
          <w:spacing w:val="-8"/>
          <w:w w:val="105"/>
        </w:rPr>
        <w:t> </w:t>
      </w:r>
      <w:r>
        <w:rPr>
          <w:w w:val="105"/>
        </w:rPr>
        <w:t>Oversight</w:t>
      </w:r>
      <w:r>
        <w:rPr>
          <w:spacing w:val="-8"/>
          <w:w w:val="105"/>
        </w:rPr>
        <w:t> </w:t>
      </w:r>
      <w:r>
        <w:rPr>
          <w:w w:val="105"/>
        </w:rPr>
        <w:t>Board</w:t>
      </w:r>
      <w:r>
        <w:rPr>
          <w:spacing w:val="-8"/>
          <w:w w:val="105"/>
        </w:rPr>
        <w:t> </w:t>
      </w:r>
      <w:r>
        <w:rPr>
          <w:w w:val="105"/>
        </w:rPr>
        <w:t>Rule</w:t>
      </w:r>
      <w:r>
        <w:rPr>
          <w:spacing w:val="-8"/>
          <w:w w:val="105"/>
        </w:rPr>
        <w:t> </w:t>
      </w:r>
      <w:r>
        <w:rPr>
          <w:w w:val="105"/>
        </w:rPr>
        <w:t>3526</w:t>
      </w:r>
      <w:r>
        <w:rPr>
          <w:spacing w:val="-8"/>
          <w:w w:val="105"/>
        </w:rPr>
        <w:t> </w:t>
      </w:r>
      <w:r>
        <w:rPr>
          <w:w w:val="105"/>
        </w:rPr>
        <w:t>independence</w:t>
      </w:r>
      <w:r>
        <w:rPr>
          <w:spacing w:val="-8"/>
          <w:w w:val="105"/>
        </w:rPr>
        <w:t> </w:t>
      </w:r>
      <w:r>
        <w:rPr>
          <w:w w:val="105"/>
        </w:rPr>
        <w:t>letter</w:t>
      </w:r>
      <w:r>
        <w:rPr>
          <w:spacing w:val="-8"/>
          <w:w w:val="105"/>
        </w:rPr>
        <w:t> </w:t>
      </w:r>
      <w:r>
        <w:rPr>
          <w:w w:val="105"/>
        </w:rPr>
        <w:t>to</w:t>
      </w:r>
      <w:r>
        <w:rPr>
          <w:spacing w:val="-8"/>
          <w:w w:val="105"/>
        </w:rPr>
        <w:t> </w:t>
      </w:r>
      <w:r>
        <w:rPr>
          <w:w w:val="105"/>
        </w:rPr>
        <w:t>the</w:t>
      </w:r>
      <w:r>
        <w:rPr>
          <w:spacing w:val="-8"/>
          <w:w w:val="105"/>
        </w:rPr>
        <w:t> </w:t>
      </w:r>
      <w:r>
        <w:rPr>
          <w:w w:val="105"/>
        </w:rPr>
        <w:t>Audit</w:t>
      </w:r>
      <w:r>
        <w:rPr>
          <w:spacing w:val="-8"/>
          <w:w w:val="105"/>
        </w:rPr>
        <w:t> </w:t>
      </w:r>
      <w:r>
        <w:rPr>
          <w:w w:val="105"/>
        </w:rPr>
        <w:t>Committee of</w:t>
      </w:r>
      <w:r>
        <w:rPr>
          <w:spacing w:val="-8"/>
          <w:w w:val="105"/>
        </w:rPr>
        <w:t> </w:t>
      </w:r>
      <w:r>
        <w:rPr>
          <w:w w:val="105"/>
        </w:rPr>
        <w:t>our</w:t>
      </w:r>
      <w:r>
        <w:rPr>
          <w:spacing w:val="-8"/>
          <w:w w:val="105"/>
        </w:rPr>
        <w:t> </w:t>
      </w:r>
      <w:r>
        <w:rPr>
          <w:w w:val="105"/>
        </w:rPr>
        <w:t>Board</w:t>
      </w:r>
      <w:r>
        <w:rPr>
          <w:spacing w:val="-8"/>
          <w:w w:val="105"/>
        </w:rPr>
        <w:t> </w:t>
      </w:r>
      <w:r>
        <w:rPr>
          <w:w w:val="105"/>
        </w:rPr>
        <w:t>of</w:t>
      </w:r>
      <w:r>
        <w:rPr>
          <w:spacing w:val="-8"/>
          <w:w w:val="105"/>
        </w:rPr>
        <w:t> </w:t>
      </w:r>
      <w:r>
        <w:rPr>
          <w:w w:val="105"/>
        </w:rPr>
        <w:t>Directors</w:t>
      </w:r>
      <w:r>
        <w:rPr>
          <w:spacing w:val="-8"/>
          <w:w w:val="105"/>
        </w:rPr>
        <w:t> </w:t>
      </w:r>
      <w:r>
        <w:rPr>
          <w:w w:val="105"/>
        </w:rPr>
        <w:t>and</w:t>
      </w:r>
      <w:r>
        <w:rPr>
          <w:spacing w:val="-8"/>
          <w:w w:val="105"/>
        </w:rPr>
        <w:t> </w:t>
      </w:r>
      <w:r>
        <w:rPr>
          <w:w w:val="105"/>
        </w:rPr>
        <w:t>therein</w:t>
      </w:r>
      <w:r>
        <w:rPr>
          <w:spacing w:val="-8"/>
          <w:w w:val="105"/>
        </w:rPr>
        <w:t> </w:t>
      </w:r>
      <w:r>
        <w:rPr>
          <w:w w:val="105"/>
        </w:rPr>
        <w:t>reported</w:t>
      </w:r>
      <w:r>
        <w:rPr>
          <w:spacing w:val="-8"/>
          <w:w w:val="105"/>
        </w:rPr>
        <w:t> </w:t>
      </w:r>
      <w:r>
        <w:rPr>
          <w:w w:val="105"/>
        </w:rPr>
        <w:t>that</w:t>
      </w:r>
      <w:r>
        <w:rPr>
          <w:spacing w:val="-8"/>
          <w:w w:val="105"/>
        </w:rPr>
        <w:t> </w:t>
      </w:r>
      <w:r>
        <w:rPr>
          <w:w w:val="105"/>
        </w:rPr>
        <w:t>it</w:t>
      </w:r>
      <w:r>
        <w:rPr>
          <w:spacing w:val="-6"/>
          <w:w w:val="105"/>
        </w:rPr>
        <w:t> </w:t>
      </w:r>
      <w:r>
        <w:rPr>
          <w:w w:val="105"/>
        </w:rPr>
        <w:t>is</w:t>
      </w:r>
      <w:r>
        <w:rPr>
          <w:spacing w:val="-8"/>
          <w:w w:val="105"/>
        </w:rPr>
        <w:t> </w:t>
      </w:r>
      <w:r>
        <w:rPr>
          <w:w w:val="105"/>
        </w:rPr>
        <w:t>independent</w:t>
      </w:r>
      <w:r>
        <w:rPr>
          <w:spacing w:val="-8"/>
          <w:w w:val="105"/>
        </w:rPr>
        <w:t> </w:t>
      </w:r>
      <w:r>
        <w:rPr>
          <w:w w:val="105"/>
        </w:rPr>
        <w:t>under</w:t>
      </w:r>
      <w:r>
        <w:rPr>
          <w:spacing w:val="-8"/>
          <w:w w:val="105"/>
        </w:rPr>
        <w:t> </w:t>
      </w:r>
      <w:r>
        <w:rPr>
          <w:w w:val="105"/>
        </w:rPr>
        <w:t>applicable</w:t>
      </w:r>
      <w:r>
        <w:rPr>
          <w:spacing w:val="-8"/>
          <w:w w:val="105"/>
        </w:rPr>
        <w:t> </w:t>
      </w:r>
      <w:r>
        <w:rPr>
          <w:w w:val="105"/>
        </w:rPr>
        <w:t>standards</w:t>
      </w:r>
      <w:r>
        <w:rPr>
          <w:spacing w:val="-8"/>
          <w:w w:val="105"/>
        </w:rPr>
        <w:t> </w:t>
      </w:r>
      <w:r>
        <w:rPr>
          <w:w w:val="105"/>
        </w:rPr>
        <w:t>in</w:t>
      </w:r>
      <w:r>
        <w:rPr>
          <w:spacing w:val="-8"/>
          <w:w w:val="105"/>
        </w:rPr>
        <w:t> </w:t>
      </w:r>
      <w:r>
        <w:rPr>
          <w:w w:val="105"/>
        </w:rPr>
        <w:t>connection</w:t>
      </w:r>
      <w:r>
        <w:rPr>
          <w:spacing w:val="-8"/>
          <w:w w:val="105"/>
        </w:rPr>
        <w:t> </w:t>
      </w:r>
      <w:r>
        <w:rPr>
          <w:w w:val="105"/>
        </w:rPr>
        <w:t>with</w:t>
      </w:r>
      <w:r>
        <w:rPr>
          <w:spacing w:val="-6"/>
          <w:w w:val="105"/>
        </w:rPr>
        <w:t> </w:t>
      </w:r>
      <w:r>
        <w:rPr>
          <w:w w:val="105"/>
        </w:rPr>
        <w:t>its</w:t>
      </w:r>
      <w:r>
        <w:rPr>
          <w:spacing w:val="-8"/>
          <w:w w:val="105"/>
        </w:rPr>
        <w:t> </w:t>
      </w:r>
      <w:r>
        <w:rPr>
          <w:w w:val="105"/>
        </w:rPr>
        <w:t>audit</w:t>
      </w:r>
      <w:r>
        <w:rPr>
          <w:spacing w:val="-8"/>
          <w:w w:val="105"/>
        </w:rPr>
        <w:t> </w:t>
      </w:r>
      <w:r>
        <w:rPr>
          <w:w w:val="105"/>
        </w:rPr>
        <w:t>opinion</w:t>
      </w:r>
      <w:r>
        <w:rPr>
          <w:spacing w:val="-8"/>
          <w:w w:val="105"/>
        </w:rPr>
        <w:t> </w:t>
      </w:r>
      <w:r>
        <w:rPr>
          <w:w w:val="105"/>
        </w:rPr>
        <w:t>for</w:t>
      </w:r>
      <w:r>
        <w:rPr>
          <w:spacing w:val="-8"/>
          <w:w w:val="105"/>
        </w:rPr>
        <w:t> </w:t>
      </w:r>
      <w:r>
        <w:rPr>
          <w:w w:val="105"/>
        </w:rPr>
        <w:t>the</w:t>
      </w:r>
      <w:r>
        <w:rPr>
          <w:spacing w:val="-8"/>
          <w:w w:val="105"/>
        </w:rPr>
        <w:t> </w:t>
      </w:r>
      <w:r>
        <w:rPr>
          <w:w w:val="105"/>
        </w:rPr>
        <w:t>financial</w:t>
      </w:r>
      <w:r>
        <w:rPr>
          <w:spacing w:val="-8"/>
          <w:w w:val="105"/>
        </w:rPr>
        <w:t> </w:t>
      </w:r>
      <w:r>
        <w:rPr>
          <w:w w:val="105"/>
        </w:rPr>
        <w:t>statements</w:t>
      </w:r>
      <w:r>
        <w:rPr>
          <w:spacing w:val="-8"/>
          <w:w w:val="105"/>
        </w:rPr>
        <w:t> </w:t>
      </w:r>
      <w:r>
        <w:rPr>
          <w:w w:val="105"/>
        </w:rPr>
        <w:t>contained</w:t>
      </w:r>
      <w:r>
        <w:rPr>
          <w:spacing w:val="-8"/>
          <w:w w:val="105"/>
        </w:rPr>
        <w:t> </w:t>
      </w:r>
      <w:r>
        <w:rPr>
          <w:w w:val="105"/>
        </w:rPr>
        <w:t>in this report. The Audit Committee has discussed with PwC its independence from Corning and concurred with PwC.</w:t>
      </w:r>
    </w:p>
    <w:p>
      <w:pPr>
        <w:pStyle w:val="BodyText"/>
        <w:spacing w:before="18"/>
      </w:pPr>
    </w:p>
    <w:p>
      <w:pPr>
        <w:pStyle w:val="BodyText"/>
        <w:spacing w:before="1"/>
        <w:ind w:left="48"/>
        <w:jc w:val="center"/>
      </w:pPr>
      <w:r>
        <w:rPr>
          <w:spacing w:val="-5"/>
          <w:w w:val="105"/>
        </w:rPr>
        <w:t>55</w:t>
      </w:r>
    </w:p>
    <w:p>
      <w:pPr>
        <w:pStyle w:val="BodyText"/>
        <w:spacing w:before="11"/>
        <w:rPr>
          <w:sz w:val="5"/>
        </w:rPr>
      </w:pPr>
      <w:r>
        <w:rPr/>
        <mc:AlternateContent>
          <mc:Choice Requires="wps">
            <w:drawing>
              <wp:anchor distT="0" distB="0" distL="0" distR="0" allowOverlap="1" layoutInCell="1" locked="0" behindDoc="1" simplePos="0" relativeHeight="487629312">
                <wp:simplePos x="0" y="0"/>
                <wp:positionH relativeFrom="page">
                  <wp:posOffset>226488</wp:posOffset>
                </wp:positionH>
                <wp:positionV relativeFrom="paragraph">
                  <wp:posOffset>58734</wp:posOffset>
                </wp:positionV>
                <wp:extent cx="7312659" cy="1651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87168;mso-wrap-distance-left:0;mso-wrap-distance-right:0" id="docshape122"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1"/>
        <w:ind w:left="48"/>
        <w:jc w:val="center"/>
      </w:pPr>
      <w:r>
        <w:rPr>
          <w:spacing w:val="-2"/>
          <w:w w:val="105"/>
        </w:rPr>
        <w:t>PART</w:t>
      </w:r>
      <w:r>
        <w:rPr>
          <w:spacing w:val="-5"/>
          <w:w w:val="105"/>
        </w:rPr>
        <w:t> IV</w:t>
      </w:r>
    </w:p>
    <w:p>
      <w:pPr>
        <w:pStyle w:val="BodyText"/>
        <w:spacing w:before="40"/>
        <w:rPr>
          <w:b/>
        </w:rPr>
      </w:pPr>
    </w:p>
    <w:p>
      <w:pPr>
        <w:spacing w:before="0"/>
        <w:ind w:left="156" w:right="0" w:firstLine="0"/>
        <w:jc w:val="left"/>
        <w:rPr>
          <w:b/>
          <w:sz w:val="16"/>
        </w:rPr>
      </w:pPr>
      <w:r>
        <w:rPr>
          <w:b/>
          <w:w w:val="105"/>
          <w:sz w:val="16"/>
          <w:u w:val="single"/>
        </w:rPr>
        <w:t>Item</w:t>
      </w:r>
      <w:r>
        <w:rPr>
          <w:b/>
          <w:spacing w:val="-7"/>
          <w:w w:val="105"/>
          <w:sz w:val="16"/>
          <w:u w:val="single"/>
        </w:rPr>
        <w:t> </w:t>
      </w:r>
      <w:r>
        <w:rPr>
          <w:b/>
          <w:w w:val="105"/>
          <w:sz w:val="16"/>
          <w:u w:val="single"/>
        </w:rPr>
        <w:t>15.</w:t>
      </w:r>
      <w:r>
        <w:rPr>
          <w:b/>
          <w:spacing w:val="-6"/>
          <w:w w:val="105"/>
          <w:sz w:val="16"/>
          <w:u w:val="single"/>
        </w:rPr>
        <w:t> </w:t>
      </w:r>
      <w:r>
        <w:rPr>
          <w:b/>
          <w:spacing w:val="-2"/>
          <w:w w:val="105"/>
          <w:sz w:val="16"/>
          <w:u w:val="single"/>
        </w:rPr>
        <w:t>Exhibits</w:t>
      </w:r>
    </w:p>
    <w:p>
      <w:pPr>
        <w:pStyle w:val="BodyText"/>
        <w:spacing w:before="39"/>
        <w:rPr>
          <w:b/>
        </w:rPr>
      </w:pPr>
    </w:p>
    <w:p>
      <w:pPr>
        <w:pStyle w:val="Heading2"/>
        <w:numPr>
          <w:ilvl w:val="0"/>
          <w:numId w:val="21"/>
        </w:numPr>
        <w:tabs>
          <w:tab w:pos="512" w:val="left" w:leader="none"/>
        </w:tabs>
        <w:spacing w:line="240" w:lineRule="auto" w:before="0" w:after="0"/>
        <w:ind w:left="512" w:right="0" w:hanging="356"/>
        <w:jc w:val="left"/>
      </w:pPr>
      <w:r>
        <w:rPr>
          <w:w w:val="105"/>
        </w:rPr>
        <w:t>Documents</w:t>
      </w:r>
      <w:r>
        <w:rPr>
          <w:spacing w:val="-10"/>
          <w:w w:val="105"/>
        </w:rPr>
        <w:t> </w:t>
      </w:r>
      <w:r>
        <w:rPr>
          <w:w w:val="105"/>
        </w:rPr>
        <w:t>filed</w:t>
      </w:r>
      <w:r>
        <w:rPr>
          <w:spacing w:val="-10"/>
          <w:w w:val="105"/>
        </w:rPr>
        <w:t> </w:t>
      </w:r>
      <w:r>
        <w:rPr>
          <w:w w:val="105"/>
        </w:rPr>
        <w:t>as</w:t>
      </w:r>
      <w:r>
        <w:rPr>
          <w:spacing w:val="-10"/>
          <w:w w:val="105"/>
        </w:rPr>
        <w:t> </w:t>
      </w:r>
      <w:r>
        <w:rPr>
          <w:w w:val="105"/>
        </w:rPr>
        <w:t>part</w:t>
      </w:r>
      <w:r>
        <w:rPr>
          <w:spacing w:val="-10"/>
          <w:w w:val="105"/>
        </w:rPr>
        <w:t> </w:t>
      </w:r>
      <w:r>
        <w:rPr>
          <w:w w:val="105"/>
        </w:rPr>
        <w:t>of</w:t>
      </w:r>
      <w:r>
        <w:rPr>
          <w:spacing w:val="-10"/>
          <w:w w:val="105"/>
        </w:rPr>
        <w:t> </w:t>
      </w:r>
      <w:r>
        <w:rPr>
          <w:w w:val="105"/>
        </w:rPr>
        <w:t>this</w:t>
      </w:r>
      <w:r>
        <w:rPr>
          <w:spacing w:val="-10"/>
          <w:w w:val="105"/>
        </w:rPr>
        <w:t> </w:t>
      </w:r>
      <w:r>
        <w:rPr>
          <w:spacing w:val="-2"/>
          <w:w w:val="105"/>
        </w:rPr>
        <w:t>report:</w:t>
      </w:r>
    </w:p>
    <w:p>
      <w:pPr>
        <w:pStyle w:val="BodyText"/>
        <w:spacing w:before="20"/>
        <w:ind w:left="11224"/>
      </w:pPr>
      <w:r>
        <w:rPr>
          <w:spacing w:val="-4"/>
          <w:w w:val="105"/>
          <w:u w:val="single"/>
        </w:rPr>
        <w:t>Page</w:t>
      </w:r>
    </w:p>
    <w:p>
      <w:pPr>
        <w:pStyle w:val="ListParagraph"/>
        <w:numPr>
          <w:ilvl w:val="1"/>
          <w:numId w:val="21"/>
        </w:numPr>
        <w:tabs>
          <w:tab w:pos="857" w:val="left" w:leader="none"/>
          <w:tab w:pos="11468" w:val="right" w:leader="none"/>
        </w:tabs>
        <w:spacing w:line="240" w:lineRule="auto" w:before="20" w:after="0"/>
        <w:ind w:left="857" w:right="0" w:hanging="344"/>
        <w:jc w:val="left"/>
        <w:rPr>
          <w:sz w:val="16"/>
        </w:rPr>
      </w:pPr>
      <w:hyperlink w:history="true" w:anchor="_bookmark3">
        <w:r>
          <w:rPr>
            <w:color w:val="0000FF"/>
            <w:sz w:val="16"/>
            <w:u w:val="single" w:color="0000FF"/>
          </w:rPr>
          <w:t>Financial</w:t>
        </w:r>
        <w:r>
          <w:rPr>
            <w:color w:val="0000FF"/>
            <w:spacing w:val="18"/>
            <w:sz w:val="16"/>
            <w:u w:val="single" w:color="0000FF"/>
          </w:rPr>
          <w:t> </w:t>
        </w:r>
        <w:r>
          <w:rPr>
            <w:color w:val="0000FF"/>
            <w:spacing w:val="-2"/>
            <w:sz w:val="16"/>
            <w:u w:val="single" w:color="0000FF"/>
          </w:rPr>
          <w:t>statements</w:t>
        </w:r>
      </w:hyperlink>
      <w:r>
        <w:rPr>
          <w:color w:val="0000FF"/>
          <w:sz w:val="16"/>
        </w:rPr>
        <w:tab/>
      </w:r>
      <w:hyperlink w:history="true" w:anchor="_bookmark3">
        <w:r>
          <w:rPr>
            <w:color w:val="0000FF"/>
            <w:spacing w:val="-5"/>
            <w:sz w:val="16"/>
            <w:u w:val="single" w:color="0000FF"/>
          </w:rPr>
          <w:t>65</w:t>
        </w:r>
      </w:hyperlink>
    </w:p>
    <w:p>
      <w:pPr>
        <w:pStyle w:val="BodyText"/>
        <w:spacing w:before="20"/>
        <w:ind w:left="1315"/>
      </w:pPr>
      <w:r>
        <w:rPr>
          <w:w w:val="105"/>
        </w:rPr>
        <w:t>See</w:t>
      </w:r>
      <w:r>
        <w:rPr>
          <w:spacing w:val="-8"/>
          <w:w w:val="105"/>
        </w:rPr>
        <w:t> </w:t>
      </w:r>
      <w:r>
        <w:rPr>
          <w:w w:val="105"/>
        </w:rPr>
        <w:t>separate</w:t>
      </w:r>
      <w:r>
        <w:rPr>
          <w:spacing w:val="-8"/>
          <w:w w:val="105"/>
        </w:rPr>
        <w:t> </w:t>
      </w:r>
      <w:r>
        <w:rPr>
          <w:w w:val="105"/>
        </w:rPr>
        <w:t>index</w:t>
      </w:r>
      <w:r>
        <w:rPr>
          <w:spacing w:val="-8"/>
          <w:w w:val="105"/>
        </w:rPr>
        <w:t> </w:t>
      </w:r>
      <w:r>
        <w:rPr>
          <w:w w:val="105"/>
        </w:rPr>
        <w:t>to</w:t>
      </w:r>
      <w:r>
        <w:rPr>
          <w:spacing w:val="-8"/>
          <w:w w:val="105"/>
        </w:rPr>
        <w:t> </w:t>
      </w:r>
      <w:r>
        <w:rPr>
          <w:w w:val="105"/>
        </w:rPr>
        <w:t>financial</w:t>
      </w:r>
      <w:r>
        <w:rPr>
          <w:spacing w:val="-7"/>
          <w:w w:val="105"/>
        </w:rPr>
        <w:t> </w:t>
      </w:r>
      <w:r>
        <w:rPr>
          <w:spacing w:val="-2"/>
          <w:w w:val="105"/>
        </w:rPr>
        <w:t>statements</w:t>
      </w:r>
    </w:p>
    <w:p>
      <w:pPr>
        <w:pStyle w:val="BodyText"/>
        <w:spacing w:before="39"/>
      </w:pPr>
    </w:p>
    <w:p>
      <w:pPr>
        <w:pStyle w:val="Heading2"/>
        <w:numPr>
          <w:ilvl w:val="0"/>
          <w:numId w:val="21"/>
        </w:numPr>
        <w:tabs>
          <w:tab w:pos="510" w:val="left" w:leader="none"/>
        </w:tabs>
        <w:spacing w:line="240" w:lineRule="auto" w:before="1" w:after="0"/>
        <w:ind w:left="510" w:right="0" w:hanging="354"/>
        <w:jc w:val="left"/>
      </w:pPr>
      <w:r>
        <w:rPr>
          <w:w w:val="105"/>
        </w:rPr>
        <w:t>Exhibits</w:t>
      </w:r>
      <w:r>
        <w:rPr>
          <w:spacing w:val="-10"/>
          <w:w w:val="105"/>
        </w:rPr>
        <w:t> </w:t>
      </w:r>
      <w:r>
        <w:rPr>
          <w:w w:val="105"/>
        </w:rPr>
        <w:t>filed</w:t>
      </w:r>
      <w:r>
        <w:rPr>
          <w:spacing w:val="-9"/>
          <w:w w:val="105"/>
        </w:rPr>
        <w:t> </w:t>
      </w:r>
      <w:r>
        <w:rPr>
          <w:w w:val="105"/>
        </w:rPr>
        <w:t>as</w:t>
      </w:r>
      <w:r>
        <w:rPr>
          <w:spacing w:val="-9"/>
          <w:w w:val="105"/>
        </w:rPr>
        <w:t> </w:t>
      </w:r>
      <w:r>
        <w:rPr>
          <w:w w:val="105"/>
        </w:rPr>
        <w:t>part</w:t>
      </w:r>
      <w:r>
        <w:rPr>
          <w:spacing w:val="-9"/>
          <w:w w:val="105"/>
        </w:rPr>
        <w:t> </w:t>
      </w:r>
      <w:r>
        <w:rPr>
          <w:w w:val="105"/>
        </w:rPr>
        <w:t>of</w:t>
      </w:r>
      <w:r>
        <w:rPr>
          <w:spacing w:val="-9"/>
          <w:w w:val="105"/>
        </w:rPr>
        <w:t> </w:t>
      </w:r>
      <w:r>
        <w:rPr>
          <w:w w:val="105"/>
        </w:rPr>
        <w:t>this</w:t>
      </w:r>
      <w:r>
        <w:rPr>
          <w:spacing w:val="-9"/>
          <w:w w:val="105"/>
        </w:rPr>
        <w:t> </w:t>
      </w:r>
      <w:r>
        <w:rPr>
          <w:spacing w:val="-2"/>
          <w:w w:val="105"/>
        </w:rPr>
        <w:t>report:</w:t>
      </w:r>
    </w:p>
    <w:p>
      <w:pPr>
        <w:pStyle w:val="BodyText"/>
        <w:spacing w:before="39"/>
        <w:rPr>
          <w:b/>
        </w:rPr>
      </w:pPr>
    </w:p>
    <w:p>
      <w:pPr>
        <w:pStyle w:val="ListParagraph"/>
        <w:numPr>
          <w:ilvl w:val="1"/>
          <w:numId w:val="22"/>
        </w:numPr>
        <w:tabs>
          <w:tab w:pos="1659" w:val="left" w:leader="none"/>
        </w:tabs>
        <w:spacing w:line="266" w:lineRule="auto" w:before="0" w:after="0"/>
        <w:ind w:left="1659" w:right="270" w:hanging="1032"/>
        <w:jc w:val="left"/>
        <w:rPr>
          <w:sz w:val="16"/>
        </w:rPr>
      </w:pPr>
      <w:hyperlink r:id="rId12">
        <w:r>
          <w:rPr>
            <w:color w:val="0000FF"/>
            <w:w w:val="105"/>
            <w:sz w:val="16"/>
            <w:u w:val="single" w:color="0000FF"/>
          </w:rPr>
          <w:t>Framework</w:t>
        </w:r>
        <w:r>
          <w:rPr>
            <w:color w:val="0000FF"/>
            <w:spacing w:val="-9"/>
            <w:w w:val="105"/>
            <w:sz w:val="16"/>
            <w:u w:val="single" w:color="0000FF"/>
          </w:rPr>
          <w:t> </w:t>
        </w:r>
        <w:r>
          <w:rPr>
            <w:color w:val="0000FF"/>
            <w:w w:val="105"/>
            <w:sz w:val="16"/>
            <w:u w:val="single" w:color="0000FF"/>
          </w:rPr>
          <w:t>Agreement,</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as</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October</w:t>
        </w:r>
        <w:r>
          <w:rPr>
            <w:color w:val="0000FF"/>
            <w:spacing w:val="-9"/>
            <w:w w:val="105"/>
            <w:sz w:val="16"/>
            <w:u w:val="single" w:color="0000FF"/>
          </w:rPr>
          <w:t> </w:t>
        </w:r>
        <w:r>
          <w:rPr>
            <w:color w:val="0000FF"/>
            <w:w w:val="105"/>
            <w:sz w:val="16"/>
            <w:u w:val="single" w:color="0000FF"/>
          </w:rPr>
          <w:t>22,</w:t>
        </w:r>
        <w:r>
          <w:rPr>
            <w:color w:val="0000FF"/>
            <w:spacing w:val="-9"/>
            <w:w w:val="105"/>
            <w:sz w:val="16"/>
            <w:u w:val="single" w:color="0000FF"/>
          </w:rPr>
          <w:t> </w:t>
        </w:r>
        <w:r>
          <w:rPr>
            <w:color w:val="0000FF"/>
            <w:w w:val="105"/>
            <w:sz w:val="16"/>
            <w:u w:val="single" w:color="0000FF"/>
          </w:rPr>
          <w:t>2013,</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among</w:t>
        </w:r>
        <w:r>
          <w:rPr>
            <w:color w:val="0000FF"/>
            <w:spacing w:val="-9"/>
            <w:w w:val="105"/>
            <w:sz w:val="16"/>
            <w:u w:val="single" w:color="0000FF"/>
          </w:rPr>
          <w:t> </w:t>
        </w:r>
        <w:r>
          <w:rPr>
            <w:color w:val="0000FF"/>
            <w:w w:val="105"/>
            <w:sz w:val="16"/>
            <w:u w:val="single" w:color="0000FF"/>
          </w:rPr>
          <w:t>Samsung</w:t>
        </w:r>
        <w:r>
          <w:rPr>
            <w:color w:val="0000FF"/>
            <w:spacing w:val="-9"/>
            <w:w w:val="105"/>
            <w:sz w:val="16"/>
            <w:u w:val="single" w:color="0000FF"/>
          </w:rPr>
          <w:t> </w:t>
        </w:r>
        <w:r>
          <w:rPr>
            <w:color w:val="0000FF"/>
            <w:w w:val="105"/>
            <w:sz w:val="16"/>
            <w:u w:val="single" w:color="0000FF"/>
          </w:rPr>
          <w:t>Display</w:t>
        </w:r>
        <w:r>
          <w:rPr>
            <w:color w:val="0000FF"/>
            <w:spacing w:val="-9"/>
            <w:w w:val="105"/>
            <w:sz w:val="16"/>
            <w:u w:val="single" w:color="0000FF"/>
          </w:rPr>
          <w:t> </w:t>
        </w:r>
        <w:r>
          <w:rPr>
            <w:color w:val="0000FF"/>
            <w:w w:val="105"/>
            <w:sz w:val="16"/>
            <w:u w:val="single" w:color="0000FF"/>
          </w:rPr>
          <w:t>Co.,</w:t>
        </w:r>
        <w:r>
          <w:rPr>
            <w:color w:val="0000FF"/>
            <w:spacing w:val="-9"/>
            <w:w w:val="105"/>
            <w:sz w:val="16"/>
            <w:u w:val="single" w:color="0000FF"/>
          </w:rPr>
          <w:t> </w:t>
        </w:r>
        <w:r>
          <w:rPr>
            <w:color w:val="0000FF"/>
            <w:w w:val="105"/>
            <w:sz w:val="16"/>
            <w:u w:val="single" w:color="0000FF"/>
          </w:rPr>
          <w:t>Ltd.;</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the</w:t>
        </w:r>
        <w:r>
          <w:rPr>
            <w:color w:val="0000FF"/>
            <w:spacing w:val="-9"/>
            <w:w w:val="105"/>
            <w:sz w:val="16"/>
            <w:u w:val="single" w:color="0000FF"/>
          </w:rPr>
          <w:t> </w:t>
        </w:r>
        <w:r>
          <w:rPr>
            <w:color w:val="0000FF"/>
            <w:w w:val="105"/>
            <w:sz w:val="16"/>
            <w:u w:val="single" w:color="0000FF"/>
          </w:rPr>
          <w:t>other</w:t>
        </w:r>
        <w:r>
          <w:rPr>
            <w:color w:val="0000FF"/>
            <w:spacing w:val="-9"/>
            <w:w w:val="105"/>
            <w:sz w:val="16"/>
            <w:u w:val="single" w:color="0000FF"/>
          </w:rPr>
          <w:t> </w:t>
        </w:r>
        <w:r>
          <w:rPr>
            <w:color w:val="0000FF"/>
            <w:w w:val="105"/>
            <w:sz w:val="16"/>
            <w:u w:val="single" w:color="0000FF"/>
          </w:rPr>
          <w:t>parties</w:t>
        </w:r>
        <w:r>
          <w:rPr>
            <w:color w:val="0000FF"/>
            <w:spacing w:val="-9"/>
            <w:w w:val="105"/>
            <w:sz w:val="16"/>
            <w:u w:val="single" w:color="0000FF"/>
          </w:rPr>
          <w:t> </w:t>
        </w:r>
        <w:r>
          <w:rPr>
            <w:color w:val="0000FF"/>
            <w:w w:val="105"/>
            <w:sz w:val="16"/>
            <w:u w:val="single" w:color="0000FF"/>
          </w:rPr>
          <w:t>thereto.</w:t>
        </w:r>
      </w:hyperlink>
      <w:r>
        <w:rPr>
          <w:color w:val="0000FF"/>
          <w:w w:val="105"/>
          <w:sz w:val="16"/>
        </w:rPr>
        <w:t> </w:t>
      </w:r>
      <w:hyperlink r:id="rId12">
        <w:r>
          <w:rPr>
            <w:color w:val="0000FF"/>
            <w:w w:val="105"/>
            <w:sz w:val="16"/>
            <w:u w:val="single" w:color="0000FF"/>
          </w:rPr>
          <w:t>(Incorporated</w:t>
        </w:r>
        <w:r>
          <w:rPr>
            <w:color w:val="0000FF"/>
            <w:spacing w:val="-7"/>
            <w:w w:val="105"/>
            <w:sz w:val="16"/>
            <w:u w:val="single" w:color="0000FF"/>
          </w:rPr>
          <w:t> </w:t>
        </w:r>
        <w:r>
          <w:rPr>
            <w:color w:val="0000FF"/>
            <w:w w:val="105"/>
            <w:sz w:val="16"/>
            <w:u w:val="single" w:color="0000FF"/>
          </w:rPr>
          <w:t>by</w:t>
        </w:r>
        <w:r>
          <w:rPr>
            <w:color w:val="0000FF"/>
            <w:spacing w:val="-7"/>
            <w:w w:val="105"/>
            <w:sz w:val="16"/>
            <w:u w:val="single" w:color="0000FF"/>
          </w:rPr>
          <w:t> </w:t>
        </w:r>
        <w:r>
          <w:rPr>
            <w:color w:val="0000FF"/>
            <w:w w:val="105"/>
            <w:sz w:val="16"/>
            <w:u w:val="single" w:color="0000FF"/>
          </w:rPr>
          <w:t>reference</w:t>
        </w:r>
        <w:r>
          <w:rPr>
            <w:color w:val="0000FF"/>
            <w:spacing w:val="-7"/>
            <w:w w:val="105"/>
            <w:sz w:val="16"/>
            <w:u w:val="single" w:color="0000FF"/>
          </w:rPr>
          <w:t> </w:t>
        </w:r>
        <w:r>
          <w:rPr>
            <w:color w:val="0000FF"/>
            <w:w w:val="105"/>
            <w:sz w:val="16"/>
            <w:u w:val="single" w:color="0000FF"/>
          </w:rPr>
          <w:t>to</w:t>
        </w:r>
        <w:r>
          <w:rPr>
            <w:color w:val="0000FF"/>
            <w:spacing w:val="-7"/>
            <w:w w:val="105"/>
            <w:sz w:val="16"/>
            <w:u w:val="single" w:color="0000FF"/>
          </w:rPr>
          <w:t> </w:t>
        </w:r>
        <w:r>
          <w:rPr>
            <w:color w:val="0000FF"/>
            <w:w w:val="105"/>
            <w:sz w:val="16"/>
            <w:u w:val="single" w:color="0000FF"/>
          </w:rPr>
          <w:t>Exhibit</w:t>
        </w:r>
        <w:r>
          <w:rPr>
            <w:color w:val="0000FF"/>
            <w:spacing w:val="-7"/>
            <w:w w:val="105"/>
            <w:sz w:val="16"/>
            <w:u w:val="single" w:color="0000FF"/>
          </w:rPr>
          <w:t> </w:t>
        </w:r>
        <w:r>
          <w:rPr>
            <w:color w:val="0000FF"/>
            <w:w w:val="105"/>
            <w:sz w:val="16"/>
            <w:u w:val="single" w:color="0000FF"/>
          </w:rPr>
          <w:t>10.65</w:t>
        </w:r>
        <w:r>
          <w:rPr>
            <w:color w:val="0000FF"/>
            <w:spacing w:val="-7"/>
            <w:w w:val="105"/>
            <w:sz w:val="16"/>
            <w:u w:val="single" w:color="0000FF"/>
          </w:rPr>
          <w:t> </w:t>
        </w:r>
        <w:r>
          <w:rPr>
            <w:color w:val="0000FF"/>
            <w:w w:val="105"/>
            <w:sz w:val="16"/>
            <w:u w:val="single" w:color="0000FF"/>
          </w:rPr>
          <w:t>to</w:t>
        </w:r>
        <w:r>
          <w:rPr>
            <w:color w:val="0000FF"/>
            <w:spacing w:val="-7"/>
            <w:w w:val="105"/>
            <w:sz w:val="16"/>
            <w:u w:val="single" w:color="0000FF"/>
          </w:rPr>
          <w:t> </w:t>
        </w:r>
        <w:r>
          <w:rPr>
            <w:color w:val="0000FF"/>
            <w:w w:val="105"/>
            <w:sz w:val="16"/>
            <w:u w:val="single" w:color="0000FF"/>
          </w:rPr>
          <w:t>Corning’s</w:t>
        </w:r>
        <w:r>
          <w:rPr>
            <w:color w:val="0000FF"/>
            <w:spacing w:val="-7"/>
            <w:w w:val="105"/>
            <w:sz w:val="16"/>
            <w:u w:val="single" w:color="0000FF"/>
          </w:rPr>
          <w:t> </w:t>
        </w:r>
        <w:r>
          <w:rPr>
            <w:color w:val="0000FF"/>
            <w:w w:val="105"/>
            <w:sz w:val="16"/>
            <w:u w:val="single" w:color="0000FF"/>
          </w:rPr>
          <w:t>Form</w:t>
        </w:r>
        <w:r>
          <w:rPr>
            <w:color w:val="0000FF"/>
            <w:spacing w:val="-7"/>
            <w:w w:val="105"/>
            <w:sz w:val="16"/>
            <w:u w:val="single" w:color="0000FF"/>
          </w:rPr>
          <w:t> </w:t>
        </w:r>
        <w:r>
          <w:rPr>
            <w:color w:val="0000FF"/>
            <w:w w:val="105"/>
            <w:sz w:val="16"/>
            <w:u w:val="single" w:color="0000FF"/>
          </w:rPr>
          <w:t>10-K</w:t>
        </w:r>
        <w:r>
          <w:rPr>
            <w:color w:val="0000FF"/>
            <w:spacing w:val="-7"/>
            <w:w w:val="105"/>
            <w:sz w:val="16"/>
            <w:u w:val="single" w:color="0000FF"/>
          </w:rPr>
          <w:t> </w:t>
        </w:r>
        <w:r>
          <w:rPr>
            <w:color w:val="0000FF"/>
            <w:w w:val="105"/>
            <w:sz w:val="16"/>
            <w:u w:val="single" w:color="0000FF"/>
          </w:rPr>
          <w:t>filed</w:t>
        </w:r>
        <w:r>
          <w:rPr>
            <w:color w:val="0000FF"/>
            <w:spacing w:val="-7"/>
            <w:w w:val="105"/>
            <w:sz w:val="16"/>
            <w:u w:val="single" w:color="0000FF"/>
          </w:rPr>
          <w:t> </w:t>
        </w:r>
        <w:r>
          <w:rPr>
            <w:color w:val="0000FF"/>
            <w:w w:val="105"/>
            <w:sz w:val="16"/>
            <w:u w:val="single" w:color="0000FF"/>
          </w:rPr>
          <w:t>on</w:t>
        </w:r>
        <w:r>
          <w:rPr>
            <w:color w:val="0000FF"/>
            <w:spacing w:val="-7"/>
            <w:w w:val="105"/>
            <w:sz w:val="16"/>
            <w:u w:val="single" w:color="0000FF"/>
          </w:rPr>
          <w:t> </w:t>
        </w:r>
        <w:r>
          <w:rPr>
            <w:color w:val="0000FF"/>
            <w:w w:val="105"/>
            <w:sz w:val="16"/>
            <w:u w:val="single" w:color="0000FF"/>
          </w:rPr>
          <w:t>February</w:t>
        </w:r>
        <w:r>
          <w:rPr>
            <w:color w:val="0000FF"/>
            <w:spacing w:val="-7"/>
            <w:w w:val="105"/>
            <w:sz w:val="16"/>
            <w:u w:val="single" w:color="0000FF"/>
          </w:rPr>
          <w:t> </w:t>
        </w:r>
        <w:r>
          <w:rPr>
            <w:color w:val="0000FF"/>
            <w:w w:val="105"/>
            <w:sz w:val="16"/>
            <w:u w:val="single" w:color="0000FF"/>
          </w:rPr>
          <w:t>10,</w:t>
        </w:r>
        <w:r>
          <w:rPr>
            <w:color w:val="0000FF"/>
            <w:spacing w:val="-7"/>
            <w:w w:val="105"/>
            <w:sz w:val="16"/>
            <w:u w:val="single" w:color="0000FF"/>
          </w:rPr>
          <w:t> </w:t>
        </w:r>
        <w:r>
          <w:rPr>
            <w:color w:val="0000FF"/>
            <w:w w:val="105"/>
            <w:sz w:val="16"/>
            <w:u w:val="single" w:color="0000FF"/>
          </w:rPr>
          <w:t>2014,</w:t>
        </w:r>
        <w:r>
          <w:rPr>
            <w:color w:val="0000FF"/>
            <w:spacing w:val="-7"/>
            <w:w w:val="105"/>
            <w:sz w:val="16"/>
            <w:u w:val="single" w:color="0000FF"/>
          </w:rPr>
          <w:t> </w:t>
        </w:r>
        <w:r>
          <w:rPr>
            <w:color w:val="0000FF"/>
            <w:w w:val="105"/>
            <w:sz w:val="16"/>
            <w:u w:val="single" w:color="0000FF"/>
          </w:rPr>
          <w:t>as</w:t>
        </w:r>
        <w:r>
          <w:rPr>
            <w:color w:val="0000FF"/>
            <w:spacing w:val="-7"/>
            <w:w w:val="105"/>
            <w:sz w:val="16"/>
            <w:u w:val="single" w:color="0000FF"/>
          </w:rPr>
          <w:t> </w:t>
        </w:r>
        <w:r>
          <w:rPr>
            <w:color w:val="0000FF"/>
            <w:w w:val="105"/>
            <w:sz w:val="16"/>
            <w:u w:val="single" w:color="0000FF"/>
          </w:rPr>
          <w:t>amended</w:t>
        </w:r>
        <w:r>
          <w:rPr>
            <w:color w:val="0000FF"/>
            <w:spacing w:val="-7"/>
            <w:w w:val="105"/>
            <w:sz w:val="16"/>
            <w:u w:val="single" w:color="0000FF"/>
          </w:rPr>
          <w:t> </w:t>
        </w:r>
        <w:r>
          <w:rPr>
            <w:color w:val="0000FF"/>
            <w:w w:val="105"/>
            <w:sz w:val="16"/>
            <w:u w:val="single" w:color="0000FF"/>
          </w:rPr>
          <w:t>by</w:t>
        </w:r>
        <w:r>
          <w:rPr>
            <w:color w:val="0000FF"/>
            <w:spacing w:val="-7"/>
            <w:w w:val="105"/>
            <w:sz w:val="16"/>
            <w:u w:val="single" w:color="0000FF"/>
          </w:rPr>
          <w:t> </w:t>
        </w:r>
        <w:r>
          <w:rPr>
            <w:color w:val="0000FF"/>
            <w:w w:val="105"/>
            <w:sz w:val="16"/>
            <w:u w:val="single" w:color="0000FF"/>
          </w:rPr>
          <w:t>its</w:t>
        </w:r>
        <w:r>
          <w:rPr>
            <w:color w:val="0000FF"/>
            <w:spacing w:val="-7"/>
            <w:w w:val="105"/>
            <w:sz w:val="16"/>
            <w:u w:val="single" w:color="0000FF"/>
          </w:rPr>
          <w:t> </w:t>
        </w:r>
        <w:r>
          <w:rPr>
            <w:color w:val="0000FF"/>
            <w:w w:val="105"/>
            <w:sz w:val="16"/>
            <w:u w:val="single" w:color="0000FF"/>
          </w:rPr>
          <w:t>Form</w:t>
        </w:r>
        <w:r>
          <w:rPr>
            <w:color w:val="0000FF"/>
            <w:spacing w:val="-7"/>
            <w:w w:val="105"/>
            <w:sz w:val="16"/>
            <w:u w:val="single" w:color="0000FF"/>
          </w:rPr>
          <w:t> </w:t>
        </w:r>
        <w:r>
          <w:rPr>
            <w:color w:val="0000FF"/>
            <w:w w:val="105"/>
            <w:sz w:val="16"/>
            <w:u w:val="single" w:color="0000FF"/>
          </w:rPr>
          <w:t>10-K/A</w:t>
        </w:r>
        <w:r>
          <w:rPr>
            <w:color w:val="0000FF"/>
            <w:spacing w:val="-7"/>
            <w:w w:val="105"/>
            <w:sz w:val="16"/>
            <w:u w:val="single" w:color="0000FF"/>
          </w:rPr>
          <w:t> </w:t>
        </w:r>
        <w:r>
          <w:rPr>
            <w:color w:val="0000FF"/>
            <w:w w:val="105"/>
            <w:sz w:val="16"/>
            <w:u w:val="single" w:color="0000FF"/>
          </w:rPr>
          <w:t>filed</w:t>
        </w:r>
        <w:r>
          <w:rPr>
            <w:color w:val="0000FF"/>
            <w:spacing w:val="-7"/>
            <w:w w:val="105"/>
            <w:sz w:val="16"/>
            <w:u w:val="single" w:color="0000FF"/>
          </w:rPr>
          <w:t> </w:t>
        </w:r>
        <w:r>
          <w:rPr>
            <w:color w:val="0000FF"/>
            <w:w w:val="105"/>
            <w:sz w:val="16"/>
            <w:u w:val="single" w:color="0000FF"/>
          </w:rPr>
          <w:t>on</w:t>
        </w:r>
        <w:r>
          <w:rPr>
            <w:color w:val="0000FF"/>
            <w:spacing w:val="-7"/>
            <w:w w:val="105"/>
            <w:sz w:val="16"/>
            <w:u w:val="single" w:color="0000FF"/>
          </w:rPr>
          <w:t> </w:t>
        </w:r>
        <w:r>
          <w:rPr>
            <w:color w:val="0000FF"/>
            <w:w w:val="105"/>
            <w:sz w:val="16"/>
            <w:u w:val="single" w:color="0000FF"/>
          </w:rPr>
          <w:t>March</w:t>
        </w:r>
        <w:r>
          <w:rPr>
            <w:color w:val="0000FF"/>
            <w:spacing w:val="-7"/>
            <w:w w:val="105"/>
            <w:sz w:val="16"/>
            <w:u w:val="single" w:color="0000FF"/>
          </w:rPr>
          <w:t> </w:t>
        </w:r>
        <w:r>
          <w:rPr>
            <w:color w:val="0000FF"/>
            <w:w w:val="105"/>
            <w:sz w:val="16"/>
            <w:u w:val="single" w:color="0000FF"/>
          </w:rPr>
          <w:t>21,</w:t>
        </w:r>
      </w:hyperlink>
      <w:r>
        <w:rPr>
          <w:color w:val="0000FF"/>
          <w:w w:val="105"/>
          <w:sz w:val="16"/>
        </w:rPr>
        <w:t> </w:t>
      </w:r>
      <w:hyperlink r:id="rId12">
        <w:r>
          <w:rPr>
            <w:color w:val="0000FF"/>
            <w:w w:val="105"/>
            <w:sz w:val="16"/>
            <w:u w:val="single" w:color="0000FF"/>
          </w:rPr>
          <w:t>2014).</w:t>
        </w:r>
        <w:r>
          <w:rPr>
            <w:color w:val="0000FF"/>
            <w:spacing w:val="-1"/>
            <w:w w:val="105"/>
            <w:sz w:val="16"/>
            <w:u w:val="single" w:color="0000FF"/>
          </w:rPr>
          <w:t> </w:t>
        </w:r>
        <w:r>
          <w:rPr>
            <w:color w:val="0000FF"/>
            <w:w w:val="105"/>
            <w:sz w:val="16"/>
            <w:u w:val="single" w:color="0000FF"/>
          </w:rPr>
          <w:t>The</w:t>
        </w:r>
        <w:r>
          <w:rPr>
            <w:color w:val="0000FF"/>
            <w:spacing w:val="-1"/>
            <w:w w:val="105"/>
            <w:sz w:val="16"/>
            <w:u w:val="single" w:color="0000FF"/>
          </w:rPr>
          <w:t> </w:t>
        </w:r>
        <w:r>
          <w:rPr>
            <w:color w:val="0000FF"/>
            <w:w w:val="105"/>
            <w:sz w:val="16"/>
            <w:u w:val="single" w:color="0000FF"/>
          </w:rPr>
          <w:t>Company</w:t>
        </w:r>
        <w:r>
          <w:rPr>
            <w:color w:val="0000FF"/>
            <w:spacing w:val="-1"/>
            <w:w w:val="105"/>
            <w:sz w:val="16"/>
            <w:u w:val="single" w:color="0000FF"/>
          </w:rPr>
          <w:t> </w:t>
        </w:r>
        <w:r>
          <w:rPr>
            <w:color w:val="0000FF"/>
            <w:w w:val="105"/>
            <w:sz w:val="16"/>
            <w:u w:val="single" w:color="0000FF"/>
          </w:rPr>
          <w:t>has</w:t>
        </w:r>
        <w:r>
          <w:rPr>
            <w:color w:val="0000FF"/>
            <w:spacing w:val="-1"/>
            <w:w w:val="105"/>
            <w:sz w:val="16"/>
            <w:u w:val="single" w:color="0000FF"/>
          </w:rPr>
          <w:t> </w:t>
        </w:r>
        <w:r>
          <w:rPr>
            <w:color w:val="0000FF"/>
            <w:w w:val="105"/>
            <w:sz w:val="16"/>
            <w:u w:val="single" w:color="0000FF"/>
          </w:rPr>
          <w:t>omitted</w:t>
        </w:r>
        <w:r>
          <w:rPr>
            <w:color w:val="0000FF"/>
            <w:spacing w:val="-1"/>
            <w:w w:val="105"/>
            <w:sz w:val="16"/>
            <w:u w:val="single" w:color="0000FF"/>
          </w:rPr>
          <w:t> </w:t>
        </w:r>
        <w:r>
          <w:rPr>
            <w:color w:val="0000FF"/>
            <w:w w:val="105"/>
            <w:sz w:val="16"/>
            <w:u w:val="single" w:color="0000FF"/>
          </w:rPr>
          <w:t>certain</w:t>
        </w:r>
        <w:r>
          <w:rPr>
            <w:color w:val="0000FF"/>
            <w:spacing w:val="-1"/>
            <w:w w:val="105"/>
            <w:sz w:val="16"/>
            <w:u w:val="single" w:color="0000FF"/>
          </w:rPr>
          <w:t> </w:t>
        </w:r>
        <w:r>
          <w:rPr>
            <w:color w:val="0000FF"/>
            <w:w w:val="105"/>
            <w:sz w:val="16"/>
            <w:u w:val="single" w:color="0000FF"/>
          </w:rPr>
          <w:t>schedules,</w:t>
        </w:r>
        <w:r>
          <w:rPr>
            <w:color w:val="0000FF"/>
            <w:spacing w:val="-1"/>
            <w:w w:val="105"/>
            <w:sz w:val="16"/>
            <w:u w:val="single" w:color="0000FF"/>
          </w:rPr>
          <w:t> </w:t>
        </w:r>
        <w:r>
          <w:rPr>
            <w:color w:val="0000FF"/>
            <w:w w:val="105"/>
            <w:sz w:val="16"/>
            <w:u w:val="single" w:color="0000FF"/>
          </w:rPr>
          <w:t>exhibits</w:t>
        </w:r>
        <w:r>
          <w:rPr>
            <w:color w:val="0000FF"/>
            <w:spacing w:val="-1"/>
            <w:w w:val="105"/>
            <w:sz w:val="16"/>
            <w:u w:val="single" w:color="0000FF"/>
          </w:rPr>
          <w:t> </w:t>
        </w:r>
        <w:r>
          <w:rPr>
            <w:color w:val="0000FF"/>
            <w:w w:val="105"/>
            <w:sz w:val="16"/>
            <w:u w:val="single" w:color="0000FF"/>
          </w:rPr>
          <w:t>and</w:t>
        </w:r>
        <w:r>
          <w:rPr>
            <w:color w:val="0000FF"/>
            <w:spacing w:val="-1"/>
            <w:w w:val="105"/>
            <w:sz w:val="16"/>
            <w:u w:val="single" w:color="0000FF"/>
          </w:rPr>
          <w:t> </w:t>
        </w:r>
        <w:r>
          <w:rPr>
            <w:color w:val="0000FF"/>
            <w:w w:val="105"/>
            <w:sz w:val="16"/>
            <w:u w:val="single" w:color="0000FF"/>
          </w:rPr>
          <w:t>similar</w:t>
        </w:r>
        <w:r>
          <w:rPr>
            <w:color w:val="0000FF"/>
            <w:spacing w:val="-1"/>
            <w:w w:val="105"/>
            <w:sz w:val="16"/>
            <w:u w:val="single" w:color="0000FF"/>
          </w:rPr>
          <w:t> </w:t>
        </w:r>
        <w:r>
          <w:rPr>
            <w:color w:val="0000FF"/>
            <w:w w:val="105"/>
            <w:sz w:val="16"/>
            <w:u w:val="single" w:color="0000FF"/>
          </w:rPr>
          <w:t>attachments to</w:t>
        </w:r>
        <w:r>
          <w:rPr>
            <w:color w:val="0000FF"/>
            <w:spacing w:val="-1"/>
            <w:w w:val="105"/>
            <w:sz w:val="16"/>
            <w:u w:val="single" w:color="0000FF"/>
          </w:rPr>
          <w:t> </w:t>
        </w:r>
        <w:r>
          <w:rPr>
            <w:color w:val="0000FF"/>
            <w:w w:val="105"/>
            <w:sz w:val="16"/>
            <w:u w:val="single" w:color="0000FF"/>
          </w:rPr>
          <w:t>the</w:t>
        </w:r>
        <w:r>
          <w:rPr>
            <w:color w:val="0000FF"/>
            <w:spacing w:val="-1"/>
            <w:w w:val="105"/>
            <w:sz w:val="16"/>
            <w:u w:val="single" w:color="0000FF"/>
          </w:rPr>
          <w:t> </w:t>
        </w:r>
        <w:r>
          <w:rPr>
            <w:color w:val="0000FF"/>
            <w:w w:val="105"/>
            <w:sz w:val="16"/>
            <w:u w:val="single" w:color="0000FF"/>
          </w:rPr>
          <w:t>Framework</w:t>
        </w:r>
        <w:r>
          <w:rPr>
            <w:color w:val="0000FF"/>
            <w:spacing w:val="-1"/>
            <w:w w:val="105"/>
            <w:sz w:val="16"/>
            <w:u w:val="single" w:color="0000FF"/>
          </w:rPr>
          <w:t> </w:t>
        </w:r>
        <w:r>
          <w:rPr>
            <w:color w:val="0000FF"/>
            <w:w w:val="105"/>
            <w:sz w:val="16"/>
            <w:u w:val="single" w:color="0000FF"/>
          </w:rPr>
          <w:t>Agreement</w:t>
        </w:r>
        <w:r>
          <w:rPr>
            <w:color w:val="0000FF"/>
            <w:spacing w:val="-1"/>
            <w:w w:val="105"/>
            <w:sz w:val="16"/>
            <w:u w:val="single" w:color="0000FF"/>
          </w:rPr>
          <w:t> </w:t>
        </w:r>
        <w:r>
          <w:rPr>
            <w:color w:val="0000FF"/>
            <w:w w:val="105"/>
            <w:sz w:val="16"/>
            <w:u w:val="single" w:color="0000FF"/>
          </w:rPr>
          <w:t>pursuant</w:t>
        </w:r>
        <w:r>
          <w:rPr>
            <w:color w:val="0000FF"/>
            <w:spacing w:val="-1"/>
            <w:w w:val="105"/>
            <w:sz w:val="16"/>
            <w:u w:val="single" w:color="0000FF"/>
          </w:rPr>
          <w:t> </w:t>
        </w:r>
        <w:r>
          <w:rPr>
            <w:color w:val="0000FF"/>
            <w:w w:val="105"/>
            <w:sz w:val="16"/>
            <w:u w:val="single" w:color="0000FF"/>
          </w:rPr>
          <w:t>to</w:t>
        </w:r>
        <w:r>
          <w:rPr>
            <w:color w:val="0000FF"/>
            <w:spacing w:val="-1"/>
            <w:w w:val="105"/>
            <w:sz w:val="16"/>
            <w:u w:val="single" w:color="0000FF"/>
          </w:rPr>
          <w:t> </w:t>
        </w:r>
        <w:r>
          <w:rPr>
            <w:color w:val="0000FF"/>
            <w:w w:val="105"/>
            <w:sz w:val="16"/>
            <w:u w:val="single" w:color="0000FF"/>
          </w:rPr>
          <w:t>Item</w:t>
        </w:r>
        <w:r>
          <w:rPr>
            <w:color w:val="0000FF"/>
            <w:spacing w:val="-1"/>
            <w:w w:val="105"/>
            <w:sz w:val="16"/>
            <w:u w:val="single" w:color="0000FF"/>
          </w:rPr>
          <w:t> </w:t>
        </w:r>
        <w:r>
          <w:rPr>
            <w:color w:val="0000FF"/>
            <w:w w:val="105"/>
            <w:sz w:val="16"/>
            <w:u w:val="single" w:color="0000FF"/>
          </w:rPr>
          <w:t>601(b)(2)</w:t>
        </w:r>
        <w:r>
          <w:rPr>
            <w:color w:val="0000FF"/>
            <w:spacing w:val="-1"/>
            <w:w w:val="105"/>
            <w:sz w:val="16"/>
            <w:u w:val="single" w:color="0000FF"/>
          </w:rPr>
          <w:t> </w:t>
        </w:r>
        <w:r>
          <w:rPr>
            <w:color w:val="0000FF"/>
            <w:w w:val="105"/>
            <w:sz w:val="16"/>
            <w:u w:val="single" w:color="0000FF"/>
          </w:rPr>
          <w:t>of</w:t>
        </w:r>
      </w:hyperlink>
      <w:r>
        <w:rPr>
          <w:color w:val="0000FF"/>
          <w:w w:val="105"/>
          <w:sz w:val="16"/>
        </w:rPr>
        <w:t> </w:t>
      </w:r>
      <w:hyperlink r:id="rId12">
        <w:r>
          <w:rPr>
            <w:color w:val="0000FF"/>
            <w:w w:val="105"/>
            <w:sz w:val="16"/>
            <w:u w:val="single" w:color="0000FF"/>
          </w:rPr>
          <w:t>Regulation</w:t>
        </w:r>
        <w:r>
          <w:rPr>
            <w:color w:val="0000FF"/>
            <w:spacing w:val="-1"/>
            <w:w w:val="105"/>
            <w:sz w:val="16"/>
            <w:u w:val="single" w:color="0000FF"/>
          </w:rPr>
          <w:t> </w:t>
        </w:r>
        <w:r>
          <w:rPr>
            <w:color w:val="0000FF"/>
            <w:w w:val="105"/>
            <w:sz w:val="16"/>
            <w:u w:val="single" w:color="0000FF"/>
          </w:rPr>
          <w:t>S-K.</w:t>
        </w:r>
      </w:hyperlink>
    </w:p>
    <w:p>
      <w:pPr>
        <w:pStyle w:val="ListParagraph"/>
        <w:numPr>
          <w:ilvl w:val="1"/>
          <w:numId w:val="22"/>
        </w:numPr>
        <w:tabs>
          <w:tab w:pos="1659" w:val="left" w:leader="none"/>
        </w:tabs>
        <w:spacing w:line="266" w:lineRule="auto" w:before="0" w:after="0"/>
        <w:ind w:left="1659" w:right="279" w:hanging="1032"/>
        <w:jc w:val="left"/>
        <w:rPr>
          <w:sz w:val="16"/>
        </w:rPr>
      </w:pPr>
      <w:hyperlink r:id="rId13">
        <w:r>
          <w:rPr>
            <w:color w:val="0000FF"/>
            <w:w w:val="105"/>
            <w:sz w:val="16"/>
            <w:u w:val="single" w:color="0000FF"/>
          </w:rPr>
          <w:t>Transaction</w:t>
        </w:r>
        <w:r>
          <w:rPr>
            <w:color w:val="0000FF"/>
            <w:spacing w:val="-11"/>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dated</w:t>
        </w:r>
        <w:r>
          <w:rPr>
            <w:color w:val="0000FF"/>
            <w:spacing w:val="-11"/>
            <w:w w:val="105"/>
            <w:sz w:val="16"/>
            <w:u w:val="single" w:color="0000FF"/>
          </w:rPr>
          <w:t> </w:t>
        </w:r>
        <w:r>
          <w:rPr>
            <w:color w:val="0000FF"/>
            <w:w w:val="105"/>
            <w:sz w:val="16"/>
            <w:u w:val="single" w:color="0000FF"/>
          </w:rPr>
          <w:t>December</w:t>
        </w:r>
        <w:r>
          <w:rPr>
            <w:color w:val="0000FF"/>
            <w:spacing w:val="-10"/>
            <w:w w:val="105"/>
            <w:sz w:val="16"/>
            <w:u w:val="single" w:color="0000FF"/>
          </w:rPr>
          <w:t> </w:t>
        </w:r>
        <w:r>
          <w:rPr>
            <w:color w:val="0000FF"/>
            <w:w w:val="105"/>
            <w:sz w:val="16"/>
            <w:u w:val="single" w:color="0000FF"/>
          </w:rPr>
          <w:t>10,</w:t>
        </w:r>
        <w:r>
          <w:rPr>
            <w:color w:val="0000FF"/>
            <w:spacing w:val="-11"/>
            <w:w w:val="105"/>
            <w:sz w:val="16"/>
            <w:u w:val="single" w:color="0000FF"/>
          </w:rPr>
          <w:t> </w:t>
        </w:r>
        <w:r>
          <w:rPr>
            <w:color w:val="0000FF"/>
            <w:w w:val="105"/>
            <w:sz w:val="16"/>
            <w:u w:val="single" w:color="0000FF"/>
          </w:rPr>
          <w:t>2015,</w:t>
        </w:r>
        <w:r>
          <w:rPr>
            <w:color w:val="0000FF"/>
            <w:spacing w:val="-10"/>
            <w:w w:val="105"/>
            <w:sz w:val="16"/>
            <w:u w:val="single" w:color="0000FF"/>
          </w:rPr>
          <w:t> </w:t>
        </w:r>
        <w:r>
          <w:rPr>
            <w:color w:val="0000FF"/>
            <w:w w:val="105"/>
            <w:sz w:val="16"/>
            <w:u w:val="single" w:color="0000FF"/>
          </w:rPr>
          <w:t>by</w:t>
        </w:r>
        <w:r>
          <w:rPr>
            <w:color w:val="0000FF"/>
            <w:spacing w:val="-11"/>
            <w:w w:val="105"/>
            <w:sz w:val="16"/>
            <w:u w:val="single" w:color="0000FF"/>
          </w:rPr>
          <w:t> </w:t>
        </w:r>
        <w:r>
          <w:rPr>
            <w:color w:val="0000FF"/>
            <w:w w:val="105"/>
            <w:sz w:val="16"/>
            <w:u w:val="single" w:color="0000FF"/>
          </w:rPr>
          <w:t>and</w:t>
        </w:r>
        <w:r>
          <w:rPr>
            <w:color w:val="0000FF"/>
            <w:spacing w:val="-10"/>
            <w:w w:val="105"/>
            <w:sz w:val="16"/>
            <w:u w:val="single" w:color="0000FF"/>
          </w:rPr>
          <w:t> </w:t>
        </w:r>
        <w:r>
          <w:rPr>
            <w:color w:val="0000FF"/>
            <w:w w:val="105"/>
            <w:sz w:val="16"/>
            <w:u w:val="single" w:color="0000FF"/>
          </w:rPr>
          <w:t>between</w:t>
        </w:r>
        <w:r>
          <w:rPr>
            <w:color w:val="0000FF"/>
            <w:spacing w:val="-11"/>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1"/>
            <w:w w:val="105"/>
            <w:sz w:val="16"/>
            <w:u w:val="single" w:color="0000FF"/>
          </w:rPr>
          <w:t> </w:t>
        </w:r>
        <w:r>
          <w:rPr>
            <w:color w:val="0000FF"/>
            <w:w w:val="105"/>
            <w:sz w:val="16"/>
            <w:u w:val="single" w:color="0000FF"/>
          </w:rPr>
          <w:t>The</w:t>
        </w:r>
        <w:r>
          <w:rPr>
            <w:color w:val="0000FF"/>
            <w:spacing w:val="-10"/>
            <w:w w:val="105"/>
            <w:sz w:val="16"/>
            <w:u w:val="single" w:color="0000FF"/>
          </w:rPr>
          <w:t> </w:t>
        </w:r>
        <w:r>
          <w:rPr>
            <w:color w:val="0000FF"/>
            <w:w w:val="105"/>
            <w:sz w:val="16"/>
            <w:u w:val="single" w:color="0000FF"/>
          </w:rPr>
          <w:t>Dow</w:t>
        </w:r>
        <w:r>
          <w:rPr>
            <w:color w:val="0000FF"/>
            <w:spacing w:val="-11"/>
            <w:w w:val="105"/>
            <w:sz w:val="16"/>
            <w:u w:val="single" w:color="0000FF"/>
          </w:rPr>
          <w:t> </w:t>
        </w:r>
        <w:r>
          <w:rPr>
            <w:color w:val="0000FF"/>
            <w:w w:val="105"/>
            <w:sz w:val="16"/>
            <w:u w:val="single" w:color="0000FF"/>
          </w:rPr>
          <w:t>Chemical</w:t>
        </w:r>
        <w:r>
          <w:rPr>
            <w:color w:val="0000FF"/>
            <w:spacing w:val="-10"/>
            <w:w w:val="105"/>
            <w:sz w:val="16"/>
            <w:u w:val="single" w:color="0000FF"/>
          </w:rPr>
          <w:t> </w:t>
        </w:r>
        <w:r>
          <w:rPr>
            <w:color w:val="0000FF"/>
            <w:w w:val="105"/>
            <w:sz w:val="16"/>
            <w:u w:val="single" w:color="0000FF"/>
          </w:rPr>
          <w:t>Company,</w:t>
        </w:r>
        <w:r>
          <w:rPr>
            <w:color w:val="0000FF"/>
            <w:spacing w:val="-11"/>
            <w:w w:val="105"/>
            <w:sz w:val="16"/>
            <w:u w:val="single" w:color="0000FF"/>
          </w:rPr>
          <w:t> </w:t>
        </w:r>
        <w:r>
          <w:rPr>
            <w:color w:val="0000FF"/>
            <w:w w:val="105"/>
            <w:sz w:val="16"/>
            <w:u w:val="single" w:color="0000FF"/>
          </w:rPr>
          <w:t>Dow</w:t>
        </w:r>
        <w:r>
          <w:rPr>
            <w:color w:val="0000FF"/>
            <w:spacing w:val="-10"/>
            <w:w w:val="105"/>
            <w:sz w:val="16"/>
            <w:u w:val="single" w:color="0000FF"/>
          </w:rPr>
          <w:t> </w:t>
        </w:r>
        <w:r>
          <w:rPr>
            <w:color w:val="0000FF"/>
            <w:w w:val="105"/>
            <w:sz w:val="16"/>
            <w:u w:val="single" w:color="0000FF"/>
          </w:rPr>
          <w:t>Corning</w:t>
        </w:r>
        <w:r>
          <w:rPr>
            <w:color w:val="0000FF"/>
            <w:spacing w:val="-11"/>
            <w:w w:val="105"/>
            <w:sz w:val="16"/>
            <w:u w:val="single" w:color="0000FF"/>
          </w:rPr>
          <w:t> </w:t>
        </w:r>
        <w:r>
          <w:rPr>
            <w:color w:val="0000FF"/>
            <w:w w:val="105"/>
            <w:sz w:val="16"/>
            <w:u w:val="single" w:color="0000FF"/>
          </w:rPr>
          <w:t>Corporation</w:t>
        </w:r>
      </w:hyperlink>
      <w:r>
        <w:rPr>
          <w:color w:val="0000FF"/>
          <w:w w:val="105"/>
          <w:sz w:val="16"/>
        </w:rPr>
        <w:t> </w:t>
      </w:r>
      <w:hyperlink r:id="rId13">
        <w:r>
          <w:rPr>
            <w:color w:val="0000FF"/>
            <w:w w:val="105"/>
            <w:sz w:val="16"/>
            <w:u w:val="single" w:color="0000FF"/>
          </w:rPr>
          <w:t>and HS Upstate Inc. (Incorporated by reference to Exhibit 1.1 of Corning’s Form 8-K filed on December 11, 2015).</w:t>
        </w:r>
      </w:hyperlink>
    </w:p>
    <w:p>
      <w:pPr>
        <w:pStyle w:val="ListParagraph"/>
        <w:numPr>
          <w:ilvl w:val="1"/>
          <w:numId w:val="22"/>
        </w:numPr>
        <w:tabs>
          <w:tab w:pos="1659" w:val="left" w:leader="none"/>
        </w:tabs>
        <w:spacing w:line="266" w:lineRule="auto" w:before="0" w:after="0"/>
        <w:ind w:left="1659" w:right="150" w:hanging="1032"/>
        <w:jc w:val="left"/>
        <w:rPr>
          <w:sz w:val="16"/>
        </w:rPr>
      </w:pPr>
      <w:hyperlink r:id="rId14">
        <w:r>
          <w:rPr>
            <w:color w:val="0000FF"/>
            <w:w w:val="105"/>
            <w:sz w:val="16"/>
            <w:u w:val="single" w:color="0000FF"/>
          </w:rPr>
          <w:t>Assignment</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dated</w:t>
        </w:r>
        <w:r>
          <w:rPr>
            <w:color w:val="0000FF"/>
            <w:spacing w:val="-10"/>
            <w:w w:val="105"/>
            <w:sz w:val="16"/>
            <w:u w:val="single" w:color="0000FF"/>
          </w:rPr>
          <w:t> </w:t>
        </w:r>
        <w:r>
          <w:rPr>
            <w:color w:val="0000FF"/>
            <w:w w:val="105"/>
            <w:sz w:val="16"/>
            <w:u w:val="single" w:color="0000FF"/>
          </w:rPr>
          <w:t>as</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December</w:t>
        </w:r>
        <w:r>
          <w:rPr>
            <w:color w:val="0000FF"/>
            <w:spacing w:val="-10"/>
            <w:w w:val="105"/>
            <w:sz w:val="16"/>
            <w:u w:val="single" w:color="0000FF"/>
          </w:rPr>
          <w:t> </w:t>
        </w:r>
        <w:r>
          <w:rPr>
            <w:color w:val="0000FF"/>
            <w:w w:val="105"/>
            <w:sz w:val="16"/>
            <w:u w:val="single" w:color="0000FF"/>
          </w:rPr>
          <w:t>29,</w:t>
        </w:r>
        <w:r>
          <w:rPr>
            <w:color w:val="0000FF"/>
            <w:spacing w:val="-10"/>
            <w:w w:val="105"/>
            <w:sz w:val="16"/>
            <w:u w:val="single" w:color="0000FF"/>
          </w:rPr>
          <w:t> </w:t>
        </w:r>
        <w:r>
          <w:rPr>
            <w:color w:val="0000FF"/>
            <w:w w:val="105"/>
            <w:sz w:val="16"/>
            <w:u w:val="single" w:color="0000FF"/>
          </w:rPr>
          <w:t>2015,</w:t>
        </w:r>
        <w:r>
          <w:rPr>
            <w:color w:val="0000FF"/>
            <w:spacing w:val="-10"/>
            <w:w w:val="105"/>
            <w:sz w:val="16"/>
            <w:u w:val="single" w:color="0000FF"/>
          </w:rPr>
          <w:t> </w:t>
        </w:r>
        <w:r>
          <w:rPr>
            <w:color w:val="0000FF"/>
            <w:w w:val="105"/>
            <w:sz w:val="16"/>
            <w:u w:val="single" w:color="0000FF"/>
          </w:rPr>
          <w:t>between</w:t>
        </w:r>
        <w:r>
          <w:rPr>
            <w:color w:val="0000FF"/>
            <w:spacing w:val="-10"/>
            <w:w w:val="105"/>
            <w:sz w:val="16"/>
            <w:u w:val="single" w:color="0000FF"/>
          </w:rPr>
          <w:t> </w:t>
        </w:r>
        <w:r>
          <w:rPr>
            <w:color w:val="0000FF"/>
            <w:w w:val="105"/>
            <w:sz w:val="16"/>
            <w:u w:val="single" w:color="0000FF"/>
          </w:rPr>
          <w:t>Samsung</w:t>
        </w:r>
        <w:r>
          <w:rPr>
            <w:color w:val="0000FF"/>
            <w:spacing w:val="-10"/>
            <w:w w:val="105"/>
            <w:sz w:val="16"/>
            <w:u w:val="single" w:color="0000FF"/>
          </w:rPr>
          <w:t> </w:t>
        </w:r>
        <w:r>
          <w:rPr>
            <w:color w:val="0000FF"/>
            <w:w w:val="105"/>
            <w:sz w:val="16"/>
            <w:u w:val="single" w:color="0000FF"/>
          </w:rPr>
          <w:t>Display</w:t>
        </w:r>
        <w:r>
          <w:rPr>
            <w:color w:val="0000FF"/>
            <w:spacing w:val="-10"/>
            <w:w w:val="105"/>
            <w:sz w:val="16"/>
            <w:u w:val="single" w:color="0000FF"/>
          </w:rPr>
          <w:t> </w:t>
        </w:r>
        <w:r>
          <w:rPr>
            <w:color w:val="0000FF"/>
            <w:w w:val="105"/>
            <w:sz w:val="16"/>
            <w:u w:val="single" w:color="0000FF"/>
          </w:rPr>
          <w:t>Co.,</w:t>
        </w:r>
        <w:r>
          <w:rPr>
            <w:color w:val="0000FF"/>
            <w:spacing w:val="-10"/>
            <w:w w:val="105"/>
            <w:sz w:val="16"/>
            <w:u w:val="single" w:color="0000FF"/>
          </w:rPr>
          <w:t> </w:t>
        </w:r>
        <w:r>
          <w:rPr>
            <w:color w:val="0000FF"/>
            <w:w w:val="105"/>
            <w:sz w:val="16"/>
            <w:u w:val="single" w:color="0000FF"/>
          </w:rPr>
          <w:t>Ltd.,</w:t>
        </w:r>
        <w:r>
          <w:rPr>
            <w:color w:val="0000FF"/>
            <w:spacing w:val="-10"/>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Precision</w:t>
        </w:r>
        <w:r>
          <w:rPr>
            <w:color w:val="0000FF"/>
            <w:spacing w:val="-10"/>
            <w:w w:val="105"/>
            <w:sz w:val="16"/>
            <w:u w:val="single" w:color="0000FF"/>
          </w:rPr>
          <w:t> </w:t>
        </w:r>
        <w:r>
          <w:rPr>
            <w:color w:val="0000FF"/>
            <w:w w:val="105"/>
            <w:sz w:val="16"/>
            <w:u w:val="single" w:color="0000FF"/>
          </w:rPr>
          <w:t>Materials</w:t>
        </w:r>
        <w:r>
          <w:rPr>
            <w:color w:val="0000FF"/>
            <w:spacing w:val="-10"/>
            <w:w w:val="105"/>
            <w:sz w:val="16"/>
            <w:u w:val="single" w:color="0000FF"/>
          </w:rPr>
          <w:t> </w:t>
        </w:r>
        <w:r>
          <w:rPr>
            <w:color w:val="0000FF"/>
            <w:w w:val="105"/>
            <w:sz w:val="16"/>
            <w:u w:val="single" w:color="0000FF"/>
          </w:rPr>
          <w:t>Co.,</w:t>
        </w:r>
      </w:hyperlink>
      <w:r>
        <w:rPr>
          <w:color w:val="0000FF"/>
          <w:w w:val="105"/>
          <w:sz w:val="16"/>
        </w:rPr>
        <w:t> </w:t>
      </w:r>
      <w:hyperlink r:id="rId14">
        <w:r>
          <w:rPr>
            <w:color w:val="0000FF"/>
            <w:w w:val="105"/>
            <w:sz w:val="16"/>
            <w:u w:val="single" w:color="0000FF"/>
          </w:rPr>
          <w:t>Ltd.,</w:t>
        </w:r>
        <w:r>
          <w:rPr>
            <w:color w:val="0000FF"/>
            <w:spacing w:val="-1"/>
            <w:w w:val="105"/>
            <w:sz w:val="16"/>
            <w:u w:val="single" w:color="0000FF"/>
          </w:rPr>
          <w:t> </w:t>
        </w:r>
        <w:r>
          <w:rPr>
            <w:color w:val="0000FF"/>
            <w:w w:val="105"/>
            <w:sz w:val="16"/>
            <w:u w:val="single" w:color="0000FF"/>
          </w:rPr>
          <w:t>and</w:t>
        </w:r>
        <w:r>
          <w:rPr>
            <w:color w:val="0000FF"/>
            <w:spacing w:val="-1"/>
            <w:w w:val="105"/>
            <w:sz w:val="16"/>
            <w:u w:val="single" w:color="0000FF"/>
          </w:rPr>
          <w:t> </w:t>
        </w:r>
        <w:r>
          <w:rPr>
            <w:color w:val="0000FF"/>
            <w:w w:val="105"/>
            <w:sz w:val="16"/>
            <w:u w:val="single" w:color="0000FF"/>
          </w:rPr>
          <w:t>Corning</w:t>
        </w:r>
        <w:r>
          <w:rPr>
            <w:color w:val="0000FF"/>
            <w:spacing w:val="-1"/>
            <w:w w:val="105"/>
            <w:sz w:val="16"/>
            <w:u w:val="single" w:color="0000FF"/>
          </w:rPr>
          <w:t> </w:t>
        </w:r>
        <w:r>
          <w:rPr>
            <w:color w:val="0000FF"/>
            <w:w w:val="105"/>
            <w:sz w:val="16"/>
            <w:u w:val="single" w:color="0000FF"/>
          </w:rPr>
          <w:t>Luxembourg</w:t>
        </w:r>
        <w:r>
          <w:rPr>
            <w:color w:val="0000FF"/>
            <w:spacing w:val="-1"/>
            <w:w w:val="105"/>
            <w:sz w:val="16"/>
            <w:u w:val="single" w:color="0000FF"/>
          </w:rPr>
          <w:t> </w:t>
        </w:r>
        <w:r>
          <w:rPr>
            <w:color w:val="0000FF"/>
            <w:w w:val="105"/>
            <w:sz w:val="16"/>
            <w:u w:val="single" w:color="0000FF"/>
          </w:rPr>
          <w:t>S.àr.l.,</w:t>
        </w:r>
        <w:r>
          <w:rPr>
            <w:color w:val="0000FF"/>
            <w:spacing w:val="-1"/>
            <w:w w:val="105"/>
            <w:sz w:val="16"/>
            <w:u w:val="single" w:color="0000FF"/>
          </w:rPr>
          <w:t> </w:t>
        </w:r>
        <w:r>
          <w:rPr>
            <w:color w:val="0000FF"/>
            <w:w w:val="105"/>
            <w:sz w:val="16"/>
            <w:u w:val="single" w:color="0000FF"/>
          </w:rPr>
          <w:t>Corning</w:t>
        </w:r>
        <w:r>
          <w:rPr>
            <w:color w:val="0000FF"/>
            <w:spacing w:val="-1"/>
            <w:w w:val="105"/>
            <w:sz w:val="16"/>
            <w:u w:val="single" w:color="0000FF"/>
          </w:rPr>
          <w:t> </w:t>
        </w:r>
        <w:r>
          <w:rPr>
            <w:color w:val="0000FF"/>
            <w:w w:val="105"/>
            <w:sz w:val="16"/>
            <w:u w:val="single" w:color="0000FF"/>
          </w:rPr>
          <w:t>Hungary</w:t>
        </w:r>
        <w:r>
          <w:rPr>
            <w:color w:val="0000FF"/>
            <w:spacing w:val="-1"/>
            <w:w w:val="105"/>
            <w:sz w:val="16"/>
            <w:u w:val="single" w:color="0000FF"/>
          </w:rPr>
          <w:t> </w:t>
        </w:r>
        <w:r>
          <w:rPr>
            <w:color w:val="0000FF"/>
            <w:w w:val="105"/>
            <w:sz w:val="16"/>
            <w:u w:val="single" w:color="0000FF"/>
          </w:rPr>
          <w:t>Data</w:t>
        </w:r>
        <w:r>
          <w:rPr>
            <w:color w:val="0000FF"/>
            <w:spacing w:val="-1"/>
            <w:w w:val="105"/>
            <w:sz w:val="16"/>
            <w:u w:val="single" w:color="0000FF"/>
          </w:rPr>
          <w:t> </w:t>
        </w:r>
        <w:r>
          <w:rPr>
            <w:color w:val="0000FF"/>
            <w:w w:val="105"/>
            <w:sz w:val="16"/>
            <w:u w:val="single" w:color="0000FF"/>
          </w:rPr>
          <w:t>Services</w:t>
        </w:r>
        <w:r>
          <w:rPr>
            <w:color w:val="0000FF"/>
            <w:spacing w:val="-1"/>
            <w:w w:val="105"/>
            <w:sz w:val="16"/>
            <w:u w:val="single" w:color="0000FF"/>
          </w:rPr>
          <w:t> </w:t>
        </w:r>
        <w:r>
          <w:rPr>
            <w:color w:val="0000FF"/>
            <w:w w:val="105"/>
            <w:sz w:val="16"/>
            <w:u w:val="single" w:color="0000FF"/>
          </w:rPr>
          <w:t>Limited</w:t>
        </w:r>
        <w:r>
          <w:rPr>
            <w:color w:val="0000FF"/>
            <w:spacing w:val="-1"/>
            <w:w w:val="105"/>
            <w:sz w:val="16"/>
            <w:u w:val="single" w:color="0000FF"/>
          </w:rPr>
          <w:t> </w:t>
        </w:r>
        <w:r>
          <w:rPr>
            <w:color w:val="0000FF"/>
            <w:w w:val="105"/>
            <w:sz w:val="16"/>
            <w:u w:val="single" w:color="0000FF"/>
          </w:rPr>
          <w:t>Liability</w:t>
        </w:r>
        <w:r>
          <w:rPr>
            <w:color w:val="0000FF"/>
            <w:spacing w:val="-1"/>
            <w:w w:val="105"/>
            <w:sz w:val="16"/>
            <w:u w:val="single" w:color="0000FF"/>
          </w:rPr>
          <w:t> </w:t>
        </w:r>
        <w:r>
          <w:rPr>
            <w:color w:val="0000FF"/>
            <w:w w:val="105"/>
            <w:sz w:val="16"/>
            <w:u w:val="single" w:color="0000FF"/>
          </w:rPr>
          <w:t>Company,</w:t>
        </w:r>
        <w:r>
          <w:rPr>
            <w:color w:val="0000FF"/>
            <w:spacing w:val="-1"/>
            <w:w w:val="105"/>
            <w:sz w:val="16"/>
            <w:u w:val="single" w:color="0000FF"/>
          </w:rPr>
          <w:t> </w:t>
        </w:r>
        <w:r>
          <w:rPr>
            <w:color w:val="0000FF"/>
            <w:w w:val="105"/>
            <w:sz w:val="16"/>
            <w:u w:val="single" w:color="0000FF"/>
          </w:rPr>
          <w:t>Corning</w:t>
        </w:r>
        <w:r>
          <w:rPr>
            <w:color w:val="0000FF"/>
            <w:spacing w:val="-1"/>
            <w:w w:val="105"/>
            <w:sz w:val="16"/>
            <w:u w:val="single" w:color="0000FF"/>
          </w:rPr>
          <w:t> </w:t>
        </w:r>
        <w:r>
          <w:rPr>
            <w:color w:val="0000FF"/>
            <w:w w:val="105"/>
            <w:sz w:val="16"/>
            <w:u w:val="single" w:color="0000FF"/>
          </w:rPr>
          <w:t>Japan</w:t>
        </w:r>
        <w:r>
          <w:rPr>
            <w:color w:val="0000FF"/>
            <w:spacing w:val="-1"/>
            <w:w w:val="105"/>
            <w:sz w:val="16"/>
            <w:u w:val="single" w:color="0000FF"/>
          </w:rPr>
          <w:t> </w:t>
        </w:r>
        <w:r>
          <w:rPr>
            <w:color w:val="0000FF"/>
            <w:w w:val="105"/>
            <w:sz w:val="16"/>
            <w:u w:val="single" w:color="0000FF"/>
          </w:rPr>
          <w:t>K.K.,</w:t>
        </w:r>
        <w:r>
          <w:rPr>
            <w:color w:val="0000FF"/>
            <w:spacing w:val="-1"/>
            <w:w w:val="105"/>
            <w:sz w:val="16"/>
            <w:u w:val="single" w:color="0000FF"/>
          </w:rPr>
          <w:t> </w:t>
        </w:r>
        <w:r>
          <w:rPr>
            <w:color w:val="0000FF"/>
            <w:w w:val="105"/>
            <w:sz w:val="16"/>
            <w:u w:val="single" w:color="0000FF"/>
          </w:rPr>
          <w:t>and</w:t>
        </w:r>
        <w:r>
          <w:rPr>
            <w:color w:val="0000FF"/>
            <w:spacing w:val="-1"/>
            <w:w w:val="105"/>
            <w:sz w:val="16"/>
            <w:u w:val="single" w:color="0000FF"/>
          </w:rPr>
          <w:t> </w:t>
        </w:r>
        <w:r>
          <w:rPr>
            <w:color w:val="0000FF"/>
            <w:w w:val="105"/>
            <w:sz w:val="16"/>
            <w:u w:val="single" w:color="0000FF"/>
          </w:rPr>
          <w:t>Samsung</w:t>
        </w:r>
        <w:r>
          <w:rPr>
            <w:color w:val="0000FF"/>
            <w:spacing w:val="-1"/>
            <w:w w:val="105"/>
            <w:sz w:val="16"/>
            <w:u w:val="single" w:color="0000FF"/>
          </w:rPr>
          <w:t> </w:t>
        </w:r>
        <w:r>
          <w:rPr>
            <w:color w:val="0000FF"/>
            <w:w w:val="105"/>
            <w:sz w:val="16"/>
            <w:u w:val="single" w:color="0000FF"/>
          </w:rPr>
          <w:t>Corning</w:t>
        </w:r>
      </w:hyperlink>
      <w:r>
        <w:rPr>
          <w:color w:val="0000FF"/>
          <w:w w:val="105"/>
          <w:sz w:val="16"/>
        </w:rPr>
        <w:t> </w:t>
      </w:r>
      <w:hyperlink r:id="rId14">
        <w:r>
          <w:rPr>
            <w:color w:val="0000FF"/>
            <w:w w:val="105"/>
            <w:sz w:val="16"/>
            <w:u w:val="single" w:color="0000FF"/>
          </w:rPr>
          <w:t>Advanced Glass LLC (Incorporated by reference to Exhibit 2.1 of Corning’s Form 8-K filed on December 29, 2015).</w:t>
        </w:r>
      </w:hyperlink>
    </w:p>
    <w:p>
      <w:pPr>
        <w:pStyle w:val="ListParagraph"/>
        <w:numPr>
          <w:ilvl w:val="1"/>
          <w:numId w:val="23"/>
        </w:numPr>
        <w:tabs>
          <w:tab w:pos="1659" w:val="left" w:leader="none"/>
        </w:tabs>
        <w:spacing w:line="266" w:lineRule="auto" w:before="0" w:after="0"/>
        <w:ind w:left="1659" w:right="207" w:hanging="1032"/>
        <w:jc w:val="left"/>
        <w:rPr>
          <w:sz w:val="16"/>
        </w:rPr>
      </w:pPr>
      <w:hyperlink r:id="rId15">
        <w:r>
          <w:rPr>
            <w:color w:val="0000FF"/>
            <w:w w:val="105"/>
            <w:sz w:val="16"/>
            <w:u w:val="single" w:color="0000FF"/>
          </w:rPr>
          <w:t>Restated</w:t>
        </w:r>
        <w:r>
          <w:rPr>
            <w:color w:val="0000FF"/>
            <w:spacing w:val="-8"/>
            <w:w w:val="105"/>
            <w:sz w:val="16"/>
            <w:u w:val="single" w:color="0000FF"/>
          </w:rPr>
          <w:t> </w:t>
        </w:r>
        <w:r>
          <w:rPr>
            <w:color w:val="0000FF"/>
            <w:w w:val="105"/>
            <w:sz w:val="16"/>
            <w:u w:val="single" w:color="0000FF"/>
          </w:rPr>
          <w:t>Certificate</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Incorporation</w:t>
        </w:r>
        <w:r>
          <w:rPr>
            <w:color w:val="0000FF"/>
            <w:spacing w:val="-8"/>
            <w:w w:val="105"/>
            <w:sz w:val="16"/>
            <w:u w:val="single" w:color="0000FF"/>
          </w:rPr>
          <w:t> </w:t>
        </w:r>
        <w:r>
          <w:rPr>
            <w:color w:val="0000FF"/>
            <w:w w:val="105"/>
            <w:sz w:val="16"/>
            <w:u w:val="single" w:color="0000FF"/>
          </w:rPr>
          <w:t>dated</w:t>
        </w:r>
        <w:r>
          <w:rPr>
            <w:color w:val="0000FF"/>
            <w:spacing w:val="-8"/>
            <w:w w:val="105"/>
            <w:sz w:val="16"/>
            <w:u w:val="single" w:color="0000FF"/>
          </w:rPr>
          <w:t> </w:t>
        </w:r>
        <w:r>
          <w:rPr>
            <w:color w:val="0000FF"/>
            <w:w w:val="105"/>
            <w:sz w:val="16"/>
            <w:u w:val="single" w:color="0000FF"/>
          </w:rPr>
          <w:t>April</w:t>
        </w:r>
        <w:r>
          <w:rPr>
            <w:color w:val="0000FF"/>
            <w:spacing w:val="-8"/>
            <w:w w:val="105"/>
            <w:sz w:val="16"/>
            <w:u w:val="single" w:color="0000FF"/>
          </w:rPr>
          <w:t> </w:t>
        </w:r>
        <w:r>
          <w:rPr>
            <w:color w:val="0000FF"/>
            <w:w w:val="105"/>
            <w:sz w:val="16"/>
            <w:u w:val="single" w:color="0000FF"/>
          </w:rPr>
          <w:t>27,</w:t>
        </w:r>
        <w:r>
          <w:rPr>
            <w:color w:val="0000FF"/>
            <w:spacing w:val="-8"/>
            <w:w w:val="105"/>
            <w:sz w:val="16"/>
            <w:u w:val="single" w:color="0000FF"/>
          </w:rPr>
          <w:t> </w:t>
        </w:r>
        <w:r>
          <w:rPr>
            <w:color w:val="0000FF"/>
            <w:w w:val="105"/>
            <w:sz w:val="16"/>
            <w:u w:val="single" w:color="0000FF"/>
          </w:rPr>
          <w:t>2012,</w:t>
        </w:r>
        <w:r>
          <w:rPr>
            <w:color w:val="0000FF"/>
            <w:spacing w:val="-8"/>
            <w:w w:val="105"/>
            <w:sz w:val="16"/>
            <w:u w:val="single" w:color="0000FF"/>
          </w:rPr>
          <w:t> </w:t>
        </w:r>
        <w:r>
          <w:rPr>
            <w:color w:val="0000FF"/>
            <w:w w:val="105"/>
            <w:sz w:val="16"/>
            <w:u w:val="single" w:color="0000FF"/>
          </w:rPr>
          <w:t>filed</w:t>
        </w:r>
        <w:r>
          <w:rPr>
            <w:color w:val="0000FF"/>
            <w:spacing w:val="-8"/>
            <w:w w:val="105"/>
            <w:sz w:val="16"/>
            <w:u w:val="single" w:color="0000FF"/>
          </w:rPr>
          <w:t> </w:t>
        </w:r>
        <w:r>
          <w:rPr>
            <w:color w:val="0000FF"/>
            <w:w w:val="105"/>
            <w:sz w:val="16"/>
            <w:u w:val="single" w:color="0000FF"/>
          </w:rPr>
          <w:t>with</w:t>
        </w:r>
        <w:r>
          <w:rPr>
            <w:color w:val="0000FF"/>
            <w:spacing w:val="-8"/>
            <w:w w:val="105"/>
            <w:sz w:val="16"/>
            <w:u w:val="single" w:color="0000FF"/>
          </w:rPr>
          <w:t> </w:t>
        </w:r>
        <w:r>
          <w:rPr>
            <w:color w:val="0000FF"/>
            <w:w w:val="105"/>
            <w:sz w:val="16"/>
            <w:u w:val="single" w:color="0000FF"/>
          </w:rPr>
          <w:t>the</w:t>
        </w:r>
        <w:r>
          <w:rPr>
            <w:color w:val="0000FF"/>
            <w:spacing w:val="-8"/>
            <w:w w:val="105"/>
            <w:sz w:val="16"/>
            <w:u w:val="single" w:color="0000FF"/>
          </w:rPr>
          <w:t> </w:t>
        </w:r>
        <w:r>
          <w:rPr>
            <w:color w:val="0000FF"/>
            <w:w w:val="105"/>
            <w:sz w:val="16"/>
            <w:u w:val="single" w:color="0000FF"/>
          </w:rPr>
          <w:t>Secretary</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State</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the</w:t>
        </w:r>
        <w:r>
          <w:rPr>
            <w:color w:val="0000FF"/>
            <w:spacing w:val="-8"/>
            <w:w w:val="105"/>
            <w:sz w:val="16"/>
            <w:u w:val="single" w:color="0000FF"/>
          </w:rPr>
          <w:t> </w:t>
        </w:r>
        <w:r>
          <w:rPr>
            <w:color w:val="0000FF"/>
            <w:w w:val="105"/>
            <w:sz w:val="16"/>
            <w:u w:val="single" w:color="0000FF"/>
          </w:rPr>
          <w:t>State</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New</w:t>
        </w:r>
        <w:r>
          <w:rPr>
            <w:color w:val="0000FF"/>
            <w:spacing w:val="-8"/>
            <w:w w:val="105"/>
            <w:sz w:val="16"/>
            <w:u w:val="single" w:color="0000FF"/>
          </w:rPr>
          <w:t> </w:t>
        </w:r>
        <w:r>
          <w:rPr>
            <w:color w:val="0000FF"/>
            <w:w w:val="105"/>
            <w:sz w:val="16"/>
            <w:u w:val="single" w:color="0000FF"/>
          </w:rPr>
          <w:t>York</w:t>
        </w:r>
        <w:r>
          <w:rPr>
            <w:color w:val="0000FF"/>
            <w:spacing w:val="-8"/>
            <w:w w:val="105"/>
            <w:sz w:val="16"/>
            <w:u w:val="single" w:color="0000FF"/>
          </w:rPr>
          <w:t> </w:t>
        </w:r>
        <w:r>
          <w:rPr>
            <w:color w:val="0000FF"/>
            <w:w w:val="105"/>
            <w:sz w:val="16"/>
            <w:u w:val="single" w:color="0000FF"/>
          </w:rPr>
          <w:t>on</w:t>
        </w:r>
        <w:r>
          <w:rPr>
            <w:color w:val="0000FF"/>
            <w:spacing w:val="-8"/>
            <w:w w:val="105"/>
            <w:sz w:val="16"/>
            <w:u w:val="single" w:color="0000FF"/>
          </w:rPr>
          <w:t> </w:t>
        </w:r>
        <w:r>
          <w:rPr>
            <w:color w:val="0000FF"/>
            <w:w w:val="105"/>
            <w:sz w:val="16"/>
            <w:u w:val="single" w:color="0000FF"/>
          </w:rPr>
          <w:t>April</w:t>
        </w:r>
        <w:r>
          <w:rPr>
            <w:color w:val="0000FF"/>
            <w:spacing w:val="-8"/>
            <w:w w:val="105"/>
            <w:sz w:val="16"/>
            <w:u w:val="single" w:color="0000FF"/>
          </w:rPr>
          <w:t> </w:t>
        </w:r>
        <w:r>
          <w:rPr>
            <w:color w:val="0000FF"/>
            <w:w w:val="105"/>
            <w:sz w:val="16"/>
            <w:u w:val="single" w:color="0000FF"/>
          </w:rPr>
          <w:t>27,</w:t>
        </w:r>
        <w:r>
          <w:rPr>
            <w:color w:val="0000FF"/>
            <w:spacing w:val="-8"/>
            <w:w w:val="105"/>
            <w:sz w:val="16"/>
            <w:u w:val="single" w:color="0000FF"/>
          </w:rPr>
          <w:t> </w:t>
        </w:r>
        <w:r>
          <w:rPr>
            <w:color w:val="0000FF"/>
            <w:w w:val="105"/>
            <w:sz w:val="16"/>
            <w:u w:val="single" w:color="0000FF"/>
          </w:rPr>
          <w:t>2012</w:t>
        </w:r>
        <w:r>
          <w:rPr>
            <w:color w:val="0000FF"/>
            <w:spacing w:val="-6"/>
            <w:w w:val="105"/>
            <w:sz w:val="16"/>
            <w:u w:val="single" w:color="0000FF"/>
          </w:rPr>
          <w:t> </w:t>
        </w:r>
        <w:r>
          <w:rPr>
            <w:color w:val="0000FF"/>
            <w:w w:val="105"/>
            <w:sz w:val="16"/>
            <w:u w:val="single" w:color="0000FF"/>
          </w:rPr>
          <w:t>(Incorporated</w:t>
        </w:r>
      </w:hyperlink>
      <w:r>
        <w:rPr>
          <w:color w:val="0000FF"/>
          <w:w w:val="105"/>
          <w:sz w:val="16"/>
        </w:rPr>
        <w:t> </w:t>
      </w:r>
      <w:hyperlink r:id="rId15">
        <w:r>
          <w:rPr>
            <w:color w:val="0000FF"/>
            <w:w w:val="105"/>
            <w:sz w:val="16"/>
            <w:u w:val="single" w:color="0000FF"/>
          </w:rPr>
          <w:t>by reference to Exhibit 3(i) 1 of Corning’s Form 8-K filed on May 1, 2012).</w:t>
        </w:r>
      </w:hyperlink>
    </w:p>
    <w:p>
      <w:pPr>
        <w:pStyle w:val="ListParagraph"/>
        <w:numPr>
          <w:ilvl w:val="1"/>
          <w:numId w:val="23"/>
        </w:numPr>
        <w:tabs>
          <w:tab w:pos="1659" w:val="left" w:leader="none"/>
        </w:tabs>
        <w:spacing w:line="266" w:lineRule="auto" w:before="0" w:after="0"/>
        <w:ind w:left="1659" w:right="389" w:hanging="1032"/>
        <w:jc w:val="left"/>
        <w:rPr>
          <w:sz w:val="16"/>
        </w:rPr>
      </w:pPr>
      <w:hyperlink r:id="rId16">
        <w:r>
          <w:rPr>
            <w:color w:val="0000FF"/>
            <w:w w:val="105"/>
            <w:sz w:val="16"/>
            <w:u w:val="single" w:color="0000FF"/>
          </w:rPr>
          <w:t>Certificate</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Amendment</w:t>
        </w:r>
        <w:r>
          <w:rPr>
            <w:color w:val="0000FF"/>
            <w:spacing w:val="-8"/>
            <w:w w:val="105"/>
            <w:sz w:val="16"/>
            <w:u w:val="single" w:color="0000FF"/>
          </w:rPr>
          <w:t> </w:t>
        </w:r>
        <w:r>
          <w:rPr>
            <w:color w:val="0000FF"/>
            <w:w w:val="105"/>
            <w:sz w:val="16"/>
            <w:u w:val="single" w:color="0000FF"/>
          </w:rPr>
          <w:t>to</w:t>
        </w:r>
        <w:r>
          <w:rPr>
            <w:color w:val="0000FF"/>
            <w:spacing w:val="-8"/>
            <w:w w:val="105"/>
            <w:sz w:val="16"/>
            <w:u w:val="single" w:color="0000FF"/>
          </w:rPr>
          <w:t> </w:t>
        </w:r>
        <w:r>
          <w:rPr>
            <w:color w:val="0000FF"/>
            <w:w w:val="105"/>
            <w:sz w:val="16"/>
            <w:u w:val="single" w:color="0000FF"/>
          </w:rPr>
          <w:t>the</w:t>
        </w:r>
        <w:r>
          <w:rPr>
            <w:color w:val="0000FF"/>
            <w:spacing w:val="-8"/>
            <w:w w:val="105"/>
            <w:sz w:val="16"/>
            <w:u w:val="single" w:color="0000FF"/>
          </w:rPr>
          <w:t> </w:t>
        </w:r>
        <w:r>
          <w:rPr>
            <w:color w:val="0000FF"/>
            <w:w w:val="105"/>
            <w:sz w:val="16"/>
            <w:u w:val="single" w:color="0000FF"/>
          </w:rPr>
          <w:t>Restated</w:t>
        </w:r>
        <w:r>
          <w:rPr>
            <w:color w:val="0000FF"/>
            <w:spacing w:val="-8"/>
            <w:w w:val="105"/>
            <w:sz w:val="16"/>
            <w:u w:val="single" w:color="0000FF"/>
          </w:rPr>
          <w:t> </w:t>
        </w:r>
        <w:r>
          <w:rPr>
            <w:color w:val="0000FF"/>
            <w:w w:val="105"/>
            <w:sz w:val="16"/>
            <w:u w:val="single" w:color="0000FF"/>
          </w:rPr>
          <w:t>Certificate</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Incorporation</w:t>
        </w:r>
        <w:r>
          <w:rPr>
            <w:color w:val="0000FF"/>
            <w:spacing w:val="-8"/>
            <w:w w:val="105"/>
            <w:sz w:val="16"/>
            <w:u w:val="single" w:color="0000FF"/>
          </w:rPr>
          <w:t> </w:t>
        </w:r>
        <w:r>
          <w:rPr>
            <w:color w:val="0000FF"/>
            <w:w w:val="105"/>
            <w:sz w:val="16"/>
            <w:u w:val="single" w:color="0000FF"/>
          </w:rPr>
          <w:t>dated</w:t>
        </w:r>
        <w:r>
          <w:rPr>
            <w:color w:val="0000FF"/>
            <w:spacing w:val="-8"/>
            <w:w w:val="105"/>
            <w:sz w:val="16"/>
            <w:u w:val="single" w:color="0000FF"/>
          </w:rPr>
          <w:t> </w:t>
        </w:r>
        <w:r>
          <w:rPr>
            <w:color w:val="0000FF"/>
            <w:w w:val="105"/>
            <w:sz w:val="16"/>
            <w:u w:val="single" w:color="0000FF"/>
          </w:rPr>
          <w:t>January</w:t>
        </w:r>
        <w:r>
          <w:rPr>
            <w:color w:val="0000FF"/>
            <w:spacing w:val="-8"/>
            <w:w w:val="105"/>
            <w:sz w:val="16"/>
            <w:u w:val="single" w:color="0000FF"/>
          </w:rPr>
          <w:t> </w:t>
        </w:r>
        <w:r>
          <w:rPr>
            <w:color w:val="0000FF"/>
            <w:w w:val="105"/>
            <w:sz w:val="16"/>
            <w:u w:val="single" w:color="0000FF"/>
          </w:rPr>
          <w:t>14,</w:t>
        </w:r>
        <w:r>
          <w:rPr>
            <w:color w:val="0000FF"/>
            <w:spacing w:val="-8"/>
            <w:w w:val="105"/>
            <w:sz w:val="16"/>
            <w:u w:val="single" w:color="0000FF"/>
          </w:rPr>
          <w:t> </w:t>
        </w:r>
        <w:r>
          <w:rPr>
            <w:color w:val="0000FF"/>
            <w:w w:val="105"/>
            <w:sz w:val="16"/>
            <w:u w:val="single" w:color="0000FF"/>
          </w:rPr>
          <w:t>2014,</w:t>
        </w:r>
        <w:r>
          <w:rPr>
            <w:color w:val="0000FF"/>
            <w:spacing w:val="-8"/>
            <w:w w:val="105"/>
            <w:sz w:val="16"/>
            <w:u w:val="single" w:color="0000FF"/>
          </w:rPr>
          <w:t> </w:t>
        </w:r>
        <w:r>
          <w:rPr>
            <w:color w:val="0000FF"/>
            <w:w w:val="105"/>
            <w:sz w:val="16"/>
            <w:u w:val="single" w:color="0000FF"/>
          </w:rPr>
          <w:t>filed</w:t>
        </w:r>
        <w:r>
          <w:rPr>
            <w:color w:val="0000FF"/>
            <w:spacing w:val="-8"/>
            <w:w w:val="105"/>
            <w:sz w:val="16"/>
            <w:u w:val="single" w:color="0000FF"/>
          </w:rPr>
          <w:t> </w:t>
        </w:r>
        <w:r>
          <w:rPr>
            <w:color w:val="0000FF"/>
            <w:w w:val="105"/>
            <w:sz w:val="16"/>
            <w:u w:val="single" w:color="0000FF"/>
          </w:rPr>
          <w:t>with</w:t>
        </w:r>
        <w:r>
          <w:rPr>
            <w:color w:val="0000FF"/>
            <w:spacing w:val="-8"/>
            <w:w w:val="105"/>
            <w:sz w:val="16"/>
            <w:u w:val="single" w:color="0000FF"/>
          </w:rPr>
          <w:t> </w:t>
        </w:r>
        <w:r>
          <w:rPr>
            <w:color w:val="0000FF"/>
            <w:w w:val="105"/>
            <w:sz w:val="16"/>
            <w:u w:val="single" w:color="0000FF"/>
          </w:rPr>
          <w:t>the</w:t>
        </w:r>
        <w:r>
          <w:rPr>
            <w:color w:val="0000FF"/>
            <w:spacing w:val="-8"/>
            <w:w w:val="105"/>
            <w:sz w:val="16"/>
            <w:u w:val="single" w:color="0000FF"/>
          </w:rPr>
          <w:t> </w:t>
        </w:r>
        <w:r>
          <w:rPr>
            <w:color w:val="0000FF"/>
            <w:w w:val="105"/>
            <w:sz w:val="16"/>
            <w:u w:val="single" w:color="0000FF"/>
          </w:rPr>
          <w:t>Secretary</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State</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the</w:t>
        </w:r>
        <w:r>
          <w:rPr>
            <w:color w:val="0000FF"/>
            <w:spacing w:val="-8"/>
            <w:w w:val="105"/>
            <w:sz w:val="16"/>
            <w:u w:val="single" w:color="0000FF"/>
          </w:rPr>
          <w:t> </w:t>
        </w:r>
        <w:r>
          <w:rPr>
            <w:color w:val="0000FF"/>
            <w:w w:val="105"/>
            <w:sz w:val="16"/>
            <w:u w:val="single" w:color="0000FF"/>
          </w:rPr>
          <w:t>State</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New</w:t>
        </w:r>
      </w:hyperlink>
      <w:r>
        <w:rPr>
          <w:color w:val="0000FF"/>
          <w:w w:val="105"/>
          <w:sz w:val="16"/>
        </w:rPr>
        <w:t> </w:t>
      </w:r>
      <w:hyperlink r:id="rId16">
        <w:r>
          <w:rPr>
            <w:color w:val="0000FF"/>
            <w:w w:val="105"/>
            <w:sz w:val="16"/>
            <w:u w:val="single" w:color="0000FF"/>
          </w:rPr>
          <w:t>York on January 14, 2014 (Incorporated by reference to Exhibit 3.1 of Corning’s Form 8-K filed on January 15, 2014).</w:t>
        </w:r>
      </w:hyperlink>
    </w:p>
    <w:p>
      <w:pPr>
        <w:pStyle w:val="ListParagraph"/>
        <w:numPr>
          <w:ilvl w:val="1"/>
          <w:numId w:val="23"/>
        </w:numPr>
        <w:tabs>
          <w:tab w:pos="1659" w:val="left" w:leader="none"/>
        </w:tabs>
        <w:spacing w:line="266" w:lineRule="auto" w:before="0" w:after="0"/>
        <w:ind w:left="1659" w:right="438" w:hanging="1032"/>
        <w:jc w:val="left"/>
        <w:rPr>
          <w:sz w:val="16"/>
        </w:rPr>
      </w:pPr>
      <w:hyperlink r:id="rId17">
        <w:r>
          <w:rPr>
            <w:color w:val="0000FF"/>
            <w:w w:val="105"/>
            <w:sz w:val="16"/>
            <w:u w:val="single" w:color="0000FF"/>
          </w:rPr>
          <w:t>Amended</w:t>
        </w:r>
        <w:r>
          <w:rPr>
            <w:color w:val="0000FF"/>
            <w:spacing w:val="-9"/>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Restated</w:t>
        </w:r>
        <w:r>
          <w:rPr>
            <w:color w:val="0000FF"/>
            <w:spacing w:val="-9"/>
            <w:w w:val="105"/>
            <w:sz w:val="16"/>
            <w:u w:val="single" w:color="0000FF"/>
          </w:rPr>
          <w:t> </w:t>
        </w:r>
        <w:r>
          <w:rPr>
            <w:color w:val="0000FF"/>
            <w:w w:val="105"/>
            <w:sz w:val="16"/>
            <w:u w:val="single" w:color="0000FF"/>
          </w:rPr>
          <w:t>By-Laws</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effective</w:t>
        </w:r>
        <w:r>
          <w:rPr>
            <w:color w:val="0000FF"/>
            <w:spacing w:val="-9"/>
            <w:w w:val="105"/>
            <w:sz w:val="16"/>
            <w:u w:val="single" w:color="0000FF"/>
          </w:rPr>
          <w:t> </w:t>
        </w:r>
        <w:r>
          <w:rPr>
            <w:color w:val="0000FF"/>
            <w:w w:val="105"/>
            <w:sz w:val="16"/>
            <w:u w:val="single" w:color="0000FF"/>
          </w:rPr>
          <w:t>as</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February</w:t>
        </w:r>
        <w:r>
          <w:rPr>
            <w:color w:val="0000FF"/>
            <w:spacing w:val="-9"/>
            <w:w w:val="105"/>
            <w:sz w:val="16"/>
            <w:u w:val="single" w:color="0000FF"/>
          </w:rPr>
          <w:t> </w:t>
        </w:r>
        <w:r>
          <w:rPr>
            <w:color w:val="0000FF"/>
            <w:w w:val="105"/>
            <w:sz w:val="16"/>
            <w:u w:val="single" w:color="0000FF"/>
          </w:rPr>
          <w:t>2,</w:t>
        </w:r>
        <w:r>
          <w:rPr>
            <w:color w:val="0000FF"/>
            <w:spacing w:val="-9"/>
            <w:w w:val="105"/>
            <w:sz w:val="16"/>
            <w:u w:val="single" w:color="0000FF"/>
          </w:rPr>
          <w:t> </w:t>
        </w:r>
        <w:r>
          <w:rPr>
            <w:color w:val="0000FF"/>
            <w:w w:val="105"/>
            <w:sz w:val="16"/>
            <w:u w:val="single" w:color="0000FF"/>
          </w:rPr>
          <w:t>2022</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3.1</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hyperlink>
      <w:r>
        <w:rPr>
          <w:color w:val="0000FF"/>
          <w:w w:val="105"/>
          <w:sz w:val="16"/>
        </w:rPr>
        <w:t> </w:t>
      </w:r>
      <w:hyperlink r:id="rId17">
        <w:r>
          <w:rPr>
            <w:color w:val="0000FF"/>
            <w:w w:val="105"/>
            <w:sz w:val="16"/>
            <w:u w:val="single" w:color="0000FF"/>
          </w:rPr>
          <w:t>Form 8-K filed February 3, 2022).</w:t>
        </w:r>
      </w:hyperlink>
    </w:p>
    <w:p>
      <w:pPr>
        <w:pStyle w:val="ListParagraph"/>
        <w:numPr>
          <w:ilvl w:val="1"/>
          <w:numId w:val="24"/>
        </w:numPr>
        <w:tabs>
          <w:tab w:pos="1659" w:val="left" w:leader="none"/>
        </w:tabs>
        <w:spacing w:line="266" w:lineRule="auto" w:before="0" w:after="0"/>
        <w:ind w:left="1659" w:right="119" w:hanging="1032"/>
        <w:jc w:val="left"/>
        <w:rPr>
          <w:sz w:val="16"/>
        </w:rPr>
      </w:pPr>
      <w:hyperlink r:id="rId18">
        <w:r>
          <w:rPr>
            <w:color w:val="0000FF"/>
            <w:w w:val="105"/>
            <w:sz w:val="16"/>
            <w:u w:val="single" w:color="0000FF"/>
          </w:rPr>
          <w:t>Indenture,</w:t>
        </w:r>
        <w:r>
          <w:rPr>
            <w:color w:val="0000FF"/>
            <w:spacing w:val="-1"/>
            <w:w w:val="105"/>
            <w:sz w:val="16"/>
            <w:u w:val="single" w:color="0000FF"/>
          </w:rPr>
          <w:t> </w:t>
        </w:r>
        <w:r>
          <w:rPr>
            <w:color w:val="0000FF"/>
            <w:w w:val="105"/>
            <w:sz w:val="16"/>
            <w:u w:val="single" w:color="0000FF"/>
          </w:rPr>
          <w:t>dated</w:t>
        </w:r>
        <w:r>
          <w:rPr>
            <w:color w:val="0000FF"/>
            <w:spacing w:val="-1"/>
            <w:w w:val="105"/>
            <w:sz w:val="16"/>
            <w:u w:val="single" w:color="0000FF"/>
          </w:rPr>
          <w:t> </w:t>
        </w:r>
        <w:r>
          <w:rPr>
            <w:color w:val="0000FF"/>
            <w:w w:val="105"/>
            <w:sz w:val="16"/>
            <w:u w:val="single" w:color="0000FF"/>
          </w:rPr>
          <w:t>November</w:t>
        </w:r>
        <w:r>
          <w:rPr>
            <w:color w:val="0000FF"/>
            <w:spacing w:val="-1"/>
            <w:w w:val="105"/>
            <w:sz w:val="16"/>
            <w:u w:val="single" w:color="0000FF"/>
          </w:rPr>
          <w:t> </w:t>
        </w:r>
        <w:r>
          <w:rPr>
            <w:color w:val="0000FF"/>
            <w:w w:val="105"/>
            <w:sz w:val="16"/>
            <w:u w:val="single" w:color="0000FF"/>
          </w:rPr>
          <w:t>8,</w:t>
        </w:r>
        <w:r>
          <w:rPr>
            <w:color w:val="0000FF"/>
            <w:spacing w:val="-1"/>
            <w:w w:val="105"/>
            <w:sz w:val="16"/>
            <w:u w:val="single" w:color="0000FF"/>
          </w:rPr>
          <w:t> </w:t>
        </w:r>
        <w:r>
          <w:rPr>
            <w:color w:val="0000FF"/>
            <w:w w:val="105"/>
            <w:sz w:val="16"/>
            <w:u w:val="single" w:color="0000FF"/>
          </w:rPr>
          <w:t>2000,</w:t>
        </w:r>
        <w:r>
          <w:rPr>
            <w:color w:val="0000FF"/>
            <w:spacing w:val="-1"/>
            <w:w w:val="105"/>
            <w:sz w:val="16"/>
            <w:u w:val="single" w:color="0000FF"/>
          </w:rPr>
          <w:t> </w:t>
        </w:r>
        <w:r>
          <w:rPr>
            <w:color w:val="0000FF"/>
            <w:w w:val="105"/>
            <w:sz w:val="16"/>
            <w:u w:val="single" w:color="0000FF"/>
          </w:rPr>
          <w:t>by</w:t>
        </w:r>
        <w:r>
          <w:rPr>
            <w:color w:val="0000FF"/>
            <w:spacing w:val="-1"/>
            <w:w w:val="105"/>
            <w:sz w:val="16"/>
            <w:u w:val="single" w:color="0000FF"/>
          </w:rPr>
          <w:t> </w:t>
        </w:r>
        <w:r>
          <w:rPr>
            <w:color w:val="0000FF"/>
            <w:w w:val="105"/>
            <w:sz w:val="16"/>
            <w:u w:val="single" w:color="0000FF"/>
          </w:rPr>
          <w:t>and</w:t>
        </w:r>
        <w:r>
          <w:rPr>
            <w:color w:val="0000FF"/>
            <w:spacing w:val="-1"/>
            <w:w w:val="105"/>
            <w:sz w:val="16"/>
            <w:u w:val="single" w:color="0000FF"/>
          </w:rPr>
          <w:t> </w:t>
        </w:r>
        <w:r>
          <w:rPr>
            <w:color w:val="0000FF"/>
            <w:w w:val="105"/>
            <w:sz w:val="16"/>
            <w:u w:val="single" w:color="0000FF"/>
          </w:rPr>
          <w:t>between</w:t>
        </w:r>
        <w:r>
          <w:rPr>
            <w:color w:val="0000FF"/>
            <w:spacing w:val="-1"/>
            <w:w w:val="105"/>
            <w:sz w:val="16"/>
            <w:u w:val="single" w:color="0000FF"/>
          </w:rPr>
          <w:t> </w:t>
        </w:r>
        <w:r>
          <w:rPr>
            <w:color w:val="0000FF"/>
            <w:w w:val="105"/>
            <w:sz w:val="16"/>
            <w:u w:val="single" w:color="0000FF"/>
          </w:rPr>
          <w:t>the</w:t>
        </w:r>
        <w:r>
          <w:rPr>
            <w:color w:val="0000FF"/>
            <w:spacing w:val="-1"/>
            <w:w w:val="105"/>
            <w:sz w:val="16"/>
            <w:u w:val="single" w:color="0000FF"/>
          </w:rPr>
          <w:t> </w:t>
        </w:r>
        <w:r>
          <w:rPr>
            <w:color w:val="0000FF"/>
            <w:w w:val="105"/>
            <w:sz w:val="16"/>
            <w:u w:val="single" w:color="0000FF"/>
          </w:rPr>
          <w:t>Company</w:t>
        </w:r>
        <w:r>
          <w:rPr>
            <w:color w:val="0000FF"/>
            <w:spacing w:val="-1"/>
            <w:w w:val="105"/>
            <w:sz w:val="16"/>
            <w:u w:val="single" w:color="0000FF"/>
          </w:rPr>
          <w:t> </w:t>
        </w:r>
        <w:r>
          <w:rPr>
            <w:color w:val="0000FF"/>
            <w:w w:val="105"/>
            <w:sz w:val="16"/>
            <w:u w:val="single" w:color="0000FF"/>
          </w:rPr>
          <w:t>and</w:t>
        </w:r>
        <w:r>
          <w:rPr>
            <w:color w:val="0000FF"/>
            <w:spacing w:val="-1"/>
            <w:w w:val="105"/>
            <w:sz w:val="16"/>
            <w:u w:val="single" w:color="0000FF"/>
          </w:rPr>
          <w:t> </w:t>
        </w:r>
        <w:r>
          <w:rPr>
            <w:color w:val="0000FF"/>
            <w:w w:val="105"/>
            <w:sz w:val="16"/>
            <w:u w:val="single" w:color="0000FF"/>
          </w:rPr>
          <w:t>of</w:t>
        </w:r>
        <w:r>
          <w:rPr>
            <w:color w:val="0000FF"/>
            <w:spacing w:val="-1"/>
            <w:w w:val="105"/>
            <w:sz w:val="16"/>
            <w:u w:val="single" w:color="0000FF"/>
          </w:rPr>
          <w:t> </w:t>
        </w:r>
        <w:r>
          <w:rPr>
            <w:color w:val="0000FF"/>
            <w:w w:val="105"/>
            <w:sz w:val="16"/>
            <w:u w:val="single" w:color="0000FF"/>
          </w:rPr>
          <w:t>The</w:t>
        </w:r>
        <w:r>
          <w:rPr>
            <w:color w:val="0000FF"/>
            <w:spacing w:val="-1"/>
            <w:w w:val="105"/>
            <w:sz w:val="16"/>
            <w:u w:val="single" w:color="0000FF"/>
          </w:rPr>
          <w:t> </w:t>
        </w:r>
        <w:r>
          <w:rPr>
            <w:color w:val="0000FF"/>
            <w:w w:val="105"/>
            <w:sz w:val="16"/>
            <w:u w:val="single" w:color="0000FF"/>
          </w:rPr>
          <w:t>Bank</w:t>
        </w:r>
        <w:r>
          <w:rPr>
            <w:color w:val="0000FF"/>
            <w:spacing w:val="-1"/>
            <w:w w:val="105"/>
            <w:sz w:val="16"/>
            <w:u w:val="single" w:color="0000FF"/>
          </w:rPr>
          <w:t> </w:t>
        </w:r>
        <w:r>
          <w:rPr>
            <w:color w:val="0000FF"/>
            <w:w w:val="105"/>
            <w:sz w:val="16"/>
            <w:u w:val="single" w:color="0000FF"/>
          </w:rPr>
          <w:t>of</w:t>
        </w:r>
        <w:r>
          <w:rPr>
            <w:color w:val="0000FF"/>
            <w:spacing w:val="-1"/>
            <w:w w:val="105"/>
            <w:sz w:val="16"/>
            <w:u w:val="single" w:color="0000FF"/>
          </w:rPr>
          <w:t> </w:t>
        </w:r>
        <w:r>
          <w:rPr>
            <w:color w:val="0000FF"/>
            <w:w w:val="105"/>
            <w:sz w:val="16"/>
            <w:u w:val="single" w:color="0000FF"/>
          </w:rPr>
          <w:t>New</w:t>
        </w:r>
        <w:r>
          <w:rPr>
            <w:color w:val="0000FF"/>
            <w:spacing w:val="-1"/>
            <w:w w:val="105"/>
            <w:sz w:val="16"/>
            <w:u w:val="single" w:color="0000FF"/>
          </w:rPr>
          <w:t> </w:t>
        </w:r>
        <w:r>
          <w:rPr>
            <w:color w:val="0000FF"/>
            <w:w w:val="105"/>
            <w:sz w:val="16"/>
            <w:u w:val="single" w:color="0000FF"/>
          </w:rPr>
          <w:t>York</w:t>
        </w:r>
        <w:r>
          <w:rPr>
            <w:color w:val="0000FF"/>
            <w:spacing w:val="-1"/>
            <w:w w:val="105"/>
            <w:sz w:val="16"/>
            <w:u w:val="single" w:color="0000FF"/>
          </w:rPr>
          <w:t> </w:t>
        </w:r>
        <w:r>
          <w:rPr>
            <w:color w:val="0000FF"/>
            <w:w w:val="105"/>
            <w:sz w:val="16"/>
            <w:u w:val="single" w:color="0000FF"/>
          </w:rPr>
          <w:t>Mellon</w:t>
        </w:r>
        <w:r>
          <w:rPr>
            <w:color w:val="0000FF"/>
            <w:spacing w:val="-1"/>
            <w:w w:val="105"/>
            <w:sz w:val="16"/>
            <w:u w:val="single" w:color="0000FF"/>
          </w:rPr>
          <w:t> </w:t>
        </w:r>
        <w:r>
          <w:rPr>
            <w:color w:val="0000FF"/>
            <w:w w:val="105"/>
            <w:sz w:val="16"/>
            <w:u w:val="single" w:color="0000FF"/>
          </w:rPr>
          <w:t>Trust</w:t>
        </w:r>
        <w:r>
          <w:rPr>
            <w:color w:val="0000FF"/>
            <w:spacing w:val="-1"/>
            <w:w w:val="105"/>
            <w:sz w:val="16"/>
            <w:u w:val="single" w:color="0000FF"/>
          </w:rPr>
          <w:t> </w:t>
        </w:r>
        <w:r>
          <w:rPr>
            <w:color w:val="0000FF"/>
            <w:w w:val="105"/>
            <w:sz w:val="16"/>
            <w:u w:val="single" w:color="0000FF"/>
          </w:rPr>
          <w:t>Company,</w:t>
        </w:r>
        <w:r>
          <w:rPr>
            <w:color w:val="0000FF"/>
            <w:spacing w:val="-1"/>
            <w:w w:val="105"/>
            <w:sz w:val="16"/>
            <w:u w:val="single" w:color="0000FF"/>
          </w:rPr>
          <w:t> </w:t>
        </w:r>
        <w:r>
          <w:rPr>
            <w:color w:val="0000FF"/>
            <w:w w:val="105"/>
            <w:sz w:val="16"/>
            <w:u w:val="single" w:color="0000FF"/>
          </w:rPr>
          <w:t>N.A.</w:t>
        </w:r>
        <w:r>
          <w:rPr>
            <w:color w:val="0000FF"/>
            <w:spacing w:val="-1"/>
            <w:w w:val="105"/>
            <w:sz w:val="16"/>
            <w:u w:val="single" w:color="0000FF"/>
          </w:rPr>
          <w:t> </w:t>
        </w:r>
        <w:r>
          <w:rPr>
            <w:color w:val="0000FF"/>
            <w:w w:val="105"/>
            <w:sz w:val="16"/>
            <w:u w:val="single" w:color="0000FF"/>
          </w:rPr>
          <w:t>(successor</w:t>
        </w:r>
        <w:r>
          <w:rPr>
            <w:color w:val="0000FF"/>
            <w:spacing w:val="-1"/>
            <w:w w:val="105"/>
            <w:sz w:val="16"/>
            <w:u w:val="single" w:color="0000FF"/>
          </w:rPr>
          <w:t> </w:t>
        </w:r>
        <w:r>
          <w:rPr>
            <w:color w:val="0000FF"/>
            <w:w w:val="105"/>
            <w:sz w:val="16"/>
            <w:u w:val="single" w:color="0000FF"/>
          </w:rPr>
          <w:t>to</w:t>
        </w:r>
        <w:r>
          <w:rPr>
            <w:color w:val="0000FF"/>
            <w:spacing w:val="-1"/>
            <w:w w:val="105"/>
            <w:sz w:val="16"/>
            <w:u w:val="single" w:color="0000FF"/>
          </w:rPr>
          <w:t> </w:t>
        </w:r>
        <w:r>
          <w:rPr>
            <w:color w:val="0000FF"/>
            <w:w w:val="105"/>
            <w:sz w:val="16"/>
            <w:u w:val="single" w:color="0000FF"/>
          </w:rPr>
          <w:t>J.</w:t>
        </w:r>
        <w:r>
          <w:rPr>
            <w:color w:val="0000FF"/>
            <w:spacing w:val="-1"/>
            <w:w w:val="105"/>
            <w:sz w:val="16"/>
            <w:u w:val="single" w:color="0000FF"/>
          </w:rPr>
          <w:t> </w:t>
        </w:r>
        <w:r>
          <w:rPr>
            <w:color w:val="0000FF"/>
            <w:w w:val="105"/>
            <w:sz w:val="16"/>
            <w:u w:val="single" w:color="0000FF"/>
          </w:rPr>
          <w:t>P.</w:t>
        </w:r>
      </w:hyperlink>
      <w:r>
        <w:rPr>
          <w:color w:val="0000FF"/>
          <w:w w:val="105"/>
          <w:sz w:val="16"/>
        </w:rPr>
        <w:t> </w:t>
      </w:r>
      <w:hyperlink r:id="rId18">
        <w:r>
          <w:rPr>
            <w:color w:val="0000FF"/>
            <w:w w:val="105"/>
            <w:sz w:val="16"/>
            <w:u w:val="single" w:color="0000FF"/>
          </w:rPr>
          <w:t>Morgan</w:t>
        </w:r>
        <w:r>
          <w:rPr>
            <w:color w:val="0000FF"/>
            <w:spacing w:val="-9"/>
            <w:w w:val="105"/>
            <w:sz w:val="16"/>
            <w:u w:val="single" w:color="0000FF"/>
          </w:rPr>
          <w:t> </w:t>
        </w:r>
        <w:r>
          <w:rPr>
            <w:color w:val="0000FF"/>
            <w:w w:val="105"/>
            <w:sz w:val="16"/>
            <w:u w:val="single" w:color="0000FF"/>
          </w:rPr>
          <w:t>Chase</w:t>
        </w:r>
        <w:r>
          <w:rPr>
            <w:color w:val="0000FF"/>
            <w:spacing w:val="-9"/>
            <w:w w:val="105"/>
            <w:sz w:val="16"/>
            <w:u w:val="single" w:color="0000FF"/>
          </w:rPr>
          <w:t> </w:t>
        </w:r>
        <w:r>
          <w:rPr>
            <w:color w:val="0000FF"/>
            <w:w w:val="105"/>
            <w:sz w:val="16"/>
            <w:u w:val="single" w:color="0000FF"/>
          </w:rPr>
          <w:t>&amp;</w:t>
        </w:r>
        <w:r>
          <w:rPr>
            <w:color w:val="0000FF"/>
            <w:spacing w:val="-9"/>
            <w:w w:val="105"/>
            <w:sz w:val="16"/>
            <w:u w:val="single" w:color="0000FF"/>
          </w:rPr>
          <w:t> </w:t>
        </w:r>
        <w:r>
          <w:rPr>
            <w:color w:val="0000FF"/>
            <w:w w:val="105"/>
            <w:sz w:val="16"/>
            <w:u w:val="single" w:color="0000FF"/>
          </w:rPr>
          <w:t>Co.,</w:t>
        </w:r>
        <w:r>
          <w:rPr>
            <w:color w:val="0000FF"/>
            <w:spacing w:val="-9"/>
            <w:w w:val="105"/>
            <w:sz w:val="16"/>
            <w:u w:val="single" w:color="0000FF"/>
          </w:rPr>
          <w:t> </w:t>
        </w:r>
        <w:r>
          <w:rPr>
            <w:color w:val="0000FF"/>
            <w:w w:val="105"/>
            <w:sz w:val="16"/>
            <w:u w:val="single" w:color="0000FF"/>
          </w:rPr>
          <w:t>formerly</w:t>
        </w:r>
        <w:r>
          <w:rPr>
            <w:color w:val="0000FF"/>
            <w:spacing w:val="-9"/>
            <w:w w:val="105"/>
            <w:sz w:val="16"/>
            <w:u w:val="single" w:color="0000FF"/>
          </w:rPr>
          <w:t> </w:t>
        </w:r>
        <w:r>
          <w:rPr>
            <w:color w:val="0000FF"/>
            <w:w w:val="105"/>
            <w:sz w:val="16"/>
            <w:u w:val="single" w:color="0000FF"/>
          </w:rPr>
          <w:t>The</w:t>
        </w:r>
        <w:r>
          <w:rPr>
            <w:color w:val="0000FF"/>
            <w:spacing w:val="-9"/>
            <w:w w:val="105"/>
            <w:sz w:val="16"/>
            <w:u w:val="single" w:color="0000FF"/>
          </w:rPr>
          <w:t> </w:t>
        </w:r>
        <w:r>
          <w:rPr>
            <w:color w:val="0000FF"/>
            <w:w w:val="105"/>
            <w:sz w:val="16"/>
            <w:u w:val="single" w:color="0000FF"/>
          </w:rPr>
          <w:t>Chase</w:t>
        </w:r>
        <w:r>
          <w:rPr>
            <w:color w:val="0000FF"/>
            <w:spacing w:val="-9"/>
            <w:w w:val="105"/>
            <w:sz w:val="16"/>
            <w:u w:val="single" w:color="0000FF"/>
          </w:rPr>
          <w:t> </w:t>
        </w:r>
        <w:r>
          <w:rPr>
            <w:color w:val="0000FF"/>
            <w:w w:val="105"/>
            <w:sz w:val="16"/>
            <w:u w:val="single" w:color="0000FF"/>
          </w:rPr>
          <w:t>Manhattan</w:t>
        </w:r>
        <w:r>
          <w:rPr>
            <w:color w:val="0000FF"/>
            <w:spacing w:val="-9"/>
            <w:w w:val="105"/>
            <w:sz w:val="16"/>
            <w:u w:val="single" w:color="0000FF"/>
          </w:rPr>
          <w:t> </w:t>
        </w:r>
        <w:r>
          <w:rPr>
            <w:color w:val="0000FF"/>
            <w:w w:val="105"/>
            <w:sz w:val="16"/>
            <w:u w:val="single" w:color="0000FF"/>
          </w:rPr>
          <w:t>Bank),</w:t>
        </w:r>
        <w:r>
          <w:rPr>
            <w:color w:val="0000FF"/>
            <w:spacing w:val="-9"/>
            <w:w w:val="105"/>
            <w:sz w:val="16"/>
            <w:u w:val="single" w:color="0000FF"/>
          </w:rPr>
          <w:t> </w:t>
        </w:r>
        <w:r>
          <w:rPr>
            <w:color w:val="0000FF"/>
            <w:w w:val="105"/>
            <w:sz w:val="16"/>
            <w:u w:val="single" w:color="0000FF"/>
          </w:rPr>
          <w:t>as</w:t>
        </w:r>
        <w:r>
          <w:rPr>
            <w:color w:val="0000FF"/>
            <w:spacing w:val="-9"/>
            <w:w w:val="105"/>
            <w:sz w:val="16"/>
            <w:u w:val="single" w:color="0000FF"/>
          </w:rPr>
          <w:t> </w:t>
        </w:r>
        <w:r>
          <w:rPr>
            <w:color w:val="0000FF"/>
            <w:w w:val="105"/>
            <w:sz w:val="16"/>
            <w:u w:val="single" w:color="0000FF"/>
          </w:rPr>
          <w:t>trustee</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4.01</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Corning’s</w:t>
        </w:r>
        <w:r>
          <w:rPr>
            <w:color w:val="0000FF"/>
            <w:spacing w:val="-9"/>
            <w:w w:val="105"/>
            <w:sz w:val="16"/>
            <w:u w:val="single" w:color="0000FF"/>
          </w:rPr>
          <w:t> </w:t>
        </w:r>
        <w:r>
          <w:rPr>
            <w:color w:val="0000FF"/>
            <w:w w:val="105"/>
            <w:sz w:val="16"/>
            <w:u w:val="single" w:color="0000FF"/>
          </w:rPr>
          <w:t>Registration</w:t>
        </w:r>
        <w:r>
          <w:rPr>
            <w:color w:val="0000FF"/>
            <w:spacing w:val="-9"/>
            <w:w w:val="105"/>
            <w:sz w:val="16"/>
            <w:u w:val="single" w:color="0000FF"/>
          </w:rPr>
          <w:t> </w:t>
        </w:r>
        <w:r>
          <w:rPr>
            <w:color w:val="0000FF"/>
            <w:w w:val="105"/>
            <w:sz w:val="16"/>
            <w:u w:val="single" w:color="0000FF"/>
          </w:rPr>
          <w:t>Statement</w:t>
        </w:r>
      </w:hyperlink>
      <w:r>
        <w:rPr>
          <w:color w:val="0000FF"/>
          <w:w w:val="105"/>
          <w:sz w:val="16"/>
        </w:rPr>
        <w:t> </w:t>
      </w:r>
      <w:hyperlink r:id="rId18">
        <w:r>
          <w:rPr>
            <w:color w:val="0000FF"/>
            <w:w w:val="105"/>
            <w:sz w:val="16"/>
            <w:u w:val="single" w:color="0000FF"/>
          </w:rPr>
          <w:t>on</w:t>
        </w:r>
        <w:r>
          <w:rPr>
            <w:color w:val="0000FF"/>
            <w:spacing w:val="-8"/>
            <w:w w:val="105"/>
            <w:sz w:val="16"/>
            <w:u w:val="single" w:color="0000FF"/>
          </w:rPr>
          <w:t> </w:t>
        </w:r>
        <w:r>
          <w:rPr>
            <w:color w:val="0000FF"/>
            <w:w w:val="105"/>
            <w:sz w:val="16"/>
            <w:u w:val="single" w:color="0000FF"/>
          </w:rPr>
          <w:t>Form</w:t>
        </w:r>
        <w:r>
          <w:rPr>
            <w:color w:val="0000FF"/>
            <w:spacing w:val="-8"/>
            <w:w w:val="105"/>
            <w:sz w:val="16"/>
            <w:u w:val="single" w:color="0000FF"/>
          </w:rPr>
          <w:t> </w:t>
        </w:r>
        <w:r>
          <w:rPr>
            <w:color w:val="0000FF"/>
            <w:w w:val="105"/>
            <w:sz w:val="16"/>
            <w:u w:val="single" w:color="0000FF"/>
          </w:rPr>
          <w:t>S-3,</w:t>
        </w:r>
        <w:r>
          <w:rPr>
            <w:color w:val="0000FF"/>
            <w:spacing w:val="-8"/>
            <w:w w:val="105"/>
            <w:sz w:val="16"/>
            <w:u w:val="single" w:color="0000FF"/>
          </w:rPr>
          <w:t> </w:t>
        </w:r>
        <w:r>
          <w:rPr>
            <w:color w:val="0000FF"/>
            <w:w w:val="105"/>
            <w:sz w:val="16"/>
            <w:u w:val="single" w:color="0000FF"/>
          </w:rPr>
          <w:t>Registration</w:t>
        </w:r>
        <w:r>
          <w:rPr>
            <w:color w:val="0000FF"/>
            <w:spacing w:val="-8"/>
            <w:w w:val="105"/>
            <w:sz w:val="16"/>
            <w:u w:val="single" w:color="0000FF"/>
          </w:rPr>
          <w:t> </w:t>
        </w:r>
        <w:r>
          <w:rPr>
            <w:color w:val="0000FF"/>
            <w:w w:val="105"/>
            <w:sz w:val="16"/>
            <w:u w:val="single" w:color="0000FF"/>
          </w:rPr>
          <w:t>Statement</w:t>
        </w:r>
        <w:r>
          <w:rPr>
            <w:color w:val="0000FF"/>
            <w:spacing w:val="-8"/>
            <w:w w:val="105"/>
            <w:sz w:val="16"/>
            <w:u w:val="single" w:color="0000FF"/>
          </w:rPr>
          <w:t> </w:t>
        </w:r>
        <w:r>
          <w:rPr>
            <w:color w:val="0000FF"/>
            <w:w w:val="105"/>
            <w:sz w:val="16"/>
            <w:u w:val="single" w:color="0000FF"/>
          </w:rPr>
          <w:t>No.</w:t>
        </w:r>
        <w:r>
          <w:rPr>
            <w:color w:val="0000FF"/>
            <w:spacing w:val="-8"/>
            <w:w w:val="105"/>
            <w:sz w:val="16"/>
            <w:u w:val="single" w:color="0000FF"/>
          </w:rPr>
          <w:t> </w:t>
        </w:r>
        <w:r>
          <w:rPr>
            <w:color w:val="0000FF"/>
            <w:w w:val="105"/>
            <w:sz w:val="16"/>
            <w:u w:val="single" w:color="0000FF"/>
          </w:rPr>
          <w:t>333-251135).</w:t>
        </w:r>
        <w:r>
          <w:rPr>
            <w:color w:val="0000FF"/>
            <w:spacing w:val="-8"/>
            <w:w w:val="105"/>
            <w:sz w:val="16"/>
            <w:u w:val="single" w:color="0000FF"/>
          </w:rPr>
          <w:t> </w:t>
        </w:r>
        <w:r>
          <w:rPr>
            <w:color w:val="0000FF"/>
            <w:w w:val="105"/>
            <w:sz w:val="16"/>
            <w:u w:val="single" w:color="0000FF"/>
          </w:rPr>
          <w:t>The</w:t>
        </w:r>
        <w:r>
          <w:rPr>
            <w:color w:val="0000FF"/>
            <w:spacing w:val="-8"/>
            <w:w w:val="105"/>
            <w:sz w:val="16"/>
            <w:u w:val="single" w:color="0000FF"/>
          </w:rPr>
          <w:t> </w:t>
        </w:r>
        <w:r>
          <w:rPr>
            <w:color w:val="0000FF"/>
            <w:w w:val="105"/>
            <w:sz w:val="16"/>
            <w:u w:val="single" w:color="0000FF"/>
          </w:rPr>
          <w:t>Company</w:t>
        </w:r>
        <w:r>
          <w:rPr>
            <w:color w:val="0000FF"/>
            <w:spacing w:val="-8"/>
            <w:w w:val="105"/>
            <w:sz w:val="16"/>
            <w:u w:val="single" w:color="0000FF"/>
          </w:rPr>
          <w:t> </w:t>
        </w:r>
        <w:r>
          <w:rPr>
            <w:color w:val="0000FF"/>
            <w:w w:val="105"/>
            <w:sz w:val="16"/>
            <w:u w:val="single" w:color="0000FF"/>
          </w:rPr>
          <w:t>agrees</w:t>
        </w:r>
        <w:r>
          <w:rPr>
            <w:color w:val="0000FF"/>
            <w:spacing w:val="-8"/>
            <w:w w:val="105"/>
            <w:sz w:val="16"/>
            <w:u w:val="single" w:color="0000FF"/>
          </w:rPr>
          <w:t> </w:t>
        </w:r>
        <w:r>
          <w:rPr>
            <w:color w:val="0000FF"/>
            <w:w w:val="105"/>
            <w:sz w:val="16"/>
            <w:u w:val="single" w:color="0000FF"/>
          </w:rPr>
          <w:t>to</w:t>
        </w:r>
        <w:r>
          <w:rPr>
            <w:color w:val="0000FF"/>
            <w:spacing w:val="-8"/>
            <w:w w:val="105"/>
            <w:sz w:val="16"/>
            <w:u w:val="single" w:color="0000FF"/>
          </w:rPr>
          <w:t> </w:t>
        </w:r>
        <w:r>
          <w:rPr>
            <w:color w:val="0000FF"/>
            <w:w w:val="105"/>
            <w:sz w:val="16"/>
            <w:u w:val="single" w:color="0000FF"/>
          </w:rPr>
          <w:t>furnish</w:t>
        </w:r>
        <w:r>
          <w:rPr>
            <w:color w:val="0000FF"/>
            <w:spacing w:val="-8"/>
            <w:w w:val="105"/>
            <w:sz w:val="16"/>
            <w:u w:val="single" w:color="0000FF"/>
          </w:rPr>
          <w:t> </w:t>
        </w:r>
        <w:r>
          <w:rPr>
            <w:color w:val="0000FF"/>
            <w:w w:val="105"/>
            <w:sz w:val="16"/>
            <w:u w:val="single" w:color="0000FF"/>
          </w:rPr>
          <w:t>to</w:t>
        </w:r>
        <w:r>
          <w:rPr>
            <w:color w:val="0000FF"/>
            <w:spacing w:val="-7"/>
            <w:w w:val="105"/>
            <w:sz w:val="16"/>
            <w:u w:val="single" w:color="0000FF"/>
          </w:rPr>
          <w:t> </w:t>
        </w:r>
        <w:r>
          <w:rPr>
            <w:color w:val="0000FF"/>
            <w:w w:val="105"/>
            <w:sz w:val="16"/>
            <w:u w:val="single" w:color="0000FF"/>
          </w:rPr>
          <w:t>the</w:t>
        </w:r>
        <w:r>
          <w:rPr>
            <w:color w:val="0000FF"/>
            <w:spacing w:val="-8"/>
            <w:w w:val="105"/>
            <w:sz w:val="16"/>
            <w:u w:val="single" w:color="0000FF"/>
          </w:rPr>
          <w:t> </w:t>
        </w:r>
        <w:r>
          <w:rPr>
            <w:color w:val="0000FF"/>
            <w:w w:val="105"/>
            <w:sz w:val="16"/>
            <w:u w:val="single" w:color="0000FF"/>
          </w:rPr>
          <w:t>Commission</w:t>
        </w:r>
        <w:r>
          <w:rPr>
            <w:color w:val="0000FF"/>
            <w:spacing w:val="-8"/>
            <w:w w:val="105"/>
            <w:sz w:val="16"/>
            <w:u w:val="single" w:color="0000FF"/>
          </w:rPr>
          <w:t> </w:t>
        </w:r>
        <w:r>
          <w:rPr>
            <w:color w:val="0000FF"/>
            <w:w w:val="105"/>
            <w:sz w:val="16"/>
            <w:u w:val="single" w:color="0000FF"/>
          </w:rPr>
          <w:t>on</w:t>
        </w:r>
        <w:r>
          <w:rPr>
            <w:color w:val="0000FF"/>
            <w:spacing w:val="-8"/>
            <w:w w:val="105"/>
            <w:sz w:val="16"/>
            <w:u w:val="single" w:color="0000FF"/>
          </w:rPr>
          <w:t> </w:t>
        </w:r>
        <w:r>
          <w:rPr>
            <w:color w:val="0000FF"/>
            <w:w w:val="105"/>
            <w:sz w:val="16"/>
            <w:u w:val="single" w:color="0000FF"/>
          </w:rPr>
          <w:t>request</w:t>
        </w:r>
        <w:r>
          <w:rPr>
            <w:color w:val="0000FF"/>
            <w:spacing w:val="-8"/>
            <w:w w:val="105"/>
            <w:sz w:val="16"/>
            <w:u w:val="single" w:color="0000FF"/>
          </w:rPr>
          <w:t> </w:t>
        </w:r>
        <w:r>
          <w:rPr>
            <w:color w:val="0000FF"/>
            <w:w w:val="105"/>
            <w:sz w:val="16"/>
            <w:u w:val="single" w:color="0000FF"/>
          </w:rPr>
          <w:t>copies</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other</w:t>
        </w:r>
        <w:r>
          <w:rPr>
            <w:color w:val="0000FF"/>
            <w:spacing w:val="-8"/>
            <w:w w:val="105"/>
            <w:sz w:val="16"/>
            <w:u w:val="single" w:color="0000FF"/>
          </w:rPr>
          <w:t> </w:t>
        </w:r>
        <w:r>
          <w:rPr>
            <w:color w:val="0000FF"/>
            <w:w w:val="105"/>
            <w:sz w:val="16"/>
            <w:u w:val="single" w:color="0000FF"/>
          </w:rPr>
          <w:t>instruments</w:t>
        </w:r>
        <w:r>
          <w:rPr>
            <w:color w:val="0000FF"/>
            <w:spacing w:val="-8"/>
            <w:w w:val="105"/>
            <w:sz w:val="16"/>
            <w:u w:val="single" w:color="0000FF"/>
          </w:rPr>
          <w:t> </w:t>
        </w:r>
        <w:r>
          <w:rPr>
            <w:color w:val="0000FF"/>
            <w:w w:val="105"/>
            <w:sz w:val="16"/>
            <w:u w:val="single" w:color="0000FF"/>
          </w:rPr>
          <w:t>with</w:t>
        </w:r>
      </w:hyperlink>
      <w:r>
        <w:rPr>
          <w:color w:val="0000FF"/>
          <w:w w:val="105"/>
          <w:sz w:val="16"/>
        </w:rPr>
        <w:t> </w:t>
      </w:r>
      <w:hyperlink r:id="rId18">
        <w:r>
          <w:rPr>
            <w:color w:val="0000FF"/>
            <w:w w:val="105"/>
            <w:sz w:val="16"/>
            <w:u w:val="single" w:color="0000FF"/>
          </w:rPr>
          <w:t>respect to long-term debt.</w:t>
        </w:r>
      </w:hyperlink>
    </w:p>
    <w:p>
      <w:pPr>
        <w:pStyle w:val="ListParagraph"/>
        <w:numPr>
          <w:ilvl w:val="1"/>
          <w:numId w:val="24"/>
        </w:numPr>
        <w:tabs>
          <w:tab w:pos="1659" w:val="left" w:leader="none"/>
        </w:tabs>
        <w:spacing w:line="266" w:lineRule="auto" w:before="0" w:after="0"/>
        <w:ind w:left="1659" w:right="362" w:hanging="1032"/>
        <w:jc w:val="left"/>
        <w:rPr>
          <w:sz w:val="16"/>
        </w:rPr>
      </w:pPr>
      <w:hyperlink r:id="rId19">
        <w:r>
          <w:rPr>
            <w:color w:val="0000FF"/>
            <w:w w:val="105"/>
            <w:sz w:val="16"/>
            <w:u w:val="single" w:color="0000FF"/>
          </w:rPr>
          <w:t>Form</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certificate</w:t>
        </w:r>
        <w:r>
          <w:rPr>
            <w:color w:val="0000FF"/>
            <w:spacing w:val="-8"/>
            <w:w w:val="105"/>
            <w:sz w:val="16"/>
            <w:u w:val="single" w:color="0000FF"/>
          </w:rPr>
          <w:t> </w:t>
        </w:r>
        <w:r>
          <w:rPr>
            <w:color w:val="0000FF"/>
            <w:w w:val="105"/>
            <w:sz w:val="16"/>
            <w:u w:val="single" w:color="0000FF"/>
          </w:rPr>
          <w:t>for</w:t>
        </w:r>
        <w:r>
          <w:rPr>
            <w:color w:val="0000FF"/>
            <w:spacing w:val="-8"/>
            <w:w w:val="105"/>
            <w:sz w:val="16"/>
            <w:u w:val="single" w:color="0000FF"/>
          </w:rPr>
          <w:t> </w:t>
        </w:r>
        <w:r>
          <w:rPr>
            <w:color w:val="0000FF"/>
            <w:w w:val="105"/>
            <w:sz w:val="16"/>
            <w:u w:val="single" w:color="0000FF"/>
          </w:rPr>
          <w:t>shares</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the</w:t>
        </w:r>
        <w:r>
          <w:rPr>
            <w:color w:val="0000FF"/>
            <w:spacing w:val="-8"/>
            <w:w w:val="105"/>
            <w:sz w:val="16"/>
            <w:u w:val="single" w:color="0000FF"/>
          </w:rPr>
          <w:t> </w:t>
        </w:r>
        <w:r>
          <w:rPr>
            <w:color w:val="0000FF"/>
            <w:w w:val="105"/>
            <w:sz w:val="16"/>
            <w:u w:val="single" w:color="0000FF"/>
          </w:rPr>
          <w:t>common</w:t>
        </w:r>
        <w:r>
          <w:rPr>
            <w:color w:val="0000FF"/>
            <w:spacing w:val="-8"/>
            <w:w w:val="105"/>
            <w:sz w:val="16"/>
            <w:u w:val="single" w:color="0000FF"/>
          </w:rPr>
          <w:t> </w:t>
        </w:r>
        <w:r>
          <w:rPr>
            <w:color w:val="0000FF"/>
            <w:w w:val="105"/>
            <w:sz w:val="16"/>
            <w:u w:val="single" w:color="0000FF"/>
          </w:rPr>
          <w:t>stock</w:t>
        </w:r>
        <w:r>
          <w:rPr>
            <w:color w:val="0000FF"/>
            <w:spacing w:val="-8"/>
            <w:w w:val="105"/>
            <w:sz w:val="16"/>
            <w:u w:val="single" w:color="0000FF"/>
          </w:rPr>
          <w:t> </w:t>
        </w:r>
        <w:r>
          <w:rPr>
            <w:color w:val="0000FF"/>
            <w:w w:val="105"/>
            <w:sz w:val="16"/>
            <w:u w:val="single" w:color="0000FF"/>
          </w:rPr>
          <w:t>(Incorporated</w:t>
        </w:r>
        <w:r>
          <w:rPr>
            <w:color w:val="0000FF"/>
            <w:spacing w:val="-8"/>
            <w:w w:val="105"/>
            <w:sz w:val="16"/>
            <w:u w:val="single" w:color="0000FF"/>
          </w:rPr>
          <w:t> </w:t>
        </w:r>
        <w:r>
          <w:rPr>
            <w:color w:val="0000FF"/>
            <w:w w:val="105"/>
            <w:sz w:val="16"/>
            <w:u w:val="single" w:color="0000FF"/>
          </w:rPr>
          <w:t>by</w:t>
        </w:r>
        <w:r>
          <w:rPr>
            <w:color w:val="0000FF"/>
            <w:spacing w:val="-8"/>
            <w:w w:val="105"/>
            <w:sz w:val="16"/>
            <w:u w:val="single" w:color="0000FF"/>
          </w:rPr>
          <w:t> </w:t>
        </w:r>
        <w:r>
          <w:rPr>
            <w:color w:val="0000FF"/>
            <w:w w:val="105"/>
            <w:sz w:val="16"/>
            <w:u w:val="single" w:color="0000FF"/>
          </w:rPr>
          <w:t>reference</w:t>
        </w:r>
        <w:r>
          <w:rPr>
            <w:color w:val="0000FF"/>
            <w:spacing w:val="-8"/>
            <w:w w:val="105"/>
            <w:sz w:val="16"/>
            <w:u w:val="single" w:color="0000FF"/>
          </w:rPr>
          <w:t> </w:t>
        </w:r>
        <w:r>
          <w:rPr>
            <w:color w:val="0000FF"/>
            <w:w w:val="105"/>
            <w:sz w:val="16"/>
            <w:u w:val="single" w:color="0000FF"/>
          </w:rPr>
          <w:t>to</w:t>
        </w:r>
        <w:r>
          <w:rPr>
            <w:color w:val="0000FF"/>
            <w:spacing w:val="-8"/>
            <w:w w:val="105"/>
            <w:sz w:val="16"/>
            <w:u w:val="single" w:color="0000FF"/>
          </w:rPr>
          <w:t> </w:t>
        </w:r>
        <w:r>
          <w:rPr>
            <w:color w:val="0000FF"/>
            <w:w w:val="105"/>
            <w:sz w:val="16"/>
            <w:u w:val="single" w:color="0000FF"/>
          </w:rPr>
          <w:t>Exhibit</w:t>
        </w:r>
        <w:r>
          <w:rPr>
            <w:color w:val="0000FF"/>
            <w:spacing w:val="-8"/>
            <w:w w:val="105"/>
            <w:sz w:val="16"/>
            <w:u w:val="single" w:color="0000FF"/>
          </w:rPr>
          <w:t> </w:t>
        </w:r>
        <w:r>
          <w:rPr>
            <w:color w:val="0000FF"/>
            <w:w w:val="105"/>
            <w:sz w:val="16"/>
            <w:u w:val="single" w:color="0000FF"/>
          </w:rPr>
          <w:t>4.4</w:t>
        </w:r>
        <w:r>
          <w:rPr>
            <w:color w:val="0000FF"/>
            <w:spacing w:val="-8"/>
            <w:w w:val="105"/>
            <w:sz w:val="16"/>
            <w:u w:val="single" w:color="0000FF"/>
          </w:rPr>
          <w:t> </w:t>
        </w:r>
        <w:r>
          <w:rPr>
            <w:color w:val="0000FF"/>
            <w:w w:val="105"/>
            <w:sz w:val="16"/>
            <w:u w:val="single" w:color="0000FF"/>
          </w:rPr>
          <w:t>to</w:t>
        </w:r>
        <w:r>
          <w:rPr>
            <w:color w:val="0000FF"/>
            <w:spacing w:val="-8"/>
            <w:w w:val="105"/>
            <w:sz w:val="16"/>
            <w:u w:val="single" w:color="0000FF"/>
          </w:rPr>
          <w:t> </w:t>
        </w:r>
        <w:r>
          <w:rPr>
            <w:color w:val="0000FF"/>
            <w:w w:val="105"/>
            <w:sz w:val="16"/>
            <w:u w:val="single" w:color="0000FF"/>
          </w:rPr>
          <w:t>Corning’s</w:t>
        </w:r>
        <w:r>
          <w:rPr>
            <w:color w:val="0000FF"/>
            <w:spacing w:val="-8"/>
            <w:w w:val="105"/>
            <w:sz w:val="16"/>
            <w:u w:val="single" w:color="0000FF"/>
          </w:rPr>
          <w:t> </w:t>
        </w:r>
        <w:r>
          <w:rPr>
            <w:color w:val="0000FF"/>
            <w:w w:val="105"/>
            <w:sz w:val="16"/>
            <w:u w:val="single" w:color="0000FF"/>
          </w:rPr>
          <w:t>registration</w:t>
        </w:r>
        <w:r>
          <w:rPr>
            <w:color w:val="0000FF"/>
            <w:spacing w:val="-8"/>
            <w:w w:val="105"/>
            <w:sz w:val="16"/>
            <w:u w:val="single" w:color="0000FF"/>
          </w:rPr>
          <w:t> </w:t>
        </w:r>
        <w:r>
          <w:rPr>
            <w:color w:val="0000FF"/>
            <w:w w:val="105"/>
            <w:sz w:val="16"/>
            <w:u w:val="single" w:color="0000FF"/>
          </w:rPr>
          <w:t>statement</w:t>
        </w:r>
        <w:r>
          <w:rPr>
            <w:color w:val="0000FF"/>
            <w:spacing w:val="-8"/>
            <w:w w:val="105"/>
            <w:sz w:val="16"/>
            <w:u w:val="single" w:color="0000FF"/>
          </w:rPr>
          <w:t> </w:t>
        </w:r>
        <w:r>
          <w:rPr>
            <w:color w:val="0000FF"/>
            <w:w w:val="105"/>
            <w:sz w:val="16"/>
            <w:u w:val="single" w:color="0000FF"/>
          </w:rPr>
          <w:t>on</w:t>
        </w:r>
        <w:r>
          <w:rPr>
            <w:color w:val="0000FF"/>
            <w:spacing w:val="-8"/>
            <w:w w:val="105"/>
            <w:sz w:val="16"/>
            <w:u w:val="single" w:color="0000FF"/>
          </w:rPr>
          <w:t> </w:t>
        </w:r>
        <w:r>
          <w:rPr>
            <w:color w:val="0000FF"/>
            <w:w w:val="105"/>
            <w:sz w:val="16"/>
            <w:u w:val="single" w:color="0000FF"/>
          </w:rPr>
          <w:t>Form</w:t>
        </w:r>
        <w:r>
          <w:rPr>
            <w:color w:val="0000FF"/>
            <w:spacing w:val="-8"/>
            <w:w w:val="105"/>
            <w:sz w:val="16"/>
            <w:u w:val="single" w:color="0000FF"/>
          </w:rPr>
          <w:t> </w:t>
        </w:r>
        <w:r>
          <w:rPr>
            <w:color w:val="0000FF"/>
            <w:w w:val="105"/>
            <w:sz w:val="16"/>
            <w:u w:val="single" w:color="0000FF"/>
          </w:rPr>
          <w:t>S-8</w:t>
        </w:r>
        <w:r>
          <w:rPr>
            <w:color w:val="0000FF"/>
            <w:spacing w:val="-8"/>
            <w:w w:val="105"/>
            <w:sz w:val="16"/>
            <w:u w:val="single" w:color="0000FF"/>
          </w:rPr>
          <w:t> </w:t>
        </w:r>
        <w:r>
          <w:rPr>
            <w:color w:val="0000FF"/>
            <w:w w:val="105"/>
            <w:sz w:val="16"/>
            <w:u w:val="single" w:color="0000FF"/>
          </w:rPr>
          <w:t>dated</w:t>
        </w:r>
      </w:hyperlink>
      <w:r>
        <w:rPr>
          <w:color w:val="0000FF"/>
          <w:w w:val="105"/>
          <w:sz w:val="16"/>
        </w:rPr>
        <w:t> </w:t>
      </w:r>
      <w:hyperlink r:id="rId19">
        <w:r>
          <w:rPr>
            <w:color w:val="0000FF"/>
            <w:w w:val="105"/>
            <w:sz w:val="16"/>
            <w:u w:val="single" w:color="0000FF"/>
          </w:rPr>
          <w:t>May 7, 2010 (Registration Statement No. 333-166642)).</w:t>
        </w:r>
      </w:hyperlink>
    </w:p>
    <w:p>
      <w:pPr>
        <w:pStyle w:val="ListParagraph"/>
        <w:numPr>
          <w:ilvl w:val="1"/>
          <w:numId w:val="24"/>
        </w:numPr>
        <w:tabs>
          <w:tab w:pos="1659" w:val="left" w:leader="none"/>
        </w:tabs>
        <w:spacing w:line="266" w:lineRule="auto" w:before="0" w:after="0"/>
        <w:ind w:left="1659" w:right="283" w:hanging="1032"/>
        <w:jc w:val="left"/>
        <w:rPr>
          <w:sz w:val="16"/>
        </w:rPr>
      </w:pPr>
      <w:hyperlink r:id="rId20">
        <w:r>
          <w:rPr>
            <w:color w:val="0000FF"/>
            <w:w w:val="105"/>
            <w:sz w:val="16"/>
            <w:u w:val="single" w:color="0000FF"/>
          </w:rPr>
          <w:t>Shareholder Agreement, dated as of October 22, 2013, by and between Samsung Display Co., Ltd. and Corning Incorporated (Incorporated by</w:t>
        </w:r>
      </w:hyperlink>
      <w:r>
        <w:rPr>
          <w:color w:val="0000FF"/>
          <w:w w:val="105"/>
          <w:sz w:val="16"/>
        </w:rPr>
        <w:t> </w:t>
      </w:r>
      <w:hyperlink r:id="rId20">
        <w:r>
          <w:rPr>
            <w:color w:val="0000FF"/>
            <w:w w:val="105"/>
            <w:sz w:val="16"/>
            <w:u w:val="single" w:color="0000FF"/>
          </w:rPr>
          <w:t>reference</w:t>
        </w:r>
        <w:r>
          <w:rPr>
            <w:color w:val="0000FF"/>
            <w:spacing w:val="-8"/>
            <w:w w:val="105"/>
            <w:sz w:val="16"/>
            <w:u w:val="single" w:color="0000FF"/>
          </w:rPr>
          <w:t> </w:t>
        </w:r>
        <w:r>
          <w:rPr>
            <w:color w:val="0000FF"/>
            <w:w w:val="105"/>
            <w:sz w:val="16"/>
            <w:u w:val="single" w:color="0000FF"/>
          </w:rPr>
          <w:t>to</w:t>
        </w:r>
        <w:r>
          <w:rPr>
            <w:color w:val="0000FF"/>
            <w:spacing w:val="-8"/>
            <w:w w:val="105"/>
            <w:sz w:val="16"/>
            <w:u w:val="single" w:color="0000FF"/>
          </w:rPr>
          <w:t> </w:t>
        </w:r>
        <w:r>
          <w:rPr>
            <w:color w:val="0000FF"/>
            <w:w w:val="105"/>
            <w:sz w:val="16"/>
            <w:u w:val="single" w:color="0000FF"/>
          </w:rPr>
          <w:t>Exhibit</w:t>
        </w:r>
        <w:r>
          <w:rPr>
            <w:color w:val="0000FF"/>
            <w:spacing w:val="-8"/>
            <w:w w:val="105"/>
            <w:sz w:val="16"/>
            <w:u w:val="single" w:color="0000FF"/>
          </w:rPr>
          <w:t> </w:t>
        </w:r>
        <w:r>
          <w:rPr>
            <w:color w:val="0000FF"/>
            <w:w w:val="105"/>
            <w:sz w:val="16"/>
            <w:u w:val="single" w:color="0000FF"/>
          </w:rPr>
          <w:t>10.66</w:t>
        </w:r>
        <w:r>
          <w:rPr>
            <w:color w:val="0000FF"/>
            <w:spacing w:val="-6"/>
            <w:w w:val="105"/>
            <w:sz w:val="16"/>
            <w:u w:val="single" w:color="0000FF"/>
          </w:rPr>
          <w:t> </w:t>
        </w:r>
        <w:r>
          <w:rPr>
            <w:color w:val="0000FF"/>
            <w:w w:val="105"/>
            <w:sz w:val="16"/>
            <w:u w:val="single" w:color="0000FF"/>
          </w:rPr>
          <w:t>to</w:t>
        </w:r>
        <w:r>
          <w:rPr>
            <w:color w:val="0000FF"/>
            <w:spacing w:val="-8"/>
            <w:w w:val="105"/>
            <w:sz w:val="16"/>
            <w:u w:val="single" w:color="0000FF"/>
          </w:rPr>
          <w:t> </w:t>
        </w:r>
        <w:r>
          <w:rPr>
            <w:color w:val="0000FF"/>
            <w:w w:val="105"/>
            <w:sz w:val="16"/>
            <w:u w:val="single" w:color="0000FF"/>
          </w:rPr>
          <w:t>Corning’s</w:t>
        </w:r>
        <w:r>
          <w:rPr>
            <w:color w:val="0000FF"/>
            <w:spacing w:val="-8"/>
            <w:w w:val="105"/>
            <w:sz w:val="16"/>
            <w:u w:val="single" w:color="0000FF"/>
          </w:rPr>
          <w:t> </w:t>
        </w:r>
        <w:r>
          <w:rPr>
            <w:color w:val="0000FF"/>
            <w:w w:val="105"/>
            <w:sz w:val="16"/>
            <w:u w:val="single" w:color="0000FF"/>
          </w:rPr>
          <w:t>Form</w:t>
        </w:r>
        <w:r>
          <w:rPr>
            <w:color w:val="0000FF"/>
            <w:spacing w:val="-8"/>
            <w:w w:val="105"/>
            <w:sz w:val="16"/>
            <w:u w:val="single" w:color="0000FF"/>
          </w:rPr>
          <w:t> </w:t>
        </w:r>
        <w:r>
          <w:rPr>
            <w:color w:val="0000FF"/>
            <w:w w:val="105"/>
            <w:sz w:val="16"/>
            <w:u w:val="single" w:color="0000FF"/>
          </w:rPr>
          <w:t>10-K</w:t>
        </w:r>
        <w:r>
          <w:rPr>
            <w:color w:val="0000FF"/>
            <w:spacing w:val="-8"/>
            <w:w w:val="105"/>
            <w:sz w:val="16"/>
            <w:u w:val="single" w:color="0000FF"/>
          </w:rPr>
          <w:t> </w:t>
        </w:r>
        <w:r>
          <w:rPr>
            <w:color w:val="0000FF"/>
            <w:w w:val="105"/>
            <w:sz w:val="16"/>
            <w:u w:val="single" w:color="0000FF"/>
          </w:rPr>
          <w:t>filed</w:t>
        </w:r>
        <w:r>
          <w:rPr>
            <w:color w:val="0000FF"/>
            <w:spacing w:val="-8"/>
            <w:w w:val="105"/>
            <w:sz w:val="16"/>
            <w:u w:val="single" w:color="0000FF"/>
          </w:rPr>
          <w:t> </w:t>
        </w:r>
        <w:r>
          <w:rPr>
            <w:color w:val="0000FF"/>
            <w:w w:val="105"/>
            <w:sz w:val="16"/>
            <w:u w:val="single" w:color="0000FF"/>
          </w:rPr>
          <w:t>on</w:t>
        </w:r>
        <w:r>
          <w:rPr>
            <w:color w:val="0000FF"/>
            <w:spacing w:val="-8"/>
            <w:w w:val="105"/>
            <w:sz w:val="16"/>
            <w:u w:val="single" w:color="0000FF"/>
          </w:rPr>
          <w:t> </w:t>
        </w:r>
        <w:r>
          <w:rPr>
            <w:color w:val="0000FF"/>
            <w:w w:val="105"/>
            <w:sz w:val="16"/>
            <w:u w:val="single" w:color="0000FF"/>
          </w:rPr>
          <w:t>February</w:t>
        </w:r>
        <w:r>
          <w:rPr>
            <w:color w:val="0000FF"/>
            <w:spacing w:val="-8"/>
            <w:w w:val="105"/>
            <w:sz w:val="16"/>
            <w:u w:val="single" w:color="0000FF"/>
          </w:rPr>
          <w:t> </w:t>
        </w:r>
        <w:r>
          <w:rPr>
            <w:color w:val="0000FF"/>
            <w:w w:val="105"/>
            <w:sz w:val="16"/>
            <w:u w:val="single" w:color="0000FF"/>
          </w:rPr>
          <w:t>10,</w:t>
        </w:r>
        <w:r>
          <w:rPr>
            <w:color w:val="0000FF"/>
            <w:spacing w:val="-8"/>
            <w:w w:val="105"/>
            <w:sz w:val="16"/>
            <w:u w:val="single" w:color="0000FF"/>
          </w:rPr>
          <w:t> </w:t>
        </w:r>
        <w:r>
          <w:rPr>
            <w:color w:val="0000FF"/>
            <w:w w:val="105"/>
            <w:sz w:val="16"/>
            <w:u w:val="single" w:color="0000FF"/>
          </w:rPr>
          <w:t>2014,</w:t>
        </w:r>
        <w:r>
          <w:rPr>
            <w:color w:val="0000FF"/>
            <w:spacing w:val="-8"/>
            <w:w w:val="105"/>
            <w:sz w:val="16"/>
            <w:u w:val="single" w:color="0000FF"/>
          </w:rPr>
          <w:t> </w:t>
        </w:r>
        <w:r>
          <w:rPr>
            <w:color w:val="0000FF"/>
            <w:w w:val="105"/>
            <w:sz w:val="16"/>
            <w:u w:val="single" w:color="0000FF"/>
          </w:rPr>
          <w:t>as</w:t>
        </w:r>
        <w:r>
          <w:rPr>
            <w:color w:val="0000FF"/>
            <w:spacing w:val="-8"/>
            <w:w w:val="105"/>
            <w:sz w:val="16"/>
            <w:u w:val="single" w:color="0000FF"/>
          </w:rPr>
          <w:t> </w:t>
        </w:r>
        <w:r>
          <w:rPr>
            <w:color w:val="0000FF"/>
            <w:w w:val="105"/>
            <w:sz w:val="16"/>
            <w:u w:val="single" w:color="0000FF"/>
          </w:rPr>
          <w:t>amended</w:t>
        </w:r>
        <w:r>
          <w:rPr>
            <w:color w:val="0000FF"/>
            <w:spacing w:val="-8"/>
            <w:w w:val="105"/>
            <w:sz w:val="16"/>
            <w:u w:val="single" w:color="0000FF"/>
          </w:rPr>
          <w:t> </w:t>
        </w:r>
        <w:r>
          <w:rPr>
            <w:color w:val="0000FF"/>
            <w:w w:val="105"/>
            <w:sz w:val="16"/>
            <w:u w:val="single" w:color="0000FF"/>
          </w:rPr>
          <w:t>by</w:t>
        </w:r>
        <w:r>
          <w:rPr>
            <w:color w:val="0000FF"/>
            <w:spacing w:val="-8"/>
            <w:w w:val="105"/>
            <w:sz w:val="16"/>
            <w:u w:val="single" w:color="0000FF"/>
          </w:rPr>
          <w:t> </w:t>
        </w:r>
        <w:r>
          <w:rPr>
            <w:color w:val="0000FF"/>
            <w:w w:val="105"/>
            <w:sz w:val="16"/>
            <w:u w:val="single" w:color="0000FF"/>
          </w:rPr>
          <w:t>its</w:t>
        </w:r>
        <w:r>
          <w:rPr>
            <w:color w:val="0000FF"/>
            <w:spacing w:val="-8"/>
            <w:w w:val="105"/>
            <w:sz w:val="16"/>
            <w:u w:val="single" w:color="0000FF"/>
          </w:rPr>
          <w:t> </w:t>
        </w:r>
        <w:r>
          <w:rPr>
            <w:color w:val="0000FF"/>
            <w:w w:val="105"/>
            <w:sz w:val="16"/>
            <w:u w:val="single" w:color="0000FF"/>
          </w:rPr>
          <w:t>Form</w:t>
        </w:r>
        <w:r>
          <w:rPr>
            <w:color w:val="0000FF"/>
            <w:spacing w:val="-8"/>
            <w:w w:val="105"/>
            <w:sz w:val="16"/>
            <w:u w:val="single" w:color="0000FF"/>
          </w:rPr>
          <w:t> </w:t>
        </w:r>
        <w:r>
          <w:rPr>
            <w:color w:val="0000FF"/>
            <w:w w:val="105"/>
            <w:sz w:val="16"/>
            <w:u w:val="single" w:color="0000FF"/>
          </w:rPr>
          <w:t>10-K/A</w:t>
        </w:r>
        <w:r>
          <w:rPr>
            <w:color w:val="0000FF"/>
            <w:spacing w:val="-8"/>
            <w:w w:val="105"/>
            <w:sz w:val="16"/>
            <w:u w:val="single" w:color="0000FF"/>
          </w:rPr>
          <w:t> </w:t>
        </w:r>
        <w:r>
          <w:rPr>
            <w:color w:val="0000FF"/>
            <w:w w:val="105"/>
            <w:sz w:val="16"/>
            <w:u w:val="single" w:color="0000FF"/>
          </w:rPr>
          <w:t>filed</w:t>
        </w:r>
        <w:r>
          <w:rPr>
            <w:color w:val="0000FF"/>
            <w:spacing w:val="-8"/>
            <w:w w:val="105"/>
            <w:sz w:val="16"/>
            <w:u w:val="single" w:color="0000FF"/>
          </w:rPr>
          <w:t> </w:t>
        </w:r>
        <w:r>
          <w:rPr>
            <w:color w:val="0000FF"/>
            <w:w w:val="105"/>
            <w:sz w:val="16"/>
            <w:u w:val="single" w:color="0000FF"/>
          </w:rPr>
          <w:t>on</w:t>
        </w:r>
        <w:r>
          <w:rPr>
            <w:color w:val="0000FF"/>
            <w:spacing w:val="-8"/>
            <w:w w:val="105"/>
            <w:sz w:val="16"/>
            <w:u w:val="single" w:color="0000FF"/>
          </w:rPr>
          <w:t> </w:t>
        </w:r>
        <w:r>
          <w:rPr>
            <w:color w:val="0000FF"/>
            <w:w w:val="105"/>
            <w:sz w:val="16"/>
            <w:u w:val="single" w:color="0000FF"/>
          </w:rPr>
          <w:t>March</w:t>
        </w:r>
        <w:r>
          <w:rPr>
            <w:color w:val="0000FF"/>
            <w:spacing w:val="-8"/>
            <w:w w:val="105"/>
            <w:sz w:val="16"/>
            <w:u w:val="single" w:color="0000FF"/>
          </w:rPr>
          <w:t> </w:t>
        </w:r>
        <w:r>
          <w:rPr>
            <w:color w:val="0000FF"/>
            <w:w w:val="105"/>
            <w:sz w:val="16"/>
            <w:u w:val="single" w:color="0000FF"/>
          </w:rPr>
          <w:t>21,</w:t>
        </w:r>
        <w:r>
          <w:rPr>
            <w:color w:val="0000FF"/>
            <w:spacing w:val="-8"/>
            <w:w w:val="105"/>
            <w:sz w:val="16"/>
            <w:u w:val="single" w:color="0000FF"/>
          </w:rPr>
          <w:t> </w:t>
        </w:r>
        <w:r>
          <w:rPr>
            <w:color w:val="0000FF"/>
            <w:w w:val="105"/>
            <w:sz w:val="16"/>
            <w:u w:val="single" w:color="0000FF"/>
          </w:rPr>
          <w:t>2014</w:t>
        </w:r>
        <w:r>
          <w:rPr>
            <w:color w:val="0000FF"/>
            <w:spacing w:val="-6"/>
            <w:w w:val="105"/>
            <w:sz w:val="16"/>
            <w:u w:val="single" w:color="0000FF"/>
          </w:rPr>
          <w:t> </w:t>
        </w:r>
        <w:r>
          <w:rPr>
            <w:color w:val="0000FF"/>
            <w:w w:val="105"/>
            <w:sz w:val="16"/>
            <w:u w:val="single" w:color="0000FF"/>
          </w:rPr>
          <w:t>and</w:t>
        </w:r>
        <w:r>
          <w:rPr>
            <w:color w:val="0000FF"/>
            <w:spacing w:val="-8"/>
            <w:w w:val="105"/>
            <w:sz w:val="16"/>
            <w:u w:val="single" w:color="0000FF"/>
          </w:rPr>
          <w:t> </w:t>
        </w:r>
        <w:r>
          <w:rPr>
            <w:color w:val="0000FF"/>
            <w:w w:val="105"/>
            <w:sz w:val="16"/>
            <w:u w:val="single" w:color="0000FF"/>
          </w:rPr>
          <w:t>further</w:t>
        </w:r>
      </w:hyperlink>
      <w:r>
        <w:rPr>
          <w:color w:val="0000FF"/>
          <w:w w:val="105"/>
          <w:sz w:val="16"/>
        </w:rPr>
        <w:t> </w:t>
      </w:r>
      <w:hyperlink r:id="rId20">
        <w:r>
          <w:rPr>
            <w:color w:val="0000FF"/>
            <w:w w:val="105"/>
            <w:sz w:val="16"/>
            <w:u w:val="single" w:color="0000FF"/>
          </w:rPr>
          <w:t>amended</w:t>
        </w:r>
        <w:r>
          <w:rPr>
            <w:color w:val="0000FF"/>
            <w:spacing w:val="-6"/>
            <w:w w:val="105"/>
            <w:sz w:val="16"/>
            <w:u w:val="single" w:color="0000FF"/>
          </w:rPr>
          <w:t> </w:t>
        </w:r>
        <w:r>
          <w:rPr>
            <w:color w:val="0000FF"/>
            <w:w w:val="105"/>
            <w:sz w:val="16"/>
            <w:u w:val="single" w:color="0000FF"/>
          </w:rPr>
          <w:t>by</w:t>
        </w:r>
        <w:r>
          <w:rPr>
            <w:color w:val="0000FF"/>
            <w:spacing w:val="-6"/>
            <w:w w:val="105"/>
            <w:sz w:val="16"/>
            <w:u w:val="single" w:color="0000FF"/>
          </w:rPr>
          <w:t> </w:t>
        </w:r>
        <w:r>
          <w:rPr>
            <w:color w:val="0000FF"/>
            <w:w w:val="105"/>
            <w:sz w:val="16"/>
            <w:u w:val="single" w:color="0000FF"/>
          </w:rPr>
          <w:t>the</w:t>
        </w:r>
        <w:r>
          <w:rPr>
            <w:color w:val="0000FF"/>
            <w:spacing w:val="-6"/>
            <w:w w:val="105"/>
            <w:sz w:val="16"/>
            <w:u w:val="single" w:color="0000FF"/>
          </w:rPr>
          <w:t> </w:t>
        </w:r>
        <w:r>
          <w:rPr>
            <w:color w:val="0000FF"/>
            <w:w w:val="105"/>
            <w:sz w:val="16"/>
            <w:u w:val="single" w:color="0000FF"/>
          </w:rPr>
          <w:t>First</w:t>
        </w:r>
        <w:r>
          <w:rPr>
            <w:color w:val="0000FF"/>
            <w:spacing w:val="-6"/>
            <w:w w:val="105"/>
            <w:sz w:val="16"/>
            <w:u w:val="single" w:color="0000FF"/>
          </w:rPr>
          <w:t> </w:t>
        </w:r>
        <w:r>
          <w:rPr>
            <w:color w:val="0000FF"/>
            <w:w w:val="105"/>
            <w:sz w:val="16"/>
            <w:u w:val="single" w:color="0000FF"/>
          </w:rPr>
          <w:t>Amendment</w:t>
        </w:r>
        <w:r>
          <w:rPr>
            <w:color w:val="0000FF"/>
            <w:spacing w:val="-4"/>
            <w:w w:val="105"/>
            <w:sz w:val="16"/>
            <w:u w:val="single" w:color="0000FF"/>
          </w:rPr>
          <w:t> </w:t>
        </w:r>
        <w:r>
          <w:rPr>
            <w:color w:val="0000FF"/>
            <w:w w:val="105"/>
            <w:sz w:val="16"/>
            <w:u w:val="single" w:color="0000FF"/>
          </w:rPr>
          <w:t>to</w:t>
        </w:r>
        <w:r>
          <w:rPr>
            <w:color w:val="0000FF"/>
            <w:spacing w:val="-6"/>
            <w:w w:val="105"/>
            <w:sz w:val="16"/>
            <w:u w:val="single" w:color="0000FF"/>
          </w:rPr>
          <w:t> </w:t>
        </w:r>
        <w:r>
          <w:rPr>
            <w:color w:val="0000FF"/>
            <w:w w:val="105"/>
            <w:sz w:val="16"/>
            <w:u w:val="single" w:color="0000FF"/>
          </w:rPr>
          <w:t>Shareholder</w:t>
        </w:r>
        <w:r>
          <w:rPr>
            <w:color w:val="0000FF"/>
            <w:spacing w:val="-6"/>
            <w:w w:val="105"/>
            <w:sz w:val="16"/>
            <w:u w:val="single" w:color="0000FF"/>
          </w:rPr>
          <w:t> </w:t>
        </w:r>
        <w:r>
          <w:rPr>
            <w:color w:val="0000FF"/>
            <w:w w:val="105"/>
            <w:sz w:val="16"/>
            <w:u w:val="single" w:color="0000FF"/>
          </w:rPr>
          <w:t>Agreement,</w:t>
        </w:r>
        <w:r>
          <w:rPr>
            <w:color w:val="0000FF"/>
            <w:spacing w:val="-6"/>
            <w:w w:val="105"/>
            <w:sz w:val="16"/>
            <w:u w:val="single" w:color="0000FF"/>
          </w:rPr>
          <w:t> </w:t>
        </w:r>
        <w:r>
          <w:rPr>
            <w:color w:val="0000FF"/>
            <w:w w:val="105"/>
            <w:sz w:val="16"/>
            <w:u w:val="single" w:color="0000FF"/>
          </w:rPr>
          <w:t>dated</w:t>
        </w:r>
        <w:r>
          <w:rPr>
            <w:color w:val="0000FF"/>
            <w:spacing w:val="-6"/>
            <w:w w:val="105"/>
            <w:sz w:val="16"/>
            <w:u w:val="single" w:color="0000FF"/>
          </w:rPr>
          <w:t> </w:t>
        </w:r>
        <w:r>
          <w:rPr>
            <w:color w:val="0000FF"/>
            <w:w w:val="105"/>
            <w:sz w:val="16"/>
            <w:u w:val="single" w:color="0000FF"/>
          </w:rPr>
          <w:t>April</w:t>
        </w:r>
        <w:r>
          <w:rPr>
            <w:color w:val="0000FF"/>
            <w:spacing w:val="-6"/>
            <w:w w:val="105"/>
            <w:sz w:val="16"/>
            <w:u w:val="single" w:color="0000FF"/>
          </w:rPr>
          <w:t> </w:t>
        </w:r>
        <w:r>
          <w:rPr>
            <w:color w:val="0000FF"/>
            <w:w w:val="105"/>
            <w:sz w:val="16"/>
            <w:u w:val="single" w:color="0000FF"/>
          </w:rPr>
          <w:t>5,</w:t>
        </w:r>
        <w:r>
          <w:rPr>
            <w:color w:val="0000FF"/>
            <w:spacing w:val="-6"/>
            <w:w w:val="105"/>
            <w:sz w:val="16"/>
            <w:u w:val="single" w:color="0000FF"/>
          </w:rPr>
          <w:t> </w:t>
        </w:r>
        <w:r>
          <w:rPr>
            <w:color w:val="0000FF"/>
            <w:w w:val="105"/>
            <w:sz w:val="16"/>
            <w:u w:val="single" w:color="0000FF"/>
          </w:rPr>
          <w:t>2021,</w:t>
        </w:r>
        <w:r>
          <w:rPr>
            <w:color w:val="0000FF"/>
            <w:spacing w:val="-6"/>
            <w:w w:val="105"/>
            <w:sz w:val="16"/>
            <w:u w:val="single" w:color="0000FF"/>
          </w:rPr>
          <w:t> </w:t>
        </w:r>
        <w:r>
          <w:rPr>
            <w:color w:val="0000FF"/>
            <w:w w:val="105"/>
            <w:sz w:val="16"/>
            <w:u w:val="single" w:color="0000FF"/>
          </w:rPr>
          <w:t>incorporated</w:t>
        </w:r>
        <w:r>
          <w:rPr>
            <w:color w:val="0000FF"/>
            <w:spacing w:val="-6"/>
            <w:w w:val="105"/>
            <w:sz w:val="16"/>
            <w:u w:val="single" w:color="0000FF"/>
          </w:rPr>
          <w:t> </w:t>
        </w:r>
        <w:r>
          <w:rPr>
            <w:color w:val="0000FF"/>
            <w:w w:val="105"/>
            <w:sz w:val="16"/>
            <w:u w:val="single" w:color="0000FF"/>
          </w:rPr>
          <w:t>by</w:t>
        </w:r>
        <w:r>
          <w:rPr>
            <w:color w:val="0000FF"/>
            <w:spacing w:val="-6"/>
            <w:w w:val="105"/>
            <w:sz w:val="16"/>
            <w:u w:val="single" w:color="0000FF"/>
          </w:rPr>
          <w:t> </w:t>
        </w:r>
        <w:r>
          <w:rPr>
            <w:color w:val="0000FF"/>
            <w:w w:val="105"/>
            <w:sz w:val="16"/>
            <w:u w:val="single" w:color="0000FF"/>
          </w:rPr>
          <w:t>reference</w:t>
        </w:r>
        <w:r>
          <w:rPr>
            <w:color w:val="0000FF"/>
            <w:spacing w:val="-6"/>
            <w:w w:val="105"/>
            <w:sz w:val="16"/>
            <w:u w:val="single" w:color="0000FF"/>
          </w:rPr>
          <w:t> </w:t>
        </w:r>
        <w:r>
          <w:rPr>
            <w:color w:val="0000FF"/>
            <w:w w:val="105"/>
            <w:sz w:val="16"/>
            <w:u w:val="single" w:color="0000FF"/>
          </w:rPr>
          <w:t>to</w:t>
        </w:r>
        <w:r>
          <w:rPr>
            <w:color w:val="0000FF"/>
            <w:spacing w:val="-6"/>
            <w:w w:val="105"/>
            <w:sz w:val="16"/>
            <w:u w:val="single" w:color="0000FF"/>
          </w:rPr>
          <w:t> </w:t>
        </w:r>
        <w:r>
          <w:rPr>
            <w:color w:val="0000FF"/>
            <w:w w:val="105"/>
            <w:sz w:val="16"/>
            <w:u w:val="single" w:color="0000FF"/>
          </w:rPr>
          <w:t>Exhibit</w:t>
        </w:r>
        <w:r>
          <w:rPr>
            <w:color w:val="0000FF"/>
            <w:spacing w:val="-6"/>
            <w:w w:val="105"/>
            <w:sz w:val="16"/>
            <w:u w:val="single" w:color="0000FF"/>
          </w:rPr>
          <w:t> </w:t>
        </w:r>
        <w:r>
          <w:rPr>
            <w:color w:val="0000FF"/>
            <w:w w:val="105"/>
            <w:sz w:val="16"/>
            <w:u w:val="single" w:color="0000FF"/>
          </w:rPr>
          <w:t>10.2</w:t>
        </w:r>
        <w:r>
          <w:rPr>
            <w:color w:val="0000FF"/>
            <w:spacing w:val="-6"/>
            <w:w w:val="105"/>
            <w:sz w:val="16"/>
            <w:u w:val="single" w:color="0000FF"/>
          </w:rPr>
          <w:t> </w:t>
        </w:r>
        <w:r>
          <w:rPr>
            <w:color w:val="0000FF"/>
            <w:w w:val="105"/>
            <w:sz w:val="16"/>
            <w:u w:val="single" w:color="0000FF"/>
          </w:rPr>
          <w:t>to</w:t>
        </w:r>
        <w:r>
          <w:rPr>
            <w:color w:val="0000FF"/>
            <w:spacing w:val="-6"/>
            <w:w w:val="105"/>
            <w:sz w:val="16"/>
            <w:u w:val="single" w:color="0000FF"/>
          </w:rPr>
          <w:t> </w:t>
        </w:r>
        <w:r>
          <w:rPr>
            <w:color w:val="0000FF"/>
            <w:w w:val="105"/>
            <w:sz w:val="16"/>
            <w:u w:val="single" w:color="0000FF"/>
          </w:rPr>
          <w:t>Corning's</w:t>
        </w:r>
        <w:r>
          <w:rPr>
            <w:color w:val="0000FF"/>
            <w:spacing w:val="-6"/>
            <w:w w:val="105"/>
            <w:sz w:val="16"/>
            <w:u w:val="single" w:color="0000FF"/>
          </w:rPr>
          <w:t> </w:t>
        </w:r>
        <w:r>
          <w:rPr>
            <w:color w:val="0000FF"/>
            <w:w w:val="105"/>
            <w:sz w:val="16"/>
            <w:u w:val="single" w:color="0000FF"/>
          </w:rPr>
          <w:t>Form</w:t>
        </w:r>
        <w:r>
          <w:rPr>
            <w:color w:val="0000FF"/>
            <w:spacing w:val="-6"/>
            <w:w w:val="105"/>
            <w:sz w:val="16"/>
            <w:u w:val="single" w:color="0000FF"/>
          </w:rPr>
          <w:t> </w:t>
        </w:r>
        <w:r>
          <w:rPr>
            <w:color w:val="0000FF"/>
            <w:w w:val="105"/>
            <w:sz w:val="16"/>
            <w:u w:val="single" w:color="0000FF"/>
          </w:rPr>
          <w:t>8-K</w:t>
        </w:r>
      </w:hyperlink>
      <w:r>
        <w:rPr>
          <w:color w:val="0000FF"/>
          <w:w w:val="105"/>
          <w:sz w:val="16"/>
        </w:rPr>
        <w:t> </w:t>
      </w:r>
      <w:hyperlink r:id="rId20">
        <w:r>
          <w:rPr>
            <w:color w:val="0000FF"/>
            <w:w w:val="105"/>
            <w:sz w:val="16"/>
            <w:u w:val="single" w:color="0000FF"/>
          </w:rPr>
          <w:t>filed on April 5, 2021).</w:t>
        </w:r>
      </w:hyperlink>
    </w:p>
    <w:p>
      <w:pPr>
        <w:pStyle w:val="ListParagraph"/>
        <w:numPr>
          <w:ilvl w:val="1"/>
          <w:numId w:val="24"/>
        </w:numPr>
        <w:tabs>
          <w:tab w:pos="1659" w:val="left" w:leader="none"/>
        </w:tabs>
        <w:spacing w:line="266" w:lineRule="auto" w:before="0" w:after="0"/>
        <w:ind w:left="1659" w:right="113" w:hanging="1032"/>
        <w:jc w:val="left"/>
        <w:rPr>
          <w:sz w:val="16"/>
        </w:rPr>
      </w:pPr>
      <w:hyperlink r:id="rId21">
        <w:r>
          <w:rPr>
            <w:color w:val="0000FF"/>
            <w:w w:val="105"/>
            <w:sz w:val="16"/>
            <w:u w:val="single" w:color="0000FF"/>
          </w:rPr>
          <w:t>Standstill</w:t>
        </w:r>
        <w:r>
          <w:rPr>
            <w:color w:val="0000FF"/>
            <w:spacing w:val="-1"/>
            <w:w w:val="105"/>
            <w:sz w:val="16"/>
            <w:u w:val="single" w:color="0000FF"/>
          </w:rPr>
          <w:t> </w:t>
        </w:r>
        <w:r>
          <w:rPr>
            <w:color w:val="0000FF"/>
            <w:w w:val="105"/>
            <w:sz w:val="16"/>
            <w:u w:val="single" w:color="0000FF"/>
          </w:rPr>
          <w:t>Agreement,</w:t>
        </w:r>
        <w:r>
          <w:rPr>
            <w:color w:val="0000FF"/>
            <w:spacing w:val="-1"/>
            <w:w w:val="105"/>
            <w:sz w:val="16"/>
            <w:u w:val="single" w:color="0000FF"/>
          </w:rPr>
          <w:t> </w:t>
        </w:r>
        <w:r>
          <w:rPr>
            <w:color w:val="0000FF"/>
            <w:w w:val="105"/>
            <w:sz w:val="16"/>
            <w:u w:val="single" w:color="0000FF"/>
          </w:rPr>
          <w:t>dated</w:t>
        </w:r>
        <w:r>
          <w:rPr>
            <w:color w:val="0000FF"/>
            <w:spacing w:val="-1"/>
            <w:w w:val="105"/>
            <w:sz w:val="16"/>
            <w:u w:val="single" w:color="0000FF"/>
          </w:rPr>
          <w:t> </w:t>
        </w:r>
        <w:r>
          <w:rPr>
            <w:color w:val="0000FF"/>
            <w:w w:val="105"/>
            <w:sz w:val="16"/>
            <w:u w:val="single" w:color="0000FF"/>
          </w:rPr>
          <w:t>as</w:t>
        </w:r>
        <w:r>
          <w:rPr>
            <w:color w:val="0000FF"/>
            <w:spacing w:val="-1"/>
            <w:w w:val="105"/>
            <w:sz w:val="16"/>
            <w:u w:val="single" w:color="0000FF"/>
          </w:rPr>
          <w:t> </w:t>
        </w:r>
        <w:r>
          <w:rPr>
            <w:color w:val="0000FF"/>
            <w:w w:val="105"/>
            <w:sz w:val="16"/>
            <w:u w:val="single" w:color="0000FF"/>
          </w:rPr>
          <w:t>of</w:t>
        </w:r>
        <w:r>
          <w:rPr>
            <w:color w:val="0000FF"/>
            <w:spacing w:val="-1"/>
            <w:w w:val="105"/>
            <w:sz w:val="16"/>
            <w:u w:val="single" w:color="0000FF"/>
          </w:rPr>
          <w:t> </w:t>
        </w:r>
        <w:r>
          <w:rPr>
            <w:color w:val="0000FF"/>
            <w:w w:val="105"/>
            <w:sz w:val="16"/>
            <w:u w:val="single" w:color="0000FF"/>
          </w:rPr>
          <w:t>October</w:t>
        </w:r>
        <w:r>
          <w:rPr>
            <w:color w:val="0000FF"/>
            <w:spacing w:val="-1"/>
            <w:w w:val="105"/>
            <w:sz w:val="16"/>
            <w:u w:val="single" w:color="0000FF"/>
          </w:rPr>
          <w:t> </w:t>
        </w:r>
        <w:r>
          <w:rPr>
            <w:color w:val="0000FF"/>
            <w:w w:val="105"/>
            <w:sz w:val="16"/>
            <w:u w:val="single" w:color="0000FF"/>
          </w:rPr>
          <w:t>22,</w:t>
        </w:r>
        <w:r>
          <w:rPr>
            <w:color w:val="0000FF"/>
            <w:spacing w:val="-1"/>
            <w:w w:val="105"/>
            <w:sz w:val="16"/>
            <w:u w:val="single" w:color="0000FF"/>
          </w:rPr>
          <w:t> </w:t>
        </w:r>
        <w:r>
          <w:rPr>
            <w:color w:val="0000FF"/>
            <w:w w:val="105"/>
            <w:sz w:val="16"/>
            <w:u w:val="single" w:color="0000FF"/>
          </w:rPr>
          <w:t>2013,</w:t>
        </w:r>
        <w:r>
          <w:rPr>
            <w:color w:val="0000FF"/>
            <w:spacing w:val="-1"/>
            <w:w w:val="105"/>
            <w:sz w:val="16"/>
            <w:u w:val="single" w:color="0000FF"/>
          </w:rPr>
          <w:t> </w:t>
        </w:r>
        <w:r>
          <w:rPr>
            <w:color w:val="0000FF"/>
            <w:w w:val="105"/>
            <w:sz w:val="16"/>
            <w:u w:val="single" w:color="0000FF"/>
          </w:rPr>
          <w:t>by</w:t>
        </w:r>
        <w:r>
          <w:rPr>
            <w:color w:val="0000FF"/>
            <w:spacing w:val="-1"/>
            <w:w w:val="105"/>
            <w:sz w:val="16"/>
            <w:u w:val="single" w:color="0000FF"/>
          </w:rPr>
          <w:t> </w:t>
        </w:r>
        <w:r>
          <w:rPr>
            <w:color w:val="0000FF"/>
            <w:w w:val="105"/>
            <w:sz w:val="16"/>
            <w:u w:val="single" w:color="0000FF"/>
          </w:rPr>
          <w:t>and</w:t>
        </w:r>
        <w:r>
          <w:rPr>
            <w:color w:val="0000FF"/>
            <w:spacing w:val="-1"/>
            <w:w w:val="105"/>
            <w:sz w:val="16"/>
            <w:u w:val="single" w:color="0000FF"/>
          </w:rPr>
          <w:t> </w:t>
        </w:r>
        <w:r>
          <w:rPr>
            <w:color w:val="0000FF"/>
            <w:w w:val="105"/>
            <w:sz w:val="16"/>
            <w:u w:val="single" w:color="0000FF"/>
          </w:rPr>
          <w:t>among</w:t>
        </w:r>
        <w:r>
          <w:rPr>
            <w:color w:val="0000FF"/>
            <w:spacing w:val="-1"/>
            <w:w w:val="105"/>
            <w:sz w:val="16"/>
            <w:u w:val="single" w:color="0000FF"/>
          </w:rPr>
          <w:t> </w:t>
        </w:r>
        <w:r>
          <w:rPr>
            <w:color w:val="0000FF"/>
            <w:w w:val="105"/>
            <w:sz w:val="16"/>
            <w:u w:val="single" w:color="0000FF"/>
          </w:rPr>
          <w:t>Samsung</w:t>
        </w:r>
        <w:r>
          <w:rPr>
            <w:color w:val="0000FF"/>
            <w:spacing w:val="-1"/>
            <w:w w:val="105"/>
            <w:sz w:val="16"/>
            <w:u w:val="single" w:color="0000FF"/>
          </w:rPr>
          <w:t> </w:t>
        </w:r>
        <w:r>
          <w:rPr>
            <w:color w:val="0000FF"/>
            <w:w w:val="105"/>
            <w:sz w:val="16"/>
            <w:u w:val="single" w:color="0000FF"/>
          </w:rPr>
          <w:t>Electronics</w:t>
        </w:r>
        <w:r>
          <w:rPr>
            <w:color w:val="0000FF"/>
            <w:spacing w:val="-1"/>
            <w:w w:val="105"/>
            <w:sz w:val="16"/>
            <w:u w:val="single" w:color="0000FF"/>
          </w:rPr>
          <w:t> </w:t>
        </w:r>
        <w:r>
          <w:rPr>
            <w:color w:val="0000FF"/>
            <w:w w:val="105"/>
            <w:sz w:val="16"/>
            <w:u w:val="single" w:color="0000FF"/>
          </w:rPr>
          <w:t>Co.,</w:t>
        </w:r>
        <w:r>
          <w:rPr>
            <w:color w:val="0000FF"/>
            <w:spacing w:val="-1"/>
            <w:w w:val="105"/>
            <w:sz w:val="16"/>
            <w:u w:val="single" w:color="0000FF"/>
          </w:rPr>
          <w:t> </w:t>
        </w:r>
        <w:r>
          <w:rPr>
            <w:color w:val="0000FF"/>
            <w:w w:val="105"/>
            <w:sz w:val="16"/>
            <w:u w:val="single" w:color="0000FF"/>
          </w:rPr>
          <w:t>Ltd.,</w:t>
        </w:r>
        <w:r>
          <w:rPr>
            <w:color w:val="0000FF"/>
            <w:spacing w:val="-1"/>
            <w:w w:val="105"/>
            <w:sz w:val="16"/>
            <w:u w:val="single" w:color="0000FF"/>
          </w:rPr>
          <w:t> </w:t>
        </w:r>
        <w:r>
          <w:rPr>
            <w:color w:val="0000FF"/>
            <w:w w:val="105"/>
            <w:sz w:val="16"/>
            <w:u w:val="single" w:color="0000FF"/>
          </w:rPr>
          <w:t>Samsung</w:t>
        </w:r>
        <w:r>
          <w:rPr>
            <w:color w:val="0000FF"/>
            <w:spacing w:val="-1"/>
            <w:w w:val="105"/>
            <w:sz w:val="16"/>
            <w:u w:val="single" w:color="0000FF"/>
          </w:rPr>
          <w:t> </w:t>
        </w:r>
        <w:r>
          <w:rPr>
            <w:color w:val="0000FF"/>
            <w:w w:val="105"/>
            <w:sz w:val="16"/>
            <w:u w:val="single" w:color="0000FF"/>
          </w:rPr>
          <w:t>Display</w:t>
        </w:r>
        <w:r>
          <w:rPr>
            <w:color w:val="0000FF"/>
            <w:spacing w:val="-1"/>
            <w:w w:val="105"/>
            <w:sz w:val="16"/>
            <w:u w:val="single" w:color="0000FF"/>
          </w:rPr>
          <w:t> </w:t>
        </w:r>
        <w:r>
          <w:rPr>
            <w:color w:val="0000FF"/>
            <w:w w:val="105"/>
            <w:sz w:val="16"/>
            <w:u w:val="single" w:color="0000FF"/>
          </w:rPr>
          <w:t>Co.,</w:t>
        </w:r>
        <w:r>
          <w:rPr>
            <w:color w:val="0000FF"/>
            <w:spacing w:val="-1"/>
            <w:w w:val="105"/>
            <w:sz w:val="16"/>
            <w:u w:val="single" w:color="0000FF"/>
          </w:rPr>
          <w:t> </w:t>
        </w:r>
        <w:r>
          <w:rPr>
            <w:color w:val="0000FF"/>
            <w:w w:val="105"/>
            <w:sz w:val="16"/>
            <w:u w:val="single" w:color="0000FF"/>
          </w:rPr>
          <w:t>Ltd.</w:t>
        </w:r>
        <w:r>
          <w:rPr>
            <w:color w:val="0000FF"/>
            <w:spacing w:val="-1"/>
            <w:w w:val="105"/>
            <w:sz w:val="16"/>
            <w:u w:val="single" w:color="0000FF"/>
          </w:rPr>
          <w:t> </w:t>
        </w:r>
        <w:r>
          <w:rPr>
            <w:color w:val="0000FF"/>
            <w:w w:val="105"/>
            <w:sz w:val="16"/>
            <w:u w:val="single" w:color="0000FF"/>
          </w:rPr>
          <w:t>and</w:t>
        </w:r>
        <w:r>
          <w:rPr>
            <w:color w:val="0000FF"/>
            <w:spacing w:val="-1"/>
            <w:w w:val="105"/>
            <w:sz w:val="16"/>
            <w:u w:val="single" w:color="0000FF"/>
          </w:rPr>
          <w:t> </w:t>
        </w:r>
        <w:r>
          <w:rPr>
            <w:color w:val="0000FF"/>
            <w:w w:val="105"/>
            <w:sz w:val="16"/>
            <w:u w:val="single" w:color="0000FF"/>
          </w:rPr>
          <w:t>Corning</w:t>
        </w:r>
      </w:hyperlink>
      <w:r>
        <w:rPr>
          <w:color w:val="0000FF"/>
          <w:w w:val="105"/>
          <w:sz w:val="16"/>
        </w:rPr>
        <w:t> </w:t>
      </w:r>
      <w:hyperlink r:id="rId21">
        <w:r>
          <w:rPr>
            <w:color w:val="0000FF"/>
            <w:w w:val="105"/>
            <w:sz w:val="16"/>
            <w:u w:val="single" w:color="0000FF"/>
          </w:rPr>
          <w:t>Incorporated</w:t>
        </w:r>
        <w:r>
          <w:rPr>
            <w:color w:val="0000FF"/>
            <w:spacing w:val="-8"/>
            <w:w w:val="105"/>
            <w:sz w:val="16"/>
            <w:u w:val="single" w:color="0000FF"/>
          </w:rPr>
          <w:t> </w:t>
        </w:r>
        <w:r>
          <w:rPr>
            <w:color w:val="0000FF"/>
            <w:w w:val="105"/>
            <w:sz w:val="16"/>
            <w:u w:val="single" w:color="0000FF"/>
          </w:rPr>
          <w:t>(Incorporated</w:t>
        </w:r>
        <w:r>
          <w:rPr>
            <w:color w:val="0000FF"/>
            <w:spacing w:val="-8"/>
            <w:w w:val="105"/>
            <w:sz w:val="16"/>
            <w:u w:val="single" w:color="0000FF"/>
          </w:rPr>
          <w:t> </w:t>
        </w:r>
        <w:r>
          <w:rPr>
            <w:color w:val="0000FF"/>
            <w:w w:val="105"/>
            <w:sz w:val="16"/>
            <w:u w:val="single" w:color="0000FF"/>
          </w:rPr>
          <w:t>by</w:t>
        </w:r>
        <w:r>
          <w:rPr>
            <w:color w:val="0000FF"/>
            <w:spacing w:val="-8"/>
            <w:w w:val="105"/>
            <w:sz w:val="16"/>
            <w:u w:val="single" w:color="0000FF"/>
          </w:rPr>
          <w:t> </w:t>
        </w:r>
        <w:r>
          <w:rPr>
            <w:color w:val="0000FF"/>
            <w:w w:val="105"/>
            <w:sz w:val="16"/>
            <w:u w:val="single" w:color="0000FF"/>
          </w:rPr>
          <w:t>reference</w:t>
        </w:r>
        <w:r>
          <w:rPr>
            <w:color w:val="0000FF"/>
            <w:spacing w:val="-8"/>
            <w:w w:val="105"/>
            <w:sz w:val="16"/>
            <w:u w:val="single" w:color="0000FF"/>
          </w:rPr>
          <w:t> </w:t>
        </w:r>
        <w:r>
          <w:rPr>
            <w:color w:val="0000FF"/>
            <w:w w:val="105"/>
            <w:sz w:val="16"/>
            <w:u w:val="single" w:color="0000FF"/>
          </w:rPr>
          <w:t>to</w:t>
        </w:r>
        <w:r>
          <w:rPr>
            <w:color w:val="0000FF"/>
            <w:spacing w:val="-8"/>
            <w:w w:val="105"/>
            <w:sz w:val="16"/>
            <w:u w:val="single" w:color="0000FF"/>
          </w:rPr>
          <w:t> </w:t>
        </w:r>
        <w:r>
          <w:rPr>
            <w:color w:val="0000FF"/>
            <w:w w:val="105"/>
            <w:sz w:val="16"/>
            <w:u w:val="single" w:color="0000FF"/>
          </w:rPr>
          <w:t>Exhibit</w:t>
        </w:r>
        <w:r>
          <w:rPr>
            <w:color w:val="0000FF"/>
            <w:spacing w:val="-8"/>
            <w:w w:val="105"/>
            <w:sz w:val="16"/>
            <w:u w:val="single" w:color="0000FF"/>
          </w:rPr>
          <w:t> </w:t>
        </w:r>
        <w:r>
          <w:rPr>
            <w:color w:val="0000FF"/>
            <w:w w:val="105"/>
            <w:sz w:val="16"/>
            <w:u w:val="single" w:color="0000FF"/>
          </w:rPr>
          <w:t>10.67</w:t>
        </w:r>
        <w:r>
          <w:rPr>
            <w:color w:val="0000FF"/>
            <w:spacing w:val="-8"/>
            <w:w w:val="105"/>
            <w:sz w:val="16"/>
            <w:u w:val="single" w:color="0000FF"/>
          </w:rPr>
          <w:t> </w:t>
        </w:r>
        <w:r>
          <w:rPr>
            <w:color w:val="0000FF"/>
            <w:w w:val="105"/>
            <w:sz w:val="16"/>
            <w:u w:val="single" w:color="0000FF"/>
          </w:rPr>
          <w:t>to</w:t>
        </w:r>
        <w:r>
          <w:rPr>
            <w:color w:val="0000FF"/>
            <w:spacing w:val="-8"/>
            <w:w w:val="105"/>
            <w:sz w:val="16"/>
            <w:u w:val="single" w:color="0000FF"/>
          </w:rPr>
          <w:t> </w:t>
        </w:r>
        <w:r>
          <w:rPr>
            <w:color w:val="0000FF"/>
            <w:w w:val="105"/>
            <w:sz w:val="16"/>
            <w:u w:val="single" w:color="0000FF"/>
          </w:rPr>
          <w:t>Corning’s</w:t>
        </w:r>
        <w:r>
          <w:rPr>
            <w:color w:val="0000FF"/>
            <w:spacing w:val="-8"/>
            <w:w w:val="105"/>
            <w:sz w:val="16"/>
            <w:u w:val="single" w:color="0000FF"/>
          </w:rPr>
          <w:t> </w:t>
        </w:r>
        <w:r>
          <w:rPr>
            <w:color w:val="0000FF"/>
            <w:w w:val="105"/>
            <w:sz w:val="16"/>
            <w:u w:val="single" w:color="0000FF"/>
          </w:rPr>
          <w:t>Form</w:t>
        </w:r>
        <w:r>
          <w:rPr>
            <w:color w:val="0000FF"/>
            <w:spacing w:val="-8"/>
            <w:w w:val="105"/>
            <w:sz w:val="16"/>
            <w:u w:val="single" w:color="0000FF"/>
          </w:rPr>
          <w:t> </w:t>
        </w:r>
        <w:r>
          <w:rPr>
            <w:color w:val="0000FF"/>
            <w:w w:val="105"/>
            <w:sz w:val="16"/>
            <w:u w:val="single" w:color="0000FF"/>
          </w:rPr>
          <w:t>10-K</w:t>
        </w:r>
        <w:r>
          <w:rPr>
            <w:color w:val="0000FF"/>
            <w:spacing w:val="-8"/>
            <w:w w:val="105"/>
            <w:sz w:val="16"/>
            <w:u w:val="single" w:color="0000FF"/>
          </w:rPr>
          <w:t> </w:t>
        </w:r>
        <w:r>
          <w:rPr>
            <w:color w:val="0000FF"/>
            <w:w w:val="105"/>
            <w:sz w:val="16"/>
            <w:u w:val="single" w:color="0000FF"/>
          </w:rPr>
          <w:t>filed</w:t>
        </w:r>
        <w:r>
          <w:rPr>
            <w:color w:val="0000FF"/>
            <w:spacing w:val="-8"/>
            <w:w w:val="105"/>
            <w:sz w:val="16"/>
            <w:u w:val="single" w:color="0000FF"/>
          </w:rPr>
          <w:t> </w:t>
        </w:r>
        <w:r>
          <w:rPr>
            <w:color w:val="0000FF"/>
            <w:w w:val="105"/>
            <w:sz w:val="16"/>
            <w:u w:val="single" w:color="0000FF"/>
          </w:rPr>
          <w:t>on</w:t>
        </w:r>
        <w:r>
          <w:rPr>
            <w:color w:val="0000FF"/>
            <w:spacing w:val="-8"/>
            <w:w w:val="105"/>
            <w:sz w:val="16"/>
            <w:u w:val="single" w:color="0000FF"/>
          </w:rPr>
          <w:t> </w:t>
        </w:r>
        <w:r>
          <w:rPr>
            <w:color w:val="0000FF"/>
            <w:w w:val="105"/>
            <w:sz w:val="16"/>
            <w:u w:val="single" w:color="0000FF"/>
          </w:rPr>
          <w:t>February</w:t>
        </w:r>
        <w:r>
          <w:rPr>
            <w:color w:val="0000FF"/>
            <w:spacing w:val="-8"/>
            <w:w w:val="105"/>
            <w:sz w:val="16"/>
            <w:u w:val="single" w:color="0000FF"/>
          </w:rPr>
          <w:t> </w:t>
        </w:r>
        <w:r>
          <w:rPr>
            <w:color w:val="0000FF"/>
            <w:w w:val="105"/>
            <w:sz w:val="16"/>
            <w:u w:val="single" w:color="0000FF"/>
          </w:rPr>
          <w:t>10,</w:t>
        </w:r>
        <w:r>
          <w:rPr>
            <w:color w:val="0000FF"/>
            <w:spacing w:val="-8"/>
            <w:w w:val="105"/>
            <w:sz w:val="16"/>
            <w:u w:val="single" w:color="0000FF"/>
          </w:rPr>
          <w:t> </w:t>
        </w:r>
        <w:r>
          <w:rPr>
            <w:color w:val="0000FF"/>
            <w:w w:val="105"/>
            <w:sz w:val="16"/>
            <w:u w:val="single" w:color="0000FF"/>
          </w:rPr>
          <w:t>2014,</w:t>
        </w:r>
        <w:r>
          <w:rPr>
            <w:color w:val="0000FF"/>
            <w:spacing w:val="-7"/>
            <w:w w:val="105"/>
            <w:sz w:val="16"/>
            <w:u w:val="single" w:color="0000FF"/>
          </w:rPr>
          <w:t> </w:t>
        </w:r>
        <w:r>
          <w:rPr>
            <w:color w:val="0000FF"/>
            <w:w w:val="105"/>
            <w:sz w:val="16"/>
            <w:u w:val="single" w:color="0000FF"/>
          </w:rPr>
          <w:t>as</w:t>
        </w:r>
        <w:r>
          <w:rPr>
            <w:color w:val="0000FF"/>
            <w:spacing w:val="-8"/>
            <w:w w:val="105"/>
            <w:sz w:val="16"/>
            <w:u w:val="single" w:color="0000FF"/>
          </w:rPr>
          <w:t> </w:t>
        </w:r>
        <w:r>
          <w:rPr>
            <w:color w:val="0000FF"/>
            <w:w w:val="105"/>
            <w:sz w:val="16"/>
            <w:u w:val="single" w:color="0000FF"/>
          </w:rPr>
          <w:t>amended</w:t>
        </w:r>
        <w:r>
          <w:rPr>
            <w:color w:val="0000FF"/>
            <w:spacing w:val="-8"/>
            <w:w w:val="105"/>
            <w:sz w:val="16"/>
            <w:u w:val="single" w:color="0000FF"/>
          </w:rPr>
          <w:t> </w:t>
        </w:r>
        <w:r>
          <w:rPr>
            <w:color w:val="0000FF"/>
            <w:w w:val="105"/>
            <w:sz w:val="16"/>
            <w:u w:val="single" w:color="0000FF"/>
          </w:rPr>
          <w:t>by</w:t>
        </w:r>
        <w:r>
          <w:rPr>
            <w:color w:val="0000FF"/>
            <w:spacing w:val="-8"/>
            <w:w w:val="105"/>
            <w:sz w:val="16"/>
            <w:u w:val="single" w:color="0000FF"/>
          </w:rPr>
          <w:t> </w:t>
        </w:r>
        <w:r>
          <w:rPr>
            <w:color w:val="0000FF"/>
            <w:w w:val="105"/>
            <w:sz w:val="16"/>
            <w:u w:val="single" w:color="0000FF"/>
          </w:rPr>
          <w:t>its</w:t>
        </w:r>
        <w:r>
          <w:rPr>
            <w:color w:val="0000FF"/>
            <w:spacing w:val="-8"/>
            <w:w w:val="105"/>
            <w:sz w:val="16"/>
            <w:u w:val="single" w:color="0000FF"/>
          </w:rPr>
          <w:t> </w:t>
        </w:r>
        <w:r>
          <w:rPr>
            <w:color w:val="0000FF"/>
            <w:w w:val="105"/>
            <w:sz w:val="16"/>
            <w:u w:val="single" w:color="0000FF"/>
          </w:rPr>
          <w:t>Form</w:t>
        </w:r>
        <w:r>
          <w:rPr>
            <w:color w:val="0000FF"/>
            <w:spacing w:val="-8"/>
            <w:w w:val="105"/>
            <w:sz w:val="16"/>
            <w:u w:val="single" w:color="0000FF"/>
          </w:rPr>
          <w:t> </w:t>
        </w:r>
        <w:r>
          <w:rPr>
            <w:color w:val="0000FF"/>
            <w:w w:val="105"/>
            <w:sz w:val="16"/>
            <w:u w:val="single" w:color="0000FF"/>
          </w:rPr>
          <w:t>10-K/A</w:t>
        </w:r>
        <w:r>
          <w:rPr>
            <w:color w:val="0000FF"/>
            <w:spacing w:val="-8"/>
            <w:w w:val="105"/>
            <w:sz w:val="16"/>
            <w:u w:val="single" w:color="0000FF"/>
          </w:rPr>
          <w:t> </w:t>
        </w:r>
        <w:r>
          <w:rPr>
            <w:color w:val="0000FF"/>
            <w:w w:val="105"/>
            <w:sz w:val="16"/>
            <w:u w:val="single" w:color="0000FF"/>
          </w:rPr>
          <w:t>filed</w:t>
        </w:r>
        <w:r>
          <w:rPr>
            <w:color w:val="0000FF"/>
            <w:spacing w:val="-8"/>
            <w:w w:val="105"/>
            <w:sz w:val="16"/>
            <w:u w:val="single" w:color="0000FF"/>
          </w:rPr>
          <w:t> </w:t>
        </w:r>
        <w:r>
          <w:rPr>
            <w:color w:val="0000FF"/>
            <w:w w:val="105"/>
            <w:sz w:val="16"/>
            <w:u w:val="single" w:color="0000FF"/>
          </w:rPr>
          <w:t>on</w:t>
        </w:r>
      </w:hyperlink>
      <w:r>
        <w:rPr>
          <w:color w:val="0000FF"/>
          <w:w w:val="105"/>
          <w:sz w:val="16"/>
        </w:rPr>
        <w:t> </w:t>
      </w:r>
      <w:hyperlink r:id="rId21">
        <w:r>
          <w:rPr>
            <w:color w:val="0000FF"/>
            <w:w w:val="105"/>
            <w:sz w:val="16"/>
            <w:u w:val="single" w:color="0000FF"/>
          </w:rPr>
          <w:t>March 21, 2014).</w:t>
        </w:r>
      </w:hyperlink>
    </w:p>
    <w:p>
      <w:pPr>
        <w:pStyle w:val="ListParagraph"/>
        <w:numPr>
          <w:ilvl w:val="1"/>
          <w:numId w:val="24"/>
        </w:numPr>
        <w:tabs>
          <w:tab w:pos="1659" w:val="left" w:leader="none"/>
        </w:tabs>
        <w:spacing w:line="266" w:lineRule="auto" w:before="0" w:after="0"/>
        <w:ind w:left="1659" w:right="428" w:hanging="1032"/>
        <w:jc w:val="left"/>
        <w:rPr>
          <w:sz w:val="16"/>
        </w:rPr>
      </w:pPr>
      <w:hyperlink r:id="rId22">
        <w:r>
          <w:rPr>
            <w:color w:val="0000FF"/>
            <w:w w:val="105"/>
            <w:sz w:val="16"/>
            <w:u w:val="single" w:color="0000FF"/>
          </w:rPr>
          <w:t>Description</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the</w:t>
        </w:r>
        <w:r>
          <w:rPr>
            <w:color w:val="0000FF"/>
            <w:spacing w:val="-9"/>
            <w:w w:val="105"/>
            <w:sz w:val="16"/>
            <w:u w:val="single" w:color="0000FF"/>
          </w:rPr>
          <w:t> </w:t>
        </w:r>
        <w:r>
          <w:rPr>
            <w:color w:val="0000FF"/>
            <w:w w:val="105"/>
            <w:sz w:val="16"/>
            <w:u w:val="single" w:color="0000FF"/>
          </w:rPr>
          <w:t>Registrant’s</w:t>
        </w:r>
        <w:r>
          <w:rPr>
            <w:color w:val="0000FF"/>
            <w:spacing w:val="-9"/>
            <w:w w:val="105"/>
            <w:sz w:val="16"/>
            <w:u w:val="single" w:color="0000FF"/>
          </w:rPr>
          <w:t> </w:t>
        </w:r>
        <w:r>
          <w:rPr>
            <w:color w:val="0000FF"/>
            <w:w w:val="105"/>
            <w:sz w:val="16"/>
            <w:u w:val="single" w:color="0000FF"/>
          </w:rPr>
          <w:t>Securities</w:t>
        </w:r>
        <w:r>
          <w:rPr>
            <w:color w:val="0000FF"/>
            <w:spacing w:val="-9"/>
            <w:w w:val="105"/>
            <w:sz w:val="16"/>
            <w:u w:val="single" w:color="0000FF"/>
          </w:rPr>
          <w:t> </w:t>
        </w:r>
        <w:r>
          <w:rPr>
            <w:color w:val="0000FF"/>
            <w:w w:val="105"/>
            <w:sz w:val="16"/>
            <w:u w:val="single" w:color="0000FF"/>
          </w:rPr>
          <w:t>Registered</w:t>
        </w:r>
        <w:r>
          <w:rPr>
            <w:color w:val="0000FF"/>
            <w:spacing w:val="-9"/>
            <w:w w:val="105"/>
            <w:sz w:val="16"/>
            <w:u w:val="single" w:color="0000FF"/>
          </w:rPr>
          <w:t> </w:t>
        </w:r>
        <w:r>
          <w:rPr>
            <w:color w:val="0000FF"/>
            <w:w w:val="105"/>
            <w:sz w:val="16"/>
            <w:u w:val="single" w:color="0000FF"/>
          </w:rPr>
          <w:t>Pursuant</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Section</w:t>
        </w:r>
        <w:r>
          <w:rPr>
            <w:color w:val="0000FF"/>
            <w:spacing w:val="-9"/>
            <w:w w:val="105"/>
            <w:sz w:val="16"/>
            <w:u w:val="single" w:color="0000FF"/>
          </w:rPr>
          <w:t> </w:t>
        </w:r>
        <w:r>
          <w:rPr>
            <w:color w:val="0000FF"/>
            <w:w w:val="105"/>
            <w:sz w:val="16"/>
            <w:u w:val="single" w:color="0000FF"/>
          </w:rPr>
          <w:t>12</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the</w:t>
        </w:r>
        <w:r>
          <w:rPr>
            <w:color w:val="0000FF"/>
            <w:spacing w:val="-9"/>
            <w:w w:val="105"/>
            <w:sz w:val="16"/>
            <w:u w:val="single" w:color="0000FF"/>
          </w:rPr>
          <w:t> </w:t>
        </w:r>
        <w:r>
          <w:rPr>
            <w:color w:val="0000FF"/>
            <w:w w:val="105"/>
            <w:sz w:val="16"/>
            <w:u w:val="single" w:color="0000FF"/>
          </w:rPr>
          <w:t>Securities</w:t>
        </w:r>
        <w:r>
          <w:rPr>
            <w:color w:val="0000FF"/>
            <w:spacing w:val="-9"/>
            <w:w w:val="105"/>
            <w:sz w:val="16"/>
            <w:u w:val="single" w:color="0000FF"/>
          </w:rPr>
          <w:t> </w:t>
        </w:r>
        <w:r>
          <w:rPr>
            <w:color w:val="0000FF"/>
            <w:w w:val="105"/>
            <w:sz w:val="16"/>
            <w:u w:val="single" w:color="0000FF"/>
          </w:rPr>
          <w:t>Exchange</w:t>
        </w:r>
        <w:r>
          <w:rPr>
            <w:color w:val="0000FF"/>
            <w:spacing w:val="-9"/>
            <w:w w:val="105"/>
            <w:sz w:val="16"/>
            <w:u w:val="single" w:color="0000FF"/>
          </w:rPr>
          <w:t> </w:t>
        </w:r>
        <w:r>
          <w:rPr>
            <w:color w:val="0000FF"/>
            <w:w w:val="105"/>
            <w:sz w:val="16"/>
            <w:u w:val="single" w:color="0000FF"/>
          </w:rPr>
          <w:t>Act</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1934.</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hyperlink>
      <w:r>
        <w:rPr>
          <w:color w:val="0000FF"/>
          <w:w w:val="105"/>
          <w:sz w:val="16"/>
        </w:rPr>
        <w:t> </w:t>
      </w:r>
      <w:hyperlink r:id="rId22">
        <w:r>
          <w:rPr>
            <w:color w:val="0000FF"/>
            <w:w w:val="105"/>
            <w:sz w:val="16"/>
            <w:u w:val="single" w:color="0000FF"/>
          </w:rPr>
          <w:t>Exhibit 4.5 to Corning’s Form 10-K filed on February 12, 2021.)</w:t>
        </w:r>
      </w:hyperlink>
    </w:p>
    <w:p>
      <w:pPr>
        <w:pStyle w:val="ListParagraph"/>
        <w:numPr>
          <w:ilvl w:val="1"/>
          <w:numId w:val="25"/>
        </w:numPr>
        <w:tabs>
          <w:tab w:pos="1659" w:val="left" w:leader="none"/>
        </w:tabs>
        <w:spacing w:line="266" w:lineRule="auto" w:before="0" w:after="0"/>
        <w:ind w:left="1659" w:right="216" w:hanging="1032"/>
        <w:jc w:val="left"/>
        <w:rPr>
          <w:sz w:val="16"/>
        </w:rPr>
      </w:pPr>
      <w:hyperlink r:id="rId23">
        <w:r>
          <w:rPr>
            <w:color w:val="0000FF"/>
            <w:w w:val="105"/>
            <w:sz w:val="16"/>
            <w:u w:val="single" w:color="0000FF"/>
          </w:rPr>
          <w:t>2000</w:t>
        </w:r>
        <w:r>
          <w:rPr>
            <w:color w:val="0000FF"/>
            <w:spacing w:val="-10"/>
            <w:w w:val="105"/>
            <w:sz w:val="16"/>
            <w:u w:val="single" w:color="0000FF"/>
          </w:rPr>
          <w:t> </w:t>
        </w:r>
        <w:r>
          <w:rPr>
            <w:color w:val="0000FF"/>
            <w:w w:val="105"/>
            <w:sz w:val="16"/>
            <w:u w:val="single" w:color="0000FF"/>
          </w:rPr>
          <w:t>Employee</w:t>
        </w:r>
        <w:r>
          <w:rPr>
            <w:color w:val="0000FF"/>
            <w:spacing w:val="-10"/>
            <w:w w:val="105"/>
            <w:sz w:val="16"/>
            <w:u w:val="single" w:color="0000FF"/>
          </w:rPr>
          <w:t> </w:t>
        </w:r>
        <w:r>
          <w:rPr>
            <w:color w:val="0000FF"/>
            <w:w w:val="105"/>
            <w:sz w:val="16"/>
            <w:u w:val="single" w:color="0000FF"/>
          </w:rPr>
          <w:t>Equity</w:t>
        </w:r>
        <w:r>
          <w:rPr>
            <w:color w:val="0000FF"/>
            <w:spacing w:val="-10"/>
            <w:w w:val="105"/>
            <w:sz w:val="16"/>
            <w:u w:val="single" w:color="0000FF"/>
          </w:rPr>
          <w:t> </w:t>
        </w:r>
        <w:r>
          <w:rPr>
            <w:color w:val="0000FF"/>
            <w:w w:val="105"/>
            <w:sz w:val="16"/>
            <w:u w:val="single" w:color="0000FF"/>
          </w:rPr>
          <w:t>Participation</w:t>
        </w:r>
        <w:r>
          <w:rPr>
            <w:color w:val="0000FF"/>
            <w:spacing w:val="-10"/>
            <w:w w:val="105"/>
            <w:sz w:val="16"/>
            <w:u w:val="single" w:color="0000FF"/>
          </w:rPr>
          <w:t> </w:t>
        </w:r>
        <w:r>
          <w:rPr>
            <w:color w:val="0000FF"/>
            <w:w w:val="105"/>
            <w:sz w:val="16"/>
            <w:u w:val="single" w:color="0000FF"/>
          </w:rPr>
          <w:t>Program</w:t>
        </w:r>
        <w:r>
          <w:rPr>
            <w:color w:val="0000FF"/>
            <w:spacing w:val="-10"/>
            <w:w w:val="105"/>
            <w:sz w:val="16"/>
            <w:u w:val="single" w:color="0000FF"/>
          </w:rPr>
          <w:t> </w:t>
        </w:r>
        <w:r>
          <w:rPr>
            <w:color w:val="0000FF"/>
            <w:w w:val="105"/>
            <w:sz w:val="16"/>
            <w:u w:val="single" w:color="0000FF"/>
          </w:rPr>
          <w:t>and</w:t>
        </w:r>
        <w:r>
          <w:rPr>
            <w:color w:val="0000FF"/>
            <w:spacing w:val="-10"/>
            <w:w w:val="105"/>
            <w:sz w:val="16"/>
            <w:u w:val="single" w:color="0000FF"/>
          </w:rPr>
          <w:t> </w:t>
        </w:r>
        <w:r>
          <w:rPr>
            <w:color w:val="0000FF"/>
            <w:w w:val="105"/>
            <w:sz w:val="16"/>
            <w:u w:val="single" w:color="0000FF"/>
          </w:rPr>
          <w:t>2003</w:t>
        </w:r>
        <w:r>
          <w:rPr>
            <w:color w:val="0000FF"/>
            <w:spacing w:val="-10"/>
            <w:w w:val="105"/>
            <w:sz w:val="16"/>
            <w:u w:val="single" w:color="0000FF"/>
          </w:rPr>
          <w:t> </w:t>
        </w:r>
        <w:r>
          <w:rPr>
            <w:color w:val="0000FF"/>
            <w:w w:val="105"/>
            <w:sz w:val="16"/>
            <w:u w:val="single" w:color="0000FF"/>
          </w:rPr>
          <w:t>Amendments</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8"/>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Proxy</w:t>
        </w:r>
        <w:r>
          <w:rPr>
            <w:color w:val="0000FF"/>
            <w:spacing w:val="-10"/>
            <w:w w:val="105"/>
            <w:sz w:val="16"/>
            <w:u w:val="single" w:color="0000FF"/>
          </w:rPr>
          <w:t> </w:t>
        </w:r>
        <w:r>
          <w:rPr>
            <w:color w:val="0000FF"/>
            <w:w w:val="105"/>
            <w:sz w:val="16"/>
            <w:u w:val="single" w:color="0000FF"/>
          </w:rPr>
          <w:t>Statement,</w:t>
        </w:r>
        <w:r>
          <w:rPr>
            <w:color w:val="0000FF"/>
            <w:spacing w:val="-10"/>
            <w:w w:val="105"/>
            <w:sz w:val="16"/>
            <w:u w:val="single" w:color="0000FF"/>
          </w:rPr>
          <w:t> </w:t>
        </w:r>
        <w:r>
          <w:rPr>
            <w:color w:val="0000FF"/>
            <w:w w:val="105"/>
            <w:sz w:val="16"/>
            <w:u w:val="single" w:color="0000FF"/>
          </w:rPr>
          <w:t>Definitive</w:t>
        </w:r>
      </w:hyperlink>
      <w:r>
        <w:rPr>
          <w:color w:val="0000FF"/>
          <w:w w:val="105"/>
          <w:sz w:val="16"/>
        </w:rPr>
        <w:t> </w:t>
      </w:r>
      <w:hyperlink r:id="rId23">
        <w:r>
          <w:rPr>
            <w:color w:val="0000FF"/>
            <w:w w:val="105"/>
            <w:sz w:val="16"/>
            <w:u w:val="single" w:color="0000FF"/>
          </w:rPr>
          <w:t>14A filed March 10, 2003 for April 24, 2003 Annual Meeting of Shareholders).</w:t>
        </w:r>
      </w:hyperlink>
    </w:p>
    <w:p>
      <w:pPr>
        <w:pStyle w:val="ListParagraph"/>
        <w:numPr>
          <w:ilvl w:val="1"/>
          <w:numId w:val="25"/>
        </w:numPr>
        <w:tabs>
          <w:tab w:pos="1659" w:val="left" w:leader="none"/>
        </w:tabs>
        <w:spacing w:line="266" w:lineRule="auto" w:before="0" w:after="0"/>
        <w:ind w:left="1659" w:right="545" w:hanging="1032"/>
        <w:jc w:val="left"/>
        <w:rPr>
          <w:sz w:val="16"/>
        </w:rPr>
      </w:pPr>
      <w:hyperlink r:id="rId23">
        <w:r>
          <w:rPr>
            <w:color w:val="0000FF"/>
            <w:w w:val="105"/>
            <w:sz w:val="16"/>
            <w:u w:val="single" w:color="0000FF"/>
          </w:rPr>
          <w:t>2003</w:t>
        </w:r>
        <w:r>
          <w:rPr>
            <w:color w:val="0000FF"/>
            <w:spacing w:val="-9"/>
            <w:w w:val="105"/>
            <w:sz w:val="16"/>
            <w:u w:val="single" w:color="0000FF"/>
          </w:rPr>
          <w:t> </w:t>
        </w:r>
        <w:r>
          <w:rPr>
            <w:color w:val="0000FF"/>
            <w:w w:val="105"/>
            <w:sz w:val="16"/>
            <w:u w:val="single" w:color="0000FF"/>
          </w:rPr>
          <w:t>Variable</w:t>
        </w:r>
        <w:r>
          <w:rPr>
            <w:color w:val="0000FF"/>
            <w:spacing w:val="-9"/>
            <w:w w:val="105"/>
            <w:sz w:val="16"/>
            <w:u w:val="single" w:color="0000FF"/>
          </w:rPr>
          <w:t> </w:t>
        </w:r>
        <w:r>
          <w:rPr>
            <w:color w:val="0000FF"/>
            <w:w w:val="105"/>
            <w:sz w:val="16"/>
            <w:u w:val="single" w:color="0000FF"/>
          </w:rPr>
          <w:t>Compensation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2</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Proxy</w:t>
        </w:r>
        <w:r>
          <w:rPr>
            <w:color w:val="0000FF"/>
            <w:spacing w:val="-9"/>
            <w:w w:val="105"/>
            <w:sz w:val="16"/>
            <w:u w:val="single" w:color="0000FF"/>
          </w:rPr>
          <w:t> </w:t>
        </w:r>
        <w:r>
          <w:rPr>
            <w:color w:val="0000FF"/>
            <w:w w:val="105"/>
            <w:sz w:val="16"/>
            <w:u w:val="single" w:color="0000FF"/>
          </w:rPr>
          <w:t>Statement,</w:t>
        </w:r>
        <w:r>
          <w:rPr>
            <w:color w:val="0000FF"/>
            <w:spacing w:val="-9"/>
            <w:w w:val="105"/>
            <w:sz w:val="16"/>
            <w:u w:val="single" w:color="0000FF"/>
          </w:rPr>
          <w:t> </w:t>
        </w:r>
        <w:r>
          <w:rPr>
            <w:color w:val="0000FF"/>
            <w:w w:val="105"/>
            <w:sz w:val="16"/>
            <w:u w:val="single" w:color="0000FF"/>
          </w:rPr>
          <w:t>Definitive</w:t>
        </w:r>
        <w:r>
          <w:rPr>
            <w:color w:val="0000FF"/>
            <w:spacing w:val="-9"/>
            <w:w w:val="105"/>
            <w:sz w:val="16"/>
            <w:u w:val="single" w:color="0000FF"/>
          </w:rPr>
          <w:t> </w:t>
        </w:r>
        <w:r>
          <w:rPr>
            <w:color w:val="0000FF"/>
            <w:w w:val="105"/>
            <w:sz w:val="16"/>
            <w:u w:val="single" w:color="0000FF"/>
          </w:rPr>
          <w:t>14A</w:t>
        </w:r>
        <w:r>
          <w:rPr>
            <w:color w:val="0000FF"/>
            <w:spacing w:val="-9"/>
            <w:w w:val="105"/>
            <w:sz w:val="16"/>
            <w:u w:val="single" w:color="0000FF"/>
          </w:rPr>
          <w:t> </w:t>
        </w:r>
        <w:r>
          <w:rPr>
            <w:color w:val="0000FF"/>
            <w:w w:val="105"/>
            <w:sz w:val="16"/>
            <w:u w:val="single" w:color="0000FF"/>
          </w:rPr>
          <w:t>filed</w:t>
        </w:r>
        <w:r>
          <w:rPr>
            <w:color w:val="0000FF"/>
            <w:spacing w:val="-9"/>
            <w:w w:val="105"/>
            <w:sz w:val="16"/>
            <w:u w:val="single" w:color="0000FF"/>
          </w:rPr>
          <w:t> </w:t>
        </w:r>
        <w:r>
          <w:rPr>
            <w:color w:val="0000FF"/>
            <w:w w:val="105"/>
            <w:sz w:val="16"/>
            <w:u w:val="single" w:color="0000FF"/>
          </w:rPr>
          <w:t>March</w:t>
        </w:r>
        <w:r>
          <w:rPr>
            <w:color w:val="0000FF"/>
            <w:spacing w:val="-9"/>
            <w:w w:val="105"/>
            <w:sz w:val="16"/>
            <w:u w:val="single" w:color="0000FF"/>
          </w:rPr>
          <w:t> </w:t>
        </w:r>
        <w:r>
          <w:rPr>
            <w:color w:val="0000FF"/>
            <w:w w:val="105"/>
            <w:sz w:val="16"/>
            <w:u w:val="single" w:color="0000FF"/>
          </w:rPr>
          <w:t>10,</w:t>
        </w:r>
        <w:r>
          <w:rPr>
            <w:color w:val="0000FF"/>
            <w:spacing w:val="-9"/>
            <w:w w:val="105"/>
            <w:sz w:val="16"/>
            <w:u w:val="single" w:color="0000FF"/>
          </w:rPr>
          <w:t> </w:t>
        </w:r>
        <w:r>
          <w:rPr>
            <w:color w:val="0000FF"/>
            <w:w w:val="105"/>
            <w:sz w:val="16"/>
            <w:u w:val="single" w:color="0000FF"/>
          </w:rPr>
          <w:t>2003</w:t>
        </w:r>
        <w:r>
          <w:rPr>
            <w:color w:val="0000FF"/>
            <w:spacing w:val="-9"/>
            <w:w w:val="105"/>
            <w:sz w:val="16"/>
            <w:u w:val="single" w:color="0000FF"/>
          </w:rPr>
          <w:t> </w:t>
        </w:r>
        <w:r>
          <w:rPr>
            <w:color w:val="0000FF"/>
            <w:w w:val="105"/>
            <w:sz w:val="16"/>
            <w:u w:val="single" w:color="0000FF"/>
          </w:rPr>
          <w:t>for</w:t>
        </w:r>
      </w:hyperlink>
      <w:r>
        <w:rPr>
          <w:color w:val="0000FF"/>
          <w:w w:val="105"/>
          <w:sz w:val="16"/>
        </w:rPr>
        <w:t> </w:t>
      </w:r>
      <w:hyperlink r:id="rId23">
        <w:r>
          <w:rPr>
            <w:color w:val="0000FF"/>
            <w:w w:val="105"/>
            <w:sz w:val="16"/>
            <w:u w:val="single" w:color="0000FF"/>
          </w:rPr>
          <w:t>April 24, 2003 Annual Meeting of Shareholders).</w:t>
        </w:r>
      </w:hyperlink>
    </w:p>
    <w:p>
      <w:pPr>
        <w:pStyle w:val="ListParagraph"/>
        <w:numPr>
          <w:ilvl w:val="1"/>
          <w:numId w:val="25"/>
        </w:numPr>
        <w:tabs>
          <w:tab w:pos="1659" w:val="left" w:leader="none"/>
        </w:tabs>
        <w:spacing w:line="266" w:lineRule="auto" w:before="0" w:after="0"/>
        <w:ind w:left="1659" w:right="331" w:hanging="1032"/>
        <w:jc w:val="left"/>
        <w:rPr>
          <w:sz w:val="16"/>
        </w:rPr>
      </w:pPr>
      <w:hyperlink r:id="rId23">
        <w:r>
          <w:rPr>
            <w:color w:val="0000FF"/>
            <w:w w:val="105"/>
            <w:sz w:val="16"/>
            <w:u w:val="single" w:color="0000FF"/>
          </w:rPr>
          <w:t>2003</w:t>
        </w:r>
        <w:r>
          <w:rPr>
            <w:color w:val="0000FF"/>
            <w:spacing w:val="-9"/>
            <w:w w:val="105"/>
            <w:sz w:val="16"/>
            <w:u w:val="single" w:color="0000FF"/>
          </w:rPr>
          <w:t> </w:t>
        </w:r>
        <w:r>
          <w:rPr>
            <w:color w:val="0000FF"/>
            <w:w w:val="105"/>
            <w:sz w:val="16"/>
            <w:u w:val="single" w:color="0000FF"/>
          </w:rPr>
          <w:t>Equity</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for</w:t>
        </w:r>
        <w:r>
          <w:rPr>
            <w:color w:val="0000FF"/>
            <w:spacing w:val="-9"/>
            <w:w w:val="105"/>
            <w:sz w:val="16"/>
            <w:u w:val="single" w:color="0000FF"/>
          </w:rPr>
          <w:t> </w:t>
        </w:r>
        <w:r>
          <w:rPr>
            <w:color w:val="0000FF"/>
            <w:w w:val="105"/>
            <w:sz w:val="16"/>
            <w:u w:val="single" w:color="0000FF"/>
          </w:rPr>
          <w:t>Non-Employee</w:t>
        </w:r>
        <w:r>
          <w:rPr>
            <w:color w:val="0000FF"/>
            <w:spacing w:val="-9"/>
            <w:w w:val="105"/>
            <w:sz w:val="16"/>
            <w:u w:val="single" w:color="0000FF"/>
          </w:rPr>
          <w:t> </w:t>
        </w:r>
        <w:r>
          <w:rPr>
            <w:color w:val="0000FF"/>
            <w:w w:val="105"/>
            <w:sz w:val="16"/>
            <w:u w:val="single" w:color="0000FF"/>
          </w:rPr>
          <w:t>Directors</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3</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Proxy</w:t>
        </w:r>
        <w:r>
          <w:rPr>
            <w:color w:val="0000FF"/>
            <w:spacing w:val="-9"/>
            <w:w w:val="105"/>
            <w:sz w:val="16"/>
            <w:u w:val="single" w:color="0000FF"/>
          </w:rPr>
          <w:t> </w:t>
        </w:r>
        <w:r>
          <w:rPr>
            <w:color w:val="0000FF"/>
            <w:w w:val="105"/>
            <w:sz w:val="16"/>
            <w:u w:val="single" w:color="0000FF"/>
          </w:rPr>
          <w:t>Statement,</w:t>
        </w:r>
        <w:r>
          <w:rPr>
            <w:color w:val="0000FF"/>
            <w:spacing w:val="-9"/>
            <w:w w:val="105"/>
            <w:sz w:val="16"/>
            <w:u w:val="single" w:color="0000FF"/>
          </w:rPr>
          <w:t> </w:t>
        </w:r>
        <w:r>
          <w:rPr>
            <w:color w:val="0000FF"/>
            <w:w w:val="105"/>
            <w:sz w:val="16"/>
            <w:u w:val="single" w:color="0000FF"/>
          </w:rPr>
          <w:t>Definitive</w:t>
        </w:r>
        <w:r>
          <w:rPr>
            <w:color w:val="0000FF"/>
            <w:spacing w:val="-9"/>
            <w:w w:val="105"/>
            <w:sz w:val="16"/>
            <w:u w:val="single" w:color="0000FF"/>
          </w:rPr>
          <w:t> </w:t>
        </w:r>
        <w:r>
          <w:rPr>
            <w:color w:val="0000FF"/>
            <w:w w:val="105"/>
            <w:sz w:val="16"/>
            <w:u w:val="single" w:color="0000FF"/>
          </w:rPr>
          <w:t>14A</w:t>
        </w:r>
        <w:r>
          <w:rPr>
            <w:color w:val="0000FF"/>
            <w:spacing w:val="-9"/>
            <w:w w:val="105"/>
            <w:sz w:val="16"/>
            <w:u w:val="single" w:color="0000FF"/>
          </w:rPr>
          <w:t> </w:t>
        </w:r>
        <w:r>
          <w:rPr>
            <w:color w:val="0000FF"/>
            <w:w w:val="105"/>
            <w:sz w:val="16"/>
            <w:u w:val="single" w:color="0000FF"/>
          </w:rPr>
          <w:t>filed</w:t>
        </w:r>
        <w:r>
          <w:rPr>
            <w:color w:val="0000FF"/>
            <w:spacing w:val="-9"/>
            <w:w w:val="105"/>
            <w:sz w:val="16"/>
            <w:u w:val="single" w:color="0000FF"/>
          </w:rPr>
          <w:t> </w:t>
        </w:r>
        <w:r>
          <w:rPr>
            <w:color w:val="0000FF"/>
            <w:w w:val="105"/>
            <w:sz w:val="16"/>
            <w:u w:val="single" w:color="0000FF"/>
          </w:rPr>
          <w:t>March</w:t>
        </w:r>
        <w:r>
          <w:rPr>
            <w:color w:val="0000FF"/>
            <w:spacing w:val="-9"/>
            <w:w w:val="105"/>
            <w:sz w:val="16"/>
            <w:u w:val="single" w:color="0000FF"/>
          </w:rPr>
          <w:t> </w:t>
        </w:r>
        <w:r>
          <w:rPr>
            <w:color w:val="0000FF"/>
            <w:w w:val="105"/>
            <w:sz w:val="16"/>
            <w:u w:val="single" w:color="0000FF"/>
          </w:rPr>
          <w:t>10,</w:t>
        </w:r>
      </w:hyperlink>
      <w:r>
        <w:rPr>
          <w:color w:val="0000FF"/>
          <w:w w:val="105"/>
          <w:sz w:val="16"/>
        </w:rPr>
        <w:t> </w:t>
      </w:r>
      <w:hyperlink r:id="rId23">
        <w:r>
          <w:rPr>
            <w:color w:val="0000FF"/>
            <w:w w:val="105"/>
            <w:sz w:val="16"/>
            <w:u w:val="single" w:color="0000FF"/>
          </w:rPr>
          <w:t>2003 for April 24, 2003 Annual Meeting of Shareholders).</w:t>
        </w:r>
      </w:hyperlink>
    </w:p>
    <w:p>
      <w:pPr>
        <w:pStyle w:val="ListParagraph"/>
        <w:numPr>
          <w:ilvl w:val="1"/>
          <w:numId w:val="25"/>
        </w:numPr>
        <w:tabs>
          <w:tab w:pos="1659" w:val="left" w:leader="none"/>
        </w:tabs>
        <w:spacing w:line="183" w:lineRule="exact" w:before="0" w:after="0"/>
        <w:ind w:left="1659" w:right="0" w:hanging="1032"/>
        <w:jc w:val="left"/>
        <w:rPr>
          <w:sz w:val="16"/>
        </w:rPr>
      </w:pPr>
      <w:hyperlink r:id="rId24">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Officer</w:t>
        </w:r>
        <w:r>
          <w:rPr>
            <w:color w:val="0000FF"/>
            <w:spacing w:val="-9"/>
            <w:w w:val="105"/>
            <w:sz w:val="16"/>
            <w:u w:val="single" w:color="0000FF"/>
          </w:rPr>
          <w:t> </w:t>
        </w:r>
        <w:r>
          <w:rPr>
            <w:color w:val="0000FF"/>
            <w:w w:val="105"/>
            <w:sz w:val="16"/>
            <w:u w:val="single" w:color="0000FF"/>
          </w:rPr>
          <w:t>Severance</w:t>
        </w:r>
        <w:r>
          <w:rPr>
            <w:color w:val="0000FF"/>
            <w:spacing w:val="-9"/>
            <w:w w:val="105"/>
            <w:sz w:val="16"/>
            <w:u w:val="single" w:color="0000FF"/>
          </w:rPr>
          <w:t> </w:t>
        </w:r>
        <w:r>
          <w:rPr>
            <w:color w:val="0000FF"/>
            <w:w w:val="105"/>
            <w:sz w:val="16"/>
            <w:u w:val="single" w:color="0000FF"/>
          </w:rPr>
          <w:t>Agreement</w:t>
        </w:r>
        <w:r>
          <w:rPr>
            <w:color w:val="0000FF"/>
            <w:spacing w:val="-9"/>
            <w:w w:val="105"/>
            <w:sz w:val="16"/>
            <w:u w:val="single" w:color="0000FF"/>
          </w:rPr>
          <w:t> </w:t>
        </w:r>
        <w:r>
          <w:rPr>
            <w:color w:val="0000FF"/>
            <w:w w:val="105"/>
            <w:sz w:val="16"/>
            <w:u w:val="single" w:color="0000FF"/>
          </w:rPr>
          <w:t>dated</w:t>
        </w:r>
        <w:r>
          <w:rPr>
            <w:color w:val="0000FF"/>
            <w:spacing w:val="-10"/>
            <w:w w:val="105"/>
            <w:sz w:val="16"/>
            <w:u w:val="single" w:color="0000FF"/>
          </w:rPr>
          <w:t> </w:t>
        </w:r>
        <w:r>
          <w:rPr>
            <w:color w:val="0000FF"/>
            <w:w w:val="105"/>
            <w:sz w:val="16"/>
            <w:u w:val="single" w:color="0000FF"/>
          </w:rPr>
          <w:t>as</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February</w:t>
        </w:r>
        <w:r>
          <w:rPr>
            <w:color w:val="0000FF"/>
            <w:spacing w:val="-9"/>
            <w:w w:val="105"/>
            <w:sz w:val="16"/>
            <w:u w:val="single" w:color="0000FF"/>
          </w:rPr>
          <w:t> </w:t>
        </w:r>
        <w:r>
          <w:rPr>
            <w:color w:val="0000FF"/>
            <w:w w:val="105"/>
            <w:sz w:val="16"/>
            <w:u w:val="single" w:color="0000FF"/>
          </w:rPr>
          <w:t>1,</w:t>
        </w:r>
        <w:r>
          <w:rPr>
            <w:color w:val="0000FF"/>
            <w:spacing w:val="-9"/>
            <w:w w:val="105"/>
            <w:sz w:val="16"/>
            <w:u w:val="single" w:color="0000FF"/>
          </w:rPr>
          <w:t> </w:t>
        </w:r>
        <w:r>
          <w:rPr>
            <w:color w:val="0000FF"/>
            <w:w w:val="105"/>
            <w:sz w:val="16"/>
            <w:u w:val="single" w:color="0000FF"/>
          </w:rPr>
          <w:t>2004</w:t>
        </w:r>
        <w:r>
          <w:rPr>
            <w:color w:val="0000FF"/>
            <w:spacing w:val="-10"/>
            <w:w w:val="105"/>
            <w:sz w:val="16"/>
            <w:u w:val="single" w:color="0000FF"/>
          </w:rPr>
          <w:t> </w:t>
        </w:r>
        <w:r>
          <w:rPr>
            <w:color w:val="0000FF"/>
            <w:w w:val="105"/>
            <w:sz w:val="16"/>
            <w:u w:val="single" w:color="0000FF"/>
          </w:rPr>
          <w:t>between</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each</w:t>
        </w:r>
        <w:r>
          <w:rPr>
            <w:color w:val="0000FF"/>
            <w:spacing w:val="-10"/>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the</w:t>
        </w:r>
        <w:r>
          <w:rPr>
            <w:color w:val="0000FF"/>
            <w:spacing w:val="-9"/>
            <w:w w:val="105"/>
            <w:sz w:val="16"/>
            <w:u w:val="single" w:color="0000FF"/>
          </w:rPr>
          <w:t> </w:t>
        </w:r>
        <w:r>
          <w:rPr>
            <w:color w:val="0000FF"/>
            <w:w w:val="105"/>
            <w:sz w:val="16"/>
            <w:u w:val="single" w:color="0000FF"/>
          </w:rPr>
          <w:t>following</w:t>
        </w:r>
        <w:r>
          <w:rPr>
            <w:color w:val="0000FF"/>
            <w:spacing w:val="-9"/>
            <w:w w:val="105"/>
            <w:sz w:val="16"/>
            <w:u w:val="single" w:color="0000FF"/>
          </w:rPr>
          <w:t> </w:t>
        </w:r>
        <w:r>
          <w:rPr>
            <w:color w:val="0000FF"/>
            <w:w w:val="105"/>
            <w:sz w:val="16"/>
            <w:u w:val="single" w:color="0000FF"/>
          </w:rPr>
          <w:t>individuals:</w:t>
        </w:r>
        <w:r>
          <w:rPr>
            <w:color w:val="0000FF"/>
            <w:spacing w:val="-9"/>
            <w:w w:val="105"/>
            <w:sz w:val="16"/>
            <w:u w:val="single" w:color="0000FF"/>
          </w:rPr>
          <w:t> </w:t>
        </w:r>
        <w:r>
          <w:rPr>
            <w:color w:val="0000FF"/>
            <w:spacing w:val="-2"/>
            <w:w w:val="105"/>
            <w:sz w:val="16"/>
            <w:u w:val="single" w:color="0000FF"/>
          </w:rPr>
          <w:t>Lawrence</w:t>
        </w:r>
      </w:hyperlink>
    </w:p>
    <w:p>
      <w:pPr>
        <w:pStyle w:val="BodyText"/>
        <w:spacing w:before="6"/>
        <w:ind w:left="1659"/>
      </w:pPr>
      <w:hyperlink r:id="rId24">
        <w:r>
          <w:rPr>
            <w:color w:val="0000FF"/>
            <w:w w:val="105"/>
            <w:u w:val="single" w:color="0000FF"/>
          </w:rPr>
          <w:t>D.</w:t>
        </w:r>
        <w:r>
          <w:rPr>
            <w:color w:val="0000FF"/>
            <w:spacing w:val="-9"/>
            <w:w w:val="105"/>
            <w:u w:val="single" w:color="0000FF"/>
          </w:rPr>
          <w:t> </w:t>
        </w:r>
        <w:r>
          <w:rPr>
            <w:color w:val="0000FF"/>
            <w:w w:val="105"/>
            <w:u w:val="single" w:color="0000FF"/>
          </w:rPr>
          <w:t>McRae</w:t>
        </w:r>
        <w:r>
          <w:rPr>
            <w:color w:val="0000FF"/>
            <w:spacing w:val="-8"/>
            <w:w w:val="105"/>
            <w:u w:val="single" w:color="0000FF"/>
          </w:rPr>
          <w:t> </w:t>
        </w:r>
        <w:r>
          <w:rPr>
            <w:color w:val="0000FF"/>
            <w:w w:val="105"/>
            <w:u w:val="single" w:color="0000FF"/>
          </w:rPr>
          <w:t>and</w:t>
        </w:r>
        <w:r>
          <w:rPr>
            <w:color w:val="0000FF"/>
            <w:spacing w:val="-8"/>
            <w:w w:val="105"/>
            <w:u w:val="single" w:color="0000FF"/>
          </w:rPr>
          <w:t> </w:t>
        </w:r>
        <w:r>
          <w:rPr>
            <w:color w:val="0000FF"/>
            <w:w w:val="105"/>
            <w:u w:val="single" w:color="0000FF"/>
          </w:rPr>
          <w:t>Eric</w:t>
        </w:r>
        <w:r>
          <w:rPr>
            <w:color w:val="0000FF"/>
            <w:spacing w:val="-8"/>
            <w:w w:val="105"/>
            <w:u w:val="single" w:color="0000FF"/>
          </w:rPr>
          <w:t> </w:t>
        </w:r>
        <w:r>
          <w:rPr>
            <w:color w:val="0000FF"/>
            <w:w w:val="105"/>
            <w:u w:val="single" w:color="0000FF"/>
          </w:rPr>
          <w:t>S.</w:t>
        </w:r>
        <w:r>
          <w:rPr>
            <w:color w:val="0000FF"/>
            <w:spacing w:val="-8"/>
            <w:w w:val="105"/>
            <w:u w:val="single" w:color="0000FF"/>
          </w:rPr>
          <w:t> </w:t>
        </w:r>
        <w:r>
          <w:rPr>
            <w:color w:val="0000FF"/>
            <w:w w:val="105"/>
            <w:u w:val="single" w:color="0000FF"/>
          </w:rPr>
          <w:t>Musser</w:t>
        </w:r>
        <w:r>
          <w:rPr>
            <w:color w:val="0000FF"/>
            <w:spacing w:val="-8"/>
            <w:w w:val="105"/>
            <w:u w:val="single" w:color="0000FF"/>
          </w:rPr>
          <w:t> </w:t>
        </w:r>
        <w:r>
          <w:rPr>
            <w:color w:val="0000FF"/>
            <w:w w:val="105"/>
            <w:u w:val="single" w:color="0000FF"/>
          </w:rPr>
          <w:t>(Incorporated</w:t>
        </w:r>
        <w:r>
          <w:rPr>
            <w:color w:val="0000FF"/>
            <w:spacing w:val="-8"/>
            <w:w w:val="105"/>
            <w:u w:val="single" w:color="0000FF"/>
          </w:rPr>
          <w:t> </w:t>
        </w:r>
        <w:r>
          <w:rPr>
            <w:color w:val="0000FF"/>
            <w:w w:val="105"/>
            <w:u w:val="single" w:color="0000FF"/>
          </w:rPr>
          <w:t>by</w:t>
        </w:r>
        <w:r>
          <w:rPr>
            <w:color w:val="0000FF"/>
            <w:spacing w:val="-8"/>
            <w:w w:val="105"/>
            <w:u w:val="single" w:color="0000FF"/>
          </w:rPr>
          <w:t> </w:t>
        </w:r>
        <w:r>
          <w:rPr>
            <w:color w:val="0000FF"/>
            <w:w w:val="105"/>
            <w:u w:val="single" w:color="0000FF"/>
          </w:rPr>
          <w:t>reference</w:t>
        </w:r>
        <w:r>
          <w:rPr>
            <w:color w:val="0000FF"/>
            <w:spacing w:val="-8"/>
            <w:w w:val="105"/>
            <w:u w:val="single" w:color="0000FF"/>
          </w:rPr>
          <w:t> </w:t>
        </w:r>
        <w:r>
          <w:rPr>
            <w:color w:val="0000FF"/>
            <w:w w:val="105"/>
            <w:u w:val="single" w:color="0000FF"/>
          </w:rPr>
          <w:t>to</w:t>
        </w:r>
        <w:r>
          <w:rPr>
            <w:color w:val="0000FF"/>
            <w:spacing w:val="-8"/>
            <w:w w:val="105"/>
            <w:u w:val="single" w:color="0000FF"/>
          </w:rPr>
          <w:t> </w:t>
        </w:r>
        <w:r>
          <w:rPr>
            <w:color w:val="0000FF"/>
            <w:w w:val="105"/>
            <w:u w:val="single" w:color="0000FF"/>
          </w:rPr>
          <w:t>Exhibit</w:t>
        </w:r>
        <w:r>
          <w:rPr>
            <w:color w:val="0000FF"/>
            <w:spacing w:val="-8"/>
            <w:w w:val="105"/>
            <w:u w:val="single" w:color="0000FF"/>
          </w:rPr>
          <w:t> </w:t>
        </w:r>
        <w:r>
          <w:rPr>
            <w:color w:val="0000FF"/>
            <w:w w:val="105"/>
            <w:u w:val="single" w:color="0000FF"/>
          </w:rPr>
          <w:t>10.1</w:t>
        </w:r>
        <w:r>
          <w:rPr>
            <w:color w:val="0000FF"/>
            <w:spacing w:val="-8"/>
            <w:w w:val="105"/>
            <w:u w:val="single" w:color="0000FF"/>
          </w:rPr>
          <w:t> </w:t>
        </w:r>
        <w:r>
          <w:rPr>
            <w:color w:val="0000FF"/>
            <w:w w:val="105"/>
            <w:u w:val="single" w:color="0000FF"/>
          </w:rPr>
          <w:t>of</w:t>
        </w:r>
        <w:r>
          <w:rPr>
            <w:color w:val="0000FF"/>
            <w:spacing w:val="-8"/>
            <w:w w:val="105"/>
            <w:u w:val="single" w:color="0000FF"/>
          </w:rPr>
          <w:t> </w:t>
        </w:r>
        <w:r>
          <w:rPr>
            <w:color w:val="0000FF"/>
            <w:w w:val="105"/>
            <w:u w:val="single" w:color="0000FF"/>
          </w:rPr>
          <w:t>Corning’s</w:t>
        </w:r>
        <w:r>
          <w:rPr>
            <w:color w:val="0000FF"/>
            <w:spacing w:val="-9"/>
            <w:w w:val="105"/>
            <w:u w:val="single" w:color="0000FF"/>
          </w:rPr>
          <w:t> </w:t>
        </w:r>
        <w:r>
          <w:rPr>
            <w:color w:val="0000FF"/>
            <w:w w:val="105"/>
            <w:u w:val="single" w:color="0000FF"/>
          </w:rPr>
          <w:t>Form</w:t>
        </w:r>
        <w:r>
          <w:rPr>
            <w:color w:val="0000FF"/>
            <w:spacing w:val="-8"/>
            <w:w w:val="105"/>
            <w:u w:val="single" w:color="0000FF"/>
          </w:rPr>
          <w:t> </w:t>
        </w:r>
        <w:r>
          <w:rPr>
            <w:color w:val="0000FF"/>
            <w:w w:val="105"/>
            <w:u w:val="single" w:color="0000FF"/>
          </w:rPr>
          <w:t>10-Q</w:t>
        </w:r>
        <w:r>
          <w:rPr>
            <w:color w:val="0000FF"/>
            <w:spacing w:val="-8"/>
            <w:w w:val="105"/>
            <w:u w:val="single" w:color="0000FF"/>
          </w:rPr>
          <w:t> </w:t>
        </w:r>
        <w:r>
          <w:rPr>
            <w:color w:val="0000FF"/>
            <w:w w:val="105"/>
            <w:u w:val="single" w:color="0000FF"/>
          </w:rPr>
          <w:t>filed</w:t>
        </w:r>
        <w:r>
          <w:rPr>
            <w:color w:val="0000FF"/>
            <w:spacing w:val="-8"/>
            <w:w w:val="105"/>
            <w:u w:val="single" w:color="0000FF"/>
          </w:rPr>
          <w:t> </w:t>
        </w:r>
        <w:r>
          <w:rPr>
            <w:color w:val="0000FF"/>
            <w:w w:val="105"/>
            <w:u w:val="single" w:color="0000FF"/>
          </w:rPr>
          <w:t>May</w:t>
        </w:r>
        <w:r>
          <w:rPr>
            <w:color w:val="0000FF"/>
            <w:spacing w:val="-8"/>
            <w:w w:val="105"/>
            <w:u w:val="single" w:color="0000FF"/>
          </w:rPr>
          <w:t> </w:t>
        </w:r>
        <w:r>
          <w:rPr>
            <w:color w:val="0000FF"/>
            <w:w w:val="105"/>
            <w:u w:val="single" w:color="0000FF"/>
          </w:rPr>
          <w:t>4,</w:t>
        </w:r>
        <w:r>
          <w:rPr>
            <w:color w:val="0000FF"/>
            <w:spacing w:val="-8"/>
            <w:w w:val="105"/>
            <w:u w:val="single" w:color="0000FF"/>
          </w:rPr>
          <w:t> </w:t>
        </w:r>
        <w:r>
          <w:rPr>
            <w:color w:val="0000FF"/>
            <w:spacing w:val="-2"/>
            <w:w w:val="105"/>
            <w:u w:val="single" w:color="0000FF"/>
          </w:rPr>
          <w:t>2004).</w:t>
        </w:r>
      </w:hyperlink>
    </w:p>
    <w:p>
      <w:pPr>
        <w:pStyle w:val="BodyText"/>
        <w:spacing w:before="40"/>
      </w:pPr>
    </w:p>
    <w:p>
      <w:pPr>
        <w:pStyle w:val="BodyText"/>
        <w:ind w:left="48"/>
        <w:jc w:val="center"/>
      </w:pPr>
      <w:r>
        <w:rPr>
          <w:spacing w:val="-5"/>
          <w:w w:val="105"/>
        </w:rPr>
        <w:t>56</w:t>
      </w:r>
    </w:p>
    <w:p>
      <w:pPr>
        <w:pStyle w:val="BodyText"/>
        <w:spacing w:before="11"/>
        <w:rPr>
          <w:sz w:val="5"/>
        </w:rPr>
      </w:pPr>
      <w:r>
        <w:rPr/>
        <mc:AlternateContent>
          <mc:Choice Requires="wps">
            <w:drawing>
              <wp:anchor distT="0" distB="0" distL="0" distR="0" allowOverlap="1" layoutInCell="1" locked="0" behindDoc="1" simplePos="0" relativeHeight="487629824">
                <wp:simplePos x="0" y="0"/>
                <wp:positionH relativeFrom="page">
                  <wp:posOffset>226488</wp:posOffset>
                </wp:positionH>
                <wp:positionV relativeFrom="paragraph">
                  <wp:posOffset>58734</wp:posOffset>
                </wp:positionV>
                <wp:extent cx="7312659" cy="1651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86656;mso-wrap-distance-left:0;mso-wrap-distance-right:0" id="docshape123"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ListParagraph"/>
        <w:numPr>
          <w:ilvl w:val="1"/>
          <w:numId w:val="25"/>
        </w:numPr>
        <w:tabs>
          <w:tab w:pos="1659" w:val="left" w:leader="none"/>
        </w:tabs>
        <w:spacing w:line="266" w:lineRule="auto" w:before="0" w:after="0"/>
        <w:ind w:left="1659" w:right="338" w:hanging="1032"/>
        <w:jc w:val="left"/>
        <w:rPr>
          <w:sz w:val="16"/>
        </w:rPr>
      </w:pPr>
      <w:hyperlink r:id="rId24">
        <w:r>
          <w:rPr>
            <w:color w:val="0000FF"/>
            <w:w w:val="105"/>
            <w:sz w:val="16"/>
            <w:u w:val="single" w:color="0000FF"/>
          </w:rPr>
          <w:t>Form</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Amendment</w:t>
        </w:r>
        <w:r>
          <w:rPr>
            <w:color w:val="0000FF"/>
            <w:spacing w:val="-8"/>
            <w:w w:val="105"/>
            <w:sz w:val="16"/>
            <w:u w:val="single" w:color="0000FF"/>
          </w:rPr>
          <w:t> </w:t>
        </w:r>
        <w:r>
          <w:rPr>
            <w:color w:val="0000FF"/>
            <w:w w:val="105"/>
            <w:sz w:val="16"/>
            <w:u w:val="single" w:color="0000FF"/>
          </w:rPr>
          <w:t>dated</w:t>
        </w:r>
        <w:r>
          <w:rPr>
            <w:color w:val="0000FF"/>
            <w:spacing w:val="-8"/>
            <w:w w:val="105"/>
            <w:sz w:val="16"/>
            <w:u w:val="single" w:color="0000FF"/>
          </w:rPr>
          <w:t> </w:t>
        </w:r>
        <w:r>
          <w:rPr>
            <w:color w:val="0000FF"/>
            <w:w w:val="105"/>
            <w:sz w:val="16"/>
            <w:u w:val="single" w:color="0000FF"/>
          </w:rPr>
          <w:t>as</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February</w:t>
        </w:r>
        <w:r>
          <w:rPr>
            <w:color w:val="0000FF"/>
            <w:spacing w:val="-8"/>
            <w:w w:val="105"/>
            <w:sz w:val="16"/>
            <w:u w:val="single" w:color="0000FF"/>
          </w:rPr>
          <w:t> </w:t>
        </w:r>
        <w:r>
          <w:rPr>
            <w:color w:val="0000FF"/>
            <w:w w:val="105"/>
            <w:sz w:val="16"/>
            <w:u w:val="single" w:color="0000FF"/>
          </w:rPr>
          <w:t>1,</w:t>
        </w:r>
        <w:r>
          <w:rPr>
            <w:color w:val="0000FF"/>
            <w:spacing w:val="-8"/>
            <w:w w:val="105"/>
            <w:sz w:val="16"/>
            <w:u w:val="single" w:color="0000FF"/>
          </w:rPr>
          <w:t> </w:t>
        </w:r>
        <w:r>
          <w:rPr>
            <w:color w:val="0000FF"/>
            <w:w w:val="105"/>
            <w:sz w:val="16"/>
            <w:u w:val="single" w:color="0000FF"/>
          </w:rPr>
          <w:t>2004</w:t>
        </w:r>
        <w:r>
          <w:rPr>
            <w:color w:val="0000FF"/>
            <w:spacing w:val="-8"/>
            <w:w w:val="105"/>
            <w:sz w:val="16"/>
            <w:u w:val="single" w:color="0000FF"/>
          </w:rPr>
          <w:t> </w:t>
        </w:r>
        <w:r>
          <w:rPr>
            <w:color w:val="0000FF"/>
            <w:w w:val="105"/>
            <w:sz w:val="16"/>
            <w:u w:val="single" w:color="0000FF"/>
          </w:rPr>
          <w:t>to</w:t>
        </w:r>
        <w:r>
          <w:rPr>
            <w:color w:val="0000FF"/>
            <w:spacing w:val="-8"/>
            <w:w w:val="105"/>
            <w:sz w:val="16"/>
            <w:u w:val="single" w:color="0000FF"/>
          </w:rPr>
          <w:t> </w:t>
        </w:r>
        <w:r>
          <w:rPr>
            <w:color w:val="0000FF"/>
            <w:w w:val="105"/>
            <w:sz w:val="16"/>
            <w:u w:val="single" w:color="0000FF"/>
          </w:rPr>
          <w:t>Change</w:t>
        </w:r>
        <w:r>
          <w:rPr>
            <w:color w:val="0000FF"/>
            <w:spacing w:val="-8"/>
            <w:w w:val="105"/>
            <w:sz w:val="16"/>
            <w:u w:val="single" w:color="0000FF"/>
          </w:rPr>
          <w:t> </w:t>
        </w:r>
        <w:r>
          <w:rPr>
            <w:color w:val="0000FF"/>
            <w:w w:val="105"/>
            <w:sz w:val="16"/>
            <w:u w:val="single" w:color="0000FF"/>
          </w:rPr>
          <w:t>In</w:t>
        </w:r>
        <w:r>
          <w:rPr>
            <w:color w:val="0000FF"/>
            <w:spacing w:val="-8"/>
            <w:w w:val="105"/>
            <w:sz w:val="16"/>
            <w:u w:val="single" w:color="0000FF"/>
          </w:rPr>
          <w:t> </w:t>
        </w:r>
        <w:r>
          <w:rPr>
            <w:color w:val="0000FF"/>
            <w:w w:val="105"/>
            <w:sz w:val="16"/>
            <w:u w:val="single" w:color="0000FF"/>
          </w:rPr>
          <w:t>Control</w:t>
        </w:r>
        <w:r>
          <w:rPr>
            <w:color w:val="0000FF"/>
            <w:spacing w:val="-8"/>
            <w:w w:val="105"/>
            <w:sz w:val="16"/>
            <w:u w:val="single" w:color="0000FF"/>
          </w:rPr>
          <w:t> </w:t>
        </w:r>
        <w:r>
          <w:rPr>
            <w:color w:val="0000FF"/>
            <w:w w:val="105"/>
            <w:sz w:val="16"/>
            <w:u w:val="single" w:color="0000FF"/>
          </w:rPr>
          <w:t>Agreement</w:t>
        </w:r>
        <w:r>
          <w:rPr>
            <w:color w:val="0000FF"/>
            <w:spacing w:val="-8"/>
            <w:w w:val="105"/>
            <w:sz w:val="16"/>
            <w:u w:val="single" w:color="0000FF"/>
          </w:rPr>
          <w:t> </w:t>
        </w:r>
        <w:r>
          <w:rPr>
            <w:color w:val="0000FF"/>
            <w:w w:val="105"/>
            <w:sz w:val="16"/>
            <w:u w:val="single" w:color="0000FF"/>
          </w:rPr>
          <w:t>dated</w:t>
        </w:r>
        <w:r>
          <w:rPr>
            <w:color w:val="0000FF"/>
            <w:spacing w:val="-8"/>
            <w:w w:val="105"/>
            <w:sz w:val="16"/>
            <w:u w:val="single" w:color="0000FF"/>
          </w:rPr>
          <w:t> </w:t>
        </w:r>
        <w:r>
          <w:rPr>
            <w:color w:val="0000FF"/>
            <w:w w:val="105"/>
            <w:sz w:val="16"/>
            <w:u w:val="single" w:color="0000FF"/>
          </w:rPr>
          <w:t>as</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October</w:t>
        </w:r>
        <w:r>
          <w:rPr>
            <w:color w:val="0000FF"/>
            <w:spacing w:val="-8"/>
            <w:w w:val="105"/>
            <w:sz w:val="16"/>
            <w:u w:val="single" w:color="0000FF"/>
          </w:rPr>
          <w:t> </w:t>
        </w:r>
        <w:r>
          <w:rPr>
            <w:color w:val="0000FF"/>
            <w:w w:val="105"/>
            <w:sz w:val="16"/>
            <w:u w:val="single" w:color="0000FF"/>
          </w:rPr>
          <w:t>4,</w:t>
        </w:r>
        <w:r>
          <w:rPr>
            <w:color w:val="0000FF"/>
            <w:spacing w:val="-8"/>
            <w:w w:val="105"/>
            <w:sz w:val="16"/>
            <w:u w:val="single" w:color="0000FF"/>
          </w:rPr>
          <w:t> </w:t>
        </w:r>
        <w:r>
          <w:rPr>
            <w:color w:val="0000FF"/>
            <w:w w:val="105"/>
            <w:sz w:val="16"/>
            <w:u w:val="single" w:color="0000FF"/>
          </w:rPr>
          <w:t>2000</w:t>
        </w:r>
        <w:r>
          <w:rPr>
            <w:color w:val="0000FF"/>
            <w:spacing w:val="-8"/>
            <w:w w:val="105"/>
            <w:sz w:val="16"/>
            <w:u w:val="single" w:color="0000FF"/>
          </w:rPr>
          <w:t> </w:t>
        </w:r>
        <w:r>
          <w:rPr>
            <w:color w:val="0000FF"/>
            <w:w w:val="105"/>
            <w:sz w:val="16"/>
            <w:u w:val="single" w:color="0000FF"/>
          </w:rPr>
          <w:t>between</w:t>
        </w:r>
        <w:r>
          <w:rPr>
            <w:color w:val="0000FF"/>
            <w:spacing w:val="-8"/>
            <w:w w:val="105"/>
            <w:sz w:val="16"/>
            <w:u w:val="single" w:color="0000FF"/>
          </w:rPr>
          <w:t> </w:t>
        </w:r>
        <w:r>
          <w:rPr>
            <w:color w:val="0000FF"/>
            <w:w w:val="105"/>
            <w:sz w:val="16"/>
            <w:u w:val="single" w:color="0000FF"/>
          </w:rPr>
          <w:t>Corning</w:t>
        </w:r>
        <w:r>
          <w:rPr>
            <w:color w:val="0000FF"/>
            <w:spacing w:val="-8"/>
            <w:w w:val="105"/>
            <w:sz w:val="16"/>
            <w:u w:val="single" w:color="0000FF"/>
          </w:rPr>
          <w:t> </w:t>
        </w:r>
        <w:r>
          <w:rPr>
            <w:color w:val="0000FF"/>
            <w:w w:val="105"/>
            <w:sz w:val="16"/>
            <w:u w:val="single" w:color="0000FF"/>
          </w:rPr>
          <w:t>Incorporated</w:t>
        </w:r>
        <w:r>
          <w:rPr>
            <w:color w:val="0000FF"/>
            <w:spacing w:val="-8"/>
            <w:w w:val="105"/>
            <w:sz w:val="16"/>
            <w:u w:val="single" w:color="0000FF"/>
          </w:rPr>
          <w:t> </w:t>
        </w:r>
        <w:r>
          <w:rPr>
            <w:color w:val="0000FF"/>
            <w:w w:val="105"/>
            <w:sz w:val="16"/>
            <w:u w:val="single" w:color="0000FF"/>
          </w:rPr>
          <w:t>and</w:t>
        </w:r>
      </w:hyperlink>
      <w:r>
        <w:rPr>
          <w:color w:val="0000FF"/>
          <w:w w:val="105"/>
          <w:sz w:val="16"/>
        </w:rPr>
        <w:t> </w:t>
      </w:r>
      <w:hyperlink r:id="rId24">
        <w:r>
          <w:rPr>
            <w:color w:val="0000FF"/>
            <w:w w:val="105"/>
            <w:sz w:val="16"/>
            <w:u w:val="single" w:color="0000FF"/>
          </w:rPr>
          <w:t>Lawrence D. McRae (Incorporated by reference to Exhibit 10.4 of Corning’s Form 10-Q filed May 4, 2004).</w:t>
        </w:r>
      </w:hyperlink>
    </w:p>
    <w:p>
      <w:pPr>
        <w:pStyle w:val="ListParagraph"/>
        <w:numPr>
          <w:ilvl w:val="1"/>
          <w:numId w:val="25"/>
        </w:numPr>
        <w:tabs>
          <w:tab w:pos="1659" w:val="left" w:leader="none"/>
        </w:tabs>
        <w:spacing w:line="266" w:lineRule="auto" w:before="0" w:after="0"/>
        <w:ind w:left="1659" w:right="656" w:hanging="1032"/>
        <w:jc w:val="left"/>
        <w:rPr>
          <w:sz w:val="16"/>
        </w:rPr>
      </w:pPr>
      <w:hyperlink r:id="rId24">
        <w:r>
          <w:rPr>
            <w:color w:val="0000FF"/>
            <w:w w:val="105"/>
            <w:sz w:val="16"/>
            <w:u w:val="single" w:color="0000FF"/>
          </w:rPr>
          <w:t>Form</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Change</w:t>
        </w:r>
        <w:r>
          <w:rPr>
            <w:color w:val="0000FF"/>
            <w:spacing w:val="-9"/>
            <w:w w:val="105"/>
            <w:sz w:val="16"/>
            <w:u w:val="single" w:color="0000FF"/>
          </w:rPr>
          <w:t> </w:t>
        </w:r>
        <w:r>
          <w:rPr>
            <w:color w:val="0000FF"/>
            <w:w w:val="105"/>
            <w:sz w:val="16"/>
            <w:u w:val="single" w:color="0000FF"/>
          </w:rPr>
          <w:t>In</w:t>
        </w:r>
        <w:r>
          <w:rPr>
            <w:color w:val="0000FF"/>
            <w:spacing w:val="-9"/>
            <w:w w:val="105"/>
            <w:sz w:val="16"/>
            <w:u w:val="single" w:color="0000FF"/>
          </w:rPr>
          <w:t> </w:t>
        </w:r>
        <w:r>
          <w:rPr>
            <w:color w:val="0000FF"/>
            <w:w w:val="105"/>
            <w:sz w:val="16"/>
            <w:u w:val="single" w:color="0000FF"/>
          </w:rPr>
          <w:t>Control</w:t>
        </w:r>
        <w:r>
          <w:rPr>
            <w:color w:val="0000FF"/>
            <w:spacing w:val="-9"/>
            <w:w w:val="105"/>
            <w:sz w:val="16"/>
            <w:u w:val="single" w:color="0000FF"/>
          </w:rPr>
          <w:t> </w:t>
        </w:r>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as</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October</w:t>
        </w:r>
        <w:r>
          <w:rPr>
            <w:color w:val="0000FF"/>
            <w:spacing w:val="-9"/>
            <w:w w:val="105"/>
            <w:sz w:val="16"/>
            <w:u w:val="single" w:color="0000FF"/>
          </w:rPr>
          <w:t> </w:t>
        </w:r>
        <w:r>
          <w:rPr>
            <w:color w:val="0000FF"/>
            <w:w w:val="105"/>
            <w:sz w:val="16"/>
            <w:u w:val="single" w:color="0000FF"/>
          </w:rPr>
          <w:t>4,</w:t>
        </w:r>
        <w:r>
          <w:rPr>
            <w:color w:val="0000FF"/>
            <w:spacing w:val="-9"/>
            <w:w w:val="105"/>
            <w:sz w:val="16"/>
            <w:u w:val="single" w:color="0000FF"/>
          </w:rPr>
          <w:t> </w:t>
        </w:r>
        <w:r>
          <w:rPr>
            <w:color w:val="0000FF"/>
            <w:w w:val="105"/>
            <w:sz w:val="16"/>
            <w:u w:val="single" w:color="0000FF"/>
          </w:rPr>
          <w:t>2000</w:t>
        </w:r>
        <w:r>
          <w:rPr>
            <w:color w:val="0000FF"/>
            <w:spacing w:val="-9"/>
            <w:w w:val="105"/>
            <w:sz w:val="16"/>
            <w:u w:val="single" w:color="0000FF"/>
          </w:rPr>
          <w:t> </w:t>
        </w:r>
        <w:r>
          <w:rPr>
            <w:color w:val="0000FF"/>
            <w:w w:val="105"/>
            <w:sz w:val="16"/>
            <w:u w:val="single" w:color="0000FF"/>
          </w:rPr>
          <w:t>between</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Lawrence</w:t>
        </w:r>
        <w:r>
          <w:rPr>
            <w:color w:val="0000FF"/>
            <w:spacing w:val="-9"/>
            <w:w w:val="105"/>
            <w:sz w:val="16"/>
            <w:u w:val="single" w:color="0000FF"/>
          </w:rPr>
          <w:t> </w:t>
        </w:r>
        <w:r>
          <w:rPr>
            <w:color w:val="0000FF"/>
            <w:w w:val="105"/>
            <w:sz w:val="16"/>
            <w:u w:val="single" w:color="0000FF"/>
          </w:rPr>
          <w:t>D.</w:t>
        </w:r>
        <w:r>
          <w:rPr>
            <w:color w:val="0000FF"/>
            <w:spacing w:val="-9"/>
            <w:w w:val="105"/>
            <w:sz w:val="16"/>
            <w:u w:val="single" w:color="0000FF"/>
          </w:rPr>
          <w:t> </w:t>
        </w:r>
        <w:r>
          <w:rPr>
            <w:color w:val="0000FF"/>
            <w:w w:val="105"/>
            <w:sz w:val="16"/>
            <w:u w:val="single" w:color="0000FF"/>
          </w:rPr>
          <w:t>McRae</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hyperlink>
      <w:r>
        <w:rPr>
          <w:color w:val="0000FF"/>
          <w:w w:val="105"/>
          <w:sz w:val="16"/>
        </w:rPr>
        <w:t> </w:t>
      </w:r>
      <w:hyperlink r:id="rId24">
        <w:r>
          <w:rPr>
            <w:color w:val="0000FF"/>
            <w:w w:val="105"/>
            <w:sz w:val="16"/>
            <w:u w:val="single" w:color="0000FF"/>
          </w:rPr>
          <w:t>reference to Exhibit 10.5 of Corning’s Form 10-Q filed May 4, 2004).</w:t>
        </w:r>
      </w:hyperlink>
    </w:p>
    <w:p>
      <w:pPr>
        <w:pStyle w:val="ListParagraph"/>
        <w:numPr>
          <w:ilvl w:val="1"/>
          <w:numId w:val="25"/>
        </w:numPr>
        <w:tabs>
          <w:tab w:pos="1659" w:val="left" w:leader="none"/>
        </w:tabs>
        <w:spacing w:line="266" w:lineRule="auto" w:before="0" w:after="0"/>
        <w:ind w:left="1659" w:right="241" w:hanging="1032"/>
        <w:jc w:val="left"/>
        <w:rPr>
          <w:sz w:val="16"/>
        </w:rPr>
      </w:pPr>
      <w:hyperlink r:id="rId24">
        <w:r>
          <w:rPr>
            <w:color w:val="0000FF"/>
            <w:w w:val="105"/>
            <w:sz w:val="16"/>
            <w:u w:val="single" w:color="0000FF"/>
          </w:rPr>
          <w:t>Amendment</w:t>
        </w:r>
        <w:r>
          <w:rPr>
            <w:color w:val="0000FF"/>
            <w:spacing w:val="-8"/>
            <w:w w:val="105"/>
            <w:sz w:val="16"/>
            <w:u w:val="single" w:color="0000FF"/>
          </w:rPr>
          <w:t> </w:t>
        </w:r>
        <w:r>
          <w:rPr>
            <w:color w:val="0000FF"/>
            <w:w w:val="105"/>
            <w:sz w:val="16"/>
            <w:u w:val="single" w:color="0000FF"/>
          </w:rPr>
          <w:t>dated</w:t>
        </w:r>
        <w:r>
          <w:rPr>
            <w:color w:val="0000FF"/>
            <w:spacing w:val="-8"/>
            <w:w w:val="105"/>
            <w:sz w:val="16"/>
            <w:u w:val="single" w:color="0000FF"/>
          </w:rPr>
          <w:t> </w:t>
        </w:r>
        <w:r>
          <w:rPr>
            <w:color w:val="0000FF"/>
            <w:w w:val="105"/>
            <w:sz w:val="16"/>
            <w:u w:val="single" w:color="0000FF"/>
          </w:rPr>
          <w:t>as</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February</w:t>
        </w:r>
        <w:r>
          <w:rPr>
            <w:color w:val="0000FF"/>
            <w:spacing w:val="-8"/>
            <w:w w:val="105"/>
            <w:sz w:val="16"/>
            <w:u w:val="single" w:color="0000FF"/>
          </w:rPr>
          <w:t> </w:t>
        </w:r>
        <w:r>
          <w:rPr>
            <w:color w:val="0000FF"/>
            <w:w w:val="105"/>
            <w:sz w:val="16"/>
            <w:u w:val="single" w:color="0000FF"/>
          </w:rPr>
          <w:t>1,</w:t>
        </w:r>
        <w:r>
          <w:rPr>
            <w:color w:val="0000FF"/>
            <w:spacing w:val="-8"/>
            <w:w w:val="105"/>
            <w:sz w:val="16"/>
            <w:u w:val="single" w:color="0000FF"/>
          </w:rPr>
          <w:t> </w:t>
        </w:r>
        <w:r>
          <w:rPr>
            <w:color w:val="0000FF"/>
            <w:w w:val="105"/>
            <w:sz w:val="16"/>
            <w:u w:val="single" w:color="0000FF"/>
          </w:rPr>
          <w:t>2004</w:t>
        </w:r>
        <w:r>
          <w:rPr>
            <w:color w:val="0000FF"/>
            <w:spacing w:val="-6"/>
            <w:w w:val="105"/>
            <w:sz w:val="16"/>
            <w:u w:val="single" w:color="0000FF"/>
          </w:rPr>
          <w:t> </w:t>
        </w:r>
        <w:r>
          <w:rPr>
            <w:color w:val="0000FF"/>
            <w:w w:val="105"/>
            <w:sz w:val="16"/>
            <w:u w:val="single" w:color="0000FF"/>
          </w:rPr>
          <w:t>to</w:t>
        </w:r>
        <w:r>
          <w:rPr>
            <w:color w:val="0000FF"/>
            <w:spacing w:val="-8"/>
            <w:w w:val="105"/>
            <w:sz w:val="16"/>
            <w:u w:val="single" w:color="0000FF"/>
          </w:rPr>
          <w:t> </w:t>
        </w:r>
        <w:r>
          <w:rPr>
            <w:color w:val="0000FF"/>
            <w:w w:val="105"/>
            <w:sz w:val="16"/>
            <w:u w:val="single" w:color="0000FF"/>
          </w:rPr>
          <w:t>Change</w:t>
        </w:r>
        <w:r>
          <w:rPr>
            <w:color w:val="0000FF"/>
            <w:spacing w:val="-8"/>
            <w:w w:val="105"/>
            <w:sz w:val="16"/>
            <w:u w:val="single" w:color="0000FF"/>
          </w:rPr>
          <w:t> </w:t>
        </w:r>
        <w:r>
          <w:rPr>
            <w:color w:val="0000FF"/>
            <w:w w:val="105"/>
            <w:sz w:val="16"/>
            <w:u w:val="single" w:color="0000FF"/>
          </w:rPr>
          <w:t>In</w:t>
        </w:r>
        <w:r>
          <w:rPr>
            <w:color w:val="0000FF"/>
            <w:spacing w:val="-8"/>
            <w:w w:val="105"/>
            <w:sz w:val="16"/>
            <w:u w:val="single" w:color="0000FF"/>
          </w:rPr>
          <w:t> </w:t>
        </w:r>
        <w:r>
          <w:rPr>
            <w:color w:val="0000FF"/>
            <w:w w:val="105"/>
            <w:sz w:val="16"/>
            <w:u w:val="single" w:color="0000FF"/>
          </w:rPr>
          <w:t>Control</w:t>
        </w:r>
        <w:r>
          <w:rPr>
            <w:color w:val="0000FF"/>
            <w:spacing w:val="-8"/>
            <w:w w:val="105"/>
            <w:sz w:val="16"/>
            <w:u w:val="single" w:color="0000FF"/>
          </w:rPr>
          <w:t> </w:t>
        </w:r>
        <w:r>
          <w:rPr>
            <w:color w:val="0000FF"/>
            <w:w w:val="105"/>
            <w:sz w:val="16"/>
            <w:u w:val="single" w:color="0000FF"/>
          </w:rPr>
          <w:t>Agreement</w:t>
        </w:r>
        <w:r>
          <w:rPr>
            <w:color w:val="0000FF"/>
            <w:spacing w:val="-8"/>
            <w:w w:val="105"/>
            <w:sz w:val="16"/>
            <w:u w:val="single" w:color="0000FF"/>
          </w:rPr>
          <w:t> </w:t>
        </w:r>
        <w:r>
          <w:rPr>
            <w:color w:val="0000FF"/>
            <w:w w:val="105"/>
            <w:sz w:val="16"/>
            <w:u w:val="single" w:color="0000FF"/>
          </w:rPr>
          <w:t>dated</w:t>
        </w:r>
        <w:r>
          <w:rPr>
            <w:color w:val="0000FF"/>
            <w:spacing w:val="-6"/>
            <w:w w:val="105"/>
            <w:sz w:val="16"/>
            <w:u w:val="single" w:color="0000FF"/>
          </w:rPr>
          <w:t> </w:t>
        </w:r>
        <w:r>
          <w:rPr>
            <w:color w:val="0000FF"/>
            <w:w w:val="105"/>
            <w:sz w:val="16"/>
            <w:u w:val="single" w:color="0000FF"/>
          </w:rPr>
          <w:t>as</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April</w:t>
        </w:r>
        <w:r>
          <w:rPr>
            <w:color w:val="0000FF"/>
            <w:spacing w:val="-8"/>
            <w:w w:val="105"/>
            <w:sz w:val="16"/>
            <w:u w:val="single" w:color="0000FF"/>
          </w:rPr>
          <w:t> </w:t>
        </w:r>
        <w:r>
          <w:rPr>
            <w:color w:val="0000FF"/>
            <w:w w:val="105"/>
            <w:sz w:val="16"/>
            <w:u w:val="single" w:color="0000FF"/>
          </w:rPr>
          <w:t>23,</w:t>
        </w:r>
        <w:r>
          <w:rPr>
            <w:color w:val="0000FF"/>
            <w:spacing w:val="-8"/>
            <w:w w:val="105"/>
            <w:sz w:val="16"/>
            <w:u w:val="single" w:color="0000FF"/>
          </w:rPr>
          <w:t> </w:t>
        </w:r>
        <w:r>
          <w:rPr>
            <w:color w:val="0000FF"/>
            <w:w w:val="105"/>
            <w:sz w:val="16"/>
            <w:u w:val="single" w:color="0000FF"/>
          </w:rPr>
          <w:t>2002</w:t>
        </w:r>
        <w:r>
          <w:rPr>
            <w:color w:val="0000FF"/>
            <w:spacing w:val="-8"/>
            <w:w w:val="105"/>
            <w:sz w:val="16"/>
            <w:u w:val="single" w:color="0000FF"/>
          </w:rPr>
          <w:t> </w:t>
        </w:r>
        <w:r>
          <w:rPr>
            <w:color w:val="0000FF"/>
            <w:w w:val="105"/>
            <w:sz w:val="16"/>
            <w:u w:val="single" w:color="0000FF"/>
          </w:rPr>
          <w:t>between</w:t>
        </w:r>
        <w:r>
          <w:rPr>
            <w:color w:val="0000FF"/>
            <w:spacing w:val="-8"/>
            <w:w w:val="105"/>
            <w:sz w:val="16"/>
            <w:u w:val="single" w:color="0000FF"/>
          </w:rPr>
          <w:t> </w:t>
        </w:r>
        <w:r>
          <w:rPr>
            <w:color w:val="0000FF"/>
            <w:w w:val="105"/>
            <w:sz w:val="16"/>
            <w:u w:val="single" w:color="0000FF"/>
          </w:rPr>
          <w:t>Corning</w:t>
        </w:r>
        <w:r>
          <w:rPr>
            <w:color w:val="0000FF"/>
            <w:spacing w:val="-8"/>
            <w:w w:val="105"/>
            <w:sz w:val="16"/>
            <w:u w:val="single" w:color="0000FF"/>
          </w:rPr>
          <w:t> </w:t>
        </w:r>
        <w:r>
          <w:rPr>
            <w:color w:val="0000FF"/>
            <w:w w:val="105"/>
            <w:sz w:val="16"/>
            <w:u w:val="single" w:color="0000FF"/>
          </w:rPr>
          <w:t>Incorporated</w:t>
        </w:r>
        <w:r>
          <w:rPr>
            <w:color w:val="0000FF"/>
            <w:spacing w:val="-8"/>
            <w:w w:val="105"/>
            <w:sz w:val="16"/>
            <w:u w:val="single" w:color="0000FF"/>
          </w:rPr>
          <w:t> </w:t>
        </w:r>
        <w:r>
          <w:rPr>
            <w:color w:val="0000FF"/>
            <w:w w:val="105"/>
            <w:sz w:val="16"/>
            <w:u w:val="single" w:color="0000FF"/>
          </w:rPr>
          <w:t>and</w:t>
        </w:r>
        <w:r>
          <w:rPr>
            <w:color w:val="0000FF"/>
            <w:spacing w:val="-8"/>
            <w:w w:val="105"/>
            <w:sz w:val="16"/>
            <w:u w:val="single" w:color="0000FF"/>
          </w:rPr>
          <w:t> </w:t>
        </w:r>
        <w:r>
          <w:rPr>
            <w:color w:val="0000FF"/>
            <w:w w:val="105"/>
            <w:sz w:val="16"/>
            <w:u w:val="single" w:color="0000FF"/>
          </w:rPr>
          <w:t>Wendell</w:t>
        </w:r>
        <w:r>
          <w:rPr>
            <w:color w:val="0000FF"/>
            <w:spacing w:val="-8"/>
            <w:w w:val="105"/>
            <w:sz w:val="16"/>
            <w:u w:val="single" w:color="0000FF"/>
          </w:rPr>
          <w:t> </w:t>
        </w:r>
        <w:r>
          <w:rPr>
            <w:color w:val="0000FF"/>
            <w:w w:val="105"/>
            <w:sz w:val="16"/>
            <w:u w:val="single" w:color="0000FF"/>
          </w:rPr>
          <w:t>P.</w:t>
        </w:r>
      </w:hyperlink>
      <w:r>
        <w:rPr>
          <w:color w:val="0000FF"/>
          <w:w w:val="105"/>
          <w:sz w:val="16"/>
        </w:rPr>
        <w:t> </w:t>
      </w:r>
      <w:hyperlink r:id="rId24">
        <w:r>
          <w:rPr>
            <w:color w:val="0000FF"/>
            <w:w w:val="105"/>
            <w:sz w:val="16"/>
            <w:u w:val="single" w:color="0000FF"/>
          </w:rPr>
          <w:t>Weeks (Incorporated by reference to Exhibit 10.8 of Corning’s Form 10-Q filed May 4, 2004).</w:t>
        </w:r>
      </w:hyperlink>
    </w:p>
    <w:p>
      <w:pPr>
        <w:pStyle w:val="ListParagraph"/>
        <w:numPr>
          <w:ilvl w:val="1"/>
          <w:numId w:val="25"/>
        </w:numPr>
        <w:tabs>
          <w:tab w:pos="1659" w:val="left" w:leader="none"/>
        </w:tabs>
        <w:spacing w:line="266" w:lineRule="auto" w:before="0" w:after="0"/>
        <w:ind w:left="1659" w:right="207" w:hanging="1032"/>
        <w:jc w:val="left"/>
        <w:rPr>
          <w:sz w:val="16"/>
        </w:rPr>
      </w:pPr>
      <w:hyperlink r:id="rId24">
        <w:r>
          <w:rPr>
            <w:color w:val="0000FF"/>
            <w:w w:val="105"/>
            <w:sz w:val="16"/>
            <w:u w:val="single" w:color="0000FF"/>
          </w:rPr>
          <w:t>Change</w:t>
        </w:r>
        <w:r>
          <w:rPr>
            <w:color w:val="0000FF"/>
            <w:spacing w:val="-9"/>
            <w:w w:val="105"/>
            <w:sz w:val="16"/>
            <w:u w:val="single" w:color="0000FF"/>
          </w:rPr>
          <w:t> </w:t>
        </w:r>
        <w:r>
          <w:rPr>
            <w:color w:val="0000FF"/>
            <w:w w:val="105"/>
            <w:sz w:val="16"/>
            <w:u w:val="single" w:color="0000FF"/>
          </w:rPr>
          <w:t>In</w:t>
        </w:r>
        <w:r>
          <w:rPr>
            <w:color w:val="0000FF"/>
            <w:spacing w:val="-9"/>
            <w:w w:val="105"/>
            <w:sz w:val="16"/>
            <w:u w:val="single" w:color="0000FF"/>
          </w:rPr>
          <w:t> </w:t>
        </w:r>
        <w:r>
          <w:rPr>
            <w:color w:val="0000FF"/>
            <w:w w:val="105"/>
            <w:sz w:val="16"/>
            <w:u w:val="single" w:color="0000FF"/>
          </w:rPr>
          <w:t>Control</w:t>
        </w:r>
        <w:r>
          <w:rPr>
            <w:color w:val="0000FF"/>
            <w:spacing w:val="-9"/>
            <w:w w:val="105"/>
            <w:sz w:val="16"/>
            <w:u w:val="single" w:color="0000FF"/>
          </w:rPr>
          <w:t> </w:t>
        </w:r>
        <w:r>
          <w:rPr>
            <w:color w:val="0000FF"/>
            <w:w w:val="105"/>
            <w:sz w:val="16"/>
            <w:u w:val="single" w:color="0000FF"/>
          </w:rPr>
          <w:t>Agreement</w:t>
        </w:r>
        <w:r>
          <w:rPr>
            <w:color w:val="0000FF"/>
            <w:spacing w:val="-9"/>
            <w:w w:val="105"/>
            <w:sz w:val="16"/>
            <w:u w:val="single" w:color="0000FF"/>
          </w:rPr>
          <w:t> </w:t>
        </w:r>
        <w:r>
          <w:rPr>
            <w:color w:val="0000FF"/>
            <w:w w:val="105"/>
            <w:sz w:val="16"/>
            <w:u w:val="single" w:color="0000FF"/>
          </w:rPr>
          <w:t>dated</w:t>
        </w:r>
        <w:r>
          <w:rPr>
            <w:color w:val="0000FF"/>
            <w:spacing w:val="-7"/>
            <w:w w:val="105"/>
            <w:sz w:val="16"/>
            <w:u w:val="single" w:color="0000FF"/>
          </w:rPr>
          <w:t> </w:t>
        </w:r>
        <w:r>
          <w:rPr>
            <w:color w:val="0000FF"/>
            <w:w w:val="105"/>
            <w:sz w:val="16"/>
            <w:u w:val="single" w:color="0000FF"/>
          </w:rPr>
          <w:t>as</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April</w:t>
        </w:r>
        <w:r>
          <w:rPr>
            <w:color w:val="0000FF"/>
            <w:spacing w:val="-9"/>
            <w:w w:val="105"/>
            <w:sz w:val="16"/>
            <w:u w:val="single" w:color="0000FF"/>
          </w:rPr>
          <w:t> </w:t>
        </w:r>
        <w:r>
          <w:rPr>
            <w:color w:val="0000FF"/>
            <w:w w:val="105"/>
            <w:sz w:val="16"/>
            <w:u w:val="single" w:color="0000FF"/>
          </w:rPr>
          <w:t>23,</w:t>
        </w:r>
        <w:r>
          <w:rPr>
            <w:color w:val="0000FF"/>
            <w:spacing w:val="-9"/>
            <w:w w:val="105"/>
            <w:sz w:val="16"/>
            <w:u w:val="single" w:color="0000FF"/>
          </w:rPr>
          <w:t> </w:t>
        </w:r>
        <w:r>
          <w:rPr>
            <w:color w:val="0000FF"/>
            <w:w w:val="105"/>
            <w:sz w:val="16"/>
            <w:u w:val="single" w:color="0000FF"/>
          </w:rPr>
          <w:t>2002</w:t>
        </w:r>
        <w:r>
          <w:rPr>
            <w:color w:val="0000FF"/>
            <w:spacing w:val="-9"/>
            <w:w w:val="105"/>
            <w:sz w:val="16"/>
            <w:u w:val="single" w:color="0000FF"/>
          </w:rPr>
          <w:t> </w:t>
        </w:r>
        <w:r>
          <w:rPr>
            <w:color w:val="0000FF"/>
            <w:w w:val="105"/>
            <w:sz w:val="16"/>
            <w:u w:val="single" w:color="0000FF"/>
          </w:rPr>
          <w:t>between</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Wendell</w:t>
        </w:r>
        <w:r>
          <w:rPr>
            <w:color w:val="0000FF"/>
            <w:spacing w:val="-9"/>
            <w:w w:val="105"/>
            <w:sz w:val="16"/>
            <w:u w:val="single" w:color="0000FF"/>
          </w:rPr>
          <w:t> </w:t>
        </w:r>
        <w:r>
          <w:rPr>
            <w:color w:val="0000FF"/>
            <w:w w:val="105"/>
            <w:sz w:val="16"/>
            <w:u w:val="single" w:color="0000FF"/>
          </w:rPr>
          <w:t>P.</w:t>
        </w:r>
        <w:r>
          <w:rPr>
            <w:color w:val="0000FF"/>
            <w:spacing w:val="-9"/>
            <w:w w:val="105"/>
            <w:sz w:val="16"/>
            <w:u w:val="single" w:color="0000FF"/>
          </w:rPr>
          <w:t> </w:t>
        </w:r>
        <w:r>
          <w:rPr>
            <w:color w:val="0000FF"/>
            <w:w w:val="105"/>
            <w:sz w:val="16"/>
            <w:u w:val="single" w:color="0000FF"/>
          </w:rPr>
          <w:t>Weeks</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7"/>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hyperlink>
      <w:r>
        <w:rPr>
          <w:color w:val="0000FF"/>
          <w:w w:val="105"/>
          <w:sz w:val="16"/>
        </w:rPr>
        <w:t> </w:t>
      </w:r>
      <w:hyperlink r:id="rId24">
        <w:r>
          <w:rPr>
            <w:color w:val="0000FF"/>
            <w:w w:val="105"/>
            <w:sz w:val="16"/>
            <w:u w:val="single" w:color="0000FF"/>
          </w:rPr>
          <w:t>10.9 of Corning’s Form 10-Q filed May 4, 2004).</w:t>
        </w:r>
      </w:hyperlink>
    </w:p>
    <w:p>
      <w:pPr>
        <w:pStyle w:val="ListParagraph"/>
        <w:numPr>
          <w:ilvl w:val="1"/>
          <w:numId w:val="25"/>
        </w:numPr>
        <w:tabs>
          <w:tab w:pos="1659" w:val="left" w:leader="none"/>
        </w:tabs>
        <w:spacing w:line="266" w:lineRule="auto" w:before="0" w:after="0"/>
        <w:ind w:left="1659" w:right="550" w:hanging="1032"/>
        <w:jc w:val="left"/>
        <w:rPr>
          <w:sz w:val="16"/>
        </w:rPr>
      </w:pPr>
      <w:hyperlink r:id="rId25">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Non-Qualified</w:t>
        </w:r>
        <w:r>
          <w:rPr>
            <w:color w:val="0000FF"/>
            <w:spacing w:val="-10"/>
            <w:w w:val="105"/>
            <w:sz w:val="16"/>
            <w:u w:val="single" w:color="0000FF"/>
          </w:rPr>
          <w:t> </w:t>
        </w:r>
        <w:r>
          <w:rPr>
            <w:color w:val="0000FF"/>
            <w:w w:val="105"/>
            <w:sz w:val="16"/>
            <w:u w:val="single" w:color="0000FF"/>
          </w:rPr>
          <w:t>Stock</w:t>
        </w:r>
        <w:r>
          <w:rPr>
            <w:color w:val="0000FF"/>
            <w:spacing w:val="-10"/>
            <w:w w:val="105"/>
            <w:sz w:val="16"/>
            <w:u w:val="single" w:color="0000FF"/>
          </w:rPr>
          <w:t> </w:t>
        </w:r>
        <w:r>
          <w:rPr>
            <w:color w:val="0000FF"/>
            <w:w w:val="105"/>
            <w:sz w:val="16"/>
            <w:u w:val="single" w:color="0000FF"/>
          </w:rPr>
          <w:t>Option</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8"/>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10.4</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Corning’s</w:t>
        </w:r>
        <w:r>
          <w:rPr>
            <w:color w:val="0000FF"/>
            <w:spacing w:val="-10"/>
            <w:w w:val="105"/>
            <w:sz w:val="16"/>
            <w:u w:val="single" w:color="0000FF"/>
          </w:rPr>
          <w:t> </w:t>
        </w:r>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10-Q</w:t>
        </w:r>
        <w:r>
          <w:rPr>
            <w:color w:val="0000FF"/>
            <w:spacing w:val="-10"/>
            <w:w w:val="105"/>
            <w:sz w:val="16"/>
            <w:u w:val="single" w:color="0000FF"/>
          </w:rPr>
          <w:t> </w:t>
        </w:r>
        <w:r>
          <w:rPr>
            <w:color w:val="0000FF"/>
            <w:w w:val="105"/>
            <w:sz w:val="16"/>
            <w:u w:val="single" w:color="0000FF"/>
          </w:rPr>
          <w:t>filed</w:t>
        </w:r>
      </w:hyperlink>
      <w:r>
        <w:rPr>
          <w:color w:val="0000FF"/>
          <w:w w:val="105"/>
          <w:sz w:val="16"/>
        </w:rPr>
        <w:t> </w:t>
      </w:r>
      <w:hyperlink r:id="rId25">
        <w:r>
          <w:rPr>
            <w:color w:val="0000FF"/>
            <w:w w:val="105"/>
            <w:sz w:val="16"/>
            <w:u w:val="single" w:color="0000FF"/>
          </w:rPr>
          <w:t>October 28, 2004).</w:t>
        </w:r>
      </w:hyperlink>
    </w:p>
    <w:p>
      <w:pPr>
        <w:pStyle w:val="ListParagraph"/>
        <w:numPr>
          <w:ilvl w:val="1"/>
          <w:numId w:val="25"/>
        </w:numPr>
        <w:tabs>
          <w:tab w:pos="1659" w:val="left" w:leader="none"/>
        </w:tabs>
        <w:spacing w:line="266" w:lineRule="auto" w:before="0" w:after="0"/>
        <w:ind w:left="1659" w:right="138" w:hanging="1032"/>
        <w:jc w:val="left"/>
        <w:rPr>
          <w:sz w:val="16"/>
        </w:rPr>
      </w:pPr>
      <w:hyperlink r:id="rId26">
        <w:r>
          <w:rPr>
            <w:color w:val="0000FF"/>
            <w:w w:val="105"/>
            <w:sz w:val="16"/>
            <w:u w:val="single" w:color="0000FF"/>
          </w:rPr>
          <w:t>2005</w:t>
        </w:r>
        <w:r>
          <w:rPr>
            <w:color w:val="0000FF"/>
            <w:spacing w:val="-9"/>
            <w:w w:val="105"/>
            <w:sz w:val="16"/>
            <w:u w:val="single" w:color="0000FF"/>
          </w:rPr>
          <w:t> </w:t>
        </w:r>
        <w:r>
          <w:rPr>
            <w:color w:val="0000FF"/>
            <w:w w:val="105"/>
            <w:sz w:val="16"/>
            <w:u w:val="single" w:color="0000FF"/>
          </w:rPr>
          <w:t>Employee</w:t>
        </w:r>
        <w:r>
          <w:rPr>
            <w:color w:val="0000FF"/>
            <w:spacing w:val="-9"/>
            <w:w w:val="105"/>
            <w:sz w:val="16"/>
            <w:u w:val="single" w:color="0000FF"/>
          </w:rPr>
          <w:t> </w:t>
        </w:r>
        <w:r>
          <w:rPr>
            <w:color w:val="0000FF"/>
            <w:w w:val="105"/>
            <w:sz w:val="16"/>
            <w:u w:val="single" w:color="0000FF"/>
          </w:rPr>
          <w:t>Equity</w:t>
        </w:r>
        <w:r>
          <w:rPr>
            <w:color w:val="0000FF"/>
            <w:spacing w:val="-9"/>
            <w:w w:val="105"/>
            <w:sz w:val="16"/>
            <w:u w:val="single" w:color="0000FF"/>
          </w:rPr>
          <w:t> </w:t>
        </w:r>
        <w:r>
          <w:rPr>
            <w:color w:val="0000FF"/>
            <w:w w:val="105"/>
            <w:sz w:val="16"/>
            <w:u w:val="single" w:color="0000FF"/>
          </w:rPr>
          <w:t>Participation</w:t>
        </w:r>
        <w:r>
          <w:rPr>
            <w:color w:val="0000FF"/>
            <w:spacing w:val="-9"/>
            <w:w w:val="105"/>
            <w:sz w:val="16"/>
            <w:u w:val="single" w:color="0000FF"/>
          </w:rPr>
          <w:t> </w:t>
        </w:r>
        <w:r>
          <w:rPr>
            <w:color w:val="0000FF"/>
            <w:w w:val="105"/>
            <w:sz w:val="16"/>
            <w:u w:val="single" w:color="0000FF"/>
          </w:rPr>
          <w:t>Program</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8"/>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I</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Proxy</w:t>
        </w:r>
        <w:r>
          <w:rPr>
            <w:color w:val="0000FF"/>
            <w:spacing w:val="-9"/>
            <w:w w:val="105"/>
            <w:sz w:val="16"/>
            <w:u w:val="single" w:color="0000FF"/>
          </w:rPr>
          <w:t> </w:t>
        </w:r>
        <w:r>
          <w:rPr>
            <w:color w:val="0000FF"/>
            <w:w w:val="105"/>
            <w:sz w:val="16"/>
            <w:u w:val="single" w:color="0000FF"/>
          </w:rPr>
          <w:t>Statement,</w:t>
        </w:r>
        <w:r>
          <w:rPr>
            <w:color w:val="0000FF"/>
            <w:spacing w:val="-9"/>
            <w:w w:val="105"/>
            <w:sz w:val="16"/>
            <w:u w:val="single" w:color="0000FF"/>
          </w:rPr>
          <w:t> </w:t>
        </w:r>
        <w:r>
          <w:rPr>
            <w:color w:val="0000FF"/>
            <w:w w:val="105"/>
            <w:sz w:val="16"/>
            <w:u w:val="single" w:color="0000FF"/>
          </w:rPr>
          <w:t>Definitive</w:t>
        </w:r>
        <w:r>
          <w:rPr>
            <w:color w:val="0000FF"/>
            <w:spacing w:val="-9"/>
            <w:w w:val="105"/>
            <w:sz w:val="16"/>
            <w:u w:val="single" w:color="0000FF"/>
          </w:rPr>
          <w:t> </w:t>
        </w:r>
        <w:r>
          <w:rPr>
            <w:color w:val="0000FF"/>
            <w:w w:val="105"/>
            <w:sz w:val="16"/>
            <w:u w:val="single" w:color="0000FF"/>
          </w:rPr>
          <w:t>14A</w:t>
        </w:r>
        <w:r>
          <w:rPr>
            <w:color w:val="0000FF"/>
            <w:spacing w:val="-9"/>
            <w:w w:val="105"/>
            <w:sz w:val="16"/>
            <w:u w:val="single" w:color="0000FF"/>
          </w:rPr>
          <w:t> </w:t>
        </w:r>
        <w:r>
          <w:rPr>
            <w:color w:val="0000FF"/>
            <w:w w:val="105"/>
            <w:sz w:val="16"/>
            <w:u w:val="single" w:color="0000FF"/>
          </w:rPr>
          <w:t>filed</w:t>
        </w:r>
        <w:r>
          <w:rPr>
            <w:color w:val="0000FF"/>
            <w:spacing w:val="-9"/>
            <w:w w:val="105"/>
            <w:sz w:val="16"/>
            <w:u w:val="single" w:color="0000FF"/>
          </w:rPr>
          <w:t> </w:t>
        </w:r>
        <w:r>
          <w:rPr>
            <w:color w:val="0000FF"/>
            <w:w w:val="105"/>
            <w:sz w:val="16"/>
            <w:u w:val="single" w:color="0000FF"/>
          </w:rPr>
          <w:t>March</w:t>
        </w:r>
        <w:r>
          <w:rPr>
            <w:color w:val="0000FF"/>
            <w:spacing w:val="-9"/>
            <w:w w:val="105"/>
            <w:sz w:val="16"/>
            <w:u w:val="single" w:color="0000FF"/>
          </w:rPr>
          <w:t> </w:t>
        </w:r>
        <w:r>
          <w:rPr>
            <w:color w:val="0000FF"/>
            <w:w w:val="105"/>
            <w:sz w:val="16"/>
            <w:u w:val="single" w:color="0000FF"/>
          </w:rPr>
          <w:t>1,</w:t>
        </w:r>
        <w:r>
          <w:rPr>
            <w:color w:val="0000FF"/>
            <w:spacing w:val="-9"/>
            <w:w w:val="105"/>
            <w:sz w:val="16"/>
            <w:u w:val="single" w:color="0000FF"/>
          </w:rPr>
          <w:t> </w:t>
        </w:r>
        <w:r>
          <w:rPr>
            <w:color w:val="0000FF"/>
            <w:w w:val="105"/>
            <w:sz w:val="16"/>
            <w:u w:val="single" w:color="0000FF"/>
          </w:rPr>
          <w:t>2005</w:t>
        </w:r>
      </w:hyperlink>
      <w:r>
        <w:rPr>
          <w:color w:val="0000FF"/>
          <w:w w:val="105"/>
          <w:sz w:val="16"/>
        </w:rPr>
        <w:t> </w:t>
      </w:r>
      <w:hyperlink r:id="rId26">
        <w:r>
          <w:rPr>
            <w:color w:val="0000FF"/>
            <w:w w:val="105"/>
            <w:sz w:val="16"/>
            <w:u w:val="single" w:color="0000FF"/>
          </w:rPr>
          <w:t>for April 28, 2005 Annual Meeting of Shareholders).</w:t>
        </w:r>
      </w:hyperlink>
    </w:p>
    <w:p>
      <w:pPr>
        <w:pStyle w:val="ListParagraph"/>
        <w:numPr>
          <w:ilvl w:val="1"/>
          <w:numId w:val="25"/>
        </w:numPr>
        <w:tabs>
          <w:tab w:pos="1659" w:val="left" w:leader="none"/>
        </w:tabs>
        <w:spacing w:line="266" w:lineRule="auto" w:before="0" w:after="0"/>
        <w:ind w:left="1659" w:right="481" w:hanging="1032"/>
        <w:jc w:val="left"/>
        <w:rPr>
          <w:sz w:val="16"/>
        </w:rPr>
      </w:pPr>
      <w:hyperlink r:id="rId27">
        <w:r>
          <w:rPr>
            <w:color w:val="0000FF"/>
            <w:w w:val="105"/>
            <w:sz w:val="16"/>
            <w:u w:val="single" w:color="0000FF"/>
          </w:rPr>
          <w:t>2006</w:t>
        </w:r>
        <w:r>
          <w:rPr>
            <w:color w:val="0000FF"/>
            <w:spacing w:val="-9"/>
            <w:w w:val="105"/>
            <w:sz w:val="16"/>
            <w:u w:val="single" w:color="0000FF"/>
          </w:rPr>
          <w:t> </w:t>
        </w:r>
        <w:r>
          <w:rPr>
            <w:color w:val="0000FF"/>
            <w:w w:val="105"/>
            <w:sz w:val="16"/>
            <w:u w:val="single" w:color="0000FF"/>
          </w:rPr>
          <w:t>Variable</w:t>
        </w:r>
        <w:r>
          <w:rPr>
            <w:color w:val="0000FF"/>
            <w:spacing w:val="-9"/>
            <w:w w:val="105"/>
            <w:sz w:val="16"/>
            <w:u w:val="single" w:color="0000FF"/>
          </w:rPr>
          <w:t> </w:t>
        </w:r>
        <w:r>
          <w:rPr>
            <w:color w:val="0000FF"/>
            <w:w w:val="105"/>
            <w:sz w:val="16"/>
            <w:u w:val="single" w:color="0000FF"/>
          </w:rPr>
          <w:t>Compensation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Appendix</w:t>
        </w:r>
        <w:r>
          <w:rPr>
            <w:color w:val="0000FF"/>
            <w:spacing w:val="-9"/>
            <w:w w:val="105"/>
            <w:sz w:val="16"/>
            <w:u w:val="single" w:color="0000FF"/>
          </w:rPr>
          <w:t> </w:t>
        </w:r>
        <w:r>
          <w:rPr>
            <w:color w:val="0000FF"/>
            <w:w w:val="105"/>
            <w:sz w:val="16"/>
            <w:u w:val="single" w:color="0000FF"/>
          </w:rPr>
          <w:t>J</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Proxy</w:t>
        </w:r>
        <w:r>
          <w:rPr>
            <w:color w:val="0000FF"/>
            <w:spacing w:val="-9"/>
            <w:w w:val="105"/>
            <w:sz w:val="16"/>
            <w:u w:val="single" w:color="0000FF"/>
          </w:rPr>
          <w:t> </w:t>
        </w:r>
        <w:r>
          <w:rPr>
            <w:color w:val="0000FF"/>
            <w:w w:val="105"/>
            <w:sz w:val="16"/>
            <w:u w:val="single" w:color="0000FF"/>
          </w:rPr>
          <w:t>Statement,</w:t>
        </w:r>
        <w:r>
          <w:rPr>
            <w:color w:val="0000FF"/>
            <w:spacing w:val="-9"/>
            <w:w w:val="105"/>
            <w:sz w:val="16"/>
            <w:u w:val="single" w:color="0000FF"/>
          </w:rPr>
          <w:t> </w:t>
        </w:r>
        <w:r>
          <w:rPr>
            <w:color w:val="0000FF"/>
            <w:w w:val="105"/>
            <w:sz w:val="16"/>
            <w:u w:val="single" w:color="0000FF"/>
          </w:rPr>
          <w:t>Definitive</w:t>
        </w:r>
        <w:r>
          <w:rPr>
            <w:color w:val="0000FF"/>
            <w:spacing w:val="-9"/>
            <w:w w:val="105"/>
            <w:sz w:val="16"/>
            <w:u w:val="single" w:color="0000FF"/>
          </w:rPr>
          <w:t> </w:t>
        </w:r>
        <w:r>
          <w:rPr>
            <w:color w:val="0000FF"/>
            <w:w w:val="105"/>
            <w:sz w:val="16"/>
            <w:u w:val="single" w:color="0000FF"/>
          </w:rPr>
          <w:t>14A</w:t>
        </w:r>
        <w:r>
          <w:rPr>
            <w:color w:val="0000FF"/>
            <w:spacing w:val="-9"/>
            <w:w w:val="105"/>
            <w:sz w:val="16"/>
            <w:u w:val="single" w:color="0000FF"/>
          </w:rPr>
          <w:t> </w:t>
        </w:r>
        <w:r>
          <w:rPr>
            <w:color w:val="0000FF"/>
            <w:w w:val="105"/>
            <w:sz w:val="16"/>
            <w:u w:val="single" w:color="0000FF"/>
          </w:rPr>
          <w:t>filed</w:t>
        </w:r>
        <w:r>
          <w:rPr>
            <w:color w:val="0000FF"/>
            <w:spacing w:val="-9"/>
            <w:w w:val="105"/>
            <w:sz w:val="16"/>
            <w:u w:val="single" w:color="0000FF"/>
          </w:rPr>
          <w:t> </w:t>
        </w:r>
        <w:r>
          <w:rPr>
            <w:color w:val="0000FF"/>
            <w:w w:val="105"/>
            <w:sz w:val="16"/>
            <w:u w:val="single" w:color="0000FF"/>
          </w:rPr>
          <w:t>March</w:t>
        </w:r>
        <w:r>
          <w:rPr>
            <w:color w:val="0000FF"/>
            <w:spacing w:val="-9"/>
            <w:w w:val="105"/>
            <w:sz w:val="16"/>
            <w:u w:val="single" w:color="0000FF"/>
          </w:rPr>
          <w:t> </w:t>
        </w:r>
        <w:r>
          <w:rPr>
            <w:color w:val="0000FF"/>
            <w:w w:val="105"/>
            <w:sz w:val="16"/>
            <w:u w:val="single" w:color="0000FF"/>
          </w:rPr>
          <w:t>8,</w:t>
        </w:r>
        <w:r>
          <w:rPr>
            <w:color w:val="0000FF"/>
            <w:spacing w:val="-9"/>
            <w:w w:val="105"/>
            <w:sz w:val="16"/>
            <w:u w:val="single" w:color="0000FF"/>
          </w:rPr>
          <w:t> </w:t>
        </w:r>
        <w:r>
          <w:rPr>
            <w:color w:val="0000FF"/>
            <w:w w:val="105"/>
            <w:sz w:val="16"/>
            <w:u w:val="single" w:color="0000FF"/>
          </w:rPr>
          <w:t>2006</w:t>
        </w:r>
        <w:r>
          <w:rPr>
            <w:color w:val="0000FF"/>
            <w:spacing w:val="-9"/>
            <w:w w:val="105"/>
            <w:sz w:val="16"/>
            <w:u w:val="single" w:color="0000FF"/>
          </w:rPr>
          <w:t> </w:t>
        </w:r>
        <w:r>
          <w:rPr>
            <w:color w:val="0000FF"/>
            <w:w w:val="105"/>
            <w:sz w:val="16"/>
            <w:u w:val="single" w:color="0000FF"/>
          </w:rPr>
          <w:t>for</w:t>
        </w:r>
      </w:hyperlink>
      <w:r>
        <w:rPr>
          <w:color w:val="0000FF"/>
          <w:w w:val="105"/>
          <w:sz w:val="16"/>
        </w:rPr>
        <w:t> </w:t>
      </w:r>
      <w:hyperlink r:id="rId27">
        <w:r>
          <w:rPr>
            <w:color w:val="0000FF"/>
            <w:w w:val="105"/>
            <w:sz w:val="16"/>
            <w:u w:val="single" w:color="0000FF"/>
          </w:rPr>
          <w:t>April 27, 2006 Annual Meeting of Shareholders).</w:t>
        </w:r>
      </w:hyperlink>
    </w:p>
    <w:p>
      <w:pPr>
        <w:pStyle w:val="ListParagraph"/>
        <w:numPr>
          <w:ilvl w:val="1"/>
          <w:numId w:val="25"/>
        </w:numPr>
        <w:tabs>
          <w:tab w:pos="1659" w:val="left" w:leader="none"/>
        </w:tabs>
        <w:spacing w:line="266" w:lineRule="auto" w:before="0" w:after="0"/>
        <w:ind w:left="1659" w:right="168" w:hanging="1032"/>
        <w:jc w:val="left"/>
        <w:rPr>
          <w:sz w:val="16"/>
        </w:rPr>
      </w:pPr>
      <w:hyperlink r:id="rId27">
        <w:r>
          <w:rPr>
            <w:color w:val="0000FF"/>
            <w:w w:val="105"/>
            <w:sz w:val="16"/>
            <w:u w:val="single" w:color="0000FF"/>
          </w:rPr>
          <w:t>Amended</w:t>
        </w:r>
        <w:r>
          <w:rPr>
            <w:color w:val="0000FF"/>
            <w:spacing w:val="-10"/>
            <w:w w:val="105"/>
            <w:sz w:val="16"/>
            <w:u w:val="single" w:color="0000FF"/>
          </w:rPr>
          <w:t> </w:t>
        </w:r>
        <w:r>
          <w:rPr>
            <w:color w:val="0000FF"/>
            <w:w w:val="105"/>
            <w:sz w:val="16"/>
            <w:u w:val="single" w:color="0000FF"/>
          </w:rPr>
          <w:t>2003</w:t>
        </w:r>
        <w:r>
          <w:rPr>
            <w:color w:val="0000FF"/>
            <w:spacing w:val="-10"/>
            <w:w w:val="105"/>
            <w:sz w:val="16"/>
            <w:u w:val="single" w:color="0000FF"/>
          </w:rPr>
          <w:t> </w:t>
        </w:r>
        <w:r>
          <w:rPr>
            <w:color w:val="0000FF"/>
            <w:w w:val="105"/>
            <w:sz w:val="16"/>
            <w:u w:val="single" w:color="0000FF"/>
          </w:rPr>
          <w:t>Equity</w:t>
        </w:r>
        <w:r>
          <w:rPr>
            <w:color w:val="0000FF"/>
            <w:spacing w:val="-10"/>
            <w:w w:val="105"/>
            <w:sz w:val="16"/>
            <w:u w:val="single" w:color="0000FF"/>
          </w:rPr>
          <w:t> </w:t>
        </w:r>
        <w:r>
          <w:rPr>
            <w:color w:val="0000FF"/>
            <w:w w:val="105"/>
            <w:sz w:val="16"/>
            <w:u w:val="single" w:color="0000FF"/>
          </w:rPr>
          <w:t>Plan</w:t>
        </w:r>
        <w:r>
          <w:rPr>
            <w:color w:val="0000FF"/>
            <w:spacing w:val="-10"/>
            <w:w w:val="105"/>
            <w:sz w:val="16"/>
            <w:u w:val="single" w:color="0000FF"/>
          </w:rPr>
          <w:t> </w:t>
        </w:r>
        <w:r>
          <w:rPr>
            <w:color w:val="0000FF"/>
            <w:w w:val="105"/>
            <w:sz w:val="16"/>
            <w:u w:val="single" w:color="0000FF"/>
          </w:rPr>
          <w:t>for</w:t>
        </w:r>
        <w:r>
          <w:rPr>
            <w:color w:val="0000FF"/>
            <w:spacing w:val="-10"/>
            <w:w w:val="105"/>
            <w:sz w:val="16"/>
            <w:u w:val="single" w:color="0000FF"/>
          </w:rPr>
          <w:t> </w:t>
        </w:r>
        <w:r>
          <w:rPr>
            <w:color w:val="0000FF"/>
            <w:w w:val="105"/>
            <w:sz w:val="16"/>
            <w:u w:val="single" w:color="0000FF"/>
          </w:rPr>
          <w:t>Non-Employee</w:t>
        </w:r>
        <w:r>
          <w:rPr>
            <w:color w:val="0000FF"/>
            <w:spacing w:val="-10"/>
            <w:w w:val="105"/>
            <w:sz w:val="16"/>
            <w:u w:val="single" w:color="0000FF"/>
          </w:rPr>
          <w:t> </w:t>
        </w:r>
        <w:r>
          <w:rPr>
            <w:color w:val="0000FF"/>
            <w:w w:val="105"/>
            <w:sz w:val="16"/>
            <w:u w:val="single" w:color="0000FF"/>
          </w:rPr>
          <w:t>Directors</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Appendix</w:t>
        </w:r>
        <w:r>
          <w:rPr>
            <w:color w:val="0000FF"/>
            <w:spacing w:val="-10"/>
            <w:w w:val="105"/>
            <w:sz w:val="16"/>
            <w:u w:val="single" w:color="0000FF"/>
          </w:rPr>
          <w:t> </w:t>
        </w:r>
        <w:r>
          <w:rPr>
            <w:color w:val="0000FF"/>
            <w:w w:val="105"/>
            <w:sz w:val="16"/>
            <w:u w:val="single" w:color="0000FF"/>
          </w:rPr>
          <w:t>K</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Proxy</w:t>
        </w:r>
        <w:r>
          <w:rPr>
            <w:color w:val="0000FF"/>
            <w:spacing w:val="-10"/>
            <w:w w:val="105"/>
            <w:sz w:val="16"/>
            <w:u w:val="single" w:color="0000FF"/>
          </w:rPr>
          <w:t> </w:t>
        </w:r>
        <w:r>
          <w:rPr>
            <w:color w:val="0000FF"/>
            <w:w w:val="105"/>
            <w:sz w:val="16"/>
            <w:u w:val="single" w:color="0000FF"/>
          </w:rPr>
          <w:t>Statement,</w:t>
        </w:r>
        <w:r>
          <w:rPr>
            <w:color w:val="0000FF"/>
            <w:spacing w:val="-10"/>
            <w:w w:val="105"/>
            <w:sz w:val="16"/>
            <w:u w:val="single" w:color="0000FF"/>
          </w:rPr>
          <w:t> </w:t>
        </w:r>
        <w:r>
          <w:rPr>
            <w:color w:val="0000FF"/>
            <w:w w:val="105"/>
            <w:sz w:val="16"/>
            <w:u w:val="single" w:color="0000FF"/>
          </w:rPr>
          <w:t>Definitive</w:t>
        </w:r>
        <w:r>
          <w:rPr>
            <w:color w:val="0000FF"/>
            <w:spacing w:val="-10"/>
            <w:w w:val="105"/>
            <w:sz w:val="16"/>
            <w:u w:val="single" w:color="0000FF"/>
          </w:rPr>
          <w:t> </w:t>
        </w:r>
        <w:r>
          <w:rPr>
            <w:color w:val="0000FF"/>
            <w:w w:val="105"/>
            <w:sz w:val="16"/>
            <w:u w:val="single" w:color="0000FF"/>
          </w:rPr>
          <w:t>14A</w:t>
        </w:r>
        <w:r>
          <w:rPr>
            <w:color w:val="0000FF"/>
            <w:spacing w:val="-10"/>
            <w:w w:val="105"/>
            <w:sz w:val="16"/>
            <w:u w:val="single" w:color="0000FF"/>
          </w:rPr>
          <w:t> </w:t>
        </w:r>
        <w:r>
          <w:rPr>
            <w:color w:val="0000FF"/>
            <w:w w:val="105"/>
            <w:sz w:val="16"/>
            <w:u w:val="single" w:color="0000FF"/>
          </w:rPr>
          <w:t>filed</w:t>
        </w:r>
      </w:hyperlink>
      <w:r>
        <w:rPr>
          <w:color w:val="0000FF"/>
          <w:w w:val="105"/>
          <w:sz w:val="16"/>
        </w:rPr>
        <w:t> </w:t>
      </w:r>
      <w:hyperlink r:id="rId27">
        <w:r>
          <w:rPr>
            <w:color w:val="0000FF"/>
            <w:w w:val="105"/>
            <w:sz w:val="16"/>
            <w:u w:val="single" w:color="0000FF"/>
          </w:rPr>
          <w:t>March 8, 2006 for April 27, 2006 Annual Meeting of Shareholders).</w:t>
        </w:r>
      </w:hyperlink>
    </w:p>
    <w:p>
      <w:pPr>
        <w:pStyle w:val="ListParagraph"/>
        <w:numPr>
          <w:ilvl w:val="1"/>
          <w:numId w:val="25"/>
        </w:numPr>
        <w:tabs>
          <w:tab w:pos="1659" w:val="left" w:leader="none"/>
        </w:tabs>
        <w:spacing w:line="266" w:lineRule="auto" w:before="0" w:after="0"/>
        <w:ind w:left="1659" w:right="203" w:hanging="1032"/>
        <w:jc w:val="left"/>
        <w:rPr>
          <w:sz w:val="16"/>
        </w:rPr>
      </w:pPr>
      <w:hyperlink r:id="rId28">
        <w:r>
          <w:rPr>
            <w:color w:val="0000FF"/>
            <w:w w:val="105"/>
            <w:sz w:val="16"/>
            <w:u w:val="single" w:color="0000FF"/>
          </w:rPr>
          <w:t>Amended</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2003</w:t>
        </w:r>
        <w:r>
          <w:rPr>
            <w:color w:val="0000FF"/>
            <w:spacing w:val="-10"/>
            <w:w w:val="105"/>
            <w:sz w:val="16"/>
            <w:u w:val="single" w:color="0000FF"/>
          </w:rPr>
          <w:t> </w:t>
        </w:r>
        <w:r>
          <w:rPr>
            <w:color w:val="0000FF"/>
            <w:w w:val="105"/>
            <w:sz w:val="16"/>
            <w:u w:val="single" w:color="0000FF"/>
          </w:rPr>
          <w:t>Equity</w:t>
        </w:r>
        <w:r>
          <w:rPr>
            <w:color w:val="0000FF"/>
            <w:spacing w:val="-10"/>
            <w:w w:val="105"/>
            <w:sz w:val="16"/>
            <w:u w:val="single" w:color="0000FF"/>
          </w:rPr>
          <w:t> </w:t>
        </w:r>
        <w:r>
          <w:rPr>
            <w:color w:val="0000FF"/>
            <w:w w:val="105"/>
            <w:sz w:val="16"/>
            <w:u w:val="single" w:color="0000FF"/>
          </w:rPr>
          <w:t>Plan</w:t>
        </w:r>
        <w:r>
          <w:rPr>
            <w:color w:val="0000FF"/>
            <w:spacing w:val="-10"/>
            <w:w w:val="105"/>
            <w:sz w:val="16"/>
            <w:u w:val="single" w:color="0000FF"/>
          </w:rPr>
          <w:t> </w:t>
        </w:r>
        <w:r>
          <w:rPr>
            <w:color w:val="0000FF"/>
            <w:w w:val="105"/>
            <w:sz w:val="16"/>
            <w:u w:val="single" w:color="0000FF"/>
          </w:rPr>
          <w:t>for</w:t>
        </w:r>
        <w:r>
          <w:rPr>
            <w:color w:val="0000FF"/>
            <w:spacing w:val="-10"/>
            <w:w w:val="105"/>
            <w:sz w:val="16"/>
            <w:u w:val="single" w:color="0000FF"/>
          </w:rPr>
          <w:t> </w:t>
        </w:r>
        <w:r>
          <w:rPr>
            <w:color w:val="0000FF"/>
            <w:w w:val="105"/>
            <w:sz w:val="16"/>
            <w:u w:val="single" w:color="0000FF"/>
          </w:rPr>
          <w:t>Non-Employee</w:t>
        </w:r>
        <w:r>
          <w:rPr>
            <w:color w:val="0000FF"/>
            <w:spacing w:val="-10"/>
            <w:w w:val="105"/>
            <w:sz w:val="16"/>
            <w:u w:val="single" w:color="0000FF"/>
          </w:rPr>
          <w:t> </w:t>
        </w:r>
        <w:r>
          <w:rPr>
            <w:color w:val="0000FF"/>
            <w:w w:val="105"/>
            <w:sz w:val="16"/>
            <w:u w:val="single" w:color="0000FF"/>
          </w:rPr>
          <w:t>Directors</w:t>
        </w:r>
        <w:r>
          <w:rPr>
            <w:color w:val="0000FF"/>
            <w:spacing w:val="-10"/>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October</w:t>
        </w:r>
        <w:r>
          <w:rPr>
            <w:color w:val="0000FF"/>
            <w:spacing w:val="-10"/>
            <w:w w:val="105"/>
            <w:sz w:val="16"/>
            <w:u w:val="single" w:color="0000FF"/>
          </w:rPr>
          <w:t> </w:t>
        </w:r>
        <w:r>
          <w:rPr>
            <w:color w:val="0000FF"/>
            <w:w w:val="105"/>
            <w:sz w:val="16"/>
            <w:u w:val="single" w:color="0000FF"/>
          </w:rPr>
          <w:t>4,</w:t>
        </w:r>
        <w:r>
          <w:rPr>
            <w:color w:val="0000FF"/>
            <w:spacing w:val="-10"/>
            <w:w w:val="105"/>
            <w:sz w:val="16"/>
            <w:u w:val="single" w:color="0000FF"/>
          </w:rPr>
          <w:t> </w:t>
        </w:r>
        <w:r>
          <w:rPr>
            <w:color w:val="0000FF"/>
            <w:w w:val="105"/>
            <w:sz w:val="16"/>
            <w:u w:val="single" w:color="0000FF"/>
          </w:rPr>
          <w:t>2006</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8"/>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10.28</w:t>
        </w:r>
      </w:hyperlink>
      <w:r>
        <w:rPr>
          <w:color w:val="0000FF"/>
          <w:w w:val="105"/>
          <w:sz w:val="16"/>
        </w:rPr>
        <w:t> </w:t>
      </w:r>
      <w:hyperlink r:id="rId28">
        <w:r>
          <w:rPr>
            <w:color w:val="0000FF"/>
            <w:w w:val="105"/>
            <w:sz w:val="16"/>
            <w:u w:val="single" w:color="0000FF"/>
          </w:rPr>
          <w:t>of Corning’s Form 10-K filed February 27, 2007).</w:t>
        </w:r>
      </w:hyperlink>
    </w:p>
    <w:p>
      <w:pPr>
        <w:pStyle w:val="ListParagraph"/>
        <w:numPr>
          <w:ilvl w:val="1"/>
          <w:numId w:val="25"/>
        </w:numPr>
        <w:tabs>
          <w:tab w:pos="1659" w:val="left" w:leader="none"/>
        </w:tabs>
        <w:spacing w:line="266" w:lineRule="auto" w:before="0" w:after="0"/>
        <w:ind w:left="1659" w:right="272" w:hanging="1032"/>
        <w:jc w:val="left"/>
        <w:rPr>
          <w:sz w:val="16"/>
        </w:rPr>
      </w:pPr>
      <w:hyperlink r:id="rId29">
        <w:r>
          <w:rPr>
            <w:color w:val="0000FF"/>
            <w:w w:val="105"/>
            <w:sz w:val="16"/>
            <w:u w:val="single" w:color="0000FF"/>
          </w:rPr>
          <w:t>Amended</w:t>
        </w:r>
        <w:r>
          <w:rPr>
            <w:color w:val="0000FF"/>
            <w:spacing w:val="-11"/>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1"/>
            <w:w w:val="105"/>
            <w:sz w:val="16"/>
            <w:u w:val="single" w:color="0000FF"/>
          </w:rPr>
          <w:t> </w:t>
        </w:r>
        <w:r>
          <w:rPr>
            <w:color w:val="0000FF"/>
            <w:w w:val="105"/>
            <w:sz w:val="16"/>
            <w:u w:val="single" w:color="0000FF"/>
          </w:rPr>
          <w:t>2005</w:t>
        </w:r>
        <w:r>
          <w:rPr>
            <w:color w:val="0000FF"/>
            <w:spacing w:val="-10"/>
            <w:w w:val="105"/>
            <w:sz w:val="16"/>
            <w:u w:val="single" w:color="0000FF"/>
          </w:rPr>
          <w:t> </w:t>
        </w:r>
        <w:r>
          <w:rPr>
            <w:color w:val="0000FF"/>
            <w:w w:val="105"/>
            <w:sz w:val="16"/>
            <w:u w:val="single" w:color="0000FF"/>
          </w:rPr>
          <w:t>Employee</w:t>
        </w:r>
        <w:r>
          <w:rPr>
            <w:color w:val="0000FF"/>
            <w:spacing w:val="-11"/>
            <w:w w:val="105"/>
            <w:sz w:val="16"/>
            <w:u w:val="single" w:color="0000FF"/>
          </w:rPr>
          <w:t> </w:t>
        </w:r>
        <w:r>
          <w:rPr>
            <w:color w:val="0000FF"/>
            <w:w w:val="105"/>
            <w:sz w:val="16"/>
            <w:u w:val="single" w:color="0000FF"/>
          </w:rPr>
          <w:t>Equity</w:t>
        </w:r>
        <w:r>
          <w:rPr>
            <w:color w:val="0000FF"/>
            <w:spacing w:val="-10"/>
            <w:w w:val="105"/>
            <w:sz w:val="16"/>
            <w:u w:val="single" w:color="0000FF"/>
          </w:rPr>
          <w:t> </w:t>
        </w:r>
        <w:r>
          <w:rPr>
            <w:color w:val="0000FF"/>
            <w:w w:val="105"/>
            <w:sz w:val="16"/>
            <w:u w:val="single" w:color="0000FF"/>
          </w:rPr>
          <w:t>Participation</w:t>
        </w:r>
        <w:r>
          <w:rPr>
            <w:color w:val="0000FF"/>
            <w:spacing w:val="-11"/>
            <w:w w:val="105"/>
            <w:sz w:val="16"/>
            <w:u w:val="single" w:color="0000FF"/>
          </w:rPr>
          <w:t> </w:t>
        </w:r>
        <w:r>
          <w:rPr>
            <w:color w:val="0000FF"/>
            <w:w w:val="105"/>
            <w:sz w:val="16"/>
            <w:u w:val="single" w:color="0000FF"/>
          </w:rPr>
          <w:t>Program</w:t>
        </w:r>
        <w:r>
          <w:rPr>
            <w:color w:val="0000FF"/>
            <w:spacing w:val="-10"/>
            <w:w w:val="105"/>
            <w:sz w:val="16"/>
            <w:u w:val="single" w:color="0000FF"/>
          </w:rPr>
          <w:t> </w:t>
        </w:r>
        <w:r>
          <w:rPr>
            <w:color w:val="0000FF"/>
            <w:w w:val="105"/>
            <w:sz w:val="16"/>
            <w:u w:val="single" w:color="0000FF"/>
          </w:rPr>
          <w:t>effective</w:t>
        </w:r>
        <w:r>
          <w:rPr>
            <w:color w:val="0000FF"/>
            <w:spacing w:val="-11"/>
            <w:w w:val="105"/>
            <w:sz w:val="16"/>
            <w:u w:val="single" w:color="0000FF"/>
          </w:rPr>
          <w:t> </w:t>
        </w:r>
        <w:r>
          <w:rPr>
            <w:color w:val="0000FF"/>
            <w:w w:val="105"/>
            <w:sz w:val="16"/>
            <w:u w:val="single" w:color="0000FF"/>
          </w:rPr>
          <w:t>October</w:t>
        </w:r>
        <w:r>
          <w:rPr>
            <w:color w:val="0000FF"/>
            <w:spacing w:val="-10"/>
            <w:w w:val="105"/>
            <w:sz w:val="16"/>
            <w:u w:val="single" w:color="0000FF"/>
          </w:rPr>
          <w:t> </w:t>
        </w:r>
        <w:r>
          <w:rPr>
            <w:color w:val="0000FF"/>
            <w:w w:val="105"/>
            <w:sz w:val="16"/>
            <w:u w:val="single" w:color="0000FF"/>
          </w:rPr>
          <w:t>4,</w:t>
        </w:r>
        <w:r>
          <w:rPr>
            <w:color w:val="0000FF"/>
            <w:spacing w:val="-11"/>
            <w:w w:val="105"/>
            <w:sz w:val="16"/>
            <w:u w:val="single" w:color="0000FF"/>
          </w:rPr>
          <w:t> </w:t>
        </w:r>
        <w:r>
          <w:rPr>
            <w:color w:val="0000FF"/>
            <w:w w:val="105"/>
            <w:sz w:val="16"/>
            <w:u w:val="single" w:color="0000FF"/>
          </w:rPr>
          <w:t>2006</w:t>
        </w:r>
        <w:r>
          <w:rPr>
            <w:color w:val="0000FF"/>
            <w:spacing w:val="-9"/>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1"/>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1"/>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10.29</w:t>
        </w:r>
      </w:hyperlink>
      <w:r>
        <w:rPr>
          <w:color w:val="0000FF"/>
          <w:w w:val="105"/>
          <w:sz w:val="16"/>
        </w:rPr>
        <w:t> </w:t>
      </w:r>
      <w:hyperlink r:id="rId29">
        <w:r>
          <w:rPr>
            <w:color w:val="0000FF"/>
            <w:w w:val="105"/>
            <w:sz w:val="16"/>
            <w:u w:val="single" w:color="0000FF"/>
          </w:rPr>
          <w:t>of Corning’s Form 10-K filed February 27, 2007).</w:t>
        </w:r>
      </w:hyperlink>
    </w:p>
    <w:p>
      <w:pPr>
        <w:pStyle w:val="ListParagraph"/>
        <w:numPr>
          <w:ilvl w:val="1"/>
          <w:numId w:val="25"/>
        </w:numPr>
        <w:tabs>
          <w:tab w:pos="1659" w:val="left" w:leader="none"/>
        </w:tabs>
        <w:spacing w:line="266" w:lineRule="auto" w:before="0" w:after="0"/>
        <w:ind w:left="1659" w:right="350" w:hanging="1032"/>
        <w:jc w:val="left"/>
        <w:rPr>
          <w:sz w:val="16"/>
        </w:rPr>
      </w:pPr>
      <w:hyperlink r:id="rId30">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Incentive</w:t>
        </w:r>
        <w:r>
          <w:rPr>
            <w:color w:val="0000FF"/>
            <w:spacing w:val="-10"/>
            <w:w w:val="105"/>
            <w:sz w:val="16"/>
            <w:u w:val="single" w:color="0000FF"/>
          </w:rPr>
          <w:t> </w:t>
        </w:r>
        <w:r>
          <w:rPr>
            <w:color w:val="0000FF"/>
            <w:w w:val="105"/>
            <w:sz w:val="16"/>
            <w:u w:val="single" w:color="0000FF"/>
          </w:rPr>
          <w:t>Stock</w:t>
        </w:r>
        <w:r>
          <w:rPr>
            <w:color w:val="0000FF"/>
            <w:spacing w:val="-10"/>
            <w:w w:val="105"/>
            <w:sz w:val="16"/>
            <w:u w:val="single" w:color="0000FF"/>
          </w:rPr>
          <w:t> </w:t>
        </w:r>
        <w:r>
          <w:rPr>
            <w:color w:val="0000FF"/>
            <w:w w:val="105"/>
            <w:sz w:val="16"/>
            <w:u w:val="single" w:color="0000FF"/>
          </w:rPr>
          <w:t>Plan</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for</w:t>
        </w:r>
        <w:r>
          <w:rPr>
            <w:color w:val="0000FF"/>
            <w:spacing w:val="-10"/>
            <w:w w:val="105"/>
            <w:sz w:val="16"/>
            <w:u w:val="single" w:color="0000FF"/>
          </w:rPr>
          <w:t> </w:t>
        </w:r>
        <w:r>
          <w:rPr>
            <w:color w:val="0000FF"/>
            <w:w w:val="105"/>
            <w:sz w:val="16"/>
            <w:u w:val="single" w:color="0000FF"/>
          </w:rPr>
          <w:t>Restricted</w:t>
        </w:r>
        <w:r>
          <w:rPr>
            <w:color w:val="0000FF"/>
            <w:spacing w:val="-10"/>
            <w:w w:val="105"/>
            <w:sz w:val="16"/>
            <w:u w:val="single" w:color="0000FF"/>
          </w:rPr>
          <w:t> </w:t>
        </w:r>
        <w:r>
          <w:rPr>
            <w:color w:val="0000FF"/>
            <w:w w:val="105"/>
            <w:sz w:val="16"/>
            <w:u w:val="single" w:color="0000FF"/>
          </w:rPr>
          <w:t>Stock</w:t>
        </w:r>
        <w:r>
          <w:rPr>
            <w:color w:val="0000FF"/>
            <w:spacing w:val="-10"/>
            <w:w w:val="105"/>
            <w:sz w:val="16"/>
            <w:u w:val="single" w:color="0000FF"/>
          </w:rPr>
          <w:t> </w:t>
        </w:r>
        <w:r>
          <w:rPr>
            <w:color w:val="0000FF"/>
            <w:w w:val="105"/>
            <w:sz w:val="16"/>
            <w:u w:val="single" w:color="0000FF"/>
          </w:rPr>
          <w:t>Grants,</w:t>
        </w:r>
        <w:r>
          <w:rPr>
            <w:color w:val="0000FF"/>
            <w:spacing w:val="-10"/>
            <w:w w:val="105"/>
            <w:sz w:val="16"/>
            <w:u w:val="single" w:color="0000FF"/>
          </w:rPr>
          <w:t> </w:t>
        </w:r>
        <w:r>
          <w:rPr>
            <w:color w:val="0000FF"/>
            <w:w w:val="105"/>
            <w:sz w:val="16"/>
            <w:u w:val="single" w:color="0000FF"/>
          </w:rPr>
          <w:t>amended</w:t>
        </w:r>
        <w:r>
          <w:rPr>
            <w:color w:val="0000FF"/>
            <w:spacing w:val="-8"/>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December</w:t>
        </w:r>
        <w:r>
          <w:rPr>
            <w:color w:val="0000FF"/>
            <w:spacing w:val="-10"/>
            <w:w w:val="105"/>
            <w:sz w:val="16"/>
            <w:u w:val="single" w:color="0000FF"/>
          </w:rPr>
          <w:t> </w:t>
        </w:r>
        <w:r>
          <w:rPr>
            <w:color w:val="0000FF"/>
            <w:w w:val="105"/>
            <w:sz w:val="16"/>
            <w:u w:val="single" w:color="0000FF"/>
          </w:rPr>
          <w:t>6,</w:t>
        </w:r>
        <w:r>
          <w:rPr>
            <w:color w:val="0000FF"/>
            <w:spacing w:val="-10"/>
            <w:w w:val="105"/>
            <w:sz w:val="16"/>
            <w:u w:val="single" w:color="0000FF"/>
          </w:rPr>
          <w:t> </w:t>
        </w:r>
        <w:r>
          <w:rPr>
            <w:color w:val="0000FF"/>
            <w:w w:val="105"/>
            <w:sz w:val="16"/>
            <w:u w:val="single" w:color="0000FF"/>
          </w:rPr>
          <w:t>2006</w:t>
        </w:r>
        <w:r>
          <w:rPr>
            <w:color w:val="0000FF"/>
            <w:spacing w:val="-8"/>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hyperlink>
      <w:r>
        <w:rPr>
          <w:color w:val="0000FF"/>
          <w:w w:val="105"/>
          <w:sz w:val="16"/>
        </w:rPr>
        <w:t> </w:t>
      </w:r>
      <w:hyperlink r:id="rId30">
        <w:r>
          <w:rPr>
            <w:color w:val="0000FF"/>
            <w:w w:val="105"/>
            <w:sz w:val="16"/>
            <w:u w:val="single" w:color="0000FF"/>
          </w:rPr>
          <w:t>reference to Exhibit 10.30 of Corning’s Form 10-K filed February 27, 2007).</w:t>
        </w:r>
      </w:hyperlink>
    </w:p>
    <w:p>
      <w:pPr>
        <w:pStyle w:val="ListParagraph"/>
        <w:numPr>
          <w:ilvl w:val="1"/>
          <w:numId w:val="25"/>
        </w:numPr>
        <w:tabs>
          <w:tab w:pos="1659" w:val="left" w:leader="none"/>
        </w:tabs>
        <w:spacing w:line="266" w:lineRule="auto" w:before="0" w:after="0"/>
        <w:ind w:left="1659" w:right="683" w:hanging="1032"/>
        <w:jc w:val="left"/>
        <w:rPr>
          <w:sz w:val="16"/>
        </w:rPr>
      </w:pPr>
      <w:hyperlink r:id="rId31">
        <w:r>
          <w:rPr>
            <w:color w:val="0000FF"/>
            <w:w w:val="105"/>
            <w:sz w:val="16"/>
            <w:u w:val="single" w:color="0000FF"/>
          </w:rPr>
          <w:t>Executive</w:t>
        </w:r>
        <w:r>
          <w:rPr>
            <w:color w:val="0000FF"/>
            <w:spacing w:val="-9"/>
            <w:w w:val="105"/>
            <w:sz w:val="16"/>
            <w:u w:val="single" w:color="0000FF"/>
          </w:rPr>
          <w:t> </w:t>
        </w:r>
        <w:r>
          <w:rPr>
            <w:color w:val="0000FF"/>
            <w:w w:val="105"/>
            <w:sz w:val="16"/>
            <w:u w:val="single" w:color="0000FF"/>
          </w:rPr>
          <w:t>Supplemental</w:t>
        </w:r>
        <w:r>
          <w:rPr>
            <w:color w:val="0000FF"/>
            <w:spacing w:val="-9"/>
            <w:w w:val="105"/>
            <w:sz w:val="16"/>
            <w:u w:val="single" w:color="0000FF"/>
          </w:rPr>
          <w:t> </w:t>
        </w:r>
        <w:r>
          <w:rPr>
            <w:color w:val="0000FF"/>
            <w:w w:val="105"/>
            <w:sz w:val="16"/>
            <w:u w:val="single" w:color="0000FF"/>
          </w:rPr>
          <w:t>Pension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effective</w:t>
        </w:r>
        <w:r>
          <w:rPr>
            <w:color w:val="0000FF"/>
            <w:spacing w:val="-9"/>
            <w:w w:val="105"/>
            <w:sz w:val="16"/>
            <w:u w:val="single" w:color="0000FF"/>
          </w:rPr>
          <w:t> </w:t>
        </w:r>
        <w:r>
          <w:rPr>
            <w:color w:val="0000FF"/>
            <w:w w:val="105"/>
            <w:sz w:val="16"/>
            <w:u w:val="single" w:color="0000FF"/>
          </w:rPr>
          <w:t>February</w:t>
        </w:r>
        <w:r>
          <w:rPr>
            <w:color w:val="0000FF"/>
            <w:spacing w:val="-9"/>
            <w:w w:val="105"/>
            <w:sz w:val="16"/>
            <w:u w:val="single" w:color="0000FF"/>
          </w:rPr>
          <w:t> </w:t>
        </w:r>
        <w:r>
          <w:rPr>
            <w:color w:val="0000FF"/>
            <w:w w:val="105"/>
            <w:sz w:val="16"/>
            <w:u w:val="single" w:color="0000FF"/>
          </w:rPr>
          <w:t>7,</w:t>
        </w:r>
        <w:r>
          <w:rPr>
            <w:color w:val="0000FF"/>
            <w:spacing w:val="-9"/>
            <w:w w:val="105"/>
            <w:sz w:val="16"/>
            <w:u w:val="single" w:color="0000FF"/>
          </w:rPr>
          <w:t> </w:t>
        </w:r>
        <w:r>
          <w:rPr>
            <w:color w:val="0000FF"/>
            <w:w w:val="105"/>
            <w:sz w:val="16"/>
            <w:u w:val="single" w:color="0000FF"/>
          </w:rPr>
          <w:t>2007</w:t>
        </w:r>
        <w:r>
          <w:rPr>
            <w:color w:val="0000FF"/>
            <w:spacing w:val="-9"/>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signed</w:t>
        </w:r>
        <w:r>
          <w:rPr>
            <w:color w:val="0000FF"/>
            <w:spacing w:val="-9"/>
            <w:w w:val="105"/>
            <w:sz w:val="16"/>
            <w:u w:val="single" w:color="0000FF"/>
          </w:rPr>
          <w:t> </w:t>
        </w:r>
        <w:r>
          <w:rPr>
            <w:color w:val="0000FF"/>
            <w:w w:val="105"/>
            <w:sz w:val="16"/>
            <w:u w:val="single" w:color="0000FF"/>
          </w:rPr>
          <w:t>February</w:t>
        </w:r>
        <w:r>
          <w:rPr>
            <w:color w:val="0000FF"/>
            <w:spacing w:val="-9"/>
            <w:w w:val="105"/>
            <w:sz w:val="16"/>
            <w:u w:val="single" w:color="0000FF"/>
          </w:rPr>
          <w:t> </w:t>
        </w:r>
        <w:r>
          <w:rPr>
            <w:color w:val="0000FF"/>
            <w:w w:val="105"/>
            <w:sz w:val="16"/>
            <w:u w:val="single" w:color="0000FF"/>
          </w:rPr>
          <w:t>12,</w:t>
        </w:r>
        <w:r>
          <w:rPr>
            <w:color w:val="0000FF"/>
            <w:spacing w:val="-9"/>
            <w:w w:val="105"/>
            <w:sz w:val="16"/>
            <w:u w:val="single" w:color="0000FF"/>
          </w:rPr>
          <w:t> </w:t>
        </w:r>
        <w:r>
          <w:rPr>
            <w:color w:val="0000FF"/>
            <w:w w:val="105"/>
            <w:sz w:val="16"/>
            <w:u w:val="single" w:color="0000FF"/>
          </w:rPr>
          <w:t>2007</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8"/>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10.31</w:t>
        </w:r>
        <w:r>
          <w:rPr>
            <w:color w:val="0000FF"/>
            <w:spacing w:val="-9"/>
            <w:w w:val="105"/>
            <w:sz w:val="16"/>
            <w:u w:val="single" w:color="0000FF"/>
          </w:rPr>
          <w:t> </w:t>
        </w:r>
        <w:r>
          <w:rPr>
            <w:color w:val="0000FF"/>
            <w:w w:val="105"/>
            <w:sz w:val="16"/>
            <w:u w:val="single" w:color="0000FF"/>
          </w:rPr>
          <w:t>of</w:t>
        </w:r>
      </w:hyperlink>
      <w:r>
        <w:rPr>
          <w:color w:val="0000FF"/>
          <w:w w:val="105"/>
          <w:sz w:val="16"/>
        </w:rPr>
        <w:t> </w:t>
      </w:r>
      <w:hyperlink r:id="rId31">
        <w:r>
          <w:rPr>
            <w:color w:val="0000FF"/>
            <w:w w:val="105"/>
            <w:sz w:val="16"/>
            <w:u w:val="single" w:color="0000FF"/>
          </w:rPr>
          <w:t>Corning’s Form 10-K filed February 27, 2007).</w:t>
        </w:r>
      </w:hyperlink>
    </w:p>
    <w:p>
      <w:pPr>
        <w:pStyle w:val="ListParagraph"/>
        <w:numPr>
          <w:ilvl w:val="1"/>
          <w:numId w:val="25"/>
        </w:numPr>
        <w:tabs>
          <w:tab w:pos="1659" w:val="left" w:leader="none"/>
        </w:tabs>
        <w:spacing w:line="266" w:lineRule="auto" w:before="0" w:after="0"/>
        <w:ind w:left="1659" w:right="368" w:hanging="1032"/>
        <w:jc w:val="left"/>
        <w:rPr>
          <w:sz w:val="16"/>
        </w:rPr>
      </w:pPr>
      <w:hyperlink r:id="rId32">
        <w:r>
          <w:rPr>
            <w:color w:val="0000FF"/>
            <w:w w:val="105"/>
            <w:sz w:val="16"/>
            <w:u w:val="single" w:color="0000FF"/>
          </w:rPr>
          <w:t>Executive</w:t>
        </w:r>
        <w:r>
          <w:rPr>
            <w:color w:val="0000FF"/>
            <w:spacing w:val="-9"/>
            <w:w w:val="105"/>
            <w:sz w:val="16"/>
            <w:u w:val="single" w:color="0000FF"/>
          </w:rPr>
          <w:t> </w:t>
        </w:r>
        <w:r>
          <w:rPr>
            <w:color w:val="0000FF"/>
            <w:w w:val="105"/>
            <w:sz w:val="16"/>
            <w:u w:val="single" w:color="0000FF"/>
          </w:rPr>
          <w:t>Supplemental</w:t>
        </w:r>
        <w:r>
          <w:rPr>
            <w:color w:val="0000FF"/>
            <w:spacing w:val="-9"/>
            <w:w w:val="105"/>
            <w:sz w:val="16"/>
            <w:u w:val="single" w:color="0000FF"/>
          </w:rPr>
          <w:t> </w:t>
        </w:r>
        <w:r>
          <w:rPr>
            <w:color w:val="0000FF"/>
            <w:w w:val="105"/>
            <w:sz w:val="16"/>
            <w:u w:val="single" w:color="0000FF"/>
          </w:rPr>
          <w:t>Pension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as</w:t>
        </w:r>
        <w:r>
          <w:rPr>
            <w:color w:val="0000FF"/>
            <w:spacing w:val="-9"/>
            <w:w w:val="105"/>
            <w:sz w:val="16"/>
            <w:u w:val="single" w:color="0000FF"/>
          </w:rPr>
          <w:t> </w:t>
        </w:r>
        <w:r>
          <w:rPr>
            <w:color w:val="0000FF"/>
            <w:w w:val="105"/>
            <w:sz w:val="16"/>
            <w:u w:val="single" w:color="0000FF"/>
          </w:rPr>
          <w:t>restated</w:t>
        </w:r>
        <w:r>
          <w:rPr>
            <w:color w:val="0000FF"/>
            <w:spacing w:val="-9"/>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signed</w:t>
        </w:r>
        <w:r>
          <w:rPr>
            <w:color w:val="0000FF"/>
            <w:spacing w:val="-9"/>
            <w:w w:val="105"/>
            <w:sz w:val="16"/>
            <w:u w:val="single" w:color="0000FF"/>
          </w:rPr>
          <w:t> </w:t>
        </w:r>
        <w:r>
          <w:rPr>
            <w:color w:val="0000FF"/>
            <w:w w:val="105"/>
            <w:sz w:val="16"/>
            <w:u w:val="single" w:color="0000FF"/>
          </w:rPr>
          <w:t>April</w:t>
        </w:r>
        <w:r>
          <w:rPr>
            <w:color w:val="0000FF"/>
            <w:spacing w:val="-9"/>
            <w:w w:val="105"/>
            <w:sz w:val="16"/>
            <w:u w:val="single" w:color="0000FF"/>
          </w:rPr>
          <w:t> </w:t>
        </w:r>
        <w:r>
          <w:rPr>
            <w:color w:val="0000FF"/>
            <w:w w:val="105"/>
            <w:sz w:val="16"/>
            <w:u w:val="single" w:color="0000FF"/>
          </w:rPr>
          <w:t>10,</w:t>
        </w:r>
        <w:r>
          <w:rPr>
            <w:color w:val="0000FF"/>
            <w:spacing w:val="-9"/>
            <w:w w:val="105"/>
            <w:sz w:val="16"/>
            <w:u w:val="single" w:color="0000FF"/>
          </w:rPr>
          <w:t> </w:t>
        </w:r>
        <w:r>
          <w:rPr>
            <w:color w:val="0000FF"/>
            <w:w w:val="105"/>
            <w:sz w:val="16"/>
            <w:u w:val="single" w:color="0000FF"/>
          </w:rPr>
          <w:t>2007</w:t>
        </w:r>
        <w:r>
          <w:rPr>
            <w:color w:val="0000FF"/>
            <w:spacing w:val="-7"/>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r>
          <w:rPr>
            <w:color w:val="0000FF"/>
            <w:spacing w:val="-9"/>
            <w:w w:val="105"/>
            <w:sz w:val="16"/>
            <w:u w:val="single" w:color="0000FF"/>
          </w:rPr>
          <w:t> </w:t>
        </w:r>
        <w:r>
          <w:rPr>
            <w:color w:val="0000FF"/>
            <w:w w:val="105"/>
            <w:sz w:val="16"/>
            <w:u w:val="single" w:color="0000FF"/>
          </w:rPr>
          <w:t>Form</w:t>
        </w:r>
        <w:r>
          <w:rPr>
            <w:color w:val="0000FF"/>
            <w:spacing w:val="-9"/>
            <w:w w:val="105"/>
            <w:sz w:val="16"/>
            <w:u w:val="single" w:color="0000FF"/>
          </w:rPr>
          <w:t> </w:t>
        </w:r>
        <w:r>
          <w:rPr>
            <w:color w:val="0000FF"/>
            <w:w w:val="105"/>
            <w:sz w:val="16"/>
            <w:u w:val="single" w:color="0000FF"/>
          </w:rPr>
          <w:t>10-Q</w:t>
        </w:r>
        <w:r>
          <w:rPr>
            <w:color w:val="0000FF"/>
            <w:spacing w:val="-9"/>
            <w:w w:val="105"/>
            <w:sz w:val="16"/>
            <w:u w:val="single" w:color="0000FF"/>
          </w:rPr>
          <w:t> </w:t>
        </w:r>
        <w:r>
          <w:rPr>
            <w:color w:val="0000FF"/>
            <w:w w:val="105"/>
            <w:sz w:val="16"/>
            <w:u w:val="single" w:color="0000FF"/>
          </w:rPr>
          <w:t>filed</w:t>
        </w:r>
      </w:hyperlink>
      <w:r>
        <w:rPr>
          <w:color w:val="0000FF"/>
          <w:w w:val="105"/>
          <w:sz w:val="16"/>
        </w:rPr>
        <w:t> </w:t>
      </w:r>
      <w:hyperlink r:id="rId32">
        <w:r>
          <w:rPr>
            <w:color w:val="0000FF"/>
            <w:w w:val="105"/>
            <w:sz w:val="16"/>
            <w:u w:val="single" w:color="0000FF"/>
          </w:rPr>
          <w:t>April 27, 2007).</w:t>
        </w:r>
      </w:hyperlink>
    </w:p>
    <w:p>
      <w:pPr>
        <w:pStyle w:val="ListParagraph"/>
        <w:numPr>
          <w:ilvl w:val="1"/>
          <w:numId w:val="25"/>
        </w:numPr>
        <w:tabs>
          <w:tab w:pos="1659" w:val="left" w:leader="none"/>
        </w:tabs>
        <w:spacing w:line="266" w:lineRule="auto" w:before="0" w:after="0"/>
        <w:ind w:left="1659" w:right="296" w:hanging="1032"/>
        <w:jc w:val="left"/>
        <w:rPr>
          <w:sz w:val="16"/>
        </w:rPr>
      </w:pPr>
      <w:hyperlink r:id="rId33">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1</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2006</w:t>
        </w:r>
        <w:r>
          <w:rPr>
            <w:color w:val="0000FF"/>
            <w:spacing w:val="-9"/>
            <w:w w:val="105"/>
            <w:sz w:val="16"/>
            <w:u w:val="single" w:color="0000FF"/>
          </w:rPr>
          <w:t> </w:t>
        </w:r>
        <w:r>
          <w:rPr>
            <w:color w:val="0000FF"/>
            <w:w w:val="105"/>
            <w:sz w:val="16"/>
            <w:u w:val="single" w:color="0000FF"/>
          </w:rPr>
          <w:t>Variable</w:t>
        </w:r>
        <w:r>
          <w:rPr>
            <w:color w:val="0000FF"/>
            <w:spacing w:val="-9"/>
            <w:w w:val="105"/>
            <w:sz w:val="16"/>
            <w:u w:val="single" w:color="0000FF"/>
          </w:rPr>
          <w:t> </w:t>
        </w:r>
        <w:r>
          <w:rPr>
            <w:color w:val="0000FF"/>
            <w:w w:val="105"/>
            <w:sz w:val="16"/>
            <w:u w:val="single" w:color="0000FF"/>
          </w:rPr>
          <w:t>Compensation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October</w:t>
        </w:r>
        <w:r>
          <w:rPr>
            <w:color w:val="0000FF"/>
            <w:spacing w:val="-9"/>
            <w:w w:val="105"/>
            <w:sz w:val="16"/>
            <w:u w:val="single" w:color="0000FF"/>
          </w:rPr>
          <w:t> </w:t>
        </w:r>
        <w:r>
          <w:rPr>
            <w:color w:val="0000FF"/>
            <w:w w:val="105"/>
            <w:sz w:val="16"/>
            <w:u w:val="single" w:color="0000FF"/>
          </w:rPr>
          <w:t>3,</w:t>
        </w:r>
        <w:r>
          <w:rPr>
            <w:color w:val="0000FF"/>
            <w:spacing w:val="-9"/>
            <w:w w:val="105"/>
            <w:sz w:val="16"/>
            <w:u w:val="single" w:color="0000FF"/>
          </w:rPr>
          <w:t> </w:t>
        </w:r>
        <w:r>
          <w:rPr>
            <w:color w:val="0000FF"/>
            <w:w w:val="105"/>
            <w:sz w:val="16"/>
            <w:u w:val="single" w:color="0000FF"/>
          </w:rPr>
          <w:t>2007</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10.34</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r>
          <w:rPr>
            <w:color w:val="0000FF"/>
            <w:spacing w:val="-9"/>
            <w:w w:val="105"/>
            <w:sz w:val="16"/>
            <w:u w:val="single" w:color="0000FF"/>
          </w:rPr>
          <w:t> </w:t>
        </w:r>
        <w:r>
          <w:rPr>
            <w:color w:val="0000FF"/>
            <w:w w:val="105"/>
            <w:sz w:val="16"/>
            <w:u w:val="single" w:color="0000FF"/>
          </w:rPr>
          <w:t>Form</w:t>
        </w:r>
        <w:r>
          <w:rPr>
            <w:color w:val="0000FF"/>
            <w:spacing w:val="-9"/>
            <w:w w:val="105"/>
            <w:sz w:val="16"/>
            <w:u w:val="single" w:color="0000FF"/>
          </w:rPr>
          <w:t> </w:t>
        </w:r>
        <w:r>
          <w:rPr>
            <w:color w:val="0000FF"/>
            <w:w w:val="105"/>
            <w:sz w:val="16"/>
            <w:u w:val="single" w:color="0000FF"/>
          </w:rPr>
          <w:t>10-K</w:t>
        </w:r>
      </w:hyperlink>
      <w:r>
        <w:rPr>
          <w:color w:val="0000FF"/>
          <w:w w:val="105"/>
          <w:sz w:val="16"/>
        </w:rPr>
        <w:t> </w:t>
      </w:r>
      <w:hyperlink r:id="rId33">
        <w:r>
          <w:rPr>
            <w:color w:val="0000FF"/>
            <w:w w:val="105"/>
            <w:sz w:val="16"/>
            <w:u w:val="single" w:color="0000FF"/>
          </w:rPr>
          <w:t>filed February 14, 2008).</w:t>
        </w:r>
      </w:hyperlink>
    </w:p>
    <w:p>
      <w:pPr>
        <w:pStyle w:val="ListParagraph"/>
        <w:numPr>
          <w:ilvl w:val="1"/>
          <w:numId w:val="25"/>
        </w:numPr>
        <w:tabs>
          <w:tab w:pos="1659" w:val="left" w:leader="none"/>
        </w:tabs>
        <w:spacing w:line="266" w:lineRule="auto" w:before="0" w:after="0"/>
        <w:ind w:left="1659" w:right="164" w:hanging="1032"/>
        <w:jc w:val="left"/>
        <w:rPr>
          <w:sz w:val="16"/>
        </w:rPr>
      </w:pPr>
      <w:hyperlink r:id="rId34">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Goalsharing</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October</w:t>
        </w:r>
        <w:r>
          <w:rPr>
            <w:color w:val="0000FF"/>
            <w:spacing w:val="-9"/>
            <w:w w:val="105"/>
            <w:sz w:val="16"/>
            <w:u w:val="single" w:color="0000FF"/>
          </w:rPr>
          <w:t> </w:t>
        </w:r>
        <w:r>
          <w:rPr>
            <w:color w:val="0000FF"/>
            <w:w w:val="105"/>
            <w:sz w:val="16"/>
            <w:u w:val="single" w:color="0000FF"/>
          </w:rPr>
          <w:t>3,</w:t>
        </w:r>
        <w:r>
          <w:rPr>
            <w:color w:val="0000FF"/>
            <w:spacing w:val="-9"/>
            <w:w w:val="105"/>
            <w:sz w:val="16"/>
            <w:u w:val="single" w:color="0000FF"/>
          </w:rPr>
          <w:t> </w:t>
        </w:r>
        <w:r>
          <w:rPr>
            <w:color w:val="0000FF"/>
            <w:w w:val="105"/>
            <w:sz w:val="16"/>
            <w:u w:val="single" w:color="0000FF"/>
          </w:rPr>
          <w:t>2007</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10.35</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r>
          <w:rPr>
            <w:color w:val="0000FF"/>
            <w:spacing w:val="-9"/>
            <w:w w:val="105"/>
            <w:sz w:val="16"/>
            <w:u w:val="single" w:color="0000FF"/>
          </w:rPr>
          <w:t> </w:t>
        </w:r>
        <w:r>
          <w:rPr>
            <w:color w:val="0000FF"/>
            <w:w w:val="105"/>
            <w:sz w:val="16"/>
            <w:u w:val="single" w:color="0000FF"/>
          </w:rPr>
          <w:t>Form</w:t>
        </w:r>
        <w:r>
          <w:rPr>
            <w:color w:val="0000FF"/>
            <w:spacing w:val="-9"/>
            <w:w w:val="105"/>
            <w:sz w:val="16"/>
            <w:u w:val="single" w:color="0000FF"/>
          </w:rPr>
          <w:t> </w:t>
        </w:r>
        <w:r>
          <w:rPr>
            <w:color w:val="0000FF"/>
            <w:w w:val="105"/>
            <w:sz w:val="16"/>
            <w:u w:val="single" w:color="0000FF"/>
          </w:rPr>
          <w:t>10-K</w:t>
        </w:r>
        <w:r>
          <w:rPr>
            <w:color w:val="0000FF"/>
            <w:spacing w:val="-9"/>
            <w:w w:val="105"/>
            <w:sz w:val="16"/>
            <w:u w:val="single" w:color="0000FF"/>
          </w:rPr>
          <w:t> </w:t>
        </w:r>
        <w:r>
          <w:rPr>
            <w:color w:val="0000FF"/>
            <w:w w:val="105"/>
            <w:sz w:val="16"/>
            <w:u w:val="single" w:color="0000FF"/>
          </w:rPr>
          <w:t>filed</w:t>
        </w:r>
        <w:r>
          <w:rPr>
            <w:color w:val="0000FF"/>
            <w:spacing w:val="-9"/>
            <w:w w:val="105"/>
            <w:sz w:val="16"/>
            <w:u w:val="single" w:color="0000FF"/>
          </w:rPr>
          <w:t> </w:t>
        </w:r>
        <w:r>
          <w:rPr>
            <w:color w:val="0000FF"/>
            <w:w w:val="105"/>
            <w:sz w:val="16"/>
            <w:u w:val="single" w:color="0000FF"/>
          </w:rPr>
          <w:t>February</w:t>
        </w:r>
        <w:r>
          <w:rPr>
            <w:color w:val="0000FF"/>
            <w:spacing w:val="-9"/>
            <w:w w:val="105"/>
            <w:sz w:val="16"/>
            <w:u w:val="single" w:color="0000FF"/>
          </w:rPr>
          <w:t> </w:t>
        </w:r>
        <w:r>
          <w:rPr>
            <w:color w:val="0000FF"/>
            <w:w w:val="105"/>
            <w:sz w:val="16"/>
            <w:u w:val="single" w:color="0000FF"/>
          </w:rPr>
          <w:t>14,</w:t>
        </w:r>
      </w:hyperlink>
      <w:r>
        <w:rPr>
          <w:color w:val="0000FF"/>
          <w:w w:val="105"/>
          <w:sz w:val="16"/>
        </w:rPr>
        <w:t> </w:t>
      </w:r>
      <w:hyperlink r:id="rId34">
        <w:r>
          <w:rPr>
            <w:color w:val="0000FF"/>
            <w:spacing w:val="-2"/>
            <w:w w:val="105"/>
            <w:sz w:val="16"/>
            <w:u w:val="single" w:color="0000FF"/>
          </w:rPr>
          <w:t>2008).</w:t>
        </w:r>
      </w:hyperlink>
    </w:p>
    <w:p>
      <w:pPr>
        <w:pStyle w:val="ListParagraph"/>
        <w:numPr>
          <w:ilvl w:val="1"/>
          <w:numId w:val="25"/>
        </w:numPr>
        <w:tabs>
          <w:tab w:pos="1659" w:val="left" w:leader="none"/>
        </w:tabs>
        <w:spacing w:line="266" w:lineRule="auto" w:before="0" w:after="0"/>
        <w:ind w:left="1659" w:right="355" w:hanging="1032"/>
        <w:jc w:val="left"/>
        <w:rPr>
          <w:sz w:val="16"/>
        </w:rPr>
      </w:pPr>
      <w:hyperlink r:id="rId35">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Performance</w:t>
        </w:r>
        <w:r>
          <w:rPr>
            <w:color w:val="0000FF"/>
            <w:spacing w:val="-9"/>
            <w:w w:val="105"/>
            <w:sz w:val="16"/>
            <w:u w:val="single" w:color="0000FF"/>
          </w:rPr>
          <w:t> </w:t>
        </w:r>
        <w:r>
          <w:rPr>
            <w:color w:val="0000FF"/>
            <w:w w:val="105"/>
            <w:sz w:val="16"/>
            <w:u w:val="single" w:color="0000FF"/>
          </w:rPr>
          <w:t>Incentive</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October</w:t>
        </w:r>
        <w:r>
          <w:rPr>
            <w:color w:val="0000FF"/>
            <w:spacing w:val="-9"/>
            <w:w w:val="105"/>
            <w:sz w:val="16"/>
            <w:u w:val="single" w:color="0000FF"/>
          </w:rPr>
          <w:t> </w:t>
        </w:r>
        <w:r>
          <w:rPr>
            <w:color w:val="0000FF"/>
            <w:w w:val="105"/>
            <w:sz w:val="16"/>
            <w:u w:val="single" w:color="0000FF"/>
          </w:rPr>
          <w:t>3,</w:t>
        </w:r>
        <w:r>
          <w:rPr>
            <w:color w:val="0000FF"/>
            <w:spacing w:val="-9"/>
            <w:w w:val="105"/>
            <w:sz w:val="16"/>
            <w:u w:val="single" w:color="0000FF"/>
          </w:rPr>
          <w:t> </w:t>
        </w:r>
        <w:r>
          <w:rPr>
            <w:color w:val="0000FF"/>
            <w:w w:val="105"/>
            <w:sz w:val="16"/>
            <w:u w:val="single" w:color="0000FF"/>
          </w:rPr>
          <w:t>2007</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10.36</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r>
          <w:rPr>
            <w:color w:val="0000FF"/>
            <w:spacing w:val="-9"/>
            <w:w w:val="105"/>
            <w:sz w:val="16"/>
            <w:u w:val="single" w:color="0000FF"/>
          </w:rPr>
          <w:t> </w:t>
        </w:r>
        <w:r>
          <w:rPr>
            <w:color w:val="0000FF"/>
            <w:w w:val="105"/>
            <w:sz w:val="16"/>
            <w:u w:val="single" w:color="0000FF"/>
          </w:rPr>
          <w:t>Form</w:t>
        </w:r>
        <w:r>
          <w:rPr>
            <w:color w:val="0000FF"/>
            <w:spacing w:val="-9"/>
            <w:w w:val="105"/>
            <w:sz w:val="16"/>
            <w:u w:val="single" w:color="0000FF"/>
          </w:rPr>
          <w:t> </w:t>
        </w:r>
        <w:r>
          <w:rPr>
            <w:color w:val="0000FF"/>
            <w:w w:val="105"/>
            <w:sz w:val="16"/>
            <w:u w:val="single" w:color="0000FF"/>
          </w:rPr>
          <w:t>10-K</w:t>
        </w:r>
        <w:r>
          <w:rPr>
            <w:color w:val="0000FF"/>
            <w:spacing w:val="-9"/>
            <w:w w:val="105"/>
            <w:sz w:val="16"/>
            <w:u w:val="single" w:color="0000FF"/>
          </w:rPr>
          <w:t> </w:t>
        </w:r>
        <w:r>
          <w:rPr>
            <w:color w:val="0000FF"/>
            <w:w w:val="105"/>
            <w:sz w:val="16"/>
            <w:u w:val="single" w:color="0000FF"/>
          </w:rPr>
          <w:t>filed</w:t>
        </w:r>
      </w:hyperlink>
      <w:r>
        <w:rPr>
          <w:color w:val="0000FF"/>
          <w:w w:val="105"/>
          <w:sz w:val="16"/>
        </w:rPr>
        <w:t> </w:t>
      </w:r>
      <w:hyperlink r:id="rId35">
        <w:r>
          <w:rPr>
            <w:color w:val="0000FF"/>
            <w:w w:val="105"/>
            <w:sz w:val="16"/>
            <w:u w:val="single" w:color="0000FF"/>
          </w:rPr>
          <w:t>February 14, 2008).</w:t>
        </w:r>
      </w:hyperlink>
    </w:p>
    <w:p>
      <w:pPr>
        <w:pStyle w:val="ListParagraph"/>
        <w:numPr>
          <w:ilvl w:val="1"/>
          <w:numId w:val="25"/>
        </w:numPr>
        <w:tabs>
          <w:tab w:pos="1659" w:val="left" w:leader="none"/>
        </w:tabs>
        <w:spacing w:line="266" w:lineRule="auto" w:before="0" w:after="0"/>
        <w:ind w:left="1659" w:right="141" w:hanging="1032"/>
        <w:jc w:val="left"/>
        <w:rPr>
          <w:sz w:val="16"/>
        </w:rPr>
      </w:pPr>
      <w:hyperlink r:id="rId36">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1</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Deferred</w:t>
        </w:r>
        <w:r>
          <w:rPr>
            <w:color w:val="0000FF"/>
            <w:spacing w:val="-9"/>
            <w:w w:val="105"/>
            <w:sz w:val="16"/>
            <w:u w:val="single" w:color="0000FF"/>
          </w:rPr>
          <w:t> </w:t>
        </w:r>
        <w:r>
          <w:rPr>
            <w:color w:val="0000FF"/>
            <w:w w:val="105"/>
            <w:sz w:val="16"/>
            <w:u w:val="single" w:color="0000FF"/>
          </w:rPr>
          <w:t>Compensation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for</w:t>
        </w:r>
        <w:r>
          <w:rPr>
            <w:color w:val="0000FF"/>
            <w:spacing w:val="-9"/>
            <w:w w:val="105"/>
            <w:sz w:val="16"/>
            <w:u w:val="single" w:color="0000FF"/>
          </w:rPr>
          <w:t> </w:t>
        </w:r>
        <w:r>
          <w:rPr>
            <w:color w:val="0000FF"/>
            <w:w w:val="105"/>
            <w:sz w:val="16"/>
            <w:u w:val="single" w:color="0000FF"/>
          </w:rPr>
          <w:t>Directors</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October</w:t>
        </w:r>
        <w:r>
          <w:rPr>
            <w:color w:val="0000FF"/>
            <w:spacing w:val="-9"/>
            <w:w w:val="105"/>
            <w:sz w:val="16"/>
            <w:u w:val="single" w:color="0000FF"/>
          </w:rPr>
          <w:t> </w:t>
        </w:r>
        <w:r>
          <w:rPr>
            <w:color w:val="0000FF"/>
            <w:w w:val="105"/>
            <w:sz w:val="16"/>
            <w:u w:val="single" w:color="0000FF"/>
          </w:rPr>
          <w:t>3,</w:t>
        </w:r>
        <w:r>
          <w:rPr>
            <w:color w:val="0000FF"/>
            <w:spacing w:val="-9"/>
            <w:w w:val="105"/>
            <w:sz w:val="16"/>
            <w:u w:val="single" w:color="0000FF"/>
          </w:rPr>
          <w:t> </w:t>
        </w:r>
        <w:r>
          <w:rPr>
            <w:color w:val="0000FF"/>
            <w:w w:val="105"/>
            <w:sz w:val="16"/>
            <w:u w:val="single" w:color="0000FF"/>
          </w:rPr>
          <w:t>2007</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10.37</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r>
          <w:rPr>
            <w:color w:val="0000FF"/>
            <w:spacing w:val="-9"/>
            <w:w w:val="105"/>
            <w:sz w:val="16"/>
            <w:u w:val="single" w:color="0000FF"/>
          </w:rPr>
          <w:t> </w:t>
        </w:r>
        <w:r>
          <w:rPr>
            <w:color w:val="0000FF"/>
            <w:w w:val="105"/>
            <w:sz w:val="16"/>
            <w:u w:val="single" w:color="0000FF"/>
          </w:rPr>
          <w:t>Form</w:t>
        </w:r>
      </w:hyperlink>
      <w:r>
        <w:rPr>
          <w:color w:val="0000FF"/>
          <w:w w:val="105"/>
          <w:sz w:val="16"/>
        </w:rPr>
        <w:t> </w:t>
      </w:r>
      <w:hyperlink r:id="rId36">
        <w:r>
          <w:rPr>
            <w:color w:val="0000FF"/>
            <w:w w:val="105"/>
            <w:sz w:val="16"/>
            <w:u w:val="single" w:color="0000FF"/>
          </w:rPr>
          <w:t>10-K filed February 14, 2008).</w:t>
        </w:r>
      </w:hyperlink>
    </w:p>
    <w:p>
      <w:pPr>
        <w:pStyle w:val="ListParagraph"/>
        <w:numPr>
          <w:ilvl w:val="1"/>
          <w:numId w:val="25"/>
        </w:numPr>
        <w:tabs>
          <w:tab w:pos="1659" w:val="left" w:leader="none"/>
        </w:tabs>
        <w:spacing w:line="266" w:lineRule="auto" w:before="0" w:after="0"/>
        <w:ind w:left="1659" w:right="384" w:hanging="1032"/>
        <w:jc w:val="left"/>
        <w:rPr>
          <w:sz w:val="16"/>
        </w:rPr>
      </w:pPr>
      <w:hyperlink r:id="rId37">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Supplemental</w:t>
        </w:r>
        <w:r>
          <w:rPr>
            <w:color w:val="0000FF"/>
            <w:spacing w:val="-10"/>
            <w:w w:val="105"/>
            <w:sz w:val="16"/>
            <w:u w:val="single" w:color="0000FF"/>
          </w:rPr>
          <w:t> </w:t>
        </w:r>
        <w:r>
          <w:rPr>
            <w:color w:val="0000FF"/>
            <w:w w:val="105"/>
            <w:sz w:val="16"/>
            <w:u w:val="single" w:color="0000FF"/>
          </w:rPr>
          <w:t>Pension</w:t>
        </w:r>
        <w:r>
          <w:rPr>
            <w:color w:val="0000FF"/>
            <w:spacing w:val="-10"/>
            <w:w w:val="105"/>
            <w:sz w:val="16"/>
            <w:u w:val="single" w:color="0000FF"/>
          </w:rPr>
          <w:t> </w:t>
        </w:r>
        <w:r>
          <w:rPr>
            <w:color w:val="0000FF"/>
            <w:w w:val="105"/>
            <w:sz w:val="16"/>
            <w:u w:val="single" w:color="0000FF"/>
          </w:rPr>
          <w:t>Plan</w:t>
        </w:r>
        <w:r>
          <w:rPr>
            <w:color w:val="0000FF"/>
            <w:spacing w:val="-10"/>
            <w:w w:val="105"/>
            <w:sz w:val="16"/>
            <w:u w:val="single" w:color="0000FF"/>
          </w:rPr>
          <w:t> </w:t>
        </w:r>
        <w:r>
          <w:rPr>
            <w:color w:val="0000FF"/>
            <w:w w:val="105"/>
            <w:sz w:val="16"/>
            <w:u w:val="single" w:color="0000FF"/>
          </w:rPr>
          <w:t>dated</w:t>
        </w:r>
        <w:r>
          <w:rPr>
            <w:color w:val="0000FF"/>
            <w:spacing w:val="-10"/>
            <w:w w:val="105"/>
            <w:sz w:val="16"/>
            <w:u w:val="single" w:color="0000FF"/>
          </w:rPr>
          <w:t> </w:t>
        </w:r>
        <w:r>
          <w:rPr>
            <w:color w:val="0000FF"/>
            <w:w w:val="105"/>
            <w:sz w:val="16"/>
            <w:u w:val="single" w:color="0000FF"/>
          </w:rPr>
          <w:t>October</w:t>
        </w:r>
        <w:r>
          <w:rPr>
            <w:color w:val="0000FF"/>
            <w:spacing w:val="-10"/>
            <w:w w:val="105"/>
            <w:sz w:val="16"/>
            <w:u w:val="single" w:color="0000FF"/>
          </w:rPr>
          <w:t> </w:t>
        </w:r>
        <w:r>
          <w:rPr>
            <w:color w:val="0000FF"/>
            <w:w w:val="105"/>
            <w:sz w:val="16"/>
            <w:u w:val="single" w:color="0000FF"/>
          </w:rPr>
          <w:t>3,</w:t>
        </w:r>
        <w:r>
          <w:rPr>
            <w:color w:val="0000FF"/>
            <w:spacing w:val="-10"/>
            <w:w w:val="105"/>
            <w:sz w:val="16"/>
            <w:u w:val="single" w:color="0000FF"/>
          </w:rPr>
          <w:t> </w:t>
        </w:r>
        <w:r>
          <w:rPr>
            <w:color w:val="0000FF"/>
            <w:w w:val="105"/>
            <w:sz w:val="16"/>
            <w:u w:val="single" w:color="0000FF"/>
          </w:rPr>
          <w:t>2007</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8"/>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10.38</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Corning’s</w:t>
        </w:r>
        <w:r>
          <w:rPr>
            <w:color w:val="0000FF"/>
            <w:spacing w:val="-10"/>
            <w:w w:val="105"/>
            <w:sz w:val="16"/>
            <w:u w:val="single" w:color="0000FF"/>
          </w:rPr>
          <w:t> </w:t>
        </w:r>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10-K</w:t>
        </w:r>
        <w:r>
          <w:rPr>
            <w:color w:val="0000FF"/>
            <w:spacing w:val="-10"/>
            <w:w w:val="105"/>
            <w:sz w:val="16"/>
            <w:u w:val="single" w:color="0000FF"/>
          </w:rPr>
          <w:t> </w:t>
        </w:r>
        <w:r>
          <w:rPr>
            <w:color w:val="0000FF"/>
            <w:w w:val="105"/>
            <w:sz w:val="16"/>
            <w:u w:val="single" w:color="0000FF"/>
          </w:rPr>
          <w:t>filed</w:t>
        </w:r>
      </w:hyperlink>
      <w:r>
        <w:rPr>
          <w:color w:val="0000FF"/>
          <w:w w:val="105"/>
          <w:sz w:val="16"/>
        </w:rPr>
        <w:t> </w:t>
      </w:r>
      <w:hyperlink r:id="rId37">
        <w:r>
          <w:rPr>
            <w:color w:val="0000FF"/>
            <w:w w:val="105"/>
            <w:sz w:val="16"/>
            <w:u w:val="single" w:color="0000FF"/>
          </w:rPr>
          <w:t>February 14, 2008).</w:t>
        </w:r>
      </w:hyperlink>
    </w:p>
    <w:p>
      <w:pPr>
        <w:pStyle w:val="ListParagraph"/>
        <w:numPr>
          <w:ilvl w:val="1"/>
          <w:numId w:val="25"/>
        </w:numPr>
        <w:tabs>
          <w:tab w:pos="1659" w:val="left" w:leader="none"/>
        </w:tabs>
        <w:spacing w:line="266" w:lineRule="auto" w:before="0" w:after="0"/>
        <w:ind w:left="1659" w:right="170" w:hanging="1032"/>
        <w:jc w:val="left"/>
        <w:rPr>
          <w:sz w:val="16"/>
        </w:rPr>
      </w:pPr>
      <w:hyperlink r:id="rId38">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Supplemental</w:t>
        </w:r>
        <w:r>
          <w:rPr>
            <w:color w:val="0000FF"/>
            <w:spacing w:val="-10"/>
            <w:w w:val="105"/>
            <w:sz w:val="16"/>
            <w:u w:val="single" w:color="0000FF"/>
          </w:rPr>
          <w:t> </w:t>
        </w:r>
        <w:r>
          <w:rPr>
            <w:color w:val="0000FF"/>
            <w:w w:val="105"/>
            <w:sz w:val="16"/>
            <w:u w:val="single" w:color="0000FF"/>
          </w:rPr>
          <w:t>Investment</w:t>
        </w:r>
        <w:r>
          <w:rPr>
            <w:color w:val="0000FF"/>
            <w:spacing w:val="-10"/>
            <w:w w:val="105"/>
            <w:sz w:val="16"/>
            <w:u w:val="single" w:color="0000FF"/>
          </w:rPr>
          <w:t> </w:t>
        </w:r>
        <w:r>
          <w:rPr>
            <w:color w:val="0000FF"/>
            <w:w w:val="105"/>
            <w:sz w:val="16"/>
            <w:u w:val="single" w:color="0000FF"/>
          </w:rPr>
          <w:t>Plan</w:t>
        </w:r>
        <w:r>
          <w:rPr>
            <w:color w:val="0000FF"/>
            <w:spacing w:val="-10"/>
            <w:w w:val="105"/>
            <w:sz w:val="16"/>
            <w:u w:val="single" w:color="0000FF"/>
          </w:rPr>
          <w:t> </w:t>
        </w:r>
        <w:r>
          <w:rPr>
            <w:color w:val="0000FF"/>
            <w:w w:val="105"/>
            <w:sz w:val="16"/>
            <w:u w:val="single" w:color="0000FF"/>
          </w:rPr>
          <w:t>dated</w:t>
        </w:r>
        <w:r>
          <w:rPr>
            <w:color w:val="0000FF"/>
            <w:spacing w:val="-10"/>
            <w:w w:val="105"/>
            <w:sz w:val="16"/>
            <w:u w:val="single" w:color="0000FF"/>
          </w:rPr>
          <w:t> </w:t>
        </w:r>
        <w:r>
          <w:rPr>
            <w:color w:val="0000FF"/>
            <w:w w:val="105"/>
            <w:sz w:val="16"/>
            <w:u w:val="single" w:color="0000FF"/>
          </w:rPr>
          <w:t>October</w:t>
        </w:r>
        <w:r>
          <w:rPr>
            <w:color w:val="0000FF"/>
            <w:spacing w:val="-10"/>
            <w:w w:val="105"/>
            <w:sz w:val="16"/>
            <w:u w:val="single" w:color="0000FF"/>
          </w:rPr>
          <w:t> </w:t>
        </w:r>
        <w:r>
          <w:rPr>
            <w:color w:val="0000FF"/>
            <w:w w:val="105"/>
            <w:sz w:val="16"/>
            <w:u w:val="single" w:color="0000FF"/>
          </w:rPr>
          <w:t>3,</w:t>
        </w:r>
        <w:r>
          <w:rPr>
            <w:color w:val="0000FF"/>
            <w:spacing w:val="-10"/>
            <w:w w:val="105"/>
            <w:sz w:val="16"/>
            <w:u w:val="single" w:color="0000FF"/>
          </w:rPr>
          <w:t> </w:t>
        </w:r>
        <w:r>
          <w:rPr>
            <w:color w:val="0000FF"/>
            <w:w w:val="105"/>
            <w:sz w:val="16"/>
            <w:u w:val="single" w:color="0000FF"/>
          </w:rPr>
          <w:t>2007</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10.39</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Corning’s</w:t>
        </w:r>
        <w:r>
          <w:rPr>
            <w:color w:val="0000FF"/>
            <w:spacing w:val="-10"/>
            <w:w w:val="105"/>
            <w:sz w:val="16"/>
            <w:u w:val="single" w:color="0000FF"/>
          </w:rPr>
          <w:t> </w:t>
        </w:r>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10-K</w:t>
        </w:r>
        <w:r>
          <w:rPr>
            <w:color w:val="0000FF"/>
            <w:spacing w:val="-10"/>
            <w:w w:val="105"/>
            <w:sz w:val="16"/>
            <w:u w:val="single" w:color="0000FF"/>
          </w:rPr>
          <w:t> </w:t>
        </w:r>
        <w:r>
          <w:rPr>
            <w:color w:val="0000FF"/>
            <w:w w:val="105"/>
            <w:sz w:val="16"/>
            <w:u w:val="single" w:color="0000FF"/>
          </w:rPr>
          <w:t>filed</w:t>
        </w:r>
      </w:hyperlink>
      <w:r>
        <w:rPr>
          <w:color w:val="0000FF"/>
          <w:w w:val="105"/>
          <w:sz w:val="16"/>
        </w:rPr>
        <w:t> </w:t>
      </w:r>
      <w:hyperlink r:id="rId38">
        <w:r>
          <w:rPr>
            <w:color w:val="0000FF"/>
            <w:w w:val="105"/>
            <w:sz w:val="16"/>
            <w:u w:val="single" w:color="0000FF"/>
          </w:rPr>
          <w:t>February 14, 2008).</w:t>
        </w:r>
      </w:hyperlink>
    </w:p>
    <w:p>
      <w:pPr>
        <w:pStyle w:val="ListParagraph"/>
        <w:numPr>
          <w:ilvl w:val="1"/>
          <w:numId w:val="25"/>
        </w:numPr>
        <w:tabs>
          <w:tab w:pos="1659" w:val="left" w:leader="none"/>
        </w:tabs>
        <w:spacing w:line="266" w:lineRule="auto" w:before="0" w:after="0"/>
        <w:ind w:left="1659" w:right="327" w:hanging="1032"/>
        <w:jc w:val="left"/>
        <w:rPr>
          <w:sz w:val="16"/>
        </w:rPr>
      </w:pPr>
      <w:hyperlink r:id="rId39">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Non-Qualified</w:t>
        </w:r>
        <w:r>
          <w:rPr>
            <w:color w:val="0000FF"/>
            <w:spacing w:val="-10"/>
            <w:w w:val="105"/>
            <w:sz w:val="16"/>
            <w:u w:val="single" w:color="0000FF"/>
          </w:rPr>
          <w:t> </w:t>
        </w:r>
        <w:r>
          <w:rPr>
            <w:color w:val="0000FF"/>
            <w:w w:val="105"/>
            <w:sz w:val="16"/>
            <w:u w:val="single" w:color="0000FF"/>
          </w:rPr>
          <w:t>Stock</w:t>
        </w:r>
        <w:r>
          <w:rPr>
            <w:color w:val="0000FF"/>
            <w:spacing w:val="-10"/>
            <w:w w:val="105"/>
            <w:sz w:val="16"/>
            <w:u w:val="single" w:color="0000FF"/>
          </w:rPr>
          <w:t> </w:t>
        </w:r>
        <w:r>
          <w:rPr>
            <w:color w:val="0000FF"/>
            <w:w w:val="105"/>
            <w:sz w:val="16"/>
            <w:u w:val="single" w:color="0000FF"/>
          </w:rPr>
          <w:t>Option</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amended</w:t>
        </w:r>
        <w:r>
          <w:rPr>
            <w:color w:val="0000FF"/>
            <w:spacing w:val="-10"/>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December</w:t>
        </w:r>
        <w:r>
          <w:rPr>
            <w:color w:val="0000FF"/>
            <w:spacing w:val="-10"/>
            <w:w w:val="105"/>
            <w:sz w:val="16"/>
            <w:u w:val="single" w:color="0000FF"/>
          </w:rPr>
          <w:t> </w:t>
        </w:r>
        <w:r>
          <w:rPr>
            <w:color w:val="0000FF"/>
            <w:w w:val="105"/>
            <w:sz w:val="16"/>
            <w:u w:val="single" w:color="0000FF"/>
          </w:rPr>
          <w:t>5,</w:t>
        </w:r>
        <w:r>
          <w:rPr>
            <w:color w:val="0000FF"/>
            <w:spacing w:val="-10"/>
            <w:w w:val="105"/>
            <w:sz w:val="16"/>
            <w:u w:val="single" w:color="0000FF"/>
          </w:rPr>
          <w:t> </w:t>
        </w:r>
        <w:r>
          <w:rPr>
            <w:color w:val="0000FF"/>
            <w:w w:val="105"/>
            <w:sz w:val="16"/>
            <w:u w:val="single" w:color="0000FF"/>
          </w:rPr>
          <w:t>2007</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hyperlink>
      <w:r>
        <w:rPr>
          <w:color w:val="0000FF"/>
          <w:w w:val="105"/>
          <w:sz w:val="16"/>
        </w:rPr>
        <w:t> </w:t>
      </w:r>
      <w:hyperlink r:id="rId39">
        <w:r>
          <w:rPr>
            <w:color w:val="0000FF"/>
            <w:w w:val="105"/>
            <w:sz w:val="16"/>
            <w:u w:val="single" w:color="0000FF"/>
          </w:rPr>
          <w:t>10.41 of Corning’s Form 10-K filed February 14, 2008).</w:t>
        </w:r>
      </w:hyperlink>
    </w:p>
    <w:p>
      <w:pPr>
        <w:pStyle w:val="ListParagraph"/>
        <w:numPr>
          <w:ilvl w:val="1"/>
          <w:numId w:val="25"/>
        </w:numPr>
        <w:tabs>
          <w:tab w:pos="1659" w:val="left" w:leader="none"/>
        </w:tabs>
        <w:spacing w:line="266" w:lineRule="auto" w:before="0" w:after="0"/>
        <w:ind w:left="1659" w:right="279" w:hanging="1032"/>
        <w:jc w:val="left"/>
        <w:rPr>
          <w:sz w:val="16"/>
        </w:rPr>
      </w:pPr>
      <w:hyperlink r:id="rId40">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2</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February</w:t>
        </w:r>
        <w:r>
          <w:rPr>
            <w:color w:val="0000FF"/>
            <w:spacing w:val="-9"/>
            <w:w w:val="105"/>
            <w:sz w:val="16"/>
            <w:u w:val="single" w:color="0000FF"/>
          </w:rPr>
          <w:t> </w:t>
        </w:r>
        <w:r>
          <w:rPr>
            <w:color w:val="0000FF"/>
            <w:w w:val="105"/>
            <w:sz w:val="16"/>
            <w:u w:val="single" w:color="0000FF"/>
          </w:rPr>
          <w:t>13,</w:t>
        </w:r>
        <w:r>
          <w:rPr>
            <w:color w:val="0000FF"/>
            <w:spacing w:val="-9"/>
            <w:w w:val="105"/>
            <w:sz w:val="16"/>
            <w:u w:val="single" w:color="0000FF"/>
          </w:rPr>
          <w:t> </w:t>
        </w:r>
        <w:r>
          <w:rPr>
            <w:color w:val="0000FF"/>
            <w:w w:val="105"/>
            <w:sz w:val="16"/>
            <w:u w:val="single" w:color="0000FF"/>
          </w:rPr>
          <w:t>2008</w:t>
        </w:r>
        <w:r>
          <w:rPr>
            <w:color w:val="0000FF"/>
            <w:spacing w:val="-9"/>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as</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February</w:t>
        </w:r>
        <w:r>
          <w:rPr>
            <w:color w:val="0000FF"/>
            <w:spacing w:val="-9"/>
            <w:w w:val="105"/>
            <w:sz w:val="16"/>
            <w:u w:val="single" w:color="0000FF"/>
          </w:rPr>
          <w:t> </w:t>
        </w:r>
        <w:r>
          <w:rPr>
            <w:color w:val="0000FF"/>
            <w:w w:val="105"/>
            <w:sz w:val="16"/>
            <w:u w:val="single" w:color="0000FF"/>
          </w:rPr>
          <w:t>1,</w:t>
        </w:r>
        <w:r>
          <w:rPr>
            <w:color w:val="0000FF"/>
            <w:spacing w:val="-9"/>
            <w:w w:val="105"/>
            <w:sz w:val="16"/>
            <w:u w:val="single" w:color="0000FF"/>
          </w:rPr>
          <w:t> </w:t>
        </w:r>
        <w:r>
          <w:rPr>
            <w:color w:val="0000FF"/>
            <w:w w:val="105"/>
            <w:sz w:val="16"/>
            <w:u w:val="single" w:color="0000FF"/>
          </w:rPr>
          <w:t>2004</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Letter</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Understanding</w:t>
        </w:r>
        <w:r>
          <w:rPr>
            <w:color w:val="0000FF"/>
            <w:spacing w:val="-9"/>
            <w:w w:val="105"/>
            <w:sz w:val="16"/>
            <w:u w:val="single" w:color="0000FF"/>
          </w:rPr>
          <w:t> </w:t>
        </w:r>
        <w:r>
          <w:rPr>
            <w:color w:val="0000FF"/>
            <w:w w:val="105"/>
            <w:sz w:val="16"/>
            <w:u w:val="single" w:color="0000FF"/>
          </w:rPr>
          <w:t>between</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hyperlink>
      <w:r>
        <w:rPr>
          <w:color w:val="0000FF"/>
          <w:w w:val="105"/>
          <w:sz w:val="16"/>
        </w:rPr>
        <w:t> </w:t>
      </w:r>
      <w:hyperlink r:id="rId40">
        <w:r>
          <w:rPr>
            <w:color w:val="0000FF"/>
            <w:w w:val="105"/>
            <w:sz w:val="16"/>
            <w:u w:val="single" w:color="0000FF"/>
          </w:rPr>
          <w:t>and</w:t>
        </w:r>
        <w:r>
          <w:rPr>
            <w:color w:val="0000FF"/>
            <w:spacing w:val="-1"/>
            <w:w w:val="105"/>
            <w:sz w:val="16"/>
            <w:u w:val="single" w:color="0000FF"/>
          </w:rPr>
          <w:t> </w:t>
        </w:r>
        <w:r>
          <w:rPr>
            <w:color w:val="0000FF"/>
            <w:w w:val="105"/>
            <w:sz w:val="16"/>
            <w:u w:val="single" w:color="0000FF"/>
          </w:rPr>
          <w:t>Wendell</w:t>
        </w:r>
        <w:r>
          <w:rPr>
            <w:color w:val="0000FF"/>
            <w:spacing w:val="-1"/>
            <w:w w:val="105"/>
            <w:sz w:val="16"/>
            <w:u w:val="single" w:color="0000FF"/>
          </w:rPr>
          <w:t> </w:t>
        </w:r>
        <w:r>
          <w:rPr>
            <w:color w:val="0000FF"/>
            <w:w w:val="105"/>
            <w:sz w:val="16"/>
            <w:u w:val="single" w:color="0000FF"/>
          </w:rPr>
          <w:t>P.</w:t>
        </w:r>
        <w:r>
          <w:rPr>
            <w:color w:val="0000FF"/>
            <w:spacing w:val="-1"/>
            <w:w w:val="105"/>
            <w:sz w:val="16"/>
            <w:u w:val="single" w:color="0000FF"/>
          </w:rPr>
          <w:t> </w:t>
        </w:r>
        <w:r>
          <w:rPr>
            <w:color w:val="0000FF"/>
            <w:w w:val="105"/>
            <w:sz w:val="16"/>
            <w:u w:val="single" w:color="0000FF"/>
          </w:rPr>
          <w:t>Weeks,</w:t>
        </w:r>
        <w:r>
          <w:rPr>
            <w:color w:val="0000FF"/>
            <w:spacing w:val="-1"/>
            <w:w w:val="105"/>
            <w:sz w:val="16"/>
            <w:u w:val="single" w:color="0000FF"/>
          </w:rPr>
          <w:t> </w:t>
        </w:r>
        <w:r>
          <w:rPr>
            <w:color w:val="0000FF"/>
            <w:w w:val="105"/>
            <w:sz w:val="16"/>
            <w:u w:val="single" w:color="0000FF"/>
          </w:rPr>
          <w:t>and</w:t>
        </w:r>
        <w:r>
          <w:rPr>
            <w:color w:val="0000FF"/>
            <w:spacing w:val="-1"/>
            <w:w w:val="105"/>
            <w:sz w:val="16"/>
            <w:u w:val="single" w:color="0000FF"/>
          </w:rPr>
          <w:t> </w:t>
        </w:r>
        <w:r>
          <w:rPr>
            <w:color w:val="0000FF"/>
            <w:w w:val="105"/>
            <w:sz w:val="16"/>
            <w:u w:val="single" w:color="0000FF"/>
          </w:rPr>
          <w:t>Letter</w:t>
        </w:r>
        <w:r>
          <w:rPr>
            <w:color w:val="0000FF"/>
            <w:spacing w:val="-1"/>
            <w:w w:val="105"/>
            <w:sz w:val="16"/>
            <w:u w:val="single" w:color="0000FF"/>
          </w:rPr>
          <w:t> </w:t>
        </w:r>
        <w:r>
          <w:rPr>
            <w:color w:val="0000FF"/>
            <w:w w:val="105"/>
            <w:sz w:val="16"/>
            <w:u w:val="single" w:color="0000FF"/>
          </w:rPr>
          <w:t>of</w:t>
        </w:r>
        <w:r>
          <w:rPr>
            <w:color w:val="0000FF"/>
            <w:spacing w:val="-1"/>
            <w:w w:val="105"/>
            <w:sz w:val="16"/>
            <w:u w:val="single" w:color="0000FF"/>
          </w:rPr>
          <w:t> </w:t>
        </w:r>
        <w:r>
          <w:rPr>
            <w:color w:val="0000FF"/>
            <w:w w:val="105"/>
            <w:sz w:val="16"/>
            <w:u w:val="single" w:color="0000FF"/>
          </w:rPr>
          <w:t>Understanding</w:t>
        </w:r>
        <w:r>
          <w:rPr>
            <w:color w:val="0000FF"/>
            <w:spacing w:val="-1"/>
            <w:w w:val="105"/>
            <w:sz w:val="16"/>
            <w:u w:val="single" w:color="0000FF"/>
          </w:rPr>
          <w:t> </w:t>
        </w:r>
        <w:r>
          <w:rPr>
            <w:color w:val="0000FF"/>
            <w:w w:val="105"/>
            <w:sz w:val="16"/>
            <w:u w:val="single" w:color="0000FF"/>
          </w:rPr>
          <w:t>dated</w:t>
        </w:r>
        <w:r>
          <w:rPr>
            <w:color w:val="0000FF"/>
            <w:spacing w:val="-1"/>
            <w:w w:val="105"/>
            <w:sz w:val="16"/>
            <w:u w:val="single" w:color="0000FF"/>
          </w:rPr>
          <w:t> </w:t>
        </w:r>
        <w:r>
          <w:rPr>
            <w:color w:val="0000FF"/>
            <w:w w:val="105"/>
            <w:sz w:val="16"/>
            <w:u w:val="single" w:color="0000FF"/>
          </w:rPr>
          <w:t>April</w:t>
        </w:r>
        <w:r>
          <w:rPr>
            <w:color w:val="0000FF"/>
            <w:spacing w:val="-1"/>
            <w:w w:val="105"/>
            <w:sz w:val="16"/>
            <w:u w:val="single" w:color="0000FF"/>
          </w:rPr>
          <w:t> </w:t>
        </w:r>
        <w:r>
          <w:rPr>
            <w:color w:val="0000FF"/>
            <w:w w:val="105"/>
            <w:sz w:val="16"/>
            <w:u w:val="single" w:color="0000FF"/>
          </w:rPr>
          <w:t>23,</w:t>
        </w:r>
        <w:r>
          <w:rPr>
            <w:color w:val="0000FF"/>
            <w:spacing w:val="-1"/>
            <w:w w:val="105"/>
            <w:sz w:val="16"/>
            <w:u w:val="single" w:color="0000FF"/>
          </w:rPr>
          <w:t> </w:t>
        </w:r>
        <w:r>
          <w:rPr>
            <w:color w:val="0000FF"/>
            <w:w w:val="105"/>
            <w:sz w:val="16"/>
            <w:u w:val="single" w:color="0000FF"/>
          </w:rPr>
          <w:t>2002</w:t>
        </w:r>
        <w:r>
          <w:rPr>
            <w:color w:val="0000FF"/>
            <w:spacing w:val="-1"/>
            <w:w w:val="105"/>
            <w:sz w:val="16"/>
            <w:u w:val="single" w:color="0000FF"/>
          </w:rPr>
          <w:t> </w:t>
        </w:r>
        <w:r>
          <w:rPr>
            <w:color w:val="0000FF"/>
            <w:w w:val="105"/>
            <w:sz w:val="16"/>
            <w:u w:val="single" w:color="0000FF"/>
          </w:rPr>
          <w:t>between</w:t>
        </w:r>
        <w:r>
          <w:rPr>
            <w:color w:val="0000FF"/>
            <w:spacing w:val="-1"/>
            <w:w w:val="105"/>
            <w:sz w:val="16"/>
            <w:u w:val="single" w:color="0000FF"/>
          </w:rPr>
          <w:t> </w:t>
        </w:r>
        <w:r>
          <w:rPr>
            <w:color w:val="0000FF"/>
            <w:w w:val="105"/>
            <w:sz w:val="16"/>
            <w:u w:val="single" w:color="0000FF"/>
          </w:rPr>
          <w:t>Corning</w:t>
        </w:r>
        <w:r>
          <w:rPr>
            <w:color w:val="0000FF"/>
            <w:spacing w:val="-1"/>
            <w:w w:val="105"/>
            <w:sz w:val="16"/>
            <w:u w:val="single" w:color="0000FF"/>
          </w:rPr>
          <w:t> </w:t>
        </w:r>
        <w:r>
          <w:rPr>
            <w:color w:val="0000FF"/>
            <w:w w:val="105"/>
            <w:sz w:val="16"/>
            <w:u w:val="single" w:color="0000FF"/>
          </w:rPr>
          <w:t>Incorporated</w:t>
        </w:r>
        <w:r>
          <w:rPr>
            <w:color w:val="0000FF"/>
            <w:spacing w:val="-1"/>
            <w:w w:val="105"/>
            <w:sz w:val="16"/>
            <w:u w:val="single" w:color="0000FF"/>
          </w:rPr>
          <w:t> </w:t>
        </w:r>
        <w:r>
          <w:rPr>
            <w:color w:val="0000FF"/>
            <w:w w:val="105"/>
            <w:sz w:val="16"/>
            <w:u w:val="single" w:color="0000FF"/>
          </w:rPr>
          <w:t>and</w:t>
        </w:r>
        <w:r>
          <w:rPr>
            <w:color w:val="0000FF"/>
            <w:spacing w:val="-1"/>
            <w:w w:val="105"/>
            <w:sz w:val="16"/>
            <w:u w:val="single" w:color="0000FF"/>
          </w:rPr>
          <w:t> </w:t>
        </w:r>
        <w:r>
          <w:rPr>
            <w:color w:val="0000FF"/>
            <w:w w:val="105"/>
            <w:sz w:val="16"/>
            <w:u w:val="single" w:color="0000FF"/>
          </w:rPr>
          <w:t>Wendell</w:t>
        </w:r>
        <w:r>
          <w:rPr>
            <w:color w:val="0000FF"/>
            <w:spacing w:val="-1"/>
            <w:w w:val="105"/>
            <w:sz w:val="16"/>
            <w:u w:val="single" w:color="0000FF"/>
          </w:rPr>
          <w:t> </w:t>
        </w:r>
        <w:r>
          <w:rPr>
            <w:color w:val="0000FF"/>
            <w:w w:val="105"/>
            <w:sz w:val="16"/>
            <w:u w:val="single" w:color="0000FF"/>
          </w:rPr>
          <w:t>P.</w:t>
        </w:r>
        <w:r>
          <w:rPr>
            <w:color w:val="0000FF"/>
            <w:spacing w:val="-1"/>
            <w:w w:val="105"/>
            <w:sz w:val="16"/>
            <w:u w:val="single" w:color="0000FF"/>
          </w:rPr>
          <w:t> </w:t>
        </w:r>
        <w:r>
          <w:rPr>
            <w:color w:val="0000FF"/>
            <w:w w:val="105"/>
            <w:sz w:val="16"/>
            <w:u w:val="single" w:color="0000FF"/>
          </w:rPr>
          <w:t>Weeks</w:t>
        </w:r>
        <w:r>
          <w:rPr>
            <w:color w:val="0000FF"/>
            <w:spacing w:val="-1"/>
            <w:w w:val="105"/>
            <w:sz w:val="16"/>
            <w:u w:val="single" w:color="0000FF"/>
          </w:rPr>
          <w:t> </w:t>
        </w:r>
        <w:r>
          <w:rPr>
            <w:color w:val="0000FF"/>
            <w:w w:val="105"/>
            <w:sz w:val="16"/>
            <w:u w:val="single" w:color="0000FF"/>
          </w:rPr>
          <w:t>(Incorporated</w:t>
        </w:r>
        <w:r>
          <w:rPr>
            <w:color w:val="0000FF"/>
            <w:spacing w:val="-1"/>
            <w:w w:val="105"/>
            <w:sz w:val="16"/>
            <w:u w:val="single" w:color="0000FF"/>
          </w:rPr>
          <w:t> </w:t>
        </w:r>
        <w:r>
          <w:rPr>
            <w:color w:val="0000FF"/>
            <w:w w:val="105"/>
            <w:sz w:val="16"/>
            <w:u w:val="single" w:color="0000FF"/>
          </w:rPr>
          <w:t>by</w:t>
        </w:r>
      </w:hyperlink>
      <w:r>
        <w:rPr>
          <w:color w:val="0000FF"/>
          <w:w w:val="105"/>
          <w:sz w:val="16"/>
        </w:rPr>
        <w:t> </w:t>
      </w:r>
      <w:hyperlink r:id="rId40">
        <w:r>
          <w:rPr>
            <w:color w:val="0000FF"/>
            <w:w w:val="105"/>
            <w:sz w:val="16"/>
            <w:u w:val="single" w:color="0000FF"/>
          </w:rPr>
          <w:t>reference to Exhibit 10.42 of Corning’s Form 10-K filed February 14, 2008).</w:t>
        </w:r>
      </w:hyperlink>
    </w:p>
    <w:p>
      <w:pPr>
        <w:pStyle w:val="ListParagraph"/>
        <w:numPr>
          <w:ilvl w:val="1"/>
          <w:numId w:val="25"/>
        </w:numPr>
        <w:tabs>
          <w:tab w:pos="1659" w:val="left" w:leader="none"/>
        </w:tabs>
        <w:spacing w:line="266" w:lineRule="auto" w:before="0" w:after="0"/>
        <w:ind w:left="1659" w:right="135" w:hanging="1032"/>
        <w:jc w:val="left"/>
        <w:rPr>
          <w:sz w:val="16"/>
        </w:rPr>
      </w:pPr>
      <w:hyperlink r:id="rId41">
        <w:r>
          <w:rPr>
            <w:color w:val="0000FF"/>
            <w:w w:val="105"/>
            <w:sz w:val="16"/>
            <w:u w:val="single" w:color="0000FF"/>
          </w:rPr>
          <w:t>Form</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Change</w:t>
        </w:r>
        <w:r>
          <w:rPr>
            <w:color w:val="0000FF"/>
            <w:spacing w:val="-9"/>
            <w:w w:val="105"/>
            <w:sz w:val="16"/>
            <w:u w:val="single" w:color="0000FF"/>
          </w:rPr>
          <w:t> </w:t>
        </w:r>
        <w:r>
          <w:rPr>
            <w:color w:val="0000FF"/>
            <w:w w:val="105"/>
            <w:sz w:val="16"/>
            <w:u w:val="single" w:color="0000FF"/>
          </w:rPr>
          <w:t>in</w:t>
        </w:r>
        <w:r>
          <w:rPr>
            <w:color w:val="0000FF"/>
            <w:spacing w:val="-9"/>
            <w:w w:val="105"/>
            <w:sz w:val="16"/>
            <w:u w:val="single" w:color="0000FF"/>
          </w:rPr>
          <w:t> </w:t>
        </w:r>
        <w:r>
          <w:rPr>
            <w:color w:val="0000FF"/>
            <w:w w:val="105"/>
            <w:sz w:val="16"/>
            <w:u w:val="single" w:color="0000FF"/>
          </w:rPr>
          <w:t>Control</w:t>
        </w:r>
        <w:r>
          <w:rPr>
            <w:color w:val="0000FF"/>
            <w:spacing w:val="-9"/>
            <w:w w:val="105"/>
            <w:sz w:val="16"/>
            <w:u w:val="single" w:color="0000FF"/>
          </w:rPr>
          <w:t> </w:t>
        </w:r>
        <w:r>
          <w:rPr>
            <w:color w:val="0000FF"/>
            <w:w w:val="105"/>
            <w:sz w:val="16"/>
            <w:u w:val="single" w:color="0000FF"/>
          </w:rPr>
          <w:t>Agreement</w:t>
        </w:r>
        <w:r>
          <w:rPr>
            <w:color w:val="0000FF"/>
            <w:spacing w:val="-9"/>
            <w:w w:val="105"/>
            <w:sz w:val="16"/>
            <w:u w:val="single" w:color="0000FF"/>
          </w:rPr>
          <w:t> </w:t>
        </w:r>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2,</w:t>
        </w:r>
        <w:r>
          <w:rPr>
            <w:color w:val="0000FF"/>
            <w:spacing w:val="-9"/>
            <w:w w:val="105"/>
            <w:sz w:val="16"/>
            <w:u w:val="single" w:color="0000FF"/>
          </w:rPr>
          <w:t> </w:t>
        </w:r>
        <w:r>
          <w:rPr>
            <w:color w:val="0000FF"/>
            <w:w w:val="105"/>
            <w:sz w:val="16"/>
            <w:u w:val="single" w:color="0000FF"/>
          </w:rPr>
          <w:t>effective</w:t>
        </w:r>
        <w:r>
          <w:rPr>
            <w:color w:val="0000FF"/>
            <w:spacing w:val="-9"/>
            <w:w w:val="105"/>
            <w:sz w:val="16"/>
            <w:u w:val="single" w:color="0000FF"/>
          </w:rPr>
          <w:t> </w:t>
        </w:r>
        <w:r>
          <w:rPr>
            <w:color w:val="0000FF"/>
            <w:w w:val="105"/>
            <w:sz w:val="16"/>
            <w:u w:val="single" w:color="0000FF"/>
          </w:rPr>
          <w:t>December</w:t>
        </w:r>
        <w:r>
          <w:rPr>
            <w:color w:val="0000FF"/>
            <w:spacing w:val="-9"/>
            <w:w w:val="105"/>
            <w:sz w:val="16"/>
            <w:u w:val="single" w:color="0000FF"/>
          </w:rPr>
          <w:t> </w:t>
        </w:r>
        <w:r>
          <w:rPr>
            <w:color w:val="0000FF"/>
            <w:w w:val="105"/>
            <w:sz w:val="16"/>
            <w:u w:val="single" w:color="0000FF"/>
          </w:rPr>
          <w:t>5,</w:t>
        </w:r>
        <w:r>
          <w:rPr>
            <w:color w:val="0000FF"/>
            <w:spacing w:val="-9"/>
            <w:w w:val="105"/>
            <w:sz w:val="16"/>
            <w:u w:val="single" w:color="0000FF"/>
          </w:rPr>
          <w:t> </w:t>
        </w:r>
        <w:r>
          <w:rPr>
            <w:color w:val="0000FF"/>
            <w:w w:val="105"/>
            <w:sz w:val="16"/>
            <w:u w:val="single" w:color="0000FF"/>
          </w:rPr>
          <w:t>2007</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10.43</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r>
          <w:rPr>
            <w:color w:val="0000FF"/>
            <w:spacing w:val="-9"/>
            <w:w w:val="105"/>
            <w:sz w:val="16"/>
            <w:u w:val="single" w:color="0000FF"/>
          </w:rPr>
          <w:t> </w:t>
        </w:r>
        <w:r>
          <w:rPr>
            <w:color w:val="0000FF"/>
            <w:w w:val="105"/>
            <w:sz w:val="16"/>
            <w:u w:val="single" w:color="0000FF"/>
          </w:rPr>
          <w:t>Form</w:t>
        </w:r>
      </w:hyperlink>
      <w:r>
        <w:rPr>
          <w:color w:val="0000FF"/>
          <w:w w:val="105"/>
          <w:sz w:val="16"/>
        </w:rPr>
        <w:t> </w:t>
      </w:r>
      <w:hyperlink r:id="rId41">
        <w:r>
          <w:rPr>
            <w:color w:val="0000FF"/>
            <w:w w:val="105"/>
            <w:sz w:val="16"/>
            <w:u w:val="single" w:color="0000FF"/>
          </w:rPr>
          <w:t>10-K filed February 14, 2008).</w:t>
        </w:r>
      </w:hyperlink>
    </w:p>
    <w:p>
      <w:pPr>
        <w:pStyle w:val="ListParagraph"/>
        <w:numPr>
          <w:ilvl w:val="1"/>
          <w:numId w:val="25"/>
        </w:numPr>
        <w:tabs>
          <w:tab w:pos="1659" w:val="left" w:leader="none"/>
        </w:tabs>
        <w:spacing w:line="266" w:lineRule="auto" w:before="0" w:after="0"/>
        <w:ind w:left="1659" w:right="185" w:hanging="1032"/>
        <w:jc w:val="left"/>
        <w:rPr>
          <w:sz w:val="16"/>
        </w:rPr>
      </w:pPr>
      <w:hyperlink r:id="rId42">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Officer</w:t>
        </w:r>
        <w:r>
          <w:rPr>
            <w:color w:val="0000FF"/>
            <w:spacing w:val="-10"/>
            <w:w w:val="105"/>
            <w:sz w:val="16"/>
            <w:u w:val="single" w:color="0000FF"/>
          </w:rPr>
          <w:t> </w:t>
        </w:r>
        <w:r>
          <w:rPr>
            <w:color w:val="0000FF"/>
            <w:w w:val="105"/>
            <w:sz w:val="16"/>
            <w:u w:val="single" w:color="0000FF"/>
          </w:rPr>
          <w:t>Severance</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Amendment,</w:t>
        </w:r>
        <w:r>
          <w:rPr>
            <w:color w:val="0000FF"/>
            <w:spacing w:val="-10"/>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December</w:t>
        </w:r>
        <w:r>
          <w:rPr>
            <w:color w:val="0000FF"/>
            <w:spacing w:val="-10"/>
            <w:w w:val="105"/>
            <w:sz w:val="16"/>
            <w:u w:val="single" w:color="0000FF"/>
          </w:rPr>
          <w:t> </w:t>
        </w:r>
        <w:r>
          <w:rPr>
            <w:color w:val="0000FF"/>
            <w:w w:val="105"/>
            <w:sz w:val="16"/>
            <w:u w:val="single" w:color="0000FF"/>
          </w:rPr>
          <w:t>5,</w:t>
        </w:r>
        <w:r>
          <w:rPr>
            <w:color w:val="0000FF"/>
            <w:spacing w:val="-10"/>
            <w:w w:val="105"/>
            <w:sz w:val="16"/>
            <w:u w:val="single" w:color="0000FF"/>
          </w:rPr>
          <w:t> </w:t>
        </w:r>
        <w:r>
          <w:rPr>
            <w:color w:val="0000FF"/>
            <w:w w:val="105"/>
            <w:sz w:val="16"/>
            <w:u w:val="single" w:color="0000FF"/>
          </w:rPr>
          <w:t>2007</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10.44</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Corning’s</w:t>
        </w:r>
        <w:r>
          <w:rPr>
            <w:color w:val="0000FF"/>
            <w:spacing w:val="-10"/>
            <w:w w:val="105"/>
            <w:sz w:val="16"/>
            <w:u w:val="single" w:color="0000FF"/>
          </w:rPr>
          <w:t> </w:t>
        </w:r>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10-K</w:t>
        </w:r>
      </w:hyperlink>
      <w:r>
        <w:rPr>
          <w:color w:val="0000FF"/>
          <w:w w:val="105"/>
          <w:sz w:val="16"/>
        </w:rPr>
        <w:t> </w:t>
      </w:r>
      <w:hyperlink r:id="rId42">
        <w:r>
          <w:rPr>
            <w:color w:val="0000FF"/>
            <w:w w:val="105"/>
            <w:sz w:val="16"/>
            <w:u w:val="single" w:color="0000FF"/>
          </w:rPr>
          <w:t>filed February 14, 2008).</w:t>
        </w:r>
      </w:hyperlink>
    </w:p>
    <w:p>
      <w:pPr>
        <w:pStyle w:val="ListParagraph"/>
        <w:numPr>
          <w:ilvl w:val="1"/>
          <w:numId w:val="25"/>
        </w:numPr>
        <w:tabs>
          <w:tab w:pos="1659" w:val="left" w:leader="none"/>
        </w:tabs>
        <w:spacing w:line="266" w:lineRule="auto" w:before="0" w:after="0"/>
        <w:ind w:left="1659" w:right="212" w:hanging="1032"/>
        <w:jc w:val="left"/>
        <w:rPr>
          <w:sz w:val="16"/>
        </w:rPr>
      </w:pPr>
      <w:hyperlink r:id="rId43">
        <w:r>
          <w:rPr>
            <w:color w:val="0000FF"/>
            <w:w w:val="105"/>
            <w:sz w:val="16"/>
            <w:u w:val="single" w:color="0000FF"/>
          </w:rPr>
          <w:t>Amendment</w:t>
        </w:r>
        <w:r>
          <w:rPr>
            <w:color w:val="0000FF"/>
            <w:spacing w:val="-10"/>
            <w:w w:val="105"/>
            <w:sz w:val="16"/>
            <w:u w:val="single" w:color="0000FF"/>
          </w:rPr>
          <w:t> </w:t>
        </w:r>
        <w:r>
          <w:rPr>
            <w:color w:val="0000FF"/>
            <w:w w:val="105"/>
            <w:sz w:val="16"/>
            <w:u w:val="single" w:color="0000FF"/>
          </w:rPr>
          <w:t>No.</w:t>
        </w:r>
        <w:r>
          <w:rPr>
            <w:color w:val="0000FF"/>
            <w:spacing w:val="-10"/>
            <w:w w:val="105"/>
            <w:sz w:val="16"/>
            <w:u w:val="single" w:color="0000FF"/>
          </w:rPr>
          <w:t> </w:t>
        </w:r>
        <w:r>
          <w:rPr>
            <w:color w:val="0000FF"/>
            <w:w w:val="105"/>
            <w:sz w:val="16"/>
            <w:u w:val="single" w:color="0000FF"/>
          </w:rPr>
          <w:t>1</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Supplemental</w:t>
        </w:r>
        <w:r>
          <w:rPr>
            <w:color w:val="0000FF"/>
            <w:spacing w:val="-10"/>
            <w:w w:val="105"/>
            <w:sz w:val="16"/>
            <w:u w:val="single" w:color="0000FF"/>
          </w:rPr>
          <w:t> </w:t>
        </w:r>
        <w:r>
          <w:rPr>
            <w:color w:val="0000FF"/>
            <w:w w:val="105"/>
            <w:sz w:val="16"/>
            <w:u w:val="single" w:color="0000FF"/>
          </w:rPr>
          <w:t>Investment</w:t>
        </w:r>
        <w:r>
          <w:rPr>
            <w:color w:val="0000FF"/>
            <w:spacing w:val="-10"/>
            <w:w w:val="105"/>
            <w:sz w:val="16"/>
            <w:u w:val="single" w:color="0000FF"/>
          </w:rPr>
          <w:t> </w:t>
        </w:r>
        <w:r>
          <w:rPr>
            <w:color w:val="0000FF"/>
            <w:w w:val="105"/>
            <w:sz w:val="16"/>
            <w:u w:val="single" w:color="0000FF"/>
          </w:rPr>
          <w:t>Plan,</w:t>
        </w:r>
        <w:r>
          <w:rPr>
            <w:color w:val="0000FF"/>
            <w:spacing w:val="-8"/>
            <w:w w:val="105"/>
            <w:sz w:val="16"/>
            <w:u w:val="single" w:color="0000FF"/>
          </w:rPr>
          <w:t> </w:t>
        </w:r>
        <w:r>
          <w:rPr>
            <w:color w:val="0000FF"/>
            <w:w w:val="105"/>
            <w:sz w:val="16"/>
            <w:u w:val="single" w:color="0000FF"/>
          </w:rPr>
          <w:t>approved</w:t>
        </w:r>
        <w:r>
          <w:rPr>
            <w:color w:val="0000FF"/>
            <w:spacing w:val="-10"/>
            <w:w w:val="105"/>
            <w:sz w:val="16"/>
            <w:u w:val="single" w:color="0000FF"/>
          </w:rPr>
          <w:t> </w:t>
        </w:r>
        <w:r>
          <w:rPr>
            <w:color w:val="0000FF"/>
            <w:w w:val="105"/>
            <w:sz w:val="16"/>
            <w:u w:val="single" w:color="0000FF"/>
          </w:rPr>
          <w:t>December</w:t>
        </w:r>
        <w:r>
          <w:rPr>
            <w:color w:val="0000FF"/>
            <w:spacing w:val="-10"/>
            <w:w w:val="105"/>
            <w:sz w:val="16"/>
            <w:u w:val="single" w:color="0000FF"/>
          </w:rPr>
          <w:t> </w:t>
        </w:r>
        <w:r>
          <w:rPr>
            <w:color w:val="0000FF"/>
            <w:w w:val="105"/>
            <w:sz w:val="16"/>
            <w:u w:val="single" w:color="0000FF"/>
          </w:rPr>
          <w:t>17,</w:t>
        </w:r>
        <w:r>
          <w:rPr>
            <w:color w:val="0000FF"/>
            <w:spacing w:val="-10"/>
            <w:w w:val="105"/>
            <w:sz w:val="16"/>
            <w:u w:val="single" w:color="0000FF"/>
          </w:rPr>
          <w:t> </w:t>
        </w:r>
        <w:r>
          <w:rPr>
            <w:color w:val="0000FF"/>
            <w:w w:val="105"/>
            <w:sz w:val="16"/>
            <w:u w:val="single" w:color="0000FF"/>
          </w:rPr>
          <w:t>2007</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10.45</w:t>
        </w:r>
      </w:hyperlink>
      <w:r>
        <w:rPr>
          <w:color w:val="0000FF"/>
          <w:w w:val="105"/>
          <w:sz w:val="16"/>
        </w:rPr>
        <w:t> </w:t>
      </w:r>
      <w:hyperlink r:id="rId43">
        <w:r>
          <w:rPr>
            <w:color w:val="0000FF"/>
            <w:w w:val="105"/>
            <w:sz w:val="16"/>
            <w:u w:val="single" w:color="0000FF"/>
          </w:rPr>
          <w:t>of Corning’s Form 10-K filed February 14, 2008).</w:t>
        </w:r>
      </w:hyperlink>
    </w:p>
    <w:p>
      <w:pPr>
        <w:pStyle w:val="ListParagraph"/>
        <w:numPr>
          <w:ilvl w:val="1"/>
          <w:numId w:val="25"/>
        </w:numPr>
        <w:tabs>
          <w:tab w:pos="1659" w:val="left" w:leader="none"/>
        </w:tabs>
        <w:spacing w:line="266" w:lineRule="auto" w:before="0" w:after="0"/>
        <w:ind w:left="1659" w:right="246" w:hanging="1032"/>
        <w:jc w:val="left"/>
        <w:rPr>
          <w:sz w:val="16"/>
        </w:rPr>
      </w:pPr>
      <w:hyperlink r:id="rId44">
        <w:r>
          <w:rPr>
            <w:color w:val="0000FF"/>
            <w:w w:val="105"/>
            <w:sz w:val="16"/>
            <w:u w:val="single" w:color="0000FF"/>
          </w:rPr>
          <w:t>Amendment</w:t>
        </w:r>
        <w:r>
          <w:rPr>
            <w:color w:val="0000FF"/>
            <w:spacing w:val="-10"/>
            <w:w w:val="105"/>
            <w:sz w:val="16"/>
            <w:u w:val="single" w:color="0000FF"/>
          </w:rPr>
          <w:t> </w:t>
        </w:r>
        <w:r>
          <w:rPr>
            <w:color w:val="0000FF"/>
            <w:w w:val="105"/>
            <w:sz w:val="16"/>
            <w:u w:val="single" w:color="0000FF"/>
          </w:rPr>
          <w:t>No.</w:t>
        </w:r>
        <w:r>
          <w:rPr>
            <w:color w:val="0000FF"/>
            <w:spacing w:val="-10"/>
            <w:w w:val="105"/>
            <w:sz w:val="16"/>
            <w:u w:val="single" w:color="0000FF"/>
          </w:rPr>
          <w:t> </w:t>
        </w:r>
        <w:r>
          <w:rPr>
            <w:color w:val="0000FF"/>
            <w:w w:val="105"/>
            <w:sz w:val="16"/>
            <w:u w:val="single" w:color="0000FF"/>
          </w:rPr>
          <w:t>1</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Supplemental</w:t>
        </w:r>
        <w:r>
          <w:rPr>
            <w:color w:val="0000FF"/>
            <w:spacing w:val="-10"/>
            <w:w w:val="105"/>
            <w:sz w:val="16"/>
            <w:u w:val="single" w:color="0000FF"/>
          </w:rPr>
          <w:t> </w:t>
        </w:r>
        <w:r>
          <w:rPr>
            <w:color w:val="0000FF"/>
            <w:w w:val="105"/>
            <w:sz w:val="16"/>
            <w:u w:val="single" w:color="0000FF"/>
          </w:rPr>
          <w:t>Pension</w:t>
        </w:r>
        <w:r>
          <w:rPr>
            <w:color w:val="0000FF"/>
            <w:spacing w:val="-10"/>
            <w:w w:val="105"/>
            <w:sz w:val="16"/>
            <w:u w:val="single" w:color="0000FF"/>
          </w:rPr>
          <w:t> </w:t>
        </w:r>
        <w:r>
          <w:rPr>
            <w:color w:val="0000FF"/>
            <w:w w:val="105"/>
            <w:sz w:val="16"/>
            <w:u w:val="single" w:color="0000FF"/>
          </w:rPr>
          <w:t>Plan,</w:t>
        </w:r>
        <w:r>
          <w:rPr>
            <w:color w:val="0000FF"/>
            <w:spacing w:val="-10"/>
            <w:w w:val="105"/>
            <w:sz w:val="16"/>
            <w:u w:val="single" w:color="0000FF"/>
          </w:rPr>
          <w:t> </w:t>
        </w:r>
        <w:r>
          <w:rPr>
            <w:color w:val="0000FF"/>
            <w:w w:val="105"/>
            <w:sz w:val="16"/>
            <w:u w:val="single" w:color="0000FF"/>
          </w:rPr>
          <w:t>approved</w:t>
        </w:r>
        <w:r>
          <w:rPr>
            <w:color w:val="0000FF"/>
            <w:spacing w:val="-10"/>
            <w:w w:val="105"/>
            <w:sz w:val="16"/>
            <w:u w:val="single" w:color="0000FF"/>
          </w:rPr>
          <w:t> </w:t>
        </w:r>
        <w:r>
          <w:rPr>
            <w:color w:val="0000FF"/>
            <w:w w:val="105"/>
            <w:sz w:val="16"/>
            <w:u w:val="single" w:color="0000FF"/>
          </w:rPr>
          <w:t>December</w:t>
        </w:r>
        <w:r>
          <w:rPr>
            <w:color w:val="0000FF"/>
            <w:spacing w:val="-10"/>
            <w:w w:val="105"/>
            <w:sz w:val="16"/>
            <w:u w:val="single" w:color="0000FF"/>
          </w:rPr>
          <w:t> </w:t>
        </w:r>
        <w:r>
          <w:rPr>
            <w:color w:val="0000FF"/>
            <w:w w:val="105"/>
            <w:sz w:val="16"/>
            <w:u w:val="single" w:color="0000FF"/>
          </w:rPr>
          <w:t>17,</w:t>
        </w:r>
        <w:r>
          <w:rPr>
            <w:color w:val="0000FF"/>
            <w:spacing w:val="-10"/>
            <w:w w:val="105"/>
            <w:sz w:val="16"/>
            <w:u w:val="single" w:color="0000FF"/>
          </w:rPr>
          <w:t> </w:t>
        </w:r>
        <w:r>
          <w:rPr>
            <w:color w:val="0000FF"/>
            <w:w w:val="105"/>
            <w:sz w:val="16"/>
            <w:u w:val="single" w:color="0000FF"/>
          </w:rPr>
          <w:t>2007</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10.46</w:t>
        </w:r>
        <w:r>
          <w:rPr>
            <w:color w:val="0000FF"/>
            <w:spacing w:val="-10"/>
            <w:w w:val="105"/>
            <w:sz w:val="16"/>
            <w:u w:val="single" w:color="0000FF"/>
          </w:rPr>
          <w:t> </w:t>
        </w:r>
        <w:r>
          <w:rPr>
            <w:color w:val="0000FF"/>
            <w:w w:val="105"/>
            <w:sz w:val="16"/>
            <w:u w:val="single" w:color="0000FF"/>
          </w:rPr>
          <w:t>of</w:t>
        </w:r>
      </w:hyperlink>
      <w:r>
        <w:rPr>
          <w:color w:val="0000FF"/>
          <w:w w:val="105"/>
          <w:sz w:val="16"/>
        </w:rPr>
        <w:t> </w:t>
      </w:r>
      <w:hyperlink r:id="rId44">
        <w:r>
          <w:rPr>
            <w:color w:val="0000FF"/>
            <w:w w:val="105"/>
            <w:sz w:val="16"/>
            <w:u w:val="single" w:color="0000FF"/>
          </w:rPr>
          <w:t>Corning’s Form 10-K filed February 14, 2008).</w:t>
        </w:r>
      </w:hyperlink>
    </w:p>
    <w:p>
      <w:pPr>
        <w:pStyle w:val="ListParagraph"/>
        <w:numPr>
          <w:ilvl w:val="1"/>
          <w:numId w:val="25"/>
        </w:numPr>
        <w:tabs>
          <w:tab w:pos="1659" w:val="left" w:leader="none"/>
        </w:tabs>
        <w:spacing w:line="266" w:lineRule="auto" w:before="0" w:after="0"/>
        <w:ind w:left="1659" w:right="134" w:hanging="1032"/>
        <w:jc w:val="left"/>
        <w:rPr>
          <w:sz w:val="16"/>
        </w:rPr>
      </w:pPr>
      <w:hyperlink r:id="rId45">
        <w:r>
          <w:rPr>
            <w:color w:val="0000FF"/>
            <w:w w:val="105"/>
            <w:sz w:val="16"/>
            <w:u w:val="single" w:color="0000FF"/>
          </w:rPr>
          <w:t>Amendment</w:t>
        </w:r>
        <w:r>
          <w:rPr>
            <w:color w:val="0000FF"/>
            <w:spacing w:val="-10"/>
            <w:w w:val="105"/>
            <w:sz w:val="16"/>
            <w:u w:val="single" w:color="0000FF"/>
          </w:rPr>
          <w:t> </w:t>
        </w:r>
        <w:r>
          <w:rPr>
            <w:color w:val="0000FF"/>
            <w:w w:val="105"/>
            <w:sz w:val="16"/>
            <w:u w:val="single" w:color="0000FF"/>
          </w:rPr>
          <w:t>No.</w:t>
        </w:r>
        <w:r>
          <w:rPr>
            <w:color w:val="0000FF"/>
            <w:spacing w:val="-10"/>
            <w:w w:val="105"/>
            <w:sz w:val="16"/>
            <w:u w:val="single" w:color="0000FF"/>
          </w:rPr>
          <w:t> </w:t>
        </w:r>
        <w:r>
          <w:rPr>
            <w:color w:val="0000FF"/>
            <w:w w:val="105"/>
            <w:sz w:val="16"/>
            <w:u w:val="single" w:color="0000FF"/>
          </w:rPr>
          <w:t>1</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Executive</w:t>
        </w:r>
        <w:r>
          <w:rPr>
            <w:color w:val="0000FF"/>
            <w:spacing w:val="-10"/>
            <w:w w:val="105"/>
            <w:sz w:val="16"/>
            <w:u w:val="single" w:color="0000FF"/>
          </w:rPr>
          <w:t> </w:t>
        </w:r>
        <w:r>
          <w:rPr>
            <w:color w:val="0000FF"/>
            <w:w w:val="105"/>
            <w:sz w:val="16"/>
            <w:u w:val="single" w:color="0000FF"/>
          </w:rPr>
          <w:t>Supplemental</w:t>
        </w:r>
        <w:r>
          <w:rPr>
            <w:color w:val="0000FF"/>
            <w:spacing w:val="-10"/>
            <w:w w:val="105"/>
            <w:sz w:val="16"/>
            <w:u w:val="single" w:color="0000FF"/>
          </w:rPr>
          <w:t> </w:t>
        </w:r>
        <w:r>
          <w:rPr>
            <w:color w:val="0000FF"/>
            <w:w w:val="105"/>
            <w:sz w:val="16"/>
            <w:u w:val="single" w:color="0000FF"/>
          </w:rPr>
          <w:t>Pension</w:t>
        </w:r>
        <w:r>
          <w:rPr>
            <w:color w:val="0000FF"/>
            <w:spacing w:val="-10"/>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approved</w:t>
        </w:r>
        <w:r>
          <w:rPr>
            <w:color w:val="0000FF"/>
            <w:spacing w:val="-10"/>
            <w:w w:val="105"/>
            <w:sz w:val="16"/>
            <w:u w:val="single" w:color="0000FF"/>
          </w:rPr>
          <w:t> </w:t>
        </w:r>
        <w:r>
          <w:rPr>
            <w:color w:val="0000FF"/>
            <w:w w:val="105"/>
            <w:sz w:val="16"/>
            <w:u w:val="single" w:color="0000FF"/>
          </w:rPr>
          <w:t>December</w:t>
        </w:r>
        <w:r>
          <w:rPr>
            <w:color w:val="0000FF"/>
            <w:spacing w:val="-10"/>
            <w:w w:val="105"/>
            <w:sz w:val="16"/>
            <w:u w:val="single" w:color="0000FF"/>
          </w:rPr>
          <w:t> </w:t>
        </w:r>
        <w:r>
          <w:rPr>
            <w:color w:val="0000FF"/>
            <w:w w:val="105"/>
            <w:sz w:val="16"/>
            <w:u w:val="single" w:color="0000FF"/>
          </w:rPr>
          <w:t>17,</w:t>
        </w:r>
        <w:r>
          <w:rPr>
            <w:color w:val="0000FF"/>
            <w:spacing w:val="-10"/>
            <w:w w:val="105"/>
            <w:sz w:val="16"/>
            <w:u w:val="single" w:color="0000FF"/>
          </w:rPr>
          <w:t> </w:t>
        </w:r>
        <w:r>
          <w:rPr>
            <w:color w:val="0000FF"/>
            <w:w w:val="105"/>
            <w:sz w:val="16"/>
            <w:u w:val="single" w:color="0000FF"/>
          </w:rPr>
          <w:t>2007</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hyperlink>
      <w:r>
        <w:rPr>
          <w:color w:val="0000FF"/>
          <w:w w:val="105"/>
          <w:sz w:val="16"/>
        </w:rPr>
        <w:t> </w:t>
      </w:r>
      <w:hyperlink r:id="rId45">
        <w:r>
          <w:rPr>
            <w:color w:val="0000FF"/>
            <w:w w:val="105"/>
            <w:sz w:val="16"/>
            <w:u w:val="single" w:color="0000FF"/>
          </w:rPr>
          <w:t>10.47 of Corning’s Form 10-K filed February 14, 2008).</w:t>
        </w:r>
      </w:hyperlink>
    </w:p>
    <w:p>
      <w:pPr>
        <w:pStyle w:val="BodyText"/>
        <w:spacing w:before="182"/>
        <w:ind w:left="48"/>
        <w:jc w:val="center"/>
      </w:pPr>
      <w:r>
        <w:rPr>
          <w:spacing w:val="-5"/>
          <w:w w:val="105"/>
        </w:rPr>
        <w:t>57</w:t>
      </w:r>
    </w:p>
    <w:p>
      <w:pPr>
        <w:pStyle w:val="BodyText"/>
        <w:rPr>
          <w:sz w:val="6"/>
        </w:rPr>
      </w:pPr>
      <w:r>
        <w:rPr/>
        <mc:AlternateContent>
          <mc:Choice Requires="wps">
            <w:drawing>
              <wp:anchor distT="0" distB="0" distL="0" distR="0" allowOverlap="1" layoutInCell="1" locked="0" behindDoc="1" simplePos="0" relativeHeight="487630336">
                <wp:simplePos x="0" y="0"/>
                <wp:positionH relativeFrom="page">
                  <wp:posOffset>226488</wp:posOffset>
                </wp:positionH>
                <wp:positionV relativeFrom="paragraph">
                  <wp:posOffset>59051</wp:posOffset>
                </wp:positionV>
                <wp:extent cx="7312659" cy="1651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86144;mso-wrap-distance-left:0;mso-wrap-distance-right:0" id="docshape124"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ListParagraph"/>
        <w:numPr>
          <w:ilvl w:val="1"/>
          <w:numId w:val="25"/>
        </w:numPr>
        <w:tabs>
          <w:tab w:pos="1659" w:val="left" w:leader="none"/>
        </w:tabs>
        <w:spacing w:line="240" w:lineRule="auto" w:before="0" w:after="0"/>
        <w:ind w:left="1659" w:right="0" w:hanging="1032"/>
        <w:jc w:val="left"/>
        <w:rPr>
          <w:sz w:val="16"/>
        </w:rPr>
      </w:pPr>
      <w:hyperlink r:id="rId46">
        <w:r>
          <w:rPr>
            <w:color w:val="0000FF"/>
            <w:w w:val="105"/>
            <w:sz w:val="16"/>
            <w:u w:val="single" w:color="0000FF"/>
          </w:rPr>
          <w:t>Second</w:t>
        </w:r>
        <w:r>
          <w:rPr>
            <w:color w:val="0000FF"/>
            <w:spacing w:val="-10"/>
            <w:w w:val="105"/>
            <w:sz w:val="16"/>
            <w:u w:val="single" w:color="0000FF"/>
          </w:rPr>
          <w:t> </w:t>
        </w:r>
        <w:r>
          <w:rPr>
            <w:color w:val="0000FF"/>
            <w:w w:val="105"/>
            <w:sz w:val="16"/>
            <w:u w:val="single" w:color="0000FF"/>
          </w:rPr>
          <w:t>Amended</w:t>
        </w:r>
        <w:r>
          <w:rPr>
            <w:color w:val="0000FF"/>
            <w:spacing w:val="-10"/>
            <w:w w:val="105"/>
            <w:sz w:val="16"/>
            <w:u w:val="single" w:color="0000FF"/>
          </w:rPr>
          <w:t> </w:t>
        </w:r>
        <w:r>
          <w:rPr>
            <w:color w:val="0000FF"/>
            <w:w w:val="105"/>
            <w:sz w:val="16"/>
            <w:u w:val="single" w:color="0000FF"/>
          </w:rPr>
          <w:t>2005</w:t>
        </w:r>
        <w:r>
          <w:rPr>
            <w:color w:val="0000FF"/>
            <w:spacing w:val="-9"/>
            <w:w w:val="105"/>
            <w:sz w:val="16"/>
            <w:u w:val="single" w:color="0000FF"/>
          </w:rPr>
          <w:t> </w:t>
        </w:r>
        <w:r>
          <w:rPr>
            <w:color w:val="0000FF"/>
            <w:w w:val="105"/>
            <w:sz w:val="16"/>
            <w:u w:val="single" w:color="0000FF"/>
          </w:rPr>
          <w:t>Employee</w:t>
        </w:r>
        <w:r>
          <w:rPr>
            <w:color w:val="0000FF"/>
            <w:spacing w:val="-10"/>
            <w:w w:val="105"/>
            <w:sz w:val="16"/>
            <w:u w:val="single" w:color="0000FF"/>
          </w:rPr>
          <w:t> </w:t>
        </w:r>
        <w:r>
          <w:rPr>
            <w:color w:val="0000FF"/>
            <w:w w:val="105"/>
            <w:sz w:val="16"/>
            <w:u w:val="single" w:color="0000FF"/>
          </w:rPr>
          <w:t>Equity</w:t>
        </w:r>
        <w:r>
          <w:rPr>
            <w:color w:val="0000FF"/>
            <w:spacing w:val="-10"/>
            <w:w w:val="105"/>
            <w:sz w:val="16"/>
            <w:u w:val="single" w:color="0000FF"/>
          </w:rPr>
          <w:t> </w:t>
        </w:r>
        <w:r>
          <w:rPr>
            <w:color w:val="0000FF"/>
            <w:w w:val="105"/>
            <w:sz w:val="16"/>
            <w:u w:val="single" w:color="0000FF"/>
          </w:rPr>
          <w:t>Participation</w:t>
        </w:r>
        <w:r>
          <w:rPr>
            <w:color w:val="0000FF"/>
            <w:spacing w:val="-9"/>
            <w:w w:val="105"/>
            <w:sz w:val="16"/>
            <w:u w:val="single" w:color="0000FF"/>
          </w:rPr>
          <w:t> </w:t>
        </w:r>
        <w:r>
          <w:rPr>
            <w:color w:val="0000FF"/>
            <w:w w:val="105"/>
            <w:sz w:val="16"/>
            <w:u w:val="single" w:color="0000FF"/>
          </w:rPr>
          <w:t>Program</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w:t>
        </w:r>
        <w:r>
          <w:rPr>
            <w:color w:val="0000FF"/>
            <w:spacing w:val="-10"/>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r>
          <w:rPr>
            <w:color w:val="0000FF"/>
            <w:spacing w:val="-10"/>
            <w:w w:val="105"/>
            <w:sz w:val="16"/>
            <w:u w:val="single" w:color="0000FF"/>
          </w:rPr>
          <w:t> </w:t>
        </w:r>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8-K</w:t>
        </w:r>
        <w:r>
          <w:rPr>
            <w:color w:val="0000FF"/>
            <w:spacing w:val="-9"/>
            <w:w w:val="105"/>
            <w:sz w:val="16"/>
            <w:u w:val="single" w:color="0000FF"/>
          </w:rPr>
          <w:t> </w:t>
        </w:r>
        <w:r>
          <w:rPr>
            <w:color w:val="0000FF"/>
            <w:w w:val="105"/>
            <w:sz w:val="16"/>
            <w:u w:val="single" w:color="0000FF"/>
          </w:rPr>
          <w:t>filed</w:t>
        </w:r>
        <w:r>
          <w:rPr>
            <w:color w:val="0000FF"/>
            <w:spacing w:val="-10"/>
            <w:w w:val="105"/>
            <w:sz w:val="16"/>
            <w:u w:val="single" w:color="0000FF"/>
          </w:rPr>
          <w:t> </w:t>
        </w:r>
        <w:r>
          <w:rPr>
            <w:color w:val="0000FF"/>
            <w:w w:val="105"/>
            <w:sz w:val="16"/>
            <w:u w:val="single" w:color="0000FF"/>
          </w:rPr>
          <w:t>April</w:t>
        </w:r>
        <w:r>
          <w:rPr>
            <w:color w:val="0000FF"/>
            <w:spacing w:val="-10"/>
            <w:w w:val="105"/>
            <w:sz w:val="16"/>
            <w:u w:val="single" w:color="0000FF"/>
          </w:rPr>
          <w:t> </w:t>
        </w:r>
        <w:r>
          <w:rPr>
            <w:color w:val="0000FF"/>
            <w:w w:val="105"/>
            <w:sz w:val="16"/>
            <w:u w:val="single" w:color="0000FF"/>
          </w:rPr>
          <w:t>25,</w:t>
        </w:r>
        <w:r>
          <w:rPr>
            <w:color w:val="0000FF"/>
            <w:spacing w:val="-9"/>
            <w:w w:val="105"/>
            <w:sz w:val="16"/>
            <w:u w:val="single" w:color="0000FF"/>
          </w:rPr>
          <w:t> </w:t>
        </w:r>
        <w:r>
          <w:rPr>
            <w:color w:val="0000FF"/>
            <w:spacing w:val="-2"/>
            <w:w w:val="105"/>
            <w:sz w:val="16"/>
            <w:u w:val="single" w:color="0000FF"/>
          </w:rPr>
          <w:t>2008).</w:t>
        </w:r>
      </w:hyperlink>
    </w:p>
    <w:p>
      <w:pPr>
        <w:pStyle w:val="ListParagraph"/>
        <w:numPr>
          <w:ilvl w:val="1"/>
          <w:numId w:val="25"/>
        </w:numPr>
        <w:tabs>
          <w:tab w:pos="1659" w:val="left" w:leader="none"/>
        </w:tabs>
        <w:spacing w:line="266" w:lineRule="auto" w:before="20" w:after="0"/>
        <w:ind w:left="1659" w:right="218" w:hanging="1032"/>
        <w:jc w:val="left"/>
        <w:rPr>
          <w:sz w:val="16"/>
        </w:rPr>
      </w:pPr>
      <w:hyperlink r:id="rId47">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2</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Executive</w:t>
        </w:r>
        <w:r>
          <w:rPr>
            <w:color w:val="0000FF"/>
            <w:spacing w:val="-9"/>
            <w:w w:val="105"/>
            <w:sz w:val="16"/>
            <w:u w:val="single" w:color="0000FF"/>
          </w:rPr>
          <w:t> </w:t>
        </w:r>
        <w:r>
          <w:rPr>
            <w:color w:val="0000FF"/>
            <w:w w:val="105"/>
            <w:sz w:val="16"/>
            <w:u w:val="single" w:color="0000FF"/>
          </w:rPr>
          <w:t>Supplemental</w:t>
        </w:r>
        <w:r>
          <w:rPr>
            <w:color w:val="0000FF"/>
            <w:spacing w:val="-9"/>
            <w:w w:val="105"/>
            <w:sz w:val="16"/>
            <w:u w:val="single" w:color="0000FF"/>
          </w:rPr>
          <w:t> </w:t>
        </w:r>
        <w:r>
          <w:rPr>
            <w:color w:val="0000FF"/>
            <w:w w:val="105"/>
            <w:sz w:val="16"/>
            <w:u w:val="single" w:color="0000FF"/>
          </w:rPr>
          <w:t>Pension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effective</w:t>
        </w:r>
        <w:r>
          <w:rPr>
            <w:color w:val="0000FF"/>
            <w:spacing w:val="-9"/>
            <w:w w:val="105"/>
            <w:sz w:val="16"/>
            <w:u w:val="single" w:color="0000FF"/>
          </w:rPr>
          <w:t> </w:t>
        </w:r>
        <w:r>
          <w:rPr>
            <w:color w:val="0000FF"/>
            <w:w w:val="105"/>
            <w:sz w:val="16"/>
            <w:u w:val="single" w:color="0000FF"/>
          </w:rPr>
          <w:t>July</w:t>
        </w:r>
        <w:r>
          <w:rPr>
            <w:color w:val="0000FF"/>
            <w:spacing w:val="-9"/>
            <w:w w:val="105"/>
            <w:sz w:val="16"/>
            <w:u w:val="single" w:color="0000FF"/>
          </w:rPr>
          <w:t> </w:t>
        </w:r>
        <w:r>
          <w:rPr>
            <w:color w:val="0000FF"/>
            <w:w w:val="105"/>
            <w:sz w:val="16"/>
            <w:u w:val="single" w:color="0000FF"/>
          </w:rPr>
          <w:t>16,</w:t>
        </w:r>
        <w:r>
          <w:rPr>
            <w:color w:val="0000FF"/>
            <w:spacing w:val="-9"/>
            <w:w w:val="105"/>
            <w:sz w:val="16"/>
            <w:u w:val="single" w:color="0000FF"/>
          </w:rPr>
          <w:t> </w:t>
        </w:r>
        <w:r>
          <w:rPr>
            <w:color w:val="0000FF"/>
            <w:w w:val="105"/>
            <w:sz w:val="16"/>
            <w:u w:val="single" w:color="0000FF"/>
          </w:rPr>
          <w:t>2008</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r>
          <w:rPr>
            <w:color w:val="0000FF"/>
            <w:spacing w:val="-9"/>
            <w:w w:val="105"/>
            <w:sz w:val="16"/>
            <w:u w:val="single" w:color="0000FF"/>
          </w:rPr>
          <w:t> </w:t>
        </w:r>
        <w:r>
          <w:rPr>
            <w:color w:val="0000FF"/>
            <w:w w:val="105"/>
            <w:sz w:val="16"/>
            <w:u w:val="single" w:color="0000FF"/>
          </w:rPr>
          <w:t>Form</w:t>
        </w:r>
        <w:r>
          <w:rPr>
            <w:color w:val="0000FF"/>
            <w:spacing w:val="-9"/>
            <w:w w:val="105"/>
            <w:sz w:val="16"/>
            <w:u w:val="single" w:color="0000FF"/>
          </w:rPr>
          <w:t> </w:t>
        </w:r>
        <w:r>
          <w:rPr>
            <w:color w:val="0000FF"/>
            <w:w w:val="105"/>
            <w:sz w:val="16"/>
            <w:u w:val="single" w:color="0000FF"/>
          </w:rPr>
          <w:t>10-Q</w:t>
        </w:r>
      </w:hyperlink>
      <w:r>
        <w:rPr>
          <w:color w:val="0000FF"/>
          <w:w w:val="105"/>
          <w:sz w:val="16"/>
        </w:rPr>
        <w:t> </w:t>
      </w:r>
      <w:hyperlink r:id="rId47">
        <w:r>
          <w:rPr>
            <w:color w:val="0000FF"/>
            <w:w w:val="105"/>
            <w:sz w:val="16"/>
            <w:u w:val="single" w:color="0000FF"/>
          </w:rPr>
          <w:t>filed July 30, 2008).</w:t>
        </w:r>
      </w:hyperlink>
    </w:p>
    <w:p>
      <w:pPr>
        <w:pStyle w:val="ListParagraph"/>
        <w:numPr>
          <w:ilvl w:val="1"/>
          <w:numId w:val="25"/>
        </w:numPr>
        <w:tabs>
          <w:tab w:pos="1659" w:val="left" w:leader="none"/>
        </w:tabs>
        <w:spacing w:line="266" w:lineRule="auto" w:before="0" w:after="0"/>
        <w:ind w:left="1659" w:right="235" w:hanging="1032"/>
        <w:jc w:val="left"/>
        <w:rPr>
          <w:sz w:val="16"/>
        </w:rPr>
      </w:pPr>
      <w:hyperlink r:id="rId48">
        <w:r>
          <w:rPr>
            <w:color w:val="0000FF"/>
            <w:w w:val="105"/>
            <w:sz w:val="16"/>
            <w:u w:val="single" w:color="0000FF"/>
          </w:rPr>
          <w:t>Form</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Non-Qualified</w:t>
        </w:r>
        <w:r>
          <w:rPr>
            <w:color w:val="0000FF"/>
            <w:spacing w:val="-9"/>
            <w:w w:val="105"/>
            <w:sz w:val="16"/>
            <w:u w:val="single" w:color="0000FF"/>
          </w:rPr>
          <w:t> </w:t>
        </w:r>
        <w:r>
          <w:rPr>
            <w:color w:val="0000FF"/>
            <w:w w:val="105"/>
            <w:sz w:val="16"/>
            <w:u w:val="single" w:color="0000FF"/>
          </w:rPr>
          <w:t>Stock</w:t>
        </w:r>
        <w:r>
          <w:rPr>
            <w:color w:val="0000FF"/>
            <w:spacing w:val="-9"/>
            <w:w w:val="105"/>
            <w:sz w:val="16"/>
            <w:u w:val="single" w:color="0000FF"/>
          </w:rPr>
          <w:t> </w:t>
        </w:r>
        <w:r>
          <w:rPr>
            <w:color w:val="0000FF"/>
            <w:w w:val="105"/>
            <w:sz w:val="16"/>
            <w:u w:val="single" w:color="0000FF"/>
          </w:rPr>
          <w:t>Option</w:t>
        </w:r>
        <w:r>
          <w:rPr>
            <w:color w:val="0000FF"/>
            <w:spacing w:val="-9"/>
            <w:w w:val="105"/>
            <w:sz w:val="16"/>
            <w:u w:val="single" w:color="0000FF"/>
          </w:rPr>
          <w:t> </w:t>
        </w:r>
        <w:r>
          <w:rPr>
            <w:color w:val="0000FF"/>
            <w:w w:val="105"/>
            <w:sz w:val="16"/>
            <w:u w:val="single" w:color="0000FF"/>
          </w:rPr>
          <w:t>Agreement</w:t>
        </w:r>
        <w:r>
          <w:rPr>
            <w:color w:val="0000FF"/>
            <w:spacing w:val="-9"/>
            <w:w w:val="105"/>
            <w:sz w:val="16"/>
            <w:u w:val="single" w:color="0000FF"/>
          </w:rPr>
          <w:t> </w:t>
        </w:r>
        <w:r>
          <w:rPr>
            <w:color w:val="0000FF"/>
            <w:w w:val="105"/>
            <w:sz w:val="16"/>
            <w:u w:val="single" w:color="0000FF"/>
          </w:rPr>
          <w:t>effective</w:t>
        </w:r>
        <w:r>
          <w:rPr>
            <w:color w:val="0000FF"/>
            <w:spacing w:val="-9"/>
            <w:w w:val="105"/>
            <w:sz w:val="16"/>
            <w:u w:val="single" w:color="0000FF"/>
          </w:rPr>
          <w:t> </w:t>
        </w:r>
        <w:r>
          <w:rPr>
            <w:color w:val="0000FF"/>
            <w:w w:val="105"/>
            <w:sz w:val="16"/>
            <w:u w:val="single" w:color="0000FF"/>
          </w:rPr>
          <w:t>as</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December</w:t>
        </w:r>
        <w:r>
          <w:rPr>
            <w:color w:val="0000FF"/>
            <w:spacing w:val="-9"/>
            <w:w w:val="105"/>
            <w:sz w:val="16"/>
            <w:u w:val="single" w:color="0000FF"/>
          </w:rPr>
          <w:t> </w:t>
        </w:r>
        <w:r>
          <w:rPr>
            <w:color w:val="0000FF"/>
            <w:w w:val="105"/>
            <w:sz w:val="16"/>
            <w:u w:val="single" w:color="0000FF"/>
          </w:rPr>
          <w:t>3,</w:t>
        </w:r>
        <w:r>
          <w:rPr>
            <w:color w:val="0000FF"/>
            <w:spacing w:val="-9"/>
            <w:w w:val="105"/>
            <w:sz w:val="16"/>
            <w:u w:val="single" w:color="0000FF"/>
          </w:rPr>
          <w:t> </w:t>
        </w:r>
        <w:r>
          <w:rPr>
            <w:color w:val="0000FF"/>
            <w:w w:val="105"/>
            <w:sz w:val="16"/>
            <w:u w:val="single" w:color="0000FF"/>
          </w:rPr>
          <w:t>2008</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10.50</w:t>
        </w:r>
      </w:hyperlink>
      <w:r>
        <w:rPr>
          <w:color w:val="0000FF"/>
          <w:w w:val="105"/>
          <w:sz w:val="16"/>
        </w:rPr>
        <w:t> </w:t>
      </w:r>
      <w:hyperlink r:id="rId48">
        <w:r>
          <w:rPr>
            <w:color w:val="0000FF"/>
            <w:w w:val="105"/>
            <w:sz w:val="16"/>
            <w:u w:val="single" w:color="0000FF"/>
          </w:rPr>
          <w:t>of Corning’s Form 10-K filed February 24, 2009).</w:t>
        </w:r>
      </w:hyperlink>
    </w:p>
    <w:p>
      <w:pPr>
        <w:pStyle w:val="ListParagraph"/>
        <w:numPr>
          <w:ilvl w:val="1"/>
          <w:numId w:val="25"/>
        </w:numPr>
        <w:tabs>
          <w:tab w:pos="1659" w:val="left" w:leader="none"/>
        </w:tabs>
        <w:spacing w:line="266" w:lineRule="auto" w:before="0" w:after="0"/>
        <w:ind w:left="1659" w:right="485" w:hanging="1032"/>
        <w:jc w:val="left"/>
        <w:rPr>
          <w:sz w:val="16"/>
        </w:rPr>
      </w:pPr>
      <w:hyperlink r:id="rId49">
        <w:r>
          <w:rPr>
            <w:color w:val="0000FF"/>
            <w:w w:val="105"/>
            <w:sz w:val="16"/>
            <w:u w:val="single" w:color="0000FF"/>
          </w:rPr>
          <w:t>Form</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Change</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Control</w:t>
        </w:r>
        <w:r>
          <w:rPr>
            <w:color w:val="0000FF"/>
            <w:spacing w:val="-9"/>
            <w:w w:val="105"/>
            <w:sz w:val="16"/>
            <w:u w:val="single" w:color="0000FF"/>
          </w:rPr>
          <w:t> </w:t>
        </w:r>
        <w:r>
          <w:rPr>
            <w:color w:val="0000FF"/>
            <w:w w:val="105"/>
            <w:sz w:val="16"/>
            <w:u w:val="single" w:color="0000FF"/>
          </w:rPr>
          <w:t>Agreement</w:t>
        </w:r>
        <w:r>
          <w:rPr>
            <w:color w:val="0000FF"/>
            <w:spacing w:val="-9"/>
            <w:w w:val="105"/>
            <w:sz w:val="16"/>
            <w:u w:val="single" w:color="0000FF"/>
          </w:rPr>
          <w:t> </w:t>
        </w:r>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3</w:t>
        </w:r>
        <w:r>
          <w:rPr>
            <w:color w:val="0000FF"/>
            <w:spacing w:val="-9"/>
            <w:w w:val="105"/>
            <w:sz w:val="16"/>
            <w:u w:val="single" w:color="0000FF"/>
          </w:rPr>
          <w:t> </w:t>
        </w:r>
        <w:r>
          <w:rPr>
            <w:color w:val="0000FF"/>
            <w:w w:val="105"/>
            <w:sz w:val="16"/>
            <w:u w:val="single" w:color="0000FF"/>
          </w:rPr>
          <w:t>effective</w:t>
        </w:r>
        <w:r>
          <w:rPr>
            <w:color w:val="0000FF"/>
            <w:spacing w:val="-9"/>
            <w:w w:val="105"/>
            <w:sz w:val="16"/>
            <w:u w:val="single" w:color="0000FF"/>
          </w:rPr>
          <w:t> </w:t>
        </w:r>
        <w:r>
          <w:rPr>
            <w:color w:val="0000FF"/>
            <w:w w:val="105"/>
            <w:sz w:val="16"/>
            <w:u w:val="single" w:color="0000FF"/>
          </w:rPr>
          <w:t>December</w:t>
        </w:r>
        <w:r>
          <w:rPr>
            <w:color w:val="0000FF"/>
            <w:spacing w:val="-9"/>
            <w:w w:val="105"/>
            <w:sz w:val="16"/>
            <w:u w:val="single" w:color="0000FF"/>
          </w:rPr>
          <w:t> </w:t>
        </w:r>
        <w:r>
          <w:rPr>
            <w:color w:val="0000FF"/>
            <w:w w:val="105"/>
            <w:sz w:val="16"/>
            <w:u w:val="single" w:color="0000FF"/>
          </w:rPr>
          <w:t>19,</w:t>
        </w:r>
        <w:r>
          <w:rPr>
            <w:color w:val="0000FF"/>
            <w:spacing w:val="-9"/>
            <w:w w:val="105"/>
            <w:sz w:val="16"/>
            <w:u w:val="single" w:color="0000FF"/>
          </w:rPr>
          <w:t> </w:t>
        </w:r>
        <w:r>
          <w:rPr>
            <w:color w:val="0000FF"/>
            <w:w w:val="105"/>
            <w:sz w:val="16"/>
            <w:u w:val="single" w:color="0000FF"/>
          </w:rPr>
          <w:t>2008</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10.53</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hyperlink>
      <w:r>
        <w:rPr>
          <w:color w:val="0000FF"/>
          <w:w w:val="105"/>
          <w:sz w:val="16"/>
        </w:rPr>
        <w:t> </w:t>
      </w:r>
      <w:hyperlink r:id="rId49">
        <w:r>
          <w:rPr>
            <w:color w:val="0000FF"/>
            <w:w w:val="105"/>
            <w:sz w:val="16"/>
            <w:u w:val="single" w:color="0000FF"/>
          </w:rPr>
          <w:t>Form 10-K filed February 24, 2009).</w:t>
        </w:r>
      </w:hyperlink>
    </w:p>
    <w:p>
      <w:pPr>
        <w:pStyle w:val="ListParagraph"/>
        <w:numPr>
          <w:ilvl w:val="1"/>
          <w:numId w:val="25"/>
        </w:numPr>
        <w:tabs>
          <w:tab w:pos="1659" w:val="left" w:leader="none"/>
        </w:tabs>
        <w:spacing w:line="266" w:lineRule="auto" w:before="0" w:after="0"/>
        <w:ind w:left="1659" w:right="116" w:hanging="1032"/>
        <w:jc w:val="left"/>
        <w:rPr>
          <w:sz w:val="16"/>
        </w:rPr>
      </w:pPr>
      <w:hyperlink r:id="rId50">
        <w:r>
          <w:rPr>
            <w:color w:val="0000FF"/>
            <w:w w:val="105"/>
            <w:sz w:val="16"/>
            <w:u w:val="single" w:color="0000FF"/>
          </w:rPr>
          <w:t>Form</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Officer</w:t>
        </w:r>
        <w:r>
          <w:rPr>
            <w:color w:val="0000FF"/>
            <w:spacing w:val="-9"/>
            <w:w w:val="105"/>
            <w:sz w:val="16"/>
            <w:u w:val="single" w:color="0000FF"/>
          </w:rPr>
          <w:t> </w:t>
        </w:r>
        <w:r>
          <w:rPr>
            <w:color w:val="0000FF"/>
            <w:w w:val="105"/>
            <w:sz w:val="16"/>
            <w:u w:val="single" w:color="0000FF"/>
          </w:rPr>
          <w:t>Severance</w:t>
        </w:r>
        <w:r>
          <w:rPr>
            <w:color w:val="0000FF"/>
            <w:spacing w:val="-9"/>
            <w:w w:val="105"/>
            <w:sz w:val="16"/>
            <w:u w:val="single" w:color="0000FF"/>
          </w:rPr>
          <w:t> </w:t>
        </w:r>
        <w:r>
          <w:rPr>
            <w:color w:val="0000FF"/>
            <w:w w:val="105"/>
            <w:sz w:val="16"/>
            <w:u w:val="single" w:color="0000FF"/>
          </w:rPr>
          <w:t>Agreement</w:t>
        </w:r>
        <w:r>
          <w:rPr>
            <w:color w:val="0000FF"/>
            <w:spacing w:val="-9"/>
            <w:w w:val="105"/>
            <w:sz w:val="16"/>
            <w:u w:val="single" w:color="0000FF"/>
          </w:rPr>
          <w:t> </w:t>
        </w:r>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2</w:t>
        </w:r>
        <w:r>
          <w:rPr>
            <w:color w:val="0000FF"/>
            <w:spacing w:val="-9"/>
            <w:w w:val="105"/>
            <w:sz w:val="16"/>
            <w:u w:val="single" w:color="0000FF"/>
          </w:rPr>
          <w:t> </w:t>
        </w:r>
        <w:r>
          <w:rPr>
            <w:color w:val="0000FF"/>
            <w:w w:val="105"/>
            <w:sz w:val="16"/>
            <w:u w:val="single" w:color="0000FF"/>
          </w:rPr>
          <w:t>effective</w:t>
        </w:r>
        <w:r>
          <w:rPr>
            <w:color w:val="0000FF"/>
            <w:spacing w:val="-9"/>
            <w:w w:val="105"/>
            <w:sz w:val="16"/>
            <w:u w:val="single" w:color="0000FF"/>
          </w:rPr>
          <w:t> </w:t>
        </w:r>
        <w:r>
          <w:rPr>
            <w:color w:val="0000FF"/>
            <w:w w:val="105"/>
            <w:sz w:val="16"/>
            <w:u w:val="single" w:color="0000FF"/>
          </w:rPr>
          <w:t>December</w:t>
        </w:r>
        <w:r>
          <w:rPr>
            <w:color w:val="0000FF"/>
            <w:spacing w:val="-9"/>
            <w:w w:val="105"/>
            <w:sz w:val="16"/>
            <w:u w:val="single" w:color="0000FF"/>
          </w:rPr>
          <w:t> </w:t>
        </w:r>
        <w:r>
          <w:rPr>
            <w:color w:val="0000FF"/>
            <w:w w:val="105"/>
            <w:sz w:val="16"/>
            <w:u w:val="single" w:color="0000FF"/>
          </w:rPr>
          <w:t>19,</w:t>
        </w:r>
        <w:r>
          <w:rPr>
            <w:color w:val="0000FF"/>
            <w:spacing w:val="-9"/>
            <w:w w:val="105"/>
            <w:sz w:val="16"/>
            <w:u w:val="single" w:color="0000FF"/>
          </w:rPr>
          <w:t> </w:t>
        </w:r>
        <w:r>
          <w:rPr>
            <w:color w:val="0000FF"/>
            <w:w w:val="105"/>
            <w:sz w:val="16"/>
            <w:u w:val="single" w:color="0000FF"/>
          </w:rPr>
          <w:t>2008</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10.54</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r>
          <w:rPr>
            <w:color w:val="0000FF"/>
            <w:spacing w:val="-9"/>
            <w:w w:val="105"/>
            <w:sz w:val="16"/>
            <w:u w:val="single" w:color="0000FF"/>
          </w:rPr>
          <w:t> </w:t>
        </w:r>
        <w:r>
          <w:rPr>
            <w:color w:val="0000FF"/>
            <w:w w:val="105"/>
            <w:sz w:val="16"/>
            <w:u w:val="single" w:color="0000FF"/>
          </w:rPr>
          <w:t>Form</w:t>
        </w:r>
      </w:hyperlink>
      <w:r>
        <w:rPr>
          <w:color w:val="0000FF"/>
          <w:w w:val="105"/>
          <w:sz w:val="16"/>
        </w:rPr>
        <w:t> </w:t>
      </w:r>
      <w:hyperlink r:id="rId50">
        <w:r>
          <w:rPr>
            <w:color w:val="0000FF"/>
            <w:w w:val="105"/>
            <w:sz w:val="16"/>
            <w:u w:val="single" w:color="0000FF"/>
          </w:rPr>
          <w:t>10-K filed February 24, 2009).</w:t>
        </w:r>
      </w:hyperlink>
    </w:p>
    <w:p>
      <w:pPr>
        <w:pStyle w:val="ListParagraph"/>
        <w:numPr>
          <w:ilvl w:val="1"/>
          <w:numId w:val="25"/>
        </w:numPr>
        <w:tabs>
          <w:tab w:pos="1659" w:val="left" w:leader="none"/>
        </w:tabs>
        <w:spacing w:line="266" w:lineRule="auto" w:before="0" w:after="0"/>
        <w:ind w:left="1659" w:right="311" w:hanging="1032"/>
        <w:jc w:val="left"/>
        <w:rPr>
          <w:sz w:val="16"/>
        </w:rPr>
      </w:pPr>
      <w:hyperlink r:id="rId51">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3</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December</w:t>
        </w:r>
        <w:r>
          <w:rPr>
            <w:color w:val="0000FF"/>
            <w:spacing w:val="-9"/>
            <w:w w:val="105"/>
            <w:sz w:val="16"/>
            <w:u w:val="single" w:color="0000FF"/>
          </w:rPr>
          <w:t> </w:t>
        </w:r>
        <w:r>
          <w:rPr>
            <w:color w:val="0000FF"/>
            <w:w w:val="105"/>
            <w:sz w:val="16"/>
            <w:u w:val="single" w:color="0000FF"/>
          </w:rPr>
          <w:t>19,</w:t>
        </w:r>
        <w:r>
          <w:rPr>
            <w:color w:val="0000FF"/>
            <w:spacing w:val="-9"/>
            <w:w w:val="105"/>
            <w:sz w:val="16"/>
            <w:u w:val="single" w:color="0000FF"/>
          </w:rPr>
          <w:t> </w:t>
        </w:r>
        <w:r>
          <w:rPr>
            <w:color w:val="0000FF"/>
            <w:w w:val="105"/>
            <w:sz w:val="16"/>
            <w:u w:val="single" w:color="0000FF"/>
          </w:rPr>
          <w:t>2008</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Letter</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Understanding</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April</w:t>
        </w:r>
        <w:r>
          <w:rPr>
            <w:color w:val="0000FF"/>
            <w:spacing w:val="-9"/>
            <w:w w:val="105"/>
            <w:sz w:val="16"/>
            <w:u w:val="single" w:color="0000FF"/>
          </w:rPr>
          <w:t> </w:t>
        </w:r>
        <w:r>
          <w:rPr>
            <w:color w:val="0000FF"/>
            <w:w w:val="105"/>
            <w:sz w:val="16"/>
            <w:u w:val="single" w:color="0000FF"/>
          </w:rPr>
          <w:t>23,</w:t>
        </w:r>
        <w:r>
          <w:rPr>
            <w:color w:val="0000FF"/>
            <w:spacing w:val="-9"/>
            <w:w w:val="105"/>
            <w:sz w:val="16"/>
            <w:u w:val="single" w:color="0000FF"/>
          </w:rPr>
          <w:t> </w:t>
        </w:r>
        <w:r>
          <w:rPr>
            <w:color w:val="0000FF"/>
            <w:w w:val="105"/>
            <w:sz w:val="16"/>
            <w:u w:val="single" w:color="0000FF"/>
          </w:rPr>
          <w:t>2002</w:t>
        </w:r>
        <w:r>
          <w:rPr>
            <w:color w:val="0000FF"/>
            <w:spacing w:val="-9"/>
            <w:w w:val="105"/>
            <w:sz w:val="16"/>
            <w:u w:val="single" w:color="0000FF"/>
          </w:rPr>
          <w:t> </w:t>
        </w:r>
        <w:r>
          <w:rPr>
            <w:color w:val="0000FF"/>
            <w:w w:val="105"/>
            <w:sz w:val="16"/>
            <w:u w:val="single" w:color="0000FF"/>
          </w:rPr>
          <w:t>between</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7"/>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Wendell</w:t>
        </w:r>
        <w:r>
          <w:rPr>
            <w:color w:val="0000FF"/>
            <w:spacing w:val="-9"/>
            <w:w w:val="105"/>
            <w:sz w:val="16"/>
            <w:u w:val="single" w:color="0000FF"/>
          </w:rPr>
          <w:t> </w:t>
        </w:r>
        <w:r>
          <w:rPr>
            <w:color w:val="0000FF"/>
            <w:w w:val="105"/>
            <w:sz w:val="16"/>
            <w:u w:val="single" w:color="0000FF"/>
          </w:rPr>
          <w:t>P.</w:t>
        </w:r>
        <w:r>
          <w:rPr>
            <w:color w:val="0000FF"/>
            <w:spacing w:val="-9"/>
            <w:w w:val="105"/>
            <w:sz w:val="16"/>
            <w:u w:val="single" w:color="0000FF"/>
          </w:rPr>
          <w:t> </w:t>
        </w:r>
        <w:r>
          <w:rPr>
            <w:color w:val="0000FF"/>
            <w:w w:val="105"/>
            <w:sz w:val="16"/>
            <w:u w:val="single" w:color="0000FF"/>
          </w:rPr>
          <w:t>Weeks</w:t>
        </w:r>
      </w:hyperlink>
      <w:r>
        <w:rPr>
          <w:color w:val="0000FF"/>
          <w:w w:val="105"/>
          <w:sz w:val="16"/>
        </w:rPr>
        <w:t> </w:t>
      </w:r>
      <w:hyperlink r:id="rId51">
        <w:r>
          <w:rPr>
            <w:color w:val="0000FF"/>
            <w:w w:val="105"/>
            <w:sz w:val="16"/>
            <w:u w:val="single" w:color="0000FF"/>
          </w:rPr>
          <w:t>(Incorporated by reference to Exhibit 10.55 of Corning’s Form 10-K filed February 24, 2009).</w:t>
        </w:r>
      </w:hyperlink>
    </w:p>
    <w:p>
      <w:pPr>
        <w:pStyle w:val="ListParagraph"/>
        <w:numPr>
          <w:ilvl w:val="1"/>
          <w:numId w:val="25"/>
        </w:numPr>
        <w:tabs>
          <w:tab w:pos="1659" w:val="left" w:leader="none"/>
        </w:tabs>
        <w:spacing w:line="266" w:lineRule="auto" w:before="0" w:after="0"/>
        <w:ind w:left="1659" w:right="489" w:hanging="1032"/>
        <w:jc w:val="left"/>
        <w:rPr>
          <w:sz w:val="16"/>
        </w:rPr>
      </w:pPr>
      <w:hyperlink r:id="rId52">
        <w:r>
          <w:rPr>
            <w:color w:val="0000FF"/>
            <w:w w:val="105"/>
            <w:sz w:val="16"/>
            <w:u w:val="single" w:color="0000FF"/>
          </w:rPr>
          <w:t>Amendment</w:t>
        </w:r>
        <w:r>
          <w:rPr>
            <w:color w:val="0000FF"/>
            <w:spacing w:val="-10"/>
            <w:w w:val="105"/>
            <w:sz w:val="16"/>
            <w:u w:val="single" w:color="0000FF"/>
          </w:rPr>
          <w:t> </w:t>
        </w:r>
        <w:r>
          <w:rPr>
            <w:color w:val="0000FF"/>
            <w:w w:val="105"/>
            <w:sz w:val="16"/>
            <w:u w:val="single" w:color="0000FF"/>
          </w:rPr>
          <w:t>No.</w:t>
        </w:r>
        <w:r>
          <w:rPr>
            <w:color w:val="0000FF"/>
            <w:spacing w:val="-10"/>
            <w:w w:val="105"/>
            <w:sz w:val="16"/>
            <w:u w:val="single" w:color="0000FF"/>
          </w:rPr>
          <w:t> </w:t>
        </w:r>
        <w:r>
          <w:rPr>
            <w:color w:val="0000FF"/>
            <w:w w:val="105"/>
            <w:sz w:val="16"/>
            <w:u w:val="single" w:color="0000FF"/>
          </w:rPr>
          <w:t>2</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Supplemental</w:t>
        </w:r>
        <w:r>
          <w:rPr>
            <w:color w:val="0000FF"/>
            <w:spacing w:val="-10"/>
            <w:w w:val="105"/>
            <w:sz w:val="16"/>
            <w:u w:val="single" w:color="0000FF"/>
          </w:rPr>
          <w:t> </w:t>
        </w:r>
        <w:r>
          <w:rPr>
            <w:color w:val="0000FF"/>
            <w:w w:val="105"/>
            <w:sz w:val="16"/>
            <w:u w:val="single" w:color="0000FF"/>
          </w:rPr>
          <w:t>Investment</w:t>
        </w:r>
        <w:r>
          <w:rPr>
            <w:color w:val="0000FF"/>
            <w:spacing w:val="-10"/>
            <w:w w:val="105"/>
            <w:sz w:val="16"/>
            <w:u w:val="single" w:color="0000FF"/>
          </w:rPr>
          <w:t> </w:t>
        </w:r>
        <w:r>
          <w:rPr>
            <w:color w:val="0000FF"/>
            <w:w w:val="105"/>
            <w:sz w:val="16"/>
            <w:u w:val="single" w:color="0000FF"/>
          </w:rPr>
          <w:t>Plan</w:t>
        </w:r>
        <w:r>
          <w:rPr>
            <w:color w:val="0000FF"/>
            <w:spacing w:val="-8"/>
            <w:w w:val="105"/>
            <w:sz w:val="16"/>
            <w:u w:val="single" w:color="0000FF"/>
          </w:rPr>
          <w:t> </w:t>
        </w:r>
        <w:r>
          <w:rPr>
            <w:color w:val="0000FF"/>
            <w:w w:val="105"/>
            <w:sz w:val="16"/>
            <w:u w:val="single" w:color="0000FF"/>
          </w:rPr>
          <w:t>approved</w:t>
        </w:r>
        <w:r>
          <w:rPr>
            <w:color w:val="0000FF"/>
            <w:spacing w:val="-10"/>
            <w:w w:val="105"/>
            <w:sz w:val="16"/>
            <w:u w:val="single" w:color="0000FF"/>
          </w:rPr>
          <w:t> </w:t>
        </w:r>
        <w:r>
          <w:rPr>
            <w:color w:val="0000FF"/>
            <w:w w:val="105"/>
            <w:sz w:val="16"/>
            <w:u w:val="single" w:color="0000FF"/>
          </w:rPr>
          <w:t>April</w:t>
        </w:r>
        <w:r>
          <w:rPr>
            <w:color w:val="0000FF"/>
            <w:spacing w:val="-10"/>
            <w:w w:val="105"/>
            <w:sz w:val="16"/>
            <w:u w:val="single" w:color="0000FF"/>
          </w:rPr>
          <w:t> </w:t>
        </w:r>
        <w:r>
          <w:rPr>
            <w:color w:val="0000FF"/>
            <w:w w:val="105"/>
            <w:sz w:val="16"/>
            <w:u w:val="single" w:color="0000FF"/>
          </w:rPr>
          <w:t>29,</w:t>
        </w:r>
        <w:r>
          <w:rPr>
            <w:color w:val="0000FF"/>
            <w:spacing w:val="-10"/>
            <w:w w:val="105"/>
            <w:sz w:val="16"/>
            <w:u w:val="single" w:color="0000FF"/>
          </w:rPr>
          <w:t> </w:t>
        </w:r>
        <w:r>
          <w:rPr>
            <w:color w:val="0000FF"/>
            <w:w w:val="105"/>
            <w:sz w:val="16"/>
            <w:u w:val="single" w:color="0000FF"/>
          </w:rPr>
          <w:t>2009</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8"/>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10.1</w:t>
        </w:r>
        <w:r>
          <w:rPr>
            <w:color w:val="0000FF"/>
            <w:spacing w:val="-10"/>
            <w:w w:val="105"/>
            <w:sz w:val="16"/>
            <w:u w:val="single" w:color="0000FF"/>
          </w:rPr>
          <w:t> </w:t>
        </w:r>
        <w:r>
          <w:rPr>
            <w:color w:val="0000FF"/>
            <w:w w:val="105"/>
            <w:sz w:val="16"/>
            <w:u w:val="single" w:color="0000FF"/>
          </w:rPr>
          <w:t>of</w:t>
        </w:r>
      </w:hyperlink>
      <w:r>
        <w:rPr>
          <w:color w:val="0000FF"/>
          <w:w w:val="105"/>
          <w:sz w:val="16"/>
        </w:rPr>
        <w:t> </w:t>
      </w:r>
      <w:hyperlink r:id="rId52">
        <w:r>
          <w:rPr>
            <w:color w:val="0000FF"/>
            <w:w w:val="105"/>
            <w:sz w:val="16"/>
            <w:u w:val="single" w:color="0000FF"/>
          </w:rPr>
          <w:t>Corning’s Form 10-Q filed July 29, 2009).</w:t>
        </w:r>
      </w:hyperlink>
    </w:p>
    <w:p>
      <w:pPr>
        <w:pStyle w:val="ListParagraph"/>
        <w:numPr>
          <w:ilvl w:val="1"/>
          <w:numId w:val="25"/>
        </w:numPr>
        <w:tabs>
          <w:tab w:pos="1659" w:val="left" w:leader="none"/>
        </w:tabs>
        <w:spacing w:line="266" w:lineRule="auto" w:before="0" w:after="0"/>
        <w:ind w:left="1659" w:right="489" w:hanging="1032"/>
        <w:jc w:val="left"/>
        <w:rPr>
          <w:sz w:val="16"/>
        </w:rPr>
      </w:pPr>
      <w:hyperlink r:id="rId52">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2</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Deferred</w:t>
        </w:r>
        <w:r>
          <w:rPr>
            <w:color w:val="0000FF"/>
            <w:spacing w:val="-9"/>
            <w:w w:val="105"/>
            <w:sz w:val="16"/>
            <w:u w:val="single" w:color="0000FF"/>
          </w:rPr>
          <w:t> </w:t>
        </w:r>
        <w:r>
          <w:rPr>
            <w:color w:val="0000FF"/>
            <w:w w:val="105"/>
            <w:sz w:val="16"/>
            <w:u w:val="single" w:color="0000FF"/>
          </w:rPr>
          <w:t>Compensation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April</w:t>
        </w:r>
        <w:r>
          <w:rPr>
            <w:color w:val="0000FF"/>
            <w:spacing w:val="-9"/>
            <w:w w:val="105"/>
            <w:sz w:val="16"/>
            <w:u w:val="single" w:color="0000FF"/>
          </w:rPr>
          <w:t> </w:t>
        </w:r>
        <w:r>
          <w:rPr>
            <w:color w:val="0000FF"/>
            <w:w w:val="105"/>
            <w:sz w:val="16"/>
            <w:u w:val="single" w:color="0000FF"/>
          </w:rPr>
          <w:t>29,</w:t>
        </w:r>
        <w:r>
          <w:rPr>
            <w:color w:val="0000FF"/>
            <w:spacing w:val="-9"/>
            <w:w w:val="105"/>
            <w:sz w:val="16"/>
            <w:u w:val="single" w:color="0000FF"/>
          </w:rPr>
          <w:t> </w:t>
        </w:r>
        <w:r>
          <w:rPr>
            <w:color w:val="0000FF"/>
            <w:w w:val="105"/>
            <w:sz w:val="16"/>
            <w:u w:val="single" w:color="0000FF"/>
          </w:rPr>
          <w:t>2009</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10.2</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r>
          <w:rPr>
            <w:color w:val="0000FF"/>
            <w:spacing w:val="-9"/>
            <w:w w:val="105"/>
            <w:sz w:val="16"/>
            <w:u w:val="single" w:color="0000FF"/>
          </w:rPr>
          <w:t> </w:t>
        </w:r>
        <w:r>
          <w:rPr>
            <w:color w:val="0000FF"/>
            <w:w w:val="105"/>
            <w:sz w:val="16"/>
            <w:u w:val="single" w:color="0000FF"/>
          </w:rPr>
          <w:t>Form</w:t>
        </w:r>
        <w:r>
          <w:rPr>
            <w:color w:val="0000FF"/>
            <w:spacing w:val="-9"/>
            <w:w w:val="105"/>
            <w:sz w:val="16"/>
            <w:u w:val="single" w:color="0000FF"/>
          </w:rPr>
          <w:t> </w:t>
        </w:r>
        <w:r>
          <w:rPr>
            <w:color w:val="0000FF"/>
            <w:w w:val="105"/>
            <w:sz w:val="16"/>
            <w:u w:val="single" w:color="0000FF"/>
          </w:rPr>
          <w:t>10-Q</w:t>
        </w:r>
        <w:r>
          <w:rPr>
            <w:color w:val="0000FF"/>
            <w:spacing w:val="-9"/>
            <w:w w:val="105"/>
            <w:sz w:val="16"/>
            <w:u w:val="single" w:color="0000FF"/>
          </w:rPr>
          <w:t> </w:t>
        </w:r>
        <w:r>
          <w:rPr>
            <w:color w:val="0000FF"/>
            <w:w w:val="105"/>
            <w:sz w:val="16"/>
            <w:u w:val="single" w:color="0000FF"/>
          </w:rPr>
          <w:t>filed</w:t>
        </w:r>
      </w:hyperlink>
      <w:r>
        <w:rPr>
          <w:color w:val="0000FF"/>
          <w:w w:val="105"/>
          <w:sz w:val="16"/>
        </w:rPr>
        <w:t> </w:t>
      </w:r>
      <w:hyperlink r:id="rId52">
        <w:r>
          <w:rPr>
            <w:color w:val="0000FF"/>
            <w:w w:val="105"/>
            <w:sz w:val="16"/>
            <w:u w:val="single" w:color="0000FF"/>
          </w:rPr>
          <w:t>July 29, 2009).</w:t>
        </w:r>
      </w:hyperlink>
    </w:p>
    <w:p>
      <w:pPr>
        <w:pStyle w:val="ListParagraph"/>
        <w:numPr>
          <w:ilvl w:val="1"/>
          <w:numId w:val="25"/>
        </w:numPr>
        <w:tabs>
          <w:tab w:pos="1659" w:val="left" w:leader="none"/>
        </w:tabs>
        <w:spacing w:line="266" w:lineRule="auto" w:before="0" w:after="0"/>
        <w:ind w:left="1659" w:right="149" w:hanging="1032"/>
        <w:jc w:val="left"/>
        <w:rPr>
          <w:sz w:val="16"/>
        </w:rPr>
      </w:pPr>
      <w:hyperlink r:id="rId53">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2</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2006</w:t>
        </w:r>
        <w:r>
          <w:rPr>
            <w:color w:val="0000FF"/>
            <w:spacing w:val="-9"/>
            <w:w w:val="105"/>
            <w:sz w:val="16"/>
            <w:u w:val="single" w:color="0000FF"/>
          </w:rPr>
          <w:t> </w:t>
        </w:r>
        <w:r>
          <w:rPr>
            <w:color w:val="0000FF"/>
            <w:w w:val="105"/>
            <w:sz w:val="16"/>
            <w:u w:val="single" w:color="0000FF"/>
          </w:rPr>
          <w:t>Variable</w:t>
        </w:r>
        <w:r>
          <w:rPr>
            <w:color w:val="0000FF"/>
            <w:spacing w:val="-9"/>
            <w:w w:val="105"/>
            <w:sz w:val="16"/>
            <w:u w:val="single" w:color="0000FF"/>
          </w:rPr>
          <w:t> </w:t>
        </w:r>
        <w:r>
          <w:rPr>
            <w:color w:val="0000FF"/>
            <w:w w:val="105"/>
            <w:sz w:val="16"/>
            <w:u w:val="single" w:color="0000FF"/>
          </w:rPr>
          <w:t>Compensation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December</w:t>
        </w:r>
        <w:r>
          <w:rPr>
            <w:color w:val="0000FF"/>
            <w:spacing w:val="-9"/>
            <w:w w:val="105"/>
            <w:sz w:val="16"/>
            <w:u w:val="single" w:color="0000FF"/>
          </w:rPr>
          <w:t> </w:t>
        </w:r>
        <w:r>
          <w:rPr>
            <w:color w:val="0000FF"/>
            <w:w w:val="105"/>
            <w:sz w:val="16"/>
            <w:u w:val="single" w:color="0000FF"/>
          </w:rPr>
          <w:t>2,</w:t>
        </w:r>
        <w:r>
          <w:rPr>
            <w:color w:val="0000FF"/>
            <w:spacing w:val="-9"/>
            <w:w w:val="105"/>
            <w:sz w:val="16"/>
            <w:u w:val="single" w:color="0000FF"/>
          </w:rPr>
          <w:t> </w:t>
        </w:r>
        <w:r>
          <w:rPr>
            <w:color w:val="0000FF"/>
            <w:w w:val="105"/>
            <w:sz w:val="16"/>
            <w:u w:val="single" w:color="0000FF"/>
          </w:rPr>
          <w:t>2009</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7"/>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10.58</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r>
          <w:rPr>
            <w:color w:val="0000FF"/>
            <w:spacing w:val="-9"/>
            <w:w w:val="105"/>
            <w:sz w:val="16"/>
            <w:u w:val="single" w:color="0000FF"/>
          </w:rPr>
          <w:t> </w:t>
        </w:r>
        <w:r>
          <w:rPr>
            <w:color w:val="0000FF"/>
            <w:w w:val="105"/>
            <w:sz w:val="16"/>
            <w:u w:val="single" w:color="0000FF"/>
          </w:rPr>
          <w:t>Form</w:t>
        </w:r>
        <w:r>
          <w:rPr>
            <w:color w:val="0000FF"/>
            <w:spacing w:val="-9"/>
            <w:w w:val="105"/>
            <w:sz w:val="16"/>
            <w:u w:val="single" w:color="0000FF"/>
          </w:rPr>
          <w:t> </w:t>
        </w:r>
        <w:r>
          <w:rPr>
            <w:color w:val="0000FF"/>
            <w:w w:val="105"/>
            <w:sz w:val="16"/>
            <w:u w:val="single" w:color="0000FF"/>
          </w:rPr>
          <w:t>10-K</w:t>
        </w:r>
      </w:hyperlink>
      <w:r>
        <w:rPr>
          <w:color w:val="0000FF"/>
          <w:w w:val="105"/>
          <w:sz w:val="16"/>
        </w:rPr>
        <w:t> </w:t>
      </w:r>
      <w:hyperlink r:id="rId53">
        <w:r>
          <w:rPr>
            <w:color w:val="0000FF"/>
            <w:w w:val="105"/>
            <w:sz w:val="16"/>
            <w:u w:val="single" w:color="0000FF"/>
          </w:rPr>
          <w:t>filed February 10, 2010).</w:t>
        </w:r>
      </w:hyperlink>
    </w:p>
    <w:p>
      <w:pPr>
        <w:pStyle w:val="ListParagraph"/>
        <w:numPr>
          <w:ilvl w:val="1"/>
          <w:numId w:val="25"/>
        </w:numPr>
        <w:tabs>
          <w:tab w:pos="1659" w:val="left" w:leader="none"/>
        </w:tabs>
        <w:spacing w:line="266" w:lineRule="auto" w:before="0" w:after="0"/>
        <w:ind w:left="1659" w:right="224" w:hanging="1032"/>
        <w:jc w:val="left"/>
        <w:rPr>
          <w:sz w:val="16"/>
        </w:rPr>
      </w:pPr>
      <w:hyperlink r:id="rId54">
        <w:r>
          <w:rPr>
            <w:color w:val="0000FF"/>
            <w:w w:val="105"/>
            <w:sz w:val="16"/>
            <w:u w:val="single" w:color="0000FF"/>
          </w:rPr>
          <w:t>2010</w:t>
        </w:r>
        <w:r>
          <w:rPr>
            <w:color w:val="0000FF"/>
            <w:spacing w:val="-9"/>
            <w:w w:val="105"/>
            <w:sz w:val="16"/>
            <w:u w:val="single" w:color="0000FF"/>
          </w:rPr>
          <w:t> </w:t>
        </w:r>
        <w:r>
          <w:rPr>
            <w:color w:val="0000FF"/>
            <w:w w:val="105"/>
            <w:sz w:val="16"/>
            <w:u w:val="single" w:color="0000FF"/>
          </w:rPr>
          <w:t>Variable</w:t>
        </w:r>
        <w:r>
          <w:rPr>
            <w:color w:val="0000FF"/>
            <w:spacing w:val="-9"/>
            <w:w w:val="105"/>
            <w:sz w:val="16"/>
            <w:u w:val="single" w:color="0000FF"/>
          </w:rPr>
          <w:t> </w:t>
        </w:r>
        <w:r>
          <w:rPr>
            <w:color w:val="0000FF"/>
            <w:w w:val="105"/>
            <w:sz w:val="16"/>
            <w:u w:val="single" w:color="0000FF"/>
          </w:rPr>
          <w:t>Compensation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Appendix</w:t>
        </w:r>
        <w:r>
          <w:rPr>
            <w:color w:val="0000FF"/>
            <w:spacing w:val="-9"/>
            <w:w w:val="105"/>
            <w:sz w:val="16"/>
            <w:u w:val="single" w:color="0000FF"/>
          </w:rPr>
          <w:t> </w:t>
        </w:r>
        <w:r>
          <w:rPr>
            <w:color w:val="0000FF"/>
            <w:w w:val="105"/>
            <w:sz w:val="16"/>
            <w:u w:val="single" w:color="0000FF"/>
          </w:rPr>
          <w:t>A</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r>
          <w:rPr>
            <w:color w:val="0000FF"/>
            <w:spacing w:val="-9"/>
            <w:w w:val="105"/>
            <w:sz w:val="16"/>
            <w:u w:val="single" w:color="0000FF"/>
          </w:rPr>
          <w:t> </w:t>
        </w:r>
        <w:r>
          <w:rPr>
            <w:color w:val="0000FF"/>
            <w:w w:val="105"/>
            <w:sz w:val="16"/>
            <w:u w:val="single" w:color="0000FF"/>
          </w:rPr>
          <w:t>Proxy</w:t>
        </w:r>
        <w:r>
          <w:rPr>
            <w:color w:val="0000FF"/>
            <w:spacing w:val="-9"/>
            <w:w w:val="105"/>
            <w:sz w:val="16"/>
            <w:u w:val="single" w:color="0000FF"/>
          </w:rPr>
          <w:t> </w:t>
        </w:r>
        <w:r>
          <w:rPr>
            <w:color w:val="0000FF"/>
            <w:w w:val="105"/>
            <w:sz w:val="16"/>
            <w:u w:val="single" w:color="0000FF"/>
          </w:rPr>
          <w:t>Statement,</w:t>
        </w:r>
        <w:r>
          <w:rPr>
            <w:color w:val="0000FF"/>
            <w:spacing w:val="-9"/>
            <w:w w:val="105"/>
            <w:sz w:val="16"/>
            <w:u w:val="single" w:color="0000FF"/>
          </w:rPr>
          <w:t> </w:t>
        </w:r>
        <w:r>
          <w:rPr>
            <w:color w:val="0000FF"/>
            <w:w w:val="105"/>
            <w:sz w:val="16"/>
            <w:u w:val="single" w:color="0000FF"/>
          </w:rPr>
          <w:t>Definitive</w:t>
        </w:r>
        <w:r>
          <w:rPr>
            <w:color w:val="0000FF"/>
            <w:spacing w:val="-9"/>
            <w:w w:val="105"/>
            <w:sz w:val="16"/>
            <w:u w:val="single" w:color="0000FF"/>
          </w:rPr>
          <w:t> </w:t>
        </w:r>
        <w:r>
          <w:rPr>
            <w:color w:val="0000FF"/>
            <w:w w:val="105"/>
            <w:sz w:val="16"/>
            <w:u w:val="single" w:color="0000FF"/>
          </w:rPr>
          <w:t>14A</w:t>
        </w:r>
        <w:r>
          <w:rPr>
            <w:color w:val="0000FF"/>
            <w:spacing w:val="-9"/>
            <w:w w:val="105"/>
            <w:sz w:val="16"/>
            <w:u w:val="single" w:color="0000FF"/>
          </w:rPr>
          <w:t> </w:t>
        </w:r>
        <w:r>
          <w:rPr>
            <w:color w:val="0000FF"/>
            <w:w w:val="105"/>
            <w:sz w:val="16"/>
            <w:u w:val="single" w:color="0000FF"/>
          </w:rPr>
          <w:t>filed</w:t>
        </w:r>
        <w:r>
          <w:rPr>
            <w:color w:val="0000FF"/>
            <w:spacing w:val="-9"/>
            <w:w w:val="105"/>
            <w:sz w:val="16"/>
            <w:u w:val="single" w:color="0000FF"/>
          </w:rPr>
          <w:t> </w:t>
        </w:r>
        <w:r>
          <w:rPr>
            <w:color w:val="0000FF"/>
            <w:w w:val="105"/>
            <w:sz w:val="16"/>
            <w:u w:val="single" w:color="0000FF"/>
          </w:rPr>
          <w:t>March</w:t>
        </w:r>
        <w:r>
          <w:rPr>
            <w:color w:val="0000FF"/>
            <w:spacing w:val="-9"/>
            <w:w w:val="105"/>
            <w:sz w:val="16"/>
            <w:u w:val="single" w:color="0000FF"/>
          </w:rPr>
          <w:t> </w:t>
        </w:r>
        <w:r>
          <w:rPr>
            <w:color w:val="0000FF"/>
            <w:w w:val="105"/>
            <w:sz w:val="16"/>
            <w:u w:val="single" w:color="0000FF"/>
          </w:rPr>
          <w:t>15,</w:t>
        </w:r>
        <w:r>
          <w:rPr>
            <w:color w:val="0000FF"/>
            <w:spacing w:val="-9"/>
            <w:w w:val="105"/>
            <w:sz w:val="16"/>
            <w:u w:val="single" w:color="0000FF"/>
          </w:rPr>
          <w:t> </w:t>
        </w:r>
        <w:r>
          <w:rPr>
            <w:color w:val="0000FF"/>
            <w:w w:val="105"/>
            <w:sz w:val="16"/>
            <w:u w:val="single" w:color="0000FF"/>
          </w:rPr>
          <w:t>2010</w:t>
        </w:r>
        <w:r>
          <w:rPr>
            <w:color w:val="0000FF"/>
            <w:spacing w:val="-9"/>
            <w:w w:val="105"/>
            <w:sz w:val="16"/>
            <w:u w:val="single" w:color="0000FF"/>
          </w:rPr>
          <w:t> </w:t>
        </w:r>
        <w:r>
          <w:rPr>
            <w:color w:val="0000FF"/>
            <w:w w:val="105"/>
            <w:sz w:val="16"/>
            <w:u w:val="single" w:color="0000FF"/>
          </w:rPr>
          <w:t>for</w:t>
        </w:r>
      </w:hyperlink>
      <w:r>
        <w:rPr>
          <w:color w:val="0000FF"/>
          <w:w w:val="105"/>
          <w:sz w:val="16"/>
        </w:rPr>
        <w:t> </w:t>
      </w:r>
      <w:hyperlink r:id="rId54">
        <w:r>
          <w:rPr>
            <w:color w:val="0000FF"/>
            <w:w w:val="105"/>
            <w:sz w:val="16"/>
            <w:u w:val="single" w:color="0000FF"/>
          </w:rPr>
          <w:t>April 29, 2010 Annual Meeting of Shareholders).</w:t>
        </w:r>
      </w:hyperlink>
    </w:p>
    <w:p>
      <w:pPr>
        <w:pStyle w:val="ListParagraph"/>
        <w:numPr>
          <w:ilvl w:val="1"/>
          <w:numId w:val="25"/>
        </w:numPr>
        <w:tabs>
          <w:tab w:pos="1659" w:val="left" w:leader="none"/>
        </w:tabs>
        <w:spacing w:line="266" w:lineRule="auto" w:before="0" w:after="0"/>
        <w:ind w:left="1659" w:right="140" w:hanging="1032"/>
        <w:jc w:val="left"/>
        <w:rPr>
          <w:sz w:val="16"/>
        </w:rPr>
      </w:pPr>
      <w:hyperlink r:id="rId54">
        <w:r>
          <w:rPr>
            <w:color w:val="0000FF"/>
            <w:w w:val="105"/>
            <w:sz w:val="16"/>
            <w:u w:val="single" w:color="0000FF"/>
          </w:rPr>
          <w:t>2010</w:t>
        </w:r>
        <w:r>
          <w:rPr>
            <w:color w:val="0000FF"/>
            <w:spacing w:val="-9"/>
            <w:w w:val="105"/>
            <w:sz w:val="16"/>
            <w:u w:val="single" w:color="0000FF"/>
          </w:rPr>
          <w:t> </w:t>
        </w:r>
        <w:r>
          <w:rPr>
            <w:color w:val="0000FF"/>
            <w:w w:val="105"/>
            <w:sz w:val="16"/>
            <w:u w:val="single" w:color="0000FF"/>
          </w:rPr>
          <w:t>Equity</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for</w:t>
        </w:r>
        <w:r>
          <w:rPr>
            <w:color w:val="0000FF"/>
            <w:spacing w:val="-9"/>
            <w:w w:val="105"/>
            <w:sz w:val="16"/>
            <w:u w:val="single" w:color="0000FF"/>
          </w:rPr>
          <w:t> </w:t>
        </w:r>
        <w:r>
          <w:rPr>
            <w:color w:val="0000FF"/>
            <w:w w:val="105"/>
            <w:sz w:val="16"/>
            <w:u w:val="single" w:color="0000FF"/>
          </w:rPr>
          <w:t>Non-Employee</w:t>
        </w:r>
        <w:r>
          <w:rPr>
            <w:color w:val="0000FF"/>
            <w:spacing w:val="-9"/>
            <w:w w:val="105"/>
            <w:sz w:val="16"/>
            <w:u w:val="single" w:color="0000FF"/>
          </w:rPr>
          <w:t> </w:t>
        </w:r>
        <w:r>
          <w:rPr>
            <w:color w:val="0000FF"/>
            <w:w w:val="105"/>
            <w:sz w:val="16"/>
            <w:u w:val="single" w:color="0000FF"/>
          </w:rPr>
          <w:t>Directors</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Appendix</w:t>
        </w:r>
        <w:r>
          <w:rPr>
            <w:color w:val="0000FF"/>
            <w:spacing w:val="-9"/>
            <w:w w:val="105"/>
            <w:sz w:val="16"/>
            <w:u w:val="single" w:color="0000FF"/>
          </w:rPr>
          <w:t> </w:t>
        </w:r>
        <w:r>
          <w:rPr>
            <w:color w:val="0000FF"/>
            <w:w w:val="105"/>
            <w:sz w:val="16"/>
            <w:u w:val="single" w:color="0000FF"/>
          </w:rPr>
          <w:t>B</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Proxy</w:t>
        </w:r>
        <w:r>
          <w:rPr>
            <w:color w:val="0000FF"/>
            <w:spacing w:val="-9"/>
            <w:w w:val="105"/>
            <w:sz w:val="16"/>
            <w:u w:val="single" w:color="0000FF"/>
          </w:rPr>
          <w:t> </w:t>
        </w:r>
        <w:r>
          <w:rPr>
            <w:color w:val="0000FF"/>
            <w:w w:val="105"/>
            <w:sz w:val="16"/>
            <w:u w:val="single" w:color="0000FF"/>
          </w:rPr>
          <w:t>Statement,</w:t>
        </w:r>
        <w:r>
          <w:rPr>
            <w:color w:val="0000FF"/>
            <w:spacing w:val="-9"/>
            <w:w w:val="105"/>
            <w:sz w:val="16"/>
            <w:u w:val="single" w:color="0000FF"/>
          </w:rPr>
          <w:t> </w:t>
        </w:r>
        <w:r>
          <w:rPr>
            <w:color w:val="0000FF"/>
            <w:w w:val="105"/>
            <w:sz w:val="16"/>
            <w:u w:val="single" w:color="0000FF"/>
          </w:rPr>
          <w:t>Definitive</w:t>
        </w:r>
        <w:r>
          <w:rPr>
            <w:color w:val="0000FF"/>
            <w:spacing w:val="-9"/>
            <w:w w:val="105"/>
            <w:sz w:val="16"/>
            <w:u w:val="single" w:color="0000FF"/>
          </w:rPr>
          <w:t> </w:t>
        </w:r>
        <w:r>
          <w:rPr>
            <w:color w:val="0000FF"/>
            <w:w w:val="105"/>
            <w:sz w:val="16"/>
            <w:u w:val="single" w:color="0000FF"/>
          </w:rPr>
          <w:t>14A</w:t>
        </w:r>
        <w:r>
          <w:rPr>
            <w:color w:val="0000FF"/>
            <w:spacing w:val="-9"/>
            <w:w w:val="105"/>
            <w:sz w:val="16"/>
            <w:u w:val="single" w:color="0000FF"/>
          </w:rPr>
          <w:t> </w:t>
        </w:r>
        <w:r>
          <w:rPr>
            <w:color w:val="0000FF"/>
            <w:w w:val="105"/>
            <w:sz w:val="16"/>
            <w:u w:val="single" w:color="0000FF"/>
          </w:rPr>
          <w:t>filed</w:t>
        </w:r>
        <w:r>
          <w:rPr>
            <w:color w:val="0000FF"/>
            <w:spacing w:val="-9"/>
            <w:w w:val="105"/>
            <w:sz w:val="16"/>
            <w:u w:val="single" w:color="0000FF"/>
          </w:rPr>
          <w:t> </w:t>
        </w:r>
        <w:r>
          <w:rPr>
            <w:color w:val="0000FF"/>
            <w:w w:val="105"/>
            <w:sz w:val="16"/>
            <w:u w:val="single" w:color="0000FF"/>
          </w:rPr>
          <w:t>March</w:t>
        </w:r>
        <w:r>
          <w:rPr>
            <w:color w:val="0000FF"/>
            <w:spacing w:val="-9"/>
            <w:w w:val="105"/>
            <w:sz w:val="16"/>
            <w:u w:val="single" w:color="0000FF"/>
          </w:rPr>
          <w:t> </w:t>
        </w:r>
        <w:r>
          <w:rPr>
            <w:color w:val="0000FF"/>
            <w:w w:val="105"/>
            <w:sz w:val="16"/>
            <w:u w:val="single" w:color="0000FF"/>
          </w:rPr>
          <w:t>15,</w:t>
        </w:r>
      </w:hyperlink>
      <w:r>
        <w:rPr>
          <w:color w:val="0000FF"/>
          <w:w w:val="105"/>
          <w:sz w:val="16"/>
        </w:rPr>
        <w:t> </w:t>
      </w:r>
      <w:hyperlink r:id="rId54">
        <w:r>
          <w:rPr>
            <w:color w:val="0000FF"/>
            <w:w w:val="105"/>
            <w:sz w:val="16"/>
            <w:u w:val="single" w:color="0000FF"/>
          </w:rPr>
          <w:t>2010 for April 29, 2010 Annual Meeting of Shareholders).</w:t>
        </w:r>
      </w:hyperlink>
    </w:p>
    <w:p>
      <w:pPr>
        <w:pStyle w:val="ListParagraph"/>
        <w:numPr>
          <w:ilvl w:val="1"/>
          <w:numId w:val="25"/>
        </w:numPr>
        <w:tabs>
          <w:tab w:pos="1659" w:val="left" w:leader="none"/>
        </w:tabs>
        <w:spacing w:line="266" w:lineRule="auto" w:before="0" w:after="0"/>
        <w:ind w:left="1659" w:right="545" w:hanging="1032"/>
        <w:jc w:val="left"/>
        <w:rPr>
          <w:sz w:val="16"/>
        </w:rPr>
      </w:pPr>
      <w:hyperlink r:id="rId55">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2</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Supplemental</w:t>
        </w:r>
        <w:r>
          <w:rPr>
            <w:color w:val="0000FF"/>
            <w:spacing w:val="-9"/>
            <w:w w:val="105"/>
            <w:sz w:val="16"/>
            <w:u w:val="single" w:color="0000FF"/>
          </w:rPr>
          <w:t> </w:t>
        </w:r>
        <w:r>
          <w:rPr>
            <w:color w:val="0000FF"/>
            <w:w w:val="105"/>
            <w:sz w:val="16"/>
            <w:u w:val="single" w:color="0000FF"/>
          </w:rPr>
          <w:t>Pension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December</w:t>
        </w:r>
        <w:r>
          <w:rPr>
            <w:color w:val="0000FF"/>
            <w:spacing w:val="-9"/>
            <w:w w:val="105"/>
            <w:sz w:val="16"/>
            <w:u w:val="single" w:color="0000FF"/>
          </w:rPr>
          <w:t> </w:t>
        </w:r>
        <w:r>
          <w:rPr>
            <w:color w:val="0000FF"/>
            <w:w w:val="105"/>
            <w:sz w:val="16"/>
            <w:u w:val="single" w:color="0000FF"/>
          </w:rPr>
          <w:t>18,</w:t>
        </w:r>
        <w:r>
          <w:rPr>
            <w:color w:val="0000FF"/>
            <w:spacing w:val="-9"/>
            <w:w w:val="105"/>
            <w:sz w:val="16"/>
            <w:u w:val="single" w:color="0000FF"/>
          </w:rPr>
          <w:t> </w:t>
        </w:r>
        <w:r>
          <w:rPr>
            <w:color w:val="0000FF"/>
            <w:w w:val="105"/>
            <w:sz w:val="16"/>
            <w:u w:val="single" w:color="0000FF"/>
          </w:rPr>
          <w:t>2008</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10.66</w:t>
        </w:r>
        <w:r>
          <w:rPr>
            <w:color w:val="0000FF"/>
            <w:spacing w:val="-9"/>
            <w:w w:val="105"/>
            <w:sz w:val="16"/>
            <w:u w:val="single" w:color="0000FF"/>
          </w:rPr>
          <w:t> </w:t>
        </w:r>
        <w:r>
          <w:rPr>
            <w:color w:val="0000FF"/>
            <w:w w:val="105"/>
            <w:sz w:val="16"/>
            <w:u w:val="single" w:color="0000FF"/>
          </w:rPr>
          <w:t>of</w:t>
        </w:r>
      </w:hyperlink>
      <w:r>
        <w:rPr>
          <w:color w:val="0000FF"/>
          <w:w w:val="105"/>
          <w:sz w:val="16"/>
        </w:rPr>
        <w:t> </w:t>
      </w:r>
      <w:hyperlink r:id="rId55">
        <w:r>
          <w:rPr>
            <w:color w:val="0000FF"/>
            <w:w w:val="105"/>
            <w:sz w:val="16"/>
            <w:u w:val="single" w:color="0000FF"/>
          </w:rPr>
          <w:t>Corning’s Form 10-K filed February 10, 2011).</w:t>
        </w:r>
      </w:hyperlink>
    </w:p>
    <w:p>
      <w:pPr>
        <w:pStyle w:val="ListParagraph"/>
        <w:numPr>
          <w:ilvl w:val="1"/>
          <w:numId w:val="25"/>
        </w:numPr>
        <w:tabs>
          <w:tab w:pos="1659" w:val="left" w:leader="none"/>
        </w:tabs>
        <w:spacing w:line="266" w:lineRule="auto" w:before="0" w:after="0"/>
        <w:ind w:left="1659" w:right="477" w:hanging="1032"/>
        <w:jc w:val="left"/>
        <w:rPr>
          <w:sz w:val="16"/>
        </w:rPr>
      </w:pPr>
      <w:hyperlink r:id="rId56">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2</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Deferred</w:t>
        </w:r>
        <w:r>
          <w:rPr>
            <w:color w:val="0000FF"/>
            <w:spacing w:val="-9"/>
            <w:w w:val="105"/>
            <w:sz w:val="16"/>
            <w:u w:val="single" w:color="0000FF"/>
          </w:rPr>
          <w:t> </w:t>
        </w:r>
        <w:r>
          <w:rPr>
            <w:color w:val="0000FF"/>
            <w:w w:val="105"/>
            <w:sz w:val="16"/>
            <w:u w:val="single" w:color="0000FF"/>
          </w:rPr>
          <w:t>Compensation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for</w:t>
        </w:r>
        <w:r>
          <w:rPr>
            <w:color w:val="0000FF"/>
            <w:spacing w:val="-9"/>
            <w:w w:val="105"/>
            <w:sz w:val="16"/>
            <w:u w:val="single" w:color="0000FF"/>
          </w:rPr>
          <w:t> </w:t>
        </w:r>
        <w:r>
          <w:rPr>
            <w:color w:val="0000FF"/>
            <w:w w:val="105"/>
            <w:sz w:val="16"/>
            <w:u w:val="single" w:color="0000FF"/>
          </w:rPr>
          <w:t>Directors</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February</w:t>
        </w:r>
        <w:r>
          <w:rPr>
            <w:color w:val="0000FF"/>
            <w:spacing w:val="-9"/>
            <w:w w:val="105"/>
            <w:sz w:val="16"/>
            <w:u w:val="single" w:color="0000FF"/>
          </w:rPr>
          <w:t> </w:t>
        </w:r>
        <w:r>
          <w:rPr>
            <w:color w:val="0000FF"/>
            <w:w w:val="105"/>
            <w:sz w:val="16"/>
            <w:u w:val="single" w:color="0000FF"/>
          </w:rPr>
          <w:t>1,</w:t>
        </w:r>
        <w:r>
          <w:rPr>
            <w:color w:val="0000FF"/>
            <w:spacing w:val="-9"/>
            <w:w w:val="105"/>
            <w:sz w:val="16"/>
            <w:u w:val="single" w:color="0000FF"/>
          </w:rPr>
          <w:t> </w:t>
        </w:r>
        <w:r>
          <w:rPr>
            <w:color w:val="0000FF"/>
            <w:w w:val="105"/>
            <w:sz w:val="16"/>
            <w:u w:val="single" w:color="0000FF"/>
          </w:rPr>
          <w:t>2012</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10.62</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hyperlink>
      <w:r>
        <w:rPr>
          <w:color w:val="0000FF"/>
          <w:w w:val="105"/>
          <w:sz w:val="16"/>
        </w:rPr>
        <w:t> </w:t>
      </w:r>
      <w:hyperlink r:id="rId56">
        <w:r>
          <w:rPr>
            <w:color w:val="0000FF"/>
            <w:w w:val="105"/>
            <w:sz w:val="16"/>
            <w:u w:val="single" w:color="0000FF"/>
          </w:rPr>
          <w:t>Form 10-K filed February 13, 2012).</w:t>
        </w:r>
      </w:hyperlink>
    </w:p>
    <w:p>
      <w:pPr>
        <w:pStyle w:val="ListParagraph"/>
        <w:numPr>
          <w:ilvl w:val="1"/>
          <w:numId w:val="25"/>
        </w:numPr>
        <w:tabs>
          <w:tab w:pos="1659" w:val="left" w:leader="none"/>
        </w:tabs>
        <w:spacing w:line="266" w:lineRule="auto" w:before="0" w:after="0"/>
        <w:ind w:left="1659" w:right="212" w:hanging="1032"/>
        <w:jc w:val="left"/>
        <w:rPr>
          <w:sz w:val="16"/>
        </w:rPr>
      </w:pPr>
      <w:hyperlink r:id="rId57">
        <w:r>
          <w:rPr>
            <w:color w:val="0000FF"/>
            <w:w w:val="105"/>
            <w:sz w:val="16"/>
            <w:u w:val="single" w:color="0000FF"/>
          </w:rPr>
          <w:t>Amendment</w:t>
        </w:r>
        <w:r>
          <w:rPr>
            <w:color w:val="0000FF"/>
            <w:spacing w:val="-10"/>
            <w:w w:val="105"/>
            <w:sz w:val="16"/>
            <w:u w:val="single" w:color="0000FF"/>
          </w:rPr>
          <w:t> </w:t>
        </w:r>
        <w:r>
          <w:rPr>
            <w:color w:val="0000FF"/>
            <w:w w:val="105"/>
            <w:sz w:val="16"/>
            <w:u w:val="single" w:color="0000FF"/>
          </w:rPr>
          <w:t>No.</w:t>
        </w:r>
        <w:r>
          <w:rPr>
            <w:color w:val="0000FF"/>
            <w:spacing w:val="-10"/>
            <w:w w:val="105"/>
            <w:sz w:val="16"/>
            <w:u w:val="single" w:color="0000FF"/>
          </w:rPr>
          <w:t> </w:t>
        </w:r>
        <w:r>
          <w:rPr>
            <w:color w:val="0000FF"/>
            <w:w w:val="105"/>
            <w:sz w:val="16"/>
            <w:u w:val="single" w:color="0000FF"/>
          </w:rPr>
          <w:t>3</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Executive</w:t>
        </w:r>
        <w:r>
          <w:rPr>
            <w:color w:val="0000FF"/>
            <w:spacing w:val="-10"/>
            <w:w w:val="105"/>
            <w:sz w:val="16"/>
            <w:u w:val="single" w:color="0000FF"/>
          </w:rPr>
          <w:t> </w:t>
        </w:r>
        <w:r>
          <w:rPr>
            <w:color w:val="0000FF"/>
            <w:w w:val="105"/>
            <w:sz w:val="16"/>
            <w:u w:val="single" w:color="0000FF"/>
          </w:rPr>
          <w:t>Supplemental</w:t>
        </w:r>
        <w:r>
          <w:rPr>
            <w:color w:val="0000FF"/>
            <w:spacing w:val="-10"/>
            <w:w w:val="105"/>
            <w:sz w:val="16"/>
            <w:u w:val="single" w:color="0000FF"/>
          </w:rPr>
          <w:t> </w:t>
        </w:r>
        <w:r>
          <w:rPr>
            <w:color w:val="0000FF"/>
            <w:w w:val="105"/>
            <w:sz w:val="16"/>
            <w:u w:val="single" w:color="0000FF"/>
          </w:rPr>
          <w:t>Pension</w:t>
        </w:r>
        <w:r>
          <w:rPr>
            <w:color w:val="0000FF"/>
            <w:spacing w:val="-10"/>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December</w:t>
        </w:r>
        <w:r>
          <w:rPr>
            <w:color w:val="0000FF"/>
            <w:spacing w:val="-10"/>
            <w:w w:val="105"/>
            <w:sz w:val="16"/>
            <w:u w:val="single" w:color="0000FF"/>
          </w:rPr>
          <w:t> </w:t>
        </w:r>
        <w:r>
          <w:rPr>
            <w:color w:val="0000FF"/>
            <w:w w:val="105"/>
            <w:sz w:val="16"/>
            <w:u w:val="single" w:color="0000FF"/>
          </w:rPr>
          <w:t>31,</w:t>
        </w:r>
        <w:r>
          <w:rPr>
            <w:color w:val="0000FF"/>
            <w:spacing w:val="-10"/>
            <w:w w:val="105"/>
            <w:sz w:val="16"/>
            <w:u w:val="single" w:color="0000FF"/>
          </w:rPr>
          <w:t> </w:t>
        </w:r>
        <w:r>
          <w:rPr>
            <w:color w:val="0000FF"/>
            <w:w w:val="105"/>
            <w:sz w:val="16"/>
            <w:u w:val="single" w:color="0000FF"/>
          </w:rPr>
          <w:t>2008</w:t>
        </w:r>
        <w:r>
          <w:rPr>
            <w:color w:val="0000FF"/>
            <w:spacing w:val="-9"/>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hyperlink>
      <w:r>
        <w:rPr>
          <w:color w:val="0000FF"/>
          <w:w w:val="105"/>
          <w:sz w:val="16"/>
        </w:rPr>
        <w:t> </w:t>
      </w:r>
      <w:hyperlink r:id="rId57">
        <w:r>
          <w:rPr>
            <w:color w:val="0000FF"/>
            <w:w w:val="105"/>
            <w:sz w:val="16"/>
            <w:u w:val="single" w:color="0000FF"/>
          </w:rPr>
          <w:t>10.59 of Corning’s Form 10-K filed February 13, 2013).</w:t>
        </w:r>
      </w:hyperlink>
    </w:p>
    <w:p>
      <w:pPr>
        <w:pStyle w:val="ListParagraph"/>
        <w:numPr>
          <w:ilvl w:val="1"/>
          <w:numId w:val="25"/>
        </w:numPr>
        <w:tabs>
          <w:tab w:pos="1659" w:val="left" w:leader="none"/>
        </w:tabs>
        <w:spacing w:line="266" w:lineRule="auto" w:before="0" w:after="0"/>
        <w:ind w:left="1659" w:right="458" w:hanging="1032"/>
        <w:jc w:val="left"/>
        <w:rPr>
          <w:sz w:val="16"/>
        </w:rPr>
      </w:pPr>
      <w:hyperlink r:id="rId58">
        <w:r>
          <w:rPr>
            <w:color w:val="0000FF"/>
            <w:w w:val="105"/>
            <w:sz w:val="16"/>
            <w:u w:val="single" w:color="0000FF"/>
          </w:rPr>
          <w:t>2021</w:t>
        </w:r>
        <w:r>
          <w:rPr>
            <w:color w:val="0000FF"/>
            <w:spacing w:val="-9"/>
            <w:w w:val="105"/>
            <w:sz w:val="16"/>
            <w:u w:val="single" w:color="0000FF"/>
          </w:rPr>
          <w:t> </w:t>
        </w:r>
        <w:r>
          <w:rPr>
            <w:color w:val="0000FF"/>
            <w:w w:val="105"/>
            <w:sz w:val="16"/>
            <w:u w:val="single" w:color="0000FF"/>
          </w:rPr>
          <w:t>Long-Term</w:t>
        </w:r>
        <w:r>
          <w:rPr>
            <w:color w:val="0000FF"/>
            <w:spacing w:val="-9"/>
            <w:w w:val="105"/>
            <w:sz w:val="16"/>
            <w:u w:val="single" w:color="0000FF"/>
          </w:rPr>
          <w:t> </w:t>
        </w:r>
        <w:r>
          <w:rPr>
            <w:color w:val="0000FF"/>
            <w:w w:val="105"/>
            <w:sz w:val="16"/>
            <w:u w:val="single" w:color="0000FF"/>
          </w:rPr>
          <w:t>Incentive</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Appendix</w:t>
        </w:r>
        <w:r>
          <w:rPr>
            <w:color w:val="0000FF"/>
            <w:spacing w:val="-9"/>
            <w:w w:val="105"/>
            <w:sz w:val="16"/>
            <w:u w:val="single" w:color="0000FF"/>
          </w:rPr>
          <w:t> </w:t>
        </w:r>
        <w:r>
          <w:rPr>
            <w:color w:val="0000FF"/>
            <w:w w:val="105"/>
            <w:sz w:val="16"/>
            <w:u w:val="single" w:color="0000FF"/>
          </w:rPr>
          <w:t>B</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Proxy</w:t>
        </w:r>
        <w:r>
          <w:rPr>
            <w:color w:val="0000FF"/>
            <w:spacing w:val="-9"/>
            <w:w w:val="105"/>
            <w:sz w:val="16"/>
            <w:u w:val="single" w:color="0000FF"/>
          </w:rPr>
          <w:t> </w:t>
        </w:r>
        <w:r>
          <w:rPr>
            <w:color w:val="0000FF"/>
            <w:w w:val="105"/>
            <w:sz w:val="16"/>
            <w:u w:val="single" w:color="0000FF"/>
          </w:rPr>
          <w:t>Statement,</w:t>
        </w:r>
        <w:r>
          <w:rPr>
            <w:color w:val="0000FF"/>
            <w:spacing w:val="-9"/>
            <w:w w:val="105"/>
            <w:sz w:val="16"/>
            <w:u w:val="single" w:color="0000FF"/>
          </w:rPr>
          <w:t> </w:t>
        </w:r>
        <w:r>
          <w:rPr>
            <w:color w:val="0000FF"/>
            <w:w w:val="105"/>
            <w:sz w:val="16"/>
            <w:u w:val="single" w:color="0000FF"/>
          </w:rPr>
          <w:t>Definitive</w:t>
        </w:r>
        <w:r>
          <w:rPr>
            <w:color w:val="0000FF"/>
            <w:spacing w:val="-9"/>
            <w:w w:val="105"/>
            <w:sz w:val="16"/>
            <w:u w:val="single" w:color="0000FF"/>
          </w:rPr>
          <w:t> </w:t>
        </w:r>
        <w:r>
          <w:rPr>
            <w:color w:val="0000FF"/>
            <w:w w:val="105"/>
            <w:sz w:val="16"/>
            <w:u w:val="single" w:color="0000FF"/>
          </w:rPr>
          <w:t>14A</w:t>
        </w:r>
        <w:r>
          <w:rPr>
            <w:color w:val="0000FF"/>
            <w:spacing w:val="-9"/>
            <w:w w:val="105"/>
            <w:sz w:val="16"/>
            <w:u w:val="single" w:color="0000FF"/>
          </w:rPr>
          <w:t> </w:t>
        </w:r>
        <w:r>
          <w:rPr>
            <w:color w:val="0000FF"/>
            <w:w w:val="105"/>
            <w:sz w:val="16"/>
            <w:u w:val="single" w:color="0000FF"/>
          </w:rPr>
          <w:t>filed</w:t>
        </w:r>
        <w:r>
          <w:rPr>
            <w:color w:val="0000FF"/>
            <w:spacing w:val="-9"/>
            <w:w w:val="105"/>
            <w:sz w:val="16"/>
            <w:u w:val="single" w:color="0000FF"/>
          </w:rPr>
          <w:t> </w:t>
        </w:r>
        <w:r>
          <w:rPr>
            <w:color w:val="0000FF"/>
            <w:w w:val="105"/>
            <w:sz w:val="16"/>
            <w:u w:val="single" w:color="0000FF"/>
          </w:rPr>
          <w:t>March</w:t>
        </w:r>
        <w:r>
          <w:rPr>
            <w:color w:val="0000FF"/>
            <w:spacing w:val="-9"/>
            <w:w w:val="105"/>
            <w:sz w:val="16"/>
            <w:u w:val="single" w:color="0000FF"/>
          </w:rPr>
          <w:t> </w:t>
        </w:r>
        <w:r>
          <w:rPr>
            <w:color w:val="0000FF"/>
            <w:w w:val="105"/>
            <w:sz w:val="16"/>
            <w:u w:val="single" w:color="0000FF"/>
          </w:rPr>
          <w:t>18,</w:t>
        </w:r>
        <w:r>
          <w:rPr>
            <w:color w:val="0000FF"/>
            <w:spacing w:val="-9"/>
            <w:w w:val="105"/>
            <w:sz w:val="16"/>
            <w:u w:val="single" w:color="0000FF"/>
          </w:rPr>
          <w:t> </w:t>
        </w:r>
        <w:r>
          <w:rPr>
            <w:color w:val="0000FF"/>
            <w:w w:val="105"/>
            <w:sz w:val="16"/>
            <w:u w:val="single" w:color="0000FF"/>
          </w:rPr>
          <w:t>2021,</w:t>
        </w:r>
        <w:r>
          <w:rPr>
            <w:color w:val="0000FF"/>
            <w:spacing w:val="-9"/>
            <w:w w:val="105"/>
            <w:sz w:val="16"/>
            <w:u w:val="single" w:color="0000FF"/>
          </w:rPr>
          <w:t> </w:t>
        </w:r>
        <w:r>
          <w:rPr>
            <w:color w:val="0000FF"/>
            <w:w w:val="105"/>
            <w:sz w:val="16"/>
            <w:u w:val="single" w:color="0000FF"/>
          </w:rPr>
          <w:t>for</w:t>
        </w:r>
      </w:hyperlink>
      <w:r>
        <w:rPr>
          <w:color w:val="0000FF"/>
          <w:w w:val="105"/>
          <w:sz w:val="16"/>
        </w:rPr>
        <w:t> </w:t>
      </w:r>
      <w:hyperlink r:id="rId58">
        <w:r>
          <w:rPr>
            <w:color w:val="0000FF"/>
            <w:w w:val="105"/>
            <w:sz w:val="16"/>
            <w:u w:val="single" w:color="0000FF"/>
          </w:rPr>
          <w:t>April 29, 2021 Annual Meeting of Shareholders).</w:t>
        </w:r>
      </w:hyperlink>
    </w:p>
    <w:p>
      <w:pPr>
        <w:pStyle w:val="ListParagraph"/>
        <w:numPr>
          <w:ilvl w:val="1"/>
          <w:numId w:val="25"/>
        </w:numPr>
        <w:tabs>
          <w:tab w:pos="1659" w:val="left" w:leader="none"/>
        </w:tabs>
        <w:spacing w:line="266" w:lineRule="auto" w:before="0" w:after="0"/>
        <w:ind w:left="1659" w:right="309" w:hanging="1032"/>
        <w:jc w:val="left"/>
        <w:rPr>
          <w:sz w:val="16"/>
        </w:rPr>
      </w:pPr>
      <w:hyperlink r:id="rId59">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3</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Deferred</w:t>
        </w:r>
        <w:r>
          <w:rPr>
            <w:color w:val="0000FF"/>
            <w:spacing w:val="-9"/>
            <w:w w:val="105"/>
            <w:sz w:val="16"/>
            <w:u w:val="single" w:color="0000FF"/>
          </w:rPr>
          <w:t> </w:t>
        </w:r>
        <w:r>
          <w:rPr>
            <w:color w:val="0000FF"/>
            <w:w w:val="105"/>
            <w:sz w:val="16"/>
            <w:u w:val="single" w:color="0000FF"/>
          </w:rPr>
          <w:t>Compensation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for</w:t>
        </w:r>
        <w:r>
          <w:rPr>
            <w:color w:val="0000FF"/>
            <w:spacing w:val="-9"/>
            <w:w w:val="105"/>
            <w:sz w:val="16"/>
            <w:u w:val="single" w:color="0000FF"/>
          </w:rPr>
          <w:t> </w:t>
        </w:r>
        <w:r>
          <w:rPr>
            <w:color w:val="0000FF"/>
            <w:w w:val="105"/>
            <w:sz w:val="16"/>
            <w:u w:val="single" w:color="0000FF"/>
          </w:rPr>
          <w:t>Directors</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December</w:t>
        </w:r>
        <w:r>
          <w:rPr>
            <w:color w:val="0000FF"/>
            <w:spacing w:val="-9"/>
            <w:w w:val="105"/>
            <w:sz w:val="16"/>
            <w:u w:val="single" w:color="0000FF"/>
          </w:rPr>
          <w:t> </w:t>
        </w:r>
        <w:r>
          <w:rPr>
            <w:color w:val="0000FF"/>
            <w:w w:val="105"/>
            <w:sz w:val="16"/>
            <w:u w:val="single" w:color="0000FF"/>
          </w:rPr>
          <w:t>28,</w:t>
        </w:r>
        <w:r>
          <w:rPr>
            <w:color w:val="0000FF"/>
            <w:spacing w:val="-9"/>
            <w:w w:val="105"/>
            <w:sz w:val="16"/>
            <w:u w:val="single" w:color="0000FF"/>
          </w:rPr>
          <w:t> </w:t>
        </w:r>
        <w:r>
          <w:rPr>
            <w:color w:val="0000FF"/>
            <w:w w:val="105"/>
            <w:sz w:val="16"/>
            <w:u w:val="single" w:color="0000FF"/>
          </w:rPr>
          <w:t>2012</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10.61</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hyperlink>
      <w:r>
        <w:rPr>
          <w:color w:val="0000FF"/>
          <w:w w:val="105"/>
          <w:sz w:val="16"/>
        </w:rPr>
        <w:t> </w:t>
      </w:r>
      <w:hyperlink r:id="rId59">
        <w:r>
          <w:rPr>
            <w:color w:val="0000FF"/>
            <w:w w:val="105"/>
            <w:sz w:val="16"/>
            <w:u w:val="single" w:color="0000FF"/>
          </w:rPr>
          <w:t>Form 10-K filed February 13, 2013).</w:t>
        </w:r>
      </w:hyperlink>
    </w:p>
    <w:p>
      <w:pPr>
        <w:pStyle w:val="ListParagraph"/>
        <w:numPr>
          <w:ilvl w:val="1"/>
          <w:numId w:val="25"/>
        </w:numPr>
        <w:tabs>
          <w:tab w:pos="1659" w:val="left" w:leader="none"/>
        </w:tabs>
        <w:spacing w:line="266" w:lineRule="auto" w:before="0" w:after="0"/>
        <w:ind w:left="1659" w:right="212" w:hanging="1032"/>
        <w:jc w:val="left"/>
        <w:rPr>
          <w:sz w:val="16"/>
        </w:rPr>
      </w:pPr>
      <w:hyperlink r:id="rId60">
        <w:r>
          <w:rPr>
            <w:color w:val="0000FF"/>
            <w:w w:val="105"/>
            <w:sz w:val="16"/>
            <w:u w:val="single" w:color="0000FF"/>
          </w:rPr>
          <w:t>Amendment</w:t>
        </w:r>
        <w:r>
          <w:rPr>
            <w:color w:val="0000FF"/>
            <w:spacing w:val="-10"/>
            <w:w w:val="105"/>
            <w:sz w:val="16"/>
            <w:u w:val="single" w:color="0000FF"/>
          </w:rPr>
          <w:t> </w:t>
        </w:r>
        <w:r>
          <w:rPr>
            <w:color w:val="0000FF"/>
            <w:w w:val="105"/>
            <w:sz w:val="16"/>
            <w:u w:val="single" w:color="0000FF"/>
          </w:rPr>
          <w:t>No.</w:t>
        </w:r>
        <w:r>
          <w:rPr>
            <w:color w:val="0000FF"/>
            <w:spacing w:val="-10"/>
            <w:w w:val="105"/>
            <w:sz w:val="16"/>
            <w:u w:val="single" w:color="0000FF"/>
          </w:rPr>
          <w:t> </w:t>
        </w:r>
        <w:r>
          <w:rPr>
            <w:color w:val="0000FF"/>
            <w:w w:val="105"/>
            <w:sz w:val="16"/>
            <w:u w:val="single" w:color="0000FF"/>
          </w:rPr>
          <w:t>4</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Executive</w:t>
        </w:r>
        <w:r>
          <w:rPr>
            <w:color w:val="0000FF"/>
            <w:spacing w:val="-10"/>
            <w:w w:val="105"/>
            <w:sz w:val="16"/>
            <w:u w:val="single" w:color="0000FF"/>
          </w:rPr>
          <w:t> </w:t>
        </w:r>
        <w:r>
          <w:rPr>
            <w:color w:val="0000FF"/>
            <w:w w:val="105"/>
            <w:sz w:val="16"/>
            <w:u w:val="single" w:color="0000FF"/>
          </w:rPr>
          <w:t>Supplemental</w:t>
        </w:r>
        <w:r>
          <w:rPr>
            <w:color w:val="0000FF"/>
            <w:spacing w:val="-10"/>
            <w:w w:val="105"/>
            <w:sz w:val="16"/>
            <w:u w:val="single" w:color="0000FF"/>
          </w:rPr>
          <w:t> </w:t>
        </w:r>
        <w:r>
          <w:rPr>
            <w:color w:val="0000FF"/>
            <w:w w:val="105"/>
            <w:sz w:val="16"/>
            <w:u w:val="single" w:color="0000FF"/>
          </w:rPr>
          <w:t>Pension</w:t>
        </w:r>
        <w:r>
          <w:rPr>
            <w:color w:val="0000FF"/>
            <w:spacing w:val="-10"/>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December</w:t>
        </w:r>
        <w:r>
          <w:rPr>
            <w:color w:val="0000FF"/>
            <w:spacing w:val="-10"/>
            <w:w w:val="105"/>
            <w:sz w:val="16"/>
            <w:u w:val="single" w:color="0000FF"/>
          </w:rPr>
          <w:t> </w:t>
        </w:r>
        <w:r>
          <w:rPr>
            <w:color w:val="0000FF"/>
            <w:w w:val="105"/>
            <w:sz w:val="16"/>
            <w:u w:val="single" w:color="0000FF"/>
          </w:rPr>
          <w:t>31,</w:t>
        </w:r>
        <w:r>
          <w:rPr>
            <w:color w:val="0000FF"/>
            <w:spacing w:val="-10"/>
            <w:w w:val="105"/>
            <w:sz w:val="16"/>
            <w:u w:val="single" w:color="0000FF"/>
          </w:rPr>
          <w:t> </w:t>
        </w:r>
        <w:r>
          <w:rPr>
            <w:color w:val="0000FF"/>
            <w:w w:val="105"/>
            <w:sz w:val="16"/>
            <w:u w:val="single" w:color="0000FF"/>
          </w:rPr>
          <w:t>2012</w:t>
        </w:r>
        <w:r>
          <w:rPr>
            <w:color w:val="0000FF"/>
            <w:spacing w:val="-9"/>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hyperlink>
      <w:r>
        <w:rPr>
          <w:color w:val="0000FF"/>
          <w:w w:val="105"/>
          <w:sz w:val="16"/>
        </w:rPr>
        <w:t> </w:t>
      </w:r>
      <w:hyperlink r:id="rId60">
        <w:r>
          <w:rPr>
            <w:color w:val="0000FF"/>
            <w:w w:val="105"/>
            <w:sz w:val="16"/>
            <w:u w:val="single" w:color="0000FF"/>
          </w:rPr>
          <w:t>10.62 of Corning’s Form 10-K filed February 13, 2013).</w:t>
        </w:r>
      </w:hyperlink>
    </w:p>
    <w:p>
      <w:pPr>
        <w:pStyle w:val="ListParagraph"/>
        <w:numPr>
          <w:ilvl w:val="1"/>
          <w:numId w:val="25"/>
        </w:numPr>
        <w:tabs>
          <w:tab w:pos="1659" w:val="left" w:leader="none"/>
        </w:tabs>
        <w:spacing w:line="266" w:lineRule="auto" w:before="0" w:after="0"/>
        <w:ind w:left="1659" w:right="176" w:hanging="1032"/>
        <w:jc w:val="left"/>
        <w:rPr>
          <w:sz w:val="16"/>
        </w:rPr>
      </w:pPr>
      <w:hyperlink r:id="rId61">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Cash</w:t>
        </w:r>
        <w:r>
          <w:rPr>
            <w:color w:val="0000FF"/>
            <w:spacing w:val="-10"/>
            <w:w w:val="105"/>
            <w:sz w:val="16"/>
            <w:u w:val="single" w:color="0000FF"/>
          </w:rPr>
          <w:t> </w:t>
        </w:r>
        <w:r>
          <w:rPr>
            <w:color w:val="0000FF"/>
            <w:w w:val="105"/>
            <w:sz w:val="16"/>
            <w:u w:val="single" w:color="0000FF"/>
          </w:rPr>
          <w:t>Performance</w:t>
        </w:r>
        <w:r>
          <w:rPr>
            <w:color w:val="0000FF"/>
            <w:spacing w:val="-10"/>
            <w:w w:val="105"/>
            <w:sz w:val="16"/>
            <w:u w:val="single" w:color="0000FF"/>
          </w:rPr>
          <w:t> </w:t>
        </w:r>
        <w:r>
          <w:rPr>
            <w:color w:val="0000FF"/>
            <w:w w:val="105"/>
            <w:sz w:val="16"/>
            <w:u w:val="single" w:color="0000FF"/>
          </w:rPr>
          <w:t>Unit</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January</w:t>
        </w:r>
        <w:r>
          <w:rPr>
            <w:color w:val="0000FF"/>
            <w:spacing w:val="-10"/>
            <w:w w:val="105"/>
            <w:sz w:val="16"/>
            <w:u w:val="single" w:color="0000FF"/>
          </w:rPr>
          <w:t> </w:t>
        </w:r>
        <w:r>
          <w:rPr>
            <w:color w:val="0000FF"/>
            <w:w w:val="105"/>
            <w:sz w:val="16"/>
            <w:u w:val="single" w:color="0000FF"/>
          </w:rPr>
          <w:t>1,</w:t>
        </w:r>
        <w:r>
          <w:rPr>
            <w:color w:val="0000FF"/>
            <w:spacing w:val="-10"/>
            <w:w w:val="105"/>
            <w:sz w:val="16"/>
            <w:u w:val="single" w:color="0000FF"/>
          </w:rPr>
          <w:t> </w:t>
        </w:r>
        <w:r>
          <w:rPr>
            <w:color w:val="0000FF"/>
            <w:w w:val="105"/>
            <w:sz w:val="16"/>
            <w:u w:val="single" w:color="0000FF"/>
          </w:rPr>
          <w:t>2014</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10.69</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Corning’s</w:t>
        </w:r>
      </w:hyperlink>
      <w:r>
        <w:rPr>
          <w:color w:val="0000FF"/>
          <w:w w:val="105"/>
          <w:sz w:val="16"/>
        </w:rPr>
        <w:t> </w:t>
      </w:r>
      <w:hyperlink r:id="rId61">
        <w:r>
          <w:rPr>
            <w:color w:val="0000FF"/>
            <w:w w:val="105"/>
            <w:sz w:val="16"/>
            <w:u w:val="single" w:color="0000FF"/>
          </w:rPr>
          <w:t>Form 10-K filed on February 10, 2014, as amended by its Form 10-K/A filed on March 21, 2014).</w:t>
        </w:r>
      </w:hyperlink>
    </w:p>
    <w:p>
      <w:pPr>
        <w:pStyle w:val="ListParagraph"/>
        <w:numPr>
          <w:ilvl w:val="1"/>
          <w:numId w:val="25"/>
        </w:numPr>
        <w:tabs>
          <w:tab w:pos="1659" w:val="left" w:leader="none"/>
        </w:tabs>
        <w:spacing w:line="266" w:lineRule="auto" w:before="0" w:after="0"/>
        <w:ind w:left="1659" w:right="364" w:hanging="1032"/>
        <w:jc w:val="left"/>
        <w:rPr>
          <w:sz w:val="16"/>
        </w:rPr>
      </w:pPr>
      <w:hyperlink r:id="rId62">
        <w:r>
          <w:rPr>
            <w:color w:val="0000FF"/>
            <w:w w:val="105"/>
            <w:sz w:val="16"/>
            <w:u w:val="single" w:color="0000FF"/>
          </w:rPr>
          <w:t>Amendment</w:t>
        </w:r>
        <w:r>
          <w:rPr>
            <w:color w:val="0000FF"/>
            <w:spacing w:val="-9"/>
            <w:w w:val="105"/>
            <w:sz w:val="16"/>
            <w:u w:val="single" w:color="0000FF"/>
          </w:rPr>
          <w:t> </w:t>
        </w:r>
        <w:r>
          <w:rPr>
            <w:color w:val="0000FF"/>
            <w:w w:val="105"/>
            <w:sz w:val="16"/>
            <w:u w:val="single" w:color="0000FF"/>
          </w:rPr>
          <w:t>No.</w:t>
        </w:r>
        <w:r>
          <w:rPr>
            <w:color w:val="0000FF"/>
            <w:spacing w:val="-9"/>
            <w:w w:val="105"/>
            <w:sz w:val="16"/>
            <w:u w:val="single" w:color="0000FF"/>
          </w:rPr>
          <w:t> </w:t>
        </w:r>
        <w:r>
          <w:rPr>
            <w:color w:val="0000FF"/>
            <w:w w:val="105"/>
            <w:sz w:val="16"/>
            <w:u w:val="single" w:color="0000FF"/>
          </w:rPr>
          <w:t>4</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Deferred</w:t>
        </w:r>
        <w:r>
          <w:rPr>
            <w:color w:val="0000FF"/>
            <w:spacing w:val="-9"/>
            <w:w w:val="105"/>
            <w:sz w:val="16"/>
            <w:u w:val="single" w:color="0000FF"/>
          </w:rPr>
          <w:t> </w:t>
        </w:r>
        <w:r>
          <w:rPr>
            <w:color w:val="0000FF"/>
            <w:w w:val="105"/>
            <w:sz w:val="16"/>
            <w:u w:val="single" w:color="0000FF"/>
          </w:rPr>
          <w:t>Compensation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for</w:t>
        </w:r>
        <w:r>
          <w:rPr>
            <w:color w:val="0000FF"/>
            <w:spacing w:val="-9"/>
            <w:w w:val="105"/>
            <w:sz w:val="16"/>
            <w:u w:val="single" w:color="0000FF"/>
          </w:rPr>
          <w:t> </w:t>
        </w:r>
        <w:r>
          <w:rPr>
            <w:color w:val="0000FF"/>
            <w:w w:val="105"/>
            <w:sz w:val="16"/>
            <w:u w:val="single" w:color="0000FF"/>
          </w:rPr>
          <w:t>Directors</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September</w:t>
        </w:r>
        <w:r>
          <w:rPr>
            <w:color w:val="0000FF"/>
            <w:spacing w:val="-9"/>
            <w:w w:val="105"/>
            <w:sz w:val="16"/>
            <w:u w:val="single" w:color="0000FF"/>
          </w:rPr>
          <w:t> </w:t>
        </w:r>
        <w:r>
          <w:rPr>
            <w:color w:val="0000FF"/>
            <w:w w:val="105"/>
            <w:sz w:val="16"/>
            <w:u w:val="single" w:color="0000FF"/>
          </w:rPr>
          <w:t>30,</w:t>
        </w:r>
        <w:r>
          <w:rPr>
            <w:color w:val="0000FF"/>
            <w:spacing w:val="-9"/>
            <w:w w:val="105"/>
            <w:sz w:val="16"/>
            <w:u w:val="single" w:color="0000FF"/>
          </w:rPr>
          <w:t> </w:t>
        </w:r>
        <w:r>
          <w:rPr>
            <w:color w:val="0000FF"/>
            <w:w w:val="105"/>
            <w:sz w:val="16"/>
            <w:u w:val="single" w:color="0000FF"/>
          </w:rPr>
          <w:t>2014</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10.1</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hyperlink>
      <w:r>
        <w:rPr>
          <w:color w:val="0000FF"/>
          <w:w w:val="105"/>
          <w:sz w:val="16"/>
        </w:rPr>
        <w:t> </w:t>
      </w:r>
      <w:hyperlink r:id="rId62">
        <w:r>
          <w:rPr>
            <w:color w:val="0000FF"/>
            <w:w w:val="105"/>
            <w:sz w:val="16"/>
            <w:u w:val="single" w:color="0000FF"/>
          </w:rPr>
          <w:t>Form 10-Q filed on October 29, 2014).</w:t>
        </w:r>
      </w:hyperlink>
    </w:p>
    <w:p>
      <w:pPr>
        <w:pStyle w:val="ListParagraph"/>
        <w:numPr>
          <w:ilvl w:val="1"/>
          <w:numId w:val="25"/>
        </w:numPr>
        <w:tabs>
          <w:tab w:pos="1659" w:val="left" w:leader="none"/>
        </w:tabs>
        <w:spacing w:line="266" w:lineRule="auto" w:before="0" w:after="0"/>
        <w:ind w:left="1659" w:right="233" w:hanging="1032"/>
        <w:jc w:val="left"/>
        <w:rPr>
          <w:sz w:val="16"/>
        </w:rPr>
      </w:pPr>
      <w:hyperlink r:id="rId63">
        <w:r>
          <w:rPr>
            <w:color w:val="0000FF"/>
            <w:w w:val="105"/>
            <w:sz w:val="16"/>
            <w:u w:val="single" w:color="0000FF"/>
          </w:rPr>
          <w:t>2014</w:t>
        </w:r>
        <w:r>
          <w:rPr>
            <w:color w:val="0000FF"/>
            <w:spacing w:val="-9"/>
            <w:w w:val="105"/>
            <w:sz w:val="16"/>
            <w:u w:val="single" w:color="0000FF"/>
          </w:rPr>
          <w:t> </w:t>
        </w:r>
        <w:r>
          <w:rPr>
            <w:color w:val="0000FF"/>
            <w:w w:val="105"/>
            <w:sz w:val="16"/>
            <w:u w:val="single" w:color="0000FF"/>
          </w:rPr>
          <w:t>Variable</w:t>
        </w:r>
        <w:r>
          <w:rPr>
            <w:color w:val="0000FF"/>
            <w:spacing w:val="-9"/>
            <w:w w:val="105"/>
            <w:sz w:val="16"/>
            <w:u w:val="single" w:color="0000FF"/>
          </w:rPr>
          <w:t> </w:t>
        </w:r>
        <w:r>
          <w:rPr>
            <w:color w:val="0000FF"/>
            <w:w w:val="105"/>
            <w:sz w:val="16"/>
            <w:u w:val="single" w:color="0000FF"/>
          </w:rPr>
          <w:t>Compensation</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Appendix</w:t>
        </w:r>
        <w:r>
          <w:rPr>
            <w:color w:val="0000FF"/>
            <w:spacing w:val="-9"/>
            <w:w w:val="105"/>
            <w:sz w:val="16"/>
            <w:u w:val="single" w:color="0000FF"/>
          </w:rPr>
          <w:t> </w:t>
        </w:r>
        <w:r>
          <w:rPr>
            <w:color w:val="0000FF"/>
            <w:w w:val="105"/>
            <w:sz w:val="16"/>
            <w:u w:val="single" w:color="0000FF"/>
          </w:rPr>
          <w:t>B</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r>
          <w:rPr>
            <w:color w:val="0000FF"/>
            <w:spacing w:val="-9"/>
            <w:w w:val="105"/>
            <w:sz w:val="16"/>
            <w:u w:val="single" w:color="0000FF"/>
          </w:rPr>
          <w:t> </w:t>
        </w:r>
        <w:r>
          <w:rPr>
            <w:color w:val="0000FF"/>
            <w:w w:val="105"/>
            <w:sz w:val="16"/>
            <w:u w:val="single" w:color="0000FF"/>
          </w:rPr>
          <w:t>Proxy</w:t>
        </w:r>
        <w:r>
          <w:rPr>
            <w:color w:val="0000FF"/>
            <w:spacing w:val="-9"/>
            <w:w w:val="105"/>
            <w:sz w:val="16"/>
            <w:u w:val="single" w:color="0000FF"/>
          </w:rPr>
          <w:t> </w:t>
        </w:r>
        <w:r>
          <w:rPr>
            <w:color w:val="0000FF"/>
            <w:w w:val="105"/>
            <w:sz w:val="16"/>
            <w:u w:val="single" w:color="0000FF"/>
          </w:rPr>
          <w:t>Statement,</w:t>
        </w:r>
        <w:r>
          <w:rPr>
            <w:color w:val="0000FF"/>
            <w:spacing w:val="-9"/>
            <w:w w:val="105"/>
            <w:sz w:val="16"/>
            <w:u w:val="single" w:color="0000FF"/>
          </w:rPr>
          <w:t> </w:t>
        </w:r>
        <w:r>
          <w:rPr>
            <w:color w:val="0000FF"/>
            <w:w w:val="105"/>
            <w:sz w:val="16"/>
            <w:u w:val="single" w:color="0000FF"/>
          </w:rPr>
          <w:t>Definitive</w:t>
        </w:r>
        <w:r>
          <w:rPr>
            <w:color w:val="0000FF"/>
            <w:spacing w:val="-9"/>
            <w:w w:val="105"/>
            <w:sz w:val="16"/>
            <w:u w:val="single" w:color="0000FF"/>
          </w:rPr>
          <w:t> </w:t>
        </w:r>
        <w:r>
          <w:rPr>
            <w:color w:val="0000FF"/>
            <w:w w:val="105"/>
            <w:sz w:val="16"/>
            <w:u w:val="single" w:color="0000FF"/>
          </w:rPr>
          <w:t>14A</w:t>
        </w:r>
        <w:r>
          <w:rPr>
            <w:color w:val="0000FF"/>
            <w:spacing w:val="-9"/>
            <w:w w:val="105"/>
            <w:sz w:val="16"/>
            <w:u w:val="single" w:color="0000FF"/>
          </w:rPr>
          <w:t> </w:t>
        </w:r>
        <w:r>
          <w:rPr>
            <w:color w:val="0000FF"/>
            <w:w w:val="105"/>
            <w:sz w:val="16"/>
            <w:u w:val="single" w:color="0000FF"/>
          </w:rPr>
          <w:t>filed</w:t>
        </w:r>
        <w:r>
          <w:rPr>
            <w:color w:val="0000FF"/>
            <w:spacing w:val="-9"/>
            <w:w w:val="105"/>
            <w:sz w:val="16"/>
            <w:u w:val="single" w:color="0000FF"/>
          </w:rPr>
          <w:t> </w:t>
        </w:r>
        <w:r>
          <w:rPr>
            <w:color w:val="0000FF"/>
            <w:w w:val="105"/>
            <w:sz w:val="16"/>
            <w:u w:val="single" w:color="0000FF"/>
          </w:rPr>
          <w:t>March</w:t>
        </w:r>
        <w:r>
          <w:rPr>
            <w:color w:val="0000FF"/>
            <w:spacing w:val="-9"/>
            <w:w w:val="105"/>
            <w:sz w:val="16"/>
            <w:u w:val="single" w:color="0000FF"/>
          </w:rPr>
          <w:t> </w:t>
        </w:r>
        <w:r>
          <w:rPr>
            <w:color w:val="0000FF"/>
            <w:w w:val="105"/>
            <w:sz w:val="16"/>
            <w:u w:val="single" w:color="0000FF"/>
          </w:rPr>
          <w:t>13,</w:t>
        </w:r>
        <w:r>
          <w:rPr>
            <w:color w:val="0000FF"/>
            <w:spacing w:val="-9"/>
            <w:w w:val="105"/>
            <w:sz w:val="16"/>
            <w:u w:val="single" w:color="0000FF"/>
          </w:rPr>
          <w:t> </w:t>
        </w:r>
        <w:r>
          <w:rPr>
            <w:color w:val="0000FF"/>
            <w:w w:val="105"/>
            <w:sz w:val="16"/>
            <w:u w:val="single" w:color="0000FF"/>
          </w:rPr>
          <w:t>2014</w:t>
        </w:r>
        <w:r>
          <w:rPr>
            <w:color w:val="0000FF"/>
            <w:spacing w:val="-9"/>
            <w:w w:val="105"/>
            <w:sz w:val="16"/>
            <w:u w:val="single" w:color="0000FF"/>
          </w:rPr>
          <w:t> </w:t>
        </w:r>
        <w:r>
          <w:rPr>
            <w:color w:val="0000FF"/>
            <w:w w:val="105"/>
            <w:sz w:val="16"/>
            <w:u w:val="single" w:color="0000FF"/>
          </w:rPr>
          <w:t>for</w:t>
        </w:r>
      </w:hyperlink>
      <w:r>
        <w:rPr>
          <w:color w:val="0000FF"/>
          <w:w w:val="105"/>
          <w:sz w:val="16"/>
        </w:rPr>
        <w:t> </w:t>
      </w:r>
      <w:hyperlink r:id="rId63">
        <w:r>
          <w:rPr>
            <w:color w:val="0000FF"/>
            <w:w w:val="105"/>
            <w:sz w:val="16"/>
            <w:u w:val="single" w:color="0000FF"/>
          </w:rPr>
          <w:t>the April 29, 2014 Annual Meeting of Shareholders).</w:t>
        </w:r>
      </w:hyperlink>
    </w:p>
    <w:p>
      <w:pPr>
        <w:pStyle w:val="ListParagraph"/>
        <w:numPr>
          <w:ilvl w:val="1"/>
          <w:numId w:val="25"/>
        </w:numPr>
        <w:tabs>
          <w:tab w:pos="1659" w:val="left" w:leader="none"/>
        </w:tabs>
        <w:spacing w:line="266" w:lineRule="auto" w:before="0" w:after="0"/>
        <w:ind w:left="1659" w:right="212" w:hanging="1032"/>
        <w:jc w:val="left"/>
        <w:rPr>
          <w:sz w:val="16"/>
        </w:rPr>
      </w:pPr>
      <w:hyperlink r:id="rId64">
        <w:r>
          <w:rPr>
            <w:color w:val="0000FF"/>
            <w:w w:val="105"/>
            <w:sz w:val="16"/>
            <w:u w:val="single" w:color="0000FF"/>
          </w:rPr>
          <w:t>Form</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Incentive</w:t>
        </w:r>
        <w:r>
          <w:rPr>
            <w:color w:val="0000FF"/>
            <w:spacing w:val="-9"/>
            <w:w w:val="105"/>
            <w:sz w:val="16"/>
            <w:u w:val="single" w:color="0000FF"/>
          </w:rPr>
          <w:t> </w:t>
        </w:r>
        <w:r>
          <w:rPr>
            <w:color w:val="0000FF"/>
            <w:w w:val="105"/>
            <w:sz w:val="16"/>
            <w:u w:val="single" w:color="0000FF"/>
          </w:rPr>
          <w:t>Stock</w:t>
        </w:r>
        <w:r>
          <w:rPr>
            <w:color w:val="0000FF"/>
            <w:spacing w:val="-9"/>
            <w:w w:val="105"/>
            <w:sz w:val="16"/>
            <w:u w:val="single" w:color="0000FF"/>
          </w:rPr>
          <w:t> </w:t>
        </w:r>
        <w:r>
          <w:rPr>
            <w:color w:val="0000FF"/>
            <w:w w:val="105"/>
            <w:sz w:val="16"/>
            <w:u w:val="single" w:color="0000FF"/>
          </w:rPr>
          <w:t>Rights</w:t>
        </w:r>
        <w:r>
          <w:rPr>
            <w:color w:val="0000FF"/>
            <w:spacing w:val="-9"/>
            <w:w w:val="105"/>
            <w:sz w:val="16"/>
            <w:u w:val="single" w:color="0000FF"/>
          </w:rPr>
          <w:t> </w:t>
        </w:r>
        <w:r>
          <w:rPr>
            <w:color w:val="0000FF"/>
            <w:w w:val="105"/>
            <w:sz w:val="16"/>
            <w:u w:val="single" w:color="0000FF"/>
          </w:rPr>
          <w:t>Agreement,</w:t>
        </w:r>
        <w:r>
          <w:rPr>
            <w:color w:val="0000FF"/>
            <w:spacing w:val="-9"/>
            <w:w w:val="105"/>
            <w:sz w:val="16"/>
            <w:u w:val="single" w:color="0000FF"/>
          </w:rPr>
          <w:t> </w:t>
        </w:r>
        <w:r>
          <w:rPr>
            <w:color w:val="0000FF"/>
            <w:w w:val="105"/>
            <w:sz w:val="16"/>
            <w:u w:val="single" w:color="0000FF"/>
          </w:rPr>
          <w:t>effective</w:t>
        </w:r>
        <w:r>
          <w:rPr>
            <w:color w:val="0000FF"/>
            <w:spacing w:val="-9"/>
            <w:w w:val="105"/>
            <w:sz w:val="16"/>
            <w:u w:val="single" w:color="0000FF"/>
          </w:rPr>
          <w:t> </w:t>
        </w:r>
        <w:r>
          <w:rPr>
            <w:color w:val="0000FF"/>
            <w:w w:val="105"/>
            <w:sz w:val="16"/>
            <w:u w:val="single" w:color="0000FF"/>
          </w:rPr>
          <w:t>January</w:t>
        </w:r>
        <w:r>
          <w:rPr>
            <w:color w:val="0000FF"/>
            <w:spacing w:val="-9"/>
            <w:w w:val="105"/>
            <w:sz w:val="16"/>
            <w:u w:val="single" w:color="0000FF"/>
          </w:rPr>
          <w:t> </w:t>
        </w:r>
        <w:r>
          <w:rPr>
            <w:color w:val="0000FF"/>
            <w:w w:val="105"/>
            <w:sz w:val="16"/>
            <w:u w:val="single" w:color="0000FF"/>
          </w:rPr>
          <w:t>1,</w:t>
        </w:r>
        <w:r>
          <w:rPr>
            <w:color w:val="0000FF"/>
            <w:spacing w:val="-9"/>
            <w:w w:val="105"/>
            <w:sz w:val="16"/>
            <w:u w:val="single" w:color="0000FF"/>
          </w:rPr>
          <w:t> </w:t>
        </w:r>
        <w:r>
          <w:rPr>
            <w:color w:val="0000FF"/>
            <w:w w:val="105"/>
            <w:sz w:val="16"/>
            <w:u w:val="single" w:color="0000FF"/>
          </w:rPr>
          <w:t>2015</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10.64</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hyperlink>
      <w:r>
        <w:rPr>
          <w:color w:val="0000FF"/>
          <w:w w:val="105"/>
          <w:sz w:val="16"/>
        </w:rPr>
        <w:t> </w:t>
      </w:r>
      <w:hyperlink r:id="rId64">
        <w:r>
          <w:rPr>
            <w:color w:val="0000FF"/>
            <w:w w:val="105"/>
            <w:sz w:val="16"/>
            <w:u w:val="single" w:color="0000FF"/>
          </w:rPr>
          <w:t>Form 10-K filed February 13, 2015).</w:t>
        </w:r>
      </w:hyperlink>
    </w:p>
    <w:p>
      <w:pPr>
        <w:pStyle w:val="ListParagraph"/>
        <w:numPr>
          <w:ilvl w:val="1"/>
          <w:numId w:val="25"/>
        </w:numPr>
        <w:tabs>
          <w:tab w:pos="1659" w:val="left" w:leader="none"/>
        </w:tabs>
        <w:spacing w:line="266" w:lineRule="auto" w:before="0" w:after="0"/>
        <w:ind w:left="1659" w:right="166" w:hanging="1032"/>
        <w:jc w:val="left"/>
        <w:rPr>
          <w:sz w:val="16"/>
        </w:rPr>
      </w:pPr>
      <w:hyperlink r:id="rId65">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Cash</w:t>
        </w:r>
        <w:r>
          <w:rPr>
            <w:color w:val="0000FF"/>
            <w:spacing w:val="-10"/>
            <w:w w:val="105"/>
            <w:sz w:val="16"/>
            <w:u w:val="single" w:color="0000FF"/>
          </w:rPr>
          <w:t> </w:t>
        </w:r>
        <w:r>
          <w:rPr>
            <w:color w:val="0000FF"/>
            <w:w w:val="105"/>
            <w:sz w:val="16"/>
            <w:u w:val="single" w:color="0000FF"/>
          </w:rPr>
          <w:t>Performance</w:t>
        </w:r>
        <w:r>
          <w:rPr>
            <w:color w:val="0000FF"/>
            <w:spacing w:val="-10"/>
            <w:w w:val="105"/>
            <w:sz w:val="16"/>
            <w:u w:val="single" w:color="0000FF"/>
          </w:rPr>
          <w:t> </w:t>
        </w:r>
        <w:r>
          <w:rPr>
            <w:color w:val="0000FF"/>
            <w:w w:val="105"/>
            <w:sz w:val="16"/>
            <w:u w:val="single" w:color="0000FF"/>
          </w:rPr>
          <w:t>Unit</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January</w:t>
        </w:r>
        <w:r>
          <w:rPr>
            <w:color w:val="0000FF"/>
            <w:spacing w:val="-10"/>
            <w:w w:val="105"/>
            <w:sz w:val="16"/>
            <w:u w:val="single" w:color="0000FF"/>
          </w:rPr>
          <w:t> </w:t>
        </w:r>
        <w:r>
          <w:rPr>
            <w:color w:val="0000FF"/>
            <w:w w:val="105"/>
            <w:sz w:val="16"/>
            <w:u w:val="single" w:color="0000FF"/>
          </w:rPr>
          <w:t>1,</w:t>
        </w:r>
        <w:r>
          <w:rPr>
            <w:color w:val="0000FF"/>
            <w:spacing w:val="-10"/>
            <w:w w:val="105"/>
            <w:sz w:val="16"/>
            <w:u w:val="single" w:color="0000FF"/>
          </w:rPr>
          <w:t> </w:t>
        </w:r>
        <w:r>
          <w:rPr>
            <w:color w:val="0000FF"/>
            <w:w w:val="105"/>
            <w:sz w:val="16"/>
            <w:u w:val="single" w:color="0000FF"/>
          </w:rPr>
          <w:t>2015</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10.65</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Corning’s</w:t>
        </w:r>
      </w:hyperlink>
      <w:r>
        <w:rPr>
          <w:color w:val="0000FF"/>
          <w:w w:val="105"/>
          <w:sz w:val="16"/>
        </w:rPr>
        <w:t> </w:t>
      </w:r>
      <w:hyperlink r:id="rId65">
        <w:r>
          <w:rPr>
            <w:color w:val="0000FF"/>
            <w:w w:val="105"/>
            <w:sz w:val="16"/>
            <w:u w:val="single" w:color="0000FF"/>
          </w:rPr>
          <w:t>Form 10-K filed February 13, 2015).</w:t>
        </w:r>
      </w:hyperlink>
    </w:p>
    <w:p>
      <w:pPr>
        <w:pStyle w:val="ListParagraph"/>
        <w:numPr>
          <w:ilvl w:val="1"/>
          <w:numId w:val="25"/>
        </w:numPr>
        <w:tabs>
          <w:tab w:pos="1659" w:val="left" w:leader="none"/>
        </w:tabs>
        <w:spacing w:line="266" w:lineRule="auto" w:before="0" w:after="0"/>
        <w:ind w:left="1659" w:right="585" w:hanging="1032"/>
        <w:jc w:val="left"/>
        <w:rPr>
          <w:sz w:val="16"/>
        </w:rPr>
      </w:pPr>
      <w:hyperlink r:id="rId66">
        <w:r>
          <w:rPr>
            <w:color w:val="0000FF"/>
            <w:w w:val="105"/>
            <w:sz w:val="16"/>
            <w:u w:val="single" w:color="0000FF"/>
          </w:rPr>
          <w:t>Form</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Officer</w:t>
        </w:r>
        <w:r>
          <w:rPr>
            <w:color w:val="0000FF"/>
            <w:spacing w:val="-8"/>
            <w:w w:val="105"/>
            <w:sz w:val="16"/>
            <w:u w:val="single" w:color="0000FF"/>
          </w:rPr>
          <w:t> </w:t>
        </w:r>
        <w:r>
          <w:rPr>
            <w:color w:val="0000FF"/>
            <w:w w:val="105"/>
            <w:sz w:val="16"/>
            <w:u w:val="single" w:color="0000FF"/>
          </w:rPr>
          <w:t>Severance</w:t>
        </w:r>
        <w:r>
          <w:rPr>
            <w:color w:val="0000FF"/>
            <w:spacing w:val="-8"/>
            <w:w w:val="105"/>
            <w:sz w:val="16"/>
            <w:u w:val="single" w:color="0000FF"/>
          </w:rPr>
          <w:t> </w:t>
        </w:r>
        <w:r>
          <w:rPr>
            <w:color w:val="0000FF"/>
            <w:w w:val="105"/>
            <w:sz w:val="16"/>
            <w:u w:val="single" w:color="0000FF"/>
          </w:rPr>
          <w:t>Agreement</w:t>
        </w:r>
        <w:r>
          <w:rPr>
            <w:color w:val="0000FF"/>
            <w:spacing w:val="-8"/>
            <w:w w:val="105"/>
            <w:sz w:val="16"/>
            <w:u w:val="single" w:color="0000FF"/>
          </w:rPr>
          <w:t> </w:t>
        </w:r>
        <w:r>
          <w:rPr>
            <w:color w:val="0000FF"/>
            <w:w w:val="105"/>
            <w:sz w:val="16"/>
            <w:u w:val="single" w:color="0000FF"/>
          </w:rPr>
          <w:t>dated</w:t>
        </w:r>
        <w:r>
          <w:rPr>
            <w:color w:val="0000FF"/>
            <w:spacing w:val="-8"/>
            <w:w w:val="105"/>
            <w:sz w:val="16"/>
            <w:u w:val="single" w:color="0000FF"/>
          </w:rPr>
          <w:t> </w:t>
        </w:r>
        <w:r>
          <w:rPr>
            <w:color w:val="0000FF"/>
            <w:w w:val="105"/>
            <w:sz w:val="16"/>
            <w:u w:val="single" w:color="0000FF"/>
          </w:rPr>
          <w:t>as</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January</w:t>
        </w:r>
        <w:r>
          <w:rPr>
            <w:color w:val="0000FF"/>
            <w:spacing w:val="-8"/>
            <w:w w:val="105"/>
            <w:sz w:val="16"/>
            <w:u w:val="single" w:color="0000FF"/>
          </w:rPr>
          <w:t> </w:t>
        </w:r>
        <w:r>
          <w:rPr>
            <w:color w:val="0000FF"/>
            <w:w w:val="105"/>
            <w:sz w:val="16"/>
            <w:u w:val="single" w:color="0000FF"/>
          </w:rPr>
          <w:t>1,</w:t>
        </w:r>
        <w:r>
          <w:rPr>
            <w:color w:val="0000FF"/>
            <w:spacing w:val="-8"/>
            <w:w w:val="105"/>
            <w:sz w:val="16"/>
            <w:u w:val="single" w:color="0000FF"/>
          </w:rPr>
          <w:t> </w:t>
        </w:r>
        <w:r>
          <w:rPr>
            <w:color w:val="0000FF"/>
            <w:w w:val="105"/>
            <w:sz w:val="16"/>
            <w:u w:val="single" w:color="0000FF"/>
          </w:rPr>
          <w:t>2015</w:t>
        </w:r>
        <w:r>
          <w:rPr>
            <w:color w:val="0000FF"/>
            <w:spacing w:val="-8"/>
            <w:w w:val="105"/>
            <w:sz w:val="16"/>
            <w:u w:val="single" w:color="0000FF"/>
          </w:rPr>
          <w:t> </w:t>
        </w:r>
        <w:r>
          <w:rPr>
            <w:color w:val="0000FF"/>
            <w:w w:val="105"/>
            <w:sz w:val="16"/>
            <w:u w:val="single" w:color="0000FF"/>
          </w:rPr>
          <w:t>between</w:t>
        </w:r>
        <w:r>
          <w:rPr>
            <w:color w:val="0000FF"/>
            <w:spacing w:val="-8"/>
            <w:w w:val="105"/>
            <w:sz w:val="16"/>
            <w:u w:val="single" w:color="0000FF"/>
          </w:rPr>
          <w:t> </w:t>
        </w:r>
        <w:r>
          <w:rPr>
            <w:color w:val="0000FF"/>
            <w:w w:val="105"/>
            <w:sz w:val="16"/>
            <w:u w:val="single" w:color="0000FF"/>
          </w:rPr>
          <w:t>Corning</w:t>
        </w:r>
        <w:r>
          <w:rPr>
            <w:color w:val="0000FF"/>
            <w:spacing w:val="-8"/>
            <w:w w:val="105"/>
            <w:sz w:val="16"/>
            <w:u w:val="single" w:color="0000FF"/>
          </w:rPr>
          <w:t> </w:t>
        </w:r>
        <w:r>
          <w:rPr>
            <w:color w:val="0000FF"/>
            <w:w w:val="105"/>
            <w:sz w:val="16"/>
            <w:u w:val="single" w:color="0000FF"/>
          </w:rPr>
          <w:t>Incorporated</w:t>
        </w:r>
        <w:r>
          <w:rPr>
            <w:color w:val="0000FF"/>
            <w:spacing w:val="-8"/>
            <w:w w:val="105"/>
            <w:sz w:val="16"/>
            <w:u w:val="single" w:color="0000FF"/>
          </w:rPr>
          <w:t> </w:t>
        </w:r>
        <w:r>
          <w:rPr>
            <w:color w:val="0000FF"/>
            <w:w w:val="105"/>
            <w:sz w:val="16"/>
            <w:u w:val="single" w:color="0000FF"/>
          </w:rPr>
          <w:t>and</w:t>
        </w:r>
        <w:r>
          <w:rPr>
            <w:color w:val="0000FF"/>
            <w:spacing w:val="-8"/>
            <w:w w:val="105"/>
            <w:sz w:val="16"/>
            <w:u w:val="single" w:color="0000FF"/>
          </w:rPr>
          <w:t> </w:t>
        </w:r>
        <w:r>
          <w:rPr>
            <w:color w:val="0000FF"/>
            <w:w w:val="105"/>
            <w:sz w:val="16"/>
            <w:u w:val="single" w:color="0000FF"/>
          </w:rPr>
          <w:t>each</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the</w:t>
        </w:r>
        <w:r>
          <w:rPr>
            <w:color w:val="0000FF"/>
            <w:spacing w:val="-8"/>
            <w:w w:val="105"/>
            <w:sz w:val="16"/>
            <w:u w:val="single" w:color="0000FF"/>
          </w:rPr>
          <w:t> </w:t>
        </w:r>
        <w:r>
          <w:rPr>
            <w:color w:val="0000FF"/>
            <w:w w:val="105"/>
            <w:sz w:val="16"/>
            <w:u w:val="single" w:color="0000FF"/>
          </w:rPr>
          <w:t>following</w:t>
        </w:r>
        <w:r>
          <w:rPr>
            <w:color w:val="0000FF"/>
            <w:spacing w:val="-8"/>
            <w:w w:val="105"/>
            <w:sz w:val="16"/>
            <w:u w:val="single" w:color="0000FF"/>
          </w:rPr>
          <w:t> </w:t>
        </w:r>
        <w:r>
          <w:rPr>
            <w:color w:val="0000FF"/>
            <w:w w:val="105"/>
            <w:sz w:val="16"/>
            <w:u w:val="single" w:color="0000FF"/>
          </w:rPr>
          <w:t>individuals:</w:t>
        </w:r>
        <w:r>
          <w:rPr>
            <w:color w:val="0000FF"/>
            <w:spacing w:val="-8"/>
            <w:w w:val="105"/>
            <w:sz w:val="16"/>
            <w:u w:val="single" w:color="0000FF"/>
          </w:rPr>
          <w:t> </w:t>
        </w:r>
        <w:r>
          <w:rPr>
            <w:color w:val="0000FF"/>
            <w:w w:val="105"/>
            <w:sz w:val="16"/>
            <w:u w:val="single" w:color="0000FF"/>
          </w:rPr>
          <w:t>Eric</w:t>
        </w:r>
        <w:r>
          <w:rPr>
            <w:color w:val="0000FF"/>
            <w:spacing w:val="-8"/>
            <w:w w:val="105"/>
            <w:sz w:val="16"/>
            <w:u w:val="single" w:color="0000FF"/>
          </w:rPr>
          <w:t> </w:t>
        </w:r>
        <w:r>
          <w:rPr>
            <w:color w:val="0000FF"/>
            <w:w w:val="105"/>
            <w:sz w:val="16"/>
            <w:u w:val="single" w:color="0000FF"/>
          </w:rPr>
          <w:t>S.</w:t>
        </w:r>
      </w:hyperlink>
      <w:r>
        <w:rPr>
          <w:color w:val="0000FF"/>
          <w:w w:val="105"/>
          <w:sz w:val="16"/>
        </w:rPr>
        <w:t> </w:t>
      </w:r>
      <w:hyperlink r:id="rId66">
        <w:r>
          <w:rPr>
            <w:color w:val="0000FF"/>
            <w:w w:val="105"/>
            <w:sz w:val="16"/>
            <w:u w:val="single" w:color="0000FF"/>
          </w:rPr>
          <w:t>Musser;</w:t>
        </w:r>
        <w:r>
          <w:rPr>
            <w:color w:val="0000FF"/>
            <w:spacing w:val="-1"/>
            <w:w w:val="105"/>
            <w:sz w:val="16"/>
            <w:u w:val="single" w:color="0000FF"/>
          </w:rPr>
          <w:t> </w:t>
        </w:r>
        <w:r>
          <w:rPr>
            <w:color w:val="0000FF"/>
            <w:w w:val="105"/>
            <w:sz w:val="16"/>
            <w:u w:val="single" w:color="0000FF"/>
          </w:rPr>
          <w:t>Lewis</w:t>
        </w:r>
        <w:r>
          <w:rPr>
            <w:color w:val="0000FF"/>
            <w:spacing w:val="-1"/>
            <w:w w:val="105"/>
            <w:sz w:val="16"/>
            <w:u w:val="single" w:color="0000FF"/>
          </w:rPr>
          <w:t> </w:t>
        </w:r>
        <w:r>
          <w:rPr>
            <w:color w:val="0000FF"/>
            <w:w w:val="105"/>
            <w:sz w:val="16"/>
            <w:u w:val="single" w:color="0000FF"/>
          </w:rPr>
          <w:t>A.</w:t>
        </w:r>
        <w:r>
          <w:rPr>
            <w:color w:val="0000FF"/>
            <w:spacing w:val="-1"/>
            <w:w w:val="105"/>
            <w:sz w:val="16"/>
            <w:u w:val="single" w:color="0000FF"/>
          </w:rPr>
          <w:t> </w:t>
        </w:r>
        <w:r>
          <w:rPr>
            <w:color w:val="0000FF"/>
            <w:w w:val="105"/>
            <w:sz w:val="16"/>
            <w:u w:val="single" w:color="0000FF"/>
          </w:rPr>
          <w:t>Steverson</w:t>
        </w:r>
        <w:r>
          <w:rPr>
            <w:color w:val="0000FF"/>
            <w:spacing w:val="-1"/>
            <w:w w:val="105"/>
            <w:sz w:val="16"/>
            <w:u w:val="single" w:color="0000FF"/>
          </w:rPr>
          <w:t> </w:t>
        </w:r>
        <w:r>
          <w:rPr>
            <w:color w:val="0000FF"/>
            <w:w w:val="105"/>
            <w:sz w:val="16"/>
            <w:u w:val="single" w:color="0000FF"/>
          </w:rPr>
          <w:t>and</w:t>
        </w:r>
        <w:r>
          <w:rPr>
            <w:color w:val="0000FF"/>
            <w:spacing w:val="-1"/>
            <w:w w:val="105"/>
            <w:sz w:val="16"/>
            <w:u w:val="single" w:color="0000FF"/>
          </w:rPr>
          <w:t> </w:t>
        </w:r>
        <w:r>
          <w:rPr>
            <w:color w:val="0000FF"/>
            <w:w w:val="105"/>
            <w:sz w:val="16"/>
            <w:u w:val="single" w:color="0000FF"/>
          </w:rPr>
          <w:t>R.</w:t>
        </w:r>
        <w:r>
          <w:rPr>
            <w:color w:val="0000FF"/>
            <w:spacing w:val="-1"/>
            <w:w w:val="105"/>
            <w:sz w:val="16"/>
            <w:u w:val="single" w:color="0000FF"/>
          </w:rPr>
          <w:t> </w:t>
        </w:r>
        <w:r>
          <w:rPr>
            <w:color w:val="0000FF"/>
            <w:w w:val="105"/>
            <w:sz w:val="16"/>
            <w:u w:val="single" w:color="0000FF"/>
          </w:rPr>
          <w:t>Tony</w:t>
        </w:r>
        <w:r>
          <w:rPr>
            <w:color w:val="0000FF"/>
            <w:spacing w:val="-1"/>
            <w:w w:val="105"/>
            <w:sz w:val="16"/>
            <w:u w:val="single" w:color="0000FF"/>
          </w:rPr>
          <w:t> </w:t>
        </w:r>
        <w:r>
          <w:rPr>
            <w:color w:val="0000FF"/>
            <w:w w:val="105"/>
            <w:sz w:val="16"/>
            <w:u w:val="single" w:color="0000FF"/>
          </w:rPr>
          <w:t>Tripeny</w:t>
        </w:r>
        <w:r>
          <w:rPr>
            <w:color w:val="0000FF"/>
            <w:spacing w:val="-1"/>
            <w:w w:val="105"/>
            <w:sz w:val="16"/>
            <w:u w:val="single" w:color="0000FF"/>
          </w:rPr>
          <w:t> </w:t>
        </w:r>
        <w:r>
          <w:rPr>
            <w:color w:val="0000FF"/>
            <w:w w:val="105"/>
            <w:sz w:val="16"/>
            <w:u w:val="single" w:color="0000FF"/>
          </w:rPr>
          <w:t>(Incorporated</w:t>
        </w:r>
        <w:r>
          <w:rPr>
            <w:color w:val="0000FF"/>
            <w:spacing w:val="-1"/>
            <w:w w:val="105"/>
            <w:sz w:val="16"/>
            <w:u w:val="single" w:color="0000FF"/>
          </w:rPr>
          <w:t> </w:t>
        </w:r>
        <w:r>
          <w:rPr>
            <w:color w:val="0000FF"/>
            <w:w w:val="105"/>
            <w:sz w:val="16"/>
            <w:u w:val="single" w:color="0000FF"/>
          </w:rPr>
          <w:t>by</w:t>
        </w:r>
        <w:r>
          <w:rPr>
            <w:color w:val="0000FF"/>
            <w:spacing w:val="-1"/>
            <w:w w:val="105"/>
            <w:sz w:val="16"/>
            <w:u w:val="single" w:color="0000FF"/>
          </w:rPr>
          <w:t> </w:t>
        </w:r>
        <w:r>
          <w:rPr>
            <w:color w:val="0000FF"/>
            <w:w w:val="105"/>
            <w:sz w:val="16"/>
            <w:u w:val="single" w:color="0000FF"/>
          </w:rPr>
          <w:t>reference to</w:t>
        </w:r>
        <w:r>
          <w:rPr>
            <w:color w:val="0000FF"/>
            <w:spacing w:val="-1"/>
            <w:w w:val="105"/>
            <w:sz w:val="16"/>
            <w:u w:val="single" w:color="0000FF"/>
          </w:rPr>
          <w:t> </w:t>
        </w:r>
        <w:r>
          <w:rPr>
            <w:color w:val="0000FF"/>
            <w:w w:val="105"/>
            <w:sz w:val="16"/>
            <w:u w:val="single" w:color="0000FF"/>
          </w:rPr>
          <w:t>Exhibit</w:t>
        </w:r>
        <w:r>
          <w:rPr>
            <w:color w:val="0000FF"/>
            <w:spacing w:val="-1"/>
            <w:w w:val="105"/>
            <w:sz w:val="16"/>
            <w:u w:val="single" w:color="0000FF"/>
          </w:rPr>
          <w:t> </w:t>
        </w:r>
        <w:r>
          <w:rPr>
            <w:color w:val="0000FF"/>
            <w:w w:val="105"/>
            <w:sz w:val="16"/>
            <w:u w:val="single" w:color="0000FF"/>
          </w:rPr>
          <w:t>10.1</w:t>
        </w:r>
        <w:r>
          <w:rPr>
            <w:color w:val="0000FF"/>
            <w:spacing w:val="-1"/>
            <w:w w:val="105"/>
            <w:sz w:val="16"/>
            <w:u w:val="single" w:color="0000FF"/>
          </w:rPr>
          <w:t> </w:t>
        </w:r>
        <w:r>
          <w:rPr>
            <w:color w:val="0000FF"/>
            <w:w w:val="105"/>
            <w:sz w:val="16"/>
            <w:u w:val="single" w:color="0000FF"/>
          </w:rPr>
          <w:t>of</w:t>
        </w:r>
        <w:r>
          <w:rPr>
            <w:color w:val="0000FF"/>
            <w:spacing w:val="-1"/>
            <w:w w:val="105"/>
            <w:sz w:val="16"/>
            <w:u w:val="single" w:color="0000FF"/>
          </w:rPr>
          <w:t> </w:t>
        </w:r>
        <w:r>
          <w:rPr>
            <w:color w:val="0000FF"/>
            <w:w w:val="105"/>
            <w:sz w:val="16"/>
            <w:u w:val="single" w:color="0000FF"/>
          </w:rPr>
          <w:t>Corning’s</w:t>
        </w:r>
        <w:r>
          <w:rPr>
            <w:color w:val="0000FF"/>
            <w:spacing w:val="-1"/>
            <w:w w:val="105"/>
            <w:sz w:val="16"/>
            <w:u w:val="single" w:color="0000FF"/>
          </w:rPr>
          <w:t> </w:t>
        </w:r>
        <w:r>
          <w:rPr>
            <w:color w:val="0000FF"/>
            <w:w w:val="105"/>
            <w:sz w:val="16"/>
            <w:u w:val="single" w:color="0000FF"/>
          </w:rPr>
          <w:t>Form</w:t>
        </w:r>
        <w:r>
          <w:rPr>
            <w:color w:val="0000FF"/>
            <w:spacing w:val="-1"/>
            <w:w w:val="105"/>
            <w:sz w:val="16"/>
            <w:u w:val="single" w:color="0000FF"/>
          </w:rPr>
          <w:t> </w:t>
        </w:r>
        <w:r>
          <w:rPr>
            <w:color w:val="0000FF"/>
            <w:w w:val="105"/>
            <w:sz w:val="16"/>
            <w:u w:val="single" w:color="0000FF"/>
          </w:rPr>
          <w:t>10-Q</w:t>
        </w:r>
        <w:r>
          <w:rPr>
            <w:color w:val="0000FF"/>
            <w:spacing w:val="-1"/>
            <w:w w:val="105"/>
            <w:sz w:val="16"/>
            <w:u w:val="single" w:color="0000FF"/>
          </w:rPr>
          <w:t> </w:t>
        </w:r>
        <w:r>
          <w:rPr>
            <w:color w:val="0000FF"/>
            <w:w w:val="105"/>
            <w:sz w:val="16"/>
            <w:u w:val="single" w:color="0000FF"/>
          </w:rPr>
          <w:t>filed</w:t>
        </w:r>
        <w:r>
          <w:rPr>
            <w:color w:val="0000FF"/>
            <w:spacing w:val="-1"/>
            <w:w w:val="105"/>
            <w:sz w:val="16"/>
            <w:u w:val="single" w:color="0000FF"/>
          </w:rPr>
          <w:t> </w:t>
        </w:r>
        <w:r>
          <w:rPr>
            <w:color w:val="0000FF"/>
            <w:w w:val="105"/>
            <w:sz w:val="16"/>
            <w:u w:val="single" w:color="0000FF"/>
          </w:rPr>
          <w:t>July</w:t>
        </w:r>
        <w:r>
          <w:rPr>
            <w:color w:val="0000FF"/>
            <w:spacing w:val="-1"/>
            <w:w w:val="105"/>
            <w:sz w:val="16"/>
            <w:u w:val="single" w:color="0000FF"/>
          </w:rPr>
          <w:t> </w:t>
        </w:r>
        <w:r>
          <w:rPr>
            <w:color w:val="0000FF"/>
            <w:w w:val="105"/>
            <w:sz w:val="16"/>
            <w:u w:val="single" w:color="0000FF"/>
          </w:rPr>
          <w:t>30,</w:t>
        </w:r>
        <w:r>
          <w:rPr>
            <w:color w:val="0000FF"/>
            <w:spacing w:val="-1"/>
            <w:w w:val="105"/>
            <w:sz w:val="16"/>
            <w:u w:val="single" w:color="0000FF"/>
          </w:rPr>
          <w:t> </w:t>
        </w:r>
        <w:r>
          <w:rPr>
            <w:color w:val="0000FF"/>
            <w:w w:val="105"/>
            <w:sz w:val="16"/>
            <w:u w:val="single" w:color="0000FF"/>
          </w:rPr>
          <w:t>2015).</w:t>
        </w:r>
      </w:hyperlink>
    </w:p>
    <w:p>
      <w:pPr>
        <w:pStyle w:val="ListParagraph"/>
        <w:numPr>
          <w:ilvl w:val="1"/>
          <w:numId w:val="25"/>
        </w:numPr>
        <w:tabs>
          <w:tab w:pos="1659" w:val="left" w:leader="none"/>
        </w:tabs>
        <w:spacing w:line="266" w:lineRule="auto" w:before="0" w:after="0"/>
        <w:ind w:left="1659" w:right="563" w:hanging="1032"/>
        <w:jc w:val="left"/>
        <w:rPr>
          <w:sz w:val="16"/>
        </w:rPr>
      </w:pPr>
      <w:hyperlink r:id="rId67">
        <w:r>
          <w:rPr>
            <w:color w:val="0000FF"/>
            <w:w w:val="105"/>
            <w:sz w:val="16"/>
            <w:u w:val="single" w:color="0000FF"/>
          </w:rPr>
          <w:t>Form</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Change</w:t>
        </w:r>
        <w:r>
          <w:rPr>
            <w:color w:val="0000FF"/>
            <w:spacing w:val="-8"/>
            <w:w w:val="105"/>
            <w:sz w:val="16"/>
            <w:u w:val="single" w:color="0000FF"/>
          </w:rPr>
          <w:t> </w:t>
        </w:r>
        <w:r>
          <w:rPr>
            <w:color w:val="0000FF"/>
            <w:w w:val="105"/>
            <w:sz w:val="16"/>
            <w:u w:val="single" w:color="0000FF"/>
          </w:rPr>
          <w:t>in</w:t>
        </w:r>
        <w:r>
          <w:rPr>
            <w:color w:val="0000FF"/>
            <w:spacing w:val="-8"/>
            <w:w w:val="105"/>
            <w:sz w:val="16"/>
            <w:u w:val="single" w:color="0000FF"/>
          </w:rPr>
          <w:t> </w:t>
        </w:r>
        <w:r>
          <w:rPr>
            <w:color w:val="0000FF"/>
            <w:w w:val="105"/>
            <w:sz w:val="16"/>
            <w:u w:val="single" w:color="0000FF"/>
          </w:rPr>
          <w:t>Control</w:t>
        </w:r>
        <w:r>
          <w:rPr>
            <w:color w:val="0000FF"/>
            <w:spacing w:val="-8"/>
            <w:w w:val="105"/>
            <w:sz w:val="16"/>
            <w:u w:val="single" w:color="0000FF"/>
          </w:rPr>
          <w:t> </w:t>
        </w:r>
        <w:r>
          <w:rPr>
            <w:color w:val="0000FF"/>
            <w:w w:val="105"/>
            <w:sz w:val="16"/>
            <w:u w:val="single" w:color="0000FF"/>
          </w:rPr>
          <w:t>Agreement</w:t>
        </w:r>
        <w:r>
          <w:rPr>
            <w:color w:val="0000FF"/>
            <w:spacing w:val="-8"/>
            <w:w w:val="105"/>
            <w:sz w:val="16"/>
            <w:u w:val="single" w:color="0000FF"/>
          </w:rPr>
          <w:t> </w:t>
        </w:r>
        <w:r>
          <w:rPr>
            <w:color w:val="0000FF"/>
            <w:w w:val="105"/>
            <w:sz w:val="16"/>
            <w:u w:val="single" w:color="0000FF"/>
          </w:rPr>
          <w:t>dated</w:t>
        </w:r>
        <w:r>
          <w:rPr>
            <w:color w:val="0000FF"/>
            <w:spacing w:val="-8"/>
            <w:w w:val="105"/>
            <w:sz w:val="16"/>
            <w:u w:val="single" w:color="0000FF"/>
          </w:rPr>
          <w:t> </w:t>
        </w:r>
        <w:r>
          <w:rPr>
            <w:color w:val="0000FF"/>
            <w:w w:val="105"/>
            <w:sz w:val="16"/>
            <w:u w:val="single" w:color="0000FF"/>
          </w:rPr>
          <w:t>as</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January</w:t>
        </w:r>
        <w:r>
          <w:rPr>
            <w:color w:val="0000FF"/>
            <w:spacing w:val="-8"/>
            <w:w w:val="105"/>
            <w:sz w:val="16"/>
            <w:u w:val="single" w:color="0000FF"/>
          </w:rPr>
          <w:t> </w:t>
        </w:r>
        <w:r>
          <w:rPr>
            <w:color w:val="0000FF"/>
            <w:w w:val="105"/>
            <w:sz w:val="16"/>
            <w:u w:val="single" w:color="0000FF"/>
          </w:rPr>
          <w:t>1,</w:t>
        </w:r>
        <w:r>
          <w:rPr>
            <w:color w:val="0000FF"/>
            <w:spacing w:val="-8"/>
            <w:w w:val="105"/>
            <w:sz w:val="16"/>
            <w:u w:val="single" w:color="0000FF"/>
          </w:rPr>
          <w:t> </w:t>
        </w:r>
        <w:r>
          <w:rPr>
            <w:color w:val="0000FF"/>
            <w:w w:val="105"/>
            <w:sz w:val="16"/>
            <w:u w:val="single" w:color="0000FF"/>
          </w:rPr>
          <w:t>2015</w:t>
        </w:r>
        <w:r>
          <w:rPr>
            <w:color w:val="0000FF"/>
            <w:spacing w:val="-8"/>
            <w:w w:val="105"/>
            <w:sz w:val="16"/>
            <w:u w:val="single" w:color="0000FF"/>
          </w:rPr>
          <w:t> </w:t>
        </w:r>
        <w:r>
          <w:rPr>
            <w:color w:val="0000FF"/>
            <w:w w:val="105"/>
            <w:sz w:val="16"/>
            <w:u w:val="single" w:color="0000FF"/>
          </w:rPr>
          <w:t>between</w:t>
        </w:r>
        <w:r>
          <w:rPr>
            <w:color w:val="0000FF"/>
            <w:spacing w:val="-8"/>
            <w:w w:val="105"/>
            <w:sz w:val="16"/>
            <w:u w:val="single" w:color="0000FF"/>
          </w:rPr>
          <w:t> </w:t>
        </w:r>
        <w:r>
          <w:rPr>
            <w:color w:val="0000FF"/>
            <w:w w:val="105"/>
            <w:sz w:val="16"/>
            <w:u w:val="single" w:color="0000FF"/>
          </w:rPr>
          <w:t>Corning</w:t>
        </w:r>
        <w:r>
          <w:rPr>
            <w:color w:val="0000FF"/>
            <w:spacing w:val="-8"/>
            <w:w w:val="105"/>
            <w:sz w:val="16"/>
            <w:u w:val="single" w:color="0000FF"/>
          </w:rPr>
          <w:t> </w:t>
        </w:r>
        <w:r>
          <w:rPr>
            <w:color w:val="0000FF"/>
            <w:w w:val="105"/>
            <w:sz w:val="16"/>
            <w:u w:val="single" w:color="0000FF"/>
          </w:rPr>
          <w:t>Incorporated</w:t>
        </w:r>
        <w:r>
          <w:rPr>
            <w:color w:val="0000FF"/>
            <w:spacing w:val="-8"/>
            <w:w w:val="105"/>
            <w:sz w:val="16"/>
            <w:u w:val="single" w:color="0000FF"/>
          </w:rPr>
          <w:t> </w:t>
        </w:r>
        <w:r>
          <w:rPr>
            <w:color w:val="0000FF"/>
            <w:w w:val="105"/>
            <w:sz w:val="16"/>
            <w:u w:val="single" w:color="0000FF"/>
          </w:rPr>
          <w:t>and</w:t>
        </w:r>
        <w:r>
          <w:rPr>
            <w:color w:val="0000FF"/>
            <w:spacing w:val="-8"/>
            <w:w w:val="105"/>
            <w:sz w:val="16"/>
            <w:u w:val="single" w:color="0000FF"/>
          </w:rPr>
          <w:t> </w:t>
        </w:r>
        <w:r>
          <w:rPr>
            <w:color w:val="0000FF"/>
            <w:w w:val="105"/>
            <w:sz w:val="16"/>
            <w:u w:val="single" w:color="0000FF"/>
          </w:rPr>
          <w:t>each</w:t>
        </w:r>
        <w:r>
          <w:rPr>
            <w:color w:val="0000FF"/>
            <w:spacing w:val="-8"/>
            <w:w w:val="105"/>
            <w:sz w:val="16"/>
            <w:u w:val="single" w:color="0000FF"/>
          </w:rPr>
          <w:t> </w:t>
        </w:r>
        <w:r>
          <w:rPr>
            <w:color w:val="0000FF"/>
            <w:w w:val="105"/>
            <w:sz w:val="16"/>
            <w:u w:val="single" w:color="0000FF"/>
          </w:rPr>
          <w:t>of</w:t>
        </w:r>
        <w:r>
          <w:rPr>
            <w:color w:val="0000FF"/>
            <w:spacing w:val="-8"/>
            <w:w w:val="105"/>
            <w:sz w:val="16"/>
            <w:u w:val="single" w:color="0000FF"/>
          </w:rPr>
          <w:t> </w:t>
        </w:r>
        <w:r>
          <w:rPr>
            <w:color w:val="0000FF"/>
            <w:w w:val="105"/>
            <w:sz w:val="16"/>
            <w:u w:val="single" w:color="0000FF"/>
          </w:rPr>
          <w:t>the</w:t>
        </w:r>
        <w:r>
          <w:rPr>
            <w:color w:val="0000FF"/>
            <w:spacing w:val="-8"/>
            <w:w w:val="105"/>
            <w:sz w:val="16"/>
            <w:u w:val="single" w:color="0000FF"/>
          </w:rPr>
          <w:t> </w:t>
        </w:r>
        <w:r>
          <w:rPr>
            <w:color w:val="0000FF"/>
            <w:w w:val="105"/>
            <w:sz w:val="16"/>
            <w:u w:val="single" w:color="0000FF"/>
          </w:rPr>
          <w:t>following</w:t>
        </w:r>
        <w:r>
          <w:rPr>
            <w:color w:val="0000FF"/>
            <w:spacing w:val="-8"/>
            <w:w w:val="105"/>
            <w:sz w:val="16"/>
            <w:u w:val="single" w:color="0000FF"/>
          </w:rPr>
          <w:t> </w:t>
        </w:r>
        <w:r>
          <w:rPr>
            <w:color w:val="0000FF"/>
            <w:w w:val="105"/>
            <w:sz w:val="16"/>
            <w:u w:val="single" w:color="0000FF"/>
          </w:rPr>
          <w:t>individuals:</w:t>
        </w:r>
        <w:r>
          <w:rPr>
            <w:color w:val="0000FF"/>
            <w:spacing w:val="-8"/>
            <w:w w:val="105"/>
            <w:sz w:val="16"/>
            <w:u w:val="single" w:color="0000FF"/>
          </w:rPr>
          <w:t> </w:t>
        </w:r>
        <w:r>
          <w:rPr>
            <w:color w:val="0000FF"/>
            <w:w w:val="105"/>
            <w:sz w:val="16"/>
            <w:u w:val="single" w:color="0000FF"/>
          </w:rPr>
          <w:t>Eric</w:t>
        </w:r>
        <w:r>
          <w:rPr>
            <w:color w:val="0000FF"/>
            <w:spacing w:val="-8"/>
            <w:w w:val="105"/>
            <w:sz w:val="16"/>
            <w:u w:val="single" w:color="0000FF"/>
          </w:rPr>
          <w:t> </w:t>
        </w:r>
        <w:r>
          <w:rPr>
            <w:color w:val="0000FF"/>
            <w:w w:val="105"/>
            <w:sz w:val="16"/>
            <w:u w:val="single" w:color="0000FF"/>
          </w:rPr>
          <w:t>S.</w:t>
        </w:r>
      </w:hyperlink>
      <w:r>
        <w:rPr>
          <w:color w:val="0000FF"/>
          <w:w w:val="105"/>
          <w:sz w:val="16"/>
        </w:rPr>
        <w:t> </w:t>
      </w:r>
      <w:hyperlink r:id="rId67">
        <w:r>
          <w:rPr>
            <w:color w:val="0000FF"/>
            <w:w w:val="105"/>
            <w:sz w:val="16"/>
            <w:u w:val="single" w:color="0000FF"/>
          </w:rPr>
          <w:t>Musser;</w:t>
        </w:r>
        <w:r>
          <w:rPr>
            <w:color w:val="0000FF"/>
            <w:spacing w:val="-1"/>
            <w:w w:val="105"/>
            <w:sz w:val="16"/>
            <w:u w:val="single" w:color="0000FF"/>
          </w:rPr>
          <w:t> </w:t>
        </w:r>
        <w:r>
          <w:rPr>
            <w:color w:val="0000FF"/>
            <w:w w:val="105"/>
            <w:sz w:val="16"/>
            <w:u w:val="single" w:color="0000FF"/>
          </w:rPr>
          <w:t>Lewis</w:t>
        </w:r>
        <w:r>
          <w:rPr>
            <w:color w:val="0000FF"/>
            <w:spacing w:val="-1"/>
            <w:w w:val="105"/>
            <w:sz w:val="16"/>
            <w:u w:val="single" w:color="0000FF"/>
          </w:rPr>
          <w:t> </w:t>
        </w:r>
        <w:r>
          <w:rPr>
            <w:color w:val="0000FF"/>
            <w:w w:val="105"/>
            <w:sz w:val="16"/>
            <w:u w:val="single" w:color="0000FF"/>
          </w:rPr>
          <w:t>A.</w:t>
        </w:r>
        <w:r>
          <w:rPr>
            <w:color w:val="0000FF"/>
            <w:spacing w:val="-1"/>
            <w:w w:val="105"/>
            <w:sz w:val="16"/>
            <w:u w:val="single" w:color="0000FF"/>
          </w:rPr>
          <w:t> </w:t>
        </w:r>
        <w:r>
          <w:rPr>
            <w:color w:val="0000FF"/>
            <w:w w:val="105"/>
            <w:sz w:val="16"/>
            <w:u w:val="single" w:color="0000FF"/>
          </w:rPr>
          <w:t>Steverson</w:t>
        </w:r>
        <w:r>
          <w:rPr>
            <w:color w:val="0000FF"/>
            <w:spacing w:val="-1"/>
            <w:w w:val="105"/>
            <w:sz w:val="16"/>
            <w:u w:val="single" w:color="0000FF"/>
          </w:rPr>
          <w:t> </w:t>
        </w:r>
        <w:r>
          <w:rPr>
            <w:color w:val="0000FF"/>
            <w:w w:val="105"/>
            <w:sz w:val="16"/>
            <w:u w:val="single" w:color="0000FF"/>
          </w:rPr>
          <w:t>and</w:t>
        </w:r>
        <w:r>
          <w:rPr>
            <w:color w:val="0000FF"/>
            <w:spacing w:val="-1"/>
            <w:w w:val="105"/>
            <w:sz w:val="16"/>
            <w:u w:val="single" w:color="0000FF"/>
          </w:rPr>
          <w:t> </w:t>
        </w:r>
        <w:r>
          <w:rPr>
            <w:color w:val="0000FF"/>
            <w:w w:val="105"/>
            <w:sz w:val="16"/>
            <w:u w:val="single" w:color="0000FF"/>
          </w:rPr>
          <w:t>R.</w:t>
        </w:r>
        <w:r>
          <w:rPr>
            <w:color w:val="0000FF"/>
            <w:spacing w:val="-1"/>
            <w:w w:val="105"/>
            <w:sz w:val="16"/>
            <w:u w:val="single" w:color="0000FF"/>
          </w:rPr>
          <w:t> </w:t>
        </w:r>
        <w:r>
          <w:rPr>
            <w:color w:val="0000FF"/>
            <w:w w:val="105"/>
            <w:sz w:val="16"/>
            <w:u w:val="single" w:color="0000FF"/>
          </w:rPr>
          <w:t>Tony</w:t>
        </w:r>
        <w:r>
          <w:rPr>
            <w:color w:val="0000FF"/>
            <w:spacing w:val="-1"/>
            <w:w w:val="105"/>
            <w:sz w:val="16"/>
            <w:u w:val="single" w:color="0000FF"/>
          </w:rPr>
          <w:t> </w:t>
        </w:r>
        <w:r>
          <w:rPr>
            <w:color w:val="0000FF"/>
            <w:w w:val="105"/>
            <w:sz w:val="16"/>
            <w:u w:val="single" w:color="0000FF"/>
          </w:rPr>
          <w:t>Tripeny</w:t>
        </w:r>
        <w:r>
          <w:rPr>
            <w:color w:val="0000FF"/>
            <w:spacing w:val="-1"/>
            <w:w w:val="105"/>
            <w:sz w:val="16"/>
            <w:u w:val="single" w:color="0000FF"/>
          </w:rPr>
          <w:t> </w:t>
        </w:r>
        <w:r>
          <w:rPr>
            <w:color w:val="0000FF"/>
            <w:w w:val="105"/>
            <w:sz w:val="16"/>
            <w:u w:val="single" w:color="0000FF"/>
          </w:rPr>
          <w:t>(Incorporated</w:t>
        </w:r>
        <w:r>
          <w:rPr>
            <w:color w:val="0000FF"/>
            <w:spacing w:val="-1"/>
            <w:w w:val="105"/>
            <w:sz w:val="16"/>
            <w:u w:val="single" w:color="0000FF"/>
          </w:rPr>
          <w:t> </w:t>
        </w:r>
        <w:r>
          <w:rPr>
            <w:color w:val="0000FF"/>
            <w:w w:val="105"/>
            <w:sz w:val="16"/>
            <w:u w:val="single" w:color="0000FF"/>
          </w:rPr>
          <w:t>by</w:t>
        </w:r>
        <w:r>
          <w:rPr>
            <w:color w:val="0000FF"/>
            <w:spacing w:val="-1"/>
            <w:w w:val="105"/>
            <w:sz w:val="16"/>
            <w:u w:val="single" w:color="0000FF"/>
          </w:rPr>
          <w:t> </w:t>
        </w:r>
        <w:r>
          <w:rPr>
            <w:color w:val="0000FF"/>
            <w:w w:val="105"/>
            <w:sz w:val="16"/>
            <w:u w:val="single" w:color="0000FF"/>
          </w:rPr>
          <w:t>reference to</w:t>
        </w:r>
        <w:r>
          <w:rPr>
            <w:color w:val="0000FF"/>
            <w:spacing w:val="-1"/>
            <w:w w:val="105"/>
            <w:sz w:val="16"/>
            <w:u w:val="single" w:color="0000FF"/>
          </w:rPr>
          <w:t> </w:t>
        </w:r>
        <w:r>
          <w:rPr>
            <w:color w:val="0000FF"/>
            <w:w w:val="105"/>
            <w:sz w:val="16"/>
            <w:u w:val="single" w:color="0000FF"/>
          </w:rPr>
          <w:t>Exhibit</w:t>
        </w:r>
        <w:r>
          <w:rPr>
            <w:color w:val="0000FF"/>
            <w:spacing w:val="-1"/>
            <w:w w:val="105"/>
            <w:sz w:val="16"/>
            <w:u w:val="single" w:color="0000FF"/>
          </w:rPr>
          <w:t> </w:t>
        </w:r>
        <w:r>
          <w:rPr>
            <w:color w:val="0000FF"/>
            <w:w w:val="105"/>
            <w:sz w:val="16"/>
            <w:u w:val="single" w:color="0000FF"/>
          </w:rPr>
          <w:t>10.2</w:t>
        </w:r>
        <w:r>
          <w:rPr>
            <w:color w:val="0000FF"/>
            <w:spacing w:val="-1"/>
            <w:w w:val="105"/>
            <w:sz w:val="16"/>
            <w:u w:val="single" w:color="0000FF"/>
          </w:rPr>
          <w:t> </w:t>
        </w:r>
        <w:r>
          <w:rPr>
            <w:color w:val="0000FF"/>
            <w:w w:val="105"/>
            <w:sz w:val="16"/>
            <w:u w:val="single" w:color="0000FF"/>
          </w:rPr>
          <w:t>of</w:t>
        </w:r>
        <w:r>
          <w:rPr>
            <w:color w:val="0000FF"/>
            <w:spacing w:val="-1"/>
            <w:w w:val="105"/>
            <w:sz w:val="16"/>
            <w:u w:val="single" w:color="0000FF"/>
          </w:rPr>
          <w:t> </w:t>
        </w:r>
        <w:r>
          <w:rPr>
            <w:color w:val="0000FF"/>
            <w:w w:val="105"/>
            <w:sz w:val="16"/>
            <w:u w:val="single" w:color="0000FF"/>
          </w:rPr>
          <w:t>Corning’s</w:t>
        </w:r>
        <w:r>
          <w:rPr>
            <w:color w:val="0000FF"/>
            <w:spacing w:val="-1"/>
            <w:w w:val="105"/>
            <w:sz w:val="16"/>
            <w:u w:val="single" w:color="0000FF"/>
          </w:rPr>
          <w:t> </w:t>
        </w:r>
        <w:r>
          <w:rPr>
            <w:color w:val="0000FF"/>
            <w:w w:val="105"/>
            <w:sz w:val="16"/>
            <w:u w:val="single" w:color="0000FF"/>
          </w:rPr>
          <w:t>Form</w:t>
        </w:r>
        <w:r>
          <w:rPr>
            <w:color w:val="0000FF"/>
            <w:spacing w:val="-1"/>
            <w:w w:val="105"/>
            <w:sz w:val="16"/>
            <w:u w:val="single" w:color="0000FF"/>
          </w:rPr>
          <w:t> </w:t>
        </w:r>
        <w:r>
          <w:rPr>
            <w:color w:val="0000FF"/>
            <w:w w:val="105"/>
            <w:sz w:val="16"/>
            <w:u w:val="single" w:color="0000FF"/>
          </w:rPr>
          <w:t>10-Q</w:t>
        </w:r>
        <w:r>
          <w:rPr>
            <w:color w:val="0000FF"/>
            <w:spacing w:val="-1"/>
            <w:w w:val="105"/>
            <w:sz w:val="16"/>
            <w:u w:val="single" w:color="0000FF"/>
          </w:rPr>
          <w:t> </w:t>
        </w:r>
        <w:r>
          <w:rPr>
            <w:color w:val="0000FF"/>
            <w:w w:val="105"/>
            <w:sz w:val="16"/>
            <w:u w:val="single" w:color="0000FF"/>
          </w:rPr>
          <w:t>filed</w:t>
        </w:r>
        <w:r>
          <w:rPr>
            <w:color w:val="0000FF"/>
            <w:spacing w:val="-1"/>
            <w:w w:val="105"/>
            <w:sz w:val="16"/>
            <w:u w:val="single" w:color="0000FF"/>
          </w:rPr>
          <w:t> </w:t>
        </w:r>
        <w:r>
          <w:rPr>
            <w:color w:val="0000FF"/>
            <w:w w:val="105"/>
            <w:sz w:val="16"/>
            <w:u w:val="single" w:color="0000FF"/>
          </w:rPr>
          <w:t>July</w:t>
        </w:r>
        <w:r>
          <w:rPr>
            <w:color w:val="0000FF"/>
            <w:spacing w:val="-1"/>
            <w:w w:val="105"/>
            <w:sz w:val="16"/>
            <w:u w:val="single" w:color="0000FF"/>
          </w:rPr>
          <w:t> </w:t>
        </w:r>
        <w:r>
          <w:rPr>
            <w:color w:val="0000FF"/>
            <w:w w:val="105"/>
            <w:sz w:val="16"/>
            <w:u w:val="single" w:color="0000FF"/>
          </w:rPr>
          <w:t>30,</w:t>
        </w:r>
        <w:r>
          <w:rPr>
            <w:color w:val="0000FF"/>
            <w:spacing w:val="-1"/>
            <w:w w:val="105"/>
            <w:sz w:val="16"/>
            <w:u w:val="single" w:color="0000FF"/>
          </w:rPr>
          <w:t> </w:t>
        </w:r>
        <w:r>
          <w:rPr>
            <w:color w:val="0000FF"/>
            <w:w w:val="105"/>
            <w:sz w:val="16"/>
            <w:u w:val="single" w:color="0000FF"/>
          </w:rPr>
          <w:t>2015).</w:t>
        </w:r>
      </w:hyperlink>
    </w:p>
    <w:p>
      <w:pPr>
        <w:pStyle w:val="ListParagraph"/>
        <w:numPr>
          <w:ilvl w:val="1"/>
          <w:numId w:val="25"/>
        </w:numPr>
        <w:tabs>
          <w:tab w:pos="1659" w:val="left" w:leader="none"/>
        </w:tabs>
        <w:spacing w:line="266" w:lineRule="auto" w:before="0" w:after="0"/>
        <w:ind w:left="1659" w:right="256" w:hanging="1032"/>
        <w:jc w:val="left"/>
        <w:rPr>
          <w:sz w:val="16"/>
        </w:rPr>
      </w:pPr>
      <w:hyperlink r:id="rId68">
        <w:r>
          <w:rPr>
            <w:color w:val="0000FF"/>
            <w:w w:val="105"/>
            <w:sz w:val="16"/>
            <w:u w:val="single" w:color="0000FF"/>
          </w:rPr>
          <w:t>Tax</w:t>
        </w:r>
        <w:r>
          <w:rPr>
            <w:color w:val="0000FF"/>
            <w:spacing w:val="-10"/>
            <w:w w:val="105"/>
            <w:sz w:val="16"/>
            <w:u w:val="single" w:color="0000FF"/>
          </w:rPr>
          <w:t> </w:t>
        </w:r>
        <w:r>
          <w:rPr>
            <w:color w:val="0000FF"/>
            <w:w w:val="105"/>
            <w:sz w:val="16"/>
            <w:u w:val="single" w:color="0000FF"/>
          </w:rPr>
          <w:t>Matters</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dated</w:t>
        </w:r>
        <w:r>
          <w:rPr>
            <w:color w:val="0000FF"/>
            <w:spacing w:val="-10"/>
            <w:w w:val="105"/>
            <w:sz w:val="16"/>
            <w:u w:val="single" w:color="0000FF"/>
          </w:rPr>
          <w:t> </w:t>
        </w:r>
        <w:r>
          <w:rPr>
            <w:color w:val="0000FF"/>
            <w:w w:val="105"/>
            <w:sz w:val="16"/>
            <w:u w:val="single" w:color="0000FF"/>
          </w:rPr>
          <w:t>December</w:t>
        </w:r>
        <w:r>
          <w:rPr>
            <w:color w:val="0000FF"/>
            <w:spacing w:val="-10"/>
            <w:w w:val="105"/>
            <w:sz w:val="16"/>
            <w:u w:val="single" w:color="0000FF"/>
          </w:rPr>
          <w:t> </w:t>
        </w:r>
        <w:r>
          <w:rPr>
            <w:color w:val="0000FF"/>
            <w:w w:val="105"/>
            <w:sz w:val="16"/>
            <w:u w:val="single" w:color="0000FF"/>
          </w:rPr>
          <w:t>10,</w:t>
        </w:r>
        <w:r>
          <w:rPr>
            <w:color w:val="0000FF"/>
            <w:spacing w:val="-10"/>
            <w:w w:val="105"/>
            <w:sz w:val="16"/>
            <w:u w:val="single" w:color="0000FF"/>
          </w:rPr>
          <w:t> </w:t>
        </w:r>
        <w:r>
          <w:rPr>
            <w:color w:val="0000FF"/>
            <w:w w:val="105"/>
            <w:sz w:val="16"/>
            <w:u w:val="single" w:color="0000FF"/>
          </w:rPr>
          <w:t>2015,</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and</w:t>
        </w:r>
        <w:r>
          <w:rPr>
            <w:color w:val="0000FF"/>
            <w:spacing w:val="-10"/>
            <w:w w:val="105"/>
            <w:sz w:val="16"/>
            <w:u w:val="single" w:color="0000FF"/>
          </w:rPr>
          <w:t> </w:t>
        </w:r>
        <w:r>
          <w:rPr>
            <w:color w:val="0000FF"/>
            <w:w w:val="105"/>
            <w:sz w:val="16"/>
            <w:u w:val="single" w:color="0000FF"/>
          </w:rPr>
          <w:t>between</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The</w:t>
        </w:r>
        <w:r>
          <w:rPr>
            <w:color w:val="0000FF"/>
            <w:spacing w:val="-10"/>
            <w:w w:val="105"/>
            <w:sz w:val="16"/>
            <w:u w:val="single" w:color="0000FF"/>
          </w:rPr>
          <w:t> </w:t>
        </w:r>
        <w:r>
          <w:rPr>
            <w:color w:val="0000FF"/>
            <w:w w:val="105"/>
            <w:sz w:val="16"/>
            <w:u w:val="single" w:color="0000FF"/>
          </w:rPr>
          <w:t>Dow</w:t>
        </w:r>
        <w:r>
          <w:rPr>
            <w:color w:val="0000FF"/>
            <w:spacing w:val="-10"/>
            <w:w w:val="105"/>
            <w:sz w:val="16"/>
            <w:u w:val="single" w:color="0000FF"/>
          </w:rPr>
          <w:t> </w:t>
        </w:r>
        <w:r>
          <w:rPr>
            <w:color w:val="0000FF"/>
            <w:w w:val="105"/>
            <w:sz w:val="16"/>
            <w:u w:val="single" w:color="0000FF"/>
          </w:rPr>
          <w:t>Chemical</w:t>
        </w:r>
        <w:r>
          <w:rPr>
            <w:color w:val="0000FF"/>
            <w:spacing w:val="-10"/>
            <w:w w:val="105"/>
            <w:sz w:val="16"/>
            <w:u w:val="single" w:color="0000FF"/>
          </w:rPr>
          <w:t> </w:t>
        </w:r>
        <w:r>
          <w:rPr>
            <w:color w:val="0000FF"/>
            <w:w w:val="105"/>
            <w:sz w:val="16"/>
            <w:u w:val="single" w:color="0000FF"/>
          </w:rPr>
          <w:t>Company,</w:t>
        </w:r>
        <w:r>
          <w:rPr>
            <w:color w:val="0000FF"/>
            <w:spacing w:val="-10"/>
            <w:w w:val="105"/>
            <w:sz w:val="16"/>
            <w:u w:val="single" w:color="0000FF"/>
          </w:rPr>
          <w:t> </w:t>
        </w:r>
        <w:r>
          <w:rPr>
            <w:color w:val="0000FF"/>
            <w:w w:val="105"/>
            <w:sz w:val="16"/>
            <w:u w:val="single" w:color="0000FF"/>
          </w:rPr>
          <w:t>Dow</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Corporation</w:t>
        </w:r>
      </w:hyperlink>
      <w:r>
        <w:rPr>
          <w:color w:val="0000FF"/>
          <w:w w:val="105"/>
          <w:sz w:val="16"/>
        </w:rPr>
        <w:t> </w:t>
      </w:r>
      <w:hyperlink r:id="rId68">
        <w:r>
          <w:rPr>
            <w:color w:val="0000FF"/>
            <w:w w:val="105"/>
            <w:sz w:val="16"/>
            <w:u w:val="single" w:color="0000FF"/>
          </w:rPr>
          <w:t>and HS Upstate Inc. (Incorporated by reference to Exhibit 1.2 of Corning’s Form 8-K filed on December 11, 2015).</w:t>
        </w:r>
      </w:hyperlink>
    </w:p>
    <w:p>
      <w:pPr>
        <w:pStyle w:val="ListParagraph"/>
        <w:numPr>
          <w:ilvl w:val="1"/>
          <w:numId w:val="25"/>
        </w:numPr>
        <w:tabs>
          <w:tab w:pos="1659" w:val="left" w:leader="none"/>
        </w:tabs>
        <w:spacing w:line="266" w:lineRule="auto" w:before="0" w:after="0"/>
        <w:ind w:left="1659" w:right="212" w:hanging="1032"/>
        <w:jc w:val="left"/>
        <w:rPr>
          <w:sz w:val="16"/>
        </w:rPr>
      </w:pPr>
      <w:hyperlink r:id="rId69">
        <w:r>
          <w:rPr>
            <w:color w:val="0000FF"/>
            <w:w w:val="105"/>
            <w:sz w:val="16"/>
            <w:u w:val="single" w:color="0000FF"/>
          </w:rPr>
          <w:t>Form</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Incentive</w:t>
        </w:r>
        <w:r>
          <w:rPr>
            <w:color w:val="0000FF"/>
            <w:spacing w:val="-9"/>
            <w:w w:val="105"/>
            <w:sz w:val="16"/>
            <w:u w:val="single" w:color="0000FF"/>
          </w:rPr>
          <w:t> </w:t>
        </w:r>
        <w:r>
          <w:rPr>
            <w:color w:val="0000FF"/>
            <w:w w:val="105"/>
            <w:sz w:val="16"/>
            <w:u w:val="single" w:color="0000FF"/>
          </w:rPr>
          <w:t>Stock</w:t>
        </w:r>
        <w:r>
          <w:rPr>
            <w:color w:val="0000FF"/>
            <w:spacing w:val="-9"/>
            <w:w w:val="105"/>
            <w:sz w:val="16"/>
            <w:u w:val="single" w:color="0000FF"/>
          </w:rPr>
          <w:t> </w:t>
        </w:r>
        <w:r>
          <w:rPr>
            <w:color w:val="0000FF"/>
            <w:w w:val="105"/>
            <w:sz w:val="16"/>
            <w:u w:val="single" w:color="0000FF"/>
          </w:rPr>
          <w:t>Rights</w:t>
        </w:r>
        <w:r>
          <w:rPr>
            <w:color w:val="0000FF"/>
            <w:spacing w:val="-9"/>
            <w:w w:val="105"/>
            <w:sz w:val="16"/>
            <w:u w:val="single" w:color="0000FF"/>
          </w:rPr>
          <w:t> </w:t>
        </w:r>
        <w:r>
          <w:rPr>
            <w:color w:val="0000FF"/>
            <w:w w:val="105"/>
            <w:sz w:val="16"/>
            <w:u w:val="single" w:color="0000FF"/>
          </w:rPr>
          <w:t>Agreement,</w:t>
        </w:r>
        <w:r>
          <w:rPr>
            <w:color w:val="0000FF"/>
            <w:spacing w:val="-9"/>
            <w:w w:val="105"/>
            <w:sz w:val="16"/>
            <w:u w:val="single" w:color="0000FF"/>
          </w:rPr>
          <w:t> </w:t>
        </w:r>
        <w:r>
          <w:rPr>
            <w:color w:val="0000FF"/>
            <w:w w:val="105"/>
            <w:sz w:val="16"/>
            <w:u w:val="single" w:color="0000FF"/>
          </w:rPr>
          <w:t>effective</w:t>
        </w:r>
        <w:r>
          <w:rPr>
            <w:color w:val="0000FF"/>
            <w:spacing w:val="-9"/>
            <w:w w:val="105"/>
            <w:sz w:val="16"/>
            <w:u w:val="single" w:color="0000FF"/>
          </w:rPr>
          <w:t> </w:t>
        </w:r>
        <w:r>
          <w:rPr>
            <w:color w:val="0000FF"/>
            <w:w w:val="105"/>
            <w:sz w:val="16"/>
            <w:u w:val="single" w:color="0000FF"/>
          </w:rPr>
          <w:t>January</w:t>
        </w:r>
        <w:r>
          <w:rPr>
            <w:color w:val="0000FF"/>
            <w:spacing w:val="-9"/>
            <w:w w:val="105"/>
            <w:sz w:val="16"/>
            <w:u w:val="single" w:color="0000FF"/>
          </w:rPr>
          <w:t> </w:t>
        </w:r>
        <w:r>
          <w:rPr>
            <w:color w:val="0000FF"/>
            <w:w w:val="105"/>
            <w:sz w:val="16"/>
            <w:u w:val="single" w:color="0000FF"/>
          </w:rPr>
          <w:t>1,</w:t>
        </w:r>
        <w:r>
          <w:rPr>
            <w:color w:val="0000FF"/>
            <w:spacing w:val="-9"/>
            <w:w w:val="105"/>
            <w:sz w:val="16"/>
            <w:u w:val="single" w:color="0000FF"/>
          </w:rPr>
          <w:t> </w:t>
        </w:r>
        <w:r>
          <w:rPr>
            <w:color w:val="0000FF"/>
            <w:w w:val="105"/>
            <w:sz w:val="16"/>
            <w:u w:val="single" w:color="0000FF"/>
          </w:rPr>
          <w:t>2016</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Exhibit</w:t>
        </w:r>
        <w:r>
          <w:rPr>
            <w:color w:val="0000FF"/>
            <w:spacing w:val="-9"/>
            <w:w w:val="105"/>
            <w:sz w:val="16"/>
            <w:u w:val="single" w:color="0000FF"/>
          </w:rPr>
          <w:t> </w:t>
        </w:r>
        <w:r>
          <w:rPr>
            <w:color w:val="0000FF"/>
            <w:w w:val="105"/>
            <w:sz w:val="16"/>
            <w:u w:val="single" w:color="0000FF"/>
          </w:rPr>
          <w:t>10.69</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Corning’s</w:t>
        </w:r>
      </w:hyperlink>
      <w:r>
        <w:rPr>
          <w:color w:val="0000FF"/>
          <w:w w:val="105"/>
          <w:sz w:val="16"/>
        </w:rPr>
        <w:t> </w:t>
      </w:r>
      <w:hyperlink r:id="rId69">
        <w:r>
          <w:rPr>
            <w:color w:val="0000FF"/>
            <w:w w:val="105"/>
            <w:sz w:val="16"/>
            <w:u w:val="single" w:color="0000FF"/>
          </w:rPr>
          <w:t>Form 10-K filed February 12, 2016).</w:t>
        </w:r>
      </w:hyperlink>
    </w:p>
    <w:p>
      <w:pPr>
        <w:pStyle w:val="BodyText"/>
        <w:spacing w:before="183"/>
        <w:ind w:left="48"/>
        <w:jc w:val="center"/>
      </w:pPr>
      <w:r>
        <w:rPr>
          <w:spacing w:val="-5"/>
          <w:w w:val="105"/>
        </w:rPr>
        <w:t>58</w:t>
      </w:r>
    </w:p>
    <w:p>
      <w:pPr>
        <w:pStyle w:val="BodyText"/>
        <w:rPr>
          <w:sz w:val="6"/>
        </w:rPr>
      </w:pPr>
      <w:r>
        <w:rPr/>
        <mc:AlternateContent>
          <mc:Choice Requires="wps">
            <w:drawing>
              <wp:anchor distT="0" distB="0" distL="0" distR="0" allowOverlap="1" layoutInCell="1" locked="0" behindDoc="1" simplePos="0" relativeHeight="487630848">
                <wp:simplePos x="0" y="0"/>
                <wp:positionH relativeFrom="page">
                  <wp:posOffset>226488</wp:posOffset>
                </wp:positionH>
                <wp:positionV relativeFrom="paragraph">
                  <wp:posOffset>59051</wp:posOffset>
                </wp:positionV>
                <wp:extent cx="7312659" cy="1651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85632;mso-wrap-distance-left:0;mso-wrap-distance-right:0" id="docshape125"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ListParagraph"/>
        <w:numPr>
          <w:ilvl w:val="1"/>
          <w:numId w:val="25"/>
        </w:numPr>
        <w:tabs>
          <w:tab w:pos="1659" w:val="left" w:leader="none"/>
        </w:tabs>
        <w:spacing w:line="266" w:lineRule="auto" w:before="0" w:after="0"/>
        <w:ind w:left="1659" w:right="166" w:hanging="1032"/>
        <w:jc w:val="left"/>
        <w:rPr>
          <w:sz w:val="16"/>
        </w:rPr>
      </w:pPr>
      <w:hyperlink r:id="rId70">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Cash</w:t>
        </w:r>
        <w:r>
          <w:rPr>
            <w:color w:val="0000FF"/>
            <w:spacing w:val="-10"/>
            <w:w w:val="105"/>
            <w:sz w:val="16"/>
            <w:u w:val="single" w:color="0000FF"/>
          </w:rPr>
          <w:t> </w:t>
        </w:r>
        <w:r>
          <w:rPr>
            <w:color w:val="0000FF"/>
            <w:w w:val="105"/>
            <w:sz w:val="16"/>
            <w:u w:val="single" w:color="0000FF"/>
          </w:rPr>
          <w:t>Performance</w:t>
        </w:r>
        <w:r>
          <w:rPr>
            <w:color w:val="0000FF"/>
            <w:spacing w:val="-10"/>
            <w:w w:val="105"/>
            <w:sz w:val="16"/>
            <w:u w:val="single" w:color="0000FF"/>
          </w:rPr>
          <w:t> </w:t>
        </w:r>
        <w:r>
          <w:rPr>
            <w:color w:val="0000FF"/>
            <w:w w:val="105"/>
            <w:sz w:val="16"/>
            <w:u w:val="single" w:color="0000FF"/>
          </w:rPr>
          <w:t>Unit</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January</w:t>
        </w:r>
        <w:r>
          <w:rPr>
            <w:color w:val="0000FF"/>
            <w:spacing w:val="-10"/>
            <w:w w:val="105"/>
            <w:sz w:val="16"/>
            <w:u w:val="single" w:color="0000FF"/>
          </w:rPr>
          <w:t> </w:t>
        </w:r>
        <w:r>
          <w:rPr>
            <w:color w:val="0000FF"/>
            <w:w w:val="105"/>
            <w:sz w:val="16"/>
            <w:u w:val="single" w:color="0000FF"/>
          </w:rPr>
          <w:t>1,</w:t>
        </w:r>
        <w:r>
          <w:rPr>
            <w:color w:val="0000FF"/>
            <w:spacing w:val="-10"/>
            <w:w w:val="105"/>
            <w:sz w:val="16"/>
            <w:u w:val="single" w:color="0000FF"/>
          </w:rPr>
          <w:t> </w:t>
        </w:r>
        <w:r>
          <w:rPr>
            <w:color w:val="0000FF"/>
            <w:w w:val="105"/>
            <w:sz w:val="16"/>
            <w:u w:val="single" w:color="0000FF"/>
          </w:rPr>
          <w:t>2016</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10.70</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Corning’s</w:t>
        </w:r>
      </w:hyperlink>
      <w:r>
        <w:rPr>
          <w:color w:val="0000FF"/>
          <w:w w:val="105"/>
          <w:sz w:val="16"/>
        </w:rPr>
        <w:t> </w:t>
      </w:r>
      <w:hyperlink r:id="rId70">
        <w:r>
          <w:rPr>
            <w:color w:val="0000FF"/>
            <w:w w:val="105"/>
            <w:sz w:val="16"/>
            <w:u w:val="single" w:color="0000FF"/>
          </w:rPr>
          <w:t>Form 10-K filed February 12, 2016).</w:t>
        </w:r>
      </w:hyperlink>
    </w:p>
    <w:p>
      <w:pPr>
        <w:pStyle w:val="ListParagraph"/>
        <w:numPr>
          <w:ilvl w:val="1"/>
          <w:numId w:val="25"/>
        </w:numPr>
        <w:tabs>
          <w:tab w:pos="1659" w:val="left" w:leader="none"/>
        </w:tabs>
        <w:spacing w:line="266" w:lineRule="auto" w:before="0" w:after="0"/>
        <w:ind w:left="1659" w:right="497" w:hanging="1032"/>
        <w:jc w:val="left"/>
        <w:rPr>
          <w:sz w:val="16"/>
        </w:rPr>
      </w:pPr>
      <w:hyperlink r:id="rId71">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Incentive</w:t>
        </w:r>
        <w:r>
          <w:rPr>
            <w:color w:val="0000FF"/>
            <w:spacing w:val="-10"/>
            <w:w w:val="105"/>
            <w:sz w:val="16"/>
            <w:u w:val="single" w:color="0000FF"/>
          </w:rPr>
          <w:t> </w:t>
        </w:r>
        <w:r>
          <w:rPr>
            <w:color w:val="0000FF"/>
            <w:w w:val="105"/>
            <w:sz w:val="16"/>
            <w:u w:val="single" w:color="0000FF"/>
          </w:rPr>
          <w:t>Stock</w:t>
        </w:r>
        <w:r>
          <w:rPr>
            <w:color w:val="0000FF"/>
            <w:spacing w:val="-10"/>
            <w:w w:val="105"/>
            <w:sz w:val="16"/>
            <w:u w:val="single" w:color="0000FF"/>
          </w:rPr>
          <w:t> </w:t>
        </w:r>
        <w:r>
          <w:rPr>
            <w:color w:val="0000FF"/>
            <w:w w:val="105"/>
            <w:sz w:val="16"/>
            <w:u w:val="single" w:color="0000FF"/>
          </w:rPr>
          <w:t>Rights</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for</w:t>
        </w:r>
        <w:r>
          <w:rPr>
            <w:color w:val="0000FF"/>
            <w:spacing w:val="-10"/>
            <w:w w:val="105"/>
            <w:sz w:val="16"/>
            <w:u w:val="single" w:color="0000FF"/>
          </w:rPr>
          <w:t> </w:t>
        </w:r>
        <w:r>
          <w:rPr>
            <w:color w:val="0000FF"/>
            <w:w w:val="105"/>
            <w:sz w:val="16"/>
            <w:u w:val="single" w:color="0000FF"/>
          </w:rPr>
          <w:t>Employees,</w:t>
        </w:r>
        <w:r>
          <w:rPr>
            <w:color w:val="0000FF"/>
            <w:spacing w:val="-10"/>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January</w:t>
        </w:r>
        <w:r>
          <w:rPr>
            <w:color w:val="0000FF"/>
            <w:spacing w:val="-10"/>
            <w:w w:val="105"/>
            <w:sz w:val="16"/>
            <w:u w:val="single" w:color="0000FF"/>
          </w:rPr>
          <w:t> </w:t>
        </w:r>
        <w:r>
          <w:rPr>
            <w:color w:val="0000FF"/>
            <w:w w:val="105"/>
            <w:sz w:val="16"/>
            <w:u w:val="single" w:color="0000FF"/>
          </w:rPr>
          <w:t>1,</w:t>
        </w:r>
        <w:r>
          <w:rPr>
            <w:color w:val="0000FF"/>
            <w:spacing w:val="-10"/>
            <w:w w:val="105"/>
            <w:sz w:val="16"/>
            <w:u w:val="single" w:color="0000FF"/>
          </w:rPr>
          <w:t> </w:t>
        </w:r>
        <w:r>
          <w:rPr>
            <w:color w:val="0000FF"/>
            <w:w w:val="105"/>
            <w:sz w:val="16"/>
            <w:u w:val="single" w:color="0000FF"/>
          </w:rPr>
          <w:t>2017</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hyperlink>
      <w:r>
        <w:rPr>
          <w:color w:val="0000FF"/>
          <w:w w:val="105"/>
          <w:sz w:val="16"/>
        </w:rPr>
        <w:t> </w:t>
      </w:r>
      <w:hyperlink r:id="rId71">
        <w:r>
          <w:rPr>
            <w:color w:val="0000FF"/>
            <w:w w:val="105"/>
            <w:sz w:val="16"/>
            <w:u w:val="single" w:color="0000FF"/>
          </w:rPr>
          <w:t>10.71 of Corning’s Form 10-K filed February 6, 2017).</w:t>
        </w:r>
      </w:hyperlink>
    </w:p>
    <w:p>
      <w:pPr>
        <w:pStyle w:val="ListParagraph"/>
        <w:numPr>
          <w:ilvl w:val="1"/>
          <w:numId w:val="25"/>
        </w:numPr>
        <w:tabs>
          <w:tab w:pos="1659" w:val="left" w:leader="none"/>
        </w:tabs>
        <w:spacing w:line="266" w:lineRule="auto" w:before="0" w:after="0"/>
        <w:ind w:left="1659" w:right="166" w:hanging="1032"/>
        <w:jc w:val="left"/>
        <w:rPr>
          <w:sz w:val="16"/>
        </w:rPr>
      </w:pPr>
      <w:hyperlink r:id="rId72">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Cash</w:t>
        </w:r>
        <w:r>
          <w:rPr>
            <w:color w:val="0000FF"/>
            <w:spacing w:val="-10"/>
            <w:w w:val="105"/>
            <w:sz w:val="16"/>
            <w:u w:val="single" w:color="0000FF"/>
          </w:rPr>
          <w:t> </w:t>
        </w:r>
        <w:r>
          <w:rPr>
            <w:color w:val="0000FF"/>
            <w:w w:val="105"/>
            <w:sz w:val="16"/>
            <w:u w:val="single" w:color="0000FF"/>
          </w:rPr>
          <w:t>Performance</w:t>
        </w:r>
        <w:r>
          <w:rPr>
            <w:color w:val="0000FF"/>
            <w:spacing w:val="-10"/>
            <w:w w:val="105"/>
            <w:sz w:val="16"/>
            <w:u w:val="single" w:color="0000FF"/>
          </w:rPr>
          <w:t> </w:t>
        </w:r>
        <w:r>
          <w:rPr>
            <w:color w:val="0000FF"/>
            <w:w w:val="105"/>
            <w:sz w:val="16"/>
            <w:u w:val="single" w:color="0000FF"/>
          </w:rPr>
          <w:t>Unit</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January</w:t>
        </w:r>
        <w:r>
          <w:rPr>
            <w:color w:val="0000FF"/>
            <w:spacing w:val="-10"/>
            <w:w w:val="105"/>
            <w:sz w:val="16"/>
            <w:u w:val="single" w:color="0000FF"/>
          </w:rPr>
          <w:t> </w:t>
        </w:r>
        <w:r>
          <w:rPr>
            <w:color w:val="0000FF"/>
            <w:w w:val="105"/>
            <w:sz w:val="16"/>
            <w:u w:val="single" w:color="0000FF"/>
          </w:rPr>
          <w:t>1,</w:t>
        </w:r>
        <w:r>
          <w:rPr>
            <w:color w:val="0000FF"/>
            <w:spacing w:val="-10"/>
            <w:w w:val="105"/>
            <w:sz w:val="16"/>
            <w:u w:val="single" w:color="0000FF"/>
          </w:rPr>
          <w:t> </w:t>
        </w:r>
        <w:r>
          <w:rPr>
            <w:color w:val="0000FF"/>
            <w:w w:val="105"/>
            <w:sz w:val="16"/>
            <w:u w:val="single" w:color="0000FF"/>
          </w:rPr>
          <w:t>2017</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10.73</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Corning’s</w:t>
        </w:r>
      </w:hyperlink>
      <w:r>
        <w:rPr>
          <w:color w:val="0000FF"/>
          <w:w w:val="105"/>
          <w:sz w:val="16"/>
        </w:rPr>
        <w:t> </w:t>
      </w:r>
      <w:hyperlink r:id="rId72">
        <w:r>
          <w:rPr>
            <w:color w:val="0000FF"/>
            <w:w w:val="105"/>
            <w:sz w:val="16"/>
            <w:u w:val="single" w:color="0000FF"/>
          </w:rPr>
          <w:t>Form 10-K filed February 6, 2017).</w:t>
        </w:r>
      </w:hyperlink>
    </w:p>
    <w:p>
      <w:pPr>
        <w:pStyle w:val="ListParagraph"/>
        <w:numPr>
          <w:ilvl w:val="1"/>
          <w:numId w:val="25"/>
        </w:numPr>
        <w:tabs>
          <w:tab w:pos="1659" w:val="left" w:leader="none"/>
        </w:tabs>
        <w:spacing w:line="266" w:lineRule="auto" w:before="0" w:after="0"/>
        <w:ind w:left="1659" w:right="557" w:hanging="1032"/>
        <w:jc w:val="left"/>
        <w:rPr>
          <w:sz w:val="16"/>
        </w:rPr>
      </w:pPr>
      <w:hyperlink r:id="rId73">
        <w:r>
          <w:rPr>
            <w:color w:val="0000FF"/>
            <w:w w:val="105"/>
            <w:sz w:val="16"/>
            <w:u w:val="single" w:color="0000FF"/>
          </w:rPr>
          <w:t>Form</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Restricted</w:t>
        </w:r>
        <w:r>
          <w:rPr>
            <w:color w:val="0000FF"/>
            <w:spacing w:val="-9"/>
            <w:w w:val="105"/>
            <w:sz w:val="16"/>
            <w:u w:val="single" w:color="0000FF"/>
          </w:rPr>
          <w:t> </w:t>
        </w:r>
        <w:r>
          <w:rPr>
            <w:color w:val="0000FF"/>
            <w:w w:val="105"/>
            <w:sz w:val="16"/>
            <w:u w:val="single" w:color="0000FF"/>
          </w:rPr>
          <w:t>Stock</w:t>
        </w:r>
        <w:r>
          <w:rPr>
            <w:color w:val="0000FF"/>
            <w:spacing w:val="-9"/>
            <w:w w:val="105"/>
            <w:sz w:val="16"/>
            <w:u w:val="single" w:color="0000FF"/>
          </w:rPr>
          <w:t> </w:t>
        </w:r>
        <w:r>
          <w:rPr>
            <w:color w:val="0000FF"/>
            <w:w w:val="105"/>
            <w:sz w:val="16"/>
            <w:u w:val="single" w:color="0000FF"/>
          </w:rPr>
          <w:t>Unit</w:t>
        </w:r>
        <w:r>
          <w:rPr>
            <w:color w:val="0000FF"/>
            <w:spacing w:val="-9"/>
            <w:w w:val="105"/>
            <w:sz w:val="16"/>
            <w:u w:val="single" w:color="0000FF"/>
          </w:rPr>
          <w:t> </w:t>
        </w:r>
        <w:r>
          <w:rPr>
            <w:color w:val="0000FF"/>
            <w:w w:val="105"/>
            <w:sz w:val="16"/>
            <w:u w:val="single" w:color="0000FF"/>
          </w:rPr>
          <w:t>Grant</w:t>
        </w:r>
        <w:r>
          <w:rPr>
            <w:color w:val="0000FF"/>
            <w:spacing w:val="-9"/>
            <w:w w:val="105"/>
            <w:sz w:val="16"/>
            <w:u w:val="single" w:color="0000FF"/>
          </w:rPr>
          <w:t> </w:t>
        </w:r>
        <w:r>
          <w:rPr>
            <w:color w:val="0000FF"/>
            <w:w w:val="105"/>
            <w:sz w:val="16"/>
            <w:u w:val="single" w:color="0000FF"/>
          </w:rPr>
          <w:t>Notice</w:t>
        </w:r>
        <w:r>
          <w:rPr>
            <w:color w:val="0000FF"/>
            <w:spacing w:val="-9"/>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Agreement</w:t>
        </w:r>
        <w:r>
          <w:rPr>
            <w:color w:val="0000FF"/>
            <w:spacing w:val="-9"/>
            <w:w w:val="105"/>
            <w:sz w:val="16"/>
            <w:u w:val="single" w:color="0000FF"/>
          </w:rPr>
          <w:t> </w:t>
        </w:r>
        <w:r>
          <w:rPr>
            <w:color w:val="0000FF"/>
            <w:w w:val="105"/>
            <w:sz w:val="16"/>
            <w:u w:val="single" w:color="0000FF"/>
          </w:rPr>
          <w:t>for</w:t>
        </w:r>
        <w:r>
          <w:rPr>
            <w:color w:val="0000FF"/>
            <w:spacing w:val="-9"/>
            <w:w w:val="105"/>
            <w:sz w:val="16"/>
            <w:u w:val="single" w:color="0000FF"/>
          </w:rPr>
          <w:t> </w:t>
        </w:r>
        <w:r>
          <w:rPr>
            <w:color w:val="0000FF"/>
            <w:w w:val="105"/>
            <w:sz w:val="16"/>
            <w:u w:val="single" w:color="0000FF"/>
          </w:rPr>
          <w:t>Non-Employee</w:t>
        </w:r>
        <w:r>
          <w:rPr>
            <w:color w:val="0000FF"/>
            <w:spacing w:val="-9"/>
            <w:w w:val="105"/>
            <w:sz w:val="16"/>
            <w:u w:val="single" w:color="0000FF"/>
          </w:rPr>
          <w:t> </w:t>
        </w:r>
        <w:r>
          <w:rPr>
            <w:color w:val="0000FF"/>
            <w:w w:val="105"/>
            <w:sz w:val="16"/>
            <w:u w:val="single" w:color="0000FF"/>
          </w:rPr>
          <w:t>Directors</w:t>
        </w:r>
        <w:r>
          <w:rPr>
            <w:color w:val="0000FF"/>
            <w:spacing w:val="-9"/>
            <w:w w:val="105"/>
            <w:sz w:val="16"/>
            <w:u w:val="single" w:color="0000FF"/>
          </w:rPr>
          <w:t> </w:t>
        </w:r>
        <w:r>
          <w:rPr>
            <w:color w:val="0000FF"/>
            <w:w w:val="105"/>
            <w:sz w:val="16"/>
            <w:u w:val="single" w:color="0000FF"/>
          </w:rPr>
          <w:t>(for</w:t>
        </w:r>
        <w:r>
          <w:rPr>
            <w:color w:val="0000FF"/>
            <w:spacing w:val="-9"/>
            <w:w w:val="105"/>
            <w:sz w:val="16"/>
            <w:u w:val="single" w:color="0000FF"/>
          </w:rPr>
          <w:t> </w:t>
        </w:r>
        <w:r>
          <w:rPr>
            <w:color w:val="0000FF"/>
            <w:w w:val="105"/>
            <w:sz w:val="16"/>
            <w:u w:val="single" w:color="0000FF"/>
          </w:rPr>
          <w:t>grants</w:t>
        </w:r>
        <w:r>
          <w:rPr>
            <w:color w:val="0000FF"/>
            <w:spacing w:val="-9"/>
            <w:w w:val="105"/>
            <w:sz w:val="16"/>
            <w:u w:val="single" w:color="0000FF"/>
          </w:rPr>
          <w:t> </w:t>
        </w:r>
        <w:r>
          <w:rPr>
            <w:color w:val="0000FF"/>
            <w:w w:val="105"/>
            <w:sz w:val="16"/>
            <w:u w:val="single" w:color="0000FF"/>
          </w:rPr>
          <w:t>made</w:t>
        </w:r>
        <w:r>
          <w:rPr>
            <w:color w:val="0000FF"/>
            <w:spacing w:val="-9"/>
            <w:w w:val="105"/>
            <w:sz w:val="16"/>
            <w:u w:val="single" w:color="0000FF"/>
          </w:rPr>
          <w:t> </w:t>
        </w:r>
        <w:r>
          <w:rPr>
            <w:color w:val="0000FF"/>
            <w:w w:val="105"/>
            <w:sz w:val="16"/>
            <w:u w:val="single" w:color="0000FF"/>
          </w:rPr>
          <w:t>under</w:t>
        </w:r>
        <w:r>
          <w:rPr>
            <w:color w:val="0000FF"/>
            <w:spacing w:val="-8"/>
            <w:w w:val="105"/>
            <w:sz w:val="16"/>
            <w:u w:val="single" w:color="0000FF"/>
          </w:rPr>
          <w:t> </w:t>
        </w:r>
        <w:r>
          <w:rPr>
            <w:color w:val="0000FF"/>
            <w:w w:val="105"/>
            <w:sz w:val="16"/>
            <w:u w:val="single" w:color="0000FF"/>
          </w:rPr>
          <w:t>the</w:t>
        </w:r>
        <w:r>
          <w:rPr>
            <w:color w:val="0000FF"/>
            <w:spacing w:val="-9"/>
            <w:w w:val="105"/>
            <w:sz w:val="16"/>
            <w:u w:val="single" w:color="0000FF"/>
          </w:rPr>
          <w:t> </w:t>
        </w:r>
        <w:r>
          <w:rPr>
            <w:color w:val="0000FF"/>
            <w:w w:val="105"/>
            <w:sz w:val="16"/>
            <w:u w:val="single" w:color="0000FF"/>
          </w:rPr>
          <w:t>2012</w:t>
        </w:r>
      </w:hyperlink>
      <w:r>
        <w:rPr>
          <w:color w:val="0000FF"/>
          <w:w w:val="105"/>
          <w:sz w:val="16"/>
        </w:rPr>
        <w:t> </w:t>
      </w:r>
      <w:hyperlink r:id="rId73">
        <w:r>
          <w:rPr>
            <w:color w:val="0000FF"/>
            <w:w w:val="105"/>
            <w:sz w:val="16"/>
            <w:u w:val="single" w:color="0000FF"/>
          </w:rPr>
          <w:t>Equity</w:t>
        </w:r>
        <w:r>
          <w:rPr>
            <w:color w:val="0000FF"/>
            <w:spacing w:val="-5"/>
            <w:w w:val="105"/>
            <w:sz w:val="16"/>
            <w:u w:val="single" w:color="0000FF"/>
          </w:rPr>
          <w:t> </w:t>
        </w:r>
        <w:r>
          <w:rPr>
            <w:color w:val="0000FF"/>
            <w:w w:val="105"/>
            <w:sz w:val="16"/>
            <w:u w:val="single" w:color="0000FF"/>
          </w:rPr>
          <w:t>Plan</w:t>
        </w:r>
        <w:r>
          <w:rPr>
            <w:color w:val="0000FF"/>
            <w:spacing w:val="-5"/>
            <w:w w:val="105"/>
            <w:sz w:val="16"/>
            <w:u w:val="single" w:color="0000FF"/>
          </w:rPr>
          <w:t> </w:t>
        </w:r>
        <w:r>
          <w:rPr>
            <w:color w:val="0000FF"/>
            <w:w w:val="105"/>
            <w:sz w:val="16"/>
            <w:u w:val="single" w:color="0000FF"/>
          </w:rPr>
          <w:t>for</w:t>
        </w:r>
        <w:r>
          <w:rPr>
            <w:color w:val="0000FF"/>
            <w:spacing w:val="-5"/>
            <w:w w:val="105"/>
            <w:sz w:val="16"/>
            <w:u w:val="single" w:color="0000FF"/>
          </w:rPr>
          <w:t> </w:t>
        </w:r>
        <w:r>
          <w:rPr>
            <w:color w:val="0000FF"/>
            <w:w w:val="105"/>
            <w:sz w:val="16"/>
            <w:u w:val="single" w:color="0000FF"/>
          </w:rPr>
          <w:t>Non-Employee</w:t>
        </w:r>
        <w:r>
          <w:rPr>
            <w:color w:val="0000FF"/>
            <w:spacing w:val="-5"/>
            <w:w w:val="105"/>
            <w:sz w:val="16"/>
            <w:u w:val="single" w:color="0000FF"/>
          </w:rPr>
          <w:t> </w:t>
        </w:r>
        <w:r>
          <w:rPr>
            <w:color w:val="0000FF"/>
            <w:w w:val="105"/>
            <w:sz w:val="16"/>
            <w:u w:val="single" w:color="0000FF"/>
          </w:rPr>
          <w:t>Directors),</w:t>
        </w:r>
        <w:r>
          <w:rPr>
            <w:color w:val="0000FF"/>
            <w:spacing w:val="-5"/>
            <w:w w:val="105"/>
            <w:sz w:val="16"/>
            <w:u w:val="single" w:color="0000FF"/>
          </w:rPr>
          <w:t> </w:t>
        </w:r>
        <w:r>
          <w:rPr>
            <w:color w:val="0000FF"/>
            <w:w w:val="105"/>
            <w:sz w:val="16"/>
            <w:u w:val="single" w:color="0000FF"/>
          </w:rPr>
          <w:t>effective</w:t>
        </w:r>
        <w:r>
          <w:rPr>
            <w:color w:val="0000FF"/>
            <w:spacing w:val="-5"/>
            <w:w w:val="105"/>
            <w:sz w:val="16"/>
            <w:u w:val="single" w:color="0000FF"/>
          </w:rPr>
          <w:t> </w:t>
        </w:r>
        <w:r>
          <w:rPr>
            <w:color w:val="0000FF"/>
            <w:w w:val="105"/>
            <w:sz w:val="16"/>
            <w:u w:val="single" w:color="0000FF"/>
          </w:rPr>
          <w:t>January</w:t>
        </w:r>
        <w:r>
          <w:rPr>
            <w:color w:val="0000FF"/>
            <w:spacing w:val="-5"/>
            <w:w w:val="105"/>
            <w:sz w:val="16"/>
            <w:u w:val="single" w:color="0000FF"/>
          </w:rPr>
          <w:t> </w:t>
        </w:r>
        <w:r>
          <w:rPr>
            <w:color w:val="0000FF"/>
            <w:w w:val="105"/>
            <w:sz w:val="16"/>
            <w:u w:val="single" w:color="0000FF"/>
          </w:rPr>
          <w:t>1,</w:t>
        </w:r>
        <w:r>
          <w:rPr>
            <w:color w:val="0000FF"/>
            <w:spacing w:val="-5"/>
            <w:w w:val="105"/>
            <w:sz w:val="16"/>
            <w:u w:val="single" w:color="0000FF"/>
          </w:rPr>
          <w:t> </w:t>
        </w:r>
        <w:r>
          <w:rPr>
            <w:color w:val="0000FF"/>
            <w:w w:val="105"/>
            <w:sz w:val="16"/>
            <w:u w:val="single" w:color="0000FF"/>
          </w:rPr>
          <w:t>2017</w:t>
        </w:r>
        <w:r>
          <w:rPr>
            <w:color w:val="0000FF"/>
            <w:spacing w:val="-5"/>
            <w:w w:val="105"/>
            <w:sz w:val="16"/>
            <w:u w:val="single" w:color="0000FF"/>
          </w:rPr>
          <w:t> </w:t>
        </w:r>
        <w:r>
          <w:rPr>
            <w:color w:val="0000FF"/>
            <w:w w:val="105"/>
            <w:sz w:val="16"/>
            <w:u w:val="single" w:color="0000FF"/>
          </w:rPr>
          <w:t>(Incorporated</w:t>
        </w:r>
        <w:r>
          <w:rPr>
            <w:color w:val="0000FF"/>
            <w:spacing w:val="-5"/>
            <w:w w:val="105"/>
            <w:sz w:val="16"/>
            <w:u w:val="single" w:color="0000FF"/>
          </w:rPr>
          <w:t> </w:t>
        </w:r>
        <w:r>
          <w:rPr>
            <w:color w:val="0000FF"/>
            <w:w w:val="105"/>
            <w:sz w:val="16"/>
            <w:u w:val="single" w:color="0000FF"/>
          </w:rPr>
          <w:t>by</w:t>
        </w:r>
        <w:r>
          <w:rPr>
            <w:color w:val="0000FF"/>
            <w:spacing w:val="-5"/>
            <w:w w:val="105"/>
            <w:sz w:val="16"/>
            <w:u w:val="single" w:color="0000FF"/>
          </w:rPr>
          <w:t> </w:t>
        </w:r>
        <w:r>
          <w:rPr>
            <w:color w:val="0000FF"/>
            <w:w w:val="105"/>
            <w:sz w:val="16"/>
            <w:u w:val="single" w:color="0000FF"/>
          </w:rPr>
          <w:t>reference</w:t>
        </w:r>
        <w:r>
          <w:rPr>
            <w:color w:val="0000FF"/>
            <w:spacing w:val="-5"/>
            <w:w w:val="105"/>
            <w:sz w:val="16"/>
            <w:u w:val="single" w:color="0000FF"/>
          </w:rPr>
          <w:t> </w:t>
        </w:r>
        <w:r>
          <w:rPr>
            <w:color w:val="0000FF"/>
            <w:w w:val="105"/>
            <w:sz w:val="16"/>
            <w:u w:val="single" w:color="0000FF"/>
          </w:rPr>
          <w:t>to</w:t>
        </w:r>
        <w:r>
          <w:rPr>
            <w:color w:val="0000FF"/>
            <w:spacing w:val="-5"/>
            <w:w w:val="105"/>
            <w:sz w:val="16"/>
            <w:u w:val="single" w:color="0000FF"/>
          </w:rPr>
          <w:t> </w:t>
        </w:r>
        <w:r>
          <w:rPr>
            <w:color w:val="0000FF"/>
            <w:w w:val="105"/>
            <w:sz w:val="16"/>
            <w:u w:val="single" w:color="0000FF"/>
          </w:rPr>
          <w:t>Exhibit</w:t>
        </w:r>
        <w:r>
          <w:rPr>
            <w:color w:val="0000FF"/>
            <w:spacing w:val="-5"/>
            <w:w w:val="105"/>
            <w:sz w:val="16"/>
            <w:u w:val="single" w:color="0000FF"/>
          </w:rPr>
          <w:t> </w:t>
        </w:r>
        <w:r>
          <w:rPr>
            <w:color w:val="0000FF"/>
            <w:w w:val="105"/>
            <w:sz w:val="16"/>
            <w:u w:val="single" w:color="0000FF"/>
          </w:rPr>
          <w:t>10.74</w:t>
        </w:r>
        <w:r>
          <w:rPr>
            <w:color w:val="0000FF"/>
            <w:spacing w:val="-5"/>
            <w:w w:val="105"/>
            <w:sz w:val="16"/>
            <w:u w:val="single" w:color="0000FF"/>
          </w:rPr>
          <w:t> </w:t>
        </w:r>
        <w:r>
          <w:rPr>
            <w:color w:val="0000FF"/>
            <w:w w:val="105"/>
            <w:sz w:val="16"/>
            <w:u w:val="single" w:color="0000FF"/>
          </w:rPr>
          <w:t>of</w:t>
        </w:r>
        <w:r>
          <w:rPr>
            <w:color w:val="0000FF"/>
            <w:spacing w:val="-5"/>
            <w:w w:val="105"/>
            <w:sz w:val="16"/>
            <w:u w:val="single" w:color="0000FF"/>
          </w:rPr>
          <w:t> </w:t>
        </w:r>
        <w:r>
          <w:rPr>
            <w:color w:val="0000FF"/>
            <w:w w:val="105"/>
            <w:sz w:val="16"/>
            <w:u w:val="single" w:color="0000FF"/>
          </w:rPr>
          <w:t>Corning’s</w:t>
        </w:r>
        <w:r>
          <w:rPr>
            <w:color w:val="0000FF"/>
            <w:spacing w:val="-5"/>
            <w:w w:val="105"/>
            <w:sz w:val="16"/>
            <w:u w:val="single" w:color="0000FF"/>
          </w:rPr>
          <w:t> </w:t>
        </w:r>
        <w:r>
          <w:rPr>
            <w:color w:val="0000FF"/>
            <w:w w:val="105"/>
            <w:sz w:val="16"/>
            <w:u w:val="single" w:color="0000FF"/>
          </w:rPr>
          <w:t>Form</w:t>
        </w:r>
        <w:r>
          <w:rPr>
            <w:color w:val="0000FF"/>
            <w:spacing w:val="-5"/>
            <w:w w:val="105"/>
            <w:sz w:val="16"/>
            <w:u w:val="single" w:color="0000FF"/>
          </w:rPr>
          <w:t> </w:t>
        </w:r>
        <w:r>
          <w:rPr>
            <w:color w:val="0000FF"/>
            <w:w w:val="105"/>
            <w:sz w:val="16"/>
            <w:u w:val="single" w:color="0000FF"/>
          </w:rPr>
          <w:t>10-K</w:t>
        </w:r>
        <w:r>
          <w:rPr>
            <w:color w:val="0000FF"/>
            <w:spacing w:val="-5"/>
            <w:w w:val="105"/>
            <w:sz w:val="16"/>
            <w:u w:val="single" w:color="0000FF"/>
          </w:rPr>
          <w:t> </w:t>
        </w:r>
        <w:r>
          <w:rPr>
            <w:color w:val="0000FF"/>
            <w:w w:val="105"/>
            <w:sz w:val="16"/>
            <w:u w:val="single" w:color="0000FF"/>
          </w:rPr>
          <w:t>filed</w:t>
        </w:r>
      </w:hyperlink>
      <w:r>
        <w:rPr>
          <w:color w:val="0000FF"/>
          <w:w w:val="105"/>
          <w:sz w:val="16"/>
        </w:rPr>
        <w:t> </w:t>
      </w:r>
      <w:hyperlink r:id="rId73">
        <w:r>
          <w:rPr>
            <w:color w:val="0000FF"/>
            <w:w w:val="105"/>
            <w:sz w:val="16"/>
            <w:u w:val="single" w:color="0000FF"/>
          </w:rPr>
          <w:t>February 6, 2017).</w:t>
        </w:r>
      </w:hyperlink>
    </w:p>
    <w:p>
      <w:pPr>
        <w:pStyle w:val="ListParagraph"/>
        <w:numPr>
          <w:ilvl w:val="1"/>
          <w:numId w:val="25"/>
        </w:numPr>
        <w:tabs>
          <w:tab w:pos="1659" w:val="left" w:leader="none"/>
        </w:tabs>
        <w:spacing w:line="266" w:lineRule="auto" w:before="0" w:after="0"/>
        <w:ind w:left="1659" w:right="497" w:hanging="1032"/>
        <w:jc w:val="left"/>
        <w:rPr>
          <w:sz w:val="16"/>
        </w:rPr>
      </w:pPr>
      <w:hyperlink r:id="rId74">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Incentive</w:t>
        </w:r>
        <w:r>
          <w:rPr>
            <w:color w:val="0000FF"/>
            <w:spacing w:val="-10"/>
            <w:w w:val="105"/>
            <w:sz w:val="16"/>
            <w:u w:val="single" w:color="0000FF"/>
          </w:rPr>
          <w:t> </w:t>
        </w:r>
        <w:r>
          <w:rPr>
            <w:color w:val="0000FF"/>
            <w:w w:val="105"/>
            <w:sz w:val="16"/>
            <w:u w:val="single" w:color="0000FF"/>
          </w:rPr>
          <w:t>Stock</w:t>
        </w:r>
        <w:r>
          <w:rPr>
            <w:color w:val="0000FF"/>
            <w:spacing w:val="-10"/>
            <w:w w:val="105"/>
            <w:sz w:val="16"/>
            <w:u w:val="single" w:color="0000FF"/>
          </w:rPr>
          <w:t> </w:t>
        </w:r>
        <w:r>
          <w:rPr>
            <w:color w:val="0000FF"/>
            <w:w w:val="105"/>
            <w:sz w:val="16"/>
            <w:u w:val="single" w:color="0000FF"/>
          </w:rPr>
          <w:t>Rights</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for</w:t>
        </w:r>
        <w:r>
          <w:rPr>
            <w:color w:val="0000FF"/>
            <w:spacing w:val="-10"/>
            <w:w w:val="105"/>
            <w:sz w:val="16"/>
            <w:u w:val="single" w:color="0000FF"/>
          </w:rPr>
          <w:t> </w:t>
        </w:r>
        <w:r>
          <w:rPr>
            <w:color w:val="0000FF"/>
            <w:w w:val="105"/>
            <w:sz w:val="16"/>
            <w:u w:val="single" w:color="0000FF"/>
          </w:rPr>
          <w:t>Employees,</w:t>
        </w:r>
        <w:r>
          <w:rPr>
            <w:color w:val="0000FF"/>
            <w:spacing w:val="-10"/>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January</w:t>
        </w:r>
        <w:r>
          <w:rPr>
            <w:color w:val="0000FF"/>
            <w:spacing w:val="-10"/>
            <w:w w:val="105"/>
            <w:sz w:val="16"/>
            <w:u w:val="single" w:color="0000FF"/>
          </w:rPr>
          <w:t> </w:t>
        </w:r>
        <w:r>
          <w:rPr>
            <w:color w:val="0000FF"/>
            <w:w w:val="105"/>
            <w:sz w:val="16"/>
            <w:u w:val="single" w:color="0000FF"/>
          </w:rPr>
          <w:t>1,</w:t>
        </w:r>
        <w:r>
          <w:rPr>
            <w:color w:val="0000FF"/>
            <w:spacing w:val="-10"/>
            <w:w w:val="105"/>
            <w:sz w:val="16"/>
            <w:u w:val="single" w:color="0000FF"/>
          </w:rPr>
          <w:t> </w:t>
        </w:r>
        <w:r>
          <w:rPr>
            <w:color w:val="0000FF"/>
            <w:w w:val="105"/>
            <w:sz w:val="16"/>
            <w:u w:val="single" w:color="0000FF"/>
          </w:rPr>
          <w:t>2018</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hyperlink>
      <w:r>
        <w:rPr>
          <w:color w:val="0000FF"/>
          <w:w w:val="105"/>
          <w:sz w:val="16"/>
        </w:rPr>
        <w:t> </w:t>
      </w:r>
      <w:hyperlink r:id="rId74">
        <w:r>
          <w:rPr>
            <w:color w:val="0000FF"/>
            <w:w w:val="105"/>
            <w:sz w:val="16"/>
            <w:u w:val="single" w:color="0000FF"/>
          </w:rPr>
          <w:t>10.74 of Corning’s Form 10-K filed February 15, 2018).</w:t>
        </w:r>
      </w:hyperlink>
    </w:p>
    <w:p>
      <w:pPr>
        <w:pStyle w:val="ListParagraph"/>
        <w:numPr>
          <w:ilvl w:val="1"/>
          <w:numId w:val="25"/>
        </w:numPr>
        <w:tabs>
          <w:tab w:pos="1659" w:val="left" w:leader="none"/>
        </w:tabs>
        <w:spacing w:line="266" w:lineRule="auto" w:before="0" w:after="0"/>
        <w:ind w:left="1659" w:right="166" w:hanging="1032"/>
        <w:jc w:val="left"/>
        <w:rPr>
          <w:sz w:val="16"/>
        </w:rPr>
      </w:pPr>
      <w:hyperlink r:id="rId75">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Cash</w:t>
        </w:r>
        <w:r>
          <w:rPr>
            <w:color w:val="0000FF"/>
            <w:spacing w:val="-10"/>
            <w:w w:val="105"/>
            <w:sz w:val="16"/>
            <w:u w:val="single" w:color="0000FF"/>
          </w:rPr>
          <w:t> </w:t>
        </w:r>
        <w:r>
          <w:rPr>
            <w:color w:val="0000FF"/>
            <w:w w:val="105"/>
            <w:sz w:val="16"/>
            <w:u w:val="single" w:color="0000FF"/>
          </w:rPr>
          <w:t>Performance</w:t>
        </w:r>
        <w:r>
          <w:rPr>
            <w:color w:val="0000FF"/>
            <w:spacing w:val="-10"/>
            <w:w w:val="105"/>
            <w:sz w:val="16"/>
            <w:u w:val="single" w:color="0000FF"/>
          </w:rPr>
          <w:t> </w:t>
        </w:r>
        <w:r>
          <w:rPr>
            <w:color w:val="0000FF"/>
            <w:w w:val="105"/>
            <w:sz w:val="16"/>
            <w:u w:val="single" w:color="0000FF"/>
          </w:rPr>
          <w:t>Unit</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January</w:t>
        </w:r>
        <w:r>
          <w:rPr>
            <w:color w:val="0000FF"/>
            <w:spacing w:val="-10"/>
            <w:w w:val="105"/>
            <w:sz w:val="16"/>
            <w:u w:val="single" w:color="0000FF"/>
          </w:rPr>
          <w:t> </w:t>
        </w:r>
        <w:r>
          <w:rPr>
            <w:color w:val="0000FF"/>
            <w:w w:val="105"/>
            <w:sz w:val="16"/>
            <w:u w:val="single" w:color="0000FF"/>
          </w:rPr>
          <w:t>1,</w:t>
        </w:r>
        <w:r>
          <w:rPr>
            <w:color w:val="0000FF"/>
            <w:spacing w:val="-10"/>
            <w:w w:val="105"/>
            <w:sz w:val="16"/>
            <w:u w:val="single" w:color="0000FF"/>
          </w:rPr>
          <w:t> </w:t>
        </w:r>
        <w:r>
          <w:rPr>
            <w:color w:val="0000FF"/>
            <w:w w:val="105"/>
            <w:sz w:val="16"/>
            <w:u w:val="single" w:color="0000FF"/>
          </w:rPr>
          <w:t>2018</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10.75</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Corning’s</w:t>
        </w:r>
      </w:hyperlink>
      <w:r>
        <w:rPr>
          <w:color w:val="0000FF"/>
          <w:w w:val="105"/>
          <w:sz w:val="16"/>
        </w:rPr>
        <w:t> </w:t>
      </w:r>
      <w:hyperlink r:id="rId75">
        <w:r>
          <w:rPr>
            <w:color w:val="0000FF"/>
            <w:w w:val="105"/>
            <w:sz w:val="16"/>
            <w:u w:val="single" w:color="0000FF"/>
          </w:rPr>
          <w:t>Form 10-K filed February 15, 2018).</w:t>
        </w:r>
      </w:hyperlink>
    </w:p>
    <w:p>
      <w:pPr>
        <w:pStyle w:val="ListParagraph"/>
        <w:numPr>
          <w:ilvl w:val="1"/>
          <w:numId w:val="25"/>
        </w:numPr>
        <w:tabs>
          <w:tab w:pos="1659" w:val="left" w:leader="none"/>
        </w:tabs>
        <w:spacing w:line="266" w:lineRule="auto" w:before="0" w:after="0"/>
        <w:ind w:left="1659" w:right="284" w:hanging="1032"/>
        <w:jc w:val="left"/>
        <w:rPr>
          <w:sz w:val="16"/>
        </w:rPr>
      </w:pPr>
      <w:hyperlink r:id="rId76">
        <w:r>
          <w:rPr>
            <w:color w:val="0000FF"/>
            <w:w w:val="105"/>
            <w:sz w:val="16"/>
            <w:u w:val="single" w:color="0000FF"/>
          </w:rPr>
          <w:t>Credit</w:t>
        </w:r>
        <w:r>
          <w:rPr>
            <w:color w:val="0000FF"/>
            <w:spacing w:val="-9"/>
            <w:w w:val="105"/>
            <w:sz w:val="16"/>
            <w:u w:val="single" w:color="0000FF"/>
          </w:rPr>
          <w:t> </w:t>
        </w:r>
        <w:r>
          <w:rPr>
            <w:color w:val="0000FF"/>
            <w:w w:val="105"/>
            <w:sz w:val="16"/>
            <w:u w:val="single" w:color="0000FF"/>
          </w:rPr>
          <w:t>Agreement</w:t>
        </w:r>
        <w:r>
          <w:rPr>
            <w:color w:val="0000FF"/>
            <w:spacing w:val="-9"/>
            <w:w w:val="105"/>
            <w:sz w:val="16"/>
            <w:u w:val="single" w:color="0000FF"/>
          </w:rPr>
          <w:t> </w:t>
        </w:r>
        <w:r>
          <w:rPr>
            <w:color w:val="0000FF"/>
            <w:w w:val="105"/>
            <w:sz w:val="16"/>
            <w:u w:val="single" w:color="0000FF"/>
          </w:rPr>
          <w:t>dated</w:t>
        </w:r>
        <w:r>
          <w:rPr>
            <w:color w:val="0000FF"/>
            <w:spacing w:val="-9"/>
            <w:w w:val="105"/>
            <w:sz w:val="16"/>
            <w:u w:val="single" w:color="0000FF"/>
          </w:rPr>
          <w:t> </w:t>
        </w:r>
        <w:r>
          <w:rPr>
            <w:color w:val="0000FF"/>
            <w:w w:val="105"/>
            <w:sz w:val="16"/>
            <w:u w:val="single" w:color="0000FF"/>
          </w:rPr>
          <w:t>as</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August</w:t>
        </w:r>
        <w:r>
          <w:rPr>
            <w:color w:val="0000FF"/>
            <w:spacing w:val="-9"/>
            <w:w w:val="105"/>
            <w:sz w:val="16"/>
            <w:u w:val="single" w:color="0000FF"/>
          </w:rPr>
          <w:t> </w:t>
        </w:r>
        <w:r>
          <w:rPr>
            <w:color w:val="0000FF"/>
            <w:w w:val="105"/>
            <w:sz w:val="16"/>
            <w:u w:val="single" w:color="0000FF"/>
          </w:rPr>
          <w:t>15,</w:t>
        </w:r>
        <w:r>
          <w:rPr>
            <w:color w:val="0000FF"/>
            <w:spacing w:val="-9"/>
            <w:w w:val="105"/>
            <w:sz w:val="16"/>
            <w:u w:val="single" w:color="0000FF"/>
          </w:rPr>
          <w:t> </w:t>
        </w:r>
        <w:r>
          <w:rPr>
            <w:color w:val="0000FF"/>
            <w:w w:val="105"/>
            <w:sz w:val="16"/>
            <w:u w:val="single" w:color="0000FF"/>
          </w:rPr>
          <w:t>2018,</w:t>
        </w:r>
        <w:r>
          <w:rPr>
            <w:color w:val="0000FF"/>
            <w:spacing w:val="-9"/>
            <w:w w:val="105"/>
            <w:sz w:val="16"/>
            <w:u w:val="single" w:color="0000FF"/>
          </w:rPr>
          <w:t> </w:t>
        </w:r>
        <w:r>
          <w:rPr>
            <w:color w:val="0000FF"/>
            <w:w w:val="105"/>
            <w:sz w:val="16"/>
            <w:u w:val="single" w:color="0000FF"/>
          </w:rPr>
          <w:t>among</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JPMorgan</w:t>
        </w:r>
        <w:r>
          <w:rPr>
            <w:color w:val="0000FF"/>
            <w:spacing w:val="-9"/>
            <w:w w:val="105"/>
            <w:sz w:val="16"/>
            <w:u w:val="single" w:color="0000FF"/>
          </w:rPr>
          <w:t> </w:t>
        </w:r>
        <w:r>
          <w:rPr>
            <w:color w:val="0000FF"/>
            <w:w w:val="105"/>
            <w:sz w:val="16"/>
            <w:u w:val="single" w:color="0000FF"/>
          </w:rPr>
          <w:t>Chase</w:t>
        </w:r>
        <w:r>
          <w:rPr>
            <w:color w:val="0000FF"/>
            <w:spacing w:val="-9"/>
            <w:w w:val="105"/>
            <w:sz w:val="16"/>
            <w:u w:val="single" w:color="0000FF"/>
          </w:rPr>
          <w:t> </w:t>
        </w:r>
        <w:r>
          <w:rPr>
            <w:color w:val="0000FF"/>
            <w:w w:val="105"/>
            <w:sz w:val="16"/>
            <w:u w:val="single" w:color="0000FF"/>
          </w:rPr>
          <w:t>Bank,</w:t>
        </w:r>
        <w:r>
          <w:rPr>
            <w:color w:val="0000FF"/>
            <w:spacing w:val="-9"/>
            <w:w w:val="105"/>
            <w:sz w:val="16"/>
            <w:u w:val="single" w:color="0000FF"/>
          </w:rPr>
          <w:t> </w:t>
        </w:r>
        <w:r>
          <w:rPr>
            <w:color w:val="0000FF"/>
            <w:w w:val="105"/>
            <w:sz w:val="16"/>
            <w:u w:val="single" w:color="0000FF"/>
          </w:rPr>
          <w:t>N.A.,</w:t>
        </w:r>
        <w:r>
          <w:rPr>
            <w:color w:val="0000FF"/>
            <w:spacing w:val="-9"/>
            <w:w w:val="105"/>
            <w:sz w:val="16"/>
            <w:u w:val="single" w:color="0000FF"/>
          </w:rPr>
          <w:t> </w:t>
        </w:r>
        <w:r>
          <w:rPr>
            <w:color w:val="0000FF"/>
            <w:w w:val="105"/>
            <w:sz w:val="16"/>
            <w:u w:val="single" w:color="0000FF"/>
          </w:rPr>
          <w:t>Citibank,</w:t>
        </w:r>
        <w:r>
          <w:rPr>
            <w:color w:val="0000FF"/>
            <w:spacing w:val="-9"/>
            <w:w w:val="105"/>
            <w:sz w:val="16"/>
            <w:u w:val="single" w:color="0000FF"/>
          </w:rPr>
          <w:t> </w:t>
        </w:r>
        <w:r>
          <w:rPr>
            <w:color w:val="0000FF"/>
            <w:w w:val="105"/>
            <w:sz w:val="16"/>
            <w:u w:val="single" w:color="0000FF"/>
          </w:rPr>
          <w:t>N.A.,</w:t>
        </w:r>
        <w:r>
          <w:rPr>
            <w:color w:val="0000FF"/>
            <w:spacing w:val="-9"/>
            <w:w w:val="105"/>
            <w:sz w:val="16"/>
            <w:u w:val="single" w:color="0000FF"/>
          </w:rPr>
          <w:t> </w:t>
        </w:r>
        <w:r>
          <w:rPr>
            <w:color w:val="0000FF"/>
            <w:w w:val="105"/>
            <w:sz w:val="16"/>
            <w:u w:val="single" w:color="0000FF"/>
          </w:rPr>
          <w:t>Bank</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America,</w:t>
        </w:r>
        <w:r>
          <w:rPr>
            <w:color w:val="0000FF"/>
            <w:spacing w:val="-9"/>
            <w:w w:val="105"/>
            <w:sz w:val="16"/>
            <w:u w:val="single" w:color="0000FF"/>
          </w:rPr>
          <w:t> </w:t>
        </w:r>
        <w:r>
          <w:rPr>
            <w:color w:val="0000FF"/>
            <w:w w:val="105"/>
            <w:sz w:val="16"/>
            <w:u w:val="single" w:color="0000FF"/>
          </w:rPr>
          <w:t>N.A.,</w:t>
        </w:r>
      </w:hyperlink>
      <w:r>
        <w:rPr>
          <w:color w:val="0000FF"/>
          <w:w w:val="105"/>
          <w:sz w:val="16"/>
        </w:rPr>
        <w:t> </w:t>
      </w:r>
      <w:hyperlink r:id="rId76">
        <w:r>
          <w:rPr>
            <w:color w:val="0000FF"/>
            <w:w w:val="105"/>
            <w:sz w:val="16"/>
            <w:u w:val="single" w:color="0000FF"/>
          </w:rPr>
          <w:t>Goldman</w:t>
        </w:r>
        <w:r>
          <w:rPr>
            <w:color w:val="0000FF"/>
            <w:spacing w:val="-1"/>
            <w:w w:val="105"/>
            <w:sz w:val="16"/>
            <w:u w:val="single" w:color="0000FF"/>
          </w:rPr>
          <w:t> </w:t>
        </w:r>
        <w:r>
          <w:rPr>
            <w:color w:val="0000FF"/>
            <w:w w:val="105"/>
            <w:sz w:val="16"/>
            <w:u w:val="single" w:color="0000FF"/>
          </w:rPr>
          <w:t>Sachs</w:t>
        </w:r>
        <w:r>
          <w:rPr>
            <w:color w:val="0000FF"/>
            <w:spacing w:val="-1"/>
            <w:w w:val="105"/>
            <w:sz w:val="16"/>
            <w:u w:val="single" w:color="0000FF"/>
          </w:rPr>
          <w:t> </w:t>
        </w:r>
        <w:r>
          <w:rPr>
            <w:color w:val="0000FF"/>
            <w:w w:val="105"/>
            <w:sz w:val="16"/>
            <w:u w:val="single" w:color="0000FF"/>
          </w:rPr>
          <w:t>Bank</w:t>
        </w:r>
        <w:r>
          <w:rPr>
            <w:color w:val="0000FF"/>
            <w:spacing w:val="-1"/>
            <w:w w:val="105"/>
            <w:sz w:val="16"/>
            <w:u w:val="single" w:color="0000FF"/>
          </w:rPr>
          <w:t> </w:t>
        </w:r>
        <w:r>
          <w:rPr>
            <w:color w:val="0000FF"/>
            <w:w w:val="105"/>
            <w:sz w:val="16"/>
            <w:u w:val="single" w:color="0000FF"/>
          </w:rPr>
          <w:t>USA,</w:t>
        </w:r>
        <w:r>
          <w:rPr>
            <w:color w:val="0000FF"/>
            <w:spacing w:val="-1"/>
            <w:w w:val="105"/>
            <w:sz w:val="16"/>
            <w:u w:val="single" w:color="0000FF"/>
          </w:rPr>
          <w:t> </w:t>
        </w:r>
        <w:r>
          <w:rPr>
            <w:color w:val="0000FF"/>
            <w:w w:val="105"/>
            <w:sz w:val="16"/>
            <w:u w:val="single" w:color="0000FF"/>
          </w:rPr>
          <w:t>HSBC</w:t>
        </w:r>
        <w:r>
          <w:rPr>
            <w:color w:val="0000FF"/>
            <w:spacing w:val="-1"/>
            <w:w w:val="105"/>
            <w:sz w:val="16"/>
            <w:u w:val="single" w:color="0000FF"/>
          </w:rPr>
          <w:t> </w:t>
        </w:r>
        <w:r>
          <w:rPr>
            <w:color w:val="0000FF"/>
            <w:w w:val="105"/>
            <w:sz w:val="16"/>
            <w:u w:val="single" w:color="0000FF"/>
          </w:rPr>
          <w:t>Bank</w:t>
        </w:r>
        <w:r>
          <w:rPr>
            <w:color w:val="0000FF"/>
            <w:spacing w:val="-1"/>
            <w:w w:val="105"/>
            <w:sz w:val="16"/>
            <w:u w:val="single" w:color="0000FF"/>
          </w:rPr>
          <w:t> </w:t>
        </w:r>
        <w:r>
          <w:rPr>
            <w:color w:val="0000FF"/>
            <w:w w:val="105"/>
            <w:sz w:val="16"/>
            <w:u w:val="single" w:color="0000FF"/>
          </w:rPr>
          <w:t>USA,</w:t>
        </w:r>
        <w:r>
          <w:rPr>
            <w:color w:val="0000FF"/>
            <w:spacing w:val="-1"/>
            <w:w w:val="105"/>
            <w:sz w:val="16"/>
            <w:u w:val="single" w:color="0000FF"/>
          </w:rPr>
          <w:t> </w:t>
        </w:r>
        <w:r>
          <w:rPr>
            <w:color w:val="0000FF"/>
            <w:w w:val="105"/>
            <w:sz w:val="16"/>
            <w:u w:val="single" w:color="0000FF"/>
          </w:rPr>
          <w:t>National</w:t>
        </w:r>
        <w:r>
          <w:rPr>
            <w:color w:val="0000FF"/>
            <w:spacing w:val="-1"/>
            <w:w w:val="105"/>
            <w:sz w:val="16"/>
            <w:u w:val="single" w:color="0000FF"/>
          </w:rPr>
          <w:t> </w:t>
        </w:r>
        <w:r>
          <w:rPr>
            <w:color w:val="0000FF"/>
            <w:w w:val="105"/>
            <w:sz w:val="16"/>
            <w:u w:val="single" w:color="0000FF"/>
          </w:rPr>
          <w:t>Association,</w:t>
        </w:r>
        <w:r>
          <w:rPr>
            <w:color w:val="0000FF"/>
            <w:spacing w:val="-1"/>
            <w:w w:val="105"/>
            <w:sz w:val="16"/>
            <w:u w:val="single" w:color="0000FF"/>
          </w:rPr>
          <w:t> </w:t>
        </w:r>
        <w:r>
          <w:rPr>
            <w:color w:val="0000FF"/>
            <w:w w:val="105"/>
            <w:sz w:val="16"/>
            <w:u w:val="single" w:color="0000FF"/>
          </w:rPr>
          <w:t>Morgan</w:t>
        </w:r>
        <w:r>
          <w:rPr>
            <w:color w:val="0000FF"/>
            <w:spacing w:val="-1"/>
            <w:w w:val="105"/>
            <w:sz w:val="16"/>
            <w:u w:val="single" w:color="0000FF"/>
          </w:rPr>
          <w:t> </w:t>
        </w:r>
        <w:r>
          <w:rPr>
            <w:color w:val="0000FF"/>
            <w:w w:val="105"/>
            <w:sz w:val="16"/>
            <w:u w:val="single" w:color="0000FF"/>
          </w:rPr>
          <w:t>Stanley</w:t>
        </w:r>
        <w:r>
          <w:rPr>
            <w:color w:val="0000FF"/>
            <w:spacing w:val="-1"/>
            <w:w w:val="105"/>
            <w:sz w:val="16"/>
            <w:u w:val="single" w:color="0000FF"/>
          </w:rPr>
          <w:t> </w:t>
        </w:r>
        <w:r>
          <w:rPr>
            <w:color w:val="0000FF"/>
            <w:w w:val="105"/>
            <w:sz w:val="16"/>
            <w:u w:val="single" w:color="0000FF"/>
          </w:rPr>
          <w:t>Bank,</w:t>
        </w:r>
        <w:r>
          <w:rPr>
            <w:color w:val="0000FF"/>
            <w:spacing w:val="-1"/>
            <w:w w:val="105"/>
            <w:sz w:val="16"/>
            <w:u w:val="single" w:color="0000FF"/>
          </w:rPr>
          <w:t> </w:t>
        </w:r>
        <w:r>
          <w:rPr>
            <w:color w:val="0000FF"/>
            <w:w w:val="105"/>
            <w:sz w:val="16"/>
            <w:u w:val="single" w:color="0000FF"/>
          </w:rPr>
          <w:t>N.A.,</w:t>
        </w:r>
        <w:r>
          <w:rPr>
            <w:color w:val="0000FF"/>
            <w:spacing w:val="-1"/>
            <w:w w:val="105"/>
            <w:sz w:val="16"/>
            <w:u w:val="single" w:color="0000FF"/>
          </w:rPr>
          <w:t> </w:t>
        </w:r>
        <w:r>
          <w:rPr>
            <w:color w:val="0000FF"/>
            <w:w w:val="105"/>
            <w:sz w:val="16"/>
            <w:u w:val="single" w:color="0000FF"/>
          </w:rPr>
          <w:t>MUFG</w:t>
        </w:r>
        <w:r>
          <w:rPr>
            <w:color w:val="0000FF"/>
            <w:spacing w:val="-1"/>
            <w:w w:val="105"/>
            <w:sz w:val="16"/>
            <w:u w:val="single" w:color="0000FF"/>
          </w:rPr>
          <w:t> </w:t>
        </w:r>
        <w:r>
          <w:rPr>
            <w:color w:val="0000FF"/>
            <w:w w:val="105"/>
            <w:sz w:val="16"/>
            <w:u w:val="single" w:color="0000FF"/>
          </w:rPr>
          <w:t>Bank,</w:t>
        </w:r>
        <w:r>
          <w:rPr>
            <w:color w:val="0000FF"/>
            <w:spacing w:val="-1"/>
            <w:w w:val="105"/>
            <w:sz w:val="16"/>
            <w:u w:val="single" w:color="0000FF"/>
          </w:rPr>
          <w:t> </w:t>
        </w:r>
        <w:r>
          <w:rPr>
            <w:color w:val="0000FF"/>
            <w:w w:val="105"/>
            <w:sz w:val="16"/>
            <w:u w:val="single" w:color="0000FF"/>
          </w:rPr>
          <w:t>Ltd.,</w:t>
        </w:r>
        <w:r>
          <w:rPr>
            <w:color w:val="0000FF"/>
            <w:spacing w:val="-1"/>
            <w:w w:val="105"/>
            <w:sz w:val="16"/>
            <w:u w:val="single" w:color="0000FF"/>
          </w:rPr>
          <w:t> </w:t>
        </w:r>
        <w:r>
          <w:rPr>
            <w:color w:val="0000FF"/>
            <w:w w:val="105"/>
            <w:sz w:val="16"/>
            <w:u w:val="single" w:color="0000FF"/>
          </w:rPr>
          <w:t>Standard</w:t>
        </w:r>
        <w:r>
          <w:rPr>
            <w:color w:val="0000FF"/>
            <w:spacing w:val="-1"/>
            <w:w w:val="105"/>
            <w:sz w:val="16"/>
            <w:u w:val="single" w:color="0000FF"/>
          </w:rPr>
          <w:t> </w:t>
        </w:r>
        <w:r>
          <w:rPr>
            <w:color w:val="0000FF"/>
            <w:w w:val="105"/>
            <w:sz w:val="16"/>
            <w:u w:val="single" w:color="0000FF"/>
          </w:rPr>
          <w:t>Chartered</w:t>
        </w:r>
        <w:r>
          <w:rPr>
            <w:color w:val="0000FF"/>
            <w:spacing w:val="-1"/>
            <w:w w:val="105"/>
            <w:sz w:val="16"/>
            <w:u w:val="single" w:color="0000FF"/>
          </w:rPr>
          <w:t> </w:t>
        </w:r>
        <w:r>
          <w:rPr>
            <w:color w:val="0000FF"/>
            <w:w w:val="105"/>
            <w:sz w:val="16"/>
            <w:u w:val="single" w:color="0000FF"/>
          </w:rPr>
          <w:t>Bank,</w:t>
        </w:r>
      </w:hyperlink>
      <w:r>
        <w:rPr>
          <w:color w:val="0000FF"/>
          <w:w w:val="105"/>
          <w:sz w:val="16"/>
        </w:rPr>
        <w:t> </w:t>
      </w:r>
      <w:hyperlink r:id="rId76">
        <w:r>
          <w:rPr>
            <w:color w:val="0000FF"/>
            <w:w w:val="105"/>
            <w:sz w:val="16"/>
            <w:u w:val="single" w:color="0000FF"/>
          </w:rPr>
          <w:t>Sumitomo</w:t>
        </w:r>
        <w:r>
          <w:rPr>
            <w:color w:val="0000FF"/>
            <w:spacing w:val="-1"/>
            <w:w w:val="105"/>
            <w:sz w:val="16"/>
            <w:u w:val="single" w:color="0000FF"/>
          </w:rPr>
          <w:t> </w:t>
        </w:r>
        <w:r>
          <w:rPr>
            <w:color w:val="0000FF"/>
            <w:w w:val="105"/>
            <w:sz w:val="16"/>
            <w:u w:val="single" w:color="0000FF"/>
          </w:rPr>
          <w:t>Mitsui</w:t>
        </w:r>
        <w:r>
          <w:rPr>
            <w:color w:val="0000FF"/>
            <w:spacing w:val="-1"/>
            <w:w w:val="105"/>
            <w:sz w:val="16"/>
            <w:u w:val="single" w:color="0000FF"/>
          </w:rPr>
          <w:t> </w:t>
        </w:r>
        <w:r>
          <w:rPr>
            <w:color w:val="0000FF"/>
            <w:w w:val="105"/>
            <w:sz w:val="16"/>
            <w:u w:val="single" w:color="0000FF"/>
          </w:rPr>
          <w:t>Banking</w:t>
        </w:r>
        <w:r>
          <w:rPr>
            <w:color w:val="0000FF"/>
            <w:spacing w:val="-1"/>
            <w:w w:val="105"/>
            <w:sz w:val="16"/>
            <w:u w:val="single" w:color="0000FF"/>
          </w:rPr>
          <w:t> </w:t>
        </w:r>
        <w:r>
          <w:rPr>
            <w:color w:val="0000FF"/>
            <w:w w:val="105"/>
            <w:sz w:val="16"/>
            <w:u w:val="single" w:color="0000FF"/>
          </w:rPr>
          <w:t>Corporation,</w:t>
        </w:r>
        <w:r>
          <w:rPr>
            <w:color w:val="0000FF"/>
            <w:spacing w:val="-1"/>
            <w:w w:val="105"/>
            <w:sz w:val="16"/>
            <w:u w:val="single" w:color="0000FF"/>
          </w:rPr>
          <w:t> </w:t>
        </w:r>
        <w:r>
          <w:rPr>
            <w:color w:val="0000FF"/>
            <w:w w:val="105"/>
            <w:sz w:val="16"/>
            <w:u w:val="single" w:color="0000FF"/>
          </w:rPr>
          <w:t>Wells</w:t>
        </w:r>
        <w:r>
          <w:rPr>
            <w:color w:val="0000FF"/>
            <w:spacing w:val="-1"/>
            <w:w w:val="105"/>
            <w:sz w:val="16"/>
            <w:u w:val="single" w:color="0000FF"/>
          </w:rPr>
          <w:t> </w:t>
        </w:r>
        <w:r>
          <w:rPr>
            <w:color w:val="0000FF"/>
            <w:w w:val="105"/>
            <w:sz w:val="16"/>
            <w:u w:val="single" w:color="0000FF"/>
          </w:rPr>
          <w:t>Fargo</w:t>
        </w:r>
        <w:r>
          <w:rPr>
            <w:color w:val="0000FF"/>
            <w:spacing w:val="-1"/>
            <w:w w:val="105"/>
            <w:sz w:val="16"/>
            <w:u w:val="single" w:color="0000FF"/>
          </w:rPr>
          <w:t> </w:t>
        </w:r>
        <w:r>
          <w:rPr>
            <w:color w:val="0000FF"/>
            <w:w w:val="105"/>
            <w:sz w:val="16"/>
            <w:u w:val="single" w:color="0000FF"/>
          </w:rPr>
          <w:t>Bank,</w:t>
        </w:r>
        <w:r>
          <w:rPr>
            <w:color w:val="0000FF"/>
            <w:spacing w:val="-1"/>
            <w:w w:val="105"/>
            <w:sz w:val="16"/>
            <w:u w:val="single" w:color="0000FF"/>
          </w:rPr>
          <w:t> </w:t>
        </w:r>
        <w:r>
          <w:rPr>
            <w:color w:val="0000FF"/>
            <w:w w:val="105"/>
            <w:sz w:val="16"/>
            <w:u w:val="single" w:color="0000FF"/>
          </w:rPr>
          <w:t>National</w:t>
        </w:r>
        <w:r>
          <w:rPr>
            <w:color w:val="0000FF"/>
            <w:spacing w:val="-1"/>
            <w:w w:val="105"/>
            <w:sz w:val="16"/>
            <w:u w:val="single" w:color="0000FF"/>
          </w:rPr>
          <w:t> </w:t>
        </w:r>
        <w:r>
          <w:rPr>
            <w:color w:val="0000FF"/>
            <w:w w:val="105"/>
            <w:sz w:val="16"/>
            <w:u w:val="single" w:color="0000FF"/>
          </w:rPr>
          <w:t>Association,</w:t>
        </w:r>
        <w:r>
          <w:rPr>
            <w:color w:val="0000FF"/>
            <w:spacing w:val="-1"/>
            <w:w w:val="105"/>
            <w:sz w:val="16"/>
            <w:u w:val="single" w:color="0000FF"/>
          </w:rPr>
          <w:t> </w:t>
        </w:r>
        <w:r>
          <w:rPr>
            <w:color w:val="0000FF"/>
            <w:w w:val="105"/>
            <w:sz w:val="16"/>
            <w:u w:val="single" w:color="0000FF"/>
          </w:rPr>
          <w:t>Bank</w:t>
        </w:r>
        <w:r>
          <w:rPr>
            <w:color w:val="0000FF"/>
            <w:spacing w:val="-1"/>
            <w:w w:val="105"/>
            <w:sz w:val="16"/>
            <w:u w:val="single" w:color="0000FF"/>
          </w:rPr>
          <w:t> </w:t>
        </w:r>
        <w:r>
          <w:rPr>
            <w:color w:val="0000FF"/>
            <w:w w:val="105"/>
            <w:sz w:val="16"/>
            <w:u w:val="single" w:color="0000FF"/>
          </w:rPr>
          <w:t>of</w:t>
        </w:r>
        <w:r>
          <w:rPr>
            <w:color w:val="0000FF"/>
            <w:spacing w:val="-1"/>
            <w:w w:val="105"/>
            <w:sz w:val="16"/>
            <w:u w:val="single" w:color="0000FF"/>
          </w:rPr>
          <w:t> </w:t>
        </w:r>
        <w:r>
          <w:rPr>
            <w:color w:val="0000FF"/>
            <w:w w:val="105"/>
            <w:sz w:val="16"/>
            <w:u w:val="single" w:color="0000FF"/>
          </w:rPr>
          <w:t>China</w:t>
        </w:r>
        <w:r>
          <w:rPr>
            <w:color w:val="0000FF"/>
            <w:spacing w:val="-1"/>
            <w:w w:val="105"/>
            <w:sz w:val="16"/>
            <w:u w:val="single" w:color="0000FF"/>
          </w:rPr>
          <w:t> </w:t>
        </w:r>
        <w:r>
          <w:rPr>
            <w:color w:val="0000FF"/>
            <w:w w:val="105"/>
            <w:sz w:val="16"/>
            <w:u w:val="single" w:color="0000FF"/>
          </w:rPr>
          <w:t>New</w:t>
        </w:r>
        <w:r>
          <w:rPr>
            <w:color w:val="0000FF"/>
            <w:spacing w:val="-1"/>
            <w:w w:val="105"/>
            <w:sz w:val="16"/>
            <w:u w:val="single" w:color="0000FF"/>
          </w:rPr>
          <w:t> </w:t>
        </w:r>
        <w:r>
          <w:rPr>
            <w:color w:val="0000FF"/>
            <w:w w:val="105"/>
            <w:sz w:val="16"/>
            <w:u w:val="single" w:color="0000FF"/>
          </w:rPr>
          <w:t>York</w:t>
        </w:r>
        <w:r>
          <w:rPr>
            <w:color w:val="0000FF"/>
            <w:spacing w:val="-1"/>
            <w:w w:val="105"/>
            <w:sz w:val="16"/>
            <w:u w:val="single" w:color="0000FF"/>
          </w:rPr>
          <w:t> </w:t>
        </w:r>
        <w:r>
          <w:rPr>
            <w:color w:val="0000FF"/>
            <w:w w:val="105"/>
            <w:sz w:val="16"/>
            <w:u w:val="single" w:color="0000FF"/>
          </w:rPr>
          <w:t>Branch,</w:t>
        </w:r>
        <w:r>
          <w:rPr>
            <w:color w:val="0000FF"/>
            <w:spacing w:val="-1"/>
            <w:w w:val="105"/>
            <w:sz w:val="16"/>
            <w:u w:val="single" w:color="0000FF"/>
          </w:rPr>
          <w:t> </w:t>
        </w:r>
        <w:r>
          <w:rPr>
            <w:color w:val="0000FF"/>
            <w:w w:val="105"/>
            <w:sz w:val="16"/>
            <w:u w:val="single" w:color="0000FF"/>
          </w:rPr>
          <w:t>and</w:t>
        </w:r>
        <w:r>
          <w:rPr>
            <w:color w:val="0000FF"/>
            <w:spacing w:val="-1"/>
            <w:w w:val="105"/>
            <w:sz w:val="16"/>
            <w:u w:val="single" w:color="0000FF"/>
          </w:rPr>
          <w:t> </w:t>
        </w:r>
        <w:r>
          <w:rPr>
            <w:color w:val="0000FF"/>
            <w:w w:val="105"/>
            <w:sz w:val="16"/>
            <w:u w:val="single" w:color="0000FF"/>
          </w:rPr>
          <w:t>The</w:t>
        </w:r>
        <w:r>
          <w:rPr>
            <w:color w:val="0000FF"/>
            <w:spacing w:val="-1"/>
            <w:w w:val="105"/>
            <w:sz w:val="16"/>
            <w:u w:val="single" w:color="0000FF"/>
          </w:rPr>
          <w:t> </w:t>
        </w:r>
        <w:r>
          <w:rPr>
            <w:color w:val="0000FF"/>
            <w:w w:val="105"/>
            <w:sz w:val="16"/>
            <w:u w:val="single" w:color="0000FF"/>
          </w:rPr>
          <w:t>Bank</w:t>
        </w:r>
        <w:r>
          <w:rPr>
            <w:color w:val="0000FF"/>
            <w:spacing w:val="-1"/>
            <w:w w:val="105"/>
            <w:sz w:val="16"/>
            <w:u w:val="single" w:color="0000FF"/>
          </w:rPr>
          <w:t> </w:t>
        </w:r>
        <w:r>
          <w:rPr>
            <w:color w:val="0000FF"/>
            <w:w w:val="105"/>
            <w:sz w:val="16"/>
            <w:u w:val="single" w:color="0000FF"/>
          </w:rPr>
          <w:t>of</w:t>
        </w:r>
        <w:r>
          <w:rPr>
            <w:color w:val="0000FF"/>
            <w:spacing w:val="-1"/>
            <w:w w:val="105"/>
            <w:sz w:val="16"/>
            <w:u w:val="single" w:color="0000FF"/>
          </w:rPr>
          <w:t> </w:t>
        </w:r>
        <w:r>
          <w:rPr>
            <w:color w:val="0000FF"/>
            <w:w w:val="105"/>
            <w:sz w:val="16"/>
            <w:u w:val="single" w:color="0000FF"/>
          </w:rPr>
          <w:t>New</w:t>
        </w:r>
        <w:r>
          <w:rPr>
            <w:color w:val="0000FF"/>
            <w:spacing w:val="-1"/>
            <w:w w:val="105"/>
            <w:sz w:val="16"/>
            <w:u w:val="single" w:color="0000FF"/>
          </w:rPr>
          <w:t> </w:t>
        </w:r>
        <w:r>
          <w:rPr>
            <w:color w:val="0000FF"/>
            <w:w w:val="105"/>
            <w:sz w:val="16"/>
            <w:u w:val="single" w:color="0000FF"/>
          </w:rPr>
          <w:t>York</w:t>
        </w:r>
      </w:hyperlink>
      <w:r>
        <w:rPr>
          <w:color w:val="0000FF"/>
          <w:w w:val="105"/>
          <w:sz w:val="16"/>
        </w:rPr>
        <w:t> </w:t>
      </w:r>
      <w:hyperlink r:id="rId76">
        <w:r>
          <w:rPr>
            <w:color w:val="0000FF"/>
            <w:w w:val="105"/>
            <w:sz w:val="16"/>
            <w:u w:val="single" w:color="0000FF"/>
          </w:rPr>
          <w:t>Mellon (Incorporated by reference to Exhibit 10.1 to Corning’s Form 8-K filed on August 15, 2018).</w:t>
        </w:r>
      </w:hyperlink>
    </w:p>
    <w:p>
      <w:pPr>
        <w:pStyle w:val="ListParagraph"/>
        <w:numPr>
          <w:ilvl w:val="1"/>
          <w:numId w:val="25"/>
        </w:numPr>
        <w:tabs>
          <w:tab w:pos="1659" w:val="left" w:leader="none"/>
        </w:tabs>
        <w:spacing w:line="266" w:lineRule="auto" w:before="0" w:after="0"/>
        <w:ind w:left="1659" w:right="564" w:hanging="1032"/>
        <w:jc w:val="left"/>
        <w:rPr>
          <w:sz w:val="16"/>
        </w:rPr>
      </w:pPr>
      <w:hyperlink r:id="rId77">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Deferred</w:t>
        </w:r>
        <w:r>
          <w:rPr>
            <w:color w:val="0000FF"/>
            <w:spacing w:val="-10"/>
            <w:w w:val="105"/>
            <w:sz w:val="16"/>
            <w:u w:val="single" w:color="0000FF"/>
          </w:rPr>
          <w:t> </w:t>
        </w:r>
        <w:r>
          <w:rPr>
            <w:color w:val="0000FF"/>
            <w:w w:val="105"/>
            <w:sz w:val="16"/>
            <w:u w:val="single" w:color="0000FF"/>
          </w:rPr>
          <w:t>Compensation</w:t>
        </w:r>
        <w:r>
          <w:rPr>
            <w:color w:val="0000FF"/>
            <w:spacing w:val="-10"/>
            <w:w w:val="105"/>
            <w:sz w:val="16"/>
            <w:u w:val="single" w:color="0000FF"/>
          </w:rPr>
          <w:t> </w:t>
        </w:r>
        <w:r>
          <w:rPr>
            <w:color w:val="0000FF"/>
            <w:w w:val="105"/>
            <w:sz w:val="16"/>
            <w:u w:val="single" w:color="0000FF"/>
          </w:rPr>
          <w:t>Plan</w:t>
        </w:r>
        <w:r>
          <w:rPr>
            <w:color w:val="0000FF"/>
            <w:spacing w:val="-10"/>
            <w:w w:val="105"/>
            <w:sz w:val="16"/>
            <w:u w:val="single" w:color="0000FF"/>
          </w:rPr>
          <w:t> </w:t>
        </w:r>
        <w:r>
          <w:rPr>
            <w:color w:val="0000FF"/>
            <w:w w:val="105"/>
            <w:sz w:val="16"/>
            <w:u w:val="single" w:color="0000FF"/>
          </w:rPr>
          <w:t>for</w:t>
        </w:r>
        <w:r>
          <w:rPr>
            <w:color w:val="0000FF"/>
            <w:spacing w:val="-10"/>
            <w:w w:val="105"/>
            <w:sz w:val="16"/>
            <w:u w:val="single" w:color="0000FF"/>
          </w:rPr>
          <w:t> </w:t>
        </w:r>
        <w:r>
          <w:rPr>
            <w:color w:val="0000FF"/>
            <w:w w:val="105"/>
            <w:sz w:val="16"/>
            <w:u w:val="single" w:color="0000FF"/>
          </w:rPr>
          <w:t>Non-Employee</w:t>
        </w:r>
        <w:r>
          <w:rPr>
            <w:color w:val="0000FF"/>
            <w:spacing w:val="-10"/>
            <w:w w:val="105"/>
            <w:sz w:val="16"/>
            <w:u w:val="single" w:color="0000FF"/>
          </w:rPr>
          <w:t> </w:t>
        </w:r>
        <w:r>
          <w:rPr>
            <w:color w:val="0000FF"/>
            <w:w w:val="105"/>
            <w:sz w:val="16"/>
            <w:u w:val="single" w:color="0000FF"/>
          </w:rPr>
          <w:t>Directors</w:t>
        </w:r>
        <w:r>
          <w:rPr>
            <w:color w:val="0000FF"/>
            <w:spacing w:val="-10"/>
            <w:w w:val="105"/>
            <w:sz w:val="16"/>
            <w:u w:val="single" w:color="0000FF"/>
          </w:rPr>
          <w:t> </w:t>
        </w:r>
        <w:r>
          <w:rPr>
            <w:color w:val="0000FF"/>
            <w:w w:val="105"/>
            <w:sz w:val="16"/>
            <w:u w:val="single" w:color="0000FF"/>
          </w:rPr>
          <w:t>as</w:t>
        </w:r>
        <w:r>
          <w:rPr>
            <w:color w:val="0000FF"/>
            <w:spacing w:val="-10"/>
            <w:w w:val="105"/>
            <w:sz w:val="16"/>
            <w:u w:val="single" w:color="0000FF"/>
          </w:rPr>
          <w:t> </w:t>
        </w:r>
        <w:r>
          <w:rPr>
            <w:color w:val="0000FF"/>
            <w:w w:val="105"/>
            <w:sz w:val="16"/>
            <w:u w:val="single" w:color="0000FF"/>
          </w:rPr>
          <w:t>Amended</w:t>
        </w:r>
        <w:r>
          <w:rPr>
            <w:color w:val="0000FF"/>
            <w:spacing w:val="-10"/>
            <w:w w:val="105"/>
            <w:sz w:val="16"/>
            <w:u w:val="single" w:color="0000FF"/>
          </w:rPr>
          <w:t> </w:t>
        </w:r>
        <w:r>
          <w:rPr>
            <w:color w:val="0000FF"/>
            <w:w w:val="105"/>
            <w:sz w:val="16"/>
            <w:u w:val="single" w:color="0000FF"/>
          </w:rPr>
          <w:t>and</w:t>
        </w:r>
        <w:r>
          <w:rPr>
            <w:color w:val="0000FF"/>
            <w:spacing w:val="-10"/>
            <w:w w:val="105"/>
            <w:sz w:val="16"/>
            <w:u w:val="single" w:color="0000FF"/>
          </w:rPr>
          <w:t> </w:t>
        </w:r>
        <w:r>
          <w:rPr>
            <w:color w:val="0000FF"/>
            <w:w w:val="105"/>
            <w:sz w:val="16"/>
            <w:u w:val="single" w:color="0000FF"/>
          </w:rPr>
          <w:t>Restated</w:t>
        </w:r>
        <w:r>
          <w:rPr>
            <w:color w:val="0000FF"/>
            <w:spacing w:val="-10"/>
            <w:w w:val="105"/>
            <w:sz w:val="16"/>
            <w:u w:val="single" w:color="0000FF"/>
          </w:rPr>
          <w:t> </w:t>
        </w:r>
        <w:r>
          <w:rPr>
            <w:color w:val="0000FF"/>
            <w:w w:val="105"/>
            <w:sz w:val="16"/>
            <w:u w:val="single" w:color="0000FF"/>
          </w:rPr>
          <w:t>on</w:t>
        </w:r>
        <w:r>
          <w:rPr>
            <w:color w:val="0000FF"/>
            <w:spacing w:val="-10"/>
            <w:w w:val="105"/>
            <w:sz w:val="16"/>
            <w:u w:val="single" w:color="0000FF"/>
          </w:rPr>
          <w:t> </w:t>
        </w:r>
        <w:r>
          <w:rPr>
            <w:color w:val="0000FF"/>
            <w:w w:val="105"/>
            <w:sz w:val="16"/>
            <w:u w:val="single" w:color="0000FF"/>
          </w:rPr>
          <w:t>January</w:t>
        </w:r>
        <w:r>
          <w:rPr>
            <w:color w:val="0000FF"/>
            <w:spacing w:val="-10"/>
            <w:w w:val="105"/>
            <w:sz w:val="16"/>
            <w:u w:val="single" w:color="0000FF"/>
          </w:rPr>
          <w:t> </w:t>
        </w:r>
        <w:r>
          <w:rPr>
            <w:color w:val="0000FF"/>
            <w:w w:val="105"/>
            <w:sz w:val="16"/>
            <w:u w:val="single" w:color="0000FF"/>
          </w:rPr>
          <w:t>1,</w:t>
        </w:r>
        <w:r>
          <w:rPr>
            <w:color w:val="0000FF"/>
            <w:spacing w:val="-10"/>
            <w:w w:val="105"/>
            <w:sz w:val="16"/>
            <w:u w:val="single" w:color="0000FF"/>
          </w:rPr>
          <w:t> </w:t>
        </w:r>
        <w:r>
          <w:rPr>
            <w:color w:val="0000FF"/>
            <w:w w:val="105"/>
            <w:sz w:val="16"/>
            <w:u w:val="single" w:color="0000FF"/>
          </w:rPr>
          <w:t>2018</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hyperlink>
      <w:r>
        <w:rPr>
          <w:color w:val="0000FF"/>
          <w:w w:val="105"/>
          <w:sz w:val="16"/>
        </w:rPr>
        <w:t> </w:t>
      </w:r>
      <w:hyperlink r:id="rId77">
        <w:r>
          <w:rPr>
            <w:color w:val="0000FF"/>
            <w:w w:val="105"/>
            <w:sz w:val="16"/>
            <w:u w:val="single" w:color="0000FF"/>
          </w:rPr>
          <w:t>reference to Exhibit 10.77 of Corning’s Form 10-K filed February 14, 2020).</w:t>
        </w:r>
      </w:hyperlink>
    </w:p>
    <w:p>
      <w:pPr>
        <w:pStyle w:val="ListParagraph"/>
        <w:numPr>
          <w:ilvl w:val="1"/>
          <w:numId w:val="25"/>
        </w:numPr>
        <w:tabs>
          <w:tab w:pos="1659" w:val="left" w:leader="none"/>
        </w:tabs>
        <w:spacing w:line="266" w:lineRule="auto" w:before="0" w:after="0"/>
        <w:ind w:left="1659" w:right="140" w:hanging="1032"/>
        <w:jc w:val="left"/>
        <w:rPr>
          <w:sz w:val="16"/>
        </w:rPr>
      </w:pPr>
      <w:hyperlink r:id="rId78">
        <w:r>
          <w:rPr>
            <w:color w:val="0000FF"/>
            <w:w w:val="105"/>
            <w:sz w:val="16"/>
            <w:u w:val="single" w:color="0000FF"/>
          </w:rPr>
          <w:t>2019</w:t>
        </w:r>
        <w:r>
          <w:rPr>
            <w:color w:val="0000FF"/>
            <w:spacing w:val="-9"/>
            <w:w w:val="105"/>
            <w:sz w:val="16"/>
            <w:u w:val="single" w:color="0000FF"/>
          </w:rPr>
          <w:t> </w:t>
        </w:r>
        <w:r>
          <w:rPr>
            <w:color w:val="0000FF"/>
            <w:w w:val="105"/>
            <w:sz w:val="16"/>
            <w:u w:val="single" w:color="0000FF"/>
          </w:rPr>
          <w:t>Equity</w:t>
        </w:r>
        <w:r>
          <w:rPr>
            <w:color w:val="0000FF"/>
            <w:spacing w:val="-9"/>
            <w:w w:val="105"/>
            <w:sz w:val="16"/>
            <w:u w:val="single" w:color="0000FF"/>
          </w:rPr>
          <w:t> </w:t>
        </w:r>
        <w:r>
          <w:rPr>
            <w:color w:val="0000FF"/>
            <w:w w:val="105"/>
            <w:sz w:val="16"/>
            <w:u w:val="single" w:color="0000FF"/>
          </w:rPr>
          <w:t>Plan</w:t>
        </w:r>
        <w:r>
          <w:rPr>
            <w:color w:val="0000FF"/>
            <w:spacing w:val="-9"/>
            <w:w w:val="105"/>
            <w:sz w:val="16"/>
            <w:u w:val="single" w:color="0000FF"/>
          </w:rPr>
          <w:t> </w:t>
        </w:r>
        <w:r>
          <w:rPr>
            <w:color w:val="0000FF"/>
            <w:w w:val="105"/>
            <w:sz w:val="16"/>
            <w:u w:val="single" w:color="0000FF"/>
          </w:rPr>
          <w:t>for</w:t>
        </w:r>
        <w:r>
          <w:rPr>
            <w:color w:val="0000FF"/>
            <w:spacing w:val="-9"/>
            <w:w w:val="105"/>
            <w:sz w:val="16"/>
            <w:u w:val="single" w:color="0000FF"/>
          </w:rPr>
          <w:t> </w:t>
        </w:r>
        <w:r>
          <w:rPr>
            <w:color w:val="0000FF"/>
            <w:w w:val="105"/>
            <w:sz w:val="16"/>
            <w:u w:val="single" w:color="0000FF"/>
          </w:rPr>
          <w:t>Non-Employee</w:t>
        </w:r>
        <w:r>
          <w:rPr>
            <w:color w:val="0000FF"/>
            <w:spacing w:val="-9"/>
            <w:w w:val="105"/>
            <w:sz w:val="16"/>
            <w:u w:val="single" w:color="0000FF"/>
          </w:rPr>
          <w:t> </w:t>
        </w:r>
        <w:r>
          <w:rPr>
            <w:color w:val="0000FF"/>
            <w:w w:val="105"/>
            <w:sz w:val="16"/>
            <w:u w:val="single" w:color="0000FF"/>
          </w:rPr>
          <w:t>Directors</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by</w:t>
        </w:r>
        <w:r>
          <w:rPr>
            <w:color w:val="0000FF"/>
            <w:spacing w:val="-9"/>
            <w:w w:val="105"/>
            <w:sz w:val="16"/>
            <w:u w:val="single" w:color="0000FF"/>
          </w:rPr>
          <w:t> </w:t>
        </w:r>
        <w:r>
          <w:rPr>
            <w:color w:val="0000FF"/>
            <w:w w:val="105"/>
            <w:sz w:val="16"/>
            <w:u w:val="single" w:color="0000FF"/>
          </w:rPr>
          <w:t>reference</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Appendix</w:t>
        </w:r>
        <w:r>
          <w:rPr>
            <w:color w:val="0000FF"/>
            <w:spacing w:val="-9"/>
            <w:w w:val="105"/>
            <w:sz w:val="16"/>
            <w:u w:val="single" w:color="0000FF"/>
          </w:rPr>
          <w:t> </w:t>
        </w:r>
        <w:r>
          <w:rPr>
            <w:color w:val="0000FF"/>
            <w:w w:val="105"/>
            <w:sz w:val="16"/>
            <w:u w:val="single" w:color="0000FF"/>
          </w:rPr>
          <w:t>B</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Proxy</w:t>
        </w:r>
        <w:r>
          <w:rPr>
            <w:color w:val="0000FF"/>
            <w:spacing w:val="-9"/>
            <w:w w:val="105"/>
            <w:sz w:val="16"/>
            <w:u w:val="single" w:color="0000FF"/>
          </w:rPr>
          <w:t> </w:t>
        </w:r>
        <w:r>
          <w:rPr>
            <w:color w:val="0000FF"/>
            <w:w w:val="105"/>
            <w:sz w:val="16"/>
            <w:u w:val="single" w:color="0000FF"/>
          </w:rPr>
          <w:t>Statement,</w:t>
        </w:r>
        <w:r>
          <w:rPr>
            <w:color w:val="0000FF"/>
            <w:spacing w:val="-9"/>
            <w:w w:val="105"/>
            <w:sz w:val="16"/>
            <w:u w:val="single" w:color="0000FF"/>
          </w:rPr>
          <w:t> </w:t>
        </w:r>
        <w:r>
          <w:rPr>
            <w:color w:val="0000FF"/>
            <w:w w:val="105"/>
            <w:sz w:val="16"/>
            <w:u w:val="single" w:color="0000FF"/>
          </w:rPr>
          <w:t>Definitive</w:t>
        </w:r>
        <w:r>
          <w:rPr>
            <w:color w:val="0000FF"/>
            <w:spacing w:val="-9"/>
            <w:w w:val="105"/>
            <w:sz w:val="16"/>
            <w:u w:val="single" w:color="0000FF"/>
          </w:rPr>
          <w:t> </w:t>
        </w:r>
        <w:r>
          <w:rPr>
            <w:color w:val="0000FF"/>
            <w:w w:val="105"/>
            <w:sz w:val="16"/>
            <w:u w:val="single" w:color="0000FF"/>
          </w:rPr>
          <w:t>14A</w:t>
        </w:r>
        <w:r>
          <w:rPr>
            <w:color w:val="0000FF"/>
            <w:spacing w:val="-9"/>
            <w:w w:val="105"/>
            <w:sz w:val="16"/>
            <w:u w:val="single" w:color="0000FF"/>
          </w:rPr>
          <w:t> </w:t>
        </w:r>
        <w:r>
          <w:rPr>
            <w:color w:val="0000FF"/>
            <w:w w:val="105"/>
            <w:sz w:val="16"/>
            <w:u w:val="single" w:color="0000FF"/>
          </w:rPr>
          <w:t>filed</w:t>
        </w:r>
        <w:r>
          <w:rPr>
            <w:color w:val="0000FF"/>
            <w:spacing w:val="-9"/>
            <w:w w:val="105"/>
            <w:sz w:val="16"/>
            <w:u w:val="single" w:color="0000FF"/>
          </w:rPr>
          <w:t> </w:t>
        </w:r>
        <w:r>
          <w:rPr>
            <w:color w:val="0000FF"/>
            <w:w w:val="105"/>
            <w:sz w:val="16"/>
            <w:u w:val="single" w:color="0000FF"/>
          </w:rPr>
          <w:t>March</w:t>
        </w:r>
        <w:r>
          <w:rPr>
            <w:color w:val="0000FF"/>
            <w:spacing w:val="-9"/>
            <w:w w:val="105"/>
            <w:sz w:val="16"/>
            <w:u w:val="single" w:color="0000FF"/>
          </w:rPr>
          <w:t> </w:t>
        </w:r>
        <w:r>
          <w:rPr>
            <w:color w:val="0000FF"/>
            <w:w w:val="105"/>
            <w:sz w:val="16"/>
            <w:u w:val="single" w:color="0000FF"/>
          </w:rPr>
          <w:t>22,</w:t>
        </w:r>
      </w:hyperlink>
      <w:r>
        <w:rPr>
          <w:color w:val="0000FF"/>
          <w:w w:val="105"/>
          <w:sz w:val="16"/>
        </w:rPr>
        <w:t> </w:t>
      </w:r>
      <w:hyperlink r:id="rId78">
        <w:r>
          <w:rPr>
            <w:color w:val="0000FF"/>
            <w:w w:val="105"/>
            <w:sz w:val="16"/>
            <w:u w:val="single" w:color="0000FF"/>
          </w:rPr>
          <w:t>2019 for May 2, 2019 Annual Meeting of Shareholders).</w:t>
        </w:r>
      </w:hyperlink>
    </w:p>
    <w:p>
      <w:pPr>
        <w:pStyle w:val="ListParagraph"/>
        <w:numPr>
          <w:ilvl w:val="1"/>
          <w:numId w:val="25"/>
        </w:numPr>
        <w:tabs>
          <w:tab w:pos="1659" w:val="left" w:leader="none"/>
        </w:tabs>
        <w:spacing w:line="266" w:lineRule="auto" w:before="0" w:after="0"/>
        <w:ind w:left="1659" w:right="557" w:hanging="1032"/>
        <w:jc w:val="left"/>
        <w:rPr>
          <w:sz w:val="16"/>
        </w:rPr>
      </w:pPr>
      <w:hyperlink r:id="rId79">
        <w:r>
          <w:rPr>
            <w:color w:val="0000FF"/>
            <w:w w:val="105"/>
            <w:sz w:val="16"/>
            <w:u w:val="single" w:color="0000FF"/>
          </w:rPr>
          <w:t>Form</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Corning</w:t>
        </w:r>
        <w:r>
          <w:rPr>
            <w:color w:val="0000FF"/>
            <w:spacing w:val="-9"/>
            <w:w w:val="105"/>
            <w:sz w:val="16"/>
            <w:u w:val="single" w:color="0000FF"/>
          </w:rPr>
          <w:t> </w:t>
        </w:r>
        <w:r>
          <w:rPr>
            <w:color w:val="0000FF"/>
            <w:w w:val="105"/>
            <w:sz w:val="16"/>
            <w:u w:val="single" w:color="0000FF"/>
          </w:rPr>
          <w:t>Incorporated</w:t>
        </w:r>
        <w:r>
          <w:rPr>
            <w:color w:val="0000FF"/>
            <w:spacing w:val="-9"/>
            <w:w w:val="105"/>
            <w:sz w:val="16"/>
            <w:u w:val="single" w:color="0000FF"/>
          </w:rPr>
          <w:t> </w:t>
        </w:r>
        <w:r>
          <w:rPr>
            <w:color w:val="0000FF"/>
            <w:w w:val="105"/>
            <w:sz w:val="16"/>
            <w:u w:val="single" w:color="0000FF"/>
          </w:rPr>
          <w:t>Restricted</w:t>
        </w:r>
        <w:r>
          <w:rPr>
            <w:color w:val="0000FF"/>
            <w:spacing w:val="-9"/>
            <w:w w:val="105"/>
            <w:sz w:val="16"/>
            <w:u w:val="single" w:color="0000FF"/>
          </w:rPr>
          <w:t> </w:t>
        </w:r>
        <w:r>
          <w:rPr>
            <w:color w:val="0000FF"/>
            <w:w w:val="105"/>
            <w:sz w:val="16"/>
            <w:u w:val="single" w:color="0000FF"/>
          </w:rPr>
          <w:t>Stock</w:t>
        </w:r>
        <w:r>
          <w:rPr>
            <w:color w:val="0000FF"/>
            <w:spacing w:val="-9"/>
            <w:w w:val="105"/>
            <w:sz w:val="16"/>
            <w:u w:val="single" w:color="0000FF"/>
          </w:rPr>
          <w:t> </w:t>
        </w:r>
        <w:r>
          <w:rPr>
            <w:color w:val="0000FF"/>
            <w:w w:val="105"/>
            <w:sz w:val="16"/>
            <w:u w:val="single" w:color="0000FF"/>
          </w:rPr>
          <w:t>Unit</w:t>
        </w:r>
        <w:r>
          <w:rPr>
            <w:color w:val="0000FF"/>
            <w:spacing w:val="-9"/>
            <w:w w:val="105"/>
            <w:sz w:val="16"/>
            <w:u w:val="single" w:color="0000FF"/>
          </w:rPr>
          <w:t> </w:t>
        </w:r>
        <w:r>
          <w:rPr>
            <w:color w:val="0000FF"/>
            <w:w w:val="105"/>
            <w:sz w:val="16"/>
            <w:u w:val="single" w:color="0000FF"/>
          </w:rPr>
          <w:t>Grant</w:t>
        </w:r>
        <w:r>
          <w:rPr>
            <w:color w:val="0000FF"/>
            <w:spacing w:val="-9"/>
            <w:w w:val="105"/>
            <w:sz w:val="16"/>
            <w:u w:val="single" w:color="0000FF"/>
          </w:rPr>
          <w:t> </w:t>
        </w:r>
        <w:r>
          <w:rPr>
            <w:color w:val="0000FF"/>
            <w:w w:val="105"/>
            <w:sz w:val="16"/>
            <w:u w:val="single" w:color="0000FF"/>
          </w:rPr>
          <w:t>Notice</w:t>
        </w:r>
        <w:r>
          <w:rPr>
            <w:color w:val="0000FF"/>
            <w:spacing w:val="-9"/>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Agreement</w:t>
        </w:r>
        <w:r>
          <w:rPr>
            <w:color w:val="0000FF"/>
            <w:spacing w:val="-9"/>
            <w:w w:val="105"/>
            <w:sz w:val="16"/>
            <w:u w:val="single" w:color="0000FF"/>
          </w:rPr>
          <w:t> </w:t>
        </w:r>
        <w:r>
          <w:rPr>
            <w:color w:val="0000FF"/>
            <w:w w:val="105"/>
            <w:sz w:val="16"/>
            <w:u w:val="single" w:color="0000FF"/>
          </w:rPr>
          <w:t>for</w:t>
        </w:r>
        <w:r>
          <w:rPr>
            <w:color w:val="0000FF"/>
            <w:spacing w:val="-9"/>
            <w:w w:val="105"/>
            <w:sz w:val="16"/>
            <w:u w:val="single" w:color="0000FF"/>
          </w:rPr>
          <w:t> </w:t>
        </w:r>
        <w:r>
          <w:rPr>
            <w:color w:val="0000FF"/>
            <w:w w:val="105"/>
            <w:sz w:val="16"/>
            <w:u w:val="single" w:color="0000FF"/>
          </w:rPr>
          <w:t>Non-Employee</w:t>
        </w:r>
        <w:r>
          <w:rPr>
            <w:color w:val="0000FF"/>
            <w:spacing w:val="-9"/>
            <w:w w:val="105"/>
            <w:sz w:val="16"/>
            <w:u w:val="single" w:color="0000FF"/>
          </w:rPr>
          <w:t> </w:t>
        </w:r>
        <w:r>
          <w:rPr>
            <w:color w:val="0000FF"/>
            <w:w w:val="105"/>
            <w:sz w:val="16"/>
            <w:u w:val="single" w:color="0000FF"/>
          </w:rPr>
          <w:t>Directors</w:t>
        </w:r>
        <w:r>
          <w:rPr>
            <w:color w:val="0000FF"/>
            <w:spacing w:val="-9"/>
            <w:w w:val="105"/>
            <w:sz w:val="16"/>
            <w:u w:val="single" w:color="0000FF"/>
          </w:rPr>
          <w:t> </w:t>
        </w:r>
        <w:r>
          <w:rPr>
            <w:color w:val="0000FF"/>
            <w:w w:val="105"/>
            <w:sz w:val="16"/>
            <w:u w:val="single" w:color="0000FF"/>
          </w:rPr>
          <w:t>(for</w:t>
        </w:r>
        <w:r>
          <w:rPr>
            <w:color w:val="0000FF"/>
            <w:spacing w:val="-9"/>
            <w:w w:val="105"/>
            <w:sz w:val="16"/>
            <w:u w:val="single" w:color="0000FF"/>
          </w:rPr>
          <w:t> </w:t>
        </w:r>
        <w:r>
          <w:rPr>
            <w:color w:val="0000FF"/>
            <w:w w:val="105"/>
            <w:sz w:val="16"/>
            <w:u w:val="single" w:color="0000FF"/>
          </w:rPr>
          <w:t>grants</w:t>
        </w:r>
        <w:r>
          <w:rPr>
            <w:color w:val="0000FF"/>
            <w:spacing w:val="-9"/>
            <w:w w:val="105"/>
            <w:sz w:val="16"/>
            <w:u w:val="single" w:color="0000FF"/>
          </w:rPr>
          <w:t> </w:t>
        </w:r>
        <w:r>
          <w:rPr>
            <w:color w:val="0000FF"/>
            <w:w w:val="105"/>
            <w:sz w:val="16"/>
            <w:u w:val="single" w:color="0000FF"/>
          </w:rPr>
          <w:t>made</w:t>
        </w:r>
        <w:r>
          <w:rPr>
            <w:color w:val="0000FF"/>
            <w:spacing w:val="-9"/>
            <w:w w:val="105"/>
            <w:sz w:val="16"/>
            <w:u w:val="single" w:color="0000FF"/>
          </w:rPr>
          <w:t> </w:t>
        </w:r>
        <w:r>
          <w:rPr>
            <w:color w:val="0000FF"/>
            <w:w w:val="105"/>
            <w:sz w:val="16"/>
            <w:u w:val="single" w:color="0000FF"/>
          </w:rPr>
          <w:t>under</w:t>
        </w:r>
        <w:r>
          <w:rPr>
            <w:color w:val="0000FF"/>
            <w:spacing w:val="-8"/>
            <w:w w:val="105"/>
            <w:sz w:val="16"/>
            <w:u w:val="single" w:color="0000FF"/>
          </w:rPr>
          <w:t> </w:t>
        </w:r>
        <w:r>
          <w:rPr>
            <w:color w:val="0000FF"/>
            <w:w w:val="105"/>
            <w:sz w:val="16"/>
            <w:u w:val="single" w:color="0000FF"/>
          </w:rPr>
          <w:t>the</w:t>
        </w:r>
        <w:r>
          <w:rPr>
            <w:color w:val="0000FF"/>
            <w:spacing w:val="-9"/>
            <w:w w:val="105"/>
            <w:sz w:val="16"/>
            <w:u w:val="single" w:color="0000FF"/>
          </w:rPr>
          <w:t> </w:t>
        </w:r>
        <w:r>
          <w:rPr>
            <w:color w:val="0000FF"/>
            <w:w w:val="105"/>
            <w:sz w:val="16"/>
            <w:u w:val="single" w:color="0000FF"/>
          </w:rPr>
          <w:t>2019</w:t>
        </w:r>
      </w:hyperlink>
      <w:r>
        <w:rPr>
          <w:color w:val="0000FF"/>
          <w:w w:val="105"/>
          <w:sz w:val="16"/>
        </w:rPr>
        <w:t> </w:t>
      </w:r>
      <w:hyperlink r:id="rId79">
        <w:r>
          <w:rPr>
            <w:color w:val="0000FF"/>
            <w:w w:val="105"/>
            <w:sz w:val="16"/>
            <w:u w:val="single" w:color="0000FF"/>
          </w:rPr>
          <w:t>Equity</w:t>
        </w:r>
        <w:r>
          <w:rPr>
            <w:color w:val="0000FF"/>
            <w:spacing w:val="-5"/>
            <w:w w:val="105"/>
            <w:sz w:val="16"/>
            <w:u w:val="single" w:color="0000FF"/>
          </w:rPr>
          <w:t> </w:t>
        </w:r>
        <w:r>
          <w:rPr>
            <w:color w:val="0000FF"/>
            <w:w w:val="105"/>
            <w:sz w:val="16"/>
            <w:u w:val="single" w:color="0000FF"/>
          </w:rPr>
          <w:t>Plan</w:t>
        </w:r>
        <w:r>
          <w:rPr>
            <w:color w:val="0000FF"/>
            <w:spacing w:val="-5"/>
            <w:w w:val="105"/>
            <w:sz w:val="16"/>
            <w:u w:val="single" w:color="0000FF"/>
          </w:rPr>
          <w:t> </w:t>
        </w:r>
        <w:r>
          <w:rPr>
            <w:color w:val="0000FF"/>
            <w:w w:val="105"/>
            <w:sz w:val="16"/>
            <w:u w:val="single" w:color="0000FF"/>
          </w:rPr>
          <w:t>for</w:t>
        </w:r>
        <w:r>
          <w:rPr>
            <w:color w:val="0000FF"/>
            <w:spacing w:val="-5"/>
            <w:w w:val="105"/>
            <w:sz w:val="16"/>
            <w:u w:val="single" w:color="0000FF"/>
          </w:rPr>
          <w:t> </w:t>
        </w:r>
        <w:r>
          <w:rPr>
            <w:color w:val="0000FF"/>
            <w:w w:val="105"/>
            <w:sz w:val="16"/>
            <w:u w:val="single" w:color="0000FF"/>
          </w:rPr>
          <w:t>Non-Employee</w:t>
        </w:r>
        <w:r>
          <w:rPr>
            <w:color w:val="0000FF"/>
            <w:spacing w:val="-5"/>
            <w:w w:val="105"/>
            <w:sz w:val="16"/>
            <w:u w:val="single" w:color="0000FF"/>
          </w:rPr>
          <w:t> </w:t>
        </w:r>
        <w:r>
          <w:rPr>
            <w:color w:val="0000FF"/>
            <w:w w:val="105"/>
            <w:sz w:val="16"/>
            <w:u w:val="single" w:color="0000FF"/>
          </w:rPr>
          <w:t>Directors),</w:t>
        </w:r>
        <w:r>
          <w:rPr>
            <w:color w:val="0000FF"/>
            <w:spacing w:val="-5"/>
            <w:w w:val="105"/>
            <w:sz w:val="16"/>
            <w:u w:val="single" w:color="0000FF"/>
          </w:rPr>
          <w:t> </w:t>
        </w:r>
        <w:r>
          <w:rPr>
            <w:color w:val="0000FF"/>
            <w:w w:val="105"/>
            <w:sz w:val="16"/>
            <w:u w:val="single" w:color="0000FF"/>
          </w:rPr>
          <w:t>effective</w:t>
        </w:r>
        <w:r>
          <w:rPr>
            <w:color w:val="0000FF"/>
            <w:spacing w:val="-5"/>
            <w:w w:val="105"/>
            <w:sz w:val="16"/>
            <w:u w:val="single" w:color="0000FF"/>
          </w:rPr>
          <w:t> </w:t>
        </w:r>
        <w:r>
          <w:rPr>
            <w:color w:val="0000FF"/>
            <w:w w:val="105"/>
            <w:sz w:val="16"/>
            <w:u w:val="single" w:color="0000FF"/>
          </w:rPr>
          <w:t>January</w:t>
        </w:r>
        <w:r>
          <w:rPr>
            <w:color w:val="0000FF"/>
            <w:spacing w:val="-5"/>
            <w:w w:val="105"/>
            <w:sz w:val="16"/>
            <w:u w:val="single" w:color="0000FF"/>
          </w:rPr>
          <w:t> </w:t>
        </w:r>
        <w:r>
          <w:rPr>
            <w:color w:val="0000FF"/>
            <w:w w:val="105"/>
            <w:sz w:val="16"/>
            <w:u w:val="single" w:color="0000FF"/>
          </w:rPr>
          <w:t>1,</w:t>
        </w:r>
        <w:r>
          <w:rPr>
            <w:color w:val="0000FF"/>
            <w:spacing w:val="-5"/>
            <w:w w:val="105"/>
            <w:sz w:val="16"/>
            <w:u w:val="single" w:color="0000FF"/>
          </w:rPr>
          <w:t> </w:t>
        </w:r>
        <w:r>
          <w:rPr>
            <w:color w:val="0000FF"/>
            <w:w w:val="105"/>
            <w:sz w:val="16"/>
            <w:u w:val="single" w:color="0000FF"/>
          </w:rPr>
          <w:t>2020</w:t>
        </w:r>
        <w:r>
          <w:rPr>
            <w:color w:val="0000FF"/>
            <w:spacing w:val="-5"/>
            <w:w w:val="105"/>
            <w:sz w:val="16"/>
            <w:u w:val="single" w:color="0000FF"/>
          </w:rPr>
          <w:t> </w:t>
        </w:r>
        <w:r>
          <w:rPr>
            <w:color w:val="0000FF"/>
            <w:w w:val="105"/>
            <w:sz w:val="16"/>
            <w:u w:val="single" w:color="0000FF"/>
          </w:rPr>
          <w:t>(Incorporated</w:t>
        </w:r>
        <w:r>
          <w:rPr>
            <w:color w:val="0000FF"/>
            <w:spacing w:val="-5"/>
            <w:w w:val="105"/>
            <w:sz w:val="16"/>
            <w:u w:val="single" w:color="0000FF"/>
          </w:rPr>
          <w:t> </w:t>
        </w:r>
        <w:r>
          <w:rPr>
            <w:color w:val="0000FF"/>
            <w:w w:val="105"/>
            <w:sz w:val="16"/>
            <w:u w:val="single" w:color="0000FF"/>
          </w:rPr>
          <w:t>by</w:t>
        </w:r>
        <w:r>
          <w:rPr>
            <w:color w:val="0000FF"/>
            <w:spacing w:val="-5"/>
            <w:w w:val="105"/>
            <w:sz w:val="16"/>
            <w:u w:val="single" w:color="0000FF"/>
          </w:rPr>
          <w:t> </w:t>
        </w:r>
        <w:r>
          <w:rPr>
            <w:color w:val="0000FF"/>
            <w:w w:val="105"/>
            <w:sz w:val="16"/>
            <w:u w:val="single" w:color="0000FF"/>
          </w:rPr>
          <w:t>reference</w:t>
        </w:r>
        <w:r>
          <w:rPr>
            <w:color w:val="0000FF"/>
            <w:spacing w:val="-5"/>
            <w:w w:val="105"/>
            <w:sz w:val="16"/>
            <w:u w:val="single" w:color="0000FF"/>
          </w:rPr>
          <w:t> </w:t>
        </w:r>
        <w:r>
          <w:rPr>
            <w:color w:val="0000FF"/>
            <w:w w:val="105"/>
            <w:sz w:val="16"/>
            <w:u w:val="single" w:color="0000FF"/>
          </w:rPr>
          <w:t>to</w:t>
        </w:r>
        <w:r>
          <w:rPr>
            <w:color w:val="0000FF"/>
            <w:spacing w:val="-5"/>
            <w:w w:val="105"/>
            <w:sz w:val="16"/>
            <w:u w:val="single" w:color="0000FF"/>
          </w:rPr>
          <w:t> </w:t>
        </w:r>
        <w:r>
          <w:rPr>
            <w:color w:val="0000FF"/>
            <w:w w:val="105"/>
            <w:sz w:val="16"/>
            <w:u w:val="single" w:color="0000FF"/>
          </w:rPr>
          <w:t>Exhibit</w:t>
        </w:r>
        <w:r>
          <w:rPr>
            <w:color w:val="0000FF"/>
            <w:spacing w:val="-5"/>
            <w:w w:val="105"/>
            <w:sz w:val="16"/>
            <w:u w:val="single" w:color="0000FF"/>
          </w:rPr>
          <w:t> </w:t>
        </w:r>
        <w:r>
          <w:rPr>
            <w:color w:val="0000FF"/>
            <w:w w:val="105"/>
            <w:sz w:val="16"/>
            <w:u w:val="single" w:color="0000FF"/>
          </w:rPr>
          <w:t>10.79</w:t>
        </w:r>
        <w:r>
          <w:rPr>
            <w:color w:val="0000FF"/>
            <w:spacing w:val="-5"/>
            <w:w w:val="105"/>
            <w:sz w:val="16"/>
            <w:u w:val="single" w:color="0000FF"/>
          </w:rPr>
          <w:t> </w:t>
        </w:r>
        <w:r>
          <w:rPr>
            <w:color w:val="0000FF"/>
            <w:w w:val="105"/>
            <w:sz w:val="16"/>
            <w:u w:val="single" w:color="0000FF"/>
          </w:rPr>
          <w:t>of</w:t>
        </w:r>
        <w:r>
          <w:rPr>
            <w:color w:val="0000FF"/>
            <w:spacing w:val="-5"/>
            <w:w w:val="105"/>
            <w:sz w:val="16"/>
            <w:u w:val="single" w:color="0000FF"/>
          </w:rPr>
          <w:t> </w:t>
        </w:r>
        <w:r>
          <w:rPr>
            <w:color w:val="0000FF"/>
            <w:w w:val="105"/>
            <w:sz w:val="16"/>
            <w:u w:val="single" w:color="0000FF"/>
          </w:rPr>
          <w:t>Corning’s</w:t>
        </w:r>
        <w:r>
          <w:rPr>
            <w:color w:val="0000FF"/>
            <w:spacing w:val="-5"/>
            <w:w w:val="105"/>
            <w:sz w:val="16"/>
            <w:u w:val="single" w:color="0000FF"/>
          </w:rPr>
          <w:t> </w:t>
        </w:r>
        <w:r>
          <w:rPr>
            <w:color w:val="0000FF"/>
            <w:w w:val="105"/>
            <w:sz w:val="16"/>
            <w:u w:val="single" w:color="0000FF"/>
          </w:rPr>
          <w:t>Form</w:t>
        </w:r>
        <w:r>
          <w:rPr>
            <w:color w:val="0000FF"/>
            <w:spacing w:val="-5"/>
            <w:w w:val="105"/>
            <w:sz w:val="16"/>
            <w:u w:val="single" w:color="0000FF"/>
          </w:rPr>
          <w:t> </w:t>
        </w:r>
        <w:r>
          <w:rPr>
            <w:color w:val="0000FF"/>
            <w:w w:val="105"/>
            <w:sz w:val="16"/>
            <w:u w:val="single" w:color="0000FF"/>
          </w:rPr>
          <w:t>10-K</w:t>
        </w:r>
        <w:r>
          <w:rPr>
            <w:color w:val="0000FF"/>
            <w:spacing w:val="-5"/>
            <w:w w:val="105"/>
            <w:sz w:val="16"/>
            <w:u w:val="single" w:color="0000FF"/>
          </w:rPr>
          <w:t> </w:t>
        </w:r>
        <w:r>
          <w:rPr>
            <w:color w:val="0000FF"/>
            <w:w w:val="105"/>
            <w:sz w:val="16"/>
            <w:u w:val="single" w:color="0000FF"/>
          </w:rPr>
          <w:t>filed</w:t>
        </w:r>
      </w:hyperlink>
      <w:r>
        <w:rPr>
          <w:color w:val="0000FF"/>
          <w:w w:val="105"/>
          <w:sz w:val="16"/>
        </w:rPr>
        <w:t> </w:t>
      </w:r>
      <w:hyperlink r:id="rId79">
        <w:r>
          <w:rPr>
            <w:color w:val="0000FF"/>
            <w:w w:val="105"/>
            <w:sz w:val="16"/>
            <w:u w:val="single" w:color="0000FF"/>
          </w:rPr>
          <w:t>February 14, 2020).</w:t>
        </w:r>
      </w:hyperlink>
    </w:p>
    <w:p>
      <w:pPr>
        <w:pStyle w:val="ListParagraph"/>
        <w:numPr>
          <w:ilvl w:val="1"/>
          <w:numId w:val="25"/>
        </w:numPr>
        <w:tabs>
          <w:tab w:pos="1659" w:val="left" w:leader="none"/>
        </w:tabs>
        <w:spacing w:line="266" w:lineRule="auto" w:before="0" w:after="0"/>
        <w:ind w:left="1659" w:right="120" w:hanging="1032"/>
        <w:jc w:val="left"/>
        <w:rPr>
          <w:sz w:val="16"/>
        </w:rPr>
      </w:pPr>
      <w:hyperlink r:id="rId80">
        <w:r>
          <w:rPr>
            <w:color w:val="0000FF"/>
            <w:w w:val="105"/>
            <w:sz w:val="16"/>
            <w:u w:val="single" w:color="0000FF"/>
          </w:rPr>
          <w:t>Form</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Performance</w:t>
        </w:r>
        <w:r>
          <w:rPr>
            <w:color w:val="0000FF"/>
            <w:spacing w:val="-10"/>
            <w:w w:val="105"/>
            <w:sz w:val="16"/>
            <w:u w:val="single" w:color="0000FF"/>
          </w:rPr>
          <w:t> </w:t>
        </w:r>
        <w:r>
          <w:rPr>
            <w:color w:val="0000FF"/>
            <w:w w:val="105"/>
            <w:sz w:val="16"/>
            <w:u w:val="single" w:color="0000FF"/>
          </w:rPr>
          <w:t>Share</w:t>
        </w:r>
        <w:r>
          <w:rPr>
            <w:color w:val="0000FF"/>
            <w:spacing w:val="-10"/>
            <w:w w:val="105"/>
            <w:sz w:val="16"/>
            <w:u w:val="single" w:color="0000FF"/>
          </w:rPr>
          <w:t> </w:t>
        </w:r>
        <w:r>
          <w:rPr>
            <w:color w:val="0000FF"/>
            <w:w w:val="105"/>
            <w:sz w:val="16"/>
            <w:u w:val="single" w:color="0000FF"/>
          </w:rPr>
          <w:t>Unit</w:t>
        </w:r>
        <w:r>
          <w:rPr>
            <w:color w:val="0000FF"/>
            <w:spacing w:val="-10"/>
            <w:w w:val="105"/>
            <w:sz w:val="16"/>
            <w:u w:val="single" w:color="0000FF"/>
          </w:rPr>
          <w:t> </w:t>
        </w:r>
        <w:r>
          <w:rPr>
            <w:color w:val="0000FF"/>
            <w:w w:val="105"/>
            <w:sz w:val="16"/>
            <w:u w:val="single" w:color="0000FF"/>
          </w:rPr>
          <w:t>Agreement,</w:t>
        </w:r>
        <w:r>
          <w:rPr>
            <w:color w:val="0000FF"/>
            <w:spacing w:val="-8"/>
            <w:w w:val="105"/>
            <w:sz w:val="16"/>
            <w:u w:val="single" w:color="0000FF"/>
          </w:rPr>
          <w:t> </w:t>
        </w:r>
        <w:r>
          <w:rPr>
            <w:color w:val="0000FF"/>
            <w:w w:val="105"/>
            <w:sz w:val="16"/>
            <w:u w:val="single" w:color="0000FF"/>
          </w:rPr>
          <w:t>effective</w:t>
        </w:r>
        <w:r>
          <w:rPr>
            <w:color w:val="0000FF"/>
            <w:spacing w:val="-10"/>
            <w:w w:val="105"/>
            <w:sz w:val="16"/>
            <w:u w:val="single" w:color="0000FF"/>
          </w:rPr>
          <w:t> </w:t>
        </w:r>
        <w:r>
          <w:rPr>
            <w:color w:val="0000FF"/>
            <w:w w:val="105"/>
            <w:sz w:val="16"/>
            <w:u w:val="single" w:color="0000FF"/>
          </w:rPr>
          <w:t>January</w:t>
        </w:r>
        <w:r>
          <w:rPr>
            <w:color w:val="0000FF"/>
            <w:spacing w:val="-10"/>
            <w:w w:val="105"/>
            <w:sz w:val="16"/>
            <w:u w:val="single" w:color="0000FF"/>
          </w:rPr>
          <w:t> </w:t>
        </w:r>
        <w:r>
          <w:rPr>
            <w:color w:val="0000FF"/>
            <w:w w:val="105"/>
            <w:sz w:val="16"/>
            <w:u w:val="single" w:color="0000FF"/>
          </w:rPr>
          <w:t>1,</w:t>
        </w:r>
        <w:r>
          <w:rPr>
            <w:color w:val="0000FF"/>
            <w:spacing w:val="-10"/>
            <w:w w:val="105"/>
            <w:sz w:val="16"/>
            <w:u w:val="single" w:color="0000FF"/>
          </w:rPr>
          <w:t> </w:t>
        </w:r>
        <w:r>
          <w:rPr>
            <w:color w:val="0000FF"/>
            <w:w w:val="105"/>
            <w:sz w:val="16"/>
            <w:u w:val="single" w:color="0000FF"/>
          </w:rPr>
          <w:t>2020</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r>
          <w:rPr>
            <w:color w:val="0000FF"/>
            <w:spacing w:val="-10"/>
            <w:w w:val="105"/>
            <w:sz w:val="16"/>
            <w:u w:val="single" w:color="0000FF"/>
          </w:rPr>
          <w:t> </w:t>
        </w:r>
        <w:r>
          <w:rPr>
            <w:color w:val="0000FF"/>
            <w:w w:val="105"/>
            <w:sz w:val="16"/>
            <w:u w:val="single" w:color="0000FF"/>
          </w:rPr>
          <w:t>Exhibit</w:t>
        </w:r>
        <w:r>
          <w:rPr>
            <w:color w:val="0000FF"/>
            <w:spacing w:val="-10"/>
            <w:w w:val="105"/>
            <w:sz w:val="16"/>
            <w:u w:val="single" w:color="0000FF"/>
          </w:rPr>
          <w:t> </w:t>
        </w:r>
        <w:r>
          <w:rPr>
            <w:color w:val="0000FF"/>
            <w:w w:val="105"/>
            <w:sz w:val="16"/>
            <w:u w:val="single" w:color="0000FF"/>
          </w:rPr>
          <w:t>10.80</w:t>
        </w:r>
        <w:r>
          <w:rPr>
            <w:color w:val="0000FF"/>
            <w:spacing w:val="-10"/>
            <w:w w:val="105"/>
            <w:sz w:val="16"/>
            <w:u w:val="single" w:color="0000FF"/>
          </w:rPr>
          <w:t> </w:t>
        </w:r>
        <w:r>
          <w:rPr>
            <w:color w:val="0000FF"/>
            <w:w w:val="105"/>
            <w:sz w:val="16"/>
            <w:u w:val="single" w:color="0000FF"/>
          </w:rPr>
          <w:t>of</w:t>
        </w:r>
        <w:r>
          <w:rPr>
            <w:color w:val="0000FF"/>
            <w:spacing w:val="-10"/>
            <w:w w:val="105"/>
            <w:sz w:val="16"/>
            <w:u w:val="single" w:color="0000FF"/>
          </w:rPr>
          <w:t> </w:t>
        </w:r>
        <w:r>
          <w:rPr>
            <w:color w:val="0000FF"/>
            <w:w w:val="105"/>
            <w:sz w:val="16"/>
            <w:u w:val="single" w:color="0000FF"/>
          </w:rPr>
          <w:t>Corning’s</w:t>
        </w:r>
      </w:hyperlink>
      <w:r>
        <w:rPr>
          <w:color w:val="0000FF"/>
          <w:w w:val="105"/>
          <w:sz w:val="16"/>
        </w:rPr>
        <w:t> </w:t>
      </w:r>
      <w:hyperlink r:id="rId80">
        <w:r>
          <w:rPr>
            <w:color w:val="0000FF"/>
            <w:w w:val="105"/>
            <w:sz w:val="16"/>
            <w:u w:val="single" w:color="0000FF"/>
          </w:rPr>
          <w:t>Form 10-K filed February 14, 2020).</w:t>
        </w:r>
      </w:hyperlink>
    </w:p>
    <w:p>
      <w:pPr>
        <w:pStyle w:val="ListParagraph"/>
        <w:numPr>
          <w:ilvl w:val="1"/>
          <w:numId w:val="25"/>
        </w:numPr>
        <w:tabs>
          <w:tab w:pos="1659" w:val="left" w:leader="none"/>
        </w:tabs>
        <w:spacing w:line="266" w:lineRule="auto" w:before="0" w:after="0"/>
        <w:ind w:left="1659" w:right="573" w:hanging="1032"/>
        <w:jc w:val="left"/>
        <w:rPr>
          <w:sz w:val="16"/>
        </w:rPr>
      </w:pPr>
      <w:hyperlink r:id="rId81">
        <w:r>
          <w:rPr>
            <w:color w:val="0000FF"/>
            <w:w w:val="105"/>
            <w:sz w:val="16"/>
            <w:u w:val="single" w:color="0000FF"/>
          </w:rPr>
          <w:t>Share</w:t>
        </w:r>
        <w:r>
          <w:rPr>
            <w:color w:val="0000FF"/>
            <w:spacing w:val="-10"/>
            <w:w w:val="105"/>
            <w:sz w:val="16"/>
            <w:u w:val="single" w:color="0000FF"/>
          </w:rPr>
          <w:t> </w:t>
        </w:r>
        <w:r>
          <w:rPr>
            <w:color w:val="0000FF"/>
            <w:w w:val="105"/>
            <w:sz w:val="16"/>
            <w:u w:val="single" w:color="0000FF"/>
          </w:rPr>
          <w:t>Repurchase</w:t>
        </w:r>
        <w:r>
          <w:rPr>
            <w:color w:val="0000FF"/>
            <w:spacing w:val="-10"/>
            <w:w w:val="105"/>
            <w:sz w:val="16"/>
            <w:u w:val="single" w:color="0000FF"/>
          </w:rPr>
          <w:t> </w:t>
        </w:r>
        <w:r>
          <w:rPr>
            <w:color w:val="0000FF"/>
            <w:w w:val="105"/>
            <w:sz w:val="16"/>
            <w:u w:val="single" w:color="0000FF"/>
          </w:rPr>
          <w:t>Agreement,</w:t>
        </w:r>
        <w:r>
          <w:rPr>
            <w:color w:val="0000FF"/>
            <w:spacing w:val="-10"/>
            <w:w w:val="105"/>
            <w:sz w:val="16"/>
            <w:u w:val="single" w:color="0000FF"/>
          </w:rPr>
          <w:t> </w:t>
        </w:r>
        <w:r>
          <w:rPr>
            <w:color w:val="0000FF"/>
            <w:w w:val="105"/>
            <w:sz w:val="16"/>
            <w:u w:val="single" w:color="0000FF"/>
          </w:rPr>
          <w:t>dated</w:t>
        </w:r>
        <w:r>
          <w:rPr>
            <w:color w:val="0000FF"/>
            <w:spacing w:val="-10"/>
            <w:w w:val="105"/>
            <w:sz w:val="16"/>
            <w:u w:val="single" w:color="0000FF"/>
          </w:rPr>
          <w:t> </w:t>
        </w:r>
        <w:r>
          <w:rPr>
            <w:color w:val="0000FF"/>
            <w:w w:val="105"/>
            <w:sz w:val="16"/>
            <w:u w:val="single" w:color="0000FF"/>
          </w:rPr>
          <w:t>April</w:t>
        </w:r>
        <w:r>
          <w:rPr>
            <w:color w:val="0000FF"/>
            <w:spacing w:val="-10"/>
            <w:w w:val="105"/>
            <w:sz w:val="16"/>
            <w:u w:val="single" w:color="0000FF"/>
          </w:rPr>
          <w:t> </w:t>
        </w:r>
        <w:r>
          <w:rPr>
            <w:color w:val="0000FF"/>
            <w:w w:val="105"/>
            <w:sz w:val="16"/>
            <w:u w:val="single" w:color="0000FF"/>
          </w:rPr>
          <w:t>5,</w:t>
        </w:r>
        <w:r>
          <w:rPr>
            <w:color w:val="0000FF"/>
            <w:spacing w:val="-10"/>
            <w:w w:val="105"/>
            <w:sz w:val="16"/>
            <w:u w:val="single" w:color="0000FF"/>
          </w:rPr>
          <w:t> </w:t>
        </w:r>
        <w:r>
          <w:rPr>
            <w:color w:val="0000FF"/>
            <w:w w:val="105"/>
            <w:sz w:val="16"/>
            <w:u w:val="single" w:color="0000FF"/>
          </w:rPr>
          <w:t>2021,</w:t>
        </w:r>
        <w:r>
          <w:rPr>
            <w:color w:val="0000FF"/>
            <w:spacing w:val="-10"/>
            <w:w w:val="105"/>
            <w:sz w:val="16"/>
            <w:u w:val="single" w:color="0000FF"/>
          </w:rPr>
          <w:t> </w:t>
        </w:r>
        <w:r>
          <w:rPr>
            <w:color w:val="0000FF"/>
            <w:w w:val="105"/>
            <w:sz w:val="16"/>
            <w:u w:val="single" w:color="0000FF"/>
          </w:rPr>
          <w:t>between</w:t>
        </w:r>
        <w:r>
          <w:rPr>
            <w:color w:val="0000FF"/>
            <w:spacing w:val="-10"/>
            <w:w w:val="105"/>
            <w:sz w:val="16"/>
            <w:u w:val="single" w:color="0000FF"/>
          </w:rPr>
          <w:t> </w:t>
        </w:r>
        <w:r>
          <w:rPr>
            <w:color w:val="0000FF"/>
            <w:w w:val="105"/>
            <w:sz w:val="16"/>
            <w:u w:val="single" w:color="0000FF"/>
          </w:rPr>
          <w:t>Samsung</w:t>
        </w:r>
        <w:r>
          <w:rPr>
            <w:color w:val="0000FF"/>
            <w:spacing w:val="-10"/>
            <w:w w:val="105"/>
            <w:sz w:val="16"/>
            <w:u w:val="single" w:color="0000FF"/>
          </w:rPr>
          <w:t> </w:t>
        </w:r>
        <w:r>
          <w:rPr>
            <w:color w:val="0000FF"/>
            <w:w w:val="105"/>
            <w:sz w:val="16"/>
            <w:u w:val="single" w:color="0000FF"/>
          </w:rPr>
          <w:t>Display</w:t>
        </w:r>
        <w:r>
          <w:rPr>
            <w:color w:val="0000FF"/>
            <w:spacing w:val="-10"/>
            <w:w w:val="105"/>
            <w:sz w:val="16"/>
            <w:u w:val="single" w:color="0000FF"/>
          </w:rPr>
          <w:t> </w:t>
        </w:r>
        <w:r>
          <w:rPr>
            <w:color w:val="0000FF"/>
            <w:w w:val="105"/>
            <w:sz w:val="16"/>
            <w:u w:val="single" w:color="0000FF"/>
          </w:rPr>
          <w:t>Co.,</w:t>
        </w:r>
        <w:r>
          <w:rPr>
            <w:color w:val="0000FF"/>
            <w:spacing w:val="-10"/>
            <w:w w:val="105"/>
            <w:sz w:val="16"/>
            <w:u w:val="single" w:color="0000FF"/>
          </w:rPr>
          <w:t> </w:t>
        </w:r>
        <w:r>
          <w:rPr>
            <w:color w:val="0000FF"/>
            <w:w w:val="105"/>
            <w:sz w:val="16"/>
            <w:u w:val="single" w:color="0000FF"/>
          </w:rPr>
          <w:t>Ltd.</w:t>
        </w:r>
        <w:r>
          <w:rPr>
            <w:color w:val="0000FF"/>
            <w:spacing w:val="-10"/>
            <w:w w:val="105"/>
            <w:sz w:val="16"/>
            <w:u w:val="single" w:color="0000FF"/>
          </w:rPr>
          <w:t> </w:t>
        </w:r>
        <w:r>
          <w:rPr>
            <w:color w:val="0000FF"/>
            <w:w w:val="105"/>
            <w:sz w:val="16"/>
            <w:u w:val="single" w:color="0000FF"/>
          </w:rPr>
          <w:t>and</w:t>
        </w:r>
        <w:r>
          <w:rPr>
            <w:color w:val="0000FF"/>
            <w:spacing w:val="-10"/>
            <w:w w:val="105"/>
            <w:sz w:val="16"/>
            <w:u w:val="single" w:color="0000FF"/>
          </w:rPr>
          <w:t> </w:t>
        </w:r>
        <w:r>
          <w:rPr>
            <w:color w:val="0000FF"/>
            <w:w w:val="105"/>
            <w:sz w:val="16"/>
            <w:u w:val="single" w:color="0000FF"/>
          </w:rPr>
          <w:t>Corning</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(Incorporated</w:t>
        </w:r>
        <w:r>
          <w:rPr>
            <w:color w:val="0000FF"/>
            <w:spacing w:val="-10"/>
            <w:w w:val="105"/>
            <w:sz w:val="16"/>
            <w:u w:val="single" w:color="0000FF"/>
          </w:rPr>
          <w:t> </w:t>
        </w:r>
        <w:r>
          <w:rPr>
            <w:color w:val="0000FF"/>
            <w:w w:val="105"/>
            <w:sz w:val="16"/>
            <w:u w:val="single" w:color="0000FF"/>
          </w:rPr>
          <w:t>by</w:t>
        </w:r>
        <w:r>
          <w:rPr>
            <w:color w:val="0000FF"/>
            <w:spacing w:val="-10"/>
            <w:w w:val="105"/>
            <w:sz w:val="16"/>
            <w:u w:val="single" w:color="0000FF"/>
          </w:rPr>
          <w:t> </w:t>
        </w:r>
        <w:r>
          <w:rPr>
            <w:color w:val="0000FF"/>
            <w:w w:val="105"/>
            <w:sz w:val="16"/>
            <w:u w:val="single" w:color="0000FF"/>
          </w:rPr>
          <w:t>reference</w:t>
        </w:r>
        <w:r>
          <w:rPr>
            <w:color w:val="0000FF"/>
            <w:spacing w:val="-10"/>
            <w:w w:val="105"/>
            <w:sz w:val="16"/>
            <w:u w:val="single" w:color="0000FF"/>
          </w:rPr>
          <w:t> </w:t>
        </w:r>
        <w:r>
          <w:rPr>
            <w:color w:val="0000FF"/>
            <w:w w:val="105"/>
            <w:sz w:val="16"/>
            <w:u w:val="single" w:color="0000FF"/>
          </w:rPr>
          <w:t>to</w:t>
        </w:r>
      </w:hyperlink>
      <w:r>
        <w:rPr>
          <w:color w:val="0000FF"/>
          <w:w w:val="105"/>
          <w:sz w:val="16"/>
        </w:rPr>
        <w:t> </w:t>
      </w:r>
      <w:hyperlink r:id="rId81">
        <w:r>
          <w:rPr>
            <w:color w:val="0000FF"/>
            <w:w w:val="105"/>
            <w:sz w:val="16"/>
            <w:u w:val="single" w:color="0000FF"/>
          </w:rPr>
          <w:t>Exhibit 10.1 to Corning's Form 8-K filed on April 5, 2021).</w:t>
        </w:r>
      </w:hyperlink>
    </w:p>
    <w:p>
      <w:pPr>
        <w:pStyle w:val="BodyText"/>
        <w:tabs>
          <w:tab w:pos="1659" w:val="left" w:leader="none"/>
        </w:tabs>
        <w:spacing w:line="266" w:lineRule="auto"/>
        <w:ind w:left="1659" w:right="125" w:hanging="1032"/>
      </w:pPr>
      <w:hyperlink r:id="rId58">
        <w:r>
          <w:rPr>
            <w:color w:val="0000FF"/>
            <w:spacing w:val="-6"/>
            <w:w w:val="105"/>
            <w:u w:val="single" w:color="0000FF"/>
          </w:rPr>
          <w:t>14</w:t>
        </w:r>
      </w:hyperlink>
      <w:r>
        <w:rPr>
          <w:color w:val="0000FF"/>
        </w:rPr>
        <w:tab/>
      </w:r>
      <w:hyperlink r:id="rId58">
        <w:r>
          <w:rPr>
            <w:color w:val="0000FF"/>
            <w:w w:val="105"/>
            <w:u w:val="single" w:color="0000FF"/>
          </w:rPr>
          <w:t>Corning</w:t>
        </w:r>
        <w:r>
          <w:rPr>
            <w:color w:val="0000FF"/>
            <w:spacing w:val="-9"/>
            <w:w w:val="105"/>
            <w:u w:val="single" w:color="0000FF"/>
          </w:rPr>
          <w:t> </w:t>
        </w:r>
        <w:r>
          <w:rPr>
            <w:color w:val="0000FF"/>
            <w:w w:val="105"/>
            <w:u w:val="single" w:color="0000FF"/>
          </w:rPr>
          <w:t>Incorporated</w:t>
        </w:r>
        <w:r>
          <w:rPr>
            <w:color w:val="0000FF"/>
            <w:spacing w:val="-9"/>
            <w:w w:val="105"/>
            <w:u w:val="single" w:color="0000FF"/>
          </w:rPr>
          <w:t> </w:t>
        </w:r>
        <w:r>
          <w:rPr>
            <w:color w:val="0000FF"/>
            <w:w w:val="105"/>
            <w:u w:val="single" w:color="0000FF"/>
          </w:rPr>
          <w:t>Code</w:t>
        </w:r>
        <w:r>
          <w:rPr>
            <w:color w:val="0000FF"/>
            <w:spacing w:val="-9"/>
            <w:w w:val="105"/>
            <w:u w:val="single" w:color="0000FF"/>
          </w:rPr>
          <w:t> </w:t>
        </w:r>
        <w:r>
          <w:rPr>
            <w:color w:val="0000FF"/>
            <w:w w:val="105"/>
            <w:u w:val="single" w:color="0000FF"/>
          </w:rPr>
          <w:t>of</w:t>
        </w:r>
        <w:r>
          <w:rPr>
            <w:color w:val="0000FF"/>
            <w:spacing w:val="-9"/>
            <w:w w:val="105"/>
            <w:u w:val="single" w:color="0000FF"/>
          </w:rPr>
          <w:t> </w:t>
        </w:r>
        <w:r>
          <w:rPr>
            <w:color w:val="0000FF"/>
            <w:w w:val="105"/>
            <w:u w:val="single" w:color="0000FF"/>
          </w:rPr>
          <w:t>Ethics</w:t>
        </w:r>
        <w:r>
          <w:rPr>
            <w:color w:val="0000FF"/>
            <w:spacing w:val="-8"/>
            <w:w w:val="105"/>
            <w:u w:val="single" w:color="0000FF"/>
          </w:rPr>
          <w:t> </w:t>
        </w:r>
        <w:r>
          <w:rPr>
            <w:color w:val="0000FF"/>
            <w:w w:val="105"/>
            <w:u w:val="single" w:color="0000FF"/>
          </w:rPr>
          <w:t>for</w:t>
        </w:r>
        <w:r>
          <w:rPr>
            <w:color w:val="0000FF"/>
            <w:spacing w:val="-9"/>
            <w:w w:val="105"/>
            <w:u w:val="single" w:color="0000FF"/>
          </w:rPr>
          <w:t> </w:t>
        </w:r>
        <w:r>
          <w:rPr>
            <w:color w:val="0000FF"/>
            <w:w w:val="105"/>
            <w:u w:val="single" w:color="0000FF"/>
          </w:rPr>
          <w:t>Chief</w:t>
        </w:r>
        <w:r>
          <w:rPr>
            <w:color w:val="0000FF"/>
            <w:spacing w:val="-9"/>
            <w:w w:val="105"/>
            <w:u w:val="single" w:color="0000FF"/>
          </w:rPr>
          <w:t> </w:t>
        </w:r>
        <w:r>
          <w:rPr>
            <w:color w:val="0000FF"/>
            <w:w w:val="105"/>
            <w:u w:val="single" w:color="0000FF"/>
          </w:rPr>
          <w:t>Executive</w:t>
        </w:r>
        <w:r>
          <w:rPr>
            <w:color w:val="0000FF"/>
            <w:spacing w:val="-9"/>
            <w:w w:val="105"/>
            <w:u w:val="single" w:color="0000FF"/>
          </w:rPr>
          <w:t> </w:t>
        </w:r>
        <w:r>
          <w:rPr>
            <w:color w:val="0000FF"/>
            <w:w w:val="105"/>
            <w:u w:val="single" w:color="0000FF"/>
          </w:rPr>
          <w:t>Officer</w:t>
        </w:r>
        <w:r>
          <w:rPr>
            <w:color w:val="0000FF"/>
            <w:spacing w:val="-9"/>
            <w:w w:val="105"/>
            <w:u w:val="single" w:color="0000FF"/>
          </w:rPr>
          <w:t> </w:t>
        </w:r>
        <w:r>
          <w:rPr>
            <w:color w:val="0000FF"/>
            <w:w w:val="105"/>
            <w:u w:val="single" w:color="0000FF"/>
          </w:rPr>
          <w:t>and</w:t>
        </w:r>
        <w:r>
          <w:rPr>
            <w:color w:val="0000FF"/>
            <w:spacing w:val="-9"/>
            <w:w w:val="105"/>
            <w:u w:val="single" w:color="0000FF"/>
          </w:rPr>
          <w:t> </w:t>
        </w:r>
        <w:r>
          <w:rPr>
            <w:color w:val="0000FF"/>
            <w:w w:val="105"/>
            <w:u w:val="single" w:color="0000FF"/>
          </w:rPr>
          <w:t>Financial</w:t>
        </w:r>
        <w:r>
          <w:rPr>
            <w:color w:val="0000FF"/>
            <w:spacing w:val="-9"/>
            <w:w w:val="105"/>
            <w:u w:val="single" w:color="0000FF"/>
          </w:rPr>
          <w:t> </w:t>
        </w:r>
        <w:r>
          <w:rPr>
            <w:color w:val="0000FF"/>
            <w:w w:val="105"/>
            <w:u w:val="single" w:color="0000FF"/>
          </w:rPr>
          <w:t>Executives,</w:t>
        </w:r>
        <w:r>
          <w:rPr>
            <w:color w:val="0000FF"/>
            <w:spacing w:val="-9"/>
            <w:w w:val="105"/>
            <w:u w:val="single" w:color="0000FF"/>
          </w:rPr>
          <w:t> </w:t>
        </w:r>
        <w:r>
          <w:rPr>
            <w:color w:val="0000FF"/>
            <w:w w:val="105"/>
            <w:u w:val="single" w:color="0000FF"/>
          </w:rPr>
          <w:t>and</w:t>
        </w:r>
        <w:r>
          <w:rPr>
            <w:color w:val="0000FF"/>
            <w:spacing w:val="-9"/>
            <w:w w:val="105"/>
            <w:u w:val="single" w:color="0000FF"/>
          </w:rPr>
          <w:t> </w:t>
        </w:r>
        <w:r>
          <w:rPr>
            <w:color w:val="0000FF"/>
            <w:w w:val="105"/>
            <w:u w:val="single" w:color="0000FF"/>
          </w:rPr>
          <w:t>Code</w:t>
        </w:r>
        <w:r>
          <w:rPr>
            <w:color w:val="0000FF"/>
            <w:spacing w:val="-9"/>
            <w:w w:val="105"/>
            <w:u w:val="single" w:color="0000FF"/>
          </w:rPr>
          <w:t> </w:t>
        </w:r>
        <w:r>
          <w:rPr>
            <w:color w:val="0000FF"/>
            <w:w w:val="105"/>
            <w:u w:val="single" w:color="0000FF"/>
          </w:rPr>
          <w:t>of</w:t>
        </w:r>
        <w:r>
          <w:rPr>
            <w:color w:val="0000FF"/>
            <w:spacing w:val="-9"/>
            <w:w w:val="105"/>
            <w:u w:val="single" w:color="0000FF"/>
          </w:rPr>
          <w:t> </w:t>
        </w:r>
        <w:r>
          <w:rPr>
            <w:color w:val="0000FF"/>
            <w:w w:val="105"/>
            <w:u w:val="single" w:color="0000FF"/>
          </w:rPr>
          <w:t>Conduct</w:t>
        </w:r>
        <w:r>
          <w:rPr>
            <w:color w:val="0000FF"/>
            <w:spacing w:val="-9"/>
            <w:w w:val="105"/>
            <w:u w:val="single" w:color="0000FF"/>
          </w:rPr>
          <w:t> </w:t>
        </w:r>
        <w:r>
          <w:rPr>
            <w:color w:val="0000FF"/>
            <w:w w:val="105"/>
            <w:u w:val="single" w:color="0000FF"/>
          </w:rPr>
          <w:t>for</w:t>
        </w:r>
        <w:r>
          <w:rPr>
            <w:color w:val="0000FF"/>
            <w:spacing w:val="-9"/>
            <w:w w:val="105"/>
            <w:u w:val="single" w:color="0000FF"/>
          </w:rPr>
          <w:t> </w:t>
        </w:r>
        <w:r>
          <w:rPr>
            <w:color w:val="0000FF"/>
            <w:w w:val="105"/>
            <w:u w:val="single" w:color="0000FF"/>
          </w:rPr>
          <w:t>Directors</w:t>
        </w:r>
        <w:r>
          <w:rPr>
            <w:color w:val="0000FF"/>
            <w:spacing w:val="-9"/>
            <w:w w:val="105"/>
            <w:u w:val="single" w:color="0000FF"/>
          </w:rPr>
          <w:t> </w:t>
        </w:r>
        <w:r>
          <w:rPr>
            <w:color w:val="0000FF"/>
            <w:w w:val="105"/>
            <w:u w:val="single" w:color="0000FF"/>
          </w:rPr>
          <w:t>and</w:t>
        </w:r>
        <w:r>
          <w:rPr>
            <w:color w:val="0000FF"/>
            <w:spacing w:val="-9"/>
            <w:w w:val="105"/>
            <w:u w:val="single" w:color="0000FF"/>
          </w:rPr>
          <w:t> </w:t>
        </w:r>
        <w:r>
          <w:rPr>
            <w:color w:val="0000FF"/>
            <w:w w:val="105"/>
            <w:u w:val="single" w:color="0000FF"/>
          </w:rPr>
          <w:t>Executive</w:t>
        </w:r>
        <w:r>
          <w:rPr>
            <w:color w:val="0000FF"/>
            <w:spacing w:val="-9"/>
            <w:w w:val="105"/>
            <w:u w:val="single" w:color="0000FF"/>
          </w:rPr>
          <w:t> </w:t>
        </w:r>
        <w:r>
          <w:rPr>
            <w:color w:val="0000FF"/>
            <w:w w:val="105"/>
            <w:u w:val="single" w:color="0000FF"/>
          </w:rPr>
          <w:t>Officers</w:t>
        </w:r>
      </w:hyperlink>
      <w:r>
        <w:rPr>
          <w:color w:val="0000FF"/>
          <w:w w:val="105"/>
        </w:rPr>
        <w:t> </w:t>
      </w:r>
      <w:hyperlink r:id="rId58">
        <w:r>
          <w:rPr>
            <w:color w:val="0000FF"/>
            <w:w w:val="105"/>
            <w:u w:val="single" w:color="0000FF"/>
          </w:rPr>
          <w:t>(Incorporated</w:t>
        </w:r>
        <w:r>
          <w:rPr>
            <w:color w:val="0000FF"/>
            <w:spacing w:val="-1"/>
            <w:w w:val="105"/>
            <w:u w:val="single" w:color="0000FF"/>
          </w:rPr>
          <w:t> </w:t>
        </w:r>
        <w:r>
          <w:rPr>
            <w:color w:val="0000FF"/>
            <w:w w:val="105"/>
            <w:u w:val="single" w:color="0000FF"/>
          </w:rPr>
          <w:t>by</w:t>
        </w:r>
        <w:r>
          <w:rPr>
            <w:color w:val="0000FF"/>
            <w:spacing w:val="-1"/>
            <w:w w:val="105"/>
            <w:u w:val="single" w:color="0000FF"/>
          </w:rPr>
          <w:t> </w:t>
        </w:r>
        <w:r>
          <w:rPr>
            <w:color w:val="0000FF"/>
            <w:w w:val="105"/>
            <w:u w:val="single" w:color="0000FF"/>
          </w:rPr>
          <w:t>reference</w:t>
        </w:r>
        <w:r>
          <w:rPr>
            <w:color w:val="0000FF"/>
            <w:spacing w:val="-1"/>
            <w:w w:val="105"/>
            <w:u w:val="single" w:color="0000FF"/>
          </w:rPr>
          <w:t> </w:t>
        </w:r>
        <w:r>
          <w:rPr>
            <w:color w:val="0000FF"/>
            <w:w w:val="105"/>
            <w:u w:val="single" w:color="0000FF"/>
          </w:rPr>
          <w:t>to</w:t>
        </w:r>
        <w:r>
          <w:rPr>
            <w:color w:val="0000FF"/>
            <w:spacing w:val="-1"/>
            <w:w w:val="105"/>
            <w:u w:val="single" w:color="0000FF"/>
          </w:rPr>
          <w:t> </w:t>
        </w:r>
        <w:r>
          <w:rPr>
            <w:color w:val="0000FF"/>
            <w:w w:val="105"/>
            <w:u w:val="single" w:color="0000FF"/>
          </w:rPr>
          <w:t>Appendix</w:t>
        </w:r>
        <w:r>
          <w:rPr>
            <w:color w:val="0000FF"/>
            <w:spacing w:val="-1"/>
            <w:w w:val="105"/>
            <w:u w:val="single" w:color="0000FF"/>
          </w:rPr>
          <w:t> </w:t>
        </w:r>
        <w:r>
          <w:rPr>
            <w:color w:val="0000FF"/>
            <w:w w:val="105"/>
            <w:u w:val="single" w:color="0000FF"/>
          </w:rPr>
          <w:t>G</w:t>
        </w:r>
        <w:r>
          <w:rPr>
            <w:color w:val="0000FF"/>
            <w:spacing w:val="-1"/>
            <w:w w:val="105"/>
            <w:u w:val="single" w:color="0000FF"/>
          </w:rPr>
          <w:t> </w:t>
        </w:r>
        <w:r>
          <w:rPr>
            <w:color w:val="0000FF"/>
            <w:w w:val="105"/>
            <w:u w:val="single" w:color="0000FF"/>
          </w:rPr>
          <w:t>of</w:t>
        </w:r>
        <w:r>
          <w:rPr>
            <w:color w:val="0000FF"/>
            <w:spacing w:val="-1"/>
            <w:w w:val="105"/>
            <w:u w:val="single" w:color="0000FF"/>
          </w:rPr>
          <w:t> </w:t>
        </w:r>
        <w:r>
          <w:rPr>
            <w:color w:val="0000FF"/>
            <w:w w:val="105"/>
            <w:u w:val="single" w:color="0000FF"/>
          </w:rPr>
          <w:t>Corning</w:t>
        </w:r>
        <w:r>
          <w:rPr>
            <w:color w:val="0000FF"/>
            <w:spacing w:val="-1"/>
            <w:w w:val="105"/>
            <w:u w:val="single" w:color="0000FF"/>
          </w:rPr>
          <w:t> </w:t>
        </w:r>
        <w:r>
          <w:rPr>
            <w:color w:val="0000FF"/>
            <w:w w:val="105"/>
            <w:u w:val="single" w:color="0000FF"/>
          </w:rPr>
          <w:t>Proxy</w:t>
        </w:r>
        <w:r>
          <w:rPr>
            <w:color w:val="0000FF"/>
            <w:spacing w:val="-1"/>
            <w:w w:val="105"/>
            <w:u w:val="single" w:color="0000FF"/>
          </w:rPr>
          <w:t> </w:t>
        </w:r>
        <w:r>
          <w:rPr>
            <w:color w:val="0000FF"/>
            <w:w w:val="105"/>
            <w:u w:val="single" w:color="0000FF"/>
          </w:rPr>
          <w:t>Statement,</w:t>
        </w:r>
        <w:r>
          <w:rPr>
            <w:color w:val="0000FF"/>
            <w:spacing w:val="-1"/>
            <w:w w:val="105"/>
            <w:u w:val="single" w:color="0000FF"/>
          </w:rPr>
          <w:t> </w:t>
        </w:r>
        <w:r>
          <w:rPr>
            <w:color w:val="0000FF"/>
            <w:w w:val="105"/>
            <w:u w:val="single" w:color="0000FF"/>
          </w:rPr>
          <w:t>Definitive</w:t>
        </w:r>
        <w:r>
          <w:rPr>
            <w:color w:val="0000FF"/>
            <w:spacing w:val="-1"/>
            <w:w w:val="105"/>
            <w:u w:val="single" w:color="0000FF"/>
          </w:rPr>
          <w:t> </w:t>
        </w:r>
        <w:r>
          <w:rPr>
            <w:color w:val="0000FF"/>
            <w:w w:val="105"/>
            <w:u w:val="single" w:color="0000FF"/>
          </w:rPr>
          <w:t>14A</w:t>
        </w:r>
        <w:r>
          <w:rPr>
            <w:color w:val="0000FF"/>
            <w:spacing w:val="-1"/>
            <w:w w:val="105"/>
            <w:u w:val="single" w:color="0000FF"/>
          </w:rPr>
          <w:t> </w:t>
        </w:r>
        <w:r>
          <w:rPr>
            <w:color w:val="0000FF"/>
            <w:w w:val="105"/>
            <w:u w:val="single" w:color="0000FF"/>
          </w:rPr>
          <w:t>filed</w:t>
        </w:r>
        <w:r>
          <w:rPr>
            <w:color w:val="0000FF"/>
            <w:spacing w:val="-1"/>
            <w:w w:val="105"/>
            <w:u w:val="single" w:color="0000FF"/>
          </w:rPr>
          <w:t> </w:t>
        </w:r>
        <w:r>
          <w:rPr>
            <w:color w:val="0000FF"/>
            <w:w w:val="105"/>
            <w:u w:val="single" w:color="0000FF"/>
          </w:rPr>
          <w:t>March</w:t>
        </w:r>
        <w:r>
          <w:rPr>
            <w:color w:val="0000FF"/>
            <w:spacing w:val="-1"/>
            <w:w w:val="105"/>
            <w:u w:val="single" w:color="0000FF"/>
          </w:rPr>
          <w:t> </w:t>
        </w:r>
        <w:r>
          <w:rPr>
            <w:color w:val="0000FF"/>
            <w:w w:val="105"/>
            <w:u w:val="single" w:color="0000FF"/>
          </w:rPr>
          <w:t>13,</w:t>
        </w:r>
        <w:r>
          <w:rPr>
            <w:color w:val="0000FF"/>
            <w:spacing w:val="-1"/>
            <w:w w:val="105"/>
            <w:u w:val="single" w:color="0000FF"/>
          </w:rPr>
          <w:t> </w:t>
        </w:r>
        <w:r>
          <w:rPr>
            <w:color w:val="0000FF"/>
            <w:w w:val="105"/>
            <w:u w:val="single" w:color="0000FF"/>
          </w:rPr>
          <w:t>2012</w:t>
        </w:r>
        <w:r>
          <w:rPr>
            <w:color w:val="0000FF"/>
            <w:spacing w:val="-1"/>
            <w:w w:val="105"/>
            <w:u w:val="single" w:color="0000FF"/>
          </w:rPr>
          <w:t> </w:t>
        </w:r>
        <w:r>
          <w:rPr>
            <w:color w:val="0000FF"/>
            <w:w w:val="105"/>
            <w:u w:val="single" w:color="0000FF"/>
          </w:rPr>
          <w:t>for</w:t>
        </w:r>
        <w:r>
          <w:rPr>
            <w:color w:val="0000FF"/>
            <w:spacing w:val="-1"/>
            <w:w w:val="105"/>
            <w:u w:val="single" w:color="0000FF"/>
          </w:rPr>
          <w:t> </w:t>
        </w:r>
        <w:r>
          <w:rPr>
            <w:color w:val="0000FF"/>
            <w:w w:val="105"/>
            <w:u w:val="single" w:color="0000FF"/>
          </w:rPr>
          <w:t>April</w:t>
        </w:r>
        <w:r>
          <w:rPr>
            <w:color w:val="0000FF"/>
            <w:spacing w:val="-1"/>
            <w:w w:val="105"/>
            <w:u w:val="single" w:color="0000FF"/>
          </w:rPr>
          <w:t> </w:t>
        </w:r>
        <w:r>
          <w:rPr>
            <w:color w:val="0000FF"/>
            <w:w w:val="105"/>
            <w:u w:val="single" w:color="0000FF"/>
          </w:rPr>
          <w:t>26,</w:t>
        </w:r>
        <w:r>
          <w:rPr>
            <w:color w:val="0000FF"/>
            <w:spacing w:val="-1"/>
            <w:w w:val="105"/>
            <w:u w:val="single" w:color="0000FF"/>
          </w:rPr>
          <w:t> </w:t>
        </w:r>
        <w:r>
          <w:rPr>
            <w:color w:val="0000FF"/>
            <w:w w:val="105"/>
            <w:u w:val="single" w:color="0000FF"/>
          </w:rPr>
          <w:t>2012</w:t>
        </w:r>
        <w:r>
          <w:rPr>
            <w:color w:val="0000FF"/>
            <w:spacing w:val="-1"/>
            <w:w w:val="105"/>
            <w:u w:val="single" w:color="0000FF"/>
          </w:rPr>
          <w:t> </w:t>
        </w:r>
        <w:r>
          <w:rPr>
            <w:color w:val="0000FF"/>
            <w:w w:val="105"/>
            <w:u w:val="single" w:color="0000FF"/>
          </w:rPr>
          <w:t>Annual</w:t>
        </w:r>
        <w:r>
          <w:rPr>
            <w:color w:val="0000FF"/>
            <w:spacing w:val="-1"/>
            <w:w w:val="105"/>
            <w:u w:val="single" w:color="0000FF"/>
          </w:rPr>
          <w:t> </w:t>
        </w:r>
        <w:r>
          <w:rPr>
            <w:color w:val="0000FF"/>
            <w:w w:val="105"/>
            <w:u w:val="single" w:color="0000FF"/>
          </w:rPr>
          <w:t>Meeting</w:t>
        </w:r>
        <w:r>
          <w:rPr>
            <w:color w:val="0000FF"/>
            <w:spacing w:val="-1"/>
            <w:w w:val="105"/>
            <w:u w:val="single" w:color="0000FF"/>
          </w:rPr>
          <w:t> </w:t>
        </w:r>
        <w:r>
          <w:rPr>
            <w:color w:val="0000FF"/>
            <w:w w:val="105"/>
            <w:u w:val="single" w:color="0000FF"/>
          </w:rPr>
          <w:t>of</w:t>
        </w:r>
      </w:hyperlink>
      <w:r>
        <w:rPr>
          <w:color w:val="0000FF"/>
          <w:w w:val="105"/>
        </w:rPr>
        <w:t> </w:t>
      </w:r>
      <w:hyperlink r:id="rId58">
        <w:r>
          <w:rPr>
            <w:color w:val="0000FF"/>
            <w:spacing w:val="-2"/>
            <w:w w:val="105"/>
            <w:u w:val="single" w:color="0000FF"/>
          </w:rPr>
          <w:t>Shareholders).</w:t>
        </w:r>
      </w:hyperlink>
    </w:p>
    <w:p>
      <w:pPr>
        <w:pStyle w:val="BodyText"/>
        <w:tabs>
          <w:tab w:pos="1659" w:val="left" w:leader="none"/>
        </w:tabs>
        <w:spacing w:line="183" w:lineRule="exact"/>
        <w:ind w:left="627"/>
      </w:pPr>
      <w:hyperlink w:history="true" w:anchor="_bookmark29">
        <w:r>
          <w:rPr>
            <w:color w:val="0000FF"/>
            <w:spacing w:val="-5"/>
            <w:w w:val="105"/>
            <w:u w:val="single" w:color="0000FF"/>
          </w:rPr>
          <w:t>21</w:t>
        </w:r>
      </w:hyperlink>
      <w:r>
        <w:rPr>
          <w:color w:val="0000FF"/>
        </w:rPr>
        <w:tab/>
      </w:r>
      <w:hyperlink w:history="true" w:anchor="_bookmark29">
        <w:r>
          <w:rPr>
            <w:color w:val="0000FF"/>
            <w:w w:val="105"/>
            <w:u w:val="single" w:color="0000FF"/>
          </w:rPr>
          <w:t>Subsidiaries</w:t>
        </w:r>
        <w:r>
          <w:rPr>
            <w:color w:val="0000FF"/>
            <w:spacing w:val="-11"/>
            <w:w w:val="105"/>
            <w:u w:val="single" w:color="0000FF"/>
          </w:rPr>
          <w:t> </w:t>
        </w:r>
        <w:r>
          <w:rPr>
            <w:color w:val="0000FF"/>
            <w:w w:val="105"/>
            <w:u w:val="single" w:color="0000FF"/>
          </w:rPr>
          <w:t>of</w:t>
        </w:r>
        <w:r>
          <w:rPr>
            <w:color w:val="0000FF"/>
            <w:spacing w:val="-10"/>
            <w:w w:val="105"/>
            <w:u w:val="single" w:color="0000FF"/>
          </w:rPr>
          <w:t> </w:t>
        </w:r>
        <w:r>
          <w:rPr>
            <w:color w:val="0000FF"/>
            <w:w w:val="105"/>
            <w:u w:val="single" w:color="0000FF"/>
          </w:rPr>
          <w:t>the</w:t>
        </w:r>
        <w:r>
          <w:rPr>
            <w:color w:val="0000FF"/>
            <w:spacing w:val="-10"/>
            <w:w w:val="105"/>
            <w:u w:val="single" w:color="0000FF"/>
          </w:rPr>
          <w:t> </w:t>
        </w:r>
        <w:r>
          <w:rPr>
            <w:color w:val="0000FF"/>
            <w:w w:val="105"/>
            <w:u w:val="single" w:color="0000FF"/>
          </w:rPr>
          <w:t>Registrant</w:t>
        </w:r>
        <w:r>
          <w:rPr>
            <w:color w:val="0000FF"/>
            <w:spacing w:val="-10"/>
            <w:w w:val="105"/>
            <w:u w:val="single" w:color="0000FF"/>
          </w:rPr>
          <w:t> </w:t>
        </w:r>
        <w:r>
          <w:rPr>
            <w:color w:val="0000FF"/>
            <w:w w:val="105"/>
            <w:u w:val="single" w:color="0000FF"/>
          </w:rPr>
          <w:t>at</w:t>
        </w:r>
        <w:r>
          <w:rPr>
            <w:color w:val="0000FF"/>
            <w:spacing w:val="-10"/>
            <w:w w:val="105"/>
            <w:u w:val="single" w:color="0000FF"/>
          </w:rPr>
          <w:t> </w:t>
        </w:r>
        <w:r>
          <w:rPr>
            <w:color w:val="0000FF"/>
            <w:w w:val="105"/>
            <w:u w:val="single" w:color="0000FF"/>
          </w:rPr>
          <w:t>December</w:t>
        </w:r>
        <w:r>
          <w:rPr>
            <w:color w:val="0000FF"/>
            <w:spacing w:val="-10"/>
            <w:w w:val="105"/>
            <w:u w:val="single" w:color="0000FF"/>
          </w:rPr>
          <w:t> </w:t>
        </w:r>
        <w:r>
          <w:rPr>
            <w:color w:val="0000FF"/>
            <w:w w:val="105"/>
            <w:u w:val="single" w:color="0000FF"/>
          </w:rPr>
          <w:t>31,</w:t>
        </w:r>
        <w:r>
          <w:rPr>
            <w:color w:val="0000FF"/>
            <w:spacing w:val="-10"/>
            <w:w w:val="105"/>
            <w:u w:val="single" w:color="0000FF"/>
          </w:rPr>
          <w:t> </w:t>
        </w:r>
        <w:r>
          <w:rPr>
            <w:color w:val="0000FF"/>
            <w:spacing w:val="-2"/>
            <w:w w:val="105"/>
            <w:u w:val="single" w:color="0000FF"/>
          </w:rPr>
          <w:t>2021.</w:t>
        </w:r>
      </w:hyperlink>
    </w:p>
    <w:p>
      <w:pPr>
        <w:pStyle w:val="ListParagraph"/>
        <w:numPr>
          <w:ilvl w:val="0"/>
          <w:numId w:val="26"/>
        </w:numPr>
        <w:tabs>
          <w:tab w:pos="1659" w:val="left" w:leader="none"/>
        </w:tabs>
        <w:spacing w:line="240" w:lineRule="auto" w:before="9" w:after="0"/>
        <w:ind w:left="1659" w:right="0" w:hanging="1032"/>
        <w:jc w:val="left"/>
        <w:rPr>
          <w:sz w:val="16"/>
        </w:rPr>
      </w:pPr>
      <w:hyperlink w:history="true" w:anchor="_bookmark30">
        <w:r>
          <w:rPr>
            <w:color w:val="0000FF"/>
            <w:sz w:val="16"/>
            <w:u w:val="single" w:color="0000FF"/>
          </w:rPr>
          <w:t>Consent</w:t>
        </w:r>
        <w:r>
          <w:rPr>
            <w:color w:val="0000FF"/>
            <w:spacing w:val="18"/>
            <w:sz w:val="16"/>
            <w:u w:val="single" w:color="0000FF"/>
          </w:rPr>
          <w:t> </w:t>
        </w:r>
        <w:r>
          <w:rPr>
            <w:color w:val="0000FF"/>
            <w:sz w:val="16"/>
            <w:u w:val="single" w:color="0000FF"/>
          </w:rPr>
          <w:t>of</w:t>
        </w:r>
        <w:r>
          <w:rPr>
            <w:color w:val="0000FF"/>
            <w:spacing w:val="18"/>
            <w:sz w:val="16"/>
            <w:u w:val="single" w:color="0000FF"/>
          </w:rPr>
          <w:t> </w:t>
        </w:r>
        <w:r>
          <w:rPr>
            <w:color w:val="0000FF"/>
            <w:sz w:val="16"/>
            <w:u w:val="single" w:color="0000FF"/>
          </w:rPr>
          <w:t>PricewaterhouseCoopers</w:t>
        </w:r>
        <w:r>
          <w:rPr>
            <w:color w:val="0000FF"/>
            <w:spacing w:val="18"/>
            <w:sz w:val="16"/>
            <w:u w:val="single" w:color="0000FF"/>
          </w:rPr>
          <w:t> </w:t>
        </w:r>
        <w:r>
          <w:rPr>
            <w:color w:val="0000FF"/>
            <w:sz w:val="16"/>
            <w:u w:val="single" w:color="0000FF"/>
          </w:rPr>
          <w:t>LLP,</w:t>
        </w:r>
        <w:r>
          <w:rPr>
            <w:color w:val="0000FF"/>
            <w:spacing w:val="18"/>
            <w:sz w:val="16"/>
            <w:u w:val="single" w:color="0000FF"/>
          </w:rPr>
          <w:t> </w:t>
        </w:r>
        <w:r>
          <w:rPr>
            <w:color w:val="0000FF"/>
            <w:sz w:val="16"/>
            <w:u w:val="single" w:color="0000FF"/>
          </w:rPr>
          <w:t>Independent</w:t>
        </w:r>
        <w:r>
          <w:rPr>
            <w:color w:val="0000FF"/>
            <w:spacing w:val="18"/>
            <w:sz w:val="16"/>
            <w:u w:val="single" w:color="0000FF"/>
          </w:rPr>
          <w:t> </w:t>
        </w:r>
        <w:r>
          <w:rPr>
            <w:color w:val="0000FF"/>
            <w:sz w:val="16"/>
            <w:u w:val="single" w:color="0000FF"/>
          </w:rPr>
          <w:t>Registered</w:t>
        </w:r>
        <w:r>
          <w:rPr>
            <w:color w:val="0000FF"/>
            <w:spacing w:val="18"/>
            <w:sz w:val="16"/>
            <w:u w:val="single" w:color="0000FF"/>
          </w:rPr>
          <w:t> </w:t>
        </w:r>
        <w:r>
          <w:rPr>
            <w:color w:val="0000FF"/>
            <w:sz w:val="16"/>
            <w:u w:val="single" w:color="0000FF"/>
          </w:rPr>
          <w:t>Public</w:t>
        </w:r>
        <w:r>
          <w:rPr>
            <w:color w:val="0000FF"/>
            <w:spacing w:val="18"/>
            <w:sz w:val="16"/>
            <w:u w:val="single" w:color="0000FF"/>
          </w:rPr>
          <w:t> </w:t>
        </w:r>
        <w:r>
          <w:rPr>
            <w:color w:val="0000FF"/>
            <w:sz w:val="16"/>
            <w:u w:val="single" w:color="0000FF"/>
          </w:rPr>
          <w:t>Accounting</w:t>
        </w:r>
        <w:r>
          <w:rPr>
            <w:color w:val="0000FF"/>
            <w:spacing w:val="19"/>
            <w:sz w:val="16"/>
            <w:u w:val="single" w:color="0000FF"/>
          </w:rPr>
          <w:t> </w:t>
        </w:r>
        <w:r>
          <w:rPr>
            <w:color w:val="0000FF"/>
            <w:spacing w:val="-2"/>
            <w:sz w:val="16"/>
            <w:u w:val="single" w:color="0000FF"/>
          </w:rPr>
          <w:t>Firm.</w:t>
        </w:r>
      </w:hyperlink>
    </w:p>
    <w:p>
      <w:pPr>
        <w:pStyle w:val="ListParagraph"/>
        <w:numPr>
          <w:ilvl w:val="0"/>
          <w:numId w:val="26"/>
        </w:numPr>
        <w:tabs>
          <w:tab w:pos="1659" w:val="left" w:leader="none"/>
        </w:tabs>
        <w:spacing w:line="240" w:lineRule="auto" w:before="19" w:after="0"/>
        <w:ind w:left="1659" w:right="0" w:hanging="1032"/>
        <w:jc w:val="left"/>
        <w:rPr>
          <w:sz w:val="16"/>
        </w:rPr>
      </w:pPr>
      <w:hyperlink w:history="true" w:anchor="_bookmark0">
        <w:r>
          <w:rPr>
            <w:color w:val="0000FF"/>
            <w:w w:val="105"/>
            <w:sz w:val="16"/>
            <w:u w:val="single" w:color="0000FF"/>
          </w:rPr>
          <w:t>Powers</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Attorney</w:t>
        </w:r>
        <w:r>
          <w:rPr>
            <w:color w:val="0000FF"/>
            <w:spacing w:val="-9"/>
            <w:w w:val="105"/>
            <w:sz w:val="16"/>
            <w:u w:val="single" w:color="0000FF"/>
          </w:rPr>
          <w:t> </w:t>
        </w:r>
        <w:r>
          <w:rPr>
            <w:color w:val="0000FF"/>
            <w:w w:val="105"/>
            <w:sz w:val="16"/>
            <w:u w:val="single" w:color="0000FF"/>
          </w:rPr>
          <w:t>(included</w:t>
        </w:r>
        <w:r>
          <w:rPr>
            <w:color w:val="0000FF"/>
            <w:spacing w:val="-9"/>
            <w:w w:val="105"/>
            <w:sz w:val="16"/>
            <w:u w:val="single" w:color="0000FF"/>
          </w:rPr>
          <w:t> </w:t>
        </w:r>
        <w:r>
          <w:rPr>
            <w:color w:val="0000FF"/>
            <w:w w:val="105"/>
            <w:sz w:val="16"/>
            <w:u w:val="single" w:color="0000FF"/>
          </w:rPr>
          <w:t>on</w:t>
        </w:r>
        <w:r>
          <w:rPr>
            <w:color w:val="0000FF"/>
            <w:spacing w:val="-9"/>
            <w:w w:val="105"/>
            <w:sz w:val="16"/>
            <w:u w:val="single" w:color="0000FF"/>
          </w:rPr>
          <w:t> </w:t>
        </w:r>
        <w:r>
          <w:rPr>
            <w:color w:val="0000FF"/>
            <w:w w:val="105"/>
            <w:sz w:val="16"/>
            <w:u w:val="single" w:color="0000FF"/>
          </w:rPr>
          <w:t>the</w:t>
        </w:r>
        <w:r>
          <w:rPr>
            <w:color w:val="0000FF"/>
            <w:spacing w:val="-10"/>
            <w:w w:val="105"/>
            <w:sz w:val="16"/>
            <w:u w:val="single" w:color="0000FF"/>
          </w:rPr>
          <w:t> </w:t>
        </w:r>
        <w:r>
          <w:rPr>
            <w:color w:val="0000FF"/>
            <w:w w:val="105"/>
            <w:sz w:val="16"/>
            <w:u w:val="single" w:color="0000FF"/>
          </w:rPr>
          <w:t>Signatures</w:t>
        </w:r>
        <w:r>
          <w:rPr>
            <w:color w:val="0000FF"/>
            <w:spacing w:val="-9"/>
            <w:w w:val="105"/>
            <w:sz w:val="16"/>
            <w:u w:val="single" w:color="0000FF"/>
          </w:rPr>
          <w:t> </w:t>
        </w:r>
        <w:r>
          <w:rPr>
            <w:color w:val="0000FF"/>
            <w:w w:val="105"/>
            <w:sz w:val="16"/>
            <w:u w:val="single" w:color="0000FF"/>
          </w:rPr>
          <w:t>page</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this</w:t>
        </w:r>
        <w:r>
          <w:rPr>
            <w:color w:val="0000FF"/>
            <w:spacing w:val="-9"/>
            <w:w w:val="105"/>
            <w:sz w:val="16"/>
            <w:u w:val="single" w:color="0000FF"/>
          </w:rPr>
          <w:t> </w:t>
        </w:r>
        <w:r>
          <w:rPr>
            <w:color w:val="0000FF"/>
            <w:w w:val="105"/>
            <w:sz w:val="16"/>
            <w:u w:val="single" w:color="0000FF"/>
          </w:rPr>
          <w:t>Annual</w:t>
        </w:r>
        <w:r>
          <w:rPr>
            <w:color w:val="0000FF"/>
            <w:spacing w:val="-9"/>
            <w:w w:val="105"/>
            <w:sz w:val="16"/>
            <w:u w:val="single" w:color="0000FF"/>
          </w:rPr>
          <w:t> </w:t>
        </w:r>
        <w:r>
          <w:rPr>
            <w:color w:val="0000FF"/>
            <w:w w:val="105"/>
            <w:sz w:val="16"/>
            <w:u w:val="single" w:color="0000FF"/>
          </w:rPr>
          <w:t>Report</w:t>
        </w:r>
        <w:r>
          <w:rPr>
            <w:color w:val="0000FF"/>
            <w:spacing w:val="-9"/>
            <w:w w:val="105"/>
            <w:sz w:val="16"/>
            <w:u w:val="single" w:color="0000FF"/>
          </w:rPr>
          <w:t> </w:t>
        </w:r>
        <w:r>
          <w:rPr>
            <w:color w:val="0000FF"/>
            <w:w w:val="105"/>
            <w:sz w:val="16"/>
            <w:u w:val="single" w:color="0000FF"/>
          </w:rPr>
          <w:t>on</w:t>
        </w:r>
        <w:r>
          <w:rPr>
            <w:color w:val="0000FF"/>
            <w:spacing w:val="-9"/>
            <w:w w:val="105"/>
            <w:sz w:val="16"/>
            <w:u w:val="single" w:color="0000FF"/>
          </w:rPr>
          <w:t> </w:t>
        </w:r>
        <w:r>
          <w:rPr>
            <w:color w:val="0000FF"/>
            <w:w w:val="105"/>
            <w:sz w:val="16"/>
            <w:u w:val="single" w:color="0000FF"/>
          </w:rPr>
          <w:t>Form</w:t>
        </w:r>
        <w:r>
          <w:rPr>
            <w:color w:val="0000FF"/>
            <w:spacing w:val="-9"/>
            <w:w w:val="105"/>
            <w:sz w:val="16"/>
            <w:u w:val="single" w:color="0000FF"/>
          </w:rPr>
          <w:t> </w:t>
        </w:r>
        <w:r>
          <w:rPr>
            <w:color w:val="0000FF"/>
            <w:w w:val="105"/>
            <w:sz w:val="16"/>
            <w:u w:val="single" w:color="0000FF"/>
          </w:rPr>
          <w:t>10-</w:t>
        </w:r>
        <w:r>
          <w:rPr>
            <w:color w:val="0000FF"/>
            <w:spacing w:val="-5"/>
            <w:w w:val="105"/>
            <w:sz w:val="16"/>
            <w:u w:val="single" w:color="0000FF"/>
          </w:rPr>
          <w:t>K).</w:t>
        </w:r>
      </w:hyperlink>
    </w:p>
    <w:p>
      <w:pPr>
        <w:pStyle w:val="ListParagraph"/>
        <w:numPr>
          <w:ilvl w:val="1"/>
          <w:numId w:val="27"/>
        </w:numPr>
        <w:tabs>
          <w:tab w:pos="1659" w:val="left" w:leader="none"/>
        </w:tabs>
        <w:spacing w:line="240" w:lineRule="auto" w:before="20" w:after="0"/>
        <w:ind w:left="1659" w:right="0" w:hanging="1032"/>
        <w:jc w:val="left"/>
        <w:rPr>
          <w:sz w:val="16"/>
        </w:rPr>
      </w:pPr>
      <w:hyperlink w:history="true" w:anchor="_bookmark31">
        <w:r>
          <w:rPr>
            <w:color w:val="0000FF"/>
            <w:w w:val="105"/>
            <w:sz w:val="16"/>
            <w:u w:val="single" w:color="0000FF"/>
          </w:rPr>
          <w:t>Certification</w:t>
        </w:r>
        <w:r>
          <w:rPr>
            <w:color w:val="0000FF"/>
            <w:spacing w:val="-9"/>
            <w:w w:val="105"/>
            <w:sz w:val="16"/>
            <w:u w:val="single" w:color="0000FF"/>
          </w:rPr>
          <w:t> </w:t>
        </w:r>
        <w:r>
          <w:rPr>
            <w:color w:val="0000FF"/>
            <w:w w:val="105"/>
            <w:sz w:val="16"/>
            <w:u w:val="single" w:color="0000FF"/>
          </w:rPr>
          <w:t>Pursuant</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Rule</w:t>
        </w:r>
        <w:r>
          <w:rPr>
            <w:color w:val="0000FF"/>
            <w:spacing w:val="-9"/>
            <w:w w:val="105"/>
            <w:sz w:val="16"/>
            <w:u w:val="single" w:color="0000FF"/>
          </w:rPr>
          <w:t> </w:t>
        </w:r>
        <w:r>
          <w:rPr>
            <w:color w:val="0000FF"/>
            <w:w w:val="105"/>
            <w:sz w:val="16"/>
            <w:u w:val="single" w:color="0000FF"/>
          </w:rPr>
          <w:t>13a-15(e)</w:t>
        </w:r>
        <w:r>
          <w:rPr>
            <w:color w:val="0000FF"/>
            <w:spacing w:val="-8"/>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15d-15(e),</w:t>
        </w:r>
        <w:r>
          <w:rPr>
            <w:color w:val="0000FF"/>
            <w:spacing w:val="-9"/>
            <w:w w:val="105"/>
            <w:sz w:val="16"/>
            <w:u w:val="single" w:color="0000FF"/>
          </w:rPr>
          <w:t> </w:t>
        </w:r>
        <w:r>
          <w:rPr>
            <w:color w:val="0000FF"/>
            <w:w w:val="105"/>
            <w:sz w:val="16"/>
            <w:u w:val="single" w:color="0000FF"/>
          </w:rPr>
          <w:t>As</w:t>
        </w:r>
        <w:r>
          <w:rPr>
            <w:color w:val="0000FF"/>
            <w:spacing w:val="-9"/>
            <w:w w:val="105"/>
            <w:sz w:val="16"/>
            <w:u w:val="single" w:color="0000FF"/>
          </w:rPr>
          <w:t> </w:t>
        </w:r>
        <w:r>
          <w:rPr>
            <w:color w:val="0000FF"/>
            <w:w w:val="105"/>
            <w:sz w:val="16"/>
            <w:u w:val="single" w:color="0000FF"/>
          </w:rPr>
          <w:t>Adopted</w:t>
        </w:r>
        <w:r>
          <w:rPr>
            <w:color w:val="0000FF"/>
            <w:spacing w:val="-8"/>
            <w:w w:val="105"/>
            <w:sz w:val="16"/>
            <w:u w:val="single" w:color="0000FF"/>
          </w:rPr>
          <w:t> </w:t>
        </w:r>
        <w:r>
          <w:rPr>
            <w:color w:val="0000FF"/>
            <w:w w:val="105"/>
            <w:sz w:val="16"/>
            <w:u w:val="single" w:color="0000FF"/>
          </w:rPr>
          <w:t>Pursuant</w:t>
        </w:r>
        <w:r>
          <w:rPr>
            <w:color w:val="0000FF"/>
            <w:spacing w:val="-8"/>
            <w:w w:val="105"/>
            <w:sz w:val="16"/>
            <w:u w:val="single" w:color="0000FF"/>
          </w:rPr>
          <w:t> </w:t>
        </w:r>
        <w:r>
          <w:rPr>
            <w:color w:val="0000FF"/>
            <w:w w:val="105"/>
            <w:sz w:val="16"/>
            <w:u w:val="single" w:color="0000FF"/>
          </w:rPr>
          <w:t>to</w:t>
        </w:r>
        <w:r>
          <w:rPr>
            <w:color w:val="0000FF"/>
            <w:spacing w:val="-8"/>
            <w:w w:val="105"/>
            <w:sz w:val="16"/>
            <w:u w:val="single" w:color="0000FF"/>
          </w:rPr>
          <w:t> </w:t>
        </w:r>
        <w:r>
          <w:rPr>
            <w:color w:val="0000FF"/>
            <w:w w:val="105"/>
            <w:sz w:val="16"/>
            <w:u w:val="single" w:color="0000FF"/>
          </w:rPr>
          <w:t>Section</w:t>
        </w:r>
        <w:r>
          <w:rPr>
            <w:color w:val="0000FF"/>
            <w:spacing w:val="-9"/>
            <w:w w:val="105"/>
            <w:sz w:val="16"/>
            <w:u w:val="single" w:color="0000FF"/>
          </w:rPr>
          <w:t> </w:t>
        </w:r>
        <w:r>
          <w:rPr>
            <w:color w:val="0000FF"/>
            <w:w w:val="105"/>
            <w:sz w:val="16"/>
            <w:u w:val="single" w:color="0000FF"/>
          </w:rPr>
          <w:t>302</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the</w:t>
        </w:r>
        <w:r>
          <w:rPr>
            <w:color w:val="0000FF"/>
            <w:spacing w:val="-9"/>
            <w:w w:val="105"/>
            <w:sz w:val="16"/>
            <w:u w:val="single" w:color="0000FF"/>
          </w:rPr>
          <w:t> </w:t>
        </w:r>
        <w:r>
          <w:rPr>
            <w:color w:val="0000FF"/>
            <w:w w:val="105"/>
            <w:sz w:val="16"/>
            <w:u w:val="single" w:color="0000FF"/>
          </w:rPr>
          <w:t>Sarbanes-Oxley</w:t>
        </w:r>
        <w:r>
          <w:rPr>
            <w:color w:val="0000FF"/>
            <w:spacing w:val="-8"/>
            <w:w w:val="105"/>
            <w:sz w:val="16"/>
            <w:u w:val="single" w:color="0000FF"/>
          </w:rPr>
          <w:t> </w:t>
        </w:r>
        <w:r>
          <w:rPr>
            <w:color w:val="0000FF"/>
            <w:w w:val="105"/>
            <w:sz w:val="16"/>
            <w:u w:val="single" w:color="0000FF"/>
          </w:rPr>
          <w:t>Act</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spacing w:val="-2"/>
            <w:w w:val="105"/>
            <w:sz w:val="16"/>
            <w:u w:val="single" w:color="0000FF"/>
          </w:rPr>
          <w:t>2002.</w:t>
        </w:r>
      </w:hyperlink>
    </w:p>
    <w:p>
      <w:pPr>
        <w:pStyle w:val="ListParagraph"/>
        <w:numPr>
          <w:ilvl w:val="1"/>
          <w:numId w:val="27"/>
        </w:numPr>
        <w:tabs>
          <w:tab w:pos="1659" w:val="left" w:leader="none"/>
        </w:tabs>
        <w:spacing w:line="240" w:lineRule="auto" w:before="20" w:after="0"/>
        <w:ind w:left="1659" w:right="0" w:hanging="1032"/>
        <w:jc w:val="left"/>
        <w:rPr>
          <w:sz w:val="16"/>
        </w:rPr>
      </w:pPr>
      <w:hyperlink w:history="true" w:anchor="_bookmark32">
        <w:r>
          <w:rPr>
            <w:color w:val="0000FF"/>
            <w:w w:val="105"/>
            <w:sz w:val="16"/>
            <w:u w:val="single" w:color="0000FF"/>
          </w:rPr>
          <w:t>Certification</w:t>
        </w:r>
        <w:r>
          <w:rPr>
            <w:color w:val="0000FF"/>
            <w:spacing w:val="-9"/>
            <w:w w:val="105"/>
            <w:sz w:val="16"/>
            <w:u w:val="single" w:color="0000FF"/>
          </w:rPr>
          <w:t> </w:t>
        </w:r>
        <w:r>
          <w:rPr>
            <w:color w:val="0000FF"/>
            <w:w w:val="105"/>
            <w:sz w:val="16"/>
            <w:u w:val="single" w:color="0000FF"/>
          </w:rPr>
          <w:t>Pursuant</w:t>
        </w:r>
        <w:r>
          <w:rPr>
            <w:color w:val="0000FF"/>
            <w:spacing w:val="-9"/>
            <w:w w:val="105"/>
            <w:sz w:val="16"/>
            <w:u w:val="single" w:color="0000FF"/>
          </w:rPr>
          <w:t> </w:t>
        </w:r>
        <w:r>
          <w:rPr>
            <w:color w:val="0000FF"/>
            <w:w w:val="105"/>
            <w:sz w:val="16"/>
            <w:u w:val="single" w:color="0000FF"/>
          </w:rPr>
          <w:t>to</w:t>
        </w:r>
        <w:r>
          <w:rPr>
            <w:color w:val="0000FF"/>
            <w:spacing w:val="-9"/>
            <w:w w:val="105"/>
            <w:sz w:val="16"/>
            <w:u w:val="single" w:color="0000FF"/>
          </w:rPr>
          <w:t> </w:t>
        </w:r>
        <w:r>
          <w:rPr>
            <w:color w:val="0000FF"/>
            <w:w w:val="105"/>
            <w:sz w:val="16"/>
            <w:u w:val="single" w:color="0000FF"/>
          </w:rPr>
          <w:t>Rule</w:t>
        </w:r>
        <w:r>
          <w:rPr>
            <w:color w:val="0000FF"/>
            <w:spacing w:val="-9"/>
            <w:w w:val="105"/>
            <w:sz w:val="16"/>
            <w:u w:val="single" w:color="0000FF"/>
          </w:rPr>
          <w:t> </w:t>
        </w:r>
        <w:r>
          <w:rPr>
            <w:color w:val="0000FF"/>
            <w:w w:val="105"/>
            <w:sz w:val="16"/>
            <w:u w:val="single" w:color="0000FF"/>
          </w:rPr>
          <w:t>13a-15(e)</w:t>
        </w:r>
        <w:r>
          <w:rPr>
            <w:color w:val="0000FF"/>
            <w:spacing w:val="-8"/>
            <w:w w:val="105"/>
            <w:sz w:val="16"/>
            <w:u w:val="single" w:color="0000FF"/>
          </w:rPr>
          <w:t> </w:t>
        </w:r>
        <w:r>
          <w:rPr>
            <w:color w:val="0000FF"/>
            <w:w w:val="105"/>
            <w:sz w:val="16"/>
            <w:u w:val="single" w:color="0000FF"/>
          </w:rPr>
          <w:t>and</w:t>
        </w:r>
        <w:r>
          <w:rPr>
            <w:color w:val="0000FF"/>
            <w:spacing w:val="-9"/>
            <w:w w:val="105"/>
            <w:sz w:val="16"/>
            <w:u w:val="single" w:color="0000FF"/>
          </w:rPr>
          <w:t> </w:t>
        </w:r>
        <w:r>
          <w:rPr>
            <w:color w:val="0000FF"/>
            <w:w w:val="105"/>
            <w:sz w:val="16"/>
            <w:u w:val="single" w:color="0000FF"/>
          </w:rPr>
          <w:t>15d-15(e),</w:t>
        </w:r>
        <w:r>
          <w:rPr>
            <w:color w:val="0000FF"/>
            <w:spacing w:val="-9"/>
            <w:w w:val="105"/>
            <w:sz w:val="16"/>
            <w:u w:val="single" w:color="0000FF"/>
          </w:rPr>
          <w:t> </w:t>
        </w:r>
        <w:r>
          <w:rPr>
            <w:color w:val="0000FF"/>
            <w:w w:val="105"/>
            <w:sz w:val="16"/>
            <w:u w:val="single" w:color="0000FF"/>
          </w:rPr>
          <w:t>As</w:t>
        </w:r>
        <w:r>
          <w:rPr>
            <w:color w:val="0000FF"/>
            <w:spacing w:val="-9"/>
            <w:w w:val="105"/>
            <w:sz w:val="16"/>
            <w:u w:val="single" w:color="0000FF"/>
          </w:rPr>
          <w:t> </w:t>
        </w:r>
        <w:r>
          <w:rPr>
            <w:color w:val="0000FF"/>
            <w:w w:val="105"/>
            <w:sz w:val="16"/>
            <w:u w:val="single" w:color="0000FF"/>
          </w:rPr>
          <w:t>Adopted</w:t>
        </w:r>
        <w:r>
          <w:rPr>
            <w:color w:val="0000FF"/>
            <w:spacing w:val="-8"/>
            <w:w w:val="105"/>
            <w:sz w:val="16"/>
            <w:u w:val="single" w:color="0000FF"/>
          </w:rPr>
          <w:t> </w:t>
        </w:r>
        <w:r>
          <w:rPr>
            <w:color w:val="0000FF"/>
            <w:w w:val="105"/>
            <w:sz w:val="16"/>
            <w:u w:val="single" w:color="0000FF"/>
          </w:rPr>
          <w:t>Pursuant</w:t>
        </w:r>
        <w:r>
          <w:rPr>
            <w:color w:val="0000FF"/>
            <w:spacing w:val="-8"/>
            <w:w w:val="105"/>
            <w:sz w:val="16"/>
            <w:u w:val="single" w:color="0000FF"/>
          </w:rPr>
          <w:t> </w:t>
        </w:r>
        <w:r>
          <w:rPr>
            <w:color w:val="0000FF"/>
            <w:w w:val="105"/>
            <w:sz w:val="16"/>
            <w:u w:val="single" w:color="0000FF"/>
          </w:rPr>
          <w:t>to</w:t>
        </w:r>
        <w:r>
          <w:rPr>
            <w:color w:val="0000FF"/>
            <w:spacing w:val="-8"/>
            <w:w w:val="105"/>
            <w:sz w:val="16"/>
            <w:u w:val="single" w:color="0000FF"/>
          </w:rPr>
          <w:t> </w:t>
        </w:r>
        <w:r>
          <w:rPr>
            <w:color w:val="0000FF"/>
            <w:w w:val="105"/>
            <w:sz w:val="16"/>
            <w:u w:val="single" w:color="0000FF"/>
          </w:rPr>
          <w:t>Section</w:t>
        </w:r>
        <w:r>
          <w:rPr>
            <w:color w:val="0000FF"/>
            <w:spacing w:val="-9"/>
            <w:w w:val="105"/>
            <w:sz w:val="16"/>
            <w:u w:val="single" w:color="0000FF"/>
          </w:rPr>
          <w:t> </w:t>
        </w:r>
        <w:r>
          <w:rPr>
            <w:color w:val="0000FF"/>
            <w:w w:val="105"/>
            <w:sz w:val="16"/>
            <w:u w:val="single" w:color="0000FF"/>
          </w:rPr>
          <w:t>302</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w w:val="105"/>
            <w:sz w:val="16"/>
            <w:u w:val="single" w:color="0000FF"/>
          </w:rPr>
          <w:t>the</w:t>
        </w:r>
        <w:r>
          <w:rPr>
            <w:color w:val="0000FF"/>
            <w:spacing w:val="-9"/>
            <w:w w:val="105"/>
            <w:sz w:val="16"/>
            <w:u w:val="single" w:color="0000FF"/>
          </w:rPr>
          <w:t> </w:t>
        </w:r>
        <w:r>
          <w:rPr>
            <w:color w:val="0000FF"/>
            <w:w w:val="105"/>
            <w:sz w:val="16"/>
            <w:u w:val="single" w:color="0000FF"/>
          </w:rPr>
          <w:t>Sarbanes-Oxley</w:t>
        </w:r>
        <w:r>
          <w:rPr>
            <w:color w:val="0000FF"/>
            <w:spacing w:val="-8"/>
            <w:w w:val="105"/>
            <w:sz w:val="16"/>
            <w:u w:val="single" w:color="0000FF"/>
          </w:rPr>
          <w:t> </w:t>
        </w:r>
        <w:r>
          <w:rPr>
            <w:color w:val="0000FF"/>
            <w:w w:val="105"/>
            <w:sz w:val="16"/>
            <w:u w:val="single" w:color="0000FF"/>
          </w:rPr>
          <w:t>Act</w:t>
        </w:r>
        <w:r>
          <w:rPr>
            <w:color w:val="0000FF"/>
            <w:spacing w:val="-9"/>
            <w:w w:val="105"/>
            <w:sz w:val="16"/>
            <w:u w:val="single" w:color="0000FF"/>
          </w:rPr>
          <w:t> </w:t>
        </w:r>
        <w:r>
          <w:rPr>
            <w:color w:val="0000FF"/>
            <w:w w:val="105"/>
            <w:sz w:val="16"/>
            <w:u w:val="single" w:color="0000FF"/>
          </w:rPr>
          <w:t>of</w:t>
        </w:r>
        <w:r>
          <w:rPr>
            <w:color w:val="0000FF"/>
            <w:spacing w:val="-9"/>
            <w:w w:val="105"/>
            <w:sz w:val="16"/>
            <w:u w:val="single" w:color="0000FF"/>
          </w:rPr>
          <w:t> </w:t>
        </w:r>
        <w:r>
          <w:rPr>
            <w:color w:val="0000FF"/>
            <w:spacing w:val="-2"/>
            <w:w w:val="105"/>
            <w:sz w:val="16"/>
            <w:u w:val="single" w:color="0000FF"/>
          </w:rPr>
          <w:t>2002.</w:t>
        </w:r>
      </w:hyperlink>
    </w:p>
    <w:p>
      <w:pPr>
        <w:pStyle w:val="BodyText"/>
        <w:tabs>
          <w:tab w:pos="1659" w:val="left" w:leader="none"/>
        </w:tabs>
        <w:spacing w:line="266" w:lineRule="auto" w:before="20"/>
        <w:ind w:left="627" w:right="1986"/>
      </w:pPr>
      <w:hyperlink w:history="true" w:anchor="_bookmark33">
        <w:r>
          <w:rPr>
            <w:color w:val="0000FF"/>
            <w:spacing w:val="-6"/>
            <w:w w:val="105"/>
            <w:u w:val="single" w:color="0000FF"/>
          </w:rPr>
          <w:t>32</w:t>
        </w:r>
      </w:hyperlink>
      <w:r>
        <w:rPr>
          <w:color w:val="0000FF"/>
        </w:rPr>
        <w:tab/>
      </w:r>
      <w:hyperlink w:history="true" w:anchor="_bookmark33">
        <w:r>
          <w:rPr>
            <w:color w:val="0000FF"/>
            <w:w w:val="105"/>
            <w:u w:val="single" w:color="0000FF"/>
          </w:rPr>
          <w:t>Certification</w:t>
        </w:r>
        <w:r>
          <w:rPr>
            <w:color w:val="0000FF"/>
            <w:spacing w:val="-9"/>
            <w:w w:val="105"/>
            <w:u w:val="single" w:color="0000FF"/>
          </w:rPr>
          <w:t> </w:t>
        </w:r>
        <w:r>
          <w:rPr>
            <w:color w:val="0000FF"/>
            <w:w w:val="105"/>
            <w:u w:val="single" w:color="0000FF"/>
          </w:rPr>
          <w:t>Pursuant</w:t>
        </w:r>
        <w:r>
          <w:rPr>
            <w:color w:val="0000FF"/>
            <w:spacing w:val="-9"/>
            <w:w w:val="105"/>
            <w:u w:val="single" w:color="0000FF"/>
          </w:rPr>
          <w:t> </w:t>
        </w:r>
        <w:r>
          <w:rPr>
            <w:color w:val="0000FF"/>
            <w:w w:val="105"/>
            <w:u w:val="single" w:color="0000FF"/>
          </w:rPr>
          <w:t>to</w:t>
        </w:r>
        <w:r>
          <w:rPr>
            <w:color w:val="0000FF"/>
            <w:spacing w:val="-9"/>
            <w:w w:val="105"/>
            <w:u w:val="single" w:color="0000FF"/>
          </w:rPr>
          <w:t> </w:t>
        </w:r>
        <w:r>
          <w:rPr>
            <w:color w:val="0000FF"/>
            <w:w w:val="105"/>
            <w:u w:val="single" w:color="0000FF"/>
          </w:rPr>
          <w:t>18</w:t>
        </w:r>
        <w:r>
          <w:rPr>
            <w:color w:val="0000FF"/>
            <w:spacing w:val="-9"/>
            <w:w w:val="105"/>
            <w:u w:val="single" w:color="0000FF"/>
          </w:rPr>
          <w:t> </w:t>
        </w:r>
        <w:r>
          <w:rPr>
            <w:color w:val="0000FF"/>
            <w:w w:val="105"/>
            <w:u w:val="single" w:color="0000FF"/>
          </w:rPr>
          <w:t>U.S.C.</w:t>
        </w:r>
        <w:r>
          <w:rPr>
            <w:color w:val="0000FF"/>
            <w:spacing w:val="-9"/>
            <w:w w:val="105"/>
            <w:u w:val="single" w:color="0000FF"/>
          </w:rPr>
          <w:t> </w:t>
        </w:r>
        <w:r>
          <w:rPr>
            <w:color w:val="0000FF"/>
            <w:w w:val="105"/>
            <w:u w:val="single" w:color="0000FF"/>
          </w:rPr>
          <w:t>Section</w:t>
        </w:r>
        <w:r>
          <w:rPr>
            <w:color w:val="0000FF"/>
            <w:spacing w:val="-9"/>
            <w:w w:val="105"/>
            <w:u w:val="single" w:color="0000FF"/>
          </w:rPr>
          <w:t> </w:t>
        </w:r>
        <w:r>
          <w:rPr>
            <w:color w:val="0000FF"/>
            <w:w w:val="105"/>
            <w:u w:val="single" w:color="0000FF"/>
          </w:rPr>
          <w:t>1350,</w:t>
        </w:r>
        <w:r>
          <w:rPr>
            <w:color w:val="0000FF"/>
            <w:spacing w:val="-9"/>
            <w:w w:val="105"/>
            <w:u w:val="single" w:color="0000FF"/>
          </w:rPr>
          <w:t> </w:t>
        </w:r>
        <w:r>
          <w:rPr>
            <w:color w:val="0000FF"/>
            <w:w w:val="105"/>
            <w:u w:val="single" w:color="0000FF"/>
          </w:rPr>
          <w:t>As</w:t>
        </w:r>
        <w:r>
          <w:rPr>
            <w:color w:val="0000FF"/>
            <w:spacing w:val="-9"/>
            <w:w w:val="105"/>
            <w:u w:val="single" w:color="0000FF"/>
          </w:rPr>
          <w:t> </w:t>
        </w:r>
        <w:r>
          <w:rPr>
            <w:color w:val="0000FF"/>
            <w:w w:val="105"/>
            <w:u w:val="single" w:color="0000FF"/>
          </w:rPr>
          <w:t>Adopted</w:t>
        </w:r>
        <w:r>
          <w:rPr>
            <w:color w:val="0000FF"/>
            <w:spacing w:val="-9"/>
            <w:w w:val="105"/>
            <w:u w:val="single" w:color="0000FF"/>
          </w:rPr>
          <w:t> </w:t>
        </w:r>
        <w:r>
          <w:rPr>
            <w:color w:val="0000FF"/>
            <w:w w:val="105"/>
            <w:u w:val="single" w:color="0000FF"/>
          </w:rPr>
          <w:t>Pursuant</w:t>
        </w:r>
        <w:r>
          <w:rPr>
            <w:color w:val="0000FF"/>
            <w:spacing w:val="-9"/>
            <w:w w:val="105"/>
            <w:u w:val="single" w:color="0000FF"/>
          </w:rPr>
          <w:t> </w:t>
        </w:r>
        <w:r>
          <w:rPr>
            <w:color w:val="0000FF"/>
            <w:w w:val="105"/>
            <w:u w:val="single" w:color="0000FF"/>
          </w:rPr>
          <w:t>to</w:t>
        </w:r>
        <w:r>
          <w:rPr>
            <w:color w:val="0000FF"/>
            <w:spacing w:val="-9"/>
            <w:w w:val="105"/>
            <w:u w:val="single" w:color="0000FF"/>
          </w:rPr>
          <w:t> </w:t>
        </w:r>
        <w:r>
          <w:rPr>
            <w:color w:val="0000FF"/>
            <w:w w:val="105"/>
            <w:u w:val="single" w:color="0000FF"/>
          </w:rPr>
          <w:t>Section</w:t>
        </w:r>
        <w:r>
          <w:rPr>
            <w:color w:val="0000FF"/>
            <w:spacing w:val="-9"/>
            <w:w w:val="105"/>
            <w:u w:val="single" w:color="0000FF"/>
          </w:rPr>
          <w:t> </w:t>
        </w:r>
        <w:r>
          <w:rPr>
            <w:color w:val="0000FF"/>
            <w:w w:val="105"/>
            <w:u w:val="single" w:color="0000FF"/>
          </w:rPr>
          <w:t>906</w:t>
        </w:r>
        <w:r>
          <w:rPr>
            <w:color w:val="0000FF"/>
            <w:spacing w:val="-9"/>
            <w:w w:val="105"/>
            <w:u w:val="single" w:color="0000FF"/>
          </w:rPr>
          <w:t> </w:t>
        </w:r>
        <w:r>
          <w:rPr>
            <w:color w:val="0000FF"/>
            <w:w w:val="105"/>
            <w:u w:val="single" w:color="0000FF"/>
          </w:rPr>
          <w:t>of</w:t>
        </w:r>
        <w:r>
          <w:rPr>
            <w:color w:val="0000FF"/>
            <w:spacing w:val="-9"/>
            <w:w w:val="105"/>
            <w:u w:val="single" w:color="0000FF"/>
          </w:rPr>
          <w:t> </w:t>
        </w:r>
        <w:r>
          <w:rPr>
            <w:color w:val="0000FF"/>
            <w:w w:val="105"/>
            <w:u w:val="single" w:color="0000FF"/>
          </w:rPr>
          <w:t>the</w:t>
        </w:r>
        <w:r>
          <w:rPr>
            <w:color w:val="0000FF"/>
            <w:spacing w:val="-9"/>
            <w:w w:val="105"/>
            <w:u w:val="single" w:color="0000FF"/>
          </w:rPr>
          <w:t> </w:t>
        </w:r>
        <w:r>
          <w:rPr>
            <w:color w:val="0000FF"/>
            <w:w w:val="105"/>
            <w:u w:val="single" w:color="0000FF"/>
          </w:rPr>
          <w:t>Sarbanes-Oxley</w:t>
        </w:r>
        <w:r>
          <w:rPr>
            <w:color w:val="0000FF"/>
            <w:spacing w:val="-9"/>
            <w:w w:val="105"/>
            <w:u w:val="single" w:color="0000FF"/>
          </w:rPr>
          <w:t> </w:t>
        </w:r>
        <w:r>
          <w:rPr>
            <w:color w:val="0000FF"/>
            <w:w w:val="105"/>
            <w:u w:val="single" w:color="0000FF"/>
          </w:rPr>
          <w:t>Act</w:t>
        </w:r>
        <w:r>
          <w:rPr>
            <w:color w:val="0000FF"/>
            <w:spacing w:val="-9"/>
            <w:w w:val="105"/>
            <w:u w:val="single" w:color="0000FF"/>
          </w:rPr>
          <w:t> </w:t>
        </w:r>
        <w:r>
          <w:rPr>
            <w:color w:val="0000FF"/>
            <w:w w:val="105"/>
            <w:u w:val="single" w:color="0000FF"/>
          </w:rPr>
          <w:t>of</w:t>
        </w:r>
        <w:r>
          <w:rPr>
            <w:color w:val="0000FF"/>
            <w:spacing w:val="-9"/>
            <w:w w:val="105"/>
            <w:u w:val="single" w:color="0000FF"/>
          </w:rPr>
          <w:t> </w:t>
        </w:r>
        <w:r>
          <w:rPr>
            <w:color w:val="0000FF"/>
            <w:w w:val="105"/>
            <w:u w:val="single" w:color="0000FF"/>
          </w:rPr>
          <w:t>2002.</w:t>
        </w:r>
      </w:hyperlink>
      <w:r>
        <w:rPr>
          <w:color w:val="0000FF"/>
          <w:w w:val="105"/>
        </w:rPr>
        <w:t> </w:t>
      </w:r>
      <w:r>
        <w:rPr>
          <w:spacing w:val="-2"/>
          <w:w w:val="105"/>
        </w:rPr>
        <w:t>101.INS</w:t>
      </w:r>
      <w:r>
        <w:rPr/>
        <w:tab/>
      </w:r>
      <w:r>
        <w:rPr>
          <w:w w:val="105"/>
        </w:rPr>
        <w:t>Inline XBRL Instance Document</w:t>
      </w:r>
    </w:p>
    <w:p>
      <w:pPr>
        <w:pStyle w:val="BodyText"/>
        <w:tabs>
          <w:tab w:pos="1659" w:val="left" w:leader="none"/>
        </w:tabs>
        <w:spacing w:line="266" w:lineRule="auto"/>
        <w:ind w:left="627" w:right="6247"/>
      </w:pPr>
      <w:r>
        <w:rPr>
          <w:spacing w:val="-2"/>
          <w:w w:val="105"/>
        </w:rPr>
        <w:t>101.SCH</w:t>
      </w:r>
      <w:r>
        <w:rPr/>
        <w:tab/>
      </w:r>
      <w:r>
        <w:rPr>
          <w:w w:val="105"/>
        </w:rPr>
        <w:t>Inline XBRL Taxonomy Extension Schema Document </w:t>
      </w:r>
      <w:r>
        <w:rPr>
          <w:spacing w:val="-2"/>
          <w:w w:val="105"/>
        </w:rPr>
        <w:t>101.CAL</w:t>
      </w:r>
      <w:r>
        <w:rPr/>
        <w:tab/>
      </w:r>
      <w:r>
        <w:rPr>
          <w:w w:val="105"/>
        </w:rPr>
        <w:t>Inline</w:t>
      </w:r>
      <w:r>
        <w:rPr>
          <w:spacing w:val="-7"/>
          <w:w w:val="105"/>
        </w:rPr>
        <w:t> </w:t>
      </w:r>
      <w:r>
        <w:rPr>
          <w:w w:val="105"/>
        </w:rPr>
        <w:t>XBRL</w:t>
      </w:r>
      <w:r>
        <w:rPr>
          <w:spacing w:val="-7"/>
          <w:w w:val="105"/>
        </w:rPr>
        <w:t> </w:t>
      </w:r>
      <w:r>
        <w:rPr>
          <w:w w:val="105"/>
        </w:rPr>
        <w:t>Taxonomy</w:t>
      </w:r>
      <w:r>
        <w:rPr>
          <w:spacing w:val="-7"/>
          <w:w w:val="105"/>
        </w:rPr>
        <w:t> </w:t>
      </w:r>
      <w:r>
        <w:rPr>
          <w:w w:val="105"/>
        </w:rPr>
        <w:t>Calculation</w:t>
      </w:r>
      <w:r>
        <w:rPr>
          <w:spacing w:val="-7"/>
          <w:w w:val="105"/>
        </w:rPr>
        <w:t> </w:t>
      </w:r>
      <w:r>
        <w:rPr>
          <w:w w:val="105"/>
        </w:rPr>
        <w:t>Linkbase</w:t>
      </w:r>
      <w:r>
        <w:rPr>
          <w:spacing w:val="-7"/>
          <w:w w:val="105"/>
        </w:rPr>
        <w:t> </w:t>
      </w:r>
      <w:r>
        <w:rPr>
          <w:w w:val="105"/>
        </w:rPr>
        <w:t>Document </w:t>
      </w:r>
      <w:r>
        <w:rPr>
          <w:spacing w:val="-2"/>
          <w:w w:val="105"/>
        </w:rPr>
        <w:t>101.LAB</w:t>
      </w:r>
      <w:r>
        <w:rPr/>
        <w:tab/>
      </w:r>
      <w:r>
        <w:rPr>
          <w:w w:val="105"/>
        </w:rPr>
        <w:t>Inline XBRL Taxonomy Label Linkbase Document </w:t>
      </w:r>
      <w:r>
        <w:rPr>
          <w:spacing w:val="-2"/>
          <w:w w:val="105"/>
        </w:rPr>
        <w:t>101.PRE</w:t>
      </w:r>
      <w:r>
        <w:rPr/>
        <w:tab/>
      </w:r>
      <w:r>
        <w:rPr>
          <w:spacing w:val="-2"/>
          <w:w w:val="105"/>
        </w:rPr>
        <w:t>Inline XBRL Taxonomy Presentation Linkbase </w:t>
      </w:r>
      <w:r>
        <w:rPr>
          <w:spacing w:val="-2"/>
          <w:w w:val="105"/>
        </w:rPr>
        <w:t>Documen</w:t>
      </w:r>
      <w:r>
        <w:rPr>
          <w:spacing w:val="-2"/>
          <w:w w:val="105"/>
        </w:rPr>
        <w:t>t</w:t>
      </w:r>
      <w:r>
        <w:rPr>
          <w:spacing w:val="40"/>
          <w:w w:val="105"/>
        </w:rPr>
        <w:t> </w:t>
      </w:r>
      <w:r>
        <w:rPr>
          <w:spacing w:val="-2"/>
          <w:w w:val="105"/>
        </w:rPr>
        <w:t>101.DEF</w:t>
      </w:r>
      <w:r>
        <w:rPr/>
        <w:tab/>
      </w:r>
      <w:r>
        <w:rPr>
          <w:w w:val="105"/>
        </w:rPr>
        <w:t>Inline XBRL Taxonomy Definition Document</w:t>
      </w:r>
    </w:p>
    <w:p>
      <w:pPr>
        <w:pStyle w:val="BodyText"/>
        <w:tabs>
          <w:tab w:pos="1659" w:val="left" w:leader="none"/>
        </w:tabs>
        <w:spacing w:line="182" w:lineRule="exact"/>
        <w:ind w:left="627"/>
      </w:pPr>
      <w:r>
        <w:rPr>
          <w:spacing w:val="-5"/>
          <w:w w:val="105"/>
        </w:rPr>
        <w:t>104</w:t>
      </w:r>
      <w:r>
        <w:rPr/>
        <w:tab/>
      </w:r>
      <w:r>
        <w:rPr>
          <w:w w:val="105"/>
        </w:rPr>
        <w:t>Cover</w:t>
      </w:r>
      <w:r>
        <w:rPr>
          <w:spacing w:val="-9"/>
          <w:w w:val="105"/>
        </w:rPr>
        <w:t> </w:t>
      </w:r>
      <w:r>
        <w:rPr>
          <w:w w:val="105"/>
        </w:rPr>
        <w:t>Page</w:t>
      </w:r>
      <w:r>
        <w:rPr>
          <w:spacing w:val="-8"/>
          <w:w w:val="105"/>
        </w:rPr>
        <w:t> </w:t>
      </w:r>
      <w:r>
        <w:rPr>
          <w:w w:val="105"/>
        </w:rPr>
        <w:t>Interactive</w:t>
      </w:r>
      <w:r>
        <w:rPr>
          <w:spacing w:val="-9"/>
          <w:w w:val="105"/>
        </w:rPr>
        <w:t> </w:t>
      </w:r>
      <w:r>
        <w:rPr>
          <w:w w:val="105"/>
        </w:rPr>
        <w:t>Data</w:t>
      </w:r>
      <w:r>
        <w:rPr>
          <w:spacing w:val="-8"/>
          <w:w w:val="105"/>
        </w:rPr>
        <w:t> </w:t>
      </w:r>
      <w:r>
        <w:rPr>
          <w:w w:val="105"/>
        </w:rPr>
        <w:t>File</w:t>
      </w:r>
      <w:r>
        <w:rPr>
          <w:spacing w:val="-9"/>
          <w:w w:val="105"/>
        </w:rPr>
        <w:t> </w:t>
      </w:r>
      <w:r>
        <w:rPr>
          <w:w w:val="105"/>
        </w:rPr>
        <w:t>(formatted</w:t>
      </w:r>
      <w:r>
        <w:rPr>
          <w:spacing w:val="-8"/>
          <w:w w:val="105"/>
        </w:rPr>
        <w:t> </w:t>
      </w:r>
      <w:r>
        <w:rPr>
          <w:w w:val="105"/>
        </w:rPr>
        <w:t>as</w:t>
      </w:r>
      <w:r>
        <w:rPr>
          <w:spacing w:val="-9"/>
          <w:w w:val="105"/>
        </w:rPr>
        <w:t> </w:t>
      </w:r>
      <w:r>
        <w:rPr>
          <w:w w:val="105"/>
        </w:rPr>
        <w:t>Inline</w:t>
      </w:r>
      <w:r>
        <w:rPr>
          <w:spacing w:val="-8"/>
          <w:w w:val="105"/>
        </w:rPr>
        <w:t> </w:t>
      </w:r>
      <w:r>
        <w:rPr>
          <w:w w:val="105"/>
        </w:rPr>
        <w:t>XBRL</w:t>
      </w:r>
      <w:r>
        <w:rPr>
          <w:spacing w:val="-9"/>
          <w:w w:val="105"/>
        </w:rPr>
        <w:t> </w:t>
      </w:r>
      <w:r>
        <w:rPr>
          <w:w w:val="105"/>
        </w:rPr>
        <w:t>and</w:t>
      </w:r>
      <w:r>
        <w:rPr>
          <w:spacing w:val="-8"/>
          <w:w w:val="105"/>
        </w:rPr>
        <w:t> </w:t>
      </w:r>
      <w:r>
        <w:rPr>
          <w:w w:val="105"/>
        </w:rPr>
        <w:t>contained</w:t>
      </w:r>
      <w:r>
        <w:rPr>
          <w:spacing w:val="-8"/>
          <w:w w:val="105"/>
        </w:rPr>
        <w:t> </w:t>
      </w:r>
      <w:r>
        <w:rPr>
          <w:w w:val="105"/>
        </w:rPr>
        <w:t>in</w:t>
      </w:r>
      <w:r>
        <w:rPr>
          <w:spacing w:val="-9"/>
          <w:w w:val="105"/>
        </w:rPr>
        <w:t> </w:t>
      </w:r>
      <w:r>
        <w:rPr>
          <w:w w:val="105"/>
        </w:rPr>
        <w:t>Exhibit</w:t>
      </w:r>
      <w:r>
        <w:rPr>
          <w:spacing w:val="-8"/>
          <w:w w:val="105"/>
        </w:rPr>
        <w:t> </w:t>
      </w:r>
      <w:r>
        <w:rPr>
          <w:spacing w:val="-4"/>
          <w:w w:val="105"/>
        </w:rPr>
        <w:t>101)</w:t>
      </w:r>
    </w:p>
    <w:p>
      <w:pPr>
        <w:pStyle w:val="BodyText"/>
      </w:pPr>
    </w:p>
    <w:p>
      <w:pPr>
        <w:pStyle w:val="BodyText"/>
        <w:spacing w:before="58"/>
      </w:pPr>
    </w:p>
    <w:p>
      <w:pPr>
        <w:pStyle w:val="Heading2"/>
        <w:spacing w:before="1"/>
      </w:pPr>
      <w:r>
        <w:rPr>
          <w:w w:val="105"/>
        </w:rPr>
        <w:t>Item</w:t>
      </w:r>
      <w:r>
        <w:rPr>
          <w:spacing w:val="-8"/>
          <w:w w:val="105"/>
        </w:rPr>
        <w:t> </w:t>
      </w:r>
      <w:r>
        <w:rPr>
          <w:w w:val="105"/>
        </w:rPr>
        <w:t>16.</w:t>
      </w:r>
      <w:r>
        <w:rPr>
          <w:spacing w:val="-7"/>
          <w:w w:val="105"/>
        </w:rPr>
        <w:t> </w:t>
      </w:r>
      <w:r>
        <w:rPr>
          <w:w w:val="105"/>
        </w:rPr>
        <w:t>Form</w:t>
      </w:r>
      <w:r>
        <w:rPr>
          <w:spacing w:val="-7"/>
          <w:w w:val="105"/>
        </w:rPr>
        <w:t> </w:t>
      </w:r>
      <w:r>
        <w:rPr>
          <w:w w:val="105"/>
        </w:rPr>
        <w:t>10-K</w:t>
      </w:r>
      <w:r>
        <w:rPr>
          <w:spacing w:val="-7"/>
          <w:w w:val="105"/>
        </w:rPr>
        <w:t> </w:t>
      </w:r>
      <w:r>
        <w:rPr>
          <w:spacing w:val="-2"/>
          <w:w w:val="105"/>
        </w:rPr>
        <w:t>Summary.</w:t>
      </w:r>
    </w:p>
    <w:p>
      <w:pPr>
        <w:pStyle w:val="BodyText"/>
        <w:spacing w:before="39"/>
        <w:rPr>
          <w:b/>
        </w:rPr>
      </w:pPr>
    </w:p>
    <w:p>
      <w:pPr>
        <w:pStyle w:val="BodyText"/>
        <w:ind w:left="156"/>
      </w:pPr>
      <w:r>
        <w:rPr>
          <w:spacing w:val="-2"/>
          <w:w w:val="105"/>
        </w:rPr>
        <w:t>None.</w:t>
      </w:r>
    </w:p>
    <w:p>
      <w:pPr>
        <w:pStyle w:val="BodyText"/>
        <w:spacing w:before="40"/>
      </w:pPr>
    </w:p>
    <w:p>
      <w:pPr>
        <w:pStyle w:val="BodyText"/>
        <w:ind w:left="48"/>
        <w:jc w:val="center"/>
      </w:pPr>
      <w:r>
        <w:rPr>
          <w:spacing w:val="-5"/>
          <w:w w:val="105"/>
        </w:rPr>
        <w:t>59</w:t>
      </w:r>
    </w:p>
    <w:p>
      <w:pPr>
        <w:pStyle w:val="BodyText"/>
        <w:spacing w:before="11"/>
        <w:rPr>
          <w:sz w:val="5"/>
        </w:rPr>
      </w:pPr>
      <w:r>
        <w:rPr/>
        <mc:AlternateContent>
          <mc:Choice Requires="wps">
            <w:drawing>
              <wp:anchor distT="0" distB="0" distL="0" distR="0" allowOverlap="1" layoutInCell="1" locked="0" behindDoc="1" simplePos="0" relativeHeight="487631360">
                <wp:simplePos x="0" y="0"/>
                <wp:positionH relativeFrom="page">
                  <wp:posOffset>226488</wp:posOffset>
                </wp:positionH>
                <wp:positionV relativeFrom="paragraph">
                  <wp:posOffset>58734</wp:posOffset>
                </wp:positionV>
                <wp:extent cx="7312659" cy="1651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85120;mso-wrap-distance-left:0;mso-wrap-distance-right:0" id="docshape126"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ind w:left="46"/>
        <w:jc w:val="center"/>
      </w:pPr>
      <w:r>
        <w:rPr>
          <w:spacing w:val="-2"/>
          <w:w w:val="105"/>
        </w:rPr>
        <w:t>Signatures</w:t>
      </w:r>
    </w:p>
    <w:p>
      <w:pPr>
        <w:pStyle w:val="BodyText"/>
        <w:spacing w:before="40"/>
        <w:rPr>
          <w:b/>
        </w:rPr>
      </w:pPr>
    </w:p>
    <w:p>
      <w:pPr>
        <w:pStyle w:val="BodyText"/>
        <w:spacing w:line="266" w:lineRule="auto"/>
        <w:ind w:left="156"/>
      </w:pPr>
      <w:r>
        <w:rPr>
          <w:w w:val="105"/>
        </w:rPr>
        <w:t>Pursuant</w:t>
      </w:r>
      <w:r>
        <w:rPr>
          <w:spacing w:val="-7"/>
          <w:w w:val="105"/>
        </w:rPr>
        <w:t> </w:t>
      </w:r>
      <w:r>
        <w:rPr>
          <w:w w:val="105"/>
        </w:rPr>
        <w:t>to</w:t>
      </w:r>
      <w:r>
        <w:rPr>
          <w:spacing w:val="-7"/>
          <w:w w:val="105"/>
        </w:rPr>
        <w:t> </w:t>
      </w:r>
      <w:r>
        <w:rPr>
          <w:w w:val="105"/>
        </w:rPr>
        <w:t>the</w:t>
      </w:r>
      <w:r>
        <w:rPr>
          <w:spacing w:val="-7"/>
          <w:w w:val="105"/>
        </w:rPr>
        <w:t> </w:t>
      </w:r>
      <w:r>
        <w:rPr>
          <w:w w:val="105"/>
        </w:rPr>
        <w:t>requirements</w:t>
      </w:r>
      <w:r>
        <w:rPr>
          <w:spacing w:val="-7"/>
          <w:w w:val="105"/>
        </w:rPr>
        <w:t> </w:t>
      </w:r>
      <w:r>
        <w:rPr>
          <w:w w:val="105"/>
        </w:rPr>
        <w:t>of</w:t>
      </w:r>
      <w:r>
        <w:rPr>
          <w:spacing w:val="-7"/>
          <w:w w:val="105"/>
        </w:rPr>
        <w:t> </w:t>
      </w:r>
      <w:r>
        <w:rPr>
          <w:w w:val="105"/>
        </w:rPr>
        <w:t>Section</w:t>
      </w:r>
      <w:r>
        <w:rPr>
          <w:spacing w:val="-7"/>
          <w:w w:val="105"/>
        </w:rPr>
        <w:t> </w:t>
      </w:r>
      <w:r>
        <w:rPr>
          <w:w w:val="105"/>
        </w:rPr>
        <w:t>13</w:t>
      </w:r>
      <w:r>
        <w:rPr>
          <w:spacing w:val="-7"/>
          <w:w w:val="105"/>
        </w:rPr>
        <w:t> </w:t>
      </w:r>
      <w:r>
        <w:rPr>
          <w:w w:val="105"/>
        </w:rPr>
        <w:t>or</w:t>
      </w:r>
      <w:r>
        <w:rPr>
          <w:spacing w:val="-7"/>
          <w:w w:val="105"/>
        </w:rPr>
        <w:t> </w:t>
      </w:r>
      <w:r>
        <w:rPr>
          <w:w w:val="105"/>
        </w:rPr>
        <w:t>15(d)</w:t>
      </w:r>
      <w:r>
        <w:rPr>
          <w:spacing w:val="-7"/>
          <w:w w:val="105"/>
        </w:rPr>
        <w:t> </w:t>
      </w:r>
      <w:r>
        <w:rPr>
          <w:w w:val="105"/>
        </w:rPr>
        <w:t>of</w:t>
      </w:r>
      <w:r>
        <w:rPr>
          <w:spacing w:val="-7"/>
          <w:w w:val="105"/>
        </w:rPr>
        <w:t> </w:t>
      </w:r>
      <w:r>
        <w:rPr>
          <w:w w:val="105"/>
        </w:rPr>
        <w:t>the</w:t>
      </w:r>
      <w:r>
        <w:rPr>
          <w:spacing w:val="-7"/>
          <w:w w:val="105"/>
        </w:rPr>
        <w:t> </w:t>
      </w:r>
      <w:r>
        <w:rPr>
          <w:w w:val="105"/>
        </w:rPr>
        <w:t>Securities</w:t>
      </w:r>
      <w:r>
        <w:rPr>
          <w:spacing w:val="-7"/>
          <w:w w:val="105"/>
        </w:rPr>
        <w:t> </w:t>
      </w:r>
      <w:r>
        <w:rPr>
          <w:w w:val="105"/>
        </w:rPr>
        <w:t>and</w:t>
      </w:r>
      <w:r>
        <w:rPr>
          <w:spacing w:val="-7"/>
          <w:w w:val="105"/>
        </w:rPr>
        <w:t> </w:t>
      </w:r>
      <w:r>
        <w:rPr>
          <w:w w:val="105"/>
        </w:rPr>
        <w:t>Exchange</w:t>
      </w:r>
      <w:r>
        <w:rPr>
          <w:spacing w:val="-7"/>
          <w:w w:val="105"/>
        </w:rPr>
        <w:t> </w:t>
      </w:r>
      <w:r>
        <w:rPr>
          <w:w w:val="105"/>
        </w:rPr>
        <w:t>Act</w:t>
      </w:r>
      <w:r>
        <w:rPr>
          <w:spacing w:val="-7"/>
          <w:w w:val="105"/>
        </w:rPr>
        <w:t> </w:t>
      </w:r>
      <w:r>
        <w:rPr>
          <w:w w:val="105"/>
        </w:rPr>
        <w:t>of</w:t>
      </w:r>
      <w:r>
        <w:rPr>
          <w:spacing w:val="-7"/>
          <w:w w:val="105"/>
        </w:rPr>
        <w:t> </w:t>
      </w:r>
      <w:r>
        <w:rPr>
          <w:w w:val="105"/>
        </w:rPr>
        <w:t>1934,</w:t>
      </w:r>
      <w:r>
        <w:rPr>
          <w:spacing w:val="-7"/>
          <w:w w:val="105"/>
        </w:rPr>
        <w:t> </w:t>
      </w:r>
      <w:r>
        <w:rPr>
          <w:w w:val="105"/>
        </w:rPr>
        <w:t>the</w:t>
      </w:r>
      <w:r>
        <w:rPr>
          <w:spacing w:val="-7"/>
          <w:w w:val="105"/>
        </w:rPr>
        <w:t> </w:t>
      </w:r>
      <w:r>
        <w:rPr>
          <w:w w:val="105"/>
        </w:rPr>
        <w:t>Registrant</w:t>
      </w:r>
      <w:r>
        <w:rPr>
          <w:spacing w:val="-7"/>
          <w:w w:val="105"/>
        </w:rPr>
        <w:t> </w:t>
      </w:r>
      <w:r>
        <w:rPr>
          <w:w w:val="105"/>
        </w:rPr>
        <w:t>has</w:t>
      </w:r>
      <w:r>
        <w:rPr>
          <w:spacing w:val="-7"/>
          <w:w w:val="105"/>
        </w:rPr>
        <w:t> </w:t>
      </w:r>
      <w:r>
        <w:rPr>
          <w:w w:val="105"/>
        </w:rPr>
        <w:t>duly</w:t>
      </w:r>
      <w:r>
        <w:rPr>
          <w:spacing w:val="-7"/>
          <w:w w:val="105"/>
        </w:rPr>
        <w:t> </w:t>
      </w:r>
      <w:r>
        <w:rPr>
          <w:w w:val="105"/>
        </w:rPr>
        <w:t>caused</w:t>
      </w:r>
      <w:r>
        <w:rPr>
          <w:spacing w:val="-7"/>
          <w:w w:val="105"/>
        </w:rPr>
        <w:t> </w:t>
      </w:r>
      <w:r>
        <w:rPr>
          <w:w w:val="105"/>
        </w:rPr>
        <w:t>his</w:t>
      </w:r>
      <w:r>
        <w:rPr>
          <w:spacing w:val="-7"/>
          <w:w w:val="105"/>
        </w:rPr>
        <w:t> </w:t>
      </w:r>
      <w:r>
        <w:rPr>
          <w:w w:val="105"/>
        </w:rPr>
        <w:t>report</w:t>
      </w:r>
      <w:r>
        <w:rPr>
          <w:spacing w:val="-7"/>
          <w:w w:val="105"/>
        </w:rPr>
        <w:t> </w:t>
      </w:r>
      <w:r>
        <w:rPr>
          <w:w w:val="105"/>
        </w:rPr>
        <w:t>to</w:t>
      </w:r>
      <w:r>
        <w:rPr>
          <w:spacing w:val="-7"/>
          <w:w w:val="105"/>
        </w:rPr>
        <w:t> </w:t>
      </w:r>
      <w:r>
        <w:rPr>
          <w:w w:val="105"/>
        </w:rPr>
        <w:t>be</w:t>
      </w:r>
      <w:r>
        <w:rPr>
          <w:spacing w:val="-7"/>
          <w:w w:val="105"/>
        </w:rPr>
        <w:t> </w:t>
      </w:r>
      <w:r>
        <w:rPr>
          <w:w w:val="105"/>
        </w:rPr>
        <w:t>signed</w:t>
      </w:r>
      <w:r>
        <w:rPr>
          <w:spacing w:val="-7"/>
          <w:w w:val="105"/>
        </w:rPr>
        <w:t> </w:t>
      </w:r>
      <w:r>
        <w:rPr>
          <w:w w:val="105"/>
        </w:rPr>
        <w:t>on</w:t>
      </w:r>
      <w:r>
        <w:rPr>
          <w:spacing w:val="-7"/>
          <w:w w:val="105"/>
        </w:rPr>
        <w:t> </w:t>
      </w:r>
      <w:r>
        <w:rPr>
          <w:w w:val="105"/>
        </w:rPr>
        <w:t>its</w:t>
      </w:r>
      <w:r>
        <w:rPr>
          <w:spacing w:val="-7"/>
          <w:w w:val="105"/>
        </w:rPr>
        <w:t> </w:t>
      </w:r>
      <w:r>
        <w:rPr>
          <w:w w:val="105"/>
        </w:rPr>
        <w:t>behalf</w:t>
      </w:r>
      <w:r>
        <w:rPr>
          <w:spacing w:val="-7"/>
          <w:w w:val="105"/>
        </w:rPr>
        <w:t> </w:t>
      </w:r>
      <w:r>
        <w:rPr>
          <w:w w:val="105"/>
        </w:rPr>
        <w:t>by</w:t>
      </w:r>
      <w:r>
        <w:rPr>
          <w:spacing w:val="-7"/>
          <w:w w:val="105"/>
        </w:rPr>
        <w:t> </w:t>
      </w:r>
      <w:r>
        <w:rPr>
          <w:w w:val="105"/>
        </w:rPr>
        <w:t>the undersigned, thereunto duly authorized.</w:t>
      </w:r>
    </w:p>
    <w:p>
      <w:pPr>
        <w:pStyle w:val="BodyText"/>
      </w:pPr>
    </w:p>
    <w:p>
      <w:pPr>
        <w:pStyle w:val="BodyText"/>
        <w:spacing w:before="38"/>
      </w:pPr>
    </w:p>
    <w:p>
      <w:pPr>
        <w:pStyle w:val="BodyText"/>
        <w:spacing w:before="1"/>
        <w:ind w:right="327"/>
        <w:jc w:val="center"/>
      </w:pPr>
      <w:r>
        <w:rPr/>
        <w:t>Corning</w:t>
      </w:r>
      <w:r>
        <w:rPr>
          <w:spacing w:val="16"/>
        </w:rPr>
        <w:t> </w:t>
      </w:r>
      <w:r>
        <w:rPr>
          <w:spacing w:val="-2"/>
        </w:rPr>
        <w:t>Incorporated</w:t>
      </w:r>
    </w:p>
    <w:p>
      <w:pPr>
        <w:pStyle w:val="BodyText"/>
      </w:pPr>
    </w:p>
    <w:p>
      <w:pPr>
        <w:pStyle w:val="BodyText"/>
        <w:spacing w:before="59"/>
      </w:pPr>
    </w:p>
    <w:p>
      <w:pPr>
        <w:pStyle w:val="BodyText"/>
        <w:tabs>
          <w:tab w:pos="5009" w:val="left" w:leader="none"/>
        </w:tabs>
        <w:spacing w:line="283" w:lineRule="auto"/>
        <w:ind w:left="5392" w:right="4960" w:hanging="5236"/>
      </w:pPr>
      <w:r>
        <w:rPr/>
        <mc:AlternateContent>
          <mc:Choice Requires="wps">
            <w:drawing>
              <wp:anchor distT="0" distB="0" distL="0" distR="0" allowOverlap="1" layoutInCell="1" locked="0" behindDoc="0" simplePos="0" relativeHeight="15776768">
                <wp:simplePos x="0" y="0"/>
                <wp:positionH relativeFrom="page">
                  <wp:posOffset>3551016</wp:posOffset>
                </wp:positionH>
                <wp:positionV relativeFrom="paragraph">
                  <wp:posOffset>127488</wp:posOffset>
                </wp:positionV>
                <wp:extent cx="2265045" cy="825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2265045" cy="8255"/>
                        </a:xfrm>
                        <a:custGeom>
                          <a:avLst/>
                          <a:gdLst/>
                          <a:ahLst/>
                          <a:cxnLst/>
                          <a:rect l="l" t="t" r="r" b="b"/>
                          <a:pathLst>
                            <a:path w="2265045" h="8255">
                              <a:moveTo>
                                <a:pt x="0" y="0"/>
                              </a:moveTo>
                              <a:lnTo>
                                <a:pt x="2264885" y="0"/>
                              </a:lnTo>
                              <a:lnTo>
                                <a:pt x="2264885"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9.607605pt;margin-top:10.038434pt;width:178.337416pt;height:.636919pt;mso-position-horizontal-relative:page;mso-position-vertical-relative:paragraph;z-index:15776768" id="docshape127" filled="true" fillcolor="#000000" stroked="false">
                <v:fill type="solid"/>
                <w10:wrap type="none"/>
              </v:rect>
            </w:pict>
          </mc:Fallback>
        </mc:AlternateContent>
      </w:r>
      <w:r>
        <w:rPr>
          <w:w w:val="105"/>
        </w:rPr>
        <w:t>Date: February 14, 2022</w:t>
      </w:r>
      <w:r>
        <w:rPr/>
        <w:tab/>
      </w:r>
      <w:r>
        <w:rPr>
          <w:w w:val="105"/>
        </w:rPr>
        <w:t>By:</w:t>
      </w:r>
      <w:r>
        <w:rPr>
          <w:spacing w:val="69"/>
          <w:w w:val="105"/>
        </w:rPr>
        <w:t> </w:t>
      </w:r>
      <w:r>
        <w:rPr>
          <w:w w:val="105"/>
        </w:rPr>
        <w:t>/s/</w:t>
      </w:r>
      <w:r>
        <w:rPr>
          <w:spacing w:val="-10"/>
          <w:w w:val="105"/>
        </w:rPr>
        <w:t> </w:t>
      </w:r>
      <w:r>
        <w:rPr>
          <w:w w:val="105"/>
        </w:rPr>
        <w:t>Wendell</w:t>
      </w:r>
      <w:r>
        <w:rPr>
          <w:spacing w:val="-10"/>
          <w:w w:val="105"/>
        </w:rPr>
        <w:t> </w:t>
      </w:r>
      <w:r>
        <w:rPr>
          <w:w w:val="105"/>
        </w:rPr>
        <w:t>P.</w:t>
      </w:r>
      <w:r>
        <w:rPr>
          <w:spacing w:val="-10"/>
          <w:w w:val="105"/>
        </w:rPr>
        <w:t> </w:t>
      </w:r>
      <w:r>
        <w:rPr>
          <w:w w:val="105"/>
        </w:rPr>
        <w:t>Weeks Wendell P. Weeks</w:t>
      </w:r>
    </w:p>
    <w:p>
      <w:pPr>
        <w:pStyle w:val="BodyText"/>
        <w:spacing w:line="170" w:lineRule="exact"/>
        <w:ind w:left="5392"/>
      </w:pPr>
      <w:r>
        <w:rPr>
          <w:w w:val="105"/>
        </w:rPr>
        <w:t>Chairman</w:t>
      </w:r>
      <w:r>
        <w:rPr>
          <w:spacing w:val="-7"/>
          <w:w w:val="105"/>
        </w:rPr>
        <w:t> </w:t>
      </w:r>
      <w:r>
        <w:rPr>
          <w:w w:val="105"/>
        </w:rPr>
        <w:t>of</w:t>
      </w:r>
      <w:r>
        <w:rPr>
          <w:spacing w:val="-7"/>
          <w:w w:val="105"/>
        </w:rPr>
        <w:t> </w:t>
      </w:r>
      <w:r>
        <w:rPr>
          <w:w w:val="105"/>
        </w:rPr>
        <w:t>the</w:t>
      </w:r>
      <w:r>
        <w:rPr>
          <w:spacing w:val="-7"/>
          <w:w w:val="105"/>
        </w:rPr>
        <w:t> </w:t>
      </w:r>
      <w:r>
        <w:rPr>
          <w:w w:val="105"/>
        </w:rPr>
        <w:t>Board</w:t>
      </w:r>
      <w:r>
        <w:rPr>
          <w:spacing w:val="-7"/>
          <w:w w:val="105"/>
        </w:rPr>
        <w:t> </w:t>
      </w:r>
      <w:r>
        <w:rPr>
          <w:w w:val="105"/>
        </w:rPr>
        <w:t>of</w:t>
      </w:r>
      <w:r>
        <w:rPr>
          <w:spacing w:val="-7"/>
          <w:w w:val="105"/>
        </w:rPr>
        <w:t> </w:t>
      </w:r>
      <w:r>
        <w:rPr>
          <w:spacing w:val="-2"/>
          <w:w w:val="105"/>
        </w:rPr>
        <w:t>Directors,</w:t>
      </w:r>
    </w:p>
    <w:p>
      <w:pPr>
        <w:pStyle w:val="BodyText"/>
        <w:spacing w:before="20"/>
        <w:ind w:left="5392"/>
      </w:pPr>
      <w:r>
        <w:rPr/>
        <w:t>Chief</w:t>
      </w:r>
      <w:r>
        <w:rPr>
          <w:spacing w:val="15"/>
        </w:rPr>
        <w:t> </w:t>
      </w:r>
      <w:r>
        <w:rPr/>
        <w:t>Executive</w:t>
      </w:r>
      <w:r>
        <w:rPr>
          <w:spacing w:val="16"/>
        </w:rPr>
        <w:t> </w:t>
      </w:r>
      <w:r>
        <w:rPr>
          <w:spacing w:val="-2"/>
        </w:rPr>
        <w:t>Officer</w:t>
      </w:r>
    </w:p>
    <w:p>
      <w:pPr>
        <w:pStyle w:val="BodyText"/>
        <w:spacing w:before="39"/>
      </w:pPr>
    </w:p>
    <w:p>
      <w:pPr>
        <w:pStyle w:val="Heading2"/>
        <w:spacing w:before="1"/>
        <w:ind w:left="48"/>
        <w:jc w:val="center"/>
      </w:pPr>
      <w:bookmarkStart w:name="_bookmark0" w:id="1"/>
      <w:bookmarkEnd w:id="1"/>
      <w:r>
        <w:rPr>
          <w:b w:val="0"/>
        </w:rPr>
      </w:r>
      <w:r>
        <w:rPr>
          <w:w w:val="105"/>
        </w:rPr>
        <w:t>Power</w:t>
      </w:r>
      <w:r>
        <w:rPr>
          <w:spacing w:val="-7"/>
          <w:w w:val="105"/>
        </w:rPr>
        <w:t> </w:t>
      </w:r>
      <w:r>
        <w:rPr>
          <w:w w:val="105"/>
        </w:rPr>
        <w:t>of</w:t>
      </w:r>
      <w:r>
        <w:rPr>
          <w:spacing w:val="-7"/>
          <w:w w:val="105"/>
        </w:rPr>
        <w:t> </w:t>
      </w:r>
      <w:r>
        <w:rPr>
          <w:spacing w:val="-2"/>
          <w:w w:val="105"/>
        </w:rPr>
        <w:t>Attorney</w:t>
      </w:r>
    </w:p>
    <w:p>
      <w:pPr>
        <w:pStyle w:val="BodyText"/>
        <w:spacing w:before="39"/>
        <w:rPr>
          <w:b/>
        </w:rPr>
      </w:pPr>
    </w:p>
    <w:p>
      <w:pPr>
        <w:pStyle w:val="BodyText"/>
        <w:spacing w:line="266" w:lineRule="auto"/>
        <w:ind w:left="156"/>
      </w:pPr>
      <w:r>
        <w:rPr>
          <w:w w:val="105"/>
        </w:rPr>
        <w:t>KNOW</w:t>
      </w:r>
      <w:r>
        <w:rPr>
          <w:spacing w:val="-3"/>
          <w:w w:val="105"/>
        </w:rPr>
        <w:t> </w:t>
      </w:r>
      <w:r>
        <w:rPr>
          <w:w w:val="105"/>
        </w:rPr>
        <w:t>ALL</w:t>
      </w:r>
      <w:r>
        <w:rPr>
          <w:spacing w:val="-3"/>
          <w:w w:val="105"/>
        </w:rPr>
        <w:t> </w:t>
      </w:r>
      <w:r>
        <w:rPr>
          <w:w w:val="105"/>
        </w:rPr>
        <w:t>PERSONS</w:t>
      </w:r>
      <w:r>
        <w:rPr>
          <w:spacing w:val="-3"/>
          <w:w w:val="105"/>
        </w:rPr>
        <w:t> </w:t>
      </w:r>
      <w:r>
        <w:rPr>
          <w:w w:val="105"/>
        </w:rPr>
        <w:t>BY</w:t>
      </w:r>
      <w:r>
        <w:rPr>
          <w:spacing w:val="-3"/>
          <w:w w:val="105"/>
        </w:rPr>
        <w:t> </w:t>
      </w:r>
      <w:r>
        <w:rPr>
          <w:w w:val="105"/>
        </w:rPr>
        <w:t>THESE</w:t>
      </w:r>
      <w:r>
        <w:rPr>
          <w:spacing w:val="-3"/>
          <w:w w:val="105"/>
        </w:rPr>
        <w:t> </w:t>
      </w:r>
      <w:r>
        <w:rPr>
          <w:w w:val="105"/>
        </w:rPr>
        <w:t>PRESENTS,</w:t>
      </w:r>
      <w:r>
        <w:rPr>
          <w:spacing w:val="-3"/>
          <w:w w:val="105"/>
        </w:rPr>
        <w:t> </w:t>
      </w:r>
      <w:r>
        <w:rPr>
          <w:w w:val="105"/>
        </w:rPr>
        <w:t>that</w:t>
      </w:r>
      <w:r>
        <w:rPr>
          <w:spacing w:val="-3"/>
          <w:w w:val="105"/>
        </w:rPr>
        <w:t> </w:t>
      </w:r>
      <w:r>
        <w:rPr>
          <w:w w:val="105"/>
        </w:rPr>
        <w:t>each</w:t>
      </w:r>
      <w:r>
        <w:rPr>
          <w:spacing w:val="-3"/>
          <w:w w:val="105"/>
        </w:rPr>
        <w:t> </w:t>
      </w:r>
      <w:r>
        <w:rPr>
          <w:w w:val="105"/>
        </w:rPr>
        <w:t>person</w:t>
      </w:r>
      <w:r>
        <w:rPr>
          <w:spacing w:val="-3"/>
          <w:w w:val="105"/>
        </w:rPr>
        <w:t> </w:t>
      </w:r>
      <w:r>
        <w:rPr>
          <w:w w:val="105"/>
        </w:rPr>
        <w:t>whose</w:t>
      </w:r>
      <w:r>
        <w:rPr>
          <w:spacing w:val="-3"/>
          <w:w w:val="105"/>
        </w:rPr>
        <w:t> </w:t>
      </w:r>
      <w:r>
        <w:rPr>
          <w:w w:val="105"/>
        </w:rPr>
        <w:t>signature</w:t>
      </w:r>
      <w:r>
        <w:rPr>
          <w:spacing w:val="-3"/>
          <w:w w:val="105"/>
        </w:rPr>
        <w:t> </w:t>
      </w:r>
      <w:r>
        <w:rPr>
          <w:w w:val="105"/>
        </w:rPr>
        <w:t>appears</w:t>
      </w:r>
      <w:r>
        <w:rPr>
          <w:spacing w:val="-3"/>
          <w:w w:val="105"/>
        </w:rPr>
        <w:t> </w:t>
      </w:r>
      <w:r>
        <w:rPr>
          <w:w w:val="105"/>
        </w:rPr>
        <w:t>below</w:t>
      </w:r>
      <w:r>
        <w:rPr>
          <w:spacing w:val="-3"/>
          <w:w w:val="105"/>
        </w:rPr>
        <w:t> </w:t>
      </w:r>
      <w:r>
        <w:rPr>
          <w:w w:val="105"/>
        </w:rPr>
        <w:t>constitutes</w:t>
      </w:r>
      <w:r>
        <w:rPr>
          <w:spacing w:val="-3"/>
          <w:w w:val="105"/>
        </w:rPr>
        <w:t> </w:t>
      </w:r>
      <w:r>
        <w:rPr>
          <w:w w:val="105"/>
        </w:rPr>
        <w:t>and</w:t>
      </w:r>
      <w:r>
        <w:rPr>
          <w:spacing w:val="-3"/>
          <w:w w:val="105"/>
        </w:rPr>
        <w:t> </w:t>
      </w:r>
      <w:r>
        <w:rPr>
          <w:w w:val="105"/>
        </w:rPr>
        <w:t>appoints</w:t>
      </w:r>
      <w:r>
        <w:rPr>
          <w:spacing w:val="-3"/>
          <w:w w:val="105"/>
        </w:rPr>
        <w:t> </w:t>
      </w:r>
      <w:r>
        <w:rPr>
          <w:w w:val="105"/>
        </w:rPr>
        <w:t>R.</w:t>
      </w:r>
      <w:r>
        <w:rPr>
          <w:spacing w:val="-3"/>
          <w:w w:val="105"/>
        </w:rPr>
        <w:t> </w:t>
      </w:r>
      <w:r>
        <w:rPr>
          <w:w w:val="105"/>
        </w:rPr>
        <w:t>Tony</w:t>
      </w:r>
      <w:r>
        <w:rPr>
          <w:spacing w:val="-3"/>
          <w:w w:val="105"/>
        </w:rPr>
        <w:t> </w:t>
      </w:r>
      <w:r>
        <w:rPr>
          <w:w w:val="105"/>
        </w:rPr>
        <w:t>Tripeny,</w:t>
      </w:r>
      <w:r>
        <w:rPr>
          <w:spacing w:val="-3"/>
          <w:w w:val="105"/>
        </w:rPr>
        <w:t> </w:t>
      </w:r>
      <w:r>
        <w:rPr>
          <w:w w:val="105"/>
        </w:rPr>
        <w:t>Lewis</w:t>
      </w:r>
      <w:r>
        <w:rPr>
          <w:spacing w:val="-3"/>
          <w:w w:val="105"/>
        </w:rPr>
        <w:t> </w:t>
      </w:r>
      <w:r>
        <w:rPr>
          <w:w w:val="105"/>
        </w:rPr>
        <w:t>A.</w:t>
      </w:r>
      <w:r>
        <w:rPr>
          <w:spacing w:val="-3"/>
          <w:w w:val="105"/>
        </w:rPr>
        <w:t> </w:t>
      </w:r>
      <w:r>
        <w:rPr>
          <w:w w:val="105"/>
        </w:rPr>
        <w:t>Steverson</w:t>
      </w:r>
      <w:r>
        <w:rPr>
          <w:spacing w:val="-3"/>
          <w:w w:val="105"/>
        </w:rPr>
        <w:t> </w:t>
      </w:r>
      <w:r>
        <w:rPr>
          <w:w w:val="105"/>
        </w:rPr>
        <w:t>and Edward</w:t>
      </w:r>
      <w:r>
        <w:rPr>
          <w:spacing w:val="-1"/>
          <w:w w:val="105"/>
        </w:rPr>
        <w:t> </w:t>
      </w:r>
      <w:r>
        <w:rPr>
          <w:w w:val="105"/>
        </w:rPr>
        <w:t>A.</w:t>
      </w:r>
      <w:r>
        <w:rPr>
          <w:spacing w:val="-1"/>
          <w:w w:val="105"/>
        </w:rPr>
        <w:t> </w:t>
      </w:r>
      <w:r>
        <w:rPr>
          <w:w w:val="105"/>
        </w:rPr>
        <w:t>Schlesinger,</w:t>
      </w:r>
      <w:r>
        <w:rPr>
          <w:spacing w:val="-1"/>
          <w:w w:val="105"/>
        </w:rPr>
        <w:t> </w:t>
      </w:r>
      <w:r>
        <w:rPr>
          <w:w w:val="105"/>
        </w:rPr>
        <w:t>jointly</w:t>
      </w:r>
      <w:r>
        <w:rPr>
          <w:spacing w:val="-1"/>
          <w:w w:val="105"/>
        </w:rPr>
        <w:t> </w:t>
      </w:r>
      <w:r>
        <w:rPr>
          <w:w w:val="105"/>
        </w:rPr>
        <w:t>and</w:t>
      </w:r>
      <w:r>
        <w:rPr>
          <w:spacing w:val="-1"/>
          <w:w w:val="105"/>
        </w:rPr>
        <w:t> </w:t>
      </w:r>
      <w:r>
        <w:rPr>
          <w:w w:val="105"/>
        </w:rPr>
        <w:t>severally,</w:t>
      </w:r>
      <w:r>
        <w:rPr>
          <w:spacing w:val="-1"/>
          <w:w w:val="105"/>
        </w:rPr>
        <w:t> </w:t>
      </w:r>
      <w:r>
        <w:rPr>
          <w:w w:val="105"/>
        </w:rPr>
        <w:t>his</w:t>
      </w:r>
      <w:r>
        <w:rPr>
          <w:spacing w:val="-1"/>
          <w:w w:val="105"/>
        </w:rPr>
        <w:t> </w:t>
      </w:r>
      <w:r>
        <w:rPr>
          <w:w w:val="105"/>
        </w:rPr>
        <w:t>or</w:t>
      </w:r>
      <w:r>
        <w:rPr>
          <w:spacing w:val="-1"/>
          <w:w w:val="105"/>
        </w:rPr>
        <w:t> </w:t>
      </w:r>
      <w:r>
        <w:rPr>
          <w:w w:val="105"/>
        </w:rPr>
        <w:t>her</w:t>
      </w:r>
      <w:r>
        <w:rPr>
          <w:spacing w:val="-1"/>
          <w:w w:val="105"/>
        </w:rPr>
        <w:t> </w:t>
      </w:r>
      <w:r>
        <w:rPr>
          <w:w w:val="105"/>
        </w:rPr>
        <w:t>attorneys-in-fact,</w:t>
      </w:r>
      <w:r>
        <w:rPr>
          <w:spacing w:val="-1"/>
          <w:w w:val="105"/>
        </w:rPr>
        <w:t> </w:t>
      </w:r>
      <w:r>
        <w:rPr>
          <w:w w:val="105"/>
        </w:rPr>
        <w:t>each</w:t>
      </w:r>
      <w:r>
        <w:rPr>
          <w:spacing w:val="-1"/>
          <w:w w:val="105"/>
        </w:rPr>
        <w:t> </w:t>
      </w:r>
      <w:r>
        <w:rPr>
          <w:w w:val="105"/>
        </w:rPr>
        <w:t>with</w:t>
      </w:r>
      <w:r>
        <w:rPr>
          <w:spacing w:val="-1"/>
          <w:w w:val="105"/>
        </w:rPr>
        <w:t> </w:t>
      </w:r>
      <w:r>
        <w:rPr>
          <w:w w:val="105"/>
        </w:rPr>
        <w:t>the</w:t>
      </w:r>
      <w:r>
        <w:rPr>
          <w:spacing w:val="-1"/>
          <w:w w:val="105"/>
        </w:rPr>
        <w:t> </w:t>
      </w:r>
      <w:r>
        <w:rPr>
          <w:w w:val="105"/>
        </w:rPr>
        <w:t>power</w:t>
      </w:r>
      <w:r>
        <w:rPr>
          <w:spacing w:val="-1"/>
          <w:w w:val="105"/>
        </w:rPr>
        <w:t> </w:t>
      </w:r>
      <w:r>
        <w:rPr>
          <w:w w:val="105"/>
        </w:rPr>
        <w:t>of</w:t>
      </w:r>
      <w:r>
        <w:rPr>
          <w:spacing w:val="-1"/>
          <w:w w:val="105"/>
        </w:rPr>
        <w:t> </w:t>
      </w:r>
      <w:r>
        <w:rPr>
          <w:w w:val="105"/>
        </w:rPr>
        <w:t>substitution,</w:t>
      </w:r>
      <w:r>
        <w:rPr>
          <w:spacing w:val="-1"/>
          <w:w w:val="105"/>
        </w:rPr>
        <w:t> </w:t>
      </w:r>
      <w:r>
        <w:rPr>
          <w:w w:val="105"/>
        </w:rPr>
        <w:t>for</w:t>
      </w:r>
      <w:r>
        <w:rPr>
          <w:spacing w:val="-1"/>
          <w:w w:val="105"/>
        </w:rPr>
        <w:t> </w:t>
      </w:r>
      <w:r>
        <w:rPr>
          <w:w w:val="105"/>
        </w:rPr>
        <w:t>him</w:t>
      </w:r>
      <w:r>
        <w:rPr>
          <w:spacing w:val="-1"/>
          <w:w w:val="105"/>
        </w:rPr>
        <w:t> </w:t>
      </w:r>
      <w:r>
        <w:rPr>
          <w:w w:val="105"/>
        </w:rPr>
        <w:t>or</w:t>
      </w:r>
      <w:r>
        <w:rPr>
          <w:spacing w:val="-1"/>
          <w:w w:val="105"/>
        </w:rPr>
        <w:t> </w:t>
      </w:r>
      <w:r>
        <w:rPr>
          <w:w w:val="105"/>
        </w:rPr>
        <w:t>her</w:t>
      </w:r>
      <w:r>
        <w:rPr>
          <w:spacing w:val="-1"/>
          <w:w w:val="105"/>
        </w:rPr>
        <w:t> </w:t>
      </w:r>
      <w:r>
        <w:rPr>
          <w:w w:val="105"/>
        </w:rPr>
        <w:t>in</w:t>
      </w:r>
      <w:r>
        <w:rPr>
          <w:spacing w:val="-1"/>
          <w:w w:val="105"/>
        </w:rPr>
        <w:t> </w:t>
      </w:r>
      <w:r>
        <w:rPr>
          <w:w w:val="105"/>
        </w:rPr>
        <w:t>any</w:t>
      </w:r>
      <w:r>
        <w:rPr>
          <w:spacing w:val="-1"/>
          <w:w w:val="105"/>
        </w:rPr>
        <w:t> </w:t>
      </w:r>
      <w:r>
        <w:rPr>
          <w:w w:val="105"/>
        </w:rPr>
        <w:t>and</w:t>
      </w:r>
      <w:r>
        <w:rPr>
          <w:spacing w:val="-1"/>
          <w:w w:val="105"/>
        </w:rPr>
        <w:t> </w:t>
      </w:r>
      <w:r>
        <w:rPr>
          <w:w w:val="105"/>
        </w:rPr>
        <w:t>all</w:t>
      </w:r>
      <w:r>
        <w:rPr>
          <w:spacing w:val="-1"/>
          <w:w w:val="105"/>
        </w:rPr>
        <w:t> </w:t>
      </w:r>
      <w:r>
        <w:rPr>
          <w:w w:val="105"/>
        </w:rPr>
        <w:t>capacities,</w:t>
      </w:r>
      <w:r>
        <w:rPr>
          <w:spacing w:val="-1"/>
          <w:w w:val="105"/>
        </w:rPr>
        <w:t> </w:t>
      </w:r>
      <w:r>
        <w:rPr>
          <w:w w:val="105"/>
        </w:rPr>
        <w:t>to</w:t>
      </w:r>
      <w:r>
        <w:rPr>
          <w:spacing w:val="-1"/>
          <w:w w:val="105"/>
        </w:rPr>
        <w:t> </w:t>
      </w:r>
      <w:r>
        <w:rPr>
          <w:w w:val="105"/>
        </w:rPr>
        <w:t>sign</w:t>
      </w:r>
      <w:r>
        <w:rPr>
          <w:spacing w:val="-1"/>
          <w:w w:val="105"/>
        </w:rPr>
        <w:t> </w:t>
      </w:r>
      <w:r>
        <w:rPr>
          <w:w w:val="105"/>
        </w:rPr>
        <w:t>any amendments</w:t>
      </w:r>
      <w:r>
        <w:rPr>
          <w:spacing w:val="-8"/>
          <w:w w:val="105"/>
        </w:rPr>
        <w:t> </w:t>
      </w:r>
      <w:r>
        <w:rPr>
          <w:w w:val="105"/>
        </w:rPr>
        <w:t>to</w:t>
      </w:r>
      <w:r>
        <w:rPr>
          <w:spacing w:val="-8"/>
          <w:w w:val="105"/>
        </w:rPr>
        <w:t> </w:t>
      </w:r>
      <w:r>
        <w:rPr>
          <w:w w:val="105"/>
        </w:rPr>
        <w:t>this</w:t>
      </w:r>
      <w:r>
        <w:rPr>
          <w:spacing w:val="-8"/>
          <w:w w:val="105"/>
        </w:rPr>
        <w:t> </w:t>
      </w:r>
      <w:r>
        <w:rPr>
          <w:w w:val="105"/>
        </w:rPr>
        <w:t>Annual</w:t>
      </w:r>
      <w:r>
        <w:rPr>
          <w:spacing w:val="-8"/>
          <w:w w:val="105"/>
        </w:rPr>
        <w:t> </w:t>
      </w:r>
      <w:r>
        <w:rPr>
          <w:w w:val="105"/>
        </w:rPr>
        <w:t>Report</w:t>
      </w:r>
      <w:r>
        <w:rPr>
          <w:spacing w:val="-8"/>
          <w:w w:val="105"/>
        </w:rPr>
        <w:t> </w:t>
      </w:r>
      <w:r>
        <w:rPr>
          <w:w w:val="105"/>
        </w:rPr>
        <w:t>on</w:t>
      </w:r>
      <w:r>
        <w:rPr>
          <w:spacing w:val="-8"/>
          <w:w w:val="105"/>
        </w:rPr>
        <w:t> </w:t>
      </w:r>
      <w:r>
        <w:rPr>
          <w:w w:val="105"/>
        </w:rPr>
        <w:t>Form</w:t>
      </w:r>
      <w:r>
        <w:rPr>
          <w:spacing w:val="-8"/>
          <w:w w:val="105"/>
        </w:rPr>
        <w:t> </w:t>
      </w:r>
      <w:r>
        <w:rPr>
          <w:w w:val="105"/>
        </w:rPr>
        <w:t>10-K,</w:t>
      </w:r>
      <w:r>
        <w:rPr>
          <w:spacing w:val="-8"/>
          <w:w w:val="105"/>
        </w:rPr>
        <w:t> </w:t>
      </w:r>
      <w:r>
        <w:rPr>
          <w:w w:val="105"/>
        </w:rPr>
        <w:t>and</w:t>
      </w:r>
      <w:r>
        <w:rPr>
          <w:spacing w:val="-8"/>
          <w:w w:val="105"/>
        </w:rPr>
        <w:t> </w:t>
      </w:r>
      <w:r>
        <w:rPr>
          <w:w w:val="105"/>
        </w:rPr>
        <w:t>to</w:t>
      </w:r>
      <w:r>
        <w:rPr>
          <w:spacing w:val="-8"/>
          <w:w w:val="105"/>
        </w:rPr>
        <w:t> </w:t>
      </w:r>
      <w:r>
        <w:rPr>
          <w:w w:val="105"/>
        </w:rPr>
        <w:t>file</w:t>
      </w:r>
      <w:r>
        <w:rPr>
          <w:spacing w:val="-8"/>
          <w:w w:val="105"/>
        </w:rPr>
        <w:t> </w:t>
      </w:r>
      <w:r>
        <w:rPr>
          <w:w w:val="105"/>
        </w:rPr>
        <w:t>the</w:t>
      </w:r>
      <w:r>
        <w:rPr>
          <w:spacing w:val="-8"/>
          <w:w w:val="105"/>
        </w:rPr>
        <w:t> </w:t>
      </w:r>
      <w:r>
        <w:rPr>
          <w:w w:val="105"/>
        </w:rPr>
        <w:t>same,</w:t>
      </w:r>
      <w:r>
        <w:rPr>
          <w:spacing w:val="-8"/>
          <w:w w:val="105"/>
        </w:rPr>
        <w:t> </w:t>
      </w:r>
      <w:r>
        <w:rPr>
          <w:w w:val="105"/>
        </w:rPr>
        <w:t>with</w:t>
      </w:r>
      <w:r>
        <w:rPr>
          <w:spacing w:val="-6"/>
          <w:w w:val="105"/>
        </w:rPr>
        <w:t> </w:t>
      </w:r>
      <w:r>
        <w:rPr>
          <w:w w:val="105"/>
        </w:rPr>
        <w:t>exhibits</w:t>
      </w:r>
      <w:r>
        <w:rPr>
          <w:spacing w:val="-8"/>
          <w:w w:val="105"/>
        </w:rPr>
        <w:t> </w:t>
      </w:r>
      <w:r>
        <w:rPr>
          <w:w w:val="105"/>
        </w:rPr>
        <w:t>thereto</w:t>
      </w:r>
      <w:r>
        <w:rPr>
          <w:spacing w:val="-8"/>
          <w:w w:val="105"/>
        </w:rPr>
        <w:t> </w:t>
      </w:r>
      <w:r>
        <w:rPr>
          <w:w w:val="105"/>
        </w:rPr>
        <w:t>and</w:t>
      </w:r>
      <w:r>
        <w:rPr>
          <w:spacing w:val="-8"/>
          <w:w w:val="105"/>
        </w:rPr>
        <w:t> </w:t>
      </w:r>
      <w:r>
        <w:rPr>
          <w:w w:val="105"/>
        </w:rPr>
        <w:t>other</w:t>
      </w:r>
      <w:r>
        <w:rPr>
          <w:spacing w:val="-8"/>
          <w:w w:val="105"/>
        </w:rPr>
        <w:t> </w:t>
      </w:r>
      <w:r>
        <w:rPr>
          <w:w w:val="105"/>
        </w:rPr>
        <w:t>documents</w:t>
      </w:r>
      <w:r>
        <w:rPr>
          <w:spacing w:val="-8"/>
          <w:w w:val="105"/>
        </w:rPr>
        <w:t> </w:t>
      </w:r>
      <w:r>
        <w:rPr>
          <w:w w:val="105"/>
        </w:rPr>
        <w:t>in</w:t>
      </w:r>
      <w:r>
        <w:rPr>
          <w:spacing w:val="-8"/>
          <w:w w:val="105"/>
        </w:rPr>
        <w:t> </w:t>
      </w:r>
      <w:r>
        <w:rPr>
          <w:w w:val="105"/>
        </w:rPr>
        <w:t>connection</w:t>
      </w:r>
      <w:r>
        <w:rPr>
          <w:spacing w:val="-8"/>
          <w:w w:val="105"/>
        </w:rPr>
        <w:t> </w:t>
      </w:r>
      <w:r>
        <w:rPr>
          <w:w w:val="105"/>
        </w:rPr>
        <w:t>therewith,</w:t>
      </w:r>
      <w:r>
        <w:rPr>
          <w:spacing w:val="-8"/>
          <w:w w:val="105"/>
        </w:rPr>
        <w:t> </w:t>
      </w:r>
      <w:r>
        <w:rPr>
          <w:w w:val="105"/>
        </w:rPr>
        <w:t>with</w:t>
      </w:r>
      <w:r>
        <w:rPr>
          <w:spacing w:val="-8"/>
          <w:w w:val="105"/>
        </w:rPr>
        <w:t> </w:t>
      </w:r>
      <w:r>
        <w:rPr>
          <w:w w:val="105"/>
        </w:rPr>
        <w:t>the</w:t>
      </w:r>
      <w:r>
        <w:rPr>
          <w:spacing w:val="-8"/>
          <w:w w:val="105"/>
        </w:rPr>
        <w:t> </w:t>
      </w:r>
      <w:r>
        <w:rPr>
          <w:w w:val="105"/>
        </w:rPr>
        <w:t>Securities</w:t>
      </w:r>
      <w:r>
        <w:rPr>
          <w:spacing w:val="-8"/>
          <w:w w:val="105"/>
        </w:rPr>
        <w:t> </w:t>
      </w:r>
      <w:r>
        <w:rPr>
          <w:w w:val="105"/>
        </w:rPr>
        <w:t>and</w:t>
      </w:r>
      <w:r>
        <w:rPr>
          <w:spacing w:val="-8"/>
          <w:w w:val="105"/>
        </w:rPr>
        <w:t> </w:t>
      </w:r>
      <w:r>
        <w:rPr>
          <w:w w:val="105"/>
        </w:rPr>
        <w:t>Exchange Commission,</w:t>
      </w:r>
      <w:r>
        <w:rPr>
          <w:spacing w:val="-1"/>
          <w:w w:val="105"/>
        </w:rPr>
        <w:t> </w:t>
      </w:r>
      <w:r>
        <w:rPr>
          <w:w w:val="105"/>
        </w:rPr>
        <w:t>hereby</w:t>
      </w:r>
      <w:r>
        <w:rPr>
          <w:spacing w:val="-1"/>
          <w:w w:val="105"/>
        </w:rPr>
        <w:t> </w:t>
      </w:r>
      <w:r>
        <w:rPr>
          <w:w w:val="105"/>
        </w:rPr>
        <w:t>ratifying and</w:t>
      </w:r>
      <w:r>
        <w:rPr>
          <w:spacing w:val="-1"/>
          <w:w w:val="105"/>
        </w:rPr>
        <w:t> </w:t>
      </w:r>
      <w:r>
        <w:rPr>
          <w:w w:val="105"/>
        </w:rPr>
        <w:t>confirming</w:t>
      </w:r>
      <w:r>
        <w:rPr>
          <w:spacing w:val="-1"/>
          <w:w w:val="105"/>
        </w:rPr>
        <w:t> </w:t>
      </w:r>
      <w:r>
        <w:rPr>
          <w:w w:val="105"/>
        </w:rPr>
        <w:t>all</w:t>
      </w:r>
      <w:r>
        <w:rPr>
          <w:spacing w:val="-1"/>
          <w:w w:val="105"/>
        </w:rPr>
        <w:t> </w:t>
      </w:r>
      <w:r>
        <w:rPr>
          <w:w w:val="105"/>
        </w:rPr>
        <w:t>that each</w:t>
      </w:r>
      <w:r>
        <w:rPr>
          <w:spacing w:val="-1"/>
          <w:w w:val="105"/>
        </w:rPr>
        <w:t> </w:t>
      </w:r>
      <w:r>
        <w:rPr>
          <w:w w:val="105"/>
        </w:rPr>
        <w:t>of</w:t>
      </w:r>
      <w:r>
        <w:rPr>
          <w:spacing w:val="-1"/>
          <w:w w:val="105"/>
        </w:rPr>
        <w:t> </w:t>
      </w:r>
      <w:r>
        <w:rPr>
          <w:w w:val="105"/>
        </w:rPr>
        <w:t>said</w:t>
      </w:r>
      <w:r>
        <w:rPr>
          <w:spacing w:val="-1"/>
          <w:w w:val="105"/>
        </w:rPr>
        <w:t> </w:t>
      </w:r>
      <w:r>
        <w:rPr>
          <w:w w:val="105"/>
        </w:rPr>
        <w:t>attorneys-in-fact,</w:t>
      </w:r>
      <w:r>
        <w:rPr>
          <w:spacing w:val="-1"/>
          <w:w w:val="105"/>
        </w:rPr>
        <w:t> </w:t>
      </w:r>
      <w:r>
        <w:rPr>
          <w:w w:val="105"/>
        </w:rPr>
        <w:t>or</w:t>
      </w:r>
      <w:r>
        <w:rPr>
          <w:spacing w:val="-1"/>
          <w:w w:val="105"/>
        </w:rPr>
        <w:t> </w:t>
      </w:r>
      <w:r>
        <w:rPr>
          <w:w w:val="105"/>
        </w:rPr>
        <w:t>his</w:t>
      </w:r>
      <w:r>
        <w:rPr>
          <w:spacing w:val="-1"/>
          <w:w w:val="105"/>
        </w:rPr>
        <w:t> </w:t>
      </w:r>
      <w:r>
        <w:rPr>
          <w:w w:val="105"/>
        </w:rPr>
        <w:t>substitute</w:t>
      </w:r>
      <w:r>
        <w:rPr>
          <w:spacing w:val="-1"/>
          <w:w w:val="105"/>
        </w:rPr>
        <w:t> </w:t>
      </w:r>
      <w:r>
        <w:rPr>
          <w:w w:val="105"/>
        </w:rPr>
        <w:t>or</w:t>
      </w:r>
      <w:r>
        <w:rPr>
          <w:spacing w:val="-1"/>
          <w:w w:val="105"/>
        </w:rPr>
        <w:t> </w:t>
      </w:r>
      <w:r>
        <w:rPr>
          <w:w w:val="105"/>
        </w:rPr>
        <w:t>substitutes,</w:t>
      </w:r>
      <w:r>
        <w:rPr>
          <w:spacing w:val="-1"/>
          <w:w w:val="105"/>
        </w:rPr>
        <w:t> </w:t>
      </w:r>
      <w:r>
        <w:rPr>
          <w:w w:val="105"/>
        </w:rPr>
        <w:t>may</w:t>
      </w:r>
      <w:r>
        <w:rPr>
          <w:spacing w:val="-1"/>
          <w:w w:val="105"/>
        </w:rPr>
        <w:t> </w:t>
      </w:r>
      <w:r>
        <w:rPr>
          <w:w w:val="105"/>
        </w:rPr>
        <w:t>do</w:t>
      </w:r>
      <w:r>
        <w:rPr>
          <w:spacing w:val="-1"/>
          <w:w w:val="105"/>
        </w:rPr>
        <w:t> </w:t>
      </w:r>
      <w:r>
        <w:rPr>
          <w:w w:val="105"/>
        </w:rPr>
        <w:t>or</w:t>
      </w:r>
      <w:r>
        <w:rPr>
          <w:spacing w:val="-1"/>
          <w:w w:val="105"/>
        </w:rPr>
        <w:t> </w:t>
      </w:r>
      <w:r>
        <w:rPr>
          <w:w w:val="105"/>
        </w:rPr>
        <w:t>cause</w:t>
      </w:r>
      <w:r>
        <w:rPr>
          <w:spacing w:val="-1"/>
          <w:w w:val="105"/>
        </w:rPr>
        <w:t> </w:t>
      </w:r>
      <w:r>
        <w:rPr>
          <w:w w:val="105"/>
        </w:rPr>
        <w:t>to</w:t>
      </w:r>
      <w:r>
        <w:rPr>
          <w:spacing w:val="-1"/>
          <w:w w:val="105"/>
        </w:rPr>
        <w:t> </w:t>
      </w:r>
      <w:r>
        <w:rPr>
          <w:w w:val="105"/>
        </w:rPr>
        <w:t>be</w:t>
      </w:r>
      <w:r>
        <w:rPr>
          <w:spacing w:val="-1"/>
          <w:w w:val="105"/>
        </w:rPr>
        <w:t> </w:t>
      </w:r>
      <w:r>
        <w:rPr>
          <w:w w:val="105"/>
        </w:rPr>
        <w:t>done</w:t>
      </w:r>
      <w:r>
        <w:rPr>
          <w:spacing w:val="-1"/>
          <w:w w:val="105"/>
        </w:rPr>
        <w:t> </w:t>
      </w:r>
      <w:r>
        <w:rPr>
          <w:w w:val="105"/>
        </w:rPr>
        <w:t>by</w:t>
      </w:r>
      <w:r>
        <w:rPr>
          <w:spacing w:val="-1"/>
          <w:w w:val="105"/>
        </w:rPr>
        <w:t> </w:t>
      </w:r>
      <w:r>
        <w:rPr>
          <w:w w:val="105"/>
        </w:rPr>
        <w:t>virtue</w:t>
      </w:r>
      <w:r>
        <w:rPr>
          <w:spacing w:val="-1"/>
          <w:w w:val="105"/>
        </w:rPr>
        <w:t> </w:t>
      </w:r>
      <w:r>
        <w:rPr>
          <w:w w:val="105"/>
        </w:rPr>
        <w:t>hereof.</w:t>
      </w:r>
    </w:p>
    <w:p>
      <w:pPr>
        <w:pStyle w:val="BodyText"/>
        <w:spacing w:before="18"/>
      </w:pPr>
    </w:p>
    <w:p>
      <w:pPr>
        <w:pStyle w:val="BodyText"/>
        <w:spacing w:line="266" w:lineRule="auto"/>
        <w:ind w:left="156"/>
      </w:pPr>
      <w:r>
        <w:rPr>
          <w:w w:val="105"/>
        </w:rPr>
        <w:t>Pursuant</w:t>
      </w:r>
      <w:r>
        <w:rPr>
          <w:spacing w:val="-7"/>
          <w:w w:val="105"/>
        </w:rPr>
        <w:t> </w:t>
      </w:r>
      <w:r>
        <w:rPr>
          <w:w w:val="105"/>
        </w:rPr>
        <w:t>to</w:t>
      </w:r>
      <w:r>
        <w:rPr>
          <w:spacing w:val="-7"/>
          <w:w w:val="105"/>
        </w:rPr>
        <w:t> </w:t>
      </w:r>
      <w:r>
        <w:rPr>
          <w:w w:val="105"/>
        </w:rPr>
        <w:t>the</w:t>
      </w:r>
      <w:r>
        <w:rPr>
          <w:spacing w:val="-7"/>
          <w:w w:val="105"/>
        </w:rPr>
        <w:t> </w:t>
      </w:r>
      <w:r>
        <w:rPr>
          <w:w w:val="105"/>
        </w:rPr>
        <w:t>requirements</w:t>
      </w:r>
      <w:r>
        <w:rPr>
          <w:spacing w:val="-7"/>
          <w:w w:val="105"/>
        </w:rPr>
        <w:t> </w:t>
      </w:r>
      <w:r>
        <w:rPr>
          <w:w w:val="105"/>
        </w:rPr>
        <w:t>of</w:t>
      </w:r>
      <w:r>
        <w:rPr>
          <w:spacing w:val="-7"/>
          <w:w w:val="105"/>
        </w:rPr>
        <w:t> </w:t>
      </w:r>
      <w:r>
        <w:rPr>
          <w:w w:val="105"/>
        </w:rPr>
        <w:t>the</w:t>
      </w:r>
      <w:r>
        <w:rPr>
          <w:spacing w:val="-7"/>
          <w:w w:val="105"/>
        </w:rPr>
        <w:t> </w:t>
      </w:r>
      <w:r>
        <w:rPr>
          <w:w w:val="105"/>
        </w:rPr>
        <w:t>Securities</w:t>
      </w:r>
      <w:r>
        <w:rPr>
          <w:spacing w:val="-7"/>
          <w:w w:val="105"/>
        </w:rPr>
        <w:t> </w:t>
      </w:r>
      <w:r>
        <w:rPr>
          <w:w w:val="105"/>
        </w:rPr>
        <w:t>Exchange</w:t>
      </w:r>
      <w:r>
        <w:rPr>
          <w:spacing w:val="-7"/>
          <w:w w:val="105"/>
        </w:rPr>
        <w:t> </w:t>
      </w:r>
      <w:r>
        <w:rPr>
          <w:w w:val="105"/>
        </w:rPr>
        <w:t>Act</w:t>
      </w:r>
      <w:r>
        <w:rPr>
          <w:spacing w:val="-7"/>
          <w:w w:val="105"/>
        </w:rPr>
        <w:t> </w:t>
      </w:r>
      <w:r>
        <w:rPr>
          <w:w w:val="105"/>
        </w:rPr>
        <w:t>of</w:t>
      </w:r>
      <w:r>
        <w:rPr>
          <w:spacing w:val="-7"/>
          <w:w w:val="105"/>
        </w:rPr>
        <w:t> </w:t>
      </w:r>
      <w:r>
        <w:rPr>
          <w:w w:val="105"/>
        </w:rPr>
        <w:t>1934,</w:t>
      </w:r>
      <w:r>
        <w:rPr>
          <w:spacing w:val="-7"/>
          <w:w w:val="105"/>
        </w:rPr>
        <w:t> </w:t>
      </w:r>
      <w:r>
        <w:rPr>
          <w:w w:val="105"/>
        </w:rPr>
        <w:t>this</w:t>
      </w:r>
      <w:r>
        <w:rPr>
          <w:spacing w:val="-7"/>
          <w:w w:val="105"/>
        </w:rPr>
        <w:t> </w:t>
      </w:r>
      <w:r>
        <w:rPr>
          <w:w w:val="105"/>
        </w:rPr>
        <w:t>report</w:t>
      </w:r>
      <w:r>
        <w:rPr>
          <w:spacing w:val="-7"/>
          <w:w w:val="105"/>
        </w:rPr>
        <w:t> </w:t>
      </w:r>
      <w:r>
        <w:rPr>
          <w:w w:val="105"/>
        </w:rPr>
        <w:t>has</w:t>
      </w:r>
      <w:r>
        <w:rPr>
          <w:spacing w:val="-7"/>
          <w:w w:val="105"/>
        </w:rPr>
        <w:t> </w:t>
      </w:r>
      <w:r>
        <w:rPr>
          <w:w w:val="105"/>
        </w:rPr>
        <w:t>been</w:t>
      </w:r>
      <w:r>
        <w:rPr>
          <w:spacing w:val="-7"/>
          <w:w w:val="105"/>
        </w:rPr>
        <w:t> </w:t>
      </w:r>
      <w:r>
        <w:rPr>
          <w:w w:val="105"/>
        </w:rPr>
        <w:t>signed</w:t>
      </w:r>
      <w:r>
        <w:rPr>
          <w:spacing w:val="-7"/>
          <w:w w:val="105"/>
        </w:rPr>
        <w:t> </w:t>
      </w:r>
      <w:r>
        <w:rPr>
          <w:w w:val="105"/>
        </w:rPr>
        <w:t>below</w:t>
      </w:r>
      <w:r>
        <w:rPr>
          <w:spacing w:val="-7"/>
          <w:w w:val="105"/>
        </w:rPr>
        <w:t> </w:t>
      </w:r>
      <w:r>
        <w:rPr>
          <w:w w:val="105"/>
        </w:rPr>
        <w:t>by</w:t>
      </w:r>
      <w:r>
        <w:rPr>
          <w:spacing w:val="-7"/>
          <w:w w:val="105"/>
        </w:rPr>
        <w:t> </w:t>
      </w:r>
      <w:r>
        <w:rPr>
          <w:w w:val="105"/>
        </w:rPr>
        <w:t>the</w:t>
      </w:r>
      <w:r>
        <w:rPr>
          <w:spacing w:val="-7"/>
          <w:w w:val="105"/>
        </w:rPr>
        <w:t> </w:t>
      </w:r>
      <w:r>
        <w:rPr>
          <w:w w:val="105"/>
        </w:rPr>
        <w:t>following</w:t>
      </w:r>
      <w:r>
        <w:rPr>
          <w:spacing w:val="-7"/>
          <w:w w:val="105"/>
        </w:rPr>
        <w:t> </w:t>
      </w:r>
      <w:r>
        <w:rPr>
          <w:w w:val="105"/>
        </w:rPr>
        <w:t>persons</w:t>
      </w:r>
      <w:r>
        <w:rPr>
          <w:spacing w:val="-7"/>
          <w:w w:val="105"/>
        </w:rPr>
        <w:t> </w:t>
      </w:r>
      <w:r>
        <w:rPr>
          <w:w w:val="105"/>
        </w:rPr>
        <w:t>on</w:t>
      </w:r>
      <w:r>
        <w:rPr>
          <w:spacing w:val="-7"/>
          <w:w w:val="105"/>
        </w:rPr>
        <w:t> </w:t>
      </w:r>
      <w:r>
        <w:rPr>
          <w:w w:val="105"/>
        </w:rPr>
        <w:t>behalf</w:t>
      </w:r>
      <w:r>
        <w:rPr>
          <w:spacing w:val="-7"/>
          <w:w w:val="105"/>
        </w:rPr>
        <w:t> </w:t>
      </w:r>
      <w:r>
        <w:rPr>
          <w:w w:val="105"/>
        </w:rPr>
        <w:t>of</w:t>
      </w:r>
      <w:r>
        <w:rPr>
          <w:spacing w:val="-6"/>
          <w:w w:val="105"/>
        </w:rPr>
        <w:t> </w:t>
      </w:r>
      <w:r>
        <w:rPr>
          <w:w w:val="105"/>
        </w:rPr>
        <w:t>the</w:t>
      </w:r>
      <w:r>
        <w:rPr>
          <w:spacing w:val="-7"/>
          <w:w w:val="105"/>
        </w:rPr>
        <w:t> </w:t>
      </w:r>
      <w:r>
        <w:rPr>
          <w:w w:val="105"/>
        </w:rPr>
        <w:t>Registrant</w:t>
      </w:r>
      <w:r>
        <w:rPr>
          <w:spacing w:val="-7"/>
          <w:w w:val="105"/>
        </w:rPr>
        <w:t> </w:t>
      </w:r>
      <w:r>
        <w:rPr>
          <w:w w:val="105"/>
        </w:rPr>
        <w:t>and</w:t>
      </w:r>
      <w:r>
        <w:rPr>
          <w:spacing w:val="-7"/>
          <w:w w:val="105"/>
        </w:rPr>
        <w:t> </w:t>
      </w:r>
      <w:r>
        <w:rPr>
          <w:w w:val="105"/>
        </w:rPr>
        <w:t>in</w:t>
      </w:r>
      <w:r>
        <w:rPr>
          <w:spacing w:val="-7"/>
          <w:w w:val="105"/>
        </w:rPr>
        <w:t> </w:t>
      </w:r>
      <w:r>
        <w:rPr>
          <w:w w:val="105"/>
        </w:rPr>
        <w:t>the capacities as indicated and on the 14th day of February, 2022.</w:t>
      </w:r>
    </w:p>
    <w:p>
      <w:pPr>
        <w:pStyle w:val="BodyText"/>
        <w:spacing w:before="19"/>
      </w:pPr>
    </w:p>
    <w:p>
      <w:pPr>
        <w:pStyle w:val="Heading2"/>
        <w:tabs>
          <w:tab w:pos="5893" w:val="left" w:leader="none"/>
        </w:tabs>
        <w:ind w:left="0" w:right="315"/>
        <w:jc w:val="center"/>
      </w:pPr>
      <w:r>
        <w:rPr/>
        <mc:AlternateContent>
          <mc:Choice Requires="wps">
            <w:drawing>
              <wp:anchor distT="0" distB="0" distL="0" distR="0" allowOverlap="1" layoutInCell="1" locked="0" behindDoc="1" simplePos="0" relativeHeight="487631872">
                <wp:simplePos x="0" y="0"/>
                <wp:positionH relativeFrom="page">
                  <wp:posOffset>226488</wp:posOffset>
                </wp:positionH>
                <wp:positionV relativeFrom="paragraph">
                  <wp:posOffset>127715</wp:posOffset>
                </wp:positionV>
                <wp:extent cx="3373120" cy="8255"/>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3373120" cy="8255"/>
                        </a:xfrm>
                        <a:custGeom>
                          <a:avLst/>
                          <a:gdLst/>
                          <a:ahLst/>
                          <a:cxnLst/>
                          <a:rect l="l" t="t" r="r" b="b"/>
                          <a:pathLst>
                            <a:path w="3373120" h="8255">
                              <a:moveTo>
                                <a:pt x="0" y="0"/>
                              </a:moveTo>
                              <a:lnTo>
                                <a:pt x="3373061" y="0"/>
                              </a:lnTo>
                              <a:lnTo>
                                <a:pt x="3373061"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56346pt;width:265.595366pt;height:.636919pt;mso-position-horizontal-relative:page;mso-position-vertical-relative:paragraph;z-index:-15684608;mso-wrap-distance-left:0;mso-wrap-distance-right:0" id="docshape12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2384">
                <wp:simplePos x="0" y="0"/>
                <wp:positionH relativeFrom="page">
                  <wp:posOffset>3737060</wp:posOffset>
                </wp:positionH>
                <wp:positionV relativeFrom="paragraph">
                  <wp:posOffset>127715</wp:posOffset>
                </wp:positionV>
                <wp:extent cx="3802379" cy="8255"/>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3802379" cy="8255"/>
                        </a:xfrm>
                        <a:custGeom>
                          <a:avLst/>
                          <a:gdLst/>
                          <a:ahLst/>
                          <a:cxnLst/>
                          <a:rect l="l" t="t" r="r" b="b"/>
                          <a:pathLst>
                            <a:path w="3802379" h="8255">
                              <a:moveTo>
                                <a:pt x="0" y="0"/>
                              </a:moveTo>
                              <a:lnTo>
                                <a:pt x="3801771" y="0"/>
                              </a:lnTo>
                              <a:lnTo>
                                <a:pt x="3801771"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4.256744pt;margin-top:10.056346pt;width:299.352092pt;height:.636919pt;mso-position-horizontal-relative:page;mso-position-vertical-relative:paragraph;z-index:-15684096;mso-wrap-distance-left:0;mso-wrap-distance-right:0" id="docshape129" filled="true" fillcolor="#000000" stroked="false">
                <v:fill type="solid"/>
                <w10:wrap type="topAndBottom"/>
              </v:rect>
            </w:pict>
          </mc:Fallback>
        </mc:AlternateContent>
      </w:r>
      <w:r>
        <w:rPr>
          <w:spacing w:val="-2"/>
          <w:w w:val="105"/>
        </w:rPr>
        <w:t>Signature</w:t>
      </w:r>
      <w:r>
        <w:rPr/>
        <w:tab/>
      </w:r>
      <w:r>
        <w:rPr>
          <w:spacing w:val="-2"/>
          <w:w w:val="105"/>
        </w:rPr>
        <w:t>Capacity</w:t>
      </w:r>
    </w:p>
    <w:p>
      <w:pPr>
        <w:pStyle w:val="BodyText"/>
        <w:spacing w:before="5"/>
        <w:rPr>
          <w:b/>
          <w:sz w:val="9"/>
        </w:rPr>
      </w:pPr>
    </w:p>
    <w:p>
      <w:pPr>
        <w:spacing w:after="0"/>
        <w:rPr>
          <w:sz w:val="9"/>
        </w:rPr>
        <w:sectPr>
          <w:pgSz w:w="12240" w:h="15840"/>
          <w:pgMar w:header="428" w:footer="0" w:top="620" w:bottom="280" w:left="200" w:right="260"/>
        </w:sectPr>
      </w:pPr>
    </w:p>
    <w:p>
      <w:pPr>
        <w:pStyle w:val="BodyText"/>
        <w:spacing w:before="105"/>
        <w:rPr>
          <w:b/>
        </w:rPr>
      </w:pPr>
    </w:p>
    <w:p>
      <w:pPr>
        <w:pStyle w:val="BodyText"/>
        <w:spacing w:before="1"/>
        <w:ind w:left="2099"/>
      </w:pPr>
      <w:r>
        <w:rPr/>
        <mc:AlternateContent>
          <mc:Choice Requires="wps">
            <w:drawing>
              <wp:anchor distT="0" distB="0" distL="0" distR="0" allowOverlap="1" layoutInCell="1" locked="0" behindDoc="0" simplePos="0" relativeHeight="15777280">
                <wp:simplePos x="0" y="0"/>
                <wp:positionH relativeFrom="page">
                  <wp:posOffset>226488</wp:posOffset>
                </wp:positionH>
                <wp:positionV relativeFrom="paragraph">
                  <wp:posOffset>127780</wp:posOffset>
                </wp:positionV>
                <wp:extent cx="3373120" cy="825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373120" cy="8255"/>
                        </a:xfrm>
                        <a:custGeom>
                          <a:avLst/>
                          <a:gdLst/>
                          <a:ahLst/>
                          <a:cxnLst/>
                          <a:rect l="l" t="t" r="r" b="b"/>
                          <a:pathLst>
                            <a:path w="3373120" h="8255">
                              <a:moveTo>
                                <a:pt x="0" y="0"/>
                              </a:moveTo>
                              <a:lnTo>
                                <a:pt x="3373061" y="0"/>
                              </a:lnTo>
                              <a:lnTo>
                                <a:pt x="3373061"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61428pt;width:265.595366pt;height:.636919pt;mso-position-horizontal-relative:page;mso-position-vertical-relative:paragraph;z-index:15777280" id="docshape130" filled="true" fillcolor="#000000" stroked="false">
                <v:fill type="solid"/>
                <w10:wrap type="none"/>
              </v:rect>
            </w:pict>
          </mc:Fallback>
        </mc:AlternateContent>
      </w:r>
      <w:r>
        <w:rPr>
          <w:w w:val="105"/>
        </w:rPr>
        <w:t>/s/</w:t>
      </w:r>
      <w:r>
        <w:rPr>
          <w:spacing w:val="-7"/>
          <w:w w:val="105"/>
        </w:rPr>
        <w:t> </w:t>
      </w:r>
      <w:r>
        <w:rPr>
          <w:w w:val="105"/>
        </w:rPr>
        <w:t>Wendell</w:t>
      </w:r>
      <w:r>
        <w:rPr>
          <w:spacing w:val="-6"/>
          <w:w w:val="105"/>
        </w:rPr>
        <w:t> </w:t>
      </w:r>
      <w:r>
        <w:rPr>
          <w:w w:val="105"/>
        </w:rPr>
        <w:t>P.</w:t>
      </w:r>
      <w:r>
        <w:rPr>
          <w:spacing w:val="-7"/>
          <w:w w:val="105"/>
        </w:rPr>
        <w:t> </w:t>
      </w:r>
      <w:r>
        <w:rPr>
          <w:spacing w:val="-2"/>
          <w:w w:val="105"/>
        </w:rPr>
        <w:t>Weeks</w:t>
      </w:r>
    </w:p>
    <w:p>
      <w:pPr>
        <w:pStyle w:val="BodyText"/>
        <w:spacing w:line="266" w:lineRule="auto" w:before="99"/>
        <w:ind w:left="2099" w:right="3584"/>
      </w:pPr>
      <w:r>
        <w:rPr/>
        <w:br w:type="column"/>
      </w:r>
      <w:r>
        <w:rPr>
          <w:w w:val="105"/>
        </w:rPr>
        <w:t>Chairman of the Board of Directors, Chief</w:t>
      </w:r>
      <w:r>
        <w:rPr>
          <w:spacing w:val="-11"/>
          <w:w w:val="105"/>
        </w:rPr>
        <w:t> </w:t>
      </w:r>
      <w:r>
        <w:rPr>
          <w:w w:val="105"/>
        </w:rPr>
        <w:t>Executive</w:t>
      </w:r>
      <w:r>
        <w:rPr>
          <w:spacing w:val="-10"/>
          <w:w w:val="105"/>
        </w:rPr>
        <w:t> </w:t>
      </w:r>
      <w:r>
        <w:rPr>
          <w:w w:val="105"/>
        </w:rPr>
        <w:t>Officer,</w:t>
      </w:r>
      <w:r>
        <w:rPr>
          <w:spacing w:val="-11"/>
          <w:w w:val="105"/>
        </w:rPr>
        <w:t> </w:t>
      </w:r>
      <w:r>
        <w:rPr>
          <w:w w:val="105"/>
        </w:rPr>
        <w:t>and</w:t>
      </w:r>
      <w:r>
        <w:rPr>
          <w:spacing w:val="-10"/>
          <w:w w:val="105"/>
        </w:rPr>
        <w:t> </w:t>
      </w:r>
      <w:r>
        <w:rPr>
          <w:w w:val="105"/>
        </w:rPr>
        <w:t>Director</w:t>
      </w:r>
    </w:p>
    <w:p>
      <w:pPr>
        <w:spacing w:after="0" w:line="266" w:lineRule="auto"/>
        <w:sectPr>
          <w:type w:val="continuous"/>
          <w:pgSz w:w="12240" w:h="15840"/>
          <w:pgMar w:header="428" w:footer="0" w:top="700" w:bottom="280" w:left="200" w:right="260"/>
          <w:cols w:num="2" w:equalWidth="0">
            <w:col w:w="3526" w:space="60"/>
            <w:col w:w="8194"/>
          </w:cols>
        </w:sectPr>
      </w:pPr>
    </w:p>
    <w:p>
      <w:pPr>
        <w:pStyle w:val="BodyText"/>
        <w:tabs>
          <w:tab w:pos="5685" w:val="left" w:leader="none"/>
        </w:tabs>
        <w:spacing w:line="183" w:lineRule="exact"/>
        <w:ind w:left="2198"/>
      </w:pPr>
      <w:r>
        <w:rPr/>
        <w:t>Wendell</w:t>
      </w:r>
      <w:r>
        <w:rPr>
          <w:spacing w:val="11"/>
        </w:rPr>
        <w:t> </w:t>
      </w:r>
      <w:r>
        <w:rPr/>
        <w:t>P.</w:t>
      </w:r>
      <w:r>
        <w:rPr>
          <w:spacing w:val="11"/>
        </w:rPr>
        <w:t> </w:t>
      </w:r>
      <w:r>
        <w:rPr>
          <w:spacing w:val="-2"/>
        </w:rPr>
        <w:t>Weeks</w:t>
      </w:r>
      <w:r>
        <w:rPr/>
        <w:tab/>
        <w:t>(Principal</w:t>
      </w:r>
      <w:r>
        <w:rPr>
          <w:spacing w:val="20"/>
        </w:rPr>
        <w:t> </w:t>
      </w:r>
      <w:r>
        <w:rPr/>
        <w:t>Executive</w:t>
      </w:r>
      <w:r>
        <w:rPr>
          <w:spacing w:val="20"/>
        </w:rPr>
        <w:t> </w:t>
      </w:r>
      <w:r>
        <w:rPr>
          <w:spacing w:val="-2"/>
        </w:rPr>
        <w:t>Officer)</w:t>
      </w:r>
    </w:p>
    <w:p>
      <w:pPr>
        <w:pStyle w:val="BodyText"/>
        <w:spacing w:before="10"/>
        <w:rPr>
          <w:sz w:val="10"/>
        </w:rPr>
      </w:pPr>
    </w:p>
    <w:p>
      <w:pPr>
        <w:spacing w:after="0"/>
        <w:rPr>
          <w:sz w:val="10"/>
        </w:rPr>
        <w:sectPr>
          <w:type w:val="continuous"/>
          <w:pgSz w:w="12240" w:h="15840"/>
          <w:pgMar w:header="428" w:footer="0" w:top="700" w:bottom="280" w:left="200" w:right="260"/>
        </w:sectPr>
      </w:pPr>
    </w:p>
    <w:p>
      <w:pPr>
        <w:pStyle w:val="BodyText"/>
        <w:spacing w:before="105"/>
      </w:pPr>
    </w:p>
    <w:p>
      <w:pPr>
        <w:pStyle w:val="BodyText"/>
        <w:ind w:left="2159"/>
      </w:pPr>
      <w:r>
        <w:rPr>
          <w:w w:val="105"/>
        </w:rPr>
        <w:t>/s/</w:t>
      </w:r>
      <w:r>
        <w:rPr>
          <w:spacing w:val="-6"/>
          <w:w w:val="105"/>
        </w:rPr>
        <w:t> </w:t>
      </w:r>
      <w:r>
        <w:rPr>
          <w:w w:val="105"/>
        </w:rPr>
        <w:t>R.</w:t>
      </w:r>
      <w:r>
        <w:rPr>
          <w:spacing w:val="-5"/>
          <w:w w:val="105"/>
        </w:rPr>
        <w:t> </w:t>
      </w:r>
      <w:r>
        <w:rPr>
          <w:w w:val="105"/>
        </w:rPr>
        <w:t>Tony</w:t>
      </w:r>
      <w:r>
        <w:rPr>
          <w:spacing w:val="-5"/>
          <w:w w:val="105"/>
        </w:rPr>
        <w:t> </w:t>
      </w:r>
      <w:r>
        <w:rPr>
          <w:spacing w:val="-2"/>
          <w:w w:val="105"/>
        </w:rPr>
        <w:t>Tripeny</w:t>
      </w:r>
    </w:p>
    <w:p>
      <w:pPr>
        <w:pStyle w:val="BodyText"/>
        <w:spacing w:before="33"/>
        <w:ind w:left="2258"/>
      </w:pPr>
      <w:r>
        <w:rPr>
          <w:w w:val="105"/>
        </w:rPr>
        <w:t>R.</w:t>
      </w:r>
      <w:r>
        <w:rPr>
          <w:spacing w:val="-6"/>
          <w:w w:val="105"/>
        </w:rPr>
        <w:t> </w:t>
      </w:r>
      <w:r>
        <w:rPr>
          <w:w w:val="105"/>
        </w:rPr>
        <w:t>Tony</w:t>
      </w:r>
      <w:r>
        <w:rPr>
          <w:spacing w:val="-6"/>
          <w:w w:val="105"/>
        </w:rPr>
        <w:t> </w:t>
      </w:r>
      <w:r>
        <w:rPr>
          <w:spacing w:val="-2"/>
          <w:w w:val="105"/>
        </w:rPr>
        <w:t>Tripeny</w:t>
      </w:r>
    </w:p>
    <w:p>
      <w:pPr>
        <w:pStyle w:val="BodyText"/>
      </w:pPr>
    </w:p>
    <w:p>
      <w:pPr>
        <w:pStyle w:val="BodyText"/>
        <w:spacing w:before="47"/>
      </w:pPr>
    </w:p>
    <w:p>
      <w:pPr>
        <w:pStyle w:val="BodyText"/>
        <w:spacing w:line="283" w:lineRule="auto"/>
        <w:ind w:left="2046" w:hanging="100"/>
      </w:pPr>
      <w:r>
        <w:rPr/>
        <mc:AlternateContent>
          <mc:Choice Requires="wps">
            <w:drawing>
              <wp:anchor distT="0" distB="0" distL="0" distR="0" allowOverlap="1" layoutInCell="1" locked="0" behindDoc="0" simplePos="0" relativeHeight="15778304">
                <wp:simplePos x="0" y="0"/>
                <wp:positionH relativeFrom="page">
                  <wp:posOffset>226488</wp:posOffset>
                </wp:positionH>
                <wp:positionV relativeFrom="paragraph">
                  <wp:posOffset>127249</wp:posOffset>
                </wp:positionV>
                <wp:extent cx="3373120" cy="825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373120" cy="8255"/>
                        </a:xfrm>
                        <a:custGeom>
                          <a:avLst/>
                          <a:gdLst/>
                          <a:ahLst/>
                          <a:cxnLst/>
                          <a:rect l="l" t="t" r="r" b="b"/>
                          <a:pathLst>
                            <a:path w="3373120" h="8255">
                              <a:moveTo>
                                <a:pt x="0" y="0"/>
                              </a:moveTo>
                              <a:lnTo>
                                <a:pt x="3373061" y="0"/>
                              </a:lnTo>
                              <a:lnTo>
                                <a:pt x="3373061"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19643pt;width:265.595366pt;height:.636919pt;mso-position-horizontal-relative:page;mso-position-vertical-relative:paragraph;z-index:15778304" id="docshape131" filled="true" fillcolor="#000000" stroked="false">
                <v:fill type="solid"/>
                <w10:wrap type="none"/>
              </v:rect>
            </w:pict>
          </mc:Fallback>
        </mc:AlternateContent>
      </w:r>
      <w:r>
        <w:rPr>
          <w:spacing w:val="-2"/>
          <w:w w:val="105"/>
        </w:rPr>
        <w:t>/s/</w:t>
      </w:r>
      <w:r>
        <w:rPr>
          <w:spacing w:val="-7"/>
          <w:w w:val="105"/>
        </w:rPr>
        <w:t> </w:t>
      </w:r>
      <w:r>
        <w:rPr>
          <w:spacing w:val="-2"/>
          <w:w w:val="105"/>
        </w:rPr>
        <w:t>Edward</w:t>
      </w:r>
      <w:r>
        <w:rPr>
          <w:spacing w:val="-7"/>
          <w:w w:val="105"/>
        </w:rPr>
        <w:t> </w:t>
      </w:r>
      <w:r>
        <w:rPr>
          <w:spacing w:val="-2"/>
          <w:w w:val="105"/>
        </w:rPr>
        <w:t>A.</w:t>
      </w:r>
      <w:r>
        <w:rPr>
          <w:spacing w:val="-7"/>
          <w:w w:val="105"/>
        </w:rPr>
        <w:t> </w:t>
      </w:r>
      <w:r>
        <w:rPr>
          <w:spacing w:val="-2"/>
          <w:w w:val="105"/>
        </w:rPr>
        <w:t>Schlesinger</w:t>
      </w:r>
      <w:r>
        <w:rPr>
          <w:w w:val="105"/>
        </w:rPr>
        <w:t> Edward A. Schlesinger</w:t>
      </w:r>
    </w:p>
    <w:p>
      <w:pPr>
        <w:pStyle w:val="BodyText"/>
        <w:spacing w:line="266" w:lineRule="auto" w:before="98"/>
        <w:ind w:left="1947" w:right="2547"/>
      </w:pPr>
      <w:r>
        <w:rPr/>
        <w:br w:type="column"/>
      </w:r>
      <w:r>
        <w:rPr>
          <w:w w:val="105"/>
        </w:rPr>
        <w:t>Executive</w:t>
      </w:r>
      <w:r>
        <w:rPr>
          <w:spacing w:val="-11"/>
          <w:w w:val="105"/>
        </w:rPr>
        <w:t> </w:t>
      </w:r>
      <w:r>
        <w:rPr>
          <w:w w:val="105"/>
        </w:rPr>
        <w:t>Vice</w:t>
      </w:r>
      <w:r>
        <w:rPr>
          <w:spacing w:val="-10"/>
          <w:w w:val="105"/>
        </w:rPr>
        <w:t> </w:t>
      </w:r>
      <w:r>
        <w:rPr>
          <w:w w:val="105"/>
        </w:rPr>
        <w:t>President</w:t>
      </w:r>
      <w:r>
        <w:rPr>
          <w:spacing w:val="-11"/>
          <w:w w:val="105"/>
        </w:rPr>
        <w:t> </w:t>
      </w:r>
      <w:r>
        <w:rPr>
          <w:w w:val="105"/>
        </w:rPr>
        <w:t>and</w:t>
      </w:r>
      <w:r>
        <w:rPr>
          <w:spacing w:val="-10"/>
          <w:w w:val="105"/>
        </w:rPr>
        <w:t> </w:t>
      </w:r>
      <w:r>
        <w:rPr>
          <w:w w:val="105"/>
        </w:rPr>
        <w:t>Chief</w:t>
      </w:r>
      <w:r>
        <w:rPr>
          <w:spacing w:val="-11"/>
          <w:w w:val="105"/>
        </w:rPr>
        <w:t> </w:t>
      </w:r>
      <w:r>
        <w:rPr>
          <w:w w:val="105"/>
        </w:rPr>
        <w:t>Financial</w:t>
      </w:r>
      <w:r>
        <w:rPr>
          <w:spacing w:val="-10"/>
          <w:w w:val="105"/>
        </w:rPr>
        <w:t> </w:t>
      </w:r>
      <w:r>
        <w:rPr>
          <w:w w:val="105"/>
        </w:rPr>
        <w:t>Officer (Principal Financial Officer)</w:t>
      </w:r>
    </w:p>
    <w:p>
      <w:pPr>
        <w:pStyle w:val="BodyText"/>
      </w:pPr>
    </w:p>
    <w:p>
      <w:pPr>
        <w:pStyle w:val="BodyText"/>
        <w:spacing w:before="39"/>
      </w:pPr>
    </w:p>
    <w:p>
      <w:pPr>
        <w:pStyle w:val="BodyText"/>
        <w:spacing w:line="266" w:lineRule="auto"/>
        <w:ind w:left="1947" w:right="2933"/>
      </w:pPr>
      <w:r>
        <w:rPr/>
        <mc:AlternateContent>
          <mc:Choice Requires="wps">
            <w:drawing>
              <wp:anchor distT="0" distB="0" distL="0" distR="0" allowOverlap="1" layoutInCell="1" locked="0" behindDoc="0" simplePos="0" relativeHeight="15777792">
                <wp:simplePos x="0" y="0"/>
                <wp:positionH relativeFrom="page">
                  <wp:posOffset>226488</wp:posOffset>
                </wp:positionH>
                <wp:positionV relativeFrom="paragraph">
                  <wp:posOffset>-268831</wp:posOffset>
                </wp:positionV>
                <wp:extent cx="3373120" cy="825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373120" cy="8255"/>
                        </a:xfrm>
                        <a:custGeom>
                          <a:avLst/>
                          <a:gdLst/>
                          <a:ahLst/>
                          <a:cxnLst/>
                          <a:rect l="l" t="t" r="r" b="b"/>
                          <a:pathLst>
                            <a:path w="3373120" h="8255">
                              <a:moveTo>
                                <a:pt x="0" y="0"/>
                              </a:moveTo>
                              <a:lnTo>
                                <a:pt x="3373061" y="0"/>
                              </a:lnTo>
                              <a:lnTo>
                                <a:pt x="3373061"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21.167803pt;width:265.595366pt;height:.636919pt;mso-position-horizontal-relative:page;mso-position-vertical-relative:paragraph;z-index:15777792" id="docshape132" filled="true" fillcolor="#000000" stroked="false">
                <v:fill type="solid"/>
                <w10:wrap type="none"/>
              </v:rect>
            </w:pict>
          </mc:Fallback>
        </mc:AlternateContent>
      </w:r>
      <w:r>
        <w:rPr>
          <w:w w:val="105"/>
        </w:rPr>
        <w:t>Senior</w:t>
      </w:r>
      <w:r>
        <w:rPr>
          <w:spacing w:val="-11"/>
          <w:w w:val="105"/>
        </w:rPr>
        <w:t> </w:t>
      </w:r>
      <w:r>
        <w:rPr>
          <w:w w:val="105"/>
        </w:rPr>
        <w:t>Vice</w:t>
      </w:r>
      <w:r>
        <w:rPr>
          <w:spacing w:val="-10"/>
          <w:w w:val="105"/>
        </w:rPr>
        <w:t> </w:t>
      </w:r>
      <w:r>
        <w:rPr>
          <w:w w:val="105"/>
        </w:rPr>
        <w:t>President</w:t>
      </w:r>
      <w:r>
        <w:rPr>
          <w:spacing w:val="-11"/>
          <w:w w:val="105"/>
        </w:rPr>
        <w:t> </w:t>
      </w:r>
      <w:r>
        <w:rPr>
          <w:w w:val="105"/>
        </w:rPr>
        <w:t>and</w:t>
      </w:r>
      <w:r>
        <w:rPr>
          <w:spacing w:val="-10"/>
          <w:w w:val="105"/>
        </w:rPr>
        <w:t> </w:t>
      </w:r>
      <w:r>
        <w:rPr>
          <w:w w:val="105"/>
        </w:rPr>
        <w:t>Corporate</w:t>
      </w:r>
      <w:r>
        <w:rPr>
          <w:spacing w:val="-11"/>
          <w:w w:val="105"/>
        </w:rPr>
        <w:t> </w:t>
      </w:r>
      <w:r>
        <w:rPr>
          <w:w w:val="105"/>
        </w:rPr>
        <w:t>Controller (Principal Accounting Officer)</w:t>
      </w:r>
    </w:p>
    <w:p>
      <w:pPr>
        <w:spacing w:after="0" w:line="266" w:lineRule="auto"/>
        <w:sectPr>
          <w:type w:val="continuous"/>
          <w:pgSz w:w="12240" w:h="15840"/>
          <w:pgMar w:header="428" w:footer="0" w:top="700" w:bottom="280" w:left="200" w:right="260"/>
          <w:cols w:num="2" w:equalWidth="0">
            <w:col w:w="3677" w:space="60"/>
            <w:col w:w="8043"/>
          </w:cols>
        </w:sectPr>
      </w:pPr>
    </w:p>
    <w:p>
      <w:pPr>
        <w:pStyle w:val="BodyText"/>
        <w:spacing w:before="8"/>
      </w:pPr>
    </w:p>
    <w:p>
      <w:pPr>
        <w:pStyle w:val="BodyText"/>
        <w:tabs>
          <w:tab w:pos="5685" w:val="left" w:leader="none"/>
        </w:tabs>
        <w:spacing w:after="4"/>
        <w:ind w:left="2163"/>
      </w:pPr>
      <w:r>
        <w:rPr>
          <w:w w:val="105"/>
          <w:position w:val="1"/>
        </w:rPr>
        <w:t>/s/</w:t>
      </w:r>
      <w:r>
        <w:rPr>
          <w:spacing w:val="-7"/>
          <w:w w:val="105"/>
          <w:position w:val="1"/>
        </w:rPr>
        <w:t> </w:t>
      </w:r>
      <w:r>
        <w:rPr>
          <w:w w:val="105"/>
          <w:position w:val="1"/>
        </w:rPr>
        <w:t>Donald</w:t>
      </w:r>
      <w:r>
        <w:rPr>
          <w:spacing w:val="-6"/>
          <w:w w:val="105"/>
          <w:position w:val="1"/>
        </w:rPr>
        <w:t> </w:t>
      </w:r>
      <w:r>
        <w:rPr>
          <w:w w:val="105"/>
          <w:position w:val="1"/>
        </w:rPr>
        <w:t>W.</w:t>
      </w:r>
      <w:r>
        <w:rPr>
          <w:spacing w:val="-7"/>
          <w:w w:val="105"/>
          <w:position w:val="1"/>
        </w:rPr>
        <w:t> </w:t>
      </w:r>
      <w:r>
        <w:rPr>
          <w:spacing w:val="-2"/>
          <w:w w:val="105"/>
          <w:position w:val="1"/>
        </w:rPr>
        <w:t>Blair</w:t>
      </w:r>
      <w:r>
        <w:rPr>
          <w:position w:val="1"/>
        </w:rPr>
        <w:tab/>
      </w:r>
      <w:r>
        <w:rPr>
          <w:spacing w:val="-2"/>
          <w:w w:val="105"/>
        </w:rPr>
        <w:t>Director</w:t>
      </w:r>
    </w:p>
    <w:p>
      <w:pPr>
        <w:pStyle w:val="BodyText"/>
        <w:spacing w:line="20" w:lineRule="exact"/>
        <w:ind w:left="156"/>
        <w:rPr>
          <w:sz w:val="2"/>
        </w:rPr>
      </w:pPr>
      <w:r>
        <w:rPr>
          <w:sz w:val="2"/>
        </w:rPr>
        <mc:AlternateContent>
          <mc:Choice Requires="wps">
            <w:drawing>
              <wp:inline distT="0" distB="0" distL="0" distR="0">
                <wp:extent cx="3373120" cy="8255"/>
                <wp:effectExtent l="0" t="0" r="0" b="0"/>
                <wp:docPr id="134" name="Group 134"/>
                <wp:cNvGraphicFramePr>
                  <a:graphicFrameLocks/>
                </wp:cNvGraphicFramePr>
                <a:graphic>
                  <a:graphicData uri="http://schemas.microsoft.com/office/word/2010/wordprocessingGroup">
                    <wpg:wgp>
                      <wpg:cNvPr id="134" name="Group 134"/>
                      <wpg:cNvGrpSpPr/>
                      <wpg:grpSpPr>
                        <a:xfrm>
                          <a:off x="0" y="0"/>
                          <a:ext cx="3373120" cy="8255"/>
                          <a:chExt cx="3373120" cy="8255"/>
                        </a:xfrm>
                      </wpg:grpSpPr>
                      <wps:wsp>
                        <wps:cNvPr id="135" name="Graphic 135"/>
                        <wps:cNvSpPr/>
                        <wps:spPr>
                          <a:xfrm>
                            <a:off x="0" y="0"/>
                            <a:ext cx="3373120" cy="8255"/>
                          </a:xfrm>
                          <a:custGeom>
                            <a:avLst/>
                            <a:gdLst/>
                            <a:ahLst/>
                            <a:cxnLst/>
                            <a:rect l="l" t="t" r="r" b="b"/>
                            <a:pathLst>
                              <a:path w="3373120" h="8255">
                                <a:moveTo>
                                  <a:pt x="0" y="0"/>
                                </a:moveTo>
                                <a:lnTo>
                                  <a:pt x="3373061" y="0"/>
                                </a:lnTo>
                                <a:lnTo>
                                  <a:pt x="3373061"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6pt;height:.65pt;mso-position-horizontal-relative:char;mso-position-vertical-relative:line" id="docshapegroup133" coordorigin="0,0" coordsize="5312,13">
                <v:rect style="position:absolute;left:0;top:0;width:5312;height:13" id="docshape134" filled="true" fillcolor="#000000" stroked="false">
                  <v:fill type="solid"/>
                </v:rect>
              </v:group>
            </w:pict>
          </mc:Fallback>
        </mc:AlternateContent>
      </w:r>
      <w:r>
        <w:rPr>
          <w:sz w:val="2"/>
        </w:rPr>
      </w:r>
    </w:p>
    <w:p>
      <w:pPr>
        <w:pStyle w:val="BodyText"/>
        <w:ind w:left="2262"/>
      </w:pPr>
      <w:r>
        <w:rPr>
          <w:w w:val="105"/>
        </w:rPr>
        <w:t>Donald</w:t>
      </w:r>
      <w:r>
        <w:rPr>
          <w:spacing w:val="-8"/>
          <w:w w:val="105"/>
        </w:rPr>
        <w:t> </w:t>
      </w:r>
      <w:r>
        <w:rPr>
          <w:w w:val="105"/>
        </w:rPr>
        <w:t>W.</w:t>
      </w:r>
      <w:r>
        <w:rPr>
          <w:spacing w:val="-8"/>
          <w:w w:val="105"/>
        </w:rPr>
        <w:t> </w:t>
      </w:r>
      <w:r>
        <w:rPr>
          <w:spacing w:val="-2"/>
          <w:w w:val="105"/>
        </w:rPr>
        <w:t>Blair</w:t>
      </w:r>
    </w:p>
    <w:p>
      <w:pPr>
        <w:pStyle w:val="BodyText"/>
        <w:spacing w:before="38"/>
      </w:pPr>
    </w:p>
    <w:p>
      <w:pPr>
        <w:pStyle w:val="BodyText"/>
        <w:tabs>
          <w:tab w:pos="5685" w:val="left" w:leader="none"/>
        </w:tabs>
        <w:spacing w:after="4"/>
        <w:ind w:left="2223"/>
      </w:pPr>
      <w:r>
        <w:rPr>
          <w:w w:val="105"/>
          <w:position w:val="1"/>
        </w:rPr>
        <w:t>/s/</w:t>
      </w:r>
      <w:r>
        <w:rPr>
          <w:spacing w:val="-6"/>
          <w:w w:val="105"/>
          <w:position w:val="1"/>
        </w:rPr>
        <w:t> </w:t>
      </w:r>
      <w:r>
        <w:rPr>
          <w:w w:val="105"/>
          <w:position w:val="1"/>
        </w:rPr>
        <w:t>Leslie</w:t>
      </w:r>
      <w:r>
        <w:rPr>
          <w:spacing w:val="-6"/>
          <w:w w:val="105"/>
          <w:position w:val="1"/>
        </w:rPr>
        <w:t> </w:t>
      </w:r>
      <w:r>
        <w:rPr>
          <w:w w:val="105"/>
          <w:position w:val="1"/>
        </w:rPr>
        <w:t>A.</w:t>
      </w:r>
      <w:r>
        <w:rPr>
          <w:spacing w:val="-5"/>
          <w:w w:val="105"/>
          <w:position w:val="1"/>
        </w:rPr>
        <w:t> </w:t>
      </w:r>
      <w:r>
        <w:rPr>
          <w:spacing w:val="-4"/>
          <w:w w:val="105"/>
          <w:position w:val="1"/>
        </w:rPr>
        <w:t>Brun</w:t>
      </w:r>
      <w:r>
        <w:rPr>
          <w:position w:val="1"/>
        </w:rPr>
        <w:tab/>
      </w:r>
      <w:r>
        <w:rPr>
          <w:spacing w:val="-2"/>
          <w:w w:val="105"/>
        </w:rPr>
        <w:t>Director</w:t>
      </w:r>
    </w:p>
    <w:p>
      <w:pPr>
        <w:pStyle w:val="BodyText"/>
        <w:spacing w:line="20" w:lineRule="exact"/>
        <w:ind w:left="156"/>
        <w:rPr>
          <w:sz w:val="2"/>
        </w:rPr>
      </w:pPr>
      <w:r>
        <w:rPr>
          <w:sz w:val="2"/>
        </w:rPr>
        <mc:AlternateContent>
          <mc:Choice Requires="wps">
            <w:drawing>
              <wp:inline distT="0" distB="0" distL="0" distR="0">
                <wp:extent cx="3373120" cy="8255"/>
                <wp:effectExtent l="0" t="0" r="0" b="0"/>
                <wp:docPr id="136" name="Group 136"/>
                <wp:cNvGraphicFramePr>
                  <a:graphicFrameLocks/>
                </wp:cNvGraphicFramePr>
                <a:graphic>
                  <a:graphicData uri="http://schemas.microsoft.com/office/word/2010/wordprocessingGroup">
                    <wpg:wgp>
                      <wpg:cNvPr id="136" name="Group 136"/>
                      <wpg:cNvGrpSpPr/>
                      <wpg:grpSpPr>
                        <a:xfrm>
                          <a:off x="0" y="0"/>
                          <a:ext cx="3373120" cy="8255"/>
                          <a:chExt cx="3373120" cy="8255"/>
                        </a:xfrm>
                      </wpg:grpSpPr>
                      <wps:wsp>
                        <wps:cNvPr id="137" name="Graphic 137"/>
                        <wps:cNvSpPr/>
                        <wps:spPr>
                          <a:xfrm>
                            <a:off x="0" y="0"/>
                            <a:ext cx="3373120" cy="8255"/>
                          </a:xfrm>
                          <a:custGeom>
                            <a:avLst/>
                            <a:gdLst/>
                            <a:ahLst/>
                            <a:cxnLst/>
                            <a:rect l="l" t="t" r="r" b="b"/>
                            <a:pathLst>
                              <a:path w="3373120" h="8255">
                                <a:moveTo>
                                  <a:pt x="0" y="0"/>
                                </a:moveTo>
                                <a:lnTo>
                                  <a:pt x="3373061" y="0"/>
                                </a:lnTo>
                                <a:lnTo>
                                  <a:pt x="3373061"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6pt;height:.65pt;mso-position-horizontal-relative:char;mso-position-vertical-relative:line" id="docshapegroup135" coordorigin="0,0" coordsize="5312,13">
                <v:rect style="position:absolute;left:0;top:0;width:5312;height:13" id="docshape136" filled="true" fillcolor="#000000" stroked="false">
                  <v:fill type="solid"/>
                </v:rect>
              </v:group>
            </w:pict>
          </mc:Fallback>
        </mc:AlternateContent>
      </w:r>
      <w:r>
        <w:rPr>
          <w:sz w:val="2"/>
        </w:rPr>
      </w:r>
    </w:p>
    <w:p>
      <w:pPr>
        <w:pStyle w:val="BodyText"/>
        <w:ind w:left="2322"/>
      </w:pPr>
      <w:r>
        <w:rPr>
          <w:w w:val="105"/>
        </w:rPr>
        <w:t>Leslie</w:t>
      </w:r>
      <w:r>
        <w:rPr>
          <w:spacing w:val="-7"/>
          <w:w w:val="105"/>
        </w:rPr>
        <w:t> </w:t>
      </w:r>
      <w:r>
        <w:rPr>
          <w:w w:val="105"/>
        </w:rPr>
        <w:t>A.</w:t>
      </w:r>
      <w:r>
        <w:rPr>
          <w:spacing w:val="-6"/>
          <w:w w:val="105"/>
        </w:rPr>
        <w:t> </w:t>
      </w:r>
      <w:r>
        <w:rPr>
          <w:spacing w:val="-4"/>
          <w:w w:val="105"/>
        </w:rPr>
        <w:t>Brun</w:t>
      </w:r>
    </w:p>
    <w:p>
      <w:pPr>
        <w:pStyle w:val="BodyText"/>
        <w:spacing w:before="38"/>
      </w:pPr>
    </w:p>
    <w:p>
      <w:pPr>
        <w:pStyle w:val="BodyText"/>
        <w:tabs>
          <w:tab w:pos="5685" w:val="left" w:leader="none"/>
        </w:tabs>
        <w:spacing w:after="4"/>
        <w:ind w:left="2067"/>
      </w:pPr>
      <w:r>
        <w:rPr>
          <w:w w:val="105"/>
          <w:position w:val="1"/>
        </w:rPr>
        <w:t>/s/</w:t>
      </w:r>
      <w:r>
        <w:rPr>
          <w:spacing w:val="-8"/>
          <w:w w:val="105"/>
          <w:position w:val="1"/>
        </w:rPr>
        <w:t> </w:t>
      </w:r>
      <w:r>
        <w:rPr>
          <w:w w:val="105"/>
          <w:position w:val="1"/>
        </w:rPr>
        <w:t>Stephanie</w:t>
      </w:r>
      <w:r>
        <w:rPr>
          <w:spacing w:val="-7"/>
          <w:w w:val="105"/>
          <w:position w:val="1"/>
        </w:rPr>
        <w:t> </w:t>
      </w:r>
      <w:r>
        <w:rPr>
          <w:w w:val="105"/>
          <w:position w:val="1"/>
        </w:rPr>
        <w:t>A.</w:t>
      </w:r>
      <w:r>
        <w:rPr>
          <w:spacing w:val="-7"/>
          <w:w w:val="105"/>
          <w:position w:val="1"/>
        </w:rPr>
        <w:t> </w:t>
      </w:r>
      <w:r>
        <w:rPr>
          <w:spacing w:val="-2"/>
          <w:w w:val="105"/>
          <w:position w:val="1"/>
        </w:rPr>
        <w:t>Burns</w:t>
      </w:r>
      <w:r>
        <w:rPr>
          <w:position w:val="1"/>
        </w:rPr>
        <w:tab/>
      </w:r>
      <w:r>
        <w:rPr>
          <w:spacing w:val="-2"/>
          <w:w w:val="105"/>
        </w:rPr>
        <w:t>Director</w:t>
      </w:r>
    </w:p>
    <w:p>
      <w:pPr>
        <w:pStyle w:val="BodyText"/>
        <w:spacing w:line="20" w:lineRule="exact"/>
        <w:ind w:left="156"/>
        <w:rPr>
          <w:sz w:val="2"/>
        </w:rPr>
      </w:pPr>
      <w:r>
        <w:rPr>
          <w:sz w:val="2"/>
        </w:rPr>
        <mc:AlternateContent>
          <mc:Choice Requires="wps">
            <w:drawing>
              <wp:inline distT="0" distB="0" distL="0" distR="0">
                <wp:extent cx="3373120" cy="8255"/>
                <wp:effectExtent l="0" t="0" r="0" b="0"/>
                <wp:docPr id="138" name="Group 138"/>
                <wp:cNvGraphicFramePr>
                  <a:graphicFrameLocks/>
                </wp:cNvGraphicFramePr>
                <a:graphic>
                  <a:graphicData uri="http://schemas.microsoft.com/office/word/2010/wordprocessingGroup">
                    <wpg:wgp>
                      <wpg:cNvPr id="138" name="Group 138"/>
                      <wpg:cNvGrpSpPr/>
                      <wpg:grpSpPr>
                        <a:xfrm>
                          <a:off x="0" y="0"/>
                          <a:ext cx="3373120" cy="8255"/>
                          <a:chExt cx="3373120" cy="8255"/>
                        </a:xfrm>
                      </wpg:grpSpPr>
                      <wps:wsp>
                        <wps:cNvPr id="139" name="Graphic 139"/>
                        <wps:cNvSpPr/>
                        <wps:spPr>
                          <a:xfrm>
                            <a:off x="0" y="0"/>
                            <a:ext cx="3373120" cy="8255"/>
                          </a:xfrm>
                          <a:custGeom>
                            <a:avLst/>
                            <a:gdLst/>
                            <a:ahLst/>
                            <a:cxnLst/>
                            <a:rect l="l" t="t" r="r" b="b"/>
                            <a:pathLst>
                              <a:path w="3373120" h="8255">
                                <a:moveTo>
                                  <a:pt x="0" y="0"/>
                                </a:moveTo>
                                <a:lnTo>
                                  <a:pt x="3373061" y="0"/>
                                </a:lnTo>
                                <a:lnTo>
                                  <a:pt x="3373061"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6pt;height:.65pt;mso-position-horizontal-relative:char;mso-position-vertical-relative:line" id="docshapegroup137" coordorigin="0,0" coordsize="5312,13">
                <v:rect style="position:absolute;left:0;top:0;width:5312;height:13" id="docshape138" filled="true" fillcolor="#000000" stroked="false">
                  <v:fill type="solid"/>
                </v:rect>
              </v:group>
            </w:pict>
          </mc:Fallback>
        </mc:AlternateContent>
      </w:r>
      <w:r>
        <w:rPr>
          <w:sz w:val="2"/>
        </w:rPr>
      </w:r>
    </w:p>
    <w:p>
      <w:pPr>
        <w:pStyle w:val="BodyText"/>
        <w:ind w:left="2166"/>
      </w:pPr>
      <w:r>
        <w:rPr>
          <w:w w:val="105"/>
        </w:rPr>
        <w:t>Stephanie</w:t>
      </w:r>
      <w:r>
        <w:rPr>
          <w:spacing w:val="-9"/>
          <w:w w:val="105"/>
        </w:rPr>
        <w:t> </w:t>
      </w:r>
      <w:r>
        <w:rPr>
          <w:w w:val="105"/>
        </w:rPr>
        <w:t>A.</w:t>
      </w:r>
      <w:r>
        <w:rPr>
          <w:spacing w:val="-9"/>
          <w:w w:val="105"/>
        </w:rPr>
        <w:t> </w:t>
      </w:r>
      <w:r>
        <w:rPr>
          <w:spacing w:val="-4"/>
          <w:w w:val="105"/>
        </w:rPr>
        <w:t>Burns</w:t>
      </w:r>
    </w:p>
    <w:p>
      <w:pPr>
        <w:pStyle w:val="BodyText"/>
        <w:spacing w:before="38"/>
      </w:pPr>
    </w:p>
    <w:p>
      <w:pPr>
        <w:pStyle w:val="BodyText"/>
        <w:tabs>
          <w:tab w:pos="5685" w:val="left" w:leader="none"/>
        </w:tabs>
        <w:spacing w:after="4"/>
        <w:ind w:left="2154"/>
      </w:pPr>
      <w:r>
        <w:rPr>
          <w:w w:val="105"/>
          <w:position w:val="1"/>
        </w:rPr>
        <w:t>/s/</w:t>
      </w:r>
      <w:r>
        <w:rPr>
          <w:spacing w:val="-7"/>
          <w:w w:val="105"/>
          <w:position w:val="1"/>
        </w:rPr>
        <w:t> </w:t>
      </w:r>
      <w:r>
        <w:rPr>
          <w:w w:val="105"/>
          <w:position w:val="1"/>
        </w:rPr>
        <w:t>Richard</w:t>
      </w:r>
      <w:r>
        <w:rPr>
          <w:spacing w:val="-6"/>
          <w:w w:val="105"/>
          <w:position w:val="1"/>
        </w:rPr>
        <w:t> </w:t>
      </w:r>
      <w:r>
        <w:rPr>
          <w:w w:val="105"/>
          <w:position w:val="1"/>
        </w:rPr>
        <w:t>T.</w:t>
      </w:r>
      <w:r>
        <w:rPr>
          <w:spacing w:val="-6"/>
          <w:w w:val="105"/>
          <w:position w:val="1"/>
        </w:rPr>
        <w:t> </w:t>
      </w:r>
      <w:r>
        <w:rPr>
          <w:spacing w:val="-4"/>
          <w:w w:val="105"/>
          <w:position w:val="1"/>
        </w:rPr>
        <w:t>Clark</w:t>
      </w:r>
      <w:r>
        <w:rPr>
          <w:position w:val="1"/>
        </w:rPr>
        <w:tab/>
      </w:r>
      <w:r>
        <w:rPr>
          <w:spacing w:val="-2"/>
          <w:w w:val="105"/>
        </w:rPr>
        <w:t>Director</w:t>
      </w:r>
    </w:p>
    <w:p>
      <w:pPr>
        <w:pStyle w:val="BodyText"/>
        <w:spacing w:line="20" w:lineRule="exact"/>
        <w:ind w:left="156"/>
        <w:rPr>
          <w:sz w:val="2"/>
        </w:rPr>
      </w:pPr>
      <w:r>
        <w:rPr>
          <w:sz w:val="2"/>
        </w:rPr>
        <mc:AlternateContent>
          <mc:Choice Requires="wps">
            <w:drawing>
              <wp:inline distT="0" distB="0" distL="0" distR="0">
                <wp:extent cx="3373120" cy="8255"/>
                <wp:effectExtent l="0" t="0" r="0" b="0"/>
                <wp:docPr id="140" name="Group 140"/>
                <wp:cNvGraphicFramePr>
                  <a:graphicFrameLocks/>
                </wp:cNvGraphicFramePr>
                <a:graphic>
                  <a:graphicData uri="http://schemas.microsoft.com/office/word/2010/wordprocessingGroup">
                    <wpg:wgp>
                      <wpg:cNvPr id="140" name="Group 140"/>
                      <wpg:cNvGrpSpPr/>
                      <wpg:grpSpPr>
                        <a:xfrm>
                          <a:off x="0" y="0"/>
                          <a:ext cx="3373120" cy="8255"/>
                          <a:chExt cx="3373120" cy="8255"/>
                        </a:xfrm>
                      </wpg:grpSpPr>
                      <wps:wsp>
                        <wps:cNvPr id="141" name="Graphic 141"/>
                        <wps:cNvSpPr/>
                        <wps:spPr>
                          <a:xfrm>
                            <a:off x="0" y="0"/>
                            <a:ext cx="3373120" cy="8255"/>
                          </a:xfrm>
                          <a:custGeom>
                            <a:avLst/>
                            <a:gdLst/>
                            <a:ahLst/>
                            <a:cxnLst/>
                            <a:rect l="l" t="t" r="r" b="b"/>
                            <a:pathLst>
                              <a:path w="3373120" h="8255">
                                <a:moveTo>
                                  <a:pt x="0" y="0"/>
                                </a:moveTo>
                                <a:lnTo>
                                  <a:pt x="3373061" y="0"/>
                                </a:lnTo>
                                <a:lnTo>
                                  <a:pt x="3373061"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6pt;height:.65pt;mso-position-horizontal-relative:char;mso-position-vertical-relative:line" id="docshapegroup139" coordorigin="0,0" coordsize="5312,13">
                <v:rect style="position:absolute;left:0;top:0;width:5312;height:13" id="docshape140" filled="true" fillcolor="#000000" stroked="false">
                  <v:fill type="solid"/>
                </v:rect>
              </v:group>
            </w:pict>
          </mc:Fallback>
        </mc:AlternateContent>
      </w:r>
      <w:r>
        <w:rPr>
          <w:sz w:val="2"/>
        </w:rPr>
      </w:r>
    </w:p>
    <w:p>
      <w:pPr>
        <w:pStyle w:val="BodyText"/>
        <w:ind w:left="2253"/>
      </w:pPr>
      <w:r>
        <w:rPr>
          <w:w w:val="105"/>
        </w:rPr>
        <w:t>Richard</w:t>
      </w:r>
      <w:r>
        <w:rPr>
          <w:spacing w:val="-8"/>
          <w:w w:val="105"/>
        </w:rPr>
        <w:t> </w:t>
      </w:r>
      <w:r>
        <w:rPr>
          <w:w w:val="105"/>
        </w:rPr>
        <w:t>T.</w:t>
      </w:r>
      <w:r>
        <w:rPr>
          <w:spacing w:val="-7"/>
          <w:w w:val="105"/>
        </w:rPr>
        <w:t> </w:t>
      </w:r>
      <w:r>
        <w:rPr>
          <w:spacing w:val="-2"/>
          <w:w w:val="105"/>
        </w:rPr>
        <w:t>Clark</w:t>
      </w:r>
    </w:p>
    <w:p>
      <w:pPr>
        <w:pStyle w:val="BodyText"/>
        <w:spacing w:before="38"/>
      </w:pPr>
    </w:p>
    <w:p>
      <w:pPr>
        <w:pStyle w:val="BodyText"/>
        <w:tabs>
          <w:tab w:pos="5685" w:val="left" w:leader="none"/>
        </w:tabs>
        <w:spacing w:after="4"/>
        <w:ind w:left="2191"/>
      </w:pPr>
      <w:r>
        <w:rPr>
          <w:w w:val="105"/>
          <w:position w:val="1"/>
        </w:rPr>
        <w:t>/s/</w:t>
      </w:r>
      <w:r>
        <w:rPr>
          <w:spacing w:val="-6"/>
          <w:w w:val="105"/>
          <w:position w:val="1"/>
        </w:rPr>
        <w:t> </w:t>
      </w:r>
      <w:r>
        <w:rPr>
          <w:w w:val="105"/>
          <w:position w:val="1"/>
        </w:rPr>
        <w:t>Pamela</w:t>
      </w:r>
      <w:r>
        <w:rPr>
          <w:spacing w:val="-6"/>
          <w:w w:val="105"/>
          <w:position w:val="1"/>
        </w:rPr>
        <w:t> </w:t>
      </w:r>
      <w:r>
        <w:rPr>
          <w:w w:val="105"/>
          <w:position w:val="1"/>
        </w:rPr>
        <w:t>J.</w:t>
      </w:r>
      <w:r>
        <w:rPr>
          <w:spacing w:val="-6"/>
          <w:w w:val="105"/>
          <w:position w:val="1"/>
        </w:rPr>
        <w:t> </w:t>
      </w:r>
      <w:r>
        <w:rPr>
          <w:spacing w:val="-2"/>
          <w:w w:val="105"/>
          <w:position w:val="1"/>
        </w:rPr>
        <w:t>Craig</w:t>
      </w:r>
      <w:r>
        <w:rPr>
          <w:position w:val="1"/>
        </w:rPr>
        <w:tab/>
      </w:r>
      <w:r>
        <w:rPr>
          <w:spacing w:val="-2"/>
          <w:w w:val="105"/>
        </w:rPr>
        <w:t>Director</w:t>
      </w:r>
    </w:p>
    <w:p>
      <w:pPr>
        <w:pStyle w:val="BodyText"/>
        <w:spacing w:line="20" w:lineRule="exact"/>
        <w:ind w:left="156"/>
        <w:rPr>
          <w:sz w:val="2"/>
        </w:rPr>
      </w:pPr>
      <w:r>
        <w:rPr>
          <w:sz w:val="2"/>
        </w:rPr>
        <mc:AlternateContent>
          <mc:Choice Requires="wps">
            <w:drawing>
              <wp:inline distT="0" distB="0" distL="0" distR="0">
                <wp:extent cx="3373120" cy="8255"/>
                <wp:effectExtent l="0" t="0" r="0" b="0"/>
                <wp:docPr id="142" name="Group 142"/>
                <wp:cNvGraphicFramePr>
                  <a:graphicFrameLocks/>
                </wp:cNvGraphicFramePr>
                <a:graphic>
                  <a:graphicData uri="http://schemas.microsoft.com/office/word/2010/wordprocessingGroup">
                    <wpg:wgp>
                      <wpg:cNvPr id="142" name="Group 142"/>
                      <wpg:cNvGrpSpPr/>
                      <wpg:grpSpPr>
                        <a:xfrm>
                          <a:off x="0" y="0"/>
                          <a:ext cx="3373120" cy="8255"/>
                          <a:chExt cx="3373120" cy="8255"/>
                        </a:xfrm>
                      </wpg:grpSpPr>
                      <wps:wsp>
                        <wps:cNvPr id="143" name="Graphic 143"/>
                        <wps:cNvSpPr/>
                        <wps:spPr>
                          <a:xfrm>
                            <a:off x="0" y="0"/>
                            <a:ext cx="3373120" cy="8255"/>
                          </a:xfrm>
                          <a:custGeom>
                            <a:avLst/>
                            <a:gdLst/>
                            <a:ahLst/>
                            <a:cxnLst/>
                            <a:rect l="l" t="t" r="r" b="b"/>
                            <a:pathLst>
                              <a:path w="3373120" h="8255">
                                <a:moveTo>
                                  <a:pt x="0" y="0"/>
                                </a:moveTo>
                                <a:lnTo>
                                  <a:pt x="3373061" y="0"/>
                                </a:lnTo>
                                <a:lnTo>
                                  <a:pt x="3373061"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6pt;height:.65pt;mso-position-horizontal-relative:char;mso-position-vertical-relative:line" id="docshapegroup141" coordorigin="0,0" coordsize="5312,13">
                <v:rect style="position:absolute;left:0;top:0;width:5312;height:13" id="docshape142" filled="true" fillcolor="#000000" stroked="false">
                  <v:fill type="solid"/>
                </v:rect>
              </v:group>
            </w:pict>
          </mc:Fallback>
        </mc:AlternateContent>
      </w:r>
      <w:r>
        <w:rPr>
          <w:sz w:val="2"/>
        </w:rPr>
      </w:r>
    </w:p>
    <w:p>
      <w:pPr>
        <w:pStyle w:val="BodyText"/>
        <w:ind w:left="2290"/>
      </w:pPr>
      <w:r>
        <w:rPr>
          <w:w w:val="105"/>
        </w:rPr>
        <w:t>Pamela</w:t>
      </w:r>
      <w:r>
        <w:rPr>
          <w:spacing w:val="-7"/>
          <w:w w:val="105"/>
        </w:rPr>
        <w:t> </w:t>
      </w:r>
      <w:r>
        <w:rPr>
          <w:w w:val="105"/>
        </w:rPr>
        <w:t>J.</w:t>
      </w:r>
      <w:r>
        <w:rPr>
          <w:spacing w:val="-7"/>
          <w:w w:val="105"/>
        </w:rPr>
        <w:t> </w:t>
      </w:r>
      <w:r>
        <w:rPr>
          <w:spacing w:val="-2"/>
          <w:w w:val="105"/>
        </w:rPr>
        <w:t>Craig</w:t>
      </w:r>
    </w:p>
    <w:p>
      <w:pPr>
        <w:pStyle w:val="BodyText"/>
        <w:spacing w:before="35"/>
      </w:pPr>
    </w:p>
    <w:p>
      <w:pPr>
        <w:pStyle w:val="BodyText"/>
        <w:spacing w:before="1"/>
        <w:ind w:left="48"/>
        <w:jc w:val="center"/>
      </w:pPr>
      <w:r>
        <w:rPr>
          <w:spacing w:val="-5"/>
          <w:w w:val="105"/>
        </w:rPr>
        <w:t>60</w:t>
      </w:r>
    </w:p>
    <w:p>
      <w:pPr>
        <w:pStyle w:val="BodyText"/>
        <w:spacing w:before="11"/>
        <w:rPr>
          <w:sz w:val="5"/>
        </w:rPr>
      </w:pPr>
      <w:r>
        <w:rPr/>
        <mc:AlternateContent>
          <mc:Choice Requires="wps">
            <w:drawing>
              <wp:anchor distT="0" distB="0" distL="0" distR="0" allowOverlap="1" layoutInCell="1" locked="0" behindDoc="1" simplePos="0" relativeHeight="487635456">
                <wp:simplePos x="0" y="0"/>
                <wp:positionH relativeFrom="page">
                  <wp:posOffset>226488</wp:posOffset>
                </wp:positionH>
                <wp:positionV relativeFrom="paragraph">
                  <wp:posOffset>58837</wp:posOffset>
                </wp:positionV>
                <wp:extent cx="7312659" cy="1651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32905pt;width:575.775087pt;height:1.273839pt;mso-position-horizontal-relative:page;mso-position-vertical-relative:paragraph;z-index:-15681024;mso-wrap-distance-left:0;mso-wrap-distance-right:0" id="docshape143" filled="true" fillcolor="#000000" stroked="false">
                <v:fill type="solid"/>
                <w10:wrap type="topAndBottom"/>
              </v:rect>
            </w:pict>
          </mc:Fallback>
        </mc:AlternateContent>
      </w:r>
    </w:p>
    <w:p>
      <w:pPr>
        <w:spacing w:after="0"/>
        <w:rPr>
          <w:sz w:val="5"/>
        </w:rPr>
        <w:sectPr>
          <w:type w:val="continuous"/>
          <w:pgSz w:w="12240" w:h="15840"/>
          <w:pgMar w:header="428" w:footer="0" w:top="700" w:bottom="280" w:left="200" w:right="260"/>
        </w:sectPr>
      </w:pPr>
    </w:p>
    <w:p>
      <w:pPr>
        <w:pStyle w:val="BodyText"/>
        <w:spacing w:before="38"/>
      </w:pPr>
    </w:p>
    <w:p>
      <w:pPr>
        <w:pStyle w:val="Heading2"/>
        <w:tabs>
          <w:tab w:pos="5893" w:val="left" w:leader="none"/>
        </w:tabs>
        <w:ind w:left="0" w:right="328"/>
        <w:jc w:val="center"/>
      </w:pPr>
      <w:r>
        <w:rPr/>
        <mc:AlternateContent>
          <mc:Choice Requires="wps">
            <w:drawing>
              <wp:anchor distT="0" distB="0" distL="0" distR="0" allowOverlap="1" layoutInCell="1" locked="0" behindDoc="1" simplePos="0" relativeHeight="487638016">
                <wp:simplePos x="0" y="0"/>
                <wp:positionH relativeFrom="page">
                  <wp:posOffset>226488</wp:posOffset>
                </wp:positionH>
                <wp:positionV relativeFrom="paragraph">
                  <wp:posOffset>127493</wp:posOffset>
                </wp:positionV>
                <wp:extent cx="3365500" cy="8255"/>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3365500" cy="8255"/>
                        </a:xfrm>
                        <a:custGeom>
                          <a:avLst/>
                          <a:gdLst/>
                          <a:ahLst/>
                          <a:cxnLst/>
                          <a:rect l="l" t="t" r="r" b="b"/>
                          <a:pathLst>
                            <a:path w="3365500" h="8255">
                              <a:moveTo>
                                <a:pt x="0" y="0"/>
                              </a:moveTo>
                              <a:lnTo>
                                <a:pt x="3364972" y="0"/>
                              </a:lnTo>
                              <a:lnTo>
                                <a:pt x="3364972"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38852pt;width:264.958447pt;height:.636919pt;mso-position-horizontal-relative:page;mso-position-vertical-relative:paragraph;z-index:-15678464;mso-wrap-distance-left:0;mso-wrap-distance-right:0" id="docshape14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8528">
                <wp:simplePos x="0" y="0"/>
                <wp:positionH relativeFrom="page">
                  <wp:posOffset>3728971</wp:posOffset>
                </wp:positionH>
                <wp:positionV relativeFrom="paragraph">
                  <wp:posOffset>127493</wp:posOffset>
                </wp:positionV>
                <wp:extent cx="3810000" cy="8255"/>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3810000" cy="8255"/>
                        </a:xfrm>
                        <a:custGeom>
                          <a:avLst/>
                          <a:gdLst/>
                          <a:ahLst/>
                          <a:cxnLst/>
                          <a:rect l="l" t="t" r="r" b="b"/>
                          <a:pathLst>
                            <a:path w="3810000" h="8255">
                              <a:moveTo>
                                <a:pt x="0" y="0"/>
                              </a:moveTo>
                              <a:lnTo>
                                <a:pt x="3809860" y="0"/>
                              </a:lnTo>
                              <a:lnTo>
                                <a:pt x="3809860"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3.619812pt;margin-top:10.038852pt;width:299.989011pt;height:.636919pt;mso-position-horizontal-relative:page;mso-position-vertical-relative:paragraph;z-index:-15677952;mso-wrap-distance-left:0;mso-wrap-distance-right:0" id="docshape145" filled="true" fillcolor="#000000" stroked="false">
                <v:fill type="solid"/>
                <w10:wrap type="topAndBottom"/>
              </v:rect>
            </w:pict>
          </mc:Fallback>
        </mc:AlternateContent>
      </w:r>
      <w:r>
        <w:rPr>
          <w:spacing w:val="-2"/>
          <w:w w:val="105"/>
        </w:rPr>
        <w:t>Signature</w:t>
      </w:r>
      <w:r>
        <w:rPr/>
        <w:tab/>
      </w:r>
      <w:r>
        <w:rPr>
          <w:spacing w:val="-2"/>
          <w:w w:val="105"/>
        </w:rPr>
        <w:t>Capacity</w:t>
      </w:r>
    </w:p>
    <w:p>
      <w:pPr>
        <w:pStyle w:val="BodyText"/>
        <w:spacing w:before="23"/>
        <w:rPr>
          <w:b/>
        </w:rPr>
      </w:pPr>
    </w:p>
    <w:p>
      <w:pPr>
        <w:pStyle w:val="BodyText"/>
        <w:tabs>
          <w:tab w:pos="5672" w:val="left" w:leader="none"/>
        </w:tabs>
        <w:spacing w:line="283" w:lineRule="auto"/>
        <w:ind w:left="1987" w:right="5555" w:hanging="100"/>
      </w:pPr>
      <w:r>
        <w:rPr/>
        <mc:AlternateContent>
          <mc:Choice Requires="wps">
            <w:drawing>
              <wp:anchor distT="0" distB="0" distL="0" distR="0" allowOverlap="1" layoutInCell="1" locked="0" behindDoc="0" simplePos="0" relativeHeight="15782912">
                <wp:simplePos x="0" y="0"/>
                <wp:positionH relativeFrom="page">
                  <wp:posOffset>226488</wp:posOffset>
                </wp:positionH>
                <wp:positionV relativeFrom="paragraph">
                  <wp:posOffset>127408</wp:posOffset>
                </wp:positionV>
                <wp:extent cx="3365500" cy="8255"/>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365500" cy="8255"/>
                        </a:xfrm>
                        <a:custGeom>
                          <a:avLst/>
                          <a:gdLst/>
                          <a:ahLst/>
                          <a:cxnLst/>
                          <a:rect l="l" t="t" r="r" b="b"/>
                          <a:pathLst>
                            <a:path w="3365500" h="8255">
                              <a:moveTo>
                                <a:pt x="0" y="0"/>
                              </a:moveTo>
                              <a:lnTo>
                                <a:pt x="3364972" y="0"/>
                              </a:lnTo>
                              <a:lnTo>
                                <a:pt x="3364972"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32199pt;width:264.958447pt;height:.636919pt;mso-position-horizontal-relative:page;mso-position-vertical-relative:paragraph;z-index:15782912" id="docshape146" filled="true" fillcolor="#000000" stroked="false">
                <v:fill type="solid"/>
                <w10:wrap type="none"/>
              </v:rect>
            </w:pict>
          </mc:Fallback>
        </mc:AlternateContent>
      </w:r>
      <w:r>
        <w:rPr>
          <w:w w:val="105"/>
        </w:rPr>
        <w:t>/s/ Robert F. Cummings, Jr.</w:t>
      </w:r>
      <w:r>
        <w:rPr/>
        <w:tab/>
      </w:r>
      <w:r>
        <w:rPr>
          <w:spacing w:val="-4"/>
          <w:w w:val="105"/>
        </w:rPr>
        <w:t>Director</w:t>
      </w:r>
      <w:r>
        <w:rPr>
          <w:w w:val="105"/>
        </w:rPr>
        <w:t> Robert F. Cummings, Jr.</w:t>
      </w:r>
    </w:p>
    <w:p>
      <w:pPr>
        <w:pStyle w:val="BodyText"/>
        <w:spacing w:before="6"/>
      </w:pPr>
    </w:p>
    <w:p>
      <w:pPr>
        <w:pStyle w:val="BodyText"/>
        <w:tabs>
          <w:tab w:pos="5672" w:val="left" w:leader="none"/>
        </w:tabs>
        <w:spacing w:line="283" w:lineRule="auto"/>
        <w:ind w:left="2053" w:right="5555" w:hanging="100"/>
      </w:pPr>
      <w:r>
        <w:rPr/>
        <mc:AlternateContent>
          <mc:Choice Requires="wps">
            <w:drawing>
              <wp:anchor distT="0" distB="0" distL="0" distR="0" allowOverlap="1" layoutInCell="1" locked="0" behindDoc="0" simplePos="0" relativeHeight="15783424">
                <wp:simplePos x="0" y="0"/>
                <wp:positionH relativeFrom="page">
                  <wp:posOffset>226488</wp:posOffset>
                </wp:positionH>
                <wp:positionV relativeFrom="paragraph">
                  <wp:posOffset>127404</wp:posOffset>
                </wp:positionV>
                <wp:extent cx="3365500" cy="825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365500" cy="8255"/>
                        </a:xfrm>
                        <a:custGeom>
                          <a:avLst/>
                          <a:gdLst/>
                          <a:ahLst/>
                          <a:cxnLst/>
                          <a:rect l="l" t="t" r="r" b="b"/>
                          <a:pathLst>
                            <a:path w="3365500" h="8255">
                              <a:moveTo>
                                <a:pt x="0" y="0"/>
                              </a:moveTo>
                              <a:lnTo>
                                <a:pt x="3364972" y="0"/>
                              </a:lnTo>
                              <a:lnTo>
                                <a:pt x="3364972"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3187pt;width:264.958447pt;height:.636919pt;mso-position-horizontal-relative:page;mso-position-vertical-relative:paragraph;z-index:15783424" id="docshape147" filled="true" fillcolor="#000000" stroked="false">
                <v:fill type="solid"/>
                <w10:wrap type="none"/>
              </v:rect>
            </w:pict>
          </mc:Fallback>
        </mc:AlternateContent>
      </w:r>
      <w:r>
        <w:rPr>
          <w:w w:val="105"/>
        </w:rPr>
        <w:t>/s/ Roger W. Ferguson Jr.</w:t>
      </w:r>
      <w:r>
        <w:rPr/>
        <w:tab/>
      </w:r>
      <w:r>
        <w:rPr>
          <w:spacing w:val="-4"/>
          <w:w w:val="105"/>
        </w:rPr>
        <w:t>Director</w:t>
      </w:r>
      <w:r>
        <w:rPr>
          <w:w w:val="105"/>
        </w:rPr>
        <w:t> Roger W. Ferguson Jr.</w:t>
      </w:r>
    </w:p>
    <w:p>
      <w:pPr>
        <w:pStyle w:val="BodyText"/>
        <w:spacing w:before="6"/>
      </w:pPr>
    </w:p>
    <w:p>
      <w:pPr>
        <w:pStyle w:val="BodyText"/>
        <w:tabs>
          <w:tab w:pos="5672" w:val="left" w:leader="none"/>
        </w:tabs>
        <w:spacing w:line="283" w:lineRule="auto"/>
        <w:ind w:left="2114" w:right="5555" w:hanging="100"/>
      </w:pPr>
      <w:r>
        <w:rPr/>
        <mc:AlternateContent>
          <mc:Choice Requires="wps">
            <w:drawing>
              <wp:anchor distT="0" distB="0" distL="0" distR="0" allowOverlap="1" layoutInCell="1" locked="0" behindDoc="0" simplePos="0" relativeHeight="15783936">
                <wp:simplePos x="0" y="0"/>
                <wp:positionH relativeFrom="page">
                  <wp:posOffset>226488</wp:posOffset>
                </wp:positionH>
                <wp:positionV relativeFrom="paragraph">
                  <wp:posOffset>127400</wp:posOffset>
                </wp:positionV>
                <wp:extent cx="3365500" cy="8255"/>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3365500" cy="8255"/>
                        </a:xfrm>
                        <a:custGeom>
                          <a:avLst/>
                          <a:gdLst/>
                          <a:ahLst/>
                          <a:cxnLst/>
                          <a:rect l="l" t="t" r="r" b="b"/>
                          <a:pathLst>
                            <a:path w="3365500" h="8255">
                              <a:moveTo>
                                <a:pt x="0" y="0"/>
                              </a:moveTo>
                              <a:lnTo>
                                <a:pt x="3364972" y="0"/>
                              </a:lnTo>
                              <a:lnTo>
                                <a:pt x="3364972"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3154pt;width:264.958447pt;height:.636919pt;mso-position-horizontal-relative:page;mso-position-vertical-relative:paragraph;z-index:15783936" id="docshape148" filled="true" fillcolor="#000000" stroked="false">
                <v:fill type="solid"/>
                <w10:wrap type="none"/>
              </v:rect>
            </w:pict>
          </mc:Fallback>
        </mc:AlternateContent>
      </w:r>
      <w:r>
        <w:rPr>
          <w:w w:val="105"/>
        </w:rPr>
        <w:t>/s/ Deborah A. Henretta</w:t>
      </w:r>
      <w:r>
        <w:rPr/>
        <w:tab/>
      </w:r>
      <w:r>
        <w:rPr>
          <w:spacing w:val="-4"/>
          <w:w w:val="105"/>
        </w:rPr>
        <w:t>Director</w:t>
      </w:r>
      <w:r>
        <w:rPr>
          <w:w w:val="105"/>
        </w:rPr>
        <w:t> Deborah A. Henretta</w:t>
      </w:r>
    </w:p>
    <w:p>
      <w:pPr>
        <w:pStyle w:val="BodyText"/>
        <w:spacing w:before="6"/>
      </w:pPr>
    </w:p>
    <w:p>
      <w:pPr>
        <w:pStyle w:val="BodyText"/>
        <w:tabs>
          <w:tab w:pos="5672" w:val="left" w:leader="none"/>
        </w:tabs>
        <w:spacing w:line="283" w:lineRule="auto"/>
        <w:ind w:left="2044" w:right="5555" w:hanging="79"/>
      </w:pPr>
      <w:r>
        <w:rPr/>
        <mc:AlternateContent>
          <mc:Choice Requires="wps">
            <w:drawing>
              <wp:anchor distT="0" distB="0" distL="0" distR="0" allowOverlap="1" layoutInCell="1" locked="0" behindDoc="0" simplePos="0" relativeHeight="15784448">
                <wp:simplePos x="0" y="0"/>
                <wp:positionH relativeFrom="page">
                  <wp:posOffset>226488</wp:posOffset>
                </wp:positionH>
                <wp:positionV relativeFrom="paragraph">
                  <wp:posOffset>127396</wp:posOffset>
                </wp:positionV>
                <wp:extent cx="3365500" cy="825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365500" cy="8255"/>
                        </a:xfrm>
                        <a:custGeom>
                          <a:avLst/>
                          <a:gdLst/>
                          <a:ahLst/>
                          <a:cxnLst/>
                          <a:rect l="l" t="t" r="r" b="b"/>
                          <a:pathLst>
                            <a:path w="3365500" h="8255">
                              <a:moveTo>
                                <a:pt x="0" y="0"/>
                              </a:moveTo>
                              <a:lnTo>
                                <a:pt x="3364972" y="0"/>
                              </a:lnTo>
                              <a:lnTo>
                                <a:pt x="3364972"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31211pt;width:264.958447pt;height:.636919pt;mso-position-horizontal-relative:page;mso-position-vertical-relative:paragraph;z-index:15784448" id="docshape149" filled="true" fillcolor="#000000" stroked="false">
                <v:fill type="solid"/>
                <w10:wrap type="none"/>
              </v:rect>
            </w:pict>
          </mc:Fallback>
        </mc:AlternateContent>
      </w:r>
      <w:r>
        <w:rPr>
          <w:w w:val="105"/>
        </w:rPr>
        <w:t>/s/Daniel P. Huttenlocher</w:t>
      </w:r>
      <w:r>
        <w:rPr/>
        <w:tab/>
      </w:r>
      <w:r>
        <w:rPr>
          <w:spacing w:val="-4"/>
          <w:w w:val="105"/>
        </w:rPr>
        <w:t>Director</w:t>
      </w:r>
      <w:r>
        <w:rPr>
          <w:w w:val="105"/>
        </w:rPr>
        <w:t> Daniel P. Huttenlocher</w:t>
      </w:r>
    </w:p>
    <w:p>
      <w:pPr>
        <w:pStyle w:val="BodyText"/>
        <w:spacing w:before="6"/>
      </w:pPr>
    </w:p>
    <w:p>
      <w:pPr>
        <w:pStyle w:val="BodyText"/>
        <w:tabs>
          <w:tab w:pos="5672" w:val="left" w:leader="none"/>
        </w:tabs>
        <w:ind w:left="2115"/>
      </w:pPr>
      <w:r>
        <w:rPr/>
        <mc:AlternateContent>
          <mc:Choice Requires="wps">
            <w:drawing>
              <wp:anchor distT="0" distB="0" distL="0" distR="0" allowOverlap="1" layoutInCell="1" locked="0" behindDoc="1" simplePos="0" relativeHeight="487639040">
                <wp:simplePos x="0" y="0"/>
                <wp:positionH relativeFrom="page">
                  <wp:posOffset>226488</wp:posOffset>
                </wp:positionH>
                <wp:positionV relativeFrom="paragraph">
                  <wp:posOffset>127392</wp:posOffset>
                </wp:positionV>
                <wp:extent cx="3365500" cy="8255"/>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3365500" cy="8255"/>
                        </a:xfrm>
                        <a:custGeom>
                          <a:avLst/>
                          <a:gdLst/>
                          <a:ahLst/>
                          <a:cxnLst/>
                          <a:rect l="l" t="t" r="r" b="b"/>
                          <a:pathLst>
                            <a:path w="3365500" h="8255">
                              <a:moveTo>
                                <a:pt x="0" y="0"/>
                              </a:moveTo>
                              <a:lnTo>
                                <a:pt x="3364972" y="0"/>
                              </a:lnTo>
                              <a:lnTo>
                                <a:pt x="3364972"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30882pt;width:264.958447pt;height:.636919pt;mso-position-horizontal-relative:page;mso-position-vertical-relative:paragraph;z-index:-15677440;mso-wrap-distance-left:0;mso-wrap-distance-right:0" id="docshape150" filled="true" fillcolor="#000000" stroked="false">
                <v:fill type="solid"/>
                <w10:wrap type="topAndBottom"/>
              </v:rect>
            </w:pict>
          </mc:Fallback>
        </mc:AlternateContent>
      </w:r>
      <w:r>
        <w:rPr>
          <w:w w:val="105"/>
        </w:rPr>
        <w:t>/s/</w:t>
      </w:r>
      <w:r>
        <w:rPr>
          <w:spacing w:val="-6"/>
          <w:w w:val="105"/>
        </w:rPr>
        <w:t> </w:t>
      </w:r>
      <w:r>
        <w:rPr>
          <w:w w:val="105"/>
        </w:rPr>
        <w:t>Kurt</w:t>
      </w:r>
      <w:r>
        <w:rPr>
          <w:spacing w:val="-5"/>
          <w:w w:val="105"/>
        </w:rPr>
        <w:t> </w:t>
      </w:r>
      <w:r>
        <w:rPr>
          <w:w w:val="105"/>
        </w:rPr>
        <w:t>M.</w:t>
      </w:r>
      <w:r>
        <w:rPr>
          <w:spacing w:val="-5"/>
          <w:w w:val="105"/>
        </w:rPr>
        <w:t> </w:t>
      </w:r>
      <w:r>
        <w:rPr>
          <w:spacing w:val="-2"/>
          <w:w w:val="105"/>
        </w:rPr>
        <w:t>Landgraf</w:t>
      </w:r>
      <w:r>
        <w:rPr/>
        <w:tab/>
      </w:r>
      <w:r>
        <w:rPr>
          <w:spacing w:val="-2"/>
          <w:w w:val="105"/>
        </w:rPr>
        <w:t>Director</w:t>
      </w:r>
    </w:p>
    <w:p>
      <w:pPr>
        <w:pStyle w:val="BodyText"/>
        <w:spacing w:before="3"/>
        <w:ind w:left="2215"/>
      </w:pPr>
      <w:r>
        <w:rPr>
          <w:w w:val="105"/>
        </w:rPr>
        <w:t>Kurt</w:t>
      </w:r>
      <w:r>
        <w:rPr>
          <w:spacing w:val="-6"/>
          <w:w w:val="105"/>
        </w:rPr>
        <w:t> </w:t>
      </w:r>
      <w:r>
        <w:rPr>
          <w:w w:val="105"/>
        </w:rPr>
        <w:t>M.</w:t>
      </w:r>
      <w:r>
        <w:rPr>
          <w:spacing w:val="-6"/>
          <w:w w:val="105"/>
        </w:rPr>
        <w:t> </w:t>
      </w:r>
      <w:r>
        <w:rPr>
          <w:spacing w:val="-2"/>
          <w:w w:val="105"/>
        </w:rPr>
        <w:t>Landgraf</w:t>
      </w:r>
    </w:p>
    <w:p>
      <w:pPr>
        <w:pStyle w:val="BodyText"/>
        <w:spacing w:before="40"/>
      </w:pPr>
    </w:p>
    <w:p>
      <w:pPr>
        <w:pStyle w:val="BodyText"/>
        <w:tabs>
          <w:tab w:pos="5672" w:val="left" w:leader="none"/>
        </w:tabs>
        <w:ind w:left="2184"/>
      </w:pPr>
      <w:r>
        <w:rPr/>
        <mc:AlternateContent>
          <mc:Choice Requires="wps">
            <w:drawing>
              <wp:anchor distT="0" distB="0" distL="0" distR="0" allowOverlap="1" layoutInCell="1" locked="0" behindDoc="1" simplePos="0" relativeHeight="487639552">
                <wp:simplePos x="0" y="0"/>
                <wp:positionH relativeFrom="page">
                  <wp:posOffset>226488</wp:posOffset>
                </wp:positionH>
                <wp:positionV relativeFrom="paragraph">
                  <wp:posOffset>127300</wp:posOffset>
                </wp:positionV>
                <wp:extent cx="3365500" cy="8255"/>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3365500" cy="8255"/>
                        </a:xfrm>
                        <a:custGeom>
                          <a:avLst/>
                          <a:gdLst/>
                          <a:ahLst/>
                          <a:cxnLst/>
                          <a:rect l="l" t="t" r="r" b="b"/>
                          <a:pathLst>
                            <a:path w="3365500" h="8255">
                              <a:moveTo>
                                <a:pt x="0" y="0"/>
                              </a:moveTo>
                              <a:lnTo>
                                <a:pt x="3364972" y="0"/>
                              </a:lnTo>
                              <a:lnTo>
                                <a:pt x="3364972"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23689pt;width:264.958447pt;height:.636919pt;mso-position-horizontal-relative:page;mso-position-vertical-relative:paragraph;z-index:-15676928;mso-wrap-distance-left:0;mso-wrap-distance-right:0" id="docshape151" filled="true" fillcolor="#000000" stroked="false">
                <v:fill type="solid"/>
                <w10:wrap type="topAndBottom"/>
              </v:rect>
            </w:pict>
          </mc:Fallback>
        </mc:AlternateContent>
      </w:r>
      <w:r>
        <w:rPr>
          <w:w w:val="105"/>
        </w:rPr>
        <w:t>/s/</w:t>
      </w:r>
      <w:r>
        <w:rPr>
          <w:spacing w:val="-6"/>
          <w:w w:val="105"/>
        </w:rPr>
        <w:t> </w:t>
      </w:r>
      <w:r>
        <w:rPr>
          <w:w w:val="105"/>
        </w:rPr>
        <w:t>Kevin</w:t>
      </w:r>
      <w:r>
        <w:rPr>
          <w:spacing w:val="-5"/>
          <w:w w:val="105"/>
        </w:rPr>
        <w:t> </w:t>
      </w:r>
      <w:r>
        <w:rPr>
          <w:w w:val="105"/>
        </w:rPr>
        <w:t>J.</w:t>
      </w:r>
      <w:r>
        <w:rPr>
          <w:spacing w:val="-5"/>
          <w:w w:val="105"/>
        </w:rPr>
        <w:t> </w:t>
      </w:r>
      <w:r>
        <w:rPr>
          <w:spacing w:val="-2"/>
          <w:w w:val="105"/>
        </w:rPr>
        <w:t>Martin</w:t>
      </w:r>
      <w:r>
        <w:rPr/>
        <w:tab/>
      </w:r>
      <w:r>
        <w:rPr>
          <w:spacing w:val="-2"/>
          <w:w w:val="105"/>
        </w:rPr>
        <w:t>Director</w:t>
      </w:r>
    </w:p>
    <w:p>
      <w:pPr>
        <w:pStyle w:val="BodyText"/>
        <w:spacing w:before="3"/>
        <w:ind w:left="2283"/>
      </w:pPr>
      <w:r>
        <w:rPr>
          <w:w w:val="105"/>
        </w:rPr>
        <w:t>Kevin</w:t>
      </w:r>
      <w:r>
        <w:rPr>
          <w:spacing w:val="-6"/>
          <w:w w:val="105"/>
        </w:rPr>
        <w:t> </w:t>
      </w:r>
      <w:r>
        <w:rPr>
          <w:w w:val="105"/>
        </w:rPr>
        <w:t>J.</w:t>
      </w:r>
      <w:r>
        <w:rPr>
          <w:spacing w:val="-6"/>
          <w:w w:val="105"/>
        </w:rPr>
        <w:t> </w:t>
      </w:r>
      <w:r>
        <w:rPr>
          <w:spacing w:val="-2"/>
          <w:w w:val="105"/>
        </w:rPr>
        <w:t>Martin</w:t>
      </w:r>
    </w:p>
    <w:p>
      <w:pPr>
        <w:pStyle w:val="BodyText"/>
        <w:spacing w:before="42"/>
      </w:pPr>
    </w:p>
    <w:p>
      <w:pPr>
        <w:pStyle w:val="BodyText"/>
        <w:tabs>
          <w:tab w:pos="5672" w:val="left" w:leader="none"/>
        </w:tabs>
        <w:spacing w:before="1" w:after="3"/>
        <w:ind w:left="2042"/>
      </w:pPr>
      <w:r>
        <w:rPr>
          <w:w w:val="105"/>
          <w:position w:val="1"/>
        </w:rPr>
        <w:t>/s/</w:t>
      </w:r>
      <w:r>
        <w:rPr>
          <w:spacing w:val="-7"/>
          <w:w w:val="105"/>
          <w:position w:val="1"/>
        </w:rPr>
        <w:t> </w:t>
      </w:r>
      <w:r>
        <w:rPr>
          <w:w w:val="105"/>
          <w:position w:val="1"/>
        </w:rPr>
        <w:t>Deborah</w:t>
      </w:r>
      <w:r>
        <w:rPr>
          <w:spacing w:val="-7"/>
          <w:w w:val="105"/>
          <w:position w:val="1"/>
        </w:rPr>
        <w:t> </w:t>
      </w:r>
      <w:r>
        <w:rPr>
          <w:w w:val="105"/>
          <w:position w:val="1"/>
        </w:rPr>
        <w:t>D.</w:t>
      </w:r>
      <w:r>
        <w:rPr>
          <w:spacing w:val="-7"/>
          <w:w w:val="105"/>
          <w:position w:val="1"/>
        </w:rPr>
        <w:t> </w:t>
      </w:r>
      <w:r>
        <w:rPr>
          <w:spacing w:val="-2"/>
          <w:w w:val="105"/>
          <w:position w:val="1"/>
        </w:rPr>
        <w:t>Rieman</w:t>
      </w:r>
      <w:r>
        <w:rPr>
          <w:position w:val="1"/>
        </w:rPr>
        <w:tab/>
      </w:r>
      <w:r>
        <w:rPr>
          <w:spacing w:val="-2"/>
          <w:w w:val="105"/>
        </w:rPr>
        <w:t>Director</w:t>
      </w:r>
    </w:p>
    <w:p>
      <w:pPr>
        <w:pStyle w:val="BodyText"/>
        <w:spacing w:line="20" w:lineRule="exact"/>
        <w:ind w:left="156"/>
        <w:rPr>
          <w:sz w:val="2"/>
        </w:rPr>
      </w:pPr>
      <w:r>
        <w:rPr>
          <w:sz w:val="2"/>
        </w:rPr>
        <mc:AlternateContent>
          <mc:Choice Requires="wps">
            <w:drawing>
              <wp:inline distT="0" distB="0" distL="0" distR="0">
                <wp:extent cx="3365500" cy="8255"/>
                <wp:effectExtent l="0" t="0" r="0" b="0"/>
                <wp:docPr id="153" name="Group 153"/>
                <wp:cNvGraphicFramePr>
                  <a:graphicFrameLocks/>
                </wp:cNvGraphicFramePr>
                <a:graphic>
                  <a:graphicData uri="http://schemas.microsoft.com/office/word/2010/wordprocessingGroup">
                    <wpg:wgp>
                      <wpg:cNvPr id="153" name="Group 153"/>
                      <wpg:cNvGrpSpPr/>
                      <wpg:grpSpPr>
                        <a:xfrm>
                          <a:off x="0" y="0"/>
                          <a:ext cx="3365500" cy="8255"/>
                          <a:chExt cx="3365500" cy="8255"/>
                        </a:xfrm>
                      </wpg:grpSpPr>
                      <wps:wsp>
                        <wps:cNvPr id="154" name="Graphic 154"/>
                        <wps:cNvSpPr/>
                        <wps:spPr>
                          <a:xfrm>
                            <a:off x="0" y="0"/>
                            <a:ext cx="3365500" cy="8255"/>
                          </a:xfrm>
                          <a:custGeom>
                            <a:avLst/>
                            <a:gdLst/>
                            <a:ahLst/>
                            <a:cxnLst/>
                            <a:rect l="l" t="t" r="r" b="b"/>
                            <a:pathLst>
                              <a:path w="3365500" h="8255">
                                <a:moveTo>
                                  <a:pt x="0" y="0"/>
                                </a:moveTo>
                                <a:lnTo>
                                  <a:pt x="3364972" y="0"/>
                                </a:lnTo>
                                <a:lnTo>
                                  <a:pt x="3364972"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pt;height:.65pt;mso-position-horizontal-relative:char;mso-position-vertical-relative:line" id="docshapegroup152" coordorigin="0,0" coordsize="5300,13">
                <v:rect style="position:absolute;left:0;top:0;width:5300;height:13" id="docshape153" filled="true" fillcolor="#000000" stroked="false">
                  <v:fill type="solid"/>
                </v:rect>
              </v:group>
            </w:pict>
          </mc:Fallback>
        </mc:AlternateContent>
      </w:r>
      <w:r>
        <w:rPr>
          <w:sz w:val="2"/>
        </w:rPr>
      </w:r>
    </w:p>
    <w:p>
      <w:pPr>
        <w:pStyle w:val="BodyText"/>
        <w:ind w:left="2141"/>
      </w:pPr>
      <w:r>
        <w:rPr>
          <w:w w:val="105"/>
        </w:rPr>
        <w:t>Deborah</w:t>
      </w:r>
      <w:r>
        <w:rPr>
          <w:spacing w:val="-9"/>
          <w:w w:val="105"/>
        </w:rPr>
        <w:t> </w:t>
      </w:r>
      <w:r>
        <w:rPr>
          <w:w w:val="105"/>
        </w:rPr>
        <w:t>D.</w:t>
      </w:r>
      <w:r>
        <w:rPr>
          <w:spacing w:val="-8"/>
          <w:w w:val="105"/>
        </w:rPr>
        <w:t> </w:t>
      </w:r>
      <w:r>
        <w:rPr>
          <w:spacing w:val="-2"/>
          <w:w w:val="105"/>
        </w:rPr>
        <w:t>Rieman</w:t>
      </w:r>
    </w:p>
    <w:p>
      <w:pPr>
        <w:pStyle w:val="BodyText"/>
        <w:spacing w:before="35"/>
      </w:pPr>
    </w:p>
    <w:p>
      <w:pPr>
        <w:pStyle w:val="BodyText"/>
        <w:tabs>
          <w:tab w:pos="5672" w:val="left" w:leader="none"/>
        </w:tabs>
        <w:spacing w:before="1"/>
        <w:ind w:left="2044"/>
      </w:pPr>
      <w:r>
        <w:rPr/>
        <mc:AlternateContent>
          <mc:Choice Requires="wps">
            <w:drawing>
              <wp:anchor distT="0" distB="0" distL="0" distR="0" allowOverlap="1" layoutInCell="1" locked="0" behindDoc="1" simplePos="0" relativeHeight="487640576">
                <wp:simplePos x="0" y="0"/>
                <wp:positionH relativeFrom="page">
                  <wp:posOffset>226488</wp:posOffset>
                </wp:positionH>
                <wp:positionV relativeFrom="paragraph">
                  <wp:posOffset>127769</wp:posOffset>
                </wp:positionV>
                <wp:extent cx="3365500" cy="8255"/>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3365500" cy="8255"/>
                        </a:xfrm>
                        <a:custGeom>
                          <a:avLst/>
                          <a:gdLst/>
                          <a:ahLst/>
                          <a:cxnLst/>
                          <a:rect l="l" t="t" r="r" b="b"/>
                          <a:pathLst>
                            <a:path w="3365500" h="8255">
                              <a:moveTo>
                                <a:pt x="0" y="0"/>
                              </a:moveTo>
                              <a:lnTo>
                                <a:pt x="3364972" y="0"/>
                              </a:lnTo>
                              <a:lnTo>
                                <a:pt x="3364972"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60608pt;width:264.958447pt;height:.636919pt;mso-position-horizontal-relative:page;mso-position-vertical-relative:paragraph;z-index:-15675904;mso-wrap-distance-left:0;mso-wrap-distance-right:0" id="docshape154" filled="true" fillcolor="#000000" stroked="false">
                <v:fill type="solid"/>
                <w10:wrap type="topAndBottom"/>
              </v:rect>
            </w:pict>
          </mc:Fallback>
        </mc:AlternateContent>
      </w:r>
      <w:r>
        <w:rPr>
          <w:w w:val="105"/>
        </w:rPr>
        <w:t>/s/</w:t>
      </w:r>
      <w:r>
        <w:rPr>
          <w:spacing w:val="-9"/>
          <w:w w:val="105"/>
        </w:rPr>
        <w:t> </w:t>
      </w:r>
      <w:r>
        <w:rPr>
          <w:w w:val="105"/>
        </w:rPr>
        <w:t>Hansel</w:t>
      </w:r>
      <w:r>
        <w:rPr>
          <w:spacing w:val="-8"/>
          <w:w w:val="105"/>
        </w:rPr>
        <w:t> </w:t>
      </w:r>
      <w:r>
        <w:rPr>
          <w:w w:val="105"/>
        </w:rPr>
        <w:t>E.</w:t>
      </w:r>
      <w:r>
        <w:rPr>
          <w:spacing w:val="-8"/>
          <w:w w:val="105"/>
        </w:rPr>
        <w:t> </w:t>
      </w:r>
      <w:r>
        <w:rPr>
          <w:w w:val="105"/>
        </w:rPr>
        <w:t>Tookes</w:t>
      </w:r>
      <w:r>
        <w:rPr>
          <w:spacing w:val="-9"/>
          <w:w w:val="105"/>
        </w:rPr>
        <w:t> </w:t>
      </w:r>
      <w:r>
        <w:rPr>
          <w:spacing w:val="-5"/>
          <w:w w:val="105"/>
        </w:rPr>
        <w:t>II</w:t>
      </w:r>
      <w:r>
        <w:rPr/>
        <w:tab/>
      </w:r>
      <w:r>
        <w:rPr>
          <w:spacing w:val="-2"/>
          <w:w w:val="105"/>
        </w:rPr>
        <w:t>Director</w:t>
      </w:r>
    </w:p>
    <w:p>
      <w:pPr>
        <w:pStyle w:val="BodyText"/>
        <w:spacing w:before="3"/>
        <w:ind w:left="2143"/>
      </w:pPr>
      <w:r>
        <w:rPr>
          <w:w w:val="105"/>
        </w:rPr>
        <w:t>Hansel</w:t>
      </w:r>
      <w:r>
        <w:rPr>
          <w:spacing w:val="-10"/>
          <w:w w:val="105"/>
        </w:rPr>
        <w:t> </w:t>
      </w:r>
      <w:r>
        <w:rPr>
          <w:w w:val="105"/>
        </w:rPr>
        <w:t>E.</w:t>
      </w:r>
      <w:r>
        <w:rPr>
          <w:spacing w:val="-10"/>
          <w:w w:val="105"/>
        </w:rPr>
        <w:t> </w:t>
      </w:r>
      <w:r>
        <w:rPr>
          <w:w w:val="105"/>
        </w:rPr>
        <w:t>Tookes</w:t>
      </w:r>
      <w:r>
        <w:rPr>
          <w:spacing w:val="-10"/>
          <w:w w:val="105"/>
        </w:rPr>
        <w:t> </w:t>
      </w:r>
      <w:r>
        <w:rPr>
          <w:spacing w:val="-5"/>
          <w:w w:val="105"/>
        </w:rPr>
        <w:t>II</w:t>
      </w:r>
    </w:p>
    <w:p>
      <w:pPr>
        <w:pStyle w:val="BodyText"/>
        <w:spacing w:before="40"/>
      </w:pPr>
    </w:p>
    <w:p>
      <w:pPr>
        <w:pStyle w:val="BodyText"/>
        <w:tabs>
          <w:tab w:pos="5672" w:val="left" w:leader="none"/>
        </w:tabs>
        <w:ind w:left="2102"/>
      </w:pPr>
      <w:r>
        <w:rPr/>
        <mc:AlternateContent>
          <mc:Choice Requires="wps">
            <w:drawing>
              <wp:anchor distT="0" distB="0" distL="0" distR="0" allowOverlap="1" layoutInCell="1" locked="0" behindDoc="1" simplePos="0" relativeHeight="487641088">
                <wp:simplePos x="0" y="0"/>
                <wp:positionH relativeFrom="page">
                  <wp:posOffset>226488</wp:posOffset>
                </wp:positionH>
                <wp:positionV relativeFrom="paragraph">
                  <wp:posOffset>127300</wp:posOffset>
                </wp:positionV>
                <wp:extent cx="3365500" cy="8255"/>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3365500" cy="8255"/>
                        </a:xfrm>
                        <a:custGeom>
                          <a:avLst/>
                          <a:gdLst/>
                          <a:ahLst/>
                          <a:cxnLst/>
                          <a:rect l="l" t="t" r="r" b="b"/>
                          <a:pathLst>
                            <a:path w="3365500" h="8255">
                              <a:moveTo>
                                <a:pt x="0" y="0"/>
                              </a:moveTo>
                              <a:lnTo>
                                <a:pt x="3364972" y="0"/>
                              </a:lnTo>
                              <a:lnTo>
                                <a:pt x="3364972"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23689pt;width:264.958447pt;height:.636919pt;mso-position-horizontal-relative:page;mso-position-vertical-relative:paragraph;z-index:-15675392;mso-wrap-distance-left:0;mso-wrap-distance-right:0" id="docshape155" filled="true" fillcolor="#000000" stroked="false">
                <v:fill type="solid"/>
                <w10:wrap type="topAndBottom"/>
              </v:rect>
            </w:pict>
          </mc:Fallback>
        </mc:AlternateContent>
      </w:r>
      <w:r>
        <w:rPr>
          <w:w w:val="105"/>
        </w:rPr>
        <w:t>/s/</w:t>
      </w:r>
      <w:r>
        <w:rPr>
          <w:spacing w:val="-6"/>
          <w:w w:val="105"/>
        </w:rPr>
        <w:t> </w:t>
      </w:r>
      <w:r>
        <w:rPr>
          <w:w w:val="105"/>
        </w:rPr>
        <w:t>Mark</w:t>
      </w:r>
      <w:r>
        <w:rPr>
          <w:spacing w:val="-5"/>
          <w:w w:val="105"/>
        </w:rPr>
        <w:t> </w:t>
      </w:r>
      <w:r>
        <w:rPr>
          <w:w w:val="105"/>
        </w:rPr>
        <w:t>S.</w:t>
      </w:r>
      <w:r>
        <w:rPr>
          <w:spacing w:val="-5"/>
          <w:w w:val="105"/>
        </w:rPr>
        <w:t> </w:t>
      </w:r>
      <w:r>
        <w:rPr>
          <w:spacing w:val="-2"/>
          <w:w w:val="105"/>
        </w:rPr>
        <w:t>Wrighton</w:t>
      </w:r>
      <w:r>
        <w:rPr/>
        <w:tab/>
      </w:r>
      <w:r>
        <w:rPr>
          <w:spacing w:val="-2"/>
          <w:w w:val="105"/>
        </w:rPr>
        <w:t>Director</w:t>
      </w:r>
    </w:p>
    <w:p>
      <w:pPr>
        <w:pStyle w:val="BodyText"/>
        <w:spacing w:before="3"/>
        <w:ind w:left="2201"/>
      </w:pPr>
      <w:r>
        <w:rPr>
          <w:w w:val="105"/>
        </w:rPr>
        <w:t>Mark</w:t>
      </w:r>
      <w:r>
        <w:rPr>
          <w:spacing w:val="-6"/>
          <w:w w:val="105"/>
        </w:rPr>
        <w:t> </w:t>
      </w:r>
      <w:r>
        <w:rPr>
          <w:w w:val="105"/>
        </w:rPr>
        <w:t>S.</w:t>
      </w:r>
      <w:r>
        <w:rPr>
          <w:spacing w:val="-6"/>
          <w:w w:val="105"/>
        </w:rPr>
        <w:t> </w:t>
      </w:r>
      <w:r>
        <w:rPr>
          <w:spacing w:val="-2"/>
          <w:w w:val="105"/>
        </w:rPr>
        <w:t>Wrighton</w:t>
      </w:r>
    </w:p>
    <w:p>
      <w:pPr>
        <w:pStyle w:val="BodyText"/>
        <w:spacing w:before="40"/>
      </w:pPr>
    </w:p>
    <w:p>
      <w:pPr>
        <w:pStyle w:val="BodyText"/>
        <w:ind w:left="48"/>
        <w:jc w:val="center"/>
      </w:pPr>
      <w:r>
        <w:rPr>
          <w:spacing w:val="-5"/>
          <w:w w:val="105"/>
        </w:rPr>
        <w:t>61</w:t>
      </w:r>
    </w:p>
    <w:p>
      <w:pPr>
        <w:pStyle w:val="BodyText"/>
        <w:spacing w:before="11"/>
        <w:rPr>
          <w:sz w:val="5"/>
        </w:rPr>
      </w:pPr>
      <w:r>
        <w:rPr/>
        <mc:AlternateContent>
          <mc:Choice Requires="wps">
            <w:drawing>
              <wp:anchor distT="0" distB="0" distL="0" distR="0" allowOverlap="1" layoutInCell="1" locked="0" behindDoc="1" simplePos="0" relativeHeight="487641600">
                <wp:simplePos x="0" y="0"/>
                <wp:positionH relativeFrom="page">
                  <wp:posOffset>226488</wp:posOffset>
                </wp:positionH>
                <wp:positionV relativeFrom="paragraph">
                  <wp:posOffset>58734</wp:posOffset>
                </wp:positionV>
                <wp:extent cx="7312659" cy="16510"/>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74880;mso-wrap-distance-left:0;mso-wrap-distance-right:0" id="docshape156"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pPr>
    </w:p>
    <w:p>
      <w:pPr>
        <w:pStyle w:val="BodyText"/>
        <w:spacing w:before="58"/>
      </w:pPr>
    </w:p>
    <w:p>
      <w:pPr>
        <w:spacing w:line="266" w:lineRule="auto" w:before="0"/>
        <w:ind w:left="4995" w:right="4944" w:firstLine="0"/>
        <w:jc w:val="center"/>
        <w:rPr>
          <w:b/>
          <w:sz w:val="16"/>
        </w:rPr>
      </w:pPr>
      <w:bookmarkStart w:name="_bookmark1" w:id="2"/>
      <w:bookmarkEnd w:id="2"/>
      <w:r>
        <w:rPr/>
      </w:r>
      <w:r>
        <w:rPr>
          <w:b/>
          <w:spacing w:val="-2"/>
          <w:w w:val="105"/>
          <w:sz w:val="16"/>
        </w:rPr>
        <w:t>Corning</w:t>
      </w:r>
      <w:r>
        <w:rPr>
          <w:b/>
          <w:spacing w:val="-9"/>
          <w:w w:val="105"/>
          <w:sz w:val="16"/>
        </w:rPr>
        <w:t> </w:t>
      </w:r>
      <w:r>
        <w:rPr>
          <w:b/>
          <w:spacing w:val="-2"/>
          <w:w w:val="105"/>
          <w:sz w:val="16"/>
        </w:rPr>
        <w:t>Incorporated</w:t>
      </w:r>
      <w:r>
        <w:rPr>
          <w:b/>
          <w:w w:val="105"/>
          <w:sz w:val="16"/>
        </w:rPr>
        <w:t> 2021 Annual Report</w:t>
      </w:r>
    </w:p>
    <w:p>
      <w:pPr>
        <w:spacing w:line="183" w:lineRule="exact" w:before="0"/>
        <w:ind w:left="48" w:right="0" w:firstLine="0"/>
        <w:jc w:val="center"/>
        <w:rPr>
          <w:b/>
          <w:sz w:val="16"/>
        </w:rPr>
      </w:pPr>
      <w:r>
        <w:rPr>
          <w:b/>
          <w:w w:val="105"/>
          <w:sz w:val="16"/>
        </w:rPr>
        <w:t>Index</w:t>
      </w:r>
      <w:r>
        <w:rPr>
          <w:b/>
          <w:spacing w:val="-9"/>
          <w:w w:val="105"/>
          <w:sz w:val="16"/>
        </w:rPr>
        <w:t> </w:t>
      </w:r>
      <w:r>
        <w:rPr>
          <w:b/>
          <w:w w:val="105"/>
          <w:sz w:val="16"/>
        </w:rPr>
        <w:t>to</w:t>
      </w:r>
      <w:r>
        <w:rPr>
          <w:b/>
          <w:spacing w:val="-9"/>
          <w:w w:val="105"/>
          <w:sz w:val="16"/>
        </w:rPr>
        <w:t> </w:t>
      </w:r>
      <w:r>
        <w:rPr>
          <w:b/>
          <w:w w:val="105"/>
          <w:sz w:val="16"/>
        </w:rPr>
        <w:t>Financial</w:t>
      </w:r>
      <w:r>
        <w:rPr>
          <w:b/>
          <w:spacing w:val="-9"/>
          <w:w w:val="105"/>
          <w:sz w:val="16"/>
        </w:rPr>
        <w:t> </w:t>
      </w:r>
      <w:r>
        <w:rPr>
          <w:b/>
          <w:spacing w:val="-2"/>
          <w:w w:val="105"/>
          <w:sz w:val="16"/>
        </w:rPr>
        <w:t>Statements</w:t>
      </w:r>
    </w:p>
    <w:p>
      <w:pPr>
        <w:pStyle w:val="BodyText"/>
        <w:spacing w:before="65"/>
        <w:rPr>
          <w:b/>
        </w:rPr>
      </w:pPr>
    </w:p>
    <w:p>
      <w:pPr>
        <w:spacing w:before="0"/>
        <w:ind w:left="11306" w:right="0" w:firstLine="0"/>
        <w:jc w:val="left"/>
        <w:rPr>
          <w:b/>
          <w:sz w:val="16"/>
        </w:rPr>
      </w:pPr>
      <w:r>
        <w:rPr>
          <w:b/>
          <w:spacing w:val="-4"/>
          <w:w w:val="105"/>
          <w:sz w:val="16"/>
        </w:rPr>
        <w:t>Page</w:t>
      </w:r>
    </w:p>
    <w:sdt>
      <w:sdtPr>
        <w:docPartObj>
          <w:docPartGallery w:val="Table of Contents"/>
          <w:docPartUnique/>
        </w:docPartObj>
      </w:sdtPr>
      <w:sdtEndPr/>
      <w:sdtContent>
        <w:p>
          <w:pPr>
            <w:pStyle w:val="TOC2"/>
            <w:tabs>
              <w:tab w:pos="11646" w:val="right" w:leader="none"/>
            </w:tabs>
            <w:rPr>
              <w:u w:val="none"/>
            </w:rPr>
          </w:pPr>
          <w:hyperlink w:history="true" w:anchor="_bookmark2">
            <w:r>
              <w:rPr>
                <w:color w:val="0000FF"/>
                <w:u w:val="single" w:color="0000FF"/>
              </w:rPr>
              <w:t>Report</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Independent</w:t>
            </w:r>
            <w:r>
              <w:rPr>
                <w:color w:val="0000FF"/>
                <w:spacing w:val="12"/>
                <w:u w:val="single" w:color="0000FF"/>
              </w:rPr>
              <w:t> </w:t>
            </w:r>
            <w:r>
              <w:rPr>
                <w:color w:val="0000FF"/>
                <w:u w:val="single" w:color="0000FF"/>
              </w:rPr>
              <w:t>Registered</w:t>
            </w:r>
            <w:r>
              <w:rPr>
                <w:color w:val="0000FF"/>
                <w:spacing w:val="12"/>
                <w:u w:val="single" w:color="0000FF"/>
              </w:rPr>
              <w:t> </w:t>
            </w:r>
            <w:r>
              <w:rPr>
                <w:color w:val="0000FF"/>
                <w:u w:val="single" w:color="0000FF"/>
              </w:rPr>
              <w:t>Public</w:t>
            </w:r>
            <w:r>
              <w:rPr>
                <w:color w:val="0000FF"/>
                <w:spacing w:val="13"/>
                <w:u w:val="single" w:color="0000FF"/>
              </w:rPr>
              <w:t> </w:t>
            </w:r>
            <w:r>
              <w:rPr>
                <w:color w:val="0000FF"/>
                <w:u w:val="single" w:color="0000FF"/>
              </w:rPr>
              <w:t>Accounting</w:t>
            </w:r>
            <w:r>
              <w:rPr>
                <w:color w:val="0000FF"/>
                <w:spacing w:val="12"/>
                <w:u w:val="single" w:color="0000FF"/>
              </w:rPr>
              <w:t> </w:t>
            </w:r>
            <w:r>
              <w:rPr>
                <w:color w:val="0000FF"/>
                <w:u w:val="single" w:color="0000FF"/>
              </w:rPr>
              <w:t>Firm</w:t>
            </w:r>
          </w:hyperlink>
          <w:r>
            <w:rPr>
              <w:color w:val="0000FF"/>
              <w:spacing w:val="39"/>
              <w:u w:val="none"/>
            </w:rPr>
            <w:t>  </w:t>
          </w:r>
          <w:r>
            <w:rPr>
              <w:u w:val="none"/>
            </w:rPr>
            <w:t>(PCAOB</w:t>
          </w:r>
          <w:r>
            <w:rPr>
              <w:spacing w:val="12"/>
              <w:u w:val="none"/>
            </w:rPr>
            <w:t> </w:t>
          </w:r>
          <w:r>
            <w:rPr>
              <w:u w:val="none"/>
            </w:rPr>
            <w:t>ID</w:t>
          </w:r>
          <w:r>
            <w:rPr>
              <w:spacing w:val="12"/>
              <w:u w:val="none"/>
            </w:rPr>
            <w:t> </w:t>
          </w:r>
          <w:r>
            <w:rPr>
              <w:spacing w:val="-4"/>
              <w:u w:val="none"/>
            </w:rPr>
            <w:t>238)</w:t>
          </w:r>
          <w:r>
            <w:rPr>
              <w:u w:val="none"/>
            </w:rPr>
            <w:tab/>
          </w:r>
          <w:hyperlink w:history="true" w:anchor="_bookmark2">
            <w:r>
              <w:rPr>
                <w:color w:val="0000FF"/>
                <w:spacing w:val="-5"/>
                <w:u w:val="single" w:color="0000FF"/>
              </w:rPr>
              <w:t>63</w:t>
            </w:r>
          </w:hyperlink>
        </w:p>
        <w:p>
          <w:pPr>
            <w:pStyle w:val="TOC2"/>
            <w:tabs>
              <w:tab w:pos="11646" w:val="right" w:leader="none"/>
            </w:tabs>
            <w:rPr>
              <w:u w:val="none"/>
            </w:rPr>
          </w:pPr>
          <w:hyperlink w:history="true" w:anchor="_bookmark3">
            <w:r>
              <w:rPr>
                <w:color w:val="0000FF"/>
                <w:u w:val="single" w:color="0000FF"/>
              </w:rPr>
              <w:t>Consolidated</w:t>
            </w:r>
            <w:r>
              <w:rPr>
                <w:color w:val="0000FF"/>
                <w:spacing w:val="14"/>
                <w:u w:val="single" w:color="0000FF"/>
              </w:rPr>
              <w:t> </w:t>
            </w:r>
            <w:r>
              <w:rPr>
                <w:color w:val="0000FF"/>
                <w:u w:val="single" w:color="0000FF"/>
              </w:rPr>
              <w:t>Statements</w:t>
            </w:r>
            <w:r>
              <w:rPr>
                <w:color w:val="0000FF"/>
                <w:spacing w:val="15"/>
                <w:u w:val="single" w:color="0000FF"/>
              </w:rPr>
              <w:t> </w:t>
            </w:r>
            <w:r>
              <w:rPr>
                <w:color w:val="0000FF"/>
                <w:u w:val="single" w:color="0000FF"/>
              </w:rPr>
              <w:t>of</w:t>
            </w:r>
            <w:r>
              <w:rPr>
                <w:color w:val="0000FF"/>
                <w:spacing w:val="15"/>
                <w:u w:val="single" w:color="0000FF"/>
              </w:rPr>
              <w:t> </w:t>
            </w:r>
            <w:r>
              <w:rPr>
                <w:color w:val="0000FF"/>
                <w:spacing w:val="-2"/>
                <w:u w:val="single" w:color="0000FF"/>
              </w:rPr>
              <w:t>Income</w:t>
            </w:r>
          </w:hyperlink>
          <w:r>
            <w:rPr>
              <w:color w:val="0000FF"/>
              <w:u w:val="none"/>
            </w:rPr>
            <w:tab/>
          </w:r>
          <w:hyperlink w:history="true" w:anchor="_bookmark3">
            <w:r>
              <w:rPr>
                <w:color w:val="0000FF"/>
                <w:spacing w:val="-5"/>
                <w:u w:val="single" w:color="0000FF"/>
              </w:rPr>
              <w:t>65</w:t>
            </w:r>
          </w:hyperlink>
        </w:p>
        <w:p>
          <w:pPr>
            <w:pStyle w:val="TOC2"/>
            <w:tabs>
              <w:tab w:pos="11646" w:val="right" w:leader="none"/>
            </w:tabs>
            <w:spacing w:before="70"/>
            <w:rPr>
              <w:u w:val="none"/>
            </w:rPr>
          </w:pPr>
          <w:hyperlink w:history="true" w:anchor="_bookmark4">
            <w:r>
              <w:rPr>
                <w:color w:val="0000FF"/>
                <w:u w:val="single" w:color="0000FF"/>
              </w:rPr>
              <w:t>Consolidated</w:t>
            </w:r>
            <w:r>
              <w:rPr>
                <w:color w:val="0000FF"/>
                <w:spacing w:val="19"/>
                <w:u w:val="single" w:color="0000FF"/>
              </w:rPr>
              <w:t> </w:t>
            </w:r>
            <w:r>
              <w:rPr>
                <w:color w:val="0000FF"/>
                <w:u w:val="single" w:color="0000FF"/>
              </w:rPr>
              <w:t>Statements</w:t>
            </w:r>
            <w:r>
              <w:rPr>
                <w:color w:val="0000FF"/>
                <w:spacing w:val="19"/>
                <w:u w:val="single" w:color="0000FF"/>
              </w:rPr>
              <w:t> </w:t>
            </w:r>
            <w:r>
              <w:rPr>
                <w:color w:val="0000FF"/>
                <w:u w:val="single" w:color="0000FF"/>
              </w:rPr>
              <w:t>of</w:t>
            </w:r>
            <w:r>
              <w:rPr>
                <w:color w:val="0000FF"/>
                <w:spacing w:val="20"/>
                <w:u w:val="single" w:color="0000FF"/>
              </w:rPr>
              <w:t> </w:t>
            </w:r>
            <w:r>
              <w:rPr>
                <w:color w:val="0000FF"/>
                <w:u w:val="single" w:color="0000FF"/>
              </w:rPr>
              <w:t>Comprehensive</w:t>
            </w:r>
            <w:r>
              <w:rPr>
                <w:color w:val="0000FF"/>
                <w:spacing w:val="19"/>
                <w:u w:val="single" w:color="0000FF"/>
              </w:rPr>
              <w:t> </w:t>
            </w:r>
            <w:r>
              <w:rPr>
                <w:color w:val="0000FF"/>
                <w:spacing w:val="-2"/>
                <w:u w:val="single" w:color="0000FF"/>
              </w:rPr>
              <w:t>Income</w:t>
            </w:r>
          </w:hyperlink>
          <w:r>
            <w:rPr>
              <w:color w:val="0000FF"/>
              <w:u w:val="none"/>
            </w:rPr>
            <w:tab/>
          </w:r>
          <w:hyperlink w:history="true" w:anchor="_bookmark4">
            <w:r>
              <w:rPr>
                <w:color w:val="0000FF"/>
                <w:spacing w:val="-5"/>
                <w:u w:val="single" w:color="0000FF"/>
              </w:rPr>
              <w:t>66</w:t>
            </w:r>
          </w:hyperlink>
        </w:p>
        <w:p>
          <w:pPr>
            <w:pStyle w:val="TOC2"/>
            <w:tabs>
              <w:tab w:pos="11646" w:val="right" w:leader="none"/>
            </w:tabs>
            <w:rPr>
              <w:u w:val="none"/>
            </w:rPr>
          </w:pPr>
          <w:hyperlink w:history="true" w:anchor="_bookmark5">
            <w:r>
              <w:rPr>
                <w:color w:val="0000FF"/>
                <w:u w:val="single" w:color="0000FF"/>
              </w:rPr>
              <w:t>Consolidated</w:t>
            </w:r>
            <w:r>
              <w:rPr>
                <w:color w:val="0000FF"/>
                <w:spacing w:val="21"/>
                <w:u w:val="single" w:color="0000FF"/>
              </w:rPr>
              <w:t> </w:t>
            </w:r>
            <w:r>
              <w:rPr>
                <w:color w:val="0000FF"/>
                <w:u w:val="single" w:color="0000FF"/>
              </w:rPr>
              <w:t>Balance</w:t>
            </w:r>
            <w:r>
              <w:rPr>
                <w:color w:val="0000FF"/>
                <w:spacing w:val="21"/>
                <w:u w:val="single" w:color="0000FF"/>
              </w:rPr>
              <w:t> </w:t>
            </w:r>
            <w:r>
              <w:rPr>
                <w:color w:val="0000FF"/>
                <w:spacing w:val="-2"/>
                <w:u w:val="single" w:color="0000FF"/>
              </w:rPr>
              <w:t>Sheets</w:t>
            </w:r>
          </w:hyperlink>
          <w:r>
            <w:rPr>
              <w:color w:val="0000FF"/>
              <w:u w:val="none"/>
            </w:rPr>
            <w:tab/>
          </w:r>
          <w:hyperlink w:history="true" w:anchor="_bookmark5">
            <w:r>
              <w:rPr>
                <w:color w:val="0000FF"/>
                <w:spacing w:val="-5"/>
                <w:u w:val="single" w:color="0000FF"/>
              </w:rPr>
              <w:t>67</w:t>
            </w:r>
          </w:hyperlink>
        </w:p>
        <w:p>
          <w:pPr>
            <w:pStyle w:val="TOC2"/>
            <w:tabs>
              <w:tab w:pos="11646" w:val="right" w:leader="none"/>
            </w:tabs>
            <w:rPr>
              <w:u w:val="none"/>
            </w:rPr>
          </w:pPr>
          <w:hyperlink w:history="true" w:anchor="_bookmark6">
            <w:r>
              <w:rPr>
                <w:color w:val="0000FF"/>
                <w:u w:val="single" w:color="0000FF"/>
              </w:rPr>
              <w:t>Consolidated</w:t>
            </w:r>
            <w:r>
              <w:rPr>
                <w:color w:val="0000FF"/>
                <w:spacing w:val="11"/>
                <w:u w:val="single" w:color="0000FF"/>
              </w:rPr>
              <w:t> </w:t>
            </w:r>
            <w:r>
              <w:rPr>
                <w:color w:val="0000FF"/>
                <w:u w:val="single" w:color="0000FF"/>
              </w:rPr>
              <w:t>Statements</w:t>
            </w:r>
            <w:r>
              <w:rPr>
                <w:color w:val="0000FF"/>
                <w:spacing w:val="14"/>
                <w:u w:val="single" w:color="0000FF"/>
              </w:rPr>
              <w:t> </w:t>
            </w:r>
            <w:r>
              <w:rPr>
                <w:color w:val="0000FF"/>
                <w:u w:val="single" w:color="0000FF"/>
              </w:rPr>
              <w:t>of</w:t>
            </w:r>
            <w:r>
              <w:rPr>
                <w:color w:val="0000FF"/>
                <w:spacing w:val="14"/>
                <w:u w:val="single" w:color="0000FF"/>
              </w:rPr>
              <w:t> </w:t>
            </w:r>
            <w:r>
              <w:rPr>
                <w:color w:val="0000FF"/>
                <w:u w:val="single" w:color="0000FF"/>
              </w:rPr>
              <w:t>Cash</w:t>
            </w:r>
            <w:r>
              <w:rPr>
                <w:color w:val="0000FF"/>
                <w:spacing w:val="14"/>
                <w:u w:val="single" w:color="0000FF"/>
              </w:rPr>
              <w:t> </w:t>
            </w:r>
            <w:r>
              <w:rPr>
                <w:color w:val="0000FF"/>
                <w:spacing w:val="-2"/>
                <w:u w:val="single" w:color="0000FF"/>
              </w:rPr>
              <w:t>Flows</w:t>
            </w:r>
          </w:hyperlink>
          <w:r>
            <w:rPr>
              <w:color w:val="0000FF"/>
              <w:u w:val="none"/>
            </w:rPr>
            <w:tab/>
          </w:r>
          <w:hyperlink w:history="true" w:anchor="_bookmark6">
            <w:r>
              <w:rPr>
                <w:color w:val="0000FF"/>
                <w:spacing w:val="-5"/>
                <w:u w:val="single" w:color="0000FF"/>
              </w:rPr>
              <w:t>68</w:t>
            </w:r>
          </w:hyperlink>
        </w:p>
        <w:p>
          <w:pPr>
            <w:pStyle w:val="TOC2"/>
            <w:tabs>
              <w:tab w:pos="11646" w:val="right" w:leader="none"/>
            </w:tabs>
            <w:rPr>
              <w:u w:val="none"/>
            </w:rPr>
          </w:pPr>
          <w:hyperlink w:history="true" w:anchor="_bookmark7">
            <w:r>
              <w:rPr>
                <w:color w:val="0000FF"/>
                <w:u w:val="single" w:color="0000FF"/>
              </w:rPr>
              <w:t>Consolidated</w:t>
            </w:r>
            <w:r>
              <w:rPr>
                <w:color w:val="0000FF"/>
                <w:spacing w:val="14"/>
                <w:u w:val="single" w:color="0000FF"/>
              </w:rPr>
              <w:t> </w:t>
            </w:r>
            <w:r>
              <w:rPr>
                <w:color w:val="0000FF"/>
                <w:u w:val="single" w:color="0000FF"/>
              </w:rPr>
              <w:t>Statements</w:t>
            </w:r>
            <w:r>
              <w:rPr>
                <w:color w:val="0000FF"/>
                <w:spacing w:val="15"/>
                <w:u w:val="single" w:color="0000FF"/>
              </w:rPr>
              <w:t> </w:t>
            </w:r>
            <w:r>
              <w:rPr>
                <w:color w:val="0000FF"/>
                <w:u w:val="single" w:color="0000FF"/>
              </w:rPr>
              <w:t>of</w:t>
            </w:r>
            <w:r>
              <w:rPr>
                <w:color w:val="0000FF"/>
                <w:spacing w:val="14"/>
                <w:u w:val="single" w:color="0000FF"/>
              </w:rPr>
              <w:t> </w:t>
            </w:r>
            <w:r>
              <w:rPr>
                <w:color w:val="0000FF"/>
                <w:u w:val="single" w:color="0000FF"/>
              </w:rPr>
              <w:t>Changes</w:t>
            </w:r>
            <w:r>
              <w:rPr>
                <w:color w:val="0000FF"/>
                <w:spacing w:val="18"/>
                <w:u w:val="single" w:color="0000FF"/>
              </w:rPr>
              <w:t> </w:t>
            </w:r>
            <w:r>
              <w:rPr>
                <w:color w:val="0000FF"/>
                <w:u w:val="single" w:color="0000FF"/>
              </w:rPr>
              <w:t>in</w:t>
            </w:r>
            <w:r>
              <w:rPr>
                <w:color w:val="0000FF"/>
                <w:spacing w:val="14"/>
                <w:u w:val="single" w:color="0000FF"/>
              </w:rPr>
              <w:t> </w:t>
            </w:r>
            <w:r>
              <w:rPr>
                <w:color w:val="0000FF"/>
                <w:u w:val="single" w:color="0000FF"/>
              </w:rPr>
              <w:t>Shareholders’</w:t>
            </w:r>
            <w:r>
              <w:rPr>
                <w:color w:val="0000FF"/>
                <w:spacing w:val="15"/>
                <w:u w:val="single" w:color="0000FF"/>
              </w:rPr>
              <w:t> </w:t>
            </w:r>
            <w:r>
              <w:rPr>
                <w:color w:val="0000FF"/>
                <w:spacing w:val="-2"/>
                <w:u w:val="single" w:color="0000FF"/>
              </w:rPr>
              <w:t>Equity</w:t>
            </w:r>
          </w:hyperlink>
          <w:r>
            <w:rPr>
              <w:color w:val="0000FF"/>
              <w:u w:val="none"/>
            </w:rPr>
            <w:tab/>
          </w:r>
          <w:hyperlink w:history="true" w:anchor="_bookmark7">
            <w:r>
              <w:rPr>
                <w:color w:val="0000FF"/>
                <w:spacing w:val="-5"/>
                <w:u w:val="single" w:color="0000FF"/>
              </w:rPr>
              <w:t>69</w:t>
            </w:r>
          </w:hyperlink>
        </w:p>
        <w:p>
          <w:pPr>
            <w:pStyle w:val="TOC2"/>
            <w:rPr>
              <w:u w:val="none"/>
            </w:rPr>
          </w:pPr>
          <w:hyperlink w:history="true" w:anchor="_bookmark8">
            <w:r>
              <w:rPr>
                <w:color w:val="0000FF"/>
                <w:u w:val="single" w:color="0000FF"/>
              </w:rPr>
              <w:t>Notes</w:t>
            </w:r>
            <w:r>
              <w:rPr>
                <w:color w:val="0000FF"/>
                <w:spacing w:val="14"/>
                <w:u w:val="single" w:color="0000FF"/>
              </w:rPr>
              <w:t> </w:t>
            </w:r>
            <w:r>
              <w:rPr>
                <w:color w:val="0000FF"/>
                <w:u w:val="single" w:color="0000FF"/>
              </w:rPr>
              <w:t>to</w:t>
            </w:r>
            <w:r>
              <w:rPr>
                <w:color w:val="0000FF"/>
                <w:spacing w:val="15"/>
                <w:u w:val="single" w:color="0000FF"/>
              </w:rPr>
              <w:t> </w:t>
            </w:r>
            <w:r>
              <w:rPr>
                <w:color w:val="0000FF"/>
                <w:u w:val="single" w:color="0000FF"/>
              </w:rPr>
              <w:t>Consolidated</w:t>
            </w:r>
            <w:r>
              <w:rPr>
                <w:color w:val="0000FF"/>
                <w:spacing w:val="14"/>
                <w:u w:val="single" w:color="0000FF"/>
              </w:rPr>
              <w:t> </w:t>
            </w:r>
            <w:r>
              <w:rPr>
                <w:color w:val="0000FF"/>
                <w:u w:val="single" w:color="0000FF"/>
              </w:rPr>
              <w:t>Financial</w:t>
            </w:r>
            <w:r>
              <w:rPr>
                <w:color w:val="0000FF"/>
                <w:spacing w:val="15"/>
                <w:u w:val="single" w:color="0000FF"/>
              </w:rPr>
              <w:t> </w:t>
            </w:r>
            <w:r>
              <w:rPr>
                <w:color w:val="0000FF"/>
                <w:spacing w:val="-2"/>
                <w:u w:val="single" w:color="0000FF"/>
              </w:rPr>
              <w:t>Statements</w:t>
            </w:r>
          </w:hyperlink>
        </w:p>
        <w:p>
          <w:pPr>
            <w:pStyle w:val="TOC3"/>
            <w:numPr>
              <w:ilvl w:val="0"/>
              <w:numId w:val="28"/>
            </w:numPr>
            <w:tabs>
              <w:tab w:pos="2029" w:val="left" w:leader="none"/>
              <w:tab w:pos="11646" w:val="right" w:leader="none"/>
            </w:tabs>
            <w:spacing w:line="240" w:lineRule="auto" w:before="70" w:after="0"/>
            <w:ind w:left="2029" w:right="0" w:hanging="574"/>
            <w:jc w:val="left"/>
            <w:rPr>
              <w:u w:val="none"/>
            </w:rPr>
          </w:pPr>
          <w:hyperlink w:history="true" w:anchor="_bookmark9">
            <w:r>
              <w:rPr>
                <w:color w:val="0000FF"/>
                <w:u w:val="single" w:color="0000FF"/>
              </w:rPr>
              <w:t>Summary</w:t>
            </w:r>
            <w:r>
              <w:rPr>
                <w:color w:val="0000FF"/>
                <w:spacing w:val="18"/>
                <w:u w:val="single" w:color="0000FF"/>
              </w:rPr>
              <w:t> </w:t>
            </w:r>
            <w:r>
              <w:rPr>
                <w:color w:val="0000FF"/>
                <w:u w:val="single" w:color="0000FF"/>
              </w:rPr>
              <w:t>of</w:t>
            </w:r>
            <w:r>
              <w:rPr>
                <w:color w:val="0000FF"/>
                <w:spacing w:val="18"/>
                <w:u w:val="single" w:color="0000FF"/>
              </w:rPr>
              <w:t> </w:t>
            </w:r>
            <w:r>
              <w:rPr>
                <w:color w:val="0000FF"/>
                <w:u w:val="single" w:color="0000FF"/>
              </w:rPr>
              <w:t>Significant</w:t>
            </w:r>
            <w:r>
              <w:rPr>
                <w:color w:val="0000FF"/>
                <w:spacing w:val="18"/>
                <w:u w:val="single" w:color="0000FF"/>
              </w:rPr>
              <w:t> </w:t>
            </w:r>
            <w:r>
              <w:rPr>
                <w:color w:val="0000FF"/>
                <w:u w:val="single" w:color="0000FF"/>
              </w:rPr>
              <w:t>Accounting</w:t>
            </w:r>
            <w:r>
              <w:rPr>
                <w:color w:val="0000FF"/>
                <w:spacing w:val="18"/>
                <w:u w:val="single" w:color="0000FF"/>
              </w:rPr>
              <w:t> </w:t>
            </w:r>
            <w:r>
              <w:rPr>
                <w:color w:val="0000FF"/>
                <w:spacing w:val="-2"/>
                <w:u w:val="single" w:color="0000FF"/>
              </w:rPr>
              <w:t>Policies</w:t>
            </w:r>
          </w:hyperlink>
          <w:r>
            <w:rPr>
              <w:color w:val="0000FF"/>
              <w:u w:val="none"/>
            </w:rPr>
            <w:tab/>
          </w:r>
          <w:hyperlink w:history="true" w:anchor="_bookmark9">
            <w:r>
              <w:rPr>
                <w:color w:val="0000FF"/>
                <w:spacing w:val="-7"/>
                <w:u w:val="single" w:color="0000FF"/>
              </w:rPr>
              <w:t>70</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10">
            <w:r>
              <w:rPr>
                <w:color w:val="0000FF"/>
                <w:u w:val="single" w:color="0000FF"/>
              </w:rPr>
              <w:t>Restructuring,</w:t>
            </w:r>
            <w:r>
              <w:rPr>
                <w:color w:val="0000FF"/>
                <w:spacing w:val="15"/>
                <w:u w:val="single" w:color="0000FF"/>
              </w:rPr>
              <w:t> </w:t>
            </w:r>
            <w:r>
              <w:rPr>
                <w:color w:val="0000FF"/>
                <w:u w:val="single" w:color="0000FF"/>
              </w:rPr>
              <w:t>Impairment</w:t>
            </w:r>
            <w:r>
              <w:rPr>
                <w:color w:val="0000FF"/>
                <w:spacing w:val="15"/>
                <w:u w:val="single" w:color="0000FF"/>
              </w:rPr>
              <w:t> </w:t>
            </w:r>
            <w:r>
              <w:rPr>
                <w:color w:val="0000FF"/>
                <w:u w:val="single" w:color="0000FF"/>
              </w:rPr>
              <w:t>and</w:t>
            </w:r>
            <w:r>
              <w:rPr>
                <w:color w:val="0000FF"/>
                <w:spacing w:val="16"/>
                <w:u w:val="single" w:color="0000FF"/>
              </w:rPr>
              <w:t> </w:t>
            </w:r>
            <w:r>
              <w:rPr>
                <w:color w:val="0000FF"/>
                <w:u w:val="single" w:color="0000FF"/>
              </w:rPr>
              <w:t>Other</w:t>
            </w:r>
            <w:r>
              <w:rPr>
                <w:color w:val="0000FF"/>
                <w:spacing w:val="15"/>
                <w:u w:val="single" w:color="0000FF"/>
              </w:rPr>
              <w:t> </w:t>
            </w:r>
            <w:r>
              <w:rPr>
                <w:color w:val="0000FF"/>
                <w:u w:val="single" w:color="0000FF"/>
              </w:rPr>
              <w:t>Charges</w:t>
            </w:r>
            <w:r>
              <w:rPr>
                <w:color w:val="0000FF"/>
                <w:spacing w:val="15"/>
                <w:u w:val="single" w:color="0000FF"/>
              </w:rPr>
              <w:t> </w:t>
            </w:r>
            <w:r>
              <w:rPr>
                <w:color w:val="0000FF"/>
                <w:u w:val="single" w:color="0000FF"/>
              </w:rPr>
              <w:t>and</w:t>
            </w:r>
            <w:r>
              <w:rPr>
                <w:color w:val="0000FF"/>
                <w:spacing w:val="16"/>
                <w:u w:val="single" w:color="0000FF"/>
              </w:rPr>
              <w:t> </w:t>
            </w:r>
            <w:r>
              <w:rPr>
                <w:color w:val="0000FF"/>
                <w:spacing w:val="-2"/>
                <w:u w:val="single" w:color="0000FF"/>
              </w:rPr>
              <w:t>Credits</w:t>
            </w:r>
          </w:hyperlink>
          <w:r>
            <w:rPr>
              <w:color w:val="0000FF"/>
              <w:u w:val="none"/>
            </w:rPr>
            <w:tab/>
          </w:r>
          <w:hyperlink w:history="true" w:anchor="_bookmark10">
            <w:r>
              <w:rPr>
                <w:color w:val="0000FF"/>
                <w:spacing w:val="-5"/>
                <w:u w:val="single" w:color="0000FF"/>
              </w:rPr>
              <w:t>76</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11">
            <w:r>
              <w:rPr>
                <w:color w:val="0000FF"/>
                <w:spacing w:val="-2"/>
                <w:u w:val="single" w:color="0000FF"/>
              </w:rPr>
              <w:t>Investments</w:t>
            </w:r>
          </w:hyperlink>
          <w:r>
            <w:rPr>
              <w:color w:val="0000FF"/>
              <w:u w:val="none"/>
            </w:rPr>
            <w:tab/>
          </w:r>
          <w:hyperlink w:history="true" w:anchor="_bookmark11">
            <w:r>
              <w:rPr>
                <w:color w:val="0000FF"/>
                <w:spacing w:val="-5"/>
                <w:u w:val="single" w:color="0000FF"/>
              </w:rPr>
              <w:t>77</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12">
            <w:r>
              <w:rPr>
                <w:color w:val="0000FF"/>
                <w:u w:val="single" w:color="0000FF"/>
              </w:rPr>
              <w:t>HSG</w:t>
            </w:r>
            <w:r>
              <w:rPr>
                <w:color w:val="0000FF"/>
                <w:spacing w:val="10"/>
                <w:u w:val="single" w:color="0000FF"/>
              </w:rPr>
              <w:t> </w:t>
            </w:r>
            <w:r>
              <w:rPr>
                <w:color w:val="0000FF"/>
                <w:u w:val="single" w:color="0000FF"/>
              </w:rPr>
              <w:t>Transactions</w:t>
            </w:r>
            <w:r>
              <w:rPr>
                <w:color w:val="0000FF"/>
                <w:spacing w:val="10"/>
                <w:u w:val="single" w:color="0000FF"/>
              </w:rPr>
              <w:t> </w:t>
            </w:r>
            <w:r>
              <w:rPr>
                <w:color w:val="0000FF"/>
                <w:u w:val="single" w:color="0000FF"/>
              </w:rPr>
              <w:t>and</w:t>
            </w:r>
            <w:r>
              <w:rPr>
                <w:color w:val="0000FF"/>
                <w:spacing w:val="11"/>
                <w:u w:val="single" w:color="0000FF"/>
              </w:rPr>
              <w:t> </w:t>
            </w:r>
            <w:r>
              <w:rPr>
                <w:color w:val="0000FF"/>
                <w:spacing w:val="-2"/>
                <w:u w:val="single" w:color="0000FF"/>
              </w:rPr>
              <w:t>Acquisitions</w:t>
            </w:r>
          </w:hyperlink>
          <w:r>
            <w:rPr>
              <w:color w:val="0000FF"/>
              <w:u w:val="none"/>
            </w:rPr>
            <w:tab/>
          </w:r>
          <w:hyperlink w:history="true" w:anchor="_bookmark12">
            <w:r>
              <w:rPr>
                <w:color w:val="0000FF"/>
                <w:spacing w:val="-7"/>
                <w:u w:val="single" w:color="0000FF"/>
              </w:rPr>
              <w:t>80</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13">
            <w:r>
              <w:rPr>
                <w:color w:val="0000FF"/>
                <w:spacing w:val="-2"/>
                <w:u w:val="single" w:color="0000FF"/>
              </w:rPr>
              <w:t>Revenue</w:t>
            </w:r>
          </w:hyperlink>
          <w:r>
            <w:rPr>
              <w:color w:val="0000FF"/>
              <w:u w:val="none"/>
            </w:rPr>
            <w:tab/>
          </w:r>
          <w:hyperlink w:history="true" w:anchor="_bookmark13">
            <w:r>
              <w:rPr>
                <w:color w:val="0000FF"/>
                <w:spacing w:val="-5"/>
                <w:u w:val="single" w:color="0000FF"/>
              </w:rPr>
              <w:t>81</w:t>
            </w:r>
          </w:hyperlink>
        </w:p>
        <w:p>
          <w:pPr>
            <w:pStyle w:val="TOC3"/>
            <w:numPr>
              <w:ilvl w:val="0"/>
              <w:numId w:val="28"/>
            </w:numPr>
            <w:tabs>
              <w:tab w:pos="2029" w:val="left" w:leader="none"/>
              <w:tab w:pos="11646" w:val="right" w:leader="none"/>
            </w:tabs>
            <w:spacing w:line="240" w:lineRule="auto" w:before="70" w:after="0"/>
            <w:ind w:left="2029" w:right="0" w:hanging="574"/>
            <w:jc w:val="left"/>
            <w:rPr>
              <w:u w:val="none"/>
            </w:rPr>
          </w:pPr>
          <w:hyperlink w:history="true" w:anchor="_bookmark14">
            <w:r>
              <w:rPr>
                <w:color w:val="0000FF"/>
                <w:u w:val="single" w:color="0000FF"/>
              </w:rPr>
              <w:t>Inventories,</w:t>
            </w:r>
            <w:r>
              <w:rPr>
                <w:color w:val="0000FF"/>
                <w:spacing w:val="23"/>
                <w:u w:val="single" w:color="0000FF"/>
              </w:rPr>
              <w:t> </w:t>
            </w:r>
            <w:r>
              <w:rPr>
                <w:color w:val="0000FF"/>
                <w:spacing w:val="-5"/>
                <w:u w:val="single" w:color="0000FF"/>
              </w:rPr>
              <w:t>Net</w:t>
            </w:r>
          </w:hyperlink>
          <w:r>
            <w:rPr>
              <w:color w:val="0000FF"/>
              <w:u w:val="none"/>
            </w:rPr>
            <w:tab/>
          </w:r>
          <w:hyperlink w:history="true" w:anchor="_bookmark14">
            <w:r>
              <w:rPr>
                <w:color w:val="0000FF"/>
                <w:spacing w:val="-5"/>
                <w:u w:val="single" w:color="0000FF"/>
              </w:rPr>
              <w:t>83</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15">
            <w:r>
              <w:rPr>
                <w:color w:val="0000FF"/>
                <w:spacing w:val="-2"/>
                <w:u w:val="single" w:color="0000FF"/>
              </w:rPr>
              <w:t>Leases</w:t>
            </w:r>
          </w:hyperlink>
          <w:r>
            <w:rPr>
              <w:color w:val="0000FF"/>
              <w:u w:val="none"/>
            </w:rPr>
            <w:tab/>
          </w:r>
          <w:hyperlink w:history="true" w:anchor="_bookmark15">
            <w:r>
              <w:rPr>
                <w:color w:val="0000FF"/>
                <w:spacing w:val="-5"/>
                <w:u w:val="single" w:color="0000FF"/>
              </w:rPr>
              <w:t>84</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16">
            <w:r>
              <w:rPr>
                <w:color w:val="0000FF"/>
                <w:u w:val="single" w:color="0000FF"/>
              </w:rPr>
              <w:t>Income</w:t>
            </w:r>
            <w:r>
              <w:rPr>
                <w:color w:val="0000FF"/>
                <w:spacing w:val="15"/>
                <w:u w:val="single" w:color="0000FF"/>
              </w:rPr>
              <w:t> </w:t>
            </w:r>
            <w:r>
              <w:rPr>
                <w:color w:val="0000FF"/>
                <w:spacing w:val="-2"/>
                <w:u w:val="single" w:color="0000FF"/>
              </w:rPr>
              <w:t>Taxes</w:t>
            </w:r>
          </w:hyperlink>
          <w:r>
            <w:rPr>
              <w:color w:val="0000FF"/>
              <w:u w:val="none"/>
            </w:rPr>
            <w:tab/>
          </w:r>
          <w:hyperlink w:history="true" w:anchor="_bookmark16">
            <w:r>
              <w:rPr>
                <w:color w:val="0000FF"/>
                <w:spacing w:val="-5"/>
                <w:u w:val="single" w:color="0000FF"/>
              </w:rPr>
              <w:t>85</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17">
            <w:r>
              <w:rPr>
                <w:color w:val="0000FF"/>
                <w:u w:val="single" w:color="0000FF"/>
              </w:rPr>
              <w:t>Property,</w:t>
            </w:r>
            <w:r>
              <w:rPr>
                <w:color w:val="0000FF"/>
                <w:spacing w:val="14"/>
                <w:u w:val="single" w:color="0000FF"/>
              </w:rPr>
              <w:t> </w:t>
            </w:r>
            <w:r>
              <w:rPr>
                <w:color w:val="0000FF"/>
                <w:u w:val="single" w:color="0000FF"/>
              </w:rPr>
              <w:t>Plant</w:t>
            </w:r>
            <w:r>
              <w:rPr>
                <w:color w:val="0000FF"/>
                <w:spacing w:val="15"/>
                <w:u w:val="single" w:color="0000FF"/>
              </w:rPr>
              <w:t> </w:t>
            </w:r>
            <w:r>
              <w:rPr>
                <w:color w:val="0000FF"/>
                <w:u w:val="single" w:color="0000FF"/>
              </w:rPr>
              <w:t>and</w:t>
            </w:r>
            <w:r>
              <w:rPr>
                <w:color w:val="0000FF"/>
                <w:spacing w:val="14"/>
                <w:u w:val="single" w:color="0000FF"/>
              </w:rPr>
              <w:t> </w:t>
            </w:r>
            <w:r>
              <w:rPr>
                <w:color w:val="0000FF"/>
                <w:u w:val="single" w:color="0000FF"/>
              </w:rPr>
              <w:t>Equipment,</w:t>
            </w:r>
            <w:r>
              <w:rPr>
                <w:color w:val="0000FF"/>
                <w:spacing w:val="15"/>
                <w:u w:val="single" w:color="0000FF"/>
              </w:rPr>
              <w:t> </w:t>
            </w:r>
            <w:r>
              <w:rPr>
                <w:color w:val="0000FF"/>
                <w:u w:val="single" w:color="0000FF"/>
              </w:rPr>
              <w:t>Net</w:t>
            </w:r>
            <w:r>
              <w:rPr>
                <w:color w:val="0000FF"/>
                <w:spacing w:val="15"/>
                <w:u w:val="single" w:color="0000FF"/>
              </w:rPr>
              <w:t> </w:t>
            </w:r>
            <w:r>
              <w:rPr>
                <w:color w:val="0000FF"/>
                <w:u w:val="single" w:color="0000FF"/>
              </w:rPr>
              <w:t>of</w:t>
            </w:r>
            <w:r>
              <w:rPr>
                <w:color w:val="0000FF"/>
                <w:spacing w:val="14"/>
                <w:u w:val="single" w:color="0000FF"/>
              </w:rPr>
              <w:t> </w:t>
            </w:r>
            <w:r>
              <w:rPr>
                <w:color w:val="0000FF"/>
                <w:u w:val="single" w:color="0000FF"/>
              </w:rPr>
              <w:t>Accumulated</w:t>
            </w:r>
            <w:r>
              <w:rPr>
                <w:color w:val="0000FF"/>
                <w:spacing w:val="15"/>
                <w:u w:val="single" w:color="0000FF"/>
              </w:rPr>
              <w:t> </w:t>
            </w:r>
            <w:r>
              <w:rPr>
                <w:color w:val="0000FF"/>
                <w:spacing w:val="-2"/>
                <w:u w:val="single" w:color="0000FF"/>
              </w:rPr>
              <w:t>Depreciation</w:t>
            </w:r>
          </w:hyperlink>
          <w:r>
            <w:rPr>
              <w:color w:val="0000FF"/>
              <w:u w:val="none"/>
            </w:rPr>
            <w:tab/>
          </w:r>
          <w:hyperlink w:history="true" w:anchor="_bookmark17">
            <w:r>
              <w:rPr>
                <w:color w:val="0000FF"/>
                <w:spacing w:val="-5"/>
                <w:u w:val="single" w:color="0000FF"/>
              </w:rPr>
              <w:t>89</w:t>
            </w:r>
          </w:hyperlink>
        </w:p>
        <w:p>
          <w:pPr>
            <w:pStyle w:val="TOC3"/>
            <w:numPr>
              <w:ilvl w:val="0"/>
              <w:numId w:val="28"/>
            </w:numPr>
            <w:tabs>
              <w:tab w:pos="2029" w:val="left" w:leader="none"/>
              <w:tab w:pos="11646" w:val="right" w:leader="none"/>
            </w:tabs>
            <w:spacing w:line="240" w:lineRule="auto" w:before="70" w:after="0"/>
            <w:ind w:left="2029" w:right="0" w:hanging="574"/>
            <w:jc w:val="left"/>
            <w:rPr>
              <w:u w:val="none"/>
            </w:rPr>
          </w:pPr>
          <w:hyperlink w:history="true" w:anchor="_bookmark18">
            <w:r>
              <w:rPr>
                <w:color w:val="0000FF"/>
                <w:u w:val="single" w:color="0000FF"/>
              </w:rPr>
              <w:t>Goodwill</w:t>
            </w:r>
            <w:r>
              <w:rPr>
                <w:color w:val="0000FF"/>
                <w:spacing w:val="14"/>
                <w:u w:val="single" w:color="0000FF"/>
              </w:rPr>
              <w:t> </w:t>
            </w:r>
            <w:r>
              <w:rPr>
                <w:color w:val="0000FF"/>
                <w:u w:val="single" w:color="0000FF"/>
              </w:rPr>
              <w:t>and</w:t>
            </w:r>
            <w:r>
              <w:rPr>
                <w:color w:val="0000FF"/>
                <w:spacing w:val="15"/>
                <w:u w:val="single" w:color="0000FF"/>
              </w:rPr>
              <w:t> </w:t>
            </w:r>
            <w:r>
              <w:rPr>
                <w:color w:val="0000FF"/>
                <w:u w:val="single" w:color="0000FF"/>
              </w:rPr>
              <w:t>Other</w:t>
            </w:r>
            <w:r>
              <w:rPr>
                <w:color w:val="0000FF"/>
                <w:spacing w:val="15"/>
                <w:u w:val="single" w:color="0000FF"/>
              </w:rPr>
              <w:t> </w:t>
            </w:r>
            <w:r>
              <w:rPr>
                <w:color w:val="0000FF"/>
                <w:u w:val="single" w:color="0000FF"/>
              </w:rPr>
              <w:t>Intangible</w:t>
            </w:r>
            <w:r>
              <w:rPr>
                <w:color w:val="0000FF"/>
                <w:spacing w:val="15"/>
                <w:u w:val="single" w:color="0000FF"/>
              </w:rPr>
              <w:t> </w:t>
            </w:r>
            <w:r>
              <w:rPr>
                <w:color w:val="0000FF"/>
                <w:spacing w:val="-2"/>
                <w:u w:val="single" w:color="0000FF"/>
              </w:rPr>
              <w:t>Assets</w:t>
            </w:r>
          </w:hyperlink>
          <w:r>
            <w:rPr>
              <w:color w:val="0000FF"/>
              <w:u w:val="none"/>
            </w:rPr>
            <w:tab/>
          </w:r>
          <w:hyperlink w:history="true" w:anchor="_bookmark18">
            <w:r>
              <w:rPr>
                <w:color w:val="0000FF"/>
                <w:spacing w:val="-7"/>
                <w:u w:val="single" w:color="0000FF"/>
              </w:rPr>
              <w:t>89</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19">
            <w:r>
              <w:rPr>
                <w:color w:val="0000FF"/>
                <w:u w:val="single" w:color="0000FF"/>
              </w:rPr>
              <w:t>Other</w:t>
            </w:r>
            <w:r>
              <w:rPr>
                <w:color w:val="0000FF"/>
                <w:spacing w:val="10"/>
                <w:u w:val="single" w:color="0000FF"/>
              </w:rPr>
              <w:t> </w:t>
            </w:r>
            <w:r>
              <w:rPr>
                <w:color w:val="0000FF"/>
                <w:u w:val="single" w:color="0000FF"/>
              </w:rPr>
              <w:t>Assets</w:t>
            </w:r>
            <w:r>
              <w:rPr>
                <w:color w:val="0000FF"/>
                <w:spacing w:val="10"/>
                <w:u w:val="single" w:color="0000FF"/>
              </w:rPr>
              <w:t> </w:t>
            </w:r>
            <w:r>
              <w:rPr>
                <w:color w:val="0000FF"/>
                <w:u w:val="single" w:color="0000FF"/>
              </w:rPr>
              <w:t>and</w:t>
            </w:r>
            <w:r>
              <w:rPr>
                <w:color w:val="0000FF"/>
                <w:spacing w:val="10"/>
                <w:u w:val="single" w:color="0000FF"/>
              </w:rPr>
              <w:t> </w:t>
            </w:r>
            <w:r>
              <w:rPr>
                <w:color w:val="0000FF"/>
                <w:u w:val="single" w:color="0000FF"/>
              </w:rPr>
              <w:t>Other</w:t>
            </w:r>
            <w:r>
              <w:rPr>
                <w:color w:val="0000FF"/>
                <w:spacing w:val="10"/>
                <w:u w:val="single" w:color="0000FF"/>
              </w:rPr>
              <w:t> </w:t>
            </w:r>
            <w:r>
              <w:rPr>
                <w:color w:val="0000FF"/>
                <w:spacing w:val="-2"/>
                <w:u w:val="single" w:color="0000FF"/>
              </w:rPr>
              <w:t>Liabilities</w:t>
            </w:r>
          </w:hyperlink>
          <w:r>
            <w:rPr>
              <w:color w:val="0000FF"/>
              <w:u w:val="none"/>
            </w:rPr>
            <w:tab/>
          </w:r>
          <w:hyperlink w:history="true" w:anchor="_bookmark19">
            <w:r>
              <w:rPr>
                <w:color w:val="0000FF"/>
                <w:spacing w:val="-7"/>
                <w:u w:val="single" w:color="0000FF"/>
              </w:rPr>
              <w:t>91</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20">
            <w:r>
              <w:rPr>
                <w:color w:val="0000FF"/>
                <w:spacing w:val="-4"/>
                <w:u w:val="single" w:color="0000FF"/>
              </w:rPr>
              <w:t>Debt</w:t>
            </w:r>
          </w:hyperlink>
          <w:r>
            <w:rPr>
              <w:color w:val="0000FF"/>
              <w:u w:val="none"/>
            </w:rPr>
            <w:tab/>
          </w:r>
          <w:hyperlink w:history="true" w:anchor="_bookmark20">
            <w:r>
              <w:rPr>
                <w:color w:val="0000FF"/>
                <w:spacing w:val="-5"/>
                <w:u w:val="single" w:color="0000FF"/>
              </w:rPr>
              <w:t>92</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21">
            <w:r>
              <w:rPr>
                <w:color w:val="0000FF"/>
                <w:u w:val="single" w:color="0000FF"/>
              </w:rPr>
              <w:t>Employee</w:t>
            </w:r>
            <w:r>
              <w:rPr>
                <w:color w:val="0000FF"/>
                <w:spacing w:val="21"/>
                <w:u w:val="single" w:color="0000FF"/>
              </w:rPr>
              <w:t> </w:t>
            </w:r>
            <w:r>
              <w:rPr>
                <w:color w:val="0000FF"/>
                <w:u w:val="single" w:color="0000FF"/>
              </w:rPr>
              <w:t>Retirement</w:t>
            </w:r>
            <w:r>
              <w:rPr>
                <w:color w:val="0000FF"/>
                <w:spacing w:val="21"/>
                <w:u w:val="single" w:color="0000FF"/>
              </w:rPr>
              <w:t> </w:t>
            </w:r>
            <w:r>
              <w:rPr>
                <w:color w:val="0000FF"/>
                <w:spacing w:val="-2"/>
                <w:u w:val="single" w:color="0000FF"/>
              </w:rPr>
              <w:t>Plans</w:t>
            </w:r>
          </w:hyperlink>
          <w:r>
            <w:rPr>
              <w:color w:val="0000FF"/>
              <w:u w:val="none"/>
            </w:rPr>
            <w:tab/>
          </w:r>
          <w:hyperlink w:history="true" w:anchor="_bookmark21">
            <w:r>
              <w:rPr>
                <w:color w:val="0000FF"/>
                <w:spacing w:val="-5"/>
                <w:u w:val="single" w:color="0000FF"/>
              </w:rPr>
              <w:t>94</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22">
            <w:r>
              <w:rPr>
                <w:color w:val="0000FF"/>
                <w:u w:val="single" w:color="0000FF"/>
              </w:rPr>
              <w:t>Commitments,</w:t>
            </w:r>
            <w:r>
              <w:rPr>
                <w:color w:val="0000FF"/>
                <w:spacing w:val="17"/>
                <w:u w:val="single" w:color="0000FF"/>
              </w:rPr>
              <w:t> </w:t>
            </w:r>
            <w:r>
              <w:rPr>
                <w:color w:val="0000FF"/>
                <w:u w:val="single" w:color="0000FF"/>
              </w:rPr>
              <w:t>Contingencies</w:t>
            </w:r>
            <w:r>
              <w:rPr>
                <w:color w:val="0000FF"/>
                <w:spacing w:val="18"/>
                <w:u w:val="single" w:color="0000FF"/>
              </w:rPr>
              <w:t> </w:t>
            </w:r>
            <w:r>
              <w:rPr>
                <w:color w:val="0000FF"/>
                <w:u w:val="single" w:color="0000FF"/>
              </w:rPr>
              <w:t>and</w:t>
            </w:r>
            <w:r>
              <w:rPr>
                <w:color w:val="0000FF"/>
                <w:spacing w:val="18"/>
                <w:u w:val="single" w:color="0000FF"/>
              </w:rPr>
              <w:t> </w:t>
            </w:r>
            <w:r>
              <w:rPr>
                <w:color w:val="0000FF"/>
                <w:spacing w:val="-2"/>
                <w:u w:val="single" w:color="0000FF"/>
              </w:rPr>
              <w:t>Guarantees</w:t>
            </w:r>
          </w:hyperlink>
          <w:r>
            <w:rPr>
              <w:color w:val="0000FF"/>
              <w:u w:val="none"/>
            </w:rPr>
            <w:tab/>
          </w:r>
          <w:hyperlink w:history="true" w:anchor="_bookmark22">
            <w:r>
              <w:rPr>
                <w:color w:val="0000FF"/>
                <w:spacing w:val="-5"/>
                <w:u w:val="single" w:color="0000FF"/>
              </w:rPr>
              <w:t>100</w:t>
            </w:r>
          </w:hyperlink>
        </w:p>
        <w:p>
          <w:pPr>
            <w:pStyle w:val="TOC3"/>
            <w:numPr>
              <w:ilvl w:val="0"/>
              <w:numId w:val="28"/>
            </w:numPr>
            <w:tabs>
              <w:tab w:pos="2029" w:val="left" w:leader="none"/>
              <w:tab w:pos="11646" w:val="right" w:leader="none"/>
            </w:tabs>
            <w:spacing w:line="240" w:lineRule="auto" w:before="70" w:after="0"/>
            <w:ind w:left="2029" w:right="0" w:hanging="574"/>
            <w:jc w:val="left"/>
            <w:rPr>
              <w:u w:val="none"/>
            </w:rPr>
          </w:pPr>
          <w:hyperlink w:history="true" w:anchor="_bookmark23">
            <w:r>
              <w:rPr>
                <w:color w:val="0000FF"/>
                <w:u w:val="single" w:color="0000FF"/>
              </w:rPr>
              <w:t>Hedging</w:t>
            </w:r>
            <w:r>
              <w:rPr>
                <w:color w:val="0000FF"/>
                <w:spacing w:val="17"/>
                <w:u w:val="single" w:color="0000FF"/>
              </w:rPr>
              <w:t> </w:t>
            </w:r>
            <w:r>
              <w:rPr>
                <w:color w:val="0000FF"/>
                <w:spacing w:val="-2"/>
                <w:u w:val="single" w:color="0000FF"/>
              </w:rPr>
              <w:t>Activities</w:t>
            </w:r>
          </w:hyperlink>
          <w:r>
            <w:rPr>
              <w:color w:val="0000FF"/>
              <w:u w:val="none"/>
            </w:rPr>
            <w:tab/>
          </w:r>
          <w:hyperlink w:history="true" w:anchor="_bookmark23">
            <w:r>
              <w:rPr>
                <w:color w:val="0000FF"/>
                <w:spacing w:val="-5"/>
                <w:u w:val="single" w:color="0000FF"/>
              </w:rPr>
              <w:t>102</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24">
            <w:r>
              <w:rPr>
                <w:color w:val="0000FF"/>
                <w:u w:val="single" w:color="0000FF"/>
              </w:rPr>
              <w:t>Fair</w:t>
            </w:r>
            <w:r>
              <w:rPr>
                <w:color w:val="0000FF"/>
                <w:spacing w:val="10"/>
                <w:u w:val="single" w:color="0000FF"/>
              </w:rPr>
              <w:t> </w:t>
            </w:r>
            <w:r>
              <w:rPr>
                <w:color w:val="0000FF"/>
                <w:u w:val="single" w:color="0000FF"/>
              </w:rPr>
              <w:t>Value</w:t>
            </w:r>
            <w:r>
              <w:rPr>
                <w:color w:val="0000FF"/>
                <w:spacing w:val="11"/>
                <w:u w:val="single" w:color="0000FF"/>
              </w:rPr>
              <w:t> </w:t>
            </w:r>
            <w:r>
              <w:rPr>
                <w:color w:val="0000FF"/>
                <w:spacing w:val="-2"/>
                <w:u w:val="single" w:color="0000FF"/>
              </w:rPr>
              <w:t>Measurements</w:t>
            </w:r>
          </w:hyperlink>
          <w:r>
            <w:rPr>
              <w:color w:val="0000FF"/>
              <w:u w:val="none"/>
            </w:rPr>
            <w:tab/>
          </w:r>
          <w:hyperlink w:history="true" w:anchor="_bookmark24">
            <w:r>
              <w:rPr>
                <w:color w:val="0000FF"/>
                <w:spacing w:val="-5"/>
                <w:u w:val="single" w:color="0000FF"/>
              </w:rPr>
              <w:t>105</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25">
            <w:r>
              <w:rPr>
                <w:color w:val="0000FF"/>
                <w:u w:val="single" w:color="0000FF"/>
              </w:rPr>
              <w:t>Shareholders’</w:t>
            </w:r>
            <w:r>
              <w:rPr>
                <w:color w:val="0000FF"/>
                <w:spacing w:val="27"/>
                <w:u w:val="single" w:color="0000FF"/>
              </w:rPr>
              <w:t> </w:t>
            </w:r>
            <w:r>
              <w:rPr>
                <w:color w:val="0000FF"/>
                <w:spacing w:val="-2"/>
                <w:u w:val="single" w:color="0000FF"/>
              </w:rPr>
              <w:t>Equity</w:t>
            </w:r>
          </w:hyperlink>
          <w:r>
            <w:rPr>
              <w:color w:val="0000FF"/>
              <w:u w:val="none"/>
            </w:rPr>
            <w:tab/>
          </w:r>
          <w:hyperlink w:history="true" w:anchor="_bookmark25">
            <w:r>
              <w:rPr>
                <w:color w:val="0000FF"/>
                <w:spacing w:val="-5"/>
                <w:u w:val="single" w:color="0000FF"/>
              </w:rPr>
              <w:t>106</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26">
            <w:r>
              <w:rPr>
                <w:color w:val="0000FF"/>
                <w:u w:val="single" w:color="0000FF"/>
              </w:rPr>
              <w:t>Earnings</w:t>
            </w:r>
            <w:r>
              <w:rPr>
                <w:color w:val="0000FF"/>
                <w:spacing w:val="12"/>
                <w:u w:val="single" w:color="0000FF"/>
              </w:rPr>
              <w:t> </w:t>
            </w:r>
            <w:r>
              <w:rPr>
                <w:color w:val="0000FF"/>
                <w:u w:val="single" w:color="0000FF"/>
              </w:rPr>
              <w:t>Per</w:t>
            </w:r>
            <w:r>
              <w:rPr>
                <w:color w:val="0000FF"/>
                <w:spacing w:val="12"/>
                <w:u w:val="single" w:color="0000FF"/>
              </w:rPr>
              <w:t> </w:t>
            </w:r>
            <w:r>
              <w:rPr>
                <w:color w:val="0000FF"/>
                <w:u w:val="single" w:color="0000FF"/>
              </w:rPr>
              <w:t>Common</w:t>
            </w:r>
            <w:r>
              <w:rPr>
                <w:color w:val="0000FF"/>
                <w:spacing w:val="13"/>
                <w:u w:val="single" w:color="0000FF"/>
              </w:rPr>
              <w:t> </w:t>
            </w:r>
            <w:r>
              <w:rPr>
                <w:color w:val="0000FF"/>
                <w:spacing w:val="-2"/>
                <w:u w:val="single" w:color="0000FF"/>
              </w:rPr>
              <w:t>Share</w:t>
            </w:r>
          </w:hyperlink>
          <w:r>
            <w:rPr>
              <w:color w:val="0000FF"/>
              <w:u w:val="none"/>
            </w:rPr>
            <w:tab/>
          </w:r>
          <w:hyperlink w:history="true" w:anchor="_bookmark26">
            <w:r>
              <w:rPr>
                <w:color w:val="0000FF"/>
                <w:spacing w:val="-5"/>
                <w:u w:val="single" w:color="0000FF"/>
              </w:rPr>
              <w:t>110</w:t>
            </w:r>
          </w:hyperlink>
        </w:p>
        <w:p>
          <w:pPr>
            <w:pStyle w:val="TOC3"/>
            <w:numPr>
              <w:ilvl w:val="0"/>
              <w:numId w:val="28"/>
            </w:numPr>
            <w:tabs>
              <w:tab w:pos="2029" w:val="left" w:leader="none"/>
              <w:tab w:pos="11646" w:val="right" w:leader="none"/>
            </w:tabs>
            <w:spacing w:line="240" w:lineRule="auto" w:before="70" w:after="0"/>
            <w:ind w:left="2029" w:right="0" w:hanging="574"/>
            <w:jc w:val="left"/>
            <w:rPr>
              <w:u w:val="none"/>
            </w:rPr>
          </w:pPr>
          <w:hyperlink w:history="true" w:anchor="_bookmark27">
            <w:r>
              <w:rPr>
                <w:color w:val="0000FF"/>
                <w:u w:val="single" w:color="0000FF"/>
              </w:rPr>
              <w:t>Share-Based</w:t>
            </w:r>
            <w:r>
              <w:rPr>
                <w:color w:val="0000FF"/>
                <w:spacing w:val="25"/>
                <w:u w:val="single" w:color="0000FF"/>
              </w:rPr>
              <w:t> </w:t>
            </w:r>
            <w:r>
              <w:rPr>
                <w:color w:val="0000FF"/>
                <w:spacing w:val="-2"/>
                <w:u w:val="single" w:color="0000FF"/>
              </w:rPr>
              <w:t>Compensation</w:t>
            </w:r>
          </w:hyperlink>
          <w:r>
            <w:rPr>
              <w:color w:val="0000FF"/>
              <w:u w:val="none"/>
            </w:rPr>
            <w:tab/>
          </w:r>
          <w:hyperlink w:history="true" w:anchor="_bookmark27">
            <w:r>
              <w:rPr>
                <w:color w:val="0000FF"/>
                <w:spacing w:val="-5"/>
                <w:u w:val="single" w:color="0000FF"/>
              </w:rPr>
              <w:t>111</w:t>
            </w:r>
          </w:hyperlink>
        </w:p>
        <w:p>
          <w:pPr>
            <w:pStyle w:val="TOC3"/>
            <w:numPr>
              <w:ilvl w:val="0"/>
              <w:numId w:val="28"/>
            </w:numPr>
            <w:tabs>
              <w:tab w:pos="2029" w:val="left" w:leader="none"/>
              <w:tab w:pos="11646" w:val="right" w:leader="none"/>
            </w:tabs>
            <w:spacing w:line="240" w:lineRule="auto" w:before="71" w:after="0"/>
            <w:ind w:left="2029" w:right="0" w:hanging="574"/>
            <w:jc w:val="left"/>
            <w:rPr>
              <w:u w:val="none"/>
            </w:rPr>
          </w:pPr>
          <w:hyperlink w:history="true" w:anchor="_bookmark28">
            <w:r>
              <w:rPr>
                <w:color w:val="0000FF"/>
                <w:u w:val="single" w:color="0000FF"/>
              </w:rPr>
              <w:t>Reportable</w:t>
            </w:r>
            <w:r>
              <w:rPr>
                <w:color w:val="0000FF"/>
                <w:spacing w:val="22"/>
                <w:u w:val="single" w:color="0000FF"/>
              </w:rPr>
              <w:t> </w:t>
            </w:r>
            <w:r>
              <w:rPr>
                <w:color w:val="0000FF"/>
                <w:spacing w:val="-2"/>
                <w:u w:val="single" w:color="0000FF"/>
              </w:rPr>
              <w:t>Segments</w:t>
            </w:r>
          </w:hyperlink>
          <w:r>
            <w:rPr>
              <w:color w:val="0000FF"/>
              <w:u w:val="none"/>
            </w:rPr>
            <w:tab/>
          </w:r>
          <w:hyperlink w:history="true" w:anchor="_bookmark28">
            <w:r>
              <w:rPr>
                <w:color w:val="0000FF"/>
                <w:spacing w:val="-5"/>
                <w:u w:val="single" w:color="0000FF"/>
              </w:rPr>
              <w:t>114</w:t>
            </w:r>
          </w:hyperlink>
        </w:p>
        <w:p>
          <w:pPr>
            <w:pStyle w:val="TOC1"/>
          </w:pPr>
          <w:r>
            <w:rPr>
              <w:spacing w:val="-5"/>
              <w:w w:val="105"/>
            </w:rPr>
            <w:t>62</w:t>
          </w:r>
        </w:p>
      </w:sdtContent>
    </w:sdt>
    <w:p>
      <w:pPr>
        <w:pStyle w:val="BodyText"/>
        <w:rPr>
          <w:sz w:val="6"/>
        </w:rPr>
      </w:pPr>
      <w:r>
        <w:rPr/>
        <mc:AlternateContent>
          <mc:Choice Requires="wps">
            <w:drawing>
              <wp:anchor distT="0" distB="0" distL="0" distR="0" allowOverlap="1" layoutInCell="1" locked="0" behindDoc="1" simplePos="0" relativeHeight="487644160">
                <wp:simplePos x="0" y="0"/>
                <wp:positionH relativeFrom="page">
                  <wp:posOffset>226488</wp:posOffset>
                </wp:positionH>
                <wp:positionV relativeFrom="paragraph">
                  <wp:posOffset>59051</wp:posOffset>
                </wp:positionV>
                <wp:extent cx="7312659" cy="1651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72320;mso-wrap-distance-left:0;mso-wrap-distance-right:0" id="docshape157"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pPr>
    </w:p>
    <w:p>
      <w:pPr>
        <w:pStyle w:val="BodyText"/>
        <w:spacing w:before="58"/>
      </w:pPr>
    </w:p>
    <w:p>
      <w:pPr>
        <w:spacing w:before="0"/>
        <w:ind w:left="156" w:right="0" w:firstLine="0"/>
        <w:jc w:val="left"/>
        <w:rPr>
          <w:b/>
          <w:sz w:val="16"/>
        </w:rPr>
      </w:pPr>
      <w:bookmarkStart w:name="_bookmark2" w:id="3"/>
      <w:bookmarkEnd w:id="3"/>
      <w:r>
        <w:rPr/>
      </w:r>
      <w:r>
        <w:rPr>
          <w:b/>
          <w:sz w:val="16"/>
        </w:rPr>
        <w:t>Report</w:t>
      </w:r>
      <w:r>
        <w:rPr>
          <w:b/>
          <w:spacing w:val="16"/>
          <w:sz w:val="16"/>
        </w:rPr>
        <w:t> </w:t>
      </w:r>
      <w:r>
        <w:rPr>
          <w:b/>
          <w:sz w:val="16"/>
        </w:rPr>
        <w:t>of</w:t>
      </w:r>
      <w:r>
        <w:rPr>
          <w:b/>
          <w:spacing w:val="17"/>
          <w:sz w:val="16"/>
        </w:rPr>
        <w:t> </w:t>
      </w:r>
      <w:r>
        <w:rPr>
          <w:b/>
          <w:sz w:val="16"/>
        </w:rPr>
        <w:t>Independent</w:t>
      </w:r>
      <w:r>
        <w:rPr>
          <w:b/>
          <w:spacing w:val="16"/>
          <w:sz w:val="16"/>
        </w:rPr>
        <w:t> </w:t>
      </w:r>
      <w:r>
        <w:rPr>
          <w:b/>
          <w:sz w:val="16"/>
        </w:rPr>
        <w:t>Registered</w:t>
      </w:r>
      <w:r>
        <w:rPr>
          <w:b/>
          <w:spacing w:val="17"/>
          <w:sz w:val="16"/>
        </w:rPr>
        <w:t> </w:t>
      </w:r>
      <w:r>
        <w:rPr>
          <w:b/>
          <w:sz w:val="16"/>
        </w:rPr>
        <w:t>Public</w:t>
      </w:r>
      <w:r>
        <w:rPr>
          <w:b/>
          <w:spacing w:val="17"/>
          <w:sz w:val="16"/>
        </w:rPr>
        <w:t> </w:t>
      </w:r>
      <w:r>
        <w:rPr>
          <w:b/>
          <w:sz w:val="16"/>
        </w:rPr>
        <w:t>Accounting</w:t>
      </w:r>
      <w:r>
        <w:rPr>
          <w:b/>
          <w:spacing w:val="16"/>
          <w:sz w:val="16"/>
        </w:rPr>
        <w:t> </w:t>
      </w:r>
      <w:r>
        <w:rPr>
          <w:b/>
          <w:spacing w:val="-4"/>
          <w:sz w:val="16"/>
        </w:rPr>
        <w:t>Firm</w:t>
      </w:r>
    </w:p>
    <w:p>
      <w:pPr>
        <w:pStyle w:val="BodyText"/>
        <w:spacing w:before="39"/>
        <w:rPr>
          <w:b/>
        </w:rPr>
      </w:pPr>
    </w:p>
    <w:p>
      <w:pPr>
        <w:pStyle w:val="BodyText"/>
        <w:spacing w:before="1"/>
        <w:ind w:left="156"/>
      </w:pPr>
      <w:r>
        <w:rPr>
          <w:w w:val="105"/>
        </w:rPr>
        <w:t>To</w:t>
      </w:r>
      <w:r>
        <w:rPr>
          <w:spacing w:val="-9"/>
          <w:w w:val="105"/>
        </w:rPr>
        <w:t> </w:t>
      </w:r>
      <w:r>
        <w:rPr>
          <w:w w:val="105"/>
        </w:rPr>
        <w:t>the</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and</w:t>
      </w:r>
      <w:r>
        <w:rPr>
          <w:spacing w:val="-9"/>
          <w:w w:val="105"/>
        </w:rPr>
        <w:t> </w:t>
      </w:r>
      <w:r>
        <w:rPr>
          <w:w w:val="105"/>
        </w:rPr>
        <w:t>Shareholders</w:t>
      </w:r>
      <w:r>
        <w:rPr>
          <w:spacing w:val="-9"/>
          <w:w w:val="105"/>
        </w:rPr>
        <w:t> </w:t>
      </w:r>
      <w:r>
        <w:rPr>
          <w:w w:val="105"/>
        </w:rPr>
        <w:t>of</w:t>
      </w:r>
      <w:r>
        <w:rPr>
          <w:spacing w:val="-9"/>
          <w:w w:val="105"/>
        </w:rPr>
        <w:t> </w:t>
      </w:r>
      <w:r>
        <w:rPr>
          <w:w w:val="105"/>
        </w:rPr>
        <w:t>Corning</w:t>
      </w:r>
      <w:r>
        <w:rPr>
          <w:spacing w:val="-9"/>
          <w:w w:val="105"/>
        </w:rPr>
        <w:t> </w:t>
      </w:r>
      <w:r>
        <w:rPr>
          <w:spacing w:val="-2"/>
          <w:w w:val="105"/>
        </w:rPr>
        <w:t>Incorporated</w:t>
      </w:r>
    </w:p>
    <w:p>
      <w:pPr>
        <w:pStyle w:val="BodyText"/>
        <w:spacing w:before="39"/>
      </w:pPr>
    </w:p>
    <w:p>
      <w:pPr>
        <w:pStyle w:val="Heading3"/>
        <w:ind w:left="143"/>
      </w:pPr>
      <w:r>
        <w:rPr>
          <w:spacing w:val="-2"/>
          <w:w w:val="105"/>
        </w:rPr>
        <w:t>Opinions</w:t>
      </w:r>
      <w:r>
        <w:rPr>
          <w:w w:val="105"/>
        </w:rPr>
        <w:t> </w:t>
      </w:r>
      <w:r>
        <w:rPr>
          <w:spacing w:val="-2"/>
          <w:w w:val="105"/>
        </w:rPr>
        <w:t>on</w:t>
      </w:r>
      <w:r>
        <w:rPr>
          <w:w w:val="105"/>
        </w:rPr>
        <w:t> </w:t>
      </w:r>
      <w:r>
        <w:rPr>
          <w:spacing w:val="-2"/>
          <w:w w:val="105"/>
        </w:rPr>
        <w:t>the</w:t>
      </w:r>
      <w:r>
        <w:rPr>
          <w:spacing w:val="1"/>
          <w:w w:val="105"/>
        </w:rPr>
        <w:t> </w:t>
      </w:r>
      <w:r>
        <w:rPr>
          <w:spacing w:val="-2"/>
          <w:w w:val="105"/>
        </w:rPr>
        <w:t>Financial</w:t>
      </w:r>
      <w:r>
        <w:rPr>
          <w:w w:val="105"/>
        </w:rPr>
        <w:t> </w:t>
      </w:r>
      <w:r>
        <w:rPr>
          <w:spacing w:val="-2"/>
          <w:w w:val="105"/>
        </w:rPr>
        <w:t>Statements</w:t>
      </w:r>
      <w:r>
        <w:rPr>
          <w:spacing w:val="1"/>
          <w:w w:val="105"/>
        </w:rPr>
        <w:t> </w:t>
      </w:r>
      <w:r>
        <w:rPr>
          <w:spacing w:val="-2"/>
          <w:w w:val="105"/>
        </w:rPr>
        <w:t>and</w:t>
      </w:r>
      <w:r>
        <w:rPr>
          <w:w w:val="105"/>
        </w:rPr>
        <w:t> </w:t>
      </w:r>
      <w:r>
        <w:rPr>
          <w:spacing w:val="-2"/>
          <w:w w:val="105"/>
        </w:rPr>
        <w:t>Internal</w:t>
      </w:r>
      <w:r>
        <w:rPr>
          <w:spacing w:val="1"/>
          <w:w w:val="105"/>
        </w:rPr>
        <w:t> </w:t>
      </w:r>
      <w:r>
        <w:rPr>
          <w:spacing w:val="-2"/>
          <w:w w:val="105"/>
        </w:rPr>
        <w:t>Control</w:t>
      </w:r>
      <w:r>
        <w:rPr>
          <w:w w:val="105"/>
        </w:rPr>
        <w:t> </w:t>
      </w:r>
      <w:r>
        <w:rPr>
          <w:spacing w:val="-2"/>
          <w:w w:val="105"/>
        </w:rPr>
        <w:t>over</w:t>
      </w:r>
      <w:r>
        <w:rPr>
          <w:w w:val="105"/>
        </w:rPr>
        <w:t> </w:t>
      </w:r>
      <w:r>
        <w:rPr>
          <w:spacing w:val="-2"/>
          <w:w w:val="105"/>
        </w:rPr>
        <w:t>Financial</w:t>
      </w:r>
      <w:r>
        <w:rPr>
          <w:spacing w:val="1"/>
          <w:w w:val="105"/>
        </w:rPr>
        <w:t> </w:t>
      </w:r>
      <w:r>
        <w:rPr>
          <w:spacing w:val="-2"/>
          <w:w w:val="105"/>
        </w:rPr>
        <w:t>Reporting</w:t>
      </w:r>
    </w:p>
    <w:p>
      <w:pPr>
        <w:pStyle w:val="BodyText"/>
        <w:spacing w:before="40"/>
        <w:rPr>
          <w:b/>
          <w:i/>
        </w:rPr>
      </w:pPr>
    </w:p>
    <w:p>
      <w:pPr>
        <w:pStyle w:val="BodyText"/>
        <w:spacing w:line="266" w:lineRule="auto"/>
        <w:ind w:left="143" w:right="117"/>
      </w:pPr>
      <w:r>
        <w:rPr>
          <w:w w:val="105"/>
        </w:rPr>
        <w:t>We</w:t>
      </w:r>
      <w:r>
        <w:rPr>
          <w:spacing w:val="-2"/>
          <w:w w:val="105"/>
        </w:rPr>
        <w:t> </w:t>
      </w:r>
      <w:r>
        <w:rPr>
          <w:w w:val="105"/>
        </w:rPr>
        <w:t>have</w:t>
      </w:r>
      <w:r>
        <w:rPr>
          <w:spacing w:val="-2"/>
          <w:w w:val="105"/>
        </w:rPr>
        <w:t> </w:t>
      </w:r>
      <w:r>
        <w:rPr>
          <w:w w:val="105"/>
        </w:rPr>
        <w:t>audited</w:t>
      </w:r>
      <w:r>
        <w:rPr>
          <w:spacing w:val="-2"/>
          <w:w w:val="105"/>
        </w:rPr>
        <w:t> </w:t>
      </w:r>
      <w:r>
        <w:rPr>
          <w:w w:val="105"/>
        </w:rPr>
        <w:t>the</w:t>
      </w:r>
      <w:r>
        <w:rPr>
          <w:spacing w:val="-2"/>
          <w:w w:val="105"/>
        </w:rPr>
        <w:t> </w:t>
      </w:r>
      <w:r>
        <w:rPr>
          <w:w w:val="105"/>
        </w:rPr>
        <w:t>accompanying</w:t>
      </w:r>
      <w:r>
        <w:rPr>
          <w:spacing w:val="-2"/>
          <w:w w:val="105"/>
        </w:rPr>
        <w:t> </w:t>
      </w:r>
      <w:r>
        <w:rPr>
          <w:w w:val="105"/>
        </w:rPr>
        <w:t>consolidated</w:t>
      </w:r>
      <w:r>
        <w:rPr>
          <w:spacing w:val="-2"/>
          <w:w w:val="105"/>
        </w:rPr>
        <w:t> </w:t>
      </w:r>
      <w:r>
        <w:rPr>
          <w:w w:val="105"/>
        </w:rPr>
        <w:t>balance</w:t>
      </w:r>
      <w:r>
        <w:rPr>
          <w:spacing w:val="-2"/>
          <w:w w:val="105"/>
        </w:rPr>
        <w:t> </w:t>
      </w:r>
      <w:r>
        <w:rPr>
          <w:w w:val="105"/>
        </w:rPr>
        <w:t>sheets</w:t>
      </w:r>
      <w:r>
        <w:rPr>
          <w:spacing w:val="-2"/>
          <w:w w:val="105"/>
        </w:rPr>
        <w:t> </w:t>
      </w:r>
      <w:r>
        <w:rPr>
          <w:w w:val="105"/>
        </w:rPr>
        <w:t>of</w:t>
      </w:r>
      <w:r>
        <w:rPr>
          <w:spacing w:val="-2"/>
          <w:w w:val="105"/>
        </w:rPr>
        <w:t> </w:t>
      </w:r>
      <w:r>
        <w:rPr>
          <w:w w:val="105"/>
        </w:rPr>
        <w:t>Corning</w:t>
      </w:r>
      <w:r>
        <w:rPr>
          <w:spacing w:val="-2"/>
          <w:w w:val="105"/>
        </w:rPr>
        <w:t> </w:t>
      </w:r>
      <w:r>
        <w:rPr>
          <w:w w:val="105"/>
        </w:rPr>
        <w:t>Incorporated</w:t>
      </w:r>
      <w:r>
        <w:rPr>
          <w:spacing w:val="-2"/>
          <w:w w:val="105"/>
        </w:rPr>
        <w:t> </w:t>
      </w:r>
      <w:r>
        <w:rPr>
          <w:w w:val="105"/>
        </w:rPr>
        <w:t>and</w:t>
      </w:r>
      <w:r>
        <w:rPr>
          <w:spacing w:val="-2"/>
          <w:w w:val="105"/>
        </w:rPr>
        <w:t> </w:t>
      </w:r>
      <w:r>
        <w:rPr>
          <w:w w:val="105"/>
        </w:rPr>
        <w:t>its</w:t>
      </w:r>
      <w:r>
        <w:rPr>
          <w:spacing w:val="-2"/>
          <w:w w:val="105"/>
        </w:rPr>
        <w:t> </w:t>
      </w:r>
      <w:r>
        <w:rPr>
          <w:w w:val="105"/>
        </w:rPr>
        <w:t>subsidiaries</w:t>
      </w:r>
      <w:r>
        <w:rPr>
          <w:spacing w:val="-2"/>
          <w:w w:val="105"/>
        </w:rPr>
        <w:t> </w:t>
      </w:r>
      <w:r>
        <w:rPr>
          <w:w w:val="105"/>
        </w:rPr>
        <w:t>(the “Company”)</w:t>
      </w:r>
      <w:r>
        <w:rPr>
          <w:spacing w:val="-2"/>
          <w:w w:val="105"/>
        </w:rPr>
        <w:t> </w:t>
      </w:r>
      <w:r>
        <w:rPr>
          <w:w w:val="105"/>
        </w:rPr>
        <w:t>as</w:t>
      </w:r>
      <w:r>
        <w:rPr>
          <w:spacing w:val="-2"/>
          <w:w w:val="105"/>
        </w:rPr>
        <w:t> </w:t>
      </w:r>
      <w:r>
        <w:rPr>
          <w:w w:val="105"/>
        </w:rPr>
        <w:t>of</w:t>
      </w:r>
      <w:r>
        <w:rPr>
          <w:spacing w:val="-2"/>
          <w:w w:val="105"/>
        </w:rPr>
        <w:t> </w:t>
      </w:r>
      <w:r>
        <w:rPr>
          <w:w w:val="105"/>
        </w:rPr>
        <w:t>December</w:t>
      </w:r>
      <w:r>
        <w:rPr>
          <w:spacing w:val="-2"/>
          <w:w w:val="105"/>
        </w:rPr>
        <w:t> </w:t>
      </w:r>
      <w:r>
        <w:rPr>
          <w:w w:val="105"/>
        </w:rPr>
        <w:t>31,</w:t>
      </w:r>
      <w:r>
        <w:rPr>
          <w:spacing w:val="-2"/>
          <w:w w:val="105"/>
        </w:rPr>
        <w:t> </w:t>
      </w:r>
      <w:r>
        <w:rPr>
          <w:w w:val="105"/>
        </w:rPr>
        <w:t>2021</w:t>
      </w:r>
      <w:r>
        <w:rPr>
          <w:spacing w:val="-2"/>
          <w:w w:val="105"/>
        </w:rPr>
        <w:t> </w:t>
      </w:r>
      <w:r>
        <w:rPr>
          <w:w w:val="105"/>
        </w:rPr>
        <w:t>and</w:t>
      </w:r>
      <w:r>
        <w:rPr>
          <w:spacing w:val="-2"/>
          <w:w w:val="105"/>
        </w:rPr>
        <w:t> </w:t>
      </w:r>
      <w:r>
        <w:rPr>
          <w:w w:val="105"/>
        </w:rPr>
        <w:t>2020,</w:t>
      </w:r>
      <w:r>
        <w:rPr>
          <w:spacing w:val="-2"/>
          <w:w w:val="105"/>
        </w:rPr>
        <w:t> </w:t>
      </w:r>
      <w:r>
        <w:rPr>
          <w:w w:val="105"/>
        </w:rPr>
        <w:t>and the related</w:t>
      </w:r>
      <w:r>
        <w:rPr>
          <w:spacing w:val="-4"/>
          <w:w w:val="105"/>
        </w:rPr>
        <w:t> </w:t>
      </w:r>
      <w:r>
        <w:rPr>
          <w:w w:val="105"/>
        </w:rPr>
        <w:t>consolidated</w:t>
      </w:r>
      <w:r>
        <w:rPr>
          <w:spacing w:val="-4"/>
          <w:w w:val="105"/>
        </w:rPr>
        <w:t> </w:t>
      </w:r>
      <w:r>
        <w:rPr>
          <w:w w:val="105"/>
        </w:rPr>
        <w:t>statements</w:t>
      </w:r>
      <w:r>
        <w:rPr>
          <w:spacing w:val="-4"/>
          <w:w w:val="105"/>
        </w:rPr>
        <w:t> </w:t>
      </w:r>
      <w:r>
        <w:rPr>
          <w:w w:val="105"/>
        </w:rPr>
        <w:t>of</w:t>
      </w:r>
      <w:r>
        <w:rPr>
          <w:spacing w:val="-4"/>
          <w:w w:val="105"/>
        </w:rPr>
        <w:t> </w:t>
      </w:r>
      <w:r>
        <w:rPr>
          <w:w w:val="105"/>
        </w:rPr>
        <w:t>income,</w:t>
      </w:r>
      <w:r>
        <w:rPr>
          <w:spacing w:val="-4"/>
          <w:w w:val="105"/>
        </w:rPr>
        <w:t> </w:t>
      </w:r>
      <w:r>
        <w:rPr>
          <w:w w:val="105"/>
        </w:rPr>
        <w:t>comprehensive</w:t>
      </w:r>
      <w:r>
        <w:rPr>
          <w:spacing w:val="-4"/>
          <w:w w:val="105"/>
        </w:rPr>
        <w:t> </w:t>
      </w:r>
      <w:r>
        <w:rPr>
          <w:w w:val="105"/>
        </w:rPr>
        <w:t>income,</w:t>
      </w:r>
      <w:r>
        <w:rPr>
          <w:spacing w:val="-4"/>
          <w:w w:val="105"/>
        </w:rPr>
        <w:t> </w:t>
      </w:r>
      <w:r>
        <w:rPr>
          <w:w w:val="105"/>
        </w:rPr>
        <w:t>changes</w:t>
      </w:r>
      <w:r>
        <w:rPr>
          <w:spacing w:val="-2"/>
          <w:w w:val="105"/>
        </w:rPr>
        <w:t> </w:t>
      </w:r>
      <w:r>
        <w:rPr>
          <w:w w:val="105"/>
        </w:rPr>
        <w:t>in</w:t>
      </w:r>
      <w:r>
        <w:rPr>
          <w:spacing w:val="-4"/>
          <w:w w:val="105"/>
        </w:rPr>
        <w:t> </w:t>
      </w:r>
      <w:r>
        <w:rPr>
          <w:w w:val="105"/>
        </w:rPr>
        <w:t>shareholders’</w:t>
      </w:r>
      <w:r>
        <w:rPr>
          <w:spacing w:val="-4"/>
          <w:w w:val="105"/>
        </w:rPr>
        <w:t> </w:t>
      </w:r>
      <w:r>
        <w:rPr>
          <w:w w:val="105"/>
        </w:rPr>
        <w:t>equity</w:t>
      </w:r>
      <w:r>
        <w:rPr>
          <w:spacing w:val="-4"/>
          <w:w w:val="105"/>
        </w:rPr>
        <w:t> </w:t>
      </w:r>
      <w:r>
        <w:rPr>
          <w:w w:val="105"/>
        </w:rPr>
        <w:t>and</w:t>
      </w:r>
      <w:r>
        <w:rPr>
          <w:spacing w:val="-4"/>
          <w:w w:val="105"/>
        </w:rPr>
        <w:t> </w:t>
      </w:r>
      <w:r>
        <w:rPr>
          <w:w w:val="105"/>
        </w:rPr>
        <w:t>cash</w:t>
      </w:r>
      <w:r>
        <w:rPr>
          <w:spacing w:val="-4"/>
          <w:w w:val="105"/>
        </w:rPr>
        <w:t> </w:t>
      </w:r>
      <w:r>
        <w:rPr>
          <w:w w:val="105"/>
        </w:rPr>
        <w:t>flows</w:t>
      </w:r>
      <w:r>
        <w:rPr>
          <w:spacing w:val="-4"/>
          <w:w w:val="105"/>
        </w:rPr>
        <w:t> </w:t>
      </w:r>
      <w:r>
        <w:rPr>
          <w:w w:val="105"/>
        </w:rPr>
        <w:t>for</w:t>
      </w:r>
      <w:r>
        <w:rPr>
          <w:spacing w:val="-4"/>
          <w:w w:val="105"/>
        </w:rPr>
        <w:t> </w:t>
      </w:r>
      <w:r>
        <w:rPr>
          <w:w w:val="105"/>
        </w:rPr>
        <w:t>each</w:t>
      </w:r>
      <w:r>
        <w:rPr>
          <w:spacing w:val="-4"/>
          <w:w w:val="105"/>
        </w:rPr>
        <w:t> </w:t>
      </w:r>
      <w:r>
        <w:rPr>
          <w:w w:val="105"/>
        </w:rPr>
        <w:t>of</w:t>
      </w:r>
      <w:r>
        <w:rPr>
          <w:spacing w:val="-4"/>
          <w:w w:val="105"/>
        </w:rPr>
        <w:t> </w:t>
      </w:r>
      <w:r>
        <w:rPr>
          <w:w w:val="105"/>
        </w:rPr>
        <w:t>the</w:t>
      </w:r>
      <w:r>
        <w:rPr>
          <w:spacing w:val="-4"/>
          <w:w w:val="105"/>
        </w:rPr>
        <w:t> </w:t>
      </w:r>
      <w:r>
        <w:rPr>
          <w:w w:val="105"/>
        </w:rPr>
        <w:t>three</w:t>
      </w:r>
      <w:r>
        <w:rPr>
          <w:spacing w:val="-4"/>
          <w:w w:val="105"/>
        </w:rPr>
        <w:t> </w:t>
      </w:r>
      <w:r>
        <w:rPr>
          <w:w w:val="105"/>
        </w:rPr>
        <w:t>years</w:t>
      </w:r>
      <w:r>
        <w:rPr>
          <w:spacing w:val="-4"/>
          <w:w w:val="105"/>
        </w:rPr>
        <w:t> </w:t>
      </w:r>
      <w:r>
        <w:rPr>
          <w:w w:val="105"/>
        </w:rPr>
        <w:t>in</w:t>
      </w:r>
      <w:r>
        <w:rPr>
          <w:spacing w:val="-4"/>
          <w:w w:val="105"/>
        </w:rPr>
        <w:t> </w:t>
      </w:r>
      <w:r>
        <w:rPr>
          <w:w w:val="105"/>
        </w:rPr>
        <w:t>the</w:t>
      </w:r>
      <w:r>
        <w:rPr>
          <w:spacing w:val="-4"/>
          <w:w w:val="105"/>
        </w:rPr>
        <w:t> </w:t>
      </w:r>
      <w:r>
        <w:rPr>
          <w:w w:val="105"/>
        </w:rPr>
        <w:t>period</w:t>
      </w:r>
      <w:r>
        <w:rPr>
          <w:spacing w:val="-4"/>
          <w:w w:val="105"/>
        </w:rPr>
        <w:t> </w:t>
      </w:r>
      <w:r>
        <w:rPr>
          <w:w w:val="105"/>
        </w:rPr>
        <w:t>ended</w:t>
      </w:r>
      <w:r>
        <w:rPr>
          <w:spacing w:val="-4"/>
          <w:w w:val="105"/>
        </w:rPr>
        <w:t> </w:t>
      </w:r>
      <w:r>
        <w:rPr>
          <w:w w:val="105"/>
        </w:rPr>
        <w:t>December 31,</w:t>
      </w:r>
      <w:r>
        <w:rPr>
          <w:spacing w:val="-6"/>
          <w:w w:val="105"/>
        </w:rPr>
        <w:t> </w:t>
      </w:r>
      <w:r>
        <w:rPr>
          <w:w w:val="105"/>
        </w:rPr>
        <w:t>2021,</w:t>
      </w:r>
      <w:r>
        <w:rPr>
          <w:spacing w:val="-6"/>
          <w:w w:val="105"/>
        </w:rPr>
        <w:t> </w:t>
      </w:r>
      <w:r>
        <w:rPr>
          <w:w w:val="105"/>
        </w:rPr>
        <w:t>including</w:t>
      </w:r>
      <w:r>
        <w:rPr>
          <w:spacing w:val="-6"/>
          <w:w w:val="105"/>
        </w:rPr>
        <w:t> </w:t>
      </w:r>
      <w:r>
        <w:rPr>
          <w:w w:val="105"/>
        </w:rPr>
        <w:t>the</w:t>
      </w:r>
      <w:r>
        <w:rPr>
          <w:spacing w:val="-6"/>
          <w:w w:val="105"/>
        </w:rPr>
        <w:t> </w:t>
      </w:r>
      <w:r>
        <w:rPr>
          <w:w w:val="105"/>
        </w:rPr>
        <w:t>related</w:t>
      </w:r>
      <w:r>
        <w:rPr>
          <w:spacing w:val="-6"/>
          <w:w w:val="105"/>
        </w:rPr>
        <w:t> </w:t>
      </w:r>
      <w:r>
        <w:rPr>
          <w:w w:val="105"/>
        </w:rPr>
        <w:t>notes</w:t>
      </w:r>
      <w:r>
        <w:rPr>
          <w:spacing w:val="-6"/>
          <w:w w:val="105"/>
        </w:rPr>
        <w:t> </w:t>
      </w:r>
      <w:r>
        <w:rPr>
          <w:w w:val="105"/>
        </w:rPr>
        <w:t>(collectively</w:t>
      </w:r>
      <w:r>
        <w:rPr>
          <w:spacing w:val="-6"/>
          <w:w w:val="105"/>
        </w:rPr>
        <w:t> </w:t>
      </w:r>
      <w:r>
        <w:rPr>
          <w:w w:val="105"/>
        </w:rPr>
        <w:t>referred</w:t>
      </w:r>
      <w:r>
        <w:rPr>
          <w:spacing w:val="-6"/>
          <w:w w:val="105"/>
        </w:rPr>
        <w:t> </w:t>
      </w:r>
      <w:r>
        <w:rPr>
          <w:w w:val="105"/>
        </w:rPr>
        <w:t>to</w:t>
      </w:r>
      <w:r>
        <w:rPr>
          <w:spacing w:val="-6"/>
          <w:w w:val="105"/>
        </w:rPr>
        <w:t> </w:t>
      </w:r>
      <w:r>
        <w:rPr>
          <w:w w:val="105"/>
        </w:rPr>
        <w:t>as</w:t>
      </w:r>
      <w:r>
        <w:rPr>
          <w:spacing w:val="-6"/>
          <w:w w:val="105"/>
        </w:rPr>
        <w:t> </w:t>
      </w:r>
      <w:r>
        <w:rPr>
          <w:w w:val="105"/>
        </w:rPr>
        <w:t>the</w:t>
      </w:r>
      <w:r>
        <w:rPr>
          <w:spacing w:val="-6"/>
          <w:w w:val="105"/>
        </w:rPr>
        <w:t> </w:t>
      </w:r>
      <w:r>
        <w:rPr>
          <w:w w:val="105"/>
        </w:rPr>
        <w:t>“consolidated</w:t>
      </w:r>
      <w:r>
        <w:rPr>
          <w:spacing w:val="-6"/>
          <w:w w:val="105"/>
        </w:rPr>
        <w:t> </w:t>
      </w:r>
      <w:r>
        <w:rPr>
          <w:w w:val="105"/>
        </w:rPr>
        <w:t>financial</w:t>
      </w:r>
      <w:r>
        <w:rPr>
          <w:spacing w:val="-6"/>
          <w:w w:val="105"/>
        </w:rPr>
        <w:t> </w:t>
      </w:r>
      <w:r>
        <w:rPr>
          <w:w w:val="105"/>
        </w:rPr>
        <w:t>statements”).</w:t>
      </w:r>
      <w:r>
        <w:rPr>
          <w:spacing w:val="-8"/>
          <w:w w:val="105"/>
        </w:rPr>
        <w:t> </w:t>
      </w:r>
      <w:r>
        <w:rPr>
          <w:w w:val="105"/>
        </w:rPr>
        <w:t>We</w:t>
      </w:r>
      <w:r>
        <w:rPr>
          <w:spacing w:val="-6"/>
          <w:w w:val="105"/>
        </w:rPr>
        <w:t> </w:t>
      </w:r>
      <w:r>
        <w:rPr>
          <w:w w:val="105"/>
        </w:rPr>
        <w:t>also</w:t>
      </w:r>
      <w:r>
        <w:rPr>
          <w:spacing w:val="-6"/>
          <w:w w:val="105"/>
        </w:rPr>
        <w:t> </w:t>
      </w:r>
      <w:r>
        <w:rPr>
          <w:w w:val="105"/>
        </w:rPr>
        <w:t>have</w:t>
      </w:r>
      <w:r>
        <w:rPr>
          <w:spacing w:val="-6"/>
          <w:w w:val="105"/>
        </w:rPr>
        <w:t> </w:t>
      </w:r>
      <w:r>
        <w:rPr>
          <w:w w:val="105"/>
        </w:rPr>
        <w:t>audited</w:t>
      </w:r>
      <w:r>
        <w:rPr>
          <w:spacing w:val="-6"/>
          <w:w w:val="105"/>
        </w:rPr>
        <w:t> </w:t>
      </w:r>
      <w:r>
        <w:rPr>
          <w:w w:val="105"/>
        </w:rPr>
        <w:t>the</w:t>
      </w:r>
      <w:r>
        <w:rPr>
          <w:spacing w:val="-6"/>
          <w:w w:val="105"/>
        </w:rPr>
        <w:t> </w:t>
      </w:r>
      <w:r>
        <w:rPr>
          <w:w w:val="105"/>
        </w:rPr>
        <w:t>Company's</w:t>
      </w:r>
      <w:r>
        <w:rPr>
          <w:spacing w:val="-6"/>
          <w:w w:val="105"/>
        </w:rPr>
        <w:t> </w:t>
      </w:r>
      <w:r>
        <w:rPr>
          <w:w w:val="105"/>
        </w:rPr>
        <w:t>internal</w:t>
      </w:r>
      <w:r>
        <w:rPr>
          <w:spacing w:val="-6"/>
          <w:w w:val="105"/>
        </w:rPr>
        <w:t> </w:t>
      </w:r>
      <w:r>
        <w:rPr>
          <w:w w:val="105"/>
        </w:rPr>
        <w:t>control</w:t>
      </w:r>
      <w:r>
        <w:rPr>
          <w:spacing w:val="-6"/>
          <w:w w:val="105"/>
        </w:rPr>
        <w:t> </w:t>
      </w:r>
      <w:r>
        <w:rPr>
          <w:w w:val="105"/>
        </w:rPr>
        <w:t>over</w:t>
      </w:r>
      <w:r>
        <w:rPr>
          <w:spacing w:val="-4"/>
          <w:w w:val="105"/>
        </w:rPr>
        <w:t> </w:t>
      </w:r>
      <w:r>
        <w:rPr>
          <w:w w:val="105"/>
        </w:rPr>
        <w:t>financial reporting</w:t>
      </w:r>
      <w:r>
        <w:rPr>
          <w:spacing w:val="-9"/>
          <w:w w:val="105"/>
        </w:rPr>
        <w:t> </w:t>
      </w: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2021,</w:t>
      </w:r>
      <w:r>
        <w:rPr>
          <w:spacing w:val="-9"/>
          <w:w w:val="105"/>
        </w:rPr>
        <w:t> </w:t>
      </w:r>
      <w:r>
        <w:rPr>
          <w:w w:val="105"/>
        </w:rPr>
        <w:t>based</w:t>
      </w:r>
      <w:r>
        <w:rPr>
          <w:spacing w:val="-9"/>
          <w:w w:val="105"/>
        </w:rPr>
        <w:t> </w:t>
      </w:r>
      <w:r>
        <w:rPr>
          <w:w w:val="105"/>
        </w:rPr>
        <w:t>on</w:t>
      </w:r>
      <w:r>
        <w:rPr>
          <w:spacing w:val="-9"/>
          <w:w w:val="105"/>
        </w:rPr>
        <w:t> </w:t>
      </w:r>
      <w:r>
        <w:rPr>
          <w:w w:val="105"/>
        </w:rPr>
        <w:t>criteria</w:t>
      </w:r>
      <w:r>
        <w:rPr>
          <w:spacing w:val="-9"/>
          <w:w w:val="105"/>
        </w:rPr>
        <w:t> </w:t>
      </w:r>
      <w:r>
        <w:rPr>
          <w:w w:val="105"/>
        </w:rPr>
        <w:t>established</w:t>
      </w:r>
      <w:r>
        <w:rPr>
          <w:spacing w:val="-9"/>
          <w:w w:val="105"/>
        </w:rPr>
        <w:t> </w:t>
      </w:r>
      <w:r>
        <w:rPr>
          <w:w w:val="105"/>
        </w:rPr>
        <w:t>in</w:t>
      </w:r>
      <w:r>
        <w:rPr>
          <w:spacing w:val="-9"/>
          <w:w w:val="105"/>
        </w:rPr>
        <w:t> </w:t>
      </w:r>
      <w:r>
        <w:rPr>
          <w:i/>
          <w:w w:val="105"/>
        </w:rPr>
        <w:t>Internal</w:t>
      </w:r>
      <w:r>
        <w:rPr>
          <w:i/>
          <w:spacing w:val="-9"/>
          <w:w w:val="105"/>
        </w:rPr>
        <w:t> </w:t>
      </w:r>
      <w:r>
        <w:rPr>
          <w:i/>
          <w:w w:val="105"/>
        </w:rPr>
        <w:t>Control</w:t>
      </w:r>
      <w:r>
        <w:rPr>
          <w:i/>
          <w:spacing w:val="-9"/>
          <w:w w:val="105"/>
        </w:rPr>
        <w:t> </w:t>
      </w:r>
      <w:r>
        <w:rPr>
          <w:i/>
          <w:w w:val="105"/>
        </w:rPr>
        <w:t>-</w:t>
      </w:r>
      <w:r>
        <w:rPr>
          <w:i/>
          <w:spacing w:val="-9"/>
          <w:w w:val="105"/>
        </w:rPr>
        <w:t> </w:t>
      </w:r>
      <w:r>
        <w:rPr>
          <w:i/>
          <w:w w:val="105"/>
        </w:rPr>
        <w:t>Integrated</w:t>
      </w:r>
      <w:r>
        <w:rPr>
          <w:i/>
          <w:spacing w:val="-9"/>
          <w:w w:val="105"/>
        </w:rPr>
        <w:t> </w:t>
      </w:r>
      <w:r>
        <w:rPr>
          <w:i/>
          <w:w w:val="105"/>
        </w:rPr>
        <w:t>Framework</w:t>
      </w:r>
      <w:r>
        <w:rPr>
          <w:i/>
          <w:spacing w:val="-8"/>
          <w:w w:val="105"/>
        </w:rPr>
        <w:t> </w:t>
      </w:r>
      <w:r>
        <w:rPr>
          <w:w w:val="105"/>
        </w:rPr>
        <w:t>(2013)</w:t>
      </w:r>
      <w:r>
        <w:rPr>
          <w:spacing w:val="-9"/>
          <w:w w:val="105"/>
        </w:rPr>
        <w:t> </w:t>
      </w:r>
      <w:r>
        <w:rPr>
          <w:w w:val="105"/>
        </w:rPr>
        <w:t>issued</w:t>
      </w:r>
      <w:r>
        <w:rPr>
          <w:spacing w:val="-9"/>
          <w:w w:val="105"/>
        </w:rPr>
        <w:t> </w:t>
      </w:r>
      <w:r>
        <w:rPr>
          <w:w w:val="105"/>
        </w:rPr>
        <w:t>by</w:t>
      </w:r>
      <w:r>
        <w:rPr>
          <w:spacing w:val="-9"/>
          <w:w w:val="105"/>
        </w:rPr>
        <w:t> </w:t>
      </w:r>
      <w:r>
        <w:rPr>
          <w:w w:val="105"/>
        </w:rPr>
        <w:t>the</w:t>
      </w:r>
      <w:r>
        <w:rPr>
          <w:spacing w:val="-9"/>
          <w:w w:val="105"/>
        </w:rPr>
        <w:t> </w:t>
      </w:r>
      <w:r>
        <w:rPr>
          <w:w w:val="105"/>
        </w:rPr>
        <w:t>Committee</w:t>
      </w:r>
      <w:r>
        <w:rPr>
          <w:spacing w:val="-9"/>
          <w:w w:val="105"/>
        </w:rPr>
        <w:t> </w:t>
      </w:r>
      <w:r>
        <w:rPr>
          <w:w w:val="105"/>
        </w:rPr>
        <w:t>of</w:t>
      </w:r>
      <w:r>
        <w:rPr>
          <w:spacing w:val="-9"/>
          <w:w w:val="105"/>
        </w:rPr>
        <w:t> </w:t>
      </w:r>
      <w:r>
        <w:rPr>
          <w:w w:val="105"/>
        </w:rPr>
        <w:t>Sponsoring</w:t>
      </w:r>
      <w:r>
        <w:rPr>
          <w:spacing w:val="-9"/>
          <w:w w:val="105"/>
        </w:rPr>
        <w:t> </w:t>
      </w:r>
      <w:r>
        <w:rPr>
          <w:w w:val="105"/>
        </w:rPr>
        <w:t>Organizations</w:t>
      </w:r>
      <w:r>
        <w:rPr>
          <w:spacing w:val="-9"/>
          <w:w w:val="105"/>
        </w:rPr>
        <w:t> </w:t>
      </w:r>
      <w:r>
        <w:rPr>
          <w:w w:val="105"/>
        </w:rPr>
        <w:t>of the Treadway Commission (COSO).</w:t>
      </w:r>
    </w:p>
    <w:p>
      <w:pPr>
        <w:pStyle w:val="BodyText"/>
        <w:spacing w:before="18"/>
      </w:pPr>
    </w:p>
    <w:p>
      <w:pPr>
        <w:pStyle w:val="BodyText"/>
        <w:spacing w:line="266" w:lineRule="auto"/>
        <w:ind w:left="143" w:right="139"/>
      </w:pPr>
      <w:r>
        <w:rPr>
          <w:w w:val="105"/>
        </w:rPr>
        <w:t>In</w:t>
      </w:r>
      <w:r>
        <w:rPr>
          <w:spacing w:val="-8"/>
          <w:w w:val="105"/>
        </w:rPr>
        <w:t> </w:t>
      </w:r>
      <w:r>
        <w:rPr>
          <w:w w:val="105"/>
        </w:rPr>
        <w:t>our</w:t>
      </w:r>
      <w:r>
        <w:rPr>
          <w:spacing w:val="-8"/>
          <w:w w:val="105"/>
        </w:rPr>
        <w:t> </w:t>
      </w:r>
      <w:r>
        <w:rPr>
          <w:w w:val="105"/>
        </w:rPr>
        <w:t>opinion,</w:t>
      </w:r>
      <w:r>
        <w:rPr>
          <w:spacing w:val="-8"/>
          <w:w w:val="105"/>
        </w:rPr>
        <w:t> </w:t>
      </w:r>
      <w:r>
        <w:rPr>
          <w:w w:val="105"/>
        </w:rPr>
        <w:t>the</w:t>
      </w:r>
      <w:r>
        <w:rPr>
          <w:spacing w:val="-8"/>
          <w:w w:val="105"/>
        </w:rPr>
        <w:t> </w:t>
      </w:r>
      <w:r>
        <w:rPr>
          <w:w w:val="105"/>
        </w:rPr>
        <w:t>consolidated</w:t>
      </w:r>
      <w:r>
        <w:rPr>
          <w:spacing w:val="-6"/>
          <w:w w:val="105"/>
        </w:rPr>
        <w:t> </w:t>
      </w:r>
      <w:r>
        <w:rPr>
          <w:w w:val="105"/>
        </w:rPr>
        <w:t>financial</w:t>
      </w:r>
      <w:r>
        <w:rPr>
          <w:spacing w:val="-8"/>
          <w:w w:val="105"/>
        </w:rPr>
        <w:t> </w:t>
      </w:r>
      <w:r>
        <w:rPr>
          <w:w w:val="105"/>
        </w:rPr>
        <w:t>statements</w:t>
      </w:r>
      <w:r>
        <w:rPr>
          <w:spacing w:val="-8"/>
          <w:w w:val="105"/>
        </w:rPr>
        <w:t> </w:t>
      </w:r>
      <w:r>
        <w:rPr>
          <w:w w:val="105"/>
        </w:rPr>
        <w:t>referred</w:t>
      </w:r>
      <w:r>
        <w:rPr>
          <w:spacing w:val="-8"/>
          <w:w w:val="105"/>
        </w:rPr>
        <w:t> </w:t>
      </w:r>
      <w:r>
        <w:rPr>
          <w:w w:val="105"/>
        </w:rPr>
        <w:t>to</w:t>
      </w:r>
      <w:r>
        <w:rPr>
          <w:spacing w:val="-8"/>
          <w:w w:val="105"/>
        </w:rPr>
        <w:t> </w:t>
      </w:r>
      <w:r>
        <w:rPr>
          <w:w w:val="105"/>
        </w:rPr>
        <w:t>above</w:t>
      </w:r>
      <w:r>
        <w:rPr>
          <w:spacing w:val="-8"/>
          <w:w w:val="105"/>
        </w:rPr>
        <w:t> </w:t>
      </w:r>
      <w:r>
        <w:rPr>
          <w:w w:val="105"/>
        </w:rPr>
        <w:t>present</w:t>
      </w:r>
      <w:r>
        <w:rPr>
          <w:spacing w:val="-8"/>
          <w:w w:val="105"/>
        </w:rPr>
        <w:t> </w:t>
      </w:r>
      <w:r>
        <w:rPr>
          <w:w w:val="105"/>
        </w:rPr>
        <w:t>fairly,</w:t>
      </w:r>
      <w:r>
        <w:rPr>
          <w:spacing w:val="-8"/>
          <w:w w:val="105"/>
        </w:rPr>
        <w:t> </w:t>
      </w:r>
      <w:r>
        <w:rPr>
          <w:w w:val="105"/>
        </w:rPr>
        <w:t>in</w:t>
      </w:r>
      <w:r>
        <w:rPr>
          <w:spacing w:val="-8"/>
          <w:w w:val="105"/>
        </w:rPr>
        <w:t> </w:t>
      </w:r>
      <w:r>
        <w:rPr>
          <w:w w:val="105"/>
        </w:rPr>
        <w:t>all</w:t>
      </w:r>
      <w:r>
        <w:rPr>
          <w:spacing w:val="-8"/>
          <w:w w:val="105"/>
        </w:rPr>
        <w:t> </w:t>
      </w:r>
      <w:r>
        <w:rPr>
          <w:w w:val="105"/>
        </w:rPr>
        <w:t>material</w:t>
      </w:r>
      <w:r>
        <w:rPr>
          <w:spacing w:val="-8"/>
          <w:w w:val="105"/>
        </w:rPr>
        <w:t> </w:t>
      </w:r>
      <w:r>
        <w:rPr>
          <w:w w:val="105"/>
        </w:rPr>
        <w:t>respects,</w:t>
      </w:r>
      <w:r>
        <w:rPr>
          <w:spacing w:val="-8"/>
          <w:w w:val="105"/>
        </w:rPr>
        <w:t> </w:t>
      </w:r>
      <w:r>
        <w:rPr>
          <w:w w:val="105"/>
        </w:rPr>
        <w:t>the</w:t>
      </w:r>
      <w:r>
        <w:rPr>
          <w:spacing w:val="-8"/>
          <w:w w:val="105"/>
        </w:rPr>
        <w:t> </w:t>
      </w:r>
      <w:r>
        <w:rPr>
          <w:w w:val="105"/>
        </w:rPr>
        <w:t>financial</w:t>
      </w:r>
      <w:r>
        <w:rPr>
          <w:spacing w:val="-8"/>
          <w:w w:val="105"/>
        </w:rPr>
        <w:t> </w:t>
      </w:r>
      <w:r>
        <w:rPr>
          <w:w w:val="105"/>
        </w:rPr>
        <w:t>position</w:t>
      </w:r>
      <w:r>
        <w:rPr>
          <w:spacing w:val="-8"/>
          <w:w w:val="105"/>
        </w:rPr>
        <w:t> </w:t>
      </w:r>
      <w:r>
        <w:rPr>
          <w:w w:val="105"/>
        </w:rPr>
        <w:t>of</w:t>
      </w:r>
      <w:r>
        <w:rPr>
          <w:spacing w:val="-8"/>
          <w:w w:val="105"/>
        </w:rPr>
        <w:t> </w:t>
      </w:r>
      <w:r>
        <w:rPr>
          <w:w w:val="105"/>
        </w:rPr>
        <w:t>the</w:t>
      </w:r>
      <w:r>
        <w:rPr>
          <w:spacing w:val="-8"/>
          <w:w w:val="105"/>
        </w:rPr>
        <w:t> </w:t>
      </w:r>
      <w:r>
        <w:rPr>
          <w:w w:val="105"/>
        </w:rPr>
        <w:t>Company</w:t>
      </w:r>
      <w:r>
        <w:rPr>
          <w:spacing w:val="-8"/>
          <w:w w:val="105"/>
        </w:rPr>
        <w:t> </w:t>
      </w:r>
      <w:r>
        <w:rPr>
          <w:w w:val="105"/>
        </w:rPr>
        <w:t>as</w:t>
      </w:r>
      <w:r>
        <w:rPr>
          <w:spacing w:val="-8"/>
          <w:w w:val="105"/>
        </w:rPr>
        <w:t> </w:t>
      </w:r>
      <w:r>
        <w:rPr>
          <w:w w:val="105"/>
        </w:rPr>
        <w:t>of</w:t>
      </w:r>
      <w:r>
        <w:rPr>
          <w:spacing w:val="-8"/>
          <w:w w:val="105"/>
        </w:rPr>
        <w:t> </w:t>
      </w:r>
      <w:r>
        <w:rPr>
          <w:w w:val="105"/>
        </w:rPr>
        <w:t>December</w:t>
      </w:r>
      <w:r>
        <w:rPr>
          <w:spacing w:val="-8"/>
          <w:w w:val="105"/>
        </w:rPr>
        <w:t> </w:t>
      </w:r>
      <w:r>
        <w:rPr>
          <w:w w:val="105"/>
        </w:rPr>
        <w:t>31,</w:t>
      </w:r>
      <w:r>
        <w:rPr>
          <w:spacing w:val="-8"/>
          <w:w w:val="105"/>
        </w:rPr>
        <w:t> </w:t>
      </w:r>
      <w:r>
        <w:rPr>
          <w:w w:val="105"/>
        </w:rPr>
        <w:t>2021 and</w:t>
      </w:r>
      <w:r>
        <w:rPr>
          <w:spacing w:val="-2"/>
          <w:w w:val="105"/>
        </w:rPr>
        <w:t> </w:t>
      </w:r>
      <w:r>
        <w:rPr>
          <w:w w:val="105"/>
        </w:rPr>
        <w:t>2020</w:t>
      </w:r>
      <w:r>
        <w:rPr>
          <w:b/>
          <w:w w:val="105"/>
        </w:rPr>
        <w:t>,</w:t>
      </w:r>
      <w:r>
        <w:rPr>
          <w:b/>
          <w:spacing w:val="-2"/>
          <w:w w:val="105"/>
        </w:rPr>
        <w:t> </w:t>
      </w:r>
      <w:r>
        <w:rPr>
          <w:w w:val="105"/>
        </w:rPr>
        <w:t>and</w:t>
      </w:r>
      <w:r>
        <w:rPr>
          <w:spacing w:val="-2"/>
          <w:w w:val="105"/>
        </w:rPr>
        <w:t> </w:t>
      </w:r>
      <w:r>
        <w:rPr>
          <w:w w:val="105"/>
        </w:rPr>
        <w:t>the</w:t>
      </w:r>
      <w:r>
        <w:rPr>
          <w:spacing w:val="-2"/>
          <w:w w:val="105"/>
        </w:rPr>
        <w:t> </w:t>
      </w:r>
      <w:r>
        <w:rPr>
          <w:w w:val="105"/>
        </w:rPr>
        <w:t>results</w:t>
      </w:r>
      <w:r>
        <w:rPr>
          <w:spacing w:val="-2"/>
          <w:w w:val="105"/>
        </w:rPr>
        <w:t> </w:t>
      </w:r>
      <w:r>
        <w:rPr>
          <w:w w:val="105"/>
        </w:rPr>
        <w:t>of</w:t>
      </w:r>
      <w:r>
        <w:rPr>
          <w:spacing w:val="-2"/>
          <w:w w:val="105"/>
        </w:rPr>
        <w:t> </w:t>
      </w:r>
      <w:r>
        <w:rPr>
          <w:w w:val="105"/>
        </w:rPr>
        <w:t>its</w:t>
      </w:r>
      <w:r>
        <w:rPr>
          <w:spacing w:val="-2"/>
          <w:w w:val="105"/>
        </w:rPr>
        <w:t> </w:t>
      </w:r>
      <w:r>
        <w:rPr>
          <w:w w:val="105"/>
        </w:rPr>
        <w:t>operations</w:t>
      </w:r>
      <w:r>
        <w:rPr>
          <w:spacing w:val="-2"/>
          <w:w w:val="105"/>
        </w:rPr>
        <w:t> </w:t>
      </w:r>
      <w:r>
        <w:rPr>
          <w:w w:val="105"/>
        </w:rPr>
        <w:t>and</w:t>
      </w:r>
      <w:r>
        <w:rPr>
          <w:spacing w:val="-2"/>
          <w:w w:val="105"/>
        </w:rPr>
        <w:t> </w:t>
      </w:r>
      <w:r>
        <w:rPr>
          <w:w w:val="105"/>
        </w:rPr>
        <w:t>its</w:t>
      </w:r>
      <w:r>
        <w:rPr>
          <w:spacing w:val="-2"/>
          <w:w w:val="105"/>
        </w:rPr>
        <w:t> </w:t>
      </w:r>
      <w:r>
        <w:rPr>
          <w:w w:val="105"/>
        </w:rPr>
        <w:t>cash</w:t>
      </w:r>
      <w:r>
        <w:rPr>
          <w:spacing w:val="-2"/>
          <w:w w:val="105"/>
        </w:rPr>
        <w:t> </w:t>
      </w:r>
      <w:r>
        <w:rPr>
          <w:w w:val="105"/>
        </w:rPr>
        <w:t>flows</w:t>
      </w:r>
      <w:r>
        <w:rPr>
          <w:spacing w:val="-2"/>
          <w:w w:val="105"/>
        </w:rPr>
        <w:t> </w:t>
      </w:r>
      <w:r>
        <w:rPr>
          <w:w w:val="105"/>
        </w:rPr>
        <w:t>for</w:t>
      </w:r>
      <w:r>
        <w:rPr>
          <w:spacing w:val="-2"/>
          <w:w w:val="105"/>
        </w:rPr>
        <w:t> </w:t>
      </w:r>
      <w:r>
        <w:rPr>
          <w:w w:val="105"/>
        </w:rPr>
        <w:t>each</w:t>
      </w:r>
      <w:r>
        <w:rPr>
          <w:spacing w:val="-2"/>
          <w:w w:val="105"/>
        </w:rPr>
        <w:t> </w:t>
      </w:r>
      <w:r>
        <w:rPr>
          <w:w w:val="105"/>
        </w:rPr>
        <w:t>of</w:t>
      </w:r>
      <w:r>
        <w:rPr>
          <w:spacing w:val="-2"/>
          <w:w w:val="105"/>
        </w:rPr>
        <w:t> </w:t>
      </w:r>
      <w:r>
        <w:rPr>
          <w:w w:val="105"/>
        </w:rPr>
        <w:t>the</w:t>
      </w:r>
      <w:r>
        <w:rPr>
          <w:spacing w:val="-2"/>
          <w:w w:val="105"/>
        </w:rPr>
        <w:t> </w:t>
      </w:r>
      <w:r>
        <w:rPr>
          <w:w w:val="105"/>
        </w:rPr>
        <w:t>three</w:t>
      </w:r>
      <w:r>
        <w:rPr>
          <w:spacing w:val="-2"/>
          <w:w w:val="105"/>
        </w:rPr>
        <w:t> </w:t>
      </w:r>
      <w:r>
        <w:rPr>
          <w:w w:val="105"/>
        </w:rPr>
        <w:t>years</w:t>
      </w:r>
      <w:r>
        <w:rPr>
          <w:spacing w:val="-2"/>
          <w:w w:val="105"/>
        </w:rPr>
        <w:t> </w:t>
      </w:r>
      <w:r>
        <w:rPr>
          <w:w w:val="105"/>
        </w:rPr>
        <w:t>in</w:t>
      </w:r>
      <w:r>
        <w:rPr>
          <w:spacing w:val="-2"/>
          <w:w w:val="105"/>
        </w:rPr>
        <w:t> </w:t>
      </w:r>
      <w:r>
        <w:rPr>
          <w:w w:val="105"/>
        </w:rPr>
        <w:t>the</w:t>
      </w:r>
      <w:r>
        <w:rPr>
          <w:spacing w:val="-2"/>
          <w:w w:val="105"/>
        </w:rPr>
        <w:t> </w:t>
      </w:r>
      <w:r>
        <w:rPr>
          <w:w w:val="105"/>
        </w:rPr>
        <w:t>period</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2021 in</w:t>
      </w:r>
      <w:r>
        <w:rPr>
          <w:spacing w:val="-2"/>
          <w:w w:val="105"/>
        </w:rPr>
        <w:t> </w:t>
      </w:r>
      <w:r>
        <w:rPr>
          <w:w w:val="105"/>
        </w:rPr>
        <w:t>conformity</w:t>
      </w:r>
      <w:r>
        <w:rPr>
          <w:spacing w:val="-2"/>
          <w:w w:val="105"/>
        </w:rPr>
        <w:t> </w:t>
      </w:r>
      <w:r>
        <w:rPr>
          <w:w w:val="105"/>
        </w:rPr>
        <w:t>with</w:t>
      </w:r>
      <w:r>
        <w:rPr>
          <w:spacing w:val="-2"/>
          <w:w w:val="105"/>
        </w:rPr>
        <w:t> </w:t>
      </w:r>
      <w:r>
        <w:rPr>
          <w:w w:val="105"/>
        </w:rPr>
        <w:t>accounting</w:t>
      </w:r>
      <w:r>
        <w:rPr>
          <w:spacing w:val="-2"/>
          <w:w w:val="105"/>
        </w:rPr>
        <w:t> </w:t>
      </w:r>
      <w:r>
        <w:rPr>
          <w:w w:val="105"/>
        </w:rPr>
        <w:t>principles generally</w:t>
      </w:r>
      <w:r>
        <w:rPr>
          <w:spacing w:val="-7"/>
          <w:w w:val="105"/>
        </w:rPr>
        <w:t> </w:t>
      </w:r>
      <w:r>
        <w:rPr>
          <w:w w:val="105"/>
        </w:rPr>
        <w:t>accepted</w:t>
      </w:r>
      <w:r>
        <w:rPr>
          <w:spacing w:val="-5"/>
          <w:w w:val="105"/>
        </w:rPr>
        <w:t> </w:t>
      </w:r>
      <w:r>
        <w:rPr>
          <w:w w:val="105"/>
        </w:rPr>
        <w:t>in</w:t>
      </w:r>
      <w:r>
        <w:rPr>
          <w:spacing w:val="-7"/>
          <w:w w:val="105"/>
        </w:rPr>
        <w:t> </w:t>
      </w:r>
      <w:r>
        <w:rPr>
          <w:w w:val="105"/>
        </w:rPr>
        <w:t>the</w:t>
      </w:r>
      <w:r>
        <w:rPr>
          <w:spacing w:val="-7"/>
          <w:w w:val="105"/>
        </w:rPr>
        <w:t> </w:t>
      </w:r>
      <w:r>
        <w:rPr>
          <w:w w:val="105"/>
        </w:rPr>
        <w:t>United</w:t>
      </w:r>
      <w:r>
        <w:rPr>
          <w:spacing w:val="-7"/>
          <w:w w:val="105"/>
        </w:rPr>
        <w:t> </w:t>
      </w:r>
      <w:r>
        <w:rPr>
          <w:w w:val="105"/>
        </w:rPr>
        <w:t>States</w:t>
      </w:r>
      <w:r>
        <w:rPr>
          <w:spacing w:val="-7"/>
          <w:w w:val="105"/>
        </w:rPr>
        <w:t> </w:t>
      </w:r>
      <w:r>
        <w:rPr>
          <w:w w:val="105"/>
        </w:rPr>
        <w:t>of</w:t>
      </w:r>
      <w:r>
        <w:rPr>
          <w:spacing w:val="-7"/>
          <w:w w:val="105"/>
        </w:rPr>
        <w:t> </w:t>
      </w:r>
      <w:r>
        <w:rPr>
          <w:w w:val="105"/>
        </w:rPr>
        <w:t>America.</w:t>
      </w:r>
      <w:r>
        <w:rPr>
          <w:spacing w:val="-7"/>
          <w:w w:val="105"/>
        </w:rPr>
        <w:t> </w:t>
      </w:r>
      <w:r>
        <w:rPr>
          <w:w w:val="105"/>
        </w:rPr>
        <w:t>Also</w:t>
      </w:r>
      <w:r>
        <w:rPr>
          <w:spacing w:val="-7"/>
          <w:w w:val="105"/>
        </w:rPr>
        <w:t> </w:t>
      </w:r>
      <w:r>
        <w:rPr>
          <w:w w:val="105"/>
        </w:rPr>
        <w:t>in</w:t>
      </w:r>
      <w:r>
        <w:rPr>
          <w:spacing w:val="-7"/>
          <w:w w:val="105"/>
        </w:rPr>
        <w:t> </w:t>
      </w:r>
      <w:r>
        <w:rPr>
          <w:w w:val="105"/>
        </w:rPr>
        <w:t>our</w:t>
      </w:r>
      <w:r>
        <w:rPr>
          <w:spacing w:val="-7"/>
          <w:w w:val="105"/>
        </w:rPr>
        <w:t> </w:t>
      </w:r>
      <w:r>
        <w:rPr>
          <w:w w:val="105"/>
        </w:rPr>
        <w:t>opinion,</w:t>
      </w:r>
      <w:r>
        <w:rPr>
          <w:spacing w:val="-7"/>
          <w:w w:val="105"/>
        </w:rPr>
        <w:t> </w:t>
      </w:r>
      <w:r>
        <w:rPr>
          <w:w w:val="105"/>
        </w:rPr>
        <w:t>the</w:t>
      </w:r>
      <w:r>
        <w:rPr>
          <w:spacing w:val="-7"/>
          <w:w w:val="105"/>
        </w:rPr>
        <w:t> </w:t>
      </w:r>
      <w:r>
        <w:rPr>
          <w:w w:val="105"/>
        </w:rPr>
        <w:t>Company</w:t>
      </w:r>
      <w:r>
        <w:rPr>
          <w:spacing w:val="-7"/>
          <w:w w:val="105"/>
        </w:rPr>
        <w:t> </w:t>
      </w:r>
      <w:r>
        <w:rPr>
          <w:w w:val="105"/>
        </w:rPr>
        <w:t>maintained,</w:t>
      </w:r>
      <w:r>
        <w:rPr>
          <w:spacing w:val="-7"/>
          <w:w w:val="105"/>
        </w:rPr>
        <w:t> </w:t>
      </w:r>
      <w:r>
        <w:rPr>
          <w:w w:val="105"/>
        </w:rPr>
        <w:t>in</w:t>
      </w:r>
      <w:r>
        <w:rPr>
          <w:spacing w:val="-7"/>
          <w:w w:val="105"/>
        </w:rPr>
        <w:t> </w:t>
      </w:r>
      <w:r>
        <w:rPr>
          <w:w w:val="105"/>
        </w:rPr>
        <w:t>all</w:t>
      </w:r>
      <w:r>
        <w:rPr>
          <w:spacing w:val="-7"/>
          <w:w w:val="105"/>
        </w:rPr>
        <w:t> </w:t>
      </w:r>
      <w:r>
        <w:rPr>
          <w:w w:val="105"/>
        </w:rPr>
        <w:t>material</w:t>
      </w:r>
      <w:r>
        <w:rPr>
          <w:spacing w:val="-7"/>
          <w:w w:val="105"/>
        </w:rPr>
        <w:t> </w:t>
      </w:r>
      <w:r>
        <w:rPr>
          <w:w w:val="105"/>
        </w:rPr>
        <w:t>respects,</w:t>
      </w:r>
      <w:r>
        <w:rPr>
          <w:spacing w:val="-7"/>
          <w:w w:val="105"/>
        </w:rPr>
        <w:t> </w:t>
      </w:r>
      <w:r>
        <w:rPr>
          <w:w w:val="105"/>
        </w:rPr>
        <w:t>effective</w:t>
      </w:r>
      <w:r>
        <w:rPr>
          <w:spacing w:val="-7"/>
          <w:w w:val="105"/>
        </w:rPr>
        <w:t> </w:t>
      </w:r>
      <w:r>
        <w:rPr>
          <w:w w:val="105"/>
        </w:rPr>
        <w:t>internal</w:t>
      </w:r>
      <w:r>
        <w:rPr>
          <w:spacing w:val="-7"/>
          <w:w w:val="105"/>
        </w:rPr>
        <w:t> </w:t>
      </w:r>
      <w:r>
        <w:rPr>
          <w:w w:val="105"/>
        </w:rPr>
        <w:t>control</w:t>
      </w:r>
      <w:r>
        <w:rPr>
          <w:spacing w:val="-7"/>
          <w:w w:val="105"/>
        </w:rPr>
        <w:t> </w:t>
      </w:r>
      <w:r>
        <w:rPr>
          <w:w w:val="105"/>
        </w:rPr>
        <w:t>over</w:t>
      </w:r>
      <w:r>
        <w:rPr>
          <w:spacing w:val="-5"/>
          <w:w w:val="105"/>
        </w:rPr>
        <w:t> </w:t>
      </w:r>
      <w:r>
        <w:rPr>
          <w:w w:val="105"/>
        </w:rPr>
        <w:t>financial</w:t>
      </w:r>
      <w:r>
        <w:rPr>
          <w:spacing w:val="-7"/>
          <w:w w:val="105"/>
        </w:rPr>
        <w:t> </w:t>
      </w:r>
      <w:r>
        <w:rPr>
          <w:w w:val="105"/>
        </w:rPr>
        <w:t>reporting as of December 31, 2021, based on criteria established in </w:t>
      </w:r>
      <w:r>
        <w:rPr>
          <w:i/>
          <w:w w:val="105"/>
        </w:rPr>
        <w:t>Internal Control - Integrated Framework </w:t>
      </w:r>
      <w:r>
        <w:rPr>
          <w:w w:val="105"/>
        </w:rPr>
        <w:t>(2013) issued by the COSO.</w:t>
      </w:r>
    </w:p>
    <w:p>
      <w:pPr>
        <w:pStyle w:val="BodyText"/>
        <w:spacing w:before="18"/>
      </w:pPr>
    </w:p>
    <w:p>
      <w:pPr>
        <w:pStyle w:val="Heading3"/>
        <w:ind w:left="143"/>
      </w:pPr>
      <w:r>
        <w:rPr>
          <w:w w:val="105"/>
        </w:rPr>
        <w:t>Basis</w:t>
      </w:r>
      <w:r>
        <w:rPr>
          <w:spacing w:val="-10"/>
          <w:w w:val="105"/>
        </w:rPr>
        <w:t> </w:t>
      </w:r>
      <w:r>
        <w:rPr>
          <w:w w:val="105"/>
        </w:rPr>
        <w:t>for</w:t>
      </w:r>
      <w:r>
        <w:rPr>
          <w:spacing w:val="-10"/>
          <w:w w:val="105"/>
        </w:rPr>
        <w:t> </w:t>
      </w:r>
      <w:r>
        <w:rPr>
          <w:spacing w:val="-2"/>
          <w:w w:val="105"/>
        </w:rPr>
        <w:t>Opinions</w:t>
      </w:r>
    </w:p>
    <w:p>
      <w:pPr>
        <w:pStyle w:val="BodyText"/>
        <w:spacing w:before="39"/>
        <w:rPr>
          <w:b/>
          <w:i/>
        </w:rPr>
      </w:pPr>
    </w:p>
    <w:p>
      <w:pPr>
        <w:pStyle w:val="BodyText"/>
        <w:spacing w:line="266" w:lineRule="auto" w:before="1"/>
        <w:ind w:left="143"/>
      </w:pPr>
      <w:r>
        <w:rPr>
          <w:w w:val="105"/>
        </w:rPr>
        <w:t>The</w:t>
      </w:r>
      <w:r>
        <w:rPr>
          <w:spacing w:val="-2"/>
          <w:w w:val="105"/>
        </w:rPr>
        <w:t> </w:t>
      </w:r>
      <w:r>
        <w:rPr>
          <w:w w:val="105"/>
        </w:rPr>
        <w:t>Company's</w:t>
      </w:r>
      <w:r>
        <w:rPr>
          <w:spacing w:val="-2"/>
          <w:w w:val="105"/>
        </w:rPr>
        <w:t> </w:t>
      </w:r>
      <w:r>
        <w:rPr>
          <w:w w:val="105"/>
        </w:rPr>
        <w:t>management</w:t>
      </w:r>
      <w:r>
        <w:rPr>
          <w:spacing w:val="-2"/>
          <w:w w:val="105"/>
        </w:rPr>
        <w:t> </w:t>
      </w:r>
      <w:r>
        <w:rPr>
          <w:w w:val="105"/>
        </w:rPr>
        <w:t>is</w:t>
      </w:r>
      <w:r>
        <w:rPr>
          <w:spacing w:val="-2"/>
          <w:w w:val="105"/>
        </w:rPr>
        <w:t> </w:t>
      </w:r>
      <w:r>
        <w:rPr>
          <w:w w:val="105"/>
        </w:rPr>
        <w:t>responsible</w:t>
      </w:r>
      <w:r>
        <w:rPr>
          <w:spacing w:val="-2"/>
          <w:w w:val="105"/>
        </w:rPr>
        <w:t> </w:t>
      </w:r>
      <w:r>
        <w:rPr>
          <w:w w:val="105"/>
        </w:rPr>
        <w:t>for</w:t>
      </w:r>
      <w:r>
        <w:rPr>
          <w:spacing w:val="-2"/>
          <w:w w:val="105"/>
        </w:rPr>
        <w:t> </w:t>
      </w:r>
      <w:r>
        <w:rPr>
          <w:w w:val="105"/>
        </w:rPr>
        <w:t>these</w:t>
      </w:r>
      <w:r>
        <w:rPr>
          <w:spacing w:val="-2"/>
          <w:w w:val="105"/>
        </w:rPr>
        <w:t> </w:t>
      </w:r>
      <w:r>
        <w:rPr>
          <w:w w:val="105"/>
        </w:rPr>
        <w:t>consolidated</w:t>
      </w:r>
      <w:r>
        <w:rPr>
          <w:spacing w:val="-2"/>
          <w:w w:val="105"/>
        </w:rPr>
        <w:t> </w:t>
      </w:r>
      <w:r>
        <w:rPr>
          <w:w w:val="105"/>
        </w:rPr>
        <w:t>financial</w:t>
      </w:r>
      <w:r>
        <w:rPr>
          <w:spacing w:val="-2"/>
          <w:w w:val="105"/>
        </w:rPr>
        <w:t> </w:t>
      </w:r>
      <w:r>
        <w:rPr>
          <w:w w:val="105"/>
        </w:rPr>
        <w:t>statements,</w:t>
      </w:r>
      <w:r>
        <w:rPr>
          <w:spacing w:val="-2"/>
          <w:w w:val="105"/>
        </w:rPr>
        <w:t> </w:t>
      </w:r>
      <w:r>
        <w:rPr>
          <w:w w:val="105"/>
        </w:rPr>
        <w:t>for</w:t>
      </w:r>
      <w:r>
        <w:rPr>
          <w:spacing w:val="-2"/>
          <w:w w:val="105"/>
        </w:rPr>
        <w:t> </w:t>
      </w:r>
      <w:r>
        <w:rPr>
          <w:w w:val="105"/>
        </w:rPr>
        <w:t>maintaining</w:t>
      </w:r>
      <w:r>
        <w:rPr>
          <w:spacing w:val="-2"/>
          <w:w w:val="105"/>
        </w:rPr>
        <w:t> </w:t>
      </w:r>
      <w:r>
        <w:rPr>
          <w:w w:val="105"/>
        </w:rPr>
        <w:t>effective</w:t>
      </w:r>
      <w:r>
        <w:rPr>
          <w:spacing w:val="-2"/>
          <w:w w:val="105"/>
        </w:rPr>
        <w:t> </w:t>
      </w:r>
      <w:r>
        <w:rPr>
          <w:w w:val="105"/>
        </w:rPr>
        <w:t>internal</w:t>
      </w:r>
      <w:r>
        <w:rPr>
          <w:spacing w:val="-2"/>
          <w:w w:val="105"/>
        </w:rPr>
        <w:t> </w:t>
      </w:r>
      <w:r>
        <w:rPr>
          <w:w w:val="105"/>
        </w:rPr>
        <w:t>control</w:t>
      </w:r>
      <w:r>
        <w:rPr>
          <w:spacing w:val="-2"/>
          <w:w w:val="105"/>
        </w:rPr>
        <w:t> </w:t>
      </w:r>
      <w:r>
        <w:rPr>
          <w:w w:val="105"/>
        </w:rPr>
        <w:t>over</w:t>
      </w:r>
      <w:r>
        <w:rPr>
          <w:spacing w:val="-2"/>
          <w:w w:val="105"/>
        </w:rPr>
        <w:t> </w:t>
      </w:r>
      <w:r>
        <w:rPr>
          <w:w w:val="105"/>
        </w:rPr>
        <w:t>financial</w:t>
      </w:r>
      <w:r>
        <w:rPr>
          <w:spacing w:val="-2"/>
          <w:w w:val="105"/>
        </w:rPr>
        <w:t> </w:t>
      </w:r>
      <w:r>
        <w:rPr>
          <w:w w:val="105"/>
        </w:rPr>
        <w:t>reporting,</w:t>
      </w:r>
      <w:r>
        <w:rPr>
          <w:spacing w:val="-2"/>
          <w:w w:val="105"/>
        </w:rPr>
        <w:t> </w:t>
      </w:r>
      <w:r>
        <w:rPr>
          <w:w w:val="105"/>
        </w:rPr>
        <w:t>and</w:t>
      </w:r>
      <w:r>
        <w:rPr>
          <w:spacing w:val="-2"/>
          <w:w w:val="105"/>
        </w:rPr>
        <w:t> </w:t>
      </w:r>
      <w:r>
        <w:rPr>
          <w:w w:val="105"/>
        </w:rPr>
        <w:t>for</w:t>
      </w:r>
      <w:r>
        <w:rPr>
          <w:spacing w:val="-2"/>
          <w:w w:val="105"/>
        </w:rPr>
        <w:t> </w:t>
      </w:r>
      <w:r>
        <w:rPr>
          <w:w w:val="105"/>
        </w:rPr>
        <w:t>its assessment</w:t>
      </w:r>
      <w:r>
        <w:rPr>
          <w:spacing w:val="-9"/>
          <w:w w:val="105"/>
        </w:rPr>
        <w:t> </w:t>
      </w:r>
      <w:r>
        <w:rPr>
          <w:w w:val="105"/>
        </w:rPr>
        <w:t>of</w:t>
      </w:r>
      <w:r>
        <w:rPr>
          <w:spacing w:val="-9"/>
          <w:w w:val="105"/>
        </w:rPr>
        <w:t> </w:t>
      </w:r>
      <w:r>
        <w:rPr>
          <w:w w:val="105"/>
        </w:rPr>
        <w:t>the</w:t>
      </w:r>
      <w:r>
        <w:rPr>
          <w:spacing w:val="-9"/>
          <w:w w:val="105"/>
        </w:rPr>
        <w:t> </w:t>
      </w:r>
      <w:r>
        <w:rPr>
          <w:w w:val="105"/>
        </w:rPr>
        <w:t>effectiveness</w:t>
      </w:r>
      <w:r>
        <w:rPr>
          <w:spacing w:val="-9"/>
          <w:w w:val="105"/>
        </w:rPr>
        <w:t> </w:t>
      </w:r>
      <w:r>
        <w:rPr>
          <w:w w:val="105"/>
        </w:rPr>
        <w:t>of</w:t>
      </w:r>
      <w:r>
        <w:rPr>
          <w:spacing w:val="-9"/>
          <w:w w:val="105"/>
        </w:rPr>
        <w:t> </w:t>
      </w:r>
      <w:r>
        <w:rPr>
          <w:w w:val="105"/>
        </w:rPr>
        <w:t>internal</w:t>
      </w:r>
      <w:r>
        <w:rPr>
          <w:spacing w:val="-9"/>
          <w:w w:val="105"/>
        </w:rPr>
        <w:t> </w:t>
      </w:r>
      <w:r>
        <w:rPr>
          <w:w w:val="105"/>
        </w:rPr>
        <w:t>control</w:t>
      </w:r>
      <w:r>
        <w:rPr>
          <w:spacing w:val="-9"/>
          <w:w w:val="105"/>
        </w:rPr>
        <w:t> </w:t>
      </w:r>
      <w:r>
        <w:rPr>
          <w:w w:val="105"/>
        </w:rPr>
        <w:t>over</w:t>
      </w:r>
      <w:r>
        <w:rPr>
          <w:spacing w:val="-9"/>
          <w:w w:val="105"/>
        </w:rPr>
        <w:t> </w:t>
      </w:r>
      <w:r>
        <w:rPr>
          <w:w w:val="105"/>
        </w:rPr>
        <w:t>financial</w:t>
      </w:r>
      <w:r>
        <w:rPr>
          <w:spacing w:val="-9"/>
          <w:w w:val="105"/>
        </w:rPr>
        <w:t> </w:t>
      </w:r>
      <w:r>
        <w:rPr>
          <w:w w:val="105"/>
        </w:rPr>
        <w:t>reporting,</w:t>
      </w:r>
      <w:r>
        <w:rPr>
          <w:spacing w:val="-9"/>
          <w:w w:val="105"/>
        </w:rPr>
        <w:t> </w:t>
      </w:r>
      <w:r>
        <w:rPr>
          <w:w w:val="105"/>
        </w:rPr>
        <w:t>included</w:t>
      </w:r>
      <w:r>
        <w:rPr>
          <w:spacing w:val="-9"/>
          <w:w w:val="105"/>
        </w:rPr>
        <w:t> </w:t>
      </w:r>
      <w:r>
        <w:rPr>
          <w:w w:val="105"/>
        </w:rPr>
        <w:t>in</w:t>
      </w:r>
      <w:r>
        <w:rPr>
          <w:spacing w:val="-9"/>
          <w:w w:val="105"/>
        </w:rPr>
        <w:t> </w:t>
      </w:r>
      <w:r>
        <w:rPr>
          <w:w w:val="105"/>
        </w:rPr>
        <w:t>Management's</w:t>
      </w:r>
      <w:r>
        <w:rPr>
          <w:spacing w:val="-9"/>
          <w:w w:val="105"/>
        </w:rPr>
        <w:t> </w:t>
      </w:r>
      <w:r>
        <w:rPr>
          <w:w w:val="105"/>
        </w:rPr>
        <w:t>Annual</w:t>
      </w:r>
      <w:r>
        <w:rPr>
          <w:spacing w:val="-9"/>
          <w:w w:val="105"/>
        </w:rPr>
        <w:t> </w:t>
      </w:r>
      <w:r>
        <w:rPr>
          <w:w w:val="105"/>
        </w:rPr>
        <w:t>Report</w:t>
      </w:r>
      <w:r>
        <w:rPr>
          <w:spacing w:val="-9"/>
          <w:w w:val="105"/>
        </w:rPr>
        <w:t> </w:t>
      </w:r>
      <w:r>
        <w:rPr>
          <w:w w:val="105"/>
        </w:rPr>
        <w:t>on</w:t>
      </w:r>
      <w:r>
        <w:rPr>
          <w:spacing w:val="-9"/>
          <w:w w:val="105"/>
        </w:rPr>
        <w:t> </w:t>
      </w:r>
      <w:r>
        <w:rPr>
          <w:w w:val="105"/>
        </w:rPr>
        <w:t>Internal</w:t>
      </w:r>
      <w:r>
        <w:rPr>
          <w:spacing w:val="-9"/>
          <w:w w:val="105"/>
        </w:rPr>
        <w:t> </w:t>
      </w:r>
      <w:r>
        <w:rPr>
          <w:w w:val="105"/>
        </w:rPr>
        <w:t>Control</w:t>
      </w:r>
      <w:r>
        <w:rPr>
          <w:spacing w:val="-9"/>
          <w:w w:val="105"/>
        </w:rPr>
        <w:t> </w:t>
      </w:r>
      <w:r>
        <w:rPr>
          <w:w w:val="105"/>
        </w:rPr>
        <w:t>Over</w:t>
      </w:r>
      <w:r>
        <w:rPr>
          <w:spacing w:val="-9"/>
          <w:w w:val="105"/>
        </w:rPr>
        <w:t> </w:t>
      </w:r>
      <w:r>
        <w:rPr>
          <w:w w:val="105"/>
        </w:rPr>
        <w:t>Financial</w:t>
      </w:r>
      <w:r>
        <w:rPr>
          <w:spacing w:val="-9"/>
          <w:w w:val="105"/>
        </w:rPr>
        <w:t> </w:t>
      </w:r>
      <w:r>
        <w:rPr>
          <w:w w:val="105"/>
        </w:rPr>
        <w:t>Reporting</w:t>
      </w:r>
      <w:r>
        <w:rPr>
          <w:spacing w:val="-9"/>
          <w:w w:val="105"/>
        </w:rPr>
        <w:t> </w:t>
      </w:r>
      <w:r>
        <w:rPr>
          <w:w w:val="105"/>
        </w:rPr>
        <w:t>appearing under</w:t>
      </w:r>
      <w:r>
        <w:rPr>
          <w:spacing w:val="-4"/>
          <w:w w:val="105"/>
        </w:rPr>
        <w:t> </w:t>
      </w:r>
      <w:r>
        <w:rPr>
          <w:w w:val="105"/>
        </w:rPr>
        <w:t>Item</w:t>
      </w:r>
      <w:r>
        <w:rPr>
          <w:spacing w:val="-4"/>
          <w:w w:val="105"/>
        </w:rPr>
        <w:t> </w:t>
      </w:r>
      <w:r>
        <w:rPr>
          <w:w w:val="105"/>
        </w:rPr>
        <w:t>9A.</w:t>
      </w:r>
      <w:r>
        <w:rPr>
          <w:spacing w:val="-4"/>
          <w:w w:val="105"/>
        </w:rPr>
        <w:t> </w:t>
      </w:r>
      <w:r>
        <w:rPr>
          <w:w w:val="105"/>
        </w:rPr>
        <w:t>Our</w:t>
      </w:r>
      <w:r>
        <w:rPr>
          <w:spacing w:val="-4"/>
          <w:w w:val="105"/>
        </w:rPr>
        <w:t> </w:t>
      </w:r>
      <w:r>
        <w:rPr>
          <w:w w:val="105"/>
        </w:rPr>
        <w:t>responsibility</w:t>
      </w:r>
      <w:r>
        <w:rPr>
          <w:spacing w:val="-2"/>
          <w:w w:val="105"/>
        </w:rPr>
        <w:t> </w:t>
      </w:r>
      <w:r>
        <w:rPr>
          <w:w w:val="105"/>
        </w:rPr>
        <w:t>is</w:t>
      </w:r>
      <w:r>
        <w:rPr>
          <w:spacing w:val="-4"/>
          <w:w w:val="105"/>
        </w:rPr>
        <w:t> </w:t>
      </w:r>
      <w:r>
        <w:rPr>
          <w:w w:val="105"/>
        </w:rPr>
        <w:t>to</w:t>
      </w:r>
      <w:r>
        <w:rPr>
          <w:spacing w:val="-4"/>
          <w:w w:val="105"/>
        </w:rPr>
        <w:t> </w:t>
      </w:r>
      <w:r>
        <w:rPr>
          <w:w w:val="105"/>
        </w:rPr>
        <w:t>express</w:t>
      </w:r>
      <w:r>
        <w:rPr>
          <w:spacing w:val="-4"/>
          <w:w w:val="105"/>
        </w:rPr>
        <w:t> </w:t>
      </w:r>
      <w:r>
        <w:rPr>
          <w:w w:val="105"/>
        </w:rPr>
        <w:t>opinions</w:t>
      </w:r>
      <w:r>
        <w:rPr>
          <w:spacing w:val="-4"/>
          <w:w w:val="105"/>
        </w:rPr>
        <w:t> </w:t>
      </w:r>
      <w:r>
        <w:rPr>
          <w:w w:val="105"/>
        </w:rPr>
        <w:t>on</w:t>
      </w:r>
      <w:r>
        <w:rPr>
          <w:spacing w:val="-4"/>
          <w:w w:val="105"/>
        </w:rPr>
        <w:t> </w:t>
      </w:r>
      <w:r>
        <w:rPr>
          <w:w w:val="105"/>
        </w:rPr>
        <w:t>the</w:t>
      </w:r>
      <w:r>
        <w:rPr>
          <w:spacing w:val="-4"/>
          <w:w w:val="105"/>
        </w:rPr>
        <w:t> </w:t>
      </w:r>
      <w:r>
        <w:rPr>
          <w:w w:val="105"/>
        </w:rPr>
        <w:t>Company’s</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and</w:t>
      </w:r>
      <w:r>
        <w:rPr>
          <w:spacing w:val="-4"/>
          <w:w w:val="105"/>
        </w:rPr>
        <w:t> </w:t>
      </w:r>
      <w:r>
        <w:rPr>
          <w:w w:val="105"/>
        </w:rPr>
        <w:t>on</w:t>
      </w:r>
      <w:r>
        <w:rPr>
          <w:spacing w:val="-4"/>
          <w:w w:val="105"/>
        </w:rPr>
        <w:t> </w:t>
      </w:r>
      <w:r>
        <w:rPr>
          <w:w w:val="105"/>
        </w:rPr>
        <w:t>the</w:t>
      </w:r>
      <w:r>
        <w:rPr>
          <w:spacing w:val="-4"/>
          <w:w w:val="105"/>
        </w:rPr>
        <w:t> </w:t>
      </w:r>
      <w:r>
        <w:rPr>
          <w:w w:val="105"/>
        </w:rPr>
        <w:t>Company's</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 based</w:t>
      </w:r>
      <w:r>
        <w:rPr>
          <w:spacing w:val="-1"/>
          <w:w w:val="105"/>
        </w:rPr>
        <w:t> </w:t>
      </w:r>
      <w:r>
        <w:rPr>
          <w:w w:val="105"/>
        </w:rPr>
        <w:t>on</w:t>
      </w:r>
      <w:r>
        <w:rPr>
          <w:spacing w:val="-1"/>
          <w:w w:val="105"/>
        </w:rPr>
        <w:t> </w:t>
      </w:r>
      <w:r>
        <w:rPr>
          <w:w w:val="105"/>
        </w:rPr>
        <w:t>our</w:t>
      </w:r>
      <w:r>
        <w:rPr>
          <w:spacing w:val="-1"/>
          <w:w w:val="105"/>
        </w:rPr>
        <w:t> </w:t>
      </w:r>
      <w:r>
        <w:rPr>
          <w:w w:val="105"/>
        </w:rPr>
        <w:t>audits.</w:t>
      </w:r>
      <w:r>
        <w:rPr>
          <w:spacing w:val="-1"/>
          <w:w w:val="105"/>
        </w:rPr>
        <w:t> </w:t>
      </w:r>
      <w:r>
        <w:rPr>
          <w:w w:val="105"/>
        </w:rPr>
        <w:t>We</w:t>
      </w:r>
      <w:r>
        <w:rPr>
          <w:spacing w:val="-1"/>
          <w:w w:val="105"/>
        </w:rPr>
        <w:t> </w:t>
      </w:r>
      <w:r>
        <w:rPr>
          <w:w w:val="105"/>
        </w:rPr>
        <w:t>are</w:t>
      </w:r>
      <w:r>
        <w:rPr>
          <w:spacing w:val="-1"/>
          <w:w w:val="105"/>
        </w:rPr>
        <w:t> </w:t>
      </w:r>
      <w:r>
        <w:rPr>
          <w:w w:val="105"/>
        </w:rPr>
        <w:t>a</w:t>
      </w:r>
      <w:r>
        <w:rPr>
          <w:spacing w:val="-1"/>
          <w:w w:val="105"/>
        </w:rPr>
        <w:t> </w:t>
      </w:r>
      <w:r>
        <w:rPr>
          <w:w w:val="105"/>
        </w:rPr>
        <w:t>public</w:t>
      </w:r>
      <w:r>
        <w:rPr>
          <w:spacing w:val="-1"/>
          <w:w w:val="105"/>
        </w:rPr>
        <w:t> </w:t>
      </w:r>
      <w:r>
        <w:rPr>
          <w:w w:val="105"/>
        </w:rPr>
        <w:t>accounting</w:t>
      </w:r>
      <w:r>
        <w:rPr>
          <w:spacing w:val="-1"/>
          <w:w w:val="105"/>
        </w:rPr>
        <w:t> </w:t>
      </w:r>
      <w:r>
        <w:rPr>
          <w:w w:val="105"/>
        </w:rPr>
        <w:t>firm</w:t>
      </w:r>
      <w:r>
        <w:rPr>
          <w:spacing w:val="-1"/>
          <w:w w:val="105"/>
        </w:rPr>
        <w:t> </w:t>
      </w:r>
      <w:r>
        <w:rPr>
          <w:w w:val="105"/>
        </w:rPr>
        <w:t>registered</w:t>
      </w:r>
      <w:r>
        <w:rPr>
          <w:spacing w:val="-1"/>
          <w:w w:val="105"/>
        </w:rPr>
        <w:t> </w:t>
      </w:r>
      <w:r>
        <w:rPr>
          <w:w w:val="105"/>
        </w:rPr>
        <w:t>with</w:t>
      </w:r>
      <w:r>
        <w:rPr>
          <w:spacing w:val="-1"/>
          <w:w w:val="105"/>
        </w:rPr>
        <w:t> </w:t>
      </w:r>
      <w:r>
        <w:rPr>
          <w:w w:val="105"/>
        </w:rPr>
        <w:t>the</w:t>
      </w:r>
      <w:r>
        <w:rPr>
          <w:spacing w:val="-1"/>
          <w:w w:val="105"/>
        </w:rPr>
        <w:t> </w:t>
      </w:r>
      <w:r>
        <w:rPr>
          <w:w w:val="105"/>
        </w:rPr>
        <w:t>Public</w:t>
      </w:r>
      <w:r>
        <w:rPr>
          <w:spacing w:val="-1"/>
          <w:w w:val="105"/>
        </w:rPr>
        <w:t> </w:t>
      </w:r>
      <w:r>
        <w:rPr>
          <w:w w:val="105"/>
        </w:rPr>
        <w:t>Company</w:t>
      </w:r>
      <w:r>
        <w:rPr>
          <w:spacing w:val="-1"/>
          <w:w w:val="105"/>
        </w:rPr>
        <w:t> </w:t>
      </w:r>
      <w:r>
        <w:rPr>
          <w:w w:val="105"/>
        </w:rPr>
        <w:t>Accounting</w:t>
      </w:r>
      <w:r>
        <w:rPr>
          <w:spacing w:val="-1"/>
          <w:w w:val="105"/>
        </w:rPr>
        <w:t> </w:t>
      </w:r>
      <w:r>
        <w:rPr>
          <w:w w:val="105"/>
        </w:rPr>
        <w:t>Oversight</w:t>
      </w:r>
      <w:r>
        <w:rPr>
          <w:spacing w:val="-1"/>
          <w:w w:val="105"/>
        </w:rPr>
        <w:t> </w:t>
      </w:r>
      <w:r>
        <w:rPr>
          <w:w w:val="105"/>
        </w:rPr>
        <w:t>Board</w:t>
      </w:r>
      <w:r>
        <w:rPr>
          <w:spacing w:val="-1"/>
          <w:w w:val="105"/>
        </w:rPr>
        <w:t> </w:t>
      </w:r>
      <w:r>
        <w:rPr>
          <w:w w:val="105"/>
        </w:rPr>
        <w:t>(United</w:t>
      </w:r>
      <w:r>
        <w:rPr>
          <w:spacing w:val="-1"/>
          <w:w w:val="105"/>
        </w:rPr>
        <w:t> </w:t>
      </w:r>
      <w:r>
        <w:rPr>
          <w:w w:val="105"/>
        </w:rPr>
        <w:t>States) (PCAOB)</w:t>
      </w:r>
      <w:r>
        <w:rPr>
          <w:spacing w:val="-1"/>
          <w:w w:val="105"/>
        </w:rPr>
        <w:t> </w:t>
      </w:r>
      <w:r>
        <w:rPr>
          <w:w w:val="105"/>
        </w:rPr>
        <w:t>and</w:t>
      </w:r>
      <w:r>
        <w:rPr>
          <w:spacing w:val="-1"/>
          <w:w w:val="105"/>
        </w:rPr>
        <w:t> </w:t>
      </w:r>
      <w:r>
        <w:rPr>
          <w:w w:val="105"/>
        </w:rPr>
        <w:t>are</w:t>
      </w:r>
      <w:r>
        <w:rPr>
          <w:spacing w:val="-1"/>
          <w:w w:val="105"/>
        </w:rPr>
        <w:t> </w:t>
      </w:r>
      <w:r>
        <w:rPr>
          <w:w w:val="105"/>
        </w:rPr>
        <w:t>required</w:t>
      </w:r>
      <w:r>
        <w:rPr>
          <w:spacing w:val="-1"/>
          <w:w w:val="105"/>
        </w:rPr>
        <w:t> </w:t>
      </w:r>
      <w:r>
        <w:rPr>
          <w:w w:val="105"/>
        </w:rPr>
        <w:t>to</w:t>
      </w:r>
      <w:r>
        <w:rPr>
          <w:spacing w:val="-1"/>
          <w:w w:val="105"/>
        </w:rPr>
        <w:t> </w:t>
      </w:r>
      <w:r>
        <w:rPr>
          <w:w w:val="105"/>
        </w:rPr>
        <w:t>be independent</w:t>
      </w:r>
      <w:r>
        <w:rPr>
          <w:spacing w:val="-2"/>
          <w:w w:val="105"/>
        </w:rPr>
        <w:t> </w:t>
      </w:r>
      <w:r>
        <w:rPr>
          <w:w w:val="105"/>
        </w:rPr>
        <w:t>with</w:t>
      </w:r>
      <w:r>
        <w:rPr>
          <w:spacing w:val="-2"/>
          <w:w w:val="105"/>
        </w:rPr>
        <w:t> </w:t>
      </w:r>
      <w:r>
        <w:rPr>
          <w:w w:val="105"/>
        </w:rPr>
        <w:t>respect</w:t>
      </w:r>
      <w:r>
        <w:rPr>
          <w:spacing w:val="-2"/>
          <w:w w:val="105"/>
        </w:rPr>
        <w:t> </w:t>
      </w:r>
      <w:r>
        <w:rPr>
          <w:w w:val="105"/>
        </w:rPr>
        <w:t>to the</w:t>
      </w:r>
      <w:r>
        <w:rPr>
          <w:spacing w:val="-2"/>
          <w:w w:val="105"/>
        </w:rPr>
        <w:t> </w:t>
      </w:r>
      <w:r>
        <w:rPr>
          <w:w w:val="105"/>
        </w:rPr>
        <w:t>Company</w:t>
      </w:r>
      <w:r>
        <w:rPr>
          <w:spacing w:val="-2"/>
          <w:w w:val="105"/>
        </w:rPr>
        <w:t> </w:t>
      </w:r>
      <w:r>
        <w:rPr>
          <w:w w:val="105"/>
        </w:rPr>
        <w:t>in</w:t>
      </w:r>
      <w:r>
        <w:rPr>
          <w:spacing w:val="-2"/>
          <w:w w:val="105"/>
        </w:rPr>
        <w:t> </w:t>
      </w:r>
      <w:r>
        <w:rPr>
          <w:w w:val="105"/>
        </w:rPr>
        <w:t>accordance</w:t>
      </w:r>
      <w:r>
        <w:rPr>
          <w:spacing w:val="-2"/>
          <w:w w:val="105"/>
        </w:rPr>
        <w:t> </w:t>
      </w:r>
      <w:r>
        <w:rPr>
          <w:w w:val="105"/>
        </w:rPr>
        <w:t>with</w:t>
      </w:r>
      <w:r>
        <w:rPr>
          <w:spacing w:val="-2"/>
          <w:w w:val="105"/>
        </w:rPr>
        <w:t> </w:t>
      </w:r>
      <w:r>
        <w:rPr>
          <w:w w:val="105"/>
        </w:rPr>
        <w:t>the</w:t>
      </w:r>
      <w:r>
        <w:rPr>
          <w:spacing w:val="-2"/>
          <w:w w:val="105"/>
        </w:rPr>
        <w:t> </w:t>
      </w:r>
      <w:r>
        <w:rPr>
          <w:w w:val="105"/>
        </w:rPr>
        <w:t>U.S.</w:t>
      </w:r>
      <w:r>
        <w:rPr>
          <w:spacing w:val="-2"/>
          <w:w w:val="105"/>
        </w:rPr>
        <w:t> </w:t>
      </w:r>
      <w:r>
        <w:rPr>
          <w:w w:val="105"/>
        </w:rPr>
        <w:t>federal</w:t>
      </w:r>
      <w:r>
        <w:rPr>
          <w:spacing w:val="-2"/>
          <w:w w:val="105"/>
        </w:rPr>
        <w:t> </w:t>
      </w:r>
      <w:r>
        <w:rPr>
          <w:w w:val="105"/>
        </w:rPr>
        <w:t>securities</w:t>
      </w:r>
      <w:r>
        <w:rPr>
          <w:spacing w:val="-2"/>
          <w:w w:val="105"/>
        </w:rPr>
        <w:t> </w:t>
      </w:r>
      <w:r>
        <w:rPr>
          <w:w w:val="105"/>
        </w:rPr>
        <w:t>laws</w:t>
      </w:r>
      <w:r>
        <w:rPr>
          <w:spacing w:val="-2"/>
          <w:w w:val="105"/>
        </w:rPr>
        <w:t> </w:t>
      </w:r>
      <w:r>
        <w:rPr>
          <w:w w:val="105"/>
        </w:rPr>
        <w:t>and</w:t>
      </w:r>
      <w:r>
        <w:rPr>
          <w:spacing w:val="-2"/>
          <w:w w:val="105"/>
        </w:rPr>
        <w:t> </w:t>
      </w:r>
      <w:r>
        <w:rPr>
          <w:w w:val="105"/>
        </w:rPr>
        <w:t>the</w:t>
      </w:r>
      <w:r>
        <w:rPr>
          <w:spacing w:val="-2"/>
          <w:w w:val="105"/>
        </w:rPr>
        <w:t> </w:t>
      </w:r>
      <w:r>
        <w:rPr>
          <w:w w:val="105"/>
        </w:rPr>
        <w:t>applicable</w:t>
      </w:r>
      <w:r>
        <w:rPr>
          <w:spacing w:val="-2"/>
          <w:w w:val="105"/>
        </w:rPr>
        <w:t> </w:t>
      </w:r>
      <w:r>
        <w:rPr>
          <w:w w:val="105"/>
        </w:rPr>
        <w:t>rules and</w:t>
      </w:r>
      <w:r>
        <w:rPr>
          <w:spacing w:val="-2"/>
          <w:w w:val="105"/>
        </w:rPr>
        <w:t> </w:t>
      </w:r>
      <w:r>
        <w:rPr>
          <w:w w:val="105"/>
        </w:rPr>
        <w:t>regulations</w:t>
      </w:r>
      <w:r>
        <w:rPr>
          <w:spacing w:val="-2"/>
          <w:w w:val="105"/>
        </w:rPr>
        <w:t> </w:t>
      </w:r>
      <w:r>
        <w:rPr>
          <w:w w:val="105"/>
        </w:rPr>
        <w:t>of</w:t>
      </w:r>
      <w:r>
        <w:rPr>
          <w:spacing w:val="-2"/>
          <w:w w:val="105"/>
        </w:rPr>
        <w:t> </w:t>
      </w:r>
      <w:r>
        <w:rPr>
          <w:w w:val="105"/>
        </w:rPr>
        <w:t>the</w:t>
      </w:r>
      <w:r>
        <w:rPr>
          <w:spacing w:val="-2"/>
          <w:w w:val="105"/>
        </w:rPr>
        <w:t> </w:t>
      </w:r>
      <w:r>
        <w:rPr>
          <w:w w:val="105"/>
        </w:rPr>
        <w:t>Securities</w:t>
      </w:r>
      <w:r>
        <w:rPr>
          <w:spacing w:val="-2"/>
          <w:w w:val="105"/>
        </w:rPr>
        <w:t> </w:t>
      </w:r>
      <w:r>
        <w:rPr>
          <w:w w:val="105"/>
        </w:rPr>
        <w:t>and</w:t>
      </w:r>
      <w:r>
        <w:rPr>
          <w:spacing w:val="-2"/>
          <w:w w:val="105"/>
        </w:rPr>
        <w:t> </w:t>
      </w:r>
      <w:r>
        <w:rPr>
          <w:w w:val="105"/>
        </w:rPr>
        <w:t>Exchange Commission and the PCAOB.</w:t>
      </w:r>
    </w:p>
    <w:p>
      <w:pPr>
        <w:pStyle w:val="BodyText"/>
        <w:spacing w:before="17"/>
      </w:pPr>
    </w:p>
    <w:p>
      <w:pPr>
        <w:pStyle w:val="BodyText"/>
        <w:spacing w:line="266" w:lineRule="auto"/>
        <w:ind w:left="143" w:right="197"/>
        <w:jc w:val="both"/>
      </w:pPr>
      <w:r>
        <w:rPr>
          <w:w w:val="105"/>
        </w:rPr>
        <w:t>We</w:t>
      </w:r>
      <w:r>
        <w:rPr>
          <w:spacing w:val="-7"/>
          <w:w w:val="105"/>
        </w:rPr>
        <w:t> </w:t>
      </w:r>
      <w:r>
        <w:rPr>
          <w:w w:val="105"/>
        </w:rPr>
        <w:t>conducted</w:t>
      </w:r>
      <w:r>
        <w:rPr>
          <w:spacing w:val="-7"/>
          <w:w w:val="105"/>
        </w:rPr>
        <w:t> </w:t>
      </w:r>
      <w:r>
        <w:rPr>
          <w:w w:val="105"/>
        </w:rPr>
        <w:t>our</w:t>
      </w:r>
      <w:r>
        <w:rPr>
          <w:spacing w:val="-7"/>
          <w:w w:val="105"/>
        </w:rPr>
        <w:t> </w:t>
      </w:r>
      <w:r>
        <w:rPr>
          <w:w w:val="105"/>
        </w:rPr>
        <w:t>audits</w:t>
      </w:r>
      <w:r>
        <w:rPr>
          <w:spacing w:val="-7"/>
          <w:w w:val="105"/>
        </w:rPr>
        <w:t> </w:t>
      </w:r>
      <w:r>
        <w:rPr>
          <w:w w:val="105"/>
        </w:rPr>
        <w:t>in</w:t>
      </w:r>
      <w:r>
        <w:rPr>
          <w:spacing w:val="-7"/>
          <w:w w:val="105"/>
        </w:rPr>
        <w:t> </w:t>
      </w:r>
      <w:r>
        <w:rPr>
          <w:w w:val="105"/>
        </w:rPr>
        <w:t>accordance</w:t>
      </w:r>
      <w:r>
        <w:rPr>
          <w:spacing w:val="-7"/>
          <w:w w:val="105"/>
        </w:rPr>
        <w:t> </w:t>
      </w:r>
      <w:r>
        <w:rPr>
          <w:w w:val="105"/>
        </w:rPr>
        <w:t>with</w:t>
      </w:r>
      <w:r>
        <w:rPr>
          <w:spacing w:val="-7"/>
          <w:w w:val="105"/>
        </w:rPr>
        <w:t> </w:t>
      </w:r>
      <w:r>
        <w:rPr>
          <w:w w:val="105"/>
        </w:rPr>
        <w:t>the</w:t>
      </w:r>
      <w:r>
        <w:rPr>
          <w:spacing w:val="-7"/>
          <w:w w:val="105"/>
        </w:rPr>
        <w:t> </w:t>
      </w:r>
      <w:r>
        <w:rPr>
          <w:w w:val="105"/>
        </w:rPr>
        <w:t>standards</w:t>
      </w:r>
      <w:r>
        <w:rPr>
          <w:spacing w:val="-7"/>
          <w:w w:val="105"/>
        </w:rPr>
        <w:t> </w:t>
      </w:r>
      <w:r>
        <w:rPr>
          <w:w w:val="105"/>
        </w:rPr>
        <w:t>of</w:t>
      </w:r>
      <w:r>
        <w:rPr>
          <w:spacing w:val="-7"/>
          <w:w w:val="105"/>
        </w:rPr>
        <w:t> </w:t>
      </w:r>
      <w:r>
        <w:rPr>
          <w:w w:val="105"/>
        </w:rPr>
        <w:t>the</w:t>
      </w:r>
      <w:r>
        <w:rPr>
          <w:spacing w:val="-7"/>
          <w:w w:val="105"/>
        </w:rPr>
        <w:t> </w:t>
      </w:r>
      <w:r>
        <w:rPr>
          <w:w w:val="105"/>
        </w:rPr>
        <w:t>PCAOB.</w:t>
      </w:r>
      <w:r>
        <w:rPr>
          <w:spacing w:val="-7"/>
          <w:w w:val="105"/>
        </w:rPr>
        <w:t> </w:t>
      </w:r>
      <w:r>
        <w:rPr>
          <w:w w:val="105"/>
        </w:rPr>
        <w:t>Those</w:t>
      </w:r>
      <w:r>
        <w:rPr>
          <w:spacing w:val="-7"/>
          <w:w w:val="105"/>
        </w:rPr>
        <w:t> </w:t>
      </w:r>
      <w:r>
        <w:rPr>
          <w:w w:val="105"/>
        </w:rPr>
        <w:t>standards</w:t>
      </w:r>
      <w:r>
        <w:rPr>
          <w:spacing w:val="-7"/>
          <w:w w:val="105"/>
        </w:rPr>
        <w:t> </w:t>
      </w:r>
      <w:r>
        <w:rPr>
          <w:w w:val="105"/>
        </w:rPr>
        <w:t>require</w:t>
      </w:r>
      <w:r>
        <w:rPr>
          <w:spacing w:val="-7"/>
          <w:w w:val="105"/>
        </w:rPr>
        <w:t> </w:t>
      </w:r>
      <w:r>
        <w:rPr>
          <w:w w:val="105"/>
        </w:rPr>
        <w:t>that</w:t>
      </w:r>
      <w:r>
        <w:rPr>
          <w:spacing w:val="-7"/>
          <w:w w:val="105"/>
        </w:rPr>
        <w:t> </w:t>
      </w:r>
      <w:r>
        <w:rPr>
          <w:w w:val="105"/>
        </w:rPr>
        <w:t>we</w:t>
      </w:r>
      <w:r>
        <w:rPr>
          <w:spacing w:val="-7"/>
          <w:w w:val="105"/>
        </w:rPr>
        <w:t> </w:t>
      </w:r>
      <w:r>
        <w:rPr>
          <w:w w:val="105"/>
        </w:rPr>
        <w:t>plan</w:t>
      </w:r>
      <w:r>
        <w:rPr>
          <w:spacing w:val="-5"/>
          <w:w w:val="105"/>
        </w:rPr>
        <w:t> </w:t>
      </w:r>
      <w:r>
        <w:rPr>
          <w:w w:val="105"/>
        </w:rPr>
        <w:t>and</w:t>
      </w:r>
      <w:r>
        <w:rPr>
          <w:spacing w:val="-7"/>
          <w:w w:val="105"/>
        </w:rPr>
        <w:t> </w:t>
      </w:r>
      <w:r>
        <w:rPr>
          <w:w w:val="105"/>
        </w:rPr>
        <w:t>perform</w:t>
      </w:r>
      <w:r>
        <w:rPr>
          <w:spacing w:val="-7"/>
          <w:w w:val="105"/>
        </w:rPr>
        <w:t> </w:t>
      </w:r>
      <w:r>
        <w:rPr>
          <w:w w:val="105"/>
        </w:rPr>
        <w:t>the</w:t>
      </w:r>
      <w:r>
        <w:rPr>
          <w:spacing w:val="-7"/>
          <w:w w:val="105"/>
        </w:rPr>
        <w:t> </w:t>
      </w:r>
      <w:r>
        <w:rPr>
          <w:w w:val="105"/>
        </w:rPr>
        <w:t>audits</w:t>
      </w:r>
      <w:r>
        <w:rPr>
          <w:spacing w:val="-7"/>
          <w:w w:val="105"/>
        </w:rPr>
        <w:t> </w:t>
      </w:r>
      <w:r>
        <w:rPr>
          <w:w w:val="105"/>
        </w:rPr>
        <w:t>to</w:t>
      </w:r>
      <w:r>
        <w:rPr>
          <w:spacing w:val="-7"/>
          <w:w w:val="105"/>
        </w:rPr>
        <w:t> </w:t>
      </w:r>
      <w:r>
        <w:rPr>
          <w:w w:val="105"/>
        </w:rPr>
        <w:t>obtain</w:t>
      </w:r>
      <w:r>
        <w:rPr>
          <w:spacing w:val="-7"/>
          <w:w w:val="105"/>
        </w:rPr>
        <w:t> </w:t>
      </w:r>
      <w:r>
        <w:rPr>
          <w:w w:val="105"/>
        </w:rPr>
        <w:t>reasonable</w:t>
      </w:r>
      <w:r>
        <w:rPr>
          <w:spacing w:val="-7"/>
          <w:w w:val="105"/>
        </w:rPr>
        <w:t> </w:t>
      </w:r>
      <w:r>
        <w:rPr>
          <w:w w:val="105"/>
        </w:rPr>
        <w:t>assurance</w:t>
      </w:r>
      <w:r>
        <w:rPr>
          <w:spacing w:val="-5"/>
          <w:w w:val="105"/>
        </w:rPr>
        <w:t> </w:t>
      </w:r>
      <w:r>
        <w:rPr>
          <w:w w:val="105"/>
        </w:rPr>
        <w:t>about whether</w:t>
      </w:r>
      <w:r>
        <w:rPr>
          <w:spacing w:val="-8"/>
          <w:w w:val="105"/>
        </w:rPr>
        <w:t> </w:t>
      </w:r>
      <w:r>
        <w:rPr>
          <w:w w:val="105"/>
        </w:rPr>
        <w:t>the</w:t>
      </w:r>
      <w:r>
        <w:rPr>
          <w:spacing w:val="-8"/>
          <w:w w:val="105"/>
        </w:rPr>
        <w:t> </w:t>
      </w:r>
      <w:r>
        <w:rPr>
          <w:w w:val="105"/>
        </w:rPr>
        <w:t>consolidated</w:t>
      </w:r>
      <w:r>
        <w:rPr>
          <w:spacing w:val="-8"/>
          <w:w w:val="105"/>
        </w:rPr>
        <w:t> </w:t>
      </w:r>
      <w:r>
        <w:rPr>
          <w:w w:val="105"/>
        </w:rPr>
        <w:t>financial</w:t>
      </w:r>
      <w:r>
        <w:rPr>
          <w:spacing w:val="-8"/>
          <w:w w:val="105"/>
        </w:rPr>
        <w:t> </w:t>
      </w:r>
      <w:r>
        <w:rPr>
          <w:w w:val="105"/>
        </w:rPr>
        <w:t>statements</w:t>
      </w:r>
      <w:r>
        <w:rPr>
          <w:spacing w:val="-8"/>
          <w:w w:val="105"/>
        </w:rPr>
        <w:t> </w:t>
      </w:r>
      <w:r>
        <w:rPr>
          <w:w w:val="105"/>
        </w:rPr>
        <w:t>are</w:t>
      </w:r>
      <w:r>
        <w:rPr>
          <w:spacing w:val="-8"/>
          <w:w w:val="105"/>
        </w:rPr>
        <w:t> </w:t>
      </w:r>
      <w:r>
        <w:rPr>
          <w:w w:val="105"/>
        </w:rPr>
        <w:t>free</w:t>
      </w:r>
      <w:r>
        <w:rPr>
          <w:spacing w:val="-8"/>
          <w:w w:val="105"/>
        </w:rPr>
        <w:t> </w:t>
      </w:r>
      <w:r>
        <w:rPr>
          <w:w w:val="105"/>
        </w:rPr>
        <w:t>of</w:t>
      </w:r>
      <w:r>
        <w:rPr>
          <w:spacing w:val="-8"/>
          <w:w w:val="105"/>
        </w:rPr>
        <w:t> </w:t>
      </w:r>
      <w:r>
        <w:rPr>
          <w:w w:val="105"/>
        </w:rPr>
        <w:t>material</w:t>
      </w:r>
      <w:r>
        <w:rPr>
          <w:spacing w:val="-10"/>
          <w:w w:val="105"/>
        </w:rPr>
        <w:t> </w:t>
      </w:r>
      <w:r>
        <w:rPr>
          <w:w w:val="105"/>
        </w:rPr>
        <w:t>misstatement,</w:t>
      </w:r>
      <w:r>
        <w:rPr>
          <w:spacing w:val="-8"/>
          <w:w w:val="105"/>
        </w:rPr>
        <w:t> </w:t>
      </w:r>
      <w:r>
        <w:rPr>
          <w:w w:val="105"/>
        </w:rPr>
        <w:t>whether</w:t>
      </w:r>
      <w:r>
        <w:rPr>
          <w:spacing w:val="-8"/>
          <w:w w:val="105"/>
        </w:rPr>
        <w:t> </w:t>
      </w:r>
      <w:r>
        <w:rPr>
          <w:w w:val="105"/>
        </w:rPr>
        <w:t>due</w:t>
      </w:r>
      <w:r>
        <w:rPr>
          <w:spacing w:val="-10"/>
          <w:w w:val="105"/>
        </w:rPr>
        <w:t> </w:t>
      </w:r>
      <w:r>
        <w:rPr>
          <w:w w:val="105"/>
        </w:rPr>
        <w:t>to</w:t>
      </w:r>
      <w:r>
        <w:rPr>
          <w:spacing w:val="-8"/>
          <w:w w:val="105"/>
        </w:rPr>
        <w:t> </w:t>
      </w:r>
      <w:r>
        <w:rPr>
          <w:w w:val="105"/>
        </w:rPr>
        <w:t>error</w:t>
      </w:r>
      <w:r>
        <w:rPr>
          <w:spacing w:val="-8"/>
          <w:w w:val="105"/>
        </w:rPr>
        <w:t> </w:t>
      </w:r>
      <w:r>
        <w:rPr>
          <w:w w:val="105"/>
        </w:rPr>
        <w:t>or</w:t>
      </w:r>
      <w:r>
        <w:rPr>
          <w:spacing w:val="-8"/>
          <w:w w:val="105"/>
        </w:rPr>
        <w:t> </w:t>
      </w:r>
      <w:r>
        <w:rPr>
          <w:w w:val="105"/>
        </w:rPr>
        <w:t>fraud,</w:t>
      </w:r>
      <w:r>
        <w:rPr>
          <w:spacing w:val="-8"/>
          <w:w w:val="105"/>
        </w:rPr>
        <w:t> </w:t>
      </w:r>
      <w:r>
        <w:rPr>
          <w:w w:val="105"/>
        </w:rPr>
        <w:t>and</w:t>
      </w:r>
      <w:r>
        <w:rPr>
          <w:spacing w:val="-10"/>
          <w:w w:val="105"/>
        </w:rPr>
        <w:t> </w:t>
      </w:r>
      <w:r>
        <w:rPr>
          <w:w w:val="105"/>
        </w:rPr>
        <w:t>whether</w:t>
      </w:r>
      <w:r>
        <w:rPr>
          <w:spacing w:val="-8"/>
          <w:w w:val="105"/>
        </w:rPr>
        <w:t> </w:t>
      </w:r>
      <w:r>
        <w:rPr>
          <w:w w:val="105"/>
        </w:rPr>
        <w:t>effective</w:t>
      </w:r>
      <w:r>
        <w:rPr>
          <w:spacing w:val="-8"/>
          <w:w w:val="105"/>
        </w:rPr>
        <w:t> </w:t>
      </w:r>
      <w:r>
        <w:rPr>
          <w:w w:val="105"/>
        </w:rPr>
        <w:t>internal</w:t>
      </w:r>
      <w:r>
        <w:rPr>
          <w:spacing w:val="-8"/>
          <w:w w:val="105"/>
        </w:rPr>
        <w:t> </w:t>
      </w:r>
      <w:r>
        <w:rPr>
          <w:w w:val="105"/>
        </w:rPr>
        <w:t>control</w:t>
      </w:r>
      <w:r>
        <w:rPr>
          <w:spacing w:val="-8"/>
          <w:w w:val="105"/>
        </w:rPr>
        <w:t> </w:t>
      </w:r>
      <w:r>
        <w:rPr>
          <w:w w:val="105"/>
        </w:rPr>
        <w:t>over</w:t>
      </w:r>
      <w:r>
        <w:rPr>
          <w:spacing w:val="-8"/>
          <w:w w:val="105"/>
        </w:rPr>
        <w:t> </w:t>
      </w:r>
      <w:r>
        <w:rPr>
          <w:w w:val="105"/>
        </w:rPr>
        <w:t>financial</w:t>
      </w:r>
      <w:r>
        <w:rPr>
          <w:spacing w:val="-8"/>
          <w:w w:val="105"/>
        </w:rPr>
        <w:t> </w:t>
      </w:r>
      <w:r>
        <w:rPr>
          <w:w w:val="105"/>
        </w:rPr>
        <w:t>reporting was maintained in all material respects.</w:t>
      </w:r>
    </w:p>
    <w:p>
      <w:pPr>
        <w:pStyle w:val="BodyText"/>
        <w:spacing w:before="18"/>
      </w:pPr>
    </w:p>
    <w:p>
      <w:pPr>
        <w:pStyle w:val="BodyText"/>
        <w:spacing w:line="266" w:lineRule="auto" w:before="1"/>
        <w:ind w:left="143" w:right="117"/>
      </w:pPr>
      <w:r>
        <w:rPr>
          <w:w w:val="105"/>
        </w:rPr>
        <w:t>Our</w:t>
      </w:r>
      <w:r>
        <w:rPr>
          <w:spacing w:val="-2"/>
          <w:w w:val="105"/>
        </w:rPr>
        <w:t> </w:t>
      </w:r>
      <w:r>
        <w:rPr>
          <w:w w:val="105"/>
        </w:rPr>
        <w:t>audits</w:t>
      </w:r>
      <w:r>
        <w:rPr>
          <w:spacing w:val="-2"/>
          <w:w w:val="105"/>
        </w:rPr>
        <w:t> </w:t>
      </w:r>
      <w:r>
        <w:rPr>
          <w:w w:val="105"/>
        </w:rPr>
        <w:t>of</w:t>
      </w:r>
      <w:r>
        <w:rPr>
          <w:spacing w:val="-2"/>
          <w:w w:val="105"/>
        </w:rPr>
        <w:t> </w:t>
      </w:r>
      <w:r>
        <w:rPr>
          <w:w w:val="105"/>
        </w:rPr>
        <w:t>the</w:t>
      </w:r>
      <w:r>
        <w:rPr>
          <w:spacing w:val="-2"/>
          <w:w w:val="105"/>
        </w:rPr>
        <w:t> </w:t>
      </w:r>
      <w:r>
        <w:rPr>
          <w:w w:val="105"/>
        </w:rPr>
        <w:t>consolidated financial</w:t>
      </w:r>
      <w:r>
        <w:rPr>
          <w:spacing w:val="-2"/>
          <w:w w:val="105"/>
        </w:rPr>
        <w:t> </w:t>
      </w:r>
      <w:r>
        <w:rPr>
          <w:w w:val="105"/>
        </w:rPr>
        <w:t>statements</w:t>
      </w:r>
      <w:r>
        <w:rPr>
          <w:spacing w:val="-2"/>
          <w:w w:val="105"/>
        </w:rPr>
        <w:t> </w:t>
      </w:r>
      <w:r>
        <w:rPr>
          <w:w w:val="105"/>
        </w:rPr>
        <w:t>included</w:t>
      </w:r>
      <w:r>
        <w:rPr>
          <w:spacing w:val="-2"/>
          <w:w w:val="105"/>
        </w:rPr>
        <w:t> </w:t>
      </w:r>
      <w:r>
        <w:rPr>
          <w:w w:val="105"/>
        </w:rPr>
        <w:t>performing</w:t>
      </w:r>
      <w:r>
        <w:rPr>
          <w:spacing w:val="-2"/>
          <w:w w:val="105"/>
        </w:rPr>
        <w:t> </w:t>
      </w:r>
      <w:r>
        <w:rPr>
          <w:w w:val="105"/>
        </w:rPr>
        <w:t>procedures</w:t>
      </w:r>
      <w:r>
        <w:rPr>
          <w:spacing w:val="-2"/>
          <w:w w:val="105"/>
        </w:rPr>
        <w:t> </w:t>
      </w:r>
      <w:r>
        <w:rPr>
          <w:w w:val="105"/>
        </w:rPr>
        <w:t>to</w:t>
      </w:r>
      <w:r>
        <w:rPr>
          <w:spacing w:val="-2"/>
          <w:w w:val="105"/>
        </w:rPr>
        <w:t> </w:t>
      </w:r>
      <w:r>
        <w:rPr>
          <w:w w:val="105"/>
        </w:rPr>
        <w:t>assess</w:t>
      </w:r>
      <w:r>
        <w:rPr>
          <w:spacing w:val="-2"/>
          <w:w w:val="105"/>
        </w:rPr>
        <w:t> </w:t>
      </w:r>
      <w:r>
        <w:rPr>
          <w:w w:val="105"/>
        </w:rPr>
        <w:t>the</w:t>
      </w:r>
      <w:r>
        <w:rPr>
          <w:spacing w:val="-2"/>
          <w:w w:val="105"/>
        </w:rPr>
        <w:t> </w:t>
      </w:r>
      <w:r>
        <w:rPr>
          <w:w w:val="105"/>
        </w:rPr>
        <w:t>risks</w:t>
      </w:r>
      <w:r>
        <w:rPr>
          <w:spacing w:val="-2"/>
          <w:w w:val="105"/>
        </w:rPr>
        <w:t> </w:t>
      </w:r>
      <w:r>
        <w:rPr>
          <w:w w:val="105"/>
        </w:rPr>
        <w:t>of</w:t>
      </w:r>
      <w:r>
        <w:rPr>
          <w:spacing w:val="-2"/>
          <w:w w:val="105"/>
        </w:rPr>
        <w:t> </w:t>
      </w:r>
      <w:r>
        <w:rPr>
          <w:w w:val="105"/>
        </w:rPr>
        <w:t>material</w:t>
      </w:r>
      <w:r>
        <w:rPr>
          <w:spacing w:val="-2"/>
          <w:w w:val="105"/>
        </w:rPr>
        <w:t> </w:t>
      </w:r>
      <w:r>
        <w:rPr>
          <w:w w:val="105"/>
        </w:rPr>
        <w:t>misstatement</w:t>
      </w:r>
      <w:r>
        <w:rPr>
          <w:spacing w:val="-2"/>
          <w:w w:val="105"/>
        </w:rPr>
        <w:t> </w:t>
      </w:r>
      <w:r>
        <w:rPr>
          <w:w w:val="105"/>
        </w:rPr>
        <w:t>of</w:t>
      </w:r>
      <w:r>
        <w:rPr>
          <w:spacing w:val="-2"/>
          <w:w w:val="105"/>
        </w:rPr>
        <w:t> </w:t>
      </w:r>
      <w:r>
        <w:rPr>
          <w:w w:val="105"/>
        </w:rPr>
        <w:t>the</w:t>
      </w:r>
      <w:r>
        <w:rPr>
          <w:spacing w:val="-2"/>
          <w:w w:val="105"/>
        </w:rPr>
        <w:t> </w:t>
      </w:r>
      <w:r>
        <w:rPr>
          <w:w w:val="105"/>
        </w:rPr>
        <w:t>consolidated</w:t>
      </w:r>
      <w:r>
        <w:rPr>
          <w:spacing w:val="-1"/>
          <w:w w:val="105"/>
        </w:rPr>
        <w:t> </w:t>
      </w:r>
      <w:r>
        <w:rPr>
          <w:w w:val="105"/>
        </w:rPr>
        <w:t>financial</w:t>
      </w:r>
      <w:r>
        <w:rPr>
          <w:spacing w:val="-2"/>
          <w:w w:val="105"/>
        </w:rPr>
        <w:t> </w:t>
      </w:r>
      <w:r>
        <w:rPr>
          <w:w w:val="105"/>
        </w:rPr>
        <w:t>statements, whether</w:t>
      </w:r>
      <w:r>
        <w:rPr>
          <w:spacing w:val="-2"/>
          <w:w w:val="105"/>
        </w:rPr>
        <w:t> </w:t>
      </w:r>
      <w:r>
        <w:rPr>
          <w:w w:val="105"/>
        </w:rPr>
        <w:t>due</w:t>
      </w:r>
      <w:r>
        <w:rPr>
          <w:spacing w:val="-2"/>
          <w:w w:val="105"/>
        </w:rPr>
        <w:t> </w:t>
      </w:r>
      <w:r>
        <w:rPr>
          <w:w w:val="105"/>
        </w:rPr>
        <w:t>to</w:t>
      </w:r>
      <w:r>
        <w:rPr>
          <w:spacing w:val="-2"/>
          <w:w w:val="105"/>
        </w:rPr>
        <w:t> </w:t>
      </w:r>
      <w:r>
        <w:rPr>
          <w:w w:val="105"/>
        </w:rPr>
        <w:t>error</w:t>
      </w:r>
      <w:r>
        <w:rPr>
          <w:spacing w:val="-2"/>
          <w:w w:val="105"/>
        </w:rPr>
        <w:t> </w:t>
      </w:r>
      <w:r>
        <w:rPr>
          <w:w w:val="105"/>
        </w:rPr>
        <w:t>or</w:t>
      </w:r>
      <w:r>
        <w:rPr>
          <w:spacing w:val="-2"/>
          <w:w w:val="105"/>
        </w:rPr>
        <w:t> </w:t>
      </w:r>
      <w:r>
        <w:rPr>
          <w:w w:val="105"/>
        </w:rPr>
        <w:t>fraud,</w:t>
      </w:r>
      <w:r>
        <w:rPr>
          <w:spacing w:val="-2"/>
          <w:w w:val="105"/>
        </w:rPr>
        <w:t> </w:t>
      </w:r>
      <w:r>
        <w:rPr>
          <w:w w:val="105"/>
        </w:rPr>
        <w:t>and</w:t>
      </w:r>
      <w:r>
        <w:rPr>
          <w:spacing w:val="-2"/>
          <w:w w:val="105"/>
        </w:rPr>
        <w:t> </w:t>
      </w:r>
      <w:r>
        <w:rPr>
          <w:w w:val="105"/>
        </w:rPr>
        <w:t>performing</w:t>
      </w:r>
      <w:r>
        <w:rPr>
          <w:spacing w:val="-2"/>
          <w:w w:val="105"/>
        </w:rPr>
        <w:t> </w:t>
      </w:r>
      <w:r>
        <w:rPr>
          <w:w w:val="105"/>
        </w:rPr>
        <w:t>procedures that</w:t>
      </w:r>
      <w:r>
        <w:rPr>
          <w:spacing w:val="-2"/>
          <w:w w:val="105"/>
        </w:rPr>
        <w:t> </w:t>
      </w:r>
      <w:r>
        <w:rPr>
          <w:w w:val="105"/>
        </w:rPr>
        <w:t>respond</w:t>
      </w:r>
      <w:r>
        <w:rPr>
          <w:spacing w:val="-2"/>
          <w:w w:val="105"/>
        </w:rPr>
        <w:t> </w:t>
      </w:r>
      <w:r>
        <w:rPr>
          <w:w w:val="105"/>
        </w:rPr>
        <w:t>to</w:t>
      </w:r>
      <w:r>
        <w:rPr>
          <w:spacing w:val="-2"/>
          <w:w w:val="105"/>
        </w:rPr>
        <w:t> </w:t>
      </w:r>
      <w:r>
        <w:rPr>
          <w:w w:val="105"/>
        </w:rPr>
        <w:t>those</w:t>
      </w:r>
      <w:r>
        <w:rPr>
          <w:spacing w:val="-2"/>
          <w:w w:val="105"/>
        </w:rPr>
        <w:t> </w:t>
      </w:r>
      <w:r>
        <w:rPr>
          <w:w w:val="105"/>
        </w:rPr>
        <w:t>risks.</w:t>
      </w:r>
      <w:r>
        <w:rPr>
          <w:spacing w:val="-2"/>
          <w:w w:val="105"/>
        </w:rPr>
        <w:t> </w:t>
      </w:r>
      <w:r>
        <w:rPr>
          <w:w w:val="105"/>
        </w:rPr>
        <w:t>Such</w:t>
      </w:r>
      <w:r>
        <w:rPr>
          <w:spacing w:val="-2"/>
          <w:w w:val="105"/>
        </w:rPr>
        <w:t> </w:t>
      </w:r>
      <w:r>
        <w:rPr>
          <w:w w:val="105"/>
        </w:rPr>
        <w:t>procedures</w:t>
      </w:r>
      <w:r>
        <w:rPr>
          <w:spacing w:val="-2"/>
          <w:w w:val="105"/>
        </w:rPr>
        <w:t> </w:t>
      </w:r>
      <w:r>
        <w:rPr>
          <w:w w:val="105"/>
        </w:rPr>
        <w:t>included</w:t>
      </w:r>
      <w:r>
        <w:rPr>
          <w:spacing w:val="-2"/>
          <w:w w:val="105"/>
        </w:rPr>
        <w:t> </w:t>
      </w:r>
      <w:r>
        <w:rPr>
          <w:w w:val="105"/>
        </w:rPr>
        <w:t>examining,</w:t>
      </w:r>
      <w:r>
        <w:rPr>
          <w:spacing w:val="-2"/>
          <w:w w:val="105"/>
        </w:rPr>
        <w:t> </w:t>
      </w:r>
      <w:r>
        <w:rPr>
          <w:w w:val="105"/>
        </w:rPr>
        <w:t>on</w:t>
      </w:r>
      <w:r>
        <w:rPr>
          <w:spacing w:val="-2"/>
          <w:w w:val="105"/>
        </w:rPr>
        <w:t> </w:t>
      </w:r>
      <w:r>
        <w:rPr>
          <w:w w:val="105"/>
        </w:rPr>
        <w:t>a</w:t>
      </w:r>
      <w:r>
        <w:rPr>
          <w:spacing w:val="-2"/>
          <w:w w:val="105"/>
        </w:rPr>
        <w:t> </w:t>
      </w:r>
      <w:r>
        <w:rPr>
          <w:w w:val="105"/>
        </w:rPr>
        <w:t>test</w:t>
      </w:r>
      <w:r>
        <w:rPr>
          <w:spacing w:val="-2"/>
          <w:w w:val="105"/>
        </w:rPr>
        <w:t> </w:t>
      </w:r>
      <w:r>
        <w:rPr>
          <w:w w:val="105"/>
        </w:rPr>
        <w:t>basis,</w:t>
      </w:r>
      <w:r>
        <w:rPr>
          <w:spacing w:val="-2"/>
          <w:w w:val="105"/>
        </w:rPr>
        <w:t> </w:t>
      </w:r>
      <w:r>
        <w:rPr>
          <w:w w:val="105"/>
        </w:rPr>
        <w:t>evidence</w:t>
      </w:r>
      <w:r>
        <w:rPr>
          <w:spacing w:val="-2"/>
          <w:w w:val="105"/>
        </w:rPr>
        <w:t> </w:t>
      </w:r>
      <w:r>
        <w:rPr>
          <w:w w:val="105"/>
        </w:rPr>
        <w:t>regarding</w:t>
      </w:r>
      <w:r>
        <w:rPr>
          <w:spacing w:val="-2"/>
          <w:w w:val="105"/>
        </w:rPr>
        <w:t> </w:t>
      </w:r>
      <w:r>
        <w:rPr>
          <w:w w:val="105"/>
        </w:rPr>
        <w:t>the</w:t>
      </w:r>
      <w:r>
        <w:rPr>
          <w:spacing w:val="-2"/>
          <w:w w:val="105"/>
        </w:rPr>
        <w:t> </w:t>
      </w:r>
      <w:r>
        <w:rPr>
          <w:w w:val="105"/>
        </w:rPr>
        <w:t>amounts and</w:t>
      </w:r>
      <w:r>
        <w:rPr>
          <w:spacing w:val="-4"/>
          <w:w w:val="105"/>
        </w:rPr>
        <w:t> </w:t>
      </w:r>
      <w:r>
        <w:rPr>
          <w:w w:val="105"/>
        </w:rPr>
        <w:t>disclosures</w:t>
      </w:r>
      <w:r>
        <w:rPr>
          <w:spacing w:val="-4"/>
          <w:w w:val="105"/>
        </w:rPr>
        <w:t> </w:t>
      </w:r>
      <w:r>
        <w:rPr>
          <w:w w:val="105"/>
        </w:rPr>
        <w:t>in</w:t>
      </w:r>
      <w:r>
        <w:rPr>
          <w:spacing w:val="-4"/>
          <w:w w:val="105"/>
        </w:rPr>
        <w:t> </w:t>
      </w:r>
      <w:r>
        <w:rPr>
          <w:w w:val="105"/>
        </w:rPr>
        <w:t>the</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Our</w:t>
      </w:r>
      <w:r>
        <w:rPr>
          <w:spacing w:val="-4"/>
          <w:w w:val="105"/>
        </w:rPr>
        <w:t> </w:t>
      </w:r>
      <w:r>
        <w:rPr>
          <w:w w:val="105"/>
        </w:rPr>
        <w:t>audits</w:t>
      </w:r>
      <w:r>
        <w:rPr>
          <w:spacing w:val="-4"/>
          <w:w w:val="105"/>
        </w:rPr>
        <w:t> </w:t>
      </w:r>
      <w:r>
        <w:rPr>
          <w:w w:val="105"/>
        </w:rPr>
        <w:t>also</w:t>
      </w:r>
      <w:r>
        <w:rPr>
          <w:spacing w:val="-4"/>
          <w:w w:val="105"/>
        </w:rPr>
        <w:t> </w:t>
      </w:r>
      <w:r>
        <w:rPr>
          <w:w w:val="105"/>
        </w:rPr>
        <w:t>included</w:t>
      </w:r>
      <w:r>
        <w:rPr>
          <w:spacing w:val="-2"/>
          <w:w w:val="105"/>
        </w:rPr>
        <w:t> </w:t>
      </w:r>
      <w:r>
        <w:rPr>
          <w:w w:val="105"/>
        </w:rPr>
        <w:t>evaluating</w:t>
      </w:r>
      <w:r>
        <w:rPr>
          <w:spacing w:val="-4"/>
          <w:w w:val="105"/>
        </w:rPr>
        <w:t> </w:t>
      </w:r>
      <w:r>
        <w:rPr>
          <w:w w:val="105"/>
        </w:rPr>
        <w:t>the</w:t>
      </w:r>
      <w:r>
        <w:rPr>
          <w:spacing w:val="-4"/>
          <w:w w:val="105"/>
        </w:rPr>
        <w:t> </w:t>
      </w:r>
      <w:r>
        <w:rPr>
          <w:w w:val="105"/>
        </w:rPr>
        <w:t>accounting</w:t>
      </w:r>
      <w:r>
        <w:rPr>
          <w:spacing w:val="-4"/>
          <w:w w:val="105"/>
        </w:rPr>
        <w:t> </w:t>
      </w:r>
      <w:r>
        <w:rPr>
          <w:w w:val="105"/>
        </w:rPr>
        <w:t>principles</w:t>
      </w:r>
      <w:r>
        <w:rPr>
          <w:spacing w:val="-4"/>
          <w:w w:val="105"/>
        </w:rPr>
        <w:t> </w:t>
      </w:r>
      <w:r>
        <w:rPr>
          <w:w w:val="105"/>
        </w:rPr>
        <w:t>used</w:t>
      </w:r>
      <w:r>
        <w:rPr>
          <w:spacing w:val="-4"/>
          <w:w w:val="105"/>
        </w:rPr>
        <w:t> </w:t>
      </w:r>
      <w:r>
        <w:rPr>
          <w:w w:val="105"/>
        </w:rPr>
        <w:t>and</w:t>
      </w:r>
      <w:r>
        <w:rPr>
          <w:spacing w:val="-4"/>
          <w:w w:val="105"/>
        </w:rPr>
        <w:t> </w:t>
      </w:r>
      <w:r>
        <w:rPr>
          <w:w w:val="105"/>
        </w:rPr>
        <w:t>significant</w:t>
      </w:r>
      <w:r>
        <w:rPr>
          <w:spacing w:val="-4"/>
          <w:w w:val="105"/>
        </w:rPr>
        <w:t> </w:t>
      </w:r>
      <w:r>
        <w:rPr>
          <w:w w:val="105"/>
        </w:rPr>
        <w:t>estimates</w:t>
      </w:r>
      <w:r>
        <w:rPr>
          <w:spacing w:val="-4"/>
          <w:w w:val="105"/>
        </w:rPr>
        <w:t> </w:t>
      </w:r>
      <w:r>
        <w:rPr>
          <w:w w:val="105"/>
        </w:rPr>
        <w:t>made</w:t>
      </w:r>
      <w:r>
        <w:rPr>
          <w:spacing w:val="-4"/>
          <w:w w:val="105"/>
        </w:rPr>
        <w:t> </w:t>
      </w:r>
      <w:r>
        <w:rPr>
          <w:w w:val="105"/>
        </w:rPr>
        <w:t>by</w:t>
      </w:r>
      <w:r>
        <w:rPr>
          <w:spacing w:val="-4"/>
          <w:w w:val="105"/>
        </w:rPr>
        <w:t> </w:t>
      </w:r>
      <w:r>
        <w:rPr>
          <w:w w:val="105"/>
        </w:rPr>
        <w:t>management, as</w:t>
      </w:r>
      <w:r>
        <w:rPr>
          <w:spacing w:val="-1"/>
          <w:w w:val="105"/>
        </w:rPr>
        <w:t> </w:t>
      </w:r>
      <w:r>
        <w:rPr>
          <w:w w:val="105"/>
        </w:rPr>
        <w:t>well</w:t>
      </w:r>
      <w:r>
        <w:rPr>
          <w:spacing w:val="-1"/>
          <w:w w:val="105"/>
        </w:rPr>
        <w:t> </w:t>
      </w:r>
      <w:r>
        <w:rPr>
          <w:w w:val="105"/>
        </w:rPr>
        <w:t>as</w:t>
      </w:r>
      <w:r>
        <w:rPr>
          <w:spacing w:val="-1"/>
          <w:w w:val="105"/>
        </w:rPr>
        <w:t> </w:t>
      </w:r>
      <w:r>
        <w:rPr>
          <w:w w:val="105"/>
        </w:rPr>
        <w:t>evaluating</w:t>
      </w:r>
      <w:r>
        <w:rPr>
          <w:spacing w:val="-1"/>
          <w:w w:val="105"/>
        </w:rPr>
        <w:t> </w:t>
      </w:r>
      <w:r>
        <w:rPr>
          <w:w w:val="105"/>
        </w:rPr>
        <w:t>the</w:t>
      </w:r>
      <w:r>
        <w:rPr>
          <w:spacing w:val="-1"/>
          <w:w w:val="105"/>
        </w:rPr>
        <w:t> </w:t>
      </w:r>
      <w:r>
        <w:rPr>
          <w:w w:val="105"/>
        </w:rPr>
        <w:t>overall</w:t>
      </w:r>
      <w:r>
        <w:rPr>
          <w:spacing w:val="-1"/>
          <w:w w:val="105"/>
        </w:rPr>
        <w:t> </w:t>
      </w:r>
      <w:r>
        <w:rPr>
          <w:w w:val="105"/>
        </w:rPr>
        <w:t>presentation</w:t>
      </w:r>
      <w:r>
        <w:rPr>
          <w:spacing w:val="-1"/>
          <w:w w:val="105"/>
        </w:rPr>
        <w:t> </w:t>
      </w:r>
      <w:r>
        <w:rPr>
          <w:w w:val="105"/>
        </w:rPr>
        <w:t>of the</w:t>
      </w:r>
      <w:r>
        <w:rPr>
          <w:spacing w:val="-1"/>
          <w:w w:val="105"/>
        </w:rPr>
        <w:t> </w:t>
      </w:r>
      <w:r>
        <w:rPr>
          <w:w w:val="105"/>
        </w:rPr>
        <w:t>consolidated financial</w:t>
      </w:r>
      <w:r>
        <w:rPr>
          <w:spacing w:val="-1"/>
          <w:w w:val="105"/>
        </w:rPr>
        <w:t> </w:t>
      </w:r>
      <w:r>
        <w:rPr>
          <w:w w:val="105"/>
        </w:rPr>
        <w:t>statements.</w:t>
      </w:r>
      <w:r>
        <w:rPr>
          <w:spacing w:val="-1"/>
          <w:w w:val="105"/>
        </w:rPr>
        <w:t> </w:t>
      </w:r>
      <w:r>
        <w:rPr>
          <w:w w:val="105"/>
        </w:rPr>
        <w:t>Our</w:t>
      </w:r>
      <w:r>
        <w:rPr>
          <w:spacing w:val="-1"/>
          <w:w w:val="105"/>
        </w:rPr>
        <w:t> </w:t>
      </w:r>
      <w:r>
        <w:rPr>
          <w:w w:val="105"/>
        </w:rPr>
        <w:t>audit</w:t>
      </w:r>
      <w:r>
        <w:rPr>
          <w:spacing w:val="-1"/>
          <w:w w:val="105"/>
        </w:rPr>
        <w:t> </w:t>
      </w:r>
      <w:r>
        <w:rPr>
          <w:w w:val="105"/>
        </w:rPr>
        <w:t>of</w:t>
      </w:r>
      <w:r>
        <w:rPr>
          <w:spacing w:val="-1"/>
          <w:w w:val="105"/>
        </w:rPr>
        <w:t> </w:t>
      </w:r>
      <w:r>
        <w:rPr>
          <w:w w:val="105"/>
        </w:rPr>
        <w:t>internal</w:t>
      </w:r>
      <w:r>
        <w:rPr>
          <w:spacing w:val="-1"/>
          <w:w w:val="105"/>
        </w:rPr>
        <w:t> </w:t>
      </w:r>
      <w:r>
        <w:rPr>
          <w:w w:val="105"/>
        </w:rPr>
        <w:t>control</w:t>
      </w:r>
      <w:r>
        <w:rPr>
          <w:spacing w:val="-1"/>
          <w:w w:val="105"/>
        </w:rPr>
        <w:t> </w:t>
      </w:r>
      <w:r>
        <w:rPr>
          <w:w w:val="105"/>
        </w:rPr>
        <w:t>over</w:t>
      </w:r>
      <w:r>
        <w:rPr>
          <w:spacing w:val="-1"/>
          <w:w w:val="105"/>
        </w:rPr>
        <w:t> </w:t>
      </w:r>
      <w:r>
        <w:rPr>
          <w:w w:val="105"/>
        </w:rPr>
        <w:t>financial</w:t>
      </w:r>
      <w:r>
        <w:rPr>
          <w:spacing w:val="-1"/>
          <w:w w:val="105"/>
        </w:rPr>
        <w:t> </w:t>
      </w:r>
      <w:r>
        <w:rPr>
          <w:w w:val="105"/>
        </w:rPr>
        <w:t>reporting</w:t>
      </w:r>
      <w:r>
        <w:rPr>
          <w:spacing w:val="-1"/>
          <w:w w:val="105"/>
        </w:rPr>
        <w:t> </w:t>
      </w:r>
      <w:r>
        <w:rPr>
          <w:w w:val="105"/>
        </w:rPr>
        <w:t>included</w:t>
      </w:r>
      <w:r>
        <w:rPr>
          <w:spacing w:val="-1"/>
          <w:w w:val="105"/>
        </w:rPr>
        <w:t> </w:t>
      </w:r>
      <w:r>
        <w:rPr>
          <w:w w:val="105"/>
        </w:rPr>
        <w:t>obtaining</w:t>
      </w:r>
      <w:r>
        <w:rPr>
          <w:spacing w:val="-1"/>
          <w:w w:val="105"/>
        </w:rPr>
        <w:t> </w:t>
      </w:r>
      <w:r>
        <w:rPr>
          <w:w w:val="105"/>
        </w:rPr>
        <w:t>an understanding</w:t>
      </w:r>
      <w:r>
        <w:rPr>
          <w:spacing w:val="-9"/>
          <w:w w:val="105"/>
        </w:rPr>
        <w:t> </w:t>
      </w:r>
      <w:r>
        <w:rPr>
          <w:w w:val="105"/>
        </w:rPr>
        <w:t>of</w:t>
      </w:r>
      <w:r>
        <w:rPr>
          <w:spacing w:val="-9"/>
          <w:w w:val="105"/>
        </w:rPr>
        <w:t> </w:t>
      </w:r>
      <w:r>
        <w:rPr>
          <w:w w:val="105"/>
        </w:rPr>
        <w:t>internal</w:t>
      </w:r>
      <w:r>
        <w:rPr>
          <w:spacing w:val="-7"/>
          <w:w w:val="105"/>
        </w:rPr>
        <w:t> </w:t>
      </w:r>
      <w:r>
        <w:rPr>
          <w:w w:val="105"/>
        </w:rPr>
        <w:t>control</w:t>
      </w:r>
      <w:r>
        <w:rPr>
          <w:spacing w:val="-9"/>
          <w:w w:val="105"/>
        </w:rPr>
        <w:t> </w:t>
      </w:r>
      <w:r>
        <w:rPr>
          <w:w w:val="105"/>
        </w:rPr>
        <w:t>over</w:t>
      </w:r>
      <w:r>
        <w:rPr>
          <w:spacing w:val="-9"/>
          <w:w w:val="105"/>
        </w:rPr>
        <w:t> </w:t>
      </w:r>
      <w:r>
        <w:rPr>
          <w:w w:val="105"/>
        </w:rPr>
        <w:t>financial</w:t>
      </w:r>
      <w:r>
        <w:rPr>
          <w:spacing w:val="-7"/>
          <w:w w:val="105"/>
        </w:rPr>
        <w:t> </w:t>
      </w:r>
      <w:r>
        <w:rPr>
          <w:w w:val="105"/>
        </w:rPr>
        <w:t>reporting,</w:t>
      </w:r>
      <w:r>
        <w:rPr>
          <w:spacing w:val="-9"/>
          <w:w w:val="105"/>
        </w:rPr>
        <w:t> </w:t>
      </w:r>
      <w:r>
        <w:rPr>
          <w:w w:val="105"/>
        </w:rPr>
        <w:t>assessing</w:t>
      </w:r>
      <w:r>
        <w:rPr>
          <w:spacing w:val="-9"/>
          <w:w w:val="105"/>
        </w:rPr>
        <w:t> </w:t>
      </w:r>
      <w:r>
        <w:rPr>
          <w:w w:val="105"/>
        </w:rPr>
        <w:t>the</w:t>
      </w:r>
      <w:r>
        <w:rPr>
          <w:spacing w:val="-9"/>
          <w:w w:val="105"/>
        </w:rPr>
        <w:t> </w:t>
      </w:r>
      <w:r>
        <w:rPr>
          <w:w w:val="105"/>
        </w:rPr>
        <w:t>risk</w:t>
      </w:r>
      <w:r>
        <w:rPr>
          <w:spacing w:val="-9"/>
          <w:w w:val="105"/>
        </w:rPr>
        <w:t> </w:t>
      </w:r>
      <w:r>
        <w:rPr>
          <w:w w:val="105"/>
        </w:rPr>
        <w:t>that</w:t>
      </w:r>
      <w:r>
        <w:rPr>
          <w:spacing w:val="-9"/>
          <w:w w:val="105"/>
        </w:rPr>
        <w:t> </w:t>
      </w:r>
      <w:r>
        <w:rPr>
          <w:w w:val="105"/>
        </w:rPr>
        <w:t>a</w:t>
      </w:r>
      <w:r>
        <w:rPr>
          <w:spacing w:val="-9"/>
          <w:w w:val="105"/>
        </w:rPr>
        <w:t> </w:t>
      </w:r>
      <w:r>
        <w:rPr>
          <w:w w:val="105"/>
        </w:rPr>
        <w:t>material</w:t>
      </w:r>
      <w:r>
        <w:rPr>
          <w:spacing w:val="-9"/>
          <w:w w:val="105"/>
        </w:rPr>
        <w:t> </w:t>
      </w:r>
      <w:r>
        <w:rPr>
          <w:w w:val="105"/>
        </w:rPr>
        <w:t>weakness</w:t>
      </w:r>
      <w:r>
        <w:rPr>
          <w:spacing w:val="-7"/>
          <w:w w:val="105"/>
        </w:rPr>
        <w:t> </w:t>
      </w:r>
      <w:r>
        <w:rPr>
          <w:w w:val="105"/>
        </w:rPr>
        <w:t>exists,</w:t>
      </w:r>
      <w:r>
        <w:rPr>
          <w:spacing w:val="-9"/>
          <w:w w:val="105"/>
        </w:rPr>
        <w:t> </w:t>
      </w:r>
      <w:r>
        <w:rPr>
          <w:w w:val="105"/>
        </w:rPr>
        <w:t>and</w:t>
      </w:r>
      <w:r>
        <w:rPr>
          <w:spacing w:val="-9"/>
          <w:w w:val="105"/>
        </w:rPr>
        <w:t> </w:t>
      </w:r>
      <w:r>
        <w:rPr>
          <w:w w:val="105"/>
        </w:rPr>
        <w:t>testing</w:t>
      </w:r>
      <w:r>
        <w:rPr>
          <w:spacing w:val="-9"/>
          <w:w w:val="105"/>
        </w:rPr>
        <w:t> </w:t>
      </w:r>
      <w:r>
        <w:rPr>
          <w:w w:val="105"/>
        </w:rPr>
        <w:t>and</w:t>
      </w:r>
      <w:r>
        <w:rPr>
          <w:spacing w:val="-9"/>
          <w:w w:val="105"/>
        </w:rPr>
        <w:t> </w:t>
      </w:r>
      <w:r>
        <w:rPr>
          <w:w w:val="105"/>
        </w:rPr>
        <w:t>evaluating</w:t>
      </w:r>
      <w:r>
        <w:rPr>
          <w:spacing w:val="-9"/>
          <w:w w:val="105"/>
        </w:rPr>
        <w:t> </w:t>
      </w:r>
      <w:r>
        <w:rPr>
          <w:w w:val="105"/>
        </w:rPr>
        <w:t>the</w:t>
      </w:r>
      <w:r>
        <w:rPr>
          <w:spacing w:val="-9"/>
          <w:w w:val="105"/>
        </w:rPr>
        <w:t> </w:t>
      </w:r>
      <w:r>
        <w:rPr>
          <w:w w:val="105"/>
        </w:rPr>
        <w:t>design</w:t>
      </w:r>
      <w:r>
        <w:rPr>
          <w:spacing w:val="-9"/>
          <w:w w:val="105"/>
        </w:rPr>
        <w:t> </w:t>
      </w:r>
      <w:r>
        <w:rPr>
          <w:w w:val="105"/>
        </w:rPr>
        <w:t>and</w:t>
      </w:r>
      <w:r>
        <w:rPr>
          <w:spacing w:val="-9"/>
          <w:w w:val="105"/>
        </w:rPr>
        <w:t> </w:t>
      </w:r>
      <w:r>
        <w:rPr>
          <w:w w:val="105"/>
        </w:rPr>
        <w:t>operating</w:t>
      </w:r>
      <w:r>
        <w:rPr>
          <w:spacing w:val="-9"/>
          <w:w w:val="105"/>
        </w:rPr>
        <w:t> </w:t>
      </w:r>
      <w:r>
        <w:rPr>
          <w:w w:val="105"/>
        </w:rPr>
        <w:t>effectiveness of</w:t>
      </w:r>
      <w:r>
        <w:rPr>
          <w:spacing w:val="-2"/>
          <w:w w:val="105"/>
        </w:rPr>
        <w:t> </w:t>
      </w:r>
      <w:r>
        <w:rPr>
          <w:w w:val="105"/>
        </w:rPr>
        <w:t>internal</w:t>
      </w:r>
      <w:r>
        <w:rPr>
          <w:spacing w:val="-2"/>
          <w:w w:val="105"/>
        </w:rPr>
        <w:t> </w:t>
      </w:r>
      <w:r>
        <w:rPr>
          <w:w w:val="105"/>
        </w:rPr>
        <w:t>control</w:t>
      </w:r>
      <w:r>
        <w:rPr>
          <w:spacing w:val="-2"/>
          <w:w w:val="105"/>
        </w:rPr>
        <w:t> </w:t>
      </w:r>
      <w:r>
        <w:rPr>
          <w:w w:val="105"/>
        </w:rPr>
        <w:t>based</w:t>
      </w:r>
      <w:r>
        <w:rPr>
          <w:spacing w:val="-2"/>
          <w:w w:val="105"/>
        </w:rPr>
        <w:t> </w:t>
      </w:r>
      <w:r>
        <w:rPr>
          <w:w w:val="105"/>
        </w:rPr>
        <w:t>on</w:t>
      </w:r>
      <w:r>
        <w:rPr>
          <w:spacing w:val="-2"/>
          <w:w w:val="105"/>
        </w:rPr>
        <w:t> </w:t>
      </w:r>
      <w:r>
        <w:rPr>
          <w:w w:val="105"/>
        </w:rPr>
        <w:t>the</w:t>
      </w:r>
      <w:r>
        <w:rPr>
          <w:spacing w:val="-2"/>
          <w:w w:val="105"/>
        </w:rPr>
        <w:t> </w:t>
      </w:r>
      <w:r>
        <w:rPr>
          <w:w w:val="105"/>
        </w:rPr>
        <w:t>assessed</w:t>
      </w:r>
      <w:r>
        <w:rPr>
          <w:spacing w:val="-2"/>
          <w:w w:val="105"/>
        </w:rPr>
        <w:t> </w:t>
      </w:r>
      <w:r>
        <w:rPr>
          <w:w w:val="105"/>
        </w:rPr>
        <w:t>risk.</w:t>
      </w:r>
      <w:r>
        <w:rPr>
          <w:spacing w:val="-2"/>
          <w:w w:val="105"/>
        </w:rPr>
        <w:t> </w:t>
      </w:r>
      <w:r>
        <w:rPr>
          <w:w w:val="105"/>
        </w:rPr>
        <w:t>Our</w:t>
      </w:r>
      <w:r>
        <w:rPr>
          <w:spacing w:val="-2"/>
          <w:w w:val="105"/>
        </w:rPr>
        <w:t> </w:t>
      </w:r>
      <w:r>
        <w:rPr>
          <w:w w:val="105"/>
        </w:rPr>
        <w:t>audits</w:t>
      </w:r>
      <w:r>
        <w:rPr>
          <w:spacing w:val="-2"/>
          <w:w w:val="105"/>
        </w:rPr>
        <w:t> </w:t>
      </w:r>
      <w:r>
        <w:rPr>
          <w:w w:val="105"/>
        </w:rPr>
        <w:t>also included</w:t>
      </w:r>
      <w:r>
        <w:rPr>
          <w:spacing w:val="-2"/>
          <w:w w:val="105"/>
        </w:rPr>
        <w:t> </w:t>
      </w:r>
      <w:r>
        <w:rPr>
          <w:w w:val="105"/>
        </w:rPr>
        <w:t>performing</w:t>
      </w:r>
      <w:r>
        <w:rPr>
          <w:spacing w:val="-2"/>
          <w:w w:val="105"/>
        </w:rPr>
        <w:t> </w:t>
      </w:r>
      <w:r>
        <w:rPr>
          <w:w w:val="105"/>
        </w:rPr>
        <w:t>such</w:t>
      </w:r>
      <w:r>
        <w:rPr>
          <w:spacing w:val="-2"/>
          <w:w w:val="105"/>
        </w:rPr>
        <w:t> </w:t>
      </w:r>
      <w:r>
        <w:rPr>
          <w:w w:val="105"/>
        </w:rPr>
        <w:t>other</w:t>
      </w:r>
      <w:r>
        <w:rPr>
          <w:spacing w:val="-2"/>
          <w:w w:val="105"/>
        </w:rPr>
        <w:t> </w:t>
      </w:r>
      <w:r>
        <w:rPr>
          <w:w w:val="105"/>
        </w:rPr>
        <w:t>procedures</w:t>
      </w:r>
      <w:r>
        <w:rPr>
          <w:spacing w:val="-2"/>
          <w:w w:val="105"/>
        </w:rPr>
        <w:t> </w:t>
      </w:r>
      <w:r>
        <w:rPr>
          <w:w w:val="105"/>
        </w:rPr>
        <w:t>as</w:t>
      </w:r>
      <w:r>
        <w:rPr>
          <w:spacing w:val="-2"/>
          <w:w w:val="105"/>
        </w:rPr>
        <w:t> </w:t>
      </w:r>
      <w:r>
        <w:rPr>
          <w:w w:val="105"/>
        </w:rPr>
        <w:t>we</w:t>
      </w:r>
      <w:r>
        <w:rPr>
          <w:spacing w:val="-2"/>
          <w:w w:val="105"/>
        </w:rPr>
        <w:t> </w:t>
      </w:r>
      <w:r>
        <w:rPr>
          <w:w w:val="105"/>
        </w:rPr>
        <w:t>considered</w:t>
      </w:r>
      <w:r>
        <w:rPr>
          <w:spacing w:val="-2"/>
          <w:w w:val="105"/>
        </w:rPr>
        <w:t> </w:t>
      </w:r>
      <w:r>
        <w:rPr>
          <w:w w:val="105"/>
        </w:rPr>
        <w:t>necessary</w:t>
      </w:r>
      <w:r>
        <w:rPr>
          <w:spacing w:val="-2"/>
          <w:w w:val="105"/>
        </w:rPr>
        <w:t> </w:t>
      </w:r>
      <w:r>
        <w:rPr>
          <w:w w:val="105"/>
        </w:rPr>
        <w:t>in</w:t>
      </w:r>
      <w:r>
        <w:rPr>
          <w:spacing w:val="-2"/>
          <w:w w:val="105"/>
        </w:rPr>
        <w:t> </w:t>
      </w:r>
      <w:r>
        <w:rPr>
          <w:w w:val="105"/>
        </w:rPr>
        <w:t>the</w:t>
      </w:r>
      <w:r>
        <w:rPr>
          <w:spacing w:val="-2"/>
          <w:w w:val="105"/>
        </w:rPr>
        <w:t> </w:t>
      </w:r>
      <w:r>
        <w:rPr>
          <w:w w:val="105"/>
        </w:rPr>
        <w:t>circumstances.</w:t>
      </w:r>
      <w:r>
        <w:rPr>
          <w:spacing w:val="-2"/>
          <w:w w:val="105"/>
        </w:rPr>
        <w:t> </w:t>
      </w:r>
      <w:r>
        <w:rPr>
          <w:w w:val="105"/>
        </w:rPr>
        <w:t>We</w:t>
      </w:r>
      <w:r>
        <w:rPr>
          <w:spacing w:val="-2"/>
          <w:w w:val="105"/>
        </w:rPr>
        <w:t> </w:t>
      </w:r>
      <w:r>
        <w:rPr>
          <w:w w:val="105"/>
        </w:rPr>
        <w:t>believe</w:t>
      </w:r>
      <w:r>
        <w:rPr>
          <w:spacing w:val="-2"/>
          <w:w w:val="105"/>
        </w:rPr>
        <w:t> </w:t>
      </w:r>
      <w:r>
        <w:rPr>
          <w:w w:val="105"/>
        </w:rPr>
        <w:t>that our audits provide a reasonable basis for our opinions.</w:t>
      </w:r>
    </w:p>
    <w:p>
      <w:pPr>
        <w:pStyle w:val="BodyText"/>
        <w:spacing w:before="16"/>
      </w:pPr>
    </w:p>
    <w:p>
      <w:pPr>
        <w:pStyle w:val="Heading3"/>
        <w:spacing w:before="1"/>
        <w:ind w:left="143"/>
      </w:pPr>
      <w:r>
        <w:rPr/>
        <w:t>Definition</w:t>
      </w:r>
      <w:r>
        <w:rPr>
          <w:spacing w:val="12"/>
        </w:rPr>
        <w:t> </w:t>
      </w:r>
      <w:r>
        <w:rPr/>
        <w:t>and</w:t>
      </w:r>
      <w:r>
        <w:rPr>
          <w:spacing w:val="12"/>
        </w:rPr>
        <w:t> </w:t>
      </w:r>
      <w:r>
        <w:rPr/>
        <w:t>Limitations</w:t>
      </w:r>
      <w:r>
        <w:rPr>
          <w:spacing w:val="13"/>
        </w:rPr>
        <w:t> </w:t>
      </w:r>
      <w:r>
        <w:rPr/>
        <w:t>of</w:t>
      </w:r>
      <w:r>
        <w:rPr>
          <w:spacing w:val="12"/>
        </w:rPr>
        <w:t> </w:t>
      </w:r>
      <w:r>
        <w:rPr/>
        <w:t>Internal</w:t>
      </w:r>
      <w:r>
        <w:rPr>
          <w:spacing w:val="13"/>
        </w:rPr>
        <w:t> </w:t>
      </w:r>
      <w:r>
        <w:rPr/>
        <w:t>Control</w:t>
      </w:r>
      <w:r>
        <w:rPr>
          <w:spacing w:val="12"/>
        </w:rPr>
        <w:t> </w:t>
      </w:r>
      <w:r>
        <w:rPr/>
        <w:t>over</w:t>
      </w:r>
      <w:r>
        <w:rPr>
          <w:spacing w:val="13"/>
        </w:rPr>
        <w:t> </w:t>
      </w:r>
      <w:r>
        <w:rPr/>
        <w:t>Financial</w:t>
      </w:r>
      <w:r>
        <w:rPr>
          <w:spacing w:val="12"/>
        </w:rPr>
        <w:t> </w:t>
      </w:r>
      <w:r>
        <w:rPr>
          <w:spacing w:val="-2"/>
        </w:rPr>
        <w:t>Reporting</w:t>
      </w:r>
    </w:p>
    <w:p>
      <w:pPr>
        <w:pStyle w:val="BodyText"/>
        <w:spacing w:before="39"/>
        <w:rPr>
          <w:b/>
          <w:i/>
        </w:rPr>
      </w:pPr>
    </w:p>
    <w:p>
      <w:pPr>
        <w:pStyle w:val="BodyText"/>
        <w:spacing w:line="266" w:lineRule="auto"/>
        <w:ind w:left="143" w:right="105"/>
      </w:pPr>
      <w:r>
        <w:rPr>
          <w:w w:val="105"/>
        </w:rPr>
        <w:t>A</w:t>
      </w:r>
      <w:r>
        <w:rPr>
          <w:spacing w:val="-9"/>
          <w:w w:val="105"/>
        </w:rPr>
        <w:t> </w:t>
      </w:r>
      <w:r>
        <w:rPr>
          <w:w w:val="105"/>
        </w:rPr>
        <w:t>company’s</w:t>
      </w:r>
      <w:r>
        <w:rPr>
          <w:spacing w:val="-9"/>
          <w:w w:val="105"/>
        </w:rPr>
        <w:t> </w:t>
      </w:r>
      <w:r>
        <w:rPr>
          <w:w w:val="105"/>
        </w:rPr>
        <w:t>internal</w:t>
      </w:r>
      <w:r>
        <w:rPr>
          <w:spacing w:val="-9"/>
          <w:w w:val="105"/>
        </w:rPr>
        <w:t> </w:t>
      </w:r>
      <w:r>
        <w:rPr>
          <w:w w:val="105"/>
        </w:rPr>
        <w:t>control</w:t>
      </w:r>
      <w:r>
        <w:rPr>
          <w:spacing w:val="-9"/>
          <w:w w:val="105"/>
        </w:rPr>
        <w:t> </w:t>
      </w:r>
      <w:r>
        <w:rPr>
          <w:w w:val="105"/>
        </w:rPr>
        <w:t>over</w:t>
      </w:r>
      <w:r>
        <w:rPr>
          <w:spacing w:val="-9"/>
          <w:w w:val="105"/>
        </w:rPr>
        <w:t> </w:t>
      </w:r>
      <w:r>
        <w:rPr>
          <w:w w:val="105"/>
        </w:rPr>
        <w:t>financial</w:t>
      </w:r>
      <w:r>
        <w:rPr>
          <w:spacing w:val="-9"/>
          <w:w w:val="105"/>
        </w:rPr>
        <w:t> </w:t>
      </w:r>
      <w:r>
        <w:rPr>
          <w:w w:val="105"/>
        </w:rPr>
        <w:t>reporting</w:t>
      </w:r>
      <w:r>
        <w:rPr>
          <w:spacing w:val="-9"/>
          <w:w w:val="105"/>
        </w:rPr>
        <w:t> </w:t>
      </w:r>
      <w:r>
        <w:rPr>
          <w:w w:val="105"/>
        </w:rPr>
        <w:t>is</w:t>
      </w:r>
      <w:r>
        <w:rPr>
          <w:spacing w:val="-9"/>
          <w:w w:val="105"/>
        </w:rPr>
        <w:t> </w:t>
      </w:r>
      <w:r>
        <w:rPr>
          <w:w w:val="105"/>
        </w:rPr>
        <w:t>a</w:t>
      </w:r>
      <w:r>
        <w:rPr>
          <w:spacing w:val="-9"/>
          <w:w w:val="105"/>
        </w:rPr>
        <w:t> </w:t>
      </w:r>
      <w:r>
        <w:rPr>
          <w:w w:val="105"/>
        </w:rPr>
        <w:t>process</w:t>
      </w:r>
      <w:r>
        <w:rPr>
          <w:spacing w:val="-9"/>
          <w:w w:val="105"/>
        </w:rPr>
        <w:t> </w:t>
      </w:r>
      <w:r>
        <w:rPr>
          <w:w w:val="105"/>
        </w:rPr>
        <w:t>designed</w:t>
      </w:r>
      <w:r>
        <w:rPr>
          <w:spacing w:val="-9"/>
          <w:w w:val="105"/>
        </w:rPr>
        <w:t> </w:t>
      </w:r>
      <w:r>
        <w:rPr>
          <w:w w:val="105"/>
        </w:rPr>
        <w:t>to</w:t>
      </w:r>
      <w:r>
        <w:rPr>
          <w:spacing w:val="-9"/>
          <w:w w:val="105"/>
        </w:rPr>
        <w:t> </w:t>
      </w:r>
      <w:r>
        <w:rPr>
          <w:w w:val="105"/>
        </w:rPr>
        <w:t>provide</w:t>
      </w:r>
      <w:r>
        <w:rPr>
          <w:spacing w:val="-9"/>
          <w:w w:val="105"/>
        </w:rPr>
        <w:t> </w:t>
      </w:r>
      <w:r>
        <w:rPr>
          <w:w w:val="105"/>
        </w:rPr>
        <w:t>reasonable</w:t>
      </w:r>
      <w:r>
        <w:rPr>
          <w:spacing w:val="-9"/>
          <w:w w:val="105"/>
        </w:rPr>
        <w:t> </w:t>
      </w:r>
      <w:r>
        <w:rPr>
          <w:w w:val="105"/>
        </w:rPr>
        <w:t>assurance</w:t>
      </w:r>
      <w:r>
        <w:rPr>
          <w:spacing w:val="-9"/>
          <w:w w:val="105"/>
        </w:rPr>
        <w:t> </w:t>
      </w:r>
      <w:r>
        <w:rPr>
          <w:w w:val="105"/>
        </w:rPr>
        <w:t>regarding</w:t>
      </w:r>
      <w:r>
        <w:rPr>
          <w:spacing w:val="-9"/>
          <w:w w:val="105"/>
        </w:rPr>
        <w:t> </w:t>
      </w:r>
      <w:r>
        <w:rPr>
          <w:w w:val="105"/>
        </w:rPr>
        <w:t>the</w:t>
      </w:r>
      <w:r>
        <w:rPr>
          <w:spacing w:val="-9"/>
          <w:w w:val="105"/>
        </w:rPr>
        <w:t> </w:t>
      </w:r>
      <w:r>
        <w:rPr>
          <w:w w:val="105"/>
        </w:rPr>
        <w:t>reliability</w:t>
      </w:r>
      <w:r>
        <w:rPr>
          <w:spacing w:val="-9"/>
          <w:w w:val="105"/>
        </w:rPr>
        <w:t> </w:t>
      </w:r>
      <w:r>
        <w:rPr>
          <w:w w:val="105"/>
        </w:rPr>
        <w:t>of</w:t>
      </w:r>
      <w:r>
        <w:rPr>
          <w:spacing w:val="-9"/>
          <w:w w:val="105"/>
        </w:rPr>
        <w:t> </w:t>
      </w:r>
      <w:r>
        <w:rPr>
          <w:w w:val="105"/>
        </w:rPr>
        <w:t>financial</w:t>
      </w:r>
      <w:r>
        <w:rPr>
          <w:spacing w:val="-9"/>
          <w:w w:val="105"/>
        </w:rPr>
        <w:t> </w:t>
      </w:r>
      <w:r>
        <w:rPr>
          <w:w w:val="105"/>
        </w:rPr>
        <w:t>reporting</w:t>
      </w:r>
      <w:r>
        <w:rPr>
          <w:spacing w:val="-9"/>
          <w:w w:val="105"/>
        </w:rPr>
        <w:t> </w:t>
      </w:r>
      <w:r>
        <w:rPr>
          <w:w w:val="105"/>
        </w:rPr>
        <w:t>and</w:t>
      </w:r>
      <w:r>
        <w:rPr>
          <w:spacing w:val="-9"/>
          <w:w w:val="105"/>
        </w:rPr>
        <w:t> </w:t>
      </w:r>
      <w:r>
        <w:rPr>
          <w:w w:val="105"/>
        </w:rPr>
        <w:t>the</w:t>
      </w:r>
      <w:r>
        <w:rPr>
          <w:spacing w:val="-9"/>
          <w:w w:val="105"/>
        </w:rPr>
        <w:t> </w:t>
      </w:r>
      <w:r>
        <w:rPr>
          <w:w w:val="105"/>
        </w:rPr>
        <w:t>preparation of</w:t>
      </w:r>
      <w:r>
        <w:rPr>
          <w:spacing w:val="-3"/>
          <w:w w:val="105"/>
        </w:rPr>
        <w:t> </w:t>
      </w:r>
      <w:r>
        <w:rPr>
          <w:w w:val="105"/>
        </w:rPr>
        <w:t>financial</w:t>
      </w:r>
      <w:r>
        <w:rPr>
          <w:spacing w:val="-3"/>
          <w:w w:val="105"/>
        </w:rPr>
        <w:t> </w:t>
      </w:r>
      <w:r>
        <w:rPr>
          <w:w w:val="105"/>
        </w:rPr>
        <w:t>statements</w:t>
      </w:r>
      <w:r>
        <w:rPr>
          <w:spacing w:val="-3"/>
          <w:w w:val="105"/>
        </w:rPr>
        <w:t> </w:t>
      </w:r>
      <w:r>
        <w:rPr>
          <w:w w:val="105"/>
        </w:rPr>
        <w:t>for</w:t>
      </w:r>
      <w:r>
        <w:rPr>
          <w:spacing w:val="-3"/>
          <w:w w:val="105"/>
        </w:rPr>
        <w:t> </w:t>
      </w:r>
      <w:r>
        <w:rPr>
          <w:w w:val="105"/>
        </w:rPr>
        <w:t>external</w:t>
      </w:r>
      <w:r>
        <w:rPr>
          <w:spacing w:val="-3"/>
          <w:w w:val="105"/>
        </w:rPr>
        <w:t> </w:t>
      </w:r>
      <w:r>
        <w:rPr>
          <w:w w:val="105"/>
        </w:rPr>
        <w:t>purposes</w:t>
      </w:r>
      <w:r>
        <w:rPr>
          <w:spacing w:val="-1"/>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generally</w:t>
      </w:r>
      <w:r>
        <w:rPr>
          <w:spacing w:val="-3"/>
          <w:w w:val="105"/>
        </w:rPr>
        <w:t> </w:t>
      </w:r>
      <w:r>
        <w:rPr>
          <w:w w:val="105"/>
        </w:rPr>
        <w:t>accepted</w:t>
      </w:r>
      <w:r>
        <w:rPr>
          <w:spacing w:val="-3"/>
          <w:w w:val="105"/>
        </w:rPr>
        <w:t> </w:t>
      </w:r>
      <w:r>
        <w:rPr>
          <w:w w:val="105"/>
        </w:rPr>
        <w:t>accounting</w:t>
      </w:r>
      <w:r>
        <w:rPr>
          <w:spacing w:val="-3"/>
          <w:w w:val="105"/>
        </w:rPr>
        <w:t> </w:t>
      </w:r>
      <w:r>
        <w:rPr>
          <w:w w:val="105"/>
        </w:rPr>
        <w:t>principles.</w:t>
      </w:r>
      <w:r>
        <w:rPr>
          <w:spacing w:val="-3"/>
          <w:w w:val="105"/>
        </w:rPr>
        <w:t> </w:t>
      </w:r>
      <w:r>
        <w:rPr>
          <w:w w:val="105"/>
        </w:rPr>
        <w:t>A</w:t>
      </w:r>
      <w:r>
        <w:rPr>
          <w:spacing w:val="-3"/>
          <w:w w:val="105"/>
        </w:rPr>
        <w:t> </w:t>
      </w:r>
      <w:r>
        <w:rPr>
          <w:w w:val="105"/>
        </w:rPr>
        <w:t>company’s</w:t>
      </w:r>
      <w:r>
        <w:rPr>
          <w:spacing w:val="-3"/>
          <w:w w:val="105"/>
        </w:rPr>
        <w:t> </w:t>
      </w:r>
      <w:r>
        <w:rPr>
          <w:w w:val="105"/>
        </w:rPr>
        <w:t>internal</w:t>
      </w:r>
      <w:r>
        <w:rPr>
          <w:spacing w:val="-3"/>
          <w:w w:val="105"/>
        </w:rPr>
        <w:t> </w:t>
      </w:r>
      <w:r>
        <w:rPr>
          <w:w w:val="105"/>
        </w:rPr>
        <w:t>control</w:t>
      </w:r>
      <w:r>
        <w:rPr>
          <w:spacing w:val="-3"/>
          <w:w w:val="105"/>
        </w:rPr>
        <w:t> </w:t>
      </w:r>
      <w:r>
        <w:rPr>
          <w:w w:val="105"/>
        </w:rPr>
        <w:t>over</w:t>
      </w:r>
      <w:r>
        <w:rPr>
          <w:spacing w:val="-3"/>
          <w:w w:val="105"/>
        </w:rPr>
        <w:t> </w:t>
      </w:r>
      <w:r>
        <w:rPr>
          <w:w w:val="105"/>
        </w:rPr>
        <w:t>financial</w:t>
      </w:r>
      <w:r>
        <w:rPr>
          <w:spacing w:val="-3"/>
          <w:w w:val="105"/>
        </w:rPr>
        <w:t> </w:t>
      </w:r>
      <w:r>
        <w:rPr>
          <w:w w:val="105"/>
        </w:rPr>
        <w:t>reporting</w:t>
      </w:r>
      <w:r>
        <w:rPr>
          <w:spacing w:val="-3"/>
          <w:w w:val="105"/>
        </w:rPr>
        <w:t> </w:t>
      </w:r>
      <w:r>
        <w:rPr>
          <w:w w:val="105"/>
        </w:rPr>
        <w:t>includes those</w:t>
      </w:r>
      <w:r>
        <w:rPr>
          <w:spacing w:val="-2"/>
          <w:w w:val="105"/>
        </w:rPr>
        <w:t> </w:t>
      </w:r>
      <w:r>
        <w:rPr>
          <w:w w:val="105"/>
        </w:rPr>
        <w:t>policies</w:t>
      </w:r>
      <w:r>
        <w:rPr>
          <w:spacing w:val="-2"/>
          <w:w w:val="105"/>
        </w:rPr>
        <w:t> </w:t>
      </w:r>
      <w:r>
        <w:rPr>
          <w:w w:val="105"/>
        </w:rPr>
        <w:t>and</w:t>
      </w:r>
      <w:r>
        <w:rPr>
          <w:spacing w:val="-2"/>
          <w:w w:val="105"/>
        </w:rPr>
        <w:t> </w:t>
      </w:r>
      <w:r>
        <w:rPr>
          <w:w w:val="105"/>
        </w:rPr>
        <w:t>procedures</w:t>
      </w:r>
      <w:r>
        <w:rPr>
          <w:spacing w:val="-2"/>
          <w:w w:val="105"/>
        </w:rPr>
        <w:t> </w:t>
      </w:r>
      <w:r>
        <w:rPr>
          <w:w w:val="105"/>
        </w:rPr>
        <w:t>that</w:t>
      </w:r>
      <w:r>
        <w:rPr>
          <w:spacing w:val="-2"/>
          <w:w w:val="105"/>
        </w:rPr>
        <w:t> </w:t>
      </w:r>
      <w:r>
        <w:rPr>
          <w:w w:val="105"/>
        </w:rPr>
        <w:t>(i)</w:t>
      </w:r>
      <w:r>
        <w:rPr>
          <w:spacing w:val="-2"/>
          <w:w w:val="105"/>
        </w:rPr>
        <w:t> </w:t>
      </w:r>
      <w:r>
        <w:rPr>
          <w:w w:val="105"/>
        </w:rPr>
        <w:t>pertain</w:t>
      </w:r>
      <w:r>
        <w:rPr>
          <w:spacing w:val="-2"/>
          <w:w w:val="105"/>
        </w:rPr>
        <w:t> </w:t>
      </w:r>
      <w:r>
        <w:rPr>
          <w:w w:val="105"/>
        </w:rPr>
        <w:t>to</w:t>
      </w:r>
      <w:r>
        <w:rPr>
          <w:spacing w:val="-2"/>
          <w:w w:val="105"/>
        </w:rPr>
        <w:t> </w:t>
      </w:r>
      <w:r>
        <w:rPr>
          <w:w w:val="105"/>
        </w:rPr>
        <w:t>the</w:t>
      </w:r>
      <w:r>
        <w:rPr>
          <w:spacing w:val="-2"/>
          <w:w w:val="105"/>
        </w:rPr>
        <w:t> </w:t>
      </w:r>
      <w:r>
        <w:rPr>
          <w:w w:val="105"/>
        </w:rPr>
        <w:t>maintenance</w:t>
      </w:r>
      <w:r>
        <w:rPr>
          <w:spacing w:val="-2"/>
          <w:w w:val="105"/>
        </w:rPr>
        <w:t> </w:t>
      </w:r>
      <w:r>
        <w:rPr>
          <w:w w:val="105"/>
        </w:rPr>
        <w:t>of</w:t>
      </w:r>
      <w:r>
        <w:rPr>
          <w:spacing w:val="-2"/>
          <w:w w:val="105"/>
        </w:rPr>
        <w:t> </w:t>
      </w:r>
      <w:r>
        <w:rPr>
          <w:w w:val="105"/>
        </w:rPr>
        <w:t>records</w:t>
      </w:r>
      <w:r>
        <w:rPr>
          <w:spacing w:val="-2"/>
          <w:w w:val="105"/>
        </w:rPr>
        <w:t> </w:t>
      </w:r>
      <w:r>
        <w:rPr>
          <w:w w:val="105"/>
        </w:rPr>
        <w:t>that,</w:t>
      </w:r>
      <w:r>
        <w:rPr>
          <w:spacing w:val="-2"/>
          <w:w w:val="105"/>
        </w:rPr>
        <w:t> </w:t>
      </w:r>
      <w:r>
        <w:rPr>
          <w:w w:val="105"/>
        </w:rPr>
        <w:t>in</w:t>
      </w:r>
      <w:r>
        <w:rPr>
          <w:spacing w:val="-2"/>
          <w:w w:val="105"/>
        </w:rPr>
        <w:t> </w:t>
      </w:r>
      <w:r>
        <w:rPr>
          <w:w w:val="105"/>
        </w:rPr>
        <w:t>reasonable</w:t>
      </w:r>
      <w:r>
        <w:rPr>
          <w:spacing w:val="-2"/>
          <w:w w:val="105"/>
        </w:rPr>
        <w:t> </w:t>
      </w:r>
      <w:r>
        <w:rPr>
          <w:w w:val="105"/>
        </w:rPr>
        <w:t>detail,</w:t>
      </w:r>
      <w:r>
        <w:rPr>
          <w:spacing w:val="-2"/>
          <w:w w:val="105"/>
        </w:rPr>
        <w:t> </w:t>
      </w:r>
      <w:r>
        <w:rPr>
          <w:w w:val="105"/>
        </w:rPr>
        <w:t>accurately</w:t>
      </w:r>
      <w:r>
        <w:rPr>
          <w:spacing w:val="-2"/>
          <w:w w:val="105"/>
        </w:rPr>
        <w:t> </w:t>
      </w:r>
      <w:r>
        <w:rPr>
          <w:w w:val="105"/>
        </w:rPr>
        <w:t>and</w:t>
      </w:r>
      <w:r>
        <w:rPr>
          <w:spacing w:val="-2"/>
          <w:w w:val="105"/>
        </w:rPr>
        <w:t> </w:t>
      </w:r>
      <w:r>
        <w:rPr>
          <w:w w:val="105"/>
        </w:rPr>
        <w:t>fairly</w:t>
      </w:r>
      <w:r>
        <w:rPr>
          <w:spacing w:val="-2"/>
          <w:w w:val="105"/>
        </w:rPr>
        <w:t> </w:t>
      </w:r>
      <w:r>
        <w:rPr>
          <w:w w:val="105"/>
        </w:rPr>
        <w:t>reflect</w:t>
      </w:r>
      <w:r>
        <w:rPr>
          <w:spacing w:val="-2"/>
          <w:w w:val="105"/>
        </w:rPr>
        <w:t> </w:t>
      </w:r>
      <w:r>
        <w:rPr>
          <w:w w:val="105"/>
        </w:rPr>
        <w:t>the</w:t>
      </w:r>
      <w:r>
        <w:rPr>
          <w:spacing w:val="-2"/>
          <w:w w:val="105"/>
        </w:rPr>
        <w:t> </w:t>
      </w:r>
      <w:r>
        <w:rPr>
          <w:w w:val="105"/>
        </w:rPr>
        <w:t>transactions</w:t>
      </w:r>
      <w:r>
        <w:rPr>
          <w:spacing w:val="-2"/>
          <w:w w:val="105"/>
        </w:rPr>
        <w:t> </w:t>
      </w:r>
      <w:r>
        <w:rPr>
          <w:w w:val="105"/>
        </w:rPr>
        <w:t>and</w:t>
      </w:r>
      <w:r>
        <w:rPr>
          <w:spacing w:val="-2"/>
          <w:w w:val="105"/>
        </w:rPr>
        <w:t> </w:t>
      </w:r>
      <w:r>
        <w:rPr>
          <w:w w:val="105"/>
        </w:rPr>
        <w:t>dispositions</w:t>
      </w:r>
      <w:r>
        <w:rPr>
          <w:spacing w:val="-2"/>
          <w:w w:val="105"/>
        </w:rPr>
        <w:t> </w:t>
      </w:r>
      <w:r>
        <w:rPr>
          <w:w w:val="105"/>
        </w:rPr>
        <w:t>of</w:t>
      </w:r>
      <w:r>
        <w:rPr>
          <w:spacing w:val="-2"/>
          <w:w w:val="105"/>
        </w:rPr>
        <w:t> </w:t>
      </w:r>
      <w:r>
        <w:rPr>
          <w:w w:val="105"/>
        </w:rPr>
        <w:t>the</w:t>
      </w:r>
      <w:r>
        <w:rPr>
          <w:w w:val="105"/>
        </w:rPr>
        <w:t> assets</w:t>
      </w:r>
      <w:r>
        <w:rPr>
          <w:spacing w:val="-8"/>
          <w:w w:val="105"/>
        </w:rPr>
        <w:t> </w:t>
      </w:r>
      <w:r>
        <w:rPr>
          <w:w w:val="105"/>
        </w:rPr>
        <w:t>of</w:t>
      </w:r>
      <w:r>
        <w:rPr>
          <w:spacing w:val="-8"/>
          <w:w w:val="105"/>
        </w:rPr>
        <w:t> </w:t>
      </w:r>
      <w:r>
        <w:rPr>
          <w:w w:val="105"/>
        </w:rPr>
        <w:t>the</w:t>
      </w:r>
      <w:r>
        <w:rPr>
          <w:spacing w:val="-8"/>
          <w:w w:val="105"/>
        </w:rPr>
        <w:t> </w:t>
      </w:r>
      <w:r>
        <w:rPr>
          <w:w w:val="105"/>
        </w:rPr>
        <w:t>company;</w:t>
      </w:r>
      <w:r>
        <w:rPr>
          <w:spacing w:val="-10"/>
          <w:w w:val="105"/>
        </w:rPr>
        <w:t> </w:t>
      </w:r>
      <w:r>
        <w:rPr>
          <w:w w:val="105"/>
        </w:rPr>
        <w:t>(ii)</w:t>
      </w:r>
      <w:r>
        <w:rPr>
          <w:spacing w:val="-8"/>
          <w:w w:val="105"/>
        </w:rPr>
        <w:t> </w:t>
      </w:r>
      <w:r>
        <w:rPr>
          <w:w w:val="105"/>
        </w:rPr>
        <w:t>provide</w:t>
      </w:r>
      <w:r>
        <w:rPr>
          <w:spacing w:val="-8"/>
          <w:w w:val="105"/>
        </w:rPr>
        <w:t> </w:t>
      </w:r>
      <w:r>
        <w:rPr>
          <w:w w:val="105"/>
        </w:rPr>
        <w:t>reasonable</w:t>
      </w:r>
      <w:r>
        <w:rPr>
          <w:spacing w:val="-8"/>
          <w:w w:val="105"/>
        </w:rPr>
        <w:t> </w:t>
      </w:r>
      <w:r>
        <w:rPr>
          <w:w w:val="105"/>
        </w:rPr>
        <w:t>assurance</w:t>
      </w:r>
      <w:r>
        <w:rPr>
          <w:spacing w:val="-8"/>
          <w:w w:val="105"/>
        </w:rPr>
        <w:t> </w:t>
      </w:r>
      <w:r>
        <w:rPr>
          <w:w w:val="105"/>
        </w:rPr>
        <w:t>that</w:t>
      </w:r>
      <w:r>
        <w:rPr>
          <w:spacing w:val="-8"/>
          <w:w w:val="105"/>
        </w:rPr>
        <w:t> </w:t>
      </w:r>
      <w:r>
        <w:rPr>
          <w:w w:val="105"/>
        </w:rPr>
        <w:t>transactions</w:t>
      </w:r>
      <w:r>
        <w:rPr>
          <w:spacing w:val="-8"/>
          <w:w w:val="105"/>
        </w:rPr>
        <w:t> </w:t>
      </w:r>
      <w:r>
        <w:rPr>
          <w:w w:val="105"/>
        </w:rPr>
        <w:t>are</w:t>
      </w:r>
      <w:r>
        <w:rPr>
          <w:spacing w:val="-8"/>
          <w:w w:val="105"/>
        </w:rPr>
        <w:t> </w:t>
      </w:r>
      <w:r>
        <w:rPr>
          <w:w w:val="105"/>
        </w:rPr>
        <w:t>recorded</w:t>
      </w:r>
      <w:r>
        <w:rPr>
          <w:spacing w:val="-8"/>
          <w:w w:val="105"/>
        </w:rPr>
        <w:t> </w:t>
      </w:r>
      <w:r>
        <w:rPr>
          <w:w w:val="105"/>
        </w:rPr>
        <w:t>as</w:t>
      </w:r>
      <w:r>
        <w:rPr>
          <w:spacing w:val="-8"/>
          <w:w w:val="105"/>
        </w:rPr>
        <w:t> </w:t>
      </w:r>
      <w:r>
        <w:rPr>
          <w:w w:val="105"/>
        </w:rPr>
        <w:t>necessary</w:t>
      </w:r>
      <w:r>
        <w:rPr>
          <w:spacing w:val="-8"/>
          <w:w w:val="105"/>
        </w:rPr>
        <w:t> </w:t>
      </w:r>
      <w:r>
        <w:rPr>
          <w:w w:val="105"/>
        </w:rPr>
        <w:t>to</w:t>
      </w:r>
      <w:r>
        <w:rPr>
          <w:spacing w:val="-10"/>
          <w:w w:val="105"/>
        </w:rPr>
        <w:t> </w:t>
      </w:r>
      <w:r>
        <w:rPr>
          <w:w w:val="105"/>
        </w:rPr>
        <w:t>permit</w:t>
      </w:r>
      <w:r>
        <w:rPr>
          <w:spacing w:val="-8"/>
          <w:w w:val="105"/>
        </w:rPr>
        <w:t> </w:t>
      </w:r>
      <w:r>
        <w:rPr>
          <w:w w:val="105"/>
        </w:rPr>
        <w:t>preparation</w:t>
      </w:r>
      <w:r>
        <w:rPr>
          <w:spacing w:val="-8"/>
          <w:w w:val="105"/>
        </w:rPr>
        <w:t> </w:t>
      </w:r>
      <w:r>
        <w:rPr>
          <w:w w:val="105"/>
        </w:rPr>
        <w:t>of</w:t>
      </w:r>
      <w:r>
        <w:rPr>
          <w:spacing w:val="-8"/>
          <w:w w:val="105"/>
        </w:rPr>
        <w:t> </w:t>
      </w:r>
      <w:r>
        <w:rPr>
          <w:w w:val="105"/>
        </w:rPr>
        <w:t>financial</w:t>
      </w:r>
      <w:r>
        <w:rPr>
          <w:spacing w:val="-8"/>
          <w:w w:val="105"/>
        </w:rPr>
        <w:t> </w:t>
      </w:r>
      <w:r>
        <w:rPr>
          <w:w w:val="105"/>
        </w:rPr>
        <w:t>statements</w:t>
      </w:r>
      <w:r>
        <w:rPr>
          <w:spacing w:val="-8"/>
          <w:w w:val="105"/>
        </w:rPr>
        <w:t> </w:t>
      </w:r>
      <w:r>
        <w:rPr>
          <w:w w:val="105"/>
        </w:rPr>
        <w:t>in</w:t>
      </w:r>
      <w:r>
        <w:rPr>
          <w:spacing w:val="-8"/>
          <w:w w:val="105"/>
        </w:rPr>
        <w:t> </w:t>
      </w:r>
      <w:r>
        <w:rPr>
          <w:w w:val="105"/>
        </w:rPr>
        <w:t>accordance</w:t>
      </w:r>
      <w:r>
        <w:rPr>
          <w:spacing w:val="-8"/>
          <w:w w:val="105"/>
        </w:rPr>
        <w:t> </w:t>
      </w:r>
      <w:r>
        <w:rPr>
          <w:w w:val="105"/>
        </w:rPr>
        <w:t>with</w:t>
      </w:r>
      <w:r>
        <w:rPr>
          <w:spacing w:val="-10"/>
          <w:w w:val="105"/>
        </w:rPr>
        <w:t> </w:t>
      </w:r>
      <w:r>
        <w:rPr>
          <w:w w:val="105"/>
        </w:rPr>
        <w:t>generally accepted</w:t>
      </w:r>
      <w:r>
        <w:rPr>
          <w:spacing w:val="-8"/>
          <w:w w:val="105"/>
        </w:rPr>
        <w:t> </w:t>
      </w:r>
      <w:r>
        <w:rPr>
          <w:w w:val="105"/>
        </w:rPr>
        <w:t>accounting</w:t>
      </w:r>
      <w:r>
        <w:rPr>
          <w:spacing w:val="-8"/>
          <w:w w:val="105"/>
        </w:rPr>
        <w:t> </w:t>
      </w:r>
      <w:r>
        <w:rPr>
          <w:w w:val="105"/>
        </w:rPr>
        <w:t>principles,</w:t>
      </w:r>
      <w:r>
        <w:rPr>
          <w:spacing w:val="-8"/>
          <w:w w:val="105"/>
        </w:rPr>
        <w:t> </w:t>
      </w:r>
      <w:r>
        <w:rPr>
          <w:w w:val="105"/>
        </w:rPr>
        <w:t>and</w:t>
      </w:r>
      <w:r>
        <w:rPr>
          <w:spacing w:val="-8"/>
          <w:w w:val="105"/>
        </w:rPr>
        <w:t> </w:t>
      </w:r>
      <w:r>
        <w:rPr>
          <w:w w:val="105"/>
        </w:rPr>
        <w:t>that</w:t>
      </w:r>
      <w:r>
        <w:rPr>
          <w:spacing w:val="-8"/>
          <w:w w:val="105"/>
        </w:rPr>
        <w:t> </w:t>
      </w:r>
      <w:r>
        <w:rPr>
          <w:w w:val="105"/>
        </w:rPr>
        <w:t>receipts</w:t>
      </w:r>
      <w:r>
        <w:rPr>
          <w:spacing w:val="-8"/>
          <w:w w:val="105"/>
        </w:rPr>
        <w:t> </w:t>
      </w:r>
      <w:r>
        <w:rPr>
          <w:w w:val="105"/>
        </w:rPr>
        <w:t>and</w:t>
      </w:r>
      <w:r>
        <w:rPr>
          <w:spacing w:val="-8"/>
          <w:w w:val="105"/>
        </w:rPr>
        <w:t> </w:t>
      </w:r>
      <w:r>
        <w:rPr>
          <w:w w:val="105"/>
        </w:rPr>
        <w:t>expenditures</w:t>
      </w:r>
      <w:r>
        <w:rPr>
          <w:spacing w:val="-8"/>
          <w:w w:val="105"/>
        </w:rPr>
        <w:t> </w:t>
      </w:r>
      <w:r>
        <w:rPr>
          <w:w w:val="105"/>
        </w:rPr>
        <w:t>of</w:t>
      </w:r>
      <w:r>
        <w:rPr>
          <w:spacing w:val="-8"/>
          <w:w w:val="105"/>
        </w:rPr>
        <w:t> </w:t>
      </w:r>
      <w:r>
        <w:rPr>
          <w:w w:val="105"/>
        </w:rPr>
        <w:t>the</w:t>
      </w:r>
      <w:r>
        <w:rPr>
          <w:spacing w:val="-8"/>
          <w:w w:val="105"/>
        </w:rPr>
        <w:t> </w:t>
      </w:r>
      <w:r>
        <w:rPr>
          <w:w w:val="105"/>
        </w:rPr>
        <w:t>company</w:t>
      </w:r>
      <w:r>
        <w:rPr>
          <w:spacing w:val="-8"/>
          <w:w w:val="105"/>
        </w:rPr>
        <w:t> </w:t>
      </w:r>
      <w:r>
        <w:rPr>
          <w:w w:val="105"/>
        </w:rPr>
        <w:t>are</w:t>
      </w:r>
      <w:r>
        <w:rPr>
          <w:spacing w:val="-8"/>
          <w:w w:val="105"/>
        </w:rPr>
        <w:t> </w:t>
      </w:r>
      <w:r>
        <w:rPr>
          <w:w w:val="105"/>
        </w:rPr>
        <w:t>being</w:t>
      </w:r>
      <w:r>
        <w:rPr>
          <w:spacing w:val="-8"/>
          <w:w w:val="105"/>
        </w:rPr>
        <w:t> </w:t>
      </w:r>
      <w:r>
        <w:rPr>
          <w:w w:val="105"/>
        </w:rPr>
        <w:t>made</w:t>
      </w:r>
      <w:r>
        <w:rPr>
          <w:spacing w:val="-8"/>
          <w:w w:val="105"/>
        </w:rPr>
        <w:t> </w:t>
      </w:r>
      <w:r>
        <w:rPr>
          <w:w w:val="105"/>
        </w:rPr>
        <w:t>only</w:t>
      </w:r>
      <w:r>
        <w:rPr>
          <w:spacing w:val="-8"/>
          <w:w w:val="105"/>
        </w:rPr>
        <w:t> </w:t>
      </w:r>
      <w:r>
        <w:rPr>
          <w:w w:val="105"/>
        </w:rPr>
        <w:t>in</w:t>
      </w:r>
      <w:r>
        <w:rPr>
          <w:spacing w:val="-8"/>
          <w:w w:val="105"/>
        </w:rPr>
        <w:t> </w:t>
      </w:r>
      <w:r>
        <w:rPr>
          <w:w w:val="105"/>
        </w:rPr>
        <w:t>accordance</w:t>
      </w:r>
      <w:r>
        <w:rPr>
          <w:spacing w:val="-8"/>
          <w:w w:val="105"/>
        </w:rPr>
        <w:t> </w:t>
      </w:r>
      <w:r>
        <w:rPr>
          <w:w w:val="105"/>
        </w:rPr>
        <w:t>with</w:t>
      </w:r>
      <w:r>
        <w:rPr>
          <w:spacing w:val="-8"/>
          <w:w w:val="105"/>
        </w:rPr>
        <w:t> </w:t>
      </w:r>
      <w:r>
        <w:rPr>
          <w:w w:val="105"/>
        </w:rPr>
        <w:t>authorizations</w:t>
      </w:r>
      <w:r>
        <w:rPr>
          <w:spacing w:val="-8"/>
          <w:w w:val="105"/>
        </w:rPr>
        <w:t> </w:t>
      </w:r>
      <w:r>
        <w:rPr>
          <w:w w:val="105"/>
        </w:rPr>
        <w:t>of</w:t>
      </w:r>
      <w:r>
        <w:rPr>
          <w:spacing w:val="-8"/>
          <w:w w:val="105"/>
        </w:rPr>
        <w:t> </w:t>
      </w:r>
      <w:r>
        <w:rPr>
          <w:w w:val="105"/>
        </w:rPr>
        <w:t>management</w:t>
      </w:r>
      <w:r>
        <w:rPr>
          <w:spacing w:val="-8"/>
          <w:w w:val="105"/>
        </w:rPr>
        <w:t> </w:t>
      </w:r>
      <w:r>
        <w:rPr>
          <w:w w:val="105"/>
        </w:rPr>
        <w:t>and</w:t>
      </w:r>
      <w:r>
        <w:rPr>
          <w:spacing w:val="-8"/>
          <w:w w:val="105"/>
        </w:rPr>
        <w:t> </w:t>
      </w:r>
      <w:r>
        <w:rPr>
          <w:w w:val="105"/>
        </w:rPr>
        <w:t>directors</w:t>
      </w:r>
      <w:r>
        <w:rPr>
          <w:spacing w:val="-8"/>
          <w:w w:val="105"/>
        </w:rPr>
        <w:t> </w:t>
      </w:r>
      <w:r>
        <w:rPr>
          <w:w w:val="105"/>
        </w:rPr>
        <w:t>of</w:t>
      </w:r>
      <w:r>
        <w:rPr>
          <w:spacing w:val="-8"/>
          <w:w w:val="105"/>
        </w:rPr>
        <w:t> </w:t>
      </w:r>
      <w:r>
        <w:rPr>
          <w:w w:val="105"/>
        </w:rPr>
        <w:t>the company;</w:t>
      </w:r>
      <w:r>
        <w:rPr>
          <w:spacing w:val="-3"/>
          <w:w w:val="105"/>
        </w:rPr>
        <w:t> </w:t>
      </w:r>
      <w:r>
        <w:rPr>
          <w:w w:val="105"/>
        </w:rPr>
        <w:t>and</w:t>
      </w:r>
      <w:r>
        <w:rPr>
          <w:spacing w:val="-3"/>
          <w:w w:val="105"/>
        </w:rPr>
        <w:t> </w:t>
      </w:r>
      <w:r>
        <w:rPr>
          <w:w w:val="105"/>
        </w:rPr>
        <w:t>(iii)</w:t>
      </w:r>
      <w:r>
        <w:rPr>
          <w:spacing w:val="-3"/>
          <w:w w:val="105"/>
        </w:rPr>
        <w:t> </w:t>
      </w:r>
      <w:r>
        <w:rPr>
          <w:w w:val="105"/>
        </w:rPr>
        <w:t>provide</w:t>
      </w:r>
      <w:r>
        <w:rPr>
          <w:spacing w:val="-3"/>
          <w:w w:val="105"/>
        </w:rPr>
        <w:t> </w:t>
      </w:r>
      <w:r>
        <w:rPr>
          <w:w w:val="105"/>
        </w:rPr>
        <w:t>reasonable</w:t>
      </w:r>
      <w:r>
        <w:rPr>
          <w:spacing w:val="-3"/>
          <w:w w:val="105"/>
        </w:rPr>
        <w:t> </w:t>
      </w:r>
      <w:r>
        <w:rPr>
          <w:w w:val="105"/>
        </w:rPr>
        <w:t>assurance</w:t>
      </w:r>
      <w:r>
        <w:rPr>
          <w:spacing w:val="-3"/>
          <w:w w:val="105"/>
        </w:rPr>
        <w:t> </w:t>
      </w:r>
      <w:r>
        <w:rPr>
          <w:w w:val="105"/>
        </w:rPr>
        <w:t>regarding</w:t>
      </w:r>
      <w:r>
        <w:rPr>
          <w:spacing w:val="-3"/>
          <w:w w:val="105"/>
        </w:rPr>
        <w:t> </w:t>
      </w:r>
      <w:r>
        <w:rPr>
          <w:w w:val="105"/>
        </w:rPr>
        <w:t>prevention</w:t>
      </w:r>
      <w:r>
        <w:rPr>
          <w:spacing w:val="-3"/>
          <w:w w:val="105"/>
        </w:rPr>
        <w:t> </w:t>
      </w:r>
      <w:r>
        <w:rPr>
          <w:w w:val="105"/>
        </w:rPr>
        <w:t>or</w:t>
      </w:r>
      <w:r>
        <w:rPr>
          <w:spacing w:val="-3"/>
          <w:w w:val="105"/>
        </w:rPr>
        <w:t> </w:t>
      </w:r>
      <w:r>
        <w:rPr>
          <w:w w:val="105"/>
        </w:rPr>
        <w:t>timely</w:t>
      </w:r>
      <w:r>
        <w:rPr>
          <w:spacing w:val="-3"/>
          <w:w w:val="105"/>
        </w:rPr>
        <w:t> </w:t>
      </w:r>
      <w:r>
        <w:rPr>
          <w:w w:val="105"/>
        </w:rPr>
        <w:t>detection</w:t>
      </w:r>
      <w:r>
        <w:rPr>
          <w:spacing w:val="-3"/>
          <w:w w:val="105"/>
        </w:rPr>
        <w:t> </w:t>
      </w:r>
      <w:r>
        <w:rPr>
          <w:w w:val="105"/>
        </w:rPr>
        <w:t>of</w:t>
      </w:r>
      <w:r>
        <w:rPr>
          <w:spacing w:val="-3"/>
          <w:w w:val="105"/>
        </w:rPr>
        <w:t> </w:t>
      </w:r>
      <w:r>
        <w:rPr>
          <w:w w:val="105"/>
        </w:rPr>
        <w:t>unauthorized</w:t>
      </w:r>
      <w:r>
        <w:rPr>
          <w:spacing w:val="-3"/>
          <w:w w:val="105"/>
        </w:rPr>
        <w:t> </w:t>
      </w:r>
      <w:r>
        <w:rPr>
          <w:w w:val="105"/>
        </w:rPr>
        <w:t>acquisition,</w:t>
      </w:r>
      <w:r>
        <w:rPr>
          <w:spacing w:val="-3"/>
          <w:w w:val="105"/>
        </w:rPr>
        <w:t> </w:t>
      </w:r>
      <w:r>
        <w:rPr>
          <w:w w:val="105"/>
        </w:rPr>
        <w:t>use,</w:t>
      </w:r>
      <w:r>
        <w:rPr>
          <w:spacing w:val="-3"/>
          <w:w w:val="105"/>
        </w:rPr>
        <w:t> </w:t>
      </w:r>
      <w:r>
        <w:rPr>
          <w:w w:val="105"/>
        </w:rPr>
        <w:t>or</w:t>
      </w:r>
      <w:r>
        <w:rPr>
          <w:spacing w:val="-3"/>
          <w:w w:val="105"/>
        </w:rPr>
        <w:t> </w:t>
      </w:r>
      <w:r>
        <w:rPr>
          <w:w w:val="105"/>
        </w:rPr>
        <w:t>disposition</w:t>
      </w:r>
      <w:r>
        <w:rPr>
          <w:spacing w:val="-3"/>
          <w:w w:val="105"/>
        </w:rPr>
        <w:t> </w:t>
      </w:r>
      <w:r>
        <w:rPr>
          <w:w w:val="105"/>
        </w:rPr>
        <w:t>of</w:t>
      </w:r>
      <w:r>
        <w:rPr>
          <w:spacing w:val="-3"/>
          <w:w w:val="105"/>
        </w:rPr>
        <w:t> </w:t>
      </w:r>
      <w:r>
        <w:rPr>
          <w:w w:val="105"/>
        </w:rPr>
        <w:t>the</w:t>
      </w:r>
      <w:r>
        <w:rPr>
          <w:spacing w:val="-3"/>
          <w:w w:val="105"/>
        </w:rPr>
        <w:t> </w:t>
      </w:r>
      <w:r>
        <w:rPr>
          <w:w w:val="105"/>
        </w:rPr>
        <w:t>company’s</w:t>
      </w:r>
      <w:r>
        <w:rPr>
          <w:spacing w:val="-3"/>
          <w:w w:val="105"/>
        </w:rPr>
        <w:t> </w:t>
      </w:r>
      <w:r>
        <w:rPr>
          <w:w w:val="105"/>
        </w:rPr>
        <w:t>assets</w:t>
      </w:r>
      <w:r>
        <w:rPr>
          <w:spacing w:val="-3"/>
          <w:w w:val="105"/>
        </w:rPr>
        <w:t> </w:t>
      </w:r>
      <w:r>
        <w:rPr>
          <w:w w:val="105"/>
        </w:rPr>
        <w:t>that</w:t>
      </w:r>
      <w:r>
        <w:rPr>
          <w:spacing w:val="-3"/>
          <w:w w:val="105"/>
        </w:rPr>
        <w:t> </w:t>
      </w:r>
      <w:r>
        <w:rPr>
          <w:w w:val="105"/>
        </w:rPr>
        <w:t>could have a material effect on the financial statements.</w:t>
      </w:r>
    </w:p>
    <w:p>
      <w:pPr>
        <w:pStyle w:val="BodyText"/>
        <w:spacing w:before="17"/>
      </w:pPr>
    </w:p>
    <w:p>
      <w:pPr>
        <w:pStyle w:val="BodyText"/>
        <w:ind w:left="48"/>
        <w:jc w:val="center"/>
      </w:pPr>
      <w:r>
        <w:rPr>
          <w:spacing w:val="-5"/>
          <w:w w:val="105"/>
        </w:rPr>
        <w:t>63</w:t>
      </w:r>
    </w:p>
    <w:p>
      <w:pPr>
        <w:pStyle w:val="BodyText"/>
        <w:rPr>
          <w:sz w:val="6"/>
        </w:rPr>
      </w:pPr>
      <w:r>
        <w:rPr/>
        <mc:AlternateContent>
          <mc:Choice Requires="wps">
            <w:drawing>
              <wp:anchor distT="0" distB="0" distL="0" distR="0" allowOverlap="1" layoutInCell="1" locked="0" behindDoc="1" simplePos="0" relativeHeight="487644672">
                <wp:simplePos x="0" y="0"/>
                <wp:positionH relativeFrom="page">
                  <wp:posOffset>226488</wp:posOffset>
                </wp:positionH>
                <wp:positionV relativeFrom="paragraph">
                  <wp:posOffset>59051</wp:posOffset>
                </wp:positionV>
                <wp:extent cx="7312659" cy="16510"/>
                <wp:effectExtent l="0" t="0" r="0" b="0"/>
                <wp:wrapTopAndBottom/>
                <wp:docPr id="159" name="Graphic 159"/>
                <wp:cNvGraphicFramePr>
                  <a:graphicFrameLocks/>
                </wp:cNvGraphicFramePr>
                <a:graphic>
                  <a:graphicData uri="http://schemas.microsoft.com/office/word/2010/wordprocessingShape">
                    <wps:wsp>
                      <wps:cNvPr id="159" name="Graphic 159"/>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71808;mso-wrap-distance-left:0;mso-wrap-distance-right:0" id="docshape158"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BodyText"/>
        <w:spacing w:line="266" w:lineRule="auto"/>
        <w:ind w:left="156"/>
      </w:pPr>
      <w:r>
        <w:rPr>
          <w:w w:val="105"/>
        </w:rPr>
        <w:t>Because</w:t>
      </w:r>
      <w:r>
        <w:rPr>
          <w:spacing w:val="-6"/>
          <w:w w:val="105"/>
        </w:rPr>
        <w:t> </w:t>
      </w:r>
      <w:r>
        <w:rPr>
          <w:w w:val="105"/>
        </w:rPr>
        <w:t>of</w:t>
      </w:r>
      <w:r>
        <w:rPr>
          <w:spacing w:val="-6"/>
          <w:w w:val="105"/>
        </w:rPr>
        <w:t> </w:t>
      </w:r>
      <w:r>
        <w:rPr>
          <w:w w:val="105"/>
        </w:rPr>
        <w:t>its</w:t>
      </w:r>
      <w:r>
        <w:rPr>
          <w:spacing w:val="-6"/>
          <w:w w:val="105"/>
        </w:rPr>
        <w:t> </w:t>
      </w:r>
      <w:r>
        <w:rPr>
          <w:w w:val="105"/>
        </w:rPr>
        <w:t>inherent</w:t>
      </w:r>
      <w:r>
        <w:rPr>
          <w:spacing w:val="-6"/>
          <w:w w:val="105"/>
        </w:rPr>
        <w:t> </w:t>
      </w:r>
      <w:r>
        <w:rPr>
          <w:w w:val="105"/>
        </w:rPr>
        <w:t>limitations,</w:t>
      </w:r>
      <w:r>
        <w:rPr>
          <w:spacing w:val="-6"/>
          <w:w w:val="105"/>
        </w:rPr>
        <w:t> </w:t>
      </w:r>
      <w:r>
        <w:rPr>
          <w:w w:val="105"/>
        </w:rPr>
        <w:t>internal</w:t>
      </w:r>
      <w:r>
        <w:rPr>
          <w:spacing w:val="-4"/>
          <w:w w:val="105"/>
        </w:rPr>
        <w:t> </w:t>
      </w:r>
      <w:r>
        <w:rPr>
          <w:w w:val="105"/>
        </w:rPr>
        <w:t>control</w:t>
      </w:r>
      <w:r>
        <w:rPr>
          <w:spacing w:val="-6"/>
          <w:w w:val="105"/>
        </w:rPr>
        <w:t> </w:t>
      </w:r>
      <w:r>
        <w:rPr>
          <w:w w:val="105"/>
        </w:rPr>
        <w:t>over</w:t>
      </w:r>
      <w:r>
        <w:rPr>
          <w:spacing w:val="-6"/>
          <w:w w:val="105"/>
        </w:rPr>
        <w:t> </w:t>
      </w:r>
      <w:r>
        <w:rPr>
          <w:w w:val="105"/>
        </w:rPr>
        <w:t>financial</w:t>
      </w:r>
      <w:r>
        <w:rPr>
          <w:spacing w:val="-4"/>
          <w:w w:val="105"/>
        </w:rPr>
        <w:t> </w:t>
      </w:r>
      <w:r>
        <w:rPr>
          <w:w w:val="105"/>
        </w:rPr>
        <w:t>reporting</w:t>
      </w:r>
      <w:r>
        <w:rPr>
          <w:spacing w:val="-6"/>
          <w:w w:val="105"/>
        </w:rPr>
        <w:t> </w:t>
      </w:r>
      <w:r>
        <w:rPr>
          <w:w w:val="105"/>
        </w:rPr>
        <w:t>may</w:t>
      </w:r>
      <w:r>
        <w:rPr>
          <w:spacing w:val="-6"/>
          <w:w w:val="105"/>
        </w:rPr>
        <w:t> </w:t>
      </w:r>
      <w:r>
        <w:rPr>
          <w:w w:val="105"/>
        </w:rPr>
        <w:t>not</w:t>
      </w:r>
      <w:r>
        <w:rPr>
          <w:spacing w:val="-6"/>
          <w:w w:val="105"/>
        </w:rPr>
        <w:t> </w:t>
      </w:r>
      <w:r>
        <w:rPr>
          <w:w w:val="105"/>
        </w:rPr>
        <w:t>prevent</w:t>
      </w:r>
      <w:r>
        <w:rPr>
          <w:spacing w:val="-6"/>
          <w:w w:val="105"/>
        </w:rPr>
        <w:t> </w:t>
      </w:r>
      <w:r>
        <w:rPr>
          <w:w w:val="105"/>
        </w:rPr>
        <w:t>or</w:t>
      </w:r>
      <w:r>
        <w:rPr>
          <w:spacing w:val="-6"/>
          <w:w w:val="105"/>
        </w:rPr>
        <w:t> </w:t>
      </w:r>
      <w:r>
        <w:rPr>
          <w:w w:val="105"/>
        </w:rPr>
        <w:t>detect</w:t>
      </w:r>
      <w:r>
        <w:rPr>
          <w:spacing w:val="-6"/>
          <w:w w:val="105"/>
        </w:rPr>
        <w:t> </w:t>
      </w:r>
      <w:r>
        <w:rPr>
          <w:w w:val="105"/>
        </w:rPr>
        <w:t>misstatements.</w:t>
      </w:r>
      <w:r>
        <w:rPr>
          <w:spacing w:val="-6"/>
          <w:w w:val="105"/>
        </w:rPr>
        <w:t> </w:t>
      </w:r>
      <w:r>
        <w:rPr>
          <w:w w:val="105"/>
        </w:rPr>
        <w:t>Also,</w:t>
      </w:r>
      <w:r>
        <w:rPr>
          <w:spacing w:val="-6"/>
          <w:w w:val="105"/>
        </w:rPr>
        <w:t> </w:t>
      </w:r>
      <w:r>
        <w:rPr>
          <w:w w:val="105"/>
        </w:rPr>
        <w:t>projections</w:t>
      </w:r>
      <w:r>
        <w:rPr>
          <w:spacing w:val="-6"/>
          <w:w w:val="105"/>
        </w:rPr>
        <w:t> </w:t>
      </w:r>
      <w:r>
        <w:rPr>
          <w:w w:val="105"/>
        </w:rPr>
        <w:t>of</w:t>
      </w:r>
      <w:r>
        <w:rPr>
          <w:spacing w:val="-6"/>
          <w:w w:val="105"/>
        </w:rPr>
        <w:t> </w:t>
      </w:r>
      <w:r>
        <w:rPr>
          <w:w w:val="105"/>
        </w:rPr>
        <w:t>any</w:t>
      </w:r>
      <w:r>
        <w:rPr>
          <w:spacing w:val="-6"/>
          <w:w w:val="105"/>
        </w:rPr>
        <w:t> </w:t>
      </w:r>
      <w:r>
        <w:rPr>
          <w:w w:val="105"/>
        </w:rPr>
        <w:t>evaluation</w:t>
      </w:r>
      <w:r>
        <w:rPr>
          <w:spacing w:val="-6"/>
          <w:w w:val="105"/>
        </w:rPr>
        <w:t> </w:t>
      </w:r>
      <w:r>
        <w:rPr>
          <w:w w:val="105"/>
        </w:rPr>
        <w:t>of</w:t>
      </w:r>
      <w:r>
        <w:rPr>
          <w:spacing w:val="-6"/>
          <w:w w:val="105"/>
        </w:rPr>
        <w:t> </w:t>
      </w:r>
      <w:r>
        <w:rPr>
          <w:w w:val="105"/>
        </w:rPr>
        <w:t>effectiveness</w:t>
      </w:r>
      <w:r>
        <w:rPr>
          <w:spacing w:val="-6"/>
          <w:w w:val="105"/>
        </w:rPr>
        <w:t> </w:t>
      </w:r>
      <w:r>
        <w:rPr>
          <w:w w:val="105"/>
        </w:rPr>
        <w:t>to future</w:t>
      </w:r>
      <w:r>
        <w:rPr>
          <w:spacing w:val="-7"/>
          <w:w w:val="105"/>
        </w:rPr>
        <w:t> </w:t>
      </w:r>
      <w:r>
        <w:rPr>
          <w:w w:val="105"/>
        </w:rPr>
        <w:t>periods</w:t>
      </w:r>
      <w:r>
        <w:rPr>
          <w:spacing w:val="-7"/>
          <w:w w:val="105"/>
        </w:rPr>
        <w:t> </w:t>
      </w:r>
      <w:r>
        <w:rPr>
          <w:w w:val="105"/>
        </w:rPr>
        <w:t>are</w:t>
      </w:r>
      <w:r>
        <w:rPr>
          <w:spacing w:val="-7"/>
          <w:w w:val="105"/>
        </w:rPr>
        <w:t> </w:t>
      </w:r>
      <w:r>
        <w:rPr>
          <w:w w:val="105"/>
        </w:rPr>
        <w:t>subject</w:t>
      </w:r>
      <w:r>
        <w:rPr>
          <w:spacing w:val="-7"/>
          <w:w w:val="105"/>
        </w:rPr>
        <w:t> </w:t>
      </w:r>
      <w:r>
        <w:rPr>
          <w:w w:val="105"/>
        </w:rPr>
        <w:t>to</w:t>
      </w:r>
      <w:r>
        <w:rPr>
          <w:spacing w:val="-7"/>
          <w:w w:val="105"/>
        </w:rPr>
        <w:t> </w:t>
      </w:r>
      <w:r>
        <w:rPr>
          <w:w w:val="105"/>
        </w:rPr>
        <w:t>the</w:t>
      </w:r>
      <w:r>
        <w:rPr>
          <w:spacing w:val="-7"/>
          <w:w w:val="105"/>
        </w:rPr>
        <w:t> </w:t>
      </w:r>
      <w:r>
        <w:rPr>
          <w:w w:val="105"/>
        </w:rPr>
        <w:t>risk</w:t>
      </w:r>
      <w:r>
        <w:rPr>
          <w:spacing w:val="-7"/>
          <w:w w:val="105"/>
        </w:rPr>
        <w:t> </w:t>
      </w:r>
      <w:r>
        <w:rPr>
          <w:w w:val="105"/>
        </w:rPr>
        <w:t>that</w:t>
      </w:r>
      <w:r>
        <w:rPr>
          <w:spacing w:val="-7"/>
          <w:w w:val="105"/>
        </w:rPr>
        <w:t> </w:t>
      </w:r>
      <w:r>
        <w:rPr>
          <w:w w:val="105"/>
        </w:rPr>
        <w:t>controls</w:t>
      </w:r>
      <w:r>
        <w:rPr>
          <w:spacing w:val="-7"/>
          <w:w w:val="105"/>
        </w:rPr>
        <w:t> </w:t>
      </w:r>
      <w:r>
        <w:rPr>
          <w:w w:val="105"/>
        </w:rPr>
        <w:t>may</w:t>
      </w:r>
      <w:r>
        <w:rPr>
          <w:spacing w:val="-7"/>
          <w:w w:val="105"/>
        </w:rPr>
        <w:t> </w:t>
      </w:r>
      <w:r>
        <w:rPr>
          <w:w w:val="105"/>
        </w:rPr>
        <w:t>become</w:t>
      </w:r>
      <w:r>
        <w:rPr>
          <w:spacing w:val="-7"/>
          <w:w w:val="105"/>
        </w:rPr>
        <w:t> </w:t>
      </w:r>
      <w:r>
        <w:rPr>
          <w:w w:val="105"/>
        </w:rPr>
        <w:t>inadequate</w:t>
      </w:r>
      <w:r>
        <w:rPr>
          <w:spacing w:val="-7"/>
          <w:w w:val="105"/>
        </w:rPr>
        <w:t> </w:t>
      </w:r>
      <w:r>
        <w:rPr>
          <w:w w:val="105"/>
        </w:rPr>
        <w:t>because</w:t>
      </w:r>
      <w:r>
        <w:rPr>
          <w:spacing w:val="-7"/>
          <w:w w:val="105"/>
        </w:rPr>
        <w:t> </w:t>
      </w:r>
      <w:r>
        <w:rPr>
          <w:w w:val="105"/>
        </w:rPr>
        <w:t>of</w:t>
      </w:r>
      <w:r>
        <w:rPr>
          <w:spacing w:val="-7"/>
          <w:w w:val="105"/>
        </w:rPr>
        <w:t> </w:t>
      </w:r>
      <w:r>
        <w:rPr>
          <w:w w:val="105"/>
        </w:rPr>
        <w:t>changes</w:t>
      </w:r>
      <w:r>
        <w:rPr>
          <w:spacing w:val="-7"/>
          <w:w w:val="105"/>
        </w:rPr>
        <w:t> </w:t>
      </w:r>
      <w:r>
        <w:rPr>
          <w:w w:val="105"/>
        </w:rPr>
        <w:t>in</w:t>
      </w:r>
      <w:r>
        <w:rPr>
          <w:spacing w:val="-7"/>
          <w:w w:val="105"/>
        </w:rPr>
        <w:t> </w:t>
      </w:r>
      <w:r>
        <w:rPr>
          <w:w w:val="105"/>
        </w:rPr>
        <w:t>conditions,</w:t>
      </w:r>
      <w:r>
        <w:rPr>
          <w:spacing w:val="-7"/>
          <w:w w:val="105"/>
        </w:rPr>
        <w:t> </w:t>
      </w:r>
      <w:r>
        <w:rPr>
          <w:w w:val="105"/>
        </w:rPr>
        <w:t>or</w:t>
      </w:r>
      <w:r>
        <w:rPr>
          <w:spacing w:val="-7"/>
          <w:w w:val="105"/>
        </w:rPr>
        <w:t> </w:t>
      </w:r>
      <w:r>
        <w:rPr>
          <w:w w:val="105"/>
        </w:rPr>
        <w:t>that</w:t>
      </w:r>
      <w:r>
        <w:rPr>
          <w:spacing w:val="-7"/>
          <w:w w:val="105"/>
        </w:rPr>
        <w:t> </w:t>
      </w:r>
      <w:r>
        <w:rPr>
          <w:w w:val="105"/>
        </w:rPr>
        <w:t>the</w:t>
      </w:r>
      <w:r>
        <w:rPr>
          <w:spacing w:val="-7"/>
          <w:w w:val="105"/>
        </w:rPr>
        <w:t> </w:t>
      </w:r>
      <w:r>
        <w:rPr>
          <w:w w:val="105"/>
        </w:rPr>
        <w:t>degree</w:t>
      </w:r>
      <w:r>
        <w:rPr>
          <w:spacing w:val="-7"/>
          <w:w w:val="105"/>
        </w:rPr>
        <w:t> </w:t>
      </w:r>
      <w:r>
        <w:rPr>
          <w:w w:val="105"/>
        </w:rPr>
        <w:t>of</w:t>
      </w:r>
      <w:r>
        <w:rPr>
          <w:spacing w:val="-7"/>
          <w:w w:val="105"/>
        </w:rPr>
        <w:t> </w:t>
      </w:r>
      <w:r>
        <w:rPr>
          <w:w w:val="105"/>
        </w:rPr>
        <w:t>compliance</w:t>
      </w:r>
      <w:r>
        <w:rPr>
          <w:spacing w:val="-7"/>
          <w:w w:val="105"/>
        </w:rPr>
        <w:t> </w:t>
      </w:r>
      <w:r>
        <w:rPr>
          <w:w w:val="105"/>
        </w:rPr>
        <w:t>with</w:t>
      </w:r>
      <w:r>
        <w:rPr>
          <w:spacing w:val="-7"/>
          <w:w w:val="105"/>
        </w:rPr>
        <w:t> </w:t>
      </w:r>
      <w:r>
        <w:rPr>
          <w:w w:val="105"/>
        </w:rPr>
        <w:t>the</w:t>
      </w:r>
      <w:r>
        <w:rPr>
          <w:spacing w:val="-7"/>
          <w:w w:val="105"/>
        </w:rPr>
        <w:t> </w:t>
      </w:r>
      <w:r>
        <w:rPr>
          <w:w w:val="105"/>
        </w:rPr>
        <w:t>policies</w:t>
      </w:r>
      <w:r>
        <w:rPr>
          <w:spacing w:val="-7"/>
          <w:w w:val="105"/>
        </w:rPr>
        <w:t> </w:t>
      </w:r>
      <w:r>
        <w:rPr>
          <w:w w:val="105"/>
        </w:rPr>
        <w:t>or</w:t>
      </w:r>
      <w:r>
        <w:rPr>
          <w:spacing w:val="-7"/>
          <w:w w:val="105"/>
        </w:rPr>
        <w:t> </w:t>
      </w:r>
      <w:r>
        <w:rPr>
          <w:w w:val="105"/>
        </w:rPr>
        <w:t>procedures may</w:t>
      </w:r>
      <w:r>
        <w:rPr>
          <w:spacing w:val="-1"/>
          <w:w w:val="105"/>
        </w:rPr>
        <w:t> </w:t>
      </w:r>
      <w:r>
        <w:rPr>
          <w:w w:val="105"/>
        </w:rPr>
        <w:t>deteriorate.</w:t>
      </w:r>
    </w:p>
    <w:p>
      <w:pPr>
        <w:pStyle w:val="BodyText"/>
        <w:spacing w:before="19"/>
      </w:pPr>
    </w:p>
    <w:p>
      <w:pPr>
        <w:pStyle w:val="Heading3"/>
        <w:ind w:left="143"/>
      </w:pPr>
      <w:r>
        <w:rPr>
          <w:w w:val="105"/>
        </w:rPr>
        <w:t>Critical</w:t>
      </w:r>
      <w:r>
        <w:rPr>
          <w:spacing w:val="-10"/>
          <w:w w:val="105"/>
        </w:rPr>
        <w:t> </w:t>
      </w:r>
      <w:r>
        <w:rPr>
          <w:w w:val="105"/>
        </w:rPr>
        <w:t>Audit</w:t>
      </w:r>
      <w:r>
        <w:rPr>
          <w:spacing w:val="-10"/>
          <w:w w:val="105"/>
        </w:rPr>
        <w:t> </w:t>
      </w:r>
      <w:r>
        <w:rPr>
          <w:spacing w:val="-2"/>
          <w:w w:val="105"/>
        </w:rPr>
        <w:t>Matter</w:t>
      </w:r>
    </w:p>
    <w:p>
      <w:pPr>
        <w:pStyle w:val="BodyText"/>
        <w:spacing w:before="39"/>
        <w:rPr>
          <w:b/>
          <w:i/>
        </w:rPr>
      </w:pPr>
    </w:p>
    <w:p>
      <w:pPr>
        <w:pStyle w:val="BodyText"/>
        <w:spacing w:line="266" w:lineRule="auto"/>
        <w:ind w:left="143" w:right="117"/>
      </w:pPr>
      <w:r>
        <w:rPr>
          <w:w w:val="105"/>
        </w:rPr>
        <w:t>The</w:t>
      </w:r>
      <w:r>
        <w:rPr>
          <w:spacing w:val="-7"/>
          <w:w w:val="105"/>
        </w:rPr>
        <w:t> </w:t>
      </w:r>
      <w:r>
        <w:rPr>
          <w:w w:val="105"/>
        </w:rPr>
        <w:t>critical</w:t>
      </w:r>
      <w:r>
        <w:rPr>
          <w:spacing w:val="-7"/>
          <w:w w:val="105"/>
        </w:rPr>
        <w:t> </w:t>
      </w:r>
      <w:r>
        <w:rPr>
          <w:w w:val="105"/>
        </w:rPr>
        <w:t>audit</w:t>
      </w:r>
      <w:r>
        <w:rPr>
          <w:spacing w:val="-7"/>
          <w:w w:val="105"/>
        </w:rPr>
        <w:t> </w:t>
      </w:r>
      <w:r>
        <w:rPr>
          <w:w w:val="105"/>
        </w:rPr>
        <w:t>matter</w:t>
      </w:r>
      <w:r>
        <w:rPr>
          <w:spacing w:val="-7"/>
          <w:w w:val="105"/>
        </w:rPr>
        <w:t> </w:t>
      </w:r>
      <w:r>
        <w:rPr>
          <w:w w:val="105"/>
        </w:rPr>
        <w:t>communicated</w:t>
      </w:r>
      <w:r>
        <w:rPr>
          <w:spacing w:val="-9"/>
          <w:w w:val="105"/>
        </w:rPr>
        <w:t> </w:t>
      </w:r>
      <w:r>
        <w:rPr>
          <w:w w:val="105"/>
        </w:rPr>
        <w:t>below</w:t>
      </w:r>
      <w:r>
        <w:rPr>
          <w:spacing w:val="-7"/>
          <w:w w:val="105"/>
        </w:rPr>
        <w:t> </w:t>
      </w:r>
      <w:r>
        <w:rPr>
          <w:w w:val="105"/>
        </w:rPr>
        <w:t>is</w:t>
      </w:r>
      <w:r>
        <w:rPr>
          <w:spacing w:val="-7"/>
          <w:w w:val="105"/>
        </w:rPr>
        <w:t> </w:t>
      </w:r>
      <w:r>
        <w:rPr>
          <w:w w:val="105"/>
        </w:rPr>
        <w:t>a</w:t>
      </w:r>
      <w:r>
        <w:rPr>
          <w:spacing w:val="-7"/>
          <w:w w:val="105"/>
        </w:rPr>
        <w:t> </w:t>
      </w:r>
      <w:r>
        <w:rPr>
          <w:w w:val="105"/>
        </w:rPr>
        <w:t>matter</w:t>
      </w:r>
      <w:r>
        <w:rPr>
          <w:spacing w:val="-7"/>
          <w:w w:val="105"/>
        </w:rPr>
        <w:t> </w:t>
      </w:r>
      <w:r>
        <w:rPr>
          <w:w w:val="105"/>
        </w:rPr>
        <w:t>arising</w:t>
      </w:r>
      <w:r>
        <w:rPr>
          <w:spacing w:val="-9"/>
          <w:w w:val="105"/>
        </w:rPr>
        <w:t> </w:t>
      </w:r>
      <w:r>
        <w:rPr>
          <w:w w:val="105"/>
        </w:rPr>
        <w:t>from</w:t>
      </w:r>
      <w:r>
        <w:rPr>
          <w:spacing w:val="-7"/>
          <w:w w:val="105"/>
        </w:rPr>
        <w:t> </w:t>
      </w:r>
      <w:r>
        <w:rPr>
          <w:w w:val="105"/>
        </w:rPr>
        <w:t>the</w:t>
      </w:r>
      <w:r>
        <w:rPr>
          <w:spacing w:val="-7"/>
          <w:w w:val="105"/>
        </w:rPr>
        <w:t> </w:t>
      </w:r>
      <w:r>
        <w:rPr>
          <w:w w:val="105"/>
        </w:rPr>
        <w:t>current</w:t>
      </w:r>
      <w:r>
        <w:rPr>
          <w:spacing w:val="-7"/>
          <w:w w:val="105"/>
        </w:rPr>
        <w:t> </w:t>
      </w:r>
      <w:r>
        <w:rPr>
          <w:w w:val="105"/>
        </w:rPr>
        <w:t>period</w:t>
      </w:r>
      <w:r>
        <w:rPr>
          <w:spacing w:val="-7"/>
          <w:w w:val="105"/>
        </w:rPr>
        <w:t> </w:t>
      </w:r>
      <w:r>
        <w:rPr>
          <w:w w:val="105"/>
        </w:rPr>
        <w:t>audit</w:t>
      </w:r>
      <w:r>
        <w:rPr>
          <w:spacing w:val="-7"/>
          <w:w w:val="105"/>
        </w:rPr>
        <w:t> </w:t>
      </w:r>
      <w:r>
        <w:rPr>
          <w:w w:val="105"/>
        </w:rPr>
        <w:t>of</w:t>
      </w:r>
      <w:r>
        <w:rPr>
          <w:spacing w:val="-7"/>
          <w:w w:val="105"/>
        </w:rPr>
        <w:t> </w:t>
      </w:r>
      <w:r>
        <w:rPr>
          <w:w w:val="105"/>
        </w:rPr>
        <w:t>the</w:t>
      </w:r>
      <w:r>
        <w:rPr>
          <w:spacing w:val="-7"/>
          <w:w w:val="105"/>
        </w:rPr>
        <w:t> </w:t>
      </w:r>
      <w:r>
        <w:rPr>
          <w:w w:val="105"/>
        </w:rPr>
        <w:t>consolidated</w:t>
      </w:r>
      <w:r>
        <w:rPr>
          <w:spacing w:val="-7"/>
          <w:w w:val="105"/>
        </w:rPr>
        <w:t> </w:t>
      </w:r>
      <w:r>
        <w:rPr>
          <w:w w:val="105"/>
        </w:rPr>
        <w:t>financial</w:t>
      </w:r>
      <w:r>
        <w:rPr>
          <w:spacing w:val="-7"/>
          <w:w w:val="105"/>
        </w:rPr>
        <w:t> </w:t>
      </w:r>
      <w:r>
        <w:rPr>
          <w:w w:val="105"/>
        </w:rPr>
        <w:t>statements</w:t>
      </w:r>
      <w:r>
        <w:rPr>
          <w:spacing w:val="-7"/>
          <w:w w:val="105"/>
        </w:rPr>
        <w:t> </w:t>
      </w:r>
      <w:r>
        <w:rPr>
          <w:w w:val="105"/>
        </w:rPr>
        <w:t>that</w:t>
      </w:r>
      <w:r>
        <w:rPr>
          <w:spacing w:val="-7"/>
          <w:w w:val="105"/>
        </w:rPr>
        <w:t> </w:t>
      </w:r>
      <w:r>
        <w:rPr>
          <w:w w:val="105"/>
        </w:rPr>
        <w:t>was</w:t>
      </w:r>
      <w:r>
        <w:rPr>
          <w:spacing w:val="-7"/>
          <w:w w:val="105"/>
        </w:rPr>
        <w:t> </w:t>
      </w:r>
      <w:r>
        <w:rPr>
          <w:w w:val="105"/>
        </w:rPr>
        <w:t>communicated</w:t>
      </w:r>
      <w:r>
        <w:rPr>
          <w:spacing w:val="-7"/>
          <w:w w:val="105"/>
        </w:rPr>
        <w:t> </w:t>
      </w:r>
      <w:r>
        <w:rPr>
          <w:w w:val="105"/>
        </w:rPr>
        <w:t>or</w:t>
      </w:r>
      <w:r>
        <w:rPr>
          <w:spacing w:val="-7"/>
          <w:w w:val="105"/>
        </w:rPr>
        <w:t> </w:t>
      </w:r>
      <w:r>
        <w:rPr>
          <w:w w:val="105"/>
        </w:rPr>
        <w:t>required</w:t>
      </w:r>
      <w:r>
        <w:rPr>
          <w:spacing w:val="-7"/>
          <w:w w:val="105"/>
        </w:rPr>
        <w:t> </w:t>
      </w:r>
      <w:r>
        <w:rPr>
          <w:w w:val="105"/>
        </w:rPr>
        <w:t>to be</w:t>
      </w:r>
      <w:r>
        <w:rPr>
          <w:spacing w:val="-2"/>
          <w:w w:val="105"/>
        </w:rPr>
        <w:t> </w:t>
      </w:r>
      <w:r>
        <w:rPr>
          <w:w w:val="105"/>
        </w:rPr>
        <w:t>communicated</w:t>
      </w:r>
      <w:r>
        <w:rPr>
          <w:spacing w:val="-2"/>
          <w:w w:val="105"/>
        </w:rPr>
        <w:t> </w:t>
      </w:r>
      <w:r>
        <w:rPr>
          <w:w w:val="105"/>
        </w:rPr>
        <w:t>to</w:t>
      </w:r>
      <w:r>
        <w:rPr>
          <w:spacing w:val="-2"/>
          <w:w w:val="105"/>
        </w:rPr>
        <w:t> </w:t>
      </w:r>
      <w:r>
        <w:rPr>
          <w:w w:val="105"/>
        </w:rPr>
        <w:t>the</w:t>
      </w:r>
      <w:r>
        <w:rPr>
          <w:spacing w:val="-2"/>
          <w:w w:val="105"/>
        </w:rPr>
        <w:t> </w:t>
      </w:r>
      <w:r>
        <w:rPr>
          <w:w w:val="105"/>
        </w:rPr>
        <w:t>audit</w:t>
      </w:r>
      <w:r>
        <w:rPr>
          <w:spacing w:val="-2"/>
          <w:w w:val="105"/>
        </w:rPr>
        <w:t> </w:t>
      </w:r>
      <w:r>
        <w:rPr>
          <w:w w:val="105"/>
        </w:rPr>
        <w:t>committee</w:t>
      </w:r>
      <w:r>
        <w:rPr>
          <w:spacing w:val="-2"/>
          <w:w w:val="105"/>
        </w:rPr>
        <w:t> </w:t>
      </w:r>
      <w:r>
        <w:rPr>
          <w:w w:val="105"/>
        </w:rPr>
        <w:t>and</w:t>
      </w:r>
      <w:r>
        <w:rPr>
          <w:spacing w:val="-2"/>
          <w:w w:val="105"/>
        </w:rPr>
        <w:t> </w:t>
      </w:r>
      <w:r>
        <w:rPr>
          <w:w w:val="105"/>
        </w:rPr>
        <w:t>that</w:t>
      </w:r>
      <w:r>
        <w:rPr>
          <w:spacing w:val="-2"/>
          <w:w w:val="105"/>
        </w:rPr>
        <w:t> </w:t>
      </w:r>
      <w:r>
        <w:rPr>
          <w:w w:val="105"/>
        </w:rPr>
        <w:t>(i)</w:t>
      </w:r>
      <w:r>
        <w:rPr>
          <w:spacing w:val="-2"/>
          <w:w w:val="105"/>
        </w:rPr>
        <w:t> </w:t>
      </w:r>
      <w:r>
        <w:rPr>
          <w:w w:val="105"/>
        </w:rPr>
        <w:t>relates</w:t>
      </w:r>
      <w:r>
        <w:rPr>
          <w:spacing w:val="-2"/>
          <w:w w:val="105"/>
        </w:rPr>
        <w:t> </w:t>
      </w:r>
      <w:r>
        <w:rPr>
          <w:w w:val="105"/>
        </w:rPr>
        <w:t>to</w:t>
      </w:r>
      <w:r>
        <w:rPr>
          <w:spacing w:val="-4"/>
          <w:w w:val="105"/>
        </w:rPr>
        <w:t> </w:t>
      </w:r>
      <w:r>
        <w:rPr>
          <w:w w:val="105"/>
        </w:rPr>
        <w:t>accounts</w:t>
      </w:r>
      <w:r>
        <w:rPr>
          <w:spacing w:val="-2"/>
          <w:w w:val="105"/>
        </w:rPr>
        <w:t> </w:t>
      </w:r>
      <w:r>
        <w:rPr>
          <w:w w:val="105"/>
        </w:rPr>
        <w:t>or</w:t>
      </w:r>
      <w:r>
        <w:rPr>
          <w:spacing w:val="-2"/>
          <w:w w:val="105"/>
        </w:rPr>
        <w:t> </w:t>
      </w:r>
      <w:r>
        <w:rPr>
          <w:w w:val="105"/>
        </w:rPr>
        <w:t>disclosures</w:t>
      </w:r>
      <w:r>
        <w:rPr>
          <w:spacing w:val="-2"/>
          <w:w w:val="105"/>
        </w:rPr>
        <w:t> </w:t>
      </w:r>
      <w:r>
        <w:rPr>
          <w:w w:val="105"/>
        </w:rPr>
        <w:t>that</w:t>
      </w:r>
      <w:r>
        <w:rPr>
          <w:spacing w:val="-2"/>
          <w:w w:val="105"/>
        </w:rPr>
        <w:t> </w:t>
      </w:r>
      <w:r>
        <w:rPr>
          <w:w w:val="105"/>
        </w:rPr>
        <w:t>are</w:t>
      </w:r>
      <w:r>
        <w:rPr>
          <w:spacing w:val="-2"/>
          <w:w w:val="105"/>
        </w:rPr>
        <w:t> </w:t>
      </w:r>
      <w:r>
        <w:rPr>
          <w:w w:val="105"/>
        </w:rPr>
        <w:t>material</w:t>
      </w:r>
      <w:r>
        <w:rPr>
          <w:spacing w:val="-2"/>
          <w:w w:val="105"/>
        </w:rPr>
        <w:t> </w:t>
      </w:r>
      <w:r>
        <w:rPr>
          <w:w w:val="105"/>
        </w:rPr>
        <w:t>to</w:t>
      </w:r>
      <w:r>
        <w:rPr>
          <w:spacing w:val="-2"/>
          <w:w w:val="105"/>
        </w:rPr>
        <w:t> </w:t>
      </w:r>
      <w:r>
        <w:rPr>
          <w:w w:val="105"/>
        </w:rPr>
        <w:t>the</w:t>
      </w:r>
      <w:r>
        <w:rPr>
          <w:spacing w:val="-2"/>
          <w:w w:val="105"/>
        </w:rPr>
        <w:t> </w:t>
      </w:r>
      <w:r>
        <w:rPr>
          <w:w w:val="105"/>
        </w:rPr>
        <w:t>consolidated</w:t>
      </w:r>
      <w:r>
        <w:rPr>
          <w:spacing w:val="-2"/>
          <w:w w:val="105"/>
        </w:rPr>
        <w:t> </w:t>
      </w:r>
      <w:r>
        <w:rPr>
          <w:w w:val="105"/>
        </w:rPr>
        <w:t>financial</w:t>
      </w:r>
      <w:r>
        <w:rPr>
          <w:spacing w:val="-2"/>
          <w:w w:val="105"/>
        </w:rPr>
        <w:t> </w:t>
      </w:r>
      <w:r>
        <w:rPr>
          <w:w w:val="105"/>
        </w:rPr>
        <w:t>statements</w:t>
      </w:r>
      <w:r>
        <w:rPr>
          <w:spacing w:val="-2"/>
          <w:w w:val="105"/>
        </w:rPr>
        <w:t> </w:t>
      </w:r>
      <w:r>
        <w:rPr>
          <w:w w:val="105"/>
        </w:rPr>
        <w:t>and</w:t>
      </w:r>
      <w:r>
        <w:rPr>
          <w:spacing w:val="-4"/>
          <w:w w:val="105"/>
        </w:rPr>
        <w:t> </w:t>
      </w:r>
      <w:r>
        <w:rPr>
          <w:w w:val="105"/>
        </w:rPr>
        <w:t>(ii)</w:t>
      </w:r>
      <w:r>
        <w:rPr>
          <w:spacing w:val="-2"/>
          <w:w w:val="105"/>
        </w:rPr>
        <w:t> </w:t>
      </w:r>
      <w:r>
        <w:rPr>
          <w:w w:val="105"/>
        </w:rPr>
        <w:t>involved</w:t>
      </w:r>
      <w:r>
        <w:rPr>
          <w:spacing w:val="-2"/>
          <w:w w:val="105"/>
        </w:rPr>
        <w:t> </w:t>
      </w:r>
      <w:r>
        <w:rPr>
          <w:w w:val="105"/>
        </w:rPr>
        <w:t>our especially</w:t>
      </w:r>
      <w:r>
        <w:rPr>
          <w:spacing w:val="-2"/>
          <w:w w:val="105"/>
        </w:rPr>
        <w:t> </w:t>
      </w:r>
      <w:r>
        <w:rPr>
          <w:w w:val="105"/>
        </w:rPr>
        <w:t>challenging,</w:t>
      </w:r>
      <w:r>
        <w:rPr>
          <w:spacing w:val="-2"/>
          <w:w w:val="105"/>
        </w:rPr>
        <w:t> </w:t>
      </w:r>
      <w:r>
        <w:rPr>
          <w:w w:val="105"/>
        </w:rPr>
        <w:t>subjective,</w:t>
      </w:r>
      <w:r>
        <w:rPr>
          <w:spacing w:val="-2"/>
          <w:w w:val="105"/>
        </w:rPr>
        <w:t> </w:t>
      </w:r>
      <w:r>
        <w:rPr>
          <w:w w:val="105"/>
        </w:rPr>
        <w:t>or</w:t>
      </w:r>
      <w:r>
        <w:rPr>
          <w:spacing w:val="-2"/>
          <w:w w:val="105"/>
        </w:rPr>
        <w:t> </w:t>
      </w:r>
      <w:r>
        <w:rPr>
          <w:w w:val="105"/>
        </w:rPr>
        <w:t>complex</w:t>
      </w:r>
      <w:r>
        <w:rPr>
          <w:spacing w:val="-2"/>
          <w:w w:val="105"/>
        </w:rPr>
        <w:t> </w:t>
      </w:r>
      <w:r>
        <w:rPr>
          <w:w w:val="105"/>
        </w:rPr>
        <w:t>judgments.</w:t>
      </w:r>
      <w:r>
        <w:rPr>
          <w:spacing w:val="-2"/>
          <w:w w:val="105"/>
        </w:rPr>
        <w:t> </w:t>
      </w:r>
      <w:r>
        <w:rPr>
          <w:w w:val="105"/>
        </w:rPr>
        <w:t>The</w:t>
      </w:r>
      <w:r>
        <w:rPr>
          <w:spacing w:val="-2"/>
          <w:w w:val="105"/>
        </w:rPr>
        <w:t> </w:t>
      </w:r>
      <w:r>
        <w:rPr>
          <w:w w:val="105"/>
        </w:rPr>
        <w:t>communication</w:t>
      </w:r>
      <w:r>
        <w:rPr>
          <w:spacing w:val="-2"/>
          <w:w w:val="105"/>
        </w:rPr>
        <w:t> </w:t>
      </w:r>
      <w:r>
        <w:rPr>
          <w:w w:val="105"/>
        </w:rPr>
        <w:t>of critical</w:t>
      </w:r>
      <w:r>
        <w:rPr>
          <w:spacing w:val="-2"/>
          <w:w w:val="105"/>
        </w:rPr>
        <w:t> </w:t>
      </w:r>
      <w:r>
        <w:rPr>
          <w:w w:val="105"/>
        </w:rPr>
        <w:t>audit</w:t>
      </w:r>
      <w:r>
        <w:rPr>
          <w:spacing w:val="-2"/>
          <w:w w:val="105"/>
        </w:rPr>
        <w:t> </w:t>
      </w:r>
      <w:r>
        <w:rPr>
          <w:w w:val="105"/>
        </w:rPr>
        <w:t>matters</w:t>
      </w:r>
      <w:r>
        <w:rPr>
          <w:spacing w:val="-2"/>
          <w:w w:val="105"/>
        </w:rPr>
        <w:t> </w:t>
      </w:r>
      <w:r>
        <w:rPr>
          <w:w w:val="105"/>
        </w:rPr>
        <w:t>does</w:t>
      </w:r>
      <w:r>
        <w:rPr>
          <w:spacing w:val="-2"/>
          <w:w w:val="105"/>
        </w:rPr>
        <w:t> </w:t>
      </w:r>
      <w:r>
        <w:rPr>
          <w:w w:val="105"/>
        </w:rPr>
        <w:t>not</w:t>
      </w:r>
      <w:r>
        <w:rPr>
          <w:spacing w:val="-2"/>
          <w:w w:val="105"/>
        </w:rPr>
        <w:t> </w:t>
      </w:r>
      <w:r>
        <w:rPr>
          <w:w w:val="105"/>
        </w:rPr>
        <w:t>alter</w:t>
      </w:r>
      <w:r>
        <w:rPr>
          <w:spacing w:val="-2"/>
          <w:w w:val="105"/>
        </w:rPr>
        <w:t> </w:t>
      </w:r>
      <w:r>
        <w:rPr>
          <w:w w:val="105"/>
        </w:rPr>
        <w:t>in</w:t>
      </w:r>
      <w:r>
        <w:rPr>
          <w:spacing w:val="-2"/>
          <w:w w:val="105"/>
        </w:rPr>
        <w:t> </w:t>
      </w:r>
      <w:r>
        <w:rPr>
          <w:w w:val="105"/>
        </w:rPr>
        <w:t>any</w:t>
      </w:r>
      <w:r>
        <w:rPr>
          <w:spacing w:val="-2"/>
          <w:w w:val="105"/>
        </w:rPr>
        <w:t> </w:t>
      </w:r>
      <w:r>
        <w:rPr>
          <w:w w:val="105"/>
        </w:rPr>
        <w:t>way</w:t>
      </w:r>
      <w:r>
        <w:rPr>
          <w:spacing w:val="-2"/>
          <w:w w:val="105"/>
        </w:rPr>
        <w:t> </w:t>
      </w:r>
      <w:r>
        <w:rPr>
          <w:w w:val="105"/>
        </w:rPr>
        <w:t>our</w:t>
      </w:r>
      <w:r>
        <w:rPr>
          <w:spacing w:val="-2"/>
          <w:w w:val="105"/>
        </w:rPr>
        <w:t> </w:t>
      </w:r>
      <w:r>
        <w:rPr>
          <w:w w:val="105"/>
        </w:rPr>
        <w:t>opinion</w:t>
      </w:r>
      <w:r>
        <w:rPr>
          <w:spacing w:val="-2"/>
          <w:w w:val="105"/>
        </w:rPr>
        <w:t> </w:t>
      </w:r>
      <w:r>
        <w:rPr>
          <w:w w:val="105"/>
        </w:rPr>
        <w:t>on</w:t>
      </w:r>
      <w:r>
        <w:rPr>
          <w:spacing w:val="-2"/>
          <w:w w:val="105"/>
        </w:rPr>
        <w:t> </w:t>
      </w:r>
      <w:r>
        <w:rPr>
          <w:w w:val="105"/>
        </w:rPr>
        <w:t>the</w:t>
      </w:r>
      <w:r>
        <w:rPr>
          <w:spacing w:val="-2"/>
          <w:w w:val="105"/>
        </w:rPr>
        <w:t> </w:t>
      </w:r>
      <w:r>
        <w:rPr>
          <w:w w:val="105"/>
        </w:rPr>
        <w:t>consolidated</w:t>
      </w:r>
      <w:r>
        <w:rPr>
          <w:spacing w:val="-2"/>
          <w:w w:val="105"/>
        </w:rPr>
        <w:t> </w:t>
      </w:r>
      <w:r>
        <w:rPr>
          <w:w w:val="105"/>
        </w:rPr>
        <w:t>financial statements,</w:t>
      </w:r>
      <w:r>
        <w:rPr>
          <w:spacing w:val="-7"/>
          <w:w w:val="105"/>
        </w:rPr>
        <w:t> </w:t>
      </w:r>
      <w:r>
        <w:rPr>
          <w:w w:val="105"/>
        </w:rPr>
        <w:t>taken</w:t>
      </w:r>
      <w:r>
        <w:rPr>
          <w:spacing w:val="-7"/>
          <w:w w:val="105"/>
        </w:rPr>
        <w:t> </w:t>
      </w:r>
      <w:r>
        <w:rPr>
          <w:w w:val="105"/>
        </w:rPr>
        <w:t>as</w:t>
      </w:r>
      <w:r>
        <w:rPr>
          <w:spacing w:val="-7"/>
          <w:w w:val="105"/>
        </w:rPr>
        <w:t> </w:t>
      </w:r>
      <w:r>
        <w:rPr>
          <w:w w:val="105"/>
        </w:rPr>
        <w:t>a</w:t>
      </w:r>
      <w:r>
        <w:rPr>
          <w:spacing w:val="-7"/>
          <w:w w:val="105"/>
        </w:rPr>
        <w:t> </w:t>
      </w:r>
      <w:r>
        <w:rPr>
          <w:w w:val="105"/>
        </w:rPr>
        <w:t>whole,</w:t>
      </w:r>
      <w:r>
        <w:rPr>
          <w:spacing w:val="-7"/>
          <w:w w:val="105"/>
        </w:rPr>
        <w:t> </w:t>
      </w:r>
      <w:r>
        <w:rPr>
          <w:w w:val="105"/>
        </w:rPr>
        <w:t>and</w:t>
      </w:r>
      <w:r>
        <w:rPr>
          <w:spacing w:val="-7"/>
          <w:w w:val="105"/>
        </w:rPr>
        <w:t> </w:t>
      </w:r>
      <w:r>
        <w:rPr>
          <w:w w:val="105"/>
        </w:rPr>
        <w:t>we</w:t>
      </w:r>
      <w:r>
        <w:rPr>
          <w:spacing w:val="-7"/>
          <w:w w:val="105"/>
        </w:rPr>
        <w:t> </w:t>
      </w:r>
      <w:r>
        <w:rPr>
          <w:w w:val="105"/>
        </w:rPr>
        <w:t>are</w:t>
      </w:r>
      <w:r>
        <w:rPr>
          <w:spacing w:val="-7"/>
          <w:w w:val="105"/>
        </w:rPr>
        <w:t> </w:t>
      </w:r>
      <w:r>
        <w:rPr>
          <w:w w:val="105"/>
        </w:rPr>
        <w:t>not,</w:t>
      </w:r>
      <w:r>
        <w:rPr>
          <w:spacing w:val="-7"/>
          <w:w w:val="105"/>
        </w:rPr>
        <w:t> </w:t>
      </w:r>
      <w:r>
        <w:rPr>
          <w:w w:val="105"/>
        </w:rPr>
        <w:t>by</w:t>
      </w:r>
      <w:r>
        <w:rPr>
          <w:spacing w:val="-7"/>
          <w:w w:val="105"/>
        </w:rPr>
        <w:t> </w:t>
      </w:r>
      <w:r>
        <w:rPr>
          <w:w w:val="105"/>
        </w:rPr>
        <w:t>communicating</w:t>
      </w:r>
      <w:r>
        <w:rPr>
          <w:spacing w:val="-7"/>
          <w:w w:val="105"/>
        </w:rPr>
        <w:t> </w:t>
      </w:r>
      <w:r>
        <w:rPr>
          <w:w w:val="105"/>
        </w:rPr>
        <w:t>the</w:t>
      </w:r>
      <w:r>
        <w:rPr>
          <w:spacing w:val="-7"/>
          <w:w w:val="105"/>
        </w:rPr>
        <w:t> </w:t>
      </w:r>
      <w:r>
        <w:rPr>
          <w:w w:val="105"/>
        </w:rPr>
        <w:t>critical</w:t>
      </w:r>
      <w:r>
        <w:rPr>
          <w:spacing w:val="-7"/>
          <w:w w:val="105"/>
        </w:rPr>
        <w:t> </w:t>
      </w:r>
      <w:r>
        <w:rPr>
          <w:w w:val="105"/>
        </w:rPr>
        <w:t>audit</w:t>
      </w:r>
      <w:r>
        <w:rPr>
          <w:spacing w:val="-7"/>
          <w:w w:val="105"/>
        </w:rPr>
        <w:t> </w:t>
      </w:r>
      <w:r>
        <w:rPr>
          <w:w w:val="105"/>
        </w:rPr>
        <w:t>matter</w:t>
      </w:r>
      <w:r>
        <w:rPr>
          <w:spacing w:val="-7"/>
          <w:w w:val="105"/>
        </w:rPr>
        <w:t> </w:t>
      </w:r>
      <w:r>
        <w:rPr>
          <w:w w:val="105"/>
        </w:rPr>
        <w:t>below,</w:t>
      </w:r>
      <w:r>
        <w:rPr>
          <w:spacing w:val="-7"/>
          <w:w w:val="105"/>
        </w:rPr>
        <w:t> </w:t>
      </w:r>
      <w:r>
        <w:rPr>
          <w:w w:val="105"/>
        </w:rPr>
        <w:t>providing</w:t>
      </w:r>
      <w:r>
        <w:rPr>
          <w:spacing w:val="-7"/>
          <w:w w:val="105"/>
        </w:rPr>
        <w:t> </w:t>
      </w:r>
      <w:r>
        <w:rPr>
          <w:w w:val="105"/>
        </w:rPr>
        <w:t>a</w:t>
      </w:r>
      <w:r>
        <w:rPr>
          <w:spacing w:val="-7"/>
          <w:w w:val="105"/>
        </w:rPr>
        <w:t> </w:t>
      </w:r>
      <w:r>
        <w:rPr>
          <w:w w:val="105"/>
        </w:rPr>
        <w:t>separate</w:t>
      </w:r>
      <w:r>
        <w:rPr>
          <w:spacing w:val="-7"/>
          <w:w w:val="105"/>
        </w:rPr>
        <w:t> </w:t>
      </w:r>
      <w:r>
        <w:rPr>
          <w:w w:val="105"/>
        </w:rPr>
        <w:t>opinion</w:t>
      </w:r>
      <w:r>
        <w:rPr>
          <w:spacing w:val="-7"/>
          <w:w w:val="105"/>
        </w:rPr>
        <w:t> </w:t>
      </w:r>
      <w:r>
        <w:rPr>
          <w:w w:val="105"/>
        </w:rPr>
        <w:t>on</w:t>
      </w:r>
      <w:r>
        <w:rPr>
          <w:spacing w:val="-7"/>
          <w:w w:val="105"/>
        </w:rPr>
        <w:t> </w:t>
      </w:r>
      <w:r>
        <w:rPr>
          <w:w w:val="105"/>
        </w:rPr>
        <w:t>the</w:t>
      </w:r>
      <w:r>
        <w:rPr>
          <w:spacing w:val="-7"/>
          <w:w w:val="105"/>
        </w:rPr>
        <w:t> </w:t>
      </w:r>
      <w:r>
        <w:rPr>
          <w:w w:val="105"/>
        </w:rPr>
        <w:t>critical</w:t>
      </w:r>
      <w:r>
        <w:rPr>
          <w:spacing w:val="-7"/>
          <w:w w:val="105"/>
        </w:rPr>
        <w:t> </w:t>
      </w:r>
      <w:r>
        <w:rPr>
          <w:w w:val="105"/>
        </w:rPr>
        <w:t>audit</w:t>
      </w:r>
      <w:r>
        <w:rPr>
          <w:spacing w:val="-7"/>
          <w:w w:val="105"/>
        </w:rPr>
        <w:t> </w:t>
      </w:r>
      <w:r>
        <w:rPr>
          <w:w w:val="105"/>
        </w:rPr>
        <w:t>matter</w:t>
      </w:r>
      <w:r>
        <w:rPr>
          <w:spacing w:val="-7"/>
          <w:w w:val="105"/>
        </w:rPr>
        <w:t> </w:t>
      </w:r>
      <w:r>
        <w:rPr>
          <w:w w:val="105"/>
        </w:rPr>
        <w:t>or</w:t>
      </w:r>
      <w:r>
        <w:rPr>
          <w:spacing w:val="-7"/>
          <w:w w:val="105"/>
        </w:rPr>
        <w:t> </w:t>
      </w:r>
      <w:r>
        <w:rPr>
          <w:w w:val="105"/>
        </w:rPr>
        <w:t>on</w:t>
      </w:r>
      <w:r>
        <w:rPr>
          <w:spacing w:val="-7"/>
          <w:w w:val="105"/>
        </w:rPr>
        <w:t> </w:t>
      </w:r>
      <w:r>
        <w:rPr>
          <w:w w:val="105"/>
        </w:rPr>
        <w:t>the</w:t>
      </w:r>
      <w:r>
        <w:rPr>
          <w:spacing w:val="-7"/>
          <w:w w:val="105"/>
        </w:rPr>
        <w:t> </w:t>
      </w:r>
      <w:r>
        <w:rPr>
          <w:w w:val="105"/>
        </w:rPr>
        <w:t>accounts</w:t>
      </w:r>
      <w:r>
        <w:rPr>
          <w:spacing w:val="-7"/>
          <w:w w:val="105"/>
        </w:rPr>
        <w:t> </w:t>
      </w:r>
      <w:r>
        <w:rPr>
          <w:w w:val="105"/>
        </w:rPr>
        <w:t>or disclosures to which it relates.</w:t>
      </w:r>
    </w:p>
    <w:p>
      <w:pPr>
        <w:pStyle w:val="BodyText"/>
        <w:spacing w:before="18"/>
      </w:pPr>
    </w:p>
    <w:p>
      <w:pPr>
        <w:spacing w:before="0"/>
        <w:ind w:left="143" w:right="0" w:firstLine="0"/>
        <w:jc w:val="left"/>
        <w:rPr>
          <w:i/>
          <w:sz w:val="16"/>
        </w:rPr>
      </w:pPr>
      <w:r>
        <w:rPr>
          <w:i/>
          <w:w w:val="105"/>
          <w:sz w:val="16"/>
        </w:rPr>
        <w:t>Income</w:t>
      </w:r>
      <w:r>
        <w:rPr>
          <w:i/>
          <w:spacing w:val="-11"/>
          <w:w w:val="105"/>
          <w:sz w:val="16"/>
        </w:rPr>
        <w:t> </w:t>
      </w:r>
      <w:r>
        <w:rPr>
          <w:i/>
          <w:w w:val="105"/>
          <w:sz w:val="16"/>
        </w:rPr>
        <w:t>Taxes</w:t>
      </w:r>
      <w:r>
        <w:rPr>
          <w:i/>
          <w:spacing w:val="-10"/>
          <w:w w:val="105"/>
          <w:sz w:val="16"/>
        </w:rPr>
        <w:t> </w:t>
      </w:r>
      <w:r>
        <w:rPr>
          <w:i/>
          <w:w w:val="105"/>
          <w:sz w:val="16"/>
        </w:rPr>
        <w:t>-</w:t>
      </w:r>
      <w:r>
        <w:rPr>
          <w:i/>
          <w:spacing w:val="-10"/>
          <w:w w:val="105"/>
          <w:sz w:val="16"/>
        </w:rPr>
        <w:t> </w:t>
      </w:r>
      <w:r>
        <w:rPr>
          <w:i/>
          <w:w w:val="105"/>
          <w:sz w:val="16"/>
        </w:rPr>
        <w:t>Receivables</w:t>
      </w:r>
      <w:r>
        <w:rPr>
          <w:i/>
          <w:spacing w:val="-10"/>
          <w:w w:val="105"/>
          <w:sz w:val="16"/>
        </w:rPr>
        <w:t> </w:t>
      </w:r>
      <w:r>
        <w:rPr>
          <w:i/>
          <w:w w:val="105"/>
          <w:sz w:val="16"/>
        </w:rPr>
        <w:t>for</w:t>
      </w:r>
      <w:r>
        <w:rPr>
          <w:i/>
          <w:spacing w:val="-10"/>
          <w:w w:val="105"/>
          <w:sz w:val="16"/>
        </w:rPr>
        <w:t> </w:t>
      </w:r>
      <w:r>
        <w:rPr>
          <w:i/>
          <w:w w:val="105"/>
          <w:sz w:val="16"/>
        </w:rPr>
        <w:t>South</w:t>
      </w:r>
      <w:r>
        <w:rPr>
          <w:i/>
          <w:spacing w:val="-10"/>
          <w:w w:val="105"/>
          <w:sz w:val="16"/>
        </w:rPr>
        <w:t> </w:t>
      </w:r>
      <w:r>
        <w:rPr>
          <w:i/>
          <w:w w:val="105"/>
          <w:sz w:val="16"/>
        </w:rPr>
        <w:t>Korean</w:t>
      </w:r>
      <w:r>
        <w:rPr>
          <w:i/>
          <w:spacing w:val="-10"/>
          <w:w w:val="105"/>
          <w:sz w:val="16"/>
        </w:rPr>
        <w:t> </w:t>
      </w:r>
      <w:r>
        <w:rPr>
          <w:i/>
          <w:w w:val="105"/>
          <w:sz w:val="16"/>
        </w:rPr>
        <w:t>Tax</w:t>
      </w:r>
      <w:r>
        <w:rPr>
          <w:i/>
          <w:spacing w:val="-10"/>
          <w:w w:val="105"/>
          <w:sz w:val="16"/>
        </w:rPr>
        <w:t> </w:t>
      </w:r>
      <w:r>
        <w:rPr>
          <w:i/>
          <w:spacing w:val="-2"/>
          <w:w w:val="105"/>
          <w:sz w:val="16"/>
        </w:rPr>
        <w:t>Disputes</w:t>
      </w:r>
    </w:p>
    <w:p>
      <w:pPr>
        <w:pStyle w:val="BodyText"/>
        <w:spacing w:before="40"/>
        <w:rPr>
          <w:i/>
        </w:rPr>
      </w:pPr>
    </w:p>
    <w:p>
      <w:pPr>
        <w:pStyle w:val="BodyText"/>
        <w:spacing w:line="266" w:lineRule="auto"/>
        <w:ind w:left="143"/>
      </w:pPr>
      <w:r>
        <w:rPr>
          <w:w w:val="105"/>
        </w:rPr>
        <w:t>As</w:t>
      </w:r>
      <w:r>
        <w:rPr>
          <w:spacing w:val="-2"/>
          <w:w w:val="105"/>
        </w:rPr>
        <w:t> </w:t>
      </w:r>
      <w:r>
        <w:rPr>
          <w:w w:val="105"/>
        </w:rPr>
        <w:t>described</w:t>
      </w:r>
      <w:r>
        <w:rPr>
          <w:spacing w:val="-2"/>
          <w:w w:val="105"/>
        </w:rPr>
        <w:t> </w:t>
      </w:r>
      <w:r>
        <w:rPr>
          <w:w w:val="105"/>
        </w:rPr>
        <w:t>in</w:t>
      </w:r>
      <w:r>
        <w:rPr>
          <w:spacing w:val="-2"/>
          <w:w w:val="105"/>
        </w:rPr>
        <w:t> </w:t>
      </w:r>
      <w:r>
        <w:rPr>
          <w:w w:val="105"/>
        </w:rPr>
        <w:t>Notes</w:t>
      </w:r>
      <w:r>
        <w:rPr>
          <w:spacing w:val="-2"/>
          <w:w w:val="105"/>
        </w:rPr>
        <w:t> </w:t>
      </w:r>
      <w:r>
        <w:rPr>
          <w:w w:val="105"/>
        </w:rPr>
        <w:t>1,</w:t>
      </w:r>
      <w:r>
        <w:rPr>
          <w:spacing w:val="-2"/>
          <w:w w:val="105"/>
        </w:rPr>
        <w:t> </w:t>
      </w:r>
      <w:r>
        <w:rPr>
          <w:w w:val="105"/>
        </w:rPr>
        <w:t>8,</w:t>
      </w:r>
      <w:r>
        <w:rPr>
          <w:spacing w:val="-2"/>
          <w:w w:val="105"/>
        </w:rPr>
        <w:t> </w:t>
      </w:r>
      <w:r>
        <w:rPr>
          <w:w w:val="105"/>
        </w:rPr>
        <w:t>and</w:t>
      </w:r>
      <w:r>
        <w:rPr>
          <w:spacing w:val="-2"/>
          <w:w w:val="105"/>
        </w:rPr>
        <w:t> </w:t>
      </w:r>
      <w:r>
        <w:rPr>
          <w:w w:val="105"/>
        </w:rPr>
        <w:t>11</w:t>
      </w:r>
      <w:r>
        <w:rPr>
          <w:spacing w:val="-2"/>
          <w:w w:val="105"/>
        </w:rPr>
        <w:t> </w:t>
      </w:r>
      <w:r>
        <w:rPr>
          <w:w w:val="105"/>
        </w:rPr>
        <w:t>to</w:t>
      </w:r>
      <w:r>
        <w:rPr>
          <w:spacing w:val="-2"/>
          <w:w w:val="105"/>
        </w:rPr>
        <w:t> </w:t>
      </w:r>
      <w:r>
        <w:rPr>
          <w:w w:val="105"/>
        </w:rPr>
        <w:t>the</w:t>
      </w:r>
      <w:r>
        <w:rPr>
          <w:spacing w:val="-2"/>
          <w:w w:val="105"/>
        </w:rPr>
        <w:t> </w:t>
      </w:r>
      <w:r>
        <w:rPr>
          <w:w w:val="105"/>
        </w:rPr>
        <w:t>consolidated</w:t>
      </w:r>
      <w:r>
        <w:rPr>
          <w:spacing w:val="-2"/>
          <w:w w:val="105"/>
        </w:rPr>
        <w:t> </w:t>
      </w:r>
      <w:r>
        <w:rPr>
          <w:w w:val="105"/>
        </w:rPr>
        <w:t>financial</w:t>
      </w:r>
      <w:r>
        <w:rPr>
          <w:spacing w:val="-2"/>
          <w:w w:val="105"/>
        </w:rPr>
        <w:t> </w:t>
      </w:r>
      <w:r>
        <w:rPr>
          <w:w w:val="105"/>
        </w:rPr>
        <w:t>statements,</w:t>
      </w:r>
      <w:r>
        <w:rPr>
          <w:spacing w:val="-2"/>
          <w:w w:val="105"/>
        </w:rPr>
        <w:t> </w:t>
      </w:r>
      <w:r>
        <w:rPr>
          <w:w w:val="105"/>
        </w:rPr>
        <w:t>in</w:t>
      </w:r>
      <w:r>
        <w:rPr>
          <w:spacing w:val="-2"/>
          <w:w w:val="105"/>
        </w:rPr>
        <w:t> </w:t>
      </w:r>
      <w:r>
        <w:rPr>
          <w:w w:val="105"/>
        </w:rPr>
        <w:t>evaluating</w:t>
      </w:r>
      <w:r>
        <w:rPr>
          <w:spacing w:val="-2"/>
          <w:w w:val="105"/>
        </w:rPr>
        <w:t> </w:t>
      </w:r>
      <w:r>
        <w:rPr>
          <w:w w:val="105"/>
        </w:rPr>
        <w:t>the</w:t>
      </w:r>
      <w:r>
        <w:rPr>
          <w:spacing w:val="-2"/>
          <w:w w:val="105"/>
        </w:rPr>
        <w:t> </w:t>
      </w:r>
      <w:r>
        <w:rPr>
          <w:w w:val="105"/>
        </w:rPr>
        <w:t>tax</w:t>
      </w:r>
      <w:r>
        <w:rPr>
          <w:spacing w:val="-2"/>
          <w:w w:val="105"/>
        </w:rPr>
        <w:t> </w:t>
      </w:r>
      <w:r>
        <w:rPr>
          <w:w w:val="105"/>
        </w:rPr>
        <w:t>benefits</w:t>
      </w:r>
      <w:r>
        <w:rPr>
          <w:spacing w:val="-2"/>
          <w:w w:val="105"/>
        </w:rPr>
        <w:t> </w:t>
      </w:r>
      <w:r>
        <w:rPr>
          <w:w w:val="105"/>
        </w:rPr>
        <w:t>associated</w:t>
      </w:r>
      <w:r>
        <w:rPr>
          <w:spacing w:val="-2"/>
          <w:w w:val="105"/>
        </w:rPr>
        <w:t> </w:t>
      </w:r>
      <w:r>
        <w:rPr>
          <w:w w:val="105"/>
        </w:rPr>
        <w:t>with</w:t>
      </w:r>
      <w:r>
        <w:rPr>
          <w:spacing w:val="-2"/>
          <w:w w:val="105"/>
        </w:rPr>
        <w:t> </w:t>
      </w:r>
      <w:r>
        <w:rPr>
          <w:w w:val="105"/>
        </w:rPr>
        <w:t>the</w:t>
      </w:r>
      <w:r>
        <w:rPr>
          <w:spacing w:val="-2"/>
          <w:w w:val="105"/>
        </w:rPr>
        <w:t> </w:t>
      </w:r>
      <w:r>
        <w:rPr>
          <w:w w:val="105"/>
        </w:rPr>
        <w:t>Company’s</w:t>
      </w:r>
      <w:r>
        <w:rPr>
          <w:spacing w:val="-2"/>
          <w:w w:val="105"/>
        </w:rPr>
        <w:t> </w:t>
      </w:r>
      <w:r>
        <w:rPr>
          <w:w w:val="105"/>
        </w:rPr>
        <w:t>various</w:t>
      </w:r>
      <w:r>
        <w:rPr>
          <w:spacing w:val="-2"/>
          <w:w w:val="105"/>
        </w:rPr>
        <w:t> </w:t>
      </w:r>
      <w:r>
        <w:rPr>
          <w:w w:val="105"/>
        </w:rPr>
        <w:t>tax</w:t>
      </w:r>
      <w:r>
        <w:rPr>
          <w:spacing w:val="-2"/>
          <w:w w:val="105"/>
        </w:rPr>
        <w:t> </w:t>
      </w:r>
      <w:r>
        <w:rPr>
          <w:w w:val="105"/>
        </w:rPr>
        <w:t>filing</w:t>
      </w:r>
      <w:r>
        <w:rPr>
          <w:spacing w:val="-2"/>
          <w:w w:val="105"/>
        </w:rPr>
        <w:t> </w:t>
      </w:r>
      <w:r>
        <w:rPr>
          <w:w w:val="105"/>
        </w:rPr>
        <w:t>positions, management</w:t>
      </w:r>
      <w:r>
        <w:rPr>
          <w:spacing w:val="-7"/>
          <w:w w:val="105"/>
        </w:rPr>
        <w:t> </w:t>
      </w:r>
      <w:r>
        <w:rPr>
          <w:w w:val="105"/>
        </w:rPr>
        <w:t>records</w:t>
      </w:r>
      <w:r>
        <w:rPr>
          <w:spacing w:val="-7"/>
          <w:w w:val="105"/>
        </w:rPr>
        <w:t> </w:t>
      </w:r>
      <w:r>
        <w:rPr>
          <w:w w:val="105"/>
        </w:rPr>
        <w:t>a</w:t>
      </w:r>
      <w:r>
        <w:rPr>
          <w:spacing w:val="-6"/>
          <w:w w:val="105"/>
        </w:rPr>
        <w:t> </w:t>
      </w:r>
      <w:r>
        <w:rPr>
          <w:w w:val="105"/>
        </w:rPr>
        <w:t>tax</w:t>
      </w:r>
      <w:r>
        <w:rPr>
          <w:spacing w:val="-7"/>
          <w:w w:val="105"/>
        </w:rPr>
        <w:t> </w:t>
      </w:r>
      <w:r>
        <w:rPr>
          <w:w w:val="105"/>
        </w:rPr>
        <w:t>benefit</w:t>
      </w:r>
      <w:r>
        <w:rPr>
          <w:spacing w:val="-7"/>
          <w:w w:val="105"/>
        </w:rPr>
        <w:t> </w:t>
      </w:r>
      <w:r>
        <w:rPr>
          <w:w w:val="105"/>
        </w:rPr>
        <w:t>for</w:t>
      </w:r>
      <w:r>
        <w:rPr>
          <w:spacing w:val="-7"/>
          <w:w w:val="105"/>
        </w:rPr>
        <w:t> </w:t>
      </w:r>
      <w:r>
        <w:rPr>
          <w:w w:val="105"/>
        </w:rPr>
        <w:t>uncertain</w:t>
      </w:r>
      <w:r>
        <w:rPr>
          <w:spacing w:val="-7"/>
          <w:w w:val="105"/>
        </w:rPr>
        <w:t> </w:t>
      </w:r>
      <w:r>
        <w:rPr>
          <w:w w:val="105"/>
        </w:rPr>
        <w:t>tax</w:t>
      </w:r>
      <w:r>
        <w:rPr>
          <w:spacing w:val="-7"/>
          <w:w w:val="105"/>
        </w:rPr>
        <w:t> </w:t>
      </w:r>
      <w:r>
        <w:rPr>
          <w:w w:val="105"/>
        </w:rPr>
        <w:t>positions</w:t>
      </w:r>
      <w:r>
        <w:rPr>
          <w:spacing w:val="-7"/>
          <w:w w:val="105"/>
        </w:rPr>
        <w:t> </w:t>
      </w:r>
      <w:r>
        <w:rPr>
          <w:w w:val="105"/>
        </w:rPr>
        <w:t>using</w:t>
      </w:r>
      <w:r>
        <w:rPr>
          <w:spacing w:val="-7"/>
          <w:w w:val="105"/>
        </w:rPr>
        <w:t> </w:t>
      </w:r>
      <w:r>
        <w:rPr>
          <w:w w:val="105"/>
        </w:rPr>
        <w:t>the</w:t>
      </w:r>
      <w:r>
        <w:rPr>
          <w:spacing w:val="-7"/>
          <w:w w:val="105"/>
        </w:rPr>
        <w:t> </w:t>
      </w:r>
      <w:r>
        <w:rPr>
          <w:w w:val="105"/>
        </w:rPr>
        <w:t>highest</w:t>
      </w:r>
      <w:r>
        <w:rPr>
          <w:spacing w:val="-6"/>
          <w:w w:val="105"/>
        </w:rPr>
        <w:t> </w:t>
      </w:r>
      <w:r>
        <w:rPr>
          <w:w w:val="105"/>
        </w:rPr>
        <w:t>cumulative</w:t>
      </w:r>
      <w:r>
        <w:rPr>
          <w:spacing w:val="-7"/>
          <w:w w:val="105"/>
        </w:rPr>
        <w:t> </w:t>
      </w:r>
      <w:r>
        <w:rPr>
          <w:w w:val="105"/>
        </w:rPr>
        <w:t>tax</w:t>
      </w:r>
      <w:r>
        <w:rPr>
          <w:spacing w:val="-7"/>
          <w:w w:val="105"/>
        </w:rPr>
        <w:t> </w:t>
      </w:r>
      <w:r>
        <w:rPr>
          <w:w w:val="105"/>
        </w:rPr>
        <w:t>benefit</w:t>
      </w:r>
      <w:r>
        <w:rPr>
          <w:spacing w:val="-7"/>
          <w:w w:val="105"/>
        </w:rPr>
        <w:t> </w:t>
      </w:r>
      <w:r>
        <w:rPr>
          <w:w w:val="105"/>
        </w:rPr>
        <w:t>that</w:t>
      </w:r>
      <w:r>
        <w:rPr>
          <w:spacing w:val="-7"/>
          <w:w w:val="105"/>
        </w:rPr>
        <w:t> </w:t>
      </w:r>
      <w:r>
        <w:rPr>
          <w:w w:val="105"/>
        </w:rPr>
        <w:t>is</w:t>
      </w:r>
      <w:r>
        <w:rPr>
          <w:spacing w:val="-7"/>
          <w:w w:val="105"/>
        </w:rPr>
        <w:t> </w:t>
      </w:r>
      <w:r>
        <w:rPr>
          <w:w w:val="105"/>
        </w:rPr>
        <w:t>more</w:t>
      </w:r>
      <w:r>
        <w:rPr>
          <w:spacing w:val="-7"/>
          <w:w w:val="105"/>
        </w:rPr>
        <w:t> </w:t>
      </w:r>
      <w:r>
        <w:rPr>
          <w:w w:val="105"/>
        </w:rPr>
        <w:t>likely</w:t>
      </w:r>
      <w:r>
        <w:rPr>
          <w:spacing w:val="-7"/>
          <w:w w:val="105"/>
        </w:rPr>
        <w:t> </w:t>
      </w:r>
      <w:r>
        <w:rPr>
          <w:w w:val="105"/>
        </w:rPr>
        <w:t>than</w:t>
      </w:r>
      <w:r>
        <w:rPr>
          <w:spacing w:val="-7"/>
          <w:w w:val="105"/>
        </w:rPr>
        <w:t> </w:t>
      </w:r>
      <w:r>
        <w:rPr>
          <w:w w:val="105"/>
        </w:rPr>
        <w:t>not</w:t>
      </w:r>
      <w:r>
        <w:rPr>
          <w:spacing w:val="-7"/>
          <w:w w:val="105"/>
        </w:rPr>
        <w:t> </w:t>
      </w:r>
      <w:r>
        <w:rPr>
          <w:w w:val="105"/>
        </w:rPr>
        <w:t>to</w:t>
      </w:r>
      <w:r>
        <w:rPr>
          <w:spacing w:val="-7"/>
          <w:w w:val="105"/>
        </w:rPr>
        <w:t> </w:t>
      </w:r>
      <w:r>
        <w:rPr>
          <w:w w:val="105"/>
        </w:rPr>
        <w:t>be</w:t>
      </w:r>
      <w:r>
        <w:rPr>
          <w:spacing w:val="-7"/>
          <w:w w:val="105"/>
        </w:rPr>
        <w:t> </w:t>
      </w:r>
      <w:r>
        <w:rPr>
          <w:w w:val="105"/>
        </w:rPr>
        <w:t>realized.</w:t>
      </w:r>
      <w:r>
        <w:rPr>
          <w:spacing w:val="-7"/>
          <w:w w:val="105"/>
        </w:rPr>
        <w:t> </w:t>
      </w:r>
      <w:r>
        <w:rPr>
          <w:w w:val="105"/>
        </w:rPr>
        <w:t>Adjustments</w:t>
      </w:r>
      <w:r>
        <w:rPr>
          <w:spacing w:val="-7"/>
          <w:w w:val="105"/>
        </w:rPr>
        <w:t> </w:t>
      </w:r>
      <w:r>
        <w:rPr>
          <w:w w:val="105"/>
        </w:rPr>
        <w:t>are</w:t>
      </w:r>
      <w:r>
        <w:rPr>
          <w:spacing w:val="-7"/>
          <w:w w:val="105"/>
        </w:rPr>
        <w:t> </w:t>
      </w:r>
      <w:r>
        <w:rPr>
          <w:w w:val="105"/>
        </w:rPr>
        <w:t>made</w:t>
      </w:r>
      <w:r>
        <w:rPr>
          <w:spacing w:val="-7"/>
          <w:w w:val="105"/>
        </w:rPr>
        <w:t> </w:t>
      </w:r>
      <w:r>
        <w:rPr>
          <w:w w:val="105"/>
        </w:rPr>
        <w:t>to</w:t>
      </w:r>
      <w:r>
        <w:rPr>
          <w:spacing w:val="-7"/>
          <w:w w:val="105"/>
        </w:rPr>
        <w:t> </w:t>
      </w:r>
      <w:r>
        <w:rPr>
          <w:w w:val="105"/>
        </w:rPr>
        <w:t>the asset</w:t>
      </w:r>
      <w:r>
        <w:rPr>
          <w:spacing w:val="-2"/>
          <w:w w:val="105"/>
        </w:rPr>
        <w:t> </w:t>
      </w:r>
      <w:r>
        <w:rPr>
          <w:w w:val="105"/>
        </w:rPr>
        <w:t>or</w:t>
      </w:r>
      <w:r>
        <w:rPr>
          <w:spacing w:val="-2"/>
          <w:w w:val="105"/>
        </w:rPr>
        <w:t> </w:t>
      </w:r>
      <w:r>
        <w:rPr>
          <w:w w:val="105"/>
        </w:rPr>
        <w:t>liability</w:t>
      </w:r>
      <w:r>
        <w:rPr>
          <w:spacing w:val="-2"/>
          <w:w w:val="105"/>
        </w:rPr>
        <w:t> </w:t>
      </w:r>
      <w:r>
        <w:rPr>
          <w:w w:val="105"/>
        </w:rPr>
        <w:t>for</w:t>
      </w:r>
      <w:r>
        <w:rPr>
          <w:spacing w:val="-2"/>
          <w:w w:val="105"/>
        </w:rPr>
        <w:t> </w:t>
      </w:r>
      <w:r>
        <w:rPr>
          <w:w w:val="105"/>
        </w:rPr>
        <w:t>unrecognized</w:t>
      </w:r>
      <w:r>
        <w:rPr>
          <w:spacing w:val="-2"/>
          <w:w w:val="105"/>
        </w:rPr>
        <w:t> </w:t>
      </w:r>
      <w:r>
        <w:rPr>
          <w:w w:val="105"/>
        </w:rPr>
        <w:t>tax</w:t>
      </w:r>
      <w:r>
        <w:rPr>
          <w:spacing w:val="-2"/>
          <w:w w:val="105"/>
        </w:rPr>
        <w:t> </w:t>
      </w:r>
      <w:r>
        <w:rPr>
          <w:w w:val="105"/>
        </w:rPr>
        <w:t>benefits</w:t>
      </w:r>
      <w:r>
        <w:rPr>
          <w:spacing w:val="-2"/>
          <w:w w:val="105"/>
        </w:rPr>
        <w:t> </w:t>
      </w:r>
      <w:r>
        <w:rPr>
          <w:w w:val="105"/>
        </w:rPr>
        <w:t>in</w:t>
      </w:r>
      <w:r>
        <w:rPr>
          <w:spacing w:val="-2"/>
          <w:w w:val="105"/>
        </w:rPr>
        <w:t> </w:t>
      </w:r>
      <w:r>
        <w:rPr>
          <w:w w:val="105"/>
        </w:rPr>
        <w:t>the</w:t>
      </w:r>
      <w:r>
        <w:rPr>
          <w:spacing w:val="-2"/>
          <w:w w:val="105"/>
        </w:rPr>
        <w:t> </w:t>
      </w:r>
      <w:r>
        <w:rPr>
          <w:w w:val="105"/>
        </w:rPr>
        <w:t>period</w:t>
      </w:r>
      <w:r>
        <w:rPr>
          <w:spacing w:val="-2"/>
          <w:w w:val="105"/>
        </w:rPr>
        <w:t> </w:t>
      </w:r>
      <w:r>
        <w:rPr>
          <w:w w:val="105"/>
        </w:rPr>
        <w:t>in</w:t>
      </w:r>
      <w:r>
        <w:rPr>
          <w:spacing w:val="-2"/>
          <w:w w:val="105"/>
        </w:rPr>
        <w:t> </w:t>
      </w:r>
      <w:r>
        <w:rPr>
          <w:w w:val="105"/>
        </w:rPr>
        <w:t>which</w:t>
      </w:r>
      <w:r>
        <w:rPr>
          <w:spacing w:val="-2"/>
          <w:w w:val="105"/>
        </w:rPr>
        <w:t> </w:t>
      </w:r>
      <w:r>
        <w:rPr>
          <w:w w:val="105"/>
        </w:rPr>
        <w:t>the</w:t>
      </w:r>
      <w:r>
        <w:rPr>
          <w:spacing w:val="-2"/>
          <w:w w:val="105"/>
        </w:rPr>
        <w:t> </w:t>
      </w:r>
      <w:r>
        <w:rPr>
          <w:w w:val="105"/>
        </w:rPr>
        <w:t>Company</w:t>
      </w:r>
      <w:r>
        <w:rPr>
          <w:spacing w:val="-2"/>
          <w:w w:val="105"/>
        </w:rPr>
        <w:t> </w:t>
      </w:r>
      <w:r>
        <w:rPr>
          <w:w w:val="105"/>
        </w:rPr>
        <w:t>files</w:t>
      </w:r>
      <w:r>
        <w:rPr>
          <w:spacing w:val="-2"/>
          <w:w w:val="105"/>
        </w:rPr>
        <w:t> </w:t>
      </w:r>
      <w:r>
        <w:rPr>
          <w:w w:val="105"/>
        </w:rPr>
        <w:t>the</w:t>
      </w:r>
      <w:r>
        <w:rPr>
          <w:spacing w:val="-2"/>
          <w:w w:val="105"/>
        </w:rPr>
        <w:t> </w:t>
      </w:r>
      <w:r>
        <w:rPr>
          <w:w w:val="105"/>
        </w:rPr>
        <w:t>return</w:t>
      </w:r>
      <w:r>
        <w:rPr>
          <w:spacing w:val="-2"/>
          <w:w w:val="105"/>
        </w:rPr>
        <w:t> </w:t>
      </w:r>
      <w:r>
        <w:rPr>
          <w:w w:val="105"/>
        </w:rPr>
        <w:t>containing</w:t>
      </w:r>
      <w:r>
        <w:rPr>
          <w:spacing w:val="-2"/>
          <w:w w:val="105"/>
        </w:rPr>
        <w:t> </w:t>
      </w:r>
      <w:r>
        <w:rPr>
          <w:w w:val="105"/>
        </w:rPr>
        <w:t>the</w:t>
      </w:r>
      <w:r>
        <w:rPr>
          <w:spacing w:val="-2"/>
          <w:w w:val="105"/>
        </w:rPr>
        <w:t> </w:t>
      </w:r>
      <w:r>
        <w:rPr>
          <w:w w:val="105"/>
        </w:rPr>
        <w:t>tax</w:t>
      </w:r>
      <w:r>
        <w:rPr>
          <w:spacing w:val="-2"/>
          <w:w w:val="105"/>
        </w:rPr>
        <w:t> </w:t>
      </w:r>
      <w:r>
        <w:rPr>
          <w:w w:val="105"/>
        </w:rPr>
        <w:t>position</w:t>
      </w:r>
      <w:r>
        <w:rPr>
          <w:spacing w:val="-2"/>
          <w:w w:val="105"/>
        </w:rPr>
        <w:t> </w:t>
      </w:r>
      <w:r>
        <w:rPr>
          <w:w w:val="105"/>
        </w:rPr>
        <w:t>or</w:t>
      </w:r>
      <w:r>
        <w:rPr>
          <w:spacing w:val="-2"/>
          <w:w w:val="105"/>
        </w:rPr>
        <w:t> </w:t>
      </w:r>
      <w:r>
        <w:rPr>
          <w:w w:val="105"/>
        </w:rPr>
        <w:t>when</w:t>
      </w:r>
      <w:r>
        <w:rPr>
          <w:spacing w:val="-2"/>
          <w:w w:val="105"/>
        </w:rPr>
        <w:t> </w:t>
      </w:r>
      <w:r>
        <w:rPr>
          <w:w w:val="105"/>
        </w:rPr>
        <w:t>new</w:t>
      </w:r>
      <w:r>
        <w:rPr>
          <w:spacing w:val="-2"/>
          <w:w w:val="105"/>
        </w:rPr>
        <w:t> </w:t>
      </w:r>
      <w:r>
        <w:rPr>
          <w:w w:val="105"/>
        </w:rPr>
        <w:t>information</w:t>
      </w:r>
      <w:r>
        <w:rPr>
          <w:spacing w:val="-2"/>
          <w:w w:val="105"/>
        </w:rPr>
        <w:t> </w:t>
      </w:r>
      <w:r>
        <w:rPr>
          <w:w w:val="105"/>
        </w:rPr>
        <w:t>becomes</w:t>
      </w:r>
      <w:r>
        <w:rPr>
          <w:spacing w:val="-2"/>
          <w:w w:val="105"/>
        </w:rPr>
        <w:t> </w:t>
      </w:r>
      <w:r>
        <w:rPr>
          <w:w w:val="105"/>
        </w:rPr>
        <w:t>available. The</w:t>
      </w:r>
      <w:r>
        <w:rPr>
          <w:spacing w:val="-3"/>
          <w:w w:val="105"/>
        </w:rPr>
        <w:t> </w:t>
      </w:r>
      <w:r>
        <w:rPr>
          <w:w w:val="105"/>
        </w:rPr>
        <w:t>Company</w:t>
      </w:r>
      <w:r>
        <w:rPr>
          <w:spacing w:val="-3"/>
          <w:w w:val="105"/>
        </w:rPr>
        <w:t> </w:t>
      </w:r>
      <w:r>
        <w:rPr>
          <w:w w:val="105"/>
        </w:rPr>
        <w:t>is</w:t>
      </w:r>
      <w:r>
        <w:rPr>
          <w:spacing w:val="-3"/>
          <w:w w:val="105"/>
        </w:rPr>
        <w:t> </w:t>
      </w:r>
      <w:r>
        <w:rPr>
          <w:w w:val="105"/>
        </w:rPr>
        <w:t>currently</w:t>
      </w:r>
      <w:r>
        <w:rPr>
          <w:spacing w:val="-3"/>
          <w:w w:val="105"/>
        </w:rPr>
        <w:t> </w:t>
      </w:r>
      <w:r>
        <w:rPr>
          <w:w w:val="105"/>
        </w:rPr>
        <w:t>appealing</w:t>
      </w:r>
      <w:r>
        <w:rPr>
          <w:spacing w:val="-3"/>
          <w:w w:val="105"/>
        </w:rPr>
        <w:t> </w:t>
      </w:r>
      <w:r>
        <w:rPr>
          <w:w w:val="105"/>
        </w:rPr>
        <w:t>certain</w:t>
      </w:r>
      <w:r>
        <w:rPr>
          <w:spacing w:val="-3"/>
          <w:w w:val="105"/>
        </w:rPr>
        <w:t> </w:t>
      </w:r>
      <w:r>
        <w:rPr>
          <w:w w:val="105"/>
        </w:rPr>
        <w:t>South</w:t>
      </w:r>
      <w:r>
        <w:rPr>
          <w:spacing w:val="-3"/>
          <w:w w:val="105"/>
        </w:rPr>
        <w:t> </w:t>
      </w:r>
      <w:r>
        <w:rPr>
          <w:w w:val="105"/>
        </w:rPr>
        <w:t>Korean</w:t>
      </w:r>
      <w:r>
        <w:rPr>
          <w:spacing w:val="-3"/>
          <w:w w:val="105"/>
        </w:rPr>
        <w:t> </w:t>
      </w:r>
      <w:r>
        <w:rPr>
          <w:w w:val="105"/>
        </w:rPr>
        <w:t>tax</w:t>
      </w:r>
      <w:r>
        <w:rPr>
          <w:spacing w:val="-3"/>
          <w:w w:val="105"/>
        </w:rPr>
        <w:t> </w:t>
      </w:r>
      <w:r>
        <w:rPr>
          <w:w w:val="105"/>
        </w:rPr>
        <w:t>assessments</w:t>
      </w:r>
      <w:r>
        <w:rPr>
          <w:spacing w:val="-3"/>
          <w:w w:val="105"/>
        </w:rPr>
        <w:t> </w:t>
      </w:r>
      <w:r>
        <w:rPr>
          <w:w w:val="105"/>
        </w:rPr>
        <w:t>and</w:t>
      </w:r>
      <w:r>
        <w:rPr>
          <w:spacing w:val="-3"/>
          <w:w w:val="105"/>
        </w:rPr>
        <w:t> </w:t>
      </w:r>
      <w:r>
        <w:rPr>
          <w:w w:val="105"/>
        </w:rPr>
        <w:t>tax</w:t>
      </w:r>
      <w:r>
        <w:rPr>
          <w:spacing w:val="-3"/>
          <w:w w:val="105"/>
        </w:rPr>
        <w:t> </w:t>
      </w:r>
      <w:r>
        <w:rPr>
          <w:w w:val="105"/>
        </w:rPr>
        <w:t>refund</w:t>
      </w:r>
      <w:r>
        <w:rPr>
          <w:spacing w:val="-3"/>
          <w:w w:val="105"/>
        </w:rPr>
        <w:t> </w:t>
      </w:r>
      <w:r>
        <w:rPr>
          <w:w w:val="105"/>
        </w:rPr>
        <w:t>claims</w:t>
      </w:r>
      <w:r>
        <w:rPr>
          <w:spacing w:val="-3"/>
          <w:w w:val="105"/>
        </w:rPr>
        <w:t> </w:t>
      </w:r>
      <w:r>
        <w:rPr>
          <w:w w:val="105"/>
        </w:rPr>
        <w:t>for</w:t>
      </w:r>
      <w:r>
        <w:rPr>
          <w:spacing w:val="-3"/>
          <w:w w:val="105"/>
        </w:rPr>
        <w:t> </w:t>
      </w:r>
      <w:r>
        <w:rPr>
          <w:w w:val="105"/>
        </w:rPr>
        <w:t>tax</w:t>
      </w:r>
      <w:r>
        <w:rPr>
          <w:spacing w:val="-3"/>
          <w:w w:val="105"/>
        </w:rPr>
        <w:t> </w:t>
      </w:r>
      <w:r>
        <w:rPr>
          <w:w w:val="105"/>
        </w:rPr>
        <w:t>years</w:t>
      </w:r>
      <w:r>
        <w:rPr>
          <w:spacing w:val="-3"/>
          <w:w w:val="105"/>
        </w:rPr>
        <w:t> </w:t>
      </w:r>
      <w:r>
        <w:rPr>
          <w:w w:val="105"/>
        </w:rPr>
        <w:t>2010</w:t>
      </w:r>
      <w:r>
        <w:rPr>
          <w:spacing w:val="-3"/>
          <w:w w:val="105"/>
        </w:rPr>
        <w:t> </w:t>
      </w:r>
      <w:r>
        <w:rPr>
          <w:w w:val="105"/>
        </w:rPr>
        <w:t>through</w:t>
      </w:r>
      <w:r>
        <w:rPr>
          <w:spacing w:val="-3"/>
          <w:w w:val="105"/>
        </w:rPr>
        <w:t> </w:t>
      </w:r>
      <w:r>
        <w:rPr>
          <w:w w:val="105"/>
        </w:rPr>
        <w:t>2018.</w:t>
      </w:r>
      <w:r>
        <w:rPr>
          <w:spacing w:val="-3"/>
          <w:w w:val="105"/>
        </w:rPr>
        <w:t> </w:t>
      </w:r>
      <w:r>
        <w:rPr>
          <w:w w:val="105"/>
        </w:rPr>
        <w:t>The</w:t>
      </w:r>
      <w:r>
        <w:rPr>
          <w:spacing w:val="-3"/>
          <w:w w:val="105"/>
        </w:rPr>
        <w:t> </w:t>
      </w:r>
      <w:r>
        <w:rPr>
          <w:w w:val="105"/>
        </w:rPr>
        <w:t>Company</w:t>
      </w:r>
      <w:r>
        <w:rPr>
          <w:spacing w:val="-1"/>
          <w:w w:val="105"/>
        </w:rPr>
        <w:t> </w:t>
      </w:r>
      <w:r>
        <w:rPr>
          <w:w w:val="105"/>
        </w:rPr>
        <w:t>is</w:t>
      </w:r>
      <w:r>
        <w:rPr>
          <w:spacing w:val="-3"/>
          <w:w w:val="105"/>
        </w:rPr>
        <w:t> </w:t>
      </w:r>
      <w:r>
        <w:rPr>
          <w:w w:val="105"/>
        </w:rPr>
        <w:t>required</w:t>
      </w:r>
      <w:r>
        <w:rPr>
          <w:spacing w:val="-3"/>
          <w:w w:val="105"/>
        </w:rPr>
        <w:t> </w:t>
      </w:r>
      <w:r>
        <w:rPr>
          <w:w w:val="105"/>
        </w:rPr>
        <w:t>to</w:t>
      </w:r>
      <w:r>
        <w:rPr>
          <w:spacing w:val="-3"/>
          <w:w w:val="105"/>
        </w:rPr>
        <w:t> </w:t>
      </w:r>
      <w:r>
        <w:rPr>
          <w:w w:val="105"/>
        </w:rPr>
        <w:t>deposit</w:t>
      </w:r>
      <w:r>
        <w:rPr>
          <w:spacing w:val="-3"/>
          <w:w w:val="105"/>
        </w:rPr>
        <w:t> </w:t>
      </w:r>
      <w:r>
        <w:rPr>
          <w:w w:val="105"/>
        </w:rPr>
        <w:t>the disputed</w:t>
      </w:r>
      <w:r>
        <w:rPr>
          <w:spacing w:val="-2"/>
          <w:w w:val="105"/>
        </w:rPr>
        <w:t> </w:t>
      </w:r>
      <w:r>
        <w:rPr>
          <w:w w:val="105"/>
        </w:rPr>
        <w:t>tax</w:t>
      </w:r>
      <w:r>
        <w:rPr>
          <w:spacing w:val="-2"/>
          <w:w w:val="105"/>
        </w:rPr>
        <w:t> </w:t>
      </w:r>
      <w:r>
        <w:rPr>
          <w:w w:val="105"/>
        </w:rPr>
        <w:t>amounts</w:t>
      </w:r>
      <w:r>
        <w:rPr>
          <w:spacing w:val="-2"/>
          <w:w w:val="105"/>
        </w:rPr>
        <w:t> </w:t>
      </w:r>
      <w:r>
        <w:rPr>
          <w:w w:val="105"/>
        </w:rPr>
        <w:t>with</w:t>
      </w:r>
      <w:r>
        <w:rPr>
          <w:spacing w:val="-2"/>
          <w:w w:val="105"/>
        </w:rPr>
        <w:t> </w:t>
      </w:r>
      <w:r>
        <w:rPr>
          <w:w w:val="105"/>
        </w:rPr>
        <w:t>the</w:t>
      </w:r>
      <w:r>
        <w:rPr>
          <w:spacing w:val="-2"/>
          <w:w w:val="105"/>
        </w:rPr>
        <w:t> </w:t>
      </w:r>
      <w:r>
        <w:rPr>
          <w:w w:val="105"/>
        </w:rPr>
        <w:t>South</w:t>
      </w:r>
      <w:r>
        <w:rPr>
          <w:spacing w:val="-2"/>
          <w:w w:val="105"/>
        </w:rPr>
        <w:t> </w:t>
      </w:r>
      <w:r>
        <w:rPr>
          <w:w w:val="105"/>
        </w:rPr>
        <w:t>Korean</w:t>
      </w:r>
      <w:r>
        <w:rPr>
          <w:spacing w:val="-2"/>
          <w:w w:val="105"/>
        </w:rPr>
        <w:t> </w:t>
      </w:r>
      <w:r>
        <w:rPr>
          <w:w w:val="105"/>
        </w:rPr>
        <w:t>government</w:t>
      </w:r>
      <w:r>
        <w:rPr>
          <w:spacing w:val="-2"/>
          <w:w w:val="105"/>
        </w:rPr>
        <w:t> </w:t>
      </w:r>
      <w:r>
        <w:rPr>
          <w:w w:val="105"/>
        </w:rPr>
        <w:t>as</w:t>
      </w:r>
      <w:r>
        <w:rPr>
          <w:spacing w:val="-2"/>
          <w:w w:val="105"/>
        </w:rPr>
        <w:t> </w:t>
      </w:r>
      <w:r>
        <w:rPr>
          <w:w w:val="105"/>
        </w:rPr>
        <w:t>a</w:t>
      </w:r>
      <w:r>
        <w:rPr>
          <w:spacing w:val="-2"/>
          <w:w w:val="105"/>
        </w:rPr>
        <w:t> </w:t>
      </w:r>
      <w:r>
        <w:rPr>
          <w:w w:val="105"/>
        </w:rPr>
        <w:t>condition</w:t>
      </w:r>
      <w:r>
        <w:rPr>
          <w:spacing w:val="-2"/>
          <w:w w:val="105"/>
        </w:rPr>
        <w:t> </w:t>
      </w:r>
      <w:r>
        <w:rPr>
          <w:w w:val="105"/>
        </w:rPr>
        <w:t>of its</w:t>
      </w:r>
      <w:r>
        <w:rPr>
          <w:spacing w:val="-2"/>
          <w:w w:val="105"/>
        </w:rPr>
        <w:t> </w:t>
      </w:r>
      <w:r>
        <w:rPr>
          <w:w w:val="105"/>
        </w:rPr>
        <w:t>appeal</w:t>
      </w:r>
      <w:r>
        <w:rPr>
          <w:spacing w:val="-2"/>
          <w:w w:val="105"/>
        </w:rPr>
        <w:t> </w:t>
      </w:r>
      <w:r>
        <w:rPr>
          <w:w w:val="105"/>
        </w:rPr>
        <w:t>of</w:t>
      </w:r>
      <w:r>
        <w:rPr>
          <w:spacing w:val="-2"/>
          <w:w w:val="105"/>
        </w:rPr>
        <w:t> </w:t>
      </w:r>
      <w:r>
        <w:rPr>
          <w:w w:val="105"/>
        </w:rPr>
        <w:t>any</w:t>
      </w:r>
      <w:r>
        <w:rPr>
          <w:spacing w:val="-2"/>
          <w:w w:val="105"/>
        </w:rPr>
        <w:t> </w:t>
      </w:r>
      <w:r>
        <w:rPr>
          <w:w w:val="105"/>
        </w:rPr>
        <w:t>tax</w:t>
      </w:r>
      <w:r>
        <w:rPr>
          <w:spacing w:val="-2"/>
          <w:w w:val="105"/>
        </w:rPr>
        <w:t> </w:t>
      </w:r>
      <w:r>
        <w:rPr>
          <w:w w:val="105"/>
        </w:rPr>
        <w:t>assessments.</w:t>
      </w:r>
      <w:r>
        <w:rPr>
          <w:spacing w:val="-2"/>
          <w:w w:val="105"/>
        </w:rPr>
        <w:t> </w:t>
      </w:r>
      <w:r>
        <w:rPr>
          <w:w w:val="105"/>
        </w:rPr>
        <w:t>The</w:t>
      </w:r>
      <w:r>
        <w:rPr>
          <w:spacing w:val="-2"/>
          <w:w w:val="105"/>
        </w:rPr>
        <w:t> </w:t>
      </w:r>
      <w:r>
        <w:rPr>
          <w:w w:val="105"/>
        </w:rPr>
        <w:t>Company</w:t>
      </w:r>
      <w:r>
        <w:rPr>
          <w:spacing w:val="-2"/>
          <w:w w:val="105"/>
        </w:rPr>
        <w:t> </w:t>
      </w:r>
      <w:r>
        <w:rPr>
          <w:w w:val="105"/>
        </w:rPr>
        <w:t>believes</w:t>
      </w:r>
      <w:r>
        <w:rPr>
          <w:spacing w:val="-2"/>
          <w:w w:val="105"/>
        </w:rPr>
        <w:t> </w:t>
      </w:r>
      <w:r>
        <w:rPr>
          <w:w w:val="105"/>
        </w:rPr>
        <w:t>that</w:t>
      </w:r>
      <w:r>
        <w:rPr>
          <w:spacing w:val="-2"/>
          <w:w w:val="105"/>
        </w:rPr>
        <w:t> </w:t>
      </w:r>
      <w:r>
        <w:rPr>
          <w:w w:val="105"/>
        </w:rPr>
        <w:t>it</w:t>
      </w:r>
      <w:r>
        <w:rPr>
          <w:spacing w:val="-2"/>
          <w:w w:val="105"/>
        </w:rPr>
        <w:t> </w:t>
      </w:r>
      <w:r>
        <w:rPr>
          <w:w w:val="105"/>
        </w:rPr>
        <w:t>is</w:t>
      </w:r>
      <w:r>
        <w:rPr>
          <w:spacing w:val="-2"/>
          <w:w w:val="105"/>
        </w:rPr>
        <w:t> </w:t>
      </w:r>
      <w:r>
        <w:rPr>
          <w:w w:val="105"/>
        </w:rPr>
        <w:t>more</w:t>
      </w:r>
      <w:r>
        <w:rPr>
          <w:spacing w:val="-2"/>
          <w:w w:val="105"/>
        </w:rPr>
        <w:t> </w:t>
      </w:r>
      <w:r>
        <w:rPr>
          <w:w w:val="105"/>
        </w:rPr>
        <w:t>likely</w:t>
      </w:r>
      <w:r>
        <w:rPr>
          <w:spacing w:val="-2"/>
          <w:w w:val="105"/>
        </w:rPr>
        <w:t> </w:t>
      </w:r>
      <w:r>
        <w:rPr>
          <w:w w:val="105"/>
        </w:rPr>
        <w:t>than</w:t>
      </w:r>
      <w:r>
        <w:rPr>
          <w:spacing w:val="-2"/>
          <w:w w:val="105"/>
        </w:rPr>
        <w:t> </w:t>
      </w:r>
      <w:r>
        <w:rPr>
          <w:w w:val="105"/>
        </w:rPr>
        <w:t>not</w:t>
      </w:r>
      <w:r>
        <w:rPr>
          <w:spacing w:val="-2"/>
          <w:w w:val="105"/>
        </w:rPr>
        <w:t> </w:t>
      </w:r>
      <w:r>
        <w:rPr>
          <w:w w:val="105"/>
        </w:rPr>
        <w:t>that</w:t>
      </w:r>
      <w:r>
        <w:rPr>
          <w:spacing w:val="-2"/>
          <w:w w:val="105"/>
        </w:rPr>
        <w:t> </w:t>
      </w:r>
      <w:r>
        <w:rPr>
          <w:w w:val="105"/>
        </w:rPr>
        <w:t>the Company</w:t>
      </w:r>
      <w:r>
        <w:rPr>
          <w:spacing w:val="-1"/>
          <w:w w:val="105"/>
        </w:rPr>
        <w:t> </w:t>
      </w:r>
      <w:r>
        <w:rPr>
          <w:w w:val="105"/>
        </w:rPr>
        <w:t>will</w:t>
      </w:r>
      <w:r>
        <w:rPr>
          <w:spacing w:val="-1"/>
          <w:w w:val="105"/>
        </w:rPr>
        <w:t> </w:t>
      </w:r>
      <w:r>
        <w:rPr>
          <w:w w:val="105"/>
        </w:rPr>
        <w:t>prevail</w:t>
      </w:r>
      <w:r>
        <w:rPr>
          <w:spacing w:val="-1"/>
          <w:w w:val="105"/>
        </w:rPr>
        <w:t> </w:t>
      </w:r>
      <w:r>
        <w:rPr>
          <w:w w:val="105"/>
        </w:rPr>
        <w:t>in</w:t>
      </w:r>
      <w:r>
        <w:rPr>
          <w:spacing w:val="-1"/>
          <w:w w:val="105"/>
        </w:rPr>
        <w:t> </w:t>
      </w:r>
      <w:r>
        <w:rPr>
          <w:w w:val="105"/>
        </w:rPr>
        <w:t>the</w:t>
      </w:r>
      <w:r>
        <w:rPr>
          <w:spacing w:val="-1"/>
          <w:w w:val="105"/>
        </w:rPr>
        <w:t> </w:t>
      </w:r>
      <w:r>
        <w:rPr>
          <w:w w:val="105"/>
        </w:rPr>
        <w:t>appeal</w:t>
      </w:r>
      <w:r>
        <w:rPr>
          <w:spacing w:val="-1"/>
          <w:w w:val="105"/>
        </w:rPr>
        <w:t> </w:t>
      </w:r>
      <w:r>
        <w:rPr>
          <w:w w:val="105"/>
        </w:rPr>
        <w:t>process</w:t>
      </w:r>
      <w:r>
        <w:rPr>
          <w:spacing w:val="-1"/>
          <w:w w:val="105"/>
        </w:rPr>
        <w:t> </w:t>
      </w:r>
      <w:r>
        <w:rPr>
          <w:w w:val="105"/>
        </w:rPr>
        <w:t>and</w:t>
      </w:r>
      <w:r>
        <w:rPr>
          <w:spacing w:val="-1"/>
          <w:w w:val="105"/>
        </w:rPr>
        <w:t> </w:t>
      </w:r>
      <w:r>
        <w:rPr>
          <w:w w:val="105"/>
        </w:rPr>
        <w:t>as</w:t>
      </w:r>
      <w:r>
        <w:rPr>
          <w:spacing w:val="-1"/>
          <w:w w:val="105"/>
        </w:rPr>
        <w:t> </w:t>
      </w:r>
      <w:r>
        <w:rPr>
          <w:w w:val="105"/>
        </w:rPr>
        <w:t>a</w:t>
      </w:r>
      <w:r>
        <w:rPr>
          <w:spacing w:val="-1"/>
          <w:w w:val="105"/>
        </w:rPr>
        <w:t> </w:t>
      </w:r>
      <w:r>
        <w:rPr>
          <w:w w:val="105"/>
        </w:rPr>
        <w:t>result, management</w:t>
      </w:r>
      <w:r>
        <w:rPr>
          <w:spacing w:val="-1"/>
          <w:w w:val="105"/>
        </w:rPr>
        <w:t> </w:t>
      </w:r>
      <w:r>
        <w:rPr>
          <w:w w:val="105"/>
        </w:rPr>
        <w:t>recorded</w:t>
      </w:r>
      <w:r>
        <w:rPr>
          <w:spacing w:val="-1"/>
          <w:w w:val="105"/>
        </w:rPr>
        <w:t> </w:t>
      </w:r>
      <w:r>
        <w:rPr>
          <w:w w:val="105"/>
        </w:rPr>
        <w:t>a</w:t>
      </w:r>
      <w:r>
        <w:rPr>
          <w:spacing w:val="-1"/>
          <w:w w:val="105"/>
        </w:rPr>
        <w:t> </w:t>
      </w:r>
      <w:r>
        <w:rPr>
          <w:w w:val="105"/>
        </w:rPr>
        <w:t>non-current</w:t>
      </w:r>
      <w:r>
        <w:rPr>
          <w:spacing w:val="-1"/>
          <w:w w:val="105"/>
        </w:rPr>
        <w:t> </w:t>
      </w:r>
      <w:r>
        <w:rPr>
          <w:w w:val="105"/>
        </w:rPr>
        <w:t>receivable</w:t>
      </w:r>
      <w:r>
        <w:rPr>
          <w:spacing w:val="-1"/>
          <w:w w:val="105"/>
        </w:rPr>
        <w:t> </w:t>
      </w:r>
      <w:r>
        <w:rPr>
          <w:w w:val="105"/>
        </w:rPr>
        <w:t>of</w:t>
      </w:r>
      <w:r>
        <w:rPr>
          <w:spacing w:val="-1"/>
          <w:w w:val="105"/>
        </w:rPr>
        <w:t> </w:t>
      </w:r>
      <w:r>
        <w:rPr>
          <w:w w:val="105"/>
        </w:rPr>
        <w:t>$350</w:t>
      </w:r>
      <w:r>
        <w:rPr>
          <w:spacing w:val="-1"/>
          <w:w w:val="105"/>
        </w:rPr>
        <w:t> </w:t>
      </w:r>
      <w:r>
        <w:rPr>
          <w:w w:val="105"/>
        </w:rPr>
        <w:t>million</w:t>
      </w:r>
      <w:r>
        <w:rPr>
          <w:spacing w:val="-1"/>
          <w:w w:val="105"/>
        </w:rPr>
        <w:t> </w:t>
      </w:r>
      <w:r>
        <w:rPr>
          <w:w w:val="105"/>
        </w:rPr>
        <w:t>as</w:t>
      </w:r>
      <w:r>
        <w:rPr>
          <w:spacing w:val="-1"/>
          <w:w w:val="105"/>
        </w:rPr>
        <w:t> </w:t>
      </w:r>
      <w:r>
        <w:rPr>
          <w:w w:val="105"/>
        </w:rPr>
        <w:t>of</w:t>
      </w:r>
      <w:r>
        <w:rPr>
          <w:spacing w:val="-1"/>
          <w:w w:val="105"/>
        </w:rPr>
        <w:t> </w:t>
      </w:r>
      <w:r>
        <w:rPr>
          <w:w w:val="105"/>
        </w:rPr>
        <w:t>December</w:t>
      </w:r>
      <w:r>
        <w:rPr>
          <w:spacing w:val="-1"/>
          <w:w w:val="105"/>
        </w:rPr>
        <w:t> </w:t>
      </w:r>
      <w:r>
        <w:rPr>
          <w:w w:val="105"/>
        </w:rPr>
        <w:t>31,</w:t>
      </w:r>
      <w:r>
        <w:rPr>
          <w:spacing w:val="-1"/>
          <w:w w:val="105"/>
        </w:rPr>
        <w:t> </w:t>
      </w:r>
      <w:r>
        <w:rPr>
          <w:w w:val="105"/>
        </w:rPr>
        <w:t>2021.</w:t>
      </w:r>
    </w:p>
    <w:p>
      <w:pPr>
        <w:pStyle w:val="BodyText"/>
        <w:spacing w:before="17"/>
      </w:pPr>
    </w:p>
    <w:p>
      <w:pPr>
        <w:pStyle w:val="BodyText"/>
        <w:spacing w:line="266" w:lineRule="auto"/>
        <w:ind w:left="143"/>
      </w:pPr>
      <w:r>
        <w:rPr>
          <w:w w:val="105"/>
        </w:rPr>
        <w:t>The</w:t>
      </w:r>
      <w:r>
        <w:rPr>
          <w:spacing w:val="-2"/>
          <w:w w:val="105"/>
        </w:rPr>
        <w:t> </w:t>
      </w:r>
      <w:r>
        <w:rPr>
          <w:w w:val="105"/>
        </w:rPr>
        <w:t>principal</w:t>
      </w:r>
      <w:r>
        <w:rPr>
          <w:spacing w:val="-2"/>
          <w:w w:val="105"/>
        </w:rPr>
        <w:t> </w:t>
      </w:r>
      <w:r>
        <w:rPr>
          <w:w w:val="105"/>
        </w:rPr>
        <w:t>considerations</w:t>
      </w:r>
      <w:r>
        <w:rPr>
          <w:spacing w:val="-2"/>
          <w:w w:val="105"/>
        </w:rPr>
        <w:t> </w:t>
      </w:r>
      <w:r>
        <w:rPr>
          <w:w w:val="105"/>
        </w:rPr>
        <w:t>for</w:t>
      </w:r>
      <w:r>
        <w:rPr>
          <w:spacing w:val="-2"/>
          <w:w w:val="105"/>
        </w:rPr>
        <w:t> </w:t>
      </w:r>
      <w:r>
        <w:rPr>
          <w:w w:val="105"/>
        </w:rPr>
        <w:t>our</w:t>
      </w:r>
      <w:r>
        <w:rPr>
          <w:spacing w:val="-2"/>
          <w:w w:val="105"/>
        </w:rPr>
        <w:t> </w:t>
      </w:r>
      <w:r>
        <w:rPr>
          <w:w w:val="105"/>
        </w:rPr>
        <w:t>determination</w:t>
      </w:r>
      <w:r>
        <w:rPr>
          <w:spacing w:val="-2"/>
          <w:w w:val="105"/>
        </w:rPr>
        <w:t> </w:t>
      </w:r>
      <w:r>
        <w:rPr>
          <w:w w:val="105"/>
        </w:rPr>
        <w:t>that</w:t>
      </w:r>
      <w:r>
        <w:rPr>
          <w:spacing w:val="-2"/>
          <w:w w:val="105"/>
        </w:rPr>
        <w:t> </w:t>
      </w:r>
      <w:r>
        <w:rPr>
          <w:w w:val="105"/>
        </w:rPr>
        <w:t>performing</w:t>
      </w:r>
      <w:r>
        <w:rPr>
          <w:spacing w:val="-2"/>
          <w:w w:val="105"/>
        </w:rPr>
        <w:t> </w:t>
      </w:r>
      <w:r>
        <w:rPr>
          <w:w w:val="105"/>
        </w:rPr>
        <w:t>procedures</w:t>
      </w:r>
      <w:r>
        <w:rPr>
          <w:spacing w:val="-2"/>
          <w:w w:val="105"/>
        </w:rPr>
        <w:t> </w:t>
      </w:r>
      <w:r>
        <w:rPr>
          <w:w w:val="105"/>
        </w:rPr>
        <w:t>relating</w:t>
      </w:r>
      <w:r>
        <w:rPr>
          <w:spacing w:val="-2"/>
          <w:w w:val="105"/>
        </w:rPr>
        <w:t> </w:t>
      </w:r>
      <w:r>
        <w:rPr>
          <w:w w:val="105"/>
        </w:rPr>
        <w:t>to</w:t>
      </w:r>
      <w:r>
        <w:rPr>
          <w:spacing w:val="-2"/>
          <w:w w:val="105"/>
        </w:rPr>
        <w:t> </w:t>
      </w:r>
      <w:r>
        <w:rPr>
          <w:w w:val="105"/>
        </w:rPr>
        <w:t>the</w:t>
      </w:r>
      <w:r>
        <w:rPr>
          <w:spacing w:val="-2"/>
          <w:w w:val="105"/>
        </w:rPr>
        <w:t> </w:t>
      </w:r>
      <w:r>
        <w:rPr>
          <w:w w:val="105"/>
        </w:rPr>
        <w:t>receivables</w:t>
      </w:r>
      <w:r>
        <w:rPr>
          <w:spacing w:val="-2"/>
          <w:w w:val="105"/>
        </w:rPr>
        <w:t> </w:t>
      </w:r>
      <w:r>
        <w:rPr>
          <w:w w:val="105"/>
        </w:rPr>
        <w:t>for</w:t>
      </w:r>
      <w:r>
        <w:rPr>
          <w:spacing w:val="-4"/>
          <w:w w:val="105"/>
        </w:rPr>
        <w:t> </w:t>
      </w:r>
      <w:r>
        <w:rPr>
          <w:w w:val="105"/>
        </w:rPr>
        <w:t>South</w:t>
      </w:r>
      <w:r>
        <w:rPr>
          <w:spacing w:val="-2"/>
          <w:w w:val="105"/>
        </w:rPr>
        <w:t> </w:t>
      </w:r>
      <w:r>
        <w:rPr>
          <w:w w:val="105"/>
        </w:rPr>
        <w:t>Korean</w:t>
      </w:r>
      <w:r>
        <w:rPr>
          <w:spacing w:val="-2"/>
          <w:w w:val="105"/>
        </w:rPr>
        <w:t> </w:t>
      </w:r>
      <w:r>
        <w:rPr>
          <w:w w:val="105"/>
        </w:rPr>
        <w:t>tax</w:t>
      </w:r>
      <w:r>
        <w:rPr>
          <w:spacing w:val="-2"/>
          <w:w w:val="105"/>
        </w:rPr>
        <w:t> </w:t>
      </w:r>
      <w:r>
        <w:rPr>
          <w:w w:val="105"/>
        </w:rPr>
        <w:t>disputes</w:t>
      </w:r>
      <w:r>
        <w:rPr>
          <w:spacing w:val="-2"/>
          <w:w w:val="105"/>
        </w:rPr>
        <w:t> </w:t>
      </w:r>
      <w:r>
        <w:rPr>
          <w:w w:val="105"/>
        </w:rPr>
        <w:t>is</w:t>
      </w:r>
      <w:r>
        <w:rPr>
          <w:spacing w:val="-2"/>
          <w:w w:val="105"/>
        </w:rPr>
        <w:t> </w:t>
      </w:r>
      <w:r>
        <w:rPr>
          <w:w w:val="105"/>
        </w:rPr>
        <w:t>a</w:t>
      </w:r>
      <w:r>
        <w:rPr>
          <w:spacing w:val="-2"/>
          <w:w w:val="105"/>
        </w:rPr>
        <w:t> </w:t>
      </w:r>
      <w:r>
        <w:rPr>
          <w:w w:val="105"/>
        </w:rPr>
        <w:t>critical</w:t>
      </w:r>
      <w:r>
        <w:rPr>
          <w:spacing w:val="-2"/>
          <w:w w:val="105"/>
        </w:rPr>
        <w:t> </w:t>
      </w:r>
      <w:r>
        <w:rPr>
          <w:w w:val="105"/>
        </w:rPr>
        <w:t>audit</w:t>
      </w:r>
      <w:r>
        <w:rPr>
          <w:spacing w:val="-2"/>
          <w:w w:val="105"/>
        </w:rPr>
        <w:t> </w:t>
      </w:r>
      <w:r>
        <w:rPr>
          <w:w w:val="105"/>
        </w:rPr>
        <w:t>matter</w:t>
      </w:r>
      <w:r>
        <w:rPr>
          <w:spacing w:val="-2"/>
          <w:w w:val="105"/>
        </w:rPr>
        <w:t> </w:t>
      </w:r>
      <w:r>
        <w:rPr>
          <w:w w:val="105"/>
        </w:rPr>
        <w:t>are</w:t>
      </w:r>
      <w:r>
        <w:rPr>
          <w:spacing w:val="-4"/>
          <w:w w:val="105"/>
        </w:rPr>
        <w:t> </w:t>
      </w:r>
      <w:r>
        <w:rPr>
          <w:w w:val="105"/>
        </w:rPr>
        <w:t>(i)</w:t>
      </w:r>
      <w:r>
        <w:rPr>
          <w:spacing w:val="-2"/>
          <w:w w:val="105"/>
        </w:rPr>
        <w:t> </w:t>
      </w:r>
      <w:r>
        <w:rPr>
          <w:w w:val="105"/>
        </w:rPr>
        <w:t>the significant</w:t>
      </w:r>
      <w:r>
        <w:rPr>
          <w:spacing w:val="-8"/>
          <w:w w:val="105"/>
        </w:rPr>
        <w:t> </w:t>
      </w:r>
      <w:r>
        <w:rPr>
          <w:w w:val="105"/>
        </w:rPr>
        <w:t>judgment</w:t>
      </w:r>
      <w:r>
        <w:rPr>
          <w:spacing w:val="-8"/>
          <w:w w:val="105"/>
        </w:rPr>
        <w:t> </w:t>
      </w:r>
      <w:r>
        <w:rPr>
          <w:w w:val="105"/>
        </w:rPr>
        <w:t>by</w:t>
      </w:r>
      <w:r>
        <w:rPr>
          <w:spacing w:val="-8"/>
          <w:w w:val="105"/>
        </w:rPr>
        <w:t> </w:t>
      </w:r>
      <w:r>
        <w:rPr>
          <w:w w:val="105"/>
        </w:rPr>
        <w:t>management</w:t>
      </w:r>
      <w:r>
        <w:rPr>
          <w:spacing w:val="-8"/>
          <w:w w:val="105"/>
        </w:rPr>
        <w:t> </w:t>
      </w:r>
      <w:r>
        <w:rPr>
          <w:w w:val="105"/>
        </w:rPr>
        <w:t>when</w:t>
      </w:r>
      <w:r>
        <w:rPr>
          <w:spacing w:val="-8"/>
          <w:w w:val="105"/>
        </w:rPr>
        <w:t> </w:t>
      </w:r>
      <w:r>
        <w:rPr>
          <w:w w:val="105"/>
        </w:rPr>
        <w:t>applying</w:t>
      </w:r>
      <w:r>
        <w:rPr>
          <w:spacing w:val="-8"/>
          <w:w w:val="105"/>
        </w:rPr>
        <w:t> </w:t>
      </w:r>
      <w:r>
        <w:rPr>
          <w:w w:val="105"/>
        </w:rPr>
        <w:t>the</w:t>
      </w:r>
      <w:r>
        <w:rPr>
          <w:spacing w:val="-8"/>
          <w:w w:val="105"/>
        </w:rPr>
        <w:t> </w:t>
      </w:r>
      <w:r>
        <w:rPr>
          <w:w w:val="105"/>
        </w:rPr>
        <w:t>more</w:t>
      </w:r>
      <w:r>
        <w:rPr>
          <w:spacing w:val="-8"/>
          <w:w w:val="105"/>
        </w:rPr>
        <w:t> </w:t>
      </w:r>
      <w:r>
        <w:rPr>
          <w:w w:val="105"/>
        </w:rPr>
        <w:t>likely</w:t>
      </w:r>
      <w:r>
        <w:rPr>
          <w:spacing w:val="-8"/>
          <w:w w:val="105"/>
        </w:rPr>
        <w:t> </w:t>
      </w:r>
      <w:r>
        <w:rPr>
          <w:w w:val="105"/>
        </w:rPr>
        <w:t>than</w:t>
      </w:r>
      <w:r>
        <w:rPr>
          <w:spacing w:val="-8"/>
          <w:w w:val="105"/>
        </w:rPr>
        <w:t> </w:t>
      </w:r>
      <w:r>
        <w:rPr>
          <w:w w:val="105"/>
        </w:rPr>
        <w:t>not</w:t>
      </w:r>
      <w:r>
        <w:rPr>
          <w:spacing w:val="-8"/>
          <w:w w:val="105"/>
        </w:rPr>
        <w:t> </w:t>
      </w:r>
      <w:r>
        <w:rPr>
          <w:w w:val="105"/>
        </w:rPr>
        <w:t>recognition</w:t>
      </w:r>
      <w:r>
        <w:rPr>
          <w:spacing w:val="-8"/>
          <w:w w:val="105"/>
        </w:rPr>
        <w:t> </w:t>
      </w:r>
      <w:r>
        <w:rPr>
          <w:w w:val="105"/>
        </w:rPr>
        <w:t>criteria</w:t>
      </w:r>
      <w:r>
        <w:rPr>
          <w:spacing w:val="-8"/>
          <w:w w:val="105"/>
        </w:rPr>
        <w:t> </w:t>
      </w:r>
      <w:r>
        <w:rPr>
          <w:w w:val="105"/>
        </w:rPr>
        <w:t>to</w:t>
      </w:r>
      <w:r>
        <w:rPr>
          <w:spacing w:val="-8"/>
          <w:w w:val="105"/>
        </w:rPr>
        <w:t> </w:t>
      </w:r>
      <w:r>
        <w:rPr>
          <w:w w:val="105"/>
        </w:rPr>
        <w:t>the</w:t>
      </w:r>
      <w:r>
        <w:rPr>
          <w:spacing w:val="-8"/>
          <w:w w:val="105"/>
        </w:rPr>
        <w:t> </w:t>
      </w:r>
      <w:r>
        <w:rPr>
          <w:w w:val="105"/>
        </w:rPr>
        <w:t>Company’s</w:t>
      </w:r>
      <w:r>
        <w:rPr>
          <w:spacing w:val="-8"/>
          <w:w w:val="105"/>
        </w:rPr>
        <w:t> </w:t>
      </w:r>
      <w:r>
        <w:rPr>
          <w:w w:val="105"/>
        </w:rPr>
        <w:t>uncertain</w:t>
      </w:r>
      <w:r>
        <w:rPr>
          <w:spacing w:val="-8"/>
          <w:w w:val="105"/>
        </w:rPr>
        <w:t> </w:t>
      </w:r>
      <w:r>
        <w:rPr>
          <w:w w:val="105"/>
        </w:rPr>
        <w:t>tax</w:t>
      </w:r>
      <w:r>
        <w:rPr>
          <w:spacing w:val="-8"/>
          <w:w w:val="105"/>
        </w:rPr>
        <w:t> </w:t>
      </w:r>
      <w:r>
        <w:rPr>
          <w:w w:val="105"/>
        </w:rPr>
        <w:t>positions</w:t>
      </w:r>
      <w:r>
        <w:rPr>
          <w:spacing w:val="-8"/>
          <w:w w:val="105"/>
        </w:rPr>
        <w:t> </w:t>
      </w:r>
      <w:r>
        <w:rPr>
          <w:w w:val="105"/>
        </w:rPr>
        <w:t>based</w:t>
      </w:r>
      <w:r>
        <w:rPr>
          <w:spacing w:val="-8"/>
          <w:w w:val="105"/>
        </w:rPr>
        <w:t> </w:t>
      </w:r>
      <w:r>
        <w:rPr>
          <w:w w:val="105"/>
        </w:rPr>
        <w:t>on</w:t>
      </w:r>
      <w:r>
        <w:rPr>
          <w:spacing w:val="-8"/>
          <w:w w:val="105"/>
        </w:rPr>
        <w:t> </w:t>
      </w:r>
      <w:r>
        <w:rPr>
          <w:w w:val="105"/>
        </w:rPr>
        <w:t>the</w:t>
      </w:r>
      <w:r>
        <w:rPr>
          <w:spacing w:val="-8"/>
          <w:w w:val="105"/>
        </w:rPr>
        <w:t> </w:t>
      </w:r>
      <w:r>
        <w:rPr>
          <w:w w:val="105"/>
        </w:rPr>
        <w:t>application</w:t>
      </w:r>
      <w:r>
        <w:rPr>
          <w:spacing w:val="-8"/>
          <w:w w:val="105"/>
        </w:rPr>
        <w:t> </w:t>
      </w:r>
      <w:r>
        <w:rPr>
          <w:w w:val="105"/>
        </w:rPr>
        <w:t>of</w:t>
      </w:r>
      <w:r>
        <w:rPr>
          <w:spacing w:val="-8"/>
          <w:w w:val="105"/>
        </w:rPr>
        <w:t> </w:t>
      </w:r>
      <w:r>
        <w:rPr>
          <w:w w:val="105"/>
        </w:rPr>
        <w:t>the</w:t>
      </w:r>
      <w:r>
        <w:rPr>
          <w:spacing w:val="-6"/>
          <w:w w:val="105"/>
        </w:rPr>
        <w:t> </w:t>
      </w:r>
      <w:r>
        <w:rPr>
          <w:w w:val="105"/>
        </w:rPr>
        <w:t>tax law;</w:t>
      </w:r>
      <w:r>
        <w:rPr>
          <w:spacing w:val="-2"/>
          <w:w w:val="105"/>
        </w:rPr>
        <w:t> </w:t>
      </w:r>
      <w:r>
        <w:rPr>
          <w:w w:val="105"/>
        </w:rPr>
        <w:t>(ii)</w:t>
      </w:r>
      <w:r>
        <w:rPr>
          <w:spacing w:val="-2"/>
          <w:w w:val="105"/>
        </w:rPr>
        <w:t> </w:t>
      </w:r>
      <w:r>
        <w:rPr>
          <w:w w:val="105"/>
        </w:rPr>
        <w:t>a</w:t>
      </w:r>
      <w:r>
        <w:rPr>
          <w:spacing w:val="-2"/>
          <w:w w:val="105"/>
        </w:rPr>
        <w:t> </w:t>
      </w:r>
      <w:r>
        <w:rPr>
          <w:w w:val="105"/>
        </w:rPr>
        <w:t>high</w:t>
      </w:r>
      <w:r>
        <w:rPr>
          <w:spacing w:val="-2"/>
          <w:w w:val="105"/>
        </w:rPr>
        <w:t> </w:t>
      </w:r>
      <w:r>
        <w:rPr>
          <w:w w:val="105"/>
        </w:rPr>
        <w:t>degree</w:t>
      </w:r>
      <w:r>
        <w:rPr>
          <w:spacing w:val="-2"/>
          <w:w w:val="105"/>
        </w:rPr>
        <w:t> </w:t>
      </w:r>
      <w:r>
        <w:rPr>
          <w:w w:val="105"/>
        </w:rPr>
        <w:t>of</w:t>
      </w:r>
      <w:r>
        <w:rPr>
          <w:spacing w:val="-2"/>
          <w:w w:val="105"/>
        </w:rPr>
        <w:t> </w:t>
      </w:r>
      <w:r>
        <w:rPr>
          <w:w w:val="105"/>
        </w:rPr>
        <w:t>auditor</w:t>
      </w:r>
      <w:r>
        <w:rPr>
          <w:spacing w:val="-2"/>
          <w:w w:val="105"/>
        </w:rPr>
        <w:t> </w:t>
      </w:r>
      <w:r>
        <w:rPr>
          <w:w w:val="105"/>
        </w:rPr>
        <w:t>judgment,</w:t>
      </w:r>
      <w:r>
        <w:rPr>
          <w:spacing w:val="-2"/>
          <w:w w:val="105"/>
        </w:rPr>
        <w:t> </w:t>
      </w:r>
      <w:r>
        <w:rPr>
          <w:w w:val="105"/>
        </w:rPr>
        <w:t>subjectivity,</w:t>
      </w:r>
      <w:r>
        <w:rPr>
          <w:spacing w:val="-2"/>
          <w:w w:val="105"/>
        </w:rPr>
        <w:t> </w:t>
      </w:r>
      <w:r>
        <w:rPr>
          <w:w w:val="105"/>
        </w:rPr>
        <w:t>and</w:t>
      </w:r>
      <w:r>
        <w:rPr>
          <w:spacing w:val="-2"/>
          <w:w w:val="105"/>
        </w:rPr>
        <w:t> </w:t>
      </w:r>
      <w:r>
        <w:rPr>
          <w:w w:val="105"/>
        </w:rPr>
        <w:t>effort</w:t>
      </w:r>
      <w:r>
        <w:rPr>
          <w:spacing w:val="-2"/>
          <w:w w:val="105"/>
        </w:rPr>
        <w:t> </w:t>
      </w:r>
      <w:r>
        <w:rPr>
          <w:w w:val="105"/>
        </w:rPr>
        <w:t>in</w:t>
      </w:r>
      <w:r>
        <w:rPr>
          <w:spacing w:val="-2"/>
          <w:w w:val="105"/>
        </w:rPr>
        <w:t> </w:t>
      </w:r>
      <w:r>
        <w:rPr>
          <w:w w:val="105"/>
        </w:rPr>
        <w:t>performing</w:t>
      </w:r>
      <w:r>
        <w:rPr>
          <w:spacing w:val="-2"/>
          <w:w w:val="105"/>
        </w:rPr>
        <w:t> </w:t>
      </w:r>
      <w:r>
        <w:rPr>
          <w:w w:val="105"/>
        </w:rPr>
        <w:t>procedures</w:t>
      </w:r>
      <w:r>
        <w:rPr>
          <w:spacing w:val="-2"/>
          <w:w w:val="105"/>
        </w:rPr>
        <w:t> </w:t>
      </w:r>
      <w:r>
        <w:rPr>
          <w:w w:val="105"/>
        </w:rPr>
        <w:t>and</w:t>
      </w:r>
      <w:r>
        <w:rPr>
          <w:spacing w:val="-2"/>
          <w:w w:val="105"/>
        </w:rPr>
        <w:t> </w:t>
      </w:r>
      <w:r>
        <w:rPr>
          <w:w w:val="105"/>
        </w:rPr>
        <w:t>evaluating</w:t>
      </w:r>
      <w:r>
        <w:rPr>
          <w:spacing w:val="-2"/>
          <w:w w:val="105"/>
        </w:rPr>
        <w:t> </w:t>
      </w:r>
      <w:r>
        <w:rPr>
          <w:w w:val="105"/>
        </w:rPr>
        <w:t>audit</w:t>
      </w:r>
      <w:r>
        <w:rPr>
          <w:spacing w:val="-2"/>
          <w:w w:val="105"/>
        </w:rPr>
        <w:t> </w:t>
      </w:r>
      <w:r>
        <w:rPr>
          <w:w w:val="105"/>
        </w:rPr>
        <w:t>evidence</w:t>
      </w:r>
      <w:r>
        <w:rPr>
          <w:spacing w:val="-2"/>
          <w:w w:val="105"/>
        </w:rPr>
        <w:t> </w:t>
      </w:r>
      <w:r>
        <w:rPr>
          <w:w w:val="105"/>
        </w:rPr>
        <w:t>relating</w:t>
      </w:r>
      <w:r>
        <w:rPr>
          <w:spacing w:val="-2"/>
          <w:w w:val="105"/>
        </w:rPr>
        <w:t> </w:t>
      </w:r>
      <w:r>
        <w:rPr>
          <w:w w:val="105"/>
        </w:rPr>
        <w:t>to</w:t>
      </w:r>
      <w:r>
        <w:rPr>
          <w:spacing w:val="-2"/>
          <w:w w:val="105"/>
        </w:rPr>
        <w:t> </w:t>
      </w:r>
      <w:r>
        <w:rPr>
          <w:w w:val="105"/>
        </w:rPr>
        <w:t>management’s</w:t>
      </w:r>
      <w:r>
        <w:rPr>
          <w:spacing w:val="-2"/>
          <w:w w:val="105"/>
        </w:rPr>
        <w:t> </w:t>
      </w:r>
      <w:r>
        <w:rPr>
          <w:w w:val="105"/>
        </w:rPr>
        <w:t>assumption</w:t>
      </w:r>
      <w:r>
        <w:rPr>
          <w:spacing w:val="-2"/>
          <w:w w:val="105"/>
        </w:rPr>
        <w:t> </w:t>
      </w:r>
      <w:r>
        <w:rPr>
          <w:w w:val="105"/>
        </w:rPr>
        <w:t>that</w:t>
      </w:r>
      <w:r>
        <w:rPr>
          <w:spacing w:val="-2"/>
          <w:w w:val="105"/>
        </w:rPr>
        <w:t> </w:t>
      </w:r>
      <w:r>
        <w:rPr>
          <w:w w:val="105"/>
        </w:rPr>
        <w:t>the Company</w:t>
      </w:r>
      <w:r>
        <w:rPr>
          <w:spacing w:val="-1"/>
          <w:w w:val="105"/>
        </w:rPr>
        <w:t> </w:t>
      </w:r>
      <w:r>
        <w:rPr>
          <w:w w:val="105"/>
        </w:rPr>
        <w:t>will</w:t>
      </w:r>
      <w:r>
        <w:rPr>
          <w:spacing w:val="-1"/>
          <w:w w:val="105"/>
        </w:rPr>
        <w:t> </w:t>
      </w:r>
      <w:r>
        <w:rPr>
          <w:w w:val="105"/>
        </w:rPr>
        <w:t>prevail</w:t>
      </w:r>
      <w:r>
        <w:rPr>
          <w:spacing w:val="-1"/>
          <w:w w:val="105"/>
        </w:rPr>
        <w:t> </w:t>
      </w:r>
      <w:r>
        <w:rPr>
          <w:w w:val="105"/>
        </w:rPr>
        <w:t>in</w:t>
      </w:r>
      <w:r>
        <w:rPr>
          <w:spacing w:val="-1"/>
          <w:w w:val="105"/>
        </w:rPr>
        <w:t> </w:t>
      </w:r>
      <w:r>
        <w:rPr>
          <w:w w:val="105"/>
        </w:rPr>
        <w:t>the</w:t>
      </w:r>
      <w:r>
        <w:rPr>
          <w:spacing w:val="-1"/>
          <w:w w:val="105"/>
        </w:rPr>
        <w:t> </w:t>
      </w:r>
      <w:r>
        <w:rPr>
          <w:w w:val="105"/>
        </w:rPr>
        <w:t>appeal</w:t>
      </w:r>
      <w:r>
        <w:rPr>
          <w:spacing w:val="-1"/>
          <w:w w:val="105"/>
        </w:rPr>
        <w:t> </w:t>
      </w:r>
      <w:r>
        <w:rPr>
          <w:w w:val="105"/>
        </w:rPr>
        <w:t>of</w:t>
      </w:r>
      <w:r>
        <w:rPr>
          <w:spacing w:val="-1"/>
          <w:w w:val="105"/>
        </w:rPr>
        <w:t> </w:t>
      </w:r>
      <w:r>
        <w:rPr>
          <w:w w:val="105"/>
        </w:rPr>
        <w:t>any</w:t>
      </w:r>
      <w:r>
        <w:rPr>
          <w:spacing w:val="-1"/>
          <w:w w:val="105"/>
        </w:rPr>
        <w:t> </w:t>
      </w:r>
      <w:r>
        <w:rPr>
          <w:w w:val="105"/>
        </w:rPr>
        <w:t>tax</w:t>
      </w:r>
      <w:r>
        <w:rPr>
          <w:spacing w:val="-1"/>
          <w:w w:val="105"/>
        </w:rPr>
        <w:t> </w:t>
      </w:r>
      <w:r>
        <w:rPr>
          <w:w w:val="105"/>
        </w:rPr>
        <w:t>assessments; and</w:t>
      </w:r>
      <w:r>
        <w:rPr>
          <w:spacing w:val="-1"/>
          <w:w w:val="105"/>
        </w:rPr>
        <w:t> </w:t>
      </w:r>
      <w:r>
        <w:rPr>
          <w:w w:val="105"/>
        </w:rPr>
        <w:t>(iii)</w:t>
      </w:r>
      <w:r>
        <w:rPr>
          <w:spacing w:val="-1"/>
          <w:w w:val="105"/>
        </w:rPr>
        <w:t> </w:t>
      </w:r>
      <w:r>
        <w:rPr>
          <w:w w:val="105"/>
        </w:rPr>
        <w:t>the</w:t>
      </w:r>
      <w:r>
        <w:rPr>
          <w:spacing w:val="-1"/>
          <w:w w:val="105"/>
        </w:rPr>
        <w:t> </w:t>
      </w:r>
      <w:r>
        <w:rPr>
          <w:w w:val="105"/>
        </w:rPr>
        <w:t>audit</w:t>
      </w:r>
      <w:r>
        <w:rPr>
          <w:spacing w:val="-1"/>
          <w:w w:val="105"/>
        </w:rPr>
        <w:t> </w:t>
      </w:r>
      <w:r>
        <w:rPr>
          <w:w w:val="105"/>
        </w:rPr>
        <w:t>effort</w:t>
      </w:r>
      <w:r>
        <w:rPr>
          <w:spacing w:val="-1"/>
          <w:w w:val="105"/>
        </w:rPr>
        <w:t> </w:t>
      </w:r>
      <w:r>
        <w:rPr>
          <w:w w:val="105"/>
        </w:rPr>
        <w:t>involved</w:t>
      </w:r>
      <w:r>
        <w:rPr>
          <w:spacing w:val="-1"/>
          <w:w w:val="105"/>
        </w:rPr>
        <w:t> </w:t>
      </w:r>
      <w:r>
        <w:rPr>
          <w:w w:val="105"/>
        </w:rPr>
        <w:t>the</w:t>
      </w:r>
      <w:r>
        <w:rPr>
          <w:spacing w:val="-1"/>
          <w:w w:val="105"/>
        </w:rPr>
        <w:t> </w:t>
      </w:r>
      <w:r>
        <w:rPr>
          <w:w w:val="105"/>
        </w:rPr>
        <w:t>use</w:t>
      </w:r>
      <w:r>
        <w:rPr>
          <w:spacing w:val="-1"/>
          <w:w w:val="105"/>
        </w:rPr>
        <w:t> </w:t>
      </w:r>
      <w:r>
        <w:rPr>
          <w:w w:val="105"/>
        </w:rPr>
        <w:t>of</w:t>
      </w:r>
      <w:r>
        <w:rPr>
          <w:spacing w:val="-1"/>
          <w:w w:val="105"/>
        </w:rPr>
        <w:t> </w:t>
      </w:r>
      <w:r>
        <w:rPr>
          <w:w w:val="105"/>
        </w:rPr>
        <w:t>professionals</w:t>
      </w:r>
      <w:r>
        <w:rPr>
          <w:spacing w:val="-1"/>
          <w:w w:val="105"/>
        </w:rPr>
        <w:t> </w:t>
      </w:r>
      <w:r>
        <w:rPr>
          <w:w w:val="105"/>
        </w:rPr>
        <w:t>with</w:t>
      </w:r>
      <w:r>
        <w:rPr>
          <w:spacing w:val="-1"/>
          <w:w w:val="105"/>
        </w:rPr>
        <w:t> </w:t>
      </w:r>
      <w:r>
        <w:rPr>
          <w:w w:val="105"/>
        </w:rPr>
        <w:t>specialized</w:t>
      </w:r>
      <w:r>
        <w:rPr>
          <w:spacing w:val="-1"/>
          <w:w w:val="105"/>
        </w:rPr>
        <w:t> </w:t>
      </w:r>
      <w:r>
        <w:rPr>
          <w:w w:val="105"/>
        </w:rPr>
        <w:t>skill</w:t>
      </w:r>
      <w:r>
        <w:rPr>
          <w:spacing w:val="-1"/>
          <w:w w:val="105"/>
        </w:rPr>
        <w:t> </w:t>
      </w:r>
      <w:r>
        <w:rPr>
          <w:w w:val="105"/>
        </w:rPr>
        <w:t>and</w:t>
      </w:r>
      <w:r>
        <w:rPr>
          <w:spacing w:val="-1"/>
          <w:w w:val="105"/>
        </w:rPr>
        <w:t> </w:t>
      </w:r>
      <w:r>
        <w:rPr>
          <w:w w:val="105"/>
        </w:rPr>
        <w:t>knowledge.</w:t>
      </w:r>
    </w:p>
    <w:p>
      <w:pPr>
        <w:pStyle w:val="BodyText"/>
        <w:spacing w:before="18"/>
      </w:pPr>
    </w:p>
    <w:p>
      <w:pPr>
        <w:pStyle w:val="BodyText"/>
        <w:spacing w:line="266" w:lineRule="auto"/>
        <w:ind w:left="143" w:right="117"/>
      </w:pPr>
      <w:r>
        <w:rPr>
          <w:w w:val="105"/>
        </w:rPr>
        <w:t>Addressing</w:t>
      </w:r>
      <w:r>
        <w:rPr>
          <w:spacing w:val="-2"/>
          <w:w w:val="105"/>
        </w:rPr>
        <w:t> </w:t>
      </w:r>
      <w:r>
        <w:rPr>
          <w:w w:val="105"/>
        </w:rPr>
        <w:t>the</w:t>
      </w:r>
      <w:r>
        <w:rPr>
          <w:spacing w:val="-2"/>
          <w:w w:val="105"/>
        </w:rPr>
        <w:t> </w:t>
      </w:r>
      <w:r>
        <w:rPr>
          <w:w w:val="105"/>
        </w:rPr>
        <w:t>matter</w:t>
      </w:r>
      <w:r>
        <w:rPr>
          <w:spacing w:val="-2"/>
          <w:w w:val="105"/>
        </w:rPr>
        <w:t> </w:t>
      </w:r>
      <w:r>
        <w:rPr>
          <w:w w:val="105"/>
        </w:rPr>
        <w:t>involved</w:t>
      </w:r>
      <w:r>
        <w:rPr>
          <w:spacing w:val="-2"/>
          <w:w w:val="105"/>
        </w:rPr>
        <w:t> </w:t>
      </w:r>
      <w:r>
        <w:rPr>
          <w:w w:val="105"/>
        </w:rPr>
        <w:t>performing</w:t>
      </w:r>
      <w:r>
        <w:rPr>
          <w:spacing w:val="-2"/>
          <w:w w:val="105"/>
        </w:rPr>
        <w:t> </w:t>
      </w:r>
      <w:r>
        <w:rPr>
          <w:w w:val="105"/>
        </w:rPr>
        <w:t>procedures</w:t>
      </w:r>
      <w:r>
        <w:rPr>
          <w:spacing w:val="-2"/>
          <w:w w:val="105"/>
        </w:rPr>
        <w:t> </w:t>
      </w:r>
      <w:r>
        <w:rPr>
          <w:w w:val="105"/>
        </w:rPr>
        <w:t>and evaluating</w:t>
      </w:r>
      <w:r>
        <w:rPr>
          <w:spacing w:val="-2"/>
          <w:w w:val="105"/>
        </w:rPr>
        <w:t> </w:t>
      </w:r>
      <w:r>
        <w:rPr>
          <w:w w:val="105"/>
        </w:rPr>
        <w:t>audit</w:t>
      </w:r>
      <w:r>
        <w:rPr>
          <w:spacing w:val="-2"/>
          <w:w w:val="105"/>
        </w:rPr>
        <w:t> </w:t>
      </w:r>
      <w:r>
        <w:rPr>
          <w:w w:val="105"/>
        </w:rPr>
        <w:t>evidence</w:t>
      </w:r>
      <w:r>
        <w:rPr>
          <w:spacing w:val="-2"/>
          <w:w w:val="105"/>
        </w:rPr>
        <w:t> </w:t>
      </w:r>
      <w:r>
        <w:rPr>
          <w:w w:val="105"/>
        </w:rPr>
        <w:t>in</w:t>
      </w:r>
      <w:r>
        <w:rPr>
          <w:spacing w:val="-2"/>
          <w:w w:val="105"/>
        </w:rPr>
        <w:t> </w:t>
      </w:r>
      <w:r>
        <w:rPr>
          <w:w w:val="105"/>
        </w:rPr>
        <w:t>connection</w:t>
      </w:r>
      <w:r>
        <w:rPr>
          <w:spacing w:val="-2"/>
          <w:w w:val="105"/>
        </w:rPr>
        <w:t> </w:t>
      </w:r>
      <w:r>
        <w:rPr>
          <w:w w:val="105"/>
        </w:rPr>
        <w:t>with</w:t>
      </w:r>
      <w:r>
        <w:rPr>
          <w:spacing w:val="-2"/>
          <w:w w:val="105"/>
        </w:rPr>
        <w:t> </w:t>
      </w:r>
      <w:r>
        <w:rPr>
          <w:w w:val="105"/>
        </w:rPr>
        <w:t>forming</w:t>
      </w:r>
      <w:r>
        <w:rPr>
          <w:spacing w:val="-2"/>
          <w:w w:val="105"/>
        </w:rPr>
        <w:t> </w:t>
      </w:r>
      <w:r>
        <w:rPr>
          <w:w w:val="105"/>
        </w:rPr>
        <w:t>our</w:t>
      </w:r>
      <w:r>
        <w:rPr>
          <w:spacing w:val="-2"/>
          <w:w w:val="105"/>
        </w:rPr>
        <w:t> </w:t>
      </w:r>
      <w:r>
        <w:rPr>
          <w:w w:val="105"/>
        </w:rPr>
        <w:t>overall</w:t>
      </w:r>
      <w:r>
        <w:rPr>
          <w:spacing w:val="-2"/>
          <w:w w:val="105"/>
        </w:rPr>
        <w:t> </w:t>
      </w:r>
      <w:r>
        <w:rPr>
          <w:w w:val="105"/>
        </w:rPr>
        <w:t>opinion</w:t>
      </w:r>
      <w:r>
        <w:rPr>
          <w:spacing w:val="-2"/>
          <w:w w:val="105"/>
        </w:rPr>
        <w:t> </w:t>
      </w:r>
      <w:r>
        <w:rPr>
          <w:w w:val="105"/>
        </w:rPr>
        <w:t>on</w:t>
      </w:r>
      <w:r>
        <w:rPr>
          <w:spacing w:val="-2"/>
          <w:w w:val="105"/>
        </w:rPr>
        <w:t> </w:t>
      </w:r>
      <w:r>
        <w:rPr>
          <w:w w:val="105"/>
        </w:rPr>
        <w:t>the</w:t>
      </w:r>
      <w:r>
        <w:rPr>
          <w:spacing w:val="-2"/>
          <w:w w:val="105"/>
        </w:rPr>
        <w:t> </w:t>
      </w:r>
      <w:r>
        <w:rPr>
          <w:w w:val="105"/>
        </w:rPr>
        <w:t>consolidated</w:t>
      </w:r>
      <w:r>
        <w:rPr>
          <w:spacing w:val="-2"/>
          <w:w w:val="105"/>
        </w:rPr>
        <w:t> </w:t>
      </w:r>
      <w:r>
        <w:rPr>
          <w:w w:val="105"/>
        </w:rPr>
        <w:t>financial statements.</w:t>
      </w:r>
      <w:r>
        <w:rPr>
          <w:spacing w:val="-10"/>
          <w:w w:val="105"/>
        </w:rPr>
        <w:t> </w:t>
      </w:r>
      <w:r>
        <w:rPr>
          <w:w w:val="105"/>
        </w:rPr>
        <w:t>These</w:t>
      </w:r>
      <w:r>
        <w:rPr>
          <w:spacing w:val="-10"/>
          <w:w w:val="105"/>
        </w:rPr>
        <w:t> </w:t>
      </w:r>
      <w:r>
        <w:rPr>
          <w:w w:val="105"/>
        </w:rPr>
        <w:t>procedures</w:t>
      </w:r>
      <w:r>
        <w:rPr>
          <w:spacing w:val="-10"/>
          <w:w w:val="105"/>
        </w:rPr>
        <w:t> </w:t>
      </w:r>
      <w:r>
        <w:rPr>
          <w:w w:val="105"/>
        </w:rPr>
        <w:t>included</w:t>
      </w:r>
      <w:r>
        <w:rPr>
          <w:spacing w:val="-10"/>
          <w:w w:val="105"/>
        </w:rPr>
        <w:t> </w:t>
      </w:r>
      <w:r>
        <w:rPr>
          <w:w w:val="105"/>
        </w:rPr>
        <w:t>testing</w:t>
      </w:r>
      <w:r>
        <w:rPr>
          <w:spacing w:val="-10"/>
          <w:w w:val="105"/>
        </w:rPr>
        <w:t> </w:t>
      </w:r>
      <w:r>
        <w:rPr>
          <w:w w:val="105"/>
        </w:rPr>
        <w:t>the</w:t>
      </w:r>
      <w:r>
        <w:rPr>
          <w:spacing w:val="-10"/>
          <w:w w:val="105"/>
        </w:rPr>
        <w:t> </w:t>
      </w:r>
      <w:r>
        <w:rPr>
          <w:w w:val="105"/>
        </w:rPr>
        <w:t>effectiveness</w:t>
      </w:r>
      <w:r>
        <w:rPr>
          <w:spacing w:val="-10"/>
          <w:w w:val="105"/>
        </w:rPr>
        <w:t> </w:t>
      </w:r>
      <w:r>
        <w:rPr>
          <w:w w:val="105"/>
        </w:rPr>
        <w:t>of</w:t>
      </w:r>
      <w:r>
        <w:rPr>
          <w:spacing w:val="-10"/>
          <w:w w:val="105"/>
        </w:rPr>
        <w:t> </w:t>
      </w:r>
      <w:r>
        <w:rPr>
          <w:w w:val="105"/>
        </w:rPr>
        <w:t>controls</w:t>
      </w:r>
      <w:r>
        <w:rPr>
          <w:spacing w:val="-8"/>
          <w:w w:val="105"/>
        </w:rPr>
        <w:t> </w:t>
      </w:r>
      <w:r>
        <w:rPr>
          <w:w w:val="105"/>
        </w:rPr>
        <w:t>relating</w:t>
      </w:r>
      <w:r>
        <w:rPr>
          <w:spacing w:val="-10"/>
          <w:w w:val="105"/>
        </w:rPr>
        <w:t> </w:t>
      </w:r>
      <w:r>
        <w:rPr>
          <w:w w:val="105"/>
        </w:rPr>
        <w:t>to</w:t>
      </w:r>
      <w:r>
        <w:rPr>
          <w:spacing w:val="-10"/>
          <w:w w:val="105"/>
        </w:rPr>
        <w:t> </w:t>
      </w:r>
      <w:r>
        <w:rPr>
          <w:w w:val="105"/>
        </w:rPr>
        <w:t>uncertain</w:t>
      </w:r>
      <w:r>
        <w:rPr>
          <w:spacing w:val="-8"/>
          <w:w w:val="105"/>
        </w:rPr>
        <w:t> </w:t>
      </w:r>
      <w:r>
        <w:rPr>
          <w:w w:val="105"/>
        </w:rPr>
        <w:t>tax</w:t>
      </w:r>
      <w:r>
        <w:rPr>
          <w:spacing w:val="-10"/>
          <w:w w:val="105"/>
        </w:rPr>
        <w:t> </w:t>
      </w:r>
      <w:r>
        <w:rPr>
          <w:w w:val="105"/>
        </w:rPr>
        <w:t>positions,</w:t>
      </w:r>
      <w:r>
        <w:rPr>
          <w:spacing w:val="-10"/>
          <w:w w:val="105"/>
        </w:rPr>
        <w:t> </w:t>
      </w:r>
      <w:r>
        <w:rPr>
          <w:w w:val="105"/>
        </w:rPr>
        <w:t>including</w:t>
      </w:r>
      <w:r>
        <w:rPr>
          <w:spacing w:val="-10"/>
          <w:w w:val="105"/>
        </w:rPr>
        <w:t> </w:t>
      </w:r>
      <w:r>
        <w:rPr>
          <w:w w:val="105"/>
        </w:rPr>
        <w:t>management’s</w:t>
      </w:r>
      <w:r>
        <w:rPr>
          <w:spacing w:val="-10"/>
          <w:w w:val="105"/>
        </w:rPr>
        <w:t> </w:t>
      </w:r>
      <w:r>
        <w:rPr>
          <w:w w:val="105"/>
        </w:rPr>
        <w:t>assessment</w:t>
      </w:r>
      <w:r>
        <w:rPr>
          <w:spacing w:val="-10"/>
          <w:w w:val="105"/>
        </w:rPr>
        <w:t> </w:t>
      </w:r>
      <w:r>
        <w:rPr>
          <w:w w:val="105"/>
        </w:rPr>
        <w:t>of</w:t>
      </w:r>
      <w:r>
        <w:rPr>
          <w:spacing w:val="-10"/>
          <w:w w:val="105"/>
        </w:rPr>
        <w:t> </w:t>
      </w:r>
      <w:r>
        <w:rPr>
          <w:w w:val="105"/>
        </w:rPr>
        <w:t>the</w:t>
      </w:r>
      <w:r>
        <w:rPr>
          <w:spacing w:val="-10"/>
          <w:w w:val="105"/>
        </w:rPr>
        <w:t> </w:t>
      </w:r>
      <w:r>
        <w:rPr>
          <w:w w:val="105"/>
        </w:rPr>
        <w:t>South</w:t>
      </w:r>
      <w:r>
        <w:rPr>
          <w:spacing w:val="-10"/>
          <w:w w:val="105"/>
        </w:rPr>
        <w:t> </w:t>
      </w:r>
      <w:r>
        <w:rPr>
          <w:w w:val="105"/>
        </w:rPr>
        <w:t>Korean</w:t>
      </w:r>
      <w:r>
        <w:rPr>
          <w:spacing w:val="-10"/>
          <w:w w:val="105"/>
        </w:rPr>
        <w:t> </w:t>
      </w:r>
      <w:r>
        <w:rPr>
          <w:w w:val="105"/>
        </w:rPr>
        <w:t>tax disputes.</w:t>
      </w:r>
      <w:r>
        <w:rPr>
          <w:spacing w:val="-5"/>
          <w:w w:val="105"/>
        </w:rPr>
        <w:t> </w:t>
      </w:r>
      <w:r>
        <w:rPr>
          <w:w w:val="105"/>
        </w:rPr>
        <w:t>These</w:t>
      </w:r>
      <w:r>
        <w:rPr>
          <w:spacing w:val="-5"/>
          <w:w w:val="105"/>
        </w:rPr>
        <w:t> </w:t>
      </w:r>
      <w:r>
        <w:rPr>
          <w:w w:val="105"/>
        </w:rPr>
        <w:t>procedures</w:t>
      </w:r>
      <w:r>
        <w:rPr>
          <w:spacing w:val="-5"/>
          <w:w w:val="105"/>
        </w:rPr>
        <w:t> </w:t>
      </w:r>
      <w:r>
        <w:rPr>
          <w:w w:val="105"/>
        </w:rPr>
        <w:t>also</w:t>
      </w:r>
      <w:r>
        <w:rPr>
          <w:spacing w:val="-3"/>
          <w:w w:val="105"/>
        </w:rPr>
        <w:t> </w:t>
      </w:r>
      <w:r>
        <w:rPr>
          <w:w w:val="105"/>
        </w:rPr>
        <w:t>included,</w:t>
      </w:r>
      <w:r>
        <w:rPr>
          <w:spacing w:val="-5"/>
          <w:w w:val="105"/>
        </w:rPr>
        <w:t> </w:t>
      </w:r>
      <w:r>
        <w:rPr>
          <w:w w:val="105"/>
        </w:rPr>
        <w:t>among</w:t>
      </w:r>
      <w:r>
        <w:rPr>
          <w:spacing w:val="-5"/>
          <w:w w:val="105"/>
        </w:rPr>
        <w:t> </w:t>
      </w:r>
      <w:r>
        <w:rPr>
          <w:w w:val="105"/>
        </w:rPr>
        <w:t>others,</w:t>
      </w:r>
      <w:r>
        <w:rPr>
          <w:spacing w:val="-5"/>
          <w:w w:val="105"/>
        </w:rPr>
        <w:t> </w:t>
      </w:r>
      <w:r>
        <w:rPr>
          <w:w w:val="105"/>
        </w:rPr>
        <w:t>obtaining</w:t>
      </w:r>
      <w:r>
        <w:rPr>
          <w:spacing w:val="-3"/>
          <w:w w:val="105"/>
        </w:rPr>
        <w:t> </w:t>
      </w:r>
      <w:r>
        <w:rPr>
          <w:w w:val="105"/>
        </w:rPr>
        <w:t>management’s</w:t>
      </w:r>
      <w:r>
        <w:rPr>
          <w:spacing w:val="-5"/>
          <w:w w:val="105"/>
        </w:rPr>
        <w:t> </w:t>
      </w:r>
      <w:r>
        <w:rPr>
          <w:w w:val="105"/>
        </w:rPr>
        <w:t>assessment</w:t>
      </w:r>
      <w:r>
        <w:rPr>
          <w:spacing w:val="-3"/>
          <w:w w:val="105"/>
        </w:rPr>
        <w:t> </w:t>
      </w:r>
      <w:r>
        <w:rPr>
          <w:w w:val="105"/>
        </w:rPr>
        <w:t>and</w:t>
      </w:r>
      <w:r>
        <w:rPr>
          <w:spacing w:val="-5"/>
          <w:w w:val="105"/>
        </w:rPr>
        <w:t> </w:t>
      </w:r>
      <w:r>
        <w:rPr>
          <w:w w:val="105"/>
        </w:rPr>
        <w:t>evidence</w:t>
      </w:r>
      <w:r>
        <w:rPr>
          <w:spacing w:val="-5"/>
          <w:w w:val="105"/>
        </w:rPr>
        <w:t> </w:t>
      </w:r>
      <w:r>
        <w:rPr>
          <w:w w:val="105"/>
        </w:rPr>
        <w:t>supporting</w:t>
      </w:r>
      <w:r>
        <w:rPr>
          <w:spacing w:val="-5"/>
          <w:w w:val="105"/>
        </w:rPr>
        <w:t> </w:t>
      </w:r>
      <w:r>
        <w:rPr>
          <w:w w:val="105"/>
        </w:rPr>
        <w:t>the</w:t>
      </w:r>
      <w:r>
        <w:rPr>
          <w:spacing w:val="-5"/>
          <w:w w:val="105"/>
        </w:rPr>
        <w:t> </w:t>
      </w:r>
      <w:r>
        <w:rPr>
          <w:w w:val="105"/>
        </w:rPr>
        <w:t>more-likely-than-not</w:t>
      </w:r>
      <w:r>
        <w:rPr>
          <w:spacing w:val="-5"/>
          <w:w w:val="105"/>
        </w:rPr>
        <w:t> </w:t>
      </w:r>
      <w:r>
        <w:rPr>
          <w:w w:val="105"/>
        </w:rPr>
        <w:t>tax</w:t>
      </w:r>
      <w:r>
        <w:rPr>
          <w:spacing w:val="-5"/>
          <w:w w:val="105"/>
        </w:rPr>
        <w:t> </w:t>
      </w:r>
      <w:r>
        <w:rPr>
          <w:w w:val="105"/>
        </w:rPr>
        <w:t>position</w:t>
      </w:r>
      <w:r>
        <w:rPr>
          <w:spacing w:val="-5"/>
          <w:w w:val="105"/>
        </w:rPr>
        <w:t> </w:t>
      </w:r>
      <w:r>
        <w:rPr>
          <w:w w:val="105"/>
        </w:rPr>
        <w:t>on</w:t>
      </w:r>
      <w:r>
        <w:rPr>
          <w:spacing w:val="-5"/>
          <w:w w:val="105"/>
        </w:rPr>
        <w:t> </w:t>
      </w:r>
      <w:r>
        <w:rPr>
          <w:w w:val="105"/>
        </w:rPr>
        <w:t>the</w:t>
      </w:r>
      <w:r>
        <w:rPr>
          <w:spacing w:val="-5"/>
          <w:w w:val="105"/>
        </w:rPr>
        <w:t> </w:t>
      </w:r>
      <w:r>
        <w:rPr>
          <w:w w:val="105"/>
        </w:rPr>
        <w:t>South Korean</w:t>
      </w:r>
      <w:r>
        <w:rPr>
          <w:spacing w:val="-2"/>
          <w:w w:val="105"/>
        </w:rPr>
        <w:t> </w:t>
      </w:r>
      <w:r>
        <w:rPr>
          <w:w w:val="105"/>
        </w:rPr>
        <w:t>tax</w:t>
      </w:r>
      <w:r>
        <w:rPr>
          <w:spacing w:val="-2"/>
          <w:w w:val="105"/>
        </w:rPr>
        <w:t> </w:t>
      </w:r>
      <w:r>
        <w:rPr>
          <w:w w:val="105"/>
        </w:rPr>
        <w:t>disputes</w:t>
      </w:r>
      <w:r>
        <w:rPr>
          <w:spacing w:val="-2"/>
          <w:w w:val="105"/>
        </w:rPr>
        <w:t> </w:t>
      </w:r>
      <w:r>
        <w:rPr>
          <w:w w:val="105"/>
        </w:rPr>
        <w:t>and</w:t>
      </w:r>
      <w:r>
        <w:rPr>
          <w:spacing w:val="-2"/>
          <w:w w:val="105"/>
        </w:rPr>
        <w:t> </w:t>
      </w:r>
      <w:r>
        <w:rPr>
          <w:w w:val="105"/>
        </w:rPr>
        <w:t>evaluating</w:t>
      </w:r>
      <w:r>
        <w:rPr>
          <w:spacing w:val="-2"/>
          <w:w w:val="105"/>
        </w:rPr>
        <w:t> </w:t>
      </w:r>
      <w:r>
        <w:rPr>
          <w:w w:val="105"/>
        </w:rPr>
        <w:t>the</w:t>
      </w:r>
      <w:r>
        <w:rPr>
          <w:spacing w:val="-2"/>
          <w:w w:val="105"/>
        </w:rPr>
        <w:t> </w:t>
      </w:r>
      <w:r>
        <w:rPr>
          <w:w w:val="105"/>
        </w:rPr>
        <w:t>reasonableness</w:t>
      </w:r>
      <w:r>
        <w:rPr>
          <w:spacing w:val="-2"/>
          <w:w w:val="105"/>
        </w:rPr>
        <w:t> </w:t>
      </w:r>
      <w:r>
        <w:rPr>
          <w:w w:val="105"/>
        </w:rPr>
        <w:t>of</w:t>
      </w:r>
      <w:r>
        <w:rPr>
          <w:spacing w:val="-2"/>
          <w:w w:val="105"/>
        </w:rPr>
        <w:t> </w:t>
      </w:r>
      <w:r>
        <w:rPr>
          <w:w w:val="105"/>
        </w:rPr>
        <w:t>the</w:t>
      </w:r>
      <w:r>
        <w:rPr>
          <w:spacing w:val="-2"/>
          <w:w w:val="105"/>
        </w:rPr>
        <w:t> </w:t>
      </w:r>
      <w:r>
        <w:rPr>
          <w:w w:val="105"/>
        </w:rPr>
        <w:t>likelihood</w:t>
      </w:r>
      <w:r>
        <w:rPr>
          <w:spacing w:val="-2"/>
          <w:w w:val="105"/>
        </w:rPr>
        <w:t> </w:t>
      </w:r>
      <w:r>
        <w:rPr>
          <w:w w:val="105"/>
        </w:rPr>
        <w:t>that</w:t>
      </w:r>
      <w:r>
        <w:rPr>
          <w:spacing w:val="-2"/>
          <w:w w:val="105"/>
        </w:rPr>
        <w:t> </w:t>
      </w:r>
      <w:r>
        <w:rPr>
          <w:w w:val="105"/>
        </w:rPr>
        <w:t>the</w:t>
      </w:r>
      <w:r>
        <w:rPr>
          <w:spacing w:val="-2"/>
          <w:w w:val="105"/>
        </w:rPr>
        <w:t> </w:t>
      </w:r>
      <w:r>
        <w:rPr>
          <w:w w:val="105"/>
        </w:rPr>
        <w:t>tax</w:t>
      </w:r>
      <w:r>
        <w:rPr>
          <w:spacing w:val="-2"/>
          <w:w w:val="105"/>
        </w:rPr>
        <w:t> </w:t>
      </w:r>
      <w:r>
        <w:rPr>
          <w:w w:val="105"/>
        </w:rPr>
        <w:t>positions</w:t>
      </w:r>
      <w:r>
        <w:rPr>
          <w:spacing w:val="-2"/>
          <w:w w:val="105"/>
        </w:rPr>
        <w:t> </w:t>
      </w:r>
      <w:r>
        <w:rPr>
          <w:w w:val="105"/>
        </w:rPr>
        <w:t>will</w:t>
      </w:r>
      <w:r>
        <w:rPr>
          <w:spacing w:val="-2"/>
          <w:w w:val="105"/>
        </w:rPr>
        <w:t> </w:t>
      </w:r>
      <w:r>
        <w:rPr>
          <w:w w:val="105"/>
        </w:rPr>
        <w:t>ultimately</w:t>
      </w:r>
      <w:r>
        <w:rPr>
          <w:spacing w:val="-2"/>
          <w:w w:val="105"/>
        </w:rPr>
        <w:t> </w:t>
      </w:r>
      <w:r>
        <w:rPr>
          <w:w w:val="105"/>
        </w:rPr>
        <w:t>be</w:t>
      </w:r>
      <w:r>
        <w:rPr>
          <w:spacing w:val="-2"/>
          <w:w w:val="105"/>
        </w:rPr>
        <w:t> </w:t>
      </w:r>
      <w:r>
        <w:rPr>
          <w:w w:val="105"/>
        </w:rPr>
        <w:t>sustained</w:t>
      </w:r>
      <w:r>
        <w:rPr>
          <w:spacing w:val="-2"/>
          <w:w w:val="105"/>
        </w:rPr>
        <w:t> </w:t>
      </w:r>
      <w:r>
        <w:rPr>
          <w:w w:val="105"/>
        </w:rPr>
        <w:t>upon</w:t>
      </w:r>
      <w:r>
        <w:rPr>
          <w:spacing w:val="-2"/>
          <w:w w:val="105"/>
        </w:rPr>
        <w:t> </w:t>
      </w:r>
      <w:r>
        <w:rPr>
          <w:w w:val="105"/>
        </w:rPr>
        <w:t>examination</w:t>
      </w:r>
      <w:r>
        <w:rPr>
          <w:spacing w:val="-2"/>
          <w:w w:val="105"/>
        </w:rPr>
        <w:t> </w:t>
      </w:r>
      <w:r>
        <w:rPr>
          <w:w w:val="105"/>
        </w:rPr>
        <w:t>by</w:t>
      </w:r>
      <w:r>
        <w:rPr>
          <w:spacing w:val="-2"/>
          <w:w w:val="105"/>
        </w:rPr>
        <w:t> </w:t>
      </w:r>
      <w:r>
        <w:rPr>
          <w:w w:val="105"/>
        </w:rPr>
        <w:t>the</w:t>
      </w:r>
      <w:r>
        <w:rPr>
          <w:spacing w:val="-2"/>
          <w:w w:val="105"/>
        </w:rPr>
        <w:t> </w:t>
      </w:r>
      <w:r>
        <w:rPr>
          <w:w w:val="105"/>
        </w:rPr>
        <w:t>South</w:t>
      </w:r>
      <w:r>
        <w:rPr>
          <w:spacing w:val="-2"/>
          <w:w w:val="105"/>
        </w:rPr>
        <w:t> </w:t>
      </w:r>
      <w:r>
        <w:rPr>
          <w:w w:val="105"/>
        </w:rPr>
        <w:t>Korean</w:t>
      </w:r>
      <w:r>
        <w:rPr>
          <w:spacing w:val="-2"/>
          <w:w w:val="105"/>
        </w:rPr>
        <w:t> </w:t>
      </w:r>
      <w:r>
        <w:rPr>
          <w:w w:val="105"/>
        </w:rPr>
        <w:t>tax authorities</w:t>
      </w:r>
      <w:r>
        <w:rPr>
          <w:spacing w:val="-6"/>
          <w:w w:val="105"/>
        </w:rPr>
        <w:t> </w:t>
      </w:r>
      <w:r>
        <w:rPr>
          <w:w w:val="105"/>
        </w:rPr>
        <w:t>and</w:t>
      </w:r>
      <w:r>
        <w:rPr>
          <w:spacing w:val="-6"/>
          <w:w w:val="105"/>
        </w:rPr>
        <w:t> </w:t>
      </w:r>
      <w:r>
        <w:rPr>
          <w:w w:val="105"/>
        </w:rPr>
        <w:t>through</w:t>
      </w:r>
      <w:r>
        <w:rPr>
          <w:spacing w:val="-6"/>
          <w:w w:val="105"/>
        </w:rPr>
        <w:t> </w:t>
      </w:r>
      <w:r>
        <w:rPr>
          <w:w w:val="105"/>
        </w:rPr>
        <w:t>the</w:t>
      </w:r>
      <w:r>
        <w:rPr>
          <w:spacing w:val="-4"/>
          <w:w w:val="105"/>
        </w:rPr>
        <w:t> </w:t>
      </w:r>
      <w:r>
        <w:rPr>
          <w:w w:val="105"/>
        </w:rPr>
        <w:t>appeal</w:t>
      </w:r>
      <w:r>
        <w:rPr>
          <w:spacing w:val="-6"/>
          <w:w w:val="105"/>
        </w:rPr>
        <w:t> </w:t>
      </w:r>
      <w:r>
        <w:rPr>
          <w:w w:val="105"/>
        </w:rPr>
        <w:t>process.</w:t>
      </w:r>
      <w:r>
        <w:rPr>
          <w:spacing w:val="-6"/>
          <w:w w:val="105"/>
        </w:rPr>
        <w:t> </w:t>
      </w:r>
      <w:r>
        <w:rPr>
          <w:w w:val="105"/>
        </w:rPr>
        <w:t>Professionals</w:t>
      </w:r>
      <w:r>
        <w:rPr>
          <w:spacing w:val="-6"/>
          <w:w w:val="105"/>
        </w:rPr>
        <w:t> </w:t>
      </w:r>
      <w:r>
        <w:rPr>
          <w:w w:val="105"/>
        </w:rPr>
        <w:t>with</w:t>
      </w:r>
      <w:r>
        <w:rPr>
          <w:spacing w:val="-6"/>
          <w:w w:val="105"/>
        </w:rPr>
        <w:t> </w:t>
      </w:r>
      <w:r>
        <w:rPr>
          <w:w w:val="105"/>
        </w:rPr>
        <w:t>specialized</w:t>
      </w:r>
      <w:r>
        <w:rPr>
          <w:spacing w:val="-6"/>
          <w:w w:val="105"/>
        </w:rPr>
        <w:t> </w:t>
      </w:r>
      <w:r>
        <w:rPr>
          <w:w w:val="105"/>
        </w:rPr>
        <w:t>skill</w:t>
      </w:r>
      <w:r>
        <w:rPr>
          <w:spacing w:val="-6"/>
          <w:w w:val="105"/>
        </w:rPr>
        <w:t> </w:t>
      </w:r>
      <w:r>
        <w:rPr>
          <w:w w:val="105"/>
        </w:rPr>
        <w:t>and</w:t>
      </w:r>
      <w:r>
        <w:rPr>
          <w:spacing w:val="-6"/>
          <w:w w:val="105"/>
        </w:rPr>
        <w:t> </w:t>
      </w:r>
      <w:r>
        <w:rPr>
          <w:w w:val="105"/>
        </w:rPr>
        <w:t>knowledge</w:t>
      </w:r>
      <w:r>
        <w:rPr>
          <w:spacing w:val="-6"/>
          <w:w w:val="105"/>
        </w:rPr>
        <w:t> </w:t>
      </w:r>
      <w:r>
        <w:rPr>
          <w:w w:val="105"/>
        </w:rPr>
        <w:t>were</w:t>
      </w:r>
      <w:r>
        <w:rPr>
          <w:spacing w:val="-6"/>
          <w:w w:val="105"/>
        </w:rPr>
        <w:t> </w:t>
      </w:r>
      <w:r>
        <w:rPr>
          <w:w w:val="105"/>
        </w:rPr>
        <w:t>used</w:t>
      </w:r>
      <w:r>
        <w:rPr>
          <w:spacing w:val="-6"/>
          <w:w w:val="105"/>
        </w:rPr>
        <w:t> </w:t>
      </w:r>
      <w:r>
        <w:rPr>
          <w:w w:val="105"/>
        </w:rPr>
        <w:t>to</w:t>
      </w:r>
      <w:r>
        <w:rPr>
          <w:spacing w:val="-6"/>
          <w:w w:val="105"/>
        </w:rPr>
        <w:t> </w:t>
      </w:r>
      <w:r>
        <w:rPr>
          <w:w w:val="105"/>
        </w:rPr>
        <w:t>assist</w:t>
      </w:r>
      <w:r>
        <w:rPr>
          <w:spacing w:val="-6"/>
          <w:w w:val="105"/>
        </w:rPr>
        <w:t> </w:t>
      </w:r>
      <w:r>
        <w:rPr>
          <w:w w:val="105"/>
        </w:rPr>
        <w:t>in</w:t>
      </w:r>
      <w:r>
        <w:rPr>
          <w:spacing w:val="-6"/>
          <w:w w:val="105"/>
        </w:rPr>
        <w:t> </w:t>
      </w:r>
      <w:r>
        <w:rPr>
          <w:w w:val="105"/>
        </w:rPr>
        <w:t>evaluating</w:t>
      </w:r>
      <w:r>
        <w:rPr>
          <w:spacing w:val="-6"/>
          <w:w w:val="105"/>
        </w:rPr>
        <w:t> </w:t>
      </w:r>
      <w:r>
        <w:rPr>
          <w:w w:val="105"/>
        </w:rPr>
        <w:t>management’s</w:t>
      </w:r>
      <w:r>
        <w:rPr>
          <w:spacing w:val="-6"/>
          <w:w w:val="105"/>
        </w:rPr>
        <w:t> </w:t>
      </w:r>
      <w:r>
        <w:rPr>
          <w:w w:val="105"/>
        </w:rPr>
        <w:t>assessment</w:t>
      </w:r>
      <w:r>
        <w:rPr>
          <w:spacing w:val="-6"/>
          <w:w w:val="105"/>
        </w:rPr>
        <w:t> </w:t>
      </w:r>
      <w:r>
        <w:rPr>
          <w:w w:val="105"/>
        </w:rPr>
        <w:t>and</w:t>
      </w:r>
      <w:r>
        <w:rPr>
          <w:spacing w:val="-6"/>
          <w:w w:val="105"/>
        </w:rPr>
        <w:t> </w:t>
      </w:r>
      <w:r>
        <w:rPr>
          <w:w w:val="105"/>
        </w:rPr>
        <w:t>supporting evidence related to the application of the tax law.</w:t>
      </w:r>
    </w:p>
    <w:p>
      <w:pPr>
        <w:pStyle w:val="BodyText"/>
        <w:spacing w:before="18"/>
      </w:pPr>
    </w:p>
    <w:p>
      <w:pPr>
        <w:pStyle w:val="BodyText"/>
        <w:spacing w:line="266" w:lineRule="auto"/>
        <w:ind w:left="156" w:right="9392"/>
      </w:pPr>
      <w:r>
        <w:rPr>
          <w:spacing w:val="-2"/>
          <w:w w:val="105"/>
        </w:rPr>
        <w:t>/s/</w:t>
      </w:r>
      <w:r>
        <w:rPr>
          <w:spacing w:val="-7"/>
          <w:w w:val="105"/>
        </w:rPr>
        <w:t> </w:t>
      </w:r>
      <w:r>
        <w:rPr>
          <w:spacing w:val="-2"/>
          <w:w w:val="105"/>
        </w:rPr>
        <w:t>PricewaterhouseCoopers</w:t>
      </w:r>
      <w:r>
        <w:rPr>
          <w:spacing w:val="-7"/>
          <w:w w:val="105"/>
        </w:rPr>
        <w:t> </w:t>
      </w:r>
      <w:r>
        <w:rPr>
          <w:spacing w:val="-2"/>
          <w:w w:val="105"/>
        </w:rPr>
        <w:t>LLP</w:t>
      </w:r>
      <w:r>
        <w:rPr>
          <w:w w:val="105"/>
        </w:rPr>
        <w:t> New York, New York</w:t>
      </w:r>
    </w:p>
    <w:p>
      <w:pPr>
        <w:pStyle w:val="BodyText"/>
        <w:spacing w:line="183" w:lineRule="exact"/>
        <w:ind w:left="156"/>
      </w:pPr>
      <w:r>
        <w:rPr>
          <w:w w:val="105"/>
        </w:rPr>
        <w:t>February</w:t>
      </w:r>
      <w:r>
        <w:rPr>
          <w:spacing w:val="-9"/>
          <w:w w:val="105"/>
        </w:rPr>
        <w:t> </w:t>
      </w:r>
      <w:r>
        <w:rPr>
          <w:w w:val="105"/>
        </w:rPr>
        <w:t>14,</w:t>
      </w:r>
      <w:r>
        <w:rPr>
          <w:spacing w:val="-9"/>
          <w:w w:val="105"/>
        </w:rPr>
        <w:t> </w:t>
      </w:r>
      <w:r>
        <w:rPr>
          <w:spacing w:val="-4"/>
          <w:w w:val="105"/>
        </w:rPr>
        <w:t>2022</w:t>
      </w:r>
    </w:p>
    <w:p>
      <w:pPr>
        <w:pStyle w:val="BodyText"/>
        <w:spacing w:before="39"/>
      </w:pPr>
    </w:p>
    <w:p>
      <w:pPr>
        <w:pStyle w:val="BodyText"/>
        <w:ind w:left="156"/>
      </w:pPr>
      <w:r>
        <w:rPr>
          <w:w w:val="105"/>
        </w:rPr>
        <w:t>We</w:t>
      </w:r>
      <w:r>
        <w:rPr>
          <w:spacing w:val="-10"/>
          <w:w w:val="105"/>
        </w:rPr>
        <w:t> </w:t>
      </w:r>
      <w:r>
        <w:rPr>
          <w:w w:val="105"/>
        </w:rPr>
        <w:t>have</w:t>
      </w:r>
      <w:r>
        <w:rPr>
          <w:spacing w:val="-9"/>
          <w:w w:val="105"/>
        </w:rPr>
        <w:t> </w:t>
      </w:r>
      <w:r>
        <w:rPr>
          <w:w w:val="105"/>
        </w:rPr>
        <w:t>served</w:t>
      </w:r>
      <w:r>
        <w:rPr>
          <w:spacing w:val="-9"/>
          <w:w w:val="105"/>
        </w:rPr>
        <w:t> </w:t>
      </w:r>
      <w:r>
        <w:rPr>
          <w:w w:val="105"/>
        </w:rPr>
        <w:t>as</w:t>
      </w:r>
      <w:r>
        <w:rPr>
          <w:spacing w:val="-9"/>
          <w:w w:val="105"/>
        </w:rPr>
        <w:t> </w:t>
      </w:r>
      <w:r>
        <w:rPr>
          <w:w w:val="105"/>
        </w:rPr>
        <w:t>the</w:t>
      </w:r>
      <w:r>
        <w:rPr>
          <w:spacing w:val="-9"/>
          <w:w w:val="105"/>
        </w:rPr>
        <w:t> </w:t>
      </w:r>
      <w:r>
        <w:rPr>
          <w:w w:val="105"/>
        </w:rPr>
        <w:t>Company’s</w:t>
      </w:r>
      <w:r>
        <w:rPr>
          <w:spacing w:val="-7"/>
          <w:w w:val="105"/>
        </w:rPr>
        <w:t> </w:t>
      </w:r>
      <w:r>
        <w:rPr>
          <w:w w:val="105"/>
        </w:rPr>
        <w:t>auditor</w:t>
      </w:r>
      <w:r>
        <w:rPr>
          <w:spacing w:val="-9"/>
          <w:w w:val="105"/>
        </w:rPr>
        <w:t> </w:t>
      </w:r>
      <w:r>
        <w:rPr>
          <w:w w:val="105"/>
        </w:rPr>
        <w:t>since</w:t>
      </w:r>
      <w:r>
        <w:rPr>
          <w:spacing w:val="-8"/>
          <w:w w:val="105"/>
        </w:rPr>
        <w:t> </w:t>
      </w:r>
      <w:r>
        <w:rPr>
          <w:spacing w:val="-2"/>
          <w:w w:val="105"/>
        </w:rPr>
        <w:t>1944.</w:t>
      </w:r>
    </w:p>
    <w:p>
      <w:pPr>
        <w:pStyle w:val="BodyText"/>
        <w:spacing w:before="40"/>
      </w:pPr>
    </w:p>
    <w:p>
      <w:pPr>
        <w:pStyle w:val="BodyText"/>
        <w:ind w:left="48"/>
        <w:jc w:val="center"/>
      </w:pPr>
      <w:r>
        <w:rPr>
          <w:spacing w:val="-5"/>
          <w:w w:val="105"/>
        </w:rPr>
        <w:t>64</w:t>
      </w:r>
    </w:p>
    <w:p>
      <w:pPr>
        <w:pStyle w:val="BodyText"/>
        <w:rPr>
          <w:sz w:val="6"/>
        </w:rPr>
      </w:pPr>
      <w:r>
        <w:rPr/>
        <mc:AlternateContent>
          <mc:Choice Requires="wps">
            <w:drawing>
              <wp:anchor distT="0" distB="0" distL="0" distR="0" allowOverlap="1" layoutInCell="1" locked="0" behindDoc="1" simplePos="0" relativeHeight="487645184">
                <wp:simplePos x="0" y="0"/>
                <wp:positionH relativeFrom="page">
                  <wp:posOffset>226488</wp:posOffset>
                </wp:positionH>
                <wp:positionV relativeFrom="paragraph">
                  <wp:posOffset>59051</wp:posOffset>
                </wp:positionV>
                <wp:extent cx="7312659" cy="16510"/>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71296;mso-wrap-distance-left:0;mso-wrap-distance-right:0" id="docshape159"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pPr>
    </w:p>
    <w:p>
      <w:pPr>
        <w:pStyle w:val="BodyText"/>
        <w:spacing w:before="58"/>
      </w:pPr>
    </w:p>
    <w:p>
      <w:pPr>
        <w:pStyle w:val="Heading2"/>
        <w:tabs>
          <w:tab w:pos="8157" w:val="left" w:leader="none"/>
        </w:tabs>
      </w:pPr>
      <w:r>
        <w:rPr/>
        <mc:AlternateContent>
          <mc:Choice Requires="wps">
            <w:drawing>
              <wp:anchor distT="0" distB="0" distL="0" distR="0" allowOverlap="1" layoutInCell="1" locked="0" behindDoc="1" simplePos="0" relativeHeight="487645696">
                <wp:simplePos x="0" y="0"/>
                <wp:positionH relativeFrom="page">
                  <wp:posOffset>226479</wp:posOffset>
                </wp:positionH>
                <wp:positionV relativeFrom="paragraph">
                  <wp:posOffset>127391</wp:posOffset>
                </wp:positionV>
                <wp:extent cx="7312659" cy="16510"/>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7312659" cy="16510"/>
                        </a:xfrm>
                        <a:custGeom>
                          <a:avLst/>
                          <a:gdLst/>
                          <a:ahLst/>
                          <a:cxnLst/>
                          <a:rect l="l" t="t" r="r" b="b"/>
                          <a:pathLst>
                            <a:path w="7312659" h="16510">
                              <a:moveTo>
                                <a:pt x="7312342" y="0"/>
                              </a:moveTo>
                              <a:lnTo>
                                <a:pt x="3567201" y="0"/>
                              </a:lnTo>
                              <a:lnTo>
                                <a:pt x="0" y="0"/>
                              </a:lnTo>
                              <a:lnTo>
                                <a:pt x="0" y="16179"/>
                              </a:lnTo>
                              <a:lnTo>
                                <a:pt x="3567201"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10.030856pt;width:575.8pt;height:1.3pt;mso-position-horizontal-relative:page;mso-position-vertical-relative:paragraph;z-index:-15670784;mso-wrap-distance-left:0;mso-wrap-distance-right:0" id="docshape160" coordorigin="357,201" coordsize="11516,26" path="m11872,201l5974,201,357,201,357,226,5974,226,11872,226,11872,20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46208">
                <wp:simplePos x="0" y="0"/>
                <wp:positionH relativeFrom="page">
                  <wp:posOffset>226479</wp:posOffset>
                </wp:positionH>
                <wp:positionV relativeFrom="paragraph">
                  <wp:posOffset>289164</wp:posOffset>
                </wp:positionV>
                <wp:extent cx="7312659" cy="16510"/>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7312659" cy="16510"/>
                        </a:xfrm>
                        <a:custGeom>
                          <a:avLst/>
                          <a:gdLst/>
                          <a:ahLst/>
                          <a:cxnLst/>
                          <a:rect l="l" t="t" r="r" b="b"/>
                          <a:pathLst>
                            <a:path w="7312659" h="16510">
                              <a:moveTo>
                                <a:pt x="7312342" y="0"/>
                              </a:moveTo>
                              <a:lnTo>
                                <a:pt x="7239546" y="0"/>
                              </a:lnTo>
                              <a:lnTo>
                                <a:pt x="4764354" y="0"/>
                              </a:lnTo>
                              <a:lnTo>
                                <a:pt x="4683468" y="0"/>
                              </a:lnTo>
                              <a:lnTo>
                                <a:pt x="0" y="0"/>
                              </a:lnTo>
                              <a:lnTo>
                                <a:pt x="0" y="16179"/>
                              </a:lnTo>
                              <a:lnTo>
                                <a:pt x="4683468" y="16179"/>
                              </a:lnTo>
                              <a:lnTo>
                                <a:pt x="4764354"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22.768856pt;width:575.8pt;height:1.3pt;mso-position-horizontal-relative:page;mso-position-vertical-relative:paragraph;z-index:-15670272;mso-wrap-distance-left:0;mso-wrap-distance-right:0" id="docshape161" coordorigin="357,455" coordsize="11516,26" path="m11872,455l11758,455,7860,455,7732,455,357,455,357,481,7732,481,7860,481,11758,481,11872,481,11872,455xe" filled="true" fillcolor="#000000" stroked="false">
                <v:path arrowok="t"/>
                <v:fill type="solid"/>
                <w10:wrap type="topAndBottom"/>
              </v:shape>
            </w:pict>
          </mc:Fallback>
        </mc:AlternateContent>
      </w:r>
      <w:bookmarkStart w:name="_bookmark3" w:id="4"/>
      <w:bookmarkEnd w:id="4"/>
      <w:r>
        <w:rPr>
          <w:b w:val="0"/>
        </w:rPr>
      </w:r>
      <w:r>
        <w:rPr/>
        <w:t>Consolidated</w:t>
      </w:r>
      <w:r>
        <w:rPr>
          <w:spacing w:val="12"/>
        </w:rPr>
        <w:t> </w:t>
      </w:r>
      <w:r>
        <w:rPr/>
        <w:t>Statements</w:t>
      </w:r>
      <w:r>
        <w:rPr>
          <w:spacing w:val="12"/>
        </w:rPr>
        <w:t> </w:t>
      </w:r>
      <w:r>
        <w:rPr/>
        <w:t>of</w:t>
      </w:r>
      <w:r>
        <w:rPr>
          <w:spacing w:val="12"/>
        </w:rPr>
        <w:t> </w:t>
      </w:r>
      <w:r>
        <w:rPr>
          <w:spacing w:val="-2"/>
        </w:rPr>
        <w:t>Income</w:t>
      </w:r>
      <w:r>
        <w:rPr/>
        <w:tab/>
        <w:t>Corning</w:t>
      </w:r>
      <w:r>
        <w:rPr>
          <w:spacing w:val="16"/>
        </w:rPr>
        <w:t> </w:t>
      </w:r>
      <w:r>
        <w:rPr/>
        <w:t>Incorporated</w:t>
      </w:r>
      <w:r>
        <w:rPr>
          <w:spacing w:val="16"/>
        </w:rPr>
        <w:t> </w:t>
      </w:r>
      <w:r>
        <w:rPr/>
        <w:t>and</w:t>
      </w:r>
      <w:r>
        <w:rPr>
          <w:spacing w:val="16"/>
        </w:rPr>
        <w:t> </w:t>
      </w:r>
      <w:r>
        <w:rPr/>
        <w:t>Subsidiary</w:t>
      </w:r>
      <w:r>
        <w:rPr>
          <w:spacing w:val="17"/>
        </w:rPr>
        <w:t> </w:t>
      </w:r>
      <w:r>
        <w:rPr>
          <w:spacing w:val="-2"/>
        </w:rPr>
        <w:t>Companies</w:t>
      </w:r>
    </w:p>
    <w:p>
      <w:pPr>
        <w:pStyle w:val="BodyText"/>
        <w:spacing w:before="9"/>
        <w:rPr>
          <w:b/>
          <w:sz w:val="17"/>
        </w:rPr>
      </w:pPr>
    </w:p>
    <w:p>
      <w:pPr>
        <w:pStyle w:val="BodyText"/>
        <w:spacing w:before="3" w:after="23"/>
        <w:ind w:right="1305"/>
        <w:jc w:val="right"/>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3"/>
        <w:gridCol w:w="1289"/>
        <w:gridCol w:w="1376"/>
        <w:gridCol w:w="1348"/>
      </w:tblGrid>
      <w:tr>
        <w:trPr>
          <w:trHeight w:val="213" w:hRule="atLeast"/>
        </w:trPr>
        <w:tc>
          <w:tcPr>
            <w:tcW w:w="7553" w:type="dxa"/>
          </w:tcPr>
          <w:p>
            <w:pPr>
              <w:pStyle w:val="TableParagraph"/>
              <w:spacing w:before="2"/>
              <w:ind w:left="50"/>
              <w:rPr>
                <w:sz w:val="16"/>
              </w:rPr>
            </w:pPr>
            <w:r>
              <w:rPr>
                <w:w w:val="105"/>
                <w:sz w:val="16"/>
              </w:rPr>
              <w:t>(In</w:t>
            </w:r>
            <w:r>
              <w:rPr>
                <w:spacing w:val="-8"/>
                <w:w w:val="105"/>
                <w:sz w:val="16"/>
              </w:rPr>
              <w:t> </w:t>
            </w:r>
            <w:r>
              <w:rPr>
                <w:w w:val="105"/>
                <w:sz w:val="16"/>
              </w:rPr>
              <w:t>millions,</w:t>
            </w:r>
            <w:r>
              <w:rPr>
                <w:spacing w:val="-7"/>
                <w:w w:val="105"/>
                <w:sz w:val="16"/>
              </w:rPr>
              <w:t> </w:t>
            </w:r>
            <w:r>
              <w:rPr>
                <w:w w:val="105"/>
                <w:sz w:val="16"/>
              </w:rPr>
              <w:t>except</w:t>
            </w:r>
            <w:r>
              <w:rPr>
                <w:spacing w:val="-8"/>
                <w:w w:val="105"/>
                <w:sz w:val="16"/>
              </w:rPr>
              <w:t> </w:t>
            </w:r>
            <w:r>
              <w:rPr>
                <w:w w:val="105"/>
                <w:sz w:val="16"/>
              </w:rPr>
              <w:t>per</w:t>
            </w:r>
            <w:r>
              <w:rPr>
                <w:spacing w:val="-7"/>
                <w:w w:val="105"/>
                <w:sz w:val="16"/>
              </w:rPr>
              <w:t> </w:t>
            </w:r>
            <w:r>
              <w:rPr>
                <w:w w:val="105"/>
                <w:sz w:val="16"/>
              </w:rPr>
              <w:t>share</w:t>
            </w:r>
            <w:r>
              <w:rPr>
                <w:spacing w:val="-8"/>
                <w:w w:val="105"/>
                <w:sz w:val="16"/>
              </w:rPr>
              <w:t> </w:t>
            </w:r>
            <w:r>
              <w:rPr>
                <w:spacing w:val="-2"/>
                <w:w w:val="105"/>
                <w:sz w:val="16"/>
              </w:rPr>
              <w:t>amounts)</w:t>
            </w:r>
          </w:p>
        </w:tc>
        <w:tc>
          <w:tcPr>
            <w:tcW w:w="1289" w:type="dxa"/>
            <w:tcBorders>
              <w:top w:val="single" w:sz="6" w:space="0" w:color="000000"/>
            </w:tcBorders>
          </w:tcPr>
          <w:p>
            <w:pPr>
              <w:pStyle w:val="TableParagraph"/>
              <w:spacing w:before="2"/>
              <w:ind w:left="407"/>
              <w:rPr>
                <w:b/>
                <w:sz w:val="16"/>
              </w:rPr>
            </w:pPr>
            <w:r>
              <w:rPr>
                <w:b/>
                <w:spacing w:val="-4"/>
                <w:w w:val="105"/>
                <w:sz w:val="16"/>
              </w:rPr>
              <w:t>2021</w:t>
            </w:r>
          </w:p>
        </w:tc>
        <w:tc>
          <w:tcPr>
            <w:tcW w:w="1376" w:type="dxa"/>
            <w:tcBorders>
              <w:top w:val="single" w:sz="6" w:space="0" w:color="000000"/>
            </w:tcBorders>
          </w:tcPr>
          <w:p>
            <w:pPr>
              <w:pStyle w:val="TableParagraph"/>
              <w:spacing w:before="2"/>
              <w:ind w:right="54"/>
              <w:jc w:val="center"/>
              <w:rPr>
                <w:sz w:val="16"/>
              </w:rPr>
            </w:pPr>
            <w:r>
              <w:rPr>
                <w:spacing w:val="-4"/>
                <w:w w:val="105"/>
                <w:sz w:val="16"/>
              </w:rPr>
              <w:t>2020</w:t>
            </w:r>
          </w:p>
        </w:tc>
        <w:tc>
          <w:tcPr>
            <w:tcW w:w="1348" w:type="dxa"/>
            <w:tcBorders>
              <w:top w:val="single" w:sz="6" w:space="0" w:color="000000"/>
            </w:tcBorders>
          </w:tcPr>
          <w:p>
            <w:pPr>
              <w:pStyle w:val="TableParagraph"/>
              <w:spacing w:before="2"/>
              <w:ind w:left="1" w:right="27"/>
              <w:jc w:val="center"/>
              <w:rPr>
                <w:sz w:val="16"/>
              </w:rPr>
            </w:pPr>
            <w:r>
              <w:rPr>
                <w:spacing w:val="-4"/>
                <w:w w:val="105"/>
                <w:sz w:val="16"/>
              </w:rPr>
              <w:t>2019</w:t>
            </w:r>
          </w:p>
        </w:tc>
      </w:tr>
      <w:tr>
        <w:trPr>
          <w:trHeight w:val="191" w:hRule="atLeast"/>
        </w:trPr>
        <w:tc>
          <w:tcPr>
            <w:tcW w:w="7553" w:type="dxa"/>
            <w:tcBorders>
              <w:top w:val="single" w:sz="6" w:space="0" w:color="000000"/>
            </w:tcBorders>
            <w:shd w:val="clear" w:color="auto" w:fill="CCEDFF"/>
          </w:tcPr>
          <w:p>
            <w:pPr>
              <w:pStyle w:val="TableParagraph"/>
              <w:spacing w:line="180" w:lineRule="exact" w:before="2"/>
              <w:ind w:left="50"/>
              <w:rPr>
                <w:sz w:val="16"/>
              </w:rPr>
            </w:pPr>
            <w:r>
              <w:rPr>
                <w:w w:val="105"/>
                <w:sz w:val="16"/>
              </w:rPr>
              <w:t>Net</w:t>
            </w:r>
            <w:r>
              <w:rPr>
                <w:spacing w:val="-8"/>
                <w:w w:val="105"/>
                <w:sz w:val="16"/>
              </w:rPr>
              <w:t> </w:t>
            </w:r>
            <w:r>
              <w:rPr>
                <w:spacing w:val="-4"/>
                <w:w w:val="105"/>
                <w:sz w:val="16"/>
              </w:rPr>
              <w:t>sales</w:t>
            </w:r>
          </w:p>
        </w:tc>
        <w:tc>
          <w:tcPr>
            <w:tcW w:w="1289" w:type="dxa"/>
            <w:tcBorders>
              <w:top w:val="single" w:sz="6" w:space="0" w:color="000000"/>
            </w:tcBorders>
            <w:shd w:val="clear" w:color="auto" w:fill="CCEDFF"/>
          </w:tcPr>
          <w:p>
            <w:pPr>
              <w:pStyle w:val="TableParagraph"/>
              <w:tabs>
                <w:tab w:pos="690" w:val="left" w:leader="none"/>
              </w:tabs>
              <w:spacing w:line="180" w:lineRule="exact" w:before="2"/>
              <w:ind w:left="-1" w:right="140"/>
              <w:jc w:val="right"/>
              <w:rPr>
                <w:b/>
                <w:sz w:val="16"/>
              </w:rPr>
            </w:pPr>
            <w:r>
              <w:rPr>
                <w:b/>
                <w:spacing w:val="-10"/>
                <w:w w:val="105"/>
                <w:sz w:val="16"/>
              </w:rPr>
              <w:t>$</w:t>
            </w:r>
            <w:r>
              <w:rPr>
                <w:b/>
                <w:sz w:val="16"/>
              </w:rPr>
              <w:tab/>
            </w:r>
            <w:r>
              <w:rPr>
                <w:b/>
                <w:spacing w:val="-4"/>
                <w:w w:val="105"/>
                <w:sz w:val="16"/>
              </w:rPr>
              <w:t>14,082</w:t>
            </w:r>
          </w:p>
        </w:tc>
        <w:tc>
          <w:tcPr>
            <w:tcW w:w="1376" w:type="dxa"/>
            <w:tcBorders>
              <w:top w:val="single" w:sz="6" w:space="0" w:color="000000"/>
            </w:tcBorders>
            <w:shd w:val="clear" w:color="auto" w:fill="CCEDFF"/>
          </w:tcPr>
          <w:p>
            <w:pPr>
              <w:pStyle w:val="TableParagraph"/>
              <w:tabs>
                <w:tab w:pos="690" w:val="left" w:leader="none"/>
              </w:tabs>
              <w:spacing w:line="180" w:lineRule="exact" w:before="2"/>
              <w:ind w:right="140"/>
              <w:jc w:val="right"/>
              <w:rPr>
                <w:sz w:val="16"/>
              </w:rPr>
            </w:pPr>
            <w:r>
              <w:rPr>
                <w:spacing w:val="-10"/>
                <w:w w:val="105"/>
                <w:sz w:val="16"/>
              </w:rPr>
              <w:t>$</w:t>
            </w:r>
            <w:r>
              <w:rPr>
                <w:sz w:val="16"/>
              </w:rPr>
              <w:tab/>
            </w:r>
            <w:r>
              <w:rPr>
                <w:spacing w:val="-2"/>
                <w:w w:val="105"/>
                <w:sz w:val="16"/>
              </w:rPr>
              <w:t>11,303</w:t>
            </w:r>
          </w:p>
        </w:tc>
        <w:tc>
          <w:tcPr>
            <w:tcW w:w="1348" w:type="dxa"/>
            <w:tcBorders>
              <w:top w:val="single" w:sz="6" w:space="0" w:color="000000"/>
            </w:tcBorders>
            <w:shd w:val="clear" w:color="auto" w:fill="CCEDFF"/>
          </w:tcPr>
          <w:p>
            <w:pPr>
              <w:pStyle w:val="TableParagraph"/>
              <w:tabs>
                <w:tab w:pos="777" w:val="left" w:leader="none"/>
              </w:tabs>
              <w:spacing w:line="180" w:lineRule="exact" w:before="2"/>
              <w:ind w:left="86"/>
              <w:rPr>
                <w:sz w:val="16"/>
              </w:rPr>
            </w:pPr>
            <w:r>
              <w:rPr>
                <w:spacing w:val="-10"/>
                <w:w w:val="105"/>
                <w:sz w:val="16"/>
              </w:rPr>
              <w:t>$</w:t>
            </w:r>
            <w:r>
              <w:rPr>
                <w:sz w:val="16"/>
              </w:rPr>
              <w:tab/>
            </w:r>
            <w:r>
              <w:rPr>
                <w:spacing w:val="-2"/>
                <w:w w:val="105"/>
                <w:sz w:val="16"/>
              </w:rPr>
              <w:t>11,503</w:t>
            </w:r>
          </w:p>
        </w:tc>
      </w:tr>
      <w:tr>
        <w:trPr>
          <w:trHeight w:val="202" w:hRule="atLeast"/>
        </w:trPr>
        <w:tc>
          <w:tcPr>
            <w:tcW w:w="7553" w:type="dxa"/>
          </w:tcPr>
          <w:p>
            <w:pPr>
              <w:pStyle w:val="TableParagraph"/>
              <w:spacing w:line="166" w:lineRule="exact" w:before="16"/>
              <w:ind w:left="50"/>
              <w:rPr>
                <w:sz w:val="16"/>
              </w:rPr>
            </w:pPr>
            <w:r>
              <w:rPr>
                <w:w w:val="105"/>
                <w:sz w:val="16"/>
              </w:rPr>
              <w:t>Cost</w:t>
            </w:r>
            <w:r>
              <w:rPr>
                <w:spacing w:val="-6"/>
                <w:w w:val="105"/>
                <w:sz w:val="16"/>
              </w:rPr>
              <w:t> </w:t>
            </w:r>
            <w:r>
              <w:rPr>
                <w:w w:val="105"/>
                <w:sz w:val="16"/>
              </w:rPr>
              <w:t>of</w:t>
            </w:r>
            <w:r>
              <w:rPr>
                <w:spacing w:val="-5"/>
                <w:w w:val="105"/>
                <w:sz w:val="16"/>
              </w:rPr>
              <w:t> </w:t>
            </w:r>
            <w:r>
              <w:rPr>
                <w:spacing w:val="-2"/>
                <w:w w:val="105"/>
                <w:sz w:val="16"/>
              </w:rPr>
              <w:t>sales</w:t>
            </w:r>
          </w:p>
        </w:tc>
        <w:tc>
          <w:tcPr>
            <w:tcW w:w="1289" w:type="dxa"/>
            <w:tcBorders>
              <w:bottom w:val="single" w:sz="6" w:space="0" w:color="000000"/>
            </w:tcBorders>
          </w:tcPr>
          <w:p>
            <w:pPr>
              <w:pStyle w:val="TableParagraph"/>
              <w:spacing w:line="179" w:lineRule="exact" w:before="3"/>
              <w:ind w:left="-1" w:right="140"/>
              <w:jc w:val="right"/>
              <w:rPr>
                <w:b/>
                <w:sz w:val="16"/>
              </w:rPr>
            </w:pPr>
            <w:r>
              <w:rPr>
                <w:b/>
                <w:spacing w:val="-4"/>
                <w:w w:val="105"/>
                <w:sz w:val="16"/>
              </w:rPr>
              <w:t>9,019</w:t>
            </w:r>
          </w:p>
        </w:tc>
        <w:tc>
          <w:tcPr>
            <w:tcW w:w="1376" w:type="dxa"/>
            <w:tcBorders>
              <w:bottom w:val="single" w:sz="6" w:space="0" w:color="000000"/>
            </w:tcBorders>
          </w:tcPr>
          <w:p>
            <w:pPr>
              <w:pStyle w:val="TableParagraph"/>
              <w:spacing w:line="179" w:lineRule="exact" w:before="3"/>
              <w:ind w:right="140"/>
              <w:jc w:val="right"/>
              <w:rPr>
                <w:sz w:val="16"/>
              </w:rPr>
            </w:pPr>
            <w:r>
              <w:rPr>
                <w:spacing w:val="-4"/>
                <w:w w:val="105"/>
                <w:sz w:val="16"/>
              </w:rPr>
              <w:t>7,772</w:t>
            </w:r>
          </w:p>
        </w:tc>
        <w:tc>
          <w:tcPr>
            <w:tcW w:w="1348" w:type="dxa"/>
            <w:tcBorders>
              <w:bottom w:val="single" w:sz="6" w:space="0" w:color="000000"/>
            </w:tcBorders>
          </w:tcPr>
          <w:p>
            <w:pPr>
              <w:pStyle w:val="TableParagraph"/>
              <w:spacing w:line="179" w:lineRule="exact" w:before="3"/>
              <w:ind w:right="113"/>
              <w:jc w:val="right"/>
              <w:rPr>
                <w:sz w:val="16"/>
              </w:rPr>
            </w:pPr>
            <w:r>
              <w:rPr>
                <w:spacing w:val="-4"/>
                <w:w w:val="105"/>
                <w:sz w:val="16"/>
              </w:rPr>
              <w:t>7,468</w:t>
            </w:r>
          </w:p>
        </w:tc>
      </w:tr>
      <w:tr>
        <w:trPr>
          <w:trHeight w:val="202" w:hRule="atLeast"/>
        </w:trPr>
        <w:tc>
          <w:tcPr>
            <w:tcW w:w="7553" w:type="dxa"/>
            <w:shd w:val="clear" w:color="auto" w:fill="CCEDFF"/>
          </w:tcPr>
          <w:p>
            <w:pPr>
              <w:pStyle w:val="TableParagraph"/>
              <w:rPr>
                <w:sz w:val="14"/>
              </w:rPr>
            </w:pPr>
          </w:p>
        </w:tc>
        <w:tc>
          <w:tcPr>
            <w:tcW w:w="1289" w:type="dxa"/>
            <w:tcBorders>
              <w:top w:val="single" w:sz="6" w:space="0" w:color="000000"/>
            </w:tcBorders>
            <w:shd w:val="clear" w:color="auto" w:fill="CCEDFF"/>
          </w:tcPr>
          <w:p>
            <w:pPr>
              <w:pStyle w:val="TableParagraph"/>
              <w:rPr>
                <w:sz w:val="14"/>
              </w:rPr>
            </w:pPr>
          </w:p>
        </w:tc>
        <w:tc>
          <w:tcPr>
            <w:tcW w:w="1376" w:type="dxa"/>
            <w:tcBorders>
              <w:top w:val="single" w:sz="6" w:space="0" w:color="000000"/>
            </w:tcBorders>
            <w:shd w:val="clear" w:color="auto" w:fill="CCEDFF"/>
          </w:tcPr>
          <w:p>
            <w:pPr>
              <w:pStyle w:val="TableParagraph"/>
              <w:rPr>
                <w:sz w:val="14"/>
              </w:rPr>
            </w:pPr>
          </w:p>
        </w:tc>
        <w:tc>
          <w:tcPr>
            <w:tcW w:w="1348" w:type="dxa"/>
            <w:tcBorders>
              <w:top w:val="single" w:sz="6" w:space="0" w:color="000000"/>
            </w:tcBorders>
            <w:shd w:val="clear" w:color="auto" w:fill="CCEDFF"/>
          </w:tcPr>
          <w:p>
            <w:pPr>
              <w:pStyle w:val="TableParagraph"/>
              <w:rPr>
                <w:sz w:val="14"/>
              </w:rPr>
            </w:pPr>
          </w:p>
        </w:tc>
      </w:tr>
      <w:tr>
        <w:trPr>
          <w:trHeight w:val="203" w:hRule="atLeast"/>
        </w:trPr>
        <w:tc>
          <w:tcPr>
            <w:tcW w:w="7553" w:type="dxa"/>
          </w:tcPr>
          <w:p>
            <w:pPr>
              <w:pStyle w:val="TableParagraph"/>
              <w:spacing w:line="180" w:lineRule="exact" w:before="3"/>
              <w:ind w:left="50"/>
              <w:rPr>
                <w:sz w:val="16"/>
              </w:rPr>
            </w:pPr>
            <w:r>
              <w:rPr>
                <w:spacing w:val="-2"/>
                <w:w w:val="105"/>
                <w:sz w:val="16"/>
              </w:rPr>
              <w:t>Gross</w:t>
            </w:r>
            <w:r>
              <w:rPr>
                <w:spacing w:val="-3"/>
                <w:w w:val="105"/>
                <w:sz w:val="16"/>
              </w:rPr>
              <w:t> </w:t>
            </w:r>
            <w:r>
              <w:rPr>
                <w:spacing w:val="-2"/>
                <w:w w:val="105"/>
                <w:sz w:val="16"/>
              </w:rPr>
              <w:t>margin</w:t>
            </w:r>
          </w:p>
        </w:tc>
        <w:tc>
          <w:tcPr>
            <w:tcW w:w="1289" w:type="dxa"/>
          </w:tcPr>
          <w:p>
            <w:pPr>
              <w:pStyle w:val="TableParagraph"/>
              <w:spacing w:line="180" w:lineRule="exact" w:before="3"/>
              <w:ind w:left="-1" w:right="140"/>
              <w:jc w:val="right"/>
              <w:rPr>
                <w:b/>
                <w:sz w:val="16"/>
              </w:rPr>
            </w:pPr>
            <w:r>
              <w:rPr>
                <w:b/>
                <w:spacing w:val="-4"/>
                <w:w w:val="105"/>
                <w:sz w:val="16"/>
              </w:rPr>
              <w:t>5,063</w:t>
            </w:r>
          </w:p>
        </w:tc>
        <w:tc>
          <w:tcPr>
            <w:tcW w:w="1376" w:type="dxa"/>
          </w:tcPr>
          <w:p>
            <w:pPr>
              <w:pStyle w:val="TableParagraph"/>
              <w:spacing w:line="180" w:lineRule="exact" w:before="3"/>
              <w:ind w:right="140"/>
              <w:jc w:val="right"/>
              <w:rPr>
                <w:sz w:val="16"/>
              </w:rPr>
            </w:pPr>
            <w:r>
              <w:rPr>
                <w:spacing w:val="-4"/>
                <w:w w:val="105"/>
                <w:sz w:val="16"/>
              </w:rPr>
              <w:t>3,531</w:t>
            </w:r>
          </w:p>
        </w:tc>
        <w:tc>
          <w:tcPr>
            <w:tcW w:w="1348" w:type="dxa"/>
          </w:tcPr>
          <w:p>
            <w:pPr>
              <w:pStyle w:val="TableParagraph"/>
              <w:spacing w:line="180" w:lineRule="exact" w:before="3"/>
              <w:ind w:right="113"/>
              <w:jc w:val="right"/>
              <w:rPr>
                <w:sz w:val="16"/>
              </w:rPr>
            </w:pPr>
            <w:r>
              <w:rPr>
                <w:spacing w:val="-4"/>
                <w:w w:val="105"/>
                <w:sz w:val="16"/>
              </w:rPr>
              <w:t>4,035</w:t>
            </w:r>
          </w:p>
        </w:tc>
      </w:tr>
      <w:tr>
        <w:trPr>
          <w:trHeight w:val="203" w:hRule="atLeast"/>
        </w:trPr>
        <w:tc>
          <w:tcPr>
            <w:tcW w:w="7553" w:type="dxa"/>
            <w:shd w:val="clear" w:color="auto" w:fill="CCEDFF"/>
          </w:tcPr>
          <w:p>
            <w:pPr>
              <w:pStyle w:val="TableParagraph"/>
              <w:rPr>
                <w:sz w:val="14"/>
              </w:rPr>
            </w:pPr>
          </w:p>
        </w:tc>
        <w:tc>
          <w:tcPr>
            <w:tcW w:w="1289" w:type="dxa"/>
            <w:shd w:val="clear" w:color="auto" w:fill="CCEDFF"/>
          </w:tcPr>
          <w:p>
            <w:pPr>
              <w:pStyle w:val="TableParagraph"/>
              <w:rPr>
                <w:sz w:val="14"/>
              </w:rPr>
            </w:pPr>
          </w:p>
        </w:tc>
        <w:tc>
          <w:tcPr>
            <w:tcW w:w="1376" w:type="dxa"/>
            <w:shd w:val="clear" w:color="auto" w:fill="CCEDFF"/>
          </w:tcPr>
          <w:p>
            <w:pPr>
              <w:pStyle w:val="TableParagraph"/>
              <w:rPr>
                <w:sz w:val="14"/>
              </w:rPr>
            </w:pPr>
          </w:p>
        </w:tc>
        <w:tc>
          <w:tcPr>
            <w:tcW w:w="1348" w:type="dxa"/>
            <w:shd w:val="clear" w:color="auto" w:fill="CCEDFF"/>
          </w:tcPr>
          <w:p>
            <w:pPr>
              <w:pStyle w:val="TableParagraph"/>
              <w:rPr>
                <w:sz w:val="14"/>
              </w:rPr>
            </w:pPr>
          </w:p>
        </w:tc>
      </w:tr>
      <w:tr>
        <w:trPr>
          <w:trHeight w:val="203" w:hRule="atLeast"/>
        </w:trPr>
        <w:tc>
          <w:tcPr>
            <w:tcW w:w="7553" w:type="dxa"/>
          </w:tcPr>
          <w:p>
            <w:pPr>
              <w:pStyle w:val="TableParagraph"/>
              <w:spacing w:line="180" w:lineRule="exact" w:before="3"/>
              <w:ind w:left="50"/>
              <w:rPr>
                <w:sz w:val="16"/>
              </w:rPr>
            </w:pPr>
            <w:r>
              <w:rPr>
                <w:sz w:val="16"/>
              </w:rPr>
              <w:t>Operating</w:t>
            </w:r>
            <w:r>
              <w:rPr>
                <w:spacing w:val="20"/>
                <w:sz w:val="16"/>
              </w:rPr>
              <w:t> </w:t>
            </w:r>
            <w:r>
              <w:rPr>
                <w:spacing w:val="-2"/>
                <w:sz w:val="16"/>
              </w:rPr>
              <w:t>expenses:</w:t>
            </w:r>
          </w:p>
        </w:tc>
        <w:tc>
          <w:tcPr>
            <w:tcW w:w="1289" w:type="dxa"/>
          </w:tcPr>
          <w:p>
            <w:pPr>
              <w:pStyle w:val="TableParagraph"/>
              <w:rPr>
                <w:sz w:val="14"/>
              </w:rPr>
            </w:pPr>
          </w:p>
        </w:tc>
        <w:tc>
          <w:tcPr>
            <w:tcW w:w="1376" w:type="dxa"/>
          </w:tcPr>
          <w:p>
            <w:pPr>
              <w:pStyle w:val="TableParagraph"/>
              <w:rPr>
                <w:sz w:val="14"/>
              </w:rPr>
            </w:pPr>
          </w:p>
        </w:tc>
        <w:tc>
          <w:tcPr>
            <w:tcW w:w="1348" w:type="dxa"/>
          </w:tcPr>
          <w:p>
            <w:pPr>
              <w:pStyle w:val="TableParagraph"/>
              <w:rPr>
                <w:sz w:val="14"/>
              </w:rPr>
            </w:pPr>
          </w:p>
        </w:tc>
      </w:tr>
      <w:tr>
        <w:trPr>
          <w:trHeight w:val="203" w:hRule="atLeast"/>
        </w:trPr>
        <w:tc>
          <w:tcPr>
            <w:tcW w:w="7553" w:type="dxa"/>
            <w:shd w:val="clear" w:color="auto" w:fill="CCEDFF"/>
          </w:tcPr>
          <w:p>
            <w:pPr>
              <w:pStyle w:val="TableParagraph"/>
              <w:spacing w:line="180" w:lineRule="exact" w:before="3"/>
              <w:ind w:left="202"/>
              <w:rPr>
                <w:sz w:val="16"/>
              </w:rPr>
            </w:pPr>
            <w:r>
              <w:rPr>
                <w:sz w:val="16"/>
              </w:rPr>
              <w:t>Selling,</w:t>
            </w:r>
            <w:r>
              <w:rPr>
                <w:spacing w:val="17"/>
                <w:sz w:val="16"/>
              </w:rPr>
              <w:t> </w:t>
            </w:r>
            <w:r>
              <w:rPr>
                <w:sz w:val="16"/>
              </w:rPr>
              <w:t>general</w:t>
            </w:r>
            <w:r>
              <w:rPr>
                <w:spacing w:val="17"/>
                <w:sz w:val="16"/>
              </w:rPr>
              <w:t> </w:t>
            </w:r>
            <w:r>
              <w:rPr>
                <w:sz w:val="16"/>
              </w:rPr>
              <w:t>and</w:t>
            </w:r>
            <w:r>
              <w:rPr>
                <w:spacing w:val="17"/>
                <w:sz w:val="16"/>
              </w:rPr>
              <w:t> </w:t>
            </w:r>
            <w:r>
              <w:rPr>
                <w:sz w:val="16"/>
              </w:rPr>
              <w:t>administrative</w:t>
            </w:r>
            <w:r>
              <w:rPr>
                <w:spacing w:val="18"/>
                <w:sz w:val="16"/>
              </w:rPr>
              <w:t> </w:t>
            </w:r>
            <w:r>
              <w:rPr>
                <w:spacing w:val="-2"/>
                <w:sz w:val="16"/>
              </w:rPr>
              <w:t>expenses</w:t>
            </w:r>
          </w:p>
        </w:tc>
        <w:tc>
          <w:tcPr>
            <w:tcW w:w="1289" w:type="dxa"/>
            <w:shd w:val="clear" w:color="auto" w:fill="CCEDFF"/>
          </w:tcPr>
          <w:p>
            <w:pPr>
              <w:pStyle w:val="TableParagraph"/>
              <w:spacing w:line="180" w:lineRule="exact" w:before="3"/>
              <w:ind w:left="-1" w:right="140"/>
              <w:jc w:val="right"/>
              <w:rPr>
                <w:b/>
                <w:sz w:val="16"/>
              </w:rPr>
            </w:pPr>
            <w:r>
              <w:rPr>
                <w:b/>
                <w:spacing w:val="-4"/>
                <w:w w:val="105"/>
                <w:sz w:val="16"/>
              </w:rPr>
              <w:t>1,827</w:t>
            </w:r>
          </w:p>
        </w:tc>
        <w:tc>
          <w:tcPr>
            <w:tcW w:w="1376" w:type="dxa"/>
            <w:shd w:val="clear" w:color="auto" w:fill="CCEDFF"/>
          </w:tcPr>
          <w:p>
            <w:pPr>
              <w:pStyle w:val="TableParagraph"/>
              <w:spacing w:line="180" w:lineRule="exact" w:before="3"/>
              <w:ind w:right="140"/>
              <w:jc w:val="right"/>
              <w:rPr>
                <w:sz w:val="16"/>
              </w:rPr>
            </w:pPr>
            <w:r>
              <w:rPr>
                <w:spacing w:val="-4"/>
                <w:w w:val="105"/>
                <w:sz w:val="16"/>
              </w:rPr>
              <w:t>1,747</w:t>
            </w:r>
          </w:p>
        </w:tc>
        <w:tc>
          <w:tcPr>
            <w:tcW w:w="1348" w:type="dxa"/>
            <w:shd w:val="clear" w:color="auto" w:fill="CCEDFF"/>
          </w:tcPr>
          <w:p>
            <w:pPr>
              <w:pStyle w:val="TableParagraph"/>
              <w:spacing w:line="180" w:lineRule="exact" w:before="3"/>
              <w:ind w:right="113"/>
              <w:jc w:val="right"/>
              <w:rPr>
                <w:sz w:val="16"/>
              </w:rPr>
            </w:pPr>
            <w:r>
              <w:rPr>
                <w:spacing w:val="-4"/>
                <w:w w:val="105"/>
                <w:sz w:val="16"/>
              </w:rPr>
              <w:t>1,585</w:t>
            </w:r>
          </w:p>
        </w:tc>
      </w:tr>
      <w:tr>
        <w:trPr>
          <w:trHeight w:val="203" w:hRule="atLeast"/>
        </w:trPr>
        <w:tc>
          <w:tcPr>
            <w:tcW w:w="7553" w:type="dxa"/>
          </w:tcPr>
          <w:p>
            <w:pPr>
              <w:pStyle w:val="TableParagraph"/>
              <w:spacing w:line="180" w:lineRule="exact" w:before="3"/>
              <w:ind w:left="202"/>
              <w:rPr>
                <w:sz w:val="16"/>
              </w:rPr>
            </w:pPr>
            <w:r>
              <w:rPr>
                <w:sz w:val="16"/>
              </w:rPr>
              <w:t>Research,</w:t>
            </w:r>
            <w:r>
              <w:rPr>
                <w:spacing w:val="19"/>
                <w:sz w:val="16"/>
              </w:rPr>
              <w:t> </w:t>
            </w:r>
            <w:r>
              <w:rPr>
                <w:sz w:val="16"/>
              </w:rPr>
              <w:t>development</w:t>
            </w:r>
            <w:r>
              <w:rPr>
                <w:spacing w:val="20"/>
                <w:sz w:val="16"/>
              </w:rPr>
              <w:t> </w:t>
            </w:r>
            <w:r>
              <w:rPr>
                <w:sz w:val="16"/>
              </w:rPr>
              <w:t>and</w:t>
            </w:r>
            <w:r>
              <w:rPr>
                <w:spacing w:val="20"/>
                <w:sz w:val="16"/>
              </w:rPr>
              <w:t> </w:t>
            </w:r>
            <w:r>
              <w:rPr>
                <w:sz w:val="16"/>
              </w:rPr>
              <w:t>engineering</w:t>
            </w:r>
            <w:r>
              <w:rPr>
                <w:spacing w:val="20"/>
                <w:sz w:val="16"/>
              </w:rPr>
              <w:t> </w:t>
            </w:r>
            <w:r>
              <w:rPr>
                <w:spacing w:val="-2"/>
                <w:sz w:val="16"/>
              </w:rPr>
              <w:t>expenses</w:t>
            </w:r>
          </w:p>
        </w:tc>
        <w:tc>
          <w:tcPr>
            <w:tcW w:w="1289" w:type="dxa"/>
          </w:tcPr>
          <w:p>
            <w:pPr>
              <w:pStyle w:val="TableParagraph"/>
              <w:spacing w:line="180" w:lineRule="exact" w:before="3"/>
              <w:ind w:left="-1" w:right="140"/>
              <w:jc w:val="right"/>
              <w:rPr>
                <w:b/>
                <w:sz w:val="16"/>
              </w:rPr>
            </w:pPr>
            <w:r>
              <w:rPr>
                <w:b/>
                <w:spacing w:val="-5"/>
                <w:w w:val="105"/>
                <w:sz w:val="16"/>
              </w:rPr>
              <w:t>995</w:t>
            </w:r>
          </w:p>
        </w:tc>
        <w:tc>
          <w:tcPr>
            <w:tcW w:w="1376" w:type="dxa"/>
          </w:tcPr>
          <w:p>
            <w:pPr>
              <w:pStyle w:val="TableParagraph"/>
              <w:spacing w:line="180" w:lineRule="exact" w:before="3"/>
              <w:ind w:right="140"/>
              <w:jc w:val="right"/>
              <w:rPr>
                <w:sz w:val="16"/>
              </w:rPr>
            </w:pPr>
            <w:r>
              <w:rPr>
                <w:spacing w:val="-4"/>
                <w:w w:val="105"/>
                <w:sz w:val="16"/>
              </w:rPr>
              <w:t>1,154</w:t>
            </w:r>
          </w:p>
        </w:tc>
        <w:tc>
          <w:tcPr>
            <w:tcW w:w="1348" w:type="dxa"/>
          </w:tcPr>
          <w:p>
            <w:pPr>
              <w:pStyle w:val="TableParagraph"/>
              <w:spacing w:line="180" w:lineRule="exact" w:before="3"/>
              <w:ind w:right="113"/>
              <w:jc w:val="right"/>
              <w:rPr>
                <w:sz w:val="16"/>
              </w:rPr>
            </w:pPr>
            <w:r>
              <w:rPr>
                <w:spacing w:val="-4"/>
                <w:w w:val="105"/>
                <w:sz w:val="16"/>
              </w:rPr>
              <w:t>1,031</w:t>
            </w:r>
          </w:p>
        </w:tc>
      </w:tr>
      <w:tr>
        <w:trPr>
          <w:trHeight w:val="202" w:hRule="atLeast"/>
        </w:trPr>
        <w:tc>
          <w:tcPr>
            <w:tcW w:w="7553" w:type="dxa"/>
            <w:shd w:val="clear" w:color="auto" w:fill="CCEDFF"/>
          </w:tcPr>
          <w:p>
            <w:pPr>
              <w:pStyle w:val="TableParagraph"/>
              <w:spacing w:line="166" w:lineRule="exact" w:before="16"/>
              <w:ind w:left="202"/>
              <w:rPr>
                <w:sz w:val="16"/>
              </w:rPr>
            </w:pPr>
            <w:r>
              <w:rPr>
                <w:sz w:val="16"/>
              </w:rPr>
              <w:t>Amortization</w:t>
            </w:r>
            <w:r>
              <w:rPr>
                <w:spacing w:val="17"/>
                <w:sz w:val="16"/>
              </w:rPr>
              <w:t> </w:t>
            </w:r>
            <w:r>
              <w:rPr>
                <w:sz w:val="16"/>
              </w:rPr>
              <w:t>of</w:t>
            </w:r>
            <w:r>
              <w:rPr>
                <w:spacing w:val="17"/>
                <w:sz w:val="16"/>
              </w:rPr>
              <w:t> </w:t>
            </w:r>
            <w:r>
              <w:rPr>
                <w:sz w:val="16"/>
              </w:rPr>
              <w:t>purchased</w:t>
            </w:r>
            <w:r>
              <w:rPr>
                <w:spacing w:val="20"/>
                <w:sz w:val="16"/>
              </w:rPr>
              <w:t> </w:t>
            </w:r>
            <w:r>
              <w:rPr>
                <w:spacing w:val="-2"/>
                <w:sz w:val="16"/>
              </w:rPr>
              <w:t>intangibles</w:t>
            </w:r>
          </w:p>
        </w:tc>
        <w:tc>
          <w:tcPr>
            <w:tcW w:w="1289" w:type="dxa"/>
            <w:tcBorders>
              <w:bottom w:val="single" w:sz="6" w:space="0" w:color="000000"/>
            </w:tcBorders>
            <w:shd w:val="clear" w:color="auto" w:fill="CCEDFF"/>
          </w:tcPr>
          <w:p>
            <w:pPr>
              <w:pStyle w:val="TableParagraph"/>
              <w:spacing w:line="179" w:lineRule="exact" w:before="3"/>
              <w:ind w:left="-1" w:right="140"/>
              <w:jc w:val="right"/>
              <w:rPr>
                <w:b/>
                <w:sz w:val="16"/>
              </w:rPr>
            </w:pPr>
            <w:r>
              <w:rPr>
                <w:b/>
                <w:spacing w:val="-5"/>
                <w:w w:val="105"/>
                <w:sz w:val="16"/>
              </w:rPr>
              <w:t>129</w:t>
            </w:r>
          </w:p>
        </w:tc>
        <w:tc>
          <w:tcPr>
            <w:tcW w:w="1376" w:type="dxa"/>
            <w:tcBorders>
              <w:bottom w:val="single" w:sz="6" w:space="0" w:color="000000"/>
            </w:tcBorders>
            <w:shd w:val="clear" w:color="auto" w:fill="CCEDFF"/>
          </w:tcPr>
          <w:p>
            <w:pPr>
              <w:pStyle w:val="TableParagraph"/>
              <w:spacing w:line="179" w:lineRule="exact" w:before="3"/>
              <w:ind w:right="140"/>
              <w:jc w:val="right"/>
              <w:rPr>
                <w:sz w:val="16"/>
              </w:rPr>
            </w:pPr>
            <w:r>
              <w:rPr>
                <w:spacing w:val="-5"/>
                <w:w w:val="105"/>
                <w:sz w:val="16"/>
              </w:rPr>
              <w:t>121</w:t>
            </w:r>
          </w:p>
        </w:tc>
        <w:tc>
          <w:tcPr>
            <w:tcW w:w="1348" w:type="dxa"/>
            <w:tcBorders>
              <w:bottom w:val="single" w:sz="6" w:space="0" w:color="000000"/>
            </w:tcBorders>
            <w:shd w:val="clear" w:color="auto" w:fill="CCEDFF"/>
          </w:tcPr>
          <w:p>
            <w:pPr>
              <w:pStyle w:val="TableParagraph"/>
              <w:spacing w:line="179" w:lineRule="exact" w:before="3"/>
              <w:ind w:right="113"/>
              <w:jc w:val="right"/>
              <w:rPr>
                <w:sz w:val="16"/>
              </w:rPr>
            </w:pPr>
            <w:r>
              <w:rPr>
                <w:spacing w:val="-5"/>
                <w:w w:val="105"/>
                <w:sz w:val="16"/>
              </w:rPr>
              <w:t>113</w:t>
            </w:r>
          </w:p>
        </w:tc>
      </w:tr>
      <w:tr>
        <w:trPr>
          <w:trHeight w:val="202" w:hRule="atLeast"/>
        </w:trPr>
        <w:tc>
          <w:tcPr>
            <w:tcW w:w="7553" w:type="dxa"/>
          </w:tcPr>
          <w:p>
            <w:pPr>
              <w:pStyle w:val="TableParagraph"/>
              <w:rPr>
                <w:sz w:val="14"/>
              </w:rPr>
            </w:pPr>
          </w:p>
        </w:tc>
        <w:tc>
          <w:tcPr>
            <w:tcW w:w="1289" w:type="dxa"/>
            <w:tcBorders>
              <w:top w:val="single" w:sz="6" w:space="0" w:color="000000"/>
            </w:tcBorders>
          </w:tcPr>
          <w:p>
            <w:pPr>
              <w:pStyle w:val="TableParagraph"/>
              <w:rPr>
                <w:sz w:val="14"/>
              </w:rPr>
            </w:pPr>
          </w:p>
        </w:tc>
        <w:tc>
          <w:tcPr>
            <w:tcW w:w="1376" w:type="dxa"/>
            <w:tcBorders>
              <w:top w:val="single" w:sz="6" w:space="0" w:color="000000"/>
            </w:tcBorders>
          </w:tcPr>
          <w:p>
            <w:pPr>
              <w:pStyle w:val="TableParagraph"/>
              <w:rPr>
                <w:sz w:val="14"/>
              </w:rPr>
            </w:pPr>
          </w:p>
        </w:tc>
        <w:tc>
          <w:tcPr>
            <w:tcW w:w="1348" w:type="dxa"/>
            <w:tcBorders>
              <w:top w:val="single" w:sz="6" w:space="0" w:color="000000"/>
            </w:tcBorders>
          </w:tcPr>
          <w:p>
            <w:pPr>
              <w:pStyle w:val="TableParagraph"/>
              <w:rPr>
                <w:sz w:val="14"/>
              </w:rPr>
            </w:pPr>
          </w:p>
        </w:tc>
      </w:tr>
      <w:tr>
        <w:trPr>
          <w:trHeight w:val="203" w:hRule="atLeast"/>
        </w:trPr>
        <w:tc>
          <w:tcPr>
            <w:tcW w:w="7553" w:type="dxa"/>
            <w:shd w:val="clear" w:color="auto" w:fill="CCEDFF"/>
          </w:tcPr>
          <w:p>
            <w:pPr>
              <w:pStyle w:val="TableParagraph"/>
              <w:spacing w:line="180" w:lineRule="exact" w:before="3"/>
              <w:ind w:left="50"/>
              <w:rPr>
                <w:sz w:val="16"/>
              </w:rPr>
            </w:pPr>
            <w:r>
              <w:rPr>
                <w:sz w:val="16"/>
              </w:rPr>
              <w:t>Operating</w:t>
            </w:r>
            <w:r>
              <w:rPr>
                <w:spacing w:val="20"/>
                <w:sz w:val="16"/>
              </w:rPr>
              <w:t> </w:t>
            </w:r>
            <w:r>
              <w:rPr>
                <w:spacing w:val="-2"/>
                <w:sz w:val="16"/>
              </w:rPr>
              <w:t>income</w:t>
            </w:r>
          </w:p>
        </w:tc>
        <w:tc>
          <w:tcPr>
            <w:tcW w:w="1289" w:type="dxa"/>
            <w:shd w:val="clear" w:color="auto" w:fill="CCEDFF"/>
          </w:tcPr>
          <w:p>
            <w:pPr>
              <w:pStyle w:val="TableParagraph"/>
              <w:spacing w:line="180" w:lineRule="exact" w:before="3"/>
              <w:ind w:left="-1" w:right="140"/>
              <w:jc w:val="right"/>
              <w:rPr>
                <w:b/>
                <w:sz w:val="16"/>
              </w:rPr>
            </w:pPr>
            <w:r>
              <w:rPr>
                <w:b/>
                <w:spacing w:val="-4"/>
                <w:w w:val="105"/>
                <w:sz w:val="16"/>
              </w:rPr>
              <w:t>2,112</w:t>
            </w:r>
          </w:p>
        </w:tc>
        <w:tc>
          <w:tcPr>
            <w:tcW w:w="1376" w:type="dxa"/>
            <w:shd w:val="clear" w:color="auto" w:fill="CCEDFF"/>
          </w:tcPr>
          <w:p>
            <w:pPr>
              <w:pStyle w:val="TableParagraph"/>
              <w:spacing w:line="180" w:lineRule="exact" w:before="3"/>
              <w:ind w:right="140"/>
              <w:jc w:val="right"/>
              <w:rPr>
                <w:sz w:val="16"/>
              </w:rPr>
            </w:pPr>
            <w:r>
              <w:rPr>
                <w:spacing w:val="-5"/>
                <w:w w:val="105"/>
                <w:sz w:val="16"/>
              </w:rPr>
              <w:t>509</w:t>
            </w:r>
          </w:p>
        </w:tc>
        <w:tc>
          <w:tcPr>
            <w:tcW w:w="1348" w:type="dxa"/>
            <w:shd w:val="clear" w:color="auto" w:fill="CCEDFF"/>
          </w:tcPr>
          <w:p>
            <w:pPr>
              <w:pStyle w:val="TableParagraph"/>
              <w:spacing w:line="180" w:lineRule="exact" w:before="3"/>
              <w:ind w:right="113"/>
              <w:jc w:val="right"/>
              <w:rPr>
                <w:sz w:val="16"/>
              </w:rPr>
            </w:pPr>
            <w:r>
              <w:rPr>
                <w:spacing w:val="-4"/>
                <w:w w:val="105"/>
                <w:sz w:val="16"/>
              </w:rPr>
              <w:t>1,306</w:t>
            </w:r>
          </w:p>
        </w:tc>
      </w:tr>
      <w:tr>
        <w:trPr>
          <w:trHeight w:val="203" w:hRule="atLeast"/>
        </w:trPr>
        <w:tc>
          <w:tcPr>
            <w:tcW w:w="7553" w:type="dxa"/>
          </w:tcPr>
          <w:p>
            <w:pPr>
              <w:pStyle w:val="TableParagraph"/>
              <w:rPr>
                <w:sz w:val="14"/>
              </w:rPr>
            </w:pPr>
          </w:p>
        </w:tc>
        <w:tc>
          <w:tcPr>
            <w:tcW w:w="1289" w:type="dxa"/>
          </w:tcPr>
          <w:p>
            <w:pPr>
              <w:pStyle w:val="TableParagraph"/>
              <w:rPr>
                <w:sz w:val="14"/>
              </w:rPr>
            </w:pPr>
          </w:p>
        </w:tc>
        <w:tc>
          <w:tcPr>
            <w:tcW w:w="1376" w:type="dxa"/>
          </w:tcPr>
          <w:p>
            <w:pPr>
              <w:pStyle w:val="TableParagraph"/>
              <w:rPr>
                <w:sz w:val="14"/>
              </w:rPr>
            </w:pPr>
          </w:p>
        </w:tc>
        <w:tc>
          <w:tcPr>
            <w:tcW w:w="1348" w:type="dxa"/>
          </w:tcPr>
          <w:p>
            <w:pPr>
              <w:pStyle w:val="TableParagraph"/>
              <w:rPr>
                <w:sz w:val="14"/>
              </w:rPr>
            </w:pPr>
          </w:p>
        </w:tc>
      </w:tr>
      <w:tr>
        <w:trPr>
          <w:trHeight w:val="203" w:hRule="atLeast"/>
        </w:trPr>
        <w:tc>
          <w:tcPr>
            <w:tcW w:w="7553" w:type="dxa"/>
            <w:shd w:val="clear" w:color="auto" w:fill="CCEDFF"/>
          </w:tcPr>
          <w:p>
            <w:pPr>
              <w:pStyle w:val="TableParagraph"/>
              <w:spacing w:line="180" w:lineRule="exact" w:before="3"/>
              <w:ind w:left="50"/>
              <w:rPr>
                <w:sz w:val="16"/>
              </w:rPr>
            </w:pPr>
            <w:r>
              <w:rPr>
                <w:w w:val="105"/>
                <w:sz w:val="16"/>
              </w:rPr>
              <w:t>Equity</w:t>
            </w:r>
            <w:r>
              <w:rPr>
                <w:spacing w:val="-11"/>
                <w:w w:val="105"/>
                <w:sz w:val="16"/>
              </w:rPr>
              <w:t> </w:t>
            </w:r>
            <w:r>
              <w:rPr>
                <w:w w:val="105"/>
                <w:sz w:val="16"/>
              </w:rPr>
              <w:t>in</w:t>
            </w:r>
            <w:r>
              <w:rPr>
                <w:spacing w:val="-10"/>
                <w:w w:val="105"/>
                <w:sz w:val="16"/>
              </w:rPr>
              <w:t> </w:t>
            </w:r>
            <w:r>
              <w:rPr>
                <w:w w:val="105"/>
                <w:sz w:val="16"/>
              </w:rPr>
              <w:t>earnings</w:t>
            </w:r>
            <w:r>
              <w:rPr>
                <w:spacing w:val="-10"/>
                <w:w w:val="105"/>
                <w:sz w:val="16"/>
              </w:rPr>
              <w:t> </w:t>
            </w:r>
            <w:r>
              <w:rPr>
                <w:w w:val="105"/>
                <w:sz w:val="16"/>
              </w:rPr>
              <w:t>(losses)</w:t>
            </w:r>
            <w:r>
              <w:rPr>
                <w:spacing w:val="-10"/>
                <w:w w:val="105"/>
                <w:sz w:val="16"/>
              </w:rPr>
              <w:t> </w:t>
            </w:r>
            <w:r>
              <w:rPr>
                <w:w w:val="105"/>
                <w:sz w:val="16"/>
              </w:rPr>
              <w:t>of</w:t>
            </w:r>
            <w:r>
              <w:rPr>
                <w:spacing w:val="-8"/>
                <w:w w:val="105"/>
                <w:sz w:val="16"/>
              </w:rPr>
              <w:t> </w:t>
            </w:r>
            <w:r>
              <w:rPr>
                <w:w w:val="105"/>
                <w:sz w:val="16"/>
              </w:rPr>
              <w:t>affiliated</w:t>
            </w:r>
            <w:r>
              <w:rPr>
                <w:spacing w:val="-10"/>
                <w:w w:val="105"/>
                <w:sz w:val="16"/>
              </w:rPr>
              <w:t> </w:t>
            </w:r>
            <w:r>
              <w:rPr>
                <w:w w:val="105"/>
                <w:sz w:val="16"/>
              </w:rPr>
              <w:t>companies</w:t>
            </w:r>
            <w:r>
              <w:rPr>
                <w:spacing w:val="-10"/>
                <w:w w:val="105"/>
                <w:sz w:val="16"/>
              </w:rPr>
              <w:t> </w:t>
            </w:r>
            <w:r>
              <w:rPr>
                <w:w w:val="105"/>
                <w:sz w:val="16"/>
              </w:rPr>
              <w:t>(Note</w:t>
            </w:r>
            <w:r>
              <w:rPr>
                <w:spacing w:val="-10"/>
                <w:w w:val="105"/>
                <w:sz w:val="16"/>
              </w:rPr>
              <w:t> </w:t>
            </w:r>
            <w:r>
              <w:rPr>
                <w:spacing w:val="-5"/>
                <w:w w:val="105"/>
                <w:sz w:val="16"/>
              </w:rPr>
              <w:t>3)</w:t>
            </w:r>
          </w:p>
        </w:tc>
        <w:tc>
          <w:tcPr>
            <w:tcW w:w="1289" w:type="dxa"/>
            <w:shd w:val="clear" w:color="auto" w:fill="CCEDFF"/>
          </w:tcPr>
          <w:p>
            <w:pPr>
              <w:pStyle w:val="TableParagraph"/>
              <w:spacing w:line="180" w:lineRule="exact" w:before="3"/>
              <w:ind w:left="-1" w:right="140"/>
              <w:jc w:val="right"/>
              <w:rPr>
                <w:b/>
                <w:sz w:val="16"/>
              </w:rPr>
            </w:pPr>
            <w:r>
              <w:rPr>
                <w:b/>
                <w:spacing w:val="-5"/>
                <w:w w:val="105"/>
                <w:sz w:val="16"/>
              </w:rPr>
              <w:t>35</w:t>
            </w:r>
          </w:p>
        </w:tc>
        <w:tc>
          <w:tcPr>
            <w:tcW w:w="1376" w:type="dxa"/>
            <w:shd w:val="clear" w:color="auto" w:fill="CCEDFF"/>
          </w:tcPr>
          <w:p>
            <w:pPr>
              <w:pStyle w:val="TableParagraph"/>
              <w:spacing w:line="180" w:lineRule="exact" w:before="3"/>
              <w:ind w:right="85"/>
              <w:jc w:val="right"/>
              <w:rPr>
                <w:sz w:val="16"/>
              </w:rPr>
            </w:pPr>
            <w:r>
              <w:rPr>
                <w:spacing w:val="-4"/>
                <w:w w:val="105"/>
                <w:sz w:val="16"/>
              </w:rPr>
              <w:t>(25)</w:t>
            </w:r>
          </w:p>
        </w:tc>
        <w:tc>
          <w:tcPr>
            <w:tcW w:w="1348" w:type="dxa"/>
            <w:shd w:val="clear" w:color="auto" w:fill="CCEDFF"/>
          </w:tcPr>
          <w:p>
            <w:pPr>
              <w:pStyle w:val="TableParagraph"/>
              <w:spacing w:line="180" w:lineRule="exact" w:before="3"/>
              <w:ind w:right="113"/>
              <w:jc w:val="right"/>
              <w:rPr>
                <w:sz w:val="16"/>
              </w:rPr>
            </w:pPr>
            <w:r>
              <w:rPr>
                <w:spacing w:val="-5"/>
                <w:w w:val="105"/>
                <w:sz w:val="16"/>
              </w:rPr>
              <w:t>17</w:t>
            </w:r>
          </w:p>
        </w:tc>
      </w:tr>
      <w:tr>
        <w:trPr>
          <w:trHeight w:val="203" w:hRule="atLeast"/>
        </w:trPr>
        <w:tc>
          <w:tcPr>
            <w:tcW w:w="7553" w:type="dxa"/>
          </w:tcPr>
          <w:p>
            <w:pPr>
              <w:pStyle w:val="TableParagraph"/>
              <w:spacing w:line="180" w:lineRule="exact" w:before="3"/>
              <w:ind w:left="50"/>
              <w:rPr>
                <w:sz w:val="16"/>
              </w:rPr>
            </w:pPr>
            <w:r>
              <w:rPr>
                <w:sz w:val="16"/>
              </w:rPr>
              <w:t>Interest</w:t>
            </w:r>
            <w:r>
              <w:rPr>
                <w:spacing w:val="15"/>
                <w:sz w:val="16"/>
              </w:rPr>
              <w:t> </w:t>
            </w:r>
            <w:r>
              <w:rPr>
                <w:spacing w:val="-2"/>
                <w:sz w:val="16"/>
              </w:rPr>
              <w:t>income</w:t>
            </w:r>
          </w:p>
        </w:tc>
        <w:tc>
          <w:tcPr>
            <w:tcW w:w="1289" w:type="dxa"/>
          </w:tcPr>
          <w:p>
            <w:pPr>
              <w:pStyle w:val="TableParagraph"/>
              <w:spacing w:line="180" w:lineRule="exact" w:before="3"/>
              <w:ind w:left="-1" w:right="140"/>
              <w:jc w:val="right"/>
              <w:rPr>
                <w:b/>
                <w:sz w:val="16"/>
              </w:rPr>
            </w:pPr>
            <w:r>
              <w:rPr>
                <w:b/>
                <w:spacing w:val="-5"/>
                <w:w w:val="105"/>
                <w:sz w:val="16"/>
              </w:rPr>
              <w:t>11</w:t>
            </w:r>
          </w:p>
        </w:tc>
        <w:tc>
          <w:tcPr>
            <w:tcW w:w="1376" w:type="dxa"/>
          </w:tcPr>
          <w:p>
            <w:pPr>
              <w:pStyle w:val="TableParagraph"/>
              <w:spacing w:line="180" w:lineRule="exact" w:before="3"/>
              <w:ind w:right="140"/>
              <w:jc w:val="right"/>
              <w:rPr>
                <w:sz w:val="16"/>
              </w:rPr>
            </w:pPr>
            <w:r>
              <w:rPr>
                <w:spacing w:val="-5"/>
                <w:w w:val="105"/>
                <w:sz w:val="16"/>
              </w:rPr>
              <w:t>15</w:t>
            </w:r>
          </w:p>
        </w:tc>
        <w:tc>
          <w:tcPr>
            <w:tcW w:w="1348" w:type="dxa"/>
          </w:tcPr>
          <w:p>
            <w:pPr>
              <w:pStyle w:val="TableParagraph"/>
              <w:spacing w:line="180" w:lineRule="exact" w:before="3"/>
              <w:ind w:right="113"/>
              <w:jc w:val="right"/>
              <w:rPr>
                <w:sz w:val="16"/>
              </w:rPr>
            </w:pPr>
            <w:r>
              <w:rPr>
                <w:spacing w:val="-5"/>
                <w:w w:val="105"/>
                <w:sz w:val="16"/>
              </w:rPr>
              <w:t>21</w:t>
            </w:r>
          </w:p>
        </w:tc>
      </w:tr>
      <w:tr>
        <w:trPr>
          <w:trHeight w:val="203" w:hRule="atLeast"/>
        </w:trPr>
        <w:tc>
          <w:tcPr>
            <w:tcW w:w="7553" w:type="dxa"/>
            <w:shd w:val="clear" w:color="auto" w:fill="CCEDFF"/>
          </w:tcPr>
          <w:p>
            <w:pPr>
              <w:pStyle w:val="TableParagraph"/>
              <w:spacing w:line="180" w:lineRule="exact" w:before="3"/>
              <w:ind w:left="50"/>
              <w:rPr>
                <w:sz w:val="16"/>
              </w:rPr>
            </w:pPr>
            <w:r>
              <w:rPr>
                <w:sz w:val="16"/>
              </w:rPr>
              <w:t>Interest</w:t>
            </w:r>
            <w:r>
              <w:rPr>
                <w:spacing w:val="15"/>
                <w:sz w:val="16"/>
              </w:rPr>
              <w:t> </w:t>
            </w:r>
            <w:r>
              <w:rPr>
                <w:spacing w:val="-2"/>
                <w:sz w:val="16"/>
              </w:rPr>
              <w:t>expense</w:t>
            </w:r>
          </w:p>
        </w:tc>
        <w:tc>
          <w:tcPr>
            <w:tcW w:w="1289" w:type="dxa"/>
            <w:shd w:val="clear" w:color="auto" w:fill="CCEDFF"/>
          </w:tcPr>
          <w:p>
            <w:pPr>
              <w:pStyle w:val="TableParagraph"/>
              <w:spacing w:line="180" w:lineRule="exact" w:before="3"/>
              <w:ind w:left="-1" w:right="85"/>
              <w:jc w:val="right"/>
              <w:rPr>
                <w:b/>
                <w:sz w:val="16"/>
              </w:rPr>
            </w:pPr>
            <w:r>
              <w:rPr>
                <w:b/>
                <w:spacing w:val="-2"/>
                <w:w w:val="105"/>
                <w:sz w:val="16"/>
              </w:rPr>
              <w:t>(300)</w:t>
            </w:r>
          </w:p>
        </w:tc>
        <w:tc>
          <w:tcPr>
            <w:tcW w:w="1376" w:type="dxa"/>
            <w:shd w:val="clear" w:color="auto" w:fill="CCEDFF"/>
          </w:tcPr>
          <w:p>
            <w:pPr>
              <w:pStyle w:val="TableParagraph"/>
              <w:spacing w:line="180" w:lineRule="exact" w:before="3"/>
              <w:ind w:right="85"/>
              <w:jc w:val="right"/>
              <w:rPr>
                <w:sz w:val="16"/>
              </w:rPr>
            </w:pPr>
            <w:r>
              <w:rPr>
                <w:spacing w:val="-2"/>
                <w:w w:val="105"/>
                <w:sz w:val="16"/>
              </w:rPr>
              <w:t>(276)</w:t>
            </w:r>
          </w:p>
        </w:tc>
        <w:tc>
          <w:tcPr>
            <w:tcW w:w="1348" w:type="dxa"/>
            <w:shd w:val="clear" w:color="auto" w:fill="CCEDFF"/>
          </w:tcPr>
          <w:p>
            <w:pPr>
              <w:pStyle w:val="TableParagraph"/>
              <w:spacing w:line="180" w:lineRule="exact" w:before="3"/>
              <w:ind w:right="59"/>
              <w:jc w:val="right"/>
              <w:rPr>
                <w:sz w:val="16"/>
              </w:rPr>
            </w:pPr>
            <w:r>
              <w:rPr>
                <w:spacing w:val="-2"/>
                <w:w w:val="105"/>
                <w:sz w:val="16"/>
              </w:rPr>
              <w:t>(221)</w:t>
            </w:r>
          </w:p>
        </w:tc>
      </w:tr>
      <w:tr>
        <w:trPr>
          <w:trHeight w:val="203" w:hRule="atLeast"/>
        </w:trPr>
        <w:tc>
          <w:tcPr>
            <w:tcW w:w="7553" w:type="dxa"/>
          </w:tcPr>
          <w:p>
            <w:pPr>
              <w:pStyle w:val="TableParagraph"/>
              <w:spacing w:line="180" w:lineRule="exact" w:before="3"/>
              <w:ind w:left="50"/>
              <w:rPr>
                <w:sz w:val="16"/>
              </w:rPr>
            </w:pPr>
            <w:r>
              <w:rPr>
                <w:w w:val="105"/>
                <w:sz w:val="16"/>
              </w:rPr>
              <w:t>Translated</w:t>
            </w:r>
            <w:r>
              <w:rPr>
                <w:spacing w:val="-11"/>
                <w:w w:val="105"/>
                <w:sz w:val="16"/>
              </w:rPr>
              <w:t> </w:t>
            </w:r>
            <w:r>
              <w:rPr>
                <w:w w:val="105"/>
                <w:sz w:val="16"/>
              </w:rPr>
              <w:t>earnings</w:t>
            </w:r>
            <w:r>
              <w:rPr>
                <w:spacing w:val="-10"/>
                <w:w w:val="105"/>
                <w:sz w:val="16"/>
              </w:rPr>
              <w:t> </w:t>
            </w:r>
            <w:r>
              <w:rPr>
                <w:w w:val="105"/>
                <w:sz w:val="16"/>
              </w:rPr>
              <w:t>contract</w:t>
            </w:r>
            <w:r>
              <w:rPr>
                <w:spacing w:val="-10"/>
                <w:w w:val="105"/>
                <w:sz w:val="16"/>
              </w:rPr>
              <w:t> </w:t>
            </w:r>
            <w:r>
              <w:rPr>
                <w:w w:val="105"/>
                <w:sz w:val="16"/>
              </w:rPr>
              <w:t>gain</w:t>
            </w:r>
            <w:r>
              <w:rPr>
                <w:spacing w:val="-10"/>
                <w:w w:val="105"/>
                <w:sz w:val="16"/>
              </w:rPr>
              <w:t> </w:t>
            </w:r>
            <w:r>
              <w:rPr>
                <w:w w:val="105"/>
                <w:sz w:val="16"/>
              </w:rPr>
              <w:t>(loss),</w:t>
            </w:r>
            <w:r>
              <w:rPr>
                <w:spacing w:val="-10"/>
                <w:w w:val="105"/>
                <w:sz w:val="16"/>
              </w:rPr>
              <w:t> </w:t>
            </w:r>
            <w:r>
              <w:rPr>
                <w:w w:val="105"/>
                <w:sz w:val="16"/>
              </w:rPr>
              <w:t>net</w:t>
            </w:r>
            <w:r>
              <w:rPr>
                <w:spacing w:val="-11"/>
                <w:w w:val="105"/>
                <w:sz w:val="16"/>
              </w:rPr>
              <w:t> </w:t>
            </w:r>
            <w:r>
              <w:rPr>
                <w:w w:val="105"/>
                <w:sz w:val="16"/>
              </w:rPr>
              <w:t>(Note</w:t>
            </w:r>
            <w:r>
              <w:rPr>
                <w:spacing w:val="-10"/>
                <w:w w:val="105"/>
                <w:sz w:val="16"/>
              </w:rPr>
              <w:t> </w:t>
            </w:r>
            <w:r>
              <w:rPr>
                <w:spacing w:val="-5"/>
                <w:w w:val="105"/>
                <w:sz w:val="16"/>
              </w:rPr>
              <w:t>15)</w:t>
            </w:r>
          </w:p>
        </w:tc>
        <w:tc>
          <w:tcPr>
            <w:tcW w:w="1289" w:type="dxa"/>
          </w:tcPr>
          <w:p>
            <w:pPr>
              <w:pStyle w:val="TableParagraph"/>
              <w:spacing w:line="180" w:lineRule="exact" w:before="3"/>
              <w:ind w:left="-1" w:right="140"/>
              <w:jc w:val="right"/>
              <w:rPr>
                <w:b/>
                <w:sz w:val="16"/>
              </w:rPr>
            </w:pPr>
            <w:r>
              <w:rPr>
                <w:b/>
                <w:spacing w:val="-5"/>
                <w:w w:val="105"/>
                <w:sz w:val="16"/>
              </w:rPr>
              <w:t>354</w:t>
            </w:r>
          </w:p>
        </w:tc>
        <w:tc>
          <w:tcPr>
            <w:tcW w:w="1376" w:type="dxa"/>
          </w:tcPr>
          <w:p>
            <w:pPr>
              <w:pStyle w:val="TableParagraph"/>
              <w:spacing w:line="180" w:lineRule="exact" w:before="3"/>
              <w:ind w:right="85"/>
              <w:jc w:val="right"/>
              <w:rPr>
                <w:sz w:val="16"/>
              </w:rPr>
            </w:pPr>
            <w:r>
              <w:rPr>
                <w:spacing w:val="-4"/>
                <w:w w:val="105"/>
                <w:sz w:val="16"/>
              </w:rPr>
              <w:t>(38)</w:t>
            </w:r>
          </w:p>
        </w:tc>
        <w:tc>
          <w:tcPr>
            <w:tcW w:w="1348" w:type="dxa"/>
          </w:tcPr>
          <w:p>
            <w:pPr>
              <w:pStyle w:val="TableParagraph"/>
              <w:spacing w:line="180" w:lineRule="exact" w:before="3"/>
              <w:ind w:right="113"/>
              <w:jc w:val="right"/>
              <w:rPr>
                <w:sz w:val="16"/>
              </w:rPr>
            </w:pPr>
            <w:r>
              <w:rPr>
                <w:spacing w:val="-5"/>
                <w:w w:val="105"/>
                <w:sz w:val="16"/>
              </w:rPr>
              <w:t>248</w:t>
            </w:r>
          </w:p>
        </w:tc>
      </w:tr>
      <w:tr>
        <w:trPr>
          <w:trHeight w:val="203" w:hRule="atLeast"/>
        </w:trPr>
        <w:tc>
          <w:tcPr>
            <w:tcW w:w="7553" w:type="dxa"/>
            <w:shd w:val="clear" w:color="auto" w:fill="CCEDFF"/>
          </w:tcPr>
          <w:p>
            <w:pPr>
              <w:pStyle w:val="TableParagraph"/>
              <w:spacing w:line="180" w:lineRule="exact" w:before="3"/>
              <w:ind w:left="50"/>
              <w:rPr>
                <w:sz w:val="16"/>
              </w:rPr>
            </w:pPr>
            <w:r>
              <w:rPr>
                <w:sz w:val="16"/>
              </w:rPr>
              <w:t>Transaction-related</w:t>
            </w:r>
            <w:r>
              <w:rPr>
                <w:spacing w:val="17"/>
                <w:sz w:val="16"/>
              </w:rPr>
              <w:t> </w:t>
            </w:r>
            <w:r>
              <w:rPr>
                <w:sz w:val="16"/>
              </w:rPr>
              <w:t>gain,</w:t>
            </w:r>
            <w:r>
              <w:rPr>
                <w:spacing w:val="17"/>
                <w:sz w:val="16"/>
              </w:rPr>
              <w:t> </w:t>
            </w:r>
            <w:r>
              <w:rPr>
                <w:sz w:val="16"/>
              </w:rPr>
              <w:t>net</w:t>
            </w:r>
            <w:r>
              <w:rPr>
                <w:spacing w:val="18"/>
                <w:sz w:val="16"/>
              </w:rPr>
              <w:t> </w:t>
            </w:r>
            <w:r>
              <w:rPr>
                <w:sz w:val="16"/>
              </w:rPr>
              <w:t>(Note</w:t>
            </w:r>
            <w:r>
              <w:rPr>
                <w:spacing w:val="17"/>
                <w:sz w:val="16"/>
              </w:rPr>
              <w:t> </w:t>
            </w:r>
            <w:r>
              <w:rPr>
                <w:spacing w:val="-5"/>
                <w:sz w:val="16"/>
              </w:rPr>
              <w:t>4)</w:t>
            </w:r>
          </w:p>
        </w:tc>
        <w:tc>
          <w:tcPr>
            <w:tcW w:w="1289" w:type="dxa"/>
            <w:shd w:val="clear" w:color="auto" w:fill="CCEDFF"/>
          </w:tcPr>
          <w:p>
            <w:pPr>
              <w:pStyle w:val="TableParagraph"/>
              <w:rPr>
                <w:sz w:val="14"/>
              </w:rPr>
            </w:pPr>
          </w:p>
        </w:tc>
        <w:tc>
          <w:tcPr>
            <w:tcW w:w="1376" w:type="dxa"/>
            <w:shd w:val="clear" w:color="auto" w:fill="CCEDFF"/>
          </w:tcPr>
          <w:p>
            <w:pPr>
              <w:pStyle w:val="TableParagraph"/>
              <w:spacing w:line="180" w:lineRule="exact" w:before="3"/>
              <w:ind w:right="140"/>
              <w:jc w:val="right"/>
              <w:rPr>
                <w:sz w:val="16"/>
              </w:rPr>
            </w:pPr>
            <w:r>
              <w:rPr>
                <w:spacing w:val="-5"/>
                <w:w w:val="105"/>
                <w:sz w:val="16"/>
              </w:rPr>
              <w:t>498</w:t>
            </w:r>
          </w:p>
        </w:tc>
        <w:tc>
          <w:tcPr>
            <w:tcW w:w="1348" w:type="dxa"/>
            <w:shd w:val="clear" w:color="auto" w:fill="CCEDFF"/>
          </w:tcPr>
          <w:p>
            <w:pPr>
              <w:pStyle w:val="TableParagraph"/>
              <w:rPr>
                <w:sz w:val="14"/>
              </w:rPr>
            </w:pPr>
          </w:p>
        </w:tc>
      </w:tr>
      <w:tr>
        <w:trPr>
          <w:trHeight w:val="202" w:hRule="atLeast"/>
        </w:trPr>
        <w:tc>
          <w:tcPr>
            <w:tcW w:w="7553" w:type="dxa"/>
          </w:tcPr>
          <w:p>
            <w:pPr>
              <w:pStyle w:val="TableParagraph"/>
              <w:spacing w:line="166" w:lineRule="exact" w:before="16"/>
              <w:ind w:left="50"/>
              <w:rPr>
                <w:sz w:val="16"/>
              </w:rPr>
            </w:pPr>
            <w:r>
              <w:rPr>
                <w:sz w:val="16"/>
              </w:rPr>
              <w:t>Other</w:t>
            </w:r>
            <w:r>
              <w:rPr>
                <w:spacing w:val="15"/>
                <w:sz w:val="16"/>
              </w:rPr>
              <w:t> </w:t>
            </w:r>
            <w:r>
              <w:rPr>
                <w:sz w:val="16"/>
              </w:rPr>
              <w:t>income</w:t>
            </w:r>
            <w:r>
              <w:rPr>
                <w:spacing w:val="16"/>
                <w:sz w:val="16"/>
              </w:rPr>
              <w:t> </w:t>
            </w:r>
            <w:r>
              <w:rPr>
                <w:sz w:val="16"/>
              </w:rPr>
              <w:t>(expense),</w:t>
            </w:r>
            <w:r>
              <w:rPr>
                <w:spacing w:val="16"/>
                <w:sz w:val="16"/>
              </w:rPr>
              <w:t> </w:t>
            </w:r>
            <w:r>
              <w:rPr>
                <w:spacing w:val="-5"/>
                <w:sz w:val="16"/>
              </w:rPr>
              <w:t>net</w:t>
            </w:r>
          </w:p>
        </w:tc>
        <w:tc>
          <w:tcPr>
            <w:tcW w:w="1289" w:type="dxa"/>
            <w:tcBorders>
              <w:bottom w:val="single" w:sz="6" w:space="0" w:color="000000"/>
            </w:tcBorders>
          </w:tcPr>
          <w:p>
            <w:pPr>
              <w:pStyle w:val="TableParagraph"/>
              <w:spacing w:line="179" w:lineRule="exact" w:before="3"/>
              <w:ind w:left="-1" w:right="140"/>
              <w:jc w:val="right"/>
              <w:rPr>
                <w:b/>
                <w:sz w:val="16"/>
              </w:rPr>
            </w:pPr>
            <w:r>
              <w:rPr>
                <w:b/>
                <w:spacing w:val="-5"/>
                <w:w w:val="105"/>
                <w:sz w:val="16"/>
              </w:rPr>
              <w:t>185</w:t>
            </w:r>
          </w:p>
        </w:tc>
        <w:tc>
          <w:tcPr>
            <w:tcW w:w="1376" w:type="dxa"/>
            <w:tcBorders>
              <w:bottom w:val="single" w:sz="6" w:space="0" w:color="000000"/>
            </w:tcBorders>
          </w:tcPr>
          <w:p>
            <w:pPr>
              <w:pStyle w:val="TableParagraph"/>
              <w:spacing w:line="179" w:lineRule="exact" w:before="3"/>
              <w:ind w:right="85"/>
              <w:jc w:val="right"/>
              <w:rPr>
                <w:sz w:val="16"/>
              </w:rPr>
            </w:pPr>
            <w:r>
              <w:rPr>
                <w:spacing w:val="-4"/>
                <w:w w:val="105"/>
                <w:sz w:val="16"/>
              </w:rPr>
              <w:t>(60)</w:t>
            </w:r>
          </w:p>
        </w:tc>
        <w:tc>
          <w:tcPr>
            <w:tcW w:w="1348" w:type="dxa"/>
            <w:tcBorders>
              <w:bottom w:val="single" w:sz="6" w:space="0" w:color="000000"/>
            </w:tcBorders>
          </w:tcPr>
          <w:p>
            <w:pPr>
              <w:pStyle w:val="TableParagraph"/>
              <w:spacing w:line="179" w:lineRule="exact" w:before="3"/>
              <w:ind w:right="59"/>
              <w:jc w:val="right"/>
              <w:rPr>
                <w:sz w:val="16"/>
              </w:rPr>
            </w:pPr>
            <w:r>
              <w:rPr>
                <w:spacing w:val="-2"/>
                <w:w w:val="105"/>
                <w:sz w:val="16"/>
              </w:rPr>
              <w:t>(155)</w:t>
            </w:r>
          </w:p>
        </w:tc>
      </w:tr>
      <w:tr>
        <w:trPr>
          <w:trHeight w:val="202" w:hRule="atLeast"/>
        </w:trPr>
        <w:tc>
          <w:tcPr>
            <w:tcW w:w="7553" w:type="dxa"/>
            <w:shd w:val="clear" w:color="auto" w:fill="CCEDFF"/>
          </w:tcPr>
          <w:p>
            <w:pPr>
              <w:pStyle w:val="TableParagraph"/>
              <w:rPr>
                <w:sz w:val="14"/>
              </w:rPr>
            </w:pPr>
          </w:p>
        </w:tc>
        <w:tc>
          <w:tcPr>
            <w:tcW w:w="1289" w:type="dxa"/>
            <w:tcBorders>
              <w:top w:val="single" w:sz="6" w:space="0" w:color="000000"/>
            </w:tcBorders>
            <w:shd w:val="clear" w:color="auto" w:fill="CCEDFF"/>
          </w:tcPr>
          <w:p>
            <w:pPr>
              <w:pStyle w:val="TableParagraph"/>
              <w:rPr>
                <w:sz w:val="14"/>
              </w:rPr>
            </w:pPr>
          </w:p>
        </w:tc>
        <w:tc>
          <w:tcPr>
            <w:tcW w:w="1376" w:type="dxa"/>
            <w:tcBorders>
              <w:top w:val="single" w:sz="6" w:space="0" w:color="000000"/>
            </w:tcBorders>
            <w:shd w:val="clear" w:color="auto" w:fill="CCEDFF"/>
          </w:tcPr>
          <w:p>
            <w:pPr>
              <w:pStyle w:val="TableParagraph"/>
              <w:rPr>
                <w:sz w:val="14"/>
              </w:rPr>
            </w:pPr>
          </w:p>
        </w:tc>
        <w:tc>
          <w:tcPr>
            <w:tcW w:w="1348" w:type="dxa"/>
            <w:tcBorders>
              <w:top w:val="single" w:sz="6" w:space="0" w:color="000000"/>
            </w:tcBorders>
            <w:shd w:val="clear" w:color="auto" w:fill="CCEDFF"/>
          </w:tcPr>
          <w:p>
            <w:pPr>
              <w:pStyle w:val="TableParagraph"/>
              <w:rPr>
                <w:sz w:val="14"/>
              </w:rPr>
            </w:pPr>
          </w:p>
        </w:tc>
      </w:tr>
      <w:tr>
        <w:trPr>
          <w:trHeight w:val="203" w:hRule="atLeast"/>
        </w:trPr>
        <w:tc>
          <w:tcPr>
            <w:tcW w:w="7553" w:type="dxa"/>
          </w:tcPr>
          <w:p>
            <w:pPr>
              <w:pStyle w:val="TableParagraph"/>
              <w:spacing w:line="180" w:lineRule="exact" w:before="3"/>
              <w:ind w:left="50"/>
              <w:rPr>
                <w:sz w:val="16"/>
              </w:rPr>
            </w:pPr>
            <w:r>
              <w:rPr>
                <w:w w:val="105"/>
                <w:sz w:val="16"/>
              </w:rPr>
              <w:t>Income</w:t>
            </w:r>
            <w:r>
              <w:rPr>
                <w:spacing w:val="-11"/>
                <w:w w:val="105"/>
                <w:sz w:val="16"/>
              </w:rPr>
              <w:t> </w:t>
            </w:r>
            <w:r>
              <w:rPr>
                <w:w w:val="105"/>
                <w:sz w:val="16"/>
              </w:rPr>
              <w:t>before</w:t>
            </w:r>
            <w:r>
              <w:rPr>
                <w:spacing w:val="-10"/>
                <w:w w:val="105"/>
                <w:sz w:val="16"/>
              </w:rPr>
              <w:t> </w:t>
            </w:r>
            <w:r>
              <w:rPr>
                <w:w w:val="105"/>
                <w:sz w:val="16"/>
              </w:rPr>
              <w:t>income</w:t>
            </w:r>
            <w:r>
              <w:rPr>
                <w:spacing w:val="-10"/>
                <w:w w:val="105"/>
                <w:sz w:val="16"/>
              </w:rPr>
              <w:t> </w:t>
            </w:r>
            <w:r>
              <w:rPr>
                <w:spacing w:val="-2"/>
                <w:w w:val="105"/>
                <w:sz w:val="16"/>
              </w:rPr>
              <w:t>taxes</w:t>
            </w:r>
          </w:p>
        </w:tc>
        <w:tc>
          <w:tcPr>
            <w:tcW w:w="1289" w:type="dxa"/>
          </w:tcPr>
          <w:p>
            <w:pPr>
              <w:pStyle w:val="TableParagraph"/>
              <w:spacing w:line="180" w:lineRule="exact" w:before="3"/>
              <w:ind w:left="-1" w:right="140"/>
              <w:jc w:val="right"/>
              <w:rPr>
                <w:b/>
                <w:sz w:val="16"/>
              </w:rPr>
            </w:pPr>
            <w:r>
              <w:rPr>
                <w:b/>
                <w:spacing w:val="-4"/>
                <w:w w:val="105"/>
                <w:sz w:val="16"/>
              </w:rPr>
              <w:t>2,397</w:t>
            </w:r>
          </w:p>
        </w:tc>
        <w:tc>
          <w:tcPr>
            <w:tcW w:w="1376" w:type="dxa"/>
          </w:tcPr>
          <w:p>
            <w:pPr>
              <w:pStyle w:val="TableParagraph"/>
              <w:spacing w:line="180" w:lineRule="exact" w:before="3"/>
              <w:ind w:right="140"/>
              <w:jc w:val="right"/>
              <w:rPr>
                <w:sz w:val="16"/>
              </w:rPr>
            </w:pPr>
            <w:r>
              <w:rPr>
                <w:spacing w:val="-5"/>
                <w:w w:val="105"/>
                <w:sz w:val="16"/>
              </w:rPr>
              <w:t>623</w:t>
            </w:r>
          </w:p>
        </w:tc>
        <w:tc>
          <w:tcPr>
            <w:tcW w:w="1348" w:type="dxa"/>
          </w:tcPr>
          <w:p>
            <w:pPr>
              <w:pStyle w:val="TableParagraph"/>
              <w:spacing w:line="180" w:lineRule="exact" w:before="3"/>
              <w:ind w:right="113"/>
              <w:jc w:val="right"/>
              <w:rPr>
                <w:sz w:val="16"/>
              </w:rPr>
            </w:pPr>
            <w:r>
              <w:rPr>
                <w:spacing w:val="-4"/>
                <w:w w:val="105"/>
                <w:sz w:val="16"/>
              </w:rPr>
              <w:t>1,216</w:t>
            </w:r>
          </w:p>
        </w:tc>
      </w:tr>
      <w:tr>
        <w:trPr>
          <w:trHeight w:val="202" w:hRule="atLeast"/>
        </w:trPr>
        <w:tc>
          <w:tcPr>
            <w:tcW w:w="7553" w:type="dxa"/>
            <w:shd w:val="clear" w:color="auto" w:fill="CCEDFF"/>
          </w:tcPr>
          <w:p>
            <w:pPr>
              <w:pStyle w:val="TableParagraph"/>
              <w:spacing w:line="166" w:lineRule="exact" w:before="16"/>
              <w:ind w:left="50"/>
              <w:rPr>
                <w:sz w:val="16"/>
              </w:rPr>
            </w:pPr>
            <w:r>
              <w:rPr>
                <w:w w:val="105"/>
                <w:sz w:val="16"/>
              </w:rPr>
              <w:t>Provision</w:t>
            </w:r>
            <w:r>
              <w:rPr>
                <w:spacing w:val="-10"/>
                <w:w w:val="105"/>
                <w:sz w:val="16"/>
              </w:rPr>
              <w:t> </w:t>
            </w:r>
            <w:r>
              <w:rPr>
                <w:w w:val="105"/>
                <w:sz w:val="16"/>
              </w:rPr>
              <w:t>for</w:t>
            </w:r>
            <w:r>
              <w:rPr>
                <w:spacing w:val="-9"/>
                <w:w w:val="105"/>
                <w:sz w:val="16"/>
              </w:rPr>
              <w:t> </w:t>
            </w:r>
            <w:r>
              <w:rPr>
                <w:w w:val="105"/>
                <w:sz w:val="16"/>
              </w:rPr>
              <w:t>income</w:t>
            </w:r>
            <w:r>
              <w:rPr>
                <w:spacing w:val="-9"/>
                <w:w w:val="105"/>
                <w:sz w:val="16"/>
              </w:rPr>
              <w:t> </w:t>
            </w:r>
            <w:r>
              <w:rPr>
                <w:w w:val="105"/>
                <w:sz w:val="16"/>
              </w:rPr>
              <w:t>taxes</w:t>
            </w:r>
            <w:r>
              <w:rPr>
                <w:spacing w:val="-10"/>
                <w:w w:val="105"/>
                <w:sz w:val="16"/>
              </w:rPr>
              <w:t> </w:t>
            </w:r>
            <w:r>
              <w:rPr>
                <w:w w:val="105"/>
                <w:sz w:val="16"/>
              </w:rPr>
              <w:t>(Note</w:t>
            </w:r>
            <w:r>
              <w:rPr>
                <w:spacing w:val="-9"/>
                <w:w w:val="105"/>
                <w:sz w:val="16"/>
              </w:rPr>
              <w:t> </w:t>
            </w:r>
            <w:r>
              <w:rPr>
                <w:spacing w:val="-5"/>
                <w:w w:val="105"/>
                <w:sz w:val="16"/>
              </w:rPr>
              <w:t>8)</w:t>
            </w:r>
          </w:p>
        </w:tc>
        <w:tc>
          <w:tcPr>
            <w:tcW w:w="1289" w:type="dxa"/>
            <w:tcBorders>
              <w:bottom w:val="single" w:sz="6" w:space="0" w:color="000000"/>
            </w:tcBorders>
            <w:shd w:val="clear" w:color="auto" w:fill="CCEDFF"/>
          </w:tcPr>
          <w:p>
            <w:pPr>
              <w:pStyle w:val="TableParagraph"/>
              <w:spacing w:line="179" w:lineRule="exact" w:before="3"/>
              <w:ind w:left="-1" w:right="85"/>
              <w:jc w:val="right"/>
              <w:rPr>
                <w:b/>
                <w:sz w:val="16"/>
              </w:rPr>
            </w:pPr>
            <w:r>
              <w:rPr>
                <w:b/>
                <w:spacing w:val="-2"/>
                <w:w w:val="105"/>
                <w:sz w:val="16"/>
              </w:rPr>
              <w:t>(491)</w:t>
            </w:r>
          </w:p>
        </w:tc>
        <w:tc>
          <w:tcPr>
            <w:tcW w:w="1376" w:type="dxa"/>
            <w:tcBorders>
              <w:bottom w:val="single" w:sz="6" w:space="0" w:color="000000"/>
            </w:tcBorders>
            <w:shd w:val="clear" w:color="auto" w:fill="CCEDFF"/>
          </w:tcPr>
          <w:p>
            <w:pPr>
              <w:pStyle w:val="TableParagraph"/>
              <w:spacing w:line="179" w:lineRule="exact" w:before="3"/>
              <w:ind w:right="85"/>
              <w:jc w:val="right"/>
              <w:rPr>
                <w:sz w:val="16"/>
              </w:rPr>
            </w:pPr>
            <w:r>
              <w:rPr>
                <w:spacing w:val="-2"/>
                <w:w w:val="105"/>
                <w:sz w:val="16"/>
              </w:rPr>
              <w:t>(111)</w:t>
            </w:r>
          </w:p>
        </w:tc>
        <w:tc>
          <w:tcPr>
            <w:tcW w:w="1348" w:type="dxa"/>
            <w:tcBorders>
              <w:bottom w:val="single" w:sz="6" w:space="0" w:color="000000"/>
            </w:tcBorders>
            <w:shd w:val="clear" w:color="auto" w:fill="CCEDFF"/>
          </w:tcPr>
          <w:p>
            <w:pPr>
              <w:pStyle w:val="TableParagraph"/>
              <w:spacing w:line="179" w:lineRule="exact" w:before="3"/>
              <w:ind w:right="59"/>
              <w:jc w:val="right"/>
              <w:rPr>
                <w:sz w:val="16"/>
              </w:rPr>
            </w:pPr>
            <w:r>
              <w:rPr>
                <w:spacing w:val="-2"/>
                <w:w w:val="105"/>
                <w:sz w:val="16"/>
              </w:rPr>
              <w:t>(256)</w:t>
            </w:r>
          </w:p>
        </w:tc>
      </w:tr>
      <w:tr>
        <w:trPr>
          <w:trHeight w:val="202" w:hRule="atLeast"/>
        </w:trPr>
        <w:tc>
          <w:tcPr>
            <w:tcW w:w="7553" w:type="dxa"/>
          </w:tcPr>
          <w:p>
            <w:pPr>
              <w:pStyle w:val="TableParagraph"/>
              <w:rPr>
                <w:sz w:val="14"/>
              </w:rPr>
            </w:pPr>
          </w:p>
        </w:tc>
        <w:tc>
          <w:tcPr>
            <w:tcW w:w="1289" w:type="dxa"/>
            <w:tcBorders>
              <w:top w:val="single" w:sz="6" w:space="0" w:color="000000"/>
            </w:tcBorders>
          </w:tcPr>
          <w:p>
            <w:pPr>
              <w:pStyle w:val="TableParagraph"/>
              <w:rPr>
                <w:sz w:val="14"/>
              </w:rPr>
            </w:pPr>
          </w:p>
        </w:tc>
        <w:tc>
          <w:tcPr>
            <w:tcW w:w="1376" w:type="dxa"/>
            <w:tcBorders>
              <w:top w:val="single" w:sz="6" w:space="0" w:color="000000"/>
            </w:tcBorders>
          </w:tcPr>
          <w:p>
            <w:pPr>
              <w:pStyle w:val="TableParagraph"/>
              <w:rPr>
                <w:sz w:val="14"/>
              </w:rPr>
            </w:pPr>
          </w:p>
        </w:tc>
        <w:tc>
          <w:tcPr>
            <w:tcW w:w="1348" w:type="dxa"/>
            <w:tcBorders>
              <w:top w:val="single" w:sz="6" w:space="0" w:color="000000"/>
            </w:tcBorders>
          </w:tcPr>
          <w:p>
            <w:pPr>
              <w:pStyle w:val="TableParagraph"/>
              <w:rPr>
                <w:sz w:val="14"/>
              </w:rPr>
            </w:pPr>
          </w:p>
        </w:tc>
      </w:tr>
      <w:tr>
        <w:trPr>
          <w:trHeight w:val="213" w:hRule="atLeast"/>
        </w:trPr>
        <w:tc>
          <w:tcPr>
            <w:tcW w:w="7553" w:type="dxa"/>
            <w:shd w:val="clear" w:color="auto" w:fill="CCEDFF"/>
          </w:tcPr>
          <w:p>
            <w:pPr>
              <w:pStyle w:val="TableParagraph"/>
              <w:spacing w:line="151" w:lineRule="exact" w:before="41"/>
              <w:ind w:left="50"/>
              <w:rPr>
                <w:sz w:val="16"/>
              </w:rPr>
            </w:pPr>
            <w:r>
              <w:rPr>
                <w:w w:val="105"/>
                <w:sz w:val="16"/>
              </w:rPr>
              <w:t>Net</w:t>
            </w:r>
            <w:r>
              <w:rPr>
                <w:spacing w:val="-9"/>
                <w:w w:val="105"/>
                <w:sz w:val="16"/>
              </w:rPr>
              <w:t> </w:t>
            </w:r>
            <w:r>
              <w:rPr>
                <w:w w:val="105"/>
                <w:sz w:val="16"/>
              </w:rPr>
              <w:t>income</w:t>
            </w:r>
            <w:r>
              <w:rPr>
                <w:spacing w:val="-9"/>
                <w:w w:val="105"/>
                <w:sz w:val="16"/>
              </w:rPr>
              <w:t> </w:t>
            </w:r>
            <w:r>
              <w:rPr>
                <w:w w:val="105"/>
                <w:sz w:val="16"/>
              </w:rPr>
              <w:t>attributable</w:t>
            </w:r>
            <w:r>
              <w:rPr>
                <w:spacing w:val="-9"/>
                <w:w w:val="105"/>
                <w:sz w:val="16"/>
              </w:rPr>
              <w:t> </w:t>
            </w:r>
            <w:r>
              <w:rPr>
                <w:w w:val="105"/>
                <w:sz w:val="16"/>
              </w:rPr>
              <w:t>to</w:t>
            </w:r>
            <w:r>
              <w:rPr>
                <w:spacing w:val="-9"/>
                <w:w w:val="105"/>
                <w:sz w:val="16"/>
              </w:rPr>
              <w:t> </w:t>
            </w:r>
            <w:r>
              <w:rPr>
                <w:w w:val="105"/>
                <w:sz w:val="16"/>
              </w:rPr>
              <w:t>Corning</w:t>
            </w:r>
            <w:r>
              <w:rPr>
                <w:spacing w:val="-9"/>
                <w:w w:val="105"/>
                <w:sz w:val="16"/>
              </w:rPr>
              <w:t> </w:t>
            </w:r>
            <w:r>
              <w:rPr>
                <w:spacing w:val="-2"/>
                <w:w w:val="105"/>
                <w:sz w:val="16"/>
              </w:rPr>
              <w:t>Incorporated</w:t>
            </w:r>
          </w:p>
        </w:tc>
        <w:tc>
          <w:tcPr>
            <w:tcW w:w="1289" w:type="dxa"/>
            <w:tcBorders>
              <w:bottom w:val="double" w:sz="6" w:space="0" w:color="000000"/>
            </w:tcBorders>
            <w:shd w:val="clear" w:color="auto" w:fill="CCEDFF"/>
          </w:tcPr>
          <w:p>
            <w:pPr>
              <w:pStyle w:val="TableParagraph"/>
              <w:tabs>
                <w:tab w:pos="773" w:val="left" w:leader="none"/>
              </w:tabs>
              <w:spacing w:before="3"/>
              <w:ind w:left="-1" w:right="140"/>
              <w:jc w:val="right"/>
              <w:rPr>
                <w:sz w:val="16"/>
              </w:rPr>
            </w:pPr>
            <w:r>
              <w:rPr>
                <w:spacing w:val="-10"/>
                <w:w w:val="105"/>
                <w:sz w:val="16"/>
              </w:rPr>
              <w:t>$</w:t>
            </w:r>
            <w:r>
              <w:rPr>
                <w:sz w:val="16"/>
              </w:rPr>
              <w:tab/>
            </w:r>
            <w:r>
              <w:rPr>
                <w:spacing w:val="-4"/>
                <w:w w:val="105"/>
                <w:sz w:val="16"/>
              </w:rPr>
              <w:t>1,906</w:t>
            </w:r>
          </w:p>
        </w:tc>
        <w:tc>
          <w:tcPr>
            <w:tcW w:w="1376" w:type="dxa"/>
            <w:tcBorders>
              <w:bottom w:val="double" w:sz="6" w:space="0" w:color="000000"/>
            </w:tcBorders>
            <w:shd w:val="clear" w:color="auto" w:fill="CCEDFF"/>
          </w:tcPr>
          <w:p>
            <w:pPr>
              <w:pStyle w:val="TableParagraph"/>
              <w:tabs>
                <w:tab w:pos="897" w:val="left" w:leader="none"/>
              </w:tabs>
              <w:spacing w:before="3"/>
              <w:ind w:right="140"/>
              <w:jc w:val="right"/>
              <w:rPr>
                <w:sz w:val="16"/>
              </w:rPr>
            </w:pPr>
            <w:r>
              <w:rPr>
                <w:spacing w:val="-10"/>
                <w:w w:val="105"/>
                <w:sz w:val="16"/>
              </w:rPr>
              <w:t>$</w:t>
            </w:r>
            <w:r>
              <w:rPr>
                <w:sz w:val="16"/>
              </w:rPr>
              <w:tab/>
            </w:r>
            <w:r>
              <w:rPr>
                <w:spacing w:val="-5"/>
                <w:w w:val="105"/>
                <w:sz w:val="16"/>
              </w:rPr>
              <w:t>512</w:t>
            </w:r>
          </w:p>
        </w:tc>
        <w:tc>
          <w:tcPr>
            <w:tcW w:w="1348" w:type="dxa"/>
            <w:tcBorders>
              <w:bottom w:val="double" w:sz="6" w:space="0" w:color="000000"/>
            </w:tcBorders>
            <w:shd w:val="clear" w:color="auto" w:fill="CCEDFF"/>
          </w:tcPr>
          <w:p>
            <w:pPr>
              <w:pStyle w:val="TableParagraph"/>
              <w:tabs>
                <w:tab w:pos="984" w:val="left" w:leader="none"/>
              </w:tabs>
              <w:spacing w:before="3"/>
              <w:ind w:left="86"/>
              <w:rPr>
                <w:sz w:val="16"/>
              </w:rPr>
            </w:pPr>
            <w:r>
              <w:rPr>
                <w:spacing w:val="-10"/>
                <w:w w:val="105"/>
                <w:sz w:val="16"/>
              </w:rPr>
              <w:t>$</w:t>
            </w:r>
            <w:r>
              <w:rPr>
                <w:sz w:val="16"/>
              </w:rPr>
              <w:tab/>
            </w:r>
            <w:r>
              <w:rPr>
                <w:spacing w:val="-5"/>
                <w:w w:val="105"/>
                <w:sz w:val="16"/>
              </w:rPr>
              <w:t>960</w:t>
            </w:r>
          </w:p>
        </w:tc>
      </w:tr>
      <w:tr>
        <w:trPr>
          <w:trHeight w:val="187" w:hRule="atLeast"/>
        </w:trPr>
        <w:tc>
          <w:tcPr>
            <w:tcW w:w="7553" w:type="dxa"/>
          </w:tcPr>
          <w:p>
            <w:pPr>
              <w:pStyle w:val="TableParagraph"/>
              <w:rPr>
                <w:sz w:val="12"/>
              </w:rPr>
            </w:pPr>
          </w:p>
        </w:tc>
        <w:tc>
          <w:tcPr>
            <w:tcW w:w="1289" w:type="dxa"/>
            <w:tcBorders>
              <w:top w:val="double" w:sz="6" w:space="0" w:color="000000"/>
            </w:tcBorders>
          </w:tcPr>
          <w:p>
            <w:pPr>
              <w:pStyle w:val="TableParagraph"/>
              <w:rPr>
                <w:sz w:val="12"/>
              </w:rPr>
            </w:pPr>
          </w:p>
        </w:tc>
        <w:tc>
          <w:tcPr>
            <w:tcW w:w="1376" w:type="dxa"/>
            <w:tcBorders>
              <w:top w:val="double" w:sz="6" w:space="0" w:color="000000"/>
            </w:tcBorders>
          </w:tcPr>
          <w:p>
            <w:pPr>
              <w:pStyle w:val="TableParagraph"/>
              <w:rPr>
                <w:sz w:val="12"/>
              </w:rPr>
            </w:pPr>
          </w:p>
        </w:tc>
        <w:tc>
          <w:tcPr>
            <w:tcW w:w="1348" w:type="dxa"/>
            <w:tcBorders>
              <w:top w:val="double" w:sz="6" w:space="0" w:color="000000"/>
            </w:tcBorders>
          </w:tcPr>
          <w:p>
            <w:pPr>
              <w:pStyle w:val="TableParagraph"/>
              <w:rPr>
                <w:sz w:val="12"/>
              </w:rPr>
            </w:pPr>
          </w:p>
        </w:tc>
      </w:tr>
      <w:tr>
        <w:trPr>
          <w:trHeight w:val="203" w:hRule="atLeast"/>
        </w:trPr>
        <w:tc>
          <w:tcPr>
            <w:tcW w:w="7553" w:type="dxa"/>
            <w:shd w:val="clear" w:color="auto" w:fill="CCEDFF"/>
          </w:tcPr>
          <w:p>
            <w:pPr>
              <w:pStyle w:val="TableParagraph"/>
              <w:spacing w:line="180" w:lineRule="exact" w:before="3"/>
              <w:ind w:left="50"/>
              <w:rPr>
                <w:sz w:val="16"/>
              </w:rPr>
            </w:pPr>
            <w:r>
              <w:rPr>
                <w:w w:val="105"/>
                <w:sz w:val="16"/>
              </w:rPr>
              <w:t>Earnings</w:t>
            </w:r>
            <w:r>
              <w:rPr>
                <w:spacing w:val="-11"/>
                <w:w w:val="105"/>
                <w:sz w:val="16"/>
              </w:rPr>
              <w:t> </w:t>
            </w:r>
            <w:r>
              <w:rPr>
                <w:w w:val="105"/>
                <w:sz w:val="16"/>
              </w:rPr>
              <w:t>per</w:t>
            </w:r>
            <w:r>
              <w:rPr>
                <w:spacing w:val="-10"/>
                <w:w w:val="105"/>
                <w:sz w:val="16"/>
              </w:rPr>
              <w:t> </w:t>
            </w:r>
            <w:r>
              <w:rPr>
                <w:w w:val="105"/>
                <w:sz w:val="16"/>
              </w:rPr>
              <w:t>common</w:t>
            </w:r>
            <w:r>
              <w:rPr>
                <w:spacing w:val="-11"/>
                <w:w w:val="105"/>
                <w:sz w:val="16"/>
              </w:rPr>
              <w:t> </w:t>
            </w:r>
            <w:r>
              <w:rPr>
                <w:w w:val="105"/>
                <w:sz w:val="16"/>
              </w:rPr>
              <w:t>share</w:t>
            </w:r>
            <w:r>
              <w:rPr>
                <w:spacing w:val="-10"/>
                <w:w w:val="105"/>
                <w:sz w:val="16"/>
              </w:rPr>
              <w:t> </w:t>
            </w:r>
            <w:r>
              <w:rPr>
                <w:w w:val="105"/>
                <w:sz w:val="16"/>
              </w:rPr>
              <w:t>attributable</w:t>
            </w:r>
            <w:r>
              <w:rPr>
                <w:spacing w:val="-11"/>
                <w:w w:val="105"/>
                <w:sz w:val="16"/>
              </w:rPr>
              <w:t> </w:t>
            </w:r>
            <w:r>
              <w:rPr>
                <w:w w:val="105"/>
                <w:sz w:val="16"/>
              </w:rPr>
              <w:t>to</w:t>
            </w:r>
            <w:r>
              <w:rPr>
                <w:spacing w:val="-10"/>
                <w:w w:val="105"/>
                <w:sz w:val="16"/>
              </w:rPr>
              <w:t> </w:t>
            </w:r>
            <w:r>
              <w:rPr>
                <w:w w:val="105"/>
                <w:sz w:val="16"/>
              </w:rPr>
              <w:t>Corning</w:t>
            </w:r>
            <w:r>
              <w:rPr>
                <w:spacing w:val="-10"/>
                <w:w w:val="105"/>
                <w:sz w:val="16"/>
              </w:rPr>
              <w:t> </w:t>
            </w:r>
            <w:r>
              <w:rPr>
                <w:spacing w:val="-2"/>
                <w:w w:val="105"/>
                <w:sz w:val="16"/>
              </w:rPr>
              <w:t>Incorporated:</w:t>
            </w:r>
          </w:p>
        </w:tc>
        <w:tc>
          <w:tcPr>
            <w:tcW w:w="1289" w:type="dxa"/>
            <w:shd w:val="clear" w:color="auto" w:fill="CCEDFF"/>
          </w:tcPr>
          <w:p>
            <w:pPr>
              <w:pStyle w:val="TableParagraph"/>
              <w:rPr>
                <w:sz w:val="14"/>
              </w:rPr>
            </w:pPr>
          </w:p>
        </w:tc>
        <w:tc>
          <w:tcPr>
            <w:tcW w:w="1376" w:type="dxa"/>
            <w:shd w:val="clear" w:color="auto" w:fill="CCEDFF"/>
          </w:tcPr>
          <w:p>
            <w:pPr>
              <w:pStyle w:val="TableParagraph"/>
              <w:rPr>
                <w:sz w:val="14"/>
              </w:rPr>
            </w:pPr>
          </w:p>
        </w:tc>
        <w:tc>
          <w:tcPr>
            <w:tcW w:w="1348" w:type="dxa"/>
            <w:shd w:val="clear" w:color="auto" w:fill="CCEDFF"/>
          </w:tcPr>
          <w:p>
            <w:pPr>
              <w:pStyle w:val="TableParagraph"/>
              <w:rPr>
                <w:sz w:val="14"/>
              </w:rPr>
            </w:pPr>
          </w:p>
        </w:tc>
      </w:tr>
      <w:tr>
        <w:trPr>
          <w:trHeight w:val="204" w:hRule="atLeast"/>
        </w:trPr>
        <w:tc>
          <w:tcPr>
            <w:tcW w:w="7553" w:type="dxa"/>
          </w:tcPr>
          <w:p>
            <w:pPr>
              <w:pStyle w:val="TableParagraph"/>
              <w:spacing w:line="139" w:lineRule="exact" w:before="41"/>
              <w:ind w:left="50"/>
              <w:rPr>
                <w:sz w:val="16"/>
              </w:rPr>
            </w:pPr>
            <w:r>
              <w:rPr>
                <w:w w:val="105"/>
                <w:sz w:val="16"/>
              </w:rPr>
              <w:t>Basic</w:t>
            </w:r>
            <w:r>
              <w:rPr>
                <w:spacing w:val="-9"/>
                <w:w w:val="105"/>
                <w:sz w:val="16"/>
              </w:rPr>
              <w:t> </w:t>
            </w:r>
            <w:r>
              <w:rPr>
                <w:w w:val="105"/>
                <w:sz w:val="16"/>
              </w:rPr>
              <w:t>(Note</w:t>
            </w:r>
            <w:r>
              <w:rPr>
                <w:spacing w:val="-8"/>
                <w:w w:val="105"/>
                <w:sz w:val="16"/>
              </w:rPr>
              <w:t> </w:t>
            </w:r>
            <w:r>
              <w:rPr>
                <w:spacing w:val="-5"/>
                <w:w w:val="105"/>
                <w:sz w:val="16"/>
              </w:rPr>
              <w:t>18)</w:t>
            </w:r>
          </w:p>
        </w:tc>
        <w:tc>
          <w:tcPr>
            <w:tcW w:w="1289" w:type="dxa"/>
            <w:tcBorders>
              <w:bottom w:val="double" w:sz="6" w:space="0" w:color="000000"/>
            </w:tcBorders>
          </w:tcPr>
          <w:p>
            <w:pPr>
              <w:pStyle w:val="TableParagraph"/>
              <w:tabs>
                <w:tab w:pos="856" w:val="left" w:leader="none"/>
              </w:tabs>
              <w:spacing w:line="177" w:lineRule="exact" w:before="3"/>
              <w:ind w:left="-1" w:right="140"/>
              <w:jc w:val="right"/>
              <w:rPr>
                <w:b/>
                <w:sz w:val="16"/>
              </w:rPr>
            </w:pPr>
            <w:r>
              <w:rPr>
                <w:b/>
                <w:spacing w:val="-10"/>
                <w:w w:val="105"/>
                <w:sz w:val="16"/>
              </w:rPr>
              <w:t>$</w:t>
            </w:r>
            <w:r>
              <w:rPr>
                <w:b/>
                <w:sz w:val="16"/>
              </w:rPr>
              <w:tab/>
            </w:r>
            <w:r>
              <w:rPr>
                <w:b/>
                <w:spacing w:val="-4"/>
                <w:w w:val="105"/>
                <w:sz w:val="16"/>
              </w:rPr>
              <w:t>1.30</w:t>
            </w:r>
          </w:p>
        </w:tc>
        <w:tc>
          <w:tcPr>
            <w:tcW w:w="1376" w:type="dxa"/>
            <w:tcBorders>
              <w:bottom w:val="double" w:sz="6" w:space="0" w:color="000000"/>
            </w:tcBorders>
          </w:tcPr>
          <w:p>
            <w:pPr>
              <w:pStyle w:val="TableParagraph"/>
              <w:tabs>
                <w:tab w:pos="856" w:val="left" w:leader="none"/>
              </w:tabs>
              <w:spacing w:line="177" w:lineRule="exact" w:before="3"/>
              <w:ind w:right="140"/>
              <w:jc w:val="right"/>
              <w:rPr>
                <w:sz w:val="16"/>
              </w:rPr>
            </w:pPr>
            <w:r>
              <w:rPr>
                <w:spacing w:val="-10"/>
                <w:w w:val="105"/>
                <w:sz w:val="16"/>
              </w:rPr>
              <w:t>$</w:t>
            </w:r>
            <w:r>
              <w:rPr>
                <w:sz w:val="16"/>
              </w:rPr>
              <w:tab/>
            </w:r>
            <w:r>
              <w:rPr>
                <w:spacing w:val="-4"/>
                <w:w w:val="105"/>
                <w:sz w:val="16"/>
              </w:rPr>
              <w:t>0.54</w:t>
            </w:r>
          </w:p>
        </w:tc>
        <w:tc>
          <w:tcPr>
            <w:tcW w:w="1348" w:type="dxa"/>
            <w:tcBorders>
              <w:bottom w:val="double" w:sz="6" w:space="0" w:color="000000"/>
            </w:tcBorders>
          </w:tcPr>
          <w:p>
            <w:pPr>
              <w:pStyle w:val="TableParagraph"/>
              <w:tabs>
                <w:tab w:pos="942" w:val="left" w:leader="none"/>
              </w:tabs>
              <w:spacing w:line="177" w:lineRule="exact" w:before="3"/>
              <w:ind w:left="86"/>
              <w:rPr>
                <w:sz w:val="16"/>
              </w:rPr>
            </w:pPr>
            <w:r>
              <w:rPr>
                <w:spacing w:val="-10"/>
                <w:w w:val="105"/>
                <w:sz w:val="16"/>
              </w:rPr>
              <w:t>$</w:t>
            </w:r>
            <w:r>
              <w:rPr>
                <w:sz w:val="16"/>
              </w:rPr>
              <w:tab/>
            </w:r>
            <w:r>
              <w:rPr>
                <w:spacing w:val="-4"/>
                <w:w w:val="105"/>
                <w:sz w:val="16"/>
              </w:rPr>
              <w:t>1.11</w:t>
            </w:r>
          </w:p>
        </w:tc>
      </w:tr>
      <w:tr>
        <w:trPr>
          <w:trHeight w:val="205" w:hRule="atLeast"/>
        </w:trPr>
        <w:tc>
          <w:tcPr>
            <w:tcW w:w="7553" w:type="dxa"/>
            <w:shd w:val="clear" w:color="auto" w:fill="CCEDFF"/>
          </w:tcPr>
          <w:p>
            <w:pPr>
              <w:pStyle w:val="TableParagraph"/>
              <w:spacing w:line="151" w:lineRule="exact" w:before="38"/>
              <w:ind w:left="50"/>
              <w:rPr>
                <w:sz w:val="16"/>
              </w:rPr>
            </w:pPr>
            <w:r>
              <w:rPr>
                <w:w w:val="105"/>
                <w:sz w:val="16"/>
              </w:rPr>
              <w:t>Diluted</w:t>
            </w:r>
            <w:r>
              <w:rPr>
                <w:spacing w:val="-10"/>
                <w:w w:val="105"/>
                <w:sz w:val="16"/>
              </w:rPr>
              <w:t> </w:t>
            </w:r>
            <w:r>
              <w:rPr>
                <w:w w:val="105"/>
                <w:sz w:val="16"/>
              </w:rPr>
              <w:t>(Note</w:t>
            </w:r>
            <w:r>
              <w:rPr>
                <w:spacing w:val="-9"/>
                <w:w w:val="105"/>
                <w:sz w:val="16"/>
              </w:rPr>
              <w:t> </w:t>
            </w:r>
            <w:r>
              <w:rPr>
                <w:spacing w:val="-5"/>
                <w:w w:val="105"/>
                <w:sz w:val="16"/>
              </w:rPr>
              <w:t>18)</w:t>
            </w:r>
          </w:p>
        </w:tc>
        <w:tc>
          <w:tcPr>
            <w:tcW w:w="1289" w:type="dxa"/>
            <w:tcBorders>
              <w:top w:val="double" w:sz="6" w:space="0" w:color="000000"/>
              <w:bottom w:val="double" w:sz="6" w:space="0" w:color="000000"/>
            </w:tcBorders>
            <w:shd w:val="clear" w:color="auto" w:fill="CCEDFF"/>
          </w:tcPr>
          <w:p>
            <w:pPr>
              <w:pStyle w:val="TableParagraph"/>
              <w:tabs>
                <w:tab w:pos="856" w:val="left" w:leader="none"/>
              </w:tabs>
              <w:ind w:left="-1" w:right="140"/>
              <w:jc w:val="right"/>
              <w:rPr>
                <w:b/>
                <w:sz w:val="16"/>
              </w:rPr>
            </w:pPr>
            <w:r>
              <w:rPr>
                <w:b/>
                <w:spacing w:val="-10"/>
                <w:w w:val="105"/>
                <w:sz w:val="16"/>
              </w:rPr>
              <w:t>$</w:t>
            </w:r>
            <w:r>
              <w:rPr>
                <w:b/>
                <w:sz w:val="16"/>
              </w:rPr>
              <w:tab/>
            </w:r>
            <w:r>
              <w:rPr>
                <w:b/>
                <w:spacing w:val="-4"/>
                <w:w w:val="105"/>
                <w:sz w:val="16"/>
              </w:rPr>
              <w:t>1.28</w:t>
            </w:r>
          </w:p>
        </w:tc>
        <w:tc>
          <w:tcPr>
            <w:tcW w:w="1376" w:type="dxa"/>
            <w:tcBorders>
              <w:top w:val="double" w:sz="6" w:space="0" w:color="000000"/>
              <w:bottom w:val="double" w:sz="6" w:space="0" w:color="000000"/>
            </w:tcBorders>
            <w:shd w:val="clear" w:color="auto" w:fill="CCEDFF"/>
          </w:tcPr>
          <w:p>
            <w:pPr>
              <w:pStyle w:val="TableParagraph"/>
              <w:tabs>
                <w:tab w:pos="856" w:val="left" w:leader="none"/>
              </w:tabs>
              <w:ind w:right="140"/>
              <w:jc w:val="right"/>
              <w:rPr>
                <w:sz w:val="16"/>
              </w:rPr>
            </w:pPr>
            <w:r>
              <w:rPr>
                <w:spacing w:val="-10"/>
                <w:w w:val="105"/>
                <w:sz w:val="16"/>
              </w:rPr>
              <w:t>$</w:t>
            </w:r>
            <w:r>
              <w:rPr>
                <w:sz w:val="16"/>
              </w:rPr>
              <w:tab/>
            </w:r>
            <w:r>
              <w:rPr>
                <w:spacing w:val="-4"/>
                <w:w w:val="105"/>
                <w:sz w:val="16"/>
              </w:rPr>
              <w:t>0.54</w:t>
            </w:r>
          </w:p>
        </w:tc>
        <w:tc>
          <w:tcPr>
            <w:tcW w:w="1348" w:type="dxa"/>
            <w:tcBorders>
              <w:top w:val="double" w:sz="6" w:space="0" w:color="000000"/>
              <w:bottom w:val="double" w:sz="6" w:space="0" w:color="000000"/>
            </w:tcBorders>
            <w:shd w:val="clear" w:color="auto" w:fill="CCEDFF"/>
          </w:tcPr>
          <w:p>
            <w:pPr>
              <w:pStyle w:val="TableParagraph"/>
              <w:tabs>
                <w:tab w:pos="942" w:val="left" w:leader="none"/>
              </w:tabs>
              <w:ind w:left="86"/>
              <w:rPr>
                <w:sz w:val="16"/>
              </w:rPr>
            </w:pPr>
            <w:r>
              <w:rPr>
                <w:spacing w:val="-10"/>
                <w:w w:val="105"/>
                <w:sz w:val="16"/>
              </w:rPr>
              <w:t>$</w:t>
            </w:r>
            <w:r>
              <w:rPr>
                <w:sz w:val="16"/>
              </w:rPr>
              <w:tab/>
            </w:r>
            <w:r>
              <w:rPr>
                <w:spacing w:val="-4"/>
                <w:w w:val="105"/>
                <w:sz w:val="16"/>
              </w:rPr>
              <w:t>1.07</w:t>
            </w:r>
          </w:p>
        </w:tc>
      </w:tr>
      <w:tr>
        <w:trPr>
          <w:trHeight w:val="187" w:hRule="atLeast"/>
        </w:trPr>
        <w:tc>
          <w:tcPr>
            <w:tcW w:w="7553" w:type="dxa"/>
          </w:tcPr>
          <w:p>
            <w:pPr>
              <w:pStyle w:val="TableParagraph"/>
              <w:rPr>
                <w:sz w:val="12"/>
              </w:rPr>
            </w:pPr>
          </w:p>
        </w:tc>
        <w:tc>
          <w:tcPr>
            <w:tcW w:w="1289" w:type="dxa"/>
            <w:tcBorders>
              <w:top w:val="double" w:sz="6" w:space="0" w:color="000000"/>
            </w:tcBorders>
          </w:tcPr>
          <w:p>
            <w:pPr>
              <w:pStyle w:val="TableParagraph"/>
              <w:rPr>
                <w:sz w:val="12"/>
              </w:rPr>
            </w:pPr>
          </w:p>
        </w:tc>
        <w:tc>
          <w:tcPr>
            <w:tcW w:w="1376" w:type="dxa"/>
            <w:tcBorders>
              <w:top w:val="double" w:sz="6" w:space="0" w:color="000000"/>
            </w:tcBorders>
          </w:tcPr>
          <w:p>
            <w:pPr>
              <w:pStyle w:val="TableParagraph"/>
              <w:rPr>
                <w:sz w:val="12"/>
              </w:rPr>
            </w:pPr>
          </w:p>
        </w:tc>
        <w:tc>
          <w:tcPr>
            <w:tcW w:w="1348" w:type="dxa"/>
            <w:tcBorders>
              <w:top w:val="double" w:sz="6" w:space="0" w:color="000000"/>
            </w:tcBorders>
          </w:tcPr>
          <w:p>
            <w:pPr>
              <w:pStyle w:val="TableParagraph"/>
              <w:rPr>
                <w:sz w:val="12"/>
              </w:rPr>
            </w:pPr>
          </w:p>
        </w:tc>
      </w:tr>
      <w:tr>
        <w:trPr>
          <w:trHeight w:val="407" w:hRule="atLeast"/>
        </w:trPr>
        <w:tc>
          <w:tcPr>
            <w:tcW w:w="7553" w:type="dxa"/>
            <w:shd w:val="clear" w:color="auto" w:fill="CCEDFF"/>
          </w:tcPr>
          <w:p>
            <w:pPr>
              <w:pStyle w:val="TableParagraph"/>
              <w:spacing w:before="3"/>
              <w:ind w:left="50"/>
              <w:rPr>
                <w:sz w:val="16"/>
              </w:rPr>
            </w:pPr>
            <w:r>
              <w:rPr>
                <w:w w:val="105"/>
                <w:sz w:val="16"/>
              </w:rPr>
              <w:t>Reconciliation</w:t>
            </w:r>
            <w:r>
              <w:rPr>
                <w:spacing w:val="-11"/>
                <w:w w:val="105"/>
                <w:sz w:val="16"/>
              </w:rPr>
              <w:t> </w:t>
            </w:r>
            <w:r>
              <w:rPr>
                <w:w w:val="105"/>
                <w:sz w:val="16"/>
              </w:rPr>
              <w:t>of</w:t>
            </w:r>
            <w:r>
              <w:rPr>
                <w:spacing w:val="-10"/>
                <w:w w:val="105"/>
                <w:sz w:val="16"/>
              </w:rPr>
              <w:t> </w:t>
            </w:r>
            <w:r>
              <w:rPr>
                <w:w w:val="105"/>
                <w:sz w:val="16"/>
              </w:rPr>
              <w:t>net</w:t>
            </w:r>
            <w:r>
              <w:rPr>
                <w:spacing w:val="-11"/>
                <w:w w:val="105"/>
                <w:sz w:val="16"/>
              </w:rPr>
              <w:t> </w:t>
            </w:r>
            <w:r>
              <w:rPr>
                <w:w w:val="105"/>
                <w:sz w:val="16"/>
              </w:rPr>
              <w:t>income</w:t>
            </w:r>
            <w:r>
              <w:rPr>
                <w:spacing w:val="-10"/>
                <w:w w:val="105"/>
                <w:sz w:val="16"/>
              </w:rPr>
              <w:t> </w:t>
            </w:r>
            <w:r>
              <w:rPr>
                <w:w w:val="105"/>
                <w:sz w:val="16"/>
              </w:rPr>
              <w:t>attributable</w:t>
            </w:r>
            <w:r>
              <w:rPr>
                <w:spacing w:val="-10"/>
                <w:w w:val="105"/>
                <w:sz w:val="16"/>
              </w:rPr>
              <w:t> </w:t>
            </w:r>
            <w:r>
              <w:rPr>
                <w:w w:val="105"/>
                <w:sz w:val="16"/>
              </w:rPr>
              <w:t>to</w:t>
            </w:r>
            <w:r>
              <w:rPr>
                <w:spacing w:val="-10"/>
                <w:w w:val="105"/>
                <w:sz w:val="16"/>
              </w:rPr>
              <w:t> </w:t>
            </w:r>
            <w:r>
              <w:rPr>
                <w:w w:val="105"/>
                <w:sz w:val="16"/>
              </w:rPr>
              <w:t>Corning</w:t>
            </w:r>
            <w:r>
              <w:rPr>
                <w:spacing w:val="-10"/>
                <w:w w:val="105"/>
                <w:sz w:val="16"/>
              </w:rPr>
              <w:t> </w:t>
            </w:r>
            <w:r>
              <w:rPr>
                <w:w w:val="105"/>
                <w:sz w:val="16"/>
              </w:rPr>
              <w:t>Incorporated</w:t>
            </w:r>
            <w:r>
              <w:rPr>
                <w:spacing w:val="-11"/>
                <w:w w:val="105"/>
                <w:sz w:val="16"/>
              </w:rPr>
              <w:t> </w:t>
            </w:r>
            <w:r>
              <w:rPr>
                <w:w w:val="105"/>
                <w:sz w:val="16"/>
              </w:rPr>
              <w:t>versus</w:t>
            </w:r>
            <w:r>
              <w:rPr>
                <w:spacing w:val="-10"/>
                <w:w w:val="105"/>
                <w:sz w:val="16"/>
              </w:rPr>
              <w:t> </w:t>
            </w:r>
            <w:r>
              <w:rPr>
                <w:w w:val="105"/>
                <w:sz w:val="16"/>
              </w:rPr>
              <w:t>net</w:t>
            </w:r>
            <w:r>
              <w:rPr>
                <w:spacing w:val="-10"/>
                <w:w w:val="105"/>
                <w:sz w:val="16"/>
              </w:rPr>
              <w:t> </w:t>
            </w:r>
            <w:r>
              <w:rPr>
                <w:w w:val="105"/>
                <w:sz w:val="16"/>
              </w:rPr>
              <w:t>income</w:t>
            </w:r>
            <w:r>
              <w:rPr>
                <w:spacing w:val="-10"/>
                <w:w w:val="105"/>
                <w:sz w:val="16"/>
              </w:rPr>
              <w:t> </w:t>
            </w:r>
            <w:r>
              <w:rPr>
                <w:w w:val="105"/>
                <w:sz w:val="16"/>
              </w:rPr>
              <w:t>available</w:t>
            </w:r>
            <w:r>
              <w:rPr>
                <w:spacing w:val="-10"/>
                <w:w w:val="105"/>
                <w:sz w:val="16"/>
              </w:rPr>
              <w:t> </w:t>
            </w:r>
            <w:r>
              <w:rPr>
                <w:w w:val="105"/>
                <w:sz w:val="16"/>
              </w:rPr>
              <w:t>to</w:t>
            </w:r>
            <w:r>
              <w:rPr>
                <w:spacing w:val="-11"/>
                <w:w w:val="105"/>
                <w:sz w:val="16"/>
              </w:rPr>
              <w:t> </w:t>
            </w:r>
            <w:r>
              <w:rPr>
                <w:spacing w:val="-2"/>
                <w:w w:val="105"/>
                <w:sz w:val="16"/>
              </w:rPr>
              <w:t>common</w:t>
            </w:r>
          </w:p>
          <w:p>
            <w:pPr>
              <w:pStyle w:val="TableParagraph"/>
              <w:spacing w:line="180" w:lineRule="exact" w:before="20"/>
              <w:ind w:left="202"/>
              <w:rPr>
                <w:sz w:val="16"/>
              </w:rPr>
            </w:pPr>
            <w:r>
              <w:rPr>
                <w:spacing w:val="-2"/>
                <w:w w:val="105"/>
                <w:sz w:val="16"/>
              </w:rPr>
              <w:t>shareholders:</w:t>
            </w:r>
          </w:p>
        </w:tc>
        <w:tc>
          <w:tcPr>
            <w:tcW w:w="1289" w:type="dxa"/>
            <w:shd w:val="clear" w:color="auto" w:fill="CCEDFF"/>
          </w:tcPr>
          <w:p>
            <w:pPr>
              <w:pStyle w:val="TableParagraph"/>
              <w:rPr>
                <w:sz w:val="16"/>
              </w:rPr>
            </w:pPr>
          </w:p>
        </w:tc>
        <w:tc>
          <w:tcPr>
            <w:tcW w:w="1376" w:type="dxa"/>
            <w:shd w:val="clear" w:color="auto" w:fill="CCEDFF"/>
          </w:tcPr>
          <w:p>
            <w:pPr>
              <w:pStyle w:val="TableParagraph"/>
              <w:rPr>
                <w:sz w:val="16"/>
              </w:rPr>
            </w:pPr>
          </w:p>
        </w:tc>
        <w:tc>
          <w:tcPr>
            <w:tcW w:w="1348" w:type="dxa"/>
            <w:shd w:val="clear" w:color="auto" w:fill="CCEDFF"/>
          </w:tcPr>
          <w:p>
            <w:pPr>
              <w:pStyle w:val="TableParagraph"/>
              <w:rPr>
                <w:sz w:val="16"/>
              </w:rPr>
            </w:pPr>
          </w:p>
        </w:tc>
      </w:tr>
    </w:tbl>
    <w:p>
      <w:pPr>
        <w:pStyle w:val="BodyText"/>
        <w:spacing w:before="9"/>
        <w:rPr>
          <w:sz w:val="18"/>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3"/>
        <w:gridCol w:w="1289"/>
        <w:gridCol w:w="1376"/>
        <w:gridCol w:w="1348"/>
      </w:tblGrid>
      <w:tr>
        <w:trPr>
          <w:trHeight w:val="203" w:hRule="atLeast"/>
        </w:trPr>
        <w:tc>
          <w:tcPr>
            <w:tcW w:w="7503" w:type="dxa"/>
            <w:shd w:val="clear" w:color="auto" w:fill="CCEDFF"/>
          </w:tcPr>
          <w:p>
            <w:pPr>
              <w:pStyle w:val="TableParagraph"/>
              <w:spacing w:line="180" w:lineRule="exact" w:before="3"/>
              <w:rPr>
                <w:sz w:val="16"/>
              </w:rPr>
            </w:pPr>
            <w:r>
              <w:rPr>
                <w:w w:val="105"/>
                <w:sz w:val="16"/>
              </w:rPr>
              <w:t>Net</w:t>
            </w:r>
            <w:r>
              <w:rPr>
                <w:spacing w:val="-9"/>
                <w:w w:val="105"/>
                <w:sz w:val="16"/>
              </w:rPr>
              <w:t> </w:t>
            </w:r>
            <w:r>
              <w:rPr>
                <w:w w:val="105"/>
                <w:sz w:val="16"/>
              </w:rPr>
              <w:t>income</w:t>
            </w:r>
            <w:r>
              <w:rPr>
                <w:spacing w:val="-9"/>
                <w:w w:val="105"/>
                <w:sz w:val="16"/>
              </w:rPr>
              <w:t> </w:t>
            </w:r>
            <w:r>
              <w:rPr>
                <w:w w:val="105"/>
                <w:sz w:val="16"/>
              </w:rPr>
              <w:t>attributable</w:t>
            </w:r>
            <w:r>
              <w:rPr>
                <w:spacing w:val="-9"/>
                <w:w w:val="105"/>
                <w:sz w:val="16"/>
              </w:rPr>
              <w:t> </w:t>
            </w:r>
            <w:r>
              <w:rPr>
                <w:w w:val="105"/>
                <w:sz w:val="16"/>
              </w:rPr>
              <w:t>to</w:t>
            </w:r>
            <w:r>
              <w:rPr>
                <w:spacing w:val="-9"/>
                <w:w w:val="105"/>
                <w:sz w:val="16"/>
              </w:rPr>
              <w:t> </w:t>
            </w:r>
            <w:r>
              <w:rPr>
                <w:w w:val="105"/>
                <w:sz w:val="16"/>
              </w:rPr>
              <w:t>Corning</w:t>
            </w:r>
            <w:r>
              <w:rPr>
                <w:spacing w:val="-9"/>
                <w:w w:val="105"/>
                <w:sz w:val="16"/>
              </w:rPr>
              <w:t> </w:t>
            </w:r>
            <w:r>
              <w:rPr>
                <w:spacing w:val="-2"/>
                <w:w w:val="105"/>
                <w:sz w:val="16"/>
              </w:rPr>
              <w:t>Incorporated</w:t>
            </w:r>
          </w:p>
        </w:tc>
        <w:tc>
          <w:tcPr>
            <w:tcW w:w="1289" w:type="dxa"/>
            <w:shd w:val="clear" w:color="auto" w:fill="CCEDFF"/>
          </w:tcPr>
          <w:p>
            <w:pPr>
              <w:pStyle w:val="TableParagraph"/>
              <w:tabs>
                <w:tab w:pos="773" w:val="left" w:leader="none"/>
              </w:tabs>
              <w:spacing w:line="180" w:lineRule="exact" w:before="3"/>
              <w:ind w:left="-1" w:right="140"/>
              <w:jc w:val="right"/>
              <w:rPr>
                <w:b/>
                <w:sz w:val="16"/>
              </w:rPr>
            </w:pPr>
            <w:r>
              <w:rPr>
                <w:b/>
                <w:spacing w:val="-10"/>
                <w:w w:val="105"/>
                <w:sz w:val="16"/>
              </w:rPr>
              <w:t>$</w:t>
            </w:r>
            <w:r>
              <w:rPr>
                <w:b/>
                <w:sz w:val="16"/>
              </w:rPr>
              <w:tab/>
            </w:r>
            <w:r>
              <w:rPr>
                <w:b/>
                <w:spacing w:val="-4"/>
                <w:w w:val="105"/>
                <w:sz w:val="16"/>
              </w:rPr>
              <w:t>1,906</w:t>
            </w:r>
          </w:p>
        </w:tc>
        <w:tc>
          <w:tcPr>
            <w:tcW w:w="1376" w:type="dxa"/>
            <w:shd w:val="clear" w:color="auto" w:fill="CCEDFF"/>
          </w:tcPr>
          <w:p>
            <w:pPr>
              <w:pStyle w:val="TableParagraph"/>
              <w:tabs>
                <w:tab w:pos="897" w:val="left" w:leader="none"/>
              </w:tabs>
              <w:spacing w:line="180" w:lineRule="exact" w:before="3"/>
              <w:ind w:right="140"/>
              <w:jc w:val="right"/>
              <w:rPr>
                <w:sz w:val="16"/>
              </w:rPr>
            </w:pPr>
            <w:r>
              <w:rPr>
                <w:spacing w:val="-10"/>
                <w:w w:val="105"/>
                <w:sz w:val="16"/>
              </w:rPr>
              <w:t>$</w:t>
            </w:r>
            <w:r>
              <w:rPr>
                <w:sz w:val="16"/>
              </w:rPr>
              <w:tab/>
            </w:r>
            <w:r>
              <w:rPr>
                <w:spacing w:val="-5"/>
                <w:w w:val="105"/>
                <w:sz w:val="16"/>
              </w:rPr>
              <w:t>512</w:t>
            </w:r>
          </w:p>
        </w:tc>
        <w:tc>
          <w:tcPr>
            <w:tcW w:w="1348" w:type="dxa"/>
            <w:shd w:val="clear" w:color="auto" w:fill="CCEDFF"/>
          </w:tcPr>
          <w:p>
            <w:pPr>
              <w:pStyle w:val="TableParagraph"/>
              <w:tabs>
                <w:tab w:pos="984" w:val="left" w:leader="none"/>
              </w:tabs>
              <w:spacing w:line="180" w:lineRule="exact" w:before="3"/>
              <w:ind w:left="86"/>
              <w:rPr>
                <w:sz w:val="16"/>
              </w:rPr>
            </w:pPr>
            <w:r>
              <w:rPr>
                <w:spacing w:val="-10"/>
                <w:w w:val="105"/>
                <w:sz w:val="16"/>
              </w:rPr>
              <w:t>$</w:t>
            </w:r>
            <w:r>
              <w:rPr>
                <w:sz w:val="16"/>
              </w:rPr>
              <w:tab/>
            </w:r>
            <w:r>
              <w:rPr>
                <w:spacing w:val="-5"/>
                <w:w w:val="105"/>
                <w:sz w:val="16"/>
              </w:rPr>
              <w:t>960</w:t>
            </w:r>
          </w:p>
        </w:tc>
      </w:tr>
      <w:tr>
        <w:trPr>
          <w:trHeight w:val="203" w:hRule="atLeast"/>
        </w:trPr>
        <w:tc>
          <w:tcPr>
            <w:tcW w:w="7503" w:type="dxa"/>
          </w:tcPr>
          <w:p>
            <w:pPr>
              <w:pStyle w:val="TableParagraph"/>
              <w:rPr>
                <w:sz w:val="14"/>
              </w:rPr>
            </w:pPr>
          </w:p>
        </w:tc>
        <w:tc>
          <w:tcPr>
            <w:tcW w:w="1289" w:type="dxa"/>
          </w:tcPr>
          <w:p>
            <w:pPr>
              <w:pStyle w:val="TableParagraph"/>
              <w:rPr>
                <w:sz w:val="14"/>
              </w:rPr>
            </w:pPr>
          </w:p>
        </w:tc>
        <w:tc>
          <w:tcPr>
            <w:tcW w:w="1376" w:type="dxa"/>
          </w:tcPr>
          <w:p>
            <w:pPr>
              <w:pStyle w:val="TableParagraph"/>
              <w:rPr>
                <w:sz w:val="14"/>
              </w:rPr>
            </w:pPr>
          </w:p>
        </w:tc>
        <w:tc>
          <w:tcPr>
            <w:tcW w:w="1348" w:type="dxa"/>
          </w:tcPr>
          <w:p>
            <w:pPr>
              <w:pStyle w:val="TableParagraph"/>
              <w:rPr>
                <w:sz w:val="14"/>
              </w:rPr>
            </w:pPr>
          </w:p>
        </w:tc>
      </w:tr>
      <w:tr>
        <w:trPr>
          <w:trHeight w:val="203" w:hRule="atLeast"/>
        </w:trPr>
        <w:tc>
          <w:tcPr>
            <w:tcW w:w="7503" w:type="dxa"/>
            <w:shd w:val="clear" w:color="auto" w:fill="CCEDFF"/>
          </w:tcPr>
          <w:p>
            <w:pPr>
              <w:pStyle w:val="TableParagraph"/>
              <w:spacing w:line="180" w:lineRule="exact" w:before="3"/>
              <w:rPr>
                <w:sz w:val="16"/>
              </w:rPr>
            </w:pPr>
            <w:r>
              <w:rPr>
                <w:w w:val="105"/>
                <w:sz w:val="16"/>
              </w:rPr>
              <w:t>Series</w:t>
            </w:r>
            <w:r>
              <w:rPr>
                <w:spacing w:val="-13"/>
                <w:w w:val="105"/>
                <w:sz w:val="16"/>
              </w:rPr>
              <w:t> </w:t>
            </w:r>
            <w:r>
              <w:rPr>
                <w:w w:val="105"/>
                <w:sz w:val="16"/>
              </w:rPr>
              <w:t>A</w:t>
            </w:r>
            <w:r>
              <w:rPr>
                <w:spacing w:val="-10"/>
                <w:w w:val="105"/>
                <w:sz w:val="16"/>
              </w:rPr>
              <w:t> </w:t>
            </w:r>
            <w:r>
              <w:rPr>
                <w:w w:val="105"/>
                <w:sz w:val="16"/>
              </w:rPr>
              <w:t>convertible</w:t>
            </w:r>
            <w:r>
              <w:rPr>
                <w:spacing w:val="-10"/>
                <w:w w:val="105"/>
                <w:sz w:val="16"/>
              </w:rPr>
              <w:t> </w:t>
            </w:r>
            <w:r>
              <w:rPr>
                <w:w w:val="105"/>
                <w:sz w:val="16"/>
              </w:rPr>
              <w:t>preferred</w:t>
            </w:r>
            <w:r>
              <w:rPr>
                <w:spacing w:val="-10"/>
                <w:w w:val="105"/>
                <w:sz w:val="16"/>
              </w:rPr>
              <w:t> </w:t>
            </w:r>
            <w:r>
              <w:rPr>
                <w:w w:val="105"/>
                <w:sz w:val="16"/>
              </w:rPr>
              <w:t>stock</w:t>
            </w:r>
            <w:r>
              <w:rPr>
                <w:spacing w:val="-10"/>
                <w:w w:val="105"/>
                <w:sz w:val="16"/>
              </w:rPr>
              <w:t> </w:t>
            </w:r>
            <w:r>
              <w:rPr>
                <w:spacing w:val="-2"/>
                <w:w w:val="105"/>
                <w:sz w:val="16"/>
              </w:rPr>
              <w:t>dividend</w:t>
            </w:r>
          </w:p>
        </w:tc>
        <w:tc>
          <w:tcPr>
            <w:tcW w:w="1289" w:type="dxa"/>
            <w:shd w:val="clear" w:color="auto" w:fill="CCEDFF"/>
          </w:tcPr>
          <w:p>
            <w:pPr>
              <w:pStyle w:val="TableParagraph"/>
              <w:spacing w:line="180" w:lineRule="exact" w:before="3"/>
              <w:ind w:left="-1" w:right="85"/>
              <w:jc w:val="right"/>
              <w:rPr>
                <w:b/>
                <w:sz w:val="16"/>
              </w:rPr>
            </w:pPr>
            <w:r>
              <w:rPr>
                <w:b/>
                <w:spacing w:val="-4"/>
                <w:w w:val="105"/>
                <w:sz w:val="16"/>
              </w:rPr>
              <w:t>(24)</w:t>
            </w:r>
          </w:p>
        </w:tc>
        <w:tc>
          <w:tcPr>
            <w:tcW w:w="1376" w:type="dxa"/>
            <w:shd w:val="clear" w:color="auto" w:fill="CCEDFF"/>
          </w:tcPr>
          <w:p>
            <w:pPr>
              <w:pStyle w:val="TableParagraph"/>
              <w:spacing w:line="180" w:lineRule="exact" w:before="3"/>
              <w:ind w:right="85"/>
              <w:jc w:val="right"/>
              <w:rPr>
                <w:sz w:val="16"/>
              </w:rPr>
            </w:pPr>
            <w:r>
              <w:rPr>
                <w:spacing w:val="-4"/>
                <w:w w:val="105"/>
                <w:sz w:val="16"/>
              </w:rPr>
              <w:t>(98)</w:t>
            </w:r>
          </w:p>
        </w:tc>
        <w:tc>
          <w:tcPr>
            <w:tcW w:w="1348" w:type="dxa"/>
            <w:shd w:val="clear" w:color="auto" w:fill="CCEDFF"/>
          </w:tcPr>
          <w:p>
            <w:pPr>
              <w:pStyle w:val="TableParagraph"/>
              <w:spacing w:line="180" w:lineRule="exact" w:before="3"/>
              <w:ind w:right="59"/>
              <w:jc w:val="right"/>
              <w:rPr>
                <w:sz w:val="16"/>
              </w:rPr>
            </w:pPr>
            <w:r>
              <w:rPr>
                <w:spacing w:val="-4"/>
                <w:w w:val="105"/>
                <w:sz w:val="16"/>
              </w:rPr>
              <w:t>(98)</w:t>
            </w:r>
          </w:p>
        </w:tc>
      </w:tr>
      <w:tr>
        <w:trPr>
          <w:trHeight w:val="202" w:hRule="atLeast"/>
        </w:trPr>
        <w:tc>
          <w:tcPr>
            <w:tcW w:w="7503" w:type="dxa"/>
          </w:tcPr>
          <w:p>
            <w:pPr>
              <w:pStyle w:val="TableParagraph"/>
              <w:spacing w:line="178" w:lineRule="exact" w:before="5"/>
              <w:rPr>
                <w:sz w:val="14"/>
              </w:rPr>
            </w:pPr>
            <w:r>
              <w:rPr>
                <w:w w:val="105"/>
                <w:sz w:val="16"/>
              </w:rPr>
              <w:t>Excess</w:t>
            </w:r>
            <w:r>
              <w:rPr>
                <w:spacing w:val="-10"/>
                <w:w w:val="105"/>
                <w:sz w:val="16"/>
              </w:rPr>
              <w:t> </w:t>
            </w:r>
            <w:r>
              <w:rPr>
                <w:w w:val="105"/>
                <w:sz w:val="16"/>
              </w:rPr>
              <w:t>consideration</w:t>
            </w:r>
            <w:r>
              <w:rPr>
                <w:spacing w:val="-10"/>
                <w:w w:val="105"/>
                <w:sz w:val="16"/>
              </w:rPr>
              <w:t> </w:t>
            </w:r>
            <w:r>
              <w:rPr>
                <w:w w:val="105"/>
                <w:sz w:val="16"/>
              </w:rPr>
              <w:t>paid</w:t>
            </w:r>
            <w:r>
              <w:rPr>
                <w:spacing w:val="-10"/>
                <w:w w:val="105"/>
                <w:sz w:val="16"/>
              </w:rPr>
              <w:t> </w:t>
            </w:r>
            <w:r>
              <w:rPr>
                <w:w w:val="105"/>
                <w:sz w:val="16"/>
              </w:rPr>
              <w:t>for</w:t>
            </w:r>
            <w:r>
              <w:rPr>
                <w:spacing w:val="-10"/>
                <w:w w:val="105"/>
                <w:sz w:val="16"/>
              </w:rPr>
              <w:t> </w:t>
            </w:r>
            <w:r>
              <w:rPr>
                <w:w w:val="105"/>
                <w:sz w:val="16"/>
              </w:rPr>
              <w:t>redemption</w:t>
            </w:r>
            <w:r>
              <w:rPr>
                <w:spacing w:val="-10"/>
                <w:w w:val="105"/>
                <w:sz w:val="16"/>
              </w:rPr>
              <w:t> </w:t>
            </w:r>
            <w:r>
              <w:rPr>
                <w:w w:val="105"/>
                <w:sz w:val="16"/>
              </w:rPr>
              <w:t>of</w:t>
            </w:r>
            <w:r>
              <w:rPr>
                <w:spacing w:val="-10"/>
                <w:w w:val="105"/>
                <w:sz w:val="16"/>
              </w:rPr>
              <w:t> </w:t>
            </w:r>
            <w:r>
              <w:rPr>
                <w:w w:val="105"/>
                <w:sz w:val="16"/>
              </w:rPr>
              <w:t>preferred</w:t>
            </w:r>
            <w:r>
              <w:rPr>
                <w:spacing w:val="-10"/>
                <w:w w:val="105"/>
                <w:sz w:val="16"/>
              </w:rPr>
              <w:t> </w:t>
            </w:r>
            <w:r>
              <w:rPr>
                <w:w w:val="105"/>
                <w:sz w:val="16"/>
              </w:rPr>
              <w:t>stock</w:t>
            </w:r>
            <w:r>
              <w:rPr>
                <w:spacing w:val="-10"/>
                <w:w w:val="105"/>
                <w:sz w:val="16"/>
              </w:rPr>
              <w:t> </w:t>
            </w:r>
            <w:r>
              <w:rPr>
                <w:spacing w:val="-5"/>
                <w:w w:val="105"/>
                <w:position w:val="3"/>
                <w:sz w:val="14"/>
              </w:rPr>
              <w:t>(1)</w:t>
            </w:r>
          </w:p>
        </w:tc>
        <w:tc>
          <w:tcPr>
            <w:tcW w:w="1289" w:type="dxa"/>
            <w:tcBorders>
              <w:bottom w:val="single" w:sz="6" w:space="0" w:color="000000"/>
            </w:tcBorders>
          </w:tcPr>
          <w:p>
            <w:pPr>
              <w:pStyle w:val="TableParagraph"/>
              <w:spacing w:line="179" w:lineRule="exact" w:before="3"/>
              <w:ind w:left="-1" w:right="85"/>
              <w:jc w:val="right"/>
              <w:rPr>
                <w:b/>
                <w:sz w:val="16"/>
              </w:rPr>
            </w:pPr>
            <w:r>
              <w:rPr>
                <w:b/>
                <w:spacing w:val="-2"/>
                <w:w w:val="105"/>
                <w:sz w:val="16"/>
              </w:rPr>
              <w:t>(803)</w:t>
            </w:r>
          </w:p>
        </w:tc>
        <w:tc>
          <w:tcPr>
            <w:tcW w:w="1376" w:type="dxa"/>
            <w:tcBorders>
              <w:bottom w:val="single" w:sz="6" w:space="0" w:color="000000"/>
            </w:tcBorders>
          </w:tcPr>
          <w:p>
            <w:pPr>
              <w:pStyle w:val="TableParagraph"/>
              <w:rPr>
                <w:sz w:val="14"/>
              </w:rPr>
            </w:pPr>
          </w:p>
        </w:tc>
        <w:tc>
          <w:tcPr>
            <w:tcW w:w="1348" w:type="dxa"/>
            <w:tcBorders>
              <w:bottom w:val="single" w:sz="6" w:space="0" w:color="000000"/>
            </w:tcBorders>
          </w:tcPr>
          <w:p>
            <w:pPr>
              <w:pStyle w:val="TableParagraph"/>
              <w:rPr>
                <w:sz w:val="14"/>
              </w:rPr>
            </w:pPr>
          </w:p>
        </w:tc>
      </w:tr>
      <w:tr>
        <w:trPr>
          <w:trHeight w:val="202" w:hRule="atLeast"/>
        </w:trPr>
        <w:tc>
          <w:tcPr>
            <w:tcW w:w="7503" w:type="dxa"/>
            <w:shd w:val="clear" w:color="auto" w:fill="CCEDFF"/>
          </w:tcPr>
          <w:p>
            <w:pPr>
              <w:pStyle w:val="TableParagraph"/>
              <w:rPr>
                <w:sz w:val="14"/>
              </w:rPr>
            </w:pPr>
          </w:p>
        </w:tc>
        <w:tc>
          <w:tcPr>
            <w:tcW w:w="1289" w:type="dxa"/>
            <w:tcBorders>
              <w:top w:val="single" w:sz="6" w:space="0" w:color="000000"/>
            </w:tcBorders>
            <w:shd w:val="clear" w:color="auto" w:fill="CCEDFF"/>
          </w:tcPr>
          <w:p>
            <w:pPr>
              <w:pStyle w:val="TableParagraph"/>
              <w:rPr>
                <w:sz w:val="14"/>
              </w:rPr>
            </w:pPr>
          </w:p>
        </w:tc>
        <w:tc>
          <w:tcPr>
            <w:tcW w:w="1376" w:type="dxa"/>
            <w:tcBorders>
              <w:top w:val="single" w:sz="6" w:space="0" w:color="000000"/>
            </w:tcBorders>
            <w:shd w:val="clear" w:color="auto" w:fill="CCEDFF"/>
          </w:tcPr>
          <w:p>
            <w:pPr>
              <w:pStyle w:val="TableParagraph"/>
              <w:rPr>
                <w:sz w:val="14"/>
              </w:rPr>
            </w:pPr>
          </w:p>
        </w:tc>
        <w:tc>
          <w:tcPr>
            <w:tcW w:w="1348" w:type="dxa"/>
            <w:tcBorders>
              <w:top w:val="single" w:sz="6" w:space="0" w:color="000000"/>
            </w:tcBorders>
            <w:shd w:val="clear" w:color="auto" w:fill="CCEDFF"/>
          </w:tcPr>
          <w:p>
            <w:pPr>
              <w:pStyle w:val="TableParagraph"/>
              <w:rPr>
                <w:sz w:val="14"/>
              </w:rPr>
            </w:pPr>
          </w:p>
        </w:tc>
      </w:tr>
      <w:tr>
        <w:trPr>
          <w:trHeight w:val="200" w:hRule="atLeast"/>
        </w:trPr>
        <w:tc>
          <w:tcPr>
            <w:tcW w:w="7503" w:type="dxa"/>
            <w:tcBorders>
              <w:bottom w:val="double" w:sz="6" w:space="0" w:color="000000"/>
            </w:tcBorders>
          </w:tcPr>
          <w:p>
            <w:pPr>
              <w:pStyle w:val="TableParagraph"/>
              <w:spacing w:line="177" w:lineRule="exact" w:before="3"/>
              <w:rPr>
                <w:sz w:val="16"/>
              </w:rPr>
            </w:pPr>
            <w:r>
              <w:rPr>
                <w:w w:val="105"/>
                <w:sz w:val="16"/>
              </w:rPr>
              <w:t>Net</w:t>
            </w:r>
            <w:r>
              <w:rPr>
                <w:spacing w:val="-9"/>
                <w:w w:val="105"/>
                <w:sz w:val="16"/>
              </w:rPr>
              <w:t> </w:t>
            </w:r>
            <w:r>
              <w:rPr>
                <w:w w:val="105"/>
                <w:sz w:val="16"/>
              </w:rPr>
              <w:t>income</w:t>
            </w:r>
            <w:r>
              <w:rPr>
                <w:spacing w:val="-9"/>
                <w:w w:val="105"/>
                <w:sz w:val="16"/>
              </w:rPr>
              <w:t> </w:t>
            </w:r>
            <w:r>
              <w:rPr>
                <w:w w:val="105"/>
                <w:sz w:val="16"/>
              </w:rPr>
              <w:t>available</w:t>
            </w:r>
            <w:r>
              <w:rPr>
                <w:spacing w:val="-7"/>
                <w:w w:val="105"/>
                <w:sz w:val="16"/>
              </w:rPr>
              <w:t> </w:t>
            </w:r>
            <w:r>
              <w:rPr>
                <w:w w:val="105"/>
                <w:sz w:val="16"/>
              </w:rPr>
              <w:t>to</w:t>
            </w:r>
            <w:r>
              <w:rPr>
                <w:spacing w:val="-9"/>
                <w:w w:val="105"/>
                <w:sz w:val="16"/>
              </w:rPr>
              <w:t> </w:t>
            </w:r>
            <w:r>
              <w:rPr>
                <w:w w:val="105"/>
                <w:sz w:val="16"/>
              </w:rPr>
              <w:t>common</w:t>
            </w:r>
            <w:r>
              <w:rPr>
                <w:spacing w:val="-9"/>
                <w:w w:val="105"/>
                <w:sz w:val="16"/>
              </w:rPr>
              <w:t> </w:t>
            </w:r>
            <w:r>
              <w:rPr>
                <w:spacing w:val="-2"/>
                <w:w w:val="105"/>
                <w:sz w:val="16"/>
              </w:rPr>
              <w:t>shareholders</w:t>
            </w:r>
          </w:p>
        </w:tc>
        <w:tc>
          <w:tcPr>
            <w:tcW w:w="1289" w:type="dxa"/>
            <w:tcBorders>
              <w:bottom w:val="double" w:sz="6" w:space="0" w:color="000000"/>
            </w:tcBorders>
          </w:tcPr>
          <w:p>
            <w:pPr>
              <w:pStyle w:val="TableParagraph"/>
              <w:tabs>
                <w:tab w:pos="773" w:val="left" w:leader="none"/>
              </w:tabs>
              <w:spacing w:line="177" w:lineRule="exact" w:before="3"/>
              <w:ind w:left="-1" w:right="140"/>
              <w:jc w:val="right"/>
              <w:rPr>
                <w:b/>
                <w:sz w:val="16"/>
              </w:rPr>
            </w:pPr>
            <w:r>
              <w:rPr>
                <w:b/>
                <w:spacing w:val="-10"/>
                <w:w w:val="105"/>
                <w:sz w:val="16"/>
              </w:rPr>
              <w:t>$</w:t>
            </w:r>
            <w:r>
              <w:rPr>
                <w:b/>
                <w:sz w:val="16"/>
              </w:rPr>
              <w:tab/>
            </w:r>
            <w:r>
              <w:rPr>
                <w:b/>
                <w:spacing w:val="-4"/>
                <w:w w:val="105"/>
                <w:sz w:val="16"/>
              </w:rPr>
              <w:t>1,079</w:t>
            </w:r>
          </w:p>
        </w:tc>
        <w:tc>
          <w:tcPr>
            <w:tcW w:w="1376" w:type="dxa"/>
            <w:tcBorders>
              <w:bottom w:val="double" w:sz="6" w:space="0" w:color="000000"/>
            </w:tcBorders>
          </w:tcPr>
          <w:p>
            <w:pPr>
              <w:pStyle w:val="TableParagraph"/>
              <w:tabs>
                <w:tab w:pos="897" w:val="left" w:leader="none"/>
              </w:tabs>
              <w:spacing w:line="177" w:lineRule="exact" w:before="3"/>
              <w:ind w:right="140"/>
              <w:jc w:val="right"/>
              <w:rPr>
                <w:sz w:val="16"/>
              </w:rPr>
            </w:pPr>
            <w:r>
              <w:rPr>
                <w:spacing w:val="-10"/>
                <w:w w:val="105"/>
                <w:sz w:val="16"/>
              </w:rPr>
              <w:t>$</w:t>
            </w:r>
            <w:r>
              <w:rPr>
                <w:sz w:val="16"/>
              </w:rPr>
              <w:tab/>
            </w:r>
            <w:r>
              <w:rPr>
                <w:spacing w:val="-5"/>
                <w:w w:val="105"/>
                <w:sz w:val="16"/>
              </w:rPr>
              <w:t>414</w:t>
            </w:r>
          </w:p>
        </w:tc>
        <w:tc>
          <w:tcPr>
            <w:tcW w:w="1348" w:type="dxa"/>
            <w:tcBorders>
              <w:bottom w:val="double" w:sz="6" w:space="0" w:color="000000"/>
            </w:tcBorders>
          </w:tcPr>
          <w:p>
            <w:pPr>
              <w:pStyle w:val="TableParagraph"/>
              <w:tabs>
                <w:tab w:pos="984" w:val="left" w:leader="none"/>
              </w:tabs>
              <w:spacing w:line="177" w:lineRule="exact" w:before="3"/>
              <w:ind w:left="86"/>
              <w:rPr>
                <w:sz w:val="16"/>
              </w:rPr>
            </w:pPr>
            <w:r>
              <w:rPr>
                <w:spacing w:val="-10"/>
                <w:w w:val="105"/>
                <w:sz w:val="16"/>
              </w:rPr>
              <w:t>$</w:t>
            </w:r>
            <w:r>
              <w:rPr>
                <w:sz w:val="16"/>
              </w:rPr>
              <w:tab/>
            </w:r>
            <w:r>
              <w:rPr>
                <w:spacing w:val="-5"/>
                <w:w w:val="105"/>
                <w:sz w:val="16"/>
              </w:rPr>
              <w:t>862</w:t>
            </w:r>
          </w:p>
        </w:tc>
      </w:tr>
    </w:tbl>
    <w:p>
      <w:pPr>
        <w:pStyle w:val="BodyText"/>
        <w:spacing w:before="42"/>
      </w:pPr>
    </w:p>
    <w:p>
      <w:pPr>
        <w:spacing w:before="1"/>
        <w:ind w:left="156" w:right="0" w:firstLine="0"/>
        <w:jc w:val="left"/>
        <w:rPr>
          <w:sz w:val="14"/>
        </w:rPr>
      </w:pPr>
      <w:r>
        <w:rPr>
          <w:sz w:val="14"/>
        </w:rPr>
        <w:t>(1)</w:t>
      </w:r>
      <w:r>
        <w:rPr>
          <w:spacing w:val="33"/>
          <w:sz w:val="14"/>
        </w:rPr>
        <w:t>  </w:t>
      </w:r>
      <w:r>
        <w:rPr>
          <w:sz w:val="14"/>
        </w:rPr>
        <w:t>Refer</w:t>
      </w:r>
      <w:r>
        <w:rPr>
          <w:spacing w:val="-1"/>
          <w:sz w:val="14"/>
        </w:rPr>
        <w:t> </w:t>
      </w:r>
      <w:r>
        <w:rPr>
          <w:sz w:val="14"/>
        </w:rPr>
        <w:t>to</w:t>
      </w:r>
      <w:r>
        <w:rPr>
          <w:spacing w:val="-2"/>
          <w:sz w:val="14"/>
        </w:rPr>
        <w:t> </w:t>
      </w:r>
      <w:r>
        <w:rPr>
          <w:sz w:val="14"/>
        </w:rPr>
        <w:t>Note</w:t>
      </w:r>
      <w:r>
        <w:rPr>
          <w:spacing w:val="-1"/>
          <w:sz w:val="14"/>
        </w:rPr>
        <w:t> </w:t>
      </w:r>
      <w:r>
        <w:rPr>
          <w:sz w:val="14"/>
        </w:rPr>
        <w:t>17</w:t>
      </w:r>
      <w:r>
        <w:rPr>
          <w:spacing w:val="-1"/>
          <w:sz w:val="14"/>
        </w:rPr>
        <w:t> </w:t>
      </w:r>
      <w:r>
        <w:rPr>
          <w:sz w:val="14"/>
        </w:rPr>
        <w:t>(Shareholders'</w:t>
      </w:r>
      <w:r>
        <w:rPr>
          <w:spacing w:val="-2"/>
          <w:sz w:val="14"/>
        </w:rPr>
        <w:t> </w:t>
      </w:r>
      <w:r>
        <w:rPr>
          <w:sz w:val="14"/>
        </w:rPr>
        <w:t>Equity)</w:t>
      </w:r>
      <w:r>
        <w:rPr>
          <w:spacing w:val="-1"/>
          <w:sz w:val="14"/>
        </w:rPr>
        <w:t> </w:t>
      </w:r>
      <w:r>
        <w:rPr>
          <w:sz w:val="14"/>
        </w:rPr>
        <w:t>and</w:t>
      </w:r>
      <w:r>
        <w:rPr>
          <w:spacing w:val="-1"/>
          <w:sz w:val="14"/>
        </w:rPr>
        <w:t> </w:t>
      </w:r>
      <w:r>
        <w:rPr>
          <w:sz w:val="14"/>
        </w:rPr>
        <w:t>Note</w:t>
      </w:r>
      <w:r>
        <w:rPr>
          <w:spacing w:val="-2"/>
          <w:sz w:val="14"/>
        </w:rPr>
        <w:t> </w:t>
      </w:r>
      <w:r>
        <w:rPr>
          <w:sz w:val="14"/>
        </w:rPr>
        <w:t>18</w:t>
      </w:r>
      <w:r>
        <w:rPr>
          <w:spacing w:val="-1"/>
          <w:sz w:val="14"/>
        </w:rPr>
        <w:t> </w:t>
      </w:r>
      <w:r>
        <w:rPr>
          <w:sz w:val="14"/>
        </w:rPr>
        <w:t>(Earnings</w:t>
      </w:r>
      <w:r>
        <w:rPr>
          <w:spacing w:val="-1"/>
          <w:sz w:val="14"/>
        </w:rPr>
        <w:t> </w:t>
      </w:r>
      <w:r>
        <w:rPr>
          <w:sz w:val="14"/>
        </w:rPr>
        <w:t>per</w:t>
      </w:r>
      <w:r>
        <w:rPr>
          <w:spacing w:val="-2"/>
          <w:sz w:val="14"/>
        </w:rPr>
        <w:t> </w:t>
      </w:r>
      <w:r>
        <w:rPr>
          <w:sz w:val="14"/>
        </w:rPr>
        <w:t>Common</w:t>
      </w:r>
      <w:r>
        <w:rPr>
          <w:spacing w:val="-1"/>
          <w:sz w:val="14"/>
        </w:rPr>
        <w:t> </w:t>
      </w:r>
      <w:r>
        <w:rPr>
          <w:sz w:val="14"/>
        </w:rPr>
        <w:t>Share)</w:t>
      </w:r>
      <w:r>
        <w:rPr>
          <w:spacing w:val="-1"/>
          <w:sz w:val="14"/>
        </w:rPr>
        <w:t> </w:t>
      </w:r>
      <w:r>
        <w:rPr>
          <w:sz w:val="14"/>
        </w:rPr>
        <w:t>to</w:t>
      </w:r>
      <w:r>
        <w:rPr>
          <w:spacing w:val="-2"/>
          <w:sz w:val="14"/>
        </w:rPr>
        <w:t> </w:t>
      </w:r>
      <w:r>
        <w:rPr>
          <w:sz w:val="14"/>
        </w:rPr>
        <w:t>the</w:t>
      </w:r>
      <w:r>
        <w:rPr>
          <w:spacing w:val="-1"/>
          <w:sz w:val="14"/>
        </w:rPr>
        <w:t> </w:t>
      </w:r>
      <w:r>
        <w:rPr>
          <w:sz w:val="14"/>
        </w:rPr>
        <w:t>consolidated</w:t>
      </w:r>
      <w:r>
        <w:rPr>
          <w:spacing w:val="-1"/>
          <w:sz w:val="14"/>
        </w:rPr>
        <w:t> </w:t>
      </w:r>
      <w:r>
        <w:rPr>
          <w:sz w:val="14"/>
        </w:rPr>
        <w:t>financial</w:t>
      </w:r>
      <w:r>
        <w:rPr>
          <w:spacing w:val="-1"/>
          <w:sz w:val="14"/>
        </w:rPr>
        <w:t> </w:t>
      </w:r>
      <w:r>
        <w:rPr>
          <w:sz w:val="14"/>
        </w:rPr>
        <w:t>statements</w:t>
      </w:r>
      <w:r>
        <w:rPr>
          <w:spacing w:val="-2"/>
          <w:sz w:val="14"/>
        </w:rPr>
        <w:t> </w:t>
      </w:r>
      <w:r>
        <w:rPr>
          <w:sz w:val="14"/>
        </w:rPr>
        <w:t>for</w:t>
      </w:r>
      <w:r>
        <w:rPr>
          <w:spacing w:val="-1"/>
          <w:sz w:val="14"/>
        </w:rPr>
        <w:t> </w:t>
      </w:r>
      <w:r>
        <w:rPr>
          <w:sz w:val="14"/>
        </w:rPr>
        <w:t>additional</w:t>
      </w:r>
      <w:r>
        <w:rPr>
          <w:spacing w:val="-1"/>
          <w:sz w:val="14"/>
        </w:rPr>
        <w:t> </w:t>
      </w:r>
      <w:r>
        <w:rPr>
          <w:spacing w:val="-2"/>
          <w:sz w:val="14"/>
        </w:rPr>
        <w:t>information.</w:t>
      </w:r>
    </w:p>
    <w:p>
      <w:pPr>
        <w:pStyle w:val="BodyText"/>
        <w:spacing w:before="41"/>
        <w:rPr>
          <w:sz w:val="14"/>
        </w:rPr>
      </w:pPr>
    </w:p>
    <w:p>
      <w:pPr>
        <w:pStyle w:val="BodyText"/>
        <w:ind w:left="156"/>
      </w:pPr>
      <w:r>
        <w:rPr>
          <w:w w:val="105"/>
        </w:rPr>
        <w:t>The</w:t>
      </w:r>
      <w:r>
        <w:rPr>
          <w:spacing w:val="-10"/>
          <w:w w:val="105"/>
        </w:rPr>
        <w:t> </w:t>
      </w:r>
      <w:r>
        <w:rPr>
          <w:w w:val="105"/>
        </w:rPr>
        <w:t>accompanying</w:t>
      </w:r>
      <w:r>
        <w:rPr>
          <w:spacing w:val="-9"/>
          <w:w w:val="105"/>
        </w:rPr>
        <w:t> </w:t>
      </w:r>
      <w:r>
        <w:rPr>
          <w:w w:val="105"/>
        </w:rPr>
        <w:t>notes</w:t>
      </w:r>
      <w:r>
        <w:rPr>
          <w:spacing w:val="-9"/>
          <w:w w:val="105"/>
        </w:rPr>
        <w:t> </w:t>
      </w:r>
      <w:r>
        <w:rPr>
          <w:w w:val="105"/>
        </w:rPr>
        <w:t>are</w:t>
      </w:r>
      <w:r>
        <w:rPr>
          <w:spacing w:val="-8"/>
          <w:w w:val="105"/>
        </w:rPr>
        <w:t> </w:t>
      </w:r>
      <w:r>
        <w:rPr>
          <w:w w:val="105"/>
        </w:rPr>
        <w:t>an</w:t>
      </w:r>
      <w:r>
        <w:rPr>
          <w:spacing w:val="-9"/>
          <w:w w:val="105"/>
        </w:rPr>
        <w:t> </w:t>
      </w:r>
      <w:r>
        <w:rPr>
          <w:w w:val="105"/>
        </w:rPr>
        <w:t>integral</w:t>
      </w:r>
      <w:r>
        <w:rPr>
          <w:spacing w:val="-10"/>
          <w:w w:val="105"/>
        </w:rPr>
        <w:t> </w:t>
      </w:r>
      <w:r>
        <w:rPr>
          <w:w w:val="105"/>
        </w:rPr>
        <w:t>part</w:t>
      </w:r>
      <w:r>
        <w:rPr>
          <w:spacing w:val="-9"/>
          <w:w w:val="105"/>
        </w:rPr>
        <w:t> </w:t>
      </w:r>
      <w:r>
        <w:rPr>
          <w:w w:val="105"/>
        </w:rPr>
        <w:t>of</w:t>
      </w:r>
      <w:r>
        <w:rPr>
          <w:spacing w:val="-9"/>
          <w:w w:val="105"/>
        </w:rPr>
        <w:t> </w:t>
      </w:r>
      <w:r>
        <w:rPr>
          <w:w w:val="105"/>
        </w:rPr>
        <w:t>these</w:t>
      </w:r>
      <w:r>
        <w:rPr>
          <w:spacing w:val="-10"/>
          <w:w w:val="105"/>
        </w:rPr>
        <w:t> </w:t>
      </w:r>
      <w:r>
        <w:rPr>
          <w:w w:val="105"/>
        </w:rPr>
        <w:t>consolidated</w:t>
      </w:r>
      <w:r>
        <w:rPr>
          <w:spacing w:val="-9"/>
          <w:w w:val="105"/>
        </w:rPr>
        <w:t> </w:t>
      </w:r>
      <w:r>
        <w:rPr>
          <w:w w:val="105"/>
        </w:rPr>
        <w:t>financial</w:t>
      </w:r>
      <w:r>
        <w:rPr>
          <w:spacing w:val="-9"/>
          <w:w w:val="105"/>
        </w:rPr>
        <w:t> </w:t>
      </w:r>
      <w:r>
        <w:rPr>
          <w:spacing w:val="-2"/>
          <w:w w:val="105"/>
        </w:rPr>
        <w:t>statements.</w:t>
      </w:r>
    </w:p>
    <w:p>
      <w:pPr>
        <w:pStyle w:val="BodyText"/>
        <w:spacing w:before="40"/>
      </w:pPr>
    </w:p>
    <w:p>
      <w:pPr>
        <w:pStyle w:val="BodyText"/>
        <w:ind w:left="48"/>
        <w:jc w:val="center"/>
      </w:pPr>
      <w:r>
        <w:rPr>
          <w:spacing w:val="-5"/>
          <w:w w:val="105"/>
        </w:rPr>
        <w:t>65</w:t>
      </w:r>
    </w:p>
    <w:p>
      <w:pPr>
        <w:pStyle w:val="BodyText"/>
        <w:spacing w:before="11"/>
        <w:rPr>
          <w:sz w:val="5"/>
        </w:rPr>
      </w:pPr>
      <w:r>
        <w:rPr/>
        <mc:AlternateContent>
          <mc:Choice Requires="wps">
            <w:drawing>
              <wp:anchor distT="0" distB="0" distL="0" distR="0" allowOverlap="1" layoutInCell="1" locked="0" behindDoc="1" simplePos="0" relativeHeight="487646720">
                <wp:simplePos x="0" y="0"/>
                <wp:positionH relativeFrom="page">
                  <wp:posOffset>226488</wp:posOffset>
                </wp:positionH>
                <wp:positionV relativeFrom="paragraph">
                  <wp:posOffset>58734</wp:posOffset>
                </wp:positionV>
                <wp:extent cx="7312659" cy="1651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69760;mso-wrap-distance-left:0;mso-wrap-distance-right:0" id="docshape162"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tabs>
          <w:tab w:pos="8048" w:val="left" w:leader="none"/>
        </w:tabs>
        <w:ind w:left="48"/>
        <w:jc w:val="center"/>
      </w:pPr>
      <w:r>
        <w:rPr/>
        <mc:AlternateContent>
          <mc:Choice Requires="wps">
            <w:drawing>
              <wp:anchor distT="0" distB="0" distL="0" distR="0" allowOverlap="1" layoutInCell="1" locked="0" behindDoc="1" simplePos="0" relativeHeight="487647232">
                <wp:simplePos x="0" y="0"/>
                <wp:positionH relativeFrom="page">
                  <wp:posOffset>226479</wp:posOffset>
                </wp:positionH>
                <wp:positionV relativeFrom="paragraph">
                  <wp:posOffset>127496</wp:posOffset>
                </wp:positionV>
                <wp:extent cx="7312659" cy="1651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7312659" cy="16510"/>
                        </a:xfrm>
                        <a:custGeom>
                          <a:avLst/>
                          <a:gdLst/>
                          <a:ahLst/>
                          <a:cxnLst/>
                          <a:rect l="l" t="t" r="r" b="b"/>
                          <a:pathLst>
                            <a:path w="7312659" h="16510">
                              <a:moveTo>
                                <a:pt x="7312342" y="0"/>
                              </a:moveTo>
                              <a:lnTo>
                                <a:pt x="3656177" y="0"/>
                              </a:lnTo>
                              <a:lnTo>
                                <a:pt x="0" y="0"/>
                              </a:lnTo>
                              <a:lnTo>
                                <a:pt x="0" y="16179"/>
                              </a:lnTo>
                              <a:lnTo>
                                <a:pt x="3656177"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10.039074pt;width:575.8pt;height:1.3pt;mso-position-horizontal-relative:page;mso-position-vertical-relative:paragraph;z-index:-15669248;mso-wrap-distance-left:0;mso-wrap-distance-right:0" id="docshape163" coordorigin="357,201" coordsize="11516,26" path="m11872,201l6114,201,357,201,357,226,6114,226,11872,226,11872,201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47744">
                <wp:simplePos x="0" y="0"/>
                <wp:positionH relativeFrom="page">
                  <wp:posOffset>226479</wp:posOffset>
                </wp:positionH>
                <wp:positionV relativeFrom="paragraph">
                  <wp:posOffset>216472</wp:posOffset>
                </wp:positionV>
                <wp:extent cx="7312659" cy="1651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7312659" cy="16510"/>
                        </a:xfrm>
                        <a:custGeom>
                          <a:avLst/>
                          <a:gdLst/>
                          <a:ahLst/>
                          <a:cxnLst/>
                          <a:rect l="l" t="t" r="r" b="b"/>
                          <a:pathLst>
                            <a:path w="7312659" h="16510">
                              <a:moveTo>
                                <a:pt x="7312342" y="0"/>
                              </a:moveTo>
                              <a:lnTo>
                                <a:pt x="7239546" y="0"/>
                              </a:lnTo>
                              <a:lnTo>
                                <a:pt x="4109148" y="0"/>
                              </a:lnTo>
                              <a:lnTo>
                                <a:pt x="4028262" y="0"/>
                              </a:lnTo>
                              <a:lnTo>
                                <a:pt x="0" y="0"/>
                              </a:lnTo>
                              <a:lnTo>
                                <a:pt x="0" y="16179"/>
                              </a:lnTo>
                              <a:lnTo>
                                <a:pt x="4028262" y="16179"/>
                              </a:lnTo>
                              <a:lnTo>
                                <a:pt x="4109148"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17.045074pt;width:575.8pt;height:1.3pt;mso-position-horizontal-relative:page;mso-position-vertical-relative:paragraph;z-index:-15668736;mso-wrap-distance-left:0;mso-wrap-distance-right:0" id="docshape164" coordorigin="357,341" coordsize="11516,26" path="m11872,341l11758,341,6828,341,6700,341,357,341,357,366,6700,366,6828,366,11758,366,11872,366,11872,341xe" filled="true" fillcolor="#000000" stroked="false">
                <v:path arrowok="t"/>
                <v:fill type="solid"/>
                <w10:wrap type="topAndBottom"/>
              </v:shape>
            </w:pict>
          </mc:Fallback>
        </mc:AlternateContent>
      </w:r>
      <w:bookmarkStart w:name="_bookmark4" w:id="5"/>
      <w:bookmarkEnd w:id="5"/>
      <w:r>
        <w:rPr>
          <w:b w:val="0"/>
        </w:rPr>
      </w:r>
      <w:r>
        <w:rPr/>
        <w:t>Consolidated</w:t>
      </w:r>
      <w:r>
        <w:rPr>
          <w:spacing w:val="17"/>
        </w:rPr>
        <w:t> </w:t>
      </w:r>
      <w:r>
        <w:rPr/>
        <w:t>Statements</w:t>
      </w:r>
      <w:r>
        <w:rPr>
          <w:spacing w:val="17"/>
        </w:rPr>
        <w:t> </w:t>
      </w:r>
      <w:r>
        <w:rPr/>
        <w:t>of</w:t>
      </w:r>
      <w:r>
        <w:rPr>
          <w:spacing w:val="18"/>
        </w:rPr>
        <w:t> </w:t>
      </w:r>
      <w:r>
        <w:rPr/>
        <w:t>Comprehensive</w:t>
      </w:r>
      <w:r>
        <w:rPr>
          <w:spacing w:val="17"/>
        </w:rPr>
        <w:t> </w:t>
      </w:r>
      <w:r>
        <w:rPr>
          <w:spacing w:val="-2"/>
        </w:rPr>
        <w:t>Income</w:t>
      </w:r>
      <w:r>
        <w:rPr/>
        <w:tab/>
        <w:t>Corning</w:t>
      </w:r>
      <w:r>
        <w:rPr>
          <w:spacing w:val="16"/>
        </w:rPr>
        <w:t> </w:t>
      </w:r>
      <w:r>
        <w:rPr/>
        <w:t>Incorporated</w:t>
      </w:r>
      <w:r>
        <w:rPr>
          <w:spacing w:val="16"/>
        </w:rPr>
        <w:t> </w:t>
      </w:r>
      <w:r>
        <w:rPr/>
        <w:t>and</w:t>
      </w:r>
      <w:r>
        <w:rPr>
          <w:spacing w:val="16"/>
        </w:rPr>
        <w:t> </w:t>
      </w:r>
      <w:r>
        <w:rPr/>
        <w:t>Subsidiary</w:t>
      </w:r>
      <w:r>
        <w:rPr>
          <w:spacing w:val="17"/>
        </w:rPr>
        <w:t> </w:t>
      </w:r>
      <w:r>
        <w:rPr>
          <w:spacing w:val="-2"/>
        </w:rPr>
        <w:t>Companies</w:t>
      </w:r>
    </w:p>
    <w:p>
      <w:pPr>
        <w:pStyle w:val="BodyText"/>
        <w:spacing w:before="10"/>
        <w:rPr>
          <w:b/>
          <w:sz w:val="7"/>
        </w:rPr>
      </w:pPr>
    </w:p>
    <w:p>
      <w:pPr>
        <w:pStyle w:val="BodyText"/>
        <w:spacing w:before="3" w:after="23"/>
        <w:ind w:right="1821"/>
        <w:jc w:val="right"/>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1"/>
        <w:gridCol w:w="1014"/>
        <w:gridCol w:w="618"/>
        <w:gridCol w:w="418"/>
        <w:gridCol w:w="745"/>
        <w:gridCol w:w="556"/>
        <w:gridCol w:w="418"/>
        <w:gridCol w:w="1274"/>
      </w:tblGrid>
      <w:tr>
        <w:trPr>
          <w:trHeight w:val="213" w:hRule="atLeast"/>
        </w:trPr>
        <w:tc>
          <w:tcPr>
            <w:tcW w:w="6521" w:type="dxa"/>
          </w:tcPr>
          <w:p>
            <w:pPr>
              <w:pStyle w:val="TableParagraph"/>
              <w:spacing w:before="2"/>
              <w:ind w:left="50"/>
              <w:rPr>
                <w:sz w:val="16"/>
              </w:rPr>
            </w:pPr>
            <w:r>
              <w:rPr>
                <w:w w:val="105"/>
                <w:sz w:val="16"/>
              </w:rPr>
              <w:t>(In</w:t>
            </w:r>
            <w:r>
              <w:rPr>
                <w:spacing w:val="-5"/>
                <w:w w:val="105"/>
                <w:sz w:val="16"/>
              </w:rPr>
              <w:t> </w:t>
            </w:r>
            <w:r>
              <w:rPr>
                <w:spacing w:val="-2"/>
                <w:w w:val="105"/>
                <w:sz w:val="16"/>
              </w:rPr>
              <w:t>millions)</w:t>
            </w:r>
          </w:p>
        </w:tc>
        <w:tc>
          <w:tcPr>
            <w:tcW w:w="1014" w:type="dxa"/>
            <w:tcBorders>
              <w:top w:val="single" w:sz="6" w:space="0" w:color="000000"/>
            </w:tcBorders>
          </w:tcPr>
          <w:p>
            <w:pPr>
              <w:pStyle w:val="TableParagraph"/>
              <w:spacing w:before="2"/>
              <w:ind w:left="579"/>
              <w:rPr>
                <w:b/>
                <w:sz w:val="16"/>
              </w:rPr>
            </w:pPr>
            <w:r>
              <w:rPr>
                <w:b/>
                <w:spacing w:val="-4"/>
                <w:w w:val="105"/>
                <w:sz w:val="16"/>
              </w:rPr>
              <w:t>2021</w:t>
            </w:r>
          </w:p>
        </w:tc>
        <w:tc>
          <w:tcPr>
            <w:tcW w:w="1781" w:type="dxa"/>
            <w:gridSpan w:val="3"/>
            <w:tcBorders>
              <w:top w:val="single" w:sz="6" w:space="0" w:color="000000"/>
            </w:tcBorders>
          </w:tcPr>
          <w:p>
            <w:pPr>
              <w:pStyle w:val="TableParagraph"/>
              <w:spacing w:before="2"/>
              <w:ind w:right="162"/>
              <w:jc w:val="right"/>
              <w:rPr>
                <w:sz w:val="16"/>
              </w:rPr>
            </w:pPr>
            <w:r>
              <w:rPr>
                <w:spacing w:val="-4"/>
                <w:w w:val="105"/>
                <w:sz w:val="16"/>
              </w:rPr>
              <w:t>2020</w:t>
            </w:r>
          </w:p>
        </w:tc>
        <w:tc>
          <w:tcPr>
            <w:tcW w:w="2248" w:type="dxa"/>
            <w:gridSpan w:val="3"/>
            <w:tcBorders>
              <w:top w:val="single" w:sz="6" w:space="0" w:color="000000"/>
            </w:tcBorders>
          </w:tcPr>
          <w:p>
            <w:pPr>
              <w:pStyle w:val="TableParagraph"/>
              <w:spacing w:before="2"/>
              <w:ind w:left="1224"/>
              <w:rPr>
                <w:sz w:val="16"/>
              </w:rPr>
            </w:pPr>
            <w:r>
              <w:rPr>
                <w:spacing w:val="-4"/>
                <w:w w:val="105"/>
                <w:sz w:val="16"/>
              </w:rPr>
              <w:t>2019</w:t>
            </w:r>
          </w:p>
        </w:tc>
      </w:tr>
      <w:tr>
        <w:trPr>
          <w:trHeight w:val="191" w:hRule="atLeast"/>
        </w:trPr>
        <w:tc>
          <w:tcPr>
            <w:tcW w:w="6521" w:type="dxa"/>
            <w:tcBorders>
              <w:top w:val="single" w:sz="6" w:space="0" w:color="000000"/>
            </w:tcBorders>
            <w:shd w:val="clear" w:color="auto" w:fill="CCEDFF"/>
          </w:tcPr>
          <w:p>
            <w:pPr>
              <w:pStyle w:val="TableParagraph"/>
              <w:spacing w:line="180" w:lineRule="exact" w:before="2"/>
              <w:ind w:left="50"/>
              <w:rPr>
                <w:sz w:val="16"/>
              </w:rPr>
            </w:pPr>
            <w:r>
              <w:rPr>
                <w:w w:val="105"/>
                <w:sz w:val="16"/>
              </w:rPr>
              <w:t>Net</w:t>
            </w:r>
            <w:r>
              <w:rPr>
                <w:spacing w:val="-9"/>
                <w:w w:val="105"/>
                <w:sz w:val="16"/>
              </w:rPr>
              <w:t> </w:t>
            </w:r>
            <w:r>
              <w:rPr>
                <w:w w:val="105"/>
                <w:sz w:val="16"/>
              </w:rPr>
              <w:t>income</w:t>
            </w:r>
            <w:r>
              <w:rPr>
                <w:spacing w:val="-9"/>
                <w:w w:val="105"/>
                <w:sz w:val="16"/>
              </w:rPr>
              <w:t> </w:t>
            </w:r>
            <w:r>
              <w:rPr>
                <w:w w:val="105"/>
                <w:sz w:val="16"/>
              </w:rPr>
              <w:t>attributable</w:t>
            </w:r>
            <w:r>
              <w:rPr>
                <w:spacing w:val="-9"/>
                <w:w w:val="105"/>
                <w:sz w:val="16"/>
              </w:rPr>
              <w:t> </w:t>
            </w:r>
            <w:r>
              <w:rPr>
                <w:w w:val="105"/>
                <w:sz w:val="16"/>
              </w:rPr>
              <w:t>to</w:t>
            </w:r>
            <w:r>
              <w:rPr>
                <w:spacing w:val="-9"/>
                <w:w w:val="105"/>
                <w:sz w:val="16"/>
              </w:rPr>
              <w:t> </w:t>
            </w:r>
            <w:r>
              <w:rPr>
                <w:w w:val="105"/>
                <w:sz w:val="16"/>
              </w:rPr>
              <w:t>Corning</w:t>
            </w:r>
            <w:r>
              <w:rPr>
                <w:spacing w:val="-9"/>
                <w:w w:val="105"/>
                <w:sz w:val="16"/>
              </w:rPr>
              <w:t> </w:t>
            </w:r>
            <w:r>
              <w:rPr>
                <w:spacing w:val="-2"/>
                <w:w w:val="105"/>
                <w:sz w:val="16"/>
              </w:rPr>
              <w:t>Incorporated</w:t>
            </w:r>
          </w:p>
        </w:tc>
        <w:tc>
          <w:tcPr>
            <w:tcW w:w="1014"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618" w:type="dxa"/>
            <w:tcBorders>
              <w:top w:val="single" w:sz="6" w:space="0" w:color="000000"/>
            </w:tcBorders>
            <w:shd w:val="clear" w:color="auto" w:fill="CCEDFF"/>
          </w:tcPr>
          <w:p>
            <w:pPr>
              <w:pStyle w:val="TableParagraph"/>
              <w:spacing w:line="180" w:lineRule="exact" w:before="2"/>
              <w:ind w:left="103"/>
              <w:rPr>
                <w:b/>
                <w:sz w:val="16"/>
              </w:rPr>
            </w:pPr>
            <w:r>
              <w:rPr>
                <w:b/>
                <w:spacing w:val="-4"/>
                <w:w w:val="105"/>
                <w:sz w:val="16"/>
              </w:rPr>
              <w:t>1,906</w:t>
            </w:r>
          </w:p>
        </w:tc>
        <w:tc>
          <w:tcPr>
            <w:tcW w:w="418" w:type="dxa"/>
            <w:tcBorders>
              <w:top w:val="single" w:sz="6" w:space="0" w:color="000000"/>
            </w:tcBorders>
            <w:shd w:val="clear" w:color="auto" w:fill="CCEDFF"/>
          </w:tcPr>
          <w:p>
            <w:pPr>
              <w:pStyle w:val="TableParagraph"/>
              <w:spacing w:line="180" w:lineRule="exact" w:before="2"/>
              <w:ind w:left="87"/>
              <w:rPr>
                <w:sz w:val="16"/>
              </w:rPr>
            </w:pPr>
            <w:r>
              <w:rPr>
                <w:spacing w:val="-10"/>
                <w:w w:val="105"/>
                <w:sz w:val="16"/>
              </w:rPr>
              <w:t>$</w:t>
            </w:r>
          </w:p>
        </w:tc>
        <w:tc>
          <w:tcPr>
            <w:tcW w:w="1301" w:type="dxa"/>
            <w:gridSpan w:val="2"/>
            <w:tcBorders>
              <w:top w:val="single" w:sz="6" w:space="0" w:color="000000"/>
            </w:tcBorders>
            <w:shd w:val="clear" w:color="auto" w:fill="CCEDFF"/>
          </w:tcPr>
          <w:p>
            <w:pPr>
              <w:pStyle w:val="TableParagraph"/>
              <w:spacing w:line="180" w:lineRule="exact" w:before="2"/>
              <w:ind w:right="138"/>
              <w:jc w:val="right"/>
              <w:rPr>
                <w:sz w:val="16"/>
              </w:rPr>
            </w:pPr>
            <w:r>
              <w:rPr>
                <w:spacing w:val="-5"/>
                <w:w w:val="105"/>
                <w:sz w:val="16"/>
              </w:rPr>
              <w:t>512</w:t>
            </w:r>
          </w:p>
        </w:tc>
        <w:tc>
          <w:tcPr>
            <w:tcW w:w="418" w:type="dxa"/>
            <w:tcBorders>
              <w:top w:val="single" w:sz="6" w:space="0" w:color="000000"/>
            </w:tcBorders>
            <w:shd w:val="clear" w:color="auto" w:fill="CCEDFF"/>
          </w:tcPr>
          <w:p>
            <w:pPr>
              <w:pStyle w:val="TableParagraph"/>
              <w:spacing w:line="180" w:lineRule="exact" w:before="2"/>
              <w:ind w:left="88"/>
              <w:rPr>
                <w:sz w:val="16"/>
              </w:rPr>
            </w:pPr>
            <w:r>
              <w:rPr>
                <w:spacing w:val="-10"/>
                <w:w w:val="105"/>
                <w:sz w:val="16"/>
              </w:rPr>
              <w:t>$</w:t>
            </w:r>
          </w:p>
        </w:tc>
        <w:tc>
          <w:tcPr>
            <w:tcW w:w="1274" w:type="dxa"/>
            <w:tcBorders>
              <w:top w:val="single" w:sz="6" w:space="0" w:color="000000"/>
            </w:tcBorders>
            <w:shd w:val="clear" w:color="auto" w:fill="CCEDFF"/>
          </w:tcPr>
          <w:p>
            <w:pPr>
              <w:pStyle w:val="TableParagraph"/>
              <w:spacing w:line="180" w:lineRule="exact" w:before="2"/>
              <w:ind w:right="111"/>
              <w:jc w:val="right"/>
              <w:rPr>
                <w:sz w:val="16"/>
              </w:rPr>
            </w:pPr>
            <w:r>
              <w:rPr>
                <w:spacing w:val="-5"/>
                <w:w w:val="105"/>
                <w:sz w:val="16"/>
              </w:rPr>
              <w:t>960</w:t>
            </w:r>
          </w:p>
        </w:tc>
      </w:tr>
      <w:tr>
        <w:trPr>
          <w:trHeight w:val="203" w:hRule="atLeast"/>
        </w:trPr>
        <w:tc>
          <w:tcPr>
            <w:tcW w:w="6521" w:type="dxa"/>
          </w:tcPr>
          <w:p>
            <w:pPr>
              <w:pStyle w:val="TableParagraph"/>
              <w:rPr>
                <w:sz w:val="14"/>
              </w:rPr>
            </w:pPr>
          </w:p>
        </w:tc>
        <w:tc>
          <w:tcPr>
            <w:tcW w:w="1014" w:type="dxa"/>
          </w:tcPr>
          <w:p>
            <w:pPr>
              <w:pStyle w:val="TableParagraph"/>
              <w:rPr>
                <w:sz w:val="14"/>
              </w:rPr>
            </w:pPr>
          </w:p>
        </w:tc>
        <w:tc>
          <w:tcPr>
            <w:tcW w:w="618" w:type="dxa"/>
          </w:tcPr>
          <w:p>
            <w:pPr>
              <w:pStyle w:val="TableParagraph"/>
              <w:rPr>
                <w:sz w:val="14"/>
              </w:rPr>
            </w:pPr>
          </w:p>
        </w:tc>
        <w:tc>
          <w:tcPr>
            <w:tcW w:w="418" w:type="dxa"/>
          </w:tcPr>
          <w:p>
            <w:pPr>
              <w:pStyle w:val="TableParagraph"/>
              <w:rPr>
                <w:sz w:val="14"/>
              </w:rPr>
            </w:pPr>
          </w:p>
        </w:tc>
        <w:tc>
          <w:tcPr>
            <w:tcW w:w="1301" w:type="dxa"/>
            <w:gridSpan w:val="2"/>
          </w:tcPr>
          <w:p>
            <w:pPr>
              <w:pStyle w:val="TableParagraph"/>
              <w:rPr>
                <w:sz w:val="14"/>
              </w:rPr>
            </w:pPr>
          </w:p>
        </w:tc>
        <w:tc>
          <w:tcPr>
            <w:tcW w:w="418" w:type="dxa"/>
          </w:tcPr>
          <w:p>
            <w:pPr>
              <w:pStyle w:val="TableParagraph"/>
              <w:rPr>
                <w:sz w:val="14"/>
              </w:rPr>
            </w:pPr>
          </w:p>
        </w:tc>
        <w:tc>
          <w:tcPr>
            <w:tcW w:w="1274" w:type="dxa"/>
          </w:tcPr>
          <w:p>
            <w:pPr>
              <w:pStyle w:val="TableParagraph"/>
              <w:rPr>
                <w:sz w:val="14"/>
              </w:rPr>
            </w:pPr>
          </w:p>
        </w:tc>
      </w:tr>
      <w:tr>
        <w:trPr>
          <w:trHeight w:val="203" w:hRule="atLeast"/>
        </w:trPr>
        <w:tc>
          <w:tcPr>
            <w:tcW w:w="6521" w:type="dxa"/>
            <w:shd w:val="clear" w:color="auto" w:fill="CCEDFF"/>
          </w:tcPr>
          <w:p>
            <w:pPr>
              <w:pStyle w:val="TableParagraph"/>
              <w:spacing w:line="180" w:lineRule="exact" w:before="3"/>
              <w:ind w:left="202"/>
              <w:rPr>
                <w:sz w:val="16"/>
              </w:rPr>
            </w:pPr>
            <w:r>
              <w:rPr>
                <w:sz w:val="16"/>
              </w:rPr>
              <w:t>Foreign</w:t>
            </w:r>
            <w:r>
              <w:rPr>
                <w:spacing w:val="14"/>
                <w:sz w:val="16"/>
              </w:rPr>
              <w:t> </w:t>
            </w:r>
            <w:r>
              <w:rPr>
                <w:sz w:val="16"/>
              </w:rPr>
              <w:t>currency</w:t>
            </w:r>
            <w:r>
              <w:rPr>
                <w:spacing w:val="15"/>
                <w:sz w:val="16"/>
              </w:rPr>
              <w:t> </w:t>
            </w:r>
            <w:r>
              <w:rPr>
                <w:sz w:val="16"/>
              </w:rPr>
              <w:t>translation</w:t>
            </w:r>
            <w:r>
              <w:rPr>
                <w:spacing w:val="15"/>
                <w:sz w:val="16"/>
              </w:rPr>
              <w:t> </w:t>
            </w:r>
            <w:r>
              <w:rPr>
                <w:sz w:val="16"/>
              </w:rPr>
              <w:t>adjustments</w:t>
            </w:r>
            <w:r>
              <w:rPr>
                <w:spacing w:val="15"/>
                <w:sz w:val="16"/>
              </w:rPr>
              <w:t> </w:t>
            </w:r>
            <w:r>
              <w:rPr>
                <w:sz w:val="16"/>
              </w:rPr>
              <w:t>and</w:t>
            </w:r>
            <w:r>
              <w:rPr>
                <w:spacing w:val="15"/>
                <w:sz w:val="16"/>
              </w:rPr>
              <w:t> </w:t>
            </w:r>
            <w:r>
              <w:rPr>
                <w:sz w:val="16"/>
              </w:rPr>
              <w:t>other</w:t>
            </w:r>
            <w:r>
              <w:rPr>
                <w:spacing w:val="14"/>
                <w:sz w:val="16"/>
              </w:rPr>
              <w:t> </w:t>
            </w:r>
            <w:r>
              <w:rPr>
                <w:sz w:val="16"/>
              </w:rPr>
              <w:t>(Note</w:t>
            </w:r>
            <w:r>
              <w:rPr>
                <w:spacing w:val="15"/>
                <w:sz w:val="16"/>
              </w:rPr>
              <w:t> </w:t>
            </w:r>
            <w:r>
              <w:rPr>
                <w:spacing w:val="-5"/>
                <w:sz w:val="16"/>
              </w:rPr>
              <w:t>17)</w:t>
            </w:r>
          </w:p>
        </w:tc>
        <w:tc>
          <w:tcPr>
            <w:tcW w:w="1014" w:type="dxa"/>
            <w:shd w:val="clear" w:color="auto" w:fill="CCEDFF"/>
          </w:tcPr>
          <w:p>
            <w:pPr>
              <w:pStyle w:val="TableParagraph"/>
              <w:rPr>
                <w:sz w:val="14"/>
              </w:rPr>
            </w:pPr>
          </w:p>
        </w:tc>
        <w:tc>
          <w:tcPr>
            <w:tcW w:w="618" w:type="dxa"/>
            <w:shd w:val="clear" w:color="auto" w:fill="CCEDFF"/>
          </w:tcPr>
          <w:p>
            <w:pPr>
              <w:pStyle w:val="TableParagraph"/>
              <w:spacing w:line="180" w:lineRule="exact" w:before="3"/>
              <w:ind w:right="84"/>
              <w:jc w:val="right"/>
              <w:rPr>
                <w:b/>
                <w:sz w:val="16"/>
              </w:rPr>
            </w:pPr>
            <w:r>
              <w:rPr>
                <w:b/>
                <w:spacing w:val="-2"/>
                <w:w w:val="105"/>
                <w:sz w:val="16"/>
              </w:rPr>
              <w:t>(604)</w:t>
            </w:r>
          </w:p>
        </w:tc>
        <w:tc>
          <w:tcPr>
            <w:tcW w:w="418" w:type="dxa"/>
            <w:shd w:val="clear" w:color="auto" w:fill="CCEDFF"/>
          </w:tcPr>
          <w:p>
            <w:pPr>
              <w:pStyle w:val="TableParagraph"/>
              <w:rPr>
                <w:sz w:val="14"/>
              </w:rPr>
            </w:pPr>
          </w:p>
        </w:tc>
        <w:tc>
          <w:tcPr>
            <w:tcW w:w="1301" w:type="dxa"/>
            <w:gridSpan w:val="2"/>
            <w:shd w:val="clear" w:color="auto" w:fill="CCEDFF"/>
          </w:tcPr>
          <w:p>
            <w:pPr>
              <w:pStyle w:val="TableParagraph"/>
              <w:spacing w:line="180" w:lineRule="exact" w:before="3"/>
              <w:ind w:right="138"/>
              <w:jc w:val="right"/>
              <w:rPr>
                <w:sz w:val="16"/>
              </w:rPr>
            </w:pPr>
            <w:r>
              <w:rPr>
                <w:spacing w:val="-5"/>
                <w:w w:val="105"/>
                <w:sz w:val="16"/>
              </w:rPr>
              <w:t>528</w:t>
            </w:r>
          </w:p>
        </w:tc>
        <w:tc>
          <w:tcPr>
            <w:tcW w:w="418" w:type="dxa"/>
            <w:shd w:val="clear" w:color="auto" w:fill="CCEDFF"/>
          </w:tcPr>
          <w:p>
            <w:pPr>
              <w:pStyle w:val="TableParagraph"/>
              <w:rPr>
                <w:sz w:val="14"/>
              </w:rPr>
            </w:pPr>
          </w:p>
        </w:tc>
        <w:tc>
          <w:tcPr>
            <w:tcW w:w="1274" w:type="dxa"/>
            <w:shd w:val="clear" w:color="auto" w:fill="CCEDFF"/>
          </w:tcPr>
          <w:p>
            <w:pPr>
              <w:pStyle w:val="TableParagraph"/>
              <w:spacing w:line="180" w:lineRule="exact" w:before="3"/>
              <w:ind w:right="57"/>
              <w:jc w:val="right"/>
              <w:rPr>
                <w:sz w:val="16"/>
              </w:rPr>
            </w:pPr>
            <w:r>
              <w:rPr>
                <w:spacing w:val="-2"/>
                <w:w w:val="105"/>
                <w:sz w:val="16"/>
              </w:rPr>
              <w:t>(143)</w:t>
            </w:r>
          </w:p>
        </w:tc>
      </w:tr>
      <w:tr>
        <w:trPr>
          <w:trHeight w:val="203" w:hRule="atLeast"/>
        </w:trPr>
        <w:tc>
          <w:tcPr>
            <w:tcW w:w="6521" w:type="dxa"/>
          </w:tcPr>
          <w:p>
            <w:pPr>
              <w:pStyle w:val="TableParagraph"/>
              <w:spacing w:line="180" w:lineRule="exact" w:before="3"/>
              <w:ind w:left="202"/>
              <w:rPr>
                <w:sz w:val="16"/>
              </w:rPr>
            </w:pPr>
            <w:r>
              <w:rPr>
                <w:w w:val="105"/>
                <w:sz w:val="16"/>
              </w:rPr>
              <w:t>Net</w:t>
            </w:r>
            <w:r>
              <w:rPr>
                <w:spacing w:val="-9"/>
                <w:w w:val="105"/>
                <w:sz w:val="16"/>
              </w:rPr>
              <w:t> </w:t>
            </w:r>
            <w:r>
              <w:rPr>
                <w:w w:val="105"/>
                <w:sz w:val="16"/>
              </w:rPr>
              <w:t>unrealized</w:t>
            </w:r>
            <w:r>
              <w:rPr>
                <w:spacing w:val="-9"/>
                <w:w w:val="105"/>
                <w:sz w:val="16"/>
              </w:rPr>
              <w:t> </w:t>
            </w:r>
            <w:r>
              <w:rPr>
                <w:w w:val="105"/>
                <w:sz w:val="16"/>
              </w:rPr>
              <w:t>gains</w:t>
            </w:r>
            <w:r>
              <w:rPr>
                <w:spacing w:val="-9"/>
                <w:w w:val="105"/>
                <w:sz w:val="16"/>
              </w:rPr>
              <w:t> </w:t>
            </w:r>
            <w:r>
              <w:rPr>
                <w:w w:val="105"/>
                <w:sz w:val="16"/>
              </w:rPr>
              <w:t>on</w:t>
            </w:r>
            <w:r>
              <w:rPr>
                <w:spacing w:val="-9"/>
                <w:w w:val="105"/>
                <w:sz w:val="16"/>
              </w:rPr>
              <w:t> </w:t>
            </w:r>
            <w:r>
              <w:rPr>
                <w:spacing w:val="-2"/>
                <w:w w:val="105"/>
                <w:sz w:val="16"/>
              </w:rPr>
              <w:t>investments</w:t>
            </w:r>
          </w:p>
        </w:tc>
        <w:tc>
          <w:tcPr>
            <w:tcW w:w="1014" w:type="dxa"/>
          </w:tcPr>
          <w:p>
            <w:pPr>
              <w:pStyle w:val="TableParagraph"/>
              <w:rPr>
                <w:sz w:val="14"/>
              </w:rPr>
            </w:pPr>
          </w:p>
        </w:tc>
        <w:tc>
          <w:tcPr>
            <w:tcW w:w="618" w:type="dxa"/>
          </w:tcPr>
          <w:p>
            <w:pPr>
              <w:pStyle w:val="TableParagraph"/>
              <w:rPr>
                <w:sz w:val="14"/>
              </w:rPr>
            </w:pPr>
          </w:p>
        </w:tc>
        <w:tc>
          <w:tcPr>
            <w:tcW w:w="418" w:type="dxa"/>
          </w:tcPr>
          <w:p>
            <w:pPr>
              <w:pStyle w:val="TableParagraph"/>
              <w:rPr>
                <w:sz w:val="14"/>
              </w:rPr>
            </w:pPr>
          </w:p>
        </w:tc>
        <w:tc>
          <w:tcPr>
            <w:tcW w:w="1301" w:type="dxa"/>
            <w:gridSpan w:val="2"/>
          </w:tcPr>
          <w:p>
            <w:pPr>
              <w:pStyle w:val="TableParagraph"/>
              <w:rPr>
                <w:sz w:val="14"/>
              </w:rPr>
            </w:pPr>
          </w:p>
        </w:tc>
        <w:tc>
          <w:tcPr>
            <w:tcW w:w="418" w:type="dxa"/>
          </w:tcPr>
          <w:p>
            <w:pPr>
              <w:pStyle w:val="TableParagraph"/>
              <w:rPr>
                <w:sz w:val="14"/>
              </w:rPr>
            </w:pPr>
          </w:p>
        </w:tc>
        <w:tc>
          <w:tcPr>
            <w:tcW w:w="1274" w:type="dxa"/>
          </w:tcPr>
          <w:p>
            <w:pPr>
              <w:pStyle w:val="TableParagraph"/>
              <w:spacing w:line="180" w:lineRule="exact" w:before="3"/>
              <w:ind w:right="111"/>
              <w:jc w:val="right"/>
              <w:rPr>
                <w:sz w:val="16"/>
              </w:rPr>
            </w:pPr>
            <w:r>
              <w:rPr>
                <w:spacing w:val="-10"/>
                <w:w w:val="105"/>
                <w:sz w:val="16"/>
              </w:rPr>
              <w:t>1</w:t>
            </w:r>
          </w:p>
        </w:tc>
      </w:tr>
      <w:tr>
        <w:trPr>
          <w:trHeight w:val="203" w:hRule="atLeast"/>
        </w:trPr>
        <w:tc>
          <w:tcPr>
            <w:tcW w:w="6521" w:type="dxa"/>
            <w:shd w:val="clear" w:color="auto" w:fill="CCEDFF"/>
          </w:tcPr>
          <w:p>
            <w:pPr>
              <w:pStyle w:val="TableParagraph"/>
              <w:spacing w:line="180" w:lineRule="exact" w:before="3"/>
              <w:ind w:left="202"/>
              <w:rPr>
                <w:sz w:val="16"/>
              </w:rPr>
            </w:pPr>
            <w:r>
              <w:rPr>
                <w:w w:val="105"/>
                <w:sz w:val="16"/>
              </w:rPr>
              <w:t>Unamortized</w:t>
            </w:r>
            <w:r>
              <w:rPr>
                <w:spacing w:val="-11"/>
                <w:w w:val="105"/>
                <w:sz w:val="16"/>
              </w:rPr>
              <w:t> </w:t>
            </w:r>
            <w:r>
              <w:rPr>
                <w:w w:val="105"/>
                <w:sz w:val="16"/>
              </w:rPr>
              <w:t>gains</w:t>
            </w:r>
            <w:r>
              <w:rPr>
                <w:spacing w:val="-10"/>
                <w:w w:val="105"/>
                <w:sz w:val="16"/>
              </w:rPr>
              <w:t> </w:t>
            </w:r>
            <w:r>
              <w:rPr>
                <w:w w:val="105"/>
                <w:sz w:val="16"/>
              </w:rPr>
              <w:t>(losses)</w:t>
            </w:r>
            <w:r>
              <w:rPr>
                <w:spacing w:val="-9"/>
                <w:w w:val="105"/>
                <w:sz w:val="16"/>
              </w:rPr>
              <w:t> </w:t>
            </w:r>
            <w:r>
              <w:rPr>
                <w:w w:val="105"/>
                <w:sz w:val="16"/>
              </w:rPr>
              <w:t>and</w:t>
            </w:r>
            <w:r>
              <w:rPr>
                <w:spacing w:val="-10"/>
                <w:w w:val="105"/>
                <w:sz w:val="16"/>
              </w:rPr>
              <w:t> </w:t>
            </w:r>
            <w:r>
              <w:rPr>
                <w:w w:val="105"/>
                <w:sz w:val="16"/>
              </w:rPr>
              <w:t>prior</w:t>
            </w:r>
            <w:r>
              <w:rPr>
                <w:spacing w:val="-10"/>
                <w:w w:val="105"/>
                <w:sz w:val="16"/>
              </w:rPr>
              <w:t> </w:t>
            </w:r>
            <w:r>
              <w:rPr>
                <w:w w:val="105"/>
                <w:sz w:val="16"/>
              </w:rPr>
              <w:t>service</w:t>
            </w:r>
            <w:r>
              <w:rPr>
                <w:spacing w:val="-10"/>
                <w:w w:val="105"/>
                <w:sz w:val="16"/>
              </w:rPr>
              <w:t> </w:t>
            </w:r>
            <w:r>
              <w:rPr>
                <w:w w:val="105"/>
                <w:sz w:val="16"/>
              </w:rPr>
              <w:t>credits</w:t>
            </w:r>
            <w:r>
              <w:rPr>
                <w:spacing w:val="-11"/>
                <w:w w:val="105"/>
                <w:sz w:val="16"/>
              </w:rPr>
              <w:t> </w:t>
            </w:r>
            <w:r>
              <w:rPr>
                <w:w w:val="105"/>
                <w:sz w:val="16"/>
              </w:rPr>
              <w:t>(costs)</w:t>
            </w:r>
            <w:r>
              <w:rPr>
                <w:spacing w:val="-10"/>
                <w:w w:val="105"/>
                <w:sz w:val="16"/>
              </w:rPr>
              <w:t> </w:t>
            </w:r>
            <w:r>
              <w:rPr>
                <w:w w:val="105"/>
                <w:sz w:val="16"/>
              </w:rPr>
              <w:t>for</w:t>
            </w:r>
            <w:r>
              <w:rPr>
                <w:spacing w:val="-10"/>
                <w:w w:val="105"/>
                <w:sz w:val="16"/>
              </w:rPr>
              <w:t> </w:t>
            </w:r>
            <w:r>
              <w:rPr>
                <w:w w:val="105"/>
                <w:sz w:val="16"/>
              </w:rPr>
              <w:t>postretirement</w:t>
            </w:r>
            <w:r>
              <w:rPr>
                <w:spacing w:val="-11"/>
                <w:w w:val="105"/>
                <w:sz w:val="16"/>
              </w:rPr>
              <w:t> </w:t>
            </w:r>
            <w:r>
              <w:rPr>
                <w:w w:val="105"/>
                <w:sz w:val="16"/>
              </w:rPr>
              <w:t>benefit</w:t>
            </w:r>
            <w:r>
              <w:rPr>
                <w:spacing w:val="-10"/>
                <w:w w:val="105"/>
                <w:sz w:val="16"/>
              </w:rPr>
              <w:t> </w:t>
            </w:r>
            <w:r>
              <w:rPr>
                <w:spacing w:val="-2"/>
                <w:w w:val="105"/>
                <w:sz w:val="16"/>
              </w:rPr>
              <w:t>plans</w:t>
            </w:r>
          </w:p>
        </w:tc>
        <w:tc>
          <w:tcPr>
            <w:tcW w:w="1014" w:type="dxa"/>
            <w:shd w:val="clear" w:color="auto" w:fill="CCEDFF"/>
          </w:tcPr>
          <w:p>
            <w:pPr>
              <w:pStyle w:val="TableParagraph"/>
              <w:rPr>
                <w:sz w:val="14"/>
              </w:rPr>
            </w:pPr>
          </w:p>
        </w:tc>
        <w:tc>
          <w:tcPr>
            <w:tcW w:w="618" w:type="dxa"/>
            <w:shd w:val="clear" w:color="auto" w:fill="CCEDFF"/>
          </w:tcPr>
          <w:p>
            <w:pPr>
              <w:pStyle w:val="TableParagraph"/>
              <w:spacing w:line="180" w:lineRule="exact" w:before="3"/>
              <w:ind w:left="228"/>
              <w:rPr>
                <w:b/>
                <w:sz w:val="16"/>
              </w:rPr>
            </w:pPr>
            <w:r>
              <w:rPr>
                <w:b/>
                <w:spacing w:val="-5"/>
                <w:w w:val="105"/>
                <w:sz w:val="16"/>
              </w:rPr>
              <w:t>178</w:t>
            </w:r>
          </w:p>
        </w:tc>
        <w:tc>
          <w:tcPr>
            <w:tcW w:w="418" w:type="dxa"/>
            <w:shd w:val="clear" w:color="auto" w:fill="CCEDFF"/>
          </w:tcPr>
          <w:p>
            <w:pPr>
              <w:pStyle w:val="TableParagraph"/>
              <w:rPr>
                <w:sz w:val="14"/>
              </w:rPr>
            </w:pPr>
          </w:p>
        </w:tc>
        <w:tc>
          <w:tcPr>
            <w:tcW w:w="1301" w:type="dxa"/>
            <w:gridSpan w:val="2"/>
            <w:shd w:val="clear" w:color="auto" w:fill="CCEDFF"/>
          </w:tcPr>
          <w:p>
            <w:pPr>
              <w:pStyle w:val="TableParagraph"/>
              <w:spacing w:line="180" w:lineRule="exact" w:before="3"/>
              <w:ind w:right="83"/>
              <w:jc w:val="right"/>
              <w:rPr>
                <w:sz w:val="16"/>
              </w:rPr>
            </w:pPr>
            <w:r>
              <w:rPr>
                <w:spacing w:val="-4"/>
                <w:w w:val="105"/>
                <w:sz w:val="16"/>
              </w:rPr>
              <w:t>(88)</w:t>
            </w:r>
          </w:p>
        </w:tc>
        <w:tc>
          <w:tcPr>
            <w:tcW w:w="418" w:type="dxa"/>
            <w:shd w:val="clear" w:color="auto" w:fill="CCEDFF"/>
          </w:tcPr>
          <w:p>
            <w:pPr>
              <w:pStyle w:val="TableParagraph"/>
              <w:rPr>
                <w:sz w:val="14"/>
              </w:rPr>
            </w:pPr>
          </w:p>
        </w:tc>
        <w:tc>
          <w:tcPr>
            <w:tcW w:w="1274" w:type="dxa"/>
            <w:shd w:val="clear" w:color="auto" w:fill="CCEDFF"/>
          </w:tcPr>
          <w:p>
            <w:pPr>
              <w:pStyle w:val="TableParagraph"/>
              <w:spacing w:line="180" w:lineRule="exact" w:before="3"/>
              <w:ind w:right="57"/>
              <w:jc w:val="right"/>
              <w:rPr>
                <w:sz w:val="16"/>
              </w:rPr>
            </w:pPr>
            <w:r>
              <w:rPr>
                <w:spacing w:val="-4"/>
                <w:w w:val="105"/>
                <w:sz w:val="16"/>
              </w:rPr>
              <w:t>(64)</w:t>
            </w:r>
          </w:p>
        </w:tc>
      </w:tr>
      <w:tr>
        <w:trPr>
          <w:trHeight w:val="202" w:hRule="atLeast"/>
        </w:trPr>
        <w:tc>
          <w:tcPr>
            <w:tcW w:w="6521" w:type="dxa"/>
          </w:tcPr>
          <w:p>
            <w:pPr>
              <w:pStyle w:val="TableParagraph"/>
              <w:spacing w:line="166" w:lineRule="exact" w:before="16"/>
              <w:ind w:left="202"/>
              <w:rPr>
                <w:sz w:val="16"/>
              </w:rPr>
            </w:pPr>
            <w:r>
              <w:rPr>
                <w:w w:val="105"/>
                <w:sz w:val="16"/>
              </w:rPr>
              <w:t>Net</w:t>
            </w:r>
            <w:r>
              <w:rPr>
                <w:spacing w:val="-10"/>
                <w:w w:val="105"/>
                <w:sz w:val="16"/>
              </w:rPr>
              <w:t> </w:t>
            </w:r>
            <w:r>
              <w:rPr>
                <w:w w:val="105"/>
                <w:sz w:val="16"/>
              </w:rPr>
              <w:t>unrealized</w:t>
            </w:r>
            <w:r>
              <w:rPr>
                <w:spacing w:val="-10"/>
                <w:w w:val="105"/>
                <w:sz w:val="16"/>
              </w:rPr>
              <w:t> </w:t>
            </w:r>
            <w:r>
              <w:rPr>
                <w:w w:val="105"/>
                <w:sz w:val="16"/>
              </w:rPr>
              <w:t>(losses)</w:t>
            </w:r>
            <w:r>
              <w:rPr>
                <w:spacing w:val="-10"/>
                <w:w w:val="105"/>
                <w:sz w:val="16"/>
              </w:rPr>
              <w:t> </w:t>
            </w:r>
            <w:r>
              <w:rPr>
                <w:w w:val="105"/>
                <w:sz w:val="16"/>
              </w:rPr>
              <w:t>gains</w:t>
            </w:r>
            <w:r>
              <w:rPr>
                <w:spacing w:val="-9"/>
                <w:w w:val="105"/>
                <w:sz w:val="16"/>
              </w:rPr>
              <w:t> </w:t>
            </w:r>
            <w:r>
              <w:rPr>
                <w:w w:val="105"/>
                <w:sz w:val="16"/>
              </w:rPr>
              <w:t>on</w:t>
            </w:r>
            <w:r>
              <w:rPr>
                <w:spacing w:val="-10"/>
                <w:w w:val="105"/>
                <w:sz w:val="16"/>
              </w:rPr>
              <w:t> </w:t>
            </w:r>
            <w:r>
              <w:rPr>
                <w:w w:val="105"/>
                <w:sz w:val="16"/>
              </w:rPr>
              <w:t>designated</w:t>
            </w:r>
            <w:r>
              <w:rPr>
                <w:spacing w:val="-10"/>
                <w:w w:val="105"/>
                <w:sz w:val="16"/>
              </w:rPr>
              <w:t> </w:t>
            </w:r>
            <w:r>
              <w:rPr>
                <w:spacing w:val="-2"/>
                <w:w w:val="105"/>
                <w:sz w:val="16"/>
              </w:rPr>
              <w:t>hedges</w:t>
            </w:r>
          </w:p>
        </w:tc>
        <w:tc>
          <w:tcPr>
            <w:tcW w:w="1014" w:type="dxa"/>
            <w:tcBorders>
              <w:bottom w:val="single" w:sz="6" w:space="0" w:color="000000"/>
            </w:tcBorders>
          </w:tcPr>
          <w:p>
            <w:pPr>
              <w:pStyle w:val="TableParagraph"/>
              <w:rPr>
                <w:sz w:val="14"/>
              </w:rPr>
            </w:pPr>
          </w:p>
        </w:tc>
        <w:tc>
          <w:tcPr>
            <w:tcW w:w="618" w:type="dxa"/>
            <w:tcBorders>
              <w:bottom w:val="single" w:sz="6" w:space="0" w:color="000000"/>
            </w:tcBorders>
          </w:tcPr>
          <w:p>
            <w:pPr>
              <w:pStyle w:val="TableParagraph"/>
              <w:spacing w:line="179" w:lineRule="exact" w:before="3"/>
              <w:ind w:right="84"/>
              <w:jc w:val="right"/>
              <w:rPr>
                <w:b/>
                <w:sz w:val="16"/>
              </w:rPr>
            </w:pPr>
            <w:r>
              <w:rPr>
                <w:b/>
                <w:spacing w:val="-5"/>
                <w:w w:val="105"/>
                <w:sz w:val="16"/>
              </w:rPr>
              <w:t>(9)</w:t>
            </w:r>
          </w:p>
        </w:tc>
        <w:tc>
          <w:tcPr>
            <w:tcW w:w="418" w:type="dxa"/>
            <w:tcBorders>
              <w:bottom w:val="single" w:sz="6" w:space="0" w:color="000000"/>
            </w:tcBorders>
          </w:tcPr>
          <w:p>
            <w:pPr>
              <w:pStyle w:val="TableParagraph"/>
              <w:rPr>
                <w:sz w:val="14"/>
              </w:rPr>
            </w:pPr>
          </w:p>
        </w:tc>
        <w:tc>
          <w:tcPr>
            <w:tcW w:w="1301" w:type="dxa"/>
            <w:gridSpan w:val="2"/>
            <w:tcBorders>
              <w:bottom w:val="single" w:sz="6" w:space="0" w:color="000000"/>
            </w:tcBorders>
          </w:tcPr>
          <w:p>
            <w:pPr>
              <w:pStyle w:val="TableParagraph"/>
              <w:spacing w:line="179" w:lineRule="exact" w:before="3"/>
              <w:ind w:right="83"/>
              <w:jc w:val="right"/>
              <w:rPr>
                <w:sz w:val="16"/>
              </w:rPr>
            </w:pPr>
            <w:r>
              <w:rPr>
                <w:spacing w:val="-5"/>
                <w:w w:val="105"/>
                <w:sz w:val="16"/>
              </w:rPr>
              <w:t>(9)</w:t>
            </w:r>
          </w:p>
        </w:tc>
        <w:tc>
          <w:tcPr>
            <w:tcW w:w="418" w:type="dxa"/>
            <w:tcBorders>
              <w:bottom w:val="single" w:sz="6" w:space="0" w:color="000000"/>
            </w:tcBorders>
          </w:tcPr>
          <w:p>
            <w:pPr>
              <w:pStyle w:val="TableParagraph"/>
              <w:rPr>
                <w:sz w:val="14"/>
              </w:rPr>
            </w:pPr>
          </w:p>
        </w:tc>
        <w:tc>
          <w:tcPr>
            <w:tcW w:w="1274" w:type="dxa"/>
            <w:tcBorders>
              <w:bottom w:val="single" w:sz="6" w:space="0" w:color="000000"/>
            </w:tcBorders>
          </w:tcPr>
          <w:p>
            <w:pPr>
              <w:pStyle w:val="TableParagraph"/>
              <w:spacing w:line="179" w:lineRule="exact" w:before="3"/>
              <w:ind w:right="111"/>
              <w:jc w:val="right"/>
              <w:rPr>
                <w:sz w:val="16"/>
              </w:rPr>
            </w:pPr>
            <w:r>
              <w:rPr>
                <w:spacing w:val="-5"/>
                <w:w w:val="105"/>
                <w:sz w:val="16"/>
              </w:rPr>
              <w:t>45</w:t>
            </w:r>
          </w:p>
        </w:tc>
      </w:tr>
      <w:tr>
        <w:trPr>
          <w:trHeight w:val="201" w:hRule="atLeast"/>
        </w:trPr>
        <w:tc>
          <w:tcPr>
            <w:tcW w:w="6521" w:type="dxa"/>
            <w:shd w:val="clear" w:color="auto" w:fill="CCEDFF"/>
          </w:tcPr>
          <w:p>
            <w:pPr>
              <w:pStyle w:val="TableParagraph"/>
              <w:spacing w:line="166" w:lineRule="exact" w:before="15"/>
              <w:ind w:left="50"/>
              <w:rPr>
                <w:sz w:val="16"/>
              </w:rPr>
            </w:pPr>
            <w:r>
              <w:rPr>
                <w:w w:val="105"/>
                <w:sz w:val="16"/>
              </w:rPr>
              <w:t>Other</w:t>
            </w:r>
            <w:r>
              <w:rPr>
                <w:spacing w:val="-10"/>
                <w:w w:val="105"/>
                <w:sz w:val="16"/>
              </w:rPr>
              <w:t> </w:t>
            </w:r>
            <w:r>
              <w:rPr>
                <w:w w:val="105"/>
                <w:sz w:val="16"/>
              </w:rPr>
              <w:t>comprehensive</w:t>
            </w:r>
            <w:r>
              <w:rPr>
                <w:spacing w:val="-9"/>
                <w:w w:val="105"/>
                <w:sz w:val="16"/>
              </w:rPr>
              <w:t> </w:t>
            </w:r>
            <w:r>
              <w:rPr>
                <w:w w:val="105"/>
                <w:sz w:val="16"/>
              </w:rPr>
              <w:t>(loss)</w:t>
            </w:r>
            <w:r>
              <w:rPr>
                <w:spacing w:val="-8"/>
                <w:w w:val="105"/>
                <w:sz w:val="16"/>
              </w:rPr>
              <w:t> </w:t>
            </w:r>
            <w:r>
              <w:rPr>
                <w:w w:val="105"/>
                <w:sz w:val="16"/>
              </w:rPr>
              <w:t>income,</w:t>
            </w:r>
            <w:r>
              <w:rPr>
                <w:spacing w:val="-9"/>
                <w:w w:val="105"/>
                <w:sz w:val="16"/>
              </w:rPr>
              <w:t> </w:t>
            </w:r>
            <w:r>
              <w:rPr>
                <w:w w:val="105"/>
                <w:sz w:val="16"/>
              </w:rPr>
              <w:t>net</w:t>
            </w:r>
            <w:r>
              <w:rPr>
                <w:spacing w:val="-10"/>
                <w:w w:val="105"/>
                <w:sz w:val="16"/>
              </w:rPr>
              <w:t> </w:t>
            </w:r>
            <w:r>
              <w:rPr>
                <w:w w:val="105"/>
                <w:sz w:val="16"/>
              </w:rPr>
              <w:t>of</w:t>
            </w:r>
            <w:r>
              <w:rPr>
                <w:spacing w:val="-9"/>
                <w:w w:val="105"/>
                <w:sz w:val="16"/>
              </w:rPr>
              <w:t> </w:t>
            </w:r>
            <w:r>
              <w:rPr>
                <w:spacing w:val="-5"/>
                <w:w w:val="105"/>
                <w:sz w:val="16"/>
              </w:rPr>
              <w:t>tax</w:t>
            </w:r>
          </w:p>
        </w:tc>
        <w:tc>
          <w:tcPr>
            <w:tcW w:w="1014" w:type="dxa"/>
            <w:tcBorders>
              <w:top w:val="single" w:sz="6" w:space="0" w:color="000000"/>
              <w:bottom w:val="single" w:sz="6" w:space="0" w:color="000000"/>
            </w:tcBorders>
            <w:shd w:val="clear" w:color="auto" w:fill="CCEDFF"/>
          </w:tcPr>
          <w:p>
            <w:pPr>
              <w:pStyle w:val="TableParagraph"/>
              <w:rPr>
                <w:sz w:val="14"/>
              </w:rPr>
            </w:pPr>
          </w:p>
        </w:tc>
        <w:tc>
          <w:tcPr>
            <w:tcW w:w="618" w:type="dxa"/>
            <w:tcBorders>
              <w:top w:val="single" w:sz="6" w:space="0" w:color="000000"/>
              <w:bottom w:val="single" w:sz="6" w:space="0" w:color="000000"/>
            </w:tcBorders>
            <w:shd w:val="clear" w:color="auto" w:fill="CCEDFF"/>
          </w:tcPr>
          <w:p>
            <w:pPr>
              <w:pStyle w:val="TableParagraph"/>
              <w:spacing w:line="179" w:lineRule="exact" w:before="2"/>
              <w:ind w:right="84"/>
              <w:jc w:val="right"/>
              <w:rPr>
                <w:b/>
                <w:sz w:val="16"/>
              </w:rPr>
            </w:pPr>
            <w:r>
              <w:rPr>
                <w:b/>
                <w:spacing w:val="-2"/>
                <w:w w:val="105"/>
                <w:sz w:val="16"/>
              </w:rPr>
              <w:t>(435)</w:t>
            </w:r>
          </w:p>
        </w:tc>
        <w:tc>
          <w:tcPr>
            <w:tcW w:w="418" w:type="dxa"/>
            <w:tcBorders>
              <w:top w:val="single" w:sz="6" w:space="0" w:color="000000"/>
              <w:bottom w:val="single" w:sz="6" w:space="0" w:color="000000"/>
            </w:tcBorders>
            <w:shd w:val="clear" w:color="auto" w:fill="CCEDFF"/>
          </w:tcPr>
          <w:p>
            <w:pPr>
              <w:pStyle w:val="TableParagraph"/>
              <w:rPr>
                <w:sz w:val="14"/>
              </w:rPr>
            </w:pPr>
          </w:p>
        </w:tc>
        <w:tc>
          <w:tcPr>
            <w:tcW w:w="1301" w:type="dxa"/>
            <w:gridSpan w:val="2"/>
            <w:tcBorders>
              <w:top w:val="single" w:sz="6" w:space="0" w:color="000000"/>
              <w:bottom w:val="single" w:sz="6" w:space="0" w:color="000000"/>
            </w:tcBorders>
            <w:shd w:val="clear" w:color="auto" w:fill="CCEDFF"/>
          </w:tcPr>
          <w:p>
            <w:pPr>
              <w:pStyle w:val="TableParagraph"/>
              <w:spacing w:line="179" w:lineRule="exact" w:before="2"/>
              <w:ind w:right="138"/>
              <w:jc w:val="right"/>
              <w:rPr>
                <w:sz w:val="16"/>
              </w:rPr>
            </w:pPr>
            <w:r>
              <w:rPr>
                <w:spacing w:val="-5"/>
                <w:w w:val="105"/>
                <w:sz w:val="16"/>
              </w:rPr>
              <w:t>431</w:t>
            </w:r>
          </w:p>
        </w:tc>
        <w:tc>
          <w:tcPr>
            <w:tcW w:w="418" w:type="dxa"/>
            <w:tcBorders>
              <w:top w:val="single" w:sz="6" w:space="0" w:color="000000"/>
              <w:bottom w:val="single" w:sz="6" w:space="0" w:color="000000"/>
            </w:tcBorders>
            <w:shd w:val="clear" w:color="auto" w:fill="CCEDFF"/>
          </w:tcPr>
          <w:p>
            <w:pPr>
              <w:pStyle w:val="TableParagraph"/>
              <w:rPr>
                <w:sz w:val="14"/>
              </w:rPr>
            </w:pPr>
          </w:p>
        </w:tc>
        <w:tc>
          <w:tcPr>
            <w:tcW w:w="1274" w:type="dxa"/>
            <w:tcBorders>
              <w:top w:val="single" w:sz="6" w:space="0" w:color="000000"/>
              <w:bottom w:val="single" w:sz="6" w:space="0" w:color="000000"/>
            </w:tcBorders>
            <w:shd w:val="clear" w:color="auto" w:fill="CCEDFF"/>
          </w:tcPr>
          <w:p>
            <w:pPr>
              <w:pStyle w:val="TableParagraph"/>
              <w:spacing w:line="179" w:lineRule="exact" w:before="2"/>
              <w:ind w:right="57"/>
              <w:jc w:val="right"/>
              <w:rPr>
                <w:sz w:val="16"/>
              </w:rPr>
            </w:pPr>
            <w:r>
              <w:rPr>
                <w:spacing w:val="-2"/>
                <w:w w:val="105"/>
                <w:sz w:val="16"/>
              </w:rPr>
              <w:t>(161)</w:t>
            </w:r>
          </w:p>
        </w:tc>
      </w:tr>
      <w:tr>
        <w:trPr>
          <w:trHeight w:val="202" w:hRule="atLeast"/>
        </w:trPr>
        <w:tc>
          <w:tcPr>
            <w:tcW w:w="6521" w:type="dxa"/>
          </w:tcPr>
          <w:p>
            <w:pPr>
              <w:pStyle w:val="TableParagraph"/>
              <w:rPr>
                <w:sz w:val="14"/>
              </w:rPr>
            </w:pPr>
          </w:p>
        </w:tc>
        <w:tc>
          <w:tcPr>
            <w:tcW w:w="1014" w:type="dxa"/>
            <w:tcBorders>
              <w:top w:val="single" w:sz="6" w:space="0" w:color="000000"/>
            </w:tcBorders>
          </w:tcPr>
          <w:p>
            <w:pPr>
              <w:pStyle w:val="TableParagraph"/>
              <w:rPr>
                <w:sz w:val="14"/>
              </w:rPr>
            </w:pPr>
          </w:p>
        </w:tc>
        <w:tc>
          <w:tcPr>
            <w:tcW w:w="618" w:type="dxa"/>
            <w:tcBorders>
              <w:top w:val="single" w:sz="6" w:space="0" w:color="000000"/>
            </w:tcBorders>
          </w:tcPr>
          <w:p>
            <w:pPr>
              <w:pStyle w:val="TableParagraph"/>
              <w:rPr>
                <w:sz w:val="14"/>
              </w:rPr>
            </w:pPr>
          </w:p>
        </w:tc>
        <w:tc>
          <w:tcPr>
            <w:tcW w:w="418" w:type="dxa"/>
            <w:tcBorders>
              <w:top w:val="single" w:sz="6" w:space="0" w:color="000000"/>
            </w:tcBorders>
          </w:tcPr>
          <w:p>
            <w:pPr>
              <w:pStyle w:val="TableParagraph"/>
              <w:rPr>
                <w:sz w:val="14"/>
              </w:rPr>
            </w:pPr>
          </w:p>
        </w:tc>
        <w:tc>
          <w:tcPr>
            <w:tcW w:w="1301" w:type="dxa"/>
            <w:gridSpan w:val="2"/>
            <w:tcBorders>
              <w:top w:val="single" w:sz="6" w:space="0" w:color="000000"/>
            </w:tcBorders>
          </w:tcPr>
          <w:p>
            <w:pPr>
              <w:pStyle w:val="TableParagraph"/>
              <w:rPr>
                <w:sz w:val="14"/>
              </w:rPr>
            </w:pPr>
          </w:p>
        </w:tc>
        <w:tc>
          <w:tcPr>
            <w:tcW w:w="418" w:type="dxa"/>
            <w:tcBorders>
              <w:top w:val="single" w:sz="6" w:space="0" w:color="000000"/>
            </w:tcBorders>
          </w:tcPr>
          <w:p>
            <w:pPr>
              <w:pStyle w:val="TableParagraph"/>
              <w:rPr>
                <w:sz w:val="14"/>
              </w:rPr>
            </w:pPr>
          </w:p>
        </w:tc>
        <w:tc>
          <w:tcPr>
            <w:tcW w:w="1274" w:type="dxa"/>
            <w:tcBorders>
              <w:top w:val="single" w:sz="6" w:space="0" w:color="000000"/>
            </w:tcBorders>
          </w:tcPr>
          <w:p>
            <w:pPr>
              <w:pStyle w:val="TableParagraph"/>
              <w:rPr>
                <w:sz w:val="14"/>
              </w:rPr>
            </w:pPr>
          </w:p>
        </w:tc>
      </w:tr>
      <w:tr>
        <w:trPr>
          <w:trHeight w:val="200" w:hRule="atLeast"/>
        </w:trPr>
        <w:tc>
          <w:tcPr>
            <w:tcW w:w="6521" w:type="dxa"/>
            <w:tcBorders>
              <w:bottom w:val="double" w:sz="6" w:space="0" w:color="000000"/>
            </w:tcBorders>
            <w:shd w:val="clear" w:color="auto" w:fill="CCEDFF"/>
          </w:tcPr>
          <w:p>
            <w:pPr>
              <w:pStyle w:val="TableParagraph"/>
              <w:spacing w:line="177" w:lineRule="exact" w:before="3"/>
              <w:ind w:left="50"/>
              <w:rPr>
                <w:sz w:val="16"/>
              </w:rPr>
            </w:pPr>
            <w:r>
              <w:rPr>
                <w:sz w:val="16"/>
              </w:rPr>
              <w:t>Comprehensive</w:t>
            </w:r>
            <w:r>
              <w:rPr>
                <w:spacing w:val="18"/>
                <w:sz w:val="16"/>
              </w:rPr>
              <w:t> </w:t>
            </w:r>
            <w:r>
              <w:rPr>
                <w:sz w:val="16"/>
              </w:rPr>
              <w:t>income</w:t>
            </w:r>
            <w:r>
              <w:rPr>
                <w:spacing w:val="19"/>
                <w:sz w:val="16"/>
              </w:rPr>
              <w:t> </w:t>
            </w:r>
            <w:r>
              <w:rPr>
                <w:sz w:val="16"/>
              </w:rPr>
              <w:t>attributable</w:t>
            </w:r>
            <w:r>
              <w:rPr>
                <w:spacing w:val="18"/>
                <w:sz w:val="16"/>
              </w:rPr>
              <w:t> </w:t>
            </w:r>
            <w:r>
              <w:rPr>
                <w:sz w:val="16"/>
              </w:rPr>
              <w:t>to</w:t>
            </w:r>
            <w:r>
              <w:rPr>
                <w:spacing w:val="19"/>
                <w:sz w:val="16"/>
              </w:rPr>
              <w:t> </w:t>
            </w:r>
            <w:r>
              <w:rPr>
                <w:sz w:val="16"/>
              </w:rPr>
              <w:t>Corning</w:t>
            </w:r>
            <w:r>
              <w:rPr>
                <w:spacing w:val="18"/>
                <w:sz w:val="16"/>
              </w:rPr>
              <w:t> </w:t>
            </w:r>
            <w:r>
              <w:rPr>
                <w:spacing w:val="-2"/>
                <w:sz w:val="16"/>
              </w:rPr>
              <w:t>Incorporated</w:t>
            </w:r>
          </w:p>
        </w:tc>
        <w:tc>
          <w:tcPr>
            <w:tcW w:w="1014" w:type="dxa"/>
            <w:tcBorders>
              <w:bottom w:val="double" w:sz="6" w:space="0" w:color="000000"/>
            </w:tcBorders>
            <w:shd w:val="clear" w:color="auto" w:fill="CCEDFF"/>
          </w:tcPr>
          <w:p>
            <w:pPr>
              <w:pStyle w:val="TableParagraph"/>
              <w:spacing w:line="177" w:lineRule="exact" w:before="3"/>
              <w:rPr>
                <w:b/>
                <w:sz w:val="16"/>
              </w:rPr>
            </w:pPr>
            <w:r>
              <w:rPr>
                <w:b/>
                <w:spacing w:val="-10"/>
                <w:w w:val="105"/>
                <w:sz w:val="16"/>
              </w:rPr>
              <w:t>$</w:t>
            </w:r>
          </w:p>
        </w:tc>
        <w:tc>
          <w:tcPr>
            <w:tcW w:w="618" w:type="dxa"/>
            <w:tcBorders>
              <w:bottom w:val="double" w:sz="6" w:space="0" w:color="000000"/>
            </w:tcBorders>
            <w:shd w:val="clear" w:color="auto" w:fill="CCEDFF"/>
          </w:tcPr>
          <w:p>
            <w:pPr>
              <w:pStyle w:val="TableParagraph"/>
              <w:spacing w:line="177" w:lineRule="exact" w:before="3"/>
              <w:ind w:left="103"/>
              <w:rPr>
                <w:b/>
                <w:sz w:val="16"/>
              </w:rPr>
            </w:pPr>
            <w:r>
              <w:rPr>
                <w:b/>
                <w:spacing w:val="-4"/>
                <w:w w:val="105"/>
                <w:sz w:val="16"/>
              </w:rPr>
              <w:t>1,471</w:t>
            </w:r>
          </w:p>
        </w:tc>
        <w:tc>
          <w:tcPr>
            <w:tcW w:w="418" w:type="dxa"/>
            <w:tcBorders>
              <w:bottom w:val="double" w:sz="6" w:space="0" w:color="000000"/>
            </w:tcBorders>
            <w:shd w:val="clear" w:color="auto" w:fill="CCEDFF"/>
          </w:tcPr>
          <w:p>
            <w:pPr>
              <w:pStyle w:val="TableParagraph"/>
              <w:spacing w:line="177" w:lineRule="exact" w:before="3"/>
              <w:ind w:left="87"/>
              <w:rPr>
                <w:sz w:val="16"/>
              </w:rPr>
            </w:pPr>
            <w:r>
              <w:rPr>
                <w:spacing w:val="-10"/>
                <w:w w:val="105"/>
                <w:sz w:val="16"/>
              </w:rPr>
              <w:t>$</w:t>
            </w:r>
          </w:p>
        </w:tc>
        <w:tc>
          <w:tcPr>
            <w:tcW w:w="1301" w:type="dxa"/>
            <w:gridSpan w:val="2"/>
            <w:tcBorders>
              <w:bottom w:val="double" w:sz="6" w:space="0" w:color="000000"/>
            </w:tcBorders>
            <w:shd w:val="clear" w:color="auto" w:fill="CCEDFF"/>
          </w:tcPr>
          <w:p>
            <w:pPr>
              <w:pStyle w:val="TableParagraph"/>
              <w:spacing w:line="177" w:lineRule="exact" w:before="3"/>
              <w:ind w:right="138"/>
              <w:jc w:val="right"/>
              <w:rPr>
                <w:sz w:val="16"/>
              </w:rPr>
            </w:pPr>
            <w:r>
              <w:rPr>
                <w:spacing w:val="-5"/>
                <w:w w:val="105"/>
                <w:sz w:val="16"/>
              </w:rPr>
              <w:t>943</w:t>
            </w:r>
          </w:p>
        </w:tc>
        <w:tc>
          <w:tcPr>
            <w:tcW w:w="418" w:type="dxa"/>
            <w:tcBorders>
              <w:bottom w:val="double" w:sz="6" w:space="0" w:color="000000"/>
            </w:tcBorders>
            <w:shd w:val="clear" w:color="auto" w:fill="CCEDFF"/>
          </w:tcPr>
          <w:p>
            <w:pPr>
              <w:pStyle w:val="TableParagraph"/>
              <w:spacing w:line="177" w:lineRule="exact" w:before="3"/>
              <w:ind w:left="88"/>
              <w:rPr>
                <w:sz w:val="16"/>
              </w:rPr>
            </w:pPr>
            <w:r>
              <w:rPr>
                <w:spacing w:val="-10"/>
                <w:w w:val="105"/>
                <w:sz w:val="16"/>
              </w:rPr>
              <w:t>$</w:t>
            </w:r>
          </w:p>
        </w:tc>
        <w:tc>
          <w:tcPr>
            <w:tcW w:w="1274" w:type="dxa"/>
            <w:tcBorders>
              <w:bottom w:val="double" w:sz="6" w:space="0" w:color="000000"/>
            </w:tcBorders>
            <w:shd w:val="clear" w:color="auto" w:fill="CCEDFF"/>
          </w:tcPr>
          <w:p>
            <w:pPr>
              <w:pStyle w:val="TableParagraph"/>
              <w:spacing w:line="177" w:lineRule="exact" w:before="3"/>
              <w:ind w:right="111"/>
              <w:jc w:val="right"/>
              <w:rPr>
                <w:sz w:val="16"/>
              </w:rPr>
            </w:pPr>
            <w:r>
              <w:rPr>
                <w:spacing w:val="-5"/>
                <w:w w:val="105"/>
                <w:sz w:val="16"/>
              </w:rPr>
              <w:t>799</w:t>
            </w:r>
          </w:p>
        </w:tc>
      </w:tr>
      <w:tr>
        <w:trPr>
          <w:trHeight w:val="389" w:hRule="atLeast"/>
        </w:trPr>
        <w:tc>
          <w:tcPr>
            <w:tcW w:w="6521" w:type="dxa"/>
            <w:tcBorders>
              <w:top w:val="double" w:sz="6" w:space="0" w:color="000000"/>
            </w:tcBorders>
          </w:tcPr>
          <w:p>
            <w:pPr>
              <w:pStyle w:val="TableParagraph"/>
              <w:spacing w:before="19"/>
              <w:rPr>
                <w:sz w:val="16"/>
              </w:rPr>
            </w:pPr>
          </w:p>
          <w:p>
            <w:pPr>
              <w:pStyle w:val="TableParagraph"/>
              <w:spacing w:line="165" w:lineRule="exact" w:before="1"/>
              <w:ind w:left="50"/>
              <w:rPr>
                <w:sz w:val="16"/>
              </w:rPr>
            </w:pPr>
            <w:r>
              <w:rPr>
                <w:w w:val="105"/>
                <w:sz w:val="16"/>
              </w:rPr>
              <w:t>The</w:t>
            </w:r>
            <w:r>
              <w:rPr>
                <w:spacing w:val="-10"/>
                <w:w w:val="105"/>
                <w:sz w:val="16"/>
              </w:rPr>
              <w:t> </w:t>
            </w:r>
            <w:r>
              <w:rPr>
                <w:w w:val="105"/>
                <w:sz w:val="16"/>
              </w:rPr>
              <w:t>accompanying</w:t>
            </w:r>
            <w:r>
              <w:rPr>
                <w:spacing w:val="-9"/>
                <w:w w:val="105"/>
                <w:sz w:val="16"/>
              </w:rPr>
              <w:t> </w:t>
            </w:r>
            <w:r>
              <w:rPr>
                <w:w w:val="105"/>
                <w:sz w:val="16"/>
              </w:rPr>
              <w:t>notes</w:t>
            </w:r>
            <w:r>
              <w:rPr>
                <w:spacing w:val="-9"/>
                <w:w w:val="105"/>
                <w:sz w:val="16"/>
              </w:rPr>
              <w:t> </w:t>
            </w:r>
            <w:r>
              <w:rPr>
                <w:w w:val="105"/>
                <w:sz w:val="16"/>
              </w:rPr>
              <w:t>are</w:t>
            </w:r>
            <w:r>
              <w:rPr>
                <w:spacing w:val="-8"/>
                <w:w w:val="105"/>
                <w:sz w:val="16"/>
              </w:rPr>
              <w:t> </w:t>
            </w:r>
            <w:r>
              <w:rPr>
                <w:w w:val="105"/>
                <w:sz w:val="16"/>
              </w:rPr>
              <w:t>an</w:t>
            </w:r>
            <w:r>
              <w:rPr>
                <w:spacing w:val="-9"/>
                <w:w w:val="105"/>
                <w:sz w:val="16"/>
              </w:rPr>
              <w:t> </w:t>
            </w:r>
            <w:r>
              <w:rPr>
                <w:w w:val="105"/>
                <w:sz w:val="16"/>
              </w:rPr>
              <w:t>integral</w:t>
            </w:r>
            <w:r>
              <w:rPr>
                <w:spacing w:val="-10"/>
                <w:w w:val="105"/>
                <w:sz w:val="16"/>
              </w:rPr>
              <w:t> </w:t>
            </w:r>
            <w:r>
              <w:rPr>
                <w:w w:val="105"/>
                <w:sz w:val="16"/>
              </w:rPr>
              <w:t>part</w:t>
            </w:r>
            <w:r>
              <w:rPr>
                <w:spacing w:val="-9"/>
                <w:w w:val="105"/>
                <w:sz w:val="16"/>
              </w:rPr>
              <w:t> </w:t>
            </w:r>
            <w:r>
              <w:rPr>
                <w:w w:val="105"/>
                <w:sz w:val="16"/>
              </w:rPr>
              <w:t>of</w:t>
            </w:r>
            <w:r>
              <w:rPr>
                <w:spacing w:val="-9"/>
                <w:w w:val="105"/>
                <w:sz w:val="16"/>
              </w:rPr>
              <w:t> </w:t>
            </w:r>
            <w:r>
              <w:rPr>
                <w:w w:val="105"/>
                <w:sz w:val="16"/>
              </w:rPr>
              <w:t>these</w:t>
            </w:r>
            <w:r>
              <w:rPr>
                <w:spacing w:val="-10"/>
                <w:w w:val="105"/>
                <w:sz w:val="16"/>
              </w:rPr>
              <w:t> </w:t>
            </w:r>
            <w:r>
              <w:rPr>
                <w:w w:val="105"/>
                <w:sz w:val="16"/>
              </w:rPr>
              <w:t>consolidated</w:t>
            </w:r>
            <w:r>
              <w:rPr>
                <w:spacing w:val="-9"/>
                <w:w w:val="105"/>
                <w:sz w:val="16"/>
              </w:rPr>
              <w:t> </w:t>
            </w:r>
            <w:r>
              <w:rPr>
                <w:w w:val="105"/>
                <w:sz w:val="16"/>
              </w:rPr>
              <w:t>financial</w:t>
            </w:r>
            <w:r>
              <w:rPr>
                <w:spacing w:val="-9"/>
                <w:w w:val="105"/>
                <w:sz w:val="16"/>
              </w:rPr>
              <w:t> </w:t>
            </w:r>
            <w:r>
              <w:rPr>
                <w:spacing w:val="-2"/>
                <w:w w:val="105"/>
                <w:sz w:val="16"/>
              </w:rPr>
              <w:t>statements.</w:t>
            </w:r>
          </w:p>
        </w:tc>
        <w:tc>
          <w:tcPr>
            <w:tcW w:w="1014" w:type="dxa"/>
            <w:tcBorders>
              <w:top w:val="double" w:sz="6" w:space="0" w:color="000000"/>
            </w:tcBorders>
          </w:tcPr>
          <w:p>
            <w:pPr>
              <w:pStyle w:val="TableParagraph"/>
              <w:rPr>
                <w:sz w:val="16"/>
              </w:rPr>
            </w:pPr>
          </w:p>
        </w:tc>
        <w:tc>
          <w:tcPr>
            <w:tcW w:w="618" w:type="dxa"/>
            <w:tcBorders>
              <w:top w:val="double" w:sz="6" w:space="0" w:color="000000"/>
            </w:tcBorders>
          </w:tcPr>
          <w:p>
            <w:pPr>
              <w:pStyle w:val="TableParagraph"/>
              <w:rPr>
                <w:sz w:val="16"/>
              </w:rPr>
            </w:pPr>
          </w:p>
        </w:tc>
        <w:tc>
          <w:tcPr>
            <w:tcW w:w="418" w:type="dxa"/>
            <w:tcBorders>
              <w:top w:val="double" w:sz="6" w:space="0" w:color="000000"/>
            </w:tcBorders>
          </w:tcPr>
          <w:p>
            <w:pPr>
              <w:pStyle w:val="TableParagraph"/>
              <w:rPr>
                <w:sz w:val="16"/>
              </w:rPr>
            </w:pPr>
          </w:p>
        </w:tc>
        <w:tc>
          <w:tcPr>
            <w:tcW w:w="1301" w:type="dxa"/>
            <w:gridSpan w:val="2"/>
            <w:tcBorders>
              <w:top w:val="double" w:sz="6" w:space="0" w:color="000000"/>
            </w:tcBorders>
          </w:tcPr>
          <w:p>
            <w:pPr>
              <w:pStyle w:val="TableParagraph"/>
              <w:rPr>
                <w:sz w:val="16"/>
              </w:rPr>
            </w:pPr>
          </w:p>
        </w:tc>
        <w:tc>
          <w:tcPr>
            <w:tcW w:w="418" w:type="dxa"/>
            <w:tcBorders>
              <w:top w:val="double" w:sz="6" w:space="0" w:color="000000"/>
            </w:tcBorders>
          </w:tcPr>
          <w:p>
            <w:pPr>
              <w:pStyle w:val="TableParagraph"/>
              <w:rPr>
                <w:sz w:val="16"/>
              </w:rPr>
            </w:pPr>
          </w:p>
        </w:tc>
        <w:tc>
          <w:tcPr>
            <w:tcW w:w="1274" w:type="dxa"/>
            <w:tcBorders>
              <w:top w:val="double" w:sz="6" w:space="0" w:color="000000"/>
            </w:tcBorders>
          </w:tcPr>
          <w:p>
            <w:pPr>
              <w:pStyle w:val="TableParagraph"/>
              <w:rPr>
                <w:sz w:val="16"/>
              </w:rPr>
            </w:pPr>
          </w:p>
        </w:tc>
      </w:tr>
    </w:tbl>
    <w:p>
      <w:pPr>
        <w:pStyle w:val="BodyText"/>
        <w:spacing w:before="36"/>
      </w:pPr>
    </w:p>
    <w:p>
      <w:pPr>
        <w:pStyle w:val="BodyText"/>
        <w:spacing w:before="1"/>
        <w:ind w:left="48"/>
        <w:jc w:val="center"/>
      </w:pPr>
      <w:r>
        <w:rPr>
          <w:spacing w:val="-5"/>
          <w:w w:val="105"/>
        </w:rPr>
        <w:t>66</w:t>
      </w:r>
    </w:p>
    <w:p>
      <w:pPr>
        <w:pStyle w:val="BodyText"/>
        <w:spacing w:before="11"/>
        <w:rPr>
          <w:sz w:val="5"/>
        </w:rPr>
      </w:pPr>
      <w:r>
        <w:rPr/>
        <mc:AlternateContent>
          <mc:Choice Requires="wps">
            <w:drawing>
              <wp:anchor distT="0" distB="0" distL="0" distR="0" allowOverlap="1" layoutInCell="1" locked="0" behindDoc="1" simplePos="0" relativeHeight="487648256">
                <wp:simplePos x="0" y="0"/>
                <wp:positionH relativeFrom="page">
                  <wp:posOffset>226488</wp:posOffset>
                </wp:positionH>
                <wp:positionV relativeFrom="paragraph">
                  <wp:posOffset>58838</wp:posOffset>
                </wp:positionV>
                <wp:extent cx="7312659" cy="1651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32977pt;width:575.775087pt;height:1.273839pt;mso-position-horizontal-relative:page;mso-position-vertical-relative:paragraph;z-index:-15668224;mso-wrap-distance-left:0;mso-wrap-distance-right:0" id="docshape165"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pPr>
    </w:p>
    <w:p>
      <w:pPr>
        <w:pStyle w:val="BodyText"/>
        <w:spacing w:before="58"/>
      </w:pPr>
    </w:p>
    <w:p>
      <w:pPr>
        <w:pStyle w:val="Heading2"/>
        <w:tabs>
          <w:tab w:pos="8157" w:val="left" w:leader="none"/>
        </w:tabs>
        <w:spacing w:after="29"/>
      </w:pPr>
      <w:bookmarkStart w:name="_bookmark5" w:id="6"/>
      <w:bookmarkEnd w:id="6"/>
      <w:r>
        <w:rPr>
          <w:b w:val="0"/>
        </w:rPr>
      </w:r>
      <w:r>
        <w:rPr/>
        <w:t>Consolidated</w:t>
      </w:r>
      <w:r>
        <w:rPr>
          <w:spacing w:val="17"/>
        </w:rPr>
        <w:t> </w:t>
      </w:r>
      <w:r>
        <w:rPr/>
        <w:t>Balance</w:t>
      </w:r>
      <w:r>
        <w:rPr>
          <w:spacing w:val="17"/>
        </w:rPr>
        <w:t> </w:t>
      </w:r>
      <w:r>
        <w:rPr>
          <w:spacing w:val="-2"/>
        </w:rPr>
        <w:t>Sheets</w:t>
      </w:r>
      <w:r>
        <w:rPr/>
        <w:tab/>
        <w:t>Corning</w:t>
      </w:r>
      <w:r>
        <w:rPr>
          <w:spacing w:val="16"/>
        </w:rPr>
        <w:t> </w:t>
      </w:r>
      <w:r>
        <w:rPr/>
        <w:t>Incorporated</w:t>
      </w:r>
      <w:r>
        <w:rPr>
          <w:spacing w:val="16"/>
        </w:rPr>
        <w:t> </w:t>
      </w:r>
      <w:r>
        <w:rPr/>
        <w:t>and</w:t>
      </w:r>
      <w:r>
        <w:rPr>
          <w:spacing w:val="16"/>
        </w:rPr>
        <w:t> </w:t>
      </w:r>
      <w:r>
        <w:rPr/>
        <w:t>Subsidiary</w:t>
      </w:r>
      <w:r>
        <w:rPr>
          <w:spacing w:val="17"/>
        </w:rPr>
        <w:t> </w:t>
      </w:r>
      <w:r>
        <w:rPr>
          <w:spacing w:val="-2"/>
        </w:rPr>
        <w:t>Companies</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1"/>
        <w:gridCol w:w="973"/>
        <w:gridCol w:w="632"/>
        <w:gridCol w:w="673"/>
        <w:gridCol w:w="1046"/>
      </w:tblGrid>
      <w:tr>
        <w:trPr>
          <w:trHeight w:val="110" w:hRule="atLeast"/>
        </w:trPr>
        <w:tc>
          <w:tcPr>
            <w:tcW w:w="8191" w:type="dxa"/>
            <w:tcBorders>
              <w:top w:val="single" w:sz="12" w:space="0" w:color="000000"/>
              <w:bottom w:val="single" w:sz="12" w:space="0" w:color="000000"/>
            </w:tcBorders>
          </w:tcPr>
          <w:p>
            <w:pPr>
              <w:pStyle w:val="TableParagraph"/>
              <w:rPr>
                <w:sz w:val="6"/>
              </w:rPr>
            </w:pPr>
          </w:p>
        </w:tc>
        <w:tc>
          <w:tcPr>
            <w:tcW w:w="973" w:type="dxa"/>
            <w:tcBorders>
              <w:top w:val="single" w:sz="12" w:space="0" w:color="000000"/>
              <w:bottom w:val="single" w:sz="12" w:space="0" w:color="000000"/>
            </w:tcBorders>
          </w:tcPr>
          <w:p>
            <w:pPr>
              <w:pStyle w:val="TableParagraph"/>
              <w:rPr>
                <w:sz w:val="6"/>
              </w:rPr>
            </w:pPr>
          </w:p>
        </w:tc>
        <w:tc>
          <w:tcPr>
            <w:tcW w:w="2351" w:type="dxa"/>
            <w:gridSpan w:val="3"/>
            <w:tcBorders>
              <w:top w:val="single" w:sz="12" w:space="0" w:color="000000"/>
              <w:bottom w:val="single" w:sz="12" w:space="0" w:color="000000"/>
            </w:tcBorders>
          </w:tcPr>
          <w:p>
            <w:pPr>
              <w:pStyle w:val="TableParagraph"/>
              <w:rPr>
                <w:sz w:val="6"/>
              </w:rPr>
            </w:pPr>
          </w:p>
        </w:tc>
      </w:tr>
      <w:tr>
        <w:trPr>
          <w:trHeight w:val="200" w:hRule="atLeast"/>
        </w:trPr>
        <w:tc>
          <w:tcPr>
            <w:tcW w:w="8191" w:type="dxa"/>
            <w:tcBorders>
              <w:top w:val="single" w:sz="12" w:space="0" w:color="000000"/>
            </w:tcBorders>
          </w:tcPr>
          <w:p>
            <w:pPr>
              <w:pStyle w:val="TableParagraph"/>
              <w:rPr>
                <w:sz w:val="12"/>
              </w:rPr>
            </w:pPr>
          </w:p>
        </w:tc>
        <w:tc>
          <w:tcPr>
            <w:tcW w:w="973" w:type="dxa"/>
            <w:tcBorders>
              <w:top w:val="single" w:sz="12" w:space="0" w:color="000000"/>
              <w:bottom w:val="single" w:sz="6" w:space="0" w:color="000000"/>
            </w:tcBorders>
          </w:tcPr>
          <w:p>
            <w:pPr>
              <w:pStyle w:val="TableParagraph"/>
              <w:rPr>
                <w:sz w:val="12"/>
              </w:rPr>
            </w:pPr>
          </w:p>
        </w:tc>
        <w:tc>
          <w:tcPr>
            <w:tcW w:w="2351" w:type="dxa"/>
            <w:gridSpan w:val="3"/>
            <w:tcBorders>
              <w:top w:val="single" w:sz="12" w:space="0" w:color="000000"/>
              <w:bottom w:val="single" w:sz="6" w:space="0" w:color="000000"/>
            </w:tcBorders>
          </w:tcPr>
          <w:p>
            <w:pPr>
              <w:pStyle w:val="TableParagraph"/>
              <w:spacing w:line="179" w:lineRule="exact" w:before="1"/>
              <w:ind w:left="167"/>
              <w:rPr>
                <w:sz w:val="16"/>
              </w:rPr>
            </w:pPr>
            <w:r>
              <w:rPr>
                <w:sz w:val="16"/>
              </w:rPr>
              <w:t>December</w:t>
            </w:r>
            <w:r>
              <w:rPr>
                <w:spacing w:val="20"/>
                <w:sz w:val="16"/>
              </w:rPr>
              <w:t> </w:t>
            </w:r>
            <w:r>
              <w:rPr>
                <w:spacing w:val="-5"/>
                <w:sz w:val="16"/>
              </w:rPr>
              <w:t>31,</w:t>
            </w:r>
          </w:p>
        </w:tc>
      </w:tr>
      <w:tr>
        <w:trPr>
          <w:trHeight w:val="201" w:hRule="atLeast"/>
        </w:trPr>
        <w:tc>
          <w:tcPr>
            <w:tcW w:w="8191" w:type="dxa"/>
            <w:tcBorders>
              <w:bottom w:val="single" w:sz="6" w:space="0" w:color="000000"/>
            </w:tcBorders>
          </w:tcPr>
          <w:p>
            <w:pPr>
              <w:pStyle w:val="TableParagraph"/>
              <w:spacing w:line="179" w:lineRule="exact" w:before="2"/>
              <w:rPr>
                <w:sz w:val="16"/>
              </w:rPr>
            </w:pPr>
            <w:r>
              <w:rPr>
                <w:w w:val="105"/>
                <w:sz w:val="16"/>
              </w:rPr>
              <w:t>(In</w:t>
            </w:r>
            <w:r>
              <w:rPr>
                <w:spacing w:val="-8"/>
                <w:w w:val="105"/>
                <w:sz w:val="16"/>
              </w:rPr>
              <w:t> </w:t>
            </w:r>
            <w:r>
              <w:rPr>
                <w:w w:val="105"/>
                <w:sz w:val="16"/>
              </w:rPr>
              <w:t>millions,</w:t>
            </w:r>
            <w:r>
              <w:rPr>
                <w:spacing w:val="-7"/>
                <w:w w:val="105"/>
                <w:sz w:val="16"/>
              </w:rPr>
              <w:t> </w:t>
            </w:r>
            <w:r>
              <w:rPr>
                <w:w w:val="105"/>
                <w:sz w:val="16"/>
              </w:rPr>
              <w:t>except</w:t>
            </w:r>
            <w:r>
              <w:rPr>
                <w:spacing w:val="-7"/>
                <w:w w:val="105"/>
                <w:sz w:val="16"/>
              </w:rPr>
              <w:t> </w:t>
            </w:r>
            <w:r>
              <w:rPr>
                <w:w w:val="105"/>
                <w:sz w:val="16"/>
              </w:rPr>
              <w:t>share</w:t>
            </w:r>
            <w:r>
              <w:rPr>
                <w:spacing w:val="-7"/>
                <w:w w:val="105"/>
                <w:sz w:val="16"/>
              </w:rPr>
              <w:t> </w:t>
            </w:r>
            <w:r>
              <w:rPr>
                <w:w w:val="105"/>
                <w:sz w:val="16"/>
              </w:rPr>
              <w:t>and</w:t>
            </w:r>
            <w:r>
              <w:rPr>
                <w:spacing w:val="-8"/>
                <w:w w:val="105"/>
                <w:sz w:val="16"/>
              </w:rPr>
              <w:t> </w:t>
            </w:r>
            <w:r>
              <w:rPr>
                <w:w w:val="105"/>
                <w:sz w:val="16"/>
              </w:rPr>
              <w:t>per</w:t>
            </w:r>
            <w:r>
              <w:rPr>
                <w:spacing w:val="-7"/>
                <w:w w:val="105"/>
                <w:sz w:val="16"/>
              </w:rPr>
              <w:t> </w:t>
            </w:r>
            <w:r>
              <w:rPr>
                <w:w w:val="105"/>
                <w:sz w:val="16"/>
              </w:rPr>
              <w:t>share</w:t>
            </w:r>
            <w:r>
              <w:rPr>
                <w:spacing w:val="-7"/>
                <w:w w:val="105"/>
                <w:sz w:val="16"/>
              </w:rPr>
              <w:t> </w:t>
            </w:r>
            <w:r>
              <w:rPr>
                <w:spacing w:val="-2"/>
                <w:w w:val="105"/>
                <w:sz w:val="16"/>
              </w:rPr>
              <w:t>amounts)</w:t>
            </w:r>
          </w:p>
        </w:tc>
        <w:tc>
          <w:tcPr>
            <w:tcW w:w="973" w:type="dxa"/>
            <w:tcBorders>
              <w:top w:val="single" w:sz="6" w:space="0" w:color="000000"/>
              <w:bottom w:val="single" w:sz="6" w:space="0" w:color="000000"/>
            </w:tcBorders>
          </w:tcPr>
          <w:p>
            <w:pPr>
              <w:pStyle w:val="TableParagraph"/>
              <w:spacing w:line="179" w:lineRule="exact" w:before="2"/>
              <w:ind w:left="579"/>
              <w:rPr>
                <w:b/>
                <w:sz w:val="16"/>
              </w:rPr>
            </w:pPr>
            <w:r>
              <w:rPr>
                <w:b/>
                <w:spacing w:val="-4"/>
                <w:w w:val="105"/>
                <w:sz w:val="16"/>
              </w:rPr>
              <w:t>2021</w:t>
            </w:r>
          </w:p>
        </w:tc>
        <w:tc>
          <w:tcPr>
            <w:tcW w:w="2351" w:type="dxa"/>
            <w:gridSpan w:val="3"/>
            <w:tcBorders>
              <w:top w:val="single" w:sz="6" w:space="0" w:color="000000"/>
              <w:bottom w:val="single" w:sz="6" w:space="0" w:color="000000"/>
            </w:tcBorders>
          </w:tcPr>
          <w:p>
            <w:pPr>
              <w:pStyle w:val="TableParagraph"/>
              <w:spacing w:line="179" w:lineRule="exact" w:before="2"/>
              <w:ind w:left="1326"/>
              <w:rPr>
                <w:sz w:val="16"/>
              </w:rPr>
            </w:pPr>
            <w:r>
              <w:rPr>
                <w:spacing w:val="-4"/>
                <w:w w:val="105"/>
                <w:sz w:val="16"/>
              </w:rPr>
              <w:t>2020</w:t>
            </w:r>
          </w:p>
        </w:tc>
      </w:tr>
      <w:tr>
        <w:trPr>
          <w:trHeight w:val="202" w:hRule="atLeast"/>
        </w:trPr>
        <w:tc>
          <w:tcPr>
            <w:tcW w:w="8191" w:type="dxa"/>
            <w:tcBorders>
              <w:top w:val="single" w:sz="6" w:space="0" w:color="000000"/>
            </w:tcBorders>
          </w:tcPr>
          <w:p>
            <w:pPr>
              <w:pStyle w:val="TableParagraph"/>
              <w:rPr>
                <w:sz w:val="14"/>
              </w:rPr>
            </w:pPr>
          </w:p>
        </w:tc>
        <w:tc>
          <w:tcPr>
            <w:tcW w:w="973" w:type="dxa"/>
            <w:tcBorders>
              <w:top w:val="single" w:sz="6" w:space="0" w:color="000000"/>
            </w:tcBorders>
          </w:tcPr>
          <w:p>
            <w:pPr>
              <w:pStyle w:val="TableParagraph"/>
              <w:rPr>
                <w:sz w:val="14"/>
              </w:rPr>
            </w:pPr>
          </w:p>
        </w:tc>
        <w:tc>
          <w:tcPr>
            <w:tcW w:w="2351" w:type="dxa"/>
            <w:gridSpan w:val="3"/>
            <w:tcBorders>
              <w:top w:val="single" w:sz="6" w:space="0" w:color="000000"/>
            </w:tcBorders>
          </w:tcPr>
          <w:p>
            <w:pPr>
              <w:pStyle w:val="TableParagraph"/>
              <w:rPr>
                <w:sz w:val="14"/>
              </w:rPr>
            </w:pPr>
          </w:p>
        </w:tc>
      </w:tr>
      <w:tr>
        <w:trPr>
          <w:trHeight w:val="203" w:hRule="atLeast"/>
        </w:trPr>
        <w:tc>
          <w:tcPr>
            <w:tcW w:w="8191" w:type="dxa"/>
            <w:shd w:val="clear" w:color="auto" w:fill="CCEDFF"/>
          </w:tcPr>
          <w:p>
            <w:pPr>
              <w:pStyle w:val="TableParagraph"/>
              <w:spacing w:line="180" w:lineRule="exact" w:before="3"/>
              <w:rPr>
                <w:b/>
                <w:sz w:val="16"/>
              </w:rPr>
            </w:pPr>
            <w:r>
              <w:rPr>
                <w:b/>
                <w:spacing w:val="-2"/>
                <w:w w:val="105"/>
                <w:sz w:val="16"/>
              </w:rPr>
              <w:t>Assets</w:t>
            </w:r>
          </w:p>
        </w:tc>
        <w:tc>
          <w:tcPr>
            <w:tcW w:w="973" w:type="dxa"/>
            <w:shd w:val="clear" w:color="auto" w:fill="CCEDFF"/>
          </w:tcPr>
          <w:p>
            <w:pPr>
              <w:pStyle w:val="TableParagraph"/>
              <w:rPr>
                <w:sz w:val="14"/>
              </w:rPr>
            </w:pPr>
          </w:p>
        </w:tc>
        <w:tc>
          <w:tcPr>
            <w:tcW w:w="2351" w:type="dxa"/>
            <w:gridSpan w:val="3"/>
            <w:shd w:val="clear" w:color="auto" w:fill="CCEDFF"/>
          </w:tcPr>
          <w:p>
            <w:pPr>
              <w:pStyle w:val="TableParagraph"/>
              <w:rPr>
                <w:sz w:val="14"/>
              </w:rPr>
            </w:pPr>
          </w:p>
        </w:tc>
      </w:tr>
      <w:tr>
        <w:trPr>
          <w:trHeight w:val="203" w:hRule="atLeast"/>
        </w:trPr>
        <w:tc>
          <w:tcPr>
            <w:tcW w:w="8191" w:type="dxa"/>
          </w:tcPr>
          <w:p>
            <w:pPr>
              <w:pStyle w:val="TableParagraph"/>
              <w:rPr>
                <w:sz w:val="14"/>
              </w:rPr>
            </w:pPr>
          </w:p>
        </w:tc>
        <w:tc>
          <w:tcPr>
            <w:tcW w:w="973" w:type="dxa"/>
          </w:tcPr>
          <w:p>
            <w:pPr>
              <w:pStyle w:val="TableParagraph"/>
              <w:rPr>
                <w:sz w:val="14"/>
              </w:rPr>
            </w:pPr>
          </w:p>
        </w:tc>
        <w:tc>
          <w:tcPr>
            <w:tcW w:w="2351" w:type="dxa"/>
            <w:gridSpan w:val="3"/>
          </w:tcPr>
          <w:p>
            <w:pPr>
              <w:pStyle w:val="TableParagraph"/>
              <w:rPr>
                <w:sz w:val="14"/>
              </w:rPr>
            </w:pPr>
          </w:p>
        </w:tc>
      </w:tr>
      <w:tr>
        <w:trPr>
          <w:trHeight w:val="203" w:hRule="atLeast"/>
        </w:trPr>
        <w:tc>
          <w:tcPr>
            <w:tcW w:w="8191" w:type="dxa"/>
            <w:shd w:val="clear" w:color="auto" w:fill="CCEDFF"/>
          </w:tcPr>
          <w:p>
            <w:pPr>
              <w:pStyle w:val="TableParagraph"/>
              <w:spacing w:line="180" w:lineRule="exact" w:before="3"/>
              <w:rPr>
                <w:sz w:val="16"/>
              </w:rPr>
            </w:pPr>
            <w:r>
              <w:rPr>
                <w:sz w:val="16"/>
              </w:rPr>
              <w:t>Current</w:t>
            </w:r>
            <w:r>
              <w:rPr>
                <w:spacing w:val="15"/>
                <w:sz w:val="16"/>
              </w:rPr>
              <w:t> </w:t>
            </w:r>
            <w:r>
              <w:rPr>
                <w:spacing w:val="-2"/>
                <w:sz w:val="16"/>
              </w:rPr>
              <w:t>assets:</w:t>
            </w:r>
          </w:p>
        </w:tc>
        <w:tc>
          <w:tcPr>
            <w:tcW w:w="973" w:type="dxa"/>
            <w:shd w:val="clear" w:color="auto" w:fill="CCEDFF"/>
          </w:tcPr>
          <w:p>
            <w:pPr>
              <w:pStyle w:val="TableParagraph"/>
              <w:rPr>
                <w:sz w:val="14"/>
              </w:rPr>
            </w:pPr>
          </w:p>
        </w:tc>
        <w:tc>
          <w:tcPr>
            <w:tcW w:w="2351" w:type="dxa"/>
            <w:gridSpan w:val="3"/>
            <w:shd w:val="clear" w:color="auto" w:fill="CCEDFF"/>
          </w:tcPr>
          <w:p>
            <w:pPr>
              <w:pStyle w:val="TableParagraph"/>
              <w:rPr>
                <w:sz w:val="14"/>
              </w:rPr>
            </w:pPr>
          </w:p>
        </w:tc>
      </w:tr>
      <w:tr>
        <w:trPr>
          <w:trHeight w:val="203" w:hRule="atLeast"/>
        </w:trPr>
        <w:tc>
          <w:tcPr>
            <w:tcW w:w="8191" w:type="dxa"/>
          </w:tcPr>
          <w:p>
            <w:pPr>
              <w:pStyle w:val="TableParagraph"/>
              <w:spacing w:line="180" w:lineRule="exact" w:before="3"/>
              <w:ind w:left="305"/>
              <w:rPr>
                <w:sz w:val="16"/>
              </w:rPr>
            </w:pPr>
            <w:r>
              <w:rPr>
                <w:w w:val="105"/>
                <w:sz w:val="16"/>
              </w:rPr>
              <w:t>Cash</w:t>
            </w:r>
            <w:r>
              <w:rPr>
                <w:spacing w:val="-7"/>
                <w:w w:val="105"/>
                <w:sz w:val="16"/>
              </w:rPr>
              <w:t> </w:t>
            </w:r>
            <w:r>
              <w:rPr>
                <w:w w:val="105"/>
                <w:sz w:val="16"/>
              </w:rPr>
              <w:t>and</w:t>
            </w:r>
            <w:r>
              <w:rPr>
                <w:spacing w:val="-7"/>
                <w:w w:val="105"/>
                <w:sz w:val="16"/>
              </w:rPr>
              <w:t> </w:t>
            </w:r>
            <w:r>
              <w:rPr>
                <w:w w:val="105"/>
                <w:sz w:val="16"/>
              </w:rPr>
              <w:t>cash</w:t>
            </w:r>
            <w:r>
              <w:rPr>
                <w:spacing w:val="-6"/>
                <w:w w:val="105"/>
                <w:sz w:val="16"/>
              </w:rPr>
              <w:t> </w:t>
            </w:r>
            <w:r>
              <w:rPr>
                <w:spacing w:val="-2"/>
                <w:w w:val="105"/>
                <w:sz w:val="16"/>
              </w:rPr>
              <w:t>equivalents</w:t>
            </w:r>
          </w:p>
        </w:tc>
        <w:tc>
          <w:tcPr>
            <w:tcW w:w="973" w:type="dxa"/>
          </w:tcPr>
          <w:p>
            <w:pPr>
              <w:pStyle w:val="TableParagraph"/>
              <w:spacing w:line="180" w:lineRule="exact" w:before="3"/>
              <w:ind w:left="-1"/>
              <w:rPr>
                <w:b/>
                <w:sz w:val="16"/>
              </w:rPr>
            </w:pPr>
            <w:r>
              <w:rPr>
                <w:b/>
                <w:spacing w:val="-10"/>
                <w:w w:val="105"/>
                <w:sz w:val="16"/>
              </w:rPr>
              <w:t>$</w:t>
            </w:r>
          </w:p>
        </w:tc>
        <w:tc>
          <w:tcPr>
            <w:tcW w:w="632" w:type="dxa"/>
          </w:tcPr>
          <w:p>
            <w:pPr>
              <w:pStyle w:val="TableParagraph"/>
              <w:spacing w:line="180" w:lineRule="exact" w:before="3"/>
              <w:ind w:right="112"/>
              <w:jc w:val="right"/>
              <w:rPr>
                <w:b/>
                <w:sz w:val="16"/>
              </w:rPr>
            </w:pPr>
            <w:r>
              <w:rPr>
                <w:b/>
                <w:spacing w:val="-4"/>
                <w:w w:val="105"/>
                <w:sz w:val="16"/>
              </w:rPr>
              <w:t>2,148</w:t>
            </w:r>
          </w:p>
        </w:tc>
        <w:tc>
          <w:tcPr>
            <w:tcW w:w="673" w:type="dxa"/>
          </w:tcPr>
          <w:p>
            <w:pPr>
              <w:pStyle w:val="TableParagraph"/>
              <w:spacing w:line="180" w:lineRule="exact" w:before="3"/>
              <w:ind w:left="114"/>
              <w:rPr>
                <w:sz w:val="16"/>
              </w:rPr>
            </w:pPr>
            <w:r>
              <w:rPr>
                <w:spacing w:val="-10"/>
                <w:w w:val="105"/>
                <w:sz w:val="16"/>
              </w:rPr>
              <w:t>$</w:t>
            </w:r>
          </w:p>
        </w:tc>
        <w:tc>
          <w:tcPr>
            <w:tcW w:w="1046" w:type="dxa"/>
          </w:tcPr>
          <w:p>
            <w:pPr>
              <w:pStyle w:val="TableParagraph"/>
              <w:spacing w:line="180" w:lineRule="exact" w:before="3"/>
              <w:ind w:right="112"/>
              <w:jc w:val="right"/>
              <w:rPr>
                <w:sz w:val="16"/>
              </w:rPr>
            </w:pPr>
            <w:r>
              <w:rPr>
                <w:spacing w:val="-4"/>
                <w:w w:val="105"/>
                <w:sz w:val="16"/>
              </w:rPr>
              <w:t>2,672</w:t>
            </w:r>
          </w:p>
        </w:tc>
      </w:tr>
      <w:tr>
        <w:trPr>
          <w:trHeight w:val="203" w:hRule="atLeast"/>
        </w:trPr>
        <w:tc>
          <w:tcPr>
            <w:tcW w:w="8191" w:type="dxa"/>
            <w:shd w:val="clear" w:color="auto" w:fill="CCEDFF"/>
          </w:tcPr>
          <w:p>
            <w:pPr>
              <w:pStyle w:val="TableParagraph"/>
              <w:spacing w:line="180" w:lineRule="exact" w:before="3"/>
              <w:ind w:left="305"/>
              <w:rPr>
                <w:sz w:val="16"/>
              </w:rPr>
            </w:pPr>
            <w:r>
              <w:rPr>
                <w:w w:val="105"/>
                <w:sz w:val="16"/>
              </w:rPr>
              <w:t>Trade</w:t>
            </w:r>
            <w:r>
              <w:rPr>
                <w:spacing w:val="-10"/>
                <w:w w:val="105"/>
                <w:sz w:val="16"/>
              </w:rPr>
              <w:t> </w:t>
            </w:r>
            <w:r>
              <w:rPr>
                <w:w w:val="105"/>
                <w:sz w:val="16"/>
              </w:rPr>
              <w:t>accounts</w:t>
            </w:r>
            <w:r>
              <w:rPr>
                <w:spacing w:val="-9"/>
                <w:w w:val="105"/>
                <w:sz w:val="16"/>
              </w:rPr>
              <w:t> </w:t>
            </w:r>
            <w:r>
              <w:rPr>
                <w:w w:val="105"/>
                <w:sz w:val="16"/>
              </w:rPr>
              <w:t>receivable,</w:t>
            </w:r>
            <w:r>
              <w:rPr>
                <w:spacing w:val="-9"/>
                <w:w w:val="105"/>
                <w:sz w:val="16"/>
              </w:rPr>
              <w:t> </w:t>
            </w:r>
            <w:r>
              <w:rPr>
                <w:w w:val="105"/>
                <w:sz w:val="16"/>
              </w:rPr>
              <w:t>net</w:t>
            </w:r>
            <w:r>
              <w:rPr>
                <w:spacing w:val="-10"/>
                <w:w w:val="105"/>
                <w:sz w:val="16"/>
              </w:rPr>
              <w:t> </w:t>
            </w:r>
            <w:r>
              <w:rPr>
                <w:w w:val="105"/>
                <w:sz w:val="16"/>
              </w:rPr>
              <w:t>of</w:t>
            </w:r>
            <w:r>
              <w:rPr>
                <w:spacing w:val="-9"/>
                <w:w w:val="105"/>
                <w:sz w:val="16"/>
              </w:rPr>
              <w:t> </w:t>
            </w:r>
            <w:r>
              <w:rPr>
                <w:w w:val="105"/>
                <w:sz w:val="16"/>
              </w:rPr>
              <w:t>doubtful</w:t>
            </w:r>
            <w:r>
              <w:rPr>
                <w:spacing w:val="-9"/>
                <w:w w:val="105"/>
                <w:sz w:val="16"/>
              </w:rPr>
              <w:t> </w:t>
            </w:r>
            <w:r>
              <w:rPr>
                <w:w w:val="105"/>
                <w:sz w:val="16"/>
              </w:rPr>
              <w:t>accounts</w:t>
            </w:r>
            <w:r>
              <w:rPr>
                <w:spacing w:val="-8"/>
                <w:w w:val="105"/>
                <w:sz w:val="16"/>
              </w:rPr>
              <w:t> </w:t>
            </w:r>
            <w:r>
              <w:rPr>
                <w:w w:val="105"/>
                <w:sz w:val="16"/>
              </w:rPr>
              <w:t>-</w:t>
            </w:r>
            <w:r>
              <w:rPr>
                <w:spacing w:val="-10"/>
                <w:w w:val="105"/>
                <w:sz w:val="16"/>
              </w:rPr>
              <w:t> </w:t>
            </w:r>
            <w:r>
              <w:rPr>
                <w:w w:val="105"/>
                <w:sz w:val="16"/>
              </w:rPr>
              <w:t>$42</w:t>
            </w:r>
            <w:r>
              <w:rPr>
                <w:spacing w:val="-9"/>
                <w:w w:val="105"/>
                <w:sz w:val="16"/>
              </w:rPr>
              <w:t> </w:t>
            </w:r>
            <w:r>
              <w:rPr>
                <w:w w:val="105"/>
                <w:sz w:val="16"/>
              </w:rPr>
              <w:t>and</w:t>
            </w:r>
            <w:r>
              <w:rPr>
                <w:spacing w:val="-9"/>
                <w:w w:val="105"/>
                <w:sz w:val="16"/>
              </w:rPr>
              <w:t> </w:t>
            </w:r>
            <w:r>
              <w:rPr>
                <w:spacing w:val="-5"/>
                <w:w w:val="105"/>
                <w:sz w:val="16"/>
              </w:rPr>
              <w:t>$46</w:t>
            </w:r>
          </w:p>
        </w:tc>
        <w:tc>
          <w:tcPr>
            <w:tcW w:w="973" w:type="dxa"/>
            <w:shd w:val="clear" w:color="auto" w:fill="CCEDFF"/>
          </w:tcPr>
          <w:p>
            <w:pPr>
              <w:pStyle w:val="TableParagraph"/>
              <w:rPr>
                <w:sz w:val="14"/>
              </w:rPr>
            </w:pPr>
          </w:p>
        </w:tc>
        <w:tc>
          <w:tcPr>
            <w:tcW w:w="632" w:type="dxa"/>
            <w:shd w:val="clear" w:color="auto" w:fill="CCEDFF"/>
          </w:tcPr>
          <w:p>
            <w:pPr>
              <w:pStyle w:val="TableParagraph"/>
              <w:spacing w:line="180" w:lineRule="exact" w:before="3"/>
              <w:ind w:right="112"/>
              <w:jc w:val="right"/>
              <w:rPr>
                <w:b/>
                <w:sz w:val="16"/>
              </w:rPr>
            </w:pPr>
            <w:r>
              <w:rPr>
                <w:b/>
                <w:spacing w:val="-4"/>
                <w:w w:val="105"/>
                <w:sz w:val="16"/>
              </w:rPr>
              <w:t>2,004</w:t>
            </w:r>
          </w:p>
        </w:tc>
        <w:tc>
          <w:tcPr>
            <w:tcW w:w="673" w:type="dxa"/>
            <w:shd w:val="clear" w:color="auto" w:fill="CCEDFF"/>
          </w:tcPr>
          <w:p>
            <w:pPr>
              <w:pStyle w:val="TableParagraph"/>
              <w:rPr>
                <w:sz w:val="14"/>
              </w:rPr>
            </w:pPr>
          </w:p>
        </w:tc>
        <w:tc>
          <w:tcPr>
            <w:tcW w:w="1046" w:type="dxa"/>
            <w:shd w:val="clear" w:color="auto" w:fill="CCEDFF"/>
          </w:tcPr>
          <w:p>
            <w:pPr>
              <w:pStyle w:val="TableParagraph"/>
              <w:spacing w:line="180" w:lineRule="exact" w:before="3"/>
              <w:ind w:right="112"/>
              <w:jc w:val="right"/>
              <w:rPr>
                <w:sz w:val="16"/>
              </w:rPr>
            </w:pPr>
            <w:r>
              <w:rPr>
                <w:spacing w:val="-4"/>
                <w:w w:val="105"/>
                <w:sz w:val="16"/>
              </w:rPr>
              <w:t>2,133</w:t>
            </w:r>
          </w:p>
        </w:tc>
      </w:tr>
      <w:tr>
        <w:trPr>
          <w:trHeight w:val="203" w:hRule="atLeast"/>
        </w:trPr>
        <w:tc>
          <w:tcPr>
            <w:tcW w:w="8191" w:type="dxa"/>
          </w:tcPr>
          <w:p>
            <w:pPr>
              <w:pStyle w:val="TableParagraph"/>
              <w:spacing w:line="180" w:lineRule="exact" w:before="3"/>
              <w:ind w:left="305"/>
              <w:rPr>
                <w:sz w:val="16"/>
              </w:rPr>
            </w:pPr>
            <w:r>
              <w:rPr>
                <w:w w:val="105"/>
                <w:sz w:val="16"/>
              </w:rPr>
              <w:t>Inventories,</w:t>
            </w:r>
            <w:r>
              <w:rPr>
                <w:spacing w:val="-10"/>
                <w:w w:val="105"/>
                <w:sz w:val="16"/>
              </w:rPr>
              <w:t> </w:t>
            </w:r>
            <w:r>
              <w:rPr>
                <w:w w:val="105"/>
                <w:sz w:val="16"/>
              </w:rPr>
              <w:t>net</w:t>
            </w:r>
            <w:r>
              <w:rPr>
                <w:spacing w:val="-10"/>
                <w:w w:val="105"/>
                <w:sz w:val="16"/>
              </w:rPr>
              <w:t> </w:t>
            </w:r>
            <w:r>
              <w:rPr>
                <w:w w:val="105"/>
                <w:sz w:val="16"/>
              </w:rPr>
              <w:t>(Note</w:t>
            </w:r>
            <w:r>
              <w:rPr>
                <w:spacing w:val="-10"/>
                <w:w w:val="105"/>
                <w:sz w:val="16"/>
              </w:rPr>
              <w:t> </w:t>
            </w:r>
            <w:r>
              <w:rPr>
                <w:spacing w:val="-5"/>
                <w:w w:val="105"/>
                <w:sz w:val="16"/>
              </w:rPr>
              <w:t>6)</w:t>
            </w:r>
          </w:p>
        </w:tc>
        <w:tc>
          <w:tcPr>
            <w:tcW w:w="973" w:type="dxa"/>
          </w:tcPr>
          <w:p>
            <w:pPr>
              <w:pStyle w:val="TableParagraph"/>
              <w:rPr>
                <w:sz w:val="14"/>
              </w:rPr>
            </w:pPr>
          </w:p>
        </w:tc>
        <w:tc>
          <w:tcPr>
            <w:tcW w:w="632" w:type="dxa"/>
          </w:tcPr>
          <w:p>
            <w:pPr>
              <w:pStyle w:val="TableParagraph"/>
              <w:spacing w:line="180" w:lineRule="exact" w:before="3"/>
              <w:ind w:right="112"/>
              <w:jc w:val="right"/>
              <w:rPr>
                <w:b/>
                <w:sz w:val="16"/>
              </w:rPr>
            </w:pPr>
            <w:r>
              <w:rPr>
                <w:b/>
                <w:spacing w:val="-4"/>
                <w:w w:val="105"/>
                <w:sz w:val="16"/>
              </w:rPr>
              <w:t>2,481</w:t>
            </w:r>
          </w:p>
        </w:tc>
        <w:tc>
          <w:tcPr>
            <w:tcW w:w="673" w:type="dxa"/>
          </w:tcPr>
          <w:p>
            <w:pPr>
              <w:pStyle w:val="TableParagraph"/>
              <w:rPr>
                <w:sz w:val="14"/>
              </w:rPr>
            </w:pPr>
          </w:p>
        </w:tc>
        <w:tc>
          <w:tcPr>
            <w:tcW w:w="1046" w:type="dxa"/>
          </w:tcPr>
          <w:p>
            <w:pPr>
              <w:pStyle w:val="TableParagraph"/>
              <w:spacing w:line="180" w:lineRule="exact" w:before="3"/>
              <w:ind w:right="112"/>
              <w:jc w:val="right"/>
              <w:rPr>
                <w:sz w:val="16"/>
              </w:rPr>
            </w:pPr>
            <w:r>
              <w:rPr>
                <w:spacing w:val="-4"/>
                <w:w w:val="105"/>
                <w:sz w:val="16"/>
              </w:rPr>
              <w:t>2,438</w:t>
            </w:r>
          </w:p>
        </w:tc>
      </w:tr>
      <w:tr>
        <w:trPr>
          <w:trHeight w:val="202" w:hRule="atLeast"/>
        </w:trPr>
        <w:tc>
          <w:tcPr>
            <w:tcW w:w="8191" w:type="dxa"/>
            <w:shd w:val="clear" w:color="auto" w:fill="CCEDFF"/>
          </w:tcPr>
          <w:p>
            <w:pPr>
              <w:pStyle w:val="TableParagraph"/>
              <w:spacing w:line="166" w:lineRule="exact" w:before="16"/>
              <w:ind w:left="305"/>
              <w:rPr>
                <w:sz w:val="16"/>
              </w:rPr>
            </w:pPr>
            <w:r>
              <w:rPr>
                <w:w w:val="105"/>
                <w:sz w:val="16"/>
              </w:rPr>
              <w:t>Other</w:t>
            </w:r>
            <w:r>
              <w:rPr>
                <w:spacing w:val="-9"/>
                <w:w w:val="105"/>
                <w:sz w:val="16"/>
              </w:rPr>
              <w:t> </w:t>
            </w:r>
            <w:r>
              <w:rPr>
                <w:w w:val="105"/>
                <w:sz w:val="16"/>
              </w:rPr>
              <w:t>current</w:t>
            </w:r>
            <w:r>
              <w:rPr>
                <w:spacing w:val="-8"/>
                <w:w w:val="105"/>
                <w:sz w:val="16"/>
              </w:rPr>
              <w:t> </w:t>
            </w:r>
            <w:r>
              <w:rPr>
                <w:w w:val="105"/>
                <w:sz w:val="16"/>
              </w:rPr>
              <w:t>assets</w:t>
            </w:r>
            <w:r>
              <w:rPr>
                <w:spacing w:val="-8"/>
                <w:w w:val="105"/>
                <w:sz w:val="16"/>
              </w:rPr>
              <w:t> </w:t>
            </w:r>
            <w:r>
              <w:rPr>
                <w:w w:val="105"/>
                <w:sz w:val="16"/>
              </w:rPr>
              <w:t>(Note</w:t>
            </w:r>
            <w:r>
              <w:rPr>
                <w:spacing w:val="-9"/>
                <w:w w:val="105"/>
                <w:sz w:val="16"/>
              </w:rPr>
              <w:t> </w:t>
            </w:r>
            <w:r>
              <w:rPr>
                <w:w w:val="105"/>
                <w:sz w:val="16"/>
              </w:rPr>
              <w:t>11</w:t>
            </w:r>
            <w:r>
              <w:rPr>
                <w:spacing w:val="-6"/>
                <w:w w:val="105"/>
                <w:sz w:val="16"/>
              </w:rPr>
              <w:t> </w:t>
            </w:r>
            <w:r>
              <w:rPr>
                <w:w w:val="105"/>
                <w:sz w:val="16"/>
              </w:rPr>
              <w:t>and</w:t>
            </w:r>
            <w:r>
              <w:rPr>
                <w:spacing w:val="-8"/>
                <w:w w:val="105"/>
                <w:sz w:val="16"/>
              </w:rPr>
              <w:t> </w:t>
            </w:r>
            <w:r>
              <w:rPr>
                <w:spacing w:val="-5"/>
                <w:w w:val="105"/>
                <w:sz w:val="16"/>
              </w:rPr>
              <w:t>15)</w:t>
            </w:r>
          </w:p>
        </w:tc>
        <w:tc>
          <w:tcPr>
            <w:tcW w:w="973" w:type="dxa"/>
            <w:tcBorders>
              <w:bottom w:val="single" w:sz="6" w:space="0" w:color="000000"/>
            </w:tcBorders>
            <w:shd w:val="clear" w:color="auto" w:fill="CCEDFF"/>
          </w:tcPr>
          <w:p>
            <w:pPr>
              <w:pStyle w:val="TableParagraph"/>
              <w:rPr>
                <w:sz w:val="14"/>
              </w:rPr>
            </w:pPr>
          </w:p>
        </w:tc>
        <w:tc>
          <w:tcPr>
            <w:tcW w:w="632" w:type="dxa"/>
            <w:tcBorders>
              <w:bottom w:val="single" w:sz="6" w:space="0" w:color="000000"/>
            </w:tcBorders>
            <w:shd w:val="clear" w:color="auto" w:fill="CCEDFF"/>
          </w:tcPr>
          <w:p>
            <w:pPr>
              <w:pStyle w:val="TableParagraph"/>
              <w:spacing w:line="179" w:lineRule="exact" w:before="3"/>
              <w:ind w:right="112"/>
              <w:jc w:val="right"/>
              <w:rPr>
                <w:b/>
                <w:sz w:val="16"/>
              </w:rPr>
            </w:pPr>
            <w:r>
              <w:rPr>
                <w:b/>
                <w:spacing w:val="-4"/>
                <w:w w:val="105"/>
                <w:sz w:val="16"/>
              </w:rPr>
              <w:t>1,026</w:t>
            </w:r>
          </w:p>
        </w:tc>
        <w:tc>
          <w:tcPr>
            <w:tcW w:w="673" w:type="dxa"/>
            <w:tcBorders>
              <w:bottom w:val="single" w:sz="6" w:space="0" w:color="000000"/>
            </w:tcBorders>
            <w:shd w:val="clear" w:color="auto" w:fill="CCEDFF"/>
          </w:tcPr>
          <w:p>
            <w:pPr>
              <w:pStyle w:val="TableParagraph"/>
              <w:rPr>
                <w:sz w:val="14"/>
              </w:rPr>
            </w:pPr>
          </w:p>
        </w:tc>
        <w:tc>
          <w:tcPr>
            <w:tcW w:w="1046" w:type="dxa"/>
            <w:tcBorders>
              <w:bottom w:val="single" w:sz="6" w:space="0" w:color="000000"/>
            </w:tcBorders>
            <w:shd w:val="clear" w:color="auto" w:fill="CCEDFF"/>
          </w:tcPr>
          <w:p>
            <w:pPr>
              <w:pStyle w:val="TableParagraph"/>
              <w:spacing w:line="179" w:lineRule="exact" w:before="3"/>
              <w:ind w:right="112"/>
              <w:jc w:val="right"/>
              <w:rPr>
                <w:sz w:val="16"/>
              </w:rPr>
            </w:pPr>
            <w:r>
              <w:rPr>
                <w:spacing w:val="-5"/>
                <w:w w:val="105"/>
                <w:sz w:val="16"/>
              </w:rPr>
              <w:t>761</w:t>
            </w:r>
          </w:p>
        </w:tc>
      </w:tr>
      <w:tr>
        <w:trPr>
          <w:trHeight w:val="202" w:hRule="atLeast"/>
        </w:trPr>
        <w:tc>
          <w:tcPr>
            <w:tcW w:w="8191" w:type="dxa"/>
          </w:tcPr>
          <w:p>
            <w:pPr>
              <w:pStyle w:val="TableParagraph"/>
              <w:spacing w:line="180" w:lineRule="exact" w:before="2"/>
              <w:ind w:left="458"/>
              <w:rPr>
                <w:sz w:val="16"/>
              </w:rPr>
            </w:pPr>
            <w:r>
              <w:rPr>
                <w:w w:val="105"/>
                <w:sz w:val="16"/>
              </w:rPr>
              <w:t>Total</w:t>
            </w:r>
            <w:r>
              <w:rPr>
                <w:spacing w:val="-9"/>
                <w:w w:val="105"/>
                <w:sz w:val="16"/>
              </w:rPr>
              <w:t> </w:t>
            </w:r>
            <w:r>
              <w:rPr>
                <w:w w:val="105"/>
                <w:sz w:val="16"/>
              </w:rPr>
              <w:t>current</w:t>
            </w:r>
            <w:r>
              <w:rPr>
                <w:spacing w:val="-9"/>
                <w:w w:val="105"/>
                <w:sz w:val="16"/>
              </w:rPr>
              <w:t> </w:t>
            </w:r>
            <w:r>
              <w:rPr>
                <w:spacing w:val="-2"/>
                <w:w w:val="105"/>
                <w:sz w:val="16"/>
              </w:rPr>
              <w:t>assets</w:t>
            </w:r>
          </w:p>
        </w:tc>
        <w:tc>
          <w:tcPr>
            <w:tcW w:w="973" w:type="dxa"/>
            <w:tcBorders>
              <w:top w:val="single" w:sz="6" w:space="0" w:color="000000"/>
            </w:tcBorders>
          </w:tcPr>
          <w:p>
            <w:pPr>
              <w:pStyle w:val="TableParagraph"/>
              <w:rPr>
                <w:sz w:val="14"/>
              </w:rPr>
            </w:pPr>
          </w:p>
        </w:tc>
        <w:tc>
          <w:tcPr>
            <w:tcW w:w="632" w:type="dxa"/>
            <w:tcBorders>
              <w:top w:val="single" w:sz="6" w:space="0" w:color="000000"/>
            </w:tcBorders>
          </w:tcPr>
          <w:p>
            <w:pPr>
              <w:pStyle w:val="TableParagraph"/>
              <w:spacing w:line="180" w:lineRule="exact" w:before="2"/>
              <w:ind w:right="112"/>
              <w:jc w:val="right"/>
              <w:rPr>
                <w:b/>
                <w:sz w:val="16"/>
              </w:rPr>
            </w:pPr>
            <w:r>
              <w:rPr>
                <w:b/>
                <w:spacing w:val="-4"/>
                <w:w w:val="105"/>
                <w:sz w:val="16"/>
              </w:rPr>
              <w:t>7,659</w:t>
            </w:r>
          </w:p>
        </w:tc>
        <w:tc>
          <w:tcPr>
            <w:tcW w:w="673" w:type="dxa"/>
            <w:tcBorders>
              <w:top w:val="single" w:sz="6" w:space="0" w:color="000000"/>
            </w:tcBorders>
          </w:tcPr>
          <w:p>
            <w:pPr>
              <w:pStyle w:val="TableParagraph"/>
              <w:rPr>
                <w:sz w:val="14"/>
              </w:rPr>
            </w:pPr>
          </w:p>
        </w:tc>
        <w:tc>
          <w:tcPr>
            <w:tcW w:w="1046" w:type="dxa"/>
            <w:tcBorders>
              <w:top w:val="single" w:sz="6" w:space="0" w:color="000000"/>
            </w:tcBorders>
          </w:tcPr>
          <w:p>
            <w:pPr>
              <w:pStyle w:val="TableParagraph"/>
              <w:spacing w:line="180" w:lineRule="exact" w:before="2"/>
              <w:ind w:right="112"/>
              <w:jc w:val="right"/>
              <w:rPr>
                <w:sz w:val="16"/>
              </w:rPr>
            </w:pPr>
            <w:r>
              <w:rPr>
                <w:spacing w:val="-4"/>
                <w:w w:val="105"/>
                <w:sz w:val="16"/>
              </w:rPr>
              <w:t>8,004</w:t>
            </w:r>
          </w:p>
        </w:tc>
      </w:tr>
      <w:tr>
        <w:trPr>
          <w:trHeight w:val="203" w:hRule="atLeast"/>
        </w:trPr>
        <w:tc>
          <w:tcPr>
            <w:tcW w:w="8191" w:type="dxa"/>
            <w:shd w:val="clear" w:color="auto" w:fill="CCEDFF"/>
          </w:tcPr>
          <w:p>
            <w:pPr>
              <w:pStyle w:val="TableParagraph"/>
              <w:rPr>
                <w:sz w:val="14"/>
              </w:rPr>
            </w:pPr>
          </w:p>
        </w:tc>
        <w:tc>
          <w:tcPr>
            <w:tcW w:w="973" w:type="dxa"/>
            <w:shd w:val="clear" w:color="auto" w:fill="CCEDFF"/>
          </w:tcPr>
          <w:p>
            <w:pPr>
              <w:pStyle w:val="TableParagraph"/>
              <w:rPr>
                <w:sz w:val="14"/>
              </w:rPr>
            </w:pPr>
          </w:p>
        </w:tc>
        <w:tc>
          <w:tcPr>
            <w:tcW w:w="632" w:type="dxa"/>
            <w:shd w:val="clear" w:color="auto" w:fill="CCEDFF"/>
          </w:tcPr>
          <w:p>
            <w:pPr>
              <w:pStyle w:val="TableParagraph"/>
              <w:rPr>
                <w:sz w:val="14"/>
              </w:rPr>
            </w:pPr>
          </w:p>
        </w:tc>
        <w:tc>
          <w:tcPr>
            <w:tcW w:w="673" w:type="dxa"/>
            <w:shd w:val="clear" w:color="auto" w:fill="CCEDFF"/>
          </w:tcPr>
          <w:p>
            <w:pPr>
              <w:pStyle w:val="TableParagraph"/>
              <w:rPr>
                <w:sz w:val="14"/>
              </w:rPr>
            </w:pPr>
          </w:p>
        </w:tc>
        <w:tc>
          <w:tcPr>
            <w:tcW w:w="1046" w:type="dxa"/>
            <w:shd w:val="clear" w:color="auto" w:fill="CCEDFF"/>
          </w:tcPr>
          <w:p>
            <w:pPr>
              <w:pStyle w:val="TableParagraph"/>
              <w:rPr>
                <w:sz w:val="14"/>
              </w:rPr>
            </w:pPr>
          </w:p>
        </w:tc>
      </w:tr>
      <w:tr>
        <w:trPr>
          <w:trHeight w:val="203" w:hRule="atLeast"/>
        </w:trPr>
        <w:tc>
          <w:tcPr>
            <w:tcW w:w="8191" w:type="dxa"/>
          </w:tcPr>
          <w:p>
            <w:pPr>
              <w:pStyle w:val="TableParagraph"/>
              <w:spacing w:line="180" w:lineRule="exact" w:before="3"/>
              <w:rPr>
                <w:sz w:val="16"/>
              </w:rPr>
            </w:pPr>
            <w:r>
              <w:rPr>
                <w:w w:val="105"/>
                <w:sz w:val="16"/>
              </w:rPr>
              <w:t>Property,</w:t>
            </w:r>
            <w:r>
              <w:rPr>
                <w:spacing w:val="-10"/>
                <w:w w:val="105"/>
                <w:sz w:val="16"/>
              </w:rPr>
              <w:t> </w:t>
            </w:r>
            <w:r>
              <w:rPr>
                <w:w w:val="105"/>
                <w:sz w:val="16"/>
              </w:rPr>
              <w:t>plant</w:t>
            </w:r>
            <w:r>
              <w:rPr>
                <w:spacing w:val="-9"/>
                <w:w w:val="105"/>
                <w:sz w:val="16"/>
              </w:rPr>
              <w:t> </w:t>
            </w:r>
            <w:r>
              <w:rPr>
                <w:w w:val="105"/>
                <w:sz w:val="16"/>
              </w:rPr>
              <w:t>and</w:t>
            </w:r>
            <w:r>
              <w:rPr>
                <w:spacing w:val="-10"/>
                <w:w w:val="105"/>
                <w:sz w:val="16"/>
              </w:rPr>
              <w:t> </w:t>
            </w:r>
            <w:r>
              <w:rPr>
                <w:w w:val="105"/>
                <w:sz w:val="16"/>
              </w:rPr>
              <w:t>equipment,</w:t>
            </w:r>
            <w:r>
              <w:rPr>
                <w:spacing w:val="-9"/>
                <w:w w:val="105"/>
                <w:sz w:val="16"/>
              </w:rPr>
              <w:t> </w:t>
            </w:r>
            <w:r>
              <w:rPr>
                <w:w w:val="105"/>
                <w:sz w:val="16"/>
              </w:rPr>
              <w:t>net</w:t>
            </w:r>
            <w:r>
              <w:rPr>
                <w:spacing w:val="-10"/>
                <w:w w:val="105"/>
                <w:sz w:val="16"/>
              </w:rPr>
              <w:t> </w:t>
            </w:r>
            <w:r>
              <w:rPr>
                <w:w w:val="105"/>
                <w:sz w:val="16"/>
              </w:rPr>
              <w:t>of</w:t>
            </w:r>
            <w:r>
              <w:rPr>
                <w:spacing w:val="-9"/>
                <w:w w:val="105"/>
                <w:sz w:val="16"/>
              </w:rPr>
              <w:t> </w:t>
            </w:r>
            <w:r>
              <w:rPr>
                <w:w w:val="105"/>
                <w:sz w:val="16"/>
              </w:rPr>
              <w:t>accumulated</w:t>
            </w:r>
            <w:r>
              <w:rPr>
                <w:spacing w:val="-9"/>
                <w:w w:val="105"/>
                <w:sz w:val="16"/>
              </w:rPr>
              <w:t> </w:t>
            </w:r>
            <w:r>
              <w:rPr>
                <w:w w:val="105"/>
                <w:sz w:val="16"/>
              </w:rPr>
              <w:t>depreciation</w:t>
            </w:r>
            <w:r>
              <w:rPr>
                <w:spacing w:val="-10"/>
                <w:w w:val="105"/>
                <w:sz w:val="16"/>
              </w:rPr>
              <w:t> </w:t>
            </w:r>
            <w:r>
              <w:rPr>
                <w:w w:val="105"/>
                <w:sz w:val="16"/>
              </w:rPr>
              <w:t>-</w:t>
            </w:r>
            <w:r>
              <w:rPr>
                <w:spacing w:val="-8"/>
                <w:w w:val="105"/>
                <w:sz w:val="16"/>
              </w:rPr>
              <w:t> </w:t>
            </w:r>
            <w:r>
              <w:rPr>
                <w:w w:val="105"/>
                <w:sz w:val="16"/>
              </w:rPr>
              <w:t>$13,969</w:t>
            </w:r>
            <w:r>
              <w:rPr>
                <w:spacing w:val="-10"/>
                <w:w w:val="105"/>
                <w:sz w:val="16"/>
              </w:rPr>
              <w:t> </w:t>
            </w:r>
            <w:r>
              <w:rPr>
                <w:w w:val="105"/>
                <w:sz w:val="16"/>
              </w:rPr>
              <w:t>and</w:t>
            </w:r>
            <w:r>
              <w:rPr>
                <w:spacing w:val="-9"/>
                <w:w w:val="105"/>
                <w:sz w:val="16"/>
              </w:rPr>
              <w:t> </w:t>
            </w:r>
            <w:r>
              <w:rPr>
                <w:w w:val="105"/>
                <w:sz w:val="16"/>
              </w:rPr>
              <w:t>$13,663</w:t>
            </w:r>
            <w:r>
              <w:rPr>
                <w:spacing w:val="-10"/>
                <w:w w:val="105"/>
                <w:sz w:val="16"/>
              </w:rPr>
              <w:t> </w:t>
            </w:r>
            <w:r>
              <w:rPr>
                <w:w w:val="105"/>
                <w:sz w:val="16"/>
              </w:rPr>
              <w:t>(Note</w:t>
            </w:r>
            <w:r>
              <w:rPr>
                <w:spacing w:val="-9"/>
                <w:w w:val="105"/>
                <w:sz w:val="16"/>
              </w:rPr>
              <w:t> </w:t>
            </w:r>
            <w:r>
              <w:rPr>
                <w:spacing w:val="-5"/>
                <w:w w:val="105"/>
                <w:sz w:val="16"/>
              </w:rPr>
              <w:t>9)</w:t>
            </w:r>
          </w:p>
        </w:tc>
        <w:tc>
          <w:tcPr>
            <w:tcW w:w="973" w:type="dxa"/>
          </w:tcPr>
          <w:p>
            <w:pPr>
              <w:pStyle w:val="TableParagraph"/>
              <w:rPr>
                <w:sz w:val="14"/>
              </w:rPr>
            </w:pPr>
          </w:p>
        </w:tc>
        <w:tc>
          <w:tcPr>
            <w:tcW w:w="632" w:type="dxa"/>
          </w:tcPr>
          <w:p>
            <w:pPr>
              <w:pStyle w:val="TableParagraph"/>
              <w:spacing w:line="180" w:lineRule="exact" w:before="3"/>
              <w:ind w:right="112"/>
              <w:jc w:val="right"/>
              <w:rPr>
                <w:b/>
                <w:sz w:val="16"/>
              </w:rPr>
            </w:pPr>
            <w:r>
              <w:rPr>
                <w:b/>
                <w:spacing w:val="-2"/>
                <w:w w:val="105"/>
                <w:sz w:val="16"/>
              </w:rPr>
              <w:t>15,804</w:t>
            </w:r>
          </w:p>
        </w:tc>
        <w:tc>
          <w:tcPr>
            <w:tcW w:w="673" w:type="dxa"/>
          </w:tcPr>
          <w:p>
            <w:pPr>
              <w:pStyle w:val="TableParagraph"/>
              <w:rPr>
                <w:sz w:val="14"/>
              </w:rPr>
            </w:pPr>
          </w:p>
        </w:tc>
        <w:tc>
          <w:tcPr>
            <w:tcW w:w="1046" w:type="dxa"/>
          </w:tcPr>
          <w:p>
            <w:pPr>
              <w:pStyle w:val="TableParagraph"/>
              <w:spacing w:line="180" w:lineRule="exact" w:before="3"/>
              <w:ind w:right="112"/>
              <w:jc w:val="right"/>
              <w:rPr>
                <w:sz w:val="16"/>
              </w:rPr>
            </w:pPr>
            <w:r>
              <w:rPr>
                <w:spacing w:val="-2"/>
                <w:w w:val="105"/>
                <w:sz w:val="16"/>
              </w:rPr>
              <w:t>15,742</w:t>
            </w:r>
          </w:p>
        </w:tc>
      </w:tr>
      <w:tr>
        <w:trPr>
          <w:trHeight w:val="203" w:hRule="atLeast"/>
        </w:trPr>
        <w:tc>
          <w:tcPr>
            <w:tcW w:w="8191" w:type="dxa"/>
            <w:shd w:val="clear" w:color="auto" w:fill="CCEDFF"/>
          </w:tcPr>
          <w:p>
            <w:pPr>
              <w:pStyle w:val="TableParagraph"/>
              <w:spacing w:line="180" w:lineRule="exact" w:before="3"/>
              <w:rPr>
                <w:sz w:val="16"/>
              </w:rPr>
            </w:pPr>
            <w:r>
              <w:rPr>
                <w:w w:val="105"/>
                <w:sz w:val="16"/>
              </w:rPr>
              <w:t>Goodwill,</w:t>
            </w:r>
            <w:r>
              <w:rPr>
                <w:spacing w:val="-10"/>
                <w:w w:val="105"/>
                <w:sz w:val="16"/>
              </w:rPr>
              <w:t> </w:t>
            </w:r>
            <w:r>
              <w:rPr>
                <w:w w:val="105"/>
                <w:sz w:val="16"/>
              </w:rPr>
              <w:t>net</w:t>
            </w:r>
            <w:r>
              <w:rPr>
                <w:spacing w:val="-9"/>
                <w:w w:val="105"/>
                <w:sz w:val="16"/>
              </w:rPr>
              <w:t> </w:t>
            </w:r>
            <w:r>
              <w:rPr>
                <w:w w:val="105"/>
                <w:sz w:val="16"/>
              </w:rPr>
              <w:t>(Note</w:t>
            </w:r>
            <w:r>
              <w:rPr>
                <w:spacing w:val="-9"/>
                <w:w w:val="105"/>
                <w:sz w:val="16"/>
              </w:rPr>
              <w:t> </w:t>
            </w:r>
            <w:r>
              <w:rPr>
                <w:spacing w:val="-5"/>
                <w:w w:val="105"/>
                <w:sz w:val="16"/>
              </w:rPr>
              <w:t>10)</w:t>
            </w:r>
          </w:p>
        </w:tc>
        <w:tc>
          <w:tcPr>
            <w:tcW w:w="973" w:type="dxa"/>
            <w:shd w:val="clear" w:color="auto" w:fill="CCEDFF"/>
          </w:tcPr>
          <w:p>
            <w:pPr>
              <w:pStyle w:val="TableParagraph"/>
              <w:rPr>
                <w:sz w:val="14"/>
              </w:rPr>
            </w:pPr>
          </w:p>
        </w:tc>
        <w:tc>
          <w:tcPr>
            <w:tcW w:w="632" w:type="dxa"/>
            <w:shd w:val="clear" w:color="auto" w:fill="CCEDFF"/>
          </w:tcPr>
          <w:p>
            <w:pPr>
              <w:pStyle w:val="TableParagraph"/>
              <w:spacing w:line="180" w:lineRule="exact" w:before="3"/>
              <w:ind w:right="112"/>
              <w:jc w:val="right"/>
              <w:rPr>
                <w:b/>
                <w:sz w:val="16"/>
              </w:rPr>
            </w:pPr>
            <w:r>
              <w:rPr>
                <w:b/>
                <w:spacing w:val="-4"/>
                <w:w w:val="105"/>
                <w:sz w:val="16"/>
              </w:rPr>
              <w:t>2,421</w:t>
            </w:r>
          </w:p>
        </w:tc>
        <w:tc>
          <w:tcPr>
            <w:tcW w:w="673" w:type="dxa"/>
            <w:shd w:val="clear" w:color="auto" w:fill="CCEDFF"/>
          </w:tcPr>
          <w:p>
            <w:pPr>
              <w:pStyle w:val="TableParagraph"/>
              <w:rPr>
                <w:sz w:val="14"/>
              </w:rPr>
            </w:pPr>
          </w:p>
        </w:tc>
        <w:tc>
          <w:tcPr>
            <w:tcW w:w="1046" w:type="dxa"/>
            <w:shd w:val="clear" w:color="auto" w:fill="CCEDFF"/>
          </w:tcPr>
          <w:p>
            <w:pPr>
              <w:pStyle w:val="TableParagraph"/>
              <w:spacing w:line="180" w:lineRule="exact" w:before="3"/>
              <w:ind w:right="112"/>
              <w:jc w:val="right"/>
              <w:rPr>
                <w:sz w:val="16"/>
              </w:rPr>
            </w:pPr>
            <w:r>
              <w:rPr>
                <w:spacing w:val="-4"/>
                <w:w w:val="105"/>
                <w:sz w:val="16"/>
              </w:rPr>
              <w:t>2,460</w:t>
            </w:r>
          </w:p>
        </w:tc>
      </w:tr>
      <w:tr>
        <w:trPr>
          <w:trHeight w:val="203" w:hRule="atLeast"/>
        </w:trPr>
        <w:tc>
          <w:tcPr>
            <w:tcW w:w="8191" w:type="dxa"/>
          </w:tcPr>
          <w:p>
            <w:pPr>
              <w:pStyle w:val="TableParagraph"/>
              <w:spacing w:line="180" w:lineRule="exact" w:before="3"/>
              <w:rPr>
                <w:sz w:val="16"/>
              </w:rPr>
            </w:pPr>
            <w:r>
              <w:rPr>
                <w:w w:val="105"/>
                <w:sz w:val="16"/>
              </w:rPr>
              <w:t>Other</w:t>
            </w:r>
            <w:r>
              <w:rPr>
                <w:spacing w:val="-9"/>
                <w:w w:val="105"/>
                <w:sz w:val="16"/>
              </w:rPr>
              <w:t> </w:t>
            </w:r>
            <w:r>
              <w:rPr>
                <w:w w:val="105"/>
                <w:sz w:val="16"/>
              </w:rPr>
              <w:t>intangible</w:t>
            </w:r>
            <w:r>
              <w:rPr>
                <w:spacing w:val="-9"/>
                <w:w w:val="105"/>
                <w:sz w:val="16"/>
              </w:rPr>
              <w:t> </w:t>
            </w:r>
            <w:r>
              <w:rPr>
                <w:w w:val="105"/>
                <w:sz w:val="16"/>
              </w:rPr>
              <w:t>assets,</w:t>
            </w:r>
            <w:r>
              <w:rPr>
                <w:spacing w:val="-8"/>
                <w:w w:val="105"/>
                <w:sz w:val="16"/>
              </w:rPr>
              <w:t> </w:t>
            </w:r>
            <w:r>
              <w:rPr>
                <w:w w:val="105"/>
                <w:sz w:val="16"/>
              </w:rPr>
              <w:t>net</w:t>
            </w:r>
            <w:r>
              <w:rPr>
                <w:spacing w:val="-9"/>
                <w:w w:val="105"/>
                <w:sz w:val="16"/>
              </w:rPr>
              <w:t> </w:t>
            </w:r>
            <w:r>
              <w:rPr>
                <w:w w:val="105"/>
                <w:sz w:val="16"/>
              </w:rPr>
              <w:t>(Note</w:t>
            </w:r>
            <w:r>
              <w:rPr>
                <w:spacing w:val="-8"/>
                <w:w w:val="105"/>
                <w:sz w:val="16"/>
              </w:rPr>
              <w:t> </w:t>
            </w:r>
            <w:r>
              <w:rPr>
                <w:spacing w:val="-5"/>
                <w:w w:val="105"/>
                <w:sz w:val="16"/>
              </w:rPr>
              <w:t>10)</w:t>
            </w:r>
          </w:p>
        </w:tc>
        <w:tc>
          <w:tcPr>
            <w:tcW w:w="973" w:type="dxa"/>
          </w:tcPr>
          <w:p>
            <w:pPr>
              <w:pStyle w:val="TableParagraph"/>
              <w:rPr>
                <w:sz w:val="14"/>
              </w:rPr>
            </w:pPr>
          </w:p>
        </w:tc>
        <w:tc>
          <w:tcPr>
            <w:tcW w:w="632" w:type="dxa"/>
          </w:tcPr>
          <w:p>
            <w:pPr>
              <w:pStyle w:val="TableParagraph"/>
              <w:spacing w:line="180" w:lineRule="exact" w:before="3"/>
              <w:ind w:right="112"/>
              <w:jc w:val="right"/>
              <w:rPr>
                <w:b/>
                <w:sz w:val="16"/>
              </w:rPr>
            </w:pPr>
            <w:r>
              <w:rPr>
                <w:b/>
                <w:spacing w:val="-4"/>
                <w:w w:val="105"/>
                <w:sz w:val="16"/>
              </w:rPr>
              <w:t>1,148</w:t>
            </w:r>
          </w:p>
        </w:tc>
        <w:tc>
          <w:tcPr>
            <w:tcW w:w="673" w:type="dxa"/>
          </w:tcPr>
          <w:p>
            <w:pPr>
              <w:pStyle w:val="TableParagraph"/>
              <w:rPr>
                <w:sz w:val="14"/>
              </w:rPr>
            </w:pPr>
          </w:p>
        </w:tc>
        <w:tc>
          <w:tcPr>
            <w:tcW w:w="1046" w:type="dxa"/>
          </w:tcPr>
          <w:p>
            <w:pPr>
              <w:pStyle w:val="TableParagraph"/>
              <w:spacing w:line="180" w:lineRule="exact" w:before="3"/>
              <w:ind w:right="112"/>
              <w:jc w:val="right"/>
              <w:rPr>
                <w:sz w:val="16"/>
              </w:rPr>
            </w:pPr>
            <w:r>
              <w:rPr>
                <w:spacing w:val="-4"/>
                <w:w w:val="105"/>
                <w:sz w:val="16"/>
              </w:rPr>
              <w:t>1,308</w:t>
            </w:r>
          </w:p>
        </w:tc>
      </w:tr>
      <w:tr>
        <w:trPr>
          <w:trHeight w:val="203" w:hRule="atLeast"/>
        </w:trPr>
        <w:tc>
          <w:tcPr>
            <w:tcW w:w="8191" w:type="dxa"/>
            <w:shd w:val="clear" w:color="auto" w:fill="CCEDFF"/>
          </w:tcPr>
          <w:p>
            <w:pPr>
              <w:pStyle w:val="TableParagraph"/>
              <w:spacing w:line="180" w:lineRule="exact" w:before="3"/>
              <w:rPr>
                <w:sz w:val="16"/>
              </w:rPr>
            </w:pPr>
            <w:r>
              <w:rPr>
                <w:w w:val="105"/>
                <w:sz w:val="16"/>
              </w:rPr>
              <w:t>Deferred</w:t>
            </w:r>
            <w:r>
              <w:rPr>
                <w:spacing w:val="-11"/>
                <w:w w:val="105"/>
                <w:sz w:val="16"/>
              </w:rPr>
              <w:t> </w:t>
            </w:r>
            <w:r>
              <w:rPr>
                <w:w w:val="105"/>
                <w:sz w:val="16"/>
              </w:rPr>
              <w:t>income</w:t>
            </w:r>
            <w:r>
              <w:rPr>
                <w:spacing w:val="-10"/>
                <w:w w:val="105"/>
                <w:sz w:val="16"/>
              </w:rPr>
              <w:t> </w:t>
            </w:r>
            <w:r>
              <w:rPr>
                <w:w w:val="105"/>
                <w:sz w:val="16"/>
              </w:rPr>
              <w:t>taxes</w:t>
            </w:r>
            <w:r>
              <w:rPr>
                <w:spacing w:val="-10"/>
                <w:w w:val="105"/>
                <w:sz w:val="16"/>
              </w:rPr>
              <w:t> </w:t>
            </w:r>
            <w:r>
              <w:rPr>
                <w:w w:val="105"/>
                <w:sz w:val="16"/>
              </w:rPr>
              <w:t>(Note</w:t>
            </w:r>
            <w:r>
              <w:rPr>
                <w:spacing w:val="-10"/>
                <w:w w:val="105"/>
                <w:sz w:val="16"/>
              </w:rPr>
              <w:t> </w:t>
            </w:r>
            <w:r>
              <w:rPr>
                <w:spacing w:val="-5"/>
                <w:w w:val="105"/>
                <w:sz w:val="16"/>
              </w:rPr>
              <w:t>8)</w:t>
            </w:r>
          </w:p>
        </w:tc>
        <w:tc>
          <w:tcPr>
            <w:tcW w:w="973" w:type="dxa"/>
            <w:shd w:val="clear" w:color="auto" w:fill="CCEDFF"/>
          </w:tcPr>
          <w:p>
            <w:pPr>
              <w:pStyle w:val="TableParagraph"/>
              <w:rPr>
                <w:sz w:val="14"/>
              </w:rPr>
            </w:pPr>
          </w:p>
        </w:tc>
        <w:tc>
          <w:tcPr>
            <w:tcW w:w="632" w:type="dxa"/>
            <w:shd w:val="clear" w:color="auto" w:fill="CCEDFF"/>
          </w:tcPr>
          <w:p>
            <w:pPr>
              <w:pStyle w:val="TableParagraph"/>
              <w:spacing w:line="180" w:lineRule="exact" w:before="3"/>
              <w:ind w:right="112"/>
              <w:jc w:val="right"/>
              <w:rPr>
                <w:b/>
                <w:sz w:val="16"/>
              </w:rPr>
            </w:pPr>
            <w:r>
              <w:rPr>
                <w:b/>
                <w:spacing w:val="-4"/>
                <w:w w:val="105"/>
                <w:sz w:val="16"/>
              </w:rPr>
              <w:t>1,066</w:t>
            </w:r>
          </w:p>
        </w:tc>
        <w:tc>
          <w:tcPr>
            <w:tcW w:w="673" w:type="dxa"/>
            <w:shd w:val="clear" w:color="auto" w:fill="CCEDFF"/>
          </w:tcPr>
          <w:p>
            <w:pPr>
              <w:pStyle w:val="TableParagraph"/>
              <w:rPr>
                <w:sz w:val="14"/>
              </w:rPr>
            </w:pPr>
          </w:p>
        </w:tc>
        <w:tc>
          <w:tcPr>
            <w:tcW w:w="1046" w:type="dxa"/>
            <w:shd w:val="clear" w:color="auto" w:fill="CCEDFF"/>
          </w:tcPr>
          <w:p>
            <w:pPr>
              <w:pStyle w:val="TableParagraph"/>
              <w:spacing w:line="180" w:lineRule="exact" w:before="3"/>
              <w:ind w:right="112"/>
              <w:jc w:val="right"/>
              <w:rPr>
                <w:sz w:val="16"/>
              </w:rPr>
            </w:pPr>
            <w:r>
              <w:rPr>
                <w:spacing w:val="-4"/>
                <w:w w:val="105"/>
                <w:sz w:val="16"/>
              </w:rPr>
              <w:t>1,121</w:t>
            </w:r>
          </w:p>
        </w:tc>
      </w:tr>
      <w:tr>
        <w:trPr>
          <w:trHeight w:val="202" w:hRule="atLeast"/>
        </w:trPr>
        <w:tc>
          <w:tcPr>
            <w:tcW w:w="8191" w:type="dxa"/>
          </w:tcPr>
          <w:p>
            <w:pPr>
              <w:pStyle w:val="TableParagraph"/>
              <w:spacing w:line="166" w:lineRule="exact" w:before="16"/>
              <w:rPr>
                <w:sz w:val="16"/>
              </w:rPr>
            </w:pPr>
            <w:r>
              <w:rPr>
                <w:w w:val="105"/>
                <w:sz w:val="16"/>
              </w:rPr>
              <w:t>Other</w:t>
            </w:r>
            <w:r>
              <w:rPr>
                <w:spacing w:val="-8"/>
                <w:w w:val="105"/>
                <w:sz w:val="16"/>
              </w:rPr>
              <w:t> </w:t>
            </w:r>
            <w:r>
              <w:rPr>
                <w:w w:val="105"/>
                <w:sz w:val="16"/>
              </w:rPr>
              <w:t>assets</w:t>
            </w:r>
            <w:r>
              <w:rPr>
                <w:spacing w:val="-8"/>
                <w:w w:val="105"/>
                <w:sz w:val="16"/>
              </w:rPr>
              <w:t> </w:t>
            </w:r>
            <w:r>
              <w:rPr>
                <w:w w:val="105"/>
                <w:sz w:val="16"/>
              </w:rPr>
              <w:t>(Note</w:t>
            </w:r>
            <w:r>
              <w:rPr>
                <w:spacing w:val="-8"/>
                <w:w w:val="105"/>
                <w:sz w:val="16"/>
              </w:rPr>
              <w:t> </w:t>
            </w:r>
            <w:r>
              <w:rPr>
                <w:w w:val="105"/>
                <w:sz w:val="16"/>
              </w:rPr>
              <w:t>11</w:t>
            </w:r>
            <w:r>
              <w:rPr>
                <w:spacing w:val="-8"/>
                <w:w w:val="105"/>
                <w:sz w:val="16"/>
              </w:rPr>
              <w:t> </w:t>
            </w:r>
            <w:r>
              <w:rPr>
                <w:w w:val="105"/>
                <w:sz w:val="16"/>
              </w:rPr>
              <w:t>and</w:t>
            </w:r>
            <w:r>
              <w:rPr>
                <w:spacing w:val="-8"/>
                <w:w w:val="105"/>
                <w:sz w:val="16"/>
              </w:rPr>
              <w:t> </w:t>
            </w:r>
            <w:r>
              <w:rPr>
                <w:spacing w:val="-5"/>
                <w:w w:val="105"/>
                <w:sz w:val="16"/>
              </w:rPr>
              <w:t>15)</w:t>
            </w:r>
          </w:p>
        </w:tc>
        <w:tc>
          <w:tcPr>
            <w:tcW w:w="973" w:type="dxa"/>
            <w:tcBorders>
              <w:bottom w:val="single" w:sz="6" w:space="0" w:color="000000"/>
            </w:tcBorders>
          </w:tcPr>
          <w:p>
            <w:pPr>
              <w:pStyle w:val="TableParagraph"/>
              <w:rPr>
                <w:sz w:val="14"/>
              </w:rPr>
            </w:pPr>
          </w:p>
        </w:tc>
        <w:tc>
          <w:tcPr>
            <w:tcW w:w="632" w:type="dxa"/>
            <w:tcBorders>
              <w:bottom w:val="single" w:sz="6" w:space="0" w:color="000000"/>
            </w:tcBorders>
          </w:tcPr>
          <w:p>
            <w:pPr>
              <w:pStyle w:val="TableParagraph"/>
              <w:spacing w:line="179" w:lineRule="exact" w:before="3"/>
              <w:ind w:right="112"/>
              <w:jc w:val="right"/>
              <w:rPr>
                <w:b/>
                <w:sz w:val="16"/>
              </w:rPr>
            </w:pPr>
            <w:r>
              <w:rPr>
                <w:b/>
                <w:spacing w:val="-4"/>
                <w:w w:val="105"/>
                <w:sz w:val="16"/>
              </w:rPr>
              <w:t>2,056</w:t>
            </w:r>
          </w:p>
        </w:tc>
        <w:tc>
          <w:tcPr>
            <w:tcW w:w="673" w:type="dxa"/>
            <w:tcBorders>
              <w:bottom w:val="single" w:sz="6" w:space="0" w:color="000000"/>
            </w:tcBorders>
          </w:tcPr>
          <w:p>
            <w:pPr>
              <w:pStyle w:val="TableParagraph"/>
              <w:rPr>
                <w:sz w:val="14"/>
              </w:rPr>
            </w:pPr>
          </w:p>
        </w:tc>
        <w:tc>
          <w:tcPr>
            <w:tcW w:w="1046" w:type="dxa"/>
            <w:tcBorders>
              <w:bottom w:val="single" w:sz="6" w:space="0" w:color="000000"/>
            </w:tcBorders>
          </w:tcPr>
          <w:p>
            <w:pPr>
              <w:pStyle w:val="TableParagraph"/>
              <w:spacing w:line="179" w:lineRule="exact" w:before="3"/>
              <w:ind w:right="112"/>
              <w:jc w:val="right"/>
              <w:rPr>
                <w:sz w:val="16"/>
              </w:rPr>
            </w:pPr>
            <w:r>
              <w:rPr>
                <w:spacing w:val="-4"/>
                <w:w w:val="105"/>
                <w:sz w:val="16"/>
              </w:rPr>
              <w:t>2,140</w:t>
            </w:r>
          </w:p>
        </w:tc>
      </w:tr>
      <w:tr>
        <w:trPr>
          <w:trHeight w:val="202" w:hRule="atLeast"/>
        </w:trPr>
        <w:tc>
          <w:tcPr>
            <w:tcW w:w="8191" w:type="dxa"/>
            <w:shd w:val="clear" w:color="auto" w:fill="CCEDFF"/>
          </w:tcPr>
          <w:p>
            <w:pPr>
              <w:pStyle w:val="TableParagraph"/>
              <w:rPr>
                <w:sz w:val="14"/>
              </w:rPr>
            </w:pPr>
          </w:p>
        </w:tc>
        <w:tc>
          <w:tcPr>
            <w:tcW w:w="973" w:type="dxa"/>
            <w:tcBorders>
              <w:top w:val="single" w:sz="6" w:space="0" w:color="000000"/>
            </w:tcBorders>
            <w:shd w:val="clear" w:color="auto" w:fill="CCEDFF"/>
          </w:tcPr>
          <w:p>
            <w:pPr>
              <w:pStyle w:val="TableParagraph"/>
              <w:rPr>
                <w:sz w:val="14"/>
              </w:rPr>
            </w:pPr>
          </w:p>
        </w:tc>
        <w:tc>
          <w:tcPr>
            <w:tcW w:w="632" w:type="dxa"/>
            <w:tcBorders>
              <w:top w:val="single" w:sz="6" w:space="0" w:color="000000"/>
            </w:tcBorders>
            <w:shd w:val="clear" w:color="auto" w:fill="CCEDFF"/>
          </w:tcPr>
          <w:p>
            <w:pPr>
              <w:pStyle w:val="TableParagraph"/>
              <w:rPr>
                <w:sz w:val="14"/>
              </w:rPr>
            </w:pPr>
          </w:p>
        </w:tc>
        <w:tc>
          <w:tcPr>
            <w:tcW w:w="673" w:type="dxa"/>
            <w:tcBorders>
              <w:top w:val="single" w:sz="6" w:space="0" w:color="000000"/>
            </w:tcBorders>
            <w:shd w:val="clear" w:color="auto" w:fill="CCEDFF"/>
          </w:tcPr>
          <w:p>
            <w:pPr>
              <w:pStyle w:val="TableParagraph"/>
              <w:rPr>
                <w:sz w:val="14"/>
              </w:rPr>
            </w:pPr>
          </w:p>
        </w:tc>
        <w:tc>
          <w:tcPr>
            <w:tcW w:w="1046" w:type="dxa"/>
            <w:tcBorders>
              <w:top w:val="single" w:sz="6" w:space="0" w:color="000000"/>
            </w:tcBorders>
            <w:shd w:val="clear" w:color="auto" w:fill="CCEDFF"/>
          </w:tcPr>
          <w:p>
            <w:pPr>
              <w:pStyle w:val="TableParagraph"/>
              <w:rPr>
                <w:sz w:val="14"/>
              </w:rPr>
            </w:pPr>
          </w:p>
        </w:tc>
      </w:tr>
      <w:tr>
        <w:trPr>
          <w:trHeight w:val="200" w:hRule="atLeast"/>
        </w:trPr>
        <w:tc>
          <w:tcPr>
            <w:tcW w:w="8191" w:type="dxa"/>
          </w:tcPr>
          <w:p>
            <w:pPr>
              <w:pStyle w:val="TableParagraph"/>
              <w:spacing w:line="139" w:lineRule="exact" w:before="41"/>
              <w:rPr>
                <w:b/>
                <w:sz w:val="16"/>
              </w:rPr>
            </w:pPr>
            <w:r>
              <w:rPr>
                <w:b/>
                <w:w w:val="105"/>
                <w:sz w:val="16"/>
              </w:rPr>
              <w:t>Total</w:t>
            </w:r>
            <w:r>
              <w:rPr>
                <w:b/>
                <w:spacing w:val="-9"/>
                <w:w w:val="105"/>
                <w:sz w:val="16"/>
              </w:rPr>
              <w:t> </w:t>
            </w:r>
            <w:r>
              <w:rPr>
                <w:b/>
                <w:spacing w:val="-2"/>
                <w:w w:val="105"/>
                <w:sz w:val="16"/>
              </w:rPr>
              <w:t>Assets</w:t>
            </w:r>
          </w:p>
        </w:tc>
        <w:tc>
          <w:tcPr>
            <w:tcW w:w="973" w:type="dxa"/>
            <w:tcBorders>
              <w:bottom w:val="double" w:sz="6" w:space="0" w:color="000000"/>
            </w:tcBorders>
          </w:tcPr>
          <w:p>
            <w:pPr>
              <w:pStyle w:val="TableParagraph"/>
              <w:spacing w:line="177" w:lineRule="exact" w:before="3"/>
              <w:ind w:left="-1"/>
              <w:rPr>
                <w:b/>
                <w:sz w:val="16"/>
              </w:rPr>
            </w:pPr>
            <w:r>
              <w:rPr>
                <w:b/>
                <w:spacing w:val="-10"/>
                <w:w w:val="105"/>
                <w:sz w:val="16"/>
              </w:rPr>
              <w:t>$</w:t>
            </w:r>
          </w:p>
        </w:tc>
        <w:tc>
          <w:tcPr>
            <w:tcW w:w="632" w:type="dxa"/>
            <w:tcBorders>
              <w:bottom w:val="double" w:sz="6" w:space="0" w:color="000000"/>
            </w:tcBorders>
          </w:tcPr>
          <w:p>
            <w:pPr>
              <w:pStyle w:val="TableParagraph"/>
              <w:spacing w:line="177" w:lineRule="exact" w:before="3"/>
              <w:ind w:right="112"/>
              <w:jc w:val="right"/>
              <w:rPr>
                <w:b/>
                <w:sz w:val="16"/>
              </w:rPr>
            </w:pPr>
            <w:r>
              <w:rPr>
                <w:b/>
                <w:spacing w:val="-2"/>
                <w:w w:val="105"/>
                <w:sz w:val="16"/>
              </w:rPr>
              <w:t>30,154</w:t>
            </w:r>
          </w:p>
        </w:tc>
        <w:tc>
          <w:tcPr>
            <w:tcW w:w="673" w:type="dxa"/>
            <w:tcBorders>
              <w:bottom w:val="double" w:sz="6" w:space="0" w:color="000000"/>
            </w:tcBorders>
          </w:tcPr>
          <w:p>
            <w:pPr>
              <w:pStyle w:val="TableParagraph"/>
              <w:spacing w:line="177" w:lineRule="exact" w:before="3"/>
              <w:ind w:left="114"/>
              <w:rPr>
                <w:sz w:val="16"/>
              </w:rPr>
            </w:pPr>
            <w:r>
              <w:rPr>
                <w:spacing w:val="-10"/>
                <w:w w:val="105"/>
                <w:sz w:val="16"/>
              </w:rPr>
              <w:t>$</w:t>
            </w:r>
          </w:p>
        </w:tc>
        <w:tc>
          <w:tcPr>
            <w:tcW w:w="1046" w:type="dxa"/>
            <w:tcBorders>
              <w:bottom w:val="double" w:sz="6" w:space="0" w:color="000000"/>
            </w:tcBorders>
          </w:tcPr>
          <w:p>
            <w:pPr>
              <w:pStyle w:val="TableParagraph"/>
              <w:spacing w:line="177" w:lineRule="exact" w:before="3"/>
              <w:ind w:right="112"/>
              <w:jc w:val="right"/>
              <w:rPr>
                <w:sz w:val="16"/>
              </w:rPr>
            </w:pPr>
            <w:r>
              <w:rPr>
                <w:spacing w:val="-2"/>
                <w:w w:val="105"/>
                <w:sz w:val="16"/>
              </w:rPr>
              <w:t>30,775</w:t>
            </w:r>
          </w:p>
        </w:tc>
      </w:tr>
      <w:tr>
        <w:trPr>
          <w:trHeight w:val="200" w:hRule="atLeast"/>
        </w:trPr>
        <w:tc>
          <w:tcPr>
            <w:tcW w:w="8191" w:type="dxa"/>
            <w:shd w:val="clear" w:color="auto" w:fill="CCEDFF"/>
          </w:tcPr>
          <w:p>
            <w:pPr>
              <w:pStyle w:val="TableParagraph"/>
              <w:rPr>
                <w:sz w:val="12"/>
              </w:rPr>
            </w:pPr>
          </w:p>
        </w:tc>
        <w:tc>
          <w:tcPr>
            <w:tcW w:w="973" w:type="dxa"/>
            <w:tcBorders>
              <w:top w:val="double" w:sz="6" w:space="0" w:color="000000"/>
            </w:tcBorders>
            <w:shd w:val="clear" w:color="auto" w:fill="CCEDFF"/>
          </w:tcPr>
          <w:p>
            <w:pPr>
              <w:pStyle w:val="TableParagraph"/>
              <w:rPr>
                <w:sz w:val="12"/>
              </w:rPr>
            </w:pPr>
          </w:p>
        </w:tc>
        <w:tc>
          <w:tcPr>
            <w:tcW w:w="632" w:type="dxa"/>
            <w:tcBorders>
              <w:top w:val="double" w:sz="6" w:space="0" w:color="000000"/>
            </w:tcBorders>
            <w:shd w:val="clear" w:color="auto" w:fill="CCEDFF"/>
          </w:tcPr>
          <w:p>
            <w:pPr>
              <w:pStyle w:val="TableParagraph"/>
              <w:rPr>
                <w:sz w:val="12"/>
              </w:rPr>
            </w:pPr>
          </w:p>
        </w:tc>
        <w:tc>
          <w:tcPr>
            <w:tcW w:w="673" w:type="dxa"/>
            <w:tcBorders>
              <w:top w:val="double" w:sz="6" w:space="0" w:color="000000"/>
            </w:tcBorders>
            <w:shd w:val="clear" w:color="auto" w:fill="CCEDFF"/>
          </w:tcPr>
          <w:p>
            <w:pPr>
              <w:pStyle w:val="TableParagraph"/>
              <w:rPr>
                <w:sz w:val="12"/>
              </w:rPr>
            </w:pPr>
          </w:p>
        </w:tc>
        <w:tc>
          <w:tcPr>
            <w:tcW w:w="1046" w:type="dxa"/>
            <w:tcBorders>
              <w:top w:val="double" w:sz="6" w:space="0" w:color="000000"/>
            </w:tcBorders>
            <w:shd w:val="clear" w:color="auto" w:fill="CCEDFF"/>
          </w:tcPr>
          <w:p>
            <w:pPr>
              <w:pStyle w:val="TableParagraph"/>
              <w:rPr>
                <w:sz w:val="12"/>
              </w:rPr>
            </w:pPr>
          </w:p>
        </w:tc>
      </w:tr>
      <w:tr>
        <w:trPr>
          <w:trHeight w:val="203" w:hRule="atLeast"/>
        </w:trPr>
        <w:tc>
          <w:tcPr>
            <w:tcW w:w="8191" w:type="dxa"/>
          </w:tcPr>
          <w:p>
            <w:pPr>
              <w:pStyle w:val="TableParagraph"/>
              <w:spacing w:line="180" w:lineRule="exact" w:before="3"/>
              <w:rPr>
                <w:b/>
                <w:sz w:val="16"/>
              </w:rPr>
            </w:pPr>
            <w:r>
              <w:rPr>
                <w:b/>
                <w:sz w:val="16"/>
              </w:rPr>
              <w:t>Liabilities</w:t>
            </w:r>
            <w:r>
              <w:rPr>
                <w:b/>
                <w:spacing w:val="9"/>
                <w:sz w:val="16"/>
              </w:rPr>
              <w:t> </w:t>
            </w:r>
            <w:r>
              <w:rPr>
                <w:b/>
                <w:sz w:val="16"/>
              </w:rPr>
              <w:t>and</w:t>
            </w:r>
            <w:r>
              <w:rPr>
                <w:b/>
                <w:spacing w:val="9"/>
                <w:sz w:val="16"/>
              </w:rPr>
              <w:t> </w:t>
            </w:r>
            <w:r>
              <w:rPr>
                <w:b/>
                <w:spacing w:val="-2"/>
                <w:sz w:val="16"/>
              </w:rPr>
              <w:t>Equity</w:t>
            </w:r>
          </w:p>
        </w:tc>
        <w:tc>
          <w:tcPr>
            <w:tcW w:w="973" w:type="dxa"/>
          </w:tcPr>
          <w:p>
            <w:pPr>
              <w:pStyle w:val="TableParagraph"/>
              <w:rPr>
                <w:sz w:val="14"/>
              </w:rPr>
            </w:pPr>
          </w:p>
        </w:tc>
        <w:tc>
          <w:tcPr>
            <w:tcW w:w="632" w:type="dxa"/>
          </w:tcPr>
          <w:p>
            <w:pPr>
              <w:pStyle w:val="TableParagraph"/>
              <w:rPr>
                <w:sz w:val="14"/>
              </w:rPr>
            </w:pPr>
          </w:p>
        </w:tc>
        <w:tc>
          <w:tcPr>
            <w:tcW w:w="673" w:type="dxa"/>
          </w:tcPr>
          <w:p>
            <w:pPr>
              <w:pStyle w:val="TableParagraph"/>
              <w:rPr>
                <w:sz w:val="14"/>
              </w:rPr>
            </w:pPr>
          </w:p>
        </w:tc>
        <w:tc>
          <w:tcPr>
            <w:tcW w:w="1046" w:type="dxa"/>
          </w:tcPr>
          <w:p>
            <w:pPr>
              <w:pStyle w:val="TableParagraph"/>
              <w:rPr>
                <w:sz w:val="14"/>
              </w:rPr>
            </w:pPr>
          </w:p>
        </w:tc>
      </w:tr>
      <w:tr>
        <w:trPr>
          <w:trHeight w:val="203" w:hRule="atLeast"/>
        </w:trPr>
        <w:tc>
          <w:tcPr>
            <w:tcW w:w="8191" w:type="dxa"/>
            <w:shd w:val="clear" w:color="auto" w:fill="CCEDFF"/>
          </w:tcPr>
          <w:p>
            <w:pPr>
              <w:pStyle w:val="TableParagraph"/>
              <w:rPr>
                <w:sz w:val="14"/>
              </w:rPr>
            </w:pPr>
          </w:p>
        </w:tc>
        <w:tc>
          <w:tcPr>
            <w:tcW w:w="973" w:type="dxa"/>
            <w:shd w:val="clear" w:color="auto" w:fill="CCEDFF"/>
          </w:tcPr>
          <w:p>
            <w:pPr>
              <w:pStyle w:val="TableParagraph"/>
              <w:rPr>
                <w:sz w:val="14"/>
              </w:rPr>
            </w:pPr>
          </w:p>
        </w:tc>
        <w:tc>
          <w:tcPr>
            <w:tcW w:w="632" w:type="dxa"/>
            <w:shd w:val="clear" w:color="auto" w:fill="CCEDFF"/>
          </w:tcPr>
          <w:p>
            <w:pPr>
              <w:pStyle w:val="TableParagraph"/>
              <w:rPr>
                <w:sz w:val="14"/>
              </w:rPr>
            </w:pPr>
          </w:p>
        </w:tc>
        <w:tc>
          <w:tcPr>
            <w:tcW w:w="673" w:type="dxa"/>
            <w:shd w:val="clear" w:color="auto" w:fill="CCEDFF"/>
          </w:tcPr>
          <w:p>
            <w:pPr>
              <w:pStyle w:val="TableParagraph"/>
              <w:rPr>
                <w:sz w:val="14"/>
              </w:rPr>
            </w:pPr>
          </w:p>
        </w:tc>
        <w:tc>
          <w:tcPr>
            <w:tcW w:w="1046" w:type="dxa"/>
            <w:shd w:val="clear" w:color="auto" w:fill="CCEDFF"/>
          </w:tcPr>
          <w:p>
            <w:pPr>
              <w:pStyle w:val="TableParagraph"/>
              <w:rPr>
                <w:sz w:val="14"/>
              </w:rPr>
            </w:pPr>
          </w:p>
        </w:tc>
      </w:tr>
      <w:tr>
        <w:trPr>
          <w:trHeight w:val="203" w:hRule="atLeast"/>
        </w:trPr>
        <w:tc>
          <w:tcPr>
            <w:tcW w:w="8191" w:type="dxa"/>
          </w:tcPr>
          <w:p>
            <w:pPr>
              <w:pStyle w:val="TableParagraph"/>
              <w:spacing w:line="180" w:lineRule="exact" w:before="3"/>
              <w:rPr>
                <w:sz w:val="16"/>
              </w:rPr>
            </w:pPr>
            <w:r>
              <w:rPr>
                <w:sz w:val="16"/>
              </w:rPr>
              <w:t>Current</w:t>
            </w:r>
            <w:r>
              <w:rPr>
                <w:spacing w:val="15"/>
                <w:sz w:val="16"/>
              </w:rPr>
              <w:t> </w:t>
            </w:r>
            <w:r>
              <w:rPr>
                <w:spacing w:val="-2"/>
                <w:sz w:val="16"/>
              </w:rPr>
              <w:t>liabilities:</w:t>
            </w:r>
          </w:p>
        </w:tc>
        <w:tc>
          <w:tcPr>
            <w:tcW w:w="973" w:type="dxa"/>
          </w:tcPr>
          <w:p>
            <w:pPr>
              <w:pStyle w:val="TableParagraph"/>
              <w:rPr>
                <w:sz w:val="14"/>
              </w:rPr>
            </w:pPr>
          </w:p>
        </w:tc>
        <w:tc>
          <w:tcPr>
            <w:tcW w:w="632" w:type="dxa"/>
          </w:tcPr>
          <w:p>
            <w:pPr>
              <w:pStyle w:val="TableParagraph"/>
              <w:rPr>
                <w:sz w:val="14"/>
              </w:rPr>
            </w:pPr>
          </w:p>
        </w:tc>
        <w:tc>
          <w:tcPr>
            <w:tcW w:w="673" w:type="dxa"/>
          </w:tcPr>
          <w:p>
            <w:pPr>
              <w:pStyle w:val="TableParagraph"/>
              <w:rPr>
                <w:sz w:val="14"/>
              </w:rPr>
            </w:pPr>
          </w:p>
        </w:tc>
        <w:tc>
          <w:tcPr>
            <w:tcW w:w="1046" w:type="dxa"/>
          </w:tcPr>
          <w:p>
            <w:pPr>
              <w:pStyle w:val="TableParagraph"/>
              <w:rPr>
                <w:sz w:val="14"/>
              </w:rPr>
            </w:pPr>
          </w:p>
        </w:tc>
      </w:tr>
      <w:tr>
        <w:trPr>
          <w:trHeight w:val="203" w:hRule="atLeast"/>
        </w:trPr>
        <w:tc>
          <w:tcPr>
            <w:tcW w:w="8191" w:type="dxa"/>
            <w:shd w:val="clear" w:color="auto" w:fill="CCEDFF"/>
          </w:tcPr>
          <w:p>
            <w:pPr>
              <w:pStyle w:val="TableParagraph"/>
              <w:spacing w:line="180" w:lineRule="exact" w:before="3"/>
              <w:ind w:left="305"/>
              <w:rPr>
                <w:sz w:val="16"/>
              </w:rPr>
            </w:pPr>
            <w:r>
              <w:rPr>
                <w:w w:val="105"/>
                <w:sz w:val="16"/>
              </w:rPr>
              <w:t>Current</w:t>
            </w:r>
            <w:r>
              <w:rPr>
                <w:spacing w:val="-11"/>
                <w:w w:val="105"/>
                <w:sz w:val="16"/>
              </w:rPr>
              <w:t> </w:t>
            </w:r>
            <w:r>
              <w:rPr>
                <w:w w:val="105"/>
                <w:sz w:val="16"/>
              </w:rPr>
              <w:t>portion</w:t>
            </w:r>
            <w:r>
              <w:rPr>
                <w:spacing w:val="-10"/>
                <w:w w:val="105"/>
                <w:sz w:val="16"/>
              </w:rPr>
              <w:t> </w:t>
            </w:r>
            <w:r>
              <w:rPr>
                <w:w w:val="105"/>
                <w:sz w:val="16"/>
              </w:rPr>
              <w:t>of</w:t>
            </w:r>
            <w:r>
              <w:rPr>
                <w:spacing w:val="-11"/>
                <w:w w:val="105"/>
                <w:sz w:val="16"/>
              </w:rPr>
              <w:t> </w:t>
            </w:r>
            <w:r>
              <w:rPr>
                <w:w w:val="105"/>
                <w:sz w:val="16"/>
              </w:rPr>
              <w:t>long-term</w:t>
            </w:r>
            <w:r>
              <w:rPr>
                <w:spacing w:val="-10"/>
                <w:w w:val="105"/>
                <w:sz w:val="16"/>
              </w:rPr>
              <w:t> </w:t>
            </w:r>
            <w:r>
              <w:rPr>
                <w:w w:val="105"/>
                <w:sz w:val="16"/>
              </w:rPr>
              <w:t>debt</w:t>
            </w:r>
            <w:r>
              <w:rPr>
                <w:spacing w:val="-11"/>
                <w:w w:val="105"/>
                <w:sz w:val="16"/>
              </w:rPr>
              <w:t> </w:t>
            </w:r>
            <w:r>
              <w:rPr>
                <w:w w:val="105"/>
                <w:sz w:val="16"/>
              </w:rPr>
              <w:t>and</w:t>
            </w:r>
            <w:r>
              <w:rPr>
                <w:spacing w:val="-10"/>
                <w:w w:val="105"/>
                <w:sz w:val="16"/>
              </w:rPr>
              <w:t> </w:t>
            </w:r>
            <w:r>
              <w:rPr>
                <w:w w:val="105"/>
                <w:sz w:val="16"/>
              </w:rPr>
              <w:t>short-term</w:t>
            </w:r>
            <w:r>
              <w:rPr>
                <w:spacing w:val="-11"/>
                <w:w w:val="105"/>
                <w:sz w:val="16"/>
              </w:rPr>
              <w:t> </w:t>
            </w:r>
            <w:r>
              <w:rPr>
                <w:w w:val="105"/>
                <w:sz w:val="16"/>
              </w:rPr>
              <w:t>borrowings</w:t>
            </w:r>
            <w:r>
              <w:rPr>
                <w:spacing w:val="-10"/>
                <w:w w:val="105"/>
                <w:sz w:val="16"/>
              </w:rPr>
              <w:t> </w:t>
            </w:r>
            <w:r>
              <w:rPr>
                <w:w w:val="105"/>
                <w:sz w:val="16"/>
              </w:rPr>
              <w:t>(Note</w:t>
            </w:r>
            <w:r>
              <w:rPr>
                <w:spacing w:val="-10"/>
                <w:w w:val="105"/>
                <w:sz w:val="16"/>
              </w:rPr>
              <w:t> </w:t>
            </w:r>
            <w:r>
              <w:rPr>
                <w:spacing w:val="-5"/>
                <w:w w:val="105"/>
                <w:sz w:val="16"/>
              </w:rPr>
              <w:t>12)</w:t>
            </w:r>
          </w:p>
        </w:tc>
        <w:tc>
          <w:tcPr>
            <w:tcW w:w="973" w:type="dxa"/>
            <w:shd w:val="clear" w:color="auto" w:fill="CCEDFF"/>
          </w:tcPr>
          <w:p>
            <w:pPr>
              <w:pStyle w:val="TableParagraph"/>
              <w:spacing w:line="180" w:lineRule="exact" w:before="3"/>
              <w:ind w:left="-1"/>
              <w:rPr>
                <w:b/>
                <w:sz w:val="16"/>
              </w:rPr>
            </w:pPr>
            <w:r>
              <w:rPr>
                <w:b/>
                <w:spacing w:val="-10"/>
                <w:w w:val="105"/>
                <w:sz w:val="16"/>
              </w:rPr>
              <w:t>$</w:t>
            </w:r>
          </w:p>
        </w:tc>
        <w:tc>
          <w:tcPr>
            <w:tcW w:w="632" w:type="dxa"/>
            <w:shd w:val="clear" w:color="auto" w:fill="CCEDFF"/>
          </w:tcPr>
          <w:p>
            <w:pPr>
              <w:pStyle w:val="TableParagraph"/>
              <w:spacing w:line="180" w:lineRule="exact" w:before="3"/>
              <w:ind w:right="112"/>
              <w:jc w:val="right"/>
              <w:rPr>
                <w:b/>
                <w:sz w:val="16"/>
              </w:rPr>
            </w:pPr>
            <w:r>
              <w:rPr>
                <w:b/>
                <w:spacing w:val="-5"/>
                <w:w w:val="105"/>
                <w:sz w:val="16"/>
              </w:rPr>
              <w:t>55</w:t>
            </w:r>
          </w:p>
        </w:tc>
        <w:tc>
          <w:tcPr>
            <w:tcW w:w="673" w:type="dxa"/>
            <w:shd w:val="clear" w:color="auto" w:fill="CCEDFF"/>
          </w:tcPr>
          <w:p>
            <w:pPr>
              <w:pStyle w:val="TableParagraph"/>
              <w:spacing w:line="180" w:lineRule="exact" w:before="3"/>
              <w:ind w:left="114"/>
              <w:rPr>
                <w:sz w:val="16"/>
              </w:rPr>
            </w:pPr>
            <w:r>
              <w:rPr>
                <w:spacing w:val="-10"/>
                <w:w w:val="105"/>
                <w:sz w:val="16"/>
              </w:rPr>
              <w:t>$</w:t>
            </w:r>
          </w:p>
        </w:tc>
        <w:tc>
          <w:tcPr>
            <w:tcW w:w="1046" w:type="dxa"/>
            <w:shd w:val="clear" w:color="auto" w:fill="CCEDFF"/>
          </w:tcPr>
          <w:p>
            <w:pPr>
              <w:pStyle w:val="TableParagraph"/>
              <w:spacing w:line="180" w:lineRule="exact" w:before="3"/>
              <w:ind w:right="112"/>
              <w:jc w:val="right"/>
              <w:rPr>
                <w:sz w:val="16"/>
              </w:rPr>
            </w:pPr>
            <w:r>
              <w:rPr>
                <w:spacing w:val="-5"/>
                <w:w w:val="105"/>
                <w:sz w:val="16"/>
              </w:rPr>
              <w:t>156</w:t>
            </w:r>
          </w:p>
        </w:tc>
      </w:tr>
      <w:tr>
        <w:trPr>
          <w:trHeight w:val="203" w:hRule="atLeast"/>
        </w:trPr>
        <w:tc>
          <w:tcPr>
            <w:tcW w:w="8191" w:type="dxa"/>
          </w:tcPr>
          <w:p>
            <w:pPr>
              <w:pStyle w:val="TableParagraph"/>
              <w:spacing w:line="180" w:lineRule="exact" w:before="3"/>
              <w:ind w:left="305"/>
              <w:rPr>
                <w:sz w:val="16"/>
              </w:rPr>
            </w:pPr>
            <w:r>
              <w:rPr>
                <w:sz w:val="16"/>
              </w:rPr>
              <w:t>Accounts</w:t>
            </w:r>
            <w:r>
              <w:rPr>
                <w:spacing w:val="12"/>
                <w:sz w:val="16"/>
              </w:rPr>
              <w:t> </w:t>
            </w:r>
            <w:r>
              <w:rPr>
                <w:spacing w:val="-2"/>
                <w:sz w:val="16"/>
              </w:rPr>
              <w:t>payable</w:t>
            </w:r>
          </w:p>
        </w:tc>
        <w:tc>
          <w:tcPr>
            <w:tcW w:w="973" w:type="dxa"/>
          </w:tcPr>
          <w:p>
            <w:pPr>
              <w:pStyle w:val="TableParagraph"/>
              <w:rPr>
                <w:sz w:val="14"/>
              </w:rPr>
            </w:pPr>
          </w:p>
        </w:tc>
        <w:tc>
          <w:tcPr>
            <w:tcW w:w="632" w:type="dxa"/>
          </w:tcPr>
          <w:p>
            <w:pPr>
              <w:pStyle w:val="TableParagraph"/>
              <w:spacing w:line="180" w:lineRule="exact" w:before="3"/>
              <w:ind w:right="112"/>
              <w:jc w:val="right"/>
              <w:rPr>
                <w:b/>
                <w:sz w:val="16"/>
              </w:rPr>
            </w:pPr>
            <w:r>
              <w:rPr>
                <w:b/>
                <w:spacing w:val="-4"/>
                <w:w w:val="105"/>
                <w:sz w:val="16"/>
              </w:rPr>
              <w:t>1,612</w:t>
            </w:r>
          </w:p>
        </w:tc>
        <w:tc>
          <w:tcPr>
            <w:tcW w:w="673" w:type="dxa"/>
          </w:tcPr>
          <w:p>
            <w:pPr>
              <w:pStyle w:val="TableParagraph"/>
              <w:rPr>
                <w:sz w:val="14"/>
              </w:rPr>
            </w:pPr>
          </w:p>
        </w:tc>
        <w:tc>
          <w:tcPr>
            <w:tcW w:w="1046" w:type="dxa"/>
          </w:tcPr>
          <w:p>
            <w:pPr>
              <w:pStyle w:val="TableParagraph"/>
              <w:spacing w:line="180" w:lineRule="exact" w:before="3"/>
              <w:ind w:right="112"/>
              <w:jc w:val="right"/>
              <w:rPr>
                <w:sz w:val="16"/>
              </w:rPr>
            </w:pPr>
            <w:r>
              <w:rPr>
                <w:spacing w:val="-4"/>
                <w:w w:val="105"/>
                <w:sz w:val="16"/>
              </w:rPr>
              <w:t>1,174</w:t>
            </w:r>
          </w:p>
        </w:tc>
      </w:tr>
      <w:tr>
        <w:trPr>
          <w:trHeight w:val="202" w:hRule="atLeast"/>
        </w:trPr>
        <w:tc>
          <w:tcPr>
            <w:tcW w:w="8191" w:type="dxa"/>
            <w:shd w:val="clear" w:color="auto" w:fill="CCEDFF"/>
          </w:tcPr>
          <w:p>
            <w:pPr>
              <w:pStyle w:val="TableParagraph"/>
              <w:spacing w:line="166" w:lineRule="exact" w:before="16"/>
              <w:ind w:left="305"/>
              <w:rPr>
                <w:sz w:val="16"/>
              </w:rPr>
            </w:pPr>
            <w:r>
              <w:rPr>
                <w:w w:val="105"/>
                <w:sz w:val="16"/>
              </w:rPr>
              <w:t>Other</w:t>
            </w:r>
            <w:r>
              <w:rPr>
                <w:spacing w:val="-9"/>
                <w:w w:val="105"/>
                <w:sz w:val="16"/>
              </w:rPr>
              <w:t> </w:t>
            </w:r>
            <w:r>
              <w:rPr>
                <w:w w:val="105"/>
                <w:sz w:val="16"/>
              </w:rPr>
              <w:t>accrued</w:t>
            </w:r>
            <w:r>
              <w:rPr>
                <w:spacing w:val="-9"/>
                <w:w w:val="105"/>
                <w:sz w:val="16"/>
              </w:rPr>
              <w:t> </w:t>
            </w:r>
            <w:r>
              <w:rPr>
                <w:w w:val="105"/>
                <w:sz w:val="16"/>
              </w:rPr>
              <w:t>liabilities</w:t>
            </w:r>
            <w:r>
              <w:rPr>
                <w:spacing w:val="-9"/>
                <w:w w:val="105"/>
                <w:sz w:val="16"/>
              </w:rPr>
              <w:t> </w:t>
            </w:r>
            <w:r>
              <w:rPr>
                <w:w w:val="105"/>
                <w:sz w:val="16"/>
              </w:rPr>
              <w:t>(Note</w:t>
            </w:r>
            <w:r>
              <w:rPr>
                <w:spacing w:val="-8"/>
                <w:w w:val="105"/>
                <w:sz w:val="16"/>
              </w:rPr>
              <w:t> </w:t>
            </w:r>
            <w:r>
              <w:rPr>
                <w:w w:val="105"/>
                <w:sz w:val="16"/>
              </w:rPr>
              <w:t>11</w:t>
            </w:r>
            <w:r>
              <w:rPr>
                <w:spacing w:val="-9"/>
                <w:w w:val="105"/>
                <w:sz w:val="16"/>
              </w:rPr>
              <w:t> </w:t>
            </w:r>
            <w:r>
              <w:rPr>
                <w:w w:val="105"/>
                <w:sz w:val="16"/>
              </w:rPr>
              <w:t>and</w:t>
            </w:r>
            <w:r>
              <w:rPr>
                <w:spacing w:val="-9"/>
                <w:w w:val="105"/>
                <w:sz w:val="16"/>
              </w:rPr>
              <w:t> </w:t>
            </w:r>
            <w:r>
              <w:rPr>
                <w:spacing w:val="-5"/>
                <w:w w:val="105"/>
                <w:sz w:val="16"/>
              </w:rPr>
              <w:t>14)</w:t>
            </w:r>
          </w:p>
        </w:tc>
        <w:tc>
          <w:tcPr>
            <w:tcW w:w="973" w:type="dxa"/>
            <w:tcBorders>
              <w:bottom w:val="single" w:sz="6" w:space="0" w:color="000000"/>
            </w:tcBorders>
            <w:shd w:val="clear" w:color="auto" w:fill="CCEDFF"/>
          </w:tcPr>
          <w:p>
            <w:pPr>
              <w:pStyle w:val="TableParagraph"/>
              <w:rPr>
                <w:sz w:val="14"/>
              </w:rPr>
            </w:pPr>
          </w:p>
        </w:tc>
        <w:tc>
          <w:tcPr>
            <w:tcW w:w="632" w:type="dxa"/>
            <w:tcBorders>
              <w:bottom w:val="single" w:sz="6" w:space="0" w:color="000000"/>
            </w:tcBorders>
            <w:shd w:val="clear" w:color="auto" w:fill="CCEDFF"/>
          </w:tcPr>
          <w:p>
            <w:pPr>
              <w:pStyle w:val="TableParagraph"/>
              <w:spacing w:line="179" w:lineRule="exact" w:before="3"/>
              <w:ind w:right="112"/>
              <w:jc w:val="right"/>
              <w:rPr>
                <w:b/>
                <w:sz w:val="16"/>
              </w:rPr>
            </w:pPr>
            <w:r>
              <w:rPr>
                <w:b/>
                <w:spacing w:val="-4"/>
                <w:w w:val="105"/>
                <w:sz w:val="16"/>
              </w:rPr>
              <w:t>3,139</w:t>
            </w:r>
          </w:p>
        </w:tc>
        <w:tc>
          <w:tcPr>
            <w:tcW w:w="673" w:type="dxa"/>
            <w:tcBorders>
              <w:bottom w:val="single" w:sz="6" w:space="0" w:color="000000"/>
            </w:tcBorders>
            <w:shd w:val="clear" w:color="auto" w:fill="CCEDFF"/>
          </w:tcPr>
          <w:p>
            <w:pPr>
              <w:pStyle w:val="TableParagraph"/>
              <w:rPr>
                <w:sz w:val="14"/>
              </w:rPr>
            </w:pPr>
          </w:p>
        </w:tc>
        <w:tc>
          <w:tcPr>
            <w:tcW w:w="1046" w:type="dxa"/>
            <w:tcBorders>
              <w:bottom w:val="single" w:sz="6" w:space="0" w:color="000000"/>
            </w:tcBorders>
            <w:shd w:val="clear" w:color="auto" w:fill="CCEDFF"/>
          </w:tcPr>
          <w:p>
            <w:pPr>
              <w:pStyle w:val="TableParagraph"/>
              <w:spacing w:line="179" w:lineRule="exact" w:before="3"/>
              <w:ind w:right="112"/>
              <w:jc w:val="right"/>
              <w:rPr>
                <w:sz w:val="16"/>
              </w:rPr>
            </w:pPr>
            <w:r>
              <w:rPr>
                <w:spacing w:val="-4"/>
                <w:w w:val="105"/>
                <w:sz w:val="16"/>
              </w:rPr>
              <w:t>2,437</w:t>
            </w:r>
          </w:p>
        </w:tc>
      </w:tr>
      <w:tr>
        <w:trPr>
          <w:trHeight w:val="202" w:hRule="atLeast"/>
        </w:trPr>
        <w:tc>
          <w:tcPr>
            <w:tcW w:w="8191" w:type="dxa"/>
          </w:tcPr>
          <w:p>
            <w:pPr>
              <w:pStyle w:val="TableParagraph"/>
              <w:spacing w:line="180" w:lineRule="exact" w:before="2"/>
              <w:ind w:left="458"/>
              <w:rPr>
                <w:sz w:val="16"/>
              </w:rPr>
            </w:pPr>
            <w:r>
              <w:rPr>
                <w:w w:val="105"/>
                <w:sz w:val="16"/>
              </w:rPr>
              <w:t>Total</w:t>
            </w:r>
            <w:r>
              <w:rPr>
                <w:spacing w:val="-9"/>
                <w:w w:val="105"/>
                <w:sz w:val="16"/>
              </w:rPr>
              <w:t> </w:t>
            </w:r>
            <w:r>
              <w:rPr>
                <w:w w:val="105"/>
                <w:sz w:val="16"/>
              </w:rPr>
              <w:t>current</w:t>
            </w:r>
            <w:r>
              <w:rPr>
                <w:spacing w:val="-9"/>
                <w:w w:val="105"/>
                <w:sz w:val="16"/>
              </w:rPr>
              <w:t> </w:t>
            </w:r>
            <w:r>
              <w:rPr>
                <w:spacing w:val="-2"/>
                <w:w w:val="105"/>
                <w:sz w:val="16"/>
              </w:rPr>
              <w:t>liabilities</w:t>
            </w:r>
          </w:p>
        </w:tc>
        <w:tc>
          <w:tcPr>
            <w:tcW w:w="973" w:type="dxa"/>
            <w:tcBorders>
              <w:top w:val="single" w:sz="6" w:space="0" w:color="000000"/>
            </w:tcBorders>
          </w:tcPr>
          <w:p>
            <w:pPr>
              <w:pStyle w:val="TableParagraph"/>
              <w:rPr>
                <w:sz w:val="14"/>
              </w:rPr>
            </w:pPr>
          </w:p>
        </w:tc>
        <w:tc>
          <w:tcPr>
            <w:tcW w:w="632" w:type="dxa"/>
            <w:tcBorders>
              <w:top w:val="single" w:sz="6" w:space="0" w:color="000000"/>
            </w:tcBorders>
          </w:tcPr>
          <w:p>
            <w:pPr>
              <w:pStyle w:val="TableParagraph"/>
              <w:spacing w:line="180" w:lineRule="exact" w:before="2"/>
              <w:ind w:right="112"/>
              <w:jc w:val="right"/>
              <w:rPr>
                <w:b/>
                <w:sz w:val="16"/>
              </w:rPr>
            </w:pPr>
            <w:r>
              <w:rPr>
                <w:b/>
                <w:spacing w:val="-4"/>
                <w:w w:val="105"/>
                <w:sz w:val="16"/>
              </w:rPr>
              <w:t>4,806</w:t>
            </w:r>
          </w:p>
        </w:tc>
        <w:tc>
          <w:tcPr>
            <w:tcW w:w="673" w:type="dxa"/>
            <w:tcBorders>
              <w:top w:val="single" w:sz="6" w:space="0" w:color="000000"/>
            </w:tcBorders>
          </w:tcPr>
          <w:p>
            <w:pPr>
              <w:pStyle w:val="TableParagraph"/>
              <w:rPr>
                <w:sz w:val="14"/>
              </w:rPr>
            </w:pPr>
          </w:p>
        </w:tc>
        <w:tc>
          <w:tcPr>
            <w:tcW w:w="1046" w:type="dxa"/>
            <w:tcBorders>
              <w:top w:val="single" w:sz="6" w:space="0" w:color="000000"/>
            </w:tcBorders>
          </w:tcPr>
          <w:p>
            <w:pPr>
              <w:pStyle w:val="TableParagraph"/>
              <w:spacing w:line="180" w:lineRule="exact" w:before="2"/>
              <w:ind w:right="112"/>
              <w:jc w:val="right"/>
              <w:rPr>
                <w:sz w:val="16"/>
              </w:rPr>
            </w:pPr>
            <w:r>
              <w:rPr>
                <w:spacing w:val="-4"/>
                <w:w w:val="105"/>
                <w:sz w:val="16"/>
              </w:rPr>
              <w:t>3,767</w:t>
            </w:r>
          </w:p>
        </w:tc>
      </w:tr>
      <w:tr>
        <w:trPr>
          <w:trHeight w:val="203" w:hRule="atLeast"/>
        </w:trPr>
        <w:tc>
          <w:tcPr>
            <w:tcW w:w="8191" w:type="dxa"/>
            <w:shd w:val="clear" w:color="auto" w:fill="CCEDFF"/>
          </w:tcPr>
          <w:p>
            <w:pPr>
              <w:pStyle w:val="TableParagraph"/>
              <w:rPr>
                <w:sz w:val="14"/>
              </w:rPr>
            </w:pPr>
          </w:p>
        </w:tc>
        <w:tc>
          <w:tcPr>
            <w:tcW w:w="973" w:type="dxa"/>
            <w:shd w:val="clear" w:color="auto" w:fill="CCEDFF"/>
          </w:tcPr>
          <w:p>
            <w:pPr>
              <w:pStyle w:val="TableParagraph"/>
              <w:rPr>
                <w:sz w:val="14"/>
              </w:rPr>
            </w:pPr>
          </w:p>
        </w:tc>
        <w:tc>
          <w:tcPr>
            <w:tcW w:w="632" w:type="dxa"/>
            <w:shd w:val="clear" w:color="auto" w:fill="CCEDFF"/>
          </w:tcPr>
          <w:p>
            <w:pPr>
              <w:pStyle w:val="TableParagraph"/>
              <w:rPr>
                <w:sz w:val="14"/>
              </w:rPr>
            </w:pPr>
          </w:p>
        </w:tc>
        <w:tc>
          <w:tcPr>
            <w:tcW w:w="673" w:type="dxa"/>
            <w:shd w:val="clear" w:color="auto" w:fill="CCEDFF"/>
          </w:tcPr>
          <w:p>
            <w:pPr>
              <w:pStyle w:val="TableParagraph"/>
              <w:rPr>
                <w:sz w:val="14"/>
              </w:rPr>
            </w:pPr>
          </w:p>
        </w:tc>
        <w:tc>
          <w:tcPr>
            <w:tcW w:w="1046" w:type="dxa"/>
            <w:shd w:val="clear" w:color="auto" w:fill="CCEDFF"/>
          </w:tcPr>
          <w:p>
            <w:pPr>
              <w:pStyle w:val="TableParagraph"/>
              <w:rPr>
                <w:sz w:val="14"/>
              </w:rPr>
            </w:pPr>
          </w:p>
        </w:tc>
      </w:tr>
      <w:tr>
        <w:trPr>
          <w:trHeight w:val="203" w:hRule="atLeast"/>
        </w:trPr>
        <w:tc>
          <w:tcPr>
            <w:tcW w:w="8191" w:type="dxa"/>
          </w:tcPr>
          <w:p>
            <w:pPr>
              <w:pStyle w:val="TableParagraph"/>
              <w:spacing w:line="180" w:lineRule="exact" w:before="3"/>
              <w:rPr>
                <w:sz w:val="16"/>
              </w:rPr>
            </w:pPr>
            <w:r>
              <w:rPr>
                <w:w w:val="105"/>
                <w:sz w:val="16"/>
              </w:rPr>
              <w:t>Long-term</w:t>
            </w:r>
            <w:r>
              <w:rPr>
                <w:spacing w:val="-10"/>
                <w:w w:val="105"/>
                <w:sz w:val="16"/>
              </w:rPr>
              <w:t> </w:t>
            </w:r>
            <w:r>
              <w:rPr>
                <w:w w:val="105"/>
                <w:sz w:val="16"/>
              </w:rPr>
              <w:t>debt</w:t>
            </w:r>
            <w:r>
              <w:rPr>
                <w:spacing w:val="-10"/>
                <w:w w:val="105"/>
                <w:sz w:val="16"/>
              </w:rPr>
              <w:t> </w:t>
            </w:r>
            <w:r>
              <w:rPr>
                <w:w w:val="105"/>
                <w:sz w:val="16"/>
              </w:rPr>
              <w:t>(Note</w:t>
            </w:r>
            <w:r>
              <w:rPr>
                <w:spacing w:val="-10"/>
                <w:w w:val="105"/>
                <w:sz w:val="16"/>
              </w:rPr>
              <w:t> </w:t>
            </w:r>
            <w:r>
              <w:rPr>
                <w:spacing w:val="-5"/>
                <w:w w:val="105"/>
                <w:sz w:val="16"/>
              </w:rPr>
              <w:t>12)</w:t>
            </w:r>
          </w:p>
        </w:tc>
        <w:tc>
          <w:tcPr>
            <w:tcW w:w="973" w:type="dxa"/>
          </w:tcPr>
          <w:p>
            <w:pPr>
              <w:pStyle w:val="TableParagraph"/>
              <w:rPr>
                <w:sz w:val="14"/>
              </w:rPr>
            </w:pPr>
          </w:p>
        </w:tc>
        <w:tc>
          <w:tcPr>
            <w:tcW w:w="632" w:type="dxa"/>
          </w:tcPr>
          <w:p>
            <w:pPr>
              <w:pStyle w:val="TableParagraph"/>
              <w:spacing w:line="180" w:lineRule="exact" w:before="3"/>
              <w:ind w:right="112"/>
              <w:jc w:val="right"/>
              <w:rPr>
                <w:b/>
                <w:sz w:val="16"/>
              </w:rPr>
            </w:pPr>
            <w:r>
              <w:rPr>
                <w:b/>
                <w:spacing w:val="-4"/>
                <w:w w:val="105"/>
                <w:sz w:val="16"/>
              </w:rPr>
              <w:t>6,989</w:t>
            </w:r>
          </w:p>
        </w:tc>
        <w:tc>
          <w:tcPr>
            <w:tcW w:w="673" w:type="dxa"/>
          </w:tcPr>
          <w:p>
            <w:pPr>
              <w:pStyle w:val="TableParagraph"/>
              <w:rPr>
                <w:sz w:val="14"/>
              </w:rPr>
            </w:pPr>
          </w:p>
        </w:tc>
        <w:tc>
          <w:tcPr>
            <w:tcW w:w="1046" w:type="dxa"/>
          </w:tcPr>
          <w:p>
            <w:pPr>
              <w:pStyle w:val="TableParagraph"/>
              <w:spacing w:line="180" w:lineRule="exact" w:before="3"/>
              <w:ind w:right="112"/>
              <w:jc w:val="right"/>
              <w:rPr>
                <w:sz w:val="16"/>
              </w:rPr>
            </w:pPr>
            <w:r>
              <w:rPr>
                <w:spacing w:val="-4"/>
                <w:w w:val="105"/>
                <w:sz w:val="16"/>
              </w:rPr>
              <w:t>7,816</w:t>
            </w:r>
          </w:p>
        </w:tc>
      </w:tr>
      <w:tr>
        <w:trPr>
          <w:trHeight w:val="203" w:hRule="atLeast"/>
        </w:trPr>
        <w:tc>
          <w:tcPr>
            <w:tcW w:w="8191" w:type="dxa"/>
            <w:shd w:val="clear" w:color="auto" w:fill="CCEDFF"/>
          </w:tcPr>
          <w:p>
            <w:pPr>
              <w:pStyle w:val="TableParagraph"/>
              <w:spacing w:line="180" w:lineRule="exact" w:before="3"/>
              <w:rPr>
                <w:sz w:val="16"/>
              </w:rPr>
            </w:pPr>
            <w:r>
              <w:rPr>
                <w:sz w:val="16"/>
              </w:rPr>
              <w:t>Postretirement</w:t>
            </w:r>
            <w:r>
              <w:rPr>
                <w:spacing w:val="14"/>
                <w:sz w:val="16"/>
              </w:rPr>
              <w:t> </w:t>
            </w:r>
            <w:r>
              <w:rPr>
                <w:sz w:val="16"/>
              </w:rPr>
              <w:t>benefits</w:t>
            </w:r>
            <w:r>
              <w:rPr>
                <w:spacing w:val="15"/>
                <w:sz w:val="16"/>
              </w:rPr>
              <w:t> </w:t>
            </w:r>
            <w:r>
              <w:rPr>
                <w:sz w:val="16"/>
              </w:rPr>
              <w:t>other</w:t>
            </w:r>
            <w:r>
              <w:rPr>
                <w:spacing w:val="15"/>
                <w:sz w:val="16"/>
              </w:rPr>
              <w:t> </w:t>
            </w:r>
            <w:r>
              <w:rPr>
                <w:sz w:val="16"/>
              </w:rPr>
              <w:t>than</w:t>
            </w:r>
            <w:r>
              <w:rPr>
                <w:spacing w:val="14"/>
                <w:sz w:val="16"/>
              </w:rPr>
              <w:t> </w:t>
            </w:r>
            <w:r>
              <w:rPr>
                <w:sz w:val="16"/>
              </w:rPr>
              <w:t>pensions</w:t>
            </w:r>
            <w:r>
              <w:rPr>
                <w:spacing w:val="15"/>
                <w:sz w:val="16"/>
              </w:rPr>
              <w:t> </w:t>
            </w:r>
            <w:r>
              <w:rPr>
                <w:sz w:val="16"/>
              </w:rPr>
              <w:t>(Note</w:t>
            </w:r>
            <w:r>
              <w:rPr>
                <w:spacing w:val="15"/>
                <w:sz w:val="16"/>
              </w:rPr>
              <w:t> </w:t>
            </w:r>
            <w:r>
              <w:rPr>
                <w:spacing w:val="-5"/>
                <w:sz w:val="16"/>
              </w:rPr>
              <w:t>13)</w:t>
            </w:r>
          </w:p>
        </w:tc>
        <w:tc>
          <w:tcPr>
            <w:tcW w:w="973" w:type="dxa"/>
            <w:shd w:val="clear" w:color="auto" w:fill="CCEDFF"/>
          </w:tcPr>
          <w:p>
            <w:pPr>
              <w:pStyle w:val="TableParagraph"/>
              <w:rPr>
                <w:sz w:val="14"/>
              </w:rPr>
            </w:pPr>
          </w:p>
        </w:tc>
        <w:tc>
          <w:tcPr>
            <w:tcW w:w="632" w:type="dxa"/>
            <w:shd w:val="clear" w:color="auto" w:fill="CCEDFF"/>
          </w:tcPr>
          <w:p>
            <w:pPr>
              <w:pStyle w:val="TableParagraph"/>
              <w:spacing w:line="180" w:lineRule="exact" w:before="3"/>
              <w:ind w:right="112"/>
              <w:jc w:val="right"/>
              <w:rPr>
                <w:b/>
                <w:sz w:val="16"/>
              </w:rPr>
            </w:pPr>
            <w:r>
              <w:rPr>
                <w:b/>
                <w:spacing w:val="-5"/>
                <w:w w:val="105"/>
                <w:sz w:val="16"/>
              </w:rPr>
              <w:t>622</w:t>
            </w:r>
          </w:p>
        </w:tc>
        <w:tc>
          <w:tcPr>
            <w:tcW w:w="673" w:type="dxa"/>
            <w:shd w:val="clear" w:color="auto" w:fill="CCEDFF"/>
          </w:tcPr>
          <w:p>
            <w:pPr>
              <w:pStyle w:val="TableParagraph"/>
              <w:rPr>
                <w:sz w:val="14"/>
              </w:rPr>
            </w:pPr>
          </w:p>
        </w:tc>
        <w:tc>
          <w:tcPr>
            <w:tcW w:w="1046" w:type="dxa"/>
            <w:shd w:val="clear" w:color="auto" w:fill="CCEDFF"/>
          </w:tcPr>
          <w:p>
            <w:pPr>
              <w:pStyle w:val="TableParagraph"/>
              <w:spacing w:line="180" w:lineRule="exact" w:before="3"/>
              <w:ind w:right="112"/>
              <w:jc w:val="right"/>
              <w:rPr>
                <w:sz w:val="16"/>
              </w:rPr>
            </w:pPr>
            <w:r>
              <w:rPr>
                <w:spacing w:val="-5"/>
                <w:w w:val="105"/>
                <w:sz w:val="16"/>
              </w:rPr>
              <w:t>727</w:t>
            </w:r>
          </w:p>
        </w:tc>
      </w:tr>
      <w:tr>
        <w:trPr>
          <w:trHeight w:val="202" w:hRule="atLeast"/>
        </w:trPr>
        <w:tc>
          <w:tcPr>
            <w:tcW w:w="8191" w:type="dxa"/>
          </w:tcPr>
          <w:p>
            <w:pPr>
              <w:pStyle w:val="TableParagraph"/>
              <w:spacing w:line="166" w:lineRule="exact" w:before="16"/>
              <w:rPr>
                <w:sz w:val="16"/>
              </w:rPr>
            </w:pPr>
            <w:r>
              <w:rPr>
                <w:w w:val="105"/>
                <w:sz w:val="16"/>
              </w:rPr>
              <w:t>Other</w:t>
            </w:r>
            <w:r>
              <w:rPr>
                <w:spacing w:val="-10"/>
                <w:w w:val="105"/>
                <w:sz w:val="16"/>
              </w:rPr>
              <w:t> </w:t>
            </w:r>
            <w:r>
              <w:rPr>
                <w:w w:val="105"/>
                <w:sz w:val="16"/>
              </w:rPr>
              <w:t>liabilities</w:t>
            </w:r>
            <w:r>
              <w:rPr>
                <w:spacing w:val="-9"/>
                <w:w w:val="105"/>
                <w:sz w:val="16"/>
              </w:rPr>
              <w:t> </w:t>
            </w:r>
            <w:r>
              <w:rPr>
                <w:w w:val="105"/>
                <w:sz w:val="16"/>
              </w:rPr>
              <w:t>(Note</w:t>
            </w:r>
            <w:r>
              <w:rPr>
                <w:spacing w:val="-10"/>
                <w:w w:val="105"/>
                <w:sz w:val="16"/>
              </w:rPr>
              <w:t> </w:t>
            </w:r>
            <w:r>
              <w:rPr>
                <w:w w:val="105"/>
                <w:sz w:val="16"/>
              </w:rPr>
              <w:t>11</w:t>
            </w:r>
            <w:r>
              <w:rPr>
                <w:spacing w:val="-9"/>
                <w:w w:val="105"/>
                <w:sz w:val="16"/>
              </w:rPr>
              <w:t> </w:t>
            </w:r>
            <w:r>
              <w:rPr>
                <w:w w:val="105"/>
                <w:sz w:val="16"/>
              </w:rPr>
              <w:t>and</w:t>
            </w:r>
            <w:r>
              <w:rPr>
                <w:spacing w:val="-10"/>
                <w:w w:val="105"/>
                <w:sz w:val="16"/>
              </w:rPr>
              <w:t> </w:t>
            </w:r>
            <w:r>
              <w:rPr>
                <w:spacing w:val="-5"/>
                <w:w w:val="105"/>
                <w:sz w:val="16"/>
              </w:rPr>
              <w:t>14)</w:t>
            </w:r>
          </w:p>
        </w:tc>
        <w:tc>
          <w:tcPr>
            <w:tcW w:w="973" w:type="dxa"/>
            <w:tcBorders>
              <w:bottom w:val="single" w:sz="6" w:space="0" w:color="000000"/>
            </w:tcBorders>
          </w:tcPr>
          <w:p>
            <w:pPr>
              <w:pStyle w:val="TableParagraph"/>
              <w:rPr>
                <w:sz w:val="14"/>
              </w:rPr>
            </w:pPr>
          </w:p>
        </w:tc>
        <w:tc>
          <w:tcPr>
            <w:tcW w:w="632" w:type="dxa"/>
            <w:tcBorders>
              <w:bottom w:val="single" w:sz="6" w:space="0" w:color="000000"/>
            </w:tcBorders>
          </w:tcPr>
          <w:p>
            <w:pPr>
              <w:pStyle w:val="TableParagraph"/>
              <w:spacing w:line="179" w:lineRule="exact" w:before="3"/>
              <w:ind w:right="112"/>
              <w:jc w:val="right"/>
              <w:rPr>
                <w:b/>
                <w:sz w:val="16"/>
              </w:rPr>
            </w:pPr>
            <w:r>
              <w:rPr>
                <w:b/>
                <w:spacing w:val="-4"/>
                <w:w w:val="105"/>
                <w:sz w:val="16"/>
              </w:rPr>
              <w:t>5,192</w:t>
            </w:r>
          </w:p>
        </w:tc>
        <w:tc>
          <w:tcPr>
            <w:tcW w:w="673" w:type="dxa"/>
            <w:tcBorders>
              <w:bottom w:val="single" w:sz="6" w:space="0" w:color="000000"/>
            </w:tcBorders>
          </w:tcPr>
          <w:p>
            <w:pPr>
              <w:pStyle w:val="TableParagraph"/>
              <w:rPr>
                <w:sz w:val="14"/>
              </w:rPr>
            </w:pPr>
          </w:p>
        </w:tc>
        <w:tc>
          <w:tcPr>
            <w:tcW w:w="1046" w:type="dxa"/>
            <w:tcBorders>
              <w:bottom w:val="single" w:sz="6" w:space="0" w:color="000000"/>
            </w:tcBorders>
          </w:tcPr>
          <w:p>
            <w:pPr>
              <w:pStyle w:val="TableParagraph"/>
              <w:spacing w:line="179" w:lineRule="exact" w:before="3"/>
              <w:ind w:right="112"/>
              <w:jc w:val="right"/>
              <w:rPr>
                <w:sz w:val="16"/>
              </w:rPr>
            </w:pPr>
            <w:r>
              <w:rPr>
                <w:spacing w:val="-4"/>
                <w:w w:val="105"/>
                <w:sz w:val="16"/>
              </w:rPr>
              <w:t>5,017</w:t>
            </w:r>
          </w:p>
        </w:tc>
      </w:tr>
      <w:tr>
        <w:trPr>
          <w:trHeight w:val="201" w:hRule="atLeast"/>
        </w:trPr>
        <w:tc>
          <w:tcPr>
            <w:tcW w:w="8191" w:type="dxa"/>
            <w:shd w:val="clear" w:color="auto" w:fill="CCEDFF"/>
          </w:tcPr>
          <w:p>
            <w:pPr>
              <w:pStyle w:val="TableParagraph"/>
              <w:spacing w:line="166" w:lineRule="exact" w:before="15"/>
              <w:ind w:left="458"/>
              <w:rPr>
                <w:sz w:val="16"/>
              </w:rPr>
            </w:pPr>
            <w:r>
              <w:rPr>
                <w:w w:val="105"/>
                <w:sz w:val="16"/>
              </w:rPr>
              <w:t>Total</w:t>
            </w:r>
            <w:r>
              <w:rPr>
                <w:spacing w:val="-8"/>
                <w:w w:val="105"/>
                <w:sz w:val="16"/>
              </w:rPr>
              <w:t> </w:t>
            </w:r>
            <w:r>
              <w:rPr>
                <w:spacing w:val="-2"/>
                <w:w w:val="105"/>
                <w:sz w:val="16"/>
              </w:rPr>
              <w:t>liabilities</w:t>
            </w:r>
          </w:p>
        </w:tc>
        <w:tc>
          <w:tcPr>
            <w:tcW w:w="973" w:type="dxa"/>
            <w:tcBorders>
              <w:top w:val="single" w:sz="6" w:space="0" w:color="000000"/>
              <w:bottom w:val="single" w:sz="6" w:space="0" w:color="000000"/>
            </w:tcBorders>
            <w:shd w:val="clear" w:color="auto" w:fill="CCEDFF"/>
          </w:tcPr>
          <w:p>
            <w:pPr>
              <w:pStyle w:val="TableParagraph"/>
              <w:rPr>
                <w:sz w:val="14"/>
              </w:rPr>
            </w:pPr>
          </w:p>
        </w:tc>
        <w:tc>
          <w:tcPr>
            <w:tcW w:w="632" w:type="dxa"/>
            <w:tcBorders>
              <w:top w:val="single" w:sz="6" w:space="0" w:color="000000"/>
              <w:bottom w:val="single" w:sz="6" w:space="0" w:color="000000"/>
            </w:tcBorders>
            <w:shd w:val="clear" w:color="auto" w:fill="CCEDFF"/>
          </w:tcPr>
          <w:p>
            <w:pPr>
              <w:pStyle w:val="TableParagraph"/>
              <w:spacing w:line="179" w:lineRule="exact" w:before="2"/>
              <w:ind w:right="112"/>
              <w:jc w:val="right"/>
              <w:rPr>
                <w:b/>
                <w:sz w:val="16"/>
              </w:rPr>
            </w:pPr>
            <w:r>
              <w:rPr>
                <w:b/>
                <w:spacing w:val="-2"/>
                <w:w w:val="105"/>
                <w:sz w:val="16"/>
              </w:rPr>
              <w:t>17,609</w:t>
            </w:r>
          </w:p>
        </w:tc>
        <w:tc>
          <w:tcPr>
            <w:tcW w:w="673" w:type="dxa"/>
            <w:tcBorders>
              <w:top w:val="single" w:sz="6" w:space="0" w:color="000000"/>
              <w:bottom w:val="single" w:sz="6" w:space="0" w:color="000000"/>
            </w:tcBorders>
            <w:shd w:val="clear" w:color="auto" w:fill="CCEDFF"/>
          </w:tcPr>
          <w:p>
            <w:pPr>
              <w:pStyle w:val="TableParagraph"/>
              <w:rPr>
                <w:sz w:val="14"/>
              </w:rPr>
            </w:pPr>
          </w:p>
        </w:tc>
        <w:tc>
          <w:tcPr>
            <w:tcW w:w="1046" w:type="dxa"/>
            <w:tcBorders>
              <w:top w:val="single" w:sz="6" w:space="0" w:color="000000"/>
              <w:bottom w:val="single" w:sz="6" w:space="0" w:color="000000"/>
            </w:tcBorders>
            <w:shd w:val="clear" w:color="auto" w:fill="CCEDFF"/>
          </w:tcPr>
          <w:p>
            <w:pPr>
              <w:pStyle w:val="TableParagraph"/>
              <w:spacing w:line="179" w:lineRule="exact" w:before="2"/>
              <w:ind w:right="112"/>
              <w:jc w:val="right"/>
              <w:rPr>
                <w:sz w:val="16"/>
              </w:rPr>
            </w:pPr>
            <w:r>
              <w:rPr>
                <w:spacing w:val="-2"/>
                <w:w w:val="105"/>
                <w:sz w:val="16"/>
              </w:rPr>
              <w:t>17,327</w:t>
            </w:r>
          </w:p>
        </w:tc>
      </w:tr>
    </w:tbl>
    <w:p>
      <w:pPr>
        <w:pStyle w:val="BodyText"/>
        <w:spacing w:before="3"/>
        <w:rPr>
          <w:b/>
        </w:rPr>
      </w:pPr>
      <w:r>
        <w:rPr/>
        <mc:AlternateContent>
          <mc:Choice Requires="wps">
            <w:drawing>
              <wp:anchor distT="0" distB="0" distL="0" distR="0" allowOverlap="1" layoutInCell="1" locked="0" behindDoc="1" simplePos="0" relativeHeight="487648768">
                <wp:simplePos x="0" y="0"/>
                <wp:positionH relativeFrom="page">
                  <wp:posOffset>226488</wp:posOffset>
                </wp:positionH>
                <wp:positionV relativeFrom="paragraph">
                  <wp:posOffset>134056</wp:posOffset>
                </wp:positionV>
                <wp:extent cx="7312659" cy="129539"/>
                <wp:effectExtent l="0" t="0" r="0" b="0"/>
                <wp:wrapTopAndBottom/>
                <wp:docPr id="167" name="Textbox 167"/>
                <wp:cNvGraphicFramePr>
                  <a:graphicFrameLocks/>
                </wp:cNvGraphicFramePr>
                <a:graphic>
                  <a:graphicData uri="http://schemas.microsoft.com/office/word/2010/wordprocessingShape">
                    <wps:wsp>
                      <wps:cNvPr id="167" name="Textbox 167"/>
                      <wps:cNvSpPr txBox="1"/>
                      <wps:spPr>
                        <a:xfrm>
                          <a:off x="0" y="0"/>
                          <a:ext cx="7312659" cy="129539"/>
                        </a:xfrm>
                        <a:prstGeom prst="rect">
                          <a:avLst/>
                        </a:prstGeom>
                        <a:solidFill>
                          <a:srgbClr val="CCEDFF"/>
                        </a:solidFill>
                      </wps:spPr>
                      <wps:txbx>
                        <w:txbxContent>
                          <w:p>
                            <w:pPr>
                              <w:pStyle w:val="BodyText"/>
                              <w:spacing w:before="3"/>
                              <w:rPr>
                                <w:color w:val="000000"/>
                              </w:rPr>
                            </w:pPr>
                            <w:r>
                              <w:rPr>
                                <w:color w:val="000000"/>
                              </w:rPr>
                              <w:t>Commitments</w:t>
                            </w:r>
                            <w:r>
                              <w:rPr>
                                <w:color w:val="000000"/>
                                <w:spacing w:val="16"/>
                              </w:rPr>
                              <w:t> </w:t>
                            </w:r>
                            <w:r>
                              <w:rPr>
                                <w:color w:val="000000"/>
                              </w:rPr>
                              <w:t>and</w:t>
                            </w:r>
                            <w:r>
                              <w:rPr>
                                <w:color w:val="000000"/>
                                <w:spacing w:val="16"/>
                              </w:rPr>
                              <w:t> </w:t>
                            </w:r>
                            <w:r>
                              <w:rPr>
                                <w:color w:val="000000"/>
                              </w:rPr>
                              <w:t>contingencies</w:t>
                            </w:r>
                            <w:r>
                              <w:rPr>
                                <w:color w:val="000000"/>
                                <w:spacing w:val="17"/>
                              </w:rPr>
                              <w:t> </w:t>
                            </w:r>
                            <w:r>
                              <w:rPr>
                                <w:color w:val="000000"/>
                              </w:rPr>
                              <w:t>(Note</w:t>
                            </w:r>
                            <w:r>
                              <w:rPr>
                                <w:color w:val="000000"/>
                                <w:spacing w:val="16"/>
                              </w:rPr>
                              <w:t> </w:t>
                            </w:r>
                            <w:r>
                              <w:rPr>
                                <w:color w:val="000000"/>
                                <w:spacing w:val="-5"/>
                              </w:rPr>
                              <w:t>14)</w:t>
                            </w:r>
                          </w:p>
                        </w:txbxContent>
                      </wps:txbx>
                      <wps:bodyPr wrap="square" lIns="0" tIns="0" rIns="0" bIns="0" rtlCol="0">
                        <a:noAutofit/>
                      </wps:bodyPr>
                    </wps:wsp>
                  </a:graphicData>
                </a:graphic>
              </wp:anchor>
            </w:drawing>
          </mc:Choice>
          <mc:Fallback>
            <w:pict>
              <v:shape style="position:absolute;margin-left:17.833740pt;margin-top:10.555615pt;width:575.8pt;height:10.2pt;mso-position-horizontal-relative:page;mso-position-vertical-relative:paragraph;z-index:-15667712;mso-wrap-distance-left:0;mso-wrap-distance-right:0" type="#_x0000_t202" id="docshape166" filled="true" fillcolor="#ccedff" stroked="false">
                <v:textbox inset="0,0,0,0">
                  <w:txbxContent>
                    <w:p>
                      <w:pPr>
                        <w:pStyle w:val="BodyText"/>
                        <w:spacing w:before="3"/>
                        <w:rPr>
                          <w:color w:val="000000"/>
                        </w:rPr>
                      </w:pPr>
                      <w:r>
                        <w:rPr>
                          <w:color w:val="000000"/>
                        </w:rPr>
                        <w:t>Commitments</w:t>
                      </w:r>
                      <w:r>
                        <w:rPr>
                          <w:color w:val="000000"/>
                          <w:spacing w:val="16"/>
                        </w:rPr>
                        <w:t> </w:t>
                      </w:r>
                      <w:r>
                        <w:rPr>
                          <w:color w:val="000000"/>
                        </w:rPr>
                        <w:t>and</w:t>
                      </w:r>
                      <w:r>
                        <w:rPr>
                          <w:color w:val="000000"/>
                          <w:spacing w:val="16"/>
                        </w:rPr>
                        <w:t> </w:t>
                      </w:r>
                      <w:r>
                        <w:rPr>
                          <w:color w:val="000000"/>
                        </w:rPr>
                        <w:t>contingencies</w:t>
                      </w:r>
                      <w:r>
                        <w:rPr>
                          <w:color w:val="000000"/>
                          <w:spacing w:val="17"/>
                        </w:rPr>
                        <w:t> </w:t>
                      </w:r>
                      <w:r>
                        <w:rPr>
                          <w:color w:val="000000"/>
                        </w:rPr>
                        <w:t>(Note</w:t>
                      </w:r>
                      <w:r>
                        <w:rPr>
                          <w:color w:val="000000"/>
                          <w:spacing w:val="16"/>
                        </w:rPr>
                        <w:t> </w:t>
                      </w:r>
                      <w:r>
                        <w:rPr>
                          <w:color w:val="000000"/>
                          <w:spacing w:val="-5"/>
                        </w:rPr>
                        <w:t>14)</w:t>
                      </w:r>
                    </w:p>
                  </w:txbxContent>
                </v:textbox>
                <v:fill type="solid"/>
                <w10:wrap type="topAndBottom"/>
              </v:shape>
            </w:pict>
          </mc:Fallback>
        </mc:AlternateContent>
      </w:r>
    </w:p>
    <w:p>
      <w:pPr>
        <w:pStyle w:val="BodyText"/>
        <w:spacing w:before="3" w:after="17"/>
        <w:ind w:left="156"/>
      </w:pPr>
      <w:r>
        <w:rPr/>
        <w:t>Shareholders’</w:t>
      </w:r>
      <w:r>
        <w:rPr>
          <w:spacing w:val="17"/>
        </w:rPr>
        <w:t> </w:t>
      </w:r>
      <w:r>
        <w:rPr/>
        <w:t>equity</w:t>
      </w:r>
      <w:r>
        <w:rPr>
          <w:spacing w:val="18"/>
        </w:rPr>
        <w:t> </w:t>
      </w:r>
      <w:r>
        <w:rPr/>
        <w:t>(Note</w:t>
      </w:r>
      <w:r>
        <w:rPr>
          <w:spacing w:val="17"/>
        </w:rPr>
        <w:t> </w:t>
      </w:r>
      <w:r>
        <w:rPr>
          <w:spacing w:val="-4"/>
        </w:rPr>
        <w:t>17):</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0"/>
        <w:gridCol w:w="671"/>
        <w:gridCol w:w="1101"/>
        <w:gridCol w:w="618"/>
        <w:gridCol w:w="1074"/>
      </w:tblGrid>
      <w:tr>
        <w:trPr>
          <w:trHeight w:val="407" w:hRule="atLeast"/>
        </w:trPr>
        <w:tc>
          <w:tcPr>
            <w:tcW w:w="8050" w:type="dxa"/>
            <w:shd w:val="clear" w:color="auto" w:fill="CCEDFF"/>
          </w:tcPr>
          <w:p>
            <w:pPr>
              <w:pStyle w:val="TableParagraph"/>
              <w:spacing w:before="3"/>
              <w:ind w:left="305"/>
              <w:rPr>
                <w:sz w:val="16"/>
              </w:rPr>
            </w:pPr>
            <w:r>
              <w:rPr>
                <w:w w:val="105"/>
                <w:sz w:val="16"/>
              </w:rPr>
              <w:t>Convertible</w:t>
            </w:r>
            <w:r>
              <w:rPr>
                <w:spacing w:val="-9"/>
                <w:w w:val="105"/>
                <w:sz w:val="16"/>
              </w:rPr>
              <w:t> </w:t>
            </w:r>
            <w:r>
              <w:rPr>
                <w:w w:val="105"/>
                <w:sz w:val="16"/>
              </w:rPr>
              <w:t>preferred</w:t>
            </w:r>
            <w:r>
              <w:rPr>
                <w:spacing w:val="-9"/>
                <w:w w:val="105"/>
                <w:sz w:val="16"/>
              </w:rPr>
              <w:t> </w:t>
            </w:r>
            <w:r>
              <w:rPr>
                <w:w w:val="105"/>
                <w:sz w:val="16"/>
              </w:rPr>
              <w:t>stock,</w:t>
            </w:r>
            <w:r>
              <w:rPr>
                <w:spacing w:val="-9"/>
                <w:w w:val="105"/>
                <w:sz w:val="16"/>
              </w:rPr>
              <w:t> </w:t>
            </w:r>
            <w:r>
              <w:rPr>
                <w:w w:val="105"/>
                <w:sz w:val="16"/>
              </w:rPr>
              <w:t>Series</w:t>
            </w:r>
            <w:r>
              <w:rPr>
                <w:spacing w:val="-9"/>
                <w:w w:val="105"/>
                <w:sz w:val="16"/>
              </w:rPr>
              <w:t> </w:t>
            </w:r>
            <w:r>
              <w:rPr>
                <w:w w:val="105"/>
                <w:sz w:val="16"/>
              </w:rPr>
              <w:t>A</w:t>
            </w:r>
            <w:r>
              <w:rPr>
                <w:spacing w:val="-8"/>
                <w:w w:val="105"/>
                <w:sz w:val="16"/>
              </w:rPr>
              <w:t> </w:t>
            </w:r>
            <w:r>
              <w:rPr>
                <w:w w:val="105"/>
                <w:sz w:val="16"/>
              </w:rPr>
              <w:t>–</w:t>
            </w:r>
            <w:r>
              <w:rPr>
                <w:spacing w:val="-9"/>
                <w:w w:val="105"/>
                <w:sz w:val="16"/>
              </w:rPr>
              <w:t> </w:t>
            </w:r>
            <w:r>
              <w:rPr>
                <w:w w:val="105"/>
                <w:sz w:val="16"/>
              </w:rPr>
              <w:t>Par</w:t>
            </w:r>
            <w:r>
              <w:rPr>
                <w:spacing w:val="-9"/>
                <w:w w:val="105"/>
                <w:sz w:val="16"/>
              </w:rPr>
              <w:t> </w:t>
            </w:r>
            <w:r>
              <w:rPr>
                <w:w w:val="105"/>
                <w:sz w:val="16"/>
              </w:rPr>
              <w:t>value</w:t>
            </w:r>
            <w:r>
              <w:rPr>
                <w:spacing w:val="-8"/>
                <w:w w:val="105"/>
                <w:sz w:val="16"/>
              </w:rPr>
              <w:t> </w:t>
            </w:r>
            <w:r>
              <w:rPr>
                <w:w w:val="105"/>
                <w:sz w:val="16"/>
              </w:rPr>
              <w:t>$100</w:t>
            </w:r>
            <w:r>
              <w:rPr>
                <w:spacing w:val="-9"/>
                <w:w w:val="105"/>
                <w:sz w:val="16"/>
              </w:rPr>
              <w:t> </w:t>
            </w:r>
            <w:r>
              <w:rPr>
                <w:w w:val="105"/>
                <w:sz w:val="16"/>
              </w:rPr>
              <w:t>per</w:t>
            </w:r>
            <w:r>
              <w:rPr>
                <w:spacing w:val="-9"/>
                <w:w w:val="105"/>
                <w:sz w:val="16"/>
              </w:rPr>
              <w:t> </w:t>
            </w:r>
            <w:r>
              <w:rPr>
                <w:w w:val="105"/>
                <w:sz w:val="16"/>
              </w:rPr>
              <w:t>share;</w:t>
            </w:r>
            <w:r>
              <w:rPr>
                <w:spacing w:val="-8"/>
                <w:w w:val="105"/>
                <w:sz w:val="16"/>
              </w:rPr>
              <w:t> </w:t>
            </w:r>
            <w:r>
              <w:rPr>
                <w:w w:val="105"/>
                <w:sz w:val="16"/>
              </w:rPr>
              <w:t>Shares</w:t>
            </w:r>
            <w:r>
              <w:rPr>
                <w:spacing w:val="-9"/>
                <w:w w:val="105"/>
                <w:sz w:val="16"/>
              </w:rPr>
              <w:t> </w:t>
            </w:r>
            <w:r>
              <w:rPr>
                <w:w w:val="105"/>
                <w:sz w:val="16"/>
              </w:rPr>
              <w:t>authorized</w:t>
            </w:r>
            <w:r>
              <w:rPr>
                <w:spacing w:val="-9"/>
                <w:w w:val="105"/>
                <w:sz w:val="16"/>
              </w:rPr>
              <w:t> </w:t>
            </w:r>
            <w:r>
              <w:rPr>
                <w:w w:val="105"/>
                <w:sz w:val="16"/>
              </w:rPr>
              <w:t>10</w:t>
            </w:r>
            <w:r>
              <w:rPr>
                <w:spacing w:val="-9"/>
                <w:w w:val="105"/>
                <w:sz w:val="16"/>
              </w:rPr>
              <w:t> </w:t>
            </w:r>
            <w:r>
              <w:rPr>
                <w:w w:val="105"/>
                <w:sz w:val="16"/>
              </w:rPr>
              <w:t>million;</w:t>
            </w:r>
            <w:r>
              <w:rPr>
                <w:spacing w:val="-9"/>
                <w:w w:val="105"/>
                <w:sz w:val="16"/>
              </w:rPr>
              <w:t> </w:t>
            </w:r>
            <w:r>
              <w:rPr>
                <w:w w:val="105"/>
                <w:sz w:val="16"/>
              </w:rPr>
              <w:t>Shares</w:t>
            </w:r>
            <w:r>
              <w:rPr>
                <w:spacing w:val="-8"/>
                <w:w w:val="105"/>
                <w:sz w:val="16"/>
              </w:rPr>
              <w:t> </w:t>
            </w:r>
            <w:r>
              <w:rPr>
                <w:w w:val="105"/>
                <w:sz w:val="16"/>
              </w:rPr>
              <w:t>issued:</w:t>
            </w:r>
            <w:r>
              <w:rPr>
                <w:spacing w:val="-8"/>
                <w:w w:val="105"/>
                <w:sz w:val="16"/>
              </w:rPr>
              <w:t> </w:t>
            </w:r>
            <w:r>
              <w:rPr>
                <w:w w:val="105"/>
                <w:sz w:val="16"/>
              </w:rPr>
              <w:t>0</w:t>
            </w:r>
            <w:r>
              <w:rPr>
                <w:spacing w:val="-8"/>
                <w:w w:val="105"/>
                <w:sz w:val="16"/>
              </w:rPr>
              <w:t> </w:t>
            </w:r>
            <w:r>
              <w:rPr>
                <w:spacing w:val="-5"/>
                <w:w w:val="105"/>
                <w:sz w:val="16"/>
              </w:rPr>
              <w:t>and</w:t>
            </w:r>
          </w:p>
          <w:p>
            <w:pPr>
              <w:pStyle w:val="TableParagraph"/>
              <w:spacing w:line="180" w:lineRule="exact" w:before="20"/>
              <w:ind w:left="458"/>
              <w:rPr>
                <w:sz w:val="16"/>
              </w:rPr>
            </w:pPr>
            <w:r>
              <w:rPr>
                <w:spacing w:val="-4"/>
                <w:w w:val="105"/>
                <w:sz w:val="16"/>
              </w:rPr>
              <w:t>2,300</w:t>
            </w:r>
          </w:p>
        </w:tc>
        <w:tc>
          <w:tcPr>
            <w:tcW w:w="671" w:type="dxa"/>
            <w:shd w:val="clear" w:color="auto" w:fill="CCEDFF"/>
          </w:tcPr>
          <w:p>
            <w:pPr>
              <w:pStyle w:val="TableParagraph"/>
              <w:rPr>
                <w:sz w:val="16"/>
              </w:rPr>
            </w:pPr>
          </w:p>
        </w:tc>
        <w:tc>
          <w:tcPr>
            <w:tcW w:w="1101" w:type="dxa"/>
            <w:shd w:val="clear" w:color="auto" w:fill="CCEDFF"/>
          </w:tcPr>
          <w:p>
            <w:pPr>
              <w:pStyle w:val="TableParagraph"/>
              <w:rPr>
                <w:sz w:val="16"/>
              </w:rPr>
            </w:pPr>
          </w:p>
        </w:tc>
        <w:tc>
          <w:tcPr>
            <w:tcW w:w="618" w:type="dxa"/>
            <w:shd w:val="clear" w:color="auto" w:fill="CCEDFF"/>
          </w:tcPr>
          <w:p>
            <w:pPr>
              <w:pStyle w:val="TableParagraph"/>
              <w:rPr>
                <w:sz w:val="16"/>
              </w:rPr>
            </w:pPr>
          </w:p>
        </w:tc>
        <w:tc>
          <w:tcPr>
            <w:tcW w:w="1074" w:type="dxa"/>
            <w:shd w:val="clear" w:color="auto" w:fill="CCEDFF"/>
          </w:tcPr>
          <w:p>
            <w:pPr>
              <w:pStyle w:val="TableParagraph"/>
              <w:spacing w:before="23"/>
              <w:rPr>
                <w:sz w:val="16"/>
              </w:rPr>
            </w:pPr>
          </w:p>
          <w:p>
            <w:pPr>
              <w:pStyle w:val="TableParagraph"/>
              <w:spacing w:line="180" w:lineRule="exact"/>
              <w:ind w:right="111"/>
              <w:jc w:val="right"/>
              <w:rPr>
                <w:sz w:val="16"/>
              </w:rPr>
            </w:pPr>
            <w:r>
              <w:rPr>
                <w:spacing w:val="-4"/>
                <w:w w:val="105"/>
                <w:sz w:val="16"/>
              </w:rPr>
              <w:t>2,300</w:t>
            </w:r>
          </w:p>
        </w:tc>
      </w:tr>
      <w:tr>
        <w:trPr>
          <w:trHeight w:val="203" w:hRule="atLeast"/>
        </w:trPr>
        <w:tc>
          <w:tcPr>
            <w:tcW w:w="8050" w:type="dxa"/>
          </w:tcPr>
          <w:p>
            <w:pPr>
              <w:pStyle w:val="TableParagraph"/>
              <w:spacing w:line="180" w:lineRule="exact" w:before="3"/>
              <w:ind w:left="305"/>
              <w:rPr>
                <w:sz w:val="16"/>
              </w:rPr>
            </w:pPr>
            <w:r>
              <w:rPr>
                <w:w w:val="105"/>
                <w:sz w:val="16"/>
              </w:rPr>
              <w:t>Common</w:t>
            </w:r>
            <w:r>
              <w:rPr>
                <w:spacing w:val="-9"/>
                <w:w w:val="105"/>
                <w:sz w:val="16"/>
              </w:rPr>
              <w:t> </w:t>
            </w:r>
            <w:r>
              <w:rPr>
                <w:w w:val="105"/>
                <w:sz w:val="16"/>
              </w:rPr>
              <w:t>stock</w:t>
            </w:r>
            <w:r>
              <w:rPr>
                <w:spacing w:val="-8"/>
                <w:w w:val="105"/>
                <w:sz w:val="16"/>
              </w:rPr>
              <w:t> </w:t>
            </w:r>
            <w:r>
              <w:rPr>
                <w:w w:val="105"/>
                <w:sz w:val="16"/>
              </w:rPr>
              <w:t>–</w:t>
            </w:r>
            <w:r>
              <w:rPr>
                <w:spacing w:val="-8"/>
                <w:w w:val="105"/>
                <w:sz w:val="16"/>
              </w:rPr>
              <w:t> </w:t>
            </w:r>
            <w:r>
              <w:rPr>
                <w:w w:val="105"/>
                <w:sz w:val="16"/>
              </w:rPr>
              <w:t>Par</w:t>
            </w:r>
            <w:r>
              <w:rPr>
                <w:spacing w:val="-9"/>
                <w:w w:val="105"/>
                <w:sz w:val="16"/>
              </w:rPr>
              <w:t> </w:t>
            </w:r>
            <w:r>
              <w:rPr>
                <w:w w:val="105"/>
                <w:sz w:val="16"/>
              </w:rPr>
              <w:t>value</w:t>
            </w:r>
            <w:r>
              <w:rPr>
                <w:spacing w:val="-7"/>
                <w:w w:val="105"/>
                <w:sz w:val="16"/>
              </w:rPr>
              <w:t> </w:t>
            </w:r>
            <w:r>
              <w:rPr>
                <w:w w:val="105"/>
                <w:sz w:val="16"/>
              </w:rPr>
              <w:t>$0.50</w:t>
            </w:r>
            <w:r>
              <w:rPr>
                <w:spacing w:val="-9"/>
                <w:w w:val="105"/>
                <w:sz w:val="16"/>
              </w:rPr>
              <w:t> </w:t>
            </w:r>
            <w:r>
              <w:rPr>
                <w:w w:val="105"/>
                <w:sz w:val="16"/>
              </w:rPr>
              <w:t>per</w:t>
            </w:r>
            <w:r>
              <w:rPr>
                <w:spacing w:val="-8"/>
                <w:w w:val="105"/>
                <w:sz w:val="16"/>
              </w:rPr>
              <w:t> </w:t>
            </w:r>
            <w:r>
              <w:rPr>
                <w:w w:val="105"/>
                <w:sz w:val="16"/>
              </w:rPr>
              <w:t>share;</w:t>
            </w:r>
            <w:r>
              <w:rPr>
                <w:spacing w:val="-8"/>
                <w:w w:val="105"/>
                <w:sz w:val="16"/>
              </w:rPr>
              <w:t> </w:t>
            </w:r>
            <w:r>
              <w:rPr>
                <w:w w:val="105"/>
                <w:sz w:val="16"/>
              </w:rPr>
              <w:t>Shares</w:t>
            </w:r>
            <w:r>
              <w:rPr>
                <w:spacing w:val="-8"/>
                <w:w w:val="105"/>
                <w:sz w:val="16"/>
              </w:rPr>
              <w:t> </w:t>
            </w:r>
            <w:r>
              <w:rPr>
                <w:w w:val="105"/>
                <w:sz w:val="16"/>
              </w:rPr>
              <w:t>authorized</w:t>
            </w:r>
            <w:r>
              <w:rPr>
                <w:spacing w:val="-9"/>
                <w:w w:val="105"/>
                <w:sz w:val="16"/>
              </w:rPr>
              <w:t> </w:t>
            </w:r>
            <w:r>
              <w:rPr>
                <w:w w:val="105"/>
                <w:sz w:val="16"/>
              </w:rPr>
              <w:t>3.8</w:t>
            </w:r>
            <w:r>
              <w:rPr>
                <w:spacing w:val="-8"/>
                <w:w w:val="105"/>
                <w:sz w:val="16"/>
              </w:rPr>
              <w:t> </w:t>
            </w:r>
            <w:r>
              <w:rPr>
                <w:w w:val="105"/>
                <w:sz w:val="16"/>
              </w:rPr>
              <w:t>billion;</w:t>
            </w:r>
            <w:r>
              <w:rPr>
                <w:spacing w:val="-8"/>
                <w:w w:val="105"/>
                <w:sz w:val="16"/>
              </w:rPr>
              <w:t> </w:t>
            </w:r>
            <w:r>
              <w:rPr>
                <w:w w:val="105"/>
                <w:sz w:val="16"/>
              </w:rPr>
              <w:t>Shares</w:t>
            </w:r>
            <w:r>
              <w:rPr>
                <w:spacing w:val="-9"/>
                <w:w w:val="105"/>
                <w:sz w:val="16"/>
              </w:rPr>
              <w:t> </w:t>
            </w:r>
            <w:r>
              <w:rPr>
                <w:w w:val="105"/>
                <w:sz w:val="16"/>
              </w:rPr>
              <w:t>issued:</w:t>
            </w:r>
            <w:r>
              <w:rPr>
                <w:spacing w:val="-7"/>
                <w:w w:val="105"/>
                <w:sz w:val="16"/>
              </w:rPr>
              <w:t> </w:t>
            </w:r>
            <w:r>
              <w:rPr>
                <w:w w:val="105"/>
                <w:sz w:val="16"/>
              </w:rPr>
              <w:t>1.8</w:t>
            </w:r>
            <w:r>
              <w:rPr>
                <w:spacing w:val="-8"/>
                <w:w w:val="105"/>
                <w:sz w:val="16"/>
              </w:rPr>
              <w:t> </w:t>
            </w:r>
            <w:r>
              <w:rPr>
                <w:w w:val="105"/>
                <w:sz w:val="16"/>
              </w:rPr>
              <w:t>billion</w:t>
            </w:r>
            <w:r>
              <w:rPr>
                <w:spacing w:val="-9"/>
                <w:w w:val="105"/>
                <w:sz w:val="16"/>
              </w:rPr>
              <w:t> </w:t>
            </w:r>
            <w:r>
              <w:rPr>
                <w:w w:val="105"/>
                <w:sz w:val="16"/>
              </w:rPr>
              <w:t>and</w:t>
            </w:r>
            <w:r>
              <w:rPr>
                <w:spacing w:val="-7"/>
                <w:w w:val="105"/>
                <w:sz w:val="16"/>
              </w:rPr>
              <w:t> </w:t>
            </w:r>
            <w:r>
              <w:rPr>
                <w:w w:val="105"/>
                <w:sz w:val="16"/>
              </w:rPr>
              <w:t>1.7</w:t>
            </w:r>
            <w:r>
              <w:rPr>
                <w:spacing w:val="-9"/>
                <w:w w:val="105"/>
                <w:sz w:val="16"/>
              </w:rPr>
              <w:t> </w:t>
            </w:r>
            <w:r>
              <w:rPr>
                <w:spacing w:val="-2"/>
                <w:w w:val="105"/>
                <w:sz w:val="16"/>
              </w:rPr>
              <w:t>billion</w:t>
            </w:r>
          </w:p>
        </w:tc>
        <w:tc>
          <w:tcPr>
            <w:tcW w:w="671" w:type="dxa"/>
          </w:tcPr>
          <w:p>
            <w:pPr>
              <w:pStyle w:val="TableParagraph"/>
              <w:rPr>
                <w:sz w:val="14"/>
              </w:rPr>
            </w:pPr>
          </w:p>
        </w:tc>
        <w:tc>
          <w:tcPr>
            <w:tcW w:w="1101" w:type="dxa"/>
          </w:tcPr>
          <w:p>
            <w:pPr>
              <w:pStyle w:val="TableParagraph"/>
              <w:spacing w:line="180" w:lineRule="exact" w:before="3"/>
              <w:ind w:right="138"/>
              <w:jc w:val="right"/>
              <w:rPr>
                <w:b/>
                <w:sz w:val="16"/>
              </w:rPr>
            </w:pPr>
            <w:r>
              <w:rPr>
                <w:b/>
                <w:spacing w:val="-5"/>
                <w:w w:val="105"/>
                <w:sz w:val="16"/>
              </w:rPr>
              <w:t>907</w:t>
            </w:r>
          </w:p>
        </w:tc>
        <w:tc>
          <w:tcPr>
            <w:tcW w:w="618" w:type="dxa"/>
          </w:tcPr>
          <w:p>
            <w:pPr>
              <w:pStyle w:val="TableParagraph"/>
              <w:rPr>
                <w:sz w:val="14"/>
              </w:rPr>
            </w:pPr>
          </w:p>
        </w:tc>
        <w:tc>
          <w:tcPr>
            <w:tcW w:w="1074" w:type="dxa"/>
          </w:tcPr>
          <w:p>
            <w:pPr>
              <w:pStyle w:val="TableParagraph"/>
              <w:spacing w:line="180" w:lineRule="exact" w:before="3"/>
              <w:ind w:right="111"/>
              <w:jc w:val="right"/>
              <w:rPr>
                <w:sz w:val="16"/>
              </w:rPr>
            </w:pPr>
            <w:r>
              <w:rPr>
                <w:spacing w:val="-5"/>
                <w:w w:val="105"/>
                <w:sz w:val="16"/>
              </w:rPr>
              <w:t>863</w:t>
            </w:r>
          </w:p>
        </w:tc>
      </w:tr>
      <w:tr>
        <w:trPr>
          <w:trHeight w:val="203" w:hRule="atLeast"/>
        </w:trPr>
        <w:tc>
          <w:tcPr>
            <w:tcW w:w="8050" w:type="dxa"/>
            <w:shd w:val="clear" w:color="auto" w:fill="CCEDFF"/>
          </w:tcPr>
          <w:p>
            <w:pPr>
              <w:pStyle w:val="TableParagraph"/>
              <w:spacing w:line="180" w:lineRule="exact" w:before="3"/>
              <w:ind w:left="305"/>
              <w:rPr>
                <w:sz w:val="16"/>
              </w:rPr>
            </w:pPr>
            <w:r>
              <w:rPr>
                <w:w w:val="105"/>
                <w:sz w:val="16"/>
              </w:rPr>
              <w:t>Additional</w:t>
            </w:r>
            <w:r>
              <w:rPr>
                <w:spacing w:val="-10"/>
                <w:w w:val="105"/>
                <w:sz w:val="16"/>
              </w:rPr>
              <w:t> </w:t>
            </w:r>
            <w:r>
              <w:rPr>
                <w:w w:val="105"/>
                <w:sz w:val="16"/>
              </w:rPr>
              <w:t>paid-in</w:t>
            </w:r>
            <w:r>
              <w:rPr>
                <w:spacing w:val="-9"/>
                <w:w w:val="105"/>
                <w:sz w:val="16"/>
              </w:rPr>
              <w:t> </w:t>
            </w:r>
            <w:r>
              <w:rPr>
                <w:w w:val="105"/>
                <w:sz w:val="16"/>
              </w:rPr>
              <w:t>capital</w:t>
            </w:r>
            <w:r>
              <w:rPr>
                <w:spacing w:val="-10"/>
                <w:w w:val="105"/>
                <w:sz w:val="16"/>
              </w:rPr>
              <w:t> </w:t>
            </w:r>
            <w:r>
              <w:rPr>
                <w:w w:val="105"/>
                <w:sz w:val="16"/>
              </w:rPr>
              <w:t>–</w:t>
            </w:r>
            <w:r>
              <w:rPr>
                <w:spacing w:val="-9"/>
                <w:w w:val="105"/>
                <w:sz w:val="16"/>
              </w:rPr>
              <w:t> </w:t>
            </w:r>
            <w:r>
              <w:rPr>
                <w:w w:val="105"/>
                <w:sz w:val="16"/>
              </w:rPr>
              <w:t>common</w:t>
            </w:r>
            <w:r>
              <w:rPr>
                <w:spacing w:val="-10"/>
                <w:w w:val="105"/>
                <w:sz w:val="16"/>
              </w:rPr>
              <w:t> </w:t>
            </w:r>
            <w:r>
              <w:rPr>
                <w:spacing w:val="-2"/>
                <w:w w:val="105"/>
                <w:sz w:val="16"/>
              </w:rPr>
              <w:t>stock</w:t>
            </w:r>
          </w:p>
        </w:tc>
        <w:tc>
          <w:tcPr>
            <w:tcW w:w="671" w:type="dxa"/>
            <w:shd w:val="clear" w:color="auto" w:fill="CCEDFF"/>
          </w:tcPr>
          <w:p>
            <w:pPr>
              <w:pStyle w:val="TableParagraph"/>
              <w:rPr>
                <w:sz w:val="14"/>
              </w:rPr>
            </w:pPr>
          </w:p>
        </w:tc>
        <w:tc>
          <w:tcPr>
            <w:tcW w:w="1101" w:type="dxa"/>
            <w:shd w:val="clear" w:color="auto" w:fill="CCEDFF"/>
          </w:tcPr>
          <w:p>
            <w:pPr>
              <w:pStyle w:val="TableParagraph"/>
              <w:spacing w:line="180" w:lineRule="exact" w:before="3"/>
              <w:ind w:right="138"/>
              <w:jc w:val="right"/>
              <w:rPr>
                <w:b/>
                <w:sz w:val="16"/>
              </w:rPr>
            </w:pPr>
            <w:r>
              <w:rPr>
                <w:b/>
                <w:spacing w:val="-2"/>
                <w:w w:val="105"/>
                <w:sz w:val="16"/>
              </w:rPr>
              <w:t>16,475</w:t>
            </w:r>
          </w:p>
        </w:tc>
        <w:tc>
          <w:tcPr>
            <w:tcW w:w="618" w:type="dxa"/>
            <w:shd w:val="clear" w:color="auto" w:fill="CCEDFF"/>
          </w:tcPr>
          <w:p>
            <w:pPr>
              <w:pStyle w:val="TableParagraph"/>
              <w:rPr>
                <w:sz w:val="14"/>
              </w:rPr>
            </w:pPr>
          </w:p>
        </w:tc>
        <w:tc>
          <w:tcPr>
            <w:tcW w:w="1074" w:type="dxa"/>
            <w:shd w:val="clear" w:color="auto" w:fill="CCEDFF"/>
          </w:tcPr>
          <w:p>
            <w:pPr>
              <w:pStyle w:val="TableParagraph"/>
              <w:spacing w:line="180" w:lineRule="exact" w:before="3"/>
              <w:ind w:right="111"/>
              <w:jc w:val="right"/>
              <w:rPr>
                <w:sz w:val="16"/>
              </w:rPr>
            </w:pPr>
            <w:r>
              <w:rPr>
                <w:spacing w:val="-2"/>
                <w:w w:val="105"/>
                <w:sz w:val="16"/>
              </w:rPr>
              <w:t>14,642</w:t>
            </w:r>
          </w:p>
        </w:tc>
      </w:tr>
      <w:tr>
        <w:trPr>
          <w:trHeight w:val="203" w:hRule="atLeast"/>
        </w:trPr>
        <w:tc>
          <w:tcPr>
            <w:tcW w:w="8050" w:type="dxa"/>
          </w:tcPr>
          <w:p>
            <w:pPr>
              <w:pStyle w:val="TableParagraph"/>
              <w:spacing w:line="180" w:lineRule="exact" w:before="3"/>
              <w:ind w:left="305"/>
              <w:rPr>
                <w:sz w:val="16"/>
              </w:rPr>
            </w:pPr>
            <w:r>
              <w:rPr>
                <w:sz w:val="16"/>
              </w:rPr>
              <w:t>Retained</w:t>
            </w:r>
            <w:r>
              <w:rPr>
                <w:spacing w:val="18"/>
                <w:sz w:val="16"/>
              </w:rPr>
              <w:t> </w:t>
            </w:r>
            <w:r>
              <w:rPr>
                <w:spacing w:val="-2"/>
                <w:sz w:val="16"/>
              </w:rPr>
              <w:t>earnings</w:t>
            </w:r>
          </w:p>
        </w:tc>
        <w:tc>
          <w:tcPr>
            <w:tcW w:w="671" w:type="dxa"/>
          </w:tcPr>
          <w:p>
            <w:pPr>
              <w:pStyle w:val="TableParagraph"/>
              <w:rPr>
                <w:sz w:val="14"/>
              </w:rPr>
            </w:pPr>
          </w:p>
        </w:tc>
        <w:tc>
          <w:tcPr>
            <w:tcW w:w="1101" w:type="dxa"/>
          </w:tcPr>
          <w:p>
            <w:pPr>
              <w:pStyle w:val="TableParagraph"/>
              <w:spacing w:line="180" w:lineRule="exact" w:before="3"/>
              <w:ind w:right="138"/>
              <w:jc w:val="right"/>
              <w:rPr>
                <w:b/>
                <w:sz w:val="16"/>
              </w:rPr>
            </w:pPr>
            <w:r>
              <w:rPr>
                <w:b/>
                <w:spacing w:val="-2"/>
                <w:w w:val="105"/>
                <w:sz w:val="16"/>
              </w:rPr>
              <w:t>16,389</w:t>
            </w:r>
          </w:p>
        </w:tc>
        <w:tc>
          <w:tcPr>
            <w:tcW w:w="618" w:type="dxa"/>
          </w:tcPr>
          <w:p>
            <w:pPr>
              <w:pStyle w:val="TableParagraph"/>
              <w:rPr>
                <w:sz w:val="14"/>
              </w:rPr>
            </w:pPr>
          </w:p>
        </w:tc>
        <w:tc>
          <w:tcPr>
            <w:tcW w:w="1074" w:type="dxa"/>
          </w:tcPr>
          <w:p>
            <w:pPr>
              <w:pStyle w:val="TableParagraph"/>
              <w:spacing w:line="180" w:lineRule="exact" w:before="3"/>
              <w:ind w:right="111"/>
              <w:jc w:val="right"/>
              <w:rPr>
                <w:sz w:val="16"/>
              </w:rPr>
            </w:pPr>
            <w:r>
              <w:rPr>
                <w:spacing w:val="-2"/>
                <w:w w:val="105"/>
                <w:sz w:val="16"/>
              </w:rPr>
              <w:t>16,120</w:t>
            </w:r>
          </w:p>
        </w:tc>
      </w:tr>
      <w:tr>
        <w:trPr>
          <w:trHeight w:val="203" w:hRule="atLeast"/>
        </w:trPr>
        <w:tc>
          <w:tcPr>
            <w:tcW w:w="8050" w:type="dxa"/>
            <w:shd w:val="clear" w:color="auto" w:fill="CCEDFF"/>
          </w:tcPr>
          <w:p>
            <w:pPr>
              <w:pStyle w:val="TableParagraph"/>
              <w:spacing w:line="180" w:lineRule="exact" w:before="3"/>
              <w:ind w:left="305"/>
              <w:rPr>
                <w:sz w:val="16"/>
              </w:rPr>
            </w:pPr>
            <w:r>
              <w:rPr>
                <w:w w:val="105"/>
                <w:sz w:val="16"/>
              </w:rPr>
              <w:t>Treasury</w:t>
            </w:r>
            <w:r>
              <w:rPr>
                <w:spacing w:val="-8"/>
                <w:w w:val="105"/>
                <w:sz w:val="16"/>
              </w:rPr>
              <w:t> </w:t>
            </w:r>
            <w:r>
              <w:rPr>
                <w:w w:val="105"/>
                <w:sz w:val="16"/>
              </w:rPr>
              <w:t>stock,</w:t>
            </w:r>
            <w:r>
              <w:rPr>
                <w:spacing w:val="-7"/>
                <w:w w:val="105"/>
                <w:sz w:val="16"/>
              </w:rPr>
              <w:t> </w:t>
            </w:r>
            <w:r>
              <w:rPr>
                <w:w w:val="105"/>
                <w:sz w:val="16"/>
              </w:rPr>
              <w:t>at</w:t>
            </w:r>
            <w:r>
              <w:rPr>
                <w:spacing w:val="-8"/>
                <w:w w:val="105"/>
                <w:sz w:val="16"/>
              </w:rPr>
              <w:t> </w:t>
            </w:r>
            <w:r>
              <w:rPr>
                <w:w w:val="105"/>
                <w:sz w:val="16"/>
              </w:rPr>
              <w:t>cost;</w:t>
            </w:r>
            <w:r>
              <w:rPr>
                <w:spacing w:val="-7"/>
                <w:w w:val="105"/>
                <w:sz w:val="16"/>
              </w:rPr>
              <w:t> </w:t>
            </w:r>
            <w:r>
              <w:rPr>
                <w:w w:val="105"/>
                <w:sz w:val="16"/>
              </w:rPr>
              <w:t>Shares</w:t>
            </w:r>
            <w:r>
              <w:rPr>
                <w:spacing w:val="-8"/>
                <w:w w:val="105"/>
                <w:sz w:val="16"/>
              </w:rPr>
              <w:t> </w:t>
            </w:r>
            <w:r>
              <w:rPr>
                <w:w w:val="105"/>
                <w:sz w:val="16"/>
              </w:rPr>
              <w:t>held:</w:t>
            </w:r>
            <w:r>
              <w:rPr>
                <w:spacing w:val="-7"/>
                <w:w w:val="105"/>
                <w:sz w:val="16"/>
              </w:rPr>
              <w:t> </w:t>
            </w:r>
            <w:r>
              <w:rPr>
                <w:w w:val="105"/>
                <w:sz w:val="16"/>
              </w:rPr>
              <w:t>970</w:t>
            </w:r>
            <w:r>
              <w:rPr>
                <w:spacing w:val="-8"/>
                <w:w w:val="105"/>
                <w:sz w:val="16"/>
              </w:rPr>
              <w:t> </w:t>
            </w:r>
            <w:r>
              <w:rPr>
                <w:w w:val="105"/>
                <w:sz w:val="16"/>
              </w:rPr>
              <w:t>million</w:t>
            </w:r>
            <w:r>
              <w:rPr>
                <w:spacing w:val="-7"/>
                <w:w w:val="105"/>
                <w:sz w:val="16"/>
              </w:rPr>
              <w:t> </w:t>
            </w:r>
            <w:r>
              <w:rPr>
                <w:w w:val="105"/>
                <w:sz w:val="16"/>
              </w:rPr>
              <w:t>and</w:t>
            </w:r>
            <w:r>
              <w:rPr>
                <w:spacing w:val="-7"/>
                <w:w w:val="105"/>
                <w:sz w:val="16"/>
              </w:rPr>
              <w:t> </w:t>
            </w:r>
            <w:r>
              <w:rPr>
                <w:w w:val="105"/>
                <w:sz w:val="16"/>
              </w:rPr>
              <w:t>961</w:t>
            </w:r>
            <w:r>
              <w:rPr>
                <w:spacing w:val="-7"/>
                <w:w w:val="105"/>
                <w:sz w:val="16"/>
              </w:rPr>
              <w:t> </w:t>
            </w:r>
            <w:r>
              <w:rPr>
                <w:spacing w:val="-2"/>
                <w:w w:val="105"/>
                <w:sz w:val="16"/>
              </w:rPr>
              <w:t>million</w:t>
            </w:r>
          </w:p>
        </w:tc>
        <w:tc>
          <w:tcPr>
            <w:tcW w:w="671" w:type="dxa"/>
            <w:shd w:val="clear" w:color="auto" w:fill="CCEDFF"/>
          </w:tcPr>
          <w:p>
            <w:pPr>
              <w:pStyle w:val="TableParagraph"/>
              <w:rPr>
                <w:sz w:val="14"/>
              </w:rPr>
            </w:pPr>
          </w:p>
        </w:tc>
        <w:tc>
          <w:tcPr>
            <w:tcW w:w="1101" w:type="dxa"/>
            <w:shd w:val="clear" w:color="auto" w:fill="CCEDFF"/>
          </w:tcPr>
          <w:p>
            <w:pPr>
              <w:pStyle w:val="TableParagraph"/>
              <w:spacing w:line="180" w:lineRule="exact" w:before="3"/>
              <w:ind w:right="83"/>
              <w:jc w:val="right"/>
              <w:rPr>
                <w:b/>
                <w:sz w:val="16"/>
              </w:rPr>
            </w:pPr>
            <w:r>
              <w:rPr>
                <w:b/>
                <w:spacing w:val="-2"/>
                <w:w w:val="105"/>
                <w:sz w:val="16"/>
              </w:rPr>
              <w:t>(20,263)</w:t>
            </w:r>
          </w:p>
        </w:tc>
        <w:tc>
          <w:tcPr>
            <w:tcW w:w="618" w:type="dxa"/>
            <w:shd w:val="clear" w:color="auto" w:fill="CCEDFF"/>
          </w:tcPr>
          <w:p>
            <w:pPr>
              <w:pStyle w:val="TableParagraph"/>
              <w:rPr>
                <w:sz w:val="14"/>
              </w:rPr>
            </w:pPr>
          </w:p>
        </w:tc>
        <w:tc>
          <w:tcPr>
            <w:tcW w:w="1074" w:type="dxa"/>
            <w:shd w:val="clear" w:color="auto" w:fill="CCEDFF"/>
          </w:tcPr>
          <w:p>
            <w:pPr>
              <w:pStyle w:val="TableParagraph"/>
              <w:spacing w:line="180" w:lineRule="exact" w:before="3"/>
              <w:ind w:right="57"/>
              <w:jc w:val="right"/>
              <w:rPr>
                <w:sz w:val="16"/>
              </w:rPr>
            </w:pPr>
            <w:r>
              <w:rPr>
                <w:spacing w:val="-2"/>
                <w:w w:val="105"/>
                <w:sz w:val="16"/>
              </w:rPr>
              <w:t>(19,928)</w:t>
            </w:r>
          </w:p>
        </w:tc>
      </w:tr>
      <w:tr>
        <w:trPr>
          <w:trHeight w:val="202" w:hRule="atLeast"/>
        </w:trPr>
        <w:tc>
          <w:tcPr>
            <w:tcW w:w="8050" w:type="dxa"/>
          </w:tcPr>
          <w:p>
            <w:pPr>
              <w:pStyle w:val="TableParagraph"/>
              <w:spacing w:line="166" w:lineRule="exact" w:before="16"/>
              <w:ind w:left="305"/>
              <w:rPr>
                <w:sz w:val="16"/>
              </w:rPr>
            </w:pPr>
            <w:r>
              <w:rPr>
                <w:sz w:val="16"/>
              </w:rPr>
              <w:t>Accumulated</w:t>
            </w:r>
            <w:r>
              <w:rPr>
                <w:spacing w:val="23"/>
                <w:sz w:val="16"/>
              </w:rPr>
              <w:t> </w:t>
            </w:r>
            <w:r>
              <w:rPr>
                <w:sz w:val="16"/>
              </w:rPr>
              <w:t>other</w:t>
            </w:r>
            <w:r>
              <w:rPr>
                <w:spacing w:val="23"/>
                <w:sz w:val="16"/>
              </w:rPr>
              <w:t> </w:t>
            </w:r>
            <w:r>
              <w:rPr>
                <w:sz w:val="16"/>
              </w:rPr>
              <w:t>comprehensive</w:t>
            </w:r>
            <w:r>
              <w:rPr>
                <w:spacing w:val="23"/>
                <w:sz w:val="16"/>
              </w:rPr>
              <w:t> </w:t>
            </w:r>
            <w:r>
              <w:rPr>
                <w:spacing w:val="-4"/>
                <w:sz w:val="16"/>
              </w:rPr>
              <w:t>loss</w:t>
            </w:r>
          </w:p>
        </w:tc>
        <w:tc>
          <w:tcPr>
            <w:tcW w:w="671" w:type="dxa"/>
            <w:tcBorders>
              <w:bottom w:val="single" w:sz="6" w:space="0" w:color="000000"/>
            </w:tcBorders>
          </w:tcPr>
          <w:p>
            <w:pPr>
              <w:pStyle w:val="TableParagraph"/>
              <w:rPr>
                <w:sz w:val="14"/>
              </w:rPr>
            </w:pPr>
          </w:p>
        </w:tc>
        <w:tc>
          <w:tcPr>
            <w:tcW w:w="1101" w:type="dxa"/>
            <w:tcBorders>
              <w:bottom w:val="single" w:sz="6" w:space="0" w:color="000000"/>
            </w:tcBorders>
          </w:tcPr>
          <w:p>
            <w:pPr>
              <w:pStyle w:val="TableParagraph"/>
              <w:spacing w:line="179" w:lineRule="exact" w:before="3"/>
              <w:ind w:right="83"/>
              <w:jc w:val="right"/>
              <w:rPr>
                <w:b/>
                <w:sz w:val="16"/>
              </w:rPr>
            </w:pPr>
            <w:r>
              <w:rPr>
                <w:b/>
                <w:spacing w:val="-2"/>
                <w:w w:val="105"/>
                <w:sz w:val="16"/>
              </w:rPr>
              <w:t>(1,175)</w:t>
            </w:r>
          </w:p>
        </w:tc>
        <w:tc>
          <w:tcPr>
            <w:tcW w:w="618" w:type="dxa"/>
            <w:tcBorders>
              <w:bottom w:val="single" w:sz="6" w:space="0" w:color="000000"/>
            </w:tcBorders>
          </w:tcPr>
          <w:p>
            <w:pPr>
              <w:pStyle w:val="TableParagraph"/>
              <w:rPr>
                <w:sz w:val="14"/>
              </w:rPr>
            </w:pPr>
          </w:p>
        </w:tc>
        <w:tc>
          <w:tcPr>
            <w:tcW w:w="1074" w:type="dxa"/>
            <w:tcBorders>
              <w:bottom w:val="single" w:sz="6" w:space="0" w:color="000000"/>
            </w:tcBorders>
          </w:tcPr>
          <w:p>
            <w:pPr>
              <w:pStyle w:val="TableParagraph"/>
              <w:spacing w:line="179" w:lineRule="exact" w:before="3"/>
              <w:ind w:right="57"/>
              <w:jc w:val="right"/>
              <w:rPr>
                <w:sz w:val="16"/>
              </w:rPr>
            </w:pPr>
            <w:r>
              <w:rPr>
                <w:spacing w:val="-2"/>
                <w:w w:val="105"/>
                <w:sz w:val="16"/>
              </w:rPr>
              <w:t>(740)</w:t>
            </w:r>
          </w:p>
        </w:tc>
      </w:tr>
      <w:tr>
        <w:trPr>
          <w:trHeight w:val="201" w:hRule="atLeast"/>
        </w:trPr>
        <w:tc>
          <w:tcPr>
            <w:tcW w:w="8050" w:type="dxa"/>
            <w:shd w:val="clear" w:color="auto" w:fill="CCEDFF"/>
          </w:tcPr>
          <w:p>
            <w:pPr>
              <w:pStyle w:val="TableParagraph"/>
              <w:spacing w:line="166" w:lineRule="exact" w:before="15"/>
              <w:ind w:left="458"/>
              <w:rPr>
                <w:sz w:val="16"/>
              </w:rPr>
            </w:pPr>
            <w:r>
              <w:rPr>
                <w:sz w:val="16"/>
              </w:rPr>
              <w:t>Total</w:t>
            </w:r>
            <w:r>
              <w:rPr>
                <w:spacing w:val="20"/>
                <w:sz w:val="16"/>
              </w:rPr>
              <w:t> </w:t>
            </w:r>
            <w:r>
              <w:rPr>
                <w:sz w:val="16"/>
              </w:rPr>
              <w:t>Corning</w:t>
            </w:r>
            <w:r>
              <w:rPr>
                <w:spacing w:val="21"/>
                <w:sz w:val="16"/>
              </w:rPr>
              <w:t> </w:t>
            </w:r>
            <w:r>
              <w:rPr>
                <w:sz w:val="16"/>
              </w:rPr>
              <w:t>Incorporated</w:t>
            </w:r>
            <w:r>
              <w:rPr>
                <w:spacing w:val="20"/>
                <w:sz w:val="16"/>
              </w:rPr>
              <w:t> </w:t>
            </w:r>
            <w:r>
              <w:rPr>
                <w:sz w:val="16"/>
              </w:rPr>
              <w:t>shareholders’</w:t>
            </w:r>
            <w:r>
              <w:rPr>
                <w:spacing w:val="21"/>
                <w:sz w:val="16"/>
              </w:rPr>
              <w:t> </w:t>
            </w:r>
            <w:r>
              <w:rPr>
                <w:spacing w:val="-2"/>
                <w:sz w:val="16"/>
              </w:rPr>
              <w:t>equity</w:t>
            </w:r>
          </w:p>
        </w:tc>
        <w:tc>
          <w:tcPr>
            <w:tcW w:w="671" w:type="dxa"/>
            <w:tcBorders>
              <w:top w:val="single" w:sz="6" w:space="0" w:color="000000"/>
              <w:bottom w:val="single" w:sz="6" w:space="0" w:color="000000"/>
            </w:tcBorders>
            <w:shd w:val="clear" w:color="auto" w:fill="CCEDFF"/>
          </w:tcPr>
          <w:p>
            <w:pPr>
              <w:pStyle w:val="TableParagraph"/>
              <w:rPr>
                <w:sz w:val="14"/>
              </w:rPr>
            </w:pPr>
          </w:p>
        </w:tc>
        <w:tc>
          <w:tcPr>
            <w:tcW w:w="1101" w:type="dxa"/>
            <w:tcBorders>
              <w:top w:val="single" w:sz="6" w:space="0" w:color="000000"/>
              <w:bottom w:val="single" w:sz="6" w:space="0" w:color="000000"/>
            </w:tcBorders>
            <w:shd w:val="clear" w:color="auto" w:fill="CCEDFF"/>
          </w:tcPr>
          <w:p>
            <w:pPr>
              <w:pStyle w:val="TableParagraph"/>
              <w:spacing w:line="179" w:lineRule="exact" w:before="2"/>
              <w:ind w:right="138"/>
              <w:jc w:val="right"/>
              <w:rPr>
                <w:b/>
                <w:sz w:val="16"/>
              </w:rPr>
            </w:pPr>
            <w:r>
              <w:rPr>
                <w:b/>
                <w:spacing w:val="-2"/>
                <w:w w:val="105"/>
                <w:sz w:val="16"/>
              </w:rPr>
              <w:t>12,333</w:t>
            </w:r>
          </w:p>
        </w:tc>
        <w:tc>
          <w:tcPr>
            <w:tcW w:w="618" w:type="dxa"/>
            <w:tcBorders>
              <w:top w:val="single" w:sz="6" w:space="0" w:color="000000"/>
              <w:bottom w:val="single" w:sz="6" w:space="0" w:color="000000"/>
            </w:tcBorders>
            <w:shd w:val="clear" w:color="auto" w:fill="CCEDFF"/>
          </w:tcPr>
          <w:p>
            <w:pPr>
              <w:pStyle w:val="TableParagraph"/>
              <w:rPr>
                <w:sz w:val="14"/>
              </w:rPr>
            </w:pPr>
          </w:p>
        </w:tc>
        <w:tc>
          <w:tcPr>
            <w:tcW w:w="1074" w:type="dxa"/>
            <w:tcBorders>
              <w:top w:val="single" w:sz="6" w:space="0" w:color="000000"/>
              <w:bottom w:val="single" w:sz="6" w:space="0" w:color="000000"/>
            </w:tcBorders>
            <w:shd w:val="clear" w:color="auto" w:fill="CCEDFF"/>
          </w:tcPr>
          <w:p>
            <w:pPr>
              <w:pStyle w:val="TableParagraph"/>
              <w:spacing w:line="179" w:lineRule="exact" w:before="2"/>
              <w:ind w:right="111"/>
              <w:jc w:val="right"/>
              <w:rPr>
                <w:sz w:val="16"/>
              </w:rPr>
            </w:pPr>
            <w:r>
              <w:rPr>
                <w:spacing w:val="-2"/>
                <w:w w:val="105"/>
                <w:sz w:val="16"/>
              </w:rPr>
              <w:t>13,257</w:t>
            </w:r>
          </w:p>
        </w:tc>
      </w:tr>
      <w:tr>
        <w:trPr>
          <w:trHeight w:val="201" w:hRule="atLeast"/>
        </w:trPr>
        <w:tc>
          <w:tcPr>
            <w:tcW w:w="8050" w:type="dxa"/>
          </w:tcPr>
          <w:p>
            <w:pPr>
              <w:pStyle w:val="TableParagraph"/>
              <w:spacing w:line="166" w:lineRule="exact" w:before="15"/>
              <w:rPr>
                <w:sz w:val="16"/>
              </w:rPr>
            </w:pPr>
            <w:r>
              <w:rPr>
                <w:sz w:val="16"/>
              </w:rPr>
              <w:t>Noncontrolling</w:t>
            </w:r>
            <w:r>
              <w:rPr>
                <w:spacing w:val="30"/>
                <w:sz w:val="16"/>
              </w:rPr>
              <w:t> </w:t>
            </w:r>
            <w:r>
              <w:rPr>
                <w:spacing w:val="-2"/>
                <w:sz w:val="16"/>
              </w:rPr>
              <w:t>interest</w:t>
            </w:r>
          </w:p>
        </w:tc>
        <w:tc>
          <w:tcPr>
            <w:tcW w:w="671" w:type="dxa"/>
            <w:tcBorders>
              <w:top w:val="single" w:sz="6" w:space="0" w:color="000000"/>
              <w:bottom w:val="single" w:sz="6" w:space="0" w:color="000000"/>
            </w:tcBorders>
          </w:tcPr>
          <w:p>
            <w:pPr>
              <w:pStyle w:val="TableParagraph"/>
              <w:rPr>
                <w:sz w:val="14"/>
              </w:rPr>
            </w:pPr>
          </w:p>
        </w:tc>
        <w:tc>
          <w:tcPr>
            <w:tcW w:w="1101" w:type="dxa"/>
            <w:tcBorders>
              <w:top w:val="single" w:sz="6" w:space="0" w:color="000000"/>
              <w:bottom w:val="single" w:sz="6" w:space="0" w:color="000000"/>
            </w:tcBorders>
          </w:tcPr>
          <w:p>
            <w:pPr>
              <w:pStyle w:val="TableParagraph"/>
              <w:spacing w:line="179" w:lineRule="exact" w:before="2"/>
              <w:ind w:right="138"/>
              <w:jc w:val="right"/>
              <w:rPr>
                <w:b/>
                <w:sz w:val="16"/>
              </w:rPr>
            </w:pPr>
            <w:r>
              <w:rPr>
                <w:b/>
                <w:spacing w:val="-5"/>
                <w:w w:val="105"/>
                <w:sz w:val="16"/>
              </w:rPr>
              <w:t>212</w:t>
            </w:r>
          </w:p>
        </w:tc>
        <w:tc>
          <w:tcPr>
            <w:tcW w:w="618" w:type="dxa"/>
            <w:tcBorders>
              <w:top w:val="single" w:sz="6" w:space="0" w:color="000000"/>
              <w:bottom w:val="single" w:sz="6" w:space="0" w:color="000000"/>
            </w:tcBorders>
          </w:tcPr>
          <w:p>
            <w:pPr>
              <w:pStyle w:val="TableParagraph"/>
              <w:rPr>
                <w:sz w:val="14"/>
              </w:rPr>
            </w:pPr>
          </w:p>
        </w:tc>
        <w:tc>
          <w:tcPr>
            <w:tcW w:w="1074" w:type="dxa"/>
            <w:tcBorders>
              <w:top w:val="single" w:sz="6" w:space="0" w:color="000000"/>
              <w:bottom w:val="single" w:sz="6" w:space="0" w:color="000000"/>
            </w:tcBorders>
          </w:tcPr>
          <w:p>
            <w:pPr>
              <w:pStyle w:val="TableParagraph"/>
              <w:spacing w:line="179" w:lineRule="exact" w:before="2"/>
              <w:ind w:right="111"/>
              <w:jc w:val="right"/>
              <w:rPr>
                <w:sz w:val="16"/>
              </w:rPr>
            </w:pPr>
            <w:r>
              <w:rPr>
                <w:spacing w:val="-5"/>
                <w:w w:val="105"/>
                <w:sz w:val="16"/>
              </w:rPr>
              <w:t>191</w:t>
            </w:r>
          </w:p>
        </w:tc>
      </w:tr>
      <w:tr>
        <w:trPr>
          <w:trHeight w:val="201" w:hRule="atLeast"/>
        </w:trPr>
        <w:tc>
          <w:tcPr>
            <w:tcW w:w="8050" w:type="dxa"/>
            <w:shd w:val="clear" w:color="auto" w:fill="CCEDFF"/>
          </w:tcPr>
          <w:p>
            <w:pPr>
              <w:pStyle w:val="TableParagraph"/>
              <w:spacing w:line="166" w:lineRule="exact" w:before="15"/>
              <w:ind w:left="458"/>
              <w:rPr>
                <w:sz w:val="16"/>
              </w:rPr>
            </w:pPr>
            <w:r>
              <w:rPr>
                <w:w w:val="105"/>
                <w:sz w:val="16"/>
              </w:rPr>
              <w:t>Total</w:t>
            </w:r>
            <w:r>
              <w:rPr>
                <w:spacing w:val="-8"/>
                <w:w w:val="105"/>
                <w:sz w:val="16"/>
              </w:rPr>
              <w:t> </w:t>
            </w:r>
            <w:r>
              <w:rPr>
                <w:spacing w:val="-2"/>
                <w:w w:val="105"/>
                <w:sz w:val="16"/>
              </w:rPr>
              <w:t>equity</w:t>
            </w:r>
          </w:p>
        </w:tc>
        <w:tc>
          <w:tcPr>
            <w:tcW w:w="671" w:type="dxa"/>
            <w:tcBorders>
              <w:top w:val="single" w:sz="6" w:space="0" w:color="000000"/>
              <w:bottom w:val="single" w:sz="6" w:space="0" w:color="000000"/>
            </w:tcBorders>
            <w:shd w:val="clear" w:color="auto" w:fill="CCEDFF"/>
          </w:tcPr>
          <w:p>
            <w:pPr>
              <w:pStyle w:val="TableParagraph"/>
              <w:rPr>
                <w:sz w:val="14"/>
              </w:rPr>
            </w:pPr>
          </w:p>
        </w:tc>
        <w:tc>
          <w:tcPr>
            <w:tcW w:w="1101" w:type="dxa"/>
            <w:tcBorders>
              <w:top w:val="single" w:sz="6" w:space="0" w:color="000000"/>
              <w:bottom w:val="single" w:sz="6" w:space="0" w:color="000000"/>
            </w:tcBorders>
            <w:shd w:val="clear" w:color="auto" w:fill="CCEDFF"/>
          </w:tcPr>
          <w:p>
            <w:pPr>
              <w:pStyle w:val="TableParagraph"/>
              <w:spacing w:line="179" w:lineRule="exact" w:before="2"/>
              <w:ind w:right="138"/>
              <w:jc w:val="right"/>
              <w:rPr>
                <w:b/>
                <w:sz w:val="16"/>
              </w:rPr>
            </w:pPr>
            <w:r>
              <w:rPr>
                <w:b/>
                <w:spacing w:val="-2"/>
                <w:w w:val="105"/>
                <w:sz w:val="16"/>
              </w:rPr>
              <w:t>12,545</w:t>
            </w:r>
          </w:p>
        </w:tc>
        <w:tc>
          <w:tcPr>
            <w:tcW w:w="618" w:type="dxa"/>
            <w:tcBorders>
              <w:top w:val="single" w:sz="6" w:space="0" w:color="000000"/>
              <w:bottom w:val="single" w:sz="6" w:space="0" w:color="000000"/>
            </w:tcBorders>
            <w:shd w:val="clear" w:color="auto" w:fill="CCEDFF"/>
          </w:tcPr>
          <w:p>
            <w:pPr>
              <w:pStyle w:val="TableParagraph"/>
              <w:rPr>
                <w:sz w:val="14"/>
              </w:rPr>
            </w:pPr>
          </w:p>
        </w:tc>
        <w:tc>
          <w:tcPr>
            <w:tcW w:w="1074" w:type="dxa"/>
            <w:tcBorders>
              <w:top w:val="single" w:sz="6" w:space="0" w:color="000000"/>
              <w:bottom w:val="single" w:sz="6" w:space="0" w:color="000000"/>
            </w:tcBorders>
            <w:shd w:val="clear" w:color="auto" w:fill="CCEDFF"/>
          </w:tcPr>
          <w:p>
            <w:pPr>
              <w:pStyle w:val="TableParagraph"/>
              <w:spacing w:line="179" w:lineRule="exact" w:before="2"/>
              <w:ind w:right="111"/>
              <w:jc w:val="right"/>
              <w:rPr>
                <w:sz w:val="16"/>
              </w:rPr>
            </w:pPr>
            <w:r>
              <w:rPr>
                <w:spacing w:val="-2"/>
                <w:w w:val="105"/>
                <w:sz w:val="16"/>
              </w:rPr>
              <w:t>13,448</w:t>
            </w:r>
          </w:p>
        </w:tc>
      </w:tr>
      <w:tr>
        <w:trPr>
          <w:trHeight w:val="202" w:hRule="atLeast"/>
        </w:trPr>
        <w:tc>
          <w:tcPr>
            <w:tcW w:w="8050" w:type="dxa"/>
          </w:tcPr>
          <w:p>
            <w:pPr>
              <w:pStyle w:val="TableParagraph"/>
              <w:rPr>
                <w:sz w:val="14"/>
              </w:rPr>
            </w:pPr>
          </w:p>
        </w:tc>
        <w:tc>
          <w:tcPr>
            <w:tcW w:w="671" w:type="dxa"/>
            <w:tcBorders>
              <w:top w:val="single" w:sz="6" w:space="0" w:color="000000"/>
            </w:tcBorders>
          </w:tcPr>
          <w:p>
            <w:pPr>
              <w:pStyle w:val="TableParagraph"/>
              <w:rPr>
                <w:sz w:val="14"/>
              </w:rPr>
            </w:pPr>
          </w:p>
        </w:tc>
        <w:tc>
          <w:tcPr>
            <w:tcW w:w="1101" w:type="dxa"/>
            <w:tcBorders>
              <w:top w:val="single" w:sz="6" w:space="0" w:color="000000"/>
            </w:tcBorders>
          </w:tcPr>
          <w:p>
            <w:pPr>
              <w:pStyle w:val="TableParagraph"/>
              <w:rPr>
                <w:sz w:val="14"/>
              </w:rPr>
            </w:pPr>
          </w:p>
        </w:tc>
        <w:tc>
          <w:tcPr>
            <w:tcW w:w="618" w:type="dxa"/>
            <w:tcBorders>
              <w:top w:val="single" w:sz="6" w:space="0" w:color="000000"/>
            </w:tcBorders>
          </w:tcPr>
          <w:p>
            <w:pPr>
              <w:pStyle w:val="TableParagraph"/>
              <w:rPr>
                <w:sz w:val="14"/>
              </w:rPr>
            </w:pPr>
          </w:p>
        </w:tc>
        <w:tc>
          <w:tcPr>
            <w:tcW w:w="1074" w:type="dxa"/>
            <w:tcBorders>
              <w:top w:val="single" w:sz="6" w:space="0" w:color="000000"/>
            </w:tcBorders>
          </w:tcPr>
          <w:p>
            <w:pPr>
              <w:pStyle w:val="TableParagraph"/>
              <w:rPr>
                <w:sz w:val="14"/>
              </w:rPr>
            </w:pPr>
          </w:p>
        </w:tc>
      </w:tr>
      <w:tr>
        <w:trPr>
          <w:trHeight w:val="200" w:hRule="atLeast"/>
        </w:trPr>
        <w:tc>
          <w:tcPr>
            <w:tcW w:w="8050" w:type="dxa"/>
            <w:tcBorders>
              <w:bottom w:val="double" w:sz="6" w:space="0" w:color="000000"/>
            </w:tcBorders>
            <w:shd w:val="clear" w:color="auto" w:fill="CCEDFF"/>
          </w:tcPr>
          <w:p>
            <w:pPr>
              <w:pStyle w:val="TableParagraph"/>
              <w:spacing w:line="177" w:lineRule="exact" w:before="3"/>
              <w:rPr>
                <w:b/>
                <w:sz w:val="16"/>
              </w:rPr>
            </w:pPr>
            <w:r>
              <w:rPr>
                <w:b/>
                <w:spacing w:val="-2"/>
                <w:w w:val="105"/>
                <w:sz w:val="16"/>
              </w:rPr>
              <w:t>Total Liabilities</w:t>
            </w:r>
            <w:r>
              <w:rPr>
                <w:b/>
                <w:spacing w:val="-1"/>
                <w:w w:val="105"/>
                <w:sz w:val="16"/>
              </w:rPr>
              <w:t> </w:t>
            </w:r>
            <w:r>
              <w:rPr>
                <w:b/>
                <w:spacing w:val="-2"/>
                <w:w w:val="105"/>
                <w:sz w:val="16"/>
              </w:rPr>
              <w:t>and</w:t>
            </w:r>
            <w:r>
              <w:rPr>
                <w:b/>
                <w:spacing w:val="-1"/>
                <w:w w:val="105"/>
                <w:sz w:val="16"/>
              </w:rPr>
              <w:t> </w:t>
            </w:r>
            <w:r>
              <w:rPr>
                <w:b/>
                <w:spacing w:val="-2"/>
                <w:w w:val="105"/>
                <w:sz w:val="16"/>
              </w:rPr>
              <w:t>Equity</w:t>
            </w:r>
          </w:p>
        </w:tc>
        <w:tc>
          <w:tcPr>
            <w:tcW w:w="671" w:type="dxa"/>
            <w:tcBorders>
              <w:bottom w:val="double" w:sz="6" w:space="0" w:color="000000"/>
            </w:tcBorders>
            <w:shd w:val="clear" w:color="auto" w:fill="CCEDFF"/>
          </w:tcPr>
          <w:p>
            <w:pPr>
              <w:pStyle w:val="TableParagraph"/>
              <w:spacing w:line="177" w:lineRule="exact" w:before="3"/>
              <w:ind w:left="140"/>
              <w:rPr>
                <w:b/>
                <w:sz w:val="16"/>
              </w:rPr>
            </w:pPr>
            <w:r>
              <w:rPr>
                <w:b/>
                <w:spacing w:val="-10"/>
                <w:w w:val="105"/>
                <w:sz w:val="16"/>
              </w:rPr>
              <w:t>$</w:t>
            </w:r>
          </w:p>
        </w:tc>
        <w:tc>
          <w:tcPr>
            <w:tcW w:w="1101" w:type="dxa"/>
            <w:tcBorders>
              <w:bottom w:val="double" w:sz="6" w:space="0" w:color="000000"/>
            </w:tcBorders>
            <w:shd w:val="clear" w:color="auto" w:fill="CCEDFF"/>
          </w:tcPr>
          <w:p>
            <w:pPr>
              <w:pStyle w:val="TableParagraph"/>
              <w:spacing w:line="177" w:lineRule="exact" w:before="3"/>
              <w:ind w:right="138"/>
              <w:jc w:val="right"/>
              <w:rPr>
                <w:b/>
                <w:sz w:val="16"/>
              </w:rPr>
            </w:pPr>
            <w:r>
              <w:rPr>
                <w:b/>
                <w:spacing w:val="-2"/>
                <w:w w:val="105"/>
                <w:sz w:val="16"/>
              </w:rPr>
              <w:t>30,154</w:t>
            </w:r>
          </w:p>
        </w:tc>
        <w:tc>
          <w:tcPr>
            <w:tcW w:w="618" w:type="dxa"/>
            <w:tcBorders>
              <w:bottom w:val="double" w:sz="6" w:space="0" w:color="000000"/>
            </w:tcBorders>
            <w:shd w:val="clear" w:color="auto" w:fill="CCEDFF"/>
          </w:tcPr>
          <w:p>
            <w:pPr>
              <w:pStyle w:val="TableParagraph"/>
              <w:spacing w:line="177" w:lineRule="exact" w:before="3"/>
              <w:ind w:left="88"/>
              <w:rPr>
                <w:sz w:val="16"/>
              </w:rPr>
            </w:pPr>
            <w:r>
              <w:rPr>
                <w:spacing w:val="-10"/>
                <w:w w:val="105"/>
                <w:sz w:val="16"/>
              </w:rPr>
              <w:t>$</w:t>
            </w:r>
          </w:p>
        </w:tc>
        <w:tc>
          <w:tcPr>
            <w:tcW w:w="1074" w:type="dxa"/>
            <w:tcBorders>
              <w:bottom w:val="double" w:sz="6" w:space="0" w:color="000000"/>
            </w:tcBorders>
            <w:shd w:val="clear" w:color="auto" w:fill="CCEDFF"/>
          </w:tcPr>
          <w:p>
            <w:pPr>
              <w:pStyle w:val="TableParagraph"/>
              <w:spacing w:line="177" w:lineRule="exact" w:before="3"/>
              <w:ind w:right="111"/>
              <w:jc w:val="right"/>
              <w:rPr>
                <w:sz w:val="16"/>
              </w:rPr>
            </w:pPr>
            <w:r>
              <w:rPr>
                <w:spacing w:val="-2"/>
                <w:w w:val="105"/>
                <w:sz w:val="16"/>
              </w:rPr>
              <w:t>30,775</w:t>
            </w:r>
          </w:p>
        </w:tc>
      </w:tr>
      <w:tr>
        <w:trPr>
          <w:trHeight w:val="389" w:hRule="atLeast"/>
        </w:trPr>
        <w:tc>
          <w:tcPr>
            <w:tcW w:w="8050" w:type="dxa"/>
            <w:tcBorders>
              <w:top w:val="double" w:sz="6" w:space="0" w:color="000000"/>
            </w:tcBorders>
          </w:tcPr>
          <w:p>
            <w:pPr>
              <w:pStyle w:val="TableParagraph"/>
              <w:spacing w:before="19"/>
              <w:rPr>
                <w:sz w:val="16"/>
              </w:rPr>
            </w:pPr>
          </w:p>
          <w:p>
            <w:pPr>
              <w:pStyle w:val="TableParagraph"/>
              <w:spacing w:line="165" w:lineRule="exact" w:before="1"/>
              <w:rPr>
                <w:sz w:val="16"/>
              </w:rPr>
            </w:pPr>
            <w:r>
              <w:rPr>
                <w:w w:val="105"/>
                <w:sz w:val="16"/>
              </w:rPr>
              <w:t>The</w:t>
            </w:r>
            <w:r>
              <w:rPr>
                <w:spacing w:val="-10"/>
                <w:w w:val="105"/>
                <w:sz w:val="16"/>
              </w:rPr>
              <w:t> </w:t>
            </w:r>
            <w:r>
              <w:rPr>
                <w:w w:val="105"/>
                <w:sz w:val="16"/>
              </w:rPr>
              <w:t>accompanying</w:t>
            </w:r>
            <w:r>
              <w:rPr>
                <w:spacing w:val="-9"/>
                <w:w w:val="105"/>
                <w:sz w:val="16"/>
              </w:rPr>
              <w:t> </w:t>
            </w:r>
            <w:r>
              <w:rPr>
                <w:w w:val="105"/>
                <w:sz w:val="16"/>
              </w:rPr>
              <w:t>notes</w:t>
            </w:r>
            <w:r>
              <w:rPr>
                <w:spacing w:val="-9"/>
                <w:w w:val="105"/>
                <w:sz w:val="16"/>
              </w:rPr>
              <w:t> </w:t>
            </w:r>
            <w:r>
              <w:rPr>
                <w:w w:val="105"/>
                <w:sz w:val="16"/>
              </w:rPr>
              <w:t>are</w:t>
            </w:r>
            <w:r>
              <w:rPr>
                <w:spacing w:val="-8"/>
                <w:w w:val="105"/>
                <w:sz w:val="16"/>
              </w:rPr>
              <w:t> </w:t>
            </w:r>
            <w:r>
              <w:rPr>
                <w:w w:val="105"/>
                <w:sz w:val="16"/>
              </w:rPr>
              <w:t>an</w:t>
            </w:r>
            <w:r>
              <w:rPr>
                <w:spacing w:val="-9"/>
                <w:w w:val="105"/>
                <w:sz w:val="16"/>
              </w:rPr>
              <w:t> </w:t>
            </w:r>
            <w:r>
              <w:rPr>
                <w:w w:val="105"/>
                <w:sz w:val="16"/>
              </w:rPr>
              <w:t>integral</w:t>
            </w:r>
            <w:r>
              <w:rPr>
                <w:spacing w:val="-10"/>
                <w:w w:val="105"/>
                <w:sz w:val="16"/>
              </w:rPr>
              <w:t> </w:t>
            </w:r>
            <w:r>
              <w:rPr>
                <w:w w:val="105"/>
                <w:sz w:val="16"/>
              </w:rPr>
              <w:t>part</w:t>
            </w:r>
            <w:r>
              <w:rPr>
                <w:spacing w:val="-9"/>
                <w:w w:val="105"/>
                <w:sz w:val="16"/>
              </w:rPr>
              <w:t> </w:t>
            </w:r>
            <w:r>
              <w:rPr>
                <w:w w:val="105"/>
                <w:sz w:val="16"/>
              </w:rPr>
              <w:t>of</w:t>
            </w:r>
            <w:r>
              <w:rPr>
                <w:spacing w:val="-9"/>
                <w:w w:val="105"/>
                <w:sz w:val="16"/>
              </w:rPr>
              <w:t> </w:t>
            </w:r>
            <w:r>
              <w:rPr>
                <w:w w:val="105"/>
                <w:sz w:val="16"/>
              </w:rPr>
              <w:t>these</w:t>
            </w:r>
            <w:r>
              <w:rPr>
                <w:spacing w:val="-10"/>
                <w:w w:val="105"/>
                <w:sz w:val="16"/>
              </w:rPr>
              <w:t> </w:t>
            </w:r>
            <w:r>
              <w:rPr>
                <w:w w:val="105"/>
                <w:sz w:val="16"/>
              </w:rPr>
              <w:t>consolidated</w:t>
            </w:r>
            <w:r>
              <w:rPr>
                <w:spacing w:val="-9"/>
                <w:w w:val="105"/>
                <w:sz w:val="16"/>
              </w:rPr>
              <w:t> </w:t>
            </w:r>
            <w:r>
              <w:rPr>
                <w:w w:val="105"/>
                <w:sz w:val="16"/>
              </w:rPr>
              <w:t>financial</w:t>
            </w:r>
            <w:r>
              <w:rPr>
                <w:spacing w:val="-9"/>
                <w:w w:val="105"/>
                <w:sz w:val="16"/>
              </w:rPr>
              <w:t> </w:t>
            </w:r>
            <w:r>
              <w:rPr>
                <w:spacing w:val="-2"/>
                <w:w w:val="105"/>
                <w:sz w:val="16"/>
              </w:rPr>
              <w:t>statements.</w:t>
            </w:r>
          </w:p>
        </w:tc>
        <w:tc>
          <w:tcPr>
            <w:tcW w:w="671" w:type="dxa"/>
            <w:tcBorders>
              <w:top w:val="double" w:sz="6" w:space="0" w:color="000000"/>
            </w:tcBorders>
          </w:tcPr>
          <w:p>
            <w:pPr>
              <w:pStyle w:val="TableParagraph"/>
              <w:rPr>
                <w:sz w:val="16"/>
              </w:rPr>
            </w:pPr>
          </w:p>
        </w:tc>
        <w:tc>
          <w:tcPr>
            <w:tcW w:w="1101" w:type="dxa"/>
            <w:tcBorders>
              <w:top w:val="double" w:sz="6" w:space="0" w:color="000000"/>
            </w:tcBorders>
          </w:tcPr>
          <w:p>
            <w:pPr>
              <w:pStyle w:val="TableParagraph"/>
              <w:rPr>
                <w:sz w:val="16"/>
              </w:rPr>
            </w:pPr>
          </w:p>
        </w:tc>
        <w:tc>
          <w:tcPr>
            <w:tcW w:w="618" w:type="dxa"/>
            <w:tcBorders>
              <w:top w:val="double" w:sz="6" w:space="0" w:color="000000"/>
            </w:tcBorders>
          </w:tcPr>
          <w:p>
            <w:pPr>
              <w:pStyle w:val="TableParagraph"/>
              <w:rPr>
                <w:sz w:val="16"/>
              </w:rPr>
            </w:pPr>
          </w:p>
        </w:tc>
        <w:tc>
          <w:tcPr>
            <w:tcW w:w="1074" w:type="dxa"/>
            <w:tcBorders>
              <w:top w:val="double" w:sz="6" w:space="0" w:color="000000"/>
            </w:tcBorders>
          </w:tcPr>
          <w:p>
            <w:pPr>
              <w:pStyle w:val="TableParagraph"/>
              <w:rPr>
                <w:sz w:val="16"/>
              </w:rPr>
            </w:pPr>
          </w:p>
        </w:tc>
      </w:tr>
    </w:tbl>
    <w:p>
      <w:pPr>
        <w:pStyle w:val="BodyText"/>
        <w:spacing w:before="45"/>
      </w:pPr>
    </w:p>
    <w:p>
      <w:pPr>
        <w:pStyle w:val="BodyText"/>
        <w:spacing w:before="1"/>
        <w:ind w:left="48"/>
        <w:jc w:val="center"/>
      </w:pPr>
      <w:r>
        <w:rPr>
          <w:spacing w:val="-5"/>
          <w:w w:val="105"/>
        </w:rPr>
        <w:t>67</w:t>
      </w:r>
    </w:p>
    <w:p>
      <w:pPr>
        <w:pStyle w:val="BodyText"/>
        <w:spacing w:before="11"/>
        <w:rPr>
          <w:sz w:val="5"/>
        </w:rPr>
      </w:pPr>
      <w:r>
        <w:rPr/>
        <mc:AlternateContent>
          <mc:Choice Requires="wps">
            <w:drawing>
              <wp:anchor distT="0" distB="0" distL="0" distR="0" allowOverlap="1" layoutInCell="1" locked="0" behindDoc="1" simplePos="0" relativeHeight="487649280">
                <wp:simplePos x="0" y="0"/>
                <wp:positionH relativeFrom="page">
                  <wp:posOffset>226488</wp:posOffset>
                </wp:positionH>
                <wp:positionV relativeFrom="paragraph">
                  <wp:posOffset>58837</wp:posOffset>
                </wp:positionV>
                <wp:extent cx="7312659" cy="1651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32854pt;width:575.775087pt;height:1.273839pt;mso-position-horizontal-relative:page;mso-position-vertical-relative:paragraph;z-index:-15667200;mso-wrap-distance-left:0;mso-wrap-distance-right:0" id="docshape167"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pPr>
    </w:p>
    <w:p>
      <w:pPr>
        <w:pStyle w:val="BodyText"/>
        <w:spacing w:before="58"/>
      </w:pPr>
    </w:p>
    <w:p>
      <w:pPr>
        <w:pStyle w:val="Heading2"/>
        <w:tabs>
          <w:tab w:pos="8157" w:val="left" w:leader="none"/>
        </w:tabs>
      </w:pPr>
      <w:r>
        <w:rPr/>
        <mc:AlternateContent>
          <mc:Choice Requires="wps">
            <w:drawing>
              <wp:anchor distT="0" distB="0" distL="0" distR="0" allowOverlap="1" layoutInCell="1" locked="0" behindDoc="1" simplePos="0" relativeHeight="487649792">
                <wp:simplePos x="0" y="0"/>
                <wp:positionH relativeFrom="page">
                  <wp:posOffset>226479</wp:posOffset>
                </wp:positionH>
                <wp:positionV relativeFrom="paragraph">
                  <wp:posOffset>127391</wp:posOffset>
                </wp:positionV>
                <wp:extent cx="7312659" cy="32384"/>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7312659" cy="32384"/>
                        </a:xfrm>
                        <a:custGeom>
                          <a:avLst/>
                          <a:gdLst/>
                          <a:ahLst/>
                          <a:cxnLst/>
                          <a:rect l="l" t="t" r="r" b="b"/>
                          <a:pathLst>
                            <a:path w="7312659" h="32384">
                              <a:moveTo>
                                <a:pt x="7312342" y="0"/>
                              </a:moveTo>
                              <a:lnTo>
                                <a:pt x="3656177" y="0"/>
                              </a:lnTo>
                              <a:lnTo>
                                <a:pt x="0" y="0"/>
                              </a:lnTo>
                              <a:lnTo>
                                <a:pt x="0" y="16179"/>
                              </a:lnTo>
                              <a:lnTo>
                                <a:pt x="0" y="32359"/>
                              </a:lnTo>
                              <a:lnTo>
                                <a:pt x="4028262" y="32359"/>
                              </a:lnTo>
                              <a:lnTo>
                                <a:pt x="4109148" y="32359"/>
                              </a:lnTo>
                              <a:lnTo>
                                <a:pt x="7239546" y="32359"/>
                              </a:lnTo>
                              <a:lnTo>
                                <a:pt x="7312342" y="3235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10.030856pt;width:575.8pt;height:2.550pt;mso-position-horizontal-relative:page;mso-position-vertical-relative:paragraph;z-index:-15666688;mso-wrap-distance-left:0;mso-wrap-distance-right:0" id="docshape168" coordorigin="357,201" coordsize="11516,51" path="m11872,201l6114,201,357,201,357,226,357,252,6700,252,6828,252,11758,252,11872,252,11872,226,11872,201xe" filled="true" fillcolor="#000000" stroked="false">
                <v:path arrowok="t"/>
                <v:fill type="solid"/>
                <w10:wrap type="topAndBottom"/>
              </v:shape>
            </w:pict>
          </mc:Fallback>
        </mc:AlternateContent>
      </w:r>
      <w:bookmarkStart w:name="_bookmark6" w:id="7"/>
      <w:bookmarkEnd w:id="7"/>
      <w:r>
        <w:rPr>
          <w:b w:val="0"/>
        </w:rPr>
      </w:r>
      <w:r>
        <w:rPr/>
        <w:t>Consolidated</w:t>
      </w:r>
      <w:r>
        <w:rPr>
          <w:spacing w:val="11"/>
        </w:rPr>
        <w:t> </w:t>
      </w:r>
      <w:r>
        <w:rPr/>
        <w:t>Statements</w:t>
      </w:r>
      <w:r>
        <w:rPr>
          <w:spacing w:val="11"/>
        </w:rPr>
        <w:t> </w:t>
      </w:r>
      <w:r>
        <w:rPr/>
        <w:t>of</w:t>
      </w:r>
      <w:r>
        <w:rPr>
          <w:spacing w:val="11"/>
        </w:rPr>
        <w:t> </w:t>
      </w:r>
      <w:r>
        <w:rPr/>
        <w:t>Cash</w:t>
      </w:r>
      <w:r>
        <w:rPr>
          <w:spacing w:val="12"/>
        </w:rPr>
        <w:t> </w:t>
      </w:r>
      <w:r>
        <w:rPr>
          <w:spacing w:val="-2"/>
        </w:rPr>
        <w:t>Flows</w:t>
      </w:r>
      <w:r>
        <w:rPr/>
        <w:tab/>
        <w:t>Corning</w:t>
      </w:r>
      <w:r>
        <w:rPr>
          <w:spacing w:val="16"/>
        </w:rPr>
        <w:t> </w:t>
      </w:r>
      <w:r>
        <w:rPr/>
        <w:t>Incorporated</w:t>
      </w:r>
      <w:r>
        <w:rPr>
          <w:spacing w:val="16"/>
        </w:rPr>
        <w:t> </w:t>
      </w:r>
      <w:r>
        <w:rPr/>
        <w:t>and</w:t>
      </w:r>
      <w:r>
        <w:rPr>
          <w:spacing w:val="16"/>
        </w:rPr>
        <w:t> </w:t>
      </w:r>
      <w:r>
        <w:rPr/>
        <w:t>Subsidiary</w:t>
      </w:r>
      <w:r>
        <w:rPr>
          <w:spacing w:val="17"/>
        </w:rPr>
        <w:t> </w:t>
      </w:r>
      <w:r>
        <w:rPr>
          <w:spacing w:val="-2"/>
        </w:rPr>
        <w:t>Companies</w:t>
      </w:r>
    </w:p>
    <w:p>
      <w:pPr>
        <w:pStyle w:val="BodyText"/>
        <w:spacing w:before="3"/>
        <w:ind w:left="8227"/>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p>
    <w:p>
      <w:pPr>
        <w:pStyle w:val="BodyText"/>
        <w:tabs>
          <w:tab w:pos="7207" w:val="left" w:leader="none"/>
          <w:tab w:pos="8926" w:val="left" w:leader="none"/>
          <w:tab w:pos="10977" w:val="right" w:leader="none"/>
        </w:tabs>
        <w:spacing w:before="33" w:after="23"/>
        <w:ind w:left="156"/>
      </w:pPr>
      <w:r>
        <w:rPr/>
        <mc:AlternateContent>
          <mc:Choice Requires="wps">
            <w:drawing>
              <wp:anchor distT="0" distB="0" distL="0" distR="0" allowOverlap="1" layoutInCell="1" locked="0" behindDoc="0" simplePos="0" relativeHeight="15791616">
                <wp:simplePos x="0" y="0"/>
                <wp:positionH relativeFrom="page">
                  <wp:posOffset>4335627</wp:posOffset>
                </wp:positionH>
                <wp:positionV relativeFrom="paragraph">
                  <wp:posOffset>10688</wp:posOffset>
                </wp:positionV>
                <wp:extent cx="3203575" cy="8255"/>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3203575" cy="8255"/>
                        </a:xfrm>
                        <a:custGeom>
                          <a:avLst/>
                          <a:gdLst/>
                          <a:ahLst/>
                          <a:cxnLst/>
                          <a:rect l="l" t="t" r="r" b="b"/>
                          <a:pathLst>
                            <a:path w="3203575" h="8255">
                              <a:moveTo>
                                <a:pt x="3203194" y="0"/>
                              </a:moveTo>
                              <a:lnTo>
                                <a:pt x="3130397" y="0"/>
                              </a:lnTo>
                              <a:lnTo>
                                <a:pt x="0" y="0"/>
                              </a:lnTo>
                              <a:lnTo>
                                <a:pt x="0" y="8089"/>
                              </a:lnTo>
                              <a:lnTo>
                                <a:pt x="3130397" y="8089"/>
                              </a:lnTo>
                              <a:lnTo>
                                <a:pt x="3203194" y="8089"/>
                              </a:lnTo>
                              <a:lnTo>
                                <a:pt x="32031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1.388031pt;margin-top:.841619pt;width:252.25pt;height:.65pt;mso-position-horizontal-relative:page;mso-position-vertical-relative:paragraph;z-index:15791616" id="docshape169" coordorigin="6828,17" coordsize="5045,13" path="m11872,17l11758,17,6828,17,6828,30,11758,30,11872,30,11872,17xe" filled="true" fillcolor="#000000" stroked="false">
                <v:path arrowok="t"/>
                <v:fill type="solid"/>
                <w10:wrap type="none"/>
              </v:shape>
            </w:pict>
          </mc:Fallback>
        </mc:AlternateContent>
      </w:r>
      <w:r>
        <w:rPr/>
        <w:t>(In</w:t>
      </w:r>
      <w:r>
        <w:rPr>
          <w:spacing w:val="6"/>
        </w:rPr>
        <w:t> </w:t>
      </w:r>
      <w:r>
        <w:rPr>
          <w:spacing w:val="-2"/>
        </w:rPr>
        <w:t>millions)</w:t>
      </w:r>
      <w:r>
        <w:rPr/>
        <w:tab/>
      </w:r>
      <w:r>
        <w:rPr>
          <w:b/>
          <w:spacing w:val="-4"/>
        </w:rPr>
        <w:t>2021</w:t>
      </w:r>
      <w:r>
        <w:rPr>
          <w:b/>
        </w:rPr>
        <w:tab/>
      </w:r>
      <w:r>
        <w:rPr>
          <w:spacing w:val="-4"/>
        </w:rPr>
        <w:t>2020</w:t>
      </w:r>
      <w:r>
        <w:rPr/>
        <w:tab/>
      </w:r>
      <w:r>
        <w:rPr>
          <w:spacing w:val="-4"/>
        </w:rPr>
        <w:t>2019</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1"/>
        <w:gridCol w:w="912"/>
        <w:gridCol w:w="1060"/>
        <w:gridCol w:w="660"/>
        <w:gridCol w:w="1060"/>
        <w:gridCol w:w="660"/>
        <w:gridCol w:w="1033"/>
      </w:tblGrid>
      <w:tr>
        <w:trPr>
          <w:trHeight w:val="202" w:hRule="atLeast"/>
        </w:trPr>
        <w:tc>
          <w:tcPr>
            <w:tcW w:w="6131" w:type="dxa"/>
            <w:tcBorders>
              <w:top w:val="single" w:sz="6" w:space="0" w:color="000000"/>
            </w:tcBorders>
            <w:shd w:val="clear" w:color="auto" w:fill="CCEDFF"/>
          </w:tcPr>
          <w:p>
            <w:pPr>
              <w:pStyle w:val="TableParagraph"/>
              <w:spacing w:line="180" w:lineRule="exact" w:before="2"/>
              <w:rPr>
                <w:b/>
                <w:sz w:val="16"/>
              </w:rPr>
            </w:pPr>
            <w:r>
              <w:rPr>
                <w:b/>
                <w:spacing w:val="-2"/>
                <w:w w:val="105"/>
                <w:sz w:val="16"/>
              </w:rPr>
              <w:t>Cash</w:t>
            </w:r>
            <w:r>
              <w:rPr>
                <w:b/>
                <w:spacing w:val="-1"/>
                <w:w w:val="105"/>
                <w:sz w:val="16"/>
              </w:rPr>
              <w:t> </w:t>
            </w:r>
            <w:r>
              <w:rPr>
                <w:b/>
                <w:spacing w:val="-2"/>
                <w:w w:val="105"/>
                <w:sz w:val="16"/>
              </w:rPr>
              <w:t>Flows</w:t>
            </w:r>
            <w:r>
              <w:rPr>
                <w:b/>
                <w:spacing w:val="-1"/>
                <w:w w:val="105"/>
                <w:sz w:val="16"/>
              </w:rPr>
              <w:t> </w:t>
            </w:r>
            <w:r>
              <w:rPr>
                <w:b/>
                <w:spacing w:val="-2"/>
                <w:w w:val="105"/>
                <w:sz w:val="16"/>
              </w:rPr>
              <w:t>from</w:t>
            </w:r>
            <w:r>
              <w:rPr>
                <w:b/>
                <w:spacing w:val="-1"/>
                <w:w w:val="105"/>
                <w:sz w:val="16"/>
              </w:rPr>
              <w:t> </w:t>
            </w:r>
            <w:r>
              <w:rPr>
                <w:b/>
                <w:spacing w:val="-2"/>
                <w:w w:val="105"/>
                <w:sz w:val="16"/>
              </w:rPr>
              <w:t>Operating</w:t>
            </w:r>
            <w:r>
              <w:rPr>
                <w:b/>
                <w:w w:val="105"/>
                <w:sz w:val="16"/>
              </w:rPr>
              <w:t> </w:t>
            </w:r>
            <w:r>
              <w:rPr>
                <w:b/>
                <w:spacing w:val="-2"/>
                <w:w w:val="105"/>
                <w:sz w:val="16"/>
              </w:rPr>
              <w:t>Activities:</w:t>
            </w:r>
          </w:p>
        </w:tc>
        <w:tc>
          <w:tcPr>
            <w:tcW w:w="5385" w:type="dxa"/>
            <w:gridSpan w:val="6"/>
            <w:tcBorders>
              <w:top w:val="single" w:sz="6" w:space="0" w:color="000000"/>
            </w:tcBorders>
            <w:shd w:val="clear" w:color="auto" w:fill="CCEDFF"/>
          </w:tcPr>
          <w:p>
            <w:pPr>
              <w:pStyle w:val="TableParagraph"/>
              <w:rPr>
                <w:sz w:val="14"/>
              </w:rPr>
            </w:pPr>
          </w:p>
        </w:tc>
      </w:tr>
      <w:tr>
        <w:trPr>
          <w:trHeight w:val="203" w:hRule="atLeast"/>
        </w:trPr>
        <w:tc>
          <w:tcPr>
            <w:tcW w:w="6131" w:type="dxa"/>
          </w:tcPr>
          <w:p>
            <w:pPr>
              <w:pStyle w:val="TableParagraph"/>
              <w:spacing w:line="180" w:lineRule="exact" w:before="3"/>
              <w:ind w:left="152"/>
              <w:rPr>
                <w:sz w:val="16"/>
              </w:rPr>
            </w:pPr>
            <w:r>
              <w:rPr>
                <w:w w:val="105"/>
                <w:sz w:val="16"/>
              </w:rPr>
              <w:t>Net</w:t>
            </w:r>
            <w:r>
              <w:rPr>
                <w:spacing w:val="-6"/>
                <w:w w:val="105"/>
                <w:sz w:val="16"/>
              </w:rPr>
              <w:t> </w:t>
            </w:r>
            <w:r>
              <w:rPr>
                <w:spacing w:val="-2"/>
                <w:w w:val="105"/>
                <w:sz w:val="16"/>
              </w:rPr>
              <w:t>income</w:t>
            </w:r>
          </w:p>
        </w:tc>
        <w:tc>
          <w:tcPr>
            <w:tcW w:w="912" w:type="dxa"/>
          </w:tcPr>
          <w:p>
            <w:pPr>
              <w:pStyle w:val="TableParagraph"/>
              <w:spacing w:line="180" w:lineRule="exact" w:before="3"/>
              <w:ind w:left="340"/>
              <w:rPr>
                <w:b/>
                <w:sz w:val="16"/>
              </w:rPr>
            </w:pPr>
            <w:r>
              <w:rPr>
                <w:b/>
                <w:spacing w:val="-10"/>
                <w:w w:val="105"/>
                <w:sz w:val="16"/>
              </w:rPr>
              <w:t>$</w:t>
            </w:r>
          </w:p>
        </w:tc>
        <w:tc>
          <w:tcPr>
            <w:tcW w:w="1060" w:type="dxa"/>
          </w:tcPr>
          <w:p>
            <w:pPr>
              <w:pStyle w:val="TableParagraph"/>
              <w:spacing w:line="180" w:lineRule="exact" w:before="3"/>
              <w:ind w:right="139"/>
              <w:jc w:val="right"/>
              <w:rPr>
                <w:b/>
                <w:sz w:val="16"/>
              </w:rPr>
            </w:pPr>
            <w:r>
              <w:rPr>
                <w:b/>
                <w:spacing w:val="-4"/>
                <w:w w:val="105"/>
                <w:sz w:val="16"/>
              </w:rPr>
              <w:t>1,906</w:t>
            </w:r>
          </w:p>
        </w:tc>
        <w:tc>
          <w:tcPr>
            <w:tcW w:w="660" w:type="dxa"/>
          </w:tcPr>
          <w:p>
            <w:pPr>
              <w:pStyle w:val="TableParagraph"/>
              <w:spacing w:line="180" w:lineRule="exact" w:before="3"/>
              <w:ind w:left="87"/>
              <w:rPr>
                <w:sz w:val="16"/>
              </w:rPr>
            </w:pPr>
            <w:r>
              <w:rPr>
                <w:spacing w:val="-10"/>
                <w:w w:val="105"/>
                <w:sz w:val="16"/>
              </w:rPr>
              <w:t>$</w:t>
            </w:r>
          </w:p>
        </w:tc>
        <w:tc>
          <w:tcPr>
            <w:tcW w:w="1060" w:type="dxa"/>
          </w:tcPr>
          <w:p>
            <w:pPr>
              <w:pStyle w:val="TableParagraph"/>
              <w:spacing w:line="180" w:lineRule="exact" w:before="3"/>
              <w:ind w:right="139"/>
              <w:jc w:val="right"/>
              <w:rPr>
                <w:sz w:val="16"/>
              </w:rPr>
            </w:pPr>
            <w:r>
              <w:rPr>
                <w:spacing w:val="-5"/>
                <w:w w:val="105"/>
                <w:sz w:val="16"/>
              </w:rPr>
              <w:t>512</w:t>
            </w:r>
          </w:p>
        </w:tc>
        <w:tc>
          <w:tcPr>
            <w:tcW w:w="660" w:type="dxa"/>
          </w:tcPr>
          <w:p>
            <w:pPr>
              <w:pStyle w:val="TableParagraph"/>
              <w:spacing w:line="180" w:lineRule="exact" w:before="3"/>
              <w:ind w:left="87"/>
              <w:rPr>
                <w:sz w:val="16"/>
              </w:rPr>
            </w:pPr>
            <w:r>
              <w:rPr>
                <w:spacing w:val="-10"/>
                <w:w w:val="105"/>
                <w:sz w:val="16"/>
              </w:rPr>
              <w:t>$</w:t>
            </w:r>
          </w:p>
        </w:tc>
        <w:tc>
          <w:tcPr>
            <w:tcW w:w="1033" w:type="dxa"/>
          </w:tcPr>
          <w:p>
            <w:pPr>
              <w:pStyle w:val="TableParagraph"/>
              <w:spacing w:line="180" w:lineRule="exact" w:before="3"/>
              <w:ind w:right="113"/>
              <w:jc w:val="right"/>
              <w:rPr>
                <w:sz w:val="16"/>
              </w:rPr>
            </w:pPr>
            <w:r>
              <w:rPr>
                <w:spacing w:val="-5"/>
                <w:w w:val="105"/>
                <w:sz w:val="16"/>
              </w:rPr>
              <w:t>960</w:t>
            </w:r>
          </w:p>
        </w:tc>
      </w:tr>
      <w:tr>
        <w:trPr>
          <w:trHeight w:val="203" w:hRule="atLeast"/>
        </w:trPr>
        <w:tc>
          <w:tcPr>
            <w:tcW w:w="6131" w:type="dxa"/>
            <w:shd w:val="clear" w:color="auto" w:fill="CCEDFF"/>
          </w:tcPr>
          <w:p>
            <w:pPr>
              <w:pStyle w:val="TableParagraph"/>
              <w:spacing w:line="180" w:lineRule="exact" w:before="3"/>
              <w:ind w:left="152"/>
              <w:rPr>
                <w:sz w:val="16"/>
              </w:rPr>
            </w:pPr>
            <w:r>
              <w:rPr>
                <w:w w:val="105"/>
                <w:sz w:val="16"/>
              </w:rPr>
              <w:t>Adjustments</w:t>
            </w:r>
            <w:r>
              <w:rPr>
                <w:spacing w:val="-10"/>
                <w:w w:val="105"/>
                <w:sz w:val="16"/>
              </w:rPr>
              <w:t> </w:t>
            </w:r>
            <w:r>
              <w:rPr>
                <w:w w:val="105"/>
                <w:sz w:val="16"/>
              </w:rPr>
              <w:t>to</w:t>
            </w:r>
            <w:r>
              <w:rPr>
                <w:spacing w:val="-9"/>
                <w:w w:val="105"/>
                <w:sz w:val="16"/>
              </w:rPr>
              <w:t> </w:t>
            </w:r>
            <w:r>
              <w:rPr>
                <w:w w:val="105"/>
                <w:sz w:val="16"/>
              </w:rPr>
              <w:t>reconcile</w:t>
            </w:r>
            <w:r>
              <w:rPr>
                <w:spacing w:val="-9"/>
                <w:w w:val="105"/>
                <w:sz w:val="16"/>
              </w:rPr>
              <w:t> </w:t>
            </w:r>
            <w:r>
              <w:rPr>
                <w:w w:val="105"/>
                <w:sz w:val="16"/>
              </w:rPr>
              <w:t>net</w:t>
            </w:r>
            <w:r>
              <w:rPr>
                <w:spacing w:val="-9"/>
                <w:w w:val="105"/>
                <w:sz w:val="16"/>
              </w:rPr>
              <w:t> </w:t>
            </w:r>
            <w:r>
              <w:rPr>
                <w:w w:val="105"/>
                <w:sz w:val="16"/>
              </w:rPr>
              <w:t>income</w:t>
            </w:r>
            <w:r>
              <w:rPr>
                <w:spacing w:val="-9"/>
                <w:w w:val="105"/>
                <w:sz w:val="16"/>
              </w:rPr>
              <w:t> </w:t>
            </w:r>
            <w:r>
              <w:rPr>
                <w:w w:val="105"/>
                <w:sz w:val="16"/>
              </w:rPr>
              <w:t>to</w:t>
            </w:r>
            <w:r>
              <w:rPr>
                <w:spacing w:val="-9"/>
                <w:w w:val="105"/>
                <w:sz w:val="16"/>
              </w:rPr>
              <w:t> </w:t>
            </w:r>
            <w:r>
              <w:rPr>
                <w:w w:val="105"/>
                <w:sz w:val="16"/>
              </w:rPr>
              <w:t>net</w:t>
            </w:r>
            <w:r>
              <w:rPr>
                <w:spacing w:val="-9"/>
                <w:w w:val="105"/>
                <w:sz w:val="16"/>
              </w:rPr>
              <w:t> </w:t>
            </w:r>
            <w:r>
              <w:rPr>
                <w:w w:val="105"/>
                <w:sz w:val="16"/>
              </w:rPr>
              <w:t>cash</w:t>
            </w:r>
            <w:r>
              <w:rPr>
                <w:spacing w:val="-9"/>
                <w:w w:val="105"/>
                <w:sz w:val="16"/>
              </w:rPr>
              <w:t> </w:t>
            </w:r>
            <w:r>
              <w:rPr>
                <w:w w:val="105"/>
                <w:sz w:val="16"/>
              </w:rPr>
              <w:t>provided</w:t>
            </w:r>
            <w:r>
              <w:rPr>
                <w:spacing w:val="-9"/>
                <w:w w:val="105"/>
                <w:sz w:val="16"/>
              </w:rPr>
              <w:t> </w:t>
            </w:r>
            <w:r>
              <w:rPr>
                <w:w w:val="105"/>
                <w:sz w:val="16"/>
              </w:rPr>
              <w:t>by</w:t>
            </w:r>
            <w:r>
              <w:rPr>
                <w:spacing w:val="-9"/>
                <w:w w:val="105"/>
                <w:sz w:val="16"/>
              </w:rPr>
              <w:t> </w:t>
            </w:r>
            <w:r>
              <w:rPr>
                <w:w w:val="105"/>
                <w:sz w:val="16"/>
              </w:rPr>
              <w:t>operating</w:t>
            </w:r>
            <w:r>
              <w:rPr>
                <w:spacing w:val="-9"/>
                <w:w w:val="105"/>
                <w:sz w:val="16"/>
              </w:rPr>
              <w:t> </w:t>
            </w:r>
            <w:r>
              <w:rPr>
                <w:spacing w:val="-2"/>
                <w:w w:val="105"/>
                <w:sz w:val="16"/>
              </w:rPr>
              <w:t>activities:</w:t>
            </w:r>
          </w:p>
        </w:tc>
        <w:tc>
          <w:tcPr>
            <w:tcW w:w="912"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33" w:type="dxa"/>
            <w:shd w:val="clear" w:color="auto" w:fill="CCEDFF"/>
          </w:tcPr>
          <w:p>
            <w:pPr>
              <w:pStyle w:val="TableParagraph"/>
              <w:rPr>
                <w:sz w:val="14"/>
              </w:rPr>
            </w:pPr>
          </w:p>
        </w:tc>
      </w:tr>
      <w:tr>
        <w:trPr>
          <w:trHeight w:val="203" w:hRule="atLeast"/>
        </w:trPr>
        <w:tc>
          <w:tcPr>
            <w:tcW w:w="6131" w:type="dxa"/>
          </w:tcPr>
          <w:p>
            <w:pPr>
              <w:pStyle w:val="TableParagraph"/>
              <w:spacing w:line="180" w:lineRule="exact" w:before="3"/>
              <w:ind w:left="305"/>
              <w:rPr>
                <w:sz w:val="16"/>
              </w:rPr>
            </w:pPr>
            <w:r>
              <w:rPr>
                <w:spacing w:val="-2"/>
                <w:w w:val="105"/>
                <w:sz w:val="16"/>
              </w:rPr>
              <w:t>Depreciation</w:t>
            </w:r>
          </w:p>
        </w:tc>
        <w:tc>
          <w:tcPr>
            <w:tcW w:w="912" w:type="dxa"/>
          </w:tcPr>
          <w:p>
            <w:pPr>
              <w:pStyle w:val="TableParagraph"/>
              <w:rPr>
                <w:sz w:val="14"/>
              </w:rPr>
            </w:pPr>
          </w:p>
        </w:tc>
        <w:tc>
          <w:tcPr>
            <w:tcW w:w="1060" w:type="dxa"/>
          </w:tcPr>
          <w:p>
            <w:pPr>
              <w:pStyle w:val="TableParagraph"/>
              <w:spacing w:line="180" w:lineRule="exact" w:before="3"/>
              <w:ind w:right="139"/>
              <w:jc w:val="right"/>
              <w:rPr>
                <w:b/>
                <w:sz w:val="16"/>
              </w:rPr>
            </w:pPr>
            <w:r>
              <w:rPr>
                <w:b/>
                <w:spacing w:val="-4"/>
                <w:w w:val="105"/>
                <w:sz w:val="16"/>
              </w:rPr>
              <w:t>1,352</w:t>
            </w:r>
          </w:p>
        </w:tc>
        <w:tc>
          <w:tcPr>
            <w:tcW w:w="660" w:type="dxa"/>
          </w:tcPr>
          <w:p>
            <w:pPr>
              <w:pStyle w:val="TableParagraph"/>
              <w:rPr>
                <w:sz w:val="14"/>
              </w:rPr>
            </w:pPr>
          </w:p>
        </w:tc>
        <w:tc>
          <w:tcPr>
            <w:tcW w:w="1060" w:type="dxa"/>
          </w:tcPr>
          <w:p>
            <w:pPr>
              <w:pStyle w:val="TableParagraph"/>
              <w:spacing w:line="180" w:lineRule="exact" w:before="3"/>
              <w:ind w:right="139"/>
              <w:jc w:val="right"/>
              <w:rPr>
                <w:sz w:val="16"/>
              </w:rPr>
            </w:pPr>
            <w:r>
              <w:rPr>
                <w:spacing w:val="-4"/>
                <w:w w:val="105"/>
                <w:sz w:val="16"/>
              </w:rPr>
              <w:t>1,399</w:t>
            </w:r>
          </w:p>
        </w:tc>
        <w:tc>
          <w:tcPr>
            <w:tcW w:w="660" w:type="dxa"/>
          </w:tcPr>
          <w:p>
            <w:pPr>
              <w:pStyle w:val="TableParagraph"/>
              <w:rPr>
                <w:sz w:val="14"/>
              </w:rPr>
            </w:pPr>
          </w:p>
        </w:tc>
        <w:tc>
          <w:tcPr>
            <w:tcW w:w="1033" w:type="dxa"/>
          </w:tcPr>
          <w:p>
            <w:pPr>
              <w:pStyle w:val="TableParagraph"/>
              <w:spacing w:line="180" w:lineRule="exact" w:before="3"/>
              <w:ind w:right="113"/>
              <w:jc w:val="right"/>
              <w:rPr>
                <w:sz w:val="16"/>
              </w:rPr>
            </w:pPr>
            <w:r>
              <w:rPr>
                <w:spacing w:val="-4"/>
                <w:w w:val="105"/>
                <w:sz w:val="16"/>
              </w:rPr>
              <w:t>1,390</w:t>
            </w:r>
          </w:p>
        </w:tc>
      </w:tr>
      <w:tr>
        <w:trPr>
          <w:trHeight w:val="203" w:hRule="atLeast"/>
        </w:trPr>
        <w:tc>
          <w:tcPr>
            <w:tcW w:w="6131" w:type="dxa"/>
            <w:shd w:val="clear" w:color="auto" w:fill="CCEDFF"/>
          </w:tcPr>
          <w:p>
            <w:pPr>
              <w:pStyle w:val="TableParagraph"/>
              <w:spacing w:line="180" w:lineRule="exact" w:before="3"/>
              <w:ind w:left="305"/>
              <w:rPr>
                <w:sz w:val="16"/>
              </w:rPr>
            </w:pPr>
            <w:r>
              <w:rPr>
                <w:sz w:val="16"/>
              </w:rPr>
              <w:t>Amortization</w:t>
            </w:r>
            <w:r>
              <w:rPr>
                <w:spacing w:val="17"/>
                <w:sz w:val="16"/>
              </w:rPr>
              <w:t> </w:t>
            </w:r>
            <w:r>
              <w:rPr>
                <w:sz w:val="16"/>
              </w:rPr>
              <w:t>of</w:t>
            </w:r>
            <w:r>
              <w:rPr>
                <w:spacing w:val="17"/>
                <w:sz w:val="16"/>
              </w:rPr>
              <w:t> </w:t>
            </w:r>
            <w:r>
              <w:rPr>
                <w:sz w:val="16"/>
              </w:rPr>
              <w:t>purchased</w:t>
            </w:r>
            <w:r>
              <w:rPr>
                <w:spacing w:val="20"/>
                <w:sz w:val="16"/>
              </w:rPr>
              <w:t> </w:t>
            </w:r>
            <w:r>
              <w:rPr>
                <w:spacing w:val="-2"/>
                <w:sz w:val="16"/>
              </w:rPr>
              <w:t>intangibles</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b/>
                <w:sz w:val="16"/>
              </w:rPr>
            </w:pPr>
            <w:r>
              <w:rPr>
                <w:b/>
                <w:spacing w:val="-5"/>
                <w:w w:val="105"/>
                <w:sz w:val="16"/>
              </w:rPr>
              <w:t>129</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sz w:val="16"/>
              </w:rPr>
            </w:pPr>
            <w:r>
              <w:rPr>
                <w:spacing w:val="-5"/>
                <w:w w:val="105"/>
                <w:sz w:val="16"/>
              </w:rPr>
              <w:t>121</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113"/>
              <w:jc w:val="right"/>
              <w:rPr>
                <w:sz w:val="16"/>
              </w:rPr>
            </w:pPr>
            <w:r>
              <w:rPr>
                <w:spacing w:val="-5"/>
                <w:w w:val="105"/>
                <w:sz w:val="16"/>
              </w:rPr>
              <w:t>113</w:t>
            </w:r>
          </w:p>
        </w:tc>
      </w:tr>
      <w:tr>
        <w:trPr>
          <w:trHeight w:val="203" w:hRule="atLeast"/>
        </w:trPr>
        <w:tc>
          <w:tcPr>
            <w:tcW w:w="6131" w:type="dxa"/>
          </w:tcPr>
          <w:p>
            <w:pPr>
              <w:pStyle w:val="TableParagraph"/>
              <w:spacing w:line="180" w:lineRule="exact" w:before="3"/>
              <w:ind w:left="305"/>
              <w:rPr>
                <w:sz w:val="16"/>
              </w:rPr>
            </w:pPr>
            <w:r>
              <w:rPr>
                <w:w w:val="105"/>
                <w:sz w:val="16"/>
              </w:rPr>
              <w:t>Loss</w:t>
            </w:r>
            <w:r>
              <w:rPr>
                <w:spacing w:val="-8"/>
                <w:w w:val="105"/>
                <w:sz w:val="16"/>
              </w:rPr>
              <w:t> </w:t>
            </w:r>
            <w:r>
              <w:rPr>
                <w:w w:val="105"/>
                <w:sz w:val="16"/>
              </w:rPr>
              <w:t>on</w:t>
            </w:r>
            <w:r>
              <w:rPr>
                <w:spacing w:val="-7"/>
                <w:w w:val="105"/>
                <w:sz w:val="16"/>
              </w:rPr>
              <w:t> </w:t>
            </w:r>
            <w:r>
              <w:rPr>
                <w:w w:val="105"/>
                <w:sz w:val="16"/>
              </w:rPr>
              <w:t>disposal</w:t>
            </w:r>
            <w:r>
              <w:rPr>
                <w:spacing w:val="-8"/>
                <w:w w:val="105"/>
                <w:sz w:val="16"/>
              </w:rPr>
              <w:t> </w:t>
            </w:r>
            <w:r>
              <w:rPr>
                <w:w w:val="105"/>
                <w:sz w:val="16"/>
              </w:rPr>
              <w:t>of</w:t>
            </w:r>
            <w:r>
              <w:rPr>
                <w:spacing w:val="-7"/>
                <w:w w:val="105"/>
                <w:sz w:val="16"/>
              </w:rPr>
              <w:t> </w:t>
            </w:r>
            <w:r>
              <w:rPr>
                <w:spacing w:val="-2"/>
                <w:w w:val="105"/>
                <w:sz w:val="16"/>
              </w:rPr>
              <w:t>assets</w:t>
            </w:r>
          </w:p>
        </w:tc>
        <w:tc>
          <w:tcPr>
            <w:tcW w:w="912" w:type="dxa"/>
          </w:tcPr>
          <w:p>
            <w:pPr>
              <w:pStyle w:val="TableParagraph"/>
              <w:rPr>
                <w:sz w:val="14"/>
              </w:rPr>
            </w:pPr>
          </w:p>
        </w:tc>
        <w:tc>
          <w:tcPr>
            <w:tcW w:w="1060" w:type="dxa"/>
          </w:tcPr>
          <w:p>
            <w:pPr>
              <w:pStyle w:val="TableParagraph"/>
              <w:spacing w:line="180" w:lineRule="exact" w:before="3"/>
              <w:ind w:right="139"/>
              <w:jc w:val="right"/>
              <w:rPr>
                <w:b/>
                <w:sz w:val="16"/>
              </w:rPr>
            </w:pPr>
            <w:r>
              <w:rPr>
                <w:b/>
                <w:spacing w:val="-5"/>
                <w:w w:val="105"/>
                <w:sz w:val="16"/>
              </w:rPr>
              <w:t>57</w:t>
            </w:r>
          </w:p>
        </w:tc>
        <w:tc>
          <w:tcPr>
            <w:tcW w:w="660" w:type="dxa"/>
          </w:tcPr>
          <w:p>
            <w:pPr>
              <w:pStyle w:val="TableParagraph"/>
              <w:rPr>
                <w:sz w:val="14"/>
              </w:rPr>
            </w:pPr>
          </w:p>
        </w:tc>
        <w:tc>
          <w:tcPr>
            <w:tcW w:w="1060" w:type="dxa"/>
          </w:tcPr>
          <w:p>
            <w:pPr>
              <w:pStyle w:val="TableParagraph"/>
              <w:spacing w:line="180" w:lineRule="exact" w:before="3"/>
              <w:ind w:right="139"/>
              <w:jc w:val="right"/>
              <w:rPr>
                <w:sz w:val="16"/>
              </w:rPr>
            </w:pPr>
            <w:r>
              <w:rPr>
                <w:spacing w:val="-5"/>
                <w:w w:val="105"/>
                <w:sz w:val="16"/>
              </w:rPr>
              <w:t>138</w:t>
            </w:r>
          </w:p>
        </w:tc>
        <w:tc>
          <w:tcPr>
            <w:tcW w:w="660" w:type="dxa"/>
          </w:tcPr>
          <w:p>
            <w:pPr>
              <w:pStyle w:val="TableParagraph"/>
              <w:rPr>
                <w:sz w:val="14"/>
              </w:rPr>
            </w:pPr>
          </w:p>
        </w:tc>
        <w:tc>
          <w:tcPr>
            <w:tcW w:w="1033" w:type="dxa"/>
          </w:tcPr>
          <w:p>
            <w:pPr>
              <w:pStyle w:val="TableParagraph"/>
              <w:spacing w:line="180" w:lineRule="exact" w:before="3"/>
              <w:ind w:right="113"/>
              <w:jc w:val="right"/>
              <w:rPr>
                <w:sz w:val="16"/>
              </w:rPr>
            </w:pPr>
            <w:r>
              <w:rPr>
                <w:spacing w:val="-5"/>
                <w:w w:val="105"/>
                <w:sz w:val="16"/>
              </w:rPr>
              <w:t>123</w:t>
            </w:r>
          </w:p>
        </w:tc>
      </w:tr>
      <w:tr>
        <w:trPr>
          <w:trHeight w:val="203" w:hRule="atLeast"/>
        </w:trPr>
        <w:tc>
          <w:tcPr>
            <w:tcW w:w="6131" w:type="dxa"/>
            <w:shd w:val="clear" w:color="auto" w:fill="CCEDFF"/>
          </w:tcPr>
          <w:p>
            <w:pPr>
              <w:pStyle w:val="TableParagraph"/>
              <w:spacing w:line="180" w:lineRule="exact" w:before="3"/>
              <w:ind w:left="305"/>
              <w:rPr>
                <w:sz w:val="16"/>
              </w:rPr>
            </w:pPr>
            <w:r>
              <w:rPr>
                <w:sz w:val="16"/>
              </w:rPr>
              <w:t>Severance</w:t>
            </w:r>
            <w:r>
              <w:rPr>
                <w:spacing w:val="20"/>
                <w:sz w:val="16"/>
              </w:rPr>
              <w:t> </w:t>
            </w:r>
            <w:r>
              <w:rPr>
                <w:sz w:val="16"/>
              </w:rPr>
              <w:t>(reversals)</w:t>
            </w:r>
            <w:r>
              <w:rPr>
                <w:spacing w:val="21"/>
                <w:sz w:val="16"/>
              </w:rPr>
              <w:t> </w:t>
            </w:r>
            <w:r>
              <w:rPr>
                <w:spacing w:val="-2"/>
                <w:sz w:val="16"/>
              </w:rPr>
              <w:t>charges</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b/>
                <w:sz w:val="16"/>
              </w:rPr>
            </w:pPr>
            <w:r>
              <w:rPr>
                <w:b/>
                <w:spacing w:val="-4"/>
                <w:w w:val="105"/>
                <w:sz w:val="16"/>
              </w:rPr>
              <w:t>(13)</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sz w:val="16"/>
              </w:rPr>
            </w:pPr>
            <w:r>
              <w:rPr>
                <w:spacing w:val="-5"/>
                <w:w w:val="105"/>
                <w:sz w:val="16"/>
              </w:rPr>
              <w:t>148</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113"/>
              <w:jc w:val="right"/>
              <w:rPr>
                <w:sz w:val="16"/>
              </w:rPr>
            </w:pPr>
            <w:r>
              <w:rPr>
                <w:spacing w:val="-5"/>
                <w:w w:val="105"/>
                <w:sz w:val="16"/>
              </w:rPr>
              <w:t>63</w:t>
            </w:r>
          </w:p>
        </w:tc>
      </w:tr>
      <w:tr>
        <w:trPr>
          <w:trHeight w:val="203" w:hRule="atLeast"/>
        </w:trPr>
        <w:tc>
          <w:tcPr>
            <w:tcW w:w="6131" w:type="dxa"/>
          </w:tcPr>
          <w:p>
            <w:pPr>
              <w:pStyle w:val="TableParagraph"/>
              <w:spacing w:line="180" w:lineRule="exact" w:before="3"/>
              <w:ind w:left="305"/>
              <w:rPr>
                <w:sz w:val="16"/>
              </w:rPr>
            </w:pPr>
            <w:r>
              <w:rPr>
                <w:sz w:val="16"/>
              </w:rPr>
              <w:t>Severance</w:t>
            </w:r>
            <w:r>
              <w:rPr>
                <w:spacing w:val="20"/>
                <w:sz w:val="16"/>
              </w:rPr>
              <w:t> </w:t>
            </w:r>
            <w:r>
              <w:rPr>
                <w:spacing w:val="-2"/>
                <w:sz w:val="16"/>
              </w:rPr>
              <w:t>payments</w:t>
            </w:r>
          </w:p>
        </w:tc>
        <w:tc>
          <w:tcPr>
            <w:tcW w:w="912" w:type="dxa"/>
          </w:tcPr>
          <w:p>
            <w:pPr>
              <w:pStyle w:val="TableParagraph"/>
              <w:rPr>
                <w:sz w:val="14"/>
              </w:rPr>
            </w:pPr>
          </w:p>
        </w:tc>
        <w:tc>
          <w:tcPr>
            <w:tcW w:w="1060" w:type="dxa"/>
          </w:tcPr>
          <w:p>
            <w:pPr>
              <w:pStyle w:val="TableParagraph"/>
              <w:spacing w:line="180" w:lineRule="exact" w:before="3"/>
              <w:ind w:right="84"/>
              <w:jc w:val="right"/>
              <w:rPr>
                <w:b/>
                <w:sz w:val="16"/>
              </w:rPr>
            </w:pPr>
            <w:r>
              <w:rPr>
                <w:b/>
                <w:spacing w:val="-4"/>
                <w:w w:val="105"/>
                <w:sz w:val="16"/>
              </w:rPr>
              <w:t>(26)</w:t>
            </w:r>
          </w:p>
        </w:tc>
        <w:tc>
          <w:tcPr>
            <w:tcW w:w="660" w:type="dxa"/>
          </w:tcPr>
          <w:p>
            <w:pPr>
              <w:pStyle w:val="TableParagraph"/>
              <w:rPr>
                <w:sz w:val="14"/>
              </w:rPr>
            </w:pPr>
          </w:p>
        </w:tc>
        <w:tc>
          <w:tcPr>
            <w:tcW w:w="1060" w:type="dxa"/>
          </w:tcPr>
          <w:p>
            <w:pPr>
              <w:pStyle w:val="TableParagraph"/>
              <w:spacing w:line="180" w:lineRule="exact" w:before="3"/>
              <w:ind w:right="84"/>
              <w:jc w:val="right"/>
              <w:rPr>
                <w:sz w:val="16"/>
              </w:rPr>
            </w:pPr>
            <w:r>
              <w:rPr>
                <w:spacing w:val="-2"/>
                <w:w w:val="105"/>
                <w:sz w:val="16"/>
              </w:rPr>
              <w:t>(147)</w:t>
            </w:r>
          </w:p>
        </w:tc>
        <w:tc>
          <w:tcPr>
            <w:tcW w:w="660" w:type="dxa"/>
          </w:tcPr>
          <w:p>
            <w:pPr>
              <w:pStyle w:val="TableParagraph"/>
              <w:rPr>
                <w:sz w:val="14"/>
              </w:rPr>
            </w:pPr>
          </w:p>
        </w:tc>
        <w:tc>
          <w:tcPr>
            <w:tcW w:w="1033" w:type="dxa"/>
          </w:tcPr>
          <w:p>
            <w:pPr>
              <w:pStyle w:val="TableParagraph"/>
              <w:spacing w:line="180" w:lineRule="exact" w:before="3"/>
              <w:ind w:right="59"/>
              <w:jc w:val="right"/>
              <w:rPr>
                <w:sz w:val="16"/>
              </w:rPr>
            </w:pPr>
            <w:r>
              <w:rPr>
                <w:spacing w:val="-4"/>
                <w:w w:val="105"/>
                <w:sz w:val="16"/>
              </w:rPr>
              <w:t>(28)</w:t>
            </w:r>
          </w:p>
        </w:tc>
      </w:tr>
      <w:tr>
        <w:trPr>
          <w:trHeight w:val="203" w:hRule="atLeast"/>
        </w:trPr>
        <w:tc>
          <w:tcPr>
            <w:tcW w:w="6131" w:type="dxa"/>
            <w:shd w:val="clear" w:color="auto" w:fill="CCEDFF"/>
          </w:tcPr>
          <w:p>
            <w:pPr>
              <w:pStyle w:val="TableParagraph"/>
              <w:spacing w:line="180" w:lineRule="exact" w:before="3"/>
              <w:ind w:left="305"/>
              <w:rPr>
                <w:sz w:val="16"/>
              </w:rPr>
            </w:pPr>
            <w:r>
              <w:rPr>
                <w:sz w:val="16"/>
              </w:rPr>
              <w:t>Share-based</w:t>
            </w:r>
            <w:r>
              <w:rPr>
                <w:spacing w:val="26"/>
                <w:sz w:val="16"/>
              </w:rPr>
              <w:t> </w:t>
            </w:r>
            <w:r>
              <w:rPr>
                <w:sz w:val="16"/>
              </w:rPr>
              <w:t>compensation</w:t>
            </w:r>
            <w:r>
              <w:rPr>
                <w:spacing w:val="26"/>
                <w:sz w:val="16"/>
              </w:rPr>
              <w:t> </w:t>
            </w:r>
            <w:r>
              <w:rPr>
                <w:spacing w:val="-2"/>
                <w:sz w:val="16"/>
              </w:rPr>
              <w:t>expense</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b/>
                <w:sz w:val="16"/>
              </w:rPr>
            </w:pPr>
            <w:r>
              <w:rPr>
                <w:b/>
                <w:spacing w:val="-5"/>
                <w:w w:val="105"/>
                <w:sz w:val="16"/>
              </w:rPr>
              <w:t>190</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sz w:val="16"/>
              </w:rPr>
            </w:pPr>
            <w:r>
              <w:rPr>
                <w:spacing w:val="-5"/>
                <w:w w:val="105"/>
                <w:sz w:val="16"/>
              </w:rPr>
              <w:t>207</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113"/>
              <w:jc w:val="right"/>
              <w:rPr>
                <w:sz w:val="16"/>
              </w:rPr>
            </w:pPr>
            <w:r>
              <w:rPr>
                <w:spacing w:val="-5"/>
                <w:w w:val="105"/>
                <w:sz w:val="16"/>
              </w:rPr>
              <w:t>56</w:t>
            </w:r>
          </w:p>
        </w:tc>
      </w:tr>
      <w:tr>
        <w:trPr>
          <w:trHeight w:val="203" w:hRule="atLeast"/>
        </w:trPr>
        <w:tc>
          <w:tcPr>
            <w:tcW w:w="6131" w:type="dxa"/>
          </w:tcPr>
          <w:p>
            <w:pPr>
              <w:pStyle w:val="TableParagraph"/>
              <w:spacing w:line="180" w:lineRule="exact" w:before="3"/>
              <w:ind w:left="305"/>
              <w:rPr>
                <w:sz w:val="16"/>
              </w:rPr>
            </w:pPr>
            <w:r>
              <w:rPr>
                <w:w w:val="105"/>
                <w:sz w:val="16"/>
              </w:rPr>
              <w:t>Equity</w:t>
            </w:r>
            <w:r>
              <w:rPr>
                <w:spacing w:val="-9"/>
                <w:w w:val="105"/>
                <w:sz w:val="16"/>
              </w:rPr>
              <w:t> </w:t>
            </w:r>
            <w:r>
              <w:rPr>
                <w:w w:val="105"/>
                <w:sz w:val="16"/>
              </w:rPr>
              <w:t>in</w:t>
            </w:r>
            <w:r>
              <w:rPr>
                <w:spacing w:val="-9"/>
                <w:w w:val="105"/>
                <w:sz w:val="16"/>
              </w:rPr>
              <w:t> </w:t>
            </w:r>
            <w:r>
              <w:rPr>
                <w:w w:val="105"/>
                <w:sz w:val="16"/>
              </w:rPr>
              <w:t>(earnings)</w:t>
            </w:r>
            <w:r>
              <w:rPr>
                <w:spacing w:val="-9"/>
                <w:w w:val="105"/>
                <w:sz w:val="16"/>
              </w:rPr>
              <w:t> </w:t>
            </w:r>
            <w:r>
              <w:rPr>
                <w:w w:val="105"/>
                <w:sz w:val="16"/>
              </w:rPr>
              <w:t>losses</w:t>
            </w:r>
            <w:r>
              <w:rPr>
                <w:spacing w:val="-9"/>
                <w:w w:val="105"/>
                <w:sz w:val="16"/>
              </w:rPr>
              <w:t> </w:t>
            </w:r>
            <w:r>
              <w:rPr>
                <w:w w:val="105"/>
                <w:sz w:val="16"/>
              </w:rPr>
              <w:t>of</w:t>
            </w:r>
            <w:r>
              <w:rPr>
                <w:spacing w:val="-9"/>
                <w:w w:val="105"/>
                <w:sz w:val="16"/>
              </w:rPr>
              <w:t> </w:t>
            </w:r>
            <w:r>
              <w:rPr>
                <w:w w:val="105"/>
                <w:sz w:val="16"/>
              </w:rPr>
              <w:t>affiliated</w:t>
            </w:r>
            <w:r>
              <w:rPr>
                <w:spacing w:val="-9"/>
                <w:w w:val="105"/>
                <w:sz w:val="16"/>
              </w:rPr>
              <w:t> </w:t>
            </w:r>
            <w:r>
              <w:rPr>
                <w:spacing w:val="-2"/>
                <w:w w:val="105"/>
                <w:sz w:val="16"/>
              </w:rPr>
              <w:t>companies</w:t>
            </w:r>
          </w:p>
        </w:tc>
        <w:tc>
          <w:tcPr>
            <w:tcW w:w="912" w:type="dxa"/>
          </w:tcPr>
          <w:p>
            <w:pPr>
              <w:pStyle w:val="TableParagraph"/>
              <w:rPr>
                <w:sz w:val="14"/>
              </w:rPr>
            </w:pPr>
          </w:p>
        </w:tc>
        <w:tc>
          <w:tcPr>
            <w:tcW w:w="1060" w:type="dxa"/>
          </w:tcPr>
          <w:p>
            <w:pPr>
              <w:pStyle w:val="TableParagraph"/>
              <w:spacing w:line="180" w:lineRule="exact" w:before="3"/>
              <w:ind w:right="84"/>
              <w:jc w:val="right"/>
              <w:rPr>
                <w:b/>
                <w:sz w:val="16"/>
              </w:rPr>
            </w:pPr>
            <w:r>
              <w:rPr>
                <w:b/>
                <w:spacing w:val="-4"/>
                <w:w w:val="105"/>
                <w:sz w:val="16"/>
              </w:rPr>
              <w:t>(35)</w:t>
            </w:r>
          </w:p>
        </w:tc>
        <w:tc>
          <w:tcPr>
            <w:tcW w:w="660" w:type="dxa"/>
          </w:tcPr>
          <w:p>
            <w:pPr>
              <w:pStyle w:val="TableParagraph"/>
              <w:rPr>
                <w:sz w:val="14"/>
              </w:rPr>
            </w:pPr>
          </w:p>
        </w:tc>
        <w:tc>
          <w:tcPr>
            <w:tcW w:w="1060" w:type="dxa"/>
          </w:tcPr>
          <w:p>
            <w:pPr>
              <w:pStyle w:val="TableParagraph"/>
              <w:spacing w:line="180" w:lineRule="exact" w:before="3"/>
              <w:ind w:right="139"/>
              <w:jc w:val="right"/>
              <w:rPr>
                <w:sz w:val="16"/>
              </w:rPr>
            </w:pPr>
            <w:r>
              <w:rPr>
                <w:spacing w:val="-5"/>
                <w:w w:val="105"/>
                <w:sz w:val="16"/>
              </w:rPr>
              <w:t>25</w:t>
            </w:r>
          </w:p>
        </w:tc>
        <w:tc>
          <w:tcPr>
            <w:tcW w:w="660" w:type="dxa"/>
          </w:tcPr>
          <w:p>
            <w:pPr>
              <w:pStyle w:val="TableParagraph"/>
              <w:rPr>
                <w:sz w:val="14"/>
              </w:rPr>
            </w:pPr>
          </w:p>
        </w:tc>
        <w:tc>
          <w:tcPr>
            <w:tcW w:w="1033" w:type="dxa"/>
          </w:tcPr>
          <w:p>
            <w:pPr>
              <w:pStyle w:val="TableParagraph"/>
              <w:spacing w:line="180" w:lineRule="exact" w:before="3"/>
              <w:ind w:right="59"/>
              <w:jc w:val="right"/>
              <w:rPr>
                <w:sz w:val="16"/>
              </w:rPr>
            </w:pPr>
            <w:r>
              <w:rPr>
                <w:spacing w:val="-4"/>
                <w:w w:val="105"/>
                <w:sz w:val="16"/>
              </w:rPr>
              <w:t>(17)</w:t>
            </w:r>
          </w:p>
        </w:tc>
      </w:tr>
      <w:tr>
        <w:trPr>
          <w:trHeight w:val="203" w:hRule="atLeast"/>
        </w:trPr>
        <w:tc>
          <w:tcPr>
            <w:tcW w:w="6131" w:type="dxa"/>
            <w:shd w:val="clear" w:color="auto" w:fill="CCEDFF"/>
          </w:tcPr>
          <w:p>
            <w:pPr>
              <w:pStyle w:val="TableParagraph"/>
              <w:spacing w:line="180" w:lineRule="exact" w:before="3"/>
              <w:ind w:left="305"/>
              <w:rPr>
                <w:sz w:val="16"/>
              </w:rPr>
            </w:pPr>
            <w:r>
              <w:rPr>
                <w:sz w:val="16"/>
              </w:rPr>
              <w:t>Translation</w:t>
            </w:r>
            <w:r>
              <w:rPr>
                <w:spacing w:val="16"/>
                <w:sz w:val="16"/>
              </w:rPr>
              <w:t> </w:t>
            </w:r>
            <w:r>
              <w:rPr>
                <w:sz w:val="16"/>
              </w:rPr>
              <w:t>(gain)</w:t>
            </w:r>
            <w:r>
              <w:rPr>
                <w:spacing w:val="17"/>
                <w:sz w:val="16"/>
              </w:rPr>
              <w:t> </w:t>
            </w:r>
            <w:r>
              <w:rPr>
                <w:sz w:val="16"/>
              </w:rPr>
              <w:t>loss</w:t>
            </w:r>
            <w:r>
              <w:rPr>
                <w:spacing w:val="17"/>
                <w:sz w:val="16"/>
              </w:rPr>
              <w:t> </w:t>
            </w:r>
            <w:r>
              <w:rPr>
                <w:sz w:val="16"/>
              </w:rPr>
              <w:t>on</w:t>
            </w:r>
            <w:r>
              <w:rPr>
                <w:spacing w:val="17"/>
                <w:sz w:val="16"/>
              </w:rPr>
              <w:t> </w:t>
            </w:r>
            <w:r>
              <w:rPr>
                <w:sz w:val="16"/>
              </w:rPr>
              <w:t>Japanese</w:t>
            </w:r>
            <w:r>
              <w:rPr>
                <w:spacing w:val="17"/>
                <w:sz w:val="16"/>
              </w:rPr>
              <w:t> </w:t>
            </w:r>
            <w:r>
              <w:rPr>
                <w:sz w:val="16"/>
              </w:rPr>
              <w:t>yen-denominated</w:t>
            </w:r>
            <w:r>
              <w:rPr>
                <w:spacing w:val="16"/>
                <w:sz w:val="16"/>
              </w:rPr>
              <w:t> </w:t>
            </w:r>
            <w:r>
              <w:rPr>
                <w:spacing w:val="-4"/>
                <w:sz w:val="16"/>
              </w:rPr>
              <w:t>debt</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b/>
                <w:sz w:val="16"/>
              </w:rPr>
            </w:pPr>
            <w:r>
              <w:rPr>
                <w:b/>
                <w:spacing w:val="-2"/>
                <w:w w:val="105"/>
                <w:sz w:val="16"/>
              </w:rPr>
              <w:t>(180)</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sz w:val="16"/>
              </w:rPr>
            </w:pPr>
            <w:r>
              <w:rPr>
                <w:spacing w:val="-5"/>
                <w:w w:val="105"/>
                <w:sz w:val="16"/>
              </w:rPr>
              <w:t>86</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113"/>
              <w:jc w:val="right"/>
              <w:rPr>
                <w:sz w:val="16"/>
              </w:rPr>
            </w:pPr>
            <w:r>
              <w:rPr>
                <w:spacing w:val="-10"/>
                <w:w w:val="105"/>
                <w:sz w:val="16"/>
              </w:rPr>
              <w:t>3</w:t>
            </w:r>
          </w:p>
        </w:tc>
      </w:tr>
      <w:tr>
        <w:trPr>
          <w:trHeight w:val="203" w:hRule="atLeast"/>
        </w:trPr>
        <w:tc>
          <w:tcPr>
            <w:tcW w:w="6131" w:type="dxa"/>
          </w:tcPr>
          <w:p>
            <w:pPr>
              <w:pStyle w:val="TableParagraph"/>
              <w:spacing w:line="180" w:lineRule="exact" w:before="3"/>
              <w:ind w:left="305"/>
              <w:rPr>
                <w:sz w:val="16"/>
              </w:rPr>
            </w:pPr>
            <w:r>
              <w:rPr>
                <w:sz w:val="16"/>
              </w:rPr>
              <w:t>Dividends</w:t>
            </w:r>
            <w:r>
              <w:rPr>
                <w:spacing w:val="15"/>
                <w:sz w:val="16"/>
              </w:rPr>
              <w:t> </w:t>
            </w:r>
            <w:r>
              <w:rPr>
                <w:sz w:val="16"/>
              </w:rPr>
              <w:t>received</w:t>
            </w:r>
            <w:r>
              <w:rPr>
                <w:spacing w:val="15"/>
                <w:sz w:val="16"/>
              </w:rPr>
              <w:t> </w:t>
            </w:r>
            <w:r>
              <w:rPr>
                <w:sz w:val="16"/>
              </w:rPr>
              <w:t>from</w:t>
            </w:r>
            <w:r>
              <w:rPr>
                <w:spacing w:val="15"/>
                <w:sz w:val="16"/>
              </w:rPr>
              <w:t> </w:t>
            </w:r>
            <w:r>
              <w:rPr>
                <w:sz w:val="16"/>
              </w:rPr>
              <w:t>affiliated</w:t>
            </w:r>
            <w:r>
              <w:rPr>
                <w:spacing w:val="15"/>
                <w:sz w:val="16"/>
              </w:rPr>
              <w:t> </w:t>
            </w:r>
            <w:r>
              <w:rPr>
                <w:spacing w:val="-2"/>
                <w:sz w:val="16"/>
              </w:rPr>
              <w:t>companies</w:t>
            </w:r>
          </w:p>
        </w:tc>
        <w:tc>
          <w:tcPr>
            <w:tcW w:w="912" w:type="dxa"/>
          </w:tcPr>
          <w:p>
            <w:pPr>
              <w:pStyle w:val="TableParagraph"/>
              <w:rPr>
                <w:sz w:val="14"/>
              </w:rPr>
            </w:pPr>
          </w:p>
        </w:tc>
        <w:tc>
          <w:tcPr>
            <w:tcW w:w="1060" w:type="dxa"/>
          </w:tcPr>
          <w:p>
            <w:pPr>
              <w:pStyle w:val="TableParagraph"/>
              <w:spacing w:line="180" w:lineRule="exact" w:before="3"/>
              <w:ind w:right="139"/>
              <w:jc w:val="right"/>
              <w:rPr>
                <w:b/>
                <w:sz w:val="16"/>
              </w:rPr>
            </w:pPr>
            <w:r>
              <w:rPr>
                <w:b/>
                <w:spacing w:val="-10"/>
                <w:w w:val="105"/>
                <w:sz w:val="16"/>
              </w:rPr>
              <w:t>8</w:t>
            </w:r>
          </w:p>
        </w:tc>
        <w:tc>
          <w:tcPr>
            <w:tcW w:w="660" w:type="dxa"/>
          </w:tcPr>
          <w:p>
            <w:pPr>
              <w:pStyle w:val="TableParagraph"/>
              <w:rPr>
                <w:sz w:val="14"/>
              </w:rPr>
            </w:pPr>
          </w:p>
        </w:tc>
        <w:tc>
          <w:tcPr>
            <w:tcW w:w="1060" w:type="dxa"/>
          </w:tcPr>
          <w:p>
            <w:pPr>
              <w:pStyle w:val="TableParagraph"/>
              <w:spacing w:line="180" w:lineRule="exact" w:before="3"/>
              <w:ind w:right="139"/>
              <w:jc w:val="right"/>
              <w:rPr>
                <w:sz w:val="16"/>
              </w:rPr>
            </w:pPr>
            <w:r>
              <w:rPr>
                <w:spacing w:val="-10"/>
                <w:w w:val="105"/>
                <w:sz w:val="16"/>
              </w:rPr>
              <w:t>1</w:t>
            </w:r>
          </w:p>
        </w:tc>
        <w:tc>
          <w:tcPr>
            <w:tcW w:w="660" w:type="dxa"/>
          </w:tcPr>
          <w:p>
            <w:pPr>
              <w:pStyle w:val="TableParagraph"/>
              <w:rPr>
                <w:sz w:val="14"/>
              </w:rPr>
            </w:pPr>
          </w:p>
        </w:tc>
        <w:tc>
          <w:tcPr>
            <w:tcW w:w="1033" w:type="dxa"/>
          </w:tcPr>
          <w:p>
            <w:pPr>
              <w:pStyle w:val="TableParagraph"/>
              <w:spacing w:line="180" w:lineRule="exact" w:before="3"/>
              <w:ind w:right="113"/>
              <w:jc w:val="right"/>
              <w:rPr>
                <w:sz w:val="16"/>
              </w:rPr>
            </w:pPr>
            <w:r>
              <w:rPr>
                <w:spacing w:val="-5"/>
                <w:w w:val="105"/>
                <w:sz w:val="16"/>
              </w:rPr>
              <w:t>106</w:t>
            </w:r>
          </w:p>
        </w:tc>
      </w:tr>
      <w:tr>
        <w:trPr>
          <w:trHeight w:val="203" w:hRule="atLeast"/>
        </w:trPr>
        <w:tc>
          <w:tcPr>
            <w:tcW w:w="6131" w:type="dxa"/>
            <w:shd w:val="clear" w:color="auto" w:fill="CCEDFF"/>
          </w:tcPr>
          <w:p>
            <w:pPr>
              <w:pStyle w:val="TableParagraph"/>
              <w:spacing w:line="180" w:lineRule="exact" w:before="3"/>
              <w:ind w:left="305"/>
              <w:rPr>
                <w:sz w:val="16"/>
              </w:rPr>
            </w:pPr>
            <w:r>
              <w:rPr>
                <w:w w:val="105"/>
                <w:sz w:val="16"/>
              </w:rPr>
              <w:t>Deferred</w:t>
            </w:r>
            <w:r>
              <w:rPr>
                <w:spacing w:val="-11"/>
                <w:w w:val="105"/>
                <w:sz w:val="16"/>
              </w:rPr>
              <w:t> </w:t>
            </w:r>
            <w:r>
              <w:rPr>
                <w:w w:val="105"/>
                <w:sz w:val="16"/>
              </w:rPr>
              <w:t>tax</w:t>
            </w:r>
            <w:r>
              <w:rPr>
                <w:spacing w:val="-10"/>
                <w:w w:val="105"/>
                <w:sz w:val="16"/>
              </w:rPr>
              <w:t> </w:t>
            </w:r>
            <w:r>
              <w:rPr>
                <w:w w:val="105"/>
                <w:sz w:val="16"/>
              </w:rPr>
              <w:t>provision</w:t>
            </w:r>
            <w:r>
              <w:rPr>
                <w:spacing w:val="-10"/>
                <w:w w:val="105"/>
                <w:sz w:val="16"/>
              </w:rPr>
              <w:t> </w:t>
            </w:r>
            <w:r>
              <w:rPr>
                <w:spacing w:val="-2"/>
                <w:w w:val="105"/>
                <w:sz w:val="16"/>
              </w:rPr>
              <w:t>(benefit)</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b/>
                <w:sz w:val="16"/>
              </w:rPr>
            </w:pPr>
            <w:r>
              <w:rPr>
                <w:b/>
                <w:spacing w:val="-5"/>
                <w:w w:val="105"/>
                <w:sz w:val="16"/>
              </w:rPr>
              <w:t>16</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sz w:val="16"/>
              </w:rPr>
            </w:pPr>
            <w:r>
              <w:rPr>
                <w:spacing w:val="-4"/>
                <w:w w:val="105"/>
                <w:sz w:val="16"/>
              </w:rPr>
              <w:t>(20)</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59"/>
              <w:jc w:val="right"/>
              <w:rPr>
                <w:sz w:val="16"/>
              </w:rPr>
            </w:pPr>
            <w:r>
              <w:rPr>
                <w:spacing w:val="-2"/>
                <w:w w:val="105"/>
                <w:sz w:val="16"/>
              </w:rPr>
              <w:t>(191)</w:t>
            </w:r>
          </w:p>
        </w:tc>
      </w:tr>
      <w:tr>
        <w:trPr>
          <w:trHeight w:val="203" w:hRule="atLeast"/>
        </w:trPr>
        <w:tc>
          <w:tcPr>
            <w:tcW w:w="6131" w:type="dxa"/>
          </w:tcPr>
          <w:p>
            <w:pPr>
              <w:pStyle w:val="TableParagraph"/>
              <w:spacing w:line="180" w:lineRule="exact" w:before="3"/>
              <w:ind w:left="305"/>
              <w:rPr>
                <w:sz w:val="16"/>
              </w:rPr>
            </w:pPr>
            <w:r>
              <w:rPr>
                <w:w w:val="105"/>
                <w:sz w:val="16"/>
              </w:rPr>
              <w:t>Pension</w:t>
            </w:r>
            <w:r>
              <w:rPr>
                <w:spacing w:val="-9"/>
                <w:w w:val="105"/>
                <w:sz w:val="16"/>
              </w:rPr>
              <w:t> </w:t>
            </w:r>
            <w:r>
              <w:rPr>
                <w:w w:val="105"/>
                <w:sz w:val="16"/>
              </w:rPr>
              <w:t>plan</w:t>
            </w:r>
            <w:r>
              <w:rPr>
                <w:spacing w:val="-9"/>
                <w:w w:val="105"/>
                <w:sz w:val="16"/>
              </w:rPr>
              <w:t> </w:t>
            </w:r>
            <w:r>
              <w:rPr>
                <w:spacing w:val="-2"/>
                <w:w w:val="105"/>
                <w:sz w:val="16"/>
              </w:rPr>
              <w:t>contributions</w:t>
            </w:r>
          </w:p>
        </w:tc>
        <w:tc>
          <w:tcPr>
            <w:tcW w:w="912" w:type="dxa"/>
          </w:tcPr>
          <w:p>
            <w:pPr>
              <w:pStyle w:val="TableParagraph"/>
              <w:rPr>
                <w:sz w:val="14"/>
              </w:rPr>
            </w:pPr>
          </w:p>
        </w:tc>
        <w:tc>
          <w:tcPr>
            <w:tcW w:w="1060" w:type="dxa"/>
          </w:tcPr>
          <w:p>
            <w:pPr>
              <w:pStyle w:val="TableParagraph"/>
              <w:spacing w:line="180" w:lineRule="exact" w:before="3"/>
              <w:ind w:right="84"/>
              <w:jc w:val="right"/>
              <w:rPr>
                <w:b/>
                <w:sz w:val="16"/>
              </w:rPr>
            </w:pPr>
            <w:r>
              <w:rPr>
                <w:b/>
                <w:spacing w:val="-4"/>
                <w:w w:val="105"/>
                <w:sz w:val="16"/>
              </w:rPr>
              <w:t>(24)</w:t>
            </w:r>
          </w:p>
        </w:tc>
        <w:tc>
          <w:tcPr>
            <w:tcW w:w="660" w:type="dxa"/>
          </w:tcPr>
          <w:p>
            <w:pPr>
              <w:pStyle w:val="TableParagraph"/>
              <w:rPr>
                <w:sz w:val="14"/>
              </w:rPr>
            </w:pPr>
          </w:p>
        </w:tc>
        <w:tc>
          <w:tcPr>
            <w:tcW w:w="1060" w:type="dxa"/>
          </w:tcPr>
          <w:p>
            <w:pPr>
              <w:pStyle w:val="TableParagraph"/>
              <w:spacing w:line="180" w:lineRule="exact" w:before="3"/>
              <w:ind w:right="84"/>
              <w:jc w:val="right"/>
              <w:rPr>
                <w:sz w:val="16"/>
              </w:rPr>
            </w:pPr>
            <w:r>
              <w:rPr>
                <w:spacing w:val="-2"/>
                <w:w w:val="105"/>
                <w:sz w:val="16"/>
              </w:rPr>
              <w:t>(221)</w:t>
            </w:r>
          </w:p>
        </w:tc>
        <w:tc>
          <w:tcPr>
            <w:tcW w:w="660" w:type="dxa"/>
          </w:tcPr>
          <w:p>
            <w:pPr>
              <w:pStyle w:val="TableParagraph"/>
              <w:rPr>
                <w:sz w:val="14"/>
              </w:rPr>
            </w:pPr>
          </w:p>
        </w:tc>
        <w:tc>
          <w:tcPr>
            <w:tcW w:w="1033" w:type="dxa"/>
          </w:tcPr>
          <w:p>
            <w:pPr>
              <w:pStyle w:val="TableParagraph"/>
              <w:spacing w:line="180" w:lineRule="exact" w:before="3"/>
              <w:ind w:right="59"/>
              <w:jc w:val="right"/>
              <w:rPr>
                <w:sz w:val="16"/>
              </w:rPr>
            </w:pPr>
            <w:r>
              <w:rPr>
                <w:spacing w:val="-5"/>
                <w:w w:val="105"/>
                <w:sz w:val="16"/>
              </w:rPr>
              <w:t>(2)</w:t>
            </w:r>
          </w:p>
        </w:tc>
      </w:tr>
      <w:tr>
        <w:trPr>
          <w:trHeight w:val="203" w:hRule="atLeast"/>
        </w:trPr>
        <w:tc>
          <w:tcPr>
            <w:tcW w:w="6131" w:type="dxa"/>
            <w:shd w:val="clear" w:color="auto" w:fill="CCEDFF"/>
          </w:tcPr>
          <w:p>
            <w:pPr>
              <w:pStyle w:val="TableParagraph"/>
              <w:spacing w:line="180" w:lineRule="exact" w:before="3"/>
              <w:ind w:left="305"/>
              <w:rPr>
                <w:sz w:val="16"/>
              </w:rPr>
            </w:pPr>
            <w:r>
              <w:rPr>
                <w:sz w:val="16"/>
              </w:rPr>
              <w:t>Translated</w:t>
            </w:r>
            <w:r>
              <w:rPr>
                <w:spacing w:val="15"/>
                <w:sz w:val="16"/>
              </w:rPr>
              <w:t> </w:t>
            </w:r>
            <w:r>
              <w:rPr>
                <w:sz w:val="16"/>
              </w:rPr>
              <w:t>earnings</w:t>
            </w:r>
            <w:r>
              <w:rPr>
                <w:spacing w:val="16"/>
                <w:sz w:val="16"/>
              </w:rPr>
              <w:t> </w:t>
            </w:r>
            <w:r>
              <w:rPr>
                <w:sz w:val="16"/>
              </w:rPr>
              <w:t>contract</w:t>
            </w:r>
            <w:r>
              <w:rPr>
                <w:spacing w:val="15"/>
                <w:sz w:val="16"/>
              </w:rPr>
              <w:t> </w:t>
            </w:r>
            <w:r>
              <w:rPr>
                <w:sz w:val="16"/>
              </w:rPr>
              <w:t>(gain)</w:t>
            </w:r>
            <w:r>
              <w:rPr>
                <w:spacing w:val="16"/>
                <w:sz w:val="16"/>
              </w:rPr>
              <w:t> </w:t>
            </w:r>
            <w:r>
              <w:rPr>
                <w:spacing w:val="-4"/>
                <w:sz w:val="16"/>
              </w:rPr>
              <w:t>loss</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b/>
                <w:sz w:val="16"/>
              </w:rPr>
            </w:pPr>
            <w:r>
              <w:rPr>
                <w:b/>
                <w:spacing w:val="-2"/>
                <w:w w:val="105"/>
                <w:sz w:val="16"/>
              </w:rPr>
              <w:t>(354)</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sz w:val="16"/>
              </w:rPr>
            </w:pPr>
            <w:r>
              <w:rPr>
                <w:spacing w:val="-5"/>
                <w:w w:val="105"/>
                <w:sz w:val="16"/>
              </w:rPr>
              <w:t>38</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59"/>
              <w:jc w:val="right"/>
              <w:rPr>
                <w:sz w:val="16"/>
              </w:rPr>
            </w:pPr>
            <w:r>
              <w:rPr>
                <w:spacing w:val="-2"/>
                <w:w w:val="105"/>
                <w:sz w:val="16"/>
              </w:rPr>
              <w:t>(248)</w:t>
            </w:r>
          </w:p>
        </w:tc>
      </w:tr>
      <w:tr>
        <w:trPr>
          <w:trHeight w:val="203" w:hRule="atLeast"/>
        </w:trPr>
        <w:tc>
          <w:tcPr>
            <w:tcW w:w="6131" w:type="dxa"/>
          </w:tcPr>
          <w:p>
            <w:pPr>
              <w:pStyle w:val="TableParagraph"/>
              <w:spacing w:line="180" w:lineRule="exact" w:before="3"/>
              <w:ind w:left="305"/>
              <w:rPr>
                <w:sz w:val="16"/>
              </w:rPr>
            </w:pPr>
            <w:r>
              <w:rPr>
                <w:w w:val="105"/>
                <w:sz w:val="16"/>
              </w:rPr>
              <w:t>Unrealized</w:t>
            </w:r>
            <w:r>
              <w:rPr>
                <w:spacing w:val="-10"/>
                <w:w w:val="105"/>
                <w:sz w:val="16"/>
              </w:rPr>
              <w:t> </w:t>
            </w:r>
            <w:r>
              <w:rPr>
                <w:w w:val="105"/>
                <w:sz w:val="16"/>
              </w:rPr>
              <w:t>translation</w:t>
            </w:r>
            <w:r>
              <w:rPr>
                <w:spacing w:val="-10"/>
                <w:w w:val="105"/>
                <w:sz w:val="16"/>
              </w:rPr>
              <w:t> </w:t>
            </w:r>
            <w:r>
              <w:rPr>
                <w:w w:val="105"/>
                <w:sz w:val="16"/>
              </w:rPr>
              <w:t>loss</w:t>
            </w:r>
            <w:r>
              <w:rPr>
                <w:spacing w:val="-10"/>
                <w:w w:val="105"/>
                <w:sz w:val="16"/>
              </w:rPr>
              <w:t> </w:t>
            </w:r>
            <w:r>
              <w:rPr>
                <w:w w:val="105"/>
                <w:sz w:val="16"/>
              </w:rPr>
              <w:t>(gain)</w:t>
            </w:r>
            <w:r>
              <w:rPr>
                <w:spacing w:val="-10"/>
                <w:w w:val="105"/>
                <w:sz w:val="16"/>
              </w:rPr>
              <w:t> </w:t>
            </w:r>
            <w:r>
              <w:rPr>
                <w:w w:val="105"/>
                <w:sz w:val="16"/>
              </w:rPr>
              <w:t>on</w:t>
            </w:r>
            <w:r>
              <w:rPr>
                <w:spacing w:val="-10"/>
                <w:w w:val="105"/>
                <w:sz w:val="16"/>
              </w:rPr>
              <w:t> </w:t>
            </w:r>
            <w:r>
              <w:rPr>
                <w:spacing w:val="-2"/>
                <w:w w:val="105"/>
                <w:sz w:val="16"/>
              </w:rPr>
              <w:t>transactions</w:t>
            </w:r>
          </w:p>
        </w:tc>
        <w:tc>
          <w:tcPr>
            <w:tcW w:w="912" w:type="dxa"/>
          </w:tcPr>
          <w:p>
            <w:pPr>
              <w:pStyle w:val="TableParagraph"/>
              <w:rPr>
                <w:sz w:val="14"/>
              </w:rPr>
            </w:pPr>
          </w:p>
        </w:tc>
        <w:tc>
          <w:tcPr>
            <w:tcW w:w="1060" w:type="dxa"/>
          </w:tcPr>
          <w:p>
            <w:pPr>
              <w:pStyle w:val="TableParagraph"/>
              <w:spacing w:line="180" w:lineRule="exact" w:before="3"/>
              <w:ind w:right="139"/>
              <w:jc w:val="right"/>
              <w:rPr>
                <w:b/>
                <w:sz w:val="16"/>
              </w:rPr>
            </w:pPr>
            <w:r>
              <w:rPr>
                <w:b/>
                <w:spacing w:val="-5"/>
                <w:w w:val="105"/>
                <w:sz w:val="16"/>
              </w:rPr>
              <w:t>77</w:t>
            </w:r>
          </w:p>
        </w:tc>
        <w:tc>
          <w:tcPr>
            <w:tcW w:w="660" w:type="dxa"/>
          </w:tcPr>
          <w:p>
            <w:pPr>
              <w:pStyle w:val="TableParagraph"/>
              <w:rPr>
                <w:sz w:val="14"/>
              </w:rPr>
            </w:pPr>
          </w:p>
        </w:tc>
        <w:tc>
          <w:tcPr>
            <w:tcW w:w="1060" w:type="dxa"/>
          </w:tcPr>
          <w:p>
            <w:pPr>
              <w:pStyle w:val="TableParagraph"/>
              <w:spacing w:line="180" w:lineRule="exact" w:before="3"/>
              <w:ind w:right="84"/>
              <w:jc w:val="right"/>
              <w:rPr>
                <w:sz w:val="16"/>
              </w:rPr>
            </w:pPr>
            <w:r>
              <w:rPr>
                <w:spacing w:val="-2"/>
                <w:w w:val="105"/>
                <w:sz w:val="16"/>
              </w:rPr>
              <w:t>(133)</w:t>
            </w:r>
          </w:p>
        </w:tc>
        <w:tc>
          <w:tcPr>
            <w:tcW w:w="660" w:type="dxa"/>
          </w:tcPr>
          <w:p>
            <w:pPr>
              <w:pStyle w:val="TableParagraph"/>
              <w:rPr>
                <w:sz w:val="14"/>
              </w:rPr>
            </w:pPr>
          </w:p>
        </w:tc>
        <w:tc>
          <w:tcPr>
            <w:tcW w:w="1033" w:type="dxa"/>
          </w:tcPr>
          <w:p>
            <w:pPr>
              <w:pStyle w:val="TableParagraph"/>
              <w:spacing w:line="180" w:lineRule="exact" w:before="3"/>
              <w:ind w:right="113"/>
              <w:jc w:val="right"/>
              <w:rPr>
                <w:sz w:val="16"/>
              </w:rPr>
            </w:pPr>
            <w:r>
              <w:rPr>
                <w:spacing w:val="-5"/>
                <w:w w:val="105"/>
                <w:sz w:val="16"/>
              </w:rPr>
              <w:t>33</w:t>
            </w:r>
          </w:p>
        </w:tc>
      </w:tr>
      <w:tr>
        <w:trPr>
          <w:trHeight w:val="203" w:hRule="atLeast"/>
        </w:trPr>
        <w:tc>
          <w:tcPr>
            <w:tcW w:w="6131" w:type="dxa"/>
            <w:shd w:val="clear" w:color="auto" w:fill="CCEDFF"/>
          </w:tcPr>
          <w:p>
            <w:pPr>
              <w:pStyle w:val="TableParagraph"/>
              <w:spacing w:line="180" w:lineRule="exact" w:before="3"/>
              <w:ind w:left="305"/>
              <w:rPr>
                <w:sz w:val="16"/>
              </w:rPr>
            </w:pPr>
            <w:r>
              <w:rPr>
                <w:sz w:val="16"/>
              </w:rPr>
              <w:t>Asbestos</w:t>
            </w:r>
            <w:r>
              <w:rPr>
                <w:spacing w:val="9"/>
                <w:sz w:val="16"/>
              </w:rPr>
              <w:t> </w:t>
            </w:r>
            <w:r>
              <w:rPr>
                <w:sz w:val="16"/>
              </w:rPr>
              <w:t>claim</w:t>
            </w:r>
            <w:r>
              <w:rPr>
                <w:spacing w:val="12"/>
                <w:sz w:val="16"/>
              </w:rPr>
              <w:t> </w:t>
            </w:r>
            <w:r>
              <w:rPr>
                <w:spacing w:val="-2"/>
                <w:sz w:val="16"/>
              </w:rPr>
              <w:t>payments</w:t>
            </w:r>
          </w:p>
        </w:tc>
        <w:tc>
          <w:tcPr>
            <w:tcW w:w="912"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sz w:val="16"/>
              </w:rPr>
            </w:pPr>
            <w:r>
              <w:rPr>
                <w:spacing w:val="-2"/>
                <w:w w:val="105"/>
                <w:sz w:val="16"/>
              </w:rPr>
              <w:t>(130)</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59"/>
              <w:jc w:val="right"/>
              <w:rPr>
                <w:sz w:val="16"/>
              </w:rPr>
            </w:pPr>
            <w:r>
              <w:rPr>
                <w:spacing w:val="-4"/>
                <w:w w:val="105"/>
                <w:sz w:val="16"/>
              </w:rPr>
              <w:t>(50)</w:t>
            </w:r>
          </w:p>
        </w:tc>
      </w:tr>
      <w:tr>
        <w:trPr>
          <w:trHeight w:val="203" w:hRule="atLeast"/>
        </w:trPr>
        <w:tc>
          <w:tcPr>
            <w:tcW w:w="6131" w:type="dxa"/>
          </w:tcPr>
          <w:p>
            <w:pPr>
              <w:pStyle w:val="TableParagraph"/>
              <w:spacing w:line="180" w:lineRule="exact" w:before="3"/>
              <w:ind w:left="305"/>
              <w:rPr>
                <w:sz w:val="16"/>
              </w:rPr>
            </w:pPr>
            <w:r>
              <w:rPr>
                <w:sz w:val="16"/>
              </w:rPr>
              <w:t>Tax</w:t>
            </w:r>
            <w:r>
              <w:rPr>
                <w:spacing w:val="15"/>
                <w:sz w:val="16"/>
              </w:rPr>
              <w:t> </w:t>
            </w:r>
            <w:r>
              <w:rPr>
                <w:sz w:val="16"/>
              </w:rPr>
              <w:t>assessment</w:t>
            </w:r>
            <w:r>
              <w:rPr>
                <w:spacing w:val="15"/>
                <w:sz w:val="16"/>
              </w:rPr>
              <w:t> </w:t>
            </w:r>
            <w:r>
              <w:rPr>
                <w:spacing w:val="-2"/>
                <w:sz w:val="16"/>
              </w:rPr>
              <w:t>refunds</w:t>
            </w:r>
          </w:p>
        </w:tc>
        <w:tc>
          <w:tcPr>
            <w:tcW w:w="912"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60" w:type="dxa"/>
          </w:tcPr>
          <w:p>
            <w:pPr>
              <w:pStyle w:val="TableParagraph"/>
              <w:spacing w:line="180" w:lineRule="exact" w:before="3"/>
              <w:ind w:right="139"/>
              <w:jc w:val="right"/>
              <w:rPr>
                <w:sz w:val="16"/>
              </w:rPr>
            </w:pPr>
            <w:r>
              <w:rPr>
                <w:spacing w:val="-5"/>
                <w:w w:val="105"/>
                <w:sz w:val="16"/>
              </w:rPr>
              <w:t>101</w:t>
            </w:r>
          </w:p>
        </w:tc>
        <w:tc>
          <w:tcPr>
            <w:tcW w:w="660" w:type="dxa"/>
          </w:tcPr>
          <w:p>
            <w:pPr>
              <w:pStyle w:val="TableParagraph"/>
              <w:rPr>
                <w:sz w:val="14"/>
              </w:rPr>
            </w:pPr>
          </w:p>
        </w:tc>
        <w:tc>
          <w:tcPr>
            <w:tcW w:w="1033" w:type="dxa"/>
          </w:tcPr>
          <w:p>
            <w:pPr>
              <w:pStyle w:val="TableParagraph"/>
              <w:rPr>
                <w:sz w:val="14"/>
              </w:rPr>
            </w:pPr>
          </w:p>
        </w:tc>
      </w:tr>
      <w:tr>
        <w:trPr>
          <w:trHeight w:val="203" w:hRule="atLeast"/>
        </w:trPr>
        <w:tc>
          <w:tcPr>
            <w:tcW w:w="6131" w:type="dxa"/>
            <w:shd w:val="clear" w:color="auto" w:fill="CCEDFF"/>
          </w:tcPr>
          <w:p>
            <w:pPr>
              <w:pStyle w:val="TableParagraph"/>
              <w:spacing w:line="180" w:lineRule="exact" w:before="3"/>
              <w:ind w:left="305"/>
              <w:rPr>
                <w:sz w:val="16"/>
              </w:rPr>
            </w:pPr>
            <w:r>
              <w:rPr>
                <w:w w:val="105"/>
                <w:sz w:val="16"/>
              </w:rPr>
              <w:t>Asset</w:t>
            </w:r>
            <w:r>
              <w:rPr>
                <w:spacing w:val="-9"/>
                <w:w w:val="105"/>
                <w:sz w:val="16"/>
              </w:rPr>
              <w:t> </w:t>
            </w:r>
            <w:r>
              <w:rPr>
                <w:spacing w:val="-2"/>
                <w:w w:val="105"/>
                <w:sz w:val="16"/>
              </w:rPr>
              <w:t>impairment</w:t>
            </w:r>
          </w:p>
        </w:tc>
        <w:tc>
          <w:tcPr>
            <w:tcW w:w="912"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sz w:val="16"/>
              </w:rPr>
            </w:pPr>
            <w:r>
              <w:rPr>
                <w:spacing w:val="-5"/>
                <w:w w:val="105"/>
                <w:sz w:val="16"/>
              </w:rPr>
              <w:t>217</w:t>
            </w:r>
          </w:p>
        </w:tc>
        <w:tc>
          <w:tcPr>
            <w:tcW w:w="660" w:type="dxa"/>
            <w:shd w:val="clear" w:color="auto" w:fill="CCEDFF"/>
          </w:tcPr>
          <w:p>
            <w:pPr>
              <w:pStyle w:val="TableParagraph"/>
              <w:rPr>
                <w:sz w:val="14"/>
              </w:rPr>
            </w:pPr>
          </w:p>
        </w:tc>
        <w:tc>
          <w:tcPr>
            <w:tcW w:w="1033" w:type="dxa"/>
            <w:shd w:val="clear" w:color="auto" w:fill="CCEDFF"/>
          </w:tcPr>
          <w:p>
            <w:pPr>
              <w:pStyle w:val="TableParagraph"/>
              <w:rPr>
                <w:sz w:val="14"/>
              </w:rPr>
            </w:pPr>
          </w:p>
        </w:tc>
      </w:tr>
      <w:tr>
        <w:trPr>
          <w:trHeight w:val="203" w:hRule="atLeast"/>
        </w:trPr>
        <w:tc>
          <w:tcPr>
            <w:tcW w:w="6131" w:type="dxa"/>
          </w:tcPr>
          <w:p>
            <w:pPr>
              <w:pStyle w:val="TableParagraph"/>
              <w:spacing w:line="180" w:lineRule="exact" w:before="3"/>
              <w:ind w:left="305"/>
              <w:rPr>
                <w:sz w:val="16"/>
              </w:rPr>
            </w:pPr>
            <w:r>
              <w:rPr>
                <w:sz w:val="16"/>
              </w:rPr>
              <w:t>Transaction-related</w:t>
            </w:r>
            <w:r>
              <w:rPr>
                <w:spacing w:val="24"/>
                <w:sz w:val="16"/>
              </w:rPr>
              <w:t> </w:t>
            </w:r>
            <w:r>
              <w:rPr>
                <w:sz w:val="16"/>
              </w:rPr>
              <w:t>gain,</w:t>
            </w:r>
            <w:r>
              <w:rPr>
                <w:spacing w:val="24"/>
                <w:sz w:val="16"/>
              </w:rPr>
              <w:t> </w:t>
            </w:r>
            <w:r>
              <w:rPr>
                <w:spacing w:val="-5"/>
                <w:sz w:val="16"/>
              </w:rPr>
              <w:t>net</w:t>
            </w:r>
          </w:p>
        </w:tc>
        <w:tc>
          <w:tcPr>
            <w:tcW w:w="912"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60" w:type="dxa"/>
          </w:tcPr>
          <w:p>
            <w:pPr>
              <w:pStyle w:val="TableParagraph"/>
              <w:spacing w:line="180" w:lineRule="exact" w:before="3"/>
              <w:ind w:right="84"/>
              <w:jc w:val="right"/>
              <w:rPr>
                <w:sz w:val="16"/>
              </w:rPr>
            </w:pPr>
            <w:r>
              <w:rPr>
                <w:spacing w:val="-2"/>
                <w:w w:val="105"/>
                <w:sz w:val="16"/>
              </w:rPr>
              <w:t>(498)</w:t>
            </w:r>
          </w:p>
        </w:tc>
        <w:tc>
          <w:tcPr>
            <w:tcW w:w="660" w:type="dxa"/>
          </w:tcPr>
          <w:p>
            <w:pPr>
              <w:pStyle w:val="TableParagraph"/>
              <w:rPr>
                <w:sz w:val="14"/>
              </w:rPr>
            </w:pPr>
          </w:p>
        </w:tc>
        <w:tc>
          <w:tcPr>
            <w:tcW w:w="1033" w:type="dxa"/>
          </w:tcPr>
          <w:p>
            <w:pPr>
              <w:pStyle w:val="TableParagraph"/>
              <w:rPr>
                <w:sz w:val="14"/>
              </w:rPr>
            </w:pPr>
          </w:p>
        </w:tc>
      </w:tr>
      <w:tr>
        <w:trPr>
          <w:trHeight w:val="203" w:hRule="atLeast"/>
        </w:trPr>
        <w:tc>
          <w:tcPr>
            <w:tcW w:w="6131" w:type="dxa"/>
            <w:shd w:val="clear" w:color="auto" w:fill="CCEDFF"/>
          </w:tcPr>
          <w:p>
            <w:pPr>
              <w:pStyle w:val="TableParagraph"/>
              <w:spacing w:line="180" w:lineRule="exact" w:before="3"/>
              <w:ind w:left="305"/>
              <w:rPr>
                <w:sz w:val="16"/>
              </w:rPr>
            </w:pPr>
            <w:r>
              <w:rPr>
                <w:w w:val="105"/>
                <w:sz w:val="16"/>
              </w:rPr>
              <w:t>Gain</w:t>
            </w:r>
            <w:r>
              <w:rPr>
                <w:spacing w:val="-6"/>
                <w:w w:val="105"/>
                <w:sz w:val="16"/>
              </w:rPr>
              <w:t> </w:t>
            </w:r>
            <w:r>
              <w:rPr>
                <w:w w:val="105"/>
                <w:sz w:val="16"/>
              </w:rPr>
              <w:t>on</w:t>
            </w:r>
            <w:r>
              <w:rPr>
                <w:spacing w:val="-6"/>
                <w:w w:val="105"/>
                <w:sz w:val="16"/>
              </w:rPr>
              <w:t> </w:t>
            </w:r>
            <w:r>
              <w:rPr>
                <w:spacing w:val="-2"/>
                <w:w w:val="105"/>
                <w:sz w:val="16"/>
              </w:rPr>
              <w:t>investment</w:t>
            </w:r>
          </w:p>
        </w:tc>
        <w:tc>
          <w:tcPr>
            <w:tcW w:w="912"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sz w:val="16"/>
              </w:rPr>
            </w:pPr>
            <w:r>
              <w:rPr>
                <w:spacing w:val="-2"/>
                <w:w w:val="105"/>
                <w:sz w:val="16"/>
              </w:rPr>
              <w:t>(107)</w:t>
            </w:r>
          </w:p>
        </w:tc>
        <w:tc>
          <w:tcPr>
            <w:tcW w:w="660" w:type="dxa"/>
            <w:shd w:val="clear" w:color="auto" w:fill="CCEDFF"/>
          </w:tcPr>
          <w:p>
            <w:pPr>
              <w:pStyle w:val="TableParagraph"/>
              <w:rPr>
                <w:sz w:val="14"/>
              </w:rPr>
            </w:pPr>
          </w:p>
        </w:tc>
        <w:tc>
          <w:tcPr>
            <w:tcW w:w="1033" w:type="dxa"/>
            <w:shd w:val="clear" w:color="auto" w:fill="CCEDFF"/>
          </w:tcPr>
          <w:p>
            <w:pPr>
              <w:pStyle w:val="TableParagraph"/>
              <w:rPr>
                <w:sz w:val="14"/>
              </w:rPr>
            </w:pPr>
          </w:p>
        </w:tc>
      </w:tr>
      <w:tr>
        <w:trPr>
          <w:trHeight w:val="203" w:hRule="atLeast"/>
        </w:trPr>
        <w:tc>
          <w:tcPr>
            <w:tcW w:w="6131" w:type="dxa"/>
          </w:tcPr>
          <w:p>
            <w:pPr>
              <w:pStyle w:val="TableParagraph"/>
              <w:spacing w:line="180" w:lineRule="exact" w:before="3"/>
              <w:ind w:left="305"/>
              <w:rPr>
                <w:sz w:val="16"/>
              </w:rPr>
            </w:pPr>
            <w:r>
              <w:rPr>
                <w:w w:val="105"/>
                <w:sz w:val="16"/>
              </w:rPr>
              <w:t>Changes</w:t>
            </w:r>
            <w:r>
              <w:rPr>
                <w:spacing w:val="-11"/>
                <w:w w:val="105"/>
                <w:sz w:val="16"/>
              </w:rPr>
              <w:t> </w:t>
            </w:r>
            <w:r>
              <w:rPr>
                <w:w w:val="105"/>
                <w:sz w:val="16"/>
              </w:rPr>
              <w:t>in</w:t>
            </w:r>
            <w:r>
              <w:rPr>
                <w:spacing w:val="-10"/>
                <w:w w:val="105"/>
                <w:sz w:val="16"/>
              </w:rPr>
              <w:t> </w:t>
            </w:r>
            <w:r>
              <w:rPr>
                <w:w w:val="105"/>
                <w:sz w:val="16"/>
              </w:rPr>
              <w:t>assets</w:t>
            </w:r>
            <w:r>
              <w:rPr>
                <w:spacing w:val="-10"/>
                <w:w w:val="105"/>
                <w:sz w:val="16"/>
              </w:rPr>
              <w:t> </w:t>
            </w:r>
            <w:r>
              <w:rPr>
                <w:w w:val="105"/>
                <w:sz w:val="16"/>
              </w:rPr>
              <w:t>and</w:t>
            </w:r>
            <w:r>
              <w:rPr>
                <w:spacing w:val="-10"/>
                <w:w w:val="105"/>
                <w:sz w:val="16"/>
              </w:rPr>
              <w:t> </w:t>
            </w:r>
            <w:r>
              <w:rPr>
                <w:spacing w:val="-2"/>
                <w:w w:val="105"/>
                <w:sz w:val="16"/>
              </w:rPr>
              <w:t>liabilities:</w:t>
            </w:r>
          </w:p>
        </w:tc>
        <w:tc>
          <w:tcPr>
            <w:tcW w:w="912"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33" w:type="dxa"/>
          </w:tcPr>
          <w:p>
            <w:pPr>
              <w:pStyle w:val="TableParagraph"/>
              <w:rPr>
                <w:sz w:val="14"/>
              </w:rPr>
            </w:pPr>
          </w:p>
        </w:tc>
      </w:tr>
      <w:tr>
        <w:trPr>
          <w:trHeight w:val="203" w:hRule="atLeast"/>
        </w:trPr>
        <w:tc>
          <w:tcPr>
            <w:tcW w:w="6131" w:type="dxa"/>
            <w:shd w:val="clear" w:color="auto" w:fill="CCEDFF"/>
          </w:tcPr>
          <w:p>
            <w:pPr>
              <w:pStyle w:val="TableParagraph"/>
              <w:spacing w:line="180" w:lineRule="exact" w:before="3"/>
              <w:ind w:left="458"/>
              <w:rPr>
                <w:sz w:val="16"/>
              </w:rPr>
            </w:pPr>
            <w:r>
              <w:rPr>
                <w:w w:val="105"/>
                <w:sz w:val="16"/>
              </w:rPr>
              <w:t>Trade</w:t>
            </w:r>
            <w:r>
              <w:rPr>
                <w:spacing w:val="-11"/>
                <w:w w:val="105"/>
                <w:sz w:val="16"/>
              </w:rPr>
              <w:t> </w:t>
            </w:r>
            <w:r>
              <w:rPr>
                <w:w w:val="105"/>
                <w:sz w:val="16"/>
              </w:rPr>
              <w:t>accounts</w:t>
            </w:r>
            <w:r>
              <w:rPr>
                <w:spacing w:val="-10"/>
                <w:w w:val="105"/>
                <w:sz w:val="16"/>
              </w:rPr>
              <w:t> </w:t>
            </w:r>
            <w:r>
              <w:rPr>
                <w:spacing w:val="-2"/>
                <w:w w:val="105"/>
                <w:sz w:val="16"/>
              </w:rPr>
              <w:t>receivable</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b/>
                <w:sz w:val="16"/>
              </w:rPr>
            </w:pPr>
            <w:r>
              <w:rPr>
                <w:b/>
                <w:spacing w:val="-4"/>
                <w:w w:val="105"/>
                <w:sz w:val="16"/>
              </w:rPr>
              <w:t>(54)</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sz w:val="16"/>
              </w:rPr>
            </w:pPr>
            <w:r>
              <w:rPr>
                <w:spacing w:val="-2"/>
                <w:w w:val="105"/>
                <w:sz w:val="16"/>
              </w:rPr>
              <w:t>(274)</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113"/>
              <w:jc w:val="right"/>
              <w:rPr>
                <w:sz w:val="16"/>
              </w:rPr>
            </w:pPr>
            <w:r>
              <w:rPr>
                <w:spacing w:val="-5"/>
                <w:w w:val="105"/>
                <w:sz w:val="16"/>
              </w:rPr>
              <w:t>48</w:t>
            </w:r>
          </w:p>
        </w:tc>
      </w:tr>
      <w:tr>
        <w:trPr>
          <w:trHeight w:val="203" w:hRule="atLeast"/>
        </w:trPr>
        <w:tc>
          <w:tcPr>
            <w:tcW w:w="6131" w:type="dxa"/>
          </w:tcPr>
          <w:p>
            <w:pPr>
              <w:pStyle w:val="TableParagraph"/>
              <w:spacing w:line="180" w:lineRule="exact" w:before="3"/>
              <w:ind w:left="458"/>
              <w:rPr>
                <w:sz w:val="16"/>
              </w:rPr>
            </w:pPr>
            <w:r>
              <w:rPr>
                <w:spacing w:val="-2"/>
                <w:w w:val="105"/>
                <w:sz w:val="16"/>
              </w:rPr>
              <w:t>Inventories</w:t>
            </w:r>
          </w:p>
        </w:tc>
        <w:tc>
          <w:tcPr>
            <w:tcW w:w="912" w:type="dxa"/>
          </w:tcPr>
          <w:p>
            <w:pPr>
              <w:pStyle w:val="TableParagraph"/>
              <w:rPr>
                <w:sz w:val="14"/>
              </w:rPr>
            </w:pPr>
          </w:p>
        </w:tc>
        <w:tc>
          <w:tcPr>
            <w:tcW w:w="1060" w:type="dxa"/>
          </w:tcPr>
          <w:p>
            <w:pPr>
              <w:pStyle w:val="TableParagraph"/>
              <w:spacing w:line="180" w:lineRule="exact" w:before="3"/>
              <w:ind w:right="84"/>
              <w:jc w:val="right"/>
              <w:rPr>
                <w:b/>
                <w:sz w:val="16"/>
              </w:rPr>
            </w:pPr>
            <w:r>
              <w:rPr>
                <w:b/>
                <w:spacing w:val="-2"/>
                <w:w w:val="105"/>
                <w:sz w:val="16"/>
              </w:rPr>
              <w:t>(103)</w:t>
            </w:r>
          </w:p>
        </w:tc>
        <w:tc>
          <w:tcPr>
            <w:tcW w:w="660" w:type="dxa"/>
          </w:tcPr>
          <w:p>
            <w:pPr>
              <w:pStyle w:val="TableParagraph"/>
              <w:rPr>
                <w:sz w:val="14"/>
              </w:rPr>
            </w:pPr>
          </w:p>
        </w:tc>
        <w:tc>
          <w:tcPr>
            <w:tcW w:w="1060" w:type="dxa"/>
          </w:tcPr>
          <w:p>
            <w:pPr>
              <w:pStyle w:val="TableParagraph"/>
              <w:spacing w:line="180" w:lineRule="exact" w:before="3"/>
              <w:ind w:right="139"/>
              <w:jc w:val="right"/>
              <w:rPr>
                <w:sz w:val="16"/>
              </w:rPr>
            </w:pPr>
            <w:r>
              <w:rPr>
                <w:spacing w:val="-5"/>
                <w:w w:val="105"/>
                <w:sz w:val="16"/>
              </w:rPr>
              <w:t>423</w:t>
            </w:r>
          </w:p>
        </w:tc>
        <w:tc>
          <w:tcPr>
            <w:tcW w:w="660" w:type="dxa"/>
          </w:tcPr>
          <w:p>
            <w:pPr>
              <w:pStyle w:val="TableParagraph"/>
              <w:rPr>
                <w:sz w:val="14"/>
              </w:rPr>
            </w:pPr>
          </w:p>
        </w:tc>
        <w:tc>
          <w:tcPr>
            <w:tcW w:w="1033" w:type="dxa"/>
          </w:tcPr>
          <w:p>
            <w:pPr>
              <w:pStyle w:val="TableParagraph"/>
              <w:spacing w:line="180" w:lineRule="exact" w:before="3"/>
              <w:ind w:right="59"/>
              <w:jc w:val="right"/>
              <w:rPr>
                <w:sz w:val="16"/>
              </w:rPr>
            </w:pPr>
            <w:r>
              <w:rPr>
                <w:spacing w:val="-2"/>
                <w:w w:val="105"/>
                <w:sz w:val="16"/>
              </w:rPr>
              <w:t>(298)</w:t>
            </w:r>
          </w:p>
        </w:tc>
      </w:tr>
      <w:tr>
        <w:trPr>
          <w:trHeight w:val="203" w:hRule="atLeast"/>
        </w:trPr>
        <w:tc>
          <w:tcPr>
            <w:tcW w:w="6131" w:type="dxa"/>
            <w:shd w:val="clear" w:color="auto" w:fill="CCEDFF"/>
          </w:tcPr>
          <w:p>
            <w:pPr>
              <w:pStyle w:val="TableParagraph"/>
              <w:spacing w:line="180" w:lineRule="exact" w:before="3"/>
              <w:ind w:left="458"/>
              <w:rPr>
                <w:sz w:val="16"/>
              </w:rPr>
            </w:pPr>
            <w:r>
              <w:rPr>
                <w:w w:val="105"/>
                <w:sz w:val="16"/>
              </w:rPr>
              <w:t>Other</w:t>
            </w:r>
            <w:r>
              <w:rPr>
                <w:spacing w:val="-10"/>
                <w:w w:val="105"/>
                <w:sz w:val="16"/>
              </w:rPr>
              <w:t> </w:t>
            </w:r>
            <w:r>
              <w:rPr>
                <w:w w:val="105"/>
                <w:sz w:val="16"/>
              </w:rPr>
              <w:t>current</w:t>
            </w:r>
            <w:r>
              <w:rPr>
                <w:spacing w:val="-9"/>
                <w:w w:val="105"/>
                <w:sz w:val="16"/>
              </w:rPr>
              <w:t> </w:t>
            </w:r>
            <w:r>
              <w:rPr>
                <w:spacing w:val="-2"/>
                <w:w w:val="105"/>
                <w:sz w:val="16"/>
              </w:rPr>
              <w:t>assets</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b/>
                <w:sz w:val="16"/>
              </w:rPr>
            </w:pPr>
            <w:r>
              <w:rPr>
                <w:b/>
                <w:spacing w:val="-2"/>
                <w:w w:val="105"/>
                <w:sz w:val="16"/>
              </w:rPr>
              <w:t>(224)</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sz w:val="16"/>
              </w:rPr>
            </w:pPr>
            <w:r>
              <w:rPr>
                <w:spacing w:val="-4"/>
                <w:w w:val="105"/>
                <w:sz w:val="16"/>
              </w:rPr>
              <w:t>(25)</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59"/>
              <w:jc w:val="right"/>
              <w:rPr>
                <w:sz w:val="16"/>
              </w:rPr>
            </w:pPr>
            <w:r>
              <w:rPr>
                <w:spacing w:val="-2"/>
                <w:w w:val="105"/>
                <w:sz w:val="16"/>
              </w:rPr>
              <w:t>(300)</w:t>
            </w:r>
          </w:p>
        </w:tc>
      </w:tr>
      <w:tr>
        <w:trPr>
          <w:trHeight w:val="203" w:hRule="atLeast"/>
        </w:trPr>
        <w:tc>
          <w:tcPr>
            <w:tcW w:w="6131" w:type="dxa"/>
          </w:tcPr>
          <w:p>
            <w:pPr>
              <w:pStyle w:val="TableParagraph"/>
              <w:spacing w:line="180" w:lineRule="exact" w:before="3"/>
              <w:ind w:left="458"/>
              <w:rPr>
                <w:sz w:val="16"/>
              </w:rPr>
            </w:pPr>
            <w:r>
              <w:rPr>
                <w:w w:val="105"/>
                <w:sz w:val="16"/>
              </w:rPr>
              <w:t>Accounts</w:t>
            </w:r>
            <w:r>
              <w:rPr>
                <w:spacing w:val="-11"/>
                <w:w w:val="105"/>
                <w:sz w:val="16"/>
              </w:rPr>
              <w:t> </w:t>
            </w:r>
            <w:r>
              <w:rPr>
                <w:w w:val="105"/>
                <w:sz w:val="16"/>
              </w:rPr>
              <w:t>payable</w:t>
            </w:r>
            <w:r>
              <w:rPr>
                <w:spacing w:val="-10"/>
                <w:w w:val="105"/>
                <w:sz w:val="16"/>
              </w:rPr>
              <w:t> </w:t>
            </w:r>
            <w:r>
              <w:rPr>
                <w:w w:val="105"/>
                <w:sz w:val="16"/>
              </w:rPr>
              <w:t>and</w:t>
            </w:r>
            <w:r>
              <w:rPr>
                <w:spacing w:val="-11"/>
                <w:w w:val="105"/>
                <w:sz w:val="16"/>
              </w:rPr>
              <w:t> </w:t>
            </w:r>
            <w:r>
              <w:rPr>
                <w:w w:val="105"/>
                <w:sz w:val="16"/>
              </w:rPr>
              <w:t>other</w:t>
            </w:r>
            <w:r>
              <w:rPr>
                <w:spacing w:val="-10"/>
                <w:w w:val="105"/>
                <w:sz w:val="16"/>
              </w:rPr>
              <w:t> </w:t>
            </w:r>
            <w:r>
              <w:rPr>
                <w:w w:val="105"/>
                <w:sz w:val="16"/>
              </w:rPr>
              <w:t>current</w:t>
            </w:r>
            <w:r>
              <w:rPr>
                <w:spacing w:val="-11"/>
                <w:w w:val="105"/>
                <w:sz w:val="16"/>
              </w:rPr>
              <w:t> </w:t>
            </w:r>
            <w:r>
              <w:rPr>
                <w:spacing w:val="-2"/>
                <w:w w:val="105"/>
                <w:sz w:val="16"/>
              </w:rPr>
              <w:t>liabilities</w:t>
            </w:r>
          </w:p>
        </w:tc>
        <w:tc>
          <w:tcPr>
            <w:tcW w:w="912" w:type="dxa"/>
          </w:tcPr>
          <w:p>
            <w:pPr>
              <w:pStyle w:val="TableParagraph"/>
              <w:rPr>
                <w:sz w:val="14"/>
              </w:rPr>
            </w:pPr>
          </w:p>
        </w:tc>
        <w:tc>
          <w:tcPr>
            <w:tcW w:w="1060" w:type="dxa"/>
          </w:tcPr>
          <w:p>
            <w:pPr>
              <w:pStyle w:val="TableParagraph"/>
              <w:spacing w:line="180" w:lineRule="exact" w:before="3"/>
              <w:ind w:right="139"/>
              <w:jc w:val="right"/>
              <w:rPr>
                <w:b/>
                <w:sz w:val="16"/>
              </w:rPr>
            </w:pPr>
            <w:r>
              <w:rPr>
                <w:b/>
                <w:spacing w:val="-5"/>
                <w:w w:val="105"/>
                <w:sz w:val="16"/>
              </w:rPr>
              <w:t>806</w:t>
            </w:r>
          </w:p>
        </w:tc>
        <w:tc>
          <w:tcPr>
            <w:tcW w:w="660" w:type="dxa"/>
          </w:tcPr>
          <w:p>
            <w:pPr>
              <w:pStyle w:val="TableParagraph"/>
              <w:rPr>
                <w:sz w:val="14"/>
              </w:rPr>
            </w:pPr>
          </w:p>
        </w:tc>
        <w:tc>
          <w:tcPr>
            <w:tcW w:w="1060" w:type="dxa"/>
          </w:tcPr>
          <w:p>
            <w:pPr>
              <w:pStyle w:val="TableParagraph"/>
              <w:spacing w:line="180" w:lineRule="exact" w:before="3"/>
              <w:ind w:right="139"/>
              <w:jc w:val="right"/>
              <w:rPr>
                <w:sz w:val="16"/>
              </w:rPr>
            </w:pPr>
            <w:r>
              <w:rPr>
                <w:spacing w:val="-5"/>
                <w:w w:val="105"/>
                <w:sz w:val="16"/>
              </w:rPr>
              <w:t>139</w:t>
            </w:r>
          </w:p>
        </w:tc>
        <w:tc>
          <w:tcPr>
            <w:tcW w:w="660" w:type="dxa"/>
          </w:tcPr>
          <w:p>
            <w:pPr>
              <w:pStyle w:val="TableParagraph"/>
              <w:rPr>
                <w:sz w:val="14"/>
              </w:rPr>
            </w:pPr>
          </w:p>
        </w:tc>
        <w:tc>
          <w:tcPr>
            <w:tcW w:w="1033" w:type="dxa"/>
          </w:tcPr>
          <w:p>
            <w:pPr>
              <w:pStyle w:val="TableParagraph"/>
              <w:spacing w:line="180" w:lineRule="exact" w:before="3"/>
              <w:ind w:right="113"/>
              <w:jc w:val="right"/>
              <w:rPr>
                <w:sz w:val="16"/>
              </w:rPr>
            </w:pPr>
            <w:r>
              <w:rPr>
                <w:spacing w:val="-5"/>
                <w:w w:val="105"/>
                <w:sz w:val="16"/>
              </w:rPr>
              <w:t>31</w:t>
            </w:r>
          </w:p>
        </w:tc>
      </w:tr>
      <w:tr>
        <w:trPr>
          <w:trHeight w:val="203" w:hRule="atLeast"/>
        </w:trPr>
        <w:tc>
          <w:tcPr>
            <w:tcW w:w="6131" w:type="dxa"/>
            <w:shd w:val="clear" w:color="auto" w:fill="CCEDFF"/>
          </w:tcPr>
          <w:p>
            <w:pPr>
              <w:pStyle w:val="TableParagraph"/>
              <w:spacing w:line="180" w:lineRule="exact" w:before="3"/>
              <w:ind w:left="458"/>
              <w:rPr>
                <w:sz w:val="16"/>
              </w:rPr>
            </w:pPr>
            <w:r>
              <w:rPr>
                <w:spacing w:val="-2"/>
                <w:w w:val="105"/>
                <w:sz w:val="16"/>
              </w:rPr>
              <w:t>Customer</w:t>
            </w:r>
            <w:r>
              <w:rPr>
                <w:w w:val="105"/>
                <w:sz w:val="16"/>
              </w:rPr>
              <w:t> </w:t>
            </w:r>
            <w:r>
              <w:rPr>
                <w:spacing w:val="-2"/>
                <w:w w:val="105"/>
                <w:sz w:val="16"/>
              </w:rPr>
              <w:t>deposits</w:t>
            </w:r>
            <w:r>
              <w:rPr>
                <w:w w:val="105"/>
                <w:sz w:val="16"/>
              </w:rPr>
              <w:t> </w:t>
            </w:r>
            <w:r>
              <w:rPr>
                <w:spacing w:val="-2"/>
                <w:w w:val="105"/>
                <w:sz w:val="16"/>
              </w:rPr>
              <w:t>and</w:t>
            </w:r>
            <w:r>
              <w:rPr>
                <w:w w:val="105"/>
                <w:sz w:val="16"/>
              </w:rPr>
              <w:t> </w:t>
            </w:r>
            <w:r>
              <w:rPr>
                <w:spacing w:val="-2"/>
                <w:w w:val="105"/>
                <w:sz w:val="16"/>
              </w:rPr>
              <w:t>incentives</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b/>
                <w:sz w:val="16"/>
              </w:rPr>
            </w:pPr>
            <w:r>
              <w:rPr>
                <w:b/>
                <w:spacing w:val="-5"/>
                <w:w w:val="105"/>
                <w:sz w:val="16"/>
              </w:rPr>
              <w:t>97</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sz w:val="16"/>
              </w:rPr>
            </w:pPr>
            <w:r>
              <w:rPr>
                <w:spacing w:val="-5"/>
                <w:w w:val="105"/>
                <w:sz w:val="16"/>
              </w:rPr>
              <w:t>238</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113"/>
              <w:jc w:val="right"/>
              <w:rPr>
                <w:sz w:val="16"/>
              </w:rPr>
            </w:pPr>
            <w:r>
              <w:rPr>
                <w:spacing w:val="-5"/>
                <w:w w:val="105"/>
                <w:sz w:val="16"/>
              </w:rPr>
              <w:t>89</w:t>
            </w:r>
          </w:p>
        </w:tc>
      </w:tr>
      <w:tr>
        <w:trPr>
          <w:trHeight w:val="203" w:hRule="atLeast"/>
        </w:trPr>
        <w:tc>
          <w:tcPr>
            <w:tcW w:w="6131" w:type="dxa"/>
          </w:tcPr>
          <w:p>
            <w:pPr>
              <w:pStyle w:val="TableParagraph"/>
              <w:spacing w:line="180" w:lineRule="exact" w:before="3"/>
              <w:ind w:left="458"/>
              <w:rPr>
                <w:sz w:val="16"/>
              </w:rPr>
            </w:pPr>
            <w:r>
              <w:rPr>
                <w:sz w:val="16"/>
              </w:rPr>
              <w:t>Deferred</w:t>
            </w:r>
            <w:r>
              <w:rPr>
                <w:spacing w:val="18"/>
                <w:sz w:val="16"/>
              </w:rPr>
              <w:t> </w:t>
            </w:r>
            <w:r>
              <w:rPr>
                <w:spacing w:val="-2"/>
                <w:sz w:val="16"/>
              </w:rPr>
              <w:t>income</w:t>
            </w:r>
          </w:p>
        </w:tc>
        <w:tc>
          <w:tcPr>
            <w:tcW w:w="912" w:type="dxa"/>
          </w:tcPr>
          <w:p>
            <w:pPr>
              <w:pStyle w:val="TableParagraph"/>
              <w:rPr>
                <w:sz w:val="14"/>
              </w:rPr>
            </w:pPr>
          </w:p>
        </w:tc>
        <w:tc>
          <w:tcPr>
            <w:tcW w:w="1060" w:type="dxa"/>
          </w:tcPr>
          <w:p>
            <w:pPr>
              <w:pStyle w:val="TableParagraph"/>
              <w:spacing w:line="180" w:lineRule="exact" w:before="3"/>
              <w:ind w:right="84"/>
              <w:jc w:val="right"/>
              <w:rPr>
                <w:b/>
                <w:sz w:val="16"/>
              </w:rPr>
            </w:pPr>
            <w:r>
              <w:rPr>
                <w:b/>
                <w:spacing w:val="-2"/>
                <w:w w:val="105"/>
                <w:sz w:val="16"/>
              </w:rPr>
              <w:t>(116)</w:t>
            </w:r>
          </w:p>
        </w:tc>
        <w:tc>
          <w:tcPr>
            <w:tcW w:w="660" w:type="dxa"/>
          </w:tcPr>
          <w:p>
            <w:pPr>
              <w:pStyle w:val="TableParagraph"/>
              <w:rPr>
                <w:sz w:val="14"/>
              </w:rPr>
            </w:pPr>
          </w:p>
        </w:tc>
        <w:tc>
          <w:tcPr>
            <w:tcW w:w="1060" w:type="dxa"/>
          </w:tcPr>
          <w:p>
            <w:pPr>
              <w:pStyle w:val="TableParagraph"/>
              <w:spacing w:line="180" w:lineRule="exact" w:before="3"/>
              <w:ind w:right="84"/>
              <w:jc w:val="right"/>
              <w:rPr>
                <w:sz w:val="16"/>
              </w:rPr>
            </w:pPr>
            <w:r>
              <w:rPr>
                <w:spacing w:val="-4"/>
                <w:w w:val="105"/>
                <w:sz w:val="16"/>
              </w:rPr>
              <w:t>(46)</w:t>
            </w:r>
          </w:p>
        </w:tc>
        <w:tc>
          <w:tcPr>
            <w:tcW w:w="660" w:type="dxa"/>
          </w:tcPr>
          <w:p>
            <w:pPr>
              <w:pStyle w:val="TableParagraph"/>
              <w:rPr>
                <w:sz w:val="14"/>
              </w:rPr>
            </w:pPr>
          </w:p>
        </w:tc>
        <w:tc>
          <w:tcPr>
            <w:tcW w:w="1033" w:type="dxa"/>
          </w:tcPr>
          <w:p>
            <w:pPr>
              <w:pStyle w:val="TableParagraph"/>
              <w:rPr>
                <w:sz w:val="14"/>
              </w:rPr>
            </w:pPr>
          </w:p>
        </w:tc>
      </w:tr>
      <w:tr>
        <w:trPr>
          <w:trHeight w:val="202" w:hRule="atLeast"/>
        </w:trPr>
        <w:tc>
          <w:tcPr>
            <w:tcW w:w="6131" w:type="dxa"/>
            <w:shd w:val="clear" w:color="auto" w:fill="CCEDFF"/>
          </w:tcPr>
          <w:p>
            <w:pPr>
              <w:pStyle w:val="TableParagraph"/>
              <w:spacing w:line="166" w:lineRule="exact" w:before="16"/>
              <w:ind w:left="305"/>
              <w:rPr>
                <w:sz w:val="16"/>
              </w:rPr>
            </w:pPr>
            <w:r>
              <w:rPr>
                <w:spacing w:val="-2"/>
                <w:w w:val="105"/>
                <w:sz w:val="16"/>
              </w:rPr>
              <w:t>Other,</w:t>
            </w:r>
            <w:r>
              <w:rPr>
                <w:spacing w:val="-3"/>
                <w:w w:val="105"/>
                <w:sz w:val="16"/>
              </w:rPr>
              <w:t> </w:t>
            </w:r>
            <w:r>
              <w:rPr>
                <w:spacing w:val="-5"/>
                <w:w w:val="105"/>
                <w:sz w:val="16"/>
              </w:rPr>
              <w:t>net</w:t>
            </w:r>
          </w:p>
        </w:tc>
        <w:tc>
          <w:tcPr>
            <w:tcW w:w="912" w:type="dxa"/>
            <w:tcBorders>
              <w:bottom w:val="single" w:sz="6" w:space="0" w:color="000000"/>
            </w:tcBorders>
            <w:shd w:val="clear" w:color="auto" w:fill="CCEDFF"/>
          </w:tcPr>
          <w:p>
            <w:pPr>
              <w:pStyle w:val="TableParagraph"/>
              <w:rPr>
                <w:sz w:val="14"/>
              </w:rPr>
            </w:pPr>
          </w:p>
        </w:tc>
        <w:tc>
          <w:tcPr>
            <w:tcW w:w="1060" w:type="dxa"/>
            <w:tcBorders>
              <w:bottom w:val="single" w:sz="6" w:space="0" w:color="000000"/>
            </w:tcBorders>
            <w:shd w:val="clear" w:color="auto" w:fill="CCEDFF"/>
          </w:tcPr>
          <w:p>
            <w:pPr>
              <w:pStyle w:val="TableParagraph"/>
              <w:spacing w:line="179" w:lineRule="exact" w:before="3"/>
              <w:ind w:right="84"/>
              <w:jc w:val="right"/>
              <w:rPr>
                <w:b/>
                <w:sz w:val="16"/>
              </w:rPr>
            </w:pPr>
            <w:r>
              <w:rPr>
                <w:b/>
                <w:spacing w:val="-4"/>
                <w:w w:val="105"/>
                <w:sz w:val="16"/>
              </w:rPr>
              <w:t>(97)</w:t>
            </w:r>
          </w:p>
        </w:tc>
        <w:tc>
          <w:tcPr>
            <w:tcW w:w="660" w:type="dxa"/>
            <w:tcBorders>
              <w:bottom w:val="single" w:sz="6" w:space="0" w:color="000000"/>
            </w:tcBorders>
            <w:shd w:val="clear" w:color="auto" w:fill="CCEDFF"/>
          </w:tcPr>
          <w:p>
            <w:pPr>
              <w:pStyle w:val="TableParagraph"/>
              <w:rPr>
                <w:sz w:val="14"/>
              </w:rPr>
            </w:pPr>
          </w:p>
        </w:tc>
        <w:tc>
          <w:tcPr>
            <w:tcW w:w="1060" w:type="dxa"/>
            <w:tcBorders>
              <w:bottom w:val="single" w:sz="6" w:space="0" w:color="000000"/>
            </w:tcBorders>
            <w:shd w:val="clear" w:color="auto" w:fill="CCEDFF"/>
          </w:tcPr>
          <w:p>
            <w:pPr>
              <w:pStyle w:val="TableParagraph"/>
              <w:spacing w:line="179" w:lineRule="exact" w:before="3"/>
              <w:ind w:right="84"/>
              <w:jc w:val="right"/>
              <w:rPr>
                <w:sz w:val="16"/>
              </w:rPr>
            </w:pPr>
            <w:r>
              <w:rPr>
                <w:spacing w:val="-4"/>
                <w:w w:val="105"/>
                <w:sz w:val="16"/>
              </w:rPr>
              <w:t>(12)</w:t>
            </w:r>
          </w:p>
        </w:tc>
        <w:tc>
          <w:tcPr>
            <w:tcW w:w="660" w:type="dxa"/>
            <w:tcBorders>
              <w:bottom w:val="single" w:sz="6" w:space="0" w:color="000000"/>
            </w:tcBorders>
            <w:shd w:val="clear" w:color="auto" w:fill="CCEDFF"/>
          </w:tcPr>
          <w:p>
            <w:pPr>
              <w:pStyle w:val="TableParagraph"/>
              <w:rPr>
                <w:sz w:val="14"/>
              </w:rPr>
            </w:pPr>
          </w:p>
        </w:tc>
        <w:tc>
          <w:tcPr>
            <w:tcW w:w="1033" w:type="dxa"/>
            <w:tcBorders>
              <w:bottom w:val="single" w:sz="6" w:space="0" w:color="000000"/>
            </w:tcBorders>
            <w:shd w:val="clear" w:color="auto" w:fill="CCEDFF"/>
          </w:tcPr>
          <w:p>
            <w:pPr>
              <w:pStyle w:val="TableParagraph"/>
              <w:spacing w:line="179" w:lineRule="exact" w:before="3"/>
              <w:ind w:right="113"/>
              <w:jc w:val="right"/>
              <w:rPr>
                <w:sz w:val="16"/>
              </w:rPr>
            </w:pPr>
            <w:r>
              <w:rPr>
                <w:spacing w:val="-5"/>
                <w:w w:val="105"/>
                <w:sz w:val="16"/>
              </w:rPr>
              <w:t>150</w:t>
            </w:r>
          </w:p>
        </w:tc>
      </w:tr>
      <w:tr>
        <w:trPr>
          <w:trHeight w:val="201" w:hRule="atLeast"/>
        </w:trPr>
        <w:tc>
          <w:tcPr>
            <w:tcW w:w="6131" w:type="dxa"/>
          </w:tcPr>
          <w:p>
            <w:pPr>
              <w:pStyle w:val="TableParagraph"/>
              <w:spacing w:line="166" w:lineRule="exact" w:before="15"/>
              <w:rPr>
                <w:b/>
                <w:sz w:val="16"/>
              </w:rPr>
            </w:pPr>
            <w:r>
              <w:rPr>
                <w:b/>
                <w:spacing w:val="-2"/>
                <w:w w:val="105"/>
                <w:sz w:val="16"/>
              </w:rPr>
              <w:t>Net</w:t>
            </w:r>
            <w:r>
              <w:rPr>
                <w:b/>
                <w:spacing w:val="-1"/>
                <w:w w:val="105"/>
                <w:sz w:val="16"/>
              </w:rPr>
              <w:t> </w:t>
            </w:r>
            <w:r>
              <w:rPr>
                <w:b/>
                <w:spacing w:val="-2"/>
                <w:w w:val="105"/>
                <w:sz w:val="16"/>
              </w:rPr>
              <w:t>cash</w:t>
            </w:r>
            <w:r>
              <w:rPr>
                <w:b/>
                <w:spacing w:val="-1"/>
                <w:w w:val="105"/>
                <w:sz w:val="16"/>
              </w:rPr>
              <w:t> </w:t>
            </w:r>
            <w:r>
              <w:rPr>
                <w:b/>
                <w:spacing w:val="-2"/>
                <w:w w:val="105"/>
                <w:sz w:val="16"/>
              </w:rPr>
              <w:t>provided</w:t>
            </w:r>
            <w:r>
              <w:rPr>
                <w:b/>
                <w:w w:val="105"/>
                <w:sz w:val="16"/>
              </w:rPr>
              <w:t> </w:t>
            </w:r>
            <w:r>
              <w:rPr>
                <w:b/>
                <w:spacing w:val="-2"/>
                <w:w w:val="105"/>
                <w:sz w:val="16"/>
              </w:rPr>
              <w:t>by</w:t>
            </w:r>
            <w:r>
              <w:rPr>
                <w:b/>
                <w:spacing w:val="-1"/>
                <w:w w:val="105"/>
                <w:sz w:val="16"/>
              </w:rPr>
              <w:t> </w:t>
            </w:r>
            <w:r>
              <w:rPr>
                <w:b/>
                <w:spacing w:val="-2"/>
                <w:w w:val="105"/>
                <w:sz w:val="16"/>
              </w:rPr>
              <w:t>operating</w:t>
            </w:r>
            <w:r>
              <w:rPr>
                <w:b/>
                <w:w w:val="105"/>
                <w:sz w:val="16"/>
              </w:rPr>
              <w:t> </w:t>
            </w:r>
            <w:r>
              <w:rPr>
                <w:b/>
                <w:spacing w:val="-2"/>
                <w:w w:val="105"/>
                <w:sz w:val="16"/>
              </w:rPr>
              <w:t>activities</w:t>
            </w:r>
          </w:p>
        </w:tc>
        <w:tc>
          <w:tcPr>
            <w:tcW w:w="912" w:type="dxa"/>
            <w:tcBorders>
              <w:top w:val="single" w:sz="6" w:space="0" w:color="000000"/>
              <w:bottom w:val="single" w:sz="6" w:space="0" w:color="000000"/>
            </w:tcBorders>
          </w:tcPr>
          <w:p>
            <w:pPr>
              <w:pStyle w:val="TableParagraph"/>
              <w:rPr>
                <w:sz w:val="14"/>
              </w:rPr>
            </w:pPr>
          </w:p>
        </w:tc>
        <w:tc>
          <w:tcPr>
            <w:tcW w:w="1060" w:type="dxa"/>
            <w:tcBorders>
              <w:top w:val="single" w:sz="6" w:space="0" w:color="000000"/>
              <w:bottom w:val="single" w:sz="6" w:space="0" w:color="000000"/>
            </w:tcBorders>
          </w:tcPr>
          <w:p>
            <w:pPr>
              <w:pStyle w:val="TableParagraph"/>
              <w:spacing w:line="179" w:lineRule="exact" w:before="2"/>
              <w:ind w:right="139"/>
              <w:jc w:val="right"/>
              <w:rPr>
                <w:b/>
                <w:sz w:val="16"/>
              </w:rPr>
            </w:pPr>
            <w:r>
              <w:rPr>
                <w:b/>
                <w:spacing w:val="-4"/>
                <w:w w:val="105"/>
                <w:sz w:val="16"/>
              </w:rPr>
              <w:t>3,412</w:t>
            </w:r>
          </w:p>
        </w:tc>
        <w:tc>
          <w:tcPr>
            <w:tcW w:w="660" w:type="dxa"/>
            <w:tcBorders>
              <w:top w:val="single" w:sz="6" w:space="0" w:color="000000"/>
              <w:bottom w:val="single" w:sz="6" w:space="0" w:color="000000"/>
            </w:tcBorders>
          </w:tcPr>
          <w:p>
            <w:pPr>
              <w:pStyle w:val="TableParagraph"/>
              <w:rPr>
                <w:sz w:val="14"/>
              </w:rPr>
            </w:pPr>
          </w:p>
        </w:tc>
        <w:tc>
          <w:tcPr>
            <w:tcW w:w="1060" w:type="dxa"/>
            <w:tcBorders>
              <w:top w:val="single" w:sz="6" w:space="0" w:color="000000"/>
              <w:bottom w:val="single" w:sz="6" w:space="0" w:color="000000"/>
            </w:tcBorders>
          </w:tcPr>
          <w:p>
            <w:pPr>
              <w:pStyle w:val="TableParagraph"/>
              <w:spacing w:line="179" w:lineRule="exact" w:before="2"/>
              <w:ind w:right="139"/>
              <w:jc w:val="right"/>
              <w:rPr>
                <w:sz w:val="16"/>
              </w:rPr>
            </w:pPr>
            <w:r>
              <w:rPr>
                <w:spacing w:val="-4"/>
                <w:w w:val="105"/>
                <w:sz w:val="16"/>
              </w:rPr>
              <w:t>2,180</w:t>
            </w:r>
          </w:p>
        </w:tc>
        <w:tc>
          <w:tcPr>
            <w:tcW w:w="660" w:type="dxa"/>
            <w:tcBorders>
              <w:top w:val="single" w:sz="6" w:space="0" w:color="000000"/>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spacing w:line="179" w:lineRule="exact" w:before="2"/>
              <w:ind w:right="113"/>
              <w:jc w:val="right"/>
              <w:rPr>
                <w:sz w:val="16"/>
              </w:rPr>
            </w:pPr>
            <w:r>
              <w:rPr>
                <w:spacing w:val="-4"/>
                <w:w w:val="105"/>
                <w:sz w:val="16"/>
              </w:rPr>
              <w:t>2,031</w:t>
            </w:r>
          </w:p>
        </w:tc>
      </w:tr>
      <w:tr>
        <w:trPr>
          <w:trHeight w:val="202" w:hRule="atLeast"/>
        </w:trPr>
        <w:tc>
          <w:tcPr>
            <w:tcW w:w="6131" w:type="dxa"/>
            <w:shd w:val="clear" w:color="auto" w:fill="CCEDFF"/>
          </w:tcPr>
          <w:p>
            <w:pPr>
              <w:pStyle w:val="TableParagraph"/>
              <w:rPr>
                <w:sz w:val="14"/>
              </w:rPr>
            </w:pPr>
          </w:p>
        </w:tc>
        <w:tc>
          <w:tcPr>
            <w:tcW w:w="912" w:type="dxa"/>
            <w:tcBorders>
              <w:top w:val="single" w:sz="6" w:space="0" w:color="000000"/>
            </w:tcBorders>
            <w:shd w:val="clear" w:color="auto" w:fill="CCEDFF"/>
          </w:tcPr>
          <w:p>
            <w:pPr>
              <w:pStyle w:val="TableParagraph"/>
              <w:rPr>
                <w:sz w:val="14"/>
              </w:rPr>
            </w:pPr>
          </w:p>
        </w:tc>
        <w:tc>
          <w:tcPr>
            <w:tcW w:w="1060" w:type="dxa"/>
            <w:tcBorders>
              <w:top w:val="single" w:sz="6" w:space="0" w:color="000000"/>
            </w:tcBorders>
            <w:shd w:val="clear" w:color="auto" w:fill="CCEDFF"/>
          </w:tcPr>
          <w:p>
            <w:pPr>
              <w:pStyle w:val="TableParagraph"/>
              <w:rPr>
                <w:sz w:val="14"/>
              </w:rPr>
            </w:pPr>
          </w:p>
        </w:tc>
        <w:tc>
          <w:tcPr>
            <w:tcW w:w="660" w:type="dxa"/>
            <w:tcBorders>
              <w:top w:val="single" w:sz="6" w:space="0" w:color="000000"/>
            </w:tcBorders>
            <w:shd w:val="clear" w:color="auto" w:fill="CCEDFF"/>
          </w:tcPr>
          <w:p>
            <w:pPr>
              <w:pStyle w:val="TableParagraph"/>
              <w:rPr>
                <w:sz w:val="14"/>
              </w:rPr>
            </w:pPr>
          </w:p>
        </w:tc>
        <w:tc>
          <w:tcPr>
            <w:tcW w:w="1060" w:type="dxa"/>
            <w:tcBorders>
              <w:top w:val="single" w:sz="6" w:space="0" w:color="000000"/>
            </w:tcBorders>
            <w:shd w:val="clear" w:color="auto" w:fill="CCEDFF"/>
          </w:tcPr>
          <w:p>
            <w:pPr>
              <w:pStyle w:val="TableParagraph"/>
              <w:rPr>
                <w:sz w:val="14"/>
              </w:rPr>
            </w:pPr>
          </w:p>
        </w:tc>
        <w:tc>
          <w:tcPr>
            <w:tcW w:w="660" w:type="dxa"/>
            <w:tcBorders>
              <w:top w:val="single" w:sz="6" w:space="0" w:color="000000"/>
            </w:tcBorders>
            <w:shd w:val="clear" w:color="auto" w:fill="CCEDFF"/>
          </w:tcPr>
          <w:p>
            <w:pPr>
              <w:pStyle w:val="TableParagraph"/>
              <w:rPr>
                <w:sz w:val="14"/>
              </w:rPr>
            </w:pPr>
          </w:p>
        </w:tc>
        <w:tc>
          <w:tcPr>
            <w:tcW w:w="1033" w:type="dxa"/>
            <w:tcBorders>
              <w:top w:val="single" w:sz="6" w:space="0" w:color="000000"/>
            </w:tcBorders>
            <w:shd w:val="clear" w:color="auto" w:fill="CCEDFF"/>
          </w:tcPr>
          <w:p>
            <w:pPr>
              <w:pStyle w:val="TableParagraph"/>
              <w:rPr>
                <w:sz w:val="14"/>
              </w:rPr>
            </w:pPr>
          </w:p>
        </w:tc>
      </w:tr>
      <w:tr>
        <w:trPr>
          <w:trHeight w:val="203" w:hRule="atLeast"/>
        </w:trPr>
        <w:tc>
          <w:tcPr>
            <w:tcW w:w="6131" w:type="dxa"/>
          </w:tcPr>
          <w:p>
            <w:pPr>
              <w:pStyle w:val="TableParagraph"/>
              <w:spacing w:line="180" w:lineRule="exact" w:before="3"/>
              <w:rPr>
                <w:b/>
                <w:sz w:val="16"/>
              </w:rPr>
            </w:pPr>
            <w:r>
              <w:rPr>
                <w:b/>
                <w:spacing w:val="-2"/>
                <w:w w:val="105"/>
                <w:sz w:val="16"/>
              </w:rPr>
              <w:t>Cash</w:t>
            </w:r>
            <w:r>
              <w:rPr>
                <w:b/>
                <w:spacing w:val="-1"/>
                <w:w w:val="105"/>
                <w:sz w:val="16"/>
              </w:rPr>
              <w:t> </w:t>
            </w:r>
            <w:r>
              <w:rPr>
                <w:b/>
                <w:spacing w:val="-2"/>
                <w:w w:val="105"/>
                <w:sz w:val="16"/>
              </w:rPr>
              <w:t>Flows</w:t>
            </w:r>
            <w:r>
              <w:rPr>
                <w:b/>
                <w:w w:val="105"/>
                <w:sz w:val="16"/>
              </w:rPr>
              <w:t> </w:t>
            </w:r>
            <w:r>
              <w:rPr>
                <w:b/>
                <w:spacing w:val="-2"/>
                <w:w w:val="105"/>
                <w:sz w:val="16"/>
              </w:rPr>
              <w:t>from</w:t>
            </w:r>
            <w:r>
              <w:rPr>
                <w:b/>
                <w:w w:val="105"/>
                <w:sz w:val="16"/>
              </w:rPr>
              <w:t> </w:t>
            </w:r>
            <w:r>
              <w:rPr>
                <w:b/>
                <w:spacing w:val="-2"/>
                <w:w w:val="105"/>
                <w:sz w:val="16"/>
              </w:rPr>
              <w:t>Investing</w:t>
            </w:r>
            <w:r>
              <w:rPr>
                <w:b/>
                <w:spacing w:val="-1"/>
                <w:w w:val="105"/>
                <w:sz w:val="16"/>
              </w:rPr>
              <w:t> </w:t>
            </w:r>
            <w:r>
              <w:rPr>
                <w:b/>
                <w:spacing w:val="-2"/>
                <w:w w:val="105"/>
                <w:sz w:val="16"/>
              </w:rPr>
              <w:t>Activities:</w:t>
            </w:r>
          </w:p>
        </w:tc>
        <w:tc>
          <w:tcPr>
            <w:tcW w:w="912"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33" w:type="dxa"/>
          </w:tcPr>
          <w:p>
            <w:pPr>
              <w:pStyle w:val="TableParagraph"/>
              <w:rPr>
                <w:sz w:val="14"/>
              </w:rPr>
            </w:pPr>
          </w:p>
        </w:tc>
      </w:tr>
      <w:tr>
        <w:trPr>
          <w:trHeight w:val="203" w:hRule="atLeast"/>
        </w:trPr>
        <w:tc>
          <w:tcPr>
            <w:tcW w:w="6131" w:type="dxa"/>
            <w:shd w:val="clear" w:color="auto" w:fill="CCEDFF"/>
          </w:tcPr>
          <w:p>
            <w:pPr>
              <w:pStyle w:val="TableParagraph"/>
              <w:spacing w:line="180" w:lineRule="exact" w:before="3"/>
              <w:ind w:left="152"/>
              <w:rPr>
                <w:sz w:val="16"/>
              </w:rPr>
            </w:pPr>
            <w:r>
              <w:rPr>
                <w:w w:val="105"/>
                <w:sz w:val="16"/>
              </w:rPr>
              <w:t>Capital</w:t>
            </w:r>
            <w:r>
              <w:rPr>
                <w:spacing w:val="-11"/>
                <w:w w:val="105"/>
                <w:sz w:val="16"/>
              </w:rPr>
              <w:t> </w:t>
            </w:r>
            <w:r>
              <w:rPr>
                <w:spacing w:val="-2"/>
                <w:w w:val="105"/>
                <w:sz w:val="16"/>
              </w:rPr>
              <w:t>expenditures</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b/>
                <w:sz w:val="16"/>
              </w:rPr>
            </w:pPr>
            <w:r>
              <w:rPr>
                <w:b/>
                <w:spacing w:val="-2"/>
                <w:w w:val="105"/>
                <w:sz w:val="16"/>
              </w:rPr>
              <w:t>(1,637)</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sz w:val="16"/>
              </w:rPr>
            </w:pPr>
            <w:r>
              <w:rPr>
                <w:spacing w:val="-2"/>
                <w:w w:val="105"/>
                <w:sz w:val="16"/>
              </w:rPr>
              <w:t>(1,377)</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59"/>
              <w:jc w:val="right"/>
              <w:rPr>
                <w:sz w:val="16"/>
              </w:rPr>
            </w:pPr>
            <w:r>
              <w:rPr>
                <w:spacing w:val="-2"/>
                <w:w w:val="105"/>
                <w:sz w:val="16"/>
              </w:rPr>
              <w:t>(1,978)</w:t>
            </w:r>
          </w:p>
        </w:tc>
      </w:tr>
      <w:tr>
        <w:trPr>
          <w:trHeight w:val="203" w:hRule="atLeast"/>
        </w:trPr>
        <w:tc>
          <w:tcPr>
            <w:tcW w:w="6131" w:type="dxa"/>
          </w:tcPr>
          <w:p>
            <w:pPr>
              <w:pStyle w:val="TableParagraph"/>
              <w:spacing w:line="180" w:lineRule="exact" w:before="3"/>
              <w:ind w:left="152"/>
              <w:rPr>
                <w:sz w:val="16"/>
              </w:rPr>
            </w:pPr>
            <w:r>
              <w:rPr>
                <w:w w:val="105"/>
                <w:sz w:val="16"/>
              </w:rPr>
              <w:t>Proceeds</w:t>
            </w:r>
            <w:r>
              <w:rPr>
                <w:spacing w:val="-9"/>
                <w:w w:val="105"/>
                <w:sz w:val="16"/>
              </w:rPr>
              <w:t> </w:t>
            </w:r>
            <w:r>
              <w:rPr>
                <w:w w:val="105"/>
                <w:sz w:val="16"/>
              </w:rPr>
              <w:t>from</w:t>
            </w:r>
            <w:r>
              <w:rPr>
                <w:spacing w:val="-8"/>
                <w:w w:val="105"/>
                <w:sz w:val="16"/>
              </w:rPr>
              <w:t> </w:t>
            </w:r>
            <w:r>
              <w:rPr>
                <w:w w:val="105"/>
                <w:sz w:val="16"/>
              </w:rPr>
              <w:t>sale</w:t>
            </w:r>
            <w:r>
              <w:rPr>
                <w:spacing w:val="-8"/>
                <w:w w:val="105"/>
                <w:sz w:val="16"/>
              </w:rPr>
              <w:t> </w:t>
            </w:r>
            <w:r>
              <w:rPr>
                <w:w w:val="105"/>
                <w:sz w:val="16"/>
              </w:rPr>
              <w:t>or</w:t>
            </w:r>
            <w:r>
              <w:rPr>
                <w:spacing w:val="-9"/>
                <w:w w:val="105"/>
                <w:sz w:val="16"/>
              </w:rPr>
              <w:t> </w:t>
            </w:r>
            <w:r>
              <w:rPr>
                <w:w w:val="105"/>
                <w:sz w:val="16"/>
              </w:rPr>
              <w:t>disposal</w:t>
            </w:r>
            <w:r>
              <w:rPr>
                <w:spacing w:val="-8"/>
                <w:w w:val="105"/>
                <w:sz w:val="16"/>
              </w:rPr>
              <w:t> </w:t>
            </w:r>
            <w:r>
              <w:rPr>
                <w:w w:val="105"/>
                <w:sz w:val="16"/>
              </w:rPr>
              <w:t>of</w:t>
            </w:r>
            <w:r>
              <w:rPr>
                <w:spacing w:val="-8"/>
                <w:w w:val="105"/>
                <w:sz w:val="16"/>
              </w:rPr>
              <w:t> </w:t>
            </w:r>
            <w:r>
              <w:rPr>
                <w:spacing w:val="-2"/>
                <w:w w:val="105"/>
                <w:sz w:val="16"/>
              </w:rPr>
              <w:t>assets</w:t>
            </w:r>
          </w:p>
        </w:tc>
        <w:tc>
          <w:tcPr>
            <w:tcW w:w="912" w:type="dxa"/>
          </w:tcPr>
          <w:p>
            <w:pPr>
              <w:pStyle w:val="TableParagraph"/>
              <w:rPr>
                <w:sz w:val="14"/>
              </w:rPr>
            </w:pPr>
          </w:p>
        </w:tc>
        <w:tc>
          <w:tcPr>
            <w:tcW w:w="1060" w:type="dxa"/>
          </w:tcPr>
          <w:p>
            <w:pPr>
              <w:pStyle w:val="TableParagraph"/>
              <w:spacing w:line="180" w:lineRule="exact" w:before="3"/>
              <w:ind w:right="139"/>
              <w:jc w:val="right"/>
              <w:rPr>
                <w:b/>
                <w:sz w:val="16"/>
              </w:rPr>
            </w:pPr>
            <w:r>
              <w:rPr>
                <w:b/>
                <w:spacing w:val="-5"/>
                <w:w w:val="105"/>
                <w:sz w:val="16"/>
              </w:rPr>
              <w:t>17</w:t>
            </w:r>
          </w:p>
        </w:tc>
        <w:tc>
          <w:tcPr>
            <w:tcW w:w="660" w:type="dxa"/>
          </w:tcPr>
          <w:p>
            <w:pPr>
              <w:pStyle w:val="TableParagraph"/>
              <w:rPr>
                <w:sz w:val="14"/>
              </w:rPr>
            </w:pPr>
          </w:p>
        </w:tc>
        <w:tc>
          <w:tcPr>
            <w:tcW w:w="1060" w:type="dxa"/>
          </w:tcPr>
          <w:p>
            <w:pPr>
              <w:pStyle w:val="TableParagraph"/>
              <w:spacing w:line="180" w:lineRule="exact" w:before="3"/>
              <w:ind w:right="139"/>
              <w:jc w:val="right"/>
              <w:rPr>
                <w:sz w:val="16"/>
              </w:rPr>
            </w:pPr>
            <w:r>
              <w:rPr>
                <w:spacing w:val="-5"/>
                <w:w w:val="105"/>
                <w:sz w:val="16"/>
              </w:rPr>
              <w:t>37</w:t>
            </w:r>
          </w:p>
        </w:tc>
        <w:tc>
          <w:tcPr>
            <w:tcW w:w="660" w:type="dxa"/>
          </w:tcPr>
          <w:p>
            <w:pPr>
              <w:pStyle w:val="TableParagraph"/>
              <w:rPr>
                <w:sz w:val="14"/>
              </w:rPr>
            </w:pPr>
          </w:p>
        </w:tc>
        <w:tc>
          <w:tcPr>
            <w:tcW w:w="1033" w:type="dxa"/>
          </w:tcPr>
          <w:p>
            <w:pPr>
              <w:pStyle w:val="TableParagraph"/>
              <w:rPr>
                <w:sz w:val="14"/>
              </w:rPr>
            </w:pPr>
          </w:p>
        </w:tc>
      </w:tr>
      <w:tr>
        <w:trPr>
          <w:trHeight w:val="203" w:hRule="atLeast"/>
        </w:trPr>
        <w:tc>
          <w:tcPr>
            <w:tcW w:w="6131" w:type="dxa"/>
            <w:shd w:val="clear" w:color="auto" w:fill="CCEDFF"/>
          </w:tcPr>
          <w:p>
            <w:pPr>
              <w:pStyle w:val="TableParagraph"/>
              <w:spacing w:line="180" w:lineRule="exact" w:before="3"/>
              <w:ind w:left="152"/>
              <w:rPr>
                <w:sz w:val="16"/>
              </w:rPr>
            </w:pPr>
            <w:r>
              <w:rPr>
                <w:w w:val="105"/>
                <w:sz w:val="16"/>
              </w:rPr>
              <w:t>Proceeds</w:t>
            </w:r>
            <w:r>
              <w:rPr>
                <w:spacing w:val="-10"/>
                <w:w w:val="105"/>
                <w:sz w:val="16"/>
              </w:rPr>
              <w:t> </w:t>
            </w:r>
            <w:r>
              <w:rPr>
                <w:w w:val="105"/>
                <w:sz w:val="16"/>
              </w:rPr>
              <w:t>from</w:t>
            </w:r>
            <w:r>
              <w:rPr>
                <w:spacing w:val="-9"/>
                <w:w w:val="105"/>
                <w:sz w:val="16"/>
              </w:rPr>
              <w:t> </w:t>
            </w:r>
            <w:r>
              <w:rPr>
                <w:w w:val="105"/>
                <w:sz w:val="16"/>
              </w:rPr>
              <w:t>sale</w:t>
            </w:r>
            <w:r>
              <w:rPr>
                <w:spacing w:val="-9"/>
                <w:w w:val="105"/>
                <w:sz w:val="16"/>
              </w:rPr>
              <w:t> </w:t>
            </w:r>
            <w:r>
              <w:rPr>
                <w:w w:val="105"/>
                <w:sz w:val="16"/>
              </w:rPr>
              <w:t>of</w:t>
            </w:r>
            <w:r>
              <w:rPr>
                <w:spacing w:val="-9"/>
                <w:w w:val="105"/>
                <w:sz w:val="16"/>
              </w:rPr>
              <w:t> </w:t>
            </w:r>
            <w:r>
              <w:rPr>
                <w:spacing w:val="-2"/>
                <w:w w:val="105"/>
                <w:sz w:val="16"/>
              </w:rPr>
              <w:t>business</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b/>
                <w:sz w:val="16"/>
              </w:rPr>
            </w:pPr>
            <w:r>
              <w:rPr>
                <w:b/>
                <w:spacing w:val="-5"/>
                <w:w w:val="105"/>
                <w:sz w:val="16"/>
              </w:rPr>
              <w:t>103</w:t>
            </w: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33" w:type="dxa"/>
            <w:shd w:val="clear" w:color="auto" w:fill="CCEDFF"/>
          </w:tcPr>
          <w:p>
            <w:pPr>
              <w:pStyle w:val="TableParagraph"/>
              <w:rPr>
                <w:sz w:val="14"/>
              </w:rPr>
            </w:pPr>
          </w:p>
        </w:tc>
      </w:tr>
      <w:tr>
        <w:trPr>
          <w:trHeight w:val="203" w:hRule="atLeast"/>
        </w:trPr>
        <w:tc>
          <w:tcPr>
            <w:tcW w:w="6131" w:type="dxa"/>
          </w:tcPr>
          <w:p>
            <w:pPr>
              <w:pStyle w:val="TableParagraph"/>
              <w:spacing w:line="180" w:lineRule="exact" w:before="3"/>
              <w:ind w:left="152"/>
              <w:rPr>
                <w:sz w:val="16"/>
              </w:rPr>
            </w:pPr>
            <w:r>
              <w:rPr>
                <w:sz w:val="16"/>
              </w:rPr>
              <w:t>Proceeds</w:t>
            </w:r>
            <w:r>
              <w:rPr>
                <w:spacing w:val="15"/>
                <w:sz w:val="16"/>
              </w:rPr>
              <w:t> </w:t>
            </w:r>
            <w:r>
              <w:rPr>
                <w:sz w:val="16"/>
              </w:rPr>
              <w:t>from</w:t>
            </w:r>
            <w:r>
              <w:rPr>
                <w:spacing w:val="15"/>
                <w:sz w:val="16"/>
              </w:rPr>
              <w:t> </w:t>
            </w:r>
            <w:r>
              <w:rPr>
                <w:sz w:val="16"/>
              </w:rPr>
              <w:t>and</w:t>
            </w:r>
            <w:r>
              <w:rPr>
                <w:spacing w:val="15"/>
                <w:sz w:val="16"/>
              </w:rPr>
              <w:t> </w:t>
            </w:r>
            <w:r>
              <w:rPr>
                <w:sz w:val="16"/>
              </w:rPr>
              <w:t>investment</w:t>
            </w:r>
            <w:r>
              <w:rPr>
                <w:spacing w:val="15"/>
                <w:sz w:val="16"/>
              </w:rPr>
              <w:t> </w:t>
            </w:r>
            <w:r>
              <w:rPr>
                <w:sz w:val="16"/>
              </w:rPr>
              <w:t>in</w:t>
            </w:r>
            <w:r>
              <w:rPr>
                <w:spacing w:val="16"/>
                <w:sz w:val="16"/>
              </w:rPr>
              <w:t> </w:t>
            </w:r>
            <w:r>
              <w:rPr>
                <w:sz w:val="16"/>
              </w:rPr>
              <w:t>unconsolidated</w:t>
            </w:r>
            <w:r>
              <w:rPr>
                <w:spacing w:val="15"/>
                <w:sz w:val="16"/>
              </w:rPr>
              <w:t> </w:t>
            </w:r>
            <w:r>
              <w:rPr>
                <w:sz w:val="16"/>
              </w:rPr>
              <w:t>entities,</w:t>
            </w:r>
            <w:r>
              <w:rPr>
                <w:spacing w:val="15"/>
                <w:sz w:val="16"/>
              </w:rPr>
              <w:t> </w:t>
            </w:r>
            <w:r>
              <w:rPr>
                <w:spacing w:val="-5"/>
                <w:sz w:val="16"/>
              </w:rPr>
              <w:t>net</w:t>
            </w:r>
          </w:p>
        </w:tc>
        <w:tc>
          <w:tcPr>
            <w:tcW w:w="912" w:type="dxa"/>
          </w:tcPr>
          <w:p>
            <w:pPr>
              <w:pStyle w:val="TableParagraph"/>
              <w:rPr>
                <w:sz w:val="14"/>
              </w:rPr>
            </w:pPr>
          </w:p>
        </w:tc>
        <w:tc>
          <w:tcPr>
            <w:tcW w:w="1060" w:type="dxa"/>
          </w:tcPr>
          <w:p>
            <w:pPr>
              <w:pStyle w:val="TableParagraph"/>
              <w:spacing w:line="180" w:lineRule="exact" w:before="3"/>
              <w:ind w:right="139"/>
              <w:jc w:val="right"/>
              <w:rPr>
                <w:b/>
                <w:sz w:val="16"/>
              </w:rPr>
            </w:pPr>
            <w:r>
              <w:rPr>
                <w:b/>
                <w:spacing w:val="-5"/>
                <w:w w:val="105"/>
                <w:sz w:val="16"/>
              </w:rPr>
              <w:t>84</w:t>
            </w:r>
          </w:p>
        </w:tc>
        <w:tc>
          <w:tcPr>
            <w:tcW w:w="660" w:type="dxa"/>
          </w:tcPr>
          <w:p>
            <w:pPr>
              <w:pStyle w:val="TableParagraph"/>
              <w:rPr>
                <w:sz w:val="14"/>
              </w:rPr>
            </w:pPr>
          </w:p>
        </w:tc>
        <w:tc>
          <w:tcPr>
            <w:tcW w:w="1060" w:type="dxa"/>
          </w:tcPr>
          <w:p>
            <w:pPr>
              <w:pStyle w:val="TableParagraph"/>
              <w:spacing w:line="180" w:lineRule="exact" w:before="3"/>
              <w:ind w:right="84"/>
              <w:jc w:val="right"/>
              <w:rPr>
                <w:sz w:val="16"/>
              </w:rPr>
            </w:pPr>
            <w:r>
              <w:rPr>
                <w:spacing w:val="-4"/>
                <w:w w:val="105"/>
                <w:sz w:val="16"/>
              </w:rPr>
              <w:t>(28)</w:t>
            </w:r>
          </w:p>
        </w:tc>
        <w:tc>
          <w:tcPr>
            <w:tcW w:w="660" w:type="dxa"/>
          </w:tcPr>
          <w:p>
            <w:pPr>
              <w:pStyle w:val="TableParagraph"/>
              <w:rPr>
                <w:sz w:val="14"/>
              </w:rPr>
            </w:pPr>
          </w:p>
        </w:tc>
        <w:tc>
          <w:tcPr>
            <w:tcW w:w="1033" w:type="dxa"/>
          </w:tcPr>
          <w:p>
            <w:pPr>
              <w:pStyle w:val="TableParagraph"/>
              <w:spacing w:line="180" w:lineRule="exact" w:before="3"/>
              <w:ind w:right="59"/>
              <w:jc w:val="right"/>
              <w:rPr>
                <w:sz w:val="16"/>
              </w:rPr>
            </w:pPr>
            <w:r>
              <w:rPr>
                <w:spacing w:val="-4"/>
                <w:w w:val="105"/>
                <w:sz w:val="16"/>
              </w:rPr>
              <w:t>(26)</w:t>
            </w:r>
          </w:p>
        </w:tc>
      </w:tr>
      <w:tr>
        <w:trPr>
          <w:trHeight w:val="203" w:hRule="atLeast"/>
        </w:trPr>
        <w:tc>
          <w:tcPr>
            <w:tcW w:w="6131" w:type="dxa"/>
            <w:shd w:val="clear" w:color="auto" w:fill="CCEDFF"/>
          </w:tcPr>
          <w:p>
            <w:pPr>
              <w:pStyle w:val="TableParagraph"/>
              <w:spacing w:line="180" w:lineRule="exact" w:before="3"/>
              <w:ind w:left="152"/>
              <w:rPr>
                <w:sz w:val="16"/>
              </w:rPr>
            </w:pPr>
            <w:r>
              <w:rPr>
                <w:w w:val="105"/>
                <w:sz w:val="16"/>
              </w:rPr>
              <w:t>Sale</w:t>
            </w:r>
            <w:r>
              <w:rPr>
                <w:spacing w:val="-8"/>
                <w:w w:val="105"/>
                <w:sz w:val="16"/>
              </w:rPr>
              <w:t> </w:t>
            </w:r>
            <w:r>
              <w:rPr>
                <w:w w:val="105"/>
                <w:sz w:val="16"/>
              </w:rPr>
              <w:t>of</w:t>
            </w:r>
            <w:r>
              <w:rPr>
                <w:spacing w:val="-7"/>
                <w:w w:val="105"/>
                <w:sz w:val="16"/>
              </w:rPr>
              <w:t> </w:t>
            </w:r>
            <w:r>
              <w:rPr>
                <w:w w:val="105"/>
                <w:sz w:val="16"/>
              </w:rPr>
              <w:t>equipment</w:t>
            </w:r>
            <w:r>
              <w:rPr>
                <w:spacing w:val="-8"/>
                <w:w w:val="105"/>
                <w:sz w:val="16"/>
              </w:rPr>
              <w:t> </w:t>
            </w:r>
            <w:r>
              <w:rPr>
                <w:w w:val="105"/>
                <w:sz w:val="16"/>
              </w:rPr>
              <w:t>for</w:t>
            </w:r>
            <w:r>
              <w:rPr>
                <w:spacing w:val="-7"/>
                <w:w w:val="105"/>
                <w:sz w:val="16"/>
              </w:rPr>
              <w:t> </w:t>
            </w:r>
            <w:r>
              <w:rPr>
                <w:w w:val="105"/>
                <w:sz w:val="16"/>
              </w:rPr>
              <w:t>related</w:t>
            </w:r>
            <w:r>
              <w:rPr>
                <w:spacing w:val="-8"/>
                <w:w w:val="105"/>
                <w:sz w:val="16"/>
              </w:rPr>
              <w:t> </w:t>
            </w:r>
            <w:r>
              <w:rPr>
                <w:spacing w:val="-2"/>
                <w:w w:val="105"/>
                <w:sz w:val="16"/>
              </w:rPr>
              <w:t>party</w:t>
            </w:r>
          </w:p>
        </w:tc>
        <w:tc>
          <w:tcPr>
            <w:tcW w:w="912"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113"/>
              <w:jc w:val="right"/>
              <w:rPr>
                <w:sz w:val="16"/>
              </w:rPr>
            </w:pPr>
            <w:r>
              <w:rPr>
                <w:spacing w:val="-5"/>
                <w:w w:val="105"/>
                <w:sz w:val="16"/>
              </w:rPr>
              <w:t>78</w:t>
            </w:r>
          </w:p>
        </w:tc>
      </w:tr>
      <w:tr>
        <w:trPr>
          <w:trHeight w:val="203" w:hRule="atLeast"/>
        </w:trPr>
        <w:tc>
          <w:tcPr>
            <w:tcW w:w="6131" w:type="dxa"/>
          </w:tcPr>
          <w:p>
            <w:pPr>
              <w:pStyle w:val="TableParagraph"/>
              <w:spacing w:line="180" w:lineRule="exact" w:before="3"/>
              <w:ind w:left="152"/>
              <w:rPr>
                <w:sz w:val="16"/>
              </w:rPr>
            </w:pPr>
            <w:r>
              <w:rPr>
                <w:spacing w:val="-2"/>
                <w:w w:val="105"/>
                <w:sz w:val="16"/>
              </w:rPr>
              <w:t>Realized</w:t>
            </w:r>
            <w:r>
              <w:rPr>
                <w:spacing w:val="1"/>
                <w:w w:val="105"/>
                <w:sz w:val="16"/>
              </w:rPr>
              <w:t> </w:t>
            </w:r>
            <w:r>
              <w:rPr>
                <w:spacing w:val="-2"/>
                <w:w w:val="105"/>
                <w:sz w:val="16"/>
              </w:rPr>
              <w:t>gains</w:t>
            </w:r>
            <w:r>
              <w:rPr>
                <w:spacing w:val="2"/>
                <w:w w:val="105"/>
                <w:sz w:val="16"/>
              </w:rPr>
              <w:t> </w:t>
            </w:r>
            <w:r>
              <w:rPr>
                <w:spacing w:val="-2"/>
                <w:w w:val="105"/>
                <w:sz w:val="16"/>
              </w:rPr>
              <w:t>on</w:t>
            </w:r>
            <w:r>
              <w:rPr>
                <w:spacing w:val="1"/>
                <w:w w:val="105"/>
                <w:sz w:val="16"/>
              </w:rPr>
              <w:t> </w:t>
            </w:r>
            <w:r>
              <w:rPr>
                <w:spacing w:val="-2"/>
                <w:w w:val="105"/>
                <w:sz w:val="16"/>
              </w:rPr>
              <w:t>translated</w:t>
            </w:r>
            <w:r>
              <w:rPr>
                <w:spacing w:val="2"/>
                <w:w w:val="105"/>
                <w:sz w:val="16"/>
              </w:rPr>
              <w:t> </w:t>
            </w:r>
            <w:r>
              <w:rPr>
                <w:spacing w:val="-2"/>
                <w:w w:val="105"/>
                <w:sz w:val="16"/>
              </w:rPr>
              <w:t>earnings</w:t>
            </w:r>
            <w:r>
              <w:rPr>
                <w:spacing w:val="1"/>
                <w:w w:val="105"/>
                <w:sz w:val="16"/>
              </w:rPr>
              <w:t> </w:t>
            </w:r>
            <w:r>
              <w:rPr>
                <w:spacing w:val="-2"/>
                <w:w w:val="105"/>
                <w:sz w:val="16"/>
              </w:rPr>
              <w:t>contracts</w:t>
            </w:r>
          </w:p>
        </w:tc>
        <w:tc>
          <w:tcPr>
            <w:tcW w:w="912" w:type="dxa"/>
          </w:tcPr>
          <w:p>
            <w:pPr>
              <w:pStyle w:val="TableParagraph"/>
              <w:rPr>
                <w:sz w:val="14"/>
              </w:rPr>
            </w:pPr>
          </w:p>
        </w:tc>
        <w:tc>
          <w:tcPr>
            <w:tcW w:w="1060" w:type="dxa"/>
          </w:tcPr>
          <w:p>
            <w:pPr>
              <w:pStyle w:val="TableParagraph"/>
              <w:spacing w:line="180" w:lineRule="exact" w:before="3"/>
              <w:ind w:right="139"/>
              <w:jc w:val="right"/>
              <w:rPr>
                <w:b/>
                <w:sz w:val="16"/>
              </w:rPr>
            </w:pPr>
            <w:r>
              <w:rPr>
                <w:b/>
                <w:spacing w:val="-5"/>
                <w:w w:val="105"/>
                <w:sz w:val="16"/>
              </w:rPr>
              <w:t>67</w:t>
            </w:r>
          </w:p>
        </w:tc>
        <w:tc>
          <w:tcPr>
            <w:tcW w:w="660" w:type="dxa"/>
          </w:tcPr>
          <w:p>
            <w:pPr>
              <w:pStyle w:val="TableParagraph"/>
              <w:rPr>
                <w:sz w:val="14"/>
              </w:rPr>
            </w:pPr>
          </w:p>
        </w:tc>
        <w:tc>
          <w:tcPr>
            <w:tcW w:w="1060" w:type="dxa"/>
          </w:tcPr>
          <w:p>
            <w:pPr>
              <w:pStyle w:val="TableParagraph"/>
              <w:spacing w:line="180" w:lineRule="exact" w:before="3"/>
              <w:ind w:right="139"/>
              <w:jc w:val="right"/>
              <w:rPr>
                <w:sz w:val="16"/>
              </w:rPr>
            </w:pPr>
            <w:r>
              <w:rPr>
                <w:spacing w:val="-5"/>
                <w:w w:val="105"/>
                <w:sz w:val="16"/>
              </w:rPr>
              <w:t>12</w:t>
            </w:r>
          </w:p>
        </w:tc>
        <w:tc>
          <w:tcPr>
            <w:tcW w:w="660" w:type="dxa"/>
          </w:tcPr>
          <w:p>
            <w:pPr>
              <w:pStyle w:val="TableParagraph"/>
              <w:rPr>
                <w:sz w:val="14"/>
              </w:rPr>
            </w:pPr>
          </w:p>
        </w:tc>
        <w:tc>
          <w:tcPr>
            <w:tcW w:w="1033" w:type="dxa"/>
          </w:tcPr>
          <w:p>
            <w:pPr>
              <w:pStyle w:val="TableParagraph"/>
              <w:spacing w:line="180" w:lineRule="exact" w:before="3"/>
              <w:ind w:right="113"/>
              <w:jc w:val="right"/>
              <w:rPr>
                <w:sz w:val="16"/>
              </w:rPr>
            </w:pPr>
            <w:r>
              <w:rPr>
                <w:spacing w:val="-5"/>
                <w:w w:val="105"/>
                <w:sz w:val="16"/>
              </w:rPr>
              <w:t>55</w:t>
            </w:r>
          </w:p>
        </w:tc>
      </w:tr>
      <w:tr>
        <w:trPr>
          <w:trHeight w:val="202" w:hRule="atLeast"/>
        </w:trPr>
        <w:tc>
          <w:tcPr>
            <w:tcW w:w="6131" w:type="dxa"/>
            <w:shd w:val="clear" w:color="auto" w:fill="CCEDFF"/>
          </w:tcPr>
          <w:p>
            <w:pPr>
              <w:pStyle w:val="TableParagraph"/>
              <w:spacing w:line="166" w:lineRule="exact" w:before="16"/>
              <w:ind w:left="152"/>
              <w:rPr>
                <w:sz w:val="16"/>
              </w:rPr>
            </w:pPr>
            <w:r>
              <w:rPr>
                <w:spacing w:val="-2"/>
                <w:w w:val="105"/>
                <w:sz w:val="16"/>
              </w:rPr>
              <w:t>Other,</w:t>
            </w:r>
            <w:r>
              <w:rPr>
                <w:spacing w:val="-3"/>
                <w:w w:val="105"/>
                <w:sz w:val="16"/>
              </w:rPr>
              <w:t> </w:t>
            </w:r>
            <w:r>
              <w:rPr>
                <w:spacing w:val="-5"/>
                <w:w w:val="105"/>
                <w:sz w:val="16"/>
              </w:rPr>
              <w:t>net</w:t>
            </w:r>
          </w:p>
        </w:tc>
        <w:tc>
          <w:tcPr>
            <w:tcW w:w="912" w:type="dxa"/>
            <w:tcBorders>
              <w:bottom w:val="single" w:sz="6" w:space="0" w:color="000000"/>
            </w:tcBorders>
            <w:shd w:val="clear" w:color="auto" w:fill="CCEDFF"/>
          </w:tcPr>
          <w:p>
            <w:pPr>
              <w:pStyle w:val="TableParagraph"/>
              <w:rPr>
                <w:sz w:val="14"/>
              </w:rPr>
            </w:pPr>
          </w:p>
        </w:tc>
        <w:tc>
          <w:tcPr>
            <w:tcW w:w="1060" w:type="dxa"/>
            <w:tcBorders>
              <w:bottom w:val="single" w:sz="6" w:space="0" w:color="000000"/>
            </w:tcBorders>
            <w:shd w:val="clear" w:color="auto" w:fill="CCEDFF"/>
          </w:tcPr>
          <w:p>
            <w:pPr>
              <w:pStyle w:val="TableParagraph"/>
              <w:spacing w:line="179" w:lineRule="exact" w:before="3"/>
              <w:ind w:right="84"/>
              <w:jc w:val="right"/>
              <w:rPr>
                <w:b/>
                <w:sz w:val="16"/>
              </w:rPr>
            </w:pPr>
            <w:r>
              <w:rPr>
                <w:b/>
                <w:spacing w:val="-4"/>
                <w:w w:val="105"/>
                <w:sz w:val="16"/>
              </w:rPr>
              <w:t>(53)</w:t>
            </w:r>
          </w:p>
        </w:tc>
        <w:tc>
          <w:tcPr>
            <w:tcW w:w="660" w:type="dxa"/>
            <w:tcBorders>
              <w:bottom w:val="single" w:sz="6" w:space="0" w:color="000000"/>
            </w:tcBorders>
            <w:shd w:val="clear" w:color="auto" w:fill="CCEDFF"/>
          </w:tcPr>
          <w:p>
            <w:pPr>
              <w:pStyle w:val="TableParagraph"/>
              <w:rPr>
                <w:sz w:val="14"/>
              </w:rPr>
            </w:pPr>
          </w:p>
        </w:tc>
        <w:tc>
          <w:tcPr>
            <w:tcW w:w="1060" w:type="dxa"/>
            <w:tcBorders>
              <w:bottom w:val="single" w:sz="6" w:space="0" w:color="000000"/>
            </w:tcBorders>
            <w:shd w:val="clear" w:color="auto" w:fill="CCEDFF"/>
          </w:tcPr>
          <w:p>
            <w:pPr>
              <w:pStyle w:val="TableParagraph"/>
              <w:spacing w:line="179" w:lineRule="exact" w:before="3"/>
              <w:ind w:right="139"/>
              <w:jc w:val="right"/>
              <w:rPr>
                <w:sz w:val="16"/>
              </w:rPr>
            </w:pPr>
            <w:r>
              <w:rPr>
                <w:spacing w:val="-5"/>
                <w:w w:val="105"/>
                <w:sz w:val="16"/>
              </w:rPr>
              <w:t>46</w:t>
            </w:r>
          </w:p>
        </w:tc>
        <w:tc>
          <w:tcPr>
            <w:tcW w:w="660" w:type="dxa"/>
            <w:tcBorders>
              <w:bottom w:val="single" w:sz="6" w:space="0" w:color="000000"/>
            </w:tcBorders>
            <w:shd w:val="clear" w:color="auto" w:fill="CCEDFF"/>
          </w:tcPr>
          <w:p>
            <w:pPr>
              <w:pStyle w:val="TableParagraph"/>
              <w:rPr>
                <w:sz w:val="14"/>
              </w:rPr>
            </w:pPr>
          </w:p>
        </w:tc>
        <w:tc>
          <w:tcPr>
            <w:tcW w:w="1033" w:type="dxa"/>
            <w:tcBorders>
              <w:bottom w:val="single" w:sz="6" w:space="0" w:color="000000"/>
            </w:tcBorders>
            <w:shd w:val="clear" w:color="auto" w:fill="CCEDFF"/>
          </w:tcPr>
          <w:p>
            <w:pPr>
              <w:pStyle w:val="TableParagraph"/>
              <w:spacing w:line="179" w:lineRule="exact" w:before="3"/>
              <w:ind w:right="59"/>
              <w:jc w:val="right"/>
              <w:rPr>
                <w:sz w:val="16"/>
              </w:rPr>
            </w:pPr>
            <w:r>
              <w:rPr>
                <w:spacing w:val="-4"/>
                <w:w w:val="105"/>
                <w:sz w:val="16"/>
              </w:rPr>
              <w:t>(20)</w:t>
            </w:r>
          </w:p>
        </w:tc>
      </w:tr>
      <w:tr>
        <w:trPr>
          <w:trHeight w:val="201" w:hRule="atLeast"/>
        </w:trPr>
        <w:tc>
          <w:tcPr>
            <w:tcW w:w="6131" w:type="dxa"/>
          </w:tcPr>
          <w:p>
            <w:pPr>
              <w:pStyle w:val="TableParagraph"/>
              <w:spacing w:line="166" w:lineRule="exact" w:before="15"/>
              <w:rPr>
                <w:b/>
                <w:sz w:val="16"/>
              </w:rPr>
            </w:pPr>
            <w:r>
              <w:rPr>
                <w:b/>
                <w:w w:val="105"/>
                <w:sz w:val="16"/>
              </w:rPr>
              <w:t>Net</w:t>
            </w:r>
            <w:r>
              <w:rPr>
                <w:b/>
                <w:spacing w:val="-11"/>
                <w:w w:val="105"/>
                <w:sz w:val="16"/>
              </w:rPr>
              <w:t> </w:t>
            </w:r>
            <w:r>
              <w:rPr>
                <w:b/>
                <w:w w:val="105"/>
                <w:sz w:val="16"/>
              </w:rPr>
              <w:t>cash</w:t>
            </w:r>
            <w:r>
              <w:rPr>
                <w:b/>
                <w:spacing w:val="-9"/>
                <w:w w:val="105"/>
                <w:sz w:val="16"/>
              </w:rPr>
              <w:t> </w:t>
            </w:r>
            <w:r>
              <w:rPr>
                <w:b/>
                <w:w w:val="105"/>
                <w:sz w:val="16"/>
              </w:rPr>
              <w:t>used</w:t>
            </w:r>
            <w:r>
              <w:rPr>
                <w:b/>
                <w:spacing w:val="-9"/>
                <w:w w:val="105"/>
                <w:sz w:val="16"/>
              </w:rPr>
              <w:t> </w:t>
            </w:r>
            <w:r>
              <w:rPr>
                <w:b/>
                <w:w w:val="105"/>
                <w:sz w:val="16"/>
              </w:rPr>
              <w:t>in</w:t>
            </w:r>
            <w:r>
              <w:rPr>
                <w:b/>
                <w:spacing w:val="-9"/>
                <w:w w:val="105"/>
                <w:sz w:val="16"/>
              </w:rPr>
              <w:t> </w:t>
            </w:r>
            <w:r>
              <w:rPr>
                <w:b/>
                <w:w w:val="105"/>
                <w:sz w:val="16"/>
              </w:rPr>
              <w:t>investing</w:t>
            </w:r>
            <w:r>
              <w:rPr>
                <w:b/>
                <w:spacing w:val="-8"/>
                <w:w w:val="105"/>
                <w:sz w:val="16"/>
              </w:rPr>
              <w:t> </w:t>
            </w:r>
            <w:r>
              <w:rPr>
                <w:b/>
                <w:spacing w:val="-2"/>
                <w:w w:val="105"/>
                <w:sz w:val="16"/>
              </w:rPr>
              <w:t>activities</w:t>
            </w:r>
          </w:p>
        </w:tc>
        <w:tc>
          <w:tcPr>
            <w:tcW w:w="912" w:type="dxa"/>
            <w:tcBorders>
              <w:top w:val="single" w:sz="6" w:space="0" w:color="000000"/>
              <w:bottom w:val="single" w:sz="6" w:space="0" w:color="000000"/>
            </w:tcBorders>
          </w:tcPr>
          <w:p>
            <w:pPr>
              <w:pStyle w:val="TableParagraph"/>
              <w:rPr>
                <w:sz w:val="14"/>
              </w:rPr>
            </w:pPr>
          </w:p>
        </w:tc>
        <w:tc>
          <w:tcPr>
            <w:tcW w:w="1060" w:type="dxa"/>
            <w:tcBorders>
              <w:top w:val="single" w:sz="6" w:space="0" w:color="000000"/>
              <w:bottom w:val="single" w:sz="6" w:space="0" w:color="000000"/>
            </w:tcBorders>
          </w:tcPr>
          <w:p>
            <w:pPr>
              <w:pStyle w:val="TableParagraph"/>
              <w:spacing w:line="179" w:lineRule="exact" w:before="2"/>
              <w:ind w:right="84"/>
              <w:jc w:val="right"/>
              <w:rPr>
                <w:b/>
                <w:sz w:val="16"/>
              </w:rPr>
            </w:pPr>
            <w:r>
              <w:rPr>
                <w:b/>
                <w:spacing w:val="-2"/>
                <w:w w:val="105"/>
                <w:sz w:val="16"/>
              </w:rPr>
              <w:t>(1,419)</w:t>
            </w:r>
          </w:p>
        </w:tc>
        <w:tc>
          <w:tcPr>
            <w:tcW w:w="660" w:type="dxa"/>
            <w:tcBorders>
              <w:top w:val="single" w:sz="6" w:space="0" w:color="000000"/>
              <w:bottom w:val="single" w:sz="6" w:space="0" w:color="000000"/>
            </w:tcBorders>
          </w:tcPr>
          <w:p>
            <w:pPr>
              <w:pStyle w:val="TableParagraph"/>
              <w:rPr>
                <w:sz w:val="14"/>
              </w:rPr>
            </w:pPr>
          </w:p>
        </w:tc>
        <w:tc>
          <w:tcPr>
            <w:tcW w:w="1060" w:type="dxa"/>
            <w:tcBorders>
              <w:top w:val="single" w:sz="6" w:space="0" w:color="000000"/>
              <w:bottom w:val="single" w:sz="6" w:space="0" w:color="000000"/>
            </w:tcBorders>
          </w:tcPr>
          <w:p>
            <w:pPr>
              <w:pStyle w:val="TableParagraph"/>
              <w:spacing w:line="179" w:lineRule="exact" w:before="2"/>
              <w:ind w:right="84"/>
              <w:jc w:val="right"/>
              <w:rPr>
                <w:sz w:val="16"/>
              </w:rPr>
            </w:pPr>
            <w:r>
              <w:rPr>
                <w:spacing w:val="-2"/>
                <w:w w:val="105"/>
                <w:sz w:val="16"/>
              </w:rPr>
              <w:t>(1,310)</w:t>
            </w:r>
          </w:p>
        </w:tc>
        <w:tc>
          <w:tcPr>
            <w:tcW w:w="660" w:type="dxa"/>
            <w:tcBorders>
              <w:top w:val="single" w:sz="6" w:space="0" w:color="000000"/>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spacing w:line="179" w:lineRule="exact" w:before="2"/>
              <w:ind w:right="59"/>
              <w:jc w:val="right"/>
              <w:rPr>
                <w:sz w:val="16"/>
              </w:rPr>
            </w:pPr>
            <w:r>
              <w:rPr>
                <w:spacing w:val="-2"/>
                <w:w w:val="105"/>
                <w:sz w:val="16"/>
              </w:rPr>
              <w:t>(1,891)</w:t>
            </w:r>
          </w:p>
        </w:tc>
      </w:tr>
      <w:tr>
        <w:trPr>
          <w:trHeight w:val="202" w:hRule="atLeast"/>
        </w:trPr>
        <w:tc>
          <w:tcPr>
            <w:tcW w:w="6131" w:type="dxa"/>
            <w:shd w:val="clear" w:color="auto" w:fill="CCEDFF"/>
          </w:tcPr>
          <w:p>
            <w:pPr>
              <w:pStyle w:val="TableParagraph"/>
              <w:rPr>
                <w:sz w:val="14"/>
              </w:rPr>
            </w:pPr>
          </w:p>
        </w:tc>
        <w:tc>
          <w:tcPr>
            <w:tcW w:w="912" w:type="dxa"/>
            <w:tcBorders>
              <w:top w:val="single" w:sz="6" w:space="0" w:color="000000"/>
            </w:tcBorders>
            <w:shd w:val="clear" w:color="auto" w:fill="CCEDFF"/>
          </w:tcPr>
          <w:p>
            <w:pPr>
              <w:pStyle w:val="TableParagraph"/>
              <w:rPr>
                <w:sz w:val="14"/>
              </w:rPr>
            </w:pPr>
          </w:p>
        </w:tc>
        <w:tc>
          <w:tcPr>
            <w:tcW w:w="1060" w:type="dxa"/>
            <w:tcBorders>
              <w:top w:val="single" w:sz="6" w:space="0" w:color="000000"/>
            </w:tcBorders>
            <w:shd w:val="clear" w:color="auto" w:fill="CCEDFF"/>
          </w:tcPr>
          <w:p>
            <w:pPr>
              <w:pStyle w:val="TableParagraph"/>
              <w:rPr>
                <w:sz w:val="14"/>
              </w:rPr>
            </w:pPr>
          </w:p>
        </w:tc>
        <w:tc>
          <w:tcPr>
            <w:tcW w:w="660" w:type="dxa"/>
            <w:tcBorders>
              <w:top w:val="single" w:sz="6" w:space="0" w:color="000000"/>
            </w:tcBorders>
            <w:shd w:val="clear" w:color="auto" w:fill="CCEDFF"/>
          </w:tcPr>
          <w:p>
            <w:pPr>
              <w:pStyle w:val="TableParagraph"/>
              <w:rPr>
                <w:sz w:val="14"/>
              </w:rPr>
            </w:pPr>
          </w:p>
        </w:tc>
        <w:tc>
          <w:tcPr>
            <w:tcW w:w="1060" w:type="dxa"/>
            <w:tcBorders>
              <w:top w:val="single" w:sz="6" w:space="0" w:color="000000"/>
            </w:tcBorders>
            <w:shd w:val="clear" w:color="auto" w:fill="CCEDFF"/>
          </w:tcPr>
          <w:p>
            <w:pPr>
              <w:pStyle w:val="TableParagraph"/>
              <w:rPr>
                <w:sz w:val="14"/>
              </w:rPr>
            </w:pPr>
          </w:p>
        </w:tc>
        <w:tc>
          <w:tcPr>
            <w:tcW w:w="660" w:type="dxa"/>
            <w:tcBorders>
              <w:top w:val="single" w:sz="6" w:space="0" w:color="000000"/>
            </w:tcBorders>
            <w:shd w:val="clear" w:color="auto" w:fill="CCEDFF"/>
          </w:tcPr>
          <w:p>
            <w:pPr>
              <w:pStyle w:val="TableParagraph"/>
              <w:rPr>
                <w:sz w:val="14"/>
              </w:rPr>
            </w:pPr>
          </w:p>
        </w:tc>
        <w:tc>
          <w:tcPr>
            <w:tcW w:w="1033" w:type="dxa"/>
            <w:tcBorders>
              <w:top w:val="single" w:sz="6" w:space="0" w:color="000000"/>
            </w:tcBorders>
            <w:shd w:val="clear" w:color="auto" w:fill="CCEDFF"/>
          </w:tcPr>
          <w:p>
            <w:pPr>
              <w:pStyle w:val="TableParagraph"/>
              <w:rPr>
                <w:sz w:val="14"/>
              </w:rPr>
            </w:pPr>
          </w:p>
        </w:tc>
      </w:tr>
      <w:tr>
        <w:trPr>
          <w:trHeight w:val="203" w:hRule="atLeast"/>
        </w:trPr>
        <w:tc>
          <w:tcPr>
            <w:tcW w:w="6131" w:type="dxa"/>
          </w:tcPr>
          <w:p>
            <w:pPr>
              <w:pStyle w:val="TableParagraph"/>
              <w:spacing w:line="180" w:lineRule="exact" w:before="3"/>
              <w:rPr>
                <w:b/>
                <w:sz w:val="16"/>
              </w:rPr>
            </w:pPr>
            <w:r>
              <w:rPr>
                <w:b/>
                <w:spacing w:val="-2"/>
                <w:w w:val="105"/>
                <w:sz w:val="16"/>
              </w:rPr>
              <w:t>Cash</w:t>
            </w:r>
            <w:r>
              <w:rPr>
                <w:b/>
                <w:spacing w:val="-1"/>
                <w:w w:val="105"/>
                <w:sz w:val="16"/>
              </w:rPr>
              <w:t> </w:t>
            </w:r>
            <w:r>
              <w:rPr>
                <w:b/>
                <w:spacing w:val="-2"/>
                <w:w w:val="105"/>
                <w:sz w:val="16"/>
              </w:rPr>
              <w:t>Flows</w:t>
            </w:r>
            <w:r>
              <w:rPr>
                <w:b/>
                <w:spacing w:val="-1"/>
                <w:w w:val="105"/>
                <w:sz w:val="16"/>
              </w:rPr>
              <w:t> </w:t>
            </w:r>
            <w:r>
              <w:rPr>
                <w:b/>
                <w:spacing w:val="-2"/>
                <w:w w:val="105"/>
                <w:sz w:val="16"/>
              </w:rPr>
              <w:t>from</w:t>
            </w:r>
            <w:r>
              <w:rPr>
                <w:b/>
                <w:w w:val="105"/>
                <w:sz w:val="16"/>
              </w:rPr>
              <w:t> </w:t>
            </w:r>
            <w:r>
              <w:rPr>
                <w:b/>
                <w:spacing w:val="-2"/>
                <w:w w:val="105"/>
                <w:sz w:val="16"/>
              </w:rPr>
              <w:t>Financing</w:t>
            </w:r>
            <w:r>
              <w:rPr>
                <w:b/>
                <w:spacing w:val="-1"/>
                <w:w w:val="105"/>
                <w:sz w:val="16"/>
              </w:rPr>
              <w:t> </w:t>
            </w:r>
            <w:r>
              <w:rPr>
                <w:b/>
                <w:spacing w:val="-2"/>
                <w:w w:val="105"/>
                <w:sz w:val="16"/>
              </w:rPr>
              <w:t>Activities:</w:t>
            </w:r>
          </w:p>
        </w:tc>
        <w:tc>
          <w:tcPr>
            <w:tcW w:w="912"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33" w:type="dxa"/>
          </w:tcPr>
          <w:p>
            <w:pPr>
              <w:pStyle w:val="TableParagraph"/>
              <w:rPr>
                <w:sz w:val="14"/>
              </w:rPr>
            </w:pPr>
          </w:p>
        </w:tc>
      </w:tr>
      <w:tr>
        <w:trPr>
          <w:trHeight w:val="203" w:hRule="atLeast"/>
        </w:trPr>
        <w:tc>
          <w:tcPr>
            <w:tcW w:w="6131" w:type="dxa"/>
            <w:shd w:val="clear" w:color="auto" w:fill="CCEDFF"/>
          </w:tcPr>
          <w:p>
            <w:pPr>
              <w:pStyle w:val="TableParagraph"/>
              <w:spacing w:line="180" w:lineRule="exact" w:before="3"/>
              <w:ind w:left="152"/>
              <w:rPr>
                <w:sz w:val="16"/>
              </w:rPr>
            </w:pPr>
            <w:r>
              <w:rPr>
                <w:sz w:val="16"/>
              </w:rPr>
              <w:t>Repayments</w:t>
            </w:r>
            <w:r>
              <w:rPr>
                <w:spacing w:val="13"/>
                <w:sz w:val="16"/>
              </w:rPr>
              <w:t> </w:t>
            </w:r>
            <w:r>
              <w:rPr>
                <w:sz w:val="16"/>
              </w:rPr>
              <w:t>of</w:t>
            </w:r>
            <w:r>
              <w:rPr>
                <w:spacing w:val="14"/>
                <w:sz w:val="16"/>
              </w:rPr>
              <w:t> </w:t>
            </w:r>
            <w:r>
              <w:rPr>
                <w:sz w:val="16"/>
              </w:rPr>
              <w:t>short-term</w:t>
            </w:r>
            <w:r>
              <w:rPr>
                <w:spacing w:val="14"/>
                <w:sz w:val="16"/>
              </w:rPr>
              <w:t> </w:t>
            </w:r>
            <w:r>
              <w:rPr>
                <w:spacing w:val="-2"/>
                <w:sz w:val="16"/>
              </w:rPr>
              <w:t>borrowings</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b/>
                <w:sz w:val="16"/>
              </w:rPr>
            </w:pPr>
            <w:r>
              <w:rPr>
                <w:b/>
                <w:spacing w:val="-2"/>
                <w:w w:val="105"/>
                <w:sz w:val="16"/>
              </w:rPr>
              <w:t>(144)</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sz w:val="16"/>
              </w:rPr>
            </w:pPr>
            <w:r>
              <w:rPr>
                <w:spacing w:val="-2"/>
                <w:w w:val="105"/>
                <w:sz w:val="16"/>
              </w:rPr>
              <w:t>(100)</w:t>
            </w:r>
          </w:p>
        </w:tc>
        <w:tc>
          <w:tcPr>
            <w:tcW w:w="660" w:type="dxa"/>
            <w:shd w:val="clear" w:color="auto" w:fill="CCEDFF"/>
          </w:tcPr>
          <w:p>
            <w:pPr>
              <w:pStyle w:val="TableParagraph"/>
              <w:rPr>
                <w:sz w:val="14"/>
              </w:rPr>
            </w:pPr>
          </w:p>
        </w:tc>
        <w:tc>
          <w:tcPr>
            <w:tcW w:w="1033" w:type="dxa"/>
            <w:shd w:val="clear" w:color="auto" w:fill="CCEDFF"/>
          </w:tcPr>
          <w:p>
            <w:pPr>
              <w:pStyle w:val="TableParagraph"/>
              <w:rPr>
                <w:sz w:val="14"/>
              </w:rPr>
            </w:pPr>
          </w:p>
        </w:tc>
      </w:tr>
      <w:tr>
        <w:trPr>
          <w:trHeight w:val="203" w:hRule="atLeast"/>
        </w:trPr>
        <w:tc>
          <w:tcPr>
            <w:tcW w:w="6131" w:type="dxa"/>
          </w:tcPr>
          <w:p>
            <w:pPr>
              <w:pStyle w:val="TableParagraph"/>
              <w:spacing w:line="180" w:lineRule="exact" w:before="3"/>
              <w:ind w:left="152"/>
              <w:rPr>
                <w:sz w:val="16"/>
              </w:rPr>
            </w:pPr>
            <w:r>
              <w:rPr>
                <w:sz w:val="16"/>
              </w:rPr>
              <w:t>Repayments</w:t>
            </w:r>
            <w:r>
              <w:rPr>
                <w:spacing w:val="13"/>
                <w:sz w:val="16"/>
              </w:rPr>
              <w:t> </w:t>
            </w:r>
            <w:r>
              <w:rPr>
                <w:sz w:val="16"/>
              </w:rPr>
              <w:t>of</w:t>
            </w:r>
            <w:r>
              <w:rPr>
                <w:spacing w:val="14"/>
                <w:sz w:val="16"/>
              </w:rPr>
              <w:t> </w:t>
            </w:r>
            <w:r>
              <w:rPr>
                <w:sz w:val="16"/>
              </w:rPr>
              <w:t>long-term</w:t>
            </w:r>
            <w:r>
              <w:rPr>
                <w:spacing w:val="13"/>
                <w:sz w:val="16"/>
              </w:rPr>
              <w:t> </w:t>
            </w:r>
            <w:r>
              <w:rPr>
                <w:spacing w:val="-4"/>
                <w:sz w:val="16"/>
              </w:rPr>
              <w:t>debt</w:t>
            </w:r>
          </w:p>
        </w:tc>
        <w:tc>
          <w:tcPr>
            <w:tcW w:w="912" w:type="dxa"/>
          </w:tcPr>
          <w:p>
            <w:pPr>
              <w:pStyle w:val="TableParagraph"/>
              <w:rPr>
                <w:sz w:val="14"/>
              </w:rPr>
            </w:pPr>
          </w:p>
        </w:tc>
        <w:tc>
          <w:tcPr>
            <w:tcW w:w="1060" w:type="dxa"/>
          </w:tcPr>
          <w:p>
            <w:pPr>
              <w:pStyle w:val="TableParagraph"/>
              <w:spacing w:line="180" w:lineRule="exact" w:before="3"/>
              <w:ind w:right="84"/>
              <w:jc w:val="right"/>
              <w:rPr>
                <w:b/>
                <w:sz w:val="16"/>
              </w:rPr>
            </w:pPr>
            <w:r>
              <w:rPr>
                <w:b/>
                <w:spacing w:val="-2"/>
                <w:w w:val="105"/>
                <w:sz w:val="16"/>
              </w:rPr>
              <w:t>(716)</w:t>
            </w:r>
          </w:p>
        </w:tc>
        <w:tc>
          <w:tcPr>
            <w:tcW w:w="660" w:type="dxa"/>
          </w:tcPr>
          <w:p>
            <w:pPr>
              <w:pStyle w:val="TableParagraph"/>
              <w:rPr>
                <w:sz w:val="14"/>
              </w:rPr>
            </w:pPr>
          </w:p>
        </w:tc>
        <w:tc>
          <w:tcPr>
            <w:tcW w:w="1060" w:type="dxa"/>
          </w:tcPr>
          <w:p>
            <w:pPr>
              <w:pStyle w:val="TableParagraph"/>
              <w:spacing w:line="180" w:lineRule="exact" w:before="3"/>
              <w:ind w:right="84"/>
              <w:jc w:val="right"/>
              <w:rPr>
                <w:sz w:val="16"/>
              </w:rPr>
            </w:pPr>
            <w:r>
              <w:rPr>
                <w:spacing w:val="-2"/>
                <w:w w:val="105"/>
                <w:sz w:val="16"/>
              </w:rPr>
              <w:t>(121)</w:t>
            </w:r>
          </w:p>
        </w:tc>
        <w:tc>
          <w:tcPr>
            <w:tcW w:w="660" w:type="dxa"/>
          </w:tcPr>
          <w:p>
            <w:pPr>
              <w:pStyle w:val="TableParagraph"/>
              <w:rPr>
                <w:sz w:val="14"/>
              </w:rPr>
            </w:pPr>
          </w:p>
        </w:tc>
        <w:tc>
          <w:tcPr>
            <w:tcW w:w="1033" w:type="dxa"/>
          </w:tcPr>
          <w:p>
            <w:pPr>
              <w:pStyle w:val="TableParagraph"/>
              <w:spacing w:line="180" w:lineRule="exact" w:before="3"/>
              <w:ind w:right="59"/>
              <w:jc w:val="right"/>
              <w:rPr>
                <w:sz w:val="16"/>
              </w:rPr>
            </w:pPr>
            <w:r>
              <w:rPr>
                <w:spacing w:val="-2"/>
                <w:w w:val="105"/>
                <w:sz w:val="16"/>
              </w:rPr>
              <w:t>(300)</w:t>
            </w:r>
          </w:p>
        </w:tc>
      </w:tr>
      <w:tr>
        <w:trPr>
          <w:trHeight w:val="203" w:hRule="atLeast"/>
        </w:trPr>
        <w:tc>
          <w:tcPr>
            <w:tcW w:w="6131" w:type="dxa"/>
            <w:shd w:val="clear" w:color="auto" w:fill="CCEDFF"/>
          </w:tcPr>
          <w:p>
            <w:pPr>
              <w:pStyle w:val="TableParagraph"/>
              <w:spacing w:line="180" w:lineRule="exact" w:before="3"/>
              <w:ind w:left="152"/>
              <w:rPr>
                <w:sz w:val="16"/>
              </w:rPr>
            </w:pPr>
            <w:r>
              <w:rPr>
                <w:spacing w:val="-2"/>
                <w:w w:val="105"/>
                <w:sz w:val="16"/>
              </w:rPr>
              <w:t>Proceeds</w:t>
            </w:r>
            <w:r>
              <w:rPr>
                <w:spacing w:val="1"/>
                <w:w w:val="105"/>
                <w:sz w:val="16"/>
              </w:rPr>
              <w:t> </w:t>
            </w:r>
            <w:r>
              <w:rPr>
                <w:spacing w:val="-2"/>
                <w:w w:val="105"/>
                <w:sz w:val="16"/>
              </w:rPr>
              <w:t>from</w:t>
            </w:r>
            <w:r>
              <w:rPr>
                <w:spacing w:val="2"/>
                <w:w w:val="105"/>
                <w:sz w:val="16"/>
              </w:rPr>
              <w:t> </w:t>
            </w:r>
            <w:r>
              <w:rPr>
                <w:spacing w:val="-2"/>
                <w:w w:val="105"/>
                <w:sz w:val="16"/>
              </w:rPr>
              <w:t>issuance</w:t>
            </w:r>
            <w:r>
              <w:rPr>
                <w:spacing w:val="1"/>
                <w:w w:val="105"/>
                <w:sz w:val="16"/>
              </w:rPr>
              <w:t> </w:t>
            </w:r>
            <w:r>
              <w:rPr>
                <w:spacing w:val="-2"/>
                <w:w w:val="105"/>
                <w:sz w:val="16"/>
              </w:rPr>
              <w:t>of</w:t>
            </w:r>
            <w:r>
              <w:rPr>
                <w:spacing w:val="2"/>
                <w:w w:val="105"/>
                <w:sz w:val="16"/>
              </w:rPr>
              <w:t> </w:t>
            </w:r>
            <w:r>
              <w:rPr>
                <w:spacing w:val="-2"/>
                <w:w w:val="105"/>
                <w:sz w:val="16"/>
              </w:rPr>
              <w:t>long-term</w:t>
            </w:r>
            <w:r>
              <w:rPr>
                <w:spacing w:val="2"/>
                <w:w w:val="105"/>
                <w:sz w:val="16"/>
              </w:rPr>
              <w:t> </w:t>
            </w:r>
            <w:r>
              <w:rPr>
                <w:spacing w:val="-4"/>
                <w:w w:val="105"/>
                <w:sz w:val="16"/>
              </w:rPr>
              <w:t>debt</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b/>
                <w:sz w:val="16"/>
              </w:rPr>
            </w:pPr>
            <w:r>
              <w:rPr>
                <w:b/>
                <w:spacing w:val="-5"/>
                <w:w w:val="105"/>
                <w:sz w:val="16"/>
              </w:rPr>
              <w:t>22</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139"/>
              <w:jc w:val="right"/>
              <w:rPr>
                <w:sz w:val="16"/>
              </w:rPr>
            </w:pPr>
            <w:r>
              <w:rPr>
                <w:spacing w:val="-5"/>
                <w:w w:val="105"/>
                <w:sz w:val="16"/>
              </w:rPr>
              <w:t>243</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113"/>
              <w:jc w:val="right"/>
              <w:rPr>
                <w:sz w:val="16"/>
              </w:rPr>
            </w:pPr>
            <w:r>
              <w:rPr>
                <w:spacing w:val="-4"/>
                <w:w w:val="105"/>
                <w:sz w:val="16"/>
              </w:rPr>
              <w:t>1,831</w:t>
            </w:r>
          </w:p>
        </w:tc>
      </w:tr>
      <w:tr>
        <w:trPr>
          <w:trHeight w:val="203" w:hRule="atLeast"/>
        </w:trPr>
        <w:tc>
          <w:tcPr>
            <w:tcW w:w="6131" w:type="dxa"/>
          </w:tcPr>
          <w:p>
            <w:pPr>
              <w:pStyle w:val="TableParagraph"/>
              <w:spacing w:line="180" w:lineRule="exact" w:before="3"/>
              <w:ind w:left="152"/>
              <w:rPr>
                <w:sz w:val="16"/>
              </w:rPr>
            </w:pPr>
            <w:r>
              <w:rPr>
                <w:w w:val="105"/>
                <w:sz w:val="16"/>
              </w:rPr>
              <w:t>Payment</w:t>
            </w:r>
            <w:r>
              <w:rPr>
                <w:spacing w:val="-10"/>
                <w:w w:val="105"/>
                <w:sz w:val="16"/>
              </w:rPr>
              <w:t> </w:t>
            </w:r>
            <w:r>
              <w:rPr>
                <w:w w:val="105"/>
                <w:sz w:val="16"/>
              </w:rPr>
              <w:t>for</w:t>
            </w:r>
            <w:r>
              <w:rPr>
                <w:spacing w:val="-9"/>
                <w:w w:val="105"/>
                <w:sz w:val="16"/>
              </w:rPr>
              <w:t> </w:t>
            </w:r>
            <w:r>
              <w:rPr>
                <w:w w:val="105"/>
                <w:sz w:val="16"/>
              </w:rPr>
              <w:t>redemption</w:t>
            </w:r>
            <w:r>
              <w:rPr>
                <w:spacing w:val="-10"/>
                <w:w w:val="105"/>
                <w:sz w:val="16"/>
              </w:rPr>
              <w:t> </w:t>
            </w:r>
            <w:r>
              <w:rPr>
                <w:w w:val="105"/>
                <w:sz w:val="16"/>
              </w:rPr>
              <w:t>of</w:t>
            </w:r>
            <w:r>
              <w:rPr>
                <w:spacing w:val="-9"/>
                <w:w w:val="105"/>
                <w:sz w:val="16"/>
              </w:rPr>
              <w:t> </w:t>
            </w:r>
            <w:r>
              <w:rPr>
                <w:w w:val="105"/>
                <w:sz w:val="16"/>
              </w:rPr>
              <w:t>preferred</w:t>
            </w:r>
            <w:r>
              <w:rPr>
                <w:spacing w:val="-9"/>
                <w:w w:val="105"/>
                <w:sz w:val="16"/>
              </w:rPr>
              <w:t> </w:t>
            </w:r>
            <w:r>
              <w:rPr>
                <w:spacing w:val="-2"/>
                <w:w w:val="105"/>
                <w:sz w:val="16"/>
              </w:rPr>
              <w:t>stock</w:t>
            </w:r>
          </w:p>
        </w:tc>
        <w:tc>
          <w:tcPr>
            <w:tcW w:w="912" w:type="dxa"/>
          </w:tcPr>
          <w:p>
            <w:pPr>
              <w:pStyle w:val="TableParagraph"/>
              <w:rPr>
                <w:sz w:val="14"/>
              </w:rPr>
            </w:pPr>
          </w:p>
        </w:tc>
        <w:tc>
          <w:tcPr>
            <w:tcW w:w="1060" w:type="dxa"/>
          </w:tcPr>
          <w:p>
            <w:pPr>
              <w:pStyle w:val="TableParagraph"/>
              <w:spacing w:line="180" w:lineRule="exact" w:before="3"/>
              <w:ind w:right="84"/>
              <w:jc w:val="right"/>
              <w:rPr>
                <w:b/>
                <w:sz w:val="16"/>
              </w:rPr>
            </w:pPr>
            <w:r>
              <w:rPr>
                <w:b/>
                <w:spacing w:val="-2"/>
                <w:w w:val="105"/>
                <w:sz w:val="16"/>
              </w:rPr>
              <w:t>(507)</w:t>
            </w:r>
          </w:p>
        </w:tc>
        <w:tc>
          <w:tcPr>
            <w:tcW w:w="660"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33" w:type="dxa"/>
          </w:tcPr>
          <w:p>
            <w:pPr>
              <w:pStyle w:val="TableParagraph"/>
              <w:rPr>
                <w:sz w:val="14"/>
              </w:rPr>
            </w:pPr>
          </w:p>
        </w:tc>
      </w:tr>
      <w:tr>
        <w:trPr>
          <w:trHeight w:val="203" w:hRule="atLeast"/>
        </w:trPr>
        <w:tc>
          <w:tcPr>
            <w:tcW w:w="6131" w:type="dxa"/>
            <w:shd w:val="clear" w:color="auto" w:fill="CCEDFF"/>
          </w:tcPr>
          <w:p>
            <w:pPr>
              <w:pStyle w:val="TableParagraph"/>
              <w:spacing w:line="180" w:lineRule="exact" w:before="3"/>
              <w:ind w:left="152"/>
              <w:rPr>
                <w:sz w:val="16"/>
              </w:rPr>
            </w:pPr>
            <w:r>
              <w:rPr>
                <w:w w:val="105"/>
                <w:sz w:val="16"/>
              </w:rPr>
              <w:t>Payments</w:t>
            </w:r>
            <w:r>
              <w:rPr>
                <w:spacing w:val="-11"/>
                <w:w w:val="105"/>
                <w:sz w:val="16"/>
              </w:rPr>
              <w:t> </w:t>
            </w:r>
            <w:r>
              <w:rPr>
                <w:w w:val="105"/>
                <w:sz w:val="16"/>
              </w:rPr>
              <w:t>of</w:t>
            </w:r>
            <w:r>
              <w:rPr>
                <w:spacing w:val="-10"/>
                <w:w w:val="105"/>
                <w:sz w:val="16"/>
              </w:rPr>
              <w:t> </w:t>
            </w:r>
            <w:r>
              <w:rPr>
                <w:w w:val="105"/>
                <w:sz w:val="16"/>
              </w:rPr>
              <w:t>employee</w:t>
            </w:r>
            <w:r>
              <w:rPr>
                <w:spacing w:val="-10"/>
                <w:w w:val="105"/>
                <w:sz w:val="16"/>
              </w:rPr>
              <w:t> </w:t>
            </w:r>
            <w:r>
              <w:rPr>
                <w:w w:val="105"/>
                <w:sz w:val="16"/>
              </w:rPr>
              <w:t>withholding</w:t>
            </w:r>
            <w:r>
              <w:rPr>
                <w:spacing w:val="-8"/>
                <w:w w:val="105"/>
                <w:sz w:val="16"/>
              </w:rPr>
              <w:t> </w:t>
            </w:r>
            <w:r>
              <w:rPr>
                <w:w w:val="105"/>
                <w:sz w:val="16"/>
              </w:rPr>
              <w:t>tax</w:t>
            </w:r>
            <w:r>
              <w:rPr>
                <w:spacing w:val="-10"/>
                <w:w w:val="105"/>
                <w:sz w:val="16"/>
              </w:rPr>
              <w:t> </w:t>
            </w:r>
            <w:r>
              <w:rPr>
                <w:w w:val="105"/>
                <w:sz w:val="16"/>
              </w:rPr>
              <w:t>on</w:t>
            </w:r>
            <w:r>
              <w:rPr>
                <w:spacing w:val="-10"/>
                <w:w w:val="105"/>
                <w:sz w:val="16"/>
              </w:rPr>
              <w:t> </w:t>
            </w:r>
            <w:r>
              <w:rPr>
                <w:w w:val="105"/>
                <w:sz w:val="16"/>
              </w:rPr>
              <w:t>stock</w:t>
            </w:r>
            <w:r>
              <w:rPr>
                <w:spacing w:val="-10"/>
                <w:w w:val="105"/>
                <w:sz w:val="16"/>
              </w:rPr>
              <w:t> </w:t>
            </w:r>
            <w:r>
              <w:rPr>
                <w:spacing w:val="-2"/>
                <w:w w:val="105"/>
                <w:sz w:val="16"/>
              </w:rPr>
              <w:t>awards</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b/>
                <w:sz w:val="16"/>
              </w:rPr>
            </w:pPr>
            <w:r>
              <w:rPr>
                <w:b/>
                <w:spacing w:val="-4"/>
                <w:w w:val="105"/>
                <w:sz w:val="16"/>
              </w:rPr>
              <w:t>(61)</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sz w:val="16"/>
              </w:rPr>
            </w:pPr>
            <w:r>
              <w:rPr>
                <w:spacing w:val="-4"/>
                <w:w w:val="105"/>
                <w:sz w:val="16"/>
              </w:rPr>
              <w:t>(11)</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59"/>
              <w:jc w:val="right"/>
              <w:rPr>
                <w:sz w:val="16"/>
              </w:rPr>
            </w:pPr>
            <w:r>
              <w:rPr>
                <w:spacing w:val="-4"/>
                <w:w w:val="105"/>
                <w:sz w:val="16"/>
              </w:rPr>
              <w:t>(17)</w:t>
            </w:r>
          </w:p>
        </w:tc>
      </w:tr>
      <w:tr>
        <w:trPr>
          <w:trHeight w:val="203" w:hRule="atLeast"/>
        </w:trPr>
        <w:tc>
          <w:tcPr>
            <w:tcW w:w="6131" w:type="dxa"/>
          </w:tcPr>
          <w:p>
            <w:pPr>
              <w:pStyle w:val="TableParagraph"/>
              <w:spacing w:line="180" w:lineRule="exact" w:before="3"/>
              <w:ind w:left="152"/>
              <w:rPr>
                <w:sz w:val="16"/>
              </w:rPr>
            </w:pPr>
            <w:r>
              <w:rPr>
                <w:w w:val="105"/>
                <w:sz w:val="16"/>
              </w:rPr>
              <w:t>Proceeds</w:t>
            </w:r>
            <w:r>
              <w:rPr>
                <w:spacing w:val="-10"/>
                <w:w w:val="105"/>
                <w:sz w:val="16"/>
              </w:rPr>
              <w:t> </w:t>
            </w:r>
            <w:r>
              <w:rPr>
                <w:w w:val="105"/>
                <w:sz w:val="16"/>
              </w:rPr>
              <w:t>from</w:t>
            </w:r>
            <w:r>
              <w:rPr>
                <w:spacing w:val="-10"/>
                <w:w w:val="105"/>
                <w:sz w:val="16"/>
              </w:rPr>
              <w:t> </w:t>
            </w:r>
            <w:r>
              <w:rPr>
                <w:w w:val="105"/>
                <w:sz w:val="16"/>
              </w:rPr>
              <w:t>exercise</w:t>
            </w:r>
            <w:r>
              <w:rPr>
                <w:spacing w:val="-9"/>
                <w:w w:val="105"/>
                <w:sz w:val="16"/>
              </w:rPr>
              <w:t> </w:t>
            </w:r>
            <w:r>
              <w:rPr>
                <w:w w:val="105"/>
                <w:sz w:val="16"/>
              </w:rPr>
              <w:t>of</w:t>
            </w:r>
            <w:r>
              <w:rPr>
                <w:spacing w:val="-10"/>
                <w:w w:val="105"/>
                <w:sz w:val="16"/>
              </w:rPr>
              <w:t> </w:t>
            </w:r>
            <w:r>
              <w:rPr>
                <w:w w:val="105"/>
                <w:sz w:val="16"/>
              </w:rPr>
              <w:t>stock</w:t>
            </w:r>
            <w:r>
              <w:rPr>
                <w:spacing w:val="-9"/>
                <w:w w:val="105"/>
                <w:sz w:val="16"/>
              </w:rPr>
              <w:t> </w:t>
            </w:r>
            <w:r>
              <w:rPr>
                <w:spacing w:val="-2"/>
                <w:w w:val="105"/>
                <w:sz w:val="16"/>
              </w:rPr>
              <w:t>options</w:t>
            </w:r>
          </w:p>
        </w:tc>
        <w:tc>
          <w:tcPr>
            <w:tcW w:w="912" w:type="dxa"/>
          </w:tcPr>
          <w:p>
            <w:pPr>
              <w:pStyle w:val="TableParagraph"/>
              <w:rPr>
                <w:sz w:val="14"/>
              </w:rPr>
            </w:pPr>
          </w:p>
        </w:tc>
        <w:tc>
          <w:tcPr>
            <w:tcW w:w="1060" w:type="dxa"/>
          </w:tcPr>
          <w:p>
            <w:pPr>
              <w:pStyle w:val="TableParagraph"/>
              <w:spacing w:line="180" w:lineRule="exact" w:before="3"/>
              <w:ind w:right="139"/>
              <w:jc w:val="right"/>
              <w:rPr>
                <w:b/>
                <w:sz w:val="16"/>
              </w:rPr>
            </w:pPr>
            <w:r>
              <w:rPr>
                <w:b/>
                <w:spacing w:val="-5"/>
                <w:w w:val="105"/>
                <w:sz w:val="16"/>
              </w:rPr>
              <w:t>97</w:t>
            </w:r>
          </w:p>
        </w:tc>
        <w:tc>
          <w:tcPr>
            <w:tcW w:w="660" w:type="dxa"/>
          </w:tcPr>
          <w:p>
            <w:pPr>
              <w:pStyle w:val="TableParagraph"/>
              <w:rPr>
                <w:sz w:val="14"/>
              </w:rPr>
            </w:pPr>
          </w:p>
        </w:tc>
        <w:tc>
          <w:tcPr>
            <w:tcW w:w="1060" w:type="dxa"/>
          </w:tcPr>
          <w:p>
            <w:pPr>
              <w:pStyle w:val="TableParagraph"/>
              <w:spacing w:line="180" w:lineRule="exact" w:before="3"/>
              <w:ind w:right="139"/>
              <w:jc w:val="right"/>
              <w:rPr>
                <w:sz w:val="16"/>
              </w:rPr>
            </w:pPr>
            <w:r>
              <w:rPr>
                <w:spacing w:val="-5"/>
                <w:w w:val="105"/>
                <w:sz w:val="16"/>
              </w:rPr>
              <w:t>124</w:t>
            </w:r>
          </w:p>
        </w:tc>
        <w:tc>
          <w:tcPr>
            <w:tcW w:w="660" w:type="dxa"/>
          </w:tcPr>
          <w:p>
            <w:pPr>
              <w:pStyle w:val="TableParagraph"/>
              <w:rPr>
                <w:sz w:val="14"/>
              </w:rPr>
            </w:pPr>
          </w:p>
        </w:tc>
        <w:tc>
          <w:tcPr>
            <w:tcW w:w="1033" w:type="dxa"/>
          </w:tcPr>
          <w:p>
            <w:pPr>
              <w:pStyle w:val="TableParagraph"/>
              <w:spacing w:line="180" w:lineRule="exact" w:before="3"/>
              <w:ind w:right="113"/>
              <w:jc w:val="right"/>
              <w:rPr>
                <w:sz w:val="16"/>
              </w:rPr>
            </w:pPr>
            <w:r>
              <w:rPr>
                <w:spacing w:val="-5"/>
                <w:w w:val="105"/>
                <w:sz w:val="16"/>
              </w:rPr>
              <w:t>58</w:t>
            </w:r>
          </w:p>
        </w:tc>
      </w:tr>
      <w:tr>
        <w:trPr>
          <w:trHeight w:val="203" w:hRule="atLeast"/>
        </w:trPr>
        <w:tc>
          <w:tcPr>
            <w:tcW w:w="6131" w:type="dxa"/>
            <w:shd w:val="clear" w:color="auto" w:fill="CCEDFF"/>
          </w:tcPr>
          <w:p>
            <w:pPr>
              <w:pStyle w:val="TableParagraph"/>
              <w:spacing w:line="180" w:lineRule="exact" w:before="3"/>
              <w:ind w:left="152"/>
              <w:rPr>
                <w:sz w:val="16"/>
              </w:rPr>
            </w:pPr>
            <w:r>
              <w:rPr>
                <w:w w:val="105"/>
                <w:sz w:val="16"/>
              </w:rPr>
              <w:t>Purchases</w:t>
            </w:r>
            <w:r>
              <w:rPr>
                <w:spacing w:val="-11"/>
                <w:w w:val="105"/>
                <w:sz w:val="16"/>
              </w:rPr>
              <w:t> </w:t>
            </w:r>
            <w:r>
              <w:rPr>
                <w:w w:val="105"/>
                <w:sz w:val="16"/>
              </w:rPr>
              <w:t>of</w:t>
            </w:r>
            <w:r>
              <w:rPr>
                <w:spacing w:val="-10"/>
                <w:w w:val="105"/>
                <w:sz w:val="16"/>
              </w:rPr>
              <w:t> </w:t>
            </w:r>
            <w:r>
              <w:rPr>
                <w:w w:val="105"/>
                <w:sz w:val="16"/>
              </w:rPr>
              <w:t>common</w:t>
            </w:r>
            <w:r>
              <w:rPr>
                <w:spacing w:val="-10"/>
                <w:w w:val="105"/>
                <w:sz w:val="16"/>
              </w:rPr>
              <w:t> </w:t>
            </w:r>
            <w:r>
              <w:rPr>
                <w:w w:val="105"/>
                <w:sz w:val="16"/>
              </w:rPr>
              <w:t>stock</w:t>
            </w:r>
            <w:r>
              <w:rPr>
                <w:spacing w:val="-10"/>
                <w:w w:val="105"/>
                <w:sz w:val="16"/>
              </w:rPr>
              <w:t> </w:t>
            </w:r>
            <w:r>
              <w:rPr>
                <w:w w:val="105"/>
                <w:sz w:val="16"/>
              </w:rPr>
              <w:t>for</w:t>
            </w:r>
            <w:r>
              <w:rPr>
                <w:spacing w:val="-10"/>
                <w:w w:val="105"/>
                <w:sz w:val="16"/>
              </w:rPr>
              <w:t> </w:t>
            </w:r>
            <w:r>
              <w:rPr>
                <w:spacing w:val="-2"/>
                <w:w w:val="105"/>
                <w:sz w:val="16"/>
              </w:rPr>
              <w:t>treasury</w:t>
            </w:r>
          </w:p>
        </w:tc>
        <w:tc>
          <w:tcPr>
            <w:tcW w:w="912"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b/>
                <w:sz w:val="16"/>
              </w:rPr>
            </w:pPr>
            <w:r>
              <w:rPr>
                <w:b/>
                <w:spacing w:val="-2"/>
                <w:w w:val="105"/>
                <w:sz w:val="16"/>
              </w:rPr>
              <w:t>(274)</w:t>
            </w:r>
          </w:p>
        </w:tc>
        <w:tc>
          <w:tcPr>
            <w:tcW w:w="660" w:type="dxa"/>
            <w:shd w:val="clear" w:color="auto" w:fill="CCEDFF"/>
          </w:tcPr>
          <w:p>
            <w:pPr>
              <w:pStyle w:val="TableParagraph"/>
              <w:rPr>
                <w:sz w:val="14"/>
              </w:rPr>
            </w:pPr>
          </w:p>
        </w:tc>
        <w:tc>
          <w:tcPr>
            <w:tcW w:w="1060" w:type="dxa"/>
            <w:shd w:val="clear" w:color="auto" w:fill="CCEDFF"/>
          </w:tcPr>
          <w:p>
            <w:pPr>
              <w:pStyle w:val="TableParagraph"/>
              <w:spacing w:line="180" w:lineRule="exact" w:before="3"/>
              <w:ind w:right="84"/>
              <w:jc w:val="right"/>
              <w:rPr>
                <w:sz w:val="16"/>
              </w:rPr>
            </w:pPr>
            <w:r>
              <w:rPr>
                <w:spacing w:val="-2"/>
                <w:w w:val="105"/>
                <w:sz w:val="16"/>
              </w:rPr>
              <w:t>(105)</w:t>
            </w:r>
          </w:p>
        </w:tc>
        <w:tc>
          <w:tcPr>
            <w:tcW w:w="66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59"/>
              <w:jc w:val="right"/>
              <w:rPr>
                <w:sz w:val="16"/>
              </w:rPr>
            </w:pPr>
            <w:r>
              <w:rPr>
                <w:spacing w:val="-2"/>
                <w:w w:val="105"/>
                <w:sz w:val="16"/>
              </w:rPr>
              <w:t>(940)</w:t>
            </w:r>
          </w:p>
        </w:tc>
      </w:tr>
      <w:tr>
        <w:trPr>
          <w:trHeight w:val="203" w:hRule="atLeast"/>
        </w:trPr>
        <w:tc>
          <w:tcPr>
            <w:tcW w:w="6131" w:type="dxa"/>
          </w:tcPr>
          <w:p>
            <w:pPr>
              <w:pStyle w:val="TableParagraph"/>
              <w:spacing w:line="180" w:lineRule="exact" w:before="3"/>
              <w:ind w:left="152"/>
              <w:rPr>
                <w:sz w:val="16"/>
              </w:rPr>
            </w:pPr>
            <w:r>
              <w:rPr>
                <w:sz w:val="16"/>
              </w:rPr>
              <w:t>Dividends</w:t>
            </w:r>
            <w:r>
              <w:rPr>
                <w:spacing w:val="12"/>
                <w:sz w:val="16"/>
              </w:rPr>
              <w:t> </w:t>
            </w:r>
            <w:r>
              <w:rPr>
                <w:spacing w:val="-4"/>
                <w:sz w:val="16"/>
              </w:rPr>
              <w:t>paid</w:t>
            </w:r>
          </w:p>
        </w:tc>
        <w:tc>
          <w:tcPr>
            <w:tcW w:w="912" w:type="dxa"/>
          </w:tcPr>
          <w:p>
            <w:pPr>
              <w:pStyle w:val="TableParagraph"/>
              <w:rPr>
                <w:sz w:val="14"/>
              </w:rPr>
            </w:pPr>
          </w:p>
        </w:tc>
        <w:tc>
          <w:tcPr>
            <w:tcW w:w="1060" w:type="dxa"/>
          </w:tcPr>
          <w:p>
            <w:pPr>
              <w:pStyle w:val="TableParagraph"/>
              <w:spacing w:line="180" w:lineRule="exact" w:before="3"/>
              <w:ind w:right="84"/>
              <w:jc w:val="right"/>
              <w:rPr>
                <w:b/>
                <w:sz w:val="16"/>
              </w:rPr>
            </w:pPr>
            <w:r>
              <w:rPr>
                <w:b/>
                <w:spacing w:val="-2"/>
                <w:w w:val="105"/>
                <w:sz w:val="16"/>
              </w:rPr>
              <w:t>(871)</w:t>
            </w:r>
          </w:p>
        </w:tc>
        <w:tc>
          <w:tcPr>
            <w:tcW w:w="660" w:type="dxa"/>
          </w:tcPr>
          <w:p>
            <w:pPr>
              <w:pStyle w:val="TableParagraph"/>
              <w:rPr>
                <w:sz w:val="14"/>
              </w:rPr>
            </w:pPr>
          </w:p>
        </w:tc>
        <w:tc>
          <w:tcPr>
            <w:tcW w:w="1060" w:type="dxa"/>
          </w:tcPr>
          <w:p>
            <w:pPr>
              <w:pStyle w:val="TableParagraph"/>
              <w:spacing w:line="180" w:lineRule="exact" w:before="3"/>
              <w:ind w:right="84"/>
              <w:jc w:val="right"/>
              <w:rPr>
                <w:sz w:val="16"/>
              </w:rPr>
            </w:pPr>
            <w:r>
              <w:rPr>
                <w:spacing w:val="-2"/>
                <w:w w:val="105"/>
                <w:sz w:val="16"/>
              </w:rPr>
              <w:t>(787)</w:t>
            </w:r>
          </w:p>
        </w:tc>
        <w:tc>
          <w:tcPr>
            <w:tcW w:w="660" w:type="dxa"/>
          </w:tcPr>
          <w:p>
            <w:pPr>
              <w:pStyle w:val="TableParagraph"/>
              <w:rPr>
                <w:sz w:val="14"/>
              </w:rPr>
            </w:pPr>
          </w:p>
        </w:tc>
        <w:tc>
          <w:tcPr>
            <w:tcW w:w="1033" w:type="dxa"/>
          </w:tcPr>
          <w:p>
            <w:pPr>
              <w:pStyle w:val="TableParagraph"/>
              <w:spacing w:line="180" w:lineRule="exact" w:before="3"/>
              <w:ind w:right="59"/>
              <w:jc w:val="right"/>
              <w:rPr>
                <w:sz w:val="16"/>
              </w:rPr>
            </w:pPr>
            <w:r>
              <w:rPr>
                <w:spacing w:val="-2"/>
                <w:w w:val="105"/>
                <w:sz w:val="16"/>
              </w:rPr>
              <w:t>(742)</w:t>
            </w:r>
          </w:p>
        </w:tc>
      </w:tr>
      <w:tr>
        <w:trPr>
          <w:trHeight w:val="202" w:hRule="atLeast"/>
        </w:trPr>
        <w:tc>
          <w:tcPr>
            <w:tcW w:w="6131" w:type="dxa"/>
            <w:shd w:val="clear" w:color="auto" w:fill="CCEDFF"/>
          </w:tcPr>
          <w:p>
            <w:pPr>
              <w:pStyle w:val="TableParagraph"/>
              <w:spacing w:line="166" w:lineRule="exact" w:before="16"/>
              <w:ind w:left="152"/>
              <w:rPr>
                <w:sz w:val="16"/>
              </w:rPr>
            </w:pPr>
            <w:r>
              <w:rPr>
                <w:spacing w:val="-2"/>
                <w:w w:val="105"/>
                <w:sz w:val="16"/>
              </w:rPr>
              <w:t>Other,</w:t>
            </w:r>
            <w:r>
              <w:rPr>
                <w:spacing w:val="-3"/>
                <w:w w:val="105"/>
                <w:sz w:val="16"/>
              </w:rPr>
              <w:t> </w:t>
            </w:r>
            <w:r>
              <w:rPr>
                <w:spacing w:val="-5"/>
                <w:w w:val="105"/>
                <w:sz w:val="16"/>
              </w:rPr>
              <w:t>net</w:t>
            </w:r>
          </w:p>
        </w:tc>
        <w:tc>
          <w:tcPr>
            <w:tcW w:w="912" w:type="dxa"/>
            <w:tcBorders>
              <w:bottom w:val="single" w:sz="6" w:space="0" w:color="000000"/>
            </w:tcBorders>
            <w:shd w:val="clear" w:color="auto" w:fill="CCEDFF"/>
          </w:tcPr>
          <w:p>
            <w:pPr>
              <w:pStyle w:val="TableParagraph"/>
              <w:rPr>
                <w:sz w:val="14"/>
              </w:rPr>
            </w:pPr>
          </w:p>
        </w:tc>
        <w:tc>
          <w:tcPr>
            <w:tcW w:w="1060" w:type="dxa"/>
            <w:tcBorders>
              <w:bottom w:val="single" w:sz="6" w:space="0" w:color="000000"/>
            </w:tcBorders>
            <w:shd w:val="clear" w:color="auto" w:fill="CCEDFF"/>
          </w:tcPr>
          <w:p>
            <w:pPr>
              <w:pStyle w:val="TableParagraph"/>
              <w:spacing w:line="179" w:lineRule="exact" w:before="3"/>
              <w:ind w:right="139"/>
              <w:jc w:val="right"/>
              <w:rPr>
                <w:b/>
                <w:sz w:val="16"/>
              </w:rPr>
            </w:pPr>
            <w:r>
              <w:rPr>
                <w:b/>
                <w:spacing w:val="-10"/>
                <w:w w:val="105"/>
                <w:sz w:val="16"/>
              </w:rPr>
              <w:t>2</w:t>
            </w:r>
          </w:p>
        </w:tc>
        <w:tc>
          <w:tcPr>
            <w:tcW w:w="660" w:type="dxa"/>
            <w:tcBorders>
              <w:bottom w:val="single" w:sz="6" w:space="0" w:color="000000"/>
            </w:tcBorders>
            <w:shd w:val="clear" w:color="auto" w:fill="CCEDFF"/>
          </w:tcPr>
          <w:p>
            <w:pPr>
              <w:pStyle w:val="TableParagraph"/>
              <w:rPr>
                <w:sz w:val="14"/>
              </w:rPr>
            </w:pPr>
          </w:p>
        </w:tc>
        <w:tc>
          <w:tcPr>
            <w:tcW w:w="1060" w:type="dxa"/>
            <w:tcBorders>
              <w:bottom w:val="single" w:sz="6" w:space="0" w:color="000000"/>
            </w:tcBorders>
            <w:shd w:val="clear" w:color="auto" w:fill="CCEDFF"/>
          </w:tcPr>
          <w:p>
            <w:pPr>
              <w:pStyle w:val="TableParagraph"/>
              <w:spacing w:line="179" w:lineRule="exact" w:before="3"/>
              <w:ind w:right="139"/>
              <w:jc w:val="right"/>
              <w:rPr>
                <w:sz w:val="16"/>
              </w:rPr>
            </w:pPr>
            <w:r>
              <w:rPr>
                <w:spacing w:val="-5"/>
                <w:w w:val="105"/>
                <w:sz w:val="16"/>
              </w:rPr>
              <w:t>28</w:t>
            </w:r>
          </w:p>
        </w:tc>
        <w:tc>
          <w:tcPr>
            <w:tcW w:w="660" w:type="dxa"/>
            <w:tcBorders>
              <w:bottom w:val="single" w:sz="6" w:space="0" w:color="000000"/>
            </w:tcBorders>
            <w:shd w:val="clear" w:color="auto" w:fill="CCEDFF"/>
          </w:tcPr>
          <w:p>
            <w:pPr>
              <w:pStyle w:val="TableParagraph"/>
              <w:rPr>
                <w:sz w:val="14"/>
              </w:rPr>
            </w:pPr>
          </w:p>
        </w:tc>
        <w:tc>
          <w:tcPr>
            <w:tcW w:w="1033" w:type="dxa"/>
            <w:tcBorders>
              <w:bottom w:val="single" w:sz="6" w:space="0" w:color="000000"/>
            </w:tcBorders>
            <w:shd w:val="clear" w:color="auto" w:fill="CCEDFF"/>
          </w:tcPr>
          <w:p>
            <w:pPr>
              <w:pStyle w:val="TableParagraph"/>
              <w:spacing w:line="179" w:lineRule="exact" w:before="3"/>
              <w:ind w:right="113"/>
              <w:jc w:val="right"/>
              <w:rPr>
                <w:sz w:val="16"/>
              </w:rPr>
            </w:pPr>
            <w:r>
              <w:rPr>
                <w:spacing w:val="-5"/>
                <w:w w:val="105"/>
                <w:sz w:val="16"/>
              </w:rPr>
              <w:t>63</w:t>
            </w:r>
          </w:p>
        </w:tc>
      </w:tr>
      <w:tr>
        <w:trPr>
          <w:trHeight w:val="201" w:hRule="atLeast"/>
        </w:trPr>
        <w:tc>
          <w:tcPr>
            <w:tcW w:w="6131" w:type="dxa"/>
          </w:tcPr>
          <w:p>
            <w:pPr>
              <w:pStyle w:val="TableParagraph"/>
              <w:spacing w:line="166" w:lineRule="exact" w:before="15"/>
              <w:rPr>
                <w:b/>
                <w:sz w:val="16"/>
              </w:rPr>
            </w:pPr>
            <w:r>
              <w:rPr>
                <w:b/>
                <w:w w:val="105"/>
                <w:sz w:val="16"/>
              </w:rPr>
              <w:t>Net</w:t>
            </w:r>
            <w:r>
              <w:rPr>
                <w:b/>
                <w:spacing w:val="-9"/>
                <w:w w:val="105"/>
                <w:sz w:val="16"/>
              </w:rPr>
              <w:t> </w:t>
            </w:r>
            <w:r>
              <w:rPr>
                <w:b/>
                <w:w w:val="105"/>
                <w:sz w:val="16"/>
              </w:rPr>
              <w:t>cash</w:t>
            </w:r>
            <w:r>
              <w:rPr>
                <w:b/>
                <w:spacing w:val="-9"/>
                <w:w w:val="105"/>
                <w:sz w:val="16"/>
              </w:rPr>
              <w:t> </w:t>
            </w:r>
            <w:r>
              <w:rPr>
                <w:b/>
                <w:w w:val="105"/>
                <w:sz w:val="16"/>
              </w:rPr>
              <w:t>used</w:t>
            </w:r>
            <w:r>
              <w:rPr>
                <w:b/>
                <w:spacing w:val="-9"/>
                <w:w w:val="105"/>
                <w:sz w:val="16"/>
              </w:rPr>
              <w:t> </w:t>
            </w:r>
            <w:r>
              <w:rPr>
                <w:b/>
                <w:w w:val="105"/>
                <w:sz w:val="16"/>
              </w:rPr>
              <w:t>in</w:t>
            </w:r>
            <w:r>
              <w:rPr>
                <w:b/>
                <w:spacing w:val="-9"/>
                <w:w w:val="105"/>
                <w:sz w:val="16"/>
              </w:rPr>
              <w:t> </w:t>
            </w:r>
            <w:r>
              <w:rPr>
                <w:b/>
                <w:w w:val="105"/>
                <w:sz w:val="16"/>
              </w:rPr>
              <w:t>financing</w:t>
            </w:r>
            <w:r>
              <w:rPr>
                <w:b/>
                <w:spacing w:val="-9"/>
                <w:w w:val="105"/>
                <w:sz w:val="16"/>
              </w:rPr>
              <w:t> </w:t>
            </w:r>
            <w:r>
              <w:rPr>
                <w:b/>
                <w:spacing w:val="-2"/>
                <w:w w:val="105"/>
                <w:sz w:val="16"/>
              </w:rPr>
              <w:t>activities</w:t>
            </w:r>
          </w:p>
        </w:tc>
        <w:tc>
          <w:tcPr>
            <w:tcW w:w="912" w:type="dxa"/>
            <w:tcBorders>
              <w:top w:val="single" w:sz="6" w:space="0" w:color="000000"/>
              <w:bottom w:val="single" w:sz="6" w:space="0" w:color="000000"/>
            </w:tcBorders>
          </w:tcPr>
          <w:p>
            <w:pPr>
              <w:pStyle w:val="TableParagraph"/>
              <w:rPr>
                <w:sz w:val="14"/>
              </w:rPr>
            </w:pPr>
          </w:p>
        </w:tc>
        <w:tc>
          <w:tcPr>
            <w:tcW w:w="1060" w:type="dxa"/>
            <w:tcBorders>
              <w:top w:val="single" w:sz="6" w:space="0" w:color="000000"/>
              <w:bottom w:val="single" w:sz="6" w:space="0" w:color="000000"/>
            </w:tcBorders>
          </w:tcPr>
          <w:p>
            <w:pPr>
              <w:pStyle w:val="TableParagraph"/>
              <w:spacing w:line="179" w:lineRule="exact" w:before="2"/>
              <w:ind w:right="84"/>
              <w:jc w:val="right"/>
              <w:rPr>
                <w:b/>
                <w:sz w:val="16"/>
              </w:rPr>
            </w:pPr>
            <w:r>
              <w:rPr>
                <w:b/>
                <w:spacing w:val="-2"/>
                <w:w w:val="105"/>
                <w:sz w:val="16"/>
              </w:rPr>
              <w:t>(2,452)</w:t>
            </w:r>
          </w:p>
        </w:tc>
        <w:tc>
          <w:tcPr>
            <w:tcW w:w="660" w:type="dxa"/>
            <w:tcBorders>
              <w:top w:val="single" w:sz="6" w:space="0" w:color="000000"/>
              <w:bottom w:val="single" w:sz="6" w:space="0" w:color="000000"/>
            </w:tcBorders>
          </w:tcPr>
          <w:p>
            <w:pPr>
              <w:pStyle w:val="TableParagraph"/>
              <w:rPr>
                <w:sz w:val="14"/>
              </w:rPr>
            </w:pPr>
          </w:p>
        </w:tc>
        <w:tc>
          <w:tcPr>
            <w:tcW w:w="1060" w:type="dxa"/>
            <w:tcBorders>
              <w:top w:val="single" w:sz="6" w:space="0" w:color="000000"/>
              <w:bottom w:val="single" w:sz="6" w:space="0" w:color="000000"/>
            </w:tcBorders>
          </w:tcPr>
          <w:p>
            <w:pPr>
              <w:pStyle w:val="TableParagraph"/>
              <w:spacing w:line="179" w:lineRule="exact" w:before="2"/>
              <w:ind w:right="84"/>
              <w:jc w:val="right"/>
              <w:rPr>
                <w:sz w:val="16"/>
              </w:rPr>
            </w:pPr>
            <w:r>
              <w:rPr>
                <w:spacing w:val="-2"/>
                <w:w w:val="105"/>
                <w:sz w:val="16"/>
              </w:rPr>
              <w:t>(729)</w:t>
            </w:r>
          </w:p>
        </w:tc>
        <w:tc>
          <w:tcPr>
            <w:tcW w:w="660" w:type="dxa"/>
            <w:tcBorders>
              <w:top w:val="single" w:sz="6" w:space="0" w:color="000000"/>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spacing w:line="179" w:lineRule="exact" w:before="2"/>
              <w:ind w:right="59"/>
              <w:jc w:val="right"/>
              <w:rPr>
                <w:sz w:val="16"/>
              </w:rPr>
            </w:pPr>
            <w:r>
              <w:rPr>
                <w:spacing w:val="-4"/>
                <w:w w:val="105"/>
                <w:sz w:val="16"/>
              </w:rPr>
              <w:t>(47)</w:t>
            </w:r>
          </w:p>
        </w:tc>
      </w:tr>
      <w:tr>
        <w:trPr>
          <w:trHeight w:val="201" w:hRule="atLeast"/>
        </w:trPr>
        <w:tc>
          <w:tcPr>
            <w:tcW w:w="6131" w:type="dxa"/>
            <w:shd w:val="clear" w:color="auto" w:fill="CCEDFF"/>
          </w:tcPr>
          <w:p>
            <w:pPr>
              <w:pStyle w:val="TableParagraph"/>
              <w:spacing w:line="166" w:lineRule="exact" w:before="15"/>
              <w:rPr>
                <w:sz w:val="16"/>
              </w:rPr>
            </w:pPr>
            <w:r>
              <w:rPr>
                <w:w w:val="105"/>
                <w:sz w:val="16"/>
              </w:rPr>
              <w:t>Effect</w:t>
            </w:r>
            <w:r>
              <w:rPr>
                <w:spacing w:val="-8"/>
                <w:w w:val="105"/>
                <w:sz w:val="16"/>
              </w:rPr>
              <w:t> </w:t>
            </w:r>
            <w:r>
              <w:rPr>
                <w:w w:val="105"/>
                <w:sz w:val="16"/>
              </w:rPr>
              <w:t>of</w:t>
            </w:r>
            <w:r>
              <w:rPr>
                <w:spacing w:val="-7"/>
                <w:w w:val="105"/>
                <w:sz w:val="16"/>
              </w:rPr>
              <w:t> </w:t>
            </w:r>
            <w:r>
              <w:rPr>
                <w:w w:val="105"/>
                <w:sz w:val="16"/>
              </w:rPr>
              <w:t>exchange</w:t>
            </w:r>
            <w:r>
              <w:rPr>
                <w:spacing w:val="-8"/>
                <w:w w:val="105"/>
                <w:sz w:val="16"/>
              </w:rPr>
              <w:t> </w:t>
            </w:r>
            <w:r>
              <w:rPr>
                <w:w w:val="105"/>
                <w:sz w:val="16"/>
              </w:rPr>
              <w:t>rates</w:t>
            </w:r>
            <w:r>
              <w:rPr>
                <w:spacing w:val="-7"/>
                <w:w w:val="105"/>
                <w:sz w:val="16"/>
              </w:rPr>
              <w:t> </w:t>
            </w:r>
            <w:r>
              <w:rPr>
                <w:w w:val="105"/>
                <w:sz w:val="16"/>
              </w:rPr>
              <w:t>on</w:t>
            </w:r>
            <w:r>
              <w:rPr>
                <w:spacing w:val="-7"/>
                <w:w w:val="105"/>
                <w:sz w:val="16"/>
              </w:rPr>
              <w:t> </w:t>
            </w:r>
            <w:r>
              <w:rPr>
                <w:spacing w:val="-4"/>
                <w:w w:val="105"/>
                <w:sz w:val="16"/>
              </w:rPr>
              <w:t>cash</w:t>
            </w:r>
          </w:p>
        </w:tc>
        <w:tc>
          <w:tcPr>
            <w:tcW w:w="912" w:type="dxa"/>
            <w:tcBorders>
              <w:top w:val="single" w:sz="6" w:space="0" w:color="000000"/>
              <w:bottom w:val="single" w:sz="6" w:space="0" w:color="000000"/>
            </w:tcBorders>
            <w:shd w:val="clear" w:color="auto" w:fill="CCEDFF"/>
          </w:tcPr>
          <w:p>
            <w:pPr>
              <w:pStyle w:val="TableParagraph"/>
              <w:rPr>
                <w:sz w:val="14"/>
              </w:rPr>
            </w:pPr>
          </w:p>
        </w:tc>
        <w:tc>
          <w:tcPr>
            <w:tcW w:w="1060" w:type="dxa"/>
            <w:tcBorders>
              <w:top w:val="single" w:sz="6" w:space="0" w:color="000000"/>
              <w:bottom w:val="single" w:sz="6" w:space="0" w:color="000000"/>
            </w:tcBorders>
            <w:shd w:val="clear" w:color="auto" w:fill="CCEDFF"/>
          </w:tcPr>
          <w:p>
            <w:pPr>
              <w:pStyle w:val="TableParagraph"/>
              <w:spacing w:line="179" w:lineRule="exact" w:before="2"/>
              <w:ind w:right="84"/>
              <w:jc w:val="right"/>
              <w:rPr>
                <w:b/>
                <w:sz w:val="16"/>
              </w:rPr>
            </w:pPr>
            <w:r>
              <w:rPr>
                <w:b/>
                <w:spacing w:val="-4"/>
                <w:w w:val="105"/>
                <w:sz w:val="16"/>
              </w:rPr>
              <w:t>(65)</w:t>
            </w:r>
          </w:p>
        </w:tc>
        <w:tc>
          <w:tcPr>
            <w:tcW w:w="660" w:type="dxa"/>
            <w:tcBorders>
              <w:top w:val="single" w:sz="6" w:space="0" w:color="000000"/>
              <w:bottom w:val="single" w:sz="6" w:space="0" w:color="000000"/>
            </w:tcBorders>
            <w:shd w:val="clear" w:color="auto" w:fill="CCEDFF"/>
          </w:tcPr>
          <w:p>
            <w:pPr>
              <w:pStyle w:val="TableParagraph"/>
              <w:rPr>
                <w:sz w:val="14"/>
              </w:rPr>
            </w:pPr>
          </w:p>
        </w:tc>
        <w:tc>
          <w:tcPr>
            <w:tcW w:w="1060" w:type="dxa"/>
            <w:tcBorders>
              <w:top w:val="single" w:sz="6" w:space="0" w:color="000000"/>
              <w:bottom w:val="single" w:sz="6" w:space="0" w:color="000000"/>
            </w:tcBorders>
            <w:shd w:val="clear" w:color="auto" w:fill="CCEDFF"/>
          </w:tcPr>
          <w:p>
            <w:pPr>
              <w:pStyle w:val="TableParagraph"/>
              <w:spacing w:line="179" w:lineRule="exact" w:before="2"/>
              <w:ind w:right="139"/>
              <w:jc w:val="right"/>
              <w:rPr>
                <w:sz w:val="16"/>
              </w:rPr>
            </w:pPr>
            <w:r>
              <w:rPr>
                <w:spacing w:val="-5"/>
                <w:w w:val="105"/>
                <w:sz w:val="16"/>
              </w:rPr>
              <w:t>97</w:t>
            </w:r>
          </w:p>
        </w:tc>
        <w:tc>
          <w:tcPr>
            <w:tcW w:w="660" w:type="dxa"/>
            <w:tcBorders>
              <w:top w:val="single" w:sz="6" w:space="0" w:color="000000"/>
              <w:bottom w:val="single" w:sz="6" w:space="0" w:color="000000"/>
            </w:tcBorders>
            <w:shd w:val="clear" w:color="auto" w:fill="CCEDFF"/>
          </w:tcPr>
          <w:p>
            <w:pPr>
              <w:pStyle w:val="TableParagraph"/>
              <w:rPr>
                <w:sz w:val="14"/>
              </w:rPr>
            </w:pPr>
          </w:p>
        </w:tc>
        <w:tc>
          <w:tcPr>
            <w:tcW w:w="1033" w:type="dxa"/>
            <w:tcBorders>
              <w:top w:val="single" w:sz="6" w:space="0" w:color="000000"/>
              <w:bottom w:val="single" w:sz="6" w:space="0" w:color="000000"/>
            </w:tcBorders>
            <w:shd w:val="clear" w:color="auto" w:fill="CCEDFF"/>
          </w:tcPr>
          <w:p>
            <w:pPr>
              <w:pStyle w:val="TableParagraph"/>
              <w:spacing w:line="179" w:lineRule="exact" w:before="2"/>
              <w:ind w:right="59"/>
              <w:jc w:val="right"/>
              <w:rPr>
                <w:sz w:val="16"/>
              </w:rPr>
            </w:pPr>
            <w:r>
              <w:rPr>
                <w:spacing w:val="-4"/>
                <w:w w:val="105"/>
                <w:sz w:val="16"/>
              </w:rPr>
              <w:t>(14)</w:t>
            </w:r>
          </w:p>
        </w:tc>
      </w:tr>
      <w:tr>
        <w:trPr>
          <w:trHeight w:val="202" w:hRule="atLeast"/>
        </w:trPr>
        <w:tc>
          <w:tcPr>
            <w:tcW w:w="6131" w:type="dxa"/>
          </w:tcPr>
          <w:p>
            <w:pPr>
              <w:pStyle w:val="TableParagraph"/>
              <w:spacing w:line="180" w:lineRule="exact" w:before="2"/>
              <w:rPr>
                <w:sz w:val="16"/>
              </w:rPr>
            </w:pPr>
            <w:r>
              <w:rPr>
                <w:w w:val="105"/>
                <w:sz w:val="16"/>
              </w:rPr>
              <w:t>Net</w:t>
            </w:r>
            <w:r>
              <w:rPr>
                <w:spacing w:val="-9"/>
                <w:w w:val="105"/>
                <w:sz w:val="16"/>
              </w:rPr>
              <w:t> </w:t>
            </w:r>
            <w:r>
              <w:rPr>
                <w:w w:val="105"/>
                <w:sz w:val="16"/>
              </w:rPr>
              <w:t>(decrease)</w:t>
            </w:r>
            <w:r>
              <w:rPr>
                <w:spacing w:val="-8"/>
                <w:w w:val="105"/>
                <w:sz w:val="16"/>
              </w:rPr>
              <w:t> </w:t>
            </w:r>
            <w:r>
              <w:rPr>
                <w:w w:val="105"/>
                <w:sz w:val="16"/>
              </w:rPr>
              <w:t>increase</w:t>
            </w:r>
            <w:r>
              <w:rPr>
                <w:spacing w:val="-8"/>
                <w:w w:val="105"/>
                <w:sz w:val="16"/>
              </w:rPr>
              <w:t> </w:t>
            </w:r>
            <w:r>
              <w:rPr>
                <w:w w:val="105"/>
                <w:sz w:val="16"/>
              </w:rPr>
              <w:t>in</w:t>
            </w:r>
            <w:r>
              <w:rPr>
                <w:spacing w:val="-8"/>
                <w:w w:val="105"/>
                <w:sz w:val="16"/>
              </w:rPr>
              <w:t> </w:t>
            </w:r>
            <w:r>
              <w:rPr>
                <w:w w:val="105"/>
                <w:sz w:val="16"/>
              </w:rPr>
              <w:t>cash</w:t>
            </w:r>
            <w:r>
              <w:rPr>
                <w:spacing w:val="-8"/>
                <w:w w:val="105"/>
                <w:sz w:val="16"/>
              </w:rPr>
              <w:t> </w:t>
            </w:r>
            <w:r>
              <w:rPr>
                <w:w w:val="105"/>
                <w:sz w:val="16"/>
              </w:rPr>
              <w:t>and</w:t>
            </w:r>
            <w:r>
              <w:rPr>
                <w:spacing w:val="-8"/>
                <w:w w:val="105"/>
                <w:sz w:val="16"/>
              </w:rPr>
              <w:t> </w:t>
            </w:r>
            <w:r>
              <w:rPr>
                <w:w w:val="105"/>
                <w:sz w:val="16"/>
              </w:rPr>
              <w:t>cash</w:t>
            </w:r>
            <w:r>
              <w:rPr>
                <w:spacing w:val="-8"/>
                <w:w w:val="105"/>
                <w:sz w:val="16"/>
              </w:rPr>
              <w:t> </w:t>
            </w:r>
            <w:r>
              <w:rPr>
                <w:spacing w:val="-2"/>
                <w:w w:val="105"/>
                <w:sz w:val="16"/>
              </w:rPr>
              <w:t>equivalents</w:t>
            </w:r>
          </w:p>
        </w:tc>
        <w:tc>
          <w:tcPr>
            <w:tcW w:w="912" w:type="dxa"/>
            <w:tcBorders>
              <w:top w:val="single" w:sz="6" w:space="0" w:color="000000"/>
            </w:tcBorders>
          </w:tcPr>
          <w:p>
            <w:pPr>
              <w:pStyle w:val="TableParagraph"/>
              <w:rPr>
                <w:sz w:val="14"/>
              </w:rPr>
            </w:pPr>
          </w:p>
        </w:tc>
        <w:tc>
          <w:tcPr>
            <w:tcW w:w="1060" w:type="dxa"/>
            <w:tcBorders>
              <w:top w:val="single" w:sz="6" w:space="0" w:color="000000"/>
            </w:tcBorders>
          </w:tcPr>
          <w:p>
            <w:pPr>
              <w:pStyle w:val="TableParagraph"/>
              <w:spacing w:line="180" w:lineRule="exact" w:before="2"/>
              <w:ind w:right="84"/>
              <w:jc w:val="right"/>
              <w:rPr>
                <w:b/>
                <w:sz w:val="16"/>
              </w:rPr>
            </w:pPr>
            <w:r>
              <w:rPr>
                <w:b/>
                <w:spacing w:val="-2"/>
                <w:w w:val="105"/>
                <w:sz w:val="16"/>
              </w:rPr>
              <w:t>(524)</w:t>
            </w:r>
          </w:p>
        </w:tc>
        <w:tc>
          <w:tcPr>
            <w:tcW w:w="660" w:type="dxa"/>
            <w:tcBorders>
              <w:top w:val="single" w:sz="6" w:space="0" w:color="000000"/>
            </w:tcBorders>
          </w:tcPr>
          <w:p>
            <w:pPr>
              <w:pStyle w:val="TableParagraph"/>
              <w:rPr>
                <w:sz w:val="14"/>
              </w:rPr>
            </w:pPr>
          </w:p>
        </w:tc>
        <w:tc>
          <w:tcPr>
            <w:tcW w:w="1060" w:type="dxa"/>
            <w:tcBorders>
              <w:top w:val="single" w:sz="6" w:space="0" w:color="000000"/>
            </w:tcBorders>
          </w:tcPr>
          <w:p>
            <w:pPr>
              <w:pStyle w:val="TableParagraph"/>
              <w:spacing w:line="180" w:lineRule="exact" w:before="2"/>
              <w:ind w:right="139"/>
              <w:jc w:val="right"/>
              <w:rPr>
                <w:sz w:val="16"/>
              </w:rPr>
            </w:pPr>
            <w:r>
              <w:rPr>
                <w:spacing w:val="-5"/>
                <w:w w:val="105"/>
                <w:sz w:val="16"/>
              </w:rPr>
              <w:t>238</w:t>
            </w:r>
          </w:p>
        </w:tc>
        <w:tc>
          <w:tcPr>
            <w:tcW w:w="660" w:type="dxa"/>
            <w:tcBorders>
              <w:top w:val="single" w:sz="6" w:space="0" w:color="000000"/>
            </w:tcBorders>
          </w:tcPr>
          <w:p>
            <w:pPr>
              <w:pStyle w:val="TableParagraph"/>
              <w:rPr>
                <w:sz w:val="14"/>
              </w:rPr>
            </w:pPr>
          </w:p>
        </w:tc>
        <w:tc>
          <w:tcPr>
            <w:tcW w:w="1033" w:type="dxa"/>
            <w:tcBorders>
              <w:top w:val="single" w:sz="6" w:space="0" w:color="000000"/>
            </w:tcBorders>
          </w:tcPr>
          <w:p>
            <w:pPr>
              <w:pStyle w:val="TableParagraph"/>
              <w:spacing w:line="180" w:lineRule="exact" w:before="2"/>
              <w:ind w:right="113"/>
              <w:jc w:val="right"/>
              <w:rPr>
                <w:sz w:val="16"/>
              </w:rPr>
            </w:pPr>
            <w:r>
              <w:rPr>
                <w:spacing w:val="-5"/>
                <w:w w:val="105"/>
                <w:sz w:val="16"/>
              </w:rPr>
              <w:t>79</w:t>
            </w:r>
          </w:p>
        </w:tc>
      </w:tr>
      <w:tr>
        <w:trPr>
          <w:trHeight w:val="202" w:hRule="atLeast"/>
        </w:trPr>
        <w:tc>
          <w:tcPr>
            <w:tcW w:w="6131" w:type="dxa"/>
            <w:shd w:val="clear" w:color="auto" w:fill="CCEDFF"/>
          </w:tcPr>
          <w:p>
            <w:pPr>
              <w:pStyle w:val="TableParagraph"/>
              <w:spacing w:line="166" w:lineRule="exact" w:before="16"/>
              <w:rPr>
                <w:sz w:val="16"/>
              </w:rPr>
            </w:pPr>
            <w:r>
              <w:rPr>
                <w:w w:val="105"/>
                <w:sz w:val="16"/>
              </w:rPr>
              <w:t>Cash</w:t>
            </w:r>
            <w:r>
              <w:rPr>
                <w:spacing w:val="-10"/>
                <w:w w:val="105"/>
                <w:sz w:val="16"/>
              </w:rPr>
              <w:t> </w:t>
            </w:r>
            <w:r>
              <w:rPr>
                <w:w w:val="105"/>
                <w:sz w:val="16"/>
              </w:rPr>
              <w:t>and</w:t>
            </w:r>
            <w:r>
              <w:rPr>
                <w:spacing w:val="-9"/>
                <w:w w:val="105"/>
                <w:sz w:val="16"/>
              </w:rPr>
              <w:t> </w:t>
            </w:r>
            <w:r>
              <w:rPr>
                <w:w w:val="105"/>
                <w:sz w:val="16"/>
              </w:rPr>
              <w:t>cash</w:t>
            </w:r>
            <w:r>
              <w:rPr>
                <w:spacing w:val="-9"/>
                <w:w w:val="105"/>
                <w:sz w:val="16"/>
              </w:rPr>
              <w:t> </w:t>
            </w:r>
            <w:r>
              <w:rPr>
                <w:w w:val="105"/>
                <w:sz w:val="16"/>
              </w:rPr>
              <w:t>equivalents</w:t>
            </w:r>
            <w:r>
              <w:rPr>
                <w:spacing w:val="-9"/>
                <w:w w:val="105"/>
                <w:sz w:val="16"/>
              </w:rPr>
              <w:t> </w:t>
            </w:r>
            <w:r>
              <w:rPr>
                <w:w w:val="105"/>
                <w:sz w:val="16"/>
              </w:rPr>
              <w:t>at</w:t>
            </w:r>
            <w:r>
              <w:rPr>
                <w:spacing w:val="-9"/>
                <w:w w:val="105"/>
                <w:sz w:val="16"/>
              </w:rPr>
              <w:t> </w:t>
            </w:r>
            <w:r>
              <w:rPr>
                <w:w w:val="105"/>
                <w:sz w:val="16"/>
              </w:rPr>
              <w:t>beginning</w:t>
            </w:r>
            <w:r>
              <w:rPr>
                <w:spacing w:val="-9"/>
                <w:w w:val="105"/>
                <w:sz w:val="16"/>
              </w:rPr>
              <w:t> </w:t>
            </w:r>
            <w:r>
              <w:rPr>
                <w:w w:val="105"/>
                <w:sz w:val="16"/>
              </w:rPr>
              <w:t>of</w:t>
            </w:r>
            <w:r>
              <w:rPr>
                <w:spacing w:val="-10"/>
                <w:w w:val="105"/>
                <w:sz w:val="16"/>
              </w:rPr>
              <w:t> </w:t>
            </w:r>
            <w:r>
              <w:rPr>
                <w:spacing w:val="-4"/>
                <w:w w:val="105"/>
                <w:sz w:val="16"/>
              </w:rPr>
              <w:t>year</w:t>
            </w:r>
          </w:p>
        </w:tc>
        <w:tc>
          <w:tcPr>
            <w:tcW w:w="912" w:type="dxa"/>
            <w:tcBorders>
              <w:bottom w:val="single" w:sz="6" w:space="0" w:color="000000"/>
            </w:tcBorders>
            <w:shd w:val="clear" w:color="auto" w:fill="CCEDFF"/>
          </w:tcPr>
          <w:p>
            <w:pPr>
              <w:pStyle w:val="TableParagraph"/>
              <w:rPr>
                <w:sz w:val="14"/>
              </w:rPr>
            </w:pPr>
          </w:p>
        </w:tc>
        <w:tc>
          <w:tcPr>
            <w:tcW w:w="1060" w:type="dxa"/>
            <w:tcBorders>
              <w:bottom w:val="single" w:sz="6" w:space="0" w:color="000000"/>
            </w:tcBorders>
            <w:shd w:val="clear" w:color="auto" w:fill="CCEDFF"/>
          </w:tcPr>
          <w:p>
            <w:pPr>
              <w:pStyle w:val="TableParagraph"/>
              <w:spacing w:line="179" w:lineRule="exact" w:before="3"/>
              <w:ind w:right="139"/>
              <w:jc w:val="right"/>
              <w:rPr>
                <w:b/>
                <w:sz w:val="16"/>
              </w:rPr>
            </w:pPr>
            <w:r>
              <w:rPr>
                <w:b/>
                <w:spacing w:val="-4"/>
                <w:w w:val="105"/>
                <w:sz w:val="16"/>
              </w:rPr>
              <w:t>2,672</w:t>
            </w:r>
          </w:p>
        </w:tc>
        <w:tc>
          <w:tcPr>
            <w:tcW w:w="660" w:type="dxa"/>
            <w:tcBorders>
              <w:bottom w:val="single" w:sz="6" w:space="0" w:color="000000"/>
            </w:tcBorders>
            <w:shd w:val="clear" w:color="auto" w:fill="CCEDFF"/>
          </w:tcPr>
          <w:p>
            <w:pPr>
              <w:pStyle w:val="TableParagraph"/>
              <w:rPr>
                <w:sz w:val="14"/>
              </w:rPr>
            </w:pPr>
          </w:p>
        </w:tc>
        <w:tc>
          <w:tcPr>
            <w:tcW w:w="1060" w:type="dxa"/>
            <w:tcBorders>
              <w:bottom w:val="single" w:sz="6" w:space="0" w:color="000000"/>
            </w:tcBorders>
            <w:shd w:val="clear" w:color="auto" w:fill="CCEDFF"/>
          </w:tcPr>
          <w:p>
            <w:pPr>
              <w:pStyle w:val="TableParagraph"/>
              <w:spacing w:line="179" w:lineRule="exact" w:before="3"/>
              <w:ind w:right="139"/>
              <w:jc w:val="right"/>
              <w:rPr>
                <w:sz w:val="16"/>
              </w:rPr>
            </w:pPr>
            <w:r>
              <w:rPr>
                <w:spacing w:val="-4"/>
                <w:w w:val="105"/>
                <w:sz w:val="16"/>
              </w:rPr>
              <w:t>2,434</w:t>
            </w:r>
          </w:p>
        </w:tc>
        <w:tc>
          <w:tcPr>
            <w:tcW w:w="660" w:type="dxa"/>
            <w:tcBorders>
              <w:bottom w:val="single" w:sz="6" w:space="0" w:color="000000"/>
            </w:tcBorders>
            <w:shd w:val="clear" w:color="auto" w:fill="CCEDFF"/>
          </w:tcPr>
          <w:p>
            <w:pPr>
              <w:pStyle w:val="TableParagraph"/>
              <w:rPr>
                <w:sz w:val="14"/>
              </w:rPr>
            </w:pPr>
          </w:p>
        </w:tc>
        <w:tc>
          <w:tcPr>
            <w:tcW w:w="1033" w:type="dxa"/>
            <w:tcBorders>
              <w:bottom w:val="single" w:sz="6" w:space="0" w:color="000000"/>
            </w:tcBorders>
            <w:shd w:val="clear" w:color="auto" w:fill="CCEDFF"/>
          </w:tcPr>
          <w:p>
            <w:pPr>
              <w:pStyle w:val="TableParagraph"/>
              <w:spacing w:line="179" w:lineRule="exact" w:before="3"/>
              <w:ind w:right="113"/>
              <w:jc w:val="right"/>
              <w:rPr>
                <w:sz w:val="16"/>
              </w:rPr>
            </w:pPr>
            <w:r>
              <w:rPr>
                <w:spacing w:val="-4"/>
                <w:w w:val="105"/>
                <w:sz w:val="16"/>
              </w:rPr>
              <w:t>2,355</w:t>
            </w:r>
          </w:p>
        </w:tc>
      </w:tr>
      <w:tr>
        <w:trPr>
          <w:trHeight w:val="199" w:hRule="atLeast"/>
        </w:trPr>
        <w:tc>
          <w:tcPr>
            <w:tcW w:w="6131" w:type="dxa"/>
            <w:tcBorders>
              <w:bottom w:val="double" w:sz="6" w:space="0" w:color="000000"/>
            </w:tcBorders>
          </w:tcPr>
          <w:p>
            <w:pPr>
              <w:pStyle w:val="TableParagraph"/>
              <w:spacing w:line="177" w:lineRule="exact" w:before="2"/>
              <w:rPr>
                <w:b/>
                <w:sz w:val="16"/>
              </w:rPr>
            </w:pPr>
            <w:r>
              <w:rPr>
                <w:b/>
                <w:w w:val="105"/>
                <w:sz w:val="16"/>
              </w:rPr>
              <w:t>Cash</w:t>
            </w:r>
            <w:r>
              <w:rPr>
                <w:b/>
                <w:spacing w:val="-11"/>
                <w:w w:val="105"/>
                <w:sz w:val="16"/>
              </w:rPr>
              <w:t> </w:t>
            </w:r>
            <w:r>
              <w:rPr>
                <w:b/>
                <w:w w:val="105"/>
                <w:sz w:val="16"/>
              </w:rPr>
              <w:t>and</w:t>
            </w:r>
            <w:r>
              <w:rPr>
                <w:b/>
                <w:spacing w:val="-10"/>
                <w:w w:val="105"/>
                <w:sz w:val="16"/>
              </w:rPr>
              <w:t> </w:t>
            </w:r>
            <w:r>
              <w:rPr>
                <w:b/>
                <w:w w:val="105"/>
                <w:sz w:val="16"/>
              </w:rPr>
              <w:t>cash</w:t>
            </w:r>
            <w:r>
              <w:rPr>
                <w:b/>
                <w:spacing w:val="-10"/>
                <w:w w:val="105"/>
                <w:sz w:val="16"/>
              </w:rPr>
              <w:t> </w:t>
            </w:r>
            <w:r>
              <w:rPr>
                <w:b/>
                <w:w w:val="105"/>
                <w:sz w:val="16"/>
              </w:rPr>
              <w:t>equivalents</w:t>
            </w:r>
            <w:r>
              <w:rPr>
                <w:b/>
                <w:spacing w:val="-10"/>
                <w:w w:val="105"/>
                <w:sz w:val="16"/>
              </w:rPr>
              <w:t> </w:t>
            </w:r>
            <w:r>
              <w:rPr>
                <w:b/>
                <w:w w:val="105"/>
                <w:sz w:val="16"/>
              </w:rPr>
              <w:t>at</w:t>
            </w:r>
            <w:r>
              <w:rPr>
                <w:b/>
                <w:spacing w:val="-10"/>
                <w:w w:val="105"/>
                <w:sz w:val="16"/>
              </w:rPr>
              <w:t> </w:t>
            </w:r>
            <w:r>
              <w:rPr>
                <w:b/>
                <w:w w:val="105"/>
                <w:sz w:val="16"/>
              </w:rPr>
              <w:t>end</w:t>
            </w:r>
            <w:r>
              <w:rPr>
                <w:b/>
                <w:spacing w:val="-10"/>
                <w:w w:val="105"/>
                <w:sz w:val="16"/>
              </w:rPr>
              <w:t> </w:t>
            </w:r>
            <w:r>
              <w:rPr>
                <w:b/>
                <w:w w:val="105"/>
                <w:sz w:val="16"/>
              </w:rPr>
              <w:t>of</w:t>
            </w:r>
            <w:r>
              <w:rPr>
                <w:b/>
                <w:spacing w:val="-10"/>
                <w:w w:val="105"/>
                <w:sz w:val="16"/>
              </w:rPr>
              <w:t> </w:t>
            </w:r>
            <w:r>
              <w:rPr>
                <w:b/>
                <w:spacing w:val="-4"/>
                <w:w w:val="105"/>
                <w:sz w:val="16"/>
              </w:rPr>
              <w:t>year</w:t>
            </w:r>
          </w:p>
        </w:tc>
        <w:tc>
          <w:tcPr>
            <w:tcW w:w="912" w:type="dxa"/>
            <w:tcBorders>
              <w:top w:val="single" w:sz="6" w:space="0" w:color="000000"/>
              <w:bottom w:val="double" w:sz="6" w:space="0" w:color="000000"/>
            </w:tcBorders>
          </w:tcPr>
          <w:p>
            <w:pPr>
              <w:pStyle w:val="TableParagraph"/>
              <w:spacing w:line="177" w:lineRule="exact" w:before="2"/>
              <w:ind w:left="340"/>
              <w:rPr>
                <w:b/>
                <w:sz w:val="16"/>
              </w:rPr>
            </w:pPr>
            <w:r>
              <w:rPr>
                <w:b/>
                <w:spacing w:val="-10"/>
                <w:w w:val="105"/>
                <w:sz w:val="16"/>
              </w:rPr>
              <w:t>$</w:t>
            </w:r>
          </w:p>
        </w:tc>
        <w:tc>
          <w:tcPr>
            <w:tcW w:w="1060" w:type="dxa"/>
            <w:tcBorders>
              <w:top w:val="single" w:sz="6" w:space="0" w:color="000000"/>
              <w:bottom w:val="double" w:sz="6" w:space="0" w:color="000000"/>
            </w:tcBorders>
          </w:tcPr>
          <w:p>
            <w:pPr>
              <w:pStyle w:val="TableParagraph"/>
              <w:spacing w:line="177" w:lineRule="exact" w:before="2"/>
              <w:ind w:right="139"/>
              <w:jc w:val="right"/>
              <w:rPr>
                <w:b/>
                <w:sz w:val="16"/>
              </w:rPr>
            </w:pPr>
            <w:r>
              <w:rPr>
                <w:b/>
                <w:spacing w:val="-4"/>
                <w:w w:val="105"/>
                <w:sz w:val="16"/>
              </w:rPr>
              <w:t>2,148</w:t>
            </w:r>
          </w:p>
        </w:tc>
        <w:tc>
          <w:tcPr>
            <w:tcW w:w="660" w:type="dxa"/>
            <w:tcBorders>
              <w:top w:val="single" w:sz="6" w:space="0" w:color="000000"/>
              <w:bottom w:val="double" w:sz="6" w:space="0" w:color="000000"/>
            </w:tcBorders>
          </w:tcPr>
          <w:p>
            <w:pPr>
              <w:pStyle w:val="TableParagraph"/>
              <w:spacing w:line="177" w:lineRule="exact" w:before="2"/>
              <w:ind w:left="87"/>
              <w:rPr>
                <w:sz w:val="16"/>
              </w:rPr>
            </w:pPr>
            <w:r>
              <w:rPr>
                <w:spacing w:val="-10"/>
                <w:w w:val="105"/>
                <w:sz w:val="16"/>
              </w:rPr>
              <w:t>$</w:t>
            </w:r>
          </w:p>
        </w:tc>
        <w:tc>
          <w:tcPr>
            <w:tcW w:w="1060" w:type="dxa"/>
            <w:tcBorders>
              <w:top w:val="single" w:sz="6" w:space="0" w:color="000000"/>
              <w:bottom w:val="double" w:sz="6" w:space="0" w:color="000000"/>
            </w:tcBorders>
          </w:tcPr>
          <w:p>
            <w:pPr>
              <w:pStyle w:val="TableParagraph"/>
              <w:spacing w:line="177" w:lineRule="exact" w:before="2"/>
              <w:ind w:right="139"/>
              <w:jc w:val="right"/>
              <w:rPr>
                <w:sz w:val="16"/>
              </w:rPr>
            </w:pPr>
            <w:r>
              <w:rPr>
                <w:spacing w:val="-4"/>
                <w:w w:val="105"/>
                <w:sz w:val="16"/>
              </w:rPr>
              <w:t>2,672</w:t>
            </w:r>
          </w:p>
        </w:tc>
        <w:tc>
          <w:tcPr>
            <w:tcW w:w="660" w:type="dxa"/>
            <w:tcBorders>
              <w:top w:val="single" w:sz="6" w:space="0" w:color="000000"/>
              <w:bottom w:val="double" w:sz="6" w:space="0" w:color="000000"/>
            </w:tcBorders>
          </w:tcPr>
          <w:p>
            <w:pPr>
              <w:pStyle w:val="TableParagraph"/>
              <w:spacing w:line="177" w:lineRule="exact" w:before="2"/>
              <w:ind w:left="87"/>
              <w:rPr>
                <w:sz w:val="16"/>
              </w:rPr>
            </w:pPr>
            <w:r>
              <w:rPr>
                <w:spacing w:val="-10"/>
                <w:w w:val="105"/>
                <w:sz w:val="16"/>
              </w:rPr>
              <w:t>$</w:t>
            </w:r>
          </w:p>
        </w:tc>
        <w:tc>
          <w:tcPr>
            <w:tcW w:w="1033" w:type="dxa"/>
            <w:tcBorders>
              <w:top w:val="single" w:sz="6" w:space="0" w:color="000000"/>
              <w:bottom w:val="double" w:sz="6" w:space="0" w:color="000000"/>
            </w:tcBorders>
          </w:tcPr>
          <w:p>
            <w:pPr>
              <w:pStyle w:val="TableParagraph"/>
              <w:spacing w:line="177" w:lineRule="exact" w:before="2"/>
              <w:ind w:right="113"/>
              <w:jc w:val="right"/>
              <w:rPr>
                <w:sz w:val="16"/>
              </w:rPr>
            </w:pPr>
            <w:r>
              <w:rPr>
                <w:spacing w:val="-4"/>
                <w:w w:val="105"/>
                <w:sz w:val="16"/>
              </w:rPr>
              <w:t>2,434</w:t>
            </w:r>
          </w:p>
        </w:tc>
      </w:tr>
      <w:tr>
        <w:trPr>
          <w:trHeight w:val="389" w:hRule="atLeast"/>
        </w:trPr>
        <w:tc>
          <w:tcPr>
            <w:tcW w:w="6131" w:type="dxa"/>
            <w:tcBorders>
              <w:top w:val="double" w:sz="6" w:space="0" w:color="000000"/>
            </w:tcBorders>
          </w:tcPr>
          <w:p>
            <w:pPr>
              <w:pStyle w:val="TableParagraph"/>
              <w:spacing w:before="19"/>
              <w:rPr>
                <w:sz w:val="16"/>
              </w:rPr>
            </w:pPr>
          </w:p>
          <w:p>
            <w:pPr>
              <w:pStyle w:val="TableParagraph"/>
              <w:spacing w:line="165" w:lineRule="exact" w:before="1"/>
              <w:rPr>
                <w:sz w:val="16"/>
              </w:rPr>
            </w:pPr>
            <w:r>
              <w:rPr>
                <w:w w:val="105"/>
                <w:sz w:val="16"/>
              </w:rPr>
              <w:t>The</w:t>
            </w:r>
            <w:r>
              <w:rPr>
                <w:spacing w:val="-10"/>
                <w:w w:val="105"/>
                <w:sz w:val="16"/>
              </w:rPr>
              <w:t> </w:t>
            </w:r>
            <w:r>
              <w:rPr>
                <w:w w:val="105"/>
                <w:sz w:val="16"/>
              </w:rPr>
              <w:t>accompanying</w:t>
            </w:r>
            <w:r>
              <w:rPr>
                <w:spacing w:val="-9"/>
                <w:w w:val="105"/>
                <w:sz w:val="16"/>
              </w:rPr>
              <w:t> </w:t>
            </w:r>
            <w:r>
              <w:rPr>
                <w:w w:val="105"/>
                <w:sz w:val="16"/>
              </w:rPr>
              <w:t>notes</w:t>
            </w:r>
            <w:r>
              <w:rPr>
                <w:spacing w:val="-9"/>
                <w:w w:val="105"/>
                <w:sz w:val="16"/>
              </w:rPr>
              <w:t> </w:t>
            </w:r>
            <w:r>
              <w:rPr>
                <w:w w:val="105"/>
                <w:sz w:val="16"/>
              </w:rPr>
              <w:t>are</w:t>
            </w:r>
            <w:r>
              <w:rPr>
                <w:spacing w:val="-8"/>
                <w:w w:val="105"/>
                <w:sz w:val="16"/>
              </w:rPr>
              <w:t> </w:t>
            </w:r>
            <w:r>
              <w:rPr>
                <w:w w:val="105"/>
                <w:sz w:val="16"/>
              </w:rPr>
              <w:t>an</w:t>
            </w:r>
            <w:r>
              <w:rPr>
                <w:spacing w:val="-9"/>
                <w:w w:val="105"/>
                <w:sz w:val="16"/>
              </w:rPr>
              <w:t> </w:t>
            </w:r>
            <w:r>
              <w:rPr>
                <w:w w:val="105"/>
                <w:sz w:val="16"/>
              </w:rPr>
              <w:t>integral</w:t>
            </w:r>
            <w:r>
              <w:rPr>
                <w:spacing w:val="-10"/>
                <w:w w:val="105"/>
                <w:sz w:val="16"/>
              </w:rPr>
              <w:t> </w:t>
            </w:r>
            <w:r>
              <w:rPr>
                <w:w w:val="105"/>
                <w:sz w:val="16"/>
              </w:rPr>
              <w:t>part</w:t>
            </w:r>
            <w:r>
              <w:rPr>
                <w:spacing w:val="-9"/>
                <w:w w:val="105"/>
                <w:sz w:val="16"/>
              </w:rPr>
              <w:t> </w:t>
            </w:r>
            <w:r>
              <w:rPr>
                <w:w w:val="105"/>
                <w:sz w:val="16"/>
              </w:rPr>
              <w:t>of</w:t>
            </w:r>
            <w:r>
              <w:rPr>
                <w:spacing w:val="-9"/>
                <w:w w:val="105"/>
                <w:sz w:val="16"/>
              </w:rPr>
              <w:t> </w:t>
            </w:r>
            <w:r>
              <w:rPr>
                <w:w w:val="105"/>
                <w:sz w:val="16"/>
              </w:rPr>
              <w:t>these</w:t>
            </w:r>
            <w:r>
              <w:rPr>
                <w:spacing w:val="-10"/>
                <w:w w:val="105"/>
                <w:sz w:val="16"/>
              </w:rPr>
              <w:t> </w:t>
            </w:r>
            <w:r>
              <w:rPr>
                <w:w w:val="105"/>
                <w:sz w:val="16"/>
              </w:rPr>
              <w:t>consolidated</w:t>
            </w:r>
            <w:r>
              <w:rPr>
                <w:spacing w:val="-9"/>
                <w:w w:val="105"/>
                <w:sz w:val="16"/>
              </w:rPr>
              <w:t> </w:t>
            </w:r>
            <w:r>
              <w:rPr>
                <w:w w:val="105"/>
                <w:sz w:val="16"/>
              </w:rPr>
              <w:t>financial</w:t>
            </w:r>
            <w:r>
              <w:rPr>
                <w:spacing w:val="-9"/>
                <w:w w:val="105"/>
                <w:sz w:val="16"/>
              </w:rPr>
              <w:t> </w:t>
            </w:r>
            <w:r>
              <w:rPr>
                <w:spacing w:val="-2"/>
                <w:w w:val="105"/>
                <w:sz w:val="16"/>
              </w:rPr>
              <w:t>statements.</w:t>
            </w:r>
          </w:p>
        </w:tc>
        <w:tc>
          <w:tcPr>
            <w:tcW w:w="912" w:type="dxa"/>
            <w:tcBorders>
              <w:top w:val="double" w:sz="6" w:space="0" w:color="000000"/>
            </w:tcBorders>
          </w:tcPr>
          <w:p>
            <w:pPr>
              <w:pStyle w:val="TableParagraph"/>
              <w:rPr>
                <w:sz w:val="16"/>
              </w:rPr>
            </w:pPr>
          </w:p>
        </w:tc>
        <w:tc>
          <w:tcPr>
            <w:tcW w:w="1060" w:type="dxa"/>
            <w:tcBorders>
              <w:top w:val="double" w:sz="6" w:space="0" w:color="000000"/>
            </w:tcBorders>
          </w:tcPr>
          <w:p>
            <w:pPr>
              <w:pStyle w:val="TableParagraph"/>
              <w:rPr>
                <w:sz w:val="16"/>
              </w:rPr>
            </w:pPr>
          </w:p>
        </w:tc>
        <w:tc>
          <w:tcPr>
            <w:tcW w:w="660" w:type="dxa"/>
            <w:tcBorders>
              <w:top w:val="double" w:sz="6" w:space="0" w:color="000000"/>
            </w:tcBorders>
          </w:tcPr>
          <w:p>
            <w:pPr>
              <w:pStyle w:val="TableParagraph"/>
              <w:rPr>
                <w:sz w:val="16"/>
              </w:rPr>
            </w:pPr>
          </w:p>
        </w:tc>
        <w:tc>
          <w:tcPr>
            <w:tcW w:w="1060" w:type="dxa"/>
            <w:tcBorders>
              <w:top w:val="double" w:sz="6" w:space="0" w:color="000000"/>
            </w:tcBorders>
          </w:tcPr>
          <w:p>
            <w:pPr>
              <w:pStyle w:val="TableParagraph"/>
              <w:rPr>
                <w:sz w:val="16"/>
              </w:rPr>
            </w:pPr>
          </w:p>
        </w:tc>
        <w:tc>
          <w:tcPr>
            <w:tcW w:w="660" w:type="dxa"/>
            <w:tcBorders>
              <w:top w:val="double" w:sz="6" w:space="0" w:color="000000"/>
            </w:tcBorders>
          </w:tcPr>
          <w:p>
            <w:pPr>
              <w:pStyle w:val="TableParagraph"/>
              <w:rPr>
                <w:sz w:val="16"/>
              </w:rPr>
            </w:pPr>
          </w:p>
        </w:tc>
        <w:tc>
          <w:tcPr>
            <w:tcW w:w="1033" w:type="dxa"/>
            <w:tcBorders>
              <w:top w:val="double" w:sz="6" w:space="0" w:color="000000"/>
            </w:tcBorders>
          </w:tcPr>
          <w:p>
            <w:pPr>
              <w:pStyle w:val="TableParagraph"/>
              <w:rPr>
                <w:sz w:val="16"/>
              </w:rPr>
            </w:pPr>
          </w:p>
        </w:tc>
      </w:tr>
    </w:tbl>
    <w:p>
      <w:pPr>
        <w:pStyle w:val="BodyText"/>
        <w:spacing w:before="74"/>
      </w:pPr>
    </w:p>
    <w:p>
      <w:pPr>
        <w:pStyle w:val="BodyText"/>
        <w:ind w:left="48"/>
        <w:jc w:val="center"/>
      </w:pPr>
      <w:r>
        <w:rPr>
          <w:spacing w:val="-5"/>
          <w:w w:val="105"/>
        </w:rPr>
        <w:t>68</w:t>
      </w:r>
    </w:p>
    <w:p>
      <w:pPr>
        <w:pStyle w:val="BodyText"/>
        <w:spacing w:before="11"/>
        <w:rPr>
          <w:sz w:val="5"/>
        </w:rPr>
      </w:pPr>
      <w:r>
        <w:rPr/>
        <mc:AlternateContent>
          <mc:Choice Requires="wps">
            <w:drawing>
              <wp:anchor distT="0" distB="0" distL="0" distR="0" allowOverlap="1" layoutInCell="1" locked="0" behindDoc="1" simplePos="0" relativeHeight="487650304">
                <wp:simplePos x="0" y="0"/>
                <wp:positionH relativeFrom="page">
                  <wp:posOffset>226488</wp:posOffset>
                </wp:positionH>
                <wp:positionV relativeFrom="paragraph">
                  <wp:posOffset>58734</wp:posOffset>
                </wp:positionV>
                <wp:extent cx="7312659" cy="1651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66176;mso-wrap-distance-left:0;mso-wrap-distance-right:0" id="docshape170"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pPr>
    </w:p>
    <w:p>
      <w:pPr>
        <w:pStyle w:val="BodyText"/>
        <w:spacing w:before="58"/>
      </w:pPr>
    </w:p>
    <w:p>
      <w:pPr>
        <w:pStyle w:val="Heading2"/>
        <w:tabs>
          <w:tab w:pos="8157" w:val="left" w:leader="none"/>
        </w:tabs>
      </w:pPr>
      <w:r>
        <w:rPr/>
        <mc:AlternateContent>
          <mc:Choice Requires="wps">
            <w:drawing>
              <wp:anchor distT="0" distB="0" distL="0" distR="0" allowOverlap="1" layoutInCell="1" locked="0" behindDoc="0" simplePos="0" relativeHeight="15795712">
                <wp:simplePos x="0" y="0"/>
                <wp:positionH relativeFrom="page">
                  <wp:posOffset>226479</wp:posOffset>
                </wp:positionH>
                <wp:positionV relativeFrom="paragraph">
                  <wp:posOffset>127391</wp:posOffset>
                </wp:positionV>
                <wp:extent cx="7312659" cy="1651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7312659" cy="16510"/>
                        </a:xfrm>
                        <a:custGeom>
                          <a:avLst/>
                          <a:gdLst/>
                          <a:ahLst/>
                          <a:cxnLst/>
                          <a:rect l="l" t="t" r="r" b="b"/>
                          <a:pathLst>
                            <a:path w="7312659" h="16510">
                              <a:moveTo>
                                <a:pt x="7312342" y="0"/>
                              </a:moveTo>
                              <a:lnTo>
                                <a:pt x="3656177" y="0"/>
                              </a:lnTo>
                              <a:lnTo>
                                <a:pt x="0" y="0"/>
                              </a:lnTo>
                              <a:lnTo>
                                <a:pt x="0" y="16179"/>
                              </a:lnTo>
                              <a:lnTo>
                                <a:pt x="3656177"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10.030856pt;width:575.8pt;height:1.3pt;mso-position-horizontal-relative:page;mso-position-vertical-relative:paragraph;z-index:15795712" id="docshape171" coordorigin="357,201" coordsize="11516,26" path="m11872,201l6114,201,357,201,357,226,6114,226,11872,226,11872,20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226479</wp:posOffset>
                </wp:positionH>
                <wp:positionV relativeFrom="paragraph">
                  <wp:posOffset>216368</wp:posOffset>
                </wp:positionV>
                <wp:extent cx="7312659" cy="1651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17.036856pt;width:575.775027pt;height:1.274pt;mso-position-horizontal-relative:page;mso-position-vertical-relative:paragraph;z-index:15796224" id="docshape172" filled="true" fillcolor="#000000" stroked="false">
                <v:fill type="solid"/>
                <w10:wrap type="none"/>
              </v:rect>
            </w:pict>
          </mc:Fallback>
        </mc:AlternateContent>
      </w:r>
      <w:bookmarkStart w:name="_bookmark7" w:id="8"/>
      <w:bookmarkEnd w:id="8"/>
      <w:r>
        <w:rPr>
          <w:b w:val="0"/>
        </w:rPr>
      </w:r>
      <w:r>
        <w:rPr/>
        <w:t>Consolidated</w:t>
      </w:r>
      <w:r>
        <w:rPr>
          <w:spacing w:val="12"/>
        </w:rPr>
        <w:t> </w:t>
      </w:r>
      <w:r>
        <w:rPr/>
        <w:t>Statements</w:t>
      </w:r>
      <w:r>
        <w:rPr>
          <w:spacing w:val="12"/>
        </w:rPr>
        <w:t> </w:t>
      </w:r>
      <w:r>
        <w:rPr/>
        <w:t>of</w:t>
      </w:r>
      <w:r>
        <w:rPr>
          <w:spacing w:val="13"/>
        </w:rPr>
        <w:t> </w:t>
      </w:r>
      <w:r>
        <w:rPr/>
        <w:t>Changes</w:t>
      </w:r>
      <w:r>
        <w:rPr>
          <w:spacing w:val="12"/>
        </w:rPr>
        <w:t> </w:t>
      </w:r>
      <w:r>
        <w:rPr/>
        <w:t>in</w:t>
      </w:r>
      <w:r>
        <w:rPr>
          <w:spacing w:val="12"/>
        </w:rPr>
        <w:t> </w:t>
      </w:r>
      <w:r>
        <w:rPr/>
        <w:t>Shareholders</w:t>
      </w:r>
      <w:r>
        <w:rPr>
          <w:b w:val="0"/>
        </w:rPr>
        <w:t>’</w:t>
      </w:r>
      <w:r>
        <w:rPr>
          <w:b w:val="0"/>
          <w:spacing w:val="13"/>
        </w:rPr>
        <w:t> </w:t>
      </w:r>
      <w:r>
        <w:rPr>
          <w:spacing w:val="-2"/>
        </w:rPr>
        <w:t>Equity</w:t>
      </w:r>
      <w:r>
        <w:rPr/>
        <w:tab/>
        <w:t>Corning</w:t>
      </w:r>
      <w:r>
        <w:rPr>
          <w:spacing w:val="16"/>
        </w:rPr>
        <w:t> </w:t>
      </w:r>
      <w:r>
        <w:rPr/>
        <w:t>Incorporated</w:t>
      </w:r>
      <w:r>
        <w:rPr>
          <w:spacing w:val="16"/>
        </w:rPr>
        <w:t> </w:t>
      </w:r>
      <w:r>
        <w:rPr/>
        <w:t>and</w:t>
      </w:r>
      <w:r>
        <w:rPr>
          <w:spacing w:val="16"/>
        </w:rPr>
        <w:t> </w:t>
      </w:r>
      <w:r>
        <w:rPr/>
        <w:t>Subsidiary</w:t>
      </w:r>
      <w:r>
        <w:rPr>
          <w:spacing w:val="17"/>
        </w:rPr>
        <w:t> </w:t>
      </w:r>
      <w:r>
        <w:rPr>
          <w:spacing w:val="-2"/>
        </w:rPr>
        <w:t>Companies</w:t>
      </w:r>
    </w:p>
    <w:p>
      <w:pPr>
        <w:spacing w:after="0"/>
        <w:sectPr>
          <w:pgSz w:w="12240" w:h="15840"/>
          <w:pgMar w:header="428" w:footer="0" w:top="620" w:bottom="280" w:left="200" w:right="260"/>
        </w:sectPr>
      </w:pPr>
    </w:p>
    <w:p>
      <w:pPr>
        <w:pStyle w:val="BodyText"/>
        <w:rPr>
          <w:b/>
          <w:sz w:val="14"/>
        </w:rPr>
      </w:pPr>
    </w:p>
    <w:p>
      <w:pPr>
        <w:pStyle w:val="BodyText"/>
        <w:spacing w:before="9"/>
        <w:rPr>
          <w:b/>
          <w:sz w:val="14"/>
        </w:rPr>
      </w:pPr>
    </w:p>
    <w:p>
      <w:pPr>
        <w:tabs>
          <w:tab w:pos="7903" w:val="left" w:leader="none"/>
        </w:tabs>
        <w:spacing w:line="159" w:lineRule="exact" w:before="0"/>
        <w:ind w:left="5143" w:right="0" w:firstLine="0"/>
        <w:jc w:val="left"/>
        <w:rPr>
          <w:sz w:val="14"/>
        </w:rPr>
      </w:pPr>
      <w:r>
        <w:rPr>
          <w:spacing w:val="-2"/>
          <w:sz w:val="14"/>
        </w:rPr>
        <w:t>Additional</w:t>
      </w:r>
      <w:r>
        <w:rPr>
          <w:sz w:val="14"/>
        </w:rPr>
        <w:tab/>
      </w:r>
      <w:r>
        <w:rPr>
          <w:spacing w:val="-2"/>
          <w:sz w:val="14"/>
        </w:rPr>
        <w:t>Accumulated</w:t>
      </w:r>
    </w:p>
    <w:p>
      <w:pPr>
        <w:spacing w:line="240" w:lineRule="auto" w:before="23"/>
        <w:rPr>
          <w:sz w:val="14"/>
        </w:rPr>
      </w:pPr>
      <w:r>
        <w:rPr/>
        <w:br w:type="column"/>
      </w:r>
      <w:r>
        <w:rPr>
          <w:sz w:val="14"/>
        </w:rPr>
      </w:r>
    </w:p>
    <w:p>
      <w:pPr>
        <w:spacing w:line="228" w:lineRule="auto" w:before="0"/>
        <w:ind w:left="396" w:right="2233" w:firstLine="82"/>
        <w:jc w:val="left"/>
        <w:rPr>
          <w:sz w:val="14"/>
        </w:rPr>
      </w:pPr>
      <w:r>
        <w:rPr>
          <w:spacing w:val="-2"/>
          <w:sz w:val="14"/>
        </w:rPr>
        <w:t>Total</w:t>
      </w:r>
      <w:r>
        <w:rPr>
          <w:spacing w:val="40"/>
          <w:sz w:val="14"/>
        </w:rPr>
        <w:t> </w:t>
      </w:r>
      <w:r>
        <w:rPr>
          <w:spacing w:val="-2"/>
          <w:sz w:val="14"/>
        </w:rPr>
        <w:t>Corning</w:t>
      </w:r>
    </w:p>
    <w:p>
      <w:pPr>
        <w:spacing w:after="0" w:line="228" w:lineRule="auto"/>
        <w:jc w:val="left"/>
        <w:rPr>
          <w:sz w:val="14"/>
        </w:rPr>
        <w:sectPr>
          <w:type w:val="continuous"/>
          <w:pgSz w:w="12240" w:h="15840"/>
          <w:pgMar w:header="428" w:footer="0" w:top="700" w:bottom="280" w:left="200" w:right="260"/>
          <w:cols w:num="2" w:equalWidth="0">
            <w:col w:w="8650" w:space="40"/>
            <w:col w:w="3090"/>
          </w:cols>
        </w:sectPr>
      </w:pPr>
    </w:p>
    <w:p>
      <w:pPr>
        <w:tabs>
          <w:tab w:pos="4265" w:val="left" w:leader="none"/>
          <w:tab w:pos="5244" w:val="left" w:leader="none"/>
          <w:tab w:pos="6111" w:val="left" w:leader="none"/>
          <w:tab w:pos="7028" w:val="left" w:leader="none"/>
          <w:tab w:pos="7853" w:val="left" w:leader="none"/>
          <w:tab w:pos="8133" w:val="left" w:leader="none"/>
          <w:tab w:pos="8938" w:val="left" w:leader="none"/>
          <w:tab w:pos="9976" w:val="left" w:leader="none"/>
          <w:tab w:pos="10139" w:val="left" w:leader="none"/>
        </w:tabs>
        <w:spacing w:line="228" w:lineRule="auto" w:before="1"/>
        <w:ind w:left="3352" w:right="1186" w:hanging="75"/>
        <w:jc w:val="left"/>
        <w:rPr>
          <w:sz w:val="14"/>
        </w:rPr>
      </w:pPr>
      <w:r>
        <w:rPr>
          <w:spacing w:val="-2"/>
          <w:sz w:val="14"/>
        </w:rPr>
        <w:t>Convertible</w:t>
      </w:r>
      <w:r>
        <w:rPr>
          <w:sz w:val="14"/>
        </w:rPr>
        <w:tab/>
        <w:tab/>
      </w:r>
      <w:r>
        <w:rPr>
          <w:spacing w:val="-2"/>
          <w:sz w:val="14"/>
        </w:rPr>
        <w:t>paid-in</w:t>
      </w:r>
      <w:r>
        <w:rPr>
          <w:sz w:val="14"/>
        </w:rPr>
        <w:tab/>
        <w:tab/>
        <w:tab/>
        <w:tab/>
      </w:r>
      <w:r>
        <w:rPr>
          <w:spacing w:val="-2"/>
          <w:sz w:val="14"/>
        </w:rPr>
        <w:t>other</w:t>
      </w:r>
      <w:r>
        <w:rPr>
          <w:sz w:val="14"/>
        </w:rPr>
        <w:tab/>
      </w:r>
      <w:r>
        <w:rPr>
          <w:spacing w:val="-16"/>
          <w:sz w:val="14"/>
        </w:rPr>
        <w:t> </w:t>
      </w:r>
      <w:r>
        <w:rPr>
          <w:sz w:val="14"/>
        </w:rPr>
        <w:t>Incorporated</w:t>
        <w:tab/>
        <w:tab/>
      </w:r>
      <w:r>
        <w:rPr>
          <w:spacing w:val="-4"/>
          <w:sz w:val="14"/>
        </w:rPr>
        <w:t>Non-</w:t>
      </w:r>
      <w:r>
        <w:rPr>
          <w:spacing w:val="40"/>
          <w:sz w:val="14"/>
        </w:rPr>
        <w:t> </w:t>
      </w:r>
      <w:r>
        <w:rPr>
          <w:spacing w:val="-2"/>
          <w:sz w:val="14"/>
        </w:rPr>
        <w:t>preferred</w:t>
      </w:r>
      <w:r>
        <w:rPr>
          <w:sz w:val="14"/>
        </w:rPr>
        <w:tab/>
      </w:r>
      <w:r>
        <w:rPr>
          <w:spacing w:val="-2"/>
          <w:sz w:val="14"/>
        </w:rPr>
        <w:t>Common</w:t>
      </w:r>
      <w:r>
        <w:rPr>
          <w:sz w:val="14"/>
        </w:rPr>
        <w:tab/>
      </w:r>
      <w:r>
        <w:rPr>
          <w:spacing w:val="-24"/>
          <w:sz w:val="14"/>
        </w:rPr>
        <w:t> </w:t>
      </w:r>
      <w:r>
        <w:rPr>
          <w:sz w:val="14"/>
        </w:rPr>
        <w:t>capital</w:t>
        <w:tab/>
      </w:r>
      <w:r>
        <w:rPr>
          <w:spacing w:val="-2"/>
          <w:sz w:val="14"/>
        </w:rPr>
        <w:t>Retained</w:t>
      </w:r>
      <w:r>
        <w:rPr>
          <w:sz w:val="14"/>
        </w:rPr>
        <w:tab/>
      </w:r>
      <w:r>
        <w:rPr>
          <w:spacing w:val="-2"/>
          <w:sz w:val="14"/>
        </w:rPr>
        <w:t>Treasury</w:t>
      </w:r>
      <w:r>
        <w:rPr>
          <w:sz w:val="14"/>
        </w:rPr>
        <w:tab/>
      </w:r>
      <w:r>
        <w:rPr>
          <w:spacing w:val="-2"/>
          <w:sz w:val="14"/>
        </w:rPr>
        <w:t>comprehensive</w:t>
      </w:r>
      <w:r>
        <w:rPr>
          <w:sz w:val="14"/>
        </w:rPr>
        <w:tab/>
      </w:r>
      <w:r>
        <w:rPr>
          <w:spacing w:val="-2"/>
          <w:sz w:val="14"/>
        </w:rPr>
        <w:t>shareholders’</w:t>
      </w:r>
      <w:r>
        <w:rPr>
          <w:sz w:val="14"/>
        </w:rPr>
        <w:tab/>
      </w:r>
      <w:r>
        <w:rPr>
          <w:spacing w:val="-2"/>
          <w:sz w:val="14"/>
        </w:rPr>
        <w:t>controlling</w:t>
      </w:r>
    </w:p>
    <w:p>
      <w:pPr>
        <w:tabs>
          <w:tab w:pos="3461" w:val="left" w:leader="none"/>
          <w:tab w:pos="4378" w:val="left" w:leader="none"/>
          <w:tab w:pos="5197" w:val="left" w:leader="none"/>
          <w:tab w:pos="6122" w:val="left" w:leader="none"/>
          <w:tab w:pos="7129" w:val="left" w:leader="none"/>
          <w:tab w:pos="8168" w:val="left" w:leader="none"/>
          <w:tab w:pos="9140" w:val="left" w:leader="none"/>
          <w:tab w:pos="10050" w:val="left" w:leader="none"/>
          <w:tab w:pos="11065" w:val="left" w:leader="none"/>
        </w:tabs>
        <w:spacing w:line="154" w:lineRule="exact" w:before="0"/>
        <w:ind w:left="156" w:right="0" w:firstLine="0"/>
        <w:jc w:val="left"/>
        <w:rPr>
          <w:sz w:val="14"/>
        </w:rPr>
      </w:pPr>
      <w:r>
        <w:rPr>
          <w:sz w:val="14"/>
        </w:rPr>
        <w:t>(In </w:t>
      </w:r>
      <w:r>
        <w:rPr>
          <w:spacing w:val="-2"/>
          <w:sz w:val="14"/>
        </w:rPr>
        <w:t>millions)</w:t>
      </w:r>
      <w:r>
        <w:rPr>
          <w:sz w:val="14"/>
        </w:rPr>
        <w:tab/>
      </w:r>
      <w:r>
        <w:rPr>
          <w:spacing w:val="-2"/>
          <w:sz w:val="14"/>
        </w:rPr>
        <w:t>stock</w:t>
      </w:r>
      <w:r>
        <w:rPr>
          <w:sz w:val="14"/>
        </w:rPr>
        <w:tab/>
      </w:r>
      <w:r>
        <w:rPr>
          <w:spacing w:val="-2"/>
          <w:sz w:val="14"/>
        </w:rPr>
        <w:t>stock</w:t>
      </w:r>
      <w:r>
        <w:rPr>
          <w:sz w:val="14"/>
        </w:rPr>
        <w:tab/>
      </w:r>
      <w:r>
        <w:rPr>
          <w:spacing w:val="-2"/>
          <w:sz w:val="14"/>
        </w:rPr>
        <w:t>common</w:t>
      </w:r>
      <w:r>
        <w:rPr>
          <w:sz w:val="14"/>
        </w:rPr>
        <w:tab/>
      </w:r>
      <w:r>
        <w:rPr>
          <w:spacing w:val="-2"/>
          <w:sz w:val="14"/>
        </w:rPr>
        <w:t>earnings</w:t>
      </w:r>
      <w:r>
        <w:rPr>
          <w:sz w:val="14"/>
        </w:rPr>
        <w:tab/>
      </w:r>
      <w:r>
        <w:rPr>
          <w:spacing w:val="-2"/>
          <w:sz w:val="14"/>
        </w:rPr>
        <w:t>stock</w:t>
      </w:r>
      <w:r>
        <w:rPr>
          <w:sz w:val="14"/>
        </w:rPr>
        <w:tab/>
      </w:r>
      <w:r>
        <w:rPr>
          <w:spacing w:val="-4"/>
          <w:sz w:val="14"/>
        </w:rPr>
        <w:t>loss</w:t>
      </w:r>
      <w:r>
        <w:rPr>
          <w:sz w:val="14"/>
        </w:rPr>
        <w:tab/>
      </w:r>
      <w:r>
        <w:rPr>
          <w:spacing w:val="-2"/>
          <w:sz w:val="14"/>
        </w:rPr>
        <w:t>equity</w:t>
      </w:r>
      <w:r>
        <w:rPr>
          <w:sz w:val="14"/>
        </w:rPr>
        <w:tab/>
      </w:r>
      <w:r>
        <w:rPr>
          <w:spacing w:val="-2"/>
          <w:sz w:val="14"/>
        </w:rPr>
        <w:t>interests</w:t>
      </w:r>
      <w:r>
        <w:rPr>
          <w:sz w:val="14"/>
        </w:rPr>
        <w:tab/>
      </w:r>
      <w:r>
        <w:rPr>
          <w:spacing w:val="-2"/>
          <w:sz w:val="14"/>
        </w:rPr>
        <w:t>Total</w:t>
      </w:r>
    </w:p>
    <w:p>
      <w:pPr>
        <w:pStyle w:val="BodyText"/>
        <w:spacing w:line="165" w:lineRule="exact"/>
        <w:ind w:left="156"/>
      </w:pPr>
      <w:r>
        <w:rPr>
          <w:position w:val="-2"/>
        </w:rPr>
        <mc:AlternateContent>
          <mc:Choice Requires="wps">
            <w:drawing>
              <wp:inline distT="0" distB="0" distL="0" distR="0">
                <wp:extent cx="7312659" cy="105410"/>
                <wp:effectExtent l="9525" t="0" r="0" b="8889"/>
                <wp:docPr id="174" name="Group 174"/>
                <wp:cNvGraphicFramePr>
                  <a:graphicFrameLocks/>
                </wp:cNvGraphicFramePr>
                <a:graphic>
                  <a:graphicData uri="http://schemas.microsoft.com/office/word/2010/wordprocessingGroup">
                    <wpg:wgp>
                      <wpg:cNvPr id="174" name="Group 174"/>
                      <wpg:cNvGrpSpPr/>
                      <wpg:grpSpPr>
                        <a:xfrm>
                          <a:off x="0" y="0"/>
                          <a:ext cx="7312659" cy="105410"/>
                          <a:chExt cx="7312659" cy="105410"/>
                        </a:xfrm>
                      </wpg:grpSpPr>
                      <wps:wsp>
                        <wps:cNvPr id="175" name="Graphic 175"/>
                        <wps:cNvSpPr/>
                        <wps:spPr>
                          <a:xfrm>
                            <a:off x="-9" y="5"/>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9" y="8095"/>
                            <a:ext cx="7312659" cy="97155"/>
                          </a:xfrm>
                          <a:custGeom>
                            <a:avLst/>
                            <a:gdLst/>
                            <a:ahLst/>
                            <a:cxnLst/>
                            <a:rect l="l" t="t" r="r" b="b"/>
                            <a:pathLst>
                              <a:path w="7312659" h="97155">
                                <a:moveTo>
                                  <a:pt x="7312342" y="0"/>
                                </a:moveTo>
                                <a:lnTo>
                                  <a:pt x="7312342" y="0"/>
                                </a:lnTo>
                                <a:lnTo>
                                  <a:pt x="0" y="0"/>
                                </a:lnTo>
                                <a:lnTo>
                                  <a:pt x="0" y="97066"/>
                                </a:lnTo>
                                <a:lnTo>
                                  <a:pt x="7312342" y="97066"/>
                                </a:lnTo>
                                <a:lnTo>
                                  <a:pt x="7312342" y="0"/>
                                </a:lnTo>
                                <a:close/>
                              </a:path>
                            </a:pathLst>
                          </a:custGeom>
                          <a:solidFill>
                            <a:srgbClr val="CCEDFF"/>
                          </a:solidFill>
                        </wps:spPr>
                        <wps:bodyPr wrap="square" lIns="0" tIns="0" rIns="0" bIns="0" rtlCol="0">
                          <a:prstTxWarp prst="textNoShape">
                            <a:avLst/>
                          </a:prstTxWarp>
                          <a:noAutofit/>
                        </wps:bodyPr>
                      </wps:wsp>
                      <wps:wsp>
                        <wps:cNvPr id="177" name="Textbox 177"/>
                        <wps:cNvSpPr txBox="1"/>
                        <wps:spPr>
                          <a:xfrm>
                            <a:off x="0" y="8088"/>
                            <a:ext cx="7312659" cy="97155"/>
                          </a:xfrm>
                          <a:prstGeom prst="rect">
                            <a:avLst/>
                          </a:prstGeom>
                        </wps:spPr>
                        <wps:txbx>
                          <w:txbxContent>
                            <w:p>
                              <w:pPr>
                                <w:tabs>
                                  <w:tab w:pos="3108" w:val="left" w:leader="none"/>
                                  <w:tab w:pos="3480" w:val="left" w:leader="none"/>
                                  <w:tab w:pos="4025" w:val="left" w:leader="none"/>
                                  <w:tab w:pos="4502" w:val="left" w:leader="none"/>
                                  <w:tab w:pos="4942" w:val="left" w:leader="none"/>
                                  <w:tab w:pos="5244" w:val="left" w:leader="none"/>
                                  <w:tab w:pos="5859" w:val="left" w:leader="none"/>
                                  <w:tab w:pos="6162" w:val="left" w:leader="none"/>
                                  <w:tab w:pos="6776" w:val="left" w:leader="none"/>
                                  <w:tab w:pos="8185" w:val="left" w:leader="none"/>
                                  <w:tab w:pos="9155" w:val="left" w:leader="none"/>
                                  <w:tab w:pos="9770" w:val="left" w:leader="none"/>
                                  <w:tab w:pos="10343" w:val="left" w:leader="none"/>
                                  <w:tab w:pos="10712" w:val="left" w:leader="none"/>
                                  <w:tab w:pos="11015" w:val="left" w:leader="none"/>
                                </w:tabs>
                                <w:spacing w:line="153" w:lineRule="exact" w:before="0"/>
                                <w:ind w:left="0" w:right="0" w:firstLine="0"/>
                                <w:jc w:val="left"/>
                                <w:rPr>
                                  <w:sz w:val="14"/>
                                </w:rPr>
                              </w:pPr>
                              <w:r>
                                <w:rPr>
                                  <w:sz w:val="14"/>
                                </w:rPr>
                                <w:t>Balance at December 31, </w:t>
                              </w:r>
                              <w:r>
                                <w:rPr>
                                  <w:spacing w:val="-4"/>
                                  <w:sz w:val="14"/>
                                </w:rPr>
                                <w:t>2018</w:t>
                              </w:r>
                              <w:r>
                                <w:rPr>
                                  <w:sz w:val="14"/>
                                </w:rPr>
                                <w:tab/>
                              </w:r>
                              <w:r>
                                <w:rPr>
                                  <w:spacing w:val="-10"/>
                                  <w:sz w:val="14"/>
                                </w:rPr>
                                <w:t>$</w:t>
                              </w:r>
                              <w:r>
                                <w:rPr>
                                  <w:sz w:val="14"/>
                                </w:rPr>
                                <w:tab/>
                              </w:r>
                              <w:r>
                                <w:rPr>
                                  <w:spacing w:val="-2"/>
                                  <w:sz w:val="14"/>
                                </w:rPr>
                                <w:t>2,300</w:t>
                              </w:r>
                              <w:r>
                                <w:rPr>
                                  <w:sz w:val="14"/>
                                </w:rPr>
                                <w:tab/>
                              </w:r>
                              <w:r>
                                <w:rPr>
                                  <w:spacing w:val="-10"/>
                                  <w:sz w:val="14"/>
                                </w:rPr>
                                <w:t>$</w:t>
                              </w:r>
                              <w:r>
                                <w:rPr>
                                  <w:sz w:val="14"/>
                                </w:rPr>
                                <w:tab/>
                              </w:r>
                              <w:r>
                                <w:rPr>
                                  <w:spacing w:val="-5"/>
                                  <w:sz w:val="14"/>
                                </w:rPr>
                                <w:t>857</w:t>
                              </w:r>
                              <w:r>
                                <w:rPr>
                                  <w:sz w:val="14"/>
                                </w:rPr>
                                <w:tab/>
                              </w:r>
                              <w:r>
                                <w:rPr>
                                  <w:spacing w:val="-10"/>
                                  <w:sz w:val="14"/>
                                </w:rPr>
                                <w:t>$</w:t>
                              </w:r>
                              <w:r>
                                <w:rPr>
                                  <w:sz w:val="14"/>
                                </w:rPr>
                                <w:tab/>
                              </w:r>
                              <w:r>
                                <w:rPr>
                                  <w:spacing w:val="-2"/>
                                  <w:sz w:val="14"/>
                                </w:rPr>
                                <w:t>14,212</w:t>
                              </w:r>
                              <w:r>
                                <w:rPr>
                                  <w:sz w:val="14"/>
                                </w:rPr>
                                <w:tab/>
                              </w:r>
                              <w:r>
                                <w:rPr>
                                  <w:spacing w:val="-10"/>
                                  <w:sz w:val="14"/>
                                </w:rPr>
                                <w:t>$</w:t>
                              </w:r>
                              <w:r>
                                <w:rPr>
                                  <w:sz w:val="14"/>
                                </w:rPr>
                                <w:tab/>
                              </w:r>
                              <w:r>
                                <w:rPr>
                                  <w:spacing w:val="-2"/>
                                  <w:sz w:val="14"/>
                                </w:rPr>
                                <w:t>16,303</w:t>
                              </w:r>
                              <w:r>
                                <w:rPr>
                                  <w:sz w:val="14"/>
                                </w:rPr>
                                <w:tab/>
                                <w:t>$</w:t>
                              </w:r>
                              <w:r>
                                <w:rPr>
                                  <w:spacing w:val="55"/>
                                  <w:sz w:val="14"/>
                                </w:rPr>
                                <w:t>  </w:t>
                              </w:r>
                              <w:r>
                                <w:rPr>
                                  <w:sz w:val="14"/>
                                </w:rPr>
                                <w:t>(18,870)</w:t>
                              </w:r>
                              <w:r>
                                <w:rPr>
                                  <w:spacing w:val="55"/>
                                  <w:sz w:val="14"/>
                                </w:rPr>
                                <w:t>  </w:t>
                              </w:r>
                              <w:r>
                                <w:rPr>
                                  <w:spacing w:val="-10"/>
                                  <w:sz w:val="14"/>
                                </w:rPr>
                                <w:t>$</w:t>
                              </w:r>
                              <w:r>
                                <w:rPr>
                                  <w:sz w:val="14"/>
                                </w:rPr>
                                <w:tab/>
                                <w:t>(1,010)</w:t>
                              </w:r>
                              <w:r>
                                <w:rPr>
                                  <w:spacing w:val="53"/>
                                  <w:sz w:val="14"/>
                                </w:rPr>
                                <w:t>  </w:t>
                              </w:r>
                              <w:r>
                                <w:rPr>
                                  <w:spacing w:val="-10"/>
                                  <w:sz w:val="14"/>
                                </w:rPr>
                                <w:t>$</w:t>
                              </w:r>
                              <w:r>
                                <w:rPr>
                                  <w:sz w:val="14"/>
                                </w:rPr>
                                <w:tab/>
                              </w:r>
                              <w:r>
                                <w:rPr>
                                  <w:spacing w:val="-2"/>
                                  <w:sz w:val="14"/>
                                </w:rPr>
                                <w:t>13,792</w:t>
                              </w:r>
                              <w:r>
                                <w:rPr>
                                  <w:sz w:val="14"/>
                                </w:rPr>
                                <w:tab/>
                              </w:r>
                              <w:r>
                                <w:rPr>
                                  <w:spacing w:val="-10"/>
                                  <w:sz w:val="14"/>
                                </w:rPr>
                                <w:t>$</w:t>
                              </w:r>
                              <w:r>
                                <w:rPr>
                                  <w:sz w:val="14"/>
                                </w:rPr>
                                <w:tab/>
                              </w:r>
                              <w:r>
                                <w:rPr>
                                  <w:spacing w:val="-5"/>
                                  <w:sz w:val="14"/>
                                </w:rPr>
                                <w:t>94</w:t>
                              </w:r>
                              <w:r>
                                <w:rPr>
                                  <w:sz w:val="14"/>
                                </w:rPr>
                                <w:tab/>
                              </w:r>
                              <w:r>
                                <w:rPr>
                                  <w:spacing w:val="-10"/>
                                  <w:sz w:val="14"/>
                                </w:rPr>
                                <w:t>$</w:t>
                              </w:r>
                              <w:r>
                                <w:rPr>
                                  <w:sz w:val="14"/>
                                </w:rPr>
                                <w:tab/>
                              </w:r>
                              <w:r>
                                <w:rPr>
                                  <w:spacing w:val="-2"/>
                                  <w:sz w:val="14"/>
                                </w:rPr>
                                <w:t>13,886</w:t>
                              </w:r>
                            </w:p>
                          </w:txbxContent>
                        </wps:txbx>
                        <wps:bodyPr wrap="square" lIns="0" tIns="0" rIns="0" bIns="0" rtlCol="0">
                          <a:noAutofit/>
                        </wps:bodyPr>
                      </wps:wsp>
                    </wpg:wgp>
                  </a:graphicData>
                </a:graphic>
              </wp:inline>
            </w:drawing>
          </mc:Choice>
          <mc:Fallback>
            <w:pict>
              <v:group style="width:575.8pt;height:8.3pt;mso-position-horizontal-relative:char;mso-position-vertical-relative:line" id="docshapegroup173" coordorigin="0,0" coordsize="11516,166">
                <v:rect style="position:absolute;left:-1;top:0;width:11516;height:13" id="docshape174" filled="true" fillcolor="#000000" stroked="false">
                  <v:fill type="solid"/>
                </v:rect>
                <v:rect style="position:absolute;left:-1;top:12;width:11516;height:153" id="docshape175" filled="true" fillcolor="#ccedff" stroked="false">
                  <v:fill type="solid"/>
                </v:rect>
                <v:shape style="position:absolute;left:0;top:12;width:11516;height:153" type="#_x0000_t202" id="docshape176" filled="false" stroked="false">
                  <v:textbox inset="0,0,0,0">
                    <w:txbxContent>
                      <w:p>
                        <w:pPr>
                          <w:tabs>
                            <w:tab w:pos="3108" w:val="left" w:leader="none"/>
                            <w:tab w:pos="3480" w:val="left" w:leader="none"/>
                            <w:tab w:pos="4025" w:val="left" w:leader="none"/>
                            <w:tab w:pos="4502" w:val="left" w:leader="none"/>
                            <w:tab w:pos="4942" w:val="left" w:leader="none"/>
                            <w:tab w:pos="5244" w:val="left" w:leader="none"/>
                            <w:tab w:pos="5859" w:val="left" w:leader="none"/>
                            <w:tab w:pos="6162" w:val="left" w:leader="none"/>
                            <w:tab w:pos="6776" w:val="left" w:leader="none"/>
                            <w:tab w:pos="8185" w:val="left" w:leader="none"/>
                            <w:tab w:pos="9155" w:val="left" w:leader="none"/>
                            <w:tab w:pos="9770" w:val="left" w:leader="none"/>
                            <w:tab w:pos="10343" w:val="left" w:leader="none"/>
                            <w:tab w:pos="10712" w:val="left" w:leader="none"/>
                            <w:tab w:pos="11015" w:val="left" w:leader="none"/>
                          </w:tabs>
                          <w:spacing w:line="153" w:lineRule="exact" w:before="0"/>
                          <w:ind w:left="0" w:right="0" w:firstLine="0"/>
                          <w:jc w:val="left"/>
                          <w:rPr>
                            <w:sz w:val="14"/>
                          </w:rPr>
                        </w:pPr>
                        <w:r>
                          <w:rPr>
                            <w:sz w:val="14"/>
                          </w:rPr>
                          <w:t>Balance at December 31, </w:t>
                        </w:r>
                        <w:r>
                          <w:rPr>
                            <w:spacing w:val="-4"/>
                            <w:sz w:val="14"/>
                          </w:rPr>
                          <w:t>2018</w:t>
                        </w:r>
                        <w:r>
                          <w:rPr>
                            <w:sz w:val="14"/>
                          </w:rPr>
                          <w:tab/>
                        </w:r>
                        <w:r>
                          <w:rPr>
                            <w:spacing w:val="-10"/>
                            <w:sz w:val="14"/>
                          </w:rPr>
                          <w:t>$</w:t>
                        </w:r>
                        <w:r>
                          <w:rPr>
                            <w:sz w:val="14"/>
                          </w:rPr>
                          <w:tab/>
                        </w:r>
                        <w:r>
                          <w:rPr>
                            <w:spacing w:val="-2"/>
                            <w:sz w:val="14"/>
                          </w:rPr>
                          <w:t>2,300</w:t>
                        </w:r>
                        <w:r>
                          <w:rPr>
                            <w:sz w:val="14"/>
                          </w:rPr>
                          <w:tab/>
                        </w:r>
                        <w:r>
                          <w:rPr>
                            <w:spacing w:val="-10"/>
                            <w:sz w:val="14"/>
                          </w:rPr>
                          <w:t>$</w:t>
                        </w:r>
                        <w:r>
                          <w:rPr>
                            <w:sz w:val="14"/>
                          </w:rPr>
                          <w:tab/>
                        </w:r>
                        <w:r>
                          <w:rPr>
                            <w:spacing w:val="-5"/>
                            <w:sz w:val="14"/>
                          </w:rPr>
                          <w:t>857</w:t>
                        </w:r>
                        <w:r>
                          <w:rPr>
                            <w:sz w:val="14"/>
                          </w:rPr>
                          <w:tab/>
                        </w:r>
                        <w:r>
                          <w:rPr>
                            <w:spacing w:val="-10"/>
                            <w:sz w:val="14"/>
                          </w:rPr>
                          <w:t>$</w:t>
                        </w:r>
                        <w:r>
                          <w:rPr>
                            <w:sz w:val="14"/>
                          </w:rPr>
                          <w:tab/>
                        </w:r>
                        <w:r>
                          <w:rPr>
                            <w:spacing w:val="-2"/>
                            <w:sz w:val="14"/>
                          </w:rPr>
                          <w:t>14,212</w:t>
                        </w:r>
                        <w:r>
                          <w:rPr>
                            <w:sz w:val="14"/>
                          </w:rPr>
                          <w:tab/>
                        </w:r>
                        <w:r>
                          <w:rPr>
                            <w:spacing w:val="-10"/>
                            <w:sz w:val="14"/>
                          </w:rPr>
                          <w:t>$</w:t>
                        </w:r>
                        <w:r>
                          <w:rPr>
                            <w:sz w:val="14"/>
                          </w:rPr>
                          <w:tab/>
                        </w:r>
                        <w:r>
                          <w:rPr>
                            <w:spacing w:val="-2"/>
                            <w:sz w:val="14"/>
                          </w:rPr>
                          <w:t>16,303</w:t>
                        </w:r>
                        <w:r>
                          <w:rPr>
                            <w:sz w:val="14"/>
                          </w:rPr>
                          <w:tab/>
                          <w:t>$</w:t>
                        </w:r>
                        <w:r>
                          <w:rPr>
                            <w:spacing w:val="55"/>
                            <w:sz w:val="14"/>
                          </w:rPr>
                          <w:t>  </w:t>
                        </w:r>
                        <w:r>
                          <w:rPr>
                            <w:sz w:val="14"/>
                          </w:rPr>
                          <w:t>(18,870)</w:t>
                        </w:r>
                        <w:r>
                          <w:rPr>
                            <w:spacing w:val="55"/>
                            <w:sz w:val="14"/>
                          </w:rPr>
                          <w:t>  </w:t>
                        </w:r>
                        <w:r>
                          <w:rPr>
                            <w:spacing w:val="-10"/>
                            <w:sz w:val="14"/>
                          </w:rPr>
                          <w:t>$</w:t>
                        </w:r>
                        <w:r>
                          <w:rPr>
                            <w:sz w:val="14"/>
                          </w:rPr>
                          <w:tab/>
                          <w:t>(1,010)</w:t>
                        </w:r>
                        <w:r>
                          <w:rPr>
                            <w:spacing w:val="53"/>
                            <w:sz w:val="14"/>
                          </w:rPr>
                          <w:t>  </w:t>
                        </w:r>
                        <w:r>
                          <w:rPr>
                            <w:spacing w:val="-10"/>
                            <w:sz w:val="14"/>
                          </w:rPr>
                          <w:t>$</w:t>
                        </w:r>
                        <w:r>
                          <w:rPr>
                            <w:sz w:val="14"/>
                          </w:rPr>
                          <w:tab/>
                        </w:r>
                        <w:r>
                          <w:rPr>
                            <w:spacing w:val="-2"/>
                            <w:sz w:val="14"/>
                          </w:rPr>
                          <w:t>13,792</w:t>
                        </w:r>
                        <w:r>
                          <w:rPr>
                            <w:sz w:val="14"/>
                          </w:rPr>
                          <w:tab/>
                        </w:r>
                        <w:r>
                          <w:rPr>
                            <w:spacing w:val="-10"/>
                            <w:sz w:val="14"/>
                          </w:rPr>
                          <w:t>$</w:t>
                        </w:r>
                        <w:r>
                          <w:rPr>
                            <w:sz w:val="14"/>
                          </w:rPr>
                          <w:tab/>
                        </w:r>
                        <w:r>
                          <w:rPr>
                            <w:spacing w:val="-5"/>
                            <w:sz w:val="14"/>
                          </w:rPr>
                          <w:t>94</w:t>
                        </w:r>
                        <w:r>
                          <w:rPr>
                            <w:sz w:val="14"/>
                          </w:rPr>
                          <w:tab/>
                        </w:r>
                        <w:r>
                          <w:rPr>
                            <w:spacing w:val="-10"/>
                            <w:sz w:val="14"/>
                          </w:rPr>
                          <w:t>$</w:t>
                        </w:r>
                        <w:r>
                          <w:rPr>
                            <w:sz w:val="14"/>
                          </w:rPr>
                          <w:tab/>
                        </w:r>
                        <w:r>
                          <w:rPr>
                            <w:spacing w:val="-2"/>
                            <w:sz w:val="14"/>
                          </w:rPr>
                          <w:t>13,886</w:t>
                        </w:r>
                      </w:p>
                    </w:txbxContent>
                  </v:textbox>
                  <w10:wrap type="none"/>
                </v:shape>
              </v:group>
            </w:pict>
          </mc:Fallback>
        </mc:AlternateContent>
      </w:r>
      <w:r>
        <w:rPr>
          <w:position w:val="-2"/>
        </w:rPr>
      </w:r>
    </w:p>
    <w:p>
      <w:pPr>
        <w:pStyle w:val="BodyText"/>
        <w:spacing w:before="9"/>
        <w:rPr>
          <w:sz w:val="10"/>
        </w:rPr>
      </w:pPr>
      <w:r>
        <w:rPr/>
        <mc:AlternateContent>
          <mc:Choice Requires="wps">
            <w:drawing>
              <wp:anchor distT="0" distB="0" distL="0" distR="0" allowOverlap="1" layoutInCell="1" locked="0" behindDoc="1" simplePos="0" relativeHeight="487651840">
                <wp:simplePos x="0" y="0"/>
                <wp:positionH relativeFrom="page">
                  <wp:posOffset>226488</wp:posOffset>
                </wp:positionH>
                <wp:positionV relativeFrom="paragraph">
                  <wp:posOffset>94584</wp:posOffset>
                </wp:positionV>
                <wp:extent cx="7312659" cy="97155"/>
                <wp:effectExtent l="0" t="0" r="0" b="0"/>
                <wp:wrapTopAndBottom/>
                <wp:docPr id="178" name="Textbox 178"/>
                <wp:cNvGraphicFramePr>
                  <a:graphicFrameLocks/>
                </wp:cNvGraphicFramePr>
                <a:graphic>
                  <a:graphicData uri="http://schemas.microsoft.com/office/word/2010/wordprocessingShape">
                    <wps:wsp>
                      <wps:cNvPr id="178" name="Textbox 178"/>
                      <wps:cNvSpPr txBox="1"/>
                      <wps:spPr>
                        <a:xfrm>
                          <a:off x="0" y="0"/>
                          <a:ext cx="7312659" cy="97155"/>
                        </a:xfrm>
                        <a:prstGeom prst="rect">
                          <a:avLst/>
                        </a:prstGeom>
                        <a:solidFill>
                          <a:srgbClr val="CCEDFF"/>
                        </a:solidFill>
                      </wps:spPr>
                      <wps:txbx>
                        <w:txbxContent>
                          <w:p>
                            <w:pPr>
                              <w:tabs>
                                <w:tab w:pos="6337" w:val="left" w:leader="none"/>
                                <w:tab w:pos="9330" w:val="left" w:leader="none"/>
                                <w:tab w:pos="10343" w:val="left" w:leader="none"/>
                                <w:tab w:pos="11400" w:val="right" w:leader="none"/>
                              </w:tabs>
                              <w:spacing w:line="153" w:lineRule="exact" w:before="0"/>
                              <w:ind w:left="0" w:right="0" w:firstLine="0"/>
                              <w:jc w:val="left"/>
                              <w:rPr>
                                <w:color w:val="000000"/>
                                <w:sz w:val="14"/>
                              </w:rPr>
                            </w:pPr>
                            <w:r>
                              <w:rPr>
                                <w:color w:val="000000"/>
                                <w:sz w:val="14"/>
                              </w:rPr>
                              <w:t>Net</w:t>
                            </w:r>
                            <w:r>
                              <w:rPr>
                                <w:color w:val="000000"/>
                                <w:spacing w:val="-3"/>
                                <w:sz w:val="14"/>
                              </w:rPr>
                              <w:t> </w:t>
                            </w:r>
                            <w:r>
                              <w:rPr>
                                <w:color w:val="000000"/>
                                <w:spacing w:val="-2"/>
                                <w:sz w:val="14"/>
                              </w:rPr>
                              <w:t>income</w:t>
                            </w:r>
                            <w:r>
                              <w:rPr>
                                <w:color w:val="000000"/>
                                <w:sz w:val="14"/>
                              </w:rPr>
                              <w:tab/>
                            </w:r>
                            <w:r>
                              <w:rPr>
                                <w:color w:val="000000"/>
                                <w:spacing w:val="-5"/>
                                <w:sz w:val="14"/>
                              </w:rPr>
                              <w:t>960</w:t>
                            </w:r>
                            <w:r>
                              <w:rPr>
                                <w:color w:val="000000"/>
                                <w:sz w:val="14"/>
                              </w:rPr>
                              <w:tab/>
                            </w:r>
                            <w:r>
                              <w:rPr>
                                <w:color w:val="000000"/>
                                <w:spacing w:val="-5"/>
                                <w:sz w:val="14"/>
                              </w:rPr>
                              <w:t>960</w:t>
                            </w:r>
                            <w:r>
                              <w:rPr>
                                <w:color w:val="000000"/>
                                <w:sz w:val="14"/>
                              </w:rPr>
                              <w:tab/>
                            </w:r>
                            <w:r>
                              <w:rPr>
                                <w:color w:val="000000"/>
                                <w:spacing w:val="-5"/>
                                <w:sz w:val="14"/>
                              </w:rPr>
                              <w:t>19</w:t>
                            </w:r>
                            <w:r>
                              <w:rPr>
                                <w:color w:val="000000"/>
                                <w:sz w:val="14"/>
                              </w:rPr>
                              <w:tab/>
                            </w:r>
                            <w:r>
                              <w:rPr>
                                <w:color w:val="000000"/>
                                <w:spacing w:val="-5"/>
                                <w:sz w:val="14"/>
                              </w:rPr>
                              <w:t>979</w:t>
                            </w:r>
                          </w:p>
                        </w:txbxContent>
                      </wps:txbx>
                      <wps:bodyPr wrap="square" lIns="0" tIns="0" rIns="0" bIns="0" rtlCol="0">
                        <a:noAutofit/>
                      </wps:bodyPr>
                    </wps:wsp>
                  </a:graphicData>
                </a:graphic>
              </wp:anchor>
            </w:drawing>
          </mc:Choice>
          <mc:Fallback>
            <w:pict>
              <v:shape style="position:absolute;margin-left:17.833740pt;margin-top:7.447566pt;width:575.8pt;height:7.65pt;mso-position-horizontal-relative:page;mso-position-vertical-relative:paragraph;z-index:-15664640;mso-wrap-distance-left:0;mso-wrap-distance-right:0" type="#_x0000_t202" id="docshape177" filled="true" fillcolor="#ccedff" stroked="false">
                <v:textbox inset="0,0,0,0">
                  <w:txbxContent>
                    <w:p>
                      <w:pPr>
                        <w:tabs>
                          <w:tab w:pos="6337" w:val="left" w:leader="none"/>
                          <w:tab w:pos="9330" w:val="left" w:leader="none"/>
                          <w:tab w:pos="10343" w:val="left" w:leader="none"/>
                          <w:tab w:pos="11400" w:val="right" w:leader="none"/>
                        </w:tabs>
                        <w:spacing w:line="153" w:lineRule="exact" w:before="0"/>
                        <w:ind w:left="0" w:right="0" w:firstLine="0"/>
                        <w:jc w:val="left"/>
                        <w:rPr>
                          <w:color w:val="000000"/>
                          <w:sz w:val="14"/>
                        </w:rPr>
                      </w:pPr>
                      <w:r>
                        <w:rPr>
                          <w:color w:val="000000"/>
                          <w:sz w:val="14"/>
                        </w:rPr>
                        <w:t>Net</w:t>
                      </w:r>
                      <w:r>
                        <w:rPr>
                          <w:color w:val="000000"/>
                          <w:spacing w:val="-3"/>
                          <w:sz w:val="14"/>
                        </w:rPr>
                        <w:t> </w:t>
                      </w:r>
                      <w:r>
                        <w:rPr>
                          <w:color w:val="000000"/>
                          <w:spacing w:val="-2"/>
                          <w:sz w:val="14"/>
                        </w:rPr>
                        <w:t>income</w:t>
                      </w:r>
                      <w:r>
                        <w:rPr>
                          <w:color w:val="000000"/>
                          <w:sz w:val="14"/>
                        </w:rPr>
                        <w:tab/>
                      </w:r>
                      <w:r>
                        <w:rPr>
                          <w:color w:val="000000"/>
                          <w:spacing w:val="-5"/>
                          <w:sz w:val="14"/>
                        </w:rPr>
                        <w:t>960</w:t>
                      </w:r>
                      <w:r>
                        <w:rPr>
                          <w:color w:val="000000"/>
                          <w:sz w:val="14"/>
                        </w:rPr>
                        <w:tab/>
                      </w:r>
                      <w:r>
                        <w:rPr>
                          <w:color w:val="000000"/>
                          <w:spacing w:val="-5"/>
                          <w:sz w:val="14"/>
                        </w:rPr>
                        <w:t>960</w:t>
                      </w:r>
                      <w:r>
                        <w:rPr>
                          <w:color w:val="000000"/>
                          <w:sz w:val="14"/>
                        </w:rPr>
                        <w:tab/>
                      </w:r>
                      <w:r>
                        <w:rPr>
                          <w:color w:val="000000"/>
                          <w:spacing w:val="-5"/>
                          <w:sz w:val="14"/>
                        </w:rPr>
                        <w:t>19</w:t>
                      </w:r>
                      <w:r>
                        <w:rPr>
                          <w:color w:val="000000"/>
                          <w:sz w:val="14"/>
                        </w:rPr>
                        <w:tab/>
                      </w:r>
                      <w:r>
                        <w:rPr>
                          <w:color w:val="000000"/>
                          <w:spacing w:val="-5"/>
                          <w:sz w:val="14"/>
                        </w:rPr>
                        <w:t>979</w:t>
                      </w:r>
                    </w:p>
                  </w:txbxContent>
                </v:textbox>
                <v:fill type="solid"/>
                <w10:wrap type="topAndBottom"/>
              </v:shape>
            </w:pict>
          </mc:Fallback>
        </mc:AlternateContent>
      </w:r>
    </w:p>
    <w:p>
      <w:pPr>
        <w:tabs>
          <w:tab w:pos="8447" w:val="left" w:leader="none"/>
          <w:tab w:pos="9440" w:val="left" w:leader="none"/>
          <w:tab w:pos="11300" w:val="left" w:leader="none"/>
        </w:tabs>
        <w:spacing w:before="0"/>
        <w:ind w:left="156" w:right="0" w:firstLine="0"/>
        <w:jc w:val="left"/>
        <w:rPr>
          <w:sz w:val="14"/>
        </w:rPr>
      </w:pPr>
      <w:r>
        <w:rPr>
          <w:sz w:val="14"/>
        </w:rPr>
        <w:t>Other comprehensive </w:t>
      </w:r>
      <w:r>
        <w:rPr>
          <w:spacing w:val="-4"/>
          <w:sz w:val="14"/>
        </w:rPr>
        <w:t>loss</w:t>
      </w:r>
      <w:r>
        <w:rPr>
          <w:sz w:val="14"/>
        </w:rPr>
        <w:tab/>
      </w:r>
      <w:r>
        <w:rPr>
          <w:spacing w:val="-2"/>
          <w:sz w:val="14"/>
        </w:rPr>
        <w:t>(161)</w:t>
      </w:r>
      <w:r>
        <w:rPr>
          <w:sz w:val="14"/>
        </w:rPr>
        <w:tab/>
      </w:r>
      <w:r>
        <w:rPr>
          <w:spacing w:val="-2"/>
          <w:sz w:val="14"/>
        </w:rPr>
        <w:t>(161)</w:t>
      </w:r>
      <w:r>
        <w:rPr>
          <w:sz w:val="14"/>
        </w:rPr>
        <w:tab/>
      </w:r>
      <w:r>
        <w:rPr>
          <w:spacing w:val="-2"/>
          <w:sz w:val="14"/>
        </w:rPr>
        <w:t>(161)</w:t>
      </w:r>
    </w:p>
    <w:p>
      <w:pPr>
        <w:pStyle w:val="BodyText"/>
        <w:spacing w:line="152" w:lineRule="exact"/>
        <w:ind w:left="156"/>
        <w:rPr>
          <w:sz w:val="15"/>
        </w:rPr>
      </w:pPr>
      <w:r>
        <w:rPr>
          <w:position w:val="-2"/>
          <w:sz w:val="15"/>
        </w:rPr>
        <mc:AlternateContent>
          <mc:Choice Requires="wps">
            <w:drawing>
              <wp:inline distT="0" distB="0" distL="0" distR="0">
                <wp:extent cx="7312659" cy="97155"/>
                <wp:effectExtent l="0" t="0" r="0" b="0"/>
                <wp:docPr id="179" name="Textbox 179"/>
                <wp:cNvGraphicFramePr>
                  <a:graphicFrameLocks/>
                </wp:cNvGraphicFramePr>
                <a:graphic>
                  <a:graphicData uri="http://schemas.microsoft.com/office/word/2010/wordprocessingShape">
                    <wps:wsp>
                      <wps:cNvPr id="179" name="Textbox 179"/>
                      <wps:cNvSpPr txBox="1"/>
                      <wps:spPr>
                        <a:xfrm>
                          <a:off x="0" y="0"/>
                          <a:ext cx="7312659" cy="97155"/>
                        </a:xfrm>
                        <a:prstGeom prst="rect">
                          <a:avLst/>
                        </a:prstGeom>
                        <a:solidFill>
                          <a:srgbClr val="CCEDFF"/>
                        </a:solidFill>
                      </wps:spPr>
                      <wps:txbx>
                        <w:txbxContent>
                          <w:p>
                            <w:pPr>
                              <w:tabs>
                                <w:tab w:pos="7207" w:val="left" w:leader="none"/>
                                <w:tab w:pos="9284" w:val="left" w:leader="none"/>
                                <w:tab w:pos="11144" w:val="left" w:leader="none"/>
                              </w:tabs>
                              <w:spacing w:line="153" w:lineRule="exact" w:before="0"/>
                              <w:ind w:left="0" w:right="0" w:firstLine="0"/>
                              <w:jc w:val="left"/>
                              <w:rPr>
                                <w:color w:val="000000"/>
                                <w:sz w:val="14"/>
                              </w:rPr>
                            </w:pPr>
                            <w:r>
                              <w:rPr>
                                <w:color w:val="000000"/>
                                <w:sz w:val="14"/>
                              </w:rPr>
                              <w:t>Purchase of common stock for </w:t>
                            </w:r>
                            <w:r>
                              <w:rPr>
                                <w:color w:val="000000"/>
                                <w:spacing w:val="-2"/>
                                <w:sz w:val="14"/>
                              </w:rPr>
                              <w:t>treasury</w:t>
                            </w:r>
                            <w:r>
                              <w:rPr>
                                <w:color w:val="000000"/>
                                <w:sz w:val="14"/>
                              </w:rPr>
                              <w:tab/>
                            </w:r>
                            <w:r>
                              <w:rPr>
                                <w:color w:val="000000"/>
                                <w:spacing w:val="-2"/>
                                <w:sz w:val="14"/>
                              </w:rPr>
                              <w:t>(925)</w:t>
                            </w:r>
                            <w:r>
                              <w:rPr>
                                <w:color w:val="000000"/>
                                <w:sz w:val="14"/>
                              </w:rPr>
                              <w:tab/>
                            </w:r>
                            <w:r>
                              <w:rPr>
                                <w:color w:val="000000"/>
                                <w:spacing w:val="-2"/>
                                <w:sz w:val="14"/>
                              </w:rPr>
                              <w:t>(925)</w:t>
                            </w:r>
                            <w:r>
                              <w:rPr>
                                <w:color w:val="000000"/>
                                <w:sz w:val="14"/>
                              </w:rPr>
                              <w:tab/>
                            </w:r>
                            <w:r>
                              <w:rPr>
                                <w:color w:val="000000"/>
                                <w:spacing w:val="-2"/>
                                <w:sz w:val="14"/>
                              </w:rPr>
                              <w:t>(925)</w:t>
                            </w:r>
                          </w:p>
                        </w:txbxContent>
                      </wps:txbx>
                      <wps:bodyPr wrap="square" lIns="0" tIns="0" rIns="0" bIns="0" rtlCol="0">
                        <a:noAutofit/>
                      </wps:bodyPr>
                    </wps:wsp>
                  </a:graphicData>
                </a:graphic>
              </wp:inline>
            </w:drawing>
          </mc:Choice>
          <mc:Fallback>
            <w:pict>
              <v:shape style="width:575.8pt;height:7.65pt;mso-position-horizontal-relative:char;mso-position-vertical-relative:line" type="#_x0000_t202" id="docshape178" filled="true" fillcolor="#ccedff" stroked="false">
                <w10:anchorlock/>
                <v:textbox inset="0,0,0,0">
                  <w:txbxContent>
                    <w:p>
                      <w:pPr>
                        <w:tabs>
                          <w:tab w:pos="7207" w:val="left" w:leader="none"/>
                          <w:tab w:pos="9284" w:val="left" w:leader="none"/>
                          <w:tab w:pos="11144" w:val="left" w:leader="none"/>
                        </w:tabs>
                        <w:spacing w:line="153" w:lineRule="exact" w:before="0"/>
                        <w:ind w:left="0" w:right="0" w:firstLine="0"/>
                        <w:jc w:val="left"/>
                        <w:rPr>
                          <w:color w:val="000000"/>
                          <w:sz w:val="14"/>
                        </w:rPr>
                      </w:pPr>
                      <w:r>
                        <w:rPr>
                          <w:color w:val="000000"/>
                          <w:sz w:val="14"/>
                        </w:rPr>
                        <w:t>Purchase of common stock for </w:t>
                      </w:r>
                      <w:r>
                        <w:rPr>
                          <w:color w:val="000000"/>
                          <w:spacing w:val="-2"/>
                          <w:sz w:val="14"/>
                        </w:rPr>
                        <w:t>treasury</w:t>
                      </w:r>
                      <w:r>
                        <w:rPr>
                          <w:color w:val="000000"/>
                          <w:sz w:val="14"/>
                        </w:rPr>
                        <w:tab/>
                      </w:r>
                      <w:r>
                        <w:rPr>
                          <w:color w:val="000000"/>
                          <w:spacing w:val="-2"/>
                          <w:sz w:val="14"/>
                        </w:rPr>
                        <w:t>(925)</w:t>
                      </w:r>
                      <w:r>
                        <w:rPr>
                          <w:color w:val="000000"/>
                          <w:sz w:val="14"/>
                        </w:rPr>
                        <w:tab/>
                      </w:r>
                      <w:r>
                        <w:rPr>
                          <w:color w:val="000000"/>
                          <w:spacing w:val="-2"/>
                          <w:sz w:val="14"/>
                        </w:rPr>
                        <w:t>(925)</w:t>
                      </w:r>
                      <w:r>
                        <w:rPr>
                          <w:color w:val="000000"/>
                          <w:sz w:val="14"/>
                        </w:rPr>
                        <w:tab/>
                      </w:r>
                      <w:r>
                        <w:rPr>
                          <w:color w:val="000000"/>
                          <w:spacing w:val="-2"/>
                          <w:sz w:val="14"/>
                        </w:rPr>
                        <w:t>(925)</w:t>
                      </w:r>
                    </w:p>
                  </w:txbxContent>
                </v:textbox>
                <v:fill type="solid"/>
              </v:shape>
            </w:pict>
          </mc:Fallback>
        </mc:AlternateContent>
      </w:r>
      <w:r>
        <w:rPr>
          <w:position w:val="-2"/>
          <w:sz w:val="15"/>
        </w:rPr>
      </w:r>
    </w:p>
    <w:p>
      <w:pPr>
        <w:spacing w:line="146" w:lineRule="exact" w:before="0"/>
        <w:ind w:left="156" w:right="0" w:firstLine="0"/>
        <w:jc w:val="left"/>
        <w:rPr>
          <w:sz w:val="14"/>
        </w:rPr>
      </w:pPr>
      <w:r>
        <w:rPr>
          <w:sz w:val="14"/>
        </w:rPr>
        <w:t>Shares</w:t>
      </w:r>
      <w:r>
        <w:rPr>
          <w:spacing w:val="-4"/>
          <w:sz w:val="14"/>
        </w:rPr>
        <w:t> </w:t>
      </w:r>
      <w:r>
        <w:rPr>
          <w:sz w:val="14"/>
        </w:rPr>
        <w:t>issued</w:t>
      </w:r>
      <w:r>
        <w:rPr>
          <w:spacing w:val="-1"/>
          <w:sz w:val="14"/>
        </w:rPr>
        <w:t> </w:t>
      </w:r>
      <w:r>
        <w:rPr>
          <w:sz w:val="14"/>
        </w:rPr>
        <w:t>to</w:t>
      </w:r>
      <w:r>
        <w:rPr>
          <w:spacing w:val="-1"/>
          <w:sz w:val="14"/>
        </w:rPr>
        <w:t> </w:t>
      </w:r>
      <w:r>
        <w:rPr>
          <w:sz w:val="14"/>
        </w:rPr>
        <w:t>benefit</w:t>
      </w:r>
      <w:r>
        <w:rPr>
          <w:spacing w:val="-2"/>
          <w:sz w:val="14"/>
        </w:rPr>
        <w:t> </w:t>
      </w:r>
      <w:r>
        <w:rPr>
          <w:sz w:val="14"/>
        </w:rPr>
        <w:t>plans</w:t>
      </w:r>
      <w:r>
        <w:rPr>
          <w:spacing w:val="-1"/>
          <w:sz w:val="14"/>
        </w:rPr>
        <w:t> </w:t>
      </w:r>
      <w:r>
        <w:rPr>
          <w:sz w:val="14"/>
        </w:rPr>
        <w:t>and</w:t>
      </w:r>
      <w:r>
        <w:rPr>
          <w:spacing w:val="-1"/>
          <w:sz w:val="14"/>
        </w:rPr>
        <w:t> </w:t>
      </w:r>
      <w:r>
        <w:rPr>
          <w:sz w:val="14"/>
        </w:rPr>
        <w:t>for</w:t>
      </w:r>
      <w:r>
        <w:rPr>
          <w:spacing w:val="-1"/>
          <w:sz w:val="14"/>
        </w:rPr>
        <w:t> </w:t>
      </w:r>
      <w:r>
        <w:rPr>
          <w:spacing w:val="-2"/>
          <w:sz w:val="14"/>
        </w:rPr>
        <w:t>option</w:t>
      </w:r>
    </w:p>
    <w:p>
      <w:pPr>
        <w:tabs>
          <w:tab w:pos="4799" w:val="left" w:leader="none"/>
          <w:tab w:pos="5576" w:val="left" w:leader="none"/>
          <w:tab w:pos="9487" w:val="left" w:leader="none"/>
          <w:tab w:pos="11557" w:val="right" w:leader="none"/>
        </w:tabs>
        <w:spacing w:line="157" w:lineRule="exact" w:before="0"/>
        <w:ind w:left="309" w:right="0" w:firstLine="0"/>
        <w:jc w:val="left"/>
        <w:rPr>
          <w:sz w:val="14"/>
        </w:rPr>
      </w:pPr>
      <w:r>
        <w:rPr/>
        <mc:AlternateContent>
          <mc:Choice Requires="wps">
            <w:drawing>
              <wp:anchor distT="0" distB="0" distL="0" distR="0" allowOverlap="1" layoutInCell="1" locked="0" behindDoc="0" simplePos="0" relativeHeight="15809024">
                <wp:simplePos x="0" y="0"/>
                <wp:positionH relativeFrom="page">
                  <wp:posOffset>226488</wp:posOffset>
                </wp:positionH>
                <wp:positionV relativeFrom="paragraph">
                  <wp:posOffset>96594</wp:posOffset>
                </wp:positionV>
                <wp:extent cx="7312659" cy="9715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7312659" cy="97155"/>
                        </a:xfrm>
                        <a:prstGeom prst="rect">
                          <a:avLst/>
                        </a:prstGeom>
                        <a:solidFill>
                          <a:srgbClr val="CCEDFF"/>
                        </a:solidFill>
                      </wps:spPr>
                      <wps:txbx>
                        <w:txbxContent>
                          <w:p>
                            <w:pPr>
                              <w:tabs>
                                <w:tab w:pos="6290" w:val="left" w:leader="none"/>
                                <w:tab w:pos="9284" w:val="left" w:leader="none"/>
                                <w:tab w:pos="11144" w:val="left" w:leader="none"/>
                              </w:tabs>
                              <w:spacing w:line="153" w:lineRule="exact" w:before="0"/>
                              <w:ind w:left="0" w:right="0" w:firstLine="0"/>
                              <w:jc w:val="left"/>
                              <w:rPr>
                                <w:color w:val="000000"/>
                                <w:sz w:val="14"/>
                              </w:rPr>
                            </w:pPr>
                            <w:r>
                              <w:rPr>
                                <w:color w:val="000000"/>
                                <w:sz w:val="14"/>
                              </w:rPr>
                              <w:t>Common</w:t>
                            </w:r>
                            <w:r>
                              <w:rPr>
                                <w:color w:val="000000"/>
                                <w:spacing w:val="-3"/>
                                <w:sz w:val="14"/>
                              </w:rPr>
                              <w:t> </w:t>
                            </w:r>
                            <w:r>
                              <w:rPr>
                                <w:color w:val="000000"/>
                                <w:sz w:val="14"/>
                              </w:rPr>
                              <w:t>dividends</w:t>
                            </w:r>
                            <w:r>
                              <w:rPr>
                                <w:color w:val="000000"/>
                                <w:spacing w:val="-3"/>
                                <w:sz w:val="14"/>
                              </w:rPr>
                              <w:t> </w:t>
                            </w:r>
                            <w:r>
                              <w:rPr>
                                <w:color w:val="000000"/>
                                <w:sz w:val="14"/>
                              </w:rPr>
                              <w:t>($0.80</w:t>
                            </w:r>
                            <w:r>
                              <w:rPr>
                                <w:color w:val="000000"/>
                                <w:spacing w:val="-3"/>
                                <w:sz w:val="14"/>
                              </w:rPr>
                              <w:t> </w:t>
                            </w:r>
                            <w:r>
                              <w:rPr>
                                <w:color w:val="000000"/>
                                <w:sz w:val="14"/>
                              </w:rPr>
                              <w:t>per</w:t>
                            </w:r>
                            <w:r>
                              <w:rPr>
                                <w:color w:val="000000"/>
                                <w:spacing w:val="-3"/>
                                <w:sz w:val="14"/>
                              </w:rPr>
                              <w:t> </w:t>
                            </w:r>
                            <w:r>
                              <w:rPr>
                                <w:color w:val="000000"/>
                                <w:spacing w:val="-2"/>
                                <w:sz w:val="14"/>
                              </w:rPr>
                              <w:t>share)</w:t>
                            </w:r>
                            <w:r>
                              <w:rPr>
                                <w:color w:val="000000"/>
                                <w:sz w:val="14"/>
                              </w:rPr>
                              <w:tab/>
                            </w:r>
                            <w:r>
                              <w:rPr>
                                <w:color w:val="000000"/>
                                <w:spacing w:val="-2"/>
                                <w:sz w:val="14"/>
                              </w:rPr>
                              <w:t>(625)</w:t>
                            </w:r>
                            <w:r>
                              <w:rPr>
                                <w:color w:val="000000"/>
                                <w:sz w:val="14"/>
                              </w:rPr>
                              <w:tab/>
                            </w:r>
                            <w:r>
                              <w:rPr>
                                <w:color w:val="000000"/>
                                <w:spacing w:val="-2"/>
                                <w:sz w:val="14"/>
                              </w:rPr>
                              <w:t>(625)</w:t>
                            </w:r>
                            <w:r>
                              <w:rPr>
                                <w:color w:val="000000"/>
                                <w:sz w:val="14"/>
                              </w:rPr>
                              <w:tab/>
                            </w:r>
                            <w:r>
                              <w:rPr>
                                <w:color w:val="000000"/>
                                <w:spacing w:val="-2"/>
                                <w:sz w:val="14"/>
                              </w:rPr>
                              <w:t>(625)</w:t>
                            </w:r>
                          </w:p>
                        </w:txbxContent>
                      </wps:txbx>
                      <wps:bodyPr wrap="square" lIns="0" tIns="0" rIns="0" bIns="0" rtlCol="0">
                        <a:noAutofit/>
                      </wps:bodyPr>
                    </wps:wsp>
                  </a:graphicData>
                </a:graphic>
              </wp:anchor>
            </w:drawing>
          </mc:Choice>
          <mc:Fallback>
            <w:pict>
              <v:shape style="position:absolute;margin-left:17.833740pt;margin-top:7.605848pt;width:575.8pt;height:7.65pt;mso-position-horizontal-relative:page;mso-position-vertical-relative:paragraph;z-index:15809024" type="#_x0000_t202" id="docshape179" filled="true" fillcolor="#ccedff" stroked="false">
                <v:textbox inset="0,0,0,0">
                  <w:txbxContent>
                    <w:p>
                      <w:pPr>
                        <w:tabs>
                          <w:tab w:pos="6290" w:val="left" w:leader="none"/>
                          <w:tab w:pos="9284" w:val="left" w:leader="none"/>
                          <w:tab w:pos="11144" w:val="left" w:leader="none"/>
                        </w:tabs>
                        <w:spacing w:line="153" w:lineRule="exact" w:before="0"/>
                        <w:ind w:left="0" w:right="0" w:firstLine="0"/>
                        <w:jc w:val="left"/>
                        <w:rPr>
                          <w:color w:val="000000"/>
                          <w:sz w:val="14"/>
                        </w:rPr>
                      </w:pPr>
                      <w:r>
                        <w:rPr>
                          <w:color w:val="000000"/>
                          <w:sz w:val="14"/>
                        </w:rPr>
                        <w:t>Common</w:t>
                      </w:r>
                      <w:r>
                        <w:rPr>
                          <w:color w:val="000000"/>
                          <w:spacing w:val="-3"/>
                          <w:sz w:val="14"/>
                        </w:rPr>
                        <w:t> </w:t>
                      </w:r>
                      <w:r>
                        <w:rPr>
                          <w:color w:val="000000"/>
                          <w:sz w:val="14"/>
                        </w:rPr>
                        <w:t>dividends</w:t>
                      </w:r>
                      <w:r>
                        <w:rPr>
                          <w:color w:val="000000"/>
                          <w:spacing w:val="-3"/>
                          <w:sz w:val="14"/>
                        </w:rPr>
                        <w:t> </w:t>
                      </w:r>
                      <w:r>
                        <w:rPr>
                          <w:color w:val="000000"/>
                          <w:sz w:val="14"/>
                        </w:rPr>
                        <w:t>($0.80</w:t>
                      </w:r>
                      <w:r>
                        <w:rPr>
                          <w:color w:val="000000"/>
                          <w:spacing w:val="-3"/>
                          <w:sz w:val="14"/>
                        </w:rPr>
                        <w:t> </w:t>
                      </w:r>
                      <w:r>
                        <w:rPr>
                          <w:color w:val="000000"/>
                          <w:sz w:val="14"/>
                        </w:rPr>
                        <w:t>per</w:t>
                      </w:r>
                      <w:r>
                        <w:rPr>
                          <w:color w:val="000000"/>
                          <w:spacing w:val="-3"/>
                          <w:sz w:val="14"/>
                        </w:rPr>
                        <w:t> </w:t>
                      </w:r>
                      <w:r>
                        <w:rPr>
                          <w:color w:val="000000"/>
                          <w:spacing w:val="-2"/>
                          <w:sz w:val="14"/>
                        </w:rPr>
                        <w:t>share)</w:t>
                      </w:r>
                      <w:r>
                        <w:rPr>
                          <w:color w:val="000000"/>
                          <w:sz w:val="14"/>
                        </w:rPr>
                        <w:tab/>
                      </w:r>
                      <w:r>
                        <w:rPr>
                          <w:color w:val="000000"/>
                          <w:spacing w:val="-2"/>
                          <w:sz w:val="14"/>
                        </w:rPr>
                        <w:t>(625)</w:t>
                      </w:r>
                      <w:r>
                        <w:rPr>
                          <w:color w:val="000000"/>
                          <w:sz w:val="14"/>
                        </w:rPr>
                        <w:tab/>
                      </w:r>
                      <w:r>
                        <w:rPr>
                          <w:color w:val="000000"/>
                          <w:spacing w:val="-2"/>
                          <w:sz w:val="14"/>
                        </w:rPr>
                        <w:t>(625)</w:t>
                      </w:r>
                      <w:r>
                        <w:rPr>
                          <w:color w:val="000000"/>
                          <w:sz w:val="14"/>
                        </w:rPr>
                        <w:tab/>
                      </w:r>
                      <w:r>
                        <w:rPr>
                          <w:color w:val="000000"/>
                          <w:spacing w:val="-2"/>
                          <w:sz w:val="14"/>
                        </w:rPr>
                        <w:t>(625)</w:t>
                      </w:r>
                    </w:p>
                  </w:txbxContent>
                </v:textbox>
                <v:fill type="solid"/>
                <w10:wrap type="none"/>
              </v:shape>
            </w:pict>
          </mc:Fallback>
        </mc:AlternateContent>
      </w:r>
      <w:r>
        <w:rPr>
          <w:spacing w:val="-2"/>
          <w:sz w:val="14"/>
        </w:rPr>
        <w:t>exercises</w:t>
      </w:r>
      <w:r>
        <w:rPr>
          <w:sz w:val="14"/>
        </w:rPr>
        <w:tab/>
      </w:r>
      <w:r>
        <w:rPr>
          <w:spacing w:val="-10"/>
          <w:sz w:val="14"/>
        </w:rPr>
        <w:t>2</w:t>
      </w:r>
      <w:r>
        <w:rPr>
          <w:sz w:val="14"/>
        </w:rPr>
        <w:tab/>
      </w:r>
      <w:r>
        <w:rPr>
          <w:spacing w:val="-5"/>
          <w:sz w:val="14"/>
        </w:rPr>
        <w:t>111</w:t>
      </w:r>
      <w:r>
        <w:rPr>
          <w:sz w:val="14"/>
        </w:rPr>
        <w:tab/>
      </w:r>
      <w:r>
        <w:rPr>
          <w:spacing w:val="-5"/>
          <w:sz w:val="14"/>
        </w:rPr>
        <w:t>113</w:t>
      </w:r>
      <w:r>
        <w:rPr>
          <w:sz w:val="14"/>
        </w:rPr>
        <w:tab/>
      </w:r>
      <w:r>
        <w:rPr>
          <w:spacing w:val="-5"/>
          <w:sz w:val="14"/>
        </w:rPr>
        <w:t>113</w:t>
      </w:r>
    </w:p>
    <w:p>
      <w:pPr>
        <w:tabs>
          <w:tab w:pos="6517" w:val="left" w:leader="none"/>
          <w:tab w:pos="9510" w:val="left" w:leader="none"/>
          <w:tab w:pos="11370" w:val="left" w:leader="none"/>
        </w:tabs>
        <w:spacing w:line="159" w:lineRule="exact" w:before="144"/>
        <w:ind w:left="156" w:right="0" w:firstLine="0"/>
        <w:jc w:val="left"/>
        <w:rPr>
          <w:sz w:val="14"/>
        </w:rPr>
      </w:pPr>
      <w:r>
        <w:rPr/>
        <mc:AlternateContent>
          <mc:Choice Requires="wps">
            <w:drawing>
              <wp:anchor distT="0" distB="0" distL="0" distR="0" allowOverlap="1" layoutInCell="1" locked="0" behindDoc="1" simplePos="0" relativeHeight="474085376">
                <wp:simplePos x="0" y="0"/>
                <wp:positionH relativeFrom="page">
                  <wp:posOffset>226488</wp:posOffset>
                </wp:positionH>
                <wp:positionV relativeFrom="paragraph">
                  <wp:posOffset>191081</wp:posOffset>
                </wp:positionV>
                <wp:extent cx="6875780" cy="105410"/>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6875780" cy="105410"/>
                          <a:chExt cx="6875780" cy="105410"/>
                        </a:xfrm>
                      </wpg:grpSpPr>
                      <wps:wsp>
                        <wps:cNvPr id="182" name="Graphic 182"/>
                        <wps:cNvSpPr/>
                        <wps:spPr>
                          <a:xfrm>
                            <a:off x="0" y="0"/>
                            <a:ext cx="1901189" cy="105410"/>
                          </a:xfrm>
                          <a:custGeom>
                            <a:avLst/>
                            <a:gdLst/>
                            <a:ahLst/>
                            <a:cxnLst/>
                            <a:rect l="l" t="t" r="r" b="b"/>
                            <a:pathLst>
                              <a:path w="1901189" h="105410">
                                <a:moveTo>
                                  <a:pt x="0" y="0"/>
                                </a:moveTo>
                                <a:lnTo>
                                  <a:pt x="1900885" y="0"/>
                                </a:lnTo>
                                <a:lnTo>
                                  <a:pt x="1900885"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183" name="Graphic 183"/>
                        <wps:cNvSpPr/>
                        <wps:spPr>
                          <a:xfrm>
                            <a:off x="0" y="97066"/>
                            <a:ext cx="1901189" cy="8255"/>
                          </a:xfrm>
                          <a:custGeom>
                            <a:avLst/>
                            <a:gdLst/>
                            <a:ahLst/>
                            <a:cxnLst/>
                            <a:rect l="l" t="t" r="r" b="b"/>
                            <a:pathLst>
                              <a:path w="1901189" h="8255">
                                <a:moveTo>
                                  <a:pt x="0" y="0"/>
                                </a:moveTo>
                                <a:lnTo>
                                  <a:pt x="1900885" y="0"/>
                                </a:lnTo>
                                <a:lnTo>
                                  <a:pt x="1900885"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900885"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185" name="Graphic 185"/>
                        <wps:cNvSpPr/>
                        <wps:spPr>
                          <a:xfrm>
                            <a:off x="1900885"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973685"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187" name="Graphic 187"/>
                        <wps:cNvSpPr/>
                        <wps:spPr>
                          <a:xfrm>
                            <a:off x="1973685"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2046485"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189" name="Graphic 189"/>
                        <wps:cNvSpPr/>
                        <wps:spPr>
                          <a:xfrm>
                            <a:off x="2046485"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190" name="Image 190"/>
                          <pic:cNvPicPr/>
                        </pic:nvPicPr>
                        <pic:blipFill>
                          <a:blip r:embed="rId82" cstate="print"/>
                          <a:stretch>
                            <a:fillRect/>
                          </a:stretch>
                        </pic:blipFill>
                        <pic:spPr>
                          <a:xfrm>
                            <a:off x="2410485" y="0"/>
                            <a:ext cx="226488" cy="105155"/>
                          </a:xfrm>
                          <a:prstGeom prst="rect">
                            <a:avLst/>
                          </a:prstGeom>
                        </pic:spPr>
                      </pic:pic>
                      <wps:wsp>
                        <wps:cNvPr id="191" name="Graphic 191"/>
                        <wps:cNvSpPr/>
                        <wps:spPr>
                          <a:xfrm>
                            <a:off x="2636973" y="0"/>
                            <a:ext cx="356235" cy="105410"/>
                          </a:xfrm>
                          <a:custGeom>
                            <a:avLst/>
                            <a:gdLst/>
                            <a:ahLst/>
                            <a:cxnLst/>
                            <a:rect l="l" t="t" r="r" b="b"/>
                            <a:pathLst>
                              <a:path w="356235" h="105410">
                                <a:moveTo>
                                  <a:pt x="0" y="0"/>
                                </a:moveTo>
                                <a:lnTo>
                                  <a:pt x="355910" y="0"/>
                                </a:lnTo>
                                <a:lnTo>
                                  <a:pt x="3559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192" name="Graphic 192"/>
                        <wps:cNvSpPr/>
                        <wps:spPr>
                          <a:xfrm>
                            <a:off x="2636973" y="97066"/>
                            <a:ext cx="356235" cy="8255"/>
                          </a:xfrm>
                          <a:custGeom>
                            <a:avLst/>
                            <a:gdLst/>
                            <a:ahLst/>
                            <a:cxnLst/>
                            <a:rect l="l" t="t" r="r" b="b"/>
                            <a:pathLst>
                              <a:path w="356235" h="8255">
                                <a:moveTo>
                                  <a:pt x="0" y="0"/>
                                </a:moveTo>
                                <a:lnTo>
                                  <a:pt x="355910" y="0"/>
                                </a:lnTo>
                                <a:lnTo>
                                  <a:pt x="355910"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193" name="Image 193"/>
                          <pic:cNvPicPr/>
                        </pic:nvPicPr>
                        <pic:blipFill>
                          <a:blip r:embed="rId83" cstate="print"/>
                          <a:stretch>
                            <a:fillRect/>
                          </a:stretch>
                        </pic:blipFill>
                        <pic:spPr>
                          <a:xfrm>
                            <a:off x="2992883" y="0"/>
                            <a:ext cx="218399" cy="105155"/>
                          </a:xfrm>
                          <a:prstGeom prst="rect">
                            <a:avLst/>
                          </a:prstGeom>
                        </pic:spPr>
                      </pic:pic>
                      <wps:wsp>
                        <wps:cNvPr id="194" name="Graphic 194"/>
                        <wps:cNvSpPr/>
                        <wps:spPr>
                          <a:xfrm>
                            <a:off x="3211283"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195" name="Graphic 195"/>
                        <wps:cNvSpPr/>
                        <wps:spPr>
                          <a:xfrm>
                            <a:off x="3211283"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196" name="Image 196"/>
                          <pic:cNvPicPr/>
                        </pic:nvPicPr>
                        <pic:blipFill>
                          <a:blip r:embed="rId83" cstate="print"/>
                          <a:stretch>
                            <a:fillRect/>
                          </a:stretch>
                        </pic:blipFill>
                        <pic:spPr>
                          <a:xfrm>
                            <a:off x="3575282" y="0"/>
                            <a:ext cx="218399" cy="105155"/>
                          </a:xfrm>
                          <a:prstGeom prst="rect">
                            <a:avLst/>
                          </a:prstGeom>
                        </pic:spPr>
                      </pic:pic>
                      <wps:wsp>
                        <wps:cNvPr id="197" name="Graphic 197"/>
                        <wps:cNvSpPr/>
                        <wps:spPr>
                          <a:xfrm>
                            <a:off x="3793682"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198" name="Graphic 198"/>
                        <wps:cNvSpPr/>
                        <wps:spPr>
                          <a:xfrm>
                            <a:off x="3793682"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199" name="Image 199"/>
                          <pic:cNvPicPr/>
                        </pic:nvPicPr>
                        <pic:blipFill>
                          <a:blip r:embed="rId84" cstate="print"/>
                          <a:stretch>
                            <a:fillRect/>
                          </a:stretch>
                        </pic:blipFill>
                        <pic:spPr>
                          <a:xfrm>
                            <a:off x="4157682" y="0"/>
                            <a:ext cx="218399" cy="105155"/>
                          </a:xfrm>
                          <a:prstGeom prst="rect">
                            <a:avLst/>
                          </a:prstGeom>
                        </pic:spPr>
                      </pic:pic>
                      <wps:wsp>
                        <wps:cNvPr id="200" name="Graphic 200"/>
                        <wps:cNvSpPr/>
                        <wps:spPr>
                          <a:xfrm>
                            <a:off x="4376081"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01" name="Graphic 201"/>
                        <wps:cNvSpPr/>
                        <wps:spPr>
                          <a:xfrm>
                            <a:off x="4376081"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202" name="Image 202"/>
                          <pic:cNvPicPr/>
                        </pic:nvPicPr>
                        <pic:blipFill>
                          <a:blip r:embed="rId85" cstate="print"/>
                          <a:stretch>
                            <a:fillRect/>
                          </a:stretch>
                        </pic:blipFill>
                        <pic:spPr>
                          <a:xfrm>
                            <a:off x="4740081" y="0"/>
                            <a:ext cx="234577" cy="105155"/>
                          </a:xfrm>
                          <a:prstGeom prst="rect">
                            <a:avLst/>
                          </a:prstGeom>
                        </pic:spPr>
                      </pic:pic>
                      <wps:wsp>
                        <wps:cNvPr id="203" name="Graphic 203"/>
                        <wps:cNvSpPr/>
                        <wps:spPr>
                          <a:xfrm>
                            <a:off x="4974658" y="0"/>
                            <a:ext cx="453390" cy="105410"/>
                          </a:xfrm>
                          <a:custGeom>
                            <a:avLst/>
                            <a:gdLst/>
                            <a:ahLst/>
                            <a:cxnLst/>
                            <a:rect l="l" t="t" r="r" b="b"/>
                            <a:pathLst>
                              <a:path w="453390" h="105410">
                                <a:moveTo>
                                  <a:pt x="0" y="0"/>
                                </a:moveTo>
                                <a:lnTo>
                                  <a:pt x="452977" y="0"/>
                                </a:lnTo>
                                <a:lnTo>
                                  <a:pt x="452977"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04" name="Graphic 204"/>
                        <wps:cNvSpPr/>
                        <wps:spPr>
                          <a:xfrm>
                            <a:off x="4974658" y="97066"/>
                            <a:ext cx="453390" cy="8255"/>
                          </a:xfrm>
                          <a:custGeom>
                            <a:avLst/>
                            <a:gdLst/>
                            <a:ahLst/>
                            <a:cxnLst/>
                            <a:rect l="l" t="t" r="r" b="b"/>
                            <a:pathLst>
                              <a:path w="453390" h="8255">
                                <a:moveTo>
                                  <a:pt x="0" y="0"/>
                                </a:moveTo>
                                <a:lnTo>
                                  <a:pt x="452977" y="0"/>
                                </a:lnTo>
                                <a:lnTo>
                                  <a:pt x="452977"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205" name="Image 205"/>
                          <pic:cNvPicPr/>
                        </pic:nvPicPr>
                        <pic:blipFill>
                          <a:blip r:embed="rId83" cstate="print"/>
                          <a:stretch>
                            <a:fillRect/>
                          </a:stretch>
                        </pic:blipFill>
                        <pic:spPr>
                          <a:xfrm>
                            <a:off x="5427635" y="0"/>
                            <a:ext cx="218399" cy="105155"/>
                          </a:xfrm>
                          <a:prstGeom prst="rect">
                            <a:avLst/>
                          </a:prstGeom>
                        </pic:spPr>
                      </pic:pic>
                      <wps:wsp>
                        <wps:cNvPr id="206" name="Graphic 206"/>
                        <wps:cNvSpPr/>
                        <wps:spPr>
                          <a:xfrm>
                            <a:off x="5646035" y="0"/>
                            <a:ext cx="412750" cy="105410"/>
                          </a:xfrm>
                          <a:custGeom>
                            <a:avLst/>
                            <a:gdLst/>
                            <a:ahLst/>
                            <a:cxnLst/>
                            <a:rect l="l" t="t" r="r" b="b"/>
                            <a:pathLst>
                              <a:path w="412750" h="105410">
                                <a:moveTo>
                                  <a:pt x="0" y="0"/>
                                </a:moveTo>
                                <a:lnTo>
                                  <a:pt x="412532" y="0"/>
                                </a:lnTo>
                                <a:lnTo>
                                  <a:pt x="412532"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07" name="Graphic 207"/>
                        <wps:cNvSpPr/>
                        <wps:spPr>
                          <a:xfrm>
                            <a:off x="5646035" y="97066"/>
                            <a:ext cx="412750" cy="8255"/>
                          </a:xfrm>
                          <a:custGeom>
                            <a:avLst/>
                            <a:gdLst/>
                            <a:ahLst/>
                            <a:cxnLst/>
                            <a:rect l="l" t="t" r="r" b="b"/>
                            <a:pathLst>
                              <a:path w="412750" h="8255">
                                <a:moveTo>
                                  <a:pt x="0" y="0"/>
                                </a:moveTo>
                                <a:lnTo>
                                  <a:pt x="412532" y="0"/>
                                </a:lnTo>
                                <a:lnTo>
                                  <a:pt x="412532"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208" name="Image 208"/>
                          <pic:cNvPicPr/>
                        </pic:nvPicPr>
                        <pic:blipFill>
                          <a:blip r:embed="rId85" cstate="print"/>
                          <a:stretch>
                            <a:fillRect/>
                          </a:stretch>
                        </pic:blipFill>
                        <pic:spPr>
                          <a:xfrm>
                            <a:off x="6058567" y="0"/>
                            <a:ext cx="234577" cy="105155"/>
                          </a:xfrm>
                          <a:prstGeom prst="rect">
                            <a:avLst/>
                          </a:prstGeom>
                        </pic:spPr>
                      </pic:pic>
                      <wps:wsp>
                        <wps:cNvPr id="209" name="Graphic 209"/>
                        <wps:cNvSpPr/>
                        <wps:spPr>
                          <a:xfrm>
                            <a:off x="6293145"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10" name="Graphic 210"/>
                        <wps:cNvSpPr/>
                        <wps:spPr>
                          <a:xfrm>
                            <a:off x="6293145"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211" name="Image 211"/>
                          <pic:cNvPicPr/>
                        </pic:nvPicPr>
                        <pic:blipFill>
                          <a:blip r:embed="rId83" cstate="print"/>
                          <a:stretch>
                            <a:fillRect/>
                          </a:stretch>
                        </pic:blipFill>
                        <pic:spPr>
                          <a:xfrm>
                            <a:off x="6657144" y="0"/>
                            <a:ext cx="218399" cy="105155"/>
                          </a:xfrm>
                          <a:prstGeom prst="rect">
                            <a:avLst/>
                          </a:prstGeom>
                        </pic:spPr>
                      </pic:pic>
                    </wpg:wgp>
                  </a:graphicData>
                </a:graphic>
              </wp:anchor>
            </w:drawing>
          </mc:Choice>
          <mc:Fallback>
            <w:pict>
              <v:group style="position:absolute;margin-left:17.833740pt;margin-top:15.045751pt;width:541.4pt;height:8.3pt;mso-position-horizontal-relative:page;mso-position-vertical-relative:paragraph;z-index:-29231104" id="docshapegroup180" coordorigin="357,301" coordsize="10828,166">
                <v:rect style="position:absolute;left:356;top:300;width:2994;height:166" id="docshape181" filled="true" fillcolor="#ccedff" stroked="false">
                  <v:fill type="solid"/>
                </v:rect>
                <v:rect style="position:absolute;left:356;top:453;width:2994;height:13" id="docshape182" filled="true" fillcolor="#000000" stroked="false">
                  <v:fill type="solid"/>
                </v:rect>
                <v:rect style="position:absolute;left:3350;top:300;width:115;height:166" id="docshape183" filled="true" fillcolor="#ccedff" stroked="false">
                  <v:fill type="solid"/>
                </v:rect>
                <v:rect style="position:absolute;left:3350;top:453;width:115;height:13" id="docshape184" filled="true" fillcolor="#000000" stroked="false">
                  <v:fill type="solid"/>
                </v:rect>
                <v:rect style="position:absolute;left:3464;top:300;width:115;height:166" id="docshape185" filled="true" fillcolor="#ccedff" stroked="false">
                  <v:fill type="solid"/>
                </v:rect>
                <v:rect style="position:absolute;left:3464;top:453;width:115;height:13" id="docshape186" filled="true" fillcolor="#000000" stroked="false">
                  <v:fill type="solid"/>
                </v:rect>
                <v:rect style="position:absolute;left:3579;top:300;width:574;height:166" id="docshape187" filled="true" fillcolor="#ccedff" stroked="false">
                  <v:fill type="solid"/>
                </v:rect>
                <v:rect style="position:absolute;left:3579;top:453;width:574;height:13" id="docshape188" filled="true" fillcolor="#000000" stroked="false">
                  <v:fill type="solid"/>
                </v:rect>
                <v:shape style="position:absolute;left:4152;top:300;width:357;height:166" type="#_x0000_t75" id="docshape189" stroked="false">
                  <v:imagedata r:id="rId82" o:title=""/>
                </v:shape>
                <v:rect style="position:absolute;left:4509;top:300;width:561;height:166" id="docshape190" filled="true" fillcolor="#ccedff" stroked="false">
                  <v:fill type="solid"/>
                </v:rect>
                <v:rect style="position:absolute;left:4509;top:453;width:561;height:13" id="docshape191" filled="true" fillcolor="#000000" stroked="false">
                  <v:fill type="solid"/>
                </v:rect>
                <v:shape style="position:absolute;left:5069;top:300;width:344;height:166" type="#_x0000_t75" id="docshape192" stroked="false">
                  <v:imagedata r:id="rId83" o:title=""/>
                </v:shape>
                <v:rect style="position:absolute;left:5413;top:300;width:574;height:166" id="docshape193" filled="true" fillcolor="#ccedff" stroked="false">
                  <v:fill type="solid"/>
                </v:rect>
                <v:rect style="position:absolute;left:5413;top:453;width:574;height:13" id="docshape194" filled="true" fillcolor="#000000" stroked="false">
                  <v:fill type="solid"/>
                </v:rect>
                <v:shape style="position:absolute;left:5987;top:300;width:344;height:166" type="#_x0000_t75" id="docshape195" stroked="false">
                  <v:imagedata r:id="rId83" o:title=""/>
                </v:shape>
                <v:rect style="position:absolute;left:6330;top:300;width:574;height:166" id="docshape196" filled="true" fillcolor="#ccedff" stroked="false">
                  <v:fill type="solid"/>
                </v:rect>
                <v:rect style="position:absolute;left:6330;top:453;width:574;height:13" id="docshape197" filled="true" fillcolor="#000000" stroked="false">
                  <v:fill type="solid"/>
                </v:rect>
                <v:shape style="position:absolute;left:6904;top:300;width:344;height:166" type="#_x0000_t75" id="docshape198" stroked="false">
                  <v:imagedata r:id="rId84" o:title=""/>
                </v:shape>
                <v:rect style="position:absolute;left:7248;top:300;width:574;height:166" id="docshape199" filled="true" fillcolor="#ccedff" stroked="false">
                  <v:fill type="solid"/>
                </v:rect>
                <v:rect style="position:absolute;left:7248;top:453;width:574;height:13" id="docshape200" filled="true" fillcolor="#000000" stroked="false">
                  <v:fill type="solid"/>
                </v:rect>
                <v:shape style="position:absolute;left:7821;top:300;width:370;height:166" type="#_x0000_t75" id="docshape201" stroked="false">
                  <v:imagedata r:id="rId85" o:title=""/>
                </v:shape>
                <v:rect style="position:absolute;left:8190;top:300;width:714;height:166" id="docshape202" filled="true" fillcolor="#ccedff" stroked="false">
                  <v:fill type="solid"/>
                </v:rect>
                <v:rect style="position:absolute;left:8190;top:453;width:714;height:13" id="docshape203" filled="true" fillcolor="#000000" stroked="false">
                  <v:fill type="solid"/>
                </v:rect>
                <v:shape style="position:absolute;left:8904;top:300;width:344;height:166" type="#_x0000_t75" id="docshape204" stroked="false">
                  <v:imagedata r:id="rId83" o:title=""/>
                </v:shape>
                <v:rect style="position:absolute;left:9248;top:300;width:650;height:166" id="docshape205" filled="true" fillcolor="#ccedff" stroked="false">
                  <v:fill type="solid"/>
                </v:rect>
                <v:rect style="position:absolute;left:9248;top:453;width:650;height:13" id="docshape206" filled="true" fillcolor="#000000" stroked="false">
                  <v:fill type="solid"/>
                </v:rect>
                <v:shape style="position:absolute;left:9897;top:300;width:370;height:166" type="#_x0000_t75" id="docshape207" stroked="false">
                  <v:imagedata r:id="rId85" o:title=""/>
                </v:shape>
                <v:rect style="position:absolute;left:10267;top:300;width:574;height:166" id="docshape208" filled="true" fillcolor="#ccedff" stroked="false">
                  <v:fill type="solid"/>
                </v:rect>
                <v:rect style="position:absolute;left:10267;top:453;width:574;height:13" id="docshape209" filled="true" fillcolor="#000000" stroked="false">
                  <v:fill type="solid"/>
                </v:rect>
                <v:shape style="position:absolute;left:10840;top:300;width:344;height:166" type="#_x0000_t75" id="docshape210" stroked="false">
                  <v:imagedata r:id="rId83" o:title=""/>
                </v:shape>
                <w10:wrap type="none"/>
              </v:group>
            </w:pict>
          </mc:Fallback>
        </mc:AlternateContent>
      </w:r>
      <w:r>
        <w:rPr/>
        <mc:AlternateContent>
          <mc:Choice Requires="wps">
            <w:drawing>
              <wp:anchor distT="0" distB="0" distL="0" distR="0" allowOverlap="1" layoutInCell="1" locked="0" behindDoc="0" simplePos="0" relativeHeight="15806976">
                <wp:simplePos x="0" y="0"/>
                <wp:positionH relativeFrom="page">
                  <wp:posOffset>7102033</wp:posOffset>
                </wp:positionH>
                <wp:positionV relativeFrom="paragraph">
                  <wp:posOffset>191081</wp:posOffset>
                </wp:positionV>
                <wp:extent cx="436880" cy="10541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436880" cy="105410"/>
                        </a:xfrm>
                        <a:prstGeom prst="rect">
                          <a:avLst/>
                        </a:prstGeom>
                        <a:solidFill>
                          <a:srgbClr val="CCEDFF"/>
                        </a:solidFill>
                      </wps:spPr>
                      <wps:txbx>
                        <w:txbxContent>
                          <w:p>
                            <w:pPr>
                              <w:tabs>
                                <w:tab w:pos="316" w:val="left" w:leader="none"/>
                              </w:tabs>
                              <w:spacing w:line="158" w:lineRule="exact" w:before="0"/>
                              <w:ind w:left="0" w:right="0" w:firstLine="0"/>
                              <w:jc w:val="left"/>
                              <w:rPr>
                                <w:color w:val="000000"/>
                                <w:sz w:val="14"/>
                              </w:rPr>
                            </w:pPr>
                            <w:r>
                              <w:rPr>
                                <w:color w:val="000000"/>
                                <w:sz w:val="14"/>
                                <w:u w:val="single"/>
                              </w:rPr>
                              <w:tab/>
                            </w:r>
                            <w:r>
                              <w:rPr>
                                <w:color w:val="000000"/>
                                <w:spacing w:val="-2"/>
                                <w:sz w:val="14"/>
                                <w:u w:val="single"/>
                              </w:rPr>
                              <w:t>(172)</w:t>
                            </w:r>
                          </w:p>
                        </w:txbxContent>
                      </wps:txbx>
                      <wps:bodyPr wrap="square" lIns="0" tIns="0" rIns="0" bIns="0" rtlCol="0">
                        <a:noAutofit/>
                      </wps:bodyPr>
                    </wps:wsp>
                  </a:graphicData>
                </a:graphic>
              </wp:anchor>
            </w:drawing>
          </mc:Choice>
          <mc:Fallback>
            <w:pict>
              <v:shape style="position:absolute;margin-left:559.215210pt;margin-top:15.045751pt;width:34.4pt;height:8.3pt;mso-position-horizontal-relative:page;mso-position-vertical-relative:paragraph;z-index:15806976" type="#_x0000_t202" id="docshape211" filled="true" fillcolor="#ccedff" stroked="false">
                <v:textbox inset="0,0,0,0">
                  <w:txbxContent>
                    <w:p>
                      <w:pPr>
                        <w:tabs>
                          <w:tab w:pos="316" w:val="left" w:leader="none"/>
                        </w:tabs>
                        <w:spacing w:line="158" w:lineRule="exact" w:before="0"/>
                        <w:ind w:left="0" w:right="0" w:firstLine="0"/>
                        <w:jc w:val="left"/>
                        <w:rPr>
                          <w:color w:val="000000"/>
                          <w:sz w:val="14"/>
                        </w:rPr>
                      </w:pPr>
                      <w:r>
                        <w:rPr>
                          <w:color w:val="000000"/>
                          <w:sz w:val="14"/>
                          <w:u w:val="single"/>
                        </w:rPr>
                        <w:tab/>
                      </w:r>
                      <w:r>
                        <w:rPr>
                          <w:color w:val="000000"/>
                          <w:spacing w:val="-2"/>
                          <w:sz w:val="14"/>
                          <w:u w:val="single"/>
                        </w:rPr>
                        <w:t>(172)</w:t>
                      </w:r>
                    </w:p>
                  </w:txbxContent>
                </v:textbox>
                <v:fill type="solid"/>
                <w10:wrap type="none"/>
              </v:shape>
            </w:pict>
          </mc:Fallback>
        </mc:AlternateContent>
      </w:r>
      <w:r>
        <w:rPr/>
        <mc:AlternateContent>
          <mc:Choice Requires="wps">
            <w:drawing>
              <wp:anchor distT="0" distB="0" distL="0" distR="0" allowOverlap="1" layoutInCell="1" locked="0" behindDoc="1" simplePos="0" relativeHeight="474096128">
                <wp:simplePos x="0" y="0"/>
                <wp:positionH relativeFrom="page">
                  <wp:posOffset>5872523</wp:posOffset>
                </wp:positionH>
                <wp:positionV relativeFrom="paragraph">
                  <wp:posOffset>191081</wp:posOffset>
                </wp:positionV>
                <wp:extent cx="412750" cy="9715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412750" cy="97155"/>
                        </a:xfrm>
                        <a:prstGeom prst="rect">
                          <a:avLst/>
                        </a:prstGeom>
                      </wps:spPr>
                      <wps:txbx>
                        <w:txbxContent>
                          <w:p>
                            <w:pPr>
                              <w:spacing w:line="153" w:lineRule="exact" w:before="0"/>
                              <w:ind w:left="392" w:right="0" w:firstLine="0"/>
                              <w:jc w:val="left"/>
                              <w:rPr>
                                <w:sz w:val="14"/>
                              </w:rPr>
                            </w:pPr>
                            <w:r>
                              <w:rPr>
                                <w:spacing w:val="-4"/>
                                <w:sz w:val="14"/>
                              </w:rPr>
                              <w:t>(149</w:t>
                            </w:r>
                          </w:p>
                        </w:txbxContent>
                      </wps:txbx>
                      <wps:bodyPr wrap="square" lIns="0" tIns="0" rIns="0" bIns="0" rtlCol="0">
                        <a:noAutofit/>
                      </wps:bodyPr>
                    </wps:wsp>
                  </a:graphicData>
                </a:graphic>
              </wp:anchor>
            </w:drawing>
          </mc:Choice>
          <mc:Fallback>
            <w:pict>
              <v:shape style="position:absolute;margin-left:462.403442pt;margin-top:15.045751pt;width:32.5pt;height:7.65pt;mso-position-horizontal-relative:page;mso-position-vertical-relative:paragraph;z-index:-29220352" type="#_x0000_t202" id="docshape212" filled="false" stroked="false">
                <v:textbox inset="0,0,0,0">
                  <w:txbxContent>
                    <w:p>
                      <w:pPr>
                        <w:spacing w:line="153" w:lineRule="exact" w:before="0"/>
                        <w:ind w:left="392" w:right="0" w:firstLine="0"/>
                        <w:jc w:val="left"/>
                        <w:rPr>
                          <w:sz w:val="14"/>
                        </w:rPr>
                      </w:pPr>
                      <w:r>
                        <w:rPr>
                          <w:spacing w:val="-4"/>
                          <w:sz w:val="14"/>
                        </w:rPr>
                        <w:t>(149</w:t>
                      </w:r>
                    </w:p>
                  </w:txbxContent>
                </v:textbox>
                <w10:wrap type="none"/>
              </v:shape>
            </w:pict>
          </mc:Fallback>
        </mc:AlternateContent>
      </w:r>
      <w:r>
        <w:rPr/>
        <mc:AlternateContent>
          <mc:Choice Requires="wps">
            <w:drawing>
              <wp:anchor distT="0" distB="0" distL="0" distR="0" allowOverlap="1" layoutInCell="1" locked="0" behindDoc="0" simplePos="0" relativeHeight="15808000">
                <wp:simplePos x="0" y="0"/>
                <wp:positionH relativeFrom="page">
                  <wp:posOffset>4020171</wp:posOffset>
                </wp:positionH>
                <wp:positionV relativeFrom="paragraph">
                  <wp:posOffset>191081</wp:posOffset>
                </wp:positionV>
                <wp:extent cx="364490" cy="9715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364490" cy="97155"/>
                        </a:xfrm>
                        <a:prstGeom prst="rect">
                          <a:avLst/>
                        </a:prstGeom>
                      </wps:spPr>
                      <wps:txbx>
                        <w:txbxContent>
                          <w:p>
                            <w:pPr>
                              <w:spacing w:line="153" w:lineRule="exact" w:before="0"/>
                              <w:ind w:left="316" w:right="0" w:firstLine="0"/>
                              <w:jc w:val="left"/>
                              <w:rPr>
                                <w:sz w:val="14"/>
                              </w:rPr>
                            </w:pPr>
                            <w:r>
                              <w:rPr>
                                <w:spacing w:val="-4"/>
                                <w:sz w:val="14"/>
                              </w:rPr>
                              <w:t>(132</w:t>
                            </w:r>
                          </w:p>
                        </w:txbxContent>
                      </wps:txbx>
                      <wps:bodyPr wrap="square" lIns="0" tIns="0" rIns="0" bIns="0" rtlCol="0">
                        <a:noAutofit/>
                      </wps:bodyPr>
                    </wps:wsp>
                  </a:graphicData>
                </a:graphic>
              </wp:anchor>
            </w:drawing>
          </mc:Choice>
          <mc:Fallback>
            <w:pict>
              <v:shape style="position:absolute;margin-left:316.54892pt;margin-top:15.045751pt;width:28.7pt;height:7.65pt;mso-position-horizontal-relative:page;mso-position-vertical-relative:paragraph;z-index:15808000" type="#_x0000_t202" id="docshape213" filled="false" stroked="false">
                <v:textbox inset="0,0,0,0">
                  <w:txbxContent>
                    <w:p>
                      <w:pPr>
                        <w:spacing w:line="153" w:lineRule="exact" w:before="0"/>
                        <w:ind w:left="316" w:right="0" w:firstLine="0"/>
                        <w:jc w:val="left"/>
                        <w:rPr>
                          <w:sz w:val="14"/>
                        </w:rPr>
                      </w:pPr>
                      <w:r>
                        <w:rPr>
                          <w:spacing w:val="-4"/>
                          <w:sz w:val="14"/>
                        </w:rPr>
                        <w:t>(132</w:t>
                      </w:r>
                    </w:p>
                  </w:txbxContent>
                </v:textbox>
                <w10:wrap type="none"/>
              </v:shape>
            </w:pict>
          </mc:Fallback>
        </mc:AlternateContent>
      </w:r>
      <w:r>
        <w:rPr/>
        <mc:AlternateContent>
          <mc:Choice Requires="wps">
            <w:drawing>
              <wp:anchor distT="0" distB="0" distL="0" distR="0" allowOverlap="1" layoutInCell="1" locked="0" behindDoc="0" simplePos="0" relativeHeight="15808512">
                <wp:simplePos x="0" y="0"/>
                <wp:positionH relativeFrom="page">
                  <wp:posOffset>226488</wp:posOffset>
                </wp:positionH>
                <wp:positionV relativeFrom="paragraph">
                  <wp:posOffset>191081</wp:posOffset>
                </wp:positionV>
                <wp:extent cx="2411095" cy="9715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2411095" cy="97155"/>
                        </a:xfrm>
                        <a:prstGeom prst="rect">
                          <a:avLst/>
                        </a:prstGeom>
                      </wps:spPr>
                      <wps:txbx>
                        <w:txbxContent>
                          <w:p>
                            <w:pPr>
                              <w:spacing w:line="153" w:lineRule="exact" w:before="0"/>
                              <w:ind w:left="0" w:right="0" w:firstLine="0"/>
                              <w:jc w:val="left"/>
                              <w:rPr>
                                <w:sz w:val="11"/>
                              </w:rPr>
                            </w:pPr>
                            <w:r>
                              <w:rPr>
                                <w:sz w:val="14"/>
                              </w:rPr>
                              <w:t>Other,</w:t>
                            </w:r>
                            <w:r>
                              <w:rPr>
                                <w:spacing w:val="-5"/>
                                <w:sz w:val="14"/>
                              </w:rPr>
                              <w:t> </w:t>
                            </w:r>
                            <w:r>
                              <w:rPr>
                                <w:sz w:val="14"/>
                              </w:rPr>
                              <w:t>net</w:t>
                            </w:r>
                            <w:r>
                              <w:rPr>
                                <w:spacing w:val="-2"/>
                                <w:sz w:val="14"/>
                              </w:rPr>
                              <w:t> </w:t>
                            </w:r>
                            <w:r>
                              <w:rPr>
                                <w:spacing w:val="-5"/>
                                <w:position w:val="3"/>
                                <w:sz w:val="11"/>
                              </w:rPr>
                              <w:t>(1)</w:t>
                            </w:r>
                          </w:p>
                        </w:txbxContent>
                      </wps:txbx>
                      <wps:bodyPr wrap="square" lIns="0" tIns="0" rIns="0" bIns="0" rtlCol="0">
                        <a:noAutofit/>
                      </wps:bodyPr>
                    </wps:wsp>
                  </a:graphicData>
                </a:graphic>
              </wp:anchor>
            </w:drawing>
          </mc:Choice>
          <mc:Fallback>
            <w:pict>
              <v:shape style="position:absolute;margin-left:17.833740pt;margin-top:15.045751pt;width:189.85pt;height:7.65pt;mso-position-horizontal-relative:page;mso-position-vertical-relative:paragraph;z-index:15808512" type="#_x0000_t202" id="docshape214" filled="false" stroked="false">
                <v:textbox inset="0,0,0,0">
                  <w:txbxContent>
                    <w:p>
                      <w:pPr>
                        <w:spacing w:line="153" w:lineRule="exact" w:before="0"/>
                        <w:ind w:left="0" w:right="0" w:firstLine="0"/>
                        <w:jc w:val="left"/>
                        <w:rPr>
                          <w:sz w:val="11"/>
                        </w:rPr>
                      </w:pPr>
                      <w:r>
                        <w:rPr>
                          <w:sz w:val="14"/>
                        </w:rPr>
                        <w:t>Other,</w:t>
                      </w:r>
                      <w:r>
                        <w:rPr>
                          <w:spacing w:val="-5"/>
                          <w:sz w:val="14"/>
                        </w:rPr>
                        <w:t> </w:t>
                      </w:r>
                      <w:r>
                        <w:rPr>
                          <w:sz w:val="14"/>
                        </w:rPr>
                        <w:t>net</w:t>
                      </w:r>
                      <w:r>
                        <w:rPr>
                          <w:spacing w:val="-2"/>
                          <w:sz w:val="14"/>
                        </w:rPr>
                        <w:t> </w:t>
                      </w:r>
                      <w:r>
                        <w:rPr>
                          <w:spacing w:val="-5"/>
                          <w:position w:val="3"/>
                          <w:sz w:val="11"/>
                        </w:rPr>
                        <w:t>(1)</w:t>
                      </w:r>
                    </w:p>
                  </w:txbxContent>
                </v:textbox>
                <w10:wrap type="none"/>
              </v:shape>
            </w:pict>
          </mc:Fallback>
        </mc:AlternateContent>
      </w:r>
      <w:r>
        <w:rPr>
          <w:sz w:val="14"/>
        </w:rPr>
        <w:t>Preferred</w:t>
      </w:r>
      <w:r>
        <w:rPr>
          <w:spacing w:val="-3"/>
          <w:sz w:val="14"/>
        </w:rPr>
        <w:t> </w:t>
      </w:r>
      <w:r>
        <w:rPr>
          <w:sz w:val="14"/>
        </w:rPr>
        <w:t>dividends</w:t>
      </w:r>
      <w:r>
        <w:rPr>
          <w:spacing w:val="-3"/>
          <w:sz w:val="14"/>
        </w:rPr>
        <w:t> </w:t>
      </w:r>
      <w:r>
        <w:rPr>
          <w:sz w:val="14"/>
        </w:rPr>
        <w:t>($42,500</w:t>
      </w:r>
      <w:r>
        <w:rPr>
          <w:spacing w:val="-4"/>
          <w:sz w:val="14"/>
        </w:rPr>
        <w:t> </w:t>
      </w:r>
      <w:r>
        <w:rPr>
          <w:sz w:val="14"/>
        </w:rPr>
        <w:t>per</w:t>
      </w:r>
      <w:r>
        <w:rPr>
          <w:spacing w:val="-3"/>
          <w:sz w:val="14"/>
        </w:rPr>
        <w:t> </w:t>
      </w:r>
      <w:r>
        <w:rPr>
          <w:spacing w:val="-2"/>
          <w:sz w:val="14"/>
        </w:rPr>
        <w:t>share)</w:t>
      </w:r>
      <w:r>
        <w:rPr>
          <w:sz w:val="14"/>
        </w:rPr>
        <w:tab/>
      </w:r>
      <w:r>
        <w:rPr>
          <w:spacing w:val="-4"/>
          <w:sz w:val="14"/>
        </w:rPr>
        <w:t>(98)</w:t>
      </w:r>
      <w:r>
        <w:rPr>
          <w:sz w:val="14"/>
        </w:rPr>
        <w:tab/>
      </w:r>
      <w:r>
        <w:rPr>
          <w:spacing w:val="-4"/>
          <w:sz w:val="14"/>
        </w:rPr>
        <w:t>(98)</w:t>
      </w:r>
      <w:r>
        <w:rPr>
          <w:sz w:val="14"/>
        </w:rPr>
        <w:tab/>
      </w:r>
      <w:r>
        <w:rPr>
          <w:spacing w:val="-4"/>
          <w:sz w:val="14"/>
        </w:rPr>
        <w:t>(98)</w:t>
      </w:r>
    </w:p>
    <w:p>
      <w:pPr>
        <w:tabs>
          <w:tab w:pos="7434" w:val="left" w:leader="none"/>
          <w:tab w:pos="9697" w:val="left" w:leader="none"/>
          <w:tab w:pos="10453" w:val="left" w:leader="none"/>
        </w:tabs>
        <w:spacing w:line="156" w:lineRule="exact" w:before="0"/>
        <w:ind w:left="6704" w:right="0" w:firstLine="0"/>
        <w:jc w:val="left"/>
        <w:rPr>
          <w:sz w:val="14"/>
        </w:rPr>
      </w:pPr>
      <w:r>
        <w:rPr>
          <w:spacing w:val="-10"/>
          <w:sz w:val="14"/>
        </w:rPr>
        <w:t>)</w:t>
      </w:r>
      <w:r>
        <w:rPr>
          <w:sz w:val="14"/>
        </w:rPr>
        <w:tab/>
      </w:r>
      <w:r>
        <w:rPr>
          <w:spacing w:val="-4"/>
          <w:sz w:val="14"/>
        </w:rPr>
        <w:t>(17)</w:t>
      </w:r>
      <w:r>
        <w:rPr>
          <w:sz w:val="14"/>
        </w:rPr>
        <w:tab/>
      </w:r>
      <w:r>
        <w:rPr>
          <w:spacing w:val="-10"/>
          <w:sz w:val="14"/>
        </w:rPr>
        <w:t>)</w:t>
      </w:r>
      <w:r>
        <w:rPr>
          <w:sz w:val="14"/>
        </w:rPr>
        <w:tab/>
      </w:r>
      <w:r>
        <w:rPr>
          <w:spacing w:val="-4"/>
          <w:sz w:val="14"/>
        </w:rPr>
        <w:t>(23)</w:t>
      </w:r>
    </w:p>
    <w:p>
      <w:pPr>
        <w:tabs>
          <w:tab w:pos="3264" w:val="left" w:leader="none"/>
          <w:tab w:pos="3637" w:val="left" w:leader="none"/>
          <w:tab w:pos="4181" w:val="left" w:leader="none"/>
          <w:tab w:pos="4659" w:val="left" w:leader="none"/>
          <w:tab w:pos="5099" w:val="left" w:leader="none"/>
          <w:tab w:pos="5401" w:val="left" w:leader="none"/>
          <w:tab w:pos="6016" w:val="left" w:leader="none"/>
          <w:tab w:pos="6318" w:val="left" w:leader="none"/>
          <w:tab w:pos="6933" w:val="left" w:leader="none"/>
          <w:tab w:pos="8342" w:val="left" w:leader="none"/>
          <w:tab w:pos="9312" w:val="left" w:leader="none"/>
          <w:tab w:pos="9926" w:val="left" w:leader="none"/>
          <w:tab w:pos="10500" w:val="left" w:leader="none"/>
          <w:tab w:pos="10869" w:val="left" w:leader="none"/>
          <w:tab w:pos="11172" w:val="left" w:leader="none"/>
        </w:tabs>
        <w:spacing w:before="4"/>
        <w:ind w:left="156" w:right="0" w:firstLine="0"/>
        <w:jc w:val="left"/>
        <w:rPr>
          <w:sz w:val="14"/>
        </w:rPr>
      </w:pPr>
      <w:r>
        <w:rPr/>
        <mc:AlternateContent>
          <mc:Choice Requires="wps">
            <w:drawing>
              <wp:anchor distT="0" distB="0" distL="0" distR="0" allowOverlap="1" layoutInCell="1" locked="0" behindDoc="0" simplePos="0" relativeHeight="15797248">
                <wp:simplePos x="0" y="0"/>
                <wp:positionH relativeFrom="page">
                  <wp:posOffset>226479</wp:posOffset>
                </wp:positionH>
                <wp:positionV relativeFrom="paragraph">
                  <wp:posOffset>102106</wp:posOffset>
                </wp:positionV>
                <wp:extent cx="7312659" cy="97155"/>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7312659" cy="97155"/>
                        </a:xfrm>
                        <a:custGeom>
                          <a:avLst/>
                          <a:gdLst/>
                          <a:ahLst/>
                          <a:cxnLst/>
                          <a:rect l="l" t="t" r="r" b="b"/>
                          <a:pathLst>
                            <a:path w="7312659" h="97155">
                              <a:moveTo>
                                <a:pt x="7312342" y="0"/>
                              </a:moveTo>
                              <a:lnTo>
                                <a:pt x="7312342" y="0"/>
                              </a:lnTo>
                              <a:lnTo>
                                <a:pt x="0" y="0"/>
                              </a:lnTo>
                              <a:lnTo>
                                <a:pt x="0" y="97066"/>
                              </a:lnTo>
                              <a:lnTo>
                                <a:pt x="7312342" y="97066"/>
                              </a:lnTo>
                              <a:lnTo>
                                <a:pt x="7312342"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17.833pt;margin-top:8.039882pt;width:575.775027pt;height:7.643pt;mso-position-horizontal-relative:page;mso-position-vertical-relative:paragraph;z-index:15797248" id="docshape215" filled="true" fillcolor="#ccedff" stroked="false">
                <v:fill type="solid"/>
                <w10:wrap type="none"/>
              </v:rect>
            </w:pict>
          </mc:Fallback>
        </mc:AlternateContent>
      </w:r>
      <w:r>
        <w:rPr>
          <w:sz w:val="14"/>
        </w:rPr>
        <w:t>Balance at December 31, </w:t>
      </w:r>
      <w:r>
        <w:rPr>
          <w:spacing w:val="-4"/>
          <w:sz w:val="14"/>
        </w:rPr>
        <w:t>2019</w:t>
      </w:r>
      <w:r>
        <w:rPr>
          <w:sz w:val="14"/>
        </w:rPr>
        <w:tab/>
      </w:r>
      <w:r>
        <w:rPr>
          <w:spacing w:val="-10"/>
          <w:sz w:val="14"/>
        </w:rPr>
        <w:t>$</w:t>
      </w:r>
      <w:r>
        <w:rPr>
          <w:sz w:val="14"/>
        </w:rPr>
        <w:tab/>
      </w:r>
      <w:r>
        <w:rPr>
          <w:spacing w:val="-2"/>
          <w:sz w:val="14"/>
        </w:rPr>
        <w:t>2,300</w:t>
      </w:r>
      <w:r>
        <w:rPr>
          <w:sz w:val="14"/>
        </w:rPr>
        <w:tab/>
      </w:r>
      <w:r>
        <w:rPr>
          <w:spacing w:val="-10"/>
          <w:sz w:val="14"/>
        </w:rPr>
        <w:t>$</w:t>
      </w:r>
      <w:r>
        <w:rPr>
          <w:sz w:val="14"/>
        </w:rPr>
        <w:tab/>
      </w:r>
      <w:r>
        <w:rPr>
          <w:spacing w:val="-5"/>
          <w:sz w:val="14"/>
        </w:rPr>
        <w:t>859</w:t>
      </w:r>
      <w:r>
        <w:rPr>
          <w:sz w:val="14"/>
        </w:rPr>
        <w:tab/>
      </w:r>
      <w:r>
        <w:rPr>
          <w:spacing w:val="-10"/>
          <w:sz w:val="14"/>
        </w:rPr>
        <w:t>$</w:t>
      </w:r>
      <w:r>
        <w:rPr>
          <w:sz w:val="14"/>
        </w:rPr>
        <w:tab/>
      </w:r>
      <w:r>
        <w:rPr>
          <w:spacing w:val="-2"/>
          <w:sz w:val="14"/>
        </w:rPr>
        <w:t>14,323</w:t>
      </w:r>
      <w:r>
        <w:rPr>
          <w:sz w:val="14"/>
        </w:rPr>
        <w:tab/>
      </w:r>
      <w:r>
        <w:rPr>
          <w:spacing w:val="-10"/>
          <w:sz w:val="14"/>
        </w:rPr>
        <w:t>$</w:t>
      </w:r>
      <w:r>
        <w:rPr>
          <w:sz w:val="14"/>
        </w:rPr>
        <w:tab/>
      </w:r>
      <w:r>
        <w:rPr>
          <w:spacing w:val="-2"/>
          <w:sz w:val="14"/>
        </w:rPr>
        <w:t>16,408</w:t>
      </w:r>
      <w:r>
        <w:rPr>
          <w:sz w:val="14"/>
        </w:rPr>
        <w:tab/>
        <w:t>$</w:t>
      </w:r>
      <w:r>
        <w:rPr>
          <w:spacing w:val="55"/>
          <w:sz w:val="14"/>
        </w:rPr>
        <w:t>  </w:t>
      </w:r>
      <w:r>
        <w:rPr>
          <w:sz w:val="14"/>
        </w:rPr>
        <w:t>(19,812)</w:t>
      </w:r>
      <w:r>
        <w:rPr>
          <w:spacing w:val="55"/>
          <w:sz w:val="14"/>
        </w:rPr>
        <w:t>  </w:t>
      </w:r>
      <w:r>
        <w:rPr>
          <w:spacing w:val="-10"/>
          <w:sz w:val="14"/>
        </w:rPr>
        <w:t>$</w:t>
      </w:r>
      <w:r>
        <w:rPr>
          <w:sz w:val="14"/>
        </w:rPr>
        <w:tab/>
        <w:t>(1,171)</w:t>
      </w:r>
      <w:r>
        <w:rPr>
          <w:spacing w:val="53"/>
          <w:sz w:val="14"/>
        </w:rPr>
        <w:t>  </w:t>
      </w:r>
      <w:r>
        <w:rPr>
          <w:spacing w:val="-10"/>
          <w:sz w:val="14"/>
        </w:rPr>
        <w:t>$</w:t>
      </w:r>
      <w:r>
        <w:rPr>
          <w:sz w:val="14"/>
        </w:rPr>
        <w:tab/>
      </w:r>
      <w:r>
        <w:rPr>
          <w:spacing w:val="-2"/>
          <w:sz w:val="14"/>
        </w:rPr>
        <w:t>12,907</w:t>
      </w:r>
      <w:r>
        <w:rPr>
          <w:sz w:val="14"/>
        </w:rPr>
        <w:tab/>
      </w:r>
      <w:r>
        <w:rPr>
          <w:spacing w:val="-10"/>
          <w:sz w:val="14"/>
        </w:rPr>
        <w:t>$</w:t>
      </w:r>
      <w:r>
        <w:rPr>
          <w:sz w:val="14"/>
        </w:rPr>
        <w:tab/>
      </w:r>
      <w:r>
        <w:rPr>
          <w:spacing w:val="-5"/>
          <w:sz w:val="14"/>
        </w:rPr>
        <w:t>90</w:t>
      </w:r>
      <w:r>
        <w:rPr>
          <w:sz w:val="14"/>
        </w:rPr>
        <w:tab/>
      </w:r>
      <w:r>
        <w:rPr>
          <w:spacing w:val="-10"/>
          <w:sz w:val="14"/>
        </w:rPr>
        <w:t>$</w:t>
      </w:r>
      <w:r>
        <w:rPr>
          <w:sz w:val="14"/>
        </w:rPr>
        <w:tab/>
      </w:r>
      <w:r>
        <w:rPr>
          <w:spacing w:val="-2"/>
          <w:sz w:val="14"/>
        </w:rPr>
        <w:t>12,997</w:t>
      </w:r>
    </w:p>
    <w:p>
      <w:pPr>
        <w:tabs>
          <w:tab w:pos="6493" w:val="left" w:leader="none"/>
          <w:tab w:pos="9487" w:val="left" w:leader="none"/>
          <w:tab w:pos="10500" w:val="left" w:leader="none"/>
          <w:tab w:pos="11347" w:val="left" w:leader="none"/>
        </w:tabs>
        <w:spacing w:before="145"/>
        <w:ind w:left="156" w:right="0" w:firstLine="0"/>
        <w:jc w:val="left"/>
        <w:rPr>
          <w:sz w:val="14"/>
        </w:rPr>
      </w:pPr>
      <w:r>
        <w:rPr/>
        <mc:AlternateContent>
          <mc:Choice Requires="wps">
            <w:drawing>
              <wp:anchor distT="0" distB="0" distL="0" distR="0" allowOverlap="1" layoutInCell="1" locked="0" behindDoc="0" simplePos="0" relativeHeight="15806464">
                <wp:simplePos x="0" y="0"/>
                <wp:positionH relativeFrom="page">
                  <wp:posOffset>226488</wp:posOffset>
                </wp:positionH>
                <wp:positionV relativeFrom="paragraph">
                  <wp:posOffset>191470</wp:posOffset>
                </wp:positionV>
                <wp:extent cx="7312659" cy="9715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7312659" cy="97155"/>
                        </a:xfrm>
                        <a:prstGeom prst="rect">
                          <a:avLst/>
                        </a:prstGeom>
                        <a:solidFill>
                          <a:srgbClr val="CCEDFF"/>
                        </a:solidFill>
                      </wps:spPr>
                      <wps:txbx>
                        <w:txbxContent>
                          <w:p>
                            <w:pPr>
                              <w:tabs>
                                <w:tab w:pos="8337" w:val="left" w:leader="none"/>
                                <w:tab w:pos="9330" w:val="left" w:leader="none"/>
                                <w:tab w:pos="10413" w:val="left" w:leader="none"/>
                                <w:tab w:pos="11400" w:val="right" w:leader="none"/>
                              </w:tabs>
                              <w:spacing w:line="153" w:lineRule="exact" w:before="0"/>
                              <w:ind w:left="0" w:right="0" w:firstLine="0"/>
                              <w:jc w:val="left"/>
                              <w:rPr>
                                <w:color w:val="000000"/>
                                <w:sz w:val="14"/>
                              </w:rPr>
                            </w:pPr>
                            <w:r>
                              <w:rPr>
                                <w:color w:val="000000"/>
                                <w:sz w:val="14"/>
                              </w:rPr>
                              <w:t>Other comprehensive </w:t>
                            </w:r>
                            <w:r>
                              <w:rPr>
                                <w:color w:val="000000"/>
                                <w:spacing w:val="-2"/>
                                <w:sz w:val="14"/>
                              </w:rPr>
                              <w:t>income</w:t>
                            </w:r>
                            <w:r>
                              <w:rPr>
                                <w:color w:val="000000"/>
                                <w:sz w:val="14"/>
                              </w:rPr>
                              <w:tab/>
                            </w:r>
                            <w:r>
                              <w:rPr>
                                <w:color w:val="000000"/>
                                <w:spacing w:val="-5"/>
                                <w:sz w:val="14"/>
                              </w:rPr>
                              <w:t>431</w:t>
                            </w:r>
                            <w:r>
                              <w:rPr>
                                <w:color w:val="000000"/>
                                <w:sz w:val="14"/>
                              </w:rPr>
                              <w:tab/>
                            </w:r>
                            <w:r>
                              <w:rPr>
                                <w:color w:val="000000"/>
                                <w:spacing w:val="-5"/>
                                <w:sz w:val="14"/>
                              </w:rPr>
                              <w:t>431</w:t>
                            </w:r>
                            <w:r>
                              <w:rPr>
                                <w:color w:val="000000"/>
                                <w:sz w:val="14"/>
                              </w:rPr>
                              <w:tab/>
                            </w:r>
                            <w:r>
                              <w:rPr>
                                <w:color w:val="000000"/>
                                <w:spacing w:val="-10"/>
                                <w:sz w:val="14"/>
                              </w:rPr>
                              <w:t>1</w:t>
                            </w:r>
                            <w:r>
                              <w:rPr>
                                <w:color w:val="000000"/>
                                <w:sz w:val="14"/>
                              </w:rPr>
                              <w:tab/>
                            </w:r>
                            <w:r>
                              <w:rPr>
                                <w:color w:val="000000"/>
                                <w:spacing w:val="-5"/>
                                <w:sz w:val="14"/>
                              </w:rPr>
                              <w:t>432</w:t>
                            </w:r>
                          </w:p>
                        </w:txbxContent>
                      </wps:txbx>
                      <wps:bodyPr wrap="square" lIns="0" tIns="0" rIns="0" bIns="0" rtlCol="0">
                        <a:noAutofit/>
                      </wps:bodyPr>
                    </wps:wsp>
                  </a:graphicData>
                </a:graphic>
              </wp:anchor>
            </w:drawing>
          </mc:Choice>
          <mc:Fallback>
            <w:pict>
              <v:shape style="position:absolute;margin-left:17.833740pt;margin-top:15.076403pt;width:575.8pt;height:7.65pt;mso-position-horizontal-relative:page;mso-position-vertical-relative:paragraph;z-index:15806464" type="#_x0000_t202" id="docshape216" filled="true" fillcolor="#ccedff" stroked="false">
                <v:textbox inset="0,0,0,0">
                  <w:txbxContent>
                    <w:p>
                      <w:pPr>
                        <w:tabs>
                          <w:tab w:pos="8337" w:val="left" w:leader="none"/>
                          <w:tab w:pos="9330" w:val="left" w:leader="none"/>
                          <w:tab w:pos="10413" w:val="left" w:leader="none"/>
                          <w:tab w:pos="11400" w:val="right" w:leader="none"/>
                        </w:tabs>
                        <w:spacing w:line="153" w:lineRule="exact" w:before="0"/>
                        <w:ind w:left="0" w:right="0" w:firstLine="0"/>
                        <w:jc w:val="left"/>
                        <w:rPr>
                          <w:color w:val="000000"/>
                          <w:sz w:val="14"/>
                        </w:rPr>
                      </w:pPr>
                      <w:r>
                        <w:rPr>
                          <w:color w:val="000000"/>
                          <w:sz w:val="14"/>
                        </w:rPr>
                        <w:t>Other comprehensive </w:t>
                      </w:r>
                      <w:r>
                        <w:rPr>
                          <w:color w:val="000000"/>
                          <w:spacing w:val="-2"/>
                          <w:sz w:val="14"/>
                        </w:rPr>
                        <w:t>income</w:t>
                      </w:r>
                      <w:r>
                        <w:rPr>
                          <w:color w:val="000000"/>
                          <w:sz w:val="14"/>
                        </w:rPr>
                        <w:tab/>
                      </w:r>
                      <w:r>
                        <w:rPr>
                          <w:color w:val="000000"/>
                          <w:spacing w:val="-5"/>
                          <w:sz w:val="14"/>
                        </w:rPr>
                        <w:t>431</w:t>
                      </w:r>
                      <w:r>
                        <w:rPr>
                          <w:color w:val="000000"/>
                          <w:sz w:val="14"/>
                        </w:rPr>
                        <w:tab/>
                      </w:r>
                      <w:r>
                        <w:rPr>
                          <w:color w:val="000000"/>
                          <w:spacing w:val="-5"/>
                          <w:sz w:val="14"/>
                        </w:rPr>
                        <w:t>431</w:t>
                      </w:r>
                      <w:r>
                        <w:rPr>
                          <w:color w:val="000000"/>
                          <w:sz w:val="14"/>
                        </w:rPr>
                        <w:tab/>
                      </w:r>
                      <w:r>
                        <w:rPr>
                          <w:color w:val="000000"/>
                          <w:spacing w:val="-10"/>
                          <w:sz w:val="14"/>
                        </w:rPr>
                        <w:t>1</w:t>
                      </w:r>
                      <w:r>
                        <w:rPr>
                          <w:color w:val="000000"/>
                          <w:sz w:val="14"/>
                        </w:rPr>
                        <w:tab/>
                      </w:r>
                      <w:r>
                        <w:rPr>
                          <w:color w:val="000000"/>
                          <w:spacing w:val="-5"/>
                          <w:sz w:val="14"/>
                        </w:rPr>
                        <w:t>432</w:t>
                      </w:r>
                    </w:p>
                  </w:txbxContent>
                </v:textbox>
                <v:fill type="solid"/>
                <w10:wrap type="none"/>
              </v:shape>
            </w:pict>
          </mc:Fallback>
        </mc:AlternateContent>
      </w:r>
      <w:r>
        <w:rPr>
          <w:sz w:val="14"/>
        </w:rPr>
        <w:t>Net</w:t>
      </w:r>
      <w:r>
        <w:rPr>
          <w:spacing w:val="-3"/>
          <w:sz w:val="14"/>
        </w:rPr>
        <w:t> </w:t>
      </w:r>
      <w:r>
        <w:rPr>
          <w:spacing w:val="-2"/>
          <w:sz w:val="14"/>
        </w:rPr>
        <w:t>income</w:t>
      </w:r>
      <w:r>
        <w:rPr>
          <w:sz w:val="14"/>
        </w:rPr>
        <w:tab/>
      </w:r>
      <w:r>
        <w:rPr>
          <w:spacing w:val="-5"/>
          <w:sz w:val="14"/>
        </w:rPr>
        <w:t>512</w:t>
      </w:r>
      <w:r>
        <w:rPr>
          <w:sz w:val="14"/>
        </w:rPr>
        <w:tab/>
      </w:r>
      <w:r>
        <w:rPr>
          <w:spacing w:val="-5"/>
          <w:sz w:val="14"/>
        </w:rPr>
        <w:t>512</w:t>
      </w:r>
      <w:r>
        <w:rPr>
          <w:sz w:val="14"/>
        </w:rPr>
        <w:tab/>
      </w:r>
      <w:r>
        <w:rPr>
          <w:spacing w:val="-5"/>
          <w:sz w:val="14"/>
        </w:rPr>
        <w:t>11</w:t>
      </w:r>
      <w:r>
        <w:rPr>
          <w:sz w:val="14"/>
        </w:rPr>
        <w:tab/>
      </w:r>
      <w:r>
        <w:rPr>
          <w:spacing w:val="-5"/>
          <w:sz w:val="14"/>
        </w:rPr>
        <w:t>523</w:t>
      </w:r>
    </w:p>
    <w:p>
      <w:pPr>
        <w:tabs>
          <w:tab w:pos="7364" w:val="left" w:leader="none"/>
          <w:tab w:pos="9440" w:val="left" w:leader="none"/>
          <w:tab w:pos="11300" w:val="left" w:leader="none"/>
        </w:tabs>
        <w:spacing w:before="145"/>
        <w:ind w:left="156" w:right="0" w:firstLine="0"/>
        <w:jc w:val="left"/>
        <w:rPr>
          <w:sz w:val="14"/>
        </w:rPr>
      </w:pPr>
      <w:r>
        <w:rPr/>
        <mc:AlternateContent>
          <mc:Choice Requires="wps">
            <w:drawing>
              <wp:anchor distT="0" distB="0" distL="0" distR="0" allowOverlap="1" layoutInCell="1" locked="0" behindDoc="0" simplePos="0" relativeHeight="15797760">
                <wp:simplePos x="0" y="0"/>
                <wp:positionH relativeFrom="page">
                  <wp:posOffset>226488</wp:posOffset>
                </wp:positionH>
                <wp:positionV relativeFrom="paragraph">
                  <wp:posOffset>191301</wp:posOffset>
                </wp:positionV>
                <wp:extent cx="7312659" cy="19748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7312659" cy="197485"/>
                          <a:chExt cx="7312659" cy="197485"/>
                        </a:xfrm>
                      </wpg:grpSpPr>
                      <wps:wsp>
                        <wps:cNvPr id="219" name="Graphic 219"/>
                        <wps:cNvSpPr/>
                        <wps:spPr>
                          <a:xfrm>
                            <a:off x="-9" y="1"/>
                            <a:ext cx="7312659" cy="194310"/>
                          </a:xfrm>
                          <a:custGeom>
                            <a:avLst/>
                            <a:gdLst/>
                            <a:ahLst/>
                            <a:cxnLst/>
                            <a:rect l="l" t="t" r="r" b="b"/>
                            <a:pathLst>
                              <a:path w="7312659" h="194310">
                                <a:moveTo>
                                  <a:pt x="7312342" y="0"/>
                                </a:moveTo>
                                <a:lnTo>
                                  <a:pt x="7312342" y="0"/>
                                </a:lnTo>
                                <a:lnTo>
                                  <a:pt x="0" y="0"/>
                                </a:lnTo>
                                <a:lnTo>
                                  <a:pt x="0" y="194132"/>
                                </a:lnTo>
                                <a:lnTo>
                                  <a:pt x="7312342" y="194132"/>
                                </a:lnTo>
                                <a:lnTo>
                                  <a:pt x="7312342" y="0"/>
                                </a:lnTo>
                                <a:close/>
                              </a:path>
                            </a:pathLst>
                          </a:custGeom>
                          <a:solidFill>
                            <a:srgbClr val="CCEDFF"/>
                          </a:solidFill>
                        </wps:spPr>
                        <wps:bodyPr wrap="square" lIns="0" tIns="0" rIns="0" bIns="0" rtlCol="0">
                          <a:prstTxWarp prst="textNoShape">
                            <a:avLst/>
                          </a:prstTxWarp>
                          <a:noAutofit/>
                        </wps:bodyPr>
                      </wps:wsp>
                      <wps:wsp>
                        <wps:cNvPr id="220" name="Textbox 220"/>
                        <wps:cNvSpPr txBox="1"/>
                        <wps:spPr>
                          <a:xfrm>
                            <a:off x="0" y="1599"/>
                            <a:ext cx="1591945" cy="196215"/>
                          </a:xfrm>
                          <a:prstGeom prst="rect">
                            <a:avLst/>
                          </a:prstGeom>
                        </wps:spPr>
                        <wps:txbx>
                          <w:txbxContent>
                            <w:p>
                              <w:pPr>
                                <w:spacing w:line="228" w:lineRule="auto" w:before="0"/>
                                <w:ind w:left="152" w:right="0" w:hanging="153"/>
                                <w:jc w:val="left"/>
                                <w:rPr>
                                  <w:sz w:val="14"/>
                                </w:rPr>
                              </w:pPr>
                              <w:r>
                                <w:rPr>
                                  <w:sz w:val="14"/>
                                </w:rPr>
                                <w:t>Shares</w:t>
                              </w:r>
                              <w:r>
                                <w:rPr>
                                  <w:spacing w:val="-5"/>
                                  <w:sz w:val="14"/>
                                </w:rPr>
                                <w:t> </w:t>
                              </w:r>
                              <w:r>
                                <w:rPr>
                                  <w:sz w:val="14"/>
                                </w:rPr>
                                <w:t>issued</w:t>
                              </w:r>
                              <w:r>
                                <w:rPr>
                                  <w:spacing w:val="-5"/>
                                  <w:sz w:val="14"/>
                                </w:rPr>
                                <w:t> </w:t>
                              </w:r>
                              <w:r>
                                <w:rPr>
                                  <w:sz w:val="14"/>
                                </w:rPr>
                                <w:t>to</w:t>
                              </w:r>
                              <w:r>
                                <w:rPr>
                                  <w:spacing w:val="-5"/>
                                  <w:sz w:val="14"/>
                                </w:rPr>
                                <w:t> </w:t>
                              </w:r>
                              <w:r>
                                <w:rPr>
                                  <w:sz w:val="14"/>
                                </w:rPr>
                                <w:t>benefit</w:t>
                              </w:r>
                              <w:r>
                                <w:rPr>
                                  <w:spacing w:val="-5"/>
                                  <w:sz w:val="14"/>
                                </w:rPr>
                                <w:t> </w:t>
                              </w:r>
                              <w:r>
                                <w:rPr>
                                  <w:sz w:val="14"/>
                                </w:rPr>
                                <w:t>plans</w:t>
                              </w:r>
                              <w:r>
                                <w:rPr>
                                  <w:spacing w:val="-5"/>
                                  <w:sz w:val="14"/>
                                </w:rPr>
                                <w:t> </w:t>
                              </w:r>
                              <w:r>
                                <w:rPr>
                                  <w:sz w:val="14"/>
                                </w:rPr>
                                <w:t>and</w:t>
                              </w:r>
                              <w:r>
                                <w:rPr>
                                  <w:spacing w:val="-5"/>
                                  <w:sz w:val="14"/>
                                </w:rPr>
                                <w:t> </w:t>
                              </w:r>
                              <w:r>
                                <w:rPr>
                                  <w:sz w:val="14"/>
                                </w:rPr>
                                <w:t>for</w:t>
                              </w:r>
                              <w:r>
                                <w:rPr>
                                  <w:spacing w:val="-5"/>
                                  <w:sz w:val="14"/>
                                </w:rPr>
                                <w:t> </w:t>
                              </w:r>
                              <w:r>
                                <w:rPr>
                                  <w:sz w:val="14"/>
                                </w:rPr>
                                <w:t>option</w:t>
                              </w:r>
                              <w:r>
                                <w:rPr>
                                  <w:spacing w:val="40"/>
                                  <w:sz w:val="14"/>
                                </w:rPr>
                                <w:t> </w:t>
                              </w:r>
                              <w:r>
                                <w:rPr>
                                  <w:spacing w:val="-2"/>
                                  <w:sz w:val="14"/>
                                </w:rPr>
                                <w:t>exercises</w:t>
                              </w:r>
                            </w:p>
                          </w:txbxContent>
                        </wps:txbx>
                        <wps:bodyPr wrap="square" lIns="0" tIns="0" rIns="0" bIns="0" rtlCol="0">
                          <a:noAutofit/>
                        </wps:bodyPr>
                      </wps:wsp>
                      <wps:wsp>
                        <wps:cNvPr id="221" name="Textbox 221"/>
                        <wps:cNvSpPr txBox="1"/>
                        <wps:spPr>
                          <a:xfrm>
                            <a:off x="2948395" y="98666"/>
                            <a:ext cx="57785" cy="99060"/>
                          </a:xfrm>
                          <a:prstGeom prst="rect">
                            <a:avLst/>
                          </a:prstGeom>
                        </wps:spPr>
                        <wps:txbx>
                          <w:txbxContent>
                            <w:p>
                              <w:pPr>
                                <w:spacing w:line="155" w:lineRule="exact" w:before="0"/>
                                <w:ind w:left="0" w:right="0" w:firstLine="0"/>
                                <w:jc w:val="left"/>
                                <w:rPr>
                                  <w:sz w:val="14"/>
                                </w:rPr>
                              </w:pPr>
                              <w:r>
                                <w:rPr>
                                  <w:spacing w:val="-10"/>
                                  <w:sz w:val="14"/>
                                </w:rPr>
                                <w:t>4</w:t>
                              </w:r>
                            </w:p>
                          </w:txbxContent>
                        </wps:txbx>
                        <wps:bodyPr wrap="square" lIns="0" tIns="0" rIns="0" bIns="0" rtlCol="0">
                          <a:noAutofit/>
                        </wps:bodyPr>
                      </wps:wsp>
                      <wps:wsp>
                        <wps:cNvPr id="222" name="Textbox 222"/>
                        <wps:cNvSpPr txBox="1"/>
                        <wps:spPr>
                          <a:xfrm>
                            <a:off x="3441816" y="98666"/>
                            <a:ext cx="146685" cy="99060"/>
                          </a:xfrm>
                          <a:prstGeom prst="rect">
                            <a:avLst/>
                          </a:prstGeom>
                        </wps:spPr>
                        <wps:txbx>
                          <w:txbxContent>
                            <w:p>
                              <w:pPr>
                                <w:spacing w:line="155" w:lineRule="exact" w:before="0"/>
                                <w:ind w:left="0" w:right="0" w:firstLine="0"/>
                                <w:jc w:val="left"/>
                                <w:rPr>
                                  <w:sz w:val="14"/>
                                </w:rPr>
                              </w:pPr>
                              <w:r>
                                <w:rPr>
                                  <w:spacing w:val="-5"/>
                                  <w:sz w:val="14"/>
                                </w:rPr>
                                <w:t>319</w:t>
                              </w:r>
                            </w:p>
                          </w:txbxContent>
                        </wps:txbx>
                        <wps:bodyPr wrap="square" lIns="0" tIns="0" rIns="0" bIns="0" rtlCol="0">
                          <a:noAutofit/>
                        </wps:bodyPr>
                      </wps:wsp>
                      <wps:wsp>
                        <wps:cNvPr id="223" name="Textbox 223"/>
                        <wps:cNvSpPr txBox="1"/>
                        <wps:spPr>
                          <a:xfrm>
                            <a:off x="5925101" y="98666"/>
                            <a:ext cx="146685" cy="99060"/>
                          </a:xfrm>
                          <a:prstGeom prst="rect">
                            <a:avLst/>
                          </a:prstGeom>
                        </wps:spPr>
                        <wps:txbx>
                          <w:txbxContent>
                            <w:p>
                              <w:pPr>
                                <w:spacing w:line="155" w:lineRule="exact" w:before="0"/>
                                <w:ind w:left="0" w:right="0" w:firstLine="0"/>
                                <w:jc w:val="left"/>
                                <w:rPr>
                                  <w:sz w:val="14"/>
                                </w:rPr>
                              </w:pPr>
                              <w:r>
                                <w:rPr>
                                  <w:spacing w:val="-5"/>
                                  <w:sz w:val="14"/>
                                </w:rPr>
                                <w:t>323</w:t>
                              </w:r>
                            </w:p>
                          </w:txbxContent>
                        </wps:txbx>
                        <wps:bodyPr wrap="square" lIns="0" tIns="0" rIns="0" bIns="0" rtlCol="0">
                          <a:noAutofit/>
                        </wps:bodyPr>
                      </wps:wsp>
                      <wps:wsp>
                        <wps:cNvPr id="224" name="Textbox 224"/>
                        <wps:cNvSpPr txBox="1"/>
                        <wps:spPr>
                          <a:xfrm>
                            <a:off x="7106077" y="98666"/>
                            <a:ext cx="146685" cy="99060"/>
                          </a:xfrm>
                          <a:prstGeom prst="rect">
                            <a:avLst/>
                          </a:prstGeom>
                        </wps:spPr>
                        <wps:txbx>
                          <w:txbxContent>
                            <w:p>
                              <w:pPr>
                                <w:spacing w:line="155" w:lineRule="exact" w:before="0"/>
                                <w:ind w:left="0" w:right="0" w:firstLine="0"/>
                                <w:jc w:val="left"/>
                                <w:rPr>
                                  <w:sz w:val="14"/>
                                </w:rPr>
                              </w:pPr>
                              <w:r>
                                <w:rPr>
                                  <w:spacing w:val="-5"/>
                                  <w:sz w:val="14"/>
                                </w:rPr>
                                <w:t>323</w:t>
                              </w:r>
                            </w:p>
                          </w:txbxContent>
                        </wps:txbx>
                        <wps:bodyPr wrap="square" lIns="0" tIns="0" rIns="0" bIns="0" rtlCol="0">
                          <a:noAutofit/>
                        </wps:bodyPr>
                      </wps:wsp>
                    </wpg:wgp>
                  </a:graphicData>
                </a:graphic>
              </wp:anchor>
            </w:drawing>
          </mc:Choice>
          <mc:Fallback>
            <w:pict>
              <v:group style="position:absolute;margin-left:17.833740pt;margin-top:15.063149pt;width:575.8pt;height:15.55pt;mso-position-horizontal-relative:page;mso-position-vertical-relative:paragraph;z-index:15797760" id="docshapegroup217" coordorigin="357,301" coordsize="11516,311">
                <v:rect style="position:absolute;left:356;top:301;width:11516;height:306" id="docshape218" filled="true" fillcolor="#ccedff" stroked="false">
                  <v:fill type="solid"/>
                </v:rect>
                <v:shape style="position:absolute;left:356;top:303;width:2507;height:309" type="#_x0000_t202" id="docshape219" filled="false" stroked="false">
                  <v:textbox inset="0,0,0,0">
                    <w:txbxContent>
                      <w:p>
                        <w:pPr>
                          <w:spacing w:line="228" w:lineRule="auto" w:before="0"/>
                          <w:ind w:left="152" w:right="0" w:hanging="153"/>
                          <w:jc w:val="left"/>
                          <w:rPr>
                            <w:sz w:val="14"/>
                          </w:rPr>
                        </w:pPr>
                        <w:r>
                          <w:rPr>
                            <w:sz w:val="14"/>
                          </w:rPr>
                          <w:t>Shares</w:t>
                        </w:r>
                        <w:r>
                          <w:rPr>
                            <w:spacing w:val="-5"/>
                            <w:sz w:val="14"/>
                          </w:rPr>
                          <w:t> </w:t>
                        </w:r>
                        <w:r>
                          <w:rPr>
                            <w:sz w:val="14"/>
                          </w:rPr>
                          <w:t>issued</w:t>
                        </w:r>
                        <w:r>
                          <w:rPr>
                            <w:spacing w:val="-5"/>
                            <w:sz w:val="14"/>
                          </w:rPr>
                          <w:t> </w:t>
                        </w:r>
                        <w:r>
                          <w:rPr>
                            <w:sz w:val="14"/>
                          </w:rPr>
                          <w:t>to</w:t>
                        </w:r>
                        <w:r>
                          <w:rPr>
                            <w:spacing w:val="-5"/>
                            <w:sz w:val="14"/>
                          </w:rPr>
                          <w:t> </w:t>
                        </w:r>
                        <w:r>
                          <w:rPr>
                            <w:sz w:val="14"/>
                          </w:rPr>
                          <w:t>benefit</w:t>
                        </w:r>
                        <w:r>
                          <w:rPr>
                            <w:spacing w:val="-5"/>
                            <w:sz w:val="14"/>
                          </w:rPr>
                          <w:t> </w:t>
                        </w:r>
                        <w:r>
                          <w:rPr>
                            <w:sz w:val="14"/>
                          </w:rPr>
                          <w:t>plans</w:t>
                        </w:r>
                        <w:r>
                          <w:rPr>
                            <w:spacing w:val="-5"/>
                            <w:sz w:val="14"/>
                          </w:rPr>
                          <w:t> </w:t>
                        </w:r>
                        <w:r>
                          <w:rPr>
                            <w:sz w:val="14"/>
                          </w:rPr>
                          <w:t>and</w:t>
                        </w:r>
                        <w:r>
                          <w:rPr>
                            <w:spacing w:val="-5"/>
                            <w:sz w:val="14"/>
                          </w:rPr>
                          <w:t> </w:t>
                        </w:r>
                        <w:r>
                          <w:rPr>
                            <w:sz w:val="14"/>
                          </w:rPr>
                          <w:t>for</w:t>
                        </w:r>
                        <w:r>
                          <w:rPr>
                            <w:spacing w:val="-5"/>
                            <w:sz w:val="14"/>
                          </w:rPr>
                          <w:t> </w:t>
                        </w:r>
                        <w:r>
                          <w:rPr>
                            <w:sz w:val="14"/>
                          </w:rPr>
                          <w:t>option</w:t>
                        </w:r>
                        <w:r>
                          <w:rPr>
                            <w:spacing w:val="40"/>
                            <w:sz w:val="14"/>
                          </w:rPr>
                          <w:t> </w:t>
                        </w:r>
                        <w:r>
                          <w:rPr>
                            <w:spacing w:val="-2"/>
                            <w:sz w:val="14"/>
                          </w:rPr>
                          <w:t>exercises</w:t>
                        </w:r>
                      </w:p>
                    </w:txbxContent>
                  </v:textbox>
                  <w10:wrap type="none"/>
                </v:shape>
                <v:shape style="position:absolute;left:4999;top:456;width:91;height:156" type="#_x0000_t202" id="docshape220" filled="false" stroked="false">
                  <v:textbox inset="0,0,0,0">
                    <w:txbxContent>
                      <w:p>
                        <w:pPr>
                          <w:spacing w:line="155" w:lineRule="exact" w:before="0"/>
                          <w:ind w:left="0" w:right="0" w:firstLine="0"/>
                          <w:jc w:val="left"/>
                          <w:rPr>
                            <w:sz w:val="14"/>
                          </w:rPr>
                        </w:pPr>
                        <w:r>
                          <w:rPr>
                            <w:spacing w:val="-10"/>
                            <w:sz w:val="14"/>
                          </w:rPr>
                          <w:t>4</w:t>
                        </w:r>
                      </w:p>
                    </w:txbxContent>
                  </v:textbox>
                  <w10:wrap type="none"/>
                </v:shape>
                <v:shape style="position:absolute;left:5776;top:456;width:231;height:156" type="#_x0000_t202" id="docshape221" filled="false" stroked="false">
                  <v:textbox inset="0,0,0,0">
                    <w:txbxContent>
                      <w:p>
                        <w:pPr>
                          <w:spacing w:line="155" w:lineRule="exact" w:before="0"/>
                          <w:ind w:left="0" w:right="0" w:firstLine="0"/>
                          <w:jc w:val="left"/>
                          <w:rPr>
                            <w:sz w:val="14"/>
                          </w:rPr>
                        </w:pPr>
                        <w:r>
                          <w:rPr>
                            <w:spacing w:val="-5"/>
                            <w:sz w:val="14"/>
                          </w:rPr>
                          <w:t>319</w:t>
                        </w:r>
                      </w:p>
                    </w:txbxContent>
                  </v:textbox>
                  <w10:wrap type="none"/>
                </v:shape>
                <v:shape style="position:absolute;left:9687;top:456;width:231;height:156" type="#_x0000_t202" id="docshape222" filled="false" stroked="false">
                  <v:textbox inset="0,0,0,0">
                    <w:txbxContent>
                      <w:p>
                        <w:pPr>
                          <w:spacing w:line="155" w:lineRule="exact" w:before="0"/>
                          <w:ind w:left="0" w:right="0" w:firstLine="0"/>
                          <w:jc w:val="left"/>
                          <w:rPr>
                            <w:sz w:val="14"/>
                          </w:rPr>
                        </w:pPr>
                        <w:r>
                          <w:rPr>
                            <w:spacing w:val="-5"/>
                            <w:sz w:val="14"/>
                          </w:rPr>
                          <w:t>323</w:t>
                        </w:r>
                      </w:p>
                    </w:txbxContent>
                  </v:textbox>
                  <w10:wrap type="none"/>
                </v:shape>
                <v:shape style="position:absolute;left:11547;top:456;width:231;height:156" type="#_x0000_t202" id="docshape223" filled="false" stroked="false">
                  <v:textbox inset="0,0,0,0">
                    <w:txbxContent>
                      <w:p>
                        <w:pPr>
                          <w:spacing w:line="155" w:lineRule="exact" w:before="0"/>
                          <w:ind w:left="0" w:right="0" w:firstLine="0"/>
                          <w:jc w:val="left"/>
                          <w:rPr>
                            <w:sz w:val="14"/>
                          </w:rPr>
                        </w:pPr>
                        <w:r>
                          <w:rPr>
                            <w:spacing w:val="-5"/>
                            <w:sz w:val="14"/>
                          </w:rPr>
                          <w:t>323</w:t>
                        </w:r>
                      </w:p>
                    </w:txbxContent>
                  </v:textbox>
                  <w10:wrap type="none"/>
                </v:shape>
                <w10:wrap type="none"/>
              </v:group>
            </w:pict>
          </mc:Fallback>
        </mc:AlternateContent>
      </w:r>
      <w:r>
        <w:rPr>
          <w:sz w:val="14"/>
        </w:rPr>
        <w:t>Purchase of common stock for </w:t>
      </w:r>
      <w:r>
        <w:rPr>
          <w:spacing w:val="-2"/>
          <w:sz w:val="14"/>
        </w:rPr>
        <w:t>treasury</w:t>
      </w:r>
      <w:r>
        <w:rPr>
          <w:sz w:val="14"/>
        </w:rPr>
        <w:tab/>
      </w:r>
      <w:r>
        <w:rPr>
          <w:spacing w:val="-2"/>
          <w:sz w:val="14"/>
        </w:rPr>
        <w:t>(105)</w:t>
      </w:r>
      <w:r>
        <w:rPr>
          <w:sz w:val="14"/>
        </w:rPr>
        <w:tab/>
      </w:r>
      <w:r>
        <w:rPr>
          <w:spacing w:val="-2"/>
          <w:sz w:val="14"/>
        </w:rPr>
        <w:t>(105)</w:t>
      </w:r>
      <w:r>
        <w:rPr>
          <w:sz w:val="14"/>
        </w:rPr>
        <w:tab/>
      </w:r>
      <w:r>
        <w:rPr>
          <w:spacing w:val="-2"/>
          <w:sz w:val="14"/>
        </w:rPr>
        <w:t>(105)</w:t>
      </w:r>
    </w:p>
    <w:p>
      <w:pPr>
        <w:tabs>
          <w:tab w:pos="6447" w:val="left" w:leader="none"/>
          <w:tab w:pos="9440" w:val="left" w:leader="none"/>
          <w:tab w:pos="11300" w:val="left" w:leader="none"/>
        </w:tabs>
        <w:spacing w:before="297"/>
        <w:ind w:left="156" w:right="0" w:firstLine="0"/>
        <w:jc w:val="left"/>
        <w:rPr>
          <w:sz w:val="14"/>
        </w:rPr>
      </w:pPr>
      <w:r>
        <w:rPr/>
        <mc:AlternateContent>
          <mc:Choice Requires="wps">
            <w:drawing>
              <wp:anchor distT="0" distB="0" distL="0" distR="0" allowOverlap="1" layoutInCell="1" locked="0" behindDoc="0" simplePos="0" relativeHeight="15805952">
                <wp:simplePos x="0" y="0"/>
                <wp:positionH relativeFrom="page">
                  <wp:posOffset>226488</wp:posOffset>
                </wp:positionH>
                <wp:positionV relativeFrom="paragraph">
                  <wp:posOffset>288200</wp:posOffset>
                </wp:positionV>
                <wp:extent cx="7312659" cy="9715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7312659" cy="97155"/>
                        </a:xfrm>
                        <a:prstGeom prst="rect">
                          <a:avLst/>
                        </a:prstGeom>
                        <a:solidFill>
                          <a:srgbClr val="CCEDFF"/>
                        </a:solidFill>
                      </wps:spPr>
                      <wps:txbx>
                        <w:txbxContent>
                          <w:p>
                            <w:pPr>
                              <w:tabs>
                                <w:tab w:pos="6360" w:val="left" w:leader="none"/>
                                <w:tab w:pos="9354" w:val="left" w:leader="none"/>
                                <w:tab w:pos="11214" w:val="left" w:leader="none"/>
                              </w:tabs>
                              <w:spacing w:line="153" w:lineRule="exact" w:before="0"/>
                              <w:ind w:left="0" w:right="0" w:firstLine="0"/>
                              <w:jc w:val="left"/>
                              <w:rPr>
                                <w:color w:val="000000"/>
                                <w:sz w:val="14"/>
                              </w:rPr>
                            </w:pPr>
                            <w:r>
                              <w:rPr>
                                <w:color w:val="000000"/>
                                <w:sz w:val="14"/>
                              </w:rPr>
                              <w:t>Preferred</w:t>
                            </w:r>
                            <w:r>
                              <w:rPr>
                                <w:color w:val="000000"/>
                                <w:spacing w:val="-3"/>
                                <w:sz w:val="14"/>
                              </w:rPr>
                              <w:t> </w:t>
                            </w:r>
                            <w:r>
                              <w:rPr>
                                <w:color w:val="000000"/>
                                <w:sz w:val="14"/>
                              </w:rPr>
                              <w:t>dividends</w:t>
                            </w:r>
                            <w:r>
                              <w:rPr>
                                <w:color w:val="000000"/>
                                <w:spacing w:val="-3"/>
                                <w:sz w:val="14"/>
                              </w:rPr>
                              <w:t> </w:t>
                            </w:r>
                            <w:r>
                              <w:rPr>
                                <w:color w:val="000000"/>
                                <w:sz w:val="14"/>
                              </w:rPr>
                              <w:t>($42,500</w:t>
                            </w:r>
                            <w:r>
                              <w:rPr>
                                <w:color w:val="000000"/>
                                <w:spacing w:val="-4"/>
                                <w:sz w:val="14"/>
                              </w:rPr>
                              <w:t> </w:t>
                            </w:r>
                            <w:r>
                              <w:rPr>
                                <w:color w:val="000000"/>
                                <w:sz w:val="14"/>
                              </w:rPr>
                              <w:t>per</w:t>
                            </w:r>
                            <w:r>
                              <w:rPr>
                                <w:color w:val="000000"/>
                                <w:spacing w:val="-3"/>
                                <w:sz w:val="14"/>
                              </w:rPr>
                              <w:t> </w:t>
                            </w:r>
                            <w:r>
                              <w:rPr>
                                <w:color w:val="000000"/>
                                <w:spacing w:val="-2"/>
                                <w:sz w:val="14"/>
                              </w:rPr>
                              <w:t>share)</w:t>
                            </w:r>
                            <w:r>
                              <w:rPr>
                                <w:color w:val="000000"/>
                                <w:sz w:val="14"/>
                              </w:rPr>
                              <w:tab/>
                            </w:r>
                            <w:r>
                              <w:rPr>
                                <w:color w:val="000000"/>
                                <w:spacing w:val="-4"/>
                                <w:sz w:val="14"/>
                              </w:rPr>
                              <w:t>(98)</w:t>
                            </w:r>
                            <w:r>
                              <w:rPr>
                                <w:color w:val="000000"/>
                                <w:sz w:val="14"/>
                              </w:rPr>
                              <w:tab/>
                            </w:r>
                            <w:r>
                              <w:rPr>
                                <w:color w:val="000000"/>
                                <w:spacing w:val="-4"/>
                                <w:sz w:val="14"/>
                              </w:rPr>
                              <w:t>(98)</w:t>
                            </w:r>
                            <w:r>
                              <w:rPr>
                                <w:color w:val="000000"/>
                                <w:sz w:val="14"/>
                              </w:rPr>
                              <w:tab/>
                            </w:r>
                            <w:r>
                              <w:rPr>
                                <w:color w:val="000000"/>
                                <w:spacing w:val="-4"/>
                                <w:sz w:val="14"/>
                              </w:rPr>
                              <w:t>(98)</w:t>
                            </w:r>
                          </w:p>
                        </w:txbxContent>
                      </wps:txbx>
                      <wps:bodyPr wrap="square" lIns="0" tIns="0" rIns="0" bIns="0" rtlCol="0">
                        <a:noAutofit/>
                      </wps:bodyPr>
                    </wps:wsp>
                  </a:graphicData>
                </a:graphic>
              </wp:anchor>
            </w:drawing>
          </mc:Choice>
          <mc:Fallback>
            <w:pict>
              <v:shape style="position:absolute;margin-left:17.833740pt;margin-top:22.692928pt;width:575.8pt;height:7.65pt;mso-position-horizontal-relative:page;mso-position-vertical-relative:paragraph;z-index:15805952" type="#_x0000_t202" id="docshape224" filled="true" fillcolor="#ccedff" stroked="false">
                <v:textbox inset="0,0,0,0">
                  <w:txbxContent>
                    <w:p>
                      <w:pPr>
                        <w:tabs>
                          <w:tab w:pos="6360" w:val="left" w:leader="none"/>
                          <w:tab w:pos="9354" w:val="left" w:leader="none"/>
                          <w:tab w:pos="11214" w:val="left" w:leader="none"/>
                        </w:tabs>
                        <w:spacing w:line="153" w:lineRule="exact" w:before="0"/>
                        <w:ind w:left="0" w:right="0" w:firstLine="0"/>
                        <w:jc w:val="left"/>
                        <w:rPr>
                          <w:color w:val="000000"/>
                          <w:sz w:val="14"/>
                        </w:rPr>
                      </w:pPr>
                      <w:r>
                        <w:rPr>
                          <w:color w:val="000000"/>
                          <w:sz w:val="14"/>
                        </w:rPr>
                        <w:t>Preferred</w:t>
                      </w:r>
                      <w:r>
                        <w:rPr>
                          <w:color w:val="000000"/>
                          <w:spacing w:val="-3"/>
                          <w:sz w:val="14"/>
                        </w:rPr>
                        <w:t> </w:t>
                      </w:r>
                      <w:r>
                        <w:rPr>
                          <w:color w:val="000000"/>
                          <w:sz w:val="14"/>
                        </w:rPr>
                        <w:t>dividends</w:t>
                      </w:r>
                      <w:r>
                        <w:rPr>
                          <w:color w:val="000000"/>
                          <w:spacing w:val="-3"/>
                          <w:sz w:val="14"/>
                        </w:rPr>
                        <w:t> </w:t>
                      </w:r>
                      <w:r>
                        <w:rPr>
                          <w:color w:val="000000"/>
                          <w:sz w:val="14"/>
                        </w:rPr>
                        <w:t>($42,500</w:t>
                      </w:r>
                      <w:r>
                        <w:rPr>
                          <w:color w:val="000000"/>
                          <w:spacing w:val="-4"/>
                          <w:sz w:val="14"/>
                        </w:rPr>
                        <w:t> </w:t>
                      </w:r>
                      <w:r>
                        <w:rPr>
                          <w:color w:val="000000"/>
                          <w:sz w:val="14"/>
                        </w:rPr>
                        <w:t>per</w:t>
                      </w:r>
                      <w:r>
                        <w:rPr>
                          <w:color w:val="000000"/>
                          <w:spacing w:val="-3"/>
                          <w:sz w:val="14"/>
                        </w:rPr>
                        <w:t> </w:t>
                      </w:r>
                      <w:r>
                        <w:rPr>
                          <w:color w:val="000000"/>
                          <w:spacing w:val="-2"/>
                          <w:sz w:val="14"/>
                        </w:rPr>
                        <w:t>share)</w:t>
                      </w:r>
                      <w:r>
                        <w:rPr>
                          <w:color w:val="000000"/>
                          <w:sz w:val="14"/>
                        </w:rPr>
                        <w:tab/>
                      </w:r>
                      <w:r>
                        <w:rPr>
                          <w:color w:val="000000"/>
                          <w:spacing w:val="-4"/>
                          <w:sz w:val="14"/>
                        </w:rPr>
                        <w:t>(98)</w:t>
                      </w:r>
                      <w:r>
                        <w:rPr>
                          <w:color w:val="000000"/>
                          <w:sz w:val="14"/>
                        </w:rPr>
                        <w:tab/>
                      </w:r>
                      <w:r>
                        <w:rPr>
                          <w:color w:val="000000"/>
                          <w:spacing w:val="-4"/>
                          <w:sz w:val="14"/>
                        </w:rPr>
                        <w:t>(98)</w:t>
                      </w:r>
                      <w:r>
                        <w:rPr>
                          <w:color w:val="000000"/>
                          <w:sz w:val="14"/>
                        </w:rPr>
                        <w:tab/>
                      </w:r>
                      <w:r>
                        <w:rPr>
                          <w:color w:val="000000"/>
                          <w:spacing w:val="-4"/>
                          <w:sz w:val="14"/>
                        </w:rPr>
                        <w:t>(98)</w:t>
                      </w:r>
                    </w:p>
                  </w:txbxContent>
                </v:textbox>
                <v:fill type="solid"/>
                <w10:wrap type="none"/>
              </v:shape>
            </w:pict>
          </mc:Fallback>
        </mc:AlternateContent>
      </w:r>
      <w:r>
        <w:rPr>
          <w:sz w:val="14"/>
        </w:rPr>
        <w:t>Common</w:t>
      </w:r>
      <w:r>
        <w:rPr>
          <w:spacing w:val="-3"/>
          <w:sz w:val="14"/>
        </w:rPr>
        <w:t> </w:t>
      </w:r>
      <w:r>
        <w:rPr>
          <w:sz w:val="14"/>
        </w:rPr>
        <w:t>dividends</w:t>
      </w:r>
      <w:r>
        <w:rPr>
          <w:spacing w:val="-3"/>
          <w:sz w:val="14"/>
        </w:rPr>
        <w:t> </w:t>
      </w:r>
      <w:r>
        <w:rPr>
          <w:sz w:val="14"/>
        </w:rPr>
        <w:t>($0.88</w:t>
      </w:r>
      <w:r>
        <w:rPr>
          <w:spacing w:val="-3"/>
          <w:sz w:val="14"/>
        </w:rPr>
        <w:t> </w:t>
      </w:r>
      <w:r>
        <w:rPr>
          <w:sz w:val="14"/>
        </w:rPr>
        <w:t>per</w:t>
      </w:r>
      <w:r>
        <w:rPr>
          <w:spacing w:val="-3"/>
          <w:sz w:val="14"/>
        </w:rPr>
        <w:t> </w:t>
      </w:r>
      <w:r>
        <w:rPr>
          <w:spacing w:val="-2"/>
          <w:sz w:val="14"/>
        </w:rPr>
        <w:t>share)</w:t>
      </w:r>
      <w:r>
        <w:rPr>
          <w:sz w:val="14"/>
        </w:rPr>
        <w:tab/>
      </w:r>
      <w:r>
        <w:rPr>
          <w:spacing w:val="-2"/>
          <w:sz w:val="14"/>
        </w:rPr>
        <w:t>(681)</w:t>
      </w:r>
      <w:r>
        <w:rPr>
          <w:sz w:val="14"/>
        </w:rPr>
        <w:tab/>
      </w:r>
      <w:r>
        <w:rPr>
          <w:spacing w:val="-2"/>
          <w:sz w:val="14"/>
        </w:rPr>
        <w:t>(681)</w:t>
      </w:r>
      <w:r>
        <w:rPr>
          <w:sz w:val="14"/>
        </w:rPr>
        <w:tab/>
      </w:r>
      <w:r>
        <w:rPr>
          <w:spacing w:val="-2"/>
          <w:sz w:val="14"/>
        </w:rPr>
        <w:t>(681)</w:t>
      </w:r>
    </w:p>
    <w:p>
      <w:pPr>
        <w:tabs>
          <w:tab w:pos="10430" w:val="left" w:leader="none"/>
          <w:tab w:pos="11347" w:val="left" w:leader="none"/>
        </w:tabs>
        <w:spacing w:line="161" w:lineRule="exact" w:before="143"/>
        <w:ind w:left="156" w:right="0" w:firstLine="0"/>
        <w:jc w:val="left"/>
        <w:rPr>
          <w:sz w:val="14"/>
        </w:rPr>
      </w:pPr>
      <w:r>
        <w:rPr/>
        <mc:AlternateContent>
          <mc:Choice Requires="wps">
            <w:drawing>
              <wp:anchor distT="0" distB="0" distL="0" distR="0" allowOverlap="1" layoutInCell="1" locked="0" behindDoc="1" simplePos="0" relativeHeight="474086912">
                <wp:simplePos x="0" y="0"/>
                <wp:positionH relativeFrom="page">
                  <wp:posOffset>226488</wp:posOffset>
                </wp:positionH>
                <wp:positionV relativeFrom="paragraph">
                  <wp:posOffset>191511</wp:posOffset>
                </wp:positionV>
                <wp:extent cx="6875780" cy="10541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6875780" cy="105410"/>
                          <a:chExt cx="6875780" cy="105410"/>
                        </a:xfrm>
                      </wpg:grpSpPr>
                      <wps:wsp>
                        <wps:cNvPr id="227" name="Graphic 227"/>
                        <wps:cNvSpPr/>
                        <wps:spPr>
                          <a:xfrm>
                            <a:off x="0" y="0"/>
                            <a:ext cx="1901189" cy="105410"/>
                          </a:xfrm>
                          <a:custGeom>
                            <a:avLst/>
                            <a:gdLst/>
                            <a:ahLst/>
                            <a:cxnLst/>
                            <a:rect l="l" t="t" r="r" b="b"/>
                            <a:pathLst>
                              <a:path w="1901189" h="105410">
                                <a:moveTo>
                                  <a:pt x="0" y="0"/>
                                </a:moveTo>
                                <a:lnTo>
                                  <a:pt x="1900885" y="0"/>
                                </a:lnTo>
                                <a:lnTo>
                                  <a:pt x="1900885"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28" name="Graphic 228"/>
                        <wps:cNvSpPr/>
                        <wps:spPr>
                          <a:xfrm>
                            <a:off x="0" y="97066"/>
                            <a:ext cx="1901189" cy="8255"/>
                          </a:xfrm>
                          <a:custGeom>
                            <a:avLst/>
                            <a:gdLst/>
                            <a:ahLst/>
                            <a:cxnLst/>
                            <a:rect l="l" t="t" r="r" b="b"/>
                            <a:pathLst>
                              <a:path w="1901189" h="8255">
                                <a:moveTo>
                                  <a:pt x="0" y="0"/>
                                </a:moveTo>
                                <a:lnTo>
                                  <a:pt x="1900885" y="0"/>
                                </a:lnTo>
                                <a:lnTo>
                                  <a:pt x="1900885"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900885"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30" name="Graphic 230"/>
                        <wps:cNvSpPr/>
                        <wps:spPr>
                          <a:xfrm>
                            <a:off x="1900885"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973685"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32" name="Graphic 232"/>
                        <wps:cNvSpPr/>
                        <wps:spPr>
                          <a:xfrm>
                            <a:off x="1973685"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2046485"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34" name="Graphic 234"/>
                        <wps:cNvSpPr/>
                        <wps:spPr>
                          <a:xfrm>
                            <a:off x="2046485"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235" name="Image 235"/>
                          <pic:cNvPicPr/>
                        </pic:nvPicPr>
                        <pic:blipFill>
                          <a:blip r:embed="rId82" cstate="print"/>
                          <a:stretch>
                            <a:fillRect/>
                          </a:stretch>
                        </pic:blipFill>
                        <pic:spPr>
                          <a:xfrm>
                            <a:off x="2410485" y="0"/>
                            <a:ext cx="226488" cy="105155"/>
                          </a:xfrm>
                          <a:prstGeom prst="rect">
                            <a:avLst/>
                          </a:prstGeom>
                        </pic:spPr>
                      </pic:pic>
                      <wps:wsp>
                        <wps:cNvPr id="236" name="Graphic 236"/>
                        <wps:cNvSpPr/>
                        <wps:spPr>
                          <a:xfrm>
                            <a:off x="2636973" y="0"/>
                            <a:ext cx="356235" cy="105410"/>
                          </a:xfrm>
                          <a:custGeom>
                            <a:avLst/>
                            <a:gdLst/>
                            <a:ahLst/>
                            <a:cxnLst/>
                            <a:rect l="l" t="t" r="r" b="b"/>
                            <a:pathLst>
                              <a:path w="356235" h="105410">
                                <a:moveTo>
                                  <a:pt x="0" y="0"/>
                                </a:moveTo>
                                <a:lnTo>
                                  <a:pt x="355910" y="0"/>
                                </a:lnTo>
                                <a:lnTo>
                                  <a:pt x="3559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37" name="Graphic 237"/>
                        <wps:cNvSpPr/>
                        <wps:spPr>
                          <a:xfrm>
                            <a:off x="2636973" y="97066"/>
                            <a:ext cx="356235" cy="8255"/>
                          </a:xfrm>
                          <a:custGeom>
                            <a:avLst/>
                            <a:gdLst/>
                            <a:ahLst/>
                            <a:cxnLst/>
                            <a:rect l="l" t="t" r="r" b="b"/>
                            <a:pathLst>
                              <a:path w="356235" h="8255">
                                <a:moveTo>
                                  <a:pt x="0" y="0"/>
                                </a:moveTo>
                                <a:lnTo>
                                  <a:pt x="355910" y="0"/>
                                </a:lnTo>
                                <a:lnTo>
                                  <a:pt x="355910"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238" name="Image 238"/>
                          <pic:cNvPicPr/>
                        </pic:nvPicPr>
                        <pic:blipFill>
                          <a:blip r:embed="rId83" cstate="print"/>
                          <a:stretch>
                            <a:fillRect/>
                          </a:stretch>
                        </pic:blipFill>
                        <pic:spPr>
                          <a:xfrm>
                            <a:off x="2992883" y="0"/>
                            <a:ext cx="218399" cy="105155"/>
                          </a:xfrm>
                          <a:prstGeom prst="rect">
                            <a:avLst/>
                          </a:prstGeom>
                        </pic:spPr>
                      </pic:pic>
                      <wps:wsp>
                        <wps:cNvPr id="239" name="Graphic 239"/>
                        <wps:cNvSpPr/>
                        <wps:spPr>
                          <a:xfrm>
                            <a:off x="3211283"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40" name="Graphic 240"/>
                        <wps:cNvSpPr/>
                        <wps:spPr>
                          <a:xfrm>
                            <a:off x="3211283"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241" name="Image 241"/>
                          <pic:cNvPicPr/>
                        </pic:nvPicPr>
                        <pic:blipFill>
                          <a:blip r:embed="rId83" cstate="print"/>
                          <a:stretch>
                            <a:fillRect/>
                          </a:stretch>
                        </pic:blipFill>
                        <pic:spPr>
                          <a:xfrm>
                            <a:off x="3575282" y="0"/>
                            <a:ext cx="218399" cy="105155"/>
                          </a:xfrm>
                          <a:prstGeom prst="rect">
                            <a:avLst/>
                          </a:prstGeom>
                        </pic:spPr>
                      </pic:pic>
                      <wps:wsp>
                        <wps:cNvPr id="242" name="Graphic 242"/>
                        <wps:cNvSpPr/>
                        <wps:spPr>
                          <a:xfrm>
                            <a:off x="3793682"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43" name="Graphic 243"/>
                        <wps:cNvSpPr/>
                        <wps:spPr>
                          <a:xfrm>
                            <a:off x="3793682"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244" name="Image 244"/>
                          <pic:cNvPicPr/>
                        </pic:nvPicPr>
                        <pic:blipFill>
                          <a:blip r:embed="rId84" cstate="print"/>
                          <a:stretch>
                            <a:fillRect/>
                          </a:stretch>
                        </pic:blipFill>
                        <pic:spPr>
                          <a:xfrm>
                            <a:off x="4157682" y="0"/>
                            <a:ext cx="218399" cy="105155"/>
                          </a:xfrm>
                          <a:prstGeom prst="rect">
                            <a:avLst/>
                          </a:prstGeom>
                        </pic:spPr>
                      </pic:pic>
                      <wps:wsp>
                        <wps:cNvPr id="245" name="Graphic 245"/>
                        <wps:cNvSpPr/>
                        <wps:spPr>
                          <a:xfrm>
                            <a:off x="4376081"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46" name="Graphic 246"/>
                        <wps:cNvSpPr/>
                        <wps:spPr>
                          <a:xfrm>
                            <a:off x="4376081"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247" name="Image 247"/>
                          <pic:cNvPicPr/>
                        </pic:nvPicPr>
                        <pic:blipFill>
                          <a:blip r:embed="rId85" cstate="print"/>
                          <a:stretch>
                            <a:fillRect/>
                          </a:stretch>
                        </pic:blipFill>
                        <pic:spPr>
                          <a:xfrm>
                            <a:off x="4740081" y="0"/>
                            <a:ext cx="234577" cy="105155"/>
                          </a:xfrm>
                          <a:prstGeom prst="rect">
                            <a:avLst/>
                          </a:prstGeom>
                        </pic:spPr>
                      </pic:pic>
                      <wps:wsp>
                        <wps:cNvPr id="248" name="Graphic 248"/>
                        <wps:cNvSpPr/>
                        <wps:spPr>
                          <a:xfrm>
                            <a:off x="4974658" y="0"/>
                            <a:ext cx="453390" cy="105410"/>
                          </a:xfrm>
                          <a:custGeom>
                            <a:avLst/>
                            <a:gdLst/>
                            <a:ahLst/>
                            <a:cxnLst/>
                            <a:rect l="l" t="t" r="r" b="b"/>
                            <a:pathLst>
                              <a:path w="453390" h="105410">
                                <a:moveTo>
                                  <a:pt x="0" y="0"/>
                                </a:moveTo>
                                <a:lnTo>
                                  <a:pt x="452977" y="0"/>
                                </a:lnTo>
                                <a:lnTo>
                                  <a:pt x="452977"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49" name="Graphic 249"/>
                        <wps:cNvSpPr/>
                        <wps:spPr>
                          <a:xfrm>
                            <a:off x="4974658" y="97066"/>
                            <a:ext cx="453390" cy="8255"/>
                          </a:xfrm>
                          <a:custGeom>
                            <a:avLst/>
                            <a:gdLst/>
                            <a:ahLst/>
                            <a:cxnLst/>
                            <a:rect l="l" t="t" r="r" b="b"/>
                            <a:pathLst>
                              <a:path w="453390" h="8255">
                                <a:moveTo>
                                  <a:pt x="0" y="0"/>
                                </a:moveTo>
                                <a:lnTo>
                                  <a:pt x="452977" y="0"/>
                                </a:lnTo>
                                <a:lnTo>
                                  <a:pt x="452977"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250" name="Image 250"/>
                          <pic:cNvPicPr/>
                        </pic:nvPicPr>
                        <pic:blipFill>
                          <a:blip r:embed="rId83" cstate="print"/>
                          <a:stretch>
                            <a:fillRect/>
                          </a:stretch>
                        </pic:blipFill>
                        <pic:spPr>
                          <a:xfrm>
                            <a:off x="5427635" y="0"/>
                            <a:ext cx="218399" cy="105155"/>
                          </a:xfrm>
                          <a:prstGeom prst="rect">
                            <a:avLst/>
                          </a:prstGeom>
                        </pic:spPr>
                      </pic:pic>
                      <wps:wsp>
                        <wps:cNvPr id="251" name="Graphic 251"/>
                        <wps:cNvSpPr/>
                        <wps:spPr>
                          <a:xfrm>
                            <a:off x="5646035" y="0"/>
                            <a:ext cx="412750" cy="105410"/>
                          </a:xfrm>
                          <a:custGeom>
                            <a:avLst/>
                            <a:gdLst/>
                            <a:ahLst/>
                            <a:cxnLst/>
                            <a:rect l="l" t="t" r="r" b="b"/>
                            <a:pathLst>
                              <a:path w="412750" h="105410">
                                <a:moveTo>
                                  <a:pt x="0" y="0"/>
                                </a:moveTo>
                                <a:lnTo>
                                  <a:pt x="412532" y="0"/>
                                </a:lnTo>
                                <a:lnTo>
                                  <a:pt x="412532"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52" name="Graphic 252"/>
                        <wps:cNvSpPr/>
                        <wps:spPr>
                          <a:xfrm>
                            <a:off x="5646035" y="97066"/>
                            <a:ext cx="412750" cy="8255"/>
                          </a:xfrm>
                          <a:custGeom>
                            <a:avLst/>
                            <a:gdLst/>
                            <a:ahLst/>
                            <a:cxnLst/>
                            <a:rect l="l" t="t" r="r" b="b"/>
                            <a:pathLst>
                              <a:path w="412750" h="8255">
                                <a:moveTo>
                                  <a:pt x="0" y="0"/>
                                </a:moveTo>
                                <a:lnTo>
                                  <a:pt x="412532" y="0"/>
                                </a:lnTo>
                                <a:lnTo>
                                  <a:pt x="412532"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253" name="Image 253"/>
                          <pic:cNvPicPr/>
                        </pic:nvPicPr>
                        <pic:blipFill>
                          <a:blip r:embed="rId85" cstate="print"/>
                          <a:stretch>
                            <a:fillRect/>
                          </a:stretch>
                        </pic:blipFill>
                        <pic:spPr>
                          <a:xfrm>
                            <a:off x="6058567" y="0"/>
                            <a:ext cx="234577" cy="105155"/>
                          </a:xfrm>
                          <a:prstGeom prst="rect">
                            <a:avLst/>
                          </a:prstGeom>
                        </pic:spPr>
                      </pic:pic>
                      <wps:wsp>
                        <wps:cNvPr id="254" name="Graphic 254"/>
                        <wps:cNvSpPr/>
                        <wps:spPr>
                          <a:xfrm>
                            <a:off x="6293145"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255" name="Graphic 255"/>
                        <wps:cNvSpPr/>
                        <wps:spPr>
                          <a:xfrm>
                            <a:off x="6293145"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256" name="Image 256"/>
                          <pic:cNvPicPr/>
                        </pic:nvPicPr>
                        <pic:blipFill>
                          <a:blip r:embed="rId83" cstate="print"/>
                          <a:stretch>
                            <a:fillRect/>
                          </a:stretch>
                        </pic:blipFill>
                        <pic:spPr>
                          <a:xfrm>
                            <a:off x="6657144" y="0"/>
                            <a:ext cx="218399" cy="105155"/>
                          </a:xfrm>
                          <a:prstGeom prst="rect">
                            <a:avLst/>
                          </a:prstGeom>
                        </pic:spPr>
                      </pic:pic>
                    </wpg:wgp>
                  </a:graphicData>
                </a:graphic>
              </wp:anchor>
            </w:drawing>
          </mc:Choice>
          <mc:Fallback>
            <w:pict>
              <v:group style="position:absolute;margin-left:17.833740pt;margin-top:15.079675pt;width:541.4pt;height:8.3pt;mso-position-horizontal-relative:page;mso-position-vertical-relative:paragraph;z-index:-29229568" id="docshapegroup225" coordorigin="357,302" coordsize="10828,166">
                <v:rect style="position:absolute;left:356;top:301;width:2994;height:166" id="docshape226" filled="true" fillcolor="#ccedff" stroked="false">
                  <v:fill type="solid"/>
                </v:rect>
                <v:rect style="position:absolute;left:356;top:454;width:2994;height:13" id="docshape227" filled="true" fillcolor="#000000" stroked="false">
                  <v:fill type="solid"/>
                </v:rect>
                <v:rect style="position:absolute;left:3350;top:301;width:115;height:166" id="docshape228" filled="true" fillcolor="#ccedff" stroked="false">
                  <v:fill type="solid"/>
                </v:rect>
                <v:rect style="position:absolute;left:3350;top:454;width:115;height:13" id="docshape229" filled="true" fillcolor="#000000" stroked="false">
                  <v:fill type="solid"/>
                </v:rect>
                <v:rect style="position:absolute;left:3464;top:301;width:115;height:166" id="docshape230" filled="true" fillcolor="#ccedff" stroked="false">
                  <v:fill type="solid"/>
                </v:rect>
                <v:rect style="position:absolute;left:3464;top:454;width:115;height:13" id="docshape231" filled="true" fillcolor="#000000" stroked="false">
                  <v:fill type="solid"/>
                </v:rect>
                <v:rect style="position:absolute;left:3579;top:301;width:574;height:166" id="docshape232" filled="true" fillcolor="#ccedff" stroked="false">
                  <v:fill type="solid"/>
                </v:rect>
                <v:rect style="position:absolute;left:3579;top:454;width:574;height:13" id="docshape233" filled="true" fillcolor="#000000" stroked="false">
                  <v:fill type="solid"/>
                </v:rect>
                <v:shape style="position:absolute;left:4152;top:301;width:357;height:166" type="#_x0000_t75" id="docshape234" stroked="false">
                  <v:imagedata r:id="rId82" o:title=""/>
                </v:shape>
                <v:rect style="position:absolute;left:4509;top:301;width:561;height:166" id="docshape235" filled="true" fillcolor="#ccedff" stroked="false">
                  <v:fill type="solid"/>
                </v:rect>
                <v:rect style="position:absolute;left:4509;top:454;width:561;height:13" id="docshape236" filled="true" fillcolor="#000000" stroked="false">
                  <v:fill type="solid"/>
                </v:rect>
                <v:shape style="position:absolute;left:5069;top:301;width:344;height:166" type="#_x0000_t75" id="docshape237" stroked="false">
                  <v:imagedata r:id="rId83" o:title=""/>
                </v:shape>
                <v:rect style="position:absolute;left:5413;top:301;width:574;height:166" id="docshape238" filled="true" fillcolor="#ccedff" stroked="false">
                  <v:fill type="solid"/>
                </v:rect>
                <v:rect style="position:absolute;left:5413;top:454;width:574;height:13" id="docshape239" filled="true" fillcolor="#000000" stroked="false">
                  <v:fill type="solid"/>
                </v:rect>
                <v:shape style="position:absolute;left:5987;top:301;width:344;height:166" type="#_x0000_t75" id="docshape240" stroked="false">
                  <v:imagedata r:id="rId83" o:title=""/>
                </v:shape>
                <v:rect style="position:absolute;left:6330;top:301;width:574;height:166" id="docshape241" filled="true" fillcolor="#ccedff" stroked="false">
                  <v:fill type="solid"/>
                </v:rect>
                <v:rect style="position:absolute;left:6330;top:454;width:574;height:13" id="docshape242" filled="true" fillcolor="#000000" stroked="false">
                  <v:fill type="solid"/>
                </v:rect>
                <v:shape style="position:absolute;left:6904;top:301;width:344;height:166" type="#_x0000_t75" id="docshape243" stroked="false">
                  <v:imagedata r:id="rId84" o:title=""/>
                </v:shape>
                <v:rect style="position:absolute;left:7248;top:301;width:574;height:166" id="docshape244" filled="true" fillcolor="#ccedff" stroked="false">
                  <v:fill type="solid"/>
                </v:rect>
                <v:rect style="position:absolute;left:7248;top:454;width:574;height:13" id="docshape245" filled="true" fillcolor="#000000" stroked="false">
                  <v:fill type="solid"/>
                </v:rect>
                <v:shape style="position:absolute;left:7821;top:301;width:370;height:166" type="#_x0000_t75" id="docshape246" stroked="false">
                  <v:imagedata r:id="rId85" o:title=""/>
                </v:shape>
                <v:rect style="position:absolute;left:8190;top:301;width:714;height:166" id="docshape247" filled="true" fillcolor="#ccedff" stroked="false">
                  <v:fill type="solid"/>
                </v:rect>
                <v:rect style="position:absolute;left:8190;top:454;width:714;height:13" id="docshape248" filled="true" fillcolor="#000000" stroked="false">
                  <v:fill type="solid"/>
                </v:rect>
                <v:shape style="position:absolute;left:8904;top:301;width:344;height:166" type="#_x0000_t75" id="docshape249" stroked="false">
                  <v:imagedata r:id="rId83" o:title=""/>
                </v:shape>
                <v:rect style="position:absolute;left:9248;top:301;width:650;height:166" id="docshape250" filled="true" fillcolor="#ccedff" stroked="false">
                  <v:fill type="solid"/>
                </v:rect>
                <v:rect style="position:absolute;left:9248;top:454;width:650;height:13" id="docshape251" filled="true" fillcolor="#000000" stroked="false">
                  <v:fill type="solid"/>
                </v:rect>
                <v:shape style="position:absolute;left:9897;top:301;width:370;height:166" type="#_x0000_t75" id="docshape252" stroked="false">
                  <v:imagedata r:id="rId85" o:title=""/>
                </v:shape>
                <v:rect style="position:absolute;left:10267;top:301;width:574;height:166" id="docshape253" filled="true" fillcolor="#ccedff" stroked="false">
                  <v:fill type="solid"/>
                </v:rect>
                <v:rect style="position:absolute;left:10267;top:454;width:574;height:13" id="docshape254" filled="true" fillcolor="#000000" stroked="false">
                  <v:fill type="solid"/>
                </v:rect>
                <v:shape style="position:absolute;left:10840;top:301;width:344;height:166" type="#_x0000_t75" id="docshape255" stroked="false">
                  <v:imagedata r:id="rId83" o:title=""/>
                </v:shape>
                <w10:wrap type="none"/>
              </v:group>
            </w:pict>
          </mc:Fallback>
        </mc:AlternateContent>
      </w:r>
      <w:r>
        <w:rPr/>
        <mc:AlternateContent>
          <mc:Choice Requires="wps">
            <w:drawing>
              <wp:anchor distT="0" distB="0" distL="0" distR="0" allowOverlap="1" layoutInCell="1" locked="0" behindDoc="0" simplePos="0" relativeHeight="15803904">
                <wp:simplePos x="0" y="0"/>
                <wp:positionH relativeFrom="page">
                  <wp:posOffset>7102033</wp:posOffset>
                </wp:positionH>
                <wp:positionV relativeFrom="paragraph">
                  <wp:posOffset>191511</wp:posOffset>
                </wp:positionV>
                <wp:extent cx="436880" cy="10541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436880" cy="105410"/>
                        </a:xfrm>
                        <a:prstGeom prst="rect">
                          <a:avLst/>
                        </a:prstGeom>
                        <a:solidFill>
                          <a:srgbClr val="CCEDFF"/>
                        </a:solidFill>
                      </wps:spPr>
                      <wps:txbx>
                        <w:txbxContent>
                          <w:p>
                            <w:pPr>
                              <w:tabs>
                                <w:tab w:pos="386" w:val="left" w:leader="none"/>
                              </w:tabs>
                              <w:spacing w:line="158" w:lineRule="exact" w:before="0"/>
                              <w:ind w:left="0" w:right="0" w:firstLine="0"/>
                              <w:jc w:val="left"/>
                              <w:rPr>
                                <w:color w:val="000000"/>
                                <w:sz w:val="14"/>
                              </w:rPr>
                            </w:pPr>
                            <w:r>
                              <w:rPr>
                                <w:color w:val="000000"/>
                                <w:sz w:val="14"/>
                                <w:u w:val="single"/>
                              </w:rPr>
                              <w:tab/>
                            </w:r>
                            <w:r>
                              <w:rPr>
                                <w:color w:val="000000"/>
                                <w:spacing w:val="-4"/>
                                <w:sz w:val="14"/>
                                <w:u w:val="single"/>
                              </w:rPr>
                              <w:t>(45)</w:t>
                            </w:r>
                          </w:p>
                        </w:txbxContent>
                      </wps:txbx>
                      <wps:bodyPr wrap="square" lIns="0" tIns="0" rIns="0" bIns="0" rtlCol="0">
                        <a:noAutofit/>
                      </wps:bodyPr>
                    </wps:wsp>
                  </a:graphicData>
                </a:graphic>
              </wp:anchor>
            </w:drawing>
          </mc:Choice>
          <mc:Fallback>
            <w:pict>
              <v:shape style="position:absolute;margin-left:559.215210pt;margin-top:15.079675pt;width:34.4pt;height:8.3pt;mso-position-horizontal-relative:page;mso-position-vertical-relative:paragraph;z-index:15803904" type="#_x0000_t202" id="docshape256" filled="true" fillcolor="#ccedff" stroked="false">
                <v:textbox inset="0,0,0,0">
                  <w:txbxContent>
                    <w:p>
                      <w:pPr>
                        <w:tabs>
                          <w:tab w:pos="386" w:val="left" w:leader="none"/>
                        </w:tabs>
                        <w:spacing w:line="158" w:lineRule="exact" w:before="0"/>
                        <w:ind w:left="0" w:right="0" w:firstLine="0"/>
                        <w:jc w:val="left"/>
                        <w:rPr>
                          <w:color w:val="000000"/>
                          <w:sz w:val="14"/>
                        </w:rPr>
                      </w:pPr>
                      <w:r>
                        <w:rPr>
                          <w:color w:val="000000"/>
                          <w:sz w:val="14"/>
                          <w:u w:val="single"/>
                        </w:rPr>
                        <w:tab/>
                      </w:r>
                      <w:r>
                        <w:rPr>
                          <w:color w:val="000000"/>
                          <w:spacing w:val="-4"/>
                          <w:sz w:val="14"/>
                          <w:u w:val="single"/>
                        </w:rPr>
                        <w:t>(45)</w:t>
                      </w:r>
                    </w:p>
                  </w:txbxContent>
                </v:textbox>
                <v:fill type="solid"/>
                <w10:wrap type="none"/>
              </v:shape>
            </w:pict>
          </mc:Fallback>
        </mc:AlternateContent>
      </w:r>
      <w:r>
        <w:rPr/>
        <mc:AlternateContent>
          <mc:Choice Requires="wps">
            <w:drawing>
              <wp:anchor distT="0" distB="0" distL="0" distR="0" allowOverlap="1" layoutInCell="1" locked="0" behindDoc="1" simplePos="0" relativeHeight="474093056">
                <wp:simplePos x="0" y="0"/>
                <wp:positionH relativeFrom="page">
                  <wp:posOffset>5872523</wp:posOffset>
                </wp:positionH>
                <wp:positionV relativeFrom="paragraph">
                  <wp:posOffset>191511</wp:posOffset>
                </wp:positionV>
                <wp:extent cx="412750" cy="9715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412750" cy="97155"/>
                        </a:xfrm>
                        <a:prstGeom prst="rect">
                          <a:avLst/>
                        </a:prstGeom>
                      </wps:spPr>
                      <wps:txbx>
                        <w:txbxContent>
                          <w:p>
                            <w:pPr>
                              <w:spacing w:line="153" w:lineRule="exact" w:before="0"/>
                              <w:ind w:left="0" w:right="0" w:firstLine="0"/>
                              <w:jc w:val="right"/>
                              <w:rPr>
                                <w:sz w:val="14"/>
                              </w:rPr>
                            </w:pPr>
                            <w:r>
                              <w:rPr>
                                <w:spacing w:val="-5"/>
                                <w:sz w:val="14"/>
                              </w:rPr>
                              <w:t>(32</w:t>
                            </w:r>
                          </w:p>
                        </w:txbxContent>
                      </wps:txbx>
                      <wps:bodyPr wrap="square" lIns="0" tIns="0" rIns="0" bIns="0" rtlCol="0">
                        <a:noAutofit/>
                      </wps:bodyPr>
                    </wps:wsp>
                  </a:graphicData>
                </a:graphic>
              </wp:anchor>
            </w:drawing>
          </mc:Choice>
          <mc:Fallback>
            <w:pict>
              <v:shape style="position:absolute;margin-left:462.403442pt;margin-top:15.079675pt;width:32.5pt;height:7.65pt;mso-position-horizontal-relative:page;mso-position-vertical-relative:paragraph;z-index:-29223424" type="#_x0000_t202" id="docshape257" filled="false" stroked="false">
                <v:textbox inset="0,0,0,0">
                  <w:txbxContent>
                    <w:p>
                      <w:pPr>
                        <w:spacing w:line="153" w:lineRule="exact" w:before="0"/>
                        <w:ind w:left="0" w:right="0" w:firstLine="0"/>
                        <w:jc w:val="right"/>
                        <w:rPr>
                          <w:sz w:val="14"/>
                        </w:rPr>
                      </w:pPr>
                      <w:r>
                        <w:rPr>
                          <w:spacing w:val="-5"/>
                          <w:sz w:val="14"/>
                        </w:rPr>
                        <w:t>(32</w:t>
                      </w:r>
                    </w:p>
                  </w:txbxContent>
                </v:textbox>
                <w10:wrap type="none"/>
              </v:shape>
            </w:pict>
          </mc:Fallback>
        </mc:AlternateContent>
      </w:r>
      <w:r>
        <w:rPr/>
        <mc:AlternateContent>
          <mc:Choice Requires="wps">
            <w:drawing>
              <wp:anchor distT="0" distB="0" distL="0" distR="0" allowOverlap="1" layoutInCell="1" locked="0" behindDoc="0" simplePos="0" relativeHeight="15804928">
                <wp:simplePos x="0" y="0"/>
                <wp:positionH relativeFrom="page">
                  <wp:posOffset>4020171</wp:posOffset>
                </wp:positionH>
                <wp:positionV relativeFrom="paragraph">
                  <wp:posOffset>191511</wp:posOffset>
                </wp:positionV>
                <wp:extent cx="364490" cy="9715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364490" cy="97155"/>
                        </a:xfrm>
                        <a:prstGeom prst="rect">
                          <a:avLst/>
                        </a:prstGeom>
                      </wps:spPr>
                      <wps:txbx>
                        <w:txbxContent>
                          <w:p>
                            <w:pPr>
                              <w:spacing w:line="153" w:lineRule="exact" w:before="0"/>
                              <w:ind w:left="0" w:right="0" w:firstLine="0"/>
                              <w:jc w:val="right"/>
                              <w:rPr>
                                <w:sz w:val="14"/>
                              </w:rPr>
                            </w:pPr>
                            <w:r>
                              <w:rPr>
                                <w:spacing w:val="-5"/>
                                <w:sz w:val="14"/>
                              </w:rPr>
                              <w:t>(21</w:t>
                            </w:r>
                          </w:p>
                        </w:txbxContent>
                      </wps:txbx>
                      <wps:bodyPr wrap="square" lIns="0" tIns="0" rIns="0" bIns="0" rtlCol="0">
                        <a:noAutofit/>
                      </wps:bodyPr>
                    </wps:wsp>
                  </a:graphicData>
                </a:graphic>
              </wp:anchor>
            </w:drawing>
          </mc:Choice>
          <mc:Fallback>
            <w:pict>
              <v:shape style="position:absolute;margin-left:316.54892pt;margin-top:15.079675pt;width:28.7pt;height:7.65pt;mso-position-horizontal-relative:page;mso-position-vertical-relative:paragraph;z-index:15804928" type="#_x0000_t202" id="docshape258" filled="false" stroked="false">
                <v:textbox inset="0,0,0,0">
                  <w:txbxContent>
                    <w:p>
                      <w:pPr>
                        <w:spacing w:line="153" w:lineRule="exact" w:before="0"/>
                        <w:ind w:left="0" w:right="0" w:firstLine="0"/>
                        <w:jc w:val="right"/>
                        <w:rPr>
                          <w:sz w:val="14"/>
                        </w:rPr>
                      </w:pPr>
                      <w:r>
                        <w:rPr>
                          <w:spacing w:val="-5"/>
                          <w:sz w:val="14"/>
                        </w:rPr>
                        <w:t>(21</w:t>
                      </w:r>
                    </w:p>
                  </w:txbxContent>
                </v:textbox>
                <w10:wrap type="none"/>
              </v:shape>
            </w:pict>
          </mc:Fallback>
        </mc:AlternateContent>
      </w:r>
      <w:r>
        <w:rPr/>
        <mc:AlternateContent>
          <mc:Choice Requires="wps">
            <w:drawing>
              <wp:anchor distT="0" distB="0" distL="0" distR="0" allowOverlap="1" layoutInCell="1" locked="0" behindDoc="0" simplePos="0" relativeHeight="15805440">
                <wp:simplePos x="0" y="0"/>
                <wp:positionH relativeFrom="page">
                  <wp:posOffset>226488</wp:posOffset>
                </wp:positionH>
                <wp:positionV relativeFrom="paragraph">
                  <wp:posOffset>191511</wp:posOffset>
                </wp:positionV>
                <wp:extent cx="2411095" cy="9715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2411095" cy="97155"/>
                        </a:xfrm>
                        <a:prstGeom prst="rect">
                          <a:avLst/>
                        </a:prstGeom>
                      </wps:spPr>
                      <wps:txbx>
                        <w:txbxContent>
                          <w:p>
                            <w:pPr>
                              <w:spacing w:line="153" w:lineRule="exact" w:before="0"/>
                              <w:ind w:left="0" w:right="0" w:firstLine="0"/>
                              <w:jc w:val="left"/>
                              <w:rPr>
                                <w:sz w:val="14"/>
                              </w:rPr>
                            </w:pPr>
                            <w:r>
                              <w:rPr>
                                <w:sz w:val="14"/>
                              </w:rPr>
                              <w:t>Other,</w:t>
                            </w:r>
                            <w:r>
                              <w:rPr>
                                <w:spacing w:val="-6"/>
                                <w:sz w:val="14"/>
                              </w:rPr>
                              <w:t> </w:t>
                            </w:r>
                            <w:r>
                              <w:rPr>
                                <w:spacing w:val="-5"/>
                                <w:sz w:val="14"/>
                              </w:rPr>
                              <w:t>net</w:t>
                            </w:r>
                          </w:p>
                        </w:txbxContent>
                      </wps:txbx>
                      <wps:bodyPr wrap="square" lIns="0" tIns="0" rIns="0" bIns="0" rtlCol="0">
                        <a:noAutofit/>
                      </wps:bodyPr>
                    </wps:wsp>
                  </a:graphicData>
                </a:graphic>
              </wp:anchor>
            </w:drawing>
          </mc:Choice>
          <mc:Fallback>
            <w:pict>
              <v:shape style="position:absolute;margin-left:17.833740pt;margin-top:15.079675pt;width:189.85pt;height:7.65pt;mso-position-horizontal-relative:page;mso-position-vertical-relative:paragraph;z-index:15805440" type="#_x0000_t202" id="docshape259" filled="false" stroked="false">
                <v:textbox inset="0,0,0,0">
                  <w:txbxContent>
                    <w:p>
                      <w:pPr>
                        <w:spacing w:line="153" w:lineRule="exact" w:before="0"/>
                        <w:ind w:left="0" w:right="0" w:firstLine="0"/>
                        <w:jc w:val="left"/>
                        <w:rPr>
                          <w:sz w:val="14"/>
                        </w:rPr>
                      </w:pPr>
                      <w:r>
                        <w:rPr>
                          <w:sz w:val="14"/>
                        </w:rPr>
                        <w:t>Other,</w:t>
                      </w:r>
                      <w:r>
                        <w:rPr>
                          <w:spacing w:val="-6"/>
                          <w:sz w:val="14"/>
                        </w:rPr>
                        <w:t> </w:t>
                      </w:r>
                      <w:r>
                        <w:rPr>
                          <w:spacing w:val="-5"/>
                          <w:sz w:val="14"/>
                        </w:rPr>
                        <w:t>net</w:t>
                      </w:r>
                    </w:p>
                  </w:txbxContent>
                </v:textbox>
                <w10:wrap type="none"/>
              </v:shape>
            </w:pict>
          </mc:Fallback>
        </mc:AlternateContent>
      </w:r>
      <w:r>
        <w:rPr>
          <w:sz w:val="14"/>
        </w:rPr>
        <w:t>Non-controlling</w:t>
      </w:r>
      <w:r>
        <w:rPr>
          <w:spacing w:val="-1"/>
          <w:sz w:val="14"/>
        </w:rPr>
        <w:t> </w:t>
      </w:r>
      <w:r>
        <w:rPr>
          <w:sz w:val="14"/>
        </w:rPr>
        <w:t>interest in</w:t>
      </w:r>
      <w:r>
        <w:rPr>
          <w:spacing w:val="-1"/>
          <w:sz w:val="14"/>
        </w:rPr>
        <w:t> </w:t>
      </w:r>
      <w:r>
        <w:rPr>
          <w:sz w:val="14"/>
        </w:rPr>
        <w:t>HSG</w:t>
      </w:r>
      <w:r>
        <w:rPr>
          <w:spacing w:val="-1"/>
          <w:sz w:val="14"/>
        </w:rPr>
        <w:t> </w:t>
      </w:r>
      <w:r>
        <w:rPr>
          <w:spacing w:val="-5"/>
          <w:position w:val="3"/>
          <w:sz w:val="11"/>
        </w:rPr>
        <w:t>(2)</w:t>
      </w:r>
      <w:r>
        <w:rPr>
          <w:position w:val="3"/>
          <w:sz w:val="11"/>
        </w:rPr>
        <w:tab/>
      </w:r>
      <w:r>
        <w:rPr>
          <w:spacing w:val="-5"/>
          <w:sz w:val="14"/>
        </w:rPr>
        <w:t>102</w:t>
      </w:r>
      <w:r>
        <w:rPr>
          <w:sz w:val="14"/>
        </w:rPr>
        <w:tab/>
      </w:r>
      <w:r>
        <w:rPr>
          <w:spacing w:val="-5"/>
          <w:sz w:val="14"/>
        </w:rPr>
        <w:t>102</w:t>
      </w:r>
    </w:p>
    <w:p>
      <w:pPr>
        <w:tabs>
          <w:tab w:pos="7434" w:val="left" w:leader="none"/>
          <w:tab w:pos="9697" w:val="left" w:leader="none"/>
          <w:tab w:pos="10453" w:val="left" w:leader="none"/>
        </w:tabs>
        <w:spacing w:line="156" w:lineRule="exact" w:before="0"/>
        <w:ind w:left="6704" w:right="0" w:firstLine="0"/>
        <w:jc w:val="left"/>
        <w:rPr>
          <w:sz w:val="14"/>
        </w:rPr>
      </w:pPr>
      <w:r>
        <w:rPr>
          <w:spacing w:val="-10"/>
          <w:sz w:val="14"/>
        </w:rPr>
        <w:t>)</w:t>
      </w:r>
      <w:r>
        <w:rPr>
          <w:sz w:val="14"/>
        </w:rPr>
        <w:tab/>
      </w:r>
      <w:r>
        <w:rPr>
          <w:spacing w:val="-4"/>
          <w:sz w:val="14"/>
        </w:rPr>
        <w:t>(11)</w:t>
      </w:r>
      <w:r>
        <w:rPr>
          <w:sz w:val="14"/>
        </w:rPr>
        <w:tab/>
      </w:r>
      <w:r>
        <w:rPr>
          <w:spacing w:val="-10"/>
          <w:sz w:val="14"/>
        </w:rPr>
        <w:t>)</w:t>
      </w:r>
      <w:r>
        <w:rPr>
          <w:sz w:val="14"/>
        </w:rPr>
        <w:tab/>
      </w:r>
      <w:r>
        <w:rPr>
          <w:spacing w:val="-4"/>
          <w:sz w:val="14"/>
        </w:rPr>
        <w:t>(13)</w:t>
      </w:r>
    </w:p>
    <w:p>
      <w:pPr>
        <w:tabs>
          <w:tab w:pos="3264" w:val="left" w:leader="none"/>
          <w:tab w:pos="3637" w:val="left" w:leader="none"/>
          <w:tab w:pos="4181" w:val="left" w:leader="none"/>
          <w:tab w:pos="4659" w:val="left" w:leader="none"/>
          <w:tab w:pos="5099" w:val="left" w:leader="none"/>
          <w:tab w:pos="5401" w:val="left" w:leader="none"/>
          <w:tab w:pos="6016" w:val="left" w:leader="none"/>
          <w:tab w:pos="6318" w:val="left" w:leader="none"/>
          <w:tab w:pos="6933" w:val="left" w:leader="none"/>
          <w:tab w:pos="8447" w:val="left" w:leader="none"/>
          <w:tab w:pos="9312" w:val="left" w:leader="none"/>
          <w:tab w:pos="9926" w:val="left" w:leader="none"/>
          <w:tab w:pos="10430" w:val="left" w:leader="none"/>
          <w:tab w:pos="10869" w:val="left" w:leader="none"/>
          <w:tab w:pos="11172" w:val="left" w:leader="none"/>
        </w:tabs>
        <w:spacing w:before="4"/>
        <w:ind w:left="156" w:right="0" w:firstLine="0"/>
        <w:jc w:val="left"/>
        <w:rPr>
          <w:sz w:val="14"/>
        </w:rPr>
      </w:pPr>
      <w:r>
        <w:rPr>
          <w:sz w:val="14"/>
        </w:rPr>
        <w:t>Balance at December 31, </w:t>
      </w:r>
      <w:r>
        <w:rPr>
          <w:spacing w:val="-4"/>
          <w:sz w:val="14"/>
        </w:rPr>
        <w:t>2020</w:t>
      </w:r>
      <w:r>
        <w:rPr>
          <w:sz w:val="14"/>
        </w:rPr>
        <w:tab/>
      </w:r>
      <w:r>
        <w:rPr>
          <w:spacing w:val="-10"/>
          <w:sz w:val="14"/>
        </w:rPr>
        <w:t>$</w:t>
      </w:r>
      <w:r>
        <w:rPr>
          <w:sz w:val="14"/>
        </w:rPr>
        <w:tab/>
      </w:r>
      <w:r>
        <w:rPr>
          <w:spacing w:val="-2"/>
          <w:sz w:val="14"/>
        </w:rPr>
        <w:t>2,300</w:t>
      </w:r>
      <w:r>
        <w:rPr>
          <w:sz w:val="14"/>
        </w:rPr>
        <w:tab/>
      </w:r>
      <w:r>
        <w:rPr>
          <w:spacing w:val="-10"/>
          <w:sz w:val="14"/>
        </w:rPr>
        <w:t>$</w:t>
      </w:r>
      <w:r>
        <w:rPr>
          <w:sz w:val="14"/>
        </w:rPr>
        <w:tab/>
      </w:r>
      <w:r>
        <w:rPr>
          <w:spacing w:val="-5"/>
          <w:sz w:val="14"/>
        </w:rPr>
        <w:t>863</w:t>
      </w:r>
      <w:r>
        <w:rPr>
          <w:sz w:val="14"/>
        </w:rPr>
        <w:tab/>
      </w:r>
      <w:r>
        <w:rPr>
          <w:spacing w:val="-10"/>
          <w:sz w:val="14"/>
        </w:rPr>
        <w:t>$</w:t>
      </w:r>
      <w:r>
        <w:rPr>
          <w:sz w:val="14"/>
        </w:rPr>
        <w:tab/>
      </w:r>
      <w:r>
        <w:rPr>
          <w:spacing w:val="-2"/>
          <w:sz w:val="14"/>
        </w:rPr>
        <w:t>14,642</w:t>
      </w:r>
      <w:r>
        <w:rPr>
          <w:sz w:val="14"/>
        </w:rPr>
        <w:tab/>
      </w:r>
      <w:r>
        <w:rPr>
          <w:spacing w:val="-10"/>
          <w:sz w:val="14"/>
        </w:rPr>
        <w:t>$</w:t>
      </w:r>
      <w:r>
        <w:rPr>
          <w:sz w:val="14"/>
        </w:rPr>
        <w:tab/>
      </w:r>
      <w:r>
        <w:rPr>
          <w:spacing w:val="-2"/>
          <w:sz w:val="14"/>
        </w:rPr>
        <w:t>16,120</w:t>
      </w:r>
      <w:r>
        <w:rPr>
          <w:sz w:val="14"/>
        </w:rPr>
        <w:tab/>
        <w:t>$</w:t>
      </w:r>
      <w:r>
        <w:rPr>
          <w:spacing w:val="55"/>
          <w:sz w:val="14"/>
        </w:rPr>
        <w:t>  </w:t>
      </w:r>
      <w:r>
        <w:rPr>
          <w:sz w:val="14"/>
        </w:rPr>
        <w:t>(19,928)</w:t>
      </w:r>
      <w:r>
        <w:rPr>
          <w:spacing w:val="55"/>
          <w:sz w:val="14"/>
        </w:rPr>
        <w:t>  </w:t>
      </w:r>
      <w:r>
        <w:rPr>
          <w:spacing w:val="-10"/>
          <w:sz w:val="14"/>
        </w:rPr>
        <w:t>$</w:t>
      </w:r>
      <w:r>
        <w:rPr>
          <w:sz w:val="14"/>
        </w:rPr>
        <w:tab/>
        <w:t>(740)</w:t>
      </w:r>
      <w:r>
        <w:rPr>
          <w:spacing w:val="54"/>
          <w:sz w:val="14"/>
        </w:rPr>
        <w:t>  </w:t>
      </w:r>
      <w:r>
        <w:rPr>
          <w:spacing w:val="-10"/>
          <w:sz w:val="14"/>
        </w:rPr>
        <w:t>$</w:t>
      </w:r>
      <w:r>
        <w:rPr>
          <w:sz w:val="14"/>
        </w:rPr>
        <w:tab/>
      </w:r>
      <w:r>
        <w:rPr>
          <w:spacing w:val="-2"/>
          <w:sz w:val="14"/>
        </w:rPr>
        <w:t>13,257</w:t>
      </w:r>
      <w:r>
        <w:rPr>
          <w:sz w:val="14"/>
        </w:rPr>
        <w:tab/>
      </w:r>
      <w:r>
        <w:rPr>
          <w:spacing w:val="-10"/>
          <w:sz w:val="14"/>
        </w:rPr>
        <w:t>$</w:t>
      </w:r>
      <w:r>
        <w:rPr>
          <w:sz w:val="14"/>
        </w:rPr>
        <w:tab/>
      </w:r>
      <w:r>
        <w:rPr>
          <w:spacing w:val="-5"/>
          <w:sz w:val="14"/>
        </w:rPr>
        <w:t>191</w:t>
      </w:r>
      <w:r>
        <w:rPr>
          <w:sz w:val="14"/>
        </w:rPr>
        <w:tab/>
      </w:r>
      <w:r>
        <w:rPr>
          <w:spacing w:val="-10"/>
          <w:sz w:val="14"/>
        </w:rPr>
        <w:t>$</w:t>
      </w:r>
      <w:r>
        <w:rPr>
          <w:sz w:val="14"/>
        </w:rPr>
        <w:tab/>
      </w:r>
      <w:r>
        <w:rPr>
          <w:spacing w:val="-2"/>
          <w:sz w:val="14"/>
        </w:rPr>
        <w:t>13,448</w:t>
      </w:r>
    </w:p>
    <w:p>
      <w:pPr>
        <w:pStyle w:val="BodyText"/>
        <w:spacing w:line="152" w:lineRule="exact"/>
        <w:ind w:left="156"/>
        <w:rPr>
          <w:sz w:val="15"/>
        </w:rPr>
      </w:pPr>
      <w:r>
        <w:rPr>
          <w:position w:val="-2"/>
          <w:sz w:val="15"/>
        </w:rPr>
        <mc:AlternateContent>
          <mc:Choice Requires="wps">
            <w:drawing>
              <wp:inline distT="0" distB="0" distL="0" distR="0">
                <wp:extent cx="7312659" cy="97155"/>
                <wp:effectExtent l="0" t="0" r="0" b="0"/>
                <wp:docPr id="261" name="Group 261"/>
                <wp:cNvGraphicFramePr>
                  <a:graphicFrameLocks/>
                </wp:cNvGraphicFramePr>
                <a:graphic>
                  <a:graphicData uri="http://schemas.microsoft.com/office/word/2010/wordprocessingGroup">
                    <wpg:wgp>
                      <wpg:cNvPr id="261" name="Group 261"/>
                      <wpg:cNvGrpSpPr/>
                      <wpg:grpSpPr>
                        <a:xfrm>
                          <a:off x="0" y="0"/>
                          <a:ext cx="7312659" cy="97155"/>
                          <a:chExt cx="7312659" cy="97155"/>
                        </a:xfrm>
                      </wpg:grpSpPr>
                      <wps:wsp>
                        <wps:cNvPr id="262" name="Graphic 262"/>
                        <wps:cNvSpPr/>
                        <wps:spPr>
                          <a:xfrm>
                            <a:off x="-9" y="12"/>
                            <a:ext cx="7312659" cy="97155"/>
                          </a:xfrm>
                          <a:custGeom>
                            <a:avLst/>
                            <a:gdLst/>
                            <a:ahLst/>
                            <a:cxnLst/>
                            <a:rect l="l" t="t" r="r" b="b"/>
                            <a:pathLst>
                              <a:path w="7312659" h="97155">
                                <a:moveTo>
                                  <a:pt x="7312342" y="0"/>
                                </a:moveTo>
                                <a:lnTo>
                                  <a:pt x="7312342" y="0"/>
                                </a:lnTo>
                                <a:lnTo>
                                  <a:pt x="0" y="0"/>
                                </a:lnTo>
                                <a:lnTo>
                                  <a:pt x="0" y="97066"/>
                                </a:lnTo>
                                <a:lnTo>
                                  <a:pt x="7312342" y="97066"/>
                                </a:lnTo>
                                <a:lnTo>
                                  <a:pt x="7312342" y="0"/>
                                </a:lnTo>
                                <a:close/>
                              </a:path>
                            </a:pathLst>
                          </a:custGeom>
                          <a:solidFill>
                            <a:srgbClr val="CCEDFF"/>
                          </a:solidFill>
                        </wps:spPr>
                        <wps:bodyPr wrap="square" lIns="0" tIns="0" rIns="0" bIns="0" rtlCol="0">
                          <a:prstTxWarp prst="textNoShape">
                            <a:avLst/>
                          </a:prstTxWarp>
                          <a:noAutofit/>
                        </wps:bodyPr>
                      </wps:wsp>
                    </wpg:wgp>
                  </a:graphicData>
                </a:graphic>
              </wp:inline>
            </w:drawing>
          </mc:Choice>
          <mc:Fallback>
            <w:pict>
              <v:group style="width:575.8pt;height:7.65pt;mso-position-horizontal-relative:char;mso-position-vertical-relative:line" id="docshapegroup260" coordorigin="0,0" coordsize="11516,153">
                <v:rect style="position:absolute;left:-1;top:0;width:11516;height:153" id="docshape261" filled="true" fillcolor="#ccedff" stroked="false">
                  <v:fill type="solid"/>
                </v:rect>
              </v:group>
            </w:pict>
          </mc:Fallback>
        </mc:AlternateContent>
      </w:r>
      <w:r>
        <w:rPr>
          <w:position w:val="-2"/>
          <w:sz w:val="15"/>
        </w:rPr>
      </w:r>
    </w:p>
    <w:p>
      <w:pPr>
        <w:tabs>
          <w:tab w:pos="6388" w:val="left" w:leader="none"/>
          <w:tab w:pos="9382" w:val="left" w:leader="none"/>
          <w:tab w:pos="10500" w:val="left" w:leader="none"/>
          <w:tab w:pos="11242" w:val="left" w:leader="none"/>
        </w:tabs>
        <w:spacing w:before="0"/>
        <w:ind w:left="156" w:right="0" w:firstLine="0"/>
        <w:jc w:val="left"/>
        <w:rPr>
          <w:sz w:val="14"/>
        </w:rPr>
      </w:pPr>
      <w:r>
        <w:rPr>
          <w:sz w:val="14"/>
        </w:rPr>
        <w:t>Net</w:t>
      </w:r>
      <w:r>
        <w:rPr>
          <w:spacing w:val="-3"/>
          <w:sz w:val="14"/>
        </w:rPr>
        <w:t> </w:t>
      </w:r>
      <w:r>
        <w:rPr>
          <w:spacing w:val="-2"/>
          <w:sz w:val="14"/>
        </w:rPr>
        <w:t>income</w:t>
      </w:r>
      <w:r>
        <w:rPr>
          <w:sz w:val="14"/>
        </w:rPr>
        <w:tab/>
      </w:r>
      <w:r>
        <w:rPr>
          <w:spacing w:val="-2"/>
          <w:sz w:val="14"/>
        </w:rPr>
        <w:t>1,906</w:t>
      </w:r>
      <w:r>
        <w:rPr>
          <w:sz w:val="14"/>
        </w:rPr>
        <w:tab/>
      </w:r>
      <w:r>
        <w:rPr>
          <w:spacing w:val="-2"/>
          <w:sz w:val="14"/>
        </w:rPr>
        <w:t>1,906</w:t>
      </w:r>
      <w:r>
        <w:rPr>
          <w:sz w:val="14"/>
        </w:rPr>
        <w:tab/>
      </w:r>
      <w:r>
        <w:rPr>
          <w:spacing w:val="-5"/>
          <w:sz w:val="14"/>
        </w:rPr>
        <w:t>29</w:t>
      </w:r>
      <w:r>
        <w:rPr>
          <w:sz w:val="14"/>
        </w:rPr>
        <w:tab/>
      </w:r>
      <w:r>
        <w:rPr>
          <w:spacing w:val="-2"/>
          <w:sz w:val="14"/>
        </w:rPr>
        <w:t>1,935</w:t>
      </w:r>
    </w:p>
    <w:p>
      <w:pPr>
        <w:pStyle w:val="BodyText"/>
        <w:spacing w:line="152" w:lineRule="exact"/>
        <w:ind w:left="156"/>
        <w:rPr>
          <w:sz w:val="15"/>
        </w:rPr>
      </w:pPr>
      <w:r>
        <w:rPr>
          <w:position w:val="-2"/>
          <w:sz w:val="15"/>
        </w:rPr>
        <mc:AlternateContent>
          <mc:Choice Requires="wps">
            <w:drawing>
              <wp:inline distT="0" distB="0" distL="0" distR="0">
                <wp:extent cx="7312659" cy="97155"/>
                <wp:effectExtent l="0" t="0" r="0" b="0"/>
                <wp:docPr id="263" name="Textbox 263"/>
                <wp:cNvGraphicFramePr>
                  <a:graphicFrameLocks/>
                </wp:cNvGraphicFramePr>
                <a:graphic>
                  <a:graphicData uri="http://schemas.microsoft.com/office/word/2010/wordprocessingShape">
                    <wps:wsp>
                      <wps:cNvPr id="263" name="Textbox 263"/>
                      <wps:cNvSpPr txBox="1"/>
                      <wps:spPr>
                        <a:xfrm>
                          <a:off x="0" y="0"/>
                          <a:ext cx="7312659" cy="97155"/>
                        </a:xfrm>
                        <a:prstGeom prst="rect">
                          <a:avLst/>
                        </a:prstGeom>
                        <a:solidFill>
                          <a:srgbClr val="CCEDFF"/>
                        </a:solidFill>
                      </wps:spPr>
                      <wps:txbx>
                        <w:txbxContent>
                          <w:p>
                            <w:pPr>
                              <w:tabs>
                                <w:tab w:pos="8290" w:val="left" w:leader="none"/>
                                <w:tab w:pos="9284" w:val="left" w:leader="none"/>
                                <w:tab w:pos="10366" w:val="left" w:leader="none"/>
                                <w:tab w:pos="11144" w:val="left" w:leader="none"/>
                              </w:tabs>
                              <w:spacing w:line="153" w:lineRule="exact" w:before="0"/>
                              <w:ind w:left="0" w:right="0" w:firstLine="0"/>
                              <w:jc w:val="left"/>
                              <w:rPr>
                                <w:color w:val="000000"/>
                                <w:sz w:val="14"/>
                              </w:rPr>
                            </w:pPr>
                            <w:r>
                              <w:rPr>
                                <w:color w:val="000000"/>
                                <w:sz w:val="14"/>
                              </w:rPr>
                              <w:t>Other comprehensive </w:t>
                            </w:r>
                            <w:r>
                              <w:rPr>
                                <w:color w:val="000000"/>
                                <w:spacing w:val="-2"/>
                                <w:sz w:val="14"/>
                              </w:rPr>
                              <w:t>income</w:t>
                            </w:r>
                            <w:r>
                              <w:rPr>
                                <w:color w:val="000000"/>
                                <w:sz w:val="14"/>
                              </w:rPr>
                              <w:tab/>
                            </w:r>
                            <w:r>
                              <w:rPr>
                                <w:color w:val="000000"/>
                                <w:spacing w:val="-2"/>
                                <w:sz w:val="14"/>
                              </w:rPr>
                              <w:t>(435)</w:t>
                            </w:r>
                            <w:r>
                              <w:rPr>
                                <w:color w:val="000000"/>
                                <w:sz w:val="14"/>
                              </w:rPr>
                              <w:tab/>
                            </w:r>
                            <w:r>
                              <w:rPr>
                                <w:color w:val="000000"/>
                                <w:spacing w:val="-2"/>
                                <w:sz w:val="14"/>
                              </w:rPr>
                              <w:t>(435)</w:t>
                            </w:r>
                            <w:r>
                              <w:rPr>
                                <w:color w:val="000000"/>
                                <w:sz w:val="14"/>
                              </w:rPr>
                              <w:tab/>
                            </w:r>
                            <w:r>
                              <w:rPr>
                                <w:color w:val="000000"/>
                                <w:spacing w:val="-5"/>
                                <w:sz w:val="14"/>
                              </w:rPr>
                              <w:t>(1)</w:t>
                            </w:r>
                            <w:r>
                              <w:rPr>
                                <w:color w:val="000000"/>
                                <w:sz w:val="14"/>
                              </w:rPr>
                              <w:tab/>
                            </w:r>
                            <w:r>
                              <w:rPr>
                                <w:color w:val="000000"/>
                                <w:spacing w:val="-2"/>
                                <w:sz w:val="14"/>
                              </w:rPr>
                              <w:t>(436)</w:t>
                            </w:r>
                          </w:p>
                        </w:txbxContent>
                      </wps:txbx>
                      <wps:bodyPr wrap="square" lIns="0" tIns="0" rIns="0" bIns="0" rtlCol="0">
                        <a:noAutofit/>
                      </wps:bodyPr>
                    </wps:wsp>
                  </a:graphicData>
                </a:graphic>
              </wp:inline>
            </w:drawing>
          </mc:Choice>
          <mc:Fallback>
            <w:pict>
              <v:shape style="width:575.8pt;height:7.65pt;mso-position-horizontal-relative:char;mso-position-vertical-relative:line" type="#_x0000_t202" id="docshape262" filled="true" fillcolor="#ccedff" stroked="false">
                <w10:anchorlock/>
                <v:textbox inset="0,0,0,0">
                  <w:txbxContent>
                    <w:p>
                      <w:pPr>
                        <w:tabs>
                          <w:tab w:pos="8290" w:val="left" w:leader="none"/>
                          <w:tab w:pos="9284" w:val="left" w:leader="none"/>
                          <w:tab w:pos="10366" w:val="left" w:leader="none"/>
                          <w:tab w:pos="11144" w:val="left" w:leader="none"/>
                        </w:tabs>
                        <w:spacing w:line="153" w:lineRule="exact" w:before="0"/>
                        <w:ind w:left="0" w:right="0" w:firstLine="0"/>
                        <w:jc w:val="left"/>
                        <w:rPr>
                          <w:color w:val="000000"/>
                          <w:sz w:val="14"/>
                        </w:rPr>
                      </w:pPr>
                      <w:r>
                        <w:rPr>
                          <w:color w:val="000000"/>
                          <w:sz w:val="14"/>
                        </w:rPr>
                        <w:t>Other comprehensive </w:t>
                      </w:r>
                      <w:r>
                        <w:rPr>
                          <w:color w:val="000000"/>
                          <w:spacing w:val="-2"/>
                          <w:sz w:val="14"/>
                        </w:rPr>
                        <w:t>income</w:t>
                      </w:r>
                      <w:r>
                        <w:rPr>
                          <w:color w:val="000000"/>
                          <w:sz w:val="14"/>
                        </w:rPr>
                        <w:tab/>
                      </w:r>
                      <w:r>
                        <w:rPr>
                          <w:color w:val="000000"/>
                          <w:spacing w:val="-2"/>
                          <w:sz w:val="14"/>
                        </w:rPr>
                        <w:t>(435)</w:t>
                      </w:r>
                      <w:r>
                        <w:rPr>
                          <w:color w:val="000000"/>
                          <w:sz w:val="14"/>
                        </w:rPr>
                        <w:tab/>
                      </w:r>
                      <w:r>
                        <w:rPr>
                          <w:color w:val="000000"/>
                          <w:spacing w:val="-2"/>
                          <w:sz w:val="14"/>
                        </w:rPr>
                        <w:t>(435)</w:t>
                      </w:r>
                      <w:r>
                        <w:rPr>
                          <w:color w:val="000000"/>
                          <w:sz w:val="14"/>
                        </w:rPr>
                        <w:tab/>
                      </w:r>
                      <w:r>
                        <w:rPr>
                          <w:color w:val="000000"/>
                          <w:spacing w:val="-5"/>
                          <w:sz w:val="14"/>
                        </w:rPr>
                        <w:t>(1)</w:t>
                      </w:r>
                      <w:r>
                        <w:rPr>
                          <w:color w:val="000000"/>
                          <w:sz w:val="14"/>
                        </w:rPr>
                        <w:tab/>
                      </w:r>
                      <w:r>
                        <w:rPr>
                          <w:color w:val="000000"/>
                          <w:spacing w:val="-2"/>
                          <w:sz w:val="14"/>
                        </w:rPr>
                        <w:t>(436)</w:t>
                      </w:r>
                    </w:p>
                  </w:txbxContent>
                </v:textbox>
                <v:fill type="solid"/>
              </v:shape>
            </w:pict>
          </mc:Fallback>
        </mc:AlternateContent>
      </w:r>
      <w:r>
        <w:rPr>
          <w:position w:val="-2"/>
          <w:sz w:val="15"/>
        </w:rPr>
      </w:r>
    </w:p>
    <w:p>
      <w:pPr>
        <w:tabs>
          <w:tab w:pos="3695" w:val="left" w:leader="none"/>
          <w:tab w:pos="6447" w:val="left" w:leader="none"/>
          <w:tab w:pos="9335" w:val="left" w:leader="none"/>
          <w:tab w:pos="11195" w:val="left" w:leader="none"/>
        </w:tabs>
        <w:spacing w:before="0"/>
        <w:ind w:left="156" w:right="0" w:firstLine="0"/>
        <w:jc w:val="left"/>
        <w:rPr>
          <w:sz w:val="14"/>
        </w:rPr>
      </w:pPr>
      <w:r>
        <w:rPr/>
        <mc:AlternateContent>
          <mc:Choice Requires="wps">
            <w:drawing>
              <wp:anchor distT="0" distB="0" distL="0" distR="0" allowOverlap="1" layoutInCell="1" locked="0" behindDoc="0" simplePos="0" relativeHeight="15803392">
                <wp:simplePos x="0" y="0"/>
                <wp:positionH relativeFrom="page">
                  <wp:posOffset>226488</wp:posOffset>
                </wp:positionH>
                <wp:positionV relativeFrom="paragraph">
                  <wp:posOffset>90337</wp:posOffset>
                </wp:positionV>
                <wp:extent cx="7312659" cy="9715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7312659" cy="97155"/>
                        </a:xfrm>
                        <a:prstGeom prst="rect">
                          <a:avLst/>
                        </a:prstGeom>
                        <a:solidFill>
                          <a:srgbClr val="CCEDFF"/>
                        </a:solidFill>
                      </wps:spPr>
                      <wps:txbx>
                        <w:txbxContent>
                          <w:p>
                            <w:pPr>
                              <w:tabs>
                                <w:tab w:pos="3434" w:val="left" w:leader="none"/>
                                <w:tab w:pos="4572" w:val="left" w:leader="none"/>
                                <w:tab w:pos="5315" w:val="left" w:leader="none"/>
                              </w:tabs>
                              <w:spacing w:line="153" w:lineRule="exact" w:before="0"/>
                              <w:ind w:left="0" w:right="0" w:firstLine="0"/>
                              <w:jc w:val="left"/>
                              <w:rPr>
                                <w:color w:val="000000"/>
                                <w:sz w:val="14"/>
                              </w:rPr>
                            </w:pPr>
                            <w:r>
                              <w:rPr>
                                <w:color w:val="000000"/>
                                <w:sz w:val="14"/>
                              </w:rPr>
                              <w:t>Conversion of preferred stock to common stock</w:t>
                            </w:r>
                            <w:r>
                              <w:rPr>
                                <w:color w:val="000000"/>
                                <w:spacing w:val="-1"/>
                                <w:sz w:val="14"/>
                              </w:rPr>
                              <w:t> </w:t>
                            </w:r>
                            <w:r>
                              <w:rPr>
                                <w:color w:val="000000"/>
                                <w:spacing w:val="-5"/>
                                <w:position w:val="3"/>
                                <w:sz w:val="11"/>
                              </w:rPr>
                              <w:t>(4)</w:t>
                            </w:r>
                            <w:r>
                              <w:rPr>
                                <w:color w:val="000000"/>
                                <w:position w:val="3"/>
                                <w:sz w:val="11"/>
                              </w:rPr>
                              <w:tab/>
                            </w:r>
                            <w:r>
                              <w:rPr>
                                <w:color w:val="000000"/>
                                <w:spacing w:val="-2"/>
                                <w:sz w:val="14"/>
                              </w:rPr>
                              <w:t>(1,600)</w:t>
                            </w:r>
                            <w:r>
                              <w:rPr>
                                <w:color w:val="000000"/>
                                <w:sz w:val="14"/>
                              </w:rPr>
                              <w:tab/>
                            </w:r>
                            <w:r>
                              <w:rPr>
                                <w:color w:val="000000"/>
                                <w:spacing w:val="-5"/>
                                <w:sz w:val="14"/>
                              </w:rPr>
                              <w:t>40</w:t>
                            </w:r>
                            <w:r>
                              <w:rPr>
                                <w:color w:val="000000"/>
                                <w:sz w:val="14"/>
                              </w:rPr>
                              <w:tab/>
                            </w:r>
                            <w:r>
                              <w:rPr>
                                <w:color w:val="000000"/>
                                <w:spacing w:val="-2"/>
                                <w:sz w:val="14"/>
                              </w:rPr>
                              <w:t>1,560</w:t>
                            </w:r>
                          </w:p>
                        </w:txbxContent>
                      </wps:txbx>
                      <wps:bodyPr wrap="square" lIns="0" tIns="0" rIns="0" bIns="0" rtlCol="0">
                        <a:noAutofit/>
                      </wps:bodyPr>
                    </wps:wsp>
                  </a:graphicData>
                </a:graphic>
              </wp:anchor>
            </w:drawing>
          </mc:Choice>
          <mc:Fallback>
            <w:pict>
              <v:shape style="position:absolute;margin-left:17.833740pt;margin-top:7.11315pt;width:575.8pt;height:7.65pt;mso-position-horizontal-relative:page;mso-position-vertical-relative:paragraph;z-index:15803392" type="#_x0000_t202" id="docshape263" filled="true" fillcolor="#ccedff" stroked="false">
                <v:textbox inset="0,0,0,0">
                  <w:txbxContent>
                    <w:p>
                      <w:pPr>
                        <w:tabs>
                          <w:tab w:pos="3434" w:val="left" w:leader="none"/>
                          <w:tab w:pos="4572" w:val="left" w:leader="none"/>
                          <w:tab w:pos="5315" w:val="left" w:leader="none"/>
                        </w:tabs>
                        <w:spacing w:line="153" w:lineRule="exact" w:before="0"/>
                        <w:ind w:left="0" w:right="0" w:firstLine="0"/>
                        <w:jc w:val="left"/>
                        <w:rPr>
                          <w:color w:val="000000"/>
                          <w:sz w:val="14"/>
                        </w:rPr>
                      </w:pPr>
                      <w:r>
                        <w:rPr>
                          <w:color w:val="000000"/>
                          <w:sz w:val="14"/>
                        </w:rPr>
                        <w:t>Conversion of preferred stock to common stock</w:t>
                      </w:r>
                      <w:r>
                        <w:rPr>
                          <w:color w:val="000000"/>
                          <w:spacing w:val="-1"/>
                          <w:sz w:val="14"/>
                        </w:rPr>
                        <w:t> </w:t>
                      </w:r>
                      <w:r>
                        <w:rPr>
                          <w:color w:val="000000"/>
                          <w:spacing w:val="-5"/>
                          <w:position w:val="3"/>
                          <w:sz w:val="11"/>
                        </w:rPr>
                        <w:t>(4)</w:t>
                      </w:r>
                      <w:r>
                        <w:rPr>
                          <w:color w:val="000000"/>
                          <w:position w:val="3"/>
                          <w:sz w:val="11"/>
                        </w:rPr>
                        <w:tab/>
                      </w:r>
                      <w:r>
                        <w:rPr>
                          <w:color w:val="000000"/>
                          <w:spacing w:val="-2"/>
                          <w:sz w:val="14"/>
                        </w:rPr>
                        <w:t>(1,600)</w:t>
                      </w:r>
                      <w:r>
                        <w:rPr>
                          <w:color w:val="000000"/>
                          <w:sz w:val="14"/>
                        </w:rPr>
                        <w:tab/>
                      </w:r>
                      <w:r>
                        <w:rPr>
                          <w:color w:val="000000"/>
                          <w:spacing w:val="-5"/>
                          <w:sz w:val="14"/>
                        </w:rPr>
                        <w:t>40</w:t>
                      </w:r>
                      <w:r>
                        <w:rPr>
                          <w:color w:val="000000"/>
                          <w:sz w:val="14"/>
                        </w:rPr>
                        <w:tab/>
                      </w:r>
                      <w:r>
                        <w:rPr>
                          <w:color w:val="000000"/>
                          <w:spacing w:val="-2"/>
                          <w:sz w:val="14"/>
                        </w:rPr>
                        <w:t>1,560</w:t>
                      </w:r>
                    </w:p>
                  </w:txbxContent>
                </v:textbox>
                <v:fill type="solid"/>
                <w10:wrap type="none"/>
              </v:shape>
            </w:pict>
          </mc:Fallback>
        </mc:AlternateContent>
      </w:r>
      <w:r>
        <w:rPr>
          <w:sz w:val="14"/>
        </w:rPr>
        <w:t>Redemption of preferred stock</w:t>
      </w:r>
      <w:r>
        <w:rPr>
          <w:spacing w:val="-1"/>
          <w:sz w:val="14"/>
        </w:rPr>
        <w:t> </w:t>
      </w:r>
      <w:r>
        <w:rPr>
          <w:spacing w:val="-5"/>
          <w:position w:val="3"/>
          <w:sz w:val="11"/>
        </w:rPr>
        <w:t>(3)</w:t>
      </w:r>
      <w:r>
        <w:rPr>
          <w:position w:val="3"/>
          <w:sz w:val="11"/>
        </w:rPr>
        <w:tab/>
      </w:r>
      <w:r>
        <w:rPr>
          <w:spacing w:val="-2"/>
          <w:sz w:val="14"/>
        </w:rPr>
        <w:t>(700)</w:t>
      </w:r>
      <w:r>
        <w:rPr>
          <w:sz w:val="14"/>
        </w:rPr>
        <w:tab/>
      </w:r>
      <w:r>
        <w:rPr>
          <w:spacing w:val="-2"/>
          <w:sz w:val="14"/>
        </w:rPr>
        <w:t>(803)</w:t>
      </w:r>
      <w:r>
        <w:rPr>
          <w:sz w:val="14"/>
        </w:rPr>
        <w:tab/>
      </w:r>
      <w:r>
        <w:rPr>
          <w:spacing w:val="-2"/>
          <w:sz w:val="14"/>
        </w:rPr>
        <w:t>(1,503)</w:t>
      </w:r>
      <w:r>
        <w:rPr>
          <w:sz w:val="14"/>
        </w:rPr>
        <w:tab/>
      </w:r>
      <w:r>
        <w:rPr>
          <w:spacing w:val="-2"/>
          <w:sz w:val="14"/>
        </w:rPr>
        <w:t>(1,503)</w:t>
      </w:r>
    </w:p>
    <w:p>
      <w:pPr>
        <w:tabs>
          <w:tab w:pos="7364" w:val="left" w:leader="none"/>
          <w:tab w:pos="9440" w:val="left" w:leader="none"/>
          <w:tab w:pos="11300" w:val="left" w:leader="none"/>
        </w:tabs>
        <w:spacing w:before="129"/>
        <w:ind w:left="156" w:right="0" w:firstLine="0"/>
        <w:jc w:val="left"/>
        <w:rPr>
          <w:sz w:val="14"/>
        </w:rPr>
      </w:pPr>
      <w:r>
        <w:rPr>
          <w:sz w:val="14"/>
        </w:rPr>
        <w:t>Purchase of common stock for </w:t>
      </w:r>
      <w:r>
        <w:rPr>
          <w:spacing w:val="-2"/>
          <w:sz w:val="14"/>
        </w:rPr>
        <w:t>treasury</w:t>
      </w:r>
      <w:r>
        <w:rPr>
          <w:sz w:val="14"/>
        </w:rPr>
        <w:tab/>
      </w:r>
      <w:r>
        <w:rPr>
          <w:spacing w:val="-2"/>
          <w:sz w:val="14"/>
        </w:rPr>
        <w:t>(274)</w:t>
      </w:r>
      <w:r>
        <w:rPr>
          <w:sz w:val="14"/>
        </w:rPr>
        <w:tab/>
      </w:r>
      <w:r>
        <w:rPr>
          <w:spacing w:val="-2"/>
          <w:sz w:val="14"/>
        </w:rPr>
        <w:t>(274)</w:t>
      </w:r>
      <w:r>
        <w:rPr>
          <w:sz w:val="14"/>
        </w:rPr>
        <w:tab/>
      </w:r>
      <w:r>
        <w:rPr>
          <w:spacing w:val="-2"/>
          <w:sz w:val="14"/>
        </w:rPr>
        <w:t>(274)</w:t>
      </w:r>
    </w:p>
    <w:p>
      <w:pPr>
        <w:pStyle w:val="BodyText"/>
        <w:ind w:left="156"/>
        <w:rPr>
          <w:sz w:val="20"/>
        </w:rPr>
      </w:pPr>
      <w:r>
        <w:rPr>
          <w:sz w:val="20"/>
        </w:rPr>
        <mc:AlternateContent>
          <mc:Choice Requires="wps">
            <w:drawing>
              <wp:inline distT="0" distB="0" distL="0" distR="0">
                <wp:extent cx="7312659" cy="197485"/>
                <wp:effectExtent l="9525" t="0" r="0" b="2539"/>
                <wp:docPr id="265" name="Group 265"/>
                <wp:cNvGraphicFramePr>
                  <a:graphicFrameLocks/>
                </wp:cNvGraphicFramePr>
                <a:graphic>
                  <a:graphicData uri="http://schemas.microsoft.com/office/word/2010/wordprocessingGroup">
                    <wpg:wgp>
                      <wpg:cNvPr id="265" name="Group 265"/>
                      <wpg:cNvGrpSpPr/>
                      <wpg:grpSpPr>
                        <a:xfrm>
                          <a:off x="0" y="0"/>
                          <a:ext cx="7312659" cy="197485"/>
                          <a:chExt cx="7312659" cy="197485"/>
                        </a:xfrm>
                      </wpg:grpSpPr>
                      <wps:wsp>
                        <wps:cNvPr id="266" name="Graphic 266"/>
                        <wps:cNvSpPr/>
                        <wps:spPr>
                          <a:xfrm>
                            <a:off x="-9" y="9"/>
                            <a:ext cx="7312659" cy="194310"/>
                          </a:xfrm>
                          <a:custGeom>
                            <a:avLst/>
                            <a:gdLst/>
                            <a:ahLst/>
                            <a:cxnLst/>
                            <a:rect l="l" t="t" r="r" b="b"/>
                            <a:pathLst>
                              <a:path w="7312659" h="194310">
                                <a:moveTo>
                                  <a:pt x="7312342" y="0"/>
                                </a:moveTo>
                                <a:lnTo>
                                  <a:pt x="7312342" y="0"/>
                                </a:lnTo>
                                <a:lnTo>
                                  <a:pt x="0" y="0"/>
                                </a:lnTo>
                                <a:lnTo>
                                  <a:pt x="0" y="194132"/>
                                </a:lnTo>
                                <a:lnTo>
                                  <a:pt x="7312342" y="194132"/>
                                </a:lnTo>
                                <a:lnTo>
                                  <a:pt x="7312342" y="0"/>
                                </a:lnTo>
                                <a:close/>
                              </a:path>
                            </a:pathLst>
                          </a:custGeom>
                          <a:solidFill>
                            <a:srgbClr val="CCEDFF"/>
                          </a:solidFill>
                        </wps:spPr>
                        <wps:bodyPr wrap="square" lIns="0" tIns="0" rIns="0" bIns="0" rtlCol="0">
                          <a:prstTxWarp prst="textNoShape">
                            <a:avLst/>
                          </a:prstTxWarp>
                          <a:noAutofit/>
                        </wps:bodyPr>
                      </wps:wsp>
                      <wps:wsp>
                        <wps:cNvPr id="267" name="Textbox 267"/>
                        <wps:cNvSpPr txBox="1"/>
                        <wps:spPr>
                          <a:xfrm>
                            <a:off x="0" y="1599"/>
                            <a:ext cx="1591945" cy="196215"/>
                          </a:xfrm>
                          <a:prstGeom prst="rect">
                            <a:avLst/>
                          </a:prstGeom>
                        </wps:spPr>
                        <wps:txbx>
                          <w:txbxContent>
                            <w:p>
                              <w:pPr>
                                <w:spacing w:line="228" w:lineRule="auto" w:before="0"/>
                                <w:ind w:left="152" w:right="0" w:hanging="153"/>
                                <w:jc w:val="left"/>
                                <w:rPr>
                                  <w:sz w:val="14"/>
                                </w:rPr>
                              </w:pPr>
                              <w:r>
                                <w:rPr>
                                  <w:sz w:val="14"/>
                                </w:rPr>
                                <w:t>Shares</w:t>
                              </w:r>
                              <w:r>
                                <w:rPr>
                                  <w:spacing w:val="-5"/>
                                  <w:sz w:val="14"/>
                                </w:rPr>
                                <w:t> </w:t>
                              </w:r>
                              <w:r>
                                <w:rPr>
                                  <w:sz w:val="14"/>
                                </w:rPr>
                                <w:t>issued</w:t>
                              </w:r>
                              <w:r>
                                <w:rPr>
                                  <w:spacing w:val="-5"/>
                                  <w:sz w:val="14"/>
                                </w:rPr>
                                <w:t> </w:t>
                              </w:r>
                              <w:r>
                                <w:rPr>
                                  <w:sz w:val="14"/>
                                </w:rPr>
                                <w:t>to</w:t>
                              </w:r>
                              <w:r>
                                <w:rPr>
                                  <w:spacing w:val="-5"/>
                                  <w:sz w:val="14"/>
                                </w:rPr>
                                <w:t> </w:t>
                              </w:r>
                              <w:r>
                                <w:rPr>
                                  <w:sz w:val="14"/>
                                </w:rPr>
                                <w:t>benefit</w:t>
                              </w:r>
                              <w:r>
                                <w:rPr>
                                  <w:spacing w:val="-5"/>
                                  <w:sz w:val="14"/>
                                </w:rPr>
                                <w:t> </w:t>
                              </w:r>
                              <w:r>
                                <w:rPr>
                                  <w:sz w:val="14"/>
                                </w:rPr>
                                <w:t>plans</w:t>
                              </w:r>
                              <w:r>
                                <w:rPr>
                                  <w:spacing w:val="-5"/>
                                  <w:sz w:val="14"/>
                                </w:rPr>
                                <w:t> </w:t>
                              </w:r>
                              <w:r>
                                <w:rPr>
                                  <w:sz w:val="14"/>
                                </w:rPr>
                                <w:t>and</w:t>
                              </w:r>
                              <w:r>
                                <w:rPr>
                                  <w:spacing w:val="-5"/>
                                  <w:sz w:val="14"/>
                                </w:rPr>
                                <w:t> </w:t>
                              </w:r>
                              <w:r>
                                <w:rPr>
                                  <w:sz w:val="14"/>
                                </w:rPr>
                                <w:t>for</w:t>
                              </w:r>
                              <w:r>
                                <w:rPr>
                                  <w:spacing w:val="-5"/>
                                  <w:sz w:val="14"/>
                                </w:rPr>
                                <w:t> </w:t>
                              </w:r>
                              <w:r>
                                <w:rPr>
                                  <w:sz w:val="14"/>
                                </w:rPr>
                                <w:t>option</w:t>
                              </w:r>
                              <w:r>
                                <w:rPr>
                                  <w:spacing w:val="40"/>
                                  <w:sz w:val="14"/>
                                </w:rPr>
                                <w:t> </w:t>
                              </w:r>
                              <w:r>
                                <w:rPr>
                                  <w:spacing w:val="-2"/>
                                  <w:sz w:val="14"/>
                                </w:rPr>
                                <w:t>exercises</w:t>
                              </w:r>
                            </w:p>
                          </w:txbxContent>
                        </wps:txbx>
                        <wps:bodyPr wrap="square" lIns="0" tIns="0" rIns="0" bIns="0" rtlCol="0">
                          <a:noAutofit/>
                        </wps:bodyPr>
                      </wps:wsp>
                      <wps:wsp>
                        <wps:cNvPr id="268" name="Textbox 268"/>
                        <wps:cNvSpPr txBox="1"/>
                        <wps:spPr>
                          <a:xfrm>
                            <a:off x="2948395" y="98666"/>
                            <a:ext cx="57785" cy="99060"/>
                          </a:xfrm>
                          <a:prstGeom prst="rect">
                            <a:avLst/>
                          </a:prstGeom>
                        </wps:spPr>
                        <wps:txbx>
                          <w:txbxContent>
                            <w:p>
                              <w:pPr>
                                <w:spacing w:line="155" w:lineRule="exact" w:before="0"/>
                                <w:ind w:left="0" w:right="0" w:firstLine="0"/>
                                <w:jc w:val="left"/>
                                <w:rPr>
                                  <w:sz w:val="14"/>
                                </w:rPr>
                              </w:pPr>
                              <w:r>
                                <w:rPr>
                                  <w:spacing w:val="-10"/>
                                  <w:sz w:val="14"/>
                                </w:rPr>
                                <w:t>4</w:t>
                              </w:r>
                            </w:p>
                          </w:txbxContent>
                        </wps:txbx>
                        <wps:bodyPr wrap="square" lIns="0" tIns="0" rIns="0" bIns="0" rtlCol="0">
                          <a:noAutofit/>
                        </wps:bodyPr>
                      </wps:wsp>
                      <wps:wsp>
                        <wps:cNvPr id="269" name="Textbox 269"/>
                        <wps:cNvSpPr txBox="1"/>
                        <wps:spPr>
                          <a:xfrm>
                            <a:off x="3441816" y="98666"/>
                            <a:ext cx="146685" cy="99060"/>
                          </a:xfrm>
                          <a:prstGeom prst="rect">
                            <a:avLst/>
                          </a:prstGeom>
                        </wps:spPr>
                        <wps:txbx>
                          <w:txbxContent>
                            <w:p>
                              <w:pPr>
                                <w:spacing w:line="155" w:lineRule="exact" w:before="0"/>
                                <w:ind w:left="0" w:right="0" w:firstLine="0"/>
                                <w:jc w:val="left"/>
                                <w:rPr>
                                  <w:sz w:val="14"/>
                                </w:rPr>
                              </w:pPr>
                              <w:r>
                                <w:rPr>
                                  <w:spacing w:val="-5"/>
                                  <w:sz w:val="14"/>
                                </w:rPr>
                                <w:t>273</w:t>
                              </w:r>
                            </w:p>
                          </w:txbxContent>
                        </wps:txbx>
                        <wps:bodyPr wrap="square" lIns="0" tIns="0" rIns="0" bIns="0" rtlCol="0">
                          <a:noAutofit/>
                        </wps:bodyPr>
                      </wps:wsp>
                      <wps:wsp>
                        <wps:cNvPr id="270" name="Textbox 270"/>
                        <wps:cNvSpPr txBox="1"/>
                        <wps:spPr>
                          <a:xfrm>
                            <a:off x="5925101" y="98666"/>
                            <a:ext cx="146685" cy="99060"/>
                          </a:xfrm>
                          <a:prstGeom prst="rect">
                            <a:avLst/>
                          </a:prstGeom>
                        </wps:spPr>
                        <wps:txbx>
                          <w:txbxContent>
                            <w:p>
                              <w:pPr>
                                <w:spacing w:line="155" w:lineRule="exact" w:before="0"/>
                                <w:ind w:left="0" w:right="0" w:firstLine="0"/>
                                <w:jc w:val="left"/>
                                <w:rPr>
                                  <w:sz w:val="14"/>
                                </w:rPr>
                              </w:pPr>
                              <w:r>
                                <w:rPr>
                                  <w:spacing w:val="-5"/>
                                  <w:sz w:val="14"/>
                                </w:rPr>
                                <w:t>277</w:t>
                              </w:r>
                            </w:p>
                          </w:txbxContent>
                        </wps:txbx>
                        <wps:bodyPr wrap="square" lIns="0" tIns="0" rIns="0" bIns="0" rtlCol="0">
                          <a:noAutofit/>
                        </wps:bodyPr>
                      </wps:wsp>
                      <wps:wsp>
                        <wps:cNvPr id="271" name="Textbox 271"/>
                        <wps:cNvSpPr txBox="1"/>
                        <wps:spPr>
                          <a:xfrm>
                            <a:off x="7106077" y="98666"/>
                            <a:ext cx="146685" cy="99060"/>
                          </a:xfrm>
                          <a:prstGeom prst="rect">
                            <a:avLst/>
                          </a:prstGeom>
                        </wps:spPr>
                        <wps:txbx>
                          <w:txbxContent>
                            <w:p>
                              <w:pPr>
                                <w:spacing w:line="155" w:lineRule="exact" w:before="0"/>
                                <w:ind w:left="0" w:right="0" w:firstLine="0"/>
                                <w:jc w:val="left"/>
                                <w:rPr>
                                  <w:sz w:val="14"/>
                                </w:rPr>
                              </w:pPr>
                              <w:r>
                                <w:rPr>
                                  <w:spacing w:val="-5"/>
                                  <w:sz w:val="14"/>
                                </w:rPr>
                                <w:t>277</w:t>
                              </w:r>
                            </w:p>
                          </w:txbxContent>
                        </wps:txbx>
                        <wps:bodyPr wrap="square" lIns="0" tIns="0" rIns="0" bIns="0" rtlCol="0">
                          <a:noAutofit/>
                        </wps:bodyPr>
                      </wps:wsp>
                    </wpg:wgp>
                  </a:graphicData>
                </a:graphic>
              </wp:inline>
            </w:drawing>
          </mc:Choice>
          <mc:Fallback>
            <w:pict>
              <v:group style="width:575.8pt;height:15.55pt;mso-position-horizontal-relative:char;mso-position-vertical-relative:line" id="docshapegroup264" coordorigin="0,0" coordsize="11516,311">
                <v:rect style="position:absolute;left:-1;top:0;width:11516;height:306" id="docshape265" filled="true" fillcolor="#ccedff" stroked="false">
                  <v:fill type="solid"/>
                </v:rect>
                <v:shape style="position:absolute;left:0;top:2;width:2507;height:309" type="#_x0000_t202" id="docshape266" filled="false" stroked="false">
                  <v:textbox inset="0,0,0,0">
                    <w:txbxContent>
                      <w:p>
                        <w:pPr>
                          <w:spacing w:line="228" w:lineRule="auto" w:before="0"/>
                          <w:ind w:left="152" w:right="0" w:hanging="153"/>
                          <w:jc w:val="left"/>
                          <w:rPr>
                            <w:sz w:val="14"/>
                          </w:rPr>
                        </w:pPr>
                        <w:r>
                          <w:rPr>
                            <w:sz w:val="14"/>
                          </w:rPr>
                          <w:t>Shares</w:t>
                        </w:r>
                        <w:r>
                          <w:rPr>
                            <w:spacing w:val="-5"/>
                            <w:sz w:val="14"/>
                          </w:rPr>
                          <w:t> </w:t>
                        </w:r>
                        <w:r>
                          <w:rPr>
                            <w:sz w:val="14"/>
                          </w:rPr>
                          <w:t>issued</w:t>
                        </w:r>
                        <w:r>
                          <w:rPr>
                            <w:spacing w:val="-5"/>
                            <w:sz w:val="14"/>
                          </w:rPr>
                          <w:t> </w:t>
                        </w:r>
                        <w:r>
                          <w:rPr>
                            <w:sz w:val="14"/>
                          </w:rPr>
                          <w:t>to</w:t>
                        </w:r>
                        <w:r>
                          <w:rPr>
                            <w:spacing w:val="-5"/>
                            <w:sz w:val="14"/>
                          </w:rPr>
                          <w:t> </w:t>
                        </w:r>
                        <w:r>
                          <w:rPr>
                            <w:sz w:val="14"/>
                          </w:rPr>
                          <w:t>benefit</w:t>
                        </w:r>
                        <w:r>
                          <w:rPr>
                            <w:spacing w:val="-5"/>
                            <w:sz w:val="14"/>
                          </w:rPr>
                          <w:t> </w:t>
                        </w:r>
                        <w:r>
                          <w:rPr>
                            <w:sz w:val="14"/>
                          </w:rPr>
                          <w:t>plans</w:t>
                        </w:r>
                        <w:r>
                          <w:rPr>
                            <w:spacing w:val="-5"/>
                            <w:sz w:val="14"/>
                          </w:rPr>
                          <w:t> </w:t>
                        </w:r>
                        <w:r>
                          <w:rPr>
                            <w:sz w:val="14"/>
                          </w:rPr>
                          <w:t>and</w:t>
                        </w:r>
                        <w:r>
                          <w:rPr>
                            <w:spacing w:val="-5"/>
                            <w:sz w:val="14"/>
                          </w:rPr>
                          <w:t> </w:t>
                        </w:r>
                        <w:r>
                          <w:rPr>
                            <w:sz w:val="14"/>
                          </w:rPr>
                          <w:t>for</w:t>
                        </w:r>
                        <w:r>
                          <w:rPr>
                            <w:spacing w:val="-5"/>
                            <w:sz w:val="14"/>
                          </w:rPr>
                          <w:t> </w:t>
                        </w:r>
                        <w:r>
                          <w:rPr>
                            <w:sz w:val="14"/>
                          </w:rPr>
                          <w:t>option</w:t>
                        </w:r>
                        <w:r>
                          <w:rPr>
                            <w:spacing w:val="40"/>
                            <w:sz w:val="14"/>
                          </w:rPr>
                          <w:t> </w:t>
                        </w:r>
                        <w:r>
                          <w:rPr>
                            <w:spacing w:val="-2"/>
                            <w:sz w:val="14"/>
                          </w:rPr>
                          <w:t>exercises</w:t>
                        </w:r>
                      </w:p>
                    </w:txbxContent>
                  </v:textbox>
                  <w10:wrap type="none"/>
                </v:shape>
                <v:shape style="position:absolute;left:4643;top:155;width:91;height:156" type="#_x0000_t202" id="docshape267" filled="false" stroked="false">
                  <v:textbox inset="0,0,0,0">
                    <w:txbxContent>
                      <w:p>
                        <w:pPr>
                          <w:spacing w:line="155" w:lineRule="exact" w:before="0"/>
                          <w:ind w:left="0" w:right="0" w:firstLine="0"/>
                          <w:jc w:val="left"/>
                          <w:rPr>
                            <w:sz w:val="14"/>
                          </w:rPr>
                        </w:pPr>
                        <w:r>
                          <w:rPr>
                            <w:spacing w:val="-10"/>
                            <w:sz w:val="14"/>
                          </w:rPr>
                          <w:t>4</w:t>
                        </w:r>
                      </w:p>
                    </w:txbxContent>
                  </v:textbox>
                  <w10:wrap type="none"/>
                </v:shape>
                <v:shape style="position:absolute;left:5420;top:155;width:231;height:156" type="#_x0000_t202" id="docshape268" filled="false" stroked="false">
                  <v:textbox inset="0,0,0,0">
                    <w:txbxContent>
                      <w:p>
                        <w:pPr>
                          <w:spacing w:line="155" w:lineRule="exact" w:before="0"/>
                          <w:ind w:left="0" w:right="0" w:firstLine="0"/>
                          <w:jc w:val="left"/>
                          <w:rPr>
                            <w:sz w:val="14"/>
                          </w:rPr>
                        </w:pPr>
                        <w:r>
                          <w:rPr>
                            <w:spacing w:val="-5"/>
                            <w:sz w:val="14"/>
                          </w:rPr>
                          <w:t>273</w:t>
                        </w:r>
                      </w:p>
                    </w:txbxContent>
                  </v:textbox>
                  <w10:wrap type="none"/>
                </v:shape>
                <v:shape style="position:absolute;left:9330;top:155;width:231;height:156" type="#_x0000_t202" id="docshape269" filled="false" stroked="false">
                  <v:textbox inset="0,0,0,0">
                    <w:txbxContent>
                      <w:p>
                        <w:pPr>
                          <w:spacing w:line="155" w:lineRule="exact" w:before="0"/>
                          <w:ind w:left="0" w:right="0" w:firstLine="0"/>
                          <w:jc w:val="left"/>
                          <w:rPr>
                            <w:sz w:val="14"/>
                          </w:rPr>
                        </w:pPr>
                        <w:r>
                          <w:rPr>
                            <w:spacing w:val="-5"/>
                            <w:sz w:val="14"/>
                          </w:rPr>
                          <w:t>277</w:t>
                        </w:r>
                      </w:p>
                    </w:txbxContent>
                  </v:textbox>
                  <w10:wrap type="none"/>
                </v:shape>
                <v:shape style="position:absolute;left:11190;top:155;width:231;height:156" type="#_x0000_t202" id="docshape270" filled="false" stroked="false">
                  <v:textbox inset="0,0,0,0">
                    <w:txbxContent>
                      <w:p>
                        <w:pPr>
                          <w:spacing w:line="155" w:lineRule="exact" w:before="0"/>
                          <w:ind w:left="0" w:right="0" w:firstLine="0"/>
                          <w:jc w:val="left"/>
                          <w:rPr>
                            <w:sz w:val="14"/>
                          </w:rPr>
                        </w:pPr>
                        <w:r>
                          <w:rPr>
                            <w:spacing w:val="-5"/>
                            <w:sz w:val="14"/>
                          </w:rPr>
                          <w:t>277</w:t>
                        </w:r>
                      </w:p>
                    </w:txbxContent>
                  </v:textbox>
                  <w10:wrap type="none"/>
                </v:shape>
              </v:group>
            </w:pict>
          </mc:Fallback>
        </mc:AlternateContent>
      </w:r>
      <w:r>
        <w:rPr>
          <w:sz w:val="20"/>
        </w:rPr>
      </w:r>
    </w:p>
    <w:p>
      <w:pPr>
        <w:tabs>
          <w:tab w:pos="6447" w:val="left" w:leader="none"/>
          <w:tab w:pos="9440" w:val="left" w:leader="none"/>
          <w:tab w:pos="11300" w:val="left" w:leader="none"/>
        </w:tabs>
        <w:spacing w:before="0"/>
        <w:ind w:left="156" w:right="0" w:firstLine="0"/>
        <w:jc w:val="left"/>
        <w:rPr>
          <w:sz w:val="14"/>
        </w:rPr>
      </w:pPr>
      <w:r>
        <w:rPr/>
        <mc:AlternateContent>
          <mc:Choice Requires="wps">
            <w:drawing>
              <wp:anchor distT="0" distB="0" distL="0" distR="0" allowOverlap="1" layoutInCell="1" locked="0" behindDoc="0" simplePos="0" relativeHeight="15802880">
                <wp:simplePos x="0" y="0"/>
                <wp:positionH relativeFrom="page">
                  <wp:posOffset>226488</wp:posOffset>
                </wp:positionH>
                <wp:positionV relativeFrom="paragraph">
                  <wp:posOffset>72136</wp:posOffset>
                </wp:positionV>
                <wp:extent cx="7312659" cy="9715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7312659" cy="97155"/>
                        </a:xfrm>
                        <a:prstGeom prst="rect">
                          <a:avLst/>
                        </a:prstGeom>
                        <a:solidFill>
                          <a:srgbClr val="CCEDFF"/>
                        </a:solidFill>
                      </wps:spPr>
                      <wps:txbx>
                        <w:txbxContent>
                          <w:p>
                            <w:pPr>
                              <w:tabs>
                                <w:tab w:pos="6360" w:val="left" w:leader="none"/>
                                <w:tab w:pos="9354" w:val="left" w:leader="none"/>
                                <w:tab w:pos="11214" w:val="left" w:leader="none"/>
                              </w:tabs>
                              <w:spacing w:line="153" w:lineRule="exact" w:before="0"/>
                              <w:ind w:left="0" w:right="0" w:firstLine="0"/>
                              <w:jc w:val="left"/>
                              <w:rPr>
                                <w:color w:val="000000"/>
                                <w:sz w:val="14"/>
                              </w:rPr>
                            </w:pPr>
                            <w:r>
                              <w:rPr>
                                <w:color w:val="000000"/>
                                <w:sz w:val="14"/>
                              </w:rPr>
                              <w:t>Preferred</w:t>
                            </w:r>
                            <w:r>
                              <w:rPr>
                                <w:color w:val="000000"/>
                                <w:spacing w:val="-3"/>
                                <w:sz w:val="14"/>
                              </w:rPr>
                              <w:t> </w:t>
                            </w:r>
                            <w:r>
                              <w:rPr>
                                <w:color w:val="000000"/>
                                <w:sz w:val="14"/>
                              </w:rPr>
                              <w:t>dividends</w:t>
                            </w:r>
                            <w:r>
                              <w:rPr>
                                <w:color w:val="000000"/>
                                <w:spacing w:val="-3"/>
                                <w:sz w:val="14"/>
                              </w:rPr>
                              <w:t> </w:t>
                            </w:r>
                            <w:r>
                              <w:rPr>
                                <w:color w:val="000000"/>
                                <w:sz w:val="14"/>
                              </w:rPr>
                              <w:t>($10,625</w:t>
                            </w:r>
                            <w:r>
                              <w:rPr>
                                <w:color w:val="000000"/>
                                <w:spacing w:val="-4"/>
                                <w:sz w:val="14"/>
                              </w:rPr>
                              <w:t> </w:t>
                            </w:r>
                            <w:r>
                              <w:rPr>
                                <w:color w:val="000000"/>
                                <w:sz w:val="14"/>
                              </w:rPr>
                              <w:t>per</w:t>
                            </w:r>
                            <w:r>
                              <w:rPr>
                                <w:color w:val="000000"/>
                                <w:spacing w:val="-3"/>
                                <w:sz w:val="14"/>
                              </w:rPr>
                              <w:t> </w:t>
                            </w:r>
                            <w:r>
                              <w:rPr>
                                <w:color w:val="000000"/>
                                <w:spacing w:val="-2"/>
                                <w:sz w:val="14"/>
                              </w:rPr>
                              <w:t>share)</w:t>
                            </w:r>
                            <w:r>
                              <w:rPr>
                                <w:color w:val="000000"/>
                                <w:sz w:val="14"/>
                              </w:rPr>
                              <w:tab/>
                            </w:r>
                            <w:r>
                              <w:rPr>
                                <w:color w:val="000000"/>
                                <w:spacing w:val="-4"/>
                                <w:sz w:val="14"/>
                              </w:rPr>
                              <w:t>(24)</w:t>
                            </w:r>
                            <w:r>
                              <w:rPr>
                                <w:color w:val="000000"/>
                                <w:sz w:val="14"/>
                              </w:rPr>
                              <w:tab/>
                            </w:r>
                            <w:r>
                              <w:rPr>
                                <w:color w:val="000000"/>
                                <w:spacing w:val="-4"/>
                                <w:sz w:val="14"/>
                              </w:rPr>
                              <w:t>(24)</w:t>
                            </w:r>
                            <w:r>
                              <w:rPr>
                                <w:color w:val="000000"/>
                                <w:sz w:val="14"/>
                              </w:rPr>
                              <w:tab/>
                            </w:r>
                            <w:r>
                              <w:rPr>
                                <w:color w:val="000000"/>
                                <w:spacing w:val="-4"/>
                                <w:sz w:val="14"/>
                              </w:rPr>
                              <w:t>(24)</w:t>
                            </w:r>
                          </w:p>
                        </w:txbxContent>
                      </wps:txbx>
                      <wps:bodyPr wrap="square" lIns="0" tIns="0" rIns="0" bIns="0" rtlCol="0">
                        <a:noAutofit/>
                      </wps:bodyPr>
                    </wps:wsp>
                  </a:graphicData>
                </a:graphic>
              </wp:anchor>
            </w:drawing>
          </mc:Choice>
          <mc:Fallback>
            <w:pict>
              <v:shape style="position:absolute;margin-left:17.833740pt;margin-top:5.680066pt;width:575.8pt;height:7.65pt;mso-position-horizontal-relative:page;mso-position-vertical-relative:paragraph;z-index:15802880" type="#_x0000_t202" id="docshape271" filled="true" fillcolor="#ccedff" stroked="false">
                <v:textbox inset="0,0,0,0">
                  <w:txbxContent>
                    <w:p>
                      <w:pPr>
                        <w:tabs>
                          <w:tab w:pos="6360" w:val="left" w:leader="none"/>
                          <w:tab w:pos="9354" w:val="left" w:leader="none"/>
                          <w:tab w:pos="11214" w:val="left" w:leader="none"/>
                        </w:tabs>
                        <w:spacing w:line="153" w:lineRule="exact" w:before="0"/>
                        <w:ind w:left="0" w:right="0" w:firstLine="0"/>
                        <w:jc w:val="left"/>
                        <w:rPr>
                          <w:color w:val="000000"/>
                          <w:sz w:val="14"/>
                        </w:rPr>
                      </w:pPr>
                      <w:r>
                        <w:rPr>
                          <w:color w:val="000000"/>
                          <w:sz w:val="14"/>
                        </w:rPr>
                        <w:t>Preferred</w:t>
                      </w:r>
                      <w:r>
                        <w:rPr>
                          <w:color w:val="000000"/>
                          <w:spacing w:val="-3"/>
                          <w:sz w:val="14"/>
                        </w:rPr>
                        <w:t> </w:t>
                      </w:r>
                      <w:r>
                        <w:rPr>
                          <w:color w:val="000000"/>
                          <w:sz w:val="14"/>
                        </w:rPr>
                        <w:t>dividends</w:t>
                      </w:r>
                      <w:r>
                        <w:rPr>
                          <w:color w:val="000000"/>
                          <w:spacing w:val="-3"/>
                          <w:sz w:val="14"/>
                        </w:rPr>
                        <w:t> </w:t>
                      </w:r>
                      <w:r>
                        <w:rPr>
                          <w:color w:val="000000"/>
                          <w:sz w:val="14"/>
                        </w:rPr>
                        <w:t>($10,625</w:t>
                      </w:r>
                      <w:r>
                        <w:rPr>
                          <w:color w:val="000000"/>
                          <w:spacing w:val="-4"/>
                          <w:sz w:val="14"/>
                        </w:rPr>
                        <w:t> </w:t>
                      </w:r>
                      <w:r>
                        <w:rPr>
                          <w:color w:val="000000"/>
                          <w:sz w:val="14"/>
                        </w:rPr>
                        <w:t>per</w:t>
                      </w:r>
                      <w:r>
                        <w:rPr>
                          <w:color w:val="000000"/>
                          <w:spacing w:val="-3"/>
                          <w:sz w:val="14"/>
                        </w:rPr>
                        <w:t> </w:t>
                      </w:r>
                      <w:r>
                        <w:rPr>
                          <w:color w:val="000000"/>
                          <w:spacing w:val="-2"/>
                          <w:sz w:val="14"/>
                        </w:rPr>
                        <w:t>share)</w:t>
                      </w:r>
                      <w:r>
                        <w:rPr>
                          <w:color w:val="000000"/>
                          <w:sz w:val="14"/>
                        </w:rPr>
                        <w:tab/>
                      </w:r>
                      <w:r>
                        <w:rPr>
                          <w:color w:val="000000"/>
                          <w:spacing w:val="-4"/>
                          <w:sz w:val="14"/>
                        </w:rPr>
                        <w:t>(24)</w:t>
                      </w:r>
                      <w:r>
                        <w:rPr>
                          <w:color w:val="000000"/>
                          <w:sz w:val="14"/>
                        </w:rPr>
                        <w:tab/>
                      </w:r>
                      <w:r>
                        <w:rPr>
                          <w:color w:val="000000"/>
                          <w:spacing w:val="-4"/>
                          <w:sz w:val="14"/>
                        </w:rPr>
                        <w:t>(24)</w:t>
                      </w:r>
                      <w:r>
                        <w:rPr>
                          <w:color w:val="000000"/>
                          <w:sz w:val="14"/>
                        </w:rPr>
                        <w:tab/>
                      </w:r>
                      <w:r>
                        <w:rPr>
                          <w:color w:val="000000"/>
                          <w:spacing w:val="-4"/>
                          <w:sz w:val="14"/>
                        </w:rPr>
                        <w:t>(24)</w:t>
                      </w:r>
                    </w:p>
                  </w:txbxContent>
                </v:textbox>
                <v:fill type="solid"/>
                <w10:wrap type="none"/>
              </v:shape>
            </w:pict>
          </mc:Fallback>
        </mc:AlternateContent>
      </w:r>
      <w:r>
        <w:rPr>
          <w:sz w:val="14"/>
        </w:rPr>
        <w:t>Common</w:t>
      </w:r>
      <w:r>
        <w:rPr>
          <w:spacing w:val="-3"/>
          <w:sz w:val="14"/>
        </w:rPr>
        <w:t> </w:t>
      </w:r>
      <w:r>
        <w:rPr>
          <w:sz w:val="14"/>
        </w:rPr>
        <w:t>dividends</w:t>
      </w:r>
      <w:r>
        <w:rPr>
          <w:spacing w:val="-3"/>
          <w:sz w:val="14"/>
        </w:rPr>
        <w:t> </w:t>
      </w:r>
      <w:r>
        <w:rPr>
          <w:sz w:val="14"/>
        </w:rPr>
        <w:t>($0.96</w:t>
      </w:r>
      <w:r>
        <w:rPr>
          <w:spacing w:val="-3"/>
          <w:sz w:val="14"/>
        </w:rPr>
        <w:t> </w:t>
      </w:r>
      <w:r>
        <w:rPr>
          <w:sz w:val="14"/>
        </w:rPr>
        <w:t>per</w:t>
      </w:r>
      <w:r>
        <w:rPr>
          <w:spacing w:val="-3"/>
          <w:sz w:val="14"/>
        </w:rPr>
        <w:t> </w:t>
      </w:r>
      <w:r>
        <w:rPr>
          <w:spacing w:val="-2"/>
          <w:sz w:val="14"/>
        </w:rPr>
        <w:t>share)</w:t>
      </w:r>
      <w:r>
        <w:rPr>
          <w:sz w:val="14"/>
        </w:rPr>
        <w:tab/>
      </w:r>
      <w:r>
        <w:rPr>
          <w:spacing w:val="-2"/>
          <w:sz w:val="14"/>
        </w:rPr>
        <w:t>(812)</w:t>
      </w:r>
      <w:r>
        <w:rPr>
          <w:sz w:val="14"/>
        </w:rPr>
        <w:tab/>
      </w:r>
      <w:r>
        <w:rPr>
          <w:spacing w:val="-2"/>
          <w:sz w:val="14"/>
        </w:rPr>
        <w:t>(812)</w:t>
      </w:r>
      <w:r>
        <w:rPr>
          <w:sz w:val="14"/>
        </w:rPr>
        <w:tab/>
      </w:r>
      <w:r>
        <w:rPr>
          <w:spacing w:val="-2"/>
          <w:sz w:val="14"/>
        </w:rPr>
        <w:t>(812)</w:t>
      </w:r>
    </w:p>
    <w:p>
      <w:pPr>
        <w:tabs>
          <w:tab w:pos="6634" w:val="left" w:leader="none"/>
          <w:tab w:pos="7434" w:val="left" w:leader="none"/>
          <w:tab w:pos="9510" w:val="left" w:leader="none"/>
          <w:tab w:pos="10523" w:val="left" w:leader="none"/>
          <w:tab w:pos="11370" w:val="left" w:leader="none"/>
        </w:tabs>
        <w:spacing w:before="102"/>
        <w:ind w:left="156" w:right="0" w:firstLine="0"/>
        <w:jc w:val="left"/>
        <w:rPr>
          <w:sz w:val="14"/>
        </w:rPr>
      </w:pPr>
      <w:r>
        <w:rPr>
          <w:sz w:val="14"/>
        </w:rPr>
        <w:t>Other,</w:t>
      </w:r>
      <w:r>
        <w:rPr>
          <w:spacing w:val="-6"/>
          <w:sz w:val="14"/>
        </w:rPr>
        <w:t> </w:t>
      </w:r>
      <w:r>
        <w:rPr>
          <w:spacing w:val="-5"/>
          <w:sz w:val="14"/>
        </w:rPr>
        <w:t>net</w:t>
      </w:r>
      <w:r>
        <w:rPr>
          <w:sz w:val="14"/>
        </w:rPr>
        <w:tab/>
      </w:r>
      <w:r>
        <w:rPr>
          <w:spacing w:val="-10"/>
          <w:sz w:val="14"/>
        </w:rPr>
        <w:t>2</w:t>
      </w:r>
      <w:r>
        <w:rPr>
          <w:sz w:val="14"/>
        </w:rPr>
        <w:tab/>
      </w:r>
      <w:r>
        <w:rPr>
          <w:spacing w:val="-4"/>
          <w:sz w:val="14"/>
        </w:rPr>
        <w:t>(61)</w:t>
      </w:r>
      <w:r>
        <w:rPr>
          <w:sz w:val="14"/>
        </w:rPr>
        <w:tab/>
      </w:r>
      <w:r>
        <w:rPr>
          <w:spacing w:val="-4"/>
          <w:sz w:val="14"/>
        </w:rPr>
        <w:t>(59)</w:t>
      </w:r>
      <w:r>
        <w:rPr>
          <w:sz w:val="14"/>
        </w:rPr>
        <w:tab/>
      </w:r>
      <w:r>
        <w:rPr>
          <w:spacing w:val="-5"/>
          <w:sz w:val="14"/>
        </w:rPr>
        <w:t>(7)</w:t>
      </w:r>
      <w:r>
        <w:rPr>
          <w:sz w:val="14"/>
        </w:rPr>
        <w:tab/>
      </w:r>
      <w:r>
        <w:rPr>
          <w:spacing w:val="-4"/>
          <w:sz w:val="14"/>
        </w:rPr>
        <w:t>(66)</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6"/>
        <w:gridCol w:w="357"/>
        <w:gridCol w:w="561"/>
        <w:gridCol w:w="344"/>
        <w:gridCol w:w="573"/>
        <w:gridCol w:w="344"/>
        <w:gridCol w:w="573"/>
        <w:gridCol w:w="344"/>
        <w:gridCol w:w="573"/>
        <w:gridCol w:w="369"/>
        <w:gridCol w:w="713"/>
        <w:gridCol w:w="344"/>
        <w:gridCol w:w="650"/>
        <w:gridCol w:w="370"/>
        <w:gridCol w:w="574"/>
        <w:gridCol w:w="345"/>
        <w:gridCol w:w="689"/>
      </w:tblGrid>
      <w:tr>
        <w:trPr>
          <w:trHeight w:val="148" w:hRule="atLeast"/>
        </w:trPr>
        <w:tc>
          <w:tcPr>
            <w:tcW w:w="3796" w:type="dxa"/>
            <w:tcBorders>
              <w:top w:val="single" w:sz="6" w:space="0" w:color="000000"/>
              <w:bottom w:val="double" w:sz="6" w:space="0" w:color="000000"/>
            </w:tcBorders>
            <w:shd w:val="clear" w:color="auto" w:fill="CCEDFF"/>
          </w:tcPr>
          <w:p>
            <w:pPr>
              <w:pStyle w:val="TableParagraph"/>
              <w:tabs>
                <w:tab w:pos="3108" w:val="left" w:leader="none"/>
                <w:tab w:pos="3749" w:val="left" w:leader="none"/>
              </w:tabs>
              <w:spacing w:line="128" w:lineRule="exact"/>
              <w:ind w:right="-15"/>
              <w:rPr>
                <w:b/>
                <w:sz w:val="14"/>
              </w:rPr>
            </w:pPr>
            <w:r>
              <w:rPr>
                <w:b/>
                <w:sz w:val="14"/>
              </w:rPr>
              <w:t>Balance at December 31, </w:t>
            </w:r>
            <w:r>
              <w:rPr>
                <w:b/>
                <w:spacing w:val="-4"/>
                <w:sz w:val="14"/>
              </w:rPr>
              <w:t>2021</w:t>
            </w:r>
            <w:r>
              <w:rPr>
                <w:b/>
                <w:sz w:val="14"/>
              </w:rPr>
              <w:tab/>
            </w:r>
            <w:r>
              <w:rPr>
                <w:b/>
                <w:spacing w:val="-10"/>
                <w:sz w:val="14"/>
              </w:rPr>
              <w:t>$</w:t>
            </w:r>
            <w:r>
              <w:rPr>
                <w:b/>
                <w:sz w:val="14"/>
              </w:rPr>
              <w:tab/>
            </w:r>
            <w:r>
              <w:rPr>
                <w:b/>
                <w:spacing w:val="-10"/>
                <w:sz w:val="14"/>
              </w:rPr>
              <w:t>-</w:t>
            </w:r>
          </w:p>
        </w:tc>
        <w:tc>
          <w:tcPr>
            <w:tcW w:w="357" w:type="dxa"/>
            <w:tcBorders>
              <w:top w:val="single" w:sz="6" w:space="0" w:color="000000"/>
            </w:tcBorders>
          </w:tcPr>
          <w:p>
            <w:pPr>
              <w:pStyle w:val="TableParagraph"/>
              <w:spacing w:line="147" w:lineRule="exact"/>
              <w:ind w:left="229"/>
              <w:rPr>
                <w:b/>
                <w:sz w:val="14"/>
              </w:rPr>
            </w:pPr>
            <w:r>
              <w:rPr/>
              <mc:AlternateContent>
                <mc:Choice Requires="wps">
                  <w:drawing>
                    <wp:anchor distT="0" distB="0" distL="0" distR="0" allowOverlap="1" layoutInCell="1" locked="0" behindDoc="1" simplePos="0" relativeHeight="474087424">
                      <wp:simplePos x="0" y="0"/>
                      <wp:positionH relativeFrom="column">
                        <wp:posOffset>0</wp:posOffset>
                      </wp:positionH>
                      <wp:positionV relativeFrom="paragraph">
                        <wp:posOffset>-3670</wp:posOffset>
                      </wp:positionV>
                      <wp:extent cx="226695" cy="12192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226695" cy="121920"/>
                                <a:chExt cx="226695" cy="121920"/>
                              </a:xfrm>
                            </wpg:grpSpPr>
                            <pic:pic>
                              <pic:nvPicPr>
                                <pic:cNvPr id="274" name="Image 274"/>
                                <pic:cNvPicPr/>
                              </pic:nvPicPr>
                              <pic:blipFill>
                                <a:blip r:embed="rId86" cstate="print"/>
                                <a:stretch>
                                  <a:fillRect/>
                                </a:stretch>
                              </pic:blipFill>
                              <pic:spPr>
                                <a:xfrm>
                                  <a:off x="0" y="0"/>
                                  <a:ext cx="226694" cy="121443"/>
                                </a:xfrm>
                                <a:prstGeom prst="rect">
                                  <a:avLst/>
                                </a:prstGeom>
                              </pic:spPr>
                            </pic:pic>
                          </wpg:wgp>
                        </a:graphicData>
                      </a:graphic>
                    </wp:anchor>
                  </w:drawing>
                </mc:Choice>
                <mc:Fallback>
                  <w:pict>
                    <v:group style="position:absolute;margin-left:0pt;margin-top:-.289044pt;width:17.850pt;height:9.6pt;mso-position-horizontal-relative:column;mso-position-vertical-relative:paragraph;z-index:-29229056" id="docshapegroup272" coordorigin="0,-6" coordsize="357,192">
                      <v:shape style="position:absolute;left:0;top:-6;width:357;height:192" type="#_x0000_t75" id="docshape273" stroked="false">
                        <v:imagedata r:id="rId86" o:title=""/>
                      </v:shape>
                      <w10:wrap type="none"/>
                    </v:group>
                  </w:pict>
                </mc:Fallback>
              </mc:AlternateContent>
            </w:r>
            <w:r>
              <w:rPr>
                <w:b/>
                <w:spacing w:val="-10"/>
                <w:sz w:val="14"/>
              </w:rPr>
              <w:t>$</w:t>
            </w:r>
          </w:p>
        </w:tc>
        <w:tc>
          <w:tcPr>
            <w:tcW w:w="561" w:type="dxa"/>
            <w:tcBorders>
              <w:top w:val="single" w:sz="6" w:space="0" w:color="000000"/>
              <w:bottom w:val="double" w:sz="6" w:space="0" w:color="000000"/>
            </w:tcBorders>
            <w:shd w:val="clear" w:color="auto" w:fill="CCEDFF"/>
          </w:tcPr>
          <w:p>
            <w:pPr>
              <w:pStyle w:val="TableParagraph"/>
              <w:spacing w:line="128" w:lineRule="exact"/>
              <w:ind w:left="350"/>
              <w:rPr>
                <w:b/>
                <w:sz w:val="14"/>
              </w:rPr>
            </w:pPr>
            <w:r>
              <w:rPr>
                <w:b/>
                <w:spacing w:val="-5"/>
                <w:sz w:val="14"/>
              </w:rPr>
              <w:t>907</w:t>
            </w:r>
          </w:p>
        </w:tc>
        <w:tc>
          <w:tcPr>
            <w:tcW w:w="344" w:type="dxa"/>
            <w:tcBorders>
              <w:top w:val="single" w:sz="6" w:space="0" w:color="000000"/>
            </w:tcBorders>
          </w:tcPr>
          <w:p>
            <w:pPr>
              <w:pStyle w:val="TableParagraph"/>
              <w:spacing w:line="147" w:lineRule="exact"/>
              <w:ind w:left="228"/>
              <w:rPr>
                <w:b/>
                <w:sz w:val="14"/>
              </w:rPr>
            </w:pPr>
            <w:r>
              <w:rPr/>
              <mc:AlternateContent>
                <mc:Choice Requires="wps">
                  <w:drawing>
                    <wp:anchor distT="0" distB="0" distL="0" distR="0" allowOverlap="1" layoutInCell="1" locked="0" behindDoc="1" simplePos="0" relativeHeight="474087936">
                      <wp:simplePos x="0" y="0"/>
                      <wp:positionH relativeFrom="column">
                        <wp:posOffset>0</wp:posOffset>
                      </wp:positionH>
                      <wp:positionV relativeFrom="paragraph">
                        <wp:posOffset>-3670</wp:posOffset>
                      </wp:positionV>
                      <wp:extent cx="218440" cy="121920"/>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218440" cy="121920"/>
                                <a:chExt cx="218440" cy="121920"/>
                              </a:xfrm>
                            </wpg:grpSpPr>
                            <pic:pic>
                              <pic:nvPicPr>
                                <pic:cNvPr id="276" name="Image 276"/>
                                <pic:cNvPicPr/>
                              </pic:nvPicPr>
                              <pic:blipFill>
                                <a:blip r:embed="rId87" cstate="print"/>
                                <a:stretch>
                                  <a:fillRect/>
                                </a:stretch>
                              </pic:blipFill>
                              <pic:spPr>
                                <a:xfrm>
                                  <a:off x="0" y="0"/>
                                  <a:ext cx="218598" cy="121443"/>
                                </a:xfrm>
                                <a:prstGeom prst="rect">
                                  <a:avLst/>
                                </a:prstGeom>
                              </pic:spPr>
                            </pic:pic>
                          </wpg:wgp>
                        </a:graphicData>
                      </a:graphic>
                    </wp:anchor>
                  </w:drawing>
                </mc:Choice>
                <mc:Fallback>
                  <w:pict>
                    <v:group style="position:absolute;margin-left:0pt;margin-top:-.289044pt;width:17.2pt;height:9.6pt;mso-position-horizontal-relative:column;mso-position-vertical-relative:paragraph;z-index:-29228544" id="docshapegroup274" coordorigin="0,-6" coordsize="344,192">
                      <v:shape style="position:absolute;left:0;top:-6;width:345;height:192" type="#_x0000_t75" id="docshape275" stroked="false">
                        <v:imagedata r:id="rId87" o:title=""/>
                      </v:shape>
                      <w10:wrap type="none"/>
                    </v:group>
                  </w:pict>
                </mc:Fallback>
              </mc:AlternateContent>
            </w:r>
            <w:r>
              <w:rPr>
                <w:b/>
                <w:spacing w:val="-10"/>
                <w:sz w:val="14"/>
              </w:rPr>
              <w:t>$</w:t>
            </w:r>
          </w:p>
        </w:tc>
        <w:tc>
          <w:tcPr>
            <w:tcW w:w="573" w:type="dxa"/>
            <w:tcBorders>
              <w:top w:val="single" w:sz="6" w:space="0" w:color="000000"/>
              <w:bottom w:val="double" w:sz="6" w:space="0" w:color="000000"/>
            </w:tcBorders>
            <w:shd w:val="clear" w:color="auto" w:fill="CCEDFF"/>
          </w:tcPr>
          <w:p>
            <w:pPr>
              <w:pStyle w:val="TableParagraph"/>
              <w:spacing w:line="128" w:lineRule="exact"/>
              <w:ind w:left="187"/>
              <w:rPr>
                <w:b/>
                <w:sz w:val="14"/>
              </w:rPr>
            </w:pPr>
            <w:r>
              <w:rPr>
                <w:b/>
                <w:spacing w:val="-2"/>
                <w:sz w:val="14"/>
              </w:rPr>
              <w:t>16,475</w:t>
            </w:r>
          </w:p>
        </w:tc>
        <w:tc>
          <w:tcPr>
            <w:tcW w:w="344" w:type="dxa"/>
            <w:tcBorders>
              <w:top w:val="single" w:sz="6" w:space="0" w:color="000000"/>
            </w:tcBorders>
          </w:tcPr>
          <w:p>
            <w:pPr>
              <w:pStyle w:val="TableParagraph"/>
              <w:spacing w:line="147" w:lineRule="exact"/>
              <w:ind w:left="228"/>
              <w:rPr>
                <w:b/>
                <w:sz w:val="14"/>
              </w:rPr>
            </w:pPr>
            <w:r>
              <w:rPr/>
              <mc:AlternateContent>
                <mc:Choice Requires="wps">
                  <w:drawing>
                    <wp:anchor distT="0" distB="0" distL="0" distR="0" allowOverlap="1" layoutInCell="1" locked="0" behindDoc="1" simplePos="0" relativeHeight="474088448">
                      <wp:simplePos x="0" y="0"/>
                      <wp:positionH relativeFrom="column">
                        <wp:posOffset>0</wp:posOffset>
                      </wp:positionH>
                      <wp:positionV relativeFrom="paragraph">
                        <wp:posOffset>-3670</wp:posOffset>
                      </wp:positionV>
                      <wp:extent cx="218440" cy="121920"/>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218440" cy="121920"/>
                                <a:chExt cx="218440" cy="121920"/>
                              </a:xfrm>
                            </wpg:grpSpPr>
                            <pic:pic>
                              <pic:nvPicPr>
                                <pic:cNvPr id="278" name="Image 278"/>
                                <pic:cNvPicPr/>
                              </pic:nvPicPr>
                              <pic:blipFill>
                                <a:blip r:embed="rId87" cstate="print"/>
                                <a:stretch>
                                  <a:fillRect/>
                                </a:stretch>
                              </pic:blipFill>
                              <pic:spPr>
                                <a:xfrm>
                                  <a:off x="0" y="0"/>
                                  <a:ext cx="218598" cy="121443"/>
                                </a:xfrm>
                                <a:prstGeom prst="rect">
                                  <a:avLst/>
                                </a:prstGeom>
                              </pic:spPr>
                            </pic:pic>
                          </wpg:wgp>
                        </a:graphicData>
                      </a:graphic>
                    </wp:anchor>
                  </w:drawing>
                </mc:Choice>
                <mc:Fallback>
                  <w:pict>
                    <v:group style="position:absolute;margin-left:0pt;margin-top:-.289044pt;width:17.2pt;height:9.6pt;mso-position-horizontal-relative:column;mso-position-vertical-relative:paragraph;z-index:-29228032" id="docshapegroup276" coordorigin="0,-6" coordsize="344,192">
                      <v:shape style="position:absolute;left:0;top:-6;width:345;height:192" type="#_x0000_t75" id="docshape277" stroked="false">
                        <v:imagedata r:id="rId87" o:title=""/>
                      </v:shape>
                      <w10:wrap type="none"/>
                    </v:group>
                  </w:pict>
                </mc:Fallback>
              </mc:AlternateContent>
            </w:r>
            <w:r>
              <w:rPr>
                <w:b/>
                <w:spacing w:val="-10"/>
                <w:sz w:val="14"/>
              </w:rPr>
              <w:t>$</w:t>
            </w:r>
          </w:p>
        </w:tc>
        <w:tc>
          <w:tcPr>
            <w:tcW w:w="573" w:type="dxa"/>
            <w:tcBorders>
              <w:top w:val="single" w:sz="6" w:space="0" w:color="000000"/>
              <w:bottom w:val="double" w:sz="6" w:space="0" w:color="000000"/>
            </w:tcBorders>
            <w:shd w:val="clear" w:color="auto" w:fill="CCEDFF"/>
          </w:tcPr>
          <w:p>
            <w:pPr>
              <w:pStyle w:val="TableParagraph"/>
              <w:spacing w:line="128" w:lineRule="exact"/>
              <w:ind w:left="187"/>
              <w:rPr>
                <w:b/>
                <w:sz w:val="14"/>
              </w:rPr>
            </w:pPr>
            <w:r>
              <w:rPr>
                <w:b/>
                <w:spacing w:val="-2"/>
                <w:sz w:val="14"/>
              </w:rPr>
              <w:t>16,389</w:t>
            </w:r>
          </w:p>
        </w:tc>
        <w:tc>
          <w:tcPr>
            <w:tcW w:w="344" w:type="dxa"/>
            <w:tcBorders>
              <w:top w:val="single" w:sz="6" w:space="0" w:color="000000"/>
            </w:tcBorders>
          </w:tcPr>
          <w:p>
            <w:pPr>
              <w:pStyle w:val="TableParagraph"/>
              <w:spacing w:line="147" w:lineRule="exact"/>
              <w:ind w:left="228"/>
              <w:rPr>
                <w:b/>
                <w:sz w:val="14"/>
              </w:rPr>
            </w:pPr>
            <w:r>
              <w:rPr/>
              <mc:AlternateContent>
                <mc:Choice Requires="wps">
                  <w:drawing>
                    <wp:anchor distT="0" distB="0" distL="0" distR="0" allowOverlap="1" layoutInCell="1" locked="0" behindDoc="1" simplePos="0" relativeHeight="474088960">
                      <wp:simplePos x="0" y="0"/>
                      <wp:positionH relativeFrom="column">
                        <wp:posOffset>0</wp:posOffset>
                      </wp:positionH>
                      <wp:positionV relativeFrom="paragraph">
                        <wp:posOffset>-3670</wp:posOffset>
                      </wp:positionV>
                      <wp:extent cx="218440" cy="121920"/>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218440" cy="121920"/>
                                <a:chExt cx="218440" cy="121920"/>
                              </a:xfrm>
                            </wpg:grpSpPr>
                            <pic:pic>
                              <pic:nvPicPr>
                                <pic:cNvPr id="280" name="Image 280"/>
                                <pic:cNvPicPr/>
                              </pic:nvPicPr>
                              <pic:blipFill>
                                <a:blip r:embed="rId88" cstate="print"/>
                                <a:stretch>
                                  <a:fillRect/>
                                </a:stretch>
                              </pic:blipFill>
                              <pic:spPr>
                                <a:xfrm>
                                  <a:off x="0" y="0"/>
                                  <a:ext cx="218598" cy="121443"/>
                                </a:xfrm>
                                <a:prstGeom prst="rect">
                                  <a:avLst/>
                                </a:prstGeom>
                              </pic:spPr>
                            </pic:pic>
                          </wpg:wgp>
                        </a:graphicData>
                      </a:graphic>
                    </wp:anchor>
                  </w:drawing>
                </mc:Choice>
                <mc:Fallback>
                  <w:pict>
                    <v:group style="position:absolute;margin-left:0pt;margin-top:-.289044pt;width:17.2pt;height:9.6pt;mso-position-horizontal-relative:column;mso-position-vertical-relative:paragraph;z-index:-29227520" id="docshapegroup278" coordorigin="0,-6" coordsize="344,192">
                      <v:shape style="position:absolute;left:0;top:-6;width:345;height:192" type="#_x0000_t75" id="docshape279" stroked="false">
                        <v:imagedata r:id="rId88" o:title=""/>
                      </v:shape>
                      <w10:wrap type="none"/>
                    </v:group>
                  </w:pict>
                </mc:Fallback>
              </mc:AlternateContent>
            </w:r>
            <w:r>
              <w:rPr>
                <w:b/>
                <w:spacing w:val="-10"/>
                <w:sz w:val="14"/>
              </w:rPr>
              <w:t>$</w:t>
            </w:r>
          </w:p>
        </w:tc>
        <w:tc>
          <w:tcPr>
            <w:tcW w:w="573" w:type="dxa"/>
            <w:tcBorders>
              <w:top w:val="single" w:sz="6" w:space="0" w:color="000000"/>
              <w:bottom w:val="double" w:sz="6" w:space="0" w:color="000000"/>
            </w:tcBorders>
            <w:shd w:val="clear" w:color="auto" w:fill="CCEDFF"/>
          </w:tcPr>
          <w:p>
            <w:pPr>
              <w:pStyle w:val="TableParagraph"/>
              <w:spacing w:line="128" w:lineRule="exact"/>
              <w:ind w:left="140"/>
              <w:rPr>
                <w:b/>
                <w:sz w:val="14"/>
              </w:rPr>
            </w:pPr>
            <w:r>
              <w:rPr>
                <w:b/>
                <w:spacing w:val="-2"/>
                <w:sz w:val="14"/>
              </w:rPr>
              <w:t>(20,263</w:t>
            </w:r>
          </w:p>
        </w:tc>
        <w:tc>
          <w:tcPr>
            <w:tcW w:w="369" w:type="dxa"/>
            <w:tcBorders>
              <w:top w:val="single" w:sz="6" w:space="0" w:color="000000"/>
            </w:tcBorders>
          </w:tcPr>
          <w:p>
            <w:pPr>
              <w:pStyle w:val="TableParagraph"/>
              <w:spacing w:line="147" w:lineRule="exact"/>
              <w:ind w:left="-1"/>
              <w:rPr>
                <w:b/>
                <w:sz w:val="14"/>
              </w:rPr>
            </w:pPr>
            <w:r>
              <w:rPr/>
              <mc:AlternateContent>
                <mc:Choice Requires="wps">
                  <w:drawing>
                    <wp:anchor distT="0" distB="0" distL="0" distR="0" allowOverlap="1" layoutInCell="1" locked="0" behindDoc="1" simplePos="0" relativeHeight="474089472">
                      <wp:simplePos x="0" y="0"/>
                      <wp:positionH relativeFrom="column">
                        <wp:posOffset>0</wp:posOffset>
                      </wp:positionH>
                      <wp:positionV relativeFrom="paragraph">
                        <wp:posOffset>-3670</wp:posOffset>
                      </wp:positionV>
                      <wp:extent cx="234950" cy="121920"/>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234950" cy="121920"/>
                                <a:chExt cx="234950" cy="121920"/>
                              </a:xfrm>
                            </wpg:grpSpPr>
                            <pic:pic>
                              <pic:nvPicPr>
                                <pic:cNvPr id="282" name="Image 282"/>
                                <pic:cNvPicPr/>
                              </pic:nvPicPr>
                              <pic:blipFill>
                                <a:blip r:embed="rId89" cstate="print"/>
                                <a:stretch>
                                  <a:fillRect/>
                                </a:stretch>
                              </pic:blipFill>
                              <pic:spPr>
                                <a:xfrm>
                                  <a:off x="0" y="0"/>
                                  <a:ext cx="234791" cy="121443"/>
                                </a:xfrm>
                                <a:prstGeom prst="rect">
                                  <a:avLst/>
                                </a:prstGeom>
                              </pic:spPr>
                            </pic:pic>
                          </wpg:wgp>
                        </a:graphicData>
                      </a:graphic>
                    </wp:anchor>
                  </w:drawing>
                </mc:Choice>
                <mc:Fallback>
                  <w:pict>
                    <v:group style="position:absolute;margin-left:0pt;margin-top:-.289044pt;width:18.5pt;height:9.6pt;mso-position-horizontal-relative:column;mso-position-vertical-relative:paragraph;z-index:-29227008" id="docshapegroup280" coordorigin="0,-6" coordsize="370,192">
                      <v:shape style="position:absolute;left:0;top:-6;width:370;height:192" type="#_x0000_t75" id="docshape281" stroked="false">
                        <v:imagedata r:id="rId89" o:title=""/>
                      </v:shape>
                      <w10:wrap type="none"/>
                    </v:group>
                  </w:pict>
                </mc:Fallback>
              </mc:AlternateContent>
            </w:r>
            <w:r>
              <w:rPr>
                <w:b/>
                <w:sz w:val="14"/>
              </w:rPr>
              <w:t>)</w:t>
            </w:r>
            <w:r>
              <w:rPr>
                <w:b/>
                <w:spacing w:val="56"/>
                <w:sz w:val="14"/>
              </w:rPr>
              <w:t>  </w:t>
            </w:r>
            <w:r>
              <w:rPr>
                <w:b/>
                <w:spacing w:val="-10"/>
                <w:sz w:val="14"/>
              </w:rPr>
              <w:t>$</w:t>
            </w:r>
          </w:p>
        </w:tc>
        <w:tc>
          <w:tcPr>
            <w:tcW w:w="713" w:type="dxa"/>
            <w:tcBorders>
              <w:top w:val="single" w:sz="6" w:space="0" w:color="000000"/>
              <w:bottom w:val="double" w:sz="6" w:space="0" w:color="000000"/>
            </w:tcBorders>
            <w:shd w:val="clear" w:color="auto" w:fill="CCEDFF"/>
          </w:tcPr>
          <w:p>
            <w:pPr>
              <w:pStyle w:val="TableParagraph"/>
              <w:spacing w:line="128" w:lineRule="exact"/>
              <w:ind w:left="351"/>
              <w:rPr>
                <w:b/>
                <w:sz w:val="14"/>
              </w:rPr>
            </w:pPr>
            <w:r>
              <w:rPr>
                <w:b/>
                <w:spacing w:val="-2"/>
                <w:sz w:val="14"/>
              </w:rPr>
              <w:t>(1,175</w:t>
            </w:r>
          </w:p>
        </w:tc>
        <w:tc>
          <w:tcPr>
            <w:tcW w:w="344" w:type="dxa"/>
            <w:tcBorders>
              <w:top w:val="single" w:sz="6" w:space="0" w:color="000000"/>
            </w:tcBorders>
          </w:tcPr>
          <w:p>
            <w:pPr>
              <w:pStyle w:val="TableParagraph"/>
              <w:spacing w:line="147" w:lineRule="exact"/>
              <w:rPr>
                <w:b/>
                <w:sz w:val="14"/>
              </w:rPr>
            </w:pPr>
            <w:r>
              <w:rPr/>
              <mc:AlternateContent>
                <mc:Choice Requires="wps">
                  <w:drawing>
                    <wp:anchor distT="0" distB="0" distL="0" distR="0" allowOverlap="1" layoutInCell="1" locked="0" behindDoc="1" simplePos="0" relativeHeight="474089984">
                      <wp:simplePos x="0" y="0"/>
                      <wp:positionH relativeFrom="column">
                        <wp:posOffset>0</wp:posOffset>
                      </wp:positionH>
                      <wp:positionV relativeFrom="paragraph">
                        <wp:posOffset>-3670</wp:posOffset>
                      </wp:positionV>
                      <wp:extent cx="218440" cy="121920"/>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218440" cy="121920"/>
                                <a:chExt cx="218440" cy="121920"/>
                              </a:xfrm>
                            </wpg:grpSpPr>
                            <pic:pic>
                              <pic:nvPicPr>
                                <pic:cNvPr id="284" name="Image 284"/>
                                <pic:cNvPicPr/>
                              </pic:nvPicPr>
                              <pic:blipFill>
                                <a:blip r:embed="rId87" cstate="print"/>
                                <a:stretch>
                                  <a:fillRect/>
                                </a:stretch>
                              </pic:blipFill>
                              <pic:spPr>
                                <a:xfrm>
                                  <a:off x="0" y="0"/>
                                  <a:ext cx="218598" cy="121443"/>
                                </a:xfrm>
                                <a:prstGeom prst="rect">
                                  <a:avLst/>
                                </a:prstGeom>
                              </pic:spPr>
                            </pic:pic>
                          </wpg:wgp>
                        </a:graphicData>
                      </a:graphic>
                    </wp:anchor>
                  </w:drawing>
                </mc:Choice>
                <mc:Fallback>
                  <w:pict>
                    <v:group style="position:absolute;margin-left:0pt;margin-top:-.289044pt;width:17.2pt;height:9.6pt;mso-position-horizontal-relative:column;mso-position-vertical-relative:paragraph;z-index:-29226496" id="docshapegroup282" coordorigin="0,-6" coordsize="344,192">
                      <v:shape style="position:absolute;left:0;top:-6;width:345;height:192" type="#_x0000_t75" id="docshape283" stroked="false">
                        <v:imagedata r:id="rId87" o:title=""/>
                      </v:shape>
                      <w10:wrap type="none"/>
                    </v:group>
                  </w:pict>
                </mc:Fallback>
              </mc:AlternateContent>
            </w:r>
            <w:r>
              <w:rPr>
                <w:b/>
                <w:sz w:val="14"/>
              </w:rPr>
              <w:t>)</w:t>
            </w:r>
            <w:r>
              <w:rPr>
                <w:b/>
                <w:spacing w:val="56"/>
                <w:sz w:val="14"/>
              </w:rPr>
              <w:t>  </w:t>
            </w:r>
            <w:r>
              <w:rPr>
                <w:b/>
                <w:spacing w:val="-10"/>
                <w:sz w:val="14"/>
              </w:rPr>
              <w:t>$</w:t>
            </w:r>
          </w:p>
        </w:tc>
        <w:tc>
          <w:tcPr>
            <w:tcW w:w="650" w:type="dxa"/>
            <w:tcBorders>
              <w:top w:val="single" w:sz="6" w:space="0" w:color="000000"/>
              <w:bottom w:val="double" w:sz="6" w:space="0" w:color="000000"/>
            </w:tcBorders>
            <w:shd w:val="clear" w:color="auto" w:fill="CCEDFF"/>
          </w:tcPr>
          <w:p>
            <w:pPr>
              <w:pStyle w:val="TableParagraph"/>
              <w:spacing w:line="128" w:lineRule="exact"/>
              <w:ind w:left="264" w:right="-15"/>
              <w:rPr>
                <w:b/>
                <w:sz w:val="14"/>
              </w:rPr>
            </w:pPr>
            <w:r>
              <w:rPr>
                <w:b/>
                <w:spacing w:val="-2"/>
                <w:sz w:val="14"/>
              </w:rPr>
              <w:t>12,333</w:t>
            </w:r>
          </w:p>
        </w:tc>
        <w:tc>
          <w:tcPr>
            <w:tcW w:w="370" w:type="dxa"/>
            <w:tcBorders>
              <w:top w:val="single" w:sz="6" w:space="0" w:color="000000"/>
            </w:tcBorders>
          </w:tcPr>
          <w:p>
            <w:pPr>
              <w:pStyle w:val="TableParagraph"/>
              <w:spacing w:line="147" w:lineRule="exact"/>
              <w:ind w:left="229"/>
              <w:rPr>
                <w:b/>
                <w:sz w:val="14"/>
              </w:rPr>
            </w:pPr>
            <w:r>
              <w:rPr/>
              <mc:AlternateContent>
                <mc:Choice Requires="wps">
                  <w:drawing>
                    <wp:anchor distT="0" distB="0" distL="0" distR="0" allowOverlap="1" layoutInCell="1" locked="0" behindDoc="1" simplePos="0" relativeHeight="474090496">
                      <wp:simplePos x="0" y="0"/>
                      <wp:positionH relativeFrom="column">
                        <wp:posOffset>0</wp:posOffset>
                      </wp:positionH>
                      <wp:positionV relativeFrom="paragraph">
                        <wp:posOffset>-3670</wp:posOffset>
                      </wp:positionV>
                      <wp:extent cx="234950" cy="121920"/>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234950" cy="121920"/>
                                <a:chExt cx="234950" cy="121920"/>
                              </a:xfrm>
                            </wpg:grpSpPr>
                            <pic:pic>
                              <pic:nvPicPr>
                                <pic:cNvPr id="286" name="Image 286"/>
                                <pic:cNvPicPr/>
                              </pic:nvPicPr>
                              <pic:blipFill>
                                <a:blip r:embed="rId89" cstate="print"/>
                                <a:stretch>
                                  <a:fillRect/>
                                </a:stretch>
                              </pic:blipFill>
                              <pic:spPr>
                                <a:xfrm>
                                  <a:off x="0" y="0"/>
                                  <a:ext cx="234791" cy="121443"/>
                                </a:xfrm>
                                <a:prstGeom prst="rect">
                                  <a:avLst/>
                                </a:prstGeom>
                              </pic:spPr>
                            </pic:pic>
                          </wpg:wgp>
                        </a:graphicData>
                      </a:graphic>
                    </wp:anchor>
                  </w:drawing>
                </mc:Choice>
                <mc:Fallback>
                  <w:pict>
                    <v:group style="position:absolute;margin-left:0pt;margin-top:-.289044pt;width:18.5pt;height:9.6pt;mso-position-horizontal-relative:column;mso-position-vertical-relative:paragraph;z-index:-29225984" id="docshapegroup284" coordorigin="0,-6" coordsize="370,192">
                      <v:shape style="position:absolute;left:0;top:-6;width:370;height:192" type="#_x0000_t75" id="docshape285" stroked="false">
                        <v:imagedata r:id="rId89" o:title=""/>
                      </v:shape>
                      <w10:wrap type="none"/>
                    </v:group>
                  </w:pict>
                </mc:Fallback>
              </mc:AlternateContent>
            </w:r>
            <w:r>
              <w:rPr>
                <w:b/>
                <w:spacing w:val="-10"/>
                <w:sz w:val="14"/>
              </w:rPr>
              <w:t>$</w:t>
            </w:r>
          </w:p>
        </w:tc>
        <w:tc>
          <w:tcPr>
            <w:tcW w:w="574" w:type="dxa"/>
            <w:tcBorders>
              <w:top w:val="single" w:sz="6" w:space="0" w:color="000000"/>
              <w:bottom w:val="double" w:sz="6" w:space="0" w:color="000000"/>
            </w:tcBorders>
            <w:shd w:val="clear" w:color="auto" w:fill="CCEDFF"/>
          </w:tcPr>
          <w:p>
            <w:pPr>
              <w:pStyle w:val="TableParagraph"/>
              <w:spacing w:line="138" w:lineRule="exact"/>
              <w:ind w:left="362"/>
              <w:rPr>
                <w:b/>
                <w:sz w:val="14"/>
              </w:rPr>
            </w:pPr>
            <w:r>
              <w:rPr>
                <w:b/>
                <w:spacing w:val="-5"/>
                <w:sz w:val="14"/>
              </w:rPr>
              <w:t>212</w:t>
            </w:r>
          </w:p>
        </w:tc>
        <w:tc>
          <w:tcPr>
            <w:tcW w:w="345" w:type="dxa"/>
            <w:tcBorders>
              <w:top w:val="single" w:sz="6" w:space="0" w:color="000000"/>
            </w:tcBorders>
          </w:tcPr>
          <w:p>
            <w:pPr>
              <w:pStyle w:val="TableParagraph"/>
              <w:spacing w:line="147" w:lineRule="exact"/>
              <w:ind w:left="227"/>
              <w:rPr>
                <w:b/>
                <w:sz w:val="14"/>
              </w:rPr>
            </w:pPr>
            <w:r>
              <w:rPr/>
              <mc:AlternateContent>
                <mc:Choice Requires="wps">
                  <w:drawing>
                    <wp:anchor distT="0" distB="0" distL="0" distR="0" allowOverlap="1" layoutInCell="1" locked="0" behindDoc="1" simplePos="0" relativeHeight="474091008">
                      <wp:simplePos x="0" y="0"/>
                      <wp:positionH relativeFrom="column">
                        <wp:posOffset>0</wp:posOffset>
                      </wp:positionH>
                      <wp:positionV relativeFrom="paragraph">
                        <wp:posOffset>-3670</wp:posOffset>
                      </wp:positionV>
                      <wp:extent cx="218440" cy="121920"/>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218440" cy="121920"/>
                                <a:chExt cx="218440" cy="121920"/>
                              </a:xfrm>
                            </wpg:grpSpPr>
                            <pic:pic>
                              <pic:nvPicPr>
                                <pic:cNvPr id="288" name="Image 288"/>
                                <pic:cNvPicPr/>
                              </pic:nvPicPr>
                              <pic:blipFill>
                                <a:blip r:embed="rId87" cstate="print"/>
                                <a:stretch>
                                  <a:fillRect/>
                                </a:stretch>
                              </pic:blipFill>
                              <pic:spPr>
                                <a:xfrm>
                                  <a:off x="0" y="0"/>
                                  <a:ext cx="218598" cy="121443"/>
                                </a:xfrm>
                                <a:prstGeom prst="rect">
                                  <a:avLst/>
                                </a:prstGeom>
                              </pic:spPr>
                            </pic:pic>
                          </wpg:wgp>
                        </a:graphicData>
                      </a:graphic>
                    </wp:anchor>
                  </w:drawing>
                </mc:Choice>
                <mc:Fallback>
                  <w:pict>
                    <v:group style="position:absolute;margin-left:0pt;margin-top:-.289044pt;width:17.2pt;height:9.6pt;mso-position-horizontal-relative:column;mso-position-vertical-relative:paragraph;z-index:-29225472" id="docshapegroup286" coordorigin="0,-6" coordsize="344,192">
                      <v:shape style="position:absolute;left:0;top:-6;width:345;height:192" type="#_x0000_t75" id="docshape287" stroked="false">
                        <v:imagedata r:id="rId87" o:title=""/>
                      </v:shape>
                      <w10:wrap type="none"/>
                    </v:group>
                  </w:pict>
                </mc:Fallback>
              </mc:AlternateContent>
            </w:r>
            <w:r>
              <w:rPr>
                <w:b/>
                <w:spacing w:val="-10"/>
                <w:sz w:val="14"/>
              </w:rPr>
              <w:t>$</w:t>
            </w:r>
          </w:p>
        </w:tc>
        <w:tc>
          <w:tcPr>
            <w:tcW w:w="689" w:type="dxa"/>
            <w:tcBorders>
              <w:top w:val="single" w:sz="6" w:space="0" w:color="000000"/>
            </w:tcBorders>
            <w:shd w:val="clear" w:color="auto" w:fill="CCEDFF"/>
          </w:tcPr>
          <w:p>
            <w:pPr>
              <w:pStyle w:val="TableParagraph"/>
              <w:spacing w:line="138" w:lineRule="exact"/>
              <w:ind w:left="-3"/>
              <w:rPr>
                <w:b/>
                <w:sz w:val="14"/>
              </w:rPr>
            </w:pPr>
            <w:r>
              <w:rPr>
                <w:spacing w:val="58"/>
                <w:sz w:val="14"/>
                <w:u w:val="double"/>
              </w:rPr>
              <w:t>  </w:t>
            </w:r>
            <w:r>
              <w:rPr>
                <w:b/>
                <w:spacing w:val="-2"/>
                <w:sz w:val="14"/>
                <w:u w:val="double"/>
              </w:rPr>
              <w:t>12,545</w:t>
            </w:r>
            <w:r>
              <w:rPr>
                <w:b/>
                <w:spacing w:val="40"/>
                <w:sz w:val="14"/>
                <w:u w:val="double"/>
              </w:rPr>
              <w:t> </w:t>
            </w:r>
          </w:p>
        </w:tc>
      </w:tr>
    </w:tbl>
    <w:p>
      <w:pPr>
        <w:pStyle w:val="BodyText"/>
        <w:spacing w:before="37"/>
        <w:rPr>
          <w:sz w:val="14"/>
        </w:rPr>
      </w:pPr>
    </w:p>
    <w:p>
      <w:pPr>
        <w:pStyle w:val="ListParagraph"/>
        <w:numPr>
          <w:ilvl w:val="0"/>
          <w:numId w:val="29"/>
        </w:numPr>
        <w:tabs>
          <w:tab w:pos="459" w:val="left" w:leader="none"/>
          <w:tab w:pos="462" w:val="left" w:leader="none"/>
        </w:tabs>
        <w:spacing w:line="228" w:lineRule="auto" w:before="0" w:after="0"/>
        <w:ind w:left="462" w:right="172" w:hanging="306"/>
        <w:jc w:val="left"/>
        <w:rPr>
          <w:sz w:val="14"/>
        </w:rPr>
      </w:pPr>
      <w:r>
        <w:rPr>
          <w:sz w:val="14"/>
        </w:rPr>
        <w:t>Adjustments to retained earnings include the effect of the accounting changes recorded for the adoption of the new standard for reclassification of stranded tax effects in accumulated other</w:t>
      </w:r>
      <w:r>
        <w:rPr>
          <w:spacing w:val="40"/>
          <w:sz w:val="14"/>
        </w:rPr>
        <w:t> </w:t>
      </w:r>
      <w:r>
        <w:rPr>
          <w:sz w:val="14"/>
        </w:rPr>
        <w:t>comprehensive</w:t>
      </w:r>
      <w:r>
        <w:rPr>
          <w:spacing w:val="-1"/>
          <w:sz w:val="14"/>
        </w:rPr>
        <w:t> </w:t>
      </w:r>
      <w:r>
        <w:rPr>
          <w:sz w:val="14"/>
        </w:rPr>
        <w:t>loss</w:t>
      </w:r>
      <w:r>
        <w:rPr>
          <w:spacing w:val="-1"/>
          <w:sz w:val="14"/>
        </w:rPr>
        <w:t> </w:t>
      </w:r>
      <w:r>
        <w:rPr>
          <w:sz w:val="14"/>
        </w:rPr>
        <w:t>in</w:t>
      </w:r>
      <w:r>
        <w:rPr>
          <w:spacing w:val="-1"/>
          <w:sz w:val="14"/>
        </w:rPr>
        <w:t> </w:t>
      </w:r>
      <w:r>
        <w:rPr>
          <w:sz w:val="14"/>
        </w:rPr>
        <w:t>the</w:t>
      </w:r>
      <w:r>
        <w:rPr>
          <w:spacing w:val="-1"/>
          <w:sz w:val="14"/>
        </w:rPr>
        <w:t> </w:t>
      </w:r>
      <w:r>
        <w:rPr>
          <w:sz w:val="14"/>
        </w:rPr>
        <w:t>amount</w:t>
      </w:r>
      <w:r>
        <w:rPr>
          <w:spacing w:val="-1"/>
          <w:sz w:val="14"/>
        </w:rPr>
        <w:t> </w:t>
      </w:r>
      <w:r>
        <w:rPr>
          <w:sz w:val="14"/>
        </w:rPr>
        <w:t>of</w:t>
      </w:r>
      <w:r>
        <w:rPr>
          <w:spacing w:val="-1"/>
          <w:sz w:val="14"/>
        </w:rPr>
        <w:t> </w:t>
      </w:r>
      <w:r>
        <w:rPr>
          <w:sz w:val="14"/>
        </w:rPr>
        <w:t>$53</w:t>
      </w:r>
      <w:r>
        <w:rPr>
          <w:spacing w:val="-1"/>
          <w:sz w:val="14"/>
        </w:rPr>
        <w:t> </w:t>
      </w:r>
      <w:r>
        <w:rPr>
          <w:sz w:val="14"/>
        </w:rPr>
        <w:t>million</w:t>
      </w:r>
      <w:r>
        <w:rPr>
          <w:spacing w:val="-1"/>
          <w:sz w:val="14"/>
        </w:rPr>
        <w:t> </w:t>
      </w:r>
      <w:r>
        <w:rPr>
          <w:sz w:val="14"/>
        </w:rPr>
        <w:t>and</w:t>
      </w:r>
      <w:r>
        <w:rPr>
          <w:spacing w:val="-1"/>
          <w:sz w:val="14"/>
        </w:rPr>
        <w:t> </w:t>
      </w:r>
      <w:r>
        <w:rPr>
          <w:sz w:val="14"/>
        </w:rPr>
        <w:t>the</w:t>
      </w:r>
      <w:r>
        <w:rPr>
          <w:spacing w:val="-1"/>
          <w:sz w:val="14"/>
        </w:rPr>
        <w:t> </w:t>
      </w:r>
      <w:r>
        <w:rPr>
          <w:sz w:val="14"/>
        </w:rPr>
        <w:t>impact</w:t>
      </w:r>
      <w:r>
        <w:rPr>
          <w:spacing w:val="-1"/>
          <w:sz w:val="14"/>
        </w:rPr>
        <w:t> </w:t>
      </w:r>
      <w:r>
        <w:rPr>
          <w:sz w:val="14"/>
        </w:rPr>
        <w:t>of</w:t>
      </w:r>
      <w:r>
        <w:rPr>
          <w:spacing w:val="-1"/>
          <w:sz w:val="14"/>
        </w:rPr>
        <w:t> </w:t>
      </w:r>
      <w:r>
        <w:rPr>
          <w:sz w:val="14"/>
        </w:rPr>
        <w:t>an</w:t>
      </w:r>
      <w:r>
        <w:rPr>
          <w:spacing w:val="-1"/>
          <w:sz w:val="14"/>
        </w:rPr>
        <w:t> </w:t>
      </w:r>
      <w:r>
        <w:rPr>
          <w:sz w:val="14"/>
        </w:rPr>
        <w:t>equity</w:t>
      </w:r>
      <w:r>
        <w:rPr>
          <w:spacing w:val="-1"/>
          <w:sz w:val="14"/>
        </w:rPr>
        <w:t> </w:t>
      </w:r>
      <w:r>
        <w:rPr>
          <w:sz w:val="14"/>
        </w:rPr>
        <w:t>affiliate’s</w:t>
      </w:r>
      <w:r>
        <w:rPr>
          <w:spacing w:val="-1"/>
          <w:sz w:val="14"/>
        </w:rPr>
        <w:t> </w:t>
      </w:r>
      <w:r>
        <w:rPr>
          <w:sz w:val="14"/>
        </w:rPr>
        <w:t>adoption</w:t>
      </w:r>
      <w:r>
        <w:rPr>
          <w:spacing w:val="-1"/>
          <w:sz w:val="14"/>
        </w:rPr>
        <w:t> </w:t>
      </w:r>
      <w:r>
        <w:rPr>
          <w:sz w:val="14"/>
        </w:rPr>
        <w:t>of</w:t>
      </w:r>
      <w:r>
        <w:rPr>
          <w:spacing w:val="-1"/>
          <w:sz w:val="14"/>
        </w:rPr>
        <w:t> </w:t>
      </w:r>
      <w:r>
        <w:rPr>
          <w:sz w:val="14"/>
        </w:rPr>
        <w:t>the</w:t>
      </w:r>
      <w:r>
        <w:rPr>
          <w:spacing w:val="-1"/>
          <w:sz w:val="14"/>
        </w:rPr>
        <w:t> </w:t>
      </w:r>
      <w:r>
        <w:rPr>
          <w:sz w:val="14"/>
        </w:rPr>
        <w:t>new</w:t>
      </w:r>
      <w:r>
        <w:rPr>
          <w:spacing w:val="-1"/>
          <w:sz w:val="14"/>
        </w:rPr>
        <w:t> </w:t>
      </w:r>
      <w:r>
        <w:rPr>
          <w:sz w:val="14"/>
        </w:rPr>
        <w:t>revenue</w:t>
      </w:r>
      <w:r>
        <w:rPr>
          <w:spacing w:val="-1"/>
          <w:sz w:val="14"/>
        </w:rPr>
        <w:t> </w:t>
      </w:r>
      <w:r>
        <w:rPr>
          <w:sz w:val="14"/>
        </w:rPr>
        <w:t>standard</w:t>
      </w:r>
      <w:r>
        <w:rPr>
          <w:spacing w:val="-1"/>
          <w:sz w:val="14"/>
        </w:rPr>
        <w:t> </w:t>
      </w:r>
      <w:r>
        <w:rPr>
          <w:sz w:val="14"/>
        </w:rPr>
        <w:t>in</w:t>
      </w:r>
      <w:r>
        <w:rPr>
          <w:spacing w:val="-1"/>
          <w:sz w:val="14"/>
        </w:rPr>
        <w:t> </w:t>
      </w:r>
      <w:r>
        <w:rPr>
          <w:sz w:val="14"/>
        </w:rPr>
        <w:t>January</w:t>
      </w:r>
      <w:r>
        <w:rPr>
          <w:spacing w:val="-1"/>
          <w:sz w:val="14"/>
        </w:rPr>
        <w:t> </w:t>
      </w:r>
      <w:r>
        <w:rPr>
          <w:sz w:val="14"/>
        </w:rPr>
        <w:t>2019.</w:t>
      </w:r>
      <w:r>
        <w:rPr>
          <w:spacing w:val="-1"/>
          <w:sz w:val="14"/>
        </w:rPr>
        <w:t> </w:t>
      </w:r>
      <w:r>
        <w:rPr>
          <w:sz w:val="14"/>
        </w:rPr>
        <w:t>A</w:t>
      </w:r>
      <w:r>
        <w:rPr>
          <w:spacing w:val="-1"/>
          <w:sz w:val="14"/>
        </w:rPr>
        <w:t> </w:t>
      </w:r>
      <w:r>
        <w:rPr>
          <w:sz w:val="14"/>
        </w:rPr>
        <w:t>net</w:t>
      </w:r>
      <w:r>
        <w:rPr>
          <w:spacing w:val="-1"/>
          <w:sz w:val="14"/>
        </w:rPr>
        <w:t> </w:t>
      </w:r>
      <w:r>
        <w:rPr>
          <w:sz w:val="14"/>
        </w:rPr>
        <w:t>reduction</w:t>
      </w:r>
      <w:r>
        <w:rPr>
          <w:spacing w:val="-1"/>
          <w:sz w:val="14"/>
        </w:rPr>
        <w:t> </w:t>
      </w:r>
      <w:r>
        <w:rPr>
          <w:sz w:val="14"/>
        </w:rPr>
        <w:t>of</w:t>
      </w:r>
      <w:r>
        <w:rPr>
          <w:spacing w:val="-1"/>
          <w:sz w:val="14"/>
        </w:rPr>
        <w:t> </w:t>
      </w:r>
      <w:r>
        <w:rPr>
          <w:sz w:val="14"/>
        </w:rPr>
        <w:t>$186</w:t>
      </w:r>
      <w:r>
        <w:rPr>
          <w:spacing w:val="-1"/>
          <w:sz w:val="14"/>
        </w:rPr>
        <w:t> </w:t>
      </w:r>
      <w:r>
        <w:rPr>
          <w:sz w:val="14"/>
        </w:rPr>
        <w:t>million</w:t>
      </w:r>
      <w:r>
        <w:rPr>
          <w:spacing w:val="-1"/>
          <w:sz w:val="14"/>
        </w:rPr>
        <w:t> </w:t>
      </w:r>
      <w:r>
        <w:rPr>
          <w:sz w:val="14"/>
        </w:rPr>
        <w:t>net</w:t>
      </w:r>
      <w:r>
        <w:rPr>
          <w:spacing w:val="-1"/>
          <w:sz w:val="14"/>
        </w:rPr>
        <w:t> </w:t>
      </w:r>
      <w:r>
        <w:rPr>
          <w:sz w:val="14"/>
        </w:rPr>
        <w:t>of</w:t>
      </w:r>
      <w:r>
        <w:rPr>
          <w:spacing w:val="-1"/>
          <w:sz w:val="14"/>
        </w:rPr>
        <w:t> </w:t>
      </w:r>
      <w:r>
        <w:rPr>
          <w:sz w:val="14"/>
        </w:rPr>
        <w:t>tax</w:t>
      </w:r>
      <w:r>
        <w:rPr>
          <w:spacing w:val="-1"/>
          <w:sz w:val="14"/>
        </w:rPr>
        <w:t> </w:t>
      </w:r>
      <w:r>
        <w:rPr>
          <w:sz w:val="14"/>
        </w:rPr>
        <w:t>was</w:t>
      </w:r>
      <w:r>
        <w:rPr>
          <w:spacing w:val="-1"/>
          <w:sz w:val="14"/>
        </w:rPr>
        <w:t> </w:t>
      </w:r>
      <w:r>
        <w:rPr>
          <w:sz w:val="14"/>
        </w:rPr>
        <w:t>recorded</w:t>
      </w:r>
      <w:r>
        <w:rPr>
          <w:spacing w:val="40"/>
          <w:sz w:val="14"/>
        </w:rPr>
        <w:t> </w:t>
      </w:r>
      <w:r>
        <w:rPr>
          <w:sz w:val="14"/>
        </w:rPr>
        <w:t>to beginning retained earnings for performance obligations of which a significant amount settled by the end of 2019.</w:t>
      </w:r>
    </w:p>
    <w:p>
      <w:pPr>
        <w:pStyle w:val="ListParagraph"/>
        <w:numPr>
          <w:ilvl w:val="0"/>
          <w:numId w:val="29"/>
        </w:numPr>
        <w:tabs>
          <w:tab w:pos="459" w:val="left" w:leader="none"/>
        </w:tabs>
        <w:spacing w:line="150" w:lineRule="exact" w:before="0" w:after="0"/>
        <w:ind w:left="459" w:right="0" w:hanging="303"/>
        <w:jc w:val="left"/>
        <w:rPr>
          <w:sz w:val="14"/>
        </w:rPr>
      </w:pPr>
      <w:r>
        <w:rPr>
          <w:sz w:val="14"/>
        </w:rPr>
        <w:t>Refer</w:t>
      </w:r>
      <w:r>
        <w:rPr>
          <w:spacing w:val="-2"/>
          <w:sz w:val="14"/>
        </w:rPr>
        <w:t> </w:t>
      </w:r>
      <w:r>
        <w:rPr>
          <w:sz w:val="14"/>
        </w:rPr>
        <w:t>to</w:t>
      </w:r>
      <w:r>
        <w:rPr>
          <w:spacing w:val="-2"/>
          <w:sz w:val="14"/>
        </w:rPr>
        <w:t> </w:t>
      </w:r>
      <w:r>
        <w:rPr>
          <w:sz w:val="14"/>
        </w:rPr>
        <w:t>Note</w:t>
      </w:r>
      <w:r>
        <w:rPr>
          <w:spacing w:val="-1"/>
          <w:sz w:val="14"/>
        </w:rPr>
        <w:t> </w:t>
      </w:r>
      <w:r>
        <w:rPr>
          <w:sz w:val="14"/>
        </w:rPr>
        <w:t>4</w:t>
      </w:r>
      <w:r>
        <w:rPr>
          <w:spacing w:val="-2"/>
          <w:sz w:val="14"/>
        </w:rPr>
        <w:t> </w:t>
      </w:r>
      <w:r>
        <w:rPr>
          <w:sz w:val="14"/>
        </w:rPr>
        <w:t>(HSG</w:t>
      </w:r>
      <w:r>
        <w:rPr>
          <w:spacing w:val="-1"/>
          <w:sz w:val="14"/>
        </w:rPr>
        <w:t> </w:t>
      </w:r>
      <w:r>
        <w:rPr>
          <w:sz w:val="14"/>
        </w:rPr>
        <w:t>Transactions</w:t>
      </w:r>
      <w:r>
        <w:rPr>
          <w:spacing w:val="-2"/>
          <w:sz w:val="14"/>
        </w:rPr>
        <w:t> </w:t>
      </w:r>
      <w:r>
        <w:rPr>
          <w:sz w:val="14"/>
        </w:rPr>
        <w:t>and</w:t>
      </w:r>
      <w:r>
        <w:rPr>
          <w:spacing w:val="-1"/>
          <w:sz w:val="14"/>
        </w:rPr>
        <w:t> </w:t>
      </w:r>
      <w:r>
        <w:rPr>
          <w:sz w:val="14"/>
        </w:rPr>
        <w:t>Acquisitions)</w:t>
      </w:r>
      <w:r>
        <w:rPr>
          <w:spacing w:val="-2"/>
          <w:sz w:val="14"/>
        </w:rPr>
        <w:t> </w:t>
      </w:r>
      <w:r>
        <w:rPr>
          <w:sz w:val="14"/>
        </w:rPr>
        <w:t>to</w:t>
      </w:r>
      <w:r>
        <w:rPr>
          <w:spacing w:val="-1"/>
          <w:sz w:val="14"/>
        </w:rPr>
        <w:t> </w:t>
      </w:r>
      <w:r>
        <w:rPr>
          <w:sz w:val="14"/>
        </w:rPr>
        <w:t>the</w:t>
      </w:r>
      <w:r>
        <w:rPr>
          <w:spacing w:val="-2"/>
          <w:sz w:val="14"/>
        </w:rPr>
        <w:t> </w:t>
      </w:r>
      <w:r>
        <w:rPr>
          <w:sz w:val="14"/>
        </w:rPr>
        <w:t>consolidated</w:t>
      </w:r>
      <w:r>
        <w:rPr>
          <w:spacing w:val="-1"/>
          <w:sz w:val="14"/>
        </w:rPr>
        <w:t> </w:t>
      </w:r>
      <w:r>
        <w:rPr>
          <w:sz w:val="14"/>
        </w:rPr>
        <w:t>financial</w:t>
      </w:r>
      <w:r>
        <w:rPr>
          <w:spacing w:val="-2"/>
          <w:sz w:val="14"/>
        </w:rPr>
        <w:t> </w:t>
      </w:r>
      <w:r>
        <w:rPr>
          <w:sz w:val="14"/>
        </w:rPr>
        <w:t>statements</w:t>
      </w:r>
      <w:r>
        <w:rPr>
          <w:spacing w:val="-1"/>
          <w:sz w:val="14"/>
        </w:rPr>
        <w:t> </w:t>
      </w:r>
      <w:r>
        <w:rPr>
          <w:sz w:val="14"/>
        </w:rPr>
        <w:t>for</w:t>
      </w:r>
      <w:r>
        <w:rPr>
          <w:spacing w:val="-2"/>
          <w:sz w:val="14"/>
        </w:rPr>
        <w:t> </w:t>
      </w:r>
      <w:r>
        <w:rPr>
          <w:sz w:val="14"/>
        </w:rPr>
        <w:t>more</w:t>
      </w:r>
      <w:r>
        <w:rPr>
          <w:spacing w:val="-1"/>
          <w:sz w:val="14"/>
        </w:rPr>
        <w:t> </w:t>
      </w:r>
      <w:r>
        <w:rPr>
          <w:spacing w:val="-2"/>
          <w:sz w:val="14"/>
        </w:rPr>
        <w:t>information.</w:t>
      </w:r>
    </w:p>
    <w:p>
      <w:pPr>
        <w:pStyle w:val="ListParagraph"/>
        <w:numPr>
          <w:ilvl w:val="0"/>
          <w:numId w:val="29"/>
        </w:numPr>
        <w:tabs>
          <w:tab w:pos="459" w:val="left" w:leader="none"/>
        </w:tabs>
        <w:spacing w:line="153" w:lineRule="exact" w:before="0" w:after="0"/>
        <w:ind w:left="459" w:right="0" w:hanging="303"/>
        <w:jc w:val="left"/>
        <w:rPr>
          <w:sz w:val="14"/>
        </w:rPr>
      </w:pPr>
      <w:r>
        <w:rPr>
          <w:sz w:val="14"/>
        </w:rPr>
        <w:t>Refer</w:t>
      </w:r>
      <w:r>
        <w:rPr>
          <w:spacing w:val="-2"/>
          <w:sz w:val="14"/>
        </w:rPr>
        <w:t> </w:t>
      </w:r>
      <w:r>
        <w:rPr>
          <w:sz w:val="14"/>
        </w:rPr>
        <w:t>to</w:t>
      </w:r>
      <w:r>
        <w:rPr>
          <w:spacing w:val="-1"/>
          <w:sz w:val="14"/>
        </w:rPr>
        <w:t> </w:t>
      </w:r>
      <w:r>
        <w:rPr>
          <w:sz w:val="14"/>
        </w:rPr>
        <w:t>Note</w:t>
      </w:r>
      <w:r>
        <w:rPr>
          <w:spacing w:val="-2"/>
          <w:sz w:val="14"/>
        </w:rPr>
        <w:t> </w:t>
      </w:r>
      <w:r>
        <w:rPr>
          <w:sz w:val="14"/>
        </w:rPr>
        <w:t>17</w:t>
      </w:r>
      <w:r>
        <w:rPr>
          <w:spacing w:val="-1"/>
          <w:sz w:val="14"/>
        </w:rPr>
        <w:t> </w:t>
      </w:r>
      <w:r>
        <w:rPr>
          <w:sz w:val="14"/>
        </w:rPr>
        <w:t>(Shareholders'</w:t>
      </w:r>
      <w:r>
        <w:rPr>
          <w:spacing w:val="-2"/>
          <w:sz w:val="14"/>
        </w:rPr>
        <w:t> </w:t>
      </w:r>
      <w:r>
        <w:rPr>
          <w:sz w:val="14"/>
        </w:rPr>
        <w:t>Equity)</w:t>
      </w:r>
      <w:r>
        <w:rPr>
          <w:spacing w:val="-1"/>
          <w:sz w:val="14"/>
        </w:rPr>
        <w:t> </w:t>
      </w:r>
      <w:r>
        <w:rPr>
          <w:sz w:val="14"/>
        </w:rPr>
        <w:t>and</w:t>
      </w:r>
      <w:r>
        <w:rPr>
          <w:spacing w:val="-2"/>
          <w:sz w:val="14"/>
        </w:rPr>
        <w:t> </w:t>
      </w:r>
      <w:r>
        <w:rPr>
          <w:sz w:val="14"/>
        </w:rPr>
        <w:t>Note</w:t>
      </w:r>
      <w:r>
        <w:rPr>
          <w:spacing w:val="-1"/>
          <w:sz w:val="14"/>
        </w:rPr>
        <w:t> </w:t>
      </w:r>
      <w:r>
        <w:rPr>
          <w:sz w:val="14"/>
        </w:rPr>
        <w:t>18</w:t>
      </w:r>
      <w:r>
        <w:rPr>
          <w:spacing w:val="-2"/>
          <w:sz w:val="14"/>
        </w:rPr>
        <w:t> </w:t>
      </w:r>
      <w:r>
        <w:rPr>
          <w:sz w:val="14"/>
        </w:rPr>
        <w:t>(Earnings</w:t>
      </w:r>
      <w:r>
        <w:rPr>
          <w:spacing w:val="-1"/>
          <w:sz w:val="14"/>
        </w:rPr>
        <w:t> </w:t>
      </w:r>
      <w:r>
        <w:rPr>
          <w:sz w:val="14"/>
        </w:rPr>
        <w:t>per</w:t>
      </w:r>
      <w:r>
        <w:rPr>
          <w:spacing w:val="-2"/>
          <w:sz w:val="14"/>
        </w:rPr>
        <w:t> </w:t>
      </w:r>
      <w:r>
        <w:rPr>
          <w:sz w:val="14"/>
        </w:rPr>
        <w:t>Common</w:t>
      </w:r>
      <w:r>
        <w:rPr>
          <w:spacing w:val="-1"/>
          <w:sz w:val="14"/>
        </w:rPr>
        <w:t> </w:t>
      </w:r>
      <w:r>
        <w:rPr>
          <w:sz w:val="14"/>
        </w:rPr>
        <w:t>Share)</w:t>
      </w:r>
      <w:r>
        <w:rPr>
          <w:spacing w:val="-2"/>
          <w:sz w:val="14"/>
        </w:rPr>
        <w:t> </w:t>
      </w:r>
      <w:r>
        <w:rPr>
          <w:sz w:val="14"/>
        </w:rPr>
        <w:t>to</w:t>
      </w:r>
      <w:r>
        <w:rPr>
          <w:spacing w:val="-1"/>
          <w:sz w:val="14"/>
        </w:rPr>
        <w:t> </w:t>
      </w:r>
      <w:r>
        <w:rPr>
          <w:sz w:val="14"/>
        </w:rPr>
        <w:t>the</w:t>
      </w:r>
      <w:r>
        <w:rPr>
          <w:spacing w:val="-2"/>
          <w:sz w:val="14"/>
        </w:rPr>
        <w:t> </w:t>
      </w:r>
      <w:r>
        <w:rPr>
          <w:sz w:val="14"/>
        </w:rPr>
        <w:t>consolidated</w:t>
      </w:r>
      <w:r>
        <w:rPr>
          <w:spacing w:val="-1"/>
          <w:sz w:val="14"/>
        </w:rPr>
        <w:t> </w:t>
      </w:r>
      <w:r>
        <w:rPr>
          <w:sz w:val="14"/>
        </w:rPr>
        <w:t>financial</w:t>
      </w:r>
      <w:r>
        <w:rPr>
          <w:spacing w:val="-2"/>
          <w:sz w:val="14"/>
        </w:rPr>
        <w:t> </w:t>
      </w:r>
      <w:r>
        <w:rPr>
          <w:sz w:val="14"/>
        </w:rPr>
        <w:t>statements</w:t>
      </w:r>
      <w:r>
        <w:rPr>
          <w:spacing w:val="-1"/>
          <w:sz w:val="14"/>
        </w:rPr>
        <w:t> </w:t>
      </w:r>
      <w:r>
        <w:rPr>
          <w:sz w:val="14"/>
        </w:rPr>
        <w:t>for</w:t>
      </w:r>
      <w:r>
        <w:rPr>
          <w:spacing w:val="-2"/>
          <w:sz w:val="14"/>
        </w:rPr>
        <w:t> </w:t>
      </w:r>
      <w:r>
        <w:rPr>
          <w:sz w:val="14"/>
        </w:rPr>
        <w:t>additional</w:t>
      </w:r>
      <w:r>
        <w:rPr>
          <w:spacing w:val="-1"/>
          <w:sz w:val="14"/>
        </w:rPr>
        <w:t> </w:t>
      </w:r>
      <w:r>
        <w:rPr>
          <w:spacing w:val="-2"/>
          <w:sz w:val="14"/>
        </w:rPr>
        <w:t>information.</w:t>
      </w:r>
    </w:p>
    <w:p>
      <w:pPr>
        <w:pStyle w:val="ListParagraph"/>
        <w:numPr>
          <w:ilvl w:val="0"/>
          <w:numId w:val="29"/>
        </w:numPr>
        <w:tabs>
          <w:tab w:pos="459" w:val="left" w:leader="none"/>
        </w:tabs>
        <w:spacing w:line="157" w:lineRule="exact" w:before="0" w:after="0"/>
        <w:ind w:left="459" w:right="0" w:hanging="303"/>
        <w:jc w:val="left"/>
        <w:rPr>
          <w:sz w:val="14"/>
        </w:rPr>
      </w:pPr>
      <w:r>
        <w:rPr>
          <w:sz w:val="14"/>
        </w:rPr>
        <w:t>Refer</w:t>
      </w:r>
      <w:r>
        <w:rPr>
          <w:spacing w:val="-1"/>
          <w:sz w:val="14"/>
        </w:rPr>
        <w:t> </w:t>
      </w:r>
      <w:r>
        <w:rPr>
          <w:sz w:val="14"/>
        </w:rPr>
        <w:t>to</w:t>
      </w:r>
      <w:r>
        <w:rPr>
          <w:spacing w:val="-1"/>
          <w:sz w:val="14"/>
        </w:rPr>
        <w:t> </w:t>
      </w:r>
      <w:r>
        <w:rPr>
          <w:sz w:val="14"/>
        </w:rPr>
        <w:t>Note</w:t>
      </w:r>
      <w:r>
        <w:rPr>
          <w:spacing w:val="-1"/>
          <w:sz w:val="14"/>
        </w:rPr>
        <w:t> </w:t>
      </w:r>
      <w:r>
        <w:rPr>
          <w:sz w:val="14"/>
        </w:rPr>
        <w:t>17</w:t>
      </w:r>
      <w:r>
        <w:rPr>
          <w:spacing w:val="-1"/>
          <w:sz w:val="14"/>
        </w:rPr>
        <w:t> </w:t>
      </w:r>
      <w:r>
        <w:rPr>
          <w:sz w:val="14"/>
        </w:rPr>
        <w:t>(Shareholders'</w:t>
      </w:r>
      <w:r>
        <w:rPr>
          <w:spacing w:val="-1"/>
          <w:sz w:val="14"/>
        </w:rPr>
        <w:t> </w:t>
      </w:r>
      <w:r>
        <w:rPr>
          <w:sz w:val="14"/>
        </w:rPr>
        <w:t>Equity)</w:t>
      </w:r>
      <w:r>
        <w:rPr>
          <w:spacing w:val="-1"/>
          <w:sz w:val="14"/>
        </w:rPr>
        <w:t> </w:t>
      </w:r>
      <w:r>
        <w:rPr>
          <w:sz w:val="14"/>
        </w:rPr>
        <w:t>to</w:t>
      </w:r>
      <w:r>
        <w:rPr>
          <w:spacing w:val="-1"/>
          <w:sz w:val="14"/>
        </w:rPr>
        <w:t> </w:t>
      </w:r>
      <w:r>
        <w:rPr>
          <w:sz w:val="14"/>
        </w:rPr>
        <w:t>the</w:t>
      </w:r>
      <w:r>
        <w:rPr>
          <w:spacing w:val="-1"/>
          <w:sz w:val="14"/>
        </w:rPr>
        <w:t> </w:t>
      </w:r>
      <w:r>
        <w:rPr>
          <w:sz w:val="14"/>
        </w:rPr>
        <w:t>consolidated</w:t>
      </w:r>
      <w:r>
        <w:rPr>
          <w:spacing w:val="-1"/>
          <w:sz w:val="14"/>
        </w:rPr>
        <w:t> </w:t>
      </w:r>
      <w:r>
        <w:rPr>
          <w:sz w:val="14"/>
        </w:rPr>
        <w:t>financial</w:t>
      </w:r>
      <w:r>
        <w:rPr>
          <w:spacing w:val="-1"/>
          <w:sz w:val="14"/>
        </w:rPr>
        <w:t> </w:t>
      </w:r>
      <w:r>
        <w:rPr>
          <w:sz w:val="14"/>
        </w:rPr>
        <w:t>statement</w:t>
      </w:r>
      <w:r>
        <w:rPr>
          <w:spacing w:val="-1"/>
          <w:sz w:val="14"/>
        </w:rPr>
        <w:t> </w:t>
      </w:r>
      <w:r>
        <w:rPr>
          <w:sz w:val="14"/>
        </w:rPr>
        <w:t>for</w:t>
      </w:r>
      <w:r>
        <w:rPr>
          <w:spacing w:val="-1"/>
          <w:sz w:val="14"/>
        </w:rPr>
        <w:t> </w:t>
      </w:r>
      <w:r>
        <w:rPr>
          <w:sz w:val="14"/>
        </w:rPr>
        <w:t>additional</w:t>
      </w:r>
      <w:r>
        <w:rPr>
          <w:spacing w:val="-1"/>
          <w:sz w:val="14"/>
        </w:rPr>
        <w:t> </w:t>
      </w:r>
      <w:r>
        <w:rPr>
          <w:spacing w:val="-2"/>
          <w:sz w:val="14"/>
        </w:rPr>
        <w:t>information.</w:t>
      </w:r>
    </w:p>
    <w:p>
      <w:pPr>
        <w:pStyle w:val="BodyText"/>
        <w:spacing w:before="41"/>
        <w:rPr>
          <w:sz w:val="14"/>
        </w:rPr>
      </w:pPr>
    </w:p>
    <w:p>
      <w:pPr>
        <w:pStyle w:val="BodyText"/>
        <w:ind w:left="156"/>
      </w:pPr>
      <w:r>
        <w:rPr>
          <w:w w:val="105"/>
        </w:rPr>
        <w:t>The</w:t>
      </w:r>
      <w:r>
        <w:rPr>
          <w:spacing w:val="-10"/>
          <w:w w:val="105"/>
        </w:rPr>
        <w:t> </w:t>
      </w:r>
      <w:r>
        <w:rPr>
          <w:w w:val="105"/>
        </w:rPr>
        <w:t>accompanying</w:t>
      </w:r>
      <w:r>
        <w:rPr>
          <w:spacing w:val="-9"/>
          <w:w w:val="105"/>
        </w:rPr>
        <w:t> </w:t>
      </w:r>
      <w:r>
        <w:rPr>
          <w:w w:val="105"/>
        </w:rPr>
        <w:t>notes</w:t>
      </w:r>
      <w:r>
        <w:rPr>
          <w:spacing w:val="-9"/>
          <w:w w:val="105"/>
        </w:rPr>
        <w:t> </w:t>
      </w:r>
      <w:r>
        <w:rPr>
          <w:w w:val="105"/>
        </w:rPr>
        <w:t>are</w:t>
      </w:r>
      <w:r>
        <w:rPr>
          <w:spacing w:val="-8"/>
          <w:w w:val="105"/>
        </w:rPr>
        <w:t> </w:t>
      </w:r>
      <w:r>
        <w:rPr>
          <w:w w:val="105"/>
        </w:rPr>
        <w:t>an</w:t>
      </w:r>
      <w:r>
        <w:rPr>
          <w:spacing w:val="-9"/>
          <w:w w:val="105"/>
        </w:rPr>
        <w:t> </w:t>
      </w:r>
      <w:r>
        <w:rPr>
          <w:w w:val="105"/>
        </w:rPr>
        <w:t>integral</w:t>
      </w:r>
      <w:r>
        <w:rPr>
          <w:spacing w:val="-10"/>
          <w:w w:val="105"/>
        </w:rPr>
        <w:t> </w:t>
      </w:r>
      <w:r>
        <w:rPr>
          <w:w w:val="105"/>
        </w:rPr>
        <w:t>part</w:t>
      </w:r>
      <w:r>
        <w:rPr>
          <w:spacing w:val="-9"/>
          <w:w w:val="105"/>
        </w:rPr>
        <w:t> </w:t>
      </w:r>
      <w:r>
        <w:rPr>
          <w:w w:val="105"/>
        </w:rPr>
        <w:t>of</w:t>
      </w:r>
      <w:r>
        <w:rPr>
          <w:spacing w:val="-9"/>
          <w:w w:val="105"/>
        </w:rPr>
        <w:t> </w:t>
      </w:r>
      <w:r>
        <w:rPr>
          <w:w w:val="105"/>
        </w:rPr>
        <w:t>these</w:t>
      </w:r>
      <w:r>
        <w:rPr>
          <w:spacing w:val="-10"/>
          <w:w w:val="105"/>
        </w:rPr>
        <w:t> </w:t>
      </w:r>
      <w:r>
        <w:rPr>
          <w:w w:val="105"/>
        </w:rPr>
        <w:t>consolidated</w:t>
      </w:r>
      <w:r>
        <w:rPr>
          <w:spacing w:val="-9"/>
          <w:w w:val="105"/>
        </w:rPr>
        <w:t> </w:t>
      </w:r>
      <w:r>
        <w:rPr>
          <w:w w:val="105"/>
        </w:rPr>
        <w:t>financial</w:t>
      </w:r>
      <w:r>
        <w:rPr>
          <w:spacing w:val="-9"/>
          <w:w w:val="105"/>
        </w:rPr>
        <w:t> </w:t>
      </w:r>
      <w:r>
        <w:rPr>
          <w:spacing w:val="-2"/>
          <w:w w:val="105"/>
        </w:rPr>
        <w:t>statements.</w:t>
      </w:r>
    </w:p>
    <w:p>
      <w:pPr>
        <w:pStyle w:val="BodyText"/>
        <w:spacing w:before="40"/>
      </w:pPr>
    </w:p>
    <w:p>
      <w:pPr>
        <w:pStyle w:val="BodyText"/>
        <w:ind w:left="48"/>
        <w:jc w:val="center"/>
      </w:pPr>
      <w:r>
        <w:rPr>
          <w:spacing w:val="-5"/>
          <w:w w:val="105"/>
        </w:rPr>
        <w:t>69</w:t>
      </w:r>
    </w:p>
    <w:p>
      <w:pPr>
        <w:pStyle w:val="BodyText"/>
        <w:rPr>
          <w:sz w:val="6"/>
        </w:rPr>
      </w:pPr>
      <w:r>
        <w:rPr/>
        <mc:AlternateContent>
          <mc:Choice Requires="wps">
            <w:drawing>
              <wp:anchor distT="0" distB="0" distL="0" distR="0" allowOverlap="1" layoutInCell="1" locked="0" behindDoc="1" simplePos="0" relativeHeight="487654400">
                <wp:simplePos x="0" y="0"/>
                <wp:positionH relativeFrom="page">
                  <wp:posOffset>226488</wp:posOffset>
                </wp:positionH>
                <wp:positionV relativeFrom="paragraph">
                  <wp:posOffset>59149</wp:posOffset>
                </wp:positionV>
                <wp:extent cx="7312659" cy="16510"/>
                <wp:effectExtent l="0" t="0" r="0" b="0"/>
                <wp:wrapTopAndBottom/>
                <wp:docPr id="289" name="Graphic 289"/>
                <wp:cNvGraphicFramePr>
                  <a:graphicFrameLocks/>
                </wp:cNvGraphicFramePr>
                <a:graphic>
                  <a:graphicData uri="http://schemas.microsoft.com/office/word/2010/wordprocessingShape">
                    <wps:wsp>
                      <wps:cNvPr id="289" name="Graphic 289"/>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7458pt;width:575.775087pt;height:1.273839pt;mso-position-horizontal-relative:page;mso-position-vertical-relative:paragraph;z-index:-15662080;mso-wrap-distance-left:0;mso-wrap-distance-right:0" id="docshape288" filled="true" fillcolor="#000000" stroked="false">
                <v:fill type="solid"/>
                <w10:wrap type="topAndBottom"/>
              </v:rect>
            </w:pict>
          </mc:Fallback>
        </mc:AlternateContent>
      </w:r>
    </w:p>
    <w:p>
      <w:pPr>
        <w:spacing w:after="0"/>
        <w:rPr>
          <w:sz w:val="6"/>
        </w:rPr>
        <w:sectPr>
          <w:type w:val="continuous"/>
          <w:pgSz w:w="12240" w:h="15840"/>
          <w:pgMar w:header="428" w:footer="0" w:top="700" w:bottom="280" w:left="200" w:right="260"/>
        </w:sectPr>
      </w:pPr>
    </w:p>
    <w:p>
      <w:pPr>
        <w:pStyle w:val="BodyText"/>
        <w:spacing w:before="38"/>
      </w:pPr>
    </w:p>
    <w:p>
      <w:pPr>
        <w:pStyle w:val="Heading2"/>
        <w:spacing w:line="266" w:lineRule="auto"/>
        <w:ind w:left="4044" w:right="3994"/>
        <w:jc w:val="center"/>
      </w:pPr>
      <w:bookmarkStart w:name="_bookmark8" w:id="9"/>
      <w:bookmarkEnd w:id="9"/>
      <w:r>
        <w:rPr>
          <w:b w:val="0"/>
        </w:rPr>
      </w:r>
      <w:r>
        <w:rPr>
          <w:spacing w:val="-2"/>
          <w:w w:val="105"/>
        </w:rPr>
        <w:t>Corning Incorporated and Subsidiary Companies</w:t>
      </w:r>
      <w:r>
        <w:rPr>
          <w:w w:val="105"/>
        </w:rPr>
        <w:t> Notes to Consolidated Financial Statements</w:t>
      </w:r>
    </w:p>
    <w:p>
      <w:pPr>
        <w:pStyle w:val="BodyText"/>
        <w:rPr>
          <w:b/>
        </w:rPr>
      </w:pPr>
    </w:p>
    <w:p>
      <w:pPr>
        <w:pStyle w:val="BodyText"/>
        <w:spacing w:before="39"/>
        <w:rPr>
          <w:b/>
        </w:rPr>
      </w:pPr>
    </w:p>
    <w:p>
      <w:pPr>
        <w:pStyle w:val="Heading2"/>
        <w:numPr>
          <w:ilvl w:val="0"/>
          <w:numId w:val="30"/>
        </w:numPr>
        <w:tabs>
          <w:tab w:pos="362" w:val="left" w:leader="none"/>
        </w:tabs>
        <w:spacing w:line="240" w:lineRule="auto" w:before="0" w:after="0"/>
        <w:ind w:left="362" w:right="0" w:hanging="206"/>
        <w:jc w:val="left"/>
      </w:pPr>
      <w:bookmarkStart w:name="_bookmark9" w:id="10"/>
      <w:bookmarkEnd w:id="10"/>
      <w:r>
        <w:rPr>
          <w:b w:val="0"/>
        </w:rPr>
      </w:r>
      <w:r>
        <w:rPr/>
        <w:t>Summary</w:t>
      </w:r>
      <w:r>
        <w:rPr>
          <w:spacing w:val="18"/>
        </w:rPr>
        <w:t> </w:t>
      </w:r>
      <w:r>
        <w:rPr/>
        <w:t>of</w:t>
      </w:r>
      <w:r>
        <w:rPr>
          <w:spacing w:val="18"/>
        </w:rPr>
        <w:t> </w:t>
      </w:r>
      <w:r>
        <w:rPr/>
        <w:t>Significant</w:t>
      </w:r>
      <w:r>
        <w:rPr>
          <w:spacing w:val="19"/>
        </w:rPr>
        <w:t> </w:t>
      </w:r>
      <w:r>
        <w:rPr/>
        <w:t>Accounting</w:t>
      </w:r>
      <w:r>
        <w:rPr>
          <w:spacing w:val="18"/>
        </w:rPr>
        <w:t> </w:t>
      </w:r>
      <w:r>
        <w:rPr>
          <w:spacing w:val="-2"/>
        </w:rPr>
        <w:t>Policies</w:t>
      </w:r>
    </w:p>
    <w:p>
      <w:pPr>
        <w:pStyle w:val="BodyText"/>
        <w:spacing w:before="39"/>
        <w:rPr>
          <w:b/>
        </w:rPr>
      </w:pPr>
    </w:p>
    <w:p>
      <w:pPr>
        <w:pStyle w:val="Heading3"/>
        <w:spacing w:before="1"/>
      </w:pPr>
      <w:r>
        <w:rPr>
          <w:spacing w:val="-2"/>
          <w:w w:val="105"/>
        </w:rPr>
        <w:t>Organization</w:t>
      </w:r>
    </w:p>
    <w:p>
      <w:pPr>
        <w:pStyle w:val="BodyText"/>
        <w:spacing w:before="39"/>
        <w:rPr>
          <w:b/>
          <w:i/>
        </w:rPr>
      </w:pPr>
    </w:p>
    <w:p>
      <w:pPr>
        <w:pStyle w:val="BodyText"/>
        <w:spacing w:line="266" w:lineRule="auto"/>
        <w:ind w:left="156" w:right="139"/>
      </w:pPr>
      <w:r>
        <w:rPr>
          <w:w w:val="105"/>
        </w:rPr>
        <w:t>Corning</w:t>
      </w:r>
      <w:r>
        <w:rPr>
          <w:spacing w:val="-1"/>
          <w:w w:val="105"/>
        </w:rPr>
        <w:t> </w:t>
      </w:r>
      <w:r>
        <w:rPr>
          <w:w w:val="105"/>
        </w:rPr>
        <w:t>Incorporated</w:t>
      </w:r>
      <w:r>
        <w:rPr>
          <w:spacing w:val="-1"/>
          <w:w w:val="105"/>
        </w:rPr>
        <w:t> </w:t>
      </w:r>
      <w:r>
        <w:rPr>
          <w:w w:val="105"/>
        </w:rPr>
        <w:t>is</w:t>
      </w:r>
      <w:r>
        <w:rPr>
          <w:spacing w:val="-1"/>
          <w:w w:val="105"/>
        </w:rPr>
        <w:t> </w:t>
      </w:r>
      <w:r>
        <w:rPr>
          <w:w w:val="105"/>
        </w:rPr>
        <w:t>a</w:t>
      </w:r>
      <w:r>
        <w:rPr>
          <w:spacing w:val="-1"/>
          <w:w w:val="105"/>
        </w:rPr>
        <w:t> </w:t>
      </w:r>
      <w:r>
        <w:rPr>
          <w:w w:val="105"/>
        </w:rPr>
        <w:t>provider</w:t>
      </w:r>
      <w:r>
        <w:rPr>
          <w:spacing w:val="-1"/>
          <w:w w:val="105"/>
        </w:rPr>
        <w:t> </w:t>
      </w:r>
      <w:r>
        <w:rPr>
          <w:w w:val="105"/>
        </w:rPr>
        <w:t>of</w:t>
      </w:r>
      <w:r>
        <w:rPr>
          <w:spacing w:val="-1"/>
          <w:w w:val="105"/>
        </w:rPr>
        <w:t> </w:t>
      </w:r>
      <w:r>
        <w:rPr>
          <w:w w:val="105"/>
        </w:rPr>
        <w:t>high-performance</w:t>
      </w:r>
      <w:r>
        <w:rPr>
          <w:spacing w:val="-1"/>
          <w:w w:val="105"/>
        </w:rPr>
        <w:t> </w:t>
      </w:r>
      <w:r>
        <w:rPr>
          <w:w w:val="105"/>
        </w:rPr>
        <w:t>glass</w:t>
      </w:r>
      <w:r>
        <w:rPr>
          <w:spacing w:val="-1"/>
          <w:w w:val="105"/>
        </w:rPr>
        <w:t> </w:t>
      </w:r>
      <w:r>
        <w:rPr>
          <w:w w:val="105"/>
        </w:rPr>
        <w:t>for</w:t>
      </w:r>
      <w:r>
        <w:rPr>
          <w:spacing w:val="-1"/>
          <w:w w:val="105"/>
        </w:rPr>
        <w:t> </w:t>
      </w:r>
      <w:r>
        <w:rPr>
          <w:w w:val="105"/>
        </w:rPr>
        <w:t>notebook</w:t>
      </w:r>
      <w:r>
        <w:rPr>
          <w:spacing w:val="-1"/>
          <w:w w:val="105"/>
        </w:rPr>
        <w:t> </w:t>
      </w:r>
      <w:r>
        <w:rPr>
          <w:w w:val="105"/>
        </w:rPr>
        <w:t>computers,</w:t>
      </w:r>
      <w:r>
        <w:rPr>
          <w:spacing w:val="-1"/>
          <w:w w:val="105"/>
        </w:rPr>
        <w:t> </w:t>
      </w:r>
      <w:r>
        <w:rPr>
          <w:w w:val="105"/>
        </w:rPr>
        <w:t>flat</w:t>
      </w:r>
      <w:r>
        <w:rPr>
          <w:spacing w:val="-1"/>
          <w:w w:val="105"/>
        </w:rPr>
        <w:t> </w:t>
      </w:r>
      <w:r>
        <w:rPr>
          <w:w w:val="105"/>
        </w:rPr>
        <w:t>panel</w:t>
      </w:r>
      <w:r>
        <w:rPr>
          <w:spacing w:val="-1"/>
          <w:w w:val="105"/>
        </w:rPr>
        <w:t> </w:t>
      </w:r>
      <w:r>
        <w:rPr>
          <w:w w:val="105"/>
        </w:rPr>
        <w:t>desktop</w:t>
      </w:r>
      <w:r>
        <w:rPr>
          <w:spacing w:val="-1"/>
          <w:w w:val="105"/>
        </w:rPr>
        <w:t> </w:t>
      </w:r>
      <w:r>
        <w:rPr>
          <w:w w:val="105"/>
        </w:rPr>
        <w:t>monitors,</w:t>
      </w:r>
      <w:r>
        <w:rPr>
          <w:spacing w:val="-1"/>
          <w:w w:val="105"/>
        </w:rPr>
        <w:t> </w:t>
      </w:r>
      <w:r>
        <w:rPr>
          <w:w w:val="105"/>
        </w:rPr>
        <w:t>display</w:t>
      </w:r>
      <w:r>
        <w:rPr>
          <w:spacing w:val="-1"/>
          <w:w w:val="105"/>
        </w:rPr>
        <w:t> </w:t>
      </w:r>
      <w:r>
        <w:rPr>
          <w:w w:val="105"/>
        </w:rPr>
        <w:t>televisions,</w:t>
      </w:r>
      <w:r>
        <w:rPr>
          <w:spacing w:val="-1"/>
          <w:w w:val="105"/>
        </w:rPr>
        <w:t> </w:t>
      </w:r>
      <w:r>
        <w:rPr>
          <w:w w:val="105"/>
        </w:rPr>
        <w:t>and</w:t>
      </w:r>
      <w:r>
        <w:rPr>
          <w:spacing w:val="-1"/>
          <w:w w:val="105"/>
        </w:rPr>
        <w:t> </w:t>
      </w:r>
      <w:r>
        <w:rPr>
          <w:w w:val="105"/>
        </w:rPr>
        <w:t>other</w:t>
      </w:r>
      <w:r>
        <w:rPr>
          <w:spacing w:val="-1"/>
          <w:w w:val="105"/>
        </w:rPr>
        <w:t> </w:t>
      </w:r>
      <w:r>
        <w:rPr>
          <w:w w:val="105"/>
        </w:rPr>
        <w:t>information</w:t>
      </w:r>
      <w:r>
        <w:rPr>
          <w:spacing w:val="-1"/>
          <w:w w:val="105"/>
        </w:rPr>
        <w:t> </w:t>
      </w:r>
      <w:r>
        <w:rPr>
          <w:w w:val="105"/>
        </w:rPr>
        <w:t>display applications;</w:t>
      </w:r>
      <w:r>
        <w:rPr>
          <w:spacing w:val="-3"/>
          <w:w w:val="105"/>
        </w:rPr>
        <w:t> </w:t>
      </w:r>
      <w:r>
        <w:rPr>
          <w:w w:val="105"/>
        </w:rPr>
        <w:t>carrier</w:t>
      </w:r>
      <w:r>
        <w:rPr>
          <w:spacing w:val="-3"/>
          <w:w w:val="105"/>
        </w:rPr>
        <w:t> </w:t>
      </w:r>
      <w:r>
        <w:rPr>
          <w:w w:val="105"/>
        </w:rPr>
        <w:t>network</w:t>
      </w:r>
      <w:r>
        <w:rPr>
          <w:spacing w:val="-3"/>
          <w:w w:val="105"/>
        </w:rPr>
        <w:t> </w:t>
      </w:r>
      <w:r>
        <w:rPr>
          <w:w w:val="105"/>
        </w:rPr>
        <w:t>and</w:t>
      </w:r>
      <w:r>
        <w:rPr>
          <w:spacing w:val="-3"/>
          <w:w w:val="105"/>
        </w:rPr>
        <w:t> </w:t>
      </w:r>
      <w:r>
        <w:rPr>
          <w:w w:val="105"/>
        </w:rPr>
        <w:t>enterprise</w:t>
      </w:r>
      <w:r>
        <w:rPr>
          <w:spacing w:val="-3"/>
          <w:w w:val="105"/>
        </w:rPr>
        <w:t> </w:t>
      </w:r>
      <w:r>
        <w:rPr>
          <w:w w:val="105"/>
        </w:rPr>
        <w:t>network</w:t>
      </w:r>
      <w:r>
        <w:rPr>
          <w:spacing w:val="-3"/>
          <w:w w:val="105"/>
        </w:rPr>
        <w:t> </w:t>
      </w:r>
      <w:r>
        <w:rPr>
          <w:w w:val="105"/>
        </w:rPr>
        <w:t>products</w:t>
      </w:r>
      <w:r>
        <w:rPr>
          <w:spacing w:val="-3"/>
          <w:w w:val="105"/>
        </w:rPr>
        <w:t> </w:t>
      </w:r>
      <w:r>
        <w:rPr>
          <w:w w:val="105"/>
        </w:rPr>
        <w:t>for</w:t>
      </w:r>
      <w:r>
        <w:rPr>
          <w:spacing w:val="-3"/>
          <w:w w:val="105"/>
        </w:rPr>
        <w:t> </w:t>
      </w:r>
      <w:r>
        <w:rPr>
          <w:w w:val="105"/>
        </w:rPr>
        <w:t>the</w:t>
      </w:r>
      <w:r>
        <w:rPr>
          <w:spacing w:val="-3"/>
          <w:w w:val="105"/>
        </w:rPr>
        <w:t> </w:t>
      </w:r>
      <w:r>
        <w:rPr>
          <w:w w:val="105"/>
        </w:rPr>
        <w:t>telecommunications</w:t>
      </w:r>
      <w:r>
        <w:rPr>
          <w:spacing w:val="-3"/>
          <w:w w:val="105"/>
        </w:rPr>
        <w:t> </w:t>
      </w:r>
      <w:r>
        <w:rPr>
          <w:w w:val="105"/>
        </w:rPr>
        <w:t>industry;</w:t>
      </w:r>
      <w:r>
        <w:rPr>
          <w:spacing w:val="-3"/>
          <w:w w:val="105"/>
        </w:rPr>
        <w:t> </w:t>
      </w:r>
      <w:r>
        <w:rPr>
          <w:w w:val="105"/>
        </w:rPr>
        <w:t>ceramic</w:t>
      </w:r>
      <w:r>
        <w:rPr>
          <w:spacing w:val="-3"/>
          <w:w w:val="105"/>
        </w:rPr>
        <w:t> </w:t>
      </w:r>
      <w:r>
        <w:rPr>
          <w:w w:val="105"/>
        </w:rPr>
        <w:t>substrates</w:t>
      </w:r>
      <w:r>
        <w:rPr>
          <w:spacing w:val="-3"/>
          <w:w w:val="105"/>
        </w:rPr>
        <w:t> </w:t>
      </w:r>
      <w:r>
        <w:rPr>
          <w:w w:val="105"/>
        </w:rPr>
        <w:t>for</w:t>
      </w:r>
      <w:r>
        <w:rPr>
          <w:spacing w:val="-3"/>
          <w:w w:val="105"/>
        </w:rPr>
        <w:t> </w:t>
      </w:r>
      <w:r>
        <w:rPr>
          <w:w w:val="105"/>
        </w:rPr>
        <w:t>gasoline</w:t>
      </w:r>
      <w:r>
        <w:rPr>
          <w:spacing w:val="-3"/>
          <w:w w:val="105"/>
        </w:rPr>
        <w:t> </w:t>
      </w:r>
      <w:r>
        <w:rPr>
          <w:w w:val="105"/>
        </w:rPr>
        <w:t>and</w:t>
      </w:r>
      <w:r>
        <w:rPr>
          <w:spacing w:val="-3"/>
          <w:w w:val="105"/>
        </w:rPr>
        <w:t> </w:t>
      </w:r>
      <w:r>
        <w:rPr>
          <w:w w:val="105"/>
        </w:rPr>
        <w:t>diesel</w:t>
      </w:r>
      <w:r>
        <w:rPr>
          <w:spacing w:val="-3"/>
          <w:w w:val="105"/>
        </w:rPr>
        <w:t> </w:t>
      </w:r>
      <w:r>
        <w:rPr>
          <w:w w:val="105"/>
        </w:rPr>
        <w:t>engines</w:t>
      </w:r>
      <w:r>
        <w:rPr>
          <w:spacing w:val="-3"/>
          <w:w w:val="105"/>
        </w:rPr>
        <w:t> </w:t>
      </w:r>
      <w:r>
        <w:rPr>
          <w:w w:val="105"/>
        </w:rPr>
        <w:t>in</w:t>
      </w:r>
      <w:r>
        <w:rPr>
          <w:spacing w:val="-1"/>
          <w:w w:val="105"/>
        </w:rPr>
        <w:t> </w:t>
      </w:r>
      <w:r>
        <w:rPr>
          <w:w w:val="105"/>
        </w:rPr>
        <w:t>automotive</w:t>
      </w:r>
      <w:r>
        <w:rPr>
          <w:spacing w:val="-3"/>
          <w:w w:val="105"/>
        </w:rPr>
        <w:t> </w:t>
      </w:r>
      <w:r>
        <w:rPr>
          <w:w w:val="105"/>
        </w:rPr>
        <w:t>and heavy-duty</w:t>
      </w:r>
      <w:r>
        <w:rPr>
          <w:spacing w:val="-3"/>
          <w:w w:val="105"/>
        </w:rPr>
        <w:t> </w:t>
      </w:r>
      <w:r>
        <w:rPr>
          <w:w w:val="105"/>
        </w:rPr>
        <w:t>vehicle</w:t>
      </w:r>
      <w:r>
        <w:rPr>
          <w:spacing w:val="-3"/>
          <w:w w:val="105"/>
        </w:rPr>
        <w:t> </w:t>
      </w:r>
      <w:r>
        <w:rPr>
          <w:w w:val="105"/>
        </w:rPr>
        <w:t>markets;</w:t>
      </w:r>
      <w:r>
        <w:rPr>
          <w:spacing w:val="-3"/>
          <w:w w:val="105"/>
        </w:rPr>
        <w:t> </w:t>
      </w:r>
      <w:r>
        <w:rPr>
          <w:w w:val="105"/>
        </w:rPr>
        <w:t>laboratory</w:t>
      </w:r>
      <w:r>
        <w:rPr>
          <w:spacing w:val="-3"/>
          <w:w w:val="105"/>
        </w:rPr>
        <w:t> </w:t>
      </w:r>
      <w:r>
        <w:rPr>
          <w:w w:val="105"/>
        </w:rPr>
        <w:t>products</w:t>
      </w:r>
      <w:r>
        <w:rPr>
          <w:spacing w:val="-3"/>
          <w:w w:val="105"/>
        </w:rPr>
        <w:t> </w:t>
      </w:r>
      <w:r>
        <w:rPr>
          <w:w w:val="105"/>
        </w:rPr>
        <w:t>for</w:t>
      </w:r>
      <w:r>
        <w:rPr>
          <w:spacing w:val="-3"/>
          <w:w w:val="105"/>
        </w:rPr>
        <w:t> </w:t>
      </w:r>
      <w:r>
        <w:rPr>
          <w:w w:val="105"/>
        </w:rPr>
        <w:t>the</w:t>
      </w:r>
      <w:r>
        <w:rPr>
          <w:spacing w:val="-3"/>
          <w:w w:val="105"/>
        </w:rPr>
        <w:t> </w:t>
      </w:r>
      <w:r>
        <w:rPr>
          <w:w w:val="105"/>
        </w:rPr>
        <w:t>scientific</w:t>
      </w:r>
      <w:r>
        <w:rPr>
          <w:spacing w:val="-3"/>
          <w:w w:val="105"/>
        </w:rPr>
        <w:t> </w:t>
      </w:r>
      <w:r>
        <w:rPr>
          <w:w w:val="105"/>
        </w:rPr>
        <w:t>community</w:t>
      </w:r>
      <w:r>
        <w:rPr>
          <w:spacing w:val="-3"/>
          <w:w w:val="105"/>
        </w:rPr>
        <w:t> </w:t>
      </w:r>
      <w:r>
        <w:rPr>
          <w:w w:val="105"/>
        </w:rPr>
        <w:t>and</w:t>
      </w:r>
      <w:r>
        <w:rPr>
          <w:spacing w:val="-3"/>
          <w:w w:val="105"/>
        </w:rPr>
        <w:t> </w:t>
      </w:r>
      <w:r>
        <w:rPr>
          <w:w w:val="105"/>
        </w:rPr>
        <w:t>specialized</w:t>
      </w:r>
      <w:r>
        <w:rPr>
          <w:spacing w:val="-3"/>
          <w:w w:val="105"/>
        </w:rPr>
        <w:t> </w:t>
      </w:r>
      <w:r>
        <w:rPr>
          <w:w w:val="105"/>
        </w:rPr>
        <w:t>polymer</w:t>
      </w:r>
      <w:r>
        <w:rPr>
          <w:spacing w:val="-3"/>
          <w:w w:val="105"/>
        </w:rPr>
        <w:t> </w:t>
      </w:r>
      <w:r>
        <w:rPr>
          <w:w w:val="105"/>
        </w:rPr>
        <w:t>products</w:t>
      </w:r>
      <w:r>
        <w:rPr>
          <w:spacing w:val="-3"/>
          <w:w w:val="105"/>
        </w:rPr>
        <w:t> </w:t>
      </w:r>
      <w:r>
        <w:rPr>
          <w:w w:val="105"/>
        </w:rPr>
        <w:t>for</w:t>
      </w:r>
      <w:r>
        <w:rPr>
          <w:spacing w:val="-3"/>
          <w:w w:val="105"/>
        </w:rPr>
        <w:t> </w:t>
      </w:r>
      <w:r>
        <w:rPr>
          <w:w w:val="105"/>
        </w:rPr>
        <w:t>biotechnology</w:t>
      </w:r>
      <w:r>
        <w:rPr>
          <w:spacing w:val="-1"/>
          <w:w w:val="105"/>
        </w:rPr>
        <w:t> </w:t>
      </w:r>
      <w:r>
        <w:rPr>
          <w:w w:val="105"/>
        </w:rPr>
        <w:t>applications;</w:t>
      </w:r>
      <w:r>
        <w:rPr>
          <w:spacing w:val="-3"/>
          <w:w w:val="105"/>
        </w:rPr>
        <w:t> </w:t>
      </w:r>
      <w:r>
        <w:rPr>
          <w:w w:val="105"/>
        </w:rPr>
        <w:t>advanced</w:t>
      </w:r>
      <w:r>
        <w:rPr>
          <w:spacing w:val="-3"/>
          <w:w w:val="105"/>
        </w:rPr>
        <w:t> </w:t>
      </w:r>
      <w:r>
        <w:rPr>
          <w:w w:val="105"/>
        </w:rPr>
        <w:t>optical</w:t>
      </w:r>
      <w:r>
        <w:rPr>
          <w:spacing w:val="-3"/>
          <w:w w:val="105"/>
        </w:rPr>
        <w:t> </w:t>
      </w:r>
      <w:r>
        <w:rPr>
          <w:w w:val="105"/>
        </w:rPr>
        <w:t>materials for</w:t>
      </w:r>
      <w:r>
        <w:rPr>
          <w:spacing w:val="-10"/>
          <w:w w:val="105"/>
        </w:rPr>
        <w:t> </w:t>
      </w:r>
      <w:r>
        <w:rPr>
          <w:w w:val="105"/>
        </w:rPr>
        <w:t>the</w:t>
      </w:r>
      <w:r>
        <w:rPr>
          <w:spacing w:val="-10"/>
          <w:w w:val="105"/>
        </w:rPr>
        <w:t> </w:t>
      </w:r>
      <w:r>
        <w:rPr>
          <w:w w:val="105"/>
        </w:rPr>
        <w:t>semiconductor</w:t>
      </w:r>
      <w:r>
        <w:rPr>
          <w:spacing w:val="-10"/>
          <w:w w:val="105"/>
        </w:rPr>
        <w:t> </w:t>
      </w:r>
      <w:r>
        <w:rPr>
          <w:w w:val="105"/>
        </w:rPr>
        <w:t>industry</w:t>
      </w:r>
      <w:r>
        <w:rPr>
          <w:spacing w:val="-10"/>
          <w:w w:val="105"/>
        </w:rPr>
        <w:t> </w:t>
      </w:r>
      <w:r>
        <w:rPr>
          <w:w w:val="105"/>
        </w:rPr>
        <w:t>and</w:t>
      </w:r>
      <w:r>
        <w:rPr>
          <w:spacing w:val="-10"/>
          <w:w w:val="105"/>
        </w:rPr>
        <w:t> </w:t>
      </w:r>
      <w:r>
        <w:rPr>
          <w:w w:val="105"/>
        </w:rPr>
        <w:t>the</w:t>
      </w:r>
      <w:r>
        <w:rPr>
          <w:spacing w:val="-10"/>
          <w:w w:val="105"/>
        </w:rPr>
        <w:t> </w:t>
      </w:r>
      <w:r>
        <w:rPr>
          <w:w w:val="105"/>
        </w:rPr>
        <w:t>scientific</w:t>
      </w:r>
      <w:r>
        <w:rPr>
          <w:spacing w:val="-8"/>
          <w:w w:val="105"/>
        </w:rPr>
        <w:t> </w:t>
      </w:r>
      <w:r>
        <w:rPr>
          <w:w w:val="105"/>
        </w:rPr>
        <w:t>community;</w:t>
      </w:r>
      <w:r>
        <w:rPr>
          <w:spacing w:val="-10"/>
          <w:w w:val="105"/>
        </w:rPr>
        <w:t> </w:t>
      </w:r>
      <w:r>
        <w:rPr>
          <w:w w:val="105"/>
        </w:rPr>
        <w:t>polycrystalline</w:t>
      </w:r>
      <w:r>
        <w:rPr>
          <w:spacing w:val="-10"/>
          <w:w w:val="105"/>
        </w:rPr>
        <w:t> </w:t>
      </w:r>
      <w:r>
        <w:rPr>
          <w:w w:val="105"/>
        </w:rPr>
        <w:t>silicon</w:t>
      </w:r>
      <w:r>
        <w:rPr>
          <w:spacing w:val="-10"/>
          <w:w w:val="105"/>
        </w:rPr>
        <w:t> </w:t>
      </w:r>
      <w:r>
        <w:rPr>
          <w:w w:val="105"/>
        </w:rPr>
        <w:t>products</w:t>
      </w:r>
      <w:r>
        <w:rPr>
          <w:spacing w:val="-10"/>
          <w:w w:val="105"/>
        </w:rPr>
        <w:t> </w:t>
      </w:r>
      <w:r>
        <w:rPr>
          <w:w w:val="105"/>
        </w:rPr>
        <w:t>and</w:t>
      </w:r>
      <w:r>
        <w:rPr>
          <w:spacing w:val="-10"/>
          <w:w w:val="105"/>
        </w:rPr>
        <w:t> </w:t>
      </w:r>
      <w:r>
        <w:rPr>
          <w:w w:val="105"/>
        </w:rPr>
        <w:t>other</w:t>
      </w:r>
      <w:r>
        <w:rPr>
          <w:spacing w:val="-8"/>
          <w:w w:val="105"/>
        </w:rPr>
        <w:t> </w:t>
      </w:r>
      <w:r>
        <w:rPr>
          <w:w w:val="105"/>
        </w:rPr>
        <w:t>technologies.</w:t>
      </w:r>
      <w:r>
        <w:rPr>
          <w:spacing w:val="-10"/>
          <w:w w:val="105"/>
        </w:rPr>
        <w:t> </w:t>
      </w:r>
      <w:r>
        <w:rPr>
          <w:w w:val="105"/>
        </w:rPr>
        <w:t>In</w:t>
      </w:r>
      <w:r>
        <w:rPr>
          <w:spacing w:val="-10"/>
          <w:w w:val="105"/>
        </w:rPr>
        <w:t> </w:t>
      </w:r>
      <w:r>
        <w:rPr>
          <w:w w:val="105"/>
        </w:rPr>
        <w:t>these</w:t>
      </w:r>
      <w:r>
        <w:rPr>
          <w:spacing w:val="-10"/>
          <w:w w:val="105"/>
        </w:rPr>
        <w:t> </w:t>
      </w:r>
      <w:r>
        <w:rPr>
          <w:w w:val="105"/>
        </w:rPr>
        <w:t>notes,</w:t>
      </w:r>
      <w:r>
        <w:rPr>
          <w:spacing w:val="-10"/>
          <w:w w:val="105"/>
        </w:rPr>
        <w:t> </w:t>
      </w:r>
      <w:r>
        <w:rPr>
          <w:w w:val="105"/>
        </w:rPr>
        <w:t>the</w:t>
      </w:r>
      <w:r>
        <w:rPr>
          <w:spacing w:val="-10"/>
          <w:w w:val="105"/>
        </w:rPr>
        <w:t> </w:t>
      </w:r>
      <w:r>
        <w:rPr>
          <w:w w:val="105"/>
        </w:rPr>
        <w:t>terms</w:t>
      </w:r>
      <w:r>
        <w:rPr>
          <w:spacing w:val="-10"/>
          <w:w w:val="105"/>
        </w:rPr>
        <w:t> </w:t>
      </w:r>
      <w:r>
        <w:rPr>
          <w:w w:val="105"/>
        </w:rPr>
        <w:t>“Corning,”</w:t>
      </w:r>
      <w:r>
        <w:rPr>
          <w:spacing w:val="-10"/>
          <w:w w:val="105"/>
        </w:rPr>
        <w:t> </w:t>
      </w:r>
      <w:r>
        <w:rPr>
          <w:w w:val="105"/>
        </w:rPr>
        <w:t>“Company,”</w:t>
      </w:r>
      <w:r>
        <w:rPr>
          <w:spacing w:val="-10"/>
          <w:w w:val="105"/>
        </w:rPr>
        <w:t> </w:t>
      </w:r>
      <w:r>
        <w:rPr>
          <w:w w:val="105"/>
        </w:rPr>
        <w:t>“we,” “us,” or “our” mean Corning Incorporated and subsidiary companies.</w:t>
      </w:r>
    </w:p>
    <w:p>
      <w:pPr>
        <w:pStyle w:val="BodyText"/>
        <w:spacing w:before="18"/>
      </w:pPr>
    </w:p>
    <w:p>
      <w:pPr>
        <w:pStyle w:val="Heading3"/>
      </w:pPr>
      <w:r>
        <w:rPr>
          <w:spacing w:val="-2"/>
          <w:w w:val="105"/>
        </w:rPr>
        <w:t>Basis of Presentation</w:t>
      </w:r>
      <w:r>
        <w:rPr>
          <w:spacing w:val="-1"/>
          <w:w w:val="105"/>
        </w:rPr>
        <w:t> </w:t>
      </w:r>
      <w:r>
        <w:rPr>
          <w:spacing w:val="-2"/>
          <w:w w:val="105"/>
        </w:rPr>
        <w:t>and Principles</w:t>
      </w:r>
      <w:r>
        <w:rPr>
          <w:spacing w:val="-1"/>
          <w:w w:val="105"/>
        </w:rPr>
        <w:t> </w:t>
      </w:r>
      <w:r>
        <w:rPr>
          <w:spacing w:val="-2"/>
          <w:w w:val="105"/>
        </w:rPr>
        <w:t>of Consolidation</w:t>
      </w:r>
    </w:p>
    <w:p>
      <w:pPr>
        <w:pStyle w:val="BodyText"/>
        <w:spacing w:before="40"/>
        <w:rPr>
          <w:b/>
          <w:i/>
        </w:rPr>
      </w:pPr>
    </w:p>
    <w:p>
      <w:pPr>
        <w:pStyle w:val="BodyText"/>
        <w:spacing w:line="266" w:lineRule="auto"/>
        <w:ind w:left="156"/>
      </w:pPr>
      <w:r>
        <w:rPr>
          <w:w w:val="105"/>
        </w:rPr>
        <w:t>Corning’s</w:t>
      </w:r>
      <w:r>
        <w:rPr>
          <w:spacing w:val="-10"/>
          <w:w w:val="105"/>
        </w:rPr>
        <w:t> </w:t>
      </w:r>
      <w:r>
        <w:rPr>
          <w:w w:val="105"/>
        </w:rPr>
        <w:t>consolidated</w:t>
      </w:r>
      <w:r>
        <w:rPr>
          <w:spacing w:val="-10"/>
          <w:w w:val="105"/>
        </w:rPr>
        <w:t> </w:t>
      </w:r>
      <w:r>
        <w:rPr>
          <w:w w:val="105"/>
        </w:rPr>
        <w:t>financial</w:t>
      </w:r>
      <w:r>
        <w:rPr>
          <w:spacing w:val="-10"/>
          <w:w w:val="105"/>
        </w:rPr>
        <w:t> </w:t>
      </w:r>
      <w:r>
        <w:rPr>
          <w:w w:val="105"/>
        </w:rPr>
        <w:t>statements</w:t>
      </w:r>
      <w:r>
        <w:rPr>
          <w:spacing w:val="-10"/>
          <w:w w:val="105"/>
        </w:rPr>
        <w:t> </w:t>
      </w:r>
      <w:r>
        <w:rPr>
          <w:w w:val="105"/>
        </w:rPr>
        <w:t>were</w:t>
      </w:r>
      <w:r>
        <w:rPr>
          <w:spacing w:val="-10"/>
          <w:w w:val="105"/>
        </w:rPr>
        <w:t> </w:t>
      </w:r>
      <w:r>
        <w:rPr>
          <w:w w:val="105"/>
        </w:rPr>
        <w:t>prepared</w:t>
      </w:r>
      <w:r>
        <w:rPr>
          <w:spacing w:val="-10"/>
          <w:w w:val="105"/>
        </w:rPr>
        <w:t> </w:t>
      </w:r>
      <w:r>
        <w:rPr>
          <w:w w:val="105"/>
        </w:rPr>
        <w:t>in</w:t>
      </w:r>
      <w:r>
        <w:rPr>
          <w:spacing w:val="-10"/>
          <w:w w:val="105"/>
        </w:rPr>
        <w:t> </w:t>
      </w:r>
      <w:r>
        <w:rPr>
          <w:w w:val="105"/>
        </w:rPr>
        <w:t>conformity</w:t>
      </w:r>
      <w:r>
        <w:rPr>
          <w:spacing w:val="-10"/>
          <w:w w:val="105"/>
        </w:rPr>
        <w:t> </w:t>
      </w:r>
      <w:r>
        <w:rPr>
          <w:w w:val="105"/>
        </w:rPr>
        <w:t>with</w:t>
      </w:r>
      <w:r>
        <w:rPr>
          <w:spacing w:val="-10"/>
          <w:w w:val="105"/>
        </w:rPr>
        <w:t> </w:t>
      </w:r>
      <w:r>
        <w:rPr>
          <w:w w:val="105"/>
        </w:rPr>
        <w:t>generally</w:t>
      </w:r>
      <w:r>
        <w:rPr>
          <w:spacing w:val="-10"/>
          <w:w w:val="105"/>
        </w:rPr>
        <w:t> </w:t>
      </w:r>
      <w:r>
        <w:rPr>
          <w:w w:val="105"/>
        </w:rPr>
        <w:t>accepted</w:t>
      </w:r>
      <w:r>
        <w:rPr>
          <w:spacing w:val="-10"/>
          <w:w w:val="105"/>
        </w:rPr>
        <w:t> </w:t>
      </w:r>
      <w:r>
        <w:rPr>
          <w:w w:val="105"/>
        </w:rPr>
        <w:t>accounting</w:t>
      </w:r>
      <w:r>
        <w:rPr>
          <w:spacing w:val="-10"/>
          <w:w w:val="105"/>
        </w:rPr>
        <w:t> </w:t>
      </w:r>
      <w:r>
        <w:rPr>
          <w:w w:val="105"/>
        </w:rPr>
        <w:t>principles</w:t>
      </w:r>
      <w:r>
        <w:rPr>
          <w:spacing w:val="-10"/>
          <w:w w:val="105"/>
        </w:rPr>
        <w:t> </w:t>
      </w:r>
      <w:r>
        <w:rPr>
          <w:w w:val="105"/>
        </w:rPr>
        <w:t>in</w:t>
      </w:r>
      <w:r>
        <w:rPr>
          <w:spacing w:val="-10"/>
          <w:w w:val="105"/>
        </w:rPr>
        <w:t> </w:t>
      </w:r>
      <w:r>
        <w:rPr>
          <w:w w:val="105"/>
        </w:rPr>
        <w:t>the</w:t>
      </w:r>
      <w:r>
        <w:rPr>
          <w:spacing w:val="-10"/>
          <w:w w:val="105"/>
        </w:rPr>
        <w:t> </w:t>
      </w:r>
      <w:r>
        <w:rPr>
          <w:w w:val="105"/>
        </w:rPr>
        <w:t>U.S.</w:t>
      </w:r>
      <w:r>
        <w:rPr>
          <w:spacing w:val="-10"/>
          <w:w w:val="105"/>
        </w:rPr>
        <w:t> </w:t>
      </w:r>
      <w:r>
        <w:rPr>
          <w:w w:val="105"/>
        </w:rPr>
        <w:t>and</w:t>
      </w:r>
      <w:r>
        <w:rPr>
          <w:spacing w:val="-10"/>
          <w:w w:val="105"/>
        </w:rPr>
        <w:t> </w:t>
      </w:r>
      <w:r>
        <w:rPr>
          <w:w w:val="105"/>
        </w:rPr>
        <w:t>include</w:t>
      </w:r>
      <w:r>
        <w:rPr>
          <w:spacing w:val="-10"/>
          <w:w w:val="105"/>
        </w:rPr>
        <w:t> </w:t>
      </w:r>
      <w:r>
        <w:rPr>
          <w:w w:val="105"/>
        </w:rPr>
        <w:t>the</w:t>
      </w:r>
      <w:r>
        <w:rPr>
          <w:spacing w:val="-10"/>
          <w:w w:val="105"/>
        </w:rPr>
        <w:t> </w:t>
      </w:r>
      <w:r>
        <w:rPr>
          <w:w w:val="105"/>
        </w:rPr>
        <w:t>assets,</w:t>
      </w:r>
      <w:r>
        <w:rPr>
          <w:spacing w:val="-10"/>
          <w:w w:val="105"/>
        </w:rPr>
        <w:t> </w:t>
      </w:r>
      <w:r>
        <w:rPr>
          <w:w w:val="105"/>
        </w:rPr>
        <w:t>liabilities,</w:t>
      </w:r>
      <w:r>
        <w:rPr>
          <w:spacing w:val="-10"/>
          <w:w w:val="105"/>
        </w:rPr>
        <w:t> </w:t>
      </w:r>
      <w:r>
        <w:rPr>
          <w:w w:val="105"/>
        </w:rPr>
        <w:t>revenue and expenses of all majority-owned subsidiaries over which Corning exercises control.</w:t>
      </w:r>
    </w:p>
    <w:p>
      <w:pPr>
        <w:pStyle w:val="BodyText"/>
        <w:spacing w:before="19"/>
      </w:pPr>
    </w:p>
    <w:p>
      <w:pPr>
        <w:pStyle w:val="BodyText"/>
        <w:spacing w:line="266" w:lineRule="auto"/>
        <w:ind w:left="156" w:right="117"/>
      </w:pPr>
      <w:r>
        <w:rPr>
          <w:w w:val="105"/>
        </w:rPr>
        <w:t>The</w:t>
      </w:r>
      <w:r>
        <w:rPr>
          <w:spacing w:val="-8"/>
          <w:w w:val="105"/>
        </w:rPr>
        <w:t> </w:t>
      </w:r>
      <w:r>
        <w:rPr>
          <w:w w:val="105"/>
        </w:rPr>
        <w:t>equity</w:t>
      </w:r>
      <w:r>
        <w:rPr>
          <w:spacing w:val="-8"/>
          <w:w w:val="105"/>
        </w:rPr>
        <w:t> </w:t>
      </w:r>
      <w:r>
        <w:rPr>
          <w:w w:val="105"/>
        </w:rPr>
        <w:t>method</w:t>
      </w:r>
      <w:r>
        <w:rPr>
          <w:spacing w:val="-8"/>
          <w:w w:val="105"/>
        </w:rPr>
        <w:t> </w:t>
      </w:r>
      <w:r>
        <w:rPr>
          <w:w w:val="105"/>
        </w:rPr>
        <w:t>of</w:t>
      </w:r>
      <w:r>
        <w:rPr>
          <w:spacing w:val="-8"/>
          <w:w w:val="105"/>
        </w:rPr>
        <w:t> </w:t>
      </w:r>
      <w:r>
        <w:rPr>
          <w:w w:val="105"/>
        </w:rPr>
        <w:t>accounting</w:t>
      </w:r>
      <w:r>
        <w:rPr>
          <w:spacing w:val="-8"/>
          <w:w w:val="105"/>
        </w:rPr>
        <w:t> </w:t>
      </w:r>
      <w:r>
        <w:rPr>
          <w:w w:val="105"/>
        </w:rPr>
        <w:t>is</w:t>
      </w:r>
      <w:r>
        <w:rPr>
          <w:spacing w:val="-8"/>
          <w:w w:val="105"/>
        </w:rPr>
        <w:t> </w:t>
      </w:r>
      <w:r>
        <w:rPr>
          <w:w w:val="105"/>
        </w:rPr>
        <w:t>used</w:t>
      </w:r>
      <w:r>
        <w:rPr>
          <w:spacing w:val="-8"/>
          <w:w w:val="105"/>
        </w:rPr>
        <w:t> </w:t>
      </w:r>
      <w:r>
        <w:rPr>
          <w:w w:val="105"/>
        </w:rPr>
        <w:t>for</w:t>
      </w:r>
      <w:r>
        <w:rPr>
          <w:spacing w:val="-8"/>
          <w:w w:val="105"/>
        </w:rPr>
        <w:t> </w:t>
      </w:r>
      <w:r>
        <w:rPr>
          <w:w w:val="105"/>
        </w:rPr>
        <w:t>investments</w:t>
      </w:r>
      <w:r>
        <w:rPr>
          <w:spacing w:val="-8"/>
          <w:w w:val="105"/>
        </w:rPr>
        <w:t> </w:t>
      </w:r>
      <w:r>
        <w:rPr>
          <w:w w:val="105"/>
        </w:rPr>
        <w:t>in</w:t>
      </w:r>
      <w:r>
        <w:rPr>
          <w:spacing w:val="-8"/>
          <w:w w:val="105"/>
        </w:rPr>
        <w:t> </w:t>
      </w:r>
      <w:r>
        <w:rPr>
          <w:w w:val="105"/>
        </w:rPr>
        <w:t>affiliated</w:t>
      </w:r>
      <w:r>
        <w:rPr>
          <w:spacing w:val="-8"/>
          <w:w w:val="105"/>
        </w:rPr>
        <w:t> </w:t>
      </w:r>
      <w:r>
        <w:rPr>
          <w:w w:val="105"/>
        </w:rPr>
        <w:t>companies</w:t>
      </w:r>
      <w:r>
        <w:rPr>
          <w:spacing w:val="-6"/>
          <w:w w:val="105"/>
        </w:rPr>
        <w:t> </w:t>
      </w:r>
      <w:r>
        <w:rPr>
          <w:w w:val="105"/>
        </w:rPr>
        <w:t>that</w:t>
      </w:r>
      <w:r>
        <w:rPr>
          <w:spacing w:val="-8"/>
          <w:w w:val="105"/>
        </w:rPr>
        <w:t> </w:t>
      </w:r>
      <w:r>
        <w:rPr>
          <w:w w:val="105"/>
        </w:rPr>
        <w:t>are</w:t>
      </w:r>
      <w:r>
        <w:rPr>
          <w:spacing w:val="-7"/>
          <w:w w:val="105"/>
        </w:rPr>
        <w:t> </w:t>
      </w:r>
      <w:r>
        <w:rPr>
          <w:w w:val="105"/>
        </w:rPr>
        <w:t>not</w:t>
      </w:r>
      <w:r>
        <w:rPr>
          <w:spacing w:val="-8"/>
          <w:w w:val="105"/>
        </w:rPr>
        <w:t> </w:t>
      </w:r>
      <w:r>
        <w:rPr>
          <w:w w:val="105"/>
        </w:rPr>
        <w:t>controlled</w:t>
      </w:r>
      <w:r>
        <w:rPr>
          <w:spacing w:val="-8"/>
          <w:w w:val="105"/>
        </w:rPr>
        <w:t> </w:t>
      </w:r>
      <w:r>
        <w:rPr>
          <w:w w:val="105"/>
        </w:rPr>
        <w:t>by</w:t>
      </w:r>
      <w:r>
        <w:rPr>
          <w:spacing w:val="-8"/>
          <w:w w:val="105"/>
        </w:rPr>
        <w:t> </w:t>
      </w:r>
      <w:r>
        <w:rPr>
          <w:w w:val="105"/>
        </w:rPr>
        <w:t>Corning</w:t>
      </w:r>
      <w:r>
        <w:rPr>
          <w:spacing w:val="-8"/>
          <w:w w:val="105"/>
        </w:rPr>
        <w:t> </w:t>
      </w:r>
      <w:r>
        <w:rPr>
          <w:w w:val="105"/>
        </w:rPr>
        <w:t>and</w:t>
      </w:r>
      <w:r>
        <w:rPr>
          <w:spacing w:val="-8"/>
          <w:w w:val="105"/>
        </w:rPr>
        <w:t> </w:t>
      </w:r>
      <w:r>
        <w:rPr>
          <w:w w:val="105"/>
        </w:rPr>
        <w:t>in</w:t>
      </w:r>
      <w:r>
        <w:rPr>
          <w:spacing w:val="-8"/>
          <w:w w:val="105"/>
        </w:rPr>
        <w:t> </w:t>
      </w:r>
      <w:r>
        <w:rPr>
          <w:w w:val="105"/>
        </w:rPr>
        <w:t>which</w:t>
      </w:r>
      <w:r>
        <w:rPr>
          <w:spacing w:val="-8"/>
          <w:w w:val="105"/>
        </w:rPr>
        <w:t> </w:t>
      </w:r>
      <w:r>
        <w:rPr>
          <w:w w:val="105"/>
        </w:rPr>
        <w:t>our</w:t>
      </w:r>
      <w:r>
        <w:rPr>
          <w:spacing w:val="-8"/>
          <w:w w:val="105"/>
        </w:rPr>
        <w:t> </w:t>
      </w:r>
      <w:r>
        <w:rPr>
          <w:w w:val="105"/>
        </w:rPr>
        <w:t>interest</w:t>
      </w:r>
      <w:r>
        <w:rPr>
          <w:spacing w:val="-8"/>
          <w:w w:val="105"/>
        </w:rPr>
        <w:t> </w:t>
      </w:r>
      <w:r>
        <w:rPr>
          <w:w w:val="105"/>
        </w:rPr>
        <w:t>is</w:t>
      </w:r>
      <w:r>
        <w:rPr>
          <w:spacing w:val="-8"/>
          <w:w w:val="105"/>
        </w:rPr>
        <w:t> </w:t>
      </w:r>
      <w:r>
        <w:rPr>
          <w:w w:val="105"/>
        </w:rPr>
        <w:t>generally</w:t>
      </w:r>
      <w:r>
        <w:rPr>
          <w:spacing w:val="-8"/>
          <w:w w:val="105"/>
        </w:rPr>
        <w:t> </w:t>
      </w:r>
      <w:r>
        <w:rPr>
          <w:w w:val="105"/>
        </w:rPr>
        <w:t>between</w:t>
      </w:r>
      <w:r>
        <w:rPr>
          <w:spacing w:val="-8"/>
          <w:w w:val="105"/>
        </w:rPr>
        <w:t> </w:t>
      </w:r>
      <w:r>
        <w:rPr>
          <w:w w:val="105"/>
        </w:rPr>
        <w:t>20%</w:t>
      </w:r>
      <w:r>
        <w:rPr>
          <w:spacing w:val="-8"/>
          <w:w w:val="105"/>
        </w:rPr>
        <w:t> </w:t>
      </w:r>
      <w:r>
        <w:rPr>
          <w:w w:val="105"/>
        </w:rPr>
        <w:t>and 50%</w:t>
      </w:r>
      <w:r>
        <w:rPr>
          <w:spacing w:val="-2"/>
          <w:w w:val="105"/>
        </w:rPr>
        <w:t> </w:t>
      </w:r>
      <w:r>
        <w:rPr>
          <w:w w:val="105"/>
        </w:rPr>
        <w:t>and</w:t>
      </w:r>
      <w:r>
        <w:rPr>
          <w:spacing w:val="-2"/>
          <w:w w:val="105"/>
        </w:rPr>
        <w:t> </w:t>
      </w:r>
      <w:r>
        <w:rPr>
          <w:w w:val="105"/>
        </w:rPr>
        <w:t>we</w:t>
      </w:r>
      <w:r>
        <w:rPr>
          <w:spacing w:val="-2"/>
          <w:w w:val="105"/>
        </w:rPr>
        <w:t> </w:t>
      </w:r>
      <w:r>
        <w:rPr>
          <w:w w:val="105"/>
        </w:rPr>
        <w:t>have</w:t>
      </w:r>
      <w:r>
        <w:rPr>
          <w:spacing w:val="-2"/>
          <w:w w:val="105"/>
        </w:rPr>
        <w:t> </w:t>
      </w:r>
      <w:r>
        <w:rPr>
          <w:w w:val="105"/>
        </w:rPr>
        <w:t>significant</w:t>
      </w:r>
      <w:r>
        <w:rPr>
          <w:spacing w:val="-2"/>
          <w:w w:val="105"/>
        </w:rPr>
        <w:t> </w:t>
      </w:r>
      <w:r>
        <w:rPr>
          <w:w w:val="105"/>
        </w:rPr>
        <w:t>influence</w:t>
      </w:r>
      <w:r>
        <w:rPr>
          <w:spacing w:val="-2"/>
          <w:w w:val="105"/>
        </w:rPr>
        <w:t> </w:t>
      </w:r>
      <w:r>
        <w:rPr>
          <w:w w:val="105"/>
        </w:rPr>
        <w:t>over</w:t>
      </w:r>
      <w:r>
        <w:rPr>
          <w:spacing w:val="-2"/>
          <w:w w:val="105"/>
        </w:rPr>
        <w:t> </w:t>
      </w:r>
      <w:r>
        <w:rPr>
          <w:w w:val="105"/>
        </w:rPr>
        <w:t>the</w:t>
      </w:r>
      <w:r>
        <w:rPr>
          <w:spacing w:val="-2"/>
          <w:w w:val="105"/>
        </w:rPr>
        <w:t> </w:t>
      </w:r>
      <w:r>
        <w:rPr>
          <w:w w:val="105"/>
        </w:rPr>
        <w:t>entity.</w:t>
      </w:r>
      <w:r>
        <w:rPr>
          <w:spacing w:val="-2"/>
          <w:w w:val="105"/>
        </w:rPr>
        <w:t> </w:t>
      </w:r>
      <w:r>
        <w:rPr>
          <w:w w:val="105"/>
        </w:rPr>
        <w:t>Our</w:t>
      </w:r>
      <w:r>
        <w:rPr>
          <w:spacing w:val="-2"/>
          <w:w w:val="105"/>
        </w:rPr>
        <w:t> </w:t>
      </w:r>
      <w:r>
        <w:rPr>
          <w:w w:val="105"/>
        </w:rPr>
        <w:t>share</w:t>
      </w:r>
      <w:r>
        <w:rPr>
          <w:spacing w:val="-2"/>
          <w:w w:val="105"/>
        </w:rPr>
        <w:t> </w:t>
      </w:r>
      <w:r>
        <w:rPr>
          <w:w w:val="105"/>
        </w:rPr>
        <w:t>of</w:t>
      </w:r>
      <w:r>
        <w:rPr>
          <w:spacing w:val="-2"/>
          <w:w w:val="105"/>
        </w:rPr>
        <w:t> </w:t>
      </w:r>
      <w:r>
        <w:rPr>
          <w:w w:val="105"/>
        </w:rPr>
        <w:t>earnings</w:t>
      </w:r>
      <w:r>
        <w:rPr>
          <w:spacing w:val="-2"/>
          <w:w w:val="105"/>
        </w:rPr>
        <w:t> </w:t>
      </w:r>
      <w:r>
        <w:rPr>
          <w:w w:val="105"/>
        </w:rPr>
        <w:t>or</w:t>
      </w:r>
      <w:r>
        <w:rPr>
          <w:spacing w:val="-2"/>
          <w:w w:val="105"/>
        </w:rPr>
        <w:t> </w:t>
      </w:r>
      <w:r>
        <w:rPr>
          <w:w w:val="105"/>
        </w:rPr>
        <w:t>losses</w:t>
      </w:r>
      <w:r>
        <w:rPr>
          <w:spacing w:val="-2"/>
          <w:w w:val="105"/>
        </w:rPr>
        <w:t> </w:t>
      </w:r>
      <w:r>
        <w:rPr>
          <w:w w:val="105"/>
        </w:rPr>
        <w:t>of</w:t>
      </w:r>
      <w:r>
        <w:rPr>
          <w:spacing w:val="-2"/>
          <w:w w:val="105"/>
        </w:rPr>
        <w:t> </w:t>
      </w:r>
      <w:r>
        <w:rPr>
          <w:w w:val="105"/>
        </w:rPr>
        <w:t>these</w:t>
      </w:r>
      <w:r>
        <w:rPr>
          <w:spacing w:val="-2"/>
          <w:w w:val="105"/>
        </w:rPr>
        <w:t> </w:t>
      </w:r>
      <w:r>
        <w:rPr>
          <w:w w:val="105"/>
        </w:rPr>
        <w:t>affiliated</w:t>
      </w:r>
      <w:r>
        <w:rPr>
          <w:spacing w:val="-2"/>
          <w:w w:val="105"/>
        </w:rPr>
        <w:t> </w:t>
      </w:r>
      <w:r>
        <w:rPr>
          <w:w w:val="105"/>
        </w:rPr>
        <w:t>companies</w:t>
      </w:r>
      <w:r>
        <w:rPr>
          <w:spacing w:val="-2"/>
          <w:w w:val="105"/>
        </w:rPr>
        <w:t> </w:t>
      </w:r>
      <w:r>
        <w:rPr>
          <w:w w:val="105"/>
        </w:rPr>
        <w:t>is</w:t>
      </w:r>
      <w:r>
        <w:rPr>
          <w:spacing w:val="-2"/>
          <w:w w:val="105"/>
        </w:rPr>
        <w:t> </w:t>
      </w:r>
      <w:r>
        <w:rPr>
          <w:w w:val="105"/>
        </w:rPr>
        <w:t>included</w:t>
      </w:r>
      <w:r>
        <w:rPr>
          <w:spacing w:val="-2"/>
          <w:w w:val="105"/>
        </w:rPr>
        <w:t> </w:t>
      </w:r>
      <w:r>
        <w:rPr>
          <w:w w:val="105"/>
        </w:rPr>
        <w:t>in</w:t>
      </w:r>
      <w:r>
        <w:rPr>
          <w:spacing w:val="-2"/>
          <w:w w:val="105"/>
        </w:rPr>
        <w:t> </w:t>
      </w:r>
      <w:r>
        <w:rPr>
          <w:w w:val="105"/>
        </w:rPr>
        <w:t>consolidated</w:t>
      </w:r>
      <w:r>
        <w:rPr>
          <w:spacing w:val="-2"/>
          <w:w w:val="105"/>
        </w:rPr>
        <w:t> </w:t>
      </w:r>
      <w:r>
        <w:rPr>
          <w:w w:val="105"/>
        </w:rPr>
        <w:t>operating</w:t>
      </w:r>
      <w:r>
        <w:rPr>
          <w:spacing w:val="-2"/>
          <w:w w:val="105"/>
        </w:rPr>
        <w:t> </w:t>
      </w:r>
      <w:r>
        <w:rPr>
          <w:w w:val="105"/>
        </w:rPr>
        <w:t>results.</w:t>
      </w:r>
    </w:p>
    <w:p>
      <w:pPr>
        <w:pStyle w:val="BodyText"/>
        <w:spacing w:before="19"/>
      </w:pPr>
    </w:p>
    <w:p>
      <w:pPr>
        <w:pStyle w:val="BodyText"/>
        <w:spacing w:line="266" w:lineRule="auto"/>
        <w:ind w:left="156" w:right="117"/>
      </w:pPr>
      <w:r>
        <w:rPr>
          <w:w w:val="105"/>
        </w:rPr>
        <w:t>For</w:t>
      </w:r>
      <w:r>
        <w:rPr>
          <w:spacing w:val="-7"/>
          <w:w w:val="105"/>
        </w:rPr>
        <w:t> </w:t>
      </w:r>
      <w:r>
        <w:rPr>
          <w:w w:val="105"/>
        </w:rPr>
        <w:t>our</w:t>
      </w:r>
      <w:r>
        <w:rPr>
          <w:spacing w:val="-7"/>
          <w:w w:val="105"/>
        </w:rPr>
        <w:t> </w:t>
      </w:r>
      <w:r>
        <w:rPr>
          <w:w w:val="105"/>
        </w:rPr>
        <w:t>investments</w:t>
      </w:r>
      <w:r>
        <w:rPr>
          <w:spacing w:val="-7"/>
          <w:w w:val="105"/>
        </w:rPr>
        <w:t> </w:t>
      </w:r>
      <w:r>
        <w:rPr>
          <w:w w:val="105"/>
        </w:rPr>
        <w:t>in</w:t>
      </w:r>
      <w:r>
        <w:rPr>
          <w:spacing w:val="-7"/>
          <w:w w:val="105"/>
        </w:rPr>
        <w:t> </w:t>
      </w:r>
      <w:r>
        <w:rPr>
          <w:w w:val="105"/>
        </w:rPr>
        <w:t>companies</w:t>
      </w:r>
      <w:r>
        <w:rPr>
          <w:spacing w:val="-7"/>
          <w:w w:val="105"/>
        </w:rPr>
        <w:t> </w:t>
      </w:r>
      <w:r>
        <w:rPr>
          <w:w w:val="105"/>
        </w:rPr>
        <w:t>that</w:t>
      </w:r>
      <w:r>
        <w:rPr>
          <w:spacing w:val="-7"/>
          <w:w w:val="105"/>
        </w:rPr>
        <w:t> </w:t>
      </w:r>
      <w:r>
        <w:rPr>
          <w:w w:val="105"/>
        </w:rPr>
        <w:t>we</w:t>
      </w:r>
      <w:r>
        <w:rPr>
          <w:spacing w:val="-7"/>
          <w:w w:val="105"/>
        </w:rPr>
        <w:t> </w:t>
      </w:r>
      <w:r>
        <w:rPr>
          <w:w w:val="105"/>
        </w:rPr>
        <w:t>do</w:t>
      </w:r>
      <w:r>
        <w:rPr>
          <w:spacing w:val="-7"/>
          <w:w w:val="105"/>
        </w:rPr>
        <w:t> </w:t>
      </w:r>
      <w:r>
        <w:rPr>
          <w:w w:val="105"/>
        </w:rPr>
        <w:t>not</w:t>
      </w:r>
      <w:r>
        <w:rPr>
          <w:spacing w:val="-7"/>
          <w:w w:val="105"/>
        </w:rPr>
        <w:t> </w:t>
      </w:r>
      <w:r>
        <w:rPr>
          <w:w w:val="105"/>
        </w:rPr>
        <w:t>control</w:t>
      </w:r>
      <w:r>
        <w:rPr>
          <w:spacing w:val="-7"/>
          <w:w w:val="105"/>
        </w:rPr>
        <w:t> </w:t>
      </w:r>
      <w:r>
        <w:rPr>
          <w:w w:val="105"/>
        </w:rPr>
        <w:t>and</w:t>
      </w:r>
      <w:r>
        <w:rPr>
          <w:spacing w:val="-7"/>
          <w:w w:val="105"/>
        </w:rPr>
        <w:t> </w:t>
      </w:r>
      <w:r>
        <w:rPr>
          <w:w w:val="105"/>
        </w:rPr>
        <w:t>for</w:t>
      </w:r>
      <w:r>
        <w:rPr>
          <w:spacing w:val="-7"/>
          <w:w w:val="105"/>
        </w:rPr>
        <w:t> </w:t>
      </w:r>
      <w:r>
        <w:rPr>
          <w:w w:val="105"/>
        </w:rPr>
        <w:t>which</w:t>
      </w:r>
      <w:r>
        <w:rPr>
          <w:spacing w:val="-7"/>
          <w:w w:val="105"/>
        </w:rPr>
        <w:t> </w:t>
      </w:r>
      <w:r>
        <w:rPr>
          <w:w w:val="105"/>
        </w:rPr>
        <w:t>we</w:t>
      </w:r>
      <w:r>
        <w:rPr>
          <w:spacing w:val="-7"/>
          <w:w w:val="105"/>
        </w:rPr>
        <w:t> </w:t>
      </w:r>
      <w:r>
        <w:rPr>
          <w:w w:val="105"/>
        </w:rPr>
        <w:t>do</w:t>
      </w:r>
      <w:r>
        <w:rPr>
          <w:spacing w:val="-6"/>
          <w:w w:val="105"/>
        </w:rPr>
        <w:t> </w:t>
      </w:r>
      <w:r>
        <w:rPr>
          <w:w w:val="105"/>
        </w:rPr>
        <w:t>not</w:t>
      </w:r>
      <w:r>
        <w:rPr>
          <w:spacing w:val="-7"/>
          <w:w w:val="105"/>
        </w:rPr>
        <w:t> </w:t>
      </w:r>
      <w:r>
        <w:rPr>
          <w:w w:val="105"/>
        </w:rPr>
        <w:t>have</w:t>
      </w:r>
      <w:r>
        <w:rPr>
          <w:spacing w:val="-7"/>
          <w:w w:val="105"/>
        </w:rPr>
        <w:t> </w:t>
      </w:r>
      <w:r>
        <w:rPr>
          <w:w w:val="105"/>
        </w:rPr>
        <w:t>the</w:t>
      </w:r>
      <w:r>
        <w:rPr>
          <w:spacing w:val="-7"/>
          <w:w w:val="105"/>
        </w:rPr>
        <w:t> </w:t>
      </w:r>
      <w:r>
        <w:rPr>
          <w:w w:val="105"/>
        </w:rPr>
        <w:t>ability</w:t>
      </w:r>
      <w:r>
        <w:rPr>
          <w:spacing w:val="-7"/>
          <w:w w:val="105"/>
        </w:rPr>
        <w:t> </w:t>
      </w:r>
      <w:r>
        <w:rPr>
          <w:w w:val="105"/>
        </w:rPr>
        <w:t>to</w:t>
      </w:r>
      <w:r>
        <w:rPr>
          <w:spacing w:val="-7"/>
          <w:w w:val="105"/>
        </w:rPr>
        <w:t> </w:t>
      </w:r>
      <w:r>
        <w:rPr>
          <w:w w:val="105"/>
        </w:rPr>
        <w:t>exercise</w:t>
      </w:r>
      <w:r>
        <w:rPr>
          <w:spacing w:val="-7"/>
          <w:w w:val="105"/>
        </w:rPr>
        <w:t> </w:t>
      </w:r>
      <w:r>
        <w:rPr>
          <w:w w:val="105"/>
        </w:rPr>
        <w:t>significant</w:t>
      </w:r>
      <w:r>
        <w:rPr>
          <w:spacing w:val="-7"/>
          <w:w w:val="105"/>
        </w:rPr>
        <w:t> </w:t>
      </w:r>
      <w:r>
        <w:rPr>
          <w:w w:val="105"/>
        </w:rPr>
        <w:t>influence</w:t>
      </w:r>
      <w:r>
        <w:rPr>
          <w:spacing w:val="-7"/>
          <w:w w:val="105"/>
        </w:rPr>
        <w:t> </w:t>
      </w:r>
      <w:r>
        <w:rPr>
          <w:w w:val="105"/>
        </w:rPr>
        <w:t>over</w:t>
      </w:r>
      <w:r>
        <w:rPr>
          <w:spacing w:val="-7"/>
          <w:w w:val="105"/>
        </w:rPr>
        <w:t> </w:t>
      </w:r>
      <w:r>
        <w:rPr>
          <w:w w:val="105"/>
        </w:rPr>
        <w:t>operating</w:t>
      </w:r>
      <w:r>
        <w:rPr>
          <w:spacing w:val="-7"/>
          <w:w w:val="105"/>
        </w:rPr>
        <w:t> </w:t>
      </w:r>
      <w:r>
        <w:rPr>
          <w:w w:val="105"/>
        </w:rPr>
        <w:t>and</w:t>
      </w:r>
      <w:r>
        <w:rPr>
          <w:spacing w:val="-7"/>
          <w:w w:val="105"/>
        </w:rPr>
        <w:t> </w:t>
      </w:r>
      <w:r>
        <w:rPr>
          <w:w w:val="105"/>
        </w:rPr>
        <w:t>financial</w:t>
      </w:r>
      <w:r>
        <w:rPr>
          <w:spacing w:val="-7"/>
          <w:w w:val="105"/>
        </w:rPr>
        <w:t> </w:t>
      </w:r>
      <w:r>
        <w:rPr>
          <w:w w:val="105"/>
        </w:rPr>
        <w:t>policies,</w:t>
      </w:r>
      <w:r>
        <w:rPr>
          <w:spacing w:val="-7"/>
          <w:w w:val="105"/>
        </w:rPr>
        <w:t> </w:t>
      </w:r>
      <w:r>
        <w:rPr>
          <w:w w:val="105"/>
        </w:rPr>
        <w:t>we use</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method</w:t>
      </w:r>
      <w:r>
        <w:rPr>
          <w:spacing w:val="-5"/>
          <w:w w:val="105"/>
        </w:rPr>
        <w:t> </w:t>
      </w:r>
      <w:r>
        <w:rPr>
          <w:w w:val="105"/>
        </w:rPr>
        <w:t>to</w:t>
      </w:r>
      <w:r>
        <w:rPr>
          <w:spacing w:val="-3"/>
          <w:w w:val="105"/>
        </w:rPr>
        <w:t> </w:t>
      </w:r>
      <w:r>
        <w:rPr>
          <w:w w:val="105"/>
        </w:rPr>
        <w:t>account</w:t>
      </w:r>
      <w:r>
        <w:rPr>
          <w:spacing w:val="-3"/>
          <w:w w:val="105"/>
        </w:rPr>
        <w:t> </w:t>
      </w:r>
      <w:r>
        <w:rPr>
          <w:w w:val="105"/>
        </w:rPr>
        <w:t>for</w:t>
      </w:r>
      <w:r>
        <w:rPr>
          <w:spacing w:val="-3"/>
          <w:w w:val="105"/>
        </w:rPr>
        <w:t> </w:t>
      </w:r>
      <w:r>
        <w:rPr>
          <w:w w:val="105"/>
        </w:rPr>
        <w:t>the</w:t>
      </w:r>
      <w:r>
        <w:rPr>
          <w:spacing w:val="-3"/>
          <w:w w:val="105"/>
        </w:rPr>
        <w:t> </w:t>
      </w:r>
      <w:r>
        <w:rPr>
          <w:w w:val="105"/>
        </w:rPr>
        <w:t>investments</w:t>
      </w:r>
      <w:r>
        <w:rPr>
          <w:spacing w:val="-3"/>
          <w:w w:val="105"/>
        </w:rPr>
        <w:t> </w:t>
      </w:r>
      <w:r>
        <w:rPr>
          <w:w w:val="105"/>
        </w:rPr>
        <w:t>if</w:t>
      </w:r>
      <w:r>
        <w:rPr>
          <w:spacing w:val="-3"/>
          <w:w w:val="105"/>
        </w:rPr>
        <w:t> </w:t>
      </w:r>
      <w:r>
        <w:rPr>
          <w:w w:val="105"/>
        </w:rPr>
        <w:t>readily</w:t>
      </w:r>
      <w:r>
        <w:rPr>
          <w:spacing w:val="-3"/>
          <w:w w:val="105"/>
        </w:rPr>
        <w:t> </w:t>
      </w:r>
      <w:r>
        <w:rPr>
          <w:w w:val="105"/>
        </w:rPr>
        <w:t>determinable</w:t>
      </w:r>
      <w:r>
        <w:rPr>
          <w:spacing w:val="-3"/>
          <w:w w:val="105"/>
        </w:rPr>
        <w:t> </w:t>
      </w:r>
      <w:r>
        <w:rPr>
          <w:w w:val="105"/>
        </w:rPr>
        <w:t>fair</w:t>
      </w:r>
      <w:r>
        <w:rPr>
          <w:spacing w:val="-5"/>
          <w:w w:val="105"/>
        </w:rPr>
        <w:t> </w:t>
      </w:r>
      <w:r>
        <w:rPr>
          <w:w w:val="105"/>
        </w:rPr>
        <w:t>values</w:t>
      </w:r>
      <w:r>
        <w:rPr>
          <w:spacing w:val="-3"/>
          <w:w w:val="105"/>
        </w:rPr>
        <w:t> </w:t>
      </w:r>
      <w:r>
        <w:rPr>
          <w:w w:val="105"/>
        </w:rPr>
        <w:t>are</w:t>
      </w:r>
      <w:r>
        <w:rPr>
          <w:spacing w:val="-3"/>
          <w:w w:val="105"/>
        </w:rPr>
        <w:t> </w:t>
      </w:r>
      <w:r>
        <w:rPr>
          <w:w w:val="105"/>
        </w:rPr>
        <w:t>available.</w:t>
      </w:r>
      <w:r>
        <w:rPr>
          <w:spacing w:val="-3"/>
          <w:w w:val="105"/>
        </w:rPr>
        <w:t> </w:t>
      </w:r>
      <w:r>
        <w:rPr>
          <w:w w:val="105"/>
        </w:rPr>
        <w:t>For</w:t>
      </w:r>
      <w:r>
        <w:rPr>
          <w:spacing w:val="-3"/>
          <w:w w:val="105"/>
        </w:rPr>
        <w:t> </w:t>
      </w:r>
      <w:r>
        <w:rPr>
          <w:w w:val="105"/>
        </w:rPr>
        <w:t>the</w:t>
      </w:r>
      <w:r>
        <w:rPr>
          <w:spacing w:val="-3"/>
          <w:w w:val="105"/>
        </w:rPr>
        <w:t> </w:t>
      </w:r>
      <w:r>
        <w:rPr>
          <w:w w:val="105"/>
        </w:rPr>
        <w:t>investments</w:t>
      </w:r>
      <w:r>
        <w:rPr>
          <w:spacing w:val="-3"/>
          <w:w w:val="105"/>
        </w:rPr>
        <w:t> </w:t>
      </w:r>
      <w:r>
        <w:rPr>
          <w:w w:val="105"/>
        </w:rPr>
        <w:t>without</w:t>
      </w:r>
      <w:r>
        <w:rPr>
          <w:spacing w:val="-5"/>
          <w:w w:val="105"/>
        </w:rPr>
        <w:t> </w:t>
      </w:r>
      <w:r>
        <w:rPr>
          <w:w w:val="105"/>
        </w:rPr>
        <w:t>readily</w:t>
      </w:r>
      <w:r>
        <w:rPr>
          <w:spacing w:val="-3"/>
          <w:w w:val="105"/>
        </w:rPr>
        <w:t> </w:t>
      </w:r>
      <w:r>
        <w:rPr>
          <w:w w:val="105"/>
        </w:rPr>
        <w:t>determinable</w:t>
      </w:r>
      <w:r>
        <w:rPr>
          <w:spacing w:val="-3"/>
          <w:w w:val="105"/>
        </w:rPr>
        <w:t> </w:t>
      </w:r>
      <w:r>
        <w:rPr>
          <w:w w:val="105"/>
        </w:rPr>
        <w:t>fair</w:t>
      </w:r>
      <w:r>
        <w:rPr>
          <w:spacing w:val="-3"/>
          <w:w w:val="105"/>
        </w:rPr>
        <w:t> </w:t>
      </w:r>
      <w:r>
        <w:rPr>
          <w:w w:val="105"/>
        </w:rPr>
        <w:t>values,</w:t>
      </w:r>
      <w:r>
        <w:rPr>
          <w:spacing w:val="-5"/>
          <w:w w:val="105"/>
        </w:rPr>
        <w:t> </w:t>
      </w:r>
      <w:r>
        <w:rPr>
          <w:w w:val="105"/>
        </w:rPr>
        <w:t>we measure</w:t>
      </w:r>
      <w:r>
        <w:rPr>
          <w:spacing w:val="-2"/>
          <w:w w:val="105"/>
        </w:rPr>
        <w:t> </w:t>
      </w:r>
      <w:r>
        <w:rPr>
          <w:w w:val="105"/>
        </w:rPr>
        <w:t>them</w:t>
      </w:r>
      <w:r>
        <w:rPr>
          <w:spacing w:val="-2"/>
          <w:w w:val="105"/>
        </w:rPr>
        <w:t> </w:t>
      </w:r>
      <w:r>
        <w:rPr>
          <w:w w:val="105"/>
        </w:rPr>
        <w:t>at</w:t>
      </w:r>
      <w:r>
        <w:rPr>
          <w:spacing w:val="-2"/>
          <w:w w:val="105"/>
        </w:rPr>
        <w:t> </w:t>
      </w:r>
      <w:r>
        <w:rPr>
          <w:w w:val="105"/>
        </w:rPr>
        <w:t>cost minus</w:t>
      </w:r>
      <w:r>
        <w:rPr>
          <w:spacing w:val="-2"/>
          <w:w w:val="105"/>
        </w:rPr>
        <w:t> </w:t>
      </w:r>
      <w:r>
        <w:rPr>
          <w:w w:val="105"/>
        </w:rPr>
        <w:t>impairment,</w:t>
      </w:r>
      <w:r>
        <w:rPr>
          <w:spacing w:val="-2"/>
          <w:w w:val="105"/>
        </w:rPr>
        <w:t> </w:t>
      </w:r>
      <w:r>
        <w:rPr>
          <w:w w:val="105"/>
        </w:rPr>
        <w:t>if</w:t>
      </w:r>
      <w:r>
        <w:rPr>
          <w:spacing w:val="-2"/>
          <w:w w:val="105"/>
        </w:rPr>
        <w:t> </w:t>
      </w:r>
      <w:r>
        <w:rPr>
          <w:w w:val="105"/>
        </w:rPr>
        <w:t>any,</w:t>
      </w:r>
      <w:r>
        <w:rPr>
          <w:spacing w:val="-2"/>
          <w:w w:val="105"/>
        </w:rPr>
        <w:t> </w:t>
      </w:r>
      <w:r>
        <w:rPr>
          <w:w w:val="105"/>
        </w:rPr>
        <w:t>plus</w:t>
      </w:r>
      <w:r>
        <w:rPr>
          <w:spacing w:val="-2"/>
          <w:w w:val="105"/>
        </w:rPr>
        <w:t> </w:t>
      </w:r>
      <w:r>
        <w:rPr>
          <w:w w:val="105"/>
        </w:rPr>
        <w:t>or</w:t>
      </w:r>
      <w:r>
        <w:rPr>
          <w:spacing w:val="-2"/>
          <w:w w:val="105"/>
        </w:rPr>
        <w:t> </w:t>
      </w:r>
      <w:r>
        <w:rPr>
          <w:w w:val="105"/>
        </w:rPr>
        <w:t>minus</w:t>
      </w:r>
      <w:r>
        <w:rPr>
          <w:spacing w:val="-2"/>
          <w:w w:val="105"/>
        </w:rPr>
        <w:t> </w:t>
      </w:r>
      <w:r>
        <w:rPr>
          <w:w w:val="105"/>
        </w:rPr>
        <w:t>changes</w:t>
      </w:r>
      <w:r>
        <w:rPr>
          <w:spacing w:val="-2"/>
          <w:w w:val="105"/>
        </w:rPr>
        <w:t> </w:t>
      </w:r>
      <w:r>
        <w:rPr>
          <w:w w:val="105"/>
        </w:rPr>
        <w:t>resulting</w:t>
      </w:r>
      <w:r>
        <w:rPr>
          <w:spacing w:val="-2"/>
          <w:w w:val="105"/>
        </w:rPr>
        <w:t> </w:t>
      </w:r>
      <w:r>
        <w:rPr>
          <w:w w:val="105"/>
        </w:rPr>
        <w:t>from</w:t>
      </w:r>
      <w:r>
        <w:rPr>
          <w:spacing w:val="-2"/>
          <w:w w:val="105"/>
        </w:rPr>
        <w:t> </w:t>
      </w:r>
      <w:r>
        <w:rPr>
          <w:w w:val="105"/>
        </w:rPr>
        <w:t>observable</w:t>
      </w:r>
      <w:r>
        <w:rPr>
          <w:spacing w:val="-2"/>
          <w:w w:val="105"/>
        </w:rPr>
        <w:t> </w:t>
      </w:r>
      <w:r>
        <w:rPr>
          <w:w w:val="105"/>
        </w:rPr>
        <w:t>price</w:t>
      </w:r>
      <w:r>
        <w:rPr>
          <w:spacing w:val="-2"/>
          <w:w w:val="105"/>
        </w:rPr>
        <w:t> </w:t>
      </w:r>
      <w:r>
        <w:rPr>
          <w:w w:val="105"/>
        </w:rPr>
        <w:t>changes</w:t>
      </w:r>
      <w:r>
        <w:rPr>
          <w:spacing w:val="-2"/>
          <w:w w:val="105"/>
        </w:rPr>
        <w:t> </w:t>
      </w:r>
      <w:r>
        <w:rPr>
          <w:w w:val="105"/>
        </w:rPr>
        <w:t>in</w:t>
      </w:r>
      <w:r>
        <w:rPr>
          <w:spacing w:val="-2"/>
          <w:w w:val="105"/>
        </w:rPr>
        <w:t> </w:t>
      </w:r>
      <w:r>
        <w:rPr>
          <w:w w:val="105"/>
        </w:rPr>
        <w:t>orderly</w:t>
      </w:r>
      <w:r>
        <w:rPr>
          <w:spacing w:val="-2"/>
          <w:w w:val="105"/>
        </w:rPr>
        <w:t> </w:t>
      </w:r>
      <w:r>
        <w:rPr>
          <w:w w:val="105"/>
        </w:rPr>
        <w:t>transactions for</w:t>
      </w:r>
      <w:r>
        <w:rPr>
          <w:spacing w:val="-2"/>
          <w:w w:val="105"/>
        </w:rPr>
        <w:t> </w:t>
      </w:r>
      <w:r>
        <w:rPr>
          <w:w w:val="105"/>
        </w:rPr>
        <w:t>the</w:t>
      </w:r>
      <w:r>
        <w:rPr>
          <w:spacing w:val="-2"/>
          <w:w w:val="105"/>
        </w:rPr>
        <w:t> </w:t>
      </w:r>
      <w:r>
        <w:rPr>
          <w:w w:val="105"/>
        </w:rPr>
        <w:t>identical</w:t>
      </w:r>
      <w:r>
        <w:rPr>
          <w:spacing w:val="-2"/>
          <w:w w:val="105"/>
        </w:rPr>
        <w:t> </w:t>
      </w:r>
      <w:r>
        <w:rPr>
          <w:w w:val="105"/>
        </w:rPr>
        <w:t>or</w:t>
      </w:r>
      <w:r>
        <w:rPr>
          <w:spacing w:val="-2"/>
          <w:w w:val="105"/>
        </w:rPr>
        <w:t> </w:t>
      </w:r>
      <w:r>
        <w:rPr>
          <w:w w:val="105"/>
        </w:rPr>
        <w:t>a</w:t>
      </w:r>
      <w:r>
        <w:rPr>
          <w:spacing w:val="-2"/>
          <w:w w:val="105"/>
        </w:rPr>
        <w:t> </w:t>
      </w:r>
      <w:r>
        <w:rPr>
          <w:w w:val="105"/>
        </w:rPr>
        <w:t>similar </w:t>
      </w:r>
      <w:r>
        <w:rPr>
          <w:spacing w:val="-2"/>
          <w:w w:val="105"/>
        </w:rPr>
        <w:t>investment.</w:t>
      </w:r>
    </w:p>
    <w:p>
      <w:pPr>
        <w:pStyle w:val="BodyText"/>
        <w:spacing w:before="18"/>
      </w:pPr>
    </w:p>
    <w:p>
      <w:pPr>
        <w:pStyle w:val="BodyText"/>
        <w:spacing w:line="266" w:lineRule="auto"/>
        <w:ind w:left="156" w:right="328"/>
      </w:pPr>
      <w:r>
        <w:rPr>
          <w:w w:val="105"/>
        </w:rPr>
        <w:t>On</w:t>
      </w:r>
      <w:r>
        <w:rPr>
          <w:spacing w:val="-8"/>
          <w:w w:val="105"/>
        </w:rPr>
        <w:t> </w:t>
      </w:r>
      <w:r>
        <w:rPr>
          <w:w w:val="105"/>
        </w:rPr>
        <w:t>September</w:t>
      </w:r>
      <w:r>
        <w:rPr>
          <w:spacing w:val="-8"/>
          <w:w w:val="105"/>
        </w:rPr>
        <w:t> </w:t>
      </w:r>
      <w:r>
        <w:rPr>
          <w:w w:val="105"/>
        </w:rPr>
        <w:t>9,</w:t>
      </w:r>
      <w:r>
        <w:rPr>
          <w:spacing w:val="-8"/>
          <w:w w:val="105"/>
        </w:rPr>
        <w:t> </w:t>
      </w:r>
      <w:r>
        <w:rPr>
          <w:w w:val="105"/>
        </w:rPr>
        <w:t>2020,</w:t>
      </w:r>
      <w:r>
        <w:rPr>
          <w:spacing w:val="-7"/>
          <w:w w:val="105"/>
        </w:rPr>
        <w:t> </w:t>
      </w:r>
      <w:r>
        <w:rPr>
          <w:w w:val="105"/>
        </w:rPr>
        <w:t>HSG</w:t>
      </w:r>
      <w:r>
        <w:rPr>
          <w:spacing w:val="-8"/>
          <w:w w:val="105"/>
        </w:rPr>
        <w:t> </w:t>
      </w:r>
      <w:r>
        <w:rPr>
          <w:w w:val="105"/>
        </w:rPr>
        <w:t>redeemed</w:t>
      </w:r>
      <w:r>
        <w:rPr>
          <w:spacing w:val="-8"/>
          <w:w w:val="105"/>
        </w:rPr>
        <w:t> </w:t>
      </w:r>
      <w:r>
        <w:rPr>
          <w:w w:val="105"/>
        </w:rPr>
        <w:t>the</w:t>
      </w:r>
      <w:r>
        <w:rPr>
          <w:spacing w:val="-8"/>
          <w:w w:val="105"/>
        </w:rPr>
        <w:t> </w:t>
      </w:r>
      <w:r>
        <w:rPr>
          <w:w w:val="105"/>
        </w:rPr>
        <w:t>entire</w:t>
      </w:r>
      <w:r>
        <w:rPr>
          <w:spacing w:val="-8"/>
          <w:w w:val="105"/>
        </w:rPr>
        <w:t> </w:t>
      </w:r>
      <w:r>
        <w:rPr>
          <w:w w:val="105"/>
        </w:rPr>
        <w:t>ownership</w:t>
      </w:r>
      <w:r>
        <w:rPr>
          <w:spacing w:val="-6"/>
          <w:w w:val="105"/>
        </w:rPr>
        <w:t> </w:t>
      </w:r>
      <w:r>
        <w:rPr>
          <w:w w:val="105"/>
        </w:rPr>
        <w:t>interest</w:t>
      </w:r>
      <w:r>
        <w:rPr>
          <w:spacing w:val="-8"/>
          <w:w w:val="105"/>
        </w:rPr>
        <w:t> </w:t>
      </w:r>
      <w:r>
        <w:rPr>
          <w:w w:val="105"/>
        </w:rPr>
        <w:t>of</w:t>
      </w:r>
      <w:r>
        <w:rPr>
          <w:spacing w:val="-8"/>
          <w:w w:val="105"/>
        </w:rPr>
        <w:t> </w:t>
      </w:r>
      <w:r>
        <w:rPr>
          <w:w w:val="105"/>
        </w:rPr>
        <w:t>DuPont</w:t>
      </w:r>
      <w:r>
        <w:rPr>
          <w:spacing w:val="-8"/>
          <w:w w:val="105"/>
        </w:rPr>
        <w:t> </w:t>
      </w:r>
      <w:r>
        <w:rPr>
          <w:w w:val="105"/>
        </w:rPr>
        <w:t>in</w:t>
      </w:r>
      <w:r>
        <w:rPr>
          <w:spacing w:val="-8"/>
          <w:w w:val="105"/>
        </w:rPr>
        <w:t> </w:t>
      </w:r>
      <w:r>
        <w:rPr>
          <w:w w:val="105"/>
        </w:rPr>
        <w:t>HSG</w:t>
      </w:r>
      <w:r>
        <w:rPr>
          <w:spacing w:val="-8"/>
          <w:w w:val="105"/>
        </w:rPr>
        <w:t> </w:t>
      </w:r>
      <w:r>
        <w:rPr>
          <w:w w:val="105"/>
        </w:rPr>
        <w:t>with</w:t>
      </w:r>
      <w:r>
        <w:rPr>
          <w:spacing w:val="-8"/>
          <w:w w:val="105"/>
        </w:rPr>
        <w:t> </w:t>
      </w:r>
      <w:r>
        <w:rPr>
          <w:w w:val="105"/>
        </w:rPr>
        <w:t>a</w:t>
      </w:r>
      <w:r>
        <w:rPr>
          <w:spacing w:val="-8"/>
          <w:w w:val="105"/>
        </w:rPr>
        <w:t> </w:t>
      </w:r>
      <w:r>
        <w:rPr>
          <w:w w:val="105"/>
        </w:rPr>
        <w:t>value</w:t>
      </w:r>
      <w:r>
        <w:rPr>
          <w:spacing w:val="-8"/>
          <w:w w:val="105"/>
        </w:rPr>
        <w:t> </w:t>
      </w:r>
      <w:r>
        <w:rPr>
          <w:w w:val="105"/>
        </w:rPr>
        <w:t>of</w:t>
      </w:r>
      <w:r>
        <w:rPr>
          <w:spacing w:val="-8"/>
          <w:w w:val="105"/>
        </w:rPr>
        <w:t> </w:t>
      </w:r>
      <w:r>
        <w:rPr>
          <w:w w:val="105"/>
        </w:rPr>
        <w:t>$250</w:t>
      </w:r>
      <w:r>
        <w:rPr>
          <w:spacing w:val="-8"/>
          <w:w w:val="105"/>
        </w:rPr>
        <w:t> </w:t>
      </w:r>
      <w:r>
        <w:rPr>
          <w:w w:val="105"/>
        </w:rPr>
        <w:t>million.</w:t>
      </w:r>
      <w:r>
        <w:rPr>
          <w:spacing w:val="27"/>
          <w:w w:val="105"/>
        </w:rPr>
        <w:t> </w:t>
      </w:r>
      <w:r>
        <w:rPr>
          <w:w w:val="105"/>
        </w:rPr>
        <w:t>Upon</w:t>
      </w:r>
      <w:r>
        <w:rPr>
          <w:spacing w:val="-8"/>
          <w:w w:val="105"/>
        </w:rPr>
        <w:t> </w:t>
      </w:r>
      <w:r>
        <w:rPr>
          <w:w w:val="105"/>
        </w:rPr>
        <w:t>completion</w:t>
      </w:r>
      <w:r>
        <w:rPr>
          <w:spacing w:val="-8"/>
          <w:w w:val="105"/>
        </w:rPr>
        <w:t> </w:t>
      </w:r>
      <w:r>
        <w:rPr>
          <w:w w:val="105"/>
        </w:rPr>
        <w:t>of</w:t>
      </w:r>
      <w:r>
        <w:rPr>
          <w:spacing w:val="-8"/>
          <w:w w:val="105"/>
        </w:rPr>
        <w:t> </w:t>
      </w:r>
      <w:r>
        <w:rPr>
          <w:w w:val="105"/>
        </w:rPr>
        <w:t>the</w:t>
      </w:r>
      <w:r>
        <w:rPr>
          <w:spacing w:val="-8"/>
          <w:w w:val="105"/>
        </w:rPr>
        <w:t> </w:t>
      </w:r>
      <w:r>
        <w:rPr>
          <w:w w:val="105"/>
        </w:rPr>
        <w:t>Redemption,</w:t>
      </w:r>
      <w:r>
        <w:rPr>
          <w:spacing w:val="-8"/>
          <w:w w:val="105"/>
        </w:rPr>
        <w:t> </w:t>
      </w:r>
      <w:r>
        <w:rPr>
          <w:w w:val="105"/>
        </w:rPr>
        <w:t>the</w:t>
      </w:r>
      <w:r>
        <w:rPr>
          <w:spacing w:val="-8"/>
          <w:w w:val="105"/>
        </w:rPr>
        <w:t> </w:t>
      </w:r>
      <w:r>
        <w:rPr>
          <w:w w:val="105"/>
        </w:rPr>
        <w:t>Company obtained</w:t>
      </w:r>
      <w:r>
        <w:rPr>
          <w:spacing w:val="-5"/>
          <w:w w:val="105"/>
        </w:rPr>
        <w:t> </w:t>
      </w:r>
      <w:r>
        <w:rPr>
          <w:w w:val="105"/>
        </w:rPr>
        <w:t>a</w:t>
      </w:r>
      <w:r>
        <w:rPr>
          <w:spacing w:val="-5"/>
          <w:w w:val="105"/>
        </w:rPr>
        <w:t> </w:t>
      </w:r>
      <w:r>
        <w:rPr>
          <w:w w:val="105"/>
        </w:rPr>
        <w:t>100%</w:t>
      </w:r>
      <w:r>
        <w:rPr>
          <w:spacing w:val="-5"/>
          <w:w w:val="105"/>
        </w:rPr>
        <w:t> </w:t>
      </w:r>
      <w:r>
        <w:rPr>
          <w:w w:val="105"/>
        </w:rPr>
        <w:t>interest</w:t>
      </w:r>
      <w:r>
        <w:rPr>
          <w:spacing w:val="-3"/>
          <w:w w:val="105"/>
        </w:rPr>
        <w:t> </w:t>
      </w:r>
      <w:r>
        <w:rPr>
          <w:w w:val="105"/>
        </w:rPr>
        <w:t>in</w:t>
      </w:r>
      <w:r>
        <w:rPr>
          <w:spacing w:val="-5"/>
          <w:w w:val="105"/>
        </w:rPr>
        <w:t> </w:t>
      </w:r>
      <w:r>
        <w:rPr>
          <w:w w:val="105"/>
        </w:rPr>
        <w:t>HS</w:t>
      </w:r>
      <w:r>
        <w:rPr>
          <w:spacing w:val="-5"/>
          <w:w w:val="105"/>
        </w:rPr>
        <w:t> </w:t>
      </w:r>
      <w:r>
        <w:rPr>
          <w:w w:val="105"/>
        </w:rPr>
        <w:t>LLC</w:t>
      </w:r>
      <w:r>
        <w:rPr>
          <w:spacing w:val="-5"/>
          <w:w w:val="105"/>
        </w:rPr>
        <w:t> </w:t>
      </w:r>
      <w:r>
        <w:rPr>
          <w:w w:val="105"/>
        </w:rPr>
        <w:t>and</w:t>
      </w:r>
      <w:r>
        <w:rPr>
          <w:spacing w:val="-5"/>
          <w:w w:val="105"/>
        </w:rPr>
        <w:t> </w:t>
      </w:r>
      <w:r>
        <w:rPr>
          <w:w w:val="105"/>
        </w:rPr>
        <w:t>an</w:t>
      </w:r>
      <w:r>
        <w:rPr>
          <w:spacing w:val="-5"/>
          <w:w w:val="105"/>
        </w:rPr>
        <w:t> </w:t>
      </w:r>
      <w:r>
        <w:rPr>
          <w:w w:val="105"/>
        </w:rPr>
        <w:t>80.5%</w:t>
      </w:r>
      <w:r>
        <w:rPr>
          <w:spacing w:val="-5"/>
          <w:w w:val="105"/>
        </w:rPr>
        <w:t> </w:t>
      </w:r>
      <w:r>
        <w:rPr>
          <w:w w:val="105"/>
        </w:rPr>
        <w:t>interest</w:t>
      </w:r>
      <w:r>
        <w:rPr>
          <w:spacing w:val="-5"/>
          <w:w w:val="105"/>
        </w:rPr>
        <w:t> </w:t>
      </w:r>
      <w:r>
        <w:rPr>
          <w:w w:val="105"/>
        </w:rPr>
        <w:t>in</w:t>
      </w:r>
      <w:r>
        <w:rPr>
          <w:spacing w:val="-5"/>
          <w:w w:val="105"/>
        </w:rPr>
        <w:t> </w:t>
      </w:r>
      <w:r>
        <w:rPr>
          <w:w w:val="105"/>
        </w:rPr>
        <w:t>HSO</w:t>
      </w:r>
      <w:r>
        <w:rPr>
          <w:spacing w:val="-5"/>
          <w:w w:val="105"/>
        </w:rPr>
        <w:t> </w:t>
      </w:r>
      <w:r>
        <w:rPr>
          <w:w w:val="105"/>
        </w:rPr>
        <w:t>LLC,</w:t>
      </w:r>
      <w:r>
        <w:rPr>
          <w:spacing w:val="-5"/>
          <w:w w:val="105"/>
        </w:rPr>
        <w:t> </w:t>
      </w:r>
      <w:r>
        <w:rPr>
          <w:w w:val="105"/>
        </w:rPr>
        <w:t>which</w:t>
      </w:r>
      <w:r>
        <w:rPr>
          <w:spacing w:val="-5"/>
          <w:w w:val="105"/>
        </w:rPr>
        <w:t> </w:t>
      </w:r>
      <w:r>
        <w:rPr>
          <w:w w:val="105"/>
        </w:rPr>
        <w:t>are</w:t>
      </w:r>
      <w:r>
        <w:rPr>
          <w:spacing w:val="-5"/>
          <w:w w:val="105"/>
        </w:rPr>
        <w:t> </w:t>
      </w:r>
      <w:r>
        <w:rPr>
          <w:w w:val="105"/>
        </w:rPr>
        <w:t>affiliated</w:t>
      </w:r>
      <w:r>
        <w:rPr>
          <w:spacing w:val="-5"/>
          <w:w w:val="105"/>
        </w:rPr>
        <w:t> </w:t>
      </w:r>
      <w:r>
        <w:rPr>
          <w:w w:val="105"/>
        </w:rPr>
        <w:t>entities</w:t>
      </w:r>
      <w:r>
        <w:rPr>
          <w:spacing w:val="-5"/>
          <w:w w:val="105"/>
        </w:rPr>
        <w:t> </w:t>
      </w:r>
      <w:r>
        <w:rPr>
          <w:w w:val="105"/>
        </w:rPr>
        <w:t>within</w:t>
      </w:r>
      <w:r>
        <w:rPr>
          <w:spacing w:val="-5"/>
          <w:w w:val="105"/>
        </w:rPr>
        <w:t> </w:t>
      </w:r>
      <w:r>
        <w:rPr>
          <w:w w:val="105"/>
        </w:rPr>
        <w:t>HSG.</w:t>
      </w:r>
      <w:r>
        <w:rPr>
          <w:spacing w:val="33"/>
          <w:w w:val="105"/>
        </w:rPr>
        <w:t> </w:t>
      </w:r>
      <w:r>
        <w:rPr>
          <w:w w:val="105"/>
        </w:rPr>
        <w:t>HSG's</w:t>
      </w:r>
      <w:r>
        <w:rPr>
          <w:spacing w:val="-5"/>
          <w:w w:val="105"/>
        </w:rPr>
        <w:t> </w:t>
      </w:r>
      <w:r>
        <w:rPr>
          <w:w w:val="105"/>
        </w:rPr>
        <w:t>results</w:t>
      </w:r>
      <w:r>
        <w:rPr>
          <w:spacing w:val="-5"/>
          <w:w w:val="105"/>
        </w:rPr>
        <w:t> </w:t>
      </w:r>
      <w:r>
        <w:rPr>
          <w:w w:val="105"/>
        </w:rPr>
        <w:t>have</w:t>
      </w:r>
      <w:r>
        <w:rPr>
          <w:spacing w:val="-5"/>
          <w:w w:val="105"/>
        </w:rPr>
        <w:t> </w:t>
      </w:r>
      <w:r>
        <w:rPr>
          <w:w w:val="105"/>
        </w:rPr>
        <w:t>been</w:t>
      </w:r>
      <w:r>
        <w:rPr>
          <w:spacing w:val="-5"/>
          <w:w w:val="105"/>
        </w:rPr>
        <w:t> </w:t>
      </w:r>
      <w:r>
        <w:rPr>
          <w:w w:val="105"/>
        </w:rPr>
        <w:t>consolidated</w:t>
      </w:r>
      <w:r>
        <w:rPr>
          <w:spacing w:val="-5"/>
          <w:w w:val="105"/>
        </w:rPr>
        <w:t> </w:t>
      </w:r>
      <w:r>
        <w:rPr>
          <w:w w:val="105"/>
        </w:rPr>
        <w:t>in</w:t>
      </w:r>
      <w:r>
        <w:rPr>
          <w:spacing w:val="-5"/>
          <w:w w:val="105"/>
        </w:rPr>
        <w:t> </w:t>
      </w:r>
      <w:r>
        <w:rPr>
          <w:w w:val="105"/>
        </w:rPr>
        <w:t>“All</w:t>
      </w:r>
      <w:r>
        <w:rPr>
          <w:spacing w:val="-5"/>
          <w:w w:val="105"/>
        </w:rPr>
        <w:t> </w:t>
      </w:r>
      <w:r>
        <w:rPr>
          <w:w w:val="105"/>
        </w:rPr>
        <w:t>Other”. Refer</w:t>
      </w:r>
      <w:r>
        <w:rPr>
          <w:spacing w:val="-2"/>
          <w:w w:val="105"/>
        </w:rPr>
        <w:t> </w:t>
      </w:r>
      <w:r>
        <w:rPr>
          <w:w w:val="105"/>
        </w:rPr>
        <w:t>to</w:t>
      </w:r>
      <w:r>
        <w:rPr>
          <w:spacing w:val="-2"/>
          <w:w w:val="105"/>
        </w:rPr>
        <w:t> </w:t>
      </w:r>
      <w:r>
        <w:rPr>
          <w:w w:val="105"/>
        </w:rPr>
        <w:t>Note</w:t>
      </w:r>
      <w:r>
        <w:rPr>
          <w:spacing w:val="-1"/>
          <w:w w:val="105"/>
        </w:rPr>
        <w:t> </w:t>
      </w:r>
      <w:r>
        <w:rPr>
          <w:w w:val="105"/>
        </w:rPr>
        <w:t>3</w:t>
      </w:r>
      <w:r>
        <w:rPr>
          <w:spacing w:val="-2"/>
          <w:w w:val="105"/>
        </w:rPr>
        <w:t> </w:t>
      </w:r>
      <w:r>
        <w:rPr>
          <w:w w:val="105"/>
        </w:rPr>
        <w:t>(Investments)</w:t>
      </w:r>
      <w:r>
        <w:rPr>
          <w:spacing w:val="-2"/>
          <w:w w:val="105"/>
        </w:rPr>
        <w:t> </w:t>
      </w:r>
      <w:r>
        <w:rPr>
          <w:w w:val="105"/>
        </w:rPr>
        <w:t>and</w:t>
      </w:r>
      <w:r>
        <w:rPr>
          <w:spacing w:val="-2"/>
          <w:w w:val="105"/>
        </w:rPr>
        <w:t> </w:t>
      </w:r>
      <w:r>
        <w:rPr>
          <w:w w:val="105"/>
        </w:rPr>
        <w:t>Note 4</w:t>
      </w:r>
      <w:r>
        <w:rPr>
          <w:spacing w:val="-2"/>
          <w:w w:val="105"/>
        </w:rPr>
        <w:t> </w:t>
      </w:r>
      <w:r>
        <w:rPr>
          <w:w w:val="105"/>
        </w:rPr>
        <w:t>(HSG</w:t>
      </w:r>
      <w:r>
        <w:rPr>
          <w:spacing w:val="-2"/>
          <w:w w:val="105"/>
        </w:rPr>
        <w:t> </w:t>
      </w:r>
      <w:r>
        <w:rPr>
          <w:w w:val="105"/>
        </w:rPr>
        <w:t>Transactions</w:t>
      </w:r>
      <w:r>
        <w:rPr>
          <w:spacing w:val="-2"/>
          <w:w w:val="105"/>
        </w:rPr>
        <w:t> </w:t>
      </w:r>
      <w:r>
        <w:rPr>
          <w:w w:val="105"/>
        </w:rPr>
        <w:t>and</w:t>
      </w:r>
      <w:r>
        <w:rPr>
          <w:spacing w:val="-2"/>
          <w:w w:val="105"/>
        </w:rPr>
        <w:t> </w:t>
      </w:r>
      <w:r>
        <w:rPr>
          <w:w w:val="105"/>
        </w:rPr>
        <w:t>Acquisitions)</w:t>
      </w:r>
      <w:r>
        <w:rPr>
          <w:spacing w:val="-2"/>
          <w:w w:val="105"/>
        </w:rPr>
        <w:t> </w:t>
      </w:r>
      <w:r>
        <w:rPr>
          <w:w w:val="105"/>
        </w:rPr>
        <w:t>to</w:t>
      </w:r>
      <w:r>
        <w:rPr>
          <w:spacing w:val="-2"/>
          <w:w w:val="105"/>
        </w:rPr>
        <w:t> </w:t>
      </w:r>
      <w:r>
        <w:rPr>
          <w:w w:val="105"/>
        </w:rPr>
        <w:t>the</w:t>
      </w:r>
      <w:r>
        <w:rPr>
          <w:spacing w:val="-2"/>
          <w:w w:val="105"/>
        </w:rPr>
        <w:t> </w:t>
      </w:r>
      <w:r>
        <w:rPr>
          <w:w w:val="105"/>
        </w:rPr>
        <w:t>consolidated</w:t>
      </w:r>
      <w:r>
        <w:rPr>
          <w:spacing w:val="-2"/>
          <w:w w:val="105"/>
        </w:rPr>
        <w:t> </w:t>
      </w:r>
      <w:r>
        <w:rPr>
          <w:w w:val="105"/>
        </w:rPr>
        <w:t>financial</w:t>
      </w:r>
      <w:r>
        <w:rPr>
          <w:spacing w:val="-2"/>
          <w:w w:val="105"/>
        </w:rPr>
        <w:t> </w:t>
      </w:r>
      <w:r>
        <w:rPr>
          <w:w w:val="105"/>
        </w:rPr>
        <w:t>statements</w:t>
      </w:r>
      <w:r>
        <w:rPr>
          <w:spacing w:val="-2"/>
          <w:w w:val="105"/>
        </w:rPr>
        <w:t> </w:t>
      </w:r>
      <w:r>
        <w:rPr>
          <w:w w:val="105"/>
        </w:rPr>
        <w:t>for</w:t>
      </w:r>
      <w:r>
        <w:rPr>
          <w:spacing w:val="-2"/>
          <w:w w:val="105"/>
        </w:rPr>
        <w:t> </w:t>
      </w:r>
      <w:r>
        <w:rPr>
          <w:w w:val="105"/>
        </w:rPr>
        <w:t>more information.</w:t>
      </w:r>
    </w:p>
    <w:p>
      <w:pPr>
        <w:pStyle w:val="BodyText"/>
        <w:spacing w:before="18"/>
      </w:pPr>
    </w:p>
    <w:p>
      <w:pPr>
        <w:pStyle w:val="BodyText"/>
        <w:spacing w:before="1"/>
        <w:ind w:left="156"/>
      </w:pPr>
      <w:r>
        <w:rPr>
          <w:spacing w:val="-2"/>
          <w:w w:val="105"/>
        </w:rPr>
        <w:t>All</w:t>
      </w:r>
      <w:r>
        <w:rPr>
          <w:spacing w:val="1"/>
          <w:w w:val="105"/>
        </w:rPr>
        <w:t> </w:t>
      </w:r>
      <w:r>
        <w:rPr>
          <w:spacing w:val="-2"/>
          <w:w w:val="105"/>
        </w:rPr>
        <w:t>intercompany</w:t>
      </w:r>
      <w:r>
        <w:rPr>
          <w:spacing w:val="2"/>
          <w:w w:val="105"/>
        </w:rPr>
        <w:t> </w:t>
      </w:r>
      <w:r>
        <w:rPr>
          <w:spacing w:val="-2"/>
          <w:w w:val="105"/>
        </w:rPr>
        <w:t>accounts,</w:t>
      </w:r>
      <w:r>
        <w:rPr>
          <w:spacing w:val="4"/>
          <w:w w:val="105"/>
        </w:rPr>
        <w:t> </w:t>
      </w:r>
      <w:r>
        <w:rPr>
          <w:spacing w:val="-2"/>
          <w:w w:val="105"/>
        </w:rPr>
        <w:t>transactions</w:t>
      </w:r>
      <w:r>
        <w:rPr>
          <w:spacing w:val="2"/>
          <w:w w:val="105"/>
        </w:rPr>
        <w:t> </w:t>
      </w:r>
      <w:r>
        <w:rPr>
          <w:spacing w:val="-2"/>
          <w:w w:val="105"/>
        </w:rPr>
        <w:t>and</w:t>
      </w:r>
      <w:r>
        <w:rPr>
          <w:spacing w:val="2"/>
          <w:w w:val="105"/>
        </w:rPr>
        <w:t> </w:t>
      </w:r>
      <w:r>
        <w:rPr>
          <w:spacing w:val="-2"/>
          <w:w w:val="105"/>
        </w:rPr>
        <w:t>profits</w:t>
      </w:r>
      <w:r>
        <w:rPr>
          <w:spacing w:val="1"/>
          <w:w w:val="105"/>
        </w:rPr>
        <w:t> </w:t>
      </w:r>
      <w:r>
        <w:rPr>
          <w:spacing w:val="-2"/>
          <w:w w:val="105"/>
        </w:rPr>
        <w:t>are</w:t>
      </w:r>
      <w:r>
        <w:rPr>
          <w:spacing w:val="2"/>
          <w:w w:val="105"/>
        </w:rPr>
        <w:t> </w:t>
      </w:r>
      <w:r>
        <w:rPr>
          <w:spacing w:val="-2"/>
          <w:w w:val="105"/>
        </w:rPr>
        <w:t>eliminated</w:t>
      </w:r>
      <w:r>
        <w:rPr>
          <w:spacing w:val="2"/>
          <w:w w:val="105"/>
        </w:rPr>
        <w:t> </w:t>
      </w:r>
      <w:r>
        <w:rPr>
          <w:spacing w:val="-2"/>
          <w:w w:val="105"/>
        </w:rPr>
        <w:t>in</w:t>
      </w:r>
      <w:r>
        <w:rPr>
          <w:spacing w:val="2"/>
          <w:w w:val="105"/>
        </w:rPr>
        <w:t> </w:t>
      </w:r>
      <w:r>
        <w:rPr>
          <w:spacing w:val="-2"/>
          <w:w w:val="105"/>
        </w:rPr>
        <w:t>consolidation.</w:t>
      </w:r>
    </w:p>
    <w:p>
      <w:pPr>
        <w:pStyle w:val="BodyText"/>
        <w:spacing w:before="39"/>
      </w:pPr>
    </w:p>
    <w:p>
      <w:pPr>
        <w:pStyle w:val="BodyText"/>
        <w:spacing w:line="266" w:lineRule="auto"/>
        <w:ind w:left="156"/>
      </w:pPr>
      <w:r>
        <w:rPr>
          <w:w w:val="105"/>
        </w:rPr>
        <w:t>Certain</w:t>
      </w:r>
      <w:r>
        <w:rPr>
          <w:spacing w:val="-8"/>
          <w:w w:val="105"/>
        </w:rPr>
        <w:t> </w:t>
      </w:r>
      <w:r>
        <w:rPr>
          <w:w w:val="105"/>
        </w:rPr>
        <w:t>prior</w:t>
      </w:r>
      <w:r>
        <w:rPr>
          <w:spacing w:val="-8"/>
          <w:w w:val="105"/>
        </w:rPr>
        <w:t> </w:t>
      </w:r>
      <w:r>
        <w:rPr>
          <w:w w:val="105"/>
        </w:rPr>
        <w:t>year</w:t>
      </w:r>
      <w:r>
        <w:rPr>
          <w:spacing w:val="-8"/>
          <w:w w:val="105"/>
        </w:rPr>
        <w:t> </w:t>
      </w:r>
      <w:r>
        <w:rPr>
          <w:w w:val="105"/>
        </w:rPr>
        <w:t>amounts</w:t>
      </w:r>
      <w:r>
        <w:rPr>
          <w:spacing w:val="-8"/>
          <w:w w:val="105"/>
        </w:rPr>
        <w:t> </w:t>
      </w:r>
      <w:r>
        <w:rPr>
          <w:w w:val="105"/>
        </w:rPr>
        <w:t>have</w:t>
      </w:r>
      <w:r>
        <w:rPr>
          <w:spacing w:val="-8"/>
          <w:w w:val="105"/>
        </w:rPr>
        <w:t> </w:t>
      </w:r>
      <w:r>
        <w:rPr>
          <w:w w:val="105"/>
        </w:rPr>
        <w:t>been</w:t>
      </w:r>
      <w:r>
        <w:rPr>
          <w:spacing w:val="-8"/>
          <w:w w:val="105"/>
        </w:rPr>
        <w:t> </w:t>
      </w:r>
      <w:r>
        <w:rPr>
          <w:w w:val="105"/>
        </w:rPr>
        <w:t>reclassified</w:t>
      </w:r>
      <w:r>
        <w:rPr>
          <w:spacing w:val="-8"/>
          <w:w w:val="105"/>
        </w:rPr>
        <w:t> </w:t>
      </w:r>
      <w:r>
        <w:rPr>
          <w:w w:val="105"/>
        </w:rPr>
        <w:t>to</w:t>
      </w:r>
      <w:r>
        <w:rPr>
          <w:spacing w:val="-10"/>
          <w:w w:val="105"/>
        </w:rPr>
        <w:t> </w:t>
      </w:r>
      <w:r>
        <w:rPr>
          <w:w w:val="105"/>
        </w:rPr>
        <w:t>conform</w:t>
      </w:r>
      <w:r>
        <w:rPr>
          <w:spacing w:val="-8"/>
          <w:w w:val="105"/>
        </w:rPr>
        <w:t> </w:t>
      </w:r>
      <w:r>
        <w:rPr>
          <w:w w:val="105"/>
        </w:rPr>
        <w:t>to</w:t>
      </w:r>
      <w:r>
        <w:rPr>
          <w:spacing w:val="-8"/>
          <w:w w:val="105"/>
        </w:rPr>
        <w:t> </w:t>
      </w:r>
      <w:r>
        <w:rPr>
          <w:w w:val="105"/>
        </w:rPr>
        <w:t>the</w:t>
      </w:r>
      <w:r>
        <w:rPr>
          <w:spacing w:val="-8"/>
          <w:w w:val="105"/>
        </w:rPr>
        <w:t> </w:t>
      </w:r>
      <w:r>
        <w:rPr>
          <w:w w:val="105"/>
        </w:rPr>
        <w:t>current</w:t>
      </w:r>
      <w:r>
        <w:rPr>
          <w:spacing w:val="-8"/>
          <w:w w:val="105"/>
        </w:rPr>
        <w:t> </w:t>
      </w:r>
      <w:r>
        <w:rPr>
          <w:w w:val="105"/>
        </w:rPr>
        <w:t>year’s</w:t>
      </w:r>
      <w:r>
        <w:rPr>
          <w:spacing w:val="-8"/>
          <w:w w:val="105"/>
        </w:rPr>
        <w:t> </w:t>
      </w:r>
      <w:r>
        <w:rPr>
          <w:w w:val="105"/>
        </w:rPr>
        <w:t>presentation.</w:t>
      </w:r>
      <w:r>
        <w:rPr>
          <w:spacing w:val="-8"/>
          <w:w w:val="105"/>
        </w:rPr>
        <w:t> </w:t>
      </w:r>
      <w:r>
        <w:rPr>
          <w:w w:val="105"/>
        </w:rPr>
        <w:t>These</w:t>
      </w:r>
      <w:r>
        <w:rPr>
          <w:spacing w:val="-8"/>
          <w:w w:val="105"/>
        </w:rPr>
        <w:t> </w:t>
      </w:r>
      <w:r>
        <w:rPr>
          <w:w w:val="105"/>
        </w:rPr>
        <w:t>reclassifications</w:t>
      </w:r>
      <w:r>
        <w:rPr>
          <w:spacing w:val="-8"/>
          <w:w w:val="105"/>
        </w:rPr>
        <w:t> </w:t>
      </w:r>
      <w:r>
        <w:rPr>
          <w:w w:val="105"/>
        </w:rPr>
        <w:t>had</w:t>
      </w:r>
      <w:r>
        <w:rPr>
          <w:spacing w:val="-10"/>
          <w:w w:val="105"/>
        </w:rPr>
        <w:t> </w:t>
      </w:r>
      <w:r>
        <w:rPr>
          <w:w w:val="105"/>
        </w:rPr>
        <w:t>no</w:t>
      </w:r>
      <w:r>
        <w:rPr>
          <w:spacing w:val="-8"/>
          <w:w w:val="105"/>
        </w:rPr>
        <w:t> </w:t>
      </w:r>
      <w:r>
        <w:rPr>
          <w:w w:val="105"/>
        </w:rPr>
        <w:t>impact</w:t>
      </w:r>
      <w:r>
        <w:rPr>
          <w:spacing w:val="-8"/>
          <w:w w:val="105"/>
        </w:rPr>
        <w:t> </w:t>
      </w:r>
      <w:r>
        <w:rPr>
          <w:w w:val="105"/>
        </w:rPr>
        <w:t>on</w:t>
      </w:r>
      <w:r>
        <w:rPr>
          <w:spacing w:val="-8"/>
          <w:w w:val="105"/>
        </w:rPr>
        <w:t> </w:t>
      </w:r>
      <w:r>
        <w:rPr>
          <w:w w:val="105"/>
        </w:rPr>
        <w:t>the</w:t>
      </w:r>
      <w:r>
        <w:rPr>
          <w:spacing w:val="-8"/>
          <w:w w:val="105"/>
        </w:rPr>
        <w:t> </w:t>
      </w:r>
      <w:r>
        <w:rPr>
          <w:w w:val="105"/>
        </w:rPr>
        <w:t>results</w:t>
      </w:r>
      <w:r>
        <w:rPr>
          <w:spacing w:val="-8"/>
          <w:w w:val="105"/>
        </w:rPr>
        <w:t> </w:t>
      </w:r>
      <w:r>
        <w:rPr>
          <w:w w:val="105"/>
        </w:rPr>
        <w:t>of</w:t>
      </w:r>
      <w:r>
        <w:rPr>
          <w:spacing w:val="-8"/>
          <w:w w:val="105"/>
        </w:rPr>
        <w:t> </w:t>
      </w:r>
      <w:r>
        <w:rPr>
          <w:w w:val="105"/>
        </w:rPr>
        <w:t>operations,</w:t>
      </w:r>
      <w:r>
        <w:rPr>
          <w:spacing w:val="-8"/>
          <w:w w:val="105"/>
        </w:rPr>
        <w:t> </w:t>
      </w:r>
      <w:r>
        <w:rPr>
          <w:w w:val="105"/>
        </w:rPr>
        <w:t>financial position, or changes in shareholders’ equity.</w:t>
      </w:r>
    </w:p>
    <w:p>
      <w:pPr>
        <w:pStyle w:val="BodyText"/>
        <w:spacing w:before="19"/>
      </w:pPr>
    </w:p>
    <w:p>
      <w:pPr>
        <w:pStyle w:val="Heading3"/>
      </w:pPr>
      <w:r>
        <w:rPr>
          <w:w w:val="105"/>
        </w:rPr>
        <w:t>Use</w:t>
      </w:r>
      <w:r>
        <w:rPr>
          <w:spacing w:val="-5"/>
          <w:w w:val="105"/>
        </w:rPr>
        <w:t> </w:t>
      </w:r>
      <w:r>
        <w:rPr>
          <w:w w:val="105"/>
        </w:rPr>
        <w:t>of</w:t>
      </w:r>
      <w:r>
        <w:rPr>
          <w:spacing w:val="-5"/>
          <w:w w:val="105"/>
        </w:rPr>
        <w:t> </w:t>
      </w:r>
      <w:r>
        <w:rPr>
          <w:spacing w:val="-2"/>
          <w:w w:val="105"/>
        </w:rPr>
        <w:t>Estimates</w:t>
      </w:r>
    </w:p>
    <w:p>
      <w:pPr>
        <w:pStyle w:val="BodyText"/>
        <w:spacing w:before="40"/>
        <w:rPr>
          <w:b/>
          <w:i/>
        </w:rPr>
      </w:pPr>
    </w:p>
    <w:p>
      <w:pPr>
        <w:pStyle w:val="BodyText"/>
        <w:spacing w:line="266" w:lineRule="auto"/>
        <w:ind w:left="156" w:right="105"/>
      </w:pPr>
      <w:r>
        <w:rPr>
          <w:w w:val="105"/>
        </w:rPr>
        <w:t>The</w:t>
      </w:r>
      <w:r>
        <w:rPr>
          <w:spacing w:val="-8"/>
          <w:w w:val="105"/>
        </w:rPr>
        <w:t> </w:t>
      </w:r>
      <w:r>
        <w:rPr>
          <w:w w:val="105"/>
        </w:rPr>
        <w:t>preparation</w:t>
      </w:r>
      <w:r>
        <w:rPr>
          <w:spacing w:val="-8"/>
          <w:w w:val="105"/>
        </w:rPr>
        <w:t> </w:t>
      </w:r>
      <w:r>
        <w:rPr>
          <w:w w:val="105"/>
        </w:rPr>
        <w:t>of</w:t>
      </w:r>
      <w:r>
        <w:rPr>
          <w:spacing w:val="-8"/>
          <w:w w:val="105"/>
        </w:rPr>
        <w:t> </w:t>
      </w:r>
      <w:r>
        <w:rPr>
          <w:w w:val="105"/>
        </w:rPr>
        <w:t>financial</w:t>
      </w:r>
      <w:r>
        <w:rPr>
          <w:spacing w:val="-8"/>
          <w:w w:val="105"/>
        </w:rPr>
        <w:t> </w:t>
      </w:r>
      <w:r>
        <w:rPr>
          <w:w w:val="105"/>
        </w:rPr>
        <w:t>statements,</w:t>
      </w:r>
      <w:r>
        <w:rPr>
          <w:spacing w:val="-8"/>
          <w:w w:val="105"/>
        </w:rPr>
        <w:t> </w:t>
      </w:r>
      <w:r>
        <w:rPr>
          <w:w w:val="105"/>
        </w:rPr>
        <w:t>in</w:t>
      </w:r>
      <w:r>
        <w:rPr>
          <w:spacing w:val="-8"/>
          <w:w w:val="105"/>
        </w:rPr>
        <w:t> </w:t>
      </w:r>
      <w:r>
        <w:rPr>
          <w:w w:val="105"/>
        </w:rPr>
        <w:t>conformity</w:t>
      </w:r>
      <w:r>
        <w:rPr>
          <w:spacing w:val="-8"/>
          <w:w w:val="105"/>
        </w:rPr>
        <w:t> </w:t>
      </w:r>
      <w:r>
        <w:rPr>
          <w:w w:val="105"/>
        </w:rPr>
        <w:t>with</w:t>
      </w:r>
      <w:r>
        <w:rPr>
          <w:spacing w:val="-8"/>
          <w:w w:val="105"/>
        </w:rPr>
        <w:t> </w:t>
      </w:r>
      <w:r>
        <w:rPr>
          <w:w w:val="105"/>
        </w:rPr>
        <w:t>GAAP,</w:t>
      </w:r>
      <w:r>
        <w:rPr>
          <w:spacing w:val="-8"/>
          <w:w w:val="105"/>
        </w:rPr>
        <w:t> </w:t>
      </w:r>
      <w:r>
        <w:rPr>
          <w:w w:val="105"/>
        </w:rPr>
        <w:t>requires</w:t>
      </w:r>
      <w:r>
        <w:rPr>
          <w:spacing w:val="-8"/>
          <w:w w:val="105"/>
        </w:rPr>
        <w:t> </w:t>
      </w:r>
      <w:r>
        <w:rPr>
          <w:w w:val="105"/>
        </w:rPr>
        <w:t>management</w:t>
      </w:r>
      <w:r>
        <w:rPr>
          <w:spacing w:val="-8"/>
          <w:w w:val="105"/>
        </w:rPr>
        <w:t> </w:t>
      </w:r>
      <w:r>
        <w:rPr>
          <w:w w:val="105"/>
        </w:rPr>
        <w:t>to</w:t>
      </w:r>
      <w:r>
        <w:rPr>
          <w:spacing w:val="-8"/>
          <w:w w:val="105"/>
        </w:rPr>
        <w:t> </w:t>
      </w:r>
      <w:r>
        <w:rPr>
          <w:w w:val="105"/>
        </w:rPr>
        <w:t>make</w:t>
      </w:r>
      <w:r>
        <w:rPr>
          <w:spacing w:val="-8"/>
          <w:w w:val="105"/>
        </w:rPr>
        <w:t> </w:t>
      </w:r>
      <w:r>
        <w:rPr>
          <w:w w:val="105"/>
        </w:rPr>
        <w:t>estimates</w:t>
      </w:r>
      <w:r>
        <w:rPr>
          <w:spacing w:val="-8"/>
          <w:w w:val="105"/>
        </w:rPr>
        <w:t> </w:t>
      </w:r>
      <w:r>
        <w:rPr>
          <w:w w:val="105"/>
        </w:rPr>
        <w:t>and</w:t>
      </w:r>
      <w:r>
        <w:rPr>
          <w:spacing w:val="-6"/>
          <w:w w:val="105"/>
        </w:rPr>
        <w:t> </w:t>
      </w:r>
      <w:r>
        <w:rPr>
          <w:w w:val="105"/>
        </w:rPr>
        <w:t>assumptions</w:t>
      </w:r>
      <w:r>
        <w:rPr>
          <w:spacing w:val="-8"/>
          <w:w w:val="105"/>
        </w:rPr>
        <w:t> </w:t>
      </w:r>
      <w:r>
        <w:rPr>
          <w:w w:val="105"/>
        </w:rPr>
        <w:t>affecting</w:t>
      </w:r>
      <w:r>
        <w:rPr>
          <w:spacing w:val="-8"/>
          <w:w w:val="105"/>
        </w:rPr>
        <w:t> </w:t>
      </w:r>
      <w:r>
        <w:rPr>
          <w:w w:val="105"/>
        </w:rPr>
        <w:t>reported</w:t>
      </w:r>
      <w:r>
        <w:rPr>
          <w:spacing w:val="-8"/>
          <w:w w:val="105"/>
        </w:rPr>
        <w:t> </w:t>
      </w:r>
      <w:r>
        <w:rPr>
          <w:w w:val="105"/>
        </w:rPr>
        <w:t>amounts</w:t>
      </w:r>
      <w:r>
        <w:rPr>
          <w:spacing w:val="-8"/>
          <w:w w:val="105"/>
        </w:rPr>
        <w:t> </w:t>
      </w:r>
      <w:r>
        <w:rPr>
          <w:w w:val="105"/>
        </w:rPr>
        <w:t>of</w:t>
      </w:r>
      <w:r>
        <w:rPr>
          <w:spacing w:val="-8"/>
          <w:w w:val="105"/>
        </w:rPr>
        <w:t> </w:t>
      </w:r>
      <w:r>
        <w:rPr>
          <w:w w:val="105"/>
        </w:rPr>
        <w:t>assets,</w:t>
      </w:r>
      <w:r>
        <w:rPr>
          <w:spacing w:val="-8"/>
          <w:w w:val="105"/>
        </w:rPr>
        <w:t> </w:t>
      </w:r>
      <w:r>
        <w:rPr>
          <w:w w:val="105"/>
        </w:rPr>
        <w:t>liabilities, revenue,</w:t>
      </w:r>
      <w:r>
        <w:rPr>
          <w:spacing w:val="-3"/>
          <w:w w:val="105"/>
        </w:rPr>
        <w:t> </w:t>
      </w:r>
      <w:r>
        <w:rPr>
          <w:w w:val="105"/>
        </w:rPr>
        <w:t>expenses</w:t>
      </w:r>
      <w:r>
        <w:rPr>
          <w:spacing w:val="-3"/>
          <w:w w:val="105"/>
        </w:rPr>
        <w:t> </w:t>
      </w:r>
      <w:r>
        <w:rPr>
          <w:w w:val="105"/>
        </w:rPr>
        <w:t>and</w:t>
      </w:r>
      <w:r>
        <w:rPr>
          <w:spacing w:val="-3"/>
          <w:w w:val="105"/>
        </w:rPr>
        <w:t> </w:t>
      </w:r>
      <w:r>
        <w:rPr>
          <w:w w:val="105"/>
        </w:rPr>
        <w:t>the</w:t>
      </w:r>
      <w:r>
        <w:rPr>
          <w:spacing w:val="-3"/>
          <w:w w:val="105"/>
        </w:rPr>
        <w:t> </w:t>
      </w:r>
      <w:r>
        <w:rPr>
          <w:w w:val="105"/>
        </w:rPr>
        <w:t>disclosure</w:t>
      </w:r>
      <w:r>
        <w:rPr>
          <w:spacing w:val="-3"/>
          <w:w w:val="105"/>
        </w:rPr>
        <w:t> </w:t>
      </w:r>
      <w:r>
        <w:rPr>
          <w:w w:val="105"/>
        </w:rPr>
        <w:t>of</w:t>
      </w:r>
      <w:r>
        <w:rPr>
          <w:spacing w:val="-3"/>
          <w:w w:val="105"/>
        </w:rPr>
        <w:t> </w:t>
      </w:r>
      <w:r>
        <w:rPr>
          <w:w w:val="105"/>
        </w:rPr>
        <w:t>contingent</w:t>
      </w:r>
      <w:r>
        <w:rPr>
          <w:spacing w:val="-3"/>
          <w:w w:val="105"/>
        </w:rPr>
        <w:t> </w:t>
      </w:r>
      <w:r>
        <w:rPr>
          <w:w w:val="105"/>
        </w:rPr>
        <w:t>assets</w:t>
      </w:r>
      <w:r>
        <w:rPr>
          <w:spacing w:val="-3"/>
          <w:w w:val="105"/>
        </w:rPr>
        <w:t> </w:t>
      </w:r>
      <w:r>
        <w:rPr>
          <w:w w:val="105"/>
        </w:rPr>
        <w:t>and</w:t>
      </w:r>
      <w:r>
        <w:rPr>
          <w:spacing w:val="-1"/>
          <w:w w:val="105"/>
        </w:rPr>
        <w:t> </w:t>
      </w:r>
      <w:r>
        <w:rPr>
          <w:w w:val="105"/>
        </w:rPr>
        <w:t>liabilities</w:t>
      </w:r>
      <w:r>
        <w:rPr>
          <w:spacing w:val="-3"/>
          <w:w w:val="105"/>
        </w:rPr>
        <w:t> </w:t>
      </w:r>
      <w:r>
        <w:rPr>
          <w:w w:val="105"/>
        </w:rPr>
        <w:t>in</w:t>
      </w:r>
      <w:r>
        <w:rPr>
          <w:spacing w:val="-3"/>
          <w:w w:val="105"/>
        </w:rPr>
        <w:t> </w:t>
      </w:r>
      <w:r>
        <w:rPr>
          <w:w w:val="105"/>
        </w:rPr>
        <w:t>the</w:t>
      </w:r>
      <w:r>
        <w:rPr>
          <w:spacing w:val="-3"/>
          <w:w w:val="105"/>
        </w:rPr>
        <w:t> </w:t>
      </w:r>
      <w:r>
        <w:rPr>
          <w:w w:val="105"/>
        </w:rPr>
        <w:t>consolidated</w:t>
      </w:r>
      <w:r>
        <w:rPr>
          <w:spacing w:val="-3"/>
          <w:w w:val="105"/>
        </w:rPr>
        <w:t> </w:t>
      </w:r>
      <w:r>
        <w:rPr>
          <w:w w:val="105"/>
        </w:rPr>
        <w:t>financial</w:t>
      </w:r>
      <w:r>
        <w:rPr>
          <w:spacing w:val="-3"/>
          <w:w w:val="105"/>
        </w:rPr>
        <w:t> </w:t>
      </w:r>
      <w:r>
        <w:rPr>
          <w:w w:val="105"/>
        </w:rPr>
        <w:t>statements</w:t>
      </w:r>
      <w:r>
        <w:rPr>
          <w:spacing w:val="-3"/>
          <w:w w:val="105"/>
        </w:rPr>
        <w:t> </w:t>
      </w:r>
      <w:r>
        <w:rPr>
          <w:w w:val="105"/>
        </w:rPr>
        <w:t>and</w:t>
      </w:r>
      <w:r>
        <w:rPr>
          <w:spacing w:val="-3"/>
          <w:w w:val="105"/>
        </w:rPr>
        <w:t> </w:t>
      </w:r>
      <w:r>
        <w:rPr>
          <w:w w:val="105"/>
        </w:rPr>
        <w:t>related</w:t>
      </w:r>
      <w:r>
        <w:rPr>
          <w:spacing w:val="-3"/>
          <w:w w:val="105"/>
        </w:rPr>
        <w:t> </w:t>
      </w:r>
      <w:r>
        <w:rPr>
          <w:w w:val="105"/>
        </w:rPr>
        <w:t>notes.</w:t>
      </w:r>
      <w:r>
        <w:rPr>
          <w:spacing w:val="-3"/>
          <w:w w:val="105"/>
        </w:rPr>
        <w:t> </w:t>
      </w:r>
      <w:r>
        <w:rPr>
          <w:w w:val="105"/>
        </w:rPr>
        <w:t>Significant</w:t>
      </w:r>
      <w:r>
        <w:rPr>
          <w:spacing w:val="-3"/>
          <w:w w:val="105"/>
        </w:rPr>
        <w:t> </w:t>
      </w:r>
      <w:r>
        <w:rPr>
          <w:w w:val="105"/>
        </w:rPr>
        <w:t>estimates</w:t>
      </w:r>
      <w:r>
        <w:rPr>
          <w:spacing w:val="-3"/>
          <w:w w:val="105"/>
        </w:rPr>
        <w:t> </w:t>
      </w:r>
      <w:r>
        <w:rPr>
          <w:w w:val="105"/>
        </w:rPr>
        <w:t>and</w:t>
      </w:r>
      <w:r>
        <w:rPr>
          <w:spacing w:val="-3"/>
          <w:w w:val="105"/>
        </w:rPr>
        <w:t> </w:t>
      </w:r>
      <w:r>
        <w:rPr>
          <w:w w:val="105"/>
        </w:rPr>
        <w:t>assumptions</w:t>
      </w:r>
      <w:r>
        <w:rPr>
          <w:spacing w:val="-3"/>
          <w:w w:val="105"/>
        </w:rPr>
        <w:t> </w:t>
      </w:r>
      <w:r>
        <w:rPr>
          <w:w w:val="105"/>
        </w:rPr>
        <w:t>in these</w:t>
      </w:r>
      <w:r>
        <w:rPr>
          <w:spacing w:val="-2"/>
          <w:w w:val="105"/>
        </w:rPr>
        <w:t> </w:t>
      </w:r>
      <w:r>
        <w:rPr>
          <w:w w:val="105"/>
        </w:rPr>
        <w:t>consolidated</w:t>
      </w:r>
      <w:r>
        <w:rPr>
          <w:spacing w:val="-2"/>
          <w:w w:val="105"/>
        </w:rPr>
        <w:t> </w:t>
      </w:r>
      <w:r>
        <w:rPr>
          <w:w w:val="105"/>
        </w:rPr>
        <w:t>financial</w:t>
      </w:r>
      <w:r>
        <w:rPr>
          <w:spacing w:val="-2"/>
          <w:w w:val="105"/>
        </w:rPr>
        <w:t> </w:t>
      </w:r>
      <w:r>
        <w:rPr>
          <w:w w:val="105"/>
        </w:rPr>
        <w:t>statements</w:t>
      </w:r>
      <w:r>
        <w:rPr>
          <w:spacing w:val="-2"/>
          <w:w w:val="105"/>
        </w:rPr>
        <w:t> </w:t>
      </w:r>
      <w:r>
        <w:rPr>
          <w:w w:val="105"/>
        </w:rPr>
        <w:t>include</w:t>
      </w:r>
      <w:r>
        <w:rPr>
          <w:spacing w:val="-2"/>
          <w:w w:val="105"/>
        </w:rPr>
        <w:t> </w:t>
      </w:r>
      <w:r>
        <w:rPr>
          <w:w w:val="105"/>
        </w:rPr>
        <w:t>estimates</w:t>
      </w:r>
      <w:r>
        <w:rPr>
          <w:spacing w:val="-2"/>
          <w:w w:val="105"/>
        </w:rPr>
        <w:t> </w:t>
      </w:r>
      <w:r>
        <w:rPr>
          <w:w w:val="105"/>
        </w:rPr>
        <w:t>associated</w:t>
      </w:r>
      <w:r>
        <w:rPr>
          <w:spacing w:val="-2"/>
          <w:w w:val="105"/>
        </w:rPr>
        <w:t> </w:t>
      </w:r>
      <w:r>
        <w:rPr>
          <w:w w:val="105"/>
        </w:rPr>
        <w:t>with</w:t>
      </w:r>
      <w:r>
        <w:rPr>
          <w:spacing w:val="-2"/>
          <w:w w:val="105"/>
        </w:rPr>
        <w:t> </w:t>
      </w:r>
      <w:r>
        <w:rPr>
          <w:w w:val="105"/>
        </w:rPr>
        <w:t>revenue</w:t>
      </w:r>
      <w:r>
        <w:rPr>
          <w:spacing w:val="-2"/>
          <w:w w:val="105"/>
        </w:rPr>
        <w:t> </w:t>
      </w:r>
      <w:r>
        <w:rPr>
          <w:w w:val="105"/>
        </w:rPr>
        <w:t>recognition, restructuring</w:t>
      </w:r>
      <w:r>
        <w:rPr>
          <w:spacing w:val="-2"/>
          <w:w w:val="105"/>
        </w:rPr>
        <w:t> </w:t>
      </w:r>
      <w:r>
        <w:rPr>
          <w:w w:val="105"/>
        </w:rPr>
        <w:t>charges,</w:t>
      </w:r>
      <w:r>
        <w:rPr>
          <w:spacing w:val="-2"/>
          <w:w w:val="105"/>
        </w:rPr>
        <w:t> </w:t>
      </w:r>
      <w:r>
        <w:rPr>
          <w:w w:val="105"/>
        </w:rPr>
        <w:t>goodwill</w:t>
      </w:r>
      <w:r>
        <w:rPr>
          <w:spacing w:val="-2"/>
          <w:w w:val="105"/>
        </w:rPr>
        <w:t> </w:t>
      </w:r>
      <w:r>
        <w:rPr>
          <w:w w:val="105"/>
        </w:rPr>
        <w:t>and</w:t>
      </w:r>
      <w:r>
        <w:rPr>
          <w:spacing w:val="-2"/>
          <w:w w:val="105"/>
        </w:rPr>
        <w:t> </w:t>
      </w:r>
      <w:r>
        <w:rPr>
          <w:w w:val="105"/>
        </w:rPr>
        <w:t>long-lived</w:t>
      </w:r>
      <w:r>
        <w:rPr>
          <w:spacing w:val="-2"/>
          <w:w w:val="105"/>
        </w:rPr>
        <w:t> </w:t>
      </w:r>
      <w:r>
        <w:rPr>
          <w:w w:val="105"/>
        </w:rPr>
        <w:t>asset</w:t>
      </w:r>
      <w:r>
        <w:rPr>
          <w:spacing w:val="-2"/>
          <w:w w:val="105"/>
        </w:rPr>
        <w:t> </w:t>
      </w:r>
      <w:r>
        <w:rPr>
          <w:w w:val="105"/>
        </w:rPr>
        <w:t>impairment</w:t>
      </w:r>
      <w:r>
        <w:rPr>
          <w:spacing w:val="-2"/>
          <w:w w:val="105"/>
        </w:rPr>
        <w:t> </w:t>
      </w:r>
      <w:r>
        <w:rPr>
          <w:w w:val="105"/>
        </w:rPr>
        <w:t>tests, estimates</w:t>
      </w:r>
      <w:r>
        <w:rPr>
          <w:spacing w:val="-8"/>
          <w:w w:val="105"/>
        </w:rPr>
        <w:t> </w:t>
      </w:r>
      <w:r>
        <w:rPr>
          <w:w w:val="105"/>
        </w:rPr>
        <w:t>of</w:t>
      </w:r>
      <w:r>
        <w:rPr>
          <w:spacing w:val="-8"/>
          <w:w w:val="105"/>
        </w:rPr>
        <w:t> </w:t>
      </w:r>
      <w:r>
        <w:rPr>
          <w:w w:val="105"/>
        </w:rPr>
        <w:t>acquired</w:t>
      </w:r>
      <w:r>
        <w:rPr>
          <w:spacing w:val="-8"/>
          <w:w w:val="105"/>
        </w:rPr>
        <w:t> </w:t>
      </w:r>
      <w:r>
        <w:rPr>
          <w:w w:val="105"/>
        </w:rPr>
        <w:t>assets</w:t>
      </w:r>
      <w:r>
        <w:rPr>
          <w:spacing w:val="-10"/>
          <w:w w:val="105"/>
        </w:rPr>
        <w:t> </w:t>
      </w:r>
      <w:r>
        <w:rPr>
          <w:w w:val="105"/>
        </w:rPr>
        <w:t>and</w:t>
      </w:r>
      <w:r>
        <w:rPr>
          <w:spacing w:val="-8"/>
          <w:w w:val="105"/>
        </w:rPr>
        <w:t> </w:t>
      </w:r>
      <w:r>
        <w:rPr>
          <w:w w:val="105"/>
        </w:rPr>
        <w:t>liabilities,</w:t>
      </w:r>
      <w:r>
        <w:rPr>
          <w:spacing w:val="-8"/>
          <w:w w:val="105"/>
        </w:rPr>
        <w:t> </w:t>
      </w:r>
      <w:r>
        <w:rPr>
          <w:w w:val="105"/>
        </w:rPr>
        <w:t>estimates</w:t>
      </w:r>
      <w:r>
        <w:rPr>
          <w:spacing w:val="-8"/>
          <w:w w:val="105"/>
        </w:rPr>
        <w:t> </w:t>
      </w:r>
      <w:r>
        <w:rPr>
          <w:w w:val="105"/>
        </w:rPr>
        <w:t>of</w:t>
      </w:r>
      <w:r>
        <w:rPr>
          <w:spacing w:val="-8"/>
          <w:w w:val="105"/>
        </w:rPr>
        <w:t> </w:t>
      </w:r>
      <w:r>
        <w:rPr>
          <w:w w:val="105"/>
        </w:rPr>
        <w:t>fair</w:t>
      </w:r>
      <w:r>
        <w:rPr>
          <w:spacing w:val="-10"/>
          <w:w w:val="105"/>
        </w:rPr>
        <w:t> </w:t>
      </w:r>
      <w:r>
        <w:rPr>
          <w:w w:val="105"/>
        </w:rPr>
        <w:t>value</w:t>
      </w:r>
      <w:r>
        <w:rPr>
          <w:spacing w:val="-8"/>
          <w:w w:val="105"/>
        </w:rPr>
        <w:t> </w:t>
      </w:r>
      <w:r>
        <w:rPr>
          <w:w w:val="105"/>
        </w:rPr>
        <w:t>of</w:t>
      </w:r>
      <w:r>
        <w:rPr>
          <w:spacing w:val="-8"/>
          <w:w w:val="105"/>
        </w:rPr>
        <w:t> </w:t>
      </w:r>
      <w:r>
        <w:rPr>
          <w:w w:val="105"/>
        </w:rPr>
        <w:t>investments,</w:t>
      </w:r>
      <w:r>
        <w:rPr>
          <w:spacing w:val="-8"/>
          <w:w w:val="105"/>
        </w:rPr>
        <w:t> </w:t>
      </w:r>
      <w:r>
        <w:rPr>
          <w:w w:val="105"/>
        </w:rPr>
        <w:t>equity</w:t>
      </w:r>
      <w:r>
        <w:rPr>
          <w:spacing w:val="-8"/>
          <w:w w:val="105"/>
        </w:rPr>
        <w:t> </w:t>
      </w:r>
      <w:r>
        <w:rPr>
          <w:w w:val="105"/>
        </w:rPr>
        <w:t>interests,</w:t>
      </w:r>
      <w:r>
        <w:rPr>
          <w:spacing w:val="-8"/>
          <w:w w:val="105"/>
        </w:rPr>
        <w:t> </w:t>
      </w:r>
      <w:r>
        <w:rPr>
          <w:w w:val="105"/>
        </w:rPr>
        <w:t>environmental</w:t>
      </w:r>
      <w:r>
        <w:rPr>
          <w:spacing w:val="-8"/>
          <w:w w:val="105"/>
        </w:rPr>
        <w:t> </w:t>
      </w:r>
      <w:r>
        <w:rPr>
          <w:w w:val="105"/>
        </w:rPr>
        <w:t>and</w:t>
      </w:r>
      <w:r>
        <w:rPr>
          <w:spacing w:val="-8"/>
          <w:w w:val="105"/>
        </w:rPr>
        <w:t> </w:t>
      </w:r>
      <w:r>
        <w:rPr>
          <w:w w:val="105"/>
        </w:rPr>
        <w:t>legal</w:t>
      </w:r>
      <w:r>
        <w:rPr>
          <w:spacing w:val="-8"/>
          <w:w w:val="105"/>
        </w:rPr>
        <w:t> </w:t>
      </w:r>
      <w:r>
        <w:rPr>
          <w:w w:val="105"/>
        </w:rPr>
        <w:t>liabilities,</w:t>
      </w:r>
      <w:r>
        <w:rPr>
          <w:spacing w:val="-8"/>
          <w:w w:val="105"/>
        </w:rPr>
        <w:t> </w:t>
      </w:r>
      <w:r>
        <w:rPr>
          <w:w w:val="105"/>
        </w:rPr>
        <w:t>income</w:t>
      </w:r>
      <w:r>
        <w:rPr>
          <w:spacing w:val="-10"/>
          <w:w w:val="105"/>
        </w:rPr>
        <w:t> </w:t>
      </w:r>
      <w:r>
        <w:rPr>
          <w:w w:val="105"/>
        </w:rPr>
        <w:t>taxes</w:t>
      </w:r>
      <w:r>
        <w:rPr>
          <w:spacing w:val="-8"/>
          <w:w w:val="105"/>
        </w:rPr>
        <w:t> </w:t>
      </w:r>
      <w:r>
        <w:rPr>
          <w:w w:val="105"/>
        </w:rPr>
        <w:t>and</w:t>
      </w:r>
      <w:r>
        <w:rPr>
          <w:spacing w:val="-8"/>
          <w:w w:val="105"/>
        </w:rPr>
        <w:t> </w:t>
      </w:r>
      <w:r>
        <w:rPr>
          <w:w w:val="105"/>
        </w:rPr>
        <w:t>deferred</w:t>
      </w:r>
      <w:r>
        <w:rPr>
          <w:spacing w:val="-8"/>
          <w:w w:val="105"/>
        </w:rPr>
        <w:t> </w:t>
      </w:r>
      <w:r>
        <w:rPr>
          <w:w w:val="105"/>
        </w:rPr>
        <w:t>tax</w:t>
      </w:r>
      <w:r>
        <w:rPr>
          <w:spacing w:val="-8"/>
          <w:w w:val="105"/>
        </w:rPr>
        <w:t> </w:t>
      </w:r>
      <w:r>
        <w:rPr>
          <w:w w:val="105"/>
        </w:rPr>
        <w:t>valuation allowances,</w:t>
      </w:r>
      <w:r>
        <w:rPr>
          <w:spacing w:val="-8"/>
          <w:w w:val="105"/>
        </w:rPr>
        <w:t> </w:t>
      </w:r>
      <w:r>
        <w:rPr>
          <w:w w:val="105"/>
        </w:rPr>
        <w:t>assumptions</w:t>
      </w:r>
      <w:r>
        <w:rPr>
          <w:spacing w:val="-8"/>
          <w:w w:val="105"/>
        </w:rPr>
        <w:t> </w:t>
      </w:r>
      <w:r>
        <w:rPr>
          <w:w w:val="105"/>
        </w:rPr>
        <w:t>used</w:t>
      </w:r>
      <w:r>
        <w:rPr>
          <w:spacing w:val="-8"/>
          <w:w w:val="105"/>
        </w:rPr>
        <w:t> </w:t>
      </w:r>
      <w:r>
        <w:rPr>
          <w:w w:val="105"/>
        </w:rPr>
        <w:t>in</w:t>
      </w:r>
      <w:r>
        <w:rPr>
          <w:spacing w:val="-8"/>
          <w:w w:val="105"/>
        </w:rPr>
        <w:t> </w:t>
      </w:r>
      <w:r>
        <w:rPr>
          <w:w w:val="105"/>
        </w:rPr>
        <w:t>calculating</w:t>
      </w:r>
      <w:r>
        <w:rPr>
          <w:spacing w:val="-8"/>
          <w:w w:val="105"/>
        </w:rPr>
        <w:t> </w:t>
      </w:r>
      <w:r>
        <w:rPr>
          <w:w w:val="105"/>
        </w:rPr>
        <w:t>pension</w:t>
      </w:r>
      <w:r>
        <w:rPr>
          <w:spacing w:val="-8"/>
          <w:w w:val="105"/>
        </w:rPr>
        <w:t> </w:t>
      </w:r>
      <w:r>
        <w:rPr>
          <w:w w:val="105"/>
        </w:rPr>
        <w:t>and</w:t>
      </w:r>
      <w:r>
        <w:rPr>
          <w:spacing w:val="-8"/>
          <w:w w:val="105"/>
        </w:rPr>
        <w:t> </w:t>
      </w:r>
      <w:r>
        <w:rPr>
          <w:w w:val="105"/>
        </w:rPr>
        <w:t>other</w:t>
      </w:r>
      <w:r>
        <w:rPr>
          <w:spacing w:val="-8"/>
          <w:w w:val="105"/>
        </w:rPr>
        <w:t> </w:t>
      </w:r>
      <w:r>
        <w:rPr>
          <w:w w:val="105"/>
        </w:rPr>
        <w:t>postretirement</w:t>
      </w:r>
      <w:r>
        <w:rPr>
          <w:spacing w:val="-8"/>
          <w:w w:val="105"/>
        </w:rPr>
        <w:t> </w:t>
      </w:r>
      <w:r>
        <w:rPr>
          <w:w w:val="105"/>
        </w:rPr>
        <w:t>employee</w:t>
      </w:r>
      <w:r>
        <w:rPr>
          <w:spacing w:val="-8"/>
          <w:w w:val="105"/>
        </w:rPr>
        <w:t> </w:t>
      </w:r>
      <w:r>
        <w:rPr>
          <w:w w:val="105"/>
        </w:rPr>
        <w:t>benefit</w:t>
      </w:r>
      <w:r>
        <w:rPr>
          <w:spacing w:val="-8"/>
          <w:w w:val="105"/>
        </w:rPr>
        <w:t> </w:t>
      </w:r>
      <w:r>
        <w:rPr>
          <w:w w:val="105"/>
        </w:rPr>
        <w:t>expenses</w:t>
      </w:r>
      <w:r>
        <w:rPr>
          <w:spacing w:val="-8"/>
          <w:w w:val="105"/>
        </w:rPr>
        <w:t> </w:t>
      </w:r>
      <w:r>
        <w:rPr>
          <w:w w:val="105"/>
        </w:rPr>
        <w:t>and</w:t>
      </w:r>
      <w:r>
        <w:rPr>
          <w:spacing w:val="-8"/>
          <w:w w:val="105"/>
        </w:rPr>
        <w:t> </w:t>
      </w:r>
      <w:r>
        <w:rPr>
          <w:w w:val="105"/>
        </w:rPr>
        <w:t>the</w:t>
      </w:r>
      <w:r>
        <w:rPr>
          <w:spacing w:val="-7"/>
          <w:w w:val="105"/>
        </w:rPr>
        <w:t> </w:t>
      </w:r>
      <w:r>
        <w:rPr>
          <w:w w:val="105"/>
        </w:rPr>
        <w:t>fair</w:t>
      </w:r>
      <w:r>
        <w:rPr>
          <w:spacing w:val="-8"/>
          <w:w w:val="105"/>
        </w:rPr>
        <w:t> </w:t>
      </w:r>
      <w:r>
        <w:rPr>
          <w:w w:val="105"/>
        </w:rPr>
        <w:t>value</w:t>
      </w:r>
      <w:r>
        <w:rPr>
          <w:spacing w:val="-8"/>
          <w:w w:val="105"/>
        </w:rPr>
        <w:t> </w:t>
      </w:r>
      <w:r>
        <w:rPr>
          <w:w w:val="105"/>
        </w:rPr>
        <w:t>of</w:t>
      </w:r>
      <w:r>
        <w:rPr>
          <w:spacing w:val="-8"/>
          <w:w w:val="105"/>
        </w:rPr>
        <w:t> </w:t>
      </w:r>
      <w:r>
        <w:rPr>
          <w:w w:val="105"/>
        </w:rPr>
        <w:t>share-based</w:t>
      </w:r>
      <w:r>
        <w:rPr>
          <w:spacing w:val="-8"/>
          <w:w w:val="105"/>
        </w:rPr>
        <w:t> </w:t>
      </w:r>
      <w:r>
        <w:rPr>
          <w:w w:val="105"/>
        </w:rPr>
        <w:t>compensation.</w:t>
      </w:r>
      <w:r>
        <w:rPr>
          <w:spacing w:val="-8"/>
          <w:w w:val="105"/>
        </w:rPr>
        <w:t> </w:t>
      </w:r>
      <w:r>
        <w:rPr>
          <w:w w:val="105"/>
        </w:rPr>
        <w:t>Due</w:t>
      </w:r>
      <w:r>
        <w:rPr>
          <w:spacing w:val="-8"/>
          <w:w w:val="105"/>
        </w:rPr>
        <w:t> </w:t>
      </w:r>
      <w:r>
        <w:rPr>
          <w:w w:val="105"/>
        </w:rPr>
        <w:t>to</w:t>
      </w:r>
      <w:r>
        <w:rPr>
          <w:spacing w:val="-8"/>
          <w:w w:val="105"/>
        </w:rPr>
        <w:t> </w:t>
      </w:r>
      <w:r>
        <w:rPr>
          <w:w w:val="105"/>
        </w:rPr>
        <w:t>the</w:t>
      </w:r>
      <w:r>
        <w:rPr>
          <w:spacing w:val="-8"/>
          <w:w w:val="105"/>
        </w:rPr>
        <w:t> </w:t>
      </w:r>
      <w:r>
        <w:rPr>
          <w:w w:val="105"/>
        </w:rPr>
        <w:t>inherent uncertainty involved in making estimates, actual results reported in future periods may be different from these estimates.</w:t>
      </w:r>
    </w:p>
    <w:p>
      <w:pPr>
        <w:pStyle w:val="BodyText"/>
        <w:spacing w:before="17"/>
      </w:pPr>
    </w:p>
    <w:p>
      <w:pPr>
        <w:pStyle w:val="BodyText"/>
        <w:ind w:left="48"/>
        <w:jc w:val="center"/>
      </w:pPr>
      <w:r>
        <w:rPr>
          <w:spacing w:val="-5"/>
          <w:w w:val="105"/>
        </w:rPr>
        <w:t>70</w:t>
      </w:r>
    </w:p>
    <w:p>
      <w:pPr>
        <w:pStyle w:val="BodyText"/>
        <w:rPr>
          <w:sz w:val="6"/>
        </w:rPr>
      </w:pPr>
      <w:r>
        <w:rPr/>
        <mc:AlternateContent>
          <mc:Choice Requires="wps">
            <w:drawing>
              <wp:anchor distT="0" distB="0" distL="0" distR="0" allowOverlap="1" layoutInCell="1" locked="0" behindDoc="1" simplePos="0" relativeHeight="487668736">
                <wp:simplePos x="0" y="0"/>
                <wp:positionH relativeFrom="page">
                  <wp:posOffset>226488</wp:posOffset>
                </wp:positionH>
                <wp:positionV relativeFrom="paragraph">
                  <wp:posOffset>59051</wp:posOffset>
                </wp:positionV>
                <wp:extent cx="7312659" cy="16510"/>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47744;mso-wrap-distance-left:0;mso-wrap-distance-right:0" id="docshape289"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numPr>
          <w:ilvl w:val="0"/>
          <w:numId w:val="31"/>
        </w:numPr>
        <w:tabs>
          <w:tab w:pos="362" w:val="left" w:leader="none"/>
        </w:tabs>
        <w:spacing w:line="240" w:lineRule="auto" w:before="0" w:after="0"/>
        <w:ind w:left="362" w:right="0" w:hanging="206"/>
        <w:jc w:val="left"/>
      </w:pPr>
      <w:r>
        <w:rPr/>
        <w:t>Summary</w:t>
      </w:r>
      <w:r>
        <w:rPr>
          <w:spacing w:val="16"/>
        </w:rPr>
        <w:t> </w:t>
      </w:r>
      <w:r>
        <w:rPr/>
        <w:t>of</w:t>
      </w:r>
      <w:r>
        <w:rPr>
          <w:spacing w:val="17"/>
        </w:rPr>
        <w:t> </w:t>
      </w:r>
      <w:r>
        <w:rPr/>
        <w:t>Significant</w:t>
      </w:r>
      <w:r>
        <w:rPr>
          <w:spacing w:val="17"/>
        </w:rPr>
        <w:t> </w:t>
      </w:r>
      <w:r>
        <w:rPr/>
        <w:t>Accounting</w:t>
      </w:r>
      <w:r>
        <w:rPr>
          <w:spacing w:val="16"/>
        </w:rPr>
        <w:t> </w:t>
      </w:r>
      <w:r>
        <w:rPr/>
        <w:t>Policies</w:t>
      </w:r>
      <w:r>
        <w:rPr>
          <w:spacing w:val="17"/>
        </w:rPr>
        <w:t> </w:t>
      </w:r>
      <w:r>
        <w:rPr>
          <w:spacing w:val="-2"/>
        </w:rPr>
        <w:t>(Continued)</w:t>
      </w:r>
    </w:p>
    <w:p>
      <w:pPr>
        <w:pStyle w:val="BodyText"/>
        <w:spacing w:before="40"/>
        <w:rPr>
          <w:b/>
        </w:rPr>
      </w:pPr>
    </w:p>
    <w:p>
      <w:pPr>
        <w:pStyle w:val="Heading3"/>
      </w:pPr>
      <w:r>
        <w:rPr/>
        <w:t>Revenue</w:t>
      </w:r>
      <w:r>
        <w:rPr>
          <w:spacing w:val="18"/>
        </w:rPr>
        <w:t> </w:t>
      </w:r>
      <w:r>
        <w:rPr>
          <w:spacing w:val="-2"/>
        </w:rPr>
        <w:t>Recognition</w:t>
      </w:r>
    </w:p>
    <w:p>
      <w:pPr>
        <w:pStyle w:val="BodyText"/>
        <w:spacing w:before="39"/>
        <w:rPr>
          <w:b/>
          <w:i/>
        </w:rPr>
      </w:pPr>
    </w:p>
    <w:p>
      <w:pPr>
        <w:pStyle w:val="BodyText"/>
        <w:spacing w:line="266" w:lineRule="auto"/>
        <w:ind w:left="156" w:right="117"/>
      </w:pPr>
      <w:r>
        <w:rPr>
          <w:w w:val="105"/>
        </w:rPr>
        <w:t>Most</w:t>
      </w:r>
      <w:r>
        <w:rPr>
          <w:spacing w:val="-2"/>
          <w:w w:val="105"/>
        </w:rPr>
        <w:t> </w:t>
      </w:r>
      <w:r>
        <w:rPr>
          <w:w w:val="105"/>
        </w:rPr>
        <w:t>of</w:t>
      </w:r>
      <w:r>
        <w:rPr>
          <w:spacing w:val="-2"/>
          <w:w w:val="105"/>
        </w:rPr>
        <w:t> </w:t>
      </w:r>
      <w:r>
        <w:rPr>
          <w:w w:val="105"/>
        </w:rPr>
        <w:t>the</w:t>
      </w:r>
      <w:r>
        <w:rPr>
          <w:spacing w:val="-2"/>
          <w:w w:val="105"/>
        </w:rPr>
        <w:t> </w:t>
      </w:r>
      <w:r>
        <w:rPr>
          <w:w w:val="105"/>
        </w:rPr>
        <w:t>Company’s</w:t>
      </w:r>
      <w:r>
        <w:rPr>
          <w:spacing w:val="-2"/>
          <w:w w:val="105"/>
        </w:rPr>
        <w:t> </w:t>
      </w:r>
      <w:r>
        <w:rPr>
          <w:w w:val="105"/>
        </w:rPr>
        <w:t>revenue</w:t>
      </w:r>
      <w:r>
        <w:rPr>
          <w:spacing w:val="-2"/>
          <w:w w:val="105"/>
        </w:rPr>
        <w:t> </w:t>
      </w:r>
      <w:r>
        <w:rPr>
          <w:w w:val="105"/>
        </w:rPr>
        <w:t>is</w:t>
      </w:r>
      <w:r>
        <w:rPr>
          <w:spacing w:val="-2"/>
          <w:w w:val="105"/>
        </w:rPr>
        <w:t> </w:t>
      </w:r>
      <w:r>
        <w:rPr>
          <w:w w:val="105"/>
        </w:rPr>
        <w:t>generated</w:t>
      </w:r>
      <w:r>
        <w:rPr>
          <w:spacing w:val="-2"/>
          <w:w w:val="105"/>
        </w:rPr>
        <w:t> </w:t>
      </w:r>
      <w:r>
        <w:rPr>
          <w:w w:val="105"/>
        </w:rPr>
        <w:t>by</w:t>
      </w:r>
      <w:r>
        <w:rPr>
          <w:spacing w:val="-2"/>
          <w:w w:val="105"/>
        </w:rPr>
        <w:t> </w:t>
      </w:r>
      <w:r>
        <w:rPr>
          <w:w w:val="105"/>
        </w:rPr>
        <w:t>delivery</w:t>
      </w:r>
      <w:r>
        <w:rPr>
          <w:spacing w:val="-2"/>
          <w:w w:val="105"/>
        </w:rPr>
        <w:t> </w:t>
      </w:r>
      <w:r>
        <w:rPr>
          <w:w w:val="105"/>
        </w:rPr>
        <w:t>of</w:t>
      </w:r>
      <w:r>
        <w:rPr>
          <w:spacing w:val="-2"/>
          <w:w w:val="105"/>
        </w:rPr>
        <w:t> </w:t>
      </w:r>
      <w:r>
        <w:rPr>
          <w:w w:val="105"/>
        </w:rPr>
        <w:t>products</w:t>
      </w:r>
      <w:r>
        <w:rPr>
          <w:spacing w:val="-2"/>
          <w:w w:val="105"/>
        </w:rPr>
        <w:t> </w:t>
      </w:r>
      <w:r>
        <w:rPr>
          <w:w w:val="105"/>
        </w:rPr>
        <w:t>to</w:t>
      </w:r>
      <w:r>
        <w:rPr>
          <w:spacing w:val="-2"/>
          <w:w w:val="105"/>
        </w:rPr>
        <w:t> </w:t>
      </w:r>
      <w:r>
        <w:rPr>
          <w:w w:val="105"/>
        </w:rPr>
        <w:t>customers</w:t>
      </w:r>
      <w:r>
        <w:rPr>
          <w:spacing w:val="-2"/>
          <w:w w:val="105"/>
        </w:rPr>
        <w:t> </w:t>
      </w:r>
      <w:r>
        <w:rPr>
          <w:w w:val="105"/>
        </w:rPr>
        <w:t>and</w:t>
      </w:r>
      <w:r>
        <w:rPr>
          <w:spacing w:val="-2"/>
          <w:w w:val="105"/>
        </w:rPr>
        <w:t> </w:t>
      </w:r>
      <w:r>
        <w:rPr>
          <w:w w:val="105"/>
        </w:rPr>
        <w:t>recognized</w:t>
      </w:r>
      <w:r>
        <w:rPr>
          <w:spacing w:val="-2"/>
          <w:w w:val="105"/>
        </w:rPr>
        <w:t> </w:t>
      </w:r>
      <w:r>
        <w:rPr>
          <w:w w:val="105"/>
        </w:rPr>
        <w:t>at</w:t>
      </w:r>
      <w:r>
        <w:rPr>
          <w:spacing w:val="-2"/>
          <w:w w:val="105"/>
        </w:rPr>
        <w:t> </w:t>
      </w:r>
      <w:r>
        <w:rPr>
          <w:w w:val="105"/>
        </w:rPr>
        <w:t>a</w:t>
      </w:r>
      <w:r>
        <w:rPr>
          <w:spacing w:val="-2"/>
          <w:w w:val="105"/>
        </w:rPr>
        <w:t> </w:t>
      </w:r>
      <w:r>
        <w:rPr>
          <w:w w:val="105"/>
        </w:rPr>
        <w:t>point</w:t>
      </w:r>
      <w:r>
        <w:rPr>
          <w:spacing w:val="-2"/>
          <w:w w:val="105"/>
        </w:rPr>
        <w:t> </w:t>
      </w:r>
      <w:r>
        <w:rPr>
          <w:w w:val="105"/>
        </w:rPr>
        <w:t>in</w:t>
      </w:r>
      <w:r>
        <w:rPr>
          <w:spacing w:val="-2"/>
          <w:w w:val="105"/>
        </w:rPr>
        <w:t> </w:t>
      </w:r>
      <w:r>
        <w:rPr>
          <w:w w:val="105"/>
        </w:rPr>
        <w:t>time</w:t>
      </w:r>
      <w:r>
        <w:rPr>
          <w:spacing w:val="-2"/>
          <w:w w:val="105"/>
        </w:rPr>
        <w:t> </w:t>
      </w:r>
      <w:r>
        <w:rPr>
          <w:w w:val="105"/>
        </w:rPr>
        <w:t>based</w:t>
      </w:r>
      <w:r>
        <w:rPr>
          <w:spacing w:val="-2"/>
          <w:w w:val="105"/>
        </w:rPr>
        <w:t> </w:t>
      </w:r>
      <w:r>
        <w:rPr>
          <w:w w:val="105"/>
        </w:rPr>
        <w:t>on evaluation</w:t>
      </w:r>
      <w:r>
        <w:rPr>
          <w:spacing w:val="-2"/>
          <w:w w:val="105"/>
        </w:rPr>
        <w:t> </w:t>
      </w:r>
      <w:r>
        <w:rPr>
          <w:w w:val="105"/>
        </w:rPr>
        <w:t>of</w:t>
      </w:r>
      <w:r>
        <w:rPr>
          <w:spacing w:val="-2"/>
          <w:w w:val="105"/>
        </w:rPr>
        <w:t> </w:t>
      </w:r>
      <w:r>
        <w:rPr>
          <w:w w:val="105"/>
        </w:rPr>
        <w:t>when</w:t>
      </w:r>
      <w:r>
        <w:rPr>
          <w:spacing w:val="-2"/>
          <w:w w:val="105"/>
        </w:rPr>
        <w:t> </w:t>
      </w:r>
      <w:r>
        <w:rPr>
          <w:w w:val="105"/>
        </w:rPr>
        <w:t>the</w:t>
      </w:r>
      <w:r>
        <w:rPr>
          <w:spacing w:val="-2"/>
          <w:w w:val="105"/>
        </w:rPr>
        <w:t> </w:t>
      </w:r>
      <w:r>
        <w:rPr>
          <w:w w:val="105"/>
        </w:rPr>
        <w:t>customer</w:t>
      </w:r>
      <w:r>
        <w:rPr>
          <w:spacing w:val="-2"/>
          <w:w w:val="105"/>
        </w:rPr>
        <w:t> </w:t>
      </w:r>
      <w:r>
        <w:rPr>
          <w:w w:val="105"/>
        </w:rPr>
        <w:t>obtains</w:t>
      </w:r>
      <w:r>
        <w:rPr>
          <w:w w:val="105"/>
        </w:rPr>
        <w:t> control</w:t>
      </w:r>
      <w:r>
        <w:rPr>
          <w:spacing w:val="-8"/>
          <w:w w:val="105"/>
        </w:rPr>
        <w:t> </w:t>
      </w:r>
      <w:r>
        <w:rPr>
          <w:w w:val="105"/>
        </w:rPr>
        <w:t>of</w:t>
      </w:r>
      <w:r>
        <w:rPr>
          <w:spacing w:val="-8"/>
          <w:w w:val="105"/>
        </w:rPr>
        <w:t> </w:t>
      </w:r>
      <w:r>
        <w:rPr>
          <w:w w:val="105"/>
        </w:rPr>
        <w:t>the</w:t>
      </w:r>
      <w:r>
        <w:rPr>
          <w:spacing w:val="-8"/>
          <w:w w:val="105"/>
        </w:rPr>
        <w:t> </w:t>
      </w:r>
      <w:r>
        <w:rPr>
          <w:w w:val="105"/>
        </w:rPr>
        <w:t>products.</w:t>
      </w:r>
      <w:r>
        <w:rPr>
          <w:spacing w:val="-8"/>
          <w:w w:val="105"/>
        </w:rPr>
        <w:t> </w:t>
      </w:r>
      <w:r>
        <w:rPr>
          <w:w w:val="105"/>
        </w:rPr>
        <w:t>Revenue</w:t>
      </w:r>
      <w:r>
        <w:rPr>
          <w:spacing w:val="-6"/>
          <w:w w:val="105"/>
        </w:rPr>
        <w:t> </w:t>
      </w:r>
      <w:r>
        <w:rPr>
          <w:w w:val="105"/>
        </w:rPr>
        <w:t>is</w:t>
      </w:r>
      <w:r>
        <w:rPr>
          <w:spacing w:val="-8"/>
          <w:w w:val="105"/>
        </w:rPr>
        <w:t> </w:t>
      </w:r>
      <w:r>
        <w:rPr>
          <w:w w:val="105"/>
        </w:rPr>
        <w:t>recognized</w:t>
      </w:r>
      <w:r>
        <w:rPr>
          <w:spacing w:val="-8"/>
          <w:w w:val="105"/>
        </w:rPr>
        <w:t> </w:t>
      </w:r>
      <w:r>
        <w:rPr>
          <w:w w:val="105"/>
        </w:rPr>
        <w:t>when</w:t>
      </w:r>
      <w:r>
        <w:rPr>
          <w:spacing w:val="-8"/>
          <w:w w:val="105"/>
        </w:rPr>
        <w:t> </w:t>
      </w:r>
      <w:r>
        <w:rPr>
          <w:w w:val="105"/>
        </w:rPr>
        <w:t>all</w:t>
      </w:r>
      <w:r>
        <w:rPr>
          <w:spacing w:val="-8"/>
          <w:w w:val="105"/>
        </w:rPr>
        <w:t> </w:t>
      </w:r>
      <w:r>
        <w:rPr>
          <w:w w:val="105"/>
        </w:rPr>
        <w:t>performance</w:t>
      </w:r>
      <w:r>
        <w:rPr>
          <w:spacing w:val="-8"/>
          <w:w w:val="105"/>
        </w:rPr>
        <w:t> </w:t>
      </w:r>
      <w:r>
        <w:rPr>
          <w:w w:val="105"/>
        </w:rPr>
        <w:t>obligations</w:t>
      </w:r>
      <w:r>
        <w:rPr>
          <w:spacing w:val="-8"/>
          <w:w w:val="105"/>
        </w:rPr>
        <w:t> </w:t>
      </w:r>
      <w:r>
        <w:rPr>
          <w:w w:val="105"/>
        </w:rPr>
        <w:t>under</w:t>
      </w:r>
      <w:r>
        <w:rPr>
          <w:spacing w:val="-8"/>
          <w:w w:val="105"/>
        </w:rPr>
        <w:t> </w:t>
      </w:r>
      <w:r>
        <w:rPr>
          <w:w w:val="105"/>
        </w:rPr>
        <w:t>the</w:t>
      </w:r>
      <w:r>
        <w:rPr>
          <w:spacing w:val="-8"/>
          <w:w w:val="105"/>
        </w:rPr>
        <w:t> </w:t>
      </w:r>
      <w:r>
        <w:rPr>
          <w:w w:val="105"/>
        </w:rPr>
        <w:t>terms</w:t>
      </w:r>
      <w:r>
        <w:rPr>
          <w:spacing w:val="-8"/>
          <w:w w:val="105"/>
        </w:rPr>
        <w:t> </w:t>
      </w:r>
      <w:r>
        <w:rPr>
          <w:w w:val="105"/>
        </w:rPr>
        <w:t>of</w:t>
      </w:r>
      <w:r>
        <w:rPr>
          <w:spacing w:val="-8"/>
          <w:w w:val="105"/>
        </w:rPr>
        <w:t> </w:t>
      </w:r>
      <w:r>
        <w:rPr>
          <w:w w:val="105"/>
        </w:rPr>
        <w:t>a</w:t>
      </w:r>
      <w:r>
        <w:rPr>
          <w:spacing w:val="-8"/>
          <w:w w:val="105"/>
        </w:rPr>
        <w:t> </w:t>
      </w:r>
      <w:r>
        <w:rPr>
          <w:w w:val="105"/>
        </w:rPr>
        <w:t>contract</w:t>
      </w:r>
      <w:r>
        <w:rPr>
          <w:spacing w:val="-6"/>
          <w:w w:val="105"/>
        </w:rPr>
        <w:t> </w:t>
      </w:r>
      <w:r>
        <w:rPr>
          <w:w w:val="105"/>
        </w:rPr>
        <w:t>are</w:t>
      </w:r>
      <w:r>
        <w:rPr>
          <w:spacing w:val="-8"/>
          <w:w w:val="105"/>
        </w:rPr>
        <w:t> </w:t>
      </w:r>
      <w:r>
        <w:rPr>
          <w:w w:val="105"/>
        </w:rPr>
        <w:t>satisfied,</w:t>
      </w:r>
      <w:r>
        <w:rPr>
          <w:spacing w:val="-8"/>
          <w:w w:val="105"/>
        </w:rPr>
        <w:t> </w:t>
      </w:r>
      <w:r>
        <w:rPr>
          <w:w w:val="105"/>
        </w:rPr>
        <w:t>and</w:t>
      </w:r>
      <w:r>
        <w:rPr>
          <w:spacing w:val="-8"/>
          <w:w w:val="105"/>
        </w:rPr>
        <w:t> </w:t>
      </w:r>
      <w:r>
        <w:rPr>
          <w:w w:val="105"/>
        </w:rPr>
        <w:t>control</w:t>
      </w:r>
      <w:r>
        <w:rPr>
          <w:spacing w:val="-8"/>
          <w:w w:val="105"/>
        </w:rPr>
        <w:t> </w:t>
      </w:r>
      <w:r>
        <w:rPr>
          <w:w w:val="105"/>
        </w:rPr>
        <w:t>of</w:t>
      </w:r>
      <w:r>
        <w:rPr>
          <w:spacing w:val="-8"/>
          <w:w w:val="105"/>
        </w:rPr>
        <w:t> </w:t>
      </w:r>
      <w:r>
        <w:rPr>
          <w:w w:val="105"/>
        </w:rPr>
        <w:t>the</w:t>
      </w:r>
      <w:r>
        <w:rPr>
          <w:spacing w:val="-8"/>
          <w:w w:val="105"/>
        </w:rPr>
        <w:t> </w:t>
      </w:r>
      <w:r>
        <w:rPr>
          <w:w w:val="105"/>
        </w:rPr>
        <w:t>product</w:t>
      </w:r>
      <w:r>
        <w:rPr>
          <w:spacing w:val="-8"/>
          <w:w w:val="105"/>
        </w:rPr>
        <w:t> </w:t>
      </w:r>
      <w:r>
        <w:rPr>
          <w:w w:val="105"/>
        </w:rPr>
        <w:t>has</w:t>
      </w:r>
      <w:r>
        <w:rPr>
          <w:spacing w:val="-8"/>
          <w:w w:val="105"/>
        </w:rPr>
        <w:t> </w:t>
      </w:r>
      <w:r>
        <w:rPr>
          <w:w w:val="105"/>
        </w:rPr>
        <w:t>been</w:t>
      </w:r>
      <w:r>
        <w:rPr>
          <w:spacing w:val="-8"/>
          <w:w w:val="105"/>
        </w:rPr>
        <w:t> </w:t>
      </w:r>
      <w:r>
        <w:rPr>
          <w:w w:val="105"/>
        </w:rPr>
        <w:t>transferred</w:t>
      </w:r>
      <w:r>
        <w:rPr>
          <w:spacing w:val="-8"/>
          <w:w w:val="105"/>
        </w:rPr>
        <w:t> </w:t>
      </w:r>
      <w:r>
        <w:rPr>
          <w:w w:val="105"/>
        </w:rPr>
        <w:t>to the</w:t>
      </w:r>
      <w:r>
        <w:rPr>
          <w:spacing w:val="-3"/>
          <w:w w:val="105"/>
        </w:rPr>
        <w:t> </w:t>
      </w:r>
      <w:r>
        <w:rPr>
          <w:w w:val="105"/>
        </w:rPr>
        <w:t>customer.</w:t>
      </w:r>
      <w:r>
        <w:rPr>
          <w:spacing w:val="-3"/>
          <w:w w:val="105"/>
        </w:rPr>
        <w:t> </w:t>
      </w:r>
      <w:r>
        <w:rPr>
          <w:w w:val="105"/>
        </w:rPr>
        <w:t>If</w:t>
      </w:r>
      <w:r>
        <w:rPr>
          <w:spacing w:val="-3"/>
          <w:w w:val="105"/>
        </w:rPr>
        <w:t> </w:t>
      </w:r>
      <w:r>
        <w:rPr>
          <w:w w:val="105"/>
        </w:rPr>
        <w:t>customer</w:t>
      </w:r>
      <w:r>
        <w:rPr>
          <w:spacing w:val="-3"/>
          <w:w w:val="105"/>
        </w:rPr>
        <w:t> </w:t>
      </w:r>
      <w:r>
        <w:rPr>
          <w:w w:val="105"/>
        </w:rPr>
        <w:t>acceptance</w:t>
      </w:r>
      <w:r>
        <w:rPr>
          <w:spacing w:val="-3"/>
          <w:w w:val="105"/>
        </w:rPr>
        <w:t> </w:t>
      </w:r>
      <w:r>
        <w:rPr>
          <w:w w:val="105"/>
        </w:rPr>
        <w:t>clauses</w:t>
      </w:r>
      <w:r>
        <w:rPr>
          <w:spacing w:val="-3"/>
          <w:w w:val="105"/>
        </w:rPr>
        <w:t> </w:t>
      </w:r>
      <w:r>
        <w:rPr>
          <w:w w:val="105"/>
        </w:rPr>
        <w:t>are</w:t>
      </w:r>
      <w:r>
        <w:rPr>
          <w:spacing w:val="-3"/>
          <w:w w:val="105"/>
        </w:rPr>
        <w:t> </w:t>
      </w:r>
      <w:r>
        <w:rPr>
          <w:w w:val="105"/>
        </w:rPr>
        <w:t>present</w:t>
      </w:r>
      <w:r>
        <w:rPr>
          <w:spacing w:val="-3"/>
          <w:w w:val="105"/>
        </w:rPr>
        <w:t> </w:t>
      </w:r>
      <w:r>
        <w:rPr>
          <w:w w:val="105"/>
        </w:rPr>
        <w:t>and</w:t>
      </w:r>
      <w:r>
        <w:rPr>
          <w:spacing w:val="-3"/>
          <w:w w:val="105"/>
        </w:rPr>
        <w:t> </w:t>
      </w:r>
      <w:r>
        <w:rPr>
          <w:w w:val="105"/>
        </w:rPr>
        <w:t>it</w:t>
      </w:r>
      <w:r>
        <w:rPr>
          <w:spacing w:val="-3"/>
          <w:w w:val="105"/>
        </w:rPr>
        <w:t> </w:t>
      </w:r>
      <w:r>
        <w:rPr>
          <w:w w:val="105"/>
        </w:rPr>
        <w:t>cannot</w:t>
      </w:r>
      <w:r>
        <w:rPr>
          <w:spacing w:val="-3"/>
          <w:w w:val="105"/>
        </w:rPr>
        <w:t> </w:t>
      </w:r>
      <w:r>
        <w:rPr>
          <w:w w:val="105"/>
        </w:rPr>
        <w:t>be</w:t>
      </w:r>
      <w:r>
        <w:rPr>
          <w:spacing w:val="-3"/>
          <w:w w:val="105"/>
        </w:rPr>
        <w:t> </w:t>
      </w:r>
      <w:r>
        <w:rPr>
          <w:w w:val="105"/>
        </w:rPr>
        <w:t>objectively</w:t>
      </w:r>
      <w:r>
        <w:rPr>
          <w:spacing w:val="-3"/>
          <w:w w:val="105"/>
        </w:rPr>
        <w:t> </w:t>
      </w:r>
      <w:r>
        <w:rPr>
          <w:w w:val="105"/>
        </w:rPr>
        <w:t>determined</w:t>
      </w:r>
      <w:r>
        <w:rPr>
          <w:spacing w:val="-3"/>
          <w:w w:val="105"/>
        </w:rPr>
        <w:t> </w:t>
      </w:r>
      <w:r>
        <w:rPr>
          <w:w w:val="105"/>
        </w:rPr>
        <w:t>that</w:t>
      </w:r>
      <w:r>
        <w:rPr>
          <w:spacing w:val="-3"/>
          <w:w w:val="105"/>
        </w:rPr>
        <w:t> </w:t>
      </w:r>
      <w:r>
        <w:rPr>
          <w:w w:val="105"/>
        </w:rPr>
        <w:t>control</w:t>
      </w:r>
      <w:r>
        <w:rPr>
          <w:spacing w:val="-3"/>
          <w:w w:val="105"/>
        </w:rPr>
        <w:t> </w:t>
      </w:r>
      <w:r>
        <w:rPr>
          <w:w w:val="105"/>
        </w:rPr>
        <w:t>has</w:t>
      </w:r>
      <w:r>
        <w:rPr>
          <w:spacing w:val="-3"/>
          <w:w w:val="105"/>
        </w:rPr>
        <w:t> </w:t>
      </w:r>
      <w:r>
        <w:rPr>
          <w:w w:val="105"/>
        </w:rPr>
        <w:t>been</w:t>
      </w:r>
      <w:r>
        <w:rPr>
          <w:spacing w:val="-1"/>
          <w:w w:val="105"/>
        </w:rPr>
        <w:t> </w:t>
      </w:r>
      <w:r>
        <w:rPr>
          <w:w w:val="105"/>
        </w:rPr>
        <w:t>transferred,</w:t>
      </w:r>
      <w:r>
        <w:rPr>
          <w:spacing w:val="-3"/>
          <w:w w:val="105"/>
        </w:rPr>
        <w:t> </w:t>
      </w:r>
      <w:r>
        <w:rPr>
          <w:w w:val="105"/>
        </w:rPr>
        <w:t>revenue</w:t>
      </w:r>
      <w:r>
        <w:rPr>
          <w:spacing w:val="-3"/>
          <w:w w:val="105"/>
        </w:rPr>
        <w:t> </w:t>
      </w:r>
      <w:r>
        <w:rPr>
          <w:w w:val="105"/>
        </w:rPr>
        <w:t>is</w:t>
      </w:r>
      <w:r>
        <w:rPr>
          <w:spacing w:val="-3"/>
          <w:w w:val="105"/>
        </w:rPr>
        <w:t> </w:t>
      </w:r>
      <w:r>
        <w:rPr>
          <w:w w:val="105"/>
        </w:rPr>
        <w:t>only</w:t>
      </w:r>
      <w:r>
        <w:rPr>
          <w:spacing w:val="-3"/>
          <w:w w:val="105"/>
        </w:rPr>
        <w:t> </w:t>
      </w:r>
      <w:r>
        <w:rPr>
          <w:w w:val="105"/>
        </w:rPr>
        <w:t>recorded</w:t>
      </w:r>
      <w:r>
        <w:rPr>
          <w:spacing w:val="-3"/>
          <w:w w:val="105"/>
        </w:rPr>
        <w:t> </w:t>
      </w:r>
      <w:r>
        <w:rPr>
          <w:w w:val="105"/>
        </w:rPr>
        <w:t>when</w:t>
      </w:r>
      <w:r>
        <w:rPr>
          <w:spacing w:val="-3"/>
          <w:w w:val="105"/>
        </w:rPr>
        <w:t> </w:t>
      </w:r>
      <w:r>
        <w:rPr>
          <w:w w:val="105"/>
        </w:rPr>
        <w:t>customer acceptance</w:t>
      </w:r>
      <w:r>
        <w:rPr>
          <w:spacing w:val="-2"/>
          <w:w w:val="105"/>
        </w:rPr>
        <w:t> </w:t>
      </w:r>
      <w:r>
        <w:rPr>
          <w:w w:val="105"/>
        </w:rPr>
        <w:t>is</w:t>
      </w:r>
      <w:r>
        <w:rPr>
          <w:spacing w:val="-2"/>
          <w:w w:val="105"/>
        </w:rPr>
        <w:t> </w:t>
      </w:r>
      <w:r>
        <w:rPr>
          <w:w w:val="105"/>
        </w:rPr>
        <w:t>received</w:t>
      </w:r>
      <w:r>
        <w:rPr>
          <w:spacing w:val="-2"/>
          <w:w w:val="105"/>
        </w:rPr>
        <w:t> </w:t>
      </w:r>
      <w:r>
        <w:rPr>
          <w:w w:val="105"/>
        </w:rPr>
        <w:t>and</w:t>
      </w:r>
      <w:r>
        <w:rPr>
          <w:spacing w:val="-2"/>
          <w:w w:val="105"/>
        </w:rPr>
        <w:t> </w:t>
      </w:r>
      <w:r>
        <w:rPr>
          <w:w w:val="105"/>
        </w:rPr>
        <w:t>all</w:t>
      </w:r>
      <w:r>
        <w:rPr>
          <w:spacing w:val="-2"/>
          <w:w w:val="105"/>
        </w:rPr>
        <w:t> </w:t>
      </w:r>
      <w:r>
        <w:rPr>
          <w:w w:val="105"/>
        </w:rPr>
        <w:t>performance</w:t>
      </w:r>
      <w:r>
        <w:rPr>
          <w:spacing w:val="-2"/>
          <w:w w:val="105"/>
        </w:rPr>
        <w:t> </w:t>
      </w:r>
      <w:r>
        <w:rPr>
          <w:w w:val="105"/>
        </w:rPr>
        <w:t>obligations</w:t>
      </w:r>
      <w:r>
        <w:rPr>
          <w:spacing w:val="-2"/>
          <w:w w:val="105"/>
        </w:rPr>
        <w:t> </w:t>
      </w:r>
      <w:r>
        <w:rPr>
          <w:w w:val="105"/>
        </w:rPr>
        <w:t>have</w:t>
      </w:r>
      <w:r>
        <w:rPr>
          <w:spacing w:val="-2"/>
          <w:w w:val="105"/>
        </w:rPr>
        <w:t> </w:t>
      </w:r>
      <w:r>
        <w:rPr>
          <w:w w:val="105"/>
        </w:rPr>
        <w:t>been</w:t>
      </w:r>
      <w:r>
        <w:rPr>
          <w:spacing w:val="-2"/>
          <w:w w:val="105"/>
        </w:rPr>
        <w:t> </w:t>
      </w:r>
      <w:r>
        <w:rPr>
          <w:w w:val="105"/>
        </w:rPr>
        <w:t>satisfied.</w:t>
      </w:r>
      <w:r>
        <w:rPr>
          <w:spacing w:val="-2"/>
          <w:w w:val="105"/>
        </w:rPr>
        <w:t> </w:t>
      </w:r>
      <w:r>
        <w:rPr>
          <w:w w:val="105"/>
        </w:rPr>
        <w:t>Sales</w:t>
      </w:r>
      <w:r>
        <w:rPr>
          <w:spacing w:val="-2"/>
          <w:w w:val="105"/>
        </w:rPr>
        <w:t> </w:t>
      </w:r>
      <w:r>
        <w:rPr>
          <w:w w:val="105"/>
        </w:rPr>
        <w:t>of</w:t>
      </w:r>
      <w:r>
        <w:rPr>
          <w:spacing w:val="-2"/>
          <w:w w:val="105"/>
        </w:rPr>
        <w:t> </w:t>
      </w:r>
      <w:r>
        <w:rPr>
          <w:w w:val="105"/>
        </w:rPr>
        <w:t>goods</w:t>
      </w:r>
      <w:r>
        <w:rPr>
          <w:spacing w:val="-2"/>
          <w:w w:val="105"/>
        </w:rPr>
        <w:t> </w:t>
      </w:r>
      <w:r>
        <w:rPr>
          <w:w w:val="105"/>
        </w:rPr>
        <w:t>typically</w:t>
      </w:r>
      <w:r>
        <w:rPr>
          <w:spacing w:val="-2"/>
          <w:w w:val="105"/>
        </w:rPr>
        <w:t> </w:t>
      </w:r>
      <w:r>
        <w:rPr>
          <w:w w:val="105"/>
        </w:rPr>
        <w:t>do not</w:t>
      </w:r>
      <w:r>
        <w:rPr>
          <w:spacing w:val="-2"/>
          <w:w w:val="105"/>
        </w:rPr>
        <w:t> </w:t>
      </w:r>
      <w:r>
        <w:rPr>
          <w:w w:val="105"/>
        </w:rPr>
        <w:t>include</w:t>
      </w:r>
      <w:r>
        <w:rPr>
          <w:spacing w:val="-2"/>
          <w:w w:val="105"/>
        </w:rPr>
        <w:t> </w:t>
      </w:r>
      <w:r>
        <w:rPr>
          <w:w w:val="105"/>
        </w:rPr>
        <w:t>multiple</w:t>
      </w:r>
      <w:r>
        <w:rPr>
          <w:spacing w:val="-2"/>
          <w:w w:val="105"/>
        </w:rPr>
        <w:t> </w:t>
      </w:r>
      <w:r>
        <w:rPr>
          <w:w w:val="105"/>
        </w:rPr>
        <w:t>product</w:t>
      </w:r>
      <w:r>
        <w:rPr>
          <w:spacing w:val="-4"/>
          <w:w w:val="105"/>
        </w:rPr>
        <w:t> </w:t>
      </w:r>
      <w:r>
        <w:rPr>
          <w:w w:val="105"/>
        </w:rPr>
        <w:t>and/or</w:t>
      </w:r>
      <w:r>
        <w:rPr>
          <w:spacing w:val="-2"/>
          <w:w w:val="105"/>
        </w:rPr>
        <w:t> </w:t>
      </w:r>
      <w:r>
        <w:rPr>
          <w:w w:val="105"/>
        </w:rPr>
        <w:t>service</w:t>
      </w:r>
      <w:r>
        <w:rPr>
          <w:spacing w:val="-2"/>
          <w:w w:val="105"/>
        </w:rPr>
        <w:t> </w:t>
      </w:r>
      <w:r>
        <w:rPr>
          <w:w w:val="105"/>
        </w:rPr>
        <w:t>elements.</w:t>
      </w:r>
    </w:p>
    <w:p>
      <w:pPr>
        <w:pStyle w:val="BodyText"/>
        <w:spacing w:before="18"/>
      </w:pPr>
    </w:p>
    <w:p>
      <w:pPr>
        <w:pStyle w:val="BodyText"/>
        <w:spacing w:line="266" w:lineRule="auto" w:before="1"/>
        <w:ind w:left="156"/>
      </w:pPr>
      <w:r>
        <w:rPr>
          <w:w w:val="105"/>
        </w:rPr>
        <w:t>Revenue</w:t>
      </w:r>
      <w:r>
        <w:rPr>
          <w:spacing w:val="-2"/>
          <w:w w:val="105"/>
        </w:rPr>
        <w:t> </w:t>
      </w:r>
      <w:r>
        <w:rPr>
          <w:w w:val="105"/>
        </w:rPr>
        <w:t>is</w:t>
      </w:r>
      <w:r>
        <w:rPr>
          <w:spacing w:val="-2"/>
          <w:w w:val="105"/>
        </w:rPr>
        <w:t> </w:t>
      </w:r>
      <w:r>
        <w:rPr>
          <w:w w:val="105"/>
        </w:rPr>
        <w:t>measured</w:t>
      </w:r>
      <w:r>
        <w:rPr>
          <w:spacing w:val="-2"/>
          <w:w w:val="105"/>
        </w:rPr>
        <w:t> </w:t>
      </w:r>
      <w:r>
        <w:rPr>
          <w:w w:val="105"/>
        </w:rPr>
        <w:t>as</w:t>
      </w:r>
      <w:r>
        <w:rPr>
          <w:spacing w:val="-2"/>
          <w:w w:val="105"/>
        </w:rPr>
        <w:t> </w:t>
      </w:r>
      <w:r>
        <w:rPr>
          <w:w w:val="105"/>
        </w:rPr>
        <w:t>the</w:t>
      </w:r>
      <w:r>
        <w:rPr>
          <w:spacing w:val="-2"/>
          <w:w w:val="105"/>
        </w:rPr>
        <w:t> </w:t>
      </w:r>
      <w:r>
        <w:rPr>
          <w:w w:val="105"/>
        </w:rPr>
        <w:t>amount</w:t>
      </w:r>
      <w:r>
        <w:rPr>
          <w:spacing w:val="-2"/>
          <w:w w:val="105"/>
        </w:rPr>
        <w:t> </w:t>
      </w:r>
      <w:r>
        <w:rPr>
          <w:w w:val="105"/>
        </w:rPr>
        <w:t>of</w:t>
      </w:r>
      <w:r>
        <w:rPr>
          <w:spacing w:val="-2"/>
          <w:w w:val="105"/>
        </w:rPr>
        <w:t> </w:t>
      </w:r>
      <w:r>
        <w:rPr>
          <w:w w:val="105"/>
        </w:rPr>
        <w:t>consideration</w:t>
      </w:r>
      <w:r>
        <w:rPr>
          <w:spacing w:val="-2"/>
          <w:w w:val="105"/>
        </w:rPr>
        <w:t> </w:t>
      </w:r>
      <w:r>
        <w:rPr>
          <w:w w:val="105"/>
        </w:rPr>
        <w:t>expected</w:t>
      </w:r>
      <w:r>
        <w:rPr>
          <w:spacing w:val="-2"/>
          <w:w w:val="105"/>
        </w:rPr>
        <w:t> </w:t>
      </w:r>
      <w:r>
        <w:rPr>
          <w:w w:val="105"/>
        </w:rPr>
        <w:t>in</w:t>
      </w:r>
      <w:r>
        <w:rPr>
          <w:spacing w:val="-2"/>
          <w:w w:val="105"/>
        </w:rPr>
        <w:t> </w:t>
      </w:r>
      <w:r>
        <w:rPr>
          <w:w w:val="105"/>
        </w:rPr>
        <w:t>exchange</w:t>
      </w:r>
      <w:r>
        <w:rPr>
          <w:spacing w:val="-2"/>
          <w:w w:val="105"/>
        </w:rPr>
        <w:t> </w:t>
      </w:r>
      <w:r>
        <w:rPr>
          <w:w w:val="105"/>
        </w:rPr>
        <w:t>for</w:t>
      </w:r>
      <w:r>
        <w:rPr>
          <w:spacing w:val="-2"/>
          <w:w w:val="105"/>
        </w:rPr>
        <w:t> </w:t>
      </w:r>
      <w:r>
        <w:rPr>
          <w:w w:val="105"/>
        </w:rPr>
        <w:t>transferring</w:t>
      </w:r>
      <w:r>
        <w:rPr>
          <w:spacing w:val="-2"/>
          <w:w w:val="105"/>
        </w:rPr>
        <w:t> </w:t>
      </w:r>
      <w:r>
        <w:rPr>
          <w:w w:val="105"/>
        </w:rPr>
        <w:t>goods</w:t>
      </w:r>
      <w:r>
        <w:rPr>
          <w:spacing w:val="-2"/>
          <w:w w:val="105"/>
        </w:rPr>
        <w:t> </w:t>
      </w:r>
      <w:r>
        <w:rPr>
          <w:w w:val="105"/>
        </w:rPr>
        <w:t>or</w:t>
      </w:r>
      <w:r>
        <w:rPr>
          <w:spacing w:val="-2"/>
          <w:w w:val="105"/>
        </w:rPr>
        <w:t> </w:t>
      </w:r>
      <w:r>
        <w:rPr>
          <w:w w:val="105"/>
        </w:rPr>
        <w:t>providing</w:t>
      </w:r>
      <w:r>
        <w:rPr>
          <w:spacing w:val="-2"/>
          <w:w w:val="105"/>
        </w:rPr>
        <w:t> </w:t>
      </w:r>
      <w:r>
        <w:rPr>
          <w:w w:val="105"/>
        </w:rPr>
        <w:t>services.</w:t>
      </w:r>
      <w:r>
        <w:rPr>
          <w:spacing w:val="-2"/>
          <w:w w:val="105"/>
        </w:rPr>
        <w:t> </w:t>
      </w:r>
      <w:r>
        <w:rPr>
          <w:w w:val="105"/>
        </w:rPr>
        <w:t>Sales</w:t>
      </w:r>
      <w:r>
        <w:rPr>
          <w:spacing w:val="-2"/>
          <w:w w:val="105"/>
        </w:rPr>
        <w:t> </w:t>
      </w:r>
      <w:r>
        <w:rPr>
          <w:w w:val="105"/>
        </w:rPr>
        <w:t>tax,</w:t>
      </w:r>
      <w:r>
        <w:rPr>
          <w:spacing w:val="-2"/>
          <w:w w:val="105"/>
        </w:rPr>
        <w:t> </w:t>
      </w:r>
      <w:r>
        <w:rPr>
          <w:w w:val="105"/>
        </w:rPr>
        <w:t>value-added</w:t>
      </w:r>
      <w:r>
        <w:rPr>
          <w:spacing w:val="-2"/>
          <w:w w:val="105"/>
        </w:rPr>
        <w:t> </w:t>
      </w:r>
      <w:r>
        <w:rPr>
          <w:w w:val="105"/>
        </w:rPr>
        <w:t>tax,</w:t>
      </w:r>
      <w:r>
        <w:rPr>
          <w:spacing w:val="-2"/>
          <w:w w:val="105"/>
        </w:rPr>
        <w:t> </w:t>
      </w:r>
      <w:r>
        <w:rPr>
          <w:w w:val="105"/>
        </w:rPr>
        <w:t>and</w:t>
      </w:r>
      <w:r>
        <w:rPr>
          <w:spacing w:val="-2"/>
          <w:w w:val="105"/>
        </w:rPr>
        <w:t> </w:t>
      </w:r>
      <w:r>
        <w:rPr>
          <w:w w:val="105"/>
        </w:rPr>
        <w:t>other</w:t>
      </w:r>
      <w:r>
        <w:rPr>
          <w:spacing w:val="-2"/>
          <w:w w:val="105"/>
        </w:rPr>
        <w:t> </w:t>
      </w:r>
      <w:r>
        <w:rPr>
          <w:w w:val="105"/>
        </w:rPr>
        <w:t>taxes</w:t>
      </w:r>
      <w:r>
        <w:rPr>
          <w:spacing w:val="-2"/>
          <w:w w:val="105"/>
        </w:rPr>
        <w:t> </w:t>
      </w:r>
      <w:r>
        <w:rPr>
          <w:w w:val="105"/>
        </w:rPr>
        <w:t>are collected</w:t>
      </w:r>
      <w:r>
        <w:rPr>
          <w:spacing w:val="-8"/>
          <w:w w:val="105"/>
        </w:rPr>
        <w:t> </w:t>
      </w:r>
      <w:r>
        <w:rPr>
          <w:w w:val="105"/>
        </w:rPr>
        <w:t>concurrently</w:t>
      </w:r>
      <w:r>
        <w:rPr>
          <w:spacing w:val="-8"/>
          <w:w w:val="105"/>
        </w:rPr>
        <w:t> </w:t>
      </w:r>
      <w:r>
        <w:rPr>
          <w:w w:val="105"/>
        </w:rPr>
        <w:t>with</w:t>
      </w:r>
      <w:r>
        <w:rPr>
          <w:spacing w:val="-10"/>
          <w:w w:val="105"/>
        </w:rPr>
        <w:t> </w:t>
      </w:r>
      <w:r>
        <w:rPr>
          <w:w w:val="105"/>
        </w:rPr>
        <w:t>revenue-producing</w:t>
      </w:r>
      <w:r>
        <w:rPr>
          <w:spacing w:val="-8"/>
          <w:w w:val="105"/>
        </w:rPr>
        <w:t> </w:t>
      </w:r>
      <w:r>
        <w:rPr>
          <w:w w:val="105"/>
        </w:rPr>
        <w:t>activities</w:t>
      </w:r>
      <w:r>
        <w:rPr>
          <w:spacing w:val="-10"/>
          <w:w w:val="105"/>
        </w:rPr>
        <w:t> </w:t>
      </w:r>
      <w:r>
        <w:rPr>
          <w:w w:val="105"/>
        </w:rPr>
        <w:t>are</w:t>
      </w:r>
      <w:r>
        <w:rPr>
          <w:spacing w:val="-8"/>
          <w:w w:val="105"/>
        </w:rPr>
        <w:t> </w:t>
      </w:r>
      <w:r>
        <w:rPr>
          <w:w w:val="105"/>
        </w:rPr>
        <w:t>excluded</w:t>
      </w:r>
      <w:r>
        <w:rPr>
          <w:spacing w:val="-8"/>
          <w:w w:val="105"/>
        </w:rPr>
        <w:t> </w:t>
      </w:r>
      <w:r>
        <w:rPr>
          <w:w w:val="105"/>
        </w:rPr>
        <w:t>from</w:t>
      </w:r>
      <w:r>
        <w:rPr>
          <w:spacing w:val="-8"/>
          <w:w w:val="105"/>
        </w:rPr>
        <w:t> </w:t>
      </w:r>
      <w:r>
        <w:rPr>
          <w:w w:val="105"/>
        </w:rPr>
        <w:t>revenue.</w:t>
      </w:r>
      <w:r>
        <w:rPr>
          <w:spacing w:val="-10"/>
          <w:w w:val="105"/>
        </w:rPr>
        <w:t> </w:t>
      </w:r>
      <w:r>
        <w:rPr>
          <w:w w:val="105"/>
        </w:rPr>
        <w:t>Incidental</w:t>
      </w:r>
      <w:r>
        <w:rPr>
          <w:spacing w:val="-8"/>
          <w:w w:val="105"/>
        </w:rPr>
        <w:t> </w:t>
      </w:r>
      <w:r>
        <w:rPr>
          <w:w w:val="105"/>
        </w:rPr>
        <w:t>contract</w:t>
      </w:r>
      <w:r>
        <w:rPr>
          <w:spacing w:val="-8"/>
          <w:w w:val="105"/>
        </w:rPr>
        <w:t> </w:t>
      </w:r>
      <w:r>
        <w:rPr>
          <w:w w:val="105"/>
        </w:rPr>
        <w:t>costs</w:t>
      </w:r>
      <w:r>
        <w:rPr>
          <w:spacing w:val="-8"/>
          <w:w w:val="105"/>
        </w:rPr>
        <w:t> </w:t>
      </w:r>
      <w:r>
        <w:rPr>
          <w:w w:val="105"/>
        </w:rPr>
        <w:t>that</w:t>
      </w:r>
      <w:r>
        <w:rPr>
          <w:spacing w:val="-10"/>
          <w:w w:val="105"/>
        </w:rPr>
        <w:t> </w:t>
      </w:r>
      <w:r>
        <w:rPr>
          <w:w w:val="105"/>
        </w:rPr>
        <w:t>are</w:t>
      </w:r>
      <w:r>
        <w:rPr>
          <w:spacing w:val="-9"/>
          <w:w w:val="105"/>
        </w:rPr>
        <w:t> </w:t>
      </w:r>
      <w:r>
        <w:rPr>
          <w:w w:val="105"/>
        </w:rPr>
        <w:t>not</w:t>
      </w:r>
      <w:r>
        <w:rPr>
          <w:spacing w:val="-8"/>
          <w:w w:val="105"/>
        </w:rPr>
        <w:t> </w:t>
      </w:r>
      <w:r>
        <w:rPr>
          <w:w w:val="105"/>
        </w:rPr>
        <w:t>material</w:t>
      </w:r>
      <w:r>
        <w:rPr>
          <w:spacing w:val="-8"/>
          <w:w w:val="105"/>
        </w:rPr>
        <w:t> </w:t>
      </w:r>
      <w:r>
        <w:rPr>
          <w:w w:val="105"/>
        </w:rPr>
        <w:t>in</w:t>
      </w:r>
      <w:r>
        <w:rPr>
          <w:spacing w:val="-8"/>
          <w:w w:val="105"/>
        </w:rPr>
        <w:t> </w:t>
      </w:r>
      <w:r>
        <w:rPr>
          <w:w w:val="105"/>
        </w:rPr>
        <w:t>the</w:t>
      </w:r>
      <w:r>
        <w:rPr>
          <w:spacing w:val="-8"/>
          <w:w w:val="105"/>
        </w:rPr>
        <w:t> </w:t>
      </w:r>
      <w:r>
        <w:rPr>
          <w:w w:val="105"/>
        </w:rPr>
        <w:t>context</w:t>
      </w:r>
      <w:r>
        <w:rPr>
          <w:spacing w:val="-8"/>
          <w:w w:val="105"/>
        </w:rPr>
        <w:t> </w:t>
      </w:r>
      <w:r>
        <w:rPr>
          <w:w w:val="105"/>
        </w:rPr>
        <w:t>of</w:t>
      </w:r>
      <w:r>
        <w:rPr>
          <w:spacing w:val="-8"/>
          <w:w w:val="105"/>
        </w:rPr>
        <w:t> </w:t>
      </w:r>
      <w:r>
        <w:rPr>
          <w:w w:val="105"/>
        </w:rPr>
        <w:t>the</w:t>
      </w:r>
      <w:r>
        <w:rPr>
          <w:spacing w:val="-8"/>
          <w:w w:val="105"/>
        </w:rPr>
        <w:t> </w:t>
      </w:r>
      <w:r>
        <w:rPr>
          <w:w w:val="105"/>
        </w:rPr>
        <w:t>delivery</w:t>
      </w:r>
      <w:r>
        <w:rPr>
          <w:spacing w:val="-8"/>
          <w:w w:val="105"/>
        </w:rPr>
        <w:t> </w:t>
      </w:r>
      <w:r>
        <w:rPr>
          <w:w w:val="105"/>
        </w:rPr>
        <w:t>of</w:t>
      </w:r>
      <w:r>
        <w:rPr>
          <w:spacing w:val="-8"/>
          <w:w w:val="105"/>
        </w:rPr>
        <w:t> </w:t>
      </w:r>
      <w:r>
        <w:rPr>
          <w:w w:val="105"/>
        </w:rPr>
        <w:t>goods</w:t>
      </w:r>
      <w:r>
        <w:rPr>
          <w:spacing w:val="-8"/>
          <w:w w:val="105"/>
        </w:rPr>
        <w:t> </w:t>
      </w:r>
      <w:r>
        <w:rPr>
          <w:w w:val="105"/>
        </w:rPr>
        <w:t>and services are recognized as expense.</w:t>
      </w:r>
    </w:p>
    <w:p>
      <w:pPr>
        <w:pStyle w:val="BodyText"/>
        <w:spacing w:before="18"/>
      </w:pPr>
    </w:p>
    <w:p>
      <w:pPr>
        <w:pStyle w:val="BodyText"/>
        <w:spacing w:line="266" w:lineRule="auto"/>
        <w:ind w:left="156" w:right="117"/>
      </w:pPr>
      <w:r>
        <w:rPr>
          <w:w w:val="105"/>
        </w:rPr>
        <w:t>At</w:t>
      </w:r>
      <w:r>
        <w:rPr>
          <w:spacing w:val="-7"/>
          <w:w w:val="105"/>
        </w:rPr>
        <w:t> </w:t>
      </w:r>
      <w:r>
        <w:rPr>
          <w:w w:val="105"/>
        </w:rPr>
        <w:t>the</w:t>
      </w:r>
      <w:r>
        <w:rPr>
          <w:spacing w:val="-7"/>
          <w:w w:val="105"/>
        </w:rPr>
        <w:t> </w:t>
      </w:r>
      <w:r>
        <w:rPr>
          <w:w w:val="105"/>
        </w:rPr>
        <w:t>time</w:t>
      </w:r>
      <w:r>
        <w:rPr>
          <w:spacing w:val="-7"/>
          <w:w w:val="105"/>
        </w:rPr>
        <w:t> </w:t>
      </w:r>
      <w:r>
        <w:rPr>
          <w:w w:val="105"/>
        </w:rPr>
        <w:t>revenue</w:t>
      </w:r>
      <w:r>
        <w:rPr>
          <w:spacing w:val="-7"/>
          <w:w w:val="105"/>
        </w:rPr>
        <w:t> </w:t>
      </w:r>
      <w:r>
        <w:rPr>
          <w:w w:val="105"/>
        </w:rPr>
        <w:t>is</w:t>
      </w:r>
      <w:r>
        <w:rPr>
          <w:spacing w:val="-7"/>
          <w:w w:val="105"/>
        </w:rPr>
        <w:t> </w:t>
      </w:r>
      <w:r>
        <w:rPr>
          <w:w w:val="105"/>
        </w:rPr>
        <w:t>recognized,</w:t>
      </w:r>
      <w:r>
        <w:rPr>
          <w:spacing w:val="-7"/>
          <w:w w:val="105"/>
        </w:rPr>
        <w:t> </w:t>
      </w:r>
      <w:r>
        <w:rPr>
          <w:w w:val="105"/>
        </w:rPr>
        <w:t>allowances</w:t>
      </w:r>
      <w:r>
        <w:rPr>
          <w:spacing w:val="-7"/>
          <w:w w:val="105"/>
        </w:rPr>
        <w:t> </w:t>
      </w:r>
      <w:r>
        <w:rPr>
          <w:w w:val="105"/>
        </w:rPr>
        <w:t>are</w:t>
      </w:r>
      <w:r>
        <w:rPr>
          <w:spacing w:val="-5"/>
          <w:w w:val="105"/>
        </w:rPr>
        <w:t> </w:t>
      </w:r>
      <w:r>
        <w:rPr>
          <w:w w:val="105"/>
        </w:rPr>
        <w:t>recorded,</w:t>
      </w:r>
      <w:r>
        <w:rPr>
          <w:spacing w:val="-7"/>
          <w:w w:val="105"/>
        </w:rPr>
        <w:t> </w:t>
      </w:r>
      <w:r>
        <w:rPr>
          <w:w w:val="105"/>
        </w:rPr>
        <w:t>with</w:t>
      </w:r>
      <w:r>
        <w:rPr>
          <w:spacing w:val="-7"/>
          <w:w w:val="105"/>
        </w:rPr>
        <w:t> </w:t>
      </w:r>
      <w:r>
        <w:rPr>
          <w:w w:val="105"/>
        </w:rPr>
        <w:t>the</w:t>
      </w:r>
      <w:r>
        <w:rPr>
          <w:spacing w:val="-7"/>
          <w:w w:val="105"/>
        </w:rPr>
        <w:t> </w:t>
      </w:r>
      <w:r>
        <w:rPr>
          <w:w w:val="105"/>
        </w:rPr>
        <w:t>related</w:t>
      </w:r>
      <w:r>
        <w:rPr>
          <w:spacing w:val="-7"/>
          <w:w w:val="105"/>
        </w:rPr>
        <w:t> </w:t>
      </w:r>
      <w:r>
        <w:rPr>
          <w:w w:val="105"/>
        </w:rPr>
        <w:t>reduction</w:t>
      </w:r>
      <w:r>
        <w:rPr>
          <w:spacing w:val="-7"/>
          <w:w w:val="105"/>
        </w:rPr>
        <w:t> </w:t>
      </w:r>
      <w:r>
        <w:rPr>
          <w:w w:val="105"/>
        </w:rPr>
        <w:t>to</w:t>
      </w:r>
      <w:r>
        <w:rPr>
          <w:spacing w:val="-7"/>
          <w:w w:val="105"/>
        </w:rPr>
        <w:t> </w:t>
      </w:r>
      <w:r>
        <w:rPr>
          <w:w w:val="105"/>
        </w:rPr>
        <w:t>revenue,</w:t>
      </w:r>
      <w:r>
        <w:rPr>
          <w:spacing w:val="-7"/>
          <w:w w:val="105"/>
        </w:rPr>
        <w:t> </w:t>
      </w:r>
      <w:r>
        <w:rPr>
          <w:w w:val="105"/>
        </w:rPr>
        <w:t>for</w:t>
      </w:r>
      <w:r>
        <w:rPr>
          <w:spacing w:val="-5"/>
          <w:w w:val="105"/>
        </w:rPr>
        <w:t> </w:t>
      </w:r>
      <w:r>
        <w:rPr>
          <w:w w:val="105"/>
        </w:rPr>
        <w:t>estimated</w:t>
      </w:r>
      <w:r>
        <w:rPr>
          <w:spacing w:val="-7"/>
          <w:w w:val="105"/>
        </w:rPr>
        <w:t> </w:t>
      </w:r>
      <w:r>
        <w:rPr>
          <w:w w:val="105"/>
        </w:rPr>
        <w:t>product</w:t>
      </w:r>
      <w:r>
        <w:rPr>
          <w:spacing w:val="-7"/>
          <w:w w:val="105"/>
        </w:rPr>
        <w:t> </w:t>
      </w:r>
      <w:r>
        <w:rPr>
          <w:w w:val="105"/>
        </w:rPr>
        <w:t>returns,</w:t>
      </w:r>
      <w:r>
        <w:rPr>
          <w:spacing w:val="-7"/>
          <w:w w:val="105"/>
        </w:rPr>
        <w:t> </w:t>
      </w:r>
      <w:r>
        <w:rPr>
          <w:w w:val="105"/>
        </w:rPr>
        <w:t>allowances</w:t>
      </w:r>
      <w:r>
        <w:rPr>
          <w:spacing w:val="-7"/>
          <w:w w:val="105"/>
        </w:rPr>
        <w:t> </w:t>
      </w:r>
      <w:r>
        <w:rPr>
          <w:w w:val="105"/>
        </w:rPr>
        <w:t>and</w:t>
      </w:r>
      <w:r>
        <w:rPr>
          <w:spacing w:val="-7"/>
          <w:w w:val="105"/>
        </w:rPr>
        <w:t> </w:t>
      </w:r>
      <w:r>
        <w:rPr>
          <w:w w:val="105"/>
        </w:rPr>
        <w:t>price</w:t>
      </w:r>
      <w:r>
        <w:rPr>
          <w:spacing w:val="-7"/>
          <w:w w:val="105"/>
        </w:rPr>
        <w:t> </w:t>
      </w:r>
      <w:r>
        <w:rPr>
          <w:w w:val="105"/>
        </w:rPr>
        <w:t>discounts</w:t>
      </w:r>
      <w:r>
        <w:rPr>
          <w:spacing w:val="-7"/>
          <w:w w:val="105"/>
        </w:rPr>
        <w:t> </w:t>
      </w:r>
      <w:r>
        <w:rPr>
          <w:w w:val="105"/>
        </w:rPr>
        <w:t>based</w:t>
      </w:r>
      <w:r>
        <w:rPr>
          <w:spacing w:val="-7"/>
          <w:w w:val="105"/>
        </w:rPr>
        <w:t> </w:t>
      </w:r>
      <w:r>
        <w:rPr>
          <w:w w:val="105"/>
        </w:rPr>
        <w:t>upon historical</w:t>
      </w:r>
      <w:r>
        <w:rPr>
          <w:spacing w:val="-5"/>
          <w:w w:val="105"/>
        </w:rPr>
        <w:t> </w:t>
      </w:r>
      <w:r>
        <w:rPr>
          <w:w w:val="105"/>
        </w:rPr>
        <w:t>experience</w:t>
      </w:r>
      <w:r>
        <w:rPr>
          <w:spacing w:val="-5"/>
          <w:w w:val="105"/>
        </w:rPr>
        <w:t> </w:t>
      </w:r>
      <w:r>
        <w:rPr>
          <w:w w:val="105"/>
        </w:rPr>
        <w:t>and</w:t>
      </w:r>
      <w:r>
        <w:rPr>
          <w:spacing w:val="-5"/>
          <w:w w:val="105"/>
        </w:rPr>
        <w:t> </w:t>
      </w:r>
      <w:r>
        <w:rPr>
          <w:w w:val="105"/>
        </w:rPr>
        <w:t>related</w:t>
      </w:r>
      <w:r>
        <w:rPr>
          <w:spacing w:val="-7"/>
          <w:w w:val="105"/>
        </w:rPr>
        <w:t> </w:t>
      </w:r>
      <w:r>
        <w:rPr>
          <w:w w:val="105"/>
        </w:rPr>
        <w:t>terms</w:t>
      </w:r>
      <w:r>
        <w:rPr>
          <w:spacing w:val="-5"/>
          <w:w w:val="105"/>
        </w:rPr>
        <w:t> </w:t>
      </w:r>
      <w:r>
        <w:rPr>
          <w:w w:val="105"/>
        </w:rPr>
        <w:t>of</w:t>
      </w:r>
      <w:r>
        <w:rPr>
          <w:spacing w:val="-5"/>
          <w:w w:val="105"/>
        </w:rPr>
        <w:t> </w:t>
      </w:r>
      <w:r>
        <w:rPr>
          <w:w w:val="105"/>
        </w:rPr>
        <w:t>customer</w:t>
      </w:r>
      <w:r>
        <w:rPr>
          <w:spacing w:val="-5"/>
          <w:w w:val="105"/>
        </w:rPr>
        <w:t> </w:t>
      </w:r>
      <w:r>
        <w:rPr>
          <w:w w:val="105"/>
        </w:rPr>
        <w:t>arrangements.</w:t>
      </w:r>
      <w:r>
        <w:rPr>
          <w:spacing w:val="-5"/>
          <w:w w:val="105"/>
        </w:rPr>
        <w:t> </w:t>
      </w:r>
      <w:r>
        <w:rPr>
          <w:w w:val="105"/>
        </w:rPr>
        <w:t>Where</w:t>
      </w:r>
      <w:r>
        <w:rPr>
          <w:spacing w:val="-5"/>
          <w:w w:val="105"/>
        </w:rPr>
        <w:t> </w:t>
      </w:r>
      <w:r>
        <w:rPr>
          <w:w w:val="105"/>
        </w:rPr>
        <w:t>product</w:t>
      </w:r>
      <w:r>
        <w:rPr>
          <w:spacing w:val="-5"/>
          <w:w w:val="105"/>
        </w:rPr>
        <w:t> </w:t>
      </w:r>
      <w:r>
        <w:rPr>
          <w:w w:val="105"/>
        </w:rPr>
        <w:t>warranties</w:t>
      </w:r>
      <w:r>
        <w:rPr>
          <w:spacing w:val="-7"/>
          <w:w w:val="105"/>
        </w:rPr>
        <w:t> </w:t>
      </w:r>
      <w:r>
        <w:rPr>
          <w:w w:val="105"/>
        </w:rPr>
        <w:t>are</w:t>
      </w:r>
      <w:r>
        <w:rPr>
          <w:spacing w:val="-5"/>
          <w:w w:val="105"/>
        </w:rPr>
        <w:t> </w:t>
      </w:r>
      <w:r>
        <w:rPr>
          <w:w w:val="105"/>
        </w:rPr>
        <w:t>offered,</w:t>
      </w:r>
      <w:r>
        <w:rPr>
          <w:spacing w:val="-5"/>
          <w:w w:val="105"/>
        </w:rPr>
        <w:t> </w:t>
      </w:r>
      <w:r>
        <w:rPr>
          <w:w w:val="105"/>
        </w:rPr>
        <w:t>liabilities</w:t>
      </w:r>
      <w:r>
        <w:rPr>
          <w:spacing w:val="-5"/>
          <w:w w:val="105"/>
        </w:rPr>
        <w:t> </w:t>
      </w:r>
      <w:r>
        <w:rPr>
          <w:w w:val="105"/>
        </w:rPr>
        <w:t>are</w:t>
      </w:r>
      <w:r>
        <w:rPr>
          <w:spacing w:val="-5"/>
          <w:w w:val="105"/>
        </w:rPr>
        <w:t> </w:t>
      </w:r>
      <w:r>
        <w:rPr>
          <w:w w:val="105"/>
        </w:rPr>
        <w:t>established</w:t>
      </w:r>
      <w:r>
        <w:rPr>
          <w:spacing w:val="-5"/>
          <w:w w:val="105"/>
        </w:rPr>
        <w:t> </w:t>
      </w:r>
      <w:r>
        <w:rPr>
          <w:w w:val="105"/>
        </w:rPr>
        <w:t>for</w:t>
      </w:r>
      <w:r>
        <w:rPr>
          <w:spacing w:val="-5"/>
          <w:w w:val="105"/>
        </w:rPr>
        <w:t> </w:t>
      </w:r>
      <w:r>
        <w:rPr>
          <w:w w:val="105"/>
        </w:rPr>
        <w:t>estimated</w:t>
      </w:r>
      <w:r>
        <w:rPr>
          <w:spacing w:val="-5"/>
          <w:w w:val="105"/>
        </w:rPr>
        <w:t> </w:t>
      </w:r>
      <w:r>
        <w:rPr>
          <w:w w:val="105"/>
        </w:rPr>
        <w:t>warranty</w:t>
      </w:r>
      <w:r>
        <w:rPr>
          <w:spacing w:val="-5"/>
          <w:w w:val="105"/>
        </w:rPr>
        <w:t> </w:t>
      </w:r>
      <w:r>
        <w:rPr>
          <w:w w:val="105"/>
        </w:rPr>
        <w:t>costs</w:t>
      </w:r>
      <w:r>
        <w:rPr>
          <w:spacing w:val="-5"/>
          <w:w w:val="105"/>
        </w:rPr>
        <w:t> </w:t>
      </w:r>
      <w:r>
        <w:rPr>
          <w:w w:val="105"/>
        </w:rPr>
        <w:t>based</w:t>
      </w:r>
      <w:r>
        <w:rPr>
          <w:spacing w:val="-5"/>
          <w:w w:val="105"/>
        </w:rPr>
        <w:t> </w:t>
      </w:r>
      <w:r>
        <w:rPr>
          <w:w w:val="105"/>
        </w:rPr>
        <w:t>upon historical</w:t>
      </w:r>
      <w:r>
        <w:rPr>
          <w:spacing w:val="-9"/>
          <w:w w:val="105"/>
        </w:rPr>
        <w:t> </w:t>
      </w:r>
      <w:r>
        <w:rPr>
          <w:w w:val="105"/>
        </w:rPr>
        <w:t>experience</w:t>
      </w:r>
      <w:r>
        <w:rPr>
          <w:spacing w:val="-9"/>
          <w:w w:val="105"/>
        </w:rPr>
        <w:t> </w:t>
      </w:r>
      <w:r>
        <w:rPr>
          <w:w w:val="105"/>
        </w:rPr>
        <w:t>and</w:t>
      </w:r>
      <w:r>
        <w:rPr>
          <w:spacing w:val="-9"/>
          <w:w w:val="105"/>
        </w:rPr>
        <w:t> </w:t>
      </w:r>
      <w:r>
        <w:rPr>
          <w:w w:val="105"/>
        </w:rPr>
        <w:t>specific</w:t>
      </w:r>
      <w:r>
        <w:rPr>
          <w:spacing w:val="-9"/>
          <w:w w:val="105"/>
        </w:rPr>
        <w:t> </w:t>
      </w:r>
      <w:r>
        <w:rPr>
          <w:w w:val="105"/>
        </w:rPr>
        <w:t>warranty</w:t>
      </w:r>
      <w:r>
        <w:rPr>
          <w:spacing w:val="-9"/>
          <w:w w:val="105"/>
        </w:rPr>
        <w:t> </w:t>
      </w:r>
      <w:r>
        <w:rPr>
          <w:w w:val="105"/>
        </w:rPr>
        <w:t>provisions.</w:t>
      </w:r>
      <w:r>
        <w:rPr>
          <w:spacing w:val="-9"/>
          <w:w w:val="105"/>
        </w:rPr>
        <w:t> </w:t>
      </w:r>
      <w:r>
        <w:rPr>
          <w:w w:val="105"/>
        </w:rPr>
        <w:t>Warranty</w:t>
      </w:r>
      <w:r>
        <w:rPr>
          <w:spacing w:val="-9"/>
          <w:w w:val="105"/>
        </w:rPr>
        <w:t> </w:t>
      </w:r>
      <w:r>
        <w:rPr>
          <w:w w:val="105"/>
        </w:rPr>
        <w:t>liabilities</w:t>
      </w:r>
      <w:r>
        <w:rPr>
          <w:spacing w:val="-9"/>
          <w:w w:val="105"/>
        </w:rPr>
        <w:t> </w:t>
      </w:r>
      <w:r>
        <w:rPr>
          <w:w w:val="105"/>
        </w:rPr>
        <w:t>are</w:t>
      </w:r>
      <w:r>
        <w:rPr>
          <w:spacing w:val="-9"/>
          <w:w w:val="105"/>
        </w:rPr>
        <w:t> </w:t>
      </w:r>
      <w:r>
        <w:rPr>
          <w:w w:val="105"/>
        </w:rPr>
        <w:t>adjusted</w:t>
      </w:r>
      <w:r>
        <w:rPr>
          <w:spacing w:val="-9"/>
          <w:w w:val="105"/>
        </w:rPr>
        <w:t> </w:t>
      </w:r>
      <w:r>
        <w:rPr>
          <w:w w:val="105"/>
        </w:rPr>
        <w:t>when</w:t>
      </w:r>
      <w:r>
        <w:rPr>
          <w:spacing w:val="-9"/>
          <w:w w:val="105"/>
        </w:rPr>
        <w:t> </w:t>
      </w:r>
      <w:r>
        <w:rPr>
          <w:w w:val="105"/>
        </w:rPr>
        <w:t>experience</w:t>
      </w:r>
      <w:r>
        <w:rPr>
          <w:spacing w:val="-9"/>
          <w:w w:val="105"/>
        </w:rPr>
        <w:t> </w:t>
      </w:r>
      <w:r>
        <w:rPr>
          <w:w w:val="105"/>
        </w:rPr>
        <w:t>indicates</w:t>
      </w:r>
      <w:r>
        <w:rPr>
          <w:spacing w:val="-9"/>
          <w:w w:val="105"/>
        </w:rPr>
        <w:t> </w:t>
      </w:r>
      <w:r>
        <w:rPr>
          <w:w w:val="105"/>
        </w:rPr>
        <w:t>the</w:t>
      </w:r>
      <w:r>
        <w:rPr>
          <w:spacing w:val="-9"/>
          <w:w w:val="105"/>
        </w:rPr>
        <w:t> </w:t>
      </w:r>
      <w:r>
        <w:rPr>
          <w:w w:val="105"/>
        </w:rPr>
        <w:t>expected</w:t>
      </w:r>
      <w:r>
        <w:rPr>
          <w:spacing w:val="-9"/>
          <w:w w:val="105"/>
        </w:rPr>
        <w:t> </w:t>
      </w:r>
      <w:r>
        <w:rPr>
          <w:w w:val="105"/>
        </w:rPr>
        <w:t>outcome</w:t>
      </w:r>
      <w:r>
        <w:rPr>
          <w:spacing w:val="-11"/>
          <w:w w:val="105"/>
        </w:rPr>
        <w:t> </w:t>
      </w:r>
      <w:r>
        <w:rPr>
          <w:w w:val="105"/>
        </w:rPr>
        <w:t>will</w:t>
      </w:r>
      <w:r>
        <w:rPr>
          <w:spacing w:val="-9"/>
          <w:w w:val="105"/>
        </w:rPr>
        <w:t> </w:t>
      </w:r>
      <w:r>
        <w:rPr>
          <w:w w:val="105"/>
        </w:rPr>
        <w:t>differ</w:t>
      </w:r>
      <w:r>
        <w:rPr>
          <w:spacing w:val="-9"/>
          <w:w w:val="105"/>
        </w:rPr>
        <w:t> </w:t>
      </w:r>
      <w:r>
        <w:rPr>
          <w:w w:val="105"/>
        </w:rPr>
        <w:t>from</w:t>
      </w:r>
      <w:r>
        <w:rPr>
          <w:spacing w:val="-9"/>
          <w:w w:val="105"/>
        </w:rPr>
        <w:t> </w:t>
      </w:r>
      <w:r>
        <w:rPr>
          <w:w w:val="105"/>
        </w:rPr>
        <w:t>initial</w:t>
      </w:r>
      <w:r>
        <w:rPr>
          <w:spacing w:val="-9"/>
          <w:w w:val="105"/>
        </w:rPr>
        <w:t> </w:t>
      </w:r>
      <w:r>
        <w:rPr>
          <w:w w:val="105"/>
        </w:rPr>
        <w:t>estimates</w:t>
      </w:r>
      <w:r>
        <w:rPr>
          <w:spacing w:val="-9"/>
          <w:w w:val="105"/>
        </w:rPr>
        <w:t> </w:t>
      </w:r>
      <w:r>
        <w:rPr>
          <w:w w:val="105"/>
        </w:rPr>
        <w:t>of the</w:t>
      </w:r>
      <w:r>
        <w:rPr>
          <w:spacing w:val="-1"/>
          <w:w w:val="105"/>
        </w:rPr>
        <w:t> </w:t>
      </w:r>
      <w:r>
        <w:rPr>
          <w:w w:val="105"/>
        </w:rPr>
        <w:t>liability.</w:t>
      </w:r>
    </w:p>
    <w:p>
      <w:pPr>
        <w:pStyle w:val="BodyText"/>
        <w:spacing w:before="18"/>
      </w:pPr>
    </w:p>
    <w:p>
      <w:pPr>
        <w:pStyle w:val="BodyText"/>
        <w:spacing w:line="266" w:lineRule="auto"/>
        <w:ind w:left="156"/>
      </w:pPr>
      <w:r>
        <w:rPr>
          <w:w w:val="105"/>
        </w:rPr>
        <w:t>In</w:t>
      </w:r>
      <w:r>
        <w:rPr>
          <w:spacing w:val="-9"/>
          <w:w w:val="105"/>
        </w:rPr>
        <w:t> </w:t>
      </w:r>
      <w:r>
        <w:rPr>
          <w:w w:val="105"/>
        </w:rPr>
        <w:t>addition,</w:t>
      </w:r>
      <w:r>
        <w:rPr>
          <w:spacing w:val="-9"/>
          <w:w w:val="105"/>
        </w:rPr>
        <w:t> </w:t>
      </w:r>
      <w:r>
        <w:rPr>
          <w:w w:val="105"/>
        </w:rPr>
        <w:t>Corning</w:t>
      </w:r>
      <w:r>
        <w:rPr>
          <w:spacing w:val="-9"/>
          <w:w w:val="105"/>
        </w:rPr>
        <w:t> </w:t>
      </w:r>
      <w:r>
        <w:rPr>
          <w:w w:val="105"/>
        </w:rPr>
        <w:t>also</w:t>
      </w:r>
      <w:r>
        <w:rPr>
          <w:spacing w:val="-9"/>
          <w:w w:val="105"/>
        </w:rPr>
        <w:t> </w:t>
      </w:r>
      <w:r>
        <w:rPr>
          <w:w w:val="105"/>
        </w:rPr>
        <w:t>has</w:t>
      </w:r>
      <w:r>
        <w:rPr>
          <w:spacing w:val="-9"/>
          <w:w w:val="105"/>
        </w:rPr>
        <w:t> </w:t>
      </w:r>
      <w:r>
        <w:rPr>
          <w:w w:val="105"/>
        </w:rPr>
        <w:t>contractual</w:t>
      </w:r>
      <w:r>
        <w:rPr>
          <w:spacing w:val="-9"/>
          <w:w w:val="105"/>
        </w:rPr>
        <w:t> </w:t>
      </w:r>
      <w:r>
        <w:rPr>
          <w:w w:val="105"/>
        </w:rPr>
        <w:t>arrangements</w:t>
      </w:r>
      <w:r>
        <w:rPr>
          <w:spacing w:val="-9"/>
          <w:w w:val="105"/>
        </w:rPr>
        <w:t> </w:t>
      </w:r>
      <w:r>
        <w:rPr>
          <w:w w:val="105"/>
        </w:rPr>
        <w:t>with</w:t>
      </w:r>
      <w:r>
        <w:rPr>
          <w:spacing w:val="-9"/>
          <w:w w:val="105"/>
        </w:rPr>
        <w:t> </w:t>
      </w:r>
      <w:r>
        <w:rPr>
          <w:w w:val="105"/>
        </w:rPr>
        <w:t>certain</w:t>
      </w:r>
      <w:r>
        <w:rPr>
          <w:spacing w:val="-9"/>
          <w:w w:val="105"/>
        </w:rPr>
        <w:t> </w:t>
      </w:r>
      <w:r>
        <w:rPr>
          <w:w w:val="105"/>
        </w:rPr>
        <w:t>customers</w:t>
      </w:r>
      <w:r>
        <w:rPr>
          <w:spacing w:val="-9"/>
          <w:w w:val="105"/>
        </w:rPr>
        <w:t> </w:t>
      </w:r>
      <w:r>
        <w:rPr>
          <w:w w:val="105"/>
        </w:rPr>
        <w:t>in</w:t>
      </w:r>
      <w:r>
        <w:rPr>
          <w:spacing w:val="-9"/>
          <w:w w:val="105"/>
        </w:rPr>
        <w:t> </w:t>
      </w:r>
      <w:r>
        <w:rPr>
          <w:w w:val="105"/>
        </w:rPr>
        <w:t>which</w:t>
      </w:r>
      <w:r>
        <w:rPr>
          <w:spacing w:val="-9"/>
          <w:w w:val="105"/>
        </w:rPr>
        <w:t> </w:t>
      </w:r>
      <w:r>
        <w:rPr>
          <w:w w:val="105"/>
        </w:rPr>
        <w:t>revenue</w:t>
      </w:r>
      <w:r>
        <w:rPr>
          <w:spacing w:val="-9"/>
          <w:w w:val="105"/>
        </w:rPr>
        <w:t> </w:t>
      </w:r>
      <w:r>
        <w:rPr>
          <w:w w:val="105"/>
        </w:rPr>
        <w:t>is</w:t>
      </w:r>
      <w:r>
        <w:rPr>
          <w:spacing w:val="-9"/>
          <w:w w:val="105"/>
        </w:rPr>
        <w:t> </w:t>
      </w:r>
      <w:r>
        <w:rPr>
          <w:w w:val="105"/>
        </w:rPr>
        <w:t>recognized</w:t>
      </w:r>
      <w:r>
        <w:rPr>
          <w:spacing w:val="-9"/>
          <w:w w:val="105"/>
        </w:rPr>
        <w:t> </w:t>
      </w:r>
      <w:r>
        <w:rPr>
          <w:w w:val="105"/>
        </w:rPr>
        <w:t>over</w:t>
      </w:r>
      <w:r>
        <w:rPr>
          <w:spacing w:val="-9"/>
          <w:w w:val="105"/>
        </w:rPr>
        <w:t> </w:t>
      </w:r>
      <w:r>
        <w:rPr>
          <w:w w:val="105"/>
        </w:rPr>
        <w:t>time.</w:t>
      </w:r>
      <w:r>
        <w:rPr>
          <w:spacing w:val="-9"/>
          <w:w w:val="105"/>
        </w:rPr>
        <w:t> </w:t>
      </w:r>
      <w:r>
        <w:rPr>
          <w:w w:val="105"/>
        </w:rPr>
        <w:t>The</w:t>
      </w:r>
      <w:r>
        <w:rPr>
          <w:spacing w:val="-9"/>
          <w:w w:val="105"/>
        </w:rPr>
        <w:t> </w:t>
      </w:r>
      <w:r>
        <w:rPr>
          <w:w w:val="105"/>
        </w:rPr>
        <w:t>performance</w:t>
      </w:r>
      <w:r>
        <w:rPr>
          <w:spacing w:val="-9"/>
          <w:w w:val="105"/>
        </w:rPr>
        <w:t> </w:t>
      </w:r>
      <w:r>
        <w:rPr>
          <w:w w:val="105"/>
        </w:rPr>
        <w:t>obligations</w:t>
      </w:r>
      <w:r>
        <w:rPr>
          <w:spacing w:val="-9"/>
          <w:w w:val="105"/>
        </w:rPr>
        <w:t> </w:t>
      </w:r>
      <w:r>
        <w:rPr>
          <w:w w:val="105"/>
        </w:rPr>
        <w:t>under</w:t>
      </w:r>
      <w:r>
        <w:rPr>
          <w:spacing w:val="-9"/>
          <w:w w:val="105"/>
        </w:rPr>
        <w:t> </w:t>
      </w:r>
      <w:r>
        <w:rPr>
          <w:w w:val="105"/>
        </w:rPr>
        <w:t>these</w:t>
      </w:r>
      <w:r>
        <w:rPr>
          <w:spacing w:val="-9"/>
          <w:w w:val="105"/>
        </w:rPr>
        <w:t> </w:t>
      </w:r>
      <w:r>
        <w:rPr>
          <w:w w:val="105"/>
        </w:rPr>
        <w:t>contracts generally</w:t>
      </w:r>
      <w:r>
        <w:rPr>
          <w:spacing w:val="-2"/>
          <w:w w:val="105"/>
        </w:rPr>
        <w:t> </w:t>
      </w:r>
      <w:r>
        <w:rPr>
          <w:w w:val="105"/>
        </w:rPr>
        <w:t>require</w:t>
      </w:r>
      <w:r>
        <w:rPr>
          <w:spacing w:val="-2"/>
          <w:w w:val="105"/>
        </w:rPr>
        <w:t> </w:t>
      </w:r>
      <w:r>
        <w:rPr>
          <w:w w:val="105"/>
        </w:rPr>
        <w:t>services</w:t>
      </w:r>
      <w:r>
        <w:rPr>
          <w:spacing w:val="-2"/>
          <w:w w:val="105"/>
        </w:rPr>
        <w:t> </w:t>
      </w:r>
      <w:r>
        <w:rPr>
          <w:w w:val="105"/>
        </w:rPr>
        <w:t>to</w:t>
      </w:r>
      <w:r>
        <w:rPr>
          <w:spacing w:val="-2"/>
          <w:w w:val="105"/>
        </w:rPr>
        <w:t> </w:t>
      </w:r>
      <w:r>
        <w:rPr>
          <w:w w:val="105"/>
        </w:rPr>
        <w:t>be</w:t>
      </w:r>
      <w:r>
        <w:rPr>
          <w:spacing w:val="-2"/>
          <w:w w:val="105"/>
        </w:rPr>
        <w:t> </w:t>
      </w:r>
      <w:r>
        <w:rPr>
          <w:w w:val="105"/>
        </w:rPr>
        <w:t>performed</w:t>
      </w:r>
      <w:r>
        <w:rPr>
          <w:spacing w:val="-2"/>
          <w:w w:val="105"/>
        </w:rPr>
        <w:t> </w:t>
      </w:r>
      <w:r>
        <w:rPr>
          <w:w w:val="105"/>
        </w:rPr>
        <w:t>over</w:t>
      </w:r>
      <w:r>
        <w:rPr>
          <w:spacing w:val="-2"/>
          <w:w w:val="105"/>
        </w:rPr>
        <w:t> </w:t>
      </w:r>
      <w:r>
        <w:rPr>
          <w:w w:val="105"/>
        </w:rPr>
        <w:t>time,</w:t>
      </w:r>
      <w:r>
        <w:rPr>
          <w:spacing w:val="-2"/>
          <w:w w:val="105"/>
        </w:rPr>
        <w:t> </w:t>
      </w:r>
      <w:r>
        <w:rPr>
          <w:w w:val="105"/>
        </w:rPr>
        <w:t>resulting</w:t>
      </w:r>
      <w:r>
        <w:rPr>
          <w:spacing w:val="-2"/>
          <w:w w:val="105"/>
        </w:rPr>
        <w:t> </w:t>
      </w:r>
      <w:r>
        <w:rPr>
          <w:w w:val="105"/>
        </w:rPr>
        <w:t>in</w:t>
      </w:r>
      <w:r>
        <w:rPr>
          <w:spacing w:val="-2"/>
          <w:w w:val="105"/>
        </w:rPr>
        <w:t> </w:t>
      </w:r>
      <w:r>
        <w:rPr>
          <w:w w:val="105"/>
        </w:rPr>
        <w:t>either</w:t>
      </w:r>
      <w:r>
        <w:rPr>
          <w:spacing w:val="-2"/>
          <w:w w:val="105"/>
        </w:rPr>
        <w:t> </w:t>
      </w:r>
      <w:r>
        <w:rPr>
          <w:w w:val="105"/>
        </w:rPr>
        <w:t>a</w:t>
      </w:r>
      <w:r>
        <w:rPr>
          <w:spacing w:val="-2"/>
          <w:w w:val="105"/>
        </w:rPr>
        <w:t> </w:t>
      </w:r>
      <w:r>
        <w:rPr>
          <w:w w:val="105"/>
        </w:rPr>
        <w:t>straight-line amortization</w:t>
      </w:r>
      <w:r>
        <w:rPr>
          <w:spacing w:val="-2"/>
          <w:w w:val="105"/>
        </w:rPr>
        <w:t> </w:t>
      </w:r>
      <w:r>
        <w:rPr>
          <w:w w:val="105"/>
        </w:rPr>
        <w:t>method</w:t>
      </w:r>
      <w:r>
        <w:rPr>
          <w:spacing w:val="-2"/>
          <w:w w:val="105"/>
        </w:rPr>
        <w:t> </w:t>
      </w:r>
      <w:r>
        <w:rPr>
          <w:w w:val="105"/>
        </w:rPr>
        <w:t>or an</w:t>
      </w:r>
      <w:r>
        <w:rPr>
          <w:spacing w:val="-2"/>
          <w:w w:val="105"/>
        </w:rPr>
        <w:t> </w:t>
      </w:r>
      <w:r>
        <w:rPr>
          <w:w w:val="105"/>
        </w:rPr>
        <w:t>input</w:t>
      </w:r>
      <w:r>
        <w:rPr>
          <w:spacing w:val="-2"/>
          <w:w w:val="105"/>
        </w:rPr>
        <w:t> </w:t>
      </w:r>
      <w:r>
        <w:rPr>
          <w:w w:val="105"/>
        </w:rPr>
        <w:t>method</w:t>
      </w:r>
      <w:r>
        <w:rPr>
          <w:spacing w:val="-2"/>
          <w:w w:val="105"/>
        </w:rPr>
        <w:t> </w:t>
      </w:r>
      <w:r>
        <w:rPr>
          <w:w w:val="105"/>
        </w:rPr>
        <w:t>using</w:t>
      </w:r>
      <w:r>
        <w:rPr>
          <w:spacing w:val="-2"/>
          <w:w w:val="105"/>
        </w:rPr>
        <w:t> </w:t>
      </w:r>
      <w:r>
        <w:rPr>
          <w:w w:val="105"/>
        </w:rPr>
        <w:t>incurred</w:t>
      </w:r>
      <w:r>
        <w:rPr>
          <w:spacing w:val="-2"/>
          <w:w w:val="105"/>
        </w:rPr>
        <w:t> </w:t>
      </w:r>
      <w:r>
        <w:rPr>
          <w:w w:val="105"/>
        </w:rPr>
        <w:t>and forecasted</w:t>
      </w:r>
      <w:r>
        <w:rPr>
          <w:spacing w:val="-2"/>
          <w:w w:val="105"/>
        </w:rPr>
        <w:t> </w:t>
      </w:r>
      <w:r>
        <w:rPr>
          <w:w w:val="105"/>
        </w:rPr>
        <w:t>expense</w:t>
      </w:r>
      <w:r>
        <w:rPr>
          <w:spacing w:val="-2"/>
          <w:w w:val="105"/>
        </w:rPr>
        <w:t> </w:t>
      </w:r>
      <w:r>
        <w:rPr>
          <w:w w:val="105"/>
        </w:rPr>
        <w:t>to predict revenue recognition patterns which follows satisfaction of the performance obligation.</w:t>
      </w:r>
    </w:p>
    <w:p>
      <w:pPr>
        <w:pStyle w:val="BodyText"/>
        <w:spacing w:before="19"/>
      </w:pPr>
    </w:p>
    <w:p>
      <w:pPr>
        <w:pStyle w:val="Heading3"/>
      </w:pPr>
      <w:r>
        <w:rPr/>
        <w:t>Research</w:t>
      </w:r>
      <w:r>
        <w:rPr>
          <w:spacing w:val="15"/>
        </w:rPr>
        <w:t> </w:t>
      </w:r>
      <w:r>
        <w:rPr/>
        <w:t>and</w:t>
      </w:r>
      <w:r>
        <w:rPr>
          <w:spacing w:val="16"/>
        </w:rPr>
        <w:t> </w:t>
      </w:r>
      <w:r>
        <w:rPr/>
        <w:t>Development</w:t>
      </w:r>
      <w:r>
        <w:rPr>
          <w:spacing w:val="16"/>
        </w:rPr>
        <w:t> </w:t>
      </w:r>
      <w:r>
        <w:rPr>
          <w:spacing w:val="-2"/>
        </w:rPr>
        <w:t>Costs</w:t>
      </w:r>
    </w:p>
    <w:p>
      <w:pPr>
        <w:pStyle w:val="BodyText"/>
        <w:spacing w:before="40"/>
        <w:rPr>
          <w:b/>
          <w:i/>
        </w:rPr>
      </w:pPr>
    </w:p>
    <w:p>
      <w:pPr>
        <w:pStyle w:val="BodyText"/>
        <w:spacing w:line="266" w:lineRule="auto"/>
        <w:ind w:left="156" w:right="328"/>
      </w:pPr>
      <w:r>
        <w:rPr>
          <w:w w:val="105"/>
        </w:rPr>
        <w:t>Research</w:t>
      </w:r>
      <w:r>
        <w:rPr>
          <w:spacing w:val="-8"/>
          <w:w w:val="105"/>
        </w:rPr>
        <w:t> </w:t>
      </w:r>
      <w:r>
        <w:rPr>
          <w:w w:val="105"/>
        </w:rPr>
        <w:t>and</w:t>
      </w:r>
      <w:r>
        <w:rPr>
          <w:spacing w:val="-8"/>
          <w:w w:val="105"/>
        </w:rPr>
        <w:t> </w:t>
      </w:r>
      <w:r>
        <w:rPr>
          <w:w w:val="105"/>
        </w:rPr>
        <w:t>development</w:t>
      </w:r>
      <w:r>
        <w:rPr>
          <w:spacing w:val="-8"/>
          <w:w w:val="105"/>
        </w:rPr>
        <w:t> </w:t>
      </w:r>
      <w:r>
        <w:rPr>
          <w:w w:val="105"/>
        </w:rPr>
        <w:t>costs</w:t>
      </w:r>
      <w:r>
        <w:rPr>
          <w:spacing w:val="-8"/>
          <w:w w:val="105"/>
        </w:rPr>
        <w:t> </w:t>
      </w:r>
      <w:r>
        <w:rPr>
          <w:w w:val="105"/>
        </w:rPr>
        <w:t>are</w:t>
      </w:r>
      <w:r>
        <w:rPr>
          <w:spacing w:val="-8"/>
          <w:w w:val="105"/>
        </w:rPr>
        <w:t> </w:t>
      </w:r>
      <w:r>
        <w:rPr>
          <w:w w:val="105"/>
        </w:rPr>
        <w:t>charged</w:t>
      </w:r>
      <w:r>
        <w:rPr>
          <w:spacing w:val="-8"/>
          <w:w w:val="105"/>
        </w:rPr>
        <w:t> </w:t>
      </w:r>
      <w:r>
        <w:rPr>
          <w:w w:val="105"/>
        </w:rPr>
        <w:t>to</w:t>
      </w:r>
      <w:r>
        <w:rPr>
          <w:spacing w:val="-8"/>
          <w:w w:val="105"/>
        </w:rPr>
        <w:t> </w:t>
      </w:r>
      <w:r>
        <w:rPr>
          <w:w w:val="105"/>
        </w:rPr>
        <w:t>expense</w:t>
      </w:r>
      <w:r>
        <w:rPr>
          <w:spacing w:val="-8"/>
          <w:w w:val="105"/>
        </w:rPr>
        <w:t> </w:t>
      </w:r>
      <w:r>
        <w:rPr>
          <w:w w:val="105"/>
        </w:rPr>
        <w:t>as</w:t>
      </w:r>
      <w:r>
        <w:rPr>
          <w:spacing w:val="-6"/>
          <w:w w:val="105"/>
        </w:rPr>
        <w:t> </w:t>
      </w:r>
      <w:r>
        <w:rPr>
          <w:w w:val="105"/>
        </w:rPr>
        <w:t>incurred.</w:t>
      </w:r>
      <w:r>
        <w:rPr>
          <w:spacing w:val="-8"/>
          <w:w w:val="105"/>
        </w:rPr>
        <w:t> </w:t>
      </w:r>
      <w:r>
        <w:rPr>
          <w:w w:val="105"/>
        </w:rPr>
        <w:t>Research</w:t>
      </w:r>
      <w:r>
        <w:rPr>
          <w:spacing w:val="-8"/>
          <w:w w:val="105"/>
        </w:rPr>
        <w:t> </w:t>
      </w:r>
      <w:r>
        <w:rPr>
          <w:w w:val="105"/>
        </w:rPr>
        <w:t>and</w:t>
      </w:r>
      <w:r>
        <w:rPr>
          <w:spacing w:val="-8"/>
          <w:w w:val="105"/>
        </w:rPr>
        <w:t> </w:t>
      </w:r>
      <w:r>
        <w:rPr>
          <w:w w:val="105"/>
        </w:rPr>
        <w:t>development</w:t>
      </w:r>
      <w:r>
        <w:rPr>
          <w:spacing w:val="-8"/>
          <w:w w:val="105"/>
        </w:rPr>
        <w:t> </w:t>
      </w:r>
      <w:r>
        <w:rPr>
          <w:w w:val="105"/>
        </w:rPr>
        <w:t>costs</w:t>
      </w:r>
      <w:r>
        <w:rPr>
          <w:spacing w:val="-8"/>
          <w:w w:val="105"/>
        </w:rPr>
        <w:t> </w:t>
      </w:r>
      <w:r>
        <w:rPr>
          <w:w w:val="105"/>
        </w:rPr>
        <w:t>totaled</w:t>
      </w:r>
      <w:r>
        <w:rPr>
          <w:spacing w:val="-8"/>
          <w:w w:val="105"/>
        </w:rPr>
        <w:t> </w:t>
      </w:r>
      <w:r>
        <w:rPr>
          <w:w w:val="105"/>
        </w:rPr>
        <w:t>$0.8</w:t>
      </w:r>
      <w:r>
        <w:rPr>
          <w:spacing w:val="-8"/>
          <w:w w:val="105"/>
        </w:rPr>
        <w:t> </w:t>
      </w:r>
      <w:r>
        <w:rPr>
          <w:w w:val="105"/>
        </w:rPr>
        <w:t>billion,</w:t>
      </w:r>
      <w:r>
        <w:rPr>
          <w:spacing w:val="-8"/>
          <w:w w:val="105"/>
        </w:rPr>
        <w:t> </w:t>
      </w:r>
      <w:r>
        <w:rPr>
          <w:w w:val="105"/>
        </w:rPr>
        <w:t>$1.0</w:t>
      </w:r>
      <w:r>
        <w:rPr>
          <w:spacing w:val="-8"/>
          <w:w w:val="105"/>
        </w:rPr>
        <w:t> </w:t>
      </w:r>
      <w:r>
        <w:rPr>
          <w:w w:val="105"/>
        </w:rPr>
        <w:t>billion</w:t>
      </w:r>
      <w:r>
        <w:rPr>
          <w:spacing w:val="-8"/>
          <w:w w:val="105"/>
        </w:rPr>
        <w:t> </w:t>
      </w:r>
      <w:r>
        <w:rPr>
          <w:w w:val="105"/>
        </w:rPr>
        <w:t>and</w:t>
      </w:r>
      <w:r>
        <w:rPr>
          <w:spacing w:val="-8"/>
          <w:w w:val="105"/>
        </w:rPr>
        <w:t> </w:t>
      </w:r>
      <w:r>
        <w:rPr>
          <w:w w:val="105"/>
        </w:rPr>
        <w:t>$0.8</w:t>
      </w:r>
      <w:r>
        <w:rPr>
          <w:spacing w:val="-8"/>
          <w:w w:val="105"/>
        </w:rPr>
        <w:t> </w:t>
      </w:r>
      <w:r>
        <w:rPr>
          <w:w w:val="105"/>
        </w:rPr>
        <w:t>billion</w:t>
      </w:r>
      <w:r>
        <w:rPr>
          <w:spacing w:val="-8"/>
          <w:w w:val="105"/>
        </w:rPr>
        <w:t> </w:t>
      </w:r>
      <w:r>
        <w:rPr>
          <w:w w:val="105"/>
        </w:rPr>
        <w:t>in</w:t>
      </w:r>
      <w:r>
        <w:rPr>
          <w:spacing w:val="-7"/>
          <w:w w:val="105"/>
        </w:rPr>
        <w:t> </w:t>
      </w:r>
      <w:r>
        <w:rPr>
          <w:w w:val="105"/>
        </w:rPr>
        <w:t>2021,</w:t>
      </w:r>
      <w:r>
        <w:rPr>
          <w:spacing w:val="-8"/>
          <w:w w:val="105"/>
        </w:rPr>
        <w:t> </w:t>
      </w:r>
      <w:r>
        <w:rPr>
          <w:w w:val="105"/>
        </w:rPr>
        <w:t>2020</w:t>
      </w:r>
      <w:r>
        <w:rPr>
          <w:spacing w:val="-8"/>
          <w:w w:val="105"/>
        </w:rPr>
        <w:t> </w:t>
      </w:r>
      <w:r>
        <w:rPr>
          <w:w w:val="105"/>
        </w:rPr>
        <w:t>and 2019,</w:t>
      </w:r>
      <w:r>
        <w:rPr>
          <w:spacing w:val="-1"/>
          <w:w w:val="105"/>
        </w:rPr>
        <w:t> </w:t>
      </w:r>
      <w:r>
        <w:rPr>
          <w:w w:val="105"/>
        </w:rPr>
        <w:t>respectively.</w:t>
      </w:r>
    </w:p>
    <w:p>
      <w:pPr>
        <w:pStyle w:val="BodyText"/>
        <w:spacing w:before="19"/>
      </w:pPr>
    </w:p>
    <w:p>
      <w:pPr>
        <w:pStyle w:val="Heading3"/>
      </w:pPr>
      <w:r>
        <w:rPr/>
        <w:t>Foreign</w:t>
      </w:r>
      <w:r>
        <w:rPr>
          <w:spacing w:val="13"/>
        </w:rPr>
        <w:t> </w:t>
      </w:r>
      <w:r>
        <w:rPr/>
        <w:t>Currency</w:t>
      </w:r>
      <w:r>
        <w:rPr>
          <w:spacing w:val="13"/>
        </w:rPr>
        <w:t> </w:t>
      </w:r>
      <w:r>
        <w:rPr/>
        <w:t>Translation</w:t>
      </w:r>
      <w:r>
        <w:rPr>
          <w:spacing w:val="14"/>
        </w:rPr>
        <w:t> </w:t>
      </w:r>
      <w:r>
        <w:rPr/>
        <w:t>and</w:t>
      </w:r>
      <w:r>
        <w:rPr>
          <w:spacing w:val="13"/>
        </w:rPr>
        <w:t> </w:t>
      </w:r>
      <w:r>
        <w:rPr>
          <w:spacing w:val="-2"/>
        </w:rPr>
        <w:t>Transactions</w:t>
      </w:r>
    </w:p>
    <w:p>
      <w:pPr>
        <w:pStyle w:val="BodyText"/>
        <w:spacing w:before="39"/>
        <w:rPr>
          <w:b/>
          <w:i/>
        </w:rPr>
      </w:pPr>
    </w:p>
    <w:p>
      <w:pPr>
        <w:pStyle w:val="BodyText"/>
        <w:spacing w:line="266" w:lineRule="auto"/>
        <w:ind w:left="156" w:right="117"/>
      </w:pPr>
      <w:r>
        <w:rPr>
          <w:w w:val="105"/>
        </w:rPr>
        <w:t>The</w:t>
      </w:r>
      <w:r>
        <w:rPr>
          <w:spacing w:val="-2"/>
          <w:w w:val="105"/>
        </w:rPr>
        <w:t> </w:t>
      </w:r>
      <w:r>
        <w:rPr>
          <w:w w:val="105"/>
        </w:rPr>
        <w:t>determination</w:t>
      </w:r>
      <w:r>
        <w:rPr>
          <w:spacing w:val="-2"/>
          <w:w w:val="105"/>
        </w:rPr>
        <w:t> </w:t>
      </w:r>
      <w:r>
        <w:rPr>
          <w:w w:val="105"/>
        </w:rPr>
        <w:t>of</w:t>
      </w:r>
      <w:r>
        <w:rPr>
          <w:spacing w:val="-2"/>
          <w:w w:val="105"/>
        </w:rPr>
        <w:t> </w:t>
      </w:r>
      <w:r>
        <w:rPr>
          <w:w w:val="105"/>
        </w:rPr>
        <w:t>the</w:t>
      </w:r>
      <w:r>
        <w:rPr>
          <w:spacing w:val="-2"/>
          <w:w w:val="105"/>
        </w:rPr>
        <w:t> </w:t>
      </w:r>
      <w:r>
        <w:rPr>
          <w:w w:val="105"/>
        </w:rPr>
        <w:t>functional</w:t>
      </w:r>
      <w:r>
        <w:rPr>
          <w:spacing w:val="-2"/>
          <w:w w:val="105"/>
        </w:rPr>
        <w:t> </w:t>
      </w:r>
      <w:r>
        <w:rPr>
          <w:w w:val="105"/>
        </w:rPr>
        <w:t>currency</w:t>
      </w:r>
      <w:r>
        <w:rPr>
          <w:spacing w:val="-2"/>
          <w:w w:val="105"/>
        </w:rPr>
        <w:t> </w:t>
      </w:r>
      <w:r>
        <w:rPr>
          <w:w w:val="105"/>
        </w:rPr>
        <w:t>for</w:t>
      </w:r>
      <w:r>
        <w:rPr>
          <w:spacing w:val="-2"/>
          <w:w w:val="105"/>
        </w:rPr>
        <w:t> </w:t>
      </w:r>
      <w:r>
        <w:rPr>
          <w:w w:val="105"/>
        </w:rPr>
        <w:t>Corning’s</w:t>
      </w:r>
      <w:r>
        <w:rPr>
          <w:spacing w:val="-2"/>
          <w:w w:val="105"/>
        </w:rPr>
        <w:t> </w:t>
      </w:r>
      <w:r>
        <w:rPr>
          <w:w w:val="105"/>
        </w:rPr>
        <w:t>foreign</w:t>
      </w:r>
      <w:r>
        <w:rPr>
          <w:spacing w:val="-2"/>
          <w:w w:val="105"/>
        </w:rPr>
        <w:t> </w:t>
      </w:r>
      <w:r>
        <w:rPr>
          <w:w w:val="105"/>
        </w:rPr>
        <w:t>subsidiaries is</w:t>
      </w:r>
      <w:r>
        <w:rPr>
          <w:spacing w:val="-2"/>
          <w:w w:val="105"/>
        </w:rPr>
        <w:t> </w:t>
      </w:r>
      <w:r>
        <w:rPr>
          <w:w w:val="105"/>
        </w:rPr>
        <w:t>made</w:t>
      </w:r>
      <w:r>
        <w:rPr>
          <w:spacing w:val="-2"/>
          <w:w w:val="105"/>
        </w:rPr>
        <w:t> </w:t>
      </w:r>
      <w:r>
        <w:rPr>
          <w:w w:val="105"/>
        </w:rPr>
        <w:t>based</w:t>
      </w:r>
      <w:r>
        <w:rPr>
          <w:spacing w:val="-2"/>
          <w:w w:val="105"/>
        </w:rPr>
        <w:t> </w:t>
      </w:r>
      <w:r>
        <w:rPr>
          <w:w w:val="105"/>
        </w:rPr>
        <w:t>on</w:t>
      </w:r>
      <w:r>
        <w:rPr>
          <w:spacing w:val="-2"/>
          <w:w w:val="105"/>
        </w:rPr>
        <w:t> </w:t>
      </w:r>
      <w:r>
        <w:rPr>
          <w:w w:val="105"/>
        </w:rPr>
        <w:t>the</w:t>
      </w:r>
      <w:r>
        <w:rPr>
          <w:spacing w:val="-2"/>
          <w:w w:val="105"/>
        </w:rPr>
        <w:t> </w:t>
      </w:r>
      <w:r>
        <w:rPr>
          <w:w w:val="105"/>
        </w:rPr>
        <w:t>appropriate</w:t>
      </w:r>
      <w:r>
        <w:rPr>
          <w:spacing w:val="-2"/>
          <w:w w:val="105"/>
        </w:rPr>
        <w:t> </w:t>
      </w:r>
      <w:r>
        <w:rPr>
          <w:w w:val="105"/>
        </w:rPr>
        <w:t>economic</w:t>
      </w:r>
      <w:r>
        <w:rPr>
          <w:spacing w:val="-2"/>
          <w:w w:val="105"/>
        </w:rPr>
        <w:t> </w:t>
      </w:r>
      <w:r>
        <w:rPr>
          <w:w w:val="105"/>
        </w:rPr>
        <w:t>factors.</w:t>
      </w:r>
      <w:r>
        <w:rPr>
          <w:spacing w:val="-2"/>
          <w:w w:val="105"/>
        </w:rPr>
        <w:t> </w:t>
      </w:r>
      <w:r>
        <w:rPr>
          <w:w w:val="105"/>
        </w:rPr>
        <w:t>For</w:t>
      </w:r>
      <w:r>
        <w:rPr>
          <w:spacing w:val="-2"/>
          <w:w w:val="105"/>
        </w:rPr>
        <w:t> </w:t>
      </w:r>
      <w:r>
        <w:rPr>
          <w:w w:val="105"/>
        </w:rPr>
        <w:t>most</w:t>
      </w:r>
      <w:r>
        <w:rPr>
          <w:spacing w:val="-2"/>
          <w:w w:val="105"/>
        </w:rPr>
        <w:t> </w:t>
      </w:r>
      <w:r>
        <w:rPr>
          <w:w w:val="105"/>
        </w:rPr>
        <w:t>foreign</w:t>
      </w:r>
      <w:r>
        <w:rPr>
          <w:spacing w:val="-2"/>
          <w:w w:val="105"/>
        </w:rPr>
        <w:t> </w:t>
      </w:r>
      <w:r>
        <w:rPr>
          <w:w w:val="105"/>
        </w:rPr>
        <w:t>operations,</w:t>
      </w:r>
      <w:r>
        <w:rPr>
          <w:spacing w:val="-2"/>
          <w:w w:val="105"/>
        </w:rPr>
        <w:t> </w:t>
      </w:r>
      <w:r>
        <w:rPr>
          <w:w w:val="105"/>
        </w:rPr>
        <w:t>the</w:t>
      </w:r>
      <w:r>
        <w:rPr>
          <w:spacing w:val="-2"/>
          <w:w w:val="105"/>
        </w:rPr>
        <w:t> </w:t>
      </w:r>
      <w:r>
        <w:rPr>
          <w:w w:val="105"/>
        </w:rPr>
        <w:t>local currencies</w:t>
      </w:r>
      <w:r>
        <w:rPr>
          <w:spacing w:val="-2"/>
          <w:w w:val="105"/>
        </w:rPr>
        <w:t> </w:t>
      </w:r>
      <w:r>
        <w:rPr>
          <w:w w:val="105"/>
        </w:rPr>
        <w:t>are</w:t>
      </w:r>
      <w:r>
        <w:rPr>
          <w:spacing w:val="-2"/>
          <w:w w:val="105"/>
        </w:rPr>
        <w:t> </w:t>
      </w:r>
      <w:r>
        <w:rPr>
          <w:w w:val="105"/>
        </w:rPr>
        <w:t>generally</w:t>
      </w:r>
      <w:r>
        <w:rPr>
          <w:spacing w:val="-2"/>
          <w:w w:val="105"/>
        </w:rPr>
        <w:t> </w:t>
      </w:r>
      <w:r>
        <w:rPr>
          <w:w w:val="105"/>
        </w:rPr>
        <w:t>considered</w:t>
      </w:r>
      <w:r>
        <w:rPr>
          <w:spacing w:val="-2"/>
          <w:w w:val="105"/>
        </w:rPr>
        <w:t> </w:t>
      </w:r>
      <w:r>
        <w:rPr>
          <w:w w:val="105"/>
        </w:rPr>
        <w:t>to</w:t>
      </w:r>
      <w:r>
        <w:rPr>
          <w:spacing w:val="-2"/>
          <w:w w:val="105"/>
        </w:rPr>
        <w:t> </w:t>
      </w:r>
      <w:r>
        <w:rPr>
          <w:w w:val="105"/>
        </w:rPr>
        <w:t>be</w:t>
      </w:r>
      <w:r>
        <w:rPr>
          <w:spacing w:val="-2"/>
          <w:w w:val="105"/>
        </w:rPr>
        <w:t> </w:t>
      </w:r>
      <w:r>
        <w:rPr>
          <w:w w:val="105"/>
        </w:rPr>
        <w:t>the functional</w:t>
      </w:r>
      <w:r>
        <w:rPr>
          <w:spacing w:val="-2"/>
          <w:w w:val="105"/>
        </w:rPr>
        <w:t> </w:t>
      </w:r>
      <w:r>
        <w:rPr>
          <w:w w:val="105"/>
        </w:rPr>
        <w:t>currencies.</w:t>
      </w:r>
      <w:r>
        <w:rPr>
          <w:spacing w:val="-2"/>
          <w:w w:val="105"/>
        </w:rPr>
        <w:t> </w:t>
      </w:r>
      <w:r>
        <w:rPr>
          <w:w w:val="105"/>
        </w:rPr>
        <w:t>Corning’s</w:t>
      </w:r>
      <w:r>
        <w:rPr>
          <w:spacing w:val="-2"/>
          <w:w w:val="105"/>
        </w:rPr>
        <w:t> </w:t>
      </w:r>
      <w:r>
        <w:rPr>
          <w:w w:val="105"/>
        </w:rPr>
        <w:t>most</w:t>
      </w:r>
      <w:r>
        <w:rPr>
          <w:spacing w:val="-2"/>
          <w:w w:val="105"/>
        </w:rPr>
        <w:t> </w:t>
      </w:r>
      <w:r>
        <w:rPr>
          <w:w w:val="105"/>
        </w:rPr>
        <w:t>significant</w:t>
      </w:r>
      <w:r>
        <w:rPr>
          <w:spacing w:val="-2"/>
          <w:w w:val="105"/>
        </w:rPr>
        <w:t> </w:t>
      </w:r>
      <w:r>
        <w:rPr>
          <w:w w:val="105"/>
        </w:rPr>
        <w:t>exception</w:t>
      </w:r>
      <w:r>
        <w:rPr>
          <w:spacing w:val="-2"/>
          <w:w w:val="105"/>
        </w:rPr>
        <w:t> </w:t>
      </w:r>
      <w:r>
        <w:rPr>
          <w:w w:val="105"/>
        </w:rPr>
        <w:t>is</w:t>
      </w:r>
      <w:r>
        <w:rPr>
          <w:spacing w:val="-2"/>
          <w:w w:val="105"/>
        </w:rPr>
        <w:t> </w:t>
      </w:r>
      <w:r>
        <w:rPr>
          <w:w w:val="105"/>
        </w:rPr>
        <w:t>a</w:t>
      </w:r>
      <w:r>
        <w:rPr>
          <w:spacing w:val="-2"/>
          <w:w w:val="105"/>
        </w:rPr>
        <w:t> </w:t>
      </w:r>
      <w:r>
        <w:rPr>
          <w:w w:val="105"/>
        </w:rPr>
        <w:t>Taiwanese</w:t>
      </w:r>
      <w:r>
        <w:rPr>
          <w:spacing w:val="-2"/>
          <w:w w:val="105"/>
        </w:rPr>
        <w:t> </w:t>
      </w:r>
      <w:r>
        <w:rPr>
          <w:w w:val="105"/>
        </w:rPr>
        <w:t>subsidiary,</w:t>
      </w:r>
      <w:r>
        <w:rPr>
          <w:spacing w:val="-2"/>
          <w:w w:val="105"/>
        </w:rPr>
        <w:t> </w:t>
      </w:r>
      <w:r>
        <w:rPr>
          <w:w w:val="105"/>
        </w:rPr>
        <w:t>which</w:t>
      </w:r>
      <w:r>
        <w:rPr>
          <w:spacing w:val="-2"/>
          <w:w w:val="105"/>
        </w:rPr>
        <w:t> </w:t>
      </w:r>
      <w:r>
        <w:rPr>
          <w:w w:val="105"/>
        </w:rPr>
        <w:t>uses</w:t>
      </w:r>
      <w:r>
        <w:rPr>
          <w:spacing w:val="-2"/>
          <w:w w:val="105"/>
        </w:rPr>
        <w:t> </w:t>
      </w:r>
      <w:r>
        <w:rPr>
          <w:w w:val="105"/>
        </w:rPr>
        <w:t>the</w:t>
      </w:r>
      <w:r>
        <w:rPr>
          <w:spacing w:val="-2"/>
          <w:w w:val="105"/>
        </w:rPr>
        <w:t> </w:t>
      </w:r>
      <w:r>
        <w:rPr>
          <w:w w:val="105"/>
        </w:rPr>
        <w:t>Japanese</w:t>
      </w:r>
      <w:r>
        <w:rPr>
          <w:spacing w:val="-2"/>
          <w:w w:val="105"/>
        </w:rPr>
        <w:t> </w:t>
      </w:r>
      <w:r>
        <w:rPr>
          <w:w w:val="105"/>
        </w:rPr>
        <w:t>yen</w:t>
      </w:r>
      <w:r>
        <w:rPr>
          <w:spacing w:val="-2"/>
          <w:w w:val="105"/>
        </w:rPr>
        <w:t> </w:t>
      </w:r>
      <w:r>
        <w:rPr>
          <w:w w:val="105"/>
        </w:rPr>
        <w:t>as</w:t>
      </w:r>
      <w:r>
        <w:rPr>
          <w:spacing w:val="-2"/>
          <w:w w:val="105"/>
        </w:rPr>
        <w:t> </w:t>
      </w:r>
      <w:r>
        <w:rPr>
          <w:w w:val="105"/>
        </w:rPr>
        <w:t>its functional</w:t>
      </w:r>
      <w:r>
        <w:rPr>
          <w:spacing w:val="-6"/>
          <w:w w:val="105"/>
        </w:rPr>
        <w:t> </w:t>
      </w:r>
      <w:r>
        <w:rPr>
          <w:w w:val="105"/>
        </w:rPr>
        <w:t>currency.</w:t>
      </w:r>
      <w:r>
        <w:rPr>
          <w:spacing w:val="-6"/>
          <w:w w:val="105"/>
        </w:rPr>
        <w:t> </w:t>
      </w:r>
      <w:r>
        <w:rPr>
          <w:w w:val="105"/>
        </w:rPr>
        <w:t>For</w:t>
      </w:r>
      <w:r>
        <w:rPr>
          <w:spacing w:val="-6"/>
          <w:w w:val="105"/>
        </w:rPr>
        <w:t> </w:t>
      </w:r>
      <w:r>
        <w:rPr>
          <w:w w:val="105"/>
        </w:rPr>
        <w:t>all</w:t>
      </w:r>
      <w:r>
        <w:rPr>
          <w:spacing w:val="-6"/>
          <w:w w:val="105"/>
        </w:rPr>
        <w:t> </w:t>
      </w:r>
      <w:r>
        <w:rPr>
          <w:w w:val="105"/>
        </w:rPr>
        <w:t>transactions</w:t>
      </w:r>
      <w:r>
        <w:rPr>
          <w:spacing w:val="-6"/>
          <w:w w:val="105"/>
        </w:rPr>
        <w:t> </w:t>
      </w:r>
      <w:r>
        <w:rPr>
          <w:w w:val="105"/>
        </w:rPr>
        <w:t>denominated</w:t>
      </w:r>
      <w:r>
        <w:rPr>
          <w:spacing w:val="-6"/>
          <w:w w:val="105"/>
        </w:rPr>
        <w:t> </w:t>
      </w:r>
      <w:r>
        <w:rPr>
          <w:w w:val="105"/>
        </w:rPr>
        <w:t>in</w:t>
      </w:r>
      <w:r>
        <w:rPr>
          <w:spacing w:val="-6"/>
          <w:w w:val="105"/>
        </w:rPr>
        <w:t> </w:t>
      </w:r>
      <w:r>
        <w:rPr>
          <w:w w:val="105"/>
        </w:rPr>
        <w:t>a</w:t>
      </w:r>
      <w:r>
        <w:rPr>
          <w:spacing w:val="-6"/>
          <w:w w:val="105"/>
        </w:rPr>
        <w:t> </w:t>
      </w:r>
      <w:r>
        <w:rPr>
          <w:w w:val="105"/>
        </w:rPr>
        <w:t>currency</w:t>
      </w:r>
      <w:r>
        <w:rPr>
          <w:spacing w:val="-6"/>
          <w:w w:val="105"/>
        </w:rPr>
        <w:t> </w:t>
      </w:r>
      <w:r>
        <w:rPr>
          <w:w w:val="105"/>
        </w:rPr>
        <w:t>other</w:t>
      </w:r>
      <w:r>
        <w:rPr>
          <w:spacing w:val="-6"/>
          <w:w w:val="105"/>
        </w:rPr>
        <w:t> </w:t>
      </w:r>
      <w:r>
        <w:rPr>
          <w:w w:val="105"/>
        </w:rPr>
        <w:t>than</w:t>
      </w:r>
      <w:r>
        <w:rPr>
          <w:spacing w:val="-6"/>
          <w:w w:val="105"/>
        </w:rPr>
        <w:t> </w:t>
      </w:r>
      <w:r>
        <w:rPr>
          <w:w w:val="105"/>
        </w:rPr>
        <w:t>a</w:t>
      </w:r>
      <w:r>
        <w:rPr>
          <w:spacing w:val="-6"/>
          <w:w w:val="105"/>
        </w:rPr>
        <w:t> </w:t>
      </w:r>
      <w:r>
        <w:rPr>
          <w:w w:val="105"/>
        </w:rPr>
        <w:t>subsidiary’s</w:t>
      </w:r>
      <w:r>
        <w:rPr>
          <w:spacing w:val="-6"/>
          <w:w w:val="105"/>
        </w:rPr>
        <w:t> </w:t>
      </w:r>
      <w:r>
        <w:rPr>
          <w:w w:val="105"/>
        </w:rPr>
        <w:t>functional</w:t>
      </w:r>
      <w:r>
        <w:rPr>
          <w:spacing w:val="-5"/>
          <w:w w:val="105"/>
        </w:rPr>
        <w:t> </w:t>
      </w:r>
      <w:r>
        <w:rPr>
          <w:w w:val="105"/>
        </w:rPr>
        <w:t>currency,</w:t>
      </w:r>
      <w:r>
        <w:rPr>
          <w:spacing w:val="-6"/>
          <w:w w:val="105"/>
        </w:rPr>
        <w:t> </w:t>
      </w:r>
      <w:r>
        <w:rPr>
          <w:w w:val="105"/>
        </w:rPr>
        <w:t>exchange</w:t>
      </w:r>
      <w:r>
        <w:rPr>
          <w:spacing w:val="-6"/>
          <w:w w:val="105"/>
        </w:rPr>
        <w:t> </w:t>
      </w:r>
      <w:r>
        <w:rPr>
          <w:w w:val="105"/>
        </w:rPr>
        <w:t>rate</w:t>
      </w:r>
      <w:r>
        <w:rPr>
          <w:spacing w:val="-6"/>
          <w:w w:val="105"/>
        </w:rPr>
        <w:t> </w:t>
      </w:r>
      <w:r>
        <w:rPr>
          <w:w w:val="105"/>
        </w:rPr>
        <w:t>gains</w:t>
      </w:r>
      <w:r>
        <w:rPr>
          <w:spacing w:val="-6"/>
          <w:w w:val="105"/>
        </w:rPr>
        <w:t> </w:t>
      </w:r>
      <w:r>
        <w:rPr>
          <w:w w:val="105"/>
        </w:rPr>
        <w:t>and</w:t>
      </w:r>
      <w:r>
        <w:rPr>
          <w:spacing w:val="-6"/>
          <w:w w:val="105"/>
        </w:rPr>
        <w:t> </w:t>
      </w:r>
      <w:r>
        <w:rPr>
          <w:w w:val="105"/>
        </w:rPr>
        <w:t>losses</w:t>
      </w:r>
      <w:r>
        <w:rPr>
          <w:spacing w:val="-6"/>
          <w:w w:val="105"/>
        </w:rPr>
        <w:t> </w:t>
      </w:r>
      <w:r>
        <w:rPr>
          <w:w w:val="105"/>
        </w:rPr>
        <w:t>are</w:t>
      </w:r>
      <w:r>
        <w:rPr>
          <w:spacing w:val="-6"/>
          <w:w w:val="105"/>
        </w:rPr>
        <w:t> </w:t>
      </w:r>
      <w:r>
        <w:rPr>
          <w:w w:val="105"/>
        </w:rPr>
        <w:t>included</w:t>
      </w:r>
      <w:r>
        <w:rPr>
          <w:spacing w:val="-6"/>
          <w:w w:val="105"/>
        </w:rPr>
        <w:t> </w:t>
      </w:r>
      <w:r>
        <w:rPr>
          <w:w w:val="105"/>
        </w:rPr>
        <w:t>in</w:t>
      </w:r>
      <w:r>
        <w:rPr>
          <w:spacing w:val="-5"/>
          <w:w w:val="105"/>
        </w:rPr>
        <w:t> </w:t>
      </w:r>
      <w:r>
        <w:rPr>
          <w:w w:val="105"/>
        </w:rPr>
        <w:t>income</w:t>
      </w:r>
      <w:r>
        <w:rPr>
          <w:spacing w:val="-6"/>
          <w:w w:val="105"/>
        </w:rPr>
        <w:t> </w:t>
      </w:r>
      <w:r>
        <w:rPr>
          <w:w w:val="105"/>
        </w:rPr>
        <w:t>for the</w:t>
      </w:r>
      <w:r>
        <w:rPr>
          <w:spacing w:val="-7"/>
          <w:w w:val="105"/>
        </w:rPr>
        <w:t> </w:t>
      </w:r>
      <w:r>
        <w:rPr>
          <w:w w:val="105"/>
        </w:rPr>
        <w:t>period</w:t>
      </w:r>
      <w:r>
        <w:rPr>
          <w:spacing w:val="-7"/>
          <w:w w:val="105"/>
        </w:rPr>
        <w:t> </w:t>
      </w:r>
      <w:r>
        <w:rPr>
          <w:w w:val="105"/>
        </w:rPr>
        <w:t>in</w:t>
      </w:r>
      <w:r>
        <w:rPr>
          <w:spacing w:val="-7"/>
          <w:w w:val="105"/>
        </w:rPr>
        <w:t> </w:t>
      </w:r>
      <w:r>
        <w:rPr>
          <w:w w:val="105"/>
        </w:rPr>
        <w:t>which</w:t>
      </w:r>
      <w:r>
        <w:rPr>
          <w:spacing w:val="-7"/>
          <w:w w:val="105"/>
        </w:rPr>
        <w:t> </w:t>
      </w:r>
      <w:r>
        <w:rPr>
          <w:w w:val="105"/>
        </w:rPr>
        <w:t>the</w:t>
      </w:r>
      <w:r>
        <w:rPr>
          <w:spacing w:val="-7"/>
          <w:w w:val="105"/>
        </w:rPr>
        <w:t> </w:t>
      </w:r>
      <w:r>
        <w:rPr>
          <w:w w:val="105"/>
        </w:rPr>
        <w:t>exchange</w:t>
      </w:r>
      <w:r>
        <w:rPr>
          <w:spacing w:val="-7"/>
          <w:w w:val="105"/>
        </w:rPr>
        <w:t> </w:t>
      </w:r>
      <w:r>
        <w:rPr>
          <w:w w:val="105"/>
        </w:rPr>
        <w:t>rates</w:t>
      </w:r>
      <w:r>
        <w:rPr>
          <w:spacing w:val="-7"/>
          <w:w w:val="105"/>
        </w:rPr>
        <w:t> </w:t>
      </w:r>
      <w:r>
        <w:rPr>
          <w:w w:val="105"/>
        </w:rPr>
        <w:t>changed.</w:t>
      </w:r>
      <w:r>
        <w:rPr>
          <w:spacing w:val="29"/>
          <w:w w:val="105"/>
        </w:rPr>
        <w:t> </w:t>
      </w:r>
      <w:r>
        <w:rPr>
          <w:w w:val="105"/>
        </w:rPr>
        <w:t>A</w:t>
      </w:r>
      <w:r>
        <w:rPr>
          <w:spacing w:val="-7"/>
          <w:w w:val="105"/>
        </w:rPr>
        <w:t> </w:t>
      </w:r>
      <w:r>
        <w:rPr>
          <w:w w:val="105"/>
        </w:rPr>
        <w:t>net</w:t>
      </w:r>
      <w:r>
        <w:rPr>
          <w:spacing w:val="-7"/>
          <w:w w:val="105"/>
        </w:rPr>
        <w:t> </w:t>
      </w:r>
      <w:r>
        <w:rPr>
          <w:w w:val="105"/>
        </w:rPr>
        <w:t>foreign</w:t>
      </w:r>
      <w:r>
        <w:rPr>
          <w:spacing w:val="-5"/>
          <w:w w:val="105"/>
        </w:rPr>
        <w:t> </w:t>
      </w:r>
      <w:r>
        <w:rPr>
          <w:w w:val="105"/>
        </w:rPr>
        <w:t>currency</w:t>
      </w:r>
      <w:r>
        <w:rPr>
          <w:spacing w:val="-7"/>
          <w:w w:val="105"/>
        </w:rPr>
        <w:t> </w:t>
      </w:r>
      <w:r>
        <w:rPr>
          <w:w w:val="105"/>
        </w:rPr>
        <w:t>translation</w:t>
      </w:r>
      <w:r>
        <w:rPr>
          <w:spacing w:val="-7"/>
          <w:w w:val="105"/>
        </w:rPr>
        <w:t> </w:t>
      </w:r>
      <w:r>
        <w:rPr>
          <w:w w:val="105"/>
        </w:rPr>
        <w:t>gain</w:t>
      </w:r>
      <w:r>
        <w:rPr>
          <w:spacing w:val="-7"/>
          <w:w w:val="105"/>
        </w:rPr>
        <w:t> </w:t>
      </w:r>
      <w:r>
        <w:rPr>
          <w:w w:val="105"/>
        </w:rPr>
        <w:t>of</w:t>
      </w:r>
      <w:r>
        <w:rPr>
          <w:spacing w:val="-7"/>
          <w:w w:val="105"/>
        </w:rPr>
        <w:t> </w:t>
      </w:r>
      <w:r>
        <w:rPr>
          <w:w w:val="105"/>
        </w:rPr>
        <w:t>$126</w:t>
      </w:r>
      <w:r>
        <w:rPr>
          <w:spacing w:val="-7"/>
          <w:w w:val="105"/>
        </w:rPr>
        <w:t> </w:t>
      </w:r>
      <w:r>
        <w:rPr>
          <w:w w:val="105"/>
        </w:rPr>
        <w:t>million</w:t>
      </w:r>
      <w:r>
        <w:rPr>
          <w:spacing w:val="-7"/>
          <w:w w:val="105"/>
        </w:rPr>
        <w:t> </w:t>
      </w:r>
      <w:r>
        <w:rPr>
          <w:w w:val="105"/>
        </w:rPr>
        <w:t>was</w:t>
      </w:r>
      <w:r>
        <w:rPr>
          <w:spacing w:val="-7"/>
          <w:w w:val="105"/>
        </w:rPr>
        <w:t> </w:t>
      </w:r>
      <w:r>
        <w:rPr>
          <w:w w:val="105"/>
        </w:rPr>
        <w:t>recorded</w:t>
      </w:r>
      <w:r>
        <w:rPr>
          <w:spacing w:val="-7"/>
          <w:w w:val="105"/>
        </w:rPr>
        <w:t> </w:t>
      </w:r>
      <w:r>
        <w:rPr>
          <w:w w:val="105"/>
        </w:rPr>
        <w:t>for</w:t>
      </w:r>
      <w:r>
        <w:rPr>
          <w:spacing w:val="-7"/>
          <w:w w:val="105"/>
        </w:rPr>
        <w:t> </w:t>
      </w:r>
      <w:r>
        <w:rPr>
          <w:w w:val="105"/>
        </w:rPr>
        <w:t>the</w:t>
      </w:r>
      <w:r>
        <w:rPr>
          <w:spacing w:val="-7"/>
          <w:w w:val="105"/>
        </w:rPr>
        <w:t> </w:t>
      </w:r>
      <w:r>
        <w:rPr>
          <w:w w:val="105"/>
        </w:rPr>
        <w:t>year</w:t>
      </w:r>
      <w:r>
        <w:rPr>
          <w:spacing w:val="-7"/>
          <w:w w:val="105"/>
        </w:rPr>
        <w:t> </w:t>
      </w:r>
      <w:r>
        <w:rPr>
          <w:w w:val="105"/>
        </w:rPr>
        <w:t>ended</w:t>
      </w:r>
      <w:r>
        <w:rPr>
          <w:spacing w:val="-6"/>
          <w:w w:val="105"/>
        </w:rPr>
        <w:t> </w:t>
      </w:r>
      <w:r>
        <w:rPr>
          <w:w w:val="105"/>
        </w:rPr>
        <w:t>December</w:t>
      </w:r>
      <w:r>
        <w:rPr>
          <w:spacing w:val="-7"/>
          <w:w w:val="105"/>
        </w:rPr>
        <w:t> </w:t>
      </w:r>
      <w:r>
        <w:rPr>
          <w:w w:val="105"/>
        </w:rPr>
        <w:t>31,</w:t>
      </w:r>
      <w:r>
        <w:rPr>
          <w:spacing w:val="-7"/>
          <w:w w:val="105"/>
        </w:rPr>
        <w:t> </w:t>
      </w:r>
      <w:r>
        <w:rPr>
          <w:w w:val="105"/>
        </w:rPr>
        <w:t>2021.</w:t>
      </w:r>
      <w:r>
        <w:rPr>
          <w:spacing w:val="29"/>
          <w:w w:val="105"/>
        </w:rPr>
        <w:t> </w:t>
      </w:r>
      <w:r>
        <w:rPr>
          <w:w w:val="105"/>
        </w:rPr>
        <w:t>Net</w:t>
      </w:r>
      <w:r>
        <w:rPr>
          <w:spacing w:val="-7"/>
          <w:w w:val="105"/>
        </w:rPr>
        <w:t> </w:t>
      </w:r>
      <w:r>
        <w:rPr>
          <w:w w:val="105"/>
        </w:rPr>
        <w:t>losses</w:t>
      </w:r>
      <w:r>
        <w:rPr>
          <w:spacing w:val="-7"/>
          <w:w w:val="105"/>
        </w:rPr>
        <w:t> </w:t>
      </w:r>
      <w:r>
        <w:rPr>
          <w:w w:val="105"/>
        </w:rPr>
        <w:t>of</w:t>
      </w:r>
    </w:p>
    <w:p>
      <w:pPr>
        <w:pStyle w:val="BodyText"/>
        <w:spacing w:line="266" w:lineRule="auto"/>
        <w:ind w:left="156" w:right="200"/>
      </w:pPr>
      <w:r>
        <w:rPr>
          <w:w w:val="105"/>
        </w:rPr>
        <w:t>$37</w:t>
      </w:r>
      <w:r>
        <w:rPr>
          <w:spacing w:val="-1"/>
          <w:w w:val="105"/>
        </w:rPr>
        <w:t> </w:t>
      </w:r>
      <w:r>
        <w:rPr>
          <w:w w:val="105"/>
        </w:rPr>
        <w:t>million</w:t>
      </w:r>
      <w:r>
        <w:rPr>
          <w:spacing w:val="-1"/>
          <w:w w:val="105"/>
        </w:rPr>
        <w:t> </w:t>
      </w:r>
      <w:r>
        <w:rPr>
          <w:w w:val="105"/>
        </w:rPr>
        <w:t>and</w:t>
      </w:r>
      <w:r>
        <w:rPr>
          <w:spacing w:val="-1"/>
          <w:w w:val="105"/>
        </w:rPr>
        <w:t> </w:t>
      </w:r>
      <w:r>
        <w:rPr>
          <w:w w:val="105"/>
        </w:rPr>
        <w:t>$19</w:t>
      </w:r>
      <w:r>
        <w:rPr>
          <w:spacing w:val="-1"/>
          <w:w w:val="105"/>
        </w:rPr>
        <w:t> </w:t>
      </w:r>
      <w:r>
        <w:rPr>
          <w:w w:val="105"/>
        </w:rPr>
        <w:t>million</w:t>
      </w:r>
      <w:r>
        <w:rPr>
          <w:spacing w:val="-1"/>
          <w:w w:val="105"/>
        </w:rPr>
        <w:t> </w:t>
      </w:r>
      <w:r>
        <w:rPr>
          <w:w w:val="105"/>
        </w:rPr>
        <w:t>were</w:t>
      </w:r>
      <w:r>
        <w:rPr>
          <w:spacing w:val="-1"/>
          <w:w w:val="105"/>
        </w:rPr>
        <w:t> </w:t>
      </w:r>
      <w:r>
        <w:rPr>
          <w:w w:val="105"/>
        </w:rPr>
        <w:t>recorded</w:t>
      </w:r>
      <w:r>
        <w:rPr>
          <w:spacing w:val="-1"/>
          <w:w w:val="105"/>
        </w:rPr>
        <w:t> </w:t>
      </w:r>
      <w:r>
        <w:rPr>
          <w:w w:val="105"/>
        </w:rPr>
        <w:t>for</w:t>
      </w:r>
      <w:r>
        <w:rPr>
          <w:spacing w:val="-1"/>
          <w:w w:val="105"/>
        </w:rPr>
        <w:t> </w:t>
      </w:r>
      <w:r>
        <w:rPr>
          <w:w w:val="105"/>
        </w:rPr>
        <w:t>foreign</w:t>
      </w:r>
      <w:r>
        <w:rPr>
          <w:spacing w:val="-1"/>
          <w:w w:val="105"/>
        </w:rPr>
        <w:t> </w:t>
      </w:r>
      <w:r>
        <w:rPr>
          <w:w w:val="105"/>
        </w:rPr>
        <w:t>currency</w:t>
      </w:r>
      <w:r>
        <w:rPr>
          <w:spacing w:val="-1"/>
          <w:w w:val="105"/>
        </w:rPr>
        <w:t> </w:t>
      </w:r>
      <w:r>
        <w:rPr>
          <w:w w:val="105"/>
        </w:rPr>
        <w:t>transaction</w:t>
      </w:r>
      <w:r>
        <w:rPr>
          <w:spacing w:val="-1"/>
          <w:w w:val="105"/>
        </w:rPr>
        <w:t> </w:t>
      </w:r>
      <w:r>
        <w:rPr>
          <w:w w:val="105"/>
        </w:rPr>
        <w:t>activity</w:t>
      </w:r>
      <w:r>
        <w:rPr>
          <w:spacing w:val="-1"/>
          <w:w w:val="105"/>
        </w:rPr>
        <w:t> </w:t>
      </w:r>
      <w:r>
        <w:rPr>
          <w:w w:val="105"/>
        </w:rPr>
        <w:t>for</w:t>
      </w:r>
      <w:r>
        <w:rPr>
          <w:spacing w:val="-1"/>
          <w:w w:val="105"/>
        </w:rPr>
        <w:t> </w:t>
      </w:r>
      <w:r>
        <w:rPr>
          <w:w w:val="105"/>
        </w:rPr>
        <w:t>the</w:t>
      </w:r>
      <w:r>
        <w:rPr>
          <w:spacing w:val="-1"/>
          <w:w w:val="105"/>
        </w:rPr>
        <w:t> </w:t>
      </w:r>
      <w:r>
        <w:rPr>
          <w:w w:val="105"/>
        </w:rPr>
        <w:t>years</w:t>
      </w:r>
      <w:r>
        <w:rPr>
          <w:spacing w:val="-1"/>
          <w:w w:val="105"/>
        </w:rPr>
        <w:t> </w:t>
      </w:r>
      <w:r>
        <w:rPr>
          <w:w w:val="105"/>
        </w:rPr>
        <w:t>ended December</w:t>
      </w:r>
      <w:r>
        <w:rPr>
          <w:spacing w:val="-1"/>
          <w:w w:val="105"/>
        </w:rPr>
        <w:t> </w:t>
      </w:r>
      <w:r>
        <w:rPr>
          <w:w w:val="105"/>
        </w:rPr>
        <w:t>31, 2020</w:t>
      </w:r>
      <w:r>
        <w:rPr>
          <w:spacing w:val="-1"/>
          <w:w w:val="105"/>
        </w:rPr>
        <w:t> </w:t>
      </w:r>
      <w:r>
        <w:rPr>
          <w:w w:val="105"/>
        </w:rPr>
        <w:t>and</w:t>
      </w:r>
      <w:r>
        <w:rPr>
          <w:spacing w:val="-1"/>
          <w:w w:val="105"/>
        </w:rPr>
        <w:t> </w:t>
      </w:r>
      <w:r>
        <w:rPr>
          <w:w w:val="105"/>
        </w:rPr>
        <w:t>2019,</w:t>
      </w:r>
      <w:r>
        <w:rPr>
          <w:spacing w:val="-1"/>
          <w:w w:val="105"/>
        </w:rPr>
        <w:t> </w:t>
      </w:r>
      <w:r>
        <w:rPr>
          <w:w w:val="105"/>
        </w:rPr>
        <w:t>respectively.</w:t>
      </w:r>
      <w:r>
        <w:rPr>
          <w:spacing w:val="40"/>
          <w:w w:val="105"/>
        </w:rPr>
        <w:t> </w:t>
      </w:r>
      <w:r>
        <w:rPr>
          <w:w w:val="105"/>
        </w:rPr>
        <w:t>Foreign</w:t>
      </w:r>
      <w:r>
        <w:rPr>
          <w:spacing w:val="-1"/>
          <w:w w:val="105"/>
        </w:rPr>
        <w:t> </w:t>
      </w:r>
      <w:r>
        <w:rPr>
          <w:w w:val="105"/>
        </w:rPr>
        <w:t>subsidiary functional</w:t>
      </w:r>
      <w:r>
        <w:rPr>
          <w:spacing w:val="-2"/>
          <w:w w:val="105"/>
        </w:rPr>
        <w:t> </w:t>
      </w:r>
      <w:r>
        <w:rPr>
          <w:w w:val="105"/>
        </w:rPr>
        <w:t>currency</w:t>
      </w:r>
      <w:r>
        <w:rPr>
          <w:spacing w:val="-2"/>
          <w:w w:val="105"/>
        </w:rPr>
        <w:t> </w:t>
      </w:r>
      <w:r>
        <w:rPr>
          <w:w w:val="105"/>
        </w:rPr>
        <w:t>balance</w:t>
      </w:r>
      <w:r>
        <w:rPr>
          <w:spacing w:val="-4"/>
          <w:w w:val="105"/>
        </w:rPr>
        <w:t> </w:t>
      </w:r>
      <w:r>
        <w:rPr>
          <w:w w:val="105"/>
        </w:rPr>
        <w:t>sheet</w:t>
      </w:r>
      <w:r>
        <w:rPr>
          <w:spacing w:val="-2"/>
          <w:w w:val="105"/>
        </w:rPr>
        <w:t> </w:t>
      </w:r>
      <w:r>
        <w:rPr>
          <w:w w:val="105"/>
        </w:rPr>
        <w:t>accounts</w:t>
      </w:r>
      <w:r>
        <w:rPr>
          <w:spacing w:val="-2"/>
          <w:w w:val="105"/>
        </w:rPr>
        <w:t> </w:t>
      </w:r>
      <w:r>
        <w:rPr>
          <w:w w:val="105"/>
        </w:rPr>
        <w:t>are</w:t>
      </w:r>
      <w:r>
        <w:rPr>
          <w:spacing w:val="-2"/>
          <w:w w:val="105"/>
        </w:rPr>
        <w:t> </w:t>
      </w:r>
      <w:r>
        <w:rPr>
          <w:w w:val="105"/>
        </w:rPr>
        <w:t>translated</w:t>
      </w:r>
      <w:r>
        <w:rPr>
          <w:spacing w:val="-2"/>
          <w:w w:val="105"/>
        </w:rPr>
        <w:t> </w:t>
      </w:r>
      <w:r>
        <w:rPr>
          <w:w w:val="105"/>
        </w:rPr>
        <w:t>at</w:t>
      </w:r>
      <w:r>
        <w:rPr>
          <w:spacing w:val="-4"/>
          <w:w w:val="105"/>
        </w:rPr>
        <w:t> </w:t>
      </w:r>
      <w:r>
        <w:rPr>
          <w:w w:val="105"/>
        </w:rPr>
        <w:t>current</w:t>
      </w:r>
      <w:r>
        <w:rPr>
          <w:spacing w:val="-2"/>
          <w:w w:val="105"/>
        </w:rPr>
        <w:t> </w:t>
      </w:r>
      <w:r>
        <w:rPr>
          <w:w w:val="105"/>
        </w:rPr>
        <w:t>exchange</w:t>
      </w:r>
      <w:r>
        <w:rPr>
          <w:spacing w:val="-2"/>
          <w:w w:val="105"/>
        </w:rPr>
        <w:t> </w:t>
      </w:r>
      <w:r>
        <w:rPr>
          <w:w w:val="105"/>
        </w:rPr>
        <w:t>rates,</w:t>
      </w:r>
      <w:r>
        <w:rPr>
          <w:spacing w:val="-2"/>
          <w:w w:val="105"/>
        </w:rPr>
        <w:t> </w:t>
      </w:r>
      <w:r>
        <w:rPr>
          <w:w w:val="105"/>
        </w:rPr>
        <w:t>and</w:t>
      </w:r>
      <w:r>
        <w:rPr>
          <w:spacing w:val="-2"/>
          <w:w w:val="105"/>
        </w:rPr>
        <w:t> </w:t>
      </w:r>
      <w:r>
        <w:rPr>
          <w:w w:val="105"/>
        </w:rPr>
        <w:t>statement</w:t>
      </w:r>
      <w:r>
        <w:rPr>
          <w:spacing w:val="-2"/>
          <w:w w:val="105"/>
        </w:rPr>
        <w:t> </w:t>
      </w:r>
      <w:r>
        <w:rPr>
          <w:w w:val="105"/>
        </w:rPr>
        <w:t>of</w:t>
      </w:r>
      <w:r>
        <w:rPr>
          <w:spacing w:val="-2"/>
          <w:w w:val="105"/>
        </w:rPr>
        <w:t> </w:t>
      </w:r>
      <w:r>
        <w:rPr>
          <w:w w:val="105"/>
        </w:rPr>
        <w:t>operations</w:t>
      </w:r>
      <w:r>
        <w:rPr>
          <w:spacing w:val="-2"/>
          <w:w w:val="105"/>
        </w:rPr>
        <w:t> </w:t>
      </w:r>
      <w:r>
        <w:rPr>
          <w:w w:val="105"/>
        </w:rPr>
        <w:t>accounts</w:t>
      </w:r>
      <w:r>
        <w:rPr>
          <w:spacing w:val="-2"/>
          <w:w w:val="105"/>
        </w:rPr>
        <w:t> </w:t>
      </w:r>
      <w:r>
        <w:rPr>
          <w:w w:val="105"/>
        </w:rPr>
        <w:t>are</w:t>
      </w:r>
      <w:r>
        <w:rPr>
          <w:spacing w:val="-2"/>
          <w:w w:val="105"/>
        </w:rPr>
        <w:t> </w:t>
      </w:r>
      <w:r>
        <w:rPr>
          <w:w w:val="105"/>
        </w:rPr>
        <w:t>translated</w:t>
      </w:r>
      <w:r>
        <w:rPr>
          <w:spacing w:val="-2"/>
          <w:w w:val="105"/>
        </w:rPr>
        <w:t> </w:t>
      </w:r>
      <w:r>
        <w:rPr>
          <w:w w:val="105"/>
        </w:rPr>
        <w:t>at</w:t>
      </w:r>
      <w:r>
        <w:rPr>
          <w:spacing w:val="-2"/>
          <w:w w:val="105"/>
        </w:rPr>
        <w:t> </w:t>
      </w:r>
      <w:r>
        <w:rPr>
          <w:w w:val="105"/>
        </w:rPr>
        <w:t>average</w:t>
      </w:r>
      <w:r>
        <w:rPr>
          <w:spacing w:val="-4"/>
          <w:w w:val="105"/>
        </w:rPr>
        <w:t> </w:t>
      </w:r>
      <w:r>
        <w:rPr>
          <w:w w:val="105"/>
        </w:rPr>
        <w:t>exchange</w:t>
      </w:r>
      <w:r>
        <w:rPr>
          <w:spacing w:val="-2"/>
          <w:w w:val="105"/>
        </w:rPr>
        <w:t> </w:t>
      </w:r>
      <w:r>
        <w:rPr>
          <w:w w:val="105"/>
        </w:rPr>
        <w:t>rates</w:t>
      </w:r>
      <w:r>
        <w:rPr>
          <w:spacing w:val="-2"/>
          <w:w w:val="105"/>
        </w:rPr>
        <w:t> </w:t>
      </w:r>
      <w:r>
        <w:rPr>
          <w:w w:val="105"/>
        </w:rPr>
        <w:t>for</w:t>
      </w:r>
      <w:r>
        <w:rPr>
          <w:spacing w:val="-2"/>
          <w:w w:val="105"/>
        </w:rPr>
        <w:t> </w:t>
      </w:r>
      <w:r>
        <w:rPr>
          <w:w w:val="105"/>
        </w:rPr>
        <w:t>the year.</w:t>
      </w:r>
      <w:r>
        <w:rPr>
          <w:spacing w:val="-4"/>
          <w:w w:val="105"/>
        </w:rPr>
        <w:t> </w:t>
      </w:r>
      <w:r>
        <w:rPr>
          <w:w w:val="105"/>
        </w:rPr>
        <w:t>Translation</w:t>
      </w:r>
      <w:r>
        <w:rPr>
          <w:spacing w:val="-4"/>
          <w:w w:val="105"/>
        </w:rPr>
        <w:t> </w:t>
      </w:r>
      <w:r>
        <w:rPr>
          <w:w w:val="105"/>
        </w:rPr>
        <w:t>gains</w:t>
      </w:r>
      <w:r>
        <w:rPr>
          <w:spacing w:val="-4"/>
          <w:w w:val="105"/>
        </w:rPr>
        <w:t> </w:t>
      </w:r>
      <w:r>
        <w:rPr>
          <w:w w:val="105"/>
        </w:rPr>
        <w:t>and</w:t>
      </w:r>
      <w:r>
        <w:rPr>
          <w:spacing w:val="-2"/>
          <w:w w:val="105"/>
        </w:rPr>
        <w:t> </w:t>
      </w:r>
      <w:r>
        <w:rPr>
          <w:w w:val="105"/>
        </w:rPr>
        <w:t>losses</w:t>
      </w:r>
      <w:r>
        <w:rPr>
          <w:spacing w:val="-4"/>
          <w:w w:val="105"/>
        </w:rPr>
        <w:t> </w:t>
      </w:r>
      <w:r>
        <w:rPr>
          <w:w w:val="105"/>
        </w:rPr>
        <w:t>are</w:t>
      </w:r>
      <w:r>
        <w:rPr>
          <w:spacing w:val="-4"/>
          <w:w w:val="105"/>
        </w:rPr>
        <w:t> </w:t>
      </w:r>
      <w:r>
        <w:rPr>
          <w:w w:val="105"/>
        </w:rPr>
        <w:t>recorded</w:t>
      </w:r>
      <w:r>
        <w:rPr>
          <w:spacing w:val="-4"/>
          <w:w w:val="105"/>
        </w:rPr>
        <w:t> </w:t>
      </w:r>
      <w:r>
        <w:rPr>
          <w:w w:val="105"/>
        </w:rPr>
        <w:t>as</w:t>
      </w:r>
      <w:r>
        <w:rPr>
          <w:spacing w:val="-4"/>
          <w:w w:val="105"/>
        </w:rPr>
        <w:t> </w:t>
      </w:r>
      <w:r>
        <w:rPr>
          <w:w w:val="105"/>
        </w:rPr>
        <w:t>a</w:t>
      </w:r>
      <w:r>
        <w:rPr>
          <w:spacing w:val="-4"/>
          <w:w w:val="105"/>
        </w:rPr>
        <w:t> </w:t>
      </w:r>
      <w:r>
        <w:rPr>
          <w:w w:val="105"/>
        </w:rPr>
        <w:t>separate</w:t>
      </w:r>
      <w:r>
        <w:rPr>
          <w:spacing w:val="-4"/>
          <w:w w:val="105"/>
        </w:rPr>
        <w:t> </w:t>
      </w:r>
      <w:r>
        <w:rPr>
          <w:w w:val="105"/>
        </w:rPr>
        <w:t>component</w:t>
      </w:r>
      <w:r>
        <w:rPr>
          <w:spacing w:val="-4"/>
          <w:w w:val="105"/>
        </w:rPr>
        <w:t> </w:t>
      </w:r>
      <w:r>
        <w:rPr>
          <w:w w:val="105"/>
        </w:rPr>
        <w:t>of</w:t>
      </w:r>
      <w:r>
        <w:rPr>
          <w:spacing w:val="-4"/>
          <w:w w:val="105"/>
        </w:rPr>
        <w:t> </w:t>
      </w:r>
      <w:r>
        <w:rPr>
          <w:w w:val="105"/>
        </w:rPr>
        <w:t>accumulated</w:t>
      </w:r>
      <w:r>
        <w:rPr>
          <w:spacing w:val="-4"/>
          <w:w w:val="105"/>
        </w:rPr>
        <w:t> </w:t>
      </w:r>
      <w:r>
        <w:rPr>
          <w:w w:val="105"/>
        </w:rPr>
        <w:t>other</w:t>
      </w:r>
      <w:r>
        <w:rPr>
          <w:spacing w:val="-4"/>
          <w:w w:val="105"/>
        </w:rPr>
        <w:t> </w:t>
      </w:r>
      <w:r>
        <w:rPr>
          <w:w w:val="105"/>
        </w:rPr>
        <w:t>comprehensive</w:t>
      </w:r>
      <w:r>
        <w:rPr>
          <w:spacing w:val="-4"/>
          <w:w w:val="105"/>
        </w:rPr>
        <w:t> </w:t>
      </w:r>
      <w:r>
        <w:rPr>
          <w:w w:val="105"/>
        </w:rPr>
        <w:t>loss</w:t>
      </w:r>
      <w:r>
        <w:rPr>
          <w:spacing w:val="-4"/>
          <w:w w:val="105"/>
        </w:rPr>
        <w:t> </w:t>
      </w:r>
      <w:r>
        <w:rPr>
          <w:w w:val="105"/>
        </w:rPr>
        <w:t>in</w:t>
      </w:r>
      <w:r>
        <w:rPr>
          <w:spacing w:val="-4"/>
          <w:w w:val="105"/>
        </w:rPr>
        <w:t> </w:t>
      </w:r>
      <w:r>
        <w:rPr>
          <w:w w:val="105"/>
        </w:rPr>
        <w:t>shareholders’</w:t>
      </w:r>
      <w:r>
        <w:rPr>
          <w:spacing w:val="-4"/>
          <w:w w:val="105"/>
        </w:rPr>
        <w:t> </w:t>
      </w:r>
      <w:r>
        <w:rPr>
          <w:w w:val="105"/>
        </w:rPr>
        <w:t>equity.</w:t>
      </w:r>
      <w:r>
        <w:rPr>
          <w:spacing w:val="-4"/>
          <w:w w:val="105"/>
        </w:rPr>
        <w:t> </w:t>
      </w:r>
      <w:r>
        <w:rPr>
          <w:w w:val="105"/>
        </w:rPr>
        <w:t>The</w:t>
      </w:r>
      <w:r>
        <w:rPr>
          <w:spacing w:val="-4"/>
          <w:w w:val="105"/>
        </w:rPr>
        <w:t> </w:t>
      </w:r>
      <w:r>
        <w:rPr>
          <w:w w:val="105"/>
        </w:rPr>
        <w:t>effects</w:t>
      </w:r>
      <w:r>
        <w:rPr>
          <w:spacing w:val="-4"/>
          <w:w w:val="105"/>
        </w:rPr>
        <w:t> </w:t>
      </w:r>
      <w:r>
        <w:rPr>
          <w:w w:val="105"/>
        </w:rPr>
        <w:t>of</w:t>
      </w:r>
      <w:r>
        <w:rPr>
          <w:spacing w:val="-4"/>
          <w:w w:val="105"/>
        </w:rPr>
        <w:t> </w:t>
      </w:r>
      <w:r>
        <w:rPr>
          <w:w w:val="105"/>
        </w:rPr>
        <w:t>remeasuring</w:t>
      </w:r>
      <w:r>
        <w:rPr>
          <w:spacing w:val="-4"/>
          <w:w w:val="105"/>
        </w:rPr>
        <w:t> </w:t>
      </w:r>
      <w:r>
        <w:rPr>
          <w:w w:val="105"/>
        </w:rPr>
        <w:t>non- functional</w:t>
      </w:r>
      <w:r>
        <w:rPr>
          <w:spacing w:val="-8"/>
          <w:w w:val="105"/>
        </w:rPr>
        <w:t> </w:t>
      </w:r>
      <w:r>
        <w:rPr>
          <w:w w:val="105"/>
        </w:rPr>
        <w:t>currency</w:t>
      </w:r>
      <w:r>
        <w:rPr>
          <w:spacing w:val="-8"/>
          <w:w w:val="105"/>
        </w:rPr>
        <w:t> </w:t>
      </w:r>
      <w:r>
        <w:rPr>
          <w:w w:val="105"/>
        </w:rPr>
        <w:t>assets</w:t>
      </w:r>
      <w:r>
        <w:rPr>
          <w:spacing w:val="-10"/>
          <w:w w:val="105"/>
        </w:rPr>
        <w:t> </w:t>
      </w:r>
      <w:r>
        <w:rPr>
          <w:w w:val="105"/>
        </w:rPr>
        <w:t>and</w:t>
      </w:r>
      <w:r>
        <w:rPr>
          <w:spacing w:val="-8"/>
          <w:w w:val="105"/>
        </w:rPr>
        <w:t> </w:t>
      </w:r>
      <w:r>
        <w:rPr>
          <w:w w:val="105"/>
        </w:rPr>
        <w:t>liabilities</w:t>
      </w:r>
      <w:r>
        <w:rPr>
          <w:spacing w:val="-8"/>
          <w:w w:val="105"/>
        </w:rPr>
        <w:t> </w:t>
      </w:r>
      <w:r>
        <w:rPr>
          <w:w w:val="105"/>
        </w:rPr>
        <w:t>into</w:t>
      </w:r>
      <w:r>
        <w:rPr>
          <w:spacing w:val="-8"/>
          <w:w w:val="105"/>
        </w:rPr>
        <w:t> </w:t>
      </w:r>
      <w:r>
        <w:rPr>
          <w:w w:val="105"/>
        </w:rPr>
        <w:t>the</w:t>
      </w:r>
      <w:r>
        <w:rPr>
          <w:spacing w:val="-8"/>
          <w:w w:val="105"/>
        </w:rPr>
        <w:t> </w:t>
      </w:r>
      <w:r>
        <w:rPr>
          <w:w w:val="105"/>
        </w:rPr>
        <w:t>functional</w:t>
      </w:r>
      <w:r>
        <w:rPr>
          <w:spacing w:val="-8"/>
          <w:w w:val="105"/>
        </w:rPr>
        <w:t> </w:t>
      </w:r>
      <w:r>
        <w:rPr>
          <w:w w:val="105"/>
        </w:rPr>
        <w:t>currency</w:t>
      </w:r>
      <w:r>
        <w:rPr>
          <w:spacing w:val="-8"/>
          <w:w w:val="105"/>
        </w:rPr>
        <w:t> </w:t>
      </w:r>
      <w:r>
        <w:rPr>
          <w:w w:val="105"/>
        </w:rPr>
        <w:t>are</w:t>
      </w:r>
      <w:r>
        <w:rPr>
          <w:spacing w:val="-8"/>
          <w:w w:val="105"/>
        </w:rPr>
        <w:t> </w:t>
      </w:r>
      <w:r>
        <w:rPr>
          <w:w w:val="105"/>
        </w:rPr>
        <w:t>included</w:t>
      </w:r>
      <w:r>
        <w:rPr>
          <w:spacing w:val="-10"/>
          <w:w w:val="105"/>
        </w:rPr>
        <w:t> </w:t>
      </w:r>
      <w:r>
        <w:rPr>
          <w:w w:val="105"/>
        </w:rPr>
        <w:t>in</w:t>
      </w:r>
      <w:r>
        <w:rPr>
          <w:spacing w:val="-8"/>
          <w:w w:val="105"/>
        </w:rPr>
        <w:t> </w:t>
      </w:r>
      <w:r>
        <w:rPr>
          <w:w w:val="105"/>
        </w:rPr>
        <w:t>current</w:t>
      </w:r>
      <w:r>
        <w:rPr>
          <w:spacing w:val="-8"/>
          <w:w w:val="105"/>
        </w:rPr>
        <w:t> </w:t>
      </w:r>
      <w:r>
        <w:rPr>
          <w:w w:val="105"/>
        </w:rPr>
        <w:t>earnings,</w:t>
      </w:r>
      <w:r>
        <w:rPr>
          <w:spacing w:val="-8"/>
          <w:w w:val="105"/>
        </w:rPr>
        <w:t> </w:t>
      </w:r>
      <w:r>
        <w:rPr>
          <w:w w:val="105"/>
        </w:rPr>
        <w:t>except</w:t>
      </w:r>
      <w:r>
        <w:rPr>
          <w:spacing w:val="-8"/>
          <w:w w:val="105"/>
        </w:rPr>
        <w:t> </w:t>
      </w:r>
      <w:r>
        <w:rPr>
          <w:w w:val="105"/>
        </w:rPr>
        <w:t>for</w:t>
      </w:r>
      <w:r>
        <w:rPr>
          <w:spacing w:val="-8"/>
          <w:w w:val="105"/>
        </w:rPr>
        <w:t> </w:t>
      </w:r>
      <w:r>
        <w:rPr>
          <w:w w:val="105"/>
        </w:rPr>
        <w:t>those</w:t>
      </w:r>
      <w:r>
        <w:rPr>
          <w:spacing w:val="-8"/>
          <w:w w:val="105"/>
        </w:rPr>
        <w:t> </w:t>
      </w:r>
      <w:r>
        <w:rPr>
          <w:w w:val="105"/>
        </w:rPr>
        <w:t>related</w:t>
      </w:r>
      <w:r>
        <w:rPr>
          <w:spacing w:val="-8"/>
          <w:w w:val="105"/>
        </w:rPr>
        <w:t> </w:t>
      </w:r>
      <w:r>
        <w:rPr>
          <w:w w:val="105"/>
        </w:rPr>
        <w:t>to</w:t>
      </w:r>
      <w:r>
        <w:rPr>
          <w:spacing w:val="-8"/>
          <w:w w:val="105"/>
        </w:rPr>
        <w:t> </w:t>
      </w:r>
      <w:r>
        <w:rPr>
          <w:w w:val="105"/>
        </w:rPr>
        <w:t>intra-entity</w:t>
      </w:r>
      <w:r>
        <w:rPr>
          <w:spacing w:val="-8"/>
          <w:w w:val="105"/>
        </w:rPr>
        <w:t> </w:t>
      </w:r>
      <w:r>
        <w:rPr>
          <w:w w:val="105"/>
        </w:rPr>
        <w:t>foreign</w:t>
      </w:r>
      <w:r>
        <w:rPr>
          <w:spacing w:val="-8"/>
          <w:w w:val="105"/>
        </w:rPr>
        <w:t> </w:t>
      </w:r>
      <w:r>
        <w:rPr>
          <w:w w:val="105"/>
        </w:rPr>
        <w:t>currency</w:t>
      </w:r>
      <w:r>
        <w:rPr>
          <w:spacing w:val="-8"/>
          <w:w w:val="105"/>
        </w:rPr>
        <w:t> </w:t>
      </w:r>
      <w:r>
        <w:rPr>
          <w:w w:val="105"/>
        </w:rPr>
        <w:t>transactions</w:t>
      </w:r>
      <w:r>
        <w:rPr>
          <w:spacing w:val="-8"/>
          <w:w w:val="105"/>
        </w:rPr>
        <w:t> </w:t>
      </w:r>
      <w:r>
        <w:rPr>
          <w:w w:val="105"/>
        </w:rPr>
        <w:t>of a</w:t>
      </w:r>
      <w:r>
        <w:rPr>
          <w:spacing w:val="-7"/>
          <w:w w:val="105"/>
        </w:rPr>
        <w:t> </w:t>
      </w:r>
      <w:r>
        <w:rPr>
          <w:w w:val="105"/>
        </w:rPr>
        <w:t>long-term</w:t>
      </w:r>
      <w:r>
        <w:rPr>
          <w:spacing w:val="-7"/>
          <w:w w:val="105"/>
        </w:rPr>
        <w:t> </w:t>
      </w:r>
      <w:r>
        <w:rPr>
          <w:w w:val="105"/>
        </w:rPr>
        <w:t>investment</w:t>
      </w:r>
      <w:r>
        <w:rPr>
          <w:spacing w:val="-7"/>
          <w:w w:val="105"/>
        </w:rPr>
        <w:t> </w:t>
      </w:r>
      <w:r>
        <w:rPr>
          <w:w w:val="105"/>
        </w:rPr>
        <w:t>nature,</w:t>
      </w:r>
      <w:r>
        <w:rPr>
          <w:spacing w:val="-7"/>
          <w:w w:val="105"/>
        </w:rPr>
        <w:t> </w:t>
      </w:r>
      <w:r>
        <w:rPr>
          <w:w w:val="105"/>
        </w:rPr>
        <w:t>which</w:t>
      </w:r>
      <w:r>
        <w:rPr>
          <w:spacing w:val="-7"/>
          <w:w w:val="105"/>
        </w:rPr>
        <w:t> </w:t>
      </w:r>
      <w:r>
        <w:rPr>
          <w:w w:val="105"/>
        </w:rPr>
        <w:t>are</w:t>
      </w:r>
      <w:r>
        <w:rPr>
          <w:spacing w:val="-7"/>
          <w:w w:val="105"/>
        </w:rPr>
        <w:t> </w:t>
      </w:r>
      <w:r>
        <w:rPr>
          <w:w w:val="105"/>
        </w:rPr>
        <w:t>recorded</w:t>
      </w:r>
      <w:r>
        <w:rPr>
          <w:spacing w:val="-7"/>
          <w:w w:val="105"/>
        </w:rPr>
        <w:t> </w:t>
      </w:r>
      <w:r>
        <w:rPr>
          <w:w w:val="105"/>
        </w:rPr>
        <w:t>together</w:t>
      </w:r>
      <w:r>
        <w:rPr>
          <w:spacing w:val="-7"/>
          <w:w w:val="105"/>
        </w:rPr>
        <w:t> </w:t>
      </w:r>
      <w:r>
        <w:rPr>
          <w:w w:val="105"/>
        </w:rPr>
        <w:t>with</w:t>
      </w:r>
      <w:r>
        <w:rPr>
          <w:spacing w:val="-7"/>
          <w:w w:val="105"/>
        </w:rPr>
        <w:t> </w:t>
      </w:r>
      <w:r>
        <w:rPr>
          <w:w w:val="105"/>
        </w:rPr>
        <w:t>translation</w:t>
      </w:r>
      <w:r>
        <w:rPr>
          <w:spacing w:val="-7"/>
          <w:w w:val="105"/>
        </w:rPr>
        <w:t> </w:t>
      </w:r>
      <w:r>
        <w:rPr>
          <w:w w:val="105"/>
        </w:rPr>
        <w:t>gains</w:t>
      </w:r>
      <w:r>
        <w:rPr>
          <w:spacing w:val="-7"/>
          <w:w w:val="105"/>
        </w:rPr>
        <w:t> </w:t>
      </w:r>
      <w:r>
        <w:rPr>
          <w:w w:val="105"/>
        </w:rPr>
        <w:t>and</w:t>
      </w:r>
      <w:r>
        <w:rPr>
          <w:spacing w:val="-7"/>
          <w:w w:val="105"/>
        </w:rPr>
        <w:t> </w:t>
      </w:r>
      <w:r>
        <w:rPr>
          <w:w w:val="105"/>
        </w:rPr>
        <w:t>losses</w:t>
      </w:r>
      <w:r>
        <w:rPr>
          <w:spacing w:val="-7"/>
          <w:w w:val="105"/>
        </w:rPr>
        <w:t> </w:t>
      </w:r>
      <w:r>
        <w:rPr>
          <w:w w:val="105"/>
        </w:rPr>
        <w:t>in</w:t>
      </w:r>
      <w:r>
        <w:rPr>
          <w:spacing w:val="-7"/>
          <w:w w:val="105"/>
        </w:rPr>
        <w:t> </w:t>
      </w:r>
      <w:r>
        <w:rPr>
          <w:w w:val="105"/>
        </w:rPr>
        <w:t>accumulated</w:t>
      </w:r>
      <w:r>
        <w:rPr>
          <w:spacing w:val="-7"/>
          <w:w w:val="105"/>
        </w:rPr>
        <w:t> </w:t>
      </w:r>
      <w:r>
        <w:rPr>
          <w:w w:val="105"/>
        </w:rPr>
        <w:t>other</w:t>
      </w:r>
      <w:r>
        <w:rPr>
          <w:spacing w:val="-7"/>
          <w:w w:val="105"/>
        </w:rPr>
        <w:t> </w:t>
      </w:r>
      <w:r>
        <w:rPr>
          <w:w w:val="105"/>
        </w:rPr>
        <w:t>comprehensive</w:t>
      </w:r>
      <w:r>
        <w:rPr>
          <w:spacing w:val="-7"/>
          <w:w w:val="105"/>
        </w:rPr>
        <w:t> </w:t>
      </w:r>
      <w:r>
        <w:rPr>
          <w:w w:val="105"/>
        </w:rPr>
        <w:t>loss</w:t>
      </w:r>
      <w:r>
        <w:rPr>
          <w:spacing w:val="-6"/>
          <w:w w:val="105"/>
        </w:rPr>
        <w:t> </w:t>
      </w:r>
      <w:r>
        <w:rPr>
          <w:w w:val="105"/>
        </w:rPr>
        <w:t>in</w:t>
      </w:r>
      <w:r>
        <w:rPr>
          <w:spacing w:val="-7"/>
          <w:w w:val="105"/>
        </w:rPr>
        <w:t> </w:t>
      </w:r>
      <w:r>
        <w:rPr>
          <w:w w:val="105"/>
        </w:rPr>
        <w:t>shareholders’</w:t>
      </w:r>
      <w:r>
        <w:rPr>
          <w:spacing w:val="-7"/>
          <w:w w:val="105"/>
        </w:rPr>
        <w:t> </w:t>
      </w:r>
      <w:r>
        <w:rPr>
          <w:w w:val="105"/>
        </w:rPr>
        <w:t>equity.</w:t>
      </w:r>
      <w:r>
        <w:rPr>
          <w:spacing w:val="-7"/>
          <w:w w:val="105"/>
        </w:rPr>
        <w:t> </w:t>
      </w:r>
      <w:r>
        <w:rPr>
          <w:w w:val="105"/>
        </w:rPr>
        <w:t>Upon</w:t>
      </w:r>
      <w:r>
        <w:rPr>
          <w:spacing w:val="-7"/>
          <w:w w:val="105"/>
        </w:rPr>
        <w:t> </w:t>
      </w:r>
      <w:r>
        <w:rPr>
          <w:w w:val="105"/>
        </w:rPr>
        <w:t>sale</w:t>
      </w:r>
      <w:r>
        <w:rPr>
          <w:spacing w:val="-7"/>
          <w:w w:val="105"/>
        </w:rPr>
        <w:t> </w:t>
      </w:r>
      <w:r>
        <w:rPr>
          <w:w w:val="105"/>
        </w:rPr>
        <w:t>or substantially</w:t>
      </w:r>
      <w:r>
        <w:rPr>
          <w:spacing w:val="-2"/>
          <w:w w:val="105"/>
        </w:rPr>
        <w:t> </w:t>
      </w:r>
      <w:r>
        <w:rPr>
          <w:w w:val="105"/>
        </w:rPr>
        <w:t>complete</w:t>
      </w:r>
      <w:r>
        <w:rPr>
          <w:spacing w:val="-2"/>
          <w:w w:val="105"/>
        </w:rPr>
        <w:t> </w:t>
      </w:r>
      <w:r>
        <w:rPr>
          <w:w w:val="105"/>
        </w:rPr>
        <w:t>liquidation</w:t>
      </w:r>
      <w:r>
        <w:rPr>
          <w:spacing w:val="-2"/>
          <w:w w:val="105"/>
        </w:rPr>
        <w:t> </w:t>
      </w:r>
      <w:r>
        <w:rPr>
          <w:w w:val="105"/>
        </w:rPr>
        <w:t>of</w:t>
      </w:r>
      <w:r>
        <w:rPr>
          <w:spacing w:val="-2"/>
          <w:w w:val="105"/>
        </w:rPr>
        <w:t> </w:t>
      </w:r>
      <w:r>
        <w:rPr>
          <w:w w:val="105"/>
        </w:rPr>
        <w:t>an</w:t>
      </w:r>
      <w:r>
        <w:rPr>
          <w:spacing w:val="-2"/>
          <w:w w:val="105"/>
        </w:rPr>
        <w:t> </w:t>
      </w:r>
      <w:r>
        <w:rPr>
          <w:w w:val="105"/>
        </w:rPr>
        <w:t>investment</w:t>
      </w:r>
      <w:r>
        <w:rPr>
          <w:spacing w:val="-2"/>
          <w:w w:val="105"/>
        </w:rPr>
        <w:t> </w:t>
      </w:r>
      <w:r>
        <w:rPr>
          <w:w w:val="105"/>
        </w:rPr>
        <w:t>in</w:t>
      </w:r>
      <w:r>
        <w:rPr>
          <w:spacing w:val="-2"/>
          <w:w w:val="105"/>
        </w:rPr>
        <w:t> </w:t>
      </w:r>
      <w:r>
        <w:rPr>
          <w:w w:val="105"/>
        </w:rPr>
        <w:t>a</w:t>
      </w:r>
      <w:r>
        <w:rPr>
          <w:spacing w:val="-2"/>
          <w:w w:val="105"/>
        </w:rPr>
        <w:t> </w:t>
      </w:r>
      <w:r>
        <w:rPr>
          <w:w w:val="105"/>
        </w:rPr>
        <w:t>foreign</w:t>
      </w:r>
      <w:r>
        <w:rPr>
          <w:spacing w:val="-2"/>
          <w:w w:val="105"/>
        </w:rPr>
        <w:t> </w:t>
      </w:r>
      <w:r>
        <w:rPr>
          <w:w w:val="105"/>
        </w:rPr>
        <w:t>entity,</w:t>
      </w:r>
      <w:r>
        <w:rPr>
          <w:spacing w:val="-2"/>
          <w:w w:val="105"/>
        </w:rPr>
        <w:t> </w:t>
      </w:r>
      <w:r>
        <w:rPr>
          <w:w w:val="105"/>
        </w:rPr>
        <w:t>the</w:t>
      </w:r>
      <w:r>
        <w:rPr>
          <w:spacing w:val="-2"/>
          <w:w w:val="105"/>
        </w:rPr>
        <w:t> </w:t>
      </w:r>
      <w:r>
        <w:rPr>
          <w:w w:val="105"/>
        </w:rPr>
        <w:t>amount</w:t>
      </w:r>
      <w:r>
        <w:rPr>
          <w:spacing w:val="-2"/>
          <w:w w:val="105"/>
        </w:rPr>
        <w:t> </w:t>
      </w:r>
      <w:r>
        <w:rPr>
          <w:w w:val="105"/>
        </w:rPr>
        <w:t>of</w:t>
      </w:r>
      <w:r>
        <w:rPr>
          <w:spacing w:val="-2"/>
          <w:w w:val="105"/>
        </w:rPr>
        <w:t> </w:t>
      </w:r>
      <w:r>
        <w:rPr>
          <w:w w:val="105"/>
        </w:rPr>
        <w:t>net</w:t>
      </w:r>
      <w:r>
        <w:rPr>
          <w:spacing w:val="-2"/>
          <w:w w:val="105"/>
        </w:rPr>
        <w:t> </w:t>
      </w:r>
      <w:r>
        <w:rPr>
          <w:w w:val="105"/>
        </w:rPr>
        <w:t>translation</w:t>
      </w:r>
      <w:r>
        <w:rPr>
          <w:spacing w:val="-2"/>
          <w:w w:val="105"/>
        </w:rPr>
        <w:t> </w:t>
      </w:r>
      <w:r>
        <w:rPr>
          <w:w w:val="105"/>
        </w:rPr>
        <w:t>gains</w:t>
      </w:r>
      <w:r>
        <w:rPr>
          <w:spacing w:val="-2"/>
          <w:w w:val="105"/>
        </w:rPr>
        <w:t> </w:t>
      </w:r>
      <w:r>
        <w:rPr>
          <w:w w:val="105"/>
        </w:rPr>
        <w:t>or</w:t>
      </w:r>
      <w:r>
        <w:rPr>
          <w:spacing w:val="-2"/>
          <w:w w:val="105"/>
        </w:rPr>
        <w:t> </w:t>
      </w:r>
      <w:r>
        <w:rPr>
          <w:w w:val="105"/>
        </w:rPr>
        <w:t>losses</w:t>
      </w:r>
      <w:r>
        <w:rPr>
          <w:spacing w:val="-2"/>
          <w:w w:val="105"/>
        </w:rPr>
        <w:t> </w:t>
      </w:r>
      <w:r>
        <w:rPr>
          <w:w w:val="105"/>
        </w:rPr>
        <w:t>that</w:t>
      </w:r>
      <w:r>
        <w:rPr>
          <w:spacing w:val="-2"/>
          <w:w w:val="105"/>
        </w:rPr>
        <w:t> </w:t>
      </w:r>
      <w:r>
        <w:rPr>
          <w:w w:val="105"/>
        </w:rPr>
        <w:t>have</w:t>
      </w:r>
      <w:r>
        <w:rPr>
          <w:spacing w:val="-2"/>
          <w:w w:val="105"/>
        </w:rPr>
        <w:t> </w:t>
      </w:r>
      <w:r>
        <w:rPr>
          <w:w w:val="105"/>
        </w:rPr>
        <w:t>been accumulated</w:t>
      </w:r>
      <w:r>
        <w:rPr>
          <w:spacing w:val="-2"/>
          <w:w w:val="105"/>
        </w:rPr>
        <w:t> </w:t>
      </w:r>
      <w:r>
        <w:rPr>
          <w:w w:val="105"/>
        </w:rPr>
        <w:t>in</w:t>
      </w:r>
      <w:r>
        <w:rPr>
          <w:spacing w:val="-2"/>
          <w:w w:val="105"/>
        </w:rPr>
        <w:t> </w:t>
      </w:r>
      <w:r>
        <w:rPr>
          <w:w w:val="105"/>
        </w:rPr>
        <w:t>other</w:t>
      </w:r>
      <w:r>
        <w:rPr>
          <w:spacing w:val="-2"/>
          <w:w w:val="105"/>
        </w:rPr>
        <w:t> </w:t>
      </w:r>
      <w:r>
        <w:rPr>
          <w:w w:val="105"/>
        </w:rPr>
        <w:t>comprehensive income attributable to that investment are reported as a gain or loss for the period in which the sale or liquidation occurs.</w:t>
      </w:r>
    </w:p>
    <w:p>
      <w:pPr>
        <w:pStyle w:val="BodyText"/>
        <w:spacing w:before="16"/>
      </w:pPr>
    </w:p>
    <w:p>
      <w:pPr>
        <w:pStyle w:val="BodyText"/>
        <w:ind w:left="48"/>
        <w:jc w:val="center"/>
      </w:pPr>
      <w:r>
        <w:rPr>
          <w:spacing w:val="-5"/>
          <w:w w:val="105"/>
        </w:rPr>
        <w:t>71</w:t>
      </w:r>
    </w:p>
    <w:p>
      <w:pPr>
        <w:pStyle w:val="BodyText"/>
        <w:spacing w:before="11"/>
        <w:rPr>
          <w:sz w:val="5"/>
        </w:rPr>
      </w:pPr>
      <w:r>
        <w:rPr/>
        <mc:AlternateContent>
          <mc:Choice Requires="wps">
            <w:drawing>
              <wp:anchor distT="0" distB="0" distL="0" distR="0" allowOverlap="1" layoutInCell="1" locked="0" behindDoc="1" simplePos="0" relativeHeight="487669248">
                <wp:simplePos x="0" y="0"/>
                <wp:positionH relativeFrom="page">
                  <wp:posOffset>226488</wp:posOffset>
                </wp:positionH>
                <wp:positionV relativeFrom="paragraph">
                  <wp:posOffset>58734</wp:posOffset>
                </wp:positionV>
                <wp:extent cx="7312659" cy="16510"/>
                <wp:effectExtent l="0" t="0" r="0" b="0"/>
                <wp:wrapTopAndBottom/>
                <wp:docPr id="291" name="Graphic 291"/>
                <wp:cNvGraphicFramePr>
                  <a:graphicFrameLocks/>
                </wp:cNvGraphicFramePr>
                <a:graphic>
                  <a:graphicData uri="http://schemas.microsoft.com/office/word/2010/wordprocessingShape">
                    <wps:wsp>
                      <wps:cNvPr id="291" name="Graphic 291"/>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47232;mso-wrap-distance-left:0;mso-wrap-distance-right:0" id="docshape290"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numPr>
          <w:ilvl w:val="0"/>
          <w:numId w:val="32"/>
        </w:numPr>
        <w:tabs>
          <w:tab w:pos="362" w:val="left" w:leader="none"/>
        </w:tabs>
        <w:spacing w:line="240" w:lineRule="auto" w:before="0" w:after="0"/>
        <w:ind w:left="362" w:right="0" w:hanging="206"/>
        <w:jc w:val="left"/>
      </w:pPr>
      <w:r>
        <w:rPr/>
        <w:t>Summary</w:t>
      </w:r>
      <w:r>
        <w:rPr>
          <w:spacing w:val="16"/>
        </w:rPr>
        <w:t> </w:t>
      </w:r>
      <w:r>
        <w:rPr/>
        <w:t>of</w:t>
      </w:r>
      <w:r>
        <w:rPr>
          <w:spacing w:val="17"/>
        </w:rPr>
        <w:t> </w:t>
      </w:r>
      <w:r>
        <w:rPr/>
        <w:t>Significant</w:t>
      </w:r>
      <w:r>
        <w:rPr>
          <w:spacing w:val="17"/>
        </w:rPr>
        <w:t> </w:t>
      </w:r>
      <w:r>
        <w:rPr/>
        <w:t>Accounting</w:t>
      </w:r>
      <w:r>
        <w:rPr>
          <w:spacing w:val="16"/>
        </w:rPr>
        <w:t> </w:t>
      </w:r>
      <w:r>
        <w:rPr/>
        <w:t>Policies</w:t>
      </w:r>
      <w:r>
        <w:rPr>
          <w:spacing w:val="17"/>
        </w:rPr>
        <w:t> </w:t>
      </w:r>
      <w:r>
        <w:rPr>
          <w:spacing w:val="-2"/>
        </w:rPr>
        <w:t>(Continued)</w:t>
      </w:r>
    </w:p>
    <w:p>
      <w:pPr>
        <w:pStyle w:val="BodyText"/>
        <w:spacing w:before="40"/>
        <w:rPr>
          <w:b/>
        </w:rPr>
      </w:pPr>
    </w:p>
    <w:p>
      <w:pPr>
        <w:pStyle w:val="Heading3"/>
      </w:pPr>
      <w:r>
        <w:rPr/>
        <w:t>Share-Based</w:t>
      </w:r>
      <w:r>
        <w:rPr>
          <w:spacing w:val="26"/>
        </w:rPr>
        <w:t> </w:t>
      </w:r>
      <w:r>
        <w:rPr>
          <w:spacing w:val="-2"/>
        </w:rPr>
        <w:t>Compensation</w:t>
      </w:r>
    </w:p>
    <w:p>
      <w:pPr>
        <w:pStyle w:val="BodyText"/>
        <w:spacing w:before="39"/>
        <w:rPr>
          <w:b/>
          <w:i/>
        </w:rPr>
      </w:pPr>
    </w:p>
    <w:p>
      <w:pPr>
        <w:pStyle w:val="BodyText"/>
        <w:spacing w:line="266" w:lineRule="auto"/>
        <w:ind w:left="156" w:right="328"/>
      </w:pPr>
      <w:r>
        <w:rPr>
          <w:w w:val="105"/>
        </w:rPr>
        <w:t>Corning’s</w:t>
      </w:r>
      <w:r>
        <w:rPr>
          <w:spacing w:val="-11"/>
          <w:w w:val="105"/>
        </w:rPr>
        <w:t> </w:t>
      </w:r>
      <w:r>
        <w:rPr>
          <w:w w:val="105"/>
        </w:rPr>
        <w:t>share-based</w:t>
      </w:r>
      <w:r>
        <w:rPr>
          <w:spacing w:val="-10"/>
          <w:w w:val="105"/>
        </w:rPr>
        <w:t> </w:t>
      </w:r>
      <w:r>
        <w:rPr>
          <w:w w:val="105"/>
        </w:rPr>
        <w:t>compensation</w:t>
      </w:r>
      <w:r>
        <w:rPr>
          <w:spacing w:val="-11"/>
          <w:w w:val="105"/>
        </w:rPr>
        <w:t> </w:t>
      </w:r>
      <w:r>
        <w:rPr>
          <w:w w:val="105"/>
        </w:rPr>
        <w:t>programs</w:t>
      </w:r>
      <w:r>
        <w:rPr>
          <w:spacing w:val="-10"/>
          <w:w w:val="105"/>
        </w:rPr>
        <w:t> </w:t>
      </w:r>
      <w:r>
        <w:rPr>
          <w:w w:val="105"/>
        </w:rPr>
        <w:t>include</w:t>
      </w:r>
      <w:r>
        <w:rPr>
          <w:spacing w:val="-11"/>
          <w:w w:val="105"/>
        </w:rPr>
        <w:t> </w:t>
      </w:r>
      <w:r>
        <w:rPr>
          <w:w w:val="105"/>
        </w:rPr>
        <w:t>employee</w:t>
      </w:r>
      <w:r>
        <w:rPr>
          <w:spacing w:val="-10"/>
          <w:w w:val="105"/>
        </w:rPr>
        <w:t> </w:t>
      </w:r>
      <w:r>
        <w:rPr>
          <w:w w:val="105"/>
        </w:rPr>
        <w:t>stock</w:t>
      </w:r>
      <w:r>
        <w:rPr>
          <w:spacing w:val="-11"/>
          <w:w w:val="105"/>
        </w:rPr>
        <w:t> </w:t>
      </w:r>
      <w:r>
        <w:rPr>
          <w:w w:val="105"/>
        </w:rPr>
        <w:t>option</w:t>
      </w:r>
      <w:r>
        <w:rPr>
          <w:spacing w:val="-10"/>
          <w:w w:val="105"/>
        </w:rPr>
        <w:t> </w:t>
      </w:r>
      <w:r>
        <w:rPr>
          <w:w w:val="105"/>
        </w:rPr>
        <w:t>grants,</w:t>
      </w:r>
      <w:r>
        <w:rPr>
          <w:spacing w:val="-11"/>
          <w:w w:val="105"/>
        </w:rPr>
        <w:t> </w:t>
      </w:r>
      <w:r>
        <w:rPr>
          <w:w w:val="105"/>
        </w:rPr>
        <w:t>time-based</w:t>
      </w:r>
      <w:r>
        <w:rPr>
          <w:spacing w:val="-10"/>
          <w:w w:val="105"/>
        </w:rPr>
        <w:t> </w:t>
      </w:r>
      <w:r>
        <w:rPr>
          <w:w w:val="105"/>
        </w:rPr>
        <w:t>or</w:t>
      </w:r>
      <w:r>
        <w:rPr>
          <w:spacing w:val="-11"/>
          <w:w w:val="105"/>
        </w:rPr>
        <w:t> </w:t>
      </w:r>
      <w:r>
        <w:rPr>
          <w:w w:val="105"/>
        </w:rPr>
        <w:t>performance-based</w:t>
      </w:r>
      <w:r>
        <w:rPr>
          <w:spacing w:val="-10"/>
          <w:w w:val="105"/>
        </w:rPr>
        <w:t> </w:t>
      </w:r>
      <w:r>
        <w:rPr>
          <w:w w:val="105"/>
        </w:rPr>
        <w:t>restricted</w:t>
      </w:r>
      <w:r>
        <w:rPr>
          <w:spacing w:val="-11"/>
          <w:w w:val="105"/>
        </w:rPr>
        <w:t> </w:t>
      </w:r>
      <w:r>
        <w:rPr>
          <w:w w:val="105"/>
        </w:rPr>
        <w:t>stock</w:t>
      </w:r>
      <w:r>
        <w:rPr>
          <w:spacing w:val="-10"/>
          <w:w w:val="105"/>
        </w:rPr>
        <w:t> </w:t>
      </w:r>
      <w:r>
        <w:rPr>
          <w:w w:val="105"/>
        </w:rPr>
        <w:t>and</w:t>
      </w:r>
      <w:r>
        <w:rPr>
          <w:spacing w:val="-9"/>
          <w:w w:val="105"/>
        </w:rPr>
        <w:t> </w:t>
      </w:r>
      <w:r>
        <w:rPr>
          <w:w w:val="105"/>
        </w:rPr>
        <w:t>restricted</w:t>
      </w:r>
      <w:r>
        <w:rPr>
          <w:spacing w:val="-11"/>
          <w:w w:val="105"/>
        </w:rPr>
        <w:t> </w:t>
      </w:r>
      <w:r>
        <w:rPr>
          <w:w w:val="105"/>
        </w:rPr>
        <w:t>stock</w:t>
      </w:r>
      <w:r>
        <w:rPr>
          <w:spacing w:val="-10"/>
          <w:w w:val="105"/>
        </w:rPr>
        <w:t> </w:t>
      </w:r>
      <w:r>
        <w:rPr>
          <w:w w:val="105"/>
        </w:rPr>
        <w:t>units,</w:t>
      </w:r>
      <w:r>
        <w:rPr>
          <w:spacing w:val="-11"/>
          <w:w w:val="105"/>
        </w:rPr>
        <w:t> </w:t>
      </w:r>
      <w:r>
        <w:rPr>
          <w:w w:val="105"/>
        </w:rPr>
        <w:t>as</w:t>
      </w:r>
      <w:r>
        <w:rPr>
          <w:spacing w:val="-8"/>
          <w:w w:val="105"/>
        </w:rPr>
        <w:t> </w:t>
      </w:r>
      <w:r>
        <w:rPr>
          <w:w w:val="105"/>
        </w:rPr>
        <w:t>more fully described in Note 19 (Share-Based Compensation) to the consolidated financial statements.</w:t>
      </w:r>
    </w:p>
    <w:p>
      <w:pPr>
        <w:pStyle w:val="BodyText"/>
        <w:spacing w:before="19"/>
      </w:pPr>
    </w:p>
    <w:p>
      <w:pPr>
        <w:pStyle w:val="BodyText"/>
        <w:spacing w:line="266" w:lineRule="auto"/>
        <w:ind w:left="156" w:right="328"/>
      </w:pPr>
      <w:r>
        <w:rPr>
          <w:w w:val="105"/>
        </w:rPr>
        <w:t>The</w:t>
      </w:r>
      <w:r>
        <w:rPr>
          <w:spacing w:val="-7"/>
          <w:w w:val="105"/>
        </w:rPr>
        <w:t> </w:t>
      </w:r>
      <w:r>
        <w:rPr>
          <w:w w:val="105"/>
        </w:rPr>
        <w:t>cost</w:t>
      </w:r>
      <w:r>
        <w:rPr>
          <w:spacing w:val="-7"/>
          <w:w w:val="105"/>
        </w:rPr>
        <w:t> </w:t>
      </w:r>
      <w:r>
        <w:rPr>
          <w:w w:val="105"/>
        </w:rPr>
        <w:t>of</w:t>
      </w:r>
      <w:r>
        <w:rPr>
          <w:spacing w:val="-7"/>
          <w:w w:val="105"/>
        </w:rPr>
        <w:t> </w:t>
      </w:r>
      <w:r>
        <w:rPr>
          <w:w w:val="105"/>
        </w:rPr>
        <w:t>share-based</w:t>
      </w:r>
      <w:r>
        <w:rPr>
          <w:spacing w:val="-7"/>
          <w:w w:val="105"/>
        </w:rPr>
        <w:t> </w:t>
      </w:r>
      <w:r>
        <w:rPr>
          <w:w w:val="105"/>
        </w:rPr>
        <w:t>compensation</w:t>
      </w:r>
      <w:r>
        <w:rPr>
          <w:spacing w:val="-7"/>
          <w:w w:val="105"/>
        </w:rPr>
        <w:t> </w:t>
      </w:r>
      <w:r>
        <w:rPr>
          <w:w w:val="105"/>
        </w:rPr>
        <w:t>awards</w:t>
      </w:r>
      <w:r>
        <w:rPr>
          <w:spacing w:val="-7"/>
          <w:w w:val="105"/>
        </w:rPr>
        <w:t> </w:t>
      </w:r>
      <w:r>
        <w:rPr>
          <w:w w:val="105"/>
        </w:rPr>
        <w:t>is</w:t>
      </w:r>
      <w:r>
        <w:rPr>
          <w:spacing w:val="-7"/>
          <w:w w:val="105"/>
        </w:rPr>
        <w:t> </w:t>
      </w:r>
      <w:r>
        <w:rPr>
          <w:w w:val="105"/>
        </w:rPr>
        <w:t>equal</w:t>
      </w:r>
      <w:r>
        <w:rPr>
          <w:spacing w:val="-7"/>
          <w:w w:val="105"/>
        </w:rPr>
        <w:t> </w:t>
      </w:r>
      <w:r>
        <w:rPr>
          <w:w w:val="105"/>
        </w:rPr>
        <w:t>to</w:t>
      </w:r>
      <w:r>
        <w:rPr>
          <w:spacing w:val="-7"/>
          <w:w w:val="105"/>
        </w:rPr>
        <w:t> </w:t>
      </w:r>
      <w:r>
        <w:rPr>
          <w:w w:val="105"/>
        </w:rPr>
        <w:t>the</w:t>
      </w:r>
      <w:r>
        <w:rPr>
          <w:spacing w:val="-6"/>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the</w:t>
      </w:r>
      <w:r>
        <w:rPr>
          <w:spacing w:val="-7"/>
          <w:w w:val="105"/>
        </w:rPr>
        <w:t> </w:t>
      </w:r>
      <w:r>
        <w:rPr>
          <w:w w:val="105"/>
        </w:rPr>
        <w:t>award</w:t>
      </w:r>
      <w:r>
        <w:rPr>
          <w:spacing w:val="-7"/>
          <w:w w:val="105"/>
        </w:rPr>
        <w:t> </w:t>
      </w:r>
      <w:r>
        <w:rPr>
          <w:w w:val="105"/>
        </w:rPr>
        <w:t>at</w:t>
      </w:r>
      <w:r>
        <w:rPr>
          <w:spacing w:val="-7"/>
          <w:w w:val="105"/>
        </w:rPr>
        <w:t> </w:t>
      </w:r>
      <w:r>
        <w:rPr>
          <w:w w:val="105"/>
        </w:rPr>
        <w:t>the</w:t>
      </w:r>
      <w:r>
        <w:rPr>
          <w:spacing w:val="-7"/>
          <w:w w:val="105"/>
        </w:rPr>
        <w:t> </w:t>
      </w:r>
      <w:r>
        <w:rPr>
          <w:w w:val="105"/>
        </w:rPr>
        <w:t>date</w:t>
      </w:r>
      <w:r>
        <w:rPr>
          <w:spacing w:val="-7"/>
          <w:w w:val="105"/>
        </w:rPr>
        <w:t> </w:t>
      </w:r>
      <w:r>
        <w:rPr>
          <w:w w:val="105"/>
        </w:rPr>
        <w:t>of</w:t>
      </w:r>
      <w:r>
        <w:rPr>
          <w:spacing w:val="-7"/>
          <w:w w:val="105"/>
        </w:rPr>
        <w:t> </w:t>
      </w:r>
      <w:r>
        <w:rPr>
          <w:w w:val="105"/>
        </w:rPr>
        <w:t>grant</w:t>
      </w:r>
      <w:r>
        <w:rPr>
          <w:spacing w:val="-7"/>
          <w:w w:val="105"/>
        </w:rPr>
        <w:t> </w:t>
      </w:r>
      <w:r>
        <w:rPr>
          <w:w w:val="105"/>
        </w:rPr>
        <w:t>and</w:t>
      </w:r>
      <w:r>
        <w:rPr>
          <w:spacing w:val="-7"/>
          <w:w w:val="105"/>
        </w:rPr>
        <w:t> </w:t>
      </w:r>
      <w:r>
        <w:rPr>
          <w:w w:val="105"/>
        </w:rPr>
        <w:t>compensation</w:t>
      </w:r>
      <w:r>
        <w:rPr>
          <w:spacing w:val="-7"/>
          <w:w w:val="105"/>
        </w:rPr>
        <w:t> </w:t>
      </w:r>
      <w:r>
        <w:rPr>
          <w:w w:val="105"/>
        </w:rPr>
        <w:t>expense</w:t>
      </w:r>
      <w:r>
        <w:rPr>
          <w:spacing w:val="-7"/>
          <w:w w:val="105"/>
        </w:rPr>
        <w:t> </w:t>
      </w:r>
      <w:r>
        <w:rPr>
          <w:w w:val="105"/>
        </w:rPr>
        <w:t>is</w:t>
      </w:r>
      <w:r>
        <w:rPr>
          <w:spacing w:val="-7"/>
          <w:w w:val="105"/>
        </w:rPr>
        <w:t> </w:t>
      </w:r>
      <w:r>
        <w:rPr>
          <w:w w:val="105"/>
        </w:rPr>
        <w:t>recognized</w:t>
      </w:r>
      <w:r>
        <w:rPr>
          <w:spacing w:val="-7"/>
          <w:w w:val="105"/>
        </w:rPr>
        <w:t> </w:t>
      </w:r>
      <w:r>
        <w:rPr>
          <w:w w:val="105"/>
        </w:rPr>
        <w:t>for</w:t>
      </w:r>
      <w:r>
        <w:rPr>
          <w:spacing w:val="-7"/>
          <w:w w:val="105"/>
        </w:rPr>
        <w:t> </w:t>
      </w:r>
      <w:r>
        <w:rPr>
          <w:w w:val="105"/>
        </w:rPr>
        <w:t>those</w:t>
      </w:r>
      <w:r>
        <w:rPr>
          <w:spacing w:val="-7"/>
          <w:w w:val="105"/>
        </w:rPr>
        <w:t> </w:t>
      </w:r>
      <w:r>
        <w:rPr>
          <w:w w:val="105"/>
        </w:rPr>
        <w:t>awards</w:t>
      </w:r>
      <w:r>
        <w:rPr>
          <w:spacing w:val="-7"/>
          <w:w w:val="105"/>
        </w:rPr>
        <w:t> </w:t>
      </w:r>
      <w:r>
        <w:rPr>
          <w:w w:val="105"/>
        </w:rPr>
        <w:t>earned over</w:t>
      </w:r>
      <w:r>
        <w:rPr>
          <w:spacing w:val="-2"/>
          <w:w w:val="105"/>
        </w:rPr>
        <w:t> </w:t>
      </w:r>
      <w:r>
        <w:rPr>
          <w:w w:val="105"/>
        </w:rPr>
        <w:t>the</w:t>
      </w:r>
      <w:r>
        <w:rPr>
          <w:spacing w:val="-2"/>
          <w:w w:val="105"/>
        </w:rPr>
        <w:t> </w:t>
      </w:r>
      <w:r>
        <w:rPr>
          <w:w w:val="105"/>
        </w:rPr>
        <w:t>vesting</w:t>
      </w:r>
      <w:r>
        <w:rPr>
          <w:spacing w:val="-2"/>
          <w:w w:val="105"/>
        </w:rPr>
        <w:t> </w:t>
      </w:r>
      <w:r>
        <w:rPr>
          <w:w w:val="105"/>
        </w:rPr>
        <w:t>period.</w:t>
      </w:r>
      <w:r>
        <w:rPr>
          <w:spacing w:val="-2"/>
          <w:w w:val="105"/>
        </w:rPr>
        <w:t> </w:t>
      </w:r>
      <w:r>
        <w:rPr>
          <w:w w:val="105"/>
        </w:rPr>
        <w:t>Corning</w:t>
      </w:r>
      <w:r>
        <w:rPr>
          <w:spacing w:val="-2"/>
          <w:w w:val="105"/>
        </w:rPr>
        <w:t> </w:t>
      </w:r>
      <w:r>
        <w:rPr>
          <w:w w:val="105"/>
        </w:rPr>
        <w:t>estimates</w:t>
      </w:r>
      <w:r>
        <w:rPr>
          <w:spacing w:val="-2"/>
          <w:w w:val="105"/>
        </w:rPr>
        <w:t> </w:t>
      </w:r>
      <w:r>
        <w:rPr>
          <w:w w:val="105"/>
        </w:rPr>
        <w:t>the</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share-based</w:t>
      </w:r>
      <w:r>
        <w:rPr>
          <w:spacing w:val="-2"/>
          <w:w w:val="105"/>
        </w:rPr>
        <w:t> </w:t>
      </w:r>
      <w:r>
        <w:rPr>
          <w:w w:val="105"/>
        </w:rPr>
        <w:t>awards</w:t>
      </w:r>
      <w:r>
        <w:rPr>
          <w:spacing w:val="-2"/>
          <w:w w:val="105"/>
        </w:rPr>
        <w:t> </w:t>
      </w:r>
      <w:r>
        <w:rPr>
          <w:w w:val="105"/>
        </w:rPr>
        <w:t>using</w:t>
      </w:r>
      <w:r>
        <w:rPr>
          <w:spacing w:val="-2"/>
          <w:w w:val="105"/>
        </w:rPr>
        <w:t> </w:t>
      </w:r>
      <w:r>
        <w:rPr>
          <w:w w:val="105"/>
        </w:rPr>
        <w:t>a multiple-point</w:t>
      </w:r>
      <w:r>
        <w:rPr>
          <w:spacing w:val="-2"/>
          <w:w w:val="105"/>
        </w:rPr>
        <w:t> </w:t>
      </w:r>
      <w:r>
        <w:rPr>
          <w:w w:val="105"/>
        </w:rPr>
        <w:t>Black-Scholes</w:t>
      </w:r>
      <w:r>
        <w:rPr>
          <w:spacing w:val="-2"/>
          <w:w w:val="105"/>
        </w:rPr>
        <w:t> </w:t>
      </w:r>
      <w:r>
        <w:rPr>
          <w:w w:val="105"/>
        </w:rPr>
        <w:t>option</w:t>
      </w:r>
      <w:r>
        <w:rPr>
          <w:spacing w:val="-2"/>
          <w:w w:val="105"/>
        </w:rPr>
        <w:t> </w:t>
      </w:r>
      <w:r>
        <w:rPr>
          <w:w w:val="105"/>
        </w:rPr>
        <w:t>valuation</w:t>
      </w:r>
      <w:r>
        <w:rPr>
          <w:spacing w:val="-2"/>
          <w:w w:val="105"/>
        </w:rPr>
        <w:t> </w:t>
      </w:r>
      <w:r>
        <w:rPr>
          <w:w w:val="105"/>
        </w:rPr>
        <w:t>model,</w:t>
      </w:r>
      <w:r>
        <w:rPr>
          <w:spacing w:val="-2"/>
          <w:w w:val="105"/>
        </w:rPr>
        <w:t> </w:t>
      </w:r>
      <w:r>
        <w:rPr>
          <w:w w:val="105"/>
        </w:rPr>
        <w:t>which</w:t>
      </w:r>
      <w:r>
        <w:rPr>
          <w:spacing w:val="-2"/>
          <w:w w:val="105"/>
        </w:rPr>
        <w:t> </w:t>
      </w:r>
      <w:r>
        <w:rPr>
          <w:w w:val="105"/>
        </w:rPr>
        <w:t>incorporates assumptions including expected volatility, dividend yield, risk-free rate, expected term and departure rates.</w:t>
      </w:r>
    </w:p>
    <w:p>
      <w:pPr>
        <w:pStyle w:val="BodyText"/>
        <w:spacing w:before="19"/>
      </w:pPr>
    </w:p>
    <w:p>
      <w:pPr>
        <w:pStyle w:val="Heading3"/>
      </w:pPr>
      <w:r>
        <w:rPr>
          <w:w w:val="105"/>
        </w:rPr>
        <w:t>Cash</w:t>
      </w:r>
      <w:r>
        <w:rPr>
          <w:spacing w:val="-10"/>
          <w:w w:val="105"/>
        </w:rPr>
        <w:t> </w:t>
      </w:r>
      <w:r>
        <w:rPr>
          <w:w w:val="105"/>
        </w:rPr>
        <w:t>and</w:t>
      </w:r>
      <w:r>
        <w:rPr>
          <w:spacing w:val="-9"/>
          <w:w w:val="105"/>
        </w:rPr>
        <w:t> </w:t>
      </w:r>
      <w:r>
        <w:rPr>
          <w:w w:val="105"/>
        </w:rPr>
        <w:t>Cash</w:t>
      </w:r>
      <w:r>
        <w:rPr>
          <w:spacing w:val="-9"/>
          <w:w w:val="105"/>
        </w:rPr>
        <w:t> </w:t>
      </w:r>
      <w:r>
        <w:rPr>
          <w:spacing w:val="-2"/>
          <w:w w:val="105"/>
        </w:rPr>
        <w:t>Equivalents</w:t>
      </w:r>
    </w:p>
    <w:p>
      <w:pPr>
        <w:pStyle w:val="BodyText"/>
        <w:spacing w:before="40"/>
        <w:rPr>
          <w:b/>
          <w:i/>
        </w:rPr>
      </w:pPr>
    </w:p>
    <w:p>
      <w:pPr>
        <w:pStyle w:val="BodyText"/>
        <w:spacing w:line="266" w:lineRule="auto"/>
        <w:ind w:left="156" w:right="328"/>
      </w:pPr>
      <w:r>
        <w:rPr>
          <w:w w:val="105"/>
        </w:rPr>
        <w:t>Cash</w:t>
      </w:r>
      <w:r>
        <w:rPr>
          <w:spacing w:val="-9"/>
          <w:w w:val="105"/>
        </w:rPr>
        <w:t> </w:t>
      </w:r>
      <w:r>
        <w:rPr>
          <w:w w:val="105"/>
        </w:rPr>
        <w:t>equivalents</w:t>
      </w:r>
      <w:r>
        <w:rPr>
          <w:spacing w:val="-9"/>
          <w:w w:val="105"/>
        </w:rPr>
        <w:t> </w:t>
      </w:r>
      <w:r>
        <w:rPr>
          <w:w w:val="105"/>
        </w:rPr>
        <w:t>consist</w:t>
      </w:r>
      <w:r>
        <w:rPr>
          <w:spacing w:val="-9"/>
          <w:w w:val="105"/>
        </w:rPr>
        <w:t> </w:t>
      </w:r>
      <w:r>
        <w:rPr>
          <w:w w:val="105"/>
        </w:rPr>
        <w:t>of</w:t>
      </w:r>
      <w:r>
        <w:rPr>
          <w:spacing w:val="-9"/>
          <w:w w:val="105"/>
        </w:rPr>
        <w:t> </w:t>
      </w:r>
      <w:r>
        <w:rPr>
          <w:w w:val="105"/>
        </w:rPr>
        <w:t>highly</w:t>
      </w:r>
      <w:r>
        <w:rPr>
          <w:spacing w:val="-7"/>
          <w:w w:val="105"/>
        </w:rPr>
        <w:t> </w:t>
      </w:r>
      <w:r>
        <w:rPr>
          <w:w w:val="105"/>
        </w:rPr>
        <w:t>liquid</w:t>
      </w:r>
      <w:r>
        <w:rPr>
          <w:spacing w:val="-9"/>
          <w:w w:val="105"/>
        </w:rPr>
        <w:t> </w:t>
      </w:r>
      <w:r>
        <w:rPr>
          <w:w w:val="105"/>
        </w:rPr>
        <w:t>investments</w:t>
      </w:r>
      <w:r>
        <w:rPr>
          <w:spacing w:val="-9"/>
          <w:w w:val="105"/>
        </w:rPr>
        <w:t> </w:t>
      </w:r>
      <w:r>
        <w:rPr>
          <w:w w:val="105"/>
        </w:rPr>
        <w:t>that</w:t>
      </w:r>
      <w:r>
        <w:rPr>
          <w:spacing w:val="-9"/>
          <w:w w:val="105"/>
        </w:rPr>
        <w:t> </w:t>
      </w:r>
      <w:r>
        <w:rPr>
          <w:w w:val="105"/>
        </w:rPr>
        <w:t>are</w:t>
      </w:r>
      <w:r>
        <w:rPr>
          <w:spacing w:val="-9"/>
          <w:w w:val="105"/>
        </w:rPr>
        <w:t> </w:t>
      </w:r>
      <w:r>
        <w:rPr>
          <w:w w:val="105"/>
        </w:rPr>
        <w:t>readily</w:t>
      </w:r>
      <w:r>
        <w:rPr>
          <w:spacing w:val="-9"/>
          <w:w w:val="105"/>
        </w:rPr>
        <w:t> </w:t>
      </w:r>
      <w:r>
        <w:rPr>
          <w:w w:val="105"/>
        </w:rPr>
        <w:t>convertible</w:t>
      </w:r>
      <w:r>
        <w:rPr>
          <w:spacing w:val="-9"/>
          <w:w w:val="105"/>
        </w:rPr>
        <w:t> </w:t>
      </w:r>
      <w:r>
        <w:rPr>
          <w:w w:val="105"/>
        </w:rPr>
        <w:t>into</w:t>
      </w:r>
      <w:r>
        <w:rPr>
          <w:spacing w:val="-9"/>
          <w:w w:val="105"/>
        </w:rPr>
        <w:t> </w:t>
      </w:r>
      <w:r>
        <w:rPr>
          <w:w w:val="105"/>
        </w:rPr>
        <w:t>cash.</w:t>
      </w:r>
      <w:r>
        <w:rPr>
          <w:spacing w:val="-9"/>
          <w:w w:val="105"/>
        </w:rPr>
        <w:t> </w:t>
      </w:r>
      <w:r>
        <w:rPr>
          <w:w w:val="105"/>
        </w:rPr>
        <w:t>Securities</w:t>
      </w:r>
      <w:r>
        <w:rPr>
          <w:spacing w:val="-9"/>
          <w:w w:val="105"/>
        </w:rPr>
        <w:t> </w:t>
      </w:r>
      <w:r>
        <w:rPr>
          <w:w w:val="105"/>
        </w:rPr>
        <w:t>with</w:t>
      </w:r>
      <w:r>
        <w:rPr>
          <w:spacing w:val="-9"/>
          <w:w w:val="105"/>
        </w:rPr>
        <w:t> </w:t>
      </w:r>
      <w:r>
        <w:rPr>
          <w:w w:val="105"/>
        </w:rPr>
        <w:t>contractual</w:t>
      </w:r>
      <w:r>
        <w:rPr>
          <w:spacing w:val="-9"/>
          <w:w w:val="105"/>
        </w:rPr>
        <w:t> </w:t>
      </w:r>
      <w:r>
        <w:rPr>
          <w:w w:val="105"/>
        </w:rPr>
        <w:t>maturities</w:t>
      </w:r>
      <w:r>
        <w:rPr>
          <w:spacing w:val="-9"/>
          <w:w w:val="105"/>
        </w:rPr>
        <w:t> </w:t>
      </w:r>
      <w:r>
        <w:rPr>
          <w:w w:val="105"/>
        </w:rPr>
        <w:t>of</w:t>
      </w:r>
      <w:r>
        <w:rPr>
          <w:spacing w:val="-9"/>
          <w:w w:val="105"/>
        </w:rPr>
        <w:t> </w:t>
      </w:r>
      <w:r>
        <w:rPr>
          <w:w w:val="105"/>
        </w:rPr>
        <w:t>three</w:t>
      </w:r>
      <w:r>
        <w:rPr>
          <w:spacing w:val="-9"/>
          <w:w w:val="105"/>
        </w:rPr>
        <w:t> </w:t>
      </w:r>
      <w:r>
        <w:rPr>
          <w:w w:val="105"/>
        </w:rPr>
        <w:t>months</w:t>
      </w:r>
      <w:r>
        <w:rPr>
          <w:spacing w:val="-9"/>
          <w:w w:val="105"/>
        </w:rPr>
        <w:t> </w:t>
      </w:r>
      <w:r>
        <w:rPr>
          <w:w w:val="105"/>
        </w:rPr>
        <w:t>or</w:t>
      </w:r>
      <w:r>
        <w:rPr>
          <w:spacing w:val="-9"/>
          <w:w w:val="105"/>
        </w:rPr>
        <w:t> </w:t>
      </w:r>
      <w:r>
        <w:rPr>
          <w:w w:val="105"/>
        </w:rPr>
        <w:t>less,</w:t>
      </w:r>
      <w:r>
        <w:rPr>
          <w:spacing w:val="-9"/>
          <w:w w:val="105"/>
        </w:rPr>
        <w:t> </w:t>
      </w:r>
      <w:r>
        <w:rPr>
          <w:w w:val="105"/>
        </w:rPr>
        <w:t>when</w:t>
      </w:r>
      <w:r>
        <w:rPr>
          <w:spacing w:val="-9"/>
          <w:w w:val="105"/>
        </w:rPr>
        <w:t> </w:t>
      </w:r>
      <w:r>
        <w:rPr>
          <w:w w:val="105"/>
        </w:rPr>
        <w:t>purchased, are</w:t>
      </w:r>
      <w:r>
        <w:rPr>
          <w:spacing w:val="-1"/>
          <w:w w:val="105"/>
        </w:rPr>
        <w:t> </w:t>
      </w:r>
      <w:r>
        <w:rPr>
          <w:w w:val="105"/>
        </w:rPr>
        <w:t>considered</w:t>
      </w:r>
      <w:r>
        <w:rPr>
          <w:spacing w:val="-1"/>
          <w:w w:val="105"/>
        </w:rPr>
        <w:t> </w:t>
      </w:r>
      <w:r>
        <w:rPr>
          <w:w w:val="105"/>
        </w:rPr>
        <w:t>cash</w:t>
      </w:r>
      <w:r>
        <w:rPr>
          <w:spacing w:val="-1"/>
          <w:w w:val="105"/>
        </w:rPr>
        <w:t> </w:t>
      </w:r>
      <w:r>
        <w:rPr>
          <w:w w:val="105"/>
        </w:rPr>
        <w:t>equivalents.</w:t>
      </w:r>
      <w:r>
        <w:rPr>
          <w:spacing w:val="-1"/>
          <w:w w:val="105"/>
        </w:rPr>
        <w:t> </w:t>
      </w:r>
      <w:r>
        <w:rPr>
          <w:w w:val="105"/>
        </w:rPr>
        <w:t>The</w:t>
      </w:r>
      <w:r>
        <w:rPr>
          <w:spacing w:val="-1"/>
          <w:w w:val="105"/>
        </w:rPr>
        <w:t> </w:t>
      </w:r>
      <w:r>
        <w:rPr>
          <w:w w:val="105"/>
        </w:rPr>
        <w:t>carrying</w:t>
      </w:r>
      <w:r>
        <w:rPr>
          <w:spacing w:val="-1"/>
          <w:w w:val="105"/>
        </w:rPr>
        <w:t> </w:t>
      </w:r>
      <w:r>
        <w:rPr>
          <w:w w:val="105"/>
        </w:rPr>
        <w:t>amount</w:t>
      </w:r>
      <w:r>
        <w:rPr>
          <w:spacing w:val="-1"/>
          <w:w w:val="105"/>
        </w:rPr>
        <w:t> </w:t>
      </w:r>
      <w:r>
        <w:rPr>
          <w:w w:val="105"/>
        </w:rPr>
        <w:t>of</w:t>
      </w:r>
      <w:r>
        <w:rPr>
          <w:spacing w:val="-1"/>
          <w:w w:val="105"/>
        </w:rPr>
        <w:t> </w:t>
      </w:r>
      <w:r>
        <w:rPr>
          <w:w w:val="105"/>
        </w:rPr>
        <w:t>these</w:t>
      </w:r>
      <w:r>
        <w:rPr>
          <w:spacing w:val="-1"/>
          <w:w w:val="105"/>
        </w:rPr>
        <w:t> </w:t>
      </w:r>
      <w:r>
        <w:rPr>
          <w:w w:val="105"/>
        </w:rPr>
        <w:t>securities</w:t>
      </w:r>
      <w:r>
        <w:rPr>
          <w:spacing w:val="-1"/>
          <w:w w:val="105"/>
        </w:rPr>
        <w:t> </w:t>
      </w:r>
      <w:r>
        <w:rPr>
          <w:w w:val="105"/>
        </w:rPr>
        <w:t>approximates</w:t>
      </w:r>
      <w:r>
        <w:rPr>
          <w:spacing w:val="-1"/>
          <w:w w:val="105"/>
        </w:rPr>
        <w:t> </w:t>
      </w:r>
      <w:r>
        <w:rPr>
          <w:w w:val="105"/>
        </w:rPr>
        <w:t>fair</w:t>
      </w:r>
      <w:r>
        <w:rPr>
          <w:spacing w:val="-1"/>
          <w:w w:val="105"/>
        </w:rPr>
        <w:t> </w:t>
      </w:r>
      <w:r>
        <w:rPr>
          <w:w w:val="105"/>
        </w:rPr>
        <w:t>value</w:t>
      </w:r>
      <w:r>
        <w:rPr>
          <w:spacing w:val="-1"/>
          <w:w w:val="105"/>
        </w:rPr>
        <w:t> </w:t>
      </w:r>
      <w:r>
        <w:rPr>
          <w:w w:val="105"/>
        </w:rPr>
        <w:t>because</w:t>
      </w:r>
      <w:r>
        <w:rPr>
          <w:spacing w:val="-3"/>
          <w:w w:val="105"/>
        </w:rPr>
        <w:t> </w:t>
      </w:r>
      <w:r>
        <w:rPr>
          <w:w w:val="105"/>
        </w:rPr>
        <w:t>of</w:t>
      </w:r>
      <w:r>
        <w:rPr>
          <w:spacing w:val="-1"/>
          <w:w w:val="105"/>
        </w:rPr>
        <w:t> </w:t>
      </w:r>
      <w:r>
        <w:rPr>
          <w:w w:val="105"/>
        </w:rPr>
        <w:t>the</w:t>
      </w:r>
      <w:r>
        <w:rPr>
          <w:spacing w:val="-1"/>
          <w:w w:val="105"/>
        </w:rPr>
        <w:t> </w:t>
      </w:r>
      <w:r>
        <w:rPr>
          <w:w w:val="105"/>
        </w:rPr>
        <w:t>short-term</w:t>
      </w:r>
      <w:r>
        <w:rPr>
          <w:spacing w:val="-1"/>
          <w:w w:val="105"/>
        </w:rPr>
        <w:t> </w:t>
      </w:r>
      <w:r>
        <w:rPr>
          <w:w w:val="105"/>
        </w:rPr>
        <w:t>maturity</w:t>
      </w:r>
      <w:r>
        <w:rPr>
          <w:spacing w:val="-1"/>
          <w:w w:val="105"/>
        </w:rPr>
        <w:t> </w:t>
      </w:r>
      <w:r>
        <w:rPr>
          <w:w w:val="105"/>
        </w:rPr>
        <w:t>of</w:t>
      </w:r>
      <w:r>
        <w:rPr>
          <w:spacing w:val="-1"/>
          <w:w w:val="105"/>
        </w:rPr>
        <w:t> </w:t>
      </w:r>
      <w:r>
        <w:rPr>
          <w:w w:val="105"/>
        </w:rPr>
        <w:t>these</w:t>
      </w:r>
      <w:r>
        <w:rPr>
          <w:spacing w:val="-1"/>
          <w:w w:val="105"/>
        </w:rPr>
        <w:t> </w:t>
      </w:r>
      <w:r>
        <w:rPr>
          <w:w w:val="105"/>
        </w:rPr>
        <w:t>instruments.</w:t>
      </w:r>
    </w:p>
    <w:p>
      <w:pPr>
        <w:pStyle w:val="BodyText"/>
        <w:spacing w:before="9"/>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1"/>
        <w:gridCol w:w="331"/>
        <w:gridCol w:w="745"/>
        <w:gridCol w:w="469"/>
        <w:gridCol w:w="1839"/>
        <w:gridCol w:w="387"/>
        <w:gridCol w:w="746"/>
        <w:gridCol w:w="529"/>
      </w:tblGrid>
      <w:tr>
        <w:trPr>
          <w:trHeight w:val="310" w:hRule="atLeast"/>
        </w:trPr>
        <w:tc>
          <w:tcPr>
            <w:tcW w:w="6471" w:type="dxa"/>
            <w:tcBorders>
              <w:bottom w:val="single" w:sz="12" w:space="0" w:color="000000"/>
            </w:tcBorders>
          </w:tcPr>
          <w:p>
            <w:pPr>
              <w:pStyle w:val="TableParagraph"/>
              <w:spacing w:line="182" w:lineRule="exact"/>
              <w:rPr>
                <w:sz w:val="16"/>
              </w:rPr>
            </w:pPr>
            <w:r>
              <w:rPr>
                <w:w w:val="105"/>
                <w:sz w:val="16"/>
              </w:rPr>
              <w:t>Supplemental</w:t>
            </w:r>
            <w:r>
              <w:rPr>
                <w:spacing w:val="-10"/>
                <w:w w:val="105"/>
                <w:sz w:val="16"/>
              </w:rPr>
              <w:t> </w:t>
            </w:r>
            <w:r>
              <w:rPr>
                <w:w w:val="105"/>
                <w:sz w:val="16"/>
              </w:rPr>
              <w:t>disclosure</w:t>
            </w:r>
            <w:r>
              <w:rPr>
                <w:spacing w:val="-9"/>
                <w:w w:val="105"/>
                <w:sz w:val="16"/>
              </w:rPr>
              <w:t> </w:t>
            </w:r>
            <w:r>
              <w:rPr>
                <w:w w:val="105"/>
                <w:sz w:val="16"/>
              </w:rPr>
              <w:t>of</w:t>
            </w:r>
            <w:r>
              <w:rPr>
                <w:spacing w:val="-8"/>
                <w:w w:val="105"/>
                <w:sz w:val="16"/>
              </w:rPr>
              <w:t> </w:t>
            </w:r>
            <w:r>
              <w:rPr>
                <w:w w:val="105"/>
                <w:sz w:val="16"/>
              </w:rPr>
              <w:t>cash</w:t>
            </w:r>
            <w:r>
              <w:rPr>
                <w:spacing w:val="-10"/>
                <w:w w:val="105"/>
                <w:sz w:val="16"/>
              </w:rPr>
              <w:t> </w:t>
            </w:r>
            <w:r>
              <w:rPr>
                <w:w w:val="105"/>
                <w:sz w:val="16"/>
              </w:rPr>
              <w:t>flow</w:t>
            </w:r>
            <w:r>
              <w:rPr>
                <w:spacing w:val="-9"/>
                <w:w w:val="105"/>
                <w:sz w:val="16"/>
              </w:rPr>
              <w:t> </w:t>
            </w:r>
            <w:r>
              <w:rPr>
                <w:w w:val="105"/>
                <w:sz w:val="16"/>
              </w:rPr>
              <w:t>information</w:t>
            </w:r>
            <w:r>
              <w:rPr>
                <w:spacing w:val="-10"/>
                <w:w w:val="105"/>
                <w:sz w:val="16"/>
              </w:rPr>
              <w:t> </w:t>
            </w:r>
            <w:r>
              <w:rPr>
                <w:w w:val="105"/>
                <w:sz w:val="16"/>
              </w:rPr>
              <w:t>is</w:t>
            </w:r>
            <w:r>
              <w:rPr>
                <w:spacing w:val="-9"/>
                <w:w w:val="105"/>
                <w:sz w:val="16"/>
              </w:rPr>
              <w:t> </w:t>
            </w:r>
            <w:r>
              <w:rPr>
                <w:w w:val="105"/>
                <w:sz w:val="16"/>
              </w:rPr>
              <w:t>as</w:t>
            </w:r>
            <w:r>
              <w:rPr>
                <w:spacing w:val="-9"/>
                <w:w w:val="105"/>
                <w:sz w:val="16"/>
              </w:rPr>
              <w:t> </w:t>
            </w:r>
            <w:r>
              <w:rPr>
                <w:w w:val="105"/>
                <w:sz w:val="16"/>
              </w:rPr>
              <w:t>follows</w:t>
            </w:r>
            <w:r>
              <w:rPr>
                <w:spacing w:val="-10"/>
                <w:w w:val="105"/>
                <w:sz w:val="16"/>
              </w:rPr>
              <w:t> </w:t>
            </w:r>
            <w:r>
              <w:rPr>
                <w:w w:val="105"/>
                <w:sz w:val="16"/>
              </w:rPr>
              <w:t>(in</w:t>
            </w:r>
            <w:r>
              <w:rPr>
                <w:spacing w:val="-9"/>
                <w:w w:val="105"/>
                <w:sz w:val="16"/>
              </w:rPr>
              <w:t> </w:t>
            </w:r>
            <w:r>
              <w:rPr>
                <w:spacing w:val="-2"/>
                <w:w w:val="105"/>
                <w:sz w:val="16"/>
              </w:rPr>
              <w:t>millions):</w:t>
            </w:r>
          </w:p>
        </w:tc>
        <w:tc>
          <w:tcPr>
            <w:tcW w:w="5046" w:type="dxa"/>
            <w:gridSpan w:val="7"/>
            <w:tcBorders>
              <w:bottom w:val="single" w:sz="12" w:space="0" w:color="000000"/>
            </w:tcBorders>
          </w:tcPr>
          <w:p>
            <w:pPr>
              <w:pStyle w:val="TableParagraph"/>
              <w:rPr>
                <w:sz w:val="16"/>
              </w:rPr>
            </w:pPr>
          </w:p>
        </w:tc>
      </w:tr>
      <w:tr>
        <w:trPr>
          <w:trHeight w:val="200" w:hRule="atLeast"/>
        </w:trPr>
        <w:tc>
          <w:tcPr>
            <w:tcW w:w="6471" w:type="dxa"/>
            <w:tcBorders>
              <w:top w:val="single" w:sz="12" w:space="0" w:color="000000"/>
            </w:tcBorders>
          </w:tcPr>
          <w:p>
            <w:pPr>
              <w:pStyle w:val="TableParagraph"/>
              <w:rPr>
                <w:sz w:val="12"/>
              </w:rPr>
            </w:pPr>
          </w:p>
        </w:tc>
        <w:tc>
          <w:tcPr>
            <w:tcW w:w="331" w:type="dxa"/>
            <w:tcBorders>
              <w:top w:val="single" w:sz="12" w:space="0" w:color="000000"/>
              <w:bottom w:val="single" w:sz="6" w:space="0" w:color="000000"/>
            </w:tcBorders>
          </w:tcPr>
          <w:p>
            <w:pPr>
              <w:pStyle w:val="TableParagraph"/>
              <w:rPr>
                <w:sz w:val="12"/>
              </w:rPr>
            </w:pPr>
          </w:p>
        </w:tc>
        <w:tc>
          <w:tcPr>
            <w:tcW w:w="745" w:type="dxa"/>
            <w:tcBorders>
              <w:top w:val="single" w:sz="12" w:space="0" w:color="000000"/>
              <w:bottom w:val="single" w:sz="6" w:space="0" w:color="000000"/>
            </w:tcBorders>
          </w:tcPr>
          <w:p>
            <w:pPr>
              <w:pStyle w:val="TableParagraph"/>
              <w:rPr>
                <w:sz w:val="12"/>
              </w:rPr>
            </w:pPr>
          </w:p>
        </w:tc>
        <w:tc>
          <w:tcPr>
            <w:tcW w:w="469" w:type="dxa"/>
            <w:tcBorders>
              <w:top w:val="single" w:sz="12" w:space="0" w:color="000000"/>
              <w:bottom w:val="single" w:sz="6" w:space="0" w:color="000000"/>
            </w:tcBorders>
          </w:tcPr>
          <w:p>
            <w:pPr>
              <w:pStyle w:val="TableParagraph"/>
              <w:rPr>
                <w:sz w:val="12"/>
              </w:rPr>
            </w:pPr>
          </w:p>
        </w:tc>
        <w:tc>
          <w:tcPr>
            <w:tcW w:w="1839" w:type="dxa"/>
            <w:tcBorders>
              <w:top w:val="single" w:sz="12" w:space="0" w:color="000000"/>
              <w:bottom w:val="single" w:sz="6" w:space="0" w:color="000000"/>
            </w:tcBorders>
          </w:tcPr>
          <w:p>
            <w:pPr>
              <w:pStyle w:val="TableParagraph"/>
              <w:spacing w:line="179" w:lineRule="exact" w:before="1"/>
              <w:jc w:val="center"/>
              <w:rPr>
                <w:sz w:val="16"/>
              </w:rPr>
            </w:pPr>
            <w:r>
              <w:rPr>
                <w:w w:val="105"/>
                <w:sz w:val="16"/>
              </w:rPr>
              <w:t>Year</w:t>
            </w:r>
            <w:r>
              <w:rPr>
                <w:spacing w:val="-12"/>
                <w:w w:val="105"/>
                <w:sz w:val="16"/>
              </w:rPr>
              <w:t> </w:t>
            </w:r>
            <w:r>
              <w:rPr>
                <w:w w:val="105"/>
                <w:sz w:val="16"/>
              </w:rPr>
              <w:t>ended</w:t>
            </w:r>
            <w:r>
              <w:rPr>
                <w:spacing w:val="-10"/>
                <w:w w:val="105"/>
                <w:sz w:val="16"/>
              </w:rPr>
              <w:t> </w:t>
            </w:r>
            <w:r>
              <w:rPr>
                <w:w w:val="105"/>
                <w:sz w:val="16"/>
              </w:rPr>
              <w:t>December</w:t>
            </w:r>
            <w:r>
              <w:rPr>
                <w:spacing w:val="-10"/>
                <w:w w:val="105"/>
                <w:sz w:val="16"/>
              </w:rPr>
              <w:t> </w:t>
            </w:r>
            <w:r>
              <w:rPr>
                <w:spacing w:val="-5"/>
                <w:w w:val="105"/>
                <w:sz w:val="16"/>
              </w:rPr>
              <w:t>31,</w:t>
            </w:r>
          </w:p>
        </w:tc>
        <w:tc>
          <w:tcPr>
            <w:tcW w:w="387" w:type="dxa"/>
            <w:tcBorders>
              <w:top w:val="single" w:sz="12" w:space="0" w:color="000000"/>
              <w:bottom w:val="single" w:sz="6" w:space="0" w:color="000000"/>
            </w:tcBorders>
          </w:tcPr>
          <w:p>
            <w:pPr>
              <w:pStyle w:val="TableParagraph"/>
              <w:rPr>
                <w:sz w:val="12"/>
              </w:rPr>
            </w:pPr>
          </w:p>
        </w:tc>
        <w:tc>
          <w:tcPr>
            <w:tcW w:w="746" w:type="dxa"/>
            <w:tcBorders>
              <w:top w:val="single" w:sz="12" w:space="0" w:color="000000"/>
              <w:bottom w:val="single" w:sz="6" w:space="0" w:color="000000"/>
            </w:tcBorders>
          </w:tcPr>
          <w:p>
            <w:pPr>
              <w:pStyle w:val="TableParagraph"/>
              <w:rPr>
                <w:sz w:val="12"/>
              </w:rPr>
            </w:pPr>
          </w:p>
        </w:tc>
        <w:tc>
          <w:tcPr>
            <w:tcW w:w="529" w:type="dxa"/>
            <w:tcBorders>
              <w:top w:val="single" w:sz="12" w:space="0" w:color="000000"/>
              <w:bottom w:val="single" w:sz="6" w:space="0" w:color="000000"/>
            </w:tcBorders>
          </w:tcPr>
          <w:p>
            <w:pPr>
              <w:pStyle w:val="TableParagraph"/>
              <w:rPr>
                <w:sz w:val="12"/>
              </w:rPr>
            </w:pPr>
          </w:p>
        </w:tc>
      </w:tr>
      <w:tr>
        <w:trPr>
          <w:trHeight w:val="201" w:hRule="atLeast"/>
        </w:trPr>
        <w:tc>
          <w:tcPr>
            <w:tcW w:w="6471" w:type="dxa"/>
            <w:tcBorders>
              <w:bottom w:val="single" w:sz="6" w:space="0" w:color="000000"/>
            </w:tcBorders>
          </w:tcPr>
          <w:p>
            <w:pPr>
              <w:pStyle w:val="TableParagraph"/>
              <w:rPr>
                <w:sz w:val="14"/>
              </w:rPr>
            </w:pPr>
          </w:p>
        </w:tc>
        <w:tc>
          <w:tcPr>
            <w:tcW w:w="331" w:type="dxa"/>
            <w:tcBorders>
              <w:top w:val="single" w:sz="6" w:space="0" w:color="000000"/>
              <w:bottom w:val="single" w:sz="6" w:space="0" w:color="000000"/>
            </w:tcBorders>
          </w:tcPr>
          <w:p>
            <w:pPr>
              <w:pStyle w:val="TableParagraph"/>
              <w:rPr>
                <w:sz w:val="14"/>
              </w:rPr>
            </w:pPr>
          </w:p>
        </w:tc>
        <w:tc>
          <w:tcPr>
            <w:tcW w:w="745" w:type="dxa"/>
            <w:tcBorders>
              <w:top w:val="single" w:sz="6" w:space="0" w:color="000000"/>
              <w:bottom w:val="single" w:sz="6" w:space="0" w:color="000000"/>
            </w:tcBorders>
          </w:tcPr>
          <w:p>
            <w:pPr>
              <w:pStyle w:val="TableParagraph"/>
              <w:spacing w:line="179" w:lineRule="exact" w:before="2"/>
              <w:ind w:left="248"/>
              <w:rPr>
                <w:b/>
                <w:sz w:val="16"/>
              </w:rPr>
            </w:pPr>
            <w:r>
              <w:rPr>
                <w:b/>
                <w:spacing w:val="-4"/>
                <w:w w:val="105"/>
                <w:sz w:val="16"/>
              </w:rPr>
              <w:t>2021</w:t>
            </w:r>
          </w:p>
        </w:tc>
        <w:tc>
          <w:tcPr>
            <w:tcW w:w="469" w:type="dxa"/>
            <w:tcBorders>
              <w:top w:val="single" w:sz="6" w:space="0" w:color="000000"/>
              <w:bottom w:val="single" w:sz="6" w:space="0" w:color="000000"/>
            </w:tcBorders>
          </w:tcPr>
          <w:p>
            <w:pPr>
              <w:pStyle w:val="TableParagraph"/>
              <w:rPr>
                <w:sz w:val="14"/>
              </w:rPr>
            </w:pPr>
          </w:p>
        </w:tc>
        <w:tc>
          <w:tcPr>
            <w:tcW w:w="1839" w:type="dxa"/>
            <w:tcBorders>
              <w:top w:val="single" w:sz="6" w:space="0" w:color="000000"/>
              <w:bottom w:val="single" w:sz="6" w:space="0" w:color="000000"/>
            </w:tcBorders>
          </w:tcPr>
          <w:p>
            <w:pPr>
              <w:pStyle w:val="TableParagraph"/>
              <w:spacing w:line="179" w:lineRule="exact" w:before="2"/>
              <w:jc w:val="center"/>
              <w:rPr>
                <w:sz w:val="16"/>
              </w:rPr>
            </w:pPr>
            <w:r>
              <w:rPr>
                <w:spacing w:val="-4"/>
                <w:w w:val="105"/>
                <w:sz w:val="16"/>
              </w:rPr>
              <w:t>2020</w:t>
            </w:r>
          </w:p>
        </w:tc>
        <w:tc>
          <w:tcPr>
            <w:tcW w:w="387" w:type="dxa"/>
            <w:tcBorders>
              <w:top w:val="single" w:sz="6" w:space="0" w:color="000000"/>
              <w:bottom w:val="single" w:sz="6" w:space="0" w:color="000000"/>
            </w:tcBorders>
          </w:tcPr>
          <w:p>
            <w:pPr>
              <w:pStyle w:val="TableParagraph"/>
              <w:rPr>
                <w:sz w:val="14"/>
              </w:rPr>
            </w:pPr>
          </w:p>
        </w:tc>
        <w:tc>
          <w:tcPr>
            <w:tcW w:w="746" w:type="dxa"/>
            <w:tcBorders>
              <w:top w:val="single" w:sz="6" w:space="0" w:color="000000"/>
              <w:bottom w:val="single" w:sz="6" w:space="0" w:color="000000"/>
            </w:tcBorders>
          </w:tcPr>
          <w:p>
            <w:pPr>
              <w:pStyle w:val="TableParagraph"/>
              <w:spacing w:line="179" w:lineRule="exact" w:before="2"/>
              <w:ind w:left="248"/>
              <w:rPr>
                <w:sz w:val="16"/>
              </w:rPr>
            </w:pPr>
            <w:r>
              <w:rPr>
                <w:spacing w:val="-4"/>
                <w:w w:val="105"/>
                <w:sz w:val="16"/>
              </w:rPr>
              <w:t>2019</w:t>
            </w:r>
          </w:p>
        </w:tc>
        <w:tc>
          <w:tcPr>
            <w:tcW w:w="529" w:type="dxa"/>
            <w:tcBorders>
              <w:top w:val="single" w:sz="6" w:space="0" w:color="000000"/>
              <w:bottom w:val="single" w:sz="6" w:space="0" w:color="000000"/>
            </w:tcBorders>
          </w:tcPr>
          <w:p>
            <w:pPr>
              <w:pStyle w:val="TableParagraph"/>
              <w:rPr>
                <w:sz w:val="14"/>
              </w:rPr>
            </w:pPr>
          </w:p>
        </w:tc>
      </w:tr>
      <w:tr>
        <w:trPr>
          <w:trHeight w:val="202" w:hRule="atLeast"/>
        </w:trPr>
        <w:tc>
          <w:tcPr>
            <w:tcW w:w="6471" w:type="dxa"/>
            <w:tcBorders>
              <w:top w:val="single" w:sz="6" w:space="0" w:color="000000"/>
            </w:tcBorders>
            <w:shd w:val="clear" w:color="auto" w:fill="CCEDFF"/>
          </w:tcPr>
          <w:p>
            <w:pPr>
              <w:pStyle w:val="TableParagraph"/>
              <w:spacing w:line="180" w:lineRule="exact" w:before="2"/>
              <w:rPr>
                <w:sz w:val="16"/>
              </w:rPr>
            </w:pPr>
            <w:r>
              <w:rPr>
                <w:sz w:val="16"/>
              </w:rPr>
              <w:t>Non-cash</w:t>
            </w:r>
            <w:r>
              <w:rPr>
                <w:spacing w:val="19"/>
                <w:sz w:val="16"/>
              </w:rPr>
              <w:t> </w:t>
            </w:r>
            <w:r>
              <w:rPr>
                <w:spacing w:val="-2"/>
                <w:sz w:val="16"/>
              </w:rPr>
              <w:t>transactions:</w:t>
            </w:r>
          </w:p>
        </w:tc>
        <w:tc>
          <w:tcPr>
            <w:tcW w:w="331" w:type="dxa"/>
            <w:tcBorders>
              <w:top w:val="single" w:sz="6" w:space="0" w:color="000000"/>
            </w:tcBorders>
            <w:shd w:val="clear" w:color="auto" w:fill="CCEDFF"/>
          </w:tcPr>
          <w:p>
            <w:pPr>
              <w:pStyle w:val="TableParagraph"/>
              <w:rPr>
                <w:sz w:val="14"/>
              </w:rPr>
            </w:pPr>
          </w:p>
        </w:tc>
        <w:tc>
          <w:tcPr>
            <w:tcW w:w="745" w:type="dxa"/>
            <w:tcBorders>
              <w:top w:val="single" w:sz="6" w:space="0" w:color="000000"/>
            </w:tcBorders>
            <w:shd w:val="clear" w:color="auto" w:fill="CCEDFF"/>
          </w:tcPr>
          <w:p>
            <w:pPr>
              <w:pStyle w:val="TableParagraph"/>
              <w:rPr>
                <w:sz w:val="14"/>
              </w:rPr>
            </w:pPr>
          </w:p>
        </w:tc>
        <w:tc>
          <w:tcPr>
            <w:tcW w:w="469" w:type="dxa"/>
            <w:tcBorders>
              <w:top w:val="single" w:sz="6" w:space="0" w:color="000000"/>
            </w:tcBorders>
            <w:shd w:val="clear" w:color="auto" w:fill="CCEDFF"/>
          </w:tcPr>
          <w:p>
            <w:pPr>
              <w:pStyle w:val="TableParagraph"/>
              <w:rPr>
                <w:sz w:val="14"/>
              </w:rPr>
            </w:pPr>
          </w:p>
        </w:tc>
        <w:tc>
          <w:tcPr>
            <w:tcW w:w="1839" w:type="dxa"/>
            <w:tcBorders>
              <w:top w:val="single" w:sz="6" w:space="0" w:color="000000"/>
            </w:tcBorders>
            <w:shd w:val="clear" w:color="auto" w:fill="CCEDFF"/>
          </w:tcPr>
          <w:p>
            <w:pPr>
              <w:pStyle w:val="TableParagraph"/>
              <w:rPr>
                <w:sz w:val="14"/>
              </w:rPr>
            </w:pPr>
          </w:p>
        </w:tc>
        <w:tc>
          <w:tcPr>
            <w:tcW w:w="387" w:type="dxa"/>
            <w:tcBorders>
              <w:top w:val="single" w:sz="6" w:space="0" w:color="000000"/>
            </w:tcBorders>
            <w:shd w:val="clear" w:color="auto" w:fill="CCEDFF"/>
          </w:tcPr>
          <w:p>
            <w:pPr>
              <w:pStyle w:val="TableParagraph"/>
              <w:rPr>
                <w:sz w:val="14"/>
              </w:rPr>
            </w:pPr>
          </w:p>
        </w:tc>
        <w:tc>
          <w:tcPr>
            <w:tcW w:w="746" w:type="dxa"/>
            <w:tcBorders>
              <w:top w:val="single" w:sz="6" w:space="0" w:color="000000"/>
            </w:tcBorders>
            <w:shd w:val="clear" w:color="auto" w:fill="CCEDFF"/>
          </w:tcPr>
          <w:p>
            <w:pPr>
              <w:pStyle w:val="TableParagraph"/>
              <w:rPr>
                <w:sz w:val="14"/>
              </w:rPr>
            </w:pPr>
          </w:p>
        </w:tc>
        <w:tc>
          <w:tcPr>
            <w:tcW w:w="529" w:type="dxa"/>
            <w:tcBorders>
              <w:top w:val="single" w:sz="6" w:space="0" w:color="000000"/>
            </w:tcBorders>
            <w:shd w:val="clear" w:color="auto" w:fill="CCEDFF"/>
          </w:tcPr>
          <w:p>
            <w:pPr>
              <w:pStyle w:val="TableParagraph"/>
              <w:rPr>
                <w:sz w:val="14"/>
              </w:rPr>
            </w:pPr>
          </w:p>
        </w:tc>
      </w:tr>
      <w:tr>
        <w:trPr>
          <w:trHeight w:val="203" w:hRule="atLeast"/>
        </w:trPr>
        <w:tc>
          <w:tcPr>
            <w:tcW w:w="6471" w:type="dxa"/>
          </w:tcPr>
          <w:p>
            <w:pPr>
              <w:pStyle w:val="TableParagraph"/>
              <w:spacing w:line="180" w:lineRule="exact" w:before="3"/>
              <w:ind w:left="152"/>
              <w:rPr>
                <w:sz w:val="16"/>
              </w:rPr>
            </w:pPr>
            <w:r>
              <w:rPr>
                <w:spacing w:val="-2"/>
                <w:w w:val="105"/>
                <w:sz w:val="16"/>
              </w:rPr>
              <w:t>Accruals</w:t>
            </w:r>
            <w:r>
              <w:rPr>
                <w:w w:val="105"/>
                <w:sz w:val="16"/>
              </w:rPr>
              <w:t> </w:t>
            </w:r>
            <w:r>
              <w:rPr>
                <w:spacing w:val="-2"/>
                <w:w w:val="105"/>
                <w:sz w:val="16"/>
              </w:rPr>
              <w:t>for</w:t>
            </w:r>
            <w:r>
              <w:rPr>
                <w:spacing w:val="1"/>
                <w:w w:val="105"/>
                <w:sz w:val="16"/>
              </w:rPr>
              <w:t> </w:t>
            </w:r>
            <w:r>
              <w:rPr>
                <w:spacing w:val="-2"/>
                <w:w w:val="105"/>
                <w:sz w:val="16"/>
              </w:rPr>
              <w:t>capital</w:t>
            </w:r>
            <w:r>
              <w:rPr>
                <w:spacing w:val="3"/>
                <w:w w:val="105"/>
                <w:sz w:val="16"/>
              </w:rPr>
              <w:t> </w:t>
            </w:r>
            <w:r>
              <w:rPr>
                <w:spacing w:val="-2"/>
                <w:w w:val="105"/>
                <w:sz w:val="16"/>
              </w:rPr>
              <w:t>expenditures</w:t>
            </w:r>
          </w:p>
        </w:tc>
        <w:tc>
          <w:tcPr>
            <w:tcW w:w="331" w:type="dxa"/>
          </w:tcPr>
          <w:p>
            <w:pPr>
              <w:pStyle w:val="TableParagraph"/>
              <w:spacing w:line="180" w:lineRule="exact" w:before="3"/>
              <w:rPr>
                <w:b/>
                <w:sz w:val="16"/>
              </w:rPr>
            </w:pPr>
            <w:r>
              <w:rPr>
                <w:b/>
                <w:spacing w:val="-10"/>
                <w:w w:val="105"/>
                <w:sz w:val="16"/>
              </w:rPr>
              <w:t>$</w:t>
            </w:r>
          </w:p>
        </w:tc>
        <w:tc>
          <w:tcPr>
            <w:tcW w:w="745" w:type="dxa"/>
          </w:tcPr>
          <w:p>
            <w:pPr>
              <w:pStyle w:val="TableParagraph"/>
              <w:rPr>
                <w:sz w:val="14"/>
              </w:rPr>
            </w:pPr>
          </w:p>
        </w:tc>
        <w:tc>
          <w:tcPr>
            <w:tcW w:w="469" w:type="dxa"/>
          </w:tcPr>
          <w:p>
            <w:pPr>
              <w:pStyle w:val="TableParagraph"/>
              <w:spacing w:line="180" w:lineRule="exact" w:before="3"/>
              <w:ind w:left="111"/>
              <w:jc w:val="center"/>
              <w:rPr>
                <w:b/>
                <w:sz w:val="16"/>
              </w:rPr>
            </w:pPr>
            <w:r>
              <w:rPr>
                <w:b/>
                <w:spacing w:val="-5"/>
                <w:w w:val="105"/>
                <w:sz w:val="16"/>
              </w:rPr>
              <w:t>357</w:t>
            </w:r>
          </w:p>
        </w:tc>
        <w:tc>
          <w:tcPr>
            <w:tcW w:w="1839" w:type="dxa"/>
          </w:tcPr>
          <w:p>
            <w:pPr>
              <w:pStyle w:val="TableParagraph"/>
              <w:tabs>
                <w:tab w:pos="1242" w:val="left" w:leader="none"/>
              </w:tabs>
              <w:spacing w:line="180" w:lineRule="exact" w:before="3"/>
              <w:jc w:val="center"/>
              <w:rPr>
                <w:sz w:val="16"/>
              </w:rPr>
            </w:pPr>
            <w:r>
              <w:rPr>
                <w:spacing w:val="-10"/>
                <w:w w:val="105"/>
                <w:sz w:val="16"/>
              </w:rPr>
              <w:t>$</w:t>
            </w:r>
            <w:r>
              <w:rPr>
                <w:sz w:val="16"/>
              </w:rPr>
              <w:tab/>
            </w:r>
            <w:r>
              <w:rPr>
                <w:spacing w:val="-5"/>
                <w:w w:val="105"/>
                <w:sz w:val="16"/>
              </w:rPr>
              <w:t>231</w:t>
            </w:r>
          </w:p>
        </w:tc>
        <w:tc>
          <w:tcPr>
            <w:tcW w:w="387" w:type="dxa"/>
          </w:tcPr>
          <w:p>
            <w:pPr>
              <w:pStyle w:val="TableParagraph"/>
              <w:spacing w:line="180" w:lineRule="exact" w:before="3"/>
              <w:ind w:left="55"/>
              <w:rPr>
                <w:sz w:val="16"/>
              </w:rPr>
            </w:pPr>
            <w:r>
              <w:rPr>
                <w:spacing w:val="-10"/>
                <w:w w:val="105"/>
                <w:sz w:val="16"/>
              </w:rPr>
              <w:t>$</w:t>
            </w:r>
          </w:p>
        </w:tc>
        <w:tc>
          <w:tcPr>
            <w:tcW w:w="746" w:type="dxa"/>
          </w:tcPr>
          <w:p>
            <w:pPr>
              <w:pStyle w:val="TableParagraph"/>
              <w:rPr>
                <w:sz w:val="14"/>
              </w:rPr>
            </w:pPr>
          </w:p>
        </w:tc>
        <w:tc>
          <w:tcPr>
            <w:tcW w:w="529" w:type="dxa"/>
          </w:tcPr>
          <w:p>
            <w:pPr>
              <w:pStyle w:val="TableParagraph"/>
              <w:spacing w:line="180" w:lineRule="exact" w:before="3"/>
              <w:ind w:left="135" w:right="87"/>
              <w:jc w:val="center"/>
              <w:rPr>
                <w:sz w:val="16"/>
              </w:rPr>
            </w:pPr>
            <w:r>
              <w:rPr>
                <w:spacing w:val="-5"/>
                <w:w w:val="105"/>
                <w:sz w:val="16"/>
              </w:rPr>
              <w:t>592</w:t>
            </w:r>
          </w:p>
        </w:tc>
      </w:tr>
      <w:tr>
        <w:trPr>
          <w:trHeight w:val="203" w:hRule="atLeast"/>
        </w:trPr>
        <w:tc>
          <w:tcPr>
            <w:tcW w:w="6471" w:type="dxa"/>
            <w:shd w:val="clear" w:color="auto" w:fill="CCEDFF"/>
          </w:tcPr>
          <w:p>
            <w:pPr>
              <w:pStyle w:val="TableParagraph"/>
              <w:spacing w:line="180" w:lineRule="exact" w:before="3"/>
              <w:rPr>
                <w:sz w:val="16"/>
              </w:rPr>
            </w:pPr>
            <w:r>
              <w:rPr>
                <w:w w:val="105"/>
                <w:sz w:val="16"/>
              </w:rPr>
              <w:t>Cash</w:t>
            </w:r>
            <w:r>
              <w:rPr>
                <w:spacing w:val="-8"/>
                <w:w w:val="105"/>
                <w:sz w:val="16"/>
              </w:rPr>
              <w:t> </w:t>
            </w:r>
            <w:r>
              <w:rPr>
                <w:w w:val="105"/>
                <w:sz w:val="16"/>
              </w:rPr>
              <w:t>paid</w:t>
            </w:r>
            <w:r>
              <w:rPr>
                <w:spacing w:val="-7"/>
                <w:w w:val="105"/>
                <w:sz w:val="16"/>
              </w:rPr>
              <w:t> </w:t>
            </w:r>
            <w:r>
              <w:rPr>
                <w:w w:val="105"/>
                <w:sz w:val="16"/>
              </w:rPr>
              <w:t>for</w:t>
            </w:r>
            <w:r>
              <w:rPr>
                <w:spacing w:val="-7"/>
                <w:w w:val="105"/>
                <w:sz w:val="16"/>
              </w:rPr>
              <w:t> </w:t>
            </w:r>
            <w:r>
              <w:rPr>
                <w:w w:val="105"/>
                <w:sz w:val="16"/>
              </w:rPr>
              <w:t>interest</w:t>
            </w:r>
            <w:r>
              <w:rPr>
                <w:spacing w:val="-7"/>
                <w:w w:val="105"/>
                <w:sz w:val="16"/>
              </w:rPr>
              <w:t> </w:t>
            </w:r>
            <w:r>
              <w:rPr>
                <w:w w:val="105"/>
                <w:sz w:val="16"/>
              </w:rPr>
              <w:t>and</w:t>
            </w:r>
            <w:r>
              <w:rPr>
                <w:spacing w:val="-7"/>
                <w:w w:val="105"/>
                <w:sz w:val="16"/>
              </w:rPr>
              <w:t> </w:t>
            </w:r>
            <w:r>
              <w:rPr>
                <w:w w:val="105"/>
                <w:sz w:val="16"/>
              </w:rPr>
              <w:t>income</w:t>
            </w:r>
            <w:r>
              <w:rPr>
                <w:spacing w:val="-8"/>
                <w:w w:val="105"/>
                <w:sz w:val="16"/>
              </w:rPr>
              <w:t> </w:t>
            </w:r>
            <w:r>
              <w:rPr>
                <w:spacing w:val="-2"/>
                <w:w w:val="105"/>
                <w:sz w:val="16"/>
              </w:rPr>
              <w:t>taxes:</w:t>
            </w:r>
          </w:p>
        </w:tc>
        <w:tc>
          <w:tcPr>
            <w:tcW w:w="331" w:type="dxa"/>
            <w:shd w:val="clear" w:color="auto" w:fill="CCEDFF"/>
          </w:tcPr>
          <w:p>
            <w:pPr>
              <w:pStyle w:val="TableParagraph"/>
              <w:rPr>
                <w:sz w:val="14"/>
              </w:rPr>
            </w:pPr>
          </w:p>
        </w:tc>
        <w:tc>
          <w:tcPr>
            <w:tcW w:w="745" w:type="dxa"/>
            <w:shd w:val="clear" w:color="auto" w:fill="CCEDFF"/>
          </w:tcPr>
          <w:p>
            <w:pPr>
              <w:pStyle w:val="TableParagraph"/>
              <w:rPr>
                <w:sz w:val="14"/>
              </w:rPr>
            </w:pPr>
          </w:p>
        </w:tc>
        <w:tc>
          <w:tcPr>
            <w:tcW w:w="469" w:type="dxa"/>
            <w:shd w:val="clear" w:color="auto" w:fill="CCEDFF"/>
          </w:tcPr>
          <w:p>
            <w:pPr>
              <w:pStyle w:val="TableParagraph"/>
              <w:rPr>
                <w:sz w:val="14"/>
              </w:rPr>
            </w:pPr>
          </w:p>
        </w:tc>
        <w:tc>
          <w:tcPr>
            <w:tcW w:w="1839" w:type="dxa"/>
            <w:shd w:val="clear" w:color="auto" w:fill="CCEDFF"/>
          </w:tcPr>
          <w:p>
            <w:pPr>
              <w:pStyle w:val="TableParagraph"/>
              <w:rPr>
                <w:sz w:val="14"/>
              </w:rPr>
            </w:pPr>
          </w:p>
        </w:tc>
        <w:tc>
          <w:tcPr>
            <w:tcW w:w="387" w:type="dxa"/>
            <w:shd w:val="clear" w:color="auto" w:fill="CCEDFF"/>
          </w:tcPr>
          <w:p>
            <w:pPr>
              <w:pStyle w:val="TableParagraph"/>
              <w:rPr>
                <w:sz w:val="14"/>
              </w:rPr>
            </w:pPr>
          </w:p>
        </w:tc>
        <w:tc>
          <w:tcPr>
            <w:tcW w:w="746" w:type="dxa"/>
            <w:shd w:val="clear" w:color="auto" w:fill="CCEDFF"/>
          </w:tcPr>
          <w:p>
            <w:pPr>
              <w:pStyle w:val="TableParagraph"/>
              <w:rPr>
                <w:sz w:val="14"/>
              </w:rPr>
            </w:pPr>
          </w:p>
        </w:tc>
        <w:tc>
          <w:tcPr>
            <w:tcW w:w="529" w:type="dxa"/>
            <w:shd w:val="clear" w:color="auto" w:fill="CCEDFF"/>
          </w:tcPr>
          <w:p>
            <w:pPr>
              <w:pStyle w:val="TableParagraph"/>
              <w:rPr>
                <w:sz w:val="14"/>
              </w:rPr>
            </w:pPr>
          </w:p>
        </w:tc>
      </w:tr>
      <w:tr>
        <w:trPr>
          <w:trHeight w:val="203" w:hRule="atLeast"/>
        </w:trPr>
        <w:tc>
          <w:tcPr>
            <w:tcW w:w="6471" w:type="dxa"/>
          </w:tcPr>
          <w:p>
            <w:pPr>
              <w:pStyle w:val="TableParagraph"/>
              <w:spacing w:line="184" w:lineRule="exact"/>
              <w:ind w:left="152"/>
              <w:rPr>
                <w:sz w:val="14"/>
              </w:rPr>
            </w:pPr>
            <w:r>
              <w:rPr>
                <w:sz w:val="16"/>
              </w:rPr>
              <w:t>Interest</w:t>
            </w:r>
            <w:r>
              <w:rPr>
                <w:spacing w:val="16"/>
                <w:sz w:val="16"/>
              </w:rPr>
              <w:t> </w:t>
            </w:r>
            <w:r>
              <w:rPr>
                <w:spacing w:val="-5"/>
                <w:position w:val="3"/>
                <w:sz w:val="14"/>
              </w:rPr>
              <w:t>(1)</w:t>
            </w:r>
          </w:p>
        </w:tc>
        <w:tc>
          <w:tcPr>
            <w:tcW w:w="331" w:type="dxa"/>
          </w:tcPr>
          <w:p>
            <w:pPr>
              <w:pStyle w:val="TableParagraph"/>
              <w:spacing w:line="180" w:lineRule="exact" w:before="3"/>
              <w:rPr>
                <w:b/>
                <w:sz w:val="16"/>
              </w:rPr>
            </w:pPr>
            <w:r>
              <w:rPr>
                <w:b/>
                <w:spacing w:val="-10"/>
                <w:w w:val="105"/>
                <w:sz w:val="16"/>
              </w:rPr>
              <w:t>$</w:t>
            </w:r>
          </w:p>
        </w:tc>
        <w:tc>
          <w:tcPr>
            <w:tcW w:w="745" w:type="dxa"/>
          </w:tcPr>
          <w:p>
            <w:pPr>
              <w:pStyle w:val="TableParagraph"/>
              <w:rPr>
                <w:sz w:val="14"/>
              </w:rPr>
            </w:pPr>
          </w:p>
        </w:tc>
        <w:tc>
          <w:tcPr>
            <w:tcW w:w="469" w:type="dxa"/>
          </w:tcPr>
          <w:p>
            <w:pPr>
              <w:pStyle w:val="TableParagraph"/>
              <w:spacing w:line="180" w:lineRule="exact" w:before="3"/>
              <w:ind w:left="111"/>
              <w:jc w:val="center"/>
              <w:rPr>
                <w:b/>
                <w:sz w:val="16"/>
              </w:rPr>
            </w:pPr>
            <w:r>
              <w:rPr>
                <w:b/>
                <w:spacing w:val="-5"/>
                <w:w w:val="105"/>
                <w:sz w:val="16"/>
              </w:rPr>
              <w:t>287</w:t>
            </w:r>
          </w:p>
        </w:tc>
        <w:tc>
          <w:tcPr>
            <w:tcW w:w="1839" w:type="dxa"/>
          </w:tcPr>
          <w:p>
            <w:pPr>
              <w:pStyle w:val="TableParagraph"/>
              <w:tabs>
                <w:tab w:pos="1242" w:val="left" w:leader="none"/>
              </w:tabs>
              <w:spacing w:line="180" w:lineRule="exact" w:before="3"/>
              <w:jc w:val="center"/>
              <w:rPr>
                <w:sz w:val="16"/>
              </w:rPr>
            </w:pPr>
            <w:r>
              <w:rPr>
                <w:spacing w:val="-10"/>
                <w:w w:val="105"/>
                <w:sz w:val="16"/>
              </w:rPr>
              <w:t>$</w:t>
            </w:r>
            <w:r>
              <w:rPr>
                <w:sz w:val="16"/>
              </w:rPr>
              <w:tab/>
            </w:r>
            <w:r>
              <w:rPr>
                <w:spacing w:val="-5"/>
                <w:w w:val="105"/>
                <w:sz w:val="16"/>
              </w:rPr>
              <w:t>298</w:t>
            </w:r>
          </w:p>
        </w:tc>
        <w:tc>
          <w:tcPr>
            <w:tcW w:w="387" w:type="dxa"/>
          </w:tcPr>
          <w:p>
            <w:pPr>
              <w:pStyle w:val="TableParagraph"/>
              <w:spacing w:line="180" w:lineRule="exact" w:before="3"/>
              <w:ind w:left="55"/>
              <w:rPr>
                <w:sz w:val="16"/>
              </w:rPr>
            </w:pPr>
            <w:r>
              <w:rPr>
                <w:spacing w:val="-10"/>
                <w:w w:val="105"/>
                <w:sz w:val="16"/>
              </w:rPr>
              <w:t>$</w:t>
            </w:r>
          </w:p>
        </w:tc>
        <w:tc>
          <w:tcPr>
            <w:tcW w:w="746" w:type="dxa"/>
          </w:tcPr>
          <w:p>
            <w:pPr>
              <w:pStyle w:val="TableParagraph"/>
              <w:rPr>
                <w:sz w:val="14"/>
              </w:rPr>
            </w:pPr>
          </w:p>
        </w:tc>
        <w:tc>
          <w:tcPr>
            <w:tcW w:w="529" w:type="dxa"/>
          </w:tcPr>
          <w:p>
            <w:pPr>
              <w:pStyle w:val="TableParagraph"/>
              <w:spacing w:line="180" w:lineRule="exact" w:before="3"/>
              <w:ind w:left="135" w:right="87"/>
              <w:jc w:val="center"/>
              <w:rPr>
                <w:sz w:val="16"/>
              </w:rPr>
            </w:pPr>
            <w:r>
              <w:rPr>
                <w:spacing w:val="-5"/>
                <w:w w:val="105"/>
                <w:sz w:val="16"/>
              </w:rPr>
              <w:t>248</w:t>
            </w:r>
          </w:p>
        </w:tc>
      </w:tr>
      <w:tr>
        <w:trPr>
          <w:trHeight w:val="200" w:hRule="atLeast"/>
        </w:trPr>
        <w:tc>
          <w:tcPr>
            <w:tcW w:w="6471" w:type="dxa"/>
            <w:tcBorders>
              <w:bottom w:val="double" w:sz="6" w:space="0" w:color="000000"/>
            </w:tcBorders>
            <w:shd w:val="clear" w:color="auto" w:fill="CCEDFF"/>
          </w:tcPr>
          <w:p>
            <w:pPr>
              <w:pStyle w:val="TableParagraph"/>
              <w:spacing w:line="177" w:lineRule="exact" w:before="3"/>
              <w:ind w:left="152"/>
              <w:rPr>
                <w:sz w:val="16"/>
              </w:rPr>
            </w:pPr>
            <w:r>
              <w:rPr>
                <w:w w:val="105"/>
                <w:sz w:val="16"/>
              </w:rPr>
              <w:t>Income</w:t>
            </w:r>
            <w:r>
              <w:rPr>
                <w:spacing w:val="-9"/>
                <w:w w:val="105"/>
                <w:sz w:val="16"/>
              </w:rPr>
              <w:t> </w:t>
            </w:r>
            <w:r>
              <w:rPr>
                <w:w w:val="105"/>
                <w:sz w:val="16"/>
              </w:rPr>
              <w:t>taxes,</w:t>
            </w:r>
            <w:r>
              <w:rPr>
                <w:spacing w:val="-8"/>
                <w:w w:val="105"/>
                <w:sz w:val="16"/>
              </w:rPr>
              <w:t> </w:t>
            </w:r>
            <w:r>
              <w:rPr>
                <w:w w:val="105"/>
                <w:sz w:val="16"/>
              </w:rPr>
              <w:t>net</w:t>
            </w:r>
            <w:r>
              <w:rPr>
                <w:spacing w:val="-8"/>
                <w:w w:val="105"/>
                <w:sz w:val="16"/>
              </w:rPr>
              <w:t> </w:t>
            </w:r>
            <w:r>
              <w:rPr>
                <w:w w:val="105"/>
                <w:sz w:val="16"/>
              </w:rPr>
              <w:t>of</w:t>
            </w:r>
            <w:r>
              <w:rPr>
                <w:spacing w:val="-8"/>
                <w:w w:val="105"/>
                <w:sz w:val="16"/>
              </w:rPr>
              <w:t> </w:t>
            </w:r>
            <w:r>
              <w:rPr>
                <w:w w:val="105"/>
                <w:sz w:val="16"/>
              </w:rPr>
              <w:t>refunds</w:t>
            </w:r>
            <w:r>
              <w:rPr>
                <w:spacing w:val="-8"/>
                <w:w w:val="105"/>
                <w:sz w:val="16"/>
              </w:rPr>
              <w:t> </w:t>
            </w:r>
            <w:r>
              <w:rPr>
                <w:spacing w:val="-2"/>
                <w:w w:val="105"/>
                <w:sz w:val="16"/>
              </w:rPr>
              <w:t>received</w:t>
            </w:r>
          </w:p>
        </w:tc>
        <w:tc>
          <w:tcPr>
            <w:tcW w:w="331" w:type="dxa"/>
            <w:tcBorders>
              <w:bottom w:val="double" w:sz="6" w:space="0" w:color="000000"/>
            </w:tcBorders>
            <w:shd w:val="clear" w:color="auto" w:fill="CCEDFF"/>
          </w:tcPr>
          <w:p>
            <w:pPr>
              <w:pStyle w:val="TableParagraph"/>
              <w:spacing w:line="177" w:lineRule="exact" w:before="3"/>
              <w:rPr>
                <w:b/>
                <w:sz w:val="16"/>
              </w:rPr>
            </w:pPr>
            <w:r>
              <w:rPr>
                <w:b/>
                <w:spacing w:val="-10"/>
                <w:w w:val="105"/>
                <w:sz w:val="16"/>
              </w:rPr>
              <w:t>$</w:t>
            </w:r>
          </w:p>
        </w:tc>
        <w:tc>
          <w:tcPr>
            <w:tcW w:w="745" w:type="dxa"/>
            <w:tcBorders>
              <w:bottom w:val="double" w:sz="6" w:space="0" w:color="000000"/>
            </w:tcBorders>
            <w:shd w:val="clear" w:color="auto" w:fill="CCEDFF"/>
          </w:tcPr>
          <w:p>
            <w:pPr>
              <w:pStyle w:val="TableParagraph"/>
              <w:rPr>
                <w:sz w:val="12"/>
              </w:rPr>
            </w:pPr>
          </w:p>
        </w:tc>
        <w:tc>
          <w:tcPr>
            <w:tcW w:w="469" w:type="dxa"/>
            <w:tcBorders>
              <w:bottom w:val="double" w:sz="6" w:space="0" w:color="000000"/>
            </w:tcBorders>
            <w:shd w:val="clear" w:color="auto" w:fill="CCEDFF"/>
          </w:tcPr>
          <w:p>
            <w:pPr>
              <w:pStyle w:val="TableParagraph"/>
              <w:spacing w:line="177" w:lineRule="exact" w:before="3"/>
              <w:ind w:left="111"/>
              <w:jc w:val="center"/>
              <w:rPr>
                <w:b/>
                <w:sz w:val="16"/>
              </w:rPr>
            </w:pPr>
            <w:r>
              <w:rPr>
                <w:b/>
                <w:spacing w:val="-5"/>
                <w:w w:val="105"/>
                <w:sz w:val="16"/>
              </w:rPr>
              <w:t>377</w:t>
            </w:r>
          </w:p>
        </w:tc>
        <w:tc>
          <w:tcPr>
            <w:tcW w:w="1839" w:type="dxa"/>
            <w:tcBorders>
              <w:bottom w:val="double" w:sz="6" w:space="0" w:color="000000"/>
            </w:tcBorders>
            <w:shd w:val="clear" w:color="auto" w:fill="CCEDFF"/>
          </w:tcPr>
          <w:p>
            <w:pPr>
              <w:pStyle w:val="TableParagraph"/>
              <w:tabs>
                <w:tab w:pos="1242" w:val="left" w:leader="none"/>
              </w:tabs>
              <w:spacing w:line="177" w:lineRule="exact" w:before="3"/>
              <w:jc w:val="center"/>
              <w:rPr>
                <w:sz w:val="16"/>
              </w:rPr>
            </w:pPr>
            <w:r>
              <w:rPr>
                <w:spacing w:val="-10"/>
                <w:w w:val="105"/>
                <w:sz w:val="16"/>
              </w:rPr>
              <w:t>$</w:t>
            </w:r>
            <w:r>
              <w:rPr>
                <w:sz w:val="16"/>
              </w:rPr>
              <w:tab/>
            </w:r>
            <w:r>
              <w:rPr>
                <w:spacing w:val="-5"/>
                <w:w w:val="105"/>
                <w:sz w:val="16"/>
              </w:rPr>
              <w:t>220</w:t>
            </w:r>
          </w:p>
        </w:tc>
        <w:tc>
          <w:tcPr>
            <w:tcW w:w="387" w:type="dxa"/>
            <w:tcBorders>
              <w:bottom w:val="double" w:sz="6" w:space="0" w:color="000000"/>
            </w:tcBorders>
            <w:shd w:val="clear" w:color="auto" w:fill="CCEDFF"/>
          </w:tcPr>
          <w:p>
            <w:pPr>
              <w:pStyle w:val="TableParagraph"/>
              <w:spacing w:line="177" w:lineRule="exact" w:before="3"/>
              <w:ind w:left="55"/>
              <w:rPr>
                <w:sz w:val="16"/>
              </w:rPr>
            </w:pPr>
            <w:r>
              <w:rPr>
                <w:spacing w:val="-10"/>
                <w:w w:val="105"/>
                <w:sz w:val="16"/>
              </w:rPr>
              <w:t>$</w:t>
            </w:r>
          </w:p>
        </w:tc>
        <w:tc>
          <w:tcPr>
            <w:tcW w:w="746" w:type="dxa"/>
            <w:tcBorders>
              <w:bottom w:val="double" w:sz="6" w:space="0" w:color="000000"/>
            </w:tcBorders>
            <w:shd w:val="clear" w:color="auto" w:fill="CCEDFF"/>
          </w:tcPr>
          <w:p>
            <w:pPr>
              <w:pStyle w:val="TableParagraph"/>
              <w:rPr>
                <w:sz w:val="12"/>
              </w:rPr>
            </w:pPr>
          </w:p>
        </w:tc>
        <w:tc>
          <w:tcPr>
            <w:tcW w:w="529" w:type="dxa"/>
            <w:tcBorders>
              <w:bottom w:val="double" w:sz="6" w:space="0" w:color="000000"/>
            </w:tcBorders>
            <w:shd w:val="clear" w:color="auto" w:fill="CCEDFF"/>
          </w:tcPr>
          <w:p>
            <w:pPr>
              <w:pStyle w:val="TableParagraph"/>
              <w:spacing w:line="177" w:lineRule="exact" w:before="3"/>
              <w:ind w:left="135" w:right="87"/>
              <w:jc w:val="center"/>
              <w:rPr>
                <w:sz w:val="16"/>
              </w:rPr>
            </w:pPr>
            <w:r>
              <w:rPr>
                <w:spacing w:val="-5"/>
                <w:w w:val="105"/>
                <w:sz w:val="16"/>
              </w:rPr>
              <w:t>474</w:t>
            </w:r>
          </w:p>
        </w:tc>
      </w:tr>
    </w:tbl>
    <w:p>
      <w:pPr>
        <w:pStyle w:val="BodyText"/>
        <w:spacing w:before="25"/>
      </w:pPr>
    </w:p>
    <w:p>
      <w:pPr>
        <w:spacing w:line="228" w:lineRule="auto" w:before="0"/>
        <w:ind w:left="462" w:right="0" w:hanging="306"/>
        <w:jc w:val="left"/>
        <w:rPr>
          <w:sz w:val="14"/>
        </w:rPr>
      </w:pPr>
      <w:r>
        <w:rPr>
          <w:sz w:val="14"/>
        </w:rPr>
        <w:t>(1)</w:t>
      </w:r>
      <w:r>
        <w:rPr>
          <w:spacing w:val="80"/>
          <w:sz w:val="14"/>
        </w:rPr>
        <w:t> </w:t>
      </w:r>
      <w:r>
        <w:rPr>
          <w:sz w:val="14"/>
        </w:rPr>
        <w:t>Included</w:t>
      </w:r>
      <w:r>
        <w:rPr>
          <w:spacing w:val="-1"/>
          <w:sz w:val="14"/>
        </w:rPr>
        <w:t> </w:t>
      </w:r>
      <w:r>
        <w:rPr>
          <w:sz w:val="14"/>
        </w:rPr>
        <w:t>in</w:t>
      </w:r>
      <w:r>
        <w:rPr>
          <w:spacing w:val="-1"/>
          <w:sz w:val="14"/>
        </w:rPr>
        <w:t> </w:t>
      </w:r>
      <w:r>
        <w:rPr>
          <w:sz w:val="14"/>
        </w:rPr>
        <w:t>this</w:t>
      </w:r>
      <w:r>
        <w:rPr>
          <w:spacing w:val="-1"/>
          <w:sz w:val="14"/>
        </w:rPr>
        <w:t> </w:t>
      </w:r>
      <w:r>
        <w:rPr>
          <w:sz w:val="14"/>
        </w:rPr>
        <w:t>amount</w:t>
      </w:r>
      <w:r>
        <w:rPr>
          <w:spacing w:val="-1"/>
          <w:sz w:val="14"/>
        </w:rPr>
        <w:t> </w:t>
      </w:r>
      <w:r>
        <w:rPr>
          <w:sz w:val="14"/>
        </w:rPr>
        <w:t>are</w:t>
      </w:r>
      <w:r>
        <w:rPr>
          <w:spacing w:val="-1"/>
          <w:sz w:val="14"/>
        </w:rPr>
        <w:t> </w:t>
      </w:r>
      <w:r>
        <w:rPr>
          <w:sz w:val="14"/>
        </w:rPr>
        <w:t>approximately</w:t>
      </w:r>
      <w:r>
        <w:rPr>
          <w:spacing w:val="-1"/>
          <w:sz w:val="14"/>
        </w:rPr>
        <w:t> </w:t>
      </w:r>
      <w:r>
        <w:rPr>
          <w:sz w:val="14"/>
        </w:rPr>
        <w:t>$36</w:t>
      </w:r>
      <w:r>
        <w:rPr>
          <w:spacing w:val="-1"/>
          <w:sz w:val="14"/>
        </w:rPr>
        <w:t> </w:t>
      </w:r>
      <w:r>
        <w:rPr>
          <w:sz w:val="14"/>
        </w:rPr>
        <w:t>million,</w:t>
      </w:r>
      <w:r>
        <w:rPr>
          <w:spacing w:val="-1"/>
          <w:sz w:val="14"/>
        </w:rPr>
        <w:t> </w:t>
      </w:r>
      <w:r>
        <w:rPr>
          <w:sz w:val="14"/>
        </w:rPr>
        <w:t>$58 million</w:t>
      </w:r>
      <w:r>
        <w:rPr>
          <w:spacing w:val="-1"/>
          <w:sz w:val="14"/>
        </w:rPr>
        <w:t> </w:t>
      </w:r>
      <w:r>
        <w:rPr>
          <w:sz w:val="14"/>
        </w:rPr>
        <w:t>and</w:t>
      </w:r>
      <w:r>
        <w:rPr>
          <w:spacing w:val="-1"/>
          <w:sz w:val="14"/>
        </w:rPr>
        <w:t> </w:t>
      </w:r>
      <w:r>
        <w:rPr>
          <w:sz w:val="14"/>
        </w:rPr>
        <w:t>$54</w:t>
      </w:r>
      <w:r>
        <w:rPr>
          <w:spacing w:val="-1"/>
          <w:sz w:val="14"/>
        </w:rPr>
        <w:t> </w:t>
      </w:r>
      <w:r>
        <w:rPr>
          <w:sz w:val="14"/>
        </w:rPr>
        <w:t>million</w:t>
      </w:r>
      <w:r>
        <w:rPr>
          <w:spacing w:val="-1"/>
          <w:sz w:val="14"/>
        </w:rPr>
        <w:t> </w:t>
      </w:r>
      <w:r>
        <w:rPr>
          <w:sz w:val="14"/>
        </w:rPr>
        <w:t>of</w:t>
      </w:r>
      <w:r>
        <w:rPr>
          <w:spacing w:val="-1"/>
          <w:sz w:val="14"/>
        </w:rPr>
        <w:t> </w:t>
      </w:r>
      <w:r>
        <w:rPr>
          <w:sz w:val="14"/>
        </w:rPr>
        <w:t>interest</w:t>
      </w:r>
      <w:r>
        <w:rPr>
          <w:spacing w:val="-1"/>
          <w:sz w:val="14"/>
        </w:rPr>
        <w:t> </w:t>
      </w:r>
      <w:r>
        <w:rPr>
          <w:sz w:val="14"/>
        </w:rPr>
        <w:t>costs</w:t>
      </w:r>
      <w:r>
        <w:rPr>
          <w:spacing w:val="-1"/>
          <w:sz w:val="14"/>
        </w:rPr>
        <w:t> </w:t>
      </w:r>
      <w:r>
        <w:rPr>
          <w:sz w:val="14"/>
        </w:rPr>
        <w:t>that</w:t>
      </w:r>
      <w:r>
        <w:rPr>
          <w:spacing w:val="-1"/>
          <w:sz w:val="14"/>
        </w:rPr>
        <w:t> </w:t>
      </w:r>
      <w:r>
        <w:rPr>
          <w:sz w:val="14"/>
        </w:rPr>
        <w:t>were</w:t>
      </w:r>
      <w:r>
        <w:rPr>
          <w:spacing w:val="-1"/>
          <w:sz w:val="14"/>
        </w:rPr>
        <w:t> </w:t>
      </w:r>
      <w:r>
        <w:rPr>
          <w:sz w:val="14"/>
        </w:rPr>
        <w:t>capitalized</w:t>
      </w:r>
      <w:r>
        <w:rPr>
          <w:spacing w:val="-1"/>
          <w:sz w:val="14"/>
        </w:rPr>
        <w:t> </w:t>
      </w:r>
      <w:r>
        <w:rPr>
          <w:sz w:val="14"/>
        </w:rPr>
        <w:t>as</w:t>
      </w:r>
      <w:r>
        <w:rPr>
          <w:spacing w:val="-1"/>
          <w:sz w:val="14"/>
        </w:rPr>
        <w:t> </w:t>
      </w:r>
      <w:r>
        <w:rPr>
          <w:sz w:val="14"/>
        </w:rPr>
        <w:t>part</w:t>
      </w:r>
      <w:r>
        <w:rPr>
          <w:spacing w:val="-1"/>
          <w:sz w:val="14"/>
        </w:rPr>
        <w:t> </w:t>
      </w:r>
      <w:r>
        <w:rPr>
          <w:sz w:val="14"/>
        </w:rPr>
        <w:t>of</w:t>
      </w:r>
      <w:r>
        <w:rPr>
          <w:spacing w:val="-1"/>
          <w:sz w:val="14"/>
        </w:rPr>
        <w:t> </w:t>
      </w:r>
      <w:r>
        <w:rPr>
          <w:sz w:val="14"/>
        </w:rPr>
        <w:t>property,</w:t>
      </w:r>
      <w:r>
        <w:rPr>
          <w:spacing w:val="-1"/>
          <w:sz w:val="14"/>
        </w:rPr>
        <w:t> </w:t>
      </w:r>
      <w:r>
        <w:rPr>
          <w:sz w:val="14"/>
        </w:rPr>
        <w:t>plant</w:t>
      </w:r>
      <w:r>
        <w:rPr>
          <w:spacing w:val="-1"/>
          <w:sz w:val="14"/>
        </w:rPr>
        <w:t> </w:t>
      </w:r>
      <w:r>
        <w:rPr>
          <w:sz w:val="14"/>
        </w:rPr>
        <w:t>and</w:t>
      </w:r>
      <w:r>
        <w:rPr>
          <w:spacing w:val="-1"/>
          <w:sz w:val="14"/>
        </w:rPr>
        <w:t> </w:t>
      </w:r>
      <w:r>
        <w:rPr>
          <w:sz w:val="14"/>
        </w:rPr>
        <w:t>equipment,</w:t>
      </w:r>
      <w:r>
        <w:rPr>
          <w:spacing w:val="-1"/>
          <w:sz w:val="14"/>
        </w:rPr>
        <w:t> </w:t>
      </w:r>
      <w:r>
        <w:rPr>
          <w:sz w:val="14"/>
        </w:rPr>
        <w:t>net</w:t>
      </w:r>
      <w:r>
        <w:rPr>
          <w:spacing w:val="-1"/>
          <w:sz w:val="14"/>
        </w:rPr>
        <w:t> </w:t>
      </w:r>
      <w:r>
        <w:rPr>
          <w:sz w:val="14"/>
        </w:rPr>
        <w:t>of</w:t>
      </w:r>
      <w:r>
        <w:rPr>
          <w:spacing w:val="-1"/>
          <w:sz w:val="14"/>
        </w:rPr>
        <w:t> </w:t>
      </w:r>
      <w:r>
        <w:rPr>
          <w:sz w:val="14"/>
        </w:rPr>
        <w:t>accumulated</w:t>
      </w:r>
      <w:r>
        <w:rPr>
          <w:spacing w:val="-1"/>
          <w:sz w:val="14"/>
        </w:rPr>
        <w:t> </w:t>
      </w:r>
      <w:r>
        <w:rPr>
          <w:sz w:val="14"/>
        </w:rPr>
        <w:t>depreciation,</w:t>
      </w:r>
      <w:r>
        <w:rPr>
          <w:spacing w:val="-1"/>
          <w:sz w:val="14"/>
        </w:rPr>
        <w:t> </w:t>
      </w:r>
      <w:r>
        <w:rPr>
          <w:sz w:val="14"/>
        </w:rPr>
        <w:t>in</w:t>
      </w:r>
      <w:r>
        <w:rPr>
          <w:spacing w:val="40"/>
          <w:sz w:val="14"/>
        </w:rPr>
        <w:t> </w:t>
      </w:r>
      <w:r>
        <w:rPr>
          <w:sz w:val="14"/>
        </w:rPr>
        <w:t>2021, 2020 and 2019, respectively.</w:t>
      </w:r>
    </w:p>
    <w:p>
      <w:pPr>
        <w:pStyle w:val="BodyText"/>
        <w:spacing w:before="43"/>
        <w:rPr>
          <w:sz w:val="14"/>
        </w:rPr>
      </w:pPr>
    </w:p>
    <w:p>
      <w:pPr>
        <w:pStyle w:val="Heading3"/>
      </w:pPr>
      <w:r>
        <w:rPr/>
        <w:t>Allowance</w:t>
      </w:r>
      <w:r>
        <w:rPr>
          <w:spacing w:val="15"/>
        </w:rPr>
        <w:t> </w:t>
      </w:r>
      <w:r>
        <w:rPr/>
        <w:t>for</w:t>
      </w:r>
      <w:r>
        <w:rPr>
          <w:spacing w:val="15"/>
        </w:rPr>
        <w:t> </w:t>
      </w:r>
      <w:r>
        <w:rPr/>
        <w:t>Doubtful</w:t>
      </w:r>
      <w:r>
        <w:rPr>
          <w:spacing w:val="15"/>
        </w:rPr>
        <w:t> </w:t>
      </w:r>
      <w:r>
        <w:rPr>
          <w:spacing w:val="-2"/>
        </w:rPr>
        <w:t>Accounts</w:t>
      </w:r>
    </w:p>
    <w:p>
      <w:pPr>
        <w:pStyle w:val="BodyText"/>
        <w:spacing w:before="39"/>
        <w:rPr>
          <w:b/>
          <w:i/>
        </w:rPr>
      </w:pPr>
    </w:p>
    <w:p>
      <w:pPr>
        <w:pStyle w:val="BodyText"/>
        <w:spacing w:line="266" w:lineRule="auto"/>
        <w:ind w:left="156" w:right="117"/>
      </w:pPr>
      <w:r>
        <w:rPr>
          <w:w w:val="105"/>
        </w:rPr>
        <w:t>The</w:t>
      </w:r>
      <w:r>
        <w:rPr>
          <w:spacing w:val="-8"/>
          <w:w w:val="105"/>
        </w:rPr>
        <w:t> </w:t>
      </w:r>
      <w:r>
        <w:rPr>
          <w:w w:val="105"/>
        </w:rPr>
        <w:t>allowance</w:t>
      </w:r>
      <w:r>
        <w:rPr>
          <w:spacing w:val="-8"/>
          <w:w w:val="105"/>
        </w:rPr>
        <w:t> </w:t>
      </w:r>
      <w:r>
        <w:rPr>
          <w:w w:val="105"/>
        </w:rPr>
        <w:t>for</w:t>
      </w:r>
      <w:r>
        <w:rPr>
          <w:spacing w:val="-8"/>
          <w:w w:val="105"/>
        </w:rPr>
        <w:t> </w:t>
      </w:r>
      <w:r>
        <w:rPr>
          <w:w w:val="105"/>
        </w:rPr>
        <w:t>doubtful</w:t>
      </w:r>
      <w:r>
        <w:rPr>
          <w:spacing w:val="-8"/>
          <w:w w:val="105"/>
        </w:rPr>
        <w:t> </w:t>
      </w:r>
      <w:r>
        <w:rPr>
          <w:w w:val="105"/>
        </w:rPr>
        <w:t>accounts</w:t>
      </w:r>
      <w:r>
        <w:rPr>
          <w:spacing w:val="-8"/>
          <w:w w:val="105"/>
        </w:rPr>
        <w:t> </w:t>
      </w:r>
      <w:r>
        <w:rPr>
          <w:w w:val="105"/>
        </w:rPr>
        <w:t>is</w:t>
      </w:r>
      <w:r>
        <w:rPr>
          <w:spacing w:val="-8"/>
          <w:w w:val="105"/>
        </w:rPr>
        <w:t> </w:t>
      </w:r>
      <w:r>
        <w:rPr>
          <w:w w:val="105"/>
        </w:rPr>
        <w:t>based</w:t>
      </w:r>
      <w:r>
        <w:rPr>
          <w:spacing w:val="-8"/>
          <w:w w:val="105"/>
        </w:rPr>
        <w:t> </w:t>
      </w:r>
      <w:r>
        <w:rPr>
          <w:w w:val="105"/>
        </w:rPr>
        <w:t>on</w:t>
      </w:r>
      <w:r>
        <w:rPr>
          <w:spacing w:val="-8"/>
          <w:w w:val="105"/>
        </w:rPr>
        <w:t> </w:t>
      </w:r>
      <w:r>
        <w:rPr>
          <w:w w:val="105"/>
        </w:rPr>
        <w:t>the</w:t>
      </w:r>
      <w:r>
        <w:rPr>
          <w:spacing w:val="-8"/>
          <w:w w:val="105"/>
        </w:rPr>
        <w:t> </w:t>
      </w:r>
      <w:r>
        <w:rPr>
          <w:w w:val="105"/>
        </w:rPr>
        <w:t>best</w:t>
      </w:r>
      <w:r>
        <w:rPr>
          <w:spacing w:val="-8"/>
          <w:w w:val="105"/>
        </w:rPr>
        <w:t> </w:t>
      </w:r>
      <w:r>
        <w:rPr>
          <w:w w:val="105"/>
        </w:rPr>
        <w:t>estimate</w:t>
      </w:r>
      <w:r>
        <w:rPr>
          <w:spacing w:val="-8"/>
          <w:w w:val="105"/>
        </w:rPr>
        <w:t> </w:t>
      </w:r>
      <w:r>
        <w:rPr>
          <w:w w:val="105"/>
        </w:rPr>
        <w:t>of</w:t>
      </w:r>
      <w:r>
        <w:rPr>
          <w:spacing w:val="-8"/>
          <w:w w:val="105"/>
        </w:rPr>
        <w:t> </w:t>
      </w:r>
      <w:r>
        <w:rPr>
          <w:w w:val="105"/>
        </w:rPr>
        <w:t>the</w:t>
      </w:r>
      <w:r>
        <w:rPr>
          <w:spacing w:val="-8"/>
          <w:w w:val="105"/>
        </w:rPr>
        <w:t> </w:t>
      </w:r>
      <w:r>
        <w:rPr>
          <w:w w:val="105"/>
        </w:rPr>
        <w:t>amount</w:t>
      </w:r>
      <w:r>
        <w:rPr>
          <w:spacing w:val="-8"/>
          <w:w w:val="105"/>
        </w:rPr>
        <w:t> </w:t>
      </w:r>
      <w:r>
        <w:rPr>
          <w:w w:val="105"/>
        </w:rPr>
        <w:t>of</w:t>
      </w:r>
      <w:r>
        <w:rPr>
          <w:spacing w:val="-8"/>
          <w:w w:val="105"/>
        </w:rPr>
        <w:t> </w:t>
      </w:r>
      <w:r>
        <w:rPr>
          <w:w w:val="105"/>
        </w:rPr>
        <w:t>probable</w:t>
      </w:r>
      <w:r>
        <w:rPr>
          <w:spacing w:val="-8"/>
          <w:w w:val="105"/>
        </w:rPr>
        <w:t> </w:t>
      </w:r>
      <w:r>
        <w:rPr>
          <w:w w:val="105"/>
        </w:rPr>
        <w:t>lifetime</w:t>
      </w:r>
      <w:r>
        <w:rPr>
          <w:spacing w:val="-8"/>
          <w:w w:val="105"/>
        </w:rPr>
        <w:t> </w:t>
      </w:r>
      <w:r>
        <w:rPr>
          <w:w w:val="105"/>
        </w:rPr>
        <w:t>credit</w:t>
      </w:r>
      <w:r>
        <w:rPr>
          <w:spacing w:val="-8"/>
          <w:w w:val="105"/>
        </w:rPr>
        <w:t> </w:t>
      </w:r>
      <w:r>
        <w:rPr>
          <w:w w:val="105"/>
        </w:rPr>
        <w:t>losses</w:t>
      </w:r>
      <w:r>
        <w:rPr>
          <w:spacing w:val="-8"/>
          <w:w w:val="105"/>
        </w:rPr>
        <w:t> </w:t>
      </w:r>
      <w:r>
        <w:rPr>
          <w:w w:val="105"/>
        </w:rPr>
        <w:t>in</w:t>
      </w:r>
      <w:r>
        <w:rPr>
          <w:spacing w:val="-8"/>
          <w:w w:val="105"/>
        </w:rPr>
        <w:t> </w:t>
      </w:r>
      <w:r>
        <w:rPr>
          <w:w w:val="105"/>
        </w:rPr>
        <w:t>existing</w:t>
      </w:r>
      <w:r>
        <w:rPr>
          <w:spacing w:val="-8"/>
          <w:w w:val="105"/>
        </w:rPr>
        <w:t> </w:t>
      </w:r>
      <w:r>
        <w:rPr>
          <w:w w:val="105"/>
        </w:rPr>
        <w:t>accounts</w:t>
      </w:r>
      <w:r>
        <w:rPr>
          <w:spacing w:val="-6"/>
          <w:w w:val="105"/>
        </w:rPr>
        <w:t> </w:t>
      </w:r>
      <w:r>
        <w:rPr>
          <w:w w:val="105"/>
        </w:rPr>
        <w:t>receivable.</w:t>
      </w:r>
      <w:r>
        <w:rPr>
          <w:spacing w:val="-8"/>
          <w:w w:val="105"/>
        </w:rPr>
        <w:t> </w:t>
      </w:r>
      <w:r>
        <w:rPr>
          <w:w w:val="105"/>
        </w:rPr>
        <w:t>The</w:t>
      </w:r>
      <w:r>
        <w:rPr>
          <w:spacing w:val="-8"/>
          <w:w w:val="105"/>
        </w:rPr>
        <w:t> </w:t>
      </w:r>
      <w:r>
        <w:rPr>
          <w:w w:val="105"/>
        </w:rPr>
        <w:t>Company</w:t>
      </w:r>
      <w:r>
        <w:rPr>
          <w:spacing w:val="-8"/>
          <w:w w:val="105"/>
        </w:rPr>
        <w:t> </w:t>
      </w:r>
      <w:r>
        <w:rPr>
          <w:w w:val="105"/>
        </w:rPr>
        <w:t>determines the</w:t>
      </w:r>
      <w:r>
        <w:rPr>
          <w:spacing w:val="-2"/>
          <w:w w:val="105"/>
        </w:rPr>
        <w:t> </w:t>
      </w:r>
      <w:r>
        <w:rPr>
          <w:w w:val="105"/>
        </w:rPr>
        <w:t>allowances</w:t>
      </w:r>
      <w:r>
        <w:rPr>
          <w:spacing w:val="-2"/>
          <w:w w:val="105"/>
        </w:rPr>
        <w:t> </w:t>
      </w:r>
      <w:r>
        <w:rPr>
          <w:w w:val="105"/>
        </w:rPr>
        <w:t>based</w:t>
      </w:r>
      <w:r>
        <w:rPr>
          <w:spacing w:val="-2"/>
          <w:w w:val="105"/>
        </w:rPr>
        <w:t> </w:t>
      </w:r>
      <w:r>
        <w:rPr>
          <w:w w:val="105"/>
        </w:rPr>
        <w:t>on</w:t>
      </w:r>
      <w:r>
        <w:rPr>
          <w:spacing w:val="-2"/>
          <w:w w:val="105"/>
        </w:rPr>
        <w:t> </w:t>
      </w:r>
      <w:r>
        <w:rPr>
          <w:w w:val="105"/>
        </w:rPr>
        <w:t>historical</w:t>
      </w:r>
      <w:r>
        <w:rPr>
          <w:spacing w:val="-2"/>
          <w:w w:val="105"/>
        </w:rPr>
        <w:t> </w:t>
      </w:r>
      <w:r>
        <w:rPr>
          <w:w w:val="105"/>
        </w:rPr>
        <w:t>write-off</w:t>
      </w:r>
      <w:r>
        <w:rPr>
          <w:spacing w:val="-2"/>
          <w:w w:val="105"/>
        </w:rPr>
        <w:t> </w:t>
      </w:r>
      <w:r>
        <w:rPr>
          <w:w w:val="105"/>
        </w:rPr>
        <w:t>experience</w:t>
      </w:r>
      <w:r>
        <w:rPr>
          <w:spacing w:val="-2"/>
          <w:w w:val="105"/>
        </w:rPr>
        <w:t> </w:t>
      </w:r>
      <w:r>
        <w:rPr>
          <w:w w:val="105"/>
        </w:rPr>
        <w:t>and</w:t>
      </w:r>
      <w:r>
        <w:rPr>
          <w:spacing w:val="-2"/>
          <w:w w:val="105"/>
        </w:rPr>
        <w:t> </w:t>
      </w:r>
      <w:r>
        <w:rPr>
          <w:w w:val="105"/>
        </w:rPr>
        <w:t>expected</w:t>
      </w:r>
      <w:r>
        <w:rPr>
          <w:spacing w:val="-2"/>
          <w:w w:val="105"/>
        </w:rPr>
        <w:t> </w:t>
      </w:r>
      <w:r>
        <w:rPr>
          <w:w w:val="105"/>
        </w:rPr>
        <w:t>future</w:t>
      </w:r>
      <w:r>
        <w:rPr>
          <w:spacing w:val="-2"/>
          <w:w w:val="105"/>
        </w:rPr>
        <w:t> </w:t>
      </w:r>
      <w:r>
        <w:rPr>
          <w:w w:val="105"/>
        </w:rPr>
        <w:t>default</w:t>
      </w:r>
      <w:r>
        <w:rPr>
          <w:spacing w:val="-2"/>
          <w:w w:val="105"/>
        </w:rPr>
        <w:t> </w:t>
      </w:r>
      <w:r>
        <w:rPr>
          <w:w w:val="105"/>
        </w:rPr>
        <w:t>rate</w:t>
      </w:r>
      <w:r>
        <w:rPr>
          <w:spacing w:val="-2"/>
          <w:w w:val="105"/>
        </w:rPr>
        <w:t> </w:t>
      </w:r>
      <w:r>
        <w:rPr>
          <w:w w:val="105"/>
        </w:rPr>
        <w:t>by</w:t>
      </w:r>
      <w:r>
        <w:rPr>
          <w:spacing w:val="-2"/>
          <w:w w:val="105"/>
        </w:rPr>
        <w:t> </w:t>
      </w:r>
      <w:r>
        <w:rPr>
          <w:w w:val="105"/>
        </w:rPr>
        <w:t>industry. In</w:t>
      </w:r>
      <w:r>
        <w:rPr>
          <w:spacing w:val="-2"/>
          <w:w w:val="105"/>
        </w:rPr>
        <w:t> </w:t>
      </w:r>
      <w:r>
        <w:rPr>
          <w:w w:val="105"/>
        </w:rPr>
        <w:t>addition,</w:t>
      </w:r>
      <w:r>
        <w:rPr>
          <w:spacing w:val="-2"/>
          <w:w w:val="105"/>
        </w:rPr>
        <w:t> </w:t>
      </w:r>
      <w:r>
        <w:rPr>
          <w:w w:val="105"/>
        </w:rPr>
        <w:t>in</w:t>
      </w:r>
      <w:r>
        <w:rPr>
          <w:spacing w:val="-2"/>
          <w:w w:val="105"/>
        </w:rPr>
        <w:t> </w:t>
      </w:r>
      <w:r>
        <w:rPr>
          <w:w w:val="105"/>
        </w:rPr>
        <w:t>circumstances</w:t>
      </w:r>
      <w:r>
        <w:rPr>
          <w:spacing w:val="-2"/>
          <w:w w:val="105"/>
        </w:rPr>
        <w:t> </w:t>
      </w:r>
      <w:r>
        <w:rPr>
          <w:w w:val="105"/>
        </w:rPr>
        <w:t>where</w:t>
      </w:r>
      <w:r>
        <w:rPr>
          <w:spacing w:val="-2"/>
          <w:w w:val="105"/>
        </w:rPr>
        <w:t> </w:t>
      </w:r>
      <w:r>
        <w:rPr>
          <w:w w:val="105"/>
        </w:rPr>
        <w:t>the</w:t>
      </w:r>
      <w:r>
        <w:rPr>
          <w:spacing w:val="-2"/>
          <w:w w:val="105"/>
        </w:rPr>
        <w:t> </w:t>
      </w:r>
      <w:r>
        <w:rPr>
          <w:w w:val="105"/>
        </w:rPr>
        <w:t>Company</w:t>
      </w:r>
      <w:r>
        <w:rPr>
          <w:spacing w:val="-2"/>
          <w:w w:val="105"/>
        </w:rPr>
        <w:t> </w:t>
      </w:r>
      <w:r>
        <w:rPr>
          <w:w w:val="105"/>
        </w:rPr>
        <w:t>is</w:t>
      </w:r>
      <w:r>
        <w:rPr>
          <w:spacing w:val="-2"/>
          <w:w w:val="105"/>
        </w:rPr>
        <w:t> </w:t>
      </w:r>
      <w:r>
        <w:rPr>
          <w:w w:val="105"/>
        </w:rPr>
        <w:t>made</w:t>
      </w:r>
      <w:r>
        <w:rPr>
          <w:spacing w:val="-2"/>
          <w:w w:val="105"/>
        </w:rPr>
        <w:t> </w:t>
      </w:r>
      <w:r>
        <w:rPr>
          <w:w w:val="105"/>
        </w:rPr>
        <w:t>aware</w:t>
      </w:r>
      <w:r>
        <w:rPr>
          <w:spacing w:val="-2"/>
          <w:w w:val="105"/>
        </w:rPr>
        <w:t> </w:t>
      </w:r>
      <w:r>
        <w:rPr>
          <w:w w:val="105"/>
        </w:rPr>
        <w:t>of</w:t>
      </w:r>
      <w:r>
        <w:rPr>
          <w:spacing w:val="-2"/>
          <w:w w:val="105"/>
        </w:rPr>
        <w:t> </w:t>
      </w:r>
      <w:r>
        <w:rPr>
          <w:w w:val="105"/>
        </w:rPr>
        <w:t>a specific</w:t>
      </w:r>
      <w:r>
        <w:rPr>
          <w:spacing w:val="-2"/>
          <w:w w:val="105"/>
        </w:rPr>
        <w:t> </w:t>
      </w:r>
      <w:r>
        <w:rPr>
          <w:w w:val="105"/>
        </w:rPr>
        <w:t>customer’s inability</w:t>
      </w:r>
      <w:r>
        <w:rPr>
          <w:spacing w:val="-2"/>
          <w:w w:val="105"/>
        </w:rPr>
        <w:t> </w:t>
      </w:r>
      <w:r>
        <w:rPr>
          <w:w w:val="105"/>
        </w:rPr>
        <w:t>to</w:t>
      </w:r>
      <w:r>
        <w:rPr>
          <w:spacing w:val="-2"/>
          <w:w w:val="105"/>
        </w:rPr>
        <w:t> </w:t>
      </w:r>
      <w:r>
        <w:rPr>
          <w:w w:val="105"/>
        </w:rPr>
        <w:t>meet</w:t>
      </w:r>
      <w:r>
        <w:rPr>
          <w:spacing w:val="-2"/>
          <w:w w:val="105"/>
        </w:rPr>
        <w:t> </w:t>
      </w:r>
      <w:r>
        <w:rPr>
          <w:w w:val="105"/>
        </w:rPr>
        <w:t>its financial</w:t>
      </w:r>
      <w:r>
        <w:rPr>
          <w:spacing w:val="-2"/>
          <w:w w:val="105"/>
        </w:rPr>
        <w:t> </w:t>
      </w:r>
      <w:r>
        <w:rPr>
          <w:w w:val="105"/>
        </w:rPr>
        <w:t>obligations,</w:t>
      </w:r>
      <w:r>
        <w:rPr>
          <w:spacing w:val="-2"/>
          <w:w w:val="105"/>
        </w:rPr>
        <w:t> </w:t>
      </w:r>
      <w:r>
        <w:rPr>
          <w:w w:val="105"/>
        </w:rPr>
        <w:t>a</w:t>
      </w:r>
      <w:r>
        <w:rPr>
          <w:spacing w:val="-2"/>
          <w:w w:val="105"/>
        </w:rPr>
        <w:t> </w:t>
      </w:r>
      <w:r>
        <w:rPr>
          <w:w w:val="105"/>
        </w:rPr>
        <w:t>specific</w:t>
      </w:r>
      <w:r>
        <w:rPr>
          <w:spacing w:val="-2"/>
          <w:w w:val="105"/>
        </w:rPr>
        <w:t> </w:t>
      </w:r>
      <w:r>
        <w:rPr>
          <w:w w:val="105"/>
        </w:rPr>
        <w:t>allowance</w:t>
      </w:r>
      <w:r>
        <w:rPr>
          <w:spacing w:val="-2"/>
          <w:w w:val="105"/>
        </w:rPr>
        <w:t> </w:t>
      </w:r>
      <w:r>
        <w:rPr>
          <w:w w:val="105"/>
        </w:rPr>
        <w:t>is</w:t>
      </w:r>
      <w:r>
        <w:rPr>
          <w:spacing w:val="-2"/>
          <w:w w:val="105"/>
        </w:rPr>
        <w:t> </w:t>
      </w:r>
      <w:r>
        <w:rPr>
          <w:w w:val="105"/>
        </w:rPr>
        <w:t>established.</w:t>
      </w:r>
      <w:r>
        <w:rPr>
          <w:spacing w:val="-2"/>
          <w:w w:val="105"/>
        </w:rPr>
        <w:t> </w:t>
      </w:r>
      <w:r>
        <w:rPr>
          <w:w w:val="105"/>
        </w:rPr>
        <w:t>The</w:t>
      </w:r>
      <w:r>
        <w:rPr>
          <w:spacing w:val="-2"/>
          <w:w w:val="105"/>
        </w:rPr>
        <w:t> </w:t>
      </w:r>
      <w:r>
        <w:rPr>
          <w:w w:val="105"/>
        </w:rPr>
        <w:t>Company</w:t>
      </w:r>
      <w:r>
        <w:rPr>
          <w:spacing w:val="-2"/>
          <w:w w:val="105"/>
        </w:rPr>
        <w:t> </w:t>
      </w:r>
      <w:r>
        <w:rPr>
          <w:w w:val="105"/>
        </w:rPr>
        <w:t>does</w:t>
      </w:r>
      <w:r>
        <w:rPr>
          <w:spacing w:val="-1"/>
          <w:w w:val="105"/>
        </w:rPr>
        <w:t> </w:t>
      </w:r>
      <w:r>
        <w:rPr>
          <w:w w:val="105"/>
        </w:rPr>
        <w:t>not</w:t>
      </w:r>
      <w:r>
        <w:rPr>
          <w:spacing w:val="-2"/>
          <w:w w:val="105"/>
        </w:rPr>
        <w:t> </w:t>
      </w:r>
      <w:r>
        <w:rPr>
          <w:w w:val="105"/>
        </w:rPr>
        <w:t>have</w:t>
      </w:r>
      <w:r>
        <w:rPr>
          <w:spacing w:val="-2"/>
          <w:w w:val="105"/>
        </w:rPr>
        <w:t> </w:t>
      </w:r>
      <w:r>
        <w:rPr>
          <w:w w:val="105"/>
        </w:rPr>
        <w:t>any</w:t>
      </w:r>
      <w:r>
        <w:rPr>
          <w:spacing w:val="-2"/>
          <w:w w:val="105"/>
        </w:rPr>
        <w:t> </w:t>
      </w:r>
      <w:r>
        <w:rPr>
          <w:w w:val="105"/>
        </w:rPr>
        <w:t>significant</w:t>
      </w:r>
      <w:r>
        <w:rPr>
          <w:spacing w:val="-4"/>
          <w:w w:val="105"/>
        </w:rPr>
        <w:t> </w:t>
      </w:r>
      <w:r>
        <w:rPr>
          <w:w w:val="105"/>
        </w:rPr>
        <w:t>off-balance-sheet</w:t>
      </w:r>
      <w:r>
        <w:rPr>
          <w:spacing w:val="-2"/>
          <w:w w:val="105"/>
        </w:rPr>
        <w:t> </w:t>
      </w:r>
      <w:r>
        <w:rPr>
          <w:w w:val="105"/>
        </w:rPr>
        <w:t>credit exposure related to its customers.</w:t>
      </w:r>
    </w:p>
    <w:p>
      <w:pPr>
        <w:pStyle w:val="BodyText"/>
        <w:spacing w:before="18"/>
      </w:pPr>
    </w:p>
    <w:p>
      <w:pPr>
        <w:pStyle w:val="Heading3"/>
        <w:spacing w:before="1"/>
      </w:pPr>
      <w:r>
        <w:rPr/>
        <w:t>Environmental</w:t>
      </w:r>
      <w:r>
        <w:rPr>
          <w:spacing w:val="30"/>
        </w:rPr>
        <w:t> </w:t>
      </w:r>
      <w:r>
        <w:rPr>
          <w:spacing w:val="-2"/>
        </w:rPr>
        <w:t>Liabilities</w:t>
      </w:r>
    </w:p>
    <w:p>
      <w:pPr>
        <w:pStyle w:val="BodyText"/>
        <w:spacing w:before="39"/>
        <w:rPr>
          <w:b/>
          <w:i/>
        </w:rPr>
      </w:pPr>
    </w:p>
    <w:p>
      <w:pPr>
        <w:pStyle w:val="BodyText"/>
        <w:spacing w:line="266" w:lineRule="auto"/>
        <w:ind w:left="156"/>
      </w:pPr>
      <w:r>
        <w:rPr>
          <w:w w:val="105"/>
        </w:rPr>
        <w:t>The</w:t>
      </w:r>
      <w:r>
        <w:rPr>
          <w:spacing w:val="-8"/>
          <w:w w:val="105"/>
        </w:rPr>
        <w:t> </w:t>
      </w:r>
      <w:r>
        <w:rPr>
          <w:w w:val="105"/>
        </w:rPr>
        <w:t>Company</w:t>
      </w:r>
      <w:r>
        <w:rPr>
          <w:spacing w:val="-8"/>
          <w:w w:val="105"/>
        </w:rPr>
        <w:t> </w:t>
      </w:r>
      <w:r>
        <w:rPr>
          <w:w w:val="105"/>
        </w:rPr>
        <w:t>accrues</w:t>
      </w:r>
      <w:r>
        <w:rPr>
          <w:spacing w:val="-8"/>
          <w:w w:val="105"/>
        </w:rPr>
        <w:t> </w:t>
      </w:r>
      <w:r>
        <w:rPr>
          <w:w w:val="105"/>
        </w:rPr>
        <w:t>for</w:t>
      </w:r>
      <w:r>
        <w:rPr>
          <w:spacing w:val="-8"/>
          <w:w w:val="105"/>
        </w:rPr>
        <w:t> </w:t>
      </w:r>
      <w:r>
        <w:rPr>
          <w:w w:val="105"/>
        </w:rPr>
        <w:t>its</w:t>
      </w:r>
      <w:r>
        <w:rPr>
          <w:spacing w:val="-8"/>
          <w:w w:val="105"/>
        </w:rPr>
        <w:t> </w:t>
      </w:r>
      <w:r>
        <w:rPr>
          <w:w w:val="105"/>
        </w:rPr>
        <w:t>environmental</w:t>
      </w:r>
      <w:r>
        <w:rPr>
          <w:spacing w:val="-8"/>
          <w:w w:val="105"/>
        </w:rPr>
        <w:t> </w:t>
      </w:r>
      <w:r>
        <w:rPr>
          <w:w w:val="105"/>
        </w:rPr>
        <w:t>investigation,</w:t>
      </w:r>
      <w:r>
        <w:rPr>
          <w:spacing w:val="-8"/>
          <w:w w:val="105"/>
        </w:rPr>
        <w:t> </w:t>
      </w:r>
      <w:r>
        <w:rPr>
          <w:w w:val="105"/>
        </w:rPr>
        <w:t>remediation,</w:t>
      </w:r>
      <w:r>
        <w:rPr>
          <w:spacing w:val="-8"/>
          <w:w w:val="105"/>
        </w:rPr>
        <w:t> </w:t>
      </w:r>
      <w:r>
        <w:rPr>
          <w:w w:val="105"/>
        </w:rPr>
        <w:t>operating</w:t>
      </w:r>
      <w:r>
        <w:rPr>
          <w:spacing w:val="-8"/>
          <w:w w:val="105"/>
        </w:rPr>
        <w:t> </w:t>
      </w:r>
      <w:r>
        <w:rPr>
          <w:w w:val="105"/>
        </w:rPr>
        <w:t>and</w:t>
      </w:r>
      <w:r>
        <w:rPr>
          <w:spacing w:val="-8"/>
          <w:w w:val="105"/>
        </w:rPr>
        <w:t> </w:t>
      </w:r>
      <w:r>
        <w:rPr>
          <w:w w:val="105"/>
        </w:rPr>
        <w:t>maintenance</w:t>
      </w:r>
      <w:r>
        <w:rPr>
          <w:spacing w:val="-8"/>
          <w:w w:val="105"/>
        </w:rPr>
        <w:t> </w:t>
      </w:r>
      <w:r>
        <w:rPr>
          <w:w w:val="105"/>
        </w:rPr>
        <w:t>costs</w:t>
      </w:r>
      <w:r>
        <w:rPr>
          <w:spacing w:val="-8"/>
          <w:w w:val="105"/>
        </w:rPr>
        <w:t> </w:t>
      </w:r>
      <w:r>
        <w:rPr>
          <w:w w:val="105"/>
        </w:rPr>
        <w:t>when</w:t>
      </w:r>
      <w:r>
        <w:rPr>
          <w:spacing w:val="-8"/>
          <w:w w:val="105"/>
        </w:rPr>
        <w:t> </w:t>
      </w:r>
      <w:r>
        <w:rPr>
          <w:w w:val="105"/>
        </w:rPr>
        <w:t>it</w:t>
      </w:r>
      <w:r>
        <w:rPr>
          <w:spacing w:val="-8"/>
          <w:w w:val="105"/>
        </w:rPr>
        <w:t> </w:t>
      </w:r>
      <w:r>
        <w:rPr>
          <w:w w:val="105"/>
        </w:rPr>
        <w:t>is</w:t>
      </w:r>
      <w:r>
        <w:rPr>
          <w:spacing w:val="-8"/>
          <w:w w:val="105"/>
        </w:rPr>
        <w:t> </w:t>
      </w:r>
      <w:r>
        <w:rPr>
          <w:w w:val="105"/>
        </w:rPr>
        <w:t>probable</w:t>
      </w:r>
      <w:r>
        <w:rPr>
          <w:spacing w:val="-8"/>
          <w:w w:val="105"/>
        </w:rPr>
        <w:t> </w:t>
      </w:r>
      <w:r>
        <w:rPr>
          <w:w w:val="105"/>
        </w:rPr>
        <w:t>that</w:t>
      </w:r>
      <w:r>
        <w:rPr>
          <w:spacing w:val="-8"/>
          <w:w w:val="105"/>
        </w:rPr>
        <w:t> </w:t>
      </w:r>
      <w:r>
        <w:rPr>
          <w:w w:val="105"/>
        </w:rPr>
        <w:t>a</w:t>
      </w:r>
      <w:r>
        <w:rPr>
          <w:spacing w:val="-8"/>
          <w:w w:val="105"/>
        </w:rPr>
        <w:t> </w:t>
      </w:r>
      <w:r>
        <w:rPr>
          <w:w w:val="105"/>
        </w:rPr>
        <w:t>liability</w:t>
      </w:r>
      <w:r>
        <w:rPr>
          <w:spacing w:val="-8"/>
          <w:w w:val="105"/>
        </w:rPr>
        <w:t> </w:t>
      </w:r>
      <w:r>
        <w:rPr>
          <w:w w:val="105"/>
        </w:rPr>
        <w:t>has</w:t>
      </w:r>
      <w:r>
        <w:rPr>
          <w:spacing w:val="-8"/>
          <w:w w:val="105"/>
        </w:rPr>
        <w:t> </w:t>
      </w:r>
      <w:r>
        <w:rPr>
          <w:w w:val="105"/>
        </w:rPr>
        <w:t>been</w:t>
      </w:r>
      <w:r>
        <w:rPr>
          <w:spacing w:val="-8"/>
          <w:w w:val="105"/>
        </w:rPr>
        <w:t> </w:t>
      </w:r>
      <w:r>
        <w:rPr>
          <w:w w:val="105"/>
        </w:rPr>
        <w:t>incurred</w:t>
      </w:r>
      <w:r>
        <w:rPr>
          <w:spacing w:val="-8"/>
          <w:w w:val="105"/>
        </w:rPr>
        <w:t> </w:t>
      </w:r>
      <w:r>
        <w:rPr>
          <w:w w:val="105"/>
        </w:rPr>
        <w:t>and</w:t>
      </w:r>
      <w:r>
        <w:rPr>
          <w:spacing w:val="-6"/>
          <w:w w:val="105"/>
        </w:rPr>
        <w:t> </w:t>
      </w:r>
      <w:r>
        <w:rPr>
          <w:w w:val="105"/>
        </w:rPr>
        <w:t>the</w:t>
      </w:r>
      <w:r>
        <w:rPr>
          <w:spacing w:val="-8"/>
          <w:w w:val="105"/>
        </w:rPr>
        <w:t> </w:t>
      </w:r>
      <w:r>
        <w:rPr>
          <w:w w:val="105"/>
        </w:rPr>
        <w:t>amount can</w:t>
      </w:r>
      <w:r>
        <w:rPr>
          <w:spacing w:val="-8"/>
          <w:w w:val="105"/>
        </w:rPr>
        <w:t> </w:t>
      </w:r>
      <w:r>
        <w:rPr>
          <w:w w:val="105"/>
        </w:rPr>
        <w:t>be</w:t>
      </w:r>
      <w:r>
        <w:rPr>
          <w:spacing w:val="-8"/>
          <w:w w:val="105"/>
        </w:rPr>
        <w:t> </w:t>
      </w:r>
      <w:r>
        <w:rPr>
          <w:w w:val="105"/>
        </w:rPr>
        <w:t>reasonably</w:t>
      </w:r>
      <w:r>
        <w:rPr>
          <w:spacing w:val="-8"/>
          <w:w w:val="105"/>
        </w:rPr>
        <w:t> </w:t>
      </w:r>
      <w:r>
        <w:rPr>
          <w:w w:val="105"/>
        </w:rPr>
        <w:t>estimated.</w:t>
      </w:r>
      <w:r>
        <w:rPr>
          <w:spacing w:val="-8"/>
          <w:w w:val="105"/>
        </w:rPr>
        <w:t> </w:t>
      </w:r>
      <w:r>
        <w:rPr>
          <w:w w:val="105"/>
        </w:rPr>
        <w:t>For</w:t>
      </w:r>
      <w:r>
        <w:rPr>
          <w:spacing w:val="-8"/>
          <w:w w:val="105"/>
        </w:rPr>
        <w:t> </w:t>
      </w:r>
      <w:r>
        <w:rPr>
          <w:w w:val="105"/>
        </w:rPr>
        <w:t>environmental</w:t>
      </w:r>
      <w:r>
        <w:rPr>
          <w:spacing w:val="-8"/>
          <w:w w:val="105"/>
        </w:rPr>
        <w:t> </w:t>
      </w:r>
      <w:r>
        <w:rPr>
          <w:w w:val="105"/>
        </w:rPr>
        <w:t>matters,</w:t>
      </w:r>
      <w:r>
        <w:rPr>
          <w:spacing w:val="-8"/>
          <w:w w:val="105"/>
        </w:rPr>
        <w:t> </w:t>
      </w:r>
      <w:r>
        <w:rPr>
          <w:w w:val="105"/>
        </w:rPr>
        <w:t>the</w:t>
      </w:r>
      <w:r>
        <w:rPr>
          <w:spacing w:val="-8"/>
          <w:w w:val="105"/>
        </w:rPr>
        <w:t> </w:t>
      </w:r>
      <w:r>
        <w:rPr>
          <w:w w:val="105"/>
        </w:rPr>
        <w:t>most</w:t>
      </w:r>
      <w:r>
        <w:rPr>
          <w:spacing w:val="-8"/>
          <w:w w:val="105"/>
        </w:rPr>
        <w:t> </w:t>
      </w:r>
      <w:r>
        <w:rPr>
          <w:w w:val="105"/>
        </w:rPr>
        <w:t>likely</w:t>
      </w:r>
      <w:r>
        <w:rPr>
          <w:spacing w:val="-8"/>
          <w:w w:val="105"/>
        </w:rPr>
        <w:t> </w:t>
      </w:r>
      <w:r>
        <w:rPr>
          <w:w w:val="105"/>
        </w:rPr>
        <w:t>cost</w:t>
      </w:r>
      <w:r>
        <w:rPr>
          <w:spacing w:val="-8"/>
          <w:w w:val="105"/>
        </w:rPr>
        <w:t> </w:t>
      </w:r>
      <w:r>
        <w:rPr>
          <w:w w:val="105"/>
        </w:rPr>
        <w:t>to</w:t>
      </w:r>
      <w:r>
        <w:rPr>
          <w:spacing w:val="-8"/>
          <w:w w:val="105"/>
        </w:rPr>
        <w:t> </w:t>
      </w:r>
      <w:r>
        <w:rPr>
          <w:w w:val="105"/>
        </w:rPr>
        <w:t>be</w:t>
      </w:r>
      <w:r>
        <w:rPr>
          <w:spacing w:val="-8"/>
          <w:w w:val="105"/>
        </w:rPr>
        <w:t> </w:t>
      </w:r>
      <w:r>
        <w:rPr>
          <w:w w:val="105"/>
        </w:rPr>
        <w:t>incurred</w:t>
      </w:r>
      <w:r>
        <w:rPr>
          <w:spacing w:val="-8"/>
          <w:w w:val="105"/>
        </w:rPr>
        <w:t> </w:t>
      </w:r>
      <w:r>
        <w:rPr>
          <w:w w:val="105"/>
        </w:rPr>
        <w:t>is</w:t>
      </w:r>
      <w:r>
        <w:rPr>
          <w:spacing w:val="-8"/>
          <w:w w:val="105"/>
        </w:rPr>
        <w:t> </w:t>
      </w:r>
      <w:r>
        <w:rPr>
          <w:w w:val="105"/>
        </w:rPr>
        <w:t>accrued</w:t>
      </w:r>
      <w:r>
        <w:rPr>
          <w:spacing w:val="-8"/>
          <w:w w:val="105"/>
        </w:rPr>
        <w:t> </w:t>
      </w:r>
      <w:r>
        <w:rPr>
          <w:w w:val="105"/>
        </w:rPr>
        <w:t>based</w:t>
      </w:r>
      <w:r>
        <w:rPr>
          <w:spacing w:val="-8"/>
          <w:w w:val="105"/>
        </w:rPr>
        <w:t> </w:t>
      </w:r>
      <w:r>
        <w:rPr>
          <w:w w:val="105"/>
        </w:rPr>
        <w:t>on</w:t>
      </w:r>
      <w:r>
        <w:rPr>
          <w:spacing w:val="-8"/>
          <w:w w:val="105"/>
        </w:rPr>
        <w:t> </w:t>
      </w:r>
      <w:r>
        <w:rPr>
          <w:w w:val="105"/>
        </w:rPr>
        <w:t>an</w:t>
      </w:r>
      <w:r>
        <w:rPr>
          <w:spacing w:val="-8"/>
          <w:w w:val="105"/>
        </w:rPr>
        <w:t> </w:t>
      </w:r>
      <w:r>
        <w:rPr>
          <w:w w:val="105"/>
        </w:rPr>
        <w:t>evaluation</w:t>
      </w:r>
      <w:r>
        <w:rPr>
          <w:spacing w:val="-8"/>
          <w:w w:val="105"/>
        </w:rPr>
        <w:t> </w:t>
      </w:r>
      <w:r>
        <w:rPr>
          <w:w w:val="105"/>
        </w:rPr>
        <w:t>of</w:t>
      </w:r>
      <w:r>
        <w:rPr>
          <w:spacing w:val="-8"/>
          <w:w w:val="105"/>
        </w:rPr>
        <w:t> </w:t>
      </w:r>
      <w:r>
        <w:rPr>
          <w:w w:val="105"/>
        </w:rPr>
        <w:t>currently</w:t>
      </w:r>
      <w:r>
        <w:rPr>
          <w:spacing w:val="-8"/>
          <w:w w:val="105"/>
        </w:rPr>
        <w:t> </w:t>
      </w:r>
      <w:r>
        <w:rPr>
          <w:w w:val="105"/>
        </w:rPr>
        <w:t>available</w:t>
      </w:r>
      <w:r>
        <w:rPr>
          <w:spacing w:val="-8"/>
          <w:w w:val="105"/>
        </w:rPr>
        <w:t> </w:t>
      </w:r>
      <w:r>
        <w:rPr>
          <w:w w:val="105"/>
        </w:rPr>
        <w:t>facts</w:t>
      </w:r>
      <w:r>
        <w:rPr>
          <w:spacing w:val="-8"/>
          <w:w w:val="105"/>
        </w:rPr>
        <w:t> </w:t>
      </w:r>
      <w:r>
        <w:rPr>
          <w:w w:val="105"/>
        </w:rPr>
        <w:t>with</w:t>
      </w:r>
      <w:r>
        <w:rPr>
          <w:spacing w:val="-8"/>
          <w:w w:val="105"/>
        </w:rPr>
        <w:t> </w:t>
      </w:r>
      <w:r>
        <w:rPr>
          <w:w w:val="105"/>
        </w:rPr>
        <w:t>respect</w:t>
      </w:r>
      <w:r>
        <w:rPr>
          <w:spacing w:val="-8"/>
          <w:w w:val="105"/>
        </w:rPr>
        <w:t> </w:t>
      </w:r>
      <w:r>
        <w:rPr>
          <w:w w:val="105"/>
        </w:rPr>
        <w:t>to</w:t>
      </w:r>
      <w:r>
        <w:rPr>
          <w:spacing w:val="-8"/>
          <w:w w:val="105"/>
        </w:rPr>
        <w:t> </w:t>
      </w:r>
      <w:r>
        <w:rPr>
          <w:w w:val="105"/>
        </w:rPr>
        <w:t>each individual</w:t>
      </w:r>
      <w:r>
        <w:rPr>
          <w:spacing w:val="-2"/>
          <w:w w:val="105"/>
        </w:rPr>
        <w:t> </w:t>
      </w:r>
      <w:r>
        <w:rPr>
          <w:w w:val="105"/>
        </w:rPr>
        <w:t>site,</w:t>
      </w:r>
      <w:r>
        <w:rPr>
          <w:spacing w:val="-2"/>
          <w:w w:val="105"/>
        </w:rPr>
        <w:t> </w:t>
      </w:r>
      <w:r>
        <w:rPr>
          <w:w w:val="105"/>
        </w:rPr>
        <w:t>current</w:t>
      </w:r>
      <w:r>
        <w:rPr>
          <w:spacing w:val="-2"/>
          <w:w w:val="105"/>
        </w:rPr>
        <w:t> </w:t>
      </w:r>
      <w:r>
        <w:rPr>
          <w:w w:val="105"/>
        </w:rPr>
        <w:t>laws</w:t>
      </w:r>
      <w:r>
        <w:rPr>
          <w:spacing w:val="-2"/>
          <w:w w:val="105"/>
        </w:rPr>
        <w:t> </w:t>
      </w:r>
      <w:r>
        <w:rPr>
          <w:w w:val="105"/>
        </w:rPr>
        <w:t>and</w:t>
      </w:r>
      <w:r>
        <w:rPr>
          <w:spacing w:val="-2"/>
          <w:w w:val="105"/>
        </w:rPr>
        <w:t> </w:t>
      </w:r>
      <w:r>
        <w:rPr>
          <w:w w:val="105"/>
        </w:rPr>
        <w:t>regulations</w:t>
      </w:r>
      <w:r>
        <w:rPr>
          <w:spacing w:val="-2"/>
          <w:w w:val="105"/>
        </w:rPr>
        <w:t> </w:t>
      </w:r>
      <w:r>
        <w:rPr>
          <w:w w:val="105"/>
        </w:rPr>
        <w:t>and</w:t>
      </w:r>
      <w:r>
        <w:rPr>
          <w:spacing w:val="-2"/>
          <w:w w:val="105"/>
        </w:rPr>
        <w:t> </w:t>
      </w:r>
      <w:r>
        <w:rPr>
          <w:w w:val="105"/>
        </w:rPr>
        <w:t>prior remediation</w:t>
      </w:r>
      <w:r>
        <w:rPr>
          <w:spacing w:val="-2"/>
          <w:w w:val="105"/>
        </w:rPr>
        <w:t> </w:t>
      </w:r>
      <w:r>
        <w:rPr>
          <w:w w:val="105"/>
        </w:rPr>
        <w:t>experience.</w:t>
      </w:r>
      <w:r>
        <w:rPr>
          <w:spacing w:val="-2"/>
          <w:w w:val="105"/>
        </w:rPr>
        <w:t> </w:t>
      </w:r>
      <w:r>
        <w:rPr>
          <w:w w:val="105"/>
        </w:rPr>
        <w:t>For</w:t>
      </w:r>
      <w:r>
        <w:rPr>
          <w:spacing w:val="-2"/>
          <w:w w:val="105"/>
        </w:rPr>
        <w:t> </w:t>
      </w:r>
      <w:r>
        <w:rPr>
          <w:w w:val="105"/>
        </w:rPr>
        <w:t>sites</w:t>
      </w:r>
      <w:r>
        <w:rPr>
          <w:spacing w:val="-2"/>
          <w:w w:val="105"/>
        </w:rPr>
        <w:t> </w:t>
      </w:r>
      <w:r>
        <w:rPr>
          <w:w w:val="105"/>
        </w:rPr>
        <w:t>with</w:t>
      </w:r>
      <w:r>
        <w:rPr>
          <w:spacing w:val="-2"/>
          <w:w w:val="105"/>
        </w:rPr>
        <w:t> </w:t>
      </w:r>
      <w:r>
        <w:rPr>
          <w:w w:val="105"/>
        </w:rPr>
        <w:t>multiple</w:t>
      </w:r>
      <w:r>
        <w:rPr>
          <w:spacing w:val="-2"/>
          <w:w w:val="105"/>
        </w:rPr>
        <w:t> </w:t>
      </w:r>
      <w:r>
        <w:rPr>
          <w:w w:val="105"/>
        </w:rPr>
        <w:t>potentially</w:t>
      </w:r>
      <w:r>
        <w:rPr>
          <w:spacing w:val="-2"/>
          <w:w w:val="105"/>
        </w:rPr>
        <w:t> </w:t>
      </w:r>
      <w:r>
        <w:rPr>
          <w:w w:val="105"/>
        </w:rPr>
        <w:t>responsible</w:t>
      </w:r>
      <w:r>
        <w:rPr>
          <w:spacing w:val="-2"/>
          <w:w w:val="105"/>
        </w:rPr>
        <w:t> </w:t>
      </w:r>
      <w:r>
        <w:rPr>
          <w:w w:val="105"/>
        </w:rPr>
        <w:t>parties,</w:t>
      </w:r>
      <w:r>
        <w:rPr>
          <w:spacing w:val="-2"/>
          <w:w w:val="105"/>
        </w:rPr>
        <w:t> </w:t>
      </w:r>
      <w:r>
        <w:rPr>
          <w:w w:val="105"/>
        </w:rPr>
        <w:t>the</w:t>
      </w:r>
      <w:r>
        <w:rPr>
          <w:spacing w:val="-2"/>
          <w:w w:val="105"/>
        </w:rPr>
        <w:t> </w:t>
      </w:r>
      <w:r>
        <w:rPr>
          <w:w w:val="105"/>
        </w:rPr>
        <w:t>Company</w:t>
      </w:r>
      <w:r>
        <w:rPr>
          <w:spacing w:val="-2"/>
          <w:w w:val="105"/>
        </w:rPr>
        <w:t> </w:t>
      </w:r>
      <w:r>
        <w:rPr>
          <w:w w:val="105"/>
        </w:rPr>
        <w:t>considers</w:t>
      </w:r>
      <w:r>
        <w:rPr>
          <w:spacing w:val="-2"/>
          <w:w w:val="105"/>
        </w:rPr>
        <w:t> </w:t>
      </w:r>
      <w:r>
        <w:rPr>
          <w:w w:val="105"/>
        </w:rPr>
        <w:t>its</w:t>
      </w:r>
      <w:r>
        <w:rPr>
          <w:spacing w:val="-2"/>
          <w:w w:val="105"/>
        </w:rPr>
        <w:t> </w:t>
      </w:r>
      <w:r>
        <w:rPr>
          <w:w w:val="105"/>
        </w:rPr>
        <w:t>likely proportionate</w:t>
      </w:r>
      <w:r>
        <w:rPr>
          <w:spacing w:val="-4"/>
          <w:w w:val="105"/>
        </w:rPr>
        <w:t> </w:t>
      </w:r>
      <w:r>
        <w:rPr>
          <w:w w:val="105"/>
        </w:rPr>
        <w:t>share</w:t>
      </w:r>
      <w:r>
        <w:rPr>
          <w:spacing w:val="-4"/>
          <w:w w:val="105"/>
        </w:rPr>
        <w:t> </w:t>
      </w:r>
      <w:r>
        <w:rPr>
          <w:w w:val="105"/>
        </w:rPr>
        <w:t>of</w:t>
      </w:r>
      <w:r>
        <w:rPr>
          <w:spacing w:val="-4"/>
          <w:w w:val="105"/>
        </w:rPr>
        <w:t> </w:t>
      </w:r>
      <w:r>
        <w:rPr>
          <w:w w:val="105"/>
        </w:rPr>
        <w:t>the</w:t>
      </w:r>
      <w:r>
        <w:rPr>
          <w:spacing w:val="-4"/>
          <w:w w:val="105"/>
        </w:rPr>
        <w:t> </w:t>
      </w:r>
      <w:r>
        <w:rPr>
          <w:w w:val="105"/>
        </w:rPr>
        <w:t>anticipated</w:t>
      </w:r>
      <w:r>
        <w:rPr>
          <w:spacing w:val="-4"/>
          <w:w w:val="105"/>
        </w:rPr>
        <w:t> </w:t>
      </w:r>
      <w:r>
        <w:rPr>
          <w:w w:val="105"/>
        </w:rPr>
        <w:t>remediation</w:t>
      </w:r>
      <w:r>
        <w:rPr>
          <w:spacing w:val="-4"/>
          <w:w w:val="105"/>
        </w:rPr>
        <w:t> </w:t>
      </w:r>
      <w:r>
        <w:rPr>
          <w:w w:val="105"/>
        </w:rPr>
        <w:t>costs</w:t>
      </w:r>
      <w:r>
        <w:rPr>
          <w:spacing w:val="-4"/>
          <w:w w:val="105"/>
        </w:rPr>
        <w:t> </w:t>
      </w:r>
      <w:r>
        <w:rPr>
          <w:w w:val="105"/>
        </w:rPr>
        <w:t>and</w:t>
      </w:r>
      <w:r>
        <w:rPr>
          <w:spacing w:val="-4"/>
          <w:w w:val="105"/>
        </w:rPr>
        <w:t> </w:t>
      </w:r>
      <w:r>
        <w:rPr>
          <w:w w:val="105"/>
        </w:rPr>
        <w:t>the</w:t>
      </w:r>
      <w:r>
        <w:rPr>
          <w:spacing w:val="-4"/>
          <w:w w:val="105"/>
        </w:rPr>
        <w:t> </w:t>
      </w:r>
      <w:r>
        <w:rPr>
          <w:w w:val="105"/>
        </w:rPr>
        <w:t>ability</w:t>
      </w:r>
      <w:r>
        <w:rPr>
          <w:spacing w:val="-4"/>
          <w:w w:val="105"/>
        </w:rPr>
        <w:t> </w:t>
      </w:r>
      <w:r>
        <w:rPr>
          <w:w w:val="105"/>
        </w:rPr>
        <w:t>of</w:t>
      </w:r>
      <w:r>
        <w:rPr>
          <w:spacing w:val="-4"/>
          <w:w w:val="105"/>
        </w:rPr>
        <w:t> </w:t>
      </w:r>
      <w:r>
        <w:rPr>
          <w:w w:val="105"/>
        </w:rPr>
        <w:t>the</w:t>
      </w:r>
      <w:r>
        <w:rPr>
          <w:spacing w:val="-4"/>
          <w:w w:val="105"/>
        </w:rPr>
        <w:t> </w:t>
      </w:r>
      <w:r>
        <w:rPr>
          <w:w w:val="105"/>
        </w:rPr>
        <w:t>other</w:t>
      </w:r>
      <w:r>
        <w:rPr>
          <w:spacing w:val="-4"/>
          <w:w w:val="105"/>
        </w:rPr>
        <w:t> </w:t>
      </w:r>
      <w:r>
        <w:rPr>
          <w:w w:val="105"/>
        </w:rPr>
        <w:t>parties</w:t>
      </w:r>
      <w:r>
        <w:rPr>
          <w:spacing w:val="-4"/>
          <w:w w:val="105"/>
        </w:rPr>
        <w:t> </w:t>
      </w:r>
      <w:r>
        <w:rPr>
          <w:w w:val="105"/>
        </w:rPr>
        <w:t>to</w:t>
      </w:r>
      <w:r>
        <w:rPr>
          <w:spacing w:val="-2"/>
          <w:w w:val="105"/>
        </w:rPr>
        <w:t> </w:t>
      </w:r>
      <w:r>
        <w:rPr>
          <w:w w:val="105"/>
        </w:rPr>
        <w:t>fulfill</w:t>
      </w:r>
      <w:r>
        <w:rPr>
          <w:spacing w:val="-4"/>
          <w:w w:val="105"/>
        </w:rPr>
        <w:t> </w:t>
      </w:r>
      <w:r>
        <w:rPr>
          <w:w w:val="105"/>
        </w:rPr>
        <w:t>obligations</w:t>
      </w:r>
      <w:r>
        <w:rPr>
          <w:spacing w:val="-4"/>
          <w:w w:val="105"/>
        </w:rPr>
        <w:t> </w:t>
      </w:r>
      <w:r>
        <w:rPr>
          <w:w w:val="105"/>
        </w:rPr>
        <w:t>in</w:t>
      </w:r>
      <w:r>
        <w:rPr>
          <w:spacing w:val="-4"/>
          <w:w w:val="105"/>
        </w:rPr>
        <w:t> </w:t>
      </w:r>
      <w:r>
        <w:rPr>
          <w:w w:val="105"/>
        </w:rPr>
        <w:t>establishing</w:t>
      </w:r>
      <w:r>
        <w:rPr>
          <w:spacing w:val="-4"/>
          <w:w w:val="105"/>
        </w:rPr>
        <w:t> </w:t>
      </w:r>
      <w:r>
        <w:rPr>
          <w:w w:val="105"/>
        </w:rPr>
        <w:t>a</w:t>
      </w:r>
      <w:r>
        <w:rPr>
          <w:spacing w:val="-4"/>
          <w:w w:val="105"/>
        </w:rPr>
        <w:t> </w:t>
      </w:r>
      <w:r>
        <w:rPr>
          <w:w w:val="105"/>
        </w:rPr>
        <w:t>provision</w:t>
      </w:r>
      <w:r>
        <w:rPr>
          <w:spacing w:val="-4"/>
          <w:w w:val="105"/>
        </w:rPr>
        <w:t> </w:t>
      </w:r>
      <w:r>
        <w:rPr>
          <w:w w:val="105"/>
        </w:rPr>
        <w:t>for</w:t>
      </w:r>
      <w:r>
        <w:rPr>
          <w:spacing w:val="-4"/>
          <w:w w:val="105"/>
        </w:rPr>
        <w:t> </w:t>
      </w:r>
      <w:r>
        <w:rPr>
          <w:w w:val="105"/>
        </w:rPr>
        <w:t>those</w:t>
      </w:r>
      <w:r>
        <w:rPr>
          <w:spacing w:val="-2"/>
          <w:w w:val="105"/>
        </w:rPr>
        <w:t> </w:t>
      </w:r>
      <w:r>
        <w:rPr>
          <w:w w:val="105"/>
        </w:rPr>
        <w:t>costs.</w:t>
      </w:r>
      <w:r>
        <w:rPr>
          <w:spacing w:val="-4"/>
          <w:w w:val="105"/>
        </w:rPr>
        <w:t> </w:t>
      </w:r>
      <w:r>
        <w:rPr>
          <w:w w:val="105"/>
        </w:rPr>
        <w:t>Where</w:t>
      </w:r>
      <w:r>
        <w:rPr>
          <w:spacing w:val="-4"/>
          <w:w w:val="105"/>
        </w:rPr>
        <w:t> </w:t>
      </w:r>
      <w:r>
        <w:rPr>
          <w:w w:val="105"/>
        </w:rPr>
        <w:t>no</w:t>
      </w:r>
      <w:r>
        <w:rPr>
          <w:spacing w:val="-4"/>
          <w:w w:val="105"/>
        </w:rPr>
        <w:t> </w:t>
      </w:r>
      <w:r>
        <w:rPr>
          <w:w w:val="105"/>
        </w:rPr>
        <w:t>amount within</w:t>
      </w:r>
      <w:r>
        <w:rPr>
          <w:spacing w:val="-5"/>
          <w:w w:val="105"/>
        </w:rPr>
        <w:t> </w:t>
      </w:r>
      <w:r>
        <w:rPr>
          <w:w w:val="105"/>
        </w:rPr>
        <w:t>a</w:t>
      </w:r>
      <w:r>
        <w:rPr>
          <w:spacing w:val="-5"/>
          <w:w w:val="105"/>
        </w:rPr>
        <w:t> </w:t>
      </w:r>
      <w:r>
        <w:rPr>
          <w:w w:val="105"/>
        </w:rPr>
        <w:t>range</w:t>
      </w:r>
      <w:r>
        <w:rPr>
          <w:spacing w:val="-5"/>
          <w:w w:val="105"/>
        </w:rPr>
        <w:t> </w:t>
      </w:r>
      <w:r>
        <w:rPr>
          <w:w w:val="105"/>
        </w:rPr>
        <w:t>of</w:t>
      </w:r>
      <w:r>
        <w:rPr>
          <w:spacing w:val="-5"/>
          <w:w w:val="105"/>
        </w:rPr>
        <w:t> </w:t>
      </w:r>
      <w:r>
        <w:rPr>
          <w:w w:val="105"/>
        </w:rPr>
        <w:t>estimates</w:t>
      </w:r>
      <w:r>
        <w:rPr>
          <w:spacing w:val="-5"/>
          <w:w w:val="105"/>
        </w:rPr>
        <w:t> </w:t>
      </w:r>
      <w:r>
        <w:rPr>
          <w:w w:val="105"/>
        </w:rPr>
        <w:t>is</w:t>
      </w:r>
      <w:r>
        <w:rPr>
          <w:spacing w:val="-5"/>
          <w:w w:val="105"/>
        </w:rPr>
        <w:t> </w:t>
      </w:r>
      <w:r>
        <w:rPr>
          <w:w w:val="105"/>
        </w:rPr>
        <w:t>more</w:t>
      </w:r>
      <w:r>
        <w:rPr>
          <w:spacing w:val="-5"/>
          <w:w w:val="105"/>
        </w:rPr>
        <w:t> </w:t>
      </w:r>
      <w:r>
        <w:rPr>
          <w:w w:val="105"/>
        </w:rPr>
        <w:t>likely</w:t>
      </w:r>
      <w:r>
        <w:rPr>
          <w:spacing w:val="-5"/>
          <w:w w:val="105"/>
        </w:rPr>
        <w:t> </w:t>
      </w:r>
      <w:r>
        <w:rPr>
          <w:w w:val="105"/>
        </w:rPr>
        <w:t>to</w:t>
      </w:r>
      <w:r>
        <w:rPr>
          <w:spacing w:val="-5"/>
          <w:w w:val="105"/>
        </w:rPr>
        <w:t> </w:t>
      </w:r>
      <w:r>
        <w:rPr>
          <w:w w:val="105"/>
        </w:rPr>
        <w:t>occur</w:t>
      </w:r>
      <w:r>
        <w:rPr>
          <w:spacing w:val="-5"/>
          <w:w w:val="105"/>
        </w:rPr>
        <w:t> </w:t>
      </w:r>
      <w:r>
        <w:rPr>
          <w:w w:val="105"/>
        </w:rPr>
        <w:t>than</w:t>
      </w:r>
      <w:r>
        <w:rPr>
          <w:spacing w:val="-5"/>
          <w:w w:val="105"/>
        </w:rPr>
        <w:t> </w:t>
      </w:r>
      <w:r>
        <w:rPr>
          <w:w w:val="105"/>
        </w:rPr>
        <w:t>another,</w:t>
      </w:r>
      <w:r>
        <w:rPr>
          <w:spacing w:val="-5"/>
          <w:w w:val="105"/>
        </w:rPr>
        <w:t> </w:t>
      </w:r>
      <w:r>
        <w:rPr>
          <w:w w:val="105"/>
        </w:rPr>
        <w:t>the</w:t>
      </w:r>
      <w:r>
        <w:rPr>
          <w:spacing w:val="-5"/>
          <w:w w:val="105"/>
        </w:rPr>
        <w:t> </w:t>
      </w:r>
      <w:r>
        <w:rPr>
          <w:w w:val="105"/>
        </w:rPr>
        <w:t>minimum</w:t>
      </w:r>
      <w:r>
        <w:rPr>
          <w:spacing w:val="-5"/>
          <w:w w:val="105"/>
        </w:rPr>
        <w:t> </w:t>
      </w:r>
      <w:r>
        <w:rPr>
          <w:w w:val="105"/>
        </w:rPr>
        <w:t>undiscounted</w:t>
      </w:r>
      <w:r>
        <w:rPr>
          <w:spacing w:val="-5"/>
          <w:w w:val="105"/>
        </w:rPr>
        <w:t> </w:t>
      </w:r>
      <w:r>
        <w:rPr>
          <w:w w:val="105"/>
        </w:rPr>
        <w:t>amount</w:t>
      </w:r>
      <w:r>
        <w:rPr>
          <w:spacing w:val="-5"/>
          <w:w w:val="105"/>
        </w:rPr>
        <w:t> </w:t>
      </w:r>
      <w:r>
        <w:rPr>
          <w:w w:val="105"/>
        </w:rPr>
        <w:t>is</w:t>
      </w:r>
      <w:r>
        <w:rPr>
          <w:spacing w:val="-5"/>
          <w:w w:val="105"/>
        </w:rPr>
        <w:t> </w:t>
      </w:r>
      <w:r>
        <w:rPr>
          <w:w w:val="105"/>
        </w:rPr>
        <w:t>accrued.</w:t>
      </w:r>
      <w:r>
        <w:rPr>
          <w:spacing w:val="-5"/>
          <w:w w:val="105"/>
        </w:rPr>
        <w:t> </w:t>
      </w:r>
      <w:r>
        <w:rPr>
          <w:w w:val="105"/>
        </w:rPr>
        <w:t>When</w:t>
      </w:r>
      <w:r>
        <w:rPr>
          <w:spacing w:val="-5"/>
          <w:w w:val="105"/>
        </w:rPr>
        <w:t> </w:t>
      </w:r>
      <w:r>
        <w:rPr>
          <w:w w:val="105"/>
        </w:rPr>
        <w:t>future</w:t>
      </w:r>
      <w:r>
        <w:rPr>
          <w:spacing w:val="-5"/>
          <w:w w:val="105"/>
        </w:rPr>
        <w:t> </w:t>
      </w:r>
      <w:r>
        <w:rPr>
          <w:w w:val="105"/>
        </w:rPr>
        <w:t>liabilities</w:t>
      </w:r>
      <w:r>
        <w:rPr>
          <w:spacing w:val="-5"/>
          <w:w w:val="105"/>
        </w:rPr>
        <w:t> </w:t>
      </w:r>
      <w:r>
        <w:rPr>
          <w:w w:val="105"/>
        </w:rPr>
        <w:t>are</w:t>
      </w:r>
      <w:r>
        <w:rPr>
          <w:spacing w:val="-5"/>
          <w:w w:val="105"/>
        </w:rPr>
        <w:t> </w:t>
      </w:r>
      <w:r>
        <w:rPr>
          <w:w w:val="105"/>
        </w:rPr>
        <w:t>determined</w:t>
      </w:r>
      <w:r>
        <w:rPr>
          <w:spacing w:val="-3"/>
          <w:w w:val="105"/>
        </w:rPr>
        <w:t> </w:t>
      </w:r>
      <w:r>
        <w:rPr>
          <w:w w:val="105"/>
        </w:rPr>
        <w:t>to</w:t>
      </w:r>
      <w:r>
        <w:rPr>
          <w:spacing w:val="-5"/>
          <w:w w:val="105"/>
        </w:rPr>
        <w:t> </w:t>
      </w:r>
      <w:r>
        <w:rPr>
          <w:w w:val="105"/>
        </w:rPr>
        <w:t>be</w:t>
      </w:r>
      <w:r>
        <w:rPr>
          <w:spacing w:val="-5"/>
          <w:w w:val="105"/>
        </w:rPr>
        <w:t> </w:t>
      </w:r>
      <w:r>
        <w:rPr>
          <w:w w:val="105"/>
        </w:rPr>
        <w:t>reimbursable</w:t>
      </w:r>
      <w:r>
        <w:rPr>
          <w:spacing w:val="-5"/>
          <w:w w:val="105"/>
        </w:rPr>
        <w:t> </w:t>
      </w:r>
      <w:r>
        <w:rPr>
          <w:w w:val="105"/>
        </w:rPr>
        <w:t>by insurance</w:t>
      </w:r>
      <w:r>
        <w:rPr>
          <w:spacing w:val="-2"/>
          <w:w w:val="105"/>
        </w:rPr>
        <w:t> </w:t>
      </w:r>
      <w:r>
        <w:rPr>
          <w:w w:val="105"/>
        </w:rPr>
        <w:t>coverage,</w:t>
      </w:r>
      <w:r>
        <w:rPr>
          <w:spacing w:val="-2"/>
          <w:w w:val="105"/>
        </w:rPr>
        <w:t> </w:t>
      </w:r>
      <w:r>
        <w:rPr>
          <w:w w:val="105"/>
        </w:rPr>
        <w:t>an</w:t>
      </w:r>
      <w:r>
        <w:rPr>
          <w:spacing w:val="-2"/>
          <w:w w:val="105"/>
        </w:rPr>
        <w:t> </w:t>
      </w:r>
      <w:r>
        <w:rPr>
          <w:w w:val="105"/>
        </w:rPr>
        <w:t>accrual</w:t>
      </w:r>
      <w:r>
        <w:rPr>
          <w:spacing w:val="-2"/>
          <w:w w:val="105"/>
        </w:rPr>
        <w:t> </w:t>
      </w:r>
      <w:r>
        <w:rPr>
          <w:w w:val="105"/>
        </w:rPr>
        <w:t>is</w:t>
      </w:r>
      <w:r>
        <w:rPr>
          <w:spacing w:val="-2"/>
          <w:w w:val="105"/>
        </w:rPr>
        <w:t> </w:t>
      </w:r>
      <w:r>
        <w:rPr>
          <w:w w:val="105"/>
        </w:rPr>
        <w:t>recorded</w:t>
      </w:r>
      <w:r>
        <w:rPr>
          <w:spacing w:val="-2"/>
          <w:w w:val="105"/>
        </w:rPr>
        <w:t> </w:t>
      </w:r>
      <w:r>
        <w:rPr>
          <w:w w:val="105"/>
        </w:rPr>
        <w:t>for</w:t>
      </w:r>
      <w:r>
        <w:rPr>
          <w:spacing w:val="-2"/>
          <w:w w:val="105"/>
        </w:rPr>
        <w:t> </w:t>
      </w:r>
      <w:r>
        <w:rPr>
          <w:w w:val="105"/>
        </w:rPr>
        <w:t>the</w:t>
      </w:r>
      <w:r>
        <w:rPr>
          <w:spacing w:val="-2"/>
          <w:w w:val="105"/>
        </w:rPr>
        <w:t> </w:t>
      </w:r>
      <w:r>
        <w:rPr>
          <w:w w:val="105"/>
        </w:rPr>
        <w:t>potential</w:t>
      </w:r>
      <w:r>
        <w:rPr>
          <w:spacing w:val="-2"/>
          <w:w w:val="105"/>
        </w:rPr>
        <w:t> </w:t>
      </w:r>
      <w:r>
        <w:rPr>
          <w:w w:val="105"/>
        </w:rPr>
        <w:t>liability</w:t>
      </w:r>
      <w:r>
        <w:rPr>
          <w:spacing w:val="-2"/>
          <w:w w:val="105"/>
        </w:rPr>
        <w:t> </w:t>
      </w:r>
      <w:r>
        <w:rPr>
          <w:w w:val="105"/>
        </w:rPr>
        <w:t>and</w:t>
      </w:r>
      <w:r>
        <w:rPr>
          <w:spacing w:val="-2"/>
          <w:w w:val="105"/>
        </w:rPr>
        <w:t> </w:t>
      </w:r>
      <w:r>
        <w:rPr>
          <w:w w:val="105"/>
        </w:rPr>
        <w:t>a</w:t>
      </w:r>
      <w:r>
        <w:rPr>
          <w:spacing w:val="-2"/>
          <w:w w:val="105"/>
        </w:rPr>
        <w:t> </w:t>
      </w:r>
      <w:r>
        <w:rPr>
          <w:w w:val="105"/>
        </w:rPr>
        <w:t>receivable</w:t>
      </w:r>
      <w:r>
        <w:rPr>
          <w:spacing w:val="-2"/>
          <w:w w:val="105"/>
        </w:rPr>
        <w:t> </w:t>
      </w:r>
      <w:r>
        <w:rPr>
          <w:w w:val="105"/>
        </w:rPr>
        <w:t>is</w:t>
      </w:r>
      <w:r>
        <w:rPr>
          <w:spacing w:val="-2"/>
          <w:w w:val="105"/>
        </w:rPr>
        <w:t> </w:t>
      </w:r>
      <w:r>
        <w:rPr>
          <w:w w:val="105"/>
        </w:rPr>
        <w:t>recorded</w:t>
      </w:r>
      <w:r>
        <w:rPr>
          <w:spacing w:val="-2"/>
          <w:w w:val="105"/>
        </w:rPr>
        <w:t> </w:t>
      </w:r>
      <w:r>
        <w:rPr>
          <w:w w:val="105"/>
        </w:rPr>
        <w:t>related</w:t>
      </w:r>
      <w:r>
        <w:rPr>
          <w:spacing w:val="-2"/>
          <w:w w:val="105"/>
        </w:rPr>
        <w:t> </w:t>
      </w:r>
      <w:r>
        <w:rPr>
          <w:w w:val="105"/>
        </w:rPr>
        <w:t>to</w:t>
      </w:r>
      <w:r>
        <w:rPr>
          <w:spacing w:val="-2"/>
          <w:w w:val="105"/>
        </w:rPr>
        <w:t> </w:t>
      </w:r>
      <w:r>
        <w:rPr>
          <w:w w:val="105"/>
        </w:rPr>
        <w:t>the</w:t>
      </w:r>
      <w:r>
        <w:rPr>
          <w:spacing w:val="-2"/>
          <w:w w:val="105"/>
        </w:rPr>
        <w:t> </w:t>
      </w:r>
      <w:r>
        <w:rPr>
          <w:w w:val="105"/>
        </w:rPr>
        <w:t>insurance</w:t>
      </w:r>
      <w:r>
        <w:rPr>
          <w:spacing w:val="-2"/>
          <w:w w:val="105"/>
        </w:rPr>
        <w:t> </w:t>
      </w:r>
      <w:r>
        <w:rPr>
          <w:w w:val="105"/>
        </w:rPr>
        <w:t>reimbursement</w:t>
      </w:r>
      <w:r>
        <w:rPr>
          <w:spacing w:val="-2"/>
          <w:w w:val="105"/>
        </w:rPr>
        <w:t> </w:t>
      </w:r>
      <w:r>
        <w:rPr>
          <w:w w:val="105"/>
        </w:rPr>
        <w:t>when</w:t>
      </w:r>
      <w:r>
        <w:rPr>
          <w:spacing w:val="-4"/>
          <w:w w:val="105"/>
        </w:rPr>
        <w:t> </w:t>
      </w:r>
      <w:r>
        <w:rPr>
          <w:w w:val="105"/>
        </w:rPr>
        <w:t>reimbursement</w:t>
      </w:r>
      <w:r>
        <w:rPr>
          <w:spacing w:val="-2"/>
          <w:w w:val="105"/>
        </w:rPr>
        <w:t> </w:t>
      </w:r>
      <w:r>
        <w:rPr>
          <w:w w:val="105"/>
        </w:rPr>
        <w:t>is</w:t>
      </w:r>
      <w:r>
        <w:rPr>
          <w:spacing w:val="-2"/>
          <w:w w:val="105"/>
        </w:rPr>
        <w:t> </w:t>
      </w:r>
      <w:r>
        <w:rPr>
          <w:w w:val="105"/>
        </w:rPr>
        <w:t>virtually </w:t>
      </w:r>
      <w:r>
        <w:rPr>
          <w:spacing w:val="-2"/>
          <w:w w:val="105"/>
        </w:rPr>
        <w:t>certain.</w:t>
      </w:r>
    </w:p>
    <w:p>
      <w:pPr>
        <w:pStyle w:val="BodyText"/>
        <w:spacing w:before="17"/>
      </w:pPr>
    </w:p>
    <w:p>
      <w:pPr>
        <w:pStyle w:val="BodyText"/>
        <w:spacing w:line="266" w:lineRule="auto"/>
        <w:ind w:left="156" w:right="328"/>
      </w:pPr>
      <w:r>
        <w:rPr>
          <w:w w:val="105"/>
        </w:rPr>
        <w:t>The</w:t>
      </w:r>
      <w:r>
        <w:rPr>
          <w:spacing w:val="-8"/>
          <w:w w:val="105"/>
        </w:rPr>
        <w:t> </w:t>
      </w:r>
      <w:r>
        <w:rPr>
          <w:w w:val="105"/>
        </w:rPr>
        <w:t>uncertain</w:t>
      </w:r>
      <w:r>
        <w:rPr>
          <w:spacing w:val="-8"/>
          <w:w w:val="105"/>
        </w:rPr>
        <w:t> </w:t>
      </w:r>
      <w:r>
        <w:rPr>
          <w:w w:val="105"/>
        </w:rPr>
        <w:t>nature</w:t>
      </w:r>
      <w:r>
        <w:rPr>
          <w:spacing w:val="-8"/>
          <w:w w:val="105"/>
        </w:rPr>
        <w:t> </w:t>
      </w:r>
      <w:r>
        <w:rPr>
          <w:w w:val="105"/>
        </w:rPr>
        <w:t>inherent</w:t>
      </w:r>
      <w:r>
        <w:rPr>
          <w:spacing w:val="-8"/>
          <w:w w:val="105"/>
        </w:rPr>
        <w:t> </w:t>
      </w:r>
      <w:r>
        <w:rPr>
          <w:w w:val="105"/>
        </w:rPr>
        <w:t>in</w:t>
      </w:r>
      <w:r>
        <w:rPr>
          <w:spacing w:val="-8"/>
          <w:w w:val="105"/>
        </w:rPr>
        <w:t> </w:t>
      </w:r>
      <w:r>
        <w:rPr>
          <w:w w:val="105"/>
        </w:rPr>
        <w:t>such</w:t>
      </w:r>
      <w:r>
        <w:rPr>
          <w:spacing w:val="-8"/>
          <w:w w:val="105"/>
        </w:rPr>
        <w:t> </w:t>
      </w:r>
      <w:r>
        <w:rPr>
          <w:w w:val="105"/>
        </w:rPr>
        <w:t>remediation</w:t>
      </w:r>
      <w:r>
        <w:rPr>
          <w:spacing w:val="-8"/>
          <w:w w:val="105"/>
        </w:rPr>
        <w:t> </w:t>
      </w:r>
      <w:r>
        <w:rPr>
          <w:w w:val="105"/>
        </w:rPr>
        <w:t>and</w:t>
      </w:r>
      <w:r>
        <w:rPr>
          <w:spacing w:val="-8"/>
          <w:w w:val="105"/>
        </w:rPr>
        <w:t> </w:t>
      </w:r>
      <w:r>
        <w:rPr>
          <w:w w:val="105"/>
        </w:rPr>
        <w:t>the</w:t>
      </w:r>
      <w:r>
        <w:rPr>
          <w:spacing w:val="-8"/>
          <w:w w:val="105"/>
        </w:rPr>
        <w:t> </w:t>
      </w:r>
      <w:r>
        <w:rPr>
          <w:w w:val="105"/>
        </w:rPr>
        <w:t>possibility</w:t>
      </w:r>
      <w:r>
        <w:rPr>
          <w:spacing w:val="-8"/>
          <w:w w:val="105"/>
        </w:rPr>
        <w:t> </w:t>
      </w:r>
      <w:r>
        <w:rPr>
          <w:w w:val="105"/>
        </w:rPr>
        <w:t>that</w:t>
      </w:r>
      <w:r>
        <w:rPr>
          <w:spacing w:val="-8"/>
          <w:w w:val="105"/>
        </w:rPr>
        <w:t> </w:t>
      </w:r>
      <w:r>
        <w:rPr>
          <w:w w:val="105"/>
        </w:rPr>
        <w:t>initial</w:t>
      </w:r>
      <w:r>
        <w:rPr>
          <w:spacing w:val="-8"/>
          <w:w w:val="105"/>
        </w:rPr>
        <w:t> </w:t>
      </w:r>
      <w:r>
        <w:rPr>
          <w:w w:val="105"/>
        </w:rPr>
        <w:t>estimates</w:t>
      </w:r>
      <w:r>
        <w:rPr>
          <w:spacing w:val="-7"/>
          <w:w w:val="105"/>
        </w:rPr>
        <w:t> </w:t>
      </w:r>
      <w:r>
        <w:rPr>
          <w:w w:val="105"/>
        </w:rPr>
        <w:t>may</w:t>
      </w:r>
      <w:r>
        <w:rPr>
          <w:spacing w:val="-8"/>
          <w:w w:val="105"/>
        </w:rPr>
        <w:t> </w:t>
      </w:r>
      <w:r>
        <w:rPr>
          <w:w w:val="105"/>
        </w:rPr>
        <w:t>not</w:t>
      </w:r>
      <w:r>
        <w:rPr>
          <w:spacing w:val="-8"/>
          <w:w w:val="105"/>
        </w:rPr>
        <w:t> </w:t>
      </w:r>
      <w:r>
        <w:rPr>
          <w:w w:val="105"/>
        </w:rPr>
        <w:t>reflect</w:t>
      </w:r>
      <w:r>
        <w:rPr>
          <w:spacing w:val="-8"/>
          <w:w w:val="105"/>
        </w:rPr>
        <w:t> </w:t>
      </w:r>
      <w:r>
        <w:rPr>
          <w:w w:val="105"/>
        </w:rPr>
        <w:t>the</w:t>
      </w:r>
      <w:r>
        <w:rPr>
          <w:spacing w:val="-8"/>
          <w:w w:val="105"/>
        </w:rPr>
        <w:t> </w:t>
      </w:r>
      <w:r>
        <w:rPr>
          <w:w w:val="105"/>
        </w:rPr>
        <w:t>outcome</w:t>
      </w:r>
      <w:r>
        <w:rPr>
          <w:spacing w:val="-8"/>
          <w:w w:val="105"/>
        </w:rPr>
        <w:t> </w:t>
      </w:r>
      <w:r>
        <w:rPr>
          <w:w w:val="105"/>
        </w:rPr>
        <w:t>could</w:t>
      </w:r>
      <w:r>
        <w:rPr>
          <w:spacing w:val="-8"/>
          <w:w w:val="105"/>
        </w:rPr>
        <w:t> </w:t>
      </w:r>
      <w:r>
        <w:rPr>
          <w:w w:val="105"/>
        </w:rPr>
        <w:t>result</w:t>
      </w:r>
      <w:r>
        <w:rPr>
          <w:spacing w:val="-8"/>
          <w:w w:val="105"/>
        </w:rPr>
        <w:t> </w:t>
      </w:r>
      <w:r>
        <w:rPr>
          <w:w w:val="105"/>
        </w:rPr>
        <w:t>in</w:t>
      </w:r>
      <w:r>
        <w:rPr>
          <w:spacing w:val="-8"/>
          <w:w w:val="105"/>
        </w:rPr>
        <w:t> </w:t>
      </w:r>
      <w:r>
        <w:rPr>
          <w:w w:val="105"/>
        </w:rPr>
        <w:t>additional</w:t>
      </w:r>
      <w:r>
        <w:rPr>
          <w:spacing w:val="-8"/>
          <w:w w:val="105"/>
        </w:rPr>
        <w:t> </w:t>
      </w:r>
      <w:r>
        <w:rPr>
          <w:w w:val="105"/>
        </w:rPr>
        <w:t>costs</w:t>
      </w:r>
      <w:r>
        <w:rPr>
          <w:spacing w:val="-8"/>
          <w:w w:val="105"/>
        </w:rPr>
        <w:t> </w:t>
      </w:r>
      <w:r>
        <w:rPr>
          <w:w w:val="105"/>
        </w:rPr>
        <w:t>being</w:t>
      </w:r>
      <w:r>
        <w:rPr>
          <w:spacing w:val="-8"/>
          <w:w w:val="105"/>
        </w:rPr>
        <w:t> </w:t>
      </w:r>
      <w:r>
        <w:rPr>
          <w:w w:val="105"/>
        </w:rPr>
        <w:t>recognized</w:t>
      </w:r>
      <w:r>
        <w:rPr>
          <w:spacing w:val="-8"/>
          <w:w w:val="105"/>
        </w:rPr>
        <w:t> </w:t>
      </w:r>
      <w:r>
        <w:rPr>
          <w:w w:val="105"/>
        </w:rPr>
        <w:t>by the Company in future periods.</w:t>
      </w:r>
    </w:p>
    <w:p>
      <w:pPr>
        <w:pStyle w:val="BodyText"/>
        <w:spacing w:before="19"/>
      </w:pPr>
    </w:p>
    <w:p>
      <w:pPr>
        <w:pStyle w:val="Heading3"/>
      </w:pPr>
      <w:r>
        <w:rPr/>
        <w:t>Inventories,</w:t>
      </w:r>
      <w:r>
        <w:rPr>
          <w:spacing w:val="24"/>
        </w:rPr>
        <w:t> </w:t>
      </w:r>
      <w:r>
        <w:rPr>
          <w:spacing w:val="-5"/>
        </w:rPr>
        <w:t>net</w:t>
      </w:r>
    </w:p>
    <w:p>
      <w:pPr>
        <w:pStyle w:val="BodyText"/>
        <w:spacing w:before="40"/>
        <w:rPr>
          <w:b/>
          <w:i/>
        </w:rPr>
      </w:pPr>
    </w:p>
    <w:p>
      <w:pPr>
        <w:pStyle w:val="BodyText"/>
        <w:spacing w:line="266" w:lineRule="auto"/>
        <w:ind w:left="156" w:right="117"/>
      </w:pPr>
      <w:r>
        <w:rPr>
          <w:w w:val="105"/>
        </w:rPr>
        <w:t>Inventories</w:t>
      </w:r>
      <w:r>
        <w:rPr>
          <w:spacing w:val="-8"/>
          <w:w w:val="105"/>
        </w:rPr>
        <w:t> </w:t>
      </w:r>
      <w:r>
        <w:rPr>
          <w:w w:val="105"/>
        </w:rPr>
        <w:t>are</w:t>
      </w:r>
      <w:r>
        <w:rPr>
          <w:spacing w:val="-8"/>
          <w:w w:val="105"/>
        </w:rPr>
        <w:t> </w:t>
      </w:r>
      <w:r>
        <w:rPr>
          <w:w w:val="105"/>
        </w:rPr>
        <w:t>stated</w:t>
      </w:r>
      <w:r>
        <w:rPr>
          <w:spacing w:val="-8"/>
          <w:w w:val="105"/>
        </w:rPr>
        <w:t> </w:t>
      </w:r>
      <w:r>
        <w:rPr>
          <w:w w:val="105"/>
        </w:rPr>
        <w:t>at</w:t>
      </w:r>
      <w:r>
        <w:rPr>
          <w:spacing w:val="-8"/>
          <w:w w:val="105"/>
        </w:rPr>
        <w:t> </w:t>
      </w:r>
      <w:r>
        <w:rPr>
          <w:w w:val="105"/>
        </w:rPr>
        <w:t>the</w:t>
      </w:r>
      <w:r>
        <w:rPr>
          <w:spacing w:val="-8"/>
          <w:w w:val="105"/>
        </w:rPr>
        <w:t> </w:t>
      </w:r>
      <w:r>
        <w:rPr>
          <w:w w:val="105"/>
        </w:rPr>
        <w:t>lower</w:t>
      </w:r>
      <w:r>
        <w:rPr>
          <w:spacing w:val="-8"/>
          <w:w w:val="105"/>
        </w:rPr>
        <w:t> </w:t>
      </w:r>
      <w:r>
        <w:rPr>
          <w:w w:val="105"/>
        </w:rPr>
        <w:t>of</w:t>
      </w:r>
      <w:r>
        <w:rPr>
          <w:spacing w:val="-8"/>
          <w:w w:val="105"/>
        </w:rPr>
        <w:t> </w:t>
      </w:r>
      <w:r>
        <w:rPr>
          <w:w w:val="105"/>
        </w:rPr>
        <w:t>cost</w:t>
      </w:r>
      <w:r>
        <w:rPr>
          <w:spacing w:val="-8"/>
          <w:w w:val="105"/>
        </w:rPr>
        <w:t> </w:t>
      </w:r>
      <w:r>
        <w:rPr>
          <w:w w:val="105"/>
        </w:rPr>
        <w:t>or</w:t>
      </w:r>
      <w:r>
        <w:rPr>
          <w:spacing w:val="-8"/>
          <w:w w:val="105"/>
        </w:rPr>
        <w:t> </w:t>
      </w:r>
      <w:r>
        <w:rPr>
          <w:w w:val="105"/>
        </w:rPr>
        <w:t>net</w:t>
      </w:r>
      <w:r>
        <w:rPr>
          <w:spacing w:val="-6"/>
          <w:w w:val="105"/>
        </w:rPr>
        <w:t> </w:t>
      </w:r>
      <w:r>
        <w:rPr>
          <w:w w:val="105"/>
        </w:rPr>
        <w:t>realizable</w:t>
      </w:r>
      <w:r>
        <w:rPr>
          <w:spacing w:val="-8"/>
          <w:w w:val="105"/>
        </w:rPr>
        <w:t> </w:t>
      </w:r>
      <w:r>
        <w:rPr>
          <w:w w:val="105"/>
        </w:rPr>
        <w:t>value,</w:t>
      </w:r>
      <w:r>
        <w:rPr>
          <w:spacing w:val="-8"/>
          <w:w w:val="105"/>
        </w:rPr>
        <w:t> </w:t>
      </w:r>
      <w:r>
        <w:rPr>
          <w:w w:val="105"/>
        </w:rPr>
        <w:t>which</w:t>
      </w:r>
      <w:r>
        <w:rPr>
          <w:spacing w:val="-6"/>
          <w:w w:val="105"/>
        </w:rPr>
        <w:t> </w:t>
      </w:r>
      <w:r>
        <w:rPr>
          <w:w w:val="105"/>
        </w:rPr>
        <w:t>is</w:t>
      </w:r>
      <w:r>
        <w:rPr>
          <w:spacing w:val="-8"/>
          <w:w w:val="105"/>
        </w:rPr>
        <w:t> </w:t>
      </w:r>
      <w:r>
        <w:rPr>
          <w:w w:val="105"/>
        </w:rPr>
        <w:t>defined</w:t>
      </w:r>
      <w:r>
        <w:rPr>
          <w:spacing w:val="-8"/>
          <w:w w:val="105"/>
        </w:rPr>
        <w:t> </w:t>
      </w:r>
      <w:r>
        <w:rPr>
          <w:w w:val="105"/>
        </w:rPr>
        <w:t>as</w:t>
      </w:r>
      <w:r>
        <w:rPr>
          <w:spacing w:val="-8"/>
          <w:w w:val="105"/>
        </w:rPr>
        <w:t> </w:t>
      </w:r>
      <w:r>
        <w:rPr>
          <w:w w:val="105"/>
        </w:rPr>
        <w:t>estimated</w:t>
      </w:r>
      <w:r>
        <w:rPr>
          <w:spacing w:val="-8"/>
          <w:w w:val="105"/>
        </w:rPr>
        <w:t> </w:t>
      </w:r>
      <w:r>
        <w:rPr>
          <w:w w:val="105"/>
        </w:rPr>
        <w:t>selling</w:t>
      </w:r>
      <w:r>
        <w:rPr>
          <w:spacing w:val="-8"/>
          <w:w w:val="105"/>
        </w:rPr>
        <w:t> </w:t>
      </w:r>
      <w:r>
        <w:rPr>
          <w:w w:val="105"/>
        </w:rPr>
        <w:t>prices</w:t>
      </w:r>
      <w:r>
        <w:rPr>
          <w:spacing w:val="-8"/>
          <w:w w:val="105"/>
        </w:rPr>
        <w:t> </w:t>
      </w:r>
      <w:r>
        <w:rPr>
          <w:w w:val="105"/>
        </w:rPr>
        <w:t>in</w:t>
      </w:r>
      <w:r>
        <w:rPr>
          <w:spacing w:val="-8"/>
          <w:w w:val="105"/>
        </w:rPr>
        <w:t> </w:t>
      </w:r>
      <w:r>
        <w:rPr>
          <w:w w:val="105"/>
        </w:rPr>
        <w:t>the</w:t>
      </w:r>
      <w:r>
        <w:rPr>
          <w:spacing w:val="-8"/>
          <w:w w:val="105"/>
        </w:rPr>
        <w:t> </w:t>
      </w:r>
      <w:r>
        <w:rPr>
          <w:w w:val="105"/>
        </w:rPr>
        <w:t>ordinary</w:t>
      </w:r>
      <w:r>
        <w:rPr>
          <w:spacing w:val="-8"/>
          <w:w w:val="105"/>
        </w:rPr>
        <w:t> </w:t>
      </w:r>
      <w:r>
        <w:rPr>
          <w:w w:val="105"/>
        </w:rPr>
        <w:t>course</w:t>
      </w:r>
      <w:r>
        <w:rPr>
          <w:spacing w:val="-8"/>
          <w:w w:val="105"/>
        </w:rPr>
        <w:t> </w:t>
      </w:r>
      <w:r>
        <w:rPr>
          <w:w w:val="105"/>
        </w:rPr>
        <w:t>of</w:t>
      </w:r>
      <w:r>
        <w:rPr>
          <w:spacing w:val="-8"/>
          <w:w w:val="105"/>
        </w:rPr>
        <w:t> </w:t>
      </w:r>
      <w:r>
        <w:rPr>
          <w:w w:val="105"/>
        </w:rPr>
        <w:t>business,</w:t>
      </w:r>
      <w:r>
        <w:rPr>
          <w:spacing w:val="-8"/>
          <w:w w:val="105"/>
        </w:rPr>
        <w:t> </w:t>
      </w:r>
      <w:r>
        <w:rPr>
          <w:w w:val="105"/>
        </w:rPr>
        <w:t>less</w:t>
      </w:r>
      <w:r>
        <w:rPr>
          <w:spacing w:val="-8"/>
          <w:w w:val="105"/>
        </w:rPr>
        <w:t> </w:t>
      </w:r>
      <w:r>
        <w:rPr>
          <w:w w:val="105"/>
        </w:rPr>
        <w:t>reasonably</w:t>
      </w:r>
      <w:r>
        <w:rPr>
          <w:spacing w:val="-8"/>
          <w:w w:val="105"/>
        </w:rPr>
        <w:t> </w:t>
      </w:r>
      <w:r>
        <w:rPr>
          <w:w w:val="105"/>
        </w:rPr>
        <w:t>predictable costs of completion, disposal and transportation. Cost is determined on a first-in, first-out basis.</w:t>
      </w:r>
    </w:p>
    <w:p>
      <w:pPr>
        <w:pStyle w:val="BodyText"/>
        <w:spacing w:before="19"/>
      </w:pPr>
    </w:p>
    <w:p>
      <w:pPr>
        <w:pStyle w:val="BodyText"/>
        <w:ind w:left="48"/>
        <w:jc w:val="center"/>
      </w:pPr>
      <w:r>
        <w:rPr>
          <w:spacing w:val="-5"/>
          <w:w w:val="105"/>
        </w:rPr>
        <w:t>72</w:t>
      </w:r>
    </w:p>
    <w:p>
      <w:pPr>
        <w:pStyle w:val="BodyText"/>
        <w:spacing w:before="11"/>
        <w:rPr>
          <w:sz w:val="5"/>
        </w:rPr>
      </w:pPr>
      <w:r>
        <w:rPr/>
        <mc:AlternateContent>
          <mc:Choice Requires="wps">
            <w:drawing>
              <wp:anchor distT="0" distB="0" distL="0" distR="0" allowOverlap="1" layoutInCell="1" locked="0" behindDoc="1" simplePos="0" relativeHeight="487669760">
                <wp:simplePos x="0" y="0"/>
                <wp:positionH relativeFrom="page">
                  <wp:posOffset>226488</wp:posOffset>
                </wp:positionH>
                <wp:positionV relativeFrom="paragraph">
                  <wp:posOffset>58734</wp:posOffset>
                </wp:positionV>
                <wp:extent cx="7312659" cy="16510"/>
                <wp:effectExtent l="0" t="0" r="0" b="0"/>
                <wp:wrapTopAndBottom/>
                <wp:docPr id="292" name="Graphic 292"/>
                <wp:cNvGraphicFramePr>
                  <a:graphicFrameLocks/>
                </wp:cNvGraphicFramePr>
                <a:graphic>
                  <a:graphicData uri="http://schemas.microsoft.com/office/word/2010/wordprocessingShape">
                    <wps:wsp>
                      <wps:cNvPr id="292" name="Graphic 292"/>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46720;mso-wrap-distance-left:0;mso-wrap-distance-right:0" id="docshape291"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numPr>
          <w:ilvl w:val="0"/>
          <w:numId w:val="33"/>
        </w:numPr>
        <w:tabs>
          <w:tab w:pos="362" w:val="left" w:leader="none"/>
        </w:tabs>
        <w:spacing w:line="240" w:lineRule="auto" w:before="0" w:after="0"/>
        <w:ind w:left="362" w:right="0" w:hanging="206"/>
        <w:jc w:val="left"/>
      </w:pPr>
      <w:r>
        <w:rPr/>
        <w:t>Summary</w:t>
      </w:r>
      <w:r>
        <w:rPr>
          <w:spacing w:val="16"/>
        </w:rPr>
        <w:t> </w:t>
      </w:r>
      <w:r>
        <w:rPr/>
        <w:t>of</w:t>
      </w:r>
      <w:r>
        <w:rPr>
          <w:spacing w:val="17"/>
        </w:rPr>
        <w:t> </w:t>
      </w:r>
      <w:r>
        <w:rPr/>
        <w:t>Significant</w:t>
      </w:r>
      <w:r>
        <w:rPr>
          <w:spacing w:val="17"/>
        </w:rPr>
        <w:t> </w:t>
      </w:r>
      <w:r>
        <w:rPr/>
        <w:t>Accounting</w:t>
      </w:r>
      <w:r>
        <w:rPr>
          <w:spacing w:val="16"/>
        </w:rPr>
        <w:t> </w:t>
      </w:r>
      <w:r>
        <w:rPr/>
        <w:t>Policies</w:t>
      </w:r>
      <w:r>
        <w:rPr>
          <w:spacing w:val="17"/>
        </w:rPr>
        <w:t> </w:t>
      </w:r>
      <w:r>
        <w:rPr>
          <w:spacing w:val="-2"/>
        </w:rPr>
        <w:t>(Continued)</w:t>
      </w:r>
    </w:p>
    <w:p>
      <w:pPr>
        <w:pStyle w:val="BodyText"/>
        <w:spacing w:before="40"/>
        <w:rPr>
          <w:b/>
        </w:rPr>
      </w:pPr>
    </w:p>
    <w:p>
      <w:pPr>
        <w:pStyle w:val="Heading3"/>
      </w:pPr>
      <w:r>
        <w:rPr>
          <w:w w:val="105"/>
        </w:rPr>
        <w:t>Property,</w:t>
      </w:r>
      <w:r>
        <w:rPr>
          <w:spacing w:val="-11"/>
          <w:w w:val="105"/>
        </w:rPr>
        <w:t> </w:t>
      </w:r>
      <w:r>
        <w:rPr>
          <w:w w:val="105"/>
        </w:rPr>
        <w:t>Plant</w:t>
      </w:r>
      <w:r>
        <w:rPr>
          <w:spacing w:val="-10"/>
          <w:w w:val="105"/>
        </w:rPr>
        <w:t> </w:t>
      </w:r>
      <w:r>
        <w:rPr>
          <w:w w:val="105"/>
        </w:rPr>
        <w:t>and</w:t>
      </w:r>
      <w:r>
        <w:rPr>
          <w:spacing w:val="-10"/>
          <w:w w:val="105"/>
        </w:rPr>
        <w:t> </w:t>
      </w:r>
      <w:r>
        <w:rPr>
          <w:w w:val="105"/>
        </w:rPr>
        <w:t>Equipment,</w:t>
      </w:r>
      <w:r>
        <w:rPr>
          <w:spacing w:val="-10"/>
          <w:w w:val="105"/>
        </w:rPr>
        <w:t> </w:t>
      </w:r>
      <w:r>
        <w:rPr>
          <w:w w:val="105"/>
        </w:rPr>
        <w:t>Net</w:t>
      </w:r>
      <w:r>
        <w:rPr>
          <w:spacing w:val="-10"/>
          <w:w w:val="105"/>
        </w:rPr>
        <w:t> </w:t>
      </w:r>
      <w:r>
        <w:rPr>
          <w:w w:val="105"/>
        </w:rPr>
        <w:t>of</w:t>
      </w:r>
      <w:r>
        <w:rPr>
          <w:spacing w:val="-11"/>
          <w:w w:val="105"/>
        </w:rPr>
        <w:t> </w:t>
      </w:r>
      <w:r>
        <w:rPr>
          <w:w w:val="105"/>
        </w:rPr>
        <w:t>Accumulated</w:t>
      </w:r>
      <w:r>
        <w:rPr>
          <w:spacing w:val="-10"/>
          <w:w w:val="105"/>
        </w:rPr>
        <w:t> </w:t>
      </w:r>
      <w:r>
        <w:rPr>
          <w:spacing w:val="-2"/>
          <w:w w:val="105"/>
        </w:rPr>
        <w:t>Depreciation</w:t>
      </w:r>
    </w:p>
    <w:p>
      <w:pPr>
        <w:pStyle w:val="BodyText"/>
        <w:spacing w:before="39"/>
        <w:rPr>
          <w:b/>
          <w:i/>
        </w:rPr>
      </w:pPr>
    </w:p>
    <w:p>
      <w:pPr>
        <w:pStyle w:val="BodyText"/>
        <w:spacing w:line="266" w:lineRule="auto"/>
        <w:ind w:left="156"/>
      </w:pPr>
      <w:r>
        <w:rPr>
          <w:w w:val="105"/>
        </w:rPr>
        <w:t>Land,</w:t>
      </w:r>
      <w:r>
        <w:rPr>
          <w:spacing w:val="-5"/>
          <w:w w:val="105"/>
        </w:rPr>
        <w:t> </w:t>
      </w:r>
      <w:r>
        <w:rPr>
          <w:w w:val="105"/>
        </w:rPr>
        <w:t>buildings,</w:t>
      </w:r>
      <w:r>
        <w:rPr>
          <w:spacing w:val="-5"/>
          <w:w w:val="105"/>
        </w:rPr>
        <w:t> </w:t>
      </w:r>
      <w:r>
        <w:rPr>
          <w:w w:val="105"/>
        </w:rPr>
        <w:t>and</w:t>
      </w:r>
      <w:r>
        <w:rPr>
          <w:spacing w:val="-5"/>
          <w:w w:val="105"/>
        </w:rPr>
        <w:t> </w:t>
      </w:r>
      <w:r>
        <w:rPr>
          <w:w w:val="105"/>
        </w:rPr>
        <w:t>equipment,</w:t>
      </w:r>
      <w:r>
        <w:rPr>
          <w:spacing w:val="-5"/>
          <w:w w:val="105"/>
        </w:rPr>
        <w:t> </w:t>
      </w:r>
      <w:r>
        <w:rPr>
          <w:w w:val="105"/>
        </w:rPr>
        <w:t>including</w:t>
      </w:r>
      <w:r>
        <w:rPr>
          <w:spacing w:val="-5"/>
          <w:w w:val="105"/>
        </w:rPr>
        <w:t> </w:t>
      </w:r>
      <w:r>
        <w:rPr>
          <w:w w:val="105"/>
        </w:rPr>
        <w:t>precious</w:t>
      </w:r>
      <w:r>
        <w:rPr>
          <w:spacing w:val="-5"/>
          <w:w w:val="105"/>
        </w:rPr>
        <w:t> </w:t>
      </w:r>
      <w:r>
        <w:rPr>
          <w:w w:val="105"/>
        </w:rPr>
        <w:t>metals,</w:t>
      </w:r>
      <w:r>
        <w:rPr>
          <w:spacing w:val="-5"/>
          <w:w w:val="105"/>
        </w:rPr>
        <w:t> </w:t>
      </w:r>
      <w:r>
        <w:rPr>
          <w:w w:val="105"/>
        </w:rPr>
        <w:t>are</w:t>
      </w:r>
      <w:r>
        <w:rPr>
          <w:spacing w:val="-5"/>
          <w:w w:val="105"/>
        </w:rPr>
        <w:t> </w:t>
      </w:r>
      <w:r>
        <w:rPr>
          <w:w w:val="105"/>
        </w:rPr>
        <w:t>recorded</w:t>
      </w:r>
      <w:r>
        <w:rPr>
          <w:spacing w:val="-5"/>
          <w:w w:val="105"/>
        </w:rPr>
        <w:t> </w:t>
      </w:r>
      <w:r>
        <w:rPr>
          <w:w w:val="105"/>
        </w:rPr>
        <w:t>at</w:t>
      </w:r>
      <w:r>
        <w:rPr>
          <w:spacing w:val="-5"/>
          <w:w w:val="105"/>
        </w:rPr>
        <w:t> </w:t>
      </w:r>
      <w:r>
        <w:rPr>
          <w:w w:val="105"/>
        </w:rPr>
        <w:t>cost.</w:t>
      </w:r>
      <w:r>
        <w:rPr>
          <w:spacing w:val="-5"/>
          <w:w w:val="105"/>
        </w:rPr>
        <w:t> </w:t>
      </w:r>
      <w:r>
        <w:rPr>
          <w:w w:val="105"/>
        </w:rPr>
        <w:t>Depreciation</w:t>
      </w:r>
      <w:r>
        <w:rPr>
          <w:spacing w:val="-5"/>
          <w:w w:val="105"/>
        </w:rPr>
        <w:t> </w:t>
      </w:r>
      <w:r>
        <w:rPr>
          <w:w w:val="105"/>
        </w:rPr>
        <w:t>is</w:t>
      </w:r>
      <w:r>
        <w:rPr>
          <w:spacing w:val="-5"/>
          <w:w w:val="105"/>
        </w:rPr>
        <w:t> </w:t>
      </w:r>
      <w:r>
        <w:rPr>
          <w:w w:val="105"/>
        </w:rPr>
        <w:t>based</w:t>
      </w:r>
      <w:r>
        <w:rPr>
          <w:spacing w:val="-5"/>
          <w:w w:val="105"/>
        </w:rPr>
        <w:t> </w:t>
      </w:r>
      <w:r>
        <w:rPr>
          <w:w w:val="105"/>
        </w:rPr>
        <w:t>on</w:t>
      </w:r>
      <w:r>
        <w:rPr>
          <w:spacing w:val="-5"/>
          <w:w w:val="105"/>
        </w:rPr>
        <w:t> </w:t>
      </w:r>
      <w:r>
        <w:rPr>
          <w:w w:val="105"/>
        </w:rPr>
        <w:t>estimated</w:t>
      </w:r>
      <w:r>
        <w:rPr>
          <w:spacing w:val="-5"/>
          <w:w w:val="105"/>
        </w:rPr>
        <w:t> </w:t>
      </w:r>
      <w:r>
        <w:rPr>
          <w:w w:val="105"/>
        </w:rPr>
        <w:t>useful</w:t>
      </w:r>
      <w:r>
        <w:rPr>
          <w:spacing w:val="-5"/>
          <w:w w:val="105"/>
        </w:rPr>
        <w:t> </w:t>
      </w:r>
      <w:r>
        <w:rPr>
          <w:w w:val="105"/>
        </w:rPr>
        <w:t>lives</w:t>
      </w:r>
      <w:r>
        <w:rPr>
          <w:spacing w:val="-5"/>
          <w:w w:val="105"/>
        </w:rPr>
        <w:t> </w:t>
      </w:r>
      <w:r>
        <w:rPr>
          <w:w w:val="105"/>
        </w:rPr>
        <w:t>of</w:t>
      </w:r>
      <w:r>
        <w:rPr>
          <w:spacing w:val="-5"/>
          <w:w w:val="105"/>
        </w:rPr>
        <w:t> </w:t>
      </w:r>
      <w:r>
        <w:rPr>
          <w:w w:val="105"/>
        </w:rPr>
        <w:t>properties</w:t>
      </w:r>
      <w:r>
        <w:rPr>
          <w:spacing w:val="-5"/>
          <w:w w:val="105"/>
        </w:rPr>
        <w:t> </w:t>
      </w:r>
      <w:r>
        <w:rPr>
          <w:w w:val="105"/>
        </w:rPr>
        <w:t>using</w:t>
      </w:r>
      <w:r>
        <w:rPr>
          <w:spacing w:val="-5"/>
          <w:w w:val="105"/>
        </w:rPr>
        <w:t> </w:t>
      </w:r>
      <w:r>
        <w:rPr>
          <w:w w:val="105"/>
        </w:rPr>
        <w:t>the</w:t>
      </w:r>
      <w:r>
        <w:rPr>
          <w:spacing w:val="-5"/>
          <w:w w:val="105"/>
        </w:rPr>
        <w:t> </w:t>
      </w:r>
      <w:r>
        <w:rPr>
          <w:w w:val="105"/>
        </w:rPr>
        <w:t>straight-line</w:t>
      </w:r>
      <w:r>
        <w:rPr>
          <w:spacing w:val="-3"/>
          <w:w w:val="105"/>
        </w:rPr>
        <w:t> </w:t>
      </w:r>
      <w:r>
        <w:rPr>
          <w:w w:val="105"/>
        </w:rPr>
        <w:t>method. Except</w:t>
      </w:r>
      <w:r>
        <w:rPr>
          <w:spacing w:val="-8"/>
          <w:w w:val="105"/>
        </w:rPr>
        <w:t> </w:t>
      </w:r>
      <w:r>
        <w:rPr>
          <w:w w:val="105"/>
        </w:rPr>
        <w:t>as</w:t>
      </w:r>
      <w:r>
        <w:rPr>
          <w:spacing w:val="-8"/>
          <w:w w:val="105"/>
        </w:rPr>
        <w:t> </w:t>
      </w:r>
      <w:r>
        <w:rPr>
          <w:w w:val="105"/>
        </w:rPr>
        <w:t>described</w:t>
      </w:r>
      <w:r>
        <w:rPr>
          <w:spacing w:val="-8"/>
          <w:w w:val="105"/>
        </w:rPr>
        <w:t> </w:t>
      </w:r>
      <w:r>
        <w:rPr>
          <w:w w:val="105"/>
        </w:rPr>
        <w:t>in</w:t>
      </w:r>
      <w:r>
        <w:rPr>
          <w:spacing w:val="-8"/>
          <w:w w:val="105"/>
        </w:rPr>
        <w:t> </w:t>
      </w:r>
      <w:r>
        <w:rPr>
          <w:w w:val="105"/>
        </w:rPr>
        <w:t>Note</w:t>
      </w:r>
      <w:r>
        <w:rPr>
          <w:spacing w:val="-8"/>
          <w:w w:val="105"/>
        </w:rPr>
        <w:t> </w:t>
      </w:r>
      <w:r>
        <w:rPr>
          <w:w w:val="105"/>
        </w:rPr>
        <w:t>9</w:t>
      </w:r>
      <w:r>
        <w:rPr>
          <w:spacing w:val="-8"/>
          <w:w w:val="105"/>
        </w:rPr>
        <w:t> </w:t>
      </w:r>
      <w:r>
        <w:rPr>
          <w:w w:val="105"/>
        </w:rPr>
        <w:t>(Property,</w:t>
      </w:r>
      <w:r>
        <w:rPr>
          <w:spacing w:val="-8"/>
          <w:w w:val="105"/>
        </w:rPr>
        <w:t> </w:t>
      </w:r>
      <w:r>
        <w:rPr>
          <w:w w:val="105"/>
        </w:rPr>
        <w:t>Plant</w:t>
      </w:r>
      <w:r>
        <w:rPr>
          <w:spacing w:val="-8"/>
          <w:w w:val="105"/>
        </w:rPr>
        <w:t> </w:t>
      </w:r>
      <w:r>
        <w:rPr>
          <w:w w:val="105"/>
        </w:rPr>
        <w:t>and</w:t>
      </w:r>
      <w:r>
        <w:rPr>
          <w:spacing w:val="-8"/>
          <w:w w:val="105"/>
        </w:rPr>
        <w:t> </w:t>
      </w:r>
      <w:r>
        <w:rPr>
          <w:w w:val="105"/>
        </w:rPr>
        <w:t>Equipment,</w:t>
      </w:r>
      <w:r>
        <w:rPr>
          <w:spacing w:val="-8"/>
          <w:w w:val="105"/>
        </w:rPr>
        <w:t> </w:t>
      </w:r>
      <w:r>
        <w:rPr>
          <w:w w:val="105"/>
        </w:rPr>
        <w:t>Net</w:t>
      </w:r>
      <w:r>
        <w:rPr>
          <w:spacing w:val="-8"/>
          <w:w w:val="105"/>
        </w:rPr>
        <w:t> </w:t>
      </w:r>
      <w:r>
        <w:rPr>
          <w:w w:val="105"/>
        </w:rPr>
        <w:t>of</w:t>
      </w:r>
      <w:r>
        <w:rPr>
          <w:spacing w:val="-8"/>
          <w:w w:val="105"/>
        </w:rPr>
        <w:t> </w:t>
      </w:r>
      <w:r>
        <w:rPr>
          <w:w w:val="105"/>
        </w:rPr>
        <w:t>Accumulated</w:t>
      </w:r>
      <w:r>
        <w:rPr>
          <w:spacing w:val="-8"/>
          <w:w w:val="105"/>
        </w:rPr>
        <w:t> </w:t>
      </w:r>
      <w:r>
        <w:rPr>
          <w:w w:val="105"/>
        </w:rPr>
        <w:t>Depreciation)</w:t>
      </w:r>
      <w:r>
        <w:rPr>
          <w:spacing w:val="-8"/>
          <w:w w:val="105"/>
        </w:rPr>
        <w:t> </w:t>
      </w:r>
      <w:r>
        <w:rPr>
          <w:w w:val="105"/>
        </w:rPr>
        <w:t>to</w:t>
      </w:r>
      <w:r>
        <w:rPr>
          <w:spacing w:val="-8"/>
          <w:w w:val="105"/>
        </w:rPr>
        <w:t> </w:t>
      </w:r>
      <w:r>
        <w:rPr>
          <w:w w:val="105"/>
        </w:rPr>
        <w:t>the</w:t>
      </w:r>
      <w:r>
        <w:rPr>
          <w:spacing w:val="-8"/>
          <w:w w:val="105"/>
        </w:rPr>
        <w:t> </w:t>
      </w:r>
      <w:r>
        <w:rPr>
          <w:w w:val="105"/>
        </w:rPr>
        <w:t>consolidated</w:t>
      </w:r>
      <w:r>
        <w:rPr>
          <w:spacing w:val="-8"/>
          <w:w w:val="105"/>
        </w:rPr>
        <w:t> </w:t>
      </w:r>
      <w:r>
        <w:rPr>
          <w:w w:val="105"/>
        </w:rPr>
        <w:t>financial</w:t>
      </w:r>
      <w:r>
        <w:rPr>
          <w:spacing w:val="-8"/>
          <w:w w:val="105"/>
        </w:rPr>
        <w:t> </w:t>
      </w:r>
      <w:r>
        <w:rPr>
          <w:w w:val="105"/>
        </w:rPr>
        <w:t>statements</w:t>
      </w:r>
      <w:r>
        <w:rPr>
          <w:spacing w:val="-8"/>
          <w:w w:val="105"/>
        </w:rPr>
        <w:t> </w:t>
      </w:r>
      <w:r>
        <w:rPr>
          <w:w w:val="105"/>
        </w:rPr>
        <w:t>related</w:t>
      </w:r>
      <w:r>
        <w:rPr>
          <w:spacing w:val="-8"/>
          <w:w w:val="105"/>
        </w:rPr>
        <w:t> </w:t>
      </w:r>
      <w:r>
        <w:rPr>
          <w:w w:val="105"/>
        </w:rPr>
        <w:t>to</w:t>
      </w:r>
      <w:r>
        <w:rPr>
          <w:spacing w:val="-8"/>
          <w:w w:val="105"/>
        </w:rPr>
        <w:t> </w:t>
      </w:r>
      <w:r>
        <w:rPr>
          <w:w w:val="105"/>
        </w:rPr>
        <w:t>the</w:t>
      </w:r>
      <w:r>
        <w:rPr>
          <w:spacing w:val="-8"/>
          <w:w w:val="105"/>
        </w:rPr>
        <w:t> </w:t>
      </w:r>
      <w:r>
        <w:rPr>
          <w:w w:val="105"/>
        </w:rPr>
        <w:t>depletion</w:t>
      </w:r>
      <w:r>
        <w:rPr>
          <w:spacing w:val="-8"/>
          <w:w w:val="105"/>
        </w:rPr>
        <w:t> </w:t>
      </w:r>
      <w:r>
        <w:rPr>
          <w:w w:val="105"/>
        </w:rPr>
        <w:t>of</w:t>
      </w:r>
      <w:r>
        <w:rPr>
          <w:spacing w:val="-8"/>
          <w:w w:val="105"/>
        </w:rPr>
        <w:t> </w:t>
      </w:r>
      <w:r>
        <w:rPr>
          <w:w w:val="105"/>
        </w:rPr>
        <w:t>precious metals, the estimated useful lives range from 10 to 40 years for buildings and 2 to 20 years for equipment.</w:t>
      </w:r>
    </w:p>
    <w:p>
      <w:pPr>
        <w:pStyle w:val="BodyText"/>
        <w:spacing w:before="1"/>
        <w:rPr>
          <w:sz w:val="9"/>
        </w:rPr>
      </w:pPr>
    </w:p>
    <w:p>
      <w:pPr>
        <w:spacing w:after="0"/>
        <w:rPr>
          <w:sz w:val="9"/>
        </w:rPr>
        <w:sectPr>
          <w:pgSz w:w="12240" w:h="15840"/>
          <w:pgMar w:header="428" w:footer="0" w:top="620" w:bottom="280" w:left="200" w:right="260"/>
        </w:sectPr>
      </w:pPr>
    </w:p>
    <w:p>
      <w:pPr>
        <w:pStyle w:val="BodyText"/>
        <w:spacing w:before="99"/>
        <w:ind w:left="156"/>
      </w:pPr>
      <w:r>
        <w:rPr/>
        <mc:AlternateContent>
          <mc:Choice Requires="wps">
            <w:drawing>
              <wp:anchor distT="0" distB="0" distL="0" distR="0" allowOverlap="1" layoutInCell="1" locked="0" behindDoc="0" simplePos="0" relativeHeight="15813120">
                <wp:simplePos x="0" y="0"/>
                <wp:positionH relativeFrom="page">
                  <wp:posOffset>226479</wp:posOffset>
                </wp:positionH>
                <wp:positionV relativeFrom="paragraph">
                  <wp:posOffset>262791</wp:posOffset>
                </wp:positionV>
                <wp:extent cx="7312659" cy="1651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7312659" cy="16510"/>
                        </a:xfrm>
                        <a:custGeom>
                          <a:avLst/>
                          <a:gdLst/>
                          <a:ahLst/>
                          <a:cxnLst/>
                          <a:rect l="l" t="t" r="r" b="b"/>
                          <a:pathLst>
                            <a:path w="7312659" h="16510">
                              <a:moveTo>
                                <a:pt x="7312342" y="0"/>
                              </a:moveTo>
                              <a:lnTo>
                                <a:pt x="7231456" y="0"/>
                              </a:lnTo>
                              <a:lnTo>
                                <a:pt x="6349771" y="0"/>
                              </a:lnTo>
                              <a:lnTo>
                                <a:pt x="6276975" y="0"/>
                              </a:lnTo>
                              <a:lnTo>
                                <a:pt x="0" y="0"/>
                              </a:lnTo>
                              <a:lnTo>
                                <a:pt x="0" y="16179"/>
                              </a:lnTo>
                              <a:lnTo>
                                <a:pt x="6276975" y="16179"/>
                              </a:lnTo>
                              <a:lnTo>
                                <a:pt x="6349771" y="16179"/>
                              </a:lnTo>
                              <a:lnTo>
                                <a:pt x="723145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20.692244pt;width:575.8pt;height:1.3pt;mso-position-horizontal-relative:page;mso-position-vertical-relative:paragraph;z-index:15813120" id="docshape292" coordorigin="357,414" coordsize="11516,26" path="m11872,414l11745,414,10356,414,10242,414,357,414,357,439,10242,439,10356,439,11745,439,11872,439,11872,414xe" filled="true" fillcolor="#000000" stroked="false">
                <v:path arrowok="t"/>
                <v:fill type="solid"/>
                <w10:wrap type="none"/>
              </v:shape>
            </w:pict>
          </mc:Fallback>
        </mc:AlternateContent>
      </w:r>
      <w:r>
        <w:rPr>
          <w:w w:val="105"/>
        </w:rPr>
        <w:t>Included</w:t>
      </w:r>
      <w:r>
        <w:rPr>
          <w:spacing w:val="-10"/>
          <w:w w:val="105"/>
        </w:rPr>
        <w:t> </w:t>
      </w:r>
      <w:r>
        <w:rPr>
          <w:w w:val="105"/>
        </w:rPr>
        <w:t>in</w:t>
      </w:r>
      <w:r>
        <w:rPr>
          <w:spacing w:val="-9"/>
          <w:w w:val="105"/>
        </w:rPr>
        <w:t> </w:t>
      </w:r>
      <w:r>
        <w:rPr>
          <w:w w:val="105"/>
        </w:rPr>
        <w:t>the</w:t>
      </w:r>
      <w:r>
        <w:rPr>
          <w:spacing w:val="-10"/>
          <w:w w:val="105"/>
        </w:rPr>
        <w:t> </w:t>
      </w:r>
      <w:r>
        <w:rPr>
          <w:w w:val="105"/>
        </w:rPr>
        <w:t>subcategory</w:t>
      </w:r>
      <w:r>
        <w:rPr>
          <w:spacing w:val="-9"/>
          <w:w w:val="105"/>
        </w:rPr>
        <w:t> </w:t>
      </w:r>
      <w:r>
        <w:rPr>
          <w:w w:val="105"/>
        </w:rPr>
        <w:t>of</w:t>
      </w:r>
      <w:r>
        <w:rPr>
          <w:spacing w:val="-10"/>
          <w:w w:val="105"/>
        </w:rPr>
        <w:t> </w:t>
      </w:r>
      <w:r>
        <w:rPr>
          <w:w w:val="105"/>
        </w:rPr>
        <w:t>equipment</w:t>
      </w:r>
      <w:r>
        <w:rPr>
          <w:spacing w:val="-9"/>
          <w:w w:val="105"/>
        </w:rPr>
        <w:t> </w:t>
      </w:r>
      <w:r>
        <w:rPr>
          <w:w w:val="105"/>
        </w:rPr>
        <w:t>are</w:t>
      </w:r>
      <w:r>
        <w:rPr>
          <w:spacing w:val="-10"/>
          <w:w w:val="105"/>
        </w:rPr>
        <w:t> </w:t>
      </w:r>
      <w:r>
        <w:rPr>
          <w:w w:val="105"/>
        </w:rPr>
        <w:t>the</w:t>
      </w:r>
      <w:r>
        <w:rPr>
          <w:spacing w:val="-9"/>
          <w:w w:val="105"/>
        </w:rPr>
        <w:t> </w:t>
      </w:r>
      <w:r>
        <w:rPr>
          <w:w w:val="105"/>
        </w:rPr>
        <w:t>following</w:t>
      </w:r>
      <w:r>
        <w:rPr>
          <w:spacing w:val="-10"/>
          <w:w w:val="105"/>
        </w:rPr>
        <w:t> </w:t>
      </w:r>
      <w:r>
        <w:rPr>
          <w:w w:val="105"/>
        </w:rPr>
        <w:t>types</w:t>
      </w:r>
      <w:r>
        <w:rPr>
          <w:spacing w:val="-9"/>
          <w:w w:val="105"/>
        </w:rPr>
        <w:t> </w:t>
      </w:r>
      <w:r>
        <w:rPr>
          <w:w w:val="105"/>
        </w:rPr>
        <w:t>of</w:t>
      </w:r>
      <w:r>
        <w:rPr>
          <w:spacing w:val="-10"/>
          <w:w w:val="105"/>
        </w:rPr>
        <w:t> </w:t>
      </w:r>
      <w:r>
        <w:rPr>
          <w:w w:val="105"/>
        </w:rPr>
        <w:t>assets</w:t>
      </w:r>
      <w:r>
        <w:rPr>
          <w:spacing w:val="-9"/>
          <w:w w:val="105"/>
        </w:rPr>
        <w:t> </w:t>
      </w:r>
      <w:r>
        <w:rPr>
          <w:w w:val="105"/>
        </w:rPr>
        <w:t>(excluding</w:t>
      </w:r>
      <w:r>
        <w:rPr>
          <w:spacing w:val="-10"/>
          <w:w w:val="105"/>
        </w:rPr>
        <w:t> </w:t>
      </w:r>
      <w:r>
        <w:rPr>
          <w:w w:val="105"/>
        </w:rPr>
        <w:t>precious</w:t>
      </w:r>
      <w:r>
        <w:rPr>
          <w:spacing w:val="-9"/>
          <w:w w:val="105"/>
        </w:rPr>
        <w:t> </w:t>
      </w:r>
      <w:r>
        <w:rPr>
          <w:spacing w:val="-2"/>
          <w:w w:val="105"/>
        </w:rPr>
        <w:t>metals):</w:t>
      </w:r>
    </w:p>
    <w:p>
      <w:pPr>
        <w:pStyle w:val="BodyText"/>
        <w:spacing w:before="179"/>
      </w:pPr>
    </w:p>
    <w:p>
      <w:pPr>
        <w:pStyle w:val="Heading2"/>
      </w:pPr>
      <w:r>
        <w:rPr>
          <w:spacing w:val="-2"/>
          <w:w w:val="105"/>
        </w:rPr>
        <w:t>Asset</w:t>
      </w:r>
      <w:r>
        <w:rPr>
          <w:spacing w:val="-3"/>
          <w:w w:val="105"/>
        </w:rPr>
        <w:t> </w:t>
      </w:r>
      <w:r>
        <w:rPr>
          <w:spacing w:val="-4"/>
          <w:w w:val="105"/>
        </w:rPr>
        <w:t>type</w:t>
      </w:r>
    </w:p>
    <w:p>
      <w:pPr>
        <w:spacing w:line="240" w:lineRule="auto" w:before="0"/>
        <w:rPr>
          <w:b/>
          <w:sz w:val="16"/>
        </w:rPr>
      </w:pPr>
      <w:r>
        <w:rPr/>
        <w:br w:type="column"/>
      </w:r>
      <w:r>
        <w:rPr>
          <w:b/>
          <w:sz w:val="16"/>
        </w:rPr>
      </w:r>
    </w:p>
    <w:p>
      <w:pPr>
        <w:pStyle w:val="BodyText"/>
        <w:spacing w:before="74"/>
        <w:rPr>
          <w:b/>
        </w:rPr>
      </w:pPr>
    </w:p>
    <w:p>
      <w:pPr>
        <w:pStyle w:val="Heading2"/>
        <w:spacing w:line="266" w:lineRule="auto" w:before="1"/>
        <w:ind w:left="501" w:right="248" w:hanging="346"/>
      </w:pPr>
      <w:r>
        <w:rPr>
          <w:w w:val="105"/>
        </w:rPr>
        <w:t>Range</w:t>
      </w:r>
      <w:r>
        <w:rPr>
          <w:spacing w:val="-11"/>
          <w:w w:val="105"/>
        </w:rPr>
        <w:t> </w:t>
      </w:r>
      <w:r>
        <w:rPr>
          <w:w w:val="105"/>
        </w:rPr>
        <w:t>of</w:t>
      </w:r>
      <w:r>
        <w:rPr>
          <w:spacing w:val="-10"/>
          <w:w w:val="105"/>
        </w:rPr>
        <w:t> </w:t>
      </w:r>
      <w:r>
        <w:rPr>
          <w:w w:val="105"/>
        </w:rPr>
        <w:t>useful</w:t>
      </w:r>
      <w:r>
        <w:rPr>
          <w:spacing w:val="-11"/>
          <w:w w:val="105"/>
        </w:rPr>
        <w:t> </w:t>
      </w:r>
      <w:r>
        <w:rPr>
          <w:w w:val="105"/>
        </w:rPr>
        <w:t>life (in</w:t>
      </w:r>
      <w:r>
        <w:rPr>
          <w:spacing w:val="-1"/>
          <w:w w:val="105"/>
        </w:rPr>
        <w:t> </w:t>
      </w:r>
      <w:r>
        <w:rPr>
          <w:w w:val="105"/>
        </w:rPr>
        <w:t>years)</w:t>
      </w:r>
    </w:p>
    <w:p>
      <w:pPr>
        <w:spacing w:after="0" w:line="266" w:lineRule="auto"/>
        <w:sectPr>
          <w:type w:val="continuous"/>
          <w:pgSz w:w="12240" w:h="15840"/>
          <w:pgMar w:header="428" w:footer="0" w:top="700" w:bottom="280" w:left="200" w:right="260"/>
          <w:cols w:num="2" w:equalWidth="0">
            <w:col w:w="7056" w:space="2959"/>
            <w:col w:w="1765"/>
          </w:cols>
        </w:sectPr>
      </w:pPr>
    </w:p>
    <w:p>
      <w:pPr>
        <w:pStyle w:val="BodyText"/>
        <w:spacing w:line="216" w:lineRule="exact"/>
        <w:ind w:left="156"/>
        <w:rPr>
          <w:sz w:val="20"/>
        </w:rPr>
      </w:pPr>
      <w:r>
        <w:rPr>
          <w:position w:val="-3"/>
          <w:sz w:val="20"/>
        </w:rPr>
        <mc:AlternateContent>
          <mc:Choice Requires="wps">
            <w:drawing>
              <wp:inline distT="0" distB="0" distL="0" distR="0">
                <wp:extent cx="7312659" cy="137795"/>
                <wp:effectExtent l="9525" t="0" r="0" b="5080"/>
                <wp:docPr id="294" name="Group 294"/>
                <wp:cNvGraphicFramePr>
                  <a:graphicFrameLocks/>
                </wp:cNvGraphicFramePr>
                <a:graphic>
                  <a:graphicData uri="http://schemas.microsoft.com/office/word/2010/wordprocessingGroup">
                    <wpg:wgp>
                      <wpg:cNvPr id="294" name="Group 294"/>
                      <wpg:cNvGrpSpPr/>
                      <wpg:grpSpPr>
                        <a:xfrm>
                          <a:off x="0" y="0"/>
                          <a:ext cx="7312659" cy="137795"/>
                          <a:chExt cx="7312659" cy="137795"/>
                        </a:xfrm>
                      </wpg:grpSpPr>
                      <wps:wsp>
                        <wps:cNvPr id="295" name="Graphic 295"/>
                        <wps:cNvSpPr/>
                        <wps:spPr>
                          <a:xfrm>
                            <a:off x="-9" y="0"/>
                            <a:ext cx="7312659" cy="8255"/>
                          </a:xfrm>
                          <a:custGeom>
                            <a:avLst/>
                            <a:gdLst/>
                            <a:ahLst/>
                            <a:cxnLst/>
                            <a:rect l="l" t="t" r="r" b="b"/>
                            <a:pathLst>
                              <a:path w="7312659" h="8255">
                                <a:moveTo>
                                  <a:pt x="7312342" y="0"/>
                                </a:moveTo>
                                <a:lnTo>
                                  <a:pt x="7231456" y="0"/>
                                </a:lnTo>
                                <a:lnTo>
                                  <a:pt x="6349771" y="0"/>
                                </a:lnTo>
                                <a:lnTo>
                                  <a:pt x="6276975" y="0"/>
                                </a:lnTo>
                                <a:lnTo>
                                  <a:pt x="0" y="0"/>
                                </a:lnTo>
                                <a:lnTo>
                                  <a:pt x="0" y="8089"/>
                                </a:lnTo>
                                <a:lnTo>
                                  <a:pt x="6276975" y="8089"/>
                                </a:lnTo>
                                <a:lnTo>
                                  <a:pt x="6349771" y="8089"/>
                                </a:lnTo>
                                <a:lnTo>
                                  <a:pt x="7231456"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9" y="8090"/>
                            <a:ext cx="7312659" cy="129539"/>
                          </a:xfrm>
                          <a:custGeom>
                            <a:avLst/>
                            <a:gdLst/>
                            <a:ahLst/>
                            <a:cxnLst/>
                            <a:rect l="l" t="t" r="r" b="b"/>
                            <a:pathLst>
                              <a:path w="7312659" h="129539">
                                <a:moveTo>
                                  <a:pt x="7312342" y="0"/>
                                </a:moveTo>
                                <a:lnTo>
                                  <a:pt x="7231456" y="0"/>
                                </a:lnTo>
                                <a:lnTo>
                                  <a:pt x="6349771" y="0"/>
                                </a:lnTo>
                                <a:lnTo>
                                  <a:pt x="6276975" y="0"/>
                                </a:lnTo>
                                <a:lnTo>
                                  <a:pt x="0" y="0"/>
                                </a:lnTo>
                                <a:lnTo>
                                  <a:pt x="0" y="129425"/>
                                </a:lnTo>
                                <a:lnTo>
                                  <a:pt x="6276975" y="129425"/>
                                </a:lnTo>
                                <a:lnTo>
                                  <a:pt x="6349771" y="129425"/>
                                </a:lnTo>
                                <a:lnTo>
                                  <a:pt x="7231456" y="129425"/>
                                </a:lnTo>
                                <a:lnTo>
                                  <a:pt x="7312342" y="129425"/>
                                </a:lnTo>
                                <a:lnTo>
                                  <a:pt x="7312342" y="0"/>
                                </a:lnTo>
                                <a:close/>
                              </a:path>
                            </a:pathLst>
                          </a:custGeom>
                          <a:solidFill>
                            <a:srgbClr val="CCEDFF"/>
                          </a:solidFill>
                        </wps:spPr>
                        <wps:bodyPr wrap="square" lIns="0" tIns="0" rIns="0" bIns="0" rtlCol="0">
                          <a:prstTxWarp prst="textNoShape">
                            <a:avLst/>
                          </a:prstTxWarp>
                          <a:noAutofit/>
                        </wps:bodyPr>
                      </wps:wsp>
                      <wps:wsp>
                        <wps:cNvPr id="297" name="Textbox 297"/>
                        <wps:cNvSpPr txBox="1"/>
                        <wps:spPr>
                          <a:xfrm>
                            <a:off x="0" y="8088"/>
                            <a:ext cx="7312659" cy="129539"/>
                          </a:xfrm>
                          <a:prstGeom prst="rect">
                            <a:avLst/>
                          </a:prstGeom>
                        </wps:spPr>
                        <wps:txbx>
                          <w:txbxContent>
                            <w:p>
                              <w:pPr>
                                <w:tabs>
                                  <w:tab w:pos="10505" w:val="left" w:leader="none"/>
                                </w:tabs>
                                <w:spacing w:before="3"/>
                                <w:ind w:left="0" w:right="0" w:firstLine="0"/>
                                <w:jc w:val="left"/>
                                <w:rPr>
                                  <w:sz w:val="16"/>
                                </w:rPr>
                              </w:pPr>
                              <w:r>
                                <w:rPr>
                                  <w:sz w:val="16"/>
                                </w:rPr>
                                <w:t>Computer</w:t>
                              </w:r>
                              <w:r>
                                <w:rPr>
                                  <w:spacing w:val="15"/>
                                  <w:sz w:val="16"/>
                                </w:rPr>
                                <w:t> </w:t>
                              </w:r>
                              <w:r>
                                <w:rPr>
                                  <w:sz w:val="16"/>
                                </w:rPr>
                                <w:t>hardware</w:t>
                              </w:r>
                              <w:r>
                                <w:rPr>
                                  <w:spacing w:val="16"/>
                                  <w:sz w:val="16"/>
                                </w:rPr>
                                <w:t> </w:t>
                              </w:r>
                              <w:r>
                                <w:rPr>
                                  <w:sz w:val="16"/>
                                </w:rPr>
                                <w:t>and</w:t>
                              </w:r>
                              <w:r>
                                <w:rPr>
                                  <w:spacing w:val="15"/>
                                  <w:sz w:val="16"/>
                                </w:rPr>
                                <w:t> </w:t>
                              </w:r>
                              <w:r>
                                <w:rPr>
                                  <w:spacing w:val="-2"/>
                                  <w:sz w:val="16"/>
                                </w:rPr>
                                <w:t>software</w:t>
                              </w:r>
                              <w:r>
                                <w:rPr>
                                  <w:sz w:val="16"/>
                                </w:rPr>
                                <w:tab/>
                                <w:t>3</w:t>
                              </w:r>
                              <w:r>
                                <w:rPr>
                                  <w:spacing w:val="4"/>
                                  <w:sz w:val="16"/>
                                </w:rPr>
                                <w:t> </w:t>
                              </w:r>
                              <w:r>
                                <w:rPr>
                                  <w:sz w:val="16"/>
                                </w:rPr>
                                <w:t>to</w:t>
                              </w:r>
                              <w:r>
                                <w:rPr>
                                  <w:spacing w:val="4"/>
                                  <w:sz w:val="16"/>
                                </w:rPr>
                                <w:t> </w:t>
                              </w:r>
                              <w:r>
                                <w:rPr>
                                  <w:spacing w:val="-10"/>
                                  <w:sz w:val="16"/>
                                </w:rPr>
                                <w:t>7</w:t>
                              </w:r>
                            </w:p>
                          </w:txbxContent>
                        </wps:txbx>
                        <wps:bodyPr wrap="square" lIns="0" tIns="0" rIns="0" bIns="0" rtlCol="0">
                          <a:noAutofit/>
                        </wps:bodyPr>
                      </wps:wsp>
                    </wpg:wgp>
                  </a:graphicData>
                </a:graphic>
              </wp:inline>
            </w:drawing>
          </mc:Choice>
          <mc:Fallback>
            <w:pict>
              <v:group style="width:575.8pt;height:10.85pt;mso-position-horizontal-relative:char;mso-position-vertical-relative:line" id="docshapegroup293" coordorigin="0,0" coordsize="11516,217">
                <v:shape style="position:absolute;left:-1;top:0;width:11516;height:13" id="docshape294" coordorigin="0,0" coordsize="11516,13" path="m11515,0l11388,0,10000,0,9885,0,0,0,0,13,9885,13,10000,13,11388,13,11515,13,11515,0xe" filled="true" fillcolor="#000000" stroked="false">
                  <v:path arrowok="t"/>
                  <v:fill type="solid"/>
                </v:shape>
                <v:shape style="position:absolute;left:-1;top:12;width:11516;height:204" id="docshape295" coordorigin="0,13" coordsize="11516,204" path="m11515,13l11388,13,10000,13,9885,13,0,13,0,217,9885,217,10000,217,11388,217,11515,217,11515,13xe" filled="true" fillcolor="#ccedff" stroked="false">
                  <v:path arrowok="t"/>
                  <v:fill type="solid"/>
                </v:shape>
                <v:shape style="position:absolute;left:0;top:12;width:11516;height:204" type="#_x0000_t202" id="docshape296" filled="false" stroked="false">
                  <v:textbox inset="0,0,0,0">
                    <w:txbxContent>
                      <w:p>
                        <w:pPr>
                          <w:tabs>
                            <w:tab w:pos="10505" w:val="left" w:leader="none"/>
                          </w:tabs>
                          <w:spacing w:before="3"/>
                          <w:ind w:left="0" w:right="0" w:firstLine="0"/>
                          <w:jc w:val="left"/>
                          <w:rPr>
                            <w:sz w:val="16"/>
                          </w:rPr>
                        </w:pPr>
                        <w:r>
                          <w:rPr>
                            <w:sz w:val="16"/>
                          </w:rPr>
                          <w:t>Computer</w:t>
                        </w:r>
                        <w:r>
                          <w:rPr>
                            <w:spacing w:val="15"/>
                            <w:sz w:val="16"/>
                          </w:rPr>
                          <w:t> </w:t>
                        </w:r>
                        <w:r>
                          <w:rPr>
                            <w:sz w:val="16"/>
                          </w:rPr>
                          <w:t>hardware</w:t>
                        </w:r>
                        <w:r>
                          <w:rPr>
                            <w:spacing w:val="16"/>
                            <w:sz w:val="16"/>
                          </w:rPr>
                          <w:t> </w:t>
                        </w:r>
                        <w:r>
                          <w:rPr>
                            <w:sz w:val="16"/>
                          </w:rPr>
                          <w:t>and</w:t>
                        </w:r>
                        <w:r>
                          <w:rPr>
                            <w:spacing w:val="15"/>
                            <w:sz w:val="16"/>
                          </w:rPr>
                          <w:t> </w:t>
                        </w:r>
                        <w:r>
                          <w:rPr>
                            <w:spacing w:val="-2"/>
                            <w:sz w:val="16"/>
                          </w:rPr>
                          <w:t>software</w:t>
                        </w:r>
                        <w:r>
                          <w:rPr>
                            <w:sz w:val="16"/>
                          </w:rPr>
                          <w:tab/>
                          <w:t>3</w:t>
                        </w:r>
                        <w:r>
                          <w:rPr>
                            <w:spacing w:val="4"/>
                            <w:sz w:val="16"/>
                          </w:rPr>
                          <w:t> </w:t>
                        </w:r>
                        <w:r>
                          <w:rPr>
                            <w:sz w:val="16"/>
                          </w:rPr>
                          <w:t>to</w:t>
                        </w:r>
                        <w:r>
                          <w:rPr>
                            <w:spacing w:val="4"/>
                            <w:sz w:val="16"/>
                          </w:rPr>
                          <w:t> </w:t>
                        </w:r>
                        <w:r>
                          <w:rPr>
                            <w:spacing w:val="-10"/>
                            <w:sz w:val="16"/>
                          </w:rPr>
                          <w:t>7</w:t>
                        </w:r>
                      </w:p>
                    </w:txbxContent>
                  </v:textbox>
                  <w10:wrap type="none"/>
                </v:shape>
              </v:group>
            </w:pict>
          </mc:Fallback>
        </mc:AlternateContent>
      </w:r>
      <w:r>
        <w:rPr>
          <w:position w:val="-3"/>
          <w:sz w:val="20"/>
        </w:rPr>
      </w:r>
    </w:p>
    <w:p>
      <w:pPr>
        <w:pStyle w:val="BodyText"/>
        <w:tabs>
          <w:tab w:pos="10620" w:val="left" w:leader="none"/>
        </w:tabs>
        <w:ind w:left="156"/>
      </w:pPr>
      <w:r>
        <w:rPr/>
        <mc:AlternateContent>
          <mc:Choice Requires="wps">
            <w:drawing>
              <wp:anchor distT="0" distB="0" distL="0" distR="0" allowOverlap="1" layoutInCell="1" locked="0" behindDoc="1" simplePos="0" relativeHeight="487670784">
                <wp:simplePos x="0" y="0"/>
                <wp:positionH relativeFrom="page">
                  <wp:posOffset>226488</wp:posOffset>
                </wp:positionH>
                <wp:positionV relativeFrom="paragraph">
                  <wp:posOffset>126934</wp:posOffset>
                </wp:positionV>
                <wp:extent cx="7312659" cy="129539"/>
                <wp:effectExtent l="0" t="0" r="0" b="0"/>
                <wp:wrapTopAndBottom/>
                <wp:docPr id="298" name="Textbox 298"/>
                <wp:cNvGraphicFramePr>
                  <a:graphicFrameLocks/>
                </wp:cNvGraphicFramePr>
                <a:graphic>
                  <a:graphicData uri="http://schemas.microsoft.com/office/word/2010/wordprocessingShape">
                    <wps:wsp>
                      <wps:cNvPr id="298" name="Textbox 298"/>
                      <wps:cNvSpPr txBox="1"/>
                      <wps:spPr>
                        <a:xfrm>
                          <a:off x="0" y="0"/>
                          <a:ext cx="7312659" cy="129539"/>
                        </a:xfrm>
                        <a:prstGeom prst="rect">
                          <a:avLst/>
                        </a:prstGeom>
                        <a:solidFill>
                          <a:srgbClr val="CCEDFF"/>
                        </a:solidFill>
                      </wps:spPr>
                      <wps:txbx>
                        <w:txbxContent>
                          <w:p>
                            <w:pPr>
                              <w:pStyle w:val="BodyText"/>
                              <w:tabs>
                                <w:tab w:pos="10463" w:val="left" w:leader="none"/>
                              </w:tabs>
                              <w:spacing w:before="3"/>
                              <w:rPr>
                                <w:color w:val="000000"/>
                              </w:rPr>
                            </w:pPr>
                            <w:r>
                              <w:rPr>
                                <w:color w:val="000000"/>
                                <w:w w:val="105"/>
                              </w:rPr>
                              <w:t>Furniture</w:t>
                            </w:r>
                            <w:r>
                              <w:rPr>
                                <w:color w:val="000000"/>
                                <w:spacing w:val="-10"/>
                                <w:w w:val="105"/>
                              </w:rPr>
                              <w:t> </w:t>
                            </w:r>
                            <w:r>
                              <w:rPr>
                                <w:color w:val="000000"/>
                                <w:w w:val="105"/>
                              </w:rPr>
                              <w:t>and</w:t>
                            </w:r>
                            <w:r>
                              <w:rPr>
                                <w:color w:val="000000"/>
                                <w:spacing w:val="-9"/>
                                <w:w w:val="105"/>
                              </w:rPr>
                              <w:t> </w:t>
                            </w:r>
                            <w:r>
                              <w:rPr>
                                <w:color w:val="000000"/>
                                <w:spacing w:val="-2"/>
                                <w:w w:val="105"/>
                              </w:rPr>
                              <w:t>fixtures</w:t>
                            </w:r>
                            <w:r>
                              <w:rPr>
                                <w:color w:val="000000"/>
                              </w:rPr>
                              <w:tab/>
                            </w:r>
                            <w:r>
                              <w:rPr>
                                <w:color w:val="000000"/>
                                <w:w w:val="105"/>
                              </w:rPr>
                              <w:t>5</w:t>
                            </w:r>
                            <w:r>
                              <w:rPr>
                                <w:color w:val="000000"/>
                                <w:spacing w:val="-4"/>
                                <w:w w:val="105"/>
                              </w:rPr>
                              <w:t> </w:t>
                            </w:r>
                            <w:r>
                              <w:rPr>
                                <w:color w:val="000000"/>
                                <w:w w:val="105"/>
                              </w:rPr>
                              <w:t>to</w:t>
                            </w:r>
                            <w:r>
                              <w:rPr>
                                <w:color w:val="000000"/>
                                <w:spacing w:val="-3"/>
                                <w:w w:val="105"/>
                              </w:rPr>
                              <w:t> </w:t>
                            </w:r>
                            <w:r>
                              <w:rPr>
                                <w:color w:val="000000"/>
                                <w:spacing w:val="-5"/>
                                <w:w w:val="105"/>
                              </w:rPr>
                              <w:t>10</w:t>
                            </w:r>
                          </w:p>
                        </w:txbxContent>
                      </wps:txbx>
                      <wps:bodyPr wrap="square" lIns="0" tIns="0" rIns="0" bIns="0" rtlCol="0">
                        <a:noAutofit/>
                      </wps:bodyPr>
                    </wps:wsp>
                  </a:graphicData>
                </a:graphic>
              </wp:anchor>
            </w:drawing>
          </mc:Choice>
          <mc:Fallback>
            <w:pict>
              <v:shape style="position:absolute;margin-left:17.833740pt;margin-top:9.994851pt;width:575.8pt;height:10.2pt;mso-position-horizontal-relative:page;mso-position-vertical-relative:paragraph;z-index:-15645696;mso-wrap-distance-left:0;mso-wrap-distance-right:0" type="#_x0000_t202" id="docshape297" filled="true" fillcolor="#ccedff" stroked="false">
                <v:textbox inset="0,0,0,0">
                  <w:txbxContent>
                    <w:p>
                      <w:pPr>
                        <w:pStyle w:val="BodyText"/>
                        <w:tabs>
                          <w:tab w:pos="10463" w:val="left" w:leader="none"/>
                        </w:tabs>
                        <w:spacing w:before="3"/>
                        <w:rPr>
                          <w:color w:val="000000"/>
                        </w:rPr>
                      </w:pPr>
                      <w:r>
                        <w:rPr>
                          <w:color w:val="000000"/>
                          <w:w w:val="105"/>
                        </w:rPr>
                        <w:t>Furniture</w:t>
                      </w:r>
                      <w:r>
                        <w:rPr>
                          <w:color w:val="000000"/>
                          <w:spacing w:val="-10"/>
                          <w:w w:val="105"/>
                        </w:rPr>
                        <w:t> </w:t>
                      </w:r>
                      <w:r>
                        <w:rPr>
                          <w:color w:val="000000"/>
                          <w:w w:val="105"/>
                        </w:rPr>
                        <w:t>and</w:t>
                      </w:r>
                      <w:r>
                        <w:rPr>
                          <w:color w:val="000000"/>
                          <w:spacing w:val="-9"/>
                          <w:w w:val="105"/>
                        </w:rPr>
                        <w:t> </w:t>
                      </w:r>
                      <w:r>
                        <w:rPr>
                          <w:color w:val="000000"/>
                          <w:spacing w:val="-2"/>
                          <w:w w:val="105"/>
                        </w:rPr>
                        <w:t>fixtures</w:t>
                      </w:r>
                      <w:r>
                        <w:rPr>
                          <w:color w:val="000000"/>
                        </w:rPr>
                        <w:tab/>
                      </w:r>
                      <w:r>
                        <w:rPr>
                          <w:color w:val="000000"/>
                          <w:w w:val="105"/>
                        </w:rPr>
                        <w:t>5</w:t>
                      </w:r>
                      <w:r>
                        <w:rPr>
                          <w:color w:val="000000"/>
                          <w:spacing w:val="-4"/>
                          <w:w w:val="105"/>
                        </w:rPr>
                        <w:t> </w:t>
                      </w:r>
                      <w:r>
                        <w:rPr>
                          <w:color w:val="000000"/>
                          <w:w w:val="105"/>
                        </w:rPr>
                        <w:t>to</w:t>
                      </w:r>
                      <w:r>
                        <w:rPr>
                          <w:color w:val="000000"/>
                          <w:spacing w:val="-3"/>
                          <w:w w:val="105"/>
                        </w:rPr>
                        <w:t> </w:t>
                      </w:r>
                      <w:r>
                        <w:rPr>
                          <w:color w:val="000000"/>
                          <w:spacing w:val="-5"/>
                          <w:w w:val="105"/>
                        </w:rPr>
                        <w:t>10</w:t>
                      </w:r>
                    </w:p>
                  </w:txbxContent>
                </v:textbox>
                <v:fill type="solid"/>
                <w10:wrap type="topAndBottom"/>
              </v:shape>
            </w:pict>
          </mc:Fallback>
        </mc:AlternateContent>
      </w:r>
      <w:r>
        <w:rPr/>
        <w:t>Manufacturing</w:t>
      </w:r>
      <w:r>
        <w:rPr>
          <w:spacing w:val="29"/>
        </w:rPr>
        <w:t> </w:t>
      </w:r>
      <w:r>
        <w:rPr>
          <w:spacing w:val="-2"/>
        </w:rPr>
        <w:t>equipment</w:t>
      </w:r>
      <w:r>
        <w:rPr/>
        <w:tab/>
        <w:t>2</w:t>
      </w:r>
      <w:r>
        <w:rPr>
          <w:spacing w:val="4"/>
        </w:rPr>
        <w:t> </w:t>
      </w:r>
      <w:r>
        <w:rPr/>
        <w:t>to</w:t>
      </w:r>
      <w:r>
        <w:rPr>
          <w:spacing w:val="4"/>
        </w:rPr>
        <w:t> </w:t>
      </w:r>
      <w:r>
        <w:rPr>
          <w:spacing w:val="-5"/>
        </w:rPr>
        <w:t>15</w:t>
      </w:r>
    </w:p>
    <w:p>
      <w:pPr>
        <w:pStyle w:val="BodyText"/>
        <w:tabs>
          <w:tab w:pos="10620" w:val="left" w:leader="none"/>
        </w:tabs>
        <w:spacing w:before="3" w:after="17"/>
        <w:ind w:left="156"/>
      </w:pPr>
      <w:r>
        <w:rPr/>
        <w:t>Transportation</w:t>
      </w:r>
      <w:r>
        <w:rPr>
          <w:spacing w:val="29"/>
        </w:rPr>
        <w:t> </w:t>
      </w:r>
      <w:r>
        <w:rPr>
          <w:spacing w:val="-2"/>
        </w:rPr>
        <w:t>equipment</w:t>
      </w:r>
      <w:r>
        <w:rPr/>
        <w:tab/>
        <w:t>3</w:t>
      </w:r>
      <w:r>
        <w:rPr>
          <w:spacing w:val="4"/>
        </w:rPr>
        <w:t> </w:t>
      </w:r>
      <w:r>
        <w:rPr/>
        <w:t>to</w:t>
      </w:r>
      <w:r>
        <w:rPr>
          <w:spacing w:val="4"/>
        </w:rPr>
        <w:t> </w:t>
      </w:r>
      <w:r>
        <w:rPr>
          <w:spacing w:val="-5"/>
        </w:rPr>
        <w:t>20</w:t>
      </w:r>
    </w:p>
    <w:p>
      <w:pPr>
        <w:pStyle w:val="BodyText"/>
        <w:spacing w:line="38" w:lineRule="exact"/>
        <w:ind w:left="156"/>
        <w:rPr>
          <w:sz w:val="3"/>
        </w:rPr>
      </w:pPr>
      <w:r>
        <w:rPr>
          <w:position w:val="0"/>
          <w:sz w:val="3"/>
        </w:rPr>
        <mc:AlternateContent>
          <mc:Choice Requires="wps">
            <w:drawing>
              <wp:inline distT="0" distB="0" distL="0" distR="0">
                <wp:extent cx="7312659" cy="24765"/>
                <wp:effectExtent l="0" t="0" r="0" b="0"/>
                <wp:docPr id="299" name="Group 299"/>
                <wp:cNvGraphicFramePr>
                  <a:graphicFrameLocks/>
                </wp:cNvGraphicFramePr>
                <a:graphic>
                  <a:graphicData uri="http://schemas.microsoft.com/office/word/2010/wordprocessingGroup">
                    <wpg:wgp>
                      <wpg:cNvPr id="299" name="Group 299"/>
                      <wpg:cNvGrpSpPr/>
                      <wpg:grpSpPr>
                        <a:xfrm>
                          <a:off x="0" y="0"/>
                          <a:ext cx="7312659" cy="24765"/>
                          <a:chExt cx="7312659" cy="24765"/>
                        </a:xfrm>
                      </wpg:grpSpPr>
                      <wps:wsp>
                        <wps:cNvPr id="300" name="Graphic 300"/>
                        <wps:cNvSpPr/>
                        <wps:spPr>
                          <a:xfrm>
                            <a:off x="-9" y="3"/>
                            <a:ext cx="7312659" cy="24765"/>
                          </a:xfrm>
                          <a:custGeom>
                            <a:avLst/>
                            <a:gdLst/>
                            <a:ahLst/>
                            <a:cxnLst/>
                            <a:rect l="l" t="t" r="r" b="b"/>
                            <a:pathLst>
                              <a:path w="7312659" h="24765">
                                <a:moveTo>
                                  <a:pt x="7312342" y="16179"/>
                                </a:moveTo>
                                <a:lnTo>
                                  <a:pt x="7231456" y="16179"/>
                                </a:lnTo>
                                <a:lnTo>
                                  <a:pt x="6349771" y="16179"/>
                                </a:lnTo>
                                <a:lnTo>
                                  <a:pt x="6276975" y="16179"/>
                                </a:lnTo>
                                <a:lnTo>
                                  <a:pt x="0" y="16179"/>
                                </a:lnTo>
                                <a:lnTo>
                                  <a:pt x="0" y="24269"/>
                                </a:lnTo>
                                <a:lnTo>
                                  <a:pt x="6276975" y="24269"/>
                                </a:lnTo>
                                <a:lnTo>
                                  <a:pt x="6349771" y="24269"/>
                                </a:lnTo>
                                <a:lnTo>
                                  <a:pt x="7231456" y="24269"/>
                                </a:lnTo>
                                <a:lnTo>
                                  <a:pt x="7312342" y="24269"/>
                                </a:lnTo>
                                <a:lnTo>
                                  <a:pt x="7312342" y="16179"/>
                                </a:lnTo>
                                <a:close/>
                              </a:path>
                              <a:path w="7312659" h="24765">
                                <a:moveTo>
                                  <a:pt x="7312342" y="0"/>
                                </a:moveTo>
                                <a:lnTo>
                                  <a:pt x="7231456" y="0"/>
                                </a:lnTo>
                                <a:lnTo>
                                  <a:pt x="6349771" y="0"/>
                                </a:lnTo>
                                <a:lnTo>
                                  <a:pt x="6276975" y="0"/>
                                </a:lnTo>
                                <a:lnTo>
                                  <a:pt x="0" y="0"/>
                                </a:lnTo>
                                <a:lnTo>
                                  <a:pt x="0" y="8089"/>
                                </a:lnTo>
                                <a:lnTo>
                                  <a:pt x="6276975" y="8089"/>
                                </a:lnTo>
                                <a:lnTo>
                                  <a:pt x="6349771" y="8089"/>
                                </a:lnTo>
                                <a:lnTo>
                                  <a:pt x="7231456"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95pt;mso-position-horizontal-relative:char;mso-position-vertical-relative:line" id="docshapegroup298" coordorigin="0,0" coordsize="11516,39">
                <v:shape style="position:absolute;left:-1;top:0;width:11516;height:39" id="docshape299" coordorigin="0,0" coordsize="11516,39" path="m11515,25l11388,25,10000,25,9885,25,0,25,0,38,9885,38,10000,38,11388,38,11515,38,11515,25xm11515,0l11388,0,10000,0,9885,0,0,0,0,13,9885,13,10000,13,11388,13,11515,13,11515,0xe" filled="true" fillcolor="#000000" stroked="false">
                  <v:path arrowok="t"/>
                  <v:fill type="solid"/>
                </v:shape>
              </v:group>
            </w:pict>
          </mc:Fallback>
        </mc:AlternateContent>
      </w:r>
      <w:r>
        <w:rPr>
          <w:position w:val="0"/>
          <w:sz w:val="3"/>
        </w:rPr>
      </w:r>
    </w:p>
    <w:p>
      <w:pPr>
        <w:pStyle w:val="BodyText"/>
        <w:spacing w:before="23"/>
      </w:pPr>
    </w:p>
    <w:p>
      <w:pPr>
        <w:pStyle w:val="BodyText"/>
        <w:spacing w:line="266" w:lineRule="auto"/>
        <w:ind w:left="156" w:right="117"/>
      </w:pPr>
      <w:r>
        <w:rPr>
          <w:w w:val="105"/>
        </w:rPr>
        <w:t>Manufacturing</w:t>
      </w:r>
      <w:r>
        <w:rPr>
          <w:spacing w:val="-7"/>
          <w:w w:val="105"/>
        </w:rPr>
        <w:t> </w:t>
      </w:r>
      <w:r>
        <w:rPr>
          <w:w w:val="105"/>
        </w:rPr>
        <w:t>equipment</w:t>
      </w:r>
      <w:r>
        <w:rPr>
          <w:spacing w:val="-5"/>
          <w:w w:val="105"/>
        </w:rPr>
        <w:t> </w:t>
      </w:r>
      <w:r>
        <w:rPr>
          <w:w w:val="105"/>
        </w:rPr>
        <w:t>includes</w:t>
      </w:r>
      <w:r>
        <w:rPr>
          <w:spacing w:val="-7"/>
          <w:w w:val="105"/>
        </w:rPr>
        <w:t> </w:t>
      </w:r>
      <w:r>
        <w:rPr>
          <w:w w:val="105"/>
        </w:rPr>
        <w:t>certain</w:t>
      </w:r>
      <w:r>
        <w:rPr>
          <w:spacing w:val="-7"/>
          <w:w w:val="105"/>
        </w:rPr>
        <w:t> </w:t>
      </w:r>
      <w:r>
        <w:rPr>
          <w:w w:val="105"/>
        </w:rPr>
        <w:t>components</w:t>
      </w:r>
      <w:r>
        <w:rPr>
          <w:spacing w:val="-7"/>
          <w:w w:val="105"/>
        </w:rPr>
        <w:t> </w:t>
      </w:r>
      <w:r>
        <w:rPr>
          <w:w w:val="105"/>
        </w:rPr>
        <w:t>of</w:t>
      </w:r>
      <w:r>
        <w:rPr>
          <w:spacing w:val="-7"/>
          <w:w w:val="105"/>
        </w:rPr>
        <w:t> </w:t>
      </w:r>
      <w:r>
        <w:rPr>
          <w:w w:val="105"/>
        </w:rPr>
        <w:t>production</w:t>
      </w:r>
      <w:r>
        <w:rPr>
          <w:spacing w:val="-7"/>
          <w:w w:val="105"/>
        </w:rPr>
        <w:t> </w:t>
      </w:r>
      <w:r>
        <w:rPr>
          <w:w w:val="105"/>
        </w:rPr>
        <w:t>equipment</w:t>
      </w:r>
      <w:r>
        <w:rPr>
          <w:spacing w:val="-7"/>
          <w:w w:val="105"/>
        </w:rPr>
        <w:t> </w:t>
      </w:r>
      <w:r>
        <w:rPr>
          <w:w w:val="105"/>
        </w:rPr>
        <w:t>that</w:t>
      </w:r>
      <w:r>
        <w:rPr>
          <w:spacing w:val="-7"/>
          <w:w w:val="105"/>
        </w:rPr>
        <w:t> </w:t>
      </w:r>
      <w:r>
        <w:rPr>
          <w:w w:val="105"/>
        </w:rPr>
        <w:t>are</w:t>
      </w:r>
      <w:r>
        <w:rPr>
          <w:spacing w:val="-7"/>
          <w:w w:val="105"/>
        </w:rPr>
        <w:t> </w:t>
      </w:r>
      <w:r>
        <w:rPr>
          <w:w w:val="105"/>
        </w:rPr>
        <w:t>constructed</w:t>
      </w:r>
      <w:r>
        <w:rPr>
          <w:spacing w:val="-7"/>
          <w:w w:val="105"/>
        </w:rPr>
        <w:t> </w:t>
      </w:r>
      <w:r>
        <w:rPr>
          <w:w w:val="105"/>
        </w:rPr>
        <w:t>of</w:t>
      </w:r>
      <w:r>
        <w:rPr>
          <w:spacing w:val="-7"/>
          <w:w w:val="105"/>
        </w:rPr>
        <w:t> </w:t>
      </w:r>
      <w:r>
        <w:rPr>
          <w:w w:val="105"/>
        </w:rPr>
        <w:t>precious</w:t>
      </w:r>
      <w:r>
        <w:rPr>
          <w:spacing w:val="-7"/>
          <w:w w:val="105"/>
        </w:rPr>
        <w:t> </w:t>
      </w:r>
      <w:r>
        <w:rPr>
          <w:w w:val="105"/>
        </w:rPr>
        <w:t>metals.</w:t>
      </w:r>
      <w:r>
        <w:rPr>
          <w:spacing w:val="-7"/>
          <w:w w:val="105"/>
        </w:rPr>
        <w:t> </w:t>
      </w:r>
      <w:r>
        <w:rPr>
          <w:w w:val="105"/>
        </w:rPr>
        <w:t>These</w:t>
      </w:r>
      <w:r>
        <w:rPr>
          <w:spacing w:val="-7"/>
          <w:w w:val="105"/>
        </w:rPr>
        <w:t> </w:t>
      </w:r>
      <w:r>
        <w:rPr>
          <w:w w:val="105"/>
        </w:rPr>
        <w:t>assets</w:t>
      </w:r>
      <w:r>
        <w:rPr>
          <w:spacing w:val="-7"/>
          <w:w w:val="105"/>
        </w:rPr>
        <w:t> </w:t>
      </w:r>
      <w:r>
        <w:rPr>
          <w:w w:val="105"/>
        </w:rPr>
        <w:t>are</w:t>
      </w:r>
      <w:r>
        <w:rPr>
          <w:spacing w:val="-7"/>
          <w:w w:val="105"/>
        </w:rPr>
        <w:t> </w:t>
      </w:r>
      <w:r>
        <w:rPr>
          <w:w w:val="105"/>
        </w:rPr>
        <w:t>not</w:t>
      </w:r>
      <w:r>
        <w:rPr>
          <w:spacing w:val="-7"/>
          <w:w w:val="105"/>
        </w:rPr>
        <w:t> </w:t>
      </w:r>
      <w:r>
        <w:rPr>
          <w:w w:val="105"/>
        </w:rPr>
        <w:t>depreciated</w:t>
      </w:r>
      <w:r>
        <w:rPr>
          <w:spacing w:val="-7"/>
          <w:w w:val="105"/>
        </w:rPr>
        <w:t> </w:t>
      </w:r>
      <w:r>
        <w:rPr>
          <w:w w:val="105"/>
        </w:rPr>
        <w:t>because</w:t>
      </w:r>
      <w:r>
        <w:rPr>
          <w:spacing w:val="-5"/>
          <w:w w:val="105"/>
        </w:rPr>
        <w:t> </w:t>
      </w:r>
      <w:r>
        <w:rPr>
          <w:w w:val="105"/>
        </w:rPr>
        <w:t>they</w:t>
      </w:r>
      <w:r>
        <w:rPr>
          <w:spacing w:val="-7"/>
          <w:w w:val="105"/>
        </w:rPr>
        <w:t> </w:t>
      </w:r>
      <w:r>
        <w:rPr>
          <w:w w:val="105"/>
        </w:rPr>
        <w:t>have very</w:t>
      </w:r>
      <w:r>
        <w:rPr>
          <w:spacing w:val="-3"/>
          <w:w w:val="105"/>
        </w:rPr>
        <w:t> </w:t>
      </w:r>
      <w:r>
        <w:rPr>
          <w:w w:val="105"/>
        </w:rPr>
        <w:t>low</w:t>
      </w:r>
      <w:r>
        <w:rPr>
          <w:spacing w:val="-3"/>
          <w:w w:val="105"/>
        </w:rPr>
        <w:t> </w:t>
      </w:r>
      <w:r>
        <w:rPr>
          <w:w w:val="105"/>
        </w:rPr>
        <w:t>physical</w:t>
      </w:r>
      <w:r>
        <w:rPr>
          <w:spacing w:val="-3"/>
          <w:w w:val="105"/>
        </w:rPr>
        <w:t> </w:t>
      </w:r>
      <w:r>
        <w:rPr>
          <w:w w:val="105"/>
        </w:rPr>
        <w:t>losses</w:t>
      </w:r>
      <w:r>
        <w:rPr>
          <w:spacing w:val="-3"/>
          <w:w w:val="105"/>
        </w:rPr>
        <w:t> </w:t>
      </w:r>
      <w:r>
        <w:rPr>
          <w:w w:val="105"/>
        </w:rPr>
        <w:t>and</w:t>
      </w:r>
      <w:r>
        <w:rPr>
          <w:spacing w:val="-3"/>
          <w:w w:val="105"/>
        </w:rPr>
        <w:t> </w:t>
      </w:r>
      <w:r>
        <w:rPr>
          <w:w w:val="105"/>
        </w:rPr>
        <w:t>are</w:t>
      </w:r>
      <w:r>
        <w:rPr>
          <w:spacing w:val="-1"/>
          <w:w w:val="105"/>
        </w:rPr>
        <w:t> </w:t>
      </w:r>
      <w:r>
        <w:rPr>
          <w:w w:val="105"/>
        </w:rPr>
        <w:t>repeatedly</w:t>
      </w:r>
      <w:r>
        <w:rPr>
          <w:spacing w:val="-3"/>
          <w:w w:val="105"/>
        </w:rPr>
        <w:t> </w:t>
      </w:r>
      <w:r>
        <w:rPr>
          <w:w w:val="105"/>
        </w:rPr>
        <w:t>reclaimed</w:t>
      </w:r>
      <w:r>
        <w:rPr>
          <w:spacing w:val="-3"/>
          <w:w w:val="105"/>
        </w:rPr>
        <w:t> </w:t>
      </w:r>
      <w:r>
        <w:rPr>
          <w:w w:val="105"/>
        </w:rPr>
        <w:t>and</w:t>
      </w:r>
      <w:r>
        <w:rPr>
          <w:spacing w:val="-3"/>
          <w:w w:val="105"/>
        </w:rPr>
        <w:t> </w:t>
      </w:r>
      <w:r>
        <w:rPr>
          <w:w w:val="105"/>
        </w:rPr>
        <w:t>reused</w:t>
      </w:r>
      <w:r>
        <w:rPr>
          <w:spacing w:val="-3"/>
          <w:w w:val="105"/>
        </w:rPr>
        <w:t> </w:t>
      </w:r>
      <w:r>
        <w:rPr>
          <w:w w:val="105"/>
        </w:rPr>
        <w:t>in</w:t>
      </w:r>
      <w:r>
        <w:rPr>
          <w:spacing w:val="-3"/>
          <w:w w:val="105"/>
        </w:rPr>
        <w:t> </w:t>
      </w:r>
      <w:r>
        <w:rPr>
          <w:w w:val="105"/>
        </w:rPr>
        <w:t>the</w:t>
      </w:r>
      <w:r>
        <w:rPr>
          <w:spacing w:val="-3"/>
          <w:w w:val="105"/>
        </w:rPr>
        <w:t> </w:t>
      </w:r>
      <w:r>
        <w:rPr>
          <w:w w:val="105"/>
        </w:rPr>
        <w:t>Company’s</w:t>
      </w:r>
      <w:r>
        <w:rPr>
          <w:spacing w:val="-3"/>
          <w:w w:val="105"/>
        </w:rPr>
        <w:t> </w:t>
      </w:r>
      <w:r>
        <w:rPr>
          <w:w w:val="105"/>
        </w:rPr>
        <w:t>manufacturing</w:t>
      </w:r>
      <w:r>
        <w:rPr>
          <w:spacing w:val="-3"/>
          <w:w w:val="105"/>
        </w:rPr>
        <w:t> </w:t>
      </w:r>
      <w:r>
        <w:rPr>
          <w:w w:val="105"/>
        </w:rPr>
        <w:t>processes</w:t>
      </w:r>
      <w:r>
        <w:rPr>
          <w:spacing w:val="-3"/>
          <w:w w:val="105"/>
        </w:rPr>
        <w:t> </w:t>
      </w:r>
      <w:r>
        <w:rPr>
          <w:w w:val="105"/>
        </w:rPr>
        <w:t>over</w:t>
      </w:r>
      <w:r>
        <w:rPr>
          <w:spacing w:val="-3"/>
          <w:w w:val="105"/>
        </w:rPr>
        <w:t> </w:t>
      </w:r>
      <w:r>
        <w:rPr>
          <w:w w:val="105"/>
        </w:rPr>
        <w:t>a</w:t>
      </w:r>
      <w:r>
        <w:rPr>
          <w:spacing w:val="-3"/>
          <w:w w:val="105"/>
        </w:rPr>
        <w:t> </w:t>
      </w:r>
      <w:r>
        <w:rPr>
          <w:w w:val="105"/>
        </w:rPr>
        <w:t>very</w:t>
      </w:r>
      <w:r>
        <w:rPr>
          <w:spacing w:val="-3"/>
          <w:w w:val="105"/>
        </w:rPr>
        <w:t> </w:t>
      </w:r>
      <w:r>
        <w:rPr>
          <w:w w:val="105"/>
        </w:rPr>
        <w:t>long</w:t>
      </w:r>
      <w:r>
        <w:rPr>
          <w:spacing w:val="-3"/>
          <w:w w:val="105"/>
        </w:rPr>
        <w:t> </w:t>
      </w:r>
      <w:r>
        <w:rPr>
          <w:w w:val="105"/>
        </w:rPr>
        <w:t>useful</w:t>
      </w:r>
      <w:r>
        <w:rPr>
          <w:spacing w:val="-3"/>
          <w:w w:val="105"/>
        </w:rPr>
        <w:t> </w:t>
      </w:r>
      <w:r>
        <w:rPr>
          <w:w w:val="105"/>
        </w:rPr>
        <w:t>life.</w:t>
      </w:r>
      <w:r>
        <w:rPr>
          <w:spacing w:val="-3"/>
          <w:w w:val="105"/>
        </w:rPr>
        <w:t> </w:t>
      </w:r>
      <w:r>
        <w:rPr>
          <w:w w:val="105"/>
        </w:rPr>
        <w:t>The</w:t>
      </w:r>
      <w:r>
        <w:rPr>
          <w:spacing w:val="-3"/>
          <w:w w:val="105"/>
        </w:rPr>
        <w:t> </w:t>
      </w:r>
      <w:r>
        <w:rPr>
          <w:w w:val="105"/>
        </w:rPr>
        <w:t>physical</w:t>
      </w:r>
      <w:r>
        <w:rPr>
          <w:spacing w:val="-3"/>
          <w:w w:val="105"/>
        </w:rPr>
        <w:t> </w:t>
      </w:r>
      <w:r>
        <w:rPr>
          <w:w w:val="105"/>
        </w:rPr>
        <w:t>loss</w:t>
      </w:r>
      <w:r>
        <w:rPr>
          <w:spacing w:val="-3"/>
          <w:w w:val="105"/>
        </w:rPr>
        <w:t> </w:t>
      </w:r>
      <w:r>
        <w:rPr>
          <w:w w:val="105"/>
        </w:rPr>
        <w:t>of</w:t>
      </w:r>
      <w:r>
        <w:rPr>
          <w:spacing w:val="-3"/>
          <w:w w:val="105"/>
        </w:rPr>
        <w:t> </w:t>
      </w:r>
      <w:r>
        <w:rPr>
          <w:w w:val="105"/>
        </w:rPr>
        <w:t>precious metals</w:t>
      </w:r>
      <w:r>
        <w:rPr>
          <w:spacing w:val="-8"/>
          <w:w w:val="105"/>
        </w:rPr>
        <w:t> </w:t>
      </w:r>
      <w:r>
        <w:rPr>
          <w:w w:val="105"/>
        </w:rPr>
        <w:t>in</w:t>
      </w:r>
      <w:r>
        <w:rPr>
          <w:spacing w:val="-8"/>
          <w:w w:val="105"/>
        </w:rPr>
        <w:t> </w:t>
      </w:r>
      <w:r>
        <w:rPr>
          <w:w w:val="105"/>
        </w:rPr>
        <w:t>the</w:t>
      </w:r>
      <w:r>
        <w:rPr>
          <w:spacing w:val="-8"/>
          <w:w w:val="105"/>
        </w:rPr>
        <w:t> </w:t>
      </w:r>
      <w:r>
        <w:rPr>
          <w:w w:val="105"/>
        </w:rPr>
        <w:t>manufacturing</w:t>
      </w:r>
      <w:r>
        <w:rPr>
          <w:spacing w:val="-8"/>
          <w:w w:val="105"/>
        </w:rPr>
        <w:t> </w:t>
      </w:r>
      <w:r>
        <w:rPr>
          <w:w w:val="105"/>
        </w:rPr>
        <w:t>and</w:t>
      </w:r>
      <w:r>
        <w:rPr>
          <w:spacing w:val="-8"/>
          <w:w w:val="105"/>
        </w:rPr>
        <w:t> </w:t>
      </w:r>
      <w:r>
        <w:rPr>
          <w:w w:val="105"/>
        </w:rPr>
        <w:t>reclamation</w:t>
      </w:r>
      <w:r>
        <w:rPr>
          <w:spacing w:val="-8"/>
          <w:w w:val="105"/>
        </w:rPr>
        <w:t> </w:t>
      </w:r>
      <w:r>
        <w:rPr>
          <w:w w:val="105"/>
        </w:rPr>
        <w:t>process</w:t>
      </w:r>
      <w:r>
        <w:rPr>
          <w:spacing w:val="-8"/>
          <w:w w:val="105"/>
        </w:rPr>
        <w:t> </w:t>
      </w:r>
      <w:r>
        <w:rPr>
          <w:w w:val="105"/>
        </w:rPr>
        <w:t>is</w:t>
      </w:r>
      <w:r>
        <w:rPr>
          <w:spacing w:val="-8"/>
          <w:w w:val="105"/>
        </w:rPr>
        <w:t> </w:t>
      </w:r>
      <w:r>
        <w:rPr>
          <w:w w:val="105"/>
        </w:rPr>
        <w:t>treated</w:t>
      </w:r>
      <w:r>
        <w:rPr>
          <w:spacing w:val="-8"/>
          <w:w w:val="105"/>
        </w:rPr>
        <w:t> </w:t>
      </w:r>
      <w:r>
        <w:rPr>
          <w:w w:val="105"/>
        </w:rPr>
        <w:t>as</w:t>
      </w:r>
      <w:r>
        <w:rPr>
          <w:spacing w:val="-8"/>
          <w:w w:val="105"/>
        </w:rPr>
        <w:t> </w:t>
      </w:r>
      <w:r>
        <w:rPr>
          <w:w w:val="105"/>
        </w:rPr>
        <w:t>depletion</w:t>
      </w:r>
      <w:r>
        <w:rPr>
          <w:spacing w:val="-8"/>
          <w:w w:val="105"/>
        </w:rPr>
        <w:t> </w:t>
      </w:r>
      <w:r>
        <w:rPr>
          <w:w w:val="105"/>
        </w:rPr>
        <w:t>and</w:t>
      </w:r>
      <w:r>
        <w:rPr>
          <w:spacing w:val="-8"/>
          <w:w w:val="105"/>
        </w:rPr>
        <w:t> </w:t>
      </w:r>
      <w:r>
        <w:rPr>
          <w:w w:val="105"/>
        </w:rPr>
        <w:t>these</w:t>
      </w:r>
      <w:r>
        <w:rPr>
          <w:spacing w:val="-8"/>
          <w:w w:val="105"/>
        </w:rPr>
        <w:t> </w:t>
      </w:r>
      <w:r>
        <w:rPr>
          <w:w w:val="105"/>
        </w:rPr>
        <w:t>losses</w:t>
      </w:r>
      <w:r>
        <w:rPr>
          <w:spacing w:val="-8"/>
          <w:w w:val="105"/>
        </w:rPr>
        <w:t> </w:t>
      </w:r>
      <w:r>
        <w:rPr>
          <w:w w:val="105"/>
        </w:rPr>
        <w:t>are</w:t>
      </w:r>
      <w:r>
        <w:rPr>
          <w:spacing w:val="-6"/>
          <w:w w:val="105"/>
        </w:rPr>
        <w:t> </w:t>
      </w:r>
      <w:r>
        <w:rPr>
          <w:w w:val="105"/>
        </w:rPr>
        <w:t>accounted</w:t>
      </w:r>
      <w:r>
        <w:rPr>
          <w:spacing w:val="-8"/>
          <w:w w:val="105"/>
        </w:rPr>
        <w:t> </w:t>
      </w:r>
      <w:r>
        <w:rPr>
          <w:w w:val="105"/>
        </w:rPr>
        <w:t>for</w:t>
      </w:r>
      <w:r>
        <w:rPr>
          <w:spacing w:val="-8"/>
          <w:w w:val="105"/>
        </w:rPr>
        <w:t> </w:t>
      </w:r>
      <w:r>
        <w:rPr>
          <w:w w:val="105"/>
        </w:rPr>
        <w:t>as</w:t>
      </w:r>
      <w:r>
        <w:rPr>
          <w:spacing w:val="-8"/>
          <w:w w:val="105"/>
        </w:rPr>
        <w:t> </w:t>
      </w:r>
      <w:r>
        <w:rPr>
          <w:w w:val="105"/>
        </w:rPr>
        <w:t>a</w:t>
      </w:r>
      <w:r>
        <w:rPr>
          <w:spacing w:val="-8"/>
          <w:w w:val="105"/>
        </w:rPr>
        <w:t> </w:t>
      </w:r>
      <w:r>
        <w:rPr>
          <w:w w:val="105"/>
        </w:rPr>
        <w:t>period</w:t>
      </w:r>
      <w:r>
        <w:rPr>
          <w:spacing w:val="-8"/>
          <w:w w:val="105"/>
        </w:rPr>
        <w:t> </w:t>
      </w:r>
      <w:r>
        <w:rPr>
          <w:w w:val="105"/>
        </w:rPr>
        <w:t>expense</w:t>
      </w:r>
      <w:r>
        <w:rPr>
          <w:spacing w:val="-8"/>
          <w:w w:val="105"/>
        </w:rPr>
        <w:t> </w:t>
      </w:r>
      <w:r>
        <w:rPr>
          <w:w w:val="105"/>
        </w:rPr>
        <w:t>based</w:t>
      </w:r>
      <w:r>
        <w:rPr>
          <w:spacing w:val="-8"/>
          <w:w w:val="105"/>
        </w:rPr>
        <w:t> </w:t>
      </w:r>
      <w:r>
        <w:rPr>
          <w:w w:val="105"/>
        </w:rPr>
        <w:t>on</w:t>
      </w:r>
      <w:r>
        <w:rPr>
          <w:spacing w:val="-8"/>
          <w:w w:val="105"/>
        </w:rPr>
        <w:t> </w:t>
      </w:r>
      <w:r>
        <w:rPr>
          <w:w w:val="105"/>
        </w:rPr>
        <w:t>actual</w:t>
      </w:r>
      <w:r>
        <w:rPr>
          <w:spacing w:val="-8"/>
          <w:w w:val="105"/>
        </w:rPr>
        <w:t> </w:t>
      </w:r>
      <w:r>
        <w:rPr>
          <w:w w:val="105"/>
        </w:rPr>
        <w:t>units</w:t>
      </w:r>
      <w:r>
        <w:rPr>
          <w:spacing w:val="-8"/>
          <w:w w:val="105"/>
        </w:rPr>
        <w:t> </w:t>
      </w:r>
      <w:r>
        <w:rPr>
          <w:w w:val="105"/>
        </w:rPr>
        <w:t>lost.</w:t>
      </w:r>
      <w:r>
        <w:rPr>
          <w:spacing w:val="-8"/>
          <w:w w:val="105"/>
        </w:rPr>
        <w:t> </w:t>
      </w:r>
      <w:r>
        <w:rPr>
          <w:w w:val="105"/>
        </w:rPr>
        <w:t>Precious</w:t>
      </w:r>
      <w:r>
        <w:rPr>
          <w:spacing w:val="-8"/>
          <w:w w:val="105"/>
        </w:rPr>
        <w:t> </w:t>
      </w:r>
      <w:r>
        <w:rPr>
          <w:w w:val="105"/>
        </w:rPr>
        <w:t>metals are</w:t>
      </w:r>
      <w:r>
        <w:rPr>
          <w:spacing w:val="-1"/>
          <w:w w:val="105"/>
        </w:rPr>
        <w:t> </w:t>
      </w:r>
      <w:r>
        <w:rPr>
          <w:w w:val="105"/>
        </w:rPr>
        <w:t>integral</w:t>
      </w:r>
      <w:r>
        <w:rPr>
          <w:spacing w:val="-1"/>
          <w:w w:val="105"/>
        </w:rPr>
        <w:t> </w:t>
      </w:r>
      <w:r>
        <w:rPr>
          <w:w w:val="105"/>
        </w:rPr>
        <w:t>to</w:t>
      </w:r>
      <w:r>
        <w:rPr>
          <w:spacing w:val="-1"/>
          <w:w w:val="105"/>
        </w:rPr>
        <w:t> </w:t>
      </w:r>
      <w:r>
        <w:rPr>
          <w:w w:val="105"/>
        </w:rPr>
        <w:t>many</w:t>
      </w:r>
      <w:r>
        <w:rPr>
          <w:spacing w:val="-1"/>
          <w:w w:val="105"/>
        </w:rPr>
        <w:t> </w:t>
      </w:r>
      <w:r>
        <w:rPr>
          <w:w w:val="105"/>
        </w:rPr>
        <w:t>glass</w:t>
      </w:r>
      <w:r>
        <w:rPr>
          <w:spacing w:val="-1"/>
          <w:w w:val="105"/>
        </w:rPr>
        <w:t> </w:t>
      </w:r>
      <w:r>
        <w:rPr>
          <w:w w:val="105"/>
        </w:rPr>
        <w:t>production</w:t>
      </w:r>
      <w:r>
        <w:rPr>
          <w:spacing w:val="-1"/>
          <w:w w:val="105"/>
        </w:rPr>
        <w:t> </w:t>
      </w:r>
      <w:r>
        <w:rPr>
          <w:w w:val="105"/>
        </w:rPr>
        <w:t>processes</w:t>
      </w:r>
      <w:r>
        <w:rPr>
          <w:spacing w:val="-1"/>
          <w:w w:val="105"/>
        </w:rPr>
        <w:t> </w:t>
      </w:r>
      <w:r>
        <w:rPr>
          <w:w w:val="105"/>
        </w:rPr>
        <w:t>and</w:t>
      </w:r>
      <w:r>
        <w:rPr>
          <w:spacing w:val="-1"/>
          <w:w w:val="105"/>
        </w:rPr>
        <w:t> </w:t>
      </w:r>
      <w:r>
        <w:rPr>
          <w:w w:val="105"/>
        </w:rPr>
        <w:t>are</w:t>
      </w:r>
      <w:r>
        <w:rPr>
          <w:spacing w:val="-1"/>
          <w:w w:val="105"/>
        </w:rPr>
        <w:t> </w:t>
      </w:r>
      <w:r>
        <w:rPr>
          <w:w w:val="105"/>
        </w:rPr>
        <w:t>only</w:t>
      </w:r>
      <w:r>
        <w:rPr>
          <w:spacing w:val="-1"/>
          <w:w w:val="105"/>
        </w:rPr>
        <w:t> </w:t>
      </w:r>
      <w:r>
        <w:rPr>
          <w:w w:val="105"/>
        </w:rPr>
        <w:t>acquired</w:t>
      </w:r>
      <w:r>
        <w:rPr>
          <w:spacing w:val="-1"/>
          <w:w w:val="105"/>
        </w:rPr>
        <w:t> </w:t>
      </w:r>
      <w:r>
        <w:rPr>
          <w:w w:val="105"/>
        </w:rPr>
        <w:t>to</w:t>
      </w:r>
      <w:r>
        <w:rPr>
          <w:spacing w:val="-1"/>
          <w:w w:val="105"/>
        </w:rPr>
        <w:t> </w:t>
      </w:r>
      <w:r>
        <w:rPr>
          <w:w w:val="105"/>
        </w:rPr>
        <w:t>support</w:t>
      </w:r>
      <w:r>
        <w:rPr>
          <w:spacing w:val="-1"/>
          <w:w w:val="105"/>
        </w:rPr>
        <w:t> </w:t>
      </w:r>
      <w:r>
        <w:rPr>
          <w:w w:val="105"/>
        </w:rPr>
        <w:t>operations.</w:t>
      </w:r>
      <w:r>
        <w:rPr>
          <w:spacing w:val="-1"/>
          <w:w w:val="105"/>
        </w:rPr>
        <w:t> </w:t>
      </w:r>
      <w:r>
        <w:rPr>
          <w:w w:val="105"/>
        </w:rPr>
        <w:t>These</w:t>
      </w:r>
      <w:r>
        <w:rPr>
          <w:spacing w:val="-1"/>
          <w:w w:val="105"/>
        </w:rPr>
        <w:t> </w:t>
      </w:r>
      <w:r>
        <w:rPr>
          <w:w w:val="105"/>
        </w:rPr>
        <w:t>metals</w:t>
      </w:r>
      <w:r>
        <w:rPr>
          <w:spacing w:val="-1"/>
          <w:w w:val="105"/>
        </w:rPr>
        <w:t> </w:t>
      </w:r>
      <w:r>
        <w:rPr>
          <w:w w:val="105"/>
        </w:rPr>
        <w:t>are not</w:t>
      </w:r>
      <w:r>
        <w:rPr>
          <w:spacing w:val="-1"/>
          <w:w w:val="105"/>
        </w:rPr>
        <w:t> </w:t>
      </w:r>
      <w:r>
        <w:rPr>
          <w:w w:val="105"/>
        </w:rPr>
        <w:t>held</w:t>
      </w:r>
      <w:r>
        <w:rPr>
          <w:spacing w:val="-1"/>
          <w:w w:val="105"/>
        </w:rPr>
        <w:t> </w:t>
      </w:r>
      <w:r>
        <w:rPr>
          <w:w w:val="105"/>
        </w:rPr>
        <w:t>for</w:t>
      </w:r>
      <w:r>
        <w:rPr>
          <w:spacing w:val="-1"/>
          <w:w w:val="105"/>
        </w:rPr>
        <w:t> </w:t>
      </w:r>
      <w:r>
        <w:rPr>
          <w:w w:val="105"/>
        </w:rPr>
        <w:t>trading</w:t>
      </w:r>
      <w:r>
        <w:rPr>
          <w:spacing w:val="-1"/>
          <w:w w:val="105"/>
        </w:rPr>
        <w:t> </w:t>
      </w:r>
      <w:r>
        <w:rPr>
          <w:w w:val="105"/>
        </w:rPr>
        <w:t>or</w:t>
      </w:r>
      <w:r>
        <w:rPr>
          <w:spacing w:val="-1"/>
          <w:w w:val="105"/>
        </w:rPr>
        <w:t> </w:t>
      </w:r>
      <w:r>
        <w:rPr>
          <w:w w:val="105"/>
        </w:rPr>
        <w:t>other</w:t>
      </w:r>
      <w:r>
        <w:rPr>
          <w:spacing w:val="-1"/>
          <w:w w:val="105"/>
        </w:rPr>
        <w:t> </w:t>
      </w:r>
      <w:r>
        <w:rPr>
          <w:w w:val="105"/>
        </w:rPr>
        <w:t>purposes.</w:t>
      </w:r>
    </w:p>
    <w:p>
      <w:pPr>
        <w:pStyle w:val="BodyText"/>
        <w:spacing w:before="18"/>
      </w:pPr>
    </w:p>
    <w:p>
      <w:pPr>
        <w:pStyle w:val="Heading3"/>
      </w:pPr>
      <w:r>
        <w:rPr>
          <w:spacing w:val="-2"/>
          <w:w w:val="105"/>
        </w:rPr>
        <w:t>Leases</w:t>
      </w:r>
    </w:p>
    <w:p>
      <w:pPr>
        <w:pStyle w:val="BodyText"/>
        <w:spacing w:before="40"/>
        <w:rPr>
          <w:b/>
          <w:i/>
        </w:rPr>
      </w:pPr>
    </w:p>
    <w:p>
      <w:pPr>
        <w:pStyle w:val="BodyText"/>
        <w:spacing w:line="266" w:lineRule="auto"/>
        <w:ind w:left="156"/>
      </w:pPr>
      <w:r>
        <w:rPr>
          <w:w w:val="105"/>
        </w:rPr>
        <w:t>Corning</w:t>
      </w:r>
      <w:r>
        <w:rPr>
          <w:spacing w:val="-2"/>
          <w:w w:val="105"/>
        </w:rPr>
        <w:t> </w:t>
      </w:r>
      <w:r>
        <w:rPr>
          <w:w w:val="105"/>
        </w:rPr>
        <w:t>leases</w:t>
      </w:r>
      <w:r>
        <w:rPr>
          <w:spacing w:val="-2"/>
          <w:w w:val="105"/>
        </w:rPr>
        <w:t> </w:t>
      </w:r>
      <w:r>
        <w:rPr>
          <w:w w:val="105"/>
        </w:rPr>
        <w:t>certain</w:t>
      </w:r>
      <w:r>
        <w:rPr>
          <w:spacing w:val="-2"/>
          <w:w w:val="105"/>
        </w:rPr>
        <w:t> </w:t>
      </w:r>
      <w:r>
        <w:rPr>
          <w:w w:val="105"/>
        </w:rPr>
        <w:t>real</w:t>
      </w:r>
      <w:r>
        <w:rPr>
          <w:spacing w:val="-2"/>
          <w:w w:val="105"/>
        </w:rPr>
        <w:t> </w:t>
      </w:r>
      <w:r>
        <w:rPr>
          <w:w w:val="105"/>
        </w:rPr>
        <w:t>estate,</w:t>
      </w:r>
      <w:r>
        <w:rPr>
          <w:spacing w:val="-2"/>
          <w:w w:val="105"/>
        </w:rPr>
        <w:t> </w:t>
      </w:r>
      <w:r>
        <w:rPr>
          <w:w w:val="105"/>
        </w:rPr>
        <w:t>vehicles and</w:t>
      </w:r>
      <w:r>
        <w:rPr>
          <w:spacing w:val="-2"/>
          <w:w w:val="105"/>
        </w:rPr>
        <w:t> </w:t>
      </w:r>
      <w:r>
        <w:rPr>
          <w:w w:val="105"/>
        </w:rPr>
        <w:t>equipment</w:t>
      </w:r>
      <w:r>
        <w:rPr>
          <w:spacing w:val="-2"/>
          <w:w w:val="105"/>
        </w:rPr>
        <w:t> </w:t>
      </w:r>
      <w:r>
        <w:rPr>
          <w:w w:val="105"/>
        </w:rPr>
        <w:t>from</w:t>
      </w:r>
      <w:r>
        <w:rPr>
          <w:spacing w:val="-1"/>
          <w:w w:val="105"/>
        </w:rPr>
        <w:t> </w:t>
      </w:r>
      <w:r>
        <w:rPr>
          <w:w w:val="105"/>
        </w:rPr>
        <w:t>third</w:t>
      </w:r>
      <w:r>
        <w:rPr>
          <w:spacing w:val="-2"/>
          <w:w w:val="105"/>
        </w:rPr>
        <w:t> </w:t>
      </w:r>
      <w:r>
        <w:rPr>
          <w:w w:val="105"/>
        </w:rPr>
        <w:t>parties,</w:t>
      </w:r>
      <w:r>
        <w:rPr>
          <w:spacing w:val="-2"/>
          <w:w w:val="105"/>
        </w:rPr>
        <w:t> </w:t>
      </w:r>
      <w:r>
        <w:rPr>
          <w:w w:val="105"/>
        </w:rPr>
        <w:t>which</w:t>
      </w:r>
      <w:r>
        <w:rPr>
          <w:spacing w:val="-2"/>
          <w:w w:val="105"/>
        </w:rPr>
        <w:t> </w:t>
      </w:r>
      <w:r>
        <w:rPr>
          <w:w w:val="105"/>
        </w:rPr>
        <w:t>are</w:t>
      </w:r>
      <w:r>
        <w:rPr>
          <w:spacing w:val="-2"/>
          <w:w w:val="105"/>
        </w:rPr>
        <w:t> </w:t>
      </w:r>
      <w:r>
        <w:rPr>
          <w:w w:val="105"/>
        </w:rPr>
        <w:t>classified</w:t>
      </w:r>
      <w:r>
        <w:rPr>
          <w:spacing w:val="-2"/>
          <w:w w:val="105"/>
        </w:rPr>
        <w:t> </w:t>
      </w:r>
      <w:r>
        <w:rPr>
          <w:w w:val="105"/>
        </w:rPr>
        <w:t>as</w:t>
      </w:r>
      <w:r>
        <w:rPr>
          <w:spacing w:val="-2"/>
          <w:w w:val="105"/>
        </w:rPr>
        <w:t> </w:t>
      </w:r>
      <w:r>
        <w:rPr>
          <w:w w:val="105"/>
        </w:rPr>
        <w:t>operating</w:t>
      </w:r>
      <w:r>
        <w:rPr>
          <w:spacing w:val="-2"/>
          <w:w w:val="105"/>
        </w:rPr>
        <w:t> </w:t>
      </w:r>
      <w:r>
        <w:rPr>
          <w:w w:val="105"/>
        </w:rPr>
        <w:t>or</w:t>
      </w:r>
      <w:r>
        <w:rPr>
          <w:spacing w:val="-2"/>
          <w:w w:val="105"/>
        </w:rPr>
        <w:t> </w:t>
      </w:r>
      <w:r>
        <w:rPr>
          <w:w w:val="105"/>
        </w:rPr>
        <w:t>finance</w:t>
      </w:r>
      <w:r>
        <w:rPr>
          <w:spacing w:val="-2"/>
          <w:w w:val="105"/>
        </w:rPr>
        <w:t> </w:t>
      </w:r>
      <w:r>
        <w:rPr>
          <w:w w:val="105"/>
        </w:rPr>
        <w:t>leases.</w:t>
      </w:r>
      <w:r>
        <w:rPr>
          <w:spacing w:val="80"/>
          <w:w w:val="105"/>
        </w:rPr>
        <w:t> </w:t>
      </w:r>
      <w:r>
        <w:rPr>
          <w:w w:val="105"/>
        </w:rPr>
        <w:t>The</w:t>
      </w:r>
      <w:r>
        <w:rPr>
          <w:spacing w:val="-2"/>
          <w:w w:val="105"/>
        </w:rPr>
        <w:t> </w:t>
      </w:r>
      <w:r>
        <w:rPr>
          <w:w w:val="105"/>
        </w:rPr>
        <w:t>Right</w:t>
      </w:r>
      <w:r>
        <w:rPr>
          <w:spacing w:val="-2"/>
          <w:w w:val="105"/>
        </w:rPr>
        <w:t> </w:t>
      </w:r>
      <w:r>
        <w:rPr>
          <w:w w:val="105"/>
        </w:rPr>
        <w:t>of</w:t>
      </w:r>
      <w:r>
        <w:rPr>
          <w:spacing w:val="-2"/>
          <w:w w:val="105"/>
        </w:rPr>
        <w:t> </w:t>
      </w:r>
      <w:r>
        <w:rPr>
          <w:w w:val="105"/>
        </w:rPr>
        <w:t>Use</w:t>
      </w:r>
      <w:r>
        <w:rPr>
          <w:spacing w:val="-2"/>
          <w:w w:val="105"/>
        </w:rPr>
        <w:t> </w:t>
      </w:r>
      <w:r>
        <w:rPr>
          <w:w w:val="105"/>
        </w:rPr>
        <w:t>(“ROU”)</w:t>
      </w:r>
      <w:r>
        <w:rPr>
          <w:spacing w:val="-2"/>
          <w:w w:val="105"/>
        </w:rPr>
        <w:t> </w:t>
      </w:r>
      <w:r>
        <w:rPr>
          <w:w w:val="105"/>
        </w:rPr>
        <w:t>assets</w:t>
      </w:r>
      <w:r>
        <w:rPr>
          <w:spacing w:val="-2"/>
          <w:w w:val="105"/>
        </w:rPr>
        <w:t> </w:t>
      </w:r>
      <w:r>
        <w:rPr>
          <w:w w:val="105"/>
        </w:rPr>
        <w:t>for operating</w:t>
      </w:r>
      <w:r>
        <w:rPr>
          <w:spacing w:val="-8"/>
          <w:w w:val="105"/>
        </w:rPr>
        <w:t> </w:t>
      </w:r>
      <w:r>
        <w:rPr>
          <w:w w:val="105"/>
        </w:rPr>
        <w:t>leases</w:t>
      </w:r>
      <w:r>
        <w:rPr>
          <w:spacing w:val="-8"/>
          <w:w w:val="105"/>
        </w:rPr>
        <w:t> </w:t>
      </w:r>
      <w:r>
        <w:rPr>
          <w:w w:val="105"/>
        </w:rPr>
        <w:t>are</w:t>
      </w:r>
      <w:r>
        <w:rPr>
          <w:spacing w:val="-6"/>
          <w:w w:val="105"/>
        </w:rPr>
        <w:t> </w:t>
      </w:r>
      <w:r>
        <w:rPr>
          <w:w w:val="105"/>
        </w:rPr>
        <w:t>included</w:t>
      </w:r>
      <w:r>
        <w:rPr>
          <w:spacing w:val="-8"/>
          <w:w w:val="105"/>
        </w:rPr>
        <w:t> </w:t>
      </w:r>
      <w:r>
        <w:rPr>
          <w:w w:val="105"/>
        </w:rPr>
        <w:t>in</w:t>
      </w:r>
      <w:r>
        <w:rPr>
          <w:spacing w:val="-8"/>
          <w:w w:val="105"/>
        </w:rPr>
        <w:t> </w:t>
      </w:r>
      <w:r>
        <w:rPr>
          <w:w w:val="105"/>
        </w:rPr>
        <w:t>other</w:t>
      </w:r>
      <w:r>
        <w:rPr>
          <w:spacing w:val="-8"/>
          <w:w w:val="105"/>
        </w:rPr>
        <w:t> </w:t>
      </w:r>
      <w:r>
        <w:rPr>
          <w:w w:val="105"/>
        </w:rPr>
        <w:t>assets,</w:t>
      </w:r>
      <w:r>
        <w:rPr>
          <w:spacing w:val="-8"/>
          <w:w w:val="105"/>
        </w:rPr>
        <w:t> </w:t>
      </w:r>
      <w:r>
        <w:rPr>
          <w:w w:val="105"/>
        </w:rPr>
        <w:t>with</w:t>
      </w:r>
      <w:r>
        <w:rPr>
          <w:spacing w:val="-8"/>
          <w:w w:val="105"/>
        </w:rPr>
        <w:t> </w:t>
      </w:r>
      <w:r>
        <w:rPr>
          <w:w w:val="105"/>
        </w:rPr>
        <w:t>the</w:t>
      </w:r>
      <w:r>
        <w:rPr>
          <w:spacing w:val="-8"/>
          <w:w w:val="105"/>
        </w:rPr>
        <w:t> </w:t>
      </w:r>
      <w:r>
        <w:rPr>
          <w:w w:val="105"/>
        </w:rPr>
        <w:t>corresponding</w:t>
      </w:r>
      <w:r>
        <w:rPr>
          <w:spacing w:val="-8"/>
          <w:w w:val="105"/>
        </w:rPr>
        <w:t> </w:t>
      </w:r>
      <w:r>
        <w:rPr>
          <w:w w:val="105"/>
        </w:rPr>
        <w:t>liability</w:t>
      </w:r>
      <w:r>
        <w:rPr>
          <w:spacing w:val="-6"/>
          <w:w w:val="105"/>
        </w:rPr>
        <w:t> </w:t>
      </w:r>
      <w:r>
        <w:rPr>
          <w:w w:val="105"/>
        </w:rPr>
        <w:t>in</w:t>
      </w:r>
      <w:r>
        <w:rPr>
          <w:spacing w:val="-8"/>
          <w:w w:val="105"/>
        </w:rPr>
        <w:t> </w:t>
      </w:r>
      <w:r>
        <w:rPr>
          <w:w w:val="105"/>
        </w:rPr>
        <w:t>other</w:t>
      </w:r>
      <w:r>
        <w:rPr>
          <w:spacing w:val="-8"/>
          <w:w w:val="105"/>
        </w:rPr>
        <w:t> </w:t>
      </w:r>
      <w:r>
        <w:rPr>
          <w:w w:val="105"/>
        </w:rPr>
        <w:t>accrued</w:t>
      </w:r>
      <w:r>
        <w:rPr>
          <w:spacing w:val="-8"/>
          <w:w w:val="105"/>
        </w:rPr>
        <w:t> </w:t>
      </w:r>
      <w:r>
        <w:rPr>
          <w:w w:val="105"/>
        </w:rPr>
        <w:t>liabilities</w:t>
      </w:r>
      <w:r>
        <w:rPr>
          <w:spacing w:val="-8"/>
          <w:w w:val="105"/>
        </w:rPr>
        <w:t> </w:t>
      </w:r>
      <w:r>
        <w:rPr>
          <w:w w:val="105"/>
        </w:rPr>
        <w:t>and</w:t>
      </w:r>
      <w:r>
        <w:rPr>
          <w:spacing w:val="-8"/>
          <w:w w:val="105"/>
        </w:rPr>
        <w:t> </w:t>
      </w:r>
      <w:r>
        <w:rPr>
          <w:w w:val="105"/>
        </w:rPr>
        <w:t>other</w:t>
      </w:r>
      <w:r>
        <w:rPr>
          <w:spacing w:val="-8"/>
          <w:w w:val="105"/>
        </w:rPr>
        <w:t> </w:t>
      </w:r>
      <w:r>
        <w:rPr>
          <w:w w:val="105"/>
        </w:rPr>
        <w:t>liabilities,</w:t>
      </w:r>
      <w:r>
        <w:rPr>
          <w:spacing w:val="-8"/>
          <w:w w:val="105"/>
        </w:rPr>
        <w:t> </w:t>
      </w:r>
      <w:r>
        <w:rPr>
          <w:w w:val="105"/>
        </w:rPr>
        <w:t>on</w:t>
      </w:r>
      <w:r>
        <w:rPr>
          <w:spacing w:val="-8"/>
          <w:w w:val="105"/>
        </w:rPr>
        <w:t> </w:t>
      </w:r>
      <w:r>
        <w:rPr>
          <w:w w:val="105"/>
        </w:rPr>
        <w:t>the</w:t>
      </w:r>
      <w:r>
        <w:rPr>
          <w:spacing w:val="-8"/>
          <w:w w:val="105"/>
        </w:rPr>
        <w:t> </w:t>
      </w:r>
      <w:r>
        <w:rPr>
          <w:w w:val="105"/>
        </w:rPr>
        <w:t>consolidated</w:t>
      </w:r>
      <w:r>
        <w:rPr>
          <w:spacing w:val="-8"/>
          <w:w w:val="105"/>
        </w:rPr>
        <w:t> </w:t>
      </w:r>
      <w:r>
        <w:rPr>
          <w:w w:val="105"/>
        </w:rPr>
        <w:t>balance</w:t>
      </w:r>
      <w:r>
        <w:rPr>
          <w:spacing w:val="-8"/>
          <w:w w:val="105"/>
        </w:rPr>
        <w:t> </w:t>
      </w:r>
      <w:r>
        <w:rPr>
          <w:w w:val="105"/>
        </w:rPr>
        <w:t>sheets.</w:t>
      </w:r>
      <w:r>
        <w:rPr>
          <w:spacing w:val="26"/>
          <w:w w:val="105"/>
        </w:rPr>
        <w:t> </w:t>
      </w:r>
      <w:r>
        <w:rPr>
          <w:w w:val="105"/>
        </w:rPr>
        <w:t>The</w:t>
      </w:r>
      <w:r>
        <w:rPr>
          <w:spacing w:val="-8"/>
          <w:w w:val="105"/>
        </w:rPr>
        <w:t> </w:t>
      </w:r>
      <w:r>
        <w:rPr>
          <w:w w:val="105"/>
        </w:rPr>
        <w:t>ROU assets</w:t>
      </w:r>
      <w:r>
        <w:rPr>
          <w:spacing w:val="-1"/>
          <w:w w:val="105"/>
        </w:rPr>
        <w:t> </w:t>
      </w:r>
      <w:r>
        <w:rPr>
          <w:w w:val="105"/>
        </w:rPr>
        <w:t>for</w:t>
      </w:r>
      <w:r>
        <w:rPr>
          <w:spacing w:val="-1"/>
          <w:w w:val="105"/>
        </w:rPr>
        <w:t> </w:t>
      </w:r>
      <w:r>
        <w:rPr>
          <w:w w:val="105"/>
        </w:rPr>
        <w:t>finance</w:t>
      </w:r>
      <w:r>
        <w:rPr>
          <w:spacing w:val="-1"/>
          <w:w w:val="105"/>
        </w:rPr>
        <w:t> </w:t>
      </w:r>
      <w:r>
        <w:rPr>
          <w:w w:val="105"/>
        </w:rPr>
        <w:t>leases</w:t>
      </w:r>
      <w:r>
        <w:rPr>
          <w:spacing w:val="-1"/>
          <w:w w:val="105"/>
        </w:rPr>
        <w:t> </w:t>
      </w:r>
      <w:r>
        <w:rPr>
          <w:w w:val="105"/>
        </w:rPr>
        <w:t>are</w:t>
      </w:r>
      <w:r>
        <w:rPr>
          <w:spacing w:val="-1"/>
          <w:w w:val="105"/>
        </w:rPr>
        <w:t> </w:t>
      </w:r>
      <w:r>
        <w:rPr>
          <w:w w:val="105"/>
        </w:rPr>
        <w:t>included</w:t>
      </w:r>
      <w:r>
        <w:rPr>
          <w:spacing w:val="-1"/>
          <w:w w:val="105"/>
        </w:rPr>
        <w:t> </w:t>
      </w:r>
      <w:r>
        <w:rPr>
          <w:w w:val="105"/>
        </w:rPr>
        <w:t>in</w:t>
      </w:r>
      <w:r>
        <w:rPr>
          <w:spacing w:val="-1"/>
          <w:w w:val="105"/>
        </w:rPr>
        <w:t> </w:t>
      </w:r>
      <w:r>
        <w:rPr>
          <w:w w:val="105"/>
        </w:rPr>
        <w:t>Property,</w:t>
      </w:r>
      <w:r>
        <w:rPr>
          <w:spacing w:val="-1"/>
          <w:w w:val="105"/>
        </w:rPr>
        <w:t> </w:t>
      </w:r>
      <w:r>
        <w:rPr>
          <w:w w:val="105"/>
        </w:rPr>
        <w:t>Plant</w:t>
      </w:r>
      <w:r>
        <w:rPr>
          <w:spacing w:val="-1"/>
          <w:w w:val="105"/>
        </w:rPr>
        <w:t> </w:t>
      </w:r>
      <w:r>
        <w:rPr>
          <w:w w:val="105"/>
        </w:rPr>
        <w:t>&amp;</w:t>
      </w:r>
      <w:r>
        <w:rPr>
          <w:spacing w:val="-1"/>
          <w:w w:val="105"/>
        </w:rPr>
        <w:t> </w:t>
      </w:r>
      <w:r>
        <w:rPr>
          <w:w w:val="105"/>
        </w:rPr>
        <w:t>Equipment,</w:t>
      </w:r>
      <w:r>
        <w:rPr>
          <w:spacing w:val="-1"/>
          <w:w w:val="105"/>
        </w:rPr>
        <w:t> </w:t>
      </w:r>
      <w:r>
        <w:rPr>
          <w:w w:val="105"/>
        </w:rPr>
        <w:t>with</w:t>
      </w:r>
      <w:r>
        <w:rPr>
          <w:spacing w:val="-1"/>
          <w:w w:val="105"/>
        </w:rPr>
        <w:t> </w:t>
      </w:r>
      <w:r>
        <w:rPr>
          <w:w w:val="105"/>
        </w:rPr>
        <w:t>the</w:t>
      </w:r>
      <w:r>
        <w:rPr>
          <w:spacing w:val="-1"/>
          <w:w w:val="105"/>
        </w:rPr>
        <w:t> </w:t>
      </w:r>
      <w:r>
        <w:rPr>
          <w:w w:val="105"/>
        </w:rPr>
        <w:t>corresponding</w:t>
      </w:r>
      <w:r>
        <w:rPr>
          <w:spacing w:val="-1"/>
          <w:w w:val="105"/>
        </w:rPr>
        <w:t> </w:t>
      </w:r>
      <w:r>
        <w:rPr>
          <w:w w:val="105"/>
        </w:rPr>
        <w:t>liability</w:t>
      </w:r>
      <w:r>
        <w:rPr>
          <w:spacing w:val="-1"/>
          <w:w w:val="105"/>
        </w:rPr>
        <w:t> </w:t>
      </w:r>
      <w:r>
        <w:rPr>
          <w:w w:val="105"/>
        </w:rPr>
        <w:t>in</w:t>
      </w:r>
      <w:r>
        <w:rPr>
          <w:spacing w:val="-1"/>
          <w:w w:val="105"/>
        </w:rPr>
        <w:t> </w:t>
      </w:r>
      <w:r>
        <w:rPr>
          <w:w w:val="105"/>
        </w:rPr>
        <w:t>current</w:t>
      </w:r>
      <w:r>
        <w:rPr>
          <w:spacing w:val="-1"/>
          <w:w w:val="105"/>
        </w:rPr>
        <w:t> </w:t>
      </w:r>
      <w:r>
        <w:rPr>
          <w:w w:val="105"/>
        </w:rPr>
        <w:t>and</w:t>
      </w:r>
      <w:r>
        <w:rPr>
          <w:spacing w:val="-1"/>
          <w:w w:val="105"/>
        </w:rPr>
        <w:t> </w:t>
      </w:r>
      <w:r>
        <w:rPr>
          <w:w w:val="105"/>
        </w:rPr>
        <w:t>long-term</w:t>
      </w:r>
      <w:r>
        <w:rPr>
          <w:spacing w:val="-1"/>
          <w:w w:val="105"/>
        </w:rPr>
        <w:t> </w:t>
      </w:r>
      <w:r>
        <w:rPr>
          <w:w w:val="105"/>
        </w:rPr>
        <w:t>debt,</w:t>
      </w:r>
      <w:r>
        <w:rPr>
          <w:spacing w:val="-1"/>
          <w:w w:val="105"/>
        </w:rPr>
        <w:t> </w:t>
      </w:r>
      <w:r>
        <w:rPr>
          <w:w w:val="105"/>
        </w:rPr>
        <w:t>on</w:t>
      </w:r>
      <w:r>
        <w:rPr>
          <w:spacing w:val="-1"/>
          <w:w w:val="105"/>
        </w:rPr>
        <w:t> </w:t>
      </w:r>
      <w:r>
        <w:rPr>
          <w:w w:val="105"/>
        </w:rPr>
        <w:t>the consolidated</w:t>
      </w:r>
      <w:r>
        <w:rPr>
          <w:spacing w:val="-1"/>
          <w:w w:val="105"/>
        </w:rPr>
        <w:t> </w:t>
      </w:r>
      <w:r>
        <w:rPr>
          <w:w w:val="105"/>
        </w:rPr>
        <w:t>balance</w:t>
      </w:r>
    </w:p>
    <w:p>
      <w:pPr>
        <w:pStyle w:val="BodyText"/>
        <w:spacing w:line="183" w:lineRule="exact"/>
        <w:ind w:left="156"/>
      </w:pPr>
      <w:r>
        <w:rPr>
          <w:w w:val="105"/>
        </w:rPr>
        <w:t>sheets.</w:t>
      </w:r>
      <w:r>
        <w:rPr>
          <w:spacing w:val="26"/>
          <w:w w:val="105"/>
        </w:rPr>
        <w:t> </w:t>
      </w:r>
      <w:r>
        <w:rPr>
          <w:w w:val="105"/>
        </w:rPr>
        <w:t>Lease</w:t>
      </w:r>
      <w:r>
        <w:rPr>
          <w:spacing w:val="-8"/>
          <w:w w:val="105"/>
        </w:rPr>
        <w:t> </w:t>
      </w:r>
      <w:r>
        <w:rPr>
          <w:w w:val="105"/>
        </w:rPr>
        <w:t>expense</w:t>
      </w:r>
      <w:r>
        <w:rPr>
          <w:spacing w:val="-8"/>
          <w:w w:val="105"/>
        </w:rPr>
        <w:t> </w:t>
      </w:r>
      <w:r>
        <w:rPr>
          <w:w w:val="105"/>
        </w:rPr>
        <w:t>is</w:t>
      </w:r>
      <w:r>
        <w:rPr>
          <w:spacing w:val="-8"/>
          <w:w w:val="105"/>
        </w:rPr>
        <w:t> </w:t>
      </w:r>
      <w:r>
        <w:rPr>
          <w:w w:val="105"/>
        </w:rPr>
        <w:t>recognized</w:t>
      </w:r>
      <w:r>
        <w:rPr>
          <w:spacing w:val="-8"/>
          <w:w w:val="105"/>
        </w:rPr>
        <w:t> </w:t>
      </w:r>
      <w:r>
        <w:rPr>
          <w:w w:val="105"/>
        </w:rPr>
        <w:t>on</w:t>
      </w:r>
      <w:r>
        <w:rPr>
          <w:spacing w:val="-8"/>
          <w:w w:val="105"/>
        </w:rPr>
        <w:t> </w:t>
      </w:r>
      <w:r>
        <w:rPr>
          <w:w w:val="105"/>
        </w:rPr>
        <w:t>a</w:t>
      </w:r>
      <w:r>
        <w:rPr>
          <w:spacing w:val="-8"/>
          <w:w w:val="105"/>
        </w:rPr>
        <w:t> </w:t>
      </w:r>
      <w:r>
        <w:rPr>
          <w:w w:val="105"/>
        </w:rPr>
        <w:t>straight-line</w:t>
      </w:r>
      <w:r>
        <w:rPr>
          <w:spacing w:val="-8"/>
          <w:w w:val="105"/>
        </w:rPr>
        <w:t> </w:t>
      </w:r>
      <w:r>
        <w:rPr>
          <w:w w:val="105"/>
        </w:rPr>
        <w:t>basis</w:t>
      </w:r>
      <w:r>
        <w:rPr>
          <w:spacing w:val="-8"/>
          <w:w w:val="105"/>
        </w:rPr>
        <w:t> </w:t>
      </w:r>
      <w:r>
        <w:rPr>
          <w:w w:val="105"/>
        </w:rPr>
        <w:t>over</w:t>
      </w:r>
      <w:r>
        <w:rPr>
          <w:spacing w:val="-8"/>
          <w:w w:val="105"/>
        </w:rPr>
        <w:t> </w:t>
      </w:r>
      <w:r>
        <w:rPr>
          <w:w w:val="105"/>
        </w:rPr>
        <w:t>the</w:t>
      </w:r>
      <w:r>
        <w:rPr>
          <w:spacing w:val="-8"/>
          <w:w w:val="105"/>
        </w:rPr>
        <w:t> </w:t>
      </w:r>
      <w:r>
        <w:rPr>
          <w:w w:val="105"/>
        </w:rPr>
        <w:t>lease</w:t>
      </w:r>
      <w:r>
        <w:rPr>
          <w:spacing w:val="-8"/>
          <w:w w:val="105"/>
        </w:rPr>
        <w:t> </w:t>
      </w:r>
      <w:r>
        <w:rPr>
          <w:w w:val="105"/>
        </w:rPr>
        <w:t>term</w:t>
      </w:r>
      <w:r>
        <w:rPr>
          <w:spacing w:val="-7"/>
          <w:w w:val="105"/>
        </w:rPr>
        <w:t> </w:t>
      </w:r>
      <w:r>
        <w:rPr>
          <w:w w:val="105"/>
        </w:rPr>
        <w:t>for</w:t>
      </w:r>
      <w:r>
        <w:rPr>
          <w:spacing w:val="-8"/>
          <w:w w:val="105"/>
        </w:rPr>
        <w:t> </w:t>
      </w:r>
      <w:r>
        <w:rPr>
          <w:w w:val="105"/>
        </w:rPr>
        <w:t>operating</w:t>
      </w:r>
      <w:r>
        <w:rPr>
          <w:spacing w:val="-8"/>
          <w:w w:val="105"/>
        </w:rPr>
        <w:t> </w:t>
      </w:r>
      <w:r>
        <w:rPr>
          <w:w w:val="105"/>
        </w:rPr>
        <w:t>leases.</w:t>
      </w:r>
      <w:r>
        <w:rPr>
          <w:spacing w:val="27"/>
          <w:w w:val="105"/>
        </w:rPr>
        <w:t> </w:t>
      </w:r>
      <w:r>
        <w:rPr>
          <w:w w:val="105"/>
        </w:rPr>
        <w:t>Interest</w:t>
      </w:r>
      <w:r>
        <w:rPr>
          <w:spacing w:val="-7"/>
          <w:w w:val="105"/>
        </w:rPr>
        <w:t> </w:t>
      </w:r>
      <w:r>
        <w:rPr>
          <w:w w:val="105"/>
        </w:rPr>
        <w:t>expense</w:t>
      </w:r>
      <w:r>
        <w:rPr>
          <w:spacing w:val="-8"/>
          <w:w w:val="105"/>
        </w:rPr>
        <w:t> </w:t>
      </w:r>
      <w:r>
        <w:rPr>
          <w:w w:val="105"/>
        </w:rPr>
        <w:t>and</w:t>
      </w:r>
      <w:r>
        <w:rPr>
          <w:spacing w:val="-8"/>
          <w:w w:val="105"/>
        </w:rPr>
        <w:t> </w:t>
      </w:r>
      <w:r>
        <w:rPr>
          <w:w w:val="105"/>
        </w:rPr>
        <w:t>amortization</w:t>
      </w:r>
      <w:r>
        <w:rPr>
          <w:spacing w:val="-8"/>
          <w:w w:val="105"/>
        </w:rPr>
        <w:t> </w:t>
      </w:r>
      <w:r>
        <w:rPr>
          <w:w w:val="105"/>
        </w:rPr>
        <w:t>of</w:t>
      </w:r>
      <w:r>
        <w:rPr>
          <w:spacing w:val="-8"/>
          <w:w w:val="105"/>
        </w:rPr>
        <w:t> </w:t>
      </w:r>
      <w:r>
        <w:rPr>
          <w:w w:val="105"/>
        </w:rPr>
        <w:t>the</w:t>
      </w:r>
      <w:r>
        <w:rPr>
          <w:spacing w:val="-8"/>
          <w:w w:val="105"/>
        </w:rPr>
        <w:t> </w:t>
      </w:r>
      <w:r>
        <w:rPr>
          <w:w w:val="105"/>
        </w:rPr>
        <w:t>ROU</w:t>
      </w:r>
      <w:r>
        <w:rPr>
          <w:spacing w:val="-8"/>
          <w:w w:val="105"/>
        </w:rPr>
        <w:t> </w:t>
      </w:r>
      <w:r>
        <w:rPr>
          <w:w w:val="105"/>
        </w:rPr>
        <w:t>assets</w:t>
      </w:r>
      <w:r>
        <w:rPr>
          <w:spacing w:val="-8"/>
          <w:w w:val="105"/>
        </w:rPr>
        <w:t> </w:t>
      </w:r>
      <w:r>
        <w:rPr>
          <w:w w:val="105"/>
        </w:rPr>
        <w:t>related</w:t>
      </w:r>
      <w:r>
        <w:rPr>
          <w:spacing w:val="-8"/>
          <w:w w:val="105"/>
        </w:rPr>
        <w:t> </w:t>
      </w:r>
      <w:r>
        <w:rPr>
          <w:spacing w:val="-5"/>
          <w:w w:val="105"/>
        </w:rPr>
        <w:t>to</w:t>
      </w:r>
    </w:p>
    <w:p>
      <w:pPr>
        <w:pStyle w:val="BodyText"/>
        <w:spacing w:line="266" w:lineRule="auto" w:before="20"/>
        <w:ind w:left="156"/>
      </w:pPr>
      <w:r>
        <w:rPr>
          <w:w w:val="105"/>
        </w:rPr>
        <w:t>finance</w:t>
      </w:r>
      <w:r>
        <w:rPr>
          <w:spacing w:val="-8"/>
          <w:w w:val="105"/>
        </w:rPr>
        <w:t> </w:t>
      </w:r>
      <w:r>
        <w:rPr>
          <w:w w:val="105"/>
        </w:rPr>
        <w:t>leases</w:t>
      </w:r>
      <w:r>
        <w:rPr>
          <w:spacing w:val="-8"/>
          <w:w w:val="105"/>
        </w:rPr>
        <w:t> </w:t>
      </w:r>
      <w:r>
        <w:rPr>
          <w:w w:val="105"/>
        </w:rPr>
        <w:t>are</w:t>
      </w:r>
      <w:r>
        <w:rPr>
          <w:spacing w:val="-8"/>
          <w:w w:val="105"/>
        </w:rPr>
        <w:t> </w:t>
      </w:r>
      <w:r>
        <w:rPr>
          <w:w w:val="105"/>
        </w:rPr>
        <w:t>calculated</w:t>
      </w:r>
      <w:r>
        <w:rPr>
          <w:spacing w:val="-8"/>
          <w:w w:val="105"/>
        </w:rPr>
        <w:t> </w:t>
      </w:r>
      <w:r>
        <w:rPr>
          <w:w w:val="105"/>
        </w:rPr>
        <w:t>and</w:t>
      </w:r>
      <w:r>
        <w:rPr>
          <w:spacing w:val="-10"/>
          <w:w w:val="105"/>
        </w:rPr>
        <w:t> </w:t>
      </w:r>
      <w:r>
        <w:rPr>
          <w:w w:val="105"/>
        </w:rPr>
        <w:t>recognized</w:t>
      </w:r>
      <w:r>
        <w:rPr>
          <w:spacing w:val="-8"/>
          <w:w w:val="105"/>
        </w:rPr>
        <w:t> </w:t>
      </w:r>
      <w:r>
        <w:rPr>
          <w:w w:val="105"/>
        </w:rPr>
        <w:t>using</w:t>
      </w:r>
      <w:r>
        <w:rPr>
          <w:spacing w:val="-8"/>
          <w:w w:val="105"/>
        </w:rPr>
        <w:t> </w:t>
      </w:r>
      <w:r>
        <w:rPr>
          <w:w w:val="105"/>
        </w:rPr>
        <w:t>the</w:t>
      </w:r>
      <w:r>
        <w:rPr>
          <w:spacing w:val="-8"/>
          <w:w w:val="105"/>
        </w:rPr>
        <w:t> </w:t>
      </w:r>
      <w:r>
        <w:rPr>
          <w:w w:val="105"/>
        </w:rPr>
        <w:t>effective</w:t>
      </w:r>
      <w:r>
        <w:rPr>
          <w:spacing w:val="-8"/>
          <w:w w:val="105"/>
        </w:rPr>
        <w:t> </w:t>
      </w:r>
      <w:r>
        <w:rPr>
          <w:w w:val="105"/>
        </w:rPr>
        <w:t>interest</w:t>
      </w:r>
      <w:r>
        <w:rPr>
          <w:spacing w:val="-8"/>
          <w:w w:val="105"/>
        </w:rPr>
        <w:t> </w:t>
      </w:r>
      <w:r>
        <w:rPr>
          <w:w w:val="105"/>
        </w:rPr>
        <w:t>and</w:t>
      </w:r>
      <w:r>
        <w:rPr>
          <w:spacing w:val="-8"/>
          <w:w w:val="105"/>
        </w:rPr>
        <w:t> </w:t>
      </w:r>
      <w:r>
        <w:rPr>
          <w:w w:val="105"/>
        </w:rPr>
        <w:t>straight-line</w:t>
      </w:r>
      <w:r>
        <w:rPr>
          <w:spacing w:val="-8"/>
          <w:w w:val="105"/>
        </w:rPr>
        <w:t> </w:t>
      </w:r>
      <w:r>
        <w:rPr>
          <w:w w:val="105"/>
        </w:rPr>
        <w:t>methods,</w:t>
      </w:r>
      <w:r>
        <w:rPr>
          <w:spacing w:val="-8"/>
          <w:w w:val="105"/>
        </w:rPr>
        <w:t> </w:t>
      </w:r>
      <w:r>
        <w:rPr>
          <w:w w:val="105"/>
        </w:rPr>
        <w:t>respectively.</w:t>
      </w:r>
      <w:r>
        <w:rPr>
          <w:spacing w:val="24"/>
          <w:w w:val="105"/>
        </w:rPr>
        <w:t> </w:t>
      </w:r>
      <w:r>
        <w:rPr>
          <w:w w:val="105"/>
        </w:rPr>
        <w:t>Renewals</w:t>
      </w:r>
      <w:r>
        <w:rPr>
          <w:spacing w:val="-8"/>
          <w:w w:val="105"/>
        </w:rPr>
        <w:t> </w:t>
      </w:r>
      <w:r>
        <w:rPr>
          <w:w w:val="105"/>
        </w:rPr>
        <w:t>and</w:t>
      </w:r>
      <w:r>
        <w:rPr>
          <w:spacing w:val="-8"/>
          <w:w w:val="105"/>
        </w:rPr>
        <w:t> </w:t>
      </w:r>
      <w:r>
        <w:rPr>
          <w:w w:val="105"/>
        </w:rPr>
        <w:t>terminations</w:t>
      </w:r>
      <w:r>
        <w:rPr>
          <w:spacing w:val="-10"/>
          <w:w w:val="105"/>
        </w:rPr>
        <w:t> </w:t>
      </w:r>
      <w:r>
        <w:rPr>
          <w:w w:val="105"/>
        </w:rPr>
        <w:t>are</w:t>
      </w:r>
      <w:r>
        <w:rPr>
          <w:spacing w:val="-8"/>
          <w:w w:val="105"/>
        </w:rPr>
        <w:t> </w:t>
      </w:r>
      <w:r>
        <w:rPr>
          <w:w w:val="105"/>
        </w:rPr>
        <w:t>included</w:t>
      </w:r>
      <w:r>
        <w:rPr>
          <w:spacing w:val="-8"/>
          <w:w w:val="105"/>
        </w:rPr>
        <w:t> </w:t>
      </w:r>
      <w:r>
        <w:rPr>
          <w:w w:val="105"/>
        </w:rPr>
        <w:t>in</w:t>
      </w:r>
      <w:r>
        <w:rPr>
          <w:spacing w:val="-8"/>
          <w:w w:val="105"/>
        </w:rPr>
        <w:t> </w:t>
      </w:r>
      <w:r>
        <w:rPr>
          <w:w w:val="105"/>
        </w:rPr>
        <w:t>the</w:t>
      </w:r>
      <w:r>
        <w:rPr>
          <w:spacing w:val="-8"/>
          <w:w w:val="105"/>
        </w:rPr>
        <w:t> </w:t>
      </w:r>
      <w:r>
        <w:rPr>
          <w:w w:val="105"/>
        </w:rPr>
        <w:t>calculation</w:t>
      </w:r>
      <w:r>
        <w:rPr>
          <w:spacing w:val="-8"/>
          <w:w w:val="105"/>
        </w:rPr>
        <w:t> </w:t>
      </w:r>
      <w:r>
        <w:rPr>
          <w:w w:val="105"/>
        </w:rPr>
        <w:t>of the</w:t>
      </w:r>
      <w:r>
        <w:rPr>
          <w:spacing w:val="-2"/>
          <w:w w:val="105"/>
        </w:rPr>
        <w:t> </w:t>
      </w:r>
      <w:r>
        <w:rPr>
          <w:w w:val="105"/>
        </w:rPr>
        <w:t>ROU</w:t>
      </w:r>
      <w:r>
        <w:rPr>
          <w:spacing w:val="-2"/>
          <w:w w:val="105"/>
        </w:rPr>
        <w:t> </w:t>
      </w:r>
      <w:r>
        <w:rPr>
          <w:w w:val="105"/>
        </w:rPr>
        <w:t>assets</w:t>
      </w:r>
      <w:r>
        <w:rPr>
          <w:spacing w:val="-2"/>
          <w:w w:val="105"/>
        </w:rPr>
        <w:t> </w:t>
      </w:r>
      <w:r>
        <w:rPr>
          <w:w w:val="105"/>
        </w:rPr>
        <w:t>and</w:t>
      </w:r>
      <w:r>
        <w:rPr>
          <w:spacing w:val="-2"/>
          <w:w w:val="105"/>
        </w:rPr>
        <w:t> </w:t>
      </w:r>
      <w:r>
        <w:rPr>
          <w:w w:val="105"/>
        </w:rPr>
        <w:t>lease</w:t>
      </w:r>
      <w:r>
        <w:rPr>
          <w:spacing w:val="-2"/>
          <w:w w:val="105"/>
        </w:rPr>
        <w:t> </w:t>
      </w:r>
      <w:r>
        <w:rPr>
          <w:w w:val="105"/>
        </w:rPr>
        <w:t>liabilities</w:t>
      </w:r>
      <w:r>
        <w:rPr>
          <w:spacing w:val="-2"/>
          <w:w w:val="105"/>
        </w:rPr>
        <w:t> </w:t>
      </w:r>
      <w:r>
        <w:rPr>
          <w:w w:val="105"/>
        </w:rPr>
        <w:t>when</w:t>
      </w:r>
      <w:r>
        <w:rPr>
          <w:spacing w:val="-2"/>
          <w:w w:val="105"/>
        </w:rPr>
        <w:t> </w:t>
      </w:r>
      <w:r>
        <w:rPr>
          <w:w w:val="105"/>
        </w:rPr>
        <w:t>considered</w:t>
      </w:r>
      <w:r>
        <w:rPr>
          <w:spacing w:val="-2"/>
          <w:w w:val="105"/>
        </w:rPr>
        <w:t> </w:t>
      </w:r>
      <w:r>
        <w:rPr>
          <w:w w:val="105"/>
        </w:rPr>
        <w:t>to</w:t>
      </w:r>
      <w:r>
        <w:rPr>
          <w:spacing w:val="-2"/>
          <w:w w:val="105"/>
        </w:rPr>
        <w:t> </w:t>
      </w:r>
      <w:r>
        <w:rPr>
          <w:w w:val="105"/>
        </w:rPr>
        <w:t>be</w:t>
      </w:r>
      <w:r>
        <w:rPr>
          <w:spacing w:val="-2"/>
          <w:w w:val="105"/>
        </w:rPr>
        <w:t> </w:t>
      </w:r>
      <w:r>
        <w:rPr>
          <w:w w:val="105"/>
        </w:rPr>
        <w:t>reasonably</w:t>
      </w:r>
      <w:r>
        <w:rPr>
          <w:spacing w:val="-2"/>
          <w:w w:val="105"/>
        </w:rPr>
        <w:t> </w:t>
      </w:r>
      <w:r>
        <w:rPr>
          <w:w w:val="105"/>
        </w:rPr>
        <w:t>certain</w:t>
      </w:r>
      <w:r>
        <w:rPr>
          <w:spacing w:val="-2"/>
          <w:w w:val="105"/>
        </w:rPr>
        <w:t> </w:t>
      </w:r>
      <w:r>
        <w:rPr>
          <w:w w:val="105"/>
        </w:rPr>
        <w:t>to</w:t>
      </w:r>
      <w:r>
        <w:rPr>
          <w:spacing w:val="-2"/>
          <w:w w:val="105"/>
        </w:rPr>
        <w:t> </w:t>
      </w:r>
      <w:r>
        <w:rPr>
          <w:w w:val="105"/>
        </w:rPr>
        <w:t>be</w:t>
      </w:r>
      <w:r>
        <w:rPr>
          <w:spacing w:val="-2"/>
          <w:w w:val="105"/>
        </w:rPr>
        <w:t> </w:t>
      </w:r>
      <w:r>
        <w:rPr>
          <w:w w:val="105"/>
        </w:rPr>
        <w:t>exercised.</w:t>
      </w:r>
      <w:r>
        <w:rPr>
          <w:spacing w:val="-2"/>
          <w:w w:val="105"/>
        </w:rPr>
        <w:t> </w:t>
      </w:r>
      <w:r>
        <w:rPr>
          <w:w w:val="105"/>
        </w:rPr>
        <w:t>When</w:t>
      </w:r>
      <w:r>
        <w:rPr>
          <w:spacing w:val="-2"/>
          <w:w w:val="105"/>
        </w:rPr>
        <w:t> </w:t>
      </w:r>
      <w:r>
        <w:rPr>
          <w:w w:val="105"/>
        </w:rPr>
        <w:t>the</w:t>
      </w:r>
      <w:r>
        <w:rPr>
          <w:spacing w:val="-2"/>
          <w:w w:val="105"/>
        </w:rPr>
        <w:t> </w:t>
      </w:r>
      <w:r>
        <w:rPr>
          <w:w w:val="105"/>
        </w:rPr>
        <w:t>implicit</w:t>
      </w:r>
      <w:r>
        <w:rPr>
          <w:spacing w:val="-2"/>
          <w:w w:val="105"/>
        </w:rPr>
        <w:t> </w:t>
      </w:r>
      <w:r>
        <w:rPr>
          <w:w w:val="105"/>
        </w:rPr>
        <w:t>rate</w:t>
      </w:r>
      <w:r>
        <w:rPr>
          <w:spacing w:val="-2"/>
          <w:w w:val="105"/>
        </w:rPr>
        <w:t> </w:t>
      </w:r>
      <w:r>
        <w:rPr>
          <w:w w:val="105"/>
        </w:rPr>
        <w:t>is</w:t>
      </w:r>
      <w:r>
        <w:rPr>
          <w:spacing w:val="-2"/>
          <w:w w:val="105"/>
        </w:rPr>
        <w:t> </w:t>
      </w:r>
      <w:r>
        <w:rPr>
          <w:w w:val="105"/>
        </w:rPr>
        <w:t>unknown,</w:t>
      </w:r>
      <w:r>
        <w:rPr>
          <w:spacing w:val="-2"/>
          <w:w w:val="105"/>
        </w:rPr>
        <w:t> </w:t>
      </w:r>
      <w:r>
        <w:rPr>
          <w:w w:val="105"/>
        </w:rPr>
        <w:t>the</w:t>
      </w:r>
      <w:r>
        <w:rPr>
          <w:spacing w:val="-2"/>
          <w:w w:val="105"/>
        </w:rPr>
        <w:t> </w:t>
      </w:r>
      <w:r>
        <w:rPr>
          <w:w w:val="105"/>
        </w:rPr>
        <w:t>incremental</w:t>
      </w:r>
      <w:r>
        <w:rPr>
          <w:spacing w:val="-2"/>
          <w:w w:val="105"/>
        </w:rPr>
        <w:t> </w:t>
      </w:r>
      <w:r>
        <w:rPr>
          <w:w w:val="105"/>
        </w:rPr>
        <w:t>borrowing</w:t>
      </w:r>
      <w:r>
        <w:rPr>
          <w:spacing w:val="-2"/>
          <w:w w:val="105"/>
        </w:rPr>
        <w:t> </w:t>
      </w:r>
      <w:r>
        <w:rPr>
          <w:w w:val="105"/>
        </w:rPr>
        <w:t>rate,</w:t>
      </w:r>
      <w:r>
        <w:rPr>
          <w:spacing w:val="-2"/>
          <w:w w:val="105"/>
        </w:rPr>
        <w:t> </w:t>
      </w:r>
      <w:r>
        <w:rPr>
          <w:w w:val="105"/>
        </w:rPr>
        <w:t>based</w:t>
      </w:r>
      <w:r>
        <w:rPr>
          <w:spacing w:val="-2"/>
          <w:w w:val="105"/>
        </w:rPr>
        <w:t> </w:t>
      </w:r>
      <w:r>
        <w:rPr>
          <w:w w:val="105"/>
        </w:rPr>
        <w:t>on commencement date, is used in determining the present value of lease payments.</w:t>
      </w:r>
    </w:p>
    <w:p>
      <w:pPr>
        <w:pStyle w:val="BodyText"/>
        <w:spacing w:before="18"/>
      </w:pPr>
    </w:p>
    <w:p>
      <w:pPr>
        <w:pStyle w:val="BodyText"/>
        <w:spacing w:line="266" w:lineRule="auto" w:before="1"/>
        <w:ind w:left="156" w:right="328"/>
      </w:pPr>
      <w:r>
        <w:rPr>
          <w:w w:val="105"/>
        </w:rPr>
        <w:t>As</w:t>
      </w:r>
      <w:r>
        <w:rPr>
          <w:spacing w:val="-8"/>
          <w:w w:val="105"/>
        </w:rPr>
        <w:t> </w:t>
      </w:r>
      <w:r>
        <w:rPr>
          <w:w w:val="105"/>
        </w:rPr>
        <w:t>a</w:t>
      </w:r>
      <w:r>
        <w:rPr>
          <w:spacing w:val="-8"/>
          <w:w w:val="105"/>
        </w:rPr>
        <w:t> </w:t>
      </w:r>
      <w:r>
        <w:rPr>
          <w:w w:val="105"/>
        </w:rPr>
        <w:t>practical</w:t>
      </w:r>
      <w:r>
        <w:rPr>
          <w:spacing w:val="-8"/>
          <w:w w:val="105"/>
        </w:rPr>
        <w:t> </w:t>
      </w:r>
      <w:r>
        <w:rPr>
          <w:w w:val="105"/>
        </w:rPr>
        <w:t>expedient,</w:t>
      </w:r>
      <w:r>
        <w:rPr>
          <w:spacing w:val="-8"/>
          <w:w w:val="105"/>
        </w:rPr>
        <w:t> </w:t>
      </w:r>
      <w:r>
        <w:rPr>
          <w:w w:val="105"/>
        </w:rPr>
        <w:t>lease</w:t>
      </w:r>
      <w:r>
        <w:rPr>
          <w:spacing w:val="-8"/>
          <w:w w:val="105"/>
        </w:rPr>
        <w:t> </w:t>
      </w:r>
      <w:r>
        <w:rPr>
          <w:w w:val="105"/>
        </w:rPr>
        <w:t>and</w:t>
      </w:r>
      <w:r>
        <w:rPr>
          <w:spacing w:val="-8"/>
          <w:w w:val="105"/>
        </w:rPr>
        <w:t> </w:t>
      </w:r>
      <w:r>
        <w:rPr>
          <w:w w:val="105"/>
        </w:rPr>
        <w:t>non-lease</w:t>
      </w:r>
      <w:r>
        <w:rPr>
          <w:spacing w:val="-8"/>
          <w:w w:val="105"/>
        </w:rPr>
        <w:t> </w:t>
      </w:r>
      <w:r>
        <w:rPr>
          <w:w w:val="105"/>
        </w:rPr>
        <w:t>components</w:t>
      </w:r>
      <w:r>
        <w:rPr>
          <w:spacing w:val="-8"/>
          <w:w w:val="105"/>
        </w:rPr>
        <w:t> </w:t>
      </w:r>
      <w:r>
        <w:rPr>
          <w:w w:val="105"/>
        </w:rPr>
        <w:t>of</w:t>
      </w:r>
      <w:r>
        <w:rPr>
          <w:spacing w:val="-8"/>
          <w:w w:val="105"/>
        </w:rPr>
        <w:t> </w:t>
      </w:r>
      <w:r>
        <w:rPr>
          <w:w w:val="105"/>
        </w:rPr>
        <w:t>a</w:t>
      </w:r>
      <w:r>
        <w:rPr>
          <w:spacing w:val="-8"/>
          <w:w w:val="105"/>
        </w:rPr>
        <w:t> </w:t>
      </w:r>
      <w:r>
        <w:rPr>
          <w:w w:val="105"/>
        </w:rPr>
        <w:t>contract</w:t>
      </w:r>
      <w:r>
        <w:rPr>
          <w:spacing w:val="-8"/>
          <w:w w:val="105"/>
        </w:rPr>
        <w:t> </w:t>
      </w:r>
      <w:r>
        <w:rPr>
          <w:w w:val="105"/>
        </w:rPr>
        <w:t>are</w:t>
      </w:r>
      <w:r>
        <w:rPr>
          <w:spacing w:val="-6"/>
          <w:w w:val="105"/>
        </w:rPr>
        <w:t> </w:t>
      </w:r>
      <w:r>
        <w:rPr>
          <w:w w:val="105"/>
        </w:rPr>
        <w:t>accounted</w:t>
      </w:r>
      <w:r>
        <w:rPr>
          <w:spacing w:val="-8"/>
          <w:w w:val="105"/>
        </w:rPr>
        <w:t> </w:t>
      </w:r>
      <w:r>
        <w:rPr>
          <w:w w:val="105"/>
        </w:rPr>
        <w:t>for</w:t>
      </w:r>
      <w:r>
        <w:rPr>
          <w:spacing w:val="-8"/>
          <w:w w:val="105"/>
        </w:rPr>
        <w:t> </w:t>
      </w:r>
      <w:r>
        <w:rPr>
          <w:w w:val="105"/>
        </w:rPr>
        <w:t>as</w:t>
      </w:r>
      <w:r>
        <w:rPr>
          <w:spacing w:val="-8"/>
          <w:w w:val="105"/>
        </w:rPr>
        <w:t> </w:t>
      </w:r>
      <w:r>
        <w:rPr>
          <w:w w:val="105"/>
        </w:rPr>
        <w:t>a</w:t>
      </w:r>
      <w:r>
        <w:rPr>
          <w:spacing w:val="-8"/>
          <w:w w:val="105"/>
        </w:rPr>
        <w:t> </w:t>
      </w:r>
      <w:r>
        <w:rPr>
          <w:w w:val="105"/>
        </w:rPr>
        <w:t>single</w:t>
      </w:r>
      <w:r>
        <w:rPr>
          <w:spacing w:val="-8"/>
          <w:w w:val="105"/>
        </w:rPr>
        <w:t> </w:t>
      </w:r>
      <w:r>
        <w:rPr>
          <w:w w:val="105"/>
        </w:rPr>
        <w:t>lease</w:t>
      </w:r>
      <w:r>
        <w:rPr>
          <w:spacing w:val="-8"/>
          <w:w w:val="105"/>
        </w:rPr>
        <w:t> </w:t>
      </w:r>
      <w:r>
        <w:rPr>
          <w:w w:val="105"/>
        </w:rPr>
        <w:t>component</w:t>
      </w:r>
      <w:r>
        <w:rPr>
          <w:spacing w:val="-8"/>
          <w:w w:val="105"/>
        </w:rPr>
        <w:t> </w:t>
      </w:r>
      <w:r>
        <w:rPr>
          <w:w w:val="105"/>
        </w:rPr>
        <w:t>across</w:t>
      </w:r>
      <w:r>
        <w:rPr>
          <w:spacing w:val="-8"/>
          <w:w w:val="105"/>
        </w:rPr>
        <w:t> </w:t>
      </w:r>
      <w:r>
        <w:rPr>
          <w:w w:val="105"/>
        </w:rPr>
        <w:t>all</w:t>
      </w:r>
      <w:r>
        <w:rPr>
          <w:spacing w:val="-8"/>
          <w:w w:val="105"/>
        </w:rPr>
        <w:t> </w:t>
      </w:r>
      <w:r>
        <w:rPr>
          <w:w w:val="105"/>
        </w:rPr>
        <w:t>underlying</w:t>
      </w:r>
      <w:r>
        <w:rPr>
          <w:spacing w:val="-8"/>
          <w:w w:val="105"/>
        </w:rPr>
        <w:t> </w:t>
      </w:r>
      <w:r>
        <w:rPr>
          <w:w w:val="105"/>
        </w:rPr>
        <w:t>asset</w:t>
      </w:r>
      <w:r>
        <w:rPr>
          <w:spacing w:val="-8"/>
          <w:w w:val="105"/>
        </w:rPr>
        <w:t> </w:t>
      </w:r>
      <w:r>
        <w:rPr>
          <w:w w:val="105"/>
        </w:rPr>
        <w:t>classes.</w:t>
      </w:r>
      <w:r>
        <w:rPr>
          <w:spacing w:val="-8"/>
          <w:w w:val="105"/>
        </w:rPr>
        <w:t> </w:t>
      </w:r>
      <w:r>
        <w:rPr>
          <w:w w:val="105"/>
        </w:rPr>
        <w:t>Corning</w:t>
      </w:r>
      <w:r>
        <w:rPr>
          <w:spacing w:val="-8"/>
          <w:w w:val="105"/>
        </w:rPr>
        <w:t> </w:t>
      </w:r>
      <w:r>
        <w:rPr>
          <w:w w:val="105"/>
        </w:rPr>
        <w:t>does</w:t>
      </w:r>
      <w:r>
        <w:rPr>
          <w:spacing w:val="-7"/>
          <w:w w:val="105"/>
        </w:rPr>
        <w:t> </w:t>
      </w:r>
      <w:r>
        <w:rPr>
          <w:w w:val="105"/>
        </w:rPr>
        <w:t>not have any significant agreements as a lessor.</w:t>
      </w:r>
    </w:p>
    <w:p>
      <w:pPr>
        <w:pStyle w:val="BodyText"/>
        <w:spacing w:before="18"/>
      </w:pPr>
    </w:p>
    <w:p>
      <w:pPr>
        <w:pStyle w:val="BodyText"/>
        <w:spacing w:line="266" w:lineRule="auto" w:before="1"/>
        <w:ind w:left="156" w:right="117"/>
      </w:pPr>
      <w:r>
        <w:rPr>
          <w:w w:val="105"/>
        </w:rPr>
        <w:t>Corning’s</w:t>
      </w:r>
      <w:r>
        <w:rPr>
          <w:spacing w:val="-8"/>
          <w:w w:val="105"/>
        </w:rPr>
        <w:t> </w:t>
      </w:r>
      <w:r>
        <w:rPr>
          <w:w w:val="105"/>
        </w:rPr>
        <w:t>leases</w:t>
      </w:r>
      <w:r>
        <w:rPr>
          <w:spacing w:val="-8"/>
          <w:w w:val="105"/>
        </w:rPr>
        <w:t> </w:t>
      </w:r>
      <w:r>
        <w:rPr>
          <w:w w:val="105"/>
        </w:rPr>
        <w:t>do</w:t>
      </w:r>
      <w:r>
        <w:rPr>
          <w:spacing w:val="-7"/>
          <w:w w:val="105"/>
        </w:rPr>
        <w:t> </w:t>
      </w:r>
      <w:r>
        <w:rPr>
          <w:w w:val="105"/>
        </w:rPr>
        <w:t>not</w:t>
      </w:r>
      <w:r>
        <w:rPr>
          <w:spacing w:val="-8"/>
          <w:w w:val="105"/>
        </w:rPr>
        <w:t> </w:t>
      </w:r>
      <w:r>
        <w:rPr>
          <w:w w:val="105"/>
        </w:rPr>
        <w:t>include</w:t>
      </w:r>
      <w:r>
        <w:rPr>
          <w:spacing w:val="-8"/>
          <w:w w:val="105"/>
        </w:rPr>
        <w:t> </w:t>
      </w:r>
      <w:r>
        <w:rPr>
          <w:w w:val="105"/>
        </w:rPr>
        <w:t>residual</w:t>
      </w:r>
      <w:r>
        <w:rPr>
          <w:spacing w:val="-8"/>
          <w:w w:val="105"/>
        </w:rPr>
        <w:t> </w:t>
      </w:r>
      <w:r>
        <w:rPr>
          <w:w w:val="105"/>
        </w:rPr>
        <w:t>value</w:t>
      </w:r>
      <w:r>
        <w:rPr>
          <w:spacing w:val="-8"/>
          <w:w w:val="105"/>
        </w:rPr>
        <w:t> </w:t>
      </w:r>
      <w:r>
        <w:rPr>
          <w:w w:val="105"/>
        </w:rPr>
        <w:t>guarantees.</w:t>
      </w:r>
      <w:r>
        <w:rPr>
          <w:spacing w:val="-8"/>
          <w:w w:val="105"/>
        </w:rPr>
        <w:t> </w:t>
      </w:r>
      <w:r>
        <w:rPr>
          <w:w w:val="105"/>
        </w:rPr>
        <w:t>The</w:t>
      </w:r>
      <w:r>
        <w:rPr>
          <w:spacing w:val="-8"/>
          <w:w w:val="105"/>
        </w:rPr>
        <w:t> </w:t>
      </w:r>
      <w:r>
        <w:rPr>
          <w:w w:val="105"/>
        </w:rPr>
        <w:t>Company</w:t>
      </w:r>
      <w:r>
        <w:rPr>
          <w:spacing w:val="-8"/>
          <w:w w:val="105"/>
        </w:rPr>
        <w:t> </w:t>
      </w:r>
      <w:r>
        <w:rPr>
          <w:w w:val="105"/>
        </w:rPr>
        <w:t>is</w:t>
      </w:r>
      <w:r>
        <w:rPr>
          <w:spacing w:val="-7"/>
          <w:w w:val="105"/>
        </w:rPr>
        <w:t> </w:t>
      </w:r>
      <w:r>
        <w:rPr>
          <w:w w:val="105"/>
        </w:rPr>
        <w:t>not</w:t>
      </w:r>
      <w:r>
        <w:rPr>
          <w:spacing w:val="-8"/>
          <w:w w:val="105"/>
        </w:rPr>
        <w:t> </w:t>
      </w:r>
      <w:r>
        <w:rPr>
          <w:w w:val="105"/>
        </w:rPr>
        <w:t>the</w:t>
      </w:r>
      <w:r>
        <w:rPr>
          <w:spacing w:val="-8"/>
          <w:w w:val="105"/>
        </w:rPr>
        <w:t> </w:t>
      </w:r>
      <w:r>
        <w:rPr>
          <w:w w:val="105"/>
        </w:rPr>
        <w:t>primary</w:t>
      </w:r>
      <w:r>
        <w:rPr>
          <w:spacing w:val="-8"/>
          <w:w w:val="105"/>
        </w:rPr>
        <w:t> </w:t>
      </w:r>
      <w:r>
        <w:rPr>
          <w:w w:val="105"/>
        </w:rPr>
        <w:t>beneficiary</w:t>
      </w:r>
      <w:r>
        <w:rPr>
          <w:spacing w:val="-8"/>
          <w:w w:val="105"/>
        </w:rPr>
        <w:t> </w:t>
      </w:r>
      <w:r>
        <w:rPr>
          <w:w w:val="105"/>
        </w:rPr>
        <w:t>in,</w:t>
      </w:r>
      <w:r>
        <w:rPr>
          <w:spacing w:val="-8"/>
          <w:w w:val="105"/>
        </w:rPr>
        <w:t> </w:t>
      </w:r>
      <w:r>
        <w:rPr>
          <w:w w:val="105"/>
        </w:rPr>
        <w:t>and</w:t>
      </w:r>
      <w:r>
        <w:rPr>
          <w:spacing w:val="-8"/>
          <w:w w:val="105"/>
        </w:rPr>
        <w:t> </w:t>
      </w:r>
      <w:r>
        <w:rPr>
          <w:w w:val="105"/>
        </w:rPr>
        <w:t>does</w:t>
      </w:r>
      <w:r>
        <w:rPr>
          <w:spacing w:val="-7"/>
          <w:w w:val="105"/>
        </w:rPr>
        <w:t> </w:t>
      </w:r>
      <w:r>
        <w:rPr>
          <w:w w:val="105"/>
        </w:rPr>
        <w:t>not</w:t>
      </w:r>
      <w:r>
        <w:rPr>
          <w:spacing w:val="-8"/>
          <w:w w:val="105"/>
        </w:rPr>
        <w:t> </w:t>
      </w:r>
      <w:r>
        <w:rPr>
          <w:w w:val="105"/>
        </w:rPr>
        <w:t>have</w:t>
      </w:r>
      <w:r>
        <w:rPr>
          <w:spacing w:val="-8"/>
          <w:w w:val="105"/>
        </w:rPr>
        <w:t> </w:t>
      </w:r>
      <w:r>
        <w:rPr>
          <w:w w:val="105"/>
        </w:rPr>
        <w:t>other</w:t>
      </w:r>
      <w:r>
        <w:rPr>
          <w:spacing w:val="-8"/>
          <w:w w:val="105"/>
        </w:rPr>
        <w:t> </w:t>
      </w:r>
      <w:r>
        <w:rPr>
          <w:w w:val="105"/>
        </w:rPr>
        <w:t>forms</w:t>
      </w:r>
      <w:r>
        <w:rPr>
          <w:spacing w:val="-8"/>
          <w:w w:val="105"/>
        </w:rPr>
        <w:t> </w:t>
      </w:r>
      <w:r>
        <w:rPr>
          <w:w w:val="105"/>
        </w:rPr>
        <w:t>of</w:t>
      </w:r>
      <w:r>
        <w:rPr>
          <w:spacing w:val="-8"/>
          <w:w w:val="105"/>
        </w:rPr>
        <w:t> </w:t>
      </w:r>
      <w:r>
        <w:rPr>
          <w:w w:val="105"/>
        </w:rPr>
        <w:t>variable</w:t>
      </w:r>
      <w:r>
        <w:rPr>
          <w:spacing w:val="-8"/>
          <w:w w:val="105"/>
        </w:rPr>
        <w:t> </w:t>
      </w:r>
      <w:r>
        <w:rPr>
          <w:w w:val="105"/>
        </w:rPr>
        <w:t>interests,</w:t>
      </w:r>
      <w:r>
        <w:rPr>
          <w:spacing w:val="-8"/>
          <w:w w:val="105"/>
        </w:rPr>
        <w:t> </w:t>
      </w:r>
      <w:r>
        <w:rPr>
          <w:w w:val="105"/>
        </w:rPr>
        <w:t>with</w:t>
      </w:r>
      <w:r>
        <w:rPr>
          <w:spacing w:val="-8"/>
          <w:w w:val="105"/>
        </w:rPr>
        <w:t> </w:t>
      </w:r>
      <w:r>
        <w:rPr>
          <w:w w:val="105"/>
        </w:rPr>
        <w:t>the</w:t>
      </w:r>
      <w:r>
        <w:rPr>
          <w:spacing w:val="-8"/>
          <w:w w:val="105"/>
        </w:rPr>
        <w:t> </w:t>
      </w:r>
      <w:r>
        <w:rPr>
          <w:w w:val="105"/>
        </w:rPr>
        <w:t>lessor of the leased assets.</w:t>
      </w:r>
    </w:p>
    <w:p>
      <w:pPr>
        <w:pStyle w:val="BodyText"/>
        <w:spacing w:before="18"/>
      </w:pPr>
    </w:p>
    <w:p>
      <w:pPr>
        <w:pStyle w:val="BodyText"/>
        <w:spacing w:before="1"/>
        <w:ind w:left="156"/>
      </w:pPr>
      <w:r>
        <w:rPr>
          <w:w w:val="105"/>
        </w:rPr>
        <w:t>Refer</w:t>
      </w:r>
      <w:r>
        <w:rPr>
          <w:spacing w:val="-10"/>
          <w:w w:val="105"/>
        </w:rPr>
        <w:t> </w:t>
      </w:r>
      <w:r>
        <w:rPr>
          <w:w w:val="105"/>
        </w:rPr>
        <w:t>to</w:t>
      </w:r>
      <w:r>
        <w:rPr>
          <w:spacing w:val="-9"/>
          <w:w w:val="105"/>
        </w:rPr>
        <w:t> </w:t>
      </w:r>
      <w:r>
        <w:rPr>
          <w:w w:val="105"/>
        </w:rPr>
        <w:t>Note</w:t>
      </w:r>
      <w:r>
        <w:rPr>
          <w:spacing w:val="-8"/>
          <w:w w:val="105"/>
        </w:rPr>
        <w:t> </w:t>
      </w:r>
      <w:r>
        <w:rPr>
          <w:w w:val="105"/>
        </w:rPr>
        <w:t>7</w:t>
      </w:r>
      <w:r>
        <w:rPr>
          <w:spacing w:val="-9"/>
          <w:w w:val="105"/>
        </w:rPr>
        <w:t> </w:t>
      </w:r>
      <w:r>
        <w:rPr>
          <w:w w:val="105"/>
        </w:rPr>
        <w:t>(Leases)</w:t>
      </w:r>
      <w:r>
        <w:rPr>
          <w:spacing w:val="-9"/>
          <w:w w:val="105"/>
        </w:rPr>
        <w:t> </w:t>
      </w:r>
      <w:r>
        <w:rPr>
          <w:w w:val="105"/>
        </w:rPr>
        <w:t>to</w:t>
      </w:r>
      <w:r>
        <w:rPr>
          <w:spacing w:val="-9"/>
          <w:w w:val="105"/>
        </w:rPr>
        <w:t> </w:t>
      </w:r>
      <w:r>
        <w:rPr>
          <w:w w:val="105"/>
        </w:rPr>
        <w:t>the</w:t>
      </w:r>
      <w:r>
        <w:rPr>
          <w:spacing w:val="-9"/>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for</w:t>
      </w:r>
      <w:r>
        <w:rPr>
          <w:spacing w:val="-9"/>
          <w:w w:val="105"/>
        </w:rPr>
        <w:t> </w:t>
      </w:r>
      <w:r>
        <w:rPr>
          <w:w w:val="105"/>
        </w:rPr>
        <w:t>additional</w:t>
      </w:r>
      <w:r>
        <w:rPr>
          <w:spacing w:val="-10"/>
          <w:w w:val="105"/>
        </w:rPr>
        <w:t> </w:t>
      </w:r>
      <w:r>
        <w:rPr>
          <w:spacing w:val="-2"/>
          <w:w w:val="105"/>
        </w:rPr>
        <w:t>information.</w:t>
      </w:r>
    </w:p>
    <w:p>
      <w:pPr>
        <w:pStyle w:val="BodyText"/>
        <w:spacing w:before="39"/>
      </w:pPr>
    </w:p>
    <w:p>
      <w:pPr>
        <w:pStyle w:val="Heading3"/>
      </w:pPr>
      <w:r>
        <w:rPr/>
        <w:t>Impairment</w:t>
      </w:r>
      <w:r>
        <w:rPr>
          <w:spacing w:val="17"/>
        </w:rPr>
        <w:t> </w:t>
      </w:r>
      <w:r>
        <w:rPr/>
        <w:t>of</w:t>
      </w:r>
      <w:r>
        <w:rPr>
          <w:spacing w:val="18"/>
        </w:rPr>
        <w:t> </w:t>
      </w:r>
      <w:r>
        <w:rPr/>
        <w:t>Long-Lived</w:t>
      </w:r>
      <w:r>
        <w:rPr>
          <w:spacing w:val="18"/>
        </w:rPr>
        <w:t> </w:t>
      </w:r>
      <w:r>
        <w:rPr>
          <w:spacing w:val="-2"/>
        </w:rPr>
        <w:t>Assets</w:t>
      </w:r>
    </w:p>
    <w:p>
      <w:pPr>
        <w:pStyle w:val="BodyText"/>
        <w:spacing w:before="40"/>
        <w:rPr>
          <w:b/>
          <w:i/>
        </w:rPr>
      </w:pPr>
    </w:p>
    <w:p>
      <w:pPr>
        <w:pStyle w:val="BodyText"/>
        <w:spacing w:line="266" w:lineRule="auto"/>
        <w:ind w:left="156" w:right="228"/>
      </w:pPr>
      <w:r>
        <w:rPr>
          <w:w w:val="105"/>
        </w:rPr>
        <w:t>The</w:t>
      </w:r>
      <w:r>
        <w:rPr>
          <w:spacing w:val="-2"/>
          <w:w w:val="105"/>
        </w:rPr>
        <w:t> </w:t>
      </w:r>
      <w:r>
        <w:rPr>
          <w:w w:val="105"/>
        </w:rPr>
        <w:t>recoverability</w:t>
      </w:r>
      <w:r>
        <w:rPr>
          <w:spacing w:val="-2"/>
          <w:w w:val="105"/>
        </w:rPr>
        <w:t> </w:t>
      </w:r>
      <w:r>
        <w:rPr>
          <w:w w:val="105"/>
        </w:rPr>
        <w:t>of long-lived</w:t>
      </w:r>
      <w:r>
        <w:rPr>
          <w:spacing w:val="-2"/>
          <w:w w:val="105"/>
        </w:rPr>
        <w:t> </w:t>
      </w:r>
      <w:r>
        <w:rPr>
          <w:w w:val="105"/>
        </w:rPr>
        <w:t>assets,</w:t>
      </w:r>
      <w:r>
        <w:rPr>
          <w:spacing w:val="-2"/>
          <w:w w:val="105"/>
        </w:rPr>
        <w:t> </w:t>
      </w:r>
      <w:r>
        <w:rPr>
          <w:w w:val="105"/>
        </w:rPr>
        <w:t>such</w:t>
      </w:r>
      <w:r>
        <w:rPr>
          <w:spacing w:val="-2"/>
          <w:w w:val="105"/>
        </w:rPr>
        <w:t> </w:t>
      </w:r>
      <w:r>
        <w:rPr>
          <w:w w:val="105"/>
        </w:rPr>
        <w:t>as</w:t>
      </w:r>
      <w:r>
        <w:rPr>
          <w:spacing w:val="-2"/>
          <w:w w:val="105"/>
        </w:rPr>
        <w:t> </w:t>
      </w:r>
      <w:r>
        <w:rPr>
          <w:w w:val="105"/>
        </w:rPr>
        <w:t>plant and</w:t>
      </w:r>
      <w:r>
        <w:rPr>
          <w:spacing w:val="-2"/>
          <w:w w:val="105"/>
        </w:rPr>
        <w:t> </w:t>
      </w:r>
      <w:r>
        <w:rPr>
          <w:w w:val="105"/>
        </w:rPr>
        <w:t>equipment</w:t>
      </w:r>
      <w:r>
        <w:rPr>
          <w:spacing w:val="-2"/>
          <w:w w:val="105"/>
        </w:rPr>
        <w:t> </w:t>
      </w:r>
      <w:r>
        <w:rPr>
          <w:w w:val="105"/>
        </w:rPr>
        <w:t>and</w:t>
      </w:r>
      <w:r>
        <w:rPr>
          <w:spacing w:val="-2"/>
          <w:w w:val="105"/>
        </w:rPr>
        <w:t> </w:t>
      </w:r>
      <w:r>
        <w:rPr>
          <w:w w:val="105"/>
        </w:rPr>
        <w:t>intangible assets,</w:t>
      </w:r>
      <w:r>
        <w:rPr>
          <w:spacing w:val="-2"/>
          <w:w w:val="105"/>
        </w:rPr>
        <w:t> </w:t>
      </w:r>
      <w:r>
        <w:rPr>
          <w:w w:val="105"/>
        </w:rPr>
        <w:t>is</w:t>
      </w:r>
      <w:r>
        <w:rPr>
          <w:spacing w:val="-2"/>
          <w:w w:val="105"/>
        </w:rPr>
        <w:t> </w:t>
      </w:r>
      <w:r>
        <w:rPr>
          <w:w w:val="105"/>
        </w:rPr>
        <w:t>reviewed</w:t>
      </w:r>
      <w:r>
        <w:rPr>
          <w:spacing w:val="-2"/>
          <w:w w:val="105"/>
        </w:rPr>
        <w:t> </w:t>
      </w:r>
      <w:r>
        <w:rPr>
          <w:w w:val="105"/>
        </w:rPr>
        <w:t>when</w:t>
      </w:r>
      <w:r>
        <w:rPr>
          <w:spacing w:val="-2"/>
          <w:w w:val="105"/>
        </w:rPr>
        <w:t> </w:t>
      </w:r>
      <w:r>
        <w:rPr>
          <w:w w:val="105"/>
        </w:rPr>
        <w:t>events</w:t>
      </w:r>
      <w:r>
        <w:rPr>
          <w:spacing w:val="-2"/>
          <w:w w:val="105"/>
        </w:rPr>
        <w:t> </w:t>
      </w:r>
      <w:r>
        <w:rPr>
          <w:w w:val="105"/>
        </w:rPr>
        <w:t>or</w:t>
      </w:r>
      <w:r>
        <w:rPr>
          <w:spacing w:val="-2"/>
          <w:w w:val="105"/>
        </w:rPr>
        <w:t> </w:t>
      </w:r>
      <w:r>
        <w:rPr>
          <w:w w:val="105"/>
        </w:rPr>
        <w:t>changes</w:t>
      </w:r>
      <w:r>
        <w:rPr>
          <w:spacing w:val="-2"/>
          <w:w w:val="105"/>
        </w:rPr>
        <w:t> </w:t>
      </w:r>
      <w:r>
        <w:rPr>
          <w:w w:val="105"/>
        </w:rPr>
        <w:t>in</w:t>
      </w:r>
      <w:r>
        <w:rPr>
          <w:spacing w:val="-2"/>
          <w:w w:val="105"/>
        </w:rPr>
        <w:t> </w:t>
      </w:r>
      <w:r>
        <w:rPr>
          <w:w w:val="105"/>
        </w:rPr>
        <w:t>circumstances</w:t>
      </w:r>
      <w:r>
        <w:rPr>
          <w:spacing w:val="-2"/>
          <w:w w:val="105"/>
        </w:rPr>
        <w:t> </w:t>
      </w:r>
      <w:r>
        <w:rPr>
          <w:w w:val="105"/>
        </w:rPr>
        <w:t>occur</w:t>
      </w:r>
      <w:r>
        <w:rPr>
          <w:spacing w:val="-2"/>
          <w:w w:val="105"/>
        </w:rPr>
        <w:t> </w:t>
      </w:r>
      <w:r>
        <w:rPr>
          <w:w w:val="105"/>
        </w:rPr>
        <w:t>that</w:t>
      </w:r>
      <w:r>
        <w:rPr>
          <w:spacing w:val="-2"/>
          <w:w w:val="105"/>
        </w:rPr>
        <w:t> </w:t>
      </w:r>
      <w:r>
        <w:rPr>
          <w:w w:val="105"/>
        </w:rPr>
        <w:t>indicate</w:t>
      </w:r>
      <w:r>
        <w:rPr>
          <w:spacing w:val="-2"/>
          <w:w w:val="105"/>
        </w:rPr>
        <w:t> </w:t>
      </w:r>
      <w:r>
        <w:rPr>
          <w:w w:val="105"/>
        </w:rPr>
        <w:t>the carrying</w:t>
      </w:r>
      <w:r>
        <w:rPr>
          <w:spacing w:val="-2"/>
          <w:w w:val="105"/>
        </w:rPr>
        <w:t> </w:t>
      </w:r>
      <w:r>
        <w:rPr>
          <w:w w:val="105"/>
        </w:rPr>
        <w:t>value</w:t>
      </w:r>
      <w:r>
        <w:rPr>
          <w:spacing w:val="-2"/>
          <w:w w:val="105"/>
        </w:rPr>
        <w:t> </w:t>
      </w:r>
      <w:r>
        <w:rPr>
          <w:w w:val="105"/>
        </w:rPr>
        <w:t>of</w:t>
      </w:r>
      <w:r>
        <w:rPr>
          <w:spacing w:val="-2"/>
          <w:w w:val="105"/>
        </w:rPr>
        <w:t> </w:t>
      </w:r>
      <w:r>
        <w:rPr>
          <w:w w:val="105"/>
        </w:rPr>
        <w:t>the</w:t>
      </w:r>
      <w:r>
        <w:rPr>
          <w:spacing w:val="-2"/>
          <w:w w:val="105"/>
        </w:rPr>
        <w:t> </w:t>
      </w:r>
      <w:r>
        <w:rPr>
          <w:w w:val="105"/>
        </w:rPr>
        <w:t>asset</w:t>
      </w:r>
      <w:r>
        <w:rPr>
          <w:spacing w:val="-2"/>
          <w:w w:val="105"/>
        </w:rPr>
        <w:t> </w:t>
      </w:r>
      <w:r>
        <w:rPr>
          <w:w w:val="105"/>
        </w:rPr>
        <w:t>or</w:t>
      </w:r>
      <w:r>
        <w:rPr>
          <w:spacing w:val="-2"/>
          <w:w w:val="105"/>
        </w:rPr>
        <w:t> </w:t>
      </w:r>
      <w:r>
        <w:rPr>
          <w:w w:val="105"/>
        </w:rPr>
        <w:t>asset</w:t>
      </w:r>
      <w:r>
        <w:rPr>
          <w:spacing w:val="-2"/>
          <w:w w:val="105"/>
        </w:rPr>
        <w:t> </w:t>
      </w:r>
      <w:r>
        <w:rPr>
          <w:w w:val="105"/>
        </w:rPr>
        <w:t>group</w:t>
      </w:r>
      <w:r>
        <w:rPr>
          <w:spacing w:val="-1"/>
          <w:w w:val="105"/>
        </w:rPr>
        <w:t> </w:t>
      </w:r>
      <w:r>
        <w:rPr>
          <w:w w:val="105"/>
        </w:rPr>
        <w:t>may</w:t>
      </w:r>
      <w:r>
        <w:rPr>
          <w:spacing w:val="-2"/>
          <w:w w:val="105"/>
        </w:rPr>
        <w:t> </w:t>
      </w:r>
      <w:r>
        <w:rPr>
          <w:w w:val="105"/>
        </w:rPr>
        <w:t>not</w:t>
      </w:r>
      <w:r>
        <w:rPr>
          <w:spacing w:val="-2"/>
          <w:w w:val="105"/>
        </w:rPr>
        <w:t> </w:t>
      </w:r>
      <w:r>
        <w:rPr>
          <w:w w:val="105"/>
        </w:rPr>
        <w:t>be</w:t>
      </w:r>
      <w:r>
        <w:rPr>
          <w:spacing w:val="-2"/>
          <w:w w:val="105"/>
        </w:rPr>
        <w:t> </w:t>
      </w:r>
      <w:r>
        <w:rPr>
          <w:w w:val="105"/>
        </w:rPr>
        <w:t>recoverable.</w:t>
      </w:r>
      <w:r>
        <w:rPr>
          <w:spacing w:val="-2"/>
          <w:w w:val="105"/>
        </w:rPr>
        <w:t> </w:t>
      </w:r>
      <w:r>
        <w:rPr>
          <w:w w:val="105"/>
        </w:rPr>
        <w:t>When</w:t>
      </w:r>
      <w:r>
        <w:rPr>
          <w:spacing w:val="-2"/>
          <w:w w:val="105"/>
        </w:rPr>
        <w:t> </w:t>
      </w:r>
      <w:r>
        <w:rPr>
          <w:w w:val="105"/>
        </w:rPr>
        <w:t>impairment</w:t>
      </w:r>
      <w:r>
        <w:rPr>
          <w:spacing w:val="-2"/>
          <w:w w:val="105"/>
        </w:rPr>
        <w:t> </w:t>
      </w:r>
      <w:r>
        <w:rPr>
          <w:w w:val="105"/>
        </w:rPr>
        <w:t>indicators are</w:t>
      </w:r>
      <w:r>
        <w:rPr>
          <w:spacing w:val="-2"/>
          <w:w w:val="105"/>
        </w:rPr>
        <w:t> </w:t>
      </w:r>
      <w:r>
        <w:rPr>
          <w:w w:val="105"/>
        </w:rPr>
        <w:t>present,</w:t>
      </w:r>
      <w:r>
        <w:rPr>
          <w:spacing w:val="-2"/>
          <w:w w:val="105"/>
        </w:rPr>
        <w:t> </w:t>
      </w:r>
      <w:r>
        <w:rPr>
          <w:w w:val="105"/>
        </w:rPr>
        <w:t>the</w:t>
      </w:r>
      <w:r>
        <w:rPr>
          <w:spacing w:val="-2"/>
          <w:w w:val="105"/>
        </w:rPr>
        <w:t> </w:t>
      </w:r>
      <w:r>
        <w:rPr>
          <w:w w:val="105"/>
        </w:rPr>
        <w:t>estimated</w:t>
      </w:r>
      <w:r>
        <w:rPr>
          <w:spacing w:val="-2"/>
          <w:w w:val="105"/>
        </w:rPr>
        <w:t> </w:t>
      </w:r>
      <w:r>
        <w:rPr>
          <w:w w:val="105"/>
        </w:rPr>
        <w:t>undiscounted</w:t>
      </w:r>
      <w:r>
        <w:rPr>
          <w:spacing w:val="-2"/>
          <w:w w:val="105"/>
        </w:rPr>
        <w:t> </w:t>
      </w:r>
      <w:r>
        <w:rPr>
          <w:w w:val="105"/>
        </w:rPr>
        <w:t>future</w:t>
      </w:r>
      <w:r>
        <w:rPr>
          <w:spacing w:val="-2"/>
          <w:w w:val="105"/>
        </w:rPr>
        <w:t> </w:t>
      </w:r>
      <w:r>
        <w:rPr>
          <w:w w:val="105"/>
        </w:rPr>
        <w:t>cash flows,</w:t>
      </w:r>
      <w:r>
        <w:rPr>
          <w:spacing w:val="-2"/>
          <w:w w:val="105"/>
        </w:rPr>
        <w:t> </w:t>
      </w:r>
      <w:r>
        <w:rPr>
          <w:w w:val="105"/>
        </w:rPr>
        <w:t>including</w:t>
      </w:r>
      <w:r>
        <w:rPr>
          <w:spacing w:val="-2"/>
          <w:w w:val="105"/>
        </w:rPr>
        <w:t> </w:t>
      </w:r>
      <w:r>
        <w:rPr>
          <w:w w:val="105"/>
        </w:rPr>
        <w:t>the eventual</w:t>
      </w:r>
      <w:r>
        <w:rPr>
          <w:spacing w:val="-5"/>
          <w:w w:val="105"/>
        </w:rPr>
        <w:t> </w:t>
      </w:r>
      <w:r>
        <w:rPr>
          <w:w w:val="105"/>
        </w:rPr>
        <w:t>disposition</w:t>
      </w:r>
      <w:r>
        <w:rPr>
          <w:spacing w:val="-5"/>
          <w:w w:val="105"/>
        </w:rPr>
        <w:t> </w:t>
      </w:r>
      <w:r>
        <w:rPr>
          <w:w w:val="105"/>
        </w:rPr>
        <w:t>of</w:t>
      </w:r>
      <w:r>
        <w:rPr>
          <w:spacing w:val="-5"/>
          <w:w w:val="105"/>
        </w:rPr>
        <w:t> </w:t>
      </w:r>
      <w:r>
        <w:rPr>
          <w:w w:val="105"/>
        </w:rPr>
        <w:t>the</w:t>
      </w:r>
      <w:r>
        <w:rPr>
          <w:spacing w:val="-3"/>
          <w:w w:val="105"/>
        </w:rPr>
        <w:t> </w:t>
      </w:r>
      <w:r>
        <w:rPr>
          <w:w w:val="105"/>
        </w:rPr>
        <w:t>asset</w:t>
      </w:r>
      <w:r>
        <w:rPr>
          <w:spacing w:val="-5"/>
          <w:w w:val="105"/>
        </w:rPr>
        <w:t> </w:t>
      </w:r>
      <w:r>
        <w:rPr>
          <w:w w:val="105"/>
        </w:rPr>
        <w:t>group</w:t>
      </w:r>
      <w:r>
        <w:rPr>
          <w:spacing w:val="-5"/>
          <w:w w:val="105"/>
        </w:rPr>
        <w:t> </w:t>
      </w:r>
      <w:r>
        <w:rPr>
          <w:w w:val="105"/>
        </w:rPr>
        <w:t>at</w:t>
      </w:r>
      <w:r>
        <w:rPr>
          <w:spacing w:val="-5"/>
          <w:w w:val="105"/>
        </w:rPr>
        <w:t> </w:t>
      </w:r>
      <w:r>
        <w:rPr>
          <w:w w:val="105"/>
        </w:rPr>
        <w:t>market</w:t>
      </w:r>
      <w:r>
        <w:rPr>
          <w:spacing w:val="-5"/>
          <w:w w:val="105"/>
        </w:rPr>
        <w:t> </w:t>
      </w:r>
      <w:r>
        <w:rPr>
          <w:w w:val="105"/>
        </w:rPr>
        <w:t>value,</w:t>
      </w:r>
      <w:r>
        <w:rPr>
          <w:spacing w:val="-5"/>
          <w:w w:val="105"/>
        </w:rPr>
        <w:t> </w:t>
      </w:r>
      <w:r>
        <w:rPr>
          <w:w w:val="105"/>
        </w:rPr>
        <w:t>is</w:t>
      </w:r>
      <w:r>
        <w:rPr>
          <w:spacing w:val="-5"/>
          <w:w w:val="105"/>
        </w:rPr>
        <w:t> </w:t>
      </w:r>
      <w:r>
        <w:rPr>
          <w:w w:val="105"/>
        </w:rPr>
        <w:t>compared</w:t>
      </w:r>
      <w:r>
        <w:rPr>
          <w:spacing w:val="-5"/>
          <w:w w:val="105"/>
        </w:rPr>
        <w:t> </w:t>
      </w:r>
      <w:r>
        <w:rPr>
          <w:w w:val="105"/>
        </w:rPr>
        <w:t>to</w:t>
      </w:r>
      <w:r>
        <w:rPr>
          <w:spacing w:val="-5"/>
          <w:w w:val="105"/>
        </w:rPr>
        <w:t> </w:t>
      </w:r>
      <w:r>
        <w:rPr>
          <w:w w:val="105"/>
        </w:rPr>
        <w:t>the</w:t>
      </w:r>
      <w:r>
        <w:rPr>
          <w:spacing w:val="-5"/>
          <w:w w:val="105"/>
        </w:rPr>
        <w:t> </w:t>
      </w:r>
      <w:r>
        <w:rPr>
          <w:w w:val="105"/>
        </w:rPr>
        <w:t>assets’</w:t>
      </w:r>
      <w:r>
        <w:rPr>
          <w:spacing w:val="-5"/>
          <w:w w:val="105"/>
        </w:rPr>
        <w:t> </w:t>
      </w:r>
      <w:r>
        <w:rPr>
          <w:w w:val="105"/>
        </w:rPr>
        <w:t>carrying</w:t>
      </w:r>
      <w:r>
        <w:rPr>
          <w:spacing w:val="-5"/>
          <w:w w:val="105"/>
        </w:rPr>
        <w:t> </w:t>
      </w:r>
      <w:r>
        <w:rPr>
          <w:w w:val="105"/>
        </w:rPr>
        <w:t>value</w:t>
      </w:r>
      <w:r>
        <w:rPr>
          <w:spacing w:val="-5"/>
          <w:w w:val="105"/>
        </w:rPr>
        <w:t> </w:t>
      </w:r>
      <w:r>
        <w:rPr>
          <w:w w:val="105"/>
        </w:rPr>
        <w:t>to</w:t>
      </w:r>
      <w:r>
        <w:rPr>
          <w:spacing w:val="-5"/>
          <w:w w:val="105"/>
        </w:rPr>
        <w:t> </w:t>
      </w:r>
      <w:r>
        <w:rPr>
          <w:w w:val="105"/>
        </w:rPr>
        <w:t>determine</w:t>
      </w:r>
      <w:r>
        <w:rPr>
          <w:spacing w:val="-5"/>
          <w:w w:val="105"/>
        </w:rPr>
        <w:t> </w:t>
      </w:r>
      <w:r>
        <w:rPr>
          <w:w w:val="105"/>
        </w:rPr>
        <w:t>if</w:t>
      </w:r>
      <w:r>
        <w:rPr>
          <w:spacing w:val="-5"/>
          <w:w w:val="105"/>
        </w:rPr>
        <w:t> </w:t>
      </w:r>
      <w:r>
        <w:rPr>
          <w:w w:val="105"/>
        </w:rPr>
        <w:t>the</w:t>
      </w:r>
      <w:r>
        <w:rPr>
          <w:spacing w:val="-5"/>
          <w:w w:val="105"/>
        </w:rPr>
        <w:t> </w:t>
      </w:r>
      <w:r>
        <w:rPr>
          <w:w w:val="105"/>
        </w:rPr>
        <w:t>asset</w:t>
      </w:r>
      <w:r>
        <w:rPr>
          <w:spacing w:val="-5"/>
          <w:w w:val="105"/>
        </w:rPr>
        <w:t> </w:t>
      </w:r>
      <w:r>
        <w:rPr>
          <w:w w:val="105"/>
        </w:rPr>
        <w:t>group</w:t>
      </w:r>
      <w:r>
        <w:rPr>
          <w:spacing w:val="-5"/>
          <w:w w:val="105"/>
        </w:rPr>
        <w:t> </w:t>
      </w:r>
      <w:r>
        <w:rPr>
          <w:w w:val="105"/>
        </w:rPr>
        <w:t>is</w:t>
      </w:r>
      <w:r>
        <w:rPr>
          <w:spacing w:val="-3"/>
          <w:w w:val="105"/>
        </w:rPr>
        <w:t> </w:t>
      </w:r>
      <w:r>
        <w:rPr>
          <w:w w:val="105"/>
        </w:rPr>
        <w:t>recoverable.</w:t>
      </w:r>
      <w:r>
        <w:rPr>
          <w:spacing w:val="-5"/>
          <w:w w:val="105"/>
        </w:rPr>
        <w:t> </w:t>
      </w:r>
      <w:r>
        <w:rPr>
          <w:w w:val="105"/>
        </w:rPr>
        <w:t>For</w:t>
      </w:r>
      <w:r>
        <w:rPr>
          <w:spacing w:val="-5"/>
          <w:w w:val="105"/>
        </w:rPr>
        <w:t> </w:t>
      </w:r>
      <w:r>
        <w:rPr>
          <w:w w:val="105"/>
        </w:rPr>
        <w:t>an</w:t>
      </w:r>
      <w:r>
        <w:rPr>
          <w:spacing w:val="-5"/>
          <w:w w:val="105"/>
        </w:rPr>
        <w:t> </w:t>
      </w:r>
      <w:r>
        <w:rPr>
          <w:w w:val="105"/>
        </w:rPr>
        <w:t>asset</w:t>
      </w:r>
      <w:r>
        <w:rPr>
          <w:spacing w:val="-5"/>
          <w:w w:val="105"/>
        </w:rPr>
        <w:t> </w:t>
      </w:r>
      <w:r>
        <w:rPr>
          <w:w w:val="105"/>
        </w:rPr>
        <w:t>group</w:t>
      </w:r>
      <w:r>
        <w:rPr>
          <w:spacing w:val="-3"/>
          <w:w w:val="105"/>
        </w:rPr>
        <w:t> </w:t>
      </w:r>
      <w:r>
        <w:rPr>
          <w:w w:val="105"/>
        </w:rPr>
        <w:t>that</w:t>
      </w:r>
      <w:r>
        <w:rPr>
          <w:spacing w:val="-5"/>
          <w:w w:val="105"/>
        </w:rPr>
        <w:t> </w:t>
      </w:r>
      <w:r>
        <w:rPr>
          <w:w w:val="105"/>
        </w:rPr>
        <w:t>fails the</w:t>
      </w:r>
      <w:r>
        <w:rPr>
          <w:spacing w:val="-2"/>
          <w:w w:val="105"/>
        </w:rPr>
        <w:t> </w:t>
      </w:r>
      <w:r>
        <w:rPr>
          <w:w w:val="105"/>
        </w:rPr>
        <w:t>test</w:t>
      </w:r>
      <w:r>
        <w:rPr>
          <w:spacing w:val="-2"/>
          <w:w w:val="105"/>
        </w:rPr>
        <w:t> </w:t>
      </w:r>
      <w:r>
        <w:rPr>
          <w:w w:val="105"/>
        </w:rPr>
        <w:t>of</w:t>
      </w:r>
      <w:r>
        <w:rPr>
          <w:spacing w:val="-2"/>
          <w:w w:val="105"/>
        </w:rPr>
        <w:t> </w:t>
      </w:r>
      <w:r>
        <w:rPr>
          <w:w w:val="105"/>
        </w:rPr>
        <w:t>recoverability,</w:t>
      </w:r>
      <w:r>
        <w:rPr>
          <w:spacing w:val="-2"/>
          <w:w w:val="105"/>
        </w:rPr>
        <w:t> </w:t>
      </w:r>
      <w:r>
        <w:rPr>
          <w:w w:val="105"/>
        </w:rPr>
        <w:t>the</w:t>
      </w:r>
      <w:r>
        <w:rPr>
          <w:spacing w:val="-2"/>
          <w:w w:val="105"/>
        </w:rPr>
        <w:t> </w:t>
      </w:r>
      <w:r>
        <w:rPr>
          <w:w w:val="105"/>
        </w:rPr>
        <w:t>estimated</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long-lived</w:t>
      </w:r>
      <w:r>
        <w:rPr>
          <w:spacing w:val="-2"/>
          <w:w w:val="105"/>
        </w:rPr>
        <w:t> </w:t>
      </w:r>
      <w:r>
        <w:rPr>
          <w:w w:val="105"/>
        </w:rPr>
        <w:t>assets</w:t>
      </w:r>
      <w:r>
        <w:rPr>
          <w:spacing w:val="-2"/>
          <w:w w:val="105"/>
        </w:rPr>
        <w:t> </w:t>
      </w:r>
      <w:r>
        <w:rPr>
          <w:w w:val="105"/>
        </w:rPr>
        <w:t>is</w:t>
      </w:r>
      <w:r>
        <w:rPr>
          <w:spacing w:val="-2"/>
          <w:w w:val="105"/>
        </w:rPr>
        <w:t> </w:t>
      </w:r>
      <w:r>
        <w:rPr>
          <w:w w:val="105"/>
        </w:rPr>
        <w:t>determined</w:t>
      </w:r>
      <w:r>
        <w:rPr>
          <w:spacing w:val="-4"/>
          <w:w w:val="105"/>
        </w:rPr>
        <w:t> </w:t>
      </w:r>
      <w:r>
        <w:rPr>
          <w:w w:val="105"/>
        </w:rPr>
        <w:t>using</w:t>
      </w:r>
      <w:r>
        <w:rPr>
          <w:spacing w:val="-2"/>
          <w:w w:val="105"/>
        </w:rPr>
        <w:t> </w:t>
      </w:r>
      <w:r>
        <w:rPr>
          <w:w w:val="105"/>
        </w:rPr>
        <w:t>an</w:t>
      </w:r>
      <w:r>
        <w:rPr>
          <w:spacing w:val="-2"/>
          <w:w w:val="105"/>
        </w:rPr>
        <w:t> </w:t>
      </w:r>
      <w:r>
        <w:rPr>
          <w:w w:val="105"/>
        </w:rPr>
        <w:t>“income</w:t>
      </w:r>
      <w:r>
        <w:rPr>
          <w:spacing w:val="-2"/>
          <w:w w:val="105"/>
        </w:rPr>
        <w:t> </w:t>
      </w:r>
      <w:r>
        <w:rPr>
          <w:w w:val="105"/>
        </w:rPr>
        <w:t>approach”</w:t>
      </w:r>
      <w:r>
        <w:rPr>
          <w:spacing w:val="-2"/>
          <w:w w:val="105"/>
        </w:rPr>
        <w:t> </w:t>
      </w:r>
      <w:r>
        <w:rPr>
          <w:w w:val="105"/>
        </w:rPr>
        <w:t>that</w:t>
      </w:r>
      <w:r>
        <w:rPr>
          <w:spacing w:val="-2"/>
          <w:w w:val="105"/>
        </w:rPr>
        <w:t> </w:t>
      </w:r>
      <w:r>
        <w:rPr>
          <w:w w:val="105"/>
        </w:rPr>
        <w:t>starts</w:t>
      </w:r>
      <w:r>
        <w:rPr>
          <w:spacing w:val="-2"/>
          <w:w w:val="105"/>
        </w:rPr>
        <w:t> </w:t>
      </w:r>
      <w:r>
        <w:rPr>
          <w:w w:val="105"/>
        </w:rPr>
        <w:t>with</w:t>
      </w:r>
      <w:r>
        <w:rPr>
          <w:spacing w:val="-2"/>
          <w:w w:val="105"/>
        </w:rPr>
        <w:t> </w:t>
      </w:r>
      <w:r>
        <w:rPr>
          <w:w w:val="105"/>
        </w:rPr>
        <w:t>the</w:t>
      </w:r>
      <w:r>
        <w:rPr>
          <w:spacing w:val="-4"/>
          <w:w w:val="105"/>
        </w:rPr>
        <w:t> </w:t>
      </w:r>
      <w:r>
        <w:rPr>
          <w:w w:val="105"/>
        </w:rPr>
        <w:t>forecast</w:t>
      </w:r>
      <w:r>
        <w:rPr>
          <w:spacing w:val="-2"/>
          <w:w w:val="105"/>
        </w:rPr>
        <w:t> </w:t>
      </w:r>
      <w:r>
        <w:rPr>
          <w:w w:val="105"/>
        </w:rPr>
        <w:t>of</w:t>
      </w:r>
      <w:r>
        <w:rPr>
          <w:spacing w:val="-2"/>
          <w:w w:val="105"/>
        </w:rPr>
        <w:t> </w:t>
      </w:r>
      <w:r>
        <w:rPr>
          <w:w w:val="105"/>
        </w:rPr>
        <w:t>all</w:t>
      </w:r>
      <w:r>
        <w:rPr>
          <w:spacing w:val="-2"/>
          <w:w w:val="105"/>
        </w:rPr>
        <w:t> </w:t>
      </w:r>
      <w:r>
        <w:rPr>
          <w:w w:val="105"/>
        </w:rPr>
        <w:t>the</w:t>
      </w:r>
      <w:r>
        <w:rPr>
          <w:spacing w:val="-2"/>
          <w:w w:val="105"/>
        </w:rPr>
        <w:t> </w:t>
      </w:r>
      <w:r>
        <w:rPr>
          <w:w w:val="105"/>
        </w:rPr>
        <w:t>expected</w:t>
      </w:r>
      <w:r>
        <w:rPr>
          <w:spacing w:val="-2"/>
          <w:w w:val="105"/>
        </w:rPr>
        <w:t> </w:t>
      </w:r>
      <w:r>
        <w:rPr>
          <w:w w:val="105"/>
        </w:rPr>
        <w:t>future</w:t>
      </w:r>
      <w:r>
        <w:rPr>
          <w:spacing w:val="-2"/>
          <w:w w:val="105"/>
        </w:rPr>
        <w:t> </w:t>
      </w:r>
      <w:r>
        <w:rPr>
          <w:w w:val="105"/>
        </w:rPr>
        <w:t>net cash</w:t>
      </w:r>
      <w:r>
        <w:rPr>
          <w:spacing w:val="-2"/>
          <w:w w:val="105"/>
        </w:rPr>
        <w:t> </w:t>
      </w:r>
      <w:r>
        <w:rPr>
          <w:w w:val="105"/>
        </w:rPr>
        <w:t>flows</w:t>
      </w:r>
      <w:r>
        <w:rPr>
          <w:spacing w:val="-2"/>
          <w:w w:val="105"/>
        </w:rPr>
        <w:t> </w:t>
      </w:r>
      <w:r>
        <w:rPr>
          <w:w w:val="105"/>
        </w:rPr>
        <w:t>including</w:t>
      </w:r>
      <w:r>
        <w:rPr>
          <w:spacing w:val="-2"/>
          <w:w w:val="105"/>
        </w:rPr>
        <w:t> </w:t>
      </w:r>
      <w:r>
        <w:rPr>
          <w:w w:val="105"/>
        </w:rPr>
        <w:t>the</w:t>
      </w:r>
      <w:r>
        <w:rPr>
          <w:spacing w:val="-2"/>
          <w:w w:val="105"/>
        </w:rPr>
        <w:t> </w:t>
      </w:r>
      <w:r>
        <w:rPr>
          <w:w w:val="105"/>
        </w:rPr>
        <w:t>eventual</w:t>
      </w:r>
      <w:r>
        <w:rPr>
          <w:spacing w:val="-2"/>
          <w:w w:val="105"/>
        </w:rPr>
        <w:t> </w:t>
      </w:r>
      <w:r>
        <w:rPr>
          <w:w w:val="105"/>
        </w:rPr>
        <w:t>disposition</w:t>
      </w:r>
      <w:r>
        <w:rPr>
          <w:spacing w:val="-2"/>
          <w:w w:val="105"/>
        </w:rPr>
        <w:t> </w:t>
      </w:r>
      <w:r>
        <w:rPr>
          <w:w w:val="105"/>
        </w:rPr>
        <w:t>at</w:t>
      </w:r>
      <w:r>
        <w:rPr>
          <w:spacing w:val="-2"/>
          <w:w w:val="105"/>
        </w:rPr>
        <w:t> </w:t>
      </w:r>
      <w:r>
        <w:rPr>
          <w:w w:val="105"/>
        </w:rPr>
        <w:t>market</w:t>
      </w:r>
      <w:r>
        <w:rPr>
          <w:spacing w:val="-2"/>
          <w:w w:val="105"/>
        </w:rPr>
        <w:t> </w:t>
      </w:r>
      <w:r>
        <w:rPr>
          <w:w w:val="105"/>
        </w:rPr>
        <w:t>value</w:t>
      </w:r>
      <w:r>
        <w:rPr>
          <w:spacing w:val="-2"/>
          <w:w w:val="105"/>
        </w:rPr>
        <w:t> </w:t>
      </w:r>
      <w:r>
        <w:rPr>
          <w:w w:val="105"/>
        </w:rPr>
        <w:t>of</w:t>
      </w:r>
      <w:r>
        <w:rPr>
          <w:spacing w:val="-2"/>
          <w:w w:val="105"/>
        </w:rPr>
        <w:t> </w:t>
      </w:r>
      <w:r>
        <w:rPr>
          <w:w w:val="105"/>
        </w:rPr>
        <w:t>long-lived</w:t>
      </w:r>
      <w:r>
        <w:rPr>
          <w:spacing w:val="-2"/>
          <w:w w:val="105"/>
        </w:rPr>
        <w:t> </w:t>
      </w:r>
      <w:r>
        <w:rPr>
          <w:w w:val="105"/>
        </w:rPr>
        <w:t>assets,</w:t>
      </w:r>
      <w:r>
        <w:rPr>
          <w:spacing w:val="-2"/>
          <w:w w:val="105"/>
        </w:rPr>
        <w:t> </w:t>
      </w:r>
      <w:r>
        <w:rPr>
          <w:w w:val="105"/>
        </w:rPr>
        <w:t>and considers</w:t>
      </w:r>
      <w:r>
        <w:rPr>
          <w:spacing w:val="-2"/>
          <w:w w:val="105"/>
        </w:rPr>
        <w:t> </w:t>
      </w:r>
      <w:r>
        <w:rPr>
          <w:w w:val="105"/>
        </w:rPr>
        <w:t>the</w:t>
      </w:r>
      <w:r>
        <w:rPr>
          <w:spacing w:val="-2"/>
          <w:w w:val="105"/>
        </w:rPr>
        <w:t> </w:t>
      </w:r>
      <w:r>
        <w:rPr>
          <w:w w:val="105"/>
        </w:rPr>
        <w:t>fair</w:t>
      </w:r>
      <w:r>
        <w:rPr>
          <w:spacing w:val="-2"/>
          <w:w w:val="105"/>
        </w:rPr>
        <w:t> </w:t>
      </w:r>
      <w:r>
        <w:rPr>
          <w:w w:val="105"/>
        </w:rPr>
        <w:t>market</w:t>
      </w:r>
      <w:r>
        <w:rPr>
          <w:spacing w:val="-2"/>
          <w:w w:val="105"/>
        </w:rPr>
        <w:t> </w:t>
      </w:r>
      <w:r>
        <w:rPr>
          <w:w w:val="105"/>
        </w:rPr>
        <w:t>value</w:t>
      </w:r>
      <w:r>
        <w:rPr>
          <w:spacing w:val="-2"/>
          <w:w w:val="105"/>
        </w:rPr>
        <w:t> </w:t>
      </w:r>
      <w:r>
        <w:rPr>
          <w:w w:val="105"/>
        </w:rPr>
        <w:t>of</w:t>
      </w:r>
      <w:r>
        <w:rPr>
          <w:spacing w:val="-2"/>
          <w:w w:val="105"/>
        </w:rPr>
        <w:t> </w:t>
      </w:r>
      <w:r>
        <w:rPr>
          <w:w w:val="105"/>
        </w:rPr>
        <w:t>all</w:t>
      </w:r>
      <w:r>
        <w:rPr>
          <w:spacing w:val="-2"/>
          <w:w w:val="105"/>
        </w:rPr>
        <w:t> </w:t>
      </w:r>
      <w:r>
        <w:rPr>
          <w:w w:val="105"/>
        </w:rPr>
        <w:t>precious metals.</w:t>
      </w:r>
      <w:r>
        <w:rPr>
          <w:spacing w:val="-2"/>
          <w:w w:val="105"/>
        </w:rPr>
        <w:t> </w:t>
      </w:r>
      <w:r>
        <w:rPr>
          <w:w w:val="105"/>
        </w:rPr>
        <w:t>The</w:t>
      </w:r>
      <w:r>
        <w:rPr>
          <w:spacing w:val="-2"/>
          <w:w w:val="105"/>
        </w:rPr>
        <w:t> </w:t>
      </w:r>
      <w:r>
        <w:rPr>
          <w:w w:val="105"/>
        </w:rPr>
        <w:t>recoverability</w:t>
      </w:r>
      <w:r>
        <w:rPr>
          <w:spacing w:val="-2"/>
          <w:w w:val="105"/>
        </w:rPr>
        <w:t> </w:t>
      </w:r>
      <w:r>
        <w:rPr>
          <w:w w:val="105"/>
        </w:rPr>
        <w:t>of</w:t>
      </w:r>
      <w:r>
        <w:rPr>
          <w:spacing w:val="-2"/>
          <w:w w:val="105"/>
        </w:rPr>
        <w:t> </w:t>
      </w:r>
      <w:r>
        <w:rPr>
          <w:w w:val="105"/>
        </w:rPr>
        <w:t>the carrying</w:t>
      </w:r>
      <w:r>
        <w:rPr>
          <w:spacing w:val="-7"/>
          <w:w w:val="105"/>
        </w:rPr>
        <w:t> </w:t>
      </w:r>
      <w:r>
        <w:rPr>
          <w:w w:val="105"/>
        </w:rPr>
        <w:t>value</w:t>
      </w:r>
      <w:r>
        <w:rPr>
          <w:spacing w:val="-7"/>
          <w:w w:val="105"/>
        </w:rPr>
        <w:t> </w:t>
      </w:r>
      <w:r>
        <w:rPr>
          <w:w w:val="105"/>
        </w:rPr>
        <w:t>of</w:t>
      </w:r>
      <w:r>
        <w:rPr>
          <w:spacing w:val="-7"/>
          <w:w w:val="105"/>
        </w:rPr>
        <w:t> </w:t>
      </w:r>
      <w:r>
        <w:rPr>
          <w:w w:val="105"/>
        </w:rPr>
        <w:t>long-lived</w:t>
      </w:r>
      <w:r>
        <w:rPr>
          <w:spacing w:val="-7"/>
          <w:w w:val="105"/>
        </w:rPr>
        <w:t> </w:t>
      </w:r>
      <w:r>
        <w:rPr>
          <w:w w:val="105"/>
        </w:rPr>
        <w:t>assets</w:t>
      </w:r>
      <w:r>
        <w:rPr>
          <w:spacing w:val="-7"/>
          <w:w w:val="105"/>
        </w:rPr>
        <w:t> </w:t>
      </w:r>
      <w:r>
        <w:rPr>
          <w:w w:val="105"/>
        </w:rPr>
        <w:t>was</w:t>
      </w:r>
      <w:r>
        <w:rPr>
          <w:spacing w:val="-7"/>
          <w:w w:val="105"/>
        </w:rPr>
        <w:t> </w:t>
      </w:r>
      <w:r>
        <w:rPr>
          <w:w w:val="105"/>
        </w:rPr>
        <w:t>assessed</w:t>
      </w:r>
      <w:r>
        <w:rPr>
          <w:spacing w:val="-7"/>
          <w:w w:val="105"/>
        </w:rPr>
        <w:t> </w:t>
      </w:r>
      <w:r>
        <w:rPr>
          <w:w w:val="105"/>
        </w:rPr>
        <w:t>at</w:t>
      </w:r>
      <w:r>
        <w:rPr>
          <w:spacing w:val="-7"/>
          <w:w w:val="105"/>
        </w:rPr>
        <w:t> </w:t>
      </w:r>
      <w:r>
        <w:rPr>
          <w:w w:val="105"/>
        </w:rPr>
        <w:t>the</w:t>
      </w:r>
      <w:r>
        <w:rPr>
          <w:spacing w:val="-7"/>
          <w:w w:val="105"/>
        </w:rPr>
        <w:t> </w:t>
      </w:r>
      <w:r>
        <w:rPr>
          <w:w w:val="105"/>
        </w:rPr>
        <w:t>lowest</w:t>
      </w:r>
      <w:r>
        <w:rPr>
          <w:spacing w:val="-7"/>
          <w:w w:val="105"/>
        </w:rPr>
        <w:t> </w:t>
      </w:r>
      <w:r>
        <w:rPr>
          <w:w w:val="105"/>
        </w:rPr>
        <w:t>level</w:t>
      </w:r>
      <w:r>
        <w:rPr>
          <w:spacing w:val="-7"/>
          <w:w w:val="105"/>
        </w:rPr>
        <w:t> </w:t>
      </w:r>
      <w:r>
        <w:rPr>
          <w:w w:val="105"/>
        </w:rPr>
        <w:t>for</w:t>
      </w:r>
      <w:r>
        <w:rPr>
          <w:spacing w:val="-7"/>
          <w:w w:val="105"/>
        </w:rPr>
        <w:t> </w:t>
      </w:r>
      <w:r>
        <w:rPr>
          <w:w w:val="105"/>
        </w:rPr>
        <w:t>which</w:t>
      </w:r>
      <w:r>
        <w:rPr>
          <w:spacing w:val="-7"/>
          <w:w w:val="105"/>
        </w:rPr>
        <w:t> </w:t>
      </w:r>
      <w:r>
        <w:rPr>
          <w:w w:val="105"/>
        </w:rPr>
        <w:t>identifiable</w:t>
      </w:r>
      <w:r>
        <w:rPr>
          <w:spacing w:val="-7"/>
          <w:w w:val="105"/>
        </w:rPr>
        <w:t> </w:t>
      </w:r>
      <w:r>
        <w:rPr>
          <w:w w:val="105"/>
        </w:rPr>
        <w:t>cash</w:t>
      </w:r>
      <w:r>
        <w:rPr>
          <w:spacing w:val="-7"/>
          <w:w w:val="105"/>
        </w:rPr>
        <w:t> </w:t>
      </w:r>
      <w:r>
        <w:rPr>
          <w:w w:val="105"/>
        </w:rPr>
        <w:t>flows</w:t>
      </w:r>
      <w:r>
        <w:rPr>
          <w:spacing w:val="-7"/>
          <w:w w:val="105"/>
        </w:rPr>
        <w:t> </w:t>
      </w:r>
      <w:r>
        <w:rPr>
          <w:w w:val="105"/>
        </w:rPr>
        <w:t>are</w:t>
      </w:r>
      <w:r>
        <w:rPr>
          <w:spacing w:val="-7"/>
          <w:w w:val="105"/>
        </w:rPr>
        <w:t> </w:t>
      </w:r>
      <w:r>
        <w:rPr>
          <w:w w:val="105"/>
        </w:rPr>
        <w:t>largely</w:t>
      </w:r>
      <w:r>
        <w:rPr>
          <w:spacing w:val="-7"/>
          <w:w w:val="105"/>
        </w:rPr>
        <w:t> </w:t>
      </w:r>
      <w:r>
        <w:rPr>
          <w:w w:val="105"/>
        </w:rPr>
        <w:t>independent</w:t>
      </w:r>
      <w:r>
        <w:rPr>
          <w:spacing w:val="-7"/>
          <w:w w:val="105"/>
        </w:rPr>
        <w:t> </w:t>
      </w:r>
      <w:r>
        <w:rPr>
          <w:w w:val="105"/>
        </w:rPr>
        <w:t>of</w:t>
      </w:r>
      <w:r>
        <w:rPr>
          <w:spacing w:val="-7"/>
          <w:w w:val="105"/>
        </w:rPr>
        <w:t> </w:t>
      </w:r>
      <w:r>
        <w:rPr>
          <w:w w:val="105"/>
        </w:rPr>
        <w:t>the</w:t>
      </w:r>
      <w:r>
        <w:rPr>
          <w:spacing w:val="-7"/>
          <w:w w:val="105"/>
        </w:rPr>
        <w:t> </w:t>
      </w:r>
      <w:r>
        <w:rPr>
          <w:w w:val="105"/>
        </w:rPr>
        <w:t>cash</w:t>
      </w:r>
      <w:r>
        <w:rPr>
          <w:spacing w:val="-7"/>
          <w:w w:val="105"/>
        </w:rPr>
        <w:t> </w:t>
      </w:r>
      <w:r>
        <w:rPr>
          <w:w w:val="105"/>
        </w:rPr>
        <w:t>flows</w:t>
      </w:r>
      <w:r>
        <w:rPr>
          <w:spacing w:val="-7"/>
          <w:w w:val="105"/>
        </w:rPr>
        <w:t> </w:t>
      </w:r>
      <w:r>
        <w:rPr>
          <w:w w:val="105"/>
        </w:rPr>
        <w:t>of</w:t>
      </w:r>
      <w:r>
        <w:rPr>
          <w:spacing w:val="-7"/>
          <w:w w:val="105"/>
        </w:rPr>
        <w:t> </w:t>
      </w:r>
      <w:r>
        <w:rPr>
          <w:w w:val="105"/>
        </w:rPr>
        <w:t>other</w:t>
      </w:r>
      <w:r>
        <w:rPr>
          <w:spacing w:val="-7"/>
          <w:w w:val="105"/>
        </w:rPr>
        <w:t> </w:t>
      </w:r>
      <w:r>
        <w:rPr>
          <w:w w:val="105"/>
        </w:rPr>
        <w:t>assets</w:t>
      </w:r>
      <w:r>
        <w:rPr>
          <w:spacing w:val="-7"/>
          <w:w w:val="105"/>
        </w:rPr>
        <w:t> </w:t>
      </w:r>
      <w:r>
        <w:rPr>
          <w:w w:val="105"/>
        </w:rPr>
        <w:t>and</w:t>
      </w:r>
      <w:r>
        <w:rPr>
          <w:spacing w:val="-7"/>
          <w:w w:val="105"/>
        </w:rPr>
        <w:t> </w:t>
      </w:r>
      <w:r>
        <w:rPr>
          <w:w w:val="105"/>
        </w:rPr>
        <w:t>liabilities. If there is an impairment, a loss is recorded to reflect the difference between the assets’ fair value and carrying</w:t>
      </w:r>
      <w:r>
        <w:rPr>
          <w:spacing w:val="-2"/>
          <w:w w:val="105"/>
        </w:rPr>
        <w:t> </w:t>
      </w:r>
      <w:r>
        <w:rPr>
          <w:w w:val="105"/>
        </w:rPr>
        <w:t>value.</w:t>
      </w:r>
    </w:p>
    <w:p>
      <w:pPr>
        <w:pStyle w:val="BodyText"/>
        <w:spacing w:before="17"/>
      </w:pPr>
    </w:p>
    <w:p>
      <w:pPr>
        <w:pStyle w:val="BodyText"/>
        <w:ind w:left="48"/>
        <w:jc w:val="center"/>
      </w:pPr>
      <w:r>
        <w:rPr>
          <w:spacing w:val="-5"/>
          <w:w w:val="105"/>
        </w:rPr>
        <w:t>73</w:t>
      </w:r>
    </w:p>
    <w:p>
      <w:pPr>
        <w:pStyle w:val="BodyText"/>
        <w:spacing w:before="11"/>
        <w:rPr>
          <w:sz w:val="5"/>
        </w:rPr>
      </w:pPr>
      <w:r>
        <w:rPr/>
        <mc:AlternateContent>
          <mc:Choice Requires="wps">
            <w:drawing>
              <wp:anchor distT="0" distB="0" distL="0" distR="0" allowOverlap="1" layoutInCell="1" locked="0" behindDoc="1" simplePos="0" relativeHeight="487671808">
                <wp:simplePos x="0" y="0"/>
                <wp:positionH relativeFrom="page">
                  <wp:posOffset>226488</wp:posOffset>
                </wp:positionH>
                <wp:positionV relativeFrom="paragraph">
                  <wp:posOffset>58734</wp:posOffset>
                </wp:positionV>
                <wp:extent cx="7312659" cy="16510"/>
                <wp:effectExtent l="0" t="0" r="0" b="0"/>
                <wp:wrapTopAndBottom/>
                <wp:docPr id="301" name="Graphic 301"/>
                <wp:cNvGraphicFramePr>
                  <a:graphicFrameLocks/>
                </wp:cNvGraphicFramePr>
                <a:graphic>
                  <a:graphicData uri="http://schemas.microsoft.com/office/word/2010/wordprocessingShape">
                    <wps:wsp>
                      <wps:cNvPr id="301" name="Graphic 301"/>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44672;mso-wrap-distance-left:0;mso-wrap-distance-right:0" id="docshape300" filled="true" fillcolor="#000000" stroked="false">
                <v:fill type="solid"/>
                <w10:wrap type="topAndBottom"/>
              </v:rect>
            </w:pict>
          </mc:Fallback>
        </mc:AlternateContent>
      </w:r>
    </w:p>
    <w:p>
      <w:pPr>
        <w:spacing w:after="0"/>
        <w:rPr>
          <w:sz w:val="5"/>
        </w:rPr>
        <w:sectPr>
          <w:type w:val="continuous"/>
          <w:pgSz w:w="12240" w:h="15840"/>
          <w:pgMar w:header="428" w:footer="0" w:top="700" w:bottom="280" w:left="200" w:right="260"/>
        </w:sectPr>
      </w:pPr>
    </w:p>
    <w:p>
      <w:pPr>
        <w:pStyle w:val="BodyText"/>
        <w:spacing w:before="38"/>
      </w:pPr>
    </w:p>
    <w:p>
      <w:pPr>
        <w:pStyle w:val="Heading2"/>
        <w:numPr>
          <w:ilvl w:val="0"/>
          <w:numId w:val="34"/>
        </w:numPr>
        <w:tabs>
          <w:tab w:pos="362" w:val="left" w:leader="none"/>
        </w:tabs>
        <w:spacing w:line="240" w:lineRule="auto" w:before="0" w:after="0"/>
        <w:ind w:left="362" w:right="0" w:hanging="206"/>
        <w:jc w:val="left"/>
      </w:pPr>
      <w:r>
        <w:rPr/>
        <w:t>Summary</w:t>
      </w:r>
      <w:r>
        <w:rPr>
          <w:spacing w:val="16"/>
        </w:rPr>
        <w:t> </w:t>
      </w:r>
      <w:r>
        <w:rPr/>
        <w:t>of</w:t>
      </w:r>
      <w:r>
        <w:rPr>
          <w:spacing w:val="17"/>
        </w:rPr>
        <w:t> </w:t>
      </w:r>
      <w:r>
        <w:rPr/>
        <w:t>Significant</w:t>
      </w:r>
      <w:r>
        <w:rPr>
          <w:spacing w:val="17"/>
        </w:rPr>
        <w:t> </w:t>
      </w:r>
      <w:r>
        <w:rPr/>
        <w:t>Accounting</w:t>
      </w:r>
      <w:r>
        <w:rPr>
          <w:spacing w:val="16"/>
        </w:rPr>
        <w:t> </w:t>
      </w:r>
      <w:r>
        <w:rPr/>
        <w:t>Policies</w:t>
      </w:r>
      <w:r>
        <w:rPr>
          <w:spacing w:val="17"/>
        </w:rPr>
        <w:t> </w:t>
      </w:r>
      <w:r>
        <w:rPr>
          <w:spacing w:val="-2"/>
        </w:rPr>
        <w:t>(Continued)</w:t>
      </w:r>
    </w:p>
    <w:p>
      <w:pPr>
        <w:pStyle w:val="BodyText"/>
        <w:spacing w:before="40"/>
        <w:rPr>
          <w:b/>
        </w:rPr>
      </w:pPr>
    </w:p>
    <w:p>
      <w:pPr>
        <w:pStyle w:val="BodyText"/>
        <w:spacing w:line="266" w:lineRule="auto"/>
        <w:ind w:left="156" w:right="328"/>
      </w:pPr>
      <w:r>
        <w:rPr>
          <w:w w:val="105"/>
        </w:rPr>
        <w:t>We</w:t>
      </w:r>
      <w:r>
        <w:rPr>
          <w:spacing w:val="-8"/>
          <w:w w:val="105"/>
        </w:rPr>
        <w:t> </w:t>
      </w:r>
      <w:r>
        <w:rPr>
          <w:w w:val="105"/>
        </w:rPr>
        <w:t>are</w:t>
      </w:r>
      <w:r>
        <w:rPr>
          <w:spacing w:val="-8"/>
          <w:w w:val="105"/>
        </w:rPr>
        <w:t> </w:t>
      </w:r>
      <w:r>
        <w:rPr>
          <w:w w:val="105"/>
        </w:rPr>
        <w:t>required</w:t>
      </w:r>
      <w:r>
        <w:rPr>
          <w:spacing w:val="-8"/>
          <w:w w:val="105"/>
        </w:rPr>
        <w:t> </w:t>
      </w:r>
      <w:r>
        <w:rPr>
          <w:w w:val="105"/>
        </w:rPr>
        <w:t>to</w:t>
      </w:r>
      <w:r>
        <w:rPr>
          <w:spacing w:val="-8"/>
          <w:w w:val="105"/>
        </w:rPr>
        <w:t> </w:t>
      </w:r>
      <w:r>
        <w:rPr>
          <w:w w:val="105"/>
        </w:rPr>
        <w:t>assess</w:t>
      </w:r>
      <w:r>
        <w:rPr>
          <w:spacing w:val="-8"/>
          <w:w w:val="105"/>
        </w:rPr>
        <w:t> </w:t>
      </w:r>
      <w:r>
        <w:rPr>
          <w:w w:val="105"/>
        </w:rPr>
        <w:t>the</w:t>
      </w:r>
      <w:r>
        <w:rPr>
          <w:spacing w:val="-8"/>
          <w:w w:val="105"/>
        </w:rPr>
        <w:t> </w:t>
      </w:r>
      <w:r>
        <w:rPr>
          <w:w w:val="105"/>
        </w:rPr>
        <w:t>recoverability</w:t>
      </w:r>
      <w:r>
        <w:rPr>
          <w:spacing w:val="-8"/>
          <w:w w:val="105"/>
        </w:rPr>
        <w:t> </w:t>
      </w:r>
      <w:r>
        <w:rPr>
          <w:w w:val="105"/>
        </w:rPr>
        <w:t>of</w:t>
      </w:r>
      <w:r>
        <w:rPr>
          <w:spacing w:val="-8"/>
          <w:w w:val="105"/>
        </w:rPr>
        <w:t> </w:t>
      </w:r>
      <w:r>
        <w:rPr>
          <w:w w:val="105"/>
        </w:rPr>
        <w:t>the</w:t>
      </w:r>
      <w:r>
        <w:rPr>
          <w:spacing w:val="-8"/>
          <w:w w:val="105"/>
        </w:rPr>
        <w:t> </w:t>
      </w:r>
      <w:r>
        <w:rPr>
          <w:w w:val="105"/>
        </w:rPr>
        <w:t>carrying</w:t>
      </w:r>
      <w:r>
        <w:rPr>
          <w:spacing w:val="-8"/>
          <w:w w:val="105"/>
        </w:rPr>
        <w:t> </w:t>
      </w:r>
      <w:r>
        <w:rPr>
          <w:w w:val="105"/>
        </w:rPr>
        <w:t>value</w:t>
      </w:r>
      <w:r>
        <w:rPr>
          <w:spacing w:val="-8"/>
          <w:w w:val="105"/>
        </w:rPr>
        <w:t> </w:t>
      </w:r>
      <w:r>
        <w:rPr>
          <w:w w:val="105"/>
        </w:rPr>
        <w:t>of</w:t>
      </w:r>
      <w:r>
        <w:rPr>
          <w:spacing w:val="-8"/>
          <w:w w:val="105"/>
        </w:rPr>
        <w:t> </w:t>
      </w:r>
      <w:r>
        <w:rPr>
          <w:w w:val="105"/>
        </w:rPr>
        <w:t>long-lived</w:t>
      </w:r>
      <w:r>
        <w:rPr>
          <w:spacing w:val="-8"/>
          <w:w w:val="105"/>
        </w:rPr>
        <w:t> </w:t>
      </w:r>
      <w:r>
        <w:rPr>
          <w:w w:val="105"/>
        </w:rPr>
        <w:t>assets</w:t>
      </w:r>
      <w:r>
        <w:rPr>
          <w:spacing w:val="-8"/>
          <w:w w:val="105"/>
        </w:rPr>
        <w:t> </w:t>
      </w:r>
      <w:r>
        <w:rPr>
          <w:w w:val="105"/>
        </w:rPr>
        <w:t>when</w:t>
      </w:r>
      <w:r>
        <w:rPr>
          <w:spacing w:val="-8"/>
          <w:w w:val="105"/>
        </w:rPr>
        <w:t> </w:t>
      </w:r>
      <w:r>
        <w:rPr>
          <w:w w:val="105"/>
        </w:rPr>
        <w:t>an</w:t>
      </w:r>
      <w:r>
        <w:rPr>
          <w:spacing w:val="-8"/>
          <w:w w:val="105"/>
        </w:rPr>
        <w:t> </w:t>
      </w:r>
      <w:r>
        <w:rPr>
          <w:w w:val="105"/>
        </w:rPr>
        <w:t>indicator</w:t>
      </w:r>
      <w:r>
        <w:rPr>
          <w:spacing w:val="-8"/>
          <w:w w:val="105"/>
        </w:rPr>
        <w:t> </w:t>
      </w:r>
      <w:r>
        <w:rPr>
          <w:w w:val="105"/>
        </w:rPr>
        <w:t>of</w:t>
      </w:r>
      <w:r>
        <w:rPr>
          <w:spacing w:val="-8"/>
          <w:w w:val="105"/>
        </w:rPr>
        <w:t> </w:t>
      </w:r>
      <w:r>
        <w:rPr>
          <w:w w:val="105"/>
        </w:rPr>
        <w:t>impairment</w:t>
      </w:r>
      <w:r>
        <w:rPr>
          <w:spacing w:val="-8"/>
          <w:w w:val="105"/>
        </w:rPr>
        <w:t> </w:t>
      </w:r>
      <w:r>
        <w:rPr>
          <w:w w:val="105"/>
        </w:rPr>
        <w:t>has</w:t>
      </w:r>
      <w:r>
        <w:rPr>
          <w:spacing w:val="-8"/>
          <w:w w:val="105"/>
        </w:rPr>
        <w:t> </w:t>
      </w:r>
      <w:r>
        <w:rPr>
          <w:w w:val="105"/>
        </w:rPr>
        <w:t>been</w:t>
      </w:r>
      <w:r>
        <w:rPr>
          <w:spacing w:val="-6"/>
          <w:w w:val="105"/>
        </w:rPr>
        <w:t> </w:t>
      </w:r>
      <w:r>
        <w:rPr>
          <w:w w:val="105"/>
        </w:rPr>
        <w:t>identified.</w:t>
      </w:r>
      <w:r>
        <w:rPr>
          <w:spacing w:val="-8"/>
          <w:w w:val="105"/>
        </w:rPr>
        <w:t> </w:t>
      </w:r>
      <w:r>
        <w:rPr>
          <w:w w:val="105"/>
        </w:rPr>
        <w:t>We</w:t>
      </w:r>
      <w:r>
        <w:rPr>
          <w:spacing w:val="-8"/>
          <w:w w:val="105"/>
        </w:rPr>
        <w:t> </w:t>
      </w:r>
      <w:r>
        <w:rPr>
          <w:w w:val="105"/>
        </w:rPr>
        <w:t>review</w:t>
      </w:r>
      <w:r>
        <w:rPr>
          <w:spacing w:val="-8"/>
          <w:w w:val="105"/>
        </w:rPr>
        <w:t> </w:t>
      </w:r>
      <w:r>
        <w:rPr>
          <w:w w:val="105"/>
        </w:rPr>
        <w:t>long-lived</w:t>
      </w:r>
      <w:r>
        <w:rPr>
          <w:spacing w:val="-8"/>
          <w:w w:val="105"/>
        </w:rPr>
        <w:t> </w:t>
      </w:r>
      <w:r>
        <w:rPr>
          <w:w w:val="105"/>
        </w:rPr>
        <w:t>assets</w:t>
      </w:r>
      <w:r>
        <w:rPr>
          <w:spacing w:val="-8"/>
          <w:w w:val="105"/>
        </w:rPr>
        <w:t> </w:t>
      </w:r>
      <w:r>
        <w:rPr>
          <w:w w:val="105"/>
        </w:rPr>
        <w:t>in each</w:t>
      </w:r>
      <w:r>
        <w:rPr>
          <w:spacing w:val="-1"/>
          <w:w w:val="105"/>
        </w:rPr>
        <w:t> </w:t>
      </w:r>
      <w:r>
        <w:rPr>
          <w:w w:val="105"/>
        </w:rPr>
        <w:t>quarter</w:t>
      </w:r>
      <w:r>
        <w:rPr>
          <w:spacing w:val="-1"/>
          <w:w w:val="105"/>
        </w:rPr>
        <w:t> </w:t>
      </w:r>
      <w:r>
        <w:rPr>
          <w:w w:val="105"/>
        </w:rPr>
        <w:t>in</w:t>
      </w:r>
      <w:r>
        <w:rPr>
          <w:spacing w:val="-1"/>
          <w:w w:val="105"/>
        </w:rPr>
        <w:t> </w:t>
      </w:r>
      <w:r>
        <w:rPr>
          <w:w w:val="105"/>
        </w:rPr>
        <w:t>which</w:t>
      </w:r>
      <w:r>
        <w:rPr>
          <w:spacing w:val="-1"/>
          <w:w w:val="105"/>
        </w:rPr>
        <w:t> </w:t>
      </w:r>
      <w:r>
        <w:rPr>
          <w:w w:val="105"/>
        </w:rPr>
        <w:t>impairment</w:t>
      </w:r>
      <w:r>
        <w:rPr>
          <w:spacing w:val="-1"/>
          <w:w w:val="105"/>
        </w:rPr>
        <w:t> </w:t>
      </w:r>
      <w:r>
        <w:rPr>
          <w:w w:val="105"/>
        </w:rPr>
        <w:t>indicators</w:t>
      </w:r>
      <w:r>
        <w:rPr>
          <w:spacing w:val="-1"/>
          <w:w w:val="105"/>
        </w:rPr>
        <w:t> </w:t>
      </w:r>
      <w:r>
        <w:rPr>
          <w:w w:val="105"/>
        </w:rPr>
        <w:t>are</w:t>
      </w:r>
      <w:r>
        <w:rPr>
          <w:spacing w:val="-1"/>
          <w:w w:val="105"/>
        </w:rPr>
        <w:t> </w:t>
      </w:r>
      <w:r>
        <w:rPr>
          <w:w w:val="105"/>
        </w:rPr>
        <w:t>present.</w:t>
      </w:r>
      <w:r>
        <w:rPr>
          <w:spacing w:val="-1"/>
          <w:w w:val="105"/>
        </w:rPr>
        <w:t> </w:t>
      </w:r>
      <w:r>
        <w:rPr>
          <w:w w:val="105"/>
        </w:rPr>
        <w:t>We</w:t>
      </w:r>
      <w:r>
        <w:rPr>
          <w:spacing w:val="-1"/>
          <w:w w:val="105"/>
        </w:rPr>
        <w:t> </w:t>
      </w:r>
      <w:r>
        <w:rPr>
          <w:w w:val="105"/>
        </w:rPr>
        <w:t>must</w:t>
      </w:r>
      <w:r>
        <w:rPr>
          <w:spacing w:val="-1"/>
          <w:w w:val="105"/>
        </w:rPr>
        <w:t> </w:t>
      </w:r>
      <w:r>
        <w:rPr>
          <w:w w:val="105"/>
        </w:rPr>
        <w:t>exercise</w:t>
      </w:r>
      <w:r>
        <w:rPr>
          <w:spacing w:val="-1"/>
          <w:w w:val="105"/>
        </w:rPr>
        <w:t> </w:t>
      </w:r>
      <w:r>
        <w:rPr>
          <w:w w:val="105"/>
        </w:rPr>
        <w:t>judgment</w:t>
      </w:r>
      <w:r>
        <w:rPr>
          <w:spacing w:val="-1"/>
          <w:w w:val="105"/>
        </w:rPr>
        <w:t> </w:t>
      </w:r>
      <w:r>
        <w:rPr>
          <w:w w:val="105"/>
        </w:rPr>
        <w:t>in</w:t>
      </w:r>
      <w:r>
        <w:rPr>
          <w:spacing w:val="-1"/>
          <w:w w:val="105"/>
        </w:rPr>
        <w:t> </w:t>
      </w:r>
      <w:r>
        <w:rPr>
          <w:w w:val="105"/>
        </w:rPr>
        <w:t>assessing</w:t>
      </w:r>
      <w:r>
        <w:rPr>
          <w:spacing w:val="-1"/>
          <w:w w:val="105"/>
        </w:rPr>
        <w:t> </w:t>
      </w:r>
      <w:r>
        <w:rPr>
          <w:w w:val="105"/>
        </w:rPr>
        <w:t>whether</w:t>
      </w:r>
      <w:r>
        <w:rPr>
          <w:spacing w:val="-1"/>
          <w:w w:val="105"/>
        </w:rPr>
        <w:t> </w:t>
      </w:r>
      <w:r>
        <w:rPr>
          <w:w w:val="105"/>
        </w:rPr>
        <w:t>an</w:t>
      </w:r>
      <w:r>
        <w:rPr>
          <w:spacing w:val="-1"/>
          <w:w w:val="105"/>
        </w:rPr>
        <w:t> </w:t>
      </w:r>
      <w:r>
        <w:rPr>
          <w:w w:val="105"/>
        </w:rPr>
        <w:t>event</w:t>
      </w:r>
      <w:r>
        <w:rPr>
          <w:spacing w:val="-1"/>
          <w:w w:val="105"/>
        </w:rPr>
        <w:t> </w:t>
      </w:r>
      <w:r>
        <w:rPr>
          <w:w w:val="105"/>
        </w:rPr>
        <w:t>of</w:t>
      </w:r>
      <w:r>
        <w:rPr>
          <w:spacing w:val="-1"/>
          <w:w w:val="105"/>
        </w:rPr>
        <w:t> </w:t>
      </w:r>
      <w:r>
        <w:rPr>
          <w:w w:val="105"/>
        </w:rPr>
        <w:t>impairment</w:t>
      </w:r>
      <w:r>
        <w:rPr>
          <w:spacing w:val="-1"/>
          <w:w w:val="105"/>
        </w:rPr>
        <w:t> </w:t>
      </w:r>
      <w:r>
        <w:rPr>
          <w:w w:val="105"/>
        </w:rPr>
        <w:t>has</w:t>
      </w:r>
      <w:r>
        <w:rPr>
          <w:spacing w:val="-1"/>
          <w:w w:val="105"/>
        </w:rPr>
        <w:t> </w:t>
      </w:r>
      <w:r>
        <w:rPr>
          <w:w w:val="105"/>
        </w:rPr>
        <w:t>occurred.</w:t>
      </w:r>
      <w:r>
        <w:rPr>
          <w:spacing w:val="40"/>
          <w:w w:val="105"/>
        </w:rPr>
        <w:t> </w:t>
      </w:r>
      <w:r>
        <w:rPr>
          <w:w w:val="105"/>
        </w:rPr>
        <w:t>Refer</w:t>
      </w:r>
      <w:r>
        <w:rPr>
          <w:spacing w:val="-1"/>
          <w:w w:val="105"/>
        </w:rPr>
        <w:t> </w:t>
      </w:r>
      <w:r>
        <w:rPr>
          <w:w w:val="105"/>
        </w:rPr>
        <w:t>to</w:t>
      </w:r>
      <w:r>
        <w:rPr>
          <w:spacing w:val="-1"/>
          <w:w w:val="105"/>
        </w:rPr>
        <w:t> </w:t>
      </w:r>
      <w:r>
        <w:rPr>
          <w:w w:val="105"/>
        </w:rPr>
        <w:t>Note 2 (Restructuring, Impairment and Other Charges and Credits) to the consolidated financial statements for more information.</w:t>
      </w:r>
    </w:p>
    <w:p>
      <w:pPr>
        <w:pStyle w:val="BodyText"/>
        <w:spacing w:before="18"/>
      </w:pPr>
    </w:p>
    <w:p>
      <w:pPr>
        <w:pStyle w:val="Heading3"/>
      </w:pPr>
      <w:r>
        <w:rPr/>
        <w:t>Employee</w:t>
      </w:r>
      <w:r>
        <w:rPr>
          <w:spacing w:val="21"/>
        </w:rPr>
        <w:t> </w:t>
      </w:r>
      <w:r>
        <w:rPr/>
        <w:t>Retirement</w:t>
      </w:r>
      <w:r>
        <w:rPr>
          <w:spacing w:val="22"/>
        </w:rPr>
        <w:t> </w:t>
      </w:r>
      <w:r>
        <w:rPr>
          <w:spacing w:val="-2"/>
        </w:rPr>
        <w:t>Plans</w:t>
      </w:r>
    </w:p>
    <w:p>
      <w:pPr>
        <w:pStyle w:val="BodyText"/>
        <w:spacing w:before="40"/>
        <w:rPr>
          <w:b/>
          <w:i/>
        </w:rPr>
      </w:pPr>
    </w:p>
    <w:p>
      <w:pPr>
        <w:pStyle w:val="BodyText"/>
        <w:spacing w:line="266" w:lineRule="auto"/>
        <w:ind w:left="156" w:right="328"/>
      </w:pPr>
      <w:r>
        <w:rPr>
          <w:w w:val="105"/>
        </w:rPr>
        <w:t>Corning</w:t>
      </w:r>
      <w:r>
        <w:rPr>
          <w:spacing w:val="-10"/>
          <w:w w:val="105"/>
        </w:rPr>
        <w:t> </w:t>
      </w:r>
      <w:r>
        <w:rPr>
          <w:w w:val="105"/>
        </w:rPr>
        <w:t>offers</w:t>
      </w:r>
      <w:r>
        <w:rPr>
          <w:spacing w:val="-10"/>
          <w:w w:val="105"/>
        </w:rPr>
        <w:t> </w:t>
      </w:r>
      <w:r>
        <w:rPr>
          <w:w w:val="105"/>
        </w:rPr>
        <w:t>employee</w:t>
      </w:r>
      <w:r>
        <w:rPr>
          <w:spacing w:val="-10"/>
          <w:w w:val="105"/>
        </w:rPr>
        <w:t> </w:t>
      </w:r>
      <w:r>
        <w:rPr>
          <w:w w:val="105"/>
        </w:rPr>
        <w:t>retirement</w:t>
      </w:r>
      <w:r>
        <w:rPr>
          <w:spacing w:val="-10"/>
          <w:w w:val="105"/>
        </w:rPr>
        <w:t> </w:t>
      </w:r>
      <w:r>
        <w:rPr>
          <w:w w:val="105"/>
        </w:rPr>
        <w:t>plans</w:t>
      </w:r>
      <w:r>
        <w:rPr>
          <w:spacing w:val="-10"/>
          <w:w w:val="105"/>
        </w:rPr>
        <w:t> </w:t>
      </w:r>
      <w:r>
        <w:rPr>
          <w:w w:val="105"/>
        </w:rPr>
        <w:t>consisting</w:t>
      </w:r>
      <w:r>
        <w:rPr>
          <w:spacing w:val="-10"/>
          <w:w w:val="105"/>
        </w:rPr>
        <w:t> </w:t>
      </w:r>
      <w:r>
        <w:rPr>
          <w:w w:val="105"/>
        </w:rPr>
        <w:t>of</w:t>
      </w:r>
      <w:r>
        <w:rPr>
          <w:spacing w:val="-10"/>
          <w:w w:val="105"/>
        </w:rPr>
        <w:t> </w:t>
      </w:r>
      <w:r>
        <w:rPr>
          <w:w w:val="105"/>
        </w:rPr>
        <w:t>defined</w:t>
      </w:r>
      <w:r>
        <w:rPr>
          <w:spacing w:val="-10"/>
          <w:w w:val="105"/>
        </w:rPr>
        <w:t> </w:t>
      </w:r>
      <w:r>
        <w:rPr>
          <w:w w:val="105"/>
        </w:rPr>
        <w:t>benefit</w:t>
      </w:r>
      <w:r>
        <w:rPr>
          <w:spacing w:val="-10"/>
          <w:w w:val="105"/>
        </w:rPr>
        <w:t> </w:t>
      </w:r>
      <w:r>
        <w:rPr>
          <w:w w:val="105"/>
        </w:rPr>
        <w:t>pension</w:t>
      </w:r>
      <w:r>
        <w:rPr>
          <w:spacing w:val="-10"/>
          <w:w w:val="105"/>
        </w:rPr>
        <w:t> </w:t>
      </w:r>
      <w:r>
        <w:rPr>
          <w:w w:val="105"/>
        </w:rPr>
        <w:t>plans</w:t>
      </w:r>
      <w:r>
        <w:rPr>
          <w:spacing w:val="-10"/>
          <w:w w:val="105"/>
        </w:rPr>
        <w:t> </w:t>
      </w:r>
      <w:r>
        <w:rPr>
          <w:w w:val="105"/>
        </w:rPr>
        <w:t>covering</w:t>
      </w:r>
      <w:r>
        <w:rPr>
          <w:spacing w:val="-10"/>
          <w:w w:val="105"/>
        </w:rPr>
        <w:t> </w:t>
      </w:r>
      <w:r>
        <w:rPr>
          <w:w w:val="105"/>
        </w:rPr>
        <w:t>certain</w:t>
      </w:r>
      <w:r>
        <w:rPr>
          <w:spacing w:val="-10"/>
          <w:w w:val="105"/>
        </w:rPr>
        <w:t> </w:t>
      </w:r>
      <w:r>
        <w:rPr>
          <w:w w:val="105"/>
        </w:rPr>
        <w:t>domestic</w:t>
      </w:r>
      <w:r>
        <w:rPr>
          <w:spacing w:val="-10"/>
          <w:w w:val="105"/>
        </w:rPr>
        <w:t> </w:t>
      </w:r>
      <w:r>
        <w:rPr>
          <w:w w:val="105"/>
        </w:rPr>
        <w:t>and</w:t>
      </w:r>
      <w:r>
        <w:rPr>
          <w:spacing w:val="-10"/>
          <w:w w:val="105"/>
        </w:rPr>
        <w:t> </w:t>
      </w:r>
      <w:r>
        <w:rPr>
          <w:w w:val="105"/>
        </w:rPr>
        <w:t>international</w:t>
      </w:r>
      <w:r>
        <w:rPr>
          <w:spacing w:val="-8"/>
          <w:w w:val="105"/>
        </w:rPr>
        <w:t> </w:t>
      </w:r>
      <w:r>
        <w:rPr>
          <w:w w:val="105"/>
        </w:rPr>
        <w:t>employees</w:t>
      </w:r>
      <w:r>
        <w:rPr>
          <w:spacing w:val="-10"/>
          <w:w w:val="105"/>
        </w:rPr>
        <w:t> </w:t>
      </w:r>
      <w:r>
        <w:rPr>
          <w:w w:val="105"/>
        </w:rPr>
        <w:t>and</w:t>
      </w:r>
      <w:r>
        <w:rPr>
          <w:spacing w:val="-10"/>
          <w:w w:val="105"/>
        </w:rPr>
        <w:t> </w:t>
      </w:r>
      <w:r>
        <w:rPr>
          <w:w w:val="105"/>
        </w:rPr>
        <w:t>postretirement</w:t>
      </w:r>
      <w:r>
        <w:rPr>
          <w:spacing w:val="-10"/>
          <w:w w:val="105"/>
        </w:rPr>
        <w:t> </w:t>
      </w:r>
      <w:r>
        <w:rPr>
          <w:w w:val="105"/>
        </w:rPr>
        <w:t>plans</w:t>
      </w:r>
      <w:r>
        <w:rPr>
          <w:spacing w:val="-10"/>
          <w:w w:val="105"/>
        </w:rPr>
        <w:t> </w:t>
      </w:r>
      <w:r>
        <w:rPr>
          <w:w w:val="105"/>
        </w:rPr>
        <w:t>that provide</w:t>
      </w:r>
      <w:r>
        <w:rPr>
          <w:spacing w:val="-5"/>
          <w:w w:val="105"/>
        </w:rPr>
        <w:t> </w:t>
      </w:r>
      <w:r>
        <w:rPr>
          <w:w w:val="105"/>
        </w:rPr>
        <w:t>health</w:t>
      </w:r>
      <w:r>
        <w:rPr>
          <w:spacing w:val="-5"/>
          <w:w w:val="105"/>
        </w:rPr>
        <w:t> </w:t>
      </w:r>
      <w:r>
        <w:rPr>
          <w:w w:val="105"/>
        </w:rPr>
        <w:t>care</w:t>
      </w:r>
      <w:r>
        <w:rPr>
          <w:spacing w:val="-5"/>
          <w:w w:val="105"/>
        </w:rPr>
        <w:t> </w:t>
      </w:r>
      <w:r>
        <w:rPr>
          <w:w w:val="105"/>
        </w:rPr>
        <w:t>and</w:t>
      </w:r>
      <w:r>
        <w:rPr>
          <w:spacing w:val="-3"/>
          <w:w w:val="105"/>
        </w:rPr>
        <w:t> </w:t>
      </w:r>
      <w:r>
        <w:rPr>
          <w:w w:val="105"/>
        </w:rPr>
        <w:t>life</w:t>
      </w:r>
      <w:r>
        <w:rPr>
          <w:spacing w:val="-5"/>
          <w:w w:val="105"/>
        </w:rPr>
        <w:t> </w:t>
      </w:r>
      <w:r>
        <w:rPr>
          <w:w w:val="105"/>
        </w:rPr>
        <w:t>insurance</w:t>
      </w:r>
      <w:r>
        <w:rPr>
          <w:spacing w:val="-5"/>
          <w:w w:val="105"/>
        </w:rPr>
        <w:t> </w:t>
      </w:r>
      <w:r>
        <w:rPr>
          <w:w w:val="105"/>
        </w:rPr>
        <w:t>benefits</w:t>
      </w:r>
      <w:r>
        <w:rPr>
          <w:spacing w:val="-5"/>
          <w:w w:val="105"/>
        </w:rPr>
        <w:t> </w:t>
      </w:r>
      <w:r>
        <w:rPr>
          <w:w w:val="105"/>
        </w:rPr>
        <w:t>for</w:t>
      </w:r>
      <w:r>
        <w:rPr>
          <w:spacing w:val="-5"/>
          <w:w w:val="105"/>
        </w:rPr>
        <w:t> </w:t>
      </w:r>
      <w:r>
        <w:rPr>
          <w:w w:val="105"/>
        </w:rPr>
        <w:t>eligible</w:t>
      </w:r>
      <w:r>
        <w:rPr>
          <w:spacing w:val="-5"/>
          <w:w w:val="105"/>
        </w:rPr>
        <w:t> </w:t>
      </w:r>
      <w:r>
        <w:rPr>
          <w:w w:val="105"/>
        </w:rPr>
        <w:t>retirees</w:t>
      </w:r>
      <w:r>
        <w:rPr>
          <w:spacing w:val="-5"/>
          <w:w w:val="105"/>
        </w:rPr>
        <w:t> </w:t>
      </w:r>
      <w:r>
        <w:rPr>
          <w:w w:val="105"/>
        </w:rPr>
        <w:t>and</w:t>
      </w:r>
      <w:r>
        <w:rPr>
          <w:spacing w:val="-5"/>
          <w:w w:val="105"/>
        </w:rPr>
        <w:t> </w:t>
      </w:r>
      <w:r>
        <w:rPr>
          <w:w w:val="105"/>
        </w:rPr>
        <w:t>dependents.</w:t>
      </w:r>
      <w:r>
        <w:rPr>
          <w:spacing w:val="-5"/>
          <w:w w:val="105"/>
        </w:rPr>
        <w:t> </w:t>
      </w:r>
      <w:r>
        <w:rPr>
          <w:w w:val="105"/>
        </w:rPr>
        <w:t>The</w:t>
      </w:r>
      <w:r>
        <w:rPr>
          <w:spacing w:val="-5"/>
          <w:w w:val="105"/>
        </w:rPr>
        <w:t> </w:t>
      </w:r>
      <w:r>
        <w:rPr>
          <w:w w:val="105"/>
        </w:rPr>
        <w:t>costs</w:t>
      </w:r>
      <w:r>
        <w:rPr>
          <w:spacing w:val="-5"/>
          <w:w w:val="105"/>
        </w:rPr>
        <w:t> </w:t>
      </w:r>
      <w:r>
        <w:rPr>
          <w:w w:val="105"/>
        </w:rPr>
        <w:t>and</w:t>
      </w:r>
      <w:r>
        <w:rPr>
          <w:spacing w:val="-5"/>
          <w:w w:val="105"/>
        </w:rPr>
        <w:t> </w:t>
      </w:r>
      <w:r>
        <w:rPr>
          <w:w w:val="105"/>
        </w:rPr>
        <w:t>obligations</w:t>
      </w:r>
      <w:r>
        <w:rPr>
          <w:spacing w:val="-5"/>
          <w:w w:val="105"/>
        </w:rPr>
        <w:t> </w:t>
      </w:r>
      <w:r>
        <w:rPr>
          <w:w w:val="105"/>
        </w:rPr>
        <w:t>related</w:t>
      </w:r>
      <w:r>
        <w:rPr>
          <w:spacing w:val="-5"/>
          <w:w w:val="105"/>
        </w:rPr>
        <w:t> </w:t>
      </w:r>
      <w:r>
        <w:rPr>
          <w:w w:val="105"/>
        </w:rPr>
        <w:t>to</w:t>
      </w:r>
      <w:r>
        <w:rPr>
          <w:spacing w:val="-5"/>
          <w:w w:val="105"/>
        </w:rPr>
        <w:t> </w:t>
      </w:r>
      <w:r>
        <w:rPr>
          <w:w w:val="105"/>
        </w:rPr>
        <w:t>these</w:t>
      </w:r>
      <w:r>
        <w:rPr>
          <w:spacing w:val="-5"/>
          <w:w w:val="105"/>
        </w:rPr>
        <w:t> </w:t>
      </w:r>
      <w:r>
        <w:rPr>
          <w:w w:val="105"/>
        </w:rPr>
        <w:t>benefits</w:t>
      </w:r>
      <w:r>
        <w:rPr>
          <w:spacing w:val="-5"/>
          <w:w w:val="105"/>
        </w:rPr>
        <w:t> </w:t>
      </w:r>
      <w:r>
        <w:rPr>
          <w:w w:val="105"/>
        </w:rPr>
        <w:t>reflect</w:t>
      </w:r>
      <w:r>
        <w:rPr>
          <w:spacing w:val="-3"/>
          <w:w w:val="105"/>
        </w:rPr>
        <w:t> </w:t>
      </w:r>
      <w:r>
        <w:rPr>
          <w:w w:val="105"/>
        </w:rPr>
        <w:t>the</w:t>
      </w:r>
      <w:r>
        <w:rPr>
          <w:spacing w:val="-5"/>
          <w:w w:val="105"/>
        </w:rPr>
        <w:t> </w:t>
      </w:r>
      <w:r>
        <w:rPr>
          <w:w w:val="105"/>
        </w:rPr>
        <w:t>Company’s</w:t>
      </w:r>
      <w:r>
        <w:rPr>
          <w:spacing w:val="-5"/>
          <w:w w:val="105"/>
        </w:rPr>
        <w:t> </w:t>
      </w:r>
      <w:r>
        <w:rPr>
          <w:w w:val="105"/>
        </w:rPr>
        <w:t>assumptions related</w:t>
      </w:r>
      <w:r>
        <w:rPr>
          <w:spacing w:val="-7"/>
          <w:w w:val="105"/>
        </w:rPr>
        <w:t> </w:t>
      </w:r>
      <w:r>
        <w:rPr>
          <w:w w:val="105"/>
        </w:rPr>
        <w:t>to</w:t>
      </w:r>
      <w:r>
        <w:rPr>
          <w:spacing w:val="-7"/>
          <w:w w:val="105"/>
        </w:rPr>
        <w:t> </w:t>
      </w:r>
      <w:r>
        <w:rPr>
          <w:w w:val="105"/>
        </w:rPr>
        <w:t>general</w:t>
      </w:r>
      <w:r>
        <w:rPr>
          <w:spacing w:val="-7"/>
          <w:w w:val="105"/>
        </w:rPr>
        <w:t> </w:t>
      </w:r>
      <w:r>
        <w:rPr>
          <w:w w:val="105"/>
        </w:rPr>
        <w:t>economic</w:t>
      </w:r>
      <w:r>
        <w:rPr>
          <w:spacing w:val="-7"/>
          <w:w w:val="105"/>
        </w:rPr>
        <w:t> </w:t>
      </w:r>
      <w:r>
        <w:rPr>
          <w:w w:val="105"/>
        </w:rPr>
        <w:t>conditions,</w:t>
      </w:r>
      <w:r>
        <w:rPr>
          <w:spacing w:val="-7"/>
          <w:w w:val="105"/>
        </w:rPr>
        <w:t> </w:t>
      </w:r>
      <w:r>
        <w:rPr>
          <w:w w:val="105"/>
        </w:rPr>
        <w:t>particularly</w:t>
      </w:r>
      <w:r>
        <w:rPr>
          <w:spacing w:val="-7"/>
          <w:w w:val="105"/>
        </w:rPr>
        <w:t> </w:t>
      </w:r>
      <w:r>
        <w:rPr>
          <w:w w:val="105"/>
        </w:rPr>
        <w:t>interest</w:t>
      </w:r>
      <w:r>
        <w:rPr>
          <w:spacing w:val="-8"/>
          <w:w w:val="105"/>
        </w:rPr>
        <w:t> </w:t>
      </w:r>
      <w:r>
        <w:rPr>
          <w:w w:val="105"/>
        </w:rPr>
        <w:t>rates,</w:t>
      </w:r>
      <w:r>
        <w:rPr>
          <w:spacing w:val="-7"/>
          <w:w w:val="105"/>
        </w:rPr>
        <w:t> </w:t>
      </w:r>
      <w:r>
        <w:rPr>
          <w:w w:val="105"/>
        </w:rPr>
        <w:t>expected</w:t>
      </w:r>
      <w:r>
        <w:rPr>
          <w:spacing w:val="-7"/>
          <w:w w:val="105"/>
        </w:rPr>
        <w:t> </w:t>
      </w:r>
      <w:r>
        <w:rPr>
          <w:w w:val="105"/>
        </w:rPr>
        <w:t>return</w:t>
      </w:r>
      <w:r>
        <w:rPr>
          <w:spacing w:val="-7"/>
          <w:w w:val="105"/>
        </w:rPr>
        <w:t> </w:t>
      </w:r>
      <w:r>
        <w:rPr>
          <w:w w:val="105"/>
        </w:rPr>
        <w:t>on</w:t>
      </w:r>
      <w:r>
        <w:rPr>
          <w:spacing w:val="-8"/>
          <w:w w:val="105"/>
        </w:rPr>
        <w:t> </w:t>
      </w:r>
      <w:r>
        <w:rPr>
          <w:w w:val="105"/>
        </w:rPr>
        <w:t>plan</w:t>
      </w:r>
      <w:r>
        <w:rPr>
          <w:spacing w:val="-7"/>
          <w:w w:val="105"/>
        </w:rPr>
        <w:t> </w:t>
      </w:r>
      <w:r>
        <w:rPr>
          <w:w w:val="105"/>
        </w:rPr>
        <w:t>assets,</w:t>
      </w:r>
      <w:r>
        <w:rPr>
          <w:spacing w:val="-7"/>
          <w:w w:val="105"/>
        </w:rPr>
        <w:t> </w:t>
      </w:r>
      <w:r>
        <w:rPr>
          <w:w w:val="105"/>
        </w:rPr>
        <w:t>rate</w:t>
      </w:r>
      <w:r>
        <w:rPr>
          <w:spacing w:val="-7"/>
          <w:w w:val="105"/>
        </w:rPr>
        <w:t> </w:t>
      </w:r>
      <w:r>
        <w:rPr>
          <w:w w:val="105"/>
        </w:rPr>
        <w:t>of</w:t>
      </w:r>
      <w:r>
        <w:rPr>
          <w:spacing w:val="-7"/>
          <w:w w:val="105"/>
        </w:rPr>
        <w:t> </w:t>
      </w:r>
      <w:r>
        <w:rPr>
          <w:w w:val="105"/>
        </w:rPr>
        <w:t>compensation</w:t>
      </w:r>
      <w:r>
        <w:rPr>
          <w:spacing w:val="-7"/>
          <w:w w:val="105"/>
        </w:rPr>
        <w:t> </w:t>
      </w:r>
      <w:r>
        <w:rPr>
          <w:w w:val="105"/>
        </w:rPr>
        <w:t>increase</w:t>
      </w:r>
      <w:r>
        <w:rPr>
          <w:spacing w:val="-7"/>
          <w:w w:val="105"/>
        </w:rPr>
        <w:t> </w:t>
      </w:r>
      <w:r>
        <w:rPr>
          <w:w w:val="105"/>
        </w:rPr>
        <w:t>for</w:t>
      </w:r>
      <w:r>
        <w:rPr>
          <w:spacing w:val="-7"/>
          <w:w w:val="105"/>
        </w:rPr>
        <w:t> </w:t>
      </w:r>
      <w:r>
        <w:rPr>
          <w:w w:val="105"/>
        </w:rPr>
        <w:t>employees</w:t>
      </w:r>
      <w:r>
        <w:rPr>
          <w:spacing w:val="-7"/>
          <w:w w:val="105"/>
        </w:rPr>
        <w:t> </w:t>
      </w:r>
      <w:r>
        <w:rPr>
          <w:w w:val="105"/>
        </w:rPr>
        <w:t>and</w:t>
      </w:r>
      <w:r>
        <w:rPr>
          <w:spacing w:val="-7"/>
          <w:w w:val="105"/>
        </w:rPr>
        <w:t> </w:t>
      </w:r>
      <w:r>
        <w:rPr>
          <w:w w:val="105"/>
        </w:rPr>
        <w:t>health</w:t>
      </w:r>
      <w:r>
        <w:rPr>
          <w:spacing w:val="-7"/>
          <w:w w:val="105"/>
        </w:rPr>
        <w:t> </w:t>
      </w:r>
      <w:r>
        <w:rPr>
          <w:w w:val="105"/>
        </w:rPr>
        <w:t>care</w:t>
      </w:r>
      <w:r>
        <w:rPr>
          <w:spacing w:val="-7"/>
          <w:w w:val="105"/>
        </w:rPr>
        <w:t> </w:t>
      </w:r>
      <w:r>
        <w:rPr>
          <w:w w:val="105"/>
        </w:rPr>
        <w:t>trend</w:t>
      </w:r>
      <w:r>
        <w:rPr>
          <w:spacing w:val="-7"/>
          <w:w w:val="105"/>
        </w:rPr>
        <w:t> </w:t>
      </w:r>
      <w:r>
        <w:rPr>
          <w:w w:val="105"/>
        </w:rPr>
        <w:t>rates. The cost of providing plan benefits depends on demographic assumptions including retirements, mortality, turnover and plan participation.</w:t>
      </w:r>
    </w:p>
    <w:p>
      <w:pPr>
        <w:pStyle w:val="BodyText"/>
        <w:spacing w:before="18"/>
      </w:pPr>
    </w:p>
    <w:p>
      <w:pPr>
        <w:pStyle w:val="BodyText"/>
        <w:spacing w:line="266" w:lineRule="auto"/>
        <w:ind w:left="156" w:right="117"/>
      </w:pPr>
      <w:r>
        <w:rPr>
          <w:w w:val="105"/>
        </w:rPr>
        <w:t>Costs</w:t>
      </w:r>
      <w:r>
        <w:rPr>
          <w:spacing w:val="-3"/>
          <w:w w:val="105"/>
        </w:rPr>
        <w:t> </w:t>
      </w:r>
      <w:r>
        <w:rPr>
          <w:w w:val="105"/>
        </w:rPr>
        <w:t>for</w:t>
      </w:r>
      <w:r>
        <w:rPr>
          <w:spacing w:val="-3"/>
          <w:w w:val="105"/>
        </w:rPr>
        <w:t> </w:t>
      </w:r>
      <w:r>
        <w:rPr>
          <w:w w:val="105"/>
        </w:rPr>
        <w:t>defined</w:t>
      </w:r>
      <w:r>
        <w:rPr>
          <w:spacing w:val="-3"/>
          <w:w w:val="105"/>
        </w:rPr>
        <w:t> </w:t>
      </w:r>
      <w:r>
        <w:rPr>
          <w:w w:val="105"/>
        </w:rPr>
        <w:t>benefit</w:t>
      </w:r>
      <w:r>
        <w:rPr>
          <w:spacing w:val="-3"/>
          <w:w w:val="105"/>
        </w:rPr>
        <w:t> </w:t>
      </w:r>
      <w:r>
        <w:rPr>
          <w:w w:val="105"/>
        </w:rPr>
        <w:t>pension</w:t>
      </w:r>
      <w:r>
        <w:rPr>
          <w:spacing w:val="-3"/>
          <w:w w:val="105"/>
        </w:rPr>
        <w:t> </w:t>
      </w:r>
      <w:r>
        <w:rPr>
          <w:w w:val="105"/>
        </w:rPr>
        <w:t>plans</w:t>
      </w:r>
      <w:r>
        <w:rPr>
          <w:spacing w:val="-3"/>
          <w:w w:val="105"/>
        </w:rPr>
        <w:t> </w:t>
      </w:r>
      <w:r>
        <w:rPr>
          <w:w w:val="105"/>
        </w:rPr>
        <w:t>consist</w:t>
      </w:r>
      <w:r>
        <w:rPr>
          <w:spacing w:val="-3"/>
          <w:w w:val="105"/>
        </w:rPr>
        <w:t> </w:t>
      </w:r>
      <w:r>
        <w:rPr>
          <w:w w:val="105"/>
        </w:rPr>
        <w:t>of</w:t>
      </w:r>
      <w:r>
        <w:rPr>
          <w:spacing w:val="-2"/>
          <w:w w:val="105"/>
        </w:rPr>
        <w:t> </w:t>
      </w:r>
      <w:r>
        <w:rPr>
          <w:w w:val="105"/>
        </w:rPr>
        <w:t>two</w:t>
      </w:r>
      <w:r>
        <w:rPr>
          <w:spacing w:val="-3"/>
          <w:w w:val="105"/>
        </w:rPr>
        <w:t> </w:t>
      </w:r>
      <w:r>
        <w:rPr>
          <w:w w:val="105"/>
        </w:rPr>
        <w:t>elements:</w:t>
      </w:r>
      <w:r>
        <w:rPr>
          <w:spacing w:val="-3"/>
          <w:w w:val="105"/>
        </w:rPr>
        <w:t> </w:t>
      </w:r>
      <w:r>
        <w:rPr>
          <w:w w:val="105"/>
        </w:rPr>
        <w:t>(1)</w:t>
      </w:r>
      <w:r>
        <w:rPr>
          <w:spacing w:val="-3"/>
          <w:w w:val="105"/>
        </w:rPr>
        <w:t> </w:t>
      </w:r>
      <w:r>
        <w:rPr>
          <w:w w:val="105"/>
        </w:rPr>
        <w:t>on-going</w:t>
      </w:r>
      <w:r>
        <w:rPr>
          <w:spacing w:val="-3"/>
          <w:w w:val="105"/>
        </w:rPr>
        <w:t> </w:t>
      </w:r>
      <w:r>
        <w:rPr>
          <w:w w:val="105"/>
        </w:rPr>
        <w:t>costs</w:t>
      </w:r>
      <w:r>
        <w:rPr>
          <w:spacing w:val="-3"/>
          <w:w w:val="105"/>
        </w:rPr>
        <w:t> </w:t>
      </w:r>
      <w:r>
        <w:rPr>
          <w:w w:val="105"/>
        </w:rPr>
        <w:t>recognized</w:t>
      </w:r>
      <w:r>
        <w:rPr>
          <w:spacing w:val="-3"/>
          <w:w w:val="105"/>
        </w:rPr>
        <w:t> </w:t>
      </w:r>
      <w:r>
        <w:rPr>
          <w:w w:val="105"/>
        </w:rPr>
        <w:t>quarterly,</w:t>
      </w:r>
      <w:r>
        <w:rPr>
          <w:spacing w:val="-3"/>
          <w:w w:val="105"/>
        </w:rPr>
        <w:t> </w:t>
      </w:r>
      <w:r>
        <w:rPr>
          <w:w w:val="105"/>
        </w:rPr>
        <w:t>which</w:t>
      </w:r>
      <w:r>
        <w:rPr>
          <w:spacing w:val="-3"/>
          <w:w w:val="105"/>
        </w:rPr>
        <w:t> </w:t>
      </w:r>
      <w:r>
        <w:rPr>
          <w:w w:val="105"/>
        </w:rPr>
        <w:t>are</w:t>
      </w:r>
      <w:r>
        <w:rPr>
          <w:spacing w:val="-3"/>
          <w:w w:val="105"/>
        </w:rPr>
        <w:t> </w:t>
      </w:r>
      <w:r>
        <w:rPr>
          <w:w w:val="105"/>
        </w:rPr>
        <w:t>comprised</w:t>
      </w:r>
      <w:r>
        <w:rPr>
          <w:spacing w:val="-3"/>
          <w:w w:val="105"/>
        </w:rPr>
        <w:t> </w:t>
      </w:r>
      <w:r>
        <w:rPr>
          <w:w w:val="105"/>
        </w:rPr>
        <w:t>of</w:t>
      </w:r>
      <w:r>
        <w:rPr>
          <w:spacing w:val="-3"/>
          <w:w w:val="105"/>
        </w:rPr>
        <w:t> </w:t>
      </w:r>
      <w:r>
        <w:rPr>
          <w:w w:val="105"/>
        </w:rPr>
        <w:t>service</w:t>
      </w:r>
      <w:r>
        <w:rPr>
          <w:spacing w:val="-3"/>
          <w:w w:val="105"/>
        </w:rPr>
        <w:t> </w:t>
      </w:r>
      <w:r>
        <w:rPr>
          <w:w w:val="105"/>
        </w:rPr>
        <w:t>and</w:t>
      </w:r>
      <w:r>
        <w:rPr>
          <w:spacing w:val="-3"/>
          <w:w w:val="105"/>
        </w:rPr>
        <w:t> </w:t>
      </w:r>
      <w:r>
        <w:rPr>
          <w:w w:val="105"/>
        </w:rPr>
        <w:t>interest</w:t>
      </w:r>
      <w:r>
        <w:rPr>
          <w:spacing w:val="-3"/>
          <w:w w:val="105"/>
        </w:rPr>
        <w:t> </w:t>
      </w:r>
      <w:r>
        <w:rPr>
          <w:w w:val="105"/>
        </w:rPr>
        <w:t>costs,</w:t>
      </w:r>
      <w:r>
        <w:rPr>
          <w:spacing w:val="-3"/>
          <w:w w:val="105"/>
        </w:rPr>
        <w:t> </w:t>
      </w:r>
      <w:r>
        <w:rPr>
          <w:w w:val="105"/>
        </w:rPr>
        <w:t>expected</w:t>
      </w:r>
      <w:r>
        <w:rPr>
          <w:spacing w:val="-3"/>
          <w:w w:val="105"/>
        </w:rPr>
        <w:t> </w:t>
      </w:r>
      <w:r>
        <w:rPr>
          <w:w w:val="105"/>
        </w:rPr>
        <w:t>return</w:t>
      </w:r>
      <w:r>
        <w:rPr>
          <w:w w:val="105"/>
        </w:rPr>
        <w:t> on</w:t>
      </w:r>
      <w:r>
        <w:rPr>
          <w:spacing w:val="-7"/>
          <w:w w:val="105"/>
        </w:rPr>
        <w:t> </w:t>
      </w:r>
      <w:r>
        <w:rPr>
          <w:w w:val="105"/>
        </w:rPr>
        <w:t>plan</w:t>
      </w:r>
      <w:r>
        <w:rPr>
          <w:spacing w:val="-7"/>
          <w:w w:val="105"/>
        </w:rPr>
        <w:t> </w:t>
      </w:r>
      <w:r>
        <w:rPr>
          <w:w w:val="105"/>
        </w:rPr>
        <w:t>assets</w:t>
      </w:r>
      <w:r>
        <w:rPr>
          <w:spacing w:val="-7"/>
          <w:w w:val="105"/>
        </w:rPr>
        <w:t> </w:t>
      </w:r>
      <w:r>
        <w:rPr>
          <w:w w:val="105"/>
        </w:rPr>
        <w:t>and</w:t>
      </w:r>
      <w:r>
        <w:rPr>
          <w:spacing w:val="-7"/>
          <w:w w:val="105"/>
        </w:rPr>
        <w:t> </w:t>
      </w:r>
      <w:r>
        <w:rPr>
          <w:w w:val="105"/>
        </w:rPr>
        <w:t>amortization</w:t>
      </w:r>
      <w:r>
        <w:rPr>
          <w:spacing w:val="-7"/>
          <w:w w:val="105"/>
        </w:rPr>
        <w:t> </w:t>
      </w:r>
      <w:r>
        <w:rPr>
          <w:w w:val="105"/>
        </w:rPr>
        <w:t>of</w:t>
      </w:r>
      <w:r>
        <w:rPr>
          <w:spacing w:val="-7"/>
          <w:w w:val="105"/>
        </w:rPr>
        <w:t> </w:t>
      </w:r>
      <w:r>
        <w:rPr>
          <w:w w:val="105"/>
        </w:rPr>
        <w:t>prior</w:t>
      </w:r>
      <w:r>
        <w:rPr>
          <w:spacing w:val="-7"/>
          <w:w w:val="105"/>
        </w:rPr>
        <w:t> </w:t>
      </w:r>
      <w:r>
        <w:rPr>
          <w:w w:val="105"/>
        </w:rPr>
        <w:t>service</w:t>
      </w:r>
      <w:r>
        <w:rPr>
          <w:spacing w:val="-7"/>
          <w:w w:val="105"/>
        </w:rPr>
        <w:t> </w:t>
      </w:r>
      <w:r>
        <w:rPr>
          <w:w w:val="105"/>
        </w:rPr>
        <w:t>costs;</w:t>
      </w:r>
      <w:r>
        <w:rPr>
          <w:spacing w:val="-7"/>
          <w:w w:val="105"/>
        </w:rPr>
        <w:t> </w:t>
      </w:r>
      <w:r>
        <w:rPr>
          <w:w w:val="105"/>
        </w:rPr>
        <w:t>and</w:t>
      </w:r>
      <w:r>
        <w:rPr>
          <w:spacing w:val="-7"/>
          <w:w w:val="105"/>
        </w:rPr>
        <w:t> </w:t>
      </w:r>
      <w:r>
        <w:rPr>
          <w:w w:val="105"/>
        </w:rPr>
        <w:t>(2)</w:t>
      </w:r>
      <w:r>
        <w:rPr>
          <w:spacing w:val="-7"/>
          <w:w w:val="105"/>
        </w:rPr>
        <w:t> </w:t>
      </w:r>
      <w:r>
        <w:rPr>
          <w:w w:val="105"/>
        </w:rPr>
        <w:t>mark-to-market</w:t>
      </w:r>
      <w:r>
        <w:rPr>
          <w:spacing w:val="-7"/>
          <w:w w:val="105"/>
        </w:rPr>
        <w:t> </w:t>
      </w:r>
      <w:r>
        <w:rPr>
          <w:w w:val="105"/>
        </w:rPr>
        <w:t>gains</w:t>
      </w:r>
      <w:r>
        <w:rPr>
          <w:spacing w:val="-7"/>
          <w:w w:val="105"/>
        </w:rPr>
        <w:t> </w:t>
      </w:r>
      <w:r>
        <w:rPr>
          <w:w w:val="105"/>
        </w:rPr>
        <w:t>and</w:t>
      </w:r>
      <w:r>
        <w:rPr>
          <w:spacing w:val="-7"/>
          <w:w w:val="105"/>
        </w:rPr>
        <w:t> </w:t>
      </w:r>
      <w:r>
        <w:rPr>
          <w:w w:val="105"/>
        </w:rPr>
        <w:t>losses</w:t>
      </w:r>
      <w:r>
        <w:rPr>
          <w:spacing w:val="-7"/>
          <w:w w:val="105"/>
        </w:rPr>
        <w:t> </w:t>
      </w:r>
      <w:r>
        <w:rPr>
          <w:w w:val="105"/>
        </w:rPr>
        <w:t>outside</w:t>
      </w:r>
      <w:r>
        <w:rPr>
          <w:spacing w:val="-7"/>
          <w:w w:val="105"/>
        </w:rPr>
        <w:t> </w:t>
      </w:r>
      <w:r>
        <w:rPr>
          <w:w w:val="105"/>
        </w:rPr>
        <w:t>of</w:t>
      </w:r>
      <w:r>
        <w:rPr>
          <w:spacing w:val="-7"/>
          <w:w w:val="105"/>
        </w:rPr>
        <w:t> </w:t>
      </w:r>
      <w:r>
        <w:rPr>
          <w:w w:val="105"/>
        </w:rPr>
        <w:t>the</w:t>
      </w:r>
      <w:r>
        <w:rPr>
          <w:spacing w:val="-7"/>
          <w:w w:val="105"/>
        </w:rPr>
        <w:t> </w:t>
      </w:r>
      <w:r>
        <w:rPr>
          <w:w w:val="105"/>
        </w:rPr>
        <w:t>corridor,</w:t>
      </w:r>
      <w:r>
        <w:rPr>
          <w:spacing w:val="-7"/>
          <w:w w:val="105"/>
        </w:rPr>
        <w:t> </w:t>
      </w:r>
      <w:r>
        <w:rPr>
          <w:w w:val="105"/>
        </w:rPr>
        <w:t>where</w:t>
      </w:r>
      <w:r>
        <w:rPr>
          <w:spacing w:val="-7"/>
          <w:w w:val="105"/>
        </w:rPr>
        <w:t> </w:t>
      </w:r>
      <w:r>
        <w:rPr>
          <w:w w:val="105"/>
        </w:rPr>
        <w:t>the</w:t>
      </w:r>
      <w:r>
        <w:rPr>
          <w:spacing w:val="-7"/>
          <w:w w:val="105"/>
        </w:rPr>
        <w:t> </w:t>
      </w:r>
      <w:r>
        <w:rPr>
          <w:w w:val="105"/>
        </w:rPr>
        <w:t>corridor</w:t>
      </w:r>
      <w:r>
        <w:rPr>
          <w:spacing w:val="-7"/>
          <w:w w:val="105"/>
        </w:rPr>
        <w:t> </w:t>
      </w:r>
      <w:r>
        <w:rPr>
          <w:w w:val="105"/>
        </w:rPr>
        <w:t>is</w:t>
      </w:r>
      <w:r>
        <w:rPr>
          <w:spacing w:val="-5"/>
          <w:w w:val="105"/>
        </w:rPr>
        <w:t> </w:t>
      </w:r>
      <w:r>
        <w:rPr>
          <w:w w:val="105"/>
        </w:rPr>
        <w:t>equal</w:t>
      </w:r>
      <w:r>
        <w:rPr>
          <w:spacing w:val="-7"/>
          <w:w w:val="105"/>
        </w:rPr>
        <w:t> </w:t>
      </w:r>
      <w:r>
        <w:rPr>
          <w:w w:val="105"/>
        </w:rPr>
        <w:t>to</w:t>
      </w:r>
      <w:r>
        <w:rPr>
          <w:spacing w:val="-7"/>
          <w:w w:val="105"/>
        </w:rPr>
        <w:t> </w:t>
      </w:r>
      <w:r>
        <w:rPr>
          <w:w w:val="105"/>
        </w:rPr>
        <w:t>10%</w:t>
      </w:r>
      <w:r>
        <w:rPr>
          <w:spacing w:val="-7"/>
          <w:w w:val="105"/>
        </w:rPr>
        <w:t> </w:t>
      </w:r>
      <w:r>
        <w:rPr>
          <w:w w:val="105"/>
        </w:rPr>
        <w:t>of</w:t>
      </w:r>
      <w:r>
        <w:rPr>
          <w:spacing w:val="-7"/>
          <w:w w:val="105"/>
        </w:rPr>
        <w:t> </w:t>
      </w:r>
      <w:r>
        <w:rPr>
          <w:w w:val="105"/>
        </w:rPr>
        <w:t>the</w:t>
      </w:r>
      <w:r>
        <w:rPr>
          <w:spacing w:val="-7"/>
          <w:w w:val="105"/>
        </w:rPr>
        <w:t> </w:t>
      </w:r>
      <w:r>
        <w:rPr>
          <w:w w:val="105"/>
        </w:rPr>
        <w:t>greater</w:t>
      </w:r>
      <w:r>
        <w:rPr>
          <w:spacing w:val="-7"/>
          <w:w w:val="105"/>
        </w:rPr>
        <w:t> </w:t>
      </w:r>
      <w:r>
        <w:rPr>
          <w:w w:val="105"/>
        </w:rPr>
        <w:t>of</w:t>
      </w:r>
      <w:r>
        <w:rPr>
          <w:spacing w:val="-7"/>
          <w:w w:val="105"/>
        </w:rPr>
        <w:t> </w:t>
      </w:r>
      <w:r>
        <w:rPr>
          <w:w w:val="105"/>
        </w:rPr>
        <w:t>the benefit</w:t>
      </w:r>
      <w:r>
        <w:rPr>
          <w:spacing w:val="-2"/>
          <w:w w:val="105"/>
        </w:rPr>
        <w:t> </w:t>
      </w:r>
      <w:r>
        <w:rPr>
          <w:w w:val="105"/>
        </w:rPr>
        <w:t>obligation</w:t>
      </w:r>
      <w:r>
        <w:rPr>
          <w:spacing w:val="-2"/>
          <w:w w:val="105"/>
        </w:rPr>
        <w:t> </w:t>
      </w:r>
      <w:r>
        <w:rPr>
          <w:w w:val="105"/>
        </w:rPr>
        <w:t>or</w:t>
      </w:r>
      <w:r>
        <w:rPr>
          <w:spacing w:val="-2"/>
          <w:w w:val="105"/>
        </w:rPr>
        <w:t> </w:t>
      </w:r>
      <w:r>
        <w:rPr>
          <w:w w:val="105"/>
        </w:rPr>
        <w:t>the</w:t>
      </w:r>
      <w:r>
        <w:rPr>
          <w:spacing w:val="-2"/>
          <w:w w:val="105"/>
        </w:rPr>
        <w:t> </w:t>
      </w:r>
      <w:r>
        <w:rPr>
          <w:w w:val="105"/>
        </w:rPr>
        <w:t>market-related</w:t>
      </w:r>
      <w:r>
        <w:rPr>
          <w:spacing w:val="-2"/>
          <w:w w:val="105"/>
        </w:rPr>
        <w:t> </w:t>
      </w:r>
      <w:r>
        <w:rPr>
          <w:w w:val="105"/>
        </w:rPr>
        <w:t>value</w:t>
      </w:r>
      <w:r>
        <w:rPr>
          <w:spacing w:val="-2"/>
          <w:w w:val="105"/>
        </w:rPr>
        <w:t> </w:t>
      </w:r>
      <w:r>
        <w:rPr>
          <w:w w:val="105"/>
        </w:rPr>
        <w:t>of</w:t>
      </w:r>
      <w:r>
        <w:rPr>
          <w:spacing w:val="-2"/>
          <w:w w:val="105"/>
        </w:rPr>
        <w:t> </w:t>
      </w:r>
      <w:r>
        <w:rPr>
          <w:w w:val="105"/>
        </w:rPr>
        <w:t>plan</w:t>
      </w:r>
      <w:r>
        <w:rPr>
          <w:spacing w:val="-2"/>
          <w:w w:val="105"/>
        </w:rPr>
        <w:t> </w:t>
      </w:r>
      <w:r>
        <w:rPr>
          <w:w w:val="105"/>
        </w:rPr>
        <w:t>assets</w:t>
      </w:r>
      <w:r>
        <w:rPr>
          <w:spacing w:val="-2"/>
          <w:w w:val="105"/>
        </w:rPr>
        <w:t> </w:t>
      </w:r>
      <w:r>
        <w:rPr>
          <w:w w:val="105"/>
        </w:rPr>
        <w:t>at</w:t>
      </w:r>
      <w:r>
        <w:rPr>
          <w:spacing w:val="-2"/>
          <w:w w:val="105"/>
        </w:rPr>
        <w:t> </w:t>
      </w:r>
      <w:r>
        <w:rPr>
          <w:w w:val="105"/>
        </w:rPr>
        <w:t>the</w:t>
      </w:r>
      <w:r>
        <w:rPr>
          <w:spacing w:val="-2"/>
          <w:w w:val="105"/>
        </w:rPr>
        <w:t> </w:t>
      </w:r>
      <w:r>
        <w:rPr>
          <w:w w:val="105"/>
        </w:rPr>
        <w:t>beginning</w:t>
      </w:r>
      <w:r>
        <w:rPr>
          <w:spacing w:val="-2"/>
          <w:w w:val="105"/>
        </w:rPr>
        <w:t> </w:t>
      </w:r>
      <w:r>
        <w:rPr>
          <w:w w:val="105"/>
        </w:rPr>
        <w:t>of</w:t>
      </w:r>
      <w:r>
        <w:rPr>
          <w:spacing w:val="-2"/>
          <w:w w:val="105"/>
        </w:rPr>
        <w:t> </w:t>
      </w:r>
      <w:r>
        <w:rPr>
          <w:w w:val="105"/>
        </w:rPr>
        <w:t>the</w:t>
      </w:r>
      <w:r>
        <w:rPr>
          <w:spacing w:val="-2"/>
          <w:w w:val="105"/>
        </w:rPr>
        <w:t> </w:t>
      </w:r>
      <w:r>
        <w:rPr>
          <w:w w:val="105"/>
        </w:rPr>
        <w:t>year,</w:t>
      </w:r>
      <w:r>
        <w:rPr>
          <w:spacing w:val="-2"/>
          <w:w w:val="105"/>
        </w:rPr>
        <w:t> </w:t>
      </w:r>
      <w:r>
        <w:rPr>
          <w:w w:val="105"/>
        </w:rPr>
        <w:t>which</w:t>
      </w:r>
      <w:r>
        <w:rPr>
          <w:spacing w:val="-2"/>
          <w:w w:val="105"/>
        </w:rPr>
        <w:t> </w:t>
      </w:r>
      <w:r>
        <w:rPr>
          <w:w w:val="105"/>
        </w:rPr>
        <w:t>are recognized</w:t>
      </w:r>
      <w:r>
        <w:rPr>
          <w:spacing w:val="-2"/>
          <w:w w:val="105"/>
        </w:rPr>
        <w:t> </w:t>
      </w:r>
      <w:r>
        <w:rPr>
          <w:w w:val="105"/>
        </w:rPr>
        <w:t>annually</w:t>
      </w:r>
      <w:r>
        <w:rPr>
          <w:spacing w:val="-2"/>
          <w:w w:val="105"/>
        </w:rPr>
        <w:t> </w:t>
      </w:r>
      <w:r>
        <w:rPr>
          <w:w w:val="105"/>
        </w:rPr>
        <w:t>in</w:t>
      </w:r>
      <w:r>
        <w:rPr>
          <w:spacing w:val="-2"/>
          <w:w w:val="105"/>
        </w:rPr>
        <w:t> </w:t>
      </w:r>
      <w:r>
        <w:rPr>
          <w:w w:val="105"/>
        </w:rPr>
        <w:t>the</w:t>
      </w:r>
      <w:r>
        <w:rPr>
          <w:spacing w:val="-1"/>
          <w:w w:val="105"/>
        </w:rPr>
        <w:t> </w:t>
      </w:r>
      <w:r>
        <w:rPr>
          <w:w w:val="105"/>
        </w:rPr>
        <w:t>fourth</w:t>
      </w:r>
      <w:r>
        <w:rPr>
          <w:spacing w:val="-2"/>
          <w:w w:val="105"/>
        </w:rPr>
        <w:t> </w:t>
      </w:r>
      <w:r>
        <w:rPr>
          <w:w w:val="105"/>
        </w:rPr>
        <w:t>quarter</w:t>
      </w:r>
      <w:r>
        <w:rPr>
          <w:spacing w:val="-2"/>
          <w:w w:val="105"/>
        </w:rPr>
        <w:t> </w:t>
      </w:r>
      <w:r>
        <w:rPr>
          <w:w w:val="105"/>
        </w:rPr>
        <w:t>of</w:t>
      </w:r>
      <w:r>
        <w:rPr>
          <w:spacing w:val="-2"/>
          <w:w w:val="105"/>
        </w:rPr>
        <w:t> </w:t>
      </w:r>
      <w:r>
        <w:rPr>
          <w:w w:val="105"/>
        </w:rPr>
        <w:t>each</w:t>
      </w:r>
      <w:r>
        <w:rPr>
          <w:spacing w:val="-2"/>
          <w:w w:val="105"/>
        </w:rPr>
        <w:t> </w:t>
      </w:r>
      <w:r>
        <w:rPr>
          <w:w w:val="105"/>
        </w:rPr>
        <w:t>year.</w:t>
      </w:r>
      <w:r>
        <w:rPr>
          <w:spacing w:val="-2"/>
          <w:w w:val="105"/>
        </w:rPr>
        <w:t> </w:t>
      </w:r>
      <w:r>
        <w:rPr>
          <w:w w:val="105"/>
        </w:rPr>
        <w:t>These</w:t>
      </w:r>
      <w:r>
        <w:rPr>
          <w:spacing w:val="-2"/>
          <w:w w:val="105"/>
        </w:rPr>
        <w:t> </w:t>
      </w:r>
      <w:r>
        <w:rPr>
          <w:w w:val="105"/>
        </w:rPr>
        <w:t>gains</w:t>
      </w:r>
      <w:r>
        <w:rPr>
          <w:spacing w:val="-2"/>
          <w:w w:val="105"/>
        </w:rPr>
        <w:t> </w:t>
      </w:r>
      <w:r>
        <w:rPr>
          <w:w w:val="105"/>
        </w:rPr>
        <w:t>and losses</w:t>
      </w:r>
      <w:r>
        <w:rPr>
          <w:spacing w:val="-3"/>
          <w:w w:val="105"/>
        </w:rPr>
        <w:t> </w:t>
      </w:r>
      <w:r>
        <w:rPr>
          <w:w w:val="105"/>
        </w:rPr>
        <w:t>result</w:t>
      </w:r>
      <w:r>
        <w:rPr>
          <w:spacing w:val="-3"/>
          <w:w w:val="105"/>
        </w:rPr>
        <w:t> </w:t>
      </w:r>
      <w:r>
        <w:rPr>
          <w:w w:val="105"/>
        </w:rPr>
        <w:t>from</w:t>
      </w:r>
      <w:r>
        <w:rPr>
          <w:spacing w:val="-3"/>
          <w:w w:val="105"/>
        </w:rPr>
        <w:t> </w:t>
      </w:r>
      <w:r>
        <w:rPr>
          <w:w w:val="105"/>
        </w:rPr>
        <w:t>changes</w:t>
      </w:r>
      <w:r>
        <w:rPr>
          <w:spacing w:val="-1"/>
          <w:w w:val="105"/>
        </w:rPr>
        <w:t> </w:t>
      </w:r>
      <w:r>
        <w:rPr>
          <w:w w:val="105"/>
        </w:rPr>
        <w:t>in</w:t>
      </w:r>
      <w:r>
        <w:rPr>
          <w:spacing w:val="-3"/>
          <w:w w:val="105"/>
        </w:rPr>
        <w:t> </w:t>
      </w:r>
      <w:r>
        <w:rPr>
          <w:w w:val="105"/>
        </w:rPr>
        <w:t>actuarial</w:t>
      </w:r>
      <w:r>
        <w:rPr>
          <w:spacing w:val="-3"/>
          <w:w w:val="105"/>
        </w:rPr>
        <w:t> </w:t>
      </w:r>
      <w:r>
        <w:rPr>
          <w:w w:val="105"/>
        </w:rPr>
        <w:t>assumptions</w:t>
      </w:r>
      <w:r>
        <w:rPr>
          <w:spacing w:val="-1"/>
          <w:w w:val="105"/>
        </w:rPr>
        <w:t> </w:t>
      </w:r>
      <w:r>
        <w:rPr>
          <w:w w:val="105"/>
        </w:rPr>
        <w:t>and</w:t>
      </w:r>
      <w:r>
        <w:rPr>
          <w:spacing w:val="-3"/>
          <w:w w:val="105"/>
        </w:rPr>
        <w:t> </w:t>
      </w:r>
      <w:r>
        <w:rPr>
          <w:w w:val="105"/>
        </w:rPr>
        <w:t>the</w:t>
      </w:r>
      <w:r>
        <w:rPr>
          <w:spacing w:val="-3"/>
          <w:w w:val="105"/>
        </w:rPr>
        <w:t> </w:t>
      </w:r>
      <w:r>
        <w:rPr>
          <w:w w:val="105"/>
        </w:rPr>
        <w:t>differences</w:t>
      </w:r>
      <w:r>
        <w:rPr>
          <w:spacing w:val="-3"/>
          <w:w w:val="105"/>
        </w:rPr>
        <w:t> </w:t>
      </w:r>
      <w:r>
        <w:rPr>
          <w:w w:val="105"/>
        </w:rPr>
        <w:t>between</w:t>
      </w:r>
      <w:r>
        <w:rPr>
          <w:spacing w:val="-3"/>
          <w:w w:val="105"/>
        </w:rPr>
        <w:t> </w:t>
      </w:r>
      <w:r>
        <w:rPr>
          <w:w w:val="105"/>
        </w:rPr>
        <w:t>actual</w:t>
      </w:r>
      <w:r>
        <w:rPr>
          <w:spacing w:val="-3"/>
          <w:w w:val="105"/>
        </w:rPr>
        <w:t> </w:t>
      </w:r>
      <w:r>
        <w:rPr>
          <w:w w:val="105"/>
        </w:rPr>
        <w:t>and</w:t>
      </w:r>
      <w:r>
        <w:rPr>
          <w:spacing w:val="-3"/>
          <w:w w:val="105"/>
        </w:rPr>
        <w:t> </w:t>
      </w:r>
      <w:r>
        <w:rPr>
          <w:w w:val="105"/>
        </w:rPr>
        <w:t>expected</w:t>
      </w:r>
      <w:r>
        <w:rPr>
          <w:spacing w:val="-3"/>
          <w:w w:val="105"/>
        </w:rPr>
        <w:t> </w:t>
      </w:r>
      <w:r>
        <w:rPr>
          <w:w w:val="105"/>
        </w:rPr>
        <w:t>return</w:t>
      </w:r>
      <w:r>
        <w:rPr>
          <w:spacing w:val="-3"/>
          <w:w w:val="105"/>
        </w:rPr>
        <w:t> </w:t>
      </w:r>
      <w:r>
        <w:rPr>
          <w:w w:val="105"/>
        </w:rPr>
        <w:t>on</w:t>
      </w:r>
      <w:r>
        <w:rPr>
          <w:spacing w:val="-3"/>
          <w:w w:val="105"/>
        </w:rPr>
        <w:t> </w:t>
      </w:r>
      <w:r>
        <w:rPr>
          <w:w w:val="105"/>
        </w:rPr>
        <w:t>plan</w:t>
      </w:r>
      <w:r>
        <w:rPr>
          <w:spacing w:val="-3"/>
          <w:w w:val="105"/>
        </w:rPr>
        <w:t> </w:t>
      </w:r>
      <w:r>
        <w:rPr>
          <w:w w:val="105"/>
        </w:rPr>
        <w:t>assets.</w:t>
      </w:r>
      <w:r>
        <w:rPr>
          <w:spacing w:val="-3"/>
          <w:w w:val="105"/>
        </w:rPr>
        <w:t> </w:t>
      </w:r>
      <w:r>
        <w:rPr>
          <w:w w:val="105"/>
        </w:rPr>
        <w:t>Any</w:t>
      </w:r>
      <w:r>
        <w:rPr>
          <w:spacing w:val="-3"/>
          <w:w w:val="105"/>
        </w:rPr>
        <w:t> </w:t>
      </w:r>
      <w:r>
        <w:rPr>
          <w:w w:val="105"/>
        </w:rPr>
        <w:t>interim</w:t>
      </w:r>
      <w:r>
        <w:rPr>
          <w:spacing w:val="-1"/>
          <w:w w:val="105"/>
        </w:rPr>
        <w:t> </w:t>
      </w:r>
      <w:r>
        <w:rPr>
          <w:w w:val="105"/>
        </w:rPr>
        <w:t>remeasurement,</w:t>
      </w:r>
      <w:r>
        <w:rPr>
          <w:spacing w:val="-3"/>
          <w:w w:val="105"/>
        </w:rPr>
        <w:t> </w:t>
      </w:r>
      <w:r>
        <w:rPr>
          <w:w w:val="105"/>
        </w:rPr>
        <w:t>triggered</w:t>
      </w:r>
      <w:r>
        <w:rPr>
          <w:spacing w:val="-3"/>
          <w:w w:val="105"/>
        </w:rPr>
        <w:t> </w:t>
      </w:r>
      <w:r>
        <w:rPr>
          <w:w w:val="105"/>
        </w:rPr>
        <w:t>by</w:t>
      </w:r>
      <w:r>
        <w:rPr>
          <w:spacing w:val="-3"/>
          <w:w w:val="105"/>
        </w:rPr>
        <w:t> </w:t>
      </w:r>
      <w:r>
        <w:rPr>
          <w:w w:val="105"/>
        </w:rPr>
        <w:t>a curtailment,</w:t>
      </w:r>
      <w:r>
        <w:rPr>
          <w:spacing w:val="-2"/>
          <w:w w:val="105"/>
        </w:rPr>
        <w:t> </w:t>
      </w:r>
      <w:r>
        <w:rPr>
          <w:w w:val="105"/>
        </w:rPr>
        <w:t>settlement</w:t>
      </w:r>
      <w:r>
        <w:rPr>
          <w:spacing w:val="-2"/>
          <w:w w:val="105"/>
        </w:rPr>
        <w:t> </w:t>
      </w:r>
      <w:r>
        <w:rPr>
          <w:w w:val="105"/>
        </w:rPr>
        <w:t>or</w:t>
      </w:r>
      <w:r>
        <w:rPr>
          <w:spacing w:val="-2"/>
          <w:w w:val="105"/>
        </w:rPr>
        <w:t> </w:t>
      </w:r>
      <w:r>
        <w:rPr>
          <w:w w:val="105"/>
        </w:rPr>
        <w:t>significant</w:t>
      </w:r>
      <w:r>
        <w:rPr>
          <w:spacing w:val="-2"/>
          <w:w w:val="105"/>
        </w:rPr>
        <w:t> </w:t>
      </w:r>
      <w:r>
        <w:rPr>
          <w:w w:val="105"/>
        </w:rPr>
        <w:t>plan</w:t>
      </w:r>
      <w:r>
        <w:rPr>
          <w:spacing w:val="-2"/>
          <w:w w:val="105"/>
        </w:rPr>
        <w:t> </w:t>
      </w:r>
      <w:r>
        <w:rPr>
          <w:w w:val="105"/>
        </w:rPr>
        <w:t>change,</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any</w:t>
      </w:r>
      <w:r>
        <w:rPr>
          <w:spacing w:val="-2"/>
          <w:w w:val="105"/>
        </w:rPr>
        <w:t> </w:t>
      </w:r>
      <w:r>
        <w:rPr>
          <w:w w:val="105"/>
        </w:rPr>
        <w:t>true-up</w:t>
      </w:r>
      <w:r>
        <w:rPr>
          <w:spacing w:val="-2"/>
          <w:w w:val="105"/>
        </w:rPr>
        <w:t> </w:t>
      </w:r>
      <w:r>
        <w:rPr>
          <w:w w:val="105"/>
        </w:rPr>
        <w:t>to</w:t>
      </w:r>
      <w:r>
        <w:rPr>
          <w:spacing w:val="-2"/>
          <w:w w:val="105"/>
        </w:rPr>
        <w:t> </w:t>
      </w:r>
      <w:r>
        <w:rPr>
          <w:w w:val="105"/>
        </w:rPr>
        <w:t>the</w:t>
      </w:r>
      <w:r>
        <w:rPr>
          <w:spacing w:val="-2"/>
          <w:w w:val="105"/>
        </w:rPr>
        <w:t> </w:t>
      </w:r>
      <w:r>
        <w:rPr>
          <w:w w:val="105"/>
        </w:rPr>
        <w:t>annual</w:t>
      </w:r>
      <w:r>
        <w:rPr>
          <w:spacing w:val="-2"/>
          <w:w w:val="105"/>
        </w:rPr>
        <w:t> </w:t>
      </w:r>
      <w:r>
        <w:rPr>
          <w:w w:val="105"/>
        </w:rPr>
        <w:t>valuation,</w:t>
      </w:r>
      <w:r>
        <w:rPr>
          <w:spacing w:val="-2"/>
          <w:w w:val="105"/>
        </w:rPr>
        <w:t> </w:t>
      </w:r>
      <w:r>
        <w:rPr>
          <w:w w:val="105"/>
        </w:rPr>
        <w:t>is recognized</w:t>
      </w:r>
      <w:r>
        <w:rPr>
          <w:spacing w:val="-2"/>
          <w:w w:val="105"/>
        </w:rPr>
        <w:t> </w:t>
      </w:r>
      <w:r>
        <w:rPr>
          <w:w w:val="105"/>
        </w:rPr>
        <w:t>as</w:t>
      </w:r>
      <w:r>
        <w:rPr>
          <w:spacing w:val="-2"/>
          <w:w w:val="105"/>
        </w:rPr>
        <w:t> </w:t>
      </w:r>
      <w:r>
        <w:rPr>
          <w:w w:val="105"/>
        </w:rPr>
        <w:t>a</w:t>
      </w:r>
      <w:r>
        <w:rPr>
          <w:spacing w:val="-2"/>
          <w:w w:val="105"/>
        </w:rPr>
        <w:t> </w:t>
      </w:r>
      <w:r>
        <w:rPr>
          <w:w w:val="105"/>
        </w:rPr>
        <w:t>mark-to-market</w:t>
      </w:r>
      <w:r>
        <w:rPr>
          <w:spacing w:val="-2"/>
          <w:w w:val="105"/>
        </w:rPr>
        <w:t> </w:t>
      </w:r>
      <w:r>
        <w:rPr>
          <w:w w:val="105"/>
        </w:rPr>
        <w:t>adjustment</w:t>
      </w:r>
      <w:r>
        <w:rPr>
          <w:spacing w:val="-2"/>
          <w:w w:val="105"/>
        </w:rPr>
        <w:t> </w:t>
      </w:r>
      <w:r>
        <w:rPr>
          <w:w w:val="105"/>
        </w:rPr>
        <w:t>in the</w:t>
      </w:r>
      <w:r>
        <w:rPr>
          <w:spacing w:val="-2"/>
          <w:w w:val="105"/>
        </w:rPr>
        <w:t> </w:t>
      </w:r>
      <w:r>
        <w:rPr>
          <w:w w:val="105"/>
        </w:rPr>
        <w:t>quarter</w:t>
      </w:r>
      <w:r>
        <w:rPr>
          <w:spacing w:val="-2"/>
          <w:w w:val="105"/>
        </w:rPr>
        <w:t> </w:t>
      </w:r>
      <w:r>
        <w:rPr>
          <w:w w:val="105"/>
        </w:rPr>
        <w:t>in</w:t>
      </w:r>
      <w:r>
        <w:rPr>
          <w:spacing w:val="-2"/>
          <w:w w:val="105"/>
        </w:rPr>
        <w:t> </w:t>
      </w:r>
      <w:r>
        <w:rPr>
          <w:w w:val="105"/>
        </w:rPr>
        <w:t>which</w:t>
      </w:r>
      <w:r>
        <w:rPr>
          <w:spacing w:val="-2"/>
          <w:w w:val="105"/>
        </w:rPr>
        <w:t> </w:t>
      </w:r>
      <w:r>
        <w:rPr>
          <w:w w:val="105"/>
        </w:rPr>
        <w:t>such event</w:t>
      </w:r>
      <w:r>
        <w:rPr>
          <w:spacing w:val="-1"/>
          <w:w w:val="105"/>
        </w:rPr>
        <w:t> </w:t>
      </w:r>
      <w:r>
        <w:rPr>
          <w:w w:val="105"/>
        </w:rPr>
        <w:t>occurs.</w:t>
      </w:r>
    </w:p>
    <w:p>
      <w:pPr>
        <w:pStyle w:val="BodyText"/>
        <w:spacing w:before="17"/>
      </w:pPr>
    </w:p>
    <w:p>
      <w:pPr>
        <w:pStyle w:val="BodyText"/>
        <w:spacing w:line="266" w:lineRule="auto" w:before="1"/>
        <w:ind w:left="156"/>
      </w:pPr>
      <w:r>
        <w:rPr>
          <w:w w:val="105"/>
        </w:rPr>
        <w:t>Costs</w:t>
      </w:r>
      <w:r>
        <w:rPr>
          <w:spacing w:val="-8"/>
          <w:w w:val="105"/>
        </w:rPr>
        <w:t> </w:t>
      </w:r>
      <w:r>
        <w:rPr>
          <w:w w:val="105"/>
        </w:rPr>
        <w:t>for</w:t>
      </w:r>
      <w:r>
        <w:rPr>
          <w:spacing w:val="-8"/>
          <w:w w:val="105"/>
        </w:rPr>
        <w:t> </w:t>
      </w:r>
      <w:r>
        <w:rPr>
          <w:w w:val="105"/>
        </w:rPr>
        <w:t>postretirement</w:t>
      </w:r>
      <w:r>
        <w:rPr>
          <w:spacing w:val="-8"/>
          <w:w w:val="105"/>
        </w:rPr>
        <w:t> </w:t>
      </w:r>
      <w:r>
        <w:rPr>
          <w:w w:val="105"/>
        </w:rPr>
        <w:t>benefit</w:t>
      </w:r>
      <w:r>
        <w:rPr>
          <w:spacing w:val="-8"/>
          <w:w w:val="105"/>
        </w:rPr>
        <w:t> </w:t>
      </w:r>
      <w:r>
        <w:rPr>
          <w:w w:val="105"/>
        </w:rPr>
        <w:t>plans</w:t>
      </w:r>
      <w:r>
        <w:rPr>
          <w:spacing w:val="-8"/>
          <w:w w:val="105"/>
        </w:rPr>
        <w:t> </w:t>
      </w:r>
      <w:r>
        <w:rPr>
          <w:w w:val="105"/>
        </w:rPr>
        <w:t>consist</w:t>
      </w:r>
      <w:r>
        <w:rPr>
          <w:spacing w:val="-8"/>
          <w:w w:val="105"/>
        </w:rPr>
        <w:t> </w:t>
      </w:r>
      <w:r>
        <w:rPr>
          <w:w w:val="105"/>
        </w:rPr>
        <w:t>of</w:t>
      </w:r>
      <w:r>
        <w:rPr>
          <w:spacing w:val="-8"/>
          <w:w w:val="105"/>
        </w:rPr>
        <w:t> </w:t>
      </w:r>
      <w:r>
        <w:rPr>
          <w:w w:val="105"/>
        </w:rPr>
        <w:t>on-going</w:t>
      </w:r>
      <w:r>
        <w:rPr>
          <w:spacing w:val="-7"/>
          <w:w w:val="105"/>
        </w:rPr>
        <w:t> </w:t>
      </w:r>
      <w:r>
        <w:rPr>
          <w:w w:val="105"/>
        </w:rPr>
        <w:t>costs</w:t>
      </w:r>
      <w:r>
        <w:rPr>
          <w:spacing w:val="-8"/>
          <w:w w:val="105"/>
        </w:rPr>
        <w:t> </w:t>
      </w:r>
      <w:r>
        <w:rPr>
          <w:w w:val="105"/>
        </w:rPr>
        <w:t>recognized</w:t>
      </w:r>
      <w:r>
        <w:rPr>
          <w:spacing w:val="-8"/>
          <w:w w:val="105"/>
        </w:rPr>
        <w:t> </w:t>
      </w:r>
      <w:r>
        <w:rPr>
          <w:w w:val="105"/>
        </w:rPr>
        <w:t>quarterly,</w:t>
      </w:r>
      <w:r>
        <w:rPr>
          <w:spacing w:val="-8"/>
          <w:w w:val="105"/>
        </w:rPr>
        <w:t> </w:t>
      </w:r>
      <w:r>
        <w:rPr>
          <w:w w:val="105"/>
        </w:rPr>
        <w:t>and</w:t>
      </w:r>
      <w:r>
        <w:rPr>
          <w:spacing w:val="-8"/>
          <w:w w:val="105"/>
        </w:rPr>
        <w:t> </w:t>
      </w:r>
      <w:r>
        <w:rPr>
          <w:w w:val="105"/>
        </w:rPr>
        <w:t>are</w:t>
      </w:r>
      <w:r>
        <w:rPr>
          <w:spacing w:val="-8"/>
          <w:w w:val="105"/>
        </w:rPr>
        <w:t> </w:t>
      </w:r>
      <w:r>
        <w:rPr>
          <w:w w:val="105"/>
        </w:rPr>
        <w:t>comprised</w:t>
      </w:r>
      <w:r>
        <w:rPr>
          <w:spacing w:val="-8"/>
          <w:w w:val="105"/>
        </w:rPr>
        <w:t> </w:t>
      </w:r>
      <w:r>
        <w:rPr>
          <w:w w:val="105"/>
        </w:rPr>
        <w:t>of</w:t>
      </w:r>
      <w:r>
        <w:rPr>
          <w:spacing w:val="-8"/>
          <w:w w:val="105"/>
        </w:rPr>
        <w:t> </w:t>
      </w:r>
      <w:r>
        <w:rPr>
          <w:w w:val="105"/>
        </w:rPr>
        <w:t>service</w:t>
      </w:r>
      <w:r>
        <w:rPr>
          <w:spacing w:val="-8"/>
          <w:w w:val="105"/>
        </w:rPr>
        <w:t> </w:t>
      </w:r>
      <w:r>
        <w:rPr>
          <w:w w:val="105"/>
        </w:rPr>
        <w:t>and</w:t>
      </w:r>
      <w:r>
        <w:rPr>
          <w:spacing w:val="-8"/>
          <w:w w:val="105"/>
        </w:rPr>
        <w:t> </w:t>
      </w:r>
      <w:r>
        <w:rPr>
          <w:w w:val="105"/>
        </w:rPr>
        <w:t>interest</w:t>
      </w:r>
      <w:r>
        <w:rPr>
          <w:spacing w:val="-8"/>
          <w:w w:val="105"/>
        </w:rPr>
        <w:t> </w:t>
      </w:r>
      <w:r>
        <w:rPr>
          <w:w w:val="105"/>
        </w:rPr>
        <w:t>costs,</w:t>
      </w:r>
      <w:r>
        <w:rPr>
          <w:spacing w:val="-8"/>
          <w:w w:val="105"/>
        </w:rPr>
        <w:t> </w:t>
      </w:r>
      <w:r>
        <w:rPr>
          <w:w w:val="105"/>
        </w:rPr>
        <w:t>amortization</w:t>
      </w:r>
      <w:r>
        <w:rPr>
          <w:spacing w:val="-8"/>
          <w:w w:val="105"/>
        </w:rPr>
        <w:t> </w:t>
      </w:r>
      <w:r>
        <w:rPr>
          <w:w w:val="105"/>
        </w:rPr>
        <w:t>of</w:t>
      </w:r>
      <w:r>
        <w:rPr>
          <w:spacing w:val="-8"/>
          <w:w w:val="105"/>
        </w:rPr>
        <w:t> </w:t>
      </w:r>
      <w:r>
        <w:rPr>
          <w:w w:val="105"/>
        </w:rPr>
        <w:t>prior</w:t>
      </w:r>
      <w:r>
        <w:rPr>
          <w:spacing w:val="-8"/>
          <w:w w:val="105"/>
        </w:rPr>
        <w:t> </w:t>
      </w:r>
      <w:r>
        <w:rPr>
          <w:w w:val="105"/>
        </w:rPr>
        <w:t>service</w:t>
      </w:r>
      <w:r>
        <w:rPr>
          <w:spacing w:val="-8"/>
          <w:w w:val="105"/>
        </w:rPr>
        <w:t> </w:t>
      </w:r>
      <w:r>
        <w:rPr>
          <w:w w:val="105"/>
        </w:rPr>
        <w:t>costs</w:t>
      </w:r>
      <w:r>
        <w:rPr>
          <w:spacing w:val="-8"/>
          <w:w w:val="105"/>
        </w:rPr>
        <w:t> </w:t>
      </w:r>
      <w:r>
        <w:rPr>
          <w:w w:val="105"/>
        </w:rPr>
        <w:t>and amortization</w:t>
      </w:r>
      <w:r>
        <w:rPr>
          <w:spacing w:val="-3"/>
          <w:w w:val="105"/>
        </w:rPr>
        <w:t> </w:t>
      </w:r>
      <w:r>
        <w:rPr>
          <w:w w:val="105"/>
        </w:rPr>
        <w:t>of</w:t>
      </w:r>
      <w:r>
        <w:rPr>
          <w:spacing w:val="-3"/>
          <w:w w:val="105"/>
        </w:rPr>
        <w:t> </w:t>
      </w:r>
      <w:r>
        <w:rPr>
          <w:w w:val="105"/>
        </w:rPr>
        <w:t>actuarial</w:t>
      </w:r>
      <w:r>
        <w:rPr>
          <w:spacing w:val="-3"/>
          <w:w w:val="105"/>
        </w:rPr>
        <w:t> </w:t>
      </w:r>
      <w:r>
        <w:rPr>
          <w:w w:val="105"/>
        </w:rPr>
        <w:t>gains</w:t>
      </w:r>
      <w:r>
        <w:rPr>
          <w:spacing w:val="-3"/>
          <w:w w:val="105"/>
        </w:rPr>
        <w:t> </w:t>
      </w:r>
      <w:r>
        <w:rPr>
          <w:w w:val="105"/>
        </w:rPr>
        <w:t>and</w:t>
      </w:r>
      <w:r>
        <w:rPr>
          <w:spacing w:val="-3"/>
          <w:w w:val="105"/>
        </w:rPr>
        <w:t> </w:t>
      </w:r>
      <w:r>
        <w:rPr>
          <w:w w:val="105"/>
        </w:rPr>
        <w:t>losses.</w:t>
      </w:r>
      <w:r>
        <w:rPr>
          <w:spacing w:val="-3"/>
          <w:w w:val="105"/>
        </w:rPr>
        <w:t> </w:t>
      </w:r>
      <w:r>
        <w:rPr>
          <w:w w:val="105"/>
        </w:rPr>
        <w:t>Actuarial</w:t>
      </w:r>
      <w:r>
        <w:rPr>
          <w:spacing w:val="-3"/>
          <w:w w:val="105"/>
        </w:rPr>
        <w:t> </w:t>
      </w:r>
      <w:r>
        <w:rPr>
          <w:w w:val="105"/>
        </w:rPr>
        <w:t>gains</w:t>
      </w:r>
      <w:r>
        <w:rPr>
          <w:spacing w:val="-3"/>
          <w:w w:val="105"/>
        </w:rPr>
        <w:t> </w:t>
      </w:r>
      <w:r>
        <w:rPr>
          <w:w w:val="105"/>
        </w:rPr>
        <w:t>and</w:t>
      </w:r>
      <w:r>
        <w:rPr>
          <w:spacing w:val="-3"/>
          <w:w w:val="105"/>
        </w:rPr>
        <w:t> </w:t>
      </w:r>
      <w:r>
        <w:rPr>
          <w:w w:val="105"/>
        </w:rPr>
        <w:t>losses</w:t>
      </w:r>
      <w:r>
        <w:rPr>
          <w:spacing w:val="-3"/>
          <w:w w:val="105"/>
        </w:rPr>
        <w:t> </w:t>
      </w:r>
      <w:r>
        <w:rPr>
          <w:w w:val="105"/>
        </w:rPr>
        <w:t>resulting</w:t>
      </w:r>
      <w:r>
        <w:rPr>
          <w:spacing w:val="-3"/>
          <w:w w:val="105"/>
        </w:rPr>
        <w:t> </w:t>
      </w:r>
      <w:r>
        <w:rPr>
          <w:w w:val="105"/>
        </w:rPr>
        <w:t>from</w:t>
      </w:r>
      <w:r>
        <w:rPr>
          <w:spacing w:val="-3"/>
          <w:w w:val="105"/>
        </w:rPr>
        <w:t> </w:t>
      </w:r>
      <w:r>
        <w:rPr>
          <w:w w:val="105"/>
        </w:rPr>
        <w:t>changes</w:t>
      </w:r>
      <w:r>
        <w:rPr>
          <w:spacing w:val="-3"/>
          <w:w w:val="105"/>
        </w:rPr>
        <w:t> </w:t>
      </w:r>
      <w:r>
        <w:rPr>
          <w:w w:val="105"/>
        </w:rPr>
        <w:t>in</w:t>
      </w:r>
      <w:r>
        <w:rPr>
          <w:spacing w:val="-3"/>
          <w:w w:val="105"/>
        </w:rPr>
        <w:t> </w:t>
      </w:r>
      <w:r>
        <w:rPr>
          <w:w w:val="105"/>
        </w:rPr>
        <w:t>actuarial</w:t>
      </w:r>
      <w:r>
        <w:rPr>
          <w:spacing w:val="-3"/>
          <w:w w:val="105"/>
        </w:rPr>
        <w:t> </w:t>
      </w:r>
      <w:r>
        <w:rPr>
          <w:w w:val="105"/>
        </w:rPr>
        <w:t>assumptions</w:t>
      </w:r>
      <w:r>
        <w:rPr>
          <w:spacing w:val="-3"/>
          <w:w w:val="105"/>
        </w:rPr>
        <w:t> </w:t>
      </w:r>
      <w:r>
        <w:rPr>
          <w:w w:val="105"/>
        </w:rPr>
        <w:t>are</w:t>
      </w:r>
      <w:r>
        <w:rPr>
          <w:spacing w:val="-3"/>
          <w:w w:val="105"/>
        </w:rPr>
        <w:t> </w:t>
      </w:r>
      <w:r>
        <w:rPr>
          <w:w w:val="105"/>
        </w:rPr>
        <w:t>recognized</w:t>
      </w:r>
      <w:r>
        <w:rPr>
          <w:spacing w:val="-3"/>
          <w:w w:val="105"/>
        </w:rPr>
        <w:t> </w:t>
      </w:r>
      <w:r>
        <w:rPr>
          <w:w w:val="105"/>
        </w:rPr>
        <w:t>as</w:t>
      </w:r>
      <w:r>
        <w:rPr>
          <w:spacing w:val="-3"/>
          <w:w w:val="105"/>
        </w:rPr>
        <w:t> </w:t>
      </w:r>
      <w:r>
        <w:rPr>
          <w:w w:val="105"/>
        </w:rPr>
        <w:t>a</w:t>
      </w:r>
      <w:r>
        <w:rPr>
          <w:spacing w:val="-3"/>
          <w:w w:val="105"/>
        </w:rPr>
        <w:t> </w:t>
      </w:r>
      <w:r>
        <w:rPr>
          <w:w w:val="105"/>
        </w:rPr>
        <w:t>component</w:t>
      </w:r>
      <w:r>
        <w:rPr>
          <w:spacing w:val="-3"/>
          <w:w w:val="105"/>
        </w:rPr>
        <w:t> </w:t>
      </w:r>
      <w:r>
        <w:rPr>
          <w:w w:val="105"/>
        </w:rPr>
        <w:t>of</w:t>
      </w:r>
      <w:r>
        <w:rPr>
          <w:spacing w:val="-3"/>
          <w:w w:val="105"/>
        </w:rPr>
        <w:t> </w:t>
      </w:r>
      <w:r>
        <w:rPr>
          <w:w w:val="105"/>
        </w:rPr>
        <w:t>accumulated</w:t>
      </w:r>
      <w:r>
        <w:rPr>
          <w:spacing w:val="-3"/>
          <w:w w:val="105"/>
        </w:rPr>
        <w:t> </w:t>
      </w:r>
      <w:r>
        <w:rPr>
          <w:w w:val="105"/>
        </w:rPr>
        <w:t>other comprehensive</w:t>
      </w:r>
      <w:r>
        <w:rPr>
          <w:spacing w:val="-2"/>
          <w:w w:val="105"/>
        </w:rPr>
        <w:t> </w:t>
      </w:r>
      <w:r>
        <w:rPr>
          <w:w w:val="105"/>
        </w:rPr>
        <w:t>loss</w:t>
      </w:r>
      <w:r>
        <w:rPr>
          <w:spacing w:val="-2"/>
          <w:w w:val="105"/>
        </w:rPr>
        <w:t> </w:t>
      </w:r>
      <w:r>
        <w:rPr>
          <w:w w:val="105"/>
        </w:rPr>
        <w:t>in</w:t>
      </w:r>
      <w:r>
        <w:rPr>
          <w:spacing w:val="-2"/>
          <w:w w:val="105"/>
        </w:rPr>
        <w:t> </w:t>
      </w:r>
      <w:r>
        <w:rPr>
          <w:w w:val="105"/>
        </w:rPr>
        <w:t>shareholders’</w:t>
      </w:r>
      <w:r>
        <w:rPr>
          <w:spacing w:val="-2"/>
          <w:w w:val="105"/>
        </w:rPr>
        <w:t> </w:t>
      </w:r>
      <w:r>
        <w:rPr>
          <w:w w:val="105"/>
        </w:rPr>
        <w:t>equity</w:t>
      </w:r>
      <w:r>
        <w:rPr>
          <w:spacing w:val="-2"/>
          <w:w w:val="105"/>
        </w:rPr>
        <w:t> </w:t>
      </w:r>
      <w:r>
        <w:rPr>
          <w:w w:val="105"/>
        </w:rPr>
        <w:t>on</w:t>
      </w:r>
      <w:r>
        <w:rPr>
          <w:spacing w:val="-2"/>
          <w:w w:val="105"/>
        </w:rPr>
        <w:t> </w:t>
      </w:r>
      <w:r>
        <w:rPr>
          <w:w w:val="105"/>
        </w:rPr>
        <w:t>an</w:t>
      </w:r>
      <w:r>
        <w:rPr>
          <w:spacing w:val="-2"/>
          <w:w w:val="105"/>
        </w:rPr>
        <w:t> </w:t>
      </w:r>
      <w:r>
        <w:rPr>
          <w:w w:val="105"/>
        </w:rPr>
        <w:t>annual</w:t>
      </w:r>
      <w:r>
        <w:rPr>
          <w:spacing w:val="-2"/>
          <w:w w:val="105"/>
        </w:rPr>
        <w:t> </w:t>
      </w:r>
      <w:r>
        <w:rPr>
          <w:w w:val="105"/>
        </w:rPr>
        <w:t>basis and</w:t>
      </w:r>
      <w:r>
        <w:rPr>
          <w:spacing w:val="-2"/>
          <w:w w:val="105"/>
        </w:rPr>
        <w:t> </w:t>
      </w:r>
      <w:r>
        <w:rPr>
          <w:w w:val="105"/>
        </w:rPr>
        <w:t>amortized</w:t>
      </w:r>
      <w:r>
        <w:rPr>
          <w:spacing w:val="-2"/>
          <w:w w:val="105"/>
        </w:rPr>
        <w:t> </w:t>
      </w:r>
      <w:r>
        <w:rPr>
          <w:w w:val="105"/>
        </w:rPr>
        <w:t>into</w:t>
      </w:r>
      <w:r>
        <w:rPr>
          <w:spacing w:val="-2"/>
          <w:w w:val="105"/>
        </w:rPr>
        <w:t> </w:t>
      </w:r>
      <w:r>
        <w:rPr>
          <w:w w:val="105"/>
        </w:rPr>
        <w:t>operating</w:t>
      </w:r>
      <w:r>
        <w:rPr>
          <w:spacing w:val="-2"/>
          <w:w w:val="105"/>
        </w:rPr>
        <w:t> </w:t>
      </w:r>
      <w:r>
        <w:rPr>
          <w:w w:val="105"/>
        </w:rPr>
        <w:t>results</w:t>
      </w:r>
      <w:r>
        <w:rPr>
          <w:spacing w:val="-2"/>
          <w:w w:val="105"/>
        </w:rPr>
        <w:t> </w:t>
      </w:r>
      <w:r>
        <w:rPr>
          <w:w w:val="105"/>
        </w:rPr>
        <w:t>over</w:t>
      </w:r>
      <w:r>
        <w:rPr>
          <w:spacing w:val="-2"/>
          <w:w w:val="105"/>
        </w:rPr>
        <w:t> </w:t>
      </w:r>
      <w:r>
        <w:rPr>
          <w:w w:val="105"/>
        </w:rPr>
        <w:t>the</w:t>
      </w:r>
      <w:r>
        <w:rPr>
          <w:spacing w:val="-2"/>
          <w:w w:val="105"/>
        </w:rPr>
        <w:t> </w:t>
      </w:r>
      <w:r>
        <w:rPr>
          <w:w w:val="105"/>
        </w:rPr>
        <w:t>average</w:t>
      </w:r>
      <w:r>
        <w:rPr>
          <w:spacing w:val="-2"/>
          <w:w w:val="105"/>
        </w:rPr>
        <w:t> </w:t>
      </w:r>
      <w:r>
        <w:rPr>
          <w:w w:val="105"/>
        </w:rPr>
        <w:t>remaining</w:t>
      </w:r>
      <w:r>
        <w:rPr>
          <w:spacing w:val="-2"/>
          <w:w w:val="105"/>
        </w:rPr>
        <w:t> </w:t>
      </w:r>
      <w:r>
        <w:rPr>
          <w:w w:val="105"/>
        </w:rPr>
        <w:t>service</w:t>
      </w:r>
      <w:r>
        <w:rPr>
          <w:spacing w:val="-2"/>
          <w:w w:val="105"/>
        </w:rPr>
        <w:t> </w:t>
      </w:r>
      <w:r>
        <w:rPr>
          <w:w w:val="105"/>
        </w:rPr>
        <w:t>period</w:t>
      </w:r>
      <w:r>
        <w:rPr>
          <w:spacing w:val="-2"/>
          <w:w w:val="105"/>
        </w:rPr>
        <w:t> </w:t>
      </w:r>
      <w:r>
        <w:rPr>
          <w:w w:val="105"/>
        </w:rPr>
        <w:t>of</w:t>
      </w:r>
      <w:r>
        <w:rPr>
          <w:spacing w:val="-2"/>
          <w:w w:val="105"/>
        </w:rPr>
        <w:t> </w:t>
      </w:r>
      <w:r>
        <w:rPr>
          <w:w w:val="105"/>
        </w:rPr>
        <w:t>employees</w:t>
      </w:r>
      <w:r>
        <w:rPr>
          <w:spacing w:val="-2"/>
          <w:w w:val="105"/>
        </w:rPr>
        <w:t> </w:t>
      </w:r>
      <w:r>
        <w:rPr>
          <w:w w:val="105"/>
        </w:rPr>
        <w:t>expected</w:t>
      </w:r>
      <w:r>
        <w:rPr>
          <w:spacing w:val="-2"/>
          <w:w w:val="105"/>
        </w:rPr>
        <w:t> </w:t>
      </w:r>
      <w:r>
        <w:rPr>
          <w:w w:val="105"/>
        </w:rPr>
        <w:t>to receive benefits under the plans, to the extent such gains and losses are outside the corridor.</w:t>
      </w:r>
    </w:p>
    <w:p>
      <w:pPr>
        <w:pStyle w:val="BodyText"/>
        <w:spacing w:before="18"/>
      </w:pPr>
    </w:p>
    <w:p>
      <w:pPr>
        <w:pStyle w:val="BodyText"/>
        <w:ind w:left="156"/>
      </w:pPr>
      <w:r>
        <w:rPr>
          <w:w w:val="105"/>
        </w:rPr>
        <w:t>Refer</w:t>
      </w:r>
      <w:r>
        <w:rPr>
          <w:spacing w:val="-10"/>
          <w:w w:val="105"/>
        </w:rPr>
        <w:t> </w:t>
      </w:r>
      <w:r>
        <w:rPr>
          <w:w w:val="105"/>
        </w:rPr>
        <w:t>to</w:t>
      </w:r>
      <w:r>
        <w:rPr>
          <w:spacing w:val="-10"/>
          <w:w w:val="105"/>
        </w:rPr>
        <w:t> </w:t>
      </w:r>
      <w:r>
        <w:rPr>
          <w:w w:val="105"/>
        </w:rPr>
        <w:t>Note</w:t>
      </w:r>
      <w:r>
        <w:rPr>
          <w:spacing w:val="-9"/>
          <w:w w:val="105"/>
        </w:rPr>
        <w:t> </w:t>
      </w:r>
      <w:r>
        <w:rPr>
          <w:w w:val="105"/>
        </w:rPr>
        <w:t>13</w:t>
      </w:r>
      <w:r>
        <w:rPr>
          <w:spacing w:val="-10"/>
          <w:w w:val="105"/>
        </w:rPr>
        <w:t> </w:t>
      </w:r>
      <w:r>
        <w:rPr>
          <w:w w:val="105"/>
        </w:rPr>
        <w:t>(Employee</w:t>
      </w:r>
      <w:r>
        <w:rPr>
          <w:spacing w:val="-9"/>
          <w:w w:val="105"/>
        </w:rPr>
        <w:t> </w:t>
      </w:r>
      <w:r>
        <w:rPr>
          <w:w w:val="105"/>
        </w:rPr>
        <w:t>Retirement</w:t>
      </w:r>
      <w:r>
        <w:rPr>
          <w:spacing w:val="-10"/>
          <w:w w:val="105"/>
        </w:rPr>
        <w:t> </w:t>
      </w:r>
      <w:r>
        <w:rPr>
          <w:w w:val="105"/>
        </w:rPr>
        <w:t>Plans)</w:t>
      </w:r>
      <w:r>
        <w:rPr>
          <w:spacing w:val="-10"/>
          <w:w w:val="105"/>
        </w:rPr>
        <w:t> </w:t>
      </w:r>
      <w:r>
        <w:rPr>
          <w:w w:val="105"/>
        </w:rPr>
        <w:t>to</w:t>
      </w:r>
      <w:r>
        <w:rPr>
          <w:spacing w:val="-9"/>
          <w:w w:val="105"/>
        </w:rPr>
        <w:t> </w:t>
      </w:r>
      <w:r>
        <w:rPr>
          <w:w w:val="105"/>
        </w:rPr>
        <w:t>the</w:t>
      </w:r>
      <w:r>
        <w:rPr>
          <w:spacing w:val="-10"/>
          <w:w w:val="105"/>
        </w:rPr>
        <w:t> </w:t>
      </w:r>
      <w:r>
        <w:rPr>
          <w:w w:val="105"/>
        </w:rPr>
        <w:t>consolidated</w:t>
      </w:r>
      <w:r>
        <w:rPr>
          <w:spacing w:val="-10"/>
          <w:w w:val="105"/>
        </w:rPr>
        <w:t> </w:t>
      </w:r>
      <w:r>
        <w:rPr>
          <w:w w:val="105"/>
        </w:rPr>
        <w:t>financial</w:t>
      </w:r>
      <w:r>
        <w:rPr>
          <w:spacing w:val="-9"/>
          <w:w w:val="105"/>
        </w:rPr>
        <w:t> </w:t>
      </w:r>
      <w:r>
        <w:rPr>
          <w:w w:val="105"/>
        </w:rPr>
        <w:t>statements</w:t>
      </w:r>
      <w:r>
        <w:rPr>
          <w:spacing w:val="-10"/>
          <w:w w:val="105"/>
        </w:rPr>
        <w:t> </w:t>
      </w:r>
      <w:r>
        <w:rPr>
          <w:w w:val="105"/>
        </w:rPr>
        <w:t>for</w:t>
      </w:r>
      <w:r>
        <w:rPr>
          <w:spacing w:val="-10"/>
          <w:w w:val="105"/>
        </w:rPr>
        <w:t> </w:t>
      </w:r>
      <w:r>
        <w:rPr>
          <w:w w:val="105"/>
        </w:rPr>
        <w:t>additional</w:t>
      </w:r>
      <w:r>
        <w:rPr>
          <w:spacing w:val="-10"/>
          <w:w w:val="105"/>
        </w:rPr>
        <w:t> </w:t>
      </w:r>
      <w:r>
        <w:rPr>
          <w:spacing w:val="-2"/>
          <w:w w:val="105"/>
        </w:rPr>
        <w:t>detail.</w:t>
      </w:r>
    </w:p>
    <w:p>
      <w:pPr>
        <w:pStyle w:val="BodyText"/>
        <w:spacing w:before="39"/>
      </w:pPr>
    </w:p>
    <w:p>
      <w:pPr>
        <w:pStyle w:val="Heading3"/>
        <w:spacing w:before="1"/>
      </w:pPr>
      <w:r>
        <w:rPr/>
        <w:t>Income</w:t>
      </w:r>
      <w:r>
        <w:rPr>
          <w:spacing w:val="15"/>
        </w:rPr>
        <w:t> </w:t>
      </w:r>
      <w:r>
        <w:rPr>
          <w:spacing w:val="-2"/>
        </w:rPr>
        <w:t>Taxes</w:t>
      </w:r>
    </w:p>
    <w:p>
      <w:pPr>
        <w:pStyle w:val="BodyText"/>
        <w:spacing w:before="39"/>
        <w:rPr>
          <w:b/>
          <w:i/>
        </w:rPr>
      </w:pPr>
    </w:p>
    <w:p>
      <w:pPr>
        <w:pStyle w:val="BodyText"/>
        <w:spacing w:line="266" w:lineRule="auto"/>
        <w:ind w:left="156" w:right="788"/>
        <w:jc w:val="both"/>
      </w:pPr>
      <w:r>
        <w:rPr>
          <w:w w:val="105"/>
        </w:rPr>
        <w:t>The</w:t>
      </w:r>
      <w:r>
        <w:rPr>
          <w:spacing w:val="-8"/>
          <w:w w:val="105"/>
        </w:rPr>
        <w:t> </w:t>
      </w:r>
      <w:r>
        <w:rPr>
          <w:w w:val="105"/>
        </w:rPr>
        <w:t>Company</w:t>
      </w:r>
      <w:r>
        <w:rPr>
          <w:spacing w:val="-8"/>
          <w:w w:val="105"/>
        </w:rPr>
        <w:t> </w:t>
      </w:r>
      <w:r>
        <w:rPr>
          <w:w w:val="105"/>
        </w:rPr>
        <w:t>accounts</w:t>
      </w:r>
      <w:r>
        <w:rPr>
          <w:spacing w:val="-8"/>
          <w:w w:val="105"/>
        </w:rPr>
        <w:t> </w:t>
      </w:r>
      <w:r>
        <w:rPr>
          <w:w w:val="105"/>
        </w:rPr>
        <w:t>for</w:t>
      </w:r>
      <w:r>
        <w:rPr>
          <w:spacing w:val="-8"/>
          <w:w w:val="105"/>
        </w:rPr>
        <w:t> </w:t>
      </w:r>
      <w:r>
        <w:rPr>
          <w:w w:val="105"/>
        </w:rPr>
        <w:t>income</w:t>
      </w:r>
      <w:r>
        <w:rPr>
          <w:spacing w:val="-6"/>
          <w:w w:val="105"/>
        </w:rPr>
        <w:t> </w:t>
      </w:r>
      <w:r>
        <w:rPr>
          <w:w w:val="105"/>
        </w:rPr>
        <w:t>taxes</w:t>
      </w:r>
      <w:r>
        <w:rPr>
          <w:spacing w:val="-8"/>
          <w:w w:val="105"/>
        </w:rPr>
        <w:t> </w:t>
      </w:r>
      <w:r>
        <w:rPr>
          <w:w w:val="105"/>
        </w:rPr>
        <w:t>using</w:t>
      </w:r>
      <w:r>
        <w:rPr>
          <w:spacing w:val="-8"/>
          <w:w w:val="105"/>
        </w:rPr>
        <w:t> </w:t>
      </w:r>
      <w:r>
        <w:rPr>
          <w:w w:val="105"/>
        </w:rPr>
        <w:t>the</w:t>
      </w:r>
      <w:r>
        <w:rPr>
          <w:spacing w:val="-8"/>
          <w:w w:val="105"/>
        </w:rPr>
        <w:t> </w:t>
      </w:r>
      <w:r>
        <w:rPr>
          <w:w w:val="105"/>
        </w:rPr>
        <w:t>asset</w:t>
      </w:r>
      <w:r>
        <w:rPr>
          <w:spacing w:val="-8"/>
          <w:w w:val="105"/>
        </w:rPr>
        <w:t> </w:t>
      </w:r>
      <w:r>
        <w:rPr>
          <w:w w:val="105"/>
        </w:rPr>
        <w:t>and</w:t>
      </w:r>
      <w:r>
        <w:rPr>
          <w:spacing w:val="-8"/>
          <w:w w:val="105"/>
        </w:rPr>
        <w:t> </w:t>
      </w:r>
      <w:r>
        <w:rPr>
          <w:w w:val="105"/>
        </w:rPr>
        <w:t>liability</w:t>
      </w:r>
      <w:r>
        <w:rPr>
          <w:spacing w:val="-8"/>
          <w:w w:val="105"/>
        </w:rPr>
        <w:t> </w:t>
      </w:r>
      <w:r>
        <w:rPr>
          <w:w w:val="105"/>
        </w:rPr>
        <w:t>method.</w:t>
      </w:r>
      <w:r>
        <w:rPr>
          <w:spacing w:val="-8"/>
          <w:w w:val="105"/>
        </w:rPr>
        <w:t> </w:t>
      </w:r>
      <w:r>
        <w:rPr>
          <w:w w:val="105"/>
        </w:rPr>
        <w:t>Under</w:t>
      </w:r>
      <w:r>
        <w:rPr>
          <w:spacing w:val="-8"/>
          <w:w w:val="105"/>
        </w:rPr>
        <w:t> </w:t>
      </w:r>
      <w:r>
        <w:rPr>
          <w:w w:val="105"/>
        </w:rPr>
        <w:t>this</w:t>
      </w:r>
      <w:r>
        <w:rPr>
          <w:spacing w:val="-8"/>
          <w:w w:val="105"/>
        </w:rPr>
        <w:t> </w:t>
      </w:r>
      <w:r>
        <w:rPr>
          <w:w w:val="105"/>
        </w:rPr>
        <w:t>method,</w:t>
      </w:r>
      <w:r>
        <w:rPr>
          <w:spacing w:val="-8"/>
          <w:w w:val="105"/>
        </w:rPr>
        <w:t> </w:t>
      </w:r>
      <w:r>
        <w:rPr>
          <w:w w:val="105"/>
        </w:rPr>
        <w:t>deferred</w:t>
      </w:r>
      <w:r>
        <w:rPr>
          <w:spacing w:val="-8"/>
          <w:w w:val="105"/>
        </w:rPr>
        <w:t> </w:t>
      </w:r>
      <w:r>
        <w:rPr>
          <w:w w:val="105"/>
        </w:rPr>
        <w:t>tax</w:t>
      </w:r>
      <w:r>
        <w:rPr>
          <w:spacing w:val="-8"/>
          <w:w w:val="105"/>
        </w:rPr>
        <w:t> </w:t>
      </w:r>
      <w:r>
        <w:rPr>
          <w:w w:val="105"/>
        </w:rPr>
        <w:t>assets</w:t>
      </w:r>
      <w:r>
        <w:rPr>
          <w:spacing w:val="-8"/>
          <w:w w:val="105"/>
        </w:rPr>
        <w:t> </w:t>
      </w:r>
      <w:r>
        <w:rPr>
          <w:w w:val="105"/>
        </w:rPr>
        <w:t>and</w:t>
      </w:r>
      <w:r>
        <w:rPr>
          <w:spacing w:val="-8"/>
          <w:w w:val="105"/>
        </w:rPr>
        <w:t> </w:t>
      </w:r>
      <w:r>
        <w:rPr>
          <w:w w:val="105"/>
        </w:rPr>
        <w:t>liabilities</w:t>
      </w:r>
      <w:r>
        <w:rPr>
          <w:spacing w:val="-8"/>
          <w:w w:val="105"/>
        </w:rPr>
        <w:t> </w:t>
      </w:r>
      <w:r>
        <w:rPr>
          <w:w w:val="105"/>
        </w:rPr>
        <w:t>are</w:t>
      </w:r>
      <w:r>
        <w:rPr>
          <w:spacing w:val="-8"/>
          <w:w w:val="105"/>
        </w:rPr>
        <w:t> </w:t>
      </w:r>
      <w:r>
        <w:rPr>
          <w:w w:val="105"/>
        </w:rPr>
        <w:t>recognized</w:t>
      </w:r>
      <w:r>
        <w:rPr>
          <w:spacing w:val="-8"/>
          <w:w w:val="105"/>
        </w:rPr>
        <w:t> </w:t>
      </w:r>
      <w:r>
        <w:rPr>
          <w:w w:val="105"/>
        </w:rPr>
        <w:t>for</w:t>
      </w:r>
      <w:r>
        <w:rPr>
          <w:spacing w:val="-8"/>
          <w:w w:val="105"/>
        </w:rPr>
        <w:t> </w:t>
      </w:r>
      <w:r>
        <w:rPr>
          <w:w w:val="105"/>
        </w:rPr>
        <w:t>the</w:t>
      </w:r>
      <w:r>
        <w:rPr>
          <w:spacing w:val="-8"/>
          <w:w w:val="105"/>
        </w:rPr>
        <w:t> </w:t>
      </w:r>
      <w:r>
        <w:rPr>
          <w:w w:val="105"/>
        </w:rPr>
        <w:t>future</w:t>
      </w:r>
      <w:r>
        <w:rPr>
          <w:spacing w:val="-8"/>
          <w:w w:val="105"/>
        </w:rPr>
        <w:t> </w:t>
      </w:r>
      <w:r>
        <w:rPr>
          <w:w w:val="105"/>
        </w:rPr>
        <w:t>tax consequences</w:t>
      </w:r>
      <w:r>
        <w:rPr>
          <w:spacing w:val="-9"/>
          <w:w w:val="105"/>
        </w:rPr>
        <w:t> </w:t>
      </w:r>
      <w:r>
        <w:rPr>
          <w:w w:val="105"/>
        </w:rPr>
        <w:t>attributable</w:t>
      </w:r>
      <w:r>
        <w:rPr>
          <w:spacing w:val="-9"/>
          <w:w w:val="105"/>
        </w:rPr>
        <w:t> </w:t>
      </w:r>
      <w:r>
        <w:rPr>
          <w:w w:val="105"/>
        </w:rPr>
        <w:t>to</w:t>
      </w:r>
      <w:r>
        <w:rPr>
          <w:spacing w:val="-9"/>
          <w:w w:val="105"/>
        </w:rPr>
        <w:t> </w:t>
      </w:r>
      <w:r>
        <w:rPr>
          <w:w w:val="105"/>
        </w:rPr>
        <w:t>operating</w:t>
      </w:r>
      <w:r>
        <w:rPr>
          <w:spacing w:val="-9"/>
          <w:w w:val="105"/>
        </w:rPr>
        <w:t> </w:t>
      </w:r>
      <w:r>
        <w:rPr>
          <w:w w:val="105"/>
        </w:rPr>
        <w:t>loss</w:t>
      </w:r>
      <w:r>
        <w:rPr>
          <w:spacing w:val="-9"/>
          <w:w w:val="105"/>
        </w:rPr>
        <w:t> </w:t>
      </w:r>
      <w:r>
        <w:rPr>
          <w:w w:val="105"/>
        </w:rPr>
        <w:t>and</w:t>
      </w:r>
      <w:r>
        <w:rPr>
          <w:spacing w:val="-9"/>
          <w:w w:val="105"/>
        </w:rPr>
        <w:t> </w:t>
      </w:r>
      <w:r>
        <w:rPr>
          <w:w w:val="105"/>
        </w:rPr>
        <w:t>tax</w:t>
      </w:r>
      <w:r>
        <w:rPr>
          <w:spacing w:val="-9"/>
          <w:w w:val="105"/>
        </w:rPr>
        <w:t> </w:t>
      </w:r>
      <w:r>
        <w:rPr>
          <w:w w:val="105"/>
        </w:rPr>
        <w:t>credit</w:t>
      </w:r>
      <w:r>
        <w:rPr>
          <w:spacing w:val="-9"/>
          <w:w w:val="105"/>
        </w:rPr>
        <w:t> </w:t>
      </w:r>
      <w:r>
        <w:rPr>
          <w:w w:val="105"/>
        </w:rPr>
        <w:t>carryforwards</w:t>
      </w:r>
      <w:r>
        <w:rPr>
          <w:spacing w:val="-9"/>
          <w:w w:val="105"/>
        </w:rPr>
        <w:t> </w:t>
      </w:r>
      <w:r>
        <w:rPr>
          <w:w w:val="105"/>
        </w:rPr>
        <w:t>and</w:t>
      </w:r>
      <w:r>
        <w:rPr>
          <w:spacing w:val="-9"/>
          <w:w w:val="105"/>
        </w:rPr>
        <w:t> </w:t>
      </w:r>
      <w:r>
        <w:rPr>
          <w:w w:val="105"/>
        </w:rPr>
        <w:t>for</w:t>
      </w:r>
      <w:r>
        <w:rPr>
          <w:spacing w:val="-9"/>
          <w:w w:val="105"/>
        </w:rPr>
        <w:t> </w:t>
      </w:r>
      <w:r>
        <w:rPr>
          <w:w w:val="105"/>
        </w:rPr>
        <w:t>differences</w:t>
      </w:r>
      <w:r>
        <w:rPr>
          <w:spacing w:val="-9"/>
          <w:w w:val="105"/>
        </w:rPr>
        <w:t> </w:t>
      </w:r>
      <w:r>
        <w:rPr>
          <w:w w:val="105"/>
        </w:rPr>
        <w:t>between</w:t>
      </w:r>
      <w:r>
        <w:rPr>
          <w:spacing w:val="-9"/>
          <w:w w:val="105"/>
        </w:rPr>
        <w:t> </w:t>
      </w:r>
      <w:r>
        <w:rPr>
          <w:w w:val="105"/>
        </w:rPr>
        <w:t>the</w:t>
      </w:r>
      <w:r>
        <w:rPr>
          <w:spacing w:val="-9"/>
          <w:w w:val="105"/>
        </w:rPr>
        <w:t> </w:t>
      </w:r>
      <w:r>
        <w:rPr>
          <w:w w:val="105"/>
        </w:rPr>
        <w:t>carrying</w:t>
      </w:r>
      <w:r>
        <w:rPr>
          <w:spacing w:val="-9"/>
          <w:w w:val="105"/>
        </w:rPr>
        <w:t> </w:t>
      </w:r>
      <w:r>
        <w:rPr>
          <w:w w:val="105"/>
        </w:rPr>
        <w:t>amounts</w:t>
      </w:r>
      <w:r>
        <w:rPr>
          <w:spacing w:val="-9"/>
          <w:w w:val="105"/>
        </w:rPr>
        <w:t> </w:t>
      </w:r>
      <w:r>
        <w:rPr>
          <w:w w:val="105"/>
        </w:rPr>
        <w:t>of</w:t>
      </w:r>
      <w:r>
        <w:rPr>
          <w:spacing w:val="-9"/>
          <w:w w:val="105"/>
        </w:rPr>
        <w:t> </w:t>
      </w:r>
      <w:r>
        <w:rPr>
          <w:w w:val="105"/>
        </w:rPr>
        <w:t>existing</w:t>
      </w:r>
      <w:r>
        <w:rPr>
          <w:spacing w:val="-9"/>
          <w:w w:val="105"/>
        </w:rPr>
        <w:t> </w:t>
      </w:r>
      <w:r>
        <w:rPr>
          <w:w w:val="105"/>
        </w:rPr>
        <w:t>assets</w:t>
      </w:r>
      <w:r>
        <w:rPr>
          <w:spacing w:val="-9"/>
          <w:w w:val="105"/>
        </w:rPr>
        <w:t> </w:t>
      </w:r>
      <w:r>
        <w:rPr>
          <w:w w:val="105"/>
        </w:rPr>
        <w:t>and</w:t>
      </w:r>
      <w:r>
        <w:rPr>
          <w:spacing w:val="-9"/>
          <w:w w:val="105"/>
        </w:rPr>
        <w:t> </w:t>
      </w:r>
      <w:r>
        <w:rPr>
          <w:w w:val="105"/>
        </w:rPr>
        <w:t>liabilities</w:t>
      </w:r>
      <w:r>
        <w:rPr>
          <w:spacing w:val="-9"/>
          <w:w w:val="105"/>
        </w:rPr>
        <w:t> </w:t>
      </w:r>
      <w:r>
        <w:rPr>
          <w:w w:val="105"/>
        </w:rPr>
        <w:t>and</w:t>
      </w:r>
      <w:r>
        <w:rPr>
          <w:spacing w:val="-9"/>
          <w:w w:val="105"/>
        </w:rPr>
        <w:t> </w:t>
      </w:r>
      <w:r>
        <w:rPr>
          <w:w w:val="105"/>
        </w:rPr>
        <w:t>their respective tax bases.</w:t>
      </w:r>
    </w:p>
    <w:p>
      <w:pPr>
        <w:pStyle w:val="BodyText"/>
        <w:spacing w:before="19"/>
      </w:pPr>
    </w:p>
    <w:p>
      <w:pPr>
        <w:pStyle w:val="BodyText"/>
        <w:spacing w:line="266" w:lineRule="auto"/>
        <w:ind w:left="156"/>
      </w:pPr>
      <w:r>
        <w:rPr>
          <w:w w:val="105"/>
        </w:rPr>
        <w:t>The</w:t>
      </w:r>
      <w:r>
        <w:rPr>
          <w:spacing w:val="-7"/>
          <w:w w:val="105"/>
        </w:rPr>
        <w:t> </w:t>
      </w:r>
      <w:r>
        <w:rPr>
          <w:w w:val="105"/>
        </w:rPr>
        <w:t>effective</w:t>
      </w:r>
      <w:r>
        <w:rPr>
          <w:spacing w:val="-7"/>
          <w:w w:val="105"/>
        </w:rPr>
        <w:t> </w:t>
      </w:r>
      <w:r>
        <w:rPr>
          <w:w w:val="105"/>
        </w:rPr>
        <w:t>income</w:t>
      </w:r>
      <w:r>
        <w:rPr>
          <w:spacing w:val="-7"/>
          <w:w w:val="105"/>
        </w:rPr>
        <w:t> </w:t>
      </w:r>
      <w:r>
        <w:rPr>
          <w:w w:val="105"/>
        </w:rPr>
        <w:t>tax</w:t>
      </w:r>
      <w:r>
        <w:rPr>
          <w:spacing w:val="-7"/>
          <w:w w:val="105"/>
        </w:rPr>
        <w:t> </w:t>
      </w:r>
      <w:r>
        <w:rPr>
          <w:w w:val="105"/>
        </w:rPr>
        <w:t>rate</w:t>
      </w:r>
      <w:r>
        <w:rPr>
          <w:spacing w:val="-7"/>
          <w:w w:val="105"/>
        </w:rPr>
        <w:t> </w:t>
      </w:r>
      <w:r>
        <w:rPr>
          <w:w w:val="105"/>
        </w:rPr>
        <w:t>reflects</w:t>
      </w:r>
      <w:r>
        <w:rPr>
          <w:spacing w:val="-7"/>
          <w:w w:val="105"/>
        </w:rPr>
        <w:t> </w:t>
      </w:r>
      <w:r>
        <w:rPr>
          <w:w w:val="105"/>
        </w:rPr>
        <w:t>the</w:t>
      </w:r>
      <w:r>
        <w:rPr>
          <w:spacing w:val="-7"/>
          <w:w w:val="105"/>
        </w:rPr>
        <w:t> </w:t>
      </w:r>
      <w:r>
        <w:rPr>
          <w:w w:val="105"/>
        </w:rPr>
        <w:t>assessment</w:t>
      </w:r>
      <w:r>
        <w:rPr>
          <w:spacing w:val="-7"/>
          <w:w w:val="105"/>
        </w:rPr>
        <w:t> </w:t>
      </w:r>
      <w:r>
        <w:rPr>
          <w:w w:val="105"/>
        </w:rPr>
        <w:t>of</w:t>
      </w:r>
      <w:r>
        <w:rPr>
          <w:spacing w:val="-7"/>
          <w:w w:val="105"/>
        </w:rPr>
        <w:t> </w:t>
      </w:r>
      <w:r>
        <w:rPr>
          <w:w w:val="105"/>
        </w:rPr>
        <w:t>the</w:t>
      </w:r>
      <w:r>
        <w:rPr>
          <w:spacing w:val="-7"/>
          <w:w w:val="105"/>
        </w:rPr>
        <w:t> </w:t>
      </w:r>
      <w:r>
        <w:rPr>
          <w:w w:val="105"/>
        </w:rPr>
        <w:t>ultimate</w:t>
      </w:r>
      <w:r>
        <w:rPr>
          <w:spacing w:val="-7"/>
          <w:w w:val="105"/>
        </w:rPr>
        <w:t> </w:t>
      </w:r>
      <w:r>
        <w:rPr>
          <w:w w:val="105"/>
        </w:rPr>
        <w:t>outcome</w:t>
      </w:r>
      <w:r>
        <w:rPr>
          <w:spacing w:val="-7"/>
          <w:w w:val="105"/>
        </w:rPr>
        <w:t> </w:t>
      </w:r>
      <w:r>
        <w:rPr>
          <w:w w:val="105"/>
        </w:rPr>
        <w:t>of</w:t>
      </w:r>
      <w:r>
        <w:rPr>
          <w:spacing w:val="-7"/>
          <w:w w:val="105"/>
        </w:rPr>
        <w:t> </w:t>
      </w:r>
      <w:r>
        <w:rPr>
          <w:w w:val="105"/>
        </w:rPr>
        <w:t>tax</w:t>
      </w:r>
      <w:r>
        <w:rPr>
          <w:spacing w:val="-7"/>
          <w:w w:val="105"/>
        </w:rPr>
        <w:t> </w:t>
      </w:r>
      <w:r>
        <w:rPr>
          <w:w w:val="105"/>
        </w:rPr>
        <w:t>audits.</w:t>
      </w:r>
      <w:r>
        <w:rPr>
          <w:spacing w:val="-7"/>
          <w:w w:val="105"/>
        </w:rPr>
        <w:t> </w:t>
      </w:r>
      <w:r>
        <w:rPr>
          <w:w w:val="105"/>
        </w:rPr>
        <w:t>In</w:t>
      </w:r>
      <w:r>
        <w:rPr>
          <w:spacing w:val="-7"/>
          <w:w w:val="105"/>
        </w:rPr>
        <w:t> </w:t>
      </w:r>
      <w:r>
        <w:rPr>
          <w:w w:val="105"/>
        </w:rPr>
        <w:t>evaluating</w:t>
      </w:r>
      <w:r>
        <w:rPr>
          <w:spacing w:val="-7"/>
          <w:w w:val="105"/>
        </w:rPr>
        <w:t> </w:t>
      </w:r>
      <w:r>
        <w:rPr>
          <w:w w:val="105"/>
        </w:rPr>
        <w:t>the</w:t>
      </w:r>
      <w:r>
        <w:rPr>
          <w:spacing w:val="-7"/>
          <w:w w:val="105"/>
        </w:rPr>
        <w:t> </w:t>
      </w:r>
      <w:r>
        <w:rPr>
          <w:w w:val="105"/>
        </w:rPr>
        <w:t>tax</w:t>
      </w:r>
      <w:r>
        <w:rPr>
          <w:spacing w:val="-7"/>
          <w:w w:val="105"/>
        </w:rPr>
        <w:t> </w:t>
      </w:r>
      <w:r>
        <w:rPr>
          <w:w w:val="105"/>
        </w:rPr>
        <w:t>benefits</w:t>
      </w:r>
      <w:r>
        <w:rPr>
          <w:spacing w:val="-7"/>
          <w:w w:val="105"/>
        </w:rPr>
        <w:t> </w:t>
      </w:r>
      <w:r>
        <w:rPr>
          <w:w w:val="105"/>
        </w:rPr>
        <w:t>associated</w:t>
      </w:r>
      <w:r>
        <w:rPr>
          <w:spacing w:val="-7"/>
          <w:w w:val="105"/>
        </w:rPr>
        <w:t> </w:t>
      </w:r>
      <w:r>
        <w:rPr>
          <w:w w:val="105"/>
        </w:rPr>
        <w:t>with</w:t>
      </w:r>
      <w:r>
        <w:rPr>
          <w:spacing w:val="-7"/>
          <w:w w:val="105"/>
        </w:rPr>
        <w:t> </w:t>
      </w:r>
      <w:r>
        <w:rPr>
          <w:w w:val="105"/>
        </w:rPr>
        <w:t>our</w:t>
      </w:r>
      <w:r>
        <w:rPr>
          <w:spacing w:val="-7"/>
          <w:w w:val="105"/>
        </w:rPr>
        <w:t> </w:t>
      </w:r>
      <w:r>
        <w:rPr>
          <w:w w:val="105"/>
        </w:rPr>
        <w:t>various</w:t>
      </w:r>
      <w:r>
        <w:rPr>
          <w:spacing w:val="-7"/>
          <w:w w:val="105"/>
        </w:rPr>
        <w:t> </w:t>
      </w:r>
      <w:r>
        <w:rPr>
          <w:w w:val="105"/>
        </w:rPr>
        <w:t>tax</w:t>
      </w:r>
      <w:r>
        <w:rPr>
          <w:spacing w:val="-7"/>
          <w:w w:val="105"/>
        </w:rPr>
        <w:t> </w:t>
      </w:r>
      <w:r>
        <w:rPr>
          <w:w w:val="105"/>
        </w:rPr>
        <w:t>filing</w:t>
      </w:r>
      <w:r>
        <w:rPr>
          <w:spacing w:val="-7"/>
          <w:w w:val="105"/>
        </w:rPr>
        <w:t> </w:t>
      </w:r>
      <w:r>
        <w:rPr>
          <w:w w:val="105"/>
        </w:rPr>
        <w:t>positions,</w:t>
      </w:r>
      <w:r>
        <w:rPr>
          <w:spacing w:val="-7"/>
          <w:w w:val="105"/>
        </w:rPr>
        <w:t> </w:t>
      </w:r>
      <w:r>
        <w:rPr>
          <w:w w:val="105"/>
        </w:rPr>
        <w:t>we record</w:t>
      </w:r>
      <w:r>
        <w:rPr>
          <w:spacing w:val="-2"/>
          <w:w w:val="105"/>
        </w:rPr>
        <w:t> </w:t>
      </w:r>
      <w:r>
        <w:rPr>
          <w:w w:val="105"/>
        </w:rPr>
        <w:t>a</w:t>
      </w:r>
      <w:r>
        <w:rPr>
          <w:spacing w:val="-2"/>
          <w:w w:val="105"/>
        </w:rPr>
        <w:t> </w:t>
      </w:r>
      <w:r>
        <w:rPr>
          <w:w w:val="105"/>
        </w:rPr>
        <w:t>tax</w:t>
      </w:r>
      <w:r>
        <w:rPr>
          <w:spacing w:val="-2"/>
          <w:w w:val="105"/>
        </w:rPr>
        <w:t> </w:t>
      </w:r>
      <w:r>
        <w:rPr>
          <w:w w:val="105"/>
        </w:rPr>
        <w:t>benefit for</w:t>
      </w:r>
      <w:r>
        <w:rPr>
          <w:spacing w:val="-2"/>
          <w:w w:val="105"/>
        </w:rPr>
        <w:t> </w:t>
      </w:r>
      <w:r>
        <w:rPr>
          <w:w w:val="105"/>
        </w:rPr>
        <w:t>uncertain</w:t>
      </w:r>
      <w:r>
        <w:rPr>
          <w:spacing w:val="-2"/>
          <w:w w:val="105"/>
        </w:rPr>
        <w:t> </w:t>
      </w:r>
      <w:r>
        <w:rPr>
          <w:w w:val="105"/>
        </w:rPr>
        <w:t>tax</w:t>
      </w:r>
      <w:r>
        <w:rPr>
          <w:spacing w:val="-2"/>
          <w:w w:val="105"/>
        </w:rPr>
        <w:t> </w:t>
      </w:r>
      <w:r>
        <w:rPr>
          <w:w w:val="105"/>
        </w:rPr>
        <w:t>positions</w:t>
      </w:r>
      <w:r>
        <w:rPr>
          <w:spacing w:val="-2"/>
          <w:w w:val="105"/>
        </w:rPr>
        <w:t> </w:t>
      </w:r>
      <w:r>
        <w:rPr>
          <w:w w:val="105"/>
        </w:rPr>
        <w:t>using</w:t>
      </w:r>
      <w:r>
        <w:rPr>
          <w:spacing w:val="-2"/>
          <w:w w:val="105"/>
        </w:rPr>
        <w:t> </w:t>
      </w:r>
      <w:r>
        <w:rPr>
          <w:w w:val="105"/>
        </w:rPr>
        <w:t>the</w:t>
      </w:r>
      <w:r>
        <w:rPr>
          <w:spacing w:val="-2"/>
          <w:w w:val="105"/>
        </w:rPr>
        <w:t> </w:t>
      </w:r>
      <w:r>
        <w:rPr>
          <w:w w:val="105"/>
        </w:rPr>
        <w:t>highest</w:t>
      </w:r>
      <w:r>
        <w:rPr>
          <w:spacing w:val="-2"/>
          <w:w w:val="105"/>
        </w:rPr>
        <w:t> </w:t>
      </w:r>
      <w:r>
        <w:rPr>
          <w:w w:val="105"/>
        </w:rPr>
        <w:t>cumulative tax</w:t>
      </w:r>
      <w:r>
        <w:rPr>
          <w:spacing w:val="-2"/>
          <w:w w:val="105"/>
        </w:rPr>
        <w:t> </w:t>
      </w:r>
      <w:r>
        <w:rPr>
          <w:w w:val="105"/>
        </w:rPr>
        <w:t>benefit</w:t>
      </w:r>
      <w:r>
        <w:rPr>
          <w:spacing w:val="-2"/>
          <w:w w:val="105"/>
        </w:rPr>
        <w:t> </w:t>
      </w:r>
      <w:r>
        <w:rPr>
          <w:w w:val="105"/>
        </w:rPr>
        <w:t>that</w:t>
      </w:r>
      <w:r>
        <w:rPr>
          <w:spacing w:val="-2"/>
          <w:w w:val="105"/>
        </w:rPr>
        <w:t> </w:t>
      </w:r>
      <w:r>
        <w:rPr>
          <w:w w:val="105"/>
        </w:rPr>
        <w:t>is</w:t>
      </w:r>
      <w:r>
        <w:rPr>
          <w:spacing w:val="-2"/>
          <w:w w:val="105"/>
        </w:rPr>
        <w:t> </w:t>
      </w:r>
      <w:r>
        <w:rPr>
          <w:w w:val="105"/>
        </w:rPr>
        <w:t>more</w:t>
      </w:r>
      <w:r>
        <w:rPr>
          <w:spacing w:val="-2"/>
          <w:w w:val="105"/>
        </w:rPr>
        <w:t> </w:t>
      </w:r>
      <w:r>
        <w:rPr>
          <w:w w:val="105"/>
        </w:rPr>
        <w:t>likely</w:t>
      </w:r>
      <w:r>
        <w:rPr>
          <w:spacing w:val="-2"/>
          <w:w w:val="105"/>
        </w:rPr>
        <w:t> </w:t>
      </w:r>
      <w:r>
        <w:rPr>
          <w:w w:val="105"/>
        </w:rPr>
        <w:t>than</w:t>
      </w:r>
      <w:r>
        <w:rPr>
          <w:spacing w:val="-2"/>
          <w:w w:val="105"/>
        </w:rPr>
        <w:t> </w:t>
      </w:r>
      <w:r>
        <w:rPr>
          <w:w w:val="105"/>
        </w:rPr>
        <w:t>not</w:t>
      </w:r>
      <w:r>
        <w:rPr>
          <w:spacing w:val="-2"/>
          <w:w w:val="105"/>
        </w:rPr>
        <w:t> </w:t>
      </w:r>
      <w:r>
        <w:rPr>
          <w:w w:val="105"/>
        </w:rPr>
        <w:t>to</w:t>
      </w:r>
      <w:r>
        <w:rPr>
          <w:spacing w:val="-2"/>
          <w:w w:val="105"/>
        </w:rPr>
        <w:t> </w:t>
      </w:r>
      <w:r>
        <w:rPr>
          <w:w w:val="105"/>
        </w:rPr>
        <w:t>be</w:t>
      </w:r>
      <w:r>
        <w:rPr>
          <w:spacing w:val="-2"/>
          <w:w w:val="105"/>
        </w:rPr>
        <w:t> </w:t>
      </w:r>
      <w:r>
        <w:rPr>
          <w:w w:val="105"/>
        </w:rPr>
        <w:t>realized.</w:t>
      </w:r>
      <w:r>
        <w:rPr>
          <w:spacing w:val="-2"/>
          <w:w w:val="105"/>
        </w:rPr>
        <w:t> </w:t>
      </w:r>
      <w:r>
        <w:rPr>
          <w:w w:val="105"/>
        </w:rPr>
        <w:t>Adjustments</w:t>
      </w:r>
      <w:r>
        <w:rPr>
          <w:spacing w:val="-2"/>
          <w:w w:val="105"/>
        </w:rPr>
        <w:t> </w:t>
      </w:r>
      <w:r>
        <w:rPr>
          <w:w w:val="105"/>
        </w:rPr>
        <w:t>are</w:t>
      </w:r>
      <w:r>
        <w:rPr>
          <w:spacing w:val="-2"/>
          <w:w w:val="105"/>
        </w:rPr>
        <w:t> </w:t>
      </w:r>
      <w:r>
        <w:rPr>
          <w:w w:val="105"/>
        </w:rPr>
        <w:t>made</w:t>
      </w:r>
      <w:r>
        <w:rPr>
          <w:spacing w:val="-2"/>
          <w:w w:val="105"/>
        </w:rPr>
        <w:t> </w:t>
      </w:r>
      <w:r>
        <w:rPr>
          <w:w w:val="105"/>
        </w:rPr>
        <w:t>to</w:t>
      </w:r>
      <w:r>
        <w:rPr>
          <w:spacing w:val="-2"/>
          <w:w w:val="105"/>
        </w:rPr>
        <w:t> </w:t>
      </w:r>
      <w:r>
        <w:rPr>
          <w:w w:val="105"/>
        </w:rPr>
        <w:t>our</w:t>
      </w:r>
      <w:r>
        <w:rPr>
          <w:spacing w:val="-2"/>
          <w:w w:val="105"/>
        </w:rPr>
        <w:t> </w:t>
      </w:r>
      <w:r>
        <w:rPr>
          <w:w w:val="105"/>
        </w:rPr>
        <w:t>asset</w:t>
      </w:r>
    </w:p>
    <w:p>
      <w:pPr>
        <w:pStyle w:val="BodyText"/>
        <w:spacing w:line="266" w:lineRule="auto"/>
        <w:ind w:left="156" w:right="228"/>
      </w:pPr>
      <w:r>
        <w:rPr>
          <w:w w:val="105"/>
        </w:rPr>
        <w:t>or</w:t>
      </w:r>
      <w:r>
        <w:rPr>
          <w:spacing w:val="-5"/>
          <w:w w:val="105"/>
        </w:rPr>
        <w:t> </w:t>
      </w:r>
      <w:r>
        <w:rPr>
          <w:w w:val="105"/>
        </w:rPr>
        <w:t>liability</w:t>
      </w:r>
      <w:r>
        <w:rPr>
          <w:spacing w:val="-5"/>
          <w:w w:val="105"/>
        </w:rPr>
        <w:t> </w:t>
      </w:r>
      <w:r>
        <w:rPr>
          <w:w w:val="105"/>
        </w:rPr>
        <w:t>for</w:t>
      </w:r>
      <w:r>
        <w:rPr>
          <w:spacing w:val="-5"/>
          <w:w w:val="105"/>
        </w:rPr>
        <w:t> </w:t>
      </w:r>
      <w:r>
        <w:rPr>
          <w:w w:val="105"/>
        </w:rPr>
        <w:t>unrecognized</w:t>
      </w:r>
      <w:r>
        <w:rPr>
          <w:spacing w:val="-5"/>
          <w:w w:val="105"/>
        </w:rPr>
        <w:t> </w:t>
      </w:r>
      <w:r>
        <w:rPr>
          <w:w w:val="105"/>
        </w:rPr>
        <w:t>tax</w:t>
      </w:r>
      <w:r>
        <w:rPr>
          <w:spacing w:val="-5"/>
          <w:w w:val="105"/>
        </w:rPr>
        <w:t> </w:t>
      </w:r>
      <w:r>
        <w:rPr>
          <w:w w:val="105"/>
        </w:rPr>
        <w:t>benefits</w:t>
      </w:r>
      <w:r>
        <w:rPr>
          <w:spacing w:val="-5"/>
          <w:w w:val="105"/>
        </w:rPr>
        <w:t> </w:t>
      </w:r>
      <w:r>
        <w:rPr>
          <w:w w:val="105"/>
        </w:rPr>
        <w:t>in</w:t>
      </w:r>
      <w:r>
        <w:rPr>
          <w:spacing w:val="-5"/>
          <w:w w:val="105"/>
        </w:rPr>
        <w:t> </w:t>
      </w:r>
      <w:r>
        <w:rPr>
          <w:w w:val="105"/>
        </w:rPr>
        <w:t>the</w:t>
      </w:r>
      <w:r>
        <w:rPr>
          <w:spacing w:val="-5"/>
          <w:w w:val="105"/>
        </w:rPr>
        <w:t> </w:t>
      </w:r>
      <w:r>
        <w:rPr>
          <w:w w:val="105"/>
        </w:rPr>
        <w:t>period</w:t>
      </w:r>
      <w:r>
        <w:rPr>
          <w:spacing w:val="-5"/>
          <w:w w:val="105"/>
        </w:rPr>
        <w:t> </w:t>
      </w:r>
      <w:r>
        <w:rPr>
          <w:w w:val="105"/>
        </w:rPr>
        <w:t>in</w:t>
      </w:r>
      <w:r>
        <w:rPr>
          <w:spacing w:val="-5"/>
          <w:w w:val="105"/>
        </w:rPr>
        <w:t> </w:t>
      </w:r>
      <w:r>
        <w:rPr>
          <w:w w:val="105"/>
        </w:rPr>
        <w:t>which</w:t>
      </w:r>
      <w:r>
        <w:rPr>
          <w:spacing w:val="-5"/>
          <w:w w:val="105"/>
        </w:rPr>
        <w:t> </w:t>
      </w:r>
      <w:r>
        <w:rPr>
          <w:w w:val="105"/>
        </w:rPr>
        <w:t>we</w:t>
      </w:r>
      <w:r>
        <w:rPr>
          <w:spacing w:val="-5"/>
          <w:w w:val="105"/>
        </w:rPr>
        <w:t> </w:t>
      </w:r>
      <w:r>
        <w:rPr>
          <w:w w:val="105"/>
        </w:rPr>
        <w:t>file</w:t>
      </w:r>
      <w:r>
        <w:rPr>
          <w:spacing w:val="-5"/>
          <w:w w:val="105"/>
        </w:rPr>
        <w:t> </w:t>
      </w:r>
      <w:r>
        <w:rPr>
          <w:w w:val="105"/>
        </w:rPr>
        <w:t>the</w:t>
      </w:r>
      <w:r>
        <w:rPr>
          <w:spacing w:val="-5"/>
          <w:w w:val="105"/>
        </w:rPr>
        <w:t> </w:t>
      </w:r>
      <w:r>
        <w:rPr>
          <w:w w:val="105"/>
        </w:rPr>
        <w:t>return</w:t>
      </w:r>
      <w:r>
        <w:rPr>
          <w:spacing w:val="-5"/>
          <w:w w:val="105"/>
        </w:rPr>
        <w:t> </w:t>
      </w:r>
      <w:r>
        <w:rPr>
          <w:w w:val="105"/>
        </w:rPr>
        <w:t>containing</w:t>
      </w:r>
      <w:r>
        <w:rPr>
          <w:spacing w:val="-5"/>
          <w:w w:val="105"/>
        </w:rPr>
        <w:t> </w:t>
      </w:r>
      <w:r>
        <w:rPr>
          <w:w w:val="105"/>
        </w:rPr>
        <w:t>the</w:t>
      </w:r>
      <w:r>
        <w:rPr>
          <w:spacing w:val="-5"/>
          <w:w w:val="105"/>
        </w:rPr>
        <w:t> </w:t>
      </w:r>
      <w:r>
        <w:rPr>
          <w:w w:val="105"/>
        </w:rPr>
        <w:t>tax</w:t>
      </w:r>
      <w:r>
        <w:rPr>
          <w:spacing w:val="-5"/>
          <w:w w:val="105"/>
        </w:rPr>
        <w:t> </w:t>
      </w:r>
      <w:r>
        <w:rPr>
          <w:w w:val="105"/>
        </w:rPr>
        <w:t>position</w:t>
      </w:r>
      <w:r>
        <w:rPr>
          <w:spacing w:val="-5"/>
          <w:w w:val="105"/>
        </w:rPr>
        <w:t> </w:t>
      </w:r>
      <w:r>
        <w:rPr>
          <w:w w:val="105"/>
        </w:rPr>
        <w:t>or</w:t>
      </w:r>
      <w:r>
        <w:rPr>
          <w:spacing w:val="-5"/>
          <w:w w:val="105"/>
        </w:rPr>
        <w:t> </w:t>
      </w:r>
      <w:r>
        <w:rPr>
          <w:w w:val="105"/>
        </w:rPr>
        <w:t>when</w:t>
      </w:r>
      <w:r>
        <w:rPr>
          <w:spacing w:val="-5"/>
          <w:w w:val="105"/>
        </w:rPr>
        <w:t> </w:t>
      </w:r>
      <w:r>
        <w:rPr>
          <w:w w:val="105"/>
        </w:rPr>
        <w:t>new</w:t>
      </w:r>
      <w:r>
        <w:rPr>
          <w:spacing w:val="-5"/>
          <w:w w:val="105"/>
        </w:rPr>
        <w:t> </w:t>
      </w:r>
      <w:r>
        <w:rPr>
          <w:w w:val="105"/>
        </w:rPr>
        <w:t>information</w:t>
      </w:r>
      <w:r>
        <w:rPr>
          <w:spacing w:val="-5"/>
          <w:w w:val="105"/>
        </w:rPr>
        <w:t> </w:t>
      </w:r>
      <w:r>
        <w:rPr>
          <w:w w:val="105"/>
        </w:rPr>
        <w:t>becomes</w:t>
      </w:r>
      <w:r>
        <w:rPr>
          <w:spacing w:val="-5"/>
          <w:w w:val="105"/>
        </w:rPr>
        <w:t> </w:t>
      </w:r>
      <w:r>
        <w:rPr>
          <w:w w:val="105"/>
        </w:rPr>
        <w:t>available.</w:t>
      </w:r>
      <w:r>
        <w:rPr>
          <w:spacing w:val="-5"/>
          <w:w w:val="105"/>
        </w:rPr>
        <w:t> </w:t>
      </w:r>
      <w:r>
        <w:rPr>
          <w:w w:val="105"/>
        </w:rPr>
        <w:t>The</w:t>
      </w:r>
      <w:r>
        <w:rPr>
          <w:spacing w:val="-5"/>
          <w:w w:val="105"/>
        </w:rPr>
        <w:t> </w:t>
      </w:r>
      <w:r>
        <w:rPr>
          <w:w w:val="105"/>
        </w:rPr>
        <w:t>liability</w:t>
      </w:r>
      <w:r>
        <w:rPr>
          <w:spacing w:val="-5"/>
          <w:w w:val="105"/>
        </w:rPr>
        <w:t> </w:t>
      </w:r>
      <w:r>
        <w:rPr>
          <w:w w:val="105"/>
        </w:rPr>
        <w:t>for unrecognized</w:t>
      </w:r>
      <w:r>
        <w:rPr>
          <w:spacing w:val="-9"/>
          <w:w w:val="105"/>
        </w:rPr>
        <w:t> </w:t>
      </w:r>
      <w:r>
        <w:rPr>
          <w:w w:val="105"/>
        </w:rPr>
        <w:t>tax</w:t>
      </w:r>
      <w:r>
        <w:rPr>
          <w:spacing w:val="-9"/>
          <w:w w:val="105"/>
        </w:rPr>
        <w:t> </w:t>
      </w:r>
      <w:r>
        <w:rPr>
          <w:w w:val="105"/>
        </w:rPr>
        <w:t>benefits,</w:t>
      </w:r>
      <w:r>
        <w:rPr>
          <w:spacing w:val="-9"/>
          <w:w w:val="105"/>
        </w:rPr>
        <w:t> </w:t>
      </w:r>
      <w:r>
        <w:rPr>
          <w:w w:val="105"/>
        </w:rPr>
        <w:t>including</w:t>
      </w:r>
      <w:r>
        <w:rPr>
          <w:spacing w:val="-9"/>
          <w:w w:val="105"/>
        </w:rPr>
        <w:t> </w:t>
      </w:r>
      <w:r>
        <w:rPr>
          <w:w w:val="105"/>
        </w:rPr>
        <w:t>accrued</w:t>
      </w:r>
      <w:r>
        <w:rPr>
          <w:spacing w:val="-9"/>
          <w:w w:val="105"/>
        </w:rPr>
        <w:t> </w:t>
      </w:r>
      <w:r>
        <w:rPr>
          <w:w w:val="105"/>
        </w:rPr>
        <w:t>penalties</w:t>
      </w:r>
      <w:r>
        <w:rPr>
          <w:spacing w:val="-9"/>
          <w:w w:val="105"/>
        </w:rPr>
        <w:t> </w:t>
      </w:r>
      <w:r>
        <w:rPr>
          <w:w w:val="105"/>
        </w:rPr>
        <w:t>and</w:t>
      </w:r>
      <w:r>
        <w:rPr>
          <w:spacing w:val="-9"/>
          <w:w w:val="105"/>
        </w:rPr>
        <w:t> </w:t>
      </w:r>
      <w:r>
        <w:rPr>
          <w:w w:val="105"/>
        </w:rPr>
        <w:t>interest,</w:t>
      </w:r>
      <w:r>
        <w:rPr>
          <w:spacing w:val="-9"/>
          <w:w w:val="105"/>
        </w:rPr>
        <w:t> </w:t>
      </w:r>
      <w:r>
        <w:rPr>
          <w:w w:val="105"/>
        </w:rPr>
        <w:t>is</w:t>
      </w:r>
      <w:r>
        <w:rPr>
          <w:spacing w:val="-9"/>
          <w:w w:val="105"/>
        </w:rPr>
        <w:t> </w:t>
      </w:r>
      <w:r>
        <w:rPr>
          <w:w w:val="105"/>
        </w:rPr>
        <w:t>included</w:t>
      </w:r>
      <w:r>
        <w:rPr>
          <w:spacing w:val="-9"/>
          <w:w w:val="105"/>
        </w:rPr>
        <w:t> </w:t>
      </w:r>
      <w:r>
        <w:rPr>
          <w:w w:val="105"/>
        </w:rPr>
        <w:t>in</w:t>
      </w:r>
      <w:r>
        <w:rPr>
          <w:spacing w:val="-9"/>
          <w:w w:val="105"/>
        </w:rPr>
        <w:t> </w:t>
      </w:r>
      <w:r>
        <w:rPr>
          <w:w w:val="105"/>
        </w:rPr>
        <w:t>other</w:t>
      </w:r>
      <w:r>
        <w:rPr>
          <w:spacing w:val="-9"/>
          <w:w w:val="105"/>
        </w:rPr>
        <w:t> </w:t>
      </w:r>
      <w:r>
        <w:rPr>
          <w:w w:val="105"/>
        </w:rPr>
        <w:t>accrued</w:t>
      </w:r>
      <w:r>
        <w:rPr>
          <w:spacing w:val="-9"/>
          <w:w w:val="105"/>
        </w:rPr>
        <w:t> </w:t>
      </w:r>
      <w:r>
        <w:rPr>
          <w:w w:val="105"/>
        </w:rPr>
        <w:t>liabilities</w:t>
      </w:r>
      <w:r>
        <w:rPr>
          <w:spacing w:val="-10"/>
          <w:w w:val="105"/>
        </w:rPr>
        <w:t> </w:t>
      </w:r>
      <w:r>
        <w:rPr>
          <w:w w:val="105"/>
        </w:rPr>
        <w:t>and</w:t>
      </w:r>
      <w:r>
        <w:rPr>
          <w:spacing w:val="-9"/>
          <w:w w:val="105"/>
        </w:rPr>
        <w:t> </w:t>
      </w:r>
      <w:r>
        <w:rPr>
          <w:w w:val="105"/>
        </w:rPr>
        <w:t>other</w:t>
      </w:r>
      <w:r>
        <w:rPr>
          <w:spacing w:val="-9"/>
          <w:w w:val="105"/>
        </w:rPr>
        <w:t> </w:t>
      </w:r>
      <w:r>
        <w:rPr>
          <w:w w:val="105"/>
        </w:rPr>
        <w:t>long-term</w:t>
      </w:r>
      <w:r>
        <w:rPr>
          <w:spacing w:val="-9"/>
          <w:w w:val="105"/>
        </w:rPr>
        <w:t> </w:t>
      </w:r>
      <w:r>
        <w:rPr>
          <w:w w:val="105"/>
        </w:rPr>
        <w:t>liabilities</w:t>
      </w:r>
      <w:r>
        <w:rPr>
          <w:spacing w:val="-10"/>
          <w:w w:val="105"/>
        </w:rPr>
        <w:t> </w:t>
      </w:r>
      <w:r>
        <w:rPr>
          <w:w w:val="105"/>
        </w:rPr>
        <w:t>on</w:t>
      </w:r>
      <w:r>
        <w:rPr>
          <w:spacing w:val="-9"/>
          <w:w w:val="105"/>
        </w:rPr>
        <w:t> </w:t>
      </w:r>
      <w:r>
        <w:rPr>
          <w:w w:val="105"/>
        </w:rPr>
        <w:t>the</w:t>
      </w:r>
      <w:r>
        <w:rPr>
          <w:spacing w:val="-9"/>
          <w:w w:val="105"/>
        </w:rPr>
        <w:t> </w:t>
      </w:r>
      <w:r>
        <w:rPr>
          <w:w w:val="105"/>
        </w:rPr>
        <w:t>consolidated</w:t>
      </w:r>
      <w:r>
        <w:rPr>
          <w:spacing w:val="-10"/>
          <w:w w:val="105"/>
        </w:rPr>
        <w:t> </w:t>
      </w:r>
      <w:r>
        <w:rPr>
          <w:w w:val="105"/>
        </w:rPr>
        <w:t>balance</w:t>
      </w:r>
      <w:r>
        <w:rPr>
          <w:spacing w:val="-9"/>
          <w:w w:val="105"/>
        </w:rPr>
        <w:t> </w:t>
      </w:r>
      <w:r>
        <w:rPr>
          <w:w w:val="105"/>
        </w:rPr>
        <w:t>sheets and in income tax expense in the consolidated statements of income.</w:t>
      </w:r>
    </w:p>
    <w:p>
      <w:pPr>
        <w:pStyle w:val="BodyText"/>
        <w:spacing w:before="17"/>
      </w:pPr>
    </w:p>
    <w:p>
      <w:pPr>
        <w:pStyle w:val="BodyText"/>
        <w:spacing w:line="266" w:lineRule="auto" w:before="1"/>
        <w:ind w:left="156"/>
      </w:pPr>
      <w:r>
        <w:rPr>
          <w:w w:val="105"/>
        </w:rPr>
        <w:t>Discrete</w:t>
      </w:r>
      <w:r>
        <w:rPr>
          <w:spacing w:val="-8"/>
          <w:w w:val="105"/>
        </w:rPr>
        <w:t> </w:t>
      </w:r>
      <w:r>
        <w:rPr>
          <w:w w:val="105"/>
        </w:rPr>
        <w:t>events</w:t>
      </w:r>
      <w:r>
        <w:rPr>
          <w:spacing w:val="-8"/>
          <w:w w:val="105"/>
        </w:rPr>
        <w:t> </w:t>
      </w:r>
      <w:r>
        <w:rPr>
          <w:w w:val="105"/>
        </w:rPr>
        <w:t>such</w:t>
      </w:r>
      <w:r>
        <w:rPr>
          <w:spacing w:val="-8"/>
          <w:w w:val="105"/>
        </w:rPr>
        <w:t> </w:t>
      </w:r>
      <w:r>
        <w:rPr>
          <w:w w:val="105"/>
        </w:rPr>
        <w:t>as</w:t>
      </w:r>
      <w:r>
        <w:rPr>
          <w:spacing w:val="-8"/>
          <w:w w:val="105"/>
        </w:rPr>
        <w:t> </w:t>
      </w:r>
      <w:r>
        <w:rPr>
          <w:w w:val="105"/>
        </w:rPr>
        <w:t>audit</w:t>
      </w:r>
      <w:r>
        <w:rPr>
          <w:spacing w:val="-8"/>
          <w:w w:val="105"/>
        </w:rPr>
        <w:t> </w:t>
      </w:r>
      <w:r>
        <w:rPr>
          <w:w w:val="105"/>
        </w:rPr>
        <w:t>settlements</w:t>
      </w:r>
      <w:r>
        <w:rPr>
          <w:spacing w:val="-8"/>
          <w:w w:val="105"/>
        </w:rPr>
        <w:t> </w:t>
      </w:r>
      <w:r>
        <w:rPr>
          <w:w w:val="105"/>
        </w:rPr>
        <w:t>or</w:t>
      </w:r>
      <w:r>
        <w:rPr>
          <w:spacing w:val="-8"/>
          <w:w w:val="105"/>
        </w:rPr>
        <w:t> </w:t>
      </w:r>
      <w:r>
        <w:rPr>
          <w:w w:val="105"/>
        </w:rPr>
        <w:t>changes</w:t>
      </w:r>
      <w:r>
        <w:rPr>
          <w:spacing w:val="-6"/>
          <w:w w:val="105"/>
        </w:rPr>
        <w:t> </w:t>
      </w:r>
      <w:r>
        <w:rPr>
          <w:w w:val="105"/>
        </w:rPr>
        <w:t>in</w:t>
      </w:r>
      <w:r>
        <w:rPr>
          <w:spacing w:val="-8"/>
          <w:w w:val="105"/>
        </w:rPr>
        <w:t> </w:t>
      </w:r>
      <w:r>
        <w:rPr>
          <w:w w:val="105"/>
        </w:rPr>
        <w:t>tax</w:t>
      </w:r>
      <w:r>
        <w:rPr>
          <w:spacing w:val="-8"/>
          <w:w w:val="105"/>
        </w:rPr>
        <w:t> </w:t>
      </w:r>
      <w:r>
        <w:rPr>
          <w:w w:val="105"/>
        </w:rPr>
        <w:t>laws</w:t>
      </w:r>
      <w:r>
        <w:rPr>
          <w:spacing w:val="-8"/>
          <w:w w:val="105"/>
        </w:rPr>
        <w:t> </w:t>
      </w:r>
      <w:r>
        <w:rPr>
          <w:w w:val="105"/>
        </w:rPr>
        <w:t>are</w:t>
      </w:r>
      <w:r>
        <w:rPr>
          <w:spacing w:val="-8"/>
          <w:w w:val="105"/>
        </w:rPr>
        <w:t> </w:t>
      </w:r>
      <w:r>
        <w:rPr>
          <w:w w:val="105"/>
        </w:rPr>
        <w:t>recognized</w:t>
      </w:r>
      <w:r>
        <w:rPr>
          <w:spacing w:val="-6"/>
          <w:w w:val="105"/>
        </w:rPr>
        <w:t> </w:t>
      </w:r>
      <w:r>
        <w:rPr>
          <w:w w:val="105"/>
        </w:rPr>
        <w:t>in</w:t>
      </w:r>
      <w:r>
        <w:rPr>
          <w:spacing w:val="-8"/>
          <w:w w:val="105"/>
        </w:rPr>
        <w:t> </w:t>
      </w:r>
      <w:r>
        <w:rPr>
          <w:w w:val="105"/>
        </w:rPr>
        <w:t>the</w:t>
      </w:r>
      <w:r>
        <w:rPr>
          <w:spacing w:val="-8"/>
          <w:w w:val="105"/>
        </w:rPr>
        <w:t> </w:t>
      </w:r>
      <w:r>
        <w:rPr>
          <w:w w:val="105"/>
        </w:rPr>
        <w:t>period</w:t>
      </w:r>
      <w:r>
        <w:rPr>
          <w:spacing w:val="-8"/>
          <w:w w:val="105"/>
        </w:rPr>
        <w:t> </w:t>
      </w:r>
      <w:r>
        <w:rPr>
          <w:w w:val="105"/>
        </w:rPr>
        <w:t>in</w:t>
      </w:r>
      <w:r>
        <w:rPr>
          <w:spacing w:val="-8"/>
          <w:w w:val="105"/>
        </w:rPr>
        <w:t> </w:t>
      </w:r>
      <w:r>
        <w:rPr>
          <w:w w:val="105"/>
        </w:rPr>
        <w:t>which</w:t>
      </w:r>
      <w:r>
        <w:rPr>
          <w:spacing w:val="-8"/>
          <w:w w:val="105"/>
        </w:rPr>
        <w:t> </w:t>
      </w:r>
      <w:r>
        <w:rPr>
          <w:w w:val="105"/>
        </w:rPr>
        <w:t>they</w:t>
      </w:r>
      <w:r>
        <w:rPr>
          <w:spacing w:val="-8"/>
          <w:w w:val="105"/>
        </w:rPr>
        <w:t> </w:t>
      </w:r>
      <w:r>
        <w:rPr>
          <w:w w:val="105"/>
        </w:rPr>
        <w:t>occur.</w:t>
      </w:r>
      <w:r>
        <w:rPr>
          <w:spacing w:val="-8"/>
          <w:w w:val="105"/>
        </w:rPr>
        <w:t> </w:t>
      </w:r>
      <w:r>
        <w:rPr>
          <w:w w:val="105"/>
        </w:rPr>
        <w:t>Valuation</w:t>
      </w:r>
      <w:r>
        <w:rPr>
          <w:spacing w:val="-8"/>
          <w:w w:val="105"/>
        </w:rPr>
        <w:t> </w:t>
      </w:r>
      <w:r>
        <w:rPr>
          <w:w w:val="105"/>
        </w:rPr>
        <w:t>allowances</w:t>
      </w:r>
      <w:r>
        <w:rPr>
          <w:spacing w:val="-8"/>
          <w:w w:val="105"/>
        </w:rPr>
        <w:t> </w:t>
      </w:r>
      <w:r>
        <w:rPr>
          <w:w w:val="105"/>
        </w:rPr>
        <w:t>are</w:t>
      </w:r>
      <w:r>
        <w:rPr>
          <w:spacing w:val="-8"/>
          <w:w w:val="105"/>
        </w:rPr>
        <w:t> </w:t>
      </w:r>
      <w:r>
        <w:rPr>
          <w:w w:val="105"/>
        </w:rPr>
        <w:t>established</w:t>
      </w:r>
      <w:r>
        <w:rPr>
          <w:spacing w:val="-8"/>
          <w:w w:val="105"/>
        </w:rPr>
        <w:t> </w:t>
      </w:r>
      <w:r>
        <w:rPr>
          <w:w w:val="105"/>
        </w:rPr>
        <w:t>when</w:t>
      </w:r>
      <w:r>
        <w:rPr>
          <w:spacing w:val="-8"/>
          <w:w w:val="105"/>
        </w:rPr>
        <w:t> </w:t>
      </w:r>
      <w:r>
        <w:rPr>
          <w:w w:val="105"/>
        </w:rPr>
        <w:t>management</w:t>
      </w:r>
      <w:r>
        <w:rPr>
          <w:spacing w:val="-8"/>
          <w:w w:val="105"/>
        </w:rPr>
        <w:t> </w:t>
      </w:r>
      <w:r>
        <w:rPr>
          <w:w w:val="105"/>
        </w:rPr>
        <w:t>is unable to conclude that it is more likely than not that some portion,</w:t>
      </w:r>
      <w:r>
        <w:rPr>
          <w:spacing w:val="-2"/>
          <w:w w:val="105"/>
        </w:rPr>
        <w:t> </w:t>
      </w:r>
      <w:r>
        <w:rPr>
          <w:w w:val="105"/>
        </w:rPr>
        <w:t>or all, of the deferred tax asset will ultimately be realized.</w:t>
      </w:r>
    </w:p>
    <w:p>
      <w:pPr>
        <w:pStyle w:val="BodyText"/>
        <w:spacing w:before="18"/>
      </w:pPr>
    </w:p>
    <w:p>
      <w:pPr>
        <w:pStyle w:val="BodyText"/>
        <w:spacing w:line="266" w:lineRule="auto" w:before="1"/>
        <w:ind w:left="156"/>
      </w:pPr>
      <w:r>
        <w:rPr>
          <w:w w:val="105"/>
        </w:rPr>
        <w:t>Generally,</w:t>
      </w:r>
      <w:r>
        <w:rPr>
          <w:spacing w:val="-7"/>
          <w:w w:val="105"/>
        </w:rPr>
        <w:t> </w:t>
      </w:r>
      <w:r>
        <w:rPr>
          <w:w w:val="105"/>
        </w:rPr>
        <w:t>Corning</w:t>
      </w:r>
      <w:r>
        <w:rPr>
          <w:spacing w:val="-7"/>
          <w:w w:val="105"/>
        </w:rPr>
        <w:t> </w:t>
      </w:r>
      <w:r>
        <w:rPr>
          <w:w w:val="105"/>
        </w:rPr>
        <w:t>will</w:t>
      </w:r>
      <w:r>
        <w:rPr>
          <w:spacing w:val="-7"/>
          <w:w w:val="105"/>
        </w:rPr>
        <w:t> </w:t>
      </w:r>
      <w:r>
        <w:rPr>
          <w:w w:val="105"/>
        </w:rPr>
        <w:t>indefinitely</w:t>
      </w:r>
      <w:r>
        <w:rPr>
          <w:spacing w:val="-7"/>
          <w:w w:val="105"/>
        </w:rPr>
        <w:t> </w:t>
      </w:r>
      <w:r>
        <w:rPr>
          <w:w w:val="105"/>
        </w:rPr>
        <w:t>reinvest</w:t>
      </w:r>
      <w:r>
        <w:rPr>
          <w:spacing w:val="-7"/>
          <w:w w:val="105"/>
        </w:rPr>
        <w:t> </w:t>
      </w:r>
      <w:r>
        <w:rPr>
          <w:w w:val="105"/>
        </w:rPr>
        <w:t>the</w:t>
      </w:r>
      <w:r>
        <w:rPr>
          <w:spacing w:val="-7"/>
          <w:w w:val="105"/>
        </w:rPr>
        <w:t> </w:t>
      </w:r>
      <w:r>
        <w:rPr>
          <w:w w:val="105"/>
        </w:rPr>
        <w:t>foreign</w:t>
      </w:r>
      <w:r>
        <w:rPr>
          <w:spacing w:val="-7"/>
          <w:w w:val="105"/>
        </w:rPr>
        <w:t> </w:t>
      </w:r>
      <w:r>
        <w:rPr>
          <w:w w:val="105"/>
        </w:rPr>
        <w:t>earnings</w:t>
      </w:r>
      <w:r>
        <w:rPr>
          <w:spacing w:val="-7"/>
          <w:w w:val="105"/>
        </w:rPr>
        <w:t> </w:t>
      </w:r>
      <w:r>
        <w:rPr>
          <w:w w:val="105"/>
        </w:rPr>
        <w:t>of:</w:t>
      </w:r>
      <w:r>
        <w:rPr>
          <w:spacing w:val="-7"/>
          <w:w w:val="105"/>
        </w:rPr>
        <w:t> </w:t>
      </w:r>
      <w:r>
        <w:rPr>
          <w:w w:val="105"/>
        </w:rPr>
        <w:t>(1)</w:t>
      </w:r>
      <w:r>
        <w:rPr>
          <w:spacing w:val="-7"/>
          <w:w w:val="105"/>
        </w:rPr>
        <w:t> </w:t>
      </w:r>
      <w:r>
        <w:rPr>
          <w:w w:val="105"/>
        </w:rPr>
        <w:t>any</w:t>
      </w:r>
      <w:r>
        <w:rPr>
          <w:spacing w:val="-7"/>
          <w:w w:val="105"/>
        </w:rPr>
        <w:t> </w:t>
      </w:r>
      <w:r>
        <w:rPr>
          <w:w w:val="105"/>
        </w:rPr>
        <w:t>subsidiaries</w:t>
      </w:r>
      <w:r>
        <w:rPr>
          <w:spacing w:val="-7"/>
          <w:w w:val="105"/>
        </w:rPr>
        <w:t> </w:t>
      </w:r>
      <w:r>
        <w:rPr>
          <w:w w:val="105"/>
        </w:rPr>
        <w:t>that</w:t>
      </w:r>
      <w:r>
        <w:rPr>
          <w:spacing w:val="-7"/>
          <w:w w:val="105"/>
        </w:rPr>
        <w:t> </w:t>
      </w:r>
      <w:r>
        <w:rPr>
          <w:w w:val="105"/>
        </w:rPr>
        <w:t>lack</w:t>
      </w:r>
      <w:r>
        <w:rPr>
          <w:spacing w:val="-7"/>
          <w:w w:val="105"/>
        </w:rPr>
        <w:t> </w:t>
      </w:r>
      <w:r>
        <w:rPr>
          <w:w w:val="105"/>
        </w:rPr>
        <w:t>sufficient</w:t>
      </w:r>
      <w:r>
        <w:rPr>
          <w:spacing w:val="-7"/>
          <w:w w:val="105"/>
        </w:rPr>
        <w:t> </w:t>
      </w:r>
      <w:r>
        <w:rPr>
          <w:w w:val="105"/>
        </w:rPr>
        <w:t>local</w:t>
      </w:r>
      <w:r>
        <w:rPr>
          <w:spacing w:val="-7"/>
          <w:w w:val="105"/>
        </w:rPr>
        <w:t> </w:t>
      </w:r>
      <w:r>
        <w:rPr>
          <w:w w:val="105"/>
        </w:rPr>
        <w:t>statutory</w:t>
      </w:r>
      <w:r>
        <w:rPr>
          <w:spacing w:val="-7"/>
          <w:w w:val="105"/>
        </w:rPr>
        <w:t> </w:t>
      </w:r>
      <w:r>
        <w:rPr>
          <w:w w:val="105"/>
        </w:rPr>
        <w:t>earnings</w:t>
      </w:r>
      <w:r>
        <w:rPr>
          <w:spacing w:val="-7"/>
          <w:w w:val="105"/>
        </w:rPr>
        <w:t> </w:t>
      </w:r>
      <w:r>
        <w:rPr>
          <w:w w:val="105"/>
        </w:rPr>
        <w:t>from</w:t>
      </w:r>
      <w:r>
        <w:rPr>
          <w:spacing w:val="-7"/>
          <w:w w:val="105"/>
        </w:rPr>
        <w:t> </w:t>
      </w:r>
      <w:r>
        <w:rPr>
          <w:w w:val="105"/>
        </w:rPr>
        <w:t>which</w:t>
      </w:r>
      <w:r>
        <w:rPr>
          <w:spacing w:val="-5"/>
          <w:w w:val="105"/>
        </w:rPr>
        <w:t> </w:t>
      </w:r>
      <w:r>
        <w:rPr>
          <w:w w:val="105"/>
        </w:rPr>
        <w:t>to</w:t>
      </w:r>
      <w:r>
        <w:rPr>
          <w:spacing w:val="-7"/>
          <w:w w:val="105"/>
        </w:rPr>
        <w:t> </w:t>
      </w:r>
      <w:r>
        <w:rPr>
          <w:w w:val="105"/>
        </w:rPr>
        <w:t>make</w:t>
      </w:r>
      <w:r>
        <w:rPr>
          <w:spacing w:val="-7"/>
          <w:w w:val="105"/>
        </w:rPr>
        <w:t> </w:t>
      </w:r>
      <w:r>
        <w:rPr>
          <w:w w:val="105"/>
        </w:rPr>
        <w:t>a</w:t>
      </w:r>
      <w:r>
        <w:rPr>
          <w:spacing w:val="-7"/>
          <w:w w:val="105"/>
        </w:rPr>
        <w:t> </w:t>
      </w:r>
      <w:r>
        <w:rPr>
          <w:w w:val="105"/>
        </w:rPr>
        <w:t>distribution</w:t>
      </w:r>
      <w:r>
        <w:rPr>
          <w:spacing w:val="-7"/>
          <w:w w:val="105"/>
        </w:rPr>
        <w:t> </w:t>
      </w:r>
      <w:r>
        <w:rPr>
          <w:w w:val="105"/>
        </w:rPr>
        <w:t>or otherwise</w:t>
      </w:r>
      <w:r>
        <w:rPr>
          <w:spacing w:val="-4"/>
          <w:w w:val="105"/>
        </w:rPr>
        <w:t> </w:t>
      </w:r>
      <w:r>
        <w:rPr>
          <w:w w:val="105"/>
        </w:rPr>
        <w:t>lacks</w:t>
      </w:r>
      <w:r>
        <w:rPr>
          <w:spacing w:val="-4"/>
          <w:w w:val="105"/>
        </w:rPr>
        <w:t> </w:t>
      </w:r>
      <w:r>
        <w:rPr>
          <w:w w:val="105"/>
        </w:rPr>
        <w:t>the</w:t>
      </w:r>
      <w:r>
        <w:rPr>
          <w:spacing w:val="-4"/>
          <w:w w:val="105"/>
        </w:rPr>
        <w:t> </w:t>
      </w:r>
      <w:r>
        <w:rPr>
          <w:w w:val="105"/>
        </w:rPr>
        <w:t>ability</w:t>
      </w:r>
      <w:r>
        <w:rPr>
          <w:spacing w:val="-4"/>
          <w:w w:val="105"/>
        </w:rPr>
        <w:t> </w:t>
      </w:r>
      <w:r>
        <w:rPr>
          <w:w w:val="105"/>
        </w:rPr>
        <w:t>to</w:t>
      </w:r>
      <w:r>
        <w:rPr>
          <w:spacing w:val="-4"/>
          <w:w w:val="105"/>
        </w:rPr>
        <w:t> </w:t>
      </w:r>
      <w:r>
        <w:rPr>
          <w:w w:val="105"/>
        </w:rPr>
        <w:t>repatriate</w:t>
      </w:r>
      <w:r>
        <w:rPr>
          <w:spacing w:val="-4"/>
          <w:w w:val="105"/>
        </w:rPr>
        <w:t> </w:t>
      </w:r>
      <w:r>
        <w:rPr>
          <w:w w:val="105"/>
        </w:rPr>
        <w:t>its</w:t>
      </w:r>
      <w:r>
        <w:rPr>
          <w:spacing w:val="-4"/>
          <w:w w:val="105"/>
        </w:rPr>
        <w:t> </w:t>
      </w:r>
      <w:r>
        <w:rPr>
          <w:w w:val="105"/>
        </w:rPr>
        <w:t>earnings,</w:t>
      </w:r>
      <w:r>
        <w:rPr>
          <w:spacing w:val="-4"/>
          <w:w w:val="105"/>
        </w:rPr>
        <w:t> </w:t>
      </w:r>
      <w:r>
        <w:rPr>
          <w:w w:val="105"/>
        </w:rPr>
        <w:t>(2)</w:t>
      </w:r>
      <w:r>
        <w:rPr>
          <w:spacing w:val="-4"/>
          <w:w w:val="105"/>
        </w:rPr>
        <w:t> </w:t>
      </w:r>
      <w:r>
        <w:rPr>
          <w:w w:val="105"/>
        </w:rPr>
        <w:t>any</w:t>
      </w:r>
      <w:r>
        <w:rPr>
          <w:spacing w:val="-4"/>
          <w:w w:val="105"/>
        </w:rPr>
        <w:t> </w:t>
      </w:r>
      <w:r>
        <w:rPr>
          <w:w w:val="105"/>
        </w:rPr>
        <w:t>subsidiaries</w:t>
      </w:r>
      <w:r>
        <w:rPr>
          <w:spacing w:val="-4"/>
          <w:w w:val="105"/>
        </w:rPr>
        <w:t> </w:t>
      </w:r>
      <w:r>
        <w:rPr>
          <w:w w:val="105"/>
        </w:rPr>
        <w:t>where</w:t>
      </w:r>
      <w:r>
        <w:rPr>
          <w:spacing w:val="-4"/>
          <w:w w:val="105"/>
        </w:rPr>
        <w:t> </w:t>
      </w:r>
      <w:r>
        <w:rPr>
          <w:w w:val="105"/>
        </w:rPr>
        <w:t>Corning’s</w:t>
      </w:r>
      <w:r>
        <w:rPr>
          <w:spacing w:val="-2"/>
          <w:w w:val="105"/>
        </w:rPr>
        <w:t> </w:t>
      </w:r>
      <w:r>
        <w:rPr>
          <w:w w:val="105"/>
        </w:rPr>
        <w:t>intention</w:t>
      </w:r>
      <w:r>
        <w:rPr>
          <w:spacing w:val="-4"/>
          <w:w w:val="105"/>
        </w:rPr>
        <w:t> </w:t>
      </w:r>
      <w:r>
        <w:rPr>
          <w:w w:val="105"/>
        </w:rPr>
        <w:t>is</w:t>
      </w:r>
      <w:r>
        <w:rPr>
          <w:spacing w:val="-4"/>
          <w:w w:val="105"/>
        </w:rPr>
        <w:t> </w:t>
      </w:r>
      <w:r>
        <w:rPr>
          <w:w w:val="105"/>
        </w:rPr>
        <w:t>to</w:t>
      </w:r>
      <w:r>
        <w:rPr>
          <w:spacing w:val="-4"/>
          <w:w w:val="105"/>
        </w:rPr>
        <w:t> </w:t>
      </w:r>
      <w:r>
        <w:rPr>
          <w:w w:val="105"/>
        </w:rPr>
        <w:t>reinvest</w:t>
      </w:r>
      <w:r>
        <w:rPr>
          <w:spacing w:val="-4"/>
          <w:w w:val="105"/>
        </w:rPr>
        <w:t> </w:t>
      </w:r>
      <w:r>
        <w:rPr>
          <w:w w:val="105"/>
        </w:rPr>
        <w:t>those</w:t>
      </w:r>
      <w:r>
        <w:rPr>
          <w:spacing w:val="-4"/>
          <w:w w:val="105"/>
        </w:rPr>
        <w:t> </w:t>
      </w:r>
      <w:r>
        <w:rPr>
          <w:w w:val="105"/>
        </w:rPr>
        <w:t>earnings</w:t>
      </w:r>
      <w:r>
        <w:rPr>
          <w:spacing w:val="-4"/>
          <w:w w:val="105"/>
        </w:rPr>
        <w:t> </w:t>
      </w:r>
      <w:r>
        <w:rPr>
          <w:w w:val="105"/>
        </w:rPr>
        <w:t>in</w:t>
      </w:r>
      <w:r>
        <w:rPr>
          <w:spacing w:val="-4"/>
          <w:w w:val="105"/>
        </w:rPr>
        <w:t> </w:t>
      </w:r>
      <w:r>
        <w:rPr>
          <w:w w:val="105"/>
        </w:rPr>
        <w:t>operations,</w:t>
      </w:r>
      <w:r>
        <w:rPr>
          <w:spacing w:val="-4"/>
          <w:w w:val="105"/>
        </w:rPr>
        <w:t> </w:t>
      </w:r>
      <w:r>
        <w:rPr>
          <w:w w:val="105"/>
        </w:rPr>
        <w:t>(3)</w:t>
      </w:r>
      <w:r>
        <w:rPr>
          <w:spacing w:val="-4"/>
          <w:w w:val="105"/>
        </w:rPr>
        <w:t> </w:t>
      </w:r>
      <w:r>
        <w:rPr>
          <w:w w:val="105"/>
        </w:rPr>
        <w:t>legal</w:t>
      </w:r>
      <w:r>
        <w:rPr>
          <w:spacing w:val="-4"/>
          <w:w w:val="105"/>
        </w:rPr>
        <w:t> </w:t>
      </w:r>
      <w:r>
        <w:rPr>
          <w:w w:val="105"/>
        </w:rPr>
        <w:t>entities</w:t>
      </w:r>
      <w:r>
        <w:rPr>
          <w:spacing w:val="-4"/>
          <w:w w:val="105"/>
        </w:rPr>
        <w:t> </w:t>
      </w:r>
      <w:r>
        <w:rPr>
          <w:w w:val="105"/>
        </w:rPr>
        <w:t>for</w:t>
      </w:r>
      <w:r>
        <w:rPr>
          <w:spacing w:val="-4"/>
          <w:w w:val="105"/>
        </w:rPr>
        <w:t> </w:t>
      </w:r>
      <w:r>
        <w:rPr>
          <w:w w:val="105"/>
        </w:rPr>
        <w:t>which Corning</w:t>
      </w:r>
      <w:r>
        <w:rPr>
          <w:spacing w:val="-8"/>
          <w:w w:val="105"/>
        </w:rPr>
        <w:t> </w:t>
      </w:r>
      <w:r>
        <w:rPr>
          <w:w w:val="105"/>
        </w:rPr>
        <w:t>holds</w:t>
      </w:r>
      <w:r>
        <w:rPr>
          <w:spacing w:val="-8"/>
          <w:w w:val="105"/>
        </w:rPr>
        <w:t> </w:t>
      </w:r>
      <w:r>
        <w:rPr>
          <w:w w:val="105"/>
        </w:rPr>
        <w:t>a</w:t>
      </w:r>
      <w:r>
        <w:rPr>
          <w:spacing w:val="-8"/>
          <w:w w:val="105"/>
        </w:rPr>
        <w:t> </w:t>
      </w:r>
      <w:r>
        <w:rPr>
          <w:w w:val="105"/>
        </w:rPr>
        <w:t>non-controlling</w:t>
      </w:r>
      <w:r>
        <w:rPr>
          <w:spacing w:val="-8"/>
          <w:w w:val="105"/>
        </w:rPr>
        <w:t> </w:t>
      </w:r>
      <w:r>
        <w:rPr>
          <w:w w:val="105"/>
        </w:rPr>
        <w:t>interest,</w:t>
      </w:r>
      <w:r>
        <w:rPr>
          <w:spacing w:val="-8"/>
          <w:w w:val="105"/>
        </w:rPr>
        <w:t> </w:t>
      </w:r>
      <w:r>
        <w:rPr>
          <w:w w:val="105"/>
        </w:rPr>
        <w:t>(4)</w:t>
      </w:r>
      <w:r>
        <w:rPr>
          <w:spacing w:val="-8"/>
          <w:w w:val="105"/>
        </w:rPr>
        <w:t> </w:t>
      </w:r>
      <w:r>
        <w:rPr>
          <w:w w:val="105"/>
        </w:rPr>
        <w:t>any</w:t>
      </w:r>
      <w:r>
        <w:rPr>
          <w:spacing w:val="-8"/>
          <w:w w:val="105"/>
        </w:rPr>
        <w:t> </w:t>
      </w:r>
      <w:r>
        <w:rPr>
          <w:w w:val="105"/>
        </w:rPr>
        <w:t>subsidiaries</w:t>
      </w:r>
      <w:r>
        <w:rPr>
          <w:spacing w:val="-8"/>
          <w:w w:val="105"/>
        </w:rPr>
        <w:t> </w:t>
      </w:r>
      <w:r>
        <w:rPr>
          <w:w w:val="105"/>
        </w:rPr>
        <w:t>with</w:t>
      </w:r>
      <w:r>
        <w:rPr>
          <w:spacing w:val="-8"/>
          <w:w w:val="105"/>
        </w:rPr>
        <w:t> </w:t>
      </w:r>
      <w:r>
        <w:rPr>
          <w:w w:val="105"/>
        </w:rPr>
        <w:t>an</w:t>
      </w:r>
      <w:r>
        <w:rPr>
          <w:spacing w:val="-8"/>
          <w:w w:val="105"/>
        </w:rPr>
        <w:t> </w:t>
      </w:r>
      <w:r>
        <w:rPr>
          <w:w w:val="105"/>
        </w:rPr>
        <w:t>accumulated</w:t>
      </w:r>
      <w:r>
        <w:rPr>
          <w:spacing w:val="-8"/>
          <w:w w:val="105"/>
        </w:rPr>
        <w:t> </w:t>
      </w:r>
      <w:r>
        <w:rPr>
          <w:w w:val="105"/>
        </w:rPr>
        <w:t>deficit</w:t>
      </w:r>
      <w:r>
        <w:rPr>
          <w:spacing w:val="-8"/>
          <w:w w:val="105"/>
        </w:rPr>
        <w:t> </w:t>
      </w:r>
      <w:r>
        <w:rPr>
          <w:w w:val="105"/>
        </w:rPr>
        <w:t>in</w:t>
      </w:r>
      <w:r>
        <w:rPr>
          <w:spacing w:val="-7"/>
          <w:w w:val="105"/>
        </w:rPr>
        <w:t> </w:t>
      </w:r>
      <w:r>
        <w:rPr>
          <w:w w:val="105"/>
        </w:rPr>
        <w:t>earnings</w:t>
      </w:r>
      <w:r>
        <w:rPr>
          <w:spacing w:val="-8"/>
          <w:w w:val="105"/>
        </w:rPr>
        <w:t> </w:t>
      </w:r>
      <w:r>
        <w:rPr>
          <w:w w:val="105"/>
        </w:rPr>
        <w:t>and</w:t>
      </w:r>
      <w:r>
        <w:rPr>
          <w:spacing w:val="-8"/>
          <w:w w:val="105"/>
        </w:rPr>
        <w:t> </w:t>
      </w:r>
      <w:r>
        <w:rPr>
          <w:w w:val="105"/>
        </w:rPr>
        <w:t>profits,</w:t>
      </w:r>
      <w:r>
        <w:rPr>
          <w:spacing w:val="-8"/>
          <w:w w:val="105"/>
        </w:rPr>
        <w:t> </w:t>
      </w:r>
      <w:r>
        <w:rPr>
          <w:w w:val="105"/>
        </w:rPr>
        <w:t>or</w:t>
      </w:r>
      <w:r>
        <w:rPr>
          <w:spacing w:val="-8"/>
          <w:w w:val="105"/>
        </w:rPr>
        <w:t> </w:t>
      </w:r>
      <w:r>
        <w:rPr>
          <w:w w:val="105"/>
        </w:rPr>
        <w:t>(5)</w:t>
      </w:r>
      <w:r>
        <w:rPr>
          <w:spacing w:val="-8"/>
          <w:w w:val="105"/>
        </w:rPr>
        <w:t> </w:t>
      </w:r>
      <w:r>
        <w:rPr>
          <w:w w:val="105"/>
        </w:rPr>
        <w:t>any</w:t>
      </w:r>
      <w:r>
        <w:rPr>
          <w:spacing w:val="-8"/>
          <w:w w:val="105"/>
        </w:rPr>
        <w:t> </w:t>
      </w:r>
      <w:r>
        <w:rPr>
          <w:w w:val="105"/>
        </w:rPr>
        <w:t>subsidiaries</w:t>
      </w:r>
      <w:r>
        <w:rPr>
          <w:spacing w:val="-8"/>
          <w:w w:val="105"/>
        </w:rPr>
        <w:t> </w:t>
      </w:r>
      <w:r>
        <w:rPr>
          <w:w w:val="105"/>
        </w:rPr>
        <w:t>where</w:t>
      </w:r>
      <w:r>
        <w:rPr>
          <w:spacing w:val="-8"/>
          <w:w w:val="105"/>
        </w:rPr>
        <w:t> </w:t>
      </w:r>
      <w:r>
        <w:rPr>
          <w:w w:val="105"/>
        </w:rPr>
        <w:t>a</w:t>
      </w:r>
      <w:r>
        <w:rPr>
          <w:spacing w:val="-8"/>
          <w:w w:val="105"/>
        </w:rPr>
        <w:t> </w:t>
      </w:r>
      <w:r>
        <w:rPr>
          <w:w w:val="105"/>
        </w:rPr>
        <w:t>future</w:t>
      </w:r>
      <w:r>
        <w:rPr>
          <w:spacing w:val="-8"/>
          <w:w w:val="105"/>
        </w:rPr>
        <w:t> </w:t>
      </w:r>
      <w:r>
        <w:rPr>
          <w:w w:val="105"/>
        </w:rPr>
        <w:t>distribution</w:t>
      </w:r>
      <w:r>
        <w:rPr>
          <w:spacing w:val="-8"/>
          <w:w w:val="105"/>
        </w:rPr>
        <w:t> </w:t>
      </w:r>
      <w:r>
        <w:rPr>
          <w:w w:val="105"/>
        </w:rPr>
        <w:t>would trigger a significant net cost to the U.S. shareholder.</w:t>
      </w:r>
    </w:p>
    <w:p>
      <w:pPr>
        <w:pStyle w:val="BodyText"/>
        <w:spacing w:before="18"/>
      </w:pPr>
    </w:p>
    <w:p>
      <w:pPr>
        <w:pStyle w:val="BodyText"/>
        <w:ind w:left="48"/>
        <w:jc w:val="center"/>
      </w:pPr>
      <w:r>
        <w:rPr>
          <w:spacing w:val="-5"/>
          <w:w w:val="105"/>
        </w:rPr>
        <w:t>74</w:t>
      </w:r>
    </w:p>
    <w:p>
      <w:pPr>
        <w:pStyle w:val="BodyText"/>
        <w:spacing w:before="11"/>
        <w:rPr>
          <w:sz w:val="5"/>
        </w:rPr>
      </w:pPr>
      <w:r>
        <w:rPr/>
        <mc:AlternateContent>
          <mc:Choice Requires="wps">
            <w:drawing>
              <wp:anchor distT="0" distB="0" distL="0" distR="0" allowOverlap="1" layoutInCell="1" locked="0" behindDoc="1" simplePos="0" relativeHeight="487672832">
                <wp:simplePos x="0" y="0"/>
                <wp:positionH relativeFrom="page">
                  <wp:posOffset>226488</wp:posOffset>
                </wp:positionH>
                <wp:positionV relativeFrom="paragraph">
                  <wp:posOffset>58734</wp:posOffset>
                </wp:positionV>
                <wp:extent cx="7312659" cy="16510"/>
                <wp:effectExtent l="0" t="0" r="0" b="0"/>
                <wp:wrapTopAndBottom/>
                <wp:docPr id="302" name="Graphic 302"/>
                <wp:cNvGraphicFramePr>
                  <a:graphicFrameLocks/>
                </wp:cNvGraphicFramePr>
                <a:graphic>
                  <a:graphicData uri="http://schemas.microsoft.com/office/word/2010/wordprocessingShape">
                    <wps:wsp>
                      <wps:cNvPr id="302" name="Graphic 302"/>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43648;mso-wrap-distance-left:0;mso-wrap-distance-right:0" id="docshape301"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numPr>
          <w:ilvl w:val="0"/>
          <w:numId w:val="35"/>
        </w:numPr>
        <w:tabs>
          <w:tab w:pos="362" w:val="left" w:leader="none"/>
        </w:tabs>
        <w:spacing w:line="240" w:lineRule="auto" w:before="0" w:after="0"/>
        <w:ind w:left="362" w:right="0" w:hanging="206"/>
        <w:jc w:val="left"/>
      </w:pPr>
      <w:r>
        <w:rPr/>
        <w:t>Summary</w:t>
      </w:r>
      <w:r>
        <w:rPr>
          <w:spacing w:val="16"/>
        </w:rPr>
        <w:t> </w:t>
      </w:r>
      <w:r>
        <w:rPr/>
        <w:t>of</w:t>
      </w:r>
      <w:r>
        <w:rPr>
          <w:spacing w:val="17"/>
        </w:rPr>
        <w:t> </w:t>
      </w:r>
      <w:r>
        <w:rPr/>
        <w:t>Significant</w:t>
      </w:r>
      <w:r>
        <w:rPr>
          <w:spacing w:val="17"/>
        </w:rPr>
        <w:t> </w:t>
      </w:r>
      <w:r>
        <w:rPr/>
        <w:t>Accounting</w:t>
      </w:r>
      <w:r>
        <w:rPr>
          <w:spacing w:val="16"/>
        </w:rPr>
        <w:t> </w:t>
      </w:r>
      <w:r>
        <w:rPr/>
        <w:t>Policies</w:t>
      </w:r>
      <w:r>
        <w:rPr>
          <w:spacing w:val="17"/>
        </w:rPr>
        <w:t> </w:t>
      </w:r>
      <w:r>
        <w:rPr>
          <w:spacing w:val="-2"/>
        </w:rPr>
        <w:t>(Continued)</w:t>
      </w:r>
    </w:p>
    <w:p>
      <w:pPr>
        <w:pStyle w:val="BodyText"/>
        <w:spacing w:before="40"/>
        <w:rPr>
          <w:b/>
        </w:rPr>
      </w:pPr>
    </w:p>
    <w:p>
      <w:pPr>
        <w:pStyle w:val="Heading3"/>
      </w:pPr>
      <w:r>
        <w:rPr>
          <w:w w:val="105"/>
        </w:rPr>
        <w:t>Equity</w:t>
      </w:r>
      <w:r>
        <w:rPr>
          <w:spacing w:val="-11"/>
          <w:w w:val="105"/>
        </w:rPr>
        <w:t> </w:t>
      </w:r>
      <w:r>
        <w:rPr>
          <w:w w:val="105"/>
        </w:rPr>
        <w:t>Method</w:t>
      </w:r>
      <w:r>
        <w:rPr>
          <w:spacing w:val="-10"/>
          <w:w w:val="105"/>
        </w:rPr>
        <w:t> </w:t>
      </w:r>
      <w:r>
        <w:rPr>
          <w:spacing w:val="-2"/>
          <w:w w:val="105"/>
        </w:rPr>
        <w:t>Investments</w:t>
      </w:r>
    </w:p>
    <w:p>
      <w:pPr>
        <w:pStyle w:val="BodyText"/>
        <w:spacing w:before="39"/>
        <w:rPr>
          <w:b/>
          <w:i/>
        </w:rPr>
      </w:pPr>
    </w:p>
    <w:p>
      <w:pPr>
        <w:pStyle w:val="BodyText"/>
        <w:spacing w:line="266" w:lineRule="auto"/>
        <w:ind w:left="156" w:right="117"/>
      </w:pPr>
      <w:r>
        <w:rPr>
          <w:w w:val="105"/>
        </w:rPr>
        <w:t>Equity</w:t>
      </w:r>
      <w:r>
        <w:rPr>
          <w:spacing w:val="-2"/>
          <w:w w:val="105"/>
        </w:rPr>
        <w:t> </w:t>
      </w:r>
      <w:r>
        <w:rPr>
          <w:w w:val="105"/>
        </w:rPr>
        <w:t>method</w:t>
      </w:r>
      <w:r>
        <w:rPr>
          <w:spacing w:val="-2"/>
          <w:w w:val="105"/>
        </w:rPr>
        <w:t> </w:t>
      </w:r>
      <w:r>
        <w:rPr>
          <w:w w:val="105"/>
        </w:rPr>
        <w:t>investments</w:t>
      </w:r>
      <w:r>
        <w:rPr>
          <w:spacing w:val="-2"/>
          <w:w w:val="105"/>
        </w:rPr>
        <w:t> </w:t>
      </w:r>
      <w:r>
        <w:rPr>
          <w:w w:val="105"/>
        </w:rPr>
        <w:t>are</w:t>
      </w:r>
      <w:r>
        <w:rPr>
          <w:spacing w:val="-2"/>
          <w:w w:val="105"/>
        </w:rPr>
        <w:t> </w:t>
      </w:r>
      <w:r>
        <w:rPr>
          <w:w w:val="105"/>
        </w:rPr>
        <w:t>reviewed</w:t>
      </w:r>
      <w:r>
        <w:rPr>
          <w:spacing w:val="-2"/>
          <w:w w:val="105"/>
        </w:rPr>
        <w:t> </w:t>
      </w:r>
      <w:r>
        <w:rPr>
          <w:w w:val="105"/>
        </w:rPr>
        <w:t>for</w:t>
      </w:r>
      <w:r>
        <w:rPr>
          <w:spacing w:val="-2"/>
          <w:w w:val="105"/>
        </w:rPr>
        <w:t> </w:t>
      </w:r>
      <w:r>
        <w:rPr>
          <w:w w:val="105"/>
        </w:rPr>
        <w:t>impairment</w:t>
      </w:r>
      <w:r>
        <w:rPr>
          <w:spacing w:val="-4"/>
          <w:w w:val="105"/>
        </w:rPr>
        <w:t> </w:t>
      </w:r>
      <w:r>
        <w:rPr>
          <w:w w:val="105"/>
        </w:rPr>
        <w:t>on</w:t>
      </w:r>
      <w:r>
        <w:rPr>
          <w:spacing w:val="-2"/>
          <w:w w:val="105"/>
        </w:rPr>
        <w:t> </w:t>
      </w:r>
      <w:r>
        <w:rPr>
          <w:w w:val="105"/>
        </w:rPr>
        <w:t>a</w:t>
      </w:r>
      <w:r>
        <w:rPr>
          <w:spacing w:val="-2"/>
          <w:w w:val="105"/>
        </w:rPr>
        <w:t> </w:t>
      </w:r>
      <w:r>
        <w:rPr>
          <w:w w:val="105"/>
        </w:rPr>
        <w:t>periodic</w:t>
      </w:r>
      <w:r>
        <w:rPr>
          <w:spacing w:val="-2"/>
          <w:w w:val="105"/>
        </w:rPr>
        <w:t> </w:t>
      </w:r>
      <w:r>
        <w:rPr>
          <w:w w:val="105"/>
        </w:rPr>
        <w:t>basis,</w:t>
      </w:r>
      <w:r>
        <w:rPr>
          <w:spacing w:val="-4"/>
          <w:w w:val="105"/>
        </w:rPr>
        <w:t> </w:t>
      </w:r>
      <w:r>
        <w:rPr>
          <w:w w:val="105"/>
        </w:rPr>
        <w:t>or</w:t>
      </w:r>
      <w:r>
        <w:rPr>
          <w:spacing w:val="-2"/>
          <w:w w:val="105"/>
        </w:rPr>
        <w:t> </w:t>
      </w:r>
      <w:r>
        <w:rPr>
          <w:w w:val="105"/>
        </w:rPr>
        <w:t>if</w:t>
      </w:r>
      <w:r>
        <w:rPr>
          <w:spacing w:val="-2"/>
          <w:w w:val="105"/>
        </w:rPr>
        <w:t> </w:t>
      </w:r>
      <w:r>
        <w:rPr>
          <w:w w:val="105"/>
        </w:rPr>
        <w:t>an</w:t>
      </w:r>
      <w:r>
        <w:rPr>
          <w:spacing w:val="-2"/>
          <w:w w:val="105"/>
        </w:rPr>
        <w:t> </w:t>
      </w:r>
      <w:r>
        <w:rPr>
          <w:w w:val="105"/>
        </w:rPr>
        <w:t>event</w:t>
      </w:r>
      <w:r>
        <w:rPr>
          <w:spacing w:val="-2"/>
          <w:w w:val="105"/>
        </w:rPr>
        <w:t> </w:t>
      </w:r>
      <w:r>
        <w:rPr>
          <w:w w:val="105"/>
        </w:rPr>
        <w:t>occurs</w:t>
      </w:r>
      <w:r>
        <w:rPr>
          <w:spacing w:val="-4"/>
          <w:w w:val="105"/>
        </w:rPr>
        <w:t> </w:t>
      </w:r>
      <w:r>
        <w:rPr>
          <w:w w:val="105"/>
        </w:rPr>
        <w:t>or</w:t>
      </w:r>
      <w:r>
        <w:rPr>
          <w:spacing w:val="-2"/>
          <w:w w:val="105"/>
        </w:rPr>
        <w:t> </w:t>
      </w:r>
      <w:r>
        <w:rPr>
          <w:w w:val="105"/>
        </w:rPr>
        <w:t>circumstances</w:t>
      </w:r>
      <w:r>
        <w:rPr>
          <w:spacing w:val="-2"/>
          <w:w w:val="105"/>
        </w:rPr>
        <w:t> </w:t>
      </w:r>
      <w:r>
        <w:rPr>
          <w:w w:val="105"/>
        </w:rPr>
        <w:t>change</w:t>
      </w:r>
      <w:r>
        <w:rPr>
          <w:spacing w:val="-2"/>
          <w:w w:val="105"/>
        </w:rPr>
        <w:t> </w:t>
      </w:r>
      <w:r>
        <w:rPr>
          <w:w w:val="105"/>
        </w:rPr>
        <w:t>that</w:t>
      </w:r>
      <w:r>
        <w:rPr>
          <w:spacing w:val="-2"/>
          <w:w w:val="105"/>
        </w:rPr>
        <w:t> </w:t>
      </w:r>
      <w:r>
        <w:rPr>
          <w:w w:val="105"/>
        </w:rPr>
        <w:t>indicate</w:t>
      </w:r>
      <w:r>
        <w:rPr>
          <w:spacing w:val="-2"/>
          <w:w w:val="105"/>
        </w:rPr>
        <w:t> </w:t>
      </w:r>
      <w:r>
        <w:rPr>
          <w:w w:val="105"/>
        </w:rPr>
        <w:t>the</w:t>
      </w:r>
      <w:r>
        <w:rPr>
          <w:spacing w:val="-2"/>
          <w:w w:val="105"/>
        </w:rPr>
        <w:t> </w:t>
      </w:r>
      <w:r>
        <w:rPr>
          <w:w w:val="105"/>
        </w:rPr>
        <w:t>carrying</w:t>
      </w:r>
      <w:r>
        <w:rPr>
          <w:spacing w:val="-2"/>
          <w:w w:val="105"/>
        </w:rPr>
        <w:t> </w:t>
      </w:r>
      <w:r>
        <w:rPr>
          <w:w w:val="105"/>
        </w:rPr>
        <w:t>amount</w:t>
      </w:r>
      <w:r>
        <w:rPr>
          <w:spacing w:val="-5"/>
          <w:w w:val="105"/>
        </w:rPr>
        <w:t> </w:t>
      </w:r>
      <w:r>
        <w:rPr>
          <w:w w:val="105"/>
        </w:rPr>
        <w:t>may</w:t>
      </w:r>
      <w:r>
        <w:rPr>
          <w:spacing w:val="-2"/>
          <w:w w:val="105"/>
        </w:rPr>
        <w:t> </w:t>
      </w:r>
      <w:r>
        <w:rPr>
          <w:w w:val="105"/>
        </w:rPr>
        <w:t>be impaired.</w:t>
      </w:r>
      <w:r>
        <w:rPr>
          <w:spacing w:val="-8"/>
          <w:w w:val="105"/>
        </w:rPr>
        <w:t> </w:t>
      </w:r>
      <w:r>
        <w:rPr>
          <w:w w:val="105"/>
        </w:rPr>
        <w:t>This</w:t>
      </w:r>
      <w:r>
        <w:rPr>
          <w:spacing w:val="-8"/>
          <w:w w:val="105"/>
        </w:rPr>
        <w:t> </w:t>
      </w:r>
      <w:r>
        <w:rPr>
          <w:w w:val="105"/>
        </w:rPr>
        <w:t>assessment</w:t>
      </w:r>
      <w:r>
        <w:rPr>
          <w:spacing w:val="-6"/>
          <w:w w:val="105"/>
        </w:rPr>
        <w:t> </w:t>
      </w:r>
      <w:r>
        <w:rPr>
          <w:w w:val="105"/>
        </w:rPr>
        <w:t>is</w:t>
      </w:r>
      <w:r>
        <w:rPr>
          <w:spacing w:val="-8"/>
          <w:w w:val="105"/>
        </w:rPr>
        <w:t> </w:t>
      </w:r>
      <w:r>
        <w:rPr>
          <w:w w:val="105"/>
        </w:rPr>
        <w:t>based</w:t>
      </w:r>
      <w:r>
        <w:rPr>
          <w:spacing w:val="-8"/>
          <w:w w:val="105"/>
        </w:rPr>
        <w:t> </w:t>
      </w:r>
      <w:r>
        <w:rPr>
          <w:w w:val="105"/>
        </w:rPr>
        <w:t>on</w:t>
      </w:r>
      <w:r>
        <w:rPr>
          <w:spacing w:val="-8"/>
          <w:w w:val="105"/>
        </w:rPr>
        <w:t> </w:t>
      </w:r>
      <w:r>
        <w:rPr>
          <w:w w:val="105"/>
        </w:rPr>
        <w:t>a</w:t>
      </w:r>
      <w:r>
        <w:rPr>
          <w:spacing w:val="-8"/>
          <w:w w:val="105"/>
        </w:rPr>
        <w:t> </w:t>
      </w:r>
      <w:r>
        <w:rPr>
          <w:w w:val="105"/>
        </w:rPr>
        <w:t>review</w:t>
      </w:r>
      <w:r>
        <w:rPr>
          <w:spacing w:val="-8"/>
          <w:w w:val="105"/>
        </w:rPr>
        <w:t> </w:t>
      </w:r>
      <w:r>
        <w:rPr>
          <w:w w:val="105"/>
        </w:rPr>
        <w:t>of</w:t>
      </w:r>
      <w:r>
        <w:rPr>
          <w:spacing w:val="-8"/>
          <w:w w:val="105"/>
        </w:rPr>
        <w:t> </w:t>
      </w:r>
      <w:r>
        <w:rPr>
          <w:w w:val="105"/>
        </w:rPr>
        <w:t>the</w:t>
      </w:r>
      <w:r>
        <w:rPr>
          <w:spacing w:val="-8"/>
          <w:w w:val="105"/>
        </w:rPr>
        <w:t> </w:t>
      </w:r>
      <w:r>
        <w:rPr>
          <w:w w:val="105"/>
        </w:rPr>
        <w:t>equity</w:t>
      </w:r>
      <w:r>
        <w:rPr>
          <w:spacing w:val="-6"/>
          <w:w w:val="105"/>
        </w:rPr>
        <w:t> </w:t>
      </w:r>
      <w:r>
        <w:rPr>
          <w:w w:val="105"/>
        </w:rPr>
        <w:t>investments’</w:t>
      </w:r>
      <w:r>
        <w:rPr>
          <w:spacing w:val="-8"/>
          <w:w w:val="105"/>
        </w:rPr>
        <w:t> </w:t>
      </w:r>
      <w:r>
        <w:rPr>
          <w:w w:val="105"/>
        </w:rPr>
        <w:t>performance</w:t>
      </w:r>
      <w:r>
        <w:rPr>
          <w:spacing w:val="-8"/>
          <w:w w:val="105"/>
        </w:rPr>
        <w:t> </w:t>
      </w:r>
      <w:r>
        <w:rPr>
          <w:w w:val="105"/>
        </w:rPr>
        <w:t>and</w:t>
      </w:r>
      <w:r>
        <w:rPr>
          <w:spacing w:val="-8"/>
          <w:w w:val="105"/>
        </w:rPr>
        <w:t> </w:t>
      </w:r>
      <w:r>
        <w:rPr>
          <w:w w:val="105"/>
        </w:rPr>
        <w:t>a</w:t>
      </w:r>
      <w:r>
        <w:rPr>
          <w:spacing w:val="-8"/>
          <w:w w:val="105"/>
        </w:rPr>
        <w:t> </w:t>
      </w:r>
      <w:r>
        <w:rPr>
          <w:w w:val="105"/>
        </w:rPr>
        <w:t>review</w:t>
      </w:r>
      <w:r>
        <w:rPr>
          <w:spacing w:val="-8"/>
          <w:w w:val="105"/>
        </w:rPr>
        <w:t> </w:t>
      </w:r>
      <w:r>
        <w:rPr>
          <w:w w:val="105"/>
        </w:rPr>
        <w:t>of</w:t>
      </w:r>
      <w:r>
        <w:rPr>
          <w:spacing w:val="-8"/>
          <w:w w:val="105"/>
        </w:rPr>
        <w:t> </w:t>
      </w:r>
      <w:r>
        <w:rPr>
          <w:w w:val="105"/>
        </w:rPr>
        <w:t>indicators</w:t>
      </w:r>
      <w:r>
        <w:rPr>
          <w:spacing w:val="-8"/>
          <w:w w:val="105"/>
        </w:rPr>
        <w:t> </w:t>
      </w:r>
      <w:r>
        <w:rPr>
          <w:w w:val="105"/>
        </w:rPr>
        <w:t>of</w:t>
      </w:r>
      <w:r>
        <w:rPr>
          <w:spacing w:val="-8"/>
          <w:w w:val="105"/>
        </w:rPr>
        <w:t> </w:t>
      </w:r>
      <w:r>
        <w:rPr>
          <w:w w:val="105"/>
        </w:rPr>
        <w:t>impairment</w:t>
      </w:r>
      <w:r>
        <w:rPr>
          <w:spacing w:val="-8"/>
          <w:w w:val="105"/>
        </w:rPr>
        <w:t> </w:t>
      </w:r>
      <w:r>
        <w:rPr>
          <w:w w:val="105"/>
        </w:rPr>
        <w:t>to</w:t>
      </w:r>
      <w:r>
        <w:rPr>
          <w:spacing w:val="-8"/>
          <w:w w:val="105"/>
        </w:rPr>
        <w:t> </w:t>
      </w:r>
      <w:r>
        <w:rPr>
          <w:w w:val="105"/>
        </w:rPr>
        <w:t>determine</w:t>
      </w:r>
      <w:r>
        <w:rPr>
          <w:spacing w:val="-8"/>
          <w:w w:val="105"/>
        </w:rPr>
        <w:t> </w:t>
      </w:r>
      <w:r>
        <w:rPr>
          <w:w w:val="105"/>
        </w:rPr>
        <w:t>whether</w:t>
      </w:r>
      <w:r>
        <w:rPr>
          <w:spacing w:val="-8"/>
          <w:w w:val="105"/>
        </w:rPr>
        <w:t> </w:t>
      </w:r>
      <w:r>
        <w:rPr>
          <w:w w:val="105"/>
        </w:rPr>
        <w:t>there</w:t>
      </w:r>
      <w:r>
        <w:rPr>
          <w:spacing w:val="-8"/>
          <w:w w:val="105"/>
        </w:rPr>
        <w:t> </w:t>
      </w:r>
      <w:r>
        <w:rPr>
          <w:w w:val="105"/>
        </w:rPr>
        <w:t>is</w:t>
      </w:r>
      <w:r>
        <w:rPr>
          <w:spacing w:val="-6"/>
          <w:w w:val="105"/>
        </w:rPr>
        <w:t> </w:t>
      </w:r>
      <w:r>
        <w:rPr>
          <w:w w:val="105"/>
        </w:rPr>
        <w:t>evidence</w:t>
      </w:r>
      <w:r>
        <w:rPr>
          <w:spacing w:val="-8"/>
          <w:w w:val="105"/>
        </w:rPr>
        <w:t> </w:t>
      </w:r>
      <w:r>
        <w:rPr>
          <w:w w:val="105"/>
        </w:rPr>
        <w:t>of</w:t>
      </w:r>
      <w:r>
        <w:rPr>
          <w:spacing w:val="-8"/>
          <w:w w:val="105"/>
        </w:rPr>
        <w:t> </w:t>
      </w:r>
      <w:r>
        <w:rPr>
          <w:w w:val="105"/>
        </w:rPr>
        <w:t>a loss in value.</w:t>
      </w:r>
    </w:p>
    <w:p>
      <w:pPr>
        <w:pStyle w:val="BodyText"/>
        <w:spacing w:before="19"/>
      </w:pPr>
    </w:p>
    <w:p>
      <w:pPr>
        <w:pStyle w:val="BodyText"/>
        <w:spacing w:line="266" w:lineRule="auto"/>
        <w:ind w:left="156"/>
      </w:pPr>
      <w:r>
        <w:rPr>
          <w:w w:val="105"/>
        </w:rPr>
        <w:t>For</w:t>
      </w:r>
      <w:r>
        <w:rPr>
          <w:spacing w:val="-8"/>
          <w:w w:val="105"/>
        </w:rPr>
        <w:t> </w:t>
      </w:r>
      <w:r>
        <w:rPr>
          <w:w w:val="105"/>
        </w:rPr>
        <w:t>an</w:t>
      </w:r>
      <w:r>
        <w:rPr>
          <w:spacing w:val="-8"/>
          <w:w w:val="105"/>
        </w:rPr>
        <w:t> </w:t>
      </w:r>
      <w:r>
        <w:rPr>
          <w:w w:val="105"/>
        </w:rPr>
        <w:t>equity</w:t>
      </w:r>
      <w:r>
        <w:rPr>
          <w:spacing w:val="-8"/>
          <w:w w:val="105"/>
        </w:rPr>
        <w:t> </w:t>
      </w:r>
      <w:r>
        <w:rPr>
          <w:w w:val="105"/>
        </w:rPr>
        <w:t>investment</w:t>
      </w:r>
      <w:r>
        <w:rPr>
          <w:spacing w:val="-8"/>
          <w:w w:val="105"/>
        </w:rPr>
        <w:t> </w:t>
      </w:r>
      <w:r>
        <w:rPr>
          <w:w w:val="105"/>
        </w:rPr>
        <w:t>with</w:t>
      </w:r>
      <w:r>
        <w:rPr>
          <w:spacing w:val="-8"/>
          <w:w w:val="105"/>
        </w:rPr>
        <w:t> </w:t>
      </w:r>
      <w:r>
        <w:rPr>
          <w:w w:val="105"/>
        </w:rPr>
        <w:t>impairment</w:t>
      </w:r>
      <w:r>
        <w:rPr>
          <w:spacing w:val="-8"/>
          <w:w w:val="105"/>
        </w:rPr>
        <w:t> </w:t>
      </w:r>
      <w:r>
        <w:rPr>
          <w:w w:val="105"/>
        </w:rPr>
        <w:t>indicators,</w:t>
      </w:r>
      <w:r>
        <w:rPr>
          <w:spacing w:val="-7"/>
          <w:w w:val="105"/>
        </w:rPr>
        <w:t> </w:t>
      </w:r>
      <w:r>
        <w:rPr>
          <w:w w:val="105"/>
        </w:rPr>
        <w:t>the</w:t>
      </w:r>
      <w:r>
        <w:rPr>
          <w:spacing w:val="-8"/>
          <w:w w:val="105"/>
        </w:rPr>
        <w:t> </w:t>
      </w:r>
      <w:r>
        <w:rPr>
          <w:w w:val="105"/>
        </w:rPr>
        <w:t>fair</w:t>
      </w:r>
      <w:r>
        <w:rPr>
          <w:spacing w:val="-8"/>
          <w:w w:val="105"/>
        </w:rPr>
        <w:t> </w:t>
      </w:r>
      <w:r>
        <w:rPr>
          <w:w w:val="105"/>
        </w:rPr>
        <w:t>value</w:t>
      </w:r>
      <w:r>
        <w:rPr>
          <w:spacing w:val="-8"/>
          <w:w w:val="105"/>
        </w:rPr>
        <w:t> </w:t>
      </w:r>
      <w:r>
        <w:rPr>
          <w:w w:val="105"/>
        </w:rPr>
        <w:t>is</w:t>
      </w:r>
      <w:r>
        <w:rPr>
          <w:spacing w:val="-8"/>
          <w:w w:val="105"/>
        </w:rPr>
        <w:t> </w:t>
      </w:r>
      <w:r>
        <w:rPr>
          <w:w w:val="105"/>
        </w:rPr>
        <w:t>measured</w:t>
      </w:r>
      <w:r>
        <w:rPr>
          <w:spacing w:val="-8"/>
          <w:w w:val="105"/>
        </w:rPr>
        <w:t> </w:t>
      </w:r>
      <w:r>
        <w:rPr>
          <w:w w:val="105"/>
        </w:rPr>
        <w:t>based</w:t>
      </w:r>
      <w:r>
        <w:rPr>
          <w:spacing w:val="-8"/>
          <w:w w:val="105"/>
        </w:rPr>
        <w:t> </w:t>
      </w:r>
      <w:r>
        <w:rPr>
          <w:w w:val="105"/>
        </w:rPr>
        <w:t>on</w:t>
      </w:r>
      <w:r>
        <w:rPr>
          <w:spacing w:val="-8"/>
          <w:w w:val="105"/>
        </w:rPr>
        <w:t> </w:t>
      </w:r>
      <w:r>
        <w:rPr>
          <w:w w:val="105"/>
        </w:rPr>
        <w:t>discounted</w:t>
      </w:r>
      <w:r>
        <w:rPr>
          <w:spacing w:val="-8"/>
          <w:w w:val="105"/>
        </w:rPr>
        <w:t> </w:t>
      </w:r>
      <w:r>
        <w:rPr>
          <w:w w:val="105"/>
        </w:rPr>
        <w:t>cash</w:t>
      </w:r>
      <w:r>
        <w:rPr>
          <w:spacing w:val="-8"/>
          <w:w w:val="105"/>
        </w:rPr>
        <w:t> </w:t>
      </w:r>
      <w:r>
        <w:rPr>
          <w:w w:val="105"/>
        </w:rPr>
        <w:t>flows,</w:t>
      </w:r>
      <w:r>
        <w:rPr>
          <w:spacing w:val="-8"/>
          <w:w w:val="105"/>
        </w:rPr>
        <w:t> </w:t>
      </w:r>
      <w:r>
        <w:rPr>
          <w:w w:val="105"/>
        </w:rPr>
        <w:t>or</w:t>
      </w:r>
      <w:r>
        <w:rPr>
          <w:spacing w:val="-8"/>
          <w:w w:val="105"/>
        </w:rPr>
        <w:t> </w:t>
      </w:r>
      <w:r>
        <w:rPr>
          <w:w w:val="105"/>
        </w:rPr>
        <w:t>other</w:t>
      </w:r>
      <w:r>
        <w:rPr>
          <w:spacing w:val="-8"/>
          <w:w w:val="105"/>
        </w:rPr>
        <w:t> </w:t>
      </w:r>
      <w:r>
        <w:rPr>
          <w:w w:val="105"/>
        </w:rPr>
        <w:t>appropriate</w:t>
      </w:r>
      <w:r>
        <w:rPr>
          <w:spacing w:val="-8"/>
          <w:w w:val="105"/>
        </w:rPr>
        <w:t> </w:t>
      </w:r>
      <w:r>
        <w:rPr>
          <w:w w:val="105"/>
        </w:rPr>
        <w:t>valuation</w:t>
      </w:r>
      <w:r>
        <w:rPr>
          <w:spacing w:val="-8"/>
          <w:w w:val="105"/>
        </w:rPr>
        <w:t> </w:t>
      </w:r>
      <w:r>
        <w:rPr>
          <w:w w:val="105"/>
        </w:rPr>
        <w:t>methods,</w:t>
      </w:r>
      <w:r>
        <w:rPr>
          <w:spacing w:val="-8"/>
          <w:w w:val="105"/>
        </w:rPr>
        <w:t> </w:t>
      </w:r>
      <w:r>
        <w:rPr>
          <w:w w:val="105"/>
        </w:rPr>
        <w:t>depending</w:t>
      </w:r>
      <w:r>
        <w:rPr>
          <w:spacing w:val="-8"/>
          <w:w w:val="105"/>
        </w:rPr>
        <w:t> </w:t>
      </w:r>
      <w:r>
        <w:rPr>
          <w:w w:val="105"/>
        </w:rPr>
        <w:t>on</w:t>
      </w:r>
      <w:r>
        <w:rPr>
          <w:spacing w:val="-8"/>
          <w:w w:val="105"/>
        </w:rPr>
        <w:t> </w:t>
      </w:r>
      <w:r>
        <w:rPr>
          <w:w w:val="105"/>
        </w:rPr>
        <w:t>the nature</w:t>
      </w:r>
      <w:r>
        <w:rPr>
          <w:spacing w:val="-4"/>
          <w:w w:val="105"/>
        </w:rPr>
        <w:t> </w:t>
      </w:r>
      <w:r>
        <w:rPr>
          <w:w w:val="105"/>
        </w:rPr>
        <w:t>of</w:t>
      </w:r>
      <w:r>
        <w:rPr>
          <w:spacing w:val="-4"/>
          <w:w w:val="105"/>
        </w:rPr>
        <w:t> </w:t>
      </w:r>
      <w:r>
        <w:rPr>
          <w:w w:val="105"/>
        </w:rPr>
        <w:t>the</w:t>
      </w:r>
      <w:r>
        <w:rPr>
          <w:spacing w:val="-4"/>
          <w:w w:val="105"/>
        </w:rPr>
        <w:t> </w:t>
      </w:r>
      <w:r>
        <w:rPr>
          <w:w w:val="105"/>
        </w:rPr>
        <w:t>company</w:t>
      </w:r>
      <w:r>
        <w:rPr>
          <w:spacing w:val="-4"/>
          <w:w w:val="105"/>
        </w:rPr>
        <w:t> </w:t>
      </w:r>
      <w:r>
        <w:rPr>
          <w:w w:val="105"/>
        </w:rPr>
        <w:t>involved.</w:t>
      </w:r>
      <w:r>
        <w:rPr>
          <w:spacing w:val="-4"/>
          <w:w w:val="105"/>
        </w:rPr>
        <w:t> </w:t>
      </w:r>
      <w:r>
        <w:rPr>
          <w:w w:val="105"/>
        </w:rPr>
        <w:t>If</w:t>
      </w:r>
      <w:r>
        <w:rPr>
          <w:spacing w:val="-4"/>
          <w:w w:val="105"/>
        </w:rPr>
        <w:t> </w:t>
      </w:r>
      <w:r>
        <w:rPr>
          <w:w w:val="105"/>
        </w:rPr>
        <w:t>it</w:t>
      </w:r>
      <w:r>
        <w:rPr>
          <w:spacing w:val="-4"/>
          <w:w w:val="105"/>
        </w:rPr>
        <w:t> </w:t>
      </w:r>
      <w:r>
        <w:rPr>
          <w:w w:val="105"/>
        </w:rPr>
        <w:t>is</w:t>
      </w:r>
      <w:r>
        <w:rPr>
          <w:spacing w:val="-4"/>
          <w:w w:val="105"/>
        </w:rPr>
        <w:t> </w:t>
      </w:r>
      <w:r>
        <w:rPr>
          <w:w w:val="105"/>
        </w:rPr>
        <w:t>probable</w:t>
      </w:r>
      <w:r>
        <w:rPr>
          <w:spacing w:val="-4"/>
          <w:w w:val="105"/>
        </w:rPr>
        <w:t> </w:t>
      </w:r>
      <w:r>
        <w:rPr>
          <w:w w:val="105"/>
        </w:rPr>
        <w:t>that</w:t>
      </w:r>
      <w:r>
        <w:rPr>
          <w:spacing w:val="-2"/>
          <w:w w:val="105"/>
        </w:rPr>
        <w:t> </w:t>
      </w:r>
      <w:r>
        <w:rPr>
          <w:w w:val="105"/>
        </w:rPr>
        <w:t>the</w:t>
      </w:r>
      <w:r>
        <w:rPr>
          <w:spacing w:val="-4"/>
          <w:w w:val="105"/>
        </w:rPr>
        <w:t> </w:t>
      </w:r>
      <w:r>
        <w:rPr>
          <w:w w:val="105"/>
        </w:rPr>
        <w:t>carrying</w:t>
      </w:r>
      <w:r>
        <w:rPr>
          <w:spacing w:val="-4"/>
          <w:w w:val="105"/>
        </w:rPr>
        <w:t> </w:t>
      </w:r>
      <w:r>
        <w:rPr>
          <w:w w:val="105"/>
        </w:rPr>
        <w:t>amount</w:t>
      </w:r>
      <w:r>
        <w:rPr>
          <w:spacing w:val="-4"/>
          <w:w w:val="105"/>
        </w:rPr>
        <w:t> </w:t>
      </w:r>
      <w:r>
        <w:rPr>
          <w:w w:val="105"/>
        </w:rPr>
        <w:t>of</w:t>
      </w:r>
      <w:r>
        <w:rPr>
          <w:spacing w:val="-4"/>
          <w:w w:val="105"/>
        </w:rPr>
        <w:t> </w:t>
      </w:r>
      <w:r>
        <w:rPr>
          <w:w w:val="105"/>
        </w:rPr>
        <w:t>the</w:t>
      </w:r>
      <w:r>
        <w:rPr>
          <w:spacing w:val="-2"/>
          <w:w w:val="105"/>
        </w:rPr>
        <w:t> </w:t>
      </w:r>
      <w:r>
        <w:rPr>
          <w:w w:val="105"/>
        </w:rPr>
        <w:t>investment</w:t>
      </w:r>
      <w:r>
        <w:rPr>
          <w:spacing w:val="-4"/>
          <w:w w:val="105"/>
        </w:rPr>
        <w:t> </w:t>
      </w:r>
      <w:r>
        <w:rPr>
          <w:w w:val="105"/>
        </w:rPr>
        <w:t>cannot</w:t>
      </w:r>
      <w:r>
        <w:rPr>
          <w:spacing w:val="-4"/>
          <w:w w:val="105"/>
        </w:rPr>
        <w:t> </w:t>
      </w:r>
      <w:r>
        <w:rPr>
          <w:w w:val="105"/>
        </w:rPr>
        <w:t>be</w:t>
      </w:r>
      <w:r>
        <w:rPr>
          <w:spacing w:val="-4"/>
          <w:w w:val="105"/>
        </w:rPr>
        <w:t> </w:t>
      </w:r>
      <w:r>
        <w:rPr>
          <w:w w:val="105"/>
        </w:rPr>
        <w:t>recovered,</w:t>
      </w:r>
      <w:r>
        <w:rPr>
          <w:spacing w:val="-4"/>
          <w:w w:val="105"/>
        </w:rPr>
        <w:t> </w:t>
      </w:r>
      <w:r>
        <w:rPr>
          <w:w w:val="105"/>
        </w:rPr>
        <w:t>the</w:t>
      </w:r>
      <w:r>
        <w:rPr>
          <w:spacing w:val="-4"/>
          <w:w w:val="105"/>
        </w:rPr>
        <w:t> </w:t>
      </w:r>
      <w:r>
        <w:rPr>
          <w:w w:val="105"/>
        </w:rPr>
        <w:t>impairment</w:t>
      </w:r>
      <w:r>
        <w:rPr>
          <w:spacing w:val="-2"/>
          <w:w w:val="105"/>
        </w:rPr>
        <w:t> </w:t>
      </w:r>
      <w:r>
        <w:rPr>
          <w:w w:val="105"/>
        </w:rPr>
        <w:t>is</w:t>
      </w:r>
      <w:r>
        <w:rPr>
          <w:spacing w:val="-4"/>
          <w:w w:val="105"/>
        </w:rPr>
        <w:t> </w:t>
      </w:r>
      <w:r>
        <w:rPr>
          <w:w w:val="105"/>
        </w:rPr>
        <w:t>considered</w:t>
      </w:r>
      <w:r>
        <w:rPr>
          <w:spacing w:val="-4"/>
          <w:w w:val="105"/>
        </w:rPr>
        <w:t> </w:t>
      </w:r>
      <w:r>
        <w:rPr>
          <w:w w:val="105"/>
        </w:rPr>
        <w:t>other-than-temporary</w:t>
      </w:r>
      <w:r>
        <w:rPr>
          <w:spacing w:val="-4"/>
          <w:w w:val="105"/>
        </w:rPr>
        <w:t> </w:t>
      </w:r>
      <w:r>
        <w:rPr>
          <w:w w:val="105"/>
        </w:rPr>
        <w:t>and recorded in earnings, and the equity investment balance is reduced to its fair value.</w:t>
      </w:r>
    </w:p>
    <w:p>
      <w:pPr>
        <w:pStyle w:val="BodyText"/>
        <w:spacing w:before="18"/>
      </w:pPr>
    </w:p>
    <w:p>
      <w:pPr>
        <w:pStyle w:val="BodyText"/>
        <w:spacing w:line="266" w:lineRule="auto" w:before="1"/>
        <w:ind w:left="156" w:right="117"/>
      </w:pPr>
      <w:r>
        <w:rPr>
          <w:w w:val="105"/>
        </w:rPr>
        <w:t>All</w:t>
      </w:r>
      <w:r>
        <w:rPr>
          <w:spacing w:val="-2"/>
          <w:w w:val="105"/>
        </w:rPr>
        <w:t> </w:t>
      </w:r>
      <w:r>
        <w:rPr>
          <w:w w:val="105"/>
        </w:rPr>
        <w:t>equity</w:t>
      </w:r>
      <w:r>
        <w:rPr>
          <w:spacing w:val="-2"/>
          <w:w w:val="105"/>
        </w:rPr>
        <w:t> </w:t>
      </w:r>
      <w:r>
        <w:rPr>
          <w:w w:val="105"/>
        </w:rPr>
        <w:t>securities</w:t>
      </w:r>
      <w:r>
        <w:rPr>
          <w:spacing w:val="-2"/>
          <w:w w:val="105"/>
        </w:rPr>
        <w:t> </w:t>
      </w:r>
      <w:r>
        <w:rPr>
          <w:w w:val="105"/>
        </w:rPr>
        <w:t>that</w:t>
      </w:r>
      <w:r>
        <w:rPr>
          <w:spacing w:val="-2"/>
          <w:w w:val="105"/>
        </w:rPr>
        <w:t> </w:t>
      </w:r>
      <w:r>
        <w:rPr>
          <w:w w:val="105"/>
        </w:rPr>
        <w:t>do</w:t>
      </w:r>
      <w:r>
        <w:rPr>
          <w:spacing w:val="-2"/>
          <w:w w:val="105"/>
        </w:rPr>
        <w:t> </w:t>
      </w:r>
      <w:r>
        <w:rPr>
          <w:w w:val="105"/>
        </w:rPr>
        <w:t>not</w:t>
      </w:r>
      <w:r>
        <w:rPr>
          <w:spacing w:val="-2"/>
          <w:w w:val="105"/>
        </w:rPr>
        <w:t> </w:t>
      </w:r>
      <w:r>
        <w:rPr>
          <w:w w:val="105"/>
        </w:rPr>
        <w:t>result</w:t>
      </w:r>
      <w:r>
        <w:rPr>
          <w:spacing w:val="-2"/>
          <w:w w:val="105"/>
        </w:rPr>
        <w:t> </w:t>
      </w:r>
      <w:r>
        <w:rPr>
          <w:w w:val="105"/>
        </w:rPr>
        <w:t>in</w:t>
      </w:r>
      <w:r>
        <w:rPr>
          <w:spacing w:val="-2"/>
          <w:w w:val="105"/>
        </w:rPr>
        <w:t> </w:t>
      </w:r>
      <w:r>
        <w:rPr>
          <w:w w:val="105"/>
        </w:rPr>
        <w:t>consolidation</w:t>
      </w:r>
      <w:r>
        <w:rPr>
          <w:spacing w:val="-2"/>
          <w:w w:val="105"/>
        </w:rPr>
        <w:t> </w:t>
      </w:r>
      <w:r>
        <w:rPr>
          <w:w w:val="105"/>
        </w:rPr>
        <w:t>and are</w:t>
      </w:r>
      <w:r>
        <w:rPr>
          <w:spacing w:val="-2"/>
          <w:w w:val="105"/>
        </w:rPr>
        <w:t> </w:t>
      </w:r>
      <w:r>
        <w:rPr>
          <w:w w:val="105"/>
        </w:rPr>
        <w:t>not</w:t>
      </w:r>
      <w:r>
        <w:rPr>
          <w:spacing w:val="-2"/>
          <w:w w:val="105"/>
        </w:rPr>
        <w:t> </w:t>
      </w:r>
      <w:r>
        <w:rPr>
          <w:w w:val="105"/>
        </w:rPr>
        <w:t>accounted</w:t>
      </w:r>
      <w:r>
        <w:rPr>
          <w:spacing w:val="-2"/>
          <w:w w:val="105"/>
        </w:rPr>
        <w:t> </w:t>
      </w:r>
      <w:r>
        <w:rPr>
          <w:w w:val="105"/>
        </w:rPr>
        <w:t>for</w:t>
      </w:r>
      <w:r>
        <w:rPr>
          <w:spacing w:val="-2"/>
          <w:w w:val="105"/>
        </w:rPr>
        <w:t> </w:t>
      </w:r>
      <w:r>
        <w:rPr>
          <w:w w:val="105"/>
        </w:rPr>
        <w:t>under</w:t>
      </w:r>
      <w:r>
        <w:rPr>
          <w:spacing w:val="-2"/>
          <w:w w:val="105"/>
        </w:rPr>
        <w:t> </w:t>
      </w:r>
      <w:r>
        <w:rPr>
          <w:w w:val="105"/>
        </w:rPr>
        <w:t>the</w:t>
      </w:r>
      <w:r>
        <w:rPr>
          <w:spacing w:val="-2"/>
          <w:w w:val="105"/>
        </w:rPr>
        <w:t> </w:t>
      </w:r>
      <w:r>
        <w:rPr>
          <w:w w:val="105"/>
        </w:rPr>
        <w:t>equity</w:t>
      </w:r>
      <w:r>
        <w:rPr>
          <w:spacing w:val="-2"/>
          <w:w w:val="105"/>
        </w:rPr>
        <w:t> </w:t>
      </w:r>
      <w:r>
        <w:rPr>
          <w:w w:val="105"/>
        </w:rPr>
        <w:t>method</w:t>
      </w:r>
      <w:r>
        <w:rPr>
          <w:spacing w:val="-2"/>
          <w:w w:val="105"/>
        </w:rPr>
        <w:t> </w:t>
      </w:r>
      <w:r>
        <w:rPr>
          <w:w w:val="105"/>
        </w:rPr>
        <w:t>are</w:t>
      </w:r>
      <w:r>
        <w:rPr>
          <w:spacing w:val="-2"/>
          <w:w w:val="105"/>
        </w:rPr>
        <w:t> </w:t>
      </w:r>
      <w:r>
        <w:rPr>
          <w:w w:val="105"/>
        </w:rPr>
        <w:t>measured</w:t>
      </w:r>
      <w:r>
        <w:rPr>
          <w:spacing w:val="-2"/>
          <w:w w:val="105"/>
        </w:rPr>
        <w:t> </w:t>
      </w:r>
      <w:r>
        <w:rPr>
          <w:w w:val="105"/>
        </w:rPr>
        <w:t>at</w:t>
      </w:r>
      <w:r>
        <w:rPr>
          <w:spacing w:val="-2"/>
          <w:w w:val="105"/>
        </w:rPr>
        <w:t> </w:t>
      </w:r>
      <w:r>
        <w:rPr>
          <w:w w:val="105"/>
        </w:rPr>
        <w:t>fair</w:t>
      </w:r>
      <w:r>
        <w:rPr>
          <w:spacing w:val="-2"/>
          <w:w w:val="105"/>
        </w:rPr>
        <w:t> </w:t>
      </w:r>
      <w:r>
        <w:rPr>
          <w:w w:val="105"/>
        </w:rPr>
        <w:t>value</w:t>
      </w:r>
      <w:r>
        <w:rPr>
          <w:spacing w:val="-2"/>
          <w:w w:val="105"/>
        </w:rPr>
        <w:t> </w:t>
      </w:r>
      <w:r>
        <w:rPr>
          <w:w w:val="105"/>
        </w:rPr>
        <w:t>with</w:t>
      </w:r>
      <w:r>
        <w:rPr>
          <w:spacing w:val="-2"/>
          <w:w w:val="105"/>
        </w:rPr>
        <w:t> </w:t>
      </w:r>
      <w:r>
        <w:rPr>
          <w:w w:val="105"/>
        </w:rPr>
        <w:t>changes</w:t>
      </w:r>
      <w:r>
        <w:rPr>
          <w:spacing w:val="-2"/>
          <w:w w:val="105"/>
        </w:rPr>
        <w:t> </w:t>
      </w:r>
      <w:r>
        <w:rPr>
          <w:w w:val="105"/>
        </w:rPr>
        <w:t>therein</w:t>
      </w:r>
      <w:r>
        <w:rPr>
          <w:spacing w:val="-2"/>
          <w:w w:val="105"/>
        </w:rPr>
        <w:t> </w:t>
      </w:r>
      <w:r>
        <w:rPr>
          <w:w w:val="105"/>
        </w:rPr>
        <w:t>reflected</w:t>
      </w:r>
      <w:r>
        <w:rPr>
          <w:spacing w:val="-2"/>
          <w:w w:val="105"/>
        </w:rPr>
        <w:t> </w:t>
      </w:r>
      <w:r>
        <w:rPr>
          <w:w w:val="105"/>
        </w:rPr>
        <w:t>in</w:t>
      </w:r>
      <w:r>
        <w:rPr>
          <w:spacing w:val="-2"/>
          <w:w w:val="105"/>
        </w:rPr>
        <w:t> </w:t>
      </w:r>
      <w:r>
        <w:rPr>
          <w:w w:val="105"/>
        </w:rPr>
        <w:t>net income.</w:t>
      </w:r>
      <w:r>
        <w:rPr>
          <w:spacing w:val="-8"/>
          <w:w w:val="105"/>
        </w:rPr>
        <w:t> </w:t>
      </w:r>
      <w:r>
        <w:rPr>
          <w:w w:val="105"/>
        </w:rPr>
        <w:t>The</w:t>
      </w:r>
      <w:r>
        <w:rPr>
          <w:spacing w:val="-8"/>
          <w:w w:val="105"/>
        </w:rPr>
        <w:t> </w:t>
      </w:r>
      <w:r>
        <w:rPr>
          <w:w w:val="105"/>
        </w:rPr>
        <w:t>Company</w:t>
      </w:r>
      <w:r>
        <w:rPr>
          <w:spacing w:val="-8"/>
          <w:w w:val="105"/>
        </w:rPr>
        <w:t> </w:t>
      </w:r>
      <w:r>
        <w:rPr>
          <w:w w:val="105"/>
        </w:rPr>
        <w:t>utilizes</w:t>
      </w:r>
      <w:r>
        <w:rPr>
          <w:spacing w:val="-7"/>
          <w:w w:val="105"/>
        </w:rPr>
        <w:t> </w:t>
      </w:r>
      <w:r>
        <w:rPr>
          <w:w w:val="105"/>
        </w:rPr>
        <w:t>the</w:t>
      </w:r>
      <w:r>
        <w:rPr>
          <w:spacing w:val="-8"/>
          <w:w w:val="105"/>
        </w:rPr>
        <w:t> </w:t>
      </w:r>
      <w:r>
        <w:rPr>
          <w:w w:val="105"/>
        </w:rPr>
        <w:t>measurement</w:t>
      </w:r>
      <w:r>
        <w:rPr>
          <w:spacing w:val="-8"/>
          <w:w w:val="105"/>
        </w:rPr>
        <w:t> </w:t>
      </w:r>
      <w:r>
        <w:rPr>
          <w:w w:val="105"/>
        </w:rPr>
        <w:t>alternative</w:t>
      </w:r>
      <w:r>
        <w:rPr>
          <w:spacing w:val="-8"/>
          <w:w w:val="105"/>
        </w:rPr>
        <w:t> </w:t>
      </w:r>
      <w:r>
        <w:rPr>
          <w:w w:val="105"/>
        </w:rPr>
        <w:t>for</w:t>
      </w:r>
      <w:r>
        <w:rPr>
          <w:spacing w:val="-8"/>
          <w:w w:val="105"/>
        </w:rPr>
        <w:t> </w:t>
      </w:r>
      <w:r>
        <w:rPr>
          <w:w w:val="105"/>
        </w:rPr>
        <w:t>equity</w:t>
      </w:r>
      <w:r>
        <w:rPr>
          <w:spacing w:val="-8"/>
          <w:w w:val="105"/>
        </w:rPr>
        <w:t> </w:t>
      </w:r>
      <w:r>
        <w:rPr>
          <w:w w:val="105"/>
        </w:rPr>
        <w:t>investments</w:t>
      </w:r>
      <w:r>
        <w:rPr>
          <w:spacing w:val="-8"/>
          <w:w w:val="105"/>
        </w:rPr>
        <w:t> </w:t>
      </w:r>
      <w:r>
        <w:rPr>
          <w:w w:val="105"/>
        </w:rPr>
        <w:t>that</w:t>
      </w:r>
      <w:r>
        <w:rPr>
          <w:spacing w:val="-8"/>
          <w:w w:val="105"/>
        </w:rPr>
        <w:t> </w:t>
      </w:r>
      <w:r>
        <w:rPr>
          <w:w w:val="105"/>
        </w:rPr>
        <w:t>do</w:t>
      </w:r>
      <w:r>
        <w:rPr>
          <w:spacing w:val="-8"/>
          <w:w w:val="105"/>
        </w:rPr>
        <w:t> </w:t>
      </w:r>
      <w:r>
        <w:rPr>
          <w:w w:val="105"/>
        </w:rPr>
        <w:t>not</w:t>
      </w:r>
      <w:r>
        <w:rPr>
          <w:spacing w:val="-8"/>
          <w:w w:val="105"/>
        </w:rPr>
        <w:t> </w:t>
      </w:r>
      <w:r>
        <w:rPr>
          <w:w w:val="105"/>
        </w:rPr>
        <w:t>have</w:t>
      </w:r>
      <w:r>
        <w:rPr>
          <w:spacing w:val="-8"/>
          <w:w w:val="105"/>
        </w:rPr>
        <w:t> </w:t>
      </w:r>
      <w:r>
        <w:rPr>
          <w:w w:val="105"/>
        </w:rPr>
        <w:t>readily</w:t>
      </w:r>
      <w:r>
        <w:rPr>
          <w:spacing w:val="-8"/>
          <w:w w:val="105"/>
        </w:rPr>
        <w:t> </w:t>
      </w:r>
      <w:r>
        <w:rPr>
          <w:w w:val="105"/>
        </w:rPr>
        <w:t>determinable</w:t>
      </w:r>
      <w:r>
        <w:rPr>
          <w:spacing w:val="-8"/>
          <w:w w:val="105"/>
        </w:rPr>
        <w:t> </w:t>
      </w:r>
      <w:r>
        <w:rPr>
          <w:w w:val="105"/>
        </w:rPr>
        <w:t>fair</w:t>
      </w:r>
      <w:r>
        <w:rPr>
          <w:spacing w:val="-10"/>
          <w:w w:val="105"/>
        </w:rPr>
        <w:t> </w:t>
      </w:r>
      <w:r>
        <w:rPr>
          <w:w w:val="105"/>
        </w:rPr>
        <w:t>values</w:t>
      </w:r>
      <w:r>
        <w:rPr>
          <w:spacing w:val="-8"/>
          <w:w w:val="105"/>
        </w:rPr>
        <w:t> </w:t>
      </w:r>
      <w:r>
        <w:rPr>
          <w:w w:val="105"/>
        </w:rPr>
        <w:t>and</w:t>
      </w:r>
      <w:r>
        <w:rPr>
          <w:spacing w:val="-8"/>
          <w:w w:val="105"/>
        </w:rPr>
        <w:t> </w:t>
      </w:r>
      <w:r>
        <w:rPr>
          <w:w w:val="105"/>
        </w:rPr>
        <w:t>measures</w:t>
      </w:r>
      <w:r>
        <w:rPr>
          <w:spacing w:val="-8"/>
          <w:w w:val="105"/>
        </w:rPr>
        <w:t> </w:t>
      </w:r>
      <w:r>
        <w:rPr>
          <w:w w:val="105"/>
        </w:rPr>
        <w:t>these</w:t>
      </w:r>
      <w:r>
        <w:rPr>
          <w:spacing w:val="-10"/>
          <w:w w:val="105"/>
        </w:rPr>
        <w:t> </w:t>
      </w:r>
      <w:r>
        <w:rPr>
          <w:w w:val="105"/>
        </w:rPr>
        <w:t>investments</w:t>
      </w:r>
      <w:r>
        <w:rPr>
          <w:spacing w:val="-8"/>
          <w:w w:val="105"/>
        </w:rPr>
        <w:t> </w:t>
      </w:r>
      <w:r>
        <w:rPr>
          <w:w w:val="105"/>
        </w:rPr>
        <w:t>at</w:t>
      </w:r>
      <w:r>
        <w:rPr>
          <w:spacing w:val="-8"/>
          <w:w w:val="105"/>
        </w:rPr>
        <w:t> </w:t>
      </w:r>
      <w:r>
        <w:rPr>
          <w:w w:val="105"/>
        </w:rPr>
        <w:t>cost less</w:t>
      </w:r>
      <w:r>
        <w:rPr>
          <w:spacing w:val="-5"/>
          <w:w w:val="105"/>
        </w:rPr>
        <w:t> </w:t>
      </w:r>
      <w:r>
        <w:rPr>
          <w:w w:val="105"/>
        </w:rPr>
        <w:t>impairment,</w:t>
      </w:r>
      <w:r>
        <w:rPr>
          <w:spacing w:val="-5"/>
          <w:w w:val="105"/>
        </w:rPr>
        <w:t> </w:t>
      </w:r>
      <w:r>
        <w:rPr>
          <w:w w:val="105"/>
        </w:rPr>
        <w:t>plus</w:t>
      </w:r>
      <w:r>
        <w:rPr>
          <w:spacing w:val="-5"/>
          <w:w w:val="105"/>
        </w:rPr>
        <w:t> </w:t>
      </w:r>
      <w:r>
        <w:rPr>
          <w:w w:val="105"/>
        </w:rPr>
        <w:t>or</w:t>
      </w:r>
      <w:r>
        <w:rPr>
          <w:spacing w:val="-3"/>
          <w:w w:val="105"/>
        </w:rPr>
        <w:t> </w:t>
      </w:r>
      <w:r>
        <w:rPr>
          <w:w w:val="105"/>
        </w:rPr>
        <w:t>minus</w:t>
      </w:r>
      <w:r>
        <w:rPr>
          <w:spacing w:val="-5"/>
          <w:w w:val="105"/>
        </w:rPr>
        <w:t> </w:t>
      </w:r>
      <w:r>
        <w:rPr>
          <w:w w:val="105"/>
        </w:rPr>
        <w:t>observable</w:t>
      </w:r>
      <w:r>
        <w:rPr>
          <w:spacing w:val="-5"/>
          <w:w w:val="105"/>
        </w:rPr>
        <w:t> </w:t>
      </w:r>
      <w:r>
        <w:rPr>
          <w:w w:val="105"/>
        </w:rPr>
        <w:t>price</w:t>
      </w:r>
      <w:r>
        <w:rPr>
          <w:spacing w:val="-5"/>
          <w:w w:val="105"/>
        </w:rPr>
        <w:t> </w:t>
      </w:r>
      <w:r>
        <w:rPr>
          <w:w w:val="105"/>
        </w:rPr>
        <w:t>changes</w:t>
      </w:r>
      <w:r>
        <w:rPr>
          <w:spacing w:val="-5"/>
          <w:w w:val="105"/>
        </w:rPr>
        <w:t> </w:t>
      </w:r>
      <w:r>
        <w:rPr>
          <w:w w:val="105"/>
        </w:rPr>
        <w:t>in</w:t>
      </w:r>
      <w:r>
        <w:rPr>
          <w:spacing w:val="-5"/>
          <w:w w:val="105"/>
        </w:rPr>
        <w:t> </w:t>
      </w:r>
      <w:r>
        <w:rPr>
          <w:w w:val="105"/>
        </w:rPr>
        <w:t>orderly</w:t>
      </w:r>
      <w:r>
        <w:rPr>
          <w:spacing w:val="-5"/>
          <w:w w:val="105"/>
        </w:rPr>
        <w:t> </w:t>
      </w:r>
      <w:r>
        <w:rPr>
          <w:w w:val="105"/>
        </w:rPr>
        <w:t>transactions.</w:t>
      </w:r>
      <w:r>
        <w:rPr>
          <w:spacing w:val="-5"/>
          <w:w w:val="105"/>
        </w:rPr>
        <w:t> </w:t>
      </w:r>
      <w:r>
        <w:rPr>
          <w:w w:val="105"/>
        </w:rPr>
        <w:t>The</w:t>
      </w:r>
      <w:r>
        <w:rPr>
          <w:spacing w:val="-5"/>
          <w:w w:val="105"/>
        </w:rPr>
        <w:t> </w:t>
      </w:r>
      <w:r>
        <w:rPr>
          <w:w w:val="105"/>
        </w:rPr>
        <w:t>balance</w:t>
      </w:r>
      <w:r>
        <w:rPr>
          <w:spacing w:val="-5"/>
          <w:w w:val="105"/>
        </w:rPr>
        <w:t> </w:t>
      </w:r>
      <w:r>
        <w:rPr>
          <w:w w:val="105"/>
        </w:rPr>
        <w:t>of</w:t>
      </w:r>
      <w:r>
        <w:rPr>
          <w:spacing w:val="-5"/>
          <w:w w:val="105"/>
        </w:rPr>
        <w:t> </w:t>
      </w:r>
      <w:r>
        <w:rPr>
          <w:w w:val="105"/>
        </w:rPr>
        <w:t>these</w:t>
      </w:r>
      <w:r>
        <w:rPr>
          <w:spacing w:val="-5"/>
          <w:w w:val="105"/>
        </w:rPr>
        <w:t> </w:t>
      </w:r>
      <w:r>
        <w:rPr>
          <w:w w:val="105"/>
        </w:rPr>
        <w:t>investments</w:t>
      </w:r>
      <w:r>
        <w:rPr>
          <w:spacing w:val="-5"/>
          <w:w w:val="105"/>
        </w:rPr>
        <w:t> </w:t>
      </w:r>
      <w:r>
        <w:rPr>
          <w:w w:val="105"/>
        </w:rPr>
        <w:t>is</w:t>
      </w:r>
      <w:r>
        <w:rPr>
          <w:spacing w:val="-5"/>
          <w:w w:val="105"/>
        </w:rPr>
        <w:t> </w:t>
      </w:r>
      <w:r>
        <w:rPr>
          <w:w w:val="105"/>
        </w:rPr>
        <w:t>disclosed</w:t>
      </w:r>
      <w:r>
        <w:rPr>
          <w:spacing w:val="-5"/>
          <w:w w:val="105"/>
        </w:rPr>
        <w:t> </w:t>
      </w:r>
      <w:r>
        <w:rPr>
          <w:w w:val="105"/>
        </w:rPr>
        <w:t>in</w:t>
      </w:r>
      <w:r>
        <w:rPr>
          <w:spacing w:val="-5"/>
          <w:w w:val="105"/>
        </w:rPr>
        <w:t> </w:t>
      </w:r>
      <w:r>
        <w:rPr>
          <w:w w:val="105"/>
        </w:rPr>
        <w:t>Note</w:t>
      </w:r>
      <w:r>
        <w:rPr>
          <w:spacing w:val="-4"/>
          <w:w w:val="105"/>
        </w:rPr>
        <w:t> </w:t>
      </w:r>
      <w:r>
        <w:rPr>
          <w:w w:val="105"/>
        </w:rPr>
        <w:t>3</w:t>
      </w:r>
      <w:r>
        <w:rPr>
          <w:spacing w:val="-5"/>
          <w:w w:val="105"/>
        </w:rPr>
        <w:t> </w:t>
      </w:r>
      <w:r>
        <w:rPr>
          <w:w w:val="105"/>
        </w:rPr>
        <w:t>(Investments)</w:t>
      </w:r>
      <w:r>
        <w:rPr>
          <w:spacing w:val="-5"/>
          <w:w w:val="105"/>
        </w:rPr>
        <w:t> </w:t>
      </w:r>
      <w:r>
        <w:rPr>
          <w:w w:val="105"/>
        </w:rPr>
        <w:t>to</w:t>
      </w:r>
      <w:r>
        <w:rPr>
          <w:spacing w:val="-5"/>
          <w:w w:val="105"/>
        </w:rPr>
        <w:t> </w:t>
      </w:r>
      <w:r>
        <w:rPr>
          <w:w w:val="105"/>
        </w:rPr>
        <w:t>the</w:t>
      </w:r>
      <w:r>
        <w:rPr>
          <w:spacing w:val="-5"/>
          <w:w w:val="105"/>
        </w:rPr>
        <w:t> </w:t>
      </w:r>
      <w:r>
        <w:rPr>
          <w:w w:val="105"/>
        </w:rPr>
        <w:t>consolidated financial</w:t>
      </w:r>
      <w:r>
        <w:rPr>
          <w:spacing w:val="-1"/>
          <w:w w:val="105"/>
        </w:rPr>
        <w:t> </w:t>
      </w:r>
      <w:r>
        <w:rPr>
          <w:w w:val="105"/>
        </w:rPr>
        <w:t>statements.</w:t>
      </w:r>
    </w:p>
    <w:p>
      <w:pPr>
        <w:pStyle w:val="BodyText"/>
        <w:spacing w:before="18"/>
      </w:pPr>
    </w:p>
    <w:p>
      <w:pPr>
        <w:pStyle w:val="Heading3"/>
      </w:pPr>
      <w:r>
        <w:rPr>
          <w:w w:val="105"/>
        </w:rPr>
        <w:t>Fair</w:t>
      </w:r>
      <w:r>
        <w:rPr>
          <w:spacing w:val="-10"/>
          <w:w w:val="105"/>
        </w:rPr>
        <w:t> </w:t>
      </w:r>
      <w:r>
        <w:rPr>
          <w:w w:val="105"/>
        </w:rPr>
        <w:t>Value</w:t>
      </w:r>
      <w:r>
        <w:rPr>
          <w:spacing w:val="-9"/>
          <w:w w:val="105"/>
        </w:rPr>
        <w:t> </w:t>
      </w:r>
      <w:r>
        <w:rPr>
          <w:spacing w:val="-2"/>
          <w:w w:val="105"/>
        </w:rPr>
        <w:t>Measurements</w:t>
      </w:r>
    </w:p>
    <w:p>
      <w:pPr>
        <w:pStyle w:val="BodyText"/>
        <w:spacing w:before="39"/>
        <w:rPr>
          <w:b/>
          <w:i/>
        </w:rPr>
      </w:pPr>
    </w:p>
    <w:p>
      <w:pPr>
        <w:pStyle w:val="BodyText"/>
        <w:spacing w:line="266" w:lineRule="auto" w:before="1"/>
        <w:ind w:left="156" w:right="117"/>
      </w:pPr>
      <w:r>
        <w:rPr>
          <w:w w:val="105"/>
        </w:rPr>
        <w:t>Major</w:t>
      </w:r>
      <w:r>
        <w:rPr>
          <w:spacing w:val="-2"/>
          <w:w w:val="105"/>
        </w:rPr>
        <w:t> </w:t>
      </w:r>
      <w:r>
        <w:rPr>
          <w:w w:val="105"/>
        </w:rPr>
        <w:t>categories</w:t>
      </w:r>
      <w:r>
        <w:rPr>
          <w:spacing w:val="-2"/>
          <w:w w:val="105"/>
        </w:rPr>
        <w:t> </w:t>
      </w:r>
      <w:r>
        <w:rPr>
          <w:w w:val="105"/>
        </w:rPr>
        <w:t>of</w:t>
      </w:r>
      <w:r>
        <w:rPr>
          <w:spacing w:val="-2"/>
          <w:w w:val="105"/>
        </w:rPr>
        <w:t> </w:t>
      </w:r>
      <w:r>
        <w:rPr>
          <w:w w:val="105"/>
        </w:rPr>
        <w:t>financial</w:t>
      </w:r>
      <w:r>
        <w:rPr>
          <w:spacing w:val="-2"/>
          <w:w w:val="105"/>
        </w:rPr>
        <w:t> </w:t>
      </w:r>
      <w:r>
        <w:rPr>
          <w:w w:val="105"/>
        </w:rPr>
        <w:t>assets</w:t>
      </w:r>
      <w:r>
        <w:rPr>
          <w:spacing w:val="-2"/>
          <w:w w:val="105"/>
        </w:rPr>
        <w:t> </w:t>
      </w:r>
      <w:r>
        <w:rPr>
          <w:w w:val="105"/>
        </w:rPr>
        <w:t>and</w:t>
      </w:r>
      <w:r>
        <w:rPr>
          <w:spacing w:val="-2"/>
          <w:w w:val="105"/>
        </w:rPr>
        <w:t> </w:t>
      </w:r>
      <w:r>
        <w:rPr>
          <w:w w:val="105"/>
        </w:rPr>
        <w:t>liabilities,</w:t>
      </w:r>
      <w:r>
        <w:rPr>
          <w:spacing w:val="-2"/>
          <w:w w:val="105"/>
        </w:rPr>
        <w:t> </w:t>
      </w:r>
      <w:r>
        <w:rPr>
          <w:w w:val="105"/>
        </w:rPr>
        <w:t>including</w:t>
      </w:r>
      <w:r>
        <w:rPr>
          <w:spacing w:val="-2"/>
          <w:w w:val="105"/>
        </w:rPr>
        <w:t> </w:t>
      </w:r>
      <w:r>
        <w:rPr>
          <w:w w:val="105"/>
        </w:rPr>
        <w:t>short-term</w:t>
      </w:r>
      <w:r>
        <w:rPr>
          <w:spacing w:val="-2"/>
          <w:w w:val="105"/>
        </w:rPr>
        <w:t> </w:t>
      </w:r>
      <w:r>
        <w:rPr>
          <w:w w:val="105"/>
        </w:rPr>
        <w:t>investments,</w:t>
      </w:r>
      <w:r>
        <w:rPr>
          <w:spacing w:val="-2"/>
          <w:w w:val="105"/>
        </w:rPr>
        <w:t> </w:t>
      </w:r>
      <w:r>
        <w:rPr>
          <w:w w:val="105"/>
        </w:rPr>
        <w:t>other</w:t>
      </w:r>
      <w:r>
        <w:rPr>
          <w:spacing w:val="-2"/>
          <w:w w:val="105"/>
        </w:rPr>
        <w:t> </w:t>
      </w:r>
      <w:r>
        <w:rPr>
          <w:w w:val="105"/>
        </w:rPr>
        <w:t>assets</w:t>
      </w:r>
      <w:r>
        <w:rPr>
          <w:spacing w:val="-2"/>
          <w:w w:val="105"/>
        </w:rPr>
        <w:t> </w:t>
      </w:r>
      <w:r>
        <w:rPr>
          <w:w w:val="105"/>
        </w:rPr>
        <w:t>and</w:t>
      </w:r>
      <w:r>
        <w:rPr>
          <w:spacing w:val="-2"/>
          <w:w w:val="105"/>
        </w:rPr>
        <w:t> </w:t>
      </w:r>
      <w:r>
        <w:rPr>
          <w:w w:val="105"/>
        </w:rPr>
        <w:t>derivatives</w:t>
      </w:r>
      <w:r>
        <w:rPr>
          <w:spacing w:val="-2"/>
          <w:w w:val="105"/>
        </w:rPr>
        <w:t> </w:t>
      </w:r>
      <w:r>
        <w:rPr>
          <w:w w:val="105"/>
        </w:rPr>
        <w:t>are</w:t>
      </w:r>
      <w:r>
        <w:rPr>
          <w:spacing w:val="-2"/>
          <w:w w:val="105"/>
        </w:rPr>
        <w:t> </w:t>
      </w:r>
      <w:r>
        <w:rPr>
          <w:w w:val="105"/>
        </w:rPr>
        <w:t>measured</w:t>
      </w:r>
      <w:r>
        <w:rPr>
          <w:spacing w:val="-2"/>
          <w:w w:val="105"/>
        </w:rPr>
        <w:t> </w:t>
      </w:r>
      <w:r>
        <w:rPr>
          <w:w w:val="105"/>
        </w:rPr>
        <w:t>at</w:t>
      </w:r>
      <w:r>
        <w:rPr>
          <w:spacing w:val="-2"/>
          <w:w w:val="105"/>
        </w:rPr>
        <w:t> </w:t>
      </w:r>
      <w:r>
        <w:rPr>
          <w:w w:val="105"/>
        </w:rPr>
        <w:t>fair</w:t>
      </w:r>
      <w:r>
        <w:rPr>
          <w:spacing w:val="-2"/>
          <w:w w:val="105"/>
        </w:rPr>
        <w:t> </w:t>
      </w:r>
      <w:r>
        <w:rPr>
          <w:w w:val="105"/>
        </w:rPr>
        <w:t>value</w:t>
      </w:r>
      <w:r>
        <w:rPr>
          <w:spacing w:val="-4"/>
          <w:w w:val="105"/>
        </w:rPr>
        <w:t> </w:t>
      </w:r>
      <w:r>
        <w:rPr>
          <w:w w:val="105"/>
        </w:rPr>
        <w:t>on</w:t>
      </w:r>
      <w:r>
        <w:rPr>
          <w:spacing w:val="-2"/>
          <w:w w:val="105"/>
        </w:rPr>
        <w:t> </w:t>
      </w:r>
      <w:r>
        <w:rPr>
          <w:w w:val="105"/>
        </w:rPr>
        <w:t>a</w:t>
      </w:r>
      <w:r>
        <w:rPr>
          <w:spacing w:val="-2"/>
          <w:w w:val="105"/>
        </w:rPr>
        <w:t> </w:t>
      </w:r>
      <w:r>
        <w:rPr>
          <w:w w:val="105"/>
        </w:rPr>
        <w:t>recurring</w:t>
      </w:r>
      <w:r>
        <w:rPr>
          <w:spacing w:val="-2"/>
          <w:w w:val="105"/>
        </w:rPr>
        <w:t> </w:t>
      </w:r>
      <w:r>
        <w:rPr>
          <w:w w:val="105"/>
        </w:rPr>
        <w:t>basis.</w:t>
      </w:r>
      <w:r>
        <w:rPr>
          <w:spacing w:val="-4"/>
          <w:w w:val="105"/>
        </w:rPr>
        <w:t> </w:t>
      </w:r>
      <w:r>
        <w:rPr>
          <w:w w:val="105"/>
        </w:rPr>
        <w:t>Certain assets</w:t>
      </w:r>
      <w:r>
        <w:rPr>
          <w:spacing w:val="-9"/>
          <w:w w:val="105"/>
        </w:rPr>
        <w:t> </w:t>
      </w:r>
      <w:r>
        <w:rPr>
          <w:w w:val="105"/>
        </w:rPr>
        <w:t>and</w:t>
      </w:r>
      <w:r>
        <w:rPr>
          <w:spacing w:val="-9"/>
          <w:w w:val="105"/>
        </w:rPr>
        <w:t> </w:t>
      </w:r>
      <w:r>
        <w:rPr>
          <w:w w:val="105"/>
        </w:rPr>
        <w:t>liabilities</w:t>
      </w:r>
      <w:r>
        <w:rPr>
          <w:spacing w:val="-9"/>
          <w:w w:val="105"/>
        </w:rPr>
        <w:t> </w:t>
      </w:r>
      <w:r>
        <w:rPr>
          <w:w w:val="105"/>
        </w:rPr>
        <w:t>are</w:t>
      </w:r>
      <w:r>
        <w:rPr>
          <w:spacing w:val="-9"/>
          <w:w w:val="105"/>
        </w:rPr>
        <w:t> </w:t>
      </w:r>
      <w:r>
        <w:rPr>
          <w:w w:val="105"/>
        </w:rPr>
        <w:t>measured</w:t>
      </w:r>
      <w:r>
        <w:rPr>
          <w:spacing w:val="-9"/>
          <w:w w:val="105"/>
        </w:rPr>
        <w:t> </w:t>
      </w:r>
      <w:r>
        <w:rPr>
          <w:w w:val="105"/>
        </w:rPr>
        <w:t>at</w:t>
      </w:r>
      <w:r>
        <w:rPr>
          <w:spacing w:val="-9"/>
          <w:w w:val="105"/>
        </w:rPr>
        <w:t> </w:t>
      </w:r>
      <w:r>
        <w:rPr>
          <w:w w:val="105"/>
        </w:rPr>
        <w:t>fair</w:t>
      </w:r>
      <w:r>
        <w:rPr>
          <w:spacing w:val="-9"/>
          <w:w w:val="105"/>
        </w:rPr>
        <w:t> </w:t>
      </w:r>
      <w:r>
        <w:rPr>
          <w:w w:val="105"/>
        </w:rPr>
        <w:t>value</w:t>
      </w:r>
      <w:r>
        <w:rPr>
          <w:spacing w:val="-9"/>
          <w:w w:val="105"/>
        </w:rPr>
        <w:t> </w:t>
      </w:r>
      <w:r>
        <w:rPr>
          <w:w w:val="105"/>
        </w:rPr>
        <w:t>on</w:t>
      </w:r>
      <w:r>
        <w:rPr>
          <w:spacing w:val="-9"/>
          <w:w w:val="105"/>
        </w:rPr>
        <w:t> </w:t>
      </w:r>
      <w:r>
        <w:rPr>
          <w:w w:val="105"/>
        </w:rPr>
        <w:t>a</w:t>
      </w:r>
      <w:r>
        <w:rPr>
          <w:spacing w:val="-9"/>
          <w:w w:val="105"/>
        </w:rPr>
        <w:t> </w:t>
      </w:r>
      <w:r>
        <w:rPr>
          <w:w w:val="105"/>
        </w:rPr>
        <w:t>nonrecurring</w:t>
      </w:r>
      <w:r>
        <w:rPr>
          <w:spacing w:val="-9"/>
          <w:w w:val="105"/>
        </w:rPr>
        <w:t> </w:t>
      </w:r>
      <w:r>
        <w:rPr>
          <w:w w:val="105"/>
        </w:rPr>
        <w:t>basis</w:t>
      </w:r>
      <w:r>
        <w:rPr>
          <w:spacing w:val="-9"/>
          <w:w w:val="105"/>
        </w:rPr>
        <w:t> </w:t>
      </w:r>
      <w:r>
        <w:rPr>
          <w:w w:val="105"/>
        </w:rPr>
        <w:t>when</w:t>
      </w:r>
      <w:r>
        <w:rPr>
          <w:spacing w:val="-9"/>
          <w:w w:val="105"/>
        </w:rPr>
        <w:t> </w:t>
      </w:r>
      <w:r>
        <w:rPr>
          <w:w w:val="105"/>
        </w:rPr>
        <w:t>impaired,</w:t>
      </w:r>
      <w:r>
        <w:rPr>
          <w:spacing w:val="-9"/>
          <w:w w:val="105"/>
        </w:rPr>
        <w:t> </w:t>
      </w:r>
      <w:r>
        <w:rPr>
          <w:w w:val="105"/>
        </w:rPr>
        <w:t>which</w:t>
      </w:r>
      <w:r>
        <w:rPr>
          <w:spacing w:val="-9"/>
          <w:w w:val="105"/>
        </w:rPr>
        <w:t> </w:t>
      </w:r>
      <w:r>
        <w:rPr>
          <w:w w:val="105"/>
        </w:rPr>
        <w:t>include</w:t>
      </w:r>
      <w:r>
        <w:rPr>
          <w:spacing w:val="-9"/>
          <w:w w:val="105"/>
        </w:rPr>
        <w:t> </w:t>
      </w:r>
      <w:r>
        <w:rPr>
          <w:w w:val="105"/>
        </w:rPr>
        <w:t>long-lived</w:t>
      </w:r>
      <w:r>
        <w:rPr>
          <w:spacing w:val="-9"/>
          <w:w w:val="105"/>
        </w:rPr>
        <w:t> </w:t>
      </w:r>
      <w:r>
        <w:rPr>
          <w:w w:val="105"/>
        </w:rPr>
        <w:t>assets,</w:t>
      </w:r>
      <w:r>
        <w:rPr>
          <w:spacing w:val="-9"/>
          <w:w w:val="105"/>
        </w:rPr>
        <w:t> </w:t>
      </w:r>
      <w:r>
        <w:rPr>
          <w:w w:val="105"/>
        </w:rPr>
        <w:t>goodwill,</w:t>
      </w:r>
      <w:r>
        <w:rPr>
          <w:spacing w:val="-9"/>
          <w:w w:val="105"/>
        </w:rPr>
        <w:t> </w:t>
      </w:r>
      <w:r>
        <w:rPr>
          <w:w w:val="105"/>
        </w:rPr>
        <w:t>asset</w:t>
      </w:r>
      <w:r>
        <w:rPr>
          <w:spacing w:val="-9"/>
          <w:w w:val="105"/>
        </w:rPr>
        <w:t> </w:t>
      </w:r>
      <w:r>
        <w:rPr>
          <w:w w:val="105"/>
        </w:rPr>
        <w:t>retirement</w:t>
      </w:r>
      <w:r>
        <w:rPr>
          <w:spacing w:val="-9"/>
          <w:w w:val="105"/>
        </w:rPr>
        <w:t> </w:t>
      </w:r>
      <w:r>
        <w:rPr>
          <w:w w:val="105"/>
        </w:rPr>
        <w:t>obligations,</w:t>
      </w:r>
      <w:r>
        <w:rPr>
          <w:spacing w:val="-7"/>
          <w:w w:val="105"/>
        </w:rPr>
        <w:t> </w:t>
      </w:r>
      <w:r>
        <w:rPr>
          <w:w w:val="105"/>
        </w:rPr>
        <w:t>equity</w:t>
      </w:r>
      <w:r>
        <w:rPr>
          <w:spacing w:val="-9"/>
          <w:w w:val="105"/>
        </w:rPr>
        <w:t> </w:t>
      </w:r>
      <w:r>
        <w:rPr>
          <w:w w:val="105"/>
        </w:rPr>
        <w:t>method investments and other investments that Corning cannot significantly influence.</w:t>
      </w:r>
    </w:p>
    <w:p>
      <w:pPr>
        <w:pStyle w:val="BodyText"/>
        <w:spacing w:before="18"/>
      </w:pPr>
    </w:p>
    <w:p>
      <w:pPr>
        <w:pStyle w:val="BodyText"/>
        <w:spacing w:line="266" w:lineRule="auto"/>
        <w:ind w:left="156" w:right="154"/>
      </w:pPr>
      <w:r>
        <w:rPr>
          <w:w w:val="105"/>
        </w:rPr>
        <w:t>Fair</w:t>
      </w:r>
      <w:r>
        <w:rPr>
          <w:spacing w:val="-2"/>
          <w:w w:val="105"/>
        </w:rPr>
        <w:t> </w:t>
      </w:r>
      <w:r>
        <w:rPr>
          <w:w w:val="105"/>
        </w:rPr>
        <w:t>value</w:t>
      </w:r>
      <w:r>
        <w:rPr>
          <w:spacing w:val="-2"/>
          <w:w w:val="105"/>
        </w:rPr>
        <w:t> </w:t>
      </w:r>
      <w:r>
        <w:rPr>
          <w:w w:val="105"/>
        </w:rPr>
        <w:t>is</w:t>
      </w:r>
      <w:r>
        <w:rPr>
          <w:spacing w:val="-2"/>
          <w:w w:val="105"/>
        </w:rPr>
        <w:t> </w:t>
      </w:r>
      <w:r>
        <w:rPr>
          <w:w w:val="105"/>
        </w:rPr>
        <w:t>the</w:t>
      </w:r>
      <w:r>
        <w:rPr>
          <w:spacing w:val="-2"/>
          <w:w w:val="105"/>
        </w:rPr>
        <w:t> </w:t>
      </w:r>
      <w:r>
        <w:rPr>
          <w:w w:val="105"/>
        </w:rPr>
        <w:t>price</w:t>
      </w:r>
      <w:r>
        <w:rPr>
          <w:spacing w:val="-2"/>
          <w:w w:val="105"/>
        </w:rPr>
        <w:t> </w:t>
      </w:r>
      <w:r>
        <w:rPr>
          <w:w w:val="105"/>
        </w:rPr>
        <w:t>that</w:t>
      </w:r>
      <w:r>
        <w:rPr>
          <w:spacing w:val="-2"/>
          <w:w w:val="105"/>
        </w:rPr>
        <w:t> </w:t>
      </w:r>
      <w:r>
        <w:rPr>
          <w:w w:val="105"/>
        </w:rPr>
        <w:t>would</w:t>
      </w:r>
      <w:r>
        <w:rPr>
          <w:spacing w:val="-2"/>
          <w:w w:val="105"/>
        </w:rPr>
        <w:t> </w:t>
      </w:r>
      <w:r>
        <w:rPr>
          <w:w w:val="105"/>
        </w:rPr>
        <w:t>be</w:t>
      </w:r>
      <w:r>
        <w:rPr>
          <w:spacing w:val="-2"/>
          <w:w w:val="105"/>
        </w:rPr>
        <w:t> </w:t>
      </w:r>
      <w:r>
        <w:rPr>
          <w:w w:val="105"/>
        </w:rPr>
        <w:t>received</w:t>
      </w:r>
      <w:r>
        <w:rPr>
          <w:spacing w:val="-2"/>
          <w:w w:val="105"/>
        </w:rPr>
        <w:t> </w:t>
      </w:r>
      <w:r>
        <w:rPr>
          <w:w w:val="105"/>
        </w:rPr>
        <w:t>from</w:t>
      </w:r>
      <w:r>
        <w:rPr>
          <w:spacing w:val="-2"/>
          <w:w w:val="105"/>
        </w:rPr>
        <w:t> </w:t>
      </w:r>
      <w:r>
        <w:rPr>
          <w:w w:val="105"/>
        </w:rPr>
        <w:t>selling</w:t>
      </w:r>
      <w:r>
        <w:rPr>
          <w:spacing w:val="-2"/>
          <w:w w:val="105"/>
        </w:rPr>
        <w:t> </w:t>
      </w:r>
      <w:r>
        <w:rPr>
          <w:w w:val="105"/>
        </w:rPr>
        <w:t>an</w:t>
      </w:r>
      <w:r>
        <w:rPr>
          <w:spacing w:val="-2"/>
          <w:w w:val="105"/>
        </w:rPr>
        <w:t> </w:t>
      </w:r>
      <w:r>
        <w:rPr>
          <w:w w:val="105"/>
        </w:rPr>
        <w:t>asset,</w:t>
      </w:r>
      <w:r>
        <w:rPr>
          <w:spacing w:val="-2"/>
          <w:w w:val="105"/>
        </w:rPr>
        <w:t> </w:t>
      </w:r>
      <w:r>
        <w:rPr>
          <w:w w:val="105"/>
        </w:rPr>
        <w:t>or</w:t>
      </w:r>
      <w:r>
        <w:rPr>
          <w:spacing w:val="-4"/>
          <w:w w:val="105"/>
        </w:rPr>
        <w:t> </w:t>
      </w:r>
      <w:r>
        <w:rPr>
          <w:w w:val="105"/>
        </w:rPr>
        <w:t>paid</w:t>
      </w:r>
      <w:r>
        <w:rPr>
          <w:spacing w:val="-2"/>
          <w:w w:val="105"/>
        </w:rPr>
        <w:t> </w:t>
      </w:r>
      <w:r>
        <w:rPr>
          <w:w w:val="105"/>
        </w:rPr>
        <w:t>to</w:t>
      </w:r>
      <w:r>
        <w:rPr>
          <w:spacing w:val="-2"/>
          <w:w w:val="105"/>
        </w:rPr>
        <w:t> </w:t>
      </w:r>
      <w:r>
        <w:rPr>
          <w:w w:val="105"/>
        </w:rPr>
        <w:t>transfer</w:t>
      </w:r>
      <w:r>
        <w:rPr>
          <w:spacing w:val="-2"/>
          <w:w w:val="105"/>
        </w:rPr>
        <w:t> </w:t>
      </w:r>
      <w:r>
        <w:rPr>
          <w:w w:val="105"/>
        </w:rPr>
        <w:t>a</w:t>
      </w:r>
      <w:r>
        <w:rPr>
          <w:spacing w:val="-2"/>
          <w:w w:val="105"/>
        </w:rPr>
        <w:t> </w:t>
      </w:r>
      <w:r>
        <w:rPr>
          <w:w w:val="105"/>
        </w:rPr>
        <w:t>liability,</w:t>
      </w:r>
      <w:r>
        <w:rPr>
          <w:spacing w:val="-4"/>
          <w:w w:val="105"/>
        </w:rPr>
        <w:t> </w:t>
      </w:r>
      <w:r>
        <w:rPr>
          <w:w w:val="105"/>
        </w:rPr>
        <w:t>in</w:t>
      </w:r>
      <w:r>
        <w:rPr>
          <w:spacing w:val="-2"/>
          <w:w w:val="105"/>
        </w:rPr>
        <w:t> </w:t>
      </w:r>
      <w:r>
        <w:rPr>
          <w:w w:val="105"/>
        </w:rPr>
        <w:t>an</w:t>
      </w:r>
      <w:r>
        <w:rPr>
          <w:spacing w:val="-2"/>
          <w:w w:val="105"/>
        </w:rPr>
        <w:t> </w:t>
      </w:r>
      <w:r>
        <w:rPr>
          <w:w w:val="105"/>
        </w:rPr>
        <w:t>orderly</w:t>
      </w:r>
      <w:r>
        <w:rPr>
          <w:spacing w:val="-2"/>
          <w:w w:val="105"/>
        </w:rPr>
        <w:t> </w:t>
      </w:r>
      <w:r>
        <w:rPr>
          <w:w w:val="105"/>
        </w:rPr>
        <w:t>transaction</w:t>
      </w:r>
      <w:r>
        <w:rPr>
          <w:spacing w:val="-4"/>
          <w:w w:val="105"/>
        </w:rPr>
        <w:t> </w:t>
      </w:r>
      <w:r>
        <w:rPr>
          <w:w w:val="105"/>
        </w:rPr>
        <w:t>between</w:t>
      </w:r>
      <w:r>
        <w:rPr>
          <w:spacing w:val="-2"/>
          <w:w w:val="105"/>
        </w:rPr>
        <w:t> </w:t>
      </w:r>
      <w:r>
        <w:rPr>
          <w:w w:val="105"/>
        </w:rPr>
        <w:t>market</w:t>
      </w:r>
      <w:r>
        <w:rPr>
          <w:spacing w:val="-2"/>
          <w:w w:val="105"/>
        </w:rPr>
        <w:t> </w:t>
      </w:r>
      <w:r>
        <w:rPr>
          <w:w w:val="105"/>
        </w:rPr>
        <w:t>participants</w:t>
      </w:r>
      <w:r>
        <w:rPr>
          <w:spacing w:val="-2"/>
          <w:w w:val="105"/>
        </w:rPr>
        <w:t> </w:t>
      </w:r>
      <w:r>
        <w:rPr>
          <w:w w:val="105"/>
        </w:rPr>
        <w:t>at</w:t>
      </w:r>
      <w:r>
        <w:rPr>
          <w:spacing w:val="-4"/>
          <w:w w:val="105"/>
        </w:rPr>
        <w:t> </w:t>
      </w:r>
      <w:r>
        <w:rPr>
          <w:w w:val="105"/>
        </w:rPr>
        <w:t>the</w:t>
      </w:r>
      <w:r>
        <w:rPr>
          <w:spacing w:val="-2"/>
          <w:w w:val="105"/>
        </w:rPr>
        <w:t> </w:t>
      </w:r>
      <w:r>
        <w:rPr>
          <w:w w:val="105"/>
        </w:rPr>
        <w:t>measurement date.</w:t>
      </w:r>
      <w:r>
        <w:rPr>
          <w:spacing w:val="-2"/>
          <w:w w:val="105"/>
        </w:rPr>
        <w:t> </w:t>
      </w:r>
      <w:r>
        <w:rPr>
          <w:w w:val="105"/>
        </w:rPr>
        <w:t>When</w:t>
      </w:r>
      <w:r>
        <w:rPr>
          <w:spacing w:val="-2"/>
          <w:w w:val="105"/>
        </w:rPr>
        <w:t> </w:t>
      </w:r>
      <w:r>
        <w:rPr>
          <w:w w:val="105"/>
        </w:rPr>
        <w:t>determining the</w:t>
      </w:r>
      <w:r>
        <w:rPr>
          <w:spacing w:val="-2"/>
          <w:w w:val="105"/>
        </w:rPr>
        <w:t> </w:t>
      </w:r>
      <w:r>
        <w:rPr>
          <w:w w:val="105"/>
        </w:rPr>
        <w:t>fair</w:t>
      </w:r>
      <w:r>
        <w:rPr>
          <w:spacing w:val="-2"/>
          <w:w w:val="105"/>
        </w:rPr>
        <w:t> </w:t>
      </w:r>
      <w:r>
        <w:rPr>
          <w:w w:val="105"/>
        </w:rPr>
        <w:t>value</w:t>
      </w:r>
      <w:r>
        <w:rPr>
          <w:spacing w:val="-2"/>
          <w:w w:val="105"/>
        </w:rPr>
        <w:t> </w:t>
      </w:r>
      <w:r>
        <w:rPr>
          <w:w w:val="105"/>
        </w:rPr>
        <w:t>measurements</w:t>
      </w:r>
      <w:r>
        <w:rPr>
          <w:spacing w:val="-2"/>
          <w:w w:val="105"/>
        </w:rPr>
        <w:t> </w:t>
      </w:r>
      <w:r>
        <w:rPr>
          <w:w w:val="105"/>
        </w:rPr>
        <w:t>for</w:t>
      </w:r>
      <w:r>
        <w:rPr>
          <w:spacing w:val="-2"/>
          <w:w w:val="105"/>
        </w:rPr>
        <w:t> </w:t>
      </w:r>
      <w:r>
        <w:rPr>
          <w:w w:val="105"/>
        </w:rPr>
        <w:t>assets</w:t>
      </w:r>
      <w:r>
        <w:rPr>
          <w:spacing w:val="-2"/>
          <w:w w:val="105"/>
        </w:rPr>
        <w:t> </w:t>
      </w:r>
      <w:r>
        <w:rPr>
          <w:w w:val="105"/>
        </w:rPr>
        <w:t>and</w:t>
      </w:r>
      <w:r>
        <w:rPr>
          <w:spacing w:val="-2"/>
          <w:w w:val="105"/>
        </w:rPr>
        <w:t> </w:t>
      </w:r>
      <w:r>
        <w:rPr>
          <w:w w:val="105"/>
        </w:rPr>
        <w:t>liabilities</w:t>
      </w:r>
      <w:r>
        <w:rPr>
          <w:spacing w:val="-2"/>
          <w:w w:val="105"/>
        </w:rPr>
        <w:t> </w:t>
      </w:r>
      <w:r>
        <w:rPr>
          <w:w w:val="105"/>
        </w:rPr>
        <w:t>required</w:t>
      </w:r>
      <w:r>
        <w:rPr>
          <w:spacing w:val="-2"/>
          <w:w w:val="105"/>
        </w:rPr>
        <w:t> </w:t>
      </w:r>
      <w:r>
        <w:rPr>
          <w:w w:val="105"/>
        </w:rPr>
        <w:t>to</w:t>
      </w:r>
      <w:r>
        <w:rPr>
          <w:spacing w:val="-2"/>
          <w:w w:val="105"/>
        </w:rPr>
        <w:t> </w:t>
      </w:r>
      <w:r>
        <w:rPr>
          <w:w w:val="105"/>
        </w:rPr>
        <w:t>be recorded</w:t>
      </w:r>
      <w:r>
        <w:rPr>
          <w:spacing w:val="-2"/>
          <w:w w:val="105"/>
        </w:rPr>
        <w:t> </w:t>
      </w:r>
      <w:r>
        <w:rPr>
          <w:w w:val="105"/>
        </w:rPr>
        <w:t>at</w:t>
      </w:r>
      <w:r>
        <w:rPr>
          <w:spacing w:val="-2"/>
          <w:w w:val="105"/>
        </w:rPr>
        <w:t> </w:t>
      </w:r>
      <w:r>
        <w:rPr>
          <w:w w:val="105"/>
        </w:rPr>
        <w:t>fair</w:t>
      </w:r>
      <w:r>
        <w:rPr>
          <w:spacing w:val="-2"/>
          <w:w w:val="105"/>
        </w:rPr>
        <w:t> </w:t>
      </w:r>
      <w:r>
        <w:rPr>
          <w:w w:val="105"/>
        </w:rPr>
        <w:t>value,</w:t>
      </w:r>
      <w:r>
        <w:rPr>
          <w:spacing w:val="-2"/>
          <w:w w:val="105"/>
        </w:rPr>
        <w:t> </w:t>
      </w:r>
      <w:r>
        <w:rPr>
          <w:w w:val="105"/>
        </w:rPr>
        <w:t>the</w:t>
      </w:r>
      <w:r>
        <w:rPr>
          <w:spacing w:val="-2"/>
          <w:w w:val="105"/>
        </w:rPr>
        <w:t> </w:t>
      </w:r>
      <w:r>
        <w:rPr>
          <w:w w:val="105"/>
        </w:rPr>
        <w:t>principal,</w:t>
      </w:r>
      <w:r>
        <w:rPr>
          <w:spacing w:val="-2"/>
          <w:w w:val="105"/>
        </w:rPr>
        <w:t> </w:t>
      </w:r>
      <w:r>
        <w:rPr>
          <w:w w:val="105"/>
        </w:rPr>
        <w:t>or</w:t>
      </w:r>
      <w:r>
        <w:rPr>
          <w:spacing w:val="-2"/>
          <w:w w:val="105"/>
        </w:rPr>
        <w:t> </w:t>
      </w:r>
      <w:r>
        <w:rPr>
          <w:w w:val="105"/>
        </w:rPr>
        <w:t>most</w:t>
      </w:r>
      <w:r>
        <w:rPr>
          <w:spacing w:val="-2"/>
          <w:w w:val="105"/>
        </w:rPr>
        <w:t> </w:t>
      </w:r>
      <w:r>
        <w:rPr>
          <w:w w:val="105"/>
        </w:rPr>
        <w:t>advantageous,</w:t>
      </w:r>
      <w:r>
        <w:rPr>
          <w:spacing w:val="-2"/>
          <w:w w:val="105"/>
        </w:rPr>
        <w:t> </w:t>
      </w:r>
      <w:r>
        <w:rPr>
          <w:w w:val="105"/>
        </w:rPr>
        <w:t>market</w:t>
      </w:r>
      <w:r>
        <w:rPr>
          <w:spacing w:val="-2"/>
          <w:w w:val="105"/>
        </w:rPr>
        <w:t> </w:t>
      </w:r>
      <w:r>
        <w:rPr>
          <w:w w:val="105"/>
        </w:rPr>
        <w:t>in</w:t>
      </w:r>
      <w:r>
        <w:rPr>
          <w:spacing w:val="-2"/>
          <w:w w:val="105"/>
        </w:rPr>
        <w:t> </w:t>
      </w:r>
      <w:r>
        <w:rPr>
          <w:w w:val="105"/>
        </w:rPr>
        <w:t>which Corning</w:t>
      </w:r>
      <w:r>
        <w:rPr>
          <w:spacing w:val="-8"/>
          <w:w w:val="105"/>
        </w:rPr>
        <w:t> </w:t>
      </w:r>
      <w:r>
        <w:rPr>
          <w:w w:val="105"/>
        </w:rPr>
        <w:t>would</w:t>
      </w:r>
      <w:r>
        <w:rPr>
          <w:spacing w:val="-8"/>
          <w:w w:val="105"/>
        </w:rPr>
        <w:t> </w:t>
      </w:r>
      <w:r>
        <w:rPr>
          <w:w w:val="105"/>
        </w:rPr>
        <w:t>transact</w:t>
      </w:r>
      <w:r>
        <w:rPr>
          <w:spacing w:val="-8"/>
          <w:w w:val="105"/>
        </w:rPr>
        <w:t> </w:t>
      </w:r>
      <w:r>
        <w:rPr>
          <w:w w:val="105"/>
        </w:rPr>
        <w:t>is</w:t>
      </w:r>
      <w:r>
        <w:rPr>
          <w:spacing w:val="-8"/>
          <w:w w:val="105"/>
        </w:rPr>
        <w:t> </w:t>
      </w:r>
      <w:r>
        <w:rPr>
          <w:w w:val="105"/>
        </w:rPr>
        <w:t>analyzed.</w:t>
      </w:r>
      <w:r>
        <w:rPr>
          <w:spacing w:val="-8"/>
          <w:w w:val="105"/>
        </w:rPr>
        <w:t> </w:t>
      </w:r>
      <w:r>
        <w:rPr>
          <w:w w:val="105"/>
        </w:rPr>
        <w:t>Assumptions</w:t>
      </w:r>
      <w:r>
        <w:rPr>
          <w:spacing w:val="-8"/>
          <w:w w:val="105"/>
        </w:rPr>
        <w:t> </w:t>
      </w:r>
      <w:r>
        <w:rPr>
          <w:w w:val="105"/>
        </w:rPr>
        <w:t>that</w:t>
      </w:r>
      <w:r>
        <w:rPr>
          <w:spacing w:val="-8"/>
          <w:w w:val="105"/>
        </w:rPr>
        <w:t> </w:t>
      </w:r>
      <w:r>
        <w:rPr>
          <w:w w:val="105"/>
        </w:rPr>
        <w:t>market</w:t>
      </w:r>
      <w:r>
        <w:rPr>
          <w:spacing w:val="-8"/>
          <w:w w:val="105"/>
        </w:rPr>
        <w:t> </w:t>
      </w:r>
      <w:r>
        <w:rPr>
          <w:w w:val="105"/>
        </w:rPr>
        <w:t>participants</w:t>
      </w:r>
      <w:r>
        <w:rPr>
          <w:spacing w:val="-8"/>
          <w:w w:val="105"/>
        </w:rPr>
        <w:t> </w:t>
      </w:r>
      <w:r>
        <w:rPr>
          <w:w w:val="105"/>
        </w:rPr>
        <w:t>would</w:t>
      </w:r>
      <w:r>
        <w:rPr>
          <w:spacing w:val="-8"/>
          <w:w w:val="105"/>
        </w:rPr>
        <w:t> </w:t>
      </w:r>
      <w:r>
        <w:rPr>
          <w:w w:val="105"/>
        </w:rPr>
        <w:t>use</w:t>
      </w:r>
      <w:r>
        <w:rPr>
          <w:spacing w:val="-8"/>
          <w:w w:val="105"/>
        </w:rPr>
        <w:t> </w:t>
      </w:r>
      <w:r>
        <w:rPr>
          <w:w w:val="105"/>
        </w:rPr>
        <w:t>when</w:t>
      </w:r>
      <w:r>
        <w:rPr>
          <w:spacing w:val="-8"/>
          <w:w w:val="105"/>
        </w:rPr>
        <w:t> </w:t>
      </w:r>
      <w:r>
        <w:rPr>
          <w:w w:val="105"/>
        </w:rPr>
        <w:t>pricing</w:t>
      </w:r>
      <w:r>
        <w:rPr>
          <w:spacing w:val="-8"/>
          <w:w w:val="105"/>
        </w:rPr>
        <w:t> </w:t>
      </w:r>
      <w:r>
        <w:rPr>
          <w:w w:val="105"/>
        </w:rPr>
        <w:t>the</w:t>
      </w:r>
      <w:r>
        <w:rPr>
          <w:spacing w:val="-7"/>
          <w:w w:val="105"/>
        </w:rPr>
        <w:t> </w:t>
      </w:r>
      <w:r>
        <w:rPr>
          <w:w w:val="105"/>
        </w:rPr>
        <w:t>asset</w:t>
      </w:r>
      <w:r>
        <w:rPr>
          <w:spacing w:val="-8"/>
          <w:w w:val="105"/>
        </w:rPr>
        <w:t> </w:t>
      </w:r>
      <w:r>
        <w:rPr>
          <w:w w:val="105"/>
        </w:rPr>
        <w:t>or</w:t>
      </w:r>
      <w:r>
        <w:rPr>
          <w:spacing w:val="-8"/>
          <w:w w:val="105"/>
        </w:rPr>
        <w:t> </w:t>
      </w:r>
      <w:r>
        <w:rPr>
          <w:w w:val="105"/>
        </w:rPr>
        <w:t>liability,</w:t>
      </w:r>
      <w:r>
        <w:rPr>
          <w:spacing w:val="-8"/>
          <w:w w:val="105"/>
        </w:rPr>
        <w:t> </w:t>
      </w:r>
      <w:r>
        <w:rPr>
          <w:w w:val="105"/>
        </w:rPr>
        <w:t>such</w:t>
      </w:r>
      <w:r>
        <w:rPr>
          <w:spacing w:val="-8"/>
          <w:w w:val="105"/>
        </w:rPr>
        <w:t> </w:t>
      </w:r>
      <w:r>
        <w:rPr>
          <w:w w:val="105"/>
        </w:rPr>
        <w:t>as</w:t>
      </w:r>
      <w:r>
        <w:rPr>
          <w:spacing w:val="-7"/>
          <w:w w:val="105"/>
        </w:rPr>
        <w:t> </w:t>
      </w:r>
      <w:r>
        <w:rPr>
          <w:w w:val="105"/>
        </w:rPr>
        <w:t>inherent</w:t>
      </w:r>
      <w:r>
        <w:rPr>
          <w:spacing w:val="-8"/>
          <w:w w:val="105"/>
        </w:rPr>
        <w:t> </w:t>
      </w:r>
      <w:r>
        <w:rPr>
          <w:w w:val="105"/>
        </w:rPr>
        <w:t>risk,</w:t>
      </w:r>
      <w:r>
        <w:rPr>
          <w:spacing w:val="-8"/>
          <w:w w:val="105"/>
        </w:rPr>
        <w:t> </w:t>
      </w:r>
      <w:r>
        <w:rPr>
          <w:w w:val="105"/>
        </w:rPr>
        <w:t>transfer</w:t>
      </w:r>
      <w:r>
        <w:rPr>
          <w:spacing w:val="-7"/>
          <w:w w:val="105"/>
        </w:rPr>
        <w:t> </w:t>
      </w:r>
      <w:r>
        <w:rPr>
          <w:w w:val="105"/>
        </w:rPr>
        <w:t>restrictions,</w:t>
      </w:r>
      <w:r>
        <w:rPr>
          <w:spacing w:val="-8"/>
          <w:w w:val="105"/>
        </w:rPr>
        <w:t> </w:t>
      </w:r>
      <w:r>
        <w:rPr>
          <w:w w:val="105"/>
        </w:rPr>
        <w:t>and</w:t>
      </w:r>
      <w:r>
        <w:rPr>
          <w:spacing w:val="-8"/>
          <w:w w:val="105"/>
        </w:rPr>
        <w:t> </w:t>
      </w:r>
      <w:r>
        <w:rPr>
          <w:w w:val="105"/>
        </w:rPr>
        <w:t>risk</w:t>
      </w:r>
      <w:r>
        <w:rPr>
          <w:spacing w:val="-8"/>
          <w:w w:val="105"/>
        </w:rPr>
        <w:t> </w:t>
      </w:r>
      <w:r>
        <w:rPr>
          <w:w w:val="105"/>
        </w:rPr>
        <w:t>of non-performance, are considered.</w:t>
      </w:r>
    </w:p>
    <w:p>
      <w:pPr>
        <w:pStyle w:val="BodyText"/>
        <w:spacing w:before="18"/>
      </w:pPr>
    </w:p>
    <w:p>
      <w:pPr>
        <w:pStyle w:val="Heading3"/>
      </w:pPr>
      <w:r>
        <w:rPr/>
        <w:t>Derivative</w:t>
      </w:r>
      <w:r>
        <w:rPr>
          <w:spacing w:val="21"/>
        </w:rPr>
        <w:t> </w:t>
      </w:r>
      <w:r>
        <w:rPr>
          <w:spacing w:val="-2"/>
        </w:rPr>
        <w:t>Instruments</w:t>
      </w:r>
    </w:p>
    <w:p>
      <w:pPr>
        <w:pStyle w:val="BodyText"/>
        <w:spacing w:before="40"/>
        <w:rPr>
          <w:b/>
          <w:i/>
        </w:rPr>
      </w:pPr>
    </w:p>
    <w:p>
      <w:pPr>
        <w:pStyle w:val="BodyText"/>
        <w:spacing w:line="266" w:lineRule="auto"/>
        <w:ind w:left="156" w:right="117"/>
      </w:pPr>
      <w:r>
        <w:rPr>
          <w:w w:val="105"/>
        </w:rPr>
        <w:t>The</w:t>
      </w:r>
      <w:r>
        <w:rPr>
          <w:spacing w:val="-8"/>
          <w:w w:val="105"/>
        </w:rPr>
        <w:t> </w:t>
      </w:r>
      <w:r>
        <w:rPr>
          <w:w w:val="105"/>
        </w:rPr>
        <w:t>Company</w:t>
      </w:r>
      <w:r>
        <w:rPr>
          <w:spacing w:val="-8"/>
          <w:w w:val="105"/>
        </w:rPr>
        <w:t> </w:t>
      </w:r>
      <w:r>
        <w:rPr>
          <w:w w:val="105"/>
        </w:rPr>
        <w:t>enters</w:t>
      </w:r>
      <w:r>
        <w:rPr>
          <w:spacing w:val="-8"/>
          <w:w w:val="105"/>
        </w:rPr>
        <w:t> </w:t>
      </w:r>
      <w:r>
        <w:rPr>
          <w:w w:val="105"/>
        </w:rPr>
        <w:t>into</w:t>
      </w:r>
      <w:r>
        <w:rPr>
          <w:spacing w:val="-8"/>
          <w:w w:val="105"/>
        </w:rPr>
        <w:t> </w:t>
      </w:r>
      <w:r>
        <w:rPr>
          <w:w w:val="105"/>
        </w:rPr>
        <w:t>a</w:t>
      </w:r>
      <w:r>
        <w:rPr>
          <w:spacing w:val="-8"/>
          <w:w w:val="105"/>
        </w:rPr>
        <w:t> </w:t>
      </w:r>
      <w:r>
        <w:rPr>
          <w:w w:val="105"/>
        </w:rPr>
        <w:t>variety</w:t>
      </w:r>
      <w:r>
        <w:rPr>
          <w:spacing w:val="-8"/>
          <w:w w:val="105"/>
        </w:rPr>
        <w:t> </w:t>
      </w:r>
      <w:r>
        <w:rPr>
          <w:w w:val="105"/>
        </w:rPr>
        <w:t>of</w:t>
      </w:r>
      <w:r>
        <w:rPr>
          <w:spacing w:val="-8"/>
          <w:w w:val="105"/>
        </w:rPr>
        <w:t> </w:t>
      </w:r>
      <w:r>
        <w:rPr>
          <w:w w:val="105"/>
        </w:rPr>
        <w:t>foreign</w:t>
      </w:r>
      <w:r>
        <w:rPr>
          <w:spacing w:val="-8"/>
          <w:w w:val="105"/>
        </w:rPr>
        <w:t> </w:t>
      </w:r>
      <w:r>
        <w:rPr>
          <w:w w:val="105"/>
        </w:rPr>
        <w:t>exchange</w:t>
      </w:r>
      <w:r>
        <w:rPr>
          <w:spacing w:val="-8"/>
          <w:w w:val="105"/>
        </w:rPr>
        <w:t> </w:t>
      </w:r>
      <w:r>
        <w:rPr>
          <w:w w:val="105"/>
        </w:rPr>
        <w:t>forward</w:t>
      </w:r>
      <w:r>
        <w:rPr>
          <w:spacing w:val="-8"/>
          <w:w w:val="105"/>
        </w:rPr>
        <w:t> </w:t>
      </w:r>
      <w:r>
        <w:rPr>
          <w:w w:val="105"/>
        </w:rPr>
        <w:t>contracts</w:t>
      </w:r>
      <w:r>
        <w:rPr>
          <w:spacing w:val="-8"/>
          <w:w w:val="105"/>
        </w:rPr>
        <w:t> </w:t>
      </w:r>
      <w:r>
        <w:rPr>
          <w:w w:val="105"/>
        </w:rPr>
        <w:t>and</w:t>
      </w:r>
      <w:r>
        <w:rPr>
          <w:spacing w:val="-8"/>
          <w:w w:val="105"/>
        </w:rPr>
        <w:t> </w:t>
      </w:r>
      <w:r>
        <w:rPr>
          <w:w w:val="105"/>
        </w:rPr>
        <w:t>foreign</w:t>
      </w:r>
      <w:r>
        <w:rPr>
          <w:spacing w:val="-8"/>
          <w:w w:val="105"/>
        </w:rPr>
        <w:t> </w:t>
      </w:r>
      <w:r>
        <w:rPr>
          <w:w w:val="105"/>
        </w:rPr>
        <w:t>exchange</w:t>
      </w:r>
      <w:r>
        <w:rPr>
          <w:spacing w:val="-8"/>
          <w:w w:val="105"/>
        </w:rPr>
        <w:t> </w:t>
      </w:r>
      <w:r>
        <w:rPr>
          <w:w w:val="105"/>
        </w:rPr>
        <w:t>option</w:t>
      </w:r>
      <w:r>
        <w:rPr>
          <w:spacing w:val="-8"/>
          <w:w w:val="105"/>
        </w:rPr>
        <w:t> </w:t>
      </w:r>
      <w:r>
        <w:rPr>
          <w:w w:val="105"/>
        </w:rPr>
        <w:t>contracts</w:t>
      </w:r>
      <w:r>
        <w:rPr>
          <w:spacing w:val="-8"/>
          <w:w w:val="105"/>
        </w:rPr>
        <w:t> </w:t>
      </w:r>
      <w:r>
        <w:rPr>
          <w:w w:val="105"/>
        </w:rPr>
        <w:t>to</w:t>
      </w:r>
      <w:r>
        <w:rPr>
          <w:spacing w:val="-8"/>
          <w:w w:val="105"/>
        </w:rPr>
        <w:t> </w:t>
      </w:r>
      <w:r>
        <w:rPr>
          <w:w w:val="105"/>
        </w:rPr>
        <w:t>manage</w:t>
      </w:r>
      <w:r>
        <w:rPr>
          <w:spacing w:val="-8"/>
          <w:w w:val="105"/>
        </w:rPr>
        <w:t> </w:t>
      </w:r>
      <w:r>
        <w:rPr>
          <w:w w:val="105"/>
        </w:rPr>
        <w:t>the</w:t>
      </w:r>
      <w:r>
        <w:rPr>
          <w:spacing w:val="-8"/>
          <w:w w:val="105"/>
        </w:rPr>
        <w:t> </w:t>
      </w:r>
      <w:r>
        <w:rPr>
          <w:w w:val="105"/>
        </w:rPr>
        <w:t>exposure</w:t>
      </w:r>
      <w:r>
        <w:rPr>
          <w:spacing w:val="-8"/>
          <w:w w:val="105"/>
        </w:rPr>
        <w:t> </w:t>
      </w:r>
      <w:r>
        <w:rPr>
          <w:w w:val="105"/>
        </w:rPr>
        <w:t>to</w:t>
      </w:r>
      <w:r>
        <w:rPr>
          <w:spacing w:val="-8"/>
          <w:w w:val="105"/>
        </w:rPr>
        <w:t> </w:t>
      </w:r>
      <w:r>
        <w:rPr>
          <w:w w:val="105"/>
        </w:rPr>
        <w:t>fluctuations</w:t>
      </w:r>
      <w:r>
        <w:rPr>
          <w:spacing w:val="-8"/>
          <w:w w:val="105"/>
        </w:rPr>
        <w:t> </w:t>
      </w:r>
      <w:r>
        <w:rPr>
          <w:w w:val="105"/>
        </w:rPr>
        <w:t>in</w:t>
      </w:r>
      <w:r>
        <w:rPr>
          <w:spacing w:val="-8"/>
          <w:w w:val="105"/>
        </w:rPr>
        <w:t> </w:t>
      </w:r>
      <w:r>
        <w:rPr>
          <w:w w:val="105"/>
        </w:rPr>
        <w:t>foreign</w:t>
      </w:r>
      <w:r>
        <w:rPr>
          <w:spacing w:val="-8"/>
          <w:w w:val="105"/>
        </w:rPr>
        <w:t> </w:t>
      </w:r>
      <w:r>
        <w:rPr>
          <w:w w:val="105"/>
        </w:rPr>
        <w:t>exchange rates.</w:t>
      </w:r>
      <w:r>
        <w:rPr>
          <w:spacing w:val="37"/>
          <w:w w:val="105"/>
        </w:rPr>
        <w:t> </w:t>
      </w:r>
      <w:r>
        <w:rPr>
          <w:w w:val="105"/>
        </w:rPr>
        <w:t>Interest</w:t>
      </w:r>
      <w:r>
        <w:rPr>
          <w:spacing w:val="-3"/>
          <w:w w:val="105"/>
        </w:rPr>
        <w:t> </w:t>
      </w:r>
      <w:r>
        <w:rPr>
          <w:w w:val="105"/>
        </w:rPr>
        <w:t>rate</w:t>
      </w:r>
      <w:r>
        <w:rPr>
          <w:spacing w:val="-3"/>
          <w:w w:val="105"/>
        </w:rPr>
        <w:t> </w:t>
      </w:r>
      <w:r>
        <w:rPr>
          <w:w w:val="105"/>
        </w:rPr>
        <w:t>swaps</w:t>
      </w:r>
      <w:r>
        <w:rPr>
          <w:spacing w:val="-3"/>
          <w:w w:val="105"/>
        </w:rPr>
        <w:t> </w:t>
      </w:r>
      <w:r>
        <w:rPr>
          <w:w w:val="105"/>
        </w:rPr>
        <w:t>are</w:t>
      </w:r>
      <w:r>
        <w:rPr>
          <w:spacing w:val="-3"/>
          <w:w w:val="105"/>
        </w:rPr>
        <w:t> </w:t>
      </w:r>
      <w:r>
        <w:rPr>
          <w:w w:val="105"/>
        </w:rPr>
        <w:t>utilized</w:t>
      </w:r>
      <w:r>
        <w:rPr>
          <w:spacing w:val="-3"/>
          <w:w w:val="105"/>
        </w:rPr>
        <w:t> </w:t>
      </w:r>
      <w:r>
        <w:rPr>
          <w:w w:val="105"/>
        </w:rPr>
        <w:t>to</w:t>
      </w:r>
      <w:r>
        <w:rPr>
          <w:spacing w:val="-3"/>
          <w:w w:val="105"/>
        </w:rPr>
        <w:t> </w:t>
      </w:r>
      <w:r>
        <w:rPr>
          <w:w w:val="105"/>
        </w:rPr>
        <w:t>reduce</w:t>
      </w:r>
      <w:r>
        <w:rPr>
          <w:spacing w:val="-3"/>
          <w:w w:val="105"/>
        </w:rPr>
        <w:t> </w:t>
      </w:r>
      <w:r>
        <w:rPr>
          <w:w w:val="105"/>
        </w:rPr>
        <w:t>the</w:t>
      </w:r>
      <w:r>
        <w:rPr>
          <w:spacing w:val="-3"/>
          <w:w w:val="105"/>
        </w:rPr>
        <w:t> </w:t>
      </w:r>
      <w:r>
        <w:rPr>
          <w:w w:val="105"/>
        </w:rPr>
        <w:t>risk</w:t>
      </w:r>
      <w:r>
        <w:rPr>
          <w:spacing w:val="-3"/>
          <w:w w:val="105"/>
        </w:rPr>
        <w:t> </w:t>
      </w:r>
      <w:r>
        <w:rPr>
          <w:w w:val="105"/>
        </w:rPr>
        <w:t>of</w:t>
      </w:r>
      <w:r>
        <w:rPr>
          <w:spacing w:val="-3"/>
          <w:w w:val="105"/>
        </w:rPr>
        <w:t> </w:t>
      </w:r>
      <w:r>
        <w:rPr>
          <w:w w:val="105"/>
        </w:rPr>
        <w:t>changes</w:t>
      </w:r>
      <w:r>
        <w:rPr>
          <w:spacing w:val="-3"/>
          <w:w w:val="105"/>
        </w:rPr>
        <w:t> </w:t>
      </w:r>
      <w:r>
        <w:rPr>
          <w:w w:val="105"/>
        </w:rPr>
        <w:t>in</w:t>
      </w:r>
      <w:r>
        <w:rPr>
          <w:spacing w:val="-3"/>
          <w:w w:val="105"/>
        </w:rPr>
        <w:t> </w:t>
      </w:r>
      <w:r>
        <w:rPr>
          <w:w w:val="105"/>
        </w:rPr>
        <w:t>a</w:t>
      </w:r>
      <w:r>
        <w:rPr>
          <w:spacing w:val="-3"/>
          <w:w w:val="105"/>
        </w:rPr>
        <w:t> </w:t>
      </w:r>
      <w:r>
        <w:rPr>
          <w:w w:val="105"/>
        </w:rPr>
        <w:t>benchmark</w:t>
      </w:r>
      <w:r>
        <w:rPr>
          <w:spacing w:val="-3"/>
          <w:w w:val="105"/>
        </w:rPr>
        <w:t> </w:t>
      </w:r>
      <w:r>
        <w:rPr>
          <w:w w:val="105"/>
        </w:rPr>
        <w:t>interest</w:t>
      </w:r>
      <w:r>
        <w:rPr>
          <w:spacing w:val="-3"/>
          <w:w w:val="105"/>
        </w:rPr>
        <w:t> </w:t>
      </w:r>
      <w:r>
        <w:rPr>
          <w:w w:val="105"/>
        </w:rPr>
        <w:t>rate</w:t>
      </w:r>
      <w:r>
        <w:rPr>
          <w:spacing w:val="-3"/>
          <w:w w:val="105"/>
        </w:rPr>
        <w:t> </w:t>
      </w:r>
      <w:r>
        <w:rPr>
          <w:w w:val="105"/>
        </w:rPr>
        <w:t>from</w:t>
      </w:r>
      <w:r>
        <w:rPr>
          <w:spacing w:val="-3"/>
          <w:w w:val="105"/>
        </w:rPr>
        <w:t> </w:t>
      </w:r>
      <w:r>
        <w:rPr>
          <w:w w:val="105"/>
        </w:rPr>
        <w:t>the</w:t>
      </w:r>
      <w:r>
        <w:rPr>
          <w:spacing w:val="-3"/>
          <w:w w:val="105"/>
        </w:rPr>
        <w:t> </w:t>
      </w:r>
      <w:r>
        <w:rPr>
          <w:w w:val="105"/>
        </w:rPr>
        <w:t>probable</w:t>
      </w:r>
      <w:r>
        <w:rPr>
          <w:spacing w:val="-3"/>
          <w:w w:val="105"/>
        </w:rPr>
        <w:t> </w:t>
      </w:r>
      <w:r>
        <w:rPr>
          <w:w w:val="105"/>
        </w:rPr>
        <w:t>forecasted</w:t>
      </w:r>
      <w:r>
        <w:rPr>
          <w:spacing w:val="-3"/>
          <w:w w:val="105"/>
        </w:rPr>
        <w:t> </w:t>
      </w:r>
      <w:r>
        <w:rPr>
          <w:w w:val="105"/>
        </w:rPr>
        <w:t>issuance</w:t>
      </w:r>
      <w:r>
        <w:rPr>
          <w:spacing w:val="-3"/>
          <w:w w:val="105"/>
        </w:rPr>
        <w:t> </w:t>
      </w:r>
      <w:r>
        <w:rPr>
          <w:w w:val="105"/>
        </w:rPr>
        <w:t>of</w:t>
      </w:r>
      <w:r>
        <w:rPr>
          <w:spacing w:val="-3"/>
          <w:w w:val="105"/>
        </w:rPr>
        <w:t> </w:t>
      </w:r>
      <w:r>
        <w:rPr>
          <w:w w:val="105"/>
        </w:rPr>
        <w:t>debt</w:t>
      </w:r>
      <w:r>
        <w:rPr>
          <w:spacing w:val="-3"/>
          <w:w w:val="105"/>
        </w:rPr>
        <w:t> </w:t>
      </w:r>
      <w:r>
        <w:rPr>
          <w:w w:val="105"/>
        </w:rPr>
        <w:t>and</w:t>
      </w:r>
      <w:r>
        <w:rPr>
          <w:spacing w:val="-1"/>
          <w:w w:val="105"/>
        </w:rPr>
        <w:t> </w:t>
      </w:r>
      <w:r>
        <w:rPr>
          <w:w w:val="105"/>
        </w:rPr>
        <w:t>manage</w:t>
      </w:r>
      <w:r>
        <w:rPr>
          <w:spacing w:val="-3"/>
          <w:w w:val="105"/>
        </w:rPr>
        <w:t> </w:t>
      </w:r>
      <w:r>
        <w:rPr>
          <w:w w:val="105"/>
        </w:rPr>
        <w:t>the</w:t>
      </w:r>
      <w:r>
        <w:rPr>
          <w:spacing w:val="-3"/>
          <w:w w:val="105"/>
        </w:rPr>
        <w:t> </w:t>
      </w:r>
      <w:r>
        <w:rPr>
          <w:w w:val="105"/>
        </w:rPr>
        <w:t>mix</w:t>
      </w:r>
      <w:r>
        <w:rPr>
          <w:spacing w:val="-3"/>
          <w:w w:val="105"/>
        </w:rPr>
        <w:t> </w:t>
      </w:r>
      <w:r>
        <w:rPr>
          <w:w w:val="105"/>
        </w:rPr>
        <w:t>of</w:t>
      </w:r>
      <w:r>
        <w:rPr>
          <w:spacing w:val="-3"/>
          <w:w w:val="105"/>
        </w:rPr>
        <w:t> </w:t>
      </w:r>
      <w:r>
        <w:rPr>
          <w:w w:val="105"/>
        </w:rPr>
        <w:t>fixed and floating rate debt.</w:t>
      </w:r>
      <w:r>
        <w:rPr>
          <w:spacing w:val="40"/>
          <w:w w:val="105"/>
        </w:rPr>
        <w:t> </w:t>
      </w:r>
      <w:r>
        <w:rPr>
          <w:w w:val="105"/>
        </w:rPr>
        <w:t>Financial exposure is managed in accordance with corporate policies and procedures.</w:t>
      </w:r>
    </w:p>
    <w:p>
      <w:pPr>
        <w:pStyle w:val="BodyText"/>
        <w:spacing w:before="18"/>
      </w:pPr>
    </w:p>
    <w:p>
      <w:pPr>
        <w:pStyle w:val="BodyText"/>
        <w:spacing w:line="266" w:lineRule="auto" w:before="1"/>
        <w:ind w:left="156" w:right="117"/>
      </w:pPr>
      <w:r>
        <w:rPr>
          <w:w w:val="105"/>
        </w:rPr>
        <w:t>All</w:t>
      </w:r>
      <w:r>
        <w:rPr>
          <w:spacing w:val="-3"/>
          <w:w w:val="105"/>
        </w:rPr>
        <w:t> </w:t>
      </w:r>
      <w:r>
        <w:rPr>
          <w:w w:val="105"/>
        </w:rPr>
        <w:t>derivatives</w:t>
      </w:r>
      <w:r>
        <w:rPr>
          <w:spacing w:val="-3"/>
          <w:w w:val="105"/>
        </w:rPr>
        <w:t> </w:t>
      </w:r>
      <w:r>
        <w:rPr>
          <w:w w:val="105"/>
        </w:rPr>
        <w:t>are</w:t>
      </w:r>
      <w:r>
        <w:rPr>
          <w:spacing w:val="-3"/>
          <w:w w:val="105"/>
        </w:rPr>
        <w:t> </w:t>
      </w:r>
      <w:r>
        <w:rPr>
          <w:w w:val="105"/>
        </w:rPr>
        <w:t>recorded</w:t>
      </w:r>
      <w:r>
        <w:rPr>
          <w:spacing w:val="-3"/>
          <w:w w:val="105"/>
        </w:rPr>
        <w:t> </w:t>
      </w:r>
      <w:r>
        <w:rPr>
          <w:w w:val="105"/>
        </w:rPr>
        <w:t>at</w:t>
      </w:r>
      <w:r>
        <w:rPr>
          <w:spacing w:val="-3"/>
          <w:w w:val="105"/>
        </w:rPr>
        <w:t> </w:t>
      </w:r>
      <w:r>
        <w:rPr>
          <w:w w:val="105"/>
        </w:rPr>
        <w:t>fair</w:t>
      </w:r>
      <w:r>
        <w:rPr>
          <w:spacing w:val="-3"/>
          <w:w w:val="105"/>
        </w:rPr>
        <w:t> </w:t>
      </w:r>
      <w:r>
        <w:rPr>
          <w:w w:val="105"/>
        </w:rPr>
        <w:t>value</w:t>
      </w:r>
      <w:r>
        <w:rPr>
          <w:spacing w:val="-3"/>
          <w:w w:val="105"/>
        </w:rPr>
        <w:t> </w:t>
      </w:r>
      <w:r>
        <w:rPr>
          <w:w w:val="105"/>
        </w:rPr>
        <w:t>on</w:t>
      </w:r>
      <w:r>
        <w:rPr>
          <w:spacing w:val="-1"/>
          <w:w w:val="105"/>
        </w:rPr>
        <w:t> </w:t>
      </w:r>
      <w:r>
        <w:rPr>
          <w:w w:val="105"/>
        </w:rPr>
        <w:t>the</w:t>
      </w:r>
      <w:r>
        <w:rPr>
          <w:spacing w:val="-3"/>
          <w:w w:val="105"/>
        </w:rPr>
        <w:t> </w:t>
      </w:r>
      <w:r>
        <w:rPr>
          <w:w w:val="105"/>
        </w:rPr>
        <w:t>consolidated</w:t>
      </w:r>
      <w:r>
        <w:rPr>
          <w:spacing w:val="-3"/>
          <w:w w:val="105"/>
        </w:rPr>
        <w:t> </w:t>
      </w:r>
      <w:r>
        <w:rPr>
          <w:w w:val="105"/>
        </w:rPr>
        <w:t>balance</w:t>
      </w:r>
      <w:r>
        <w:rPr>
          <w:spacing w:val="-3"/>
          <w:w w:val="105"/>
        </w:rPr>
        <w:t> </w:t>
      </w:r>
      <w:r>
        <w:rPr>
          <w:w w:val="105"/>
        </w:rPr>
        <w:t>sheets.</w:t>
      </w:r>
      <w:r>
        <w:rPr>
          <w:spacing w:val="37"/>
          <w:w w:val="105"/>
        </w:rPr>
        <w:t> </w:t>
      </w:r>
      <w:r>
        <w:rPr>
          <w:w w:val="105"/>
        </w:rPr>
        <w:t>Changes</w:t>
      </w:r>
      <w:r>
        <w:rPr>
          <w:spacing w:val="-3"/>
          <w:w w:val="105"/>
        </w:rPr>
        <w:t> </w:t>
      </w:r>
      <w:r>
        <w:rPr>
          <w:w w:val="105"/>
        </w:rPr>
        <w:t>in</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of</w:t>
      </w:r>
      <w:r>
        <w:rPr>
          <w:spacing w:val="-3"/>
          <w:w w:val="105"/>
        </w:rPr>
        <w:t> </w:t>
      </w:r>
      <w:r>
        <w:rPr>
          <w:w w:val="105"/>
        </w:rPr>
        <w:t>derivatives</w:t>
      </w:r>
      <w:r>
        <w:rPr>
          <w:spacing w:val="-3"/>
          <w:w w:val="105"/>
        </w:rPr>
        <w:t> </w:t>
      </w:r>
      <w:r>
        <w:rPr>
          <w:w w:val="105"/>
        </w:rPr>
        <w:t>designated</w:t>
      </w:r>
      <w:r>
        <w:rPr>
          <w:spacing w:val="-3"/>
          <w:w w:val="105"/>
        </w:rPr>
        <w:t> </w:t>
      </w:r>
      <w:r>
        <w:rPr>
          <w:w w:val="105"/>
        </w:rPr>
        <w:t>as</w:t>
      </w:r>
      <w:r>
        <w:rPr>
          <w:spacing w:val="-3"/>
          <w:w w:val="105"/>
        </w:rPr>
        <w:t> </w:t>
      </w:r>
      <w:r>
        <w:rPr>
          <w:w w:val="105"/>
        </w:rPr>
        <w:t>cash</w:t>
      </w:r>
      <w:r>
        <w:rPr>
          <w:spacing w:val="-3"/>
          <w:w w:val="105"/>
        </w:rPr>
        <w:t> </w:t>
      </w:r>
      <w:r>
        <w:rPr>
          <w:w w:val="105"/>
        </w:rPr>
        <w:t>flow</w:t>
      </w:r>
      <w:r>
        <w:rPr>
          <w:spacing w:val="-3"/>
          <w:w w:val="105"/>
        </w:rPr>
        <w:t> </w:t>
      </w:r>
      <w:r>
        <w:rPr>
          <w:w w:val="105"/>
        </w:rPr>
        <w:t>hedges</w:t>
      </w:r>
      <w:r>
        <w:rPr>
          <w:spacing w:val="-3"/>
          <w:w w:val="105"/>
        </w:rPr>
        <w:t> </w:t>
      </w:r>
      <w:r>
        <w:rPr>
          <w:w w:val="105"/>
        </w:rPr>
        <w:t>and</w:t>
      </w:r>
      <w:r>
        <w:rPr>
          <w:spacing w:val="-3"/>
          <w:w w:val="105"/>
        </w:rPr>
        <w:t> </w:t>
      </w:r>
      <w:r>
        <w:rPr>
          <w:w w:val="105"/>
        </w:rPr>
        <w:t>hedges</w:t>
      </w:r>
      <w:r>
        <w:rPr>
          <w:spacing w:val="-3"/>
          <w:w w:val="105"/>
        </w:rPr>
        <w:t> </w:t>
      </w:r>
      <w:r>
        <w:rPr>
          <w:w w:val="105"/>
        </w:rPr>
        <w:t>of</w:t>
      </w:r>
      <w:r>
        <w:rPr>
          <w:spacing w:val="-3"/>
          <w:w w:val="105"/>
        </w:rPr>
        <w:t> </w:t>
      </w:r>
      <w:r>
        <w:rPr>
          <w:w w:val="105"/>
        </w:rPr>
        <w:t>net investments</w:t>
      </w:r>
      <w:r>
        <w:rPr>
          <w:spacing w:val="-3"/>
          <w:w w:val="105"/>
        </w:rPr>
        <w:t> </w:t>
      </w:r>
      <w:r>
        <w:rPr>
          <w:w w:val="105"/>
        </w:rPr>
        <w:t>in</w:t>
      </w:r>
      <w:r>
        <w:rPr>
          <w:spacing w:val="-3"/>
          <w:w w:val="105"/>
        </w:rPr>
        <w:t> </w:t>
      </w:r>
      <w:r>
        <w:rPr>
          <w:w w:val="105"/>
        </w:rPr>
        <w:t>foreign</w:t>
      </w:r>
      <w:r>
        <w:rPr>
          <w:spacing w:val="-3"/>
          <w:w w:val="105"/>
        </w:rPr>
        <w:t> </w:t>
      </w:r>
      <w:r>
        <w:rPr>
          <w:w w:val="105"/>
        </w:rPr>
        <w:t>operations</w:t>
      </w:r>
      <w:r>
        <w:rPr>
          <w:spacing w:val="-3"/>
          <w:w w:val="105"/>
        </w:rPr>
        <w:t> </w:t>
      </w:r>
      <w:r>
        <w:rPr>
          <w:w w:val="105"/>
        </w:rPr>
        <w:t>are</w:t>
      </w:r>
      <w:r>
        <w:rPr>
          <w:spacing w:val="-2"/>
          <w:w w:val="105"/>
        </w:rPr>
        <w:t> </w:t>
      </w:r>
      <w:r>
        <w:rPr>
          <w:w w:val="105"/>
        </w:rPr>
        <w:t>not</w:t>
      </w:r>
      <w:r>
        <w:rPr>
          <w:spacing w:val="-3"/>
          <w:w w:val="105"/>
        </w:rPr>
        <w:t> </w:t>
      </w:r>
      <w:r>
        <w:rPr>
          <w:w w:val="105"/>
        </w:rPr>
        <w:t>recognized</w:t>
      </w:r>
      <w:r>
        <w:rPr>
          <w:spacing w:val="-3"/>
          <w:w w:val="105"/>
        </w:rPr>
        <w:t> </w:t>
      </w:r>
      <w:r>
        <w:rPr>
          <w:w w:val="105"/>
        </w:rPr>
        <w:t>in</w:t>
      </w:r>
      <w:r>
        <w:rPr>
          <w:spacing w:val="-3"/>
          <w:w w:val="105"/>
        </w:rPr>
        <w:t> </w:t>
      </w:r>
      <w:r>
        <w:rPr>
          <w:w w:val="105"/>
        </w:rPr>
        <w:t>current</w:t>
      </w:r>
      <w:r>
        <w:rPr>
          <w:spacing w:val="-3"/>
          <w:w w:val="105"/>
        </w:rPr>
        <w:t> </w:t>
      </w:r>
      <w:r>
        <w:rPr>
          <w:w w:val="105"/>
        </w:rPr>
        <w:t>operating</w:t>
      </w:r>
      <w:r>
        <w:rPr>
          <w:spacing w:val="-3"/>
          <w:w w:val="105"/>
        </w:rPr>
        <w:t> </w:t>
      </w:r>
      <w:r>
        <w:rPr>
          <w:w w:val="105"/>
        </w:rPr>
        <w:t>results</w:t>
      </w:r>
      <w:r>
        <w:rPr>
          <w:spacing w:val="-3"/>
          <w:w w:val="105"/>
        </w:rPr>
        <w:t> </w:t>
      </w:r>
      <w:r>
        <w:rPr>
          <w:w w:val="105"/>
        </w:rPr>
        <w:t>but</w:t>
      </w:r>
      <w:r>
        <w:rPr>
          <w:spacing w:val="-3"/>
          <w:w w:val="105"/>
        </w:rPr>
        <w:t> </w:t>
      </w:r>
      <w:r>
        <w:rPr>
          <w:w w:val="105"/>
        </w:rPr>
        <w:t>are</w:t>
      </w:r>
      <w:r>
        <w:rPr>
          <w:spacing w:val="-1"/>
          <w:w w:val="105"/>
        </w:rPr>
        <w:t> </w:t>
      </w:r>
      <w:r>
        <w:rPr>
          <w:w w:val="105"/>
        </w:rPr>
        <w:t>recorded</w:t>
      </w:r>
      <w:r>
        <w:rPr>
          <w:spacing w:val="-3"/>
          <w:w w:val="105"/>
        </w:rPr>
        <w:t> </w:t>
      </w:r>
      <w:r>
        <w:rPr>
          <w:w w:val="105"/>
        </w:rPr>
        <w:t>in</w:t>
      </w:r>
      <w:r>
        <w:rPr>
          <w:spacing w:val="-3"/>
          <w:w w:val="105"/>
        </w:rPr>
        <w:t> </w:t>
      </w:r>
      <w:r>
        <w:rPr>
          <w:w w:val="105"/>
        </w:rPr>
        <w:t>accumulated</w:t>
      </w:r>
      <w:r>
        <w:rPr>
          <w:spacing w:val="-3"/>
          <w:w w:val="105"/>
        </w:rPr>
        <w:t> </w:t>
      </w:r>
      <w:r>
        <w:rPr>
          <w:w w:val="105"/>
        </w:rPr>
        <w:t>other</w:t>
      </w:r>
      <w:r>
        <w:rPr>
          <w:spacing w:val="-3"/>
          <w:w w:val="105"/>
        </w:rPr>
        <w:t> </w:t>
      </w:r>
      <w:r>
        <w:rPr>
          <w:w w:val="105"/>
        </w:rPr>
        <w:t>comprehensive</w:t>
      </w:r>
      <w:r>
        <w:rPr>
          <w:spacing w:val="-3"/>
          <w:w w:val="105"/>
        </w:rPr>
        <w:t> </w:t>
      </w:r>
      <w:r>
        <w:rPr>
          <w:w w:val="105"/>
        </w:rPr>
        <w:t>loss.</w:t>
      </w:r>
      <w:r>
        <w:rPr>
          <w:spacing w:val="37"/>
          <w:w w:val="105"/>
        </w:rPr>
        <w:t> </w:t>
      </w:r>
      <w:r>
        <w:rPr>
          <w:w w:val="105"/>
        </w:rPr>
        <w:t>Amounts</w:t>
      </w:r>
      <w:r>
        <w:rPr>
          <w:spacing w:val="-1"/>
          <w:w w:val="105"/>
        </w:rPr>
        <w:t> </w:t>
      </w:r>
      <w:r>
        <w:rPr>
          <w:w w:val="105"/>
        </w:rPr>
        <w:t>related</w:t>
      </w:r>
      <w:r>
        <w:rPr>
          <w:spacing w:val="-3"/>
          <w:w w:val="105"/>
        </w:rPr>
        <w:t> </w:t>
      </w:r>
      <w:r>
        <w:rPr>
          <w:w w:val="105"/>
        </w:rPr>
        <w:t>to</w:t>
      </w:r>
      <w:r>
        <w:rPr>
          <w:spacing w:val="-3"/>
          <w:w w:val="105"/>
        </w:rPr>
        <w:t> </w:t>
      </w:r>
      <w:r>
        <w:rPr>
          <w:w w:val="105"/>
        </w:rPr>
        <w:t>cash</w:t>
      </w:r>
      <w:r>
        <w:rPr>
          <w:spacing w:val="-3"/>
          <w:w w:val="105"/>
        </w:rPr>
        <w:t> </w:t>
      </w:r>
      <w:r>
        <w:rPr>
          <w:w w:val="105"/>
        </w:rPr>
        <w:t>flow hedges</w:t>
      </w:r>
      <w:r>
        <w:rPr>
          <w:spacing w:val="-2"/>
          <w:w w:val="105"/>
        </w:rPr>
        <w:t> </w:t>
      </w:r>
      <w:r>
        <w:rPr>
          <w:w w:val="105"/>
        </w:rPr>
        <w:t>are</w:t>
      </w:r>
      <w:r>
        <w:rPr>
          <w:spacing w:val="-2"/>
          <w:w w:val="105"/>
        </w:rPr>
        <w:t> </w:t>
      </w:r>
      <w:r>
        <w:rPr>
          <w:w w:val="105"/>
        </w:rPr>
        <w:t>reclassified</w:t>
      </w:r>
      <w:r>
        <w:rPr>
          <w:spacing w:val="-2"/>
          <w:w w:val="105"/>
        </w:rPr>
        <w:t> </w:t>
      </w:r>
      <w:r>
        <w:rPr>
          <w:w w:val="105"/>
        </w:rPr>
        <w:t>from</w:t>
      </w:r>
      <w:r>
        <w:rPr>
          <w:spacing w:val="-2"/>
          <w:w w:val="105"/>
        </w:rPr>
        <w:t> </w:t>
      </w:r>
      <w:r>
        <w:rPr>
          <w:w w:val="105"/>
        </w:rPr>
        <w:t>accumulated</w:t>
      </w:r>
      <w:r>
        <w:rPr>
          <w:spacing w:val="-2"/>
          <w:w w:val="105"/>
        </w:rPr>
        <w:t> </w:t>
      </w:r>
      <w:r>
        <w:rPr>
          <w:w w:val="105"/>
        </w:rPr>
        <w:t>other</w:t>
      </w:r>
      <w:r>
        <w:rPr>
          <w:spacing w:val="-2"/>
          <w:w w:val="105"/>
        </w:rPr>
        <w:t> </w:t>
      </w:r>
      <w:r>
        <w:rPr>
          <w:w w:val="105"/>
        </w:rPr>
        <w:t>comprehensive</w:t>
      </w:r>
      <w:r>
        <w:rPr>
          <w:spacing w:val="-2"/>
          <w:w w:val="105"/>
        </w:rPr>
        <w:t> </w:t>
      </w:r>
      <w:r>
        <w:rPr>
          <w:w w:val="105"/>
        </w:rPr>
        <w:t>loss</w:t>
      </w:r>
      <w:r>
        <w:rPr>
          <w:spacing w:val="-2"/>
          <w:w w:val="105"/>
        </w:rPr>
        <w:t> </w:t>
      </w:r>
      <w:r>
        <w:rPr>
          <w:w w:val="105"/>
        </w:rPr>
        <w:t>when</w:t>
      </w:r>
      <w:r>
        <w:rPr>
          <w:spacing w:val="-2"/>
          <w:w w:val="105"/>
        </w:rPr>
        <w:t> </w:t>
      </w:r>
      <w:r>
        <w:rPr>
          <w:w w:val="105"/>
        </w:rPr>
        <w:t>the</w:t>
      </w:r>
      <w:r>
        <w:rPr>
          <w:spacing w:val="-2"/>
          <w:w w:val="105"/>
        </w:rPr>
        <w:t> </w:t>
      </w:r>
      <w:r>
        <w:rPr>
          <w:w w:val="105"/>
        </w:rPr>
        <w:t>underlying</w:t>
      </w:r>
      <w:r>
        <w:rPr>
          <w:spacing w:val="-2"/>
          <w:w w:val="105"/>
        </w:rPr>
        <w:t> </w:t>
      </w:r>
      <w:r>
        <w:rPr>
          <w:w w:val="105"/>
        </w:rPr>
        <w:t>hedged</w:t>
      </w:r>
      <w:r>
        <w:rPr>
          <w:spacing w:val="-2"/>
          <w:w w:val="105"/>
        </w:rPr>
        <w:t> </w:t>
      </w:r>
      <w:r>
        <w:rPr>
          <w:w w:val="105"/>
        </w:rPr>
        <w:t>item</w:t>
      </w:r>
      <w:r>
        <w:rPr>
          <w:spacing w:val="-2"/>
          <w:w w:val="105"/>
        </w:rPr>
        <w:t> </w:t>
      </w:r>
      <w:r>
        <w:rPr>
          <w:w w:val="105"/>
        </w:rPr>
        <w:t>impacts</w:t>
      </w:r>
      <w:r>
        <w:rPr>
          <w:spacing w:val="-2"/>
          <w:w w:val="105"/>
        </w:rPr>
        <w:t> </w:t>
      </w:r>
      <w:r>
        <w:rPr>
          <w:w w:val="105"/>
        </w:rPr>
        <w:t>earnings.</w:t>
      </w:r>
      <w:r>
        <w:rPr>
          <w:spacing w:val="39"/>
          <w:w w:val="105"/>
        </w:rPr>
        <w:t> </w:t>
      </w:r>
      <w:r>
        <w:rPr>
          <w:w w:val="105"/>
        </w:rPr>
        <w:t>This</w:t>
      </w:r>
      <w:r>
        <w:rPr>
          <w:spacing w:val="-2"/>
          <w:w w:val="105"/>
        </w:rPr>
        <w:t> </w:t>
      </w:r>
      <w:r>
        <w:rPr>
          <w:w w:val="105"/>
        </w:rPr>
        <w:t>reclassification</w:t>
      </w:r>
      <w:r>
        <w:rPr>
          <w:spacing w:val="-2"/>
          <w:w w:val="105"/>
        </w:rPr>
        <w:t> </w:t>
      </w:r>
      <w:r>
        <w:rPr>
          <w:w w:val="105"/>
        </w:rPr>
        <w:t>is</w:t>
      </w:r>
      <w:r>
        <w:rPr>
          <w:spacing w:val="-2"/>
          <w:w w:val="105"/>
        </w:rPr>
        <w:t> </w:t>
      </w:r>
      <w:r>
        <w:rPr>
          <w:w w:val="105"/>
        </w:rPr>
        <w:t>recorded</w:t>
      </w:r>
      <w:r>
        <w:rPr>
          <w:spacing w:val="-2"/>
          <w:w w:val="105"/>
        </w:rPr>
        <w:t> </w:t>
      </w:r>
      <w:r>
        <w:rPr>
          <w:w w:val="105"/>
        </w:rPr>
        <w:t>in the</w:t>
      </w:r>
      <w:r>
        <w:rPr>
          <w:spacing w:val="-2"/>
          <w:w w:val="105"/>
        </w:rPr>
        <w:t> </w:t>
      </w:r>
      <w:r>
        <w:rPr>
          <w:w w:val="105"/>
        </w:rPr>
        <w:t>same</w:t>
      </w:r>
      <w:r>
        <w:rPr>
          <w:spacing w:val="-2"/>
          <w:w w:val="105"/>
        </w:rPr>
        <w:t> </w:t>
      </w:r>
      <w:r>
        <w:rPr>
          <w:w w:val="105"/>
        </w:rPr>
        <w:t>line item</w:t>
      </w:r>
      <w:r>
        <w:rPr>
          <w:spacing w:val="-7"/>
          <w:w w:val="105"/>
        </w:rPr>
        <w:t> </w:t>
      </w:r>
      <w:r>
        <w:rPr>
          <w:w w:val="105"/>
        </w:rPr>
        <w:t>of</w:t>
      </w:r>
      <w:r>
        <w:rPr>
          <w:spacing w:val="-7"/>
          <w:w w:val="105"/>
        </w:rPr>
        <w:t> </w:t>
      </w:r>
      <w:r>
        <w:rPr>
          <w:w w:val="105"/>
        </w:rPr>
        <w:t>the</w:t>
      </w:r>
      <w:r>
        <w:rPr>
          <w:spacing w:val="-7"/>
          <w:w w:val="105"/>
        </w:rPr>
        <w:t> </w:t>
      </w:r>
      <w:r>
        <w:rPr>
          <w:w w:val="105"/>
        </w:rPr>
        <w:t>consolidated</w:t>
      </w:r>
      <w:r>
        <w:rPr>
          <w:spacing w:val="-7"/>
          <w:w w:val="105"/>
        </w:rPr>
        <w:t> </w:t>
      </w:r>
      <w:r>
        <w:rPr>
          <w:w w:val="105"/>
        </w:rPr>
        <w:t>statements</w:t>
      </w:r>
      <w:r>
        <w:rPr>
          <w:spacing w:val="-7"/>
          <w:w w:val="105"/>
        </w:rPr>
        <w:t> </w:t>
      </w:r>
      <w:r>
        <w:rPr>
          <w:w w:val="105"/>
        </w:rPr>
        <w:t>of</w:t>
      </w:r>
      <w:r>
        <w:rPr>
          <w:spacing w:val="-7"/>
          <w:w w:val="105"/>
        </w:rPr>
        <w:t> </w:t>
      </w:r>
      <w:r>
        <w:rPr>
          <w:w w:val="105"/>
        </w:rPr>
        <w:t>income</w:t>
      </w:r>
      <w:r>
        <w:rPr>
          <w:spacing w:val="-7"/>
          <w:w w:val="105"/>
        </w:rPr>
        <w:t> </w:t>
      </w:r>
      <w:r>
        <w:rPr>
          <w:w w:val="105"/>
        </w:rPr>
        <w:t>where</w:t>
      </w:r>
      <w:r>
        <w:rPr>
          <w:spacing w:val="-7"/>
          <w:w w:val="105"/>
        </w:rPr>
        <w:t> </w:t>
      </w:r>
      <w:r>
        <w:rPr>
          <w:w w:val="105"/>
        </w:rPr>
        <w:t>the</w:t>
      </w:r>
      <w:r>
        <w:rPr>
          <w:spacing w:val="-7"/>
          <w:w w:val="105"/>
        </w:rPr>
        <w:t> </w:t>
      </w:r>
      <w:r>
        <w:rPr>
          <w:w w:val="105"/>
        </w:rPr>
        <w:t>underlying</w:t>
      </w:r>
      <w:r>
        <w:rPr>
          <w:spacing w:val="-7"/>
          <w:w w:val="105"/>
        </w:rPr>
        <w:t> </w:t>
      </w:r>
      <w:r>
        <w:rPr>
          <w:w w:val="105"/>
        </w:rPr>
        <w:t>hedging</w:t>
      </w:r>
      <w:r>
        <w:rPr>
          <w:spacing w:val="-7"/>
          <w:w w:val="105"/>
        </w:rPr>
        <w:t> </w:t>
      </w:r>
      <w:r>
        <w:rPr>
          <w:w w:val="105"/>
        </w:rPr>
        <w:t>transaction</w:t>
      </w:r>
      <w:r>
        <w:rPr>
          <w:spacing w:val="-7"/>
          <w:w w:val="105"/>
        </w:rPr>
        <w:t> </w:t>
      </w:r>
      <w:r>
        <w:rPr>
          <w:w w:val="105"/>
        </w:rPr>
        <w:t>was</w:t>
      </w:r>
      <w:r>
        <w:rPr>
          <w:spacing w:val="-7"/>
          <w:w w:val="105"/>
        </w:rPr>
        <w:t> </w:t>
      </w:r>
      <w:r>
        <w:rPr>
          <w:w w:val="105"/>
        </w:rPr>
        <w:t>recorded,</w:t>
      </w:r>
      <w:r>
        <w:rPr>
          <w:spacing w:val="-7"/>
          <w:w w:val="105"/>
        </w:rPr>
        <w:t> </w:t>
      </w:r>
      <w:r>
        <w:rPr>
          <w:w w:val="105"/>
        </w:rPr>
        <w:t>typically</w:t>
      </w:r>
      <w:r>
        <w:rPr>
          <w:spacing w:val="-7"/>
          <w:w w:val="105"/>
        </w:rPr>
        <w:t> </w:t>
      </w:r>
      <w:r>
        <w:rPr>
          <w:w w:val="105"/>
        </w:rPr>
        <w:t>sales,</w:t>
      </w:r>
      <w:r>
        <w:rPr>
          <w:spacing w:val="-7"/>
          <w:w w:val="105"/>
        </w:rPr>
        <w:t> </w:t>
      </w:r>
      <w:r>
        <w:rPr>
          <w:w w:val="105"/>
        </w:rPr>
        <w:t>cost</w:t>
      </w:r>
      <w:r>
        <w:rPr>
          <w:spacing w:val="-7"/>
          <w:w w:val="105"/>
        </w:rPr>
        <w:t> </w:t>
      </w:r>
      <w:r>
        <w:rPr>
          <w:w w:val="105"/>
        </w:rPr>
        <w:t>of</w:t>
      </w:r>
      <w:r>
        <w:rPr>
          <w:spacing w:val="-7"/>
          <w:w w:val="105"/>
        </w:rPr>
        <w:t> </w:t>
      </w:r>
      <w:r>
        <w:rPr>
          <w:w w:val="105"/>
        </w:rPr>
        <w:t>sales</w:t>
      </w:r>
      <w:r>
        <w:rPr>
          <w:spacing w:val="-7"/>
          <w:w w:val="105"/>
        </w:rPr>
        <w:t> </w:t>
      </w:r>
      <w:r>
        <w:rPr>
          <w:w w:val="105"/>
        </w:rPr>
        <w:t>or</w:t>
      </w:r>
      <w:r>
        <w:rPr>
          <w:spacing w:val="-7"/>
          <w:w w:val="105"/>
        </w:rPr>
        <w:t> </w:t>
      </w:r>
      <w:r>
        <w:rPr>
          <w:w w:val="105"/>
        </w:rPr>
        <w:t>other</w:t>
      </w:r>
      <w:r>
        <w:rPr>
          <w:spacing w:val="-7"/>
          <w:w w:val="105"/>
        </w:rPr>
        <w:t> </w:t>
      </w:r>
      <w:r>
        <w:rPr>
          <w:w w:val="105"/>
        </w:rPr>
        <w:t>income</w:t>
      </w:r>
      <w:r>
        <w:rPr>
          <w:spacing w:val="-7"/>
          <w:w w:val="105"/>
        </w:rPr>
        <w:t> </w:t>
      </w:r>
      <w:r>
        <w:rPr>
          <w:w w:val="105"/>
        </w:rPr>
        <w:t>(expense),</w:t>
      </w:r>
      <w:r>
        <w:rPr>
          <w:spacing w:val="-7"/>
          <w:w w:val="105"/>
        </w:rPr>
        <w:t> </w:t>
      </w:r>
      <w:r>
        <w:rPr>
          <w:w w:val="105"/>
        </w:rPr>
        <w:t>net.</w:t>
      </w:r>
      <w:r>
        <w:rPr>
          <w:spacing w:val="29"/>
          <w:w w:val="105"/>
        </w:rPr>
        <w:t> </w:t>
      </w:r>
      <w:r>
        <w:rPr>
          <w:w w:val="105"/>
        </w:rPr>
        <w:t>Changes in</w:t>
      </w:r>
      <w:r>
        <w:rPr>
          <w:spacing w:val="-8"/>
          <w:w w:val="105"/>
        </w:rPr>
        <w:t> </w:t>
      </w:r>
      <w:r>
        <w:rPr>
          <w:w w:val="105"/>
        </w:rPr>
        <w:t>the</w:t>
      </w:r>
      <w:r>
        <w:rPr>
          <w:spacing w:val="-8"/>
          <w:w w:val="105"/>
        </w:rPr>
        <w:t> </w:t>
      </w:r>
      <w:r>
        <w:rPr>
          <w:w w:val="105"/>
        </w:rPr>
        <w:t>fair</w:t>
      </w:r>
      <w:r>
        <w:rPr>
          <w:spacing w:val="-8"/>
          <w:w w:val="105"/>
        </w:rPr>
        <w:t> </w:t>
      </w:r>
      <w:r>
        <w:rPr>
          <w:w w:val="105"/>
        </w:rPr>
        <w:t>value</w:t>
      </w:r>
      <w:r>
        <w:rPr>
          <w:spacing w:val="-8"/>
          <w:w w:val="105"/>
        </w:rPr>
        <w:t> </w:t>
      </w:r>
      <w:r>
        <w:rPr>
          <w:w w:val="105"/>
        </w:rPr>
        <w:t>of</w:t>
      </w:r>
      <w:r>
        <w:rPr>
          <w:spacing w:val="-8"/>
          <w:w w:val="105"/>
        </w:rPr>
        <w:t> </w:t>
      </w:r>
      <w:r>
        <w:rPr>
          <w:w w:val="105"/>
        </w:rPr>
        <w:t>derivatives</w:t>
      </w:r>
      <w:r>
        <w:rPr>
          <w:spacing w:val="-7"/>
          <w:w w:val="105"/>
        </w:rPr>
        <w:t> </w:t>
      </w:r>
      <w:r>
        <w:rPr>
          <w:w w:val="105"/>
        </w:rPr>
        <w:t>not</w:t>
      </w:r>
      <w:r>
        <w:rPr>
          <w:spacing w:val="-8"/>
          <w:w w:val="105"/>
        </w:rPr>
        <w:t> </w:t>
      </w:r>
      <w:r>
        <w:rPr>
          <w:w w:val="105"/>
        </w:rPr>
        <w:t>designated</w:t>
      </w:r>
      <w:r>
        <w:rPr>
          <w:spacing w:val="-8"/>
          <w:w w:val="105"/>
        </w:rPr>
        <w:t> </w:t>
      </w:r>
      <w:r>
        <w:rPr>
          <w:w w:val="105"/>
        </w:rPr>
        <w:t>as</w:t>
      </w:r>
      <w:r>
        <w:rPr>
          <w:spacing w:val="-8"/>
          <w:w w:val="105"/>
        </w:rPr>
        <w:t> </w:t>
      </w:r>
      <w:r>
        <w:rPr>
          <w:w w:val="105"/>
        </w:rPr>
        <w:t>hedging</w:t>
      </w:r>
      <w:r>
        <w:rPr>
          <w:spacing w:val="-8"/>
          <w:w w:val="105"/>
        </w:rPr>
        <w:t> </w:t>
      </w:r>
      <w:r>
        <w:rPr>
          <w:w w:val="105"/>
        </w:rPr>
        <w:t>instruments</w:t>
      </w:r>
      <w:r>
        <w:rPr>
          <w:spacing w:val="-8"/>
          <w:w w:val="105"/>
        </w:rPr>
        <w:t> </w:t>
      </w:r>
      <w:r>
        <w:rPr>
          <w:w w:val="105"/>
        </w:rPr>
        <w:t>are</w:t>
      </w:r>
      <w:r>
        <w:rPr>
          <w:spacing w:val="-8"/>
          <w:w w:val="105"/>
        </w:rPr>
        <w:t> </w:t>
      </w:r>
      <w:r>
        <w:rPr>
          <w:w w:val="105"/>
        </w:rPr>
        <w:t>recorded</w:t>
      </w:r>
      <w:r>
        <w:rPr>
          <w:spacing w:val="-8"/>
          <w:w w:val="105"/>
        </w:rPr>
        <w:t> </w:t>
      </w:r>
      <w:r>
        <w:rPr>
          <w:w w:val="105"/>
        </w:rPr>
        <w:t>in</w:t>
      </w:r>
      <w:r>
        <w:rPr>
          <w:spacing w:val="-8"/>
          <w:w w:val="105"/>
        </w:rPr>
        <w:t> </w:t>
      </w:r>
      <w:r>
        <w:rPr>
          <w:w w:val="105"/>
        </w:rPr>
        <w:t>the</w:t>
      </w:r>
      <w:r>
        <w:rPr>
          <w:spacing w:val="-6"/>
          <w:w w:val="105"/>
        </w:rPr>
        <w:t> </w:t>
      </w:r>
      <w:r>
        <w:rPr>
          <w:w w:val="105"/>
        </w:rPr>
        <w:t>consolidated</w:t>
      </w:r>
      <w:r>
        <w:rPr>
          <w:spacing w:val="-8"/>
          <w:w w:val="105"/>
        </w:rPr>
        <w:t> </w:t>
      </w:r>
      <w:r>
        <w:rPr>
          <w:w w:val="105"/>
        </w:rPr>
        <w:t>statements</w:t>
      </w:r>
      <w:r>
        <w:rPr>
          <w:spacing w:val="-8"/>
          <w:w w:val="105"/>
        </w:rPr>
        <w:t> </w:t>
      </w:r>
      <w:r>
        <w:rPr>
          <w:w w:val="105"/>
        </w:rPr>
        <w:t>of</w:t>
      </w:r>
      <w:r>
        <w:rPr>
          <w:spacing w:val="-8"/>
          <w:w w:val="105"/>
        </w:rPr>
        <w:t> </w:t>
      </w:r>
      <w:r>
        <w:rPr>
          <w:w w:val="105"/>
        </w:rPr>
        <w:t>income</w:t>
      </w:r>
      <w:r>
        <w:rPr>
          <w:spacing w:val="-8"/>
          <w:w w:val="105"/>
        </w:rPr>
        <w:t> </w:t>
      </w:r>
      <w:r>
        <w:rPr>
          <w:w w:val="105"/>
        </w:rPr>
        <w:t>in</w:t>
      </w:r>
      <w:r>
        <w:rPr>
          <w:spacing w:val="-8"/>
          <w:w w:val="105"/>
        </w:rPr>
        <w:t> </w:t>
      </w:r>
      <w:r>
        <w:rPr>
          <w:w w:val="105"/>
        </w:rPr>
        <w:t>the</w:t>
      </w:r>
      <w:r>
        <w:rPr>
          <w:spacing w:val="-8"/>
          <w:w w:val="105"/>
        </w:rPr>
        <w:t> </w:t>
      </w:r>
      <w:r>
        <w:rPr>
          <w:w w:val="105"/>
        </w:rPr>
        <w:t>translated</w:t>
      </w:r>
      <w:r>
        <w:rPr>
          <w:spacing w:val="-8"/>
          <w:w w:val="105"/>
        </w:rPr>
        <w:t> </w:t>
      </w:r>
      <w:r>
        <w:rPr>
          <w:w w:val="105"/>
        </w:rPr>
        <w:t>earnings</w:t>
      </w:r>
      <w:r>
        <w:rPr>
          <w:spacing w:val="-8"/>
          <w:w w:val="105"/>
        </w:rPr>
        <w:t> </w:t>
      </w:r>
      <w:r>
        <w:rPr>
          <w:w w:val="105"/>
        </w:rPr>
        <w:t>contract</w:t>
      </w:r>
      <w:r>
        <w:rPr>
          <w:spacing w:val="-8"/>
          <w:w w:val="105"/>
        </w:rPr>
        <w:t> </w:t>
      </w:r>
      <w:r>
        <w:rPr>
          <w:w w:val="105"/>
        </w:rPr>
        <w:t>gain</w:t>
      </w:r>
      <w:r>
        <w:rPr>
          <w:spacing w:val="-8"/>
          <w:w w:val="105"/>
        </w:rPr>
        <w:t> </w:t>
      </w:r>
      <w:r>
        <w:rPr>
          <w:w w:val="105"/>
        </w:rPr>
        <w:t>(loss),</w:t>
      </w:r>
      <w:r>
        <w:rPr>
          <w:spacing w:val="-8"/>
          <w:w w:val="105"/>
        </w:rPr>
        <w:t> </w:t>
      </w:r>
      <w:r>
        <w:rPr>
          <w:w w:val="105"/>
        </w:rPr>
        <w:t>net and the other income (expense), net lines.</w:t>
      </w:r>
    </w:p>
    <w:p>
      <w:pPr>
        <w:pStyle w:val="BodyText"/>
        <w:spacing w:before="17"/>
      </w:pPr>
    </w:p>
    <w:p>
      <w:pPr>
        <w:pStyle w:val="Heading3"/>
      </w:pPr>
      <w:r>
        <w:rPr/>
        <w:t>New</w:t>
      </w:r>
      <w:r>
        <w:rPr>
          <w:spacing w:val="16"/>
        </w:rPr>
        <w:t> </w:t>
      </w:r>
      <w:r>
        <w:rPr/>
        <w:t>Accounting</w:t>
      </w:r>
      <w:r>
        <w:rPr>
          <w:spacing w:val="17"/>
        </w:rPr>
        <w:t> </w:t>
      </w:r>
      <w:r>
        <w:rPr>
          <w:spacing w:val="-2"/>
        </w:rPr>
        <w:t>Standards</w:t>
      </w:r>
    </w:p>
    <w:p>
      <w:pPr>
        <w:pStyle w:val="BodyText"/>
        <w:spacing w:before="39"/>
        <w:rPr>
          <w:b/>
          <w:i/>
        </w:rPr>
      </w:pPr>
    </w:p>
    <w:p>
      <w:pPr>
        <w:pStyle w:val="BodyText"/>
        <w:spacing w:line="266" w:lineRule="auto" w:before="1"/>
        <w:ind w:left="156" w:right="117"/>
      </w:pPr>
      <w:r>
        <w:rPr>
          <w:w w:val="105"/>
        </w:rPr>
        <w:t>During</w:t>
      </w:r>
      <w:r>
        <w:rPr>
          <w:spacing w:val="-9"/>
          <w:w w:val="105"/>
        </w:rPr>
        <w:t> </w:t>
      </w:r>
      <w:r>
        <w:rPr>
          <w:w w:val="105"/>
        </w:rPr>
        <w:t>the</w:t>
      </w:r>
      <w:r>
        <w:rPr>
          <w:spacing w:val="-9"/>
          <w:w w:val="105"/>
        </w:rPr>
        <w:t> </w:t>
      </w:r>
      <w:r>
        <w:rPr>
          <w:w w:val="105"/>
        </w:rPr>
        <w:t>first</w:t>
      </w:r>
      <w:r>
        <w:rPr>
          <w:spacing w:val="-8"/>
          <w:w w:val="105"/>
        </w:rPr>
        <w:t> </w:t>
      </w:r>
      <w:r>
        <w:rPr>
          <w:w w:val="105"/>
        </w:rPr>
        <w:t>quarter</w:t>
      </w:r>
      <w:r>
        <w:rPr>
          <w:spacing w:val="-9"/>
          <w:w w:val="105"/>
        </w:rPr>
        <w:t> </w:t>
      </w:r>
      <w:r>
        <w:rPr>
          <w:w w:val="105"/>
        </w:rPr>
        <w:t>of</w:t>
      </w:r>
      <w:r>
        <w:rPr>
          <w:spacing w:val="-8"/>
          <w:w w:val="105"/>
        </w:rPr>
        <w:t> </w:t>
      </w:r>
      <w:r>
        <w:rPr>
          <w:w w:val="105"/>
        </w:rPr>
        <w:t>2021,</w:t>
      </w:r>
      <w:r>
        <w:rPr>
          <w:spacing w:val="-9"/>
          <w:w w:val="105"/>
        </w:rPr>
        <w:t> </w:t>
      </w:r>
      <w:r>
        <w:rPr>
          <w:w w:val="105"/>
        </w:rPr>
        <w:t>Corning</w:t>
      </w:r>
      <w:r>
        <w:rPr>
          <w:spacing w:val="-9"/>
          <w:w w:val="105"/>
        </w:rPr>
        <w:t> </w:t>
      </w:r>
      <w:r>
        <w:rPr>
          <w:w w:val="105"/>
        </w:rPr>
        <w:t>early</w:t>
      </w:r>
      <w:r>
        <w:rPr>
          <w:spacing w:val="-9"/>
          <w:w w:val="105"/>
        </w:rPr>
        <w:t> </w:t>
      </w:r>
      <w:r>
        <w:rPr>
          <w:w w:val="105"/>
        </w:rPr>
        <w:t>adopted</w:t>
      </w:r>
      <w:r>
        <w:rPr>
          <w:spacing w:val="-9"/>
          <w:w w:val="105"/>
        </w:rPr>
        <w:t> </w:t>
      </w:r>
      <w:r>
        <w:rPr>
          <w:w w:val="105"/>
        </w:rPr>
        <w:t>ASU</w:t>
      </w:r>
      <w:r>
        <w:rPr>
          <w:spacing w:val="-8"/>
          <w:w w:val="105"/>
        </w:rPr>
        <w:t> </w:t>
      </w:r>
      <w:r>
        <w:rPr>
          <w:w w:val="105"/>
        </w:rPr>
        <w:t>2020-06.</w:t>
      </w:r>
      <w:r>
        <w:rPr>
          <w:spacing w:val="-9"/>
          <w:w w:val="105"/>
        </w:rPr>
        <w:t> </w:t>
      </w:r>
      <w:r>
        <w:rPr>
          <w:w w:val="105"/>
        </w:rPr>
        <w:t>This</w:t>
      </w:r>
      <w:r>
        <w:rPr>
          <w:spacing w:val="-9"/>
          <w:w w:val="105"/>
        </w:rPr>
        <w:t> </w:t>
      </w:r>
      <w:r>
        <w:rPr>
          <w:w w:val="105"/>
        </w:rPr>
        <w:t>simplifies</w:t>
      </w:r>
      <w:r>
        <w:rPr>
          <w:spacing w:val="-9"/>
          <w:w w:val="105"/>
        </w:rPr>
        <w:t> </w:t>
      </w:r>
      <w:r>
        <w:rPr>
          <w:w w:val="105"/>
        </w:rPr>
        <w:t>an</w:t>
      </w:r>
      <w:r>
        <w:rPr>
          <w:spacing w:val="-9"/>
          <w:w w:val="105"/>
        </w:rPr>
        <w:t> </w:t>
      </w:r>
      <w:r>
        <w:rPr>
          <w:w w:val="105"/>
        </w:rPr>
        <w:t>issuer’s</w:t>
      </w:r>
      <w:r>
        <w:rPr>
          <w:spacing w:val="-9"/>
          <w:w w:val="105"/>
        </w:rPr>
        <w:t> </w:t>
      </w:r>
      <w:r>
        <w:rPr>
          <w:w w:val="105"/>
        </w:rPr>
        <w:t>accounting</w:t>
      </w:r>
      <w:r>
        <w:rPr>
          <w:spacing w:val="-9"/>
          <w:w w:val="105"/>
        </w:rPr>
        <w:t> </w:t>
      </w:r>
      <w:r>
        <w:rPr>
          <w:w w:val="105"/>
        </w:rPr>
        <w:t>for</w:t>
      </w:r>
      <w:r>
        <w:rPr>
          <w:spacing w:val="-9"/>
          <w:w w:val="105"/>
        </w:rPr>
        <w:t> </w:t>
      </w:r>
      <w:r>
        <w:rPr>
          <w:w w:val="105"/>
        </w:rPr>
        <w:t>convertible</w:t>
      </w:r>
      <w:r>
        <w:rPr>
          <w:spacing w:val="-9"/>
          <w:w w:val="105"/>
        </w:rPr>
        <w:t> </w:t>
      </w:r>
      <w:r>
        <w:rPr>
          <w:w w:val="105"/>
        </w:rPr>
        <w:t>instruments</w:t>
      </w:r>
      <w:r>
        <w:rPr>
          <w:spacing w:val="-9"/>
          <w:w w:val="105"/>
        </w:rPr>
        <w:t> </w:t>
      </w:r>
      <w:r>
        <w:rPr>
          <w:w w:val="105"/>
        </w:rPr>
        <w:t>by</w:t>
      </w:r>
      <w:r>
        <w:rPr>
          <w:spacing w:val="-9"/>
          <w:w w:val="105"/>
        </w:rPr>
        <w:t> </w:t>
      </w:r>
      <w:r>
        <w:rPr>
          <w:w w:val="105"/>
        </w:rPr>
        <w:t>eliminating</w:t>
      </w:r>
      <w:r>
        <w:rPr>
          <w:spacing w:val="-9"/>
          <w:w w:val="105"/>
        </w:rPr>
        <w:t> </w:t>
      </w:r>
      <w:r>
        <w:rPr>
          <w:w w:val="105"/>
        </w:rPr>
        <w:t>separate</w:t>
      </w:r>
      <w:r>
        <w:rPr>
          <w:spacing w:val="-9"/>
          <w:w w:val="105"/>
        </w:rPr>
        <w:t> </w:t>
      </w:r>
      <w:r>
        <w:rPr>
          <w:w w:val="105"/>
        </w:rPr>
        <w:t>accounting for</w:t>
      </w:r>
      <w:r>
        <w:rPr>
          <w:spacing w:val="-2"/>
          <w:w w:val="105"/>
        </w:rPr>
        <w:t> </w:t>
      </w:r>
      <w:r>
        <w:rPr>
          <w:w w:val="105"/>
        </w:rPr>
        <w:t>beneficial</w:t>
      </w:r>
      <w:r>
        <w:rPr>
          <w:spacing w:val="-2"/>
          <w:w w:val="105"/>
        </w:rPr>
        <w:t> </w:t>
      </w:r>
      <w:r>
        <w:rPr>
          <w:w w:val="105"/>
        </w:rPr>
        <w:t>and</w:t>
      </w:r>
      <w:r>
        <w:rPr>
          <w:spacing w:val="-2"/>
          <w:w w:val="105"/>
        </w:rPr>
        <w:t> </w:t>
      </w:r>
      <w:r>
        <w:rPr>
          <w:w w:val="105"/>
        </w:rPr>
        <w:t>cash</w:t>
      </w:r>
      <w:r>
        <w:rPr>
          <w:spacing w:val="-2"/>
          <w:w w:val="105"/>
        </w:rPr>
        <w:t> </w:t>
      </w:r>
      <w:r>
        <w:rPr>
          <w:w w:val="105"/>
        </w:rPr>
        <w:t>conversion</w:t>
      </w:r>
      <w:r>
        <w:rPr>
          <w:spacing w:val="-2"/>
          <w:w w:val="105"/>
        </w:rPr>
        <w:t> </w:t>
      </w:r>
      <w:r>
        <w:rPr>
          <w:w w:val="105"/>
        </w:rPr>
        <w:t>features</w:t>
      </w:r>
      <w:r>
        <w:rPr>
          <w:spacing w:val="-2"/>
          <w:w w:val="105"/>
        </w:rPr>
        <w:t> </w:t>
      </w:r>
      <w:r>
        <w:rPr>
          <w:w w:val="105"/>
        </w:rPr>
        <w:t>under</w:t>
      </w:r>
      <w:r>
        <w:rPr>
          <w:spacing w:val="-2"/>
          <w:w w:val="105"/>
        </w:rPr>
        <w:t> </w:t>
      </w:r>
      <w:r>
        <w:rPr>
          <w:w w:val="105"/>
        </w:rPr>
        <w:t>ASC</w:t>
      </w:r>
      <w:r>
        <w:rPr>
          <w:spacing w:val="-1"/>
          <w:w w:val="105"/>
        </w:rPr>
        <w:t> </w:t>
      </w:r>
      <w:r>
        <w:rPr>
          <w:w w:val="105"/>
        </w:rPr>
        <w:t>470-20.</w:t>
      </w:r>
      <w:r>
        <w:rPr>
          <w:spacing w:val="-2"/>
          <w:w w:val="105"/>
        </w:rPr>
        <w:t> </w:t>
      </w:r>
      <w:r>
        <w:rPr>
          <w:w w:val="105"/>
        </w:rPr>
        <w:t>The</w:t>
      </w:r>
      <w:r>
        <w:rPr>
          <w:spacing w:val="-2"/>
          <w:w w:val="105"/>
        </w:rPr>
        <w:t> </w:t>
      </w:r>
      <w:r>
        <w:rPr>
          <w:w w:val="105"/>
        </w:rPr>
        <w:t>ASU</w:t>
      </w:r>
      <w:r>
        <w:rPr>
          <w:spacing w:val="-2"/>
          <w:w w:val="105"/>
        </w:rPr>
        <w:t> </w:t>
      </w:r>
      <w:r>
        <w:rPr>
          <w:w w:val="105"/>
        </w:rPr>
        <w:t>clarifies</w:t>
      </w:r>
      <w:r>
        <w:rPr>
          <w:spacing w:val="-4"/>
          <w:w w:val="105"/>
        </w:rPr>
        <w:t> </w:t>
      </w:r>
      <w:r>
        <w:rPr>
          <w:w w:val="105"/>
        </w:rPr>
        <w:t>the</w:t>
      </w:r>
      <w:r>
        <w:rPr>
          <w:spacing w:val="-2"/>
          <w:w w:val="105"/>
        </w:rPr>
        <w:t> </w:t>
      </w:r>
      <w:r>
        <w:rPr>
          <w:w w:val="105"/>
        </w:rPr>
        <w:t>settlement</w:t>
      </w:r>
      <w:r>
        <w:rPr>
          <w:spacing w:val="-2"/>
          <w:w w:val="105"/>
        </w:rPr>
        <w:t> </w:t>
      </w:r>
      <w:r>
        <w:rPr>
          <w:w w:val="105"/>
        </w:rPr>
        <w:t>assessment</w:t>
      </w:r>
      <w:r>
        <w:rPr>
          <w:spacing w:val="-2"/>
          <w:w w:val="105"/>
        </w:rPr>
        <w:t> </w:t>
      </w:r>
      <w:r>
        <w:rPr>
          <w:w w:val="105"/>
        </w:rPr>
        <w:t>that</w:t>
      </w:r>
      <w:r>
        <w:rPr>
          <w:spacing w:val="-4"/>
          <w:w w:val="105"/>
        </w:rPr>
        <w:t> </w:t>
      </w:r>
      <w:r>
        <w:rPr>
          <w:w w:val="105"/>
        </w:rPr>
        <w:t>entities</w:t>
      </w:r>
      <w:r>
        <w:rPr>
          <w:spacing w:val="-2"/>
          <w:w w:val="105"/>
        </w:rPr>
        <w:t> </w:t>
      </w:r>
      <w:r>
        <w:rPr>
          <w:w w:val="105"/>
        </w:rPr>
        <w:t>are</w:t>
      </w:r>
      <w:r>
        <w:rPr>
          <w:spacing w:val="-2"/>
          <w:w w:val="105"/>
        </w:rPr>
        <w:t> </w:t>
      </w:r>
      <w:r>
        <w:rPr>
          <w:w w:val="105"/>
        </w:rPr>
        <w:t>required</w:t>
      </w:r>
      <w:r>
        <w:rPr>
          <w:spacing w:val="-2"/>
          <w:w w:val="105"/>
        </w:rPr>
        <w:t> </w:t>
      </w:r>
      <w:r>
        <w:rPr>
          <w:w w:val="105"/>
        </w:rPr>
        <w:t>to</w:t>
      </w:r>
      <w:r>
        <w:rPr>
          <w:spacing w:val="-2"/>
          <w:w w:val="105"/>
        </w:rPr>
        <w:t> </w:t>
      </w:r>
      <w:r>
        <w:rPr>
          <w:w w:val="105"/>
        </w:rPr>
        <w:t>perform</w:t>
      </w:r>
      <w:r>
        <w:rPr>
          <w:spacing w:val="-4"/>
          <w:w w:val="105"/>
        </w:rPr>
        <w:t> </w:t>
      </w:r>
      <w:r>
        <w:rPr>
          <w:w w:val="105"/>
        </w:rPr>
        <w:t>to</w:t>
      </w:r>
      <w:r>
        <w:rPr>
          <w:spacing w:val="-2"/>
          <w:w w:val="105"/>
        </w:rPr>
        <w:t> </w:t>
      </w:r>
      <w:r>
        <w:rPr>
          <w:w w:val="105"/>
        </w:rPr>
        <w:t>determine</w:t>
      </w:r>
      <w:r>
        <w:rPr>
          <w:spacing w:val="-2"/>
          <w:w w:val="105"/>
        </w:rPr>
        <w:t> </w:t>
      </w:r>
      <w:r>
        <w:rPr>
          <w:w w:val="105"/>
        </w:rPr>
        <w:t>whether</w:t>
      </w:r>
      <w:r>
        <w:rPr>
          <w:spacing w:val="-2"/>
          <w:w w:val="105"/>
        </w:rPr>
        <w:t> </w:t>
      </w:r>
      <w:r>
        <w:rPr>
          <w:w w:val="105"/>
        </w:rPr>
        <w:t>a contract</w:t>
      </w:r>
      <w:r>
        <w:rPr>
          <w:spacing w:val="-7"/>
          <w:w w:val="105"/>
        </w:rPr>
        <w:t> </w:t>
      </w:r>
      <w:r>
        <w:rPr>
          <w:w w:val="105"/>
        </w:rPr>
        <w:t>qualifies</w:t>
      </w:r>
      <w:r>
        <w:rPr>
          <w:spacing w:val="-5"/>
          <w:w w:val="105"/>
        </w:rPr>
        <w:t> </w:t>
      </w:r>
      <w:r>
        <w:rPr>
          <w:w w:val="105"/>
        </w:rPr>
        <w:t>for</w:t>
      </w:r>
      <w:r>
        <w:rPr>
          <w:spacing w:val="-7"/>
          <w:w w:val="105"/>
        </w:rPr>
        <w:t> </w:t>
      </w:r>
      <w:r>
        <w:rPr>
          <w:w w:val="105"/>
        </w:rPr>
        <w:t>equity</w:t>
      </w:r>
      <w:r>
        <w:rPr>
          <w:spacing w:val="-7"/>
          <w:w w:val="105"/>
        </w:rPr>
        <w:t> </w:t>
      </w:r>
      <w:r>
        <w:rPr>
          <w:w w:val="105"/>
        </w:rPr>
        <w:t>classification</w:t>
      </w:r>
      <w:r>
        <w:rPr>
          <w:spacing w:val="-7"/>
          <w:w w:val="105"/>
        </w:rPr>
        <w:t> </w:t>
      </w:r>
      <w:r>
        <w:rPr>
          <w:w w:val="105"/>
        </w:rPr>
        <w:t>under</w:t>
      </w:r>
      <w:r>
        <w:rPr>
          <w:spacing w:val="-7"/>
          <w:w w:val="105"/>
        </w:rPr>
        <w:t> </w:t>
      </w:r>
      <w:r>
        <w:rPr>
          <w:w w:val="105"/>
        </w:rPr>
        <w:t>ASC</w:t>
      </w:r>
      <w:r>
        <w:rPr>
          <w:spacing w:val="-7"/>
          <w:w w:val="105"/>
        </w:rPr>
        <w:t> </w:t>
      </w:r>
      <w:r>
        <w:rPr>
          <w:w w:val="105"/>
        </w:rPr>
        <w:t>815-40.</w:t>
      </w:r>
      <w:r>
        <w:rPr>
          <w:spacing w:val="-7"/>
          <w:w w:val="105"/>
        </w:rPr>
        <w:t> </w:t>
      </w:r>
      <w:r>
        <w:rPr>
          <w:w w:val="105"/>
        </w:rPr>
        <w:t>Entities</w:t>
      </w:r>
      <w:r>
        <w:rPr>
          <w:spacing w:val="-7"/>
          <w:w w:val="105"/>
        </w:rPr>
        <w:t> </w:t>
      </w:r>
      <w:r>
        <w:rPr>
          <w:w w:val="105"/>
        </w:rPr>
        <w:t>are</w:t>
      </w:r>
      <w:r>
        <w:rPr>
          <w:spacing w:val="-7"/>
          <w:w w:val="105"/>
        </w:rPr>
        <w:t> </w:t>
      </w:r>
      <w:r>
        <w:rPr>
          <w:w w:val="105"/>
        </w:rPr>
        <w:t>required</w:t>
      </w:r>
      <w:r>
        <w:rPr>
          <w:spacing w:val="-7"/>
          <w:w w:val="105"/>
        </w:rPr>
        <w:t> </w:t>
      </w:r>
      <w:r>
        <w:rPr>
          <w:w w:val="105"/>
        </w:rPr>
        <w:t>to</w:t>
      </w:r>
      <w:r>
        <w:rPr>
          <w:spacing w:val="-7"/>
          <w:w w:val="105"/>
        </w:rPr>
        <w:t> </w:t>
      </w:r>
      <w:r>
        <w:rPr>
          <w:w w:val="105"/>
        </w:rPr>
        <w:t>use</w:t>
      </w:r>
      <w:r>
        <w:rPr>
          <w:spacing w:val="-7"/>
          <w:w w:val="105"/>
        </w:rPr>
        <w:t> </w:t>
      </w:r>
      <w:r>
        <w:rPr>
          <w:w w:val="105"/>
        </w:rPr>
        <w:t>the</w:t>
      </w:r>
      <w:r>
        <w:rPr>
          <w:spacing w:val="-7"/>
          <w:w w:val="105"/>
        </w:rPr>
        <w:t> </w:t>
      </w:r>
      <w:r>
        <w:rPr>
          <w:w w:val="105"/>
        </w:rPr>
        <w:t>if-converted</w:t>
      </w:r>
      <w:r>
        <w:rPr>
          <w:spacing w:val="-5"/>
          <w:w w:val="105"/>
        </w:rPr>
        <w:t> </w:t>
      </w:r>
      <w:r>
        <w:rPr>
          <w:w w:val="105"/>
        </w:rPr>
        <w:t>method</w:t>
      </w:r>
      <w:r>
        <w:rPr>
          <w:spacing w:val="-7"/>
          <w:w w:val="105"/>
        </w:rPr>
        <w:t> </w:t>
      </w:r>
      <w:r>
        <w:rPr>
          <w:w w:val="105"/>
        </w:rPr>
        <w:t>for</w:t>
      </w:r>
      <w:r>
        <w:rPr>
          <w:spacing w:val="-7"/>
          <w:w w:val="105"/>
        </w:rPr>
        <w:t> </w:t>
      </w:r>
      <w:r>
        <w:rPr>
          <w:w w:val="105"/>
        </w:rPr>
        <w:t>all</w:t>
      </w:r>
      <w:r>
        <w:rPr>
          <w:spacing w:val="-7"/>
          <w:w w:val="105"/>
        </w:rPr>
        <w:t> </w:t>
      </w:r>
      <w:r>
        <w:rPr>
          <w:w w:val="105"/>
        </w:rPr>
        <w:t>convertible</w:t>
      </w:r>
      <w:r>
        <w:rPr>
          <w:spacing w:val="-7"/>
          <w:w w:val="105"/>
        </w:rPr>
        <w:t> </w:t>
      </w:r>
      <w:r>
        <w:rPr>
          <w:w w:val="105"/>
        </w:rPr>
        <w:t>instruments</w:t>
      </w:r>
      <w:r>
        <w:rPr>
          <w:spacing w:val="-7"/>
          <w:w w:val="105"/>
        </w:rPr>
        <w:t> </w:t>
      </w:r>
      <w:r>
        <w:rPr>
          <w:w w:val="105"/>
        </w:rPr>
        <w:t>in</w:t>
      </w:r>
      <w:r>
        <w:rPr>
          <w:spacing w:val="-7"/>
          <w:w w:val="105"/>
        </w:rPr>
        <w:t> </w:t>
      </w:r>
      <w:r>
        <w:rPr>
          <w:w w:val="105"/>
        </w:rPr>
        <w:t>the</w:t>
      </w:r>
      <w:r>
        <w:rPr>
          <w:spacing w:val="-7"/>
          <w:w w:val="105"/>
        </w:rPr>
        <w:t> </w:t>
      </w:r>
      <w:r>
        <w:rPr>
          <w:w w:val="105"/>
        </w:rPr>
        <w:t>diluted</w:t>
      </w:r>
      <w:r>
        <w:rPr>
          <w:spacing w:val="-7"/>
          <w:w w:val="105"/>
        </w:rPr>
        <w:t> </w:t>
      </w:r>
      <w:r>
        <w:rPr>
          <w:w w:val="105"/>
        </w:rPr>
        <w:t>earnings</w:t>
      </w:r>
      <w:r>
        <w:rPr>
          <w:spacing w:val="-7"/>
          <w:w w:val="105"/>
        </w:rPr>
        <w:t> </w:t>
      </w:r>
      <w:r>
        <w:rPr>
          <w:w w:val="105"/>
        </w:rPr>
        <w:t>per share</w:t>
      </w:r>
      <w:r>
        <w:rPr>
          <w:spacing w:val="-2"/>
          <w:w w:val="105"/>
        </w:rPr>
        <w:t> </w:t>
      </w:r>
      <w:r>
        <w:rPr>
          <w:w w:val="105"/>
        </w:rPr>
        <w:t>calculation,</w:t>
      </w:r>
      <w:r>
        <w:rPr>
          <w:spacing w:val="-2"/>
          <w:w w:val="105"/>
        </w:rPr>
        <w:t> </w:t>
      </w:r>
      <w:r>
        <w:rPr>
          <w:w w:val="105"/>
        </w:rPr>
        <w:t>to</w:t>
      </w:r>
      <w:r>
        <w:rPr>
          <w:spacing w:val="-2"/>
          <w:w w:val="105"/>
        </w:rPr>
        <w:t> </w:t>
      </w:r>
      <w:r>
        <w:rPr>
          <w:w w:val="105"/>
        </w:rPr>
        <w:t>include</w:t>
      </w:r>
      <w:r>
        <w:rPr>
          <w:spacing w:val="-2"/>
          <w:w w:val="105"/>
        </w:rPr>
        <w:t> </w:t>
      </w:r>
      <w:r>
        <w:rPr>
          <w:w w:val="105"/>
        </w:rPr>
        <w:t>the</w:t>
      </w:r>
      <w:r>
        <w:rPr>
          <w:spacing w:val="-2"/>
          <w:w w:val="105"/>
        </w:rPr>
        <w:t> </w:t>
      </w:r>
      <w:r>
        <w:rPr>
          <w:w w:val="105"/>
        </w:rPr>
        <w:t>effect</w:t>
      </w:r>
      <w:r>
        <w:rPr>
          <w:spacing w:val="-2"/>
          <w:w w:val="105"/>
        </w:rPr>
        <w:t> </w:t>
      </w:r>
      <w:r>
        <w:rPr>
          <w:w w:val="105"/>
        </w:rPr>
        <w:t>of</w:t>
      </w:r>
      <w:r>
        <w:rPr>
          <w:spacing w:val="-2"/>
          <w:w w:val="105"/>
        </w:rPr>
        <w:t> </w:t>
      </w:r>
      <w:r>
        <w:rPr>
          <w:w w:val="105"/>
        </w:rPr>
        <w:t>potential</w:t>
      </w:r>
      <w:r>
        <w:rPr>
          <w:spacing w:val="-2"/>
          <w:w w:val="105"/>
        </w:rPr>
        <w:t> </w:t>
      </w:r>
      <w:r>
        <w:rPr>
          <w:w w:val="105"/>
        </w:rPr>
        <w:t>share</w:t>
      </w:r>
      <w:r>
        <w:rPr>
          <w:spacing w:val="-4"/>
          <w:w w:val="105"/>
        </w:rPr>
        <w:t> </w:t>
      </w:r>
      <w:r>
        <w:rPr>
          <w:w w:val="105"/>
        </w:rPr>
        <w:t>settlement</w:t>
      </w:r>
      <w:r>
        <w:rPr>
          <w:spacing w:val="-2"/>
          <w:w w:val="105"/>
        </w:rPr>
        <w:t> </w:t>
      </w:r>
      <w:r>
        <w:rPr>
          <w:w w:val="105"/>
        </w:rPr>
        <w:t>if</w:t>
      </w:r>
      <w:r>
        <w:rPr>
          <w:spacing w:val="-2"/>
          <w:w w:val="105"/>
        </w:rPr>
        <w:t> </w:t>
      </w:r>
      <w:r>
        <w:rPr>
          <w:w w:val="105"/>
        </w:rPr>
        <w:t>the</w:t>
      </w:r>
      <w:r>
        <w:rPr>
          <w:spacing w:val="-2"/>
          <w:w w:val="105"/>
        </w:rPr>
        <w:t> </w:t>
      </w:r>
      <w:r>
        <w:rPr>
          <w:w w:val="105"/>
        </w:rPr>
        <w:t>effect</w:t>
      </w:r>
      <w:r>
        <w:rPr>
          <w:spacing w:val="-2"/>
          <w:w w:val="105"/>
        </w:rPr>
        <w:t> </w:t>
      </w:r>
      <w:r>
        <w:rPr>
          <w:w w:val="105"/>
        </w:rPr>
        <w:t>is</w:t>
      </w:r>
      <w:r>
        <w:rPr>
          <w:spacing w:val="-2"/>
          <w:w w:val="105"/>
        </w:rPr>
        <w:t> </w:t>
      </w:r>
      <w:r>
        <w:rPr>
          <w:w w:val="105"/>
        </w:rPr>
        <w:t>more</w:t>
      </w:r>
      <w:r>
        <w:rPr>
          <w:spacing w:val="-2"/>
          <w:w w:val="105"/>
        </w:rPr>
        <w:t> </w:t>
      </w:r>
      <w:r>
        <w:rPr>
          <w:w w:val="105"/>
        </w:rPr>
        <w:t>dilutive,</w:t>
      </w:r>
      <w:r>
        <w:rPr>
          <w:spacing w:val="-2"/>
          <w:w w:val="105"/>
        </w:rPr>
        <w:t> </w:t>
      </w:r>
      <w:r>
        <w:rPr>
          <w:w w:val="105"/>
        </w:rPr>
        <w:t>for</w:t>
      </w:r>
      <w:r>
        <w:rPr>
          <w:spacing w:val="-2"/>
          <w:w w:val="105"/>
        </w:rPr>
        <w:t> </w:t>
      </w:r>
      <w:r>
        <w:rPr>
          <w:w w:val="105"/>
        </w:rPr>
        <w:t>instruments</w:t>
      </w:r>
      <w:r>
        <w:rPr>
          <w:spacing w:val="-2"/>
          <w:w w:val="105"/>
        </w:rPr>
        <w:t> </w:t>
      </w:r>
      <w:r>
        <w:rPr>
          <w:w w:val="105"/>
        </w:rPr>
        <w:t>that</w:t>
      </w:r>
      <w:r>
        <w:rPr>
          <w:spacing w:val="-5"/>
          <w:w w:val="105"/>
        </w:rPr>
        <w:t> </w:t>
      </w:r>
      <w:r>
        <w:rPr>
          <w:w w:val="105"/>
        </w:rPr>
        <w:t>may</w:t>
      </w:r>
      <w:r>
        <w:rPr>
          <w:spacing w:val="-2"/>
          <w:w w:val="105"/>
        </w:rPr>
        <w:t> </w:t>
      </w:r>
      <w:r>
        <w:rPr>
          <w:w w:val="105"/>
        </w:rPr>
        <w:t>be</w:t>
      </w:r>
      <w:r>
        <w:rPr>
          <w:spacing w:val="-2"/>
          <w:w w:val="105"/>
        </w:rPr>
        <w:t> </w:t>
      </w:r>
      <w:r>
        <w:rPr>
          <w:w w:val="105"/>
        </w:rPr>
        <w:t>settled</w:t>
      </w:r>
      <w:r>
        <w:rPr>
          <w:spacing w:val="-2"/>
          <w:w w:val="105"/>
        </w:rPr>
        <w:t> </w:t>
      </w:r>
      <w:r>
        <w:rPr>
          <w:w w:val="105"/>
        </w:rPr>
        <w:t>in</w:t>
      </w:r>
      <w:r>
        <w:rPr>
          <w:spacing w:val="-2"/>
          <w:w w:val="105"/>
        </w:rPr>
        <w:t> </w:t>
      </w:r>
      <w:r>
        <w:rPr>
          <w:w w:val="105"/>
        </w:rPr>
        <w:t>cash</w:t>
      </w:r>
      <w:r>
        <w:rPr>
          <w:spacing w:val="-2"/>
          <w:w w:val="105"/>
        </w:rPr>
        <w:t> </w:t>
      </w:r>
      <w:r>
        <w:rPr>
          <w:w w:val="105"/>
        </w:rPr>
        <w:t>or</w:t>
      </w:r>
      <w:r>
        <w:rPr>
          <w:spacing w:val="-2"/>
          <w:w w:val="105"/>
        </w:rPr>
        <w:t> </w:t>
      </w:r>
      <w:r>
        <w:rPr>
          <w:w w:val="105"/>
        </w:rPr>
        <w:t>shares</w:t>
      </w:r>
      <w:r>
        <w:rPr>
          <w:spacing w:val="-2"/>
          <w:w w:val="105"/>
        </w:rPr>
        <w:t> </w:t>
      </w:r>
      <w:r>
        <w:rPr>
          <w:w w:val="105"/>
        </w:rPr>
        <w:t>under</w:t>
      </w:r>
      <w:r>
        <w:rPr>
          <w:spacing w:val="-2"/>
          <w:w w:val="105"/>
        </w:rPr>
        <w:t> </w:t>
      </w:r>
      <w:r>
        <w:rPr>
          <w:w w:val="105"/>
        </w:rPr>
        <w:t>ASC</w:t>
      </w:r>
      <w:r>
        <w:rPr>
          <w:spacing w:val="-2"/>
          <w:w w:val="105"/>
        </w:rPr>
        <w:t> </w:t>
      </w:r>
      <w:r>
        <w:rPr>
          <w:w w:val="105"/>
        </w:rPr>
        <w:t>260.</w:t>
      </w:r>
      <w:r>
        <w:rPr>
          <w:spacing w:val="-2"/>
          <w:w w:val="105"/>
        </w:rPr>
        <w:t> </w:t>
      </w:r>
      <w:r>
        <w:rPr>
          <w:w w:val="105"/>
        </w:rPr>
        <w:t>The adoption</w:t>
      </w:r>
      <w:r>
        <w:rPr>
          <w:spacing w:val="-1"/>
          <w:w w:val="105"/>
        </w:rPr>
        <w:t> </w:t>
      </w:r>
      <w:r>
        <w:rPr>
          <w:w w:val="105"/>
        </w:rPr>
        <w:t>of</w:t>
      </w:r>
      <w:r>
        <w:rPr>
          <w:spacing w:val="-1"/>
          <w:w w:val="105"/>
        </w:rPr>
        <w:t> </w:t>
      </w:r>
      <w:r>
        <w:rPr>
          <w:w w:val="105"/>
        </w:rPr>
        <w:t>ASU</w:t>
      </w:r>
      <w:r>
        <w:rPr>
          <w:spacing w:val="-1"/>
          <w:w w:val="105"/>
        </w:rPr>
        <w:t> </w:t>
      </w:r>
      <w:r>
        <w:rPr>
          <w:w w:val="105"/>
        </w:rPr>
        <w:t>2020-06</w:t>
      </w:r>
      <w:r>
        <w:rPr>
          <w:spacing w:val="-1"/>
          <w:w w:val="105"/>
        </w:rPr>
        <w:t> </w:t>
      </w:r>
      <w:r>
        <w:rPr>
          <w:w w:val="105"/>
        </w:rPr>
        <w:t>did</w:t>
      </w:r>
      <w:r>
        <w:rPr>
          <w:spacing w:val="-1"/>
          <w:w w:val="105"/>
        </w:rPr>
        <w:t> </w:t>
      </w:r>
      <w:r>
        <w:rPr>
          <w:w w:val="105"/>
        </w:rPr>
        <w:t>not</w:t>
      </w:r>
      <w:r>
        <w:rPr>
          <w:spacing w:val="-1"/>
          <w:w w:val="105"/>
        </w:rPr>
        <w:t> </w:t>
      </w:r>
      <w:r>
        <w:rPr>
          <w:w w:val="105"/>
        </w:rPr>
        <w:t>have</w:t>
      </w:r>
      <w:r>
        <w:rPr>
          <w:spacing w:val="-1"/>
          <w:w w:val="105"/>
        </w:rPr>
        <w:t> </w:t>
      </w:r>
      <w:r>
        <w:rPr>
          <w:w w:val="105"/>
        </w:rPr>
        <w:t>a</w:t>
      </w:r>
      <w:r>
        <w:rPr>
          <w:spacing w:val="-1"/>
          <w:w w:val="105"/>
        </w:rPr>
        <w:t> </w:t>
      </w:r>
      <w:r>
        <w:rPr>
          <w:w w:val="105"/>
        </w:rPr>
        <w:t>one-time</w:t>
      </w:r>
      <w:r>
        <w:rPr>
          <w:spacing w:val="-1"/>
          <w:w w:val="105"/>
        </w:rPr>
        <w:t> </w:t>
      </w:r>
      <w:r>
        <w:rPr>
          <w:w w:val="105"/>
        </w:rPr>
        <w:t>impact</w:t>
      </w:r>
      <w:r>
        <w:rPr>
          <w:spacing w:val="-1"/>
          <w:w w:val="105"/>
        </w:rPr>
        <w:t> </w:t>
      </w:r>
      <w:r>
        <w:rPr>
          <w:w w:val="105"/>
        </w:rPr>
        <w:t>on</w:t>
      </w:r>
      <w:r>
        <w:rPr>
          <w:spacing w:val="-1"/>
          <w:w w:val="105"/>
        </w:rPr>
        <w:t> </w:t>
      </w:r>
      <w:r>
        <w:rPr>
          <w:w w:val="105"/>
        </w:rPr>
        <w:t>Corning’s consolidated</w:t>
      </w:r>
      <w:r>
        <w:rPr>
          <w:spacing w:val="-1"/>
          <w:w w:val="105"/>
        </w:rPr>
        <w:t> </w:t>
      </w:r>
      <w:r>
        <w:rPr>
          <w:w w:val="105"/>
        </w:rPr>
        <w:t>financial</w:t>
      </w:r>
      <w:r>
        <w:rPr>
          <w:spacing w:val="-1"/>
          <w:w w:val="105"/>
        </w:rPr>
        <w:t> </w:t>
      </w:r>
      <w:r>
        <w:rPr>
          <w:w w:val="105"/>
        </w:rPr>
        <w:t>statements</w:t>
      </w:r>
      <w:r>
        <w:rPr>
          <w:spacing w:val="-1"/>
          <w:w w:val="105"/>
        </w:rPr>
        <w:t> </w:t>
      </w:r>
      <w:r>
        <w:rPr>
          <w:w w:val="105"/>
        </w:rPr>
        <w:t>as</w:t>
      </w:r>
      <w:r>
        <w:rPr>
          <w:spacing w:val="-1"/>
          <w:w w:val="105"/>
        </w:rPr>
        <w:t> </w:t>
      </w:r>
      <w:r>
        <w:rPr>
          <w:w w:val="105"/>
        </w:rPr>
        <w:t>of January</w:t>
      </w:r>
      <w:r>
        <w:rPr>
          <w:spacing w:val="-1"/>
          <w:w w:val="105"/>
        </w:rPr>
        <w:t> </w:t>
      </w:r>
      <w:r>
        <w:rPr>
          <w:w w:val="105"/>
        </w:rPr>
        <w:t>1,</w:t>
      </w:r>
      <w:r>
        <w:rPr>
          <w:spacing w:val="-1"/>
          <w:w w:val="105"/>
        </w:rPr>
        <w:t> </w:t>
      </w:r>
      <w:r>
        <w:rPr>
          <w:w w:val="105"/>
        </w:rPr>
        <w:t>2021.</w:t>
      </w:r>
    </w:p>
    <w:p>
      <w:pPr>
        <w:pStyle w:val="BodyText"/>
        <w:spacing w:before="17"/>
      </w:pPr>
    </w:p>
    <w:p>
      <w:pPr>
        <w:pStyle w:val="BodyText"/>
        <w:ind w:left="48"/>
        <w:jc w:val="center"/>
      </w:pPr>
      <w:r>
        <w:rPr>
          <w:spacing w:val="-5"/>
          <w:w w:val="105"/>
        </w:rPr>
        <w:t>75</w:t>
      </w:r>
    </w:p>
    <w:p>
      <w:pPr>
        <w:pStyle w:val="BodyText"/>
        <w:rPr>
          <w:sz w:val="6"/>
        </w:rPr>
      </w:pPr>
      <w:r>
        <w:rPr/>
        <mc:AlternateContent>
          <mc:Choice Requires="wps">
            <w:drawing>
              <wp:anchor distT="0" distB="0" distL="0" distR="0" allowOverlap="1" layoutInCell="1" locked="0" behindDoc="1" simplePos="0" relativeHeight="487673344">
                <wp:simplePos x="0" y="0"/>
                <wp:positionH relativeFrom="page">
                  <wp:posOffset>226488</wp:posOffset>
                </wp:positionH>
                <wp:positionV relativeFrom="paragraph">
                  <wp:posOffset>59051</wp:posOffset>
                </wp:positionV>
                <wp:extent cx="7312659" cy="16510"/>
                <wp:effectExtent l="0" t="0" r="0" b="0"/>
                <wp:wrapTopAndBottom/>
                <wp:docPr id="303" name="Graphic 303"/>
                <wp:cNvGraphicFramePr>
                  <a:graphicFrameLocks/>
                </wp:cNvGraphicFramePr>
                <a:graphic>
                  <a:graphicData uri="http://schemas.microsoft.com/office/word/2010/wordprocessingShape">
                    <wps:wsp>
                      <wps:cNvPr id="303" name="Graphic 303"/>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43136;mso-wrap-distance-left:0;mso-wrap-distance-right:0" id="docshape302"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numPr>
          <w:ilvl w:val="0"/>
          <w:numId w:val="36"/>
        </w:numPr>
        <w:tabs>
          <w:tab w:pos="362" w:val="left" w:leader="none"/>
        </w:tabs>
        <w:spacing w:line="240" w:lineRule="auto" w:before="0" w:after="0"/>
        <w:ind w:left="362" w:right="0" w:hanging="206"/>
        <w:jc w:val="left"/>
      </w:pPr>
      <w:r>
        <w:rPr/>
        <w:t>Summary</w:t>
      </w:r>
      <w:r>
        <w:rPr>
          <w:spacing w:val="16"/>
        </w:rPr>
        <w:t> </w:t>
      </w:r>
      <w:r>
        <w:rPr/>
        <w:t>of</w:t>
      </w:r>
      <w:r>
        <w:rPr>
          <w:spacing w:val="17"/>
        </w:rPr>
        <w:t> </w:t>
      </w:r>
      <w:r>
        <w:rPr/>
        <w:t>Significant</w:t>
      </w:r>
      <w:r>
        <w:rPr>
          <w:spacing w:val="17"/>
        </w:rPr>
        <w:t> </w:t>
      </w:r>
      <w:r>
        <w:rPr/>
        <w:t>Accounting</w:t>
      </w:r>
      <w:r>
        <w:rPr>
          <w:spacing w:val="16"/>
        </w:rPr>
        <w:t> </w:t>
      </w:r>
      <w:r>
        <w:rPr/>
        <w:t>Policies</w:t>
      </w:r>
      <w:r>
        <w:rPr>
          <w:spacing w:val="17"/>
        </w:rPr>
        <w:t> </w:t>
      </w:r>
      <w:r>
        <w:rPr>
          <w:spacing w:val="-2"/>
        </w:rPr>
        <w:t>(Continued)</w:t>
      </w:r>
    </w:p>
    <w:p>
      <w:pPr>
        <w:pStyle w:val="BodyText"/>
        <w:spacing w:before="40"/>
        <w:rPr>
          <w:b/>
        </w:rPr>
      </w:pPr>
    </w:p>
    <w:p>
      <w:pPr>
        <w:pStyle w:val="BodyText"/>
        <w:spacing w:line="266" w:lineRule="auto"/>
        <w:ind w:left="156"/>
      </w:pPr>
      <w:r>
        <w:rPr>
          <w:w w:val="105"/>
        </w:rPr>
        <w:t>In</w:t>
      </w:r>
      <w:r>
        <w:rPr>
          <w:spacing w:val="-10"/>
          <w:w w:val="105"/>
        </w:rPr>
        <w:t> </w:t>
      </w:r>
      <w:r>
        <w:rPr>
          <w:w w:val="105"/>
        </w:rPr>
        <w:t>November</w:t>
      </w:r>
      <w:r>
        <w:rPr>
          <w:spacing w:val="-10"/>
          <w:w w:val="105"/>
        </w:rPr>
        <w:t> </w:t>
      </w:r>
      <w:r>
        <w:rPr>
          <w:w w:val="105"/>
        </w:rPr>
        <w:t>2021,</w:t>
      </w:r>
      <w:r>
        <w:rPr>
          <w:spacing w:val="-10"/>
          <w:w w:val="105"/>
        </w:rPr>
        <w:t> </w:t>
      </w:r>
      <w:r>
        <w:rPr>
          <w:w w:val="105"/>
        </w:rPr>
        <w:t>the</w:t>
      </w:r>
      <w:r>
        <w:rPr>
          <w:spacing w:val="-10"/>
          <w:w w:val="105"/>
        </w:rPr>
        <w:t> </w:t>
      </w:r>
      <w:r>
        <w:rPr>
          <w:w w:val="105"/>
        </w:rPr>
        <w:t>FASB</w:t>
      </w:r>
      <w:r>
        <w:rPr>
          <w:spacing w:val="-10"/>
          <w:w w:val="105"/>
        </w:rPr>
        <w:t> </w:t>
      </w:r>
      <w:r>
        <w:rPr>
          <w:w w:val="105"/>
        </w:rPr>
        <w:t>issued</w:t>
      </w:r>
      <w:r>
        <w:rPr>
          <w:spacing w:val="-10"/>
          <w:w w:val="105"/>
        </w:rPr>
        <w:t> </w:t>
      </w:r>
      <w:r>
        <w:rPr>
          <w:w w:val="105"/>
        </w:rPr>
        <w:t>ASU</w:t>
      </w:r>
      <w:r>
        <w:rPr>
          <w:spacing w:val="-10"/>
          <w:w w:val="105"/>
        </w:rPr>
        <w:t> </w:t>
      </w:r>
      <w:r>
        <w:rPr>
          <w:w w:val="105"/>
        </w:rPr>
        <w:t>2021-10</w:t>
      </w:r>
      <w:r>
        <w:rPr>
          <w:spacing w:val="-10"/>
          <w:w w:val="105"/>
        </w:rPr>
        <w:t> </w:t>
      </w:r>
      <w:r>
        <w:rPr>
          <w:w w:val="105"/>
        </w:rPr>
        <w:t>Government</w:t>
      </w:r>
      <w:r>
        <w:rPr>
          <w:spacing w:val="-10"/>
          <w:w w:val="105"/>
        </w:rPr>
        <w:t> </w:t>
      </w:r>
      <w:r>
        <w:rPr>
          <w:w w:val="105"/>
        </w:rPr>
        <w:t>Assistance</w:t>
      </w:r>
      <w:r>
        <w:rPr>
          <w:spacing w:val="-10"/>
          <w:w w:val="105"/>
        </w:rPr>
        <w:t> </w:t>
      </w:r>
      <w:r>
        <w:rPr>
          <w:w w:val="105"/>
        </w:rPr>
        <w:t>(Topic</w:t>
      </w:r>
      <w:r>
        <w:rPr>
          <w:spacing w:val="-9"/>
          <w:w w:val="105"/>
        </w:rPr>
        <w:t> </w:t>
      </w:r>
      <w:r>
        <w:rPr>
          <w:w w:val="105"/>
        </w:rPr>
        <w:t>832):</w:t>
      </w:r>
      <w:r>
        <w:rPr>
          <w:spacing w:val="-10"/>
          <w:w w:val="105"/>
        </w:rPr>
        <w:t> </w:t>
      </w:r>
      <w:r>
        <w:rPr>
          <w:w w:val="105"/>
        </w:rPr>
        <w:t>Disclosures</w:t>
      </w:r>
      <w:r>
        <w:rPr>
          <w:spacing w:val="-10"/>
          <w:w w:val="105"/>
        </w:rPr>
        <w:t> </w:t>
      </w:r>
      <w:r>
        <w:rPr>
          <w:w w:val="105"/>
        </w:rPr>
        <w:t>by</w:t>
      </w:r>
      <w:r>
        <w:rPr>
          <w:spacing w:val="-10"/>
          <w:w w:val="105"/>
        </w:rPr>
        <w:t> </w:t>
      </w:r>
      <w:r>
        <w:rPr>
          <w:w w:val="105"/>
        </w:rPr>
        <w:t>Business</w:t>
      </w:r>
      <w:r>
        <w:rPr>
          <w:spacing w:val="-10"/>
          <w:w w:val="105"/>
        </w:rPr>
        <w:t> </w:t>
      </w:r>
      <w:r>
        <w:rPr>
          <w:w w:val="105"/>
        </w:rPr>
        <w:t>Entities</w:t>
      </w:r>
      <w:r>
        <w:rPr>
          <w:spacing w:val="-8"/>
          <w:w w:val="105"/>
        </w:rPr>
        <w:t> </w:t>
      </w:r>
      <w:r>
        <w:rPr>
          <w:w w:val="105"/>
        </w:rPr>
        <w:t>about</w:t>
      </w:r>
      <w:r>
        <w:rPr>
          <w:spacing w:val="-10"/>
          <w:w w:val="105"/>
        </w:rPr>
        <w:t> </w:t>
      </w:r>
      <w:r>
        <w:rPr>
          <w:w w:val="105"/>
        </w:rPr>
        <w:t>Government</w:t>
      </w:r>
      <w:r>
        <w:rPr>
          <w:spacing w:val="-10"/>
          <w:w w:val="105"/>
        </w:rPr>
        <w:t> </w:t>
      </w:r>
      <w:r>
        <w:rPr>
          <w:w w:val="105"/>
        </w:rPr>
        <w:t>Assistance.</w:t>
      </w:r>
      <w:r>
        <w:rPr>
          <w:spacing w:val="23"/>
          <w:w w:val="105"/>
        </w:rPr>
        <w:t> </w:t>
      </w:r>
      <w:r>
        <w:rPr>
          <w:w w:val="105"/>
        </w:rPr>
        <w:t>The</w:t>
      </w:r>
      <w:r>
        <w:rPr>
          <w:spacing w:val="-10"/>
          <w:w w:val="105"/>
        </w:rPr>
        <w:t> </w:t>
      </w:r>
      <w:r>
        <w:rPr>
          <w:w w:val="105"/>
        </w:rPr>
        <w:t>ASU</w:t>
      </w:r>
      <w:r>
        <w:rPr>
          <w:spacing w:val="-10"/>
          <w:w w:val="105"/>
        </w:rPr>
        <w:t> </w:t>
      </w:r>
      <w:r>
        <w:rPr>
          <w:w w:val="105"/>
        </w:rPr>
        <w:t>requires business</w:t>
      </w:r>
      <w:r>
        <w:rPr>
          <w:spacing w:val="-2"/>
          <w:w w:val="105"/>
        </w:rPr>
        <w:t> </w:t>
      </w:r>
      <w:r>
        <w:rPr>
          <w:w w:val="105"/>
        </w:rPr>
        <w:t>entities</w:t>
      </w:r>
      <w:r>
        <w:rPr>
          <w:spacing w:val="-2"/>
          <w:w w:val="105"/>
        </w:rPr>
        <w:t> </w:t>
      </w:r>
      <w:r>
        <w:rPr>
          <w:w w:val="105"/>
        </w:rPr>
        <w:t>that</w:t>
      </w:r>
      <w:r>
        <w:rPr>
          <w:spacing w:val="-2"/>
          <w:w w:val="105"/>
        </w:rPr>
        <w:t> </w:t>
      </w:r>
      <w:r>
        <w:rPr>
          <w:w w:val="105"/>
        </w:rPr>
        <w:t>account</w:t>
      </w:r>
      <w:r>
        <w:rPr>
          <w:spacing w:val="-2"/>
          <w:w w:val="105"/>
        </w:rPr>
        <w:t> </w:t>
      </w:r>
      <w:r>
        <w:rPr>
          <w:w w:val="105"/>
        </w:rPr>
        <w:t>for</w:t>
      </w:r>
      <w:r>
        <w:rPr>
          <w:spacing w:val="-2"/>
          <w:w w:val="105"/>
        </w:rPr>
        <w:t> </w:t>
      </w:r>
      <w:r>
        <w:rPr>
          <w:w w:val="105"/>
        </w:rPr>
        <w:t>transactions</w:t>
      </w:r>
      <w:r>
        <w:rPr>
          <w:spacing w:val="-2"/>
          <w:w w:val="105"/>
        </w:rPr>
        <w:t> </w:t>
      </w:r>
      <w:r>
        <w:rPr>
          <w:w w:val="105"/>
        </w:rPr>
        <w:t>with</w:t>
      </w:r>
      <w:r>
        <w:rPr>
          <w:spacing w:val="-1"/>
          <w:w w:val="105"/>
        </w:rPr>
        <w:t> </w:t>
      </w:r>
      <w:r>
        <w:rPr>
          <w:w w:val="105"/>
        </w:rPr>
        <w:t>a</w:t>
      </w:r>
      <w:r>
        <w:rPr>
          <w:spacing w:val="-2"/>
          <w:w w:val="105"/>
        </w:rPr>
        <w:t> </w:t>
      </w:r>
      <w:r>
        <w:rPr>
          <w:w w:val="105"/>
        </w:rPr>
        <w:t>government</w:t>
      </w:r>
      <w:r>
        <w:rPr>
          <w:spacing w:val="-2"/>
          <w:w w:val="105"/>
        </w:rPr>
        <w:t> </w:t>
      </w:r>
      <w:r>
        <w:rPr>
          <w:w w:val="105"/>
        </w:rPr>
        <w:t>by</w:t>
      </w:r>
      <w:r>
        <w:rPr>
          <w:spacing w:val="-2"/>
          <w:w w:val="105"/>
        </w:rPr>
        <w:t> </w:t>
      </w:r>
      <w:r>
        <w:rPr>
          <w:w w:val="105"/>
        </w:rPr>
        <w:t>analogizing</w:t>
      </w:r>
      <w:r>
        <w:rPr>
          <w:spacing w:val="-2"/>
          <w:w w:val="105"/>
        </w:rPr>
        <w:t> </w:t>
      </w:r>
      <w:r>
        <w:rPr>
          <w:w w:val="105"/>
        </w:rPr>
        <w:t>to</w:t>
      </w:r>
      <w:r>
        <w:rPr>
          <w:spacing w:val="-1"/>
          <w:w w:val="105"/>
        </w:rPr>
        <w:t> </w:t>
      </w:r>
      <w:r>
        <w:rPr>
          <w:w w:val="105"/>
        </w:rPr>
        <w:t>a</w:t>
      </w:r>
      <w:r>
        <w:rPr>
          <w:spacing w:val="-2"/>
          <w:w w:val="105"/>
        </w:rPr>
        <w:t> </w:t>
      </w:r>
      <w:r>
        <w:rPr>
          <w:w w:val="105"/>
        </w:rPr>
        <w:t>grant</w:t>
      </w:r>
      <w:r>
        <w:rPr>
          <w:spacing w:val="-2"/>
          <w:w w:val="105"/>
        </w:rPr>
        <w:t> </w:t>
      </w:r>
      <w:r>
        <w:rPr>
          <w:w w:val="105"/>
        </w:rPr>
        <w:t>or</w:t>
      </w:r>
      <w:r>
        <w:rPr>
          <w:spacing w:val="-2"/>
          <w:w w:val="105"/>
        </w:rPr>
        <w:t> </w:t>
      </w:r>
      <w:r>
        <w:rPr>
          <w:w w:val="105"/>
        </w:rPr>
        <w:t>contribution</w:t>
      </w:r>
      <w:r>
        <w:rPr>
          <w:spacing w:val="-2"/>
          <w:w w:val="105"/>
        </w:rPr>
        <w:t> </w:t>
      </w:r>
      <w:r>
        <w:rPr>
          <w:w w:val="105"/>
        </w:rPr>
        <w:t>accounting</w:t>
      </w:r>
      <w:r>
        <w:rPr>
          <w:spacing w:val="-2"/>
          <w:w w:val="105"/>
        </w:rPr>
        <w:t> </w:t>
      </w:r>
      <w:r>
        <w:rPr>
          <w:w w:val="105"/>
        </w:rPr>
        <w:t>model</w:t>
      </w:r>
      <w:r>
        <w:rPr>
          <w:spacing w:val="-2"/>
          <w:w w:val="105"/>
        </w:rPr>
        <w:t> </w:t>
      </w:r>
      <w:r>
        <w:rPr>
          <w:w w:val="105"/>
        </w:rPr>
        <w:t>to</w:t>
      </w:r>
      <w:r>
        <w:rPr>
          <w:spacing w:val="-2"/>
          <w:w w:val="105"/>
        </w:rPr>
        <w:t> </w:t>
      </w:r>
      <w:r>
        <w:rPr>
          <w:w w:val="105"/>
        </w:rPr>
        <w:t>make</w:t>
      </w:r>
      <w:r>
        <w:rPr>
          <w:spacing w:val="-2"/>
          <w:w w:val="105"/>
        </w:rPr>
        <w:t> </w:t>
      </w:r>
      <w:r>
        <w:rPr>
          <w:w w:val="105"/>
        </w:rPr>
        <w:t>certain</w:t>
      </w:r>
      <w:r>
        <w:rPr>
          <w:spacing w:val="-2"/>
          <w:w w:val="105"/>
        </w:rPr>
        <w:t> </w:t>
      </w:r>
      <w:r>
        <w:rPr>
          <w:w w:val="105"/>
        </w:rPr>
        <w:t>annual</w:t>
      </w:r>
      <w:r>
        <w:rPr>
          <w:spacing w:val="-2"/>
          <w:w w:val="105"/>
        </w:rPr>
        <w:t> </w:t>
      </w:r>
      <w:r>
        <w:rPr>
          <w:w w:val="105"/>
        </w:rPr>
        <w:t>disclosures.</w:t>
      </w:r>
      <w:r>
        <w:rPr>
          <w:spacing w:val="38"/>
          <w:w w:val="105"/>
        </w:rPr>
        <w:t> </w:t>
      </w:r>
      <w:r>
        <w:rPr>
          <w:w w:val="105"/>
        </w:rPr>
        <w:t>ASU</w:t>
      </w:r>
    </w:p>
    <w:p>
      <w:pPr>
        <w:pStyle w:val="BodyText"/>
        <w:spacing w:line="266" w:lineRule="auto"/>
        <w:ind w:left="156"/>
      </w:pPr>
      <w:r>
        <w:rPr>
          <w:w w:val="105"/>
        </w:rPr>
        <w:t>2021-10</w:t>
      </w:r>
      <w:r>
        <w:rPr>
          <w:spacing w:val="-8"/>
          <w:w w:val="105"/>
        </w:rPr>
        <w:t> </w:t>
      </w:r>
      <w:r>
        <w:rPr>
          <w:w w:val="105"/>
        </w:rPr>
        <w:t>is</w:t>
      </w:r>
      <w:r>
        <w:rPr>
          <w:spacing w:val="-8"/>
          <w:w w:val="105"/>
        </w:rPr>
        <w:t> </w:t>
      </w:r>
      <w:r>
        <w:rPr>
          <w:w w:val="105"/>
        </w:rPr>
        <w:t>effective</w:t>
      </w:r>
      <w:r>
        <w:rPr>
          <w:spacing w:val="-8"/>
          <w:w w:val="105"/>
        </w:rPr>
        <w:t> </w:t>
      </w:r>
      <w:r>
        <w:rPr>
          <w:w w:val="105"/>
        </w:rPr>
        <w:t>for</w:t>
      </w:r>
      <w:r>
        <w:rPr>
          <w:spacing w:val="-8"/>
          <w:w w:val="105"/>
        </w:rPr>
        <w:t> </w:t>
      </w:r>
      <w:r>
        <w:rPr>
          <w:w w:val="105"/>
        </w:rPr>
        <w:t>annual</w:t>
      </w:r>
      <w:r>
        <w:rPr>
          <w:spacing w:val="-8"/>
          <w:w w:val="105"/>
        </w:rPr>
        <w:t> </w:t>
      </w:r>
      <w:r>
        <w:rPr>
          <w:w w:val="105"/>
        </w:rPr>
        <w:t>periods</w:t>
      </w:r>
      <w:r>
        <w:rPr>
          <w:spacing w:val="-8"/>
          <w:w w:val="105"/>
        </w:rPr>
        <w:t> </w:t>
      </w:r>
      <w:r>
        <w:rPr>
          <w:w w:val="105"/>
        </w:rPr>
        <w:t>beginning</w:t>
      </w:r>
      <w:r>
        <w:rPr>
          <w:spacing w:val="-8"/>
          <w:w w:val="105"/>
        </w:rPr>
        <w:t> </w:t>
      </w:r>
      <w:r>
        <w:rPr>
          <w:w w:val="105"/>
        </w:rPr>
        <w:t>after</w:t>
      </w:r>
      <w:r>
        <w:rPr>
          <w:spacing w:val="-6"/>
          <w:w w:val="105"/>
        </w:rPr>
        <w:t> </w:t>
      </w:r>
      <w:r>
        <w:rPr>
          <w:w w:val="105"/>
        </w:rPr>
        <w:t>December</w:t>
      </w:r>
      <w:r>
        <w:rPr>
          <w:spacing w:val="-8"/>
          <w:w w:val="105"/>
        </w:rPr>
        <w:t> </w:t>
      </w:r>
      <w:r>
        <w:rPr>
          <w:w w:val="105"/>
        </w:rPr>
        <w:t>15,</w:t>
      </w:r>
      <w:r>
        <w:rPr>
          <w:spacing w:val="-8"/>
          <w:w w:val="105"/>
        </w:rPr>
        <w:t> </w:t>
      </w:r>
      <w:r>
        <w:rPr>
          <w:w w:val="105"/>
        </w:rPr>
        <w:t>2021.</w:t>
      </w:r>
      <w:r>
        <w:rPr>
          <w:spacing w:val="28"/>
          <w:w w:val="105"/>
        </w:rPr>
        <w:t> </w:t>
      </w:r>
      <w:r>
        <w:rPr>
          <w:w w:val="105"/>
        </w:rPr>
        <w:t>We</w:t>
      </w:r>
      <w:r>
        <w:rPr>
          <w:spacing w:val="-8"/>
          <w:w w:val="105"/>
        </w:rPr>
        <w:t> </w:t>
      </w:r>
      <w:r>
        <w:rPr>
          <w:w w:val="105"/>
        </w:rPr>
        <w:t>expect</w:t>
      </w:r>
      <w:r>
        <w:rPr>
          <w:spacing w:val="-8"/>
          <w:w w:val="105"/>
        </w:rPr>
        <w:t> </w:t>
      </w:r>
      <w:r>
        <w:rPr>
          <w:w w:val="105"/>
        </w:rPr>
        <w:t>that</w:t>
      </w:r>
      <w:r>
        <w:rPr>
          <w:spacing w:val="-8"/>
          <w:w w:val="105"/>
        </w:rPr>
        <w:t> </w:t>
      </w:r>
      <w:r>
        <w:rPr>
          <w:w w:val="105"/>
        </w:rPr>
        <w:t>the</w:t>
      </w:r>
      <w:r>
        <w:rPr>
          <w:spacing w:val="-8"/>
          <w:w w:val="105"/>
        </w:rPr>
        <w:t> </w:t>
      </w:r>
      <w:r>
        <w:rPr>
          <w:w w:val="105"/>
        </w:rPr>
        <w:t>impact</w:t>
      </w:r>
      <w:r>
        <w:rPr>
          <w:spacing w:val="-8"/>
          <w:w w:val="105"/>
        </w:rPr>
        <w:t> </w:t>
      </w:r>
      <w:r>
        <w:rPr>
          <w:w w:val="105"/>
        </w:rPr>
        <w:t>of</w:t>
      </w:r>
      <w:r>
        <w:rPr>
          <w:spacing w:val="-8"/>
          <w:w w:val="105"/>
        </w:rPr>
        <w:t> </w:t>
      </w:r>
      <w:r>
        <w:rPr>
          <w:w w:val="105"/>
        </w:rPr>
        <w:t>adoption</w:t>
      </w:r>
      <w:r>
        <w:rPr>
          <w:spacing w:val="-8"/>
          <w:w w:val="105"/>
        </w:rPr>
        <w:t> </w:t>
      </w:r>
      <w:r>
        <w:rPr>
          <w:w w:val="105"/>
        </w:rPr>
        <w:t>will</w:t>
      </w:r>
      <w:r>
        <w:rPr>
          <w:spacing w:val="-7"/>
          <w:w w:val="105"/>
        </w:rPr>
        <w:t> </w:t>
      </w:r>
      <w:r>
        <w:rPr>
          <w:w w:val="105"/>
        </w:rPr>
        <w:t>not</w:t>
      </w:r>
      <w:r>
        <w:rPr>
          <w:spacing w:val="-8"/>
          <w:w w:val="105"/>
        </w:rPr>
        <w:t> </w:t>
      </w:r>
      <w:r>
        <w:rPr>
          <w:w w:val="105"/>
        </w:rPr>
        <w:t>have</w:t>
      </w:r>
      <w:r>
        <w:rPr>
          <w:spacing w:val="-8"/>
          <w:w w:val="105"/>
        </w:rPr>
        <w:t> </w:t>
      </w:r>
      <w:r>
        <w:rPr>
          <w:w w:val="105"/>
        </w:rPr>
        <w:t>a</w:t>
      </w:r>
      <w:r>
        <w:rPr>
          <w:spacing w:val="-8"/>
          <w:w w:val="105"/>
        </w:rPr>
        <w:t> </w:t>
      </w:r>
      <w:r>
        <w:rPr>
          <w:w w:val="105"/>
        </w:rPr>
        <w:t>material</w:t>
      </w:r>
      <w:r>
        <w:rPr>
          <w:spacing w:val="-8"/>
          <w:w w:val="105"/>
        </w:rPr>
        <w:t> </w:t>
      </w:r>
      <w:r>
        <w:rPr>
          <w:w w:val="105"/>
        </w:rPr>
        <w:t>impact</w:t>
      </w:r>
      <w:r>
        <w:rPr>
          <w:spacing w:val="-8"/>
          <w:w w:val="105"/>
        </w:rPr>
        <w:t> </w:t>
      </w:r>
      <w:r>
        <w:rPr>
          <w:w w:val="105"/>
        </w:rPr>
        <w:t>on</w:t>
      </w:r>
      <w:r>
        <w:rPr>
          <w:spacing w:val="-8"/>
          <w:w w:val="105"/>
        </w:rPr>
        <w:t> </w:t>
      </w:r>
      <w:r>
        <w:rPr>
          <w:w w:val="105"/>
        </w:rPr>
        <w:t>Corning’s</w:t>
      </w:r>
      <w:r>
        <w:rPr>
          <w:spacing w:val="-8"/>
          <w:w w:val="105"/>
        </w:rPr>
        <w:t> </w:t>
      </w:r>
      <w:r>
        <w:rPr>
          <w:w w:val="105"/>
        </w:rPr>
        <w:t>financial statements.</w:t>
      </w:r>
      <w:r>
        <w:rPr>
          <w:spacing w:val="40"/>
          <w:w w:val="105"/>
        </w:rPr>
        <w:t> </w:t>
      </w:r>
      <w:r>
        <w:rPr>
          <w:w w:val="105"/>
        </w:rPr>
        <w:t>Adoption of the new standard is effective January 1, 2022.</w:t>
      </w:r>
    </w:p>
    <w:p>
      <w:pPr>
        <w:pStyle w:val="BodyText"/>
        <w:spacing w:before="18"/>
      </w:pPr>
    </w:p>
    <w:p>
      <w:pPr>
        <w:pStyle w:val="BodyText"/>
        <w:ind w:left="143"/>
      </w:pPr>
      <w:r>
        <w:rPr>
          <w:w w:val="105"/>
        </w:rPr>
        <w:t>As</w:t>
      </w:r>
      <w:r>
        <w:rPr>
          <w:spacing w:val="-9"/>
          <w:w w:val="105"/>
        </w:rPr>
        <w:t> </w:t>
      </w:r>
      <w:r>
        <w:rPr>
          <w:w w:val="105"/>
        </w:rPr>
        <w:t>of</w:t>
      </w:r>
      <w:r>
        <w:rPr>
          <w:spacing w:val="-8"/>
          <w:w w:val="105"/>
        </w:rPr>
        <w:t> </w:t>
      </w:r>
      <w:r>
        <w:rPr>
          <w:w w:val="105"/>
        </w:rPr>
        <w:t>December</w:t>
      </w:r>
      <w:r>
        <w:rPr>
          <w:spacing w:val="-8"/>
          <w:w w:val="105"/>
        </w:rPr>
        <w:t> </w:t>
      </w:r>
      <w:r>
        <w:rPr>
          <w:w w:val="105"/>
        </w:rPr>
        <w:t>31,</w:t>
      </w:r>
      <w:r>
        <w:rPr>
          <w:spacing w:val="-9"/>
          <w:w w:val="105"/>
        </w:rPr>
        <w:t> </w:t>
      </w:r>
      <w:r>
        <w:rPr>
          <w:w w:val="105"/>
        </w:rPr>
        <w:t>2021,</w:t>
      </w:r>
      <w:r>
        <w:rPr>
          <w:spacing w:val="-8"/>
          <w:w w:val="105"/>
        </w:rPr>
        <w:t> </w:t>
      </w:r>
      <w:r>
        <w:rPr>
          <w:w w:val="105"/>
        </w:rPr>
        <w:t>there</w:t>
      </w:r>
      <w:r>
        <w:rPr>
          <w:spacing w:val="-9"/>
          <w:w w:val="105"/>
        </w:rPr>
        <w:t> </w:t>
      </w:r>
      <w:r>
        <w:rPr>
          <w:w w:val="105"/>
        </w:rPr>
        <w:t>are</w:t>
      </w:r>
      <w:r>
        <w:rPr>
          <w:spacing w:val="-7"/>
          <w:w w:val="105"/>
        </w:rPr>
        <w:t> </w:t>
      </w:r>
      <w:r>
        <w:rPr>
          <w:w w:val="105"/>
        </w:rPr>
        <w:t>no</w:t>
      </w:r>
      <w:r>
        <w:rPr>
          <w:spacing w:val="-9"/>
          <w:w w:val="105"/>
        </w:rPr>
        <w:t> </w:t>
      </w:r>
      <w:r>
        <w:rPr>
          <w:w w:val="105"/>
        </w:rPr>
        <w:t>other</w:t>
      </w:r>
      <w:r>
        <w:rPr>
          <w:spacing w:val="-8"/>
          <w:w w:val="105"/>
        </w:rPr>
        <w:t> </w:t>
      </w:r>
      <w:r>
        <w:rPr>
          <w:w w:val="105"/>
        </w:rPr>
        <w:t>newly</w:t>
      </w:r>
      <w:r>
        <w:rPr>
          <w:spacing w:val="-9"/>
          <w:w w:val="105"/>
        </w:rPr>
        <w:t> </w:t>
      </w:r>
      <w:r>
        <w:rPr>
          <w:w w:val="105"/>
        </w:rPr>
        <w:t>issued</w:t>
      </w:r>
      <w:r>
        <w:rPr>
          <w:spacing w:val="-8"/>
          <w:w w:val="105"/>
        </w:rPr>
        <w:t> </w:t>
      </w:r>
      <w:r>
        <w:rPr>
          <w:w w:val="105"/>
        </w:rPr>
        <w:t>accounting</w:t>
      </w:r>
      <w:r>
        <w:rPr>
          <w:spacing w:val="-9"/>
          <w:w w:val="105"/>
        </w:rPr>
        <w:t> </w:t>
      </w:r>
      <w:r>
        <w:rPr>
          <w:w w:val="105"/>
        </w:rPr>
        <w:t>standards</w:t>
      </w:r>
      <w:r>
        <w:rPr>
          <w:spacing w:val="-8"/>
          <w:w w:val="105"/>
        </w:rPr>
        <w:t> </w:t>
      </w:r>
      <w:r>
        <w:rPr>
          <w:w w:val="105"/>
        </w:rPr>
        <w:t>expected</w:t>
      </w:r>
      <w:r>
        <w:rPr>
          <w:spacing w:val="-9"/>
          <w:w w:val="105"/>
        </w:rPr>
        <w:t> </w:t>
      </w:r>
      <w:r>
        <w:rPr>
          <w:w w:val="105"/>
        </w:rPr>
        <w:t>to</w:t>
      </w:r>
      <w:r>
        <w:rPr>
          <w:spacing w:val="-8"/>
          <w:w w:val="105"/>
        </w:rPr>
        <w:t> </w:t>
      </w:r>
      <w:r>
        <w:rPr>
          <w:w w:val="105"/>
        </w:rPr>
        <w:t>have</w:t>
      </w:r>
      <w:r>
        <w:rPr>
          <w:spacing w:val="-9"/>
          <w:w w:val="105"/>
        </w:rPr>
        <w:t> </w:t>
      </w:r>
      <w:r>
        <w:rPr>
          <w:w w:val="105"/>
        </w:rPr>
        <w:t>a</w:t>
      </w:r>
      <w:r>
        <w:rPr>
          <w:spacing w:val="-8"/>
          <w:w w:val="105"/>
        </w:rPr>
        <w:t> </w:t>
      </w:r>
      <w:r>
        <w:rPr>
          <w:w w:val="105"/>
        </w:rPr>
        <w:t>material</w:t>
      </w:r>
      <w:r>
        <w:rPr>
          <w:spacing w:val="-9"/>
          <w:w w:val="105"/>
        </w:rPr>
        <w:t> </w:t>
      </w:r>
      <w:r>
        <w:rPr>
          <w:w w:val="105"/>
        </w:rPr>
        <w:t>impact</w:t>
      </w:r>
      <w:r>
        <w:rPr>
          <w:spacing w:val="-8"/>
          <w:w w:val="105"/>
        </w:rPr>
        <w:t> </w:t>
      </w:r>
      <w:r>
        <w:rPr>
          <w:w w:val="105"/>
        </w:rPr>
        <w:t>on</w:t>
      </w:r>
      <w:r>
        <w:rPr>
          <w:spacing w:val="-9"/>
          <w:w w:val="105"/>
        </w:rPr>
        <w:t> </w:t>
      </w:r>
      <w:r>
        <w:rPr>
          <w:w w:val="105"/>
        </w:rPr>
        <w:t>Corning’s</w:t>
      </w:r>
      <w:r>
        <w:rPr>
          <w:spacing w:val="-8"/>
          <w:w w:val="105"/>
        </w:rPr>
        <w:t> </w:t>
      </w:r>
      <w:r>
        <w:rPr>
          <w:w w:val="105"/>
        </w:rPr>
        <w:t>financial</w:t>
      </w:r>
      <w:r>
        <w:rPr>
          <w:spacing w:val="-9"/>
          <w:w w:val="105"/>
        </w:rPr>
        <w:t> </w:t>
      </w:r>
      <w:r>
        <w:rPr>
          <w:w w:val="105"/>
        </w:rPr>
        <w:t>statements</w:t>
      </w:r>
      <w:r>
        <w:rPr>
          <w:spacing w:val="-8"/>
          <w:w w:val="105"/>
        </w:rPr>
        <w:t> </w:t>
      </w:r>
      <w:r>
        <w:rPr>
          <w:w w:val="105"/>
        </w:rPr>
        <w:t>or</w:t>
      </w:r>
      <w:r>
        <w:rPr>
          <w:spacing w:val="-9"/>
          <w:w w:val="105"/>
        </w:rPr>
        <w:t> </w:t>
      </w:r>
      <w:r>
        <w:rPr>
          <w:spacing w:val="-2"/>
          <w:w w:val="105"/>
        </w:rPr>
        <w:t>disclosures.</w:t>
      </w:r>
    </w:p>
    <w:p>
      <w:pPr>
        <w:pStyle w:val="BodyText"/>
        <w:spacing w:before="199"/>
        <w:rPr>
          <w:sz w:val="2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5"/>
        <w:gridCol w:w="1662"/>
        <w:gridCol w:w="496"/>
        <w:gridCol w:w="1811"/>
        <w:gridCol w:w="1132"/>
        <w:gridCol w:w="529"/>
      </w:tblGrid>
      <w:tr>
        <w:trPr>
          <w:trHeight w:val="718" w:hRule="atLeast"/>
        </w:trPr>
        <w:tc>
          <w:tcPr>
            <w:tcW w:w="5885" w:type="dxa"/>
            <w:tcBorders>
              <w:bottom w:val="single" w:sz="12" w:space="0" w:color="000000"/>
            </w:tcBorders>
          </w:tcPr>
          <w:p>
            <w:pPr>
              <w:pStyle w:val="TableParagraph"/>
              <w:spacing w:line="182" w:lineRule="exact"/>
              <w:rPr>
                <w:b/>
                <w:sz w:val="16"/>
              </w:rPr>
            </w:pPr>
            <w:bookmarkStart w:name="_bookmark10" w:id="11"/>
            <w:bookmarkEnd w:id="11"/>
            <w:r>
              <w:rPr/>
            </w:r>
            <w:r>
              <w:rPr>
                <w:b/>
                <w:w w:val="105"/>
                <w:sz w:val="16"/>
              </w:rPr>
              <w:t>2.</w:t>
            </w:r>
            <w:r>
              <w:rPr>
                <w:b/>
                <w:spacing w:val="18"/>
                <w:w w:val="105"/>
                <w:sz w:val="16"/>
              </w:rPr>
              <w:t> </w:t>
            </w:r>
            <w:r>
              <w:rPr>
                <w:b/>
                <w:w w:val="105"/>
                <w:sz w:val="16"/>
              </w:rPr>
              <w:t>Restructuring,</w:t>
            </w:r>
            <w:r>
              <w:rPr>
                <w:b/>
                <w:spacing w:val="-11"/>
                <w:w w:val="105"/>
                <w:sz w:val="16"/>
              </w:rPr>
              <w:t> </w:t>
            </w:r>
            <w:r>
              <w:rPr>
                <w:b/>
                <w:w w:val="105"/>
                <w:sz w:val="16"/>
              </w:rPr>
              <w:t>Impairment</w:t>
            </w:r>
            <w:r>
              <w:rPr>
                <w:b/>
                <w:spacing w:val="-10"/>
                <w:w w:val="105"/>
                <w:sz w:val="16"/>
              </w:rPr>
              <w:t> </w:t>
            </w:r>
            <w:r>
              <w:rPr>
                <w:b/>
                <w:w w:val="105"/>
                <w:sz w:val="16"/>
              </w:rPr>
              <w:t>and</w:t>
            </w:r>
            <w:r>
              <w:rPr>
                <w:b/>
                <w:spacing w:val="-11"/>
                <w:w w:val="105"/>
                <w:sz w:val="16"/>
              </w:rPr>
              <w:t> </w:t>
            </w:r>
            <w:r>
              <w:rPr>
                <w:b/>
                <w:w w:val="105"/>
                <w:sz w:val="16"/>
              </w:rPr>
              <w:t>Other</w:t>
            </w:r>
            <w:r>
              <w:rPr>
                <w:b/>
                <w:spacing w:val="-10"/>
                <w:w w:val="105"/>
                <w:sz w:val="16"/>
              </w:rPr>
              <w:t> </w:t>
            </w:r>
            <w:r>
              <w:rPr>
                <w:b/>
                <w:w w:val="105"/>
                <w:sz w:val="16"/>
              </w:rPr>
              <w:t>Charges</w:t>
            </w:r>
            <w:r>
              <w:rPr>
                <w:b/>
                <w:spacing w:val="-11"/>
                <w:w w:val="105"/>
                <w:sz w:val="16"/>
              </w:rPr>
              <w:t> </w:t>
            </w:r>
            <w:r>
              <w:rPr>
                <w:b/>
                <w:w w:val="105"/>
                <w:sz w:val="16"/>
              </w:rPr>
              <w:t>and</w:t>
            </w:r>
            <w:r>
              <w:rPr>
                <w:b/>
                <w:spacing w:val="-10"/>
                <w:w w:val="105"/>
                <w:sz w:val="16"/>
              </w:rPr>
              <w:t> </w:t>
            </w:r>
            <w:r>
              <w:rPr>
                <w:b/>
                <w:spacing w:val="-2"/>
                <w:w w:val="105"/>
                <w:sz w:val="16"/>
              </w:rPr>
              <w:t>Credits</w:t>
            </w:r>
          </w:p>
          <w:p>
            <w:pPr>
              <w:pStyle w:val="TableParagraph"/>
              <w:spacing w:before="39"/>
              <w:rPr>
                <w:sz w:val="16"/>
              </w:rPr>
            </w:pPr>
          </w:p>
          <w:p>
            <w:pPr>
              <w:pStyle w:val="TableParagraph"/>
              <w:rPr>
                <w:sz w:val="16"/>
              </w:rPr>
            </w:pPr>
            <w:r>
              <w:rPr>
                <w:spacing w:val="-2"/>
                <w:w w:val="105"/>
                <w:sz w:val="16"/>
              </w:rPr>
              <w:t>The</w:t>
            </w:r>
            <w:r>
              <w:rPr>
                <w:spacing w:val="2"/>
                <w:w w:val="105"/>
                <w:sz w:val="16"/>
              </w:rPr>
              <w:t> </w:t>
            </w:r>
            <w:r>
              <w:rPr>
                <w:spacing w:val="-2"/>
                <w:w w:val="105"/>
                <w:sz w:val="16"/>
              </w:rPr>
              <w:t>following</w:t>
            </w:r>
            <w:r>
              <w:rPr>
                <w:spacing w:val="3"/>
                <w:w w:val="105"/>
                <w:sz w:val="16"/>
              </w:rPr>
              <w:t> </w:t>
            </w:r>
            <w:r>
              <w:rPr>
                <w:spacing w:val="-2"/>
                <w:w w:val="105"/>
                <w:sz w:val="16"/>
              </w:rPr>
              <w:t>restructuring,</w:t>
            </w:r>
            <w:r>
              <w:rPr>
                <w:spacing w:val="4"/>
                <w:w w:val="105"/>
                <w:sz w:val="16"/>
              </w:rPr>
              <w:t> </w:t>
            </w:r>
            <w:r>
              <w:rPr>
                <w:spacing w:val="-2"/>
                <w:w w:val="105"/>
                <w:sz w:val="16"/>
              </w:rPr>
              <w:t>impairment</w:t>
            </w:r>
            <w:r>
              <w:rPr>
                <w:spacing w:val="3"/>
                <w:w w:val="105"/>
                <w:sz w:val="16"/>
              </w:rPr>
              <w:t> </w:t>
            </w:r>
            <w:r>
              <w:rPr>
                <w:spacing w:val="-2"/>
                <w:w w:val="105"/>
                <w:sz w:val="16"/>
              </w:rPr>
              <w:t>and</w:t>
            </w:r>
            <w:r>
              <w:rPr>
                <w:spacing w:val="2"/>
                <w:w w:val="105"/>
                <w:sz w:val="16"/>
              </w:rPr>
              <w:t> </w:t>
            </w:r>
            <w:r>
              <w:rPr>
                <w:spacing w:val="-2"/>
                <w:w w:val="105"/>
                <w:sz w:val="16"/>
              </w:rPr>
              <w:t>other</w:t>
            </w:r>
            <w:r>
              <w:rPr>
                <w:spacing w:val="3"/>
                <w:w w:val="105"/>
                <w:sz w:val="16"/>
              </w:rPr>
              <w:t> </w:t>
            </w:r>
            <w:r>
              <w:rPr>
                <w:spacing w:val="-2"/>
                <w:w w:val="105"/>
                <w:sz w:val="16"/>
              </w:rPr>
              <w:t>charges</w:t>
            </w:r>
            <w:r>
              <w:rPr>
                <w:spacing w:val="2"/>
                <w:w w:val="105"/>
                <w:sz w:val="16"/>
              </w:rPr>
              <w:t> </w:t>
            </w:r>
            <w:r>
              <w:rPr>
                <w:spacing w:val="-2"/>
                <w:w w:val="105"/>
                <w:sz w:val="16"/>
              </w:rPr>
              <w:t>and</w:t>
            </w:r>
            <w:r>
              <w:rPr>
                <w:spacing w:val="3"/>
                <w:w w:val="105"/>
                <w:sz w:val="16"/>
              </w:rPr>
              <w:t> </w:t>
            </w:r>
            <w:r>
              <w:rPr>
                <w:spacing w:val="-2"/>
                <w:w w:val="105"/>
                <w:sz w:val="16"/>
              </w:rPr>
              <w:t>credits</w:t>
            </w:r>
            <w:r>
              <w:rPr>
                <w:spacing w:val="3"/>
                <w:w w:val="105"/>
                <w:sz w:val="16"/>
              </w:rPr>
              <w:t> </w:t>
            </w:r>
            <w:r>
              <w:rPr>
                <w:spacing w:val="-2"/>
                <w:w w:val="105"/>
                <w:sz w:val="16"/>
              </w:rPr>
              <w:t>were</w:t>
            </w:r>
            <w:r>
              <w:rPr>
                <w:spacing w:val="2"/>
                <w:w w:val="105"/>
                <w:sz w:val="16"/>
              </w:rPr>
              <w:t> </w:t>
            </w:r>
            <w:r>
              <w:rPr>
                <w:spacing w:val="-2"/>
                <w:w w:val="105"/>
                <w:sz w:val="16"/>
              </w:rPr>
              <w:t>recorded</w:t>
            </w:r>
            <w:r>
              <w:rPr>
                <w:spacing w:val="3"/>
                <w:w w:val="105"/>
                <w:sz w:val="16"/>
              </w:rPr>
              <w:t> </w:t>
            </w:r>
            <w:r>
              <w:rPr>
                <w:spacing w:val="-5"/>
                <w:w w:val="105"/>
                <w:sz w:val="16"/>
              </w:rPr>
              <w:t>(in</w:t>
            </w:r>
          </w:p>
        </w:tc>
        <w:tc>
          <w:tcPr>
            <w:tcW w:w="1662" w:type="dxa"/>
            <w:tcBorders>
              <w:bottom w:val="single" w:sz="12" w:space="0" w:color="000000"/>
            </w:tcBorders>
          </w:tcPr>
          <w:p>
            <w:pPr>
              <w:pStyle w:val="TableParagraph"/>
              <w:rPr>
                <w:sz w:val="16"/>
              </w:rPr>
            </w:pPr>
          </w:p>
          <w:p>
            <w:pPr>
              <w:pStyle w:val="TableParagraph"/>
              <w:spacing w:before="37"/>
              <w:rPr>
                <w:sz w:val="16"/>
              </w:rPr>
            </w:pPr>
          </w:p>
          <w:p>
            <w:pPr>
              <w:pStyle w:val="TableParagraph"/>
              <w:spacing w:before="1"/>
              <w:ind w:left="21"/>
              <w:rPr>
                <w:sz w:val="16"/>
              </w:rPr>
            </w:pPr>
            <w:r>
              <w:rPr>
                <w:spacing w:val="-2"/>
                <w:w w:val="105"/>
                <w:sz w:val="16"/>
              </w:rPr>
              <w:t>millions):</w:t>
            </w:r>
          </w:p>
        </w:tc>
        <w:tc>
          <w:tcPr>
            <w:tcW w:w="3968" w:type="dxa"/>
            <w:gridSpan w:val="4"/>
            <w:tcBorders>
              <w:bottom w:val="single" w:sz="12" w:space="0" w:color="000000"/>
            </w:tcBorders>
          </w:tcPr>
          <w:p>
            <w:pPr>
              <w:pStyle w:val="TableParagraph"/>
              <w:rPr>
                <w:sz w:val="16"/>
              </w:rPr>
            </w:pPr>
          </w:p>
        </w:tc>
      </w:tr>
      <w:tr>
        <w:trPr>
          <w:trHeight w:val="200" w:hRule="atLeast"/>
        </w:trPr>
        <w:tc>
          <w:tcPr>
            <w:tcW w:w="5885" w:type="dxa"/>
            <w:tcBorders>
              <w:top w:val="single" w:sz="12" w:space="0" w:color="000000"/>
            </w:tcBorders>
          </w:tcPr>
          <w:p>
            <w:pPr>
              <w:pStyle w:val="TableParagraph"/>
              <w:rPr>
                <w:sz w:val="12"/>
              </w:rPr>
            </w:pPr>
          </w:p>
        </w:tc>
        <w:tc>
          <w:tcPr>
            <w:tcW w:w="1662" w:type="dxa"/>
            <w:tcBorders>
              <w:top w:val="single" w:sz="12" w:space="0" w:color="000000"/>
              <w:bottom w:val="single" w:sz="6" w:space="0" w:color="000000"/>
            </w:tcBorders>
          </w:tcPr>
          <w:p>
            <w:pPr>
              <w:pStyle w:val="TableParagraph"/>
              <w:rPr>
                <w:sz w:val="12"/>
              </w:rPr>
            </w:pPr>
          </w:p>
        </w:tc>
        <w:tc>
          <w:tcPr>
            <w:tcW w:w="496" w:type="dxa"/>
            <w:tcBorders>
              <w:top w:val="single" w:sz="12" w:space="0" w:color="000000"/>
              <w:bottom w:val="single" w:sz="6" w:space="0" w:color="000000"/>
            </w:tcBorders>
          </w:tcPr>
          <w:p>
            <w:pPr>
              <w:pStyle w:val="TableParagraph"/>
              <w:rPr>
                <w:sz w:val="12"/>
              </w:rPr>
            </w:pPr>
          </w:p>
        </w:tc>
        <w:tc>
          <w:tcPr>
            <w:tcW w:w="1811" w:type="dxa"/>
            <w:tcBorders>
              <w:top w:val="single" w:sz="12" w:space="0" w:color="000000"/>
              <w:bottom w:val="single" w:sz="6" w:space="0" w:color="000000"/>
            </w:tcBorders>
          </w:tcPr>
          <w:p>
            <w:pPr>
              <w:pStyle w:val="TableParagraph"/>
              <w:spacing w:line="179" w:lineRule="exact" w:before="1"/>
              <w:ind w:left="27"/>
              <w:rPr>
                <w:sz w:val="16"/>
              </w:rPr>
            </w:pPr>
            <w:r>
              <w:rPr>
                <w:w w:val="105"/>
                <w:sz w:val="16"/>
              </w:rPr>
              <w:t>Year</w:t>
            </w:r>
            <w:r>
              <w:rPr>
                <w:spacing w:val="-12"/>
                <w:w w:val="105"/>
                <w:sz w:val="16"/>
              </w:rPr>
              <w:t> </w:t>
            </w:r>
            <w:r>
              <w:rPr>
                <w:w w:val="105"/>
                <w:sz w:val="16"/>
              </w:rPr>
              <w:t>ended</w:t>
            </w:r>
            <w:r>
              <w:rPr>
                <w:spacing w:val="-10"/>
                <w:w w:val="105"/>
                <w:sz w:val="16"/>
              </w:rPr>
              <w:t> </w:t>
            </w:r>
            <w:r>
              <w:rPr>
                <w:w w:val="105"/>
                <w:sz w:val="16"/>
              </w:rPr>
              <w:t>December</w:t>
            </w:r>
            <w:r>
              <w:rPr>
                <w:spacing w:val="-10"/>
                <w:w w:val="105"/>
                <w:sz w:val="16"/>
              </w:rPr>
              <w:t> </w:t>
            </w:r>
            <w:r>
              <w:rPr>
                <w:spacing w:val="-5"/>
                <w:w w:val="105"/>
                <w:sz w:val="16"/>
              </w:rPr>
              <w:t>31,</w:t>
            </w:r>
          </w:p>
        </w:tc>
        <w:tc>
          <w:tcPr>
            <w:tcW w:w="1132" w:type="dxa"/>
            <w:tcBorders>
              <w:top w:val="single" w:sz="12" w:space="0" w:color="000000"/>
              <w:bottom w:val="single" w:sz="6" w:space="0" w:color="000000"/>
            </w:tcBorders>
          </w:tcPr>
          <w:p>
            <w:pPr>
              <w:pStyle w:val="TableParagraph"/>
              <w:rPr>
                <w:sz w:val="12"/>
              </w:rPr>
            </w:pPr>
          </w:p>
        </w:tc>
        <w:tc>
          <w:tcPr>
            <w:tcW w:w="529" w:type="dxa"/>
            <w:tcBorders>
              <w:top w:val="single" w:sz="12" w:space="0" w:color="000000"/>
              <w:bottom w:val="single" w:sz="6" w:space="0" w:color="000000"/>
            </w:tcBorders>
          </w:tcPr>
          <w:p>
            <w:pPr>
              <w:pStyle w:val="TableParagraph"/>
              <w:rPr>
                <w:sz w:val="12"/>
              </w:rPr>
            </w:pPr>
          </w:p>
        </w:tc>
      </w:tr>
      <w:tr>
        <w:trPr>
          <w:trHeight w:val="201" w:hRule="atLeast"/>
        </w:trPr>
        <w:tc>
          <w:tcPr>
            <w:tcW w:w="5885" w:type="dxa"/>
            <w:tcBorders>
              <w:bottom w:val="single" w:sz="6" w:space="0" w:color="000000"/>
            </w:tcBorders>
          </w:tcPr>
          <w:p>
            <w:pPr>
              <w:pStyle w:val="TableParagraph"/>
              <w:rPr>
                <w:sz w:val="14"/>
              </w:rPr>
            </w:pPr>
          </w:p>
        </w:tc>
        <w:tc>
          <w:tcPr>
            <w:tcW w:w="1662" w:type="dxa"/>
            <w:tcBorders>
              <w:top w:val="single" w:sz="6" w:space="0" w:color="000000"/>
              <w:bottom w:val="single" w:sz="6" w:space="0" w:color="000000"/>
            </w:tcBorders>
          </w:tcPr>
          <w:p>
            <w:pPr>
              <w:pStyle w:val="TableParagraph"/>
              <w:spacing w:line="179" w:lineRule="exact" w:before="2"/>
              <w:ind w:right="163"/>
              <w:jc w:val="right"/>
              <w:rPr>
                <w:b/>
                <w:sz w:val="16"/>
              </w:rPr>
            </w:pPr>
            <w:r>
              <w:rPr>
                <w:b/>
                <w:spacing w:val="-4"/>
                <w:w w:val="105"/>
                <w:sz w:val="16"/>
              </w:rPr>
              <w:t>2021</w:t>
            </w:r>
          </w:p>
        </w:tc>
        <w:tc>
          <w:tcPr>
            <w:tcW w:w="496" w:type="dxa"/>
            <w:tcBorders>
              <w:top w:val="single" w:sz="6" w:space="0" w:color="000000"/>
              <w:bottom w:val="single" w:sz="6" w:space="0" w:color="000000"/>
            </w:tcBorders>
          </w:tcPr>
          <w:p>
            <w:pPr>
              <w:pStyle w:val="TableParagraph"/>
              <w:rPr>
                <w:sz w:val="14"/>
              </w:rPr>
            </w:pPr>
          </w:p>
        </w:tc>
        <w:tc>
          <w:tcPr>
            <w:tcW w:w="1811" w:type="dxa"/>
            <w:tcBorders>
              <w:top w:val="single" w:sz="6" w:space="0" w:color="000000"/>
              <w:bottom w:val="single" w:sz="6" w:space="0" w:color="000000"/>
            </w:tcBorders>
          </w:tcPr>
          <w:p>
            <w:pPr>
              <w:pStyle w:val="TableParagraph"/>
              <w:spacing w:line="179" w:lineRule="exact" w:before="2"/>
              <w:ind w:left="4" w:right="27"/>
              <w:jc w:val="center"/>
              <w:rPr>
                <w:sz w:val="16"/>
              </w:rPr>
            </w:pPr>
            <w:r>
              <w:rPr>
                <w:spacing w:val="-4"/>
                <w:w w:val="105"/>
                <w:sz w:val="16"/>
              </w:rPr>
              <w:t>2020</w:t>
            </w:r>
          </w:p>
        </w:tc>
        <w:tc>
          <w:tcPr>
            <w:tcW w:w="1132" w:type="dxa"/>
            <w:tcBorders>
              <w:top w:val="single" w:sz="6" w:space="0" w:color="000000"/>
              <w:bottom w:val="single" w:sz="6" w:space="0" w:color="000000"/>
            </w:tcBorders>
          </w:tcPr>
          <w:p>
            <w:pPr>
              <w:pStyle w:val="TableParagraph"/>
              <w:spacing w:line="179" w:lineRule="exact" w:before="2"/>
              <w:ind w:left="636"/>
              <w:rPr>
                <w:sz w:val="16"/>
              </w:rPr>
            </w:pPr>
            <w:r>
              <w:rPr>
                <w:spacing w:val="-4"/>
                <w:w w:val="105"/>
                <w:sz w:val="16"/>
              </w:rPr>
              <w:t>2019</w:t>
            </w:r>
          </w:p>
        </w:tc>
        <w:tc>
          <w:tcPr>
            <w:tcW w:w="529" w:type="dxa"/>
            <w:tcBorders>
              <w:top w:val="single" w:sz="6" w:space="0" w:color="000000"/>
              <w:bottom w:val="single" w:sz="6" w:space="0" w:color="000000"/>
            </w:tcBorders>
          </w:tcPr>
          <w:p>
            <w:pPr>
              <w:pStyle w:val="TableParagraph"/>
              <w:rPr>
                <w:sz w:val="14"/>
              </w:rPr>
            </w:pPr>
          </w:p>
        </w:tc>
      </w:tr>
      <w:tr>
        <w:trPr>
          <w:trHeight w:val="202" w:hRule="atLeast"/>
        </w:trPr>
        <w:tc>
          <w:tcPr>
            <w:tcW w:w="5885" w:type="dxa"/>
            <w:tcBorders>
              <w:top w:val="single" w:sz="6" w:space="0" w:color="000000"/>
            </w:tcBorders>
            <w:shd w:val="clear" w:color="auto" w:fill="CCEDFF"/>
          </w:tcPr>
          <w:p>
            <w:pPr>
              <w:pStyle w:val="TableParagraph"/>
              <w:spacing w:line="180" w:lineRule="exact" w:before="2"/>
              <w:rPr>
                <w:sz w:val="16"/>
              </w:rPr>
            </w:pPr>
            <w:r>
              <w:rPr>
                <w:spacing w:val="-2"/>
                <w:w w:val="105"/>
                <w:sz w:val="16"/>
              </w:rPr>
              <w:t>Severance</w:t>
            </w:r>
          </w:p>
        </w:tc>
        <w:tc>
          <w:tcPr>
            <w:tcW w:w="1662" w:type="dxa"/>
            <w:tcBorders>
              <w:top w:val="single" w:sz="6" w:space="0" w:color="000000"/>
            </w:tcBorders>
            <w:shd w:val="clear" w:color="auto" w:fill="CCEDFF"/>
          </w:tcPr>
          <w:p>
            <w:pPr>
              <w:pStyle w:val="TableParagraph"/>
              <w:spacing w:line="180" w:lineRule="exact" w:before="2"/>
              <w:ind w:right="405"/>
              <w:jc w:val="center"/>
              <w:rPr>
                <w:b/>
                <w:sz w:val="16"/>
              </w:rPr>
            </w:pPr>
            <w:r>
              <w:rPr>
                <w:b/>
                <w:spacing w:val="-10"/>
                <w:w w:val="105"/>
                <w:sz w:val="16"/>
              </w:rPr>
              <w:t>$</w:t>
            </w:r>
          </w:p>
        </w:tc>
        <w:tc>
          <w:tcPr>
            <w:tcW w:w="496" w:type="dxa"/>
            <w:tcBorders>
              <w:top w:val="single" w:sz="6" w:space="0" w:color="000000"/>
            </w:tcBorders>
            <w:shd w:val="clear" w:color="auto" w:fill="CCEDFF"/>
          </w:tcPr>
          <w:p>
            <w:pPr>
              <w:pStyle w:val="TableParagraph"/>
              <w:spacing w:line="180" w:lineRule="exact" w:before="2"/>
              <w:ind w:left="193"/>
              <w:rPr>
                <w:b/>
                <w:sz w:val="16"/>
              </w:rPr>
            </w:pPr>
            <w:r>
              <w:rPr>
                <w:b/>
                <w:spacing w:val="-4"/>
                <w:w w:val="105"/>
                <w:sz w:val="16"/>
              </w:rPr>
              <w:t>(13)</w:t>
            </w:r>
          </w:p>
        </w:tc>
        <w:tc>
          <w:tcPr>
            <w:tcW w:w="1811" w:type="dxa"/>
            <w:tcBorders>
              <w:top w:val="single" w:sz="6" w:space="0" w:color="000000"/>
            </w:tcBorders>
            <w:shd w:val="clear" w:color="auto" w:fill="CCEDFF"/>
          </w:tcPr>
          <w:p>
            <w:pPr>
              <w:pStyle w:val="TableParagraph"/>
              <w:tabs>
                <w:tab w:pos="1389" w:val="left" w:leader="none"/>
              </w:tabs>
              <w:spacing w:line="180" w:lineRule="exact" w:before="2"/>
              <w:ind w:left="147"/>
              <w:rPr>
                <w:sz w:val="16"/>
              </w:rPr>
            </w:pPr>
            <w:r>
              <w:rPr>
                <w:spacing w:val="-10"/>
                <w:w w:val="105"/>
                <w:sz w:val="16"/>
              </w:rPr>
              <w:t>$</w:t>
            </w:r>
            <w:r>
              <w:rPr>
                <w:sz w:val="16"/>
              </w:rPr>
              <w:tab/>
            </w:r>
            <w:r>
              <w:rPr>
                <w:spacing w:val="-5"/>
                <w:w w:val="105"/>
                <w:sz w:val="16"/>
              </w:rPr>
              <w:t>148</w:t>
            </w:r>
          </w:p>
        </w:tc>
        <w:tc>
          <w:tcPr>
            <w:tcW w:w="1132" w:type="dxa"/>
            <w:tcBorders>
              <w:top w:val="single" w:sz="6" w:space="0" w:color="000000"/>
            </w:tcBorders>
            <w:shd w:val="clear" w:color="auto" w:fill="CCEDFF"/>
          </w:tcPr>
          <w:p>
            <w:pPr>
              <w:pStyle w:val="TableParagraph"/>
              <w:spacing w:line="180" w:lineRule="exact" w:before="2"/>
              <w:ind w:left="56"/>
              <w:rPr>
                <w:sz w:val="16"/>
              </w:rPr>
            </w:pPr>
            <w:r>
              <w:rPr>
                <w:spacing w:val="-10"/>
                <w:w w:val="105"/>
                <w:sz w:val="16"/>
              </w:rPr>
              <w:t>$</w:t>
            </w:r>
          </w:p>
        </w:tc>
        <w:tc>
          <w:tcPr>
            <w:tcW w:w="529" w:type="dxa"/>
            <w:tcBorders>
              <w:top w:val="single" w:sz="6" w:space="0" w:color="000000"/>
            </w:tcBorders>
            <w:shd w:val="clear" w:color="auto" w:fill="CCEDFF"/>
          </w:tcPr>
          <w:p>
            <w:pPr>
              <w:pStyle w:val="TableParagraph"/>
              <w:spacing w:line="180" w:lineRule="exact" w:before="2"/>
              <w:ind w:left="135"/>
              <w:jc w:val="center"/>
              <w:rPr>
                <w:sz w:val="16"/>
              </w:rPr>
            </w:pPr>
            <w:r>
              <w:rPr>
                <w:spacing w:val="-5"/>
                <w:w w:val="105"/>
                <w:sz w:val="16"/>
              </w:rPr>
              <w:t>63</w:t>
            </w:r>
          </w:p>
        </w:tc>
      </w:tr>
      <w:tr>
        <w:trPr>
          <w:trHeight w:val="203" w:hRule="atLeast"/>
        </w:trPr>
        <w:tc>
          <w:tcPr>
            <w:tcW w:w="5885" w:type="dxa"/>
          </w:tcPr>
          <w:p>
            <w:pPr>
              <w:pStyle w:val="TableParagraph"/>
              <w:spacing w:line="180" w:lineRule="exact" w:before="3"/>
              <w:rPr>
                <w:sz w:val="16"/>
              </w:rPr>
            </w:pPr>
            <w:r>
              <w:rPr>
                <w:w w:val="105"/>
                <w:sz w:val="16"/>
              </w:rPr>
              <w:t>Asset</w:t>
            </w:r>
            <w:r>
              <w:rPr>
                <w:spacing w:val="-9"/>
                <w:w w:val="105"/>
                <w:sz w:val="16"/>
              </w:rPr>
              <w:t> </w:t>
            </w:r>
            <w:r>
              <w:rPr>
                <w:spacing w:val="-2"/>
                <w:w w:val="105"/>
                <w:sz w:val="16"/>
              </w:rPr>
              <w:t>impairment</w:t>
            </w:r>
          </w:p>
        </w:tc>
        <w:tc>
          <w:tcPr>
            <w:tcW w:w="1662" w:type="dxa"/>
          </w:tcPr>
          <w:p>
            <w:pPr>
              <w:pStyle w:val="TableParagraph"/>
              <w:rPr>
                <w:sz w:val="14"/>
              </w:rPr>
            </w:pPr>
          </w:p>
        </w:tc>
        <w:tc>
          <w:tcPr>
            <w:tcW w:w="496" w:type="dxa"/>
          </w:tcPr>
          <w:p>
            <w:pPr>
              <w:pStyle w:val="TableParagraph"/>
              <w:rPr>
                <w:sz w:val="14"/>
              </w:rPr>
            </w:pPr>
          </w:p>
        </w:tc>
        <w:tc>
          <w:tcPr>
            <w:tcW w:w="1811" w:type="dxa"/>
          </w:tcPr>
          <w:p>
            <w:pPr>
              <w:pStyle w:val="TableParagraph"/>
              <w:spacing w:line="180" w:lineRule="exact" w:before="3"/>
              <w:ind w:right="170"/>
              <w:jc w:val="right"/>
              <w:rPr>
                <w:sz w:val="16"/>
              </w:rPr>
            </w:pPr>
            <w:r>
              <w:rPr>
                <w:spacing w:val="-5"/>
                <w:w w:val="105"/>
                <w:sz w:val="16"/>
              </w:rPr>
              <w:t>217</w:t>
            </w:r>
          </w:p>
        </w:tc>
        <w:tc>
          <w:tcPr>
            <w:tcW w:w="1132" w:type="dxa"/>
          </w:tcPr>
          <w:p>
            <w:pPr>
              <w:pStyle w:val="TableParagraph"/>
              <w:rPr>
                <w:sz w:val="14"/>
              </w:rPr>
            </w:pPr>
          </w:p>
        </w:tc>
        <w:tc>
          <w:tcPr>
            <w:tcW w:w="529" w:type="dxa"/>
          </w:tcPr>
          <w:p>
            <w:pPr>
              <w:pStyle w:val="TableParagraph"/>
              <w:rPr>
                <w:sz w:val="14"/>
              </w:rPr>
            </w:pPr>
          </w:p>
        </w:tc>
      </w:tr>
      <w:tr>
        <w:trPr>
          <w:trHeight w:val="203" w:hRule="atLeast"/>
        </w:trPr>
        <w:tc>
          <w:tcPr>
            <w:tcW w:w="5885" w:type="dxa"/>
            <w:shd w:val="clear" w:color="auto" w:fill="CCEDFF"/>
          </w:tcPr>
          <w:p>
            <w:pPr>
              <w:pStyle w:val="TableParagraph"/>
              <w:spacing w:line="180" w:lineRule="exact" w:before="3"/>
              <w:rPr>
                <w:sz w:val="16"/>
              </w:rPr>
            </w:pPr>
            <w:r>
              <w:rPr>
                <w:sz w:val="16"/>
              </w:rPr>
              <w:t>Capacity</w:t>
            </w:r>
            <w:r>
              <w:rPr>
                <w:spacing w:val="18"/>
                <w:sz w:val="16"/>
              </w:rPr>
              <w:t> </w:t>
            </w:r>
            <w:r>
              <w:rPr>
                <w:spacing w:val="-2"/>
                <w:sz w:val="16"/>
              </w:rPr>
              <w:t>realignment</w:t>
            </w:r>
          </w:p>
        </w:tc>
        <w:tc>
          <w:tcPr>
            <w:tcW w:w="1662" w:type="dxa"/>
            <w:shd w:val="clear" w:color="auto" w:fill="CCEDFF"/>
          </w:tcPr>
          <w:p>
            <w:pPr>
              <w:pStyle w:val="TableParagraph"/>
              <w:rPr>
                <w:sz w:val="14"/>
              </w:rPr>
            </w:pPr>
          </w:p>
        </w:tc>
        <w:tc>
          <w:tcPr>
            <w:tcW w:w="496" w:type="dxa"/>
            <w:shd w:val="clear" w:color="auto" w:fill="CCEDFF"/>
          </w:tcPr>
          <w:p>
            <w:pPr>
              <w:pStyle w:val="TableParagraph"/>
              <w:spacing w:line="180" w:lineRule="exact" w:before="3"/>
              <w:ind w:left="248"/>
              <w:rPr>
                <w:b/>
                <w:sz w:val="16"/>
              </w:rPr>
            </w:pPr>
            <w:r>
              <w:rPr>
                <w:b/>
                <w:spacing w:val="-5"/>
                <w:w w:val="105"/>
                <w:sz w:val="16"/>
              </w:rPr>
              <w:t>46</w:t>
            </w:r>
          </w:p>
        </w:tc>
        <w:tc>
          <w:tcPr>
            <w:tcW w:w="1811" w:type="dxa"/>
            <w:shd w:val="clear" w:color="auto" w:fill="CCEDFF"/>
          </w:tcPr>
          <w:p>
            <w:pPr>
              <w:pStyle w:val="TableParagraph"/>
              <w:spacing w:line="180" w:lineRule="exact" w:before="3"/>
              <w:ind w:right="170"/>
              <w:jc w:val="right"/>
              <w:rPr>
                <w:sz w:val="16"/>
              </w:rPr>
            </w:pPr>
            <w:r>
              <w:rPr>
                <w:spacing w:val="-5"/>
                <w:w w:val="105"/>
                <w:sz w:val="16"/>
              </w:rPr>
              <w:t>304</w:t>
            </w:r>
          </w:p>
        </w:tc>
        <w:tc>
          <w:tcPr>
            <w:tcW w:w="1132" w:type="dxa"/>
            <w:shd w:val="clear" w:color="auto" w:fill="CCEDFF"/>
          </w:tcPr>
          <w:p>
            <w:pPr>
              <w:pStyle w:val="TableParagraph"/>
              <w:rPr>
                <w:sz w:val="14"/>
              </w:rPr>
            </w:pPr>
          </w:p>
        </w:tc>
        <w:tc>
          <w:tcPr>
            <w:tcW w:w="529" w:type="dxa"/>
            <w:shd w:val="clear" w:color="auto" w:fill="CCEDFF"/>
          </w:tcPr>
          <w:p>
            <w:pPr>
              <w:pStyle w:val="TableParagraph"/>
              <w:spacing w:line="180" w:lineRule="exact" w:before="3"/>
              <w:ind w:left="135" w:right="83"/>
              <w:jc w:val="center"/>
              <w:rPr>
                <w:sz w:val="16"/>
              </w:rPr>
            </w:pPr>
            <w:r>
              <w:rPr>
                <w:spacing w:val="-5"/>
                <w:w w:val="105"/>
                <w:sz w:val="16"/>
              </w:rPr>
              <w:t>312</w:t>
            </w:r>
          </w:p>
        </w:tc>
      </w:tr>
      <w:tr>
        <w:trPr>
          <w:trHeight w:val="202" w:hRule="atLeast"/>
        </w:trPr>
        <w:tc>
          <w:tcPr>
            <w:tcW w:w="5885" w:type="dxa"/>
            <w:tcBorders>
              <w:bottom w:val="single" w:sz="6" w:space="0" w:color="000000"/>
            </w:tcBorders>
          </w:tcPr>
          <w:p>
            <w:pPr>
              <w:pStyle w:val="TableParagraph"/>
              <w:spacing w:line="179" w:lineRule="exact" w:before="3"/>
              <w:rPr>
                <w:sz w:val="16"/>
              </w:rPr>
            </w:pPr>
            <w:r>
              <w:rPr>
                <w:w w:val="105"/>
                <w:sz w:val="16"/>
              </w:rPr>
              <w:t>Other</w:t>
            </w:r>
            <w:r>
              <w:rPr>
                <w:spacing w:val="-11"/>
                <w:w w:val="105"/>
                <w:sz w:val="16"/>
              </w:rPr>
              <w:t> </w:t>
            </w:r>
            <w:r>
              <w:rPr>
                <w:w w:val="105"/>
                <w:sz w:val="16"/>
              </w:rPr>
              <w:t>charges</w:t>
            </w:r>
            <w:r>
              <w:rPr>
                <w:spacing w:val="-10"/>
                <w:w w:val="105"/>
                <w:sz w:val="16"/>
              </w:rPr>
              <w:t> </w:t>
            </w:r>
            <w:r>
              <w:rPr>
                <w:w w:val="105"/>
                <w:sz w:val="16"/>
              </w:rPr>
              <w:t>and</w:t>
            </w:r>
            <w:r>
              <w:rPr>
                <w:spacing w:val="-10"/>
                <w:w w:val="105"/>
                <w:sz w:val="16"/>
              </w:rPr>
              <w:t> </w:t>
            </w:r>
            <w:r>
              <w:rPr>
                <w:spacing w:val="-2"/>
                <w:w w:val="105"/>
                <w:sz w:val="16"/>
              </w:rPr>
              <w:t>credits</w:t>
            </w:r>
          </w:p>
        </w:tc>
        <w:tc>
          <w:tcPr>
            <w:tcW w:w="1662" w:type="dxa"/>
            <w:tcBorders>
              <w:bottom w:val="single" w:sz="6" w:space="0" w:color="000000"/>
            </w:tcBorders>
          </w:tcPr>
          <w:p>
            <w:pPr>
              <w:pStyle w:val="TableParagraph"/>
              <w:rPr>
                <w:sz w:val="14"/>
              </w:rPr>
            </w:pPr>
          </w:p>
        </w:tc>
        <w:tc>
          <w:tcPr>
            <w:tcW w:w="496" w:type="dxa"/>
            <w:tcBorders>
              <w:bottom w:val="single" w:sz="6" w:space="0" w:color="000000"/>
            </w:tcBorders>
          </w:tcPr>
          <w:p>
            <w:pPr>
              <w:pStyle w:val="TableParagraph"/>
              <w:spacing w:line="179" w:lineRule="exact" w:before="3"/>
              <w:ind w:left="248"/>
              <w:rPr>
                <w:b/>
                <w:sz w:val="16"/>
              </w:rPr>
            </w:pPr>
            <w:r>
              <w:rPr>
                <w:b/>
                <w:spacing w:val="-5"/>
                <w:w w:val="105"/>
                <w:sz w:val="16"/>
              </w:rPr>
              <w:t>77</w:t>
            </w:r>
          </w:p>
        </w:tc>
        <w:tc>
          <w:tcPr>
            <w:tcW w:w="1811" w:type="dxa"/>
            <w:tcBorders>
              <w:bottom w:val="single" w:sz="6" w:space="0" w:color="000000"/>
            </w:tcBorders>
          </w:tcPr>
          <w:p>
            <w:pPr>
              <w:pStyle w:val="TableParagraph"/>
              <w:spacing w:line="179" w:lineRule="exact" w:before="3"/>
              <w:ind w:right="170"/>
              <w:jc w:val="right"/>
              <w:rPr>
                <w:sz w:val="16"/>
              </w:rPr>
            </w:pPr>
            <w:r>
              <w:rPr>
                <w:spacing w:val="-5"/>
                <w:w w:val="105"/>
                <w:sz w:val="16"/>
              </w:rPr>
              <w:t>158</w:t>
            </w:r>
          </w:p>
        </w:tc>
        <w:tc>
          <w:tcPr>
            <w:tcW w:w="1132" w:type="dxa"/>
            <w:tcBorders>
              <w:bottom w:val="single" w:sz="6" w:space="0" w:color="000000"/>
            </w:tcBorders>
          </w:tcPr>
          <w:p>
            <w:pPr>
              <w:pStyle w:val="TableParagraph"/>
              <w:rPr>
                <w:sz w:val="14"/>
              </w:rPr>
            </w:pPr>
          </w:p>
        </w:tc>
        <w:tc>
          <w:tcPr>
            <w:tcW w:w="529" w:type="dxa"/>
            <w:tcBorders>
              <w:bottom w:val="single" w:sz="6" w:space="0" w:color="000000"/>
            </w:tcBorders>
          </w:tcPr>
          <w:p>
            <w:pPr>
              <w:pStyle w:val="TableParagraph"/>
              <w:spacing w:line="179" w:lineRule="exact" w:before="3"/>
              <w:ind w:left="135"/>
              <w:jc w:val="center"/>
              <w:rPr>
                <w:sz w:val="16"/>
              </w:rPr>
            </w:pPr>
            <w:r>
              <w:rPr>
                <w:spacing w:val="-5"/>
                <w:w w:val="105"/>
                <w:sz w:val="16"/>
              </w:rPr>
              <w:t>64</w:t>
            </w:r>
          </w:p>
        </w:tc>
      </w:tr>
      <w:tr>
        <w:trPr>
          <w:trHeight w:val="199" w:hRule="atLeast"/>
        </w:trPr>
        <w:tc>
          <w:tcPr>
            <w:tcW w:w="5885" w:type="dxa"/>
            <w:tcBorders>
              <w:top w:val="single" w:sz="6" w:space="0" w:color="000000"/>
              <w:bottom w:val="double" w:sz="6" w:space="0" w:color="000000"/>
            </w:tcBorders>
            <w:shd w:val="clear" w:color="auto" w:fill="CCEDFF"/>
          </w:tcPr>
          <w:p>
            <w:pPr>
              <w:pStyle w:val="TableParagraph"/>
              <w:spacing w:line="177" w:lineRule="exact" w:before="2"/>
              <w:ind w:left="152"/>
              <w:rPr>
                <w:sz w:val="16"/>
              </w:rPr>
            </w:pPr>
            <w:r>
              <w:rPr>
                <w:w w:val="105"/>
                <w:sz w:val="16"/>
              </w:rPr>
              <w:t>Total</w:t>
            </w:r>
            <w:r>
              <w:rPr>
                <w:spacing w:val="-11"/>
                <w:w w:val="105"/>
                <w:sz w:val="16"/>
              </w:rPr>
              <w:t> </w:t>
            </w:r>
            <w:r>
              <w:rPr>
                <w:w w:val="105"/>
                <w:sz w:val="16"/>
              </w:rPr>
              <w:t>restructuring,</w:t>
            </w:r>
            <w:r>
              <w:rPr>
                <w:spacing w:val="-10"/>
                <w:w w:val="105"/>
                <w:sz w:val="16"/>
              </w:rPr>
              <w:t> </w:t>
            </w:r>
            <w:r>
              <w:rPr>
                <w:w w:val="105"/>
                <w:sz w:val="16"/>
              </w:rPr>
              <w:t>impairment</w:t>
            </w:r>
            <w:r>
              <w:rPr>
                <w:spacing w:val="-10"/>
                <w:w w:val="105"/>
                <w:sz w:val="16"/>
              </w:rPr>
              <w:t> </w:t>
            </w:r>
            <w:r>
              <w:rPr>
                <w:w w:val="105"/>
                <w:sz w:val="16"/>
              </w:rPr>
              <w:t>and</w:t>
            </w:r>
            <w:r>
              <w:rPr>
                <w:spacing w:val="-10"/>
                <w:w w:val="105"/>
                <w:sz w:val="16"/>
              </w:rPr>
              <w:t> </w:t>
            </w:r>
            <w:r>
              <w:rPr>
                <w:w w:val="105"/>
                <w:sz w:val="16"/>
              </w:rPr>
              <w:t>other</w:t>
            </w:r>
            <w:r>
              <w:rPr>
                <w:spacing w:val="-10"/>
                <w:w w:val="105"/>
                <w:sz w:val="16"/>
              </w:rPr>
              <w:t> </w:t>
            </w:r>
            <w:r>
              <w:rPr>
                <w:w w:val="105"/>
                <w:sz w:val="16"/>
              </w:rPr>
              <w:t>charges</w:t>
            </w:r>
            <w:r>
              <w:rPr>
                <w:spacing w:val="-10"/>
                <w:w w:val="105"/>
                <w:sz w:val="16"/>
              </w:rPr>
              <w:t> </w:t>
            </w:r>
            <w:r>
              <w:rPr>
                <w:w w:val="105"/>
                <w:sz w:val="16"/>
              </w:rPr>
              <w:t>and</w:t>
            </w:r>
            <w:r>
              <w:rPr>
                <w:spacing w:val="-10"/>
                <w:w w:val="105"/>
                <w:sz w:val="16"/>
              </w:rPr>
              <w:t> </w:t>
            </w:r>
            <w:r>
              <w:rPr>
                <w:spacing w:val="-2"/>
                <w:w w:val="105"/>
                <w:sz w:val="16"/>
              </w:rPr>
              <w:t>credits</w:t>
            </w:r>
          </w:p>
        </w:tc>
        <w:tc>
          <w:tcPr>
            <w:tcW w:w="1662" w:type="dxa"/>
            <w:tcBorders>
              <w:top w:val="single" w:sz="6" w:space="0" w:color="000000"/>
              <w:bottom w:val="double" w:sz="6" w:space="0" w:color="000000"/>
            </w:tcBorders>
            <w:shd w:val="clear" w:color="auto" w:fill="CCEDFF"/>
          </w:tcPr>
          <w:p>
            <w:pPr>
              <w:pStyle w:val="TableParagraph"/>
              <w:spacing w:line="177" w:lineRule="exact" w:before="2"/>
              <w:ind w:right="405"/>
              <w:jc w:val="center"/>
              <w:rPr>
                <w:b/>
                <w:sz w:val="16"/>
              </w:rPr>
            </w:pPr>
            <w:r>
              <w:rPr>
                <w:b/>
                <w:spacing w:val="-10"/>
                <w:w w:val="105"/>
                <w:sz w:val="16"/>
              </w:rPr>
              <w:t>$</w:t>
            </w:r>
          </w:p>
        </w:tc>
        <w:tc>
          <w:tcPr>
            <w:tcW w:w="496" w:type="dxa"/>
            <w:tcBorders>
              <w:top w:val="single" w:sz="6" w:space="0" w:color="000000"/>
              <w:bottom w:val="double" w:sz="6" w:space="0" w:color="000000"/>
            </w:tcBorders>
            <w:shd w:val="clear" w:color="auto" w:fill="CCEDFF"/>
          </w:tcPr>
          <w:p>
            <w:pPr>
              <w:pStyle w:val="TableParagraph"/>
              <w:spacing w:line="177" w:lineRule="exact" w:before="2"/>
              <w:ind w:left="166"/>
              <w:rPr>
                <w:b/>
                <w:sz w:val="16"/>
              </w:rPr>
            </w:pPr>
            <w:r>
              <w:rPr>
                <w:b/>
                <w:spacing w:val="-5"/>
                <w:w w:val="105"/>
                <w:sz w:val="16"/>
              </w:rPr>
              <w:t>110</w:t>
            </w:r>
          </w:p>
        </w:tc>
        <w:tc>
          <w:tcPr>
            <w:tcW w:w="1811" w:type="dxa"/>
            <w:tcBorders>
              <w:top w:val="single" w:sz="6" w:space="0" w:color="000000"/>
              <w:bottom w:val="double" w:sz="6" w:space="0" w:color="000000"/>
            </w:tcBorders>
            <w:shd w:val="clear" w:color="auto" w:fill="CCEDFF"/>
          </w:tcPr>
          <w:p>
            <w:pPr>
              <w:pStyle w:val="TableParagraph"/>
              <w:tabs>
                <w:tab w:pos="1389" w:val="left" w:leader="none"/>
              </w:tabs>
              <w:spacing w:line="177" w:lineRule="exact" w:before="2"/>
              <w:ind w:left="147"/>
              <w:rPr>
                <w:sz w:val="16"/>
              </w:rPr>
            </w:pPr>
            <w:r>
              <w:rPr>
                <w:spacing w:val="-10"/>
                <w:w w:val="105"/>
                <w:sz w:val="16"/>
              </w:rPr>
              <w:t>$</w:t>
            </w:r>
            <w:r>
              <w:rPr>
                <w:sz w:val="16"/>
              </w:rPr>
              <w:tab/>
            </w:r>
            <w:r>
              <w:rPr>
                <w:spacing w:val="-5"/>
                <w:w w:val="105"/>
                <w:sz w:val="16"/>
              </w:rPr>
              <w:t>827</w:t>
            </w:r>
          </w:p>
        </w:tc>
        <w:tc>
          <w:tcPr>
            <w:tcW w:w="1132" w:type="dxa"/>
            <w:tcBorders>
              <w:top w:val="single" w:sz="6" w:space="0" w:color="000000"/>
              <w:bottom w:val="double" w:sz="6" w:space="0" w:color="000000"/>
            </w:tcBorders>
            <w:shd w:val="clear" w:color="auto" w:fill="CCEDFF"/>
          </w:tcPr>
          <w:p>
            <w:pPr>
              <w:pStyle w:val="TableParagraph"/>
              <w:spacing w:line="177" w:lineRule="exact" w:before="2"/>
              <w:ind w:left="56"/>
              <w:rPr>
                <w:sz w:val="16"/>
              </w:rPr>
            </w:pPr>
            <w:r>
              <w:rPr>
                <w:spacing w:val="-10"/>
                <w:w w:val="105"/>
                <w:sz w:val="16"/>
              </w:rPr>
              <w:t>$</w:t>
            </w:r>
          </w:p>
        </w:tc>
        <w:tc>
          <w:tcPr>
            <w:tcW w:w="529" w:type="dxa"/>
            <w:tcBorders>
              <w:top w:val="single" w:sz="6" w:space="0" w:color="000000"/>
              <w:bottom w:val="double" w:sz="6" w:space="0" w:color="000000"/>
            </w:tcBorders>
            <w:shd w:val="clear" w:color="auto" w:fill="CCEDFF"/>
          </w:tcPr>
          <w:p>
            <w:pPr>
              <w:pStyle w:val="TableParagraph"/>
              <w:spacing w:line="177" w:lineRule="exact" w:before="2"/>
              <w:ind w:left="135" w:right="83"/>
              <w:jc w:val="center"/>
              <w:rPr>
                <w:sz w:val="16"/>
              </w:rPr>
            </w:pPr>
            <w:r>
              <w:rPr>
                <w:spacing w:val="-5"/>
                <w:w w:val="105"/>
                <w:sz w:val="16"/>
              </w:rPr>
              <w:t>439</w:t>
            </w:r>
          </w:p>
        </w:tc>
      </w:tr>
    </w:tbl>
    <w:p>
      <w:pPr>
        <w:pStyle w:val="BodyText"/>
        <w:spacing w:before="24"/>
      </w:pPr>
    </w:p>
    <w:p>
      <w:pPr>
        <w:pStyle w:val="BodyText"/>
        <w:spacing w:line="266" w:lineRule="auto"/>
        <w:ind w:left="156"/>
      </w:pPr>
      <w:r>
        <w:rPr>
          <w:w w:val="105"/>
        </w:rPr>
        <w:t>Corning</w:t>
      </w:r>
      <w:r>
        <w:rPr>
          <w:spacing w:val="-9"/>
          <w:w w:val="105"/>
        </w:rPr>
        <w:t> </w:t>
      </w:r>
      <w:r>
        <w:rPr>
          <w:w w:val="105"/>
        </w:rPr>
        <w:t>periodically</w:t>
      </w:r>
      <w:r>
        <w:rPr>
          <w:spacing w:val="-9"/>
          <w:w w:val="105"/>
        </w:rPr>
        <w:t> </w:t>
      </w:r>
      <w:r>
        <w:rPr>
          <w:w w:val="105"/>
        </w:rPr>
        <w:t>assesses</w:t>
      </w:r>
      <w:r>
        <w:rPr>
          <w:spacing w:val="-7"/>
          <w:w w:val="105"/>
        </w:rPr>
        <w:t> </w:t>
      </w:r>
      <w:r>
        <w:rPr>
          <w:w w:val="105"/>
        </w:rPr>
        <w:t>the</w:t>
      </w:r>
      <w:r>
        <w:rPr>
          <w:spacing w:val="-9"/>
          <w:w w:val="105"/>
        </w:rPr>
        <w:t> </w:t>
      </w:r>
      <w:r>
        <w:rPr>
          <w:w w:val="105"/>
        </w:rPr>
        <w:t>operating</w:t>
      </w:r>
      <w:r>
        <w:rPr>
          <w:spacing w:val="-9"/>
          <w:w w:val="105"/>
        </w:rPr>
        <w:t> </w:t>
      </w:r>
      <w:r>
        <w:rPr>
          <w:w w:val="105"/>
        </w:rPr>
        <w:t>efficiency</w:t>
      </w:r>
      <w:r>
        <w:rPr>
          <w:spacing w:val="-9"/>
          <w:w w:val="105"/>
        </w:rPr>
        <w:t> </w:t>
      </w:r>
      <w:r>
        <w:rPr>
          <w:w w:val="105"/>
        </w:rPr>
        <w:t>and</w:t>
      </w:r>
      <w:r>
        <w:rPr>
          <w:spacing w:val="-9"/>
          <w:w w:val="105"/>
        </w:rPr>
        <w:t> </w:t>
      </w:r>
      <w:r>
        <w:rPr>
          <w:w w:val="105"/>
        </w:rPr>
        <w:t>cost</w:t>
      </w:r>
      <w:r>
        <w:rPr>
          <w:spacing w:val="-9"/>
          <w:w w:val="105"/>
        </w:rPr>
        <w:t> </w:t>
      </w:r>
      <w:r>
        <w:rPr>
          <w:w w:val="105"/>
        </w:rPr>
        <w:t>structure</w:t>
      </w:r>
      <w:r>
        <w:rPr>
          <w:spacing w:val="-9"/>
          <w:w w:val="105"/>
        </w:rPr>
        <w:t> </w:t>
      </w:r>
      <w:r>
        <w:rPr>
          <w:w w:val="105"/>
        </w:rPr>
        <w:t>of</w:t>
      </w:r>
      <w:r>
        <w:rPr>
          <w:spacing w:val="-9"/>
          <w:w w:val="105"/>
        </w:rPr>
        <w:t> </w:t>
      </w:r>
      <w:r>
        <w:rPr>
          <w:w w:val="105"/>
        </w:rPr>
        <w:t>the</w:t>
      </w:r>
      <w:r>
        <w:rPr>
          <w:spacing w:val="-9"/>
          <w:w w:val="105"/>
        </w:rPr>
        <w:t> </w:t>
      </w:r>
      <w:r>
        <w:rPr>
          <w:w w:val="105"/>
        </w:rPr>
        <w:t>Company's</w:t>
      </w:r>
      <w:r>
        <w:rPr>
          <w:spacing w:val="-9"/>
          <w:w w:val="105"/>
        </w:rPr>
        <w:t> </w:t>
      </w:r>
      <w:r>
        <w:rPr>
          <w:w w:val="105"/>
        </w:rPr>
        <w:t>asset</w:t>
      </w:r>
      <w:r>
        <w:rPr>
          <w:spacing w:val="-9"/>
          <w:w w:val="105"/>
        </w:rPr>
        <w:t> </w:t>
      </w:r>
      <w:r>
        <w:rPr>
          <w:w w:val="105"/>
        </w:rPr>
        <w:t>base</w:t>
      </w:r>
      <w:r>
        <w:rPr>
          <w:spacing w:val="-9"/>
          <w:w w:val="105"/>
        </w:rPr>
        <w:t> </w:t>
      </w:r>
      <w:r>
        <w:rPr>
          <w:w w:val="105"/>
        </w:rPr>
        <w:t>and</w:t>
      </w:r>
      <w:r>
        <w:rPr>
          <w:spacing w:val="-9"/>
          <w:w w:val="105"/>
        </w:rPr>
        <w:t> </w:t>
      </w:r>
      <w:r>
        <w:rPr>
          <w:w w:val="105"/>
        </w:rPr>
        <w:t>global</w:t>
      </w:r>
      <w:r>
        <w:rPr>
          <w:spacing w:val="-9"/>
          <w:w w:val="105"/>
        </w:rPr>
        <w:t> </w:t>
      </w:r>
      <w:r>
        <w:rPr>
          <w:w w:val="105"/>
        </w:rPr>
        <w:t>workforce</w:t>
      </w:r>
      <w:r>
        <w:rPr>
          <w:spacing w:val="-9"/>
          <w:w w:val="105"/>
        </w:rPr>
        <w:t> </w:t>
      </w:r>
      <w:r>
        <w:rPr>
          <w:w w:val="105"/>
        </w:rPr>
        <w:t>and</w:t>
      </w:r>
      <w:r>
        <w:rPr>
          <w:spacing w:val="-9"/>
          <w:w w:val="105"/>
        </w:rPr>
        <w:t> </w:t>
      </w:r>
      <w:r>
        <w:rPr>
          <w:w w:val="105"/>
        </w:rPr>
        <w:t>takes</w:t>
      </w:r>
      <w:r>
        <w:rPr>
          <w:spacing w:val="-9"/>
          <w:w w:val="105"/>
        </w:rPr>
        <w:t> </w:t>
      </w:r>
      <w:r>
        <w:rPr>
          <w:w w:val="105"/>
        </w:rPr>
        <w:t>appropriate</w:t>
      </w:r>
      <w:r>
        <w:rPr>
          <w:spacing w:val="-7"/>
          <w:w w:val="105"/>
        </w:rPr>
        <w:t> </w:t>
      </w:r>
      <w:r>
        <w:rPr>
          <w:w w:val="105"/>
        </w:rPr>
        <w:t>actions</w:t>
      </w:r>
      <w:r>
        <w:rPr>
          <w:spacing w:val="-9"/>
          <w:w w:val="105"/>
        </w:rPr>
        <w:t> </w:t>
      </w:r>
      <w:r>
        <w:rPr>
          <w:w w:val="105"/>
        </w:rPr>
        <w:t>to</w:t>
      </w:r>
      <w:r>
        <w:rPr>
          <w:spacing w:val="-9"/>
          <w:w w:val="105"/>
        </w:rPr>
        <w:t> </w:t>
      </w:r>
      <w:r>
        <w:rPr>
          <w:w w:val="105"/>
        </w:rPr>
        <w:t>align</w:t>
      </w:r>
      <w:r>
        <w:rPr>
          <w:spacing w:val="-9"/>
          <w:w w:val="105"/>
        </w:rPr>
        <w:t> </w:t>
      </w:r>
      <w:r>
        <w:rPr>
          <w:w w:val="105"/>
        </w:rPr>
        <w:t>corporate resources with the business environment.</w:t>
      </w:r>
    </w:p>
    <w:p>
      <w:pPr>
        <w:pStyle w:val="BodyText"/>
        <w:spacing w:before="19"/>
      </w:pPr>
    </w:p>
    <w:p>
      <w:pPr>
        <w:pStyle w:val="BodyText"/>
        <w:spacing w:line="266" w:lineRule="auto"/>
        <w:ind w:left="156"/>
      </w:pPr>
      <w:r>
        <w:rPr>
          <w:w w:val="105"/>
        </w:rPr>
        <w:t>In</w:t>
      </w:r>
      <w:r>
        <w:rPr>
          <w:spacing w:val="-9"/>
          <w:w w:val="105"/>
        </w:rPr>
        <w:t> </w:t>
      </w:r>
      <w:r>
        <w:rPr>
          <w:w w:val="105"/>
        </w:rPr>
        <w:t>2020,</w:t>
      </w:r>
      <w:r>
        <w:rPr>
          <w:spacing w:val="-9"/>
          <w:w w:val="105"/>
        </w:rPr>
        <w:t> </w:t>
      </w:r>
      <w:r>
        <w:rPr>
          <w:w w:val="105"/>
        </w:rPr>
        <w:t>and</w:t>
      </w:r>
      <w:r>
        <w:rPr>
          <w:spacing w:val="-9"/>
          <w:w w:val="105"/>
        </w:rPr>
        <w:t> </w:t>
      </w:r>
      <w:r>
        <w:rPr>
          <w:w w:val="105"/>
        </w:rPr>
        <w:t>in</w:t>
      </w:r>
      <w:r>
        <w:rPr>
          <w:spacing w:val="-9"/>
          <w:w w:val="105"/>
        </w:rPr>
        <w:t> </w:t>
      </w:r>
      <w:r>
        <w:rPr>
          <w:w w:val="105"/>
        </w:rPr>
        <w:t>response</w:t>
      </w:r>
      <w:r>
        <w:rPr>
          <w:spacing w:val="-9"/>
          <w:w w:val="105"/>
        </w:rPr>
        <w:t> </w:t>
      </w:r>
      <w:r>
        <w:rPr>
          <w:w w:val="105"/>
        </w:rPr>
        <w:t>to</w:t>
      </w:r>
      <w:r>
        <w:rPr>
          <w:spacing w:val="-9"/>
          <w:w w:val="105"/>
        </w:rPr>
        <w:t> </w:t>
      </w:r>
      <w:r>
        <w:rPr>
          <w:w w:val="105"/>
        </w:rPr>
        <w:t>uncertain</w:t>
      </w:r>
      <w:r>
        <w:rPr>
          <w:spacing w:val="-9"/>
          <w:w w:val="105"/>
        </w:rPr>
        <w:t> </w:t>
      </w:r>
      <w:r>
        <w:rPr>
          <w:w w:val="105"/>
        </w:rPr>
        <w:t>global</w:t>
      </w:r>
      <w:r>
        <w:rPr>
          <w:spacing w:val="-9"/>
          <w:w w:val="105"/>
        </w:rPr>
        <w:t> </w:t>
      </w:r>
      <w:r>
        <w:rPr>
          <w:w w:val="105"/>
        </w:rPr>
        <w:t>economic</w:t>
      </w:r>
      <w:r>
        <w:rPr>
          <w:spacing w:val="-9"/>
          <w:w w:val="105"/>
        </w:rPr>
        <w:t> </w:t>
      </w:r>
      <w:r>
        <w:rPr>
          <w:w w:val="105"/>
        </w:rPr>
        <w:t>conditions,</w:t>
      </w:r>
      <w:r>
        <w:rPr>
          <w:spacing w:val="-9"/>
          <w:w w:val="105"/>
        </w:rPr>
        <w:t> </w:t>
      </w:r>
      <w:r>
        <w:rPr>
          <w:w w:val="105"/>
        </w:rPr>
        <w:t>Corning</w:t>
      </w:r>
      <w:r>
        <w:rPr>
          <w:spacing w:val="-9"/>
          <w:w w:val="105"/>
        </w:rPr>
        <w:t> </w:t>
      </w:r>
      <w:r>
        <w:rPr>
          <w:w w:val="105"/>
        </w:rPr>
        <w:t>undertook</w:t>
      </w:r>
      <w:r>
        <w:rPr>
          <w:spacing w:val="-9"/>
          <w:w w:val="105"/>
        </w:rPr>
        <w:t> </w:t>
      </w:r>
      <w:r>
        <w:rPr>
          <w:w w:val="105"/>
        </w:rPr>
        <w:t>actions</w:t>
      </w:r>
      <w:r>
        <w:rPr>
          <w:spacing w:val="-9"/>
          <w:w w:val="105"/>
        </w:rPr>
        <w:t> </w:t>
      </w:r>
      <w:r>
        <w:rPr>
          <w:w w:val="105"/>
        </w:rPr>
        <w:t>to</w:t>
      </w:r>
      <w:r>
        <w:rPr>
          <w:spacing w:val="-9"/>
          <w:w w:val="105"/>
        </w:rPr>
        <w:t> </w:t>
      </w:r>
      <w:r>
        <w:rPr>
          <w:w w:val="105"/>
        </w:rPr>
        <w:t>transform</w:t>
      </w:r>
      <w:r>
        <w:rPr>
          <w:spacing w:val="-9"/>
          <w:w w:val="105"/>
        </w:rPr>
        <w:t> </w:t>
      </w:r>
      <w:r>
        <w:rPr>
          <w:w w:val="105"/>
        </w:rPr>
        <w:t>the</w:t>
      </w:r>
      <w:r>
        <w:rPr>
          <w:spacing w:val="-9"/>
          <w:w w:val="105"/>
        </w:rPr>
        <w:t> </w:t>
      </w:r>
      <w:r>
        <w:rPr>
          <w:w w:val="105"/>
        </w:rPr>
        <w:t>Company’s</w:t>
      </w:r>
      <w:r>
        <w:rPr>
          <w:spacing w:val="-9"/>
          <w:w w:val="105"/>
        </w:rPr>
        <w:t> </w:t>
      </w:r>
      <w:r>
        <w:rPr>
          <w:w w:val="105"/>
        </w:rPr>
        <w:t>cost</w:t>
      </w:r>
      <w:r>
        <w:rPr>
          <w:spacing w:val="-9"/>
          <w:w w:val="105"/>
        </w:rPr>
        <w:t> </w:t>
      </w:r>
      <w:r>
        <w:rPr>
          <w:w w:val="105"/>
        </w:rPr>
        <w:t>structure</w:t>
      </w:r>
      <w:r>
        <w:rPr>
          <w:spacing w:val="-8"/>
          <w:w w:val="105"/>
        </w:rPr>
        <w:t> </w:t>
      </w:r>
      <w:r>
        <w:rPr>
          <w:w w:val="105"/>
        </w:rPr>
        <w:t>and</w:t>
      </w:r>
      <w:r>
        <w:rPr>
          <w:spacing w:val="-9"/>
          <w:w w:val="105"/>
        </w:rPr>
        <w:t> </w:t>
      </w:r>
      <w:r>
        <w:rPr>
          <w:w w:val="105"/>
        </w:rPr>
        <w:t>improve</w:t>
      </w:r>
      <w:r>
        <w:rPr>
          <w:spacing w:val="-9"/>
          <w:w w:val="105"/>
        </w:rPr>
        <w:t> </w:t>
      </w:r>
      <w:r>
        <w:rPr>
          <w:w w:val="105"/>
        </w:rPr>
        <w:t>operational</w:t>
      </w:r>
      <w:r>
        <w:rPr>
          <w:spacing w:val="-9"/>
          <w:w w:val="105"/>
        </w:rPr>
        <w:t> </w:t>
      </w:r>
      <w:r>
        <w:rPr>
          <w:w w:val="105"/>
        </w:rPr>
        <w:t>efficiency. These</w:t>
      </w:r>
      <w:r>
        <w:rPr>
          <w:spacing w:val="-4"/>
          <w:w w:val="105"/>
        </w:rPr>
        <w:t> </w:t>
      </w:r>
      <w:r>
        <w:rPr>
          <w:w w:val="105"/>
        </w:rPr>
        <w:t>actions</w:t>
      </w:r>
      <w:r>
        <w:rPr>
          <w:spacing w:val="-4"/>
          <w:w w:val="105"/>
        </w:rPr>
        <w:t> </w:t>
      </w:r>
      <w:r>
        <w:rPr>
          <w:w w:val="105"/>
        </w:rPr>
        <w:t>included</w:t>
      </w:r>
      <w:r>
        <w:rPr>
          <w:spacing w:val="-4"/>
          <w:w w:val="105"/>
        </w:rPr>
        <w:t> </w:t>
      </w:r>
      <w:r>
        <w:rPr>
          <w:w w:val="105"/>
        </w:rPr>
        <w:t>a</w:t>
      </w:r>
      <w:r>
        <w:rPr>
          <w:spacing w:val="-4"/>
          <w:w w:val="105"/>
        </w:rPr>
        <w:t> </w:t>
      </w:r>
      <w:r>
        <w:rPr>
          <w:w w:val="105"/>
        </w:rPr>
        <w:t>corporate-wide</w:t>
      </w:r>
      <w:r>
        <w:rPr>
          <w:spacing w:val="-4"/>
          <w:w w:val="105"/>
        </w:rPr>
        <w:t> </w:t>
      </w:r>
      <w:r>
        <w:rPr>
          <w:w w:val="105"/>
        </w:rPr>
        <w:t>workforce</w:t>
      </w:r>
      <w:r>
        <w:rPr>
          <w:spacing w:val="-4"/>
          <w:w w:val="105"/>
        </w:rPr>
        <w:t> </w:t>
      </w:r>
      <w:r>
        <w:rPr>
          <w:w w:val="105"/>
        </w:rPr>
        <w:t>reduction</w:t>
      </w:r>
      <w:r>
        <w:rPr>
          <w:spacing w:val="-4"/>
          <w:w w:val="105"/>
        </w:rPr>
        <w:t> </w:t>
      </w:r>
      <w:r>
        <w:rPr>
          <w:w w:val="105"/>
        </w:rPr>
        <w:t>program,</w:t>
      </w:r>
      <w:r>
        <w:rPr>
          <w:spacing w:val="-4"/>
          <w:w w:val="105"/>
        </w:rPr>
        <w:t> </w:t>
      </w:r>
      <w:r>
        <w:rPr>
          <w:w w:val="105"/>
        </w:rPr>
        <w:t>disposals</w:t>
      </w:r>
      <w:r>
        <w:rPr>
          <w:spacing w:val="-4"/>
          <w:w w:val="105"/>
        </w:rPr>
        <w:t> </w:t>
      </w:r>
      <w:r>
        <w:rPr>
          <w:w w:val="105"/>
        </w:rPr>
        <w:t>of</w:t>
      </w:r>
      <w:r>
        <w:rPr>
          <w:spacing w:val="-4"/>
          <w:w w:val="105"/>
        </w:rPr>
        <w:t> </w:t>
      </w:r>
      <w:r>
        <w:rPr>
          <w:w w:val="105"/>
        </w:rPr>
        <w:t>certain</w:t>
      </w:r>
      <w:r>
        <w:rPr>
          <w:spacing w:val="-4"/>
          <w:w w:val="105"/>
        </w:rPr>
        <w:t> </w:t>
      </w:r>
      <w:r>
        <w:rPr>
          <w:w w:val="105"/>
        </w:rPr>
        <w:t>assets</w:t>
      </w:r>
      <w:r>
        <w:rPr>
          <w:spacing w:val="-4"/>
          <w:w w:val="105"/>
        </w:rPr>
        <w:t> </w:t>
      </w:r>
      <w:r>
        <w:rPr>
          <w:w w:val="105"/>
        </w:rPr>
        <w:t>and</w:t>
      </w:r>
      <w:r>
        <w:rPr>
          <w:spacing w:val="-4"/>
          <w:w w:val="105"/>
        </w:rPr>
        <w:t> </w:t>
      </w:r>
      <w:r>
        <w:rPr>
          <w:w w:val="105"/>
        </w:rPr>
        <w:t>accelerated</w:t>
      </w:r>
      <w:r>
        <w:rPr>
          <w:spacing w:val="-4"/>
          <w:w w:val="105"/>
        </w:rPr>
        <w:t> </w:t>
      </w:r>
      <w:r>
        <w:rPr>
          <w:w w:val="105"/>
        </w:rPr>
        <w:t>depreciation</w:t>
      </w:r>
      <w:r>
        <w:rPr>
          <w:spacing w:val="-2"/>
          <w:w w:val="105"/>
        </w:rPr>
        <w:t> </w:t>
      </w:r>
      <w:r>
        <w:rPr>
          <w:w w:val="105"/>
        </w:rPr>
        <w:t>associated</w:t>
      </w:r>
      <w:r>
        <w:rPr>
          <w:spacing w:val="-4"/>
          <w:w w:val="105"/>
        </w:rPr>
        <w:t> </w:t>
      </w:r>
      <w:r>
        <w:rPr>
          <w:w w:val="105"/>
        </w:rPr>
        <w:t>with</w:t>
      </w:r>
      <w:r>
        <w:rPr>
          <w:spacing w:val="-4"/>
          <w:w w:val="105"/>
        </w:rPr>
        <w:t> </w:t>
      </w:r>
      <w:r>
        <w:rPr>
          <w:w w:val="105"/>
        </w:rPr>
        <w:t>the</w:t>
      </w:r>
      <w:r>
        <w:rPr>
          <w:spacing w:val="-4"/>
          <w:w w:val="105"/>
        </w:rPr>
        <w:t> </w:t>
      </w:r>
      <w:r>
        <w:rPr>
          <w:w w:val="105"/>
        </w:rPr>
        <w:t>capacity</w:t>
      </w:r>
      <w:r>
        <w:rPr>
          <w:spacing w:val="-4"/>
          <w:w w:val="105"/>
        </w:rPr>
        <w:t> </w:t>
      </w:r>
      <w:r>
        <w:rPr>
          <w:w w:val="105"/>
        </w:rPr>
        <w:t>realignment</w:t>
      </w:r>
      <w:r>
        <w:rPr>
          <w:spacing w:val="-4"/>
          <w:w w:val="105"/>
        </w:rPr>
        <w:t> </w:t>
      </w:r>
      <w:r>
        <w:rPr>
          <w:w w:val="105"/>
        </w:rPr>
        <w:t>of certain manufacturing facilities as well as other exit charges and credits.</w:t>
      </w:r>
    </w:p>
    <w:p>
      <w:pPr>
        <w:pStyle w:val="BodyText"/>
        <w:spacing w:before="19"/>
      </w:pPr>
    </w:p>
    <w:p>
      <w:pPr>
        <w:pStyle w:val="Heading3"/>
      </w:pPr>
      <w:r>
        <w:rPr>
          <w:spacing w:val="-2"/>
          <w:w w:val="105"/>
        </w:rPr>
        <w:t>Severance</w:t>
      </w:r>
    </w:p>
    <w:p>
      <w:pPr>
        <w:pStyle w:val="BodyText"/>
        <w:spacing w:before="40"/>
        <w:rPr>
          <w:b/>
          <w:i/>
        </w:rPr>
      </w:pPr>
    </w:p>
    <w:p>
      <w:pPr>
        <w:pStyle w:val="BodyText"/>
        <w:spacing w:line="266" w:lineRule="auto"/>
        <w:ind w:left="156" w:right="117"/>
      </w:pPr>
      <w:r>
        <w:rPr>
          <w:w w:val="105"/>
        </w:rPr>
        <w:t>In</w:t>
      </w:r>
      <w:r>
        <w:rPr>
          <w:spacing w:val="-2"/>
          <w:w w:val="105"/>
        </w:rPr>
        <w:t> </w:t>
      </w:r>
      <w:r>
        <w:rPr>
          <w:w w:val="105"/>
        </w:rPr>
        <w:t>the</w:t>
      </w:r>
      <w:r>
        <w:rPr>
          <w:spacing w:val="-2"/>
          <w:w w:val="105"/>
        </w:rPr>
        <w:t> </w:t>
      </w:r>
      <w:r>
        <w:rPr>
          <w:w w:val="105"/>
        </w:rPr>
        <w:t>second</w:t>
      </w:r>
      <w:r>
        <w:rPr>
          <w:spacing w:val="-2"/>
          <w:w w:val="105"/>
        </w:rPr>
        <w:t> </w:t>
      </w:r>
      <w:r>
        <w:rPr>
          <w:w w:val="105"/>
        </w:rPr>
        <w:t>quarter</w:t>
      </w:r>
      <w:r>
        <w:rPr>
          <w:spacing w:val="-2"/>
          <w:w w:val="105"/>
        </w:rPr>
        <w:t> </w:t>
      </w:r>
      <w:r>
        <w:rPr>
          <w:w w:val="105"/>
        </w:rPr>
        <w:t>of</w:t>
      </w:r>
      <w:r>
        <w:rPr>
          <w:spacing w:val="-1"/>
          <w:w w:val="105"/>
        </w:rPr>
        <w:t> </w:t>
      </w:r>
      <w:r>
        <w:rPr>
          <w:w w:val="105"/>
        </w:rPr>
        <w:t>2020,</w:t>
      </w:r>
      <w:r>
        <w:rPr>
          <w:spacing w:val="-2"/>
          <w:w w:val="105"/>
        </w:rPr>
        <w:t> </w:t>
      </w:r>
      <w:r>
        <w:rPr>
          <w:w w:val="105"/>
        </w:rPr>
        <w:t>the</w:t>
      </w:r>
      <w:r>
        <w:rPr>
          <w:spacing w:val="-2"/>
          <w:w w:val="105"/>
        </w:rPr>
        <w:t> </w:t>
      </w:r>
      <w:r>
        <w:rPr>
          <w:w w:val="105"/>
        </w:rPr>
        <w:t>Company</w:t>
      </w:r>
      <w:r>
        <w:rPr>
          <w:spacing w:val="-2"/>
          <w:w w:val="105"/>
        </w:rPr>
        <w:t> </w:t>
      </w:r>
      <w:r>
        <w:rPr>
          <w:w w:val="105"/>
        </w:rPr>
        <w:t>implemented</w:t>
      </w:r>
      <w:r>
        <w:rPr>
          <w:spacing w:val="-2"/>
          <w:w w:val="105"/>
        </w:rPr>
        <w:t> </w:t>
      </w:r>
      <w:r>
        <w:rPr>
          <w:w w:val="105"/>
        </w:rPr>
        <w:t>a</w:t>
      </w:r>
      <w:r>
        <w:rPr>
          <w:spacing w:val="-2"/>
          <w:w w:val="105"/>
        </w:rPr>
        <w:t> </w:t>
      </w:r>
      <w:r>
        <w:rPr>
          <w:w w:val="105"/>
        </w:rPr>
        <w:t>corporate-wide</w:t>
      </w:r>
      <w:r>
        <w:rPr>
          <w:spacing w:val="-2"/>
          <w:w w:val="105"/>
        </w:rPr>
        <w:t> </w:t>
      </w:r>
      <w:r>
        <w:rPr>
          <w:w w:val="105"/>
        </w:rPr>
        <w:t>workforce</w:t>
      </w:r>
      <w:r>
        <w:rPr>
          <w:spacing w:val="-2"/>
          <w:w w:val="105"/>
        </w:rPr>
        <w:t> </w:t>
      </w:r>
      <w:r>
        <w:rPr>
          <w:w w:val="105"/>
        </w:rPr>
        <w:t>reduction</w:t>
      </w:r>
      <w:r>
        <w:rPr>
          <w:spacing w:val="-2"/>
          <w:w w:val="105"/>
        </w:rPr>
        <w:t> </w:t>
      </w:r>
      <w:r>
        <w:rPr>
          <w:w w:val="105"/>
        </w:rPr>
        <w:t>program.</w:t>
      </w:r>
      <w:r>
        <w:rPr>
          <w:spacing w:val="-4"/>
          <w:w w:val="105"/>
        </w:rPr>
        <w:t> </w:t>
      </w:r>
      <w:r>
        <w:rPr>
          <w:w w:val="105"/>
        </w:rPr>
        <w:t>Severance</w:t>
      </w:r>
      <w:r>
        <w:rPr>
          <w:spacing w:val="-2"/>
          <w:w w:val="105"/>
        </w:rPr>
        <w:t> </w:t>
      </w:r>
      <w:r>
        <w:rPr>
          <w:w w:val="105"/>
        </w:rPr>
        <w:t>charges</w:t>
      </w:r>
      <w:r>
        <w:rPr>
          <w:spacing w:val="-2"/>
          <w:w w:val="105"/>
        </w:rPr>
        <w:t> </w:t>
      </w:r>
      <w:r>
        <w:rPr>
          <w:w w:val="105"/>
        </w:rPr>
        <w:t>were</w:t>
      </w:r>
      <w:r>
        <w:rPr>
          <w:spacing w:val="-2"/>
          <w:w w:val="105"/>
        </w:rPr>
        <w:t> </w:t>
      </w:r>
      <w:r>
        <w:rPr>
          <w:w w:val="105"/>
        </w:rPr>
        <w:t>primarily</w:t>
      </w:r>
      <w:r>
        <w:rPr>
          <w:spacing w:val="-4"/>
          <w:w w:val="105"/>
        </w:rPr>
        <w:t> </w:t>
      </w:r>
      <w:r>
        <w:rPr>
          <w:w w:val="105"/>
        </w:rPr>
        <w:t>incurred</w:t>
      </w:r>
      <w:r>
        <w:rPr>
          <w:spacing w:val="-2"/>
          <w:w w:val="105"/>
        </w:rPr>
        <w:t> </w:t>
      </w:r>
      <w:r>
        <w:rPr>
          <w:w w:val="105"/>
        </w:rPr>
        <w:t>to</w:t>
      </w:r>
      <w:r>
        <w:rPr>
          <w:spacing w:val="-2"/>
          <w:w w:val="105"/>
        </w:rPr>
        <w:t> </w:t>
      </w:r>
      <w:r>
        <w:rPr>
          <w:w w:val="105"/>
        </w:rPr>
        <w:t>facilitate realignment</w:t>
      </w:r>
      <w:r>
        <w:rPr>
          <w:spacing w:val="-9"/>
          <w:w w:val="105"/>
        </w:rPr>
        <w:t> </w:t>
      </w:r>
      <w:r>
        <w:rPr>
          <w:w w:val="105"/>
        </w:rPr>
        <w:t>of</w:t>
      </w:r>
      <w:r>
        <w:rPr>
          <w:spacing w:val="-9"/>
          <w:w w:val="105"/>
        </w:rPr>
        <w:t> </w:t>
      </w:r>
      <w:r>
        <w:rPr>
          <w:w w:val="105"/>
        </w:rPr>
        <w:t>capacity</w:t>
      </w:r>
      <w:r>
        <w:rPr>
          <w:spacing w:val="-9"/>
          <w:w w:val="105"/>
        </w:rPr>
        <w:t> </w:t>
      </w:r>
      <w:r>
        <w:rPr>
          <w:w w:val="105"/>
        </w:rPr>
        <w:t>in</w:t>
      </w:r>
      <w:r>
        <w:rPr>
          <w:spacing w:val="-9"/>
          <w:w w:val="105"/>
        </w:rPr>
        <w:t> </w:t>
      </w:r>
      <w:r>
        <w:rPr>
          <w:w w:val="105"/>
        </w:rPr>
        <w:t>the</w:t>
      </w:r>
      <w:r>
        <w:rPr>
          <w:spacing w:val="-9"/>
          <w:w w:val="105"/>
        </w:rPr>
        <w:t> </w:t>
      </w:r>
      <w:r>
        <w:rPr>
          <w:w w:val="105"/>
        </w:rPr>
        <w:t>Asia</w:t>
      </w:r>
      <w:r>
        <w:rPr>
          <w:spacing w:val="-9"/>
          <w:w w:val="105"/>
        </w:rPr>
        <w:t> </w:t>
      </w:r>
      <w:r>
        <w:rPr>
          <w:w w:val="105"/>
        </w:rPr>
        <w:t>regions</w:t>
      </w:r>
      <w:r>
        <w:rPr>
          <w:spacing w:val="-9"/>
          <w:w w:val="105"/>
        </w:rPr>
        <w:t> </w:t>
      </w:r>
      <w:r>
        <w:rPr>
          <w:w w:val="105"/>
        </w:rPr>
        <w:t>for</w:t>
      </w:r>
      <w:r>
        <w:rPr>
          <w:spacing w:val="-9"/>
          <w:w w:val="105"/>
        </w:rPr>
        <w:t> </w:t>
      </w:r>
      <w:r>
        <w:rPr>
          <w:w w:val="105"/>
        </w:rPr>
        <w:t>the</w:t>
      </w:r>
      <w:r>
        <w:rPr>
          <w:spacing w:val="-9"/>
          <w:w w:val="105"/>
        </w:rPr>
        <w:t> </w:t>
      </w:r>
      <w:r>
        <w:rPr>
          <w:w w:val="105"/>
        </w:rPr>
        <w:t>Display</w:t>
      </w:r>
      <w:r>
        <w:rPr>
          <w:spacing w:val="-9"/>
          <w:w w:val="105"/>
        </w:rPr>
        <w:t> </w:t>
      </w:r>
      <w:r>
        <w:rPr>
          <w:w w:val="105"/>
        </w:rPr>
        <w:t>Technologies</w:t>
      </w:r>
      <w:r>
        <w:rPr>
          <w:spacing w:val="-9"/>
          <w:w w:val="105"/>
        </w:rPr>
        <w:t> </w:t>
      </w:r>
      <w:r>
        <w:rPr>
          <w:w w:val="105"/>
        </w:rPr>
        <w:t>segment,</w:t>
      </w:r>
      <w:r>
        <w:rPr>
          <w:spacing w:val="-9"/>
          <w:w w:val="105"/>
        </w:rPr>
        <w:t> </w:t>
      </w:r>
      <w:r>
        <w:rPr>
          <w:w w:val="105"/>
        </w:rPr>
        <w:t>optimize</w:t>
      </w:r>
      <w:r>
        <w:rPr>
          <w:spacing w:val="-9"/>
          <w:w w:val="105"/>
        </w:rPr>
        <w:t> </w:t>
      </w:r>
      <w:r>
        <w:rPr>
          <w:w w:val="105"/>
        </w:rPr>
        <w:t>the</w:t>
      </w:r>
      <w:r>
        <w:rPr>
          <w:spacing w:val="-9"/>
          <w:w w:val="105"/>
        </w:rPr>
        <w:t> </w:t>
      </w:r>
      <w:r>
        <w:rPr>
          <w:w w:val="105"/>
        </w:rPr>
        <w:t>Optical</w:t>
      </w:r>
      <w:r>
        <w:rPr>
          <w:spacing w:val="-9"/>
          <w:w w:val="105"/>
        </w:rPr>
        <w:t> </w:t>
      </w:r>
      <w:r>
        <w:rPr>
          <w:w w:val="105"/>
        </w:rPr>
        <w:t>Communications</w:t>
      </w:r>
      <w:r>
        <w:rPr>
          <w:spacing w:val="-9"/>
          <w:w w:val="105"/>
        </w:rPr>
        <w:t> </w:t>
      </w:r>
      <w:r>
        <w:rPr>
          <w:w w:val="105"/>
        </w:rPr>
        <w:t>segment</w:t>
      </w:r>
      <w:r>
        <w:rPr>
          <w:spacing w:val="-9"/>
          <w:w w:val="105"/>
        </w:rPr>
        <w:t> </w:t>
      </w:r>
      <w:r>
        <w:rPr>
          <w:w w:val="105"/>
        </w:rPr>
        <w:t>and</w:t>
      </w:r>
      <w:r>
        <w:rPr>
          <w:spacing w:val="-9"/>
          <w:w w:val="105"/>
        </w:rPr>
        <w:t> </w:t>
      </w:r>
      <w:r>
        <w:rPr>
          <w:w w:val="105"/>
        </w:rPr>
        <w:t>contain</w:t>
      </w:r>
      <w:r>
        <w:rPr>
          <w:spacing w:val="-7"/>
          <w:w w:val="105"/>
        </w:rPr>
        <w:t> </w:t>
      </w:r>
      <w:r>
        <w:rPr>
          <w:w w:val="105"/>
        </w:rPr>
        <w:t>corporate</w:t>
      </w:r>
      <w:r>
        <w:rPr>
          <w:spacing w:val="-9"/>
          <w:w w:val="105"/>
        </w:rPr>
        <w:t> </w:t>
      </w:r>
      <w:r>
        <w:rPr>
          <w:w w:val="105"/>
        </w:rPr>
        <w:t>costs.</w:t>
      </w:r>
      <w:r>
        <w:rPr>
          <w:spacing w:val="-9"/>
          <w:w w:val="105"/>
        </w:rPr>
        <w:t> </w:t>
      </w:r>
      <w:r>
        <w:rPr>
          <w:w w:val="105"/>
        </w:rPr>
        <w:t>For</w:t>
      </w:r>
      <w:r>
        <w:rPr>
          <w:spacing w:val="-9"/>
          <w:w w:val="105"/>
        </w:rPr>
        <w:t> </w:t>
      </w:r>
      <w:r>
        <w:rPr>
          <w:w w:val="105"/>
        </w:rPr>
        <w:t>the</w:t>
      </w:r>
      <w:r>
        <w:rPr>
          <w:spacing w:val="-9"/>
          <w:w w:val="105"/>
        </w:rPr>
        <w:t> </w:t>
      </w:r>
      <w:r>
        <w:rPr>
          <w:w w:val="105"/>
        </w:rPr>
        <w:t>years ended</w:t>
      </w:r>
      <w:r>
        <w:rPr>
          <w:spacing w:val="-4"/>
          <w:w w:val="105"/>
        </w:rPr>
        <w:t> </w:t>
      </w:r>
      <w:r>
        <w:rPr>
          <w:w w:val="105"/>
        </w:rPr>
        <w:t>December</w:t>
      </w:r>
      <w:r>
        <w:rPr>
          <w:spacing w:val="-4"/>
          <w:w w:val="105"/>
        </w:rPr>
        <w:t> </w:t>
      </w:r>
      <w:r>
        <w:rPr>
          <w:w w:val="105"/>
        </w:rPr>
        <w:t>31,</w:t>
      </w:r>
      <w:r>
        <w:rPr>
          <w:spacing w:val="-3"/>
          <w:w w:val="105"/>
        </w:rPr>
        <w:t> </w:t>
      </w:r>
      <w:r>
        <w:rPr>
          <w:w w:val="105"/>
        </w:rPr>
        <w:t>2020</w:t>
      </w:r>
      <w:r>
        <w:rPr>
          <w:spacing w:val="-4"/>
          <w:w w:val="105"/>
        </w:rPr>
        <w:t> </w:t>
      </w:r>
      <w:r>
        <w:rPr>
          <w:w w:val="105"/>
        </w:rPr>
        <w:t>and</w:t>
      </w:r>
      <w:r>
        <w:rPr>
          <w:spacing w:val="-4"/>
          <w:w w:val="105"/>
        </w:rPr>
        <w:t> </w:t>
      </w:r>
      <w:r>
        <w:rPr>
          <w:w w:val="105"/>
        </w:rPr>
        <w:t>2019,</w:t>
      </w:r>
      <w:r>
        <w:rPr>
          <w:spacing w:val="-4"/>
          <w:w w:val="105"/>
        </w:rPr>
        <w:t> </w:t>
      </w:r>
      <w:r>
        <w:rPr>
          <w:w w:val="105"/>
        </w:rPr>
        <w:t>severance</w:t>
      </w:r>
      <w:r>
        <w:rPr>
          <w:spacing w:val="-4"/>
          <w:w w:val="105"/>
        </w:rPr>
        <w:t> </w:t>
      </w:r>
      <w:r>
        <w:rPr>
          <w:w w:val="105"/>
        </w:rPr>
        <w:t>charges</w:t>
      </w:r>
      <w:r>
        <w:rPr>
          <w:spacing w:val="-4"/>
          <w:w w:val="105"/>
        </w:rPr>
        <w:t> </w:t>
      </w:r>
      <w:r>
        <w:rPr>
          <w:w w:val="105"/>
        </w:rPr>
        <w:t>were</w:t>
      </w:r>
      <w:r>
        <w:rPr>
          <w:spacing w:val="-4"/>
          <w:w w:val="105"/>
        </w:rPr>
        <w:t> </w:t>
      </w:r>
      <w:r>
        <w:rPr>
          <w:w w:val="105"/>
        </w:rPr>
        <w:t>$148</w:t>
      </w:r>
      <w:r>
        <w:rPr>
          <w:spacing w:val="-2"/>
          <w:w w:val="105"/>
        </w:rPr>
        <w:t> </w:t>
      </w:r>
      <w:r>
        <w:rPr>
          <w:w w:val="105"/>
        </w:rPr>
        <w:t>million</w:t>
      </w:r>
      <w:r>
        <w:rPr>
          <w:spacing w:val="-4"/>
          <w:w w:val="105"/>
        </w:rPr>
        <w:t> </w:t>
      </w:r>
      <w:r>
        <w:rPr>
          <w:w w:val="105"/>
        </w:rPr>
        <w:t>and</w:t>
      </w:r>
      <w:r>
        <w:rPr>
          <w:spacing w:val="-4"/>
          <w:w w:val="105"/>
        </w:rPr>
        <w:t> </w:t>
      </w:r>
      <w:r>
        <w:rPr>
          <w:w w:val="105"/>
        </w:rPr>
        <w:t>$63</w:t>
      </w:r>
      <w:r>
        <w:rPr>
          <w:spacing w:val="-4"/>
          <w:w w:val="105"/>
        </w:rPr>
        <w:t> </w:t>
      </w:r>
      <w:r>
        <w:rPr>
          <w:w w:val="105"/>
        </w:rPr>
        <w:t>million,</w:t>
      </w:r>
      <w:r>
        <w:rPr>
          <w:spacing w:val="-4"/>
          <w:w w:val="105"/>
        </w:rPr>
        <w:t> </w:t>
      </w:r>
      <w:r>
        <w:rPr>
          <w:w w:val="105"/>
        </w:rPr>
        <w:t>respectively.</w:t>
      </w:r>
      <w:r>
        <w:rPr>
          <w:spacing w:val="35"/>
          <w:w w:val="105"/>
        </w:rPr>
        <w:t> </w:t>
      </w:r>
      <w:r>
        <w:rPr>
          <w:w w:val="105"/>
        </w:rPr>
        <w:t>As</w:t>
      </w:r>
      <w:r>
        <w:rPr>
          <w:spacing w:val="-4"/>
          <w:w w:val="105"/>
        </w:rPr>
        <w:t> </w:t>
      </w:r>
      <w:r>
        <w:rPr>
          <w:w w:val="105"/>
        </w:rPr>
        <w:t>of</w:t>
      </w:r>
      <w:r>
        <w:rPr>
          <w:spacing w:val="-3"/>
          <w:w w:val="105"/>
        </w:rPr>
        <w:t> </w:t>
      </w:r>
      <w:r>
        <w:rPr>
          <w:w w:val="105"/>
        </w:rPr>
        <w:t>December</w:t>
      </w:r>
      <w:r>
        <w:rPr>
          <w:spacing w:val="-4"/>
          <w:w w:val="105"/>
        </w:rPr>
        <w:t> </w:t>
      </w:r>
      <w:r>
        <w:rPr>
          <w:w w:val="105"/>
        </w:rPr>
        <w:t>31,</w:t>
      </w:r>
      <w:r>
        <w:rPr>
          <w:spacing w:val="-4"/>
          <w:w w:val="105"/>
        </w:rPr>
        <w:t> </w:t>
      </w:r>
      <w:r>
        <w:rPr>
          <w:w w:val="105"/>
        </w:rPr>
        <w:t>2021,</w:t>
      </w:r>
      <w:r>
        <w:rPr>
          <w:spacing w:val="-3"/>
          <w:w w:val="105"/>
        </w:rPr>
        <w:t> </w:t>
      </w:r>
      <w:r>
        <w:rPr>
          <w:w w:val="105"/>
        </w:rPr>
        <w:t>the</w:t>
      </w:r>
      <w:r>
        <w:rPr>
          <w:spacing w:val="-4"/>
          <w:w w:val="105"/>
        </w:rPr>
        <w:t> </w:t>
      </w:r>
      <w:r>
        <w:rPr>
          <w:w w:val="105"/>
        </w:rPr>
        <w:t>payments</w:t>
      </w:r>
      <w:r>
        <w:rPr>
          <w:spacing w:val="-4"/>
          <w:w w:val="105"/>
        </w:rPr>
        <w:t> </w:t>
      </w:r>
      <w:r>
        <w:rPr>
          <w:w w:val="105"/>
        </w:rPr>
        <w:t>related</w:t>
      </w:r>
      <w:r>
        <w:rPr>
          <w:spacing w:val="-2"/>
          <w:w w:val="105"/>
        </w:rPr>
        <w:t> </w:t>
      </w:r>
      <w:r>
        <w:rPr>
          <w:w w:val="105"/>
        </w:rPr>
        <w:t>to</w:t>
      </w:r>
      <w:r>
        <w:rPr>
          <w:spacing w:val="-4"/>
          <w:w w:val="105"/>
        </w:rPr>
        <w:t> </w:t>
      </w:r>
      <w:r>
        <w:rPr>
          <w:w w:val="105"/>
        </w:rPr>
        <w:t>the</w:t>
      </w:r>
      <w:r>
        <w:rPr>
          <w:spacing w:val="-4"/>
          <w:w w:val="105"/>
        </w:rPr>
        <w:t> </w:t>
      </w:r>
      <w:r>
        <w:rPr>
          <w:w w:val="105"/>
        </w:rPr>
        <w:t>severance liability have been substantially completed.</w:t>
      </w:r>
    </w:p>
    <w:p>
      <w:pPr>
        <w:pStyle w:val="BodyText"/>
        <w:spacing w:before="18"/>
      </w:pPr>
    </w:p>
    <w:p>
      <w:pPr>
        <w:pStyle w:val="Heading3"/>
      </w:pPr>
      <w:r>
        <w:rPr>
          <w:w w:val="105"/>
        </w:rPr>
        <w:t>Asset</w:t>
      </w:r>
      <w:r>
        <w:rPr>
          <w:spacing w:val="-8"/>
          <w:w w:val="105"/>
        </w:rPr>
        <w:t> </w:t>
      </w:r>
      <w:r>
        <w:rPr>
          <w:spacing w:val="-2"/>
          <w:w w:val="105"/>
        </w:rPr>
        <w:t>Impairment</w:t>
      </w:r>
    </w:p>
    <w:p>
      <w:pPr>
        <w:pStyle w:val="BodyText"/>
        <w:spacing w:before="39"/>
        <w:rPr>
          <w:b/>
          <w:i/>
        </w:rPr>
      </w:pPr>
    </w:p>
    <w:p>
      <w:pPr>
        <w:pStyle w:val="BodyText"/>
        <w:spacing w:line="266" w:lineRule="auto" w:before="1"/>
        <w:ind w:left="156"/>
      </w:pPr>
      <w:r>
        <w:rPr>
          <w:w w:val="105"/>
        </w:rPr>
        <w:t>For</w:t>
      </w:r>
      <w:r>
        <w:rPr>
          <w:spacing w:val="-2"/>
          <w:w w:val="105"/>
        </w:rPr>
        <w:t> </w:t>
      </w:r>
      <w:r>
        <w:rPr>
          <w:w w:val="105"/>
        </w:rPr>
        <w:t>the</w:t>
      </w:r>
      <w:r>
        <w:rPr>
          <w:spacing w:val="-2"/>
          <w:w w:val="105"/>
        </w:rPr>
        <w:t> </w:t>
      </w:r>
      <w:r>
        <w:rPr>
          <w:w w:val="105"/>
        </w:rPr>
        <w:t>year</w:t>
      </w:r>
      <w:r>
        <w:rPr>
          <w:spacing w:val="-2"/>
          <w:w w:val="105"/>
        </w:rPr>
        <w:t> </w:t>
      </w:r>
      <w:r>
        <w:rPr>
          <w:w w:val="105"/>
        </w:rPr>
        <w:t>ended</w:t>
      </w:r>
      <w:r>
        <w:rPr>
          <w:spacing w:val="-1"/>
          <w:w w:val="105"/>
        </w:rPr>
        <w:t> </w:t>
      </w:r>
      <w:r>
        <w:rPr>
          <w:w w:val="105"/>
        </w:rPr>
        <w:t>December</w:t>
      </w:r>
      <w:r>
        <w:rPr>
          <w:spacing w:val="-2"/>
          <w:w w:val="105"/>
        </w:rPr>
        <w:t> </w:t>
      </w:r>
      <w:r>
        <w:rPr>
          <w:w w:val="105"/>
        </w:rPr>
        <w:t>31,</w:t>
      </w:r>
      <w:r>
        <w:rPr>
          <w:spacing w:val="-2"/>
          <w:w w:val="105"/>
        </w:rPr>
        <w:t> </w:t>
      </w:r>
      <w:r>
        <w:rPr>
          <w:w w:val="105"/>
        </w:rPr>
        <w:t>2020,</w:t>
      </w:r>
      <w:r>
        <w:rPr>
          <w:spacing w:val="-1"/>
          <w:w w:val="105"/>
        </w:rPr>
        <w:t> </w:t>
      </w:r>
      <w:r>
        <w:rPr>
          <w:w w:val="105"/>
        </w:rPr>
        <w:t>Corning</w:t>
      </w:r>
      <w:r>
        <w:rPr>
          <w:spacing w:val="-2"/>
          <w:w w:val="105"/>
        </w:rPr>
        <w:t> </w:t>
      </w:r>
      <w:r>
        <w:rPr>
          <w:w w:val="105"/>
        </w:rPr>
        <w:t>incurred</w:t>
      </w:r>
      <w:r>
        <w:rPr>
          <w:spacing w:val="-2"/>
          <w:w w:val="105"/>
        </w:rPr>
        <w:t> </w:t>
      </w:r>
      <w:r>
        <w:rPr>
          <w:w w:val="105"/>
        </w:rPr>
        <w:t>a</w:t>
      </w:r>
      <w:r>
        <w:rPr>
          <w:spacing w:val="-2"/>
          <w:w w:val="105"/>
        </w:rPr>
        <w:t> </w:t>
      </w:r>
      <w:r>
        <w:rPr>
          <w:w w:val="105"/>
        </w:rPr>
        <w:t>long-lived asset</w:t>
      </w:r>
      <w:r>
        <w:rPr>
          <w:spacing w:val="-2"/>
          <w:w w:val="105"/>
        </w:rPr>
        <w:t> </w:t>
      </w:r>
      <w:r>
        <w:rPr>
          <w:w w:val="105"/>
        </w:rPr>
        <w:t>impairment</w:t>
      </w:r>
      <w:r>
        <w:rPr>
          <w:spacing w:val="-2"/>
          <w:w w:val="105"/>
        </w:rPr>
        <w:t> </w:t>
      </w:r>
      <w:r>
        <w:rPr>
          <w:w w:val="105"/>
        </w:rPr>
        <w:t>and</w:t>
      </w:r>
      <w:r>
        <w:rPr>
          <w:spacing w:val="-2"/>
          <w:w w:val="105"/>
        </w:rPr>
        <w:t> </w:t>
      </w:r>
      <w:r>
        <w:rPr>
          <w:w w:val="105"/>
        </w:rPr>
        <w:t>disposal</w:t>
      </w:r>
      <w:r>
        <w:rPr>
          <w:spacing w:val="-2"/>
          <w:w w:val="105"/>
        </w:rPr>
        <w:t> </w:t>
      </w:r>
      <w:r>
        <w:rPr>
          <w:w w:val="105"/>
        </w:rPr>
        <w:t>loss</w:t>
      </w:r>
      <w:r>
        <w:rPr>
          <w:spacing w:val="-2"/>
          <w:w w:val="105"/>
        </w:rPr>
        <w:t> </w:t>
      </w:r>
      <w:r>
        <w:rPr>
          <w:w w:val="105"/>
        </w:rPr>
        <w:t>for</w:t>
      </w:r>
      <w:r>
        <w:rPr>
          <w:spacing w:val="-2"/>
          <w:w w:val="105"/>
        </w:rPr>
        <w:t> </w:t>
      </w:r>
      <w:r>
        <w:rPr>
          <w:w w:val="105"/>
        </w:rPr>
        <w:t>an</w:t>
      </w:r>
      <w:r>
        <w:rPr>
          <w:spacing w:val="-2"/>
          <w:w w:val="105"/>
        </w:rPr>
        <w:t> </w:t>
      </w:r>
      <w:r>
        <w:rPr>
          <w:w w:val="105"/>
        </w:rPr>
        <w:t>asset</w:t>
      </w:r>
      <w:r>
        <w:rPr>
          <w:spacing w:val="-2"/>
          <w:w w:val="105"/>
        </w:rPr>
        <w:t> </w:t>
      </w:r>
      <w:r>
        <w:rPr>
          <w:w w:val="105"/>
        </w:rPr>
        <w:t>group</w:t>
      </w:r>
      <w:r>
        <w:rPr>
          <w:spacing w:val="-2"/>
          <w:w w:val="105"/>
        </w:rPr>
        <w:t> </w:t>
      </w:r>
      <w:r>
        <w:rPr>
          <w:w w:val="105"/>
        </w:rPr>
        <w:t>related</w:t>
      </w:r>
      <w:r>
        <w:rPr>
          <w:spacing w:val="-2"/>
          <w:w w:val="105"/>
        </w:rPr>
        <w:t> </w:t>
      </w:r>
      <w:r>
        <w:rPr>
          <w:w w:val="105"/>
        </w:rPr>
        <w:t>to</w:t>
      </w:r>
      <w:r>
        <w:rPr>
          <w:spacing w:val="-2"/>
          <w:w w:val="105"/>
        </w:rPr>
        <w:t> </w:t>
      </w:r>
      <w:r>
        <w:rPr>
          <w:w w:val="105"/>
        </w:rPr>
        <w:t>the</w:t>
      </w:r>
      <w:r>
        <w:rPr>
          <w:spacing w:val="-2"/>
          <w:w w:val="105"/>
        </w:rPr>
        <w:t> </w:t>
      </w:r>
      <w:r>
        <w:rPr>
          <w:w w:val="105"/>
        </w:rPr>
        <w:t>reassessment</w:t>
      </w:r>
      <w:r>
        <w:rPr>
          <w:spacing w:val="-2"/>
          <w:w w:val="105"/>
        </w:rPr>
        <w:t> </w:t>
      </w:r>
      <w:r>
        <w:rPr>
          <w:w w:val="105"/>
        </w:rPr>
        <w:t>of</w:t>
      </w:r>
      <w:r>
        <w:rPr>
          <w:spacing w:val="-2"/>
          <w:w w:val="105"/>
        </w:rPr>
        <w:t> </w:t>
      </w:r>
      <w:r>
        <w:rPr>
          <w:w w:val="105"/>
        </w:rPr>
        <w:t>research</w:t>
      </w:r>
      <w:r>
        <w:rPr>
          <w:spacing w:val="-2"/>
          <w:w w:val="105"/>
        </w:rPr>
        <w:t> </w:t>
      </w:r>
      <w:r>
        <w:rPr>
          <w:w w:val="105"/>
        </w:rPr>
        <w:t>and development</w:t>
      </w:r>
      <w:r>
        <w:rPr>
          <w:spacing w:val="-2"/>
          <w:w w:val="105"/>
        </w:rPr>
        <w:t> </w:t>
      </w:r>
      <w:r>
        <w:rPr>
          <w:w w:val="105"/>
        </w:rPr>
        <w:t>programs</w:t>
      </w:r>
      <w:r>
        <w:rPr>
          <w:spacing w:val="-2"/>
          <w:w w:val="105"/>
        </w:rPr>
        <w:t> </w:t>
      </w:r>
      <w:r>
        <w:rPr>
          <w:w w:val="105"/>
        </w:rPr>
        <w:t>within “All</w:t>
      </w:r>
      <w:r>
        <w:rPr>
          <w:spacing w:val="-2"/>
          <w:w w:val="105"/>
        </w:rPr>
        <w:t> </w:t>
      </w:r>
      <w:r>
        <w:rPr>
          <w:w w:val="105"/>
        </w:rPr>
        <w:t>Other”.</w:t>
      </w:r>
      <w:r>
        <w:rPr>
          <w:spacing w:val="-2"/>
          <w:w w:val="105"/>
        </w:rPr>
        <w:t> </w:t>
      </w:r>
      <w:r>
        <w:rPr>
          <w:w w:val="105"/>
        </w:rPr>
        <w:t>Given</w:t>
      </w:r>
      <w:r>
        <w:rPr>
          <w:spacing w:val="-2"/>
          <w:w w:val="105"/>
        </w:rPr>
        <w:t> </w:t>
      </w:r>
      <w:r>
        <w:rPr>
          <w:w w:val="105"/>
        </w:rPr>
        <w:t>the</w:t>
      </w:r>
      <w:r>
        <w:rPr>
          <w:spacing w:val="-2"/>
          <w:w w:val="105"/>
        </w:rPr>
        <w:t> </w:t>
      </w:r>
      <w:r>
        <w:rPr>
          <w:w w:val="105"/>
        </w:rPr>
        <w:t>economic environment</w:t>
      </w:r>
      <w:r>
        <w:rPr>
          <w:spacing w:val="-2"/>
          <w:w w:val="105"/>
        </w:rPr>
        <w:t> </w:t>
      </w:r>
      <w:r>
        <w:rPr>
          <w:w w:val="105"/>
        </w:rPr>
        <w:t>and</w:t>
      </w:r>
      <w:r>
        <w:rPr>
          <w:spacing w:val="-2"/>
          <w:w w:val="105"/>
        </w:rPr>
        <w:t> </w:t>
      </w:r>
      <w:r>
        <w:rPr>
          <w:w w:val="105"/>
        </w:rPr>
        <w:t>market</w:t>
      </w:r>
      <w:r>
        <w:rPr>
          <w:spacing w:val="-2"/>
          <w:w w:val="105"/>
        </w:rPr>
        <w:t> </w:t>
      </w:r>
      <w:r>
        <w:rPr>
          <w:w w:val="105"/>
        </w:rPr>
        <w:t>opportunities,</w:t>
      </w:r>
      <w:r>
        <w:rPr>
          <w:spacing w:val="-2"/>
          <w:w w:val="105"/>
        </w:rPr>
        <w:t> </w:t>
      </w:r>
      <w:r>
        <w:rPr>
          <w:w w:val="105"/>
        </w:rPr>
        <w:t>Corning</w:t>
      </w:r>
      <w:r>
        <w:rPr>
          <w:spacing w:val="-2"/>
          <w:w w:val="105"/>
        </w:rPr>
        <w:t> </w:t>
      </w:r>
      <w:r>
        <w:rPr>
          <w:w w:val="105"/>
        </w:rPr>
        <w:t>discontinued</w:t>
      </w:r>
      <w:r>
        <w:rPr>
          <w:spacing w:val="-2"/>
          <w:w w:val="105"/>
        </w:rPr>
        <w:t> </w:t>
      </w:r>
      <w:r>
        <w:rPr>
          <w:w w:val="105"/>
        </w:rPr>
        <w:t>its investment</w:t>
      </w:r>
      <w:r>
        <w:rPr>
          <w:spacing w:val="-2"/>
          <w:w w:val="105"/>
        </w:rPr>
        <w:t> </w:t>
      </w:r>
      <w:r>
        <w:rPr>
          <w:w w:val="105"/>
        </w:rPr>
        <w:t>in</w:t>
      </w:r>
      <w:r>
        <w:rPr>
          <w:spacing w:val="-2"/>
          <w:w w:val="105"/>
        </w:rPr>
        <w:t> </w:t>
      </w:r>
      <w:r>
        <w:rPr>
          <w:w w:val="105"/>
        </w:rPr>
        <w:t>these</w:t>
      </w:r>
      <w:r>
        <w:rPr>
          <w:spacing w:val="-2"/>
          <w:w w:val="105"/>
        </w:rPr>
        <w:t> </w:t>
      </w:r>
      <w:r>
        <w:rPr>
          <w:w w:val="105"/>
        </w:rPr>
        <w:t>research</w:t>
      </w:r>
      <w:r>
        <w:rPr>
          <w:spacing w:val="-2"/>
          <w:w w:val="105"/>
        </w:rPr>
        <w:t> </w:t>
      </w:r>
      <w:r>
        <w:rPr>
          <w:w w:val="105"/>
        </w:rPr>
        <w:t>and development</w:t>
      </w:r>
      <w:r>
        <w:rPr>
          <w:spacing w:val="-8"/>
          <w:w w:val="105"/>
        </w:rPr>
        <w:t> </w:t>
      </w:r>
      <w:r>
        <w:rPr>
          <w:w w:val="105"/>
        </w:rPr>
        <w:t>programs.</w:t>
      </w:r>
      <w:r>
        <w:rPr>
          <w:spacing w:val="-8"/>
          <w:w w:val="105"/>
        </w:rPr>
        <w:t> </w:t>
      </w:r>
      <w:r>
        <w:rPr>
          <w:w w:val="105"/>
        </w:rPr>
        <w:t>The</w:t>
      </w:r>
      <w:r>
        <w:rPr>
          <w:spacing w:val="-8"/>
          <w:w w:val="105"/>
        </w:rPr>
        <w:t> </w:t>
      </w:r>
      <w:r>
        <w:rPr>
          <w:w w:val="105"/>
        </w:rPr>
        <w:t>impairment</w:t>
      </w:r>
      <w:r>
        <w:rPr>
          <w:spacing w:val="-8"/>
          <w:w w:val="105"/>
        </w:rPr>
        <w:t> </w:t>
      </w:r>
      <w:r>
        <w:rPr>
          <w:w w:val="105"/>
        </w:rPr>
        <w:t>analysis</w:t>
      </w:r>
      <w:r>
        <w:rPr>
          <w:spacing w:val="-8"/>
          <w:w w:val="105"/>
        </w:rPr>
        <w:t> </w:t>
      </w:r>
      <w:r>
        <w:rPr>
          <w:w w:val="105"/>
        </w:rPr>
        <w:t>and</w:t>
      </w:r>
      <w:r>
        <w:rPr>
          <w:spacing w:val="-8"/>
          <w:w w:val="105"/>
        </w:rPr>
        <w:t> </w:t>
      </w:r>
      <w:r>
        <w:rPr>
          <w:w w:val="105"/>
        </w:rPr>
        <w:t>disposition</w:t>
      </w:r>
      <w:r>
        <w:rPr>
          <w:spacing w:val="-8"/>
          <w:w w:val="105"/>
        </w:rPr>
        <w:t> </w:t>
      </w:r>
      <w:r>
        <w:rPr>
          <w:w w:val="105"/>
        </w:rPr>
        <w:t>of</w:t>
      </w:r>
      <w:r>
        <w:rPr>
          <w:spacing w:val="-8"/>
          <w:w w:val="105"/>
        </w:rPr>
        <w:t> </w:t>
      </w:r>
      <w:r>
        <w:rPr>
          <w:w w:val="105"/>
        </w:rPr>
        <w:t>certain</w:t>
      </w:r>
      <w:r>
        <w:rPr>
          <w:spacing w:val="-8"/>
          <w:w w:val="105"/>
        </w:rPr>
        <w:t> </w:t>
      </w:r>
      <w:r>
        <w:rPr>
          <w:w w:val="105"/>
        </w:rPr>
        <w:t>assets</w:t>
      </w:r>
      <w:r>
        <w:rPr>
          <w:spacing w:val="-7"/>
          <w:w w:val="105"/>
        </w:rPr>
        <w:t> </w:t>
      </w:r>
      <w:r>
        <w:rPr>
          <w:w w:val="105"/>
        </w:rPr>
        <w:t>resulted</w:t>
      </w:r>
      <w:r>
        <w:rPr>
          <w:spacing w:val="-8"/>
          <w:w w:val="105"/>
        </w:rPr>
        <w:t> </w:t>
      </w:r>
      <w:r>
        <w:rPr>
          <w:w w:val="105"/>
        </w:rPr>
        <w:t>in</w:t>
      </w:r>
      <w:r>
        <w:rPr>
          <w:spacing w:val="-8"/>
          <w:w w:val="105"/>
        </w:rPr>
        <w:t> </w:t>
      </w:r>
      <w:r>
        <w:rPr>
          <w:w w:val="105"/>
        </w:rPr>
        <w:t>a</w:t>
      </w:r>
      <w:r>
        <w:rPr>
          <w:spacing w:val="-8"/>
          <w:w w:val="105"/>
        </w:rPr>
        <w:t> </w:t>
      </w:r>
      <w:r>
        <w:rPr>
          <w:w w:val="105"/>
        </w:rPr>
        <w:t>total</w:t>
      </w:r>
      <w:r>
        <w:rPr>
          <w:spacing w:val="-8"/>
          <w:w w:val="105"/>
        </w:rPr>
        <w:t> </w:t>
      </w:r>
      <w:r>
        <w:rPr>
          <w:w w:val="105"/>
        </w:rPr>
        <w:t>pre-tax</w:t>
      </w:r>
      <w:r>
        <w:rPr>
          <w:spacing w:val="-8"/>
          <w:w w:val="105"/>
        </w:rPr>
        <w:t> </w:t>
      </w:r>
      <w:r>
        <w:rPr>
          <w:w w:val="105"/>
        </w:rPr>
        <w:t>charge</w:t>
      </w:r>
      <w:r>
        <w:rPr>
          <w:spacing w:val="-8"/>
          <w:w w:val="105"/>
        </w:rPr>
        <w:t> </w:t>
      </w:r>
      <w:r>
        <w:rPr>
          <w:w w:val="105"/>
        </w:rPr>
        <w:t>of</w:t>
      </w:r>
      <w:r>
        <w:rPr>
          <w:spacing w:val="-8"/>
          <w:w w:val="105"/>
        </w:rPr>
        <w:t> </w:t>
      </w:r>
      <w:r>
        <w:rPr>
          <w:w w:val="105"/>
        </w:rPr>
        <w:t>$217</w:t>
      </w:r>
      <w:r>
        <w:rPr>
          <w:spacing w:val="-8"/>
          <w:w w:val="105"/>
        </w:rPr>
        <w:t> </w:t>
      </w:r>
      <w:r>
        <w:rPr>
          <w:w w:val="105"/>
        </w:rPr>
        <w:t>million,</w:t>
      </w:r>
      <w:r>
        <w:rPr>
          <w:spacing w:val="-8"/>
          <w:w w:val="105"/>
        </w:rPr>
        <w:t> </w:t>
      </w:r>
      <w:r>
        <w:rPr>
          <w:w w:val="105"/>
        </w:rPr>
        <w:t>which</w:t>
      </w:r>
      <w:r>
        <w:rPr>
          <w:spacing w:val="-8"/>
          <w:w w:val="105"/>
        </w:rPr>
        <w:t> </w:t>
      </w:r>
      <w:r>
        <w:rPr>
          <w:w w:val="105"/>
        </w:rPr>
        <w:t>was</w:t>
      </w:r>
      <w:r>
        <w:rPr>
          <w:spacing w:val="-8"/>
          <w:w w:val="105"/>
        </w:rPr>
        <w:t> </w:t>
      </w:r>
      <w:r>
        <w:rPr>
          <w:w w:val="105"/>
        </w:rPr>
        <w:t>substantially</w:t>
      </w:r>
      <w:r>
        <w:rPr>
          <w:spacing w:val="-8"/>
          <w:w w:val="105"/>
        </w:rPr>
        <w:t> </w:t>
      </w:r>
      <w:r>
        <w:rPr>
          <w:w w:val="105"/>
        </w:rPr>
        <w:t>all</w:t>
      </w:r>
      <w:r>
        <w:rPr>
          <w:spacing w:val="-8"/>
          <w:w w:val="105"/>
        </w:rPr>
        <w:t> </w:t>
      </w:r>
      <w:r>
        <w:rPr>
          <w:w w:val="105"/>
        </w:rPr>
        <w:t>the</w:t>
      </w:r>
      <w:r>
        <w:rPr>
          <w:spacing w:val="-7"/>
          <w:w w:val="105"/>
        </w:rPr>
        <w:t> </w:t>
      </w:r>
      <w:r>
        <w:rPr>
          <w:w w:val="105"/>
        </w:rPr>
        <w:t>carrying value, inclusive of an insignificant amount of goodwill.</w:t>
      </w:r>
    </w:p>
    <w:p>
      <w:pPr>
        <w:pStyle w:val="BodyText"/>
        <w:spacing w:before="18"/>
      </w:pPr>
    </w:p>
    <w:p>
      <w:pPr>
        <w:pStyle w:val="Heading3"/>
      </w:pPr>
      <w:r>
        <w:rPr/>
        <w:t>Capacity</w:t>
      </w:r>
      <w:r>
        <w:rPr>
          <w:spacing w:val="18"/>
        </w:rPr>
        <w:t> </w:t>
      </w:r>
      <w:r>
        <w:rPr>
          <w:spacing w:val="-2"/>
        </w:rPr>
        <w:t>Realignment</w:t>
      </w:r>
    </w:p>
    <w:p>
      <w:pPr>
        <w:pStyle w:val="BodyText"/>
        <w:spacing w:before="39"/>
        <w:rPr>
          <w:b/>
          <w:i/>
        </w:rPr>
      </w:pPr>
    </w:p>
    <w:p>
      <w:pPr>
        <w:pStyle w:val="BodyText"/>
        <w:spacing w:line="266" w:lineRule="auto"/>
        <w:ind w:left="156"/>
      </w:pPr>
      <w:r>
        <w:rPr>
          <w:w w:val="105"/>
        </w:rPr>
        <w:t>Capacity</w:t>
      </w:r>
      <w:r>
        <w:rPr>
          <w:spacing w:val="-9"/>
          <w:w w:val="105"/>
        </w:rPr>
        <w:t> </w:t>
      </w:r>
      <w:r>
        <w:rPr>
          <w:w w:val="105"/>
        </w:rPr>
        <w:t>realignment</w:t>
      </w:r>
      <w:r>
        <w:rPr>
          <w:spacing w:val="-7"/>
          <w:w w:val="105"/>
        </w:rPr>
        <w:t> </w:t>
      </w:r>
      <w:r>
        <w:rPr>
          <w:w w:val="105"/>
        </w:rPr>
        <w:t>for</w:t>
      </w:r>
      <w:r>
        <w:rPr>
          <w:spacing w:val="-9"/>
          <w:w w:val="105"/>
        </w:rPr>
        <w:t> </w:t>
      </w:r>
      <w:r>
        <w:rPr>
          <w:w w:val="105"/>
        </w:rPr>
        <w:t>the</w:t>
      </w:r>
      <w:r>
        <w:rPr>
          <w:spacing w:val="-9"/>
          <w:w w:val="105"/>
        </w:rPr>
        <w:t> </w:t>
      </w:r>
      <w:r>
        <w:rPr>
          <w:w w:val="105"/>
        </w:rPr>
        <w:t>year</w:t>
      </w:r>
      <w:r>
        <w:rPr>
          <w:spacing w:val="-9"/>
          <w:w w:val="105"/>
        </w:rPr>
        <w:t> </w:t>
      </w:r>
      <w:r>
        <w:rPr>
          <w:w w:val="105"/>
        </w:rPr>
        <w:t>ended</w:t>
      </w:r>
      <w:r>
        <w:rPr>
          <w:spacing w:val="-8"/>
          <w:w w:val="105"/>
        </w:rPr>
        <w:t> </w:t>
      </w:r>
      <w:r>
        <w:rPr>
          <w:w w:val="105"/>
        </w:rPr>
        <w:t>December</w:t>
      </w:r>
      <w:r>
        <w:rPr>
          <w:spacing w:val="-9"/>
          <w:w w:val="105"/>
        </w:rPr>
        <w:t> </w:t>
      </w:r>
      <w:r>
        <w:rPr>
          <w:w w:val="105"/>
        </w:rPr>
        <w:t>31,</w:t>
      </w:r>
      <w:r>
        <w:rPr>
          <w:spacing w:val="-9"/>
          <w:w w:val="105"/>
        </w:rPr>
        <w:t> </w:t>
      </w:r>
      <w:r>
        <w:rPr>
          <w:w w:val="105"/>
        </w:rPr>
        <w:t>2020,</w:t>
      </w:r>
      <w:r>
        <w:rPr>
          <w:spacing w:val="-8"/>
          <w:w w:val="105"/>
        </w:rPr>
        <w:t> </w:t>
      </w:r>
      <w:r>
        <w:rPr>
          <w:w w:val="105"/>
        </w:rPr>
        <w:t>primarily</w:t>
      </w:r>
      <w:r>
        <w:rPr>
          <w:spacing w:val="-9"/>
          <w:w w:val="105"/>
        </w:rPr>
        <w:t> </w:t>
      </w:r>
      <w:r>
        <w:rPr>
          <w:w w:val="105"/>
        </w:rPr>
        <w:t>includes</w:t>
      </w:r>
      <w:r>
        <w:rPr>
          <w:spacing w:val="-9"/>
          <w:w w:val="105"/>
        </w:rPr>
        <w:t> </w:t>
      </w:r>
      <w:r>
        <w:rPr>
          <w:w w:val="105"/>
        </w:rPr>
        <w:t>accelerated</w:t>
      </w:r>
      <w:r>
        <w:rPr>
          <w:spacing w:val="-9"/>
          <w:w w:val="105"/>
        </w:rPr>
        <w:t> </w:t>
      </w:r>
      <w:r>
        <w:rPr>
          <w:w w:val="105"/>
        </w:rPr>
        <w:t>depreciation</w:t>
      </w:r>
      <w:r>
        <w:rPr>
          <w:spacing w:val="-9"/>
          <w:w w:val="105"/>
        </w:rPr>
        <w:t> </w:t>
      </w:r>
      <w:r>
        <w:rPr>
          <w:w w:val="105"/>
        </w:rPr>
        <w:t>and</w:t>
      </w:r>
      <w:r>
        <w:rPr>
          <w:spacing w:val="-9"/>
          <w:w w:val="105"/>
        </w:rPr>
        <w:t> </w:t>
      </w:r>
      <w:r>
        <w:rPr>
          <w:w w:val="105"/>
        </w:rPr>
        <w:t>asset</w:t>
      </w:r>
      <w:r>
        <w:rPr>
          <w:spacing w:val="-9"/>
          <w:w w:val="105"/>
        </w:rPr>
        <w:t> </w:t>
      </w:r>
      <w:r>
        <w:rPr>
          <w:w w:val="105"/>
        </w:rPr>
        <w:t>disposals</w:t>
      </w:r>
      <w:r>
        <w:rPr>
          <w:spacing w:val="-9"/>
          <w:w w:val="105"/>
        </w:rPr>
        <w:t> </w:t>
      </w:r>
      <w:r>
        <w:rPr>
          <w:w w:val="105"/>
        </w:rPr>
        <w:t>associated</w:t>
      </w:r>
      <w:r>
        <w:rPr>
          <w:spacing w:val="-9"/>
          <w:w w:val="105"/>
        </w:rPr>
        <w:t> </w:t>
      </w:r>
      <w:r>
        <w:rPr>
          <w:w w:val="105"/>
        </w:rPr>
        <w:t>with</w:t>
      </w:r>
      <w:r>
        <w:rPr>
          <w:spacing w:val="-9"/>
          <w:w w:val="105"/>
        </w:rPr>
        <w:t> </w:t>
      </w:r>
      <w:r>
        <w:rPr>
          <w:w w:val="105"/>
        </w:rPr>
        <w:t>the</w:t>
      </w:r>
      <w:r>
        <w:rPr>
          <w:spacing w:val="-10"/>
          <w:w w:val="105"/>
        </w:rPr>
        <w:t> </w:t>
      </w:r>
      <w:r>
        <w:rPr>
          <w:w w:val="105"/>
        </w:rPr>
        <w:t>exit</w:t>
      </w:r>
      <w:r>
        <w:rPr>
          <w:spacing w:val="-9"/>
          <w:w w:val="105"/>
        </w:rPr>
        <w:t> </w:t>
      </w:r>
      <w:r>
        <w:rPr>
          <w:w w:val="105"/>
        </w:rPr>
        <w:t>of</w:t>
      </w:r>
      <w:r>
        <w:rPr>
          <w:spacing w:val="-9"/>
          <w:w w:val="105"/>
        </w:rPr>
        <w:t> </w:t>
      </w:r>
      <w:r>
        <w:rPr>
          <w:w w:val="105"/>
        </w:rPr>
        <w:t>certain</w:t>
      </w:r>
      <w:r>
        <w:rPr>
          <w:spacing w:val="-9"/>
          <w:w w:val="105"/>
        </w:rPr>
        <w:t> </w:t>
      </w:r>
      <w:r>
        <w:rPr>
          <w:w w:val="105"/>
        </w:rPr>
        <w:t>facilities</w:t>
      </w:r>
      <w:r>
        <w:rPr>
          <w:spacing w:val="-9"/>
          <w:w w:val="105"/>
        </w:rPr>
        <w:t> </w:t>
      </w:r>
      <w:r>
        <w:rPr>
          <w:w w:val="105"/>
        </w:rPr>
        <w:t>and other</w:t>
      </w:r>
      <w:r>
        <w:rPr>
          <w:spacing w:val="-2"/>
          <w:w w:val="105"/>
        </w:rPr>
        <w:t> </w:t>
      </w:r>
      <w:r>
        <w:rPr>
          <w:w w:val="105"/>
        </w:rPr>
        <w:t>exit</w:t>
      </w:r>
      <w:r>
        <w:rPr>
          <w:spacing w:val="-2"/>
          <w:w w:val="105"/>
        </w:rPr>
        <w:t> </w:t>
      </w:r>
      <w:r>
        <w:rPr>
          <w:w w:val="105"/>
        </w:rPr>
        <w:t>activities</w:t>
      </w:r>
      <w:r>
        <w:rPr>
          <w:spacing w:val="-2"/>
          <w:w w:val="105"/>
        </w:rPr>
        <w:t> </w:t>
      </w:r>
      <w:r>
        <w:rPr>
          <w:w w:val="105"/>
        </w:rPr>
        <w:t>in</w:t>
      </w:r>
      <w:r>
        <w:rPr>
          <w:spacing w:val="-2"/>
          <w:w w:val="105"/>
        </w:rPr>
        <w:t> </w:t>
      </w:r>
      <w:r>
        <w:rPr>
          <w:w w:val="105"/>
        </w:rPr>
        <w:t>the</w:t>
      </w:r>
      <w:r>
        <w:rPr>
          <w:spacing w:val="-2"/>
          <w:w w:val="105"/>
        </w:rPr>
        <w:t> </w:t>
      </w:r>
      <w:r>
        <w:rPr>
          <w:w w:val="105"/>
        </w:rPr>
        <w:t>Display</w:t>
      </w:r>
      <w:r>
        <w:rPr>
          <w:spacing w:val="-2"/>
          <w:w w:val="105"/>
        </w:rPr>
        <w:t> </w:t>
      </w:r>
      <w:r>
        <w:rPr>
          <w:w w:val="105"/>
        </w:rPr>
        <w:t>Technologies</w:t>
      </w:r>
      <w:r>
        <w:rPr>
          <w:spacing w:val="-2"/>
          <w:w w:val="105"/>
        </w:rPr>
        <w:t> </w:t>
      </w:r>
      <w:r>
        <w:rPr>
          <w:w w:val="105"/>
        </w:rPr>
        <w:t>and</w:t>
      </w:r>
      <w:r>
        <w:rPr>
          <w:spacing w:val="-2"/>
          <w:w w:val="105"/>
        </w:rPr>
        <w:t> </w:t>
      </w:r>
      <w:r>
        <w:rPr>
          <w:w w:val="105"/>
        </w:rPr>
        <w:t>Specialty</w:t>
      </w:r>
      <w:r>
        <w:rPr>
          <w:spacing w:val="-2"/>
          <w:w w:val="105"/>
        </w:rPr>
        <w:t> </w:t>
      </w:r>
      <w:r>
        <w:rPr>
          <w:w w:val="105"/>
        </w:rPr>
        <w:t>Materials</w:t>
      </w:r>
      <w:r>
        <w:rPr>
          <w:spacing w:val="-2"/>
          <w:w w:val="105"/>
        </w:rPr>
        <w:t> </w:t>
      </w:r>
      <w:r>
        <w:rPr>
          <w:w w:val="105"/>
        </w:rPr>
        <w:t>business</w:t>
      </w:r>
      <w:r>
        <w:rPr>
          <w:spacing w:val="-2"/>
          <w:w w:val="105"/>
        </w:rPr>
        <w:t> </w:t>
      </w:r>
      <w:r>
        <w:rPr>
          <w:w w:val="105"/>
        </w:rPr>
        <w:t>segments.</w:t>
      </w:r>
      <w:r>
        <w:rPr>
          <w:spacing w:val="38"/>
          <w:w w:val="105"/>
        </w:rPr>
        <w:t> </w:t>
      </w:r>
      <w:r>
        <w:rPr>
          <w:w w:val="105"/>
        </w:rPr>
        <w:t>Capacity</w:t>
      </w:r>
      <w:r>
        <w:rPr>
          <w:spacing w:val="-2"/>
          <w:w w:val="105"/>
        </w:rPr>
        <w:t> </w:t>
      </w:r>
      <w:r>
        <w:rPr>
          <w:w w:val="105"/>
        </w:rPr>
        <w:t>realignment</w:t>
      </w:r>
      <w:r>
        <w:rPr>
          <w:spacing w:val="-2"/>
          <w:w w:val="105"/>
        </w:rPr>
        <w:t> </w:t>
      </w:r>
      <w:r>
        <w:rPr>
          <w:w w:val="105"/>
        </w:rPr>
        <w:t>for</w:t>
      </w:r>
      <w:r>
        <w:rPr>
          <w:spacing w:val="-2"/>
          <w:w w:val="105"/>
        </w:rPr>
        <w:t> </w:t>
      </w:r>
      <w:r>
        <w:rPr>
          <w:w w:val="105"/>
        </w:rPr>
        <w:t>the</w:t>
      </w:r>
      <w:r>
        <w:rPr>
          <w:spacing w:val="-2"/>
          <w:w w:val="105"/>
        </w:rPr>
        <w:t> </w:t>
      </w:r>
      <w:r>
        <w:rPr>
          <w:w w:val="105"/>
        </w:rPr>
        <w:t>year</w:t>
      </w:r>
      <w:r>
        <w:rPr>
          <w:spacing w:val="-2"/>
          <w:w w:val="105"/>
        </w:rPr>
        <w:t> </w:t>
      </w:r>
      <w:r>
        <w:rPr>
          <w:w w:val="105"/>
        </w:rPr>
        <w:t>ended December</w:t>
      </w:r>
      <w:r>
        <w:rPr>
          <w:spacing w:val="-2"/>
          <w:w w:val="105"/>
        </w:rPr>
        <w:t> </w:t>
      </w:r>
      <w:r>
        <w:rPr>
          <w:w w:val="105"/>
        </w:rPr>
        <w:t>31,</w:t>
      </w:r>
      <w:r>
        <w:rPr>
          <w:spacing w:val="-2"/>
          <w:w w:val="105"/>
        </w:rPr>
        <w:t> </w:t>
      </w:r>
      <w:r>
        <w:rPr>
          <w:w w:val="105"/>
        </w:rPr>
        <w:t>2019,</w:t>
      </w:r>
      <w:r>
        <w:rPr>
          <w:spacing w:val="-1"/>
          <w:w w:val="105"/>
        </w:rPr>
        <w:t> </w:t>
      </w:r>
      <w:r>
        <w:rPr>
          <w:w w:val="105"/>
        </w:rPr>
        <w:t>is</w:t>
      </w:r>
      <w:r>
        <w:rPr>
          <w:spacing w:val="-2"/>
          <w:w w:val="105"/>
        </w:rPr>
        <w:t> </w:t>
      </w:r>
      <w:r>
        <w:rPr>
          <w:w w:val="105"/>
        </w:rPr>
        <w:t>primarily comprised of accelerated depreciation associated with the exit of certain facilities in the</w:t>
      </w:r>
      <w:r>
        <w:rPr>
          <w:spacing w:val="-1"/>
          <w:w w:val="105"/>
        </w:rPr>
        <w:t> </w:t>
      </w:r>
      <w:r>
        <w:rPr>
          <w:w w:val="105"/>
        </w:rPr>
        <w:t>Display Technologies</w:t>
      </w:r>
      <w:r>
        <w:rPr>
          <w:spacing w:val="-1"/>
          <w:w w:val="105"/>
        </w:rPr>
        <w:t> </w:t>
      </w:r>
      <w:r>
        <w:rPr>
          <w:w w:val="105"/>
        </w:rPr>
        <w:t>segment.</w:t>
      </w:r>
    </w:p>
    <w:p>
      <w:pPr>
        <w:pStyle w:val="BodyText"/>
        <w:spacing w:before="19"/>
      </w:pPr>
    </w:p>
    <w:p>
      <w:pPr>
        <w:pStyle w:val="BodyText"/>
        <w:ind w:left="48"/>
        <w:jc w:val="center"/>
      </w:pPr>
      <w:r>
        <w:rPr>
          <w:spacing w:val="-5"/>
          <w:w w:val="105"/>
        </w:rPr>
        <w:t>76</w:t>
      </w:r>
    </w:p>
    <w:p>
      <w:pPr>
        <w:pStyle w:val="BodyText"/>
        <w:rPr>
          <w:sz w:val="6"/>
        </w:rPr>
      </w:pPr>
      <w:r>
        <w:rPr/>
        <mc:AlternateContent>
          <mc:Choice Requires="wps">
            <w:drawing>
              <wp:anchor distT="0" distB="0" distL="0" distR="0" allowOverlap="1" layoutInCell="1" locked="0" behindDoc="1" simplePos="0" relativeHeight="487673856">
                <wp:simplePos x="0" y="0"/>
                <wp:positionH relativeFrom="page">
                  <wp:posOffset>226488</wp:posOffset>
                </wp:positionH>
                <wp:positionV relativeFrom="paragraph">
                  <wp:posOffset>59107</wp:posOffset>
                </wp:positionV>
                <wp:extent cx="7312659" cy="16510"/>
                <wp:effectExtent l="0" t="0" r="0" b="0"/>
                <wp:wrapTopAndBottom/>
                <wp:docPr id="304" name="Graphic 304"/>
                <wp:cNvGraphicFramePr>
                  <a:graphicFrameLocks/>
                </wp:cNvGraphicFramePr>
                <a:graphic>
                  <a:graphicData uri="http://schemas.microsoft.com/office/word/2010/wordprocessingShape">
                    <wps:wsp>
                      <wps:cNvPr id="304" name="Graphic 30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4161pt;width:575.775087pt;height:1.273839pt;mso-position-horizontal-relative:page;mso-position-vertical-relative:paragraph;z-index:-15642624;mso-wrap-distance-left:0;mso-wrap-distance-right:0" id="docshape303"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numPr>
          <w:ilvl w:val="0"/>
          <w:numId w:val="36"/>
        </w:numPr>
        <w:tabs>
          <w:tab w:pos="362" w:val="left" w:leader="none"/>
        </w:tabs>
        <w:spacing w:line="240" w:lineRule="auto" w:before="0" w:after="0"/>
        <w:ind w:left="362" w:right="0" w:hanging="206"/>
        <w:jc w:val="left"/>
      </w:pPr>
      <w:r>
        <w:rPr/>
        <w:t>Restructuring,</w:t>
      </w:r>
      <w:r>
        <w:rPr>
          <w:spacing w:val="15"/>
        </w:rPr>
        <w:t> </w:t>
      </w:r>
      <w:r>
        <w:rPr/>
        <w:t>Impairment</w:t>
      </w:r>
      <w:r>
        <w:rPr>
          <w:spacing w:val="15"/>
        </w:rPr>
        <w:t> </w:t>
      </w:r>
      <w:r>
        <w:rPr/>
        <w:t>and</w:t>
      </w:r>
      <w:r>
        <w:rPr>
          <w:spacing w:val="15"/>
        </w:rPr>
        <w:t> </w:t>
      </w:r>
      <w:r>
        <w:rPr/>
        <w:t>Other</w:t>
      </w:r>
      <w:r>
        <w:rPr>
          <w:spacing w:val="15"/>
        </w:rPr>
        <w:t> </w:t>
      </w:r>
      <w:r>
        <w:rPr/>
        <w:t>Charges</w:t>
      </w:r>
      <w:r>
        <w:rPr>
          <w:spacing w:val="15"/>
        </w:rPr>
        <w:t> </w:t>
      </w:r>
      <w:r>
        <w:rPr/>
        <w:t>and</w:t>
      </w:r>
      <w:r>
        <w:rPr>
          <w:spacing w:val="15"/>
        </w:rPr>
        <w:t> </w:t>
      </w:r>
      <w:r>
        <w:rPr/>
        <w:t>Credits</w:t>
      </w:r>
      <w:r>
        <w:rPr>
          <w:spacing w:val="15"/>
        </w:rPr>
        <w:t> </w:t>
      </w:r>
      <w:r>
        <w:rPr>
          <w:spacing w:val="-2"/>
        </w:rPr>
        <w:t>(Continued)</w:t>
      </w:r>
    </w:p>
    <w:p>
      <w:pPr>
        <w:pStyle w:val="BodyText"/>
        <w:spacing w:before="40"/>
        <w:rPr>
          <w:b/>
        </w:rPr>
      </w:pPr>
    </w:p>
    <w:p>
      <w:pPr>
        <w:pStyle w:val="BodyText"/>
        <w:spacing w:line="266" w:lineRule="auto"/>
        <w:ind w:left="156"/>
      </w:pPr>
      <w:r>
        <w:rPr>
          <w:w w:val="105"/>
        </w:rPr>
        <w:t>The</w:t>
      </w:r>
      <w:r>
        <w:rPr>
          <w:spacing w:val="-8"/>
          <w:w w:val="105"/>
        </w:rPr>
        <w:t> </w:t>
      </w:r>
      <w:r>
        <w:rPr>
          <w:w w:val="105"/>
        </w:rPr>
        <w:t>following</w:t>
      </w:r>
      <w:r>
        <w:rPr>
          <w:spacing w:val="-8"/>
          <w:w w:val="105"/>
        </w:rPr>
        <w:t> </w:t>
      </w:r>
      <w:r>
        <w:rPr>
          <w:w w:val="105"/>
        </w:rPr>
        <w:t>tables</w:t>
      </w:r>
      <w:r>
        <w:rPr>
          <w:spacing w:val="-8"/>
          <w:w w:val="105"/>
        </w:rPr>
        <w:t> </w:t>
      </w:r>
      <w:r>
        <w:rPr>
          <w:w w:val="105"/>
        </w:rPr>
        <w:t>present</w:t>
      </w:r>
      <w:r>
        <w:rPr>
          <w:spacing w:val="-7"/>
          <w:w w:val="105"/>
        </w:rPr>
        <w:t> </w:t>
      </w:r>
      <w:r>
        <w:rPr>
          <w:w w:val="105"/>
        </w:rPr>
        <w:t>the</w:t>
      </w:r>
      <w:r>
        <w:rPr>
          <w:spacing w:val="-8"/>
          <w:w w:val="105"/>
        </w:rPr>
        <w:t> </w:t>
      </w:r>
      <w:r>
        <w:rPr>
          <w:w w:val="105"/>
        </w:rPr>
        <w:t>impact</w:t>
      </w:r>
      <w:r>
        <w:rPr>
          <w:spacing w:val="-8"/>
          <w:w w:val="105"/>
        </w:rPr>
        <w:t> </w:t>
      </w:r>
      <w:r>
        <w:rPr>
          <w:w w:val="105"/>
        </w:rPr>
        <w:t>and</w:t>
      </w:r>
      <w:r>
        <w:rPr>
          <w:spacing w:val="-8"/>
          <w:w w:val="105"/>
        </w:rPr>
        <w:t> </w:t>
      </w:r>
      <w:r>
        <w:rPr>
          <w:w w:val="105"/>
        </w:rPr>
        <w:t>respective</w:t>
      </w:r>
      <w:r>
        <w:rPr>
          <w:spacing w:val="-8"/>
          <w:w w:val="105"/>
        </w:rPr>
        <w:t> </w:t>
      </w:r>
      <w:r>
        <w:rPr>
          <w:w w:val="105"/>
        </w:rPr>
        <w:t>location</w:t>
      </w:r>
      <w:r>
        <w:rPr>
          <w:spacing w:val="-8"/>
          <w:w w:val="105"/>
        </w:rPr>
        <w:t> </w:t>
      </w:r>
      <w:r>
        <w:rPr>
          <w:w w:val="105"/>
        </w:rPr>
        <w:t>of</w:t>
      </w:r>
      <w:r>
        <w:rPr>
          <w:spacing w:val="-8"/>
          <w:w w:val="105"/>
        </w:rPr>
        <w:t> </w:t>
      </w:r>
      <w:r>
        <w:rPr>
          <w:w w:val="105"/>
        </w:rPr>
        <w:t>total</w:t>
      </w:r>
      <w:r>
        <w:rPr>
          <w:spacing w:val="-8"/>
          <w:w w:val="105"/>
        </w:rPr>
        <w:t> </w:t>
      </w:r>
      <w:r>
        <w:rPr>
          <w:w w:val="105"/>
        </w:rPr>
        <w:t>restructuring,</w:t>
      </w:r>
      <w:r>
        <w:rPr>
          <w:spacing w:val="-8"/>
          <w:w w:val="105"/>
        </w:rPr>
        <w:t> </w:t>
      </w:r>
      <w:r>
        <w:rPr>
          <w:w w:val="105"/>
        </w:rPr>
        <w:t>impairment,</w:t>
      </w:r>
      <w:r>
        <w:rPr>
          <w:spacing w:val="-8"/>
          <w:w w:val="105"/>
        </w:rPr>
        <w:t> </w:t>
      </w:r>
      <w:r>
        <w:rPr>
          <w:w w:val="105"/>
        </w:rPr>
        <w:t>and</w:t>
      </w:r>
      <w:r>
        <w:rPr>
          <w:spacing w:val="-8"/>
          <w:w w:val="105"/>
        </w:rPr>
        <w:t> </w:t>
      </w:r>
      <w:r>
        <w:rPr>
          <w:w w:val="105"/>
        </w:rPr>
        <w:t>other</w:t>
      </w:r>
      <w:r>
        <w:rPr>
          <w:spacing w:val="-8"/>
          <w:w w:val="105"/>
        </w:rPr>
        <w:t> </w:t>
      </w:r>
      <w:r>
        <w:rPr>
          <w:w w:val="105"/>
        </w:rPr>
        <w:t>charges</w:t>
      </w:r>
      <w:r>
        <w:rPr>
          <w:spacing w:val="-8"/>
          <w:w w:val="105"/>
        </w:rPr>
        <w:t> </w:t>
      </w:r>
      <w:r>
        <w:rPr>
          <w:w w:val="105"/>
        </w:rPr>
        <w:t>and</w:t>
      </w:r>
      <w:r>
        <w:rPr>
          <w:spacing w:val="-8"/>
          <w:w w:val="105"/>
        </w:rPr>
        <w:t> </w:t>
      </w:r>
      <w:r>
        <w:rPr>
          <w:w w:val="105"/>
        </w:rPr>
        <w:t>credits</w:t>
      </w:r>
      <w:r>
        <w:rPr>
          <w:spacing w:val="-8"/>
          <w:w w:val="105"/>
        </w:rPr>
        <w:t> </w:t>
      </w:r>
      <w:r>
        <w:rPr>
          <w:w w:val="105"/>
        </w:rPr>
        <w:t>on</w:t>
      </w:r>
      <w:r>
        <w:rPr>
          <w:spacing w:val="-8"/>
          <w:w w:val="105"/>
        </w:rPr>
        <w:t> </w:t>
      </w:r>
      <w:r>
        <w:rPr>
          <w:w w:val="105"/>
        </w:rPr>
        <w:t>the</w:t>
      </w:r>
      <w:r>
        <w:rPr>
          <w:spacing w:val="-8"/>
          <w:w w:val="105"/>
        </w:rPr>
        <w:t> </w:t>
      </w:r>
      <w:r>
        <w:rPr>
          <w:w w:val="105"/>
        </w:rPr>
        <w:t>consolidated</w:t>
      </w:r>
      <w:r>
        <w:rPr>
          <w:spacing w:val="-8"/>
          <w:w w:val="105"/>
        </w:rPr>
        <w:t> </w:t>
      </w:r>
      <w:r>
        <w:rPr>
          <w:w w:val="105"/>
        </w:rPr>
        <w:t>statements</w:t>
      </w:r>
      <w:r>
        <w:rPr>
          <w:spacing w:val="-8"/>
          <w:w w:val="105"/>
        </w:rPr>
        <w:t> </w:t>
      </w:r>
      <w:r>
        <w:rPr>
          <w:w w:val="105"/>
        </w:rPr>
        <w:t>of</w:t>
      </w:r>
      <w:r>
        <w:rPr>
          <w:spacing w:val="-8"/>
          <w:w w:val="105"/>
        </w:rPr>
        <w:t> </w:t>
      </w:r>
      <w:r>
        <w:rPr>
          <w:w w:val="105"/>
        </w:rPr>
        <w:t>income</w:t>
      </w:r>
      <w:r>
        <w:rPr>
          <w:spacing w:val="-8"/>
          <w:w w:val="105"/>
        </w:rPr>
        <w:t> </w:t>
      </w:r>
      <w:r>
        <w:rPr>
          <w:w w:val="105"/>
        </w:rPr>
        <w:t>(in </w:t>
      </w:r>
      <w:r>
        <w:rPr>
          <w:spacing w:val="-2"/>
          <w:w w:val="105"/>
        </w:rPr>
        <w:t>millions):</w:t>
      </w:r>
    </w:p>
    <w:p>
      <w:pPr>
        <w:pStyle w:val="BodyText"/>
        <w:spacing w:before="3"/>
        <w:rPr>
          <w:sz w:val="15"/>
        </w:rPr>
      </w:pPr>
      <w:r>
        <w:rPr/>
        <mc:AlternateContent>
          <mc:Choice Requires="wps">
            <w:drawing>
              <wp:anchor distT="0" distB="0" distL="0" distR="0" allowOverlap="1" layoutInCell="1" locked="0" behindDoc="1" simplePos="0" relativeHeight="487674368">
                <wp:simplePos x="0" y="0"/>
                <wp:positionH relativeFrom="page">
                  <wp:posOffset>226479</wp:posOffset>
                </wp:positionH>
                <wp:positionV relativeFrom="paragraph">
                  <wp:posOffset>126763</wp:posOffset>
                </wp:positionV>
                <wp:extent cx="7312659" cy="16510"/>
                <wp:effectExtent l="0" t="0" r="0" b="0"/>
                <wp:wrapTopAndBottom/>
                <wp:docPr id="305" name="Graphic 305"/>
                <wp:cNvGraphicFramePr>
                  <a:graphicFrameLocks/>
                </wp:cNvGraphicFramePr>
                <a:graphic>
                  <a:graphicData uri="http://schemas.microsoft.com/office/word/2010/wordprocessingShape">
                    <wps:wsp>
                      <wps:cNvPr id="305" name="Graphic 305"/>
                      <wps:cNvSpPr/>
                      <wps:spPr>
                        <a:xfrm>
                          <a:off x="0" y="0"/>
                          <a:ext cx="7312659" cy="16510"/>
                        </a:xfrm>
                        <a:custGeom>
                          <a:avLst/>
                          <a:gdLst/>
                          <a:ahLst/>
                          <a:cxnLst/>
                          <a:rect l="l" t="t" r="r" b="b"/>
                          <a:pathLst>
                            <a:path w="7312659" h="16510">
                              <a:moveTo>
                                <a:pt x="7312342" y="0"/>
                              </a:moveTo>
                              <a:lnTo>
                                <a:pt x="7239546" y="0"/>
                              </a:lnTo>
                              <a:lnTo>
                                <a:pt x="2823019" y="0"/>
                              </a:lnTo>
                              <a:lnTo>
                                <a:pt x="2750223" y="0"/>
                              </a:lnTo>
                              <a:lnTo>
                                <a:pt x="0" y="0"/>
                              </a:lnTo>
                              <a:lnTo>
                                <a:pt x="0" y="16179"/>
                              </a:lnTo>
                              <a:lnTo>
                                <a:pt x="2750223" y="16179"/>
                              </a:lnTo>
                              <a:lnTo>
                                <a:pt x="2823019"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9.981373pt;width:575.8pt;height:1.3pt;mso-position-horizontal-relative:page;mso-position-vertical-relative:paragraph;z-index:-15642112;mso-wrap-distance-left:0;mso-wrap-distance-right:0" id="docshape304" coordorigin="357,200" coordsize="11516,26" path="m11872,200l11758,200,4802,200,4688,200,357,200,357,225,4688,225,4802,225,11758,225,11872,225,11872,200xe" filled="true" fillcolor="#000000" stroked="false">
                <v:path arrowok="t"/>
                <v:fill type="solid"/>
                <w10:wrap type="topAndBottom"/>
              </v:shape>
            </w:pict>
          </mc:Fallback>
        </mc:AlternateContent>
      </w:r>
    </w:p>
    <w:p>
      <w:pPr>
        <w:pStyle w:val="BodyText"/>
        <w:spacing w:before="3" w:after="17"/>
        <w:ind w:left="7028"/>
      </w:pPr>
      <w:r>
        <w:rPr>
          <w:w w:val="105"/>
        </w:rPr>
        <w:t>Year</w:t>
      </w:r>
      <w:r>
        <w:rPr>
          <w:spacing w:val="-11"/>
          <w:w w:val="105"/>
        </w:rPr>
        <w:t> </w:t>
      </w:r>
      <w:r>
        <w:rPr>
          <w:w w:val="105"/>
        </w:rPr>
        <w:t>ended</w:t>
      </w:r>
      <w:r>
        <w:rPr>
          <w:spacing w:val="-9"/>
          <w:w w:val="105"/>
        </w:rPr>
        <w:t> </w:t>
      </w:r>
      <w:r>
        <w:rPr>
          <w:w w:val="105"/>
        </w:rPr>
        <w:t>December</w:t>
      </w:r>
      <w:r>
        <w:rPr>
          <w:spacing w:val="-9"/>
          <w:w w:val="105"/>
        </w:rPr>
        <w:t> </w:t>
      </w:r>
      <w:r>
        <w:rPr>
          <w:w w:val="105"/>
        </w:rPr>
        <w:t>31,</w:t>
      </w:r>
      <w:r>
        <w:rPr>
          <w:spacing w:val="-8"/>
          <w:w w:val="105"/>
        </w:rPr>
        <w:t> </w:t>
      </w:r>
      <w:r>
        <w:rPr>
          <w:spacing w:val="-4"/>
          <w:w w:val="105"/>
        </w:rPr>
        <w:t>2021</w:t>
      </w:r>
    </w:p>
    <w:p>
      <w:pPr>
        <w:pStyle w:val="BodyText"/>
        <w:spacing w:line="20" w:lineRule="exact"/>
        <w:ind w:left="156"/>
        <w:rPr>
          <w:sz w:val="2"/>
        </w:rPr>
      </w:pPr>
      <w:r>
        <w:rPr>
          <w:sz w:val="2"/>
        </w:rPr>
        <mc:AlternateContent>
          <mc:Choice Requires="wps">
            <w:drawing>
              <wp:inline distT="0" distB="0" distL="0" distR="0">
                <wp:extent cx="7312659" cy="8255"/>
                <wp:effectExtent l="0" t="0" r="0" b="0"/>
                <wp:docPr id="306" name="Group 306"/>
                <wp:cNvGraphicFramePr>
                  <a:graphicFrameLocks/>
                </wp:cNvGraphicFramePr>
                <a:graphic>
                  <a:graphicData uri="http://schemas.microsoft.com/office/word/2010/wordprocessingGroup">
                    <wpg:wgp>
                      <wpg:cNvPr id="306" name="Group 306"/>
                      <wpg:cNvGrpSpPr/>
                      <wpg:grpSpPr>
                        <a:xfrm>
                          <a:off x="0" y="0"/>
                          <a:ext cx="7312659" cy="8255"/>
                          <a:chExt cx="7312659" cy="8255"/>
                        </a:xfrm>
                      </wpg:grpSpPr>
                      <wps:wsp>
                        <wps:cNvPr id="307" name="Graphic 307"/>
                        <wps:cNvSpPr/>
                        <wps:spPr>
                          <a:xfrm>
                            <a:off x="-9" y="10"/>
                            <a:ext cx="7312659" cy="8255"/>
                          </a:xfrm>
                          <a:custGeom>
                            <a:avLst/>
                            <a:gdLst/>
                            <a:ahLst/>
                            <a:cxnLst/>
                            <a:rect l="l" t="t" r="r" b="b"/>
                            <a:pathLst>
                              <a:path w="7312659" h="8255">
                                <a:moveTo>
                                  <a:pt x="7312342" y="0"/>
                                </a:moveTo>
                                <a:lnTo>
                                  <a:pt x="7239546" y="0"/>
                                </a:lnTo>
                                <a:lnTo>
                                  <a:pt x="2823019" y="0"/>
                                </a:lnTo>
                                <a:lnTo>
                                  <a:pt x="2750223" y="0"/>
                                </a:lnTo>
                                <a:lnTo>
                                  <a:pt x="0" y="0"/>
                                </a:lnTo>
                                <a:lnTo>
                                  <a:pt x="0" y="8089"/>
                                </a:lnTo>
                                <a:lnTo>
                                  <a:pt x="2750223" y="8089"/>
                                </a:lnTo>
                                <a:lnTo>
                                  <a:pt x="2823019" y="8089"/>
                                </a:lnTo>
                                <a:lnTo>
                                  <a:pt x="7239546"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65pt;mso-position-horizontal-relative:char;mso-position-vertical-relative:line" id="docshapegroup305" coordorigin="0,0" coordsize="11516,13">
                <v:shape style="position:absolute;left:-1;top:0;width:11516;height:13" id="docshape306" coordorigin="0,0" coordsize="11516,13" path="m11515,0l11401,0,4446,0,4331,0,0,0,0,13,4331,13,4446,13,11401,13,11515,13,11515,0xe" filled="true" fillcolor="#000000" stroked="false">
                  <v:path arrowok="t"/>
                  <v:fill type="solid"/>
                </v:shape>
              </v:group>
            </w:pict>
          </mc:Fallback>
        </mc:AlternateContent>
      </w:r>
      <w:r>
        <w:rPr>
          <w:sz w:val="2"/>
        </w:rPr>
      </w:r>
    </w:p>
    <w:p>
      <w:pPr>
        <w:pStyle w:val="BodyText"/>
        <w:tabs>
          <w:tab w:pos="7895" w:val="left" w:leader="none"/>
        </w:tabs>
        <w:ind w:left="6391"/>
      </w:pPr>
      <w:r>
        <w:rPr>
          <w:spacing w:val="-2"/>
          <w:w w:val="105"/>
        </w:rPr>
        <w:t>Selling,</w:t>
      </w:r>
      <w:r>
        <w:rPr/>
        <w:tab/>
      </w:r>
      <w:r>
        <w:rPr>
          <w:spacing w:val="-2"/>
          <w:w w:val="105"/>
        </w:rPr>
        <w:t>Research,</w:t>
      </w:r>
    </w:p>
    <w:p>
      <w:pPr>
        <w:pStyle w:val="BodyText"/>
        <w:tabs>
          <w:tab w:pos="7792" w:val="left" w:leader="none"/>
          <w:tab w:pos="8100" w:val="left" w:leader="none"/>
        </w:tabs>
        <w:spacing w:line="266" w:lineRule="auto" w:before="16"/>
        <w:ind w:left="6527" w:right="3130" w:hanging="125"/>
      </w:pPr>
      <w:r>
        <w:rPr>
          <w:spacing w:val="-2"/>
          <w:w w:val="105"/>
        </w:rPr>
        <w:t>general</w:t>
      </w:r>
      <w:r>
        <w:rPr/>
        <w:tab/>
      </w:r>
      <w:r>
        <w:rPr>
          <w:spacing w:val="-2"/>
          <w:w w:val="105"/>
        </w:rPr>
        <w:t>development</w:t>
      </w:r>
      <w:r>
        <w:rPr>
          <w:spacing w:val="40"/>
          <w:w w:val="105"/>
        </w:rPr>
        <w:t> </w:t>
      </w:r>
      <w:r>
        <w:rPr>
          <w:spacing w:val="-4"/>
          <w:w w:val="105"/>
        </w:rPr>
        <w:t>and</w:t>
      </w:r>
      <w:r>
        <w:rPr/>
        <w:tab/>
        <w:tab/>
      </w:r>
      <w:r>
        <w:rPr>
          <w:spacing w:val="-4"/>
          <w:w w:val="105"/>
        </w:rPr>
        <w:t>and</w:t>
      </w:r>
    </w:p>
    <w:p>
      <w:pPr>
        <w:pStyle w:val="BodyText"/>
        <w:tabs>
          <w:tab w:pos="6172" w:val="left" w:leader="none"/>
          <w:tab w:pos="7828" w:val="left" w:leader="none"/>
        </w:tabs>
        <w:spacing w:line="183" w:lineRule="exact"/>
        <w:ind w:left="4976"/>
      </w:pPr>
      <w:r>
        <w:rPr>
          <w:spacing w:val="-2"/>
          <w:w w:val="105"/>
        </w:rPr>
        <w:t>Gross</w:t>
      </w:r>
      <w:r>
        <w:rPr/>
        <w:tab/>
      </w:r>
      <w:r>
        <w:rPr>
          <w:spacing w:val="-2"/>
          <w:w w:val="105"/>
        </w:rPr>
        <w:t>administrative</w:t>
      </w:r>
      <w:r>
        <w:rPr/>
        <w:tab/>
      </w:r>
      <w:r>
        <w:rPr>
          <w:spacing w:val="-2"/>
          <w:w w:val="105"/>
        </w:rPr>
        <w:t>engineering</w:t>
      </w:r>
    </w:p>
    <w:p>
      <w:pPr>
        <w:pStyle w:val="BodyText"/>
        <w:tabs>
          <w:tab w:pos="6347" w:val="left" w:leader="none"/>
          <w:tab w:pos="7921" w:val="left" w:leader="none"/>
          <w:tab w:pos="9477" w:val="left" w:leader="none"/>
          <w:tab w:pos="10828" w:val="left" w:leader="none"/>
        </w:tabs>
        <w:spacing w:before="20"/>
        <w:ind w:left="4816"/>
      </w:pPr>
      <w:r>
        <w:rPr/>
        <mc:AlternateContent>
          <mc:Choice Requires="wps">
            <w:drawing>
              <wp:anchor distT="0" distB="0" distL="0" distR="0" allowOverlap="1" layoutInCell="1" locked="0" behindDoc="0" simplePos="0" relativeHeight="15818240">
                <wp:simplePos x="0" y="0"/>
                <wp:positionH relativeFrom="page">
                  <wp:posOffset>226488</wp:posOffset>
                </wp:positionH>
                <wp:positionV relativeFrom="paragraph">
                  <wp:posOffset>139834</wp:posOffset>
                </wp:positionV>
                <wp:extent cx="7312659" cy="137795"/>
                <wp:effectExtent l="0" t="0" r="0" b="0"/>
                <wp:wrapNone/>
                <wp:docPr id="308" name="Group 308"/>
                <wp:cNvGraphicFramePr>
                  <a:graphicFrameLocks/>
                </wp:cNvGraphicFramePr>
                <a:graphic>
                  <a:graphicData uri="http://schemas.microsoft.com/office/word/2010/wordprocessingGroup">
                    <wpg:wgp>
                      <wpg:cNvPr id="308" name="Group 308"/>
                      <wpg:cNvGrpSpPr/>
                      <wpg:grpSpPr>
                        <a:xfrm>
                          <a:off x="0" y="0"/>
                          <a:ext cx="7312659" cy="137795"/>
                          <a:chExt cx="7312659" cy="137795"/>
                        </a:xfrm>
                      </wpg:grpSpPr>
                      <wps:wsp>
                        <wps:cNvPr id="309" name="Graphic 309"/>
                        <wps:cNvSpPr/>
                        <wps:spPr>
                          <a:xfrm>
                            <a:off x="-9" y="4"/>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9" y="8094"/>
                            <a:ext cx="7312659" cy="129539"/>
                          </a:xfrm>
                          <a:custGeom>
                            <a:avLst/>
                            <a:gdLst/>
                            <a:ahLst/>
                            <a:cxnLst/>
                            <a:rect l="l" t="t" r="r" b="b"/>
                            <a:pathLst>
                              <a:path w="7312659" h="129539">
                                <a:moveTo>
                                  <a:pt x="7312342" y="0"/>
                                </a:moveTo>
                                <a:lnTo>
                                  <a:pt x="7312342" y="0"/>
                                </a:lnTo>
                                <a:lnTo>
                                  <a:pt x="0" y="0"/>
                                </a:lnTo>
                                <a:lnTo>
                                  <a:pt x="0" y="129425"/>
                                </a:lnTo>
                                <a:lnTo>
                                  <a:pt x="7312342" y="129425"/>
                                </a:lnTo>
                                <a:lnTo>
                                  <a:pt x="7312342" y="0"/>
                                </a:lnTo>
                                <a:close/>
                              </a:path>
                            </a:pathLst>
                          </a:custGeom>
                          <a:solidFill>
                            <a:srgbClr val="CCEDFF"/>
                          </a:solidFill>
                        </wps:spPr>
                        <wps:bodyPr wrap="square" lIns="0" tIns="0" rIns="0" bIns="0" rtlCol="0">
                          <a:prstTxWarp prst="textNoShape">
                            <a:avLst/>
                          </a:prstTxWarp>
                          <a:noAutofit/>
                        </wps:bodyPr>
                      </wps:wsp>
                      <wps:wsp>
                        <wps:cNvPr id="311" name="Textbox 311"/>
                        <wps:cNvSpPr txBox="1"/>
                        <wps:spPr>
                          <a:xfrm>
                            <a:off x="0" y="8088"/>
                            <a:ext cx="7312659" cy="129539"/>
                          </a:xfrm>
                          <a:prstGeom prst="rect">
                            <a:avLst/>
                          </a:prstGeom>
                        </wps:spPr>
                        <wps:txbx>
                          <w:txbxContent>
                            <w:p>
                              <w:pPr>
                                <w:tabs>
                                  <w:tab w:pos="4445" w:val="left" w:leader="none"/>
                                  <w:tab w:pos="5441" w:val="left" w:leader="none"/>
                                  <w:tab w:pos="7033" w:val="left" w:leader="none"/>
                                  <w:tab w:pos="8587" w:val="left" w:leader="none"/>
                                  <w:tab w:pos="10292" w:val="left" w:leader="none"/>
                                  <w:tab w:pos="11179" w:val="left" w:leader="none"/>
                                </w:tabs>
                                <w:spacing w:before="3"/>
                                <w:ind w:left="0" w:right="0" w:firstLine="0"/>
                                <w:jc w:val="left"/>
                                <w:rPr>
                                  <w:b/>
                                  <w:sz w:val="16"/>
                                </w:rPr>
                              </w:pPr>
                              <w:r>
                                <w:rPr>
                                  <w:spacing w:val="-2"/>
                                  <w:w w:val="105"/>
                                  <w:sz w:val="16"/>
                                </w:rPr>
                                <w:t>Severance</w:t>
                              </w:r>
                              <w:r>
                                <w:rPr>
                                  <w:sz w:val="16"/>
                                </w:rPr>
                                <w:tab/>
                              </w:r>
                              <w:r>
                                <w:rPr>
                                  <w:b/>
                                  <w:spacing w:val="-10"/>
                                  <w:w w:val="105"/>
                                  <w:sz w:val="16"/>
                                </w:rPr>
                                <w:t>$</w:t>
                              </w:r>
                              <w:r>
                                <w:rPr>
                                  <w:b/>
                                  <w:sz w:val="16"/>
                                </w:rPr>
                                <w:tab/>
                              </w:r>
                              <w:r>
                                <w:rPr>
                                  <w:b/>
                                  <w:w w:val="105"/>
                                  <w:sz w:val="16"/>
                                </w:rPr>
                                <w:t>(6)</w:t>
                              </w:r>
                              <w:r>
                                <w:rPr>
                                  <w:b/>
                                  <w:spacing w:val="43"/>
                                  <w:w w:val="105"/>
                                  <w:sz w:val="16"/>
                                </w:rPr>
                                <w:t>  </w:t>
                              </w:r>
                              <w:r>
                                <w:rPr>
                                  <w:b/>
                                  <w:spacing w:val="-10"/>
                                  <w:w w:val="105"/>
                                  <w:sz w:val="16"/>
                                </w:rPr>
                                <w:t>$</w:t>
                              </w:r>
                              <w:r>
                                <w:rPr>
                                  <w:b/>
                                  <w:sz w:val="16"/>
                                </w:rPr>
                                <w:tab/>
                              </w:r>
                              <w:r>
                                <w:rPr>
                                  <w:b/>
                                  <w:w w:val="105"/>
                                  <w:sz w:val="16"/>
                                </w:rPr>
                                <w:t>(5)</w:t>
                              </w:r>
                              <w:r>
                                <w:rPr>
                                  <w:b/>
                                  <w:spacing w:val="43"/>
                                  <w:w w:val="105"/>
                                  <w:sz w:val="16"/>
                                </w:rPr>
                                <w:t>  </w:t>
                              </w:r>
                              <w:r>
                                <w:rPr>
                                  <w:b/>
                                  <w:spacing w:val="-10"/>
                                  <w:w w:val="105"/>
                                  <w:sz w:val="16"/>
                                </w:rPr>
                                <w:t>$</w:t>
                              </w:r>
                              <w:r>
                                <w:rPr>
                                  <w:b/>
                                  <w:sz w:val="16"/>
                                </w:rPr>
                                <w:tab/>
                              </w:r>
                              <w:r>
                                <w:rPr>
                                  <w:b/>
                                  <w:spacing w:val="-5"/>
                                  <w:w w:val="105"/>
                                  <w:sz w:val="16"/>
                                </w:rPr>
                                <w:t>(2)</w:t>
                              </w:r>
                              <w:r>
                                <w:rPr>
                                  <w:b/>
                                  <w:sz w:val="16"/>
                                </w:rPr>
                                <w:tab/>
                              </w:r>
                              <w:r>
                                <w:rPr>
                                  <w:b/>
                                  <w:spacing w:val="-12"/>
                                  <w:w w:val="105"/>
                                  <w:sz w:val="16"/>
                                </w:rPr>
                                <w:t>$</w:t>
                              </w:r>
                              <w:r>
                                <w:rPr>
                                  <w:b/>
                                  <w:sz w:val="16"/>
                                </w:rPr>
                                <w:tab/>
                              </w:r>
                              <w:r>
                                <w:rPr>
                                  <w:b/>
                                  <w:spacing w:val="-4"/>
                                  <w:w w:val="105"/>
                                  <w:sz w:val="16"/>
                                </w:rPr>
                                <w:t>(13)</w:t>
                              </w:r>
                            </w:p>
                          </w:txbxContent>
                        </wps:txbx>
                        <wps:bodyPr wrap="square" lIns="0" tIns="0" rIns="0" bIns="0" rtlCol="0">
                          <a:noAutofit/>
                        </wps:bodyPr>
                      </wps:wsp>
                    </wpg:wgp>
                  </a:graphicData>
                </a:graphic>
              </wp:anchor>
            </w:drawing>
          </mc:Choice>
          <mc:Fallback>
            <w:pict>
              <v:group style="position:absolute;margin-left:17.833740pt;margin-top:11.010617pt;width:575.8pt;height:10.85pt;mso-position-horizontal-relative:page;mso-position-vertical-relative:paragraph;z-index:15818240" id="docshapegroup307" coordorigin="357,220" coordsize="11516,217">
                <v:rect style="position:absolute;left:356;top:220;width:11516;height:13" id="docshape308" filled="true" fillcolor="#000000" stroked="false">
                  <v:fill type="solid"/>
                </v:rect>
                <v:rect style="position:absolute;left:356;top:232;width:11516;height:204" id="docshape309" filled="true" fillcolor="#ccedff" stroked="false">
                  <v:fill type="solid"/>
                </v:rect>
                <v:shape style="position:absolute;left:356;top:232;width:11516;height:204" type="#_x0000_t202" id="docshape310" filled="false" stroked="false">
                  <v:textbox inset="0,0,0,0">
                    <w:txbxContent>
                      <w:p>
                        <w:pPr>
                          <w:tabs>
                            <w:tab w:pos="4445" w:val="left" w:leader="none"/>
                            <w:tab w:pos="5441" w:val="left" w:leader="none"/>
                            <w:tab w:pos="7033" w:val="left" w:leader="none"/>
                            <w:tab w:pos="8587" w:val="left" w:leader="none"/>
                            <w:tab w:pos="10292" w:val="left" w:leader="none"/>
                            <w:tab w:pos="11179" w:val="left" w:leader="none"/>
                          </w:tabs>
                          <w:spacing w:before="3"/>
                          <w:ind w:left="0" w:right="0" w:firstLine="0"/>
                          <w:jc w:val="left"/>
                          <w:rPr>
                            <w:b/>
                            <w:sz w:val="16"/>
                          </w:rPr>
                        </w:pPr>
                        <w:r>
                          <w:rPr>
                            <w:spacing w:val="-2"/>
                            <w:w w:val="105"/>
                            <w:sz w:val="16"/>
                          </w:rPr>
                          <w:t>Severance</w:t>
                        </w:r>
                        <w:r>
                          <w:rPr>
                            <w:sz w:val="16"/>
                          </w:rPr>
                          <w:tab/>
                        </w:r>
                        <w:r>
                          <w:rPr>
                            <w:b/>
                            <w:spacing w:val="-10"/>
                            <w:w w:val="105"/>
                            <w:sz w:val="16"/>
                          </w:rPr>
                          <w:t>$</w:t>
                        </w:r>
                        <w:r>
                          <w:rPr>
                            <w:b/>
                            <w:sz w:val="16"/>
                          </w:rPr>
                          <w:tab/>
                        </w:r>
                        <w:r>
                          <w:rPr>
                            <w:b/>
                            <w:w w:val="105"/>
                            <w:sz w:val="16"/>
                          </w:rPr>
                          <w:t>(6)</w:t>
                        </w:r>
                        <w:r>
                          <w:rPr>
                            <w:b/>
                            <w:spacing w:val="43"/>
                            <w:w w:val="105"/>
                            <w:sz w:val="16"/>
                          </w:rPr>
                          <w:t>  </w:t>
                        </w:r>
                        <w:r>
                          <w:rPr>
                            <w:b/>
                            <w:spacing w:val="-10"/>
                            <w:w w:val="105"/>
                            <w:sz w:val="16"/>
                          </w:rPr>
                          <w:t>$</w:t>
                        </w:r>
                        <w:r>
                          <w:rPr>
                            <w:b/>
                            <w:sz w:val="16"/>
                          </w:rPr>
                          <w:tab/>
                        </w:r>
                        <w:r>
                          <w:rPr>
                            <w:b/>
                            <w:w w:val="105"/>
                            <w:sz w:val="16"/>
                          </w:rPr>
                          <w:t>(5)</w:t>
                        </w:r>
                        <w:r>
                          <w:rPr>
                            <w:b/>
                            <w:spacing w:val="43"/>
                            <w:w w:val="105"/>
                            <w:sz w:val="16"/>
                          </w:rPr>
                          <w:t>  </w:t>
                        </w:r>
                        <w:r>
                          <w:rPr>
                            <w:b/>
                            <w:spacing w:val="-10"/>
                            <w:w w:val="105"/>
                            <w:sz w:val="16"/>
                          </w:rPr>
                          <w:t>$</w:t>
                        </w:r>
                        <w:r>
                          <w:rPr>
                            <w:b/>
                            <w:sz w:val="16"/>
                          </w:rPr>
                          <w:tab/>
                        </w:r>
                        <w:r>
                          <w:rPr>
                            <w:b/>
                            <w:spacing w:val="-5"/>
                            <w:w w:val="105"/>
                            <w:sz w:val="16"/>
                          </w:rPr>
                          <w:t>(2)</w:t>
                        </w:r>
                        <w:r>
                          <w:rPr>
                            <w:b/>
                            <w:sz w:val="16"/>
                          </w:rPr>
                          <w:tab/>
                        </w:r>
                        <w:r>
                          <w:rPr>
                            <w:b/>
                            <w:spacing w:val="-12"/>
                            <w:w w:val="105"/>
                            <w:sz w:val="16"/>
                          </w:rPr>
                          <w:t>$</w:t>
                        </w:r>
                        <w:r>
                          <w:rPr>
                            <w:b/>
                            <w:sz w:val="16"/>
                          </w:rPr>
                          <w:tab/>
                        </w:r>
                        <w:r>
                          <w:rPr>
                            <w:b/>
                            <w:spacing w:val="-4"/>
                            <w:w w:val="105"/>
                            <w:sz w:val="16"/>
                          </w:rPr>
                          <w:t>(13)</w:t>
                        </w:r>
                      </w:p>
                    </w:txbxContent>
                  </v:textbox>
                  <w10:wrap type="none"/>
                </v:shape>
                <w10:wrap type="none"/>
              </v:group>
            </w:pict>
          </mc:Fallback>
        </mc:AlternateContent>
      </w:r>
      <w:r>
        <w:rPr>
          <w:w w:val="105"/>
        </w:rPr>
        <w:t>margin</w:t>
      </w:r>
      <w:r>
        <w:rPr>
          <w:spacing w:val="-11"/>
          <w:w w:val="105"/>
        </w:rPr>
        <w:t> </w:t>
      </w:r>
      <w:r>
        <w:rPr>
          <w:spacing w:val="-5"/>
          <w:w w:val="105"/>
        </w:rPr>
        <w:t>(1)</w:t>
      </w:r>
      <w:r>
        <w:rPr/>
        <w:tab/>
      </w:r>
      <w:r>
        <w:rPr>
          <w:spacing w:val="-2"/>
          <w:w w:val="105"/>
        </w:rPr>
        <w:t>expenses</w:t>
      </w:r>
      <w:r>
        <w:rPr/>
        <w:tab/>
      </w:r>
      <w:r>
        <w:rPr>
          <w:spacing w:val="-2"/>
          <w:w w:val="105"/>
        </w:rPr>
        <w:t>expenses</w:t>
      </w:r>
      <w:r>
        <w:rPr/>
        <w:tab/>
      </w:r>
      <w:r>
        <w:rPr>
          <w:spacing w:val="-2"/>
          <w:w w:val="105"/>
        </w:rPr>
        <w:t>Other</w:t>
      </w:r>
      <w:r>
        <w:rPr/>
        <w:tab/>
      </w:r>
      <w:r>
        <w:rPr>
          <w:spacing w:val="-4"/>
          <w:w w:val="105"/>
        </w:rPr>
        <w:t>Total</w:t>
      </w:r>
    </w:p>
    <w:p>
      <w:pPr>
        <w:tabs>
          <w:tab w:pos="5570" w:val="left" w:leader="none"/>
          <w:tab w:pos="7245" w:val="left" w:leader="none"/>
          <w:tab w:pos="8799" w:val="left" w:leader="none"/>
          <w:tab w:pos="11557" w:val="right" w:leader="none"/>
        </w:tabs>
        <w:spacing w:before="236"/>
        <w:ind w:left="156" w:right="0" w:firstLine="0"/>
        <w:jc w:val="left"/>
        <w:rPr>
          <w:b/>
          <w:sz w:val="16"/>
        </w:rPr>
      </w:pPr>
      <w:r>
        <w:rPr/>
        <mc:AlternateContent>
          <mc:Choice Requires="wps">
            <w:drawing>
              <wp:anchor distT="0" distB="0" distL="0" distR="0" allowOverlap="1" layoutInCell="1" locked="0" behindDoc="0" simplePos="0" relativeHeight="15818752">
                <wp:simplePos x="0" y="0"/>
                <wp:positionH relativeFrom="page">
                  <wp:posOffset>226488</wp:posOffset>
                </wp:positionH>
                <wp:positionV relativeFrom="paragraph">
                  <wp:posOffset>277237</wp:posOffset>
                </wp:positionV>
                <wp:extent cx="7312659" cy="137795"/>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7312659" cy="137795"/>
                          <a:chExt cx="7312659" cy="137795"/>
                        </a:xfrm>
                      </wpg:grpSpPr>
                      <wps:wsp>
                        <wps:cNvPr id="313" name="Graphic 313"/>
                        <wps:cNvSpPr/>
                        <wps:spPr>
                          <a:xfrm>
                            <a:off x="0" y="0"/>
                            <a:ext cx="2750820" cy="137795"/>
                          </a:xfrm>
                          <a:custGeom>
                            <a:avLst/>
                            <a:gdLst/>
                            <a:ahLst/>
                            <a:cxnLst/>
                            <a:rect l="l" t="t" r="r" b="b"/>
                            <a:pathLst>
                              <a:path w="2750820" h="137795">
                                <a:moveTo>
                                  <a:pt x="0" y="0"/>
                                </a:moveTo>
                                <a:lnTo>
                                  <a:pt x="2750217" y="0"/>
                                </a:lnTo>
                                <a:lnTo>
                                  <a:pt x="2750217"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14" name="Graphic 314"/>
                        <wps:cNvSpPr/>
                        <wps:spPr>
                          <a:xfrm>
                            <a:off x="0" y="129422"/>
                            <a:ext cx="2750820" cy="8255"/>
                          </a:xfrm>
                          <a:custGeom>
                            <a:avLst/>
                            <a:gdLst/>
                            <a:ahLst/>
                            <a:cxnLst/>
                            <a:rect l="l" t="t" r="r" b="b"/>
                            <a:pathLst>
                              <a:path w="2750820" h="8255">
                                <a:moveTo>
                                  <a:pt x="0" y="0"/>
                                </a:moveTo>
                                <a:lnTo>
                                  <a:pt x="2750217" y="0"/>
                                </a:lnTo>
                                <a:lnTo>
                                  <a:pt x="2750217"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2750217" y="0"/>
                            <a:ext cx="73025" cy="137795"/>
                          </a:xfrm>
                          <a:custGeom>
                            <a:avLst/>
                            <a:gdLst/>
                            <a:ahLst/>
                            <a:cxnLst/>
                            <a:rect l="l" t="t" r="r" b="b"/>
                            <a:pathLst>
                              <a:path w="73025" h="137795">
                                <a:moveTo>
                                  <a:pt x="0" y="0"/>
                                </a:moveTo>
                                <a:lnTo>
                                  <a:pt x="72799" y="0"/>
                                </a:lnTo>
                                <a:lnTo>
                                  <a:pt x="72799"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16" name="Graphic 316"/>
                        <wps:cNvSpPr/>
                        <wps:spPr>
                          <a:xfrm>
                            <a:off x="2750217" y="129422"/>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2823017" y="0"/>
                            <a:ext cx="97155" cy="137795"/>
                          </a:xfrm>
                          <a:custGeom>
                            <a:avLst/>
                            <a:gdLst/>
                            <a:ahLst/>
                            <a:cxnLst/>
                            <a:rect l="l" t="t" r="r" b="b"/>
                            <a:pathLst>
                              <a:path w="97155" h="137795">
                                <a:moveTo>
                                  <a:pt x="0" y="0"/>
                                </a:moveTo>
                                <a:lnTo>
                                  <a:pt x="97066" y="0"/>
                                </a:lnTo>
                                <a:lnTo>
                                  <a:pt x="97066"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18" name="Graphic 318"/>
                        <wps:cNvSpPr/>
                        <wps:spPr>
                          <a:xfrm>
                            <a:off x="2823017" y="129422"/>
                            <a:ext cx="97155" cy="8255"/>
                          </a:xfrm>
                          <a:custGeom>
                            <a:avLst/>
                            <a:gdLst/>
                            <a:ahLst/>
                            <a:cxnLst/>
                            <a:rect l="l" t="t" r="r" b="b"/>
                            <a:pathLst>
                              <a:path w="97155" h="8255">
                                <a:moveTo>
                                  <a:pt x="0" y="0"/>
                                </a:moveTo>
                                <a:lnTo>
                                  <a:pt x="97066" y="0"/>
                                </a:lnTo>
                                <a:lnTo>
                                  <a:pt x="97066"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2920084" y="0"/>
                            <a:ext cx="622935" cy="137795"/>
                          </a:xfrm>
                          <a:custGeom>
                            <a:avLst/>
                            <a:gdLst/>
                            <a:ahLst/>
                            <a:cxnLst/>
                            <a:rect l="l" t="t" r="r" b="b"/>
                            <a:pathLst>
                              <a:path w="622935" h="137795">
                                <a:moveTo>
                                  <a:pt x="0" y="0"/>
                                </a:moveTo>
                                <a:lnTo>
                                  <a:pt x="622843" y="0"/>
                                </a:lnTo>
                                <a:lnTo>
                                  <a:pt x="622843"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20" name="Graphic 320"/>
                        <wps:cNvSpPr/>
                        <wps:spPr>
                          <a:xfrm>
                            <a:off x="2920084" y="129422"/>
                            <a:ext cx="622935" cy="8255"/>
                          </a:xfrm>
                          <a:custGeom>
                            <a:avLst/>
                            <a:gdLst/>
                            <a:ahLst/>
                            <a:cxnLst/>
                            <a:rect l="l" t="t" r="r" b="b"/>
                            <a:pathLst>
                              <a:path w="622935" h="8255">
                                <a:moveTo>
                                  <a:pt x="0" y="0"/>
                                </a:moveTo>
                                <a:lnTo>
                                  <a:pt x="622843" y="0"/>
                                </a:lnTo>
                                <a:lnTo>
                                  <a:pt x="622843"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3542927" y="0"/>
                            <a:ext cx="73025" cy="137795"/>
                          </a:xfrm>
                          <a:custGeom>
                            <a:avLst/>
                            <a:gdLst/>
                            <a:ahLst/>
                            <a:cxnLst/>
                            <a:rect l="l" t="t" r="r" b="b"/>
                            <a:pathLst>
                              <a:path w="73025" h="137795">
                                <a:moveTo>
                                  <a:pt x="0" y="0"/>
                                </a:moveTo>
                                <a:lnTo>
                                  <a:pt x="72799" y="0"/>
                                </a:lnTo>
                                <a:lnTo>
                                  <a:pt x="72799"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22" name="Graphic 322"/>
                        <wps:cNvSpPr/>
                        <wps:spPr>
                          <a:xfrm>
                            <a:off x="3542927" y="129422"/>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3615727" y="0"/>
                            <a:ext cx="73025" cy="137795"/>
                          </a:xfrm>
                          <a:custGeom>
                            <a:avLst/>
                            <a:gdLst/>
                            <a:ahLst/>
                            <a:cxnLst/>
                            <a:rect l="l" t="t" r="r" b="b"/>
                            <a:pathLst>
                              <a:path w="73025" h="137795">
                                <a:moveTo>
                                  <a:pt x="0" y="0"/>
                                </a:moveTo>
                                <a:lnTo>
                                  <a:pt x="72799" y="0"/>
                                </a:lnTo>
                                <a:lnTo>
                                  <a:pt x="72799"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24" name="Graphic 324"/>
                        <wps:cNvSpPr/>
                        <wps:spPr>
                          <a:xfrm>
                            <a:off x="3615727" y="129422"/>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3688527" y="0"/>
                            <a:ext cx="226695" cy="137795"/>
                          </a:xfrm>
                          <a:custGeom>
                            <a:avLst/>
                            <a:gdLst/>
                            <a:ahLst/>
                            <a:cxnLst/>
                            <a:rect l="l" t="t" r="r" b="b"/>
                            <a:pathLst>
                              <a:path w="226695" h="137795">
                                <a:moveTo>
                                  <a:pt x="0" y="0"/>
                                </a:moveTo>
                                <a:lnTo>
                                  <a:pt x="226488" y="0"/>
                                </a:lnTo>
                                <a:lnTo>
                                  <a:pt x="226488"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26" name="Graphic 326"/>
                        <wps:cNvSpPr/>
                        <wps:spPr>
                          <a:xfrm>
                            <a:off x="3688527" y="129422"/>
                            <a:ext cx="226695" cy="8255"/>
                          </a:xfrm>
                          <a:custGeom>
                            <a:avLst/>
                            <a:gdLst/>
                            <a:ahLst/>
                            <a:cxnLst/>
                            <a:rect l="l" t="t" r="r" b="b"/>
                            <a:pathLst>
                              <a:path w="226695" h="8255">
                                <a:moveTo>
                                  <a:pt x="0" y="0"/>
                                </a:moveTo>
                                <a:lnTo>
                                  <a:pt x="226488" y="0"/>
                                </a:lnTo>
                                <a:lnTo>
                                  <a:pt x="226488"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3915015" y="0"/>
                            <a:ext cx="639445" cy="137795"/>
                          </a:xfrm>
                          <a:custGeom>
                            <a:avLst/>
                            <a:gdLst/>
                            <a:ahLst/>
                            <a:cxnLst/>
                            <a:rect l="l" t="t" r="r" b="b"/>
                            <a:pathLst>
                              <a:path w="639445" h="137795">
                                <a:moveTo>
                                  <a:pt x="0" y="0"/>
                                </a:moveTo>
                                <a:lnTo>
                                  <a:pt x="639021" y="0"/>
                                </a:lnTo>
                                <a:lnTo>
                                  <a:pt x="639021"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28" name="Graphic 328"/>
                        <wps:cNvSpPr/>
                        <wps:spPr>
                          <a:xfrm>
                            <a:off x="3915015" y="129422"/>
                            <a:ext cx="639445" cy="8255"/>
                          </a:xfrm>
                          <a:custGeom>
                            <a:avLst/>
                            <a:gdLst/>
                            <a:ahLst/>
                            <a:cxnLst/>
                            <a:rect l="l" t="t" r="r" b="b"/>
                            <a:pathLst>
                              <a:path w="639445" h="8255">
                                <a:moveTo>
                                  <a:pt x="0" y="0"/>
                                </a:moveTo>
                                <a:lnTo>
                                  <a:pt x="639021" y="0"/>
                                </a:lnTo>
                                <a:lnTo>
                                  <a:pt x="639021"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4554037" y="0"/>
                            <a:ext cx="73025" cy="137795"/>
                          </a:xfrm>
                          <a:custGeom>
                            <a:avLst/>
                            <a:gdLst/>
                            <a:ahLst/>
                            <a:cxnLst/>
                            <a:rect l="l" t="t" r="r" b="b"/>
                            <a:pathLst>
                              <a:path w="73025" h="137795">
                                <a:moveTo>
                                  <a:pt x="0" y="0"/>
                                </a:moveTo>
                                <a:lnTo>
                                  <a:pt x="72799" y="0"/>
                                </a:lnTo>
                                <a:lnTo>
                                  <a:pt x="72799"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30" name="Graphic 330"/>
                        <wps:cNvSpPr/>
                        <wps:spPr>
                          <a:xfrm>
                            <a:off x="4554037" y="129422"/>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4626836" y="0"/>
                            <a:ext cx="73025" cy="137795"/>
                          </a:xfrm>
                          <a:custGeom>
                            <a:avLst/>
                            <a:gdLst/>
                            <a:ahLst/>
                            <a:cxnLst/>
                            <a:rect l="l" t="t" r="r" b="b"/>
                            <a:pathLst>
                              <a:path w="73025" h="137795">
                                <a:moveTo>
                                  <a:pt x="0" y="0"/>
                                </a:moveTo>
                                <a:lnTo>
                                  <a:pt x="72799" y="0"/>
                                </a:lnTo>
                                <a:lnTo>
                                  <a:pt x="72799"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32" name="Graphic 332"/>
                        <wps:cNvSpPr/>
                        <wps:spPr>
                          <a:xfrm>
                            <a:off x="4626836" y="129422"/>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4699636" y="0"/>
                            <a:ext cx="202565" cy="137795"/>
                          </a:xfrm>
                          <a:custGeom>
                            <a:avLst/>
                            <a:gdLst/>
                            <a:ahLst/>
                            <a:cxnLst/>
                            <a:rect l="l" t="t" r="r" b="b"/>
                            <a:pathLst>
                              <a:path w="202565" h="137795">
                                <a:moveTo>
                                  <a:pt x="0" y="0"/>
                                </a:moveTo>
                                <a:lnTo>
                                  <a:pt x="202221" y="0"/>
                                </a:lnTo>
                                <a:lnTo>
                                  <a:pt x="202221"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34" name="Graphic 334"/>
                        <wps:cNvSpPr/>
                        <wps:spPr>
                          <a:xfrm>
                            <a:off x="4699636" y="129422"/>
                            <a:ext cx="202565" cy="8255"/>
                          </a:xfrm>
                          <a:custGeom>
                            <a:avLst/>
                            <a:gdLst/>
                            <a:ahLst/>
                            <a:cxnLst/>
                            <a:rect l="l" t="t" r="r" b="b"/>
                            <a:pathLst>
                              <a:path w="202565" h="8255">
                                <a:moveTo>
                                  <a:pt x="0" y="0"/>
                                </a:moveTo>
                                <a:lnTo>
                                  <a:pt x="202221" y="0"/>
                                </a:lnTo>
                                <a:lnTo>
                                  <a:pt x="202221"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4901858" y="0"/>
                            <a:ext cx="639445" cy="137795"/>
                          </a:xfrm>
                          <a:custGeom>
                            <a:avLst/>
                            <a:gdLst/>
                            <a:ahLst/>
                            <a:cxnLst/>
                            <a:rect l="l" t="t" r="r" b="b"/>
                            <a:pathLst>
                              <a:path w="639445" h="137795">
                                <a:moveTo>
                                  <a:pt x="0" y="0"/>
                                </a:moveTo>
                                <a:lnTo>
                                  <a:pt x="639021" y="0"/>
                                </a:lnTo>
                                <a:lnTo>
                                  <a:pt x="639021"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36" name="Graphic 336"/>
                        <wps:cNvSpPr/>
                        <wps:spPr>
                          <a:xfrm>
                            <a:off x="4901858" y="129422"/>
                            <a:ext cx="639445" cy="8255"/>
                          </a:xfrm>
                          <a:custGeom>
                            <a:avLst/>
                            <a:gdLst/>
                            <a:ahLst/>
                            <a:cxnLst/>
                            <a:rect l="l" t="t" r="r" b="b"/>
                            <a:pathLst>
                              <a:path w="639445" h="8255">
                                <a:moveTo>
                                  <a:pt x="0" y="0"/>
                                </a:moveTo>
                                <a:lnTo>
                                  <a:pt x="639021" y="0"/>
                                </a:lnTo>
                                <a:lnTo>
                                  <a:pt x="639021"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5540880" y="0"/>
                            <a:ext cx="73025" cy="137795"/>
                          </a:xfrm>
                          <a:custGeom>
                            <a:avLst/>
                            <a:gdLst/>
                            <a:ahLst/>
                            <a:cxnLst/>
                            <a:rect l="l" t="t" r="r" b="b"/>
                            <a:pathLst>
                              <a:path w="73025" h="137795">
                                <a:moveTo>
                                  <a:pt x="0" y="0"/>
                                </a:moveTo>
                                <a:lnTo>
                                  <a:pt x="72799" y="0"/>
                                </a:lnTo>
                                <a:lnTo>
                                  <a:pt x="72799"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38" name="Graphic 338"/>
                        <wps:cNvSpPr/>
                        <wps:spPr>
                          <a:xfrm>
                            <a:off x="5540880" y="129422"/>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5613679" y="0"/>
                            <a:ext cx="73025" cy="137795"/>
                          </a:xfrm>
                          <a:custGeom>
                            <a:avLst/>
                            <a:gdLst/>
                            <a:ahLst/>
                            <a:cxnLst/>
                            <a:rect l="l" t="t" r="r" b="b"/>
                            <a:pathLst>
                              <a:path w="73025" h="137795">
                                <a:moveTo>
                                  <a:pt x="0" y="0"/>
                                </a:moveTo>
                                <a:lnTo>
                                  <a:pt x="72799" y="0"/>
                                </a:lnTo>
                                <a:lnTo>
                                  <a:pt x="72799"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40" name="Graphic 340"/>
                        <wps:cNvSpPr/>
                        <wps:spPr>
                          <a:xfrm>
                            <a:off x="5613679" y="129422"/>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5686479" y="0"/>
                            <a:ext cx="81280" cy="137795"/>
                          </a:xfrm>
                          <a:custGeom>
                            <a:avLst/>
                            <a:gdLst/>
                            <a:ahLst/>
                            <a:cxnLst/>
                            <a:rect l="l" t="t" r="r" b="b"/>
                            <a:pathLst>
                              <a:path w="81280" h="137795">
                                <a:moveTo>
                                  <a:pt x="0" y="0"/>
                                </a:moveTo>
                                <a:lnTo>
                                  <a:pt x="80888" y="0"/>
                                </a:lnTo>
                                <a:lnTo>
                                  <a:pt x="80888"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42" name="Graphic 342"/>
                        <wps:cNvSpPr/>
                        <wps:spPr>
                          <a:xfrm>
                            <a:off x="5686479" y="129422"/>
                            <a:ext cx="81280" cy="8255"/>
                          </a:xfrm>
                          <a:custGeom>
                            <a:avLst/>
                            <a:gdLst/>
                            <a:ahLst/>
                            <a:cxnLst/>
                            <a:rect l="l" t="t" r="r" b="b"/>
                            <a:pathLst>
                              <a:path w="81280" h="8255">
                                <a:moveTo>
                                  <a:pt x="0" y="0"/>
                                </a:moveTo>
                                <a:lnTo>
                                  <a:pt x="80888" y="0"/>
                                </a:lnTo>
                                <a:lnTo>
                                  <a:pt x="80888"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5767368" y="0"/>
                            <a:ext cx="622935" cy="137795"/>
                          </a:xfrm>
                          <a:custGeom>
                            <a:avLst/>
                            <a:gdLst/>
                            <a:ahLst/>
                            <a:cxnLst/>
                            <a:rect l="l" t="t" r="r" b="b"/>
                            <a:pathLst>
                              <a:path w="622935" h="137795">
                                <a:moveTo>
                                  <a:pt x="0" y="0"/>
                                </a:moveTo>
                                <a:lnTo>
                                  <a:pt x="622843" y="0"/>
                                </a:lnTo>
                                <a:lnTo>
                                  <a:pt x="622843"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44" name="Graphic 344"/>
                        <wps:cNvSpPr/>
                        <wps:spPr>
                          <a:xfrm>
                            <a:off x="5767368" y="129422"/>
                            <a:ext cx="622935" cy="8255"/>
                          </a:xfrm>
                          <a:custGeom>
                            <a:avLst/>
                            <a:gdLst/>
                            <a:ahLst/>
                            <a:cxnLst/>
                            <a:rect l="l" t="t" r="r" b="b"/>
                            <a:pathLst>
                              <a:path w="622935" h="8255">
                                <a:moveTo>
                                  <a:pt x="0" y="0"/>
                                </a:moveTo>
                                <a:lnTo>
                                  <a:pt x="622843" y="0"/>
                                </a:lnTo>
                                <a:lnTo>
                                  <a:pt x="622843"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6390211" y="0"/>
                            <a:ext cx="73025" cy="137795"/>
                          </a:xfrm>
                          <a:custGeom>
                            <a:avLst/>
                            <a:gdLst/>
                            <a:ahLst/>
                            <a:cxnLst/>
                            <a:rect l="l" t="t" r="r" b="b"/>
                            <a:pathLst>
                              <a:path w="73025" h="137795">
                                <a:moveTo>
                                  <a:pt x="0" y="0"/>
                                </a:moveTo>
                                <a:lnTo>
                                  <a:pt x="72799" y="0"/>
                                </a:lnTo>
                                <a:lnTo>
                                  <a:pt x="72799"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46" name="Graphic 346"/>
                        <wps:cNvSpPr/>
                        <wps:spPr>
                          <a:xfrm>
                            <a:off x="6390211" y="129422"/>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6463011" y="0"/>
                            <a:ext cx="73025" cy="137795"/>
                          </a:xfrm>
                          <a:custGeom>
                            <a:avLst/>
                            <a:gdLst/>
                            <a:ahLst/>
                            <a:cxnLst/>
                            <a:rect l="l" t="t" r="r" b="b"/>
                            <a:pathLst>
                              <a:path w="73025" h="137795">
                                <a:moveTo>
                                  <a:pt x="0" y="0"/>
                                </a:moveTo>
                                <a:lnTo>
                                  <a:pt x="72799" y="0"/>
                                </a:lnTo>
                                <a:lnTo>
                                  <a:pt x="72799"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48" name="Graphic 348"/>
                        <wps:cNvSpPr/>
                        <wps:spPr>
                          <a:xfrm>
                            <a:off x="6463011" y="129422"/>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6535811" y="0"/>
                            <a:ext cx="73025" cy="137795"/>
                          </a:xfrm>
                          <a:custGeom>
                            <a:avLst/>
                            <a:gdLst/>
                            <a:ahLst/>
                            <a:cxnLst/>
                            <a:rect l="l" t="t" r="r" b="b"/>
                            <a:pathLst>
                              <a:path w="73025" h="137795">
                                <a:moveTo>
                                  <a:pt x="0" y="0"/>
                                </a:moveTo>
                                <a:lnTo>
                                  <a:pt x="72799" y="0"/>
                                </a:lnTo>
                                <a:lnTo>
                                  <a:pt x="72799"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50" name="Graphic 350"/>
                        <wps:cNvSpPr/>
                        <wps:spPr>
                          <a:xfrm>
                            <a:off x="6535811" y="129422"/>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6608611" y="0"/>
                            <a:ext cx="631190" cy="137795"/>
                          </a:xfrm>
                          <a:custGeom>
                            <a:avLst/>
                            <a:gdLst/>
                            <a:ahLst/>
                            <a:cxnLst/>
                            <a:rect l="l" t="t" r="r" b="b"/>
                            <a:pathLst>
                              <a:path w="631190" h="137795">
                                <a:moveTo>
                                  <a:pt x="0" y="0"/>
                                </a:moveTo>
                                <a:lnTo>
                                  <a:pt x="630932" y="0"/>
                                </a:lnTo>
                                <a:lnTo>
                                  <a:pt x="630932"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52" name="Graphic 352"/>
                        <wps:cNvSpPr/>
                        <wps:spPr>
                          <a:xfrm>
                            <a:off x="6608611" y="129422"/>
                            <a:ext cx="631190" cy="8255"/>
                          </a:xfrm>
                          <a:custGeom>
                            <a:avLst/>
                            <a:gdLst/>
                            <a:ahLst/>
                            <a:cxnLst/>
                            <a:rect l="l" t="t" r="r" b="b"/>
                            <a:pathLst>
                              <a:path w="631190" h="8255">
                                <a:moveTo>
                                  <a:pt x="0" y="0"/>
                                </a:moveTo>
                                <a:lnTo>
                                  <a:pt x="630932" y="0"/>
                                </a:lnTo>
                                <a:lnTo>
                                  <a:pt x="630932"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7239543" y="0"/>
                            <a:ext cx="73025" cy="137795"/>
                          </a:xfrm>
                          <a:custGeom>
                            <a:avLst/>
                            <a:gdLst/>
                            <a:ahLst/>
                            <a:cxnLst/>
                            <a:rect l="l" t="t" r="r" b="b"/>
                            <a:pathLst>
                              <a:path w="73025" h="137795">
                                <a:moveTo>
                                  <a:pt x="0" y="0"/>
                                </a:moveTo>
                                <a:lnTo>
                                  <a:pt x="72799" y="0"/>
                                </a:lnTo>
                                <a:lnTo>
                                  <a:pt x="72799" y="137510"/>
                                </a:lnTo>
                                <a:lnTo>
                                  <a:pt x="0" y="137510"/>
                                </a:lnTo>
                                <a:lnTo>
                                  <a:pt x="0" y="0"/>
                                </a:lnTo>
                                <a:close/>
                              </a:path>
                            </a:pathLst>
                          </a:custGeom>
                          <a:solidFill>
                            <a:srgbClr val="CCEDFF"/>
                          </a:solidFill>
                        </wps:spPr>
                        <wps:bodyPr wrap="square" lIns="0" tIns="0" rIns="0" bIns="0" rtlCol="0">
                          <a:prstTxWarp prst="textNoShape">
                            <a:avLst/>
                          </a:prstTxWarp>
                          <a:noAutofit/>
                        </wps:bodyPr>
                      </wps:wsp>
                      <wps:wsp>
                        <wps:cNvPr id="354" name="Graphic 354"/>
                        <wps:cNvSpPr/>
                        <wps:spPr>
                          <a:xfrm>
                            <a:off x="7239543" y="129422"/>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355" name="Textbox 355"/>
                        <wps:cNvSpPr txBox="1"/>
                        <wps:spPr>
                          <a:xfrm>
                            <a:off x="0" y="0"/>
                            <a:ext cx="7312659" cy="129539"/>
                          </a:xfrm>
                          <a:prstGeom prst="rect">
                            <a:avLst/>
                          </a:prstGeom>
                        </wps:spPr>
                        <wps:txbx>
                          <w:txbxContent>
                            <w:p>
                              <w:pPr>
                                <w:tabs>
                                  <w:tab w:pos="5413" w:val="left" w:leader="none"/>
                                  <w:tab w:pos="7033" w:val="left" w:leader="none"/>
                                  <w:tab w:pos="8954" w:val="left" w:leader="none"/>
                                  <w:tab w:pos="9897" w:val="left" w:leader="none"/>
                                  <w:tab w:pos="11400" w:val="right" w:leader="none"/>
                                </w:tabs>
                                <w:spacing w:before="3"/>
                                <w:ind w:left="0" w:right="0" w:firstLine="0"/>
                                <w:jc w:val="left"/>
                                <w:rPr>
                                  <w:b/>
                                  <w:sz w:val="16"/>
                                </w:rPr>
                              </w:pPr>
                              <w:r>
                                <w:rPr>
                                  <w:sz w:val="16"/>
                                </w:rPr>
                                <w:t>Other</w:t>
                              </w:r>
                              <w:r>
                                <w:rPr>
                                  <w:spacing w:val="9"/>
                                  <w:sz w:val="16"/>
                                </w:rPr>
                                <w:t> </w:t>
                              </w:r>
                              <w:r>
                                <w:rPr>
                                  <w:sz w:val="16"/>
                                </w:rPr>
                                <w:t>charges</w:t>
                              </w:r>
                              <w:r>
                                <w:rPr>
                                  <w:spacing w:val="10"/>
                                  <w:sz w:val="16"/>
                                </w:rPr>
                                <w:t> </w:t>
                              </w:r>
                              <w:r>
                                <w:rPr>
                                  <w:sz w:val="16"/>
                                </w:rPr>
                                <w:t>and</w:t>
                              </w:r>
                              <w:r>
                                <w:rPr>
                                  <w:spacing w:val="10"/>
                                  <w:sz w:val="16"/>
                                </w:rPr>
                                <w:t> </w:t>
                              </w:r>
                              <w:r>
                                <w:rPr>
                                  <w:spacing w:val="-2"/>
                                  <w:sz w:val="16"/>
                                </w:rPr>
                                <w:t>credits</w:t>
                              </w:r>
                              <w:r>
                                <w:rPr>
                                  <w:sz w:val="16"/>
                                </w:rPr>
                                <w:tab/>
                              </w:r>
                              <w:r>
                                <w:rPr>
                                  <w:b/>
                                  <w:spacing w:val="-5"/>
                                  <w:sz w:val="16"/>
                                </w:rPr>
                                <w:t>50</w:t>
                              </w:r>
                              <w:r>
                                <w:rPr>
                                  <w:b/>
                                  <w:sz w:val="16"/>
                                </w:rPr>
                                <w:tab/>
                              </w:r>
                              <w:r>
                                <w:rPr>
                                  <w:b/>
                                  <w:spacing w:val="-5"/>
                                  <w:sz w:val="16"/>
                                </w:rPr>
                                <w:t>(5)</w:t>
                              </w:r>
                              <w:r>
                                <w:rPr>
                                  <w:b/>
                                  <w:sz w:val="16"/>
                                </w:rPr>
                                <w:tab/>
                              </w:r>
                              <w:r>
                                <w:rPr>
                                  <w:b/>
                                  <w:spacing w:val="-10"/>
                                  <w:sz w:val="16"/>
                                </w:rPr>
                                <w:t>$</w:t>
                              </w:r>
                              <w:r>
                                <w:rPr>
                                  <w:b/>
                                  <w:sz w:val="16"/>
                                </w:rPr>
                                <w:tab/>
                              </w:r>
                              <w:r>
                                <w:rPr>
                                  <w:b/>
                                  <w:spacing w:val="-5"/>
                                  <w:sz w:val="16"/>
                                </w:rPr>
                                <w:t>32</w:t>
                              </w:r>
                              <w:r>
                                <w:rPr>
                                  <w:sz w:val="16"/>
                                </w:rPr>
                                <w:tab/>
                              </w:r>
                              <w:r>
                                <w:rPr>
                                  <w:b/>
                                  <w:spacing w:val="-5"/>
                                  <w:sz w:val="16"/>
                                </w:rPr>
                                <w:t>77</w:t>
                              </w:r>
                            </w:p>
                          </w:txbxContent>
                        </wps:txbx>
                        <wps:bodyPr wrap="square" lIns="0" tIns="0" rIns="0" bIns="0" rtlCol="0">
                          <a:noAutofit/>
                        </wps:bodyPr>
                      </wps:wsp>
                    </wpg:wgp>
                  </a:graphicData>
                </a:graphic>
              </wp:anchor>
            </w:drawing>
          </mc:Choice>
          <mc:Fallback>
            <w:pict>
              <v:group style="position:absolute;margin-left:17.833740pt;margin-top:21.829735pt;width:575.8pt;height:10.85pt;mso-position-horizontal-relative:page;mso-position-vertical-relative:paragraph;z-index:15818752" id="docshapegroup311" coordorigin="357,437" coordsize="11516,217">
                <v:rect style="position:absolute;left:356;top:436;width:4332;height:217" id="docshape312" filled="true" fillcolor="#ccedff" stroked="false">
                  <v:fill type="solid"/>
                </v:rect>
                <v:rect style="position:absolute;left:356;top:640;width:4332;height:13" id="docshape313" filled="true" fillcolor="#000000" stroked="false">
                  <v:fill type="solid"/>
                </v:rect>
                <v:rect style="position:absolute;left:4687;top:436;width:115;height:217" id="docshape314" filled="true" fillcolor="#ccedff" stroked="false">
                  <v:fill type="solid"/>
                </v:rect>
                <v:rect style="position:absolute;left:4687;top:640;width:115;height:13" id="docshape315" filled="true" fillcolor="#000000" stroked="false">
                  <v:fill type="solid"/>
                </v:rect>
                <v:rect style="position:absolute;left:4802;top:436;width:153;height:217" id="docshape316" filled="true" fillcolor="#ccedff" stroked="false">
                  <v:fill type="solid"/>
                </v:rect>
                <v:rect style="position:absolute;left:4802;top:640;width:153;height:13" id="docshape317" filled="true" fillcolor="#000000" stroked="false">
                  <v:fill type="solid"/>
                </v:rect>
                <v:rect style="position:absolute;left:4955;top:436;width:981;height:217" id="docshape318" filled="true" fillcolor="#ccedff" stroked="false">
                  <v:fill type="solid"/>
                </v:rect>
                <v:rect style="position:absolute;left:4955;top:640;width:981;height:13" id="docshape319" filled="true" fillcolor="#000000" stroked="false">
                  <v:fill type="solid"/>
                </v:rect>
                <v:rect style="position:absolute;left:5936;top:436;width:115;height:217" id="docshape320" filled="true" fillcolor="#ccedff" stroked="false">
                  <v:fill type="solid"/>
                </v:rect>
                <v:rect style="position:absolute;left:5936;top:640;width:115;height:13" id="docshape321" filled="true" fillcolor="#000000" stroked="false">
                  <v:fill type="solid"/>
                </v:rect>
                <v:rect style="position:absolute;left:6050;top:436;width:115;height:217" id="docshape322" filled="true" fillcolor="#ccedff" stroked="false">
                  <v:fill type="solid"/>
                </v:rect>
                <v:rect style="position:absolute;left:6050;top:640;width:115;height:13" id="docshape323" filled="true" fillcolor="#000000" stroked="false">
                  <v:fill type="solid"/>
                </v:rect>
                <v:rect style="position:absolute;left:6165;top:436;width:357;height:217" id="docshape324" filled="true" fillcolor="#ccedff" stroked="false">
                  <v:fill type="solid"/>
                </v:rect>
                <v:rect style="position:absolute;left:6165;top:640;width:357;height:13" id="docshape325" filled="true" fillcolor="#000000" stroked="false">
                  <v:fill type="solid"/>
                </v:rect>
                <v:rect style="position:absolute;left:6522;top:436;width:1007;height:217" id="docshape326" filled="true" fillcolor="#ccedff" stroked="false">
                  <v:fill type="solid"/>
                </v:rect>
                <v:rect style="position:absolute;left:6522;top:640;width:1007;height:13" id="docshape327" filled="true" fillcolor="#000000" stroked="false">
                  <v:fill type="solid"/>
                </v:rect>
                <v:rect style="position:absolute;left:7528;top:436;width:115;height:217" id="docshape328" filled="true" fillcolor="#ccedff" stroked="false">
                  <v:fill type="solid"/>
                </v:rect>
                <v:rect style="position:absolute;left:7528;top:640;width:115;height:13" id="docshape329" filled="true" fillcolor="#000000" stroked="false">
                  <v:fill type="solid"/>
                </v:rect>
                <v:rect style="position:absolute;left:7643;top:436;width:115;height:217" id="docshape330" filled="true" fillcolor="#ccedff" stroked="false">
                  <v:fill type="solid"/>
                </v:rect>
                <v:rect style="position:absolute;left:7643;top:640;width:115;height:13" id="docshape331" filled="true" fillcolor="#000000" stroked="false">
                  <v:fill type="solid"/>
                </v:rect>
                <v:rect style="position:absolute;left:7757;top:436;width:319;height:217" id="docshape332" filled="true" fillcolor="#ccedff" stroked="false">
                  <v:fill type="solid"/>
                </v:rect>
                <v:rect style="position:absolute;left:7757;top:640;width:319;height:13" id="docshape333" filled="true" fillcolor="#000000" stroked="false">
                  <v:fill type="solid"/>
                </v:rect>
                <v:rect style="position:absolute;left:8076;top:436;width:1007;height:217" id="docshape334" filled="true" fillcolor="#ccedff" stroked="false">
                  <v:fill type="solid"/>
                </v:rect>
                <v:rect style="position:absolute;left:8076;top:640;width:1007;height:13" id="docshape335" filled="true" fillcolor="#000000" stroked="false">
                  <v:fill type="solid"/>
                </v:rect>
                <v:rect style="position:absolute;left:9082;top:436;width:115;height:217" id="docshape336" filled="true" fillcolor="#ccedff" stroked="false">
                  <v:fill type="solid"/>
                </v:rect>
                <v:rect style="position:absolute;left:9082;top:640;width:115;height:13" id="docshape337" filled="true" fillcolor="#000000" stroked="false">
                  <v:fill type="solid"/>
                </v:rect>
                <v:rect style="position:absolute;left:9197;top:436;width:115;height:217" id="docshape338" filled="true" fillcolor="#ccedff" stroked="false">
                  <v:fill type="solid"/>
                </v:rect>
                <v:rect style="position:absolute;left:9197;top:640;width:115;height:13" id="docshape339" filled="true" fillcolor="#000000" stroked="false">
                  <v:fill type="solid"/>
                </v:rect>
                <v:rect style="position:absolute;left:9311;top:436;width:128;height:217" id="docshape340" filled="true" fillcolor="#ccedff" stroked="false">
                  <v:fill type="solid"/>
                </v:rect>
                <v:rect style="position:absolute;left:9311;top:640;width:128;height:13" id="docshape341" filled="true" fillcolor="#000000" stroked="false">
                  <v:fill type="solid"/>
                </v:rect>
                <v:rect style="position:absolute;left:9439;top:436;width:981;height:217" id="docshape342" filled="true" fillcolor="#ccedff" stroked="false">
                  <v:fill type="solid"/>
                </v:rect>
                <v:rect style="position:absolute;left:9439;top:640;width:981;height:13" id="docshape343" filled="true" fillcolor="#000000" stroked="false">
                  <v:fill type="solid"/>
                </v:rect>
                <v:rect style="position:absolute;left:10420;top:436;width:115;height:217" id="docshape344" filled="true" fillcolor="#ccedff" stroked="false">
                  <v:fill type="solid"/>
                </v:rect>
                <v:rect style="position:absolute;left:10420;top:640;width:115;height:13" id="docshape345" filled="true" fillcolor="#000000" stroked="false">
                  <v:fill type="solid"/>
                </v:rect>
                <v:rect style="position:absolute;left:10534;top:436;width:115;height:217" id="docshape346" filled="true" fillcolor="#ccedff" stroked="false">
                  <v:fill type="solid"/>
                </v:rect>
                <v:rect style="position:absolute;left:10534;top:640;width:115;height:13" id="docshape347" filled="true" fillcolor="#000000" stroked="false">
                  <v:fill type="solid"/>
                </v:rect>
                <v:rect style="position:absolute;left:10649;top:436;width:115;height:217" id="docshape348" filled="true" fillcolor="#ccedff" stroked="false">
                  <v:fill type="solid"/>
                </v:rect>
                <v:rect style="position:absolute;left:10649;top:640;width:115;height:13" id="docshape349" filled="true" fillcolor="#000000" stroked="false">
                  <v:fill type="solid"/>
                </v:rect>
                <v:rect style="position:absolute;left:10763;top:436;width:994;height:217" id="docshape350" filled="true" fillcolor="#ccedff" stroked="false">
                  <v:fill type="solid"/>
                </v:rect>
                <v:rect style="position:absolute;left:10763;top:640;width:994;height:13" id="docshape351" filled="true" fillcolor="#000000" stroked="false">
                  <v:fill type="solid"/>
                </v:rect>
                <v:rect style="position:absolute;left:11757;top:436;width:115;height:217" id="docshape352" filled="true" fillcolor="#ccedff" stroked="false">
                  <v:fill type="solid"/>
                </v:rect>
                <v:rect style="position:absolute;left:11757;top:640;width:115;height:13" id="docshape353" filled="true" fillcolor="#000000" stroked="false">
                  <v:fill type="solid"/>
                </v:rect>
                <v:shape style="position:absolute;left:356;top:436;width:11516;height:204" type="#_x0000_t202" id="docshape354" filled="false" stroked="false">
                  <v:textbox inset="0,0,0,0">
                    <w:txbxContent>
                      <w:p>
                        <w:pPr>
                          <w:tabs>
                            <w:tab w:pos="5413" w:val="left" w:leader="none"/>
                            <w:tab w:pos="7033" w:val="left" w:leader="none"/>
                            <w:tab w:pos="8954" w:val="left" w:leader="none"/>
                            <w:tab w:pos="9897" w:val="left" w:leader="none"/>
                            <w:tab w:pos="11400" w:val="right" w:leader="none"/>
                          </w:tabs>
                          <w:spacing w:before="3"/>
                          <w:ind w:left="0" w:right="0" w:firstLine="0"/>
                          <w:jc w:val="left"/>
                          <w:rPr>
                            <w:b/>
                            <w:sz w:val="16"/>
                          </w:rPr>
                        </w:pPr>
                        <w:r>
                          <w:rPr>
                            <w:sz w:val="16"/>
                          </w:rPr>
                          <w:t>Other</w:t>
                        </w:r>
                        <w:r>
                          <w:rPr>
                            <w:spacing w:val="9"/>
                            <w:sz w:val="16"/>
                          </w:rPr>
                          <w:t> </w:t>
                        </w:r>
                        <w:r>
                          <w:rPr>
                            <w:sz w:val="16"/>
                          </w:rPr>
                          <w:t>charges</w:t>
                        </w:r>
                        <w:r>
                          <w:rPr>
                            <w:spacing w:val="10"/>
                            <w:sz w:val="16"/>
                          </w:rPr>
                          <w:t> </w:t>
                        </w:r>
                        <w:r>
                          <w:rPr>
                            <w:sz w:val="16"/>
                          </w:rPr>
                          <w:t>and</w:t>
                        </w:r>
                        <w:r>
                          <w:rPr>
                            <w:spacing w:val="10"/>
                            <w:sz w:val="16"/>
                          </w:rPr>
                          <w:t> </w:t>
                        </w:r>
                        <w:r>
                          <w:rPr>
                            <w:spacing w:val="-2"/>
                            <w:sz w:val="16"/>
                          </w:rPr>
                          <w:t>credits</w:t>
                        </w:r>
                        <w:r>
                          <w:rPr>
                            <w:sz w:val="16"/>
                          </w:rPr>
                          <w:tab/>
                        </w:r>
                        <w:r>
                          <w:rPr>
                            <w:b/>
                            <w:spacing w:val="-5"/>
                            <w:sz w:val="16"/>
                          </w:rPr>
                          <w:t>50</w:t>
                        </w:r>
                        <w:r>
                          <w:rPr>
                            <w:b/>
                            <w:sz w:val="16"/>
                          </w:rPr>
                          <w:tab/>
                        </w:r>
                        <w:r>
                          <w:rPr>
                            <w:b/>
                            <w:spacing w:val="-5"/>
                            <w:sz w:val="16"/>
                          </w:rPr>
                          <w:t>(5)</w:t>
                        </w:r>
                        <w:r>
                          <w:rPr>
                            <w:b/>
                            <w:sz w:val="16"/>
                          </w:rPr>
                          <w:tab/>
                        </w:r>
                        <w:r>
                          <w:rPr>
                            <w:b/>
                            <w:spacing w:val="-10"/>
                            <w:sz w:val="16"/>
                          </w:rPr>
                          <w:t>$</w:t>
                        </w:r>
                        <w:r>
                          <w:rPr>
                            <w:b/>
                            <w:sz w:val="16"/>
                          </w:rPr>
                          <w:tab/>
                        </w:r>
                        <w:r>
                          <w:rPr>
                            <w:b/>
                            <w:spacing w:val="-5"/>
                            <w:sz w:val="16"/>
                          </w:rPr>
                          <w:t>32</w:t>
                        </w:r>
                        <w:r>
                          <w:rPr>
                            <w:sz w:val="16"/>
                          </w:rPr>
                          <w:tab/>
                        </w:r>
                        <w:r>
                          <w:rPr>
                            <w:b/>
                            <w:spacing w:val="-5"/>
                            <w:sz w:val="16"/>
                          </w:rPr>
                          <w:t>77</w:t>
                        </w:r>
                      </w:p>
                    </w:txbxContent>
                  </v:textbox>
                  <w10:wrap type="none"/>
                </v:shape>
                <w10:wrap type="none"/>
              </v:group>
            </w:pict>
          </mc:Fallback>
        </mc:AlternateContent>
      </w:r>
      <w:r>
        <w:rPr>
          <w:sz w:val="16"/>
        </w:rPr>
        <w:t>Capacity</w:t>
      </w:r>
      <w:r>
        <w:rPr>
          <w:spacing w:val="18"/>
          <w:sz w:val="16"/>
        </w:rPr>
        <w:t> </w:t>
      </w:r>
      <w:r>
        <w:rPr>
          <w:spacing w:val="-2"/>
          <w:sz w:val="16"/>
        </w:rPr>
        <w:t>realignment</w:t>
      </w:r>
      <w:r>
        <w:rPr>
          <w:sz w:val="16"/>
        </w:rPr>
        <w:tab/>
      </w:r>
      <w:r>
        <w:rPr>
          <w:b/>
          <w:spacing w:val="-5"/>
          <w:sz w:val="16"/>
        </w:rPr>
        <w:t>36</w:t>
      </w:r>
      <w:r>
        <w:rPr>
          <w:b/>
          <w:sz w:val="16"/>
        </w:rPr>
        <w:tab/>
      </w:r>
      <w:r>
        <w:rPr>
          <w:b/>
          <w:spacing w:val="-10"/>
          <w:sz w:val="16"/>
        </w:rPr>
        <w:t>7</w:t>
      </w:r>
      <w:r>
        <w:rPr>
          <w:b/>
          <w:sz w:val="16"/>
        </w:rPr>
        <w:tab/>
      </w:r>
      <w:r>
        <w:rPr>
          <w:b/>
          <w:spacing w:val="-10"/>
          <w:sz w:val="16"/>
        </w:rPr>
        <w:t>3</w:t>
      </w:r>
      <w:r>
        <w:rPr>
          <w:sz w:val="16"/>
        </w:rPr>
        <w:tab/>
      </w:r>
      <w:r>
        <w:rPr>
          <w:b/>
          <w:spacing w:val="-5"/>
          <w:sz w:val="16"/>
        </w:rPr>
        <w:t>46</w:t>
      </w:r>
    </w:p>
    <w:p>
      <w:pPr>
        <w:tabs>
          <w:tab w:pos="4602" w:val="left" w:leader="none"/>
          <w:tab w:pos="5570" w:val="left" w:leader="none"/>
          <w:tab w:pos="5965" w:val="left" w:leader="none"/>
          <w:tab w:pos="7190" w:val="left" w:leader="none"/>
          <w:tab w:pos="8799" w:val="left" w:leader="none"/>
          <w:tab w:pos="9111" w:val="left" w:leader="none"/>
          <w:tab w:pos="10054" w:val="left" w:leader="none"/>
          <w:tab w:pos="10449" w:val="left" w:leader="none"/>
          <w:tab w:pos="11557" w:val="right" w:leader="none"/>
        </w:tabs>
        <w:spacing w:before="236"/>
        <w:ind w:left="309" w:right="0" w:firstLine="0"/>
        <w:jc w:val="left"/>
        <w:rPr>
          <w:b/>
          <w:sz w:val="16"/>
        </w:rPr>
      </w:pPr>
      <w:r>
        <w:rPr/>
        <mc:AlternateContent>
          <mc:Choice Requires="wps">
            <w:drawing>
              <wp:anchor distT="0" distB="0" distL="0" distR="0" allowOverlap="1" layoutInCell="1" locked="0" behindDoc="1" simplePos="0" relativeHeight="487675392">
                <wp:simplePos x="0" y="0"/>
                <wp:positionH relativeFrom="page">
                  <wp:posOffset>226479</wp:posOffset>
                </wp:positionH>
                <wp:positionV relativeFrom="paragraph">
                  <wp:posOffset>277489</wp:posOffset>
                </wp:positionV>
                <wp:extent cx="7312659" cy="24765"/>
                <wp:effectExtent l="0" t="0" r="0" b="0"/>
                <wp:wrapTopAndBottom/>
                <wp:docPr id="356" name="Graphic 356"/>
                <wp:cNvGraphicFramePr>
                  <a:graphicFrameLocks/>
                </wp:cNvGraphicFramePr>
                <a:graphic>
                  <a:graphicData uri="http://schemas.microsoft.com/office/word/2010/wordprocessingShape">
                    <wps:wsp>
                      <wps:cNvPr id="356" name="Graphic 356"/>
                      <wps:cNvSpPr/>
                      <wps:spPr>
                        <a:xfrm>
                          <a:off x="0" y="0"/>
                          <a:ext cx="7312659" cy="24765"/>
                        </a:xfrm>
                        <a:custGeom>
                          <a:avLst/>
                          <a:gdLst/>
                          <a:ahLst/>
                          <a:cxnLst/>
                          <a:rect l="l" t="t" r="r" b="b"/>
                          <a:pathLst>
                            <a:path w="7312659" h="24765">
                              <a:moveTo>
                                <a:pt x="7312342" y="16179"/>
                              </a:moveTo>
                              <a:lnTo>
                                <a:pt x="7312342" y="16179"/>
                              </a:lnTo>
                              <a:lnTo>
                                <a:pt x="0" y="16179"/>
                              </a:lnTo>
                              <a:lnTo>
                                <a:pt x="0" y="24269"/>
                              </a:lnTo>
                              <a:lnTo>
                                <a:pt x="7312342" y="24269"/>
                              </a:lnTo>
                              <a:lnTo>
                                <a:pt x="7312342" y="16179"/>
                              </a:lnTo>
                              <a:close/>
                            </a:path>
                            <a:path w="7312659" h="2476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21.849564pt;width:575.8pt;height:1.95pt;mso-position-horizontal-relative:page;mso-position-vertical-relative:paragraph;z-index:-15641088;mso-wrap-distance-left:0;mso-wrap-distance-right:0" id="docshape355" coordorigin="357,437" coordsize="11516,39" path="m11872,462l11758,462,10764,462,10649,462,10535,462,10420,462,9439,462,9312,462,9197,462,9082,462,8076,462,7758,462,7643,462,7528,462,6522,462,6165,462,6051,462,5936,462,4955,462,4802,462,4688,462,357,462,357,475,4688,475,4802,475,4955,475,5936,475,6051,475,6165,475,6522,475,7528,475,7643,475,7758,475,8076,475,9082,475,9197,475,9312,475,9439,475,10420,475,10535,475,10649,475,10764,475,11758,475,11872,475,11872,462xm11872,437l11758,437,10764,437,10649,437,10535,437,10420,437,9439,437,9312,437,9197,437,9082,437,8076,437,7758,437,7643,437,7528,437,6522,437,6165,437,6051,437,5936,437,4955,437,4802,437,4688,437,357,437,357,450,4688,450,4802,450,4955,450,5936,450,6051,450,6165,450,6522,450,7528,450,7643,450,7758,450,8076,450,9082,450,9197,450,9312,450,9439,450,10420,450,10535,450,10649,450,10764,450,11758,450,11872,450,11872,43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75904">
                <wp:simplePos x="0" y="0"/>
                <wp:positionH relativeFrom="page">
                  <wp:posOffset>226479</wp:posOffset>
                </wp:positionH>
                <wp:positionV relativeFrom="paragraph">
                  <wp:posOffset>431172</wp:posOffset>
                </wp:positionV>
                <wp:extent cx="7312659" cy="16510"/>
                <wp:effectExtent l="0" t="0" r="0" b="0"/>
                <wp:wrapTopAndBottom/>
                <wp:docPr id="357" name="Graphic 357"/>
                <wp:cNvGraphicFramePr>
                  <a:graphicFrameLocks/>
                </wp:cNvGraphicFramePr>
                <a:graphic>
                  <a:graphicData uri="http://schemas.microsoft.com/office/word/2010/wordprocessingShape">
                    <wps:wsp>
                      <wps:cNvPr id="357" name="Graphic 357"/>
                      <wps:cNvSpPr/>
                      <wps:spPr>
                        <a:xfrm>
                          <a:off x="0" y="0"/>
                          <a:ext cx="7312659" cy="16510"/>
                        </a:xfrm>
                        <a:custGeom>
                          <a:avLst/>
                          <a:gdLst/>
                          <a:ahLst/>
                          <a:cxnLst/>
                          <a:rect l="l" t="t" r="r" b="b"/>
                          <a:pathLst>
                            <a:path w="7312659" h="16510">
                              <a:moveTo>
                                <a:pt x="7312342" y="0"/>
                              </a:moveTo>
                              <a:lnTo>
                                <a:pt x="7239546" y="0"/>
                              </a:lnTo>
                              <a:lnTo>
                                <a:pt x="2903905" y="0"/>
                              </a:lnTo>
                              <a:lnTo>
                                <a:pt x="2831109" y="0"/>
                              </a:lnTo>
                              <a:lnTo>
                                <a:pt x="0" y="0"/>
                              </a:lnTo>
                              <a:lnTo>
                                <a:pt x="0" y="16179"/>
                              </a:lnTo>
                              <a:lnTo>
                                <a:pt x="2831109" y="16179"/>
                              </a:lnTo>
                              <a:lnTo>
                                <a:pt x="290390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33.950565pt;width:575.8pt;height:1.3pt;mso-position-horizontal-relative:page;mso-position-vertical-relative:paragraph;z-index:-15640576;mso-wrap-distance-left:0;mso-wrap-distance-right:0" id="docshape356" coordorigin="357,679" coordsize="11516,26" path="m11872,679l11758,679,4930,679,4815,679,357,679,357,704,4815,704,4930,704,11758,704,11872,704,11872,679xe" filled="true" fillcolor="#000000" stroked="false">
                <v:path arrowok="t"/>
                <v:fill type="solid"/>
                <w10:wrap type="topAndBottom"/>
              </v:shape>
            </w:pict>
          </mc:Fallback>
        </mc:AlternateContent>
      </w:r>
      <w:r>
        <w:rPr>
          <w:sz w:val="16"/>
        </w:rPr>
        <w:t>Total</w:t>
      </w:r>
      <w:r>
        <w:rPr>
          <w:spacing w:val="14"/>
          <w:sz w:val="16"/>
        </w:rPr>
        <w:t> </w:t>
      </w:r>
      <w:r>
        <w:rPr>
          <w:sz w:val="16"/>
        </w:rPr>
        <w:t>restructuring,</w:t>
      </w:r>
      <w:r>
        <w:rPr>
          <w:spacing w:val="15"/>
          <w:sz w:val="16"/>
        </w:rPr>
        <w:t> </w:t>
      </w:r>
      <w:r>
        <w:rPr>
          <w:sz w:val="16"/>
        </w:rPr>
        <w:t>impairment</w:t>
      </w:r>
      <w:r>
        <w:rPr>
          <w:spacing w:val="15"/>
          <w:sz w:val="16"/>
        </w:rPr>
        <w:t> </w:t>
      </w:r>
      <w:r>
        <w:rPr>
          <w:sz w:val="16"/>
        </w:rPr>
        <w:t>and</w:t>
      </w:r>
      <w:r>
        <w:rPr>
          <w:spacing w:val="15"/>
          <w:sz w:val="16"/>
        </w:rPr>
        <w:t> </w:t>
      </w:r>
      <w:r>
        <w:rPr>
          <w:sz w:val="16"/>
        </w:rPr>
        <w:t>other</w:t>
      </w:r>
      <w:r>
        <w:rPr>
          <w:spacing w:val="15"/>
          <w:sz w:val="16"/>
        </w:rPr>
        <w:t> </w:t>
      </w:r>
      <w:r>
        <w:rPr>
          <w:sz w:val="16"/>
        </w:rPr>
        <w:t>charges</w:t>
      </w:r>
      <w:r>
        <w:rPr>
          <w:spacing w:val="15"/>
          <w:sz w:val="16"/>
        </w:rPr>
        <w:t> </w:t>
      </w:r>
      <w:r>
        <w:rPr>
          <w:sz w:val="16"/>
        </w:rPr>
        <w:t>and</w:t>
      </w:r>
      <w:r>
        <w:rPr>
          <w:spacing w:val="15"/>
          <w:sz w:val="16"/>
        </w:rPr>
        <w:t> </w:t>
      </w:r>
      <w:r>
        <w:rPr>
          <w:spacing w:val="-2"/>
          <w:sz w:val="16"/>
        </w:rPr>
        <w:t>credits</w:t>
      </w:r>
      <w:r>
        <w:rPr>
          <w:sz w:val="16"/>
        </w:rPr>
        <w:tab/>
      </w:r>
      <w:r>
        <w:rPr>
          <w:b/>
          <w:spacing w:val="-10"/>
          <w:sz w:val="16"/>
        </w:rPr>
        <w:t>$</w:t>
      </w:r>
      <w:r>
        <w:rPr>
          <w:b/>
          <w:sz w:val="16"/>
        </w:rPr>
        <w:tab/>
      </w:r>
      <w:r>
        <w:rPr>
          <w:b/>
          <w:spacing w:val="-5"/>
          <w:sz w:val="16"/>
        </w:rPr>
        <w:t>80</w:t>
      </w:r>
      <w:r>
        <w:rPr>
          <w:b/>
          <w:sz w:val="16"/>
        </w:rPr>
        <w:tab/>
      </w:r>
      <w:r>
        <w:rPr>
          <w:b/>
          <w:spacing w:val="-10"/>
          <w:sz w:val="16"/>
        </w:rPr>
        <w:t>$</w:t>
      </w:r>
      <w:r>
        <w:rPr>
          <w:b/>
          <w:sz w:val="16"/>
        </w:rPr>
        <w:tab/>
        <w:t>(3)</w:t>
      </w:r>
      <w:r>
        <w:rPr>
          <w:b/>
          <w:spacing w:val="49"/>
          <w:sz w:val="16"/>
        </w:rPr>
        <w:t>  </w:t>
      </w:r>
      <w:r>
        <w:rPr>
          <w:b/>
          <w:spacing w:val="-10"/>
          <w:sz w:val="16"/>
        </w:rPr>
        <w:t>$</w:t>
      </w:r>
      <w:r>
        <w:rPr>
          <w:b/>
          <w:sz w:val="16"/>
        </w:rPr>
        <w:tab/>
      </w:r>
      <w:r>
        <w:rPr>
          <w:b/>
          <w:spacing w:val="-10"/>
          <w:sz w:val="16"/>
        </w:rPr>
        <w:t>1</w:t>
      </w:r>
      <w:r>
        <w:rPr>
          <w:b/>
          <w:sz w:val="16"/>
        </w:rPr>
        <w:tab/>
      </w:r>
      <w:r>
        <w:rPr>
          <w:b/>
          <w:spacing w:val="-10"/>
          <w:sz w:val="16"/>
        </w:rPr>
        <w:t>$</w:t>
      </w:r>
      <w:r>
        <w:rPr>
          <w:b/>
          <w:sz w:val="16"/>
        </w:rPr>
        <w:tab/>
      </w:r>
      <w:r>
        <w:rPr>
          <w:b/>
          <w:spacing w:val="-5"/>
          <w:sz w:val="16"/>
        </w:rPr>
        <w:t>32</w:t>
      </w:r>
      <w:r>
        <w:rPr>
          <w:b/>
          <w:sz w:val="16"/>
        </w:rPr>
        <w:tab/>
      </w:r>
      <w:r>
        <w:rPr>
          <w:b/>
          <w:spacing w:val="-10"/>
          <w:sz w:val="16"/>
        </w:rPr>
        <w:t>$</w:t>
      </w:r>
      <w:r>
        <w:rPr>
          <w:sz w:val="16"/>
        </w:rPr>
        <w:tab/>
      </w:r>
      <w:r>
        <w:rPr>
          <w:b/>
          <w:spacing w:val="-5"/>
          <w:sz w:val="16"/>
        </w:rPr>
        <w:t>110</w:t>
      </w:r>
    </w:p>
    <w:p>
      <w:pPr>
        <w:pStyle w:val="BodyText"/>
        <w:spacing w:before="7"/>
        <w:rPr>
          <w:b/>
          <w:sz w:val="15"/>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5"/>
        <w:gridCol w:w="284"/>
        <w:gridCol w:w="782"/>
        <w:gridCol w:w="344"/>
        <w:gridCol w:w="157"/>
        <w:gridCol w:w="98"/>
        <w:gridCol w:w="975"/>
        <w:gridCol w:w="309"/>
        <w:gridCol w:w="255"/>
        <w:gridCol w:w="954"/>
        <w:gridCol w:w="290"/>
        <w:gridCol w:w="1398"/>
        <w:gridCol w:w="332"/>
        <w:gridCol w:w="606"/>
        <w:gridCol w:w="388"/>
      </w:tblGrid>
      <w:tr>
        <w:trPr>
          <w:trHeight w:val="197" w:hRule="atLeast"/>
        </w:trPr>
        <w:tc>
          <w:tcPr>
            <w:tcW w:w="11527" w:type="dxa"/>
            <w:gridSpan w:val="15"/>
          </w:tcPr>
          <w:p>
            <w:pPr>
              <w:pStyle w:val="TableParagraph"/>
              <w:spacing w:line="177" w:lineRule="exact"/>
              <w:ind w:left="6935"/>
              <w:rPr>
                <w:sz w:val="16"/>
              </w:rPr>
            </w:pPr>
            <w:r>
              <w:rPr>
                <w:w w:val="105"/>
                <w:sz w:val="16"/>
              </w:rPr>
              <w:t>Year</w:t>
            </w:r>
            <w:r>
              <w:rPr>
                <w:spacing w:val="-11"/>
                <w:w w:val="105"/>
                <w:sz w:val="16"/>
              </w:rPr>
              <w:t> </w:t>
            </w:r>
            <w:r>
              <w:rPr>
                <w:w w:val="105"/>
                <w:sz w:val="16"/>
              </w:rPr>
              <w:t>ended</w:t>
            </w:r>
            <w:r>
              <w:rPr>
                <w:spacing w:val="-9"/>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2020</w:t>
            </w:r>
          </w:p>
        </w:tc>
      </w:tr>
      <w:tr>
        <w:trPr>
          <w:trHeight w:val="809" w:hRule="atLeast"/>
        </w:trPr>
        <w:tc>
          <w:tcPr>
            <w:tcW w:w="4355" w:type="dxa"/>
            <w:tcBorders>
              <w:top w:val="single" w:sz="6" w:space="0" w:color="000000"/>
            </w:tcBorders>
          </w:tcPr>
          <w:p>
            <w:pPr>
              <w:pStyle w:val="TableParagraph"/>
              <w:rPr>
                <w:sz w:val="16"/>
              </w:rPr>
            </w:pPr>
          </w:p>
        </w:tc>
        <w:tc>
          <w:tcPr>
            <w:tcW w:w="1410" w:type="dxa"/>
            <w:gridSpan w:val="3"/>
            <w:tcBorders>
              <w:top w:val="single" w:sz="6" w:space="0" w:color="000000"/>
            </w:tcBorders>
          </w:tcPr>
          <w:p>
            <w:pPr>
              <w:pStyle w:val="TableParagraph"/>
              <w:rPr>
                <w:b/>
                <w:sz w:val="16"/>
              </w:rPr>
            </w:pPr>
          </w:p>
          <w:p>
            <w:pPr>
              <w:pStyle w:val="TableParagraph"/>
              <w:rPr>
                <w:b/>
                <w:sz w:val="16"/>
              </w:rPr>
            </w:pPr>
          </w:p>
          <w:p>
            <w:pPr>
              <w:pStyle w:val="TableParagraph"/>
              <w:spacing w:before="61"/>
              <w:rPr>
                <w:b/>
                <w:sz w:val="16"/>
              </w:rPr>
            </w:pPr>
          </w:p>
          <w:p>
            <w:pPr>
              <w:pStyle w:val="TableParagraph"/>
              <w:spacing w:line="175" w:lineRule="exact" w:before="1"/>
              <w:ind w:left="585"/>
              <w:rPr>
                <w:sz w:val="16"/>
              </w:rPr>
            </w:pPr>
            <w:r>
              <w:rPr>
                <w:spacing w:val="-2"/>
                <w:w w:val="105"/>
                <w:sz w:val="16"/>
              </w:rPr>
              <w:t>Gross</w:t>
            </w:r>
          </w:p>
        </w:tc>
        <w:tc>
          <w:tcPr>
            <w:tcW w:w="255" w:type="dxa"/>
            <w:gridSpan w:val="2"/>
            <w:tcBorders>
              <w:top w:val="single" w:sz="6" w:space="0" w:color="000000"/>
            </w:tcBorders>
          </w:tcPr>
          <w:p>
            <w:pPr>
              <w:pStyle w:val="TableParagraph"/>
              <w:rPr>
                <w:sz w:val="16"/>
              </w:rPr>
            </w:pPr>
          </w:p>
        </w:tc>
        <w:tc>
          <w:tcPr>
            <w:tcW w:w="1284" w:type="dxa"/>
            <w:gridSpan w:val="2"/>
            <w:tcBorders>
              <w:top w:val="single" w:sz="6" w:space="0" w:color="000000"/>
            </w:tcBorders>
          </w:tcPr>
          <w:p>
            <w:pPr>
              <w:pStyle w:val="TableParagraph"/>
              <w:spacing w:line="266" w:lineRule="auto" w:before="2"/>
              <w:ind w:left="204" w:right="409"/>
              <w:jc w:val="center"/>
              <w:rPr>
                <w:sz w:val="16"/>
              </w:rPr>
            </w:pPr>
            <w:r>
              <w:rPr>
                <w:spacing w:val="-4"/>
                <w:w w:val="105"/>
                <w:sz w:val="16"/>
              </w:rPr>
              <w:t>Selling,</w:t>
            </w:r>
            <w:r>
              <w:rPr>
                <w:spacing w:val="40"/>
                <w:w w:val="105"/>
                <w:sz w:val="16"/>
              </w:rPr>
              <w:t> </w:t>
            </w:r>
            <w:r>
              <w:rPr>
                <w:spacing w:val="-2"/>
                <w:w w:val="105"/>
                <w:sz w:val="16"/>
              </w:rPr>
              <w:t>general</w:t>
            </w:r>
            <w:r>
              <w:rPr>
                <w:spacing w:val="40"/>
                <w:w w:val="105"/>
                <w:sz w:val="16"/>
              </w:rPr>
              <w:t> </w:t>
            </w:r>
            <w:r>
              <w:rPr>
                <w:spacing w:val="-4"/>
                <w:w w:val="105"/>
                <w:sz w:val="16"/>
              </w:rPr>
              <w:t>and</w:t>
            </w:r>
          </w:p>
          <w:p>
            <w:pPr>
              <w:pStyle w:val="TableParagraph"/>
              <w:spacing w:line="174" w:lineRule="exact"/>
              <w:ind w:right="202"/>
              <w:jc w:val="center"/>
              <w:rPr>
                <w:sz w:val="16"/>
              </w:rPr>
            </w:pPr>
            <w:r>
              <w:rPr>
                <w:spacing w:val="-2"/>
                <w:w w:val="105"/>
                <w:sz w:val="16"/>
              </w:rPr>
              <w:t>administrative</w:t>
            </w:r>
          </w:p>
        </w:tc>
        <w:tc>
          <w:tcPr>
            <w:tcW w:w="1499" w:type="dxa"/>
            <w:gridSpan w:val="3"/>
            <w:tcBorders>
              <w:top w:val="single" w:sz="6" w:space="0" w:color="000000"/>
            </w:tcBorders>
          </w:tcPr>
          <w:p>
            <w:pPr>
              <w:pStyle w:val="TableParagraph"/>
              <w:spacing w:line="266" w:lineRule="auto" w:before="2"/>
              <w:ind w:left="312" w:right="329" w:hanging="2"/>
              <w:jc w:val="center"/>
              <w:rPr>
                <w:sz w:val="16"/>
              </w:rPr>
            </w:pPr>
            <w:r>
              <w:rPr>
                <w:spacing w:val="-2"/>
                <w:w w:val="105"/>
                <w:sz w:val="16"/>
              </w:rPr>
              <w:t>Research,</w:t>
            </w:r>
            <w:r>
              <w:rPr>
                <w:spacing w:val="40"/>
                <w:w w:val="105"/>
                <w:sz w:val="16"/>
              </w:rPr>
              <w:t> </w:t>
            </w:r>
            <w:r>
              <w:rPr>
                <w:spacing w:val="-2"/>
                <w:sz w:val="16"/>
              </w:rPr>
              <w:t>development</w:t>
            </w:r>
            <w:r>
              <w:rPr>
                <w:spacing w:val="40"/>
                <w:w w:val="105"/>
                <w:sz w:val="16"/>
              </w:rPr>
              <w:t> </w:t>
            </w:r>
            <w:r>
              <w:rPr>
                <w:spacing w:val="-4"/>
                <w:w w:val="105"/>
                <w:sz w:val="16"/>
              </w:rPr>
              <w:t>and</w:t>
            </w:r>
          </w:p>
          <w:p>
            <w:pPr>
              <w:pStyle w:val="TableParagraph"/>
              <w:spacing w:line="174" w:lineRule="exact"/>
              <w:ind w:right="17"/>
              <w:jc w:val="center"/>
              <w:rPr>
                <w:sz w:val="16"/>
              </w:rPr>
            </w:pPr>
            <w:r>
              <w:rPr>
                <w:spacing w:val="-2"/>
                <w:w w:val="105"/>
                <w:sz w:val="16"/>
              </w:rPr>
              <w:t>engineering</w:t>
            </w:r>
          </w:p>
        </w:tc>
        <w:tc>
          <w:tcPr>
            <w:tcW w:w="1398" w:type="dxa"/>
            <w:tcBorders>
              <w:top w:val="single" w:sz="6" w:space="0" w:color="000000"/>
            </w:tcBorders>
          </w:tcPr>
          <w:p>
            <w:pPr>
              <w:pStyle w:val="TableParagraph"/>
              <w:rPr>
                <w:sz w:val="16"/>
              </w:rPr>
            </w:pPr>
          </w:p>
        </w:tc>
        <w:tc>
          <w:tcPr>
            <w:tcW w:w="1326" w:type="dxa"/>
            <w:gridSpan w:val="3"/>
            <w:tcBorders>
              <w:top w:val="single" w:sz="6" w:space="0" w:color="000000"/>
            </w:tcBorders>
          </w:tcPr>
          <w:p>
            <w:pPr>
              <w:pStyle w:val="TableParagraph"/>
              <w:rPr>
                <w:sz w:val="16"/>
              </w:rPr>
            </w:pPr>
          </w:p>
        </w:tc>
      </w:tr>
      <w:tr>
        <w:trPr>
          <w:trHeight w:val="207" w:hRule="atLeast"/>
        </w:trPr>
        <w:tc>
          <w:tcPr>
            <w:tcW w:w="4355" w:type="dxa"/>
            <w:tcBorders>
              <w:bottom w:val="single" w:sz="6" w:space="0" w:color="000000"/>
            </w:tcBorders>
          </w:tcPr>
          <w:p>
            <w:pPr>
              <w:pStyle w:val="TableParagraph"/>
              <w:rPr>
                <w:sz w:val="14"/>
              </w:rPr>
            </w:pPr>
          </w:p>
        </w:tc>
        <w:tc>
          <w:tcPr>
            <w:tcW w:w="1410" w:type="dxa"/>
            <w:gridSpan w:val="3"/>
            <w:tcBorders>
              <w:bottom w:val="single" w:sz="6" w:space="0" w:color="000000"/>
            </w:tcBorders>
          </w:tcPr>
          <w:p>
            <w:pPr>
              <w:pStyle w:val="TableParagraph"/>
              <w:spacing w:line="179" w:lineRule="exact" w:before="8"/>
              <w:ind w:left="426"/>
              <w:rPr>
                <w:sz w:val="16"/>
              </w:rPr>
            </w:pPr>
            <w:r>
              <w:rPr>
                <w:w w:val="105"/>
                <w:sz w:val="16"/>
              </w:rPr>
              <w:t>margin</w:t>
            </w:r>
            <w:r>
              <w:rPr>
                <w:spacing w:val="-11"/>
                <w:w w:val="105"/>
                <w:sz w:val="16"/>
              </w:rPr>
              <w:t> </w:t>
            </w:r>
            <w:r>
              <w:rPr>
                <w:spacing w:val="-5"/>
                <w:w w:val="105"/>
                <w:sz w:val="16"/>
              </w:rPr>
              <w:t>(1)</w:t>
            </w:r>
          </w:p>
        </w:tc>
        <w:tc>
          <w:tcPr>
            <w:tcW w:w="255" w:type="dxa"/>
            <w:gridSpan w:val="2"/>
            <w:tcBorders>
              <w:bottom w:val="single" w:sz="6" w:space="0" w:color="000000"/>
            </w:tcBorders>
          </w:tcPr>
          <w:p>
            <w:pPr>
              <w:pStyle w:val="TableParagraph"/>
              <w:rPr>
                <w:sz w:val="14"/>
              </w:rPr>
            </w:pPr>
          </w:p>
        </w:tc>
        <w:tc>
          <w:tcPr>
            <w:tcW w:w="1284" w:type="dxa"/>
            <w:gridSpan w:val="2"/>
            <w:tcBorders>
              <w:bottom w:val="single" w:sz="6" w:space="0" w:color="000000"/>
            </w:tcBorders>
          </w:tcPr>
          <w:p>
            <w:pPr>
              <w:pStyle w:val="TableParagraph"/>
              <w:spacing w:line="179" w:lineRule="exact" w:before="8"/>
              <w:ind w:left="241"/>
              <w:rPr>
                <w:sz w:val="16"/>
              </w:rPr>
            </w:pPr>
            <w:r>
              <w:rPr>
                <w:spacing w:val="-2"/>
                <w:w w:val="105"/>
                <w:sz w:val="16"/>
              </w:rPr>
              <w:t>expenses</w:t>
            </w:r>
          </w:p>
        </w:tc>
        <w:tc>
          <w:tcPr>
            <w:tcW w:w="1499" w:type="dxa"/>
            <w:gridSpan w:val="3"/>
            <w:tcBorders>
              <w:bottom w:val="single" w:sz="6" w:space="0" w:color="000000"/>
            </w:tcBorders>
          </w:tcPr>
          <w:p>
            <w:pPr>
              <w:pStyle w:val="TableParagraph"/>
              <w:spacing w:line="179" w:lineRule="exact" w:before="8"/>
              <w:ind w:left="441"/>
              <w:rPr>
                <w:sz w:val="16"/>
              </w:rPr>
            </w:pPr>
            <w:r>
              <w:rPr>
                <w:spacing w:val="-2"/>
                <w:w w:val="105"/>
                <w:sz w:val="16"/>
              </w:rPr>
              <w:t>expenses</w:t>
            </w:r>
          </w:p>
        </w:tc>
        <w:tc>
          <w:tcPr>
            <w:tcW w:w="1398" w:type="dxa"/>
            <w:tcBorders>
              <w:bottom w:val="single" w:sz="6" w:space="0" w:color="000000"/>
            </w:tcBorders>
          </w:tcPr>
          <w:p>
            <w:pPr>
              <w:pStyle w:val="TableParagraph"/>
              <w:spacing w:line="179" w:lineRule="exact" w:before="8"/>
              <w:ind w:right="73"/>
              <w:jc w:val="center"/>
              <w:rPr>
                <w:sz w:val="16"/>
              </w:rPr>
            </w:pPr>
            <w:r>
              <w:rPr>
                <w:spacing w:val="-2"/>
                <w:w w:val="105"/>
                <w:sz w:val="16"/>
              </w:rPr>
              <w:t>Other</w:t>
            </w:r>
          </w:p>
        </w:tc>
        <w:tc>
          <w:tcPr>
            <w:tcW w:w="1326" w:type="dxa"/>
            <w:gridSpan w:val="3"/>
            <w:tcBorders>
              <w:bottom w:val="single" w:sz="6" w:space="0" w:color="000000"/>
            </w:tcBorders>
          </w:tcPr>
          <w:p>
            <w:pPr>
              <w:pStyle w:val="TableParagraph"/>
              <w:spacing w:line="179" w:lineRule="exact" w:before="8"/>
              <w:ind w:right="57"/>
              <w:jc w:val="center"/>
              <w:rPr>
                <w:sz w:val="16"/>
              </w:rPr>
            </w:pPr>
            <w:r>
              <w:rPr>
                <w:spacing w:val="-4"/>
                <w:w w:val="105"/>
                <w:sz w:val="16"/>
              </w:rPr>
              <w:t>Total</w:t>
            </w:r>
          </w:p>
        </w:tc>
      </w:tr>
      <w:tr>
        <w:trPr>
          <w:trHeight w:val="202" w:hRule="atLeast"/>
        </w:trPr>
        <w:tc>
          <w:tcPr>
            <w:tcW w:w="4355" w:type="dxa"/>
            <w:tcBorders>
              <w:top w:val="single" w:sz="6" w:space="0" w:color="000000"/>
            </w:tcBorders>
            <w:shd w:val="clear" w:color="auto" w:fill="CCEDFF"/>
          </w:tcPr>
          <w:p>
            <w:pPr>
              <w:pStyle w:val="TableParagraph"/>
              <w:spacing w:line="180" w:lineRule="exact" w:before="2"/>
              <w:rPr>
                <w:sz w:val="16"/>
              </w:rPr>
            </w:pPr>
            <w:r>
              <w:rPr>
                <w:spacing w:val="-2"/>
                <w:w w:val="105"/>
                <w:sz w:val="16"/>
              </w:rPr>
              <w:t>Severance</w:t>
            </w:r>
          </w:p>
        </w:tc>
        <w:tc>
          <w:tcPr>
            <w:tcW w:w="1410" w:type="dxa"/>
            <w:gridSpan w:val="3"/>
            <w:tcBorders>
              <w:top w:val="single" w:sz="6" w:space="0" w:color="000000"/>
            </w:tcBorders>
            <w:shd w:val="clear" w:color="auto" w:fill="CCEDFF"/>
          </w:tcPr>
          <w:p>
            <w:pPr>
              <w:pStyle w:val="TableParagraph"/>
              <w:tabs>
                <w:tab w:pos="1173" w:val="left" w:leader="none"/>
              </w:tabs>
              <w:spacing w:line="180" w:lineRule="exact" w:before="2"/>
              <w:ind w:left="218"/>
              <w:rPr>
                <w:sz w:val="16"/>
              </w:rPr>
            </w:pPr>
            <w:r>
              <w:rPr>
                <w:spacing w:val="-10"/>
                <w:w w:val="105"/>
                <w:sz w:val="16"/>
              </w:rPr>
              <w:t>$</w:t>
            </w:r>
            <w:r>
              <w:rPr>
                <w:sz w:val="16"/>
              </w:rPr>
              <w:tab/>
            </w:r>
            <w:r>
              <w:rPr>
                <w:spacing w:val="-5"/>
                <w:w w:val="105"/>
                <w:sz w:val="16"/>
              </w:rPr>
              <w:t>83</w:t>
            </w:r>
          </w:p>
        </w:tc>
        <w:tc>
          <w:tcPr>
            <w:tcW w:w="255" w:type="dxa"/>
            <w:gridSpan w:val="2"/>
            <w:tcBorders>
              <w:top w:val="single" w:sz="6" w:space="0" w:color="000000"/>
            </w:tcBorders>
            <w:shd w:val="clear" w:color="auto" w:fill="CCEDFF"/>
          </w:tcPr>
          <w:p>
            <w:pPr>
              <w:pStyle w:val="TableParagraph"/>
              <w:spacing w:line="180" w:lineRule="exact" w:before="2"/>
              <w:ind w:left="158"/>
              <w:rPr>
                <w:sz w:val="16"/>
              </w:rPr>
            </w:pPr>
            <w:r>
              <w:rPr>
                <w:spacing w:val="-10"/>
                <w:w w:val="105"/>
                <w:sz w:val="16"/>
              </w:rPr>
              <w:t>$</w:t>
            </w:r>
          </w:p>
        </w:tc>
        <w:tc>
          <w:tcPr>
            <w:tcW w:w="1284" w:type="dxa"/>
            <w:gridSpan w:val="2"/>
            <w:tcBorders>
              <w:top w:val="single" w:sz="6" w:space="0" w:color="000000"/>
            </w:tcBorders>
            <w:shd w:val="clear" w:color="auto" w:fill="CCEDFF"/>
          </w:tcPr>
          <w:p>
            <w:pPr>
              <w:pStyle w:val="TableParagraph"/>
              <w:spacing w:line="180" w:lineRule="exact" w:before="2"/>
              <w:ind w:right="104"/>
              <w:jc w:val="right"/>
              <w:rPr>
                <w:sz w:val="16"/>
              </w:rPr>
            </w:pPr>
            <w:r>
              <w:rPr>
                <w:spacing w:val="-5"/>
                <w:w w:val="105"/>
                <w:sz w:val="16"/>
              </w:rPr>
              <w:t>34</w:t>
            </w:r>
          </w:p>
        </w:tc>
        <w:tc>
          <w:tcPr>
            <w:tcW w:w="1499" w:type="dxa"/>
            <w:gridSpan w:val="3"/>
            <w:tcBorders>
              <w:top w:val="single" w:sz="6" w:space="0" w:color="000000"/>
            </w:tcBorders>
            <w:shd w:val="clear" w:color="auto" w:fill="CCEDFF"/>
          </w:tcPr>
          <w:p>
            <w:pPr>
              <w:pStyle w:val="TableParagraph"/>
              <w:tabs>
                <w:tab w:pos="1192" w:val="left" w:leader="none"/>
              </w:tabs>
              <w:spacing w:line="180" w:lineRule="exact" w:before="2"/>
              <w:ind w:left="122"/>
              <w:rPr>
                <w:sz w:val="16"/>
              </w:rPr>
            </w:pPr>
            <w:r>
              <w:rPr>
                <w:spacing w:val="-10"/>
                <w:w w:val="105"/>
                <w:sz w:val="16"/>
              </w:rPr>
              <w:t>$</w:t>
            </w:r>
            <w:r>
              <w:rPr>
                <w:sz w:val="16"/>
              </w:rPr>
              <w:tab/>
            </w:r>
            <w:r>
              <w:rPr>
                <w:spacing w:val="-5"/>
                <w:w w:val="105"/>
                <w:sz w:val="16"/>
              </w:rPr>
              <w:t>31</w:t>
            </w:r>
          </w:p>
        </w:tc>
        <w:tc>
          <w:tcPr>
            <w:tcW w:w="1398" w:type="dxa"/>
            <w:tcBorders>
              <w:top w:val="single" w:sz="6" w:space="0" w:color="000000"/>
            </w:tcBorders>
            <w:shd w:val="clear" w:color="auto" w:fill="CCEDFF"/>
          </w:tcPr>
          <w:p>
            <w:pPr>
              <w:pStyle w:val="TableParagraph"/>
              <w:rPr>
                <w:sz w:val="14"/>
              </w:rPr>
            </w:pPr>
          </w:p>
        </w:tc>
        <w:tc>
          <w:tcPr>
            <w:tcW w:w="1326" w:type="dxa"/>
            <w:gridSpan w:val="3"/>
            <w:tcBorders>
              <w:top w:val="single" w:sz="6" w:space="0" w:color="000000"/>
            </w:tcBorders>
            <w:shd w:val="clear" w:color="auto" w:fill="CCEDFF"/>
          </w:tcPr>
          <w:p>
            <w:pPr>
              <w:pStyle w:val="TableParagraph"/>
              <w:tabs>
                <w:tab w:pos="951" w:val="left" w:leader="none"/>
              </w:tabs>
              <w:spacing w:line="180" w:lineRule="exact" w:before="2"/>
              <w:ind w:left="66"/>
              <w:rPr>
                <w:sz w:val="16"/>
              </w:rPr>
            </w:pPr>
            <w:r>
              <w:rPr>
                <w:spacing w:val="-10"/>
                <w:w w:val="105"/>
                <w:sz w:val="16"/>
              </w:rPr>
              <w:t>$</w:t>
            </w:r>
            <w:r>
              <w:rPr>
                <w:sz w:val="16"/>
              </w:rPr>
              <w:tab/>
            </w:r>
            <w:r>
              <w:rPr>
                <w:spacing w:val="-5"/>
                <w:w w:val="105"/>
                <w:sz w:val="16"/>
              </w:rPr>
              <w:t>148</w:t>
            </w:r>
          </w:p>
        </w:tc>
      </w:tr>
      <w:tr>
        <w:trPr>
          <w:trHeight w:val="203" w:hRule="atLeast"/>
        </w:trPr>
        <w:tc>
          <w:tcPr>
            <w:tcW w:w="4355" w:type="dxa"/>
          </w:tcPr>
          <w:p>
            <w:pPr>
              <w:pStyle w:val="TableParagraph"/>
              <w:spacing w:line="180" w:lineRule="exact" w:before="3"/>
              <w:rPr>
                <w:sz w:val="16"/>
              </w:rPr>
            </w:pPr>
            <w:r>
              <w:rPr>
                <w:w w:val="105"/>
                <w:sz w:val="16"/>
              </w:rPr>
              <w:t>Asset</w:t>
            </w:r>
            <w:r>
              <w:rPr>
                <w:spacing w:val="-9"/>
                <w:w w:val="105"/>
                <w:sz w:val="16"/>
              </w:rPr>
              <w:t> </w:t>
            </w:r>
            <w:r>
              <w:rPr>
                <w:spacing w:val="-2"/>
                <w:w w:val="105"/>
                <w:sz w:val="16"/>
              </w:rPr>
              <w:t>impairment</w:t>
            </w:r>
          </w:p>
        </w:tc>
        <w:tc>
          <w:tcPr>
            <w:tcW w:w="1410" w:type="dxa"/>
            <w:gridSpan w:val="3"/>
          </w:tcPr>
          <w:p>
            <w:pPr>
              <w:pStyle w:val="TableParagraph"/>
              <w:rPr>
                <w:sz w:val="14"/>
              </w:rPr>
            </w:pPr>
          </w:p>
        </w:tc>
        <w:tc>
          <w:tcPr>
            <w:tcW w:w="255" w:type="dxa"/>
            <w:gridSpan w:val="2"/>
          </w:tcPr>
          <w:p>
            <w:pPr>
              <w:pStyle w:val="TableParagraph"/>
              <w:rPr>
                <w:sz w:val="14"/>
              </w:rPr>
            </w:pPr>
          </w:p>
        </w:tc>
        <w:tc>
          <w:tcPr>
            <w:tcW w:w="1284" w:type="dxa"/>
            <w:gridSpan w:val="2"/>
          </w:tcPr>
          <w:p>
            <w:pPr>
              <w:pStyle w:val="TableParagraph"/>
              <w:spacing w:line="180" w:lineRule="exact" w:before="3"/>
              <w:ind w:right="104"/>
              <w:jc w:val="right"/>
              <w:rPr>
                <w:sz w:val="16"/>
              </w:rPr>
            </w:pPr>
            <w:r>
              <w:rPr>
                <w:spacing w:val="-10"/>
                <w:w w:val="105"/>
                <w:sz w:val="16"/>
              </w:rPr>
              <w:t>6</w:t>
            </w:r>
          </w:p>
        </w:tc>
        <w:tc>
          <w:tcPr>
            <w:tcW w:w="1499" w:type="dxa"/>
            <w:gridSpan w:val="3"/>
          </w:tcPr>
          <w:p>
            <w:pPr>
              <w:pStyle w:val="TableParagraph"/>
              <w:spacing w:line="180" w:lineRule="exact" w:before="3"/>
              <w:ind w:right="138"/>
              <w:jc w:val="right"/>
              <w:rPr>
                <w:sz w:val="16"/>
              </w:rPr>
            </w:pPr>
            <w:r>
              <w:rPr>
                <w:spacing w:val="-5"/>
                <w:w w:val="105"/>
                <w:sz w:val="16"/>
              </w:rPr>
              <w:t>211</w:t>
            </w:r>
          </w:p>
        </w:tc>
        <w:tc>
          <w:tcPr>
            <w:tcW w:w="1398" w:type="dxa"/>
          </w:tcPr>
          <w:p>
            <w:pPr>
              <w:pStyle w:val="TableParagraph"/>
              <w:rPr>
                <w:sz w:val="14"/>
              </w:rPr>
            </w:pPr>
          </w:p>
        </w:tc>
        <w:tc>
          <w:tcPr>
            <w:tcW w:w="1326" w:type="dxa"/>
            <w:gridSpan w:val="3"/>
          </w:tcPr>
          <w:p>
            <w:pPr>
              <w:pStyle w:val="TableParagraph"/>
              <w:spacing w:line="180" w:lineRule="exact" w:before="3"/>
              <w:ind w:right="124"/>
              <w:jc w:val="right"/>
              <w:rPr>
                <w:sz w:val="16"/>
              </w:rPr>
            </w:pPr>
            <w:r>
              <w:rPr>
                <w:spacing w:val="-5"/>
                <w:w w:val="105"/>
                <w:sz w:val="16"/>
              </w:rPr>
              <w:t>217</w:t>
            </w:r>
          </w:p>
        </w:tc>
      </w:tr>
      <w:tr>
        <w:trPr>
          <w:trHeight w:val="203" w:hRule="atLeast"/>
        </w:trPr>
        <w:tc>
          <w:tcPr>
            <w:tcW w:w="4355" w:type="dxa"/>
            <w:shd w:val="clear" w:color="auto" w:fill="CCEDFF"/>
          </w:tcPr>
          <w:p>
            <w:pPr>
              <w:pStyle w:val="TableParagraph"/>
              <w:spacing w:line="180" w:lineRule="exact" w:before="3"/>
              <w:rPr>
                <w:sz w:val="16"/>
              </w:rPr>
            </w:pPr>
            <w:r>
              <w:rPr>
                <w:sz w:val="16"/>
              </w:rPr>
              <w:t>Capacity</w:t>
            </w:r>
            <w:r>
              <w:rPr>
                <w:spacing w:val="18"/>
                <w:sz w:val="16"/>
              </w:rPr>
              <w:t> </w:t>
            </w:r>
            <w:r>
              <w:rPr>
                <w:spacing w:val="-2"/>
                <w:sz w:val="16"/>
              </w:rPr>
              <w:t>realignment</w:t>
            </w:r>
          </w:p>
        </w:tc>
        <w:tc>
          <w:tcPr>
            <w:tcW w:w="1410" w:type="dxa"/>
            <w:gridSpan w:val="3"/>
            <w:shd w:val="clear" w:color="auto" w:fill="CCEDFF"/>
          </w:tcPr>
          <w:p>
            <w:pPr>
              <w:pStyle w:val="TableParagraph"/>
              <w:spacing w:line="180" w:lineRule="exact" w:before="3"/>
              <w:ind w:right="68"/>
              <w:jc w:val="right"/>
              <w:rPr>
                <w:sz w:val="16"/>
              </w:rPr>
            </w:pPr>
            <w:r>
              <w:rPr>
                <w:spacing w:val="-5"/>
                <w:w w:val="105"/>
                <w:sz w:val="16"/>
              </w:rPr>
              <w:t>288</w:t>
            </w:r>
          </w:p>
        </w:tc>
        <w:tc>
          <w:tcPr>
            <w:tcW w:w="255" w:type="dxa"/>
            <w:gridSpan w:val="2"/>
            <w:shd w:val="clear" w:color="auto" w:fill="CCEDFF"/>
          </w:tcPr>
          <w:p>
            <w:pPr>
              <w:pStyle w:val="TableParagraph"/>
              <w:rPr>
                <w:sz w:val="14"/>
              </w:rPr>
            </w:pPr>
          </w:p>
        </w:tc>
        <w:tc>
          <w:tcPr>
            <w:tcW w:w="1284" w:type="dxa"/>
            <w:gridSpan w:val="2"/>
            <w:shd w:val="clear" w:color="auto" w:fill="CCEDFF"/>
          </w:tcPr>
          <w:p>
            <w:pPr>
              <w:pStyle w:val="TableParagraph"/>
              <w:spacing w:line="180" w:lineRule="exact" w:before="3"/>
              <w:ind w:right="104"/>
              <w:jc w:val="right"/>
              <w:rPr>
                <w:sz w:val="16"/>
              </w:rPr>
            </w:pPr>
            <w:r>
              <w:rPr>
                <w:spacing w:val="-5"/>
                <w:w w:val="105"/>
                <w:sz w:val="16"/>
              </w:rPr>
              <w:t>16</w:t>
            </w:r>
          </w:p>
        </w:tc>
        <w:tc>
          <w:tcPr>
            <w:tcW w:w="1499" w:type="dxa"/>
            <w:gridSpan w:val="3"/>
            <w:shd w:val="clear" w:color="auto" w:fill="CCEDFF"/>
          </w:tcPr>
          <w:p>
            <w:pPr>
              <w:pStyle w:val="TableParagraph"/>
              <w:rPr>
                <w:sz w:val="14"/>
              </w:rPr>
            </w:pPr>
          </w:p>
        </w:tc>
        <w:tc>
          <w:tcPr>
            <w:tcW w:w="1398" w:type="dxa"/>
            <w:shd w:val="clear" w:color="auto" w:fill="CCEDFF"/>
          </w:tcPr>
          <w:p>
            <w:pPr>
              <w:pStyle w:val="TableParagraph"/>
              <w:rPr>
                <w:sz w:val="14"/>
              </w:rPr>
            </w:pPr>
          </w:p>
        </w:tc>
        <w:tc>
          <w:tcPr>
            <w:tcW w:w="1326" w:type="dxa"/>
            <w:gridSpan w:val="3"/>
            <w:shd w:val="clear" w:color="auto" w:fill="CCEDFF"/>
          </w:tcPr>
          <w:p>
            <w:pPr>
              <w:pStyle w:val="TableParagraph"/>
              <w:spacing w:line="180" w:lineRule="exact" w:before="3"/>
              <w:ind w:right="124"/>
              <w:jc w:val="right"/>
              <w:rPr>
                <w:sz w:val="16"/>
              </w:rPr>
            </w:pPr>
            <w:r>
              <w:rPr>
                <w:spacing w:val="-5"/>
                <w:w w:val="105"/>
                <w:sz w:val="16"/>
              </w:rPr>
              <w:t>304</w:t>
            </w:r>
          </w:p>
        </w:tc>
      </w:tr>
      <w:tr>
        <w:trPr>
          <w:trHeight w:val="202" w:hRule="atLeast"/>
        </w:trPr>
        <w:tc>
          <w:tcPr>
            <w:tcW w:w="4355" w:type="dxa"/>
            <w:tcBorders>
              <w:bottom w:val="single" w:sz="6" w:space="0" w:color="000000"/>
            </w:tcBorders>
          </w:tcPr>
          <w:p>
            <w:pPr>
              <w:pStyle w:val="TableParagraph"/>
              <w:spacing w:line="179" w:lineRule="exact" w:before="3"/>
              <w:rPr>
                <w:sz w:val="16"/>
              </w:rPr>
            </w:pPr>
            <w:r>
              <w:rPr>
                <w:w w:val="105"/>
                <w:sz w:val="16"/>
              </w:rPr>
              <w:t>Other</w:t>
            </w:r>
            <w:r>
              <w:rPr>
                <w:spacing w:val="-11"/>
                <w:w w:val="105"/>
                <w:sz w:val="16"/>
              </w:rPr>
              <w:t> </w:t>
            </w:r>
            <w:r>
              <w:rPr>
                <w:w w:val="105"/>
                <w:sz w:val="16"/>
              </w:rPr>
              <w:t>charges</w:t>
            </w:r>
            <w:r>
              <w:rPr>
                <w:spacing w:val="-10"/>
                <w:w w:val="105"/>
                <w:sz w:val="16"/>
              </w:rPr>
              <w:t> </w:t>
            </w:r>
            <w:r>
              <w:rPr>
                <w:w w:val="105"/>
                <w:sz w:val="16"/>
              </w:rPr>
              <w:t>and</w:t>
            </w:r>
            <w:r>
              <w:rPr>
                <w:spacing w:val="-10"/>
                <w:w w:val="105"/>
                <w:sz w:val="16"/>
              </w:rPr>
              <w:t> </w:t>
            </w:r>
            <w:r>
              <w:rPr>
                <w:spacing w:val="-2"/>
                <w:w w:val="105"/>
                <w:sz w:val="16"/>
              </w:rPr>
              <w:t>credits</w:t>
            </w:r>
          </w:p>
        </w:tc>
        <w:tc>
          <w:tcPr>
            <w:tcW w:w="1410" w:type="dxa"/>
            <w:gridSpan w:val="3"/>
            <w:tcBorders>
              <w:bottom w:val="single" w:sz="6" w:space="0" w:color="000000"/>
            </w:tcBorders>
          </w:tcPr>
          <w:p>
            <w:pPr>
              <w:pStyle w:val="TableParagraph"/>
              <w:spacing w:line="179" w:lineRule="exact" w:before="3"/>
              <w:ind w:right="68"/>
              <w:jc w:val="right"/>
              <w:rPr>
                <w:sz w:val="16"/>
              </w:rPr>
            </w:pPr>
            <w:r>
              <w:rPr>
                <w:spacing w:val="-5"/>
                <w:w w:val="105"/>
                <w:sz w:val="16"/>
              </w:rPr>
              <w:t>72</w:t>
            </w:r>
          </w:p>
        </w:tc>
        <w:tc>
          <w:tcPr>
            <w:tcW w:w="255" w:type="dxa"/>
            <w:gridSpan w:val="2"/>
            <w:tcBorders>
              <w:bottom w:val="single" w:sz="6" w:space="0" w:color="000000"/>
            </w:tcBorders>
          </w:tcPr>
          <w:p>
            <w:pPr>
              <w:pStyle w:val="TableParagraph"/>
              <w:rPr>
                <w:sz w:val="14"/>
              </w:rPr>
            </w:pPr>
          </w:p>
        </w:tc>
        <w:tc>
          <w:tcPr>
            <w:tcW w:w="1284" w:type="dxa"/>
            <w:gridSpan w:val="2"/>
            <w:tcBorders>
              <w:bottom w:val="single" w:sz="6" w:space="0" w:color="000000"/>
            </w:tcBorders>
          </w:tcPr>
          <w:p>
            <w:pPr>
              <w:pStyle w:val="TableParagraph"/>
              <w:spacing w:line="179" w:lineRule="exact" w:before="3"/>
              <w:ind w:right="104"/>
              <w:jc w:val="right"/>
              <w:rPr>
                <w:sz w:val="16"/>
              </w:rPr>
            </w:pPr>
            <w:r>
              <w:rPr>
                <w:spacing w:val="-5"/>
                <w:w w:val="105"/>
                <w:sz w:val="16"/>
              </w:rPr>
              <w:t>60</w:t>
            </w:r>
          </w:p>
        </w:tc>
        <w:tc>
          <w:tcPr>
            <w:tcW w:w="1499" w:type="dxa"/>
            <w:gridSpan w:val="3"/>
            <w:tcBorders>
              <w:bottom w:val="single" w:sz="6" w:space="0" w:color="000000"/>
            </w:tcBorders>
          </w:tcPr>
          <w:p>
            <w:pPr>
              <w:pStyle w:val="TableParagraph"/>
              <w:spacing w:line="179" w:lineRule="exact" w:before="3"/>
              <w:ind w:right="138"/>
              <w:jc w:val="right"/>
              <w:rPr>
                <w:sz w:val="16"/>
              </w:rPr>
            </w:pPr>
            <w:r>
              <w:rPr>
                <w:spacing w:val="-10"/>
                <w:w w:val="105"/>
                <w:sz w:val="16"/>
              </w:rPr>
              <w:t>5</w:t>
            </w:r>
          </w:p>
        </w:tc>
        <w:tc>
          <w:tcPr>
            <w:tcW w:w="1398" w:type="dxa"/>
            <w:tcBorders>
              <w:bottom w:val="single" w:sz="6" w:space="0" w:color="000000"/>
            </w:tcBorders>
          </w:tcPr>
          <w:p>
            <w:pPr>
              <w:pStyle w:val="TableParagraph"/>
              <w:tabs>
                <w:tab w:pos="980" w:val="left" w:leader="none"/>
              </w:tabs>
              <w:spacing w:line="179" w:lineRule="exact" w:before="3"/>
              <w:ind w:right="72"/>
              <w:jc w:val="center"/>
              <w:rPr>
                <w:sz w:val="16"/>
              </w:rPr>
            </w:pPr>
            <w:r>
              <w:rPr>
                <w:spacing w:val="-10"/>
                <w:w w:val="105"/>
                <w:sz w:val="16"/>
              </w:rPr>
              <w:t>$</w:t>
            </w:r>
            <w:r>
              <w:rPr>
                <w:sz w:val="16"/>
              </w:rPr>
              <w:tab/>
            </w:r>
            <w:r>
              <w:rPr>
                <w:spacing w:val="-5"/>
                <w:w w:val="105"/>
                <w:sz w:val="16"/>
              </w:rPr>
              <w:t>21</w:t>
            </w:r>
          </w:p>
        </w:tc>
        <w:tc>
          <w:tcPr>
            <w:tcW w:w="1326" w:type="dxa"/>
            <w:gridSpan w:val="3"/>
            <w:tcBorders>
              <w:bottom w:val="single" w:sz="6" w:space="0" w:color="000000"/>
            </w:tcBorders>
          </w:tcPr>
          <w:p>
            <w:pPr>
              <w:pStyle w:val="TableParagraph"/>
              <w:spacing w:line="179" w:lineRule="exact" w:before="3"/>
              <w:ind w:right="124"/>
              <w:jc w:val="right"/>
              <w:rPr>
                <w:sz w:val="16"/>
              </w:rPr>
            </w:pPr>
            <w:r>
              <w:rPr>
                <w:spacing w:val="-5"/>
                <w:w w:val="105"/>
                <w:sz w:val="16"/>
              </w:rPr>
              <w:t>158</w:t>
            </w:r>
          </w:p>
        </w:tc>
      </w:tr>
      <w:tr>
        <w:trPr>
          <w:trHeight w:val="199" w:hRule="atLeast"/>
        </w:trPr>
        <w:tc>
          <w:tcPr>
            <w:tcW w:w="4355" w:type="dxa"/>
            <w:tcBorders>
              <w:top w:val="single" w:sz="6" w:space="0" w:color="000000"/>
              <w:bottom w:val="double" w:sz="6" w:space="0" w:color="000000"/>
            </w:tcBorders>
            <w:shd w:val="clear" w:color="auto" w:fill="CCEDFF"/>
          </w:tcPr>
          <w:p>
            <w:pPr>
              <w:pStyle w:val="TableParagraph"/>
              <w:spacing w:line="177" w:lineRule="exact" w:before="2"/>
              <w:ind w:right="139"/>
              <w:jc w:val="right"/>
              <w:rPr>
                <w:sz w:val="16"/>
              </w:rPr>
            </w:pPr>
            <w:r>
              <w:rPr>
                <w:w w:val="105"/>
                <w:sz w:val="16"/>
              </w:rPr>
              <w:t>Total</w:t>
            </w:r>
            <w:r>
              <w:rPr>
                <w:spacing w:val="-11"/>
                <w:w w:val="105"/>
                <w:sz w:val="16"/>
              </w:rPr>
              <w:t> </w:t>
            </w:r>
            <w:r>
              <w:rPr>
                <w:w w:val="105"/>
                <w:sz w:val="16"/>
              </w:rPr>
              <w:t>restructuring,</w:t>
            </w:r>
            <w:r>
              <w:rPr>
                <w:spacing w:val="-10"/>
                <w:w w:val="105"/>
                <w:sz w:val="16"/>
              </w:rPr>
              <w:t> </w:t>
            </w:r>
            <w:r>
              <w:rPr>
                <w:w w:val="105"/>
                <w:sz w:val="16"/>
              </w:rPr>
              <w:t>impairment</w:t>
            </w:r>
            <w:r>
              <w:rPr>
                <w:spacing w:val="-10"/>
                <w:w w:val="105"/>
                <w:sz w:val="16"/>
              </w:rPr>
              <w:t> </w:t>
            </w:r>
            <w:r>
              <w:rPr>
                <w:w w:val="105"/>
                <w:sz w:val="16"/>
              </w:rPr>
              <w:t>and</w:t>
            </w:r>
            <w:r>
              <w:rPr>
                <w:spacing w:val="-10"/>
                <w:w w:val="105"/>
                <w:sz w:val="16"/>
              </w:rPr>
              <w:t> </w:t>
            </w:r>
            <w:r>
              <w:rPr>
                <w:w w:val="105"/>
                <w:sz w:val="16"/>
              </w:rPr>
              <w:t>other</w:t>
            </w:r>
            <w:r>
              <w:rPr>
                <w:spacing w:val="-10"/>
                <w:w w:val="105"/>
                <w:sz w:val="16"/>
              </w:rPr>
              <w:t> </w:t>
            </w:r>
            <w:r>
              <w:rPr>
                <w:w w:val="105"/>
                <w:sz w:val="16"/>
              </w:rPr>
              <w:t>charges</w:t>
            </w:r>
            <w:r>
              <w:rPr>
                <w:spacing w:val="-10"/>
                <w:w w:val="105"/>
                <w:sz w:val="16"/>
              </w:rPr>
              <w:t> </w:t>
            </w:r>
            <w:r>
              <w:rPr>
                <w:w w:val="105"/>
                <w:sz w:val="16"/>
              </w:rPr>
              <w:t>and</w:t>
            </w:r>
            <w:r>
              <w:rPr>
                <w:spacing w:val="-10"/>
                <w:w w:val="105"/>
                <w:sz w:val="16"/>
              </w:rPr>
              <w:t> </w:t>
            </w:r>
            <w:r>
              <w:rPr>
                <w:spacing w:val="-2"/>
                <w:w w:val="105"/>
                <w:sz w:val="16"/>
              </w:rPr>
              <w:t>credits</w:t>
            </w:r>
          </w:p>
        </w:tc>
        <w:tc>
          <w:tcPr>
            <w:tcW w:w="1410" w:type="dxa"/>
            <w:gridSpan w:val="3"/>
            <w:tcBorders>
              <w:top w:val="single" w:sz="6" w:space="0" w:color="000000"/>
              <w:bottom w:val="double" w:sz="6" w:space="0" w:color="000000"/>
            </w:tcBorders>
            <w:shd w:val="clear" w:color="auto" w:fill="CCEDFF"/>
          </w:tcPr>
          <w:p>
            <w:pPr>
              <w:pStyle w:val="TableParagraph"/>
              <w:tabs>
                <w:tab w:pos="1090" w:val="left" w:leader="none"/>
              </w:tabs>
              <w:spacing w:line="177" w:lineRule="exact" w:before="2"/>
              <w:ind w:left="218"/>
              <w:rPr>
                <w:sz w:val="16"/>
              </w:rPr>
            </w:pPr>
            <w:r>
              <w:rPr>
                <w:spacing w:val="-10"/>
                <w:w w:val="105"/>
                <w:sz w:val="16"/>
              </w:rPr>
              <w:t>$</w:t>
            </w:r>
            <w:r>
              <w:rPr>
                <w:sz w:val="16"/>
              </w:rPr>
              <w:tab/>
            </w:r>
            <w:r>
              <w:rPr>
                <w:spacing w:val="-5"/>
                <w:w w:val="105"/>
                <w:sz w:val="16"/>
              </w:rPr>
              <w:t>443</w:t>
            </w:r>
          </w:p>
        </w:tc>
        <w:tc>
          <w:tcPr>
            <w:tcW w:w="255" w:type="dxa"/>
            <w:gridSpan w:val="2"/>
            <w:tcBorders>
              <w:top w:val="single" w:sz="6" w:space="0" w:color="000000"/>
              <w:bottom w:val="double" w:sz="6" w:space="0" w:color="000000"/>
            </w:tcBorders>
            <w:shd w:val="clear" w:color="auto" w:fill="CCEDFF"/>
          </w:tcPr>
          <w:p>
            <w:pPr>
              <w:pStyle w:val="TableParagraph"/>
              <w:spacing w:line="177" w:lineRule="exact" w:before="2"/>
              <w:ind w:left="158"/>
              <w:rPr>
                <w:sz w:val="16"/>
              </w:rPr>
            </w:pPr>
            <w:r>
              <w:rPr>
                <w:spacing w:val="-10"/>
                <w:w w:val="105"/>
                <w:sz w:val="16"/>
              </w:rPr>
              <w:t>$</w:t>
            </w:r>
          </w:p>
        </w:tc>
        <w:tc>
          <w:tcPr>
            <w:tcW w:w="1284" w:type="dxa"/>
            <w:gridSpan w:val="2"/>
            <w:tcBorders>
              <w:top w:val="single" w:sz="6" w:space="0" w:color="000000"/>
              <w:bottom w:val="double" w:sz="6" w:space="0" w:color="000000"/>
            </w:tcBorders>
            <w:shd w:val="clear" w:color="auto" w:fill="CCEDFF"/>
          </w:tcPr>
          <w:p>
            <w:pPr>
              <w:pStyle w:val="TableParagraph"/>
              <w:spacing w:line="177" w:lineRule="exact" w:before="2"/>
              <w:ind w:right="104"/>
              <w:jc w:val="right"/>
              <w:rPr>
                <w:sz w:val="16"/>
              </w:rPr>
            </w:pPr>
            <w:r>
              <w:rPr>
                <w:spacing w:val="-5"/>
                <w:w w:val="105"/>
                <w:sz w:val="16"/>
              </w:rPr>
              <w:t>116</w:t>
            </w:r>
          </w:p>
        </w:tc>
        <w:tc>
          <w:tcPr>
            <w:tcW w:w="1499" w:type="dxa"/>
            <w:gridSpan w:val="3"/>
            <w:tcBorders>
              <w:top w:val="single" w:sz="6" w:space="0" w:color="000000"/>
              <w:bottom w:val="double" w:sz="6" w:space="0" w:color="000000"/>
            </w:tcBorders>
            <w:shd w:val="clear" w:color="auto" w:fill="CCEDFF"/>
          </w:tcPr>
          <w:p>
            <w:pPr>
              <w:pStyle w:val="TableParagraph"/>
              <w:tabs>
                <w:tab w:pos="1109" w:val="left" w:leader="none"/>
              </w:tabs>
              <w:spacing w:line="177" w:lineRule="exact" w:before="2"/>
              <w:ind w:left="122"/>
              <w:rPr>
                <w:sz w:val="16"/>
              </w:rPr>
            </w:pPr>
            <w:r>
              <w:rPr>
                <w:spacing w:val="-10"/>
                <w:w w:val="105"/>
                <w:sz w:val="16"/>
              </w:rPr>
              <w:t>$</w:t>
            </w:r>
            <w:r>
              <w:rPr>
                <w:sz w:val="16"/>
              </w:rPr>
              <w:tab/>
            </w:r>
            <w:r>
              <w:rPr>
                <w:spacing w:val="-5"/>
                <w:w w:val="105"/>
                <w:sz w:val="16"/>
              </w:rPr>
              <w:t>247</w:t>
            </w:r>
          </w:p>
        </w:tc>
        <w:tc>
          <w:tcPr>
            <w:tcW w:w="1398" w:type="dxa"/>
            <w:tcBorders>
              <w:top w:val="single" w:sz="6" w:space="0" w:color="000000"/>
              <w:bottom w:val="double" w:sz="6" w:space="0" w:color="000000"/>
            </w:tcBorders>
            <w:shd w:val="clear" w:color="auto" w:fill="CCEDFF"/>
          </w:tcPr>
          <w:p>
            <w:pPr>
              <w:pStyle w:val="TableParagraph"/>
              <w:tabs>
                <w:tab w:pos="980" w:val="left" w:leader="none"/>
              </w:tabs>
              <w:spacing w:line="177" w:lineRule="exact" w:before="2"/>
              <w:ind w:right="72"/>
              <w:jc w:val="center"/>
              <w:rPr>
                <w:sz w:val="16"/>
              </w:rPr>
            </w:pPr>
            <w:r>
              <w:rPr>
                <w:spacing w:val="-10"/>
                <w:w w:val="105"/>
                <w:sz w:val="16"/>
              </w:rPr>
              <w:t>$</w:t>
            </w:r>
            <w:r>
              <w:rPr>
                <w:sz w:val="16"/>
              </w:rPr>
              <w:tab/>
            </w:r>
            <w:r>
              <w:rPr>
                <w:spacing w:val="-5"/>
                <w:w w:val="105"/>
                <w:sz w:val="16"/>
              </w:rPr>
              <w:t>21</w:t>
            </w:r>
          </w:p>
        </w:tc>
        <w:tc>
          <w:tcPr>
            <w:tcW w:w="1326" w:type="dxa"/>
            <w:gridSpan w:val="3"/>
            <w:tcBorders>
              <w:top w:val="single" w:sz="6" w:space="0" w:color="000000"/>
              <w:bottom w:val="double" w:sz="6" w:space="0" w:color="000000"/>
            </w:tcBorders>
            <w:shd w:val="clear" w:color="auto" w:fill="CCEDFF"/>
          </w:tcPr>
          <w:p>
            <w:pPr>
              <w:pStyle w:val="TableParagraph"/>
              <w:tabs>
                <w:tab w:pos="951" w:val="left" w:leader="none"/>
              </w:tabs>
              <w:spacing w:line="177" w:lineRule="exact" w:before="2"/>
              <w:ind w:left="66"/>
              <w:rPr>
                <w:sz w:val="16"/>
              </w:rPr>
            </w:pPr>
            <w:r>
              <w:rPr>
                <w:spacing w:val="-10"/>
                <w:w w:val="105"/>
                <w:sz w:val="16"/>
              </w:rPr>
              <w:t>$</w:t>
            </w:r>
            <w:r>
              <w:rPr>
                <w:sz w:val="16"/>
              </w:rPr>
              <w:tab/>
            </w:r>
            <w:r>
              <w:rPr>
                <w:spacing w:val="-5"/>
                <w:w w:val="105"/>
                <w:sz w:val="16"/>
              </w:rPr>
              <w:t>827</w:t>
            </w:r>
          </w:p>
        </w:tc>
      </w:tr>
      <w:tr>
        <w:trPr>
          <w:trHeight w:val="428" w:hRule="atLeast"/>
        </w:trPr>
        <w:tc>
          <w:tcPr>
            <w:tcW w:w="11527" w:type="dxa"/>
            <w:gridSpan w:val="15"/>
          </w:tcPr>
          <w:p>
            <w:pPr>
              <w:pStyle w:val="TableParagraph"/>
              <w:spacing w:before="4" w:after="1"/>
              <w:rPr>
                <w:b/>
                <w:sz w:val="17"/>
              </w:rPr>
            </w:pPr>
          </w:p>
          <w:p>
            <w:pPr>
              <w:pStyle w:val="TableParagraph"/>
              <w:spacing w:line="25" w:lineRule="exact"/>
              <w:ind w:right="-44"/>
              <w:rPr>
                <w:sz w:val="2"/>
              </w:rPr>
            </w:pPr>
            <w:r>
              <w:rPr>
                <w:position w:val="0"/>
                <w:sz w:val="2"/>
              </w:rPr>
              <mc:AlternateContent>
                <mc:Choice Requires="wps">
                  <w:drawing>
                    <wp:inline distT="0" distB="0" distL="0" distR="0">
                      <wp:extent cx="7312659" cy="16510"/>
                      <wp:effectExtent l="0" t="0" r="0" b="0"/>
                      <wp:docPr id="358" name="Group 358"/>
                      <wp:cNvGraphicFramePr>
                        <a:graphicFrameLocks/>
                      </wp:cNvGraphicFramePr>
                      <a:graphic>
                        <a:graphicData uri="http://schemas.microsoft.com/office/word/2010/wordprocessingGroup">
                          <wpg:wgp>
                            <wpg:cNvPr id="358" name="Group 358"/>
                            <wpg:cNvGrpSpPr/>
                            <wpg:grpSpPr>
                              <a:xfrm>
                                <a:off x="0" y="0"/>
                                <a:ext cx="7312659" cy="16510"/>
                                <a:chExt cx="7312659" cy="16510"/>
                              </a:xfrm>
                            </wpg:grpSpPr>
                            <wps:wsp>
                              <wps:cNvPr id="359" name="Graphic 359"/>
                              <wps:cNvSpPr/>
                              <wps:spPr>
                                <a:xfrm>
                                  <a:off x="-9" y="4"/>
                                  <a:ext cx="7312659" cy="16510"/>
                                </a:xfrm>
                                <a:custGeom>
                                  <a:avLst/>
                                  <a:gdLst/>
                                  <a:ahLst/>
                                  <a:cxnLst/>
                                  <a:rect l="l" t="t" r="r" b="b"/>
                                  <a:pathLst>
                                    <a:path w="7312659" h="16510">
                                      <a:moveTo>
                                        <a:pt x="7312342" y="0"/>
                                      </a:moveTo>
                                      <a:lnTo>
                                        <a:pt x="7239546" y="0"/>
                                      </a:lnTo>
                                      <a:lnTo>
                                        <a:pt x="2855379" y="0"/>
                                      </a:lnTo>
                                      <a:lnTo>
                                        <a:pt x="2782570" y="0"/>
                                      </a:lnTo>
                                      <a:lnTo>
                                        <a:pt x="0" y="0"/>
                                      </a:lnTo>
                                      <a:lnTo>
                                        <a:pt x="0" y="16179"/>
                                      </a:lnTo>
                                      <a:lnTo>
                                        <a:pt x="2782570" y="16179"/>
                                      </a:lnTo>
                                      <a:lnTo>
                                        <a:pt x="2855379"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pt;mso-position-horizontal-relative:char;mso-position-vertical-relative:line" id="docshapegroup357" coordorigin="0,0" coordsize="11516,26">
                      <v:shape style="position:absolute;left:-1;top:0;width:11516;height:26" id="docshape358" coordorigin="0,0" coordsize="11516,26" path="m11515,0l11401,0,4497,0,4382,0,0,0,0,25,4382,25,4497,25,11401,25,11515,25,11515,0xe" filled="true" fillcolor="#000000" stroked="false">
                        <v:path arrowok="t"/>
                        <v:fill type="solid"/>
                      </v:shape>
                    </v:group>
                  </w:pict>
                </mc:Fallback>
              </mc:AlternateContent>
            </w:r>
            <w:r>
              <w:rPr>
                <w:position w:val="0"/>
                <w:sz w:val="2"/>
              </w:rPr>
            </w:r>
          </w:p>
          <w:p>
            <w:pPr>
              <w:pStyle w:val="TableParagraph"/>
              <w:spacing w:line="179" w:lineRule="exact" w:before="4"/>
              <w:ind w:left="6897"/>
              <w:rPr>
                <w:sz w:val="16"/>
              </w:rPr>
            </w:pPr>
            <w:r>
              <w:rPr>
                <w:w w:val="105"/>
                <w:sz w:val="16"/>
              </w:rPr>
              <w:t>Year</w:t>
            </w:r>
            <w:r>
              <w:rPr>
                <w:spacing w:val="-11"/>
                <w:w w:val="105"/>
                <w:sz w:val="16"/>
              </w:rPr>
              <w:t> </w:t>
            </w:r>
            <w:r>
              <w:rPr>
                <w:w w:val="105"/>
                <w:sz w:val="16"/>
              </w:rPr>
              <w:t>ended</w:t>
            </w:r>
            <w:r>
              <w:rPr>
                <w:spacing w:val="-9"/>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2019</w:t>
            </w:r>
          </w:p>
        </w:tc>
      </w:tr>
      <w:tr>
        <w:trPr>
          <w:trHeight w:val="809" w:hRule="atLeast"/>
        </w:trPr>
        <w:tc>
          <w:tcPr>
            <w:tcW w:w="4355" w:type="dxa"/>
            <w:tcBorders>
              <w:top w:val="single" w:sz="6" w:space="0" w:color="000000"/>
            </w:tcBorders>
          </w:tcPr>
          <w:p>
            <w:pPr>
              <w:pStyle w:val="TableParagraph"/>
              <w:rPr>
                <w:sz w:val="16"/>
              </w:rPr>
            </w:pPr>
          </w:p>
        </w:tc>
        <w:tc>
          <w:tcPr>
            <w:tcW w:w="284" w:type="dxa"/>
            <w:tcBorders>
              <w:top w:val="single" w:sz="6" w:space="0" w:color="000000"/>
            </w:tcBorders>
          </w:tcPr>
          <w:p>
            <w:pPr>
              <w:pStyle w:val="TableParagraph"/>
              <w:rPr>
                <w:sz w:val="16"/>
              </w:rPr>
            </w:pPr>
          </w:p>
        </w:tc>
        <w:tc>
          <w:tcPr>
            <w:tcW w:w="782" w:type="dxa"/>
            <w:tcBorders>
              <w:top w:val="single" w:sz="6" w:space="0" w:color="000000"/>
            </w:tcBorders>
          </w:tcPr>
          <w:p>
            <w:pPr>
              <w:pStyle w:val="TableParagraph"/>
              <w:rPr>
                <w:b/>
                <w:sz w:val="16"/>
              </w:rPr>
            </w:pPr>
          </w:p>
          <w:p>
            <w:pPr>
              <w:pStyle w:val="TableParagraph"/>
              <w:rPr>
                <w:b/>
                <w:sz w:val="16"/>
              </w:rPr>
            </w:pPr>
          </w:p>
          <w:p>
            <w:pPr>
              <w:pStyle w:val="TableParagraph"/>
              <w:spacing w:before="61"/>
              <w:rPr>
                <w:b/>
                <w:sz w:val="16"/>
              </w:rPr>
            </w:pPr>
          </w:p>
          <w:p>
            <w:pPr>
              <w:pStyle w:val="TableParagraph"/>
              <w:spacing w:line="175" w:lineRule="exact" w:before="1"/>
              <w:ind w:left="40"/>
              <w:jc w:val="center"/>
              <w:rPr>
                <w:sz w:val="16"/>
              </w:rPr>
            </w:pPr>
            <w:r>
              <w:rPr>
                <w:spacing w:val="-2"/>
                <w:w w:val="105"/>
                <w:sz w:val="16"/>
              </w:rPr>
              <w:t>Gross</w:t>
            </w:r>
          </w:p>
        </w:tc>
        <w:tc>
          <w:tcPr>
            <w:tcW w:w="344" w:type="dxa"/>
            <w:tcBorders>
              <w:top w:val="single" w:sz="6" w:space="0" w:color="000000"/>
            </w:tcBorders>
          </w:tcPr>
          <w:p>
            <w:pPr>
              <w:pStyle w:val="TableParagraph"/>
              <w:rPr>
                <w:sz w:val="16"/>
              </w:rPr>
            </w:pPr>
          </w:p>
        </w:tc>
        <w:tc>
          <w:tcPr>
            <w:tcW w:w="157" w:type="dxa"/>
            <w:tcBorders>
              <w:top w:val="single" w:sz="6" w:space="0" w:color="000000"/>
            </w:tcBorders>
          </w:tcPr>
          <w:p>
            <w:pPr>
              <w:pStyle w:val="TableParagraph"/>
              <w:rPr>
                <w:sz w:val="16"/>
              </w:rPr>
            </w:pPr>
          </w:p>
        </w:tc>
        <w:tc>
          <w:tcPr>
            <w:tcW w:w="1073" w:type="dxa"/>
            <w:gridSpan w:val="2"/>
            <w:tcBorders>
              <w:top w:val="single" w:sz="6" w:space="0" w:color="000000"/>
            </w:tcBorders>
          </w:tcPr>
          <w:p>
            <w:pPr>
              <w:pStyle w:val="TableParagraph"/>
              <w:spacing w:line="266" w:lineRule="auto" w:before="2"/>
              <w:ind w:left="245" w:right="156"/>
              <w:jc w:val="center"/>
              <w:rPr>
                <w:sz w:val="16"/>
              </w:rPr>
            </w:pPr>
            <w:r>
              <w:rPr>
                <w:spacing w:val="-4"/>
                <w:w w:val="105"/>
                <w:sz w:val="16"/>
              </w:rPr>
              <w:t>Selling,</w:t>
            </w:r>
            <w:r>
              <w:rPr>
                <w:spacing w:val="40"/>
                <w:w w:val="105"/>
                <w:sz w:val="16"/>
              </w:rPr>
              <w:t> </w:t>
            </w:r>
            <w:r>
              <w:rPr>
                <w:spacing w:val="-2"/>
                <w:w w:val="105"/>
                <w:sz w:val="16"/>
              </w:rPr>
              <w:t>general</w:t>
            </w:r>
            <w:r>
              <w:rPr>
                <w:spacing w:val="40"/>
                <w:w w:val="105"/>
                <w:sz w:val="16"/>
              </w:rPr>
              <w:t> </w:t>
            </w:r>
            <w:r>
              <w:rPr>
                <w:spacing w:val="-4"/>
                <w:w w:val="105"/>
                <w:sz w:val="16"/>
              </w:rPr>
              <w:t>and</w:t>
            </w:r>
          </w:p>
          <w:p>
            <w:pPr>
              <w:pStyle w:val="TableParagraph"/>
              <w:spacing w:line="174" w:lineRule="exact"/>
              <w:ind w:left="87"/>
              <w:jc w:val="center"/>
              <w:rPr>
                <w:sz w:val="16"/>
              </w:rPr>
            </w:pPr>
            <w:r>
              <w:rPr>
                <w:spacing w:val="-2"/>
                <w:w w:val="105"/>
                <w:sz w:val="16"/>
              </w:rPr>
              <w:t>administrative</w:t>
            </w:r>
          </w:p>
        </w:tc>
        <w:tc>
          <w:tcPr>
            <w:tcW w:w="309" w:type="dxa"/>
            <w:tcBorders>
              <w:top w:val="single" w:sz="6" w:space="0" w:color="000000"/>
            </w:tcBorders>
          </w:tcPr>
          <w:p>
            <w:pPr>
              <w:pStyle w:val="TableParagraph"/>
              <w:rPr>
                <w:sz w:val="16"/>
              </w:rPr>
            </w:pPr>
          </w:p>
        </w:tc>
        <w:tc>
          <w:tcPr>
            <w:tcW w:w="255" w:type="dxa"/>
            <w:tcBorders>
              <w:top w:val="single" w:sz="6" w:space="0" w:color="000000"/>
            </w:tcBorders>
          </w:tcPr>
          <w:p>
            <w:pPr>
              <w:pStyle w:val="TableParagraph"/>
              <w:rPr>
                <w:sz w:val="16"/>
              </w:rPr>
            </w:pPr>
          </w:p>
        </w:tc>
        <w:tc>
          <w:tcPr>
            <w:tcW w:w="954" w:type="dxa"/>
            <w:tcBorders>
              <w:top w:val="single" w:sz="6" w:space="0" w:color="000000"/>
            </w:tcBorders>
          </w:tcPr>
          <w:p>
            <w:pPr>
              <w:pStyle w:val="TableParagraph"/>
              <w:spacing w:line="266" w:lineRule="auto" w:before="2"/>
              <w:ind w:left="63" w:right="32" w:hanging="2"/>
              <w:jc w:val="center"/>
              <w:rPr>
                <w:sz w:val="16"/>
              </w:rPr>
            </w:pPr>
            <w:r>
              <w:rPr>
                <w:spacing w:val="-2"/>
                <w:w w:val="105"/>
                <w:sz w:val="16"/>
              </w:rPr>
              <w:t>Research,</w:t>
            </w:r>
            <w:r>
              <w:rPr>
                <w:spacing w:val="40"/>
                <w:w w:val="105"/>
                <w:sz w:val="16"/>
              </w:rPr>
              <w:t> </w:t>
            </w:r>
            <w:r>
              <w:rPr>
                <w:spacing w:val="-2"/>
                <w:sz w:val="16"/>
              </w:rPr>
              <w:t>development</w:t>
            </w:r>
            <w:r>
              <w:rPr>
                <w:spacing w:val="40"/>
                <w:w w:val="105"/>
                <w:sz w:val="16"/>
              </w:rPr>
              <w:t> </w:t>
            </w:r>
            <w:r>
              <w:rPr>
                <w:spacing w:val="-4"/>
                <w:w w:val="105"/>
                <w:sz w:val="16"/>
              </w:rPr>
              <w:t>and</w:t>
            </w:r>
          </w:p>
          <w:p>
            <w:pPr>
              <w:pStyle w:val="TableParagraph"/>
              <w:spacing w:line="174" w:lineRule="exact"/>
              <w:ind w:left="28"/>
              <w:jc w:val="center"/>
              <w:rPr>
                <w:sz w:val="16"/>
              </w:rPr>
            </w:pPr>
            <w:r>
              <w:rPr>
                <w:spacing w:val="-2"/>
                <w:w w:val="105"/>
                <w:sz w:val="16"/>
              </w:rPr>
              <w:t>engineering</w:t>
            </w:r>
          </w:p>
        </w:tc>
        <w:tc>
          <w:tcPr>
            <w:tcW w:w="290" w:type="dxa"/>
            <w:tcBorders>
              <w:top w:val="single" w:sz="6" w:space="0" w:color="000000"/>
            </w:tcBorders>
          </w:tcPr>
          <w:p>
            <w:pPr>
              <w:pStyle w:val="TableParagraph"/>
              <w:rPr>
                <w:sz w:val="16"/>
              </w:rPr>
            </w:pPr>
          </w:p>
        </w:tc>
        <w:tc>
          <w:tcPr>
            <w:tcW w:w="1398" w:type="dxa"/>
            <w:tcBorders>
              <w:top w:val="single" w:sz="6" w:space="0" w:color="000000"/>
            </w:tcBorders>
          </w:tcPr>
          <w:p>
            <w:pPr>
              <w:pStyle w:val="TableParagraph"/>
              <w:rPr>
                <w:sz w:val="16"/>
              </w:rPr>
            </w:pPr>
          </w:p>
        </w:tc>
        <w:tc>
          <w:tcPr>
            <w:tcW w:w="332" w:type="dxa"/>
            <w:tcBorders>
              <w:top w:val="single" w:sz="6" w:space="0" w:color="000000"/>
            </w:tcBorders>
          </w:tcPr>
          <w:p>
            <w:pPr>
              <w:pStyle w:val="TableParagraph"/>
              <w:rPr>
                <w:sz w:val="16"/>
              </w:rPr>
            </w:pPr>
          </w:p>
        </w:tc>
        <w:tc>
          <w:tcPr>
            <w:tcW w:w="606" w:type="dxa"/>
            <w:tcBorders>
              <w:top w:val="single" w:sz="6" w:space="0" w:color="000000"/>
            </w:tcBorders>
          </w:tcPr>
          <w:p>
            <w:pPr>
              <w:pStyle w:val="TableParagraph"/>
              <w:rPr>
                <w:sz w:val="16"/>
              </w:rPr>
            </w:pPr>
          </w:p>
        </w:tc>
        <w:tc>
          <w:tcPr>
            <w:tcW w:w="388" w:type="dxa"/>
            <w:tcBorders>
              <w:top w:val="single" w:sz="6" w:space="0" w:color="000000"/>
            </w:tcBorders>
          </w:tcPr>
          <w:p>
            <w:pPr>
              <w:pStyle w:val="TableParagraph"/>
              <w:rPr>
                <w:sz w:val="16"/>
              </w:rPr>
            </w:pPr>
          </w:p>
        </w:tc>
      </w:tr>
      <w:tr>
        <w:trPr>
          <w:trHeight w:val="219" w:hRule="atLeast"/>
        </w:trPr>
        <w:tc>
          <w:tcPr>
            <w:tcW w:w="4355" w:type="dxa"/>
          </w:tcPr>
          <w:p>
            <w:pPr>
              <w:pStyle w:val="TableParagraph"/>
              <w:rPr>
                <w:sz w:val="14"/>
              </w:rPr>
            </w:pPr>
          </w:p>
        </w:tc>
        <w:tc>
          <w:tcPr>
            <w:tcW w:w="284" w:type="dxa"/>
          </w:tcPr>
          <w:p>
            <w:pPr>
              <w:pStyle w:val="TableParagraph"/>
              <w:rPr>
                <w:sz w:val="14"/>
              </w:rPr>
            </w:pPr>
          </w:p>
        </w:tc>
        <w:tc>
          <w:tcPr>
            <w:tcW w:w="782" w:type="dxa"/>
          </w:tcPr>
          <w:p>
            <w:pPr>
              <w:pStyle w:val="TableParagraph"/>
              <w:spacing w:before="8"/>
              <w:ind w:left="40"/>
              <w:jc w:val="center"/>
              <w:rPr>
                <w:sz w:val="16"/>
              </w:rPr>
            </w:pPr>
            <w:r>
              <w:rPr>
                <w:w w:val="105"/>
                <w:sz w:val="16"/>
              </w:rPr>
              <w:t>margin</w:t>
            </w:r>
            <w:r>
              <w:rPr>
                <w:spacing w:val="-11"/>
                <w:w w:val="105"/>
                <w:sz w:val="16"/>
              </w:rPr>
              <w:t> </w:t>
            </w:r>
            <w:r>
              <w:rPr>
                <w:spacing w:val="-5"/>
                <w:w w:val="105"/>
                <w:sz w:val="16"/>
              </w:rPr>
              <w:t>(1)</w:t>
            </w:r>
          </w:p>
        </w:tc>
        <w:tc>
          <w:tcPr>
            <w:tcW w:w="344" w:type="dxa"/>
          </w:tcPr>
          <w:p>
            <w:pPr>
              <w:pStyle w:val="TableParagraph"/>
              <w:rPr>
                <w:sz w:val="14"/>
              </w:rPr>
            </w:pPr>
          </w:p>
        </w:tc>
        <w:tc>
          <w:tcPr>
            <w:tcW w:w="157" w:type="dxa"/>
          </w:tcPr>
          <w:p>
            <w:pPr>
              <w:pStyle w:val="TableParagraph"/>
              <w:rPr>
                <w:sz w:val="14"/>
              </w:rPr>
            </w:pPr>
          </w:p>
        </w:tc>
        <w:tc>
          <w:tcPr>
            <w:tcW w:w="1073" w:type="dxa"/>
            <w:gridSpan w:val="2"/>
          </w:tcPr>
          <w:p>
            <w:pPr>
              <w:pStyle w:val="TableParagraph"/>
              <w:spacing w:before="8"/>
              <w:ind w:left="281"/>
              <w:rPr>
                <w:sz w:val="16"/>
              </w:rPr>
            </w:pPr>
            <w:r>
              <w:rPr>
                <w:spacing w:val="-2"/>
                <w:w w:val="105"/>
                <w:sz w:val="16"/>
              </w:rPr>
              <w:t>expenses</w:t>
            </w:r>
          </w:p>
        </w:tc>
        <w:tc>
          <w:tcPr>
            <w:tcW w:w="309" w:type="dxa"/>
          </w:tcPr>
          <w:p>
            <w:pPr>
              <w:pStyle w:val="TableParagraph"/>
              <w:rPr>
                <w:sz w:val="14"/>
              </w:rPr>
            </w:pPr>
          </w:p>
        </w:tc>
        <w:tc>
          <w:tcPr>
            <w:tcW w:w="255" w:type="dxa"/>
          </w:tcPr>
          <w:p>
            <w:pPr>
              <w:pStyle w:val="TableParagraph"/>
              <w:rPr>
                <w:sz w:val="14"/>
              </w:rPr>
            </w:pPr>
          </w:p>
        </w:tc>
        <w:tc>
          <w:tcPr>
            <w:tcW w:w="954" w:type="dxa"/>
          </w:tcPr>
          <w:p>
            <w:pPr>
              <w:pStyle w:val="TableParagraph"/>
              <w:spacing w:before="8"/>
              <w:ind w:left="192"/>
              <w:rPr>
                <w:sz w:val="16"/>
              </w:rPr>
            </w:pPr>
            <w:r>
              <w:rPr>
                <w:spacing w:val="-2"/>
                <w:w w:val="105"/>
                <w:sz w:val="16"/>
              </w:rPr>
              <w:t>expenses</w:t>
            </w:r>
          </w:p>
        </w:tc>
        <w:tc>
          <w:tcPr>
            <w:tcW w:w="290" w:type="dxa"/>
          </w:tcPr>
          <w:p>
            <w:pPr>
              <w:pStyle w:val="TableParagraph"/>
              <w:rPr>
                <w:sz w:val="14"/>
              </w:rPr>
            </w:pPr>
          </w:p>
        </w:tc>
        <w:tc>
          <w:tcPr>
            <w:tcW w:w="1398" w:type="dxa"/>
          </w:tcPr>
          <w:p>
            <w:pPr>
              <w:pStyle w:val="TableParagraph"/>
              <w:spacing w:before="8"/>
              <w:ind w:right="10"/>
              <w:jc w:val="center"/>
              <w:rPr>
                <w:sz w:val="16"/>
              </w:rPr>
            </w:pPr>
            <w:r>
              <w:rPr>
                <w:spacing w:val="-2"/>
                <w:w w:val="105"/>
                <w:sz w:val="16"/>
              </w:rPr>
              <w:t>Other</w:t>
            </w:r>
          </w:p>
        </w:tc>
        <w:tc>
          <w:tcPr>
            <w:tcW w:w="332" w:type="dxa"/>
          </w:tcPr>
          <w:p>
            <w:pPr>
              <w:pStyle w:val="TableParagraph"/>
              <w:rPr>
                <w:sz w:val="14"/>
              </w:rPr>
            </w:pPr>
          </w:p>
        </w:tc>
        <w:tc>
          <w:tcPr>
            <w:tcW w:w="606" w:type="dxa"/>
          </w:tcPr>
          <w:p>
            <w:pPr>
              <w:pStyle w:val="TableParagraph"/>
              <w:spacing w:before="8"/>
              <w:ind w:left="138"/>
              <w:rPr>
                <w:sz w:val="16"/>
              </w:rPr>
            </w:pPr>
            <w:r>
              <w:rPr>
                <w:spacing w:val="-4"/>
                <w:w w:val="105"/>
                <w:sz w:val="16"/>
              </w:rPr>
              <w:t>Total</w:t>
            </w:r>
          </w:p>
        </w:tc>
        <w:tc>
          <w:tcPr>
            <w:tcW w:w="388" w:type="dxa"/>
          </w:tcPr>
          <w:p>
            <w:pPr>
              <w:pStyle w:val="TableParagraph"/>
              <w:rPr>
                <w:sz w:val="14"/>
              </w:rPr>
            </w:pPr>
          </w:p>
        </w:tc>
      </w:tr>
      <w:tr>
        <w:trPr>
          <w:trHeight w:val="191" w:hRule="atLeast"/>
        </w:trPr>
        <w:tc>
          <w:tcPr>
            <w:tcW w:w="4355" w:type="dxa"/>
            <w:tcBorders>
              <w:top w:val="single" w:sz="6" w:space="0" w:color="000000"/>
            </w:tcBorders>
            <w:shd w:val="clear" w:color="auto" w:fill="CCEDFF"/>
          </w:tcPr>
          <w:p>
            <w:pPr>
              <w:pStyle w:val="TableParagraph"/>
              <w:spacing w:line="180" w:lineRule="exact" w:before="2"/>
              <w:rPr>
                <w:sz w:val="16"/>
              </w:rPr>
            </w:pPr>
            <w:r>
              <w:rPr>
                <w:spacing w:val="-2"/>
                <w:w w:val="105"/>
                <w:sz w:val="16"/>
              </w:rPr>
              <w:t>Severance</w:t>
            </w:r>
          </w:p>
        </w:tc>
        <w:tc>
          <w:tcPr>
            <w:tcW w:w="1410" w:type="dxa"/>
            <w:gridSpan w:val="3"/>
            <w:tcBorders>
              <w:top w:val="single" w:sz="6" w:space="0" w:color="000000"/>
            </w:tcBorders>
            <w:shd w:val="clear" w:color="auto" w:fill="CCEDFF"/>
          </w:tcPr>
          <w:p>
            <w:pPr>
              <w:pStyle w:val="TableParagraph"/>
              <w:tabs>
                <w:tab w:pos="1084" w:val="left" w:leader="none"/>
              </w:tabs>
              <w:spacing w:line="180" w:lineRule="exact" w:before="2"/>
              <w:ind w:left="141"/>
              <w:rPr>
                <w:sz w:val="16"/>
              </w:rPr>
            </w:pPr>
            <w:r>
              <w:rPr>
                <w:spacing w:val="-10"/>
                <w:w w:val="105"/>
                <w:sz w:val="16"/>
              </w:rPr>
              <w:t>$</w:t>
            </w:r>
            <w:r>
              <w:rPr>
                <w:sz w:val="16"/>
              </w:rPr>
              <w:tab/>
            </w:r>
            <w:r>
              <w:rPr>
                <w:spacing w:val="-5"/>
                <w:w w:val="105"/>
                <w:sz w:val="16"/>
              </w:rPr>
              <w:t>30</w:t>
            </w:r>
          </w:p>
        </w:tc>
        <w:tc>
          <w:tcPr>
            <w:tcW w:w="157" w:type="dxa"/>
            <w:tcBorders>
              <w:top w:val="single" w:sz="6" w:space="0" w:color="000000"/>
            </w:tcBorders>
            <w:shd w:val="clear" w:color="auto" w:fill="CCEDFF"/>
          </w:tcPr>
          <w:p>
            <w:pPr>
              <w:pStyle w:val="TableParagraph"/>
              <w:spacing w:line="180" w:lineRule="exact" w:before="2"/>
              <w:ind w:left="64"/>
              <w:jc w:val="center"/>
              <w:rPr>
                <w:sz w:val="16"/>
              </w:rPr>
            </w:pPr>
            <w:r>
              <w:rPr>
                <w:spacing w:val="-10"/>
                <w:w w:val="105"/>
                <w:sz w:val="16"/>
              </w:rPr>
              <w:t>$</w:t>
            </w:r>
          </w:p>
        </w:tc>
        <w:tc>
          <w:tcPr>
            <w:tcW w:w="1382" w:type="dxa"/>
            <w:gridSpan w:val="3"/>
            <w:tcBorders>
              <w:top w:val="single" w:sz="6" w:space="0" w:color="000000"/>
            </w:tcBorders>
            <w:shd w:val="clear" w:color="auto" w:fill="CCEDFF"/>
          </w:tcPr>
          <w:p>
            <w:pPr>
              <w:pStyle w:val="TableParagraph"/>
              <w:spacing w:line="180" w:lineRule="exact" w:before="2"/>
              <w:ind w:right="130"/>
              <w:jc w:val="right"/>
              <w:rPr>
                <w:sz w:val="16"/>
              </w:rPr>
            </w:pPr>
            <w:r>
              <w:rPr>
                <w:spacing w:val="-5"/>
                <w:w w:val="105"/>
                <w:sz w:val="16"/>
              </w:rPr>
              <w:t>20</w:t>
            </w:r>
          </w:p>
        </w:tc>
        <w:tc>
          <w:tcPr>
            <w:tcW w:w="255" w:type="dxa"/>
            <w:tcBorders>
              <w:top w:val="single" w:sz="6" w:space="0" w:color="000000"/>
            </w:tcBorders>
            <w:shd w:val="clear" w:color="auto" w:fill="CCEDFF"/>
          </w:tcPr>
          <w:p>
            <w:pPr>
              <w:pStyle w:val="TableParagraph"/>
              <w:spacing w:line="180" w:lineRule="exact" w:before="2"/>
              <w:ind w:left="21"/>
              <w:jc w:val="center"/>
              <w:rPr>
                <w:sz w:val="16"/>
              </w:rPr>
            </w:pPr>
            <w:r>
              <w:rPr>
                <w:spacing w:val="-10"/>
                <w:w w:val="105"/>
                <w:sz w:val="16"/>
              </w:rPr>
              <w:t>$</w:t>
            </w:r>
          </w:p>
        </w:tc>
        <w:tc>
          <w:tcPr>
            <w:tcW w:w="1244" w:type="dxa"/>
            <w:gridSpan w:val="2"/>
            <w:tcBorders>
              <w:top w:val="single" w:sz="6" w:space="0" w:color="000000"/>
            </w:tcBorders>
            <w:shd w:val="clear" w:color="auto" w:fill="CCEDFF"/>
          </w:tcPr>
          <w:p>
            <w:pPr>
              <w:pStyle w:val="TableParagraph"/>
              <w:spacing w:line="180" w:lineRule="exact" w:before="2"/>
              <w:ind w:right="100"/>
              <w:jc w:val="right"/>
              <w:rPr>
                <w:sz w:val="16"/>
              </w:rPr>
            </w:pPr>
            <w:r>
              <w:rPr>
                <w:spacing w:val="-5"/>
                <w:w w:val="105"/>
                <w:sz w:val="16"/>
              </w:rPr>
              <w:t>13</w:t>
            </w:r>
          </w:p>
        </w:tc>
        <w:tc>
          <w:tcPr>
            <w:tcW w:w="1398" w:type="dxa"/>
            <w:tcBorders>
              <w:top w:val="single" w:sz="6" w:space="0" w:color="000000"/>
            </w:tcBorders>
            <w:shd w:val="clear" w:color="auto" w:fill="CCEDFF"/>
          </w:tcPr>
          <w:p>
            <w:pPr>
              <w:pStyle w:val="TableParagraph"/>
              <w:rPr>
                <w:sz w:val="14"/>
              </w:rPr>
            </w:pPr>
          </w:p>
        </w:tc>
        <w:tc>
          <w:tcPr>
            <w:tcW w:w="1326" w:type="dxa"/>
            <w:gridSpan w:val="3"/>
            <w:tcBorders>
              <w:top w:val="single" w:sz="6" w:space="0" w:color="000000"/>
            </w:tcBorders>
            <w:shd w:val="clear" w:color="auto" w:fill="CCEDFF"/>
          </w:tcPr>
          <w:p>
            <w:pPr>
              <w:pStyle w:val="TableParagraph"/>
              <w:tabs>
                <w:tab w:pos="1034" w:val="left" w:leader="none"/>
              </w:tabs>
              <w:spacing w:line="180" w:lineRule="exact" w:before="2"/>
              <w:ind w:left="91"/>
              <w:rPr>
                <w:sz w:val="16"/>
              </w:rPr>
            </w:pPr>
            <w:r>
              <w:rPr>
                <w:spacing w:val="-10"/>
                <w:w w:val="105"/>
                <w:sz w:val="16"/>
              </w:rPr>
              <w:t>$</w:t>
            </w:r>
            <w:r>
              <w:rPr>
                <w:sz w:val="16"/>
              </w:rPr>
              <w:tab/>
            </w:r>
            <w:r>
              <w:rPr>
                <w:spacing w:val="-5"/>
                <w:w w:val="105"/>
                <w:sz w:val="16"/>
              </w:rPr>
              <w:t>63</w:t>
            </w:r>
          </w:p>
        </w:tc>
      </w:tr>
      <w:tr>
        <w:trPr>
          <w:trHeight w:val="203" w:hRule="atLeast"/>
        </w:trPr>
        <w:tc>
          <w:tcPr>
            <w:tcW w:w="4355" w:type="dxa"/>
          </w:tcPr>
          <w:p>
            <w:pPr>
              <w:pStyle w:val="TableParagraph"/>
              <w:spacing w:line="180" w:lineRule="exact" w:before="3"/>
              <w:rPr>
                <w:sz w:val="16"/>
              </w:rPr>
            </w:pPr>
            <w:r>
              <w:rPr>
                <w:sz w:val="16"/>
              </w:rPr>
              <w:t>Capacity</w:t>
            </w:r>
            <w:r>
              <w:rPr>
                <w:spacing w:val="18"/>
                <w:sz w:val="16"/>
              </w:rPr>
              <w:t> </w:t>
            </w:r>
            <w:r>
              <w:rPr>
                <w:spacing w:val="-2"/>
                <w:sz w:val="16"/>
              </w:rPr>
              <w:t>realignment</w:t>
            </w:r>
          </w:p>
        </w:tc>
        <w:tc>
          <w:tcPr>
            <w:tcW w:w="1410" w:type="dxa"/>
            <w:gridSpan w:val="3"/>
          </w:tcPr>
          <w:p>
            <w:pPr>
              <w:pStyle w:val="TableParagraph"/>
              <w:spacing w:line="180" w:lineRule="exact" w:before="3"/>
              <w:ind w:right="158"/>
              <w:jc w:val="right"/>
              <w:rPr>
                <w:sz w:val="16"/>
              </w:rPr>
            </w:pPr>
            <w:r>
              <w:rPr>
                <w:spacing w:val="-5"/>
                <w:w w:val="105"/>
                <w:sz w:val="16"/>
              </w:rPr>
              <w:t>298</w:t>
            </w:r>
          </w:p>
        </w:tc>
        <w:tc>
          <w:tcPr>
            <w:tcW w:w="157" w:type="dxa"/>
          </w:tcPr>
          <w:p>
            <w:pPr>
              <w:pStyle w:val="TableParagraph"/>
              <w:rPr>
                <w:sz w:val="14"/>
              </w:rPr>
            </w:pPr>
          </w:p>
        </w:tc>
        <w:tc>
          <w:tcPr>
            <w:tcW w:w="1382" w:type="dxa"/>
            <w:gridSpan w:val="3"/>
          </w:tcPr>
          <w:p>
            <w:pPr>
              <w:pStyle w:val="TableParagraph"/>
              <w:rPr>
                <w:sz w:val="14"/>
              </w:rPr>
            </w:pPr>
          </w:p>
        </w:tc>
        <w:tc>
          <w:tcPr>
            <w:tcW w:w="255" w:type="dxa"/>
          </w:tcPr>
          <w:p>
            <w:pPr>
              <w:pStyle w:val="TableParagraph"/>
              <w:rPr>
                <w:sz w:val="14"/>
              </w:rPr>
            </w:pPr>
          </w:p>
        </w:tc>
        <w:tc>
          <w:tcPr>
            <w:tcW w:w="1244" w:type="dxa"/>
            <w:gridSpan w:val="2"/>
          </w:tcPr>
          <w:p>
            <w:pPr>
              <w:pStyle w:val="TableParagraph"/>
              <w:spacing w:line="180" w:lineRule="exact" w:before="3"/>
              <w:ind w:right="100"/>
              <w:jc w:val="right"/>
              <w:rPr>
                <w:sz w:val="16"/>
              </w:rPr>
            </w:pPr>
            <w:r>
              <w:rPr>
                <w:spacing w:val="-5"/>
                <w:w w:val="105"/>
                <w:sz w:val="16"/>
              </w:rPr>
              <w:t>14</w:t>
            </w:r>
          </w:p>
        </w:tc>
        <w:tc>
          <w:tcPr>
            <w:tcW w:w="1398" w:type="dxa"/>
          </w:tcPr>
          <w:p>
            <w:pPr>
              <w:pStyle w:val="TableParagraph"/>
              <w:rPr>
                <w:sz w:val="14"/>
              </w:rPr>
            </w:pPr>
          </w:p>
        </w:tc>
        <w:tc>
          <w:tcPr>
            <w:tcW w:w="1326" w:type="dxa"/>
            <w:gridSpan w:val="3"/>
          </w:tcPr>
          <w:p>
            <w:pPr>
              <w:pStyle w:val="TableParagraph"/>
              <w:spacing w:line="180" w:lineRule="exact" w:before="3"/>
              <w:ind w:right="124"/>
              <w:jc w:val="right"/>
              <w:rPr>
                <w:sz w:val="16"/>
              </w:rPr>
            </w:pPr>
            <w:r>
              <w:rPr>
                <w:spacing w:val="-5"/>
                <w:w w:val="105"/>
                <w:sz w:val="16"/>
              </w:rPr>
              <w:t>312</w:t>
            </w:r>
          </w:p>
        </w:tc>
      </w:tr>
      <w:tr>
        <w:trPr>
          <w:trHeight w:val="202" w:hRule="atLeast"/>
        </w:trPr>
        <w:tc>
          <w:tcPr>
            <w:tcW w:w="4355" w:type="dxa"/>
            <w:tcBorders>
              <w:bottom w:val="single" w:sz="6" w:space="0" w:color="000000"/>
            </w:tcBorders>
            <w:shd w:val="clear" w:color="auto" w:fill="CCEDFF"/>
          </w:tcPr>
          <w:p>
            <w:pPr>
              <w:pStyle w:val="TableParagraph"/>
              <w:spacing w:line="179" w:lineRule="exact" w:before="3"/>
              <w:rPr>
                <w:sz w:val="16"/>
              </w:rPr>
            </w:pPr>
            <w:r>
              <w:rPr>
                <w:w w:val="105"/>
                <w:sz w:val="16"/>
              </w:rPr>
              <w:t>Other</w:t>
            </w:r>
            <w:r>
              <w:rPr>
                <w:spacing w:val="-11"/>
                <w:w w:val="105"/>
                <w:sz w:val="16"/>
              </w:rPr>
              <w:t> </w:t>
            </w:r>
            <w:r>
              <w:rPr>
                <w:w w:val="105"/>
                <w:sz w:val="16"/>
              </w:rPr>
              <w:t>charges</w:t>
            </w:r>
            <w:r>
              <w:rPr>
                <w:spacing w:val="-10"/>
                <w:w w:val="105"/>
                <w:sz w:val="16"/>
              </w:rPr>
              <w:t> </w:t>
            </w:r>
            <w:r>
              <w:rPr>
                <w:w w:val="105"/>
                <w:sz w:val="16"/>
              </w:rPr>
              <w:t>and</w:t>
            </w:r>
            <w:r>
              <w:rPr>
                <w:spacing w:val="-10"/>
                <w:w w:val="105"/>
                <w:sz w:val="16"/>
              </w:rPr>
              <w:t> </w:t>
            </w:r>
            <w:r>
              <w:rPr>
                <w:spacing w:val="-2"/>
                <w:w w:val="105"/>
                <w:sz w:val="16"/>
              </w:rPr>
              <w:t>credits</w:t>
            </w:r>
          </w:p>
        </w:tc>
        <w:tc>
          <w:tcPr>
            <w:tcW w:w="1410" w:type="dxa"/>
            <w:gridSpan w:val="3"/>
            <w:tcBorders>
              <w:bottom w:val="single" w:sz="6" w:space="0" w:color="000000"/>
            </w:tcBorders>
            <w:shd w:val="clear" w:color="auto" w:fill="CCEDFF"/>
          </w:tcPr>
          <w:p>
            <w:pPr>
              <w:pStyle w:val="TableParagraph"/>
              <w:spacing w:line="179" w:lineRule="exact" w:before="3"/>
              <w:ind w:right="158"/>
              <w:jc w:val="right"/>
              <w:rPr>
                <w:sz w:val="16"/>
              </w:rPr>
            </w:pPr>
            <w:r>
              <w:rPr>
                <w:spacing w:val="-5"/>
                <w:w w:val="105"/>
                <w:sz w:val="16"/>
              </w:rPr>
              <w:t>60</w:t>
            </w:r>
          </w:p>
        </w:tc>
        <w:tc>
          <w:tcPr>
            <w:tcW w:w="157" w:type="dxa"/>
            <w:tcBorders>
              <w:bottom w:val="single" w:sz="6" w:space="0" w:color="000000"/>
            </w:tcBorders>
            <w:shd w:val="clear" w:color="auto" w:fill="CCEDFF"/>
          </w:tcPr>
          <w:p>
            <w:pPr>
              <w:pStyle w:val="TableParagraph"/>
              <w:rPr>
                <w:sz w:val="14"/>
              </w:rPr>
            </w:pPr>
          </w:p>
        </w:tc>
        <w:tc>
          <w:tcPr>
            <w:tcW w:w="1382" w:type="dxa"/>
            <w:gridSpan w:val="3"/>
            <w:tcBorders>
              <w:bottom w:val="single" w:sz="6" w:space="0" w:color="000000"/>
            </w:tcBorders>
            <w:shd w:val="clear" w:color="auto" w:fill="CCEDFF"/>
          </w:tcPr>
          <w:p>
            <w:pPr>
              <w:pStyle w:val="TableParagraph"/>
              <w:spacing w:line="179" w:lineRule="exact" w:before="3"/>
              <w:ind w:right="130"/>
              <w:jc w:val="right"/>
              <w:rPr>
                <w:sz w:val="16"/>
              </w:rPr>
            </w:pPr>
            <w:r>
              <w:rPr>
                <w:spacing w:val="-10"/>
                <w:w w:val="105"/>
                <w:sz w:val="16"/>
              </w:rPr>
              <w:t>8</w:t>
            </w:r>
          </w:p>
        </w:tc>
        <w:tc>
          <w:tcPr>
            <w:tcW w:w="255" w:type="dxa"/>
            <w:tcBorders>
              <w:bottom w:val="single" w:sz="6" w:space="0" w:color="000000"/>
            </w:tcBorders>
            <w:shd w:val="clear" w:color="auto" w:fill="CCEDFF"/>
          </w:tcPr>
          <w:p>
            <w:pPr>
              <w:pStyle w:val="TableParagraph"/>
              <w:rPr>
                <w:sz w:val="14"/>
              </w:rPr>
            </w:pPr>
          </w:p>
        </w:tc>
        <w:tc>
          <w:tcPr>
            <w:tcW w:w="1244" w:type="dxa"/>
            <w:gridSpan w:val="2"/>
            <w:tcBorders>
              <w:bottom w:val="single" w:sz="6" w:space="0" w:color="000000"/>
            </w:tcBorders>
            <w:shd w:val="clear" w:color="auto" w:fill="CCEDFF"/>
          </w:tcPr>
          <w:p>
            <w:pPr>
              <w:pStyle w:val="TableParagraph"/>
              <w:spacing w:line="179" w:lineRule="exact" w:before="3"/>
              <w:ind w:right="100"/>
              <w:jc w:val="right"/>
              <w:rPr>
                <w:sz w:val="16"/>
              </w:rPr>
            </w:pPr>
            <w:r>
              <w:rPr>
                <w:spacing w:val="-10"/>
                <w:w w:val="105"/>
                <w:sz w:val="16"/>
              </w:rPr>
              <w:t>3</w:t>
            </w:r>
          </w:p>
        </w:tc>
        <w:tc>
          <w:tcPr>
            <w:tcW w:w="1398" w:type="dxa"/>
            <w:tcBorders>
              <w:bottom w:val="single" w:sz="6" w:space="0" w:color="000000"/>
            </w:tcBorders>
            <w:shd w:val="clear" w:color="auto" w:fill="CCEDFF"/>
          </w:tcPr>
          <w:p>
            <w:pPr>
              <w:pStyle w:val="TableParagraph"/>
              <w:tabs>
                <w:tab w:pos="1039" w:val="left" w:leader="none"/>
              </w:tabs>
              <w:spacing w:line="179" w:lineRule="exact" w:before="3"/>
              <w:ind w:left="44"/>
              <w:jc w:val="center"/>
              <w:rPr>
                <w:sz w:val="16"/>
              </w:rPr>
            </w:pPr>
            <w:r>
              <w:rPr>
                <w:spacing w:val="-10"/>
                <w:w w:val="105"/>
                <w:sz w:val="16"/>
              </w:rPr>
              <w:t>$</w:t>
            </w:r>
            <w:r>
              <w:rPr>
                <w:sz w:val="16"/>
              </w:rPr>
              <w:tab/>
            </w:r>
            <w:r>
              <w:rPr>
                <w:spacing w:val="-5"/>
                <w:w w:val="105"/>
                <w:sz w:val="16"/>
              </w:rPr>
              <w:t>(7)</w:t>
            </w:r>
          </w:p>
        </w:tc>
        <w:tc>
          <w:tcPr>
            <w:tcW w:w="1326" w:type="dxa"/>
            <w:gridSpan w:val="3"/>
            <w:tcBorders>
              <w:bottom w:val="single" w:sz="6" w:space="0" w:color="000000"/>
            </w:tcBorders>
            <w:shd w:val="clear" w:color="auto" w:fill="CCEDFF"/>
          </w:tcPr>
          <w:p>
            <w:pPr>
              <w:pStyle w:val="TableParagraph"/>
              <w:spacing w:line="179" w:lineRule="exact" w:before="3"/>
              <w:ind w:right="124"/>
              <w:jc w:val="right"/>
              <w:rPr>
                <w:sz w:val="16"/>
              </w:rPr>
            </w:pPr>
            <w:r>
              <w:rPr>
                <w:spacing w:val="-5"/>
                <w:w w:val="105"/>
                <w:sz w:val="16"/>
              </w:rPr>
              <w:t>64</w:t>
            </w:r>
          </w:p>
        </w:tc>
      </w:tr>
      <w:tr>
        <w:trPr>
          <w:trHeight w:val="199" w:hRule="atLeast"/>
        </w:trPr>
        <w:tc>
          <w:tcPr>
            <w:tcW w:w="4355" w:type="dxa"/>
            <w:tcBorders>
              <w:top w:val="single" w:sz="6" w:space="0" w:color="000000"/>
              <w:bottom w:val="double" w:sz="6" w:space="0" w:color="000000"/>
            </w:tcBorders>
          </w:tcPr>
          <w:p>
            <w:pPr>
              <w:pStyle w:val="TableParagraph"/>
              <w:spacing w:line="177" w:lineRule="exact" w:before="2"/>
              <w:ind w:right="139"/>
              <w:jc w:val="right"/>
              <w:rPr>
                <w:sz w:val="16"/>
              </w:rPr>
            </w:pPr>
            <w:r>
              <w:rPr>
                <w:w w:val="105"/>
                <w:sz w:val="16"/>
              </w:rPr>
              <w:t>Total</w:t>
            </w:r>
            <w:r>
              <w:rPr>
                <w:spacing w:val="-11"/>
                <w:w w:val="105"/>
                <w:sz w:val="16"/>
              </w:rPr>
              <w:t> </w:t>
            </w:r>
            <w:r>
              <w:rPr>
                <w:w w:val="105"/>
                <w:sz w:val="16"/>
              </w:rPr>
              <w:t>restructuring,</w:t>
            </w:r>
            <w:r>
              <w:rPr>
                <w:spacing w:val="-10"/>
                <w:w w:val="105"/>
                <w:sz w:val="16"/>
              </w:rPr>
              <w:t> </w:t>
            </w:r>
            <w:r>
              <w:rPr>
                <w:w w:val="105"/>
                <w:sz w:val="16"/>
              </w:rPr>
              <w:t>impairment</w:t>
            </w:r>
            <w:r>
              <w:rPr>
                <w:spacing w:val="-10"/>
                <w:w w:val="105"/>
                <w:sz w:val="16"/>
              </w:rPr>
              <w:t> </w:t>
            </w:r>
            <w:r>
              <w:rPr>
                <w:w w:val="105"/>
                <w:sz w:val="16"/>
              </w:rPr>
              <w:t>and</w:t>
            </w:r>
            <w:r>
              <w:rPr>
                <w:spacing w:val="-10"/>
                <w:w w:val="105"/>
                <w:sz w:val="16"/>
              </w:rPr>
              <w:t> </w:t>
            </w:r>
            <w:r>
              <w:rPr>
                <w:w w:val="105"/>
                <w:sz w:val="16"/>
              </w:rPr>
              <w:t>other</w:t>
            </w:r>
            <w:r>
              <w:rPr>
                <w:spacing w:val="-10"/>
                <w:w w:val="105"/>
                <w:sz w:val="16"/>
              </w:rPr>
              <w:t> </w:t>
            </w:r>
            <w:r>
              <w:rPr>
                <w:w w:val="105"/>
                <w:sz w:val="16"/>
              </w:rPr>
              <w:t>charges</w:t>
            </w:r>
            <w:r>
              <w:rPr>
                <w:spacing w:val="-10"/>
                <w:w w:val="105"/>
                <w:sz w:val="16"/>
              </w:rPr>
              <w:t> </w:t>
            </w:r>
            <w:r>
              <w:rPr>
                <w:w w:val="105"/>
                <w:sz w:val="16"/>
              </w:rPr>
              <w:t>and</w:t>
            </w:r>
            <w:r>
              <w:rPr>
                <w:spacing w:val="-10"/>
                <w:w w:val="105"/>
                <w:sz w:val="16"/>
              </w:rPr>
              <w:t> </w:t>
            </w:r>
            <w:r>
              <w:rPr>
                <w:spacing w:val="-2"/>
                <w:w w:val="105"/>
                <w:sz w:val="16"/>
              </w:rPr>
              <w:t>credits</w:t>
            </w:r>
          </w:p>
        </w:tc>
        <w:tc>
          <w:tcPr>
            <w:tcW w:w="1410" w:type="dxa"/>
            <w:gridSpan w:val="3"/>
            <w:tcBorders>
              <w:top w:val="single" w:sz="6" w:space="0" w:color="000000"/>
              <w:bottom w:val="double" w:sz="6" w:space="0" w:color="000000"/>
            </w:tcBorders>
          </w:tcPr>
          <w:p>
            <w:pPr>
              <w:pStyle w:val="TableParagraph"/>
              <w:tabs>
                <w:tab w:pos="1001" w:val="left" w:leader="none"/>
              </w:tabs>
              <w:spacing w:line="177" w:lineRule="exact" w:before="2"/>
              <w:ind w:left="141"/>
              <w:rPr>
                <w:sz w:val="16"/>
              </w:rPr>
            </w:pPr>
            <w:r>
              <w:rPr>
                <w:spacing w:val="-10"/>
                <w:w w:val="105"/>
                <w:sz w:val="16"/>
              </w:rPr>
              <w:t>$</w:t>
            </w:r>
            <w:r>
              <w:rPr>
                <w:sz w:val="16"/>
              </w:rPr>
              <w:tab/>
            </w:r>
            <w:r>
              <w:rPr>
                <w:spacing w:val="-5"/>
                <w:w w:val="105"/>
                <w:sz w:val="16"/>
              </w:rPr>
              <w:t>388</w:t>
            </w:r>
          </w:p>
        </w:tc>
        <w:tc>
          <w:tcPr>
            <w:tcW w:w="157" w:type="dxa"/>
            <w:tcBorders>
              <w:top w:val="single" w:sz="6" w:space="0" w:color="000000"/>
              <w:bottom w:val="double" w:sz="6" w:space="0" w:color="000000"/>
            </w:tcBorders>
          </w:tcPr>
          <w:p>
            <w:pPr>
              <w:pStyle w:val="TableParagraph"/>
              <w:spacing w:line="177" w:lineRule="exact" w:before="2"/>
              <w:ind w:left="64"/>
              <w:jc w:val="center"/>
              <w:rPr>
                <w:sz w:val="16"/>
              </w:rPr>
            </w:pPr>
            <w:r>
              <w:rPr>
                <w:spacing w:val="-10"/>
                <w:w w:val="105"/>
                <w:sz w:val="16"/>
              </w:rPr>
              <w:t>$</w:t>
            </w:r>
          </w:p>
        </w:tc>
        <w:tc>
          <w:tcPr>
            <w:tcW w:w="1382" w:type="dxa"/>
            <w:gridSpan w:val="3"/>
            <w:tcBorders>
              <w:top w:val="single" w:sz="6" w:space="0" w:color="000000"/>
              <w:bottom w:val="double" w:sz="6" w:space="0" w:color="000000"/>
            </w:tcBorders>
          </w:tcPr>
          <w:p>
            <w:pPr>
              <w:pStyle w:val="TableParagraph"/>
              <w:spacing w:line="177" w:lineRule="exact" w:before="2"/>
              <w:ind w:right="130"/>
              <w:jc w:val="right"/>
              <w:rPr>
                <w:sz w:val="16"/>
              </w:rPr>
            </w:pPr>
            <w:r>
              <w:rPr>
                <w:spacing w:val="-5"/>
                <w:w w:val="105"/>
                <w:sz w:val="16"/>
              </w:rPr>
              <w:t>28</w:t>
            </w:r>
          </w:p>
        </w:tc>
        <w:tc>
          <w:tcPr>
            <w:tcW w:w="255" w:type="dxa"/>
            <w:tcBorders>
              <w:top w:val="single" w:sz="6" w:space="0" w:color="000000"/>
              <w:bottom w:val="double" w:sz="6" w:space="0" w:color="000000"/>
            </w:tcBorders>
          </w:tcPr>
          <w:p>
            <w:pPr>
              <w:pStyle w:val="TableParagraph"/>
              <w:spacing w:line="177" w:lineRule="exact" w:before="2"/>
              <w:ind w:left="21"/>
              <w:jc w:val="center"/>
              <w:rPr>
                <w:sz w:val="16"/>
              </w:rPr>
            </w:pPr>
            <w:r>
              <w:rPr>
                <w:spacing w:val="-10"/>
                <w:w w:val="105"/>
                <w:sz w:val="16"/>
              </w:rPr>
              <w:t>$</w:t>
            </w:r>
          </w:p>
        </w:tc>
        <w:tc>
          <w:tcPr>
            <w:tcW w:w="1244" w:type="dxa"/>
            <w:gridSpan w:val="2"/>
            <w:tcBorders>
              <w:top w:val="single" w:sz="6" w:space="0" w:color="000000"/>
              <w:bottom w:val="double" w:sz="6" w:space="0" w:color="000000"/>
            </w:tcBorders>
          </w:tcPr>
          <w:p>
            <w:pPr>
              <w:pStyle w:val="TableParagraph"/>
              <w:spacing w:line="177" w:lineRule="exact" w:before="2"/>
              <w:ind w:right="100"/>
              <w:jc w:val="right"/>
              <w:rPr>
                <w:sz w:val="16"/>
              </w:rPr>
            </w:pPr>
            <w:r>
              <w:rPr>
                <w:spacing w:val="-5"/>
                <w:w w:val="105"/>
                <w:sz w:val="16"/>
              </w:rPr>
              <w:t>30</w:t>
            </w:r>
          </w:p>
        </w:tc>
        <w:tc>
          <w:tcPr>
            <w:tcW w:w="1398" w:type="dxa"/>
            <w:tcBorders>
              <w:top w:val="single" w:sz="6" w:space="0" w:color="000000"/>
              <w:bottom w:val="double" w:sz="6" w:space="0" w:color="000000"/>
            </w:tcBorders>
          </w:tcPr>
          <w:p>
            <w:pPr>
              <w:pStyle w:val="TableParagraph"/>
              <w:tabs>
                <w:tab w:pos="1039" w:val="left" w:leader="none"/>
              </w:tabs>
              <w:spacing w:line="177" w:lineRule="exact" w:before="2"/>
              <w:ind w:left="44"/>
              <w:jc w:val="center"/>
              <w:rPr>
                <w:sz w:val="16"/>
              </w:rPr>
            </w:pPr>
            <w:r>
              <w:rPr>
                <w:spacing w:val="-10"/>
                <w:w w:val="105"/>
                <w:sz w:val="16"/>
              </w:rPr>
              <w:t>$</w:t>
            </w:r>
            <w:r>
              <w:rPr>
                <w:sz w:val="16"/>
              </w:rPr>
              <w:tab/>
            </w:r>
            <w:r>
              <w:rPr>
                <w:spacing w:val="-5"/>
                <w:w w:val="105"/>
                <w:sz w:val="16"/>
              </w:rPr>
              <w:t>(7)</w:t>
            </w:r>
          </w:p>
        </w:tc>
        <w:tc>
          <w:tcPr>
            <w:tcW w:w="1326" w:type="dxa"/>
            <w:gridSpan w:val="3"/>
            <w:tcBorders>
              <w:top w:val="single" w:sz="6" w:space="0" w:color="000000"/>
              <w:bottom w:val="double" w:sz="6" w:space="0" w:color="000000"/>
            </w:tcBorders>
          </w:tcPr>
          <w:p>
            <w:pPr>
              <w:pStyle w:val="TableParagraph"/>
              <w:tabs>
                <w:tab w:pos="951" w:val="left" w:leader="none"/>
              </w:tabs>
              <w:spacing w:line="177" w:lineRule="exact" w:before="2"/>
              <w:ind w:left="91"/>
              <w:rPr>
                <w:sz w:val="16"/>
              </w:rPr>
            </w:pPr>
            <w:r>
              <w:rPr>
                <w:spacing w:val="-10"/>
                <w:w w:val="105"/>
                <w:sz w:val="16"/>
              </w:rPr>
              <w:t>$</w:t>
            </w:r>
            <w:r>
              <w:rPr>
                <w:sz w:val="16"/>
              </w:rPr>
              <w:tab/>
            </w:r>
            <w:r>
              <w:rPr>
                <w:spacing w:val="-5"/>
                <w:w w:val="105"/>
                <w:sz w:val="16"/>
              </w:rPr>
              <w:t>439</w:t>
            </w:r>
          </w:p>
        </w:tc>
      </w:tr>
    </w:tbl>
    <w:p>
      <w:pPr>
        <w:pStyle w:val="BodyText"/>
        <w:spacing w:before="25"/>
        <w:rPr>
          <w:b/>
        </w:rPr>
      </w:pPr>
    </w:p>
    <w:p>
      <w:pPr>
        <w:spacing w:before="0"/>
        <w:ind w:left="156" w:right="0" w:firstLine="0"/>
        <w:jc w:val="left"/>
        <w:rPr>
          <w:sz w:val="14"/>
        </w:rPr>
      </w:pPr>
      <w:r>
        <w:rPr>
          <w:sz w:val="14"/>
        </w:rPr>
        <w:t>(1)</w:t>
      </w:r>
      <w:r>
        <w:rPr>
          <w:spacing w:val="35"/>
          <w:sz w:val="14"/>
        </w:rPr>
        <w:t>  </w:t>
      </w:r>
      <w:r>
        <w:rPr>
          <w:sz w:val="14"/>
        </w:rPr>
        <w:t>Activity</w:t>
      </w:r>
      <w:r>
        <w:rPr>
          <w:spacing w:val="1"/>
          <w:sz w:val="14"/>
        </w:rPr>
        <w:t> </w:t>
      </w:r>
      <w:r>
        <w:rPr>
          <w:sz w:val="14"/>
        </w:rPr>
        <w:t>reflected in cost of </w:t>
      </w:r>
      <w:r>
        <w:rPr>
          <w:spacing w:val="-2"/>
          <w:sz w:val="14"/>
        </w:rPr>
        <w:t>sales.</w:t>
      </w:r>
    </w:p>
    <w:p>
      <w:pPr>
        <w:pStyle w:val="BodyText"/>
        <w:rPr>
          <w:sz w:val="14"/>
        </w:rPr>
      </w:pPr>
    </w:p>
    <w:p>
      <w:pPr>
        <w:pStyle w:val="BodyText"/>
        <w:spacing w:before="85"/>
        <w:rPr>
          <w:sz w:val="14"/>
        </w:rPr>
      </w:pPr>
    </w:p>
    <w:p>
      <w:pPr>
        <w:pStyle w:val="Heading2"/>
        <w:numPr>
          <w:ilvl w:val="0"/>
          <w:numId w:val="36"/>
        </w:numPr>
        <w:tabs>
          <w:tab w:pos="362" w:val="left" w:leader="none"/>
        </w:tabs>
        <w:spacing w:line="240" w:lineRule="auto" w:before="0" w:after="0"/>
        <w:ind w:left="362" w:right="0" w:hanging="206"/>
        <w:jc w:val="left"/>
      </w:pPr>
      <w:bookmarkStart w:name="_bookmark11" w:id="12"/>
      <w:bookmarkEnd w:id="12"/>
      <w:r>
        <w:rPr>
          <w:b w:val="0"/>
        </w:rPr>
      </w:r>
      <w:r>
        <w:rPr>
          <w:spacing w:val="-2"/>
          <w:w w:val="105"/>
        </w:rPr>
        <w:t>Investments</w:t>
      </w:r>
    </w:p>
    <w:p>
      <w:pPr>
        <w:pStyle w:val="BodyText"/>
        <w:spacing w:before="39"/>
        <w:rPr>
          <w:b/>
        </w:rPr>
      </w:pPr>
    </w:p>
    <w:p>
      <w:pPr>
        <w:pStyle w:val="BodyText"/>
        <w:ind w:left="156"/>
      </w:pPr>
      <w:r>
        <w:rPr>
          <w:w w:val="105"/>
        </w:rPr>
        <w:t>Investments</w:t>
      </w:r>
      <w:r>
        <w:rPr>
          <w:spacing w:val="-11"/>
          <w:w w:val="105"/>
        </w:rPr>
        <w:t> </w:t>
      </w:r>
      <w:r>
        <w:rPr>
          <w:w w:val="105"/>
        </w:rPr>
        <w:t>are</w:t>
      </w:r>
      <w:r>
        <w:rPr>
          <w:spacing w:val="-10"/>
          <w:w w:val="105"/>
        </w:rPr>
        <w:t> </w:t>
      </w:r>
      <w:r>
        <w:rPr>
          <w:w w:val="105"/>
        </w:rPr>
        <w:t>comprised</w:t>
      </w:r>
      <w:r>
        <w:rPr>
          <w:spacing w:val="-10"/>
          <w:w w:val="105"/>
        </w:rPr>
        <w:t> </w:t>
      </w:r>
      <w:r>
        <w:rPr>
          <w:w w:val="105"/>
        </w:rPr>
        <w:t>of</w:t>
      </w:r>
      <w:r>
        <w:rPr>
          <w:spacing w:val="-10"/>
          <w:w w:val="105"/>
        </w:rPr>
        <w:t> </w:t>
      </w:r>
      <w:r>
        <w:rPr>
          <w:w w:val="105"/>
        </w:rPr>
        <w:t>the</w:t>
      </w:r>
      <w:r>
        <w:rPr>
          <w:spacing w:val="-10"/>
          <w:w w:val="105"/>
        </w:rPr>
        <w:t> </w:t>
      </w:r>
      <w:r>
        <w:rPr>
          <w:w w:val="105"/>
        </w:rPr>
        <w:t>following</w:t>
      </w:r>
      <w:r>
        <w:rPr>
          <w:spacing w:val="-10"/>
          <w:w w:val="105"/>
        </w:rPr>
        <w:t> </w:t>
      </w:r>
      <w:r>
        <w:rPr>
          <w:w w:val="105"/>
        </w:rPr>
        <w:t>(in</w:t>
      </w:r>
      <w:r>
        <w:rPr>
          <w:spacing w:val="-10"/>
          <w:w w:val="105"/>
        </w:rPr>
        <w:t> </w:t>
      </w:r>
      <w:r>
        <w:rPr>
          <w:spacing w:val="-2"/>
          <w:w w:val="105"/>
        </w:rPr>
        <w:t>millions):</w:t>
      </w:r>
    </w:p>
    <w:p>
      <w:pPr>
        <w:pStyle w:val="BodyText"/>
        <w:spacing w:before="4"/>
        <w:rPr>
          <w:sz w:val="9"/>
        </w:rPr>
      </w:pPr>
      <w:r>
        <w:rPr/>
        <mc:AlternateContent>
          <mc:Choice Requires="wps">
            <w:drawing>
              <wp:anchor distT="0" distB="0" distL="0" distR="0" allowOverlap="1" layoutInCell="1" locked="0" behindDoc="1" simplePos="0" relativeHeight="487676928">
                <wp:simplePos x="0" y="0"/>
                <wp:positionH relativeFrom="page">
                  <wp:posOffset>226479</wp:posOffset>
                </wp:positionH>
                <wp:positionV relativeFrom="paragraph">
                  <wp:posOffset>83662</wp:posOffset>
                </wp:positionV>
                <wp:extent cx="7312659" cy="16510"/>
                <wp:effectExtent l="0" t="0" r="0" b="0"/>
                <wp:wrapTopAndBottom/>
                <wp:docPr id="360" name="Graphic 360"/>
                <wp:cNvGraphicFramePr>
                  <a:graphicFrameLocks/>
                </wp:cNvGraphicFramePr>
                <a:graphic>
                  <a:graphicData uri="http://schemas.microsoft.com/office/word/2010/wordprocessingShape">
                    <wps:wsp>
                      <wps:cNvPr id="360" name="Graphic 360"/>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87595pt;width:575.775027pt;height:1.274pt;mso-position-horizontal-relative:page;mso-position-vertical-relative:paragraph;z-index:-15639552;mso-wrap-distance-left:0;mso-wrap-distance-right:0" id="docshape359" filled="true" fillcolor="#000000" stroked="false">
                <v:fill type="solid"/>
                <w10:wrap type="topAndBottom"/>
              </v:rect>
            </w:pict>
          </mc:Fallback>
        </mc:AlternateContent>
      </w:r>
    </w:p>
    <w:p>
      <w:pPr>
        <w:pStyle w:val="BodyText"/>
        <w:tabs>
          <w:tab w:pos="9456" w:val="left" w:leader="none"/>
        </w:tabs>
        <w:spacing w:before="6" w:after="10"/>
        <w:ind w:left="7009"/>
      </w:pPr>
      <w:r>
        <w:rPr>
          <w:spacing w:val="-2"/>
        </w:rPr>
        <w:t>Ownership</w:t>
      </w:r>
      <w:r>
        <w:rPr/>
        <w:tab/>
      </w:r>
      <w:r>
        <w:rPr>
          <w:position w:val="1"/>
        </w:rPr>
        <w:t>December</w:t>
      </w:r>
      <w:r>
        <w:rPr>
          <w:spacing w:val="20"/>
          <w:position w:val="1"/>
        </w:rPr>
        <w:t> </w:t>
      </w:r>
      <w:r>
        <w:rPr>
          <w:spacing w:val="-5"/>
          <w:position w:val="1"/>
        </w:rPr>
        <w:t>31,</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2"/>
        <w:gridCol w:w="1604"/>
        <w:gridCol w:w="1805"/>
        <w:gridCol w:w="1086"/>
        <w:gridCol w:w="532"/>
        <w:gridCol w:w="1210"/>
        <w:gridCol w:w="548"/>
      </w:tblGrid>
      <w:tr>
        <w:trPr>
          <w:trHeight w:val="201" w:hRule="atLeast"/>
        </w:trPr>
        <w:tc>
          <w:tcPr>
            <w:tcW w:w="6336" w:type="dxa"/>
            <w:gridSpan w:val="2"/>
            <w:tcBorders>
              <w:bottom w:val="single" w:sz="6" w:space="0" w:color="000000"/>
            </w:tcBorders>
          </w:tcPr>
          <w:p>
            <w:pPr>
              <w:pStyle w:val="TableParagraph"/>
              <w:rPr>
                <w:sz w:val="14"/>
              </w:rPr>
            </w:pPr>
          </w:p>
        </w:tc>
        <w:tc>
          <w:tcPr>
            <w:tcW w:w="1805" w:type="dxa"/>
            <w:tcBorders>
              <w:bottom w:val="single" w:sz="6" w:space="0" w:color="000000"/>
            </w:tcBorders>
          </w:tcPr>
          <w:p>
            <w:pPr>
              <w:pStyle w:val="TableParagraph"/>
              <w:spacing w:line="179" w:lineRule="exact" w:before="2"/>
              <w:ind w:right="42"/>
              <w:jc w:val="center"/>
              <w:rPr>
                <w:sz w:val="16"/>
              </w:rPr>
            </w:pPr>
            <w:r>
              <w:rPr>
                <w:spacing w:val="-2"/>
                <w:w w:val="105"/>
                <w:sz w:val="16"/>
              </w:rPr>
              <w:t>interest</w:t>
            </w:r>
          </w:p>
        </w:tc>
        <w:tc>
          <w:tcPr>
            <w:tcW w:w="1086" w:type="dxa"/>
            <w:tcBorders>
              <w:top w:val="single" w:sz="6" w:space="0" w:color="000000"/>
              <w:bottom w:val="single" w:sz="6" w:space="0" w:color="000000"/>
            </w:tcBorders>
          </w:tcPr>
          <w:p>
            <w:pPr>
              <w:pStyle w:val="TableParagraph"/>
              <w:spacing w:line="179" w:lineRule="exact" w:before="2"/>
              <w:ind w:left="584"/>
              <w:rPr>
                <w:b/>
                <w:sz w:val="16"/>
              </w:rPr>
            </w:pPr>
            <w:r>
              <w:rPr>
                <w:b/>
                <w:spacing w:val="-4"/>
                <w:w w:val="105"/>
                <w:sz w:val="16"/>
              </w:rPr>
              <w:t>2021</w:t>
            </w:r>
          </w:p>
        </w:tc>
        <w:tc>
          <w:tcPr>
            <w:tcW w:w="532" w:type="dxa"/>
            <w:tcBorders>
              <w:top w:val="single" w:sz="6" w:space="0" w:color="000000"/>
              <w:bottom w:val="single" w:sz="6" w:space="0" w:color="000000"/>
            </w:tcBorders>
          </w:tcPr>
          <w:p>
            <w:pPr>
              <w:pStyle w:val="TableParagraph"/>
              <w:rPr>
                <w:sz w:val="14"/>
              </w:rPr>
            </w:pPr>
          </w:p>
        </w:tc>
        <w:tc>
          <w:tcPr>
            <w:tcW w:w="1210" w:type="dxa"/>
            <w:tcBorders>
              <w:top w:val="single" w:sz="6" w:space="0" w:color="000000"/>
              <w:bottom w:val="single" w:sz="6" w:space="0" w:color="000000"/>
            </w:tcBorders>
          </w:tcPr>
          <w:p>
            <w:pPr>
              <w:pStyle w:val="TableParagraph"/>
              <w:spacing w:line="179" w:lineRule="exact" w:before="2"/>
              <w:ind w:left="705"/>
              <w:rPr>
                <w:sz w:val="16"/>
              </w:rPr>
            </w:pPr>
            <w:r>
              <w:rPr>
                <w:spacing w:val="-4"/>
                <w:w w:val="105"/>
                <w:sz w:val="16"/>
              </w:rPr>
              <w:t>2020</w:t>
            </w:r>
          </w:p>
        </w:tc>
        <w:tc>
          <w:tcPr>
            <w:tcW w:w="548" w:type="dxa"/>
            <w:tcBorders>
              <w:top w:val="single" w:sz="6" w:space="0" w:color="000000"/>
              <w:bottom w:val="single" w:sz="6" w:space="0" w:color="000000"/>
            </w:tcBorders>
          </w:tcPr>
          <w:p>
            <w:pPr>
              <w:pStyle w:val="TableParagraph"/>
              <w:rPr>
                <w:sz w:val="14"/>
              </w:rPr>
            </w:pPr>
          </w:p>
        </w:tc>
      </w:tr>
      <w:tr>
        <w:trPr>
          <w:trHeight w:val="202" w:hRule="atLeast"/>
        </w:trPr>
        <w:tc>
          <w:tcPr>
            <w:tcW w:w="4732" w:type="dxa"/>
            <w:tcBorders>
              <w:top w:val="single" w:sz="6" w:space="0" w:color="000000"/>
            </w:tcBorders>
            <w:shd w:val="clear" w:color="auto" w:fill="CCEDFF"/>
          </w:tcPr>
          <w:p>
            <w:pPr>
              <w:pStyle w:val="TableParagraph"/>
              <w:spacing w:line="180" w:lineRule="exact" w:before="2"/>
              <w:rPr>
                <w:sz w:val="16"/>
              </w:rPr>
            </w:pPr>
            <w:r>
              <w:rPr>
                <w:w w:val="105"/>
                <w:sz w:val="16"/>
              </w:rPr>
              <w:t>Affiliated</w:t>
            </w:r>
            <w:r>
              <w:rPr>
                <w:spacing w:val="-11"/>
                <w:w w:val="105"/>
                <w:sz w:val="16"/>
              </w:rPr>
              <w:t> </w:t>
            </w:r>
            <w:r>
              <w:rPr>
                <w:w w:val="105"/>
                <w:sz w:val="16"/>
              </w:rPr>
              <w:t>companies</w:t>
            </w:r>
            <w:r>
              <w:rPr>
                <w:spacing w:val="-9"/>
                <w:w w:val="105"/>
                <w:sz w:val="16"/>
              </w:rPr>
              <w:t> </w:t>
            </w:r>
            <w:r>
              <w:rPr>
                <w:w w:val="105"/>
                <w:sz w:val="16"/>
              </w:rPr>
              <w:t>accounted</w:t>
            </w:r>
            <w:r>
              <w:rPr>
                <w:spacing w:val="-10"/>
                <w:w w:val="105"/>
                <w:sz w:val="16"/>
              </w:rPr>
              <w:t> </w:t>
            </w:r>
            <w:r>
              <w:rPr>
                <w:w w:val="105"/>
                <w:sz w:val="16"/>
              </w:rPr>
              <w:t>for</w:t>
            </w:r>
            <w:r>
              <w:rPr>
                <w:spacing w:val="-10"/>
                <w:w w:val="105"/>
                <w:sz w:val="16"/>
              </w:rPr>
              <w:t> </w:t>
            </w:r>
            <w:r>
              <w:rPr>
                <w:w w:val="105"/>
                <w:sz w:val="16"/>
              </w:rPr>
              <w:t>by</w:t>
            </w:r>
            <w:r>
              <w:rPr>
                <w:spacing w:val="-11"/>
                <w:w w:val="105"/>
                <w:sz w:val="16"/>
              </w:rPr>
              <w:t> </w:t>
            </w:r>
            <w:r>
              <w:rPr>
                <w:w w:val="105"/>
                <w:sz w:val="16"/>
              </w:rPr>
              <w:t>the</w:t>
            </w:r>
            <w:r>
              <w:rPr>
                <w:spacing w:val="-10"/>
                <w:w w:val="105"/>
                <w:sz w:val="16"/>
              </w:rPr>
              <w:t> </w:t>
            </w:r>
            <w:r>
              <w:rPr>
                <w:w w:val="105"/>
                <w:sz w:val="16"/>
              </w:rPr>
              <w:t>equity</w:t>
            </w:r>
            <w:r>
              <w:rPr>
                <w:spacing w:val="-10"/>
                <w:w w:val="105"/>
                <w:sz w:val="16"/>
              </w:rPr>
              <w:t> </w:t>
            </w:r>
            <w:r>
              <w:rPr>
                <w:spacing w:val="-2"/>
                <w:w w:val="105"/>
                <w:sz w:val="16"/>
              </w:rPr>
              <w:t>method</w:t>
            </w:r>
          </w:p>
        </w:tc>
        <w:tc>
          <w:tcPr>
            <w:tcW w:w="1604" w:type="dxa"/>
            <w:tcBorders>
              <w:top w:val="single" w:sz="6" w:space="0" w:color="000000"/>
            </w:tcBorders>
            <w:shd w:val="clear" w:color="auto" w:fill="CCEDFF"/>
          </w:tcPr>
          <w:p>
            <w:pPr>
              <w:pStyle w:val="TableParagraph"/>
              <w:rPr>
                <w:sz w:val="14"/>
              </w:rPr>
            </w:pPr>
          </w:p>
        </w:tc>
        <w:tc>
          <w:tcPr>
            <w:tcW w:w="1805" w:type="dxa"/>
            <w:tcBorders>
              <w:top w:val="single" w:sz="6" w:space="0" w:color="000000"/>
            </w:tcBorders>
            <w:shd w:val="clear" w:color="auto" w:fill="CCEDFF"/>
          </w:tcPr>
          <w:p>
            <w:pPr>
              <w:pStyle w:val="TableParagraph"/>
              <w:spacing w:line="180" w:lineRule="exact" w:before="2"/>
              <w:ind w:right="42"/>
              <w:jc w:val="center"/>
              <w:rPr>
                <w:sz w:val="16"/>
              </w:rPr>
            </w:pPr>
            <w:r>
              <w:rPr>
                <w:w w:val="105"/>
                <w:sz w:val="16"/>
              </w:rPr>
              <w:t>50%</w:t>
            </w:r>
            <w:r>
              <w:rPr>
                <w:spacing w:val="-6"/>
                <w:w w:val="105"/>
                <w:sz w:val="16"/>
              </w:rPr>
              <w:t> </w:t>
            </w:r>
            <w:r>
              <w:rPr>
                <w:w w:val="105"/>
                <w:sz w:val="16"/>
              </w:rPr>
              <w:t>or</w:t>
            </w:r>
            <w:r>
              <w:rPr>
                <w:spacing w:val="-5"/>
                <w:w w:val="105"/>
                <w:sz w:val="16"/>
              </w:rPr>
              <w:t> </w:t>
            </w:r>
            <w:r>
              <w:rPr>
                <w:spacing w:val="-4"/>
                <w:w w:val="105"/>
                <w:sz w:val="16"/>
              </w:rPr>
              <w:t>less</w:t>
            </w:r>
          </w:p>
        </w:tc>
        <w:tc>
          <w:tcPr>
            <w:tcW w:w="1086" w:type="dxa"/>
            <w:tcBorders>
              <w:top w:val="single" w:sz="6" w:space="0" w:color="000000"/>
            </w:tcBorders>
            <w:shd w:val="clear" w:color="auto" w:fill="CCEDFF"/>
          </w:tcPr>
          <w:p>
            <w:pPr>
              <w:pStyle w:val="TableParagraph"/>
              <w:spacing w:line="180" w:lineRule="exact" w:before="2"/>
              <w:ind w:left="-2"/>
              <w:rPr>
                <w:b/>
                <w:sz w:val="16"/>
              </w:rPr>
            </w:pPr>
            <w:r>
              <w:rPr>
                <w:b/>
                <w:spacing w:val="-10"/>
                <w:w w:val="105"/>
                <w:sz w:val="16"/>
              </w:rPr>
              <w:t>$</w:t>
            </w:r>
          </w:p>
        </w:tc>
        <w:tc>
          <w:tcPr>
            <w:tcW w:w="532" w:type="dxa"/>
            <w:tcBorders>
              <w:top w:val="single" w:sz="6" w:space="0" w:color="000000"/>
            </w:tcBorders>
            <w:shd w:val="clear" w:color="auto" w:fill="CCEDFF"/>
          </w:tcPr>
          <w:p>
            <w:pPr>
              <w:pStyle w:val="TableParagraph"/>
              <w:spacing w:line="180" w:lineRule="exact" w:before="2"/>
              <w:ind w:left="134" w:right="83"/>
              <w:jc w:val="center"/>
              <w:rPr>
                <w:b/>
                <w:sz w:val="16"/>
              </w:rPr>
            </w:pPr>
            <w:r>
              <w:rPr>
                <w:b/>
                <w:spacing w:val="-5"/>
                <w:w w:val="105"/>
                <w:sz w:val="16"/>
              </w:rPr>
              <w:t>264</w:t>
            </w:r>
          </w:p>
        </w:tc>
        <w:tc>
          <w:tcPr>
            <w:tcW w:w="1210" w:type="dxa"/>
            <w:tcBorders>
              <w:top w:val="single" w:sz="6" w:space="0" w:color="000000"/>
            </w:tcBorders>
            <w:shd w:val="clear" w:color="auto" w:fill="CCEDFF"/>
          </w:tcPr>
          <w:p>
            <w:pPr>
              <w:pStyle w:val="TableParagraph"/>
              <w:spacing w:line="180" w:lineRule="exact" w:before="2"/>
              <w:ind w:left="113"/>
              <w:rPr>
                <w:sz w:val="16"/>
              </w:rPr>
            </w:pPr>
            <w:r>
              <w:rPr>
                <w:spacing w:val="-10"/>
                <w:w w:val="105"/>
                <w:sz w:val="16"/>
              </w:rPr>
              <w:t>$</w:t>
            </w:r>
          </w:p>
        </w:tc>
        <w:tc>
          <w:tcPr>
            <w:tcW w:w="548" w:type="dxa"/>
            <w:tcBorders>
              <w:top w:val="single" w:sz="6" w:space="0" w:color="000000"/>
            </w:tcBorders>
            <w:shd w:val="clear" w:color="auto" w:fill="CCEDFF"/>
          </w:tcPr>
          <w:p>
            <w:pPr>
              <w:pStyle w:val="TableParagraph"/>
              <w:spacing w:line="180" w:lineRule="exact" w:before="2"/>
              <w:ind w:left="41"/>
              <w:jc w:val="center"/>
              <w:rPr>
                <w:sz w:val="16"/>
              </w:rPr>
            </w:pPr>
            <w:r>
              <w:rPr>
                <w:spacing w:val="-5"/>
                <w:w w:val="105"/>
                <w:sz w:val="16"/>
              </w:rPr>
              <w:t>258</w:t>
            </w:r>
          </w:p>
        </w:tc>
      </w:tr>
      <w:tr>
        <w:trPr>
          <w:trHeight w:val="202" w:hRule="atLeast"/>
        </w:trPr>
        <w:tc>
          <w:tcPr>
            <w:tcW w:w="4732" w:type="dxa"/>
            <w:tcBorders>
              <w:bottom w:val="single" w:sz="6" w:space="0" w:color="000000"/>
            </w:tcBorders>
          </w:tcPr>
          <w:p>
            <w:pPr>
              <w:pStyle w:val="TableParagraph"/>
              <w:spacing w:line="179" w:lineRule="exact" w:before="3"/>
              <w:rPr>
                <w:sz w:val="16"/>
              </w:rPr>
            </w:pPr>
            <w:r>
              <w:rPr>
                <w:w w:val="105"/>
                <w:sz w:val="16"/>
              </w:rPr>
              <w:t>Other</w:t>
            </w:r>
            <w:r>
              <w:rPr>
                <w:spacing w:val="-9"/>
                <w:w w:val="105"/>
                <w:sz w:val="16"/>
              </w:rPr>
              <w:t> </w:t>
            </w:r>
            <w:r>
              <w:rPr>
                <w:spacing w:val="-2"/>
                <w:w w:val="105"/>
                <w:sz w:val="16"/>
              </w:rPr>
              <w:t>investments</w:t>
            </w:r>
          </w:p>
        </w:tc>
        <w:tc>
          <w:tcPr>
            <w:tcW w:w="1604" w:type="dxa"/>
            <w:tcBorders>
              <w:bottom w:val="single" w:sz="6" w:space="0" w:color="000000"/>
            </w:tcBorders>
          </w:tcPr>
          <w:p>
            <w:pPr>
              <w:pStyle w:val="TableParagraph"/>
              <w:rPr>
                <w:sz w:val="14"/>
              </w:rPr>
            </w:pPr>
          </w:p>
        </w:tc>
        <w:tc>
          <w:tcPr>
            <w:tcW w:w="1805" w:type="dxa"/>
            <w:tcBorders>
              <w:bottom w:val="single" w:sz="6" w:space="0" w:color="000000"/>
            </w:tcBorders>
          </w:tcPr>
          <w:p>
            <w:pPr>
              <w:pStyle w:val="TableParagraph"/>
              <w:rPr>
                <w:sz w:val="14"/>
              </w:rPr>
            </w:pPr>
          </w:p>
        </w:tc>
        <w:tc>
          <w:tcPr>
            <w:tcW w:w="1086" w:type="dxa"/>
            <w:tcBorders>
              <w:bottom w:val="single" w:sz="6" w:space="0" w:color="000000"/>
            </w:tcBorders>
          </w:tcPr>
          <w:p>
            <w:pPr>
              <w:pStyle w:val="TableParagraph"/>
              <w:rPr>
                <w:sz w:val="14"/>
              </w:rPr>
            </w:pPr>
          </w:p>
        </w:tc>
        <w:tc>
          <w:tcPr>
            <w:tcW w:w="532" w:type="dxa"/>
            <w:tcBorders>
              <w:bottom w:val="single" w:sz="6" w:space="0" w:color="000000"/>
            </w:tcBorders>
          </w:tcPr>
          <w:p>
            <w:pPr>
              <w:pStyle w:val="TableParagraph"/>
              <w:spacing w:line="179" w:lineRule="exact" w:before="3"/>
              <w:ind w:left="134"/>
              <w:jc w:val="center"/>
              <w:rPr>
                <w:b/>
                <w:sz w:val="16"/>
              </w:rPr>
            </w:pPr>
            <w:r>
              <w:rPr>
                <w:b/>
                <w:spacing w:val="-5"/>
                <w:w w:val="105"/>
                <w:sz w:val="16"/>
              </w:rPr>
              <w:t>64</w:t>
            </w:r>
          </w:p>
        </w:tc>
        <w:tc>
          <w:tcPr>
            <w:tcW w:w="1210" w:type="dxa"/>
            <w:tcBorders>
              <w:bottom w:val="single" w:sz="6" w:space="0" w:color="000000"/>
            </w:tcBorders>
          </w:tcPr>
          <w:p>
            <w:pPr>
              <w:pStyle w:val="TableParagraph"/>
              <w:rPr>
                <w:sz w:val="14"/>
              </w:rPr>
            </w:pPr>
          </w:p>
        </w:tc>
        <w:tc>
          <w:tcPr>
            <w:tcW w:w="548" w:type="dxa"/>
            <w:tcBorders>
              <w:bottom w:val="single" w:sz="6" w:space="0" w:color="000000"/>
            </w:tcBorders>
          </w:tcPr>
          <w:p>
            <w:pPr>
              <w:pStyle w:val="TableParagraph"/>
              <w:spacing w:line="179" w:lineRule="exact" w:before="3"/>
              <w:ind w:left="41"/>
              <w:jc w:val="center"/>
              <w:rPr>
                <w:sz w:val="16"/>
              </w:rPr>
            </w:pPr>
            <w:r>
              <w:rPr>
                <w:spacing w:val="-5"/>
                <w:w w:val="105"/>
                <w:sz w:val="16"/>
              </w:rPr>
              <w:t>177</w:t>
            </w:r>
          </w:p>
        </w:tc>
      </w:tr>
      <w:tr>
        <w:trPr>
          <w:trHeight w:val="199" w:hRule="atLeast"/>
        </w:trPr>
        <w:tc>
          <w:tcPr>
            <w:tcW w:w="4732" w:type="dxa"/>
            <w:tcBorders>
              <w:top w:val="single" w:sz="6" w:space="0" w:color="000000"/>
              <w:bottom w:val="double" w:sz="6" w:space="0" w:color="000000"/>
            </w:tcBorders>
            <w:shd w:val="clear" w:color="auto" w:fill="CCEDFF"/>
          </w:tcPr>
          <w:p>
            <w:pPr>
              <w:pStyle w:val="TableParagraph"/>
              <w:spacing w:line="177" w:lineRule="exact" w:before="2"/>
              <w:rPr>
                <w:sz w:val="16"/>
              </w:rPr>
            </w:pPr>
            <w:r>
              <w:rPr>
                <w:sz w:val="16"/>
              </w:rPr>
              <w:t>Total</w:t>
            </w:r>
            <w:r>
              <w:rPr>
                <w:spacing w:val="16"/>
                <w:sz w:val="16"/>
              </w:rPr>
              <w:t> </w:t>
            </w:r>
            <w:r>
              <w:rPr>
                <w:sz w:val="16"/>
              </w:rPr>
              <w:t>investment</w:t>
            </w:r>
            <w:r>
              <w:rPr>
                <w:spacing w:val="17"/>
                <w:sz w:val="16"/>
              </w:rPr>
              <w:t> </w:t>
            </w:r>
            <w:r>
              <w:rPr>
                <w:spacing w:val="-2"/>
                <w:sz w:val="16"/>
              </w:rPr>
              <w:t>assets</w:t>
            </w:r>
          </w:p>
        </w:tc>
        <w:tc>
          <w:tcPr>
            <w:tcW w:w="1604" w:type="dxa"/>
            <w:tcBorders>
              <w:top w:val="single" w:sz="6" w:space="0" w:color="000000"/>
              <w:bottom w:val="double" w:sz="6" w:space="0" w:color="000000"/>
            </w:tcBorders>
            <w:shd w:val="clear" w:color="auto" w:fill="CCEDFF"/>
          </w:tcPr>
          <w:p>
            <w:pPr>
              <w:pStyle w:val="TableParagraph"/>
              <w:rPr>
                <w:sz w:val="12"/>
              </w:rPr>
            </w:pPr>
          </w:p>
        </w:tc>
        <w:tc>
          <w:tcPr>
            <w:tcW w:w="1805" w:type="dxa"/>
            <w:tcBorders>
              <w:top w:val="single" w:sz="6" w:space="0" w:color="000000"/>
              <w:bottom w:val="double" w:sz="6" w:space="0" w:color="000000"/>
            </w:tcBorders>
            <w:shd w:val="clear" w:color="auto" w:fill="CCEDFF"/>
          </w:tcPr>
          <w:p>
            <w:pPr>
              <w:pStyle w:val="TableParagraph"/>
              <w:rPr>
                <w:sz w:val="12"/>
              </w:rPr>
            </w:pPr>
          </w:p>
        </w:tc>
        <w:tc>
          <w:tcPr>
            <w:tcW w:w="1086" w:type="dxa"/>
            <w:tcBorders>
              <w:top w:val="single" w:sz="6" w:space="0" w:color="000000"/>
              <w:bottom w:val="double" w:sz="6" w:space="0" w:color="000000"/>
            </w:tcBorders>
            <w:shd w:val="clear" w:color="auto" w:fill="CCEDFF"/>
          </w:tcPr>
          <w:p>
            <w:pPr>
              <w:pStyle w:val="TableParagraph"/>
              <w:spacing w:line="177" w:lineRule="exact" w:before="2"/>
              <w:ind w:left="-2"/>
              <w:rPr>
                <w:b/>
                <w:sz w:val="16"/>
              </w:rPr>
            </w:pPr>
            <w:r>
              <w:rPr>
                <w:b/>
                <w:spacing w:val="-10"/>
                <w:w w:val="105"/>
                <w:sz w:val="16"/>
              </w:rPr>
              <w:t>$</w:t>
            </w:r>
          </w:p>
        </w:tc>
        <w:tc>
          <w:tcPr>
            <w:tcW w:w="532" w:type="dxa"/>
            <w:tcBorders>
              <w:top w:val="single" w:sz="6" w:space="0" w:color="000000"/>
              <w:bottom w:val="double" w:sz="6" w:space="0" w:color="000000"/>
            </w:tcBorders>
            <w:shd w:val="clear" w:color="auto" w:fill="CCEDFF"/>
          </w:tcPr>
          <w:p>
            <w:pPr>
              <w:pStyle w:val="TableParagraph"/>
              <w:spacing w:line="177" w:lineRule="exact" w:before="2"/>
              <w:ind w:left="134" w:right="83"/>
              <w:jc w:val="center"/>
              <w:rPr>
                <w:b/>
                <w:sz w:val="16"/>
              </w:rPr>
            </w:pPr>
            <w:r>
              <w:rPr>
                <w:b/>
                <w:spacing w:val="-5"/>
                <w:w w:val="105"/>
                <w:sz w:val="16"/>
              </w:rPr>
              <w:t>328</w:t>
            </w:r>
          </w:p>
        </w:tc>
        <w:tc>
          <w:tcPr>
            <w:tcW w:w="1210" w:type="dxa"/>
            <w:tcBorders>
              <w:top w:val="single" w:sz="6" w:space="0" w:color="000000"/>
              <w:bottom w:val="double" w:sz="6" w:space="0" w:color="000000"/>
            </w:tcBorders>
            <w:shd w:val="clear" w:color="auto" w:fill="CCEDFF"/>
          </w:tcPr>
          <w:p>
            <w:pPr>
              <w:pStyle w:val="TableParagraph"/>
              <w:spacing w:line="177" w:lineRule="exact" w:before="2"/>
              <w:ind w:left="113"/>
              <w:rPr>
                <w:sz w:val="16"/>
              </w:rPr>
            </w:pPr>
            <w:r>
              <w:rPr>
                <w:spacing w:val="-10"/>
                <w:w w:val="105"/>
                <w:sz w:val="16"/>
              </w:rPr>
              <w:t>$</w:t>
            </w:r>
          </w:p>
        </w:tc>
        <w:tc>
          <w:tcPr>
            <w:tcW w:w="548" w:type="dxa"/>
            <w:tcBorders>
              <w:top w:val="single" w:sz="6" w:space="0" w:color="000000"/>
              <w:bottom w:val="double" w:sz="6" w:space="0" w:color="000000"/>
            </w:tcBorders>
            <w:shd w:val="clear" w:color="auto" w:fill="CCEDFF"/>
          </w:tcPr>
          <w:p>
            <w:pPr>
              <w:pStyle w:val="TableParagraph"/>
              <w:spacing w:line="177" w:lineRule="exact" w:before="2"/>
              <w:ind w:left="41"/>
              <w:jc w:val="center"/>
              <w:rPr>
                <w:sz w:val="16"/>
              </w:rPr>
            </w:pPr>
            <w:r>
              <w:rPr>
                <w:spacing w:val="-5"/>
                <w:w w:val="105"/>
                <w:sz w:val="16"/>
              </w:rPr>
              <w:t>435</w:t>
            </w:r>
          </w:p>
        </w:tc>
      </w:tr>
      <w:tr>
        <w:trPr>
          <w:trHeight w:val="682" w:hRule="atLeast"/>
        </w:trPr>
        <w:tc>
          <w:tcPr>
            <w:tcW w:w="4732" w:type="dxa"/>
            <w:tcBorders>
              <w:top w:val="double" w:sz="6" w:space="0" w:color="000000"/>
              <w:bottom w:val="single" w:sz="12" w:space="0" w:color="000000"/>
            </w:tcBorders>
          </w:tcPr>
          <w:p>
            <w:pPr>
              <w:pStyle w:val="TableParagraph"/>
              <w:rPr>
                <w:sz w:val="16"/>
              </w:rPr>
            </w:pPr>
          </w:p>
        </w:tc>
        <w:tc>
          <w:tcPr>
            <w:tcW w:w="1604" w:type="dxa"/>
            <w:tcBorders>
              <w:top w:val="double" w:sz="6" w:space="0" w:color="000000"/>
              <w:bottom w:val="single" w:sz="12" w:space="0" w:color="000000"/>
            </w:tcBorders>
          </w:tcPr>
          <w:p>
            <w:pPr>
              <w:pStyle w:val="TableParagraph"/>
              <w:rPr>
                <w:sz w:val="16"/>
              </w:rPr>
            </w:pPr>
          </w:p>
          <w:p>
            <w:pPr>
              <w:pStyle w:val="TableParagraph"/>
              <w:spacing w:before="39"/>
              <w:rPr>
                <w:sz w:val="16"/>
              </w:rPr>
            </w:pPr>
          </w:p>
          <w:p>
            <w:pPr>
              <w:pStyle w:val="TableParagraph"/>
              <w:ind w:left="942"/>
              <w:rPr>
                <w:sz w:val="16"/>
              </w:rPr>
            </w:pPr>
            <w:r>
              <w:rPr>
                <w:spacing w:val="-5"/>
                <w:w w:val="105"/>
                <w:sz w:val="16"/>
              </w:rPr>
              <w:t>77</w:t>
            </w:r>
          </w:p>
        </w:tc>
        <w:tc>
          <w:tcPr>
            <w:tcW w:w="1805" w:type="dxa"/>
            <w:tcBorders>
              <w:top w:val="double" w:sz="6" w:space="0" w:color="000000"/>
              <w:bottom w:val="single" w:sz="12" w:space="0" w:color="000000"/>
            </w:tcBorders>
          </w:tcPr>
          <w:p>
            <w:pPr>
              <w:pStyle w:val="TableParagraph"/>
              <w:rPr>
                <w:sz w:val="16"/>
              </w:rPr>
            </w:pPr>
          </w:p>
        </w:tc>
        <w:tc>
          <w:tcPr>
            <w:tcW w:w="1086" w:type="dxa"/>
            <w:tcBorders>
              <w:top w:val="double" w:sz="6" w:space="0" w:color="000000"/>
              <w:bottom w:val="single" w:sz="12" w:space="0" w:color="000000"/>
            </w:tcBorders>
          </w:tcPr>
          <w:p>
            <w:pPr>
              <w:pStyle w:val="TableParagraph"/>
              <w:rPr>
                <w:sz w:val="16"/>
              </w:rPr>
            </w:pPr>
          </w:p>
        </w:tc>
        <w:tc>
          <w:tcPr>
            <w:tcW w:w="532" w:type="dxa"/>
            <w:tcBorders>
              <w:top w:val="double" w:sz="6" w:space="0" w:color="000000"/>
              <w:bottom w:val="single" w:sz="12" w:space="0" w:color="000000"/>
            </w:tcBorders>
          </w:tcPr>
          <w:p>
            <w:pPr>
              <w:pStyle w:val="TableParagraph"/>
              <w:rPr>
                <w:sz w:val="16"/>
              </w:rPr>
            </w:pPr>
          </w:p>
        </w:tc>
        <w:tc>
          <w:tcPr>
            <w:tcW w:w="1210" w:type="dxa"/>
            <w:tcBorders>
              <w:top w:val="double" w:sz="6" w:space="0" w:color="000000"/>
              <w:bottom w:val="single" w:sz="12" w:space="0" w:color="000000"/>
            </w:tcBorders>
          </w:tcPr>
          <w:p>
            <w:pPr>
              <w:pStyle w:val="TableParagraph"/>
              <w:rPr>
                <w:sz w:val="16"/>
              </w:rPr>
            </w:pPr>
          </w:p>
        </w:tc>
        <w:tc>
          <w:tcPr>
            <w:tcW w:w="548" w:type="dxa"/>
            <w:tcBorders>
              <w:top w:val="double" w:sz="6" w:space="0" w:color="000000"/>
              <w:bottom w:val="single" w:sz="12" w:space="0" w:color="000000"/>
            </w:tcBorders>
          </w:tcPr>
          <w:p>
            <w:pPr>
              <w:pStyle w:val="TableParagraph"/>
              <w:rPr>
                <w:sz w:val="16"/>
              </w:rPr>
            </w:pPr>
          </w:p>
        </w:tc>
      </w:tr>
    </w:tbl>
    <w:p>
      <w:pPr>
        <w:spacing w:after="0"/>
        <w:rPr>
          <w:sz w:val="16"/>
        </w:rPr>
        <w:sectPr>
          <w:pgSz w:w="12240" w:h="15840"/>
          <w:pgMar w:header="428" w:footer="0" w:top="620" w:bottom="280" w:left="200" w:right="260"/>
        </w:sectPr>
      </w:pPr>
    </w:p>
    <w:p>
      <w:pPr>
        <w:pStyle w:val="BodyText"/>
        <w:spacing w:before="38"/>
      </w:pPr>
    </w:p>
    <w:p>
      <w:pPr>
        <w:pStyle w:val="Heading2"/>
        <w:numPr>
          <w:ilvl w:val="0"/>
          <w:numId w:val="37"/>
        </w:numPr>
        <w:tabs>
          <w:tab w:pos="362" w:val="left" w:leader="none"/>
        </w:tabs>
        <w:spacing w:line="240" w:lineRule="auto" w:before="0" w:after="0"/>
        <w:ind w:left="362" w:right="0" w:hanging="206"/>
        <w:jc w:val="left"/>
      </w:pPr>
      <w:r>
        <w:rPr/>
        <w:t>Investments</w:t>
      </w:r>
      <w:r>
        <w:rPr>
          <w:spacing w:val="15"/>
        </w:rPr>
        <w:t> </w:t>
      </w:r>
      <w:r>
        <w:rPr>
          <w:spacing w:val="-2"/>
        </w:rPr>
        <w:t>(Continued)</w:t>
      </w:r>
    </w:p>
    <w:p>
      <w:pPr>
        <w:pStyle w:val="BodyText"/>
        <w:spacing w:before="40"/>
        <w:rPr>
          <w:b/>
        </w:rPr>
      </w:pPr>
    </w:p>
    <w:p>
      <w:pPr>
        <w:pStyle w:val="Heading3"/>
      </w:pPr>
      <w:r>
        <w:rPr/>
        <w:t>Affiliated</w:t>
      </w:r>
      <w:r>
        <w:rPr>
          <w:spacing w:val="13"/>
        </w:rPr>
        <w:t> </w:t>
      </w:r>
      <w:r>
        <w:rPr/>
        <w:t>Companies</w:t>
      </w:r>
      <w:r>
        <w:rPr>
          <w:spacing w:val="13"/>
        </w:rPr>
        <w:t> </w:t>
      </w:r>
      <w:r>
        <w:rPr/>
        <w:t>at</w:t>
      </w:r>
      <w:r>
        <w:rPr>
          <w:spacing w:val="14"/>
        </w:rPr>
        <w:t> </w:t>
      </w:r>
      <w:r>
        <w:rPr/>
        <w:t>Equity</w:t>
      </w:r>
      <w:r>
        <w:rPr>
          <w:spacing w:val="13"/>
        </w:rPr>
        <w:t> </w:t>
      </w:r>
      <w:r>
        <w:rPr>
          <w:spacing w:val="-2"/>
        </w:rPr>
        <w:t>Method</w:t>
      </w:r>
    </w:p>
    <w:p>
      <w:pPr>
        <w:pStyle w:val="BodyText"/>
        <w:spacing w:before="39"/>
        <w:rPr>
          <w:b/>
          <w:i/>
        </w:rPr>
      </w:pPr>
    </w:p>
    <w:p>
      <w:pPr>
        <w:pStyle w:val="BodyText"/>
        <w:spacing w:line="266" w:lineRule="auto"/>
        <w:ind w:left="156"/>
      </w:pPr>
      <w:r>
        <w:rPr>
          <w:w w:val="105"/>
        </w:rPr>
        <w:t>The</w:t>
      </w:r>
      <w:r>
        <w:rPr>
          <w:spacing w:val="-8"/>
          <w:w w:val="105"/>
        </w:rPr>
        <w:t> </w:t>
      </w:r>
      <w:r>
        <w:rPr>
          <w:w w:val="105"/>
        </w:rPr>
        <w:t>results</w:t>
      </w:r>
      <w:r>
        <w:rPr>
          <w:spacing w:val="-8"/>
          <w:w w:val="105"/>
        </w:rPr>
        <w:t> </w:t>
      </w:r>
      <w:r>
        <w:rPr>
          <w:w w:val="105"/>
        </w:rPr>
        <w:t>of</w:t>
      </w:r>
      <w:r>
        <w:rPr>
          <w:spacing w:val="-8"/>
          <w:w w:val="105"/>
        </w:rPr>
        <w:t> </w:t>
      </w:r>
      <w:r>
        <w:rPr>
          <w:w w:val="105"/>
        </w:rPr>
        <w:t>operations</w:t>
      </w:r>
      <w:r>
        <w:rPr>
          <w:spacing w:val="-8"/>
          <w:w w:val="105"/>
        </w:rPr>
        <w:t> </w:t>
      </w:r>
      <w:r>
        <w:rPr>
          <w:w w:val="105"/>
        </w:rPr>
        <w:t>and</w:t>
      </w:r>
      <w:r>
        <w:rPr>
          <w:spacing w:val="-6"/>
          <w:w w:val="105"/>
        </w:rPr>
        <w:t> </w:t>
      </w:r>
      <w:r>
        <w:rPr>
          <w:w w:val="105"/>
        </w:rPr>
        <w:t>financial</w:t>
      </w:r>
      <w:r>
        <w:rPr>
          <w:spacing w:val="-8"/>
          <w:w w:val="105"/>
        </w:rPr>
        <w:t> </w:t>
      </w:r>
      <w:r>
        <w:rPr>
          <w:w w:val="105"/>
        </w:rPr>
        <w:t>position</w:t>
      </w:r>
      <w:r>
        <w:rPr>
          <w:spacing w:val="-8"/>
          <w:w w:val="105"/>
        </w:rPr>
        <w:t> </w:t>
      </w:r>
      <w:r>
        <w:rPr>
          <w:w w:val="105"/>
        </w:rPr>
        <w:t>of</w:t>
      </w:r>
      <w:r>
        <w:rPr>
          <w:spacing w:val="-8"/>
          <w:w w:val="105"/>
        </w:rPr>
        <w:t> </w:t>
      </w:r>
      <w:r>
        <w:rPr>
          <w:w w:val="105"/>
        </w:rPr>
        <w:t>the</w:t>
      </w:r>
      <w:r>
        <w:rPr>
          <w:spacing w:val="-6"/>
          <w:w w:val="105"/>
        </w:rPr>
        <w:t> </w:t>
      </w:r>
      <w:r>
        <w:rPr>
          <w:w w:val="105"/>
        </w:rPr>
        <w:t>investments</w:t>
      </w:r>
      <w:r>
        <w:rPr>
          <w:spacing w:val="-8"/>
          <w:w w:val="105"/>
        </w:rPr>
        <w:t> </w:t>
      </w:r>
      <w:r>
        <w:rPr>
          <w:w w:val="105"/>
        </w:rPr>
        <w:t>accounted</w:t>
      </w:r>
      <w:r>
        <w:rPr>
          <w:spacing w:val="-8"/>
          <w:w w:val="105"/>
        </w:rPr>
        <w:t> </w:t>
      </w:r>
      <w:r>
        <w:rPr>
          <w:w w:val="105"/>
        </w:rPr>
        <w:t>for</w:t>
      </w:r>
      <w:r>
        <w:rPr>
          <w:spacing w:val="-8"/>
          <w:w w:val="105"/>
        </w:rPr>
        <w:t> </w:t>
      </w:r>
      <w:r>
        <w:rPr>
          <w:w w:val="105"/>
        </w:rPr>
        <w:t>under</w:t>
      </w:r>
      <w:r>
        <w:rPr>
          <w:spacing w:val="-8"/>
          <w:w w:val="105"/>
        </w:rPr>
        <w:t> </w:t>
      </w:r>
      <w:r>
        <w:rPr>
          <w:w w:val="105"/>
        </w:rPr>
        <w:t>the</w:t>
      </w:r>
      <w:r>
        <w:rPr>
          <w:spacing w:val="-8"/>
          <w:w w:val="105"/>
        </w:rPr>
        <w:t> </w:t>
      </w:r>
      <w:r>
        <w:rPr>
          <w:w w:val="105"/>
        </w:rPr>
        <w:t>equity</w:t>
      </w:r>
      <w:r>
        <w:rPr>
          <w:spacing w:val="-8"/>
          <w:w w:val="105"/>
        </w:rPr>
        <w:t> </w:t>
      </w:r>
      <w:r>
        <w:rPr>
          <w:w w:val="105"/>
        </w:rPr>
        <w:t>method</w:t>
      </w:r>
      <w:r>
        <w:rPr>
          <w:spacing w:val="-8"/>
          <w:w w:val="105"/>
        </w:rPr>
        <w:t> </w:t>
      </w:r>
      <w:r>
        <w:rPr>
          <w:w w:val="105"/>
        </w:rPr>
        <w:t>are</w:t>
      </w:r>
      <w:r>
        <w:rPr>
          <w:spacing w:val="-8"/>
          <w:w w:val="105"/>
        </w:rPr>
        <w:t> </w:t>
      </w:r>
      <w:r>
        <w:rPr>
          <w:w w:val="105"/>
        </w:rPr>
        <w:t>presented</w:t>
      </w:r>
      <w:r>
        <w:rPr>
          <w:spacing w:val="-8"/>
          <w:w w:val="105"/>
        </w:rPr>
        <w:t> </w:t>
      </w:r>
      <w:r>
        <w:rPr>
          <w:w w:val="105"/>
        </w:rPr>
        <w:t>below</w:t>
      </w:r>
      <w:r>
        <w:rPr>
          <w:spacing w:val="-8"/>
          <w:w w:val="105"/>
        </w:rPr>
        <w:t> </w:t>
      </w:r>
      <w:r>
        <w:rPr>
          <w:w w:val="105"/>
        </w:rPr>
        <w:t>as</w:t>
      </w:r>
      <w:r>
        <w:rPr>
          <w:spacing w:val="-8"/>
          <w:w w:val="105"/>
        </w:rPr>
        <w:t> </w:t>
      </w:r>
      <w:r>
        <w:rPr>
          <w:w w:val="105"/>
        </w:rPr>
        <w:t>of</w:t>
      </w:r>
      <w:r>
        <w:rPr>
          <w:spacing w:val="-7"/>
          <w:w w:val="105"/>
        </w:rPr>
        <w:t> </w:t>
      </w:r>
      <w:r>
        <w:rPr>
          <w:w w:val="105"/>
        </w:rPr>
        <w:t>December</w:t>
      </w:r>
      <w:r>
        <w:rPr>
          <w:spacing w:val="-8"/>
          <w:w w:val="105"/>
        </w:rPr>
        <w:t> </w:t>
      </w:r>
      <w:r>
        <w:rPr>
          <w:w w:val="105"/>
        </w:rPr>
        <w:t>31</w:t>
      </w:r>
      <w:r>
        <w:rPr>
          <w:spacing w:val="-7"/>
          <w:w w:val="105"/>
        </w:rPr>
        <w:t> </w:t>
      </w:r>
      <w:r>
        <w:rPr>
          <w:w w:val="105"/>
        </w:rPr>
        <w:t>for</w:t>
      </w:r>
      <w:r>
        <w:rPr>
          <w:spacing w:val="-8"/>
          <w:w w:val="105"/>
        </w:rPr>
        <w:t> </w:t>
      </w:r>
      <w:r>
        <w:rPr>
          <w:w w:val="105"/>
        </w:rPr>
        <w:t>each</w:t>
      </w:r>
      <w:r>
        <w:rPr>
          <w:spacing w:val="-8"/>
          <w:w w:val="105"/>
        </w:rPr>
        <w:t> </w:t>
      </w:r>
      <w:r>
        <w:rPr>
          <w:w w:val="105"/>
        </w:rPr>
        <w:t>respective</w:t>
      </w:r>
      <w:r>
        <w:rPr>
          <w:spacing w:val="-8"/>
          <w:w w:val="105"/>
        </w:rPr>
        <w:t> </w:t>
      </w:r>
      <w:r>
        <w:rPr>
          <w:w w:val="105"/>
        </w:rPr>
        <w:t>year</w:t>
      </w:r>
      <w:r>
        <w:rPr>
          <w:spacing w:val="-8"/>
          <w:w w:val="105"/>
        </w:rPr>
        <w:t> </w:t>
      </w:r>
      <w:r>
        <w:rPr>
          <w:w w:val="105"/>
        </w:rPr>
        <w:t>(in </w:t>
      </w:r>
      <w:r>
        <w:rPr>
          <w:spacing w:val="-2"/>
          <w:w w:val="105"/>
        </w:rPr>
        <w:t>millions):</w:t>
      </w:r>
    </w:p>
    <w:p>
      <w:pPr>
        <w:pStyle w:val="BodyText"/>
        <w:spacing w:before="6"/>
        <w:rPr>
          <w:sz w:val="7"/>
        </w:rPr>
      </w:pPr>
      <w:r>
        <w:rPr/>
        <mc:AlternateContent>
          <mc:Choice Requires="wps">
            <w:drawing>
              <wp:anchor distT="0" distB="0" distL="0" distR="0" allowOverlap="1" layoutInCell="1" locked="0" behindDoc="1" simplePos="0" relativeHeight="487678464">
                <wp:simplePos x="0" y="0"/>
                <wp:positionH relativeFrom="page">
                  <wp:posOffset>226479</wp:posOffset>
                </wp:positionH>
                <wp:positionV relativeFrom="paragraph">
                  <wp:posOffset>70560</wp:posOffset>
                </wp:positionV>
                <wp:extent cx="7312659" cy="16510"/>
                <wp:effectExtent l="0" t="0" r="0" b="0"/>
                <wp:wrapTopAndBottom/>
                <wp:docPr id="361" name="Graphic 361"/>
                <wp:cNvGraphicFramePr>
                  <a:graphicFrameLocks/>
                </wp:cNvGraphicFramePr>
                <a:graphic>
                  <a:graphicData uri="http://schemas.microsoft.com/office/word/2010/wordprocessingShape">
                    <wps:wsp>
                      <wps:cNvPr id="361" name="Graphic 361"/>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5.555936pt;width:575.775027pt;height:1.274pt;mso-position-horizontal-relative:page;mso-position-vertical-relative:paragraph;z-index:-15638016;mso-wrap-distance-left:0;mso-wrap-distance-right:0" id="docshape360" filled="true" fillcolor="#000000" stroked="false">
                <v:fill type="solid"/>
                <w10:wrap type="topAndBottom"/>
              </v:rect>
            </w:pict>
          </mc:Fallback>
        </mc:AlternateContent>
      </w:r>
    </w:p>
    <w:p>
      <w:pPr>
        <w:tabs>
          <w:tab w:pos="8926" w:val="left" w:leader="none"/>
          <w:tab w:pos="10646" w:val="left" w:leader="none"/>
        </w:tabs>
        <w:spacing w:before="3" w:after="23"/>
        <w:ind w:left="7207" w:right="0" w:firstLine="0"/>
        <w:jc w:val="left"/>
        <w:rPr>
          <w:sz w:val="16"/>
        </w:rPr>
      </w:pPr>
      <w:r>
        <w:rPr>
          <w:b/>
          <w:spacing w:val="-4"/>
          <w:w w:val="105"/>
          <w:sz w:val="16"/>
        </w:rPr>
        <w:t>2021</w:t>
      </w:r>
      <w:r>
        <w:rPr>
          <w:b/>
          <w:sz w:val="16"/>
        </w:rPr>
        <w:tab/>
      </w:r>
      <w:r>
        <w:rPr>
          <w:spacing w:val="-4"/>
          <w:w w:val="105"/>
          <w:sz w:val="16"/>
        </w:rPr>
        <w:t>2020</w:t>
      </w:r>
      <w:r>
        <w:rPr>
          <w:sz w:val="16"/>
        </w:rPr>
        <w:tab/>
      </w:r>
      <w:r>
        <w:rPr>
          <w:spacing w:val="-4"/>
          <w:w w:val="105"/>
          <w:sz w:val="16"/>
        </w:rPr>
        <w:t>2019</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6"/>
        <w:gridCol w:w="896"/>
        <w:gridCol w:w="1051"/>
        <w:gridCol w:w="538"/>
        <w:gridCol w:w="1145"/>
        <w:gridCol w:w="588"/>
        <w:gridCol w:w="728"/>
        <w:gridCol w:w="1005"/>
      </w:tblGrid>
      <w:tr>
        <w:trPr>
          <w:trHeight w:val="202" w:hRule="atLeast"/>
        </w:trPr>
        <w:tc>
          <w:tcPr>
            <w:tcW w:w="5566" w:type="dxa"/>
            <w:tcBorders>
              <w:top w:val="single" w:sz="6" w:space="0" w:color="000000"/>
            </w:tcBorders>
            <w:shd w:val="clear" w:color="auto" w:fill="CCEDFF"/>
          </w:tcPr>
          <w:p>
            <w:pPr>
              <w:pStyle w:val="TableParagraph"/>
              <w:spacing w:line="183" w:lineRule="exact"/>
              <w:rPr>
                <w:sz w:val="16"/>
              </w:rPr>
            </w:pPr>
            <w:r>
              <w:rPr>
                <w:sz w:val="16"/>
              </w:rPr>
              <w:t>Statement</w:t>
            </w:r>
            <w:r>
              <w:rPr>
                <w:spacing w:val="12"/>
                <w:sz w:val="16"/>
              </w:rPr>
              <w:t> </w:t>
            </w:r>
            <w:r>
              <w:rPr>
                <w:sz w:val="16"/>
              </w:rPr>
              <w:t>of</w:t>
            </w:r>
            <w:r>
              <w:rPr>
                <w:spacing w:val="13"/>
                <w:sz w:val="16"/>
              </w:rPr>
              <w:t> </w:t>
            </w:r>
            <w:r>
              <w:rPr>
                <w:sz w:val="16"/>
              </w:rPr>
              <w:t>operations</w:t>
            </w:r>
            <w:r>
              <w:rPr>
                <w:spacing w:val="7"/>
                <w:sz w:val="16"/>
              </w:rPr>
              <w:t> </w:t>
            </w:r>
            <w:r>
              <w:rPr>
                <w:spacing w:val="-4"/>
                <w:position w:val="3"/>
                <w:sz w:val="14"/>
              </w:rPr>
              <w:t>(1)</w:t>
            </w:r>
            <w:r>
              <w:rPr>
                <w:spacing w:val="-4"/>
                <w:sz w:val="16"/>
              </w:rPr>
              <w:t>:</w:t>
            </w:r>
          </w:p>
        </w:tc>
        <w:tc>
          <w:tcPr>
            <w:tcW w:w="5951" w:type="dxa"/>
            <w:gridSpan w:val="7"/>
            <w:tcBorders>
              <w:top w:val="single" w:sz="6" w:space="0" w:color="000000"/>
            </w:tcBorders>
            <w:shd w:val="clear" w:color="auto" w:fill="CCEDFF"/>
          </w:tcPr>
          <w:p>
            <w:pPr>
              <w:pStyle w:val="TableParagraph"/>
              <w:rPr>
                <w:sz w:val="14"/>
              </w:rPr>
            </w:pPr>
          </w:p>
        </w:tc>
      </w:tr>
      <w:tr>
        <w:trPr>
          <w:trHeight w:val="203" w:hRule="atLeast"/>
        </w:trPr>
        <w:tc>
          <w:tcPr>
            <w:tcW w:w="5566" w:type="dxa"/>
          </w:tcPr>
          <w:p>
            <w:pPr>
              <w:pStyle w:val="TableParagraph"/>
              <w:spacing w:line="180" w:lineRule="exact" w:before="3"/>
              <w:ind w:left="305"/>
              <w:rPr>
                <w:sz w:val="16"/>
              </w:rPr>
            </w:pPr>
            <w:r>
              <w:rPr>
                <w:w w:val="105"/>
                <w:sz w:val="16"/>
              </w:rPr>
              <w:t>Net</w:t>
            </w:r>
            <w:r>
              <w:rPr>
                <w:spacing w:val="-8"/>
                <w:w w:val="105"/>
                <w:sz w:val="16"/>
              </w:rPr>
              <w:t> </w:t>
            </w:r>
            <w:r>
              <w:rPr>
                <w:spacing w:val="-4"/>
                <w:w w:val="105"/>
                <w:sz w:val="16"/>
              </w:rPr>
              <w:t>sales</w:t>
            </w:r>
          </w:p>
        </w:tc>
        <w:tc>
          <w:tcPr>
            <w:tcW w:w="1947" w:type="dxa"/>
            <w:gridSpan w:val="2"/>
          </w:tcPr>
          <w:p>
            <w:pPr>
              <w:pStyle w:val="TableParagraph"/>
              <w:spacing w:line="180" w:lineRule="exact" w:before="3"/>
              <w:ind w:right="52"/>
              <w:jc w:val="center"/>
              <w:rPr>
                <w:b/>
                <w:sz w:val="16"/>
              </w:rPr>
            </w:pPr>
            <w:r>
              <w:rPr>
                <w:b/>
                <w:spacing w:val="-10"/>
                <w:w w:val="105"/>
                <w:sz w:val="16"/>
              </w:rPr>
              <w:t>$</w:t>
            </w:r>
          </w:p>
        </w:tc>
        <w:tc>
          <w:tcPr>
            <w:tcW w:w="538" w:type="dxa"/>
          </w:tcPr>
          <w:p>
            <w:pPr>
              <w:pStyle w:val="TableParagraph"/>
              <w:spacing w:line="180" w:lineRule="exact" w:before="3"/>
              <w:ind w:right="87"/>
              <w:jc w:val="right"/>
              <w:rPr>
                <w:b/>
                <w:sz w:val="16"/>
              </w:rPr>
            </w:pPr>
            <w:r>
              <w:rPr>
                <w:b/>
                <w:spacing w:val="-5"/>
                <w:w w:val="105"/>
                <w:sz w:val="16"/>
              </w:rPr>
              <w:t>816</w:t>
            </w:r>
          </w:p>
        </w:tc>
        <w:tc>
          <w:tcPr>
            <w:tcW w:w="1145" w:type="dxa"/>
          </w:tcPr>
          <w:p>
            <w:pPr>
              <w:pStyle w:val="TableParagraph"/>
              <w:spacing w:line="180" w:lineRule="exact" w:before="3"/>
              <w:ind w:left="139"/>
              <w:rPr>
                <w:sz w:val="16"/>
              </w:rPr>
            </w:pPr>
            <w:r>
              <w:rPr>
                <w:spacing w:val="-10"/>
                <w:w w:val="105"/>
                <w:sz w:val="16"/>
              </w:rPr>
              <w:t>$</w:t>
            </w:r>
          </w:p>
        </w:tc>
        <w:tc>
          <w:tcPr>
            <w:tcW w:w="588" w:type="dxa"/>
          </w:tcPr>
          <w:p>
            <w:pPr>
              <w:pStyle w:val="TableParagraph"/>
              <w:spacing w:line="180" w:lineRule="exact" w:before="3"/>
              <w:ind w:left="112"/>
              <w:rPr>
                <w:sz w:val="16"/>
              </w:rPr>
            </w:pPr>
            <w:r>
              <w:rPr>
                <w:spacing w:val="-4"/>
                <w:w w:val="105"/>
                <w:sz w:val="16"/>
              </w:rPr>
              <w:t>1,201</w:t>
            </w:r>
          </w:p>
        </w:tc>
        <w:tc>
          <w:tcPr>
            <w:tcW w:w="728" w:type="dxa"/>
          </w:tcPr>
          <w:p>
            <w:pPr>
              <w:pStyle w:val="TableParagraph"/>
              <w:spacing w:line="180" w:lineRule="exact" w:before="3"/>
              <w:ind w:left="126"/>
              <w:rPr>
                <w:sz w:val="16"/>
              </w:rPr>
            </w:pPr>
            <w:r>
              <w:rPr>
                <w:spacing w:val="-10"/>
                <w:w w:val="105"/>
                <w:sz w:val="16"/>
              </w:rPr>
              <w:t>$</w:t>
            </w:r>
          </w:p>
        </w:tc>
        <w:tc>
          <w:tcPr>
            <w:tcW w:w="1005" w:type="dxa"/>
          </w:tcPr>
          <w:p>
            <w:pPr>
              <w:pStyle w:val="TableParagraph"/>
              <w:spacing w:line="180" w:lineRule="exact" w:before="3"/>
              <w:ind w:right="114"/>
              <w:jc w:val="right"/>
              <w:rPr>
                <w:sz w:val="16"/>
              </w:rPr>
            </w:pPr>
            <w:r>
              <w:rPr>
                <w:spacing w:val="-4"/>
                <w:w w:val="105"/>
                <w:sz w:val="16"/>
              </w:rPr>
              <w:t>1,508</w:t>
            </w:r>
          </w:p>
        </w:tc>
      </w:tr>
      <w:tr>
        <w:trPr>
          <w:trHeight w:val="203" w:hRule="atLeast"/>
        </w:trPr>
        <w:tc>
          <w:tcPr>
            <w:tcW w:w="5566" w:type="dxa"/>
            <w:shd w:val="clear" w:color="auto" w:fill="CCEDFF"/>
          </w:tcPr>
          <w:p>
            <w:pPr>
              <w:pStyle w:val="TableParagraph"/>
              <w:spacing w:line="180" w:lineRule="exact" w:before="3"/>
              <w:ind w:left="305"/>
              <w:rPr>
                <w:sz w:val="16"/>
              </w:rPr>
            </w:pPr>
            <w:r>
              <w:rPr>
                <w:spacing w:val="-2"/>
                <w:w w:val="105"/>
                <w:sz w:val="16"/>
              </w:rPr>
              <w:t>Gross</w:t>
            </w:r>
            <w:r>
              <w:rPr>
                <w:spacing w:val="-3"/>
                <w:w w:val="105"/>
                <w:sz w:val="16"/>
              </w:rPr>
              <w:t> </w:t>
            </w:r>
            <w:r>
              <w:rPr>
                <w:spacing w:val="-2"/>
                <w:w w:val="105"/>
                <w:sz w:val="16"/>
              </w:rPr>
              <w:t>profit</w:t>
            </w:r>
          </w:p>
        </w:tc>
        <w:tc>
          <w:tcPr>
            <w:tcW w:w="1947" w:type="dxa"/>
            <w:gridSpan w:val="2"/>
            <w:shd w:val="clear" w:color="auto" w:fill="CCEDFF"/>
          </w:tcPr>
          <w:p>
            <w:pPr>
              <w:pStyle w:val="TableParagraph"/>
              <w:spacing w:line="180" w:lineRule="exact" w:before="3"/>
              <w:ind w:right="52"/>
              <w:jc w:val="center"/>
              <w:rPr>
                <w:b/>
                <w:sz w:val="16"/>
              </w:rPr>
            </w:pPr>
            <w:r>
              <w:rPr>
                <w:b/>
                <w:spacing w:val="-10"/>
                <w:w w:val="105"/>
                <w:sz w:val="16"/>
              </w:rPr>
              <w:t>$</w:t>
            </w:r>
          </w:p>
        </w:tc>
        <w:tc>
          <w:tcPr>
            <w:tcW w:w="538" w:type="dxa"/>
            <w:shd w:val="clear" w:color="auto" w:fill="CCEDFF"/>
          </w:tcPr>
          <w:p>
            <w:pPr>
              <w:pStyle w:val="TableParagraph"/>
              <w:spacing w:line="180" w:lineRule="exact" w:before="3"/>
              <w:ind w:right="87"/>
              <w:jc w:val="right"/>
              <w:rPr>
                <w:b/>
                <w:sz w:val="16"/>
              </w:rPr>
            </w:pPr>
            <w:r>
              <w:rPr>
                <w:b/>
                <w:spacing w:val="-5"/>
                <w:w w:val="105"/>
                <w:sz w:val="16"/>
              </w:rPr>
              <w:t>104</w:t>
            </w:r>
          </w:p>
        </w:tc>
        <w:tc>
          <w:tcPr>
            <w:tcW w:w="1145" w:type="dxa"/>
            <w:shd w:val="clear" w:color="auto" w:fill="CCEDFF"/>
          </w:tcPr>
          <w:p>
            <w:pPr>
              <w:pStyle w:val="TableParagraph"/>
              <w:spacing w:line="180" w:lineRule="exact" w:before="3"/>
              <w:ind w:left="139"/>
              <w:rPr>
                <w:sz w:val="16"/>
              </w:rPr>
            </w:pPr>
            <w:r>
              <w:rPr>
                <w:spacing w:val="-10"/>
                <w:w w:val="105"/>
                <w:sz w:val="16"/>
              </w:rPr>
              <w:t>$</w:t>
            </w:r>
          </w:p>
        </w:tc>
        <w:tc>
          <w:tcPr>
            <w:tcW w:w="588" w:type="dxa"/>
            <w:shd w:val="clear" w:color="auto" w:fill="CCEDFF"/>
          </w:tcPr>
          <w:p>
            <w:pPr>
              <w:pStyle w:val="TableParagraph"/>
              <w:spacing w:line="180" w:lineRule="exact" w:before="3"/>
              <w:ind w:left="236"/>
              <w:rPr>
                <w:sz w:val="16"/>
              </w:rPr>
            </w:pPr>
            <w:r>
              <w:rPr>
                <w:spacing w:val="-5"/>
                <w:w w:val="105"/>
                <w:sz w:val="16"/>
              </w:rPr>
              <w:t>136</w:t>
            </w:r>
          </w:p>
        </w:tc>
        <w:tc>
          <w:tcPr>
            <w:tcW w:w="728" w:type="dxa"/>
            <w:shd w:val="clear" w:color="auto" w:fill="CCEDFF"/>
          </w:tcPr>
          <w:p>
            <w:pPr>
              <w:pStyle w:val="TableParagraph"/>
              <w:spacing w:line="180" w:lineRule="exact" w:before="3"/>
              <w:ind w:left="126"/>
              <w:rPr>
                <w:sz w:val="16"/>
              </w:rPr>
            </w:pPr>
            <w:r>
              <w:rPr>
                <w:spacing w:val="-10"/>
                <w:w w:val="105"/>
                <w:sz w:val="16"/>
              </w:rPr>
              <w:t>$</w:t>
            </w:r>
          </w:p>
        </w:tc>
        <w:tc>
          <w:tcPr>
            <w:tcW w:w="1005" w:type="dxa"/>
            <w:shd w:val="clear" w:color="auto" w:fill="CCEDFF"/>
          </w:tcPr>
          <w:p>
            <w:pPr>
              <w:pStyle w:val="TableParagraph"/>
              <w:spacing w:line="180" w:lineRule="exact" w:before="3"/>
              <w:ind w:right="114"/>
              <w:jc w:val="right"/>
              <w:rPr>
                <w:sz w:val="16"/>
              </w:rPr>
            </w:pPr>
            <w:r>
              <w:rPr>
                <w:spacing w:val="-5"/>
                <w:w w:val="105"/>
                <w:sz w:val="16"/>
              </w:rPr>
              <w:t>79</w:t>
            </w:r>
          </w:p>
        </w:tc>
      </w:tr>
      <w:tr>
        <w:trPr>
          <w:trHeight w:val="203" w:hRule="atLeast"/>
        </w:trPr>
        <w:tc>
          <w:tcPr>
            <w:tcW w:w="5566" w:type="dxa"/>
          </w:tcPr>
          <w:p>
            <w:pPr>
              <w:pStyle w:val="TableParagraph"/>
              <w:spacing w:line="180" w:lineRule="exact" w:before="3"/>
              <w:ind w:left="305"/>
              <w:rPr>
                <w:sz w:val="16"/>
              </w:rPr>
            </w:pPr>
            <w:r>
              <w:rPr>
                <w:w w:val="105"/>
                <w:sz w:val="16"/>
              </w:rPr>
              <w:t>Net</w:t>
            </w:r>
            <w:r>
              <w:rPr>
                <w:spacing w:val="-9"/>
                <w:w w:val="105"/>
                <w:sz w:val="16"/>
              </w:rPr>
              <w:t> </w:t>
            </w:r>
            <w:r>
              <w:rPr>
                <w:w w:val="105"/>
                <w:sz w:val="16"/>
              </w:rPr>
              <w:t>income</w:t>
            </w:r>
            <w:r>
              <w:rPr>
                <w:spacing w:val="-8"/>
                <w:w w:val="105"/>
                <w:sz w:val="16"/>
              </w:rPr>
              <w:t> </w:t>
            </w:r>
            <w:r>
              <w:rPr>
                <w:spacing w:val="-2"/>
                <w:w w:val="105"/>
                <w:sz w:val="16"/>
              </w:rPr>
              <w:t>(loss)</w:t>
            </w:r>
          </w:p>
        </w:tc>
        <w:tc>
          <w:tcPr>
            <w:tcW w:w="1947" w:type="dxa"/>
            <w:gridSpan w:val="2"/>
          </w:tcPr>
          <w:p>
            <w:pPr>
              <w:pStyle w:val="TableParagraph"/>
              <w:spacing w:line="180" w:lineRule="exact" w:before="3"/>
              <w:ind w:right="52"/>
              <w:jc w:val="center"/>
              <w:rPr>
                <w:b/>
                <w:sz w:val="16"/>
              </w:rPr>
            </w:pPr>
            <w:r>
              <w:rPr>
                <w:b/>
                <w:spacing w:val="-10"/>
                <w:w w:val="105"/>
                <w:sz w:val="16"/>
              </w:rPr>
              <w:t>$</w:t>
            </w:r>
          </w:p>
        </w:tc>
        <w:tc>
          <w:tcPr>
            <w:tcW w:w="538" w:type="dxa"/>
          </w:tcPr>
          <w:p>
            <w:pPr>
              <w:pStyle w:val="TableParagraph"/>
              <w:spacing w:line="180" w:lineRule="exact" w:before="3"/>
              <w:ind w:right="87"/>
              <w:jc w:val="right"/>
              <w:rPr>
                <w:b/>
                <w:sz w:val="16"/>
              </w:rPr>
            </w:pPr>
            <w:r>
              <w:rPr>
                <w:b/>
                <w:spacing w:val="-5"/>
                <w:w w:val="105"/>
                <w:sz w:val="16"/>
              </w:rPr>
              <w:t>113</w:t>
            </w:r>
          </w:p>
        </w:tc>
        <w:tc>
          <w:tcPr>
            <w:tcW w:w="1145" w:type="dxa"/>
          </w:tcPr>
          <w:p>
            <w:pPr>
              <w:pStyle w:val="TableParagraph"/>
              <w:spacing w:line="180" w:lineRule="exact" w:before="3"/>
              <w:ind w:left="139"/>
              <w:rPr>
                <w:sz w:val="16"/>
              </w:rPr>
            </w:pPr>
            <w:r>
              <w:rPr>
                <w:spacing w:val="-10"/>
                <w:w w:val="105"/>
                <w:sz w:val="16"/>
              </w:rPr>
              <w:t>$</w:t>
            </w:r>
          </w:p>
        </w:tc>
        <w:tc>
          <w:tcPr>
            <w:tcW w:w="588" w:type="dxa"/>
          </w:tcPr>
          <w:p>
            <w:pPr>
              <w:pStyle w:val="TableParagraph"/>
              <w:spacing w:line="180" w:lineRule="exact" w:before="3"/>
              <w:ind w:right="45"/>
              <w:jc w:val="right"/>
              <w:rPr>
                <w:sz w:val="16"/>
              </w:rPr>
            </w:pPr>
            <w:r>
              <w:rPr>
                <w:spacing w:val="-4"/>
                <w:w w:val="105"/>
                <w:sz w:val="16"/>
              </w:rPr>
              <w:t>(48)</w:t>
            </w:r>
          </w:p>
        </w:tc>
        <w:tc>
          <w:tcPr>
            <w:tcW w:w="728" w:type="dxa"/>
          </w:tcPr>
          <w:p>
            <w:pPr>
              <w:pStyle w:val="TableParagraph"/>
              <w:spacing w:line="180" w:lineRule="exact" w:before="3"/>
              <w:ind w:left="126"/>
              <w:rPr>
                <w:sz w:val="16"/>
              </w:rPr>
            </w:pPr>
            <w:r>
              <w:rPr>
                <w:spacing w:val="-10"/>
                <w:w w:val="105"/>
                <w:sz w:val="16"/>
              </w:rPr>
              <w:t>$</w:t>
            </w:r>
          </w:p>
        </w:tc>
        <w:tc>
          <w:tcPr>
            <w:tcW w:w="1005" w:type="dxa"/>
          </w:tcPr>
          <w:p>
            <w:pPr>
              <w:pStyle w:val="TableParagraph"/>
              <w:spacing w:line="180" w:lineRule="exact" w:before="3"/>
              <w:ind w:right="60"/>
              <w:jc w:val="right"/>
              <w:rPr>
                <w:sz w:val="16"/>
              </w:rPr>
            </w:pPr>
            <w:r>
              <w:rPr>
                <w:spacing w:val="-2"/>
                <w:w w:val="105"/>
                <w:sz w:val="16"/>
              </w:rPr>
              <w:t>(102)</w:t>
            </w:r>
          </w:p>
        </w:tc>
      </w:tr>
      <w:tr>
        <w:trPr>
          <w:trHeight w:val="203" w:hRule="atLeast"/>
        </w:trPr>
        <w:tc>
          <w:tcPr>
            <w:tcW w:w="5566" w:type="dxa"/>
            <w:shd w:val="clear" w:color="auto" w:fill="CCEDFF"/>
          </w:tcPr>
          <w:p>
            <w:pPr>
              <w:pStyle w:val="TableParagraph"/>
              <w:spacing w:line="180" w:lineRule="exact" w:before="3"/>
              <w:ind w:left="305"/>
              <w:rPr>
                <w:sz w:val="16"/>
              </w:rPr>
            </w:pPr>
            <w:r>
              <w:rPr>
                <w:w w:val="105"/>
                <w:sz w:val="16"/>
              </w:rPr>
              <w:t>Net</w:t>
            </w:r>
            <w:r>
              <w:rPr>
                <w:spacing w:val="-9"/>
                <w:w w:val="105"/>
                <w:sz w:val="16"/>
              </w:rPr>
              <w:t> </w:t>
            </w:r>
            <w:r>
              <w:rPr>
                <w:w w:val="105"/>
                <w:sz w:val="16"/>
              </w:rPr>
              <w:t>income</w:t>
            </w:r>
            <w:r>
              <w:rPr>
                <w:spacing w:val="-9"/>
                <w:w w:val="105"/>
                <w:sz w:val="16"/>
              </w:rPr>
              <w:t> </w:t>
            </w:r>
            <w:r>
              <w:rPr>
                <w:w w:val="105"/>
                <w:sz w:val="16"/>
              </w:rPr>
              <w:t>(loss)</w:t>
            </w:r>
            <w:r>
              <w:rPr>
                <w:spacing w:val="-9"/>
                <w:w w:val="105"/>
                <w:sz w:val="16"/>
              </w:rPr>
              <w:t> </w:t>
            </w:r>
            <w:r>
              <w:rPr>
                <w:w w:val="105"/>
                <w:sz w:val="16"/>
              </w:rPr>
              <w:t>attributable</w:t>
            </w:r>
            <w:r>
              <w:rPr>
                <w:spacing w:val="-9"/>
                <w:w w:val="105"/>
                <w:sz w:val="16"/>
              </w:rPr>
              <w:t> </w:t>
            </w:r>
            <w:r>
              <w:rPr>
                <w:w w:val="105"/>
                <w:sz w:val="16"/>
              </w:rPr>
              <w:t>to</w:t>
            </w:r>
            <w:r>
              <w:rPr>
                <w:spacing w:val="-9"/>
                <w:w w:val="105"/>
                <w:sz w:val="16"/>
              </w:rPr>
              <w:t> </w:t>
            </w:r>
            <w:r>
              <w:rPr>
                <w:w w:val="105"/>
                <w:sz w:val="16"/>
              </w:rPr>
              <w:t>the</w:t>
            </w:r>
            <w:r>
              <w:rPr>
                <w:spacing w:val="-9"/>
                <w:w w:val="105"/>
                <w:sz w:val="16"/>
              </w:rPr>
              <w:t> </w:t>
            </w:r>
            <w:r>
              <w:rPr>
                <w:w w:val="105"/>
                <w:sz w:val="16"/>
              </w:rPr>
              <w:t>affiliated</w:t>
            </w:r>
            <w:r>
              <w:rPr>
                <w:spacing w:val="-9"/>
                <w:w w:val="105"/>
                <w:sz w:val="16"/>
              </w:rPr>
              <w:t> </w:t>
            </w:r>
            <w:r>
              <w:rPr>
                <w:spacing w:val="-2"/>
                <w:w w:val="105"/>
                <w:sz w:val="16"/>
              </w:rPr>
              <w:t>companies</w:t>
            </w:r>
          </w:p>
        </w:tc>
        <w:tc>
          <w:tcPr>
            <w:tcW w:w="1947" w:type="dxa"/>
            <w:gridSpan w:val="2"/>
            <w:shd w:val="clear" w:color="auto" w:fill="CCEDFF"/>
          </w:tcPr>
          <w:p>
            <w:pPr>
              <w:pStyle w:val="TableParagraph"/>
              <w:spacing w:line="180" w:lineRule="exact" w:before="3"/>
              <w:ind w:right="52"/>
              <w:jc w:val="center"/>
              <w:rPr>
                <w:b/>
                <w:sz w:val="16"/>
              </w:rPr>
            </w:pPr>
            <w:r>
              <w:rPr>
                <w:b/>
                <w:spacing w:val="-10"/>
                <w:w w:val="105"/>
                <w:sz w:val="16"/>
              </w:rPr>
              <w:t>$</w:t>
            </w:r>
          </w:p>
        </w:tc>
        <w:tc>
          <w:tcPr>
            <w:tcW w:w="538" w:type="dxa"/>
            <w:shd w:val="clear" w:color="auto" w:fill="CCEDFF"/>
          </w:tcPr>
          <w:p>
            <w:pPr>
              <w:pStyle w:val="TableParagraph"/>
              <w:spacing w:line="180" w:lineRule="exact" w:before="3"/>
              <w:ind w:right="87"/>
              <w:jc w:val="right"/>
              <w:rPr>
                <w:b/>
                <w:sz w:val="16"/>
              </w:rPr>
            </w:pPr>
            <w:r>
              <w:rPr>
                <w:b/>
                <w:spacing w:val="-5"/>
                <w:w w:val="105"/>
                <w:sz w:val="16"/>
              </w:rPr>
              <w:t>114</w:t>
            </w:r>
          </w:p>
        </w:tc>
        <w:tc>
          <w:tcPr>
            <w:tcW w:w="1145" w:type="dxa"/>
            <w:shd w:val="clear" w:color="auto" w:fill="CCEDFF"/>
          </w:tcPr>
          <w:p>
            <w:pPr>
              <w:pStyle w:val="TableParagraph"/>
              <w:spacing w:line="180" w:lineRule="exact" w:before="3"/>
              <w:ind w:left="139"/>
              <w:rPr>
                <w:sz w:val="16"/>
              </w:rPr>
            </w:pPr>
            <w:r>
              <w:rPr>
                <w:spacing w:val="-10"/>
                <w:w w:val="105"/>
                <w:sz w:val="16"/>
              </w:rPr>
              <w:t>$</w:t>
            </w:r>
          </w:p>
        </w:tc>
        <w:tc>
          <w:tcPr>
            <w:tcW w:w="588" w:type="dxa"/>
            <w:shd w:val="clear" w:color="auto" w:fill="CCEDFF"/>
          </w:tcPr>
          <w:p>
            <w:pPr>
              <w:pStyle w:val="TableParagraph"/>
              <w:spacing w:line="180" w:lineRule="exact" w:before="3"/>
              <w:ind w:right="45"/>
              <w:jc w:val="right"/>
              <w:rPr>
                <w:sz w:val="16"/>
              </w:rPr>
            </w:pPr>
            <w:r>
              <w:rPr>
                <w:spacing w:val="-4"/>
                <w:w w:val="105"/>
                <w:sz w:val="16"/>
              </w:rPr>
              <w:t>(15)</w:t>
            </w:r>
          </w:p>
        </w:tc>
        <w:tc>
          <w:tcPr>
            <w:tcW w:w="728" w:type="dxa"/>
            <w:shd w:val="clear" w:color="auto" w:fill="CCEDFF"/>
          </w:tcPr>
          <w:p>
            <w:pPr>
              <w:pStyle w:val="TableParagraph"/>
              <w:spacing w:line="180" w:lineRule="exact" w:before="3"/>
              <w:ind w:left="126"/>
              <w:rPr>
                <w:sz w:val="16"/>
              </w:rPr>
            </w:pPr>
            <w:r>
              <w:rPr>
                <w:spacing w:val="-10"/>
                <w:w w:val="105"/>
                <w:sz w:val="16"/>
              </w:rPr>
              <w:t>$</w:t>
            </w:r>
          </w:p>
        </w:tc>
        <w:tc>
          <w:tcPr>
            <w:tcW w:w="1005" w:type="dxa"/>
            <w:shd w:val="clear" w:color="auto" w:fill="CCEDFF"/>
          </w:tcPr>
          <w:p>
            <w:pPr>
              <w:pStyle w:val="TableParagraph"/>
              <w:spacing w:line="180" w:lineRule="exact" w:before="3"/>
              <w:ind w:right="114"/>
              <w:jc w:val="right"/>
              <w:rPr>
                <w:sz w:val="16"/>
              </w:rPr>
            </w:pPr>
            <w:r>
              <w:rPr>
                <w:spacing w:val="-5"/>
                <w:w w:val="105"/>
                <w:sz w:val="16"/>
              </w:rPr>
              <w:t>70</w:t>
            </w:r>
          </w:p>
        </w:tc>
      </w:tr>
      <w:tr>
        <w:trPr>
          <w:trHeight w:val="203" w:hRule="atLeast"/>
        </w:trPr>
        <w:tc>
          <w:tcPr>
            <w:tcW w:w="5566" w:type="dxa"/>
          </w:tcPr>
          <w:p>
            <w:pPr>
              <w:pStyle w:val="TableParagraph"/>
              <w:spacing w:line="180" w:lineRule="exact" w:before="3"/>
              <w:ind w:left="305"/>
              <w:rPr>
                <w:sz w:val="16"/>
              </w:rPr>
            </w:pPr>
            <w:r>
              <w:rPr>
                <w:spacing w:val="-2"/>
                <w:w w:val="105"/>
                <w:sz w:val="16"/>
              </w:rPr>
              <w:t>Corning’s</w:t>
            </w:r>
            <w:r>
              <w:rPr>
                <w:spacing w:val="1"/>
                <w:w w:val="105"/>
                <w:sz w:val="16"/>
              </w:rPr>
              <w:t> </w:t>
            </w:r>
            <w:r>
              <w:rPr>
                <w:spacing w:val="-2"/>
                <w:w w:val="105"/>
                <w:sz w:val="16"/>
              </w:rPr>
              <w:t>equity</w:t>
            </w:r>
            <w:r>
              <w:rPr>
                <w:spacing w:val="1"/>
                <w:w w:val="105"/>
                <w:sz w:val="16"/>
              </w:rPr>
              <w:t> </w:t>
            </w:r>
            <w:r>
              <w:rPr>
                <w:spacing w:val="-2"/>
                <w:w w:val="105"/>
                <w:sz w:val="16"/>
              </w:rPr>
              <w:t>in</w:t>
            </w:r>
            <w:r>
              <w:rPr>
                <w:spacing w:val="1"/>
                <w:w w:val="105"/>
                <w:sz w:val="16"/>
              </w:rPr>
              <w:t> </w:t>
            </w:r>
            <w:r>
              <w:rPr>
                <w:spacing w:val="-2"/>
                <w:w w:val="105"/>
                <w:sz w:val="16"/>
              </w:rPr>
              <w:t>earnings</w:t>
            </w:r>
            <w:r>
              <w:rPr>
                <w:spacing w:val="1"/>
                <w:w w:val="105"/>
                <w:sz w:val="16"/>
              </w:rPr>
              <w:t> </w:t>
            </w:r>
            <w:r>
              <w:rPr>
                <w:spacing w:val="-2"/>
                <w:w w:val="105"/>
                <w:sz w:val="16"/>
              </w:rPr>
              <w:t>(losses)</w:t>
            </w:r>
            <w:r>
              <w:rPr>
                <w:spacing w:val="1"/>
                <w:w w:val="105"/>
                <w:sz w:val="16"/>
              </w:rPr>
              <w:t> </w:t>
            </w:r>
            <w:r>
              <w:rPr>
                <w:spacing w:val="-2"/>
                <w:w w:val="105"/>
                <w:sz w:val="16"/>
              </w:rPr>
              <w:t>of</w:t>
            </w:r>
            <w:r>
              <w:rPr>
                <w:spacing w:val="1"/>
                <w:w w:val="105"/>
                <w:sz w:val="16"/>
              </w:rPr>
              <w:t> </w:t>
            </w:r>
            <w:r>
              <w:rPr>
                <w:spacing w:val="-2"/>
                <w:w w:val="105"/>
                <w:sz w:val="16"/>
              </w:rPr>
              <w:t>affiliated</w:t>
            </w:r>
            <w:r>
              <w:rPr>
                <w:spacing w:val="1"/>
                <w:w w:val="105"/>
                <w:sz w:val="16"/>
              </w:rPr>
              <w:t> </w:t>
            </w:r>
            <w:r>
              <w:rPr>
                <w:spacing w:val="-2"/>
                <w:w w:val="105"/>
                <w:sz w:val="16"/>
              </w:rPr>
              <w:t>companies</w:t>
            </w:r>
          </w:p>
        </w:tc>
        <w:tc>
          <w:tcPr>
            <w:tcW w:w="1947" w:type="dxa"/>
            <w:gridSpan w:val="2"/>
          </w:tcPr>
          <w:p>
            <w:pPr>
              <w:pStyle w:val="TableParagraph"/>
              <w:spacing w:line="180" w:lineRule="exact" w:before="3"/>
              <w:ind w:right="52"/>
              <w:jc w:val="center"/>
              <w:rPr>
                <w:b/>
                <w:sz w:val="16"/>
              </w:rPr>
            </w:pPr>
            <w:r>
              <w:rPr>
                <w:b/>
                <w:spacing w:val="-10"/>
                <w:w w:val="105"/>
                <w:sz w:val="16"/>
              </w:rPr>
              <w:t>$</w:t>
            </w:r>
          </w:p>
        </w:tc>
        <w:tc>
          <w:tcPr>
            <w:tcW w:w="538" w:type="dxa"/>
          </w:tcPr>
          <w:p>
            <w:pPr>
              <w:pStyle w:val="TableParagraph"/>
              <w:spacing w:line="180" w:lineRule="exact" w:before="3"/>
              <w:ind w:right="87"/>
              <w:jc w:val="right"/>
              <w:rPr>
                <w:b/>
                <w:sz w:val="16"/>
              </w:rPr>
            </w:pPr>
            <w:r>
              <w:rPr>
                <w:b/>
                <w:spacing w:val="-5"/>
                <w:w w:val="105"/>
                <w:sz w:val="16"/>
              </w:rPr>
              <w:t>35</w:t>
            </w:r>
          </w:p>
        </w:tc>
        <w:tc>
          <w:tcPr>
            <w:tcW w:w="1145" w:type="dxa"/>
          </w:tcPr>
          <w:p>
            <w:pPr>
              <w:pStyle w:val="TableParagraph"/>
              <w:spacing w:line="180" w:lineRule="exact" w:before="3"/>
              <w:ind w:left="139"/>
              <w:rPr>
                <w:sz w:val="16"/>
              </w:rPr>
            </w:pPr>
            <w:r>
              <w:rPr>
                <w:spacing w:val="-10"/>
                <w:w w:val="105"/>
                <w:sz w:val="16"/>
              </w:rPr>
              <w:t>$</w:t>
            </w:r>
          </w:p>
        </w:tc>
        <w:tc>
          <w:tcPr>
            <w:tcW w:w="588" w:type="dxa"/>
          </w:tcPr>
          <w:p>
            <w:pPr>
              <w:pStyle w:val="TableParagraph"/>
              <w:spacing w:line="180" w:lineRule="exact" w:before="3"/>
              <w:ind w:right="45"/>
              <w:jc w:val="right"/>
              <w:rPr>
                <w:sz w:val="16"/>
              </w:rPr>
            </w:pPr>
            <w:r>
              <w:rPr>
                <w:spacing w:val="-4"/>
                <w:w w:val="105"/>
                <w:sz w:val="16"/>
              </w:rPr>
              <w:t>(25)</w:t>
            </w:r>
          </w:p>
        </w:tc>
        <w:tc>
          <w:tcPr>
            <w:tcW w:w="728" w:type="dxa"/>
          </w:tcPr>
          <w:p>
            <w:pPr>
              <w:pStyle w:val="TableParagraph"/>
              <w:spacing w:line="180" w:lineRule="exact" w:before="3"/>
              <w:ind w:left="126"/>
              <w:rPr>
                <w:sz w:val="16"/>
              </w:rPr>
            </w:pPr>
            <w:r>
              <w:rPr>
                <w:spacing w:val="-10"/>
                <w:w w:val="105"/>
                <w:sz w:val="16"/>
              </w:rPr>
              <w:t>$</w:t>
            </w:r>
          </w:p>
        </w:tc>
        <w:tc>
          <w:tcPr>
            <w:tcW w:w="1005" w:type="dxa"/>
          </w:tcPr>
          <w:p>
            <w:pPr>
              <w:pStyle w:val="TableParagraph"/>
              <w:spacing w:line="180" w:lineRule="exact" w:before="3"/>
              <w:ind w:right="114"/>
              <w:jc w:val="right"/>
              <w:rPr>
                <w:sz w:val="16"/>
              </w:rPr>
            </w:pPr>
            <w:r>
              <w:rPr>
                <w:spacing w:val="-5"/>
                <w:w w:val="105"/>
                <w:sz w:val="16"/>
              </w:rPr>
              <w:t>17</w:t>
            </w:r>
          </w:p>
        </w:tc>
      </w:tr>
      <w:tr>
        <w:trPr>
          <w:trHeight w:val="203" w:hRule="atLeast"/>
        </w:trPr>
        <w:tc>
          <w:tcPr>
            <w:tcW w:w="5566" w:type="dxa"/>
            <w:shd w:val="clear" w:color="auto" w:fill="CCEDFF"/>
          </w:tcPr>
          <w:p>
            <w:pPr>
              <w:pStyle w:val="TableParagraph"/>
              <w:rPr>
                <w:sz w:val="14"/>
              </w:rPr>
            </w:pPr>
          </w:p>
        </w:tc>
        <w:tc>
          <w:tcPr>
            <w:tcW w:w="1947" w:type="dxa"/>
            <w:gridSpan w:val="2"/>
            <w:shd w:val="clear" w:color="auto" w:fill="CCEDFF"/>
          </w:tcPr>
          <w:p>
            <w:pPr>
              <w:pStyle w:val="TableParagraph"/>
              <w:rPr>
                <w:sz w:val="14"/>
              </w:rPr>
            </w:pPr>
          </w:p>
        </w:tc>
        <w:tc>
          <w:tcPr>
            <w:tcW w:w="538" w:type="dxa"/>
            <w:shd w:val="clear" w:color="auto" w:fill="CCEDFF"/>
          </w:tcPr>
          <w:p>
            <w:pPr>
              <w:pStyle w:val="TableParagraph"/>
              <w:rPr>
                <w:sz w:val="14"/>
              </w:rPr>
            </w:pPr>
          </w:p>
        </w:tc>
        <w:tc>
          <w:tcPr>
            <w:tcW w:w="1145" w:type="dxa"/>
            <w:shd w:val="clear" w:color="auto" w:fill="CCEDFF"/>
          </w:tcPr>
          <w:p>
            <w:pPr>
              <w:pStyle w:val="TableParagraph"/>
              <w:rPr>
                <w:sz w:val="14"/>
              </w:rPr>
            </w:pPr>
          </w:p>
        </w:tc>
        <w:tc>
          <w:tcPr>
            <w:tcW w:w="588" w:type="dxa"/>
            <w:shd w:val="clear" w:color="auto" w:fill="CCEDFF"/>
          </w:tcPr>
          <w:p>
            <w:pPr>
              <w:pStyle w:val="TableParagraph"/>
              <w:rPr>
                <w:sz w:val="14"/>
              </w:rPr>
            </w:pPr>
          </w:p>
        </w:tc>
        <w:tc>
          <w:tcPr>
            <w:tcW w:w="728" w:type="dxa"/>
            <w:shd w:val="clear" w:color="auto" w:fill="CCEDFF"/>
          </w:tcPr>
          <w:p>
            <w:pPr>
              <w:pStyle w:val="TableParagraph"/>
              <w:rPr>
                <w:sz w:val="14"/>
              </w:rPr>
            </w:pPr>
          </w:p>
        </w:tc>
        <w:tc>
          <w:tcPr>
            <w:tcW w:w="1005" w:type="dxa"/>
            <w:shd w:val="clear" w:color="auto" w:fill="CCEDFF"/>
          </w:tcPr>
          <w:p>
            <w:pPr>
              <w:pStyle w:val="TableParagraph"/>
              <w:rPr>
                <w:sz w:val="14"/>
              </w:rPr>
            </w:pPr>
          </w:p>
        </w:tc>
      </w:tr>
      <w:tr>
        <w:trPr>
          <w:trHeight w:val="188" w:hRule="atLeast"/>
        </w:trPr>
        <w:tc>
          <w:tcPr>
            <w:tcW w:w="5566" w:type="dxa"/>
          </w:tcPr>
          <w:p>
            <w:pPr>
              <w:pStyle w:val="TableParagraph"/>
              <w:spacing w:line="165" w:lineRule="exact" w:before="3"/>
              <w:rPr>
                <w:sz w:val="16"/>
              </w:rPr>
            </w:pPr>
            <w:r>
              <w:rPr>
                <w:w w:val="105"/>
                <w:sz w:val="16"/>
              </w:rPr>
              <w:t>Related</w:t>
            </w:r>
            <w:r>
              <w:rPr>
                <w:spacing w:val="-10"/>
                <w:w w:val="105"/>
                <w:sz w:val="16"/>
              </w:rPr>
              <w:t> </w:t>
            </w:r>
            <w:r>
              <w:rPr>
                <w:w w:val="105"/>
                <w:sz w:val="16"/>
              </w:rPr>
              <w:t>party</w:t>
            </w:r>
            <w:r>
              <w:rPr>
                <w:spacing w:val="-9"/>
                <w:w w:val="105"/>
                <w:sz w:val="16"/>
              </w:rPr>
              <w:t> </w:t>
            </w:r>
            <w:r>
              <w:rPr>
                <w:spacing w:val="-2"/>
                <w:w w:val="105"/>
                <w:sz w:val="16"/>
              </w:rPr>
              <w:t>transactions:</w:t>
            </w:r>
          </w:p>
        </w:tc>
        <w:tc>
          <w:tcPr>
            <w:tcW w:w="1947" w:type="dxa"/>
            <w:gridSpan w:val="2"/>
          </w:tcPr>
          <w:p>
            <w:pPr>
              <w:pStyle w:val="TableParagraph"/>
              <w:rPr>
                <w:sz w:val="12"/>
              </w:rPr>
            </w:pPr>
          </w:p>
        </w:tc>
        <w:tc>
          <w:tcPr>
            <w:tcW w:w="538" w:type="dxa"/>
          </w:tcPr>
          <w:p>
            <w:pPr>
              <w:pStyle w:val="TableParagraph"/>
              <w:rPr>
                <w:sz w:val="12"/>
              </w:rPr>
            </w:pPr>
          </w:p>
        </w:tc>
        <w:tc>
          <w:tcPr>
            <w:tcW w:w="1145" w:type="dxa"/>
          </w:tcPr>
          <w:p>
            <w:pPr>
              <w:pStyle w:val="TableParagraph"/>
              <w:rPr>
                <w:sz w:val="12"/>
              </w:rPr>
            </w:pPr>
          </w:p>
        </w:tc>
        <w:tc>
          <w:tcPr>
            <w:tcW w:w="588" w:type="dxa"/>
          </w:tcPr>
          <w:p>
            <w:pPr>
              <w:pStyle w:val="TableParagraph"/>
              <w:rPr>
                <w:sz w:val="12"/>
              </w:rPr>
            </w:pPr>
          </w:p>
        </w:tc>
        <w:tc>
          <w:tcPr>
            <w:tcW w:w="728" w:type="dxa"/>
          </w:tcPr>
          <w:p>
            <w:pPr>
              <w:pStyle w:val="TableParagraph"/>
              <w:rPr>
                <w:sz w:val="12"/>
              </w:rPr>
            </w:pPr>
          </w:p>
        </w:tc>
        <w:tc>
          <w:tcPr>
            <w:tcW w:w="1005" w:type="dxa"/>
          </w:tcPr>
          <w:p>
            <w:pPr>
              <w:pStyle w:val="TableParagraph"/>
              <w:rPr>
                <w:sz w:val="12"/>
              </w:rPr>
            </w:pPr>
          </w:p>
        </w:tc>
      </w:tr>
      <w:tr>
        <w:trPr>
          <w:trHeight w:val="218" w:hRule="atLeast"/>
        </w:trPr>
        <w:tc>
          <w:tcPr>
            <w:tcW w:w="5566" w:type="dxa"/>
            <w:shd w:val="clear" w:color="auto" w:fill="CCEDFF"/>
          </w:tcPr>
          <w:p>
            <w:pPr>
              <w:pStyle w:val="TableParagraph"/>
              <w:spacing w:line="180" w:lineRule="exact" w:before="3"/>
              <w:ind w:left="305"/>
              <w:rPr>
                <w:sz w:val="16"/>
              </w:rPr>
            </w:pPr>
            <w:r>
              <w:rPr>
                <w:w w:val="105"/>
                <w:sz w:val="16"/>
              </w:rPr>
              <w:t>Corning</w:t>
            </w:r>
            <w:r>
              <w:rPr>
                <w:spacing w:val="-10"/>
                <w:w w:val="105"/>
                <w:sz w:val="16"/>
              </w:rPr>
              <w:t> </w:t>
            </w:r>
            <w:r>
              <w:rPr>
                <w:w w:val="105"/>
                <w:sz w:val="16"/>
              </w:rPr>
              <w:t>sales</w:t>
            </w:r>
            <w:r>
              <w:rPr>
                <w:spacing w:val="-9"/>
                <w:w w:val="105"/>
                <w:sz w:val="16"/>
              </w:rPr>
              <w:t> </w:t>
            </w:r>
            <w:r>
              <w:rPr>
                <w:w w:val="105"/>
                <w:sz w:val="16"/>
              </w:rPr>
              <w:t>to</w:t>
            </w:r>
            <w:r>
              <w:rPr>
                <w:spacing w:val="-9"/>
                <w:w w:val="105"/>
                <w:sz w:val="16"/>
              </w:rPr>
              <w:t> </w:t>
            </w:r>
            <w:r>
              <w:rPr>
                <w:w w:val="105"/>
                <w:sz w:val="16"/>
              </w:rPr>
              <w:t>affiliated</w:t>
            </w:r>
            <w:r>
              <w:rPr>
                <w:spacing w:val="-9"/>
                <w:w w:val="105"/>
                <w:sz w:val="16"/>
              </w:rPr>
              <w:t> </w:t>
            </w:r>
            <w:r>
              <w:rPr>
                <w:spacing w:val="-2"/>
                <w:w w:val="105"/>
                <w:sz w:val="16"/>
              </w:rPr>
              <w:t>companies</w:t>
            </w:r>
          </w:p>
        </w:tc>
        <w:tc>
          <w:tcPr>
            <w:tcW w:w="1947" w:type="dxa"/>
            <w:gridSpan w:val="2"/>
            <w:shd w:val="clear" w:color="auto" w:fill="CCEDFF"/>
          </w:tcPr>
          <w:p>
            <w:pPr>
              <w:pStyle w:val="TableParagraph"/>
              <w:spacing w:line="180" w:lineRule="exact" w:before="3"/>
              <w:ind w:right="52"/>
              <w:jc w:val="center"/>
              <w:rPr>
                <w:b/>
                <w:sz w:val="16"/>
              </w:rPr>
            </w:pPr>
            <w:r>
              <w:rPr>
                <w:b/>
                <w:spacing w:val="-10"/>
                <w:w w:val="105"/>
                <w:sz w:val="16"/>
              </w:rPr>
              <w:t>$</w:t>
            </w:r>
          </w:p>
        </w:tc>
        <w:tc>
          <w:tcPr>
            <w:tcW w:w="538" w:type="dxa"/>
            <w:shd w:val="clear" w:color="auto" w:fill="CCEDFF"/>
          </w:tcPr>
          <w:p>
            <w:pPr>
              <w:pStyle w:val="TableParagraph"/>
              <w:spacing w:line="180" w:lineRule="exact" w:before="3"/>
              <w:ind w:right="87"/>
              <w:jc w:val="right"/>
              <w:rPr>
                <w:b/>
                <w:sz w:val="16"/>
              </w:rPr>
            </w:pPr>
            <w:r>
              <w:rPr>
                <w:b/>
                <w:spacing w:val="-5"/>
                <w:w w:val="105"/>
                <w:sz w:val="16"/>
              </w:rPr>
              <w:t>312</w:t>
            </w:r>
          </w:p>
        </w:tc>
        <w:tc>
          <w:tcPr>
            <w:tcW w:w="1145" w:type="dxa"/>
            <w:shd w:val="clear" w:color="auto" w:fill="CCEDFF"/>
          </w:tcPr>
          <w:p>
            <w:pPr>
              <w:pStyle w:val="TableParagraph"/>
              <w:spacing w:line="180" w:lineRule="exact" w:before="3"/>
              <w:ind w:left="139"/>
              <w:rPr>
                <w:sz w:val="16"/>
              </w:rPr>
            </w:pPr>
            <w:r>
              <w:rPr>
                <w:spacing w:val="-10"/>
                <w:w w:val="105"/>
                <w:sz w:val="16"/>
              </w:rPr>
              <w:t>$</w:t>
            </w:r>
          </w:p>
        </w:tc>
        <w:tc>
          <w:tcPr>
            <w:tcW w:w="588" w:type="dxa"/>
            <w:shd w:val="clear" w:color="auto" w:fill="CCEDFF"/>
          </w:tcPr>
          <w:p>
            <w:pPr>
              <w:pStyle w:val="TableParagraph"/>
              <w:spacing w:line="180" w:lineRule="exact" w:before="3"/>
              <w:ind w:left="236"/>
              <w:rPr>
                <w:sz w:val="16"/>
              </w:rPr>
            </w:pPr>
            <w:r>
              <w:rPr>
                <w:spacing w:val="-5"/>
                <w:w w:val="105"/>
                <w:sz w:val="16"/>
              </w:rPr>
              <w:t>253</w:t>
            </w:r>
          </w:p>
        </w:tc>
        <w:tc>
          <w:tcPr>
            <w:tcW w:w="728" w:type="dxa"/>
            <w:shd w:val="clear" w:color="auto" w:fill="CCEDFF"/>
          </w:tcPr>
          <w:p>
            <w:pPr>
              <w:pStyle w:val="TableParagraph"/>
              <w:spacing w:line="180" w:lineRule="exact" w:before="3"/>
              <w:ind w:left="126"/>
              <w:rPr>
                <w:sz w:val="16"/>
              </w:rPr>
            </w:pPr>
            <w:r>
              <w:rPr>
                <w:spacing w:val="-10"/>
                <w:w w:val="105"/>
                <w:sz w:val="16"/>
              </w:rPr>
              <w:t>$</w:t>
            </w:r>
          </w:p>
        </w:tc>
        <w:tc>
          <w:tcPr>
            <w:tcW w:w="1005" w:type="dxa"/>
            <w:shd w:val="clear" w:color="auto" w:fill="CCEDFF"/>
          </w:tcPr>
          <w:p>
            <w:pPr>
              <w:pStyle w:val="TableParagraph"/>
              <w:spacing w:line="180" w:lineRule="exact" w:before="3"/>
              <w:ind w:right="114"/>
              <w:jc w:val="right"/>
              <w:rPr>
                <w:sz w:val="16"/>
              </w:rPr>
            </w:pPr>
            <w:r>
              <w:rPr>
                <w:spacing w:val="-5"/>
                <w:w w:val="105"/>
                <w:sz w:val="16"/>
              </w:rPr>
              <w:t>277</w:t>
            </w:r>
          </w:p>
        </w:tc>
      </w:tr>
      <w:tr>
        <w:trPr>
          <w:trHeight w:val="203" w:hRule="atLeast"/>
        </w:trPr>
        <w:tc>
          <w:tcPr>
            <w:tcW w:w="5566" w:type="dxa"/>
          </w:tcPr>
          <w:p>
            <w:pPr>
              <w:pStyle w:val="TableParagraph"/>
              <w:spacing w:line="180" w:lineRule="exact" w:before="3"/>
              <w:ind w:left="305"/>
              <w:rPr>
                <w:sz w:val="16"/>
              </w:rPr>
            </w:pPr>
            <w:r>
              <w:rPr>
                <w:sz w:val="16"/>
              </w:rPr>
              <w:t>Corning</w:t>
            </w:r>
            <w:r>
              <w:rPr>
                <w:spacing w:val="14"/>
                <w:sz w:val="16"/>
              </w:rPr>
              <w:t> </w:t>
            </w:r>
            <w:r>
              <w:rPr>
                <w:sz w:val="16"/>
              </w:rPr>
              <w:t>purchases</w:t>
            </w:r>
            <w:r>
              <w:rPr>
                <w:spacing w:val="15"/>
                <w:sz w:val="16"/>
              </w:rPr>
              <w:t> </w:t>
            </w:r>
            <w:r>
              <w:rPr>
                <w:sz w:val="16"/>
              </w:rPr>
              <w:t>from</w:t>
            </w:r>
            <w:r>
              <w:rPr>
                <w:spacing w:val="15"/>
                <w:sz w:val="16"/>
              </w:rPr>
              <w:t> </w:t>
            </w:r>
            <w:r>
              <w:rPr>
                <w:sz w:val="16"/>
              </w:rPr>
              <w:t>affiliated</w:t>
            </w:r>
            <w:r>
              <w:rPr>
                <w:spacing w:val="15"/>
                <w:sz w:val="16"/>
              </w:rPr>
              <w:t> </w:t>
            </w:r>
            <w:r>
              <w:rPr>
                <w:spacing w:val="-2"/>
                <w:sz w:val="16"/>
              </w:rPr>
              <w:t>companies</w:t>
            </w:r>
          </w:p>
        </w:tc>
        <w:tc>
          <w:tcPr>
            <w:tcW w:w="1947" w:type="dxa"/>
            <w:gridSpan w:val="2"/>
          </w:tcPr>
          <w:p>
            <w:pPr>
              <w:pStyle w:val="TableParagraph"/>
              <w:spacing w:line="180" w:lineRule="exact" w:before="3"/>
              <w:ind w:right="52"/>
              <w:jc w:val="center"/>
              <w:rPr>
                <w:b/>
                <w:sz w:val="16"/>
              </w:rPr>
            </w:pPr>
            <w:r>
              <w:rPr>
                <w:b/>
                <w:spacing w:val="-10"/>
                <w:w w:val="105"/>
                <w:sz w:val="16"/>
              </w:rPr>
              <w:t>$</w:t>
            </w:r>
          </w:p>
        </w:tc>
        <w:tc>
          <w:tcPr>
            <w:tcW w:w="538" w:type="dxa"/>
          </w:tcPr>
          <w:p>
            <w:pPr>
              <w:pStyle w:val="TableParagraph"/>
              <w:spacing w:line="180" w:lineRule="exact" w:before="3"/>
              <w:ind w:right="87"/>
              <w:jc w:val="right"/>
              <w:rPr>
                <w:b/>
                <w:sz w:val="16"/>
              </w:rPr>
            </w:pPr>
            <w:r>
              <w:rPr>
                <w:b/>
                <w:spacing w:val="-5"/>
                <w:w w:val="105"/>
                <w:sz w:val="16"/>
              </w:rPr>
              <w:t>12</w:t>
            </w:r>
          </w:p>
        </w:tc>
        <w:tc>
          <w:tcPr>
            <w:tcW w:w="1145" w:type="dxa"/>
          </w:tcPr>
          <w:p>
            <w:pPr>
              <w:pStyle w:val="TableParagraph"/>
              <w:spacing w:line="180" w:lineRule="exact" w:before="3"/>
              <w:ind w:left="139"/>
              <w:rPr>
                <w:sz w:val="16"/>
              </w:rPr>
            </w:pPr>
            <w:r>
              <w:rPr>
                <w:spacing w:val="-10"/>
                <w:w w:val="105"/>
                <w:sz w:val="16"/>
              </w:rPr>
              <w:t>$</w:t>
            </w:r>
          </w:p>
        </w:tc>
        <w:tc>
          <w:tcPr>
            <w:tcW w:w="588" w:type="dxa"/>
          </w:tcPr>
          <w:p>
            <w:pPr>
              <w:pStyle w:val="TableParagraph"/>
              <w:spacing w:line="180" w:lineRule="exact" w:before="3"/>
              <w:ind w:right="100"/>
              <w:jc w:val="right"/>
              <w:rPr>
                <w:sz w:val="16"/>
              </w:rPr>
            </w:pPr>
            <w:r>
              <w:rPr>
                <w:spacing w:val="-10"/>
                <w:w w:val="105"/>
                <w:sz w:val="16"/>
              </w:rPr>
              <w:t>8</w:t>
            </w:r>
          </w:p>
        </w:tc>
        <w:tc>
          <w:tcPr>
            <w:tcW w:w="728" w:type="dxa"/>
          </w:tcPr>
          <w:p>
            <w:pPr>
              <w:pStyle w:val="TableParagraph"/>
              <w:spacing w:line="180" w:lineRule="exact" w:before="3"/>
              <w:ind w:left="126"/>
              <w:rPr>
                <w:sz w:val="16"/>
              </w:rPr>
            </w:pPr>
            <w:r>
              <w:rPr>
                <w:spacing w:val="-10"/>
                <w:w w:val="105"/>
                <w:sz w:val="16"/>
              </w:rPr>
              <w:t>$</w:t>
            </w:r>
          </w:p>
        </w:tc>
        <w:tc>
          <w:tcPr>
            <w:tcW w:w="1005" w:type="dxa"/>
          </w:tcPr>
          <w:p>
            <w:pPr>
              <w:pStyle w:val="TableParagraph"/>
              <w:spacing w:line="180" w:lineRule="exact" w:before="3"/>
              <w:ind w:right="114"/>
              <w:jc w:val="right"/>
              <w:rPr>
                <w:sz w:val="16"/>
              </w:rPr>
            </w:pPr>
            <w:r>
              <w:rPr>
                <w:spacing w:val="-5"/>
                <w:w w:val="105"/>
                <w:sz w:val="16"/>
              </w:rPr>
              <w:t>12</w:t>
            </w:r>
          </w:p>
        </w:tc>
      </w:tr>
      <w:tr>
        <w:trPr>
          <w:trHeight w:val="203" w:hRule="atLeast"/>
        </w:trPr>
        <w:tc>
          <w:tcPr>
            <w:tcW w:w="5566" w:type="dxa"/>
            <w:shd w:val="clear" w:color="auto" w:fill="CCEDFF"/>
          </w:tcPr>
          <w:p>
            <w:pPr>
              <w:pStyle w:val="TableParagraph"/>
              <w:spacing w:line="180" w:lineRule="exact" w:before="3"/>
              <w:ind w:left="305"/>
              <w:rPr>
                <w:sz w:val="16"/>
              </w:rPr>
            </w:pPr>
            <w:r>
              <w:rPr>
                <w:w w:val="105"/>
                <w:sz w:val="16"/>
              </w:rPr>
              <w:t>Corning</w:t>
            </w:r>
            <w:r>
              <w:rPr>
                <w:spacing w:val="-9"/>
                <w:w w:val="105"/>
                <w:sz w:val="16"/>
              </w:rPr>
              <w:t> </w:t>
            </w:r>
            <w:r>
              <w:rPr>
                <w:w w:val="105"/>
                <w:sz w:val="16"/>
              </w:rPr>
              <w:t>transfers</w:t>
            </w:r>
            <w:r>
              <w:rPr>
                <w:spacing w:val="-9"/>
                <w:w w:val="105"/>
                <w:sz w:val="16"/>
              </w:rPr>
              <w:t> </w:t>
            </w:r>
            <w:r>
              <w:rPr>
                <w:w w:val="105"/>
                <w:sz w:val="16"/>
              </w:rPr>
              <w:t>of</w:t>
            </w:r>
            <w:r>
              <w:rPr>
                <w:spacing w:val="-8"/>
                <w:w w:val="105"/>
                <w:sz w:val="16"/>
              </w:rPr>
              <w:t> </w:t>
            </w:r>
            <w:r>
              <w:rPr>
                <w:w w:val="105"/>
                <w:sz w:val="16"/>
              </w:rPr>
              <w:t>assets,</w:t>
            </w:r>
            <w:r>
              <w:rPr>
                <w:spacing w:val="-9"/>
                <w:w w:val="105"/>
                <w:sz w:val="16"/>
              </w:rPr>
              <w:t> </w:t>
            </w:r>
            <w:r>
              <w:rPr>
                <w:w w:val="105"/>
                <w:sz w:val="16"/>
              </w:rPr>
              <w:t>at</w:t>
            </w:r>
            <w:r>
              <w:rPr>
                <w:spacing w:val="-8"/>
                <w:w w:val="105"/>
                <w:sz w:val="16"/>
              </w:rPr>
              <w:t> </w:t>
            </w:r>
            <w:r>
              <w:rPr>
                <w:w w:val="105"/>
                <w:sz w:val="16"/>
              </w:rPr>
              <w:t>cost,</w:t>
            </w:r>
            <w:r>
              <w:rPr>
                <w:spacing w:val="-9"/>
                <w:w w:val="105"/>
                <w:sz w:val="16"/>
              </w:rPr>
              <w:t> </w:t>
            </w:r>
            <w:r>
              <w:rPr>
                <w:w w:val="105"/>
                <w:sz w:val="16"/>
              </w:rPr>
              <w:t>to</w:t>
            </w:r>
            <w:r>
              <w:rPr>
                <w:spacing w:val="-8"/>
                <w:w w:val="105"/>
                <w:sz w:val="16"/>
              </w:rPr>
              <w:t> </w:t>
            </w:r>
            <w:r>
              <w:rPr>
                <w:w w:val="105"/>
                <w:sz w:val="16"/>
              </w:rPr>
              <w:t>affiliated</w:t>
            </w:r>
            <w:r>
              <w:rPr>
                <w:spacing w:val="-7"/>
                <w:w w:val="105"/>
                <w:sz w:val="16"/>
              </w:rPr>
              <w:t> </w:t>
            </w:r>
            <w:r>
              <w:rPr>
                <w:spacing w:val="-2"/>
                <w:w w:val="105"/>
                <w:sz w:val="16"/>
              </w:rPr>
              <w:t>companies</w:t>
            </w:r>
          </w:p>
        </w:tc>
        <w:tc>
          <w:tcPr>
            <w:tcW w:w="1947" w:type="dxa"/>
            <w:gridSpan w:val="2"/>
            <w:shd w:val="clear" w:color="auto" w:fill="CCEDFF"/>
          </w:tcPr>
          <w:p>
            <w:pPr>
              <w:pStyle w:val="TableParagraph"/>
              <w:spacing w:line="180" w:lineRule="exact" w:before="3"/>
              <w:ind w:right="52"/>
              <w:jc w:val="center"/>
              <w:rPr>
                <w:b/>
                <w:sz w:val="16"/>
              </w:rPr>
            </w:pPr>
            <w:r>
              <w:rPr>
                <w:b/>
                <w:spacing w:val="-10"/>
                <w:w w:val="105"/>
                <w:sz w:val="16"/>
              </w:rPr>
              <w:t>$</w:t>
            </w:r>
          </w:p>
        </w:tc>
        <w:tc>
          <w:tcPr>
            <w:tcW w:w="538" w:type="dxa"/>
            <w:shd w:val="clear" w:color="auto" w:fill="CCEDFF"/>
          </w:tcPr>
          <w:p>
            <w:pPr>
              <w:pStyle w:val="TableParagraph"/>
              <w:spacing w:line="180" w:lineRule="exact" w:before="3"/>
              <w:ind w:right="87"/>
              <w:jc w:val="right"/>
              <w:rPr>
                <w:b/>
                <w:sz w:val="16"/>
              </w:rPr>
            </w:pPr>
            <w:r>
              <w:rPr>
                <w:b/>
                <w:spacing w:val="-10"/>
                <w:w w:val="105"/>
                <w:sz w:val="16"/>
              </w:rPr>
              <w:t>1</w:t>
            </w:r>
          </w:p>
        </w:tc>
        <w:tc>
          <w:tcPr>
            <w:tcW w:w="1145" w:type="dxa"/>
            <w:shd w:val="clear" w:color="auto" w:fill="CCEDFF"/>
          </w:tcPr>
          <w:p>
            <w:pPr>
              <w:pStyle w:val="TableParagraph"/>
              <w:spacing w:line="180" w:lineRule="exact" w:before="3"/>
              <w:ind w:left="139"/>
              <w:rPr>
                <w:sz w:val="16"/>
              </w:rPr>
            </w:pPr>
            <w:r>
              <w:rPr>
                <w:spacing w:val="-10"/>
                <w:w w:val="105"/>
                <w:sz w:val="16"/>
              </w:rPr>
              <w:t>$</w:t>
            </w:r>
          </w:p>
        </w:tc>
        <w:tc>
          <w:tcPr>
            <w:tcW w:w="588" w:type="dxa"/>
            <w:shd w:val="clear" w:color="auto" w:fill="CCEDFF"/>
          </w:tcPr>
          <w:p>
            <w:pPr>
              <w:pStyle w:val="TableParagraph"/>
              <w:spacing w:line="180" w:lineRule="exact" w:before="3"/>
              <w:ind w:right="100"/>
              <w:jc w:val="right"/>
              <w:rPr>
                <w:sz w:val="16"/>
              </w:rPr>
            </w:pPr>
            <w:r>
              <w:rPr>
                <w:spacing w:val="-10"/>
                <w:w w:val="105"/>
                <w:sz w:val="16"/>
              </w:rPr>
              <w:t>9</w:t>
            </w:r>
          </w:p>
        </w:tc>
        <w:tc>
          <w:tcPr>
            <w:tcW w:w="728" w:type="dxa"/>
            <w:shd w:val="clear" w:color="auto" w:fill="CCEDFF"/>
          </w:tcPr>
          <w:p>
            <w:pPr>
              <w:pStyle w:val="TableParagraph"/>
              <w:spacing w:line="180" w:lineRule="exact" w:before="3"/>
              <w:ind w:left="126"/>
              <w:rPr>
                <w:sz w:val="16"/>
              </w:rPr>
            </w:pPr>
            <w:r>
              <w:rPr>
                <w:spacing w:val="-10"/>
                <w:w w:val="105"/>
                <w:sz w:val="16"/>
              </w:rPr>
              <w:t>$</w:t>
            </w:r>
          </w:p>
        </w:tc>
        <w:tc>
          <w:tcPr>
            <w:tcW w:w="1005" w:type="dxa"/>
            <w:shd w:val="clear" w:color="auto" w:fill="CCEDFF"/>
          </w:tcPr>
          <w:p>
            <w:pPr>
              <w:pStyle w:val="TableParagraph"/>
              <w:spacing w:line="180" w:lineRule="exact" w:before="3"/>
              <w:ind w:right="114"/>
              <w:jc w:val="right"/>
              <w:rPr>
                <w:sz w:val="16"/>
              </w:rPr>
            </w:pPr>
            <w:r>
              <w:rPr>
                <w:spacing w:val="-10"/>
                <w:w w:val="105"/>
                <w:sz w:val="16"/>
              </w:rPr>
              <w:t>8</w:t>
            </w:r>
          </w:p>
        </w:tc>
      </w:tr>
      <w:tr>
        <w:trPr>
          <w:trHeight w:val="203" w:hRule="atLeast"/>
        </w:trPr>
        <w:tc>
          <w:tcPr>
            <w:tcW w:w="5566" w:type="dxa"/>
          </w:tcPr>
          <w:p>
            <w:pPr>
              <w:pStyle w:val="TableParagraph"/>
              <w:spacing w:line="180" w:lineRule="exact" w:before="3"/>
              <w:ind w:left="305"/>
              <w:rPr>
                <w:sz w:val="16"/>
              </w:rPr>
            </w:pPr>
            <w:r>
              <w:rPr>
                <w:sz w:val="16"/>
              </w:rPr>
              <w:t>Dividends</w:t>
            </w:r>
            <w:r>
              <w:rPr>
                <w:spacing w:val="15"/>
                <w:sz w:val="16"/>
              </w:rPr>
              <w:t> </w:t>
            </w:r>
            <w:r>
              <w:rPr>
                <w:sz w:val="16"/>
              </w:rPr>
              <w:t>received</w:t>
            </w:r>
            <w:r>
              <w:rPr>
                <w:spacing w:val="15"/>
                <w:sz w:val="16"/>
              </w:rPr>
              <w:t> </w:t>
            </w:r>
            <w:r>
              <w:rPr>
                <w:sz w:val="16"/>
              </w:rPr>
              <w:t>from</w:t>
            </w:r>
            <w:r>
              <w:rPr>
                <w:spacing w:val="15"/>
                <w:sz w:val="16"/>
              </w:rPr>
              <w:t> </w:t>
            </w:r>
            <w:r>
              <w:rPr>
                <w:sz w:val="16"/>
              </w:rPr>
              <w:t>affiliated</w:t>
            </w:r>
            <w:r>
              <w:rPr>
                <w:spacing w:val="15"/>
                <w:sz w:val="16"/>
              </w:rPr>
              <w:t> </w:t>
            </w:r>
            <w:r>
              <w:rPr>
                <w:spacing w:val="-2"/>
                <w:sz w:val="16"/>
              </w:rPr>
              <w:t>companies</w:t>
            </w:r>
          </w:p>
        </w:tc>
        <w:tc>
          <w:tcPr>
            <w:tcW w:w="1947" w:type="dxa"/>
            <w:gridSpan w:val="2"/>
          </w:tcPr>
          <w:p>
            <w:pPr>
              <w:pStyle w:val="TableParagraph"/>
              <w:spacing w:line="180" w:lineRule="exact" w:before="3"/>
              <w:ind w:right="52"/>
              <w:jc w:val="center"/>
              <w:rPr>
                <w:b/>
                <w:sz w:val="16"/>
              </w:rPr>
            </w:pPr>
            <w:r>
              <w:rPr>
                <w:b/>
                <w:spacing w:val="-10"/>
                <w:w w:val="105"/>
                <w:sz w:val="16"/>
              </w:rPr>
              <w:t>$</w:t>
            </w:r>
          </w:p>
        </w:tc>
        <w:tc>
          <w:tcPr>
            <w:tcW w:w="538" w:type="dxa"/>
          </w:tcPr>
          <w:p>
            <w:pPr>
              <w:pStyle w:val="TableParagraph"/>
              <w:spacing w:line="180" w:lineRule="exact" w:before="3"/>
              <w:ind w:right="87"/>
              <w:jc w:val="right"/>
              <w:rPr>
                <w:b/>
                <w:sz w:val="16"/>
              </w:rPr>
            </w:pPr>
            <w:r>
              <w:rPr>
                <w:b/>
                <w:spacing w:val="-10"/>
                <w:w w:val="105"/>
                <w:sz w:val="16"/>
              </w:rPr>
              <w:t>6</w:t>
            </w:r>
          </w:p>
        </w:tc>
        <w:tc>
          <w:tcPr>
            <w:tcW w:w="1145" w:type="dxa"/>
          </w:tcPr>
          <w:p>
            <w:pPr>
              <w:pStyle w:val="TableParagraph"/>
              <w:spacing w:line="180" w:lineRule="exact" w:before="3"/>
              <w:ind w:left="139"/>
              <w:rPr>
                <w:sz w:val="16"/>
              </w:rPr>
            </w:pPr>
            <w:r>
              <w:rPr>
                <w:spacing w:val="-10"/>
                <w:w w:val="105"/>
                <w:sz w:val="16"/>
              </w:rPr>
              <w:t>$</w:t>
            </w:r>
          </w:p>
        </w:tc>
        <w:tc>
          <w:tcPr>
            <w:tcW w:w="588" w:type="dxa"/>
          </w:tcPr>
          <w:p>
            <w:pPr>
              <w:pStyle w:val="TableParagraph"/>
              <w:spacing w:line="180" w:lineRule="exact" w:before="3"/>
              <w:ind w:right="100"/>
              <w:jc w:val="right"/>
              <w:rPr>
                <w:sz w:val="16"/>
              </w:rPr>
            </w:pPr>
            <w:r>
              <w:rPr>
                <w:spacing w:val="-10"/>
                <w:w w:val="105"/>
                <w:sz w:val="16"/>
              </w:rPr>
              <w:t>1</w:t>
            </w:r>
          </w:p>
        </w:tc>
        <w:tc>
          <w:tcPr>
            <w:tcW w:w="728" w:type="dxa"/>
          </w:tcPr>
          <w:p>
            <w:pPr>
              <w:pStyle w:val="TableParagraph"/>
              <w:spacing w:line="180" w:lineRule="exact" w:before="3"/>
              <w:ind w:left="126"/>
              <w:rPr>
                <w:sz w:val="16"/>
              </w:rPr>
            </w:pPr>
            <w:r>
              <w:rPr>
                <w:spacing w:val="-10"/>
                <w:w w:val="105"/>
                <w:sz w:val="16"/>
              </w:rPr>
              <w:t>$</w:t>
            </w:r>
          </w:p>
        </w:tc>
        <w:tc>
          <w:tcPr>
            <w:tcW w:w="1005" w:type="dxa"/>
          </w:tcPr>
          <w:p>
            <w:pPr>
              <w:pStyle w:val="TableParagraph"/>
              <w:spacing w:line="180" w:lineRule="exact" w:before="3"/>
              <w:ind w:right="114"/>
              <w:jc w:val="right"/>
              <w:rPr>
                <w:sz w:val="16"/>
              </w:rPr>
            </w:pPr>
            <w:r>
              <w:rPr>
                <w:spacing w:val="-5"/>
                <w:w w:val="105"/>
                <w:sz w:val="16"/>
              </w:rPr>
              <w:t>106</w:t>
            </w:r>
          </w:p>
        </w:tc>
      </w:tr>
      <w:tr>
        <w:trPr>
          <w:trHeight w:val="202" w:hRule="atLeast"/>
        </w:trPr>
        <w:tc>
          <w:tcPr>
            <w:tcW w:w="5566" w:type="dxa"/>
            <w:tcBorders>
              <w:bottom w:val="single" w:sz="6" w:space="0" w:color="000000"/>
            </w:tcBorders>
            <w:shd w:val="clear" w:color="auto" w:fill="CCEDFF"/>
          </w:tcPr>
          <w:p>
            <w:pPr>
              <w:pStyle w:val="TableParagraph"/>
              <w:spacing w:line="179" w:lineRule="exact" w:before="3"/>
              <w:ind w:left="305"/>
              <w:rPr>
                <w:sz w:val="16"/>
              </w:rPr>
            </w:pPr>
            <w:r>
              <w:rPr>
                <w:w w:val="105"/>
                <w:sz w:val="16"/>
              </w:rPr>
              <w:t>Intercompany</w:t>
            </w:r>
            <w:r>
              <w:rPr>
                <w:spacing w:val="-10"/>
                <w:w w:val="105"/>
                <w:sz w:val="16"/>
              </w:rPr>
              <w:t> </w:t>
            </w:r>
            <w:r>
              <w:rPr>
                <w:w w:val="105"/>
                <w:sz w:val="16"/>
              </w:rPr>
              <w:t>sales</w:t>
            </w:r>
            <w:r>
              <w:rPr>
                <w:spacing w:val="-10"/>
                <w:w w:val="105"/>
                <w:sz w:val="16"/>
              </w:rPr>
              <w:t> </w:t>
            </w:r>
            <w:r>
              <w:rPr>
                <w:w w:val="105"/>
                <w:sz w:val="16"/>
              </w:rPr>
              <w:t>within</w:t>
            </w:r>
            <w:r>
              <w:rPr>
                <w:spacing w:val="-10"/>
                <w:w w:val="105"/>
                <w:sz w:val="16"/>
              </w:rPr>
              <w:t> </w:t>
            </w:r>
            <w:r>
              <w:rPr>
                <w:w w:val="105"/>
                <w:sz w:val="16"/>
              </w:rPr>
              <w:t>HSG</w:t>
            </w:r>
            <w:r>
              <w:rPr>
                <w:spacing w:val="-9"/>
                <w:w w:val="105"/>
                <w:sz w:val="16"/>
              </w:rPr>
              <w:t> </w:t>
            </w:r>
            <w:r>
              <w:rPr>
                <w:w w:val="105"/>
                <w:sz w:val="16"/>
              </w:rPr>
              <w:t>(included</w:t>
            </w:r>
            <w:r>
              <w:rPr>
                <w:spacing w:val="-10"/>
                <w:w w:val="105"/>
                <w:sz w:val="16"/>
              </w:rPr>
              <w:t> </w:t>
            </w:r>
            <w:r>
              <w:rPr>
                <w:w w:val="105"/>
                <w:sz w:val="16"/>
              </w:rPr>
              <w:t>in</w:t>
            </w:r>
            <w:r>
              <w:rPr>
                <w:spacing w:val="-10"/>
                <w:w w:val="105"/>
                <w:sz w:val="16"/>
              </w:rPr>
              <w:t> </w:t>
            </w:r>
            <w:r>
              <w:rPr>
                <w:w w:val="105"/>
                <w:sz w:val="16"/>
              </w:rPr>
              <w:t>net</w:t>
            </w:r>
            <w:r>
              <w:rPr>
                <w:spacing w:val="-10"/>
                <w:w w:val="105"/>
                <w:sz w:val="16"/>
              </w:rPr>
              <w:t> </w:t>
            </w:r>
            <w:r>
              <w:rPr>
                <w:spacing w:val="-2"/>
                <w:w w:val="105"/>
                <w:sz w:val="16"/>
              </w:rPr>
              <w:t>sales)</w:t>
            </w:r>
          </w:p>
        </w:tc>
        <w:tc>
          <w:tcPr>
            <w:tcW w:w="1947" w:type="dxa"/>
            <w:gridSpan w:val="2"/>
            <w:tcBorders>
              <w:bottom w:val="single" w:sz="6" w:space="0" w:color="000000"/>
            </w:tcBorders>
            <w:shd w:val="clear" w:color="auto" w:fill="CCEDFF"/>
          </w:tcPr>
          <w:p>
            <w:pPr>
              <w:pStyle w:val="TableParagraph"/>
              <w:rPr>
                <w:sz w:val="14"/>
              </w:rPr>
            </w:pPr>
          </w:p>
        </w:tc>
        <w:tc>
          <w:tcPr>
            <w:tcW w:w="538" w:type="dxa"/>
            <w:tcBorders>
              <w:bottom w:val="single" w:sz="6" w:space="0" w:color="000000"/>
            </w:tcBorders>
            <w:shd w:val="clear" w:color="auto" w:fill="CCEDFF"/>
          </w:tcPr>
          <w:p>
            <w:pPr>
              <w:pStyle w:val="TableParagraph"/>
              <w:rPr>
                <w:sz w:val="14"/>
              </w:rPr>
            </w:pPr>
          </w:p>
        </w:tc>
        <w:tc>
          <w:tcPr>
            <w:tcW w:w="1145" w:type="dxa"/>
            <w:tcBorders>
              <w:bottom w:val="single" w:sz="6" w:space="0" w:color="000000"/>
            </w:tcBorders>
            <w:shd w:val="clear" w:color="auto" w:fill="CCEDFF"/>
          </w:tcPr>
          <w:p>
            <w:pPr>
              <w:pStyle w:val="TableParagraph"/>
              <w:spacing w:line="179" w:lineRule="exact" w:before="3"/>
              <w:ind w:left="139"/>
              <w:rPr>
                <w:sz w:val="16"/>
              </w:rPr>
            </w:pPr>
            <w:r>
              <w:rPr>
                <w:spacing w:val="-10"/>
                <w:w w:val="105"/>
                <w:sz w:val="16"/>
              </w:rPr>
              <w:t>$</w:t>
            </w:r>
          </w:p>
        </w:tc>
        <w:tc>
          <w:tcPr>
            <w:tcW w:w="588" w:type="dxa"/>
            <w:tcBorders>
              <w:bottom w:val="single" w:sz="6" w:space="0" w:color="000000"/>
            </w:tcBorders>
            <w:shd w:val="clear" w:color="auto" w:fill="CCEDFF"/>
          </w:tcPr>
          <w:p>
            <w:pPr>
              <w:pStyle w:val="TableParagraph"/>
              <w:spacing w:line="179" w:lineRule="exact" w:before="3"/>
              <w:ind w:left="319"/>
              <w:rPr>
                <w:sz w:val="16"/>
              </w:rPr>
            </w:pPr>
            <w:r>
              <w:rPr>
                <w:spacing w:val="-5"/>
                <w:w w:val="105"/>
                <w:sz w:val="16"/>
              </w:rPr>
              <w:t>55</w:t>
            </w:r>
          </w:p>
        </w:tc>
        <w:tc>
          <w:tcPr>
            <w:tcW w:w="728" w:type="dxa"/>
            <w:tcBorders>
              <w:bottom w:val="single" w:sz="6" w:space="0" w:color="000000"/>
            </w:tcBorders>
            <w:shd w:val="clear" w:color="auto" w:fill="CCEDFF"/>
          </w:tcPr>
          <w:p>
            <w:pPr>
              <w:pStyle w:val="TableParagraph"/>
              <w:spacing w:line="179" w:lineRule="exact" w:before="3"/>
              <w:ind w:left="126"/>
              <w:rPr>
                <w:sz w:val="16"/>
              </w:rPr>
            </w:pPr>
            <w:r>
              <w:rPr>
                <w:spacing w:val="-10"/>
                <w:w w:val="105"/>
                <w:sz w:val="16"/>
              </w:rPr>
              <w:t>$</w:t>
            </w:r>
          </w:p>
        </w:tc>
        <w:tc>
          <w:tcPr>
            <w:tcW w:w="1005" w:type="dxa"/>
            <w:tcBorders>
              <w:bottom w:val="single" w:sz="6" w:space="0" w:color="000000"/>
            </w:tcBorders>
            <w:shd w:val="clear" w:color="auto" w:fill="CCEDFF"/>
          </w:tcPr>
          <w:p>
            <w:pPr>
              <w:pStyle w:val="TableParagraph"/>
              <w:spacing w:line="179" w:lineRule="exact" w:before="3"/>
              <w:ind w:right="114"/>
              <w:jc w:val="right"/>
              <w:rPr>
                <w:sz w:val="16"/>
              </w:rPr>
            </w:pPr>
            <w:r>
              <w:rPr>
                <w:spacing w:val="-5"/>
                <w:w w:val="105"/>
                <w:sz w:val="16"/>
              </w:rPr>
              <w:t>112</w:t>
            </w:r>
          </w:p>
        </w:tc>
      </w:tr>
      <w:tr>
        <w:trPr>
          <w:trHeight w:val="405" w:hRule="atLeast"/>
        </w:trPr>
        <w:tc>
          <w:tcPr>
            <w:tcW w:w="5566" w:type="dxa"/>
            <w:tcBorders>
              <w:top w:val="single" w:sz="6" w:space="0" w:color="000000"/>
              <w:bottom w:val="single" w:sz="6" w:space="0" w:color="000000"/>
            </w:tcBorders>
          </w:tcPr>
          <w:p>
            <w:pPr>
              <w:pStyle w:val="TableParagraph"/>
              <w:rPr>
                <w:sz w:val="16"/>
              </w:rPr>
            </w:pPr>
          </w:p>
        </w:tc>
        <w:tc>
          <w:tcPr>
            <w:tcW w:w="1947" w:type="dxa"/>
            <w:gridSpan w:val="2"/>
            <w:tcBorders>
              <w:top w:val="single" w:sz="6" w:space="0" w:color="000000"/>
              <w:bottom w:val="single" w:sz="6" w:space="0" w:color="000000"/>
            </w:tcBorders>
          </w:tcPr>
          <w:p>
            <w:pPr>
              <w:pStyle w:val="TableParagraph"/>
              <w:spacing w:before="22"/>
              <w:rPr>
                <w:sz w:val="16"/>
              </w:rPr>
            </w:pPr>
          </w:p>
          <w:p>
            <w:pPr>
              <w:pStyle w:val="TableParagraph"/>
              <w:spacing w:line="179" w:lineRule="exact"/>
              <w:ind w:right="186"/>
              <w:jc w:val="right"/>
              <w:rPr>
                <w:b/>
                <w:sz w:val="16"/>
              </w:rPr>
            </w:pPr>
            <w:r>
              <w:rPr>
                <w:b/>
                <w:spacing w:val="-4"/>
                <w:w w:val="105"/>
                <w:sz w:val="16"/>
              </w:rPr>
              <w:t>2021</w:t>
            </w:r>
          </w:p>
        </w:tc>
        <w:tc>
          <w:tcPr>
            <w:tcW w:w="538" w:type="dxa"/>
            <w:tcBorders>
              <w:top w:val="single" w:sz="6" w:space="0" w:color="000000"/>
              <w:bottom w:val="single" w:sz="6" w:space="0" w:color="000000"/>
            </w:tcBorders>
          </w:tcPr>
          <w:p>
            <w:pPr>
              <w:pStyle w:val="TableParagraph"/>
              <w:rPr>
                <w:sz w:val="16"/>
              </w:rPr>
            </w:pPr>
          </w:p>
        </w:tc>
        <w:tc>
          <w:tcPr>
            <w:tcW w:w="1145" w:type="dxa"/>
            <w:tcBorders>
              <w:top w:val="single" w:sz="6" w:space="0" w:color="000000"/>
              <w:bottom w:val="single" w:sz="6" w:space="0" w:color="000000"/>
            </w:tcBorders>
          </w:tcPr>
          <w:p>
            <w:pPr>
              <w:pStyle w:val="TableParagraph"/>
              <w:spacing w:before="22"/>
              <w:rPr>
                <w:sz w:val="16"/>
              </w:rPr>
            </w:pPr>
          </w:p>
          <w:p>
            <w:pPr>
              <w:pStyle w:val="TableParagraph"/>
              <w:spacing w:line="179" w:lineRule="exact"/>
              <w:ind w:left="700"/>
              <w:rPr>
                <w:sz w:val="16"/>
              </w:rPr>
            </w:pPr>
            <w:r>
              <w:rPr>
                <w:spacing w:val="-4"/>
                <w:w w:val="105"/>
                <w:sz w:val="16"/>
              </w:rPr>
              <w:t>2020</w:t>
            </w:r>
          </w:p>
        </w:tc>
        <w:tc>
          <w:tcPr>
            <w:tcW w:w="588" w:type="dxa"/>
            <w:tcBorders>
              <w:top w:val="single" w:sz="6" w:space="0" w:color="000000"/>
              <w:bottom w:val="single" w:sz="6" w:space="0" w:color="000000"/>
            </w:tcBorders>
          </w:tcPr>
          <w:p>
            <w:pPr>
              <w:pStyle w:val="TableParagraph"/>
              <w:rPr>
                <w:sz w:val="16"/>
              </w:rPr>
            </w:pPr>
          </w:p>
        </w:tc>
        <w:tc>
          <w:tcPr>
            <w:tcW w:w="728" w:type="dxa"/>
            <w:tcBorders>
              <w:top w:val="single" w:sz="6" w:space="0" w:color="000000"/>
            </w:tcBorders>
          </w:tcPr>
          <w:p>
            <w:pPr>
              <w:pStyle w:val="TableParagraph"/>
              <w:rPr>
                <w:sz w:val="16"/>
              </w:rPr>
            </w:pPr>
          </w:p>
        </w:tc>
        <w:tc>
          <w:tcPr>
            <w:tcW w:w="1005" w:type="dxa"/>
            <w:tcBorders>
              <w:top w:val="single" w:sz="6" w:space="0" w:color="000000"/>
            </w:tcBorders>
          </w:tcPr>
          <w:p>
            <w:pPr>
              <w:pStyle w:val="TableParagraph"/>
              <w:rPr>
                <w:sz w:val="16"/>
              </w:rPr>
            </w:pPr>
          </w:p>
        </w:tc>
      </w:tr>
      <w:tr>
        <w:trPr>
          <w:trHeight w:val="202" w:hRule="atLeast"/>
        </w:trPr>
        <w:tc>
          <w:tcPr>
            <w:tcW w:w="5566" w:type="dxa"/>
            <w:tcBorders>
              <w:top w:val="single" w:sz="6" w:space="0" w:color="000000"/>
            </w:tcBorders>
            <w:shd w:val="clear" w:color="auto" w:fill="CCEDFF"/>
          </w:tcPr>
          <w:p>
            <w:pPr>
              <w:pStyle w:val="TableParagraph"/>
              <w:spacing w:line="180" w:lineRule="exact" w:before="2"/>
              <w:rPr>
                <w:sz w:val="16"/>
              </w:rPr>
            </w:pPr>
            <w:r>
              <w:rPr>
                <w:sz w:val="16"/>
              </w:rPr>
              <w:t>Balance</w:t>
            </w:r>
            <w:r>
              <w:rPr>
                <w:spacing w:val="16"/>
                <w:sz w:val="16"/>
              </w:rPr>
              <w:t> </w:t>
            </w:r>
            <w:r>
              <w:rPr>
                <w:spacing w:val="-2"/>
                <w:sz w:val="16"/>
              </w:rPr>
              <w:t>sheet:</w:t>
            </w:r>
          </w:p>
        </w:tc>
        <w:tc>
          <w:tcPr>
            <w:tcW w:w="1947" w:type="dxa"/>
            <w:gridSpan w:val="2"/>
            <w:tcBorders>
              <w:top w:val="single" w:sz="6" w:space="0" w:color="000000"/>
            </w:tcBorders>
            <w:shd w:val="clear" w:color="auto" w:fill="CCEDFF"/>
          </w:tcPr>
          <w:p>
            <w:pPr>
              <w:pStyle w:val="TableParagraph"/>
              <w:rPr>
                <w:sz w:val="14"/>
              </w:rPr>
            </w:pPr>
          </w:p>
        </w:tc>
        <w:tc>
          <w:tcPr>
            <w:tcW w:w="538" w:type="dxa"/>
            <w:tcBorders>
              <w:top w:val="single" w:sz="6" w:space="0" w:color="000000"/>
            </w:tcBorders>
            <w:shd w:val="clear" w:color="auto" w:fill="CCEDFF"/>
          </w:tcPr>
          <w:p>
            <w:pPr>
              <w:pStyle w:val="TableParagraph"/>
              <w:rPr>
                <w:sz w:val="14"/>
              </w:rPr>
            </w:pPr>
          </w:p>
        </w:tc>
        <w:tc>
          <w:tcPr>
            <w:tcW w:w="1145" w:type="dxa"/>
            <w:tcBorders>
              <w:top w:val="single" w:sz="6" w:space="0" w:color="000000"/>
            </w:tcBorders>
            <w:shd w:val="clear" w:color="auto" w:fill="CCEDFF"/>
          </w:tcPr>
          <w:p>
            <w:pPr>
              <w:pStyle w:val="TableParagraph"/>
              <w:rPr>
                <w:sz w:val="14"/>
              </w:rPr>
            </w:pPr>
          </w:p>
        </w:tc>
        <w:tc>
          <w:tcPr>
            <w:tcW w:w="588" w:type="dxa"/>
            <w:tcBorders>
              <w:top w:val="single" w:sz="6" w:space="0" w:color="000000"/>
            </w:tcBorders>
            <w:shd w:val="clear" w:color="auto" w:fill="CCEDFF"/>
          </w:tcPr>
          <w:p>
            <w:pPr>
              <w:pStyle w:val="TableParagraph"/>
              <w:rPr>
                <w:sz w:val="14"/>
              </w:rPr>
            </w:pPr>
          </w:p>
        </w:tc>
        <w:tc>
          <w:tcPr>
            <w:tcW w:w="728" w:type="dxa"/>
          </w:tcPr>
          <w:p>
            <w:pPr>
              <w:pStyle w:val="TableParagraph"/>
              <w:rPr>
                <w:sz w:val="14"/>
              </w:rPr>
            </w:pPr>
          </w:p>
        </w:tc>
        <w:tc>
          <w:tcPr>
            <w:tcW w:w="1005" w:type="dxa"/>
          </w:tcPr>
          <w:p>
            <w:pPr>
              <w:pStyle w:val="TableParagraph"/>
              <w:rPr>
                <w:sz w:val="14"/>
              </w:rPr>
            </w:pPr>
          </w:p>
        </w:tc>
      </w:tr>
      <w:tr>
        <w:trPr>
          <w:trHeight w:val="203" w:hRule="atLeast"/>
        </w:trPr>
        <w:tc>
          <w:tcPr>
            <w:tcW w:w="5566" w:type="dxa"/>
          </w:tcPr>
          <w:p>
            <w:pPr>
              <w:pStyle w:val="TableParagraph"/>
              <w:spacing w:line="180" w:lineRule="exact" w:before="3"/>
              <w:ind w:left="305"/>
              <w:rPr>
                <w:sz w:val="16"/>
              </w:rPr>
            </w:pPr>
            <w:r>
              <w:rPr>
                <w:sz w:val="16"/>
              </w:rPr>
              <w:t>Current</w:t>
            </w:r>
            <w:r>
              <w:rPr>
                <w:spacing w:val="15"/>
                <w:sz w:val="16"/>
              </w:rPr>
              <w:t> </w:t>
            </w:r>
            <w:r>
              <w:rPr>
                <w:spacing w:val="-2"/>
                <w:sz w:val="16"/>
              </w:rPr>
              <w:t>assets</w:t>
            </w:r>
          </w:p>
        </w:tc>
        <w:tc>
          <w:tcPr>
            <w:tcW w:w="896" w:type="dxa"/>
          </w:tcPr>
          <w:p>
            <w:pPr>
              <w:pStyle w:val="TableParagraph"/>
              <w:spacing w:line="180" w:lineRule="exact" w:before="3"/>
              <w:ind w:right="8"/>
              <w:jc w:val="right"/>
              <w:rPr>
                <w:b/>
                <w:sz w:val="16"/>
              </w:rPr>
            </w:pPr>
            <w:r>
              <w:rPr>
                <w:b/>
                <w:spacing w:val="-10"/>
                <w:w w:val="105"/>
                <w:sz w:val="16"/>
              </w:rPr>
              <w:t>$</w:t>
            </w:r>
          </w:p>
        </w:tc>
        <w:tc>
          <w:tcPr>
            <w:tcW w:w="1589" w:type="dxa"/>
            <w:gridSpan w:val="2"/>
          </w:tcPr>
          <w:p>
            <w:pPr>
              <w:pStyle w:val="TableParagraph"/>
              <w:spacing w:line="180" w:lineRule="exact" w:before="3"/>
              <w:ind w:right="100"/>
              <w:jc w:val="right"/>
              <w:rPr>
                <w:b/>
                <w:sz w:val="16"/>
              </w:rPr>
            </w:pPr>
            <w:r>
              <w:rPr>
                <w:b/>
                <w:spacing w:val="-5"/>
                <w:w w:val="105"/>
                <w:sz w:val="16"/>
              </w:rPr>
              <w:t>648</w:t>
            </w:r>
          </w:p>
        </w:tc>
        <w:tc>
          <w:tcPr>
            <w:tcW w:w="1145" w:type="dxa"/>
          </w:tcPr>
          <w:p>
            <w:pPr>
              <w:pStyle w:val="TableParagraph"/>
              <w:spacing w:line="180" w:lineRule="exact" w:before="3"/>
              <w:ind w:left="88"/>
              <w:rPr>
                <w:sz w:val="16"/>
              </w:rPr>
            </w:pPr>
            <w:r>
              <w:rPr>
                <w:spacing w:val="-10"/>
                <w:w w:val="105"/>
                <w:sz w:val="16"/>
              </w:rPr>
              <w:t>$</w:t>
            </w:r>
          </w:p>
        </w:tc>
        <w:tc>
          <w:tcPr>
            <w:tcW w:w="588" w:type="dxa"/>
          </w:tcPr>
          <w:p>
            <w:pPr>
              <w:pStyle w:val="TableParagraph"/>
              <w:spacing w:line="180" w:lineRule="exact" w:before="3"/>
              <w:ind w:left="249"/>
              <w:rPr>
                <w:sz w:val="16"/>
              </w:rPr>
            </w:pPr>
            <w:r>
              <w:rPr>
                <w:spacing w:val="-5"/>
                <w:w w:val="105"/>
                <w:sz w:val="16"/>
              </w:rPr>
              <w:t>534</w:t>
            </w:r>
          </w:p>
        </w:tc>
        <w:tc>
          <w:tcPr>
            <w:tcW w:w="1733" w:type="dxa"/>
            <w:gridSpan w:val="2"/>
          </w:tcPr>
          <w:p>
            <w:pPr>
              <w:pStyle w:val="TableParagraph"/>
              <w:rPr>
                <w:sz w:val="14"/>
              </w:rPr>
            </w:pPr>
          </w:p>
        </w:tc>
      </w:tr>
      <w:tr>
        <w:trPr>
          <w:trHeight w:val="203" w:hRule="atLeast"/>
        </w:trPr>
        <w:tc>
          <w:tcPr>
            <w:tcW w:w="5566" w:type="dxa"/>
            <w:shd w:val="clear" w:color="auto" w:fill="CCEDFF"/>
          </w:tcPr>
          <w:p>
            <w:pPr>
              <w:pStyle w:val="TableParagraph"/>
              <w:spacing w:line="180" w:lineRule="exact" w:before="3"/>
              <w:ind w:left="305"/>
              <w:rPr>
                <w:sz w:val="16"/>
              </w:rPr>
            </w:pPr>
            <w:r>
              <w:rPr>
                <w:sz w:val="16"/>
              </w:rPr>
              <w:t>Noncurrent</w:t>
            </w:r>
            <w:r>
              <w:rPr>
                <w:spacing w:val="22"/>
                <w:sz w:val="16"/>
              </w:rPr>
              <w:t> </w:t>
            </w:r>
            <w:r>
              <w:rPr>
                <w:spacing w:val="-2"/>
                <w:sz w:val="16"/>
              </w:rPr>
              <w:t>assets</w:t>
            </w:r>
          </w:p>
        </w:tc>
        <w:tc>
          <w:tcPr>
            <w:tcW w:w="896" w:type="dxa"/>
            <w:shd w:val="clear" w:color="auto" w:fill="CCEDFF"/>
          </w:tcPr>
          <w:p>
            <w:pPr>
              <w:pStyle w:val="TableParagraph"/>
              <w:spacing w:line="180" w:lineRule="exact" w:before="3"/>
              <w:ind w:right="8"/>
              <w:jc w:val="right"/>
              <w:rPr>
                <w:b/>
                <w:sz w:val="16"/>
              </w:rPr>
            </w:pPr>
            <w:r>
              <w:rPr>
                <w:b/>
                <w:spacing w:val="-10"/>
                <w:w w:val="105"/>
                <w:sz w:val="16"/>
              </w:rPr>
              <w:t>$</w:t>
            </w:r>
          </w:p>
        </w:tc>
        <w:tc>
          <w:tcPr>
            <w:tcW w:w="1589" w:type="dxa"/>
            <w:gridSpan w:val="2"/>
            <w:shd w:val="clear" w:color="auto" w:fill="CCEDFF"/>
          </w:tcPr>
          <w:p>
            <w:pPr>
              <w:pStyle w:val="TableParagraph"/>
              <w:spacing w:line="180" w:lineRule="exact" w:before="3"/>
              <w:ind w:right="100"/>
              <w:jc w:val="right"/>
              <w:rPr>
                <w:b/>
                <w:sz w:val="16"/>
              </w:rPr>
            </w:pPr>
            <w:r>
              <w:rPr>
                <w:b/>
                <w:spacing w:val="-5"/>
                <w:w w:val="105"/>
                <w:sz w:val="16"/>
              </w:rPr>
              <w:t>549</w:t>
            </w:r>
          </w:p>
        </w:tc>
        <w:tc>
          <w:tcPr>
            <w:tcW w:w="1145" w:type="dxa"/>
            <w:shd w:val="clear" w:color="auto" w:fill="CCEDFF"/>
          </w:tcPr>
          <w:p>
            <w:pPr>
              <w:pStyle w:val="TableParagraph"/>
              <w:spacing w:line="180" w:lineRule="exact" w:before="3"/>
              <w:ind w:left="88"/>
              <w:rPr>
                <w:sz w:val="16"/>
              </w:rPr>
            </w:pPr>
            <w:r>
              <w:rPr>
                <w:spacing w:val="-10"/>
                <w:w w:val="105"/>
                <w:sz w:val="16"/>
              </w:rPr>
              <w:t>$</w:t>
            </w:r>
          </w:p>
        </w:tc>
        <w:tc>
          <w:tcPr>
            <w:tcW w:w="588" w:type="dxa"/>
            <w:shd w:val="clear" w:color="auto" w:fill="CCEDFF"/>
          </w:tcPr>
          <w:p>
            <w:pPr>
              <w:pStyle w:val="TableParagraph"/>
              <w:spacing w:line="180" w:lineRule="exact" w:before="3"/>
              <w:ind w:left="249"/>
              <w:rPr>
                <w:sz w:val="16"/>
              </w:rPr>
            </w:pPr>
            <w:r>
              <w:rPr>
                <w:spacing w:val="-5"/>
                <w:w w:val="105"/>
                <w:sz w:val="16"/>
              </w:rPr>
              <w:t>466</w:t>
            </w:r>
          </w:p>
        </w:tc>
        <w:tc>
          <w:tcPr>
            <w:tcW w:w="1733" w:type="dxa"/>
            <w:gridSpan w:val="2"/>
          </w:tcPr>
          <w:p>
            <w:pPr>
              <w:pStyle w:val="TableParagraph"/>
              <w:rPr>
                <w:sz w:val="14"/>
              </w:rPr>
            </w:pPr>
          </w:p>
        </w:tc>
      </w:tr>
      <w:tr>
        <w:trPr>
          <w:trHeight w:val="203" w:hRule="atLeast"/>
        </w:trPr>
        <w:tc>
          <w:tcPr>
            <w:tcW w:w="5566" w:type="dxa"/>
          </w:tcPr>
          <w:p>
            <w:pPr>
              <w:pStyle w:val="TableParagraph"/>
              <w:spacing w:line="180" w:lineRule="exact" w:before="3"/>
              <w:ind w:left="305"/>
              <w:rPr>
                <w:sz w:val="16"/>
              </w:rPr>
            </w:pPr>
            <w:r>
              <w:rPr>
                <w:sz w:val="16"/>
              </w:rPr>
              <w:t>Short-term</w:t>
            </w:r>
            <w:r>
              <w:rPr>
                <w:spacing w:val="17"/>
                <w:sz w:val="16"/>
              </w:rPr>
              <w:t> </w:t>
            </w:r>
            <w:r>
              <w:rPr>
                <w:sz w:val="16"/>
              </w:rPr>
              <w:t>borrowings,</w:t>
            </w:r>
            <w:r>
              <w:rPr>
                <w:spacing w:val="17"/>
                <w:sz w:val="16"/>
              </w:rPr>
              <w:t> </w:t>
            </w:r>
            <w:r>
              <w:rPr>
                <w:sz w:val="16"/>
              </w:rPr>
              <w:t>including</w:t>
            </w:r>
            <w:r>
              <w:rPr>
                <w:spacing w:val="20"/>
                <w:sz w:val="16"/>
              </w:rPr>
              <w:t> </w:t>
            </w:r>
            <w:r>
              <w:rPr>
                <w:sz w:val="16"/>
              </w:rPr>
              <w:t>current</w:t>
            </w:r>
            <w:r>
              <w:rPr>
                <w:spacing w:val="17"/>
                <w:sz w:val="16"/>
              </w:rPr>
              <w:t> </w:t>
            </w:r>
            <w:r>
              <w:rPr>
                <w:sz w:val="16"/>
              </w:rPr>
              <w:t>portion</w:t>
            </w:r>
            <w:r>
              <w:rPr>
                <w:spacing w:val="17"/>
                <w:sz w:val="16"/>
              </w:rPr>
              <w:t> </w:t>
            </w:r>
            <w:r>
              <w:rPr>
                <w:sz w:val="16"/>
              </w:rPr>
              <w:t>of</w:t>
            </w:r>
            <w:r>
              <w:rPr>
                <w:spacing w:val="18"/>
                <w:sz w:val="16"/>
              </w:rPr>
              <w:t> </w:t>
            </w:r>
            <w:r>
              <w:rPr>
                <w:sz w:val="16"/>
              </w:rPr>
              <w:t>long-term</w:t>
            </w:r>
            <w:r>
              <w:rPr>
                <w:spacing w:val="17"/>
                <w:sz w:val="16"/>
              </w:rPr>
              <w:t> </w:t>
            </w:r>
            <w:r>
              <w:rPr>
                <w:spacing w:val="-4"/>
                <w:sz w:val="16"/>
              </w:rPr>
              <w:t>debt</w:t>
            </w:r>
          </w:p>
        </w:tc>
        <w:tc>
          <w:tcPr>
            <w:tcW w:w="896" w:type="dxa"/>
          </w:tcPr>
          <w:p>
            <w:pPr>
              <w:pStyle w:val="TableParagraph"/>
              <w:spacing w:line="180" w:lineRule="exact" w:before="3"/>
              <w:ind w:right="8"/>
              <w:jc w:val="right"/>
              <w:rPr>
                <w:b/>
                <w:sz w:val="16"/>
              </w:rPr>
            </w:pPr>
            <w:r>
              <w:rPr>
                <w:b/>
                <w:spacing w:val="-10"/>
                <w:w w:val="105"/>
                <w:sz w:val="16"/>
              </w:rPr>
              <w:t>$</w:t>
            </w:r>
          </w:p>
        </w:tc>
        <w:tc>
          <w:tcPr>
            <w:tcW w:w="1589" w:type="dxa"/>
            <w:gridSpan w:val="2"/>
          </w:tcPr>
          <w:p>
            <w:pPr>
              <w:pStyle w:val="TableParagraph"/>
              <w:spacing w:line="180" w:lineRule="exact" w:before="3"/>
              <w:ind w:right="100"/>
              <w:jc w:val="right"/>
              <w:rPr>
                <w:b/>
                <w:sz w:val="16"/>
              </w:rPr>
            </w:pPr>
            <w:r>
              <w:rPr>
                <w:b/>
                <w:spacing w:val="-10"/>
                <w:w w:val="105"/>
                <w:sz w:val="16"/>
              </w:rPr>
              <w:t>6</w:t>
            </w:r>
          </w:p>
        </w:tc>
        <w:tc>
          <w:tcPr>
            <w:tcW w:w="1145" w:type="dxa"/>
          </w:tcPr>
          <w:p>
            <w:pPr>
              <w:pStyle w:val="TableParagraph"/>
              <w:spacing w:line="180" w:lineRule="exact" w:before="3"/>
              <w:ind w:left="88"/>
              <w:rPr>
                <w:sz w:val="16"/>
              </w:rPr>
            </w:pPr>
            <w:r>
              <w:rPr>
                <w:spacing w:val="-10"/>
                <w:w w:val="105"/>
                <w:sz w:val="16"/>
              </w:rPr>
              <w:t>$</w:t>
            </w:r>
          </w:p>
        </w:tc>
        <w:tc>
          <w:tcPr>
            <w:tcW w:w="588" w:type="dxa"/>
          </w:tcPr>
          <w:p>
            <w:pPr>
              <w:pStyle w:val="TableParagraph"/>
              <w:spacing w:line="180" w:lineRule="exact" w:before="3"/>
              <w:ind w:right="88"/>
              <w:jc w:val="right"/>
              <w:rPr>
                <w:sz w:val="16"/>
              </w:rPr>
            </w:pPr>
            <w:r>
              <w:rPr>
                <w:spacing w:val="-10"/>
                <w:w w:val="105"/>
                <w:sz w:val="16"/>
              </w:rPr>
              <w:t>2</w:t>
            </w:r>
          </w:p>
        </w:tc>
        <w:tc>
          <w:tcPr>
            <w:tcW w:w="1733" w:type="dxa"/>
            <w:gridSpan w:val="2"/>
          </w:tcPr>
          <w:p>
            <w:pPr>
              <w:pStyle w:val="TableParagraph"/>
              <w:rPr>
                <w:sz w:val="14"/>
              </w:rPr>
            </w:pPr>
          </w:p>
        </w:tc>
      </w:tr>
      <w:tr>
        <w:trPr>
          <w:trHeight w:val="203" w:hRule="atLeast"/>
        </w:trPr>
        <w:tc>
          <w:tcPr>
            <w:tcW w:w="5566" w:type="dxa"/>
            <w:shd w:val="clear" w:color="auto" w:fill="CCEDFF"/>
          </w:tcPr>
          <w:p>
            <w:pPr>
              <w:pStyle w:val="TableParagraph"/>
              <w:spacing w:line="180" w:lineRule="exact" w:before="3"/>
              <w:ind w:left="305"/>
              <w:rPr>
                <w:sz w:val="16"/>
              </w:rPr>
            </w:pPr>
            <w:r>
              <w:rPr>
                <w:w w:val="105"/>
                <w:sz w:val="16"/>
              </w:rPr>
              <w:t>Other</w:t>
            </w:r>
            <w:r>
              <w:rPr>
                <w:spacing w:val="-10"/>
                <w:w w:val="105"/>
                <w:sz w:val="16"/>
              </w:rPr>
              <w:t> </w:t>
            </w:r>
            <w:r>
              <w:rPr>
                <w:w w:val="105"/>
                <w:sz w:val="16"/>
              </w:rPr>
              <w:t>current</w:t>
            </w:r>
            <w:r>
              <w:rPr>
                <w:spacing w:val="-9"/>
                <w:w w:val="105"/>
                <w:sz w:val="16"/>
              </w:rPr>
              <w:t> </w:t>
            </w:r>
            <w:r>
              <w:rPr>
                <w:spacing w:val="-2"/>
                <w:w w:val="105"/>
                <w:sz w:val="16"/>
              </w:rPr>
              <w:t>liabilities</w:t>
            </w:r>
          </w:p>
        </w:tc>
        <w:tc>
          <w:tcPr>
            <w:tcW w:w="896" w:type="dxa"/>
            <w:shd w:val="clear" w:color="auto" w:fill="CCEDFF"/>
          </w:tcPr>
          <w:p>
            <w:pPr>
              <w:pStyle w:val="TableParagraph"/>
              <w:spacing w:line="180" w:lineRule="exact" w:before="3"/>
              <w:ind w:right="8"/>
              <w:jc w:val="right"/>
              <w:rPr>
                <w:b/>
                <w:sz w:val="16"/>
              </w:rPr>
            </w:pPr>
            <w:r>
              <w:rPr>
                <w:b/>
                <w:spacing w:val="-10"/>
                <w:w w:val="105"/>
                <w:sz w:val="16"/>
              </w:rPr>
              <w:t>$</w:t>
            </w:r>
          </w:p>
        </w:tc>
        <w:tc>
          <w:tcPr>
            <w:tcW w:w="1589" w:type="dxa"/>
            <w:gridSpan w:val="2"/>
            <w:shd w:val="clear" w:color="auto" w:fill="CCEDFF"/>
          </w:tcPr>
          <w:p>
            <w:pPr>
              <w:pStyle w:val="TableParagraph"/>
              <w:spacing w:line="180" w:lineRule="exact" w:before="3"/>
              <w:ind w:right="100"/>
              <w:jc w:val="right"/>
              <w:rPr>
                <w:b/>
                <w:sz w:val="16"/>
              </w:rPr>
            </w:pPr>
            <w:r>
              <w:rPr>
                <w:b/>
                <w:spacing w:val="-5"/>
                <w:w w:val="105"/>
                <w:sz w:val="16"/>
              </w:rPr>
              <w:t>159</w:t>
            </w:r>
          </w:p>
        </w:tc>
        <w:tc>
          <w:tcPr>
            <w:tcW w:w="1145" w:type="dxa"/>
            <w:shd w:val="clear" w:color="auto" w:fill="CCEDFF"/>
          </w:tcPr>
          <w:p>
            <w:pPr>
              <w:pStyle w:val="TableParagraph"/>
              <w:spacing w:line="180" w:lineRule="exact" w:before="3"/>
              <w:ind w:left="88"/>
              <w:rPr>
                <w:sz w:val="16"/>
              </w:rPr>
            </w:pPr>
            <w:r>
              <w:rPr>
                <w:spacing w:val="-10"/>
                <w:w w:val="105"/>
                <w:sz w:val="16"/>
              </w:rPr>
              <w:t>$</w:t>
            </w:r>
          </w:p>
        </w:tc>
        <w:tc>
          <w:tcPr>
            <w:tcW w:w="588" w:type="dxa"/>
            <w:shd w:val="clear" w:color="auto" w:fill="CCEDFF"/>
          </w:tcPr>
          <w:p>
            <w:pPr>
              <w:pStyle w:val="TableParagraph"/>
              <w:spacing w:line="180" w:lineRule="exact" w:before="3"/>
              <w:ind w:left="249"/>
              <w:rPr>
                <w:sz w:val="16"/>
              </w:rPr>
            </w:pPr>
            <w:r>
              <w:rPr>
                <w:spacing w:val="-5"/>
                <w:w w:val="105"/>
                <w:sz w:val="16"/>
              </w:rPr>
              <w:t>164</w:t>
            </w:r>
          </w:p>
        </w:tc>
        <w:tc>
          <w:tcPr>
            <w:tcW w:w="1733" w:type="dxa"/>
            <w:gridSpan w:val="2"/>
          </w:tcPr>
          <w:p>
            <w:pPr>
              <w:pStyle w:val="TableParagraph"/>
              <w:rPr>
                <w:sz w:val="14"/>
              </w:rPr>
            </w:pPr>
          </w:p>
        </w:tc>
      </w:tr>
      <w:tr>
        <w:trPr>
          <w:trHeight w:val="203" w:hRule="atLeast"/>
        </w:trPr>
        <w:tc>
          <w:tcPr>
            <w:tcW w:w="5566" w:type="dxa"/>
          </w:tcPr>
          <w:p>
            <w:pPr>
              <w:pStyle w:val="TableParagraph"/>
              <w:spacing w:line="180" w:lineRule="exact" w:before="3"/>
              <w:ind w:left="305"/>
              <w:rPr>
                <w:sz w:val="16"/>
              </w:rPr>
            </w:pPr>
            <w:r>
              <w:rPr>
                <w:sz w:val="16"/>
              </w:rPr>
              <w:t>Long-term</w:t>
            </w:r>
            <w:r>
              <w:rPr>
                <w:spacing w:val="21"/>
                <w:sz w:val="16"/>
              </w:rPr>
              <w:t> </w:t>
            </w:r>
            <w:r>
              <w:rPr>
                <w:spacing w:val="-4"/>
                <w:sz w:val="16"/>
              </w:rPr>
              <w:t>debt</w:t>
            </w:r>
          </w:p>
        </w:tc>
        <w:tc>
          <w:tcPr>
            <w:tcW w:w="896" w:type="dxa"/>
          </w:tcPr>
          <w:p>
            <w:pPr>
              <w:pStyle w:val="TableParagraph"/>
              <w:spacing w:line="180" w:lineRule="exact" w:before="3"/>
              <w:ind w:right="8"/>
              <w:jc w:val="right"/>
              <w:rPr>
                <w:b/>
                <w:sz w:val="16"/>
              </w:rPr>
            </w:pPr>
            <w:r>
              <w:rPr>
                <w:b/>
                <w:spacing w:val="-10"/>
                <w:w w:val="105"/>
                <w:sz w:val="16"/>
              </w:rPr>
              <w:t>$</w:t>
            </w:r>
          </w:p>
        </w:tc>
        <w:tc>
          <w:tcPr>
            <w:tcW w:w="1589" w:type="dxa"/>
            <w:gridSpan w:val="2"/>
          </w:tcPr>
          <w:p>
            <w:pPr>
              <w:pStyle w:val="TableParagraph"/>
              <w:spacing w:line="180" w:lineRule="exact" w:before="3"/>
              <w:ind w:right="100"/>
              <w:jc w:val="right"/>
              <w:rPr>
                <w:b/>
                <w:sz w:val="16"/>
              </w:rPr>
            </w:pPr>
            <w:r>
              <w:rPr>
                <w:b/>
                <w:spacing w:val="-5"/>
                <w:w w:val="105"/>
                <w:sz w:val="16"/>
              </w:rPr>
              <w:t>58</w:t>
            </w:r>
          </w:p>
        </w:tc>
        <w:tc>
          <w:tcPr>
            <w:tcW w:w="1145" w:type="dxa"/>
          </w:tcPr>
          <w:p>
            <w:pPr>
              <w:pStyle w:val="TableParagraph"/>
              <w:spacing w:line="180" w:lineRule="exact" w:before="3"/>
              <w:ind w:left="88"/>
              <w:rPr>
                <w:sz w:val="16"/>
              </w:rPr>
            </w:pPr>
            <w:r>
              <w:rPr>
                <w:spacing w:val="-10"/>
                <w:w w:val="105"/>
                <w:sz w:val="16"/>
              </w:rPr>
              <w:t>$</w:t>
            </w:r>
          </w:p>
        </w:tc>
        <w:tc>
          <w:tcPr>
            <w:tcW w:w="588" w:type="dxa"/>
          </w:tcPr>
          <w:p>
            <w:pPr>
              <w:pStyle w:val="TableParagraph"/>
              <w:spacing w:line="180" w:lineRule="exact" w:before="3"/>
              <w:ind w:left="332"/>
              <w:rPr>
                <w:sz w:val="16"/>
              </w:rPr>
            </w:pPr>
            <w:r>
              <w:rPr>
                <w:spacing w:val="-5"/>
                <w:w w:val="105"/>
                <w:sz w:val="16"/>
              </w:rPr>
              <w:t>60</w:t>
            </w:r>
          </w:p>
        </w:tc>
        <w:tc>
          <w:tcPr>
            <w:tcW w:w="1733" w:type="dxa"/>
            <w:gridSpan w:val="2"/>
          </w:tcPr>
          <w:p>
            <w:pPr>
              <w:pStyle w:val="TableParagraph"/>
              <w:rPr>
                <w:sz w:val="14"/>
              </w:rPr>
            </w:pPr>
          </w:p>
        </w:tc>
      </w:tr>
      <w:tr>
        <w:trPr>
          <w:trHeight w:val="203" w:hRule="atLeast"/>
        </w:trPr>
        <w:tc>
          <w:tcPr>
            <w:tcW w:w="5566" w:type="dxa"/>
            <w:shd w:val="clear" w:color="auto" w:fill="CCEDFF"/>
          </w:tcPr>
          <w:p>
            <w:pPr>
              <w:pStyle w:val="TableParagraph"/>
              <w:spacing w:line="180" w:lineRule="exact" w:before="3"/>
              <w:ind w:left="305"/>
              <w:rPr>
                <w:sz w:val="16"/>
              </w:rPr>
            </w:pPr>
            <w:r>
              <w:rPr>
                <w:sz w:val="16"/>
              </w:rPr>
              <w:t>Other</w:t>
            </w:r>
            <w:r>
              <w:rPr>
                <w:spacing w:val="15"/>
                <w:sz w:val="16"/>
              </w:rPr>
              <w:t> </w:t>
            </w:r>
            <w:r>
              <w:rPr>
                <w:sz w:val="16"/>
              </w:rPr>
              <w:t>long-term</w:t>
            </w:r>
            <w:r>
              <w:rPr>
                <w:spacing w:val="16"/>
                <w:sz w:val="16"/>
              </w:rPr>
              <w:t> </w:t>
            </w:r>
            <w:r>
              <w:rPr>
                <w:spacing w:val="-2"/>
                <w:sz w:val="16"/>
              </w:rPr>
              <w:t>liabilities</w:t>
            </w:r>
          </w:p>
        </w:tc>
        <w:tc>
          <w:tcPr>
            <w:tcW w:w="896" w:type="dxa"/>
            <w:shd w:val="clear" w:color="auto" w:fill="CCEDFF"/>
          </w:tcPr>
          <w:p>
            <w:pPr>
              <w:pStyle w:val="TableParagraph"/>
              <w:spacing w:line="180" w:lineRule="exact" w:before="3"/>
              <w:ind w:right="8"/>
              <w:jc w:val="right"/>
              <w:rPr>
                <w:b/>
                <w:sz w:val="16"/>
              </w:rPr>
            </w:pPr>
            <w:r>
              <w:rPr>
                <w:b/>
                <w:spacing w:val="-10"/>
                <w:w w:val="105"/>
                <w:sz w:val="16"/>
              </w:rPr>
              <w:t>$</w:t>
            </w:r>
          </w:p>
        </w:tc>
        <w:tc>
          <w:tcPr>
            <w:tcW w:w="1589" w:type="dxa"/>
            <w:gridSpan w:val="2"/>
            <w:shd w:val="clear" w:color="auto" w:fill="CCEDFF"/>
          </w:tcPr>
          <w:p>
            <w:pPr>
              <w:pStyle w:val="TableParagraph"/>
              <w:spacing w:line="180" w:lineRule="exact" w:before="3"/>
              <w:ind w:right="100"/>
              <w:jc w:val="right"/>
              <w:rPr>
                <w:b/>
                <w:sz w:val="16"/>
              </w:rPr>
            </w:pPr>
            <w:r>
              <w:rPr>
                <w:b/>
                <w:spacing w:val="-5"/>
                <w:w w:val="105"/>
                <w:sz w:val="16"/>
              </w:rPr>
              <w:t>66</w:t>
            </w:r>
          </w:p>
        </w:tc>
        <w:tc>
          <w:tcPr>
            <w:tcW w:w="1145" w:type="dxa"/>
            <w:shd w:val="clear" w:color="auto" w:fill="CCEDFF"/>
          </w:tcPr>
          <w:p>
            <w:pPr>
              <w:pStyle w:val="TableParagraph"/>
              <w:spacing w:line="180" w:lineRule="exact" w:before="3"/>
              <w:ind w:left="88"/>
              <w:rPr>
                <w:sz w:val="16"/>
              </w:rPr>
            </w:pPr>
            <w:r>
              <w:rPr>
                <w:spacing w:val="-10"/>
                <w:w w:val="105"/>
                <w:sz w:val="16"/>
              </w:rPr>
              <w:t>$</w:t>
            </w:r>
          </w:p>
        </w:tc>
        <w:tc>
          <w:tcPr>
            <w:tcW w:w="588" w:type="dxa"/>
            <w:shd w:val="clear" w:color="auto" w:fill="CCEDFF"/>
          </w:tcPr>
          <w:p>
            <w:pPr>
              <w:pStyle w:val="TableParagraph"/>
              <w:spacing w:line="180" w:lineRule="exact" w:before="3"/>
              <w:ind w:left="332"/>
              <w:rPr>
                <w:sz w:val="16"/>
              </w:rPr>
            </w:pPr>
            <w:r>
              <w:rPr>
                <w:spacing w:val="-5"/>
                <w:w w:val="105"/>
                <w:sz w:val="16"/>
              </w:rPr>
              <w:t>11</w:t>
            </w:r>
          </w:p>
        </w:tc>
        <w:tc>
          <w:tcPr>
            <w:tcW w:w="1733" w:type="dxa"/>
            <w:gridSpan w:val="2"/>
          </w:tcPr>
          <w:p>
            <w:pPr>
              <w:pStyle w:val="TableParagraph"/>
              <w:rPr>
                <w:sz w:val="14"/>
              </w:rPr>
            </w:pPr>
          </w:p>
        </w:tc>
      </w:tr>
    </w:tbl>
    <w:p>
      <w:pPr>
        <w:pStyle w:val="BodyText"/>
        <w:spacing w:before="5"/>
        <w:rPr>
          <w:sz w:val="18"/>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6"/>
        <w:gridCol w:w="896"/>
        <w:gridCol w:w="1589"/>
        <w:gridCol w:w="1145"/>
        <w:gridCol w:w="588"/>
        <w:gridCol w:w="1733"/>
      </w:tblGrid>
      <w:tr>
        <w:trPr>
          <w:trHeight w:val="203" w:hRule="atLeast"/>
        </w:trPr>
        <w:tc>
          <w:tcPr>
            <w:tcW w:w="5566" w:type="dxa"/>
            <w:shd w:val="clear" w:color="auto" w:fill="CCEDFF"/>
          </w:tcPr>
          <w:p>
            <w:pPr>
              <w:pStyle w:val="TableParagraph"/>
              <w:spacing w:line="180" w:lineRule="exact" w:before="3"/>
              <w:rPr>
                <w:sz w:val="16"/>
              </w:rPr>
            </w:pPr>
            <w:r>
              <w:rPr>
                <w:w w:val="105"/>
                <w:sz w:val="16"/>
              </w:rPr>
              <w:t>Related</w:t>
            </w:r>
            <w:r>
              <w:rPr>
                <w:spacing w:val="-10"/>
                <w:w w:val="105"/>
                <w:sz w:val="16"/>
              </w:rPr>
              <w:t> </w:t>
            </w:r>
            <w:r>
              <w:rPr>
                <w:w w:val="105"/>
                <w:sz w:val="16"/>
              </w:rPr>
              <w:t>party</w:t>
            </w:r>
            <w:r>
              <w:rPr>
                <w:spacing w:val="-9"/>
                <w:w w:val="105"/>
                <w:sz w:val="16"/>
              </w:rPr>
              <w:t> </w:t>
            </w:r>
            <w:r>
              <w:rPr>
                <w:spacing w:val="-2"/>
                <w:w w:val="105"/>
                <w:sz w:val="16"/>
              </w:rPr>
              <w:t>transactions:</w:t>
            </w:r>
          </w:p>
        </w:tc>
        <w:tc>
          <w:tcPr>
            <w:tcW w:w="896" w:type="dxa"/>
            <w:shd w:val="clear" w:color="auto" w:fill="CCEDFF"/>
          </w:tcPr>
          <w:p>
            <w:pPr>
              <w:pStyle w:val="TableParagraph"/>
              <w:rPr>
                <w:sz w:val="14"/>
              </w:rPr>
            </w:pPr>
          </w:p>
        </w:tc>
        <w:tc>
          <w:tcPr>
            <w:tcW w:w="1589" w:type="dxa"/>
            <w:shd w:val="clear" w:color="auto" w:fill="CCEDFF"/>
          </w:tcPr>
          <w:p>
            <w:pPr>
              <w:pStyle w:val="TableParagraph"/>
              <w:rPr>
                <w:sz w:val="14"/>
              </w:rPr>
            </w:pPr>
          </w:p>
        </w:tc>
        <w:tc>
          <w:tcPr>
            <w:tcW w:w="1145" w:type="dxa"/>
            <w:shd w:val="clear" w:color="auto" w:fill="CCEDFF"/>
          </w:tcPr>
          <w:p>
            <w:pPr>
              <w:pStyle w:val="TableParagraph"/>
              <w:rPr>
                <w:sz w:val="14"/>
              </w:rPr>
            </w:pPr>
          </w:p>
        </w:tc>
        <w:tc>
          <w:tcPr>
            <w:tcW w:w="588" w:type="dxa"/>
            <w:shd w:val="clear" w:color="auto" w:fill="CCEDFF"/>
          </w:tcPr>
          <w:p>
            <w:pPr>
              <w:pStyle w:val="TableParagraph"/>
              <w:rPr>
                <w:sz w:val="14"/>
              </w:rPr>
            </w:pPr>
          </w:p>
        </w:tc>
        <w:tc>
          <w:tcPr>
            <w:tcW w:w="1733" w:type="dxa"/>
          </w:tcPr>
          <w:p>
            <w:pPr>
              <w:pStyle w:val="TableParagraph"/>
              <w:rPr>
                <w:sz w:val="14"/>
              </w:rPr>
            </w:pPr>
          </w:p>
        </w:tc>
      </w:tr>
      <w:tr>
        <w:trPr>
          <w:trHeight w:val="203" w:hRule="atLeast"/>
        </w:trPr>
        <w:tc>
          <w:tcPr>
            <w:tcW w:w="5566" w:type="dxa"/>
          </w:tcPr>
          <w:p>
            <w:pPr>
              <w:pStyle w:val="TableParagraph"/>
              <w:spacing w:line="180" w:lineRule="exact" w:before="3"/>
              <w:ind w:left="305"/>
              <w:rPr>
                <w:sz w:val="16"/>
              </w:rPr>
            </w:pPr>
            <w:r>
              <w:rPr>
                <w:spacing w:val="-2"/>
                <w:w w:val="105"/>
                <w:sz w:val="16"/>
              </w:rPr>
              <w:t>Balances</w:t>
            </w:r>
            <w:r>
              <w:rPr>
                <w:spacing w:val="1"/>
                <w:w w:val="105"/>
                <w:sz w:val="16"/>
              </w:rPr>
              <w:t> </w:t>
            </w:r>
            <w:r>
              <w:rPr>
                <w:spacing w:val="-2"/>
                <w:w w:val="105"/>
                <w:sz w:val="16"/>
              </w:rPr>
              <w:t>due</w:t>
            </w:r>
            <w:r>
              <w:rPr>
                <w:spacing w:val="2"/>
                <w:w w:val="105"/>
                <w:sz w:val="16"/>
              </w:rPr>
              <w:t> </w:t>
            </w:r>
            <w:r>
              <w:rPr>
                <w:spacing w:val="-2"/>
                <w:w w:val="105"/>
                <w:sz w:val="16"/>
              </w:rPr>
              <w:t>from</w:t>
            </w:r>
            <w:r>
              <w:rPr>
                <w:spacing w:val="2"/>
                <w:w w:val="105"/>
                <w:sz w:val="16"/>
              </w:rPr>
              <w:t> </w:t>
            </w:r>
            <w:r>
              <w:rPr>
                <w:spacing w:val="-2"/>
                <w:w w:val="105"/>
                <w:sz w:val="16"/>
              </w:rPr>
              <w:t>affiliated</w:t>
            </w:r>
            <w:r>
              <w:rPr>
                <w:spacing w:val="2"/>
                <w:w w:val="105"/>
                <w:sz w:val="16"/>
              </w:rPr>
              <w:t> </w:t>
            </w:r>
            <w:r>
              <w:rPr>
                <w:spacing w:val="-2"/>
                <w:w w:val="105"/>
                <w:sz w:val="16"/>
              </w:rPr>
              <w:t>companies</w:t>
            </w:r>
          </w:p>
        </w:tc>
        <w:tc>
          <w:tcPr>
            <w:tcW w:w="896" w:type="dxa"/>
          </w:tcPr>
          <w:p>
            <w:pPr>
              <w:pStyle w:val="TableParagraph"/>
              <w:spacing w:line="180" w:lineRule="exact" w:before="3"/>
              <w:ind w:right="8"/>
              <w:jc w:val="right"/>
              <w:rPr>
                <w:b/>
                <w:sz w:val="16"/>
              </w:rPr>
            </w:pPr>
            <w:r>
              <w:rPr>
                <w:b/>
                <w:spacing w:val="-10"/>
                <w:w w:val="105"/>
                <w:sz w:val="16"/>
              </w:rPr>
              <w:t>$</w:t>
            </w:r>
          </w:p>
        </w:tc>
        <w:tc>
          <w:tcPr>
            <w:tcW w:w="1589" w:type="dxa"/>
          </w:tcPr>
          <w:p>
            <w:pPr>
              <w:pStyle w:val="TableParagraph"/>
              <w:spacing w:line="180" w:lineRule="exact" w:before="3"/>
              <w:ind w:right="100"/>
              <w:jc w:val="right"/>
              <w:rPr>
                <w:b/>
                <w:sz w:val="16"/>
              </w:rPr>
            </w:pPr>
            <w:r>
              <w:rPr>
                <w:b/>
                <w:spacing w:val="-5"/>
                <w:w w:val="105"/>
                <w:sz w:val="16"/>
              </w:rPr>
              <w:t>38</w:t>
            </w:r>
          </w:p>
        </w:tc>
        <w:tc>
          <w:tcPr>
            <w:tcW w:w="1145" w:type="dxa"/>
          </w:tcPr>
          <w:p>
            <w:pPr>
              <w:pStyle w:val="TableParagraph"/>
              <w:spacing w:line="180" w:lineRule="exact" w:before="3"/>
              <w:ind w:left="88"/>
              <w:rPr>
                <w:sz w:val="16"/>
              </w:rPr>
            </w:pPr>
            <w:r>
              <w:rPr>
                <w:spacing w:val="-10"/>
                <w:w w:val="105"/>
                <w:sz w:val="16"/>
              </w:rPr>
              <w:t>$</w:t>
            </w:r>
          </w:p>
        </w:tc>
        <w:tc>
          <w:tcPr>
            <w:tcW w:w="588" w:type="dxa"/>
          </w:tcPr>
          <w:p>
            <w:pPr>
              <w:pStyle w:val="TableParagraph"/>
              <w:spacing w:line="180" w:lineRule="exact" w:before="3"/>
              <w:ind w:right="88"/>
              <w:jc w:val="right"/>
              <w:rPr>
                <w:sz w:val="16"/>
              </w:rPr>
            </w:pPr>
            <w:r>
              <w:rPr>
                <w:spacing w:val="-5"/>
                <w:w w:val="105"/>
                <w:sz w:val="16"/>
              </w:rPr>
              <w:t>36</w:t>
            </w:r>
          </w:p>
        </w:tc>
        <w:tc>
          <w:tcPr>
            <w:tcW w:w="1733" w:type="dxa"/>
          </w:tcPr>
          <w:p>
            <w:pPr>
              <w:pStyle w:val="TableParagraph"/>
              <w:rPr>
                <w:sz w:val="14"/>
              </w:rPr>
            </w:pPr>
          </w:p>
        </w:tc>
      </w:tr>
      <w:tr>
        <w:trPr>
          <w:trHeight w:val="200" w:hRule="atLeast"/>
        </w:trPr>
        <w:tc>
          <w:tcPr>
            <w:tcW w:w="5566" w:type="dxa"/>
            <w:tcBorders>
              <w:bottom w:val="double" w:sz="6" w:space="0" w:color="000000"/>
            </w:tcBorders>
            <w:shd w:val="clear" w:color="auto" w:fill="CCEDFF"/>
          </w:tcPr>
          <w:p>
            <w:pPr>
              <w:pStyle w:val="TableParagraph"/>
              <w:spacing w:line="177" w:lineRule="exact" w:before="3"/>
              <w:ind w:left="305"/>
              <w:rPr>
                <w:sz w:val="16"/>
              </w:rPr>
            </w:pPr>
            <w:r>
              <w:rPr>
                <w:w w:val="105"/>
                <w:sz w:val="16"/>
              </w:rPr>
              <w:t>Balances</w:t>
            </w:r>
            <w:r>
              <w:rPr>
                <w:spacing w:val="-10"/>
                <w:w w:val="105"/>
                <w:sz w:val="16"/>
              </w:rPr>
              <w:t> </w:t>
            </w:r>
            <w:r>
              <w:rPr>
                <w:w w:val="105"/>
                <w:sz w:val="16"/>
              </w:rPr>
              <w:t>due</w:t>
            </w:r>
            <w:r>
              <w:rPr>
                <w:spacing w:val="-10"/>
                <w:w w:val="105"/>
                <w:sz w:val="16"/>
              </w:rPr>
              <w:t> </w:t>
            </w:r>
            <w:r>
              <w:rPr>
                <w:w w:val="105"/>
                <w:sz w:val="16"/>
              </w:rPr>
              <w:t>to</w:t>
            </w:r>
            <w:r>
              <w:rPr>
                <w:spacing w:val="-10"/>
                <w:w w:val="105"/>
                <w:sz w:val="16"/>
              </w:rPr>
              <w:t> </w:t>
            </w:r>
            <w:r>
              <w:rPr>
                <w:w w:val="105"/>
                <w:sz w:val="16"/>
              </w:rPr>
              <w:t>affiliated</w:t>
            </w:r>
            <w:r>
              <w:rPr>
                <w:spacing w:val="-10"/>
                <w:w w:val="105"/>
                <w:sz w:val="16"/>
              </w:rPr>
              <w:t> </w:t>
            </w:r>
            <w:r>
              <w:rPr>
                <w:spacing w:val="-2"/>
                <w:w w:val="105"/>
                <w:sz w:val="16"/>
              </w:rPr>
              <w:t>companies</w:t>
            </w:r>
          </w:p>
        </w:tc>
        <w:tc>
          <w:tcPr>
            <w:tcW w:w="896" w:type="dxa"/>
            <w:tcBorders>
              <w:bottom w:val="double" w:sz="6" w:space="0" w:color="000000"/>
            </w:tcBorders>
            <w:shd w:val="clear" w:color="auto" w:fill="CCEDFF"/>
          </w:tcPr>
          <w:p>
            <w:pPr>
              <w:pStyle w:val="TableParagraph"/>
              <w:spacing w:line="177" w:lineRule="exact" w:before="3"/>
              <w:ind w:right="8"/>
              <w:jc w:val="right"/>
              <w:rPr>
                <w:b/>
                <w:sz w:val="16"/>
              </w:rPr>
            </w:pPr>
            <w:r>
              <w:rPr>
                <w:b/>
                <w:spacing w:val="-10"/>
                <w:w w:val="105"/>
                <w:sz w:val="16"/>
              </w:rPr>
              <w:t>$</w:t>
            </w:r>
          </w:p>
        </w:tc>
        <w:tc>
          <w:tcPr>
            <w:tcW w:w="1589" w:type="dxa"/>
            <w:tcBorders>
              <w:bottom w:val="double" w:sz="6" w:space="0" w:color="000000"/>
            </w:tcBorders>
            <w:shd w:val="clear" w:color="auto" w:fill="CCEDFF"/>
          </w:tcPr>
          <w:p>
            <w:pPr>
              <w:pStyle w:val="TableParagraph"/>
              <w:spacing w:line="177" w:lineRule="exact" w:before="3"/>
              <w:ind w:right="100"/>
              <w:jc w:val="right"/>
              <w:rPr>
                <w:b/>
                <w:sz w:val="16"/>
              </w:rPr>
            </w:pPr>
            <w:r>
              <w:rPr>
                <w:b/>
                <w:spacing w:val="-10"/>
                <w:w w:val="105"/>
                <w:sz w:val="16"/>
              </w:rPr>
              <w:t>1</w:t>
            </w:r>
          </w:p>
        </w:tc>
        <w:tc>
          <w:tcPr>
            <w:tcW w:w="1145" w:type="dxa"/>
            <w:tcBorders>
              <w:bottom w:val="double" w:sz="6" w:space="0" w:color="000000"/>
            </w:tcBorders>
            <w:shd w:val="clear" w:color="auto" w:fill="CCEDFF"/>
          </w:tcPr>
          <w:p>
            <w:pPr>
              <w:pStyle w:val="TableParagraph"/>
              <w:spacing w:line="177" w:lineRule="exact" w:before="3"/>
              <w:ind w:left="88"/>
              <w:rPr>
                <w:sz w:val="16"/>
              </w:rPr>
            </w:pPr>
            <w:r>
              <w:rPr>
                <w:spacing w:val="-10"/>
                <w:w w:val="105"/>
                <w:sz w:val="16"/>
              </w:rPr>
              <w:t>$</w:t>
            </w:r>
          </w:p>
        </w:tc>
        <w:tc>
          <w:tcPr>
            <w:tcW w:w="588" w:type="dxa"/>
            <w:tcBorders>
              <w:bottom w:val="double" w:sz="6" w:space="0" w:color="000000"/>
            </w:tcBorders>
            <w:shd w:val="clear" w:color="auto" w:fill="CCEDFF"/>
          </w:tcPr>
          <w:p>
            <w:pPr>
              <w:pStyle w:val="TableParagraph"/>
              <w:spacing w:line="177" w:lineRule="exact" w:before="3"/>
              <w:ind w:right="88"/>
              <w:jc w:val="right"/>
              <w:rPr>
                <w:sz w:val="16"/>
              </w:rPr>
            </w:pPr>
            <w:r>
              <w:rPr>
                <w:spacing w:val="-10"/>
                <w:w w:val="105"/>
                <w:sz w:val="16"/>
              </w:rPr>
              <w:t>1</w:t>
            </w:r>
          </w:p>
        </w:tc>
        <w:tc>
          <w:tcPr>
            <w:tcW w:w="1733" w:type="dxa"/>
          </w:tcPr>
          <w:p>
            <w:pPr>
              <w:pStyle w:val="TableParagraph"/>
              <w:rPr>
                <w:sz w:val="12"/>
              </w:rPr>
            </w:pPr>
          </w:p>
        </w:tc>
      </w:tr>
    </w:tbl>
    <w:p>
      <w:pPr>
        <w:pStyle w:val="BodyText"/>
        <w:spacing w:before="21"/>
      </w:pPr>
    </w:p>
    <w:p>
      <w:pPr>
        <w:spacing w:line="228" w:lineRule="auto" w:before="0"/>
        <w:ind w:left="462" w:right="0" w:hanging="306"/>
        <w:jc w:val="left"/>
        <w:rPr>
          <w:sz w:val="14"/>
        </w:rPr>
      </w:pPr>
      <w:r>
        <w:rPr>
          <w:sz w:val="14"/>
        </w:rPr>
        <w:t>(1)</w:t>
      </w:r>
      <w:r>
        <w:rPr>
          <w:spacing w:val="80"/>
          <w:sz w:val="14"/>
        </w:rPr>
        <w:t> </w:t>
      </w:r>
      <w:r>
        <w:rPr>
          <w:sz w:val="14"/>
        </w:rPr>
        <w:t>The</w:t>
      </w:r>
      <w:r>
        <w:rPr>
          <w:spacing w:val="-1"/>
          <w:sz w:val="14"/>
        </w:rPr>
        <w:t> </w:t>
      </w:r>
      <w:r>
        <w:rPr>
          <w:sz w:val="14"/>
        </w:rPr>
        <w:t>year</w:t>
      </w:r>
      <w:r>
        <w:rPr>
          <w:spacing w:val="-1"/>
          <w:sz w:val="14"/>
        </w:rPr>
        <w:t> </w:t>
      </w:r>
      <w:r>
        <w:rPr>
          <w:sz w:val="14"/>
        </w:rPr>
        <w:t>ended</w:t>
      </w:r>
      <w:r>
        <w:rPr>
          <w:spacing w:val="-2"/>
          <w:sz w:val="14"/>
        </w:rPr>
        <w:t> </w:t>
      </w:r>
      <w:r>
        <w:rPr>
          <w:sz w:val="14"/>
        </w:rPr>
        <w:t>December</w:t>
      </w:r>
      <w:r>
        <w:rPr>
          <w:spacing w:val="-1"/>
          <w:sz w:val="14"/>
        </w:rPr>
        <w:t> </w:t>
      </w:r>
      <w:r>
        <w:rPr>
          <w:sz w:val="14"/>
        </w:rPr>
        <w:t>31,</w:t>
      </w:r>
      <w:r>
        <w:rPr>
          <w:spacing w:val="-1"/>
          <w:sz w:val="14"/>
        </w:rPr>
        <w:t> </w:t>
      </w:r>
      <w:r>
        <w:rPr>
          <w:sz w:val="14"/>
        </w:rPr>
        <w:t>2020,</w:t>
      </w:r>
      <w:r>
        <w:rPr>
          <w:spacing w:val="-2"/>
          <w:sz w:val="14"/>
        </w:rPr>
        <w:t> </w:t>
      </w:r>
      <w:r>
        <w:rPr>
          <w:sz w:val="14"/>
        </w:rPr>
        <w:t>only</w:t>
      </w:r>
      <w:r>
        <w:rPr>
          <w:spacing w:val="-1"/>
          <w:sz w:val="14"/>
        </w:rPr>
        <w:t> </w:t>
      </w:r>
      <w:r>
        <w:rPr>
          <w:sz w:val="14"/>
        </w:rPr>
        <w:t>includes</w:t>
      </w:r>
      <w:r>
        <w:rPr>
          <w:spacing w:val="-1"/>
          <w:sz w:val="14"/>
        </w:rPr>
        <w:t> </w:t>
      </w:r>
      <w:r>
        <w:rPr>
          <w:sz w:val="14"/>
        </w:rPr>
        <w:t>HSG’s</w:t>
      </w:r>
      <w:r>
        <w:rPr>
          <w:spacing w:val="-1"/>
          <w:sz w:val="14"/>
        </w:rPr>
        <w:t> </w:t>
      </w:r>
      <w:r>
        <w:rPr>
          <w:sz w:val="14"/>
        </w:rPr>
        <w:t>results</w:t>
      </w:r>
      <w:r>
        <w:rPr>
          <w:spacing w:val="-1"/>
          <w:sz w:val="14"/>
        </w:rPr>
        <w:t> </w:t>
      </w:r>
      <w:r>
        <w:rPr>
          <w:sz w:val="14"/>
        </w:rPr>
        <w:t>of</w:t>
      </w:r>
      <w:r>
        <w:rPr>
          <w:spacing w:val="-1"/>
          <w:sz w:val="14"/>
        </w:rPr>
        <w:t> </w:t>
      </w:r>
      <w:r>
        <w:rPr>
          <w:sz w:val="14"/>
        </w:rPr>
        <w:t>operations</w:t>
      </w:r>
      <w:r>
        <w:rPr>
          <w:spacing w:val="-1"/>
          <w:sz w:val="14"/>
        </w:rPr>
        <w:t> </w:t>
      </w:r>
      <w:r>
        <w:rPr>
          <w:sz w:val="14"/>
        </w:rPr>
        <w:t>through</w:t>
      </w:r>
      <w:r>
        <w:rPr>
          <w:spacing w:val="-1"/>
          <w:sz w:val="14"/>
        </w:rPr>
        <w:t> </w:t>
      </w:r>
      <w:r>
        <w:rPr>
          <w:sz w:val="14"/>
        </w:rPr>
        <w:t>September</w:t>
      </w:r>
      <w:r>
        <w:rPr>
          <w:spacing w:val="-1"/>
          <w:sz w:val="14"/>
        </w:rPr>
        <w:t> </w:t>
      </w:r>
      <w:r>
        <w:rPr>
          <w:sz w:val="14"/>
        </w:rPr>
        <w:t>8,</w:t>
      </w:r>
      <w:r>
        <w:rPr>
          <w:spacing w:val="-1"/>
          <w:sz w:val="14"/>
        </w:rPr>
        <w:t> </w:t>
      </w:r>
      <w:r>
        <w:rPr>
          <w:sz w:val="14"/>
        </w:rPr>
        <w:t>2020.</w:t>
      </w:r>
      <w:r>
        <w:rPr>
          <w:spacing w:val="-2"/>
          <w:sz w:val="14"/>
        </w:rPr>
        <w:t> </w:t>
      </w:r>
      <w:r>
        <w:rPr>
          <w:sz w:val="14"/>
        </w:rPr>
        <w:t>Immediately</w:t>
      </w:r>
      <w:r>
        <w:rPr>
          <w:spacing w:val="-1"/>
          <w:sz w:val="14"/>
        </w:rPr>
        <w:t> </w:t>
      </w:r>
      <w:r>
        <w:rPr>
          <w:sz w:val="14"/>
        </w:rPr>
        <w:t>following</w:t>
      </w:r>
      <w:r>
        <w:rPr>
          <w:spacing w:val="-1"/>
          <w:sz w:val="14"/>
        </w:rPr>
        <w:t> </w:t>
      </w:r>
      <w:r>
        <w:rPr>
          <w:sz w:val="14"/>
        </w:rPr>
        <w:t>the</w:t>
      </w:r>
      <w:r>
        <w:rPr>
          <w:spacing w:val="-1"/>
          <w:sz w:val="14"/>
        </w:rPr>
        <w:t> </w:t>
      </w:r>
      <w:r>
        <w:rPr>
          <w:sz w:val="14"/>
        </w:rPr>
        <w:t>Redemption,</w:t>
      </w:r>
      <w:r>
        <w:rPr>
          <w:spacing w:val="-1"/>
          <w:sz w:val="14"/>
        </w:rPr>
        <w:t> </w:t>
      </w:r>
      <w:r>
        <w:rPr>
          <w:sz w:val="14"/>
        </w:rPr>
        <w:t>Corning</w:t>
      </w:r>
      <w:r>
        <w:rPr>
          <w:spacing w:val="-1"/>
          <w:sz w:val="14"/>
        </w:rPr>
        <w:t> </w:t>
      </w:r>
      <w:r>
        <w:rPr>
          <w:sz w:val="14"/>
        </w:rPr>
        <w:t>began</w:t>
      </w:r>
      <w:r>
        <w:rPr>
          <w:spacing w:val="-1"/>
          <w:sz w:val="14"/>
        </w:rPr>
        <w:t> </w:t>
      </w:r>
      <w:r>
        <w:rPr>
          <w:sz w:val="14"/>
        </w:rPr>
        <w:t>consolidating</w:t>
      </w:r>
      <w:r>
        <w:rPr>
          <w:spacing w:val="-1"/>
          <w:sz w:val="14"/>
        </w:rPr>
        <w:t> </w:t>
      </w:r>
      <w:r>
        <w:rPr>
          <w:sz w:val="14"/>
        </w:rPr>
        <w:t>HSG</w:t>
      </w:r>
      <w:r>
        <w:rPr>
          <w:spacing w:val="-1"/>
          <w:sz w:val="14"/>
        </w:rPr>
        <w:t> </w:t>
      </w:r>
      <w:r>
        <w:rPr>
          <w:sz w:val="14"/>
        </w:rPr>
        <w:t>on</w:t>
      </w:r>
      <w:r>
        <w:rPr>
          <w:spacing w:val="-3"/>
          <w:sz w:val="14"/>
        </w:rPr>
        <w:t> </w:t>
      </w:r>
      <w:r>
        <w:rPr>
          <w:sz w:val="14"/>
        </w:rPr>
        <w:t>September</w:t>
      </w:r>
      <w:r>
        <w:rPr>
          <w:spacing w:val="-2"/>
          <w:sz w:val="14"/>
        </w:rPr>
        <w:t> </w:t>
      </w:r>
      <w:r>
        <w:rPr>
          <w:sz w:val="14"/>
        </w:rPr>
        <w:t>9,</w:t>
      </w:r>
      <w:r>
        <w:rPr>
          <w:spacing w:val="40"/>
          <w:sz w:val="14"/>
        </w:rPr>
        <w:t> </w:t>
      </w:r>
      <w:r>
        <w:rPr>
          <w:spacing w:val="-2"/>
          <w:sz w:val="14"/>
        </w:rPr>
        <w:t>2020.</w:t>
      </w:r>
    </w:p>
    <w:p>
      <w:pPr>
        <w:pStyle w:val="BodyText"/>
        <w:spacing w:before="43"/>
        <w:rPr>
          <w:sz w:val="14"/>
        </w:rPr>
      </w:pPr>
    </w:p>
    <w:p>
      <w:pPr>
        <w:pStyle w:val="BodyText"/>
        <w:ind w:left="156"/>
      </w:pPr>
      <w:r>
        <w:rPr>
          <w:w w:val="105"/>
        </w:rPr>
        <w:t>As</w:t>
      </w:r>
      <w:r>
        <w:rPr>
          <w:spacing w:val="-10"/>
          <w:w w:val="105"/>
        </w:rPr>
        <w:t> </w:t>
      </w:r>
      <w:r>
        <w:rPr>
          <w:w w:val="105"/>
        </w:rPr>
        <w:t>of</w:t>
      </w:r>
      <w:r>
        <w:rPr>
          <w:spacing w:val="-9"/>
          <w:w w:val="105"/>
        </w:rPr>
        <w:t> </w:t>
      </w:r>
      <w:r>
        <w:rPr>
          <w:w w:val="105"/>
        </w:rPr>
        <w:t>December</w:t>
      </w:r>
      <w:r>
        <w:rPr>
          <w:spacing w:val="-9"/>
          <w:w w:val="105"/>
        </w:rPr>
        <w:t> </w:t>
      </w:r>
      <w:r>
        <w:rPr>
          <w:w w:val="105"/>
        </w:rPr>
        <w:t>31,</w:t>
      </w:r>
      <w:r>
        <w:rPr>
          <w:spacing w:val="-10"/>
          <w:w w:val="105"/>
        </w:rPr>
        <w:t> </w:t>
      </w:r>
      <w:r>
        <w:rPr>
          <w:w w:val="105"/>
        </w:rPr>
        <w:t>2021</w:t>
      </w:r>
      <w:r>
        <w:rPr>
          <w:spacing w:val="-9"/>
          <w:w w:val="105"/>
        </w:rPr>
        <w:t> </w:t>
      </w:r>
      <w:r>
        <w:rPr>
          <w:w w:val="105"/>
        </w:rPr>
        <w:t>and</w:t>
      </w:r>
      <w:r>
        <w:rPr>
          <w:spacing w:val="-9"/>
          <w:w w:val="105"/>
        </w:rPr>
        <w:t> </w:t>
      </w:r>
      <w:r>
        <w:rPr>
          <w:w w:val="105"/>
        </w:rPr>
        <w:t>2020,</w:t>
      </w:r>
      <w:r>
        <w:rPr>
          <w:spacing w:val="-10"/>
          <w:w w:val="105"/>
        </w:rPr>
        <w:t> </w:t>
      </w:r>
      <w:r>
        <w:rPr>
          <w:w w:val="105"/>
        </w:rPr>
        <w:t>the</w:t>
      </w:r>
      <w:r>
        <w:rPr>
          <w:spacing w:val="-10"/>
          <w:w w:val="105"/>
        </w:rPr>
        <w:t> </w:t>
      </w:r>
      <w:r>
        <w:rPr>
          <w:w w:val="105"/>
        </w:rPr>
        <w:t>undistributed</w:t>
      </w:r>
      <w:r>
        <w:rPr>
          <w:spacing w:val="-9"/>
          <w:w w:val="105"/>
        </w:rPr>
        <w:t> </w:t>
      </w:r>
      <w:r>
        <w:rPr>
          <w:w w:val="105"/>
        </w:rPr>
        <w:t>earnings</w:t>
      </w:r>
      <w:r>
        <w:rPr>
          <w:spacing w:val="-10"/>
          <w:w w:val="105"/>
        </w:rPr>
        <w:t> </w:t>
      </w:r>
      <w:r>
        <w:rPr>
          <w:w w:val="105"/>
        </w:rPr>
        <w:t>of</w:t>
      </w:r>
      <w:r>
        <w:rPr>
          <w:spacing w:val="-9"/>
          <w:w w:val="105"/>
        </w:rPr>
        <w:t> </w:t>
      </w:r>
      <w:r>
        <w:rPr>
          <w:w w:val="105"/>
        </w:rPr>
        <w:t>equity</w:t>
      </w:r>
      <w:r>
        <w:rPr>
          <w:spacing w:val="-10"/>
          <w:w w:val="105"/>
        </w:rPr>
        <w:t> </w:t>
      </w:r>
      <w:r>
        <w:rPr>
          <w:w w:val="105"/>
        </w:rPr>
        <w:t>companies</w:t>
      </w:r>
      <w:r>
        <w:rPr>
          <w:spacing w:val="-10"/>
          <w:w w:val="105"/>
        </w:rPr>
        <w:t> </w:t>
      </w:r>
      <w:r>
        <w:rPr>
          <w:w w:val="105"/>
        </w:rPr>
        <w:t>included</w:t>
      </w:r>
      <w:r>
        <w:rPr>
          <w:spacing w:val="-8"/>
          <w:w w:val="105"/>
        </w:rPr>
        <w:t> </w:t>
      </w:r>
      <w:r>
        <w:rPr>
          <w:w w:val="105"/>
        </w:rPr>
        <w:t>in</w:t>
      </w:r>
      <w:r>
        <w:rPr>
          <w:spacing w:val="-9"/>
          <w:w w:val="105"/>
        </w:rPr>
        <w:t> </w:t>
      </w:r>
      <w:r>
        <w:rPr>
          <w:w w:val="105"/>
        </w:rPr>
        <w:t>retained</w:t>
      </w:r>
      <w:r>
        <w:rPr>
          <w:spacing w:val="-10"/>
          <w:w w:val="105"/>
        </w:rPr>
        <w:t> </w:t>
      </w:r>
      <w:r>
        <w:rPr>
          <w:w w:val="105"/>
        </w:rPr>
        <w:t>earnings</w:t>
      </w:r>
      <w:r>
        <w:rPr>
          <w:spacing w:val="-9"/>
          <w:w w:val="105"/>
        </w:rPr>
        <w:t> </w:t>
      </w:r>
      <w:r>
        <w:rPr>
          <w:w w:val="105"/>
        </w:rPr>
        <w:t>were</w:t>
      </w:r>
      <w:r>
        <w:rPr>
          <w:spacing w:val="-8"/>
          <w:w w:val="105"/>
        </w:rPr>
        <w:t> </w:t>
      </w:r>
      <w:r>
        <w:rPr>
          <w:w w:val="105"/>
        </w:rPr>
        <w:t>not</w:t>
      </w:r>
      <w:r>
        <w:rPr>
          <w:spacing w:val="-10"/>
          <w:w w:val="105"/>
        </w:rPr>
        <w:t> </w:t>
      </w:r>
      <w:r>
        <w:rPr>
          <w:spacing w:val="-2"/>
          <w:w w:val="105"/>
        </w:rPr>
        <w:t>material.</w:t>
      </w:r>
    </w:p>
    <w:p>
      <w:pPr>
        <w:pStyle w:val="BodyText"/>
        <w:spacing w:before="40"/>
      </w:pPr>
    </w:p>
    <w:p>
      <w:pPr>
        <w:pStyle w:val="Heading3"/>
      </w:pPr>
      <w:r>
        <w:rPr/>
        <w:t>Hemlock</w:t>
      </w:r>
      <w:r>
        <w:rPr>
          <w:spacing w:val="17"/>
        </w:rPr>
        <w:t> </w:t>
      </w:r>
      <w:r>
        <w:rPr/>
        <w:t>Semiconductor</w:t>
      </w:r>
      <w:r>
        <w:rPr>
          <w:spacing w:val="17"/>
        </w:rPr>
        <w:t> </w:t>
      </w:r>
      <w:r>
        <w:rPr/>
        <w:t>Group</w:t>
      </w:r>
      <w:r>
        <w:rPr>
          <w:spacing w:val="17"/>
        </w:rPr>
        <w:t> </w:t>
      </w:r>
      <w:r>
        <w:rPr>
          <w:spacing w:val="-2"/>
        </w:rPr>
        <w:t>(</w:t>
      </w:r>
      <w:r>
        <w:rPr>
          <w:b w:val="0"/>
          <w:i w:val="0"/>
          <w:spacing w:val="-2"/>
        </w:rPr>
        <w:t>“</w:t>
      </w:r>
      <w:r>
        <w:rPr>
          <w:spacing w:val="-2"/>
        </w:rPr>
        <w:t>HSG</w:t>
      </w:r>
      <w:r>
        <w:rPr>
          <w:b w:val="0"/>
          <w:i w:val="0"/>
          <w:spacing w:val="-2"/>
        </w:rPr>
        <w:t>”</w:t>
      </w:r>
      <w:r>
        <w:rPr>
          <w:spacing w:val="-2"/>
        </w:rPr>
        <w:t>)</w:t>
      </w:r>
    </w:p>
    <w:p>
      <w:pPr>
        <w:pStyle w:val="BodyText"/>
        <w:spacing w:before="39"/>
        <w:rPr>
          <w:b/>
          <w:i/>
        </w:rPr>
      </w:pPr>
    </w:p>
    <w:p>
      <w:pPr>
        <w:pStyle w:val="BodyText"/>
        <w:spacing w:line="266" w:lineRule="auto" w:before="1"/>
        <w:ind w:left="156" w:right="117"/>
      </w:pPr>
      <w:r>
        <w:rPr>
          <w:w w:val="105"/>
        </w:rPr>
        <w:t>In</w:t>
      </w:r>
      <w:r>
        <w:rPr>
          <w:spacing w:val="-8"/>
          <w:w w:val="105"/>
        </w:rPr>
        <w:t> </w:t>
      </w:r>
      <w:r>
        <w:rPr>
          <w:w w:val="105"/>
        </w:rPr>
        <w:t>2016,</w:t>
      </w:r>
      <w:r>
        <w:rPr>
          <w:spacing w:val="-8"/>
          <w:w w:val="105"/>
        </w:rPr>
        <w:t> </w:t>
      </w:r>
      <w:r>
        <w:rPr>
          <w:w w:val="105"/>
        </w:rPr>
        <w:t>Corning</w:t>
      </w:r>
      <w:r>
        <w:rPr>
          <w:spacing w:val="-8"/>
          <w:w w:val="105"/>
        </w:rPr>
        <w:t> </w:t>
      </w:r>
      <w:r>
        <w:rPr>
          <w:w w:val="105"/>
        </w:rPr>
        <w:t>realigned</w:t>
      </w:r>
      <w:r>
        <w:rPr>
          <w:spacing w:val="-8"/>
          <w:w w:val="105"/>
        </w:rPr>
        <w:t> </w:t>
      </w:r>
      <w:r>
        <w:rPr>
          <w:w w:val="105"/>
        </w:rPr>
        <w:t>its</w:t>
      </w:r>
      <w:r>
        <w:rPr>
          <w:spacing w:val="-8"/>
          <w:w w:val="105"/>
        </w:rPr>
        <w:t> </w:t>
      </w:r>
      <w:r>
        <w:rPr>
          <w:w w:val="105"/>
        </w:rPr>
        <w:t>ownership</w:t>
      </w:r>
      <w:r>
        <w:rPr>
          <w:spacing w:val="-8"/>
          <w:w w:val="105"/>
        </w:rPr>
        <w:t> </w:t>
      </w:r>
      <w:r>
        <w:rPr>
          <w:w w:val="105"/>
        </w:rPr>
        <w:t>interest</w:t>
      </w:r>
      <w:r>
        <w:rPr>
          <w:spacing w:val="-8"/>
          <w:w w:val="105"/>
        </w:rPr>
        <w:t> </w:t>
      </w:r>
      <w:r>
        <w:rPr>
          <w:w w:val="105"/>
        </w:rPr>
        <w:t>in</w:t>
      </w:r>
      <w:r>
        <w:rPr>
          <w:spacing w:val="-8"/>
          <w:w w:val="105"/>
        </w:rPr>
        <w:t> </w:t>
      </w:r>
      <w:r>
        <w:rPr>
          <w:w w:val="105"/>
        </w:rPr>
        <w:t>Dow</w:t>
      </w:r>
      <w:r>
        <w:rPr>
          <w:spacing w:val="-8"/>
          <w:w w:val="105"/>
        </w:rPr>
        <w:t> </w:t>
      </w:r>
      <w:r>
        <w:rPr>
          <w:w w:val="105"/>
        </w:rPr>
        <w:t>Corning,</w:t>
      </w:r>
      <w:r>
        <w:rPr>
          <w:spacing w:val="-8"/>
          <w:w w:val="105"/>
        </w:rPr>
        <w:t> </w:t>
      </w:r>
      <w:r>
        <w:rPr>
          <w:w w:val="105"/>
        </w:rPr>
        <w:t>exchanging</w:t>
      </w:r>
      <w:r>
        <w:rPr>
          <w:spacing w:val="-8"/>
          <w:w w:val="105"/>
        </w:rPr>
        <w:t> </w:t>
      </w:r>
      <w:r>
        <w:rPr>
          <w:w w:val="105"/>
        </w:rPr>
        <w:t>its</w:t>
      </w:r>
      <w:r>
        <w:rPr>
          <w:spacing w:val="-8"/>
          <w:w w:val="105"/>
        </w:rPr>
        <w:t> </w:t>
      </w:r>
      <w:r>
        <w:rPr>
          <w:w w:val="105"/>
        </w:rPr>
        <w:t>50%</w:t>
      </w:r>
      <w:r>
        <w:rPr>
          <w:spacing w:val="-8"/>
          <w:w w:val="105"/>
        </w:rPr>
        <w:t> </w:t>
      </w:r>
      <w:r>
        <w:rPr>
          <w:w w:val="105"/>
        </w:rPr>
        <w:t>interest</w:t>
      </w:r>
      <w:r>
        <w:rPr>
          <w:spacing w:val="-8"/>
          <w:w w:val="105"/>
        </w:rPr>
        <w:t> </w:t>
      </w:r>
      <w:r>
        <w:rPr>
          <w:w w:val="105"/>
        </w:rPr>
        <w:t>in</w:t>
      </w:r>
      <w:r>
        <w:rPr>
          <w:spacing w:val="-8"/>
          <w:w w:val="105"/>
        </w:rPr>
        <w:t> </w:t>
      </w:r>
      <w:r>
        <w:rPr>
          <w:w w:val="105"/>
        </w:rPr>
        <w:t>the</w:t>
      </w:r>
      <w:r>
        <w:rPr>
          <w:spacing w:val="-8"/>
          <w:w w:val="105"/>
        </w:rPr>
        <w:t> </w:t>
      </w:r>
      <w:r>
        <w:rPr>
          <w:w w:val="105"/>
        </w:rPr>
        <w:t>joint</w:t>
      </w:r>
      <w:r>
        <w:rPr>
          <w:spacing w:val="-8"/>
          <w:w w:val="105"/>
        </w:rPr>
        <w:t> </w:t>
      </w:r>
      <w:r>
        <w:rPr>
          <w:w w:val="105"/>
        </w:rPr>
        <w:t>venture</w:t>
      </w:r>
      <w:r>
        <w:rPr>
          <w:spacing w:val="-8"/>
          <w:w w:val="105"/>
        </w:rPr>
        <w:t> </w:t>
      </w:r>
      <w:r>
        <w:rPr>
          <w:w w:val="105"/>
        </w:rPr>
        <w:t>between</w:t>
      </w:r>
      <w:r>
        <w:rPr>
          <w:spacing w:val="-8"/>
          <w:w w:val="105"/>
        </w:rPr>
        <w:t> </w:t>
      </w:r>
      <w:r>
        <w:rPr>
          <w:w w:val="105"/>
        </w:rPr>
        <w:t>Corning</w:t>
      </w:r>
      <w:r>
        <w:rPr>
          <w:spacing w:val="-8"/>
          <w:w w:val="105"/>
        </w:rPr>
        <w:t> </w:t>
      </w:r>
      <w:r>
        <w:rPr>
          <w:w w:val="105"/>
        </w:rPr>
        <w:t>and</w:t>
      </w:r>
      <w:r>
        <w:rPr>
          <w:spacing w:val="-8"/>
          <w:w w:val="105"/>
        </w:rPr>
        <w:t> </w:t>
      </w:r>
      <w:r>
        <w:rPr>
          <w:w w:val="105"/>
        </w:rPr>
        <w:t>Dow</w:t>
      </w:r>
      <w:r>
        <w:rPr>
          <w:spacing w:val="-8"/>
          <w:w w:val="105"/>
        </w:rPr>
        <w:t> </w:t>
      </w:r>
      <w:r>
        <w:rPr>
          <w:w w:val="105"/>
        </w:rPr>
        <w:t>Chemical</w:t>
      </w:r>
      <w:r>
        <w:rPr>
          <w:spacing w:val="-8"/>
          <w:w w:val="105"/>
        </w:rPr>
        <w:t> </w:t>
      </w:r>
      <w:r>
        <w:rPr>
          <w:w w:val="105"/>
        </w:rPr>
        <w:t>for</w:t>
      </w:r>
      <w:r>
        <w:rPr>
          <w:spacing w:val="-8"/>
          <w:w w:val="105"/>
        </w:rPr>
        <w:t> </w:t>
      </w:r>
      <w:r>
        <w:rPr>
          <w:w w:val="105"/>
        </w:rPr>
        <w:t>a</w:t>
      </w:r>
      <w:r>
        <w:rPr>
          <w:spacing w:val="-8"/>
          <w:w w:val="105"/>
        </w:rPr>
        <w:t> </w:t>
      </w:r>
      <w:r>
        <w:rPr>
          <w:w w:val="105"/>
        </w:rPr>
        <w:t>newly</w:t>
      </w:r>
      <w:r>
        <w:rPr>
          <w:spacing w:val="-8"/>
          <w:w w:val="105"/>
        </w:rPr>
        <w:t> </w:t>
      </w:r>
      <w:r>
        <w:rPr>
          <w:w w:val="105"/>
        </w:rPr>
        <w:t>formed company</w:t>
      </w:r>
      <w:r>
        <w:rPr>
          <w:spacing w:val="-2"/>
          <w:w w:val="105"/>
        </w:rPr>
        <w:t> </w:t>
      </w:r>
      <w:r>
        <w:rPr>
          <w:w w:val="105"/>
        </w:rPr>
        <w:t>that</w:t>
      </w:r>
      <w:r>
        <w:rPr>
          <w:spacing w:val="-2"/>
          <w:w w:val="105"/>
        </w:rPr>
        <w:t> </w:t>
      </w:r>
      <w:r>
        <w:rPr>
          <w:w w:val="105"/>
        </w:rPr>
        <w:t>held</w:t>
      </w:r>
      <w:r>
        <w:rPr>
          <w:spacing w:val="-2"/>
          <w:w w:val="105"/>
        </w:rPr>
        <w:t> </w:t>
      </w:r>
      <w:r>
        <w:rPr>
          <w:w w:val="105"/>
        </w:rPr>
        <w:t>a</w:t>
      </w:r>
      <w:r>
        <w:rPr>
          <w:spacing w:val="-2"/>
          <w:w w:val="105"/>
        </w:rPr>
        <w:t> </w:t>
      </w:r>
      <w:r>
        <w:rPr>
          <w:w w:val="105"/>
        </w:rPr>
        <w:t>49.9%</w:t>
      </w:r>
      <w:r>
        <w:rPr>
          <w:spacing w:val="-2"/>
          <w:w w:val="105"/>
        </w:rPr>
        <w:t> </w:t>
      </w:r>
      <w:r>
        <w:rPr>
          <w:w w:val="105"/>
        </w:rPr>
        <w:t>interest</w:t>
      </w:r>
      <w:r>
        <w:rPr>
          <w:spacing w:val="-2"/>
          <w:w w:val="105"/>
        </w:rPr>
        <w:t> </w:t>
      </w:r>
      <w:r>
        <w:rPr>
          <w:w w:val="105"/>
        </w:rPr>
        <w:t>in</w:t>
      </w:r>
      <w:r>
        <w:rPr>
          <w:spacing w:val="-2"/>
          <w:w w:val="105"/>
        </w:rPr>
        <w:t> </w:t>
      </w:r>
      <w:r>
        <w:rPr>
          <w:w w:val="105"/>
        </w:rPr>
        <w:t>Hemlock</w:t>
      </w:r>
      <w:r>
        <w:rPr>
          <w:spacing w:val="-2"/>
          <w:w w:val="105"/>
        </w:rPr>
        <w:t> </w:t>
      </w:r>
      <w:r>
        <w:rPr>
          <w:w w:val="105"/>
        </w:rPr>
        <w:t>Semiconductor</w:t>
      </w:r>
      <w:r>
        <w:rPr>
          <w:spacing w:val="-2"/>
          <w:w w:val="105"/>
        </w:rPr>
        <w:t> </w:t>
      </w:r>
      <w:r>
        <w:rPr>
          <w:w w:val="105"/>
        </w:rPr>
        <w:t>LLC</w:t>
      </w:r>
      <w:r>
        <w:rPr>
          <w:spacing w:val="-2"/>
          <w:w w:val="105"/>
        </w:rPr>
        <w:t> </w:t>
      </w:r>
      <w:r>
        <w:rPr>
          <w:w w:val="105"/>
        </w:rPr>
        <w:t>and</w:t>
      </w:r>
      <w:r>
        <w:rPr>
          <w:spacing w:val="-2"/>
          <w:w w:val="105"/>
        </w:rPr>
        <w:t> </w:t>
      </w:r>
      <w:r>
        <w:rPr>
          <w:w w:val="105"/>
        </w:rPr>
        <w:t>a</w:t>
      </w:r>
      <w:r>
        <w:rPr>
          <w:spacing w:val="-2"/>
          <w:w w:val="105"/>
        </w:rPr>
        <w:t> </w:t>
      </w:r>
      <w:r>
        <w:rPr>
          <w:w w:val="105"/>
        </w:rPr>
        <w:t>40.25%</w:t>
      </w:r>
      <w:r>
        <w:rPr>
          <w:spacing w:val="-2"/>
          <w:w w:val="105"/>
        </w:rPr>
        <w:t> </w:t>
      </w:r>
      <w:r>
        <w:rPr>
          <w:w w:val="105"/>
        </w:rPr>
        <w:t>interest</w:t>
      </w:r>
      <w:r>
        <w:rPr>
          <w:spacing w:val="-2"/>
          <w:w w:val="105"/>
        </w:rPr>
        <w:t> </w:t>
      </w:r>
      <w:r>
        <w:rPr>
          <w:w w:val="105"/>
        </w:rPr>
        <w:t>in</w:t>
      </w:r>
      <w:r>
        <w:rPr>
          <w:spacing w:val="-2"/>
          <w:w w:val="105"/>
        </w:rPr>
        <w:t> </w:t>
      </w:r>
      <w:r>
        <w:rPr>
          <w:w w:val="105"/>
        </w:rPr>
        <w:t>Hemlock</w:t>
      </w:r>
      <w:r>
        <w:rPr>
          <w:spacing w:val="-2"/>
          <w:w w:val="105"/>
        </w:rPr>
        <w:t> </w:t>
      </w:r>
      <w:r>
        <w:rPr>
          <w:w w:val="105"/>
        </w:rPr>
        <w:t>Semiconductor</w:t>
      </w:r>
      <w:r>
        <w:rPr>
          <w:spacing w:val="-2"/>
          <w:w w:val="105"/>
        </w:rPr>
        <w:t> </w:t>
      </w:r>
      <w:r>
        <w:rPr>
          <w:w w:val="105"/>
        </w:rPr>
        <w:t>Operations</w:t>
      </w:r>
      <w:r>
        <w:rPr>
          <w:spacing w:val="-2"/>
          <w:w w:val="105"/>
        </w:rPr>
        <w:t> </w:t>
      </w:r>
      <w:r>
        <w:rPr>
          <w:w w:val="105"/>
        </w:rPr>
        <w:t>LLC</w:t>
      </w:r>
      <w:r>
        <w:rPr>
          <w:spacing w:val="-2"/>
          <w:w w:val="105"/>
        </w:rPr>
        <w:t> </w:t>
      </w:r>
      <w:r>
        <w:rPr>
          <w:w w:val="105"/>
        </w:rPr>
        <w:t>which</w:t>
      </w:r>
      <w:r>
        <w:rPr>
          <w:spacing w:val="-2"/>
          <w:w w:val="105"/>
        </w:rPr>
        <w:t> </w:t>
      </w:r>
      <w:r>
        <w:rPr>
          <w:w w:val="105"/>
        </w:rPr>
        <w:t>were</w:t>
      </w:r>
      <w:r>
        <w:rPr>
          <w:spacing w:val="-2"/>
          <w:w w:val="105"/>
        </w:rPr>
        <w:t> </w:t>
      </w:r>
      <w:r>
        <w:rPr>
          <w:w w:val="105"/>
        </w:rPr>
        <w:t>recorded</w:t>
      </w:r>
      <w:r>
        <w:rPr>
          <w:spacing w:val="-2"/>
          <w:w w:val="105"/>
        </w:rPr>
        <w:t> </w:t>
      </w:r>
      <w:r>
        <w:rPr>
          <w:w w:val="105"/>
        </w:rPr>
        <w:t>as</w:t>
      </w:r>
      <w:r>
        <w:rPr>
          <w:spacing w:val="-2"/>
          <w:w w:val="105"/>
        </w:rPr>
        <w:t> </w:t>
      </w:r>
      <w:r>
        <w:rPr>
          <w:w w:val="105"/>
        </w:rPr>
        <w:t>equity method</w:t>
      </w:r>
      <w:r>
        <w:rPr>
          <w:spacing w:val="-7"/>
          <w:w w:val="105"/>
        </w:rPr>
        <w:t> </w:t>
      </w:r>
      <w:r>
        <w:rPr>
          <w:w w:val="105"/>
        </w:rPr>
        <w:t>investments</w:t>
      </w:r>
      <w:r>
        <w:rPr>
          <w:spacing w:val="-7"/>
          <w:w w:val="105"/>
        </w:rPr>
        <w:t> </w:t>
      </w:r>
      <w:r>
        <w:rPr>
          <w:w w:val="105"/>
        </w:rPr>
        <w:t>of</w:t>
      </w:r>
      <w:r>
        <w:rPr>
          <w:spacing w:val="-7"/>
          <w:w w:val="105"/>
        </w:rPr>
        <w:t> </w:t>
      </w:r>
      <w:r>
        <w:rPr>
          <w:w w:val="105"/>
        </w:rPr>
        <w:t>Corning</w:t>
      </w:r>
      <w:r>
        <w:rPr>
          <w:spacing w:val="-7"/>
          <w:w w:val="105"/>
        </w:rPr>
        <w:t> </w:t>
      </w:r>
      <w:r>
        <w:rPr>
          <w:w w:val="105"/>
        </w:rPr>
        <w:t>and</w:t>
      </w:r>
      <w:r>
        <w:rPr>
          <w:spacing w:val="-5"/>
          <w:w w:val="105"/>
        </w:rPr>
        <w:t> </w:t>
      </w:r>
      <w:r>
        <w:rPr>
          <w:w w:val="105"/>
        </w:rPr>
        <w:t>are</w:t>
      </w:r>
      <w:r>
        <w:rPr>
          <w:spacing w:val="-7"/>
          <w:w w:val="105"/>
        </w:rPr>
        <w:t> </w:t>
      </w:r>
      <w:r>
        <w:rPr>
          <w:w w:val="105"/>
        </w:rPr>
        <w:t>affiliated</w:t>
      </w:r>
      <w:r>
        <w:rPr>
          <w:spacing w:val="-7"/>
          <w:w w:val="105"/>
        </w:rPr>
        <w:t> </w:t>
      </w:r>
      <w:r>
        <w:rPr>
          <w:w w:val="105"/>
        </w:rPr>
        <w:t>companies</w:t>
      </w:r>
      <w:r>
        <w:rPr>
          <w:spacing w:val="-7"/>
          <w:w w:val="105"/>
        </w:rPr>
        <w:t> </w:t>
      </w:r>
      <w:r>
        <w:rPr>
          <w:w w:val="105"/>
        </w:rPr>
        <w:t>of</w:t>
      </w:r>
      <w:r>
        <w:rPr>
          <w:spacing w:val="-7"/>
          <w:w w:val="105"/>
        </w:rPr>
        <w:t> </w:t>
      </w:r>
      <w:r>
        <w:rPr>
          <w:w w:val="105"/>
        </w:rPr>
        <w:t>HSG.</w:t>
      </w:r>
      <w:r>
        <w:rPr>
          <w:spacing w:val="-7"/>
          <w:w w:val="105"/>
        </w:rPr>
        <w:t> </w:t>
      </w:r>
      <w:r>
        <w:rPr>
          <w:w w:val="105"/>
        </w:rPr>
        <w:t>DuPont</w:t>
      </w:r>
      <w:r>
        <w:rPr>
          <w:spacing w:val="-7"/>
          <w:w w:val="105"/>
        </w:rPr>
        <w:t> </w:t>
      </w:r>
      <w:r>
        <w:rPr>
          <w:w w:val="105"/>
        </w:rPr>
        <w:t>de</w:t>
      </w:r>
      <w:r>
        <w:rPr>
          <w:spacing w:val="-7"/>
          <w:w w:val="105"/>
        </w:rPr>
        <w:t> </w:t>
      </w:r>
      <w:r>
        <w:rPr>
          <w:w w:val="105"/>
        </w:rPr>
        <w:t>Nemours,</w:t>
      </w:r>
      <w:r>
        <w:rPr>
          <w:spacing w:val="-7"/>
          <w:w w:val="105"/>
        </w:rPr>
        <w:t> </w:t>
      </w:r>
      <w:r>
        <w:rPr>
          <w:w w:val="105"/>
        </w:rPr>
        <w:t>Inc.</w:t>
      </w:r>
      <w:r>
        <w:rPr>
          <w:spacing w:val="-7"/>
          <w:w w:val="105"/>
        </w:rPr>
        <w:t> </w:t>
      </w:r>
      <w:r>
        <w:rPr>
          <w:w w:val="105"/>
        </w:rPr>
        <w:t>(“DuPont”)</w:t>
      </w:r>
      <w:r>
        <w:rPr>
          <w:spacing w:val="-7"/>
          <w:w w:val="105"/>
        </w:rPr>
        <w:t> </w:t>
      </w:r>
      <w:r>
        <w:rPr>
          <w:w w:val="105"/>
        </w:rPr>
        <w:t>subsequently</w:t>
      </w:r>
      <w:r>
        <w:rPr>
          <w:spacing w:val="-7"/>
          <w:w w:val="105"/>
        </w:rPr>
        <w:t> </w:t>
      </w:r>
      <w:r>
        <w:rPr>
          <w:w w:val="105"/>
        </w:rPr>
        <w:t>undertook</w:t>
      </w:r>
      <w:r>
        <w:rPr>
          <w:spacing w:val="-7"/>
          <w:w w:val="105"/>
        </w:rPr>
        <w:t> </w:t>
      </w:r>
      <w:r>
        <w:rPr>
          <w:w w:val="105"/>
        </w:rPr>
        <w:t>Dow</w:t>
      </w:r>
      <w:r>
        <w:rPr>
          <w:spacing w:val="-7"/>
          <w:w w:val="105"/>
        </w:rPr>
        <w:t> </w:t>
      </w:r>
      <w:r>
        <w:rPr>
          <w:w w:val="105"/>
        </w:rPr>
        <w:t>Chemical</w:t>
      </w:r>
      <w:r>
        <w:rPr>
          <w:spacing w:val="-7"/>
          <w:w w:val="105"/>
        </w:rPr>
        <w:t> </w:t>
      </w:r>
      <w:r>
        <w:rPr>
          <w:w w:val="105"/>
        </w:rPr>
        <w:t>Company’s</w:t>
      </w:r>
      <w:r>
        <w:rPr>
          <w:spacing w:val="-7"/>
          <w:w w:val="105"/>
        </w:rPr>
        <w:t> </w:t>
      </w:r>
      <w:r>
        <w:rPr>
          <w:w w:val="105"/>
        </w:rPr>
        <w:t>ownership interest</w:t>
      </w:r>
      <w:r>
        <w:rPr>
          <w:spacing w:val="-2"/>
          <w:w w:val="105"/>
        </w:rPr>
        <w:t> </w:t>
      </w:r>
      <w:r>
        <w:rPr>
          <w:w w:val="105"/>
        </w:rPr>
        <w:t>in</w:t>
      </w:r>
      <w:r>
        <w:rPr>
          <w:spacing w:val="-2"/>
          <w:w w:val="105"/>
        </w:rPr>
        <w:t> </w:t>
      </w:r>
      <w:r>
        <w:rPr>
          <w:w w:val="105"/>
        </w:rPr>
        <w:t>HSG.</w:t>
      </w:r>
      <w:r>
        <w:rPr>
          <w:spacing w:val="-2"/>
          <w:w w:val="105"/>
        </w:rPr>
        <w:t> </w:t>
      </w:r>
      <w:r>
        <w:rPr>
          <w:w w:val="105"/>
        </w:rPr>
        <w:t>HSG</w:t>
      </w:r>
      <w:r>
        <w:rPr>
          <w:spacing w:val="-2"/>
          <w:w w:val="105"/>
        </w:rPr>
        <w:t> </w:t>
      </w:r>
      <w:r>
        <w:rPr>
          <w:w w:val="105"/>
        </w:rPr>
        <w:t>manufactures</w:t>
      </w:r>
      <w:r>
        <w:rPr>
          <w:spacing w:val="-2"/>
          <w:w w:val="105"/>
        </w:rPr>
        <w:t> </w:t>
      </w:r>
      <w:r>
        <w:rPr>
          <w:w w:val="105"/>
        </w:rPr>
        <w:t>polysilicon</w:t>
      </w:r>
      <w:r>
        <w:rPr>
          <w:spacing w:val="-2"/>
          <w:w w:val="105"/>
        </w:rPr>
        <w:t> </w:t>
      </w:r>
      <w:r>
        <w:rPr>
          <w:w w:val="105"/>
        </w:rPr>
        <w:t>products</w:t>
      </w:r>
      <w:r>
        <w:rPr>
          <w:spacing w:val="-2"/>
          <w:w w:val="105"/>
        </w:rPr>
        <w:t> </w:t>
      </w:r>
      <w:r>
        <w:rPr>
          <w:w w:val="105"/>
        </w:rPr>
        <w:t>for</w:t>
      </w:r>
      <w:r>
        <w:rPr>
          <w:spacing w:val="-2"/>
          <w:w w:val="105"/>
        </w:rPr>
        <w:t> </w:t>
      </w:r>
      <w:r>
        <w:rPr>
          <w:w w:val="105"/>
        </w:rPr>
        <w:t>the</w:t>
      </w:r>
      <w:r>
        <w:rPr>
          <w:spacing w:val="-2"/>
          <w:w w:val="105"/>
        </w:rPr>
        <w:t> </w:t>
      </w:r>
      <w:r>
        <w:rPr>
          <w:w w:val="105"/>
        </w:rPr>
        <w:t>semiconductor</w:t>
      </w:r>
      <w:r>
        <w:rPr>
          <w:spacing w:val="-2"/>
          <w:w w:val="105"/>
        </w:rPr>
        <w:t> </w:t>
      </w:r>
      <w:r>
        <w:rPr>
          <w:w w:val="105"/>
        </w:rPr>
        <w:t>and</w:t>
      </w:r>
      <w:r>
        <w:rPr>
          <w:spacing w:val="-2"/>
          <w:w w:val="105"/>
        </w:rPr>
        <w:t> </w:t>
      </w:r>
      <w:r>
        <w:rPr>
          <w:w w:val="105"/>
        </w:rPr>
        <w:t>solar</w:t>
      </w:r>
      <w:r>
        <w:rPr>
          <w:spacing w:val="-2"/>
          <w:w w:val="105"/>
        </w:rPr>
        <w:t> </w:t>
      </w:r>
      <w:r>
        <w:rPr>
          <w:w w:val="105"/>
        </w:rPr>
        <w:t>industries,</w:t>
      </w:r>
      <w:r>
        <w:rPr>
          <w:spacing w:val="-2"/>
          <w:w w:val="105"/>
        </w:rPr>
        <w:t> </w:t>
      </w:r>
      <w:r>
        <w:rPr>
          <w:w w:val="105"/>
        </w:rPr>
        <w:t>and it</w:t>
      </w:r>
      <w:r>
        <w:rPr>
          <w:spacing w:val="-2"/>
          <w:w w:val="105"/>
        </w:rPr>
        <w:t> </w:t>
      </w:r>
      <w:r>
        <w:rPr>
          <w:w w:val="105"/>
        </w:rPr>
        <w:t>is</w:t>
      </w:r>
      <w:r>
        <w:rPr>
          <w:spacing w:val="-1"/>
          <w:w w:val="105"/>
        </w:rPr>
        <w:t> </w:t>
      </w:r>
      <w:r>
        <w:rPr>
          <w:w w:val="105"/>
        </w:rPr>
        <w:t>one</w:t>
      </w:r>
      <w:r>
        <w:rPr>
          <w:spacing w:val="-2"/>
          <w:w w:val="105"/>
        </w:rPr>
        <w:t> </w:t>
      </w:r>
      <w:r>
        <w:rPr>
          <w:w w:val="105"/>
        </w:rPr>
        <w:t>of</w:t>
      </w:r>
      <w:r>
        <w:rPr>
          <w:spacing w:val="-2"/>
          <w:w w:val="105"/>
        </w:rPr>
        <w:t> </w:t>
      </w:r>
      <w:r>
        <w:rPr>
          <w:w w:val="105"/>
        </w:rPr>
        <w:t>the</w:t>
      </w:r>
      <w:r>
        <w:rPr>
          <w:spacing w:val="-2"/>
          <w:w w:val="105"/>
        </w:rPr>
        <w:t> </w:t>
      </w:r>
      <w:r>
        <w:rPr>
          <w:w w:val="105"/>
        </w:rPr>
        <w:t>world’s</w:t>
      </w:r>
      <w:r>
        <w:rPr>
          <w:spacing w:val="-2"/>
          <w:w w:val="105"/>
        </w:rPr>
        <w:t> </w:t>
      </w:r>
      <w:r>
        <w:rPr>
          <w:w w:val="105"/>
        </w:rPr>
        <w:t>leading</w:t>
      </w:r>
      <w:r>
        <w:rPr>
          <w:spacing w:val="-2"/>
          <w:w w:val="105"/>
        </w:rPr>
        <w:t> </w:t>
      </w:r>
      <w:r>
        <w:rPr>
          <w:w w:val="105"/>
        </w:rPr>
        <w:t>providers</w:t>
      </w:r>
      <w:r>
        <w:rPr>
          <w:spacing w:val="-2"/>
          <w:w w:val="105"/>
        </w:rPr>
        <w:t> </w:t>
      </w:r>
      <w:r>
        <w:rPr>
          <w:w w:val="105"/>
        </w:rPr>
        <w:t>of</w:t>
      </w:r>
      <w:r>
        <w:rPr>
          <w:spacing w:val="-2"/>
          <w:w w:val="105"/>
        </w:rPr>
        <w:t> </w:t>
      </w:r>
      <w:r>
        <w:rPr>
          <w:w w:val="105"/>
        </w:rPr>
        <w:t>ultra-pure polycrystalline silicon to the semiconductor industry.</w:t>
      </w:r>
    </w:p>
    <w:p>
      <w:pPr>
        <w:pStyle w:val="BodyText"/>
        <w:spacing w:before="17"/>
      </w:pPr>
    </w:p>
    <w:p>
      <w:pPr>
        <w:pStyle w:val="BodyText"/>
        <w:ind w:left="48"/>
        <w:jc w:val="center"/>
      </w:pPr>
      <w:r>
        <w:rPr>
          <w:spacing w:val="-5"/>
          <w:w w:val="105"/>
        </w:rPr>
        <w:t>78</w:t>
      </w:r>
    </w:p>
    <w:p>
      <w:pPr>
        <w:pStyle w:val="BodyText"/>
        <w:rPr>
          <w:sz w:val="6"/>
        </w:rPr>
      </w:pPr>
      <w:r>
        <w:rPr/>
        <mc:AlternateContent>
          <mc:Choice Requires="wps">
            <w:drawing>
              <wp:anchor distT="0" distB="0" distL="0" distR="0" allowOverlap="1" layoutInCell="1" locked="0" behindDoc="1" simplePos="0" relativeHeight="487678976">
                <wp:simplePos x="0" y="0"/>
                <wp:positionH relativeFrom="page">
                  <wp:posOffset>226488</wp:posOffset>
                </wp:positionH>
                <wp:positionV relativeFrom="paragraph">
                  <wp:posOffset>59051</wp:posOffset>
                </wp:positionV>
                <wp:extent cx="7312659" cy="16510"/>
                <wp:effectExtent l="0" t="0" r="0" b="0"/>
                <wp:wrapTopAndBottom/>
                <wp:docPr id="362" name="Graphic 362"/>
                <wp:cNvGraphicFramePr>
                  <a:graphicFrameLocks/>
                </wp:cNvGraphicFramePr>
                <a:graphic>
                  <a:graphicData uri="http://schemas.microsoft.com/office/word/2010/wordprocessingShape">
                    <wps:wsp>
                      <wps:cNvPr id="362" name="Graphic 362"/>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37504;mso-wrap-distance-left:0;mso-wrap-distance-right:0" id="docshape361"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numPr>
          <w:ilvl w:val="0"/>
          <w:numId w:val="38"/>
        </w:numPr>
        <w:tabs>
          <w:tab w:pos="362" w:val="left" w:leader="none"/>
        </w:tabs>
        <w:spacing w:line="240" w:lineRule="auto" w:before="0" w:after="0"/>
        <w:ind w:left="362" w:right="0" w:hanging="206"/>
        <w:jc w:val="left"/>
      </w:pPr>
      <w:r>
        <w:rPr/>
        <w:t>Investments</w:t>
      </w:r>
      <w:r>
        <w:rPr>
          <w:spacing w:val="15"/>
        </w:rPr>
        <w:t> </w:t>
      </w:r>
      <w:r>
        <w:rPr>
          <w:spacing w:val="-2"/>
        </w:rPr>
        <w:t>(Continued)</w:t>
      </w:r>
    </w:p>
    <w:p>
      <w:pPr>
        <w:pStyle w:val="BodyText"/>
        <w:spacing w:before="40"/>
        <w:rPr>
          <w:b/>
        </w:rPr>
      </w:pPr>
    </w:p>
    <w:p>
      <w:pPr>
        <w:pStyle w:val="BodyText"/>
        <w:ind w:left="156"/>
      </w:pPr>
      <w:r>
        <w:rPr>
          <w:w w:val="105"/>
        </w:rPr>
        <w:t>On</w:t>
      </w:r>
      <w:r>
        <w:rPr>
          <w:spacing w:val="-9"/>
          <w:w w:val="105"/>
        </w:rPr>
        <w:t> </w:t>
      </w:r>
      <w:r>
        <w:rPr>
          <w:w w:val="105"/>
        </w:rPr>
        <w:t>September</w:t>
      </w:r>
      <w:r>
        <w:rPr>
          <w:spacing w:val="-8"/>
          <w:w w:val="105"/>
        </w:rPr>
        <w:t> </w:t>
      </w:r>
      <w:r>
        <w:rPr>
          <w:w w:val="105"/>
        </w:rPr>
        <w:t>9,</w:t>
      </w:r>
      <w:r>
        <w:rPr>
          <w:spacing w:val="-8"/>
          <w:w w:val="105"/>
        </w:rPr>
        <w:t> </w:t>
      </w:r>
      <w:r>
        <w:rPr>
          <w:w w:val="105"/>
        </w:rPr>
        <w:t>2020,</w:t>
      </w:r>
      <w:r>
        <w:rPr>
          <w:spacing w:val="-7"/>
          <w:w w:val="105"/>
        </w:rPr>
        <w:t> </w:t>
      </w:r>
      <w:r>
        <w:rPr>
          <w:w w:val="105"/>
        </w:rPr>
        <w:t>HSG</w:t>
      </w:r>
      <w:r>
        <w:rPr>
          <w:spacing w:val="-9"/>
          <w:w w:val="105"/>
        </w:rPr>
        <w:t> </w:t>
      </w:r>
      <w:r>
        <w:rPr>
          <w:w w:val="105"/>
        </w:rPr>
        <w:t>entered</w:t>
      </w:r>
      <w:r>
        <w:rPr>
          <w:spacing w:val="-8"/>
          <w:w w:val="105"/>
        </w:rPr>
        <w:t> </w:t>
      </w:r>
      <w:r>
        <w:rPr>
          <w:w w:val="105"/>
        </w:rPr>
        <w:t>into</w:t>
      </w:r>
      <w:r>
        <w:rPr>
          <w:spacing w:val="-8"/>
          <w:w w:val="105"/>
        </w:rPr>
        <w:t> </w:t>
      </w:r>
      <w:r>
        <w:rPr>
          <w:w w:val="105"/>
        </w:rPr>
        <w:t>a</w:t>
      </w:r>
      <w:r>
        <w:rPr>
          <w:spacing w:val="-8"/>
          <w:w w:val="105"/>
        </w:rPr>
        <w:t> </w:t>
      </w:r>
      <w:r>
        <w:rPr>
          <w:w w:val="105"/>
        </w:rPr>
        <w:t>series</w:t>
      </w:r>
      <w:r>
        <w:rPr>
          <w:spacing w:val="-9"/>
          <w:w w:val="105"/>
        </w:rPr>
        <w:t> </w:t>
      </w:r>
      <w:r>
        <w:rPr>
          <w:w w:val="105"/>
        </w:rPr>
        <w:t>of</w:t>
      </w:r>
      <w:r>
        <w:rPr>
          <w:spacing w:val="-8"/>
          <w:w w:val="105"/>
        </w:rPr>
        <w:t> </w:t>
      </w:r>
      <w:r>
        <w:rPr>
          <w:w w:val="105"/>
        </w:rPr>
        <w:t>agreements</w:t>
      </w:r>
      <w:r>
        <w:rPr>
          <w:spacing w:val="-8"/>
          <w:w w:val="105"/>
        </w:rPr>
        <w:t> </w:t>
      </w:r>
      <w:r>
        <w:rPr>
          <w:w w:val="105"/>
        </w:rPr>
        <w:t>with</w:t>
      </w:r>
      <w:r>
        <w:rPr>
          <w:spacing w:val="-8"/>
          <w:w w:val="105"/>
        </w:rPr>
        <w:t> </w:t>
      </w:r>
      <w:r>
        <w:rPr>
          <w:w w:val="105"/>
        </w:rPr>
        <w:t>DuPont</w:t>
      </w:r>
      <w:r>
        <w:rPr>
          <w:spacing w:val="-8"/>
          <w:w w:val="105"/>
        </w:rPr>
        <w:t> </w:t>
      </w:r>
      <w:r>
        <w:rPr>
          <w:w w:val="105"/>
        </w:rPr>
        <w:t>resulting</w:t>
      </w:r>
      <w:r>
        <w:rPr>
          <w:spacing w:val="-9"/>
          <w:w w:val="105"/>
        </w:rPr>
        <w:t> </w:t>
      </w:r>
      <w:r>
        <w:rPr>
          <w:w w:val="105"/>
        </w:rPr>
        <w:t>in</w:t>
      </w:r>
      <w:r>
        <w:rPr>
          <w:spacing w:val="-8"/>
          <w:w w:val="105"/>
        </w:rPr>
        <w:t> </w:t>
      </w:r>
      <w:r>
        <w:rPr>
          <w:w w:val="105"/>
        </w:rPr>
        <w:t>a</w:t>
      </w:r>
      <w:r>
        <w:rPr>
          <w:spacing w:val="-8"/>
          <w:w w:val="105"/>
        </w:rPr>
        <w:t> </w:t>
      </w:r>
      <w:r>
        <w:rPr>
          <w:w w:val="105"/>
        </w:rPr>
        <w:t>change</w:t>
      </w:r>
      <w:r>
        <w:rPr>
          <w:spacing w:val="-8"/>
          <w:w w:val="105"/>
        </w:rPr>
        <w:t> </w:t>
      </w:r>
      <w:r>
        <w:rPr>
          <w:w w:val="105"/>
        </w:rPr>
        <w:t>in</w:t>
      </w:r>
      <w:r>
        <w:rPr>
          <w:spacing w:val="-8"/>
          <w:w w:val="105"/>
        </w:rPr>
        <w:t> </w:t>
      </w:r>
      <w:r>
        <w:rPr>
          <w:w w:val="105"/>
        </w:rPr>
        <w:t>control</w:t>
      </w:r>
      <w:r>
        <w:rPr>
          <w:spacing w:val="-9"/>
          <w:w w:val="105"/>
        </w:rPr>
        <w:t> </w:t>
      </w:r>
      <w:r>
        <w:rPr>
          <w:w w:val="105"/>
        </w:rPr>
        <w:t>and</w:t>
      </w:r>
      <w:r>
        <w:rPr>
          <w:spacing w:val="-8"/>
          <w:w w:val="105"/>
        </w:rPr>
        <w:t> </w:t>
      </w:r>
      <w:r>
        <w:rPr>
          <w:w w:val="105"/>
        </w:rPr>
        <w:t>consolidation</w:t>
      </w:r>
      <w:r>
        <w:rPr>
          <w:spacing w:val="-8"/>
          <w:w w:val="105"/>
        </w:rPr>
        <w:t> </w:t>
      </w:r>
      <w:r>
        <w:rPr>
          <w:w w:val="105"/>
        </w:rPr>
        <w:t>for</w:t>
      </w:r>
      <w:r>
        <w:rPr>
          <w:spacing w:val="-8"/>
          <w:w w:val="105"/>
        </w:rPr>
        <w:t> </w:t>
      </w:r>
      <w:r>
        <w:rPr>
          <w:spacing w:val="-2"/>
          <w:w w:val="105"/>
        </w:rPr>
        <w:t>Corning.</w:t>
      </w:r>
    </w:p>
    <w:p>
      <w:pPr>
        <w:pStyle w:val="BodyText"/>
        <w:spacing w:before="39"/>
      </w:pPr>
    </w:p>
    <w:p>
      <w:pPr>
        <w:pStyle w:val="BodyText"/>
        <w:spacing w:line="266" w:lineRule="auto"/>
        <w:ind w:left="156" w:right="117"/>
      </w:pPr>
      <w:r>
        <w:rPr>
          <w:w w:val="105"/>
        </w:rPr>
        <w:t>Through</w:t>
      </w:r>
      <w:r>
        <w:rPr>
          <w:spacing w:val="-9"/>
          <w:w w:val="105"/>
        </w:rPr>
        <w:t> </w:t>
      </w:r>
      <w:r>
        <w:rPr>
          <w:w w:val="105"/>
        </w:rPr>
        <w:t>the</w:t>
      </w:r>
      <w:r>
        <w:rPr>
          <w:spacing w:val="-9"/>
          <w:w w:val="105"/>
        </w:rPr>
        <w:t> </w:t>
      </w:r>
      <w:r>
        <w:rPr>
          <w:w w:val="105"/>
        </w:rPr>
        <w:t>agreements,</w:t>
      </w:r>
      <w:r>
        <w:rPr>
          <w:spacing w:val="-9"/>
          <w:w w:val="105"/>
        </w:rPr>
        <w:t> </w:t>
      </w:r>
      <w:r>
        <w:rPr>
          <w:w w:val="105"/>
        </w:rPr>
        <w:t>HSG</w:t>
      </w:r>
      <w:r>
        <w:rPr>
          <w:spacing w:val="-9"/>
          <w:w w:val="105"/>
        </w:rPr>
        <w:t> </w:t>
      </w:r>
      <w:r>
        <w:rPr>
          <w:w w:val="105"/>
        </w:rPr>
        <w:t>acquired</w:t>
      </w:r>
      <w:r>
        <w:rPr>
          <w:spacing w:val="-9"/>
          <w:w w:val="105"/>
        </w:rPr>
        <w:t> </w:t>
      </w:r>
      <w:r>
        <w:rPr>
          <w:w w:val="105"/>
        </w:rPr>
        <w:t>DuPont’s</w:t>
      </w:r>
      <w:r>
        <w:rPr>
          <w:spacing w:val="-9"/>
          <w:w w:val="105"/>
        </w:rPr>
        <w:t> </w:t>
      </w:r>
      <w:r>
        <w:rPr>
          <w:w w:val="105"/>
        </w:rPr>
        <w:t>TCS</w:t>
      </w:r>
      <w:r>
        <w:rPr>
          <w:spacing w:val="-9"/>
          <w:w w:val="105"/>
        </w:rPr>
        <w:t> </w:t>
      </w:r>
      <w:r>
        <w:rPr>
          <w:w w:val="105"/>
        </w:rPr>
        <w:t>manufacturing</w:t>
      </w:r>
      <w:r>
        <w:rPr>
          <w:spacing w:val="-9"/>
          <w:w w:val="105"/>
        </w:rPr>
        <w:t> </w:t>
      </w:r>
      <w:r>
        <w:rPr>
          <w:w w:val="105"/>
        </w:rPr>
        <w:t>assets,</w:t>
      </w:r>
      <w:r>
        <w:rPr>
          <w:spacing w:val="-9"/>
          <w:w w:val="105"/>
        </w:rPr>
        <w:t> </w:t>
      </w:r>
      <w:r>
        <w:rPr>
          <w:w w:val="105"/>
        </w:rPr>
        <w:t>which</w:t>
      </w:r>
      <w:r>
        <w:rPr>
          <w:spacing w:val="-9"/>
          <w:w w:val="105"/>
        </w:rPr>
        <w:t> </w:t>
      </w:r>
      <w:r>
        <w:rPr>
          <w:w w:val="105"/>
        </w:rPr>
        <w:t>were</w:t>
      </w:r>
      <w:r>
        <w:rPr>
          <w:spacing w:val="-9"/>
          <w:w w:val="105"/>
        </w:rPr>
        <w:t> </w:t>
      </w:r>
      <w:r>
        <w:rPr>
          <w:w w:val="105"/>
        </w:rPr>
        <w:t>determined</w:t>
      </w:r>
      <w:r>
        <w:rPr>
          <w:spacing w:val="-9"/>
          <w:w w:val="105"/>
        </w:rPr>
        <w:t> </w:t>
      </w:r>
      <w:r>
        <w:rPr>
          <w:w w:val="105"/>
        </w:rPr>
        <w:t>to</w:t>
      </w:r>
      <w:r>
        <w:rPr>
          <w:spacing w:val="-9"/>
          <w:w w:val="105"/>
        </w:rPr>
        <w:t> </w:t>
      </w:r>
      <w:r>
        <w:rPr>
          <w:w w:val="105"/>
        </w:rPr>
        <w:t>be</w:t>
      </w:r>
      <w:r>
        <w:rPr>
          <w:spacing w:val="-9"/>
          <w:w w:val="105"/>
        </w:rPr>
        <w:t> </w:t>
      </w:r>
      <w:r>
        <w:rPr>
          <w:w w:val="105"/>
        </w:rPr>
        <w:t>a</w:t>
      </w:r>
      <w:r>
        <w:rPr>
          <w:spacing w:val="-9"/>
          <w:w w:val="105"/>
        </w:rPr>
        <w:t> </w:t>
      </w:r>
      <w:r>
        <w:rPr>
          <w:w w:val="105"/>
        </w:rPr>
        <w:t>business</w:t>
      </w:r>
      <w:r>
        <w:rPr>
          <w:spacing w:val="-9"/>
          <w:w w:val="105"/>
        </w:rPr>
        <w:t> </w:t>
      </w:r>
      <w:r>
        <w:rPr>
          <w:w w:val="105"/>
        </w:rPr>
        <w:t>and</w:t>
      </w:r>
      <w:r>
        <w:rPr>
          <w:spacing w:val="-9"/>
          <w:w w:val="105"/>
        </w:rPr>
        <w:t> </w:t>
      </w:r>
      <w:r>
        <w:rPr>
          <w:w w:val="105"/>
        </w:rPr>
        <w:t>recorded</w:t>
      </w:r>
      <w:r>
        <w:rPr>
          <w:spacing w:val="-9"/>
          <w:w w:val="105"/>
        </w:rPr>
        <w:t> </w:t>
      </w:r>
      <w:r>
        <w:rPr>
          <w:w w:val="105"/>
        </w:rPr>
        <w:t>as</w:t>
      </w:r>
      <w:r>
        <w:rPr>
          <w:spacing w:val="-9"/>
          <w:w w:val="105"/>
        </w:rPr>
        <w:t> </w:t>
      </w:r>
      <w:r>
        <w:rPr>
          <w:w w:val="105"/>
        </w:rPr>
        <w:t>a</w:t>
      </w:r>
      <w:r>
        <w:rPr>
          <w:spacing w:val="-9"/>
          <w:w w:val="105"/>
        </w:rPr>
        <w:t> </w:t>
      </w:r>
      <w:r>
        <w:rPr>
          <w:w w:val="105"/>
        </w:rPr>
        <w:t>business</w:t>
      </w:r>
      <w:r>
        <w:rPr>
          <w:spacing w:val="-9"/>
          <w:w w:val="105"/>
        </w:rPr>
        <w:t> </w:t>
      </w:r>
      <w:r>
        <w:rPr>
          <w:w w:val="105"/>
        </w:rPr>
        <w:t>combination.</w:t>
      </w:r>
      <w:r>
        <w:rPr>
          <w:spacing w:val="-9"/>
          <w:w w:val="105"/>
        </w:rPr>
        <w:t> </w:t>
      </w:r>
      <w:r>
        <w:rPr>
          <w:w w:val="105"/>
        </w:rPr>
        <w:t>The</w:t>
      </w:r>
      <w:r>
        <w:rPr>
          <w:spacing w:val="-9"/>
          <w:w w:val="105"/>
        </w:rPr>
        <w:t> </w:t>
      </w:r>
      <w:r>
        <w:rPr>
          <w:w w:val="105"/>
        </w:rPr>
        <w:t>fair</w:t>
      </w:r>
      <w:r>
        <w:rPr>
          <w:spacing w:val="-9"/>
          <w:w w:val="105"/>
        </w:rPr>
        <w:t> </w:t>
      </w:r>
      <w:r>
        <w:rPr>
          <w:w w:val="105"/>
        </w:rPr>
        <w:t>value of</w:t>
      </w:r>
      <w:r>
        <w:rPr>
          <w:spacing w:val="-4"/>
          <w:w w:val="105"/>
        </w:rPr>
        <w:t> </w:t>
      </w:r>
      <w:r>
        <w:rPr>
          <w:w w:val="105"/>
        </w:rPr>
        <w:t>the</w:t>
      </w:r>
      <w:r>
        <w:rPr>
          <w:spacing w:val="-4"/>
          <w:w w:val="105"/>
        </w:rPr>
        <w:t> </w:t>
      </w:r>
      <w:r>
        <w:rPr>
          <w:w w:val="105"/>
        </w:rPr>
        <w:t>purchase</w:t>
      </w:r>
      <w:r>
        <w:rPr>
          <w:spacing w:val="-4"/>
          <w:w w:val="105"/>
        </w:rPr>
        <w:t> </w:t>
      </w:r>
      <w:r>
        <w:rPr>
          <w:w w:val="105"/>
        </w:rPr>
        <w:t>price</w:t>
      </w:r>
      <w:r>
        <w:rPr>
          <w:spacing w:val="-4"/>
          <w:w w:val="105"/>
        </w:rPr>
        <w:t> </w:t>
      </w:r>
      <w:r>
        <w:rPr>
          <w:w w:val="105"/>
        </w:rPr>
        <w:t>was</w:t>
      </w:r>
      <w:r>
        <w:rPr>
          <w:spacing w:val="-4"/>
          <w:w w:val="105"/>
        </w:rPr>
        <w:t> </w:t>
      </w:r>
      <w:r>
        <w:rPr>
          <w:w w:val="105"/>
        </w:rPr>
        <w:t>$255</w:t>
      </w:r>
      <w:r>
        <w:rPr>
          <w:spacing w:val="-4"/>
          <w:w w:val="105"/>
        </w:rPr>
        <w:t> </w:t>
      </w:r>
      <w:r>
        <w:rPr>
          <w:w w:val="105"/>
        </w:rPr>
        <w:t>million.</w:t>
      </w:r>
      <w:r>
        <w:rPr>
          <w:spacing w:val="35"/>
          <w:w w:val="105"/>
        </w:rPr>
        <w:t> </w:t>
      </w:r>
      <w:r>
        <w:rPr>
          <w:w w:val="105"/>
        </w:rPr>
        <w:t>In</w:t>
      </w:r>
      <w:r>
        <w:rPr>
          <w:spacing w:val="-4"/>
          <w:w w:val="105"/>
        </w:rPr>
        <w:t> </w:t>
      </w:r>
      <w:r>
        <w:rPr>
          <w:w w:val="105"/>
        </w:rPr>
        <w:t>conjunction</w:t>
      </w:r>
      <w:r>
        <w:rPr>
          <w:spacing w:val="-4"/>
          <w:w w:val="105"/>
        </w:rPr>
        <w:t> </w:t>
      </w:r>
      <w:r>
        <w:rPr>
          <w:w w:val="105"/>
        </w:rPr>
        <w:t>with</w:t>
      </w:r>
      <w:r>
        <w:rPr>
          <w:spacing w:val="-4"/>
          <w:w w:val="105"/>
        </w:rPr>
        <w:t> </w:t>
      </w:r>
      <w:r>
        <w:rPr>
          <w:w w:val="105"/>
        </w:rPr>
        <w:t>this</w:t>
      </w:r>
      <w:r>
        <w:rPr>
          <w:spacing w:val="-2"/>
          <w:w w:val="105"/>
        </w:rPr>
        <w:t> </w:t>
      </w:r>
      <w:r>
        <w:rPr>
          <w:w w:val="105"/>
        </w:rPr>
        <w:t>acquisition,</w:t>
      </w:r>
      <w:r>
        <w:rPr>
          <w:spacing w:val="-4"/>
          <w:w w:val="105"/>
        </w:rPr>
        <w:t> </w:t>
      </w:r>
      <w:r>
        <w:rPr>
          <w:w w:val="105"/>
        </w:rPr>
        <w:t>HSG</w:t>
      </w:r>
      <w:r>
        <w:rPr>
          <w:spacing w:val="-4"/>
          <w:w w:val="105"/>
        </w:rPr>
        <w:t> </w:t>
      </w:r>
      <w:r>
        <w:rPr>
          <w:w w:val="105"/>
        </w:rPr>
        <w:t>settled</w:t>
      </w:r>
      <w:r>
        <w:rPr>
          <w:spacing w:val="-4"/>
          <w:w w:val="105"/>
        </w:rPr>
        <w:t> </w:t>
      </w:r>
      <w:r>
        <w:rPr>
          <w:w w:val="105"/>
        </w:rPr>
        <w:t>the</w:t>
      </w:r>
      <w:r>
        <w:rPr>
          <w:spacing w:val="-4"/>
          <w:w w:val="105"/>
        </w:rPr>
        <w:t> </w:t>
      </w:r>
      <w:r>
        <w:rPr>
          <w:w w:val="105"/>
        </w:rPr>
        <w:t>pre-existing</w:t>
      </w:r>
      <w:r>
        <w:rPr>
          <w:spacing w:val="-4"/>
          <w:w w:val="105"/>
        </w:rPr>
        <w:t> </w:t>
      </w:r>
      <w:r>
        <w:rPr>
          <w:w w:val="105"/>
        </w:rPr>
        <w:t>TCS</w:t>
      </w:r>
      <w:r>
        <w:rPr>
          <w:spacing w:val="-4"/>
          <w:w w:val="105"/>
        </w:rPr>
        <w:t> </w:t>
      </w:r>
      <w:r>
        <w:rPr>
          <w:w w:val="105"/>
        </w:rPr>
        <w:t>relationship</w:t>
      </w:r>
      <w:r>
        <w:rPr>
          <w:spacing w:val="-4"/>
          <w:w w:val="105"/>
        </w:rPr>
        <w:t> </w:t>
      </w:r>
      <w:r>
        <w:rPr>
          <w:w w:val="105"/>
        </w:rPr>
        <w:t>(“TCS</w:t>
      </w:r>
      <w:r>
        <w:rPr>
          <w:spacing w:val="-4"/>
          <w:w w:val="105"/>
        </w:rPr>
        <w:t> </w:t>
      </w:r>
      <w:r>
        <w:rPr>
          <w:w w:val="105"/>
        </w:rPr>
        <w:t>Settlement”)</w:t>
      </w:r>
      <w:r>
        <w:rPr>
          <w:spacing w:val="-4"/>
          <w:w w:val="105"/>
        </w:rPr>
        <w:t> </w:t>
      </w:r>
      <w:r>
        <w:rPr>
          <w:w w:val="105"/>
        </w:rPr>
        <w:t>for</w:t>
      </w:r>
      <w:r>
        <w:rPr>
          <w:spacing w:val="-4"/>
          <w:w w:val="105"/>
        </w:rPr>
        <w:t> </w:t>
      </w:r>
      <w:r>
        <w:rPr>
          <w:w w:val="105"/>
        </w:rPr>
        <w:t>a</w:t>
      </w:r>
      <w:r>
        <w:rPr>
          <w:spacing w:val="-4"/>
          <w:w w:val="105"/>
        </w:rPr>
        <w:t> </w:t>
      </w:r>
      <w:r>
        <w:rPr>
          <w:w w:val="105"/>
        </w:rPr>
        <w:t>contractual</w:t>
      </w:r>
      <w:r>
        <w:rPr>
          <w:spacing w:val="-4"/>
          <w:w w:val="105"/>
        </w:rPr>
        <w:t> </w:t>
      </w:r>
      <w:r>
        <w:rPr>
          <w:w w:val="105"/>
        </w:rPr>
        <w:t>amount</w:t>
      </w:r>
      <w:r>
        <w:rPr>
          <w:spacing w:val="-4"/>
          <w:w w:val="105"/>
        </w:rPr>
        <w:t> </w:t>
      </w:r>
      <w:r>
        <w:rPr>
          <w:w w:val="105"/>
        </w:rPr>
        <w:t>of</w:t>
      </w:r>
    </w:p>
    <w:p>
      <w:pPr>
        <w:pStyle w:val="BodyText"/>
        <w:spacing w:line="266" w:lineRule="auto"/>
        <w:ind w:left="156"/>
      </w:pPr>
      <w:r>
        <w:rPr>
          <w:w w:val="105"/>
        </w:rPr>
        <w:t>$175</w:t>
      </w:r>
      <w:r>
        <w:rPr>
          <w:spacing w:val="-2"/>
          <w:w w:val="105"/>
        </w:rPr>
        <w:t> </w:t>
      </w:r>
      <w:r>
        <w:rPr>
          <w:w w:val="105"/>
        </w:rPr>
        <w:t>million,</w:t>
      </w:r>
      <w:r>
        <w:rPr>
          <w:spacing w:val="-2"/>
          <w:w w:val="105"/>
        </w:rPr>
        <w:t> </w:t>
      </w:r>
      <w:r>
        <w:rPr>
          <w:w w:val="105"/>
        </w:rPr>
        <w:t>which</w:t>
      </w:r>
      <w:r>
        <w:rPr>
          <w:spacing w:val="-2"/>
          <w:w w:val="105"/>
        </w:rPr>
        <w:t> </w:t>
      </w:r>
      <w:r>
        <w:rPr>
          <w:w w:val="105"/>
        </w:rPr>
        <w:t>was</w:t>
      </w:r>
      <w:r>
        <w:rPr>
          <w:spacing w:val="-2"/>
          <w:w w:val="105"/>
        </w:rPr>
        <w:t> </w:t>
      </w:r>
      <w:r>
        <w:rPr>
          <w:w w:val="105"/>
        </w:rPr>
        <w:t>determined</w:t>
      </w:r>
      <w:r>
        <w:rPr>
          <w:spacing w:val="-2"/>
          <w:w w:val="105"/>
        </w:rPr>
        <w:t> </w:t>
      </w:r>
      <w:r>
        <w:rPr>
          <w:w w:val="105"/>
        </w:rPr>
        <w:t>to</w:t>
      </w:r>
      <w:r>
        <w:rPr>
          <w:spacing w:val="-2"/>
          <w:w w:val="105"/>
        </w:rPr>
        <w:t> </w:t>
      </w:r>
      <w:r>
        <w:rPr>
          <w:w w:val="105"/>
        </w:rPr>
        <w:t>have</w:t>
      </w:r>
      <w:r>
        <w:rPr>
          <w:spacing w:val="-2"/>
          <w:w w:val="105"/>
        </w:rPr>
        <w:t> </w:t>
      </w:r>
      <w:r>
        <w:rPr>
          <w:w w:val="105"/>
        </w:rPr>
        <w:t>a</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$200 million.</w:t>
      </w:r>
      <w:r>
        <w:rPr>
          <w:spacing w:val="39"/>
          <w:w w:val="105"/>
        </w:rPr>
        <w:t> </w:t>
      </w:r>
      <w:r>
        <w:rPr>
          <w:w w:val="105"/>
        </w:rPr>
        <w:t>HSG</w:t>
      </w:r>
      <w:r>
        <w:rPr>
          <w:spacing w:val="-2"/>
          <w:w w:val="105"/>
        </w:rPr>
        <w:t> </w:t>
      </w:r>
      <w:r>
        <w:rPr>
          <w:w w:val="105"/>
        </w:rPr>
        <w:t>is</w:t>
      </w:r>
      <w:r>
        <w:rPr>
          <w:spacing w:val="-2"/>
          <w:w w:val="105"/>
        </w:rPr>
        <w:t> </w:t>
      </w:r>
      <w:r>
        <w:rPr>
          <w:w w:val="105"/>
        </w:rPr>
        <w:t>paying</w:t>
      </w:r>
      <w:r>
        <w:rPr>
          <w:spacing w:val="-2"/>
          <w:w w:val="105"/>
        </w:rPr>
        <w:t> </w:t>
      </w:r>
      <w:r>
        <w:rPr>
          <w:w w:val="105"/>
        </w:rPr>
        <w:t>for</w:t>
      </w:r>
      <w:r>
        <w:rPr>
          <w:spacing w:val="-2"/>
          <w:w w:val="105"/>
        </w:rPr>
        <w:t> </w:t>
      </w:r>
      <w:r>
        <w:rPr>
          <w:w w:val="105"/>
        </w:rPr>
        <w:t>the</w:t>
      </w:r>
      <w:r>
        <w:rPr>
          <w:spacing w:val="-2"/>
          <w:w w:val="105"/>
        </w:rPr>
        <w:t> </w:t>
      </w:r>
      <w:r>
        <w:rPr>
          <w:w w:val="105"/>
        </w:rPr>
        <w:t>TCS</w:t>
      </w:r>
      <w:r>
        <w:rPr>
          <w:spacing w:val="-2"/>
          <w:w w:val="105"/>
        </w:rPr>
        <w:t> </w:t>
      </w:r>
      <w:r>
        <w:rPr>
          <w:w w:val="105"/>
        </w:rPr>
        <w:t>Settlement</w:t>
      </w:r>
      <w:r>
        <w:rPr>
          <w:spacing w:val="-2"/>
          <w:w w:val="105"/>
        </w:rPr>
        <w:t> </w:t>
      </w:r>
      <w:r>
        <w:rPr>
          <w:w w:val="105"/>
        </w:rPr>
        <w:t>over</w:t>
      </w:r>
      <w:r>
        <w:rPr>
          <w:spacing w:val="-2"/>
          <w:w w:val="105"/>
        </w:rPr>
        <w:t> </w:t>
      </w:r>
      <w:r>
        <w:rPr>
          <w:w w:val="105"/>
        </w:rPr>
        <w:t>three</w:t>
      </w:r>
      <w:r>
        <w:rPr>
          <w:spacing w:val="-2"/>
          <w:w w:val="105"/>
        </w:rPr>
        <w:t> </w:t>
      </w:r>
      <w:r>
        <w:rPr>
          <w:w w:val="105"/>
        </w:rPr>
        <w:t>years</w:t>
      </w:r>
      <w:r>
        <w:rPr>
          <w:spacing w:val="-2"/>
          <w:w w:val="105"/>
        </w:rPr>
        <w:t> </w:t>
      </w:r>
      <w:r>
        <w:rPr>
          <w:w w:val="105"/>
        </w:rPr>
        <w:t>with</w:t>
      </w:r>
      <w:r>
        <w:rPr>
          <w:spacing w:val="-2"/>
          <w:w w:val="105"/>
        </w:rPr>
        <w:t> </w:t>
      </w:r>
      <w:r>
        <w:rPr>
          <w:w w:val="105"/>
        </w:rPr>
        <w:t>equal</w:t>
      </w:r>
      <w:r>
        <w:rPr>
          <w:spacing w:val="-2"/>
          <w:w w:val="105"/>
        </w:rPr>
        <w:t> </w:t>
      </w:r>
      <w:r>
        <w:rPr>
          <w:w w:val="105"/>
        </w:rPr>
        <w:t>annual</w:t>
      </w:r>
      <w:r>
        <w:rPr>
          <w:spacing w:val="-2"/>
          <w:w w:val="105"/>
        </w:rPr>
        <w:t> </w:t>
      </w:r>
      <w:r>
        <w:rPr>
          <w:w w:val="105"/>
        </w:rPr>
        <w:t>payments</w:t>
      </w:r>
      <w:r>
        <w:rPr>
          <w:spacing w:val="-2"/>
          <w:w w:val="105"/>
        </w:rPr>
        <w:t> </w:t>
      </w:r>
      <w:r>
        <w:rPr>
          <w:w w:val="105"/>
        </w:rPr>
        <w:t>of approximately</w:t>
      </w:r>
      <w:r>
        <w:rPr>
          <w:spacing w:val="-7"/>
          <w:w w:val="105"/>
        </w:rPr>
        <w:t> </w:t>
      </w:r>
      <w:r>
        <w:rPr>
          <w:w w:val="105"/>
        </w:rPr>
        <w:t>$58</w:t>
      </w:r>
      <w:r>
        <w:rPr>
          <w:spacing w:val="-8"/>
          <w:w w:val="105"/>
        </w:rPr>
        <w:t> </w:t>
      </w:r>
      <w:r>
        <w:rPr>
          <w:w w:val="105"/>
        </w:rPr>
        <w:t>million.</w:t>
      </w:r>
      <w:r>
        <w:rPr>
          <w:spacing w:val="27"/>
          <w:w w:val="105"/>
        </w:rPr>
        <w:t> </w:t>
      </w:r>
      <w:r>
        <w:rPr>
          <w:w w:val="105"/>
        </w:rPr>
        <w:t>Corning’s</w:t>
      </w:r>
      <w:r>
        <w:rPr>
          <w:spacing w:val="-7"/>
          <w:w w:val="105"/>
        </w:rPr>
        <w:t> </w:t>
      </w:r>
      <w:r>
        <w:rPr>
          <w:w w:val="105"/>
        </w:rPr>
        <w:t>share</w:t>
      </w:r>
      <w:r>
        <w:rPr>
          <w:spacing w:val="-8"/>
          <w:w w:val="105"/>
        </w:rPr>
        <w:t> </w:t>
      </w:r>
      <w:r>
        <w:rPr>
          <w:w w:val="105"/>
        </w:rPr>
        <w:t>of</w:t>
      </w:r>
      <w:r>
        <w:rPr>
          <w:spacing w:val="-7"/>
          <w:w w:val="105"/>
        </w:rPr>
        <w:t> </w:t>
      </w:r>
      <w:r>
        <w:rPr>
          <w:w w:val="105"/>
        </w:rPr>
        <w:t>the</w:t>
      </w:r>
      <w:r>
        <w:rPr>
          <w:spacing w:val="-8"/>
          <w:w w:val="105"/>
        </w:rPr>
        <w:t> </w:t>
      </w:r>
      <w:r>
        <w:rPr>
          <w:w w:val="105"/>
        </w:rPr>
        <w:t>pre-tax</w:t>
      </w:r>
      <w:r>
        <w:rPr>
          <w:spacing w:val="-7"/>
          <w:w w:val="105"/>
        </w:rPr>
        <w:t> </w:t>
      </w:r>
      <w:r>
        <w:rPr>
          <w:w w:val="105"/>
        </w:rPr>
        <w:t>loss</w:t>
      </w:r>
      <w:r>
        <w:rPr>
          <w:spacing w:val="-8"/>
          <w:w w:val="105"/>
        </w:rPr>
        <w:t> </w:t>
      </w:r>
      <w:r>
        <w:rPr>
          <w:w w:val="105"/>
        </w:rPr>
        <w:t>related</w:t>
      </w:r>
      <w:r>
        <w:rPr>
          <w:spacing w:val="-7"/>
          <w:w w:val="105"/>
        </w:rPr>
        <w:t> </w:t>
      </w:r>
      <w:r>
        <w:rPr>
          <w:w w:val="105"/>
        </w:rPr>
        <w:t>to</w:t>
      </w:r>
      <w:r>
        <w:rPr>
          <w:spacing w:val="-8"/>
          <w:w w:val="105"/>
        </w:rPr>
        <w:t> </w:t>
      </w:r>
      <w:r>
        <w:rPr>
          <w:w w:val="105"/>
        </w:rPr>
        <w:t>the</w:t>
      </w:r>
      <w:r>
        <w:rPr>
          <w:spacing w:val="-7"/>
          <w:w w:val="105"/>
        </w:rPr>
        <w:t> </w:t>
      </w:r>
      <w:r>
        <w:rPr>
          <w:w w:val="105"/>
        </w:rPr>
        <w:t>TCS</w:t>
      </w:r>
      <w:r>
        <w:rPr>
          <w:spacing w:val="-8"/>
          <w:w w:val="105"/>
        </w:rPr>
        <w:t> </w:t>
      </w:r>
      <w:r>
        <w:rPr>
          <w:w w:val="105"/>
        </w:rPr>
        <w:t>Settlement</w:t>
      </w:r>
      <w:r>
        <w:rPr>
          <w:spacing w:val="-7"/>
          <w:w w:val="105"/>
        </w:rPr>
        <w:t> </w:t>
      </w:r>
      <w:r>
        <w:rPr>
          <w:w w:val="105"/>
        </w:rPr>
        <w:t>was</w:t>
      </w:r>
      <w:r>
        <w:rPr>
          <w:spacing w:val="-8"/>
          <w:w w:val="105"/>
        </w:rPr>
        <w:t> </w:t>
      </w:r>
      <w:r>
        <w:rPr>
          <w:w w:val="105"/>
        </w:rPr>
        <w:t>$81</w:t>
      </w:r>
      <w:r>
        <w:rPr>
          <w:spacing w:val="-7"/>
          <w:w w:val="105"/>
        </w:rPr>
        <w:t> </w:t>
      </w:r>
      <w:r>
        <w:rPr>
          <w:w w:val="105"/>
        </w:rPr>
        <w:t>million</w:t>
      </w:r>
      <w:r>
        <w:rPr>
          <w:spacing w:val="-8"/>
          <w:w w:val="105"/>
        </w:rPr>
        <w:t> </w:t>
      </w:r>
      <w:r>
        <w:rPr>
          <w:w w:val="105"/>
        </w:rPr>
        <w:t>and</w:t>
      </w:r>
      <w:r>
        <w:rPr>
          <w:spacing w:val="-7"/>
          <w:w w:val="105"/>
        </w:rPr>
        <w:t> </w:t>
      </w:r>
      <w:r>
        <w:rPr>
          <w:w w:val="105"/>
        </w:rPr>
        <w:t>was</w:t>
      </w:r>
      <w:r>
        <w:rPr>
          <w:spacing w:val="-8"/>
          <w:w w:val="105"/>
        </w:rPr>
        <w:t> </w:t>
      </w:r>
      <w:r>
        <w:rPr>
          <w:w w:val="105"/>
        </w:rPr>
        <w:t>recorded</w:t>
      </w:r>
      <w:r>
        <w:rPr>
          <w:spacing w:val="-7"/>
          <w:w w:val="105"/>
        </w:rPr>
        <w:t> </w:t>
      </w:r>
      <w:r>
        <w:rPr>
          <w:w w:val="105"/>
        </w:rPr>
        <w:t>in</w:t>
      </w:r>
      <w:r>
        <w:rPr>
          <w:spacing w:val="-8"/>
          <w:w w:val="105"/>
        </w:rPr>
        <w:t> </w:t>
      </w:r>
      <w:r>
        <w:rPr>
          <w:w w:val="105"/>
        </w:rPr>
        <w:t>equity</w:t>
      </w:r>
      <w:r>
        <w:rPr>
          <w:spacing w:val="-7"/>
          <w:w w:val="105"/>
        </w:rPr>
        <w:t> </w:t>
      </w:r>
      <w:r>
        <w:rPr>
          <w:w w:val="105"/>
        </w:rPr>
        <w:t>in</w:t>
      </w:r>
      <w:r>
        <w:rPr>
          <w:spacing w:val="-8"/>
          <w:w w:val="105"/>
        </w:rPr>
        <w:t> </w:t>
      </w:r>
      <w:r>
        <w:rPr>
          <w:w w:val="105"/>
        </w:rPr>
        <w:t>earnings</w:t>
      </w:r>
      <w:r>
        <w:rPr>
          <w:spacing w:val="-7"/>
          <w:w w:val="105"/>
        </w:rPr>
        <w:t> </w:t>
      </w:r>
      <w:r>
        <w:rPr>
          <w:w w:val="105"/>
        </w:rPr>
        <w:t>(losses)</w:t>
      </w:r>
      <w:r>
        <w:rPr>
          <w:spacing w:val="-8"/>
          <w:w w:val="105"/>
        </w:rPr>
        <w:t> </w:t>
      </w:r>
      <w:r>
        <w:rPr>
          <w:w w:val="105"/>
        </w:rPr>
        <w:t>of</w:t>
      </w:r>
      <w:r>
        <w:rPr>
          <w:spacing w:val="-7"/>
          <w:w w:val="105"/>
        </w:rPr>
        <w:t> </w:t>
      </w:r>
      <w:r>
        <w:rPr>
          <w:w w:val="105"/>
        </w:rPr>
        <w:t>affiliated companies in the consolidated statements of income (loss) for the year ended December 31, 2020.</w:t>
      </w:r>
    </w:p>
    <w:p>
      <w:pPr>
        <w:pStyle w:val="BodyText"/>
        <w:spacing w:before="18"/>
      </w:pPr>
    </w:p>
    <w:p>
      <w:pPr>
        <w:pStyle w:val="BodyText"/>
        <w:spacing w:line="266" w:lineRule="auto"/>
        <w:ind w:left="156" w:right="140"/>
      </w:pPr>
      <w:r>
        <w:rPr>
          <w:w w:val="105"/>
        </w:rPr>
        <w:t>HSG</w:t>
      </w:r>
      <w:r>
        <w:rPr>
          <w:spacing w:val="-2"/>
          <w:w w:val="105"/>
        </w:rPr>
        <w:t> </w:t>
      </w:r>
      <w:r>
        <w:rPr>
          <w:w w:val="105"/>
        </w:rPr>
        <w:t>also</w:t>
      </w:r>
      <w:r>
        <w:rPr>
          <w:spacing w:val="-2"/>
          <w:w w:val="105"/>
        </w:rPr>
        <w:t> </w:t>
      </w:r>
      <w:r>
        <w:rPr>
          <w:w w:val="105"/>
        </w:rPr>
        <w:t>completed</w:t>
      </w:r>
      <w:r>
        <w:rPr>
          <w:spacing w:val="-2"/>
          <w:w w:val="105"/>
        </w:rPr>
        <w:t> </w:t>
      </w:r>
      <w:r>
        <w:rPr>
          <w:w w:val="105"/>
        </w:rPr>
        <w:t>the</w:t>
      </w:r>
      <w:r>
        <w:rPr>
          <w:spacing w:val="-2"/>
          <w:w w:val="105"/>
        </w:rPr>
        <w:t> </w:t>
      </w:r>
      <w:r>
        <w:rPr>
          <w:w w:val="105"/>
        </w:rPr>
        <w:t>Redemption,</w:t>
      </w:r>
      <w:r>
        <w:rPr>
          <w:spacing w:val="-2"/>
          <w:w w:val="105"/>
        </w:rPr>
        <w:t> </w:t>
      </w:r>
      <w:r>
        <w:rPr>
          <w:w w:val="105"/>
        </w:rPr>
        <w:t>redeeming</w:t>
      </w:r>
      <w:r>
        <w:rPr>
          <w:spacing w:val="-2"/>
          <w:w w:val="105"/>
        </w:rPr>
        <w:t> </w:t>
      </w:r>
      <w:r>
        <w:rPr>
          <w:w w:val="105"/>
        </w:rPr>
        <w:t>Dupont’s</w:t>
      </w:r>
      <w:r>
        <w:rPr>
          <w:spacing w:val="-2"/>
          <w:w w:val="105"/>
        </w:rPr>
        <w:t> </w:t>
      </w:r>
      <w:r>
        <w:rPr>
          <w:w w:val="105"/>
        </w:rPr>
        <w:t>entire</w:t>
      </w:r>
      <w:r>
        <w:rPr>
          <w:spacing w:val="-2"/>
          <w:w w:val="105"/>
        </w:rPr>
        <w:t> </w:t>
      </w:r>
      <w:r>
        <w:rPr>
          <w:w w:val="105"/>
        </w:rPr>
        <w:t>ownership</w:t>
      </w:r>
      <w:r>
        <w:rPr>
          <w:spacing w:val="-2"/>
          <w:w w:val="105"/>
        </w:rPr>
        <w:t> </w:t>
      </w:r>
      <w:r>
        <w:rPr>
          <w:w w:val="105"/>
        </w:rPr>
        <w:t>of</w:t>
      </w:r>
      <w:r>
        <w:rPr>
          <w:spacing w:val="-2"/>
          <w:w w:val="105"/>
        </w:rPr>
        <w:t> </w:t>
      </w:r>
      <w:r>
        <w:rPr>
          <w:w w:val="105"/>
        </w:rPr>
        <w:t>HSG</w:t>
      </w:r>
      <w:r>
        <w:rPr>
          <w:spacing w:val="-2"/>
          <w:w w:val="105"/>
        </w:rPr>
        <w:t> </w:t>
      </w:r>
      <w:r>
        <w:rPr>
          <w:w w:val="105"/>
        </w:rPr>
        <w:t>with</w:t>
      </w:r>
      <w:r>
        <w:rPr>
          <w:spacing w:val="-2"/>
          <w:w w:val="105"/>
        </w:rPr>
        <w:t> </w:t>
      </w:r>
      <w:r>
        <w:rPr>
          <w:w w:val="105"/>
        </w:rPr>
        <w:t>a</w:t>
      </w:r>
      <w:r>
        <w:rPr>
          <w:spacing w:val="-2"/>
          <w:w w:val="105"/>
        </w:rPr>
        <w:t> </w:t>
      </w:r>
      <w:r>
        <w:rPr>
          <w:w w:val="105"/>
        </w:rPr>
        <w:t>value</w:t>
      </w:r>
      <w:r>
        <w:rPr>
          <w:spacing w:val="-2"/>
          <w:w w:val="105"/>
        </w:rPr>
        <w:t> </w:t>
      </w:r>
      <w:r>
        <w:rPr>
          <w:w w:val="105"/>
        </w:rPr>
        <w:t>of</w:t>
      </w:r>
      <w:r>
        <w:rPr>
          <w:spacing w:val="-2"/>
          <w:w w:val="105"/>
        </w:rPr>
        <w:t> </w:t>
      </w:r>
      <w:r>
        <w:rPr>
          <w:w w:val="105"/>
        </w:rPr>
        <w:t>$250</w:t>
      </w:r>
      <w:r>
        <w:rPr>
          <w:spacing w:val="-2"/>
          <w:w w:val="105"/>
        </w:rPr>
        <w:t> </w:t>
      </w:r>
      <w:r>
        <w:rPr>
          <w:w w:val="105"/>
        </w:rPr>
        <w:t>million.</w:t>
      </w:r>
      <w:r>
        <w:rPr>
          <w:spacing w:val="38"/>
          <w:w w:val="105"/>
        </w:rPr>
        <w:t> </w:t>
      </w:r>
      <w:r>
        <w:rPr>
          <w:w w:val="105"/>
        </w:rPr>
        <w:t>The</w:t>
      </w:r>
      <w:r>
        <w:rPr>
          <w:spacing w:val="-2"/>
          <w:w w:val="105"/>
        </w:rPr>
        <w:t> </w:t>
      </w:r>
      <w:r>
        <w:rPr>
          <w:w w:val="105"/>
        </w:rPr>
        <w:t>Redemption</w:t>
      </w:r>
      <w:r>
        <w:rPr>
          <w:spacing w:val="-2"/>
          <w:w w:val="105"/>
        </w:rPr>
        <w:t> </w:t>
      </w:r>
      <w:r>
        <w:rPr>
          <w:w w:val="105"/>
        </w:rPr>
        <w:t>was</w:t>
      </w:r>
      <w:r>
        <w:rPr>
          <w:spacing w:val="-2"/>
          <w:w w:val="105"/>
        </w:rPr>
        <w:t> </w:t>
      </w:r>
      <w:r>
        <w:rPr>
          <w:w w:val="105"/>
        </w:rPr>
        <w:t>funded</w:t>
      </w:r>
      <w:r>
        <w:rPr>
          <w:spacing w:val="-2"/>
          <w:w w:val="105"/>
        </w:rPr>
        <w:t> </w:t>
      </w:r>
      <w:r>
        <w:rPr>
          <w:w w:val="105"/>
        </w:rPr>
        <w:t>with</w:t>
      </w:r>
      <w:r>
        <w:rPr>
          <w:spacing w:val="-2"/>
          <w:w w:val="105"/>
        </w:rPr>
        <w:t> </w:t>
      </w:r>
      <w:r>
        <w:rPr>
          <w:w w:val="105"/>
        </w:rPr>
        <w:t>HSG’s</w:t>
      </w:r>
      <w:r>
        <w:rPr>
          <w:spacing w:val="-2"/>
          <w:w w:val="105"/>
        </w:rPr>
        <w:t> </w:t>
      </w:r>
      <w:r>
        <w:rPr>
          <w:w w:val="105"/>
        </w:rPr>
        <w:t>existing</w:t>
      </w:r>
      <w:r>
        <w:rPr>
          <w:spacing w:val="-2"/>
          <w:w w:val="105"/>
        </w:rPr>
        <w:t> </w:t>
      </w:r>
      <w:r>
        <w:rPr>
          <w:w w:val="105"/>
        </w:rPr>
        <w:t>cash on-hand</w:t>
      </w:r>
      <w:r>
        <w:rPr>
          <w:spacing w:val="-8"/>
          <w:w w:val="105"/>
        </w:rPr>
        <w:t> </w:t>
      </w:r>
      <w:r>
        <w:rPr>
          <w:w w:val="105"/>
        </w:rPr>
        <w:t>of</w:t>
      </w:r>
      <w:r>
        <w:rPr>
          <w:spacing w:val="-8"/>
          <w:w w:val="105"/>
        </w:rPr>
        <w:t> </w:t>
      </w:r>
      <w:r>
        <w:rPr>
          <w:w w:val="105"/>
        </w:rPr>
        <w:t>$75</w:t>
      </w:r>
      <w:r>
        <w:rPr>
          <w:spacing w:val="-8"/>
          <w:w w:val="105"/>
        </w:rPr>
        <w:t> </w:t>
      </w:r>
      <w:r>
        <w:rPr>
          <w:w w:val="105"/>
        </w:rPr>
        <w:t>million</w:t>
      </w:r>
      <w:r>
        <w:rPr>
          <w:spacing w:val="-8"/>
          <w:w w:val="105"/>
        </w:rPr>
        <w:t> </w:t>
      </w:r>
      <w:r>
        <w:rPr>
          <w:w w:val="105"/>
        </w:rPr>
        <w:t>and</w:t>
      </w:r>
      <w:r>
        <w:rPr>
          <w:spacing w:val="-8"/>
          <w:w w:val="105"/>
        </w:rPr>
        <w:t> </w:t>
      </w:r>
      <w:r>
        <w:rPr>
          <w:w w:val="105"/>
        </w:rPr>
        <w:t>its</w:t>
      </w:r>
      <w:r>
        <w:rPr>
          <w:spacing w:val="-8"/>
          <w:w w:val="105"/>
        </w:rPr>
        <w:t> </w:t>
      </w:r>
      <w:r>
        <w:rPr>
          <w:w w:val="105"/>
        </w:rPr>
        <w:t>newly</w:t>
      </w:r>
      <w:r>
        <w:rPr>
          <w:spacing w:val="-8"/>
          <w:w w:val="105"/>
        </w:rPr>
        <w:t> </w:t>
      </w:r>
      <w:r>
        <w:rPr>
          <w:w w:val="105"/>
        </w:rPr>
        <w:t>obtained</w:t>
      </w:r>
      <w:r>
        <w:rPr>
          <w:spacing w:val="-8"/>
          <w:w w:val="105"/>
        </w:rPr>
        <w:t> </w:t>
      </w:r>
      <w:r>
        <w:rPr>
          <w:w w:val="105"/>
        </w:rPr>
        <w:t>third-party</w:t>
      </w:r>
      <w:r>
        <w:rPr>
          <w:spacing w:val="-8"/>
          <w:w w:val="105"/>
        </w:rPr>
        <w:t> </w:t>
      </w:r>
      <w:r>
        <w:rPr>
          <w:w w:val="105"/>
        </w:rPr>
        <w:t>debt</w:t>
      </w:r>
      <w:r>
        <w:rPr>
          <w:spacing w:val="-8"/>
          <w:w w:val="105"/>
        </w:rPr>
        <w:t> </w:t>
      </w:r>
      <w:r>
        <w:rPr>
          <w:w w:val="105"/>
        </w:rPr>
        <w:t>of</w:t>
      </w:r>
      <w:r>
        <w:rPr>
          <w:spacing w:val="-8"/>
          <w:w w:val="105"/>
        </w:rPr>
        <w:t> </w:t>
      </w:r>
      <w:r>
        <w:rPr>
          <w:w w:val="105"/>
        </w:rPr>
        <w:t>$175</w:t>
      </w:r>
      <w:r>
        <w:rPr>
          <w:spacing w:val="-8"/>
          <w:w w:val="105"/>
        </w:rPr>
        <w:t> </w:t>
      </w:r>
      <w:r>
        <w:rPr>
          <w:w w:val="105"/>
        </w:rPr>
        <w:t>million,</w:t>
      </w:r>
      <w:r>
        <w:rPr>
          <w:spacing w:val="-6"/>
          <w:w w:val="105"/>
        </w:rPr>
        <w:t> </w:t>
      </w:r>
      <w:r>
        <w:rPr>
          <w:w w:val="105"/>
        </w:rPr>
        <w:t>maturing</w:t>
      </w:r>
      <w:r>
        <w:rPr>
          <w:spacing w:val="-8"/>
          <w:w w:val="105"/>
        </w:rPr>
        <w:t> </w:t>
      </w:r>
      <w:r>
        <w:rPr>
          <w:w w:val="105"/>
        </w:rPr>
        <w:t>on</w:t>
      </w:r>
      <w:r>
        <w:rPr>
          <w:spacing w:val="-7"/>
          <w:w w:val="105"/>
        </w:rPr>
        <w:t> </w:t>
      </w:r>
      <w:r>
        <w:rPr>
          <w:w w:val="105"/>
        </w:rPr>
        <w:t>September</w:t>
      </w:r>
      <w:r>
        <w:rPr>
          <w:spacing w:val="-8"/>
          <w:w w:val="105"/>
        </w:rPr>
        <w:t> </w:t>
      </w:r>
      <w:r>
        <w:rPr>
          <w:w w:val="105"/>
        </w:rPr>
        <w:t>8,</w:t>
      </w:r>
      <w:r>
        <w:rPr>
          <w:spacing w:val="-8"/>
          <w:w w:val="105"/>
        </w:rPr>
        <w:t> </w:t>
      </w:r>
      <w:r>
        <w:rPr>
          <w:w w:val="105"/>
        </w:rPr>
        <w:t>2021.</w:t>
      </w:r>
      <w:r>
        <w:rPr>
          <w:spacing w:val="28"/>
          <w:w w:val="105"/>
        </w:rPr>
        <w:t> </w:t>
      </w:r>
      <w:r>
        <w:rPr>
          <w:w w:val="105"/>
        </w:rPr>
        <w:t>Debt</w:t>
      </w:r>
      <w:r>
        <w:rPr>
          <w:spacing w:val="-8"/>
          <w:w w:val="105"/>
        </w:rPr>
        <w:t> </w:t>
      </w:r>
      <w:r>
        <w:rPr>
          <w:w w:val="105"/>
        </w:rPr>
        <w:t>repayments</w:t>
      </w:r>
      <w:r>
        <w:rPr>
          <w:spacing w:val="-8"/>
          <w:w w:val="105"/>
        </w:rPr>
        <w:t> </w:t>
      </w:r>
      <w:r>
        <w:rPr>
          <w:w w:val="105"/>
        </w:rPr>
        <w:t>have</w:t>
      </w:r>
      <w:r>
        <w:rPr>
          <w:spacing w:val="-8"/>
          <w:w w:val="105"/>
        </w:rPr>
        <w:t> </w:t>
      </w:r>
      <w:r>
        <w:rPr>
          <w:w w:val="105"/>
        </w:rPr>
        <w:t>been</w:t>
      </w:r>
      <w:r>
        <w:rPr>
          <w:spacing w:val="-8"/>
          <w:w w:val="105"/>
        </w:rPr>
        <w:t> </w:t>
      </w:r>
      <w:r>
        <w:rPr>
          <w:w w:val="105"/>
        </w:rPr>
        <w:t>recorded</w:t>
      </w:r>
      <w:r>
        <w:rPr>
          <w:spacing w:val="-8"/>
          <w:w w:val="105"/>
        </w:rPr>
        <w:t> </w:t>
      </w:r>
      <w:r>
        <w:rPr>
          <w:w w:val="105"/>
        </w:rPr>
        <w:t>as</w:t>
      </w:r>
      <w:r>
        <w:rPr>
          <w:spacing w:val="-8"/>
          <w:w w:val="105"/>
        </w:rPr>
        <w:t> </w:t>
      </w:r>
      <w:r>
        <w:rPr>
          <w:w w:val="105"/>
        </w:rPr>
        <w:t>a</w:t>
      </w:r>
      <w:r>
        <w:rPr>
          <w:spacing w:val="-8"/>
          <w:w w:val="105"/>
        </w:rPr>
        <w:t> </w:t>
      </w:r>
      <w:r>
        <w:rPr>
          <w:w w:val="105"/>
        </w:rPr>
        <w:t>financing</w:t>
      </w:r>
      <w:r>
        <w:rPr>
          <w:spacing w:val="-8"/>
          <w:w w:val="105"/>
        </w:rPr>
        <w:t> </w:t>
      </w:r>
      <w:r>
        <w:rPr>
          <w:w w:val="105"/>
        </w:rPr>
        <w:t>activity on Corning's consolidated statements of cash flows.</w:t>
      </w:r>
      <w:r>
        <w:rPr>
          <w:spacing w:val="80"/>
          <w:w w:val="105"/>
        </w:rPr>
        <w:t> </w:t>
      </w:r>
      <w:r>
        <w:rPr>
          <w:w w:val="105"/>
        </w:rPr>
        <w:t>As of December 31, 2021, the third-party debt has been fully repaid.</w:t>
      </w:r>
    </w:p>
    <w:p>
      <w:pPr>
        <w:pStyle w:val="BodyText"/>
        <w:spacing w:before="19"/>
      </w:pPr>
    </w:p>
    <w:p>
      <w:pPr>
        <w:pStyle w:val="BodyText"/>
        <w:spacing w:line="266" w:lineRule="auto"/>
        <w:ind w:left="156"/>
      </w:pPr>
      <w:r>
        <w:rPr>
          <w:w w:val="105"/>
        </w:rPr>
        <w:t>Upon</w:t>
      </w:r>
      <w:r>
        <w:rPr>
          <w:spacing w:val="-8"/>
          <w:w w:val="105"/>
        </w:rPr>
        <w:t> </w:t>
      </w:r>
      <w:r>
        <w:rPr>
          <w:w w:val="105"/>
        </w:rPr>
        <w:t>completion</w:t>
      </w:r>
      <w:r>
        <w:rPr>
          <w:spacing w:val="-8"/>
          <w:w w:val="105"/>
        </w:rPr>
        <w:t> </w:t>
      </w:r>
      <w:r>
        <w:rPr>
          <w:w w:val="105"/>
        </w:rPr>
        <w:t>of</w:t>
      </w:r>
      <w:r>
        <w:rPr>
          <w:spacing w:val="-8"/>
          <w:w w:val="105"/>
        </w:rPr>
        <w:t> </w:t>
      </w:r>
      <w:r>
        <w:rPr>
          <w:w w:val="105"/>
        </w:rPr>
        <w:t>the</w:t>
      </w:r>
      <w:r>
        <w:rPr>
          <w:spacing w:val="-8"/>
          <w:w w:val="105"/>
        </w:rPr>
        <w:t> </w:t>
      </w:r>
      <w:r>
        <w:rPr>
          <w:w w:val="105"/>
        </w:rPr>
        <w:t>Redemption,</w:t>
      </w:r>
      <w:r>
        <w:rPr>
          <w:spacing w:val="-8"/>
          <w:w w:val="105"/>
        </w:rPr>
        <w:t> </w:t>
      </w:r>
      <w:r>
        <w:rPr>
          <w:w w:val="105"/>
        </w:rPr>
        <w:t>Corning</w:t>
      </w:r>
      <w:r>
        <w:rPr>
          <w:spacing w:val="-8"/>
          <w:w w:val="105"/>
        </w:rPr>
        <w:t> </w:t>
      </w:r>
      <w:r>
        <w:rPr>
          <w:w w:val="105"/>
        </w:rPr>
        <w:t>obtained</w:t>
      </w:r>
      <w:r>
        <w:rPr>
          <w:spacing w:val="-8"/>
          <w:w w:val="105"/>
        </w:rPr>
        <w:t> </w:t>
      </w:r>
      <w:r>
        <w:rPr>
          <w:w w:val="105"/>
        </w:rPr>
        <w:t>a</w:t>
      </w:r>
      <w:r>
        <w:rPr>
          <w:spacing w:val="-8"/>
          <w:w w:val="105"/>
        </w:rPr>
        <w:t> </w:t>
      </w:r>
      <w:r>
        <w:rPr>
          <w:w w:val="105"/>
        </w:rPr>
        <w:t>100%</w:t>
      </w:r>
      <w:r>
        <w:rPr>
          <w:spacing w:val="-8"/>
          <w:w w:val="105"/>
        </w:rPr>
        <w:t> </w:t>
      </w:r>
      <w:r>
        <w:rPr>
          <w:w w:val="105"/>
        </w:rPr>
        <w:t>interest</w:t>
      </w:r>
      <w:r>
        <w:rPr>
          <w:spacing w:val="-6"/>
          <w:w w:val="105"/>
        </w:rPr>
        <w:t> </w:t>
      </w:r>
      <w:r>
        <w:rPr>
          <w:w w:val="105"/>
        </w:rPr>
        <w:t>in</w:t>
      </w:r>
      <w:r>
        <w:rPr>
          <w:spacing w:val="-8"/>
          <w:w w:val="105"/>
        </w:rPr>
        <w:t> </w:t>
      </w:r>
      <w:r>
        <w:rPr>
          <w:w w:val="105"/>
        </w:rPr>
        <w:t>HS</w:t>
      </w:r>
      <w:r>
        <w:rPr>
          <w:spacing w:val="-8"/>
          <w:w w:val="105"/>
        </w:rPr>
        <w:t> </w:t>
      </w:r>
      <w:r>
        <w:rPr>
          <w:w w:val="105"/>
        </w:rPr>
        <w:t>LLC</w:t>
      </w:r>
      <w:r>
        <w:rPr>
          <w:spacing w:val="-8"/>
          <w:w w:val="105"/>
        </w:rPr>
        <w:t> </w:t>
      </w:r>
      <w:r>
        <w:rPr>
          <w:w w:val="105"/>
        </w:rPr>
        <w:t>and</w:t>
      </w:r>
      <w:r>
        <w:rPr>
          <w:spacing w:val="-8"/>
          <w:w w:val="105"/>
        </w:rPr>
        <w:t> </w:t>
      </w:r>
      <w:r>
        <w:rPr>
          <w:w w:val="105"/>
        </w:rPr>
        <w:t>an</w:t>
      </w:r>
      <w:r>
        <w:rPr>
          <w:spacing w:val="-8"/>
          <w:w w:val="105"/>
        </w:rPr>
        <w:t> </w:t>
      </w:r>
      <w:r>
        <w:rPr>
          <w:w w:val="105"/>
        </w:rPr>
        <w:t>80.5%</w:t>
      </w:r>
      <w:r>
        <w:rPr>
          <w:spacing w:val="-8"/>
          <w:w w:val="105"/>
        </w:rPr>
        <w:t> </w:t>
      </w:r>
      <w:r>
        <w:rPr>
          <w:w w:val="105"/>
        </w:rPr>
        <w:t>interest</w:t>
      </w:r>
      <w:r>
        <w:rPr>
          <w:spacing w:val="-8"/>
          <w:w w:val="105"/>
        </w:rPr>
        <w:t> </w:t>
      </w:r>
      <w:r>
        <w:rPr>
          <w:w w:val="105"/>
        </w:rPr>
        <w:t>in</w:t>
      </w:r>
      <w:r>
        <w:rPr>
          <w:spacing w:val="-8"/>
          <w:w w:val="105"/>
        </w:rPr>
        <w:t> </w:t>
      </w:r>
      <w:r>
        <w:rPr>
          <w:w w:val="105"/>
        </w:rPr>
        <w:t>HSO</w:t>
      </w:r>
      <w:r>
        <w:rPr>
          <w:spacing w:val="-8"/>
          <w:w w:val="105"/>
        </w:rPr>
        <w:t> </w:t>
      </w:r>
      <w:r>
        <w:rPr>
          <w:w w:val="105"/>
        </w:rPr>
        <w:t>LLC.</w:t>
      </w:r>
      <w:r>
        <w:rPr>
          <w:spacing w:val="27"/>
          <w:w w:val="105"/>
        </w:rPr>
        <w:t> </w:t>
      </w:r>
      <w:r>
        <w:rPr>
          <w:w w:val="105"/>
        </w:rPr>
        <w:t>Corning</w:t>
      </w:r>
      <w:r>
        <w:rPr>
          <w:spacing w:val="-8"/>
          <w:w w:val="105"/>
        </w:rPr>
        <w:t> </w:t>
      </w:r>
      <w:r>
        <w:rPr>
          <w:w w:val="105"/>
        </w:rPr>
        <w:t>accounted</w:t>
      </w:r>
      <w:r>
        <w:rPr>
          <w:spacing w:val="-8"/>
          <w:w w:val="105"/>
        </w:rPr>
        <w:t> </w:t>
      </w:r>
      <w:r>
        <w:rPr>
          <w:w w:val="105"/>
        </w:rPr>
        <w:t>for</w:t>
      </w:r>
      <w:r>
        <w:rPr>
          <w:spacing w:val="-8"/>
          <w:w w:val="105"/>
        </w:rPr>
        <w:t> </w:t>
      </w:r>
      <w:r>
        <w:rPr>
          <w:w w:val="105"/>
        </w:rPr>
        <w:t>the</w:t>
      </w:r>
      <w:r>
        <w:rPr>
          <w:spacing w:val="-8"/>
          <w:w w:val="105"/>
        </w:rPr>
        <w:t> </w:t>
      </w:r>
      <w:r>
        <w:rPr>
          <w:w w:val="105"/>
        </w:rPr>
        <w:t>Redemption</w:t>
      </w:r>
      <w:r>
        <w:rPr>
          <w:spacing w:val="-8"/>
          <w:w w:val="105"/>
        </w:rPr>
        <w:t> </w:t>
      </w:r>
      <w:r>
        <w:rPr>
          <w:w w:val="105"/>
        </w:rPr>
        <w:t>under</w:t>
      </w:r>
      <w:r>
        <w:rPr>
          <w:spacing w:val="-8"/>
          <w:w w:val="105"/>
        </w:rPr>
        <w:t> </w:t>
      </w:r>
      <w:r>
        <w:rPr>
          <w:w w:val="105"/>
        </w:rPr>
        <w:t>the acquisition</w:t>
      </w:r>
      <w:r>
        <w:rPr>
          <w:spacing w:val="-2"/>
          <w:w w:val="105"/>
        </w:rPr>
        <w:t> </w:t>
      </w:r>
      <w:r>
        <w:rPr>
          <w:w w:val="105"/>
        </w:rPr>
        <w:t>method</w:t>
      </w:r>
      <w:r>
        <w:rPr>
          <w:spacing w:val="-2"/>
          <w:w w:val="105"/>
        </w:rPr>
        <w:t> </w:t>
      </w:r>
      <w:r>
        <w:rPr>
          <w:w w:val="105"/>
        </w:rPr>
        <w:t>of</w:t>
      </w:r>
      <w:r>
        <w:rPr>
          <w:spacing w:val="-2"/>
          <w:w w:val="105"/>
        </w:rPr>
        <w:t> </w:t>
      </w:r>
      <w:r>
        <w:rPr>
          <w:w w:val="105"/>
        </w:rPr>
        <w:t>accounting</w:t>
      </w:r>
      <w:r>
        <w:rPr>
          <w:spacing w:val="-2"/>
          <w:w w:val="105"/>
        </w:rPr>
        <w:t> </w:t>
      </w:r>
      <w:r>
        <w:rPr>
          <w:w w:val="105"/>
        </w:rPr>
        <w:t>in</w:t>
      </w:r>
      <w:r>
        <w:rPr>
          <w:spacing w:val="-2"/>
          <w:w w:val="105"/>
        </w:rPr>
        <w:t> </w:t>
      </w:r>
      <w:r>
        <w:rPr>
          <w:w w:val="105"/>
        </w:rPr>
        <w:t>accordance</w:t>
      </w:r>
      <w:r>
        <w:rPr>
          <w:spacing w:val="-2"/>
          <w:w w:val="105"/>
        </w:rPr>
        <w:t> </w:t>
      </w:r>
      <w:r>
        <w:rPr>
          <w:w w:val="105"/>
        </w:rPr>
        <w:t>with</w:t>
      </w:r>
      <w:r>
        <w:rPr>
          <w:spacing w:val="-2"/>
          <w:w w:val="105"/>
        </w:rPr>
        <w:t> </w:t>
      </w:r>
      <w:r>
        <w:rPr>
          <w:w w:val="105"/>
        </w:rPr>
        <w:t>business</w:t>
      </w:r>
      <w:r>
        <w:rPr>
          <w:spacing w:val="-2"/>
          <w:w w:val="105"/>
        </w:rPr>
        <w:t> </w:t>
      </w:r>
      <w:r>
        <w:rPr>
          <w:w w:val="105"/>
        </w:rPr>
        <w:t>combinations</w:t>
      </w:r>
      <w:r>
        <w:rPr>
          <w:spacing w:val="-2"/>
          <w:w w:val="105"/>
        </w:rPr>
        <w:t> </w:t>
      </w:r>
      <w:r>
        <w:rPr>
          <w:w w:val="105"/>
        </w:rPr>
        <w:t>without</w:t>
      </w:r>
      <w:r>
        <w:rPr>
          <w:spacing w:val="-2"/>
          <w:w w:val="105"/>
        </w:rPr>
        <w:t> </w:t>
      </w:r>
      <w:r>
        <w:rPr>
          <w:w w:val="105"/>
        </w:rPr>
        <w:t>the</w:t>
      </w:r>
      <w:r>
        <w:rPr>
          <w:spacing w:val="-2"/>
          <w:w w:val="105"/>
        </w:rPr>
        <w:t> </w:t>
      </w:r>
      <w:r>
        <w:rPr>
          <w:w w:val="105"/>
        </w:rPr>
        <w:t>transfer</w:t>
      </w:r>
      <w:r>
        <w:rPr>
          <w:spacing w:val="-2"/>
          <w:w w:val="105"/>
        </w:rPr>
        <w:t> </w:t>
      </w:r>
      <w:r>
        <w:rPr>
          <w:w w:val="105"/>
        </w:rPr>
        <w:t>of</w:t>
      </w:r>
      <w:r>
        <w:rPr>
          <w:spacing w:val="-2"/>
          <w:w w:val="105"/>
        </w:rPr>
        <w:t> </w:t>
      </w:r>
      <w:r>
        <w:rPr>
          <w:w w:val="105"/>
        </w:rPr>
        <w:t>net</w:t>
      </w:r>
      <w:r>
        <w:rPr>
          <w:spacing w:val="-2"/>
          <w:w w:val="105"/>
        </w:rPr>
        <w:t> </w:t>
      </w:r>
      <w:r>
        <w:rPr>
          <w:w w:val="105"/>
        </w:rPr>
        <w:t>cash</w:t>
      </w:r>
      <w:r>
        <w:rPr>
          <w:spacing w:val="-2"/>
          <w:w w:val="105"/>
        </w:rPr>
        <w:t> </w:t>
      </w:r>
      <w:r>
        <w:rPr>
          <w:w w:val="105"/>
        </w:rPr>
        <w:t>consideration.</w:t>
      </w:r>
      <w:r>
        <w:rPr>
          <w:spacing w:val="39"/>
          <w:w w:val="105"/>
        </w:rPr>
        <w:t> </w:t>
      </w:r>
      <w:r>
        <w:rPr>
          <w:w w:val="105"/>
        </w:rPr>
        <w:t>The</w:t>
      </w:r>
      <w:r>
        <w:rPr>
          <w:spacing w:val="-2"/>
          <w:w w:val="105"/>
        </w:rPr>
        <w:t> </w:t>
      </w:r>
      <w:r>
        <w:rPr>
          <w:w w:val="105"/>
        </w:rPr>
        <w:t>Redemption</w:t>
      </w:r>
      <w:r>
        <w:rPr>
          <w:spacing w:val="-2"/>
          <w:w w:val="105"/>
        </w:rPr>
        <w:t> </w:t>
      </w:r>
      <w:r>
        <w:rPr>
          <w:w w:val="105"/>
        </w:rPr>
        <w:t>price</w:t>
      </w:r>
      <w:r>
        <w:rPr>
          <w:spacing w:val="-2"/>
          <w:w w:val="105"/>
        </w:rPr>
        <w:t> </w:t>
      </w:r>
      <w:r>
        <w:rPr>
          <w:w w:val="105"/>
        </w:rPr>
        <w:t>of</w:t>
      </w:r>
      <w:r>
        <w:rPr>
          <w:spacing w:val="-2"/>
          <w:w w:val="105"/>
        </w:rPr>
        <w:t> </w:t>
      </w:r>
      <w:r>
        <w:rPr>
          <w:w w:val="105"/>
        </w:rPr>
        <w:t>$250 million approximated the fair value of Corning’s equity interest in HSG immediately preceding the Redemption.</w:t>
      </w:r>
    </w:p>
    <w:p>
      <w:pPr>
        <w:pStyle w:val="BodyText"/>
        <w:spacing w:before="9"/>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2"/>
        <w:gridCol w:w="760"/>
        <w:gridCol w:w="689"/>
        <w:gridCol w:w="571"/>
        <w:gridCol w:w="458"/>
        <w:gridCol w:w="717"/>
        <w:gridCol w:w="556"/>
      </w:tblGrid>
      <w:tr>
        <w:trPr>
          <w:trHeight w:val="295" w:hRule="atLeast"/>
        </w:trPr>
        <w:tc>
          <w:tcPr>
            <w:tcW w:w="7762" w:type="dxa"/>
          </w:tcPr>
          <w:p>
            <w:pPr>
              <w:pStyle w:val="TableParagraph"/>
              <w:spacing w:line="182" w:lineRule="exact"/>
              <w:rPr>
                <w:sz w:val="16"/>
              </w:rPr>
            </w:pPr>
            <w:r>
              <w:rPr>
                <w:spacing w:val="-2"/>
                <w:w w:val="105"/>
                <w:sz w:val="16"/>
              </w:rPr>
              <w:t>See</w:t>
            </w:r>
            <w:r>
              <w:rPr>
                <w:w w:val="105"/>
                <w:sz w:val="16"/>
              </w:rPr>
              <w:t> </w:t>
            </w:r>
            <w:r>
              <w:rPr>
                <w:spacing w:val="-2"/>
                <w:w w:val="105"/>
                <w:sz w:val="16"/>
              </w:rPr>
              <w:t>Note</w:t>
            </w:r>
            <w:r>
              <w:rPr>
                <w:spacing w:val="2"/>
                <w:w w:val="105"/>
                <w:sz w:val="16"/>
              </w:rPr>
              <w:t> </w:t>
            </w:r>
            <w:r>
              <w:rPr>
                <w:spacing w:val="-2"/>
                <w:w w:val="105"/>
                <w:sz w:val="16"/>
              </w:rPr>
              <w:t>4</w:t>
            </w:r>
            <w:r>
              <w:rPr>
                <w:spacing w:val="1"/>
                <w:w w:val="105"/>
                <w:sz w:val="16"/>
              </w:rPr>
              <w:t> </w:t>
            </w:r>
            <w:r>
              <w:rPr>
                <w:spacing w:val="-2"/>
                <w:w w:val="105"/>
                <w:sz w:val="16"/>
              </w:rPr>
              <w:t>(HSG</w:t>
            </w:r>
            <w:r>
              <w:rPr>
                <w:spacing w:val="1"/>
                <w:w w:val="105"/>
                <w:sz w:val="16"/>
              </w:rPr>
              <w:t> </w:t>
            </w:r>
            <w:r>
              <w:rPr>
                <w:spacing w:val="-2"/>
                <w:w w:val="105"/>
                <w:sz w:val="16"/>
              </w:rPr>
              <w:t>Transactions</w:t>
            </w:r>
            <w:r>
              <w:rPr>
                <w:spacing w:val="1"/>
                <w:w w:val="105"/>
                <w:sz w:val="16"/>
              </w:rPr>
              <w:t> </w:t>
            </w:r>
            <w:r>
              <w:rPr>
                <w:spacing w:val="-2"/>
                <w:w w:val="105"/>
                <w:sz w:val="16"/>
              </w:rPr>
              <w:t>and</w:t>
            </w:r>
            <w:r>
              <w:rPr>
                <w:spacing w:val="1"/>
                <w:w w:val="105"/>
                <w:sz w:val="16"/>
              </w:rPr>
              <w:t> </w:t>
            </w:r>
            <w:r>
              <w:rPr>
                <w:spacing w:val="-2"/>
                <w:w w:val="105"/>
                <w:sz w:val="16"/>
              </w:rPr>
              <w:t>Acquisitions)</w:t>
            </w:r>
            <w:r>
              <w:rPr>
                <w:spacing w:val="1"/>
                <w:w w:val="105"/>
                <w:sz w:val="16"/>
              </w:rPr>
              <w:t> </w:t>
            </w:r>
            <w:r>
              <w:rPr>
                <w:spacing w:val="-2"/>
                <w:w w:val="105"/>
                <w:sz w:val="16"/>
              </w:rPr>
              <w:t>to</w:t>
            </w:r>
            <w:r>
              <w:rPr>
                <w:spacing w:val="1"/>
                <w:w w:val="105"/>
                <w:sz w:val="16"/>
              </w:rPr>
              <w:t> </w:t>
            </w:r>
            <w:r>
              <w:rPr>
                <w:spacing w:val="-2"/>
                <w:w w:val="105"/>
                <w:sz w:val="16"/>
              </w:rPr>
              <w:t>the</w:t>
            </w:r>
            <w:r>
              <w:rPr>
                <w:w w:val="105"/>
                <w:sz w:val="16"/>
              </w:rPr>
              <w:t> </w:t>
            </w:r>
            <w:r>
              <w:rPr>
                <w:spacing w:val="-2"/>
                <w:w w:val="105"/>
                <w:sz w:val="16"/>
              </w:rPr>
              <w:t>consolidated</w:t>
            </w:r>
            <w:r>
              <w:rPr>
                <w:spacing w:val="1"/>
                <w:w w:val="105"/>
                <w:sz w:val="16"/>
              </w:rPr>
              <w:t> </w:t>
            </w:r>
            <w:r>
              <w:rPr>
                <w:spacing w:val="-2"/>
                <w:w w:val="105"/>
                <w:sz w:val="16"/>
              </w:rPr>
              <w:t>financial</w:t>
            </w:r>
            <w:r>
              <w:rPr>
                <w:spacing w:val="1"/>
                <w:w w:val="105"/>
                <w:sz w:val="16"/>
              </w:rPr>
              <w:t> </w:t>
            </w:r>
            <w:r>
              <w:rPr>
                <w:spacing w:val="-2"/>
                <w:w w:val="105"/>
                <w:sz w:val="16"/>
              </w:rPr>
              <w:t>statements</w:t>
            </w:r>
            <w:r>
              <w:rPr>
                <w:spacing w:val="1"/>
                <w:w w:val="105"/>
                <w:sz w:val="16"/>
              </w:rPr>
              <w:t> </w:t>
            </w:r>
            <w:r>
              <w:rPr>
                <w:spacing w:val="-2"/>
                <w:w w:val="105"/>
                <w:sz w:val="16"/>
              </w:rPr>
              <w:t>for</w:t>
            </w:r>
            <w:r>
              <w:rPr>
                <w:spacing w:val="1"/>
                <w:w w:val="105"/>
                <w:sz w:val="16"/>
              </w:rPr>
              <w:t> </w:t>
            </w:r>
            <w:r>
              <w:rPr>
                <w:spacing w:val="-2"/>
                <w:w w:val="105"/>
                <w:sz w:val="16"/>
              </w:rPr>
              <w:t>more</w:t>
            </w:r>
            <w:r>
              <w:rPr>
                <w:spacing w:val="3"/>
                <w:w w:val="105"/>
                <w:sz w:val="16"/>
              </w:rPr>
              <w:t> </w:t>
            </w:r>
            <w:r>
              <w:rPr>
                <w:spacing w:val="-2"/>
                <w:w w:val="105"/>
                <w:sz w:val="16"/>
              </w:rPr>
              <w:t>information.</w:t>
            </w:r>
          </w:p>
        </w:tc>
        <w:tc>
          <w:tcPr>
            <w:tcW w:w="3751" w:type="dxa"/>
            <w:gridSpan w:val="6"/>
            <w:vMerge w:val="restart"/>
          </w:tcPr>
          <w:p>
            <w:pPr>
              <w:pStyle w:val="TableParagraph"/>
              <w:rPr>
                <w:sz w:val="16"/>
              </w:rPr>
            </w:pPr>
          </w:p>
        </w:tc>
      </w:tr>
      <w:tr>
        <w:trPr>
          <w:trHeight w:val="425" w:hRule="atLeast"/>
        </w:trPr>
        <w:tc>
          <w:tcPr>
            <w:tcW w:w="7762" w:type="dxa"/>
          </w:tcPr>
          <w:p>
            <w:pPr>
              <w:pStyle w:val="TableParagraph"/>
              <w:spacing w:before="110"/>
              <w:rPr>
                <w:sz w:val="16"/>
              </w:rPr>
            </w:pPr>
            <w:r>
              <w:rPr>
                <w:w w:val="105"/>
                <w:sz w:val="16"/>
              </w:rPr>
              <w:t>HSG’s</w:t>
            </w:r>
            <w:r>
              <w:rPr>
                <w:spacing w:val="-10"/>
                <w:w w:val="105"/>
                <w:sz w:val="16"/>
              </w:rPr>
              <w:t> </w:t>
            </w:r>
            <w:r>
              <w:rPr>
                <w:w w:val="105"/>
                <w:sz w:val="16"/>
              </w:rPr>
              <w:t>results</w:t>
            </w:r>
            <w:r>
              <w:rPr>
                <w:spacing w:val="-9"/>
                <w:w w:val="105"/>
                <w:sz w:val="16"/>
              </w:rPr>
              <w:t> </w:t>
            </w:r>
            <w:r>
              <w:rPr>
                <w:w w:val="105"/>
                <w:sz w:val="16"/>
              </w:rPr>
              <w:t>of</w:t>
            </w:r>
            <w:r>
              <w:rPr>
                <w:spacing w:val="-9"/>
                <w:w w:val="105"/>
                <w:sz w:val="16"/>
              </w:rPr>
              <w:t> </w:t>
            </w:r>
            <w:r>
              <w:rPr>
                <w:w w:val="105"/>
                <w:sz w:val="16"/>
              </w:rPr>
              <w:t>operations</w:t>
            </w:r>
            <w:r>
              <w:rPr>
                <w:spacing w:val="-9"/>
                <w:w w:val="105"/>
                <w:sz w:val="16"/>
              </w:rPr>
              <w:t> </w:t>
            </w:r>
            <w:r>
              <w:rPr>
                <w:w w:val="105"/>
                <w:sz w:val="16"/>
              </w:rPr>
              <w:t>and</w:t>
            </w:r>
            <w:r>
              <w:rPr>
                <w:spacing w:val="-9"/>
                <w:w w:val="105"/>
                <w:sz w:val="16"/>
              </w:rPr>
              <w:t> </w:t>
            </w:r>
            <w:r>
              <w:rPr>
                <w:w w:val="105"/>
                <w:sz w:val="16"/>
              </w:rPr>
              <w:t>balance</w:t>
            </w:r>
            <w:r>
              <w:rPr>
                <w:spacing w:val="-9"/>
                <w:w w:val="105"/>
                <w:sz w:val="16"/>
              </w:rPr>
              <w:t> </w:t>
            </w:r>
            <w:r>
              <w:rPr>
                <w:w w:val="105"/>
                <w:sz w:val="16"/>
              </w:rPr>
              <w:t>sheet</w:t>
            </w:r>
            <w:r>
              <w:rPr>
                <w:spacing w:val="-9"/>
                <w:w w:val="105"/>
                <w:sz w:val="16"/>
              </w:rPr>
              <w:t> </w:t>
            </w:r>
            <w:r>
              <w:rPr>
                <w:w w:val="105"/>
                <w:sz w:val="16"/>
              </w:rPr>
              <w:t>as</w:t>
            </w:r>
            <w:r>
              <w:rPr>
                <w:spacing w:val="-9"/>
                <w:w w:val="105"/>
                <w:sz w:val="16"/>
              </w:rPr>
              <w:t> </w:t>
            </w:r>
            <w:r>
              <w:rPr>
                <w:w w:val="105"/>
                <w:sz w:val="16"/>
              </w:rPr>
              <w:t>of</w:t>
            </w:r>
            <w:r>
              <w:rPr>
                <w:spacing w:val="-7"/>
                <w:w w:val="105"/>
                <w:sz w:val="16"/>
              </w:rPr>
              <w:t> </w:t>
            </w:r>
            <w:r>
              <w:rPr>
                <w:w w:val="105"/>
                <w:sz w:val="16"/>
              </w:rPr>
              <w:t>September</w:t>
            </w:r>
            <w:r>
              <w:rPr>
                <w:spacing w:val="-9"/>
                <w:w w:val="105"/>
                <w:sz w:val="16"/>
              </w:rPr>
              <w:t> </w:t>
            </w:r>
            <w:r>
              <w:rPr>
                <w:w w:val="105"/>
                <w:sz w:val="16"/>
              </w:rPr>
              <w:t>8,</w:t>
            </w:r>
            <w:r>
              <w:rPr>
                <w:spacing w:val="-9"/>
                <w:w w:val="105"/>
                <w:sz w:val="16"/>
              </w:rPr>
              <w:t> </w:t>
            </w:r>
            <w:r>
              <w:rPr>
                <w:w w:val="105"/>
                <w:sz w:val="16"/>
              </w:rPr>
              <w:t>2020</w:t>
            </w:r>
            <w:r>
              <w:rPr>
                <w:spacing w:val="-8"/>
                <w:w w:val="105"/>
                <w:sz w:val="16"/>
              </w:rPr>
              <w:t> </w:t>
            </w:r>
            <w:r>
              <w:rPr>
                <w:w w:val="105"/>
                <w:sz w:val="16"/>
              </w:rPr>
              <w:t>were</w:t>
            </w:r>
            <w:r>
              <w:rPr>
                <w:spacing w:val="-9"/>
                <w:w w:val="105"/>
                <w:sz w:val="16"/>
              </w:rPr>
              <w:t> </w:t>
            </w:r>
            <w:r>
              <w:rPr>
                <w:w w:val="105"/>
                <w:sz w:val="16"/>
              </w:rPr>
              <w:t>as</w:t>
            </w:r>
            <w:r>
              <w:rPr>
                <w:spacing w:val="-9"/>
                <w:w w:val="105"/>
                <w:sz w:val="16"/>
              </w:rPr>
              <w:t> </w:t>
            </w:r>
            <w:r>
              <w:rPr>
                <w:w w:val="105"/>
                <w:sz w:val="16"/>
              </w:rPr>
              <w:t>follows</w:t>
            </w:r>
            <w:r>
              <w:rPr>
                <w:spacing w:val="-9"/>
                <w:w w:val="105"/>
                <w:sz w:val="16"/>
              </w:rPr>
              <w:t> </w:t>
            </w:r>
            <w:r>
              <w:rPr>
                <w:w w:val="105"/>
                <w:sz w:val="16"/>
              </w:rPr>
              <w:t>(in</w:t>
            </w:r>
            <w:r>
              <w:rPr>
                <w:spacing w:val="-9"/>
                <w:w w:val="105"/>
                <w:sz w:val="16"/>
              </w:rPr>
              <w:t> </w:t>
            </w:r>
            <w:r>
              <w:rPr>
                <w:spacing w:val="-2"/>
                <w:w w:val="105"/>
                <w:sz w:val="16"/>
              </w:rPr>
              <w:t>millions):</w:t>
            </w:r>
          </w:p>
        </w:tc>
        <w:tc>
          <w:tcPr>
            <w:tcW w:w="3751" w:type="dxa"/>
            <w:gridSpan w:val="6"/>
            <w:vMerge/>
            <w:tcBorders>
              <w:top w:val="nil"/>
            </w:tcBorders>
          </w:tcPr>
          <w:p>
            <w:pPr>
              <w:rPr>
                <w:sz w:val="2"/>
                <w:szCs w:val="2"/>
              </w:rPr>
            </w:pPr>
          </w:p>
        </w:tc>
      </w:tr>
      <w:tr>
        <w:trPr>
          <w:trHeight w:val="201" w:hRule="atLeast"/>
        </w:trPr>
        <w:tc>
          <w:tcPr>
            <w:tcW w:w="7762" w:type="dxa"/>
            <w:tcBorders>
              <w:bottom w:val="single" w:sz="12" w:space="0" w:color="000000"/>
            </w:tcBorders>
            <w:shd w:val="clear" w:color="auto" w:fill="CCEDFF"/>
          </w:tcPr>
          <w:p>
            <w:pPr>
              <w:pStyle w:val="TableParagraph"/>
              <w:rPr>
                <w:sz w:val="14"/>
              </w:rPr>
            </w:pPr>
          </w:p>
        </w:tc>
        <w:tc>
          <w:tcPr>
            <w:tcW w:w="760" w:type="dxa"/>
            <w:tcBorders>
              <w:bottom w:val="single" w:sz="12" w:space="0" w:color="000000"/>
            </w:tcBorders>
            <w:shd w:val="clear" w:color="auto" w:fill="CCEDFF"/>
          </w:tcPr>
          <w:p>
            <w:pPr>
              <w:pStyle w:val="TableParagraph"/>
              <w:rPr>
                <w:sz w:val="14"/>
              </w:rPr>
            </w:pPr>
          </w:p>
        </w:tc>
        <w:tc>
          <w:tcPr>
            <w:tcW w:w="689" w:type="dxa"/>
            <w:tcBorders>
              <w:bottom w:val="single" w:sz="12" w:space="0" w:color="000000"/>
            </w:tcBorders>
            <w:shd w:val="clear" w:color="auto" w:fill="CCEDFF"/>
          </w:tcPr>
          <w:p>
            <w:pPr>
              <w:pStyle w:val="TableParagraph"/>
              <w:rPr>
                <w:sz w:val="14"/>
              </w:rPr>
            </w:pPr>
          </w:p>
        </w:tc>
        <w:tc>
          <w:tcPr>
            <w:tcW w:w="571" w:type="dxa"/>
            <w:tcBorders>
              <w:bottom w:val="single" w:sz="12" w:space="0" w:color="000000"/>
            </w:tcBorders>
            <w:shd w:val="clear" w:color="auto" w:fill="CCEDFF"/>
          </w:tcPr>
          <w:p>
            <w:pPr>
              <w:pStyle w:val="TableParagraph"/>
              <w:rPr>
                <w:sz w:val="14"/>
              </w:rPr>
            </w:pPr>
          </w:p>
        </w:tc>
        <w:tc>
          <w:tcPr>
            <w:tcW w:w="458" w:type="dxa"/>
            <w:tcBorders>
              <w:bottom w:val="single" w:sz="12" w:space="0" w:color="000000"/>
            </w:tcBorders>
            <w:shd w:val="clear" w:color="auto" w:fill="CCEDFF"/>
          </w:tcPr>
          <w:p>
            <w:pPr>
              <w:pStyle w:val="TableParagraph"/>
              <w:rPr>
                <w:sz w:val="14"/>
              </w:rPr>
            </w:pPr>
          </w:p>
        </w:tc>
        <w:tc>
          <w:tcPr>
            <w:tcW w:w="717" w:type="dxa"/>
            <w:tcBorders>
              <w:bottom w:val="single" w:sz="12" w:space="0" w:color="000000"/>
            </w:tcBorders>
            <w:shd w:val="clear" w:color="auto" w:fill="CCEDFF"/>
          </w:tcPr>
          <w:p>
            <w:pPr>
              <w:pStyle w:val="TableParagraph"/>
              <w:rPr>
                <w:sz w:val="14"/>
              </w:rPr>
            </w:pPr>
          </w:p>
        </w:tc>
        <w:tc>
          <w:tcPr>
            <w:tcW w:w="556" w:type="dxa"/>
            <w:tcBorders>
              <w:bottom w:val="single" w:sz="12" w:space="0" w:color="000000"/>
            </w:tcBorders>
            <w:shd w:val="clear" w:color="auto" w:fill="CCEDFF"/>
          </w:tcPr>
          <w:p>
            <w:pPr>
              <w:pStyle w:val="TableParagraph"/>
              <w:rPr>
                <w:sz w:val="14"/>
              </w:rPr>
            </w:pPr>
          </w:p>
        </w:tc>
      </w:tr>
      <w:tr>
        <w:trPr>
          <w:trHeight w:val="200" w:hRule="atLeast"/>
        </w:trPr>
        <w:tc>
          <w:tcPr>
            <w:tcW w:w="7762" w:type="dxa"/>
            <w:tcBorders>
              <w:top w:val="single" w:sz="12" w:space="0" w:color="000000"/>
              <w:bottom w:val="single" w:sz="6" w:space="0" w:color="000000"/>
            </w:tcBorders>
          </w:tcPr>
          <w:p>
            <w:pPr>
              <w:pStyle w:val="TableParagraph"/>
              <w:rPr>
                <w:sz w:val="12"/>
              </w:rPr>
            </w:pPr>
          </w:p>
        </w:tc>
        <w:tc>
          <w:tcPr>
            <w:tcW w:w="760" w:type="dxa"/>
            <w:tcBorders>
              <w:top w:val="single" w:sz="12" w:space="0" w:color="000000"/>
              <w:bottom w:val="single" w:sz="6" w:space="0" w:color="000000"/>
            </w:tcBorders>
          </w:tcPr>
          <w:p>
            <w:pPr>
              <w:pStyle w:val="TableParagraph"/>
              <w:rPr>
                <w:sz w:val="12"/>
              </w:rPr>
            </w:pPr>
          </w:p>
        </w:tc>
        <w:tc>
          <w:tcPr>
            <w:tcW w:w="689" w:type="dxa"/>
            <w:tcBorders>
              <w:top w:val="single" w:sz="12" w:space="0" w:color="000000"/>
              <w:bottom w:val="single" w:sz="6" w:space="0" w:color="000000"/>
            </w:tcBorders>
          </w:tcPr>
          <w:p>
            <w:pPr>
              <w:pStyle w:val="TableParagraph"/>
              <w:spacing w:line="179" w:lineRule="exact" w:before="1"/>
              <w:ind w:left="248"/>
              <w:rPr>
                <w:sz w:val="16"/>
              </w:rPr>
            </w:pPr>
            <w:r>
              <w:rPr>
                <w:spacing w:val="-4"/>
                <w:w w:val="105"/>
                <w:sz w:val="16"/>
              </w:rPr>
              <w:t>2020</w:t>
            </w:r>
          </w:p>
        </w:tc>
        <w:tc>
          <w:tcPr>
            <w:tcW w:w="571" w:type="dxa"/>
            <w:tcBorders>
              <w:top w:val="single" w:sz="12" w:space="0" w:color="000000"/>
              <w:bottom w:val="single" w:sz="6" w:space="0" w:color="000000"/>
            </w:tcBorders>
          </w:tcPr>
          <w:p>
            <w:pPr>
              <w:pStyle w:val="TableParagraph"/>
              <w:rPr>
                <w:sz w:val="12"/>
              </w:rPr>
            </w:pPr>
          </w:p>
        </w:tc>
        <w:tc>
          <w:tcPr>
            <w:tcW w:w="458" w:type="dxa"/>
            <w:tcBorders>
              <w:top w:val="single" w:sz="12" w:space="0" w:color="000000"/>
              <w:bottom w:val="single" w:sz="6" w:space="0" w:color="000000"/>
            </w:tcBorders>
          </w:tcPr>
          <w:p>
            <w:pPr>
              <w:pStyle w:val="TableParagraph"/>
              <w:rPr>
                <w:sz w:val="12"/>
              </w:rPr>
            </w:pPr>
          </w:p>
        </w:tc>
        <w:tc>
          <w:tcPr>
            <w:tcW w:w="717" w:type="dxa"/>
            <w:tcBorders>
              <w:top w:val="single" w:sz="12" w:space="0" w:color="000000"/>
              <w:bottom w:val="single" w:sz="6" w:space="0" w:color="000000"/>
            </w:tcBorders>
          </w:tcPr>
          <w:p>
            <w:pPr>
              <w:pStyle w:val="TableParagraph"/>
              <w:spacing w:line="179" w:lineRule="exact" w:before="1"/>
              <w:ind w:left="250"/>
              <w:rPr>
                <w:sz w:val="16"/>
              </w:rPr>
            </w:pPr>
            <w:r>
              <w:rPr>
                <w:spacing w:val="-4"/>
                <w:w w:val="105"/>
                <w:sz w:val="16"/>
              </w:rPr>
              <w:t>2019</w:t>
            </w:r>
          </w:p>
        </w:tc>
        <w:tc>
          <w:tcPr>
            <w:tcW w:w="556" w:type="dxa"/>
            <w:tcBorders>
              <w:top w:val="single" w:sz="12" w:space="0" w:color="000000"/>
              <w:bottom w:val="single" w:sz="6" w:space="0" w:color="000000"/>
            </w:tcBorders>
          </w:tcPr>
          <w:p>
            <w:pPr>
              <w:pStyle w:val="TableParagraph"/>
              <w:rPr>
                <w:sz w:val="12"/>
              </w:rPr>
            </w:pPr>
          </w:p>
        </w:tc>
      </w:tr>
      <w:tr>
        <w:trPr>
          <w:trHeight w:val="202" w:hRule="atLeast"/>
        </w:trPr>
        <w:tc>
          <w:tcPr>
            <w:tcW w:w="7762" w:type="dxa"/>
            <w:tcBorders>
              <w:top w:val="single" w:sz="6" w:space="0" w:color="000000"/>
            </w:tcBorders>
            <w:shd w:val="clear" w:color="auto" w:fill="CCEDFF"/>
          </w:tcPr>
          <w:p>
            <w:pPr>
              <w:pStyle w:val="TableParagraph"/>
              <w:spacing w:line="180" w:lineRule="exact" w:before="2"/>
              <w:rPr>
                <w:sz w:val="16"/>
              </w:rPr>
            </w:pPr>
            <w:r>
              <w:rPr>
                <w:w w:val="105"/>
                <w:sz w:val="16"/>
              </w:rPr>
              <w:t>Statement</w:t>
            </w:r>
            <w:r>
              <w:rPr>
                <w:spacing w:val="-9"/>
                <w:w w:val="105"/>
                <w:sz w:val="16"/>
              </w:rPr>
              <w:t> </w:t>
            </w:r>
            <w:r>
              <w:rPr>
                <w:w w:val="105"/>
                <w:sz w:val="16"/>
              </w:rPr>
              <w:t>of</w:t>
            </w:r>
            <w:r>
              <w:rPr>
                <w:spacing w:val="-9"/>
                <w:w w:val="105"/>
                <w:sz w:val="16"/>
              </w:rPr>
              <w:t> </w:t>
            </w:r>
            <w:r>
              <w:rPr>
                <w:spacing w:val="-2"/>
                <w:w w:val="105"/>
                <w:sz w:val="16"/>
              </w:rPr>
              <w:t>operations:</w:t>
            </w:r>
          </w:p>
        </w:tc>
        <w:tc>
          <w:tcPr>
            <w:tcW w:w="760" w:type="dxa"/>
            <w:tcBorders>
              <w:top w:val="single" w:sz="6" w:space="0" w:color="000000"/>
            </w:tcBorders>
            <w:shd w:val="clear" w:color="auto" w:fill="CCEDFF"/>
          </w:tcPr>
          <w:p>
            <w:pPr>
              <w:pStyle w:val="TableParagraph"/>
              <w:rPr>
                <w:sz w:val="14"/>
              </w:rPr>
            </w:pPr>
          </w:p>
        </w:tc>
        <w:tc>
          <w:tcPr>
            <w:tcW w:w="689" w:type="dxa"/>
            <w:tcBorders>
              <w:top w:val="single" w:sz="6" w:space="0" w:color="000000"/>
            </w:tcBorders>
            <w:shd w:val="clear" w:color="auto" w:fill="CCEDFF"/>
          </w:tcPr>
          <w:p>
            <w:pPr>
              <w:pStyle w:val="TableParagraph"/>
              <w:rPr>
                <w:sz w:val="14"/>
              </w:rPr>
            </w:pPr>
          </w:p>
        </w:tc>
        <w:tc>
          <w:tcPr>
            <w:tcW w:w="571" w:type="dxa"/>
            <w:tcBorders>
              <w:top w:val="single" w:sz="6" w:space="0" w:color="000000"/>
            </w:tcBorders>
            <w:shd w:val="clear" w:color="auto" w:fill="CCEDFF"/>
          </w:tcPr>
          <w:p>
            <w:pPr>
              <w:pStyle w:val="TableParagraph"/>
              <w:rPr>
                <w:sz w:val="14"/>
              </w:rPr>
            </w:pPr>
          </w:p>
        </w:tc>
        <w:tc>
          <w:tcPr>
            <w:tcW w:w="458" w:type="dxa"/>
            <w:tcBorders>
              <w:top w:val="single" w:sz="6" w:space="0" w:color="000000"/>
            </w:tcBorders>
            <w:shd w:val="clear" w:color="auto" w:fill="CCEDFF"/>
          </w:tcPr>
          <w:p>
            <w:pPr>
              <w:pStyle w:val="TableParagraph"/>
              <w:rPr>
                <w:sz w:val="14"/>
              </w:rPr>
            </w:pPr>
          </w:p>
        </w:tc>
        <w:tc>
          <w:tcPr>
            <w:tcW w:w="717" w:type="dxa"/>
            <w:tcBorders>
              <w:top w:val="single" w:sz="6" w:space="0" w:color="000000"/>
            </w:tcBorders>
            <w:shd w:val="clear" w:color="auto" w:fill="CCEDFF"/>
          </w:tcPr>
          <w:p>
            <w:pPr>
              <w:pStyle w:val="TableParagraph"/>
              <w:rPr>
                <w:sz w:val="14"/>
              </w:rPr>
            </w:pPr>
          </w:p>
        </w:tc>
        <w:tc>
          <w:tcPr>
            <w:tcW w:w="556" w:type="dxa"/>
            <w:tcBorders>
              <w:top w:val="single" w:sz="6" w:space="0" w:color="000000"/>
            </w:tcBorders>
            <w:shd w:val="clear" w:color="auto" w:fill="CCEDFF"/>
          </w:tcPr>
          <w:p>
            <w:pPr>
              <w:pStyle w:val="TableParagraph"/>
              <w:rPr>
                <w:sz w:val="14"/>
              </w:rPr>
            </w:pPr>
          </w:p>
        </w:tc>
      </w:tr>
      <w:tr>
        <w:trPr>
          <w:trHeight w:val="203" w:hRule="atLeast"/>
        </w:trPr>
        <w:tc>
          <w:tcPr>
            <w:tcW w:w="7762" w:type="dxa"/>
          </w:tcPr>
          <w:p>
            <w:pPr>
              <w:pStyle w:val="TableParagraph"/>
              <w:spacing w:line="180" w:lineRule="exact" w:before="3"/>
              <w:ind w:left="305"/>
              <w:rPr>
                <w:sz w:val="16"/>
              </w:rPr>
            </w:pPr>
            <w:r>
              <w:rPr>
                <w:w w:val="105"/>
                <w:sz w:val="16"/>
              </w:rPr>
              <w:t>Net</w:t>
            </w:r>
            <w:r>
              <w:rPr>
                <w:spacing w:val="-8"/>
                <w:w w:val="105"/>
                <w:sz w:val="16"/>
              </w:rPr>
              <w:t> </w:t>
            </w:r>
            <w:r>
              <w:rPr>
                <w:spacing w:val="-4"/>
                <w:w w:val="105"/>
                <w:sz w:val="16"/>
              </w:rPr>
              <w:t>sales</w:t>
            </w:r>
          </w:p>
        </w:tc>
        <w:tc>
          <w:tcPr>
            <w:tcW w:w="760" w:type="dxa"/>
          </w:tcPr>
          <w:p>
            <w:pPr>
              <w:pStyle w:val="TableParagraph"/>
              <w:spacing w:line="180" w:lineRule="exact" w:before="3"/>
              <w:ind w:right="246"/>
              <w:jc w:val="right"/>
              <w:rPr>
                <w:sz w:val="16"/>
              </w:rPr>
            </w:pPr>
            <w:r>
              <w:rPr>
                <w:spacing w:val="-10"/>
                <w:w w:val="105"/>
                <w:sz w:val="16"/>
              </w:rPr>
              <w:t>$</w:t>
            </w:r>
          </w:p>
        </w:tc>
        <w:tc>
          <w:tcPr>
            <w:tcW w:w="689" w:type="dxa"/>
          </w:tcPr>
          <w:p>
            <w:pPr>
              <w:pStyle w:val="TableParagraph"/>
              <w:rPr>
                <w:sz w:val="14"/>
              </w:rPr>
            </w:pPr>
          </w:p>
        </w:tc>
        <w:tc>
          <w:tcPr>
            <w:tcW w:w="571" w:type="dxa"/>
          </w:tcPr>
          <w:p>
            <w:pPr>
              <w:pStyle w:val="TableParagraph"/>
              <w:spacing w:line="180" w:lineRule="exact" w:before="3"/>
              <w:ind w:right="98"/>
              <w:jc w:val="right"/>
              <w:rPr>
                <w:sz w:val="16"/>
              </w:rPr>
            </w:pPr>
            <w:r>
              <w:rPr>
                <w:spacing w:val="-5"/>
                <w:w w:val="105"/>
                <w:sz w:val="16"/>
              </w:rPr>
              <w:t>423</w:t>
            </w:r>
          </w:p>
        </w:tc>
        <w:tc>
          <w:tcPr>
            <w:tcW w:w="458" w:type="dxa"/>
          </w:tcPr>
          <w:p>
            <w:pPr>
              <w:pStyle w:val="TableParagraph"/>
              <w:spacing w:line="180" w:lineRule="exact" w:before="3"/>
              <w:ind w:left="128"/>
              <w:rPr>
                <w:sz w:val="16"/>
              </w:rPr>
            </w:pPr>
            <w:r>
              <w:rPr>
                <w:spacing w:val="-10"/>
                <w:w w:val="105"/>
                <w:sz w:val="16"/>
              </w:rPr>
              <w:t>$</w:t>
            </w:r>
          </w:p>
        </w:tc>
        <w:tc>
          <w:tcPr>
            <w:tcW w:w="717" w:type="dxa"/>
          </w:tcPr>
          <w:p>
            <w:pPr>
              <w:pStyle w:val="TableParagraph"/>
              <w:rPr>
                <w:sz w:val="14"/>
              </w:rPr>
            </w:pPr>
          </w:p>
        </w:tc>
        <w:tc>
          <w:tcPr>
            <w:tcW w:w="556" w:type="dxa"/>
          </w:tcPr>
          <w:p>
            <w:pPr>
              <w:pStyle w:val="TableParagraph"/>
              <w:spacing w:line="180" w:lineRule="exact" w:before="3"/>
              <w:ind w:left="195"/>
              <w:rPr>
                <w:sz w:val="16"/>
              </w:rPr>
            </w:pPr>
            <w:r>
              <w:rPr>
                <w:spacing w:val="-5"/>
                <w:w w:val="105"/>
                <w:sz w:val="16"/>
              </w:rPr>
              <w:t>779</w:t>
            </w:r>
          </w:p>
        </w:tc>
      </w:tr>
      <w:tr>
        <w:trPr>
          <w:trHeight w:val="203" w:hRule="atLeast"/>
        </w:trPr>
        <w:tc>
          <w:tcPr>
            <w:tcW w:w="7762" w:type="dxa"/>
            <w:shd w:val="clear" w:color="auto" w:fill="CCEDFF"/>
          </w:tcPr>
          <w:p>
            <w:pPr>
              <w:pStyle w:val="TableParagraph"/>
              <w:spacing w:line="180" w:lineRule="exact" w:before="3"/>
              <w:ind w:left="305"/>
              <w:rPr>
                <w:sz w:val="16"/>
              </w:rPr>
            </w:pPr>
            <w:r>
              <w:rPr>
                <w:spacing w:val="-2"/>
                <w:w w:val="105"/>
                <w:sz w:val="16"/>
              </w:rPr>
              <w:t>Gross</w:t>
            </w:r>
            <w:r>
              <w:rPr>
                <w:spacing w:val="-3"/>
                <w:w w:val="105"/>
                <w:sz w:val="16"/>
              </w:rPr>
              <w:t> </w:t>
            </w:r>
            <w:r>
              <w:rPr>
                <w:spacing w:val="-2"/>
                <w:w w:val="105"/>
                <w:sz w:val="16"/>
              </w:rPr>
              <w:t>profit</w:t>
            </w:r>
          </w:p>
        </w:tc>
        <w:tc>
          <w:tcPr>
            <w:tcW w:w="760" w:type="dxa"/>
            <w:shd w:val="clear" w:color="auto" w:fill="CCEDFF"/>
          </w:tcPr>
          <w:p>
            <w:pPr>
              <w:pStyle w:val="TableParagraph"/>
              <w:spacing w:line="180" w:lineRule="exact" w:before="3"/>
              <w:ind w:right="246"/>
              <w:jc w:val="right"/>
              <w:rPr>
                <w:sz w:val="16"/>
              </w:rPr>
            </w:pPr>
            <w:r>
              <w:rPr>
                <w:spacing w:val="-10"/>
                <w:w w:val="105"/>
                <w:sz w:val="16"/>
              </w:rPr>
              <w:t>$</w:t>
            </w:r>
          </w:p>
        </w:tc>
        <w:tc>
          <w:tcPr>
            <w:tcW w:w="689" w:type="dxa"/>
            <w:shd w:val="clear" w:color="auto" w:fill="CCEDFF"/>
          </w:tcPr>
          <w:p>
            <w:pPr>
              <w:pStyle w:val="TableParagraph"/>
              <w:rPr>
                <w:sz w:val="14"/>
              </w:rPr>
            </w:pPr>
          </w:p>
        </w:tc>
        <w:tc>
          <w:tcPr>
            <w:tcW w:w="571" w:type="dxa"/>
            <w:shd w:val="clear" w:color="auto" w:fill="CCEDFF"/>
          </w:tcPr>
          <w:p>
            <w:pPr>
              <w:pStyle w:val="TableParagraph"/>
              <w:spacing w:line="180" w:lineRule="exact" w:before="3"/>
              <w:ind w:right="98"/>
              <w:jc w:val="right"/>
              <w:rPr>
                <w:sz w:val="16"/>
              </w:rPr>
            </w:pPr>
            <w:r>
              <w:rPr>
                <w:spacing w:val="-5"/>
                <w:w w:val="105"/>
                <w:sz w:val="16"/>
              </w:rPr>
              <w:t>87</w:t>
            </w:r>
          </w:p>
        </w:tc>
        <w:tc>
          <w:tcPr>
            <w:tcW w:w="458" w:type="dxa"/>
            <w:shd w:val="clear" w:color="auto" w:fill="CCEDFF"/>
          </w:tcPr>
          <w:p>
            <w:pPr>
              <w:pStyle w:val="TableParagraph"/>
              <w:spacing w:line="180" w:lineRule="exact" w:before="3"/>
              <w:ind w:left="128"/>
              <w:rPr>
                <w:sz w:val="16"/>
              </w:rPr>
            </w:pPr>
            <w:r>
              <w:rPr>
                <w:spacing w:val="-10"/>
                <w:w w:val="105"/>
                <w:sz w:val="16"/>
              </w:rPr>
              <w:t>$</w:t>
            </w:r>
          </w:p>
        </w:tc>
        <w:tc>
          <w:tcPr>
            <w:tcW w:w="717" w:type="dxa"/>
            <w:shd w:val="clear" w:color="auto" w:fill="CCEDFF"/>
          </w:tcPr>
          <w:p>
            <w:pPr>
              <w:pStyle w:val="TableParagraph"/>
              <w:rPr>
                <w:sz w:val="14"/>
              </w:rPr>
            </w:pPr>
          </w:p>
        </w:tc>
        <w:tc>
          <w:tcPr>
            <w:tcW w:w="556" w:type="dxa"/>
            <w:shd w:val="clear" w:color="auto" w:fill="CCEDFF"/>
          </w:tcPr>
          <w:p>
            <w:pPr>
              <w:pStyle w:val="TableParagraph"/>
              <w:spacing w:line="180" w:lineRule="exact" w:before="3"/>
              <w:ind w:right="110"/>
              <w:jc w:val="right"/>
              <w:rPr>
                <w:sz w:val="16"/>
              </w:rPr>
            </w:pPr>
            <w:r>
              <w:rPr>
                <w:spacing w:val="-10"/>
                <w:w w:val="105"/>
                <w:sz w:val="16"/>
              </w:rPr>
              <w:t>9</w:t>
            </w:r>
          </w:p>
        </w:tc>
      </w:tr>
      <w:tr>
        <w:trPr>
          <w:trHeight w:val="203" w:hRule="atLeast"/>
        </w:trPr>
        <w:tc>
          <w:tcPr>
            <w:tcW w:w="7762" w:type="dxa"/>
          </w:tcPr>
          <w:p>
            <w:pPr>
              <w:pStyle w:val="TableParagraph"/>
              <w:spacing w:line="184" w:lineRule="exact"/>
              <w:ind w:left="305"/>
              <w:rPr>
                <w:sz w:val="14"/>
              </w:rPr>
            </w:pPr>
            <w:r>
              <w:rPr>
                <w:sz w:val="16"/>
              </w:rPr>
              <w:t>Net</w:t>
            </w:r>
            <w:r>
              <w:rPr>
                <w:spacing w:val="11"/>
                <w:sz w:val="16"/>
              </w:rPr>
              <w:t> </w:t>
            </w:r>
            <w:r>
              <w:rPr>
                <w:sz w:val="16"/>
              </w:rPr>
              <w:t>income</w:t>
            </w:r>
            <w:r>
              <w:rPr>
                <w:spacing w:val="11"/>
                <w:sz w:val="16"/>
              </w:rPr>
              <w:t> </w:t>
            </w:r>
            <w:r>
              <w:rPr>
                <w:sz w:val="16"/>
              </w:rPr>
              <w:t>(loss)</w:t>
            </w:r>
            <w:r>
              <w:rPr>
                <w:spacing w:val="13"/>
                <w:sz w:val="16"/>
              </w:rPr>
              <w:t> </w:t>
            </w:r>
            <w:r>
              <w:rPr>
                <w:spacing w:val="-5"/>
                <w:position w:val="3"/>
                <w:sz w:val="14"/>
              </w:rPr>
              <w:t>(1)</w:t>
            </w:r>
          </w:p>
        </w:tc>
        <w:tc>
          <w:tcPr>
            <w:tcW w:w="760" w:type="dxa"/>
          </w:tcPr>
          <w:p>
            <w:pPr>
              <w:pStyle w:val="TableParagraph"/>
              <w:spacing w:line="180" w:lineRule="exact" w:before="3"/>
              <w:ind w:right="246"/>
              <w:jc w:val="right"/>
              <w:rPr>
                <w:sz w:val="16"/>
              </w:rPr>
            </w:pPr>
            <w:r>
              <w:rPr>
                <w:spacing w:val="-10"/>
                <w:w w:val="105"/>
                <w:sz w:val="16"/>
              </w:rPr>
              <w:t>$</w:t>
            </w:r>
          </w:p>
        </w:tc>
        <w:tc>
          <w:tcPr>
            <w:tcW w:w="689" w:type="dxa"/>
          </w:tcPr>
          <w:p>
            <w:pPr>
              <w:pStyle w:val="TableParagraph"/>
              <w:rPr>
                <w:sz w:val="14"/>
              </w:rPr>
            </w:pPr>
          </w:p>
        </w:tc>
        <w:tc>
          <w:tcPr>
            <w:tcW w:w="571" w:type="dxa"/>
          </w:tcPr>
          <w:p>
            <w:pPr>
              <w:pStyle w:val="TableParagraph"/>
              <w:spacing w:line="180" w:lineRule="exact" w:before="3"/>
              <w:ind w:right="98"/>
              <w:jc w:val="right"/>
              <w:rPr>
                <w:sz w:val="16"/>
              </w:rPr>
            </w:pPr>
            <w:r>
              <w:rPr>
                <w:spacing w:val="-5"/>
                <w:w w:val="105"/>
                <w:sz w:val="16"/>
              </w:rPr>
              <w:t>11</w:t>
            </w:r>
          </w:p>
        </w:tc>
        <w:tc>
          <w:tcPr>
            <w:tcW w:w="458" w:type="dxa"/>
          </w:tcPr>
          <w:p>
            <w:pPr>
              <w:pStyle w:val="TableParagraph"/>
              <w:spacing w:line="180" w:lineRule="exact" w:before="3"/>
              <w:ind w:left="128"/>
              <w:rPr>
                <w:sz w:val="16"/>
              </w:rPr>
            </w:pPr>
            <w:r>
              <w:rPr>
                <w:spacing w:val="-10"/>
                <w:w w:val="105"/>
                <w:sz w:val="16"/>
              </w:rPr>
              <w:t>$</w:t>
            </w:r>
          </w:p>
        </w:tc>
        <w:tc>
          <w:tcPr>
            <w:tcW w:w="717" w:type="dxa"/>
          </w:tcPr>
          <w:p>
            <w:pPr>
              <w:pStyle w:val="TableParagraph"/>
              <w:rPr>
                <w:sz w:val="14"/>
              </w:rPr>
            </w:pPr>
          </w:p>
        </w:tc>
        <w:tc>
          <w:tcPr>
            <w:tcW w:w="556" w:type="dxa"/>
          </w:tcPr>
          <w:p>
            <w:pPr>
              <w:pStyle w:val="TableParagraph"/>
              <w:spacing w:line="180" w:lineRule="exact" w:before="3"/>
              <w:ind w:right="56"/>
              <w:jc w:val="right"/>
              <w:rPr>
                <w:sz w:val="16"/>
              </w:rPr>
            </w:pPr>
            <w:r>
              <w:rPr>
                <w:spacing w:val="-2"/>
                <w:w w:val="105"/>
                <w:sz w:val="16"/>
              </w:rPr>
              <w:t>(117)</w:t>
            </w:r>
          </w:p>
        </w:tc>
      </w:tr>
      <w:tr>
        <w:trPr>
          <w:trHeight w:val="203" w:hRule="atLeast"/>
        </w:trPr>
        <w:tc>
          <w:tcPr>
            <w:tcW w:w="7762" w:type="dxa"/>
            <w:shd w:val="clear" w:color="auto" w:fill="CCEDFF"/>
          </w:tcPr>
          <w:p>
            <w:pPr>
              <w:pStyle w:val="TableParagraph"/>
              <w:spacing w:line="180" w:lineRule="exact" w:before="3"/>
              <w:ind w:left="305"/>
              <w:rPr>
                <w:sz w:val="16"/>
              </w:rPr>
            </w:pPr>
            <w:r>
              <w:rPr>
                <w:w w:val="105"/>
                <w:sz w:val="16"/>
              </w:rPr>
              <w:t>Net</w:t>
            </w:r>
            <w:r>
              <w:rPr>
                <w:spacing w:val="-9"/>
                <w:w w:val="105"/>
                <w:sz w:val="16"/>
              </w:rPr>
              <w:t> </w:t>
            </w:r>
            <w:r>
              <w:rPr>
                <w:w w:val="105"/>
                <w:sz w:val="16"/>
              </w:rPr>
              <w:t>income</w:t>
            </w:r>
            <w:r>
              <w:rPr>
                <w:spacing w:val="-8"/>
                <w:w w:val="105"/>
                <w:sz w:val="16"/>
              </w:rPr>
              <w:t> </w:t>
            </w:r>
            <w:r>
              <w:rPr>
                <w:w w:val="105"/>
                <w:sz w:val="16"/>
              </w:rPr>
              <w:t>attributable</w:t>
            </w:r>
            <w:r>
              <w:rPr>
                <w:spacing w:val="-8"/>
                <w:w w:val="105"/>
                <w:sz w:val="16"/>
              </w:rPr>
              <w:t> </w:t>
            </w:r>
            <w:r>
              <w:rPr>
                <w:w w:val="105"/>
                <w:sz w:val="16"/>
              </w:rPr>
              <w:t>to</w:t>
            </w:r>
            <w:r>
              <w:rPr>
                <w:spacing w:val="-9"/>
                <w:w w:val="105"/>
                <w:sz w:val="16"/>
              </w:rPr>
              <w:t> </w:t>
            </w:r>
            <w:r>
              <w:rPr>
                <w:spacing w:val="-5"/>
                <w:w w:val="105"/>
                <w:sz w:val="16"/>
              </w:rPr>
              <w:t>HSG</w:t>
            </w:r>
          </w:p>
        </w:tc>
        <w:tc>
          <w:tcPr>
            <w:tcW w:w="760" w:type="dxa"/>
            <w:shd w:val="clear" w:color="auto" w:fill="CCEDFF"/>
          </w:tcPr>
          <w:p>
            <w:pPr>
              <w:pStyle w:val="TableParagraph"/>
              <w:spacing w:line="180" w:lineRule="exact" w:before="3"/>
              <w:ind w:right="246"/>
              <w:jc w:val="right"/>
              <w:rPr>
                <w:sz w:val="16"/>
              </w:rPr>
            </w:pPr>
            <w:r>
              <w:rPr>
                <w:spacing w:val="-10"/>
                <w:w w:val="105"/>
                <w:sz w:val="16"/>
              </w:rPr>
              <w:t>$</w:t>
            </w:r>
          </w:p>
        </w:tc>
        <w:tc>
          <w:tcPr>
            <w:tcW w:w="689" w:type="dxa"/>
            <w:shd w:val="clear" w:color="auto" w:fill="CCEDFF"/>
          </w:tcPr>
          <w:p>
            <w:pPr>
              <w:pStyle w:val="TableParagraph"/>
              <w:rPr>
                <w:sz w:val="14"/>
              </w:rPr>
            </w:pPr>
          </w:p>
        </w:tc>
        <w:tc>
          <w:tcPr>
            <w:tcW w:w="571" w:type="dxa"/>
            <w:shd w:val="clear" w:color="auto" w:fill="CCEDFF"/>
          </w:tcPr>
          <w:p>
            <w:pPr>
              <w:pStyle w:val="TableParagraph"/>
              <w:spacing w:line="180" w:lineRule="exact" w:before="3"/>
              <w:ind w:right="98"/>
              <w:jc w:val="right"/>
              <w:rPr>
                <w:sz w:val="16"/>
              </w:rPr>
            </w:pPr>
            <w:r>
              <w:rPr>
                <w:spacing w:val="-5"/>
                <w:w w:val="105"/>
                <w:sz w:val="16"/>
              </w:rPr>
              <w:t>44</w:t>
            </w:r>
          </w:p>
        </w:tc>
        <w:tc>
          <w:tcPr>
            <w:tcW w:w="458" w:type="dxa"/>
            <w:shd w:val="clear" w:color="auto" w:fill="CCEDFF"/>
          </w:tcPr>
          <w:p>
            <w:pPr>
              <w:pStyle w:val="TableParagraph"/>
              <w:spacing w:line="180" w:lineRule="exact" w:before="3"/>
              <w:ind w:left="128"/>
              <w:rPr>
                <w:sz w:val="16"/>
              </w:rPr>
            </w:pPr>
            <w:r>
              <w:rPr>
                <w:spacing w:val="-10"/>
                <w:w w:val="105"/>
                <w:sz w:val="16"/>
              </w:rPr>
              <w:t>$</w:t>
            </w:r>
          </w:p>
        </w:tc>
        <w:tc>
          <w:tcPr>
            <w:tcW w:w="717" w:type="dxa"/>
            <w:shd w:val="clear" w:color="auto" w:fill="CCEDFF"/>
          </w:tcPr>
          <w:p>
            <w:pPr>
              <w:pStyle w:val="TableParagraph"/>
              <w:rPr>
                <w:sz w:val="14"/>
              </w:rPr>
            </w:pPr>
          </w:p>
        </w:tc>
        <w:tc>
          <w:tcPr>
            <w:tcW w:w="556" w:type="dxa"/>
            <w:shd w:val="clear" w:color="auto" w:fill="CCEDFF"/>
          </w:tcPr>
          <w:p>
            <w:pPr>
              <w:pStyle w:val="TableParagraph"/>
              <w:spacing w:line="180" w:lineRule="exact" w:before="3"/>
              <w:ind w:left="278"/>
              <w:rPr>
                <w:sz w:val="16"/>
              </w:rPr>
            </w:pPr>
            <w:r>
              <w:rPr>
                <w:spacing w:val="-5"/>
                <w:w w:val="105"/>
                <w:sz w:val="16"/>
              </w:rPr>
              <w:t>54</w:t>
            </w:r>
          </w:p>
        </w:tc>
      </w:tr>
      <w:tr>
        <w:trPr>
          <w:trHeight w:val="203" w:hRule="atLeast"/>
        </w:trPr>
        <w:tc>
          <w:tcPr>
            <w:tcW w:w="7762" w:type="dxa"/>
          </w:tcPr>
          <w:p>
            <w:pPr>
              <w:pStyle w:val="TableParagraph"/>
              <w:spacing w:line="180" w:lineRule="exact" w:before="3"/>
              <w:ind w:left="305"/>
              <w:rPr>
                <w:sz w:val="16"/>
              </w:rPr>
            </w:pPr>
            <w:r>
              <w:rPr>
                <w:spacing w:val="-2"/>
                <w:w w:val="105"/>
                <w:sz w:val="16"/>
              </w:rPr>
              <w:t>Corning’s</w:t>
            </w:r>
            <w:r>
              <w:rPr>
                <w:spacing w:val="1"/>
                <w:w w:val="105"/>
                <w:sz w:val="16"/>
              </w:rPr>
              <w:t> </w:t>
            </w:r>
            <w:r>
              <w:rPr>
                <w:spacing w:val="-2"/>
                <w:w w:val="105"/>
                <w:sz w:val="16"/>
              </w:rPr>
              <w:t>equity</w:t>
            </w:r>
            <w:r>
              <w:rPr>
                <w:spacing w:val="1"/>
                <w:w w:val="105"/>
                <w:sz w:val="16"/>
              </w:rPr>
              <w:t> </w:t>
            </w:r>
            <w:r>
              <w:rPr>
                <w:spacing w:val="-2"/>
                <w:w w:val="105"/>
                <w:sz w:val="16"/>
              </w:rPr>
              <w:t>in</w:t>
            </w:r>
            <w:r>
              <w:rPr>
                <w:spacing w:val="1"/>
                <w:w w:val="105"/>
                <w:sz w:val="16"/>
              </w:rPr>
              <w:t> </w:t>
            </w:r>
            <w:r>
              <w:rPr>
                <w:spacing w:val="-2"/>
                <w:w w:val="105"/>
                <w:sz w:val="16"/>
              </w:rPr>
              <w:t>earnings</w:t>
            </w:r>
            <w:r>
              <w:rPr>
                <w:spacing w:val="1"/>
                <w:w w:val="105"/>
                <w:sz w:val="16"/>
              </w:rPr>
              <w:t> </w:t>
            </w:r>
            <w:r>
              <w:rPr>
                <w:spacing w:val="-2"/>
                <w:w w:val="105"/>
                <w:sz w:val="16"/>
              </w:rPr>
              <w:t>of</w:t>
            </w:r>
            <w:r>
              <w:rPr>
                <w:spacing w:val="1"/>
                <w:w w:val="105"/>
                <w:sz w:val="16"/>
              </w:rPr>
              <w:t> </w:t>
            </w:r>
            <w:r>
              <w:rPr>
                <w:spacing w:val="-2"/>
                <w:w w:val="105"/>
                <w:sz w:val="16"/>
              </w:rPr>
              <w:t>affiliated</w:t>
            </w:r>
            <w:r>
              <w:rPr>
                <w:spacing w:val="1"/>
                <w:w w:val="105"/>
                <w:sz w:val="16"/>
              </w:rPr>
              <w:t> </w:t>
            </w:r>
            <w:r>
              <w:rPr>
                <w:spacing w:val="-2"/>
                <w:w w:val="105"/>
                <w:sz w:val="16"/>
              </w:rPr>
              <w:t>companies</w:t>
            </w:r>
          </w:p>
        </w:tc>
        <w:tc>
          <w:tcPr>
            <w:tcW w:w="760" w:type="dxa"/>
          </w:tcPr>
          <w:p>
            <w:pPr>
              <w:pStyle w:val="TableParagraph"/>
              <w:spacing w:line="180" w:lineRule="exact" w:before="3"/>
              <w:ind w:right="246"/>
              <w:jc w:val="right"/>
              <w:rPr>
                <w:sz w:val="16"/>
              </w:rPr>
            </w:pPr>
            <w:r>
              <w:rPr>
                <w:spacing w:val="-10"/>
                <w:w w:val="105"/>
                <w:sz w:val="16"/>
              </w:rPr>
              <w:t>$</w:t>
            </w:r>
          </w:p>
        </w:tc>
        <w:tc>
          <w:tcPr>
            <w:tcW w:w="689" w:type="dxa"/>
          </w:tcPr>
          <w:p>
            <w:pPr>
              <w:pStyle w:val="TableParagraph"/>
              <w:rPr>
                <w:sz w:val="14"/>
              </w:rPr>
            </w:pPr>
          </w:p>
        </w:tc>
        <w:tc>
          <w:tcPr>
            <w:tcW w:w="571" w:type="dxa"/>
          </w:tcPr>
          <w:p>
            <w:pPr>
              <w:pStyle w:val="TableParagraph"/>
              <w:spacing w:line="180" w:lineRule="exact" w:before="3"/>
              <w:ind w:right="98"/>
              <w:jc w:val="right"/>
              <w:rPr>
                <w:sz w:val="16"/>
              </w:rPr>
            </w:pPr>
            <w:r>
              <w:rPr>
                <w:spacing w:val="-5"/>
                <w:w w:val="105"/>
                <w:sz w:val="16"/>
              </w:rPr>
              <w:t>22</w:t>
            </w:r>
          </w:p>
        </w:tc>
        <w:tc>
          <w:tcPr>
            <w:tcW w:w="458" w:type="dxa"/>
          </w:tcPr>
          <w:p>
            <w:pPr>
              <w:pStyle w:val="TableParagraph"/>
              <w:spacing w:line="180" w:lineRule="exact" w:before="3"/>
              <w:ind w:left="128"/>
              <w:rPr>
                <w:sz w:val="16"/>
              </w:rPr>
            </w:pPr>
            <w:r>
              <w:rPr>
                <w:spacing w:val="-10"/>
                <w:w w:val="105"/>
                <w:sz w:val="16"/>
              </w:rPr>
              <w:t>$</w:t>
            </w:r>
          </w:p>
        </w:tc>
        <w:tc>
          <w:tcPr>
            <w:tcW w:w="717" w:type="dxa"/>
          </w:tcPr>
          <w:p>
            <w:pPr>
              <w:pStyle w:val="TableParagraph"/>
              <w:rPr>
                <w:sz w:val="14"/>
              </w:rPr>
            </w:pPr>
          </w:p>
        </w:tc>
        <w:tc>
          <w:tcPr>
            <w:tcW w:w="556" w:type="dxa"/>
          </w:tcPr>
          <w:p>
            <w:pPr>
              <w:pStyle w:val="TableParagraph"/>
              <w:spacing w:line="180" w:lineRule="exact" w:before="3"/>
              <w:ind w:left="278"/>
              <w:rPr>
                <w:sz w:val="16"/>
              </w:rPr>
            </w:pPr>
            <w:r>
              <w:rPr>
                <w:spacing w:val="-5"/>
                <w:w w:val="105"/>
                <w:sz w:val="16"/>
              </w:rPr>
              <w:t>27</w:t>
            </w:r>
          </w:p>
        </w:tc>
      </w:tr>
      <w:tr>
        <w:trPr>
          <w:trHeight w:val="203" w:hRule="atLeast"/>
        </w:trPr>
        <w:tc>
          <w:tcPr>
            <w:tcW w:w="7762" w:type="dxa"/>
            <w:shd w:val="clear" w:color="auto" w:fill="CCEDFF"/>
          </w:tcPr>
          <w:p>
            <w:pPr>
              <w:pStyle w:val="TableParagraph"/>
              <w:rPr>
                <w:sz w:val="14"/>
              </w:rPr>
            </w:pPr>
          </w:p>
        </w:tc>
        <w:tc>
          <w:tcPr>
            <w:tcW w:w="760" w:type="dxa"/>
            <w:shd w:val="clear" w:color="auto" w:fill="CCEDFF"/>
          </w:tcPr>
          <w:p>
            <w:pPr>
              <w:pStyle w:val="TableParagraph"/>
              <w:rPr>
                <w:sz w:val="14"/>
              </w:rPr>
            </w:pPr>
          </w:p>
        </w:tc>
        <w:tc>
          <w:tcPr>
            <w:tcW w:w="689" w:type="dxa"/>
            <w:shd w:val="clear" w:color="auto" w:fill="CCEDFF"/>
          </w:tcPr>
          <w:p>
            <w:pPr>
              <w:pStyle w:val="TableParagraph"/>
              <w:rPr>
                <w:sz w:val="14"/>
              </w:rPr>
            </w:pPr>
          </w:p>
        </w:tc>
        <w:tc>
          <w:tcPr>
            <w:tcW w:w="571" w:type="dxa"/>
            <w:shd w:val="clear" w:color="auto" w:fill="CCEDFF"/>
          </w:tcPr>
          <w:p>
            <w:pPr>
              <w:pStyle w:val="TableParagraph"/>
              <w:rPr>
                <w:sz w:val="14"/>
              </w:rPr>
            </w:pPr>
          </w:p>
        </w:tc>
        <w:tc>
          <w:tcPr>
            <w:tcW w:w="458" w:type="dxa"/>
            <w:shd w:val="clear" w:color="auto" w:fill="CCEDFF"/>
          </w:tcPr>
          <w:p>
            <w:pPr>
              <w:pStyle w:val="TableParagraph"/>
              <w:rPr>
                <w:sz w:val="14"/>
              </w:rPr>
            </w:pPr>
          </w:p>
        </w:tc>
        <w:tc>
          <w:tcPr>
            <w:tcW w:w="717" w:type="dxa"/>
            <w:shd w:val="clear" w:color="auto" w:fill="CCEDFF"/>
          </w:tcPr>
          <w:p>
            <w:pPr>
              <w:pStyle w:val="TableParagraph"/>
              <w:rPr>
                <w:sz w:val="14"/>
              </w:rPr>
            </w:pPr>
          </w:p>
        </w:tc>
        <w:tc>
          <w:tcPr>
            <w:tcW w:w="556" w:type="dxa"/>
            <w:shd w:val="clear" w:color="auto" w:fill="CCEDFF"/>
          </w:tcPr>
          <w:p>
            <w:pPr>
              <w:pStyle w:val="TableParagraph"/>
              <w:rPr>
                <w:sz w:val="14"/>
              </w:rPr>
            </w:pPr>
          </w:p>
        </w:tc>
      </w:tr>
      <w:tr>
        <w:trPr>
          <w:trHeight w:val="188" w:hRule="atLeast"/>
        </w:trPr>
        <w:tc>
          <w:tcPr>
            <w:tcW w:w="7762" w:type="dxa"/>
          </w:tcPr>
          <w:p>
            <w:pPr>
              <w:pStyle w:val="TableParagraph"/>
              <w:spacing w:line="165" w:lineRule="exact" w:before="3"/>
              <w:rPr>
                <w:sz w:val="16"/>
              </w:rPr>
            </w:pPr>
            <w:r>
              <w:rPr>
                <w:w w:val="105"/>
                <w:sz w:val="16"/>
              </w:rPr>
              <w:t>Related</w:t>
            </w:r>
            <w:r>
              <w:rPr>
                <w:spacing w:val="-10"/>
                <w:w w:val="105"/>
                <w:sz w:val="16"/>
              </w:rPr>
              <w:t> </w:t>
            </w:r>
            <w:r>
              <w:rPr>
                <w:w w:val="105"/>
                <w:sz w:val="16"/>
              </w:rPr>
              <w:t>party</w:t>
            </w:r>
            <w:r>
              <w:rPr>
                <w:spacing w:val="-9"/>
                <w:w w:val="105"/>
                <w:sz w:val="16"/>
              </w:rPr>
              <w:t> </w:t>
            </w:r>
            <w:r>
              <w:rPr>
                <w:spacing w:val="-2"/>
                <w:w w:val="105"/>
                <w:sz w:val="16"/>
              </w:rPr>
              <w:t>transactions:</w:t>
            </w:r>
          </w:p>
        </w:tc>
        <w:tc>
          <w:tcPr>
            <w:tcW w:w="760" w:type="dxa"/>
          </w:tcPr>
          <w:p>
            <w:pPr>
              <w:pStyle w:val="TableParagraph"/>
              <w:rPr>
                <w:sz w:val="12"/>
              </w:rPr>
            </w:pPr>
          </w:p>
        </w:tc>
        <w:tc>
          <w:tcPr>
            <w:tcW w:w="689" w:type="dxa"/>
          </w:tcPr>
          <w:p>
            <w:pPr>
              <w:pStyle w:val="TableParagraph"/>
              <w:rPr>
                <w:sz w:val="12"/>
              </w:rPr>
            </w:pPr>
          </w:p>
        </w:tc>
        <w:tc>
          <w:tcPr>
            <w:tcW w:w="571" w:type="dxa"/>
          </w:tcPr>
          <w:p>
            <w:pPr>
              <w:pStyle w:val="TableParagraph"/>
              <w:rPr>
                <w:sz w:val="12"/>
              </w:rPr>
            </w:pPr>
          </w:p>
        </w:tc>
        <w:tc>
          <w:tcPr>
            <w:tcW w:w="458" w:type="dxa"/>
          </w:tcPr>
          <w:p>
            <w:pPr>
              <w:pStyle w:val="TableParagraph"/>
              <w:rPr>
                <w:sz w:val="12"/>
              </w:rPr>
            </w:pPr>
          </w:p>
        </w:tc>
        <w:tc>
          <w:tcPr>
            <w:tcW w:w="717" w:type="dxa"/>
          </w:tcPr>
          <w:p>
            <w:pPr>
              <w:pStyle w:val="TableParagraph"/>
              <w:rPr>
                <w:sz w:val="12"/>
              </w:rPr>
            </w:pPr>
          </w:p>
        </w:tc>
        <w:tc>
          <w:tcPr>
            <w:tcW w:w="556" w:type="dxa"/>
          </w:tcPr>
          <w:p>
            <w:pPr>
              <w:pStyle w:val="TableParagraph"/>
              <w:rPr>
                <w:sz w:val="12"/>
              </w:rPr>
            </w:pPr>
          </w:p>
        </w:tc>
      </w:tr>
      <w:tr>
        <w:trPr>
          <w:trHeight w:val="218" w:hRule="atLeast"/>
        </w:trPr>
        <w:tc>
          <w:tcPr>
            <w:tcW w:w="7762" w:type="dxa"/>
            <w:shd w:val="clear" w:color="auto" w:fill="CCEDFF"/>
          </w:tcPr>
          <w:p>
            <w:pPr>
              <w:pStyle w:val="TableParagraph"/>
              <w:spacing w:line="180" w:lineRule="exact" w:before="3"/>
              <w:ind w:left="305"/>
              <w:rPr>
                <w:sz w:val="16"/>
              </w:rPr>
            </w:pPr>
            <w:r>
              <w:rPr>
                <w:sz w:val="16"/>
              </w:rPr>
              <w:t>Dividends</w:t>
            </w:r>
            <w:r>
              <w:rPr>
                <w:spacing w:val="15"/>
                <w:sz w:val="16"/>
              </w:rPr>
              <w:t> </w:t>
            </w:r>
            <w:r>
              <w:rPr>
                <w:sz w:val="16"/>
              </w:rPr>
              <w:t>received</w:t>
            </w:r>
            <w:r>
              <w:rPr>
                <w:spacing w:val="15"/>
                <w:sz w:val="16"/>
              </w:rPr>
              <w:t> </w:t>
            </w:r>
            <w:r>
              <w:rPr>
                <w:sz w:val="16"/>
              </w:rPr>
              <w:t>from</w:t>
            </w:r>
            <w:r>
              <w:rPr>
                <w:spacing w:val="15"/>
                <w:sz w:val="16"/>
              </w:rPr>
              <w:t> </w:t>
            </w:r>
            <w:r>
              <w:rPr>
                <w:sz w:val="16"/>
              </w:rPr>
              <w:t>affiliated</w:t>
            </w:r>
            <w:r>
              <w:rPr>
                <w:spacing w:val="15"/>
                <w:sz w:val="16"/>
              </w:rPr>
              <w:t> </w:t>
            </w:r>
            <w:r>
              <w:rPr>
                <w:spacing w:val="-2"/>
                <w:sz w:val="16"/>
              </w:rPr>
              <w:t>companies</w:t>
            </w:r>
          </w:p>
        </w:tc>
        <w:tc>
          <w:tcPr>
            <w:tcW w:w="1449" w:type="dxa"/>
            <w:gridSpan w:val="2"/>
            <w:shd w:val="clear" w:color="auto" w:fill="CCEDFF"/>
          </w:tcPr>
          <w:p>
            <w:pPr>
              <w:pStyle w:val="TableParagraph"/>
              <w:rPr>
                <w:sz w:val="14"/>
              </w:rPr>
            </w:pPr>
          </w:p>
        </w:tc>
        <w:tc>
          <w:tcPr>
            <w:tcW w:w="571" w:type="dxa"/>
            <w:shd w:val="clear" w:color="auto" w:fill="CCEDFF"/>
          </w:tcPr>
          <w:p>
            <w:pPr>
              <w:pStyle w:val="TableParagraph"/>
              <w:rPr>
                <w:sz w:val="14"/>
              </w:rPr>
            </w:pPr>
          </w:p>
        </w:tc>
        <w:tc>
          <w:tcPr>
            <w:tcW w:w="458" w:type="dxa"/>
            <w:shd w:val="clear" w:color="auto" w:fill="CCEDFF"/>
          </w:tcPr>
          <w:p>
            <w:pPr>
              <w:pStyle w:val="TableParagraph"/>
              <w:spacing w:line="180" w:lineRule="exact" w:before="3"/>
              <w:ind w:left="128"/>
              <w:rPr>
                <w:sz w:val="16"/>
              </w:rPr>
            </w:pPr>
            <w:r>
              <w:rPr>
                <w:spacing w:val="-10"/>
                <w:w w:val="105"/>
                <w:sz w:val="16"/>
              </w:rPr>
              <w:t>$</w:t>
            </w:r>
          </w:p>
        </w:tc>
        <w:tc>
          <w:tcPr>
            <w:tcW w:w="1273" w:type="dxa"/>
            <w:gridSpan w:val="2"/>
            <w:shd w:val="clear" w:color="auto" w:fill="CCEDFF"/>
          </w:tcPr>
          <w:p>
            <w:pPr>
              <w:pStyle w:val="TableParagraph"/>
              <w:spacing w:line="180" w:lineRule="exact" w:before="3"/>
              <w:ind w:right="110"/>
              <w:jc w:val="right"/>
              <w:rPr>
                <w:sz w:val="16"/>
              </w:rPr>
            </w:pPr>
            <w:r>
              <w:rPr>
                <w:spacing w:val="-5"/>
                <w:w w:val="105"/>
                <w:sz w:val="16"/>
              </w:rPr>
              <w:t>100</w:t>
            </w:r>
          </w:p>
        </w:tc>
      </w:tr>
      <w:tr>
        <w:trPr>
          <w:trHeight w:val="202" w:hRule="atLeast"/>
        </w:trPr>
        <w:tc>
          <w:tcPr>
            <w:tcW w:w="7762" w:type="dxa"/>
            <w:tcBorders>
              <w:bottom w:val="single" w:sz="6" w:space="0" w:color="000000"/>
            </w:tcBorders>
          </w:tcPr>
          <w:p>
            <w:pPr>
              <w:pStyle w:val="TableParagraph"/>
              <w:spacing w:line="179" w:lineRule="exact" w:before="3"/>
              <w:ind w:left="305"/>
              <w:rPr>
                <w:sz w:val="16"/>
              </w:rPr>
            </w:pPr>
            <w:r>
              <w:rPr>
                <w:w w:val="105"/>
                <w:sz w:val="16"/>
              </w:rPr>
              <w:t>Intercompany</w:t>
            </w:r>
            <w:r>
              <w:rPr>
                <w:spacing w:val="-10"/>
                <w:w w:val="105"/>
                <w:sz w:val="16"/>
              </w:rPr>
              <w:t> </w:t>
            </w:r>
            <w:r>
              <w:rPr>
                <w:w w:val="105"/>
                <w:sz w:val="16"/>
              </w:rPr>
              <w:t>sales</w:t>
            </w:r>
            <w:r>
              <w:rPr>
                <w:spacing w:val="-10"/>
                <w:w w:val="105"/>
                <w:sz w:val="16"/>
              </w:rPr>
              <w:t> </w:t>
            </w:r>
            <w:r>
              <w:rPr>
                <w:w w:val="105"/>
                <w:sz w:val="16"/>
              </w:rPr>
              <w:t>within</w:t>
            </w:r>
            <w:r>
              <w:rPr>
                <w:spacing w:val="-10"/>
                <w:w w:val="105"/>
                <w:sz w:val="16"/>
              </w:rPr>
              <w:t> </w:t>
            </w:r>
            <w:r>
              <w:rPr>
                <w:w w:val="105"/>
                <w:sz w:val="16"/>
              </w:rPr>
              <w:t>HSG</w:t>
            </w:r>
            <w:r>
              <w:rPr>
                <w:spacing w:val="-9"/>
                <w:w w:val="105"/>
                <w:sz w:val="16"/>
              </w:rPr>
              <w:t> </w:t>
            </w:r>
            <w:r>
              <w:rPr>
                <w:w w:val="105"/>
                <w:sz w:val="16"/>
              </w:rPr>
              <w:t>(included</w:t>
            </w:r>
            <w:r>
              <w:rPr>
                <w:spacing w:val="-10"/>
                <w:w w:val="105"/>
                <w:sz w:val="16"/>
              </w:rPr>
              <w:t> </w:t>
            </w:r>
            <w:r>
              <w:rPr>
                <w:w w:val="105"/>
                <w:sz w:val="16"/>
              </w:rPr>
              <w:t>in</w:t>
            </w:r>
            <w:r>
              <w:rPr>
                <w:spacing w:val="-10"/>
                <w:w w:val="105"/>
                <w:sz w:val="16"/>
              </w:rPr>
              <w:t> </w:t>
            </w:r>
            <w:r>
              <w:rPr>
                <w:w w:val="105"/>
                <w:sz w:val="16"/>
              </w:rPr>
              <w:t>net</w:t>
            </w:r>
            <w:r>
              <w:rPr>
                <w:spacing w:val="-10"/>
                <w:w w:val="105"/>
                <w:sz w:val="16"/>
              </w:rPr>
              <w:t> </w:t>
            </w:r>
            <w:r>
              <w:rPr>
                <w:spacing w:val="-2"/>
                <w:w w:val="105"/>
                <w:sz w:val="16"/>
              </w:rPr>
              <w:t>sales)</w:t>
            </w:r>
          </w:p>
        </w:tc>
        <w:tc>
          <w:tcPr>
            <w:tcW w:w="1449" w:type="dxa"/>
            <w:gridSpan w:val="2"/>
            <w:tcBorders>
              <w:bottom w:val="single" w:sz="6" w:space="0" w:color="000000"/>
            </w:tcBorders>
          </w:tcPr>
          <w:p>
            <w:pPr>
              <w:pStyle w:val="TableParagraph"/>
              <w:spacing w:line="179" w:lineRule="exact" w:before="3"/>
              <w:ind w:left="428"/>
              <w:rPr>
                <w:sz w:val="16"/>
              </w:rPr>
            </w:pPr>
            <w:r>
              <w:rPr>
                <w:spacing w:val="-10"/>
                <w:w w:val="105"/>
                <w:sz w:val="16"/>
              </w:rPr>
              <w:t>$</w:t>
            </w:r>
          </w:p>
        </w:tc>
        <w:tc>
          <w:tcPr>
            <w:tcW w:w="571" w:type="dxa"/>
            <w:tcBorders>
              <w:bottom w:val="single" w:sz="6" w:space="0" w:color="000000"/>
            </w:tcBorders>
          </w:tcPr>
          <w:p>
            <w:pPr>
              <w:pStyle w:val="TableParagraph"/>
              <w:spacing w:line="179" w:lineRule="exact" w:before="3"/>
              <w:ind w:right="98"/>
              <w:jc w:val="right"/>
              <w:rPr>
                <w:sz w:val="16"/>
              </w:rPr>
            </w:pPr>
            <w:r>
              <w:rPr>
                <w:spacing w:val="-5"/>
                <w:w w:val="105"/>
                <w:sz w:val="16"/>
              </w:rPr>
              <w:t>55</w:t>
            </w:r>
          </w:p>
        </w:tc>
        <w:tc>
          <w:tcPr>
            <w:tcW w:w="458" w:type="dxa"/>
            <w:tcBorders>
              <w:bottom w:val="single" w:sz="6" w:space="0" w:color="000000"/>
            </w:tcBorders>
          </w:tcPr>
          <w:p>
            <w:pPr>
              <w:pStyle w:val="TableParagraph"/>
              <w:spacing w:line="179" w:lineRule="exact" w:before="3"/>
              <w:ind w:left="128"/>
              <w:rPr>
                <w:sz w:val="16"/>
              </w:rPr>
            </w:pPr>
            <w:r>
              <w:rPr>
                <w:spacing w:val="-10"/>
                <w:w w:val="105"/>
                <w:sz w:val="16"/>
              </w:rPr>
              <w:t>$</w:t>
            </w:r>
          </w:p>
        </w:tc>
        <w:tc>
          <w:tcPr>
            <w:tcW w:w="1273" w:type="dxa"/>
            <w:gridSpan w:val="2"/>
            <w:tcBorders>
              <w:bottom w:val="single" w:sz="6" w:space="0" w:color="000000"/>
            </w:tcBorders>
          </w:tcPr>
          <w:p>
            <w:pPr>
              <w:pStyle w:val="TableParagraph"/>
              <w:spacing w:line="179" w:lineRule="exact" w:before="3"/>
              <w:ind w:right="110"/>
              <w:jc w:val="right"/>
              <w:rPr>
                <w:sz w:val="16"/>
              </w:rPr>
            </w:pPr>
            <w:r>
              <w:rPr>
                <w:spacing w:val="-5"/>
                <w:w w:val="105"/>
                <w:sz w:val="16"/>
              </w:rPr>
              <w:t>112</w:t>
            </w:r>
          </w:p>
        </w:tc>
      </w:tr>
      <w:tr>
        <w:trPr>
          <w:trHeight w:val="405" w:hRule="atLeast"/>
        </w:trPr>
        <w:tc>
          <w:tcPr>
            <w:tcW w:w="7762" w:type="dxa"/>
            <w:tcBorders>
              <w:top w:val="single" w:sz="6" w:space="0" w:color="000000"/>
              <w:bottom w:val="single" w:sz="6" w:space="0" w:color="000000"/>
            </w:tcBorders>
          </w:tcPr>
          <w:p>
            <w:pPr>
              <w:pStyle w:val="TableParagraph"/>
              <w:rPr>
                <w:sz w:val="16"/>
              </w:rPr>
            </w:pPr>
          </w:p>
        </w:tc>
        <w:tc>
          <w:tcPr>
            <w:tcW w:w="1449" w:type="dxa"/>
            <w:gridSpan w:val="2"/>
            <w:tcBorders>
              <w:top w:val="single" w:sz="6" w:space="0" w:color="000000"/>
              <w:bottom w:val="single" w:sz="6" w:space="0" w:color="000000"/>
            </w:tcBorders>
          </w:tcPr>
          <w:p>
            <w:pPr>
              <w:pStyle w:val="TableParagraph"/>
              <w:spacing w:before="22"/>
              <w:rPr>
                <w:sz w:val="16"/>
              </w:rPr>
            </w:pPr>
          </w:p>
          <w:p>
            <w:pPr>
              <w:pStyle w:val="TableParagraph"/>
              <w:spacing w:line="179" w:lineRule="exact"/>
              <w:ind w:right="132"/>
              <w:jc w:val="right"/>
              <w:rPr>
                <w:sz w:val="16"/>
              </w:rPr>
            </w:pPr>
            <w:r>
              <w:rPr>
                <w:spacing w:val="-4"/>
                <w:w w:val="105"/>
                <w:sz w:val="16"/>
              </w:rPr>
              <w:t>2020</w:t>
            </w:r>
          </w:p>
        </w:tc>
        <w:tc>
          <w:tcPr>
            <w:tcW w:w="571" w:type="dxa"/>
            <w:tcBorders>
              <w:top w:val="single" w:sz="6" w:space="0" w:color="000000"/>
              <w:bottom w:val="single" w:sz="6" w:space="0" w:color="000000"/>
            </w:tcBorders>
          </w:tcPr>
          <w:p>
            <w:pPr>
              <w:pStyle w:val="TableParagraph"/>
              <w:rPr>
                <w:sz w:val="16"/>
              </w:rPr>
            </w:pPr>
          </w:p>
        </w:tc>
        <w:tc>
          <w:tcPr>
            <w:tcW w:w="458" w:type="dxa"/>
            <w:tcBorders>
              <w:top w:val="single" w:sz="6" w:space="0" w:color="000000"/>
            </w:tcBorders>
          </w:tcPr>
          <w:p>
            <w:pPr>
              <w:pStyle w:val="TableParagraph"/>
              <w:rPr>
                <w:sz w:val="16"/>
              </w:rPr>
            </w:pPr>
          </w:p>
        </w:tc>
        <w:tc>
          <w:tcPr>
            <w:tcW w:w="1273" w:type="dxa"/>
            <w:gridSpan w:val="2"/>
            <w:tcBorders>
              <w:top w:val="single" w:sz="6" w:space="0" w:color="000000"/>
            </w:tcBorders>
          </w:tcPr>
          <w:p>
            <w:pPr>
              <w:pStyle w:val="TableParagraph"/>
              <w:rPr>
                <w:sz w:val="16"/>
              </w:rPr>
            </w:pPr>
          </w:p>
        </w:tc>
      </w:tr>
      <w:tr>
        <w:trPr>
          <w:trHeight w:val="202" w:hRule="atLeast"/>
        </w:trPr>
        <w:tc>
          <w:tcPr>
            <w:tcW w:w="7762" w:type="dxa"/>
            <w:tcBorders>
              <w:top w:val="single" w:sz="6" w:space="0" w:color="000000"/>
            </w:tcBorders>
            <w:shd w:val="clear" w:color="auto" w:fill="CCEDFF"/>
          </w:tcPr>
          <w:p>
            <w:pPr>
              <w:pStyle w:val="TableParagraph"/>
              <w:spacing w:line="180" w:lineRule="exact" w:before="2"/>
              <w:rPr>
                <w:sz w:val="16"/>
              </w:rPr>
            </w:pPr>
            <w:r>
              <w:rPr>
                <w:sz w:val="16"/>
              </w:rPr>
              <w:t>Balance</w:t>
            </w:r>
            <w:r>
              <w:rPr>
                <w:spacing w:val="16"/>
                <w:sz w:val="16"/>
              </w:rPr>
              <w:t> </w:t>
            </w:r>
            <w:r>
              <w:rPr>
                <w:spacing w:val="-2"/>
                <w:sz w:val="16"/>
              </w:rPr>
              <w:t>sheet:</w:t>
            </w:r>
          </w:p>
        </w:tc>
        <w:tc>
          <w:tcPr>
            <w:tcW w:w="1449" w:type="dxa"/>
            <w:gridSpan w:val="2"/>
            <w:tcBorders>
              <w:top w:val="single" w:sz="6" w:space="0" w:color="000000"/>
            </w:tcBorders>
            <w:shd w:val="clear" w:color="auto" w:fill="CCEDFF"/>
          </w:tcPr>
          <w:p>
            <w:pPr>
              <w:pStyle w:val="TableParagraph"/>
              <w:rPr>
                <w:sz w:val="14"/>
              </w:rPr>
            </w:pPr>
          </w:p>
        </w:tc>
        <w:tc>
          <w:tcPr>
            <w:tcW w:w="571" w:type="dxa"/>
            <w:tcBorders>
              <w:top w:val="single" w:sz="6" w:space="0" w:color="000000"/>
            </w:tcBorders>
            <w:shd w:val="clear" w:color="auto" w:fill="CCEDFF"/>
          </w:tcPr>
          <w:p>
            <w:pPr>
              <w:pStyle w:val="TableParagraph"/>
              <w:rPr>
                <w:sz w:val="14"/>
              </w:rPr>
            </w:pPr>
          </w:p>
        </w:tc>
        <w:tc>
          <w:tcPr>
            <w:tcW w:w="458" w:type="dxa"/>
          </w:tcPr>
          <w:p>
            <w:pPr>
              <w:pStyle w:val="TableParagraph"/>
              <w:rPr>
                <w:sz w:val="14"/>
              </w:rPr>
            </w:pPr>
          </w:p>
        </w:tc>
        <w:tc>
          <w:tcPr>
            <w:tcW w:w="1273" w:type="dxa"/>
            <w:gridSpan w:val="2"/>
          </w:tcPr>
          <w:p>
            <w:pPr>
              <w:pStyle w:val="TableParagraph"/>
              <w:rPr>
                <w:sz w:val="14"/>
              </w:rPr>
            </w:pPr>
          </w:p>
        </w:tc>
      </w:tr>
      <w:tr>
        <w:trPr>
          <w:trHeight w:val="203" w:hRule="atLeast"/>
        </w:trPr>
        <w:tc>
          <w:tcPr>
            <w:tcW w:w="7762" w:type="dxa"/>
          </w:tcPr>
          <w:p>
            <w:pPr>
              <w:pStyle w:val="TableParagraph"/>
              <w:spacing w:line="180" w:lineRule="exact" w:before="3"/>
              <w:ind w:left="305"/>
              <w:rPr>
                <w:sz w:val="16"/>
              </w:rPr>
            </w:pPr>
            <w:r>
              <w:rPr>
                <w:sz w:val="16"/>
              </w:rPr>
              <w:t>Current</w:t>
            </w:r>
            <w:r>
              <w:rPr>
                <w:spacing w:val="15"/>
                <w:sz w:val="16"/>
              </w:rPr>
              <w:t> </w:t>
            </w:r>
            <w:r>
              <w:rPr>
                <w:spacing w:val="-2"/>
                <w:sz w:val="16"/>
              </w:rPr>
              <w:t>assets</w:t>
            </w:r>
          </w:p>
        </w:tc>
        <w:tc>
          <w:tcPr>
            <w:tcW w:w="1449" w:type="dxa"/>
            <w:gridSpan w:val="2"/>
          </w:tcPr>
          <w:p>
            <w:pPr>
              <w:pStyle w:val="TableParagraph"/>
              <w:spacing w:line="180" w:lineRule="exact" w:before="3"/>
              <w:ind w:left="365"/>
              <w:rPr>
                <w:sz w:val="16"/>
              </w:rPr>
            </w:pPr>
            <w:r>
              <w:rPr>
                <w:spacing w:val="-10"/>
                <w:w w:val="105"/>
                <w:sz w:val="16"/>
              </w:rPr>
              <w:t>$</w:t>
            </w:r>
          </w:p>
        </w:tc>
        <w:tc>
          <w:tcPr>
            <w:tcW w:w="571" w:type="dxa"/>
          </w:tcPr>
          <w:p>
            <w:pPr>
              <w:pStyle w:val="TableParagraph"/>
              <w:spacing w:line="180" w:lineRule="exact" w:before="3"/>
              <w:ind w:right="86"/>
              <w:jc w:val="right"/>
              <w:rPr>
                <w:sz w:val="16"/>
              </w:rPr>
            </w:pPr>
            <w:r>
              <w:rPr>
                <w:spacing w:val="-5"/>
                <w:w w:val="105"/>
                <w:sz w:val="16"/>
              </w:rPr>
              <w:t>853</w:t>
            </w:r>
          </w:p>
        </w:tc>
        <w:tc>
          <w:tcPr>
            <w:tcW w:w="458" w:type="dxa"/>
          </w:tcPr>
          <w:p>
            <w:pPr>
              <w:pStyle w:val="TableParagraph"/>
              <w:rPr>
                <w:sz w:val="14"/>
              </w:rPr>
            </w:pPr>
          </w:p>
        </w:tc>
        <w:tc>
          <w:tcPr>
            <w:tcW w:w="1273" w:type="dxa"/>
            <w:gridSpan w:val="2"/>
          </w:tcPr>
          <w:p>
            <w:pPr>
              <w:pStyle w:val="TableParagraph"/>
              <w:rPr>
                <w:sz w:val="14"/>
              </w:rPr>
            </w:pPr>
          </w:p>
        </w:tc>
      </w:tr>
      <w:tr>
        <w:trPr>
          <w:trHeight w:val="203" w:hRule="atLeast"/>
        </w:trPr>
        <w:tc>
          <w:tcPr>
            <w:tcW w:w="7762" w:type="dxa"/>
            <w:shd w:val="clear" w:color="auto" w:fill="CCEDFF"/>
          </w:tcPr>
          <w:p>
            <w:pPr>
              <w:pStyle w:val="TableParagraph"/>
              <w:spacing w:line="180" w:lineRule="exact" w:before="3"/>
              <w:ind w:left="305"/>
              <w:rPr>
                <w:sz w:val="16"/>
              </w:rPr>
            </w:pPr>
            <w:r>
              <w:rPr>
                <w:sz w:val="16"/>
              </w:rPr>
              <w:t>Noncurrent</w:t>
            </w:r>
            <w:r>
              <w:rPr>
                <w:spacing w:val="22"/>
                <w:sz w:val="16"/>
              </w:rPr>
              <w:t> </w:t>
            </w:r>
            <w:r>
              <w:rPr>
                <w:spacing w:val="-2"/>
                <w:sz w:val="16"/>
              </w:rPr>
              <w:t>assets</w:t>
            </w:r>
          </w:p>
        </w:tc>
        <w:tc>
          <w:tcPr>
            <w:tcW w:w="1449" w:type="dxa"/>
            <w:gridSpan w:val="2"/>
            <w:shd w:val="clear" w:color="auto" w:fill="CCEDFF"/>
          </w:tcPr>
          <w:p>
            <w:pPr>
              <w:pStyle w:val="TableParagraph"/>
              <w:spacing w:line="180" w:lineRule="exact" w:before="3"/>
              <w:ind w:left="365"/>
              <w:rPr>
                <w:sz w:val="16"/>
              </w:rPr>
            </w:pPr>
            <w:r>
              <w:rPr>
                <w:spacing w:val="-10"/>
                <w:w w:val="105"/>
                <w:sz w:val="16"/>
              </w:rPr>
              <w:t>$</w:t>
            </w:r>
          </w:p>
        </w:tc>
        <w:tc>
          <w:tcPr>
            <w:tcW w:w="571" w:type="dxa"/>
            <w:shd w:val="clear" w:color="auto" w:fill="CCEDFF"/>
          </w:tcPr>
          <w:p>
            <w:pPr>
              <w:pStyle w:val="TableParagraph"/>
              <w:spacing w:line="180" w:lineRule="exact" w:before="3"/>
              <w:ind w:right="86"/>
              <w:jc w:val="right"/>
              <w:rPr>
                <w:sz w:val="16"/>
              </w:rPr>
            </w:pPr>
            <w:r>
              <w:rPr>
                <w:spacing w:val="-5"/>
                <w:w w:val="105"/>
                <w:sz w:val="16"/>
              </w:rPr>
              <w:t>725</w:t>
            </w:r>
          </w:p>
        </w:tc>
        <w:tc>
          <w:tcPr>
            <w:tcW w:w="458" w:type="dxa"/>
          </w:tcPr>
          <w:p>
            <w:pPr>
              <w:pStyle w:val="TableParagraph"/>
              <w:rPr>
                <w:sz w:val="14"/>
              </w:rPr>
            </w:pPr>
          </w:p>
        </w:tc>
        <w:tc>
          <w:tcPr>
            <w:tcW w:w="1273" w:type="dxa"/>
            <w:gridSpan w:val="2"/>
          </w:tcPr>
          <w:p>
            <w:pPr>
              <w:pStyle w:val="TableParagraph"/>
              <w:rPr>
                <w:sz w:val="14"/>
              </w:rPr>
            </w:pPr>
          </w:p>
        </w:tc>
      </w:tr>
      <w:tr>
        <w:trPr>
          <w:trHeight w:val="203" w:hRule="atLeast"/>
        </w:trPr>
        <w:tc>
          <w:tcPr>
            <w:tcW w:w="7762" w:type="dxa"/>
          </w:tcPr>
          <w:p>
            <w:pPr>
              <w:pStyle w:val="TableParagraph"/>
              <w:spacing w:line="180" w:lineRule="exact" w:before="3"/>
              <w:ind w:left="305"/>
              <w:rPr>
                <w:sz w:val="16"/>
              </w:rPr>
            </w:pPr>
            <w:r>
              <w:rPr>
                <w:sz w:val="16"/>
              </w:rPr>
              <w:t>Short-term</w:t>
            </w:r>
            <w:r>
              <w:rPr>
                <w:spacing w:val="17"/>
                <w:sz w:val="16"/>
              </w:rPr>
              <w:t> </w:t>
            </w:r>
            <w:r>
              <w:rPr>
                <w:sz w:val="16"/>
              </w:rPr>
              <w:t>borrowings,</w:t>
            </w:r>
            <w:r>
              <w:rPr>
                <w:spacing w:val="17"/>
                <w:sz w:val="16"/>
              </w:rPr>
              <w:t> </w:t>
            </w:r>
            <w:r>
              <w:rPr>
                <w:sz w:val="16"/>
              </w:rPr>
              <w:t>including</w:t>
            </w:r>
            <w:r>
              <w:rPr>
                <w:spacing w:val="20"/>
                <w:sz w:val="16"/>
              </w:rPr>
              <w:t> </w:t>
            </w:r>
            <w:r>
              <w:rPr>
                <w:sz w:val="16"/>
              </w:rPr>
              <w:t>current</w:t>
            </w:r>
            <w:r>
              <w:rPr>
                <w:spacing w:val="17"/>
                <w:sz w:val="16"/>
              </w:rPr>
              <w:t> </w:t>
            </w:r>
            <w:r>
              <w:rPr>
                <w:sz w:val="16"/>
              </w:rPr>
              <w:t>portion</w:t>
            </w:r>
            <w:r>
              <w:rPr>
                <w:spacing w:val="17"/>
                <w:sz w:val="16"/>
              </w:rPr>
              <w:t> </w:t>
            </w:r>
            <w:r>
              <w:rPr>
                <w:sz w:val="16"/>
              </w:rPr>
              <w:t>of</w:t>
            </w:r>
            <w:r>
              <w:rPr>
                <w:spacing w:val="18"/>
                <w:sz w:val="16"/>
              </w:rPr>
              <w:t> </w:t>
            </w:r>
            <w:r>
              <w:rPr>
                <w:sz w:val="16"/>
              </w:rPr>
              <w:t>long-term</w:t>
            </w:r>
            <w:r>
              <w:rPr>
                <w:spacing w:val="17"/>
                <w:sz w:val="16"/>
              </w:rPr>
              <w:t> </w:t>
            </w:r>
            <w:r>
              <w:rPr>
                <w:spacing w:val="-4"/>
                <w:sz w:val="16"/>
              </w:rPr>
              <w:t>debt</w:t>
            </w:r>
          </w:p>
        </w:tc>
        <w:tc>
          <w:tcPr>
            <w:tcW w:w="1449" w:type="dxa"/>
            <w:gridSpan w:val="2"/>
          </w:tcPr>
          <w:p>
            <w:pPr>
              <w:pStyle w:val="TableParagraph"/>
              <w:spacing w:line="180" w:lineRule="exact" w:before="3"/>
              <w:ind w:left="365"/>
              <w:rPr>
                <w:sz w:val="16"/>
              </w:rPr>
            </w:pPr>
            <w:r>
              <w:rPr>
                <w:spacing w:val="-10"/>
                <w:w w:val="105"/>
                <w:sz w:val="16"/>
              </w:rPr>
              <w:t>$</w:t>
            </w:r>
          </w:p>
        </w:tc>
        <w:tc>
          <w:tcPr>
            <w:tcW w:w="571" w:type="dxa"/>
          </w:tcPr>
          <w:p>
            <w:pPr>
              <w:pStyle w:val="TableParagraph"/>
              <w:spacing w:line="180" w:lineRule="exact" w:before="3"/>
              <w:ind w:right="86"/>
              <w:jc w:val="right"/>
              <w:rPr>
                <w:sz w:val="16"/>
              </w:rPr>
            </w:pPr>
            <w:r>
              <w:rPr>
                <w:spacing w:val="-5"/>
                <w:w w:val="105"/>
                <w:sz w:val="16"/>
              </w:rPr>
              <w:t>178</w:t>
            </w:r>
          </w:p>
        </w:tc>
        <w:tc>
          <w:tcPr>
            <w:tcW w:w="458" w:type="dxa"/>
          </w:tcPr>
          <w:p>
            <w:pPr>
              <w:pStyle w:val="TableParagraph"/>
              <w:rPr>
                <w:sz w:val="14"/>
              </w:rPr>
            </w:pPr>
          </w:p>
        </w:tc>
        <w:tc>
          <w:tcPr>
            <w:tcW w:w="1273" w:type="dxa"/>
            <w:gridSpan w:val="2"/>
          </w:tcPr>
          <w:p>
            <w:pPr>
              <w:pStyle w:val="TableParagraph"/>
              <w:rPr>
                <w:sz w:val="14"/>
              </w:rPr>
            </w:pPr>
          </w:p>
        </w:tc>
      </w:tr>
      <w:tr>
        <w:trPr>
          <w:trHeight w:val="203" w:hRule="atLeast"/>
        </w:trPr>
        <w:tc>
          <w:tcPr>
            <w:tcW w:w="7762" w:type="dxa"/>
            <w:shd w:val="clear" w:color="auto" w:fill="CCEDFF"/>
          </w:tcPr>
          <w:p>
            <w:pPr>
              <w:pStyle w:val="TableParagraph"/>
              <w:spacing w:line="180" w:lineRule="exact" w:before="3"/>
              <w:ind w:left="305"/>
              <w:rPr>
                <w:sz w:val="16"/>
              </w:rPr>
            </w:pPr>
            <w:r>
              <w:rPr>
                <w:w w:val="105"/>
                <w:sz w:val="16"/>
              </w:rPr>
              <w:t>Other</w:t>
            </w:r>
            <w:r>
              <w:rPr>
                <w:spacing w:val="-10"/>
                <w:w w:val="105"/>
                <w:sz w:val="16"/>
              </w:rPr>
              <w:t> </w:t>
            </w:r>
            <w:r>
              <w:rPr>
                <w:w w:val="105"/>
                <w:sz w:val="16"/>
              </w:rPr>
              <w:t>current</w:t>
            </w:r>
            <w:r>
              <w:rPr>
                <w:spacing w:val="-9"/>
                <w:w w:val="105"/>
                <w:sz w:val="16"/>
              </w:rPr>
              <w:t> </w:t>
            </w:r>
            <w:r>
              <w:rPr>
                <w:spacing w:val="-2"/>
                <w:w w:val="105"/>
                <w:sz w:val="16"/>
              </w:rPr>
              <w:t>liabilities</w:t>
            </w:r>
          </w:p>
        </w:tc>
        <w:tc>
          <w:tcPr>
            <w:tcW w:w="1449" w:type="dxa"/>
            <w:gridSpan w:val="2"/>
            <w:shd w:val="clear" w:color="auto" w:fill="CCEDFF"/>
          </w:tcPr>
          <w:p>
            <w:pPr>
              <w:pStyle w:val="TableParagraph"/>
              <w:spacing w:line="180" w:lineRule="exact" w:before="3"/>
              <w:ind w:left="365"/>
              <w:rPr>
                <w:sz w:val="16"/>
              </w:rPr>
            </w:pPr>
            <w:r>
              <w:rPr>
                <w:spacing w:val="-10"/>
                <w:w w:val="105"/>
                <w:sz w:val="16"/>
              </w:rPr>
              <w:t>$</w:t>
            </w:r>
          </w:p>
        </w:tc>
        <w:tc>
          <w:tcPr>
            <w:tcW w:w="571" w:type="dxa"/>
            <w:shd w:val="clear" w:color="auto" w:fill="CCEDFF"/>
          </w:tcPr>
          <w:p>
            <w:pPr>
              <w:pStyle w:val="TableParagraph"/>
              <w:spacing w:line="180" w:lineRule="exact" w:before="3"/>
              <w:ind w:right="86"/>
              <w:jc w:val="right"/>
              <w:rPr>
                <w:sz w:val="16"/>
              </w:rPr>
            </w:pPr>
            <w:r>
              <w:rPr>
                <w:spacing w:val="-5"/>
                <w:w w:val="105"/>
                <w:sz w:val="16"/>
              </w:rPr>
              <w:t>337</w:t>
            </w:r>
          </w:p>
        </w:tc>
        <w:tc>
          <w:tcPr>
            <w:tcW w:w="458" w:type="dxa"/>
          </w:tcPr>
          <w:p>
            <w:pPr>
              <w:pStyle w:val="TableParagraph"/>
              <w:rPr>
                <w:sz w:val="14"/>
              </w:rPr>
            </w:pPr>
          </w:p>
        </w:tc>
        <w:tc>
          <w:tcPr>
            <w:tcW w:w="1273" w:type="dxa"/>
            <w:gridSpan w:val="2"/>
          </w:tcPr>
          <w:p>
            <w:pPr>
              <w:pStyle w:val="TableParagraph"/>
              <w:rPr>
                <w:sz w:val="14"/>
              </w:rPr>
            </w:pPr>
          </w:p>
        </w:tc>
      </w:tr>
      <w:tr>
        <w:trPr>
          <w:trHeight w:val="203" w:hRule="atLeast"/>
        </w:trPr>
        <w:tc>
          <w:tcPr>
            <w:tcW w:w="7762" w:type="dxa"/>
          </w:tcPr>
          <w:p>
            <w:pPr>
              <w:pStyle w:val="TableParagraph"/>
              <w:spacing w:line="180" w:lineRule="exact" w:before="3"/>
              <w:ind w:left="305"/>
              <w:rPr>
                <w:sz w:val="16"/>
              </w:rPr>
            </w:pPr>
            <w:r>
              <w:rPr>
                <w:sz w:val="16"/>
              </w:rPr>
              <w:t>Long-term</w:t>
            </w:r>
            <w:r>
              <w:rPr>
                <w:spacing w:val="21"/>
                <w:sz w:val="16"/>
              </w:rPr>
              <w:t> </w:t>
            </w:r>
            <w:r>
              <w:rPr>
                <w:spacing w:val="-4"/>
                <w:sz w:val="16"/>
              </w:rPr>
              <w:t>debt</w:t>
            </w:r>
          </w:p>
        </w:tc>
        <w:tc>
          <w:tcPr>
            <w:tcW w:w="1449" w:type="dxa"/>
            <w:gridSpan w:val="2"/>
          </w:tcPr>
          <w:p>
            <w:pPr>
              <w:pStyle w:val="TableParagraph"/>
              <w:spacing w:line="180" w:lineRule="exact" w:before="3"/>
              <w:ind w:left="365"/>
              <w:rPr>
                <w:sz w:val="16"/>
              </w:rPr>
            </w:pPr>
            <w:r>
              <w:rPr>
                <w:spacing w:val="-10"/>
                <w:w w:val="105"/>
                <w:sz w:val="16"/>
              </w:rPr>
              <w:t>$</w:t>
            </w:r>
          </w:p>
        </w:tc>
        <w:tc>
          <w:tcPr>
            <w:tcW w:w="571" w:type="dxa"/>
          </w:tcPr>
          <w:p>
            <w:pPr>
              <w:pStyle w:val="TableParagraph"/>
              <w:spacing w:line="180" w:lineRule="exact" w:before="3"/>
              <w:ind w:right="86"/>
              <w:jc w:val="right"/>
              <w:rPr>
                <w:sz w:val="16"/>
              </w:rPr>
            </w:pPr>
            <w:r>
              <w:rPr>
                <w:spacing w:val="-10"/>
                <w:w w:val="105"/>
                <w:sz w:val="16"/>
              </w:rPr>
              <w:t>6</w:t>
            </w:r>
          </w:p>
        </w:tc>
        <w:tc>
          <w:tcPr>
            <w:tcW w:w="458" w:type="dxa"/>
          </w:tcPr>
          <w:p>
            <w:pPr>
              <w:pStyle w:val="TableParagraph"/>
              <w:rPr>
                <w:sz w:val="14"/>
              </w:rPr>
            </w:pPr>
          </w:p>
        </w:tc>
        <w:tc>
          <w:tcPr>
            <w:tcW w:w="1273" w:type="dxa"/>
            <w:gridSpan w:val="2"/>
          </w:tcPr>
          <w:p>
            <w:pPr>
              <w:pStyle w:val="TableParagraph"/>
              <w:rPr>
                <w:sz w:val="14"/>
              </w:rPr>
            </w:pPr>
          </w:p>
        </w:tc>
      </w:tr>
      <w:tr>
        <w:trPr>
          <w:trHeight w:val="203" w:hRule="atLeast"/>
        </w:trPr>
        <w:tc>
          <w:tcPr>
            <w:tcW w:w="7762" w:type="dxa"/>
            <w:shd w:val="clear" w:color="auto" w:fill="CCEDFF"/>
          </w:tcPr>
          <w:p>
            <w:pPr>
              <w:pStyle w:val="TableParagraph"/>
              <w:spacing w:line="180" w:lineRule="exact" w:before="3"/>
              <w:ind w:left="305"/>
              <w:rPr>
                <w:sz w:val="16"/>
              </w:rPr>
            </w:pPr>
            <w:r>
              <w:rPr>
                <w:sz w:val="16"/>
              </w:rPr>
              <w:t>Other</w:t>
            </w:r>
            <w:r>
              <w:rPr>
                <w:spacing w:val="15"/>
                <w:sz w:val="16"/>
              </w:rPr>
              <w:t> </w:t>
            </w:r>
            <w:r>
              <w:rPr>
                <w:sz w:val="16"/>
              </w:rPr>
              <w:t>long-term</w:t>
            </w:r>
            <w:r>
              <w:rPr>
                <w:spacing w:val="16"/>
                <w:sz w:val="16"/>
              </w:rPr>
              <w:t> </w:t>
            </w:r>
            <w:r>
              <w:rPr>
                <w:spacing w:val="-2"/>
                <w:sz w:val="16"/>
              </w:rPr>
              <w:t>liabilities</w:t>
            </w:r>
          </w:p>
        </w:tc>
        <w:tc>
          <w:tcPr>
            <w:tcW w:w="1449" w:type="dxa"/>
            <w:gridSpan w:val="2"/>
            <w:shd w:val="clear" w:color="auto" w:fill="CCEDFF"/>
          </w:tcPr>
          <w:p>
            <w:pPr>
              <w:pStyle w:val="TableParagraph"/>
              <w:spacing w:line="180" w:lineRule="exact" w:before="3"/>
              <w:ind w:left="365"/>
              <w:rPr>
                <w:sz w:val="16"/>
              </w:rPr>
            </w:pPr>
            <w:r>
              <w:rPr>
                <w:spacing w:val="-10"/>
                <w:w w:val="105"/>
                <w:sz w:val="16"/>
              </w:rPr>
              <w:t>$</w:t>
            </w:r>
          </w:p>
        </w:tc>
        <w:tc>
          <w:tcPr>
            <w:tcW w:w="571" w:type="dxa"/>
            <w:shd w:val="clear" w:color="auto" w:fill="CCEDFF"/>
          </w:tcPr>
          <w:p>
            <w:pPr>
              <w:pStyle w:val="TableParagraph"/>
              <w:spacing w:line="180" w:lineRule="exact" w:before="3"/>
              <w:ind w:right="86"/>
              <w:jc w:val="right"/>
              <w:rPr>
                <w:sz w:val="16"/>
              </w:rPr>
            </w:pPr>
            <w:r>
              <w:rPr>
                <w:spacing w:val="-4"/>
                <w:w w:val="105"/>
                <w:sz w:val="16"/>
              </w:rPr>
              <w:t>1,499</w:t>
            </w:r>
          </w:p>
        </w:tc>
        <w:tc>
          <w:tcPr>
            <w:tcW w:w="458" w:type="dxa"/>
          </w:tcPr>
          <w:p>
            <w:pPr>
              <w:pStyle w:val="TableParagraph"/>
              <w:rPr>
                <w:sz w:val="14"/>
              </w:rPr>
            </w:pPr>
          </w:p>
        </w:tc>
        <w:tc>
          <w:tcPr>
            <w:tcW w:w="1273" w:type="dxa"/>
            <w:gridSpan w:val="2"/>
          </w:tcPr>
          <w:p>
            <w:pPr>
              <w:pStyle w:val="TableParagraph"/>
              <w:rPr>
                <w:sz w:val="14"/>
              </w:rPr>
            </w:pPr>
          </w:p>
        </w:tc>
      </w:tr>
      <w:tr>
        <w:trPr>
          <w:trHeight w:val="203" w:hRule="atLeast"/>
        </w:trPr>
        <w:tc>
          <w:tcPr>
            <w:tcW w:w="7762" w:type="dxa"/>
          </w:tcPr>
          <w:p>
            <w:pPr>
              <w:pStyle w:val="TableParagraph"/>
              <w:spacing w:line="180" w:lineRule="exact" w:before="3"/>
              <w:ind w:left="305"/>
              <w:rPr>
                <w:sz w:val="16"/>
              </w:rPr>
            </w:pPr>
            <w:r>
              <w:rPr>
                <w:sz w:val="16"/>
              </w:rPr>
              <w:t>Non-controlling</w:t>
            </w:r>
            <w:r>
              <w:rPr>
                <w:spacing w:val="31"/>
                <w:sz w:val="16"/>
              </w:rPr>
              <w:t> </w:t>
            </w:r>
            <w:r>
              <w:rPr>
                <w:spacing w:val="-2"/>
                <w:sz w:val="16"/>
              </w:rPr>
              <w:t>interest</w:t>
            </w:r>
          </w:p>
        </w:tc>
        <w:tc>
          <w:tcPr>
            <w:tcW w:w="1449" w:type="dxa"/>
            <w:gridSpan w:val="2"/>
          </w:tcPr>
          <w:p>
            <w:pPr>
              <w:pStyle w:val="TableParagraph"/>
              <w:spacing w:line="180" w:lineRule="exact" w:before="3"/>
              <w:ind w:left="365"/>
              <w:rPr>
                <w:sz w:val="16"/>
              </w:rPr>
            </w:pPr>
            <w:r>
              <w:rPr>
                <w:spacing w:val="-10"/>
                <w:w w:val="105"/>
                <w:sz w:val="16"/>
              </w:rPr>
              <w:t>$</w:t>
            </w:r>
          </w:p>
        </w:tc>
        <w:tc>
          <w:tcPr>
            <w:tcW w:w="571" w:type="dxa"/>
          </w:tcPr>
          <w:p>
            <w:pPr>
              <w:pStyle w:val="TableParagraph"/>
              <w:spacing w:line="180" w:lineRule="exact" w:before="3"/>
              <w:ind w:right="86"/>
              <w:jc w:val="right"/>
              <w:rPr>
                <w:sz w:val="16"/>
              </w:rPr>
            </w:pPr>
            <w:r>
              <w:rPr>
                <w:spacing w:val="-10"/>
                <w:w w:val="105"/>
                <w:sz w:val="16"/>
              </w:rPr>
              <w:t>9</w:t>
            </w:r>
          </w:p>
        </w:tc>
        <w:tc>
          <w:tcPr>
            <w:tcW w:w="458" w:type="dxa"/>
          </w:tcPr>
          <w:p>
            <w:pPr>
              <w:pStyle w:val="TableParagraph"/>
              <w:rPr>
                <w:sz w:val="14"/>
              </w:rPr>
            </w:pPr>
          </w:p>
        </w:tc>
        <w:tc>
          <w:tcPr>
            <w:tcW w:w="1273" w:type="dxa"/>
            <w:gridSpan w:val="2"/>
          </w:tcPr>
          <w:p>
            <w:pPr>
              <w:pStyle w:val="TableParagraph"/>
              <w:rPr>
                <w:sz w:val="14"/>
              </w:rPr>
            </w:pPr>
          </w:p>
        </w:tc>
      </w:tr>
      <w:tr>
        <w:trPr>
          <w:trHeight w:val="203" w:hRule="atLeast"/>
        </w:trPr>
        <w:tc>
          <w:tcPr>
            <w:tcW w:w="7762" w:type="dxa"/>
            <w:shd w:val="clear" w:color="auto" w:fill="CCEDFF"/>
          </w:tcPr>
          <w:p>
            <w:pPr>
              <w:pStyle w:val="TableParagraph"/>
              <w:rPr>
                <w:sz w:val="14"/>
              </w:rPr>
            </w:pPr>
          </w:p>
        </w:tc>
        <w:tc>
          <w:tcPr>
            <w:tcW w:w="1449" w:type="dxa"/>
            <w:gridSpan w:val="2"/>
            <w:shd w:val="clear" w:color="auto" w:fill="CCEDFF"/>
          </w:tcPr>
          <w:p>
            <w:pPr>
              <w:pStyle w:val="TableParagraph"/>
              <w:rPr>
                <w:sz w:val="14"/>
              </w:rPr>
            </w:pPr>
          </w:p>
        </w:tc>
        <w:tc>
          <w:tcPr>
            <w:tcW w:w="571" w:type="dxa"/>
            <w:shd w:val="clear" w:color="auto" w:fill="CCEDFF"/>
          </w:tcPr>
          <w:p>
            <w:pPr>
              <w:pStyle w:val="TableParagraph"/>
              <w:rPr>
                <w:sz w:val="14"/>
              </w:rPr>
            </w:pPr>
          </w:p>
        </w:tc>
        <w:tc>
          <w:tcPr>
            <w:tcW w:w="458" w:type="dxa"/>
          </w:tcPr>
          <w:p>
            <w:pPr>
              <w:pStyle w:val="TableParagraph"/>
              <w:rPr>
                <w:sz w:val="14"/>
              </w:rPr>
            </w:pPr>
          </w:p>
        </w:tc>
        <w:tc>
          <w:tcPr>
            <w:tcW w:w="1273" w:type="dxa"/>
            <w:gridSpan w:val="2"/>
          </w:tcPr>
          <w:p>
            <w:pPr>
              <w:pStyle w:val="TableParagraph"/>
              <w:rPr>
                <w:sz w:val="14"/>
              </w:rPr>
            </w:pPr>
          </w:p>
        </w:tc>
      </w:tr>
    </w:tbl>
    <w:p>
      <w:pPr>
        <w:pStyle w:val="BodyText"/>
        <w:spacing w:before="20"/>
        <w:ind w:left="156"/>
      </w:pPr>
      <w:r>
        <w:rPr/>
        <mc:AlternateContent>
          <mc:Choice Requires="wps">
            <w:drawing>
              <wp:anchor distT="0" distB="0" distL="0" distR="0" allowOverlap="1" layoutInCell="1" locked="0" behindDoc="1" simplePos="0" relativeHeight="487679488">
                <wp:simplePos x="0" y="0"/>
                <wp:positionH relativeFrom="page">
                  <wp:posOffset>226488</wp:posOffset>
                </wp:positionH>
                <wp:positionV relativeFrom="paragraph">
                  <wp:posOffset>140352</wp:posOffset>
                </wp:positionV>
                <wp:extent cx="6212840" cy="154305"/>
                <wp:effectExtent l="0" t="0" r="0" b="0"/>
                <wp:wrapTopAndBottom/>
                <wp:docPr id="363" name="Group 363"/>
                <wp:cNvGraphicFramePr>
                  <a:graphicFrameLocks/>
                </wp:cNvGraphicFramePr>
                <a:graphic>
                  <a:graphicData uri="http://schemas.microsoft.com/office/word/2010/wordprocessingGroup">
                    <wpg:wgp>
                      <wpg:cNvPr id="363" name="Group 363"/>
                      <wpg:cNvGrpSpPr/>
                      <wpg:grpSpPr>
                        <a:xfrm>
                          <a:off x="0" y="0"/>
                          <a:ext cx="6212840" cy="154305"/>
                          <a:chExt cx="6212840" cy="154305"/>
                        </a:xfrm>
                      </wpg:grpSpPr>
                      <wps:wsp>
                        <wps:cNvPr id="364" name="Graphic 364"/>
                        <wps:cNvSpPr/>
                        <wps:spPr>
                          <a:xfrm>
                            <a:off x="0" y="0"/>
                            <a:ext cx="5096510" cy="154305"/>
                          </a:xfrm>
                          <a:custGeom>
                            <a:avLst/>
                            <a:gdLst/>
                            <a:ahLst/>
                            <a:cxnLst/>
                            <a:rect l="l" t="t" r="r" b="b"/>
                            <a:pathLst>
                              <a:path w="5096510" h="154305">
                                <a:moveTo>
                                  <a:pt x="0" y="0"/>
                                </a:moveTo>
                                <a:lnTo>
                                  <a:pt x="5095991" y="0"/>
                                </a:lnTo>
                                <a:lnTo>
                                  <a:pt x="5095991"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365" name="Graphic 365"/>
                        <wps:cNvSpPr/>
                        <wps:spPr>
                          <a:xfrm>
                            <a:off x="-9" y="129428"/>
                            <a:ext cx="5096510" cy="24765"/>
                          </a:xfrm>
                          <a:custGeom>
                            <a:avLst/>
                            <a:gdLst/>
                            <a:ahLst/>
                            <a:cxnLst/>
                            <a:rect l="l" t="t" r="r" b="b"/>
                            <a:pathLst>
                              <a:path w="5096510" h="24765">
                                <a:moveTo>
                                  <a:pt x="5095989" y="16179"/>
                                </a:moveTo>
                                <a:lnTo>
                                  <a:pt x="0" y="16179"/>
                                </a:lnTo>
                                <a:lnTo>
                                  <a:pt x="0" y="24269"/>
                                </a:lnTo>
                                <a:lnTo>
                                  <a:pt x="5095989" y="24269"/>
                                </a:lnTo>
                                <a:lnTo>
                                  <a:pt x="5095989" y="16179"/>
                                </a:lnTo>
                                <a:close/>
                              </a:path>
                              <a:path w="5096510" h="24765">
                                <a:moveTo>
                                  <a:pt x="5095989" y="0"/>
                                </a:moveTo>
                                <a:lnTo>
                                  <a:pt x="0" y="0"/>
                                </a:lnTo>
                                <a:lnTo>
                                  <a:pt x="0" y="8089"/>
                                </a:lnTo>
                                <a:lnTo>
                                  <a:pt x="5095989" y="8089"/>
                                </a:lnTo>
                                <a:lnTo>
                                  <a:pt x="5095989"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5095991" y="0"/>
                            <a:ext cx="64769" cy="154305"/>
                          </a:xfrm>
                          <a:custGeom>
                            <a:avLst/>
                            <a:gdLst/>
                            <a:ahLst/>
                            <a:cxnLst/>
                            <a:rect l="l" t="t" r="r" b="b"/>
                            <a:pathLst>
                              <a:path w="64769" h="154305">
                                <a:moveTo>
                                  <a:pt x="0" y="0"/>
                                </a:moveTo>
                                <a:lnTo>
                                  <a:pt x="64711" y="0"/>
                                </a:lnTo>
                                <a:lnTo>
                                  <a:pt x="64711"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367" name="Graphic 367"/>
                        <wps:cNvSpPr/>
                        <wps:spPr>
                          <a:xfrm>
                            <a:off x="5095980" y="129428"/>
                            <a:ext cx="64769" cy="24765"/>
                          </a:xfrm>
                          <a:custGeom>
                            <a:avLst/>
                            <a:gdLst/>
                            <a:ahLst/>
                            <a:cxnLst/>
                            <a:rect l="l" t="t" r="r" b="b"/>
                            <a:pathLst>
                              <a:path w="64769" h="24765">
                                <a:moveTo>
                                  <a:pt x="64719" y="16179"/>
                                </a:moveTo>
                                <a:lnTo>
                                  <a:pt x="0" y="16179"/>
                                </a:lnTo>
                                <a:lnTo>
                                  <a:pt x="0" y="24269"/>
                                </a:lnTo>
                                <a:lnTo>
                                  <a:pt x="64719" y="24269"/>
                                </a:lnTo>
                                <a:lnTo>
                                  <a:pt x="64719" y="16179"/>
                                </a:lnTo>
                                <a:close/>
                              </a:path>
                              <a:path w="64769" h="24765">
                                <a:moveTo>
                                  <a:pt x="64719" y="0"/>
                                </a:moveTo>
                                <a:lnTo>
                                  <a:pt x="0" y="0"/>
                                </a:lnTo>
                                <a:lnTo>
                                  <a:pt x="0" y="8089"/>
                                </a:lnTo>
                                <a:lnTo>
                                  <a:pt x="64719" y="8089"/>
                                </a:lnTo>
                                <a:lnTo>
                                  <a:pt x="64719"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5160702" y="0"/>
                            <a:ext cx="64769" cy="154305"/>
                          </a:xfrm>
                          <a:custGeom>
                            <a:avLst/>
                            <a:gdLst/>
                            <a:ahLst/>
                            <a:cxnLst/>
                            <a:rect l="l" t="t" r="r" b="b"/>
                            <a:pathLst>
                              <a:path w="64769" h="154305">
                                <a:moveTo>
                                  <a:pt x="0" y="0"/>
                                </a:moveTo>
                                <a:lnTo>
                                  <a:pt x="64711" y="0"/>
                                </a:lnTo>
                                <a:lnTo>
                                  <a:pt x="64711"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369" name="Graphic 369"/>
                        <wps:cNvSpPr/>
                        <wps:spPr>
                          <a:xfrm>
                            <a:off x="5160699" y="129428"/>
                            <a:ext cx="64769" cy="24765"/>
                          </a:xfrm>
                          <a:custGeom>
                            <a:avLst/>
                            <a:gdLst/>
                            <a:ahLst/>
                            <a:cxnLst/>
                            <a:rect l="l" t="t" r="r" b="b"/>
                            <a:pathLst>
                              <a:path w="64769" h="24765">
                                <a:moveTo>
                                  <a:pt x="64706" y="16179"/>
                                </a:moveTo>
                                <a:lnTo>
                                  <a:pt x="0" y="16179"/>
                                </a:lnTo>
                                <a:lnTo>
                                  <a:pt x="0" y="24269"/>
                                </a:lnTo>
                                <a:lnTo>
                                  <a:pt x="64706" y="24269"/>
                                </a:lnTo>
                                <a:lnTo>
                                  <a:pt x="64706" y="16179"/>
                                </a:lnTo>
                                <a:close/>
                              </a:path>
                              <a:path w="64769" h="24765">
                                <a:moveTo>
                                  <a:pt x="64706" y="0"/>
                                </a:moveTo>
                                <a:lnTo>
                                  <a:pt x="0" y="0"/>
                                </a:lnTo>
                                <a:lnTo>
                                  <a:pt x="0" y="8089"/>
                                </a:lnTo>
                                <a:lnTo>
                                  <a:pt x="64706" y="8089"/>
                                </a:lnTo>
                                <a:lnTo>
                                  <a:pt x="64706"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5225413" y="0"/>
                            <a:ext cx="930275" cy="154305"/>
                          </a:xfrm>
                          <a:custGeom>
                            <a:avLst/>
                            <a:gdLst/>
                            <a:ahLst/>
                            <a:cxnLst/>
                            <a:rect l="l" t="t" r="r" b="b"/>
                            <a:pathLst>
                              <a:path w="930275" h="154305">
                                <a:moveTo>
                                  <a:pt x="0" y="0"/>
                                </a:moveTo>
                                <a:lnTo>
                                  <a:pt x="930220" y="0"/>
                                </a:lnTo>
                                <a:lnTo>
                                  <a:pt x="930220"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371" name="Graphic 371"/>
                        <wps:cNvSpPr/>
                        <wps:spPr>
                          <a:xfrm>
                            <a:off x="5225405" y="129428"/>
                            <a:ext cx="930275" cy="24765"/>
                          </a:xfrm>
                          <a:custGeom>
                            <a:avLst/>
                            <a:gdLst/>
                            <a:ahLst/>
                            <a:cxnLst/>
                            <a:rect l="l" t="t" r="r" b="b"/>
                            <a:pathLst>
                              <a:path w="930275" h="24765">
                                <a:moveTo>
                                  <a:pt x="930224" y="16179"/>
                                </a:moveTo>
                                <a:lnTo>
                                  <a:pt x="0" y="16179"/>
                                </a:lnTo>
                                <a:lnTo>
                                  <a:pt x="0" y="24269"/>
                                </a:lnTo>
                                <a:lnTo>
                                  <a:pt x="930224" y="24269"/>
                                </a:lnTo>
                                <a:lnTo>
                                  <a:pt x="930224" y="16179"/>
                                </a:lnTo>
                                <a:close/>
                              </a:path>
                              <a:path w="930275" h="24765">
                                <a:moveTo>
                                  <a:pt x="930224" y="0"/>
                                </a:moveTo>
                                <a:lnTo>
                                  <a:pt x="0" y="0"/>
                                </a:lnTo>
                                <a:lnTo>
                                  <a:pt x="0" y="8089"/>
                                </a:lnTo>
                                <a:lnTo>
                                  <a:pt x="930224" y="8089"/>
                                </a:lnTo>
                                <a:lnTo>
                                  <a:pt x="930224"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6155634" y="0"/>
                            <a:ext cx="57150" cy="154305"/>
                          </a:xfrm>
                          <a:custGeom>
                            <a:avLst/>
                            <a:gdLst/>
                            <a:ahLst/>
                            <a:cxnLst/>
                            <a:rect l="l" t="t" r="r" b="b"/>
                            <a:pathLst>
                              <a:path w="57150" h="154305">
                                <a:moveTo>
                                  <a:pt x="0" y="0"/>
                                </a:moveTo>
                                <a:lnTo>
                                  <a:pt x="56622" y="0"/>
                                </a:lnTo>
                                <a:lnTo>
                                  <a:pt x="56622"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373" name="Graphic 373"/>
                        <wps:cNvSpPr/>
                        <wps:spPr>
                          <a:xfrm>
                            <a:off x="6155630" y="129428"/>
                            <a:ext cx="57150" cy="24765"/>
                          </a:xfrm>
                          <a:custGeom>
                            <a:avLst/>
                            <a:gdLst/>
                            <a:ahLst/>
                            <a:cxnLst/>
                            <a:rect l="l" t="t" r="r" b="b"/>
                            <a:pathLst>
                              <a:path w="57150" h="24765">
                                <a:moveTo>
                                  <a:pt x="56616" y="16179"/>
                                </a:moveTo>
                                <a:lnTo>
                                  <a:pt x="0" y="16179"/>
                                </a:lnTo>
                                <a:lnTo>
                                  <a:pt x="0" y="24269"/>
                                </a:lnTo>
                                <a:lnTo>
                                  <a:pt x="56616" y="24269"/>
                                </a:lnTo>
                                <a:lnTo>
                                  <a:pt x="56616" y="16179"/>
                                </a:lnTo>
                                <a:close/>
                              </a:path>
                              <a:path w="57150" h="24765">
                                <a:moveTo>
                                  <a:pt x="56616" y="0"/>
                                </a:moveTo>
                                <a:lnTo>
                                  <a:pt x="0" y="0"/>
                                </a:lnTo>
                                <a:lnTo>
                                  <a:pt x="0" y="8089"/>
                                </a:lnTo>
                                <a:lnTo>
                                  <a:pt x="56616" y="8089"/>
                                </a:lnTo>
                                <a:lnTo>
                                  <a:pt x="56616" y="0"/>
                                </a:lnTo>
                                <a:close/>
                              </a:path>
                            </a:pathLst>
                          </a:custGeom>
                          <a:solidFill>
                            <a:srgbClr val="000000"/>
                          </a:solidFill>
                        </wps:spPr>
                        <wps:bodyPr wrap="square" lIns="0" tIns="0" rIns="0" bIns="0" rtlCol="0">
                          <a:prstTxWarp prst="textNoShape">
                            <a:avLst/>
                          </a:prstTxWarp>
                          <a:noAutofit/>
                        </wps:bodyPr>
                      </wps:wsp>
                      <wps:wsp>
                        <wps:cNvPr id="374" name="Textbox 374"/>
                        <wps:cNvSpPr txBox="1"/>
                        <wps:spPr>
                          <a:xfrm>
                            <a:off x="0" y="0"/>
                            <a:ext cx="6212840" cy="137795"/>
                          </a:xfrm>
                          <a:prstGeom prst="rect">
                            <a:avLst/>
                          </a:prstGeom>
                        </wps:spPr>
                        <wps:txbx>
                          <w:txbxContent>
                            <w:p>
                              <w:pPr>
                                <w:tabs>
                                  <w:tab w:pos="8127" w:val="left" w:leader="none"/>
                                  <w:tab w:pos="9693" w:val="right" w:leader="none"/>
                                </w:tabs>
                                <w:spacing w:before="3"/>
                                <w:ind w:left="305" w:right="0" w:firstLine="0"/>
                                <w:jc w:val="left"/>
                                <w:rPr>
                                  <w:sz w:val="16"/>
                                </w:rPr>
                              </w:pPr>
                              <w:r>
                                <w:rPr>
                                  <w:sz w:val="16"/>
                                </w:rPr>
                                <w:t>Intercompany</w:t>
                              </w:r>
                              <w:r>
                                <w:rPr>
                                  <w:spacing w:val="13"/>
                                  <w:sz w:val="16"/>
                                </w:rPr>
                                <w:t> </w:t>
                              </w:r>
                              <w:r>
                                <w:rPr>
                                  <w:sz w:val="16"/>
                                </w:rPr>
                                <w:t>receivables</w:t>
                              </w:r>
                              <w:r>
                                <w:rPr>
                                  <w:spacing w:val="13"/>
                                  <w:sz w:val="16"/>
                                </w:rPr>
                                <w:t> </w:t>
                              </w:r>
                              <w:r>
                                <w:rPr>
                                  <w:sz w:val="16"/>
                                </w:rPr>
                                <w:t>and</w:t>
                              </w:r>
                              <w:r>
                                <w:rPr>
                                  <w:spacing w:val="13"/>
                                  <w:sz w:val="16"/>
                                </w:rPr>
                                <w:t> </w:t>
                              </w:r>
                              <w:r>
                                <w:rPr>
                                  <w:sz w:val="16"/>
                                </w:rPr>
                                <w:t>payables</w:t>
                              </w:r>
                              <w:r>
                                <w:rPr>
                                  <w:spacing w:val="13"/>
                                  <w:sz w:val="16"/>
                                </w:rPr>
                                <w:t> </w:t>
                              </w:r>
                              <w:r>
                                <w:rPr>
                                  <w:sz w:val="16"/>
                                </w:rPr>
                                <w:t>within</w:t>
                              </w:r>
                              <w:r>
                                <w:rPr>
                                  <w:spacing w:val="13"/>
                                  <w:sz w:val="16"/>
                                </w:rPr>
                                <w:t> </w:t>
                              </w:r>
                              <w:r>
                                <w:rPr>
                                  <w:sz w:val="16"/>
                                </w:rPr>
                                <w:t>HSG</w:t>
                              </w:r>
                              <w:r>
                                <w:rPr>
                                  <w:spacing w:val="13"/>
                                  <w:sz w:val="16"/>
                                </w:rPr>
                                <w:t> </w:t>
                              </w:r>
                              <w:r>
                                <w:rPr>
                                  <w:sz w:val="16"/>
                                </w:rPr>
                                <w:t>(included</w:t>
                              </w:r>
                              <w:r>
                                <w:rPr>
                                  <w:spacing w:val="13"/>
                                  <w:sz w:val="16"/>
                                </w:rPr>
                                <w:t> </w:t>
                              </w:r>
                              <w:r>
                                <w:rPr>
                                  <w:sz w:val="16"/>
                                </w:rPr>
                                <w:t>in</w:t>
                              </w:r>
                              <w:r>
                                <w:rPr>
                                  <w:spacing w:val="15"/>
                                  <w:sz w:val="16"/>
                                </w:rPr>
                                <w:t> </w:t>
                              </w:r>
                              <w:r>
                                <w:rPr>
                                  <w:sz w:val="16"/>
                                </w:rPr>
                                <w:t>current</w:t>
                              </w:r>
                              <w:r>
                                <w:rPr>
                                  <w:spacing w:val="13"/>
                                  <w:sz w:val="16"/>
                                </w:rPr>
                                <w:t> </w:t>
                              </w:r>
                              <w:r>
                                <w:rPr>
                                  <w:sz w:val="16"/>
                                </w:rPr>
                                <w:t>assets</w:t>
                              </w:r>
                              <w:r>
                                <w:rPr>
                                  <w:spacing w:val="13"/>
                                  <w:sz w:val="16"/>
                                </w:rPr>
                                <w:t> </w:t>
                              </w:r>
                              <w:r>
                                <w:rPr>
                                  <w:sz w:val="16"/>
                                </w:rPr>
                                <w:t>and</w:t>
                              </w:r>
                              <w:r>
                                <w:rPr>
                                  <w:spacing w:val="13"/>
                                  <w:sz w:val="16"/>
                                </w:rPr>
                                <w:t> </w:t>
                              </w:r>
                              <w:r>
                                <w:rPr>
                                  <w:sz w:val="16"/>
                                </w:rPr>
                                <w:t>other</w:t>
                              </w:r>
                              <w:r>
                                <w:rPr>
                                  <w:spacing w:val="13"/>
                                  <w:sz w:val="16"/>
                                </w:rPr>
                                <w:t> </w:t>
                              </w:r>
                              <w:r>
                                <w:rPr>
                                  <w:sz w:val="16"/>
                                </w:rPr>
                                <w:t>current</w:t>
                              </w:r>
                              <w:r>
                                <w:rPr>
                                  <w:spacing w:val="13"/>
                                  <w:sz w:val="16"/>
                                </w:rPr>
                                <w:t> </w:t>
                              </w:r>
                              <w:r>
                                <w:rPr>
                                  <w:spacing w:val="-2"/>
                                  <w:sz w:val="16"/>
                                </w:rPr>
                                <w:t>liabilities)</w:t>
                              </w:r>
                              <w:r>
                                <w:rPr>
                                  <w:sz w:val="16"/>
                                </w:rPr>
                                <w:tab/>
                              </w:r>
                              <w:r>
                                <w:rPr>
                                  <w:spacing w:val="-10"/>
                                  <w:sz w:val="16"/>
                                </w:rPr>
                                <w:t>$</w:t>
                              </w:r>
                              <w:r>
                                <w:rPr>
                                  <w:sz w:val="16"/>
                                </w:rPr>
                                <w:tab/>
                              </w:r>
                              <w:r>
                                <w:rPr>
                                  <w:spacing w:val="-10"/>
                                  <w:sz w:val="16"/>
                                </w:rPr>
                                <w:t>8</w:t>
                              </w:r>
                            </w:p>
                          </w:txbxContent>
                        </wps:txbx>
                        <wps:bodyPr wrap="square" lIns="0" tIns="0" rIns="0" bIns="0" rtlCol="0">
                          <a:noAutofit/>
                        </wps:bodyPr>
                      </wps:wsp>
                    </wpg:wgp>
                  </a:graphicData>
                </a:graphic>
              </wp:anchor>
            </w:drawing>
          </mc:Choice>
          <mc:Fallback>
            <w:pict>
              <v:group style="position:absolute;margin-left:17.833740pt;margin-top:11.051351pt;width:489.2pt;height:12.15pt;mso-position-horizontal-relative:page;mso-position-vertical-relative:paragraph;z-index:-15636992;mso-wrap-distance-left:0;mso-wrap-distance-right:0" id="docshapegroup362" coordorigin="357,221" coordsize="9784,243">
                <v:rect style="position:absolute;left:356;top:221;width:8026;height:243" id="docshape363" filled="true" fillcolor="#ccedff" stroked="false">
                  <v:fill type="solid"/>
                </v:rect>
                <v:shape style="position:absolute;left:356;top:424;width:8026;height:39" id="docshape364" coordorigin="357,425" coordsize="8026,39" path="m8382,450l357,450,357,463,8382,463,8382,450xm8382,425l357,425,357,438,8382,438,8382,425xe" filled="true" fillcolor="#000000" stroked="false">
                  <v:path arrowok="t"/>
                  <v:fill type="solid"/>
                </v:shape>
                <v:rect style="position:absolute;left:8381;top:221;width:102;height:243" id="docshape365" filled="true" fillcolor="#ccedff" stroked="false">
                  <v:fill type="solid"/>
                </v:rect>
                <v:shape style="position:absolute;left:8381;top:424;width:102;height:39" id="docshape366" coordorigin="8382,425" coordsize="102,39" path="m8484,450l8382,450,8382,463,8484,463,8484,450xm8484,425l8382,425,8382,438,8484,438,8484,425xe" filled="true" fillcolor="#000000" stroked="false">
                  <v:path arrowok="t"/>
                  <v:fill type="solid"/>
                </v:shape>
                <v:rect style="position:absolute;left:8483;top:221;width:102;height:243" id="docshape367" filled="true" fillcolor="#ccedff" stroked="false">
                  <v:fill type="solid"/>
                </v:rect>
                <v:shape style="position:absolute;left:8483;top:424;width:102;height:39" id="docshape368" coordorigin="8484,425" coordsize="102,39" path="m8586,450l8484,450,8484,463,8586,463,8586,450xm8586,425l8484,425,8484,438,8586,438,8586,425xe" filled="true" fillcolor="#000000" stroked="false">
                  <v:path arrowok="t"/>
                  <v:fill type="solid"/>
                </v:shape>
                <v:rect style="position:absolute;left:8585;top:221;width:1465;height:243" id="docshape369" filled="true" fillcolor="#ccedff" stroked="false">
                  <v:fill type="solid"/>
                </v:rect>
                <v:shape style="position:absolute;left:8585;top:424;width:1465;height:39" id="docshape370" coordorigin="8586,425" coordsize="1465,39" path="m10051,450l8586,450,8586,463,10051,463,10051,450xm10051,425l8586,425,8586,438,10051,438,10051,425xe" filled="true" fillcolor="#000000" stroked="false">
                  <v:path arrowok="t"/>
                  <v:fill type="solid"/>
                </v:shape>
                <v:rect style="position:absolute;left:10050;top:221;width:90;height:243" id="docshape371" filled="true" fillcolor="#ccedff" stroked="false">
                  <v:fill type="solid"/>
                </v:rect>
                <v:shape style="position:absolute;left:10050;top:424;width:90;height:39" id="docshape372" coordorigin="10051,425" coordsize="90,39" path="m10140,450l10051,450,10051,463,10140,463,10140,450xm10140,425l10051,425,10051,438,10140,438,10140,425xe" filled="true" fillcolor="#000000" stroked="false">
                  <v:path arrowok="t"/>
                  <v:fill type="solid"/>
                </v:shape>
                <v:shape style="position:absolute;left:356;top:221;width:9784;height:217" type="#_x0000_t202" id="docshape373" filled="false" stroked="false">
                  <v:textbox inset="0,0,0,0">
                    <w:txbxContent>
                      <w:p>
                        <w:pPr>
                          <w:tabs>
                            <w:tab w:pos="8127" w:val="left" w:leader="none"/>
                            <w:tab w:pos="9693" w:val="right" w:leader="none"/>
                          </w:tabs>
                          <w:spacing w:before="3"/>
                          <w:ind w:left="305" w:right="0" w:firstLine="0"/>
                          <w:jc w:val="left"/>
                          <w:rPr>
                            <w:sz w:val="16"/>
                          </w:rPr>
                        </w:pPr>
                        <w:r>
                          <w:rPr>
                            <w:sz w:val="16"/>
                          </w:rPr>
                          <w:t>Intercompany</w:t>
                        </w:r>
                        <w:r>
                          <w:rPr>
                            <w:spacing w:val="13"/>
                            <w:sz w:val="16"/>
                          </w:rPr>
                          <w:t> </w:t>
                        </w:r>
                        <w:r>
                          <w:rPr>
                            <w:sz w:val="16"/>
                          </w:rPr>
                          <w:t>receivables</w:t>
                        </w:r>
                        <w:r>
                          <w:rPr>
                            <w:spacing w:val="13"/>
                            <w:sz w:val="16"/>
                          </w:rPr>
                          <w:t> </w:t>
                        </w:r>
                        <w:r>
                          <w:rPr>
                            <w:sz w:val="16"/>
                          </w:rPr>
                          <w:t>and</w:t>
                        </w:r>
                        <w:r>
                          <w:rPr>
                            <w:spacing w:val="13"/>
                            <w:sz w:val="16"/>
                          </w:rPr>
                          <w:t> </w:t>
                        </w:r>
                        <w:r>
                          <w:rPr>
                            <w:sz w:val="16"/>
                          </w:rPr>
                          <w:t>payables</w:t>
                        </w:r>
                        <w:r>
                          <w:rPr>
                            <w:spacing w:val="13"/>
                            <w:sz w:val="16"/>
                          </w:rPr>
                          <w:t> </w:t>
                        </w:r>
                        <w:r>
                          <w:rPr>
                            <w:sz w:val="16"/>
                          </w:rPr>
                          <w:t>within</w:t>
                        </w:r>
                        <w:r>
                          <w:rPr>
                            <w:spacing w:val="13"/>
                            <w:sz w:val="16"/>
                          </w:rPr>
                          <w:t> </w:t>
                        </w:r>
                        <w:r>
                          <w:rPr>
                            <w:sz w:val="16"/>
                          </w:rPr>
                          <w:t>HSG</w:t>
                        </w:r>
                        <w:r>
                          <w:rPr>
                            <w:spacing w:val="13"/>
                            <w:sz w:val="16"/>
                          </w:rPr>
                          <w:t> </w:t>
                        </w:r>
                        <w:r>
                          <w:rPr>
                            <w:sz w:val="16"/>
                          </w:rPr>
                          <w:t>(included</w:t>
                        </w:r>
                        <w:r>
                          <w:rPr>
                            <w:spacing w:val="13"/>
                            <w:sz w:val="16"/>
                          </w:rPr>
                          <w:t> </w:t>
                        </w:r>
                        <w:r>
                          <w:rPr>
                            <w:sz w:val="16"/>
                          </w:rPr>
                          <w:t>in</w:t>
                        </w:r>
                        <w:r>
                          <w:rPr>
                            <w:spacing w:val="15"/>
                            <w:sz w:val="16"/>
                          </w:rPr>
                          <w:t> </w:t>
                        </w:r>
                        <w:r>
                          <w:rPr>
                            <w:sz w:val="16"/>
                          </w:rPr>
                          <w:t>current</w:t>
                        </w:r>
                        <w:r>
                          <w:rPr>
                            <w:spacing w:val="13"/>
                            <w:sz w:val="16"/>
                          </w:rPr>
                          <w:t> </w:t>
                        </w:r>
                        <w:r>
                          <w:rPr>
                            <w:sz w:val="16"/>
                          </w:rPr>
                          <w:t>assets</w:t>
                        </w:r>
                        <w:r>
                          <w:rPr>
                            <w:spacing w:val="13"/>
                            <w:sz w:val="16"/>
                          </w:rPr>
                          <w:t> </w:t>
                        </w:r>
                        <w:r>
                          <w:rPr>
                            <w:sz w:val="16"/>
                          </w:rPr>
                          <w:t>and</w:t>
                        </w:r>
                        <w:r>
                          <w:rPr>
                            <w:spacing w:val="13"/>
                            <w:sz w:val="16"/>
                          </w:rPr>
                          <w:t> </w:t>
                        </w:r>
                        <w:r>
                          <w:rPr>
                            <w:sz w:val="16"/>
                          </w:rPr>
                          <w:t>other</w:t>
                        </w:r>
                        <w:r>
                          <w:rPr>
                            <w:spacing w:val="13"/>
                            <w:sz w:val="16"/>
                          </w:rPr>
                          <w:t> </w:t>
                        </w:r>
                        <w:r>
                          <w:rPr>
                            <w:sz w:val="16"/>
                          </w:rPr>
                          <w:t>current</w:t>
                        </w:r>
                        <w:r>
                          <w:rPr>
                            <w:spacing w:val="13"/>
                            <w:sz w:val="16"/>
                          </w:rPr>
                          <w:t> </w:t>
                        </w:r>
                        <w:r>
                          <w:rPr>
                            <w:spacing w:val="-2"/>
                            <w:sz w:val="16"/>
                          </w:rPr>
                          <w:t>liabilities)</w:t>
                        </w:r>
                        <w:r>
                          <w:rPr>
                            <w:sz w:val="16"/>
                          </w:rPr>
                          <w:tab/>
                        </w:r>
                        <w:r>
                          <w:rPr>
                            <w:spacing w:val="-10"/>
                            <w:sz w:val="16"/>
                          </w:rPr>
                          <w:t>$</w:t>
                        </w:r>
                        <w:r>
                          <w:rPr>
                            <w:sz w:val="16"/>
                          </w:rPr>
                          <w:tab/>
                        </w:r>
                        <w:r>
                          <w:rPr>
                            <w:spacing w:val="-10"/>
                            <w:sz w:val="16"/>
                          </w:rPr>
                          <w:t>8</w:t>
                        </w:r>
                      </w:p>
                    </w:txbxContent>
                  </v:textbox>
                  <w10:wrap type="none"/>
                </v:shape>
                <w10:wrap type="topAndBottom"/>
              </v:group>
            </w:pict>
          </mc:Fallback>
        </mc:AlternateContent>
      </w:r>
      <w:r>
        <w:rPr>
          <w:w w:val="105"/>
        </w:rPr>
        <w:t>Related</w:t>
      </w:r>
      <w:r>
        <w:rPr>
          <w:spacing w:val="-10"/>
          <w:w w:val="105"/>
        </w:rPr>
        <w:t> </w:t>
      </w:r>
      <w:r>
        <w:rPr>
          <w:w w:val="105"/>
        </w:rPr>
        <w:t>party</w:t>
      </w:r>
      <w:r>
        <w:rPr>
          <w:spacing w:val="-9"/>
          <w:w w:val="105"/>
        </w:rPr>
        <w:t> </w:t>
      </w:r>
      <w:r>
        <w:rPr>
          <w:spacing w:val="-2"/>
          <w:w w:val="105"/>
        </w:rPr>
        <w:t>transactions:</w:t>
      </w:r>
    </w:p>
    <w:p>
      <w:pPr>
        <w:pStyle w:val="BodyText"/>
        <w:spacing w:before="39"/>
        <w:rPr>
          <w:sz w:val="14"/>
        </w:rPr>
      </w:pPr>
    </w:p>
    <w:p>
      <w:pPr>
        <w:spacing w:line="157" w:lineRule="exact" w:before="0"/>
        <w:ind w:left="156" w:right="0" w:firstLine="0"/>
        <w:jc w:val="left"/>
        <w:rPr>
          <w:sz w:val="14"/>
        </w:rPr>
      </w:pPr>
      <w:r>
        <w:rPr>
          <w:sz w:val="14"/>
        </w:rPr>
        <w:t>(1)</w:t>
      </w:r>
      <w:r>
        <w:rPr>
          <w:spacing w:val="35"/>
          <w:sz w:val="14"/>
        </w:rPr>
        <w:t>  </w:t>
      </w:r>
      <w:r>
        <w:rPr>
          <w:sz w:val="14"/>
        </w:rPr>
        <w:t>HSG’s net</w:t>
      </w:r>
      <w:r>
        <w:rPr>
          <w:spacing w:val="-1"/>
          <w:sz w:val="14"/>
        </w:rPr>
        <w:t> </w:t>
      </w:r>
      <w:r>
        <w:rPr>
          <w:sz w:val="14"/>
        </w:rPr>
        <w:t>income for the</w:t>
      </w:r>
      <w:r>
        <w:rPr>
          <w:spacing w:val="-1"/>
          <w:sz w:val="14"/>
        </w:rPr>
        <w:t> </w:t>
      </w:r>
      <w:r>
        <w:rPr>
          <w:sz w:val="14"/>
        </w:rPr>
        <w:t>period ended</w:t>
      </w:r>
      <w:r>
        <w:rPr>
          <w:spacing w:val="-1"/>
          <w:sz w:val="14"/>
        </w:rPr>
        <w:t> </w:t>
      </w:r>
      <w:r>
        <w:rPr>
          <w:sz w:val="14"/>
        </w:rPr>
        <w:t>September</w:t>
      </w:r>
      <w:r>
        <w:rPr>
          <w:spacing w:val="-1"/>
          <w:sz w:val="14"/>
        </w:rPr>
        <w:t> </w:t>
      </w:r>
      <w:r>
        <w:rPr>
          <w:sz w:val="14"/>
        </w:rPr>
        <w:t>8, 2020,</w:t>
      </w:r>
      <w:r>
        <w:rPr>
          <w:spacing w:val="-1"/>
          <w:sz w:val="14"/>
        </w:rPr>
        <w:t> </w:t>
      </w:r>
      <w:r>
        <w:rPr>
          <w:sz w:val="14"/>
        </w:rPr>
        <w:t>included</w:t>
      </w:r>
      <w:r>
        <w:rPr>
          <w:spacing w:val="-1"/>
          <w:sz w:val="14"/>
        </w:rPr>
        <w:t> </w:t>
      </w:r>
      <w:r>
        <w:rPr>
          <w:sz w:val="14"/>
        </w:rPr>
        <w:t>a pre-tax gain</w:t>
      </w:r>
      <w:r>
        <w:rPr>
          <w:spacing w:val="-1"/>
          <w:sz w:val="14"/>
        </w:rPr>
        <w:t> </w:t>
      </w:r>
      <w:r>
        <w:rPr>
          <w:sz w:val="14"/>
        </w:rPr>
        <w:t>recorded in the</w:t>
      </w:r>
      <w:r>
        <w:rPr>
          <w:spacing w:val="-2"/>
          <w:sz w:val="14"/>
        </w:rPr>
        <w:t> </w:t>
      </w:r>
      <w:r>
        <w:rPr>
          <w:sz w:val="14"/>
        </w:rPr>
        <w:t>second</w:t>
      </w:r>
      <w:r>
        <w:rPr>
          <w:spacing w:val="-1"/>
          <w:sz w:val="14"/>
        </w:rPr>
        <w:t> </w:t>
      </w:r>
      <w:r>
        <w:rPr>
          <w:sz w:val="14"/>
        </w:rPr>
        <w:t>quarter</w:t>
      </w:r>
      <w:r>
        <w:rPr>
          <w:spacing w:val="-1"/>
          <w:sz w:val="14"/>
        </w:rPr>
        <w:t> </w:t>
      </w:r>
      <w:r>
        <w:rPr>
          <w:sz w:val="14"/>
        </w:rPr>
        <w:t>of 2020, related to</w:t>
      </w:r>
      <w:r>
        <w:rPr>
          <w:spacing w:val="-1"/>
          <w:sz w:val="14"/>
        </w:rPr>
        <w:t> </w:t>
      </w:r>
      <w:r>
        <w:rPr>
          <w:sz w:val="14"/>
        </w:rPr>
        <w:t>the settlement of</w:t>
      </w:r>
      <w:r>
        <w:rPr>
          <w:spacing w:val="-1"/>
          <w:sz w:val="14"/>
        </w:rPr>
        <w:t> </w:t>
      </w:r>
      <w:r>
        <w:rPr>
          <w:sz w:val="14"/>
        </w:rPr>
        <w:t>a long-term supply</w:t>
      </w:r>
      <w:r>
        <w:rPr>
          <w:spacing w:val="-1"/>
          <w:sz w:val="14"/>
        </w:rPr>
        <w:t> </w:t>
      </w:r>
      <w:r>
        <w:rPr>
          <w:sz w:val="14"/>
        </w:rPr>
        <w:t>agreement of </w:t>
      </w:r>
      <w:r>
        <w:rPr>
          <w:spacing w:val="-2"/>
          <w:sz w:val="14"/>
        </w:rPr>
        <w:t>approximately</w:t>
      </w:r>
    </w:p>
    <w:p>
      <w:pPr>
        <w:spacing w:line="228" w:lineRule="auto" w:before="3"/>
        <w:ind w:left="462" w:right="117" w:firstLine="0"/>
        <w:jc w:val="left"/>
        <w:rPr>
          <w:sz w:val="14"/>
        </w:rPr>
      </w:pPr>
      <w:r>
        <w:rPr>
          <w:sz w:val="14"/>
        </w:rPr>
        <w:t>$165 million, partially offset by an inventory provision of approximately $44 million associated with the settlement of the agreement. Prior to the Redemption, in the</w:t>
      </w:r>
      <w:r>
        <w:rPr>
          <w:spacing w:val="-1"/>
          <w:sz w:val="14"/>
        </w:rPr>
        <w:t> </w:t>
      </w:r>
      <w:r>
        <w:rPr>
          <w:sz w:val="14"/>
        </w:rPr>
        <w:t>third quarter of 2020, HSG</w:t>
      </w:r>
      <w:r>
        <w:rPr>
          <w:spacing w:val="40"/>
          <w:sz w:val="14"/>
        </w:rPr>
        <w:t> </w:t>
      </w:r>
      <w:r>
        <w:rPr>
          <w:sz w:val="14"/>
        </w:rPr>
        <w:t>recorded</w:t>
      </w:r>
      <w:r>
        <w:rPr>
          <w:spacing w:val="-1"/>
          <w:sz w:val="14"/>
        </w:rPr>
        <w:t> </w:t>
      </w:r>
      <w:r>
        <w:rPr>
          <w:sz w:val="14"/>
        </w:rPr>
        <w:t>a</w:t>
      </w:r>
      <w:r>
        <w:rPr>
          <w:spacing w:val="-1"/>
          <w:sz w:val="14"/>
        </w:rPr>
        <w:t> </w:t>
      </w:r>
      <w:r>
        <w:rPr>
          <w:sz w:val="14"/>
        </w:rPr>
        <w:t>pre-tax</w:t>
      </w:r>
      <w:r>
        <w:rPr>
          <w:spacing w:val="-1"/>
          <w:sz w:val="14"/>
        </w:rPr>
        <w:t> </w:t>
      </w:r>
      <w:r>
        <w:rPr>
          <w:sz w:val="14"/>
        </w:rPr>
        <w:t>loss</w:t>
      </w:r>
      <w:r>
        <w:rPr>
          <w:spacing w:val="-1"/>
          <w:sz w:val="14"/>
        </w:rPr>
        <w:t> </w:t>
      </w:r>
      <w:r>
        <w:rPr>
          <w:sz w:val="14"/>
        </w:rPr>
        <w:t>of</w:t>
      </w:r>
      <w:r>
        <w:rPr>
          <w:spacing w:val="-1"/>
          <w:sz w:val="14"/>
        </w:rPr>
        <w:t> </w:t>
      </w:r>
      <w:r>
        <w:rPr>
          <w:sz w:val="14"/>
        </w:rPr>
        <w:t>$200</w:t>
      </w:r>
      <w:r>
        <w:rPr>
          <w:spacing w:val="-1"/>
          <w:sz w:val="14"/>
        </w:rPr>
        <w:t> </w:t>
      </w:r>
      <w:r>
        <w:rPr>
          <w:sz w:val="14"/>
        </w:rPr>
        <w:t>million</w:t>
      </w:r>
      <w:r>
        <w:rPr>
          <w:spacing w:val="-1"/>
          <w:sz w:val="14"/>
        </w:rPr>
        <w:t> </w:t>
      </w:r>
      <w:r>
        <w:rPr>
          <w:sz w:val="14"/>
        </w:rPr>
        <w:t>resulting</w:t>
      </w:r>
      <w:r>
        <w:rPr>
          <w:spacing w:val="-1"/>
          <w:sz w:val="14"/>
        </w:rPr>
        <w:t> </w:t>
      </w:r>
      <w:r>
        <w:rPr>
          <w:sz w:val="14"/>
        </w:rPr>
        <w:t>from</w:t>
      </w:r>
      <w:r>
        <w:rPr>
          <w:spacing w:val="-1"/>
          <w:sz w:val="14"/>
        </w:rPr>
        <w:t> </w:t>
      </w:r>
      <w:r>
        <w:rPr>
          <w:sz w:val="14"/>
        </w:rPr>
        <w:t>the</w:t>
      </w:r>
      <w:r>
        <w:rPr>
          <w:spacing w:val="-1"/>
          <w:sz w:val="14"/>
        </w:rPr>
        <w:t> </w:t>
      </w:r>
      <w:r>
        <w:rPr>
          <w:sz w:val="14"/>
        </w:rPr>
        <w:t>TCS</w:t>
      </w:r>
      <w:r>
        <w:rPr>
          <w:spacing w:val="-1"/>
          <w:sz w:val="14"/>
        </w:rPr>
        <w:t> </w:t>
      </w:r>
      <w:r>
        <w:rPr>
          <w:sz w:val="14"/>
        </w:rPr>
        <w:t>Settlement,</w:t>
      </w:r>
      <w:r>
        <w:rPr>
          <w:spacing w:val="-1"/>
          <w:sz w:val="14"/>
        </w:rPr>
        <w:t> </w:t>
      </w:r>
      <w:r>
        <w:rPr>
          <w:sz w:val="14"/>
        </w:rPr>
        <w:t>of</w:t>
      </w:r>
      <w:r>
        <w:rPr>
          <w:spacing w:val="-1"/>
          <w:sz w:val="14"/>
        </w:rPr>
        <w:t> </w:t>
      </w:r>
      <w:r>
        <w:rPr>
          <w:sz w:val="14"/>
        </w:rPr>
        <w:t>which</w:t>
      </w:r>
      <w:r>
        <w:rPr>
          <w:spacing w:val="-1"/>
          <w:sz w:val="14"/>
        </w:rPr>
        <w:t> </w:t>
      </w:r>
      <w:r>
        <w:rPr>
          <w:sz w:val="14"/>
        </w:rPr>
        <w:t>Corning’s</w:t>
      </w:r>
      <w:r>
        <w:rPr>
          <w:spacing w:val="-1"/>
          <w:sz w:val="14"/>
        </w:rPr>
        <w:t> </w:t>
      </w:r>
      <w:r>
        <w:rPr>
          <w:sz w:val="14"/>
        </w:rPr>
        <w:t>share</w:t>
      </w:r>
      <w:r>
        <w:rPr>
          <w:spacing w:val="-1"/>
          <w:sz w:val="14"/>
        </w:rPr>
        <w:t> </w:t>
      </w:r>
      <w:r>
        <w:rPr>
          <w:sz w:val="14"/>
        </w:rPr>
        <w:t>of</w:t>
      </w:r>
      <w:r>
        <w:rPr>
          <w:spacing w:val="-1"/>
          <w:sz w:val="14"/>
        </w:rPr>
        <w:t> </w:t>
      </w:r>
      <w:r>
        <w:rPr>
          <w:sz w:val="14"/>
        </w:rPr>
        <w:t>the</w:t>
      </w:r>
      <w:r>
        <w:rPr>
          <w:spacing w:val="-1"/>
          <w:sz w:val="14"/>
        </w:rPr>
        <w:t> </w:t>
      </w:r>
      <w:r>
        <w:rPr>
          <w:sz w:val="14"/>
        </w:rPr>
        <w:t>pre-tax</w:t>
      </w:r>
      <w:r>
        <w:rPr>
          <w:spacing w:val="-1"/>
          <w:sz w:val="14"/>
        </w:rPr>
        <w:t> </w:t>
      </w:r>
      <w:r>
        <w:rPr>
          <w:sz w:val="14"/>
        </w:rPr>
        <w:t>loss</w:t>
      </w:r>
      <w:r>
        <w:rPr>
          <w:spacing w:val="-1"/>
          <w:sz w:val="14"/>
        </w:rPr>
        <w:t> </w:t>
      </w:r>
      <w:r>
        <w:rPr>
          <w:sz w:val="14"/>
        </w:rPr>
        <w:t>was</w:t>
      </w:r>
      <w:r>
        <w:rPr>
          <w:spacing w:val="-1"/>
          <w:sz w:val="14"/>
        </w:rPr>
        <w:t> </w:t>
      </w:r>
      <w:r>
        <w:rPr>
          <w:sz w:val="14"/>
        </w:rPr>
        <w:t>$81</w:t>
      </w:r>
      <w:r>
        <w:rPr>
          <w:spacing w:val="-1"/>
          <w:sz w:val="14"/>
        </w:rPr>
        <w:t> </w:t>
      </w:r>
      <w:r>
        <w:rPr>
          <w:sz w:val="14"/>
        </w:rPr>
        <w:t>million.</w:t>
      </w:r>
      <w:r>
        <w:rPr>
          <w:spacing w:val="-1"/>
          <w:sz w:val="14"/>
        </w:rPr>
        <w:t> </w:t>
      </w:r>
      <w:r>
        <w:rPr>
          <w:sz w:val="14"/>
        </w:rPr>
        <w:t>Accordingly, Corning’s</w:t>
      </w:r>
      <w:r>
        <w:rPr>
          <w:spacing w:val="-1"/>
          <w:sz w:val="14"/>
        </w:rPr>
        <w:t> </w:t>
      </w:r>
      <w:r>
        <w:rPr>
          <w:sz w:val="14"/>
        </w:rPr>
        <w:t>share</w:t>
      </w:r>
      <w:r>
        <w:rPr>
          <w:spacing w:val="-1"/>
          <w:sz w:val="14"/>
        </w:rPr>
        <w:t> </w:t>
      </w:r>
      <w:r>
        <w:rPr>
          <w:sz w:val="14"/>
        </w:rPr>
        <w:t>of</w:t>
      </w:r>
      <w:r>
        <w:rPr>
          <w:spacing w:val="-1"/>
          <w:sz w:val="14"/>
        </w:rPr>
        <w:t> </w:t>
      </w:r>
      <w:r>
        <w:rPr>
          <w:sz w:val="14"/>
        </w:rPr>
        <w:t>the</w:t>
      </w:r>
      <w:r>
        <w:rPr>
          <w:spacing w:val="-1"/>
          <w:sz w:val="14"/>
        </w:rPr>
        <w:t> </w:t>
      </w:r>
      <w:r>
        <w:rPr>
          <w:sz w:val="14"/>
        </w:rPr>
        <w:t>net</w:t>
      </w:r>
      <w:r>
        <w:rPr>
          <w:spacing w:val="-1"/>
          <w:sz w:val="14"/>
        </w:rPr>
        <w:t> </w:t>
      </w:r>
      <w:r>
        <w:rPr>
          <w:sz w:val="14"/>
        </w:rPr>
        <w:t>impact</w:t>
      </w:r>
      <w:r>
        <w:rPr>
          <w:spacing w:val="-1"/>
          <w:sz w:val="14"/>
        </w:rPr>
        <w:t> </w:t>
      </w:r>
      <w:r>
        <w:rPr>
          <w:sz w:val="14"/>
        </w:rPr>
        <w:t>was</w:t>
      </w:r>
      <w:r>
        <w:rPr>
          <w:spacing w:val="-1"/>
          <w:sz w:val="14"/>
        </w:rPr>
        <w:t> </w:t>
      </w:r>
      <w:r>
        <w:rPr>
          <w:sz w:val="14"/>
        </w:rPr>
        <w:t>an</w:t>
      </w:r>
      <w:r>
        <w:rPr>
          <w:spacing w:val="-1"/>
          <w:sz w:val="14"/>
        </w:rPr>
        <w:t> </w:t>
      </w:r>
      <w:r>
        <w:rPr>
          <w:sz w:val="14"/>
        </w:rPr>
        <w:t>equity</w:t>
      </w:r>
      <w:r>
        <w:rPr>
          <w:spacing w:val="40"/>
          <w:sz w:val="14"/>
        </w:rPr>
        <w:t> </w:t>
      </w:r>
      <w:r>
        <w:rPr>
          <w:sz w:val="14"/>
        </w:rPr>
        <w:t>loss of $19 million.</w:t>
      </w:r>
    </w:p>
    <w:p>
      <w:pPr>
        <w:pStyle w:val="BodyText"/>
        <w:spacing w:before="42"/>
        <w:rPr>
          <w:sz w:val="14"/>
        </w:rPr>
      </w:pPr>
    </w:p>
    <w:p>
      <w:pPr>
        <w:pStyle w:val="BodyText"/>
        <w:spacing w:before="1"/>
        <w:ind w:left="48"/>
        <w:jc w:val="center"/>
      </w:pPr>
      <w:r>
        <w:rPr>
          <w:spacing w:val="-5"/>
          <w:w w:val="105"/>
        </w:rPr>
        <w:t>79</w:t>
      </w:r>
    </w:p>
    <w:p>
      <w:pPr>
        <w:pStyle w:val="BodyText"/>
        <w:spacing w:before="11"/>
        <w:rPr>
          <w:sz w:val="5"/>
        </w:rPr>
      </w:pPr>
      <w:r>
        <w:rPr/>
        <mc:AlternateContent>
          <mc:Choice Requires="wps">
            <w:drawing>
              <wp:anchor distT="0" distB="0" distL="0" distR="0" allowOverlap="1" layoutInCell="1" locked="0" behindDoc="1" simplePos="0" relativeHeight="487680000">
                <wp:simplePos x="0" y="0"/>
                <wp:positionH relativeFrom="page">
                  <wp:posOffset>226488</wp:posOffset>
                </wp:positionH>
                <wp:positionV relativeFrom="paragraph">
                  <wp:posOffset>58816</wp:posOffset>
                </wp:positionV>
                <wp:extent cx="7312659" cy="16510"/>
                <wp:effectExtent l="0" t="0" r="0" b="0"/>
                <wp:wrapTopAndBottom/>
                <wp:docPr id="375" name="Graphic 375"/>
                <wp:cNvGraphicFramePr>
                  <a:graphicFrameLocks/>
                </wp:cNvGraphicFramePr>
                <a:graphic>
                  <a:graphicData uri="http://schemas.microsoft.com/office/word/2010/wordprocessingShape">
                    <wps:wsp>
                      <wps:cNvPr id="375" name="Graphic 375"/>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31188pt;width:575.775087pt;height:1.273839pt;mso-position-horizontal-relative:page;mso-position-vertical-relative:paragraph;z-index:-15636480;mso-wrap-distance-left:0;mso-wrap-distance-right:0" id="docshape374"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pPr>
    </w:p>
    <w:p>
      <w:pPr>
        <w:pStyle w:val="BodyText"/>
        <w:spacing w:before="58"/>
      </w:pPr>
    </w:p>
    <w:p>
      <w:pPr>
        <w:pStyle w:val="Heading2"/>
        <w:numPr>
          <w:ilvl w:val="0"/>
          <w:numId w:val="38"/>
        </w:numPr>
        <w:tabs>
          <w:tab w:pos="362" w:val="left" w:leader="none"/>
        </w:tabs>
        <w:spacing w:line="240" w:lineRule="auto" w:before="0" w:after="0"/>
        <w:ind w:left="362" w:right="0" w:hanging="206"/>
        <w:jc w:val="left"/>
      </w:pPr>
      <w:bookmarkStart w:name="_bookmark12" w:id="13"/>
      <w:bookmarkEnd w:id="13"/>
      <w:r>
        <w:rPr>
          <w:b w:val="0"/>
        </w:rPr>
      </w:r>
      <w:r>
        <w:rPr/>
        <w:t>HSG</w:t>
      </w:r>
      <w:r>
        <w:rPr>
          <w:spacing w:val="11"/>
        </w:rPr>
        <w:t> </w:t>
      </w:r>
      <w:r>
        <w:rPr/>
        <w:t>Transactions</w:t>
      </w:r>
      <w:r>
        <w:rPr>
          <w:spacing w:val="12"/>
        </w:rPr>
        <w:t> </w:t>
      </w:r>
      <w:r>
        <w:rPr/>
        <w:t>and</w:t>
      </w:r>
      <w:r>
        <w:rPr>
          <w:spacing w:val="11"/>
        </w:rPr>
        <w:t> </w:t>
      </w:r>
      <w:r>
        <w:rPr>
          <w:spacing w:val="-2"/>
        </w:rPr>
        <w:t>Acquisitions</w:t>
      </w:r>
    </w:p>
    <w:p>
      <w:pPr>
        <w:pStyle w:val="BodyText"/>
        <w:spacing w:before="39"/>
        <w:rPr>
          <w:b/>
        </w:rPr>
      </w:pPr>
    </w:p>
    <w:p>
      <w:pPr>
        <w:pStyle w:val="Heading3"/>
        <w:spacing w:before="1"/>
      </w:pPr>
      <w:r>
        <w:rPr>
          <w:w w:val="105"/>
        </w:rPr>
        <w:t>HSG</w:t>
      </w:r>
      <w:r>
        <w:rPr>
          <w:spacing w:val="-10"/>
          <w:w w:val="105"/>
        </w:rPr>
        <w:t> </w:t>
      </w:r>
      <w:r>
        <w:rPr>
          <w:spacing w:val="-2"/>
          <w:w w:val="105"/>
        </w:rPr>
        <w:t>Transactions</w:t>
      </w:r>
    </w:p>
    <w:p>
      <w:pPr>
        <w:pStyle w:val="BodyText"/>
        <w:spacing w:before="39"/>
        <w:rPr>
          <w:b/>
          <w:i/>
        </w:rPr>
      </w:pPr>
    </w:p>
    <w:p>
      <w:pPr>
        <w:pStyle w:val="BodyText"/>
        <w:spacing w:line="266" w:lineRule="auto"/>
        <w:ind w:left="156"/>
      </w:pPr>
      <w:r>
        <w:rPr>
          <w:w w:val="105"/>
        </w:rPr>
        <w:t>On</w:t>
      </w:r>
      <w:r>
        <w:rPr>
          <w:spacing w:val="-8"/>
          <w:w w:val="105"/>
        </w:rPr>
        <w:t> </w:t>
      </w:r>
      <w:r>
        <w:rPr>
          <w:w w:val="105"/>
        </w:rPr>
        <w:t>September</w:t>
      </w:r>
      <w:r>
        <w:rPr>
          <w:spacing w:val="-8"/>
          <w:w w:val="105"/>
        </w:rPr>
        <w:t> </w:t>
      </w:r>
      <w:r>
        <w:rPr>
          <w:w w:val="105"/>
        </w:rPr>
        <w:t>9,</w:t>
      </w:r>
      <w:r>
        <w:rPr>
          <w:spacing w:val="-8"/>
          <w:w w:val="105"/>
        </w:rPr>
        <w:t> </w:t>
      </w:r>
      <w:r>
        <w:rPr>
          <w:w w:val="105"/>
        </w:rPr>
        <w:t>2020,</w:t>
      </w:r>
      <w:r>
        <w:rPr>
          <w:spacing w:val="-7"/>
          <w:w w:val="105"/>
        </w:rPr>
        <w:t> </w:t>
      </w:r>
      <w:r>
        <w:rPr>
          <w:w w:val="105"/>
        </w:rPr>
        <w:t>HSG</w:t>
      </w:r>
      <w:r>
        <w:rPr>
          <w:spacing w:val="-8"/>
          <w:w w:val="105"/>
        </w:rPr>
        <w:t> </w:t>
      </w:r>
      <w:r>
        <w:rPr>
          <w:w w:val="105"/>
        </w:rPr>
        <w:t>acquired</w:t>
      </w:r>
      <w:r>
        <w:rPr>
          <w:spacing w:val="-8"/>
          <w:w w:val="105"/>
        </w:rPr>
        <w:t> </w:t>
      </w:r>
      <w:r>
        <w:rPr>
          <w:w w:val="105"/>
        </w:rPr>
        <w:t>DuPont’s</w:t>
      </w:r>
      <w:r>
        <w:rPr>
          <w:spacing w:val="-8"/>
          <w:w w:val="105"/>
        </w:rPr>
        <w:t> </w:t>
      </w:r>
      <w:r>
        <w:rPr>
          <w:w w:val="105"/>
        </w:rPr>
        <w:t>TCS</w:t>
      </w:r>
      <w:r>
        <w:rPr>
          <w:spacing w:val="-8"/>
          <w:w w:val="105"/>
        </w:rPr>
        <w:t> </w:t>
      </w:r>
      <w:r>
        <w:rPr>
          <w:w w:val="105"/>
        </w:rPr>
        <w:t>manufacturing</w:t>
      </w:r>
      <w:r>
        <w:rPr>
          <w:spacing w:val="-8"/>
          <w:w w:val="105"/>
        </w:rPr>
        <w:t> </w:t>
      </w:r>
      <w:r>
        <w:rPr>
          <w:w w:val="105"/>
        </w:rPr>
        <w:t>assets,</w:t>
      </w:r>
      <w:r>
        <w:rPr>
          <w:spacing w:val="-8"/>
          <w:w w:val="105"/>
        </w:rPr>
        <w:t> </w:t>
      </w:r>
      <w:r>
        <w:rPr>
          <w:w w:val="105"/>
        </w:rPr>
        <w:t>which</w:t>
      </w:r>
      <w:r>
        <w:rPr>
          <w:spacing w:val="-8"/>
          <w:w w:val="105"/>
        </w:rPr>
        <w:t> </w:t>
      </w:r>
      <w:r>
        <w:rPr>
          <w:w w:val="105"/>
        </w:rPr>
        <w:t>was</w:t>
      </w:r>
      <w:r>
        <w:rPr>
          <w:spacing w:val="-8"/>
          <w:w w:val="105"/>
        </w:rPr>
        <w:t> </w:t>
      </w:r>
      <w:r>
        <w:rPr>
          <w:w w:val="105"/>
        </w:rPr>
        <w:t>determined</w:t>
      </w:r>
      <w:r>
        <w:rPr>
          <w:spacing w:val="-8"/>
          <w:w w:val="105"/>
        </w:rPr>
        <w:t> </w:t>
      </w:r>
      <w:r>
        <w:rPr>
          <w:w w:val="105"/>
        </w:rPr>
        <w:t>to</w:t>
      </w:r>
      <w:r>
        <w:rPr>
          <w:spacing w:val="-8"/>
          <w:w w:val="105"/>
        </w:rPr>
        <w:t> </w:t>
      </w:r>
      <w:r>
        <w:rPr>
          <w:w w:val="105"/>
        </w:rPr>
        <w:t>be</w:t>
      </w:r>
      <w:r>
        <w:rPr>
          <w:spacing w:val="-8"/>
          <w:w w:val="105"/>
        </w:rPr>
        <w:t> </w:t>
      </w:r>
      <w:r>
        <w:rPr>
          <w:w w:val="105"/>
        </w:rPr>
        <w:t>a</w:t>
      </w:r>
      <w:r>
        <w:rPr>
          <w:spacing w:val="-8"/>
          <w:w w:val="105"/>
        </w:rPr>
        <w:t> </w:t>
      </w:r>
      <w:r>
        <w:rPr>
          <w:w w:val="105"/>
        </w:rPr>
        <w:t>business</w:t>
      </w:r>
      <w:r>
        <w:rPr>
          <w:spacing w:val="-8"/>
          <w:w w:val="105"/>
        </w:rPr>
        <w:t> </w:t>
      </w:r>
      <w:r>
        <w:rPr>
          <w:w w:val="105"/>
        </w:rPr>
        <w:t>and</w:t>
      </w:r>
      <w:r>
        <w:rPr>
          <w:spacing w:val="-6"/>
          <w:w w:val="105"/>
        </w:rPr>
        <w:t> </w:t>
      </w:r>
      <w:r>
        <w:rPr>
          <w:w w:val="105"/>
        </w:rPr>
        <w:t>recorded</w:t>
      </w:r>
      <w:r>
        <w:rPr>
          <w:spacing w:val="-8"/>
          <w:w w:val="105"/>
        </w:rPr>
        <w:t> </w:t>
      </w:r>
      <w:r>
        <w:rPr>
          <w:w w:val="105"/>
        </w:rPr>
        <w:t>as</w:t>
      </w:r>
      <w:r>
        <w:rPr>
          <w:spacing w:val="-8"/>
          <w:w w:val="105"/>
        </w:rPr>
        <w:t> </w:t>
      </w:r>
      <w:r>
        <w:rPr>
          <w:w w:val="105"/>
        </w:rPr>
        <w:t>a</w:t>
      </w:r>
      <w:r>
        <w:rPr>
          <w:spacing w:val="-8"/>
          <w:w w:val="105"/>
        </w:rPr>
        <w:t> </w:t>
      </w:r>
      <w:r>
        <w:rPr>
          <w:w w:val="105"/>
        </w:rPr>
        <w:t>business</w:t>
      </w:r>
      <w:r>
        <w:rPr>
          <w:spacing w:val="-8"/>
          <w:w w:val="105"/>
        </w:rPr>
        <w:t> </w:t>
      </w:r>
      <w:r>
        <w:rPr>
          <w:w w:val="105"/>
        </w:rPr>
        <w:t>combination.</w:t>
      </w:r>
      <w:r>
        <w:rPr>
          <w:spacing w:val="-8"/>
          <w:w w:val="105"/>
        </w:rPr>
        <w:t> </w:t>
      </w:r>
      <w:r>
        <w:rPr>
          <w:w w:val="105"/>
        </w:rPr>
        <w:t>The</w:t>
      </w:r>
      <w:r>
        <w:rPr>
          <w:spacing w:val="-8"/>
          <w:w w:val="105"/>
        </w:rPr>
        <w:t> </w:t>
      </w:r>
      <w:r>
        <w:rPr>
          <w:w w:val="105"/>
        </w:rPr>
        <w:t>fair</w:t>
      </w:r>
      <w:r>
        <w:rPr>
          <w:spacing w:val="-8"/>
          <w:w w:val="105"/>
        </w:rPr>
        <w:t> </w:t>
      </w:r>
      <w:r>
        <w:rPr>
          <w:w w:val="105"/>
        </w:rPr>
        <w:t>value</w:t>
      </w:r>
      <w:r>
        <w:rPr>
          <w:spacing w:val="-8"/>
          <w:w w:val="105"/>
        </w:rPr>
        <w:t> </w:t>
      </w:r>
      <w:r>
        <w:rPr>
          <w:w w:val="105"/>
        </w:rPr>
        <w:t>of the purchase price was $255 million.</w:t>
      </w:r>
    </w:p>
    <w:p>
      <w:pPr>
        <w:pStyle w:val="BodyText"/>
        <w:spacing w:before="19"/>
      </w:pPr>
    </w:p>
    <w:p>
      <w:pPr>
        <w:pStyle w:val="BodyText"/>
        <w:spacing w:line="266" w:lineRule="auto"/>
        <w:ind w:left="156"/>
      </w:pPr>
      <w:r>
        <w:rPr>
          <w:w w:val="105"/>
        </w:rPr>
        <w:t>On</w:t>
      </w:r>
      <w:r>
        <w:rPr>
          <w:spacing w:val="27"/>
          <w:w w:val="105"/>
        </w:rPr>
        <w:t> </w:t>
      </w:r>
      <w:r>
        <w:rPr>
          <w:w w:val="105"/>
        </w:rPr>
        <w:t>September</w:t>
      </w:r>
      <w:r>
        <w:rPr>
          <w:spacing w:val="-8"/>
          <w:w w:val="105"/>
        </w:rPr>
        <w:t> </w:t>
      </w:r>
      <w:r>
        <w:rPr>
          <w:w w:val="105"/>
        </w:rPr>
        <w:t>9,</w:t>
      </w:r>
      <w:r>
        <w:rPr>
          <w:spacing w:val="-8"/>
          <w:w w:val="105"/>
        </w:rPr>
        <w:t> </w:t>
      </w:r>
      <w:r>
        <w:rPr>
          <w:w w:val="105"/>
        </w:rPr>
        <w:t>2020,</w:t>
      </w:r>
      <w:r>
        <w:rPr>
          <w:spacing w:val="-7"/>
          <w:w w:val="105"/>
        </w:rPr>
        <w:t> </w:t>
      </w:r>
      <w:r>
        <w:rPr>
          <w:w w:val="105"/>
        </w:rPr>
        <w:t>HSG</w:t>
      </w:r>
      <w:r>
        <w:rPr>
          <w:spacing w:val="-8"/>
          <w:w w:val="105"/>
        </w:rPr>
        <w:t> </w:t>
      </w:r>
      <w:r>
        <w:rPr>
          <w:w w:val="105"/>
        </w:rPr>
        <w:t>redeemed</w:t>
      </w:r>
      <w:r>
        <w:rPr>
          <w:spacing w:val="-8"/>
          <w:w w:val="105"/>
        </w:rPr>
        <w:t> </w:t>
      </w:r>
      <w:r>
        <w:rPr>
          <w:w w:val="105"/>
        </w:rPr>
        <w:t>Dupont’s</w:t>
      </w:r>
      <w:r>
        <w:rPr>
          <w:spacing w:val="-8"/>
          <w:w w:val="105"/>
        </w:rPr>
        <w:t> </w:t>
      </w:r>
      <w:r>
        <w:rPr>
          <w:w w:val="105"/>
        </w:rPr>
        <w:t>entire</w:t>
      </w:r>
      <w:r>
        <w:rPr>
          <w:spacing w:val="-8"/>
          <w:w w:val="105"/>
        </w:rPr>
        <w:t> </w:t>
      </w:r>
      <w:r>
        <w:rPr>
          <w:w w:val="105"/>
        </w:rPr>
        <w:t>ownership</w:t>
      </w:r>
      <w:r>
        <w:rPr>
          <w:spacing w:val="-8"/>
          <w:w w:val="105"/>
        </w:rPr>
        <w:t> </w:t>
      </w:r>
      <w:r>
        <w:rPr>
          <w:w w:val="105"/>
        </w:rPr>
        <w:t>of</w:t>
      </w:r>
      <w:r>
        <w:rPr>
          <w:spacing w:val="-8"/>
          <w:w w:val="105"/>
        </w:rPr>
        <w:t> </w:t>
      </w:r>
      <w:r>
        <w:rPr>
          <w:w w:val="105"/>
        </w:rPr>
        <w:t>HSG</w:t>
      </w:r>
      <w:r>
        <w:rPr>
          <w:spacing w:val="-8"/>
          <w:w w:val="105"/>
        </w:rPr>
        <w:t> </w:t>
      </w:r>
      <w:r>
        <w:rPr>
          <w:w w:val="105"/>
        </w:rPr>
        <w:t>with</w:t>
      </w:r>
      <w:r>
        <w:rPr>
          <w:spacing w:val="-8"/>
          <w:w w:val="105"/>
        </w:rPr>
        <w:t> </w:t>
      </w:r>
      <w:r>
        <w:rPr>
          <w:w w:val="105"/>
        </w:rPr>
        <w:t>a</w:t>
      </w:r>
      <w:r>
        <w:rPr>
          <w:spacing w:val="-8"/>
          <w:w w:val="105"/>
        </w:rPr>
        <w:t> </w:t>
      </w:r>
      <w:r>
        <w:rPr>
          <w:w w:val="105"/>
        </w:rPr>
        <w:t>value</w:t>
      </w:r>
      <w:r>
        <w:rPr>
          <w:spacing w:val="-8"/>
          <w:w w:val="105"/>
        </w:rPr>
        <w:t> </w:t>
      </w:r>
      <w:r>
        <w:rPr>
          <w:w w:val="105"/>
        </w:rPr>
        <w:t>of</w:t>
      </w:r>
      <w:r>
        <w:rPr>
          <w:spacing w:val="-8"/>
          <w:w w:val="105"/>
        </w:rPr>
        <w:t> </w:t>
      </w:r>
      <w:r>
        <w:rPr>
          <w:w w:val="105"/>
        </w:rPr>
        <w:t>$250</w:t>
      </w:r>
      <w:r>
        <w:rPr>
          <w:spacing w:val="-8"/>
          <w:w w:val="105"/>
        </w:rPr>
        <w:t> </w:t>
      </w:r>
      <w:r>
        <w:rPr>
          <w:w w:val="105"/>
        </w:rPr>
        <w:t>million.</w:t>
      </w:r>
      <w:r>
        <w:rPr>
          <w:spacing w:val="27"/>
          <w:w w:val="105"/>
        </w:rPr>
        <w:t> </w:t>
      </w:r>
      <w:r>
        <w:rPr>
          <w:w w:val="105"/>
        </w:rPr>
        <w:t>Upon</w:t>
      </w:r>
      <w:r>
        <w:rPr>
          <w:spacing w:val="-8"/>
          <w:w w:val="105"/>
        </w:rPr>
        <w:t> </w:t>
      </w:r>
      <w:r>
        <w:rPr>
          <w:w w:val="105"/>
        </w:rPr>
        <w:t>completion</w:t>
      </w:r>
      <w:r>
        <w:rPr>
          <w:spacing w:val="-8"/>
          <w:w w:val="105"/>
        </w:rPr>
        <w:t> </w:t>
      </w:r>
      <w:r>
        <w:rPr>
          <w:w w:val="105"/>
        </w:rPr>
        <w:t>of</w:t>
      </w:r>
      <w:r>
        <w:rPr>
          <w:spacing w:val="-8"/>
          <w:w w:val="105"/>
        </w:rPr>
        <w:t> </w:t>
      </w:r>
      <w:r>
        <w:rPr>
          <w:w w:val="105"/>
        </w:rPr>
        <w:t>the</w:t>
      </w:r>
      <w:r>
        <w:rPr>
          <w:spacing w:val="-8"/>
          <w:w w:val="105"/>
        </w:rPr>
        <w:t> </w:t>
      </w:r>
      <w:r>
        <w:rPr>
          <w:w w:val="105"/>
        </w:rPr>
        <w:t>Redemption,</w:t>
      </w:r>
      <w:r>
        <w:rPr>
          <w:spacing w:val="-8"/>
          <w:w w:val="105"/>
        </w:rPr>
        <w:t> </w:t>
      </w:r>
      <w:r>
        <w:rPr>
          <w:w w:val="105"/>
        </w:rPr>
        <w:t>Corning</w:t>
      </w:r>
      <w:r>
        <w:rPr>
          <w:spacing w:val="-8"/>
          <w:w w:val="105"/>
        </w:rPr>
        <w:t> </w:t>
      </w:r>
      <w:r>
        <w:rPr>
          <w:w w:val="105"/>
        </w:rPr>
        <w:t>obtained</w:t>
      </w:r>
      <w:r>
        <w:rPr>
          <w:spacing w:val="-8"/>
          <w:w w:val="105"/>
        </w:rPr>
        <w:t> </w:t>
      </w:r>
      <w:r>
        <w:rPr>
          <w:w w:val="105"/>
        </w:rPr>
        <w:t>a</w:t>
      </w:r>
      <w:r>
        <w:rPr>
          <w:spacing w:val="-8"/>
          <w:w w:val="105"/>
        </w:rPr>
        <w:t> </w:t>
      </w:r>
      <w:r>
        <w:rPr>
          <w:w w:val="105"/>
        </w:rPr>
        <w:t>100% interest</w:t>
      </w:r>
      <w:r>
        <w:rPr>
          <w:spacing w:val="-2"/>
          <w:w w:val="105"/>
        </w:rPr>
        <w:t> </w:t>
      </w:r>
      <w:r>
        <w:rPr>
          <w:w w:val="105"/>
        </w:rPr>
        <w:t>in</w:t>
      </w:r>
      <w:r>
        <w:rPr>
          <w:spacing w:val="-2"/>
          <w:w w:val="105"/>
        </w:rPr>
        <w:t> </w:t>
      </w:r>
      <w:r>
        <w:rPr>
          <w:w w:val="105"/>
        </w:rPr>
        <w:t>HS</w:t>
      </w:r>
      <w:r>
        <w:rPr>
          <w:spacing w:val="-2"/>
          <w:w w:val="105"/>
        </w:rPr>
        <w:t> </w:t>
      </w:r>
      <w:r>
        <w:rPr>
          <w:w w:val="105"/>
        </w:rPr>
        <w:t>LLC</w:t>
      </w:r>
      <w:r>
        <w:rPr>
          <w:spacing w:val="-2"/>
          <w:w w:val="105"/>
        </w:rPr>
        <w:t> </w:t>
      </w:r>
      <w:r>
        <w:rPr>
          <w:w w:val="105"/>
        </w:rPr>
        <w:t>and</w:t>
      </w:r>
      <w:r>
        <w:rPr>
          <w:spacing w:val="-2"/>
          <w:w w:val="105"/>
        </w:rPr>
        <w:t> </w:t>
      </w:r>
      <w:r>
        <w:rPr>
          <w:w w:val="105"/>
        </w:rPr>
        <w:t>80.5%</w:t>
      </w:r>
      <w:r>
        <w:rPr>
          <w:spacing w:val="-2"/>
          <w:w w:val="105"/>
        </w:rPr>
        <w:t> </w:t>
      </w:r>
      <w:r>
        <w:rPr>
          <w:w w:val="105"/>
        </w:rPr>
        <w:t>interest in</w:t>
      </w:r>
      <w:r>
        <w:rPr>
          <w:spacing w:val="-2"/>
          <w:w w:val="105"/>
        </w:rPr>
        <w:t> </w:t>
      </w:r>
      <w:r>
        <w:rPr>
          <w:w w:val="105"/>
        </w:rPr>
        <w:t>HSO</w:t>
      </w:r>
      <w:r>
        <w:rPr>
          <w:spacing w:val="-2"/>
          <w:w w:val="105"/>
        </w:rPr>
        <w:t> </w:t>
      </w:r>
      <w:r>
        <w:rPr>
          <w:w w:val="105"/>
        </w:rPr>
        <w:t>LLC.</w:t>
      </w:r>
      <w:r>
        <w:rPr>
          <w:spacing w:val="-2"/>
          <w:w w:val="105"/>
        </w:rPr>
        <w:t> </w:t>
      </w:r>
      <w:r>
        <w:rPr>
          <w:w w:val="105"/>
        </w:rPr>
        <w:t>Corning</w:t>
      </w:r>
      <w:r>
        <w:rPr>
          <w:spacing w:val="-2"/>
          <w:w w:val="105"/>
        </w:rPr>
        <w:t> </w:t>
      </w:r>
      <w:r>
        <w:rPr>
          <w:w w:val="105"/>
        </w:rPr>
        <w:t>accounted</w:t>
      </w:r>
      <w:r>
        <w:rPr>
          <w:spacing w:val="-2"/>
          <w:w w:val="105"/>
        </w:rPr>
        <w:t> </w:t>
      </w:r>
      <w:r>
        <w:rPr>
          <w:w w:val="105"/>
        </w:rPr>
        <w:t>for</w:t>
      </w:r>
      <w:r>
        <w:rPr>
          <w:spacing w:val="-2"/>
          <w:w w:val="105"/>
        </w:rPr>
        <w:t> </w:t>
      </w:r>
      <w:r>
        <w:rPr>
          <w:w w:val="105"/>
        </w:rPr>
        <w:t>the</w:t>
      </w:r>
      <w:r>
        <w:rPr>
          <w:spacing w:val="-2"/>
          <w:w w:val="105"/>
        </w:rPr>
        <w:t> </w:t>
      </w:r>
      <w:r>
        <w:rPr>
          <w:w w:val="105"/>
        </w:rPr>
        <w:t>Redemption</w:t>
      </w:r>
      <w:r>
        <w:rPr>
          <w:spacing w:val="-2"/>
          <w:w w:val="105"/>
        </w:rPr>
        <w:t> </w:t>
      </w:r>
      <w:r>
        <w:rPr>
          <w:w w:val="105"/>
        </w:rPr>
        <w:t>under the</w:t>
      </w:r>
      <w:r>
        <w:rPr>
          <w:spacing w:val="-2"/>
          <w:w w:val="105"/>
        </w:rPr>
        <w:t> </w:t>
      </w:r>
      <w:r>
        <w:rPr>
          <w:w w:val="105"/>
        </w:rPr>
        <w:t>acquisition</w:t>
      </w:r>
      <w:r>
        <w:rPr>
          <w:spacing w:val="-2"/>
          <w:w w:val="105"/>
        </w:rPr>
        <w:t> </w:t>
      </w:r>
      <w:r>
        <w:rPr>
          <w:w w:val="105"/>
        </w:rPr>
        <w:t>method</w:t>
      </w:r>
      <w:r>
        <w:rPr>
          <w:spacing w:val="-2"/>
          <w:w w:val="105"/>
        </w:rPr>
        <w:t> </w:t>
      </w:r>
      <w:r>
        <w:rPr>
          <w:w w:val="105"/>
        </w:rPr>
        <w:t>of</w:t>
      </w:r>
      <w:r>
        <w:rPr>
          <w:spacing w:val="-2"/>
          <w:w w:val="105"/>
        </w:rPr>
        <w:t> </w:t>
      </w:r>
      <w:r>
        <w:rPr>
          <w:w w:val="105"/>
        </w:rPr>
        <w:t>accounting</w:t>
      </w:r>
      <w:r>
        <w:rPr>
          <w:spacing w:val="-2"/>
          <w:w w:val="105"/>
        </w:rPr>
        <w:t> </w:t>
      </w:r>
      <w:r>
        <w:rPr>
          <w:w w:val="105"/>
        </w:rPr>
        <w:t>in</w:t>
      </w:r>
      <w:r>
        <w:rPr>
          <w:spacing w:val="-2"/>
          <w:w w:val="105"/>
        </w:rPr>
        <w:t> </w:t>
      </w:r>
      <w:r>
        <w:rPr>
          <w:w w:val="105"/>
        </w:rPr>
        <w:t>accordance</w:t>
      </w:r>
      <w:r>
        <w:rPr>
          <w:spacing w:val="-2"/>
          <w:w w:val="105"/>
        </w:rPr>
        <w:t> </w:t>
      </w:r>
      <w:r>
        <w:rPr>
          <w:w w:val="105"/>
        </w:rPr>
        <w:t>with</w:t>
      </w:r>
      <w:r>
        <w:rPr>
          <w:spacing w:val="-2"/>
          <w:w w:val="105"/>
        </w:rPr>
        <w:t> </w:t>
      </w:r>
      <w:r>
        <w:rPr>
          <w:w w:val="105"/>
        </w:rPr>
        <w:t>business combinations</w:t>
      </w:r>
      <w:r>
        <w:rPr>
          <w:spacing w:val="-2"/>
          <w:w w:val="105"/>
        </w:rPr>
        <w:t> </w:t>
      </w:r>
      <w:r>
        <w:rPr>
          <w:w w:val="105"/>
        </w:rPr>
        <w:t>without</w:t>
      </w:r>
      <w:r>
        <w:rPr>
          <w:spacing w:val="-2"/>
          <w:w w:val="105"/>
        </w:rPr>
        <w:t> </w:t>
      </w:r>
      <w:r>
        <w:rPr>
          <w:w w:val="105"/>
        </w:rPr>
        <w:t>the</w:t>
      </w:r>
      <w:r>
        <w:rPr>
          <w:spacing w:val="-2"/>
          <w:w w:val="105"/>
        </w:rPr>
        <w:t> </w:t>
      </w:r>
      <w:r>
        <w:rPr>
          <w:w w:val="105"/>
        </w:rPr>
        <w:t>transfer</w:t>
      </w:r>
      <w:r>
        <w:rPr>
          <w:spacing w:val="-2"/>
          <w:w w:val="105"/>
        </w:rPr>
        <w:t> </w:t>
      </w:r>
      <w:r>
        <w:rPr>
          <w:w w:val="105"/>
        </w:rPr>
        <w:t>of</w:t>
      </w:r>
      <w:r>
        <w:rPr>
          <w:spacing w:val="-2"/>
          <w:w w:val="105"/>
        </w:rPr>
        <w:t> </w:t>
      </w:r>
      <w:r>
        <w:rPr>
          <w:w w:val="105"/>
        </w:rPr>
        <w:t>net</w:t>
      </w:r>
      <w:r>
        <w:rPr>
          <w:spacing w:val="-2"/>
          <w:w w:val="105"/>
        </w:rPr>
        <w:t> </w:t>
      </w:r>
      <w:r>
        <w:rPr>
          <w:w w:val="105"/>
        </w:rPr>
        <w:t>cash</w:t>
      </w:r>
      <w:r>
        <w:rPr>
          <w:spacing w:val="-2"/>
          <w:w w:val="105"/>
        </w:rPr>
        <w:t> </w:t>
      </w:r>
      <w:r>
        <w:rPr>
          <w:w w:val="105"/>
        </w:rPr>
        <w:t>consideration.</w:t>
      </w:r>
      <w:r>
        <w:rPr>
          <w:spacing w:val="-2"/>
          <w:w w:val="105"/>
        </w:rPr>
        <w:t> </w:t>
      </w:r>
      <w:r>
        <w:rPr>
          <w:w w:val="105"/>
        </w:rPr>
        <w:t>The</w:t>
      </w:r>
      <w:r>
        <w:rPr>
          <w:spacing w:val="-2"/>
          <w:w w:val="105"/>
        </w:rPr>
        <w:t> </w:t>
      </w:r>
      <w:r>
        <w:rPr>
          <w:w w:val="105"/>
        </w:rPr>
        <w:t>Redemption</w:t>
      </w:r>
      <w:r>
        <w:rPr>
          <w:spacing w:val="-2"/>
          <w:w w:val="105"/>
        </w:rPr>
        <w:t> </w:t>
      </w:r>
      <w:r>
        <w:rPr>
          <w:w w:val="105"/>
        </w:rPr>
        <w:t>price</w:t>
      </w:r>
      <w:r>
        <w:rPr>
          <w:spacing w:val="-2"/>
          <w:w w:val="105"/>
        </w:rPr>
        <w:t> </w:t>
      </w:r>
      <w:r>
        <w:rPr>
          <w:w w:val="105"/>
        </w:rPr>
        <w:t>of</w:t>
      </w:r>
      <w:r>
        <w:rPr>
          <w:spacing w:val="-2"/>
          <w:w w:val="105"/>
        </w:rPr>
        <w:t> </w:t>
      </w:r>
      <w:r>
        <w:rPr>
          <w:w w:val="105"/>
        </w:rPr>
        <w:t>$250 million</w:t>
      </w:r>
      <w:r>
        <w:rPr>
          <w:spacing w:val="-2"/>
          <w:w w:val="105"/>
        </w:rPr>
        <w:t> </w:t>
      </w:r>
      <w:r>
        <w:rPr>
          <w:w w:val="105"/>
        </w:rPr>
        <w:t>approximated</w:t>
      </w:r>
      <w:r>
        <w:rPr>
          <w:spacing w:val="-2"/>
          <w:w w:val="105"/>
        </w:rPr>
        <w:t> </w:t>
      </w:r>
      <w:r>
        <w:rPr>
          <w:w w:val="105"/>
        </w:rPr>
        <w:t>the</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Corning’s</w:t>
      </w:r>
      <w:r>
        <w:rPr>
          <w:spacing w:val="-2"/>
          <w:w w:val="105"/>
        </w:rPr>
        <w:t> </w:t>
      </w:r>
      <w:r>
        <w:rPr>
          <w:w w:val="105"/>
        </w:rPr>
        <w:t>equity</w:t>
      </w:r>
      <w:r>
        <w:rPr>
          <w:spacing w:val="-2"/>
          <w:w w:val="105"/>
        </w:rPr>
        <w:t> </w:t>
      </w:r>
      <w:r>
        <w:rPr>
          <w:w w:val="105"/>
        </w:rPr>
        <w:t>interest</w:t>
      </w:r>
      <w:r>
        <w:rPr>
          <w:spacing w:val="-2"/>
          <w:w w:val="105"/>
        </w:rPr>
        <w:t> </w:t>
      </w:r>
      <w:r>
        <w:rPr>
          <w:w w:val="105"/>
        </w:rPr>
        <w:t>in</w:t>
      </w:r>
      <w:r>
        <w:rPr>
          <w:spacing w:val="-2"/>
          <w:w w:val="105"/>
        </w:rPr>
        <w:t> </w:t>
      </w:r>
      <w:r>
        <w:rPr>
          <w:w w:val="105"/>
        </w:rPr>
        <w:t>HSG immediately preceding the Redemption.</w:t>
      </w:r>
    </w:p>
    <w:p>
      <w:pPr>
        <w:pStyle w:val="BodyText"/>
        <w:spacing w:before="18"/>
      </w:pPr>
    </w:p>
    <w:p>
      <w:pPr>
        <w:pStyle w:val="BodyText"/>
        <w:spacing w:line="266" w:lineRule="auto" w:before="1"/>
        <w:ind w:left="156" w:right="117"/>
      </w:pPr>
      <w:r>
        <w:rPr>
          <w:w w:val="105"/>
        </w:rPr>
        <w:t>The</w:t>
      </w:r>
      <w:r>
        <w:rPr>
          <w:spacing w:val="-8"/>
          <w:w w:val="105"/>
        </w:rPr>
        <w:t> </w:t>
      </w:r>
      <w:r>
        <w:rPr>
          <w:w w:val="105"/>
        </w:rPr>
        <w:t>fair</w:t>
      </w:r>
      <w:r>
        <w:rPr>
          <w:spacing w:val="-8"/>
          <w:w w:val="105"/>
        </w:rPr>
        <w:t> </w:t>
      </w:r>
      <w:r>
        <w:rPr>
          <w:w w:val="105"/>
        </w:rPr>
        <w:t>value</w:t>
      </w:r>
      <w:r>
        <w:rPr>
          <w:spacing w:val="-8"/>
          <w:w w:val="105"/>
        </w:rPr>
        <w:t> </w:t>
      </w:r>
      <w:r>
        <w:rPr>
          <w:w w:val="105"/>
        </w:rPr>
        <w:t>of</w:t>
      </w:r>
      <w:r>
        <w:rPr>
          <w:spacing w:val="-8"/>
          <w:w w:val="105"/>
        </w:rPr>
        <w:t> </w:t>
      </w:r>
      <w:r>
        <w:rPr>
          <w:w w:val="105"/>
        </w:rPr>
        <w:t>Corning’s</w:t>
      </w:r>
      <w:r>
        <w:rPr>
          <w:spacing w:val="-8"/>
          <w:w w:val="105"/>
        </w:rPr>
        <w:t> </w:t>
      </w:r>
      <w:r>
        <w:rPr>
          <w:w w:val="105"/>
        </w:rPr>
        <w:t>equity</w:t>
      </w:r>
      <w:r>
        <w:rPr>
          <w:spacing w:val="-8"/>
          <w:w w:val="105"/>
        </w:rPr>
        <w:t> </w:t>
      </w:r>
      <w:r>
        <w:rPr>
          <w:w w:val="105"/>
        </w:rPr>
        <w:t>interest</w:t>
      </w:r>
      <w:r>
        <w:rPr>
          <w:spacing w:val="-8"/>
          <w:w w:val="105"/>
        </w:rPr>
        <w:t> </w:t>
      </w:r>
      <w:r>
        <w:rPr>
          <w:w w:val="105"/>
        </w:rPr>
        <w:t>in</w:t>
      </w:r>
      <w:r>
        <w:rPr>
          <w:spacing w:val="-8"/>
          <w:w w:val="105"/>
        </w:rPr>
        <w:t> </w:t>
      </w:r>
      <w:r>
        <w:rPr>
          <w:w w:val="105"/>
        </w:rPr>
        <w:t>HSG</w:t>
      </w:r>
      <w:r>
        <w:rPr>
          <w:spacing w:val="-8"/>
          <w:w w:val="105"/>
        </w:rPr>
        <w:t> </w:t>
      </w:r>
      <w:r>
        <w:rPr>
          <w:w w:val="105"/>
        </w:rPr>
        <w:t>was</w:t>
      </w:r>
      <w:r>
        <w:rPr>
          <w:spacing w:val="-8"/>
          <w:w w:val="105"/>
        </w:rPr>
        <w:t> </w:t>
      </w:r>
      <w:r>
        <w:rPr>
          <w:w w:val="105"/>
        </w:rPr>
        <w:t>estimated</w:t>
      </w:r>
      <w:r>
        <w:rPr>
          <w:spacing w:val="-8"/>
          <w:w w:val="105"/>
        </w:rPr>
        <w:t> </w:t>
      </w:r>
      <w:r>
        <w:rPr>
          <w:w w:val="105"/>
        </w:rPr>
        <w:t>by</w:t>
      </w:r>
      <w:r>
        <w:rPr>
          <w:spacing w:val="-7"/>
          <w:w w:val="105"/>
        </w:rPr>
        <w:t> </w:t>
      </w:r>
      <w:r>
        <w:rPr>
          <w:w w:val="105"/>
        </w:rPr>
        <w:t>applying</w:t>
      </w:r>
      <w:r>
        <w:rPr>
          <w:spacing w:val="-8"/>
          <w:w w:val="105"/>
        </w:rPr>
        <w:t> </w:t>
      </w:r>
      <w:r>
        <w:rPr>
          <w:w w:val="105"/>
        </w:rPr>
        <w:t>the</w:t>
      </w:r>
      <w:r>
        <w:rPr>
          <w:spacing w:val="-8"/>
          <w:w w:val="105"/>
        </w:rPr>
        <w:t> </w:t>
      </w:r>
      <w:r>
        <w:rPr>
          <w:w w:val="105"/>
        </w:rPr>
        <w:t>income</w:t>
      </w:r>
      <w:r>
        <w:rPr>
          <w:spacing w:val="-8"/>
          <w:w w:val="105"/>
        </w:rPr>
        <w:t> </w:t>
      </w:r>
      <w:r>
        <w:rPr>
          <w:w w:val="105"/>
        </w:rPr>
        <w:t>approach,</w:t>
      </w:r>
      <w:r>
        <w:rPr>
          <w:spacing w:val="-8"/>
          <w:w w:val="105"/>
        </w:rPr>
        <w:t> </w:t>
      </w:r>
      <w:r>
        <w:rPr>
          <w:w w:val="105"/>
        </w:rPr>
        <w:t>which</w:t>
      </w:r>
      <w:r>
        <w:rPr>
          <w:spacing w:val="-8"/>
          <w:w w:val="105"/>
        </w:rPr>
        <w:t> </w:t>
      </w:r>
      <w:r>
        <w:rPr>
          <w:w w:val="105"/>
        </w:rPr>
        <w:t>was</w:t>
      </w:r>
      <w:r>
        <w:rPr>
          <w:spacing w:val="-8"/>
          <w:w w:val="105"/>
        </w:rPr>
        <w:t> </w:t>
      </w:r>
      <w:r>
        <w:rPr>
          <w:w w:val="105"/>
        </w:rPr>
        <w:t>based</w:t>
      </w:r>
      <w:r>
        <w:rPr>
          <w:spacing w:val="-8"/>
          <w:w w:val="105"/>
        </w:rPr>
        <w:t> </w:t>
      </w:r>
      <w:r>
        <w:rPr>
          <w:w w:val="105"/>
        </w:rPr>
        <w:t>on</w:t>
      </w:r>
      <w:r>
        <w:rPr>
          <w:spacing w:val="-8"/>
          <w:w w:val="105"/>
        </w:rPr>
        <w:t> </w:t>
      </w:r>
      <w:r>
        <w:rPr>
          <w:w w:val="105"/>
        </w:rPr>
        <w:t>significant</w:t>
      </w:r>
      <w:r>
        <w:rPr>
          <w:spacing w:val="-8"/>
          <w:w w:val="105"/>
        </w:rPr>
        <w:t> </w:t>
      </w:r>
      <w:r>
        <w:rPr>
          <w:w w:val="105"/>
        </w:rPr>
        <w:t>assumptions</w:t>
      </w:r>
      <w:r>
        <w:rPr>
          <w:spacing w:val="-8"/>
          <w:w w:val="105"/>
        </w:rPr>
        <w:t> </w:t>
      </w:r>
      <w:r>
        <w:rPr>
          <w:w w:val="105"/>
        </w:rPr>
        <w:t>such</w:t>
      </w:r>
      <w:r>
        <w:rPr>
          <w:spacing w:val="-8"/>
          <w:w w:val="105"/>
        </w:rPr>
        <w:t> </w:t>
      </w:r>
      <w:r>
        <w:rPr>
          <w:w w:val="105"/>
        </w:rPr>
        <w:t>as</w:t>
      </w:r>
      <w:r>
        <w:rPr>
          <w:spacing w:val="-8"/>
          <w:w w:val="105"/>
        </w:rPr>
        <w:t> </w:t>
      </w:r>
      <w:r>
        <w:rPr>
          <w:w w:val="105"/>
        </w:rPr>
        <w:t>projected</w:t>
      </w:r>
      <w:r>
        <w:rPr>
          <w:spacing w:val="-8"/>
          <w:w w:val="105"/>
        </w:rPr>
        <w:t> </w:t>
      </w:r>
      <w:r>
        <w:rPr>
          <w:w w:val="105"/>
        </w:rPr>
        <w:t>revenue and</w:t>
      </w:r>
      <w:r>
        <w:rPr>
          <w:spacing w:val="-4"/>
          <w:w w:val="105"/>
        </w:rPr>
        <w:t> </w:t>
      </w:r>
      <w:r>
        <w:rPr>
          <w:w w:val="105"/>
        </w:rPr>
        <w:t>discount</w:t>
      </w:r>
      <w:r>
        <w:rPr>
          <w:spacing w:val="-4"/>
          <w:w w:val="105"/>
        </w:rPr>
        <w:t> </w:t>
      </w:r>
      <w:r>
        <w:rPr>
          <w:w w:val="105"/>
        </w:rPr>
        <w:t>rate.</w:t>
      </w:r>
      <w:r>
        <w:rPr>
          <w:spacing w:val="-4"/>
          <w:w w:val="105"/>
        </w:rPr>
        <w:t> </w:t>
      </w:r>
      <w:r>
        <w:rPr>
          <w:w w:val="105"/>
        </w:rPr>
        <w:t>The</w:t>
      </w:r>
      <w:r>
        <w:rPr>
          <w:spacing w:val="-4"/>
          <w:w w:val="105"/>
        </w:rPr>
        <w:t> </w:t>
      </w:r>
      <w:r>
        <w:rPr>
          <w:w w:val="105"/>
        </w:rPr>
        <w:t>Company</w:t>
      </w:r>
      <w:r>
        <w:rPr>
          <w:spacing w:val="-4"/>
          <w:w w:val="105"/>
        </w:rPr>
        <w:t> </w:t>
      </w:r>
      <w:r>
        <w:rPr>
          <w:w w:val="105"/>
        </w:rPr>
        <w:t>used</w:t>
      </w:r>
      <w:r>
        <w:rPr>
          <w:spacing w:val="-4"/>
          <w:w w:val="105"/>
        </w:rPr>
        <w:t> </w:t>
      </w:r>
      <w:r>
        <w:rPr>
          <w:w w:val="105"/>
        </w:rPr>
        <w:t>a</w:t>
      </w:r>
      <w:r>
        <w:rPr>
          <w:spacing w:val="-4"/>
          <w:w w:val="105"/>
        </w:rPr>
        <w:t> </w:t>
      </w:r>
      <w:r>
        <w:rPr>
          <w:w w:val="105"/>
        </w:rPr>
        <w:t>discount</w:t>
      </w:r>
      <w:r>
        <w:rPr>
          <w:spacing w:val="-4"/>
          <w:w w:val="105"/>
        </w:rPr>
        <w:t> </w:t>
      </w:r>
      <w:r>
        <w:rPr>
          <w:w w:val="105"/>
        </w:rPr>
        <w:t>rate</w:t>
      </w:r>
      <w:r>
        <w:rPr>
          <w:spacing w:val="-4"/>
          <w:w w:val="105"/>
        </w:rPr>
        <w:t> </w:t>
      </w:r>
      <w:r>
        <w:rPr>
          <w:w w:val="105"/>
        </w:rPr>
        <w:t>of</w:t>
      </w:r>
      <w:r>
        <w:rPr>
          <w:spacing w:val="-4"/>
          <w:w w:val="105"/>
        </w:rPr>
        <w:t> </w:t>
      </w:r>
      <w:r>
        <w:rPr>
          <w:w w:val="105"/>
        </w:rPr>
        <w:t>16.5%</w:t>
      </w:r>
      <w:r>
        <w:rPr>
          <w:spacing w:val="-4"/>
          <w:w w:val="105"/>
        </w:rPr>
        <w:t> </w:t>
      </w:r>
      <w:r>
        <w:rPr>
          <w:w w:val="105"/>
        </w:rPr>
        <w:t>and</w:t>
      </w:r>
      <w:r>
        <w:rPr>
          <w:spacing w:val="-4"/>
          <w:w w:val="105"/>
        </w:rPr>
        <w:t> </w:t>
      </w:r>
      <w:r>
        <w:rPr>
          <w:w w:val="105"/>
        </w:rPr>
        <w:t>terminal</w:t>
      </w:r>
      <w:r>
        <w:rPr>
          <w:spacing w:val="-4"/>
          <w:w w:val="105"/>
        </w:rPr>
        <w:t> </w:t>
      </w:r>
      <w:r>
        <w:rPr>
          <w:w w:val="105"/>
        </w:rPr>
        <w:t>growth</w:t>
      </w:r>
      <w:r>
        <w:rPr>
          <w:spacing w:val="-4"/>
          <w:w w:val="105"/>
        </w:rPr>
        <w:t> </w:t>
      </w:r>
      <w:r>
        <w:rPr>
          <w:w w:val="105"/>
        </w:rPr>
        <w:t>rate</w:t>
      </w:r>
      <w:r>
        <w:rPr>
          <w:spacing w:val="-4"/>
          <w:w w:val="105"/>
        </w:rPr>
        <w:t> </w:t>
      </w:r>
      <w:r>
        <w:rPr>
          <w:w w:val="105"/>
        </w:rPr>
        <w:t>of</w:t>
      </w:r>
      <w:r>
        <w:rPr>
          <w:spacing w:val="-4"/>
          <w:w w:val="105"/>
        </w:rPr>
        <w:t> </w:t>
      </w:r>
      <w:r>
        <w:rPr>
          <w:w w:val="105"/>
        </w:rPr>
        <w:t>zero.</w:t>
      </w:r>
      <w:r>
        <w:rPr>
          <w:spacing w:val="-4"/>
          <w:w w:val="105"/>
        </w:rPr>
        <w:t> </w:t>
      </w:r>
      <w:r>
        <w:rPr>
          <w:w w:val="105"/>
        </w:rPr>
        <w:t>As</w:t>
      </w:r>
      <w:r>
        <w:rPr>
          <w:spacing w:val="-3"/>
          <w:w w:val="105"/>
        </w:rPr>
        <w:t> </w:t>
      </w:r>
      <w:r>
        <w:rPr>
          <w:w w:val="105"/>
        </w:rPr>
        <w:t>no</w:t>
      </w:r>
      <w:r>
        <w:rPr>
          <w:spacing w:val="-4"/>
          <w:w w:val="105"/>
        </w:rPr>
        <w:t> </w:t>
      </w:r>
      <w:r>
        <w:rPr>
          <w:w w:val="105"/>
        </w:rPr>
        <w:t>net-cash</w:t>
      </w:r>
      <w:r>
        <w:rPr>
          <w:spacing w:val="-4"/>
          <w:w w:val="105"/>
        </w:rPr>
        <w:t> </w:t>
      </w:r>
      <w:r>
        <w:rPr>
          <w:w w:val="105"/>
        </w:rPr>
        <w:t>consideration</w:t>
      </w:r>
      <w:r>
        <w:rPr>
          <w:spacing w:val="-4"/>
          <w:w w:val="105"/>
        </w:rPr>
        <w:t> </w:t>
      </w:r>
      <w:r>
        <w:rPr>
          <w:w w:val="105"/>
        </w:rPr>
        <w:t>was</w:t>
      </w:r>
      <w:r>
        <w:rPr>
          <w:spacing w:val="-3"/>
          <w:w w:val="105"/>
        </w:rPr>
        <w:t> </w:t>
      </w:r>
      <w:r>
        <w:rPr>
          <w:w w:val="105"/>
        </w:rPr>
        <w:t>transferred,</w:t>
      </w:r>
      <w:r>
        <w:rPr>
          <w:spacing w:val="-4"/>
          <w:w w:val="105"/>
        </w:rPr>
        <w:t> </w:t>
      </w:r>
      <w:r>
        <w:rPr>
          <w:w w:val="105"/>
        </w:rPr>
        <w:t>the</w:t>
      </w:r>
      <w:r>
        <w:rPr>
          <w:spacing w:val="-4"/>
          <w:w w:val="105"/>
        </w:rPr>
        <w:t> </w:t>
      </w:r>
      <w:r>
        <w:rPr>
          <w:w w:val="105"/>
        </w:rPr>
        <w:t>fair</w:t>
      </w:r>
      <w:r>
        <w:rPr>
          <w:spacing w:val="-4"/>
          <w:w w:val="105"/>
        </w:rPr>
        <w:t> </w:t>
      </w:r>
      <w:r>
        <w:rPr>
          <w:w w:val="105"/>
        </w:rPr>
        <w:t>value</w:t>
      </w:r>
      <w:r>
        <w:rPr>
          <w:spacing w:val="-4"/>
          <w:w w:val="105"/>
        </w:rPr>
        <w:t> </w:t>
      </w:r>
      <w:r>
        <w:rPr>
          <w:w w:val="105"/>
        </w:rPr>
        <w:t>of</w:t>
      </w:r>
      <w:r>
        <w:rPr>
          <w:spacing w:val="-4"/>
          <w:w w:val="105"/>
        </w:rPr>
        <w:t> </w:t>
      </w:r>
      <w:r>
        <w:rPr>
          <w:w w:val="105"/>
        </w:rPr>
        <w:t>Corning’s previously</w:t>
      </w:r>
      <w:r>
        <w:rPr>
          <w:spacing w:val="-2"/>
          <w:w w:val="105"/>
        </w:rPr>
        <w:t> </w:t>
      </w:r>
      <w:r>
        <w:rPr>
          <w:w w:val="105"/>
        </w:rPr>
        <w:t>held</w:t>
      </w:r>
      <w:r>
        <w:rPr>
          <w:spacing w:val="-2"/>
          <w:w w:val="105"/>
        </w:rPr>
        <w:t> </w:t>
      </w:r>
      <w:r>
        <w:rPr>
          <w:w w:val="105"/>
        </w:rPr>
        <w:t>equity</w:t>
      </w:r>
      <w:r>
        <w:rPr>
          <w:spacing w:val="-2"/>
          <w:w w:val="105"/>
        </w:rPr>
        <w:t> </w:t>
      </w:r>
      <w:r>
        <w:rPr>
          <w:w w:val="105"/>
        </w:rPr>
        <w:t>interest</w:t>
      </w:r>
      <w:r>
        <w:rPr>
          <w:spacing w:val="-2"/>
          <w:w w:val="105"/>
        </w:rPr>
        <w:t> </w:t>
      </w:r>
      <w:r>
        <w:rPr>
          <w:w w:val="105"/>
        </w:rPr>
        <w:t>in</w:t>
      </w:r>
      <w:r>
        <w:rPr>
          <w:spacing w:val="-2"/>
          <w:w w:val="105"/>
        </w:rPr>
        <w:t> </w:t>
      </w:r>
      <w:r>
        <w:rPr>
          <w:w w:val="105"/>
        </w:rPr>
        <w:t>HSG</w:t>
      </w:r>
      <w:r>
        <w:rPr>
          <w:spacing w:val="-2"/>
          <w:w w:val="105"/>
        </w:rPr>
        <w:t> </w:t>
      </w:r>
      <w:r>
        <w:rPr>
          <w:w w:val="105"/>
        </w:rPr>
        <w:t>was</w:t>
      </w:r>
      <w:r>
        <w:rPr>
          <w:spacing w:val="-2"/>
          <w:w w:val="105"/>
        </w:rPr>
        <w:t> </w:t>
      </w:r>
      <w:r>
        <w:rPr>
          <w:w w:val="105"/>
        </w:rPr>
        <w:t>used</w:t>
      </w:r>
      <w:r>
        <w:rPr>
          <w:spacing w:val="-2"/>
          <w:w w:val="105"/>
        </w:rPr>
        <w:t> </w:t>
      </w:r>
      <w:r>
        <w:rPr>
          <w:w w:val="105"/>
        </w:rPr>
        <w:t>to</w:t>
      </w:r>
      <w:r>
        <w:rPr>
          <w:spacing w:val="-2"/>
          <w:w w:val="105"/>
        </w:rPr>
        <w:t> </w:t>
      </w:r>
      <w:r>
        <w:rPr>
          <w:w w:val="105"/>
        </w:rPr>
        <w:t>measure</w:t>
      </w:r>
      <w:r>
        <w:rPr>
          <w:spacing w:val="-2"/>
          <w:w w:val="105"/>
        </w:rPr>
        <w:t> </w:t>
      </w:r>
      <w:r>
        <w:rPr>
          <w:w w:val="105"/>
        </w:rPr>
        <w:t>the</w:t>
      </w:r>
      <w:r>
        <w:rPr>
          <w:spacing w:val="-2"/>
          <w:w w:val="105"/>
        </w:rPr>
        <w:t> </w:t>
      </w:r>
      <w:r>
        <w:rPr>
          <w:w w:val="105"/>
        </w:rPr>
        <w:t>goodwill</w:t>
      </w:r>
      <w:r>
        <w:rPr>
          <w:spacing w:val="-2"/>
          <w:w w:val="105"/>
        </w:rPr>
        <w:t> </w:t>
      </w:r>
      <w:r>
        <w:rPr>
          <w:w w:val="105"/>
        </w:rPr>
        <w:t>resulting</w:t>
      </w:r>
      <w:r>
        <w:rPr>
          <w:spacing w:val="-2"/>
          <w:w w:val="105"/>
        </w:rPr>
        <w:t> </w:t>
      </w:r>
      <w:r>
        <w:rPr>
          <w:w w:val="105"/>
        </w:rPr>
        <w:t>from</w:t>
      </w:r>
      <w:r>
        <w:rPr>
          <w:spacing w:val="-2"/>
          <w:w w:val="105"/>
        </w:rPr>
        <w:t> </w:t>
      </w:r>
      <w:r>
        <w:rPr>
          <w:w w:val="105"/>
        </w:rPr>
        <w:t>the</w:t>
      </w:r>
      <w:r>
        <w:rPr>
          <w:spacing w:val="-2"/>
          <w:w w:val="105"/>
        </w:rPr>
        <w:t> </w:t>
      </w:r>
      <w:r>
        <w:rPr>
          <w:w w:val="105"/>
        </w:rPr>
        <w:t>Redemption and</w:t>
      </w:r>
      <w:r>
        <w:rPr>
          <w:spacing w:val="-2"/>
          <w:w w:val="105"/>
        </w:rPr>
        <w:t> </w:t>
      </w:r>
      <w:r>
        <w:rPr>
          <w:w w:val="105"/>
        </w:rPr>
        <w:t>the</w:t>
      </w:r>
      <w:r>
        <w:rPr>
          <w:spacing w:val="-2"/>
          <w:w w:val="105"/>
        </w:rPr>
        <w:t> </w:t>
      </w:r>
      <w:r>
        <w:rPr>
          <w:w w:val="105"/>
        </w:rPr>
        <w:t>Company’s</w:t>
      </w:r>
      <w:r>
        <w:rPr>
          <w:spacing w:val="-2"/>
          <w:w w:val="105"/>
        </w:rPr>
        <w:t> </w:t>
      </w:r>
      <w:r>
        <w:rPr>
          <w:w w:val="105"/>
        </w:rPr>
        <w:t>controlling</w:t>
      </w:r>
      <w:r>
        <w:rPr>
          <w:spacing w:val="-2"/>
          <w:w w:val="105"/>
        </w:rPr>
        <w:t> </w:t>
      </w:r>
      <w:r>
        <w:rPr>
          <w:w w:val="105"/>
        </w:rPr>
        <w:t>interest</w:t>
      </w:r>
      <w:r>
        <w:rPr>
          <w:spacing w:val="-2"/>
          <w:w w:val="105"/>
        </w:rPr>
        <w:t> </w:t>
      </w:r>
      <w:r>
        <w:rPr>
          <w:w w:val="105"/>
        </w:rPr>
        <w:t>after</w:t>
      </w:r>
      <w:r>
        <w:rPr>
          <w:spacing w:val="-2"/>
          <w:w w:val="105"/>
        </w:rPr>
        <w:t> </w:t>
      </w:r>
      <w:r>
        <w:rPr>
          <w:w w:val="105"/>
        </w:rPr>
        <w:t>the</w:t>
      </w:r>
      <w:r>
        <w:rPr>
          <w:spacing w:val="-2"/>
          <w:w w:val="105"/>
        </w:rPr>
        <w:t> </w:t>
      </w:r>
      <w:r>
        <w:rPr>
          <w:w w:val="105"/>
        </w:rPr>
        <w:t>Redemption.</w:t>
      </w:r>
    </w:p>
    <w:p>
      <w:pPr>
        <w:pStyle w:val="BodyText"/>
        <w:spacing w:before="18"/>
      </w:pPr>
    </w:p>
    <w:p>
      <w:pPr>
        <w:pStyle w:val="BodyText"/>
        <w:spacing w:line="266" w:lineRule="auto"/>
        <w:ind w:left="156" w:right="125"/>
      </w:pPr>
      <w:r>
        <w:rPr>
          <w:w w:val="105"/>
        </w:rPr>
        <w:t>Corning</w:t>
      </w:r>
      <w:r>
        <w:rPr>
          <w:spacing w:val="-4"/>
          <w:w w:val="105"/>
        </w:rPr>
        <w:t> </w:t>
      </w:r>
      <w:r>
        <w:rPr>
          <w:w w:val="105"/>
        </w:rPr>
        <w:t>recognized</w:t>
      </w:r>
      <w:r>
        <w:rPr>
          <w:spacing w:val="-4"/>
          <w:w w:val="105"/>
        </w:rPr>
        <w:t> </w:t>
      </w:r>
      <w:r>
        <w:rPr>
          <w:w w:val="105"/>
        </w:rPr>
        <w:t>a</w:t>
      </w:r>
      <w:r>
        <w:rPr>
          <w:spacing w:val="-4"/>
          <w:w w:val="105"/>
        </w:rPr>
        <w:t> </w:t>
      </w:r>
      <w:r>
        <w:rPr>
          <w:w w:val="105"/>
        </w:rPr>
        <w:t>pre-tax</w:t>
      </w:r>
      <w:r>
        <w:rPr>
          <w:spacing w:val="-4"/>
          <w:w w:val="105"/>
        </w:rPr>
        <w:t> </w:t>
      </w:r>
      <w:r>
        <w:rPr>
          <w:w w:val="105"/>
        </w:rPr>
        <w:t>gain</w:t>
      </w:r>
      <w:r>
        <w:rPr>
          <w:spacing w:val="-4"/>
          <w:w w:val="105"/>
        </w:rPr>
        <w:t> </w:t>
      </w:r>
      <w:r>
        <w:rPr>
          <w:w w:val="105"/>
        </w:rPr>
        <w:t>of</w:t>
      </w:r>
      <w:r>
        <w:rPr>
          <w:spacing w:val="-4"/>
          <w:w w:val="105"/>
        </w:rPr>
        <w:t> </w:t>
      </w:r>
      <w:r>
        <w:rPr>
          <w:w w:val="105"/>
        </w:rPr>
        <w:t>$498</w:t>
      </w:r>
      <w:r>
        <w:rPr>
          <w:spacing w:val="-4"/>
          <w:w w:val="105"/>
        </w:rPr>
        <w:t> </w:t>
      </w:r>
      <w:r>
        <w:rPr>
          <w:w w:val="105"/>
        </w:rPr>
        <w:t>million</w:t>
      </w:r>
      <w:r>
        <w:rPr>
          <w:spacing w:val="-4"/>
          <w:w w:val="105"/>
        </w:rPr>
        <w:t> </w:t>
      </w:r>
      <w:r>
        <w:rPr>
          <w:w w:val="105"/>
        </w:rPr>
        <w:t>on</w:t>
      </w:r>
      <w:r>
        <w:rPr>
          <w:spacing w:val="-4"/>
          <w:w w:val="105"/>
        </w:rPr>
        <w:t> </w:t>
      </w:r>
      <w:r>
        <w:rPr>
          <w:w w:val="105"/>
        </w:rPr>
        <w:t>its</w:t>
      </w:r>
      <w:r>
        <w:rPr>
          <w:spacing w:val="-4"/>
          <w:w w:val="105"/>
        </w:rPr>
        <w:t> </w:t>
      </w:r>
      <w:r>
        <w:rPr>
          <w:w w:val="105"/>
        </w:rPr>
        <w:t>previously</w:t>
      </w:r>
      <w:r>
        <w:rPr>
          <w:spacing w:val="-4"/>
          <w:w w:val="105"/>
        </w:rPr>
        <w:t> </w:t>
      </w:r>
      <w:r>
        <w:rPr>
          <w:w w:val="105"/>
        </w:rPr>
        <w:t>held</w:t>
      </w:r>
      <w:r>
        <w:rPr>
          <w:spacing w:val="-4"/>
          <w:w w:val="105"/>
        </w:rPr>
        <w:t> </w:t>
      </w:r>
      <w:r>
        <w:rPr>
          <w:w w:val="105"/>
        </w:rPr>
        <w:t>equity</w:t>
      </w:r>
      <w:r>
        <w:rPr>
          <w:spacing w:val="-4"/>
          <w:w w:val="105"/>
        </w:rPr>
        <w:t> </w:t>
      </w:r>
      <w:r>
        <w:rPr>
          <w:w w:val="105"/>
        </w:rPr>
        <w:t>investment</w:t>
      </w:r>
      <w:r>
        <w:rPr>
          <w:spacing w:val="-2"/>
          <w:w w:val="105"/>
        </w:rPr>
        <w:t> </w:t>
      </w:r>
      <w:r>
        <w:rPr>
          <w:w w:val="105"/>
        </w:rPr>
        <w:t>in</w:t>
      </w:r>
      <w:r>
        <w:rPr>
          <w:spacing w:val="-4"/>
          <w:w w:val="105"/>
        </w:rPr>
        <w:t> </w:t>
      </w:r>
      <w:r>
        <w:rPr>
          <w:w w:val="105"/>
        </w:rPr>
        <w:t>HSG</w:t>
      </w:r>
      <w:r>
        <w:rPr>
          <w:spacing w:val="-4"/>
          <w:w w:val="105"/>
        </w:rPr>
        <w:t> </w:t>
      </w:r>
      <w:r>
        <w:rPr>
          <w:w w:val="105"/>
        </w:rPr>
        <w:t>as</w:t>
      </w:r>
      <w:r>
        <w:rPr>
          <w:spacing w:val="-4"/>
          <w:w w:val="105"/>
        </w:rPr>
        <w:t> </w:t>
      </w:r>
      <w:r>
        <w:rPr>
          <w:w w:val="105"/>
        </w:rPr>
        <w:t>a</w:t>
      </w:r>
      <w:r>
        <w:rPr>
          <w:spacing w:val="-4"/>
          <w:w w:val="105"/>
        </w:rPr>
        <w:t> </w:t>
      </w:r>
      <w:r>
        <w:rPr>
          <w:w w:val="105"/>
        </w:rPr>
        <w:t>result</w:t>
      </w:r>
      <w:r>
        <w:rPr>
          <w:spacing w:val="-4"/>
          <w:w w:val="105"/>
        </w:rPr>
        <w:t> </w:t>
      </w:r>
      <w:r>
        <w:rPr>
          <w:w w:val="105"/>
        </w:rPr>
        <w:t>of</w:t>
      </w:r>
      <w:r>
        <w:rPr>
          <w:spacing w:val="-4"/>
          <w:w w:val="105"/>
        </w:rPr>
        <w:t> </w:t>
      </w:r>
      <w:r>
        <w:rPr>
          <w:w w:val="105"/>
        </w:rPr>
        <w:t>the</w:t>
      </w:r>
      <w:r>
        <w:rPr>
          <w:spacing w:val="-4"/>
          <w:w w:val="105"/>
        </w:rPr>
        <w:t> </w:t>
      </w:r>
      <w:r>
        <w:rPr>
          <w:w w:val="105"/>
        </w:rPr>
        <w:t>consolidation</w:t>
      </w:r>
      <w:r>
        <w:rPr>
          <w:spacing w:val="-2"/>
          <w:w w:val="105"/>
        </w:rPr>
        <w:t> </w:t>
      </w:r>
      <w:r>
        <w:rPr>
          <w:w w:val="105"/>
        </w:rPr>
        <w:t>resulting</w:t>
      </w:r>
      <w:r>
        <w:rPr>
          <w:spacing w:val="-4"/>
          <w:w w:val="105"/>
        </w:rPr>
        <w:t> </w:t>
      </w:r>
      <w:r>
        <w:rPr>
          <w:w w:val="105"/>
        </w:rPr>
        <w:t>from</w:t>
      </w:r>
      <w:r>
        <w:rPr>
          <w:spacing w:val="-4"/>
          <w:w w:val="105"/>
        </w:rPr>
        <w:t> </w:t>
      </w:r>
      <w:r>
        <w:rPr>
          <w:w w:val="105"/>
        </w:rPr>
        <w:t>the</w:t>
      </w:r>
      <w:r>
        <w:rPr>
          <w:spacing w:val="-4"/>
          <w:w w:val="105"/>
        </w:rPr>
        <w:t> </w:t>
      </w:r>
      <w:r>
        <w:rPr>
          <w:w w:val="105"/>
        </w:rPr>
        <w:t>Redemption.</w:t>
      </w:r>
      <w:r>
        <w:rPr>
          <w:spacing w:val="-4"/>
          <w:w w:val="105"/>
        </w:rPr>
        <w:t> </w:t>
      </w:r>
      <w:r>
        <w:rPr>
          <w:w w:val="105"/>
        </w:rPr>
        <w:t>The</w:t>
      </w:r>
      <w:r>
        <w:rPr>
          <w:spacing w:val="-4"/>
          <w:w w:val="105"/>
        </w:rPr>
        <w:t> </w:t>
      </w:r>
      <w:r>
        <w:rPr>
          <w:w w:val="105"/>
        </w:rPr>
        <w:t>gain was</w:t>
      </w:r>
      <w:r>
        <w:rPr>
          <w:spacing w:val="-8"/>
          <w:w w:val="105"/>
        </w:rPr>
        <w:t> </w:t>
      </w:r>
      <w:r>
        <w:rPr>
          <w:w w:val="105"/>
        </w:rPr>
        <w:t>calculated</w:t>
      </w:r>
      <w:r>
        <w:rPr>
          <w:spacing w:val="-8"/>
          <w:w w:val="105"/>
        </w:rPr>
        <w:t> </w:t>
      </w:r>
      <w:r>
        <w:rPr>
          <w:w w:val="105"/>
        </w:rPr>
        <w:t>based</w:t>
      </w:r>
      <w:r>
        <w:rPr>
          <w:spacing w:val="-8"/>
          <w:w w:val="105"/>
        </w:rPr>
        <w:t> </w:t>
      </w:r>
      <w:r>
        <w:rPr>
          <w:w w:val="105"/>
        </w:rPr>
        <w:t>on</w:t>
      </w:r>
      <w:r>
        <w:rPr>
          <w:spacing w:val="-8"/>
          <w:w w:val="105"/>
        </w:rPr>
        <w:t> </w:t>
      </w:r>
      <w:r>
        <w:rPr>
          <w:w w:val="105"/>
        </w:rPr>
        <w:t>the</w:t>
      </w:r>
      <w:r>
        <w:rPr>
          <w:spacing w:val="-8"/>
          <w:w w:val="105"/>
        </w:rPr>
        <w:t> </w:t>
      </w:r>
      <w:r>
        <w:rPr>
          <w:w w:val="105"/>
        </w:rPr>
        <w:t>difference</w:t>
      </w:r>
      <w:r>
        <w:rPr>
          <w:spacing w:val="-8"/>
          <w:w w:val="105"/>
        </w:rPr>
        <w:t> </w:t>
      </w:r>
      <w:r>
        <w:rPr>
          <w:w w:val="105"/>
        </w:rPr>
        <w:t>between</w:t>
      </w:r>
      <w:r>
        <w:rPr>
          <w:spacing w:val="-8"/>
          <w:w w:val="105"/>
        </w:rPr>
        <w:t> </w:t>
      </w:r>
      <w:r>
        <w:rPr>
          <w:w w:val="105"/>
        </w:rPr>
        <w:t>the</w:t>
      </w:r>
      <w:r>
        <w:rPr>
          <w:spacing w:val="-7"/>
          <w:w w:val="105"/>
        </w:rPr>
        <w:t> </w:t>
      </w:r>
      <w:r>
        <w:rPr>
          <w:w w:val="105"/>
        </w:rPr>
        <w:t>fair</w:t>
      </w:r>
      <w:r>
        <w:rPr>
          <w:spacing w:val="-8"/>
          <w:w w:val="105"/>
        </w:rPr>
        <w:t> </w:t>
      </w:r>
      <w:r>
        <w:rPr>
          <w:w w:val="105"/>
        </w:rPr>
        <w:t>value</w:t>
      </w:r>
      <w:r>
        <w:rPr>
          <w:spacing w:val="-8"/>
          <w:w w:val="105"/>
        </w:rPr>
        <w:t> </w:t>
      </w:r>
      <w:r>
        <w:rPr>
          <w:w w:val="105"/>
        </w:rPr>
        <w:t>and</w:t>
      </w:r>
      <w:r>
        <w:rPr>
          <w:spacing w:val="-8"/>
          <w:w w:val="105"/>
        </w:rPr>
        <w:t> </w:t>
      </w:r>
      <w:r>
        <w:rPr>
          <w:w w:val="105"/>
        </w:rPr>
        <w:t>carrying</w:t>
      </w:r>
      <w:r>
        <w:rPr>
          <w:spacing w:val="-8"/>
          <w:w w:val="105"/>
        </w:rPr>
        <w:t> </w:t>
      </w:r>
      <w:r>
        <w:rPr>
          <w:w w:val="105"/>
        </w:rPr>
        <w:t>value</w:t>
      </w:r>
      <w:r>
        <w:rPr>
          <w:spacing w:val="-8"/>
          <w:w w:val="105"/>
        </w:rPr>
        <w:t> </w:t>
      </w:r>
      <w:r>
        <w:rPr>
          <w:w w:val="105"/>
        </w:rPr>
        <w:t>of</w:t>
      </w:r>
      <w:r>
        <w:rPr>
          <w:spacing w:val="-8"/>
          <w:w w:val="105"/>
        </w:rPr>
        <w:t> </w:t>
      </w:r>
      <w:r>
        <w:rPr>
          <w:w w:val="105"/>
        </w:rPr>
        <w:t>the</w:t>
      </w:r>
      <w:r>
        <w:rPr>
          <w:spacing w:val="-8"/>
          <w:w w:val="105"/>
        </w:rPr>
        <w:t> </w:t>
      </w:r>
      <w:r>
        <w:rPr>
          <w:w w:val="105"/>
        </w:rPr>
        <w:t>equity</w:t>
      </w:r>
      <w:r>
        <w:rPr>
          <w:spacing w:val="-8"/>
          <w:w w:val="105"/>
        </w:rPr>
        <w:t> </w:t>
      </w:r>
      <w:r>
        <w:rPr>
          <w:w w:val="105"/>
        </w:rPr>
        <w:t>method</w:t>
      </w:r>
      <w:r>
        <w:rPr>
          <w:spacing w:val="-8"/>
          <w:w w:val="105"/>
        </w:rPr>
        <w:t> </w:t>
      </w:r>
      <w:r>
        <w:rPr>
          <w:w w:val="105"/>
        </w:rPr>
        <w:t>investment</w:t>
      </w:r>
      <w:r>
        <w:rPr>
          <w:spacing w:val="-8"/>
          <w:w w:val="105"/>
        </w:rPr>
        <w:t> </w:t>
      </w:r>
      <w:r>
        <w:rPr>
          <w:w w:val="105"/>
        </w:rPr>
        <w:t>immediately</w:t>
      </w:r>
      <w:r>
        <w:rPr>
          <w:spacing w:val="-8"/>
          <w:w w:val="105"/>
        </w:rPr>
        <w:t> </w:t>
      </w:r>
      <w:r>
        <w:rPr>
          <w:w w:val="105"/>
        </w:rPr>
        <w:t>preceding</w:t>
      </w:r>
      <w:r>
        <w:rPr>
          <w:spacing w:val="-8"/>
          <w:w w:val="105"/>
        </w:rPr>
        <w:t> </w:t>
      </w:r>
      <w:r>
        <w:rPr>
          <w:w w:val="105"/>
        </w:rPr>
        <w:t>the</w:t>
      </w:r>
      <w:r>
        <w:rPr>
          <w:spacing w:val="-8"/>
          <w:w w:val="105"/>
        </w:rPr>
        <w:t> </w:t>
      </w:r>
      <w:r>
        <w:rPr>
          <w:w w:val="105"/>
        </w:rPr>
        <w:t>Redemption</w:t>
      </w:r>
      <w:r>
        <w:rPr>
          <w:spacing w:val="-8"/>
          <w:w w:val="105"/>
        </w:rPr>
        <w:t> </w:t>
      </w:r>
      <w:r>
        <w:rPr>
          <w:w w:val="105"/>
        </w:rPr>
        <w:t>and</w:t>
      </w:r>
      <w:r>
        <w:rPr>
          <w:spacing w:val="-7"/>
          <w:w w:val="105"/>
        </w:rPr>
        <w:t> </w:t>
      </w:r>
      <w:r>
        <w:rPr>
          <w:w w:val="105"/>
        </w:rPr>
        <w:t>included</w:t>
      </w:r>
      <w:r>
        <w:rPr>
          <w:spacing w:val="-8"/>
          <w:w w:val="105"/>
        </w:rPr>
        <w:t> </w:t>
      </w:r>
      <w:r>
        <w:rPr>
          <w:w w:val="105"/>
        </w:rPr>
        <w:t>in</w:t>
      </w:r>
      <w:r>
        <w:rPr>
          <w:spacing w:val="-8"/>
          <w:w w:val="105"/>
        </w:rPr>
        <w:t> </w:t>
      </w:r>
      <w:r>
        <w:rPr>
          <w:w w:val="105"/>
        </w:rPr>
        <w:t>the transaction-related gain, net in Corning’s consolidated statements of income for the year ended December 31, 2020.</w:t>
      </w:r>
    </w:p>
    <w:p>
      <w:pPr>
        <w:pStyle w:val="BodyText"/>
        <w:spacing w:before="9"/>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4"/>
        <w:gridCol w:w="2911"/>
        <w:gridCol w:w="970"/>
      </w:tblGrid>
      <w:tr>
        <w:trPr>
          <w:trHeight w:val="310" w:hRule="atLeast"/>
        </w:trPr>
        <w:tc>
          <w:tcPr>
            <w:tcW w:w="7634" w:type="dxa"/>
            <w:tcBorders>
              <w:bottom w:val="single" w:sz="12" w:space="0" w:color="000000"/>
            </w:tcBorders>
          </w:tcPr>
          <w:p>
            <w:pPr>
              <w:pStyle w:val="TableParagraph"/>
              <w:spacing w:line="182" w:lineRule="exact"/>
              <w:rPr>
                <w:sz w:val="16"/>
              </w:rPr>
            </w:pPr>
            <w:r>
              <w:rPr>
                <w:w w:val="105"/>
                <w:sz w:val="16"/>
              </w:rPr>
              <w:t>The</w:t>
            </w:r>
            <w:r>
              <w:rPr>
                <w:spacing w:val="-9"/>
                <w:w w:val="105"/>
                <w:sz w:val="16"/>
              </w:rPr>
              <w:t> </w:t>
            </w:r>
            <w:r>
              <w:rPr>
                <w:w w:val="105"/>
                <w:sz w:val="16"/>
              </w:rPr>
              <w:t>net</w:t>
            </w:r>
            <w:r>
              <w:rPr>
                <w:spacing w:val="-8"/>
                <w:w w:val="105"/>
                <w:sz w:val="16"/>
              </w:rPr>
              <w:t> </w:t>
            </w:r>
            <w:r>
              <w:rPr>
                <w:w w:val="105"/>
                <w:sz w:val="16"/>
              </w:rPr>
              <w:t>gain</w:t>
            </w:r>
            <w:r>
              <w:rPr>
                <w:spacing w:val="-9"/>
                <w:w w:val="105"/>
                <w:sz w:val="16"/>
              </w:rPr>
              <w:t> </w:t>
            </w:r>
            <w:r>
              <w:rPr>
                <w:w w:val="105"/>
                <w:sz w:val="16"/>
              </w:rPr>
              <w:t>on</w:t>
            </w:r>
            <w:r>
              <w:rPr>
                <w:spacing w:val="-8"/>
                <w:w w:val="105"/>
                <w:sz w:val="16"/>
              </w:rPr>
              <w:t> </w:t>
            </w:r>
            <w:r>
              <w:rPr>
                <w:w w:val="105"/>
                <w:sz w:val="16"/>
              </w:rPr>
              <w:t>previously</w:t>
            </w:r>
            <w:r>
              <w:rPr>
                <w:spacing w:val="-9"/>
                <w:w w:val="105"/>
                <w:sz w:val="16"/>
              </w:rPr>
              <w:t> </w:t>
            </w:r>
            <w:r>
              <w:rPr>
                <w:w w:val="105"/>
                <w:sz w:val="16"/>
              </w:rPr>
              <w:t>owned</w:t>
            </w:r>
            <w:r>
              <w:rPr>
                <w:spacing w:val="-8"/>
                <w:w w:val="105"/>
                <w:sz w:val="16"/>
              </w:rPr>
              <w:t> </w:t>
            </w:r>
            <w:r>
              <w:rPr>
                <w:w w:val="105"/>
                <w:sz w:val="16"/>
              </w:rPr>
              <w:t>equity</w:t>
            </w:r>
            <w:r>
              <w:rPr>
                <w:spacing w:val="-9"/>
                <w:w w:val="105"/>
                <w:sz w:val="16"/>
              </w:rPr>
              <w:t> </w:t>
            </w:r>
            <w:r>
              <w:rPr>
                <w:w w:val="105"/>
                <w:sz w:val="16"/>
              </w:rPr>
              <w:t>was</w:t>
            </w:r>
            <w:r>
              <w:rPr>
                <w:spacing w:val="-7"/>
                <w:w w:val="105"/>
                <w:sz w:val="16"/>
              </w:rPr>
              <w:t> </w:t>
            </w:r>
            <w:r>
              <w:rPr>
                <w:w w:val="105"/>
                <w:sz w:val="16"/>
              </w:rPr>
              <w:t>calculated</w:t>
            </w:r>
            <w:r>
              <w:rPr>
                <w:spacing w:val="-8"/>
                <w:w w:val="105"/>
                <w:sz w:val="16"/>
              </w:rPr>
              <w:t> </w:t>
            </w:r>
            <w:r>
              <w:rPr>
                <w:w w:val="105"/>
                <w:sz w:val="16"/>
              </w:rPr>
              <w:t>as</w:t>
            </w:r>
            <w:r>
              <w:rPr>
                <w:spacing w:val="-9"/>
                <w:w w:val="105"/>
                <w:sz w:val="16"/>
              </w:rPr>
              <w:t> </w:t>
            </w:r>
            <w:r>
              <w:rPr>
                <w:w w:val="105"/>
                <w:sz w:val="16"/>
              </w:rPr>
              <w:t>follows</w:t>
            </w:r>
            <w:r>
              <w:rPr>
                <w:spacing w:val="-8"/>
                <w:w w:val="105"/>
                <w:sz w:val="16"/>
              </w:rPr>
              <w:t> </w:t>
            </w:r>
            <w:r>
              <w:rPr>
                <w:w w:val="105"/>
                <w:sz w:val="16"/>
              </w:rPr>
              <w:t>(in</w:t>
            </w:r>
            <w:r>
              <w:rPr>
                <w:spacing w:val="-7"/>
                <w:w w:val="105"/>
                <w:sz w:val="16"/>
              </w:rPr>
              <w:t> </w:t>
            </w:r>
            <w:r>
              <w:rPr>
                <w:spacing w:val="-2"/>
                <w:w w:val="105"/>
                <w:sz w:val="16"/>
              </w:rPr>
              <w:t>millions):</w:t>
            </w:r>
          </w:p>
        </w:tc>
        <w:tc>
          <w:tcPr>
            <w:tcW w:w="3881" w:type="dxa"/>
            <w:gridSpan w:val="2"/>
            <w:tcBorders>
              <w:bottom w:val="single" w:sz="12" w:space="0" w:color="000000"/>
            </w:tcBorders>
          </w:tcPr>
          <w:p>
            <w:pPr>
              <w:pStyle w:val="TableParagraph"/>
              <w:rPr>
                <w:sz w:val="16"/>
              </w:rPr>
            </w:pPr>
          </w:p>
        </w:tc>
      </w:tr>
      <w:tr>
        <w:trPr>
          <w:trHeight w:val="201" w:hRule="atLeast"/>
        </w:trPr>
        <w:tc>
          <w:tcPr>
            <w:tcW w:w="7634" w:type="dxa"/>
            <w:tcBorders>
              <w:top w:val="single" w:sz="12" w:space="0" w:color="000000"/>
            </w:tcBorders>
            <w:shd w:val="clear" w:color="auto" w:fill="CCEDFF"/>
          </w:tcPr>
          <w:p>
            <w:pPr>
              <w:pStyle w:val="TableParagraph"/>
              <w:spacing w:line="180" w:lineRule="exact" w:before="1"/>
              <w:rPr>
                <w:sz w:val="16"/>
              </w:rPr>
            </w:pPr>
            <w:r>
              <w:rPr>
                <w:w w:val="105"/>
                <w:sz w:val="16"/>
              </w:rPr>
              <w:t>Fair</w:t>
            </w:r>
            <w:r>
              <w:rPr>
                <w:spacing w:val="-8"/>
                <w:w w:val="105"/>
                <w:sz w:val="16"/>
              </w:rPr>
              <w:t> </w:t>
            </w:r>
            <w:r>
              <w:rPr>
                <w:w w:val="105"/>
                <w:sz w:val="16"/>
              </w:rPr>
              <w:t>value</w:t>
            </w:r>
            <w:r>
              <w:rPr>
                <w:spacing w:val="-8"/>
                <w:w w:val="105"/>
                <w:sz w:val="16"/>
              </w:rPr>
              <w:t> </w:t>
            </w:r>
            <w:r>
              <w:rPr>
                <w:w w:val="105"/>
                <w:sz w:val="16"/>
              </w:rPr>
              <w:t>of</w:t>
            </w:r>
            <w:r>
              <w:rPr>
                <w:spacing w:val="-8"/>
                <w:w w:val="105"/>
                <w:sz w:val="16"/>
              </w:rPr>
              <w:t> </w:t>
            </w:r>
            <w:r>
              <w:rPr>
                <w:w w:val="105"/>
                <w:sz w:val="16"/>
              </w:rPr>
              <w:t>previously</w:t>
            </w:r>
            <w:r>
              <w:rPr>
                <w:spacing w:val="-8"/>
                <w:w w:val="105"/>
                <w:sz w:val="16"/>
              </w:rPr>
              <w:t> </w:t>
            </w:r>
            <w:r>
              <w:rPr>
                <w:w w:val="105"/>
                <w:sz w:val="16"/>
              </w:rPr>
              <w:t>held</w:t>
            </w:r>
            <w:r>
              <w:rPr>
                <w:spacing w:val="-6"/>
                <w:w w:val="105"/>
                <w:sz w:val="16"/>
              </w:rPr>
              <w:t> </w:t>
            </w:r>
            <w:r>
              <w:rPr>
                <w:w w:val="105"/>
                <w:sz w:val="16"/>
              </w:rPr>
              <w:t>equity</w:t>
            </w:r>
            <w:r>
              <w:rPr>
                <w:spacing w:val="-8"/>
                <w:w w:val="105"/>
                <w:sz w:val="16"/>
              </w:rPr>
              <w:t> </w:t>
            </w:r>
            <w:r>
              <w:rPr>
                <w:spacing w:val="-2"/>
                <w:w w:val="105"/>
                <w:sz w:val="16"/>
              </w:rPr>
              <w:t>investment</w:t>
            </w:r>
          </w:p>
        </w:tc>
        <w:tc>
          <w:tcPr>
            <w:tcW w:w="2911" w:type="dxa"/>
            <w:tcBorders>
              <w:top w:val="single" w:sz="12" w:space="0" w:color="000000"/>
            </w:tcBorders>
            <w:shd w:val="clear" w:color="auto" w:fill="CCEDFF"/>
          </w:tcPr>
          <w:p>
            <w:pPr>
              <w:pStyle w:val="TableParagraph"/>
              <w:spacing w:line="180" w:lineRule="exact" w:before="1"/>
              <w:ind w:right="549"/>
              <w:jc w:val="right"/>
              <w:rPr>
                <w:sz w:val="16"/>
              </w:rPr>
            </w:pPr>
            <w:r>
              <w:rPr>
                <w:spacing w:val="-10"/>
                <w:w w:val="105"/>
                <w:sz w:val="16"/>
              </w:rPr>
              <w:t>$</w:t>
            </w:r>
          </w:p>
        </w:tc>
        <w:tc>
          <w:tcPr>
            <w:tcW w:w="970" w:type="dxa"/>
            <w:tcBorders>
              <w:top w:val="single" w:sz="12" w:space="0" w:color="000000"/>
            </w:tcBorders>
            <w:shd w:val="clear" w:color="auto" w:fill="CCEDFF"/>
          </w:tcPr>
          <w:p>
            <w:pPr>
              <w:pStyle w:val="TableParagraph"/>
              <w:spacing w:line="180" w:lineRule="exact" w:before="1"/>
              <w:ind w:right="112"/>
              <w:jc w:val="right"/>
              <w:rPr>
                <w:sz w:val="16"/>
              </w:rPr>
            </w:pPr>
            <w:r>
              <w:rPr>
                <w:spacing w:val="-5"/>
                <w:w w:val="105"/>
                <w:sz w:val="16"/>
              </w:rPr>
              <w:t>250</w:t>
            </w:r>
          </w:p>
        </w:tc>
      </w:tr>
      <w:tr>
        <w:trPr>
          <w:trHeight w:val="202" w:hRule="atLeast"/>
        </w:trPr>
        <w:tc>
          <w:tcPr>
            <w:tcW w:w="7634" w:type="dxa"/>
            <w:tcBorders>
              <w:bottom w:val="single" w:sz="6" w:space="0" w:color="000000"/>
            </w:tcBorders>
          </w:tcPr>
          <w:p>
            <w:pPr>
              <w:pStyle w:val="TableParagraph"/>
              <w:spacing w:line="179" w:lineRule="exact" w:before="3"/>
              <w:rPr>
                <w:sz w:val="16"/>
              </w:rPr>
            </w:pPr>
            <w:r>
              <w:rPr>
                <w:w w:val="105"/>
                <w:sz w:val="16"/>
              </w:rPr>
              <w:t>Equity</w:t>
            </w:r>
            <w:r>
              <w:rPr>
                <w:spacing w:val="-11"/>
                <w:w w:val="105"/>
                <w:sz w:val="16"/>
              </w:rPr>
              <w:t> </w:t>
            </w:r>
            <w:r>
              <w:rPr>
                <w:w w:val="105"/>
                <w:sz w:val="16"/>
              </w:rPr>
              <w:t>investment</w:t>
            </w:r>
            <w:r>
              <w:rPr>
                <w:spacing w:val="-10"/>
                <w:w w:val="105"/>
                <w:sz w:val="16"/>
              </w:rPr>
              <w:t> </w:t>
            </w:r>
            <w:r>
              <w:rPr>
                <w:w w:val="105"/>
                <w:sz w:val="16"/>
              </w:rPr>
              <w:t>liability</w:t>
            </w:r>
            <w:r>
              <w:rPr>
                <w:spacing w:val="-10"/>
                <w:w w:val="105"/>
                <w:sz w:val="16"/>
              </w:rPr>
              <w:t> </w:t>
            </w:r>
            <w:r>
              <w:rPr>
                <w:w w:val="105"/>
                <w:sz w:val="16"/>
              </w:rPr>
              <w:t>balance</w:t>
            </w:r>
            <w:r>
              <w:rPr>
                <w:spacing w:val="-10"/>
                <w:w w:val="105"/>
                <w:sz w:val="16"/>
              </w:rPr>
              <w:t> </w:t>
            </w:r>
            <w:r>
              <w:rPr>
                <w:w w:val="105"/>
                <w:sz w:val="16"/>
              </w:rPr>
              <w:t>as</w:t>
            </w:r>
            <w:r>
              <w:rPr>
                <w:spacing w:val="-10"/>
                <w:w w:val="105"/>
                <w:sz w:val="16"/>
              </w:rPr>
              <w:t> </w:t>
            </w:r>
            <w:r>
              <w:rPr>
                <w:w w:val="105"/>
                <w:sz w:val="16"/>
              </w:rPr>
              <w:t>of</w:t>
            </w:r>
            <w:r>
              <w:rPr>
                <w:spacing w:val="-10"/>
                <w:w w:val="105"/>
                <w:sz w:val="16"/>
              </w:rPr>
              <w:t> </w:t>
            </w:r>
            <w:r>
              <w:rPr>
                <w:w w:val="105"/>
                <w:sz w:val="16"/>
              </w:rPr>
              <w:t>acquisition</w:t>
            </w:r>
            <w:r>
              <w:rPr>
                <w:spacing w:val="-10"/>
                <w:w w:val="105"/>
                <w:sz w:val="16"/>
              </w:rPr>
              <w:t> </w:t>
            </w:r>
            <w:r>
              <w:rPr>
                <w:spacing w:val="-4"/>
                <w:w w:val="105"/>
                <w:sz w:val="16"/>
              </w:rPr>
              <w:t>date</w:t>
            </w:r>
          </w:p>
        </w:tc>
        <w:tc>
          <w:tcPr>
            <w:tcW w:w="2911" w:type="dxa"/>
            <w:tcBorders>
              <w:bottom w:val="single" w:sz="6" w:space="0" w:color="000000"/>
            </w:tcBorders>
          </w:tcPr>
          <w:p>
            <w:pPr>
              <w:pStyle w:val="TableParagraph"/>
              <w:rPr>
                <w:sz w:val="14"/>
              </w:rPr>
            </w:pPr>
          </w:p>
        </w:tc>
        <w:tc>
          <w:tcPr>
            <w:tcW w:w="970" w:type="dxa"/>
            <w:tcBorders>
              <w:bottom w:val="single" w:sz="6" w:space="0" w:color="000000"/>
            </w:tcBorders>
          </w:tcPr>
          <w:p>
            <w:pPr>
              <w:pStyle w:val="TableParagraph"/>
              <w:spacing w:line="179" w:lineRule="exact" w:before="3"/>
              <w:ind w:right="58"/>
              <w:jc w:val="right"/>
              <w:rPr>
                <w:sz w:val="16"/>
              </w:rPr>
            </w:pPr>
            <w:r>
              <w:rPr>
                <w:spacing w:val="-2"/>
                <w:w w:val="105"/>
                <w:sz w:val="16"/>
              </w:rPr>
              <w:t>(248)</w:t>
            </w:r>
          </w:p>
        </w:tc>
      </w:tr>
      <w:tr>
        <w:trPr>
          <w:trHeight w:val="199" w:hRule="atLeast"/>
        </w:trPr>
        <w:tc>
          <w:tcPr>
            <w:tcW w:w="7634"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Corning's</w:t>
            </w:r>
            <w:r>
              <w:rPr>
                <w:spacing w:val="-11"/>
                <w:w w:val="105"/>
                <w:sz w:val="16"/>
              </w:rPr>
              <w:t> </w:t>
            </w:r>
            <w:r>
              <w:rPr>
                <w:w w:val="105"/>
                <w:sz w:val="16"/>
              </w:rPr>
              <w:t>gain</w:t>
            </w:r>
            <w:r>
              <w:rPr>
                <w:spacing w:val="-10"/>
                <w:w w:val="105"/>
                <w:sz w:val="16"/>
              </w:rPr>
              <w:t> </w:t>
            </w:r>
            <w:r>
              <w:rPr>
                <w:w w:val="105"/>
                <w:sz w:val="16"/>
              </w:rPr>
              <w:t>on</w:t>
            </w:r>
            <w:r>
              <w:rPr>
                <w:spacing w:val="-10"/>
                <w:w w:val="105"/>
                <w:sz w:val="16"/>
              </w:rPr>
              <w:t> </w:t>
            </w:r>
            <w:r>
              <w:rPr>
                <w:w w:val="105"/>
                <w:sz w:val="16"/>
              </w:rPr>
              <w:t>previously</w:t>
            </w:r>
            <w:r>
              <w:rPr>
                <w:spacing w:val="-11"/>
                <w:w w:val="105"/>
                <w:sz w:val="16"/>
              </w:rPr>
              <w:t> </w:t>
            </w:r>
            <w:r>
              <w:rPr>
                <w:w w:val="105"/>
                <w:sz w:val="16"/>
              </w:rPr>
              <w:t>held</w:t>
            </w:r>
            <w:r>
              <w:rPr>
                <w:spacing w:val="-10"/>
                <w:w w:val="105"/>
                <w:sz w:val="16"/>
              </w:rPr>
              <w:t> </w:t>
            </w:r>
            <w:r>
              <w:rPr>
                <w:w w:val="105"/>
                <w:sz w:val="16"/>
              </w:rPr>
              <w:t>equity</w:t>
            </w:r>
            <w:r>
              <w:rPr>
                <w:spacing w:val="-9"/>
                <w:w w:val="105"/>
                <w:sz w:val="16"/>
              </w:rPr>
              <w:t> </w:t>
            </w:r>
            <w:r>
              <w:rPr>
                <w:spacing w:val="-2"/>
                <w:w w:val="105"/>
                <w:sz w:val="16"/>
              </w:rPr>
              <w:t>investment</w:t>
            </w:r>
          </w:p>
        </w:tc>
        <w:tc>
          <w:tcPr>
            <w:tcW w:w="2911" w:type="dxa"/>
            <w:tcBorders>
              <w:top w:val="single" w:sz="6" w:space="0" w:color="000000"/>
              <w:bottom w:val="double" w:sz="6" w:space="0" w:color="000000"/>
            </w:tcBorders>
            <w:shd w:val="clear" w:color="auto" w:fill="CCEDFF"/>
          </w:tcPr>
          <w:p>
            <w:pPr>
              <w:pStyle w:val="TableParagraph"/>
              <w:spacing w:line="177" w:lineRule="exact" w:before="2"/>
              <w:ind w:right="549"/>
              <w:jc w:val="right"/>
              <w:rPr>
                <w:sz w:val="16"/>
              </w:rPr>
            </w:pPr>
            <w:r>
              <w:rPr>
                <w:spacing w:val="-10"/>
                <w:w w:val="105"/>
                <w:sz w:val="16"/>
              </w:rPr>
              <w:t>$</w:t>
            </w:r>
          </w:p>
        </w:tc>
        <w:tc>
          <w:tcPr>
            <w:tcW w:w="970" w:type="dxa"/>
            <w:tcBorders>
              <w:top w:val="single" w:sz="6" w:space="0" w:color="000000"/>
              <w:bottom w:val="double" w:sz="6" w:space="0" w:color="000000"/>
            </w:tcBorders>
            <w:shd w:val="clear" w:color="auto" w:fill="CCEDFF"/>
          </w:tcPr>
          <w:p>
            <w:pPr>
              <w:pStyle w:val="TableParagraph"/>
              <w:spacing w:line="177" w:lineRule="exact" w:before="2"/>
              <w:ind w:right="112"/>
              <w:jc w:val="right"/>
              <w:rPr>
                <w:sz w:val="16"/>
              </w:rPr>
            </w:pPr>
            <w:r>
              <w:rPr>
                <w:spacing w:val="-5"/>
                <w:w w:val="105"/>
                <w:sz w:val="16"/>
              </w:rPr>
              <w:t>498</w:t>
            </w:r>
          </w:p>
        </w:tc>
      </w:tr>
    </w:tbl>
    <w:p>
      <w:pPr>
        <w:pStyle w:val="BodyText"/>
        <w:spacing w:before="22"/>
      </w:pPr>
    </w:p>
    <w:p>
      <w:pPr>
        <w:pStyle w:val="BodyText"/>
        <w:spacing w:line="266" w:lineRule="auto"/>
        <w:ind w:left="156" w:right="117"/>
      </w:pPr>
      <w:r>
        <w:rPr>
          <w:w w:val="105"/>
        </w:rPr>
        <w:t>The</w:t>
      </w:r>
      <w:r>
        <w:rPr>
          <w:spacing w:val="-9"/>
          <w:w w:val="105"/>
        </w:rPr>
        <w:t> </w:t>
      </w:r>
      <w:r>
        <w:rPr>
          <w:w w:val="105"/>
        </w:rPr>
        <w:t>following</w:t>
      </w:r>
      <w:r>
        <w:rPr>
          <w:spacing w:val="-9"/>
          <w:w w:val="105"/>
        </w:rPr>
        <w:t> </w:t>
      </w:r>
      <w:r>
        <w:rPr>
          <w:w w:val="105"/>
        </w:rPr>
        <w:t>table</w:t>
      </w:r>
      <w:r>
        <w:rPr>
          <w:spacing w:val="-9"/>
          <w:w w:val="105"/>
        </w:rPr>
        <w:t> </w:t>
      </w:r>
      <w:r>
        <w:rPr>
          <w:w w:val="105"/>
        </w:rPr>
        <w:t>summarizes</w:t>
      </w:r>
      <w:r>
        <w:rPr>
          <w:spacing w:val="-9"/>
          <w:w w:val="105"/>
        </w:rPr>
        <w:t> </w:t>
      </w:r>
      <w:r>
        <w:rPr>
          <w:w w:val="105"/>
        </w:rPr>
        <w:t>the</w:t>
      </w:r>
      <w:r>
        <w:rPr>
          <w:spacing w:val="-9"/>
          <w:w w:val="105"/>
        </w:rPr>
        <w:t> </w:t>
      </w:r>
      <w:r>
        <w:rPr>
          <w:w w:val="105"/>
        </w:rPr>
        <w:t>amounts</w:t>
      </w:r>
      <w:r>
        <w:rPr>
          <w:spacing w:val="-9"/>
          <w:w w:val="105"/>
        </w:rPr>
        <w:t> </w:t>
      </w:r>
      <w:r>
        <w:rPr>
          <w:w w:val="105"/>
        </w:rPr>
        <w:t>of</w:t>
      </w:r>
      <w:r>
        <w:rPr>
          <w:spacing w:val="-9"/>
          <w:w w:val="105"/>
        </w:rPr>
        <w:t> </w:t>
      </w:r>
      <w:r>
        <w:rPr>
          <w:w w:val="105"/>
        </w:rPr>
        <w:t>recorded</w:t>
      </w:r>
      <w:r>
        <w:rPr>
          <w:spacing w:val="-9"/>
          <w:w w:val="105"/>
        </w:rPr>
        <w:t> </w:t>
      </w:r>
      <w:r>
        <w:rPr>
          <w:w w:val="105"/>
        </w:rPr>
        <w:t>assets</w:t>
      </w:r>
      <w:r>
        <w:rPr>
          <w:spacing w:val="-9"/>
          <w:w w:val="105"/>
        </w:rPr>
        <w:t> </w:t>
      </w:r>
      <w:r>
        <w:rPr>
          <w:w w:val="105"/>
        </w:rPr>
        <w:t>acquired</w:t>
      </w:r>
      <w:r>
        <w:rPr>
          <w:spacing w:val="-9"/>
          <w:w w:val="105"/>
        </w:rPr>
        <w:t> </w:t>
      </w:r>
      <w:r>
        <w:rPr>
          <w:w w:val="105"/>
        </w:rPr>
        <w:t>and</w:t>
      </w:r>
      <w:r>
        <w:rPr>
          <w:spacing w:val="-9"/>
          <w:w w:val="105"/>
        </w:rPr>
        <w:t> </w:t>
      </w:r>
      <w:r>
        <w:rPr>
          <w:w w:val="105"/>
        </w:rPr>
        <w:t>liabilities</w:t>
      </w:r>
      <w:r>
        <w:rPr>
          <w:spacing w:val="-9"/>
          <w:w w:val="105"/>
        </w:rPr>
        <w:t> </w:t>
      </w:r>
      <w:r>
        <w:rPr>
          <w:w w:val="105"/>
        </w:rPr>
        <w:t>assumed</w:t>
      </w:r>
      <w:r>
        <w:rPr>
          <w:spacing w:val="-9"/>
          <w:w w:val="105"/>
        </w:rPr>
        <w:t> </w:t>
      </w:r>
      <w:r>
        <w:rPr>
          <w:w w:val="105"/>
        </w:rPr>
        <w:t>on</w:t>
      </w:r>
      <w:r>
        <w:rPr>
          <w:spacing w:val="-7"/>
          <w:w w:val="105"/>
        </w:rPr>
        <w:t> </w:t>
      </w:r>
      <w:r>
        <w:rPr>
          <w:w w:val="105"/>
        </w:rPr>
        <w:t>September</w:t>
      </w:r>
      <w:r>
        <w:rPr>
          <w:spacing w:val="-9"/>
          <w:w w:val="105"/>
        </w:rPr>
        <w:t> </w:t>
      </w:r>
      <w:r>
        <w:rPr>
          <w:w w:val="105"/>
        </w:rPr>
        <w:t>9,</w:t>
      </w:r>
      <w:r>
        <w:rPr>
          <w:spacing w:val="-9"/>
          <w:w w:val="105"/>
        </w:rPr>
        <w:t> </w:t>
      </w:r>
      <w:r>
        <w:rPr>
          <w:w w:val="105"/>
        </w:rPr>
        <w:t>2020,</w:t>
      </w:r>
      <w:r>
        <w:rPr>
          <w:spacing w:val="-8"/>
          <w:w w:val="105"/>
        </w:rPr>
        <w:t> </w:t>
      </w:r>
      <w:r>
        <w:rPr>
          <w:w w:val="105"/>
        </w:rPr>
        <w:t>which</w:t>
      </w:r>
      <w:r>
        <w:rPr>
          <w:spacing w:val="-9"/>
          <w:w w:val="105"/>
        </w:rPr>
        <w:t> </w:t>
      </w:r>
      <w:r>
        <w:rPr>
          <w:w w:val="105"/>
        </w:rPr>
        <w:t>include</w:t>
      </w:r>
      <w:r>
        <w:rPr>
          <w:spacing w:val="-9"/>
          <w:w w:val="105"/>
        </w:rPr>
        <w:t> </w:t>
      </w:r>
      <w:r>
        <w:rPr>
          <w:w w:val="105"/>
        </w:rPr>
        <w:t>the</w:t>
      </w:r>
      <w:r>
        <w:rPr>
          <w:spacing w:val="-9"/>
          <w:w w:val="105"/>
        </w:rPr>
        <w:t> </w:t>
      </w:r>
      <w:r>
        <w:rPr>
          <w:w w:val="105"/>
        </w:rPr>
        <w:t>TCS</w:t>
      </w:r>
      <w:r>
        <w:rPr>
          <w:spacing w:val="-9"/>
          <w:w w:val="105"/>
        </w:rPr>
        <w:t> </w:t>
      </w:r>
      <w:r>
        <w:rPr>
          <w:w w:val="105"/>
        </w:rPr>
        <w:t>assets</w:t>
      </w:r>
      <w:r>
        <w:rPr>
          <w:spacing w:val="-9"/>
          <w:w w:val="105"/>
        </w:rPr>
        <w:t> </w:t>
      </w:r>
      <w:r>
        <w:rPr>
          <w:w w:val="105"/>
        </w:rPr>
        <w:t>and</w:t>
      </w:r>
      <w:r>
        <w:rPr>
          <w:spacing w:val="-9"/>
          <w:w w:val="105"/>
        </w:rPr>
        <w:t> </w:t>
      </w:r>
      <w:r>
        <w:rPr>
          <w:w w:val="105"/>
        </w:rPr>
        <w:t>liabilities</w:t>
      </w:r>
      <w:r>
        <w:rPr>
          <w:spacing w:val="-9"/>
          <w:w w:val="105"/>
        </w:rPr>
        <w:t> </w:t>
      </w:r>
      <w:r>
        <w:rPr>
          <w:w w:val="105"/>
        </w:rPr>
        <w:t>acquired by HSG immediately prior to the Redemption and the consolidation by Corning.</w:t>
      </w:r>
    </w:p>
    <w:p>
      <w:pPr>
        <w:pStyle w:val="BodyText"/>
        <w:spacing w:before="9"/>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3"/>
        <w:gridCol w:w="2540"/>
        <w:gridCol w:w="1033"/>
      </w:tblGrid>
      <w:tr>
        <w:trPr>
          <w:trHeight w:val="310" w:hRule="atLeast"/>
        </w:trPr>
        <w:tc>
          <w:tcPr>
            <w:tcW w:w="7943" w:type="dxa"/>
            <w:tcBorders>
              <w:bottom w:val="single" w:sz="12" w:space="0" w:color="000000"/>
            </w:tcBorders>
          </w:tcPr>
          <w:p>
            <w:pPr>
              <w:pStyle w:val="TableParagraph"/>
              <w:spacing w:line="182" w:lineRule="exact"/>
              <w:rPr>
                <w:sz w:val="16"/>
              </w:rPr>
            </w:pPr>
            <w:r>
              <w:rPr>
                <w:w w:val="105"/>
                <w:sz w:val="16"/>
              </w:rPr>
              <w:t>Recognized</w:t>
            </w:r>
            <w:r>
              <w:rPr>
                <w:spacing w:val="-10"/>
                <w:w w:val="105"/>
                <w:sz w:val="16"/>
              </w:rPr>
              <w:t> </w:t>
            </w:r>
            <w:r>
              <w:rPr>
                <w:w w:val="105"/>
                <w:sz w:val="16"/>
              </w:rPr>
              <w:t>amounts</w:t>
            </w:r>
            <w:r>
              <w:rPr>
                <w:spacing w:val="-9"/>
                <w:w w:val="105"/>
                <w:sz w:val="16"/>
              </w:rPr>
              <w:t> </w:t>
            </w:r>
            <w:r>
              <w:rPr>
                <w:w w:val="105"/>
                <w:sz w:val="16"/>
              </w:rPr>
              <w:t>of</w:t>
            </w:r>
            <w:r>
              <w:rPr>
                <w:spacing w:val="-10"/>
                <w:w w:val="105"/>
                <w:sz w:val="16"/>
              </w:rPr>
              <w:t> </w:t>
            </w:r>
            <w:r>
              <w:rPr>
                <w:w w:val="105"/>
                <w:sz w:val="16"/>
              </w:rPr>
              <w:t>identified</w:t>
            </w:r>
            <w:r>
              <w:rPr>
                <w:spacing w:val="-9"/>
                <w:w w:val="105"/>
                <w:sz w:val="16"/>
              </w:rPr>
              <w:t> </w:t>
            </w:r>
            <w:r>
              <w:rPr>
                <w:w w:val="105"/>
                <w:sz w:val="16"/>
              </w:rPr>
              <w:t>assets</w:t>
            </w:r>
            <w:r>
              <w:rPr>
                <w:spacing w:val="-10"/>
                <w:w w:val="105"/>
                <w:sz w:val="16"/>
              </w:rPr>
              <w:t> </w:t>
            </w:r>
            <w:r>
              <w:rPr>
                <w:w w:val="105"/>
                <w:sz w:val="16"/>
              </w:rPr>
              <w:t>and</w:t>
            </w:r>
            <w:r>
              <w:rPr>
                <w:spacing w:val="-9"/>
                <w:w w:val="105"/>
                <w:sz w:val="16"/>
              </w:rPr>
              <w:t> </w:t>
            </w:r>
            <w:r>
              <w:rPr>
                <w:w w:val="105"/>
                <w:sz w:val="16"/>
              </w:rPr>
              <w:t>liabilities</w:t>
            </w:r>
            <w:r>
              <w:rPr>
                <w:spacing w:val="-10"/>
                <w:w w:val="105"/>
                <w:sz w:val="16"/>
              </w:rPr>
              <w:t> </w:t>
            </w:r>
            <w:r>
              <w:rPr>
                <w:w w:val="105"/>
                <w:sz w:val="16"/>
              </w:rPr>
              <w:t>recorded</w:t>
            </w:r>
            <w:r>
              <w:rPr>
                <w:spacing w:val="-9"/>
                <w:w w:val="105"/>
                <w:sz w:val="16"/>
              </w:rPr>
              <w:t> </w:t>
            </w:r>
            <w:r>
              <w:rPr>
                <w:w w:val="105"/>
                <w:sz w:val="16"/>
              </w:rPr>
              <w:t>at</w:t>
            </w:r>
            <w:r>
              <w:rPr>
                <w:spacing w:val="-9"/>
                <w:w w:val="105"/>
                <w:sz w:val="16"/>
              </w:rPr>
              <w:t> </w:t>
            </w:r>
            <w:r>
              <w:rPr>
                <w:w w:val="105"/>
                <w:sz w:val="16"/>
              </w:rPr>
              <w:t>fair</w:t>
            </w:r>
            <w:r>
              <w:rPr>
                <w:spacing w:val="-10"/>
                <w:w w:val="105"/>
                <w:sz w:val="16"/>
              </w:rPr>
              <w:t> </w:t>
            </w:r>
            <w:r>
              <w:rPr>
                <w:w w:val="105"/>
                <w:sz w:val="16"/>
              </w:rPr>
              <w:t>value</w:t>
            </w:r>
            <w:r>
              <w:rPr>
                <w:spacing w:val="-9"/>
                <w:w w:val="105"/>
                <w:sz w:val="16"/>
              </w:rPr>
              <w:t> </w:t>
            </w:r>
            <w:r>
              <w:rPr>
                <w:w w:val="105"/>
                <w:sz w:val="16"/>
              </w:rPr>
              <w:t>(in</w:t>
            </w:r>
            <w:r>
              <w:rPr>
                <w:spacing w:val="-10"/>
                <w:w w:val="105"/>
                <w:sz w:val="16"/>
              </w:rPr>
              <w:t> </w:t>
            </w:r>
            <w:r>
              <w:rPr>
                <w:spacing w:val="-2"/>
                <w:w w:val="105"/>
                <w:sz w:val="16"/>
              </w:rPr>
              <w:t>millions):</w:t>
            </w:r>
          </w:p>
        </w:tc>
        <w:tc>
          <w:tcPr>
            <w:tcW w:w="3573" w:type="dxa"/>
            <w:gridSpan w:val="2"/>
            <w:tcBorders>
              <w:bottom w:val="single" w:sz="12" w:space="0" w:color="000000"/>
            </w:tcBorders>
          </w:tcPr>
          <w:p>
            <w:pPr>
              <w:pStyle w:val="TableParagraph"/>
              <w:rPr>
                <w:sz w:val="16"/>
              </w:rPr>
            </w:pPr>
          </w:p>
        </w:tc>
      </w:tr>
      <w:tr>
        <w:trPr>
          <w:trHeight w:val="201" w:hRule="atLeast"/>
        </w:trPr>
        <w:tc>
          <w:tcPr>
            <w:tcW w:w="7943" w:type="dxa"/>
            <w:tcBorders>
              <w:top w:val="single" w:sz="12" w:space="0" w:color="000000"/>
            </w:tcBorders>
            <w:shd w:val="clear" w:color="auto" w:fill="CCEDFF"/>
          </w:tcPr>
          <w:p>
            <w:pPr>
              <w:pStyle w:val="TableParagraph"/>
              <w:spacing w:line="180" w:lineRule="exact" w:before="1"/>
              <w:rPr>
                <w:sz w:val="16"/>
              </w:rPr>
            </w:pPr>
            <w:r>
              <w:rPr>
                <w:spacing w:val="-2"/>
                <w:w w:val="105"/>
                <w:sz w:val="16"/>
              </w:rPr>
              <w:t>Inventory</w:t>
            </w:r>
          </w:p>
        </w:tc>
        <w:tc>
          <w:tcPr>
            <w:tcW w:w="2540" w:type="dxa"/>
            <w:tcBorders>
              <w:top w:val="single" w:sz="12" w:space="0" w:color="000000"/>
            </w:tcBorders>
            <w:shd w:val="clear" w:color="auto" w:fill="CCEDFF"/>
          </w:tcPr>
          <w:p>
            <w:pPr>
              <w:pStyle w:val="TableParagraph"/>
              <w:spacing w:line="180" w:lineRule="exact" w:before="1"/>
              <w:ind w:right="487"/>
              <w:jc w:val="right"/>
              <w:rPr>
                <w:sz w:val="16"/>
              </w:rPr>
            </w:pPr>
            <w:r>
              <w:rPr>
                <w:spacing w:val="-10"/>
                <w:w w:val="105"/>
                <w:sz w:val="16"/>
              </w:rPr>
              <w:t>$</w:t>
            </w:r>
          </w:p>
        </w:tc>
        <w:tc>
          <w:tcPr>
            <w:tcW w:w="1033" w:type="dxa"/>
            <w:tcBorders>
              <w:top w:val="single" w:sz="12" w:space="0" w:color="000000"/>
            </w:tcBorders>
            <w:shd w:val="clear" w:color="auto" w:fill="CCEDFF"/>
          </w:tcPr>
          <w:p>
            <w:pPr>
              <w:pStyle w:val="TableParagraph"/>
              <w:spacing w:line="180" w:lineRule="exact" w:before="1"/>
              <w:ind w:right="113"/>
              <w:jc w:val="right"/>
              <w:rPr>
                <w:sz w:val="16"/>
              </w:rPr>
            </w:pPr>
            <w:r>
              <w:rPr>
                <w:spacing w:val="-5"/>
                <w:w w:val="105"/>
                <w:sz w:val="16"/>
              </w:rPr>
              <w:t>503</w:t>
            </w:r>
          </w:p>
        </w:tc>
      </w:tr>
      <w:tr>
        <w:trPr>
          <w:trHeight w:val="203" w:hRule="atLeast"/>
        </w:trPr>
        <w:tc>
          <w:tcPr>
            <w:tcW w:w="7943" w:type="dxa"/>
          </w:tcPr>
          <w:p>
            <w:pPr>
              <w:pStyle w:val="TableParagraph"/>
              <w:spacing w:line="180" w:lineRule="exact" w:before="3"/>
              <w:rPr>
                <w:sz w:val="16"/>
              </w:rPr>
            </w:pPr>
            <w:r>
              <w:rPr>
                <w:w w:val="105"/>
                <w:sz w:val="16"/>
              </w:rPr>
              <w:t>Property,</w:t>
            </w:r>
            <w:r>
              <w:rPr>
                <w:spacing w:val="-9"/>
                <w:w w:val="105"/>
                <w:sz w:val="16"/>
              </w:rPr>
              <w:t> </w:t>
            </w:r>
            <w:r>
              <w:rPr>
                <w:w w:val="105"/>
                <w:sz w:val="16"/>
              </w:rPr>
              <w:t>plant</w:t>
            </w:r>
            <w:r>
              <w:rPr>
                <w:spacing w:val="-9"/>
                <w:w w:val="105"/>
                <w:sz w:val="16"/>
              </w:rPr>
              <w:t> </w:t>
            </w:r>
            <w:r>
              <w:rPr>
                <w:w w:val="105"/>
                <w:sz w:val="16"/>
              </w:rPr>
              <w:t>and</w:t>
            </w:r>
            <w:r>
              <w:rPr>
                <w:spacing w:val="-8"/>
                <w:w w:val="105"/>
                <w:sz w:val="16"/>
              </w:rPr>
              <w:t> </w:t>
            </w:r>
            <w:r>
              <w:rPr>
                <w:spacing w:val="-2"/>
                <w:w w:val="105"/>
                <w:sz w:val="16"/>
              </w:rPr>
              <w:t>equipment</w:t>
            </w:r>
          </w:p>
        </w:tc>
        <w:tc>
          <w:tcPr>
            <w:tcW w:w="2540" w:type="dxa"/>
          </w:tcPr>
          <w:p>
            <w:pPr>
              <w:pStyle w:val="TableParagraph"/>
              <w:rPr>
                <w:sz w:val="14"/>
              </w:rPr>
            </w:pPr>
          </w:p>
        </w:tc>
        <w:tc>
          <w:tcPr>
            <w:tcW w:w="1033" w:type="dxa"/>
          </w:tcPr>
          <w:p>
            <w:pPr>
              <w:pStyle w:val="TableParagraph"/>
              <w:spacing w:line="180" w:lineRule="exact" w:before="3"/>
              <w:ind w:right="113"/>
              <w:jc w:val="right"/>
              <w:rPr>
                <w:sz w:val="16"/>
              </w:rPr>
            </w:pPr>
            <w:r>
              <w:rPr>
                <w:spacing w:val="-5"/>
                <w:w w:val="105"/>
                <w:sz w:val="16"/>
              </w:rPr>
              <w:t>651</w:t>
            </w:r>
          </w:p>
        </w:tc>
      </w:tr>
      <w:tr>
        <w:trPr>
          <w:trHeight w:val="203" w:hRule="atLeast"/>
        </w:trPr>
        <w:tc>
          <w:tcPr>
            <w:tcW w:w="7943" w:type="dxa"/>
            <w:shd w:val="clear" w:color="auto" w:fill="CCEDFF"/>
          </w:tcPr>
          <w:p>
            <w:pPr>
              <w:pStyle w:val="TableParagraph"/>
              <w:spacing w:line="180" w:lineRule="exact" w:before="3"/>
              <w:rPr>
                <w:sz w:val="16"/>
              </w:rPr>
            </w:pPr>
            <w:r>
              <w:rPr>
                <w:sz w:val="16"/>
              </w:rPr>
              <w:t>Intangible</w:t>
            </w:r>
            <w:r>
              <w:rPr>
                <w:spacing w:val="20"/>
                <w:sz w:val="16"/>
              </w:rPr>
              <w:t> </w:t>
            </w:r>
            <w:r>
              <w:rPr>
                <w:spacing w:val="-2"/>
                <w:sz w:val="16"/>
              </w:rPr>
              <w:t>assets</w:t>
            </w:r>
          </w:p>
        </w:tc>
        <w:tc>
          <w:tcPr>
            <w:tcW w:w="254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113"/>
              <w:jc w:val="right"/>
              <w:rPr>
                <w:sz w:val="16"/>
              </w:rPr>
            </w:pPr>
            <w:r>
              <w:rPr>
                <w:spacing w:val="-5"/>
                <w:w w:val="105"/>
                <w:sz w:val="16"/>
              </w:rPr>
              <w:t>285</w:t>
            </w:r>
          </w:p>
        </w:tc>
      </w:tr>
      <w:tr>
        <w:trPr>
          <w:trHeight w:val="203" w:hRule="atLeast"/>
        </w:trPr>
        <w:tc>
          <w:tcPr>
            <w:tcW w:w="7943" w:type="dxa"/>
          </w:tcPr>
          <w:p>
            <w:pPr>
              <w:pStyle w:val="TableParagraph"/>
              <w:spacing w:line="180" w:lineRule="exact" w:before="3"/>
              <w:rPr>
                <w:sz w:val="14"/>
              </w:rPr>
            </w:pPr>
            <w:r>
              <w:rPr>
                <w:w w:val="105"/>
                <w:sz w:val="16"/>
              </w:rPr>
              <w:t>Other</w:t>
            </w:r>
            <w:r>
              <w:rPr>
                <w:spacing w:val="-11"/>
                <w:w w:val="105"/>
                <w:sz w:val="16"/>
              </w:rPr>
              <w:t> </w:t>
            </w:r>
            <w:r>
              <w:rPr>
                <w:w w:val="105"/>
                <w:sz w:val="16"/>
              </w:rPr>
              <w:t>current</w:t>
            </w:r>
            <w:r>
              <w:rPr>
                <w:spacing w:val="-10"/>
                <w:w w:val="105"/>
                <w:sz w:val="16"/>
              </w:rPr>
              <w:t> </w:t>
            </w:r>
            <w:r>
              <w:rPr>
                <w:w w:val="105"/>
                <w:sz w:val="16"/>
              </w:rPr>
              <w:t>and</w:t>
            </w:r>
            <w:r>
              <w:rPr>
                <w:spacing w:val="-10"/>
                <w:w w:val="105"/>
                <w:sz w:val="16"/>
              </w:rPr>
              <w:t> </w:t>
            </w:r>
            <w:r>
              <w:rPr>
                <w:w w:val="105"/>
                <w:sz w:val="16"/>
              </w:rPr>
              <w:t>non-current</w:t>
            </w:r>
            <w:r>
              <w:rPr>
                <w:spacing w:val="-10"/>
                <w:w w:val="105"/>
                <w:sz w:val="16"/>
              </w:rPr>
              <w:t> </w:t>
            </w:r>
            <w:r>
              <w:rPr>
                <w:w w:val="105"/>
                <w:sz w:val="16"/>
              </w:rPr>
              <w:t>assets</w:t>
            </w:r>
            <w:r>
              <w:rPr>
                <w:spacing w:val="-10"/>
                <w:w w:val="105"/>
                <w:sz w:val="16"/>
              </w:rPr>
              <w:t> </w:t>
            </w:r>
            <w:r>
              <w:rPr>
                <w:spacing w:val="-5"/>
                <w:w w:val="105"/>
                <w:sz w:val="14"/>
              </w:rPr>
              <w:t>(1)</w:t>
            </w:r>
          </w:p>
        </w:tc>
        <w:tc>
          <w:tcPr>
            <w:tcW w:w="2540" w:type="dxa"/>
          </w:tcPr>
          <w:p>
            <w:pPr>
              <w:pStyle w:val="TableParagraph"/>
              <w:rPr>
                <w:sz w:val="14"/>
              </w:rPr>
            </w:pPr>
          </w:p>
        </w:tc>
        <w:tc>
          <w:tcPr>
            <w:tcW w:w="1033" w:type="dxa"/>
          </w:tcPr>
          <w:p>
            <w:pPr>
              <w:pStyle w:val="TableParagraph"/>
              <w:spacing w:line="180" w:lineRule="exact" w:before="3"/>
              <w:ind w:right="113"/>
              <w:jc w:val="right"/>
              <w:rPr>
                <w:sz w:val="16"/>
              </w:rPr>
            </w:pPr>
            <w:r>
              <w:rPr>
                <w:spacing w:val="-5"/>
                <w:w w:val="105"/>
                <w:sz w:val="16"/>
              </w:rPr>
              <w:t>173</w:t>
            </w:r>
          </w:p>
        </w:tc>
      </w:tr>
      <w:tr>
        <w:trPr>
          <w:trHeight w:val="203" w:hRule="atLeast"/>
        </w:trPr>
        <w:tc>
          <w:tcPr>
            <w:tcW w:w="7943" w:type="dxa"/>
            <w:shd w:val="clear" w:color="auto" w:fill="CCEDFF"/>
          </w:tcPr>
          <w:p>
            <w:pPr>
              <w:pStyle w:val="TableParagraph"/>
              <w:spacing w:line="180" w:lineRule="exact" w:before="3"/>
              <w:rPr>
                <w:sz w:val="16"/>
              </w:rPr>
            </w:pPr>
            <w:r>
              <w:rPr>
                <w:sz w:val="16"/>
              </w:rPr>
              <w:t>Short-term</w:t>
            </w:r>
            <w:r>
              <w:rPr>
                <w:spacing w:val="21"/>
                <w:sz w:val="16"/>
              </w:rPr>
              <w:t> </w:t>
            </w:r>
            <w:r>
              <w:rPr>
                <w:spacing w:val="-2"/>
                <w:sz w:val="16"/>
              </w:rPr>
              <w:t>borrowings</w:t>
            </w:r>
          </w:p>
        </w:tc>
        <w:tc>
          <w:tcPr>
            <w:tcW w:w="254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59"/>
              <w:jc w:val="right"/>
              <w:rPr>
                <w:sz w:val="16"/>
              </w:rPr>
            </w:pPr>
            <w:r>
              <w:rPr>
                <w:spacing w:val="-2"/>
                <w:w w:val="105"/>
                <w:sz w:val="16"/>
              </w:rPr>
              <w:t>(178)</w:t>
            </w:r>
          </w:p>
        </w:tc>
      </w:tr>
      <w:tr>
        <w:trPr>
          <w:trHeight w:val="203" w:hRule="atLeast"/>
        </w:trPr>
        <w:tc>
          <w:tcPr>
            <w:tcW w:w="7943" w:type="dxa"/>
          </w:tcPr>
          <w:p>
            <w:pPr>
              <w:pStyle w:val="TableParagraph"/>
              <w:spacing w:line="180" w:lineRule="exact" w:before="3"/>
              <w:rPr>
                <w:sz w:val="16"/>
              </w:rPr>
            </w:pPr>
            <w:r>
              <w:rPr>
                <w:w w:val="105"/>
                <w:sz w:val="16"/>
              </w:rPr>
              <w:t>Trade</w:t>
            </w:r>
            <w:r>
              <w:rPr>
                <w:spacing w:val="-10"/>
                <w:w w:val="105"/>
                <w:sz w:val="16"/>
              </w:rPr>
              <w:t> </w:t>
            </w:r>
            <w:r>
              <w:rPr>
                <w:w w:val="105"/>
                <w:sz w:val="16"/>
              </w:rPr>
              <w:t>payables</w:t>
            </w:r>
            <w:r>
              <w:rPr>
                <w:spacing w:val="-10"/>
                <w:w w:val="105"/>
                <w:sz w:val="16"/>
              </w:rPr>
              <w:t> </w:t>
            </w:r>
            <w:r>
              <w:rPr>
                <w:w w:val="105"/>
                <w:sz w:val="16"/>
              </w:rPr>
              <w:t>and</w:t>
            </w:r>
            <w:r>
              <w:rPr>
                <w:spacing w:val="-10"/>
                <w:w w:val="105"/>
                <w:sz w:val="16"/>
              </w:rPr>
              <w:t> </w:t>
            </w:r>
            <w:r>
              <w:rPr>
                <w:w w:val="105"/>
                <w:sz w:val="16"/>
              </w:rPr>
              <w:t>other</w:t>
            </w:r>
            <w:r>
              <w:rPr>
                <w:spacing w:val="-10"/>
                <w:w w:val="105"/>
                <w:sz w:val="16"/>
              </w:rPr>
              <w:t> </w:t>
            </w:r>
            <w:r>
              <w:rPr>
                <w:w w:val="105"/>
                <w:sz w:val="16"/>
              </w:rPr>
              <w:t>accrued</w:t>
            </w:r>
            <w:r>
              <w:rPr>
                <w:spacing w:val="-10"/>
                <w:w w:val="105"/>
                <w:sz w:val="16"/>
              </w:rPr>
              <w:t> </w:t>
            </w:r>
            <w:r>
              <w:rPr>
                <w:spacing w:val="-2"/>
                <w:w w:val="105"/>
                <w:sz w:val="16"/>
              </w:rPr>
              <w:t>liabilities</w:t>
            </w:r>
          </w:p>
        </w:tc>
        <w:tc>
          <w:tcPr>
            <w:tcW w:w="2540" w:type="dxa"/>
          </w:tcPr>
          <w:p>
            <w:pPr>
              <w:pStyle w:val="TableParagraph"/>
              <w:rPr>
                <w:sz w:val="14"/>
              </w:rPr>
            </w:pPr>
          </w:p>
        </w:tc>
        <w:tc>
          <w:tcPr>
            <w:tcW w:w="1033" w:type="dxa"/>
          </w:tcPr>
          <w:p>
            <w:pPr>
              <w:pStyle w:val="TableParagraph"/>
              <w:spacing w:line="180" w:lineRule="exact" w:before="3"/>
              <w:ind w:right="59"/>
              <w:jc w:val="right"/>
              <w:rPr>
                <w:sz w:val="16"/>
              </w:rPr>
            </w:pPr>
            <w:r>
              <w:rPr>
                <w:spacing w:val="-2"/>
                <w:w w:val="105"/>
                <w:sz w:val="16"/>
              </w:rPr>
              <w:t>(329)</w:t>
            </w:r>
          </w:p>
        </w:tc>
      </w:tr>
      <w:tr>
        <w:trPr>
          <w:trHeight w:val="202" w:hRule="atLeast"/>
        </w:trPr>
        <w:tc>
          <w:tcPr>
            <w:tcW w:w="7943" w:type="dxa"/>
            <w:tcBorders>
              <w:bottom w:val="single" w:sz="6" w:space="0" w:color="000000"/>
            </w:tcBorders>
            <w:shd w:val="clear" w:color="auto" w:fill="CCEDFF"/>
          </w:tcPr>
          <w:p>
            <w:pPr>
              <w:pStyle w:val="TableParagraph"/>
              <w:spacing w:line="179" w:lineRule="exact" w:before="3"/>
              <w:rPr>
                <w:sz w:val="16"/>
              </w:rPr>
            </w:pPr>
            <w:r>
              <w:rPr>
                <w:w w:val="105"/>
                <w:sz w:val="16"/>
              </w:rPr>
              <w:t>Other</w:t>
            </w:r>
            <w:r>
              <w:rPr>
                <w:spacing w:val="-9"/>
                <w:w w:val="105"/>
                <w:sz w:val="16"/>
              </w:rPr>
              <w:t> </w:t>
            </w:r>
            <w:r>
              <w:rPr>
                <w:spacing w:val="-2"/>
                <w:w w:val="105"/>
                <w:sz w:val="16"/>
              </w:rPr>
              <w:t>liabilities</w:t>
            </w:r>
          </w:p>
        </w:tc>
        <w:tc>
          <w:tcPr>
            <w:tcW w:w="2540" w:type="dxa"/>
            <w:tcBorders>
              <w:bottom w:val="single" w:sz="6" w:space="0" w:color="000000"/>
            </w:tcBorders>
            <w:shd w:val="clear" w:color="auto" w:fill="CCEDFF"/>
          </w:tcPr>
          <w:p>
            <w:pPr>
              <w:pStyle w:val="TableParagraph"/>
              <w:rPr>
                <w:sz w:val="14"/>
              </w:rPr>
            </w:pPr>
          </w:p>
        </w:tc>
        <w:tc>
          <w:tcPr>
            <w:tcW w:w="1033" w:type="dxa"/>
            <w:tcBorders>
              <w:bottom w:val="single" w:sz="6" w:space="0" w:color="000000"/>
            </w:tcBorders>
            <w:shd w:val="clear" w:color="auto" w:fill="CCEDFF"/>
          </w:tcPr>
          <w:p>
            <w:pPr>
              <w:pStyle w:val="TableParagraph"/>
              <w:spacing w:line="179" w:lineRule="exact" w:before="3"/>
              <w:ind w:right="59"/>
              <w:jc w:val="right"/>
              <w:rPr>
                <w:sz w:val="16"/>
              </w:rPr>
            </w:pPr>
            <w:r>
              <w:rPr>
                <w:spacing w:val="-2"/>
                <w:w w:val="105"/>
                <w:sz w:val="16"/>
              </w:rPr>
              <w:t>(1,261)</w:t>
            </w:r>
          </w:p>
        </w:tc>
      </w:tr>
      <w:tr>
        <w:trPr>
          <w:trHeight w:val="202" w:hRule="atLeast"/>
        </w:trPr>
        <w:tc>
          <w:tcPr>
            <w:tcW w:w="7943" w:type="dxa"/>
            <w:tcBorders>
              <w:top w:val="single" w:sz="6" w:space="0" w:color="000000"/>
            </w:tcBorders>
          </w:tcPr>
          <w:p>
            <w:pPr>
              <w:pStyle w:val="TableParagraph"/>
              <w:spacing w:line="180" w:lineRule="exact" w:before="2"/>
              <w:rPr>
                <w:sz w:val="16"/>
              </w:rPr>
            </w:pPr>
            <w:r>
              <w:rPr>
                <w:w w:val="105"/>
                <w:sz w:val="16"/>
              </w:rPr>
              <w:t>Total</w:t>
            </w:r>
            <w:r>
              <w:rPr>
                <w:spacing w:val="-9"/>
                <w:w w:val="105"/>
                <w:sz w:val="16"/>
              </w:rPr>
              <w:t> </w:t>
            </w:r>
            <w:r>
              <w:rPr>
                <w:w w:val="105"/>
                <w:sz w:val="16"/>
              </w:rPr>
              <w:t>identified</w:t>
            </w:r>
            <w:r>
              <w:rPr>
                <w:spacing w:val="-9"/>
                <w:w w:val="105"/>
                <w:sz w:val="16"/>
              </w:rPr>
              <w:t> </w:t>
            </w:r>
            <w:r>
              <w:rPr>
                <w:w w:val="105"/>
                <w:sz w:val="16"/>
              </w:rPr>
              <w:t>net</w:t>
            </w:r>
            <w:r>
              <w:rPr>
                <w:spacing w:val="-8"/>
                <w:w w:val="105"/>
                <w:sz w:val="16"/>
              </w:rPr>
              <w:t> </w:t>
            </w:r>
            <w:r>
              <w:rPr>
                <w:spacing w:val="-2"/>
                <w:w w:val="105"/>
                <w:sz w:val="16"/>
              </w:rPr>
              <w:t>liabilities</w:t>
            </w:r>
          </w:p>
        </w:tc>
        <w:tc>
          <w:tcPr>
            <w:tcW w:w="2540" w:type="dxa"/>
            <w:tcBorders>
              <w:top w:val="single" w:sz="6" w:space="0" w:color="000000"/>
            </w:tcBorders>
          </w:tcPr>
          <w:p>
            <w:pPr>
              <w:pStyle w:val="TableParagraph"/>
              <w:rPr>
                <w:sz w:val="14"/>
              </w:rPr>
            </w:pPr>
          </w:p>
        </w:tc>
        <w:tc>
          <w:tcPr>
            <w:tcW w:w="1033" w:type="dxa"/>
            <w:tcBorders>
              <w:top w:val="single" w:sz="6" w:space="0" w:color="000000"/>
            </w:tcBorders>
          </w:tcPr>
          <w:p>
            <w:pPr>
              <w:pStyle w:val="TableParagraph"/>
              <w:spacing w:line="180" w:lineRule="exact" w:before="2"/>
              <w:ind w:right="59"/>
              <w:jc w:val="right"/>
              <w:rPr>
                <w:sz w:val="16"/>
              </w:rPr>
            </w:pPr>
            <w:r>
              <w:rPr>
                <w:spacing w:val="-2"/>
                <w:w w:val="105"/>
                <w:sz w:val="16"/>
              </w:rPr>
              <w:t>(156)</w:t>
            </w:r>
          </w:p>
        </w:tc>
      </w:tr>
      <w:tr>
        <w:trPr>
          <w:trHeight w:val="203" w:hRule="atLeast"/>
        </w:trPr>
        <w:tc>
          <w:tcPr>
            <w:tcW w:w="7943" w:type="dxa"/>
            <w:shd w:val="clear" w:color="auto" w:fill="CCEDFF"/>
          </w:tcPr>
          <w:p>
            <w:pPr>
              <w:pStyle w:val="TableParagraph"/>
              <w:spacing w:line="180" w:lineRule="exact" w:before="3"/>
              <w:rPr>
                <w:sz w:val="14"/>
              </w:rPr>
            </w:pPr>
            <w:r>
              <w:rPr>
                <w:sz w:val="16"/>
              </w:rPr>
              <w:t>Non-controlling</w:t>
            </w:r>
            <w:r>
              <w:rPr>
                <w:spacing w:val="20"/>
                <w:sz w:val="16"/>
              </w:rPr>
              <w:t> </w:t>
            </w:r>
            <w:r>
              <w:rPr>
                <w:sz w:val="16"/>
              </w:rPr>
              <w:t>interests</w:t>
            </w:r>
            <w:r>
              <w:rPr>
                <w:spacing w:val="22"/>
                <w:sz w:val="16"/>
              </w:rPr>
              <w:t> </w:t>
            </w:r>
            <w:r>
              <w:rPr>
                <w:spacing w:val="-5"/>
                <w:sz w:val="14"/>
              </w:rPr>
              <w:t>(2)</w:t>
            </w:r>
          </w:p>
        </w:tc>
        <w:tc>
          <w:tcPr>
            <w:tcW w:w="2540" w:type="dxa"/>
            <w:shd w:val="clear" w:color="auto" w:fill="CCEDFF"/>
          </w:tcPr>
          <w:p>
            <w:pPr>
              <w:pStyle w:val="TableParagraph"/>
              <w:rPr>
                <w:sz w:val="14"/>
              </w:rPr>
            </w:pPr>
          </w:p>
        </w:tc>
        <w:tc>
          <w:tcPr>
            <w:tcW w:w="1033" w:type="dxa"/>
            <w:shd w:val="clear" w:color="auto" w:fill="CCEDFF"/>
          </w:tcPr>
          <w:p>
            <w:pPr>
              <w:pStyle w:val="TableParagraph"/>
              <w:spacing w:line="180" w:lineRule="exact" w:before="3"/>
              <w:ind w:right="59"/>
              <w:jc w:val="right"/>
              <w:rPr>
                <w:sz w:val="16"/>
              </w:rPr>
            </w:pPr>
            <w:r>
              <w:rPr>
                <w:spacing w:val="-2"/>
                <w:w w:val="105"/>
                <w:sz w:val="16"/>
              </w:rPr>
              <w:t>(102)</w:t>
            </w:r>
          </w:p>
        </w:tc>
      </w:tr>
      <w:tr>
        <w:trPr>
          <w:trHeight w:val="202" w:hRule="atLeast"/>
        </w:trPr>
        <w:tc>
          <w:tcPr>
            <w:tcW w:w="7943" w:type="dxa"/>
            <w:tcBorders>
              <w:bottom w:val="single" w:sz="6" w:space="0" w:color="000000"/>
            </w:tcBorders>
          </w:tcPr>
          <w:p>
            <w:pPr>
              <w:pStyle w:val="TableParagraph"/>
              <w:spacing w:line="179" w:lineRule="exact" w:before="3"/>
              <w:rPr>
                <w:sz w:val="14"/>
              </w:rPr>
            </w:pPr>
            <w:r>
              <w:rPr>
                <w:w w:val="105"/>
                <w:sz w:val="16"/>
              </w:rPr>
              <w:t>Total</w:t>
            </w:r>
            <w:r>
              <w:rPr>
                <w:spacing w:val="-11"/>
                <w:w w:val="105"/>
                <w:sz w:val="16"/>
              </w:rPr>
              <w:t> </w:t>
            </w:r>
            <w:r>
              <w:rPr>
                <w:w w:val="105"/>
                <w:sz w:val="16"/>
              </w:rPr>
              <w:t>fair</w:t>
            </w:r>
            <w:r>
              <w:rPr>
                <w:spacing w:val="-10"/>
                <w:w w:val="105"/>
                <w:sz w:val="16"/>
              </w:rPr>
              <w:t> </w:t>
            </w:r>
            <w:r>
              <w:rPr>
                <w:w w:val="105"/>
                <w:sz w:val="16"/>
              </w:rPr>
              <w:t>value</w:t>
            </w:r>
            <w:r>
              <w:rPr>
                <w:spacing w:val="-11"/>
                <w:w w:val="105"/>
                <w:sz w:val="16"/>
              </w:rPr>
              <w:t> </w:t>
            </w:r>
            <w:r>
              <w:rPr>
                <w:w w:val="105"/>
                <w:sz w:val="16"/>
              </w:rPr>
              <w:t>of</w:t>
            </w:r>
            <w:r>
              <w:rPr>
                <w:spacing w:val="-10"/>
                <w:w w:val="105"/>
                <w:sz w:val="16"/>
              </w:rPr>
              <w:t> </w:t>
            </w:r>
            <w:r>
              <w:rPr>
                <w:w w:val="105"/>
                <w:sz w:val="16"/>
              </w:rPr>
              <w:t>Corning's</w:t>
            </w:r>
            <w:r>
              <w:rPr>
                <w:spacing w:val="-11"/>
                <w:w w:val="105"/>
                <w:sz w:val="16"/>
              </w:rPr>
              <w:t> </w:t>
            </w:r>
            <w:r>
              <w:rPr>
                <w:w w:val="105"/>
                <w:sz w:val="16"/>
              </w:rPr>
              <w:t>previously</w:t>
            </w:r>
            <w:r>
              <w:rPr>
                <w:spacing w:val="-10"/>
                <w:w w:val="105"/>
                <w:sz w:val="16"/>
              </w:rPr>
              <w:t> </w:t>
            </w:r>
            <w:r>
              <w:rPr>
                <w:w w:val="105"/>
                <w:sz w:val="16"/>
              </w:rPr>
              <w:t>held</w:t>
            </w:r>
            <w:r>
              <w:rPr>
                <w:spacing w:val="-11"/>
                <w:w w:val="105"/>
                <w:sz w:val="16"/>
              </w:rPr>
              <w:t> </w:t>
            </w:r>
            <w:r>
              <w:rPr>
                <w:w w:val="105"/>
                <w:sz w:val="16"/>
              </w:rPr>
              <w:t>equity</w:t>
            </w:r>
            <w:r>
              <w:rPr>
                <w:spacing w:val="-10"/>
                <w:w w:val="105"/>
                <w:sz w:val="16"/>
              </w:rPr>
              <w:t> </w:t>
            </w:r>
            <w:r>
              <w:rPr>
                <w:w w:val="105"/>
                <w:sz w:val="16"/>
              </w:rPr>
              <w:t>investment</w:t>
            </w:r>
            <w:r>
              <w:rPr>
                <w:spacing w:val="-11"/>
                <w:w w:val="105"/>
                <w:sz w:val="16"/>
              </w:rPr>
              <w:t> </w:t>
            </w:r>
            <w:r>
              <w:rPr>
                <w:spacing w:val="-5"/>
                <w:w w:val="105"/>
                <w:sz w:val="14"/>
              </w:rPr>
              <w:t>(2)</w:t>
            </w:r>
          </w:p>
        </w:tc>
        <w:tc>
          <w:tcPr>
            <w:tcW w:w="2540" w:type="dxa"/>
            <w:tcBorders>
              <w:bottom w:val="single" w:sz="6" w:space="0" w:color="000000"/>
            </w:tcBorders>
          </w:tcPr>
          <w:p>
            <w:pPr>
              <w:pStyle w:val="TableParagraph"/>
              <w:rPr>
                <w:sz w:val="14"/>
              </w:rPr>
            </w:pPr>
          </w:p>
        </w:tc>
        <w:tc>
          <w:tcPr>
            <w:tcW w:w="1033" w:type="dxa"/>
            <w:tcBorders>
              <w:bottom w:val="single" w:sz="6" w:space="0" w:color="000000"/>
            </w:tcBorders>
          </w:tcPr>
          <w:p>
            <w:pPr>
              <w:pStyle w:val="TableParagraph"/>
              <w:spacing w:line="179" w:lineRule="exact" w:before="3"/>
              <w:ind w:right="59"/>
              <w:jc w:val="right"/>
              <w:rPr>
                <w:sz w:val="16"/>
              </w:rPr>
            </w:pPr>
            <w:r>
              <w:rPr>
                <w:spacing w:val="-2"/>
                <w:w w:val="105"/>
                <w:sz w:val="16"/>
              </w:rPr>
              <w:t>(250)</w:t>
            </w:r>
          </w:p>
        </w:tc>
      </w:tr>
      <w:tr>
        <w:trPr>
          <w:trHeight w:val="199" w:hRule="atLeast"/>
        </w:trPr>
        <w:tc>
          <w:tcPr>
            <w:tcW w:w="7943" w:type="dxa"/>
            <w:tcBorders>
              <w:top w:val="single" w:sz="6" w:space="0" w:color="000000"/>
              <w:bottom w:val="double" w:sz="6" w:space="0" w:color="000000"/>
            </w:tcBorders>
            <w:shd w:val="clear" w:color="auto" w:fill="CCEDFF"/>
          </w:tcPr>
          <w:p>
            <w:pPr>
              <w:pStyle w:val="TableParagraph"/>
              <w:spacing w:line="177" w:lineRule="exact" w:before="2"/>
              <w:rPr>
                <w:sz w:val="14"/>
              </w:rPr>
            </w:pPr>
            <w:r>
              <w:rPr>
                <w:sz w:val="16"/>
              </w:rPr>
              <w:t>Goodwill</w:t>
            </w:r>
            <w:r>
              <w:rPr>
                <w:spacing w:val="7"/>
                <w:sz w:val="16"/>
              </w:rPr>
              <w:t> </w:t>
            </w:r>
            <w:r>
              <w:rPr>
                <w:spacing w:val="-5"/>
                <w:sz w:val="14"/>
              </w:rPr>
              <w:t>(3)</w:t>
            </w:r>
          </w:p>
        </w:tc>
        <w:tc>
          <w:tcPr>
            <w:tcW w:w="2540" w:type="dxa"/>
            <w:tcBorders>
              <w:top w:val="single" w:sz="6" w:space="0" w:color="000000"/>
              <w:bottom w:val="double" w:sz="6" w:space="0" w:color="000000"/>
            </w:tcBorders>
            <w:shd w:val="clear" w:color="auto" w:fill="CCEDFF"/>
          </w:tcPr>
          <w:p>
            <w:pPr>
              <w:pStyle w:val="TableParagraph"/>
              <w:spacing w:line="177" w:lineRule="exact" w:before="2"/>
              <w:ind w:right="487"/>
              <w:jc w:val="right"/>
              <w:rPr>
                <w:sz w:val="16"/>
              </w:rPr>
            </w:pPr>
            <w:r>
              <w:rPr>
                <w:spacing w:val="-10"/>
                <w:w w:val="105"/>
                <w:sz w:val="16"/>
              </w:rPr>
              <w:t>$</w:t>
            </w:r>
          </w:p>
        </w:tc>
        <w:tc>
          <w:tcPr>
            <w:tcW w:w="1033" w:type="dxa"/>
            <w:tcBorders>
              <w:top w:val="single" w:sz="6" w:space="0" w:color="000000"/>
              <w:bottom w:val="double" w:sz="6" w:space="0" w:color="000000"/>
            </w:tcBorders>
            <w:shd w:val="clear" w:color="auto" w:fill="CCEDFF"/>
          </w:tcPr>
          <w:p>
            <w:pPr>
              <w:pStyle w:val="TableParagraph"/>
              <w:spacing w:line="177" w:lineRule="exact" w:before="2"/>
              <w:ind w:right="113"/>
              <w:jc w:val="right"/>
              <w:rPr>
                <w:sz w:val="16"/>
              </w:rPr>
            </w:pPr>
            <w:r>
              <w:rPr>
                <w:spacing w:val="-5"/>
                <w:w w:val="105"/>
                <w:sz w:val="16"/>
              </w:rPr>
              <w:t>508</w:t>
            </w:r>
          </w:p>
        </w:tc>
      </w:tr>
    </w:tbl>
    <w:p>
      <w:pPr>
        <w:pStyle w:val="BodyText"/>
        <w:spacing w:before="28"/>
      </w:pPr>
    </w:p>
    <w:p>
      <w:pPr>
        <w:pStyle w:val="ListParagraph"/>
        <w:numPr>
          <w:ilvl w:val="0"/>
          <w:numId w:val="39"/>
        </w:numPr>
        <w:tabs>
          <w:tab w:pos="460" w:val="left" w:leader="none"/>
          <w:tab w:pos="462" w:val="left" w:leader="none"/>
        </w:tabs>
        <w:spacing w:line="228" w:lineRule="auto" w:before="0" w:after="0"/>
        <w:ind w:left="462" w:right="122" w:hanging="306"/>
        <w:jc w:val="left"/>
        <w:rPr>
          <w:sz w:val="14"/>
        </w:rPr>
      </w:pPr>
      <w:r>
        <w:rPr>
          <w:sz w:val="14"/>
        </w:rPr>
        <w:t>The</w:t>
      </w:r>
      <w:r>
        <w:rPr>
          <w:spacing w:val="9"/>
          <w:sz w:val="14"/>
        </w:rPr>
        <w:t> </w:t>
      </w:r>
      <w:r>
        <w:rPr>
          <w:sz w:val="14"/>
        </w:rPr>
        <w:t>other</w:t>
      </w:r>
      <w:r>
        <w:rPr>
          <w:spacing w:val="8"/>
          <w:sz w:val="14"/>
        </w:rPr>
        <w:t> </w:t>
      </w:r>
      <w:r>
        <w:rPr>
          <w:sz w:val="14"/>
        </w:rPr>
        <w:t>current</w:t>
      </w:r>
      <w:r>
        <w:rPr>
          <w:spacing w:val="8"/>
          <w:sz w:val="14"/>
        </w:rPr>
        <w:t> </w:t>
      </w:r>
      <w:r>
        <w:rPr>
          <w:sz w:val="14"/>
        </w:rPr>
        <w:t>and</w:t>
      </w:r>
      <w:r>
        <w:rPr>
          <w:spacing w:val="8"/>
          <w:sz w:val="14"/>
        </w:rPr>
        <w:t> </w:t>
      </w:r>
      <w:r>
        <w:rPr>
          <w:sz w:val="14"/>
        </w:rPr>
        <w:t>non-current</w:t>
      </w:r>
      <w:r>
        <w:rPr>
          <w:spacing w:val="8"/>
          <w:sz w:val="14"/>
        </w:rPr>
        <w:t> </w:t>
      </w:r>
      <w:r>
        <w:rPr>
          <w:sz w:val="14"/>
        </w:rPr>
        <w:t>assets</w:t>
      </w:r>
      <w:r>
        <w:rPr>
          <w:spacing w:val="8"/>
          <w:sz w:val="14"/>
        </w:rPr>
        <w:t> </w:t>
      </w:r>
      <w:r>
        <w:rPr>
          <w:sz w:val="14"/>
        </w:rPr>
        <w:t>included</w:t>
      </w:r>
      <w:r>
        <w:rPr>
          <w:spacing w:val="9"/>
          <w:sz w:val="14"/>
        </w:rPr>
        <w:t> </w:t>
      </w:r>
      <w:r>
        <w:rPr>
          <w:sz w:val="14"/>
        </w:rPr>
        <w:t>a</w:t>
      </w:r>
      <w:r>
        <w:rPr>
          <w:spacing w:val="8"/>
          <w:sz w:val="14"/>
        </w:rPr>
        <w:t> </w:t>
      </w:r>
      <w:r>
        <w:rPr>
          <w:sz w:val="14"/>
        </w:rPr>
        <w:t>contingent</w:t>
      </w:r>
      <w:r>
        <w:rPr>
          <w:spacing w:val="9"/>
          <w:sz w:val="14"/>
        </w:rPr>
        <w:t> </w:t>
      </w:r>
      <w:r>
        <w:rPr>
          <w:sz w:val="14"/>
        </w:rPr>
        <w:t>consideration</w:t>
      </w:r>
      <w:r>
        <w:rPr>
          <w:spacing w:val="8"/>
          <w:sz w:val="14"/>
        </w:rPr>
        <w:t> </w:t>
      </w:r>
      <w:r>
        <w:rPr>
          <w:sz w:val="14"/>
        </w:rPr>
        <w:t>asset</w:t>
      </w:r>
      <w:r>
        <w:rPr>
          <w:spacing w:val="9"/>
          <w:sz w:val="14"/>
        </w:rPr>
        <w:t> </w:t>
      </w:r>
      <w:r>
        <w:rPr>
          <w:sz w:val="14"/>
        </w:rPr>
        <w:t>of</w:t>
      </w:r>
      <w:r>
        <w:rPr>
          <w:spacing w:val="8"/>
          <w:sz w:val="14"/>
        </w:rPr>
        <w:t> </w:t>
      </w:r>
      <w:r>
        <w:rPr>
          <w:sz w:val="14"/>
        </w:rPr>
        <w:t>$20</w:t>
      </w:r>
      <w:r>
        <w:rPr>
          <w:spacing w:val="8"/>
          <w:sz w:val="14"/>
        </w:rPr>
        <w:t> </w:t>
      </w:r>
      <w:r>
        <w:rPr>
          <w:sz w:val="14"/>
        </w:rPr>
        <w:t>million</w:t>
      </w:r>
      <w:r>
        <w:rPr>
          <w:spacing w:val="9"/>
          <w:sz w:val="14"/>
        </w:rPr>
        <w:t> </w:t>
      </w:r>
      <w:r>
        <w:rPr>
          <w:sz w:val="14"/>
        </w:rPr>
        <w:t>at</w:t>
      </w:r>
      <w:r>
        <w:rPr>
          <w:spacing w:val="9"/>
          <w:sz w:val="14"/>
        </w:rPr>
        <w:t> </w:t>
      </w:r>
      <w:r>
        <w:rPr>
          <w:sz w:val="14"/>
        </w:rPr>
        <w:t>fair</w:t>
      </w:r>
      <w:r>
        <w:rPr>
          <w:spacing w:val="8"/>
          <w:sz w:val="14"/>
        </w:rPr>
        <w:t> </w:t>
      </w:r>
      <w:r>
        <w:rPr>
          <w:sz w:val="14"/>
        </w:rPr>
        <w:t>value</w:t>
      </w:r>
      <w:r>
        <w:rPr>
          <w:spacing w:val="8"/>
          <w:sz w:val="14"/>
        </w:rPr>
        <w:t> </w:t>
      </w:r>
      <w:r>
        <w:rPr>
          <w:sz w:val="14"/>
        </w:rPr>
        <w:t>for</w:t>
      </w:r>
      <w:r>
        <w:rPr>
          <w:spacing w:val="8"/>
          <w:sz w:val="14"/>
        </w:rPr>
        <w:t> </w:t>
      </w:r>
      <w:r>
        <w:rPr>
          <w:sz w:val="14"/>
        </w:rPr>
        <w:t>a</w:t>
      </w:r>
      <w:r>
        <w:rPr>
          <w:spacing w:val="8"/>
          <w:sz w:val="14"/>
        </w:rPr>
        <w:t> </w:t>
      </w:r>
      <w:r>
        <w:rPr>
          <w:sz w:val="14"/>
        </w:rPr>
        <w:t>cost</w:t>
      </w:r>
      <w:r>
        <w:rPr>
          <w:spacing w:val="9"/>
          <w:sz w:val="14"/>
        </w:rPr>
        <w:t> </w:t>
      </w:r>
      <w:r>
        <w:rPr>
          <w:sz w:val="14"/>
        </w:rPr>
        <w:t>adjustment</w:t>
      </w:r>
      <w:r>
        <w:rPr>
          <w:spacing w:val="9"/>
          <w:sz w:val="14"/>
        </w:rPr>
        <w:t> </w:t>
      </w:r>
      <w:r>
        <w:rPr>
          <w:sz w:val="14"/>
        </w:rPr>
        <w:t>contract</w:t>
      </w:r>
      <w:r>
        <w:rPr>
          <w:spacing w:val="9"/>
          <w:sz w:val="14"/>
        </w:rPr>
        <w:t> </w:t>
      </w:r>
      <w:r>
        <w:rPr>
          <w:sz w:val="14"/>
        </w:rPr>
        <w:t>related</w:t>
      </w:r>
      <w:r>
        <w:rPr>
          <w:spacing w:val="8"/>
          <w:sz w:val="14"/>
        </w:rPr>
        <w:t> </w:t>
      </w:r>
      <w:r>
        <w:rPr>
          <w:sz w:val="14"/>
        </w:rPr>
        <w:t>to</w:t>
      </w:r>
      <w:r>
        <w:rPr>
          <w:spacing w:val="9"/>
          <w:sz w:val="14"/>
        </w:rPr>
        <w:t> </w:t>
      </w:r>
      <w:r>
        <w:rPr>
          <w:sz w:val="14"/>
        </w:rPr>
        <w:t>the</w:t>
      </w:r>
      <w:r>
        <w:rPr>
          <w:spacing w:val="8"/>
          <w:sz w:val="14"/>
        </w:rPr>
        <w:t> </w:t>
      </w:r>
      <w:r>
        <w:rPr>
          <w:sz w:val="14"/>
        </w:rPr>
        <w:t>TCS</w:t>
      </w:r>
      <w:r>
        <w:rPr>
          <w:spacing w:val="9"/>
          <w:sz w:val="14"/>
        </w:rPr>
        <w:t> </w:t>
      </w:r>
      <w:r>
        <w:rPr>
          <w:sz w:val="14"/>
        </w:rPr>
        <w:t>Transaction.</w:t>
      </w:r>
      <w:r>
        <w:rPr>
          <w:spacing w:val="8"/>
          <w:sz w:val="14"/>
        </w:rPr>
        <w:t> </w:t>
      </w:r>
      <w:r>
        <w:rPr>
          <w:sz w:val="14"/>
        </w:rPr>
        <w:t>Refer</w:t>
      </w:r>
      <w:r>
        <w:rPr>
          <w:spacing w:val="8"/>
          <w:sz w:val="14"/>
        </w:rPr>
        <w:t> </w:t>
      </w:r>
      <w:r>
        <w:rPr>
          <w:sz w:val="14"/>
        </w:rPr>
        <w:t>to</w:t>
      </w:r>
      <w:r>
        <w:rPr>
          <w:spacing w:val="8"/>
          <w:sz w:val="14"/>
        </w:rPr>
        <w:t> </w:t>
      </w:r>
      <w:r>
        <w:rPr>
          <w:sz w:val="14"/>
        </w:rPr>
        <w:t>Note 16</w:t>
      </w:r>
      <w:r>
        <w:rPr>
          <w:spacing w:val="-2"/>
          <w:sz w:val="14"/>
        </w:rPr>
        <w:t> </w:t>
      </w:r>
      <w:r>
        <w:rPr>
          <w:sz w:val="14"/>
        </w:rPr>
        <w:t>(Fair</w:t>
      </w:r>
      <w:r>
        <w:rPr>
          <w:spacing w:val="40"/>
          <w:sz w:val="14"/>
        </w:rPr>
        <w:t> </w:t>
      </w:r>
      <w:r>
        <w:rPr>
          <w:sz w:val="14"/>
        </w:rPr>
        <w:t>Value Measurements) to the consolidated financial statements for additional information.</w:t>
      </w:r>
    </w:p>
    <w:p>
      <w:pPr>
        <w:pStyle w:val="ListParagraph"/>
        <w:numPr>
          <w:ilvl w:val="0"/>
          <w:numId w:val="39"/>
        </w:numPr>
        <w:tabs>
          <w:tab w:pos="460" w:val="left" w:leader="none"/>
        </w:tabs>
        <w:spacing w:line="150" w:lineRule="exact" w:before="0" w:after="0"/>
        <w:ind w:left="460" w:right="0" w:hanging="304"/>
        <w:jc w:val="left"/>
        <w:rPr>
          <w:sz w:val="14"/>
        </w:rPr>
      </w:pPr>
      <w:r>
        <w:rPr>
          <w:sz w:val="14"/>
        </w:rPr>
        <w:t>The purchase</w:t>
      </w:r>
      <w:r>
        <w:rPr>
          <w:spacing w:val="2"/>
          <w:sz w:val="14"/>
        </w:rPr>
        <w:t> </w:t>
      </w:r>
      <w:r>
        <w:rPr>
          <w:sz w:val="14"/>
        </w:rPr>
        <w:t>price used</w:t>
      </w:r>
      <w:r>
        <w:rPr>
          <w:spacing w:val="2"/>
          <w:sz w:val="14"/>
        </w:rPr>
        <w:t> </w:t>
      </w:r>
      <w:r>
        <w:rPr>
          <w:sz w:val="14"/>
        </w:rPr>
        <w:t>to</w:t>
      </w:r>
      <w:r>
        <w:rPr>
          <w:spacing w:val="2"/>
          <w:sz w:val="14"/>
        </w:rPr>
        <w:t> </w:t>
      </w:r>
      <w:r>
        <w:rPr>
          <w:sz w:val="14"/>
        </w:rPr>
        <w:t>measure the</w:t>
      </w:r>
      <w:r>
        <w:rPr>
          <w:spacing w:val="2"/>
          <w:sz w:val="14"/>
        </w:rPr>
        <w:t> </w:t>
      </w:r>
      <w:r>
        <w:rPr>
          <w:sz w:val="14"/>
        </w:rPr>
        <w:t>goodwill of</w:t>
      </w:r>
      <w:r>
        <w:rPr>
          <w:spacing w:val="3"/>
          <w:sz w:val="14"/>
        </w:rPr>
        <w:t> </w:t>
      </w:r>
      <w:r>
        <w:rPr>
          <w:sz w:val="14"/>
        </w:rPr>
        <w:t>the Redemption</w:t>
      </w:r>
      <w:r>
        <w:rPr>
          <w:spacing w:val="3"/>
          <w:sz w:val="14"/>
        </w:rPr>
        <w:t> </w:t>
      </w:r>
      <w:r>
        <w:rPr>
          <w:sz w:val="14"/>
        </w:rPr>
        <w:t>is $352</w:t>
      </w:r>
      <w:r>
        <w:rPr>
          <w:spacing w:val="3"/>
          <w:sz w:val="14"/>
        </w:rPr>
        <w:t> </w:t>
      </w:r>
      <w:r>
        <w:rPr>
          <w:sz w:val="14"/>
        </w:rPr>
        <w:t>million,</w:t>
      </w:r>
      <w:r>
        <w:rPr>
          <w:spacing w:val="2"/>
          <w:sz w:val="14"/>
        </w:rPr>
        <w:t> </w:t>
      </w:r>
      <w:r>
        <w:rPr>
          <w:sz w:val="14"/>
        </w:rPr>
        <w:t>including the</w:t>
      </w:r>
      <w:r>
        <w:rPr>
          <w:spacing w:val="2"/>
          <w:sz w:val="14"/>
        </w:rPr>
        <w:t> </w:t>
      </w:r>
      <w:r>
        <w:rPr>
          <w:sz w:val="14"/>
        </w:rPr>
        <w:t>fair value</w:t>
      </w:r>
      <w:r>
        <w:rPr>
          <w:spacing w:val="3"/>
          <w:sz w:val="14"/>
        </w:rPr>
        <w:t> </w:t>
      </w:r>
      <w:r>
        <w:rPr>
          <w:sz w:val="14"/>
        </w:rPr>
        <w:t>of Corning’s</w:t>
      </w:r>
      <w:r>
        <w:rPr>
          <w:spacing w:val="2"/>
          <w:sz w:val="14"/>
        </w:rPr>
        <w:t> </w:t>
      </w:r>
      <w:r>
        <w:rPr>
          <w:sz w:val="14"/>
        </w:rPr>
        <w:t>previously held</w:t>
      </w:r>
      <w:r>
        <w:rPr>
          <w:spacing w:val="2"/>
          <w:sz w:val="14"/>
        </w:rPr>
        <w:t> </w:t>
      </w:r>
      <w:r>
        <w:rPr>
          <w:sz w:val="14"/>
        </w:rPr>
        <w:t>equity interest</w:t>
      </w:r>
      <w:r>
        <w:rPr>
          <w:spacing w:val="3"/>
          <w:sz w:val="14"/>
        </w:rPr>
        <w:t> </w:t>
      </w:r>
      <w:r>
        <w:rPr>
          <w:sz w:val="14"/>
        </w:rPr>
        <w:t>and non-controlling</w:t>
      </w:r>
      <w:r>
        <w:rPr>
          <w:spacing w:val="2"/>
          <w:sz w:val="14"/>
        </w:rPr>
        <w:t> </w:t>
      </w:r>
      <w:r>
        <w:rPr>
          <w:sz w:val="14"/>
        </w:rPr>
        <w:t>interest, in</w:t>
      </w:r>
      <w:r>
        <w:rPr>
          <w:spacing w:val="2"/>
          <w:sz w:val="14"/>
        </w:rPr>
        <w:t> </w:t>
      </w:r>
      <w:r>
        <w:rPr>
          <w:sz w:val="14"/>
        </w:rPr>
        <w:t>the</w:t>
      </w:r>
      <w:r>
        <w:rPr>
          <w:spacing w:val="2"/>
          <w:sz w:val="14"/>
        </w:rPr>
        <w:t> </w:t>
      </w:r>
      <w:r>
        <w:rPr>
          <w:sz w:val="14"/>
        </w:rPr>
        <w:t>amount </w:t>
      </w:r>
      <w:r>
        <w:rPr>
          <w:spacing w:val="-5"/>
          <w:sz w:val="14"/>
        </w:rPr>
        <w:t>of</w:t>
      </w:r>
    </w:p>
    <w:p>
      <w:pPr>
        <w:spacing w:line="153" w:lineRule="exact" w:before="0"/>
        <w:ind w:left="462" w:right="0" w:firstLine="0"/>
        <w:jc w:val="left"/>
        <w:rPr>
          <w:sz w:val="14"/>
        </w:rPr>
      </w:pPr>
      <w:r>
        <w:rPr>
          <w:sz w:val="14"/>
        </w:rPr>
        <w:t>$250 million and $102 million, </w:t>
      </w:r>
      <w:r>
        <w:rPr>
          <w:spacing w:val="-2"/>
          <w:sz w:val="14"/>
        </w:rPr>
        <w:t>respectively.</w:t>
      </w:r>
    </w:p>
    <w:p>
      <w:pPr>
        <w:pStyle w:val="ListParagraph"/>
        <w:numPr>
          <w:ilvl w:val="0"/>
          <w:numId w:val="39"/>
        </w:numPr>
        <w:tabs>
          <w:tab w:pos="460" w:val="left" w:leader="none"/>
          <w:tab w:pos="462" w:val="left" w:leader="none"/>
        </w:tabs>
        <w:spacing w:line="228" w:lineRule="auto" w:before="3" w:after="0"/>
        <w:ind w:left="462" w:right="146" w:hanging="306"/>
        <w:jc w:val="left"/>
        <w:rPr>
          <w:sz w:val="14"/>
        </w:rPr>
      </w:pPr>
      <w:r>
        <w:rPr>
          <w:sz w:val="14"/>
        </w:rPr>
        <w:t>The goodwill recognized is not</w:t>
      </w:r>
      <w:r>
        <w:rPr>
          <w:spacing w:val="-1"/>
          <w:sz w:val="14"/>
        </w:rPr>
        <w:t> </w:t>
      </w:r>
      <w:r>
        <w:rPr>
          <w:sz w:val="14"/>
        </w:rPr>
        <w:t>deductible for U.S. income tax purposes. The goodwill was allocated to “All Other” within segment reporting as disclosed in Note</w:t>
      </w:r>
      <w:r>
        <w:rPr>
          <w:spacing w:val="14"/>
          <w:sz w:val="14"/>
        </w:rPr>
        <w:t> </w:t>
      </w:r>
      <w:r>
        <w:rPr>
          <w:sz w:val="14"/>
        </w:rPr>
        <w:t>20</w:t>
      </w:r>
      <w:r>
        <w:rPr>
          <w:spacing w:val="-2"/>
          <w:sz w:val="14"/>
        </w:rPr>
        <w:t> </w:t>
      </w:r>
      <w:r>
        <w:rPr>
          <w:sz w:val="14"/>
        </w:rPr>
        <w:t>(Reportable Segments) to the</w:t>
      </w:r>
      <w:r>
        <w:rPr>
          <w:spacing w:val="40"/>
          <w:sz w:val="14"/>
        </w:rPr>
        <w:t> </w:t>
      </w:r>
      <w:r>
        <w:rPr>
          <w:sz w:val="14"/>
        </w:rPr>
        <w:t>consolidated financial statements for more information.</w:t>
      </w:r>
    </w:p>
    <w:p>
      <w:pPr>
        <w:pStyle w:val="BodyText"/>
        <w:spacing w:before="42"/>
        <w:rPr>
          <w:sz w:val="14"/>
        </w:rPr>
      </w:pPr>
    </w:p>
    <w:p>
      <w:pPr>
        <w:pStyle w:val="BodyText"/>
        <w:spacing w:line="266" w:lineRule="auto"/>
        <w:ind w:left="156" w:right="117"/>
      </w:pPr>
      <w:r>
        <w:rPr>
          <w:w w:val="105"/>
        </w:rPr>
        <w:t>Upon</w:t>
      </w:r>
      <w:r>
        <w:rPr>
          <w:spacing w:val="-10"/>
          <w:w w:val="105"/>
        </w:rPr>
        <w:t> </w:t>
      </w:r>
      <w:r>
        <w:rPr>
          <w:w w:val="105"/>
        </w:rPr>
        <w:t>completion</w:t>
      </w:r>
      <w:r>
        <w:rPr>
          <w:spacing w:val="-10"/>
          <w:w w:val="105"/>
        </w:rPr>
        <w:t> </w:t>
      </w:r>
      <w:r>
        <w:rPr>
          <w:w w:val="105"/>
        </w:rPr>
        <w:t>of</w:t>
      </w:r>
      <w:r>
        <w:rPr>
          <w:spacing w:val="-10"/>
          <w:w w:val="105"/>
        </w:rPr>
        <w:t> </w:t>
      </w:r>
      <w:r>
        <w:rPr>
          <w:w w:val="105"/>
        </w:rPr>
        <w:t>the</w:t>
      </w:r>
      <w:r>
        <w:rPr>
          <w:spacing w:val="-10"/>
          <w:w w:val="105"/>
        </w:rPr>
        <w:t> </w:t>
      </w:r>
      <w:r>
        <w:rPr>
          <w:w w:val="105"/>
        </w:rPr>
        <w:t>Redemption</w:t>
      </w:r>
      <w:r>
        <w:rPr>
          <w:spacing w:val="-8"/>
          <w:w w:val="105"/>
        </w:rPr>
        <w:t> </w:t>
      </w:r>
      <w:r>
        <w:rPr>
          <w:w w:val="105"/>
        </w:rPr>
        <w:t>and</w:t>
      </w:r>
      <w:r>
        <w:rPr>
          <w:spacing w:val="-10"/>
          <w:w w:val="105"/>
        </w:rPr>
        <w:t> </w:t>
      </w:r>
      <w:r>
        <w:rPr>
          <w:w w:val="105"/>
        </w:rPr>
        <w:t>resulting</w:t>
      </w:r>
      <w:r>
        <w:rPr>
          <w:spacing w:val="-10"/>
          <w:w w:val="105"/>
        </w:rPr>
        <w:t> </w:t>
      </w:r>
      <w:r>
        <w:rPr>
          <w:w w:val="105"/>
        </w:rPr>
        <w:t>consolidation,</w:t>
      </w:r>
      <w:r>
        <w:rPr>
          <w:spacing w:val="-10"/>
          <w:w w:val="105"/>
        </w:rPr>
        <w:t> </w:t>
      </w:r>
      <w:r>
        <w:rPr>
          <w:w w:val="105"/>
        </w:rPr>
        <w:t>Corning</w:t>
      </w:r>
      <w:r>
        <w:rPr>
          <w:spacing w:val="-8"/>
          <w:w w:val="105"/>
        </w:rPr>
        <w:t> </w:t>
      </w:r>
      <w:r>
        <w:rPr>
          <w:w w:val="105"/>
        </w:rPr>
        <w:t>recorded</w:t>
      </w:r>
      <w:r>
        <w:rPr>
          <w:spacing w:val="-10"/>
          <w:w w:val="105"/>
        </w:rPr>
        <w:t> </w:t>
      </w:r>
      <w:r>
        <w:rPr>
          <w:w w:val="105"/>
        </w:rPr>
        <w:t>assets</w:t>
      </w:r>
      <w:r>
        <w:rPr>
          <w:spacing w:val="-10"/>
          <w:w w:val="105"/>
        </w:rPr>
        <w:t> </w:t>
      </w:r>
      <w:r>
        <w:rPr>
          <w:w w:val="105"/>
        </w:rPr>
        <w:t>acquired</w:t>
      </w:r>
      <w:r>
        <w:rPr>
          <w:spacing w:val="-8"/>
          <w:w w:val="105"/>
        </w:rPr>
        <w:t> </w:t>
      </w:r>
      <w:r>
        <w:rPr>
          <w:w w:val="105"/>
        </w:rPr>
        <w:t>and</w:t>
      </w:r>
      <w:r>
        <w:rPr>
          <w:spacing w:val="-10"/>
          <w:w w:val="105"/>
        </w:rPr>
        <w:t> </w:t>
      </w:r>
      <w:r>
        <w:rPr>
          <w:w w:val="105"/>
        </w:rPr>
        <w:t>liabilities</w:t>
      </w:r>
      <w:r>
        <w:rPr>
          <w:spacing w:val="-10"/>
          <w:w w:val="105"/>
        </w:rPr>
        <w:t> </w:t>
      </w:r>
      <w:r>
        <w:rPr>
          <w:w w:val="105"/>
        </w:rPr>
        <w:t>assumed</w:t>
      </w:r>
      <w:r>
        <w:rPr>
          <w:spacing w:val="-8"/>
          <w:w w:val="105"/>
        </w:rPr>
        <w:t> </w:t>
      </w:r>
      <w:r>
        <w:rPr>
          <w:w w:val="105"/>
        </w:rPr>
        <w:t>from</w:t>
      </w:r>
      <w:r>
        <w:rPr>
          <w:spacing w:val="-10"/>
          <w:w w:val="105"/>
        </w:rPr>
        <w:t> </w:t>
      </w:r>
      <w:r>
        <w:rPr>
          <w:w w:val="105"/>
        </w:rPr>
        <w:t>HSG,</w:t>
      </w:r>
      <w:r>
        <w:rPr>
          <w:spacing w:val="-10"/>
          <w:w w:val="105"/>
        </w:rPr>
        <w:t> </w:t>
      </w:r>
      <w:r>
        <w:rPr>
          <w:w w:val="105"/>
        </w:rPr>
        <w:t>including</w:t>
      </w:r>
      <w:r>
        <w:rPr>
          <w:spacing w:val="-10"/>
          <w:w w:val="105"/>
        </w:rPr>
        <w:t> </w:t>
      </w:r>
      <w:r>
        <w:rPr>
          <w:w w:val="105"/>
        </w:rPr>
        <w:t>a</w:t>
      </w:r>
      <w:r>
        <w:rPr>
          <w:spacing w:val="-10"/>
          <w:w w:val="105"/>
        </w:rPr>
        <w:t> </w:t>
      </w:r>
      <w:r>
        <w:rPr>
          <w:w w:val="105"/>
        </w:rPr>
        <w:t>customer</w:t>
      </w:r>
      <w:r>
        <w:rPr>
          <w:spacing w:val="-10"/>
          <w:w w:val="105"/>
        </w:rPr>
        <w:t> </w:t>
      </w:r>
      <w:r>
        <w:rPr>
          <w:w w:val="105"/>
        </w:rPr>
        <w:t>deposit</w:t>
      </w:r>
      <w:r>
        <w:rPr>
          <w:spacing w:val="-8"/>
          <w:w w:val="105"/>
        </w:rPr>
        <w:t> </w:t>
      </w:r>
      <w:r>
        <w:rPr>
          <w:w w:val="105"/>
        </w:rPr>
        <w:t>liability and deferred revenue.</w:t>
      </w:r>
    </w:p>
    <w:p>
      <w:pPr>
        <w:pStyle w:val="BodyText"/>
        <w:spacing w:before="19"/>
      </w:pPr>
    </w:p>
    <w:p>
      <w:pPr>
        <w:pStyle w:val="BodyText"/>
        <w:ind w:left="48"/>
        <w:jc w:val="center"/>
      </w:pPr>
      <w:r>
        <w:rPr>
          <w:spacing w:val="-5"/>
          <w:w w:val="105"/>
        </w:rPr>
        <w:t>80</w:t>
      </w:r>
    </w:p>
    <w:p>
      <w:pPr>
        <w:pStyle w:val="BodyText"/>
        <w:rPr>
          <w:sz w:val="6"/>
        </w:rPr>
      </w:pPr>
      <w:r>
        <w:rPr/>
        <mc:AlternateContent>
          <mc:Choice Requires="wps">
            <w:drawing>
              <wp:anchor distT="0" distB="0" distL="0" distR="0" allowOverlap="1" layoutInCell="1" locked="0" behindDoc="1" simplePos="0" relativeHeight="487680512">
                <wp:simplePos x="0" y="0"/>
                <wp:positionH relativeFrom="page">
                  <wp:posOffset>226488</wp:posOffset>
                </wp:positionH>
                <wp:positionV relativeFrom="paragraph">
                  <wp:posOffset>59051</wp:posOffset>
                </wp:positionV>
                <wp:extent cx="7312659" cy="16510"/>
                <wp:effectExtent l="0" t="0" r="0" b="0"/>
                <wp:wrapTopAndBottom/>
                <wp:docPr id="376" name="Graphic 376"/>
                <wp:cNvGraphicFramePr>
                  <a:graphicFrameLocks/>
                </wp:cNvGraphicFramePr>
                <a:graphic>
                  <a:graphicData uri="http://schemas.microsoft.com/office/word/2010/wordprocessingShape">
                    <wps:wsp>
                      <wps:cNvPr id="376" name="Graphic 376"/>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35968;mso-wrap-distance-left:0;mso-wrap-distance-right:0" id="docshape375"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numPr>
          <w:ilvl w:val="0"/>
          <w:numId w:val="40"/>
        </w:numPr>
        <w:tabs>
          <w:tab w:pos="362" w:val="left" w:leader="none"/>
        </w:tabs>
        <w:spacing w:line="240" w:lineRule="auto" w:before="0" w:after="0"/>
        <w:ind w:left="362" w:right="0" w:hanging="206"/>
        <w:jc w:val="left"/>
      </w:pPr>
      <w:r>
        <w:rPr/>
        <w:t>HSG</w:t>
      </w:r>
      <w:r>
        <w:rPr>
          <w:spacing w:val="12"/>
        </w:rPr>
        <w:t> </w:t>
      </w:r>
      <w:r>
        <w:rPr/>
        <w:t>Transactions</w:t>
      </w:r>
      <w:r>
        <w:rPr>
          <w:spacing w:val="12"/>
        </w:rPr>
        <w:t> </w:t>
      </w:r>
      <w:r>
        <w:rPr/>
        <w:t>and</w:t>
      </w:r>
      <w:r>
        <w:rPr>
          <w:spacing w:val="13"/>
        </w:rPr>
        <w:t> </w:t>
      </w:r>
      <w:r>
        <w:rPr/>
        <w:t>Acquisitions</w:t>
      </w:r>
      <w:r>
        <w:rPr>
          <w:spacing w:val="12"/>
        </w:rPr>
        <w:t> </w:t>
      </w:r>
      <w:r>
        <w:rPr>
          <w:spacing w:val="-2"/>
        </w:rPr>
        <w:t>(Continued)</w:t>
      </w:r>
    </w:p>
    <w:p>
      <w:pPr>
        <w:pStyle w:val="BodyText"/>
        <w:spacing w:before="40"/>
        <w:rPr>
          <w:b/>
        </w:rPr>
      </w:pPr>
    </w:p>
    <w:p>
      <w:pPr>
        <w:pStyle w:val="BodyText"/>
        <w:spacing w:line="266" w:lineRule="auto"/>
        <w:ind w:left="156" w:right="328"/>
      </w:pPr>
      <w:r>
        <w:rPr>
          <w:w w:val="105"/>
        </w:rPr>
        <w:t>Corning</w:t>
      </w:r>
      <w:r>
        <w:rPr>
          <w:spacing w:val="-5"/>
          <w:w w:val="105"/>
        </w:rPr>
        <w:t> </w:t>
      </w:r>
      <w:r>
        <w:rPr>
          <w:w w:val="105"/>
        </w:rPr>
        <w:t>recorded</w:t>
      </w:r>
      <w:r>
        <w:rPr>
          <w:spacing w:val="-5"/>
          <w:w w:val="105"/>
        </w:rPr>
        <w:t> </w:t>
      </w:r>
      <w:r>
        <w:rPr>
          <w:w w:val="105"/>
        </w:rPr>
        <w:t>a</w:t>
      </w:r>
      <w:r>
        <w:rPr>
          <w:spacing w:val="-5"/>
          <w:w w:val="105"/>
        </w:rPr>
        <w:t> </w:t>
      </w:r>
      <w:r>
        <w:rPr>
          <w:w w:val="105"/>
        </w:rPr>
        <w:t>customer</w:t>
      </w:r>
      <w:r>
        <w:rPr>
          <w:spacing w:val="-5"/>
          <w:w w:val="105"/>
        </w:rPr>
        <w:t> </w:t>
      </w:r>
      <w:r>
        <w:rPr>
          <w:w w:val="105"/>
        </w:rPr>
        <w:t>deposit</w:t>
      </w:r>
      <w:r>
        <w:rPr>
          <w:spacing w:val="-5"/>
          <w:w w:val="105"/>
        </w:rPr>
        <w:t> </w:t>
      </w:r>
      <w:r>
        <w:rPr>
          <w:w w:val="105"/>
        </w:rPr>
        <w:t>liability</w:t>
      </w:r>
      <w:r>
        <w:rPr>
          <w:spacing w:val="-5"/>
          <w:w w:val="105"/>
        </w:rPr>
        <w:t> </w:t>
      </w:r>
      <w:r>
        <w:rPr>
          <w:w w:val="105"/>
        </w:rPr>
        <w:t>of</w:t>
      </w:r>
      <w:r>
        <w:rPr>
          <w:spacing w:val="-5"/>
          <w:w w:val="105"/>
        </w:rPr>
        <w:t> </w:t>
      </w:r>
      <w:r>
        <w:rPr>
          <w:w w:val="105"/>
        </w:rPr>
        <w:t>$264</w:t>
      </w:r>
      <w:r>
        <w:rPr>
          <w:spacing w:val="-5"/>
          <w:w w:val="105"/>
        </w:rPr>
        <w:t> </w:t>
      </w:r>
      <w:r>
        <w:rPr>
          <w:w w:val="105"/>
        </w:rPr>
        <w:t>million</w:t>
      </w:r>
      <w:r>
        <w:rPr>
          <w:spacing w:val="-5"/>
          <w:w w:val="105"/>
        </w:rPr>
        <w:t> </w:t>
      </w:r>
      <w:r>
        <w:rPr>
          <w:w w:val="105"/>
        </w:rPr>
        <w:t>at</w:t>
      </w:r>
      <w:r>
        <w:rPr>
          <w:spacing w:val="-5"/>
          <w:w w:val="105"/>
        </w:rPr>
        <w:t> </w:t>
      </w:r>
      <w:r>
        <w:rPr>
          <w:w w:val="105"/>
        </w:rPr>
        <w:t>the</w:t>
      </w:r>
      <w:r>
        <w:rPr>
          <w:spacing w:val="-5"/>
          <w:w w:val="105"/>
        </w:rPr>
        <w:t> </w:t>
      </w:r>
      <w:r>
        <w:rPr>
          <w:w w:val="105"/>
        </w:rPr>
        <w:t>fair</w:t>
      </w:r>
      <w:r>
        <w:rPr>
          <w:spacing w:val="-5"/>
          <w:w w:val="105"/>
        </w:rPr>
        <w:t> </w:t>
      </w:r>
      <w:r>
        <w:rPr>
          <w:w w:val="105"/>
        </w:rPr>
        <w:t>value</w:t>
      </w:r>
      <w:r>
        <w:rPr>
          <w:spacing w:val="-5"/>
          <w:w w:val="105"/>
        </w:rPr>
        <w:t> </w:t>
      </w:r>
      <w:r>
        <w:rPr>
          <w:w w:val="105"/>
        </w:rPr>
        <w:t>of</w:t>
      </w:r>
      <w:r>
        <w:rPr>
          <w:spacing w:val="-5"/>
          <w:w w:val="105"/>
        </w:rPr>
        <w:t> </w:t>
      </w:r>
      <w:r>
        <w:rPr>
          <w:w w:val="105"/>
        </w:rPr>
        <w:t>refundable</w:t>
      </w:r>
      <w:r>
        <w:rPr>
          <w:spacing w:val="-5"/>
          <w:w w:val="105"/>
        </w:rPr>
        <w:t> </w:t>
      </w:r>
      <w:r>
        <w:rPr>
          <w:w w:val="105"/>
        </w:rPr>
        <w:t>payments</w:t>
      </w:r>
      <w:r>
        <w:rPr>
          <w:spacing w:val="-5"/>
          <w:w w:val="105"/>
        </w:rPr>
        <w:t> </w:t>
      </w:r>
      <w:r>
        <w:rPr>
          <w:w w:val="105"/>
        </w:rPr>
        <w:t>that</w:t>
      </w:r>
      <w:r>
        <w:rPr>
          <w:spacing w:val="-5"/>
          <w:w w:val="105"/>
        </w:rPr>
        <w:t> </w:t>
      </w:r>
      <w:r>
        <w:rPr>
          <w:w w:val="105"/>
        </w:rPr>
        <w:t>HSG</w:t>
      </w:r>
      <w:r>
        <w:rPr>
          <w:spacing w:val="-5"/>
          <w:w w:val="105"/>
        </w:rPr>
        <w:t> </w:t>
      </w:r>
      <w:r>
        <w:rPr>
          <w:w w:val="105"/>
        </w:rPr>
        <w:t>received</w:t>
      </w:r>
      <w:r>
        <w:rPr>
          <w:spacing w:val="-5"/>
          <w:w w:val="105"/>
        </w:rPr>
        <w:t> </w:t>
      </w:r>
      <w:r>
        <w:rPr>
          <w:w w:val="105"/>
        </w:rPr>
        <w:t>from</w:t>
      </w:r>
      <w:r>
        <w:rPr>
          <w:spacing w:val="-5"/>
          <w:w w:val="105"/>
        </w:rPr>
        <w:t> </w:t>
      </w:r>
      <w:r>
        <w:rPr>
          <w:w w:val="105"/>
        </w:rPr>
        <w:t>a</w:t>
      </w:r>
      <w:r>
        <w:rPr>
          <w:spacing w:val="-5"/>
          <w:w w:val="105"/>
        </w:rPr>
        <w:t> </w:t>
      </w:r>
      <w:r>
        <w:rPr>
          <w:w w:val="105"/>
        </w:rPr>
        <w:t>customer</w:t>
      </w:r>
      <w:r>
        <w:rPr>
          <w:spacing w:val="-5"/>
          <w:w w:val="105"/>
        </w:rPr>
        <w:t> </w:t>
      </w:r>
      <w:r>
        <w:rPr>
          <w:w w:val="105"/>
        </w:rPr>
        <w:t>under</w:t>
      </w:r>
      <w:r>
        <w:rPr>
          <w:spacing w:val="-5"/>
          <w:w w:val="105"/>
        </w:rPr>
        <w:t> </w:t>
      </w:r>
      <w:r>
        <w:rPr>
          <w:w w:val="105"/>
        </w:rPr>
        <w:t>a</w:t>
      </w:r>
      <w:r>
        <w:rPr>
          <w:spacing w:val="-5"/>
          <w:w w:val="105"/>
        </w:rPr>
        <w:t> </w:t>
      </w:r>
      <w:r>
        <w:rPr>
          <w:w w:val="105"/>
        </w:rPr>
        <w:t>long-term</w:t>
      </w:r>
      <w:r>
        <w:rPr>
          <w:spacing w:val="-5"/>
          <w:w w:val="105"/>
        </w:rPr>
        <w:t> </w:t>
      </w:r>
      <w:r>
        <w:rPr>
          <w:w w:val="105"/>
        </w:rPr>
        <w:t>supply agreement.</w:t>
      </w:r>
      <w:r>
        <w:rPr>
          <w:spacing w:val="-7"/>
          <w:w w:val="105"/>
        </w:rPr>
        <w:t> </w:t>
      </w:r>
      <w:r>
        <w:rPr>
          <w:w w:val="105"/>
        </w:rPr>
        <w:t>The</w:t>
      </w:r>
      <w:r>
        <w:rPr>
          <w:spacing w:val="-7"/>
          <w:w w:val="105"/>
        </w:rPr>
        <w:t> </w:t>
      </w:r>
      <w:r>
        <w:rPr>
          <w:w w:val="105"/>
        </w:rPr>
        <w:t>discount</w:t>
      </w:r>
      <w:r>
        <w:rPr>
          <w:spacing w:val="-7"/>
          <w:w w:val="105"/>
        </w:rPr>
        <w:t> </w:t>
      </w:r>
      <w:r>
        <w:rPr>
          <w:w w:val="105"/>
        </w:rPr>
        <w:t>rates</w:t>
      </w:r>
      <w:r>
        <w:rPr>
          <w:spacing w:val="-7"/>
          <w:w w:val="105"/>
        </w:rPr>
        <w:t> </w:t>
      </w:r>
      <w:r>
        <w:rPr>
          <w:w w:val="105"/>
        </w:rPr>
        <w:t>used</w:t>
      </w:r>
      <w:r>
        <w:rPr>
          <w:spacing w:val="-7"/>
          <w:w w:val="105"/>
        </w:rPr>
        <w:t> </w:t>
      </w:r>
      <w:r>
        <w:rPr>
          <w:w w:val="105"/>
        </w:rPr>
        <w:t>to</w:t>
      </w:r>
      <w:r>
        <w:rPr>
          <w:spacing w:val="-7"/>
          <w:w w:val="105"/>
        </w:rPr>
        <w:t> </w:t>
      </w:r>
      <w:r>
        <w:rPr>
          <w:w w:val="105"/>
        </w:rPr>
        <w:t>calculate</w:t>
      </w:r>
      <w:r>
        <w:rPr>
          <w:spacing w:val="-6"/>
          <w:w w:val="105"/>
        </w:rPr>
        <w:t> </w:t>
      </w:r>
      <w:r>
        <w:rPr>
          <w:w w:val="105"/>
        </w:rPr>
        <w:t>the</w:t>
      </w:r>
      <w:r>
        <w:rPr>
          <w:spacing w:val="-7"/>
          <w:w w:val="105"/>
        </w:rPr>
        <w:t> </w:t>
      </w:r>
      <w:r>
        <w:rPr>
          <w:w w:val="105"/>
        </w:rPr>
        <w:t>present</w:t>
      </w:r>
      <w:r>
        <w:rPr>
          <w:spacing w:val="-7"/>
          <w:w w:val="105"/>
        </w:rPr>
        <w:t> </w:t>
      </w:r>
      <w:r>
        <w:rPr>
          <w:w w:val="105"/>
        </w:rPr>
        <w:t>value</w:t>
      </w:r>
      <w:r>
        <w:rPr>
          <w:spacing w:val="-7"/>
          <w:w w:val="105"/>
        </w:rPr>
        <w:t> </w:t>
      </w:r>
      <w:r>
        <w:rPr>
          <w:w w:val="105"/>
        </w:rPr>
        <w:t>of</w:t>
      </w:r>
      <w:r>
        <w:rPr>
          <w:spacing w:val="-7"/>
          <w:w w:val="105"/>
        </w:rPr>
        <w:t> </w:t>
      </w:r>
      <w:r>
        <w:rPr>
          <w:w w:val="105"/>
        </w:rPr>
        <w:t>the</w:t>
      </w:r>
      <w:r>
        <w:rPr>
          <w:spacing w:val="-7"/>
          <w:w w:val="105"/>
        </w:rPr>
        <w:t> </w:t>
      </w:r>
      <w:r>
        <w:rPr>
          <w:w w:val="105"/>
        </w:rPr>
        <w:t>customer</w:t>
      </w:r>
      <w:r>
        <w:rPr>
          <w:spacing w:val="-7"/>
          <w:w w:val="105"/>
        </w:rPr>
        <w:t> </w:t>
      </w:r>
      <w:r>
        <w:rPr>
          <w:w w:val="105"/>
        </w:rPr>
        <w:t>deposit</w:t>
      </w:r>
      <w:r>
        <w:rPr>
          <w:spacing w:val="-7"/>
          <w:w w:val="105"/>
        </w:rPr>
        <w:t> </w:t>
      </w:r>
      <w:r>
        <w:rPr>
          <w:w w:val="105"/>
        </w:rPr>
        <w:t>range</w:t>
      </w:r>
      <w:r>
        <w:rPr>
          <w:spacing w:val="-7"/>
          <w:w w:val="105"/>
        </w:rPr>
        <w:t> </w:t>
      </w:r>
      <w:r>
        <w:rPr>
          <w:w w:val="105"/>
        </w:rPr>
        <w:t>from</w:t>
      </w:r>
      <w:r>
        <w:rPr>
          <w:spacing w:val="-7"/>
          <w:w w:val="105"/>
        </w:rPr>
        <w:t> </w:t>
      </w:r>
      <w:r>
        <w:rPr>
          <w:w w:val="105"/>
        </w:rPr>
        <w:t>2.54%</w:t>
      </w:r>
      <w:r>
        <w:rPr>
          <w:spacing w:val="-7"/>
          <w:w w:val="105"/>
        </w:rPr>
        <w:t> </w:t>
      </w:r>
      <w:r>
        <w:rPr>
          <w:w w:val="105"/>
        </w:rPr>
        <w:t>to</w:t>
      </w:r>
      <w:r>
        <w:rPr>
          <w:spacing w:val="-7"/>
          <w:w w:val="105"/>
        </w:rPr>
        <w:t> </w:t>
      </w:r>
      <w:r>
        <w:rPr>
          <w:w w:val="105"/>
        </w:rPr>
        <w:t>3.23%.</w:t>
      </w:r>
      <w:r>
        <w:rPr>
          <w:spacing w:val="-7"/>
          <w:w w:val="105"/>
        </w:rPr>
        <w:t> </w:t>
      </w:r>
      <w:r>
        <w:rPr>
          <w:w w:val="105"/>
        </w:rPr>
        <w:t>The</w:t>
      </w:r>
      <w:r>
        <w:rPr>
          <w:spacing w:val="-7"/>
          <w:w w:val="105"/>
        </w:rPr>
        <w:t> </w:t>
      </w:r>
      <w:r>
        <w:rPr>
          <w:w w:val="105"/>
        </w:rPr>
        <w:t>deposits</w:t>
      </w:r>
      <w:r>
        <w:rPr>
          <w:spacing w:val="-7"/>
          <w:w w:val="105"/>
        </w:rPr>
        <w:t> </w:t>
      </w:r>
      <w:r>
        <w:rPr>
          <w:w w:val="105"/>
        </w:rPr>
        <w:t>will</w:t>
      </w:r>
      <w:r>
        <w:rPr>
          <w:spacing w:val="-7"/>
          <w:w w:val="105"/>
        </w:rPr>
        <w:t> </w:t>
      </w:r>
      <w:r>
        <w:rPr>
          <w:w w:val="105"/>
        </w:rPr>
        <w:t>be</w:t>
      </w:r>
      <w:r>
        <w:rPr>
          <w:spacing w:val="-7"/>
          <w:w w:val="105"/>
        </w:rPr>
        <w:t> </w:t>
      </w:r>
      <w:r>
        <w:rPr>
          <w:w w:val="105"/>
        </w:rPr>
        <w:t>repaid</w:t>
      </w:r>
      <w:r>
        <w:rPr>
          <w:spacing w:val="-7"/>
          <w:w w:val="105"/>
        </w:rPr>
        <w:t> </w:t>
      </w:r>
      <w:r>
        <w:rPr>
          <w:w w:val="105"/>
        </w:rPr>
        <w:t>from</w:t>
      </w:r>
      <w:r>
        <w:rPr>
          <w:spacing w:val="-8"/>
          <w:w w:val="105"/>
        </w:rPr>
        <w:t> </w:t>
      </w:r>
      <w:r>
        <w:rPr>
          <w:w w:val="105"/>
        </w:rPr>
        <w:t>2029</w:t>
      </w:r>
      <w:r>
        <w:rPr>
          <w:spacing w:val="-7"/>
          <w:w w:val="105"/>
        </w:rPr>
        <w:t> </w:t>
      </w:r>
      <w:r>
        <w:rPr>
          <w:w w:val="105"/>
        </w:rPr>
        <w:t>to</w:t>
      </w:r>
      <w:r>
        <w:rPr>
          <w:spacing w:val="-7"/>
          <w:w w:val="105"/>
        </w:rPr>
        <w:t> </w:t>
      </w:r>
      <w:r>
        <w:rPr>
          <w:w w:val="105"/>
        </w:rPr>
        <w:t>2034 provided that all purchase obligations of this customer under the supply agreement have been satisfied.</w:t>
      </w:r>
    </w:p>
    <w:p>
      <w:pPr>
        <w:pStyle w:val="BodyText"/>
        <w:spacing w:before="18"/>
      </w:pPr>
    </w:p>
    <w:p>
      <w:pPr>
        <w:pStyle w:val="BodyText"/>
        <w:spacing w:line="266" w:lineRule="auto"/>
        <w:ind w:left="156" w:right="117"/>
      </w:pPr>
      <w:r>
        <w:rPr>
          <w:w w:val="105"/>
        </w:rPr>
        <w:t>Corning</w:t>
      </w:r>
      <w:r>
        <w:rPr>
          <w:spacing w:val="-9"/>
          <w:w w:val="105"/>
        </w:rPr>
        <w:t> </w:t>
      </w:r>
      <w:r>
        <w:rPr>
          <w:w w:val="105"/>
        </w:rPr>
        <w:t>also</w:t>
      </w:r>
      <w:r>
        <w:rPr>
          <w:spacing w:val="-9"/>
          <w:w w:val="105"/>
        </w:rPr>
        <w:t> </w:t>
      </w:r>
      <w:r>
        <w:rPr>
          <w:w w:val="105"/>
        </w:rPr>
        <w:t>recorded</w:t>
      </w:r>
      <w:r>
        <w:rPr>
          <w:spacing w:val="-9"/>
          <w:w w:val="105"/>
        </w:rPr>
        <w:t> </w:t>
      </w:r>
      <w:r>
        <w:rPr>
          <w:w w:val="105"/>
        </w:rPr>
        <w:t>deferred</w:t>
      </w:r>
      <w:r>
        <w:rPr>
          <w:spacing w:val="-9"/>
          <w:w w:val="105"/>
        </w:rPr>
        <w:t> </w:t>
      </w:r>
      <w:r>
        <w:rPr>
          <w:w w:val="105"/>
        </w:rPr>
        <w:t>revenue</w:t>
      </w:r>
      <w:r>
        <w:rPr>
          <w:spacing w:val="-9"/>
          <w:w w:val="105"/>
        </w:rPr>
        <w:t> </w:t>
      </w:r>
      <w:r>
        <w:rPr>
          <w:w w:val="105"/>
        </w:rPr>
        <w:t>of</w:t>
      </w:r>
      <w:r>
        <w:rPr>
          <w:spacing w:val="-9"/>
          <w:w w:val="105"/>
        </w:rPr>
        <w:t> </w:t>
      </w:r>
      <w:r>
        <w:rPr>
          <w:w w:val="105"/>
        </w:rPr>
        <w:t>$1,070</w:t>
      </w:r>
      <w:r>
        <w:rPr>
          <w:spacing w:val="-9"/>
          <w:w w:val="105"/>
        </w:rPr>
        <w:t> </w:t>
      </w:r>
      <w:r>
        <w:rPr>
          <w:w w:val="105"/>
        </w:rPr>
        <w:t>million</w:t>
      </w:r>
      <w:r>
        <w:rPr>
          <w:spacing w:val="-9"/>
          <w:w w:val="105"/>
        </w:rPr>
        <w:t> </w:t>
      </w:r>
      <w:r>
        <w:rPr>
          <w:w w:val="105"/>
        </w:rPr>
        <w:t>at</w:t>
      </w:r>
      <w:r>
        <w:rPr>
          <w:spacing w:val="-9"/>
          <w:w w:val="105"/>
        </w:rPr>
        <w:t> </w:t>
      </w:r>
      <w:r>
        <w:rPr>
          <w:w w:val="105"/>
        </w:rPr>
        <w:t>fair</w:t>
      </w:r>
      <w:r>
        <w:rPr>
          <w:spacing w:val="-9"/>
          <w:w w:val="105"/>
        </w:rPr>
        <w:t> </w:t>
      </w:r>
      <w:r>
        <w:rPr>
          <w:w w:val="105"/>
        </w:rPr>
        <w:t>value</w:t>
      </w:r>
      <w:r>
        <w:rPr>
          <w:spacing w:val="-9"/>
          <w:w w:val="105"/>
        </w:rPr>
        <w:t> </w:t>
      </w:r>
      <w:r>
        <w:rPr>
          <w:w w:val="105"/>
        </w:rPr>
        <w:t>related</w:t>
      </w:r>
      <w:r>
        <w:rPr>
          <w:spacing w:val="-9"/>
          <w:w w:val="105"/>
        </w:rPr>
        <w:t> </w:t>
      </w:r>
      <w:r>
        <w:rPr>
          <w:w w:val="105"/>
        </w:rPr>
        <w:t>to</w:t>
      </w:r>
      <w:r>
        <w:rPr>
          <w:spacing w:val="-9"/>
          <w:w w:val="105"/>
        </w:rPr>
        <w:t> </w:t>
      </w:r>
      <w:r>
        <w:rPr>
          <w:w w:val="105"/>
        </w:rPr>
        <w:t>the</w:t>
      </w:r>
      <w:r>
        <w:rPr>
          <w:spacing w:val="-9"/>
          <w:w w:val="105"/>
        </w:rPr>
        <w:t> </w:t>
      </w:r>
      <w:r>
        <w:rPr>
          <w:w w:val="105"/>
        </w:rPr>
        <w:t>performance</w:t>
      </w:r>
      <w:r>
        <w:rPr>
          <w:spacing w:val="-9"/>
          <w:w w:val="105"/>
        </w:rPr>
        <w:t> </w:t>
      </w:r>
      <w:r>
        <w:rPr>
          <w:w w:val="105"/>
        </w:rPr>
        <w:t>obligations</w:t>
      </w:r>
      <w:r>
        <w:rPr>
          <w:spacing w:val="-9"/>
          <w:w w:val="105"/>
        </w:rPr>
        <w:t> </w:t>
      </w:r>
      <w:r>
        <w:rPr>
          <w:w w:val="105"/>
        </w:rPr>
        <w:t>of</w:t>
      </w:r>
      <w:r>
        <w:rPr>
          <w:spacing w:val="-9"/>
          <w:w w:val="105"/>
        </w:rPr>
        <w:t> </w:t>
      </w:r>
      <w:r>
        <w:rPr>
          <w:w w:val="105"/>
        </w:rPr>
        <w:t>non-refundable</w:t>
      </w:r>
      <w:r>
        <w:rPr>
          <w:spacing w:val="-9"/>
          <w:w w:val="105"/>
        </w:rPr>
        <w:t> </w:t>
      </w:r>
      <w:r>
        <w:rPr>
          <w:w w:val="105"/>
        </w:rPr>
        <w:t>consideration</w:t>
      </w:r>
      <w:r>
        <w:rPr>
          <w:spacing w:val="-9"/>
          <w:w w:val="105"/>
        </w:rPr>
        <w:t> </w:t>
      </w:r>
      <w:r>
        <w:rPr>
          <w:w w:val="105"/>
        </w:rPr>
        <w:t>previously</w:t>
      </w:r>
      <w:r>
        <w:rPr>
          <w:spacing w:val="-9"/>
          <w:w w:val="105"/>
        </w:rPr>
        <w:t> </w:t>
      </w:r>
      <w:r>
        <w:rPr>
          <w:w w:val="105"/>
        </w:rPr>
        <w:t>received</w:t>
      </w:r>
      <w:r>
        <w:rPr>
          <w:spacing w:val="-9"/>
          <w:w w:val="105"/>
        </w:rPr>
        <w:t> </w:t>
      </w:r>
      <w:r>
        <w:rPr>
          <w:w w:val="105"/>
        </w:rPr>
        <w:t>by</w:t>
      </w:r>
      <w:r>
        <w:rPr>
          <w:spacing w:val="-9"/>
          <w:w w:val="105"/>
        </w:rPr>
        <w:t> </w:t>
      </w:r>
      <w:r>
        <w:rPr>
          <w:w w:val="105"/>
        </w:rPr>
        <w:t>HSG from</w:t>
      </w:r>
      <w:r>
        <w:rPr>
          <w:spacing w:val="-2"/>
          <w:w w:val="105"/>
        </w:rPr>
        <w:t> </w:t>
      </w:r>
      <w:r>
        <w:rPr>
          <w:w w:val="105"/>
        </w:rPr>
        <w:t>its</w:t>
      </w:r>
      <w:r>
        <w:rPr>
          <w:spacing w:val="-2"/>
          <w:w w:val="105"/>
        </w:rPr>
        <w:t> </w:t>
      </w:r>
      <w:r>
        <w:rPr>
          <w:w w:val="105"/>
        </w:rPr>
        <w:t>customers</w:t>
      </w:r>
      <w:r>
        <w:rPr>
          <w:spacing w:val="-2"/>
          <w:w w:val="105"/>
        </w:rPr>
        <w:t> </w:t>
      </w:r>
      <w:r>
        <w:rPr>
          <w:w w:val="105"/>
        </w:rPr>
        <w:t>under long</w:t>
      </w:r>
      <w:r>
        <w:rPr>
          <w:spacing w:val="-2"/>
          <w:w w:val="105"/>
        </w:rPr>
        <w:t> </w:t>
      </w:r>
      <w:r>
        <w:rPr>
          <w:w w:val="105"/>
        </w:rPr>
        <w:t>term</w:t>
      </w:r>
      <w:r>
        <w:rPr>
          <w:spacing w:val="-2"/>
          <w:w w:val="105"/>
        </w:rPr>
        <w:t> </w:t>
      </w:r>
      <w:r>
        <w:rPr>
          <w:w w:val="105"/>
        </w:rPr>
        <w:t>supply</w:t>
      </w:r>
      <w:r>
        <w:rPr>
          <w:spacing w:val="-2"/>
          <w:w w:val="105"/>
        </w:rPr>
        <w:t> </w:t>
      </w:r>
      <w:r>
        <w:rPr>
          <w:w w:val="105"/>
        </w:rPr>
        <w:t>agreements.</w:t>
      </w:r>
      <w:r>
        <w:rPr>
          <w:spacing w:val="-2"/>
          <w:w w:val="105"/>
        </w:rPr>
        <w:t> </w:t>
      </w:r>
      <w:r>
        <w:rPr>
          <w:w w:val="105"/>
        </w:rPr>
        <w:t>The</w:t>
      </w:r>
      <w:r>
        <w:rPr>
          <w:spacing w:val="-2"/>
          <w:w w:val="105"/>
        </w:rPr>
        <w:t> </w:t>
      </w:r>
      <w:r>
        <w:rPr>
          <w:w w:val="105"/>
        </w:rPr>
        <w:t>fair</w:t>
      </w:r>
      <w:r>
        <w:rPr>
          <w:spacing w:val="-2"/>
          <w:w w:val="105"/>
        </w:rPr>
        <w:t> </w:t>
      </w:r>
      <w:r>
        <w:rPr>
          <w:w w:val="105"/>
        </w:rPr>
        <w:t>values</w:t>
      </w:r>
      <w:r>
        <w:rPr>
          <w:spacing w:val="-2"/>
          <w:w w:val="105"/>
        </w:rPr>
        <w:t> </w:t>
      </w:r>
      <w:r>
        <w:rPr>
          <w:w w:val="105"/>
        </w:rPr>
        <w:t>of</w:t>
      </w:r>
      <w:r>
        <w:rPr>
          <w:spacing w:val="-2"/>
          <w:w w:val="105"/>
        </w:rPr>
        <w:t> </w:t>
      </w:r>
      <w:r>
        <w:rPr>
          <w:w w:val="105"/>
        </w:rPr>
        <w:t>deferred</w:t>
      </w:r>
      <w:r>
        <w:rPr>
          <w:spacing w:val="-2"/>
          <w:w w:val="105"/>
        </w:rPr>
        <w:t> </w:t>
      </w:r>
      <w:r>
        <w:rPr>
          <w:w w:val="105"/>
        </w:rPr>
        <w:t>revenue</w:t>
      </w:r>
      <w:r>
        <w:rPr>
          <w:spacing w:val="-2"/>
          <w:w w:val="105"/>
        </w:rPr>
        <w:t> </w:t>
      </w:r>
      <w:r>
        <w:rPr>
          <w:w w:val="105"/>
        </w:rPr>
        <w:t>were</w:t>
      </w:r>
      <w:r>
        <w:rPr>
          <w:spacing w:val="-2"/>
          <w:w w:val="105"/>
        </w:rPr>
        <w:t> </w:t>
      </w:r>
      <w:r>
        <w:rPr>
          <w:w w:val="105"/>
        </w:rPr>
        <w:t>estimated</w:t>
      </w:r>
      <w:r>
        <w:rPr>
          <w:spacing w:val="-2"/>
          <w:w w:val="105"/>
        </w:rPr>
        <w:t> </w:t>
      </w:r>
      <w:r>
        <w:rPr>
          <w:w w:val="105"/>
        </w:rPr>
        <w:t>by</w:t>
      </w:r>
      <w:r>
        <w:rPr>
          <w:spacing w:val="-2"/>
          <w:w w:val="105"/>
        </w:rPr>
        <w:t> </w:t>
      </w:r>
      <w:r>
        <w:rPr>
          <w:w w:val="105"/>
        </w:rPr>
        <w:t>applying</w:t>
      </w:r>
      <w:r>
        <w:rPr>
          <w:spacing w:val="-2"/>
          <w:w w:val="105"/>
        </w:rPr>
        <w:t> </w:t>
      </w:r>
      <w:r>
        <w:rPr>
          <w:w w:val="105"/>
        </w:rPr>
        <w:t>a</w:t>
      </w:r>
      <w:r>
        <w:rPr>
          <w:spacing w:val="-2"/>
          <w:w w:val="105"/>
        </w:rPr>
        <w:t> </w:t>
      </w:r>
      <w:r>
        <w:rPr>
          <w:w w:val="105"/>
        </w:rPr>
        <w:t>bottoms-up</w:t>
      </w:r>
      <w:r>
        <w:rPr>
          <w:spacing w:val="-2"/>
          <w:w w:val="105"/>
        </w:rPr>
        <w:t> </w:t>
      </w:r>
      <w:r>
        <w:rPr>
          <w:w w:val="105"/>
        </w:rPr>
        <w:t>cost</w:t>
      </w:r>
      <w:r>
        <w:rPr>
          <w:spacing w:val="-2"/>
          <w:w w:val="105"/>
        </w:rPr>
        <w:t> </w:t>
      </w:r>
      <w:r>
        <w:rPr>
          <w:w w:val="105"/>
        </w:rPr>
        <w:t>buildup</w:t>
      </w:r>
      <w:r>
        <w:rPr>
          <w:spacing w:val="-2"/>
          <w:w w:val="105"/>
        </w:rPr>
        <w:t> </w:t>
      </w:r>
      <w:r>
        <w:rPr>
          <w:w w:val="105"/>
        </w:rPr>
        <w:t>method</w:t>
      </w:r>
      <w:r>
        <w:rPr>
          <w:spacing w:val="-2"/>
          <w:w w:val="105"/>
        </w:rPr>
        <w:t> </w:t>
      </w:r>
      <w:r>
        <w:rPr>
          <w:w w:val="105"/>
        </w:rPr>
        <w:t>of</w:t>
      </w:r>
      <w:r>
        <w:rPr>
          <w:spacing w:val="-2"/>
          <w:w w:val="105"/>
        </w:rPr>
        <w:t> </w:t>
      </w:r>
      <w:r>
        <w:rPr>
          <w:w w:val="105"/>
        </w:rPr>
        <w:t>the</w:t>
      </w:r>
      <w:r>
        <w:rPr>
          <w:spacing w:val="-2"/>
          <w:w w:val="105"/>
        </w:rPr>
        <w:t> </w:t>
      </w:r>
      <w:r>
        <w:rPr>
          <w:w w:val="105"/>
        </w:rPr>
        <w:t>cost approach</w:t>
      </w:r>
      <w:r>
        <w:rPr>
          <w:spacing w:val="-1"/>
          <w:w w:val="105"/>
        </w:rPr>
        <w:t> </w:t>
      </w:r>
      <w:r>
        <w:rPr>
          <w:w w:val="105"/>
        </w:rPr>
        <w:t>based</w:t>
      </w:r>
      <w:r>
        <w:rPr>
          <w:spacing w:val="-1"/>
          <w:w w:val="105"/>
        </w:rPr>
        <w:t> </w:t>
      </w:r>
      <w:r>
        <w:rPr>
          <w:w w:val="105"/>
        </w:rPr>
        <w:t>on</w:t>
      </w:r>
      <w:r>
        <w:rPr>
          <w:spacing w:val="-1"/>
          <w:w w:val="105"/>
        </w:rPr>
        <w:t> </w:t>
      </w:r>
      <w:r>
        <w:rPr>
          <w:w w:val="105"/>
        </w:rPr>
        <w:t>significant</w:t>
      </w:r>
      <w:r>
        <w:rPr>
          <w:spacing w:val="-1"/>
          <w:w w:val="105"/>
        </w:rPr>
        <w:t> </w:t>
      </w:r>
      <w:r>
        <w:rPr>
          <w:w w:val="105"/>
        </w:rPr>
        <w:t>inputs</w:t>
      </w:r>
      <w:r>
        <w:rPr>
          <w:spacing w:val="-1"/>
          <w:w w:val="105"/>
        </w:rPr>
        <w:t> </w:t>
      </w:r>
      <w:r>
        <w:rPr>
          <w:w w:val="105"/>
        </w:rPr>
        <w:t>such</w:t>
      </w:r>
      <w:r>
        <w:rPr>
          <w:spacing w:val="-1"/>
          <w:w w:val="105"/>
        </w:rPr>
        <w:t> </w:t>
      </w:r>
      <w:r>
        <w:rPr>
          <w:w w:val="105"/>
        </w:rPr>
        <w:t>as</w:t>
      </w:r>
      <w:r>
        <w:rPr>
          <w:spacing w:val="-1"/>
          <w:w w:val="105"/>
        </w:rPr>
        <w:t> </w:t>
      </w:r>
      <w:r>
        <w:rPr>
          <w:w w:val="105"/>
        </w:rPr>
        <w:t>the</w:t>
      </w:r>
      <w:r>
        <w:rPr>
          <w:spacing w:val="-1"/>
          <w:w w:val="105"/>
        </w:rPr>
        <w:t> </w:t>
      </w:r>
      <w:r>
        <w:rPr>
          <w:w w:val="105"/>
        </w:rPr>
        <w:t>cost</w:t>
      </w:r>
      <w:r>
        <w:rPr>
          <w:spacing w:val="-1"/>
          <w:w w:val="105"/>
        </w:rPr>
        <w:t> </w:t>
      </w:r>
      <w:r>
        <w:rPr>
          <w:w w:val="105"/>
        </w:rPr>
        <w:t>to</w:t>
      </w:r>
      <w:r>
        <w:rPr>
          <w:spacing w:val="-1"/>
          <w:w w:val="105"/>
        </w:rPr>
        <w:t> </w:t>
      </w:r>
      <w:r>
        <w:rPr>
          <w:w w:val="105"/>
        </w:rPr>
        <w:t>fulfill</w:t>
      </w:r>
      <w:r>
        <w:rPr>
          <w:spacing w:val="-1"/>
          <w:w w:val="105"/>
        </w:rPr>
        <w:t> </w:t>
      </w:r>
      <w:r>
        <w:rPr>
          <w:w w:val="105"/>
        </w:rPr>
        <w:t>the</w:t>
      </w:r>
      <w:r>
        <w:rPr>
          <w:spacing w:val="-1"/>
          <w:w w:val="105"/>
        </w:rPr>
        <w:t> </w:t>
      </w:r>
      <w:r>
        <w:rPr>
          <w:w w:val="105"/>
        </w:rPr>
        <w:t>obligations</w:t>
      </w:r>
      <w:r>
        <w:rPr>
          <w:spacing w:val="-1"/>
          <w:w w:val="105"/>
        </w:rPr>
        <w:t> </w:t>
      </w:r>
      <w:r>
        <w:rPr>
          <w:w w:val="105"/>
        </w:rPr>
        <w:t>as</w:t>
      </w:r>
      <w:r>
        <w:rPr>
          <w:spacing w:val="-1"/>
          <w:w w:val="105"/>
        </w:rPr>
        <w:t> </w:t>
      </w:r>
      <w:r>
        <w:rPr>
          <w:w w:val="105"/>
        </w:rPr>
        <w:t>well as</w:t>
      </w:r>
      <w:r>
        <w:rPr>
          <w:spacing w:val="-1"/>
          <w:w w:val="105"/>
        </w:rPr>
        <w:t> </w:t>
      </w:r>
      <w:r>
        <w:rPr>
          <w:w w:val="105"/>
        </w:rPr>
        <w:t>key</w:t>
      </w:r>
      <w:r>
        <w:rPr>
          <w:spacing w:val="-1"/>
          <w:w w:val="105"/>
        </w:rPr>
        <w:t> </w:t>
      </w:r>
      <w:r>
        <w:rPr>
          <w:w w:val="105"/>
        </w:rPr>
        <w:t>inputs</w:t>
      </w:r>
      <w:r>
        <w:rPr>
          <w:spacing w:val="-1"/>
          <w:w w:val="105"/>
        </w:rPr>
        <w:t> </w:t>
      </w:r>
      <w:r>
        <w:rPr>
          <w:w w:val="105"/>
        </w:rPr>
        <w:t>including</w:t>
      </w:r>
      <w:r>
        <w:rPr>
          <w:spacing w:val="-1"/>
          <w:w w:val="105"/>
        </w:rPr>
        <w:t> </w:t>
      </w:r>
      <w:r>
        <w:rPr>
          <w:w w:val="105"/>
        </w:rPr>
        <w:t>a</w:t>
      </w:r>
      <w:r>
        <w:rPr>
          <w:spacing w:val="-1"/>
          <w:w w:val="105"/>
        </w:rPr>
        <w:t> </w:t>
      </w:r>
      <w:r>
        <w:rPr>
          <w:w w:val="105"/>
        </w:rPr>
        <w:t>normal</w:t>
      </w:r>
      <w:r>
        <w:rPr>
          <w:spacing w:val="-1"/>
          <w:w w:val="105"/>
        </w:rPr>
        <w:t> </w:t>
      </w:r>
      <w:r>
        <w:rPr>
          <w:w w:val="105"/>
        </w:rPr>
        <w:t>profit</w:t>
      </w:r>
      <w:r>
        <w:rPr>
          <w:spacing w:val="-1"/>
          <w:w w:val="105"/>
        </w:rPr>
        <w:t> </w:t>
      </w:r>
      <w:r>
        <w:rPr>
          <w:w w:val="105"/>
        </w:rPr>
        <w:t>margin.</w:t>
      </w:r>
    </w:p>
    <w:p>
      <w:pPr>
        <w:pStyle w:val="BodyText"/>
        <w:spacing w:before="19"/>
      </w:pPr>
    </w:p>
    <w:p>
      <w:pPr>
        <w:pStyle w:val="BodyText"/>
        <w:spacing w:line="266" w:lineRule="auto"/>
        <w:ind w:left="156" w:right="117"/>
      </w:pPr>
      <w:r>
        <w:rPr>
          <w:w w:val="105"/>
        </w:rPr>
        <w:t>The</w:t>
      </w:r>
      <w:r>
        <w:rPr>
          <w:spacing w:val="-9"/>
          <w:w w:val="105"/>
        </w:rPr>
        <w:t> </w:t>
      </w:r>
      <w:r>
        <w:rPr>
          <w:w w:val="105"/>
        </w:rPr>
        <w:t>goodwill</w:t>
      </w:r>
      <w:r>
        <w:rPr>
          <w:spacing w:val="-9"/>
          <w:w w:val="105"/>
        </w:rPr>
        <w:t> </w:t>
      </w:r>
      <w:r>
        <w:rPr>
          <w:w w:val="105"/>
        </w:rPr>
        <w:t>is</w:t>
      </w:r>
      <w:r>
        <w:rPr>
          <w:spacing w:val="-9"/>
          <w:w w:val="105"/>
        </w:rPr>
        <w:t> </w:t>
      </w:r>
      <w:r>
        <w:rPr>
          <w:w w:val="105"/>
        </w:rPr>
        <w:t>primarily</w:t>
      </w:r>
      <w:r>
        <w:rPr>
          <w:spacing w:val="-9"/>
          <w:w w:val="105"/>
        </w:rPr>
        <w:t> </w:t>
      </w:r>
      <w:r>
        <w:rPr>
          <w:w w:val="105"/>
        </w:rPr>
        <w:t>related</w:t>
      </w:r>
      <w:r>
        <w:rPr>
          <w:spacing w:val="-9"/>
          <w:w w:val="105"/>
        </w:rPr>
        <w:t> </w:t>
      </w:r>
      <w:r>
        <w:rPr>
          <w:w w:val="105"/>
        </w:rPr>
        <w:t>to</w:t>
      </w:r>
      <w:r>
        <w:rPr>
          <w:spacing w:val="-9"/>
          <w:w w:val="105"/>
        </w:rPr>
        <w:t> </w:t>
      </w:r>
      <w:r>
        <w:rPr>
          <w:w w:val="105"/>
        </w:rPr>
        <w:t>other</w:t>
      </w:r>
      <w:r>
        <w:rPr>
          <w:spacing w:val="-9"/>
          <w:w w:val="105"/>
        </w:rPr>
        <w:t> </w:t>
      </w:r>
      <w:r>
        <w:rPr>
          <w:w w:val="105"/>
        </w:rPr>
        <w:t>intangibles</w:t>
      </w:r>
      <w:r>
        <w:rPr>
          <w:spacing w:val="-9"/>
          <w:w w:val="105"/>
        </w:rPr>
        <w:t> </w:t>
      </w:r>
      <w:r>
        <w:rPr>
          <w:w w:val="105"/>
        </w:rPr>
        <w:t>and</w:t>
      </w:r>
      <w:r>
        <w:rPr>
          <w:spacing w:val="-9"/>
          <w:w w:val="105"/>
        </w:rPr>
        <w:t> </w:t>
      </w:r>
      <w:r>
        <w:rPr>
          <w:w w:val="105"/>
        </w:rPr>
        <w:t>synergies</w:t>
      </w:r>
      <w:r>
        <w:rPr>
          <w:spacing w:val="-9"/>
          <w:w w:val="105"/>
        </w:rPr>
        <w:t> </w:t>
      </w:r>
      <w:r>
        <w:rPr>
          <w:w w:val="105"/>
        </w:rPr>
        <w:t>of</w:t>
      </w:r>
      <w:r>
        <w:rPr>
          <w:spacing w:val="-9"/>
          <w:w w:val="105"/>
        </w:rPr>
        <w:t> </w:t>
      </w:r>
      <w:r>
        <w:rPr>
          <w:w w:val="105"/>
        </w:rPr>
        <w:t>the</w:t>
      </w:r>
      <w:r>
        <w:rPr>
          <w:spacing w:val="-9"/>
          <w:w w:val="105"/>
        </w:rPr>
        <w:t> </w:t>
      </w:r>
      <w:r>
        <w:rPr>
          <w:w w:val="105"/>
        </w:rPr>
        <w:t>acquired</w:t>
      </w:r>
      <w:r>
        <w:rPr>
          <w:spacing w:val="-9"/>
          <w:w w:val="105"/>
        </w:rPr>
        <w:t> </w:t>
      </w:r>
      <w:r>
        <w:rPr>
          <w:w w:val="105"/>
        </w:rPr>
        <w:t>business</w:t>
      </w:r>
      <w:r>
        <w:rPr>
          <w:spacing w:val="-9"/>
          <w:w w:val="105"/>
        </w:rPr>
        <w:t> </w:t>
      </w:r>
      <w:r>
        <w:rPr>
          <w:w w:val="105"/>
        </w:rPr>
        <w:t>which</w:t>
      </w:r>
      <w:r>
        <w:rPr>
          <w:spacing w:val="-9"/>
          <w:w w:val="105"/>
        </w:rPr>
        <w:t> </w:t>
      </w:r>
      <w:r>
        <w:rPr>
          <w:w w:val="105"/>
        </w:rPr>
        <w:t>do</w:t>
      </w:r>
      <w:r>
        <w:rPr>
          <w:spacing w:val="-8"/>
          <w:w w:val="105"/>
        </w:rPr>
        <w:t> </w:t>
      </w:r>
      <w:r>
        <w:rPr>
          <w:w w:val="105"/>
        </w:rPr>
        <w:t>not</w:t>
      </w:r>
      <w:r>
        <w:rPr>
          <w:spacing w:val="-9"/>
          <w:w w:val="105"/>
        </w:rPr>
        <w:t> </w:t>
      </w:r>
      <w:r>
        <w:rPr>
          <w:w w:val="105"/>
        </w:rPr>
        <w:t>qualify</w:t>
      </w:r>
      <w:r>
        <w:rPr>
          <w:spacing w:val="-9"/>
          <w:w w:val="105"/>
        </w:rPr>
        <w:t> </w:t>
      </w:r>
      <w:r>
        <w:rPr>
          <w:w w:val="105"/>
        </w:rPr>
        <w:t>for</w:t>
      </w:r>
      <w:r>
        <w:rPr>
          <w:spacing w:val="-9"/>
          <w:w w:val="105"/>
        </w:rPr>
        <w:t> </w:t>
      </w:r>
      <w:r>
        <w:rPr>
          <w:w w:val="105"/>
        </w:rPr>
        <w:t>separate</w:t>
      </w:r>
      <w:r>
        <w:rPr>
          <w:spacing w:val="-7"/>
          <w:w w:val="105"/>
        </w:rPr>
        <w:t> </w:t>
      </w:r>
      <w:r>
        <w:rPr>
          <w:w w:val="105"/>
        </w:rPr>
        <w:t>recognition.</w:t>
      </w:r>
      <w:r>
        <w:rPr>
          <w:spacing w:val="-9"/>
          <w:w w:val="105"/>
        </w:rPr>
        <w:t> </w:t>
      </w:r>
      <w:r>
        <w:rPr>
          <w:w w:val="105"/>
        </w:rPr>
        <w:t>Intangible</w:t>
      </w:r>
      <w:r>
        <w:rPr>
          <w:spacing w:val="-9"/>
          <w:w w:val="105"/>
        </w:rPr>
        <w:t> </w:t>
      </w:r>
      <w:r>
        <w:rPr>
          <w:w w:val="105"/>
        </w:rPr>
        <w:t>assets</w:t>
      </w:r>
      <w:r>
        <w:rPr>
          <w:spacing w:val="-9"/>
          <w:w w:val="105"/>
        </w:rPr>
        <w:t> </w:t>
      </w:r>
      <w:r>
        <w:rPr>
          <w:w w:val="105"/>
        </w:rPr>
        <w:t>consist</w:t>
      </w:r>
      <w:r>
        <w:rPr>
          <w:spacing w:val="-9"/>
          <w:w w:val="105"/>
        </w:rPr>
        <w:t> </w:t>
      </w:r>
      <w:r>
        <w:rPr>
          <w:w w:val="105"/>
        </w:rPr>
        <w:t>primarily of</w:t>
      </w:r>
      <w:r>
        <w:rPr>
          <w:spacing w:val="-6"/>
          <w:w w:val="105"/>
        </w:rPr>
        <w:t> </w:t>
      </w:r>
      <w:r>
        <w:rPr>
          <w:w w:val="105"/>
        </w:rPr>
        <w:t>$215</w:t>
      </w:r>
      <w:r>
        <w:rPr>
          <w:spacing w:val="-6"/>
          <w:w w:val="105"/>
        </w:rPr>
        <w:t> </w:t>
      </w:r>
      <w:r>
        <w:rPr>
          <w:w w:val="105"/>
        </w:rPr>
        <w:t>million</w:t>
      </w:r>
      <w:r>
        <w:rPr>
          <w:spacing w:val="-6"/>
          <w:w w:val="105"/>
        </w:rPr>
        <w:t> </w:t>
      </w:r>
      <w:r>
        <w:rPr>
          <w:w w:val="105"/>
        </w:rPr>
        <w:t>of</w:t>
      </w:r>
      <w:r>
        <w:rPr>
          <w:spacing w:val="-6"/>
          <w:w w:val="105"/>
        </w:rPr>
        <w:t> </w:t>
      </w:r>
      <w:r>
        <w:rPr>
          <w:w w:val="105"/>
        </w:rPr>
        <w:t>developed</w:t>
      </w:r>
      <w:r>
        <w:rPr>
          <w:spacing w:val="-6"/>
          <w:w w:val="105"/>
        </w:rPr>
        <w:t> </w:t>
      </w:r>
      <w:r>
        <w:rPr>
          <w:w w:val="105"/>
        </w:rPr>
        <w:t>technologies</w:t>
      </w:r>
      <w:r>
        <w:rPr>
          <w:spacing w:val="-6"/>
          <w:w w:val="105"/>
        </w:rPr>
        <w:t> </w:t>
      </w:r>
      <w:r>
        <w:rPr>
          <w:w w:val="105"/>
        </w:rPr>
        <w:t>and</w:t>
      </w:r>
      <w:r>
        <w:rPr>
          <w:spacing w:val="-6"/>
          <w:w w:val="105"/>
        </w:rPr>
        <w:t> </w:t>
      </w:r>
      <w:r>
        <w:rPr>
          <w:w w:val="105"/>
        </w:rPr>
        <w:t>know-how,</w:t>
      </w:r>
      <w:r>
        <w:rPr>
          <w:spacing w:val="-6"/>
          <w:w w:val="105"/>
        </w:rPr>
        <w:t> </w:t>
      </w:r>
      <w:r>
        <w:rPr>
          <w:w w:val="105"/>
        </w:rPr>
        <w:t>and</w:t>
      </w:r>
      <w:r>
        <w:rPr>
          <w:spacing w:val="-6"/>
          <w:w w:val="105"/>
        </w:rPr>
        <w:t> </w:t>
      </w:r>
      <w:r>
        <w:rPr>
          <w:w w:val="105"/>
        </w:rPr>
        <w:t>$70</w:t>
      </w:r>
      <w:r>
        <w:rPr>
          <w:spacing w:val="-6"/>
          <w:w w:val="105"/>
        </w:rPr>
        <w:t> </w:t>
      </w:r>
      <w:r>
        <w:rPr>
          <w:w w:val="105"/>
        </w:rPr>
        <w:t>million</w:t>
      </w:r>
      <w:r>
        <w:rPr>
          <w:spacing w:val="-6"/>
          <w:w w:val="105"/>
        </w:rPr>
        <w:t> </w:t>
      </w:r>
      <w:r>
        <w:rPr>
          <w:w w:val="105"/>
        </w:rPr>
        <w:t>of</w:t>
      </w:r>
      <w:r>
        <w:rPr>
          <w:spacing w:val="-6"/>
          <w:w w:val="105"/>
        </w:rPr>
        <w:t> </w:t>
      </w:r>
      <w:r>
        <w:rPr>
          <w:w w:val="105"/>
        </w:rPr>
        <w:t>other</w:t>
      </w:r>
      <w:r>
        <w:rPr>
          <w:spacing w:val="-6"/>
          <w:w w:val="105"/>
        </w:rPr>
        <w:t> </w:t>
      </w:r>
      <w:r>
        <w:rPr>
          <w:w w:val="105"/>
        </w:rPr>
        <w:t>intangibles</w:t>
      </w:r>
      <w:r>
        <w:rPr>
          <w:spacing w:val="-6"/>
          <w:w w:val="105"/>
        </w:rPr>
        <w:t> </w:t>
      </w:r>
      <w:r>
        <w:rPr>
          <w:w w:val="105"/>
        </w:rPr>
        <w:t>that</w:t>
      </w:r>
      <w:r>
        <w:rPr>
          <w:spacing w:val="-6"/>
          <w:w w:val="105"/>
        </w:rPr>
        <w:t> </w:t>
      </w:r>
      <w:r>
        <w:rPr>
          <w:w w:val="105"/>
        </w:rPr>
        <w:t>are</w:t>
      </w:r>
      <w:r>
        <w:rPr>
          <w:spacing w:val="-6"/>
          <w:w w:val="105"/>
        </w:rPr>
        <w:t> </w:t>
      </w:r>
      <w:r>
        <w:rPr>
          <w:w w:val="105"/>
        </w:rPr>
        <w:t>amortized</w:t>
      </w:r>
      <w:r>
        <w:rPr>
          <w:spacing w:val="-6"/>
          <w:w w:val="105"/>
        </w:rPr>
        <w:t> </w:t>
      </w:r>
      <w:r>
        <w:rPr>
          <w:w w:val="105"/>
        </w:rPr>
        <w:t>over</w:t>
      </w:r>
      <w:r>
        <w:rPr>
          <w:spacing w:val="-6"/>
          <w:w w:val="105"/>
        </w:rPr>
        <w:t> </w:t>
      </w:r>
      <w:r>
        <w:rPr>
          <w:w w:val="105"/>
        </w:rPr>
        <w:t>the</w:t>
      </w:r>
      <w:r>
        <w:rPr>
          <w:spacing w:val="-6"/>
          <w:w w:val="105"/>
        </w:rPr>
        <w:t> </w:t>
      </w:r>
      <w:r>
        <w:rPr>
          <w:w w:val="105"/>
        </w:rPr>
        <w:t>weighted</w:t>
      </w:r>
      <w:r>
        <w:rPr>
          <w:spacing w:val="-6"/>
          <w:w w:val="105"/>
        </w:rPr>
        <w:t> </w:t>
      </w:r>
      <w:r>
        <w:rPr>
          <w:w w:val="105"/>
        </w:rPr>
        <w:t>average</w:t>
      </w:r>
      <w:r>
        <w:rPr>
          <w:spacing w:val="-6"/>
          <w:w w:val="105"/>
        </w:rPr>
        <w:t> </w:t>
      </w:r>
      <w:r>
        <w:rPr>
          <w:w w:val="105"/>
        </w:rPr>
        <w:t>useful</w:t>
      </w:r>
      <w:r>
        <w:rPr>
          <w:spacing w:val="-6"/>
          <w:w w:val="105"/>
        </w:rPr>
        <w:t> </w:t>
      </w:r>
      <w:r>
        <w:rPr>
          <w:w w:val="105"/>
        </w:rPr>
        <w:t>life</w:t>
      </w:r>
      <w:r>
        <w:rPr>
          <w:spacing w:val="-6"/>
          <w:w w:val="105"/>
        </w:rPr>
        <w:t> </w:t>
      </w:r>
      <w:r>
        <w:rPr>
          <w:w w:val="105"/>
        </w:rPr>
        <w:t>of</w:t>
      </w:r>
      <w:r>
        <w:rPr>
          <w:spacing w:val="-6"/>
          <w:w w:val="105"/>
        </w:rPr>
        <w:t> </w:t>
      </w:r>
      <w:r>
        <w:rPr>
          <w:w w:val="105"/>
        </w:rPr>
        <w:t>approximately</w:t>
      </w:r>
      <w:r>
        <w:rPr>
          <w:spacing w:val="-6"/>
          <w:w w:val="105"/>
        </w:rPr>
        <w:t> </w:t>
      </w:r>
      <w:r>
        <w:rPr>
          <w:w w:val="105"/>
        </w:rPr>
        <w:t>20 and</w:t>
      </w:r>
      <w:r>
        <w:rPr>
          <w:spacing w:val="-5"/>
          <w:w w:val="105"/>
        </w:rPr>
        <w:t> </w:t>
      </w:r>
      <w:r>
        <w:rPr>
          <w:w w:val="105"/>
        </w:rPr>
        <w:t>15</w:t>
      </w:r>
      <w:r>
        <w:rPr>
          <w:spacing w:val="-5"/>
          <w:w w:val="105"/>
        </w:rPr>
        <w:t> </w:t>
      </w:r>
      <w:r>
        <w:rPr>
          <w:w w:val="105"/>
        </w:rPr>
        <w:t>years,</w:t>
      </w:r>
      <w:r>
        <w:rPr>
          <w:spacing w:val="-5"/>
          <w:w w:val="105"/>
        </w:rPr>
        <w:t> </w:t>
      </w:r>
      <w:r>
        <w:rPr>
          <w:w w:val="105"/>
        </w:rPr>
        <w:t>respectively.</w:t>
      </w:r>
      <w:r>
        <w:rPr>
          <w:spacing w:val="-5"/>
          <w:w w:val="105"/>
        </w:rPr>
        <w:t> </w:t>
      </w:r>
      <w:r>
        <w:rPr>
          <w:w w:val="105"/>
        </w:rPr>
        <w:t>Acquisition-related</w:t>
      </w:r>
      <w:r>
        <w:rPr>
          <w:spacing w:val="-5"/>
          <w:w w:val="105"/>
        </w:rPr>
        <w:t> </w:t>
      </w:r>
      <w:r>
        <w:rPr>
          <w:w w:val="105"/>
        </w:rPr>
        <w:t>costs</w:t>
      </w:r>
      <w:r>
        <w:rPr>
          <w:spacing w:val="-5"/>
          <w:w w:val="105"/>
        </w:rPr>
        <w:t> </w:t>
      </w:r>
      <w:r>
        <w:rPr>
          <w:w w:val="105"/>
        </w:rPr>
        <w:t>of</w:t>
      </w:r>
      <w:r>
        <w:rPr>
          <w:spacing w:val="-5"/>
          <w:w w:val="105"/>
        </w:rPr>
        <w:t> </w:t>
      </w:r>
      <w:r>
        <w:rPr>
          <w:w w:val="105"/>
        </w:rPr>
        <w:t>$12</w:t>
      </w:r>
      <w:r>
        <w:rPr>
          <w:spacing w:val="-5"/>
          <w:w w:val="105"/>
        </w:rPr>
        <w:t> </w:t>
      </w:r>
      <w:r>
        <w:rPr>
          <w:w w:val="105"/>
        </w:rPr>
        <w:t>million</w:t>
      </w:r>
      <w:r>
        <w:rPr>
          <w:spacing w:val="-5"/>
          <w:w w:val="105"/>
        </w:rPr>
        <w:t> </w:t>
      </w:r>
      <w:r>
        <w:rPr>
          <w:w w:val="105"/>
        </w:rPr>
        <w:t>for</w:t>
      </w:r>
      <w:r>
        <w:rPr>
          <w:spacing w:val="-5"/>
          <w:w w:val="105"/>
        </w:rPr>
        <w:t> </w:t>
      </w:r>
      <w:r>
        <w:rPr>
          <w:w w:val="105"/>
        </w:rPr>
        <w:t>the</w:t>
      </w:r>
      <w:r>
        <w:rPr>
          <w:spacing w:val="-5"/>
          <w:w w:val="105"/>
        </w:rPr>
        <w:t> </w:t>
      </w:r>
      <w:r>
        <w:rPr>
          <w:w w:val="105"/>
        </w:rPr>
        <w:t>year</w:t>
      </w:r>
      <w:r>
        <w:rPr>
          <w:spacing w:val="-3"/>
          <w:w w:val="105"/>
        </w:rPr>
        <w:t> </w:t>
      </w:r>
      <w:r>
        <w:rPr>
          <w:w w:val="105"/>
        </w:rPr>
        <w:t>ended</w:t>
      </w:r>
      <w:r>
        <w:rPr>
          <w:spacing w:val="-5"/>
          <w:w w:val="105"/>
        </w:rPr>
        <w:t> </w:t>
      </w:r>
      <w:r>
        <w:rPr>
          <w:w w:val="105"/>
        </w:rPr>
        <w:t>December</w:t>
      </w:r>
      <w:r>
        <w:rPr>
          <w:spacing w:val="-5"/>
          <w:w w:val="105"/>
        </w:rPr>
        <w:t> </w:t>
      </w:r>
      <w:r>
        <w:rPr>
          <w:w w:val="105"/>
        </w:rPr>
        <w:t>31,</w:t>
      </w:r>
      <w:r>
        <w:rPr>
          <w:spacing w:val="-5"/>
          <w:w w:val="105"/>
        </w:rPr>
        <w:t> </w:t>
      </w:r>
      <w:r>
        <w:rPr>
          <w:w w:val="105"/>
        </w:rPr>
        <w:t>2020,</w:t>
      </w:r>
      <w:r>
        <w:rPr>
          <w:spacing w:val="-4"/>
          <w:w w:val="105"/>
        </w:rPr>
        <w:t> </w:t>
      </w:r>
      <w:r>
        <w:rPr>
          <w:w w:val="105"/>
        </w:rPr>
        <w:t>included</w:t>
      </w:r>
      <w:r>
        <w:rPr>
          <w:spacing w:val="-5"/>
          <w:w w:val="105"/>
        </w:rPr>
        <w:t> </w:t>
      </w:r>
      <w:r>
        <w:rPr>
          <w:w w:val="105"/>
        </w:rPr>
        <w:t>costs</w:t>
      </w:r>
      <w:r>
        <w:rPr>
          <w:spacing w:val="-5"/>
          <w:w w:val="105"/>
        </w:rPr>
        <w:t> </w:t>
      </w:r>
      <w:r>
        <w:rPr>
          <w:w w:val="105"/>
        </w:rPr>
        <w:t>for</w:t>
      </w:r>
      <w:r>
        <w:rPr>
          <w:spacing w:val="-5"/>
          <w:w w:val="105"/>
        </w:rPr>
        <w:t> </w:t>
      </w:r>
      <w:r>
        <w:rPr>
          <w:w w:val="105"/>
        </w:rPr>
        <w:t>legal</w:t>
      </w:r>
      <w:r>
        <w:rPr>
          <w:spacing w:val="-3"/>
          <w:w w:val="105"/>
        </w:rPr>
        <w:t> </w:t>
      </w:r>
      <w:r>
        <w:rPr>
          <w:w w:val="105"/>
        </w:rPr>
        <w:t>and</w:t>
      </w:r>
      <w:r>
        <w:rPr>
          <w:spacing w:val="-5"/>
          <w:w w:val="105"/>
        </w:rPr>
        <w:t> </w:t>
      </w:r>
      <w:r>
        <w:rPr>
          <w:w w:val="105"/>
        </w:rPr>
        <w:t>other</w:t>
      </w:r>
      <w:r>
        <w:rPr>
          <w:spacing w:val="-5"/>
          <w:w w:val="105"/>
        </w:rPr>
        <w:t> </w:t>
      </w:r>
      <w:r>
        <w:rPr>
          <w:w w:val="105"/>
        </w:rPr>
        <w:t>professional</w:t>
      </w:r>
      <w:r>
        <w:rPr>
          <w:spacing w:val="-5"/>
          <w:w w:val="105"/>
        </w:rPr>
        <w:t> </w:t>
      </w:r>
      <w:r>
        <w:rPr>
          <w:w w:val="105"/>
        </w:rPr>
        <w:t>services</w:t>
      </w:r>
      <w:r>
        <w:rPr>
          <w:spacing w:val="-5"/>
          <w:w w:val="105"/>
        </w:rPr>
        <w:t> </w:t>
      </w:r>
      <w:r>
        <w:rPr>
          <w:w w:val="105"/>
        </w:rPr>
        <w:t>and</w:t>
      </w:r>
      <w:r>
        <w:rPr>
          <w:spacing w:val="-5"/>
          <w:w w:val="105"/>
        </w:rPr>
        <w:t> </w:t>
      </w:r>
      <w:r>
        <w:rPr>
          <w:w w:val="105"/>
        </w:rPr>
        <w:t>were included in selling, general and administrative expense in the consolidated statements of income.</w:t>
      </w:r>
    </w:p>
    <w:p>
      <w:pPr>
        <w:pStyle w:val="BodyText"/>
        <w:spacing w:before="18"/>
      </w:pPr>
    </w:p>
    <w:p>
      <w:pPr>
        <w:pStyle w:val="BodyText"/>
        <w:spacing w:line="266" w:lineRule="auto"/>
        <w:ind w:left="156" w:right="117"/>
      </w:pP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the</w:t>
      </w:r>
      <w:r>
        <w:rPr>
          <w:spacing w:val="-7"/>
          <w:w w:val="105"/>
        </w:rPr>
        <w:t> </w:t>
      </w:r>
      <w:r>
        <w:rPr>
          <w:w w:val="105"/>
        </w:rPr>
        <w:t>non-controlling</w:t>
      </w:r>
      <w:r>
        <w:rPr>
          <w:spacing w:val="-7"/>
          <w:w w:val="105"/>
        </w:rPr>
        <w:t> </w:t>
      </w:r>
      <w:r>
        <w:rPr>
          <w:w w:val="105"/>
        </w:rPr>
        <w:t>interest</w:t>
      </w:r>
      <w:r>
        <w:rPr>
          <w:spacing w:val="-7"/>
          <w:w w:val="105"/>
        </w:rPr>
        <w:t> </w:t>
      </w:r>
      <w:r>
        <w:rPr>
          <w:w w:val="105"/>
        </w:rPr>
        <w:t>in</w:t>
      </w:r>
      <w:r>
        <w:rPr>
          <w:spacing w:val="-7"/>
          <w:w w:val="105"/>
        </w:rPr>
        <w:t> </w:t>
      </w:r>
      <w:r>
        <w:rPr>
          <w:w w:val="105"/>
        </w:rPr>
        <w:t>HSG</w:t>
      </w:r>
      <w:r>
        <w:rPr>
          <w:spacing w:val="-7"/>
          <w:w w:val="105"/>
        </w:rPr>
        <w:t> </w:t>
      </w:r>
      <w:r>
        <w:rPr>
          <w:w w:val="105"/>
        </w:rPr>
        <w:t>was</w:t>
      </w:r>
      <w:r>
        <w:rPr>
          <w:spacing w:val="-7"/>
          <w:w w:val="105"/>
        </w:rPr>
        <w:t> </w:t>
      </w:r>
      <w:r>
        <w:rPr>
          <w:w w:val="105"/>
        </w:rPr>
        <w:t>estimated</w:t>
      </w:r>
      <w:r>
        <w:rPr>
          <w:spacing w:val="-7"/>
          <w:w w:val="105"/>
        </w:rPr>
        <w:t> </w:t>
      </w:r>
      <w:r>
        <w:rPr>
          <w:w w:val="105"/>
        </w:rPr>
        <w:t>to</w:t>
      </w:r>
      <w:r>
        <w:rPr>
          <w:spacing w:val="-7"/>
          <w:w w:val="105"/>
        </w:rPr>
        <w:t> </w:t>
      </w:r>
      <w:r>
        <w:rPr>
          <w:w w:val="105"/>
        </w:rPr>
        <w:t>be</w:t>
      </w:r>
      <w:r>
        <w:rPr>
          <w:spacing w:val="-7"/>
          <w:w w:val="105"/>
        </w:rPr>
        <w:t> </w:t>
      </w:r>
      <w:r>
        <w:rPr>
          <w:w w:val="105"/>
        </w:rPr>
        <w:t>$102</w:t>
      </w:r>
      <w:r>
        <w:rPr>
          <w:spacing w:val="-7"/>
          <w:w w:val="105"/>
        </w:rPr>
        <w:t> </w:t>
      </w:r>
      <w:r>
        <w:rPr>
          <w:w w:val="105"/>
        </w:rPr>
        <w:t>million</w:t>
      </w:r>
      <w:r>
        <w:rPr>
          <w:spacing w:val="-7"/>
          <w:w w:val="105"/>
        </w:rPr>
        <w:t> </w:t>
      </w:r>
      <w:r>
        <w:rPr>
          <w:w w:val="105"/>
        </w:rPr>
        <w:t>by</w:t>
      </w:r>
      <w:r>
        <w:rPr>
          <w:spacing w:val="-7"/>
          <w:w w:val="105"/>
        </w:rPr>
        <w:t> </w:t>
      </w:r>
      <w:r>
        <w:rPr>
          <w:w w:val="105"/>
        </w:rPr>
        <w:t>applying</w:t>
      </w:r>
      <w:r>
        <w:rPr>
          <w:spacing w:val="-7"/>
          <w:w w:val="105"/>
        </w:rPr>
        <w:t> </w:t>
      </w:r>
      <w:r>
        <w:rPr>
          <w:w w:val="105"/>
        </w:rPr>
        <w:t>the</w:t>
      </w:r>
      <w:r>
        <w:rPr>
          <w:spacing w:val="-7"/>
          <w:w w:val="105"/>
        </w:rPr>
        <w:t> </w:t>
      </w:r>
      <w:r>
        <w:rPr>
          <w:w w:val="105"/>
        </w:rPr>
        <w:t>income</w:t>
      </w:r>
      <w:r>
        <w:rPr>
          <w:spacing w:val="-7"/>
          <w:w w:val="105"/>
        </w:rPr>
        <w:t> </w:t>
      </w:r>
      <w:r>
        <w:rPr>
          <w:w w:val="105"/>
        </w:rPr>
        <w:t>approach,</w:t>
      </w:r>
      <w:r>
        <w:rPr>
          <w:spacing w:val="-7"/>
          <w:w w:val="105"/>
        </w:rPr>
        <w:t> </w:t>
      </w:r>
      <w:r>
        <w:rPr>
          <w:w w:val="105"/>
        </w:rPr>
        <w:t>using</w:t>
      </w:r>
      <w:r>
        <w:rPr>
          <w:spacing w:val="-7"/>
          <w:w w:val="105"/>
        </w:rPr>
        <w:t> </w:t>
      </w:r>
      <w:r>
        <w:rPr>
          <w:w w:val="105"/>
        </w:rPr>
        <w:t>the</w:t>
      </w:r>
      <w:r>
        <w:rPr>
          <w:spacing w:val="-7"/>
          <w:w w:val="105"/>
        </w:rPr>
        <w:t> </w:t>
      </w:r>
      <w:r>
        <w:rPr>
          <w:w w:val="105"/>
        </w:rPr>
        <w:t>same</w:t>
      </w:r>
      <w:r>
        <w:rPr>
          <w:spacing w:val="-7"/>
          <w:w w:val="105"/>
        </w:rPr>
        <w:t> </w:t>
      </w:r>
      <w:r>
        <w:rPr>
          <w:w w:val="105"/>
        </w:rPr>
        <w:t>key</w:t>
      </w:r>
      <w:r>
        <w:rPr>
          <w:spacing w:val="-7"/>
          <w:w w:val="105"/>
        </w:rPr>
        <w:t> </w:t>
      </w:r>
      <w:r>
        <w:rPr>
          <w:w w:val="105"/>
        </w:rPr>
        <w:t>assumptions</w:t>
      </w:r>
      <w:r>
        <w:rPr>
          <w:spacing w:val="-7"/>
          <w:w w:val="105"/>
        </w:rPr>
        <w:t> </w:t>
      </w:r>
      <w:r>
        <w:rPr>
          <w:w w:val="105"/>
        </w:rPr>
        <w:t>as</w:t>
      </w:r>
      <w:r>
        <w:rPr>
          <w:spacing w:val="-7"/>
          <w:w w:val="105"/>
        </w:rPr>
        <w:t> </w:t>
      </w:r>
      <w:r>
        <w:rPr>
          <w:w w:val="105"/>
        </w:rPr>
        <w:t>the</w:t>
      </w:r>
      <w:r>
        <w:rPr>
          <w:spacing w:val="-7"/>
          <w:w w:val="105"/>
        </w:rPr>
        <w:t> </w:t>
      </w:r>
      <w:r>
        <w:rPr>
          <w:w w:val="105"/>
        </w:rPr>
        <w:t>estimate</w:t>
      </w:r>
      <w:r>
        <w:rPr>
          <w:spacing w:val="-7"/>
          <w:w w:val="105"/>
        </w:rPr>
        <w:t> </w:t>
      </w:r>
      <w:r>
        <w:rPr>
          <w:w w:val="105"/>
        </w:rPr>
        <w:t>of fair value for Corning’s equity interest in HSG.</w:t>
      </w:r>
    </w:p>
    <w:p>
      <w:pPr>
        <w:pStyle w:val="BodyText"/>
        <w:spacing w:before="19"/>
      </w:pPr>
    </w:p>
    <w:p>
      <w:pPr>
        <w:pStyle w:val="BodyText"/>
        <w:spacing w:line="266" w:lineRule="auto"/>
        <w:ind w:left="156"/>
      </w:pPr>
      <w:r>
        <w:rPr>
          <w:w w:val="105"/>
        </w:rPr>
        <w:t>Since</w:t>
      </w:r>
      <w:r>
        <w:rPr>
          <w:spacing w:val="-7"/>
          <w:w w:val="105"/>
        </w:rPr>
        <w:t> </w:t>
      </w:r>
      <w:r>
        <w:rPr>
          <w:w w:val="105"/>
        </w:rPr>
        <w:t>September</w:t>
      </w:r>
      <w:r>
        <w:rPr>
          <w:spacing w:val="-8"/>
          <w:w w:val="105"/>
        </w:rPr>
        <w:t> </w:t>
      </w:r>
      <w:r>
        <w:rPr>
          <w:w w:val="105"/>
        </w:rPr>
        <w:t>9,</w:t>
      </w:r>
      <w:r>
        <w:rPr>
          <w:spacing w:val="-8"/>
          <w:w w:val="105"/>
        </w:rPr>
        <w:t> </w:t>
      </w:r>
      <w:r>
        <w:rPr>
          <w:w w:val="105"/>
        </w:rPr>
        <w:t>2020,</w:t>
      </w:r>
      <w:r>
        <w:rPr>
          <w:spacing w:val="-7"/>
          <w:w w:val="105"/>
        </w:rPr>
        <w:t> </w:t>
      </w:r>
      <w:r>
        <w:rPr>
          <w:w w:val="105"/>
        </w:rPr>
        <w:t>HSG’s</w:t>
      </w:r>
      <w:r>
        <w:rPr>
          <w:spacing w:val="-8"/>
          <w:w w:val="105"/>
        </w:rPr>
        <w:t> </w:t>
      </w:r>
      <w:r>
        <w:rPr>
          <w:w w:val="105"/>
        </w:rPr>
        <w:t>revenue</w:t>
      </w:r>
      <w:r>
        <w:rPr>
          <w:spacing w:val="-8"/>
          <w:w w:val="105"/>
        </w:rPr>
        <w:t> </w:t>
      </w:r>
      <w:r>
        <w:rPr>
          <w:w w:val="105"/>
        </w:rPr>
        <w:t>has</w:t>
      </w:r>
      <w:r>
        <w:rPr>
          <w:spacing w:val="-8"/>
          <w:w w:val="105"/>
        </w:rPr>
        <w:t> </w:t>
      </w:r>
      <w:r>
        <w:rPr>
          <w:w w:val="105"/>
        </w:rPr>
        <w:t>been</w:t>
      </w:r>
      <w:r>
        <w:rPr>
          <w:spacing w:val="-8"/>
          <w:w w:val="105"/>
        </w:rPr>
        <w:t> </w:t>
      </w:r>
      <w:r>
        <w:rPr>
          <w:w w:val="105"/>
        </w:rPr>
        <w:t>consolidated</w:t>
      </w:r>
      <w:r>
        <w:rPr>
          <w:spacing w:val="-8"/>
          <w:w w:val="105"/>
        </w:rPr>
        <w:t> </w:t>
      </w:r>
      <w:r>
        <w:rPr>
          <w:w w:val="105"/>
        </w:rPr>
        <w:t>in</w:t>
      </w:r>
      <w:r>
        <w:rPr>
          <w:spacing w:val="-6"/>
          <w:w w:val="105"/>
        </w:rPr>
        <w:t> </w:t>
      </w:r>
      <w:r>
        <w:rPr>
          <w:w w:val="105"/>
        </w:rPr>
        <w:t>“All</w:t>
      </w:r>
      <w:r>
        <w:rPr>
          <w:spacing w:val="-8"/>
          <w:w w:val="105"/>
        </w:rPr>
        <w:t> </w:t>
      </w:r>
      <w:r>
        <w:rPr>
          <w:w w:val="105"/>
        </w:rPr>
        <w:t>Other”</w:t>
      </w:r>
      <w:r>
        <w:rPr>
          <w:spacing w:val="-8"/>
          <w:w w:val="105"/>
        </w:rPr>
        <w:t> </w:t>
      </w:r>
      <w:r>
        <w:rPr>
          <w:w w:val="105"/>
        </w:rPr>
        <w:t>in</w:t>
      </w:r>
      <w:r>
        <w:rPr>
          <w:spacing w:val="-8"/>
          <w:w w:val="105"/>
        </w:rPr>
        <w:t> </w:t>
      </w:r>
      <w:r>
        <w:rPr>
          <w:w w:val="105"/>
        </w:rPr>
        <w:t>Corning’s</w:t>
      </w:r>
      <w:r>
        <w:rPr>
          <w:spacing w:val="-8"/>
          <w:w w:val="105"/>
        </w:rPr>
        <w:t> </w:t>
      </w:r>
      <w:r>
        <w:rPr>
          <w:w w:val="105"/>
        </w:rPr>
        <w:t>consolidated</w:t>
      </w:r>
      <w:r>
        <w:rPr>
          <w:spacing w:val="-8"/>
          <w:w w:val="105"/>
        </w:rPr>
        <w:t> </w:t>
      </w:r>
      <w:r>
        <w:rPr>
          <w:w w:val="105"/>
        </w:rPr>
        <w:t>statements</w:t>
      </w:r>
      <w:r>
        <w:rPr>
          <w:spacing w:val="-8"/>
          <w:w w:val="105"/>
        </w:rPr>
        <w:t> </w:t>
      </w:r>
      <w:r>
        <w:rPr>
          <w:w w:val="105"/>
        </w:rPr>
        <w:t>of</w:t>
      </w:r>
      <w:r>
        <w:rPr>
          <w:spacing w:val="-8"/>
          <w:w w:val="105"/>
        </w:rPr>
        <w:t> </w:t>
      </w:r>
      <w:r>
        <w:rPr>
          <w:w w:val="105"/>
        </w:rPr>
        <w:t>income.</w:t>
      </w:r>
      <w:r>
        <w:rPr>
          <w:spacing w:val="-8"/>
          <w:w w:val="105"/>
        </w:rPr>
        <w:t> </w:t>
      </w:r>
      <w:r>
        <w:rPr>
          <w:w w:val="105"/>
        </w:rPr>
        <w:t>The</w:t>
      </w:r>
      <w:r>
        <w:rPr>
          <w:spacing w:val="-8"/>
          <w:w w:val="105"/>
        </w:rPr>
        <w:t> </w:t>
      </w:r>
      <w:r>
        <w:rPr>
          <w:w w:val="105"/>
        </w:rPr>
        <w:t>amount</w:t>
      </w:r>
      <w:r>
        <w:rPr>
          <w:spacing w:val="-8"/>
          <w:w w:val="105"/>
        </w:rPr>
        <w:t> </w:t>
      </w:r>
      <w:r>
        <w:rPr>
          <w:w w:val="105"/>
        </w:rPr>
        <w:t>of</w:t>
      </w:r>
      <w:r>
        <w:rPr>
          <w:spacing w:val="-8"/>
          <w:w w:val="105"/>
        </w:rPr>
        <w:t> </w:t>
      </w:r>
      <w:r>
        <w:rPr>
          <w:w w:val="105"/>
        </w:rPr>
        <w:t>net</w:t>
      </w:r>
      <w:r>
        <w:rPr>
          <w:spacing w:val="-8"/>
          <w:w w:val="105"/>
        </w:rPr>
        <w:t> </w:t>
      </w:r>
      <w:r>
        <w:rPr>
          <w:w w:val="105"/>
        </w:rPr>
        <w:t>income</w:t>
      </w:r>
      <w:r>
        <w:rPr>
          <w:spacing w:val="-8"/>
          <w:w w:val="105"/>
        </w:rPr>
        <w:t> </w:t>
      </w:r>
      <w:r>
        <w:rPr>
          <w:w w:val="105"/>
        </w:rPr>
        <w:t>is</w:t>
      </w:r>
      <w:r>
        <w:rPr>
          <w:spacing w:val="-7"/>
          <w:w w:val="105"/>
        </w:rPr>
        <w:t> </w:t>
      </w:r>
      <w:r>
        <w:rPr>
          <w:w w:val="105"/>
        </w:rPr>
        <w:t>not</w:t>
      </w:r>
      <w:r>
        <w:rPr>
          <w:spacing w:val="-8"/>
          <w:w w:val="105"/>
        </w:rPr>
        <w:t> </w:t>
      </w:r>
      <w:r>
        <w:rPr>
          <w:w w:val="105"/>
        </w:rPr>
        <w:t>material</w:t>
      </w:r>
      <w:r>
        <w:rPr>
          <w:spacing w:val="-8"/>
          <w:w w:val="105"/>
        </w:rPr>
        <w:t> </w:t>
      </w:r>
      <w:r>
        <w:rPr>
          <w:w w:val="105"/>
        </w:rPr>
        <w:t>to Corning’s consolidated financial statements for the years ended December 31, 2021 and 2020.</w:t>
      </w:r>
    </w:p>
    <w:p>
      <w:pPr>
        <w:pStyle w:val="BodyText"/>
        <w:spacing w:before="19"/>
      </w:pPr>
    </w:p>
    <w:p>
      <w:pPr>
        <w:pStyle w:val="Heading3"/>
      </w:pPr>
      <w:r>
        <w:rPr>
          <w:spacing w:val="-2"/>
          <w:w w:val="105"/>
        </w:rPr>
        <w:t>Acquisitions</w:t>
      </w:r>
    </w:p>
    <w:p>
      <w:pPr>
        <w:pStyle w:val="BodyText"/>
        <w:spacing w:before="40"/>
        <w:rPr>
          <w:b/>
          <w:i/>
        </w:rPr>
      </w:pPr>
    </w:p>
    <w:p>
      <w:pPr>
        <w:pStyle w:val="BodyText"/>
        <w:ind w:left="156"/>
      </w:pPr>
      <w:r>
        <w:rPr>
          <w:w w:val="105"/>
        </w:rPr>
        <w:t>There</w:t>
      </w:r>
      <w:r>
        <w:rPr>
          <w:spacing w:val="-10"/>
          <w:w w:val="105"/>
        </w:rPr>
        <w:t> </w:t>
      </w:r>
      <w:r>
        <w:rPr>
          <w:w w:val="105"/>
        </w:rPr>
        <w:t>were</w:t>
      </w:r>
      <w:r>
        <w:rPr>
          <w:spacing w:val="-9"/>
          <w:w w:val="105"/>
        </w:rPr>
        <w:t> </w:t>
      </w:r>
      <w:r>
        <w:rPr>
          <w:w w:val="105"/>
        </w:rPr>
        <w:t>no</w:t>
      </w:r>
      <w:r>
        <w:rPr>
          <w:spacing w:val="-9"/>
          <w:w w:val="105"/>
        </w:rPr>
        <w:t> </w:t>
      </w:r>
      <w:r>
        <w:rPr>
          <w:w w:val="105"/>
        </w:rPr>
        <w:t>other</w:t>
      </w:r>
      <w:r>
        <w:rPr>
          <w:spacing w:val="-9"/>
          <w:w w:val="105"/>
        </w:rPr>
        <w:t> </w:t>
      </w:r>
      <w:r>
        <w:rPr>
          <w:w w:val="105"/>
        </w:rPr>
        <w:t>material</w:t>
      </w:r>
      <w:r>
        <w:rPr>
          <w:spacing w:val="-9"/>
          <w:w w:val="105"/>
        </w:rPr>
        <w:t> </w:t>
      </w:r>
      <w:r>
        <w:rPr>
          <w:w w:val="105"/>
        </w:rPr>
        <w:t>acquisitions</w:t>
      </w:r>
      <w:r>
        <w:rPr>
          <w:spacing w:val="-9"/>
          <w:w w:val="105"/>
        </w:rPr>
        <w:t> </w:t>
      </w:r>
      <w:r>
        <w:rPr>
          <w:w w:val="105"/>
        </w:rPr>
        <w:t>completed</w:t>
      </w:r>
      <w:r>
        <w:rPr>
          <w:spacing w:val="-9"/>
          <w:w w:val="105"/>
        </w:rPr>
        <w:t> </w:t>
      </w:r>
      <w:r>
        <w:rPr>
          <w:w w:val="105"/>
        </w:rPr>
        <w:t>in</w:t>
      </w:r>
      <w:r>
        <w:rPr>
          <w:spacing w:val="-8"/>
          <w:w w:val="105"/>
        </w:rPr>
        <w:t> </w:t>
      </w:r>
      <w:r>
        <w:rPr>
          <w:w w:val="105"/>
        </w:rPr>
        <w:t>2021,</w:t>
      </w:r>
      <w:r>
        <w:rPr>
          <w:spacing w:val="-9"/>
          <w:w w:val="105"/>
        </w:rPr>
        <w:t> </w:t>
      </w:r>
      <w:r>
        <w:rPr>
          <w:w w:val="105"/>
        </w:rPr>
        <w:t>2020</w:t>
      </w:r>
      <w:r>
        <w:rPr>
          <w:spacing w:val="-9"/>
          <w:w w:val="105"/>
        </w:rPr>
        <w:t> </w:t>
      </w:r>
      <w:r>
        <w:rPr>
          <w:w w:val="105"/>
        </w:rPr>
        <w:t>or</w:t>
      </w:r>
      <w:r>
        <w:rPr>
          <w:spacing w:val="-9"/>
          <w:w w:val="105"/>
        </w:rPr>
        <w:t> </w:t>
      </w:r>
      <w:r>
        <w:rPr>
          <w:spacing w:val="-4"/>
          <w:w w:val="105"/>
        </w:rPr>
        <w:t>2019.</w:t>
      </w:r>
    </w:p>
    <w:p>
      <w:pPr>
        <w:pStyle w:val="BodyText"/>
      </w:pPr>
    </w:p>
    <w:p>
      <w:pPr>
        <w:pStyle w:val="BodyText"/>
        <w:spacing w:before="59"/>
      </w:pPr>
    </w:p>
    <w:p>
      <w:pPr>
        <w:pStyle w:val="Heading2"/>
        <w:numPr>
          <w:ilvl w:val="0"/>
          <w:numId w:val="40"/>
        </w:numPr>
        <w:tabs>
          <w:tab w:pos="362" w:val="left" w:leader="none"/>
        </w:tabs>
        <w:spacing w:line="240" w:lineRule="auto" w:before="0" w:after="0"/>
        <w:ind w:left="362" w:right="0" w:hanging="206"/>
        <w:jc w:val="left"/>
      </w:pPr>
      <w:bookmarkStart w:name="_bookmark13" w:id="14"/>
      <w:bookmarkEnd w:id="14"/>
      <w:r>
        <w:rPr>
          <w:b w:val="0"/>
        </w:rPr>
      </w:r>
      <w:r>
        <w:rPr>
          <w:spacing w:val="-2"/>
          <w:w w:val="105"/>
        </w:rPr>
        <w:t>Revenue</w:t>
      </w:r>
    </w:p>
    <w:p>
      <w:pPr>
        <w:pStyle w:val="BodyText"/>
        <w:spacing w:before="40"/>
        <w:rPr>
          <w:b/>
        </w:rPr>
      </w:pPr>
    </w:p>
    <w:p>
      <w:pPr>
        <w:pStyle w:val="Heading3"/>
      </w:pPr>
      <w:r>
        <w:rPr>
          <w:w w:val="105"/>
        </w:rPr>
        <w:t>Product</w:t>
      </w:r>
      <w:r>
        <w:rPr>
          <w:spacing w:val="-10"/>
          <w:w w:val="105"/>
        </w:rPr>
        <w:t> </w:t>
      </w:r>
      <w:r>
        <w:rPr>
          <w:w w:val="105"/>
        </w:rPr>
        <w:t>Revenue</w:t>
      </w:r>
      <w:r>
        <w:rPr>
          <w:spacing w:val="-9"/>
          <w:w w:val="105"/>
        </w:rPr>
        <w:t> </w:t>
      </w:r>
      <w:r>
        <w:rPr>
          <w:w w:val="105"/>
        </w:rPr>
        <w:t>(Point</w:t>
      </w:r>
      <w:r>
        <w:rPr>
          <w:spacing w:val="-10"/>
          <w:w w:val="105"/>
        </w:rPr>
        <w:t> </w:t>
      </w:r>
      <w:r>
        <w:rPr>
          <w:w w:val="105"/>
        </w:rPr>
        <w:t>in</w:t>
      </w:r>
      <w:r>
        <w:rPr>
          <w:spacing w:val="-9"/>
          <w:w w:val="105"/>
        </w:rPr>
        <w:t> </w:t>
      </w:r>
      <w:r>
        <w:rPr>
          <w:spacing w:val="-2"/>
          <w:w w:val="105"/>
        </w:rPr>
        <w:t>Time)</w:t>
      </w:r>
    </w:p>
    <w:p>
      <w:pPr>
        <w:pStyle w:val="BodyText"/>
        <w:spacing w:before="40"/>
        <w:rPr>
          <w:b/>
          <w:i/>
        </w:rPr>
      </w:pPr>
    </w:p>
    <w:p>
      <w:pPr>
        <w:pStyle w:val="BodyText"/>
        <w:spacing w:line="266" w:lineRule="auto"/>
        <w:ind w:left="156" w:right="117"/>
      </w:pPr>
      <w:r>
        <w:rPr>
          <w:w w:val="105"/>
        </w:rPr>
        <w:t>Most</w:t>
      </w:r>
      <w:r>
        <w:rPr>
          <w:spacing w:val="-2"/>
          <w:w w:val="105"/>
        </w:rPr>
        <w:t> </w:t>
      </w:r>
      <w:r>
        <w:rPr>
          <w:w w:val="105"/>
        </w:rPr>
        <w:t>of</w:t>
      </w:r>
      <w:r>
        <w:rPr>
          <w:spacing w:val="-2"/>
          <w:w w:val="105"/>
        </w:rPr>
        <w:t> </w:t>
      </w:r>
      <w:r>
        <w:rPr>
          <w:w w:val="105"/>
        </w:rPr>
        <w:t>the</w:t>
      </w:r>
      <w:r>
        <w:rPr>
          <w:spacing w:val="-2"/>
          <w:w w:val="105"/>
        </w:rPr>
        <w:t> </w:t>
      </w:r>
      <w:r>
        <w:rPr>
          <w:w w:val="105"/>
        </w:rPr>
        <w:t>Company’s</w:t>
      </w:r>
      <w:r>
        <w:rPr>
          <w:spacing w:val="-2"/>
          <w:w w:val="105"/>
        </w:rPr>
        <w:t> </w:t>
      </w:r>
      <w:r>
        <w:rPr>
          <w:w w:val="105"/>
        </w:rPr>
        <w:t>revenue</w:t>
      </w:r>
      <w:r>
        <w:rPr>
          <w:spacing w:val="-2"/>
          <w:w w:val="105"/>
        </w:rPr>
        <w:t> </w:t>
      </w:r>
      <w:r>
        <w:rPr>
          <w:w w:val="105"/>
        </w:rPr>
        <w:t>is</w:t>
      </w:r>
      <w:r>
        <w:rPr>
          <w:spacing w:val="-2"/>
          <w:w w:val="105"/>
        </w:rPr>
        <w:t> </w:t>
      </w:r>
      <w:r>
        <w:rPr>
          <w:w w:val="105"/>
        </w:rPr>
        <w:t>generated</w:t>
      </w:r>
      <w:r>
        <w:rPr>
          <w:spacing w:val="-2"/>
          <w:w w:val="105"/>
        </w:rPr>
        <w:t> </w:t>
      </w:r>
      <w:r>
        <w:rPr>
          <w:w w:val="105"/>
        </w:rPr>
        <w:t>by</w:t>
      </w:r>
      <w:r>
        <w:rPr>
          <w:spacing w:val="-2"/>
          <w:w w:val="105"/>
        </w:rPr>
        <w:t> </w:t>
      </w:r>
      <w:r>
        <w:rPr>
          <w:w w:val="105"/>
        </w:rPr>
        <w:t>delivery</w:t>
      </w:r>
      <w:r>
        <w:rPr>
          <w:spacing w:val="-2"/>
          <w:w w:val="105"/>
        </w:rPr>
        <w:t> </w:t>
      </w:r>
      <w:r>
        <w:rPr>
          <w:w w:val="105"/>
        </w:rPr>
        <w:t>of</w:t>
      </w:r>
      <w:r>
        <w:rPr>
          <w:spacing w:val="-2"/>
          <w:w w:val="105"/>
        </w:rPr>
        <w:t> </w:t>
      </w:r>
      <w:r>
        <w:rPr>
          <w:w w:val="105"/>
        </w:rPr>
        <w:t>products</w:t>
      </w:r>
      <w:r>
        <w:rPr>
          <w:spacing w:val="-2"/>
          <w:w w:val="105"/>
        </w:rPr>
        <w:t> </w:t>
      </w:r>
      <w:r>
        <w:rPr>
          <w:w w:val="105"/>
        </w:rPr>
        <w:t>to</w:t>
      </w:r>
      <w:r>
        <w:rPr>
          <w:spacing w:val="-2"/>
          <w:w w:val="105"/>
        </w:rPr>
        <w:t> </w:t>
      </w:r>
      <w:r>
        <w:rPr>
          <w:w w:val="105"/>
        </w:rPr>
        <w:t>customers</w:t>
      </w:r>
      <w:r>
        <w:rPr>
          <w:spacing w:val="-2"/>
          <w:w w:val="105"/>
        </w:rPr>
        <w:t> </w:t>
      </w:r>
      <w:r>
        <w:rPr>
          <w:w w:val="105"/>
        </w:rPr>
        <w:t>and</w:t>
      </w:r>
      <w:r>
        <w:rPr>
          <w:spacing w:val="-2"/>
          <w:w w:val="105"/>
        </w:rPr>
        <w:t> </w:t>
      </w:r>
      <w:r>
        <w:rPr>
          <w:w w:val="105"/>
        </w:rPr>
        <w:t>recognized</w:t>
      </w:r>
      <w:r>
        <w:rPr>
          <w:spacing w:val="-2"/>
          <w:w w:val="105"/>
        </w:rPr>
        <w:t> </w:t>
      </w:r>
      <w:r>
        <w:rPr>
          <w:w w:val="105"/>
        </w:rPr>
        <w:t>at</w:t>
      </w:r>
      <w:r>
        <w:rPr>
          <w:spacing w:val="-2"/>
          <w:w w:val="105"/>
        </w:rPr>
        <w:t> </w:t>
      </w:r>
      <w:r>
        <w:rPr>
          <w:w w:val="105"/>
        </w:rPr>
        <w:t>a</w:t>
      </w:r>
      <w:r>
        <w:rPr>
          <w:spacing w:val="-2"/>
          <w:w w:val="105"/>
        </w:rPr>
        <w:t> </w:t>
      </w:r>
      <w:r>
        <w:rPr>
          <w:w w:val="105"/>
        </w:rPr>
        <w:t>point</w:t>
      </w:r>
      <w:r>
        <w:rPr>
          <w:spacing w:val="-2"/>
          <w:w w:val="105"/>
        </w:rPr>
        <w:t> </w:t>
      </w:r>
      <w:r>
        <w:rPr>
          <w:w w:val="105"/>
        </w:rPr>
        <w:t>in</w:t>
      </w:r>
      <w:r>
        <w:rPr>
          <w:spacing w:val="-2"/>
          <w:w w:val="105"/>
        </w:rPr>
        <w:t> </w:t>
      </w:r>
      <w:r>
        <w:rPr>
          <w:w w:val="105"/>
        </w:rPr>
        <w:t>time</w:t>
      </w:r>
      <w:r>
        <w:rPr>
          <w:spacing w:val="-2"/>
          <w:w w:val="105"/>
        </w:rPr>
        <w:t> </w:t>
      </w:r>
      <w:r>
        <w:rPr>
          <w:w w:val="105"/>
        </w:rPr>
        <w:t>based</w:t>
      </w:r>
      <w:r>
        <w:rPr>
          <w:spacing w:val="-2"/>
          <w:w w:val="105"/>
        </w:rPr>
        <w:t> </w:t>
      </w:r>
      <w:r>
        <w:rPr>
          <w:w w:val="105"/>
        </w:rPr>
        <w:t>on evaluation</w:t>
      </w:r>
      <w:r>
        <w:rPr>
          <w:spacing w:val="-2"/>
          <w:w w:val="105"/>
        </w:rPr>
        <w:t> </w:t>
      </w:r>
      <w:r>
        <w:rPr>
          <w:w w:val="105"/>
        </w:rPr>
        <w:t>of</w:t>
      </w:r>
      <w:r>
        <w:rPr>
          <w:spacing w:val="-2"/>
          <w:w w:val="105"/>
        </w:rPr>
        <w:t> </w:t>
      </w:r>
      <w:r>
        <w:rPr>
          <w:w w:val="105"/>
        </w:rPr>
        <w:t>when</w:t>
      </w:r>
      <w:r>
        <w:rPr>
          <w:spacing w:val="-2"/>
          <w:w w:val="105"/>
        </w:rPr>
        <w:t> </w:t>
      </w:r>
      <w:r>
        <w:rPr>
          <w:w w:val="105"/>
        </w:rPr>
        <w:t>the</w:t>
      </w:r>
      <w:r>
        <w:rPr>
          <w:spacing w:val="-2"/>
          <w:w w:val="105"/>
        </w:rPr>
        <w:t> </w:t>
      </w:r>
      <w:r>
        <w:rPr>
          <w:w w:val="105"/>
        </w:rPr>
        <w:t>customer</w:t>
      </w:r>
      <w:r>
        <w:rPr>
          <w:spacing w:val="-2"/>
          <w:w w:val="105"/>
        </w:rPr>
        <w:t> </w:t>
      </w:r>
      <w:r>
        <w:rPr>
          <w:w w:val="105"/>
        </w:rPr>
        <w:t>obtains</w:t>
      </w:r>
      <w:r>
        <w:rPr>
          <w:w w:val="105"/>
        </w:rPr>
        <w:t> control</w:t>
      </w:r>
      <w:r>
        <w:rPr>
          <w:spacing w:val="-8"/>
          <w:w w:val="105"/>
        </w:rPr>
        <w:t> </w:t>
      </w:r>
      <w:r>
        <w:rPr>
          <w:w w:val="105"/>
        </w:rPr>
        <w:t>of</w:t>
      </w:r>
      <w:r>
        <w:rPr>
          <w:spacing w:val="-8"/>
          <w:w w:val="105"/>
        </w:rPr>
        <w:t> </w:t>
      </w:r>
      <w:r>
        <w:rPr>
          <w:w w:val="105"/>
        </w:rPr>
        <w:t>the</w:t>
      </w:r>
      <w:r>
        <w:rPr>
          <w:spacing w:val="-8"/>
          <w:w w:val="105"/>
        </w:rPr>
        <w:t> </w:t>
      </w:r>
      <w:r>
        <w:rPr>
          <w:w w:val="105"/>
        </w:rPr>
        <w:t>products.</w:t>
      </w:r>
      <w:r>
        <w:rPr>
          <w:spacing w:val="-8"/>
          <w:w w:val="105"/>
        </w:rPr>
        <w:t> </w:t>
      </w:r>
      <w:r>
        <w:rPr>
          <w:w w:val="105"/>
        </w:rPr>
        <w:t>Revenue</w:t>
      </w:r>
      <w:r>
        <w:rPr>
          <w:spacing w:val="-6"/>
          <w:w w:val="105"/>
        </w:rPr>
        <w:t> </w:t>
      </w:r>
      <w:r>
        <w:rPr>
          <w:w w:val="105"/>
        </w:rPr>
        <w:t>is</w:t>
      </w:r>
      <w:r>
        <w:rPr>
          <w:spacing w:val="-8"/>
          <w:w w:val="105"/>
        </w:rPr>
        <w:t> </w:t>
      </w:r>
      <w:r>
        <w:rPr>
          <w:w w:val="105"/>
        </w:rPr>
        <w:t>recognized</w:t>
      </w:r>
      <w:r>
        <w:rPr>
          <w:spacing w:val="-8"/>
          <w:w w:val="105"/>
        </w:rPr>
        <w:t> </w:t>
      </w:r>
      <w:r>
        <w:rPr>
          <w:w w:val="105"/>
        </w:rPr>
        <w:t>when</w:t>
      </w:r>
      <w:r>
        <w:rPr>
          <w:spacing w:val="-8"/>
          <w:w w:val="105"/>
        </w:rPr>
        <w:t> </w:t>
      </w:r>
      <w:r>
        <w:rPr>
          <w:w w:val="105"/>
        </w:rPr>
        <w:t>all</w:t>
      </w:r>
      <w:r>
        <w:rPr>
          <w:spacing w:val="-8"/>
          <w:w w:val="105"/>
        </w:rPr>
        <w:t> </w:t>
      </w:r>
      <w:r>
        <w:rPr>
          <w:w w:val="105"/>
        </w:rPr>
        <w:t>performance</w:t>
      </w:r>
      <w:r>
        <w:rPr>
          <w:spacing w:val="-8"/>
          <w:w w:val="105"/>
        </w:rPr>
        <w:t> </w:t>
      </w:r>
      <w:r>
        <w:rPr>
          <w:w w:val="105"/>
        </w:rPr>
        <w:t>obligations</w:t>
      </w:r>
      <w:r>
        <w:rPr>
          <w:spacing w:val="-8"/>
          <w:w w:val="105"/>
        </w:rPr>
        <w:t> </w:t>
      </w:r>
      <w:r>
        <w:rPr>
          <w:w w:val="105"/>
        </w:rPr>
        <w:t>under</w:t>
      </w:r>
      <w:r>
        <w:rPr>
          <w:spacing w:val="-8"/>
          <w:w w:val="105"/>
        </w:rPr>
        <w:t> </w:t>
      </w:r>
      <w:r>
        <w:rPr>
          <w:w w:val="105"/>
        </w:rPr>
        <w:t>the</w:t>
      </w:r>
      <w:r>
        <w:rPr>
          <w:spacing w:val="-8"/>
          <w:w w:val="105"/>
        </w:rPr>
        <w:t> </w:t>
      </w:r>
      <w:r>
        <w:rPr>
          <w:w w:val="105"/>
        </w:rPr>
        <w:t>terms</w:t>
      </w:r>
      <w:r>
        <w:rPr>
          <w:spacing w:val="-8"/>
          <w:w w:val="105"/>
        </w:rPr>
        <w:t> </w:t>
      </w:r>
      <w:r>
        <w:rPr>
          <w:w w:val="105"/>
        </w:rPr>
        <w:t>of</w:t>
      </w:r>
      <w:r>
        <w:rPr>
          <w:spacing w:val="-8"/>
          <w:w w:val="105"/>
        </w:rPr>
        <w:t> </w:t>
      </w:r>
      <w:r>
        <w:rPr>
          <w:w w:val="105"/>
        </w:rPr>
        <w:t>a</w:t>
      </w:r>
      <w:r>
        <w:rPr>
          <w:spacing w:val="-8"/>
          <w:w w:val="105"/>
        </w:rPr>
        <w:t> </w:t>
      </w:r>
      <w:r>
        <w:rPr>
          <w:w w:val="105"/>
        </w:rPr>
        <w:t>contract</w:t>
      </w:r>
      <w:r>
        <w:rPr>
          <w:spacing w:val="-6"/>
          <w:w w:val="105"/>
        </w:rPr>
        <w:t> </w:t>
      </w:r>
      <w:r>
        <w:rPr>
          <w:w w:val="105"/>
        </w:rPr>
        <w:t>are</w:t>
      </w:r>
      <w:r>
        <w:rPr>
          <w:spacing w:val="-8"/>
          <w:w w:val="105"/>
        </w:rPr>
        <w:t> </w:t>
      </w:r>
      <w:r>
        <w:rPr>
          <w:w w:val="105"/>
        </w:rPr>
        <w:t>satisfied,</w:t>
      </w:r>
      <w:r>
        <w:rPr>
          <w:spacing w:val="-8"/>
          <w:w w:val="105"/>
        </w:rPr>
        <w:t> </w:t>
      </w:r>
      <w:r>
        <w:rPr>
          <w:w w:val="105"/>
        </w:rPr>
        <w:t>and</w:t>
      </w:r>
      <w:r>
        <w:rPr>
          <w:spacing w:val="-8"/>
          <w:w w:val="105"/>
        </w:rPr>
        <w:t> </w:t>
      </w:r>
      <w:r>
        <w:rPr>
          <w:w w:val="105"/>
        </w:rPr>
        <w:t>control</w:t>
      </w:r>
      <w:r>
        <w:rPr>
          <w:spacing w:val="-8"/>
          <w:w w:val="105"/>
        </w:rPr>
        <w:t> </w:t>
      </w:r>
      <w:r>
        <w:rPr>
          <w:w w:val="105"/>
        </w:rPr>
        <w:t>of</w:t>
      </w:r>
      <w:r>
        <w:rPr>
          <w:spacing w:val="-8"/>
          <w:w w:val="105"/>
        </w:rPr>
        <w:t> </w:t>
      </w:r>
      <w:r>
        <w:rPr>
          <w:w w:val="105"/>
        </w:rPr>
        <w:t>the</w:t>
      </w:r>
      <w:r>
        <w:rPr>
          <w:spacing w:val="-8"/>
          <w:w w:val="105"/>
        </w:rPr>
        <w:t> </w:t>
      </w:r>
      <w:r>
        <w:rPr>
          <w:w w:val="105"/>
        </w:rPr>
        <w:t>product</w:t>
      </w:r>
      <w:r>
        <w:rPr>
          <w:spacing w:val="-8"/>
          <w:w w:val="105"/>
        </w:rPr>
        <w:t> </w:t>
      </w:r>
      <w:r>
        <w:rPr>
          <w:w w:val="105"/>
        </w:rPr>
        <w:t>has</w:t>
      </w:r>
      <w:r>
        <w:rPr>
          <w:spacing w:val="-8"/>
          <w:w w:val="105"/>
        </w:rPr>
        <w:t> </w:t>
      </w:r>
      <w:r>
        <w:rPr>
          <w:w w:val="105"/>
        </w:rPr>
        <w:t>been</w:t>
      </w:r>
      <w:r>
        <w:rPr>
          <w:spacing w:val="-8"/>
          <w:w w:val="105"/>
        </w:rPr>
        <w:t> </w:t>
      </w:r>
      <w:r>
        <w:rPr>
          <w:w w:val="105"/>
        </w:rPr>
        <w:t>transferred</w:t>
      </w:r>
      <w:r>
        <w:rPr>
          <w:spacing w:val="-8"/>
          <w:w w:val="105"/>
        </w:rPr>
        <w:t> </w:t>
      </w:r>
      <w:r>
        <w:rPr>
          <w:w w:val="105"/>
        </w:rPr>
        <w:t>to the</w:t>
      </w:r>
      <w:r>
        <w:rPr>
          <w:spacing w:val="-3"/>
          <w:w w:val="105"/>
        </w:rPr>
        <w:t> </w:t>
      </w:r>
      <w:r>
        <w:rPr>
          <w:w w:val="105"/>
        </w:rPr>
        <w:t>customer.</w:t>
      </w:r>
      <w:r>
        <w:rPr>
          <w:spacing w:val="-3"/>
          <w:w w:val="105"/>
        </w:rPr>
        <w:t> </w:t>
      </w:r>
      <w:r>
        <w:rPr>
          <w:w w:val="105"/>
        </w:rPr>
        <w:t>If</w:t>
      </w:r>
      <w:r>
        <w:rPr>
          <w:spacing w:val="-3"/>
          <w:w w:val="105"/>
        </w:rPr>
        <w:t> </w:t>
      </w:r>
      <w:r>
        <w:rPr>
          <w:w w:val="105"/>
        </w:rPr>
        <w:t>customer</w:t>
      </w:r>
      <w:r>
        <w:rPr>
          <w:spacing w:val="-3"/>
          <w:w w:val="105"/>
        </w:rPr>
        <w:t> </w:t>
      </w:r>
      <w:r>
        <w:rPr>
          <w:w w:val="105"/>
        </w:rPr>
        <w:t>acceptance</w:t>
      </w:r>
      <w:r>
        <w:rPr>
          <w:spacing w:val="-3"/>
          <w:w w:val="105"/>
        </w:rPr>
        <w:t> </w:t>
      </w:r>
      <w:r>
        <w:rPr>
          <w:w w:val="105"/>
        </w:rPr>
        <w:t>clauses</w:t>
      </w:r>
      <w:r>
        <w:rPr>
          <w:spacing w:val="-3"/>
          <w:w w:val="105"/>
        </w:rPr>
        <w:t> </w:t>
      </w:r>
      <w:r>
        <w:rPr>
          <w:w w:val="105"/>
        </w:rPr>
        <w:t>are</w:t>
      </w:r>
      <w:r>
        <w:rPr>
          <w:spacing w:val="-3"/>
          <w:w w:val="105"/>
        </w:rPr>
        <w:t> </w:t>
      </w:r>
      <w:r>
        <w:rPr>
          <w:w w:val="105"/>
        </w:rPr>
        <w:t>present</w:t>
      </w:r>
      <w:r>
        <w:rPr>
          <w:spacing w:val="-3"/>
          <w:w w:val="105"/>
        </w:rPr>
        <w:t> </w:t>
      </w:r>
      <w:r>
        <w:rPr>
          <w:w w:val="105"/>
        </w:rPr>
        <w:t>and</w:t>
      </w:r>
      <w:r>
        <w:rPr>
          <w:spacing w:val="-3"/>
          <w:w w:val="105"/>
        </w:rPr>
        <w:t> </w:t>
      </w:r>
      <w:r>
        <w:rPr>
          <w:w w:val="105"/>
        </w:rPr>
        <w:t>it</w:t>
      </w:r>
      <w:r>
        <w:rPr>
          <w:spacing w:val="-3"/>
          <w:w w:val="105"/>
        </w:rPr>
        <w:t> </w:t>
      </w:r>
      <w:r>
        <w:rPr>
          <w:w w:val="105"/>
        </w:rPr>
        <w:t>cannot</w:t>
      </w:r>
      <w:r>
        <w:rPr>
          <w:spacing w:val="-3"/>
          <w:w w:val="105"/>
        </w:rPr>
        <w:t> </w:t>
      </w:r>
      <w:r>
        <w:rPr>
          <w:w w:val="105"/>
        </w:rPr>
        <w:t>be</w:t>
      </w:r>
      <w:r>
        <w:rPr>
          <w:spacing w:val="-3"/>
          <w:w w:val="105"/>
        </w:rPr>
        <w:t> </w:t>
      </w:r>
      <w:r>
        <w:rPr>
          <w:w w:val="105"/>
        </w:rPr>
        <w:t>objectively</w:t>
      </w:r>
      <w:r>
        <w:rPr>
          <w:spacing w:val="-3"/>
          <w:w w:val="105"/>
        </w:rPr>
        <w:t> </w:t>
      </w:r>
      <w:r>
        <w:rPr>
          <w:w w:val="105"/>
        </w:rPr>
        <w:t>determined</w:t>
      </w:r>
      <w:r>
        <w:rPr>
          <w:spacing w:val="-3"/>
          <w:w w:val="105"/>
        </w:rPr>
        <w:t> </w:t>
      </w:r>
      <w:r>
        <w:rPr>
          <w:w w:val="105"/>
        </w:rPr>
        <w:t>that</w:t>
      </w:r>
      <w:r>
        <w:rPr>
          <w:spacing w:val="-3"/>
          <w:w w:val="105"/>
        </w:rPr>
        <w:t> </w:t>
      </w:r>
      <w:r>
        <w:rPr>
          <w:w w:val="105"/>
        </w:rPr>
        <w:t>control</w:t>
      </w:r>
      <w:r>
        <w:rPr>
          <w:spacing w:val="-3"/>
          <w:w w:val="105"/>
        </w:rPr>
        <w:t> </w:t>
      </w:r>
      <w:r>
        <w:rPr>
          <w:w w:val="105"/>
        </w:rPr>
        <w:t>has</w:t>
      </w:r>
      <w:r>
        <w:rPr>
          <w:spacing w:val="-3"/>
          <w:w w:val="105"/>
        </w:rPr>
        <w:t> </w:t>
      </w:r>
      <w:r>
        <w:rPr>
          <w:w w:val="105"/>
        </w:rPr>
        <w:t>been</w:t>
      </w:r>
      <w:r>
        <w:rPr>
          <w:spacing w:val="-1"/>
          <w:w w:val="105"/>
        </w:rPr>
        <w:t> </w:t>
      </w:r>
      <w:r>
        <w:rPr>
          <w:w w:val="105"/>
        </w:rPr>
        <w:t>transferred,</w:t>
      </w:r>
      <w:r>
        <w:rPr>
          <w:spacing w:val="-3"/>
          <w:w w:val="105"/>
        </w:rPr>
        <w:t> </w:t>
      </w:r>
      <w:r>
        <w:rPr>
          <w:w w:val="105"/>
        </w:rPr>
        <w:t>revenue</w:t>
      </w:r>
      <w:r>
        <w:rPr>
          <w:spacing w:val="-3"/>
          <w:w w:val="105"/>
        </w:rPr>
        <w:t> </w:t>
      </w:r>
      <w:r>
        <w:rPr>
          <w:w w:val="105"/>
        </w:rPr>
        <w:t>is</w:t>
      </w:r>
      <w:r>
        <w:rPr>
          <w:spacing w:val="-3"/>
          <w:w w:val="105"/>
        </w:rPr>
        <w:t> </w:t>
      </w:r>
      <w:r>
        <w:rPr>
          <w:w w:val="105"/>
        </w:rPr>
        <w:t>only</w:t>
      </w:r>
      <w:r>
        <w:rPr>
          <w:spacing w:val="-3"/>
          <w:w w:val="105"/>
        </w:rPr>
        <w:t> </w:t>
      </w:r>
      <w:r>
        <w:rPr>
          <w:w w:val="105"/>
        </w:rPr>
        <w:t>recorded</w:t>
      </w:r>
      <w:r>
        <w:rPr>
          <w:spacing w:val="-3"/>
          <w:w w:val="105"/>
        </w:rPr>
        <w:t> </w:t>
      </w:r>
      <w:r>
        <w:rPr>
          <w:w w:val="105"/>
        </w:rPr>
        <w:t>when</w:t>
      </w:r>
      <w:r>
        <w:rPr>
          <w:spacing w:val="-3"/>
          <w:w w:val="105"/>
        </w:rPr>
        <w:t> </w:t>
      </w:r>
      <w:r>
        <w:rPr>
          <w:w w:val="105"/>
        </w:rPr>
        <w:t>customer acceptance</w:t>
      </w:r>
      <w:r>
        <w:rPr>
          <w:spacing w:val="-2"/>
          <w:w w:val="105"/>
        </w:rPr>
        <w:t> </w:t>
      </w:r>
      <w:r>
        <w:rPr>
          <w:w w:val="105"/>
        </w:rPr>
        <w:t>is</w:t>
      </w:r>
      <w:r>
        <w:rPr>
          <w:spacing w:val="-2"/>
          <w:w w:val="105"/>
        </w:rPr>
        <w:t> </w:t>
      </w:r>
      <w:r>
        <w:rPr>
          <w:w w:val="105"/>
        </w:rPr>
        <w:t>received</w:t>
      </w:r>
      <w:r>
        <w:rPr>
          <w:spacing w:val="-2"/>
          <w:w w:val="105"/>
        </w:rPr>
        <w:t> </w:t>
      </w:r>
      <w:r>
        <w:rPr>
          <w:w w:val="105"/>
        </w:rPr>
        <w:t>and</w:t>
      </w:r>
      <w:r>
        <w:rPr>
          <w:spacing w:val="-2"/>
          <w:w w:val="105"/>
        </w:rPr>
        <w:t> </w:t>
      </w:r>
      <w:r>
        <w:rPr>
          <w:w w:val="105"/>
        </w:rPr>
        <w:t>all</w:t>
      </w:r>
      <w:r>
        <w:rPr>
          <w:spacing w:val="-2"/>
          <w:w w:val="105"/>
        </w:rPr>
        <w:t> </w:t>
      </w:r>
      <w:r>
        <w:rPr>
          <w:w w:val="105"/>
        </w:rPr>
        <w:t>performance</w:t>
      </w:r>
      <w:r>
        <w:rPr>
          <w:spacing w:val="-2"/>
          <w:w w:val="105"/>
        </w:rPr>
        <w:t> </w:t>
      </w:r>
      <w:r>
        <w:rPr>
          <w:w w:val="105"/>
        </w:rPr>
        <w:t>obligations</w:t>
      </w:r>
      <w:r>
        <w:rPr>
          <w:spacing w:val="-2"/>
          <w:w w:val="105"/>
        </w:rPr>
        <w:t> </w:t>
      </w:r>
      <w:r>
        <w:rPr>
          <w:w w:val="105"/>
        </w:rPr>
        <w:t>have</w:t>
      </w:r>
      <w:r>
        <w:rPr>
          <w:spacing w:val="-2"/>
          <w:w w:val="105"/>
        </w:rPr>
        <w:t> </w:t>
      </w:r>
      <w:r>
        <w:rPr>
          <w:w w:val="105"/>
        </w:rPr>
        <w:t>been</w:t>
      </w:r>
      <w:r>
        <w:rPr>
          <w:spacing w:val="-2"/>
          <w:w w:val="105"/>
        </w:rPr>
        <w:t> </w:t>
      </w:r>
      <w:r>
        <w:rPr>
          <w:w w:val="105"/>
        </w:rPr>
        <w:t>satisfied.</w:t>
      </w:r>
      <w:r>
        <w:rPr>
          <w:spacing w:val="-2"/>
          <w:w w:val="105"/>
        </w:rPr>
        <w:t> </w:t>
      </w:r>
      <w:r>
        <w:rPr>
          <w:w w:val="105"/>
        </w:rPr>
        <w:t>Sales</w:t>
      </w:r>
      <w:r>
        <w:rPr>
          <w:spacing w:val="-2"/>
          <w:w w:val="105"/>
        </w:rPr>
        <w:t> </w:t>
      </w:r>
      <w:r>
        <w:rPr>
          <w:w w:val="105"/>
        </w:rPr>
        <w:t>of</w:t>
      </w:r>
      <w:r>
        <w:rPr>
          <w:spacing w:val="-2"/>
          <w:w w:val="105"/>
        </w:rPr>
        <w:t> </w:t>
      </w:r>
      <w:r>
        <w:rPr>
          <w:w w:val="105"/>
        </w:rPr>
        <w:t>goods</w:t>
      </w:r>
      <w:r>
        <w:rPr>
          <w:spacing w:val="-2"/>
          <w:w w:val="105"/>
        </w:rPr>
        <w:t> </w:t>
      </w:r>
      <w:r>
        <w:rPr>
          <w:w w:val="105"/>
        </w:rPr>
        <w:t>typically</w:t>
      </w:r>
      <w:r>
        <w:rPr>
          <w:spacing w:val="-2"/>
          <w:w w:val="105"/>
        </w:rPr>
        <w:t> </w:t>
      </w:r>
      <w:r>
        <w:rPr>
          <w:w w:val="105"/>
        </w:rPr>
        <w:t>do not</w:t>
      </w:r>
      <w:r>
        <w:rPr>
          <w:spacing w:val="-2"/>
          <w:w w:val="105"/>
        </w:rPr>
        <w:t> </w:t>
      </w:r>
      <w:r>
        <w:rPr>
          <w:w w:val="105"/>
        </w:rPr>
        <w:t>include</w:t>
      </w:r>
      <w:r>
        <w:rPr>
          <w:spacing w:val="-2"/>
          <w:w w:val="105"/>
        </w:rPr>
        <w:t> </w:t>
      </w:r>
      <w:r>
        <w:rPr>
          <w:w w:val="105"/>
        </w:rPr>
        <w:t>multiple</w:t>
      </w:r>
      <w:r>
        <w:rPr>
          <w:spacing w:val="-2"/>
          <w:w w:val="105"/>
        </w:rPr>
        <w:t> </w:t>
      </w:r>
      <w:r>
        <w:rPr>
          <w:w w:val="105"/>
        </w:rPr>
        <w:t>product</w:t>
      </w:r>
      <w:r>
        <w:rPr>
          <w:spacing w:val="-4"/>
          <w:w w:val="105"/>
        </w:rPr>
        <w:t> </w:t>
      </w:r>
      <w:r>
        <w:rPr>
          <w:w w:val="105"/>
        </w:rPr>
        <w:t>and/or</w:t>
      </w:r>
      <w:r>
        <w:rPr>
          <w:spacing w:val="-2"/>
          <w:w w:val="105"/>
        </w:rPr>
        <w:t> </w:t>
      </w:r>
      <w:r>
        <w:rPr>
          <w:w w:val="105"/>
        </w:rPr>
        <w:t>service</w:t>
      </w:r>
      <w:r>
        <w:rPr>
          <w:spacing w:val="-2"/>
          <w:w w:val="105"/>
        </w:rPr>
        <w:t> </w:t>
      </w:r>
      <w:r>
        <w:rPr>
          <w:w w:val="105"/>
        </w:rPr>
        <w:t>elements.</w:t>
      </w:r>
    </w:p>
    <w:p>
      <w:pPr>
        <w:pStyle w:val="BodyText"/>
        <w:spacing w:before="18"/>
      </w:pPr>
    </w:p>
    <w:p>
      <w:pPr>
        <w:pStyle w:val="BodyText"/>
        <w:spacing w:line="266" w:lineRule="auto"/>
        <w:ind w:left="156"/>
      </w:pPr>
      <w:r>
        <w:rPr>
          <w:w w:val="105"/>
        </w:rPr>
        <w:t>Revenue</w:t>
      </w:r>
      <w:r>
        <w:rPr>
          <w:spacing w:val="-6"/>
          <w:w w:val="105"/>
        </w:rPr>
        <w:t> </w:t>
      </w:r>
      <w:r>
        <w:rPr>
          <w:w w:val="105"/>
        </w:rPr>
        <w:t>is</w:t>
      </w:r>
      <w:r>
        <w:rPr>
          <w:spacing w:val="-6"/>
          <w:w w:val="105"/>
        </w:rPr>
        <w:t> </w:t>
      </w:r>
      <w:r>
        <w:rPr>
          <w:w w:val="105"/>
        </w:rPr>
        <w:t>measured</w:t>
      </w:r>
      <w:r>
        <w:rPr>
          <w:spacing w:val="-6"/>
          <w:w w:val="105"/>
        </w:rPr>
        <w:t> </w:t>
      </w:r>
      <w:r>
        <w:rPr>
          <w:w w:val="105"/>
        </w:rPr>
        <w:t>as</w:t>
      </w:r>
      <w:r>
        <w:rPr>
          <w:spacing w:val="-6"/>
          <w:w w:val="105"/>
        </w:rPr>
        <w:t> </w:t>
      </w:r>
      <w:r>
        <w:rPr>
          <w:w w:val="105"/>
        </w:rPr>
        <w:t>the</w:t>
      </w:r>
      <w:r>
        <w:rPr>
          <w:spacing w:val="-6"/>
          <w:w w:val="105"/>
        </w:rPr>
        <w:t> </w:t>
      </w:r>
      <w:r>
        <w:rPr>
          <w:w w:val="105"/>
        </w:rPr>
        <w:t>amount</w:t>
      </w:r>
      <w:r>
        <w:rPr>
          <w:spacing w:val="-6"/>
          <w:w w:val="105"/>
        </w:rPr>
        <w:t> </w:t>
      </w:r>
      <w:r>
        <w:rPr>
          <w:w w:val="105"/>
        </w:rPr>
        <w:t>of</w:t>
      </w:r>
      <w:r>
        <w:rPr>
          <w:spacing w:val="-6"/>
          <w:w w:val="105"/>
        </w:rPr>
        <w:t> </w:t>
      </w:r>
      <w:r>
        <w:rPr>
          <w:w w:val="105"/>
        </w:rPr>
        <w:t>consideration</w:t>
      </w:r>
      <w:r>
        <w:rPr>
          <w:spacing w:val="-6"/>
          <w:w w:val="105"/>
        </w:rPr>
        <w:t> </w:t>
      </w:r>
      <w:r>
        <w:rPr>
          <w:w w:val="105"/>
        </w:rPr>
        <w:t>expected</w:t>
      </w:r>
      <w:r>
        <w:rPr>
          <w:spacing w:val="-6"/>
          <w:w w:val="105"/>
        </w:rPr>
        <w:t> </w:t>
      </w:r>
      <w:r>
        <w:rPr>
          <w:w w:val="105"/>
        </w:rPr>
        <w:t>to</w:t>
      </w:r>
      <w:r>
        <w:rPr>
          <w:spacing w:val="-6"/>
          <w:w w:val="105"/>
        </w:rPr>
        <w:t> </w:t>
      </w:r>
      <w:r>
        <w:rPr>
          <w:w w:val="105"/>
        </w:rPr>
        <w:t>be</w:t>
      </w:r>
      <w:r>
        <w:rPr>
          <w:spacing w:val="-6"/>
          <w:w w:val="105"/>
        </w:rPr>
        <w:t> </w:t>
      </w:r>
      <w:r>
        <w:rPr>
          <w:w w:val="105"/>
        </w:rPr>
        <w:t>received</w:t>
      </w:r>
      <w:r>
        <w:rPr>
          <w:spacing w:val="-6"/>
          <w:w w:val="105"/>
        </w:rPr>
        <w:t> </w:t>
      </w:r>
      <w:r>
        <w:rPr>
          <w:w w:val="105"/>
        </w:rPr>
        <w:t>in</w:t>
      </w:r>
      <w:r>
        <w:rPr>
          <w:spacing w:val="-6"/>
          <w:w w:val="105"/>
        </w:rPr>
        <w:t> </w:t>
      </w:r>
      <w:r>
        <w:rPr>
          <w:w w:val="105"/>
        </w:rPr>
        <w:t>exchange</w:t>
      </w:r>
      <w:r>
        <w:rPr>
          <w:spacing w:val="-6"/>
          <w:w w:val="105"/>
        </w:rPr>
        <w:t> </w:t>
      </w:r>
      <w:r>
        <w:rPr>
          <w:w w:val="105"/>
        </w:rPr>
        <w:t>for</w:t>
      </w:r>
      <w:r>
        <w:rPr>
          <w:spacing w:val="-6"/>
          <w:w w:val="105"/>
        </w:rPr>
        <w:t> </w:t>
      </w:r>
      <w:r>
        <w:rPr>
          <w:w w:val="105"/>
        </w:rPr>
        <w:t>transferring</w:t>
      </w:r>
      <w:r>
        <w:rPr>
          <w:spacing w:val="-6"/>
          <w:w w:val="105"/>
        </w:rPr>
        <w:t> </w:t>
      </w:r>
      <w:r>
        <w:rPr>
          <w:w w:val="105"/>
        </w:rPr>
        <w:t>goods</w:t>
      </w:r>
      <w:r>
        <w:rPr>
          <w:spacing w:val="-6"/>
          <w:w w:val="105"/>
        </w:rPr>
        <w:t> </w:t>
      </w:r>
      <w:r>
        <w:rPr>
          <w:w w:val="105"/>
        </w:rPr>
        <w:t>or</w:t>
      </w:r>
      <w:r>
        <w:rPr>
          <w:spacing w:val="-6"/>
          <w:w w:val="105"/>
        </w:rPr>
        <w:t> </w:t>
      </w:r>
      <w:r>
        <w:rPr>
          <w:w w:val="105"/>
        </w:rPr>
        <w:t>providing</w:t>
      </w:r>
      <w:r>
        <w:rPr>
          <w:spacing w:val="-6"/>
          <w:w w:val="105"/>
        </w:rPr>
        <w:t> </w:t>
      </w:r>
      <w:r>
        <w:rPr>
          <w:w w:val="105"/>
        </w:rPr>
        <w:t>services.</w:t>
      </w:r>
      <w:r>
        <w:rPr>
          <w:spacing w:val="-6"/>
          <w:w w:val="105"/>
        </w:rPr>
        <w:t> </w:t>
      </w:r>
      <w:r>
        <w:rPr>
          <w:w w:val="105"/>
        </w:rPr>
        <w:t>Sales</w:t>
      </w:r>
      <w:r>
        <w:rPr>
          <w:spacing w:val="-6"/>
          <w:w w:val="105"/>
        </w:rPr>
        <w:t> </w:t>
      </w:r>
      <w:r>
        <w:rPr>
          <w:w w:val="105"/>
        </w:rPr>
        <w:t>tax,</w:t>
      </w:r>
      <w:r>
        <w:rPr>
          <w:spacing w:val="-6"/>
          <w:w w:val="105"/>
        </w:rPr>
        <w:t> </w:t>
      </w:r>
      <w:r>
        <w:rPr>
          <w:w w:val="105"/>
        </w:rPr>
        <w:t>value-added</w:t>
      </w:r>
      <w:r>
        <w:rPr>
          <w:spacing w:val="-6"/>
          <w:w w:val="105"/>
        </w:rPr>
        <w:t> </w:t>
      </w:r>
      <w:r>
        <w:rPr>
          <w:w w:val="105"/>
        </w:rPr>
        <w:t>tax,</w:t>
      </w:r>
      <w:r>
        <w:rPr>
          <w:spacing w:val="-6"/>
          <w:w w:val="105"/>
        </w:rPr>
        <w:t> </w:t>
      </w:r>
      <w:r>
        <w:rPr>
          <w:w w:val="105"/>
        </w:rPr>
        <w:t>and</w:t>
      </w:r>
      <w:r>
        <w:rPr>
          <w:spacing w:val="-6"/>
          <w:w w:val="105"/>
        </w:rPr>
        <w:t> </w:t>
      </w:r>
      <w:r>
        <w:rPr>
          <w:w w:val="105"/>
        </w:rPr>
        <w:t>other taxes</w:t>
      </w:r>
      <w:r>
        <w:rPr>
          <w:spacing w:val="-8"/>
          <w:w w:val="105"/>
        </w:rPr>
        <w:t> </w:t>
      </w:r>
      <w:r>
        <w:rPr>
          <w:w w:val="105"/>
        </w:rPr>
        <w:t>are</w:t>
      </w:r>
      <w:r>
        <w:rPr>
          <w:spacing w:val="-8"/>
          <w:w w:val="105"/>
        </w:rPr>
        <w:t> </w:t>
      </w:r>
      <w:r>
        <w:rPr>
          <w:w w:val="105"/>
        </w:rPr>
        <w:t>collected</w:t>
      </w:r>
      <w:r>
        <w:rPr>
          <w:spacing w:val="-8"/>
          <w:w w:val="105"/>
        </w:rPr>
        <w:t> </w:t>
      </w:r>
      <w:r>
        <w:rPr>
          <w:w w:val="105"/>
        </w:rPr>
        <w:t>concurrently</w:t>
      </w:r>
      <w:r>
        <w:rPr>
          <w:spacing w:val="-10"/>
          <w:w w:val="105"/>
        </w:rPr>
        <w:t> </w:t>
      </w:r>
      <w:r>
        <w:rPr>
          <w:w w:val="105"/>
        </w:rPr>
        <w:t>with</w:t>
      </w:r>
      <w:r>
        <w:rPr>
          <w:spacing w:val="-8"/>
          <w:w w:val="105"/>
        </w:rPr>
        <w:t> </w:t>
      </w:r>
      <w:r>
        <w:rPr>
          <w:w w:val="105"/>
        </w:rPr>
        <w:t>revenue-producing</w:t>
      </w:r>
      <w:r>
        <w:rPr>
          <w:spacing w:val="-8"/>
          <w:w w:val="105"/>
        </w:rPr>
        <w:t> </w:t>
      </w:r>
      <w:r>
        <w:rPr>
          <w:w w:val="105"/>
        </w:rPr>
        <w:t>activities</w:t>
      </w:r>
      <w:r>
        <w:rPr>
          <w:spacing w:val="-8"/>
          <w:w w:val="105"/>
        </w:rPr>
        <w:t> </w:t>
      </w:r>
      <w:r>
        <w:rPr>
          <w:w w:val="105"/>
        </w:rPr>
        <w:t>and</w:t>
      </w:r>
      <w:r>
        <w:rPr>
          <w:spacing w:val="-8"/>
          <w:w w:val="105"/>
        </w:rPr>
        <w:t> </w:t>
      </w:r>
      <w:r>
        <w:rPr>
          <w:w w:val="105"/>
        </w:rPr>
        <w:t>excluded</w:t>
      </w:r>
      <w:r>
        <w:rPr>
          <w:spacing w:val="-8"/>
          <w:w w:val="105"/>
        </w:rPr>
        <w:t> </w:t>
      </w:r>
      <w:r>
        <w:rPr>
          <w:w w:val="105"/>
        </w:rPr>
        <w:t>from</w:t>
      </w:r>
      <w:r>
        <w:rPr>
          <w:spacing w:val="-8"/>
          <w:w w:val="105"/>
        </w:rPr>
        <w:t> </w:t>
      </w:r>
      <w:r>
        <w:rPr>
          <w:w w:val="105"/>
        </w:rPr>
        <w:t>revenue.</w:t>
      </w:r>
      <w:r>
        <w:rPr>
          <w:spacing w:val="-8"/>
          <w:w w:val="105"/>
        </w:rPr>
        <w:t> </w:t>
      </w:r>
      <w:r>
        <w:rPr>
          <w:w w:val="105"/>
        </w:rPr>
        <w:t>Incidental</w:t>
      </w:r>
      <w:r>
        <w:rPr>
          <w:spacing w:val="-8"/>
          <w:w w:val="105"/>
        </w:rPr>
        <w:t> </w:t>
      </w:r>
      <w:r>
        <w:rPr>
          <w:w w:val="105"/>
        </w:rPr>
        <w:t>contract</w:t>
      </w:r>
      <w:r>
        <w:rPr>
          <w:spacing w:val="-10"/>
          <w:w w:val="105"/>
        </w:rPr>
        <w:t> </w:t>
      </w:r>
      <w:r>
        <w:rPr>
          <w:w w:val="105"/>
        </w:rPr>
        <w:t>costs</w:t>
      </w:r>
      <w:r>
        <w:rPr>
          <w:spacing w:val="-8"/>
          <w:w w:val="105"/>
        </w:rPr>
        <w:t> </w:t>
      </w:r>
      <w:r>
        <w:rPr>
          <w:w w:val="105"/>
        </w:rPr>
        <w:t>that</w:t>
      </w:r>
      <w:r>
        <w:rPr>
          <w:spacing w:val="-8"/>
          <w:w w:val="105"/>
        </w:rPr>
        <w:t> </w:t>
      </w:r>
      <w:r>
        <w:rPr>
          <w:w w:val="105"/>
        </w:rPr>
        <w:t>are</w:t>
      </w:r>
      <w:r>
        <w:rPr>
          <w:spacing w:val="-9"/>
          <w:w w:val="105"/>
        </w:rPr>
        <w:t> </w:t>
      </w:r>
      <w:r>
        <w:rPr>
          <w:w w:val="105"/>
        </w:rPr>
        <w:t>not</w:t>
      </w:r>
      <w:r>
        <w:rPr>
          <w:spacing w:val="-8"/>
          <w:w w:val="105"/>
        </w:rPr>
        <w:t> </w:t>
      </w:r>
      <w:r>
        <w:rPr>
          <w:w w:val="105"/>
        </w:rPr>
        <w:t>material</w:t>
      </w:r>
      <w:r>
        <w:rPr>
          <w:spacing w:val="-8"/>
          <w:w w:val="105"/>
        </w:rPr>
        <w:t> </w:t>
      </w:r>
      <w:r>
        <w:rPr>
          <w:w w:val="105"/>
        </w:rPr>
        <w:t>in</w:t>
      </w:r>
      <w:r>
        <w:rPr>
          <w:spacing w:val="-8"/>
          <w:w w:val="105"/>
        </w:rPr>
        <w:t> </w:t>
      </w:r>
      <w:r>
        <w:rPr>
          <w:w w:val="105"/>
        </w:rPr>
        <w:t>the</w:t>
      </w:r>
      <w:r>
        <w:rPr>
          <w:spacing w:val="-8"/>
          <w:w w:val="105"/>
        </w:rPr>
        <w:t> </w:t>
      </w:r>
      <w:r>
        <w:rPr>
          <w:w w:val="105"/>
        </w:rPr>
        <w:t>context</w:t>
      </w:r>
      <w:r>
        <w:rPr>
          <w:spacing w:val="-8"/>
          <w:w w:val="105"/>
        </w:rPr>
        <w:t> </w:t>
      </w:r>
      <w:r>
        <w:rPr>
          <w:w w:val="105"/>
        </w:rPr>
        <w:t>of</w:t>
      </w:r>
      <w:r>
        <w:rPr>
          <w:spacing w:val="-8"/>
          <w:w w:val="105"/>
        </w:rPr>
        <w:t> </w:t>
      </w:r>
      <w:r>
        <w:rPr>
          <w:w w:val="105"/>
        </w:rPr>
        <w:t>the</w:t>
      </w:r>
      <w:r>
        <w:rPr>
          <w:spacing w:val="-8"/>
          <w:w w:val="105"/>
        </w:rPr>
        <w:t> </w:t>
      </w:r>
      <w:r>
        <w:rPr>
          <w:w w:val="105"/>
        </w:rPr>
        <w:t>delivery</w:t>
      </w:r>
      <w:r>
        <w:rPr>
          <w:spacing w:val="-8"/>
          <w:w w:val="105"/>
        </w:rPr>
        <w:t> </w:t>
      </w:r>
      <w:r>
        <w:rPr>
          <w:w w:val="105"/>
        </w:rPr>
        <w:t>of goods and services are recognized as expense.</w:t>
      </w:r>
    </w:p>
    <w:p>
      <w:pPr>
        <w:pStyle w:val="BodyText"/>
        <w:spacing w:before="18"/>
      </w:pPr>
    </w:p>
    <w:p>
      <w:pPr>
        <w:pStyle w:val="BodyText"/>
        <w:spacing w:line="266" w:lineRule="auto" w:before="1"/>
        <w:ind w:left="156" w:right="117"/>
      </w:pPr>
      <w:r>
        <w:rPr>
          <w:w w:val="105"/>
        </w:rPr>
        <w:t>At</w:t>
      </w:r>
      <w:r>
        <w:rPr>
          <w:spacing w:val="-7"/>
          <w:w w:val="105"/>
        </w:rPr>
        <w:t> </w:t>
      </w:r>
      <w:r>
        <w:rPr>
          <w:w w:val="105"/>
        </w:rPr>
        <w:t>the</w:t>
      </w:r>
      <w:r>
        <w:rPr>
          <w:spacing w:val="-7"/>
          <w:w w:val="105"/>
        </w:rPr>
        <w:t> </w:t>
      </w:r>
      <w:r>
        <w:rPr>
          <w:w w:val="105"/>
        </w:rPr>
        <w:t>time</w:t>
      </w:r>
      <w:r>
        <w:rPr>
          <w:spacing w:val="-7"/>
          <w:w w:val="105"/>
        </w:rPr>
        <w:t> </w:t>
      </w:r>
      <w:r>
        <w:rPr>
          <w:w w:val="105"/>
        </w:rPr>
        <w:t>revenue</w:t>
      </w:r>
      <w:r>
        <w:rPr>
          <w:spacing w:val="-7"/>
          <w:w w:val="105"/>
        </w:rPr>
        <w:t> </w:t>
      </w:r>
      <w:r>
        <w:rPr>
          <w:w w:val="105"/>
        </w:rPr>
        <w:t>is</w:t>
      </w:r>
      <w:r>
        <w:rPr>
          <w:spacing w:val="-7"/>
          <w:w w:val="105"/>
        </w:rPr>
        <w:t> </w:t>
      </w:r>
      <w:r>
        <w:rPr>
          <w:w w:val="105"/>
        </w:rPr>
        <w:t>recognized,</w:t>
      </w:r>
      <w:r>
        <w:rPr>
          <w:spacing w:val="-7"/>
          <w:w w:val="105"/>
        </w:rPr>
        <w:t> </w:t>
      </w:r>
      <w:r>
        <w:rPr>
          <w:w w:val="105"/>
        </w:rPr>
        <w:t>allowances</w:t>
      </w:r>
      <w:r>
        <w:rPr>
          <w:spacing w:val="-7"/>
          <w:w w:val="105"/>
        </w:rPr>
        <w:t> </w:t>
      </w:r>
      <w:r>
        <w:rPr>
          <w:w w:val="105"/>
        </w:rPr>
        <w:t>are</w:t>
      </w:r>
      <w:r>
        <w:rPr>
          <w:spacing w:val="-5"/>
          <w:w w:val="105"/>
        </w:rPr>
        <w:t> </w:t>
      </w:r>
      <w:r>
        <w:rPr>
          <w:w w:val="105"/>
        </w:rPr>
        <w:t>recorded,</w:t>
      </w:r>
      <w:r>
        <w:rPr>
          <w:spacing w:val="-7"/>
          <w:w w:val="105"/>
        </w:rPr>
        <w:t> </w:t>
      </w:r>
      <w:r>
        <w:rPr>
          <w:w w:val="105"/>
        </w:rPr>
        <w:t>with</w:t>
      </w:r>
      <w:r>
        <w:rPr>
          <w:spacing w:val="-7"/>
          <w:w w:val="105"/>
        </w:rPr>
        <w:t> </w:t>
      </w:r>
      <w:r>
        <w:rPr>
          <w:w w:val="105"/>
        </w:rPr>
        <w:t>the</w:t>
      </w:r>
      <w:r>
        <w:rPr>
          <w:spacing w:val="-7"/>
          <w:w w:val="105"/>
        </w:rPr>
        <w:t> </w:t>
      </w:r>
      <w:r>
        <w:rPr>
          <w:w w:val="105"/>
        </w:rPr>
        <w:t>related</w:t>
      </w:r>
      <w:r>
        <w:rPr>
          <w:spacing w:val="-7"/>
          <w:w w:val="105"/>
        </w:rPr>
        <w:t> </w:t>
      </w:r>
      <w:r>
        <w:rPr>
          <w:w w:val="105"/>
        </w:rPr>
        <w:t>reduction</w:t>
      </w:r>
      <w:r>
        <w:rPr>
          <w:spacing w:val="-7"/>
          <w:w w:val="105"/>
        </w:rPr>
        <w:t> </w:t>
      </w:r>
      <w:r>
        <w:rPr>
          <w:w w:val="105"/>
        </w:rPr>
        <w:t>to</w:t>
      </w:r>
      <w:r>
        <w:rPr>
          <w:spacing w:val="-7"/>
          <w:w w:val="105"/>
        </w:rPr>
        <w:t> </w:t>
      </w:r>
      <w:r>
        <w:rPr>
          <w:w w:val="105"/>
        </w:rPr>
        <w:t>revenue,</w:t>
      </w:r>
      <w:r>
        <w:rPr>
          <w:spacing w:val="-7"/>
          <w:w w:val="105"/>
        </w:rPr>
        <w:t> </w:t>
      </w:r>
      <w:r>
        <w:rPr>
          <w:w w:val="105"/>
        </w:rPr>
        <w:t>for</w:t>
      </w:r>
      <w:r>
        <w:rPr>
          <w:spacing w:val="-5"/>
          <w:w w:val="105"/>
        </w:rPr>
        <w:t> </w:t>
      </w:r>
      <w:r>
        <w:rPr>
          <w:w w:val="105"/>
        </w:rPr>
        <w:t>estimated</w:t>
      </w:r>
      <w:r>
        <w:rPr>
          <w:spacing w:val="-7"/>
          <w:w w:val="105"/>
        </w:rPr>
        <w:t> </w:t>
      </w:r>
      <w:r>
        <w:rPr>
          <w:w w:val="105"/>
        </w:rPr>
        <w:t>product</w:t>
      </w:r>
      <w:r>
        <w:rPr>
          <w:spacing w:val="-7"/>
          <w:w w:val="105"/>
        </w:rPr>
        <w:t> </w:t>
      </w:r>
      <w:r>
        <w:rPr>
          <w:w w:val="105"/>
        </w:rPr>
        <w:t>returns,</w:t>
      </w:r>
      <w:r>
        <w:rPr>
          <w:spacing w:val="-7"/>
          <w:w w:val="105"/>
        </w:rPr>
        <w:t> </w:t>
      </w:r>
      <w:r>
        <w:rPr>
          <w:w w:val="105"/>
        </w:rPr>
        <w:t>allowances</w:t>
      </w:r>
      <w:r>
        <w:rPr>
          <w:spacing w:val="-7"/>
          <w:w w:val="105"/>
        </w:rPr>
        <w:t> </w:t>
      </w:r>
      <w:r>
        <w:rPr>
          <w:w w:val="105"/>
        </w:rPr>
        <w:t>and</w:t>
      </w:r>
      <w:r>
        <w:rPr>
          <w:spacing w:val="-7"/>
          <w:w w:val="105"/>
        </w:rPr>
        <w:t> </w:t>
      </w:r>
      <w:r>
        <w:rPr>
          <w:w w:val="105"/>
        </w:rPr>
        <w:t>price</w:t>
      </w:r>
      <w:r>
        <w:rPr>
          <w:spacing w:val="-7"/>
          <w:w w:val="105"/>
        </w:rPr>
        <w:t> </w:t>
      </w:r>
      <w:r>
        <w:rPr>
          <w:w w:val="105"/>
        </w:rPr>
        <w:t>discounts</w:t>
      </w:r>
      <w:r>
        <w:rPr>
          <w:spacing w:val="-7"/>
          <w:w w:val="105"/>
        </w:rPr>
        <w:t> </w:t>
      </w:r>
      <w:r>
        <w:rPr>
          <w:w w:val="105"/>
        </w:rPr>
        <w:t>based</w:t>
      </w:r>
      <w:r>
        <w:rPr>
          <w:spacing w:val="-7"/>
          <w:w w:val="105"/>
        </w:rPr>
        <w:t> </w:t>
      </w:r>
      <w:r>
        <w:rPr>
          <w:w w:val="105"/>
        </w:rPr>
        <w:t>upon historical</w:t>
      </w:r>
      <w:r>
        <w:rPr>
          <w:spacing w:val="-5"/>
          <w:w w:val="105"/>
        </w:rPr>
        <w:t> </w:t>
      </w:r>
      <w:r>
        <w:rPr>
          <w:w w:val="105"/>
        </w:rPr>
        <w:t>experience</w:t>
      </w:r>
      <w:r>
        <w:rPr>
          <w:spacing w:val="-5"/>
          <w:w w:val="105"/>
        </w:rPr>
        <w:t> </w:t>
      </w:r>
      <w:r>
        <w:rPr>
          <w:w w:val="105"/>
        </w:rPr>
        <w:t>and</w:t>
      </w:r>
      <w:r>
        <w:rPr>
          <w:spacing w:val="-5"/>
          <w:w w:val="105"/>
        </w:rPr>
        <w:t> </w:t>
      </w:r>
      <w:r>
        <w:rPr>
          <w:w w:val="105"/>
        </w:rPr>
        <w:t>related</w:t>
      </w:r>
      <w:r>
        <w:rPr>
          <w:spacing w:val="-7"/>
          <w:w w:val="105"/>
        </w:rPr>
        <w:t> </w:t>
      </w:r>
      <w:r>
        <w:rPr>
          <w:w w:val="105"/>
        </w:rPr>
        <w:t>terms</w:t>
      </w:r>
      <w:r>
        <w:rPr>
          <w:spacing w:val="-5"/>
          <w:w w:val="105"/>
        </w:rPr>
        <w:t> </w:t>
      </w:r>
      <w:r>
        <w:rPr>
          <w:w w:val="105"/>
        </w:rPr>
        <w:t>of</w:t>
      </w:r>
      <w:r>
        <w:rPr>
          <w:spacing w:val="-5"/>
          <w:w w:val="105"/>
        </w:rPr>
        <w:t> </w:t>
      </w:r>
      <w:r>
        <w:rPr>
          <w:w w:val="105"/>
        </w:rPr>
        <w:t>customer</w:t>
      </w:r>
      <w:r>
        <w:rPr>
          <w:spacing w:val="-5"/>
          <w:w w:val="105"/>
        </w:rPr>
        <w:t> </w:t>
      </w:r>
      <w:r>
        <w:rPr>
          <w:w w:val="105"/>
        </w:rPr>
        <w:t>arrangements.</w:t>
      </w:r>
      <w:r>
        <w:rPr>
          <w:spacing w:val="-5"/>
          <w:w w:val="105"/>
        </w:rPr>
        <w:t> </w:t>
      </w:r>
      <w:r>
        <w:rPr>
          <w:w w:val="105"/>
        </w:rPr>
        <w:t>Where</w:t>
      </w:r>
      <w:r>
        <w:rPr>
          <w:spacing w:val="-5"/>
          <w:w w:val="105"/>
        </w:rPr>
        <w:t> </w:t>
      </w:r>
      <w:r>
        <w:rPr>
          <w:w w:val="105"/>
        </w:rPr>
        <w:t>product</w:t>
      </w:r>
      <w:r>
        <w:rPr>
          <w:spacing w:val="-5"/>
          <w:w w:val="105"/>
        </w:rPr>
        <w:t> </w:t>
      </w:r>
      <w:r>
        <w:rPr>
          <w:w w:val="105"/>
        </w:rPr>
        <w:t>warranties</w:t>
      </w:r>
      <w:r>
        <w:rPr>
          <w:spacing w:val="-7"/>
          <w:w w:val="105"/>
        </w:rPr>
        <w:t> </w:t>
      </w:r>
      <w:r>
        <w:rPr>
          <w:w w:val="105"/>
        </w:rPr>
        <w:t>are</w:t>
      </w:r>
      <w:r>
        <w:rPr>
          <w:spacing w:val="-5"/>
          <w:w w:val="105"/>
        </w:rPr>
        <w:t> </w:t>
      </w:r>
      <w:r>
        <w:rPr>
          <w:w w:val="105"/>
        </w:rPr>
        <w:t>offered,</w:t>
      </w:r>
      <w:r>
        <w:rPr>
          <w:spacing w:val="-5"/>
          <w:w w:val="105"/>
        </w:rPr>
        <w:t> </w:t>
      </w:r>
      <w:r>
        <w:rPr>
          <w:w w:val="105"/>
        </w:rPr>
        <w:t>liabilities</w:t>
      </w:r>
      <w:r>
        <w:rPr>
          <w:spacing w:val="-5"/>
          <w:w w:val="105"/>
        </w:rPr>
        <w:t> </w:t>
      </w:r>
      <w:r>
        <w:rPr>
          <w:w w:val="105"/>
        </w:rPr>
        <w:t>are</w:t>
      </w:r>
      <w:r>
        <w:rPr>
          <w:spacing w:val="-5"/>
          <w:w w:val="105"/>
        </w:rPr>
        <w:t> </w:t>
      </w:r>
      <w:r>
        <w:rPr>
          <w:w w:val="105"/>
        </w:rPr>
        <w:t>established</w:t>
      </w:r>
      <w:r>
        <w:rPr>
          <w:spacing w:val="-5"/>
          <w:w w:val="105"/>
        </w:rPr>
        <w:t> </w:t>
      </w:r>
      <w:r>
        <w:rPr>
          <w:w w:val="105"/>
        </w:rPr>
        <w:t>for</w:t>
      </w:r>
      <w:r>
        <w:rPr>
          <w:spacing w:val="-5"/>
          <w:w w:val="105"/>
        </w:rPr>
        <w:t> </w:t>
      </w:r>
      <w:r>
        <w:rPr>
          <w:w w:val="105"/>
        </w:rPr>
        <w:t>estimated</w:t>
      </w:r>
      <w:r>
        <w:rPr>
          <w:spacing w:val="-5"/>
          <w:w w:val="105"/>
        </w:rPr>
        <w:t> </w:t>
      </w:r>
      <w:r>
        <w:rPr>
          <w:w w:val="105"/>
        </w:rPr>
        <w:t>warranty</w:t>
      </w:r>
      <w:r>
        <w:rPr>
          <w:spacing w:val="-5"/>
          <w:w w:val="105"/>
        </w:rPr>
        <w:t> </w:t>
      </w:r>
      <w:r>
        <w:rPr>
          <w:w w:val="105"/>
        </w:rPr>
        <w:t>costs</w:t>
      </w:r>
      <w:r>
        <w:rPr>
          <w:spacing w:val="-5"/>
          <w:w w:val="105"/>
        </w:rPr>
        <w:t> </w:t>
      </w:r>
      <w:r>
        <w:rPr>
          <w:w w:val="105"/>
        </w:rPr>
        <w:t>based</w:t>
      </w:r>
      <w:r>
        <w:rPr>
          <w:spacing w:val="-5"/>
          <w:w w:val="105"/>
        </w:rPr>
        <w:t> </w:t>
      </w:r>
      <w:r>
        <w:rPr>
          <w:w w:val="105"/>
        </w:rPr>
        <w:t>upon historical</w:t>
      </w:r>
      <w:r>
        <w:rPr>
          <w:spacing w:val="-9"/>
          <w:w w:val="105"/>
        </w:rPr>
        <w:t> </w:t>
      </w:r>
      <w:r>
        <w:rPr>
          <w:w w:val="105"/>
        </w:rPr>
        <w:t>experience</w:t>
      </w:r>
      <w:r>
        <w:rPr>
          <w:spacing w:val="-9"/>
          <w:w w:val="105"/>
        </w:rPr>
        <w:t> </w:t>
      </w:r>
      <w:r>
        <w:rPr>
          <w:w w:val="105"/>
        </w:rPr>
        <w:t>and</w:t>
      </w:r>
      <w:r>
        <w:rPr>
          <w:spacing w:val="-9"/>
          <w:w w:val="105"/>
        </w:rPr>
        <w:t> </w:t>
      </w:r>
      <w:r>
        <w:rPr>
          <w:w w:val="105"/>
        </w:rPr>
        <w:t>specific</w:t>
      </w:r>
      <w:r>
        <w:rPr>
          <w:spacing w:val="-9"/>
          <w:w w:val="105"/>
        </w:rPr>
        <w:t> </w:t>
      </w:r>
      <w:r>
        <w:rPr>
          <w:w w:val="105"/>
        </w:rPr>
        <w:t>warranty</w:t>
      </w:r>
      <w:r>
        <w:rPr>
          <w:spacing w:val="-9"/>
          <w:w w:val="105"/>
        </w:rPr>
        <w:t> </w:t>
      </w:r>
      <w:r>
        <w:rPr>
          <w:w w:val="105"/>
        </w:rPr>
        <w:t>provisions.</w:t>
      </w:r>
      <w:r>
        <w:rPr>
          <w:spacing w:val="-9"/>
          <w:w w:val="105"/>
        </w:rPr>
        <w:t> </w:t>
      </w:r>
      <w:r>
        <w:rPr>
          <w:w w:val="105"/>
        </w:rPr>
        <w:t>Warranty</w:t>
      </w:r>
      <w:r>
        <w:rPr>
          <w:spacing w:val="-9"/>
          <w:w w:val="105"/>
        </w:rPr>
        <w:t> </w:t>
      </w:r>
      <w:r>
        <w:rPr>
          <w:w w:val="105"/>
        </w:rPr>
        <w:t>liabilities</w:t>
      </w:r>
      <w:r>
        <w:rPr>
          <w:spacing w:val="-9"/>
          <w:w w:val="105"/>
        </w:rPr>
        <w:t> </w:t>
      </w:r>
      <w:r>
        <w:rPr>
          <w:w w:val="105"/>
        </w:rPr>
        <w:t>are</w:t>
      </w:r>
      <w:r>
        <w:rPr>
          <w:spacing w:val="-9"/>
          <w:w w:val="105"/>
        </w:rPr>
        <w:t> </w:t>
      </w:r>
      <w:r>
        <w:rPr>
          <w:w w:val="105"/>
        </w:rPr>
        <w:t>adjusted</w:t>
      </w:r>
      <w:r>
        <w:rPr>
          <w:spacing w:val="-9"/>
          <w:w w:val="105"/>
        </w:rPr>
        <w:t> </w:t>
      </w:r>
      <w:r>
        <w:rPr>
          <w:w w:val="105"/>
        </w:rPr>
        <w:t>when</w:t>
      </w:r>
      <w:r>
        <w:rPr>
          <w:spacing w:val="-9"/>
          <w:w w:val="105"/>
        </w:rPr>
        <w:t> </w:t>
      </w:r>
      <w:r>
        <w:rPr>
          <w:w w:val="105"/>
        </w:rPr>
        <w:t>experience</w:t>
      </w:r>
      <w:r>
        <w:rPr>
          <w:spacing w:val="-9"/>
          <w:w w:val="105"/>
        </w:rPr>
        <w:t> </w:t>
      </w:r>
      <w:r>
        <w:rPr>
          <w:w w:val="105"/>
        </w:rPr>
        <w:t>indicates</w:t>
      </w:r>
      <w:r>
        <w:rPr>
          <w:spacing w:val="-9"/>
          <w:w w:val="105"/>
        </w:rPr>
        <w:t> </w:t>
      </w:r>
      <w:r>
        <w:rPr>
          <w:w w:val="105"/>
        </w:rPr>
        <w:t>the</w:t>
      </w:r>
      <w:r>
        <w:rPr>
          <w:spacing w:val="-9"/>
          <w:w w:val="105"/>
        </w:rPr>
        <w:t> </w:t>
      </w:r>
      <w:r>
        <w:rPr>
          <w:w w:val="105"/>
        </w:rPr>
        <w:t>expected</w:t>
      </w:r>
      <w:r>
        <w:rPr>
          <w:spacing w:val="-9"/>
          <w:w w:val="105"/>
        </w:rPr>
        <w:t> </w:t>
      </w:r>
      <w:r>
        <w:rPr>
          <w:w w:val="105"/>
        </w:rPr>
        <w:t>outcome</w:t>
      </w:r>
      <w:r>
        <w:rPr>
          <w:spacing w:val="-11"/>
          <w:w w:val="105"/>
        </w:rPr>
        <w:t> </w:t>
      </w:r>
      <w:r>
        <w:rPr>
          <w:w w:val="105"/>
        </w:rPr>
        <w:t>will</w:t>
      </w:r>
      <w:r>
        <w:rPr>
          <w:spacing w:val="-9"/>
          <w:w w:val="105"/>
        </w:rPr>
        <w:t> </w:t>
      </w:r>
      <w:r>
        <w:rPr>
          <w:w w:val="105"/>
        </w:rPr>
        <w:t>differ</w:t>
      </w:r>
      <w:r>
        <w:rPr>
          <w:spacing w:val="-9"/>
          <w:w w:val="105"/>
        </w:rPr>
        <w:t> </w:t>
      </w:r>
      <w:r>
        <w:rPr>
          <w:w w:val="105"/>
        </w:rPr>
        <w:t>from</w:t>
      </w:r>
      <w:r>
        <w:rPr>
          <w:spacing w:val="-9"/>
          <w:w w:val="105"/>
        </w:rPr>
        <w:t> </w:t>
      </w:r>
      <w:r>
        <w:rPr>
          <w:w w:val="105"/>
        </w:rPr>
        <w:t>initial</w:t>
      </w:r>
      <w:r>
        <w:rPr>
          <w:spacing w:val="-9"/>
          <w:w w:val="105"/>
        </w:rPr>
        <w:t> </w:t>
      </w:r>
      <w:r>
        <w:rPr>
          <w:w w:val="105"/>
        </w:rPr>
        <w:t>estimates</w:t>
      </w:r>
      <w:r>
        <w:rPr>
          <w:spacing w:val="-9"/>
          <w:w w:val="105"/>
        </w:rPr>
        <w:t> </w:t>
      </w:r>
      <w:r>
        <w:rPr>
          <w:w w:val="105"/>
        </w:rPr>
        <w:t>of the liability. Product warranty liabilities were not material at December 31, 2021 and 2020.</w:t>
      </w:r>
    </w:p>
    <w:p>
      <w:pPr>
        <w:pStyle w:val="BodyText"/>
        <w:spacing w:before="18"/>
      </w:pPr>
    </w:p>
    <w:p>
      <w:pPr>
        <w:pStyle w:val="BodyText"/>
        <w:ind w:left="48"/>
        <w:jc w:val="center"/>
      </w:pPr>
      <w:r>
        <w:rPr>
          <w:spacing w:val="-5"/>
          <w:w w:val="105"/>
        </w:rPr>
        <w:t>81</w:t>
      </w:r>
    </w:p>
    <w:p>
      <w:pPr>
        <w:pStyle w:val="BodyText"/>
        <w:spacing w:before="11"/>
        <w:rPr>
          <w:sz w:val="5"/>
        </w:rPr>
      </w:pPr>
      <w:r>
        <w:rPr/>
        <mc:AlternateContent>
          <mc:Choice Requires="wps">
            <w:drawing>
              <wp:anchor distT="0" distB="0" distL="0" distR="0" allowOverlap="1" layoutInCell="1" locked="0" behindDoc="1" simplePos="0" relativeHeight="487681024">
                <wp:simplePos x="0" y="0"/>
                <wp:positionH relativeFrom="page">
                  <wp:posOffset>226488</wp:posOffset>
                </wp:positionH>
                <wp:positionV relativeFrom="paragraph">
                  <wp:posOffset>58734</wp:posOffset>
                </wp:positionV>
                <wp:extent cx="7312659" cy="16510"/>
                <wp:effectExtent l="0" t="0" r="0" b="0"/>
                <wp:wrapTopAndBottom/>
                <wp:docPr id="377" name="Graphic 377"/>
                <wp:cNvGraphicFramePr>
                  <a:graphicFrameLocks/>
                </wp:cNvGraphicFramePr>
                <a:graphic>
                  <a:graphicData uri="http://schemas.microsoft.com/office/word/2010/wordprocessingShape">
                    <wps:wsp>
                      <wps:cNvPr id="377" name="Graphic 37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35456;mso-wrap-distance-left:0;mso-wrap-distance-right:0" id="docshape376"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pPr>
      <w:r>
        <w:rPr>
          <w:w w:val="105"/>
        </w:rPr>
        <w:t>5.</w:t>
      </w:r>
      <w:r>
        <w:rPr>
          <w:spacing w:val="30"/>
          <w:w w:val="105"/>
        </w:rPr>
        <w:t> </w:t>
      </w:r>
      <w:r>
        <w:rPr>
          <w:w w:val="105"/>
        </w:rPr>
        <w:t>Revenue</w:t>
      </w:r>
      <w:r>
        <w:rPr>
          <w:spacing w:val="-6"/>
          <w:w w:val="105"/>
        </w:rPr>
        <w:t> </w:t>
      </w:r>
      <w:r>
        <w:rPr>
          <w:spacing w:val="-2"/>
          <w:w w:val="105"/>
        </w:rPr>
        <w:t>(Continued)</w:t>
      </w:r>
    </w:p>
    <w:p>
      <w:pPr>
        <w:pStyle w:val="BodyText"/>
        <w:spacing w:before="40"/>
        <w:rPr>
          <w:b/>
        </w:rPr>
      </w:pPr>
    </w:p>
    <w:p>
      <w:pPr>
        <w:pStyle w:val="Heading3"/>
      </w:pPr>
      <w:r>
        <w:rPr>
          <w:spacing w:val="-2"/>
          <w:w w:val="105"/>
        </w:rPr>
        <w:t>Other Revenue</w:t>
      </w:r>
      <w:r>
        <w:rPr>
          <w:spacing w:val="-1"/>
          <w:w w:val="105"/>
        </w:rPr>
        <w:t> </w:t>
      </w:r>
      <w:r>
        <w:rPr>
          <w:spacing w:val="-2"/>
          <w:w w:val="105"/>
        </w:rPr>
        <w:t>(Over</w:t>
      </w:r>
      <w:r>
        <w:rPr>
          <w:spacing w:val="-1"/>
          <w:w w:val="105"/>
        </w:rPr>
        <w:t> </w:t>
      </w:r>
      <w:r>
        <w:rPr>
          <w:spacing w:val="-2"/>
          <w:w w:val="105"/>
        </w:rPr>
        <w:t>Time)</w:t>
      </w:r>
    </w:p>
    <w:p>
      <w:pPr>
        <w:pStyle w:val="BodyText"/>
        <w:spacing w:before="39"/>
        <w:rPr>
          <w:b/>
          <w:i/>
        </w:rPr>
      </w:pPr>
    </w:p>
    <w:p>
      <w:pPr>
        <w:pStyle w:val="BodyText"/>
        <w:spacing w:line="266" w:lineRule="auto"/>
        <w:ind w:left="156"/>
      </w:pPr>
      <w:r>
        <w:rPr>
          <w:w w:val="105"/>
        </w:rPr>
        <w:t>Corning’s</w:t>
      </w:r>
      <w:r>
        <w:rPr>
          <w:spacing w:val="-3"/>
          <w:w w:val="105"/>
        </w:rPr>
        <w:t> </w:t>
      </w:r>
      <w:r>
        <w:rPr>
          <w:w w:val="105"/>
        </w:rPr>
        <w:t>revenue</w:t>
      </w:r>
      <w:r>
        <w:rPr>
          <w:spacing w:val="-3"/>
          <w:w w:val="105"/>
        </w:rPr>
        <w:t> </w:t>
      </w:r>
      <w:r>
        <w:rPr>
          <w:w w:val="105"/>
        </w:rPr>
        <w:t>over</w:t>
      </w:r>
      <w:r>
        <w:rPr>
          <w:spacing w:val="-3"/>
          <w:w w:val="105"/>
        </w:rPr>
        <w:t> </w:t>
      </w:r>
      <w:r>
        <w:rPr>
          <w:w w:val="105"/>
        </w:rPr>
        <w:t>time</w:t>
      </w:r>
      <w:r>
        <w:rPr>
          <w:spacing w:val="-1"/>
          <w:w w:val="105"/>
        </w:rPr>
        <w:t> </w:t>
      </w:r>
      <w:r>
        <w:rPr>
          <w:w w:val="105"/>
        </w:rPr>
        <w:t>is</w:t>
      </w:r>
      <w:r>
        <w:rPr>
          <w:spacing w:val="-3"/>
          <w:w w:val="105"/>
        </w:rPr>
        <w:t> </w:t>
      </w:r>
      <w:r>
        <w:rPr>
          <w:w w:val="105"/>
        </w:rPr>
        <w:t>mainly</w:t>
      </w:r>
      <w:r>
        <w:rPr>
          <w:spacing w:val="-3"/>
          <w:w w:val="105"/>
        </w:rPr>
        <w:t> </w:t>
      </w:r>
      <w:r>
        <w:rPr>
          <w:w w:val="105"/>
        </w:rPr>
        <w:t>related</w:t>
      </w:r>
      <w:r>
        <w:rPr>
          <w:spacing w:val="-3"/>
          <w:w w:val="105"/>
        </w:rPr>
        <w:t> </w:t>
      </w:r>
      <w:r>
        <w:rPr>
          <w:w w:val="105"/>
        </w:rPr>
        <w:t>to</w:t>
      </w:r>
      <w:r>
        <w:rPr>
          <w:spacing w:val="-3"/>
          <w:w w:val="105"/>
        </w:rPr>
        <w:t> </w:t>
      </w:r>
      <w:r>
        <w:rPr>
          <w:w w:val="105"/>
        </w:rPr>
        <w:t>Telecommunications</w:t>
      </w:r>
      <w:r>
        <w:rPr>
          <w:spacing w:val="-3"/>
          <w:w w:val="105"/>
        </w:rPr>
        <w:t> </w:t>
      </w:r>
      <w:r>
        <w:rPr>
          <w:w w:val="105"/>
        </w:rPr>
        <w:t>products,</w:t>
      </w:r>
      <w:r>
        <w:rPr>
          <w:spacing w:val="-1"/>
          <w:w w:val="105"/>
        </w:rPr>
        <w:t> </w:t>
      </w:r>
      <w:r>
        <w:rPr>
          <w:w w:val="105"/>
        </w:rPr>
        <w:t>and</w:t>
      </w:r>
      <w:r>
        <w:rPr>
          <w:spacing w:val="-3"/>
          <w:w w:val="105"/>
        </w:rPr>
        <w:t> </w:t>
      </w:r>
      <w:r>
        <w:rPr>
          <w:w w:val="105"/>
        </w:rPr>
        <w:t>comprised</w:t>
      </w:r>
      <w:r>
        <w:rPr>
          <w:spacing w:val="-3"/>
          <w:w w:val="105"/>
        </w:rPr>
        <w:t> </w:t>
      </w:r>
      <w:r>
        <w:rPr>
          <w:w w:val="105"/>
        </w:rPr>
        <w:t>of</w:t>
      </w:r>
      <w:r>
        <w:rPr>
          <w:spacing w:val="-3"/>
          <w:w w:val="105"/>
        </w:rPr>
        <w:t> </w:t>
      </w:r>
      <w:r>
        <w:rPr>
          <w:w w:val="105"/>
        </w:rPr>
        <w:t>design,</w:t>
      </w:r>
      <w:r>
        <w:rPr>
          <w:spacing w:val="-3"/>
          <w:w w:val="105"/>
        </w:rPr>
        <w:t> </w:t>
      </w:r>
      <w:r>
        <w:rPr>
          <w:w w:val="105"/>
        </w:rPr>
        <w:t>installation,</w:t>
      </w:r>
      <w:r>
        <w:rPr>
          <w:spacing w:val="-3"/>
          <w:w w:val="105"/>
        </w:rPr>
        <w:t> </w:t>
      </w:r>
      <w:r>
        <w:rPr>
          <w:w w:val="105"/>
        </w:rPr>
        <w:t>training</w:t>
      </w:r>
      <w:r>
        <w:rPr>
          <w:spacing w:val="-3"/>
          <w:w w:val="105"/>
        </w:rPr>
        <w:t> </w:t>
      </w:r>
      <w:r>
        <w:rPr>
          <w:w w:val="105"/>
        </w:rPr>
        <w:t>and</w:t>
      </w:r>
      <w:r>
        <w:rPr>
          <w:spacing w:val="-3"/>
          <w:w w:val="105"/>
        </w:rPr>
        <w:t> </w:t>
      </w:r>
      <w:r>
        <w:rPr>
          <w:w w:val="105"/>
        </w:rPr>
        <w:t>software</w:t>
      </w:r>
      <w:r>
        <w:rPr>
          <w:spacing w:val="-3"/>
          <w:w w:val="105"/>
        </w:rPr>
        <w:t> </w:t>
      </w:r>
      <w:r>
        <w:rPr>
          <w:w w:val="105"/>
        </w:rPr>
        <w:t>maintenance</w:t>
      </w:r>
      <w:r>
        <w:rPr>
          <w:spacing w:val="-3"/>
          <w:w w:val="105"/>
        </w:rPr>
        <w:t> </w:t>
      </w:r>
      <w:r>
        <w:rPr>
          <w:w w:val="105"/>
        </w:rPr>
        <w:t>services.</w:t>
      </w:r>
      <w:r>
        <w:rPr>
          <w:spacing w:val="-3"/>
          <w:w w:val="105"/>
        </w:rPr>
        <w:t> </w:t>
      </w:r>
      <w:r>
        <w:rPr>
          <w:w w:val="105"/>
        </w:rPr>
        <w:t>The performance</w:t>
      </w:r>
      <w:r>
        <w:rPr>
          <w:spacing w:val="-9"/>
          <w:w w:val="105"/>
        </w:rPr>
        <w:t> </w:t>
      </w:r>
      <w:r>
        <w:rPr>
          <w:w w:val="105"/>
        </w:rPr>
        <w:t>obligations</w:t>
      </w:r>
      <w:r>
        <w:rPr>
          <w:spacing w:val="-9"/>
          <w:w w:val="105"/>
        </w:rPr>
        <w:t> </w:t>
      </w:r>
      <w:r>
        <w:rPr>
          <w:w w:val="105"/>
        </w:rPr>
        <w:t>under</w:t>
      </w:r>
      <w:r>
        <w:rPr>
          <w:spacing w:val="-9"/>
          <w:w w:val="105"/>
        </w:rPr>
        <w:t> </w:t>
      </w:r>
      <w:r>
        <w:rPr>
          <w:w w:val="105"/>
        </w:rPr>
        <w:t>these</w:t>
      </w:r>
      <w:r>
        <w:rPr>
          <w:spacing w:val="-9"/>
          <w:w w:val="105"/>
        </w:rPr>
        <w:t> </w:t>
      </w:r>
      <w:r>
        <w:rPr>
          <w:w w:val="105"/>
        </w:rPr>
        <w:t>contracts</w:t>
      </w:r>
      <w:r>
        <w:rPr>
          <w:spacing w:val="-9"/>
          <w:w w:val="105"/>
        </w:rPr>
        <w:t> </w:t>
      </w:r>
      <w:r>
        <w:rPr>
          <w:w w:val="105"/>
        </w:rPr>
        <w:t>generally</w:t>
      </w:r>
      <w:r>
        <w:rPr>
          <w:spacing w:val="-10"/>
          <w:w w:val="105"/>
        </w:rPr>
        <w:t> </w:t>
      </w:r>
      <w:r>
        <w:rPr>
          <w:w w:val="105"/>
        </w:rPr>
        <w:t>require</w:t>
      </w:r>
      <w:r>
        <w:rPr>
          <w:spacing w:val="-9"/>
          <w:w w:val="105"/>
        </w:rPr>
        <w:t> </w:t>
      </w:r>
      <w:r>
        <w:rPr>
          <w:w w:val="105"/>
        </w:rPr>
        <w:t>services</w:t>
      </w:r>
      <w:r>
        <w:rPr>
          <w:spacing w:val="-9"/>
          <w:w w:val="105"/>
        </w:rPr>
        <w:t> </w:t>
      </w:r>
      <w:r>
        <w:rPr>
          <w:w w:val="105"/>
        </w:rPr>
        <w:t>to</w:t>
      </w:r>
      <w:r>
        <w:rPr>
          <w:spacing w:val="-9"/>
          <w:w w:val="105"/>
        </w:rPr>
        <w:t> </w:t>
      </w:r>
      <w:r>
        <w:rPr>
          <w:w w:val="105"/>
        </w:rPr>
        <w:t>be</w:t>
      </w:r>
      <w:r>
        <w:rPr>
          <w:spacing w:val="-9"/>
          <w:w w:val="105"/>
        </w:rPr>
        <w:t> </w:t>
      </w:r>
      <w:r>
        <w:rPr>
          <w:w w:val="105"/>
        </w:rPr>
        <w:t>performed</w:t>
      </w:r>
      <w:r>
        <w:rPr>
          <w:spacing w:val="-9"/>
          <w:w w:val="105"/>
        </w:rPr>
        <w:t> </w:t>
      </w:r>
      <w:r>
        <w:rPr>
          <w:w w:val="105"/>
        </w:rPr>
        <w:t>over</w:t>
      </w:r>
      <w:r>
        <w:rPr>
          <w:spacing w:val="-9"/>
          <w:w w:val="105"/>
        </w:rPr>
        <w:t> </w:t>
      </w:r>
      <w:r>
        <w:rPr>
          <w:w w:val="105"/>
        </w:rPr>
        <w:t>time,</w:t>
      </w:r>
      <w:r>
        <w:rPr>
          <w:spacing w:val="-9"/>
          <w:w w:val="105"/>
        </w:rPr>
        <w:t> </w:t>
      </w:r>
      <w:r>
        <w:rPr>
          <w:w w:val="105"/>
        </w:rPr>
        <w:t>resulting</w:t>
      </w:r>
      <w:r>
        <w:rPr>
          <w:spacing w:val="-9"/>
          <w:w w:val="105"/>
        </w:rPr>
        <w:t> </w:t>
      </w:r>
      <w:r>
        <w:rPr>
          <w:w w:val="105"/>
        </w:rPr>
        <w:t>in</w:t>
      </w:r>
      <w:r>
        <w:rPr>
          <w:spacing w:val="-9"/>
          <w:w w:val="105"/>
        </w:rPr>
        <w:t> </w:t>
      </w:r>
      <w:r>
        <w:rPr>
          <w:w w:val="105"/>
        </w:rPr>
        <w:t>either</w:t>
      </w:r>
      <w:r>
        <w:rPr>
          <w:spacing w:val="-9"/>
          <w:w w:val="105"/>
        </w:rPr>
        <w:t> </w:t>
      </w:r>
      <w:r>
        <w:rPr>
          <w:w w:val="105"/>
        </w:rPr>
        <w:t>a</w:t>
      </w:r>
      <w:r>
        <w:rPr>
          <w:spacing w:val="-9"/>
          <w:w w:val="105"/>
        </w:rPr>
        <w:t> </w:t>
      </w:r>
      <w:r>
        <w:rPr>
          <w:w w:val="105"/>
        </w:rPr>
        <w:t>straight-line</w:t>
      </w:r>
      <w:r>
        <w:rPr>
          <w:spacing w:val="-9"/>
          <w:w w:val="105"/>
        </w:rPr>
        <w:t> </w:t>
      </w:r>
      <w:r>
        <w:rPr>
          <w:w w:val="105"/>
        </w:rPr>
        <w:t>amortization</w:t>
      </w:r>
      <w:r>
        <w:rPr>
          <w:spacing w:val="-10"/>
          <w:w w:val="105"/>
        </w:rPr>
        <w:t> </w:t>
      </w:r>
      <w:r>
        <w:rPr>
          <w:w w:val="105"/>
        </w:rPr>
        <w:t>method</w:t>
      </w:r>
      <w:r>
        <w:rPr>
          <w:spacing w:val="-9"/>
          <w:w w:val="105"/>
        </w:rPr>
        <w:t> </w:t>
      </w:r>
      <w:r>
        <w:rPr>
          <w:w w:val="105"/>
        </w:rPr>
        <w:t>or</w:t>
      </w:r>
      <w:r>
        <w:rPr>
          <w:spacing w:val="-9"/>
          <w:w w:val="105"/>
        </w:rPr>
        <w:t> </w:t>
      </w:r>
      <w:r>
        <w:rPr>
          <w:w w:val="105"/>
        </w:rPr>
        <w:t>an</w:t>
      </w:r>
      <w:r>
        <w:rPr>
          <w:spacing w:val="-9"/>
          <w:w w:val="105"/>
        </w:rPr>
        <w:t> </w:t>
      </w:r>
      <w:r>
        <w:rPr>
          <w:w w:val="105"/>
        </w:rPr>
        <w:t>input</w:t>
      </w:r>
      <w:r>
        <w:rPr>
          <w:spacing w:val="-9"/>
          <w:w w:val="105"/>
        </w:rPr>
        <w:t> </w:t>
      </w:r>
      <w:r>
        <w:rPr>
          <w:w w:val="105"/>
        </w:rPr>
        <w:t>method using</w:t>
      </w:r>
      <w:r>
        <w:rPr>
          <w:spacing w:val="-2"/>
          <w:w w:val="105"/>
        </w:rPr>
        <w:t> </w:t>
      </w:r>
      <w:r>
        <w:rPr>
          <w:w w:val="105"/>
        </w:rPr>
        <w:t>incurred</w:t>
      </w:r>
      <w:r>
        <w:rPr>
          <w:spacing w:val="-2"/>
          <w:w w:val="105"/>
        </w:rPr>
        <w:t> </w:t>
      </w:r>
      <w:r>
        <w:rPr>
          <w:w w:val="105"/>
        </w:rPr>
        <w:t>and</w:t>
      </w:r>
      <w:r>
        <w:rPr>
          <w:spacing w:val="-2"/>
          <w:w w:val="105"/>
        </w:rPr>
        <w:t> </w:t>
      </w:r>
      <w:r>
        <w:rPr>
          <w:w w:val="105"/>
        </w:rPr>
        <w:t>forecasted</w:t>
      </w:r>
      <w:r>
        <w:rPr>
          <w:spacing w:val="-2"/>
          <w:w w:val="105"/>
        </w:rPr>
        <w:t> </w:t>
      </w:r>
      <w:r>
        <w:rPr>
          <w:w w:val="105"/>
        </w:rPr>
        <w:t>expense</w:t>
      </w:r>
      <w:r>
        <w:rPr>
          <w:spacing w:val="-2"/>
          <w:w w:val="105"/>
        </w:rPr>
        <w:t> </w:t>
      </w:r>
      <w:r>
        <w:rPr>
          <w:w w:val="105"/>
        </w:rPr>
        <w:t>to</w:t>
      </w:r>
      <w:r>
        <w:rPr>
          <w:spacing w:val="-2"/>
          <w:w w:val="105"/>
        </w:rPr>
        <w:t> </w:t>
      </w:r>
      <w:r>
        <w:rPr>
          <w:w w:val="105"/>
        </w:rPr>
        <w:t>predict</w:t>
      </w:r>
      <w:r>
        <w:rPr>
          <w:spacing w:val="-2"/>
          <w:w w:val="105"/>
        </w:rPr>
        <w:t> </w:t>
      </w:r>
      <w:r>
        <w:rPr>
          <w:w w:val="105"/>
        </w:rPr>
        <w:t>revenue</w:t>
      </w:r>
      <w:r>
        <w:rPr>
          <w:spacing w:val="-2"/>
          <w:w w:val="105"/>
        </w:rPr>
        <w:t> </w:t>
      </w:r>
      <w:r>
        <w:rPr>
          <w:w w:val="105"/>
        </w:rPr>
        <w:t>recognition</w:t>
      </w:r>
      <w:r>
        <w:rPr>
          <w:spacing w:val="-2"/>
          <w:w w:val="105"/>
        </w:rPr>
        <w:t> </w:t>
      </w:r>
      <w:r>
        <w:rPr>
          <w:w w:val="105"/>
        </w:rPr>
        <w:t>patterns</w:t>
      </w:r>
      <w:r>
        <w:rPr>
          <w:spacing w:val="-2"/>
          <w:w w:val="105"/>
        </w:rPr>
        <w:t> </w:t>
      </w:r>
      <w:r>
        <w:rPr>
          <w:w w:val="105"/>
        </w:rPr>
        <w:t>which</w:t>
      </w:r>
      <w:r>
        <w:rPr>
          <w:spacing w:val="-2"/>
          <w:w w:val="105"/>
        </w:rPr>
        <w:t> </w:t>
      </w:r>
      <w:r>
        <w:rPr>
          <w:w w:val="105"/>
        </w:rPr>
        <w:t>follow</w:t>
      </w:r>
      <w:r>
        <w:rPr>
          <w:spacing w:val="-2"/>
          <w:w w:val="105"/>
        </w:rPr>
        <w:t> </w:t>
      </w:r>
      <w:r>
        <w:rPr>
          <w:w w:val="105"/>
        </w:rPr>
        <w:t>satisfaction</w:t>
      </w:r>
      <w:r>
        <w:rPr>
          <w:spacing w:val="-2"/>
          <w:w w:val="105"/>
        </w:rPr>
        <w:t> </w:t>
      </w:r>
      <w:r>
        <w:rPr>
          <w:w w:val="105"/>
        </w:rPr>
        <w:t>of</w:t>
      </w:r>
      <w:r>
        <w:rPr>
          <w:spacing w:val="-2"/>
          <w:w w:val="105"/>
        </w:rPr>
        <w:t> </w:t>
      </w:r>
      <w:r>
        <w:rPr>
          <w:w w:val="105"/>
        </w:rPr>
        <w:t>the</w:t>
      </w:r>
      <w:r>
        <w:rPr>
          <w:spacing w:val="-2"/>
          <w:w w:val="105"/>
        </w:rPr>
        <w:t> </w:t>
      </w:r>
      <w:r>
        <w:rPr>
          <w:w w:val="105"/>
        </w:rPr>
        <w:t>performance</w:t>
      </w:r>
      <w:r>
        <w:rPr>
          <w:spacing w:val="-2"/>
          <w:w w:val="105"/>
        </w:rPr>
        <w:t> </w:t>
      </w:r>
      <w:r>
        <w:rPr>
          <w:w w:val="105"/>
        </w:rPr>
        <w:t>obligations.</w:t>
      </w:r>
      <w:r>
        <w:rPr>
          <w:spacing w:val="-2"/>
          <w:w w:val="105"/>
        </w:rPr>
        <w:t> </w:t>
      </w:r>
      <w:r>
        <w:rPr>
          <w:w w:val="105"/>
        </w:rPr>
        <w:t>Corning’s</w:t>
      </w:r>
      <w:r>
        <w:rPr>
          <w:spacing w:val="-2"/>
          <w:w w:val="105"/>
        </w:rPr>
        <w:t> </w:t>
      </w:r>
      <w:r>
        <w:rPr>
          <w:w w:val="105"/>
        </w:rPr>
        <w:t>other</w:t>
      </w:r>
      <w:r>
        <w:rPr>
          <w:spacing w:val="-2"/>
          <w:w w:val="105"/>
        </w:rPr>
        <w:t> </w:t>
      </w:r>
      <w:r>
        <w:rPr>
          <w:w w:val="105"/>
        </w:rPr>
        <w:t>revenue</w:t>
      </w:r>
      <w:r>
        <w:rPr>
          <w:spacing w:val="-2"/>
          <w:w w:val="105"/>
        </w:rPr>
        <w:t> </w:t>
      </w:r>
      <w:r>
        <w:rPr>
          <w:w w:val="105"/>
        </w:rPr>
        <w:t>is</w:t>
      </w:r>
      <w:r>
        <w:rPr>
          <w:spacing w:val="-1"/>
          <w:w w:val="105"/>
        </w:rPr>
        <w:t> </w:t>
      </w:r>
      <w:r>
        <w:rPr>
          <w:w w:val="105"/>
        </w:rPr>
        <w:t>not material to consolidated results.</w:t>
      </w:r>
    </w:p>
    <w:p>
      <w:pPr>
        <w:pStyle w:val="BodyText"/>
        <w:spacing w:before="18"/>
      </w:pPr>
    </w:p>
    <w:p>
      <w:pPr>
        <w:pStyle w:val="Heading3"/>
        <w:spacing w:before="1"/>
      </w:pPr>
      <w:r>
        <w:rPr/>
        <w:t>Revenue</w:t>
      </w:r>
      <w:r>
        <w:rPr>
          <w:spacing w:val="18"/>
        </w:rPr>
        <w:t> </w:t>
      </w:r>
      <w:r>
        <w:rPr/>
        <w:t>Disaggregation</w:t>
      </w:r>
      <w:r>
        <w:rPr>
          <w:spacing w:val="18"/>
        </w:rPr>
        <w:t> </w:t>
      </w:r>
      <w:r>
        <w:rPr>
          <w:spacing w:val="-2"/>
        </w:rPr>
        <w:t>Table</w:t>
      </w:r>
    </w:p>
    <w:p>
      <w:pPr>
        <w:pStyle w:val="BodyText"/>
        <w:spacing w:before="39"/>
        <w:rPr>
          <w:b/>
          <w:i/>
        </w:rPr>
      </w:pPr>
    </w:p>
    <w:p>
      <w:pPr>
        <w:pStyle w:val="BodyText"/>
        <w:spacing w:line="266" w:lineRule="auto"/>
        <w:ind w:left="156"/>
      </w:pPr>
      <w:r>
        <w:rPr>
          <w:w w:val="105"/>
        </w:rPr>
        <w:t>The</w:t>
      </w:r>
      <w:r>
        <w:rPr>
          <w:spacing w:val="-7"/>
          <w:w w:val="105"/>
        </w:rPr>
        <w:t> </w:t>
      </w:r>
      <w:r>
        <w:rPr>
          <w:w w:val="105"/>
        </w:rPr>
        <w:t>following</w:t>
      </w:r>
      <w:r>
        <w:rPr>
          <w:spacing w:val="-7"/>
          <w:w w:val="105"/>
        </w:rPr>
        <w:t> </w:t>
      </w:r>
      <w:r>
        <w:rPr>
          <w:w w:val="105"/>
        </w:rPr>
        <w:t>table</w:t>
      </w:r>
      <w:r>
        <w:rPr>
          <w:spacing w:val="-7"/>
          <w:w w:val="105"/>
        </w:rPr>
        <w:t> </w:t>
      </w:r>
      <w:r>
        <w:rPr>
          <w:w w:val="105"/>
        </w:rPr>
        <w:t>shows</w:t>
      </w:r>
      <w:r>
        <w:rPr>
          <w:spacing w:val="-7"/>
          <w:w w:val="105"/>
        </w:rPr>
        <w:t> </w:t>
      </w:r>
      <w:r>
        <w:rPr>
          <w:w w:val="105"/>
        </w:rPr>
        <w:t>revenue</w:t>
      </w:r>
      <w:r>
        <w:rPr>
          <w:spacing w:val="-7"/>
          <w:w w:val="105"/>
        </w:rPr>
        <w:t> </w:t>
      </w:r>
      <w:r>
        <w:rPr>
          <w:w w:val="105"/>
        </w:rPr>
        <w:t>by</w:t>
      </w:r>
      <w:r>
        <w:rPr>
          <w:spacing w:val="-7"/>
          <w:w w:val="105"/>
        </w:rPr>
        <w:t> </w:t>
      </w:r>
      <w:r>
        <w:rPr>
          <w:w w:val="105"/>
        </w:rPr>
        <w:t>major</w:t>
      </w:r>
      <w:r>
        <w:rPr>
          <w:spacing w:val="-7"/>
          <w:w w:val="105"/>
        </w:rPr>
        <w:t> </w:t>
      </w:r>
      <w:r>
        <w:rPr>
          <w:w w:val="105"/>
        </w:rPr>
        <w:t>product</w:t>
      </w:r>
      <w:r>
        <w:rPr>
          <w:spacing w:val="-7"/>
          <w:w w:val="105"/>
        </w:rPr>
        <w:t> </w:t>
      </w:r>
      <w:r>
        <w:rPr>
          <w:w w:val="105"/>
        </w:rPr>
        <w:t>categories,</w:t>
      </w:r>
      <w:r>
        <w:rPr>
          <w:spacing w:val="-7"/>
          <w:w w:val="105"/>
        </w:rPr>
        <w:t> </w:t>
      </w:r>
      <w:r>
        <w:rPr>
          <w:w w:val="105"/>
        </w:rPr>
        <w:t>similar</w:t>
      </w:r>
      <w:r>
        <w:rPr>
          <w:spacing w:val="-7"/>
          <w:w w:val="105"/>
        </w:rPr>
        <w:t> </w:t>
      </w:r>
      <w:r>
        <w:rPr>
          <w:w w:val="105"/>
        </w:rPr>
        <w:t>to</w:t>
      </w:r>
      <w:r>
        <w:rPr>
          <w:spacing w:val="-7"/>
          <w:w w:val="105"/>
        </w:rPr>
        <w:t> </w:t>
      </w:r>
      <w:r>
        <w:rPr>
          <w:w w:val="105"/>
        </w:rPr>
        <w:t>the</w:t>
      </w:r>
      <w:r>
        <w:rPr>
          <w:spacing w:val="-7"/>
          <w:w w:val="105"/>
        </w:rPr>
        <w:t> </w:t>
      </w:r>
      <w:r>
        <w:rPr>
          <w:w w:val="105"/>
        </w:rPr>
        <w:t>reportable</w:t>
      </w:r>
      <w:r>
        <w:rPr>
          <w:spacing w:val="-7"/>
          <w:w w:val="105"/>
        </w:rPr>
        <w:t> </w:t>
      </w:r>
      <w:r>
        <w:rPr>
          <w:w w:val="105"/>
        </w:rPr>
        <w:t>segment</w:t>
      </w:r>
      <w:r>
        <w:rPr>
          <w:spacing w:val="-7"/>
          <w:w w:val="105"/>
        </w:rPr>
        <w:t> </w:t>
      </w:r>
      <w:r>
        <w:rPr>
          <w:w w:val="105"/>
        </w:rPr>
        <w:t>disclosure.</w:t>
      </w:r>
      <w:r>
        <w:rPr>
          <w:spacing w:val="-7"/>
          <w:w w:val="105"/>
        </w:rPr>
        <w:t> </w:t>
      </w:r>
      <w:r>
        <w:rPr>
          <w:w w:val="105"/>
        </w:rPr>
        <w:t>Within</w:t>
      </w:r>
      <w:r>
        <w:rPr>
          <w:spacing w:val="-7"/>
          <w:w w:val="105"/>
        </w:rPr>
        <w:t> </w:t>
      </w:r>
      <w:r>
        <w:rPr>
          <w:w w:val="105"/>
        </w:rPr>
        <w:t>each</w:t>
      </w:r>
      <w:r>
        <w:rPr>
          <w:spacing w:val="-7"/>
          <w:w w:val="105"/>
        </w:rPr>
        <w:t> </w:t>
      </w:r>
      <w:r>
        <w:rPr>
          <w:w w:val="105"/>
        </w:rPr>
        <w:t>product</w:t>
      </w:r>
      <w:r>
        <w:rPr>
          <w:spacing w:val="-7"/>
          <w:w w:val="105"/>
        </w:rPr>
        <w:t> </w:t>
      </w:r>
      <w:r>
        <w:rPr>
          <w:w w:val="105"/>
        </w:rPr>
        <w:t>category,</w:t>
      </w:r>
      <w:r>
        <w:rPr>
          <w:spacing w:val="-7"/>
          <w:w w:val="105"/>
        </w:rPr>
        <w:t> </w:t>
      </w:r>
      <w:r>
        <w:rPr>
          <w:w w:val="105"/>
        </w:rPr>
        <w:t>contract</w:t>
      </w:r>
      <w:r>
        <w:rPr>
          <w:spacing w:val="-7"/>
          <w:w w:val="105"/>
        </w:rPr>
        <w:t> </w:t>
      </w:r>
      <w:r>
        <w:rPr>
          <w:w w:val="105"/>
        </w:rPr>
        <w:t>terms,</w:t>
      </w:r>
      <w:r>
        <w:rPr>
          <w:spacing w:val="-7"/>
          <w:w w:val="105"/>
        </w:rPr>
        <w:t> </w:t>
      </w:r>
      <w:r>
        <w:rPr>
          <w:w w:val="105"/>
        </w:rPr>
        <w:t>conditions</w:t>
      </w:r>
      <w:r>
        <w:rPr>
          <w:spacing w:val="-7"/>
          <w:w w:val="105"/>
        </w:rPr>
        <w:t> </w:t>
      </w:r>
      <w:r>
        <w:rPr>
          <w:w w:val="105"/>
        </w:rPr>
        <w:t>and economic</w:t>
      </w:r>
      <w:r>
        <w:rPr>
          <w:spacing w:val="-2"/>
          <w:w w:val="105"/>
        </w:rPr>
        <w:t> </w:t>
      </w:r>
      <w:r>
        <w:rPr>
          <w:w w:val="105"/>
        </w:rPr>
        <w:t>factors</w:t>
      </w:r>
      <w:r>
        <w:rPr>
          <w:spacing w:val="-2"/>
          <w:w w:val="105"/>
        </w:rPr>
        <w:t> </w:t>
      </w:r>
      <w:r>
        <w:rPr>
          <w:w w:val="105"/>
        </w:rPr>
        <w:t>affecting</w:t>
      </w:r>
      <w:r>
        <w:rPr>
          <w:spacing w:val="-2"/>
          <w:w w:val="105"/>
        </w:rPr>
        <w:t> </w:t>
      </w:r>
      <w:r>
        <w:rPr>
          <w:w w:val="105"/>
        </w:rPr>
        <w:t>the</w:t>
      </w:r>
      <w:r>
        <w:rPr>
          <w:spacing w:val="-2"/>
          <w:w w:val="105"/>
        </w:rPr>
        <w:t> </w:t>
      </w:r>
      <w:r>
        <w:rPr>
          <w:w w:val="105"/>
        </w:rPr>
        <w:t>nature,</w:t>
      </w:r>
      <w:r>
        <w:rPr>
          <w:spacing w:val="-2"/>
          <w:w w:val="105"/>
        </w:rPr>
        <w:t> </w:t>
      </w:r>
      <w:r>
        <w:rPr>
          <w:w w:val="105"/>
        </w:rPr>
        <w:t>amount,</w:t>
      </w:r>
      <w:r>
        <w:rPr>
          <w:spacing w:val="-2"/>
          <w:w w:val="105"/>
        </w:rPr>
        <w:t> </w:t>
      </w:r>
      <w:r>
        <w:rPr>
          <w:w w:val="105"/>
        </w:rPr>
        <w:t>timing</w:t>
      </w:r>
      <w:r>
        <w:rPr>
          <w:spacing w:val="-2"/>
          <w:w w:val="105"/>
        </w:rPr>
        <w:t> </w:t>
      </w:r>
      <w:r>
        <w:rPr>
          <w:w w:val="105"/>
        </w:rPr>
        <w:t>and</w:t>
      </w:r>
      <w:r>
        <w:rPr>
          <w:spacing w:val="-2"/>
          <w:w w:val="105"/>
        </w:rPr>
        <w:t> </w:t>
      </w:r>
      <w:r>
        <w:rPr>
          <w:w w:val="105"/>
        </w:rPr>
        <w:t>uncertainty around</w:t>
      </w:r>
      <w:r>
        <w:rPr>
          <w:spacing w:val="-2"/>
          <w:w w:val="105"/>
        </w:rPr>
        <w:t> </w:t>
      </w:r>
      <w:r>
        <w:rPr>
          <w:w w:val="105"/>
        </w:rPr>
        <w:t>revenue</w:t>
      </w:r>
      <w:r>
        <w:rPr>
          <w:spacing w:val="-2"/>
          <w:w w:val="105"/>
        </w:rPr>
        <w:t> </w:t>
      </w:r>
      <w:r>
        <w:rPr>
          <w:w w:val="105"/>
        </w:rPr>
        <w:t>recognition</w:t>
      </w:r>
      <w:r>
        <w:rPr>
          <w:spacing w:val="-2"/>
          <w:w w:val="105"/>
        </w:rPr>
        <w:t> </w:t>
      </w:r>
      <w:r>
        <w:rPr>
          <w:w w:val="105"/>
        </w:rPr>
        <w:t>and cash</w:t>
      </w:r>
      <w:r>
        <w:rPr>
          <w:spacing w:val="-2"/>
          <w:w w:val="105"/>
        </w:rPr>
        <w:t> </w:t>
      </w:r>
      <w:r>
        <w:rPr>
          <w:w w:val="105"/>
        </w:rPr>
        <w:t>flows</w:t>
      </w:r>
      <w:r>
        <w:rPr>
          <w:spacing w:val="-2"/>
          <w:w w:val="105"/>
        </w:rPr>
        <w:t> </w:t>
      </w:r>
      <w:r>
        <w:rPr>
          <w:w w:val="105"/>
        </w:rPr>
        <w:t>are</w:t>
      </w:r>
      <w:r>
        <w:rPr>
          <w:spacing w:val="-2"/>
          <w:w w:val="105"/>
        </w:rPr>
        <w:t> </w:t>
      </w:r>
      <w:r>
        <w:rPr>
          <w:w w:val="105"/>
        </w:rPr>
        <w:t>substantially</w:t>
      </w:r>
      <w:r>
        <w:rPr>
          <w:spacing w:val="-2"/>
          <w:w w:val="105"/>
        </w:rPr>
        <w:t> </w:t>
      </w:r>
      <w:r>
        <w:rPr>
          <w:w w:val="105"/>
        </w:rPr>
        <w:t>similar.</w:t>
      </w:r>
      <w:r>
        <w:rPr>
          <w:spacing w:val="-2"/>
          <w:w w:val="105"/>
        </w:rPr>
        <w:t> </w:t>
      </w:r>
      <w:r>
        <w:rPr>
          <w:w w:val="105"/>
        </w:rPr>
        <w:t>The</w:t>
      </w:r>
      <w:r>
        <w:rPr>
          <w:spacing w:val="-2"/>
          <w:w w:val="105"/>
        </w:rPr>
        <w:t> </w:t>
      </w:r>
      <w:r>
        <w:rPr>
          <w:w w:val="105"/>
        </w:rPr>
        <w:t>commercial</w:t>
      </w:r>
      <w:r>
        <w:rPr>
          <w:spacing w:val="-2"/>
          <w:w w:val="105"/>
        </w:rPr>
        <w:t> </w:t>
      </w:r>
      <w:r>
        <w:rPr>
          <w:w w:val="105"/>
        </w:rPr>
        <w:t>markets</w:t>
      </w:r>
      <w:r>
        <w:rPr>
          <w:spacing w:val="-2"/>
          <w:w w:val="105"/>
        </w:rPr>
        <w:t> </w:t>
      </w:r>
      <w:r>
        <w:rPr>
          <w:w w:val="105"/>
        </w:rPr>
        <w:t>and selling</w:t>
      </w:r>
      <w:r>
        <w:rPr>
          <w:spacing w:val="-9"/>
          <w:w w:val="105"/>
        </w:rPr>
        <w:t> </w:t>
      </w:r>
      <w:r>
        <w:rPr>
          <w:w w:val="105"/>
        </w:rPr>
        <w:t>channels</w:t>
      </w:r>
      <w:r>
        <w:rPr>
          <w:spacing w:val="-9"/>
          <w:w w:val="105"/>
        </w:rPr>
        <w:t> </w:t>
      </w:r>
      <w:r>
        <w:rPr>
          <w:w w:val="105"/>
        </w:rPr>
        <w:t>are</w:t>
      </w:r>
      <w:r>
        <w:rPr>
          <w:spacing w:val="-9"/>
          <w:w w:val="105"/>
        </w:rPr>
        <w:t> </w:t>
      </w:r>
      <w:r>
        <w:rPr>
          <w:w w:val="105"/>
        </w:rPr>
        <w:t>also</w:t>
      </w:r>
      <w:r>
        <w:rPr>
          <w:spacing w:val="-9"/>
          <w:w w:val="105"/>
        </w:rPr>
        <w:t> </w:t>
      </w:r>
      <w:r>
        <w:rPr>
          <w:w w:val="105"/>
        </w:rPr>
        <w:t>similar.</w:t>
      </w:r>
      <w:r>
        <w:rPr>
          <w:spacing w:val="-9"/>
          <w:w w:val="105"/>
        </w:rPr>
        <w:t> </w:t>
      </w:r>
      <w:r>
        <w:rPr>
          <w:w w:val="105"/>
        </w:rPr>
        <w:t>Except</w:t>
      </w:r>
      <w:r>
        <w:rPr>
          <w:spacing w:val="-9"/>
          <w:w w:val="105"/>
        </w:rPr>
        <w:t> </w:t>
      </w:r>
      <w:r>
        <w:rPr>
          <w:w w:val="105"/>
        </w:rPr>
        <w:t>for</w:t>
      </w:r>
      <w:r>
        <w:rPr>
          <w:spacing w:val="-9"/>
          <w:w w:val="105"/>
        </w:rPr>
        <w:t> </w:t>
      </w:r>
      <w:r>
        <w:rPr>
          <w:w w:val="105"/>
        </w:rPr>
        <w:t>an</w:t>
      </w:r>
      <w:r>
        <w:rPr>
          <w:spacing w:val="-7"/>
          <w:w w:val="105"/>
        </w:rPr>
        <w:t> </w:t>
      </w:r>
      <w:r>
        <w:rPr>
          <w:w w:val="105"/>
        </w:rPr>
        <w:t>insignificant</w:t>
      </w:r>
      <w:r>
        <w:rPr>
          <w:spacing w:val="-9"/>
          <w:w w:val="105"/>
        </w:rPr>
        <w:t> </w:t>
      </w:r>
      <w:r>
        <w:rPr>
          <w:w w:val="105"/>
        </w:rPr>
        <w:t>number</w:t>
      </w:r>
      <w:r>
        <w:rPr>
          <w:spacing w:val="-9"/>
          <w:w w:val="105"/>
        </w:rPr>
        <w:t> </w:t>
      </w:r>
      <w:r>
        <w:rPr>
          <w:w w:val="105"/>
        </w:rPr>
        <w:t>of</w:t>
      </w:r>
      <w:r>
        <w:rPr>
          <w:spacing w:val="-9"/>
          <w:w w:val="105"/>
        </w:rPr>
        <w:t> </w:t>
      </w:r>
      <w:r>
        <w:rPr>
          <w:w w:val="105"/>
        </w:rPr>
        <w:t>Telecommunications</w:t>
      </w:r>
      <w:r>
        <w:rPr>
          <w:spacing w:val="-9"/>
          <w:w w:val="105"/>
        </w:rPr>
        <w:t> </w:t>
      </w:r>
      <w:r>
        <w:rPr>
          <w:w w:val="105"/>
        </w:rPr>
        <w:t>products,</w:t>
      </w:r>
      <w:r>
        <w:rPr>
          <w:spacing w:val="-9"/>
          <w:w w:val="105"/>
        </w:rPr>
        <w:t> </w:t>
      </w:r>
      <w:r>
        <w:rPr>
          <w:w w:val="105"/>
        </w:rPr>
        <w:t>product</w:t>
      </w:r>
      <w:r>
        <w:rPr>
          <w:spacing w:val="-9"/>
          <w:w w:val="105"/>
        </w:rPr>
        <w:t> </w:t>
      </w:r>
      <w:r>
        <w:rPr>
          <w:w w:val="105"/>
        </w:rPr>
        <w:t>category</w:t>
      </w:r>
      <w:r>
        <w:rPr>
          <w:spacing w:val="-9"/>
          <w:w w:val="105"/>
        </w:rPr>
        <w:t> </w:t>
      </w:r>
      <w:r>
        <w:rPr>
          <w:w w:val="105"/>
        </w:rPr>
        <w:t>revenue</w:t>
      </w:r>
      <w:r>
        <w:rPr>
          <w:spacing w:val="-9"/>
          <w:w w:val="105"/>
        </w:rPr>
        <w:t> </w:t>
      </w:r>
      <w:r>
        <w:rPr>
          <w:w w:val="105"/>
        </w:rPr>
        <w:t>is</w:t>
      </w:r>
      <w:r>
        <w:rPr>
          <w:spacing w:val="-7"/>
          <w:w w:val="105"/>
        </w:rPr>
        <w:t> </w:t>
      </w:r>
      <w:r>
        <w:rPr>
          <w:w w:val="105"/>
        </w:rPr>
        <w:t>recognized</w:t>
      </w:r>
      <w:r>
        <w:rPr>
          <w:spacing w:val="-9"/>
          <w:w w:val="105"/>
        </w:rPr>
        <w:t> </w:t>
      </w:r>
      <w:r>
        <w:rPr>
          <w:w w:val="105"/>
        </w:rPr>
        <w:t>at</w:t>
      </w:r>
      <w:r>
        <w:rPr>
          <w:spacing w:val="-9"/>
          <w:w w:val="105"/>
        </w:rPr>
        <w:t> </w:t>
      </w:r>
      <w:r>
        <w:rPr>
          <w:w w:val="105"/>
        </w:rPr>
        <w:t>point</w:t>
      </w:r>
      <w:r>
        <w:rPr>
          <w:spacing w:val="-9"/>
          <w:w w:val="105"/>
        </w:rPr>
        <w:t> </w:t>
      </w:r>
      <w:r>
        <w:rPr>
          <w:w w:val="105"/>
        </w:rPr>
        <w:t>in</w:t>
      </w:r>
      <w:r>
        <w:rPr>
          <w:spacing w:val="-9"/>
          <w:w w:val="105"/>
        </w:rPr>
        <w:t> </w:t>
      </w:r>
      <w:r>
        <w:rPr>
          <w:w w:val="105"/>
        </w:rPr>
        <w:t>time</w:t>
      </w:r>
      <w:r>
        <w:rPr>
          <w:spacing w:val="-9"/>
          <w:w w:val="105"/>
        </w:rPr>
        <w:t> </w:t>
      </w:r>
      <w:r>
        <w:rPr>
          <w:w w:val="105"/>
        </w:rPr>
        <w:t>when</w:t>
      </w:r>
      <w:r>
        <w:rPr>
          <w:spacing w:val="-9"/>
          <w:w w:val="105"/>
        </w:rPr>
        <w:t> </w:t>
      </w:r>
      <w:r>
        <w:rPr>
          <w:w w:val="105"/>
        </w:rPr>
        <w:t>control transfers to the customer.</w:t>
      </w:r>
    </w:p>
    <w:p>
      <w:pPr>
        <w:pStyle w:val="BodyText"/>
        <w:spacing w:before="9"/>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1"/>
        <w:gridCol w:w="973"/>
        <w:gridCol w:w="572"/>
        <w:gridCol w:w="1839"/>
        <w:gridCol w:w="1028"/>
        <w:gridCol w:w="632"/>
      </w:tblGrid>
      <w:tr>
        <w:trPr>
          <w:trHeight w:val="310" w:hRule="atLeast"/>
        </w:trPr>
        <w:tc>
          <w:tcPr>
            <w:tcW w:w="6471" w:type="dxa"/>
            <w:tcBorders>
              <w:bottom w:val="single" w:sz="12" w:space="0" w:color="000000"/>
            </w:tcBorders>
          </w:tcPr>
          <w:p>
            <w:pPr>
              <w:pStyle w:val="TableParagraph"/>
              <w:spacing w:line="182" w:lineRule="exact"/>
              <w:rPr>
                <w:sz w:val="16"/>
              </w:rPr>
            </w:pPr>
            <w:r>
              <w:rPr>
                <w:w w:val="105"/>
                <w:sz w:val="16"/>
              </w:rPr>
              <w:t>Revenue</w:t>
            </w:r>
            <w:r>
              <w:rPr>
                <w:spacing w:val="-9"/>
                <w:w w:val="105"/>
                <w:sz w:val="16"/>
              </w:rPr>
              <w:t> </w:t>
            </w:r>
            <w:r>
              <w:rPr>
                <w:w w:val="105"/>
                <w:sz w:val="16"/>
              </w:rPr>
              <w:t>by</w:t>
            </w:r>
            <w:r>
              <w:rPr>
                <w:spacing w:val="-9"/>
                <w:w w:val="105"/>
                <w:sz w:val="16"/>
              </w:rPr>
              <w:t> </w:t>
            </w:r>
            <w:r>
              <w:rPr>
                <w:w w:val="105"/>
                <w:sz w:val="16"/>
              </w:rPr>
              <w:t>product</w:t>
            </w:r>
            <w:r>
              <w:rPr>
                <w:spacing w:val="-8"/>
                <w:w w:val="105"/>
                <w:sz w:val="16"/>
              </w:rPr>
              <w:t> </w:t>
            </w:r>
            <w:r>
              <w:rPr>
                <w:w w:val="105"/>
                <w:sz w:val="16"/>
              </w:rPr>
              <w:t>category</w:t>
            </w:r>
            <w:r>
              <w:rPr>
                <w:spacing w:val="-9"/>
                <w:w w:val="105"/>
                <w:sz w:val="16"/>
              </w:rPr>
              <w:t> </w:t>
            </w:r>
            <w:r>
              <w:rPr>
                <w:w w:val="105"/>
                <w:sz w:val="16"/>
              </w:rPr>
              <w:t>is</w:t>
            </w:r>
            <w:r>
              <w:rPr>
                <w:spacing w:val="-8"/>
                <w:w w:val="105"/>
                <w:sz w:val="16"/>
              </w:rPr>
              <w:t> </w:t>
            </w:r>
            <w:r>
              <w:rPr>
                <w:w w:val="105"/>
                <w:sz w:val="16"/>
              </w:rPr>
              <w:t>as</w:t>
            </w:r>
            <w:r>
              <w:rPr>
                <w:spacing w:val="-7"/>
                <w:w w:val="105"/>
                <w:sz w:val="16"/>
              </w:rPr>
              <w:t> </w:t>
            </w:r>
            <w:r>
              <w:rPr>
                <w:w w:val="105"/>
                <w:sz w:val="16"/>
              </w:rPr>
              <w:t>follows</w:t>
            </w:r>
            <w:r>
              <w:rPr>
                <w:spacing w:val="-9"/>
                <w:w w:val="105"/>
                <w:sz w:val="16"/>
              </w:rPr>
              <w:t> </w:t>
            </w:r>
            <w:r>
              <w:rPr>
                <w:w w:val="105"/>
                <w:sz w:val="16"/>
              </w:rPr>
              <w:t>(in</w:t>
            </w:r>
            <w:r>
              <w:rPr>
                <w:spacing w:val="-9"/>
                <w:w w:val="105"/>
                <w:sz w:val="16"/>
              </w:rPr>
              <w:t> </w:t>
            </w:r>
            <w:r>
              <w:rPr>
                <w:spacing w:val="-2"/>
                <w:w w:val="105"/>
                <w:sz w:val="16"/>
              </w:rPr>
              <w:t>millions):</w:t>
            </w:r>
          </w:p>
        </w:tc>
        <w:tc>
          <w:tcPr>
            <w:tcW w:w="5044" w:type="dxa"/>
            <w:gridSpan w:val="5"/>
            <w:tcBorders>
              <w:bottom w:val="single" w:sz="12" w:space="0" w:color="000000"/>
            </w:tcBorders>
          </w:tcPr>
          <w:p>
            <w:pPr>
              <w:pStyle w:val="TableParagraph"/>
              <w:rPr>
                <w:sz w:val="16"/>
              </w:rPr>
            </w:pPr>
          </w:p>
        </w:tc>
      </w:tr>
      <w:tr>
        <w:trPr>
          <w:trHeight w:val="200" w:hRule="atLeast"/>
        </w:trPr>
        <w:tc>
          <w:tcPr>
            <w:tcW w:w="6471" w:type="dxa"/>
            <w:tcBorders>
              <w:top w:val="single" w:sz="12" w:space="0" w:color="000000"/>
            </w:tcBorders>
          </w:tcPr>
          <w:p>
            <w:pPr>
              <w:pStyle w:val="TableParagraph"/>
              <w:rPr>
                <w:sz w:val="12"/>
              </w:rPr>
            </w:pPr>
          </w:p>
        </w:tc>
        <w:tc>
          <w:tcPr>
            <w:tcW w:w="973" w:type="dxa"/>
            <w:tcBorders>
              <w:top w:val="single" w:sz="12" w:space="0" w:color="000000"/>
              <w:bottom w:val="single" w:sz="6" w:space="0" w:color="000000"/>
            </w:tcBorders>
          </w:tcPr>
          <w:p>
            <w:pPr>
              <w:pStyle w:val="TableParagraph"/>
              <w:rPr>
                <w:sz w:val="12"/>
              </w:rPr>
            </w:pPr>
          </w:p>
        </w:tc>
        <w:tc>
          <w:tcPr>
            <w:tcW w:w="572" w:type="dxa"/>
            <w:tcBorders>
              <w:top w:val="single" w:sz="12" w:space="0" w:color="000000"/>
              <w:bottom w:val="single" w:sz="6" w:space="0" w:color="000000"/>
            </w:tcBorders>
          </w:tcPr>
          <w:p>
            <w:pPr>
              <w:pStyle w:val="TableParagraph"/>
              <w:rPr>
                <w:sz w:val="12"/>
              </w:rPr>
            </w:pPr>
          </w:p>
        </w:tc>
        <w:tc>
          <w:tcPr>
            <w:tcW w:w="1839" w:type="dxa"/>
            <w:tcBorders>
              <w:top w:val="single" w:sz="12" w:space="0" w:color="000000"/>
              <w:bottom w:val="single" w:sz="6" w:space="0" w:color="000000"/>
            </w:tcBorders>
          </w:tcPr>
          <w:p>
            <w:pPr>
              <w:pStyle w:val="TableParagraph"/>
              <w:spacing w:line="179" w:lineRule="exact" w:before="1"/>
              <w:ind w:left="54"/>
              <w:rPr>
                <w:sz w:val="16"/>
              </w:rPr>
            </w:pPr>
            <w:r>
              <w:rPr>
                <w:w w:val="105"/>
                <w:sz w:val="16"/>
              </w:rPr>
              <w:t>Year</w:t>
            </w:r>
            <w:r>
              <w:rPr>
                <w:spacing w:val="-12"/>
                <w:w w:val="105"/>
                <w:sz w:val="16"/>
              </w:rPr>
              <w:t> </w:t>
            </w:r>
            <w:r>
              <w:rPr>
                <w:w w:val="105"/>
                <w:sz w:val="16"/>
              </w:rPr>
              <w:t>ended</w:t>
            </w:r>
            <w:r>
              <w:rPr>
                <w:spacing w:val="-10"/>
                <w:w w:val="105"/>
                <w:sz w:val="16"/>
              </w:rPr>
              <w:t> </w:t>
            </w:r>
            <w:r>
              <w:rPr>
                <w:w w:val="105"/>
                <w:sz w:val="16"/>
              </w:rPr>
              <w:t>December</w:t>
            </w:r>
            <w:r>
              <w:rPr>
                <w:spacing w:val="-10"/>
                <w:w w:val="105"/>
                <w:sz w:val="16"/>
              </w:rPr>
              <w:t> </w:t>
            </w:r>
            <w:r>
              <w:rPr>
                <w:spacing w:val="-5"/>
                <w:w w:val="105"/>
                <w:sz w:val="16"/>
              </w:rPr>
              <w:t>31,</w:t>
            </w:r>
          </w:p>
        </w:tc>
        <w:tc>
          <w:tcPr>
            <w:tcW w:w="1028" w:type="dxa"/>
            <w:tcBorders>
              <w:top w:val="single" w:sz="12" w:space="0" w:color="000000"/>
              <w:bottom w:val="single" w:sz="6" w:space="0" w:color="000000"/>
            </w:tcBorders>
          </w:tcPr>
          <w:p>
            <w:pPr>
              <w:pStyle w:val="TableParagraph"/>
              <w:rPr>
                <w:sz w:val="12"/>
              </w:rPr>
            </w:pPr>
          </w:p>
        </w:tc>
        <w:tc>
          <w:tcPr>
            <w:tcW w:w="632" w:type="dxa"/>
            <w:tcBorders>
              <w:top w:val="single" w:sz="12" w:space="0" w:color="000000"/>
              <w:bottom w:val="single" w:sz="6" w:space="0" w:color="000000"/>
            </w:tcBorders>
          </w:tcPr>
          <w:p>
            <w:pPr>
              <w:pStyle w:val="TableParagraph"/>
              <w:rPr>
                <w:sz w:val="12"/>
              </w:rPr>
            </w:pPr>
          </w:p>
        </w:tc>
      </w:tr>
      <w:tr>
        <w:trPr>
          <w:trHeight w:val="201" w:hRule="atLeast"/>
        </w:trPr>
        <w:tc>
          <w:tcPr>
            <w:tcW w:w="6471" w:type="dxa"/>
            <w:tcBorders>
              <w:bottom w:val="single" w:sz="6" w:space="0" w:color="000000"/>
            </w:tcBorders>
          </w:tcPr>
          <w:p>
            <w:pPr>
              <w:pStyle w:val="TableParagraph"/>
              <w:rPr>
                <w:sz w:val="14"/>
              </w:rPr>
            </w:pPr>
          </w:p>
        </w:tc>
        <w:tc>
          <w:tcPr>
            <w:tcW w:w="973" w:type="dxa"/>
            <w:tcBorders>
              <w:top w:val="single" w:sz="6" w:space="0" w:color="000000"/>
              <w:bottom w:val="single" w:sz="6" w:space="0" w:color="000000"/>
            </w:tcBorders>
          </w:tcPr>
          <w:p>
            <w:pPr>
              <w:pStyle w:val="TableParagraph"/>
              <w:spacing w:line="179" w:lineRule="exact" w:before="2"/>
              <w:ind w:left="579"/>
              <w:rPr>
                <w:b/>
                <w:sz w:val="16"/>
              </w:rPr>
            </w:pPr>
            <w:r>
              <w:rPr>
                <w:b/>
                <w:spacing w:val="-4"/>
                <w:w w:val="105"/>
                <w:sz w:val="16"/>
              </w:rPr>
              <w:t>2021</w:t>
            </w:r>
          </w:p>
        </w:tc>
        <w:tc>
          <w:tcPr>
            <w:tcW w:w="572" w:type="dxa"/>
            <w:tcBorders>
              <w:top w:val="single" w:sz="6" w:space="0" w:color="000000"/>
              <w:bottom w:val="single" w:sz="6" w:space="0" w:color="000000"/>
            </w:tcBorders>
          </w:tcPr>
          <w:p>
            <w:pPr>
              <w:pStyle w:val="TableParagraph"/>
              <w:rPr>
                <w:sz w:val="14"/>
              </w:rPr>
            </w:pPr>
          </w:p>
        </w:tc>
        <w:tc>
          <w:tcPr>
            <w:tcW w:w="1839" w:type="dxa"/>
            <w:tcBorders>
              <w:top w:val="single" w:sz="6" w:space="0" w:color="000000"/>
              <w:bottom w:val="single" w:sz="6" w:space="0" w:color="000000"/>
            </w:tcBorders>
          </w:tcPr>
          <w:p>
            <w:pPr>
              <w:pStyle w:val="TableParagraph"/>
              <w:spacing w:line="179" w:lineRule="exact" w:before="2"/>
              <w:jc w:val="center"/>
              <w:rPr>
                <w:sz w:val="16"/>
              </w:rPr>
            </w:pPr>
            <w:r>
              <w:rPr>
                <w:spacing w:val="-4"/>
                <w:w w:val="105"/>
                <w:sz w:val="16"/>
              </w:rPr>
              <w:t>2020</w:t>
            </w:r>
          </w:p>
        </w:tc>
        <w:tc>
          <w:tcPr>
            <w:tcW w:w="1028" w:type="dxa"/>
            <w:tcBorders>
              <w:top w:val="single" w:sz="6" w:space="0" w:color="000000"/>
              <w:bottom w:val="single" w:sz="6" w:space="0" w:color="000000"/>
            </w:tcBorders>
          </w:tcPr>
          <w:p>
            <w:pPr>
              <w:pStyle w:val="TableParagraph"/>
              <w:spacing w:line="179" w:lineRule="exact" w:before="2"/>
              <w:ind w:left="635"/>
              <w:rPr>
                <w:sz w:val="16"/>
              </w:rPr>
            </w:pPr>
            <w:r>
              <w:rPr>
                <w:spacing w:val="-4"/>
                <w:w w:val="105"/>
                <w:sz w:val="16"/>
              </w:rPr>
              <w:t>2019</w:t>
            </w:r>
          </w:p>
        </w:tc>
        <w:tc>
          <w:tcPr>
            <w:tcW w:w="632" w:type="dxa"/>
            <w:tcBorders>
              <w:top w:val="single" w:sz="6" w:space="0" w:color="000000"/>
              <w:bottom w:val="single" w:sz="6" w:space="0" w:color="000000"/>
            </w:tcBorders>
          </w:tcPr>
          <w:p>
            <w:pPr>
              <w:pStyle w:val="TableParagraph"/>
              <w:rPr>
                <w:sz w:val="14"/>
              </w:rPr>
            </w:pPr>
          </w:p>
        </w:tc>
      </w:tr>
      <w:tr>
        <w:trPr>
          <w:trHeight w:val="202" w:hRule="atLeast"/>
        </w:trPr>
        <w:tc>
          <w:tcPr>
            <w:tcW w:w="6471" w:type="dxa"/>
            <w:tcBorders>
              <w:top w:val="single" w:sz="6" w:space="0" w:color="000000"/>
            </w:tcBorders>
            <w:shd w:val="clear" w:color="auto" w:fill="CCEDFF"/>
          </w:tcPr>
          <w:p>
            <w:pPr>
              <w:pStyle w:val="TableParagraph"/>
              <w:spacing w:line="180" w:lineRule="exact" w:before="2"/>
              <w:rPr>
                <w:sz w:val="16"/>
              </w:rPr>
            </w:pPr>
            <w:r>
              <w:rPr>
                <w:sz w:val="16"/>
              </w:rPr>
              <w:t>Display</w:t>
            </w:r>
            <w:r>
              <w:rPr>
                <w:spacing w:val="15"/>
                <w:sz w:val="16"/>
              </w:rPr>
              <w:t> </w:t>
            </w:r>
            <w:r>
              <w:rPr>
                <w:spacing w:val="-2"/>
                <w:sz w:val="16"/>
              </w:rPr>
              <w:t>products</w:t>
            </w:r>
          </w:p>
        </w:tc>
        <w:tc>
          <w:tcPr>
            <w:tcW w:w="973"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572" w:type="dxa"/>
            <w:tcBorders>
              <w:top w:val="single" w:sz="6" w:space="0" w:color="000000"/>
            </w:tcBorders>
            <w:shd w:val="clear" w:color="auto" w:fill="CCEDFF"/>
          </w:tcPr>
          <w:p>
            <w:pPr>
              <w:pStyle w:val="TableParagraph"/>
              <w:spacing w:line="180" w:lineRule="exact" w:before="2"/>
              <w:ind w:right="52"/>
              <w:jc w:val="right"/>
              <w:rPr>
                <w:b/>
                <w:sz w:val="16"/>
              </w:rPr>
            </w:pPr>
            <w:r>
              <w:rPr>
                <w:b/>
                <w:spacing w:val="-4"/>
                <w:w w:val="105"/>
                <w:sz w:val="16"/>
              </w:rPr>
              <w:t>3,666</w:t>
            </w:r>
          </w:p>
        </w:tc>
        <w:tc>
          <w:tcPr>
            <w:tcW w:w="1839" w:type="dxa"/>
            <w:tcBorders>
              <w:top w:val="single" w:sz="6" w:space="0" w:color="000000"/>
            </w:tcBorders>
            <w:shd w:val="clear" w:color="auto" w:fill="CCEDFF"/>
          </w:tcPr>
          <w:p>
            <w:pPr>
              <w:pStyle w:val="TableParagraph"/>
              <w:tabs>
                <w:tab w:pos="1292" w:val="left" w:leader="none"/>
              </w:tabs>
              <w:spacing w:line="180" w:lineRule="exact" w:before="2"/>
              <w:ind w:left="174"/>
              <w:rPr>
                <w:sz w:val="16"/>
              </w:rPr>
            </w:pPr>
            <w:r>
              <w:rPr>
                <w:spacing w:val="-10"/>
                <w:w w:val="105"/>
                <w:sz w:val="16"/>
              </w:rPr>
              <w:t>$</w:t>
            </w:r>
            <w:r>
              <w:rPr>
                <w:sz w:val="16"/>
              </w:rPr>
              <w:tab/>
            </w:r>
            <w:r>
              <w:rPr>
                <w:spacing w:val="-4"/>
                <w:w w:val="105"/>
                <w:sz w:val="16"/>
              </w:rPr>
              <w:t>3,077</w:t>
            </w:r>
          </w:p>
        </w:tc>
        <w:tc>
          <w:tcPr>
            <w:tcW w:w="1028" w:type="dxa"/>
            <w:tcBorders>
              <w:top w:val="single" w:sz="6" w:space="0" w:color="000000"/>
            </w:tcBorders>
            <w:shd w:val="clear" w:color="auto" w:fill="CCEDFF"/>
          </w:tcPr>
          <w:p>
            <w:pPr>
              <w:pStyle w:val="TableParagraph"/>
              <w:spacing w:line="180" w:lineRule="exact" w:before="2"/>
              <w:ind w:left="55"/>
              <w:rPr>
                <w:sz w:val="16"/>
              </w:rPr>
            </w:pPr>
            <w:r>
              <w:rPr>
                <w:spacing w:val="-10"/>
                <w:w w:val="105"/>
                <w:sz w:val="16"/>
              </w:rPr>
              <w:t>$</w:t>
            </w:r>
          </w:p>
        </w:tc>
        <w:tc>
          <w:tcPr>
            <w:tcW w:w="632" w:type="dxa"/>
            <w:tcBorders>
              <w:top w:val="single" w:sz="6" w:space="0" w:color="000000"/>
            </w:tcBorders>
            <w:shd w:val="clear" w:color="auto" w:fill="CCEDFF"/>
          </w:tcPr>
          <w:p>
            <w:pPr>
              <w:pStyle w:val="TableParagraph"/>
              <w:spacing w:line="180" w:lineRule="exact" w:before="2"/>
              <w:ind w:right="112"/>
              <w:jc w:val="right"/>
              <w:rPr>
                <w:sz w:val="16"/>
              </w:rPr>
            </w:pPr>
            <w:r>
              <w:rPr>
                <w:spacing w:val="-4"/>
                <w:w w:val="105"/>
                <w:sz w:val="16"/>
              </w:rPr>
              <w:t>3,180</w:t>
            </w:r>
          </w:p>
        </w:tc>
      </w:tr>
      <w:tr>
        <w:trPr>
          <w:trHeight w:val="203" w:hRule="atLeast"/>
        </w:trPr>
        <w:tc>
          <w:tcPr>
            <w:tcW w:w="6471" w:type="dxa"/>
          </w:tcPr>
          <w:p>
            <w:pPr>
              <w:pStyle w:val="TableParagraph"/>
              <w:rPr>
                <w:sz w:val="14"/>
              </w:rPr>
            </w:pPr>
          </w:p>
        </w:tc>
        <w:tc>
          <w:tcPr>
            <w:tcW w:w="973" w:type="dxa"/>
          </w:tcPr>
          <w:p>
            <w:pPr>
              <w:pStyle w:val="TableParagraph"/>
              <w:rPr>
                <w:sz w:val="14"/>
              </w:rPr>
            </w:pPr>
          </w:p>
        </w:tc>
        <w:tc>
          <w:tcPr>
            <w:tcW w:w="572" w:type="dxa"/>
          </w:tcPr>
          <w:p>
            <w:pPr>
              <w:pStyle w:val="TableParagraph"/>
              <w:rPr>
                <w:sz w:val="14"/>
              </w:rPr>
            </w:pPr>
          </w:p>
        </w:tc>
        <w:tc>
          <w:tcPr>
            <w:tcW w:w="1839" w:type="dxa"/>
          </w:tcPr>
          <w:p>
            <w:pPr>
              <w:pStyle w:val="TableParagraph"/>
              <w:rPr>
                <w:sz w:val="14"/>
              </w:rPr>
            </w:pPr>
          </w:p>
        </w:tc>
        <w:tc>
          <w:tcPr>
            <w:tcW w:w="1028" w:type="dxa"/>
          </w:tcPr>
          <w:p>
            <w:pPr>
              <w:pStyle w:val="TableParagraph"/>
              <w:rPr>
                <w:sz w:val="14"/>
              </w:rPr>
            </w:pPr>
          </w:p>
        </w:tc>
        <w:tc>
          <w:tcPr>
            <w:tcW w:w="632" w:type="dxa"/>
          </w:tcPr>
          <w:p>
            <w:pPr>
              <w:pStyle w:val="TableParagraph"/>
              <w:rPr>
                <w:sz w:val="14"/>
              </w:rPr>
            </w:pPr>
          </w:p>
        </w:tc>
      </w:tr>
      <w:tr>
        <w:trPr>
          <w:trHeight w:val="203" w:hRule="atLeast"/>
        </w:trPr>
        <w:tc>
          <w:tcPr>
            <w:tcW w:w="6471" w:type="dxa"/>
            <w:shd w:val="clear" w:color="auto" w:fill="CCEDFF"/>
          </w:tcPr>
          <w:p>
            <w:pPr>
              <w:pStyle w:val="TableParagraph"/>
              <w:spacing w:line="180" w:lineRule="exact" w:before="3"/>
              <w:rPr>
                <w:sz w:val="16"/>
              </w:rPr>
            </w:pPr>
            <w:r>
              <w:rPr>
                <w:sz w:val="16"/>
              </w:rPr>
              <w:t>Telecommunication</w:t>
            </w:r>
            <w:r>
              <w:rPr>
                <w:spacing w:val="39"/>
                <w:sz w:val="16"/>
              </w:rPr>
              <w:t> </w:t>
            </w:r>
            <w:r>
              <w:rPr>
                <w:spacing w:val="-2"/>
                <w:sz w:val="16"/>
              </w:rPr>
              <w:t>products</w:t>
            </w:r>
          </w:p>
        </w:tc>
        <w:tc>
          <w:tcPr>
            <w:tcW w:w="973" w:type="dxa"/>
            <w:shd w:val="clear" w:color="auto" w:fill="CCEDFF"/>
          </w:tcPr>
          <w:p>
            <w:pPr>
              <w:pStyle w:val="TableParagraph"/>
              <w:rPr>
                <w:sz w:val="14"/>
              </w:rPr>
            </w:pPr>
          </w:p>
        </w:tc>
        <w:tc>
          <w:tcPr>
            <w:tcW w:w="572" w:type="dxa"/>
            <w:shd w:val="clear" w:color="auto" w:fill="CCEDFF"/>
          </w:tcPr>
          <w:p>
            <w:pPr>
              <w:pStyle w:val="TableParagraph"/>
              <w:spacing w:line="180" w:lineRule="exact" w:before="3"/>
              <w:ind w:right="52"/>
              <w:jc w:val="right"/>
              <w:rPr>
                <w:b/>
                <w:sz w:val="16"/>
              </w:rPr>
            </w:pPr>
            <w:r>
              <w:rPr>
                <w:b/>
                <w:spacing w:val="-4"/>
                <w:w w:val="105"/>
                <w:sz w:val="16"/>
              </w:rPr>
              <w:t>4,349</w:t>
            </w:r>
          </w:p>
        </w:tc>
        <w:tc>
          <w:tcPr>
            <w:tcW w:w="1839" w:type="dxa"/>
            <w:shd w:val="clear" w:color="auto" w:fill="CCEDFF"/>
          </w:tcPr>
          <w:p>
            <w:pPr>
              <w:pStyle w:val="TableParagraph"/>
              <w:spacing w:line="180" w:lineRule="exact" w:before="3"/>
              <w:ind w:right="171"/>
              <w:jc w:val="right"/>
              <w:rPr>
                <w:sz w:val="16"/>
              </w:rPr>
            </w:pPr>
            <w:r>
              <w:rPr>
                <w:spacing w:val="-4"/>
                <w:w w:val="105"/>
                <w:sz w:val="16"/>
              </w:rPr>
              <w:t>3,563</w:t>
            </w:r>
          </w:p>
        </w:tc>
        <w:tc>
          <w:tcPr>
            <w:tcW w:w="1028" w:type="dxa"/>
            <w:shd w:val="clear" w:color="auto" w:fill="CCEDFF"/>
          </w:tcPr>
          <w:p>
            <w:pPr>
              <w:pStyle w:val="TableParagraph"/>
              <w:rPr>
                <w:sz w:val="14"/>
              </w:rPr>
            </w:pPr>
          </w:p>
        </w:tc>
        <w:tc>
          <w:tcPr>
            <w:tcW w:w="632" w:type="dxa"/>
            <w:shd w:val="clear" w:color="auto" w:fill="CCEDFF"/>
          </w:tcPr>
          <w:p>
            <w:pPr>
              <w:pStyle w:val="TableParagraph"/>
              <w:spacing w:line="180" w:lineRule="exact" w:before="3"/>
              <w:ind w:right="112"/>
              <w:jc w:val="right"/>
              <w:rPr>
                <w:sz w:val="16"/>
              </w:rPr>
            </w:pPr>
            <w:r>
              <w:rPr>
                <w:spacing w:val="-4"/>
                <w:w w:val="105"/>
                <w:sz w:val="16"/>
              </w:rPr>
              <w:t>4,064</w:t>
            </w:r>
          </w:p>
        </w:tc>
      </w:tr>
      <w:tr>
        <w:trPr>
          <w:trHeight w:val="203" w:hRule="atLeast"/>
        </w:trPr>
        <w:tc>
          <w:tcPr>
            <w:tcW w:w="6471" w:type="dxa"/>
          </w:tcPr>
          <w:p>
            <w:pPr>
              <w:pStyle w:val="TableParagraph"/>
              <w:rPr>
                <w:sz w:val="14"/>
              </w:rPr>
            </w:pPr>
          </w:p>
        </w:tc>
        <w:tc>
          <w:tcPr>
            <w:tcW w:w="973" w:type="dxa"/>
          </w:tcPr>
          <w:p>
            <w:pPr>
              <w:pStyle w:val="TableParagraph"/>
              <w:rPr>
                <w:sz w:val="14"/>
              </w:rPr>
            </w:pPr>
          </w:p>
        </w:tc>
        <w:tc>
          <w:tcPr>
            <w:tcW w:w="572" w:type="dxa"/>
          </w:tcPr>
          <w:p>
            <w:pPr>
              <w:pStyle w:val="TableParagraph"/>
              <w:rPr>
                <w:sz w:val="14"/>
              </w:rPr>
            </w:pPr>
          </w:p>
        </w:tc>
        <w:tc>
          <w:tcPr>
            <w:tcW w:w="1839" w:type="dxa"/>
          </w:tcPr>
          <w:p>
            <w:pPr>
              <w:pStyle w:val="TableParagraph"/>
              <w:rPr>
                <w:sz w:val="14"/>
              </w:rPr>
            </w:pPr>
          </w:p>
        </w:tc>
        <w:tc>
          <w:tcPr>
            <w:tcW w:w="1028" w:type="dxa"/>
          </w:tcPr>
          <w:p>
            <w:pPr>
              <w:pStyle w:val="TableParagraph"/>
              <w:rPr>
                <w:sz w:val="14"/>
              </w:rPr>
            </w:pPr>
          </w:p>
        </w:tc>
        <w:tc>
          <w:tcPr>
            <w:tcW w:w="632" w:type="dxa"/>
          </w:tcPr>
          <w:p>
            <w:pPr>
              <w:pStyle w:val="TableParagraph"/>
              <w:rPr>
                <w:sz w:val="14"/>
              </w:rPr>
            </w:pPr>
          </w:p>
        </w:tc>
      </w:tr>
      <w:tr>
        <w:trPr>
          <w:trHeight w:val="203" w:hRule="atLeast"/>
        </w:trPr>
        <w:tc>
          <w:tcPr>
            <w:tcW w:w="6471" w:type="dxa"/>
            <w:shd w:val="clear" w:color="auto" w:fill="CCEDFF"/>
          </w:tcPr>
          <w:p>
            <w:pPr>
              <w:pStyle w:val="TableParagraph"/>
              <w:spacing w:line="180" w:lineRule="exact" w:before="3"/>
              <w:rPr>
                <w:sz w:val="16"/>
              </w:rPr>
            </w:pPr>
            <w:r>
              <w:rPr>
                <w:sz w:val="16"/>
              </w:rPr>
              <w:t>Specialty</w:t>
            </w:r>
            <w:r>
              <w:rPr>
                <w:spacing w:val="12"/>
                <w:sz w:val="16"/>
              </w:rPr>
              <w:t> </w:t>
            </w:r>
            <w:r>
              <w:rPr>
                <w:sz w:val="16"/>
              </w:rPr>
              <w:t>glass</w:t>
            </w:r>
            <w:r>
              <w:rPr>
                <w:spacing w:val="13"/>
                <w:sz w:val="16"/>
              </w:rPr>
              <w:t> </w:t>
            </w:r>
            <w:r>
              <w:rPr>
                <w:spacing w:val="-2"/>
                <w:sz w:val="16"/>
              </w:rPr>
              <w:t>products</w:t>
            </w:r>
          </w:p>
        </w:tc>
        <w:tc>
          <w:tcPr>
            <w:tcW w:w="973" w:type="dxa"/>
            <w:shd w:val="clear" w:color="auto" w:fill="CCEDFF"/>
          </w:tcPr>
          <w:p>
            <w:pPr>
              <w:pStyle w:val="TableParagraph"/>
              <w:rPr>
                <w:sz w:val="14"/>
              </w:rPr>
            </w:pPr>
          </w:p>
        </w:tc>
        <w:tc>
          <w:tcPr>
            <w:tcW w:w="572" w:type="dxa"/>
            <w:shd w:val="clear" w:color="auto" w:fill="CCEDFF"/>
          </w:tcPr>
          <w:p>
            <w:pPr>
              <w:pStyle w:val="TableParagraph"/>
              <w:spacing w:line="180" w:lineRule="exact" w:before="3"/>
              <w:ind w:right="52"/>
              <w:jc w:val="right"/>
              <w:rPr>
                <w:b/>
                <w:sz w:val="16"/>
              </w:rPr>
            </w:pPr>
            <w:r>
              <w:rPr>
                <w:b/>
                <w:spacing w:val="-4"/>
                <w:w w:val="105"/>
                <w:sz w:val="16"/>
              </w:rPr>
              <w:t>2,008</w:t>
            </w:r>
          </w:p>
        </w:tc>
        <w:tc>
          <w:tcPr>
            <w:tcW w:w="1839" w:type="dxa"/>
            <w:shd w:val="clear" w:color="auto" w:fill="CCEDFF"/>
          </w:tcPr>
          <w:p>
            <w:pPr>
              <w:pStyle w:val="TableParagraph"/>
              <w:spacing w:line="180" w:lineRule="exact" w:before="3"/>
              <w:ind w:right="171"/>
              <w:jc w:val="right"/>
              <w:rPr>
                <w:sz w:val="16"/>
              </w:rPr>
            </w:pPr>
            <w:r>
              <w:rPr>
                <w:spacing w:val="-4"/>
                <w:w w:val="105"/>
                <w:sz w:val="16"/>
              </w:rPr>
              <w:t>1,884</w:t>
            </w:r>
          </w:p>
        </w:tc>
        <w:tc>
          <w:tcPr>
            <w:tcW w:w="1028" w:type="dxa"/>
            <w:shd w:val="clear" w:color="auto" w:fill="CCEDFF"/>
          </w:tcPr>
          <w:p>
            <w:pPr>
              <w:pStyle w:val="TableParagraph"/>
              <w:rPr>
                <w:sz w:val="14"/>
              </w:rPr>
            </w:pPr>
          </w:p>
        </w:tc>
        <w:tc>
          <w:tcPr>
            <w:tcW w:w="632" w:type="dxa"/>
            <w:shd w:val="clear" w:color="auto" w:fill="CCEDFF"/>
          </w:tcPr>
          <w:p>
            <w:pPr>
              <w:pStyle w:val="TableParagraph"/>
              <w:spacing w:line="180" w:lineRule="exact" w:before="3"/>
              <w:ind w:right="112"/>
              <w:jc w:val="right"/>
              <w:rPr>
                <w:sz w:val="16"/>
              </w:rPr>
            </w:pPr>
            <w:r>
              <w:rPr>
                <w:spacing w:val="-4"/>
                <w:w w:val="105"/>
                <w:sz w:val="16"/>
              </w:rPr>
              <w:t>1,594</w:t>
            </w:r>
          </w:p>
        </w:tc>
      </w:tr>
      <w:tr>
        <w:trPr>
          <w:trHeight w:val="203" w:hRule="atLeast"/>
        </w:trPr>
        <w:tc>
          <w:tcPr>
            <w:tcW w:w="6471" w:type="dxa"/>
          </w:tcPr>
          <w:p>
            <w:pPr>
              <w:pStyle w:val="TableParagraph"/>
              <w:rPr>
                <w:sz w:val="14"/>
              </w:rPr>
            </w:pPr>
          </w:p>
        </w:tc>
        <w:tc>
          <w:tcPr>
            <w:tcW w:w="973" w:type="dxa"/>
          </w:tcPr>
          <w:p>
            <w:pPr>
              <w:pStyle w:val="TableParagraph"/>
              <w:rPr>
                <w:sz w:val="14"/>
              </w:rPr>
            </w:pPr>
          </w:p>
        </w:tc>
        <w:tc>
          <w:tcPr>
            <w:tcW w:w="572" w:type="dxa"/>
          </w:tcPr>
          <w:p>
            <w:pPr>
              <w:pStyle w:val="TableParagraph"/>
              <w:rPr>
                <w:sz w:val="14"/>
              </w:rPr>
            </w:pPr>
          </w:p>
        </w:tc>
        <w:tc>
          <w:tcPr>
            <w:tcW w:w="1839" w:type="dxa"/>
          </w:tcPr>
          <w:p>
            <w:pPr>
              <w:pStyle w:val="TableParagraph"/>
              <w:rPr>
                <w:sz w:val="14"/>
              </w:rPr>
            </w:pPr>
          </w:p>
        </w:tc>
        <w:tc>
          <w:tcPr>
            <w:tcW w:w="1028" w:type="dxa"/>
          </w:tcPr>
          <w:p>
            <w:pPr>
              <w:pStyle w:val="TableParagraph"/>
              <w:rPr>
                <w:sz w:val="14"/>
              </w:rPr>
            </w:pPr>
          </w:p>
        </w:tc>
        <w:tc>
          <w:tcPr>
            <w:tcW w:w="632" w:type="dxa"/>
          </w:tcPr>
          <w:p>
            <w:pPr>
              <w:pStyle w:val="TableParagraph"/>
              <w:rPr>
                <w:sz w:val="14"/>
              </w:rPr>
            </w:pPr>
          </w:p>
        </w:tc>
      </w:tr>
      <w:tr>
        <w:trPr>
          <w:trHeight w:val="203" w:hRule="atLeast"/>
        </w:trPr>
        <w:tc>
          <w:tcPr>
            <w:tcW w:w="6471" w:type="dxa"/>
            <w:shd w:val="clear" w:color="auto" w:fill="CCEDFF"/>
          </w:tcPr>
          <w:p>
            <w:pPr>
              <w:pStyle w:val="TableParagraph"/>
              <w:spacing w:line="180" w:lineRule="exact" w:before="3"/>
              <w:rPr>
                <w:sz w:val="16"/>
              </w:rPr>
            </w:pPr>
            <w:r>
              <w:rPr>
                <w:sz w:val="16"/>
              </w:rPr>
              <w:t>Environmental</w:t>
            </w:r>
            <w:r>
              <w:rPr>
                <w:spacing w:val="16"/>
                <w:sz w:val="16"/>
              </w:rPr>
              <w:t> </w:t>
            </w:r>
            <w:r>
              <w:rPr>
                <w:sz w:val="16"/>
              </w:rPr>
              <w:t>substrate</w:t>
            </w:r>
            <w:r>
              <w:rPr>
                <w:spacing w:val="19"/>
                <w:sz w:val="16"/>
              </w:rPr>
              <w:t> </w:t>
            </w:r>
            <w:r>
              <w:rPr>
                <w:sz w:val="16"/>
              </w:rPr>
              <w:t>and</w:t>
            </w:r>
            <w:r>
              <w:rPr>
                <w:spacing w:val="16"/>
                <w:sz w:val="16"/>
              </w:rPr>
              <w:t> </w:t>
            </w:r>
            <w:r>
              <w:rPr>
                <w:sz w:val="16"/>
              </w:rPr>
              <w:t>filter</w:t>
            </w:r>
            <w:r>
              <w:rPr>
                <w:spacing w:val="16"/>
                <w:sz w:val="16"/>
              </w:rPr>
              <w:t> </w:t>
            </w:r>
            <w:r>
              <w:rPr>
                <w:spacing w:val="-2"/>
                <w:sz w:val="16"/>
              </w:rPr>
              <w:t>products</w:t>
            </w:r>
          </w:p>
        </w:tc>
        <w:tc>
          <w:tcPr>
            <w:tcW w:w="973" w:type="dxa"/>
            <w:shd w:val="clear" w:color="auto" w:fill="CCEDFF"/>
          </w:tcPr>
          <w:p>
            <w:pPr>
              <w:pStyle w:val="TableParagraph"/>
              <w:rPr>
                <w:sz w:val="14"/>
              </w:rPr>
            </w:pPr>
          </w:p>
        </w:tc>
        <w:tc>
          <w:tcPr>
            <w:tcW w:w="572" w:type="dxa"/>
            <w:shd w:val="clear" w:color="auto" w:fill="CCEDFF"/>
          </w:tcPr>
          <w:p>
            <w:pPr>
              <w:pStyle w:val="TableParagraph"/>
              <w:spacing w:line="180" w:lineRule="exact" w:before="3"/>
              <w:ind w:right="52"/>
              <w:jc w:val="right"/>
              <w:rPr>
                <w:b/>
                <w:sz w:val="16"/>
              </w:rPr>
            </w:pPr>
            <w:r>
              <w:rPr>
                <w:b/>
                <w:spacing w:val="-4"/>
                <w:w w:val="105"/>
                <w:sz w:val="16"/>
              </w:rPr>
              <w:t>1,584</w:t>
            </w:r>
          </w:p>
        </w:tc>
        <w:tc>
          <w:tcPr>
            <w:tcW w:w="1839" w:type="dxa"/>
            <w:shd w:val="clear" w:color="auto" w:fill="CCEDFF"/>
          </w:tcPr>
          <w:p>
            <w:pPr>
              <w:pStyle w:val="TableParagraph"/>
              <w:spacing w:line="180" w:lineRule="exact" w:before="3"/>
              <w:ind w:right="171"/>
              <w:jc w:val="right"/>
              <w:rPr>
                <w:sz w:val="16"/>
              </w:rPr>
            </w:pPr>
            <w:r>
              <w:rPr>
                <w:spacing w:val="-4"/>
                <w:w w:val="105"/>
                <w:sz w:val="16"/>
              </w:rPr>
              <w:t>1,333</w:t>
            </w:r>
          </w:p>
        </w:tc>
        <w:tc>
          <w:tcPr>
            <w:tcW w:w="1028" w:type="dxa"/>
            <w:shd w:val="clear" w:color="auto" w:fill="CCEDFF"/>
          </w:tcPr>
          <w:p>
            <w:pPr>
              <w:pStyle w:val="TableParagraph"/>
              <w:rPr>
                <w:sz w:val="14"/>
              </w:rPr>
            </w:pPr>
          </w:p>
        </w:tc>
        <w:tc>
          <w:tcPr>
            <w:tcW w:w="632" w:type="dxa"/>
            <w:shd w:val="clear" w:color="auto" w:fill="CCEDFF"/>
          </w:tcPr>
          <w:p>
            <w:pPr>
              <w:pStyle w:val="TableParagraph"/>
              <w:spacing w:line="180" w:lineRule="exact" w:before="3"/>
              <w:ind w:right="112"/>
              <w:jc w:val="right"/>
              <w:rPr>
                <w:sz w:val="16"/>
              </w:rPr>
            </w:pPr>
            <w:r>
              <w:rPr>
                <w:spacing w:val="-4"/>
                <w:w w:val="105"/>
                <w:sz w:val="16"/>
              </w:rPr>
              <w:t>1,440</w:t>
            </w:r>
          </w:p>
        </w:tc>
      </w:tr>
      <w:tr>
        <w:trPr>
          <w:trHeight w:val="203" w:hRule="atLeast"/>
        </w:trPr>
        <w:tc>
          <w:tcPr>
            <w:tcW w:w="6471" w:type="dxa"/>
          </w:tcPr>
          <w:p>
            <w:pPr>
              <w:pStyle w:val="TableParagraph"/>
              <w:rPr>
                <w:sz w:val="14"/>
              </w:rPr>
            </w:pPr>
          </w:p>
        </w:tc>
        <w:tc>
          <w:tcPr>
            <w:tcW w:w="973" w:type="dxa"/>
          </w:tcPr>
          <w:p>
            <w:pPr>
              <w:pStyle w:val="TableParagraph"/>
              <w:rPr>
                <w:sz w:val="14"/>
              </w:rPr>
            </w:pPr>
          </w:p>
        </w:tc>
        <w:tc>
          <w:tcPr>
            <w:tcW w:w="572" w:type="dxa"/>
          </w:tcPr>
          <w:p>
            <w:pPr>
              <w:pStyle w:val="TableParagraph"/>
              <w:rPr>
                <w:sz w:val="14"/>
              </w:rPr>
            </w:pPr>
          </w:p>
        </w:tc>
        <w:tc>
          <w:tcPr>
            <w:tcW w:w="1839" w:type="dxa"/>
          </w:tcPr>
          <w:p>
            <w:pPr>
              <w:pStyle w:val="TableParagraph"/>
              <w:rPr>
                <w:sz w:val="14"/>
              </w:rPr>
            </w:pPr>
          </w:p>
        </w:tc>
        <w:tc>
          <w:tcPr>
            <w:tcW w:w="1028" w:type="dxa"/>
          </w:tcPr>
          <w:p>
            <w:pPr>
              <w:pStyle w:val="TableParagraph"/>
              <w:rPr>
                <w:sz w:val="14"/>
              </w:rPr>
            </w:pPr>
          </w:p>
        </w:tc>
        <w:tc>
          <w:tcPr>
            <w:tcW w:w="632" w:type="dxa"/>
          </w:tcPr>
          <w:p>
            <w:pPr>
              <w:pStyle w:val="TableParagraph"/>
              <w:rPr>
                <w:sz w:val="14"/>
              </w:rPr>
            </w:pPr>
          </w:p>
        </w:tc>
      </w:tr>
      <w:tr>
        <w:trPr>
          <w:trHeight w:val="203" w:hRule="atLeast"/>
        </w:trPr>
        <w:tc>
          <w:tcPr>
            <w:tcW w:w="6471" w:type="dxa"/>
            <w:shd w:val="clear" w:color="auto" w:fill="CCEDFF"/>
          </w:tcPr>
          <w:p>
            <w:pPr>
              <w:pStyle w:val="TableParagraph"/>
              <w:spacing w:line="180" w:lineRule="exact" w:before="3"/>
              <w:rPr>
                <w:sz w:val="16"/>
              </w:rPr>
            </w:pPr>
            <w:r>
              <w:rPr>
                <w:w w:val="105"/>
                <w:sz w:val="16"/>
              </w:rPr>
              <w:t>Life</w:t>
            </w:r>
            <w:r>
              <w:rPr>
                <w:spacing w:val="-9"/>
                <w:w w:val="105"/>
                <w:sz w:val="16"/>
              </w:rPr>
              <w:t> </w:t>
            </w:r>
            <w:r>
              <w:rPr>
                <w:w w:val="105"/>
                <w:sz w:val="16"/>
              </w:rPr>
              <w:t>science</w:t>
            </w:r>
            <w:r>
              <w:rPr>
                <w:spacing w:val="-8"/>
                <w:w w:val="105"/>
                <w:sz w:val="16"/>
              </w:rPr>
              <w:t> </w:t>
            </w:r>
            <w:r>
              <w:rPr>
                <w:spacing w:val="-2"/>
                <w:w w:val="105"/>
                <w:sz w:val="16"/>
              </w:rPr>
              <w:t>products</w:t>
            </w:r>
          </w:p>
        </w:tc>
        <w:tc>
          <w:tcPr>
            <w:tcW w:w="973" w:type="dxa"/>
            <w:shd w:val="clear" w:color="auto" w:fill="CCEDFF"/>
          </w:tcPr>
          <w:p>
            <w:pPr>
              <w:pStyle w:val="TableParagraph"/>
              <w:rPr>
                <w:sz w:val="14"/>
              </w:rPr>
            </w:pPr>
          </w:p>
        </w:tc>
        <w:tc>
          <w:tcPr>
            <w:tcW w:w="572" w:type="dxa"/>
            <w:shd w:val="clear" w:color="auto" w:fill="CCEDFF"/>
          </w:tcPr>
          <w:p>
            <w:pPr>
              <w:pStyle w:val="TableParagraph"/>
              <w:spacing w:line="180" w:lineRule="exact" w:before="3"/>
              <w:ind w:right="52"/>
              <w:jc w:val="right"/>
              <w:rPr>
                <w:b/>
                <w:sz w:val="16"/>
              </w:rPr>
            </w:pPr>
            <w:r>
              <w:rPr>
                <w:b/>
                <w:spacing w:val="-4"/>
                <w:w w:val="105"/>
                <w:sz w:val="16"/>
              </w:rPr>
              <w:t>1,232</w:t>
            </w:r>
          </w:p>
        </w:tc>
        <w:tc>
          <w:tcPr>
            <w:tcW w:w="1839" w:type="dxa"/>
            <w:shd w:val="clear" w:color="auto" w:fill="CCEDFF"/>
          </w:tcPr>
          <w:p>
            <w:pPr>
              <w:pStyle w:val="TableParagraph"/>
              <w:spacing w:line="180" w:lineRule="exact" w:before="3"/>
              <w:ind w:right="171"/>
              <w:jc w:val="right"/>
              <w:rPr>
                <w:sz w:val="16"/>
              </w:rPr>
            </w:pPr>
            <w:r>
              <w:rPr>
                <w:spacing w:val="-5"/>
                <w:w w:val="105"/>
                <w:sz w:val="16"/>
              </w:rPr>
              <w:t>981</w:t>
            </w:r>
          </w:p>
        </w:tc>
        <w:tc>
          <w:tcPr>
            <w:tcW w:w="1028" w:type="dxa"/>
            <w:shd w:val="clear" w:color="auto" w:fill="CCEDFF"/>
          </w:tcPr>
          <w:p>
            <w:pPr>
              <w:pStyle w:val="TableParagraph"/>
              <w:rPr>
                <w:sz w:val="14"/>
              </w:rPr>
            </w:pPr>
          </w:p>
        </w:tc>
        <w:tc>
          <w:tcPr>
            <w:tcW w:w="632" w:type="dxa"/>
            <w:shd w:val="clear" w:color="auto" w:fill="CCEDFF"/>
          </w:tcPr>
          <w:p>
            <w:pPr>
              <w:pStyle w:val="TableParagraph"/>
              <w:spacing w:line="180" w:lineRule="exact" w:before="3"/>
              <w:ind w:right="112"/>
              <w:jc w:val="right"/>
              <w:rPr>
                <w:sz w:val="16"/>
              </w:rPr>
            </w:pPr>
            <w:r>
              <w:rPr>
                <w:spacing w:val="-5"/>
                <w:w w:val="105"/>
                <w:sz w:val="16"/>
              </w:rPr>
              <w:t>995</w:t>
            </w:r>
          </w:p>
        </w:tc>
      </w:tr>
      <w:tr>
        <w:trPr>
          <w:trHeight w:val="203" w:hRule="atLeast"/>
        </w:trPr>
        <w:tc>
          <w:tcPr>
            <w:tcW w:w="6471" w:type="dxa"/>
          </w:tcPr>
          <w:p>
            <w:pPr>
              <w:pStyle w:val="TableParagraph"/>
              <w:rPr>
                <w:sz w:val="14"/>
              </w:rPr>
            </w:pPr>
          </w:p>
        </w:tc>
        <w:tc>
          <w:tcPr>
            <w:tcW w:w="973" w:type="dxa"/>
          </w:tcPr>
          <w:p>
            <w:pPr>
              <w:pStyle w:val="TableParagraph"/>
              <w:rPr>
                <w:sz w:val="14"/>
              </w:rPr>
            </w:pPr>
          </w:p>
        </w:tc>
        <w:tc>
          <w:tcPr>
            <w:tcW w:w="572" w:type="dxa"/>
          </w:tcPr>
          <w:p>
            <w:pPr>
              <w:pStyle w:val="TableParagraph"/>
              <w:rPr>
                <w:sz w:val="14"/>
              </w:rPr>
            </w:pPr>
          </w:p>
        </w:tc>
        <w:tc>
          <w:tcPr>
            <w:tcW w:w="1839" w:type="dxa"/>
          </w:tcPr>
          <w:p>
            <w:pPr>
              <w:pStyle w:val="TableParagraph"/>
              <w:rPr>
                <w:sz w:val="14"/>
              </w:rPr>
            </w:pPr>
          </w:p>
        </w:tc>
        <w:tc>
          <w:tcPr>
            <w:tcW w:w="1028" w:type="dxa"/>
          </w:tcPr>
          <w:p>
            <w:pPr>
              <w:pStyle w:val="TableParagraph"/>
              <w:rPr>
                <w:sz w:val="14"/>
              </w:rPr>
            </w:pPr>
          </w:p>
        </w:tc>
        <w:tc>
          <w:tcPr>
            <w:tcW w:w="632" w:type="dxa"/>
          </w:tcPr>
          <w:p>
            <w:pPr>
              <w:pStyle w:val="TableParagraph"/>
              <w:rPr>
                <w:sz w:val="14"/>
              </w:rPr>
            </w:pPr>
          </w:p>
        </w:tc>
      </w:tr>
      <w:tr>
        <w:trPr>
          <w:trHeight w:val="202" w:hRule="atLeast"/>
        </w:trPr>
        <w:tc>
          <w:tcPr>
            <w:tcW w:w="6471" w:type="dxa"/>
            <w:tcBorders>
              <w:bottom w:val="single" w:sz="6" w:space="0" w:color="000000"/>
            </w:tcBorders>
            <w:shd w:val="clear" w:color="auto" w:fill="CCEDFF"/>
          </w:tcPr>
          <w:p>
            <w:pPr>
              <w:pStyle w:val="TableParagraph"/>
              <w:spacing w:line="183" w:lineRule="exact"/>
              <w:rPr>
                <w:sz w:val="14"/>
              </w:rPr>
            </w:pPr>
            <w:r>
              <w:rPr>
                <w:sz w:val="16"/>
              </w:rPr>
              <w:t>All</w:t>
            </w:r>
            <w:r>
              <w:rPr>
                <w:spacing w:val="6"/>
                <w:sz w:val="16"/>
              </w:rPr>
              <w:t> </w:t>
            </w:r>
            <w:r>
              <w:rPr>
                <w:sz w:val="16"/>
              </w:rPr>
              <w:t>Other</w:t>
            </w:r>
            <w:r>
              <w:rPr>
                <w:spacing w:val="9"/>
                <w:sz w:val="16"/>
              </w:rPr>
              <w:t> </w:t>
            </w:r>
            <w:r>
              <w:rPr>
                <w:spacing w:val="-5"/>
                <w:position w:val="3"/>
                <w:sz w:val="14"/>
              </w:rPr>
              <w:t>(1)</w:t>
            </w:r>
          </w:p>
        </w:tc>
        <w:tc>
          <w:tcPr>
            <w:tcW w:w="973" w:type="dxa"/>
            <w:tcBorders>
              <w:bottom w:val="single" w:sz="6" w:space="0" w:color="000000"/>
            </w:tcBorders>
            <w:shd w:val="clear" w:color="auto" w:fill="CCEDFF"/>
          </w:tcPr>
          <w:p>
            <w:pPr>
              <w:pStyle w:val="TableParagraph"/>
              <w:rPr>
                <w:sz w:val="14"/>
              </w:rPr>
            </w:pPr>
          </w:p>
        </w:tc>
        <w:tc>
          <w:tcPr>
            <w:tcW w:w="572" w:type="dxa"/>
            <w:tcBorders>
              <w:bottom w:val="single" w:sz="6" w:space="0" w:color="000000"/>
            </w:tcBorders>
            <w:shd w:val="clear" w:color="auto" w:fill="CCEDFF"/>
          </w:tcPr>
          <w:p>
            <w:pPr>
              <w:pStyle w:val="TableParagraph"/>
              <w:spacing w:line="179" w:lineRule="exact" w:before="3"/>
              <w:ind w:right="52"/>
              <w:jc w:val="right"/>
              <w:rPr>
                <w:b/>
                <w:sz w:val="16"/>
              </w:rPr>
            </w:pPr>
            <w:r>
              <w:rPr>
                <w:b/>
                <w:spacing w:val="-4"/>
                <w:w w:val="105"/>
                <w:sz w:val="16"/>
              </w:rPr>
              <w:t>1,243</w:t>
            </w:r>
          </w:p>
        </w:tc>
        <w:tc>
          <w:tcPr>
            <w:tcW w:w="1839" w:type="dxa"/>
            <w:tcBorders>
              <w:bottom w:val="single" w:sz="6" w:space="0" w:color="000000"/>
            </w:tcBorders>
            <w:shd w:val="clear" w:color="auto" w:fill="CCEDFF"/>
          </w:tcPr>
          <w:p>
            <w:pPr>
              <w:pStyle w:val="TableParagraph"/>
              <w:spacing w:line="179" w:lineRule="exact" w:before="3"/>
              <w:ind w:right="171"/>
              <w:jc w:val="right"/>
              <w:rPr>
                <w:sz w:val="16"/>
              </w:rPr>
            </w:pPr>
            <w:r>
              <w:rPr>
                <w:spacing w:val="-5"/>
                <w:w w:val="105"/>
                <w:sz w:val="16"/>
              </w:rPr>
              <w:t>465</w:t>
            </w:r>
          </w:p>
        </w:tc>
        <w:tc>
          <w:tcPr>
            <w:tcW w:w="1028" w:type="dxa"/>
            <w:tcBorders>
              <w:bottom w:val="single" w:sz="6" w:space="0" w:color="000000"/>
            </w:tcBorders>
            <w:shd w:val="clear" w:color="auto" w:fill="CCEDFF"/>
          </w:tcPr>
          <w:p>
            <w:pPr>
              <w:pStyle w:val="TableParagraph"/>
              <w:rPr>
                <w:sz w:val="14"/>
              </w:rPr>
            </w:pPr>
          </w:p>
        </w:tc>
        <w:tc>
          <w:tcPr>
            <w:tcW w:w="632" w:type="dxa"/>
            <w:tcBorders>
              <w:bottom w:val="single" w:sz="6" w:space="0" w:color="000000"/>
            </w:tcBorders>
            <w:shd w:val="clear" w:color="auto" w:fill="CCEDFF"/>
          </w:tcPr>
          <w:p>
            <w:pPr>
              <w:pStyle w:val="TableParagraph"/>
              <w:spacing w:line="179" w:lineRule="exact" w:before="3"/>
              <w:ind w:right="112"/>
              <w:jc w:val="right"/>
              <w:rPr>
                <w:sz w:val="16"/>
              </w:rPr>
            </w:pPr>
            <w:r>
              <w:rPr>
                <w:spacing w:val="-5"/>
                <w:w w:val="105"/>
                <w:sz w:val="16"/>
              </w:rPr>
              <w:t>230</w:t>
            </w:r>
          </w:p>
        </w:tc>
      </w:tr>
      <w:tr>
        <w:trPr>
          <w:trHeight w:val="202" w:hRule="atLeast"/>
        </w:trPr>
        <w:tc>
          <w:tcPr>
            <w:tcW w:w="6471" w:type="dxa"/>
            <w:tcBorders>
              <w:top w:val="single" w:sz="6" w:space="0" w:color="000000"/>
            </w:tcBorders>
          </w:tcPr>
          <w:p>
            <w:pPr>
              <w:pStyle w:val="TableParagraph"/>
              <w:spacing w:line="180" w:lineRule="exact" w:before="2"/>
              <w:rPr>
                <w:sz w:val="16"/>
              </w:rPr>
            </w:pPr>
            <w:r>
              <w:rPr>
                <w:w w:val="105"/>
                <w:sz w:val="16"/>
              </w:rPr>
              <w:t>Total</w:t>
            </w:r>
            <w:r>
              <w:rPr>
                <w:spacing w:val="-8"/>
                <w:w w:val="105"/>
                <w:sz w:val="16"/>
              </w:rPr>
              <w:t> </w:t>
            </w:r>
            <w:r>
              <w:rPr>
                <w:spacing w:val="-2"/>
                <w:w w:val="105"/>
                <w:sz w:val="16"/>
              </w:rPr>
              <w:t>Revenue</w:t>
            </w:r>
          </w:p>
        </w:tc>
        <w:tc>
          <w:tcPr>
            <w:tcW w:w="973" w:type="dxa"/>
            <w:tcBorders>
              <w:top w:val="single" w:sz="6" w:space="0" w:color="000000"/>
            </w:tcBorders>
          </w:tcPr>
          <w:p>
            <w:pPr>
              <w:pStyle w:val="TableParagraph"/>
              <w:spacing w:line="180" w:lineRule="exact" w:before="2"/>
              <w:rPr>
                <w:b/>
                <w:sz w:val="16"/>
              </w:rPr>
            </w:pPr>
            <w:r>
              <w:rPr>
                <w:b/>
                <w:spacing w:val="-10"/>
                <w:w w:val="105"/>
                <w:sz w:val="16"/>
              </w:rPr>
              <w:t>$</w:t>
            </w:r>
          </w:p>
        </w:tc>
        <w:tc>
          <w:tcPr>
            <w:tcW w:w="572" w:type="dxa"/>
            <w:tcBorders>
              <w:top w:val="single" w:sz="6" w:space="0" w:color="000000"/>
            </w:tcBorders>
          </w:tcPr>
          <w:p>
            <w:pPr>
              <w:pStyle w:val="TableParagraph"/>
              <w:spacing w:line="180" w:lineRule="exact" w:before="2"/>
              <w:ind w:right="52"/>
              <w:jc w:val="right"/>
              <w:rPr>
                <w:b/>
                <w:sz w:val="16"/>
              </w:rPr>
            </w:pPr>
            <w:r>
              <w:rPr>
                <w:b/>
                <w:spacing w:val="-2"/>
                <w:w w:val="105"/>
                <w:sz w:val="16"/>
              </w:rPr>
              <w:t>14,082</w:t>
            </w:r>
          </w:p>
        </w:tc>
        <w:tc>
          <w:tcPr>
            <w:tcW w:w="1839" w:type="dxa"/>
            <w:tcBorders>
              <w:top w:val="single" w:sz="6" w:space="0" w:color="000000"/>
            </w:tcBorders>
          </w:tcPr>
          <w:p>
            <w:pPr>
              <w:pStyle w:val="TableParagraph"/>
              <w:tabs>
                <w:tab w:pos="1209" w:val="left" w:leader="none"/>
              </w:tabs>
              <w:spacing w:line="180" w:lineRule="exact" w:before="2"/>
              <w:ind w:left="174"/>
              <w:rPr>
                <w:sz w:val="16"/>
              </w:rPr>
            </w:pPr>
            <w:r>
              <w:rPr>
                <w:spacing w:val="-10"/>
                <w:w w:val="105"/>
                <w:sz w:val="16"/>
              </w:rPr>
              <w:t>$</w:t>
            </w:r>
            <w:r>
              <w:rPr>
                <w:sz w:val="16"/>
              </w:rPr>
              <w:tab/>
            </w:r>
            <w:r>
              <w:rPr>
                <w:spacing w:val="-2"/>
                <w:w w:val="105"/>
                <w:sz w:val="16"/>
              </w:rPr>
              <w:t>11,303</w:t>
            </w:r>
          </w:p>
        </w:tc>
        <w:tc>
          <w:tcPr>
            <w:tcW w:w="1028" w:type="dxa"/>
            <w:tcBorders>
              <w:top w:val="single" w:sz="6" w:space="0" w:color="000000"/>
            </w:tcBorders>
          </w:tcPr>
          <w:p>
            <w:pPr>
              <w:pStyle w:val="TableParagraph"/>
              <w:spacing w:line="180" w:lineRule="exact" w:before="2"/>
              <w:ind w:left="55"/>
              <w:rPr>
                <w:sz w:val="16"/>
              </w:rPr>
            </w:pPr>
            <w:r>
              <w:rPr>
                <w:spacing w:val="-10"/>
                <w:w w:val="105"/>
                <w:sz w:val="16"/>
              </w:rPr>
              <w:t>$</w:t>
            </w:r>
          </w:p>
        </w:tc>
        <w:tc>
          <w:tcPr>
            <w:tcW w:w="632" w:type="dxa"/>
            <w:tcBorders>
              <w:top w:val="single" w:sz="6" w:space="0" w:color="000000"/>
            </w:tcBorders>
          </w:tcPr>
          <w:p>
            <w:pPr>
              <w:pStyle w:val="TableParagraph"/>
              <w:spacing w:line="180" w:lineRule="exact" w:before="2"/>
              <w:ind w:right="112"/>
              <w:jc w:val="right"/>
              <w:rPr>
                <w:sz w:val="16"/>
              </w:rPr>
            </w:pPr>
            <w:r>
              <w:rPr>
                <w:spacing w:val="-2"/>
                <w:w w:val="105"/>
                <w:sz w:val="16"/>
              </w:rPr>
              <w:t>11,503</w:t>
            </w:r>
          </w:p>
        </w:tc>
      </w:tr>
      <w:tr>
        <w:trPr>
          <w:trHeight w:val="203" w:hRule="atLeast"/>
        </w:trPr>
        <w:tc>
          <w:tcPr>
            <w:tcW w:w="6471" w:type="dxa"/>
            <w:shd w:val="clear" w:color="auto" w:fill="CCEDFF"/>
          </w:tcPr>
          <w:p>
            <w:pPr>
              <w:pStyle w:val="TableParagraph"/>
              <w:spacing w:line="184" w:lineRule="exact"/>
              <w:rPr>
                <w:sz w:val="14"/>
              </w:rPr>
            </w:pPr>
            <w:r>
              <w:rPr>
                <w:spacing w:val="-2"/>
                <w:w w:val="105"/>
                <w:sz w:val="16"/>
              </w:rPr>
              <w:t>Impact</w:t>
            </w:r>
            <w:r>
              <w:rPr>
                <w:spacing w:val="1"/>
                <w:w w:val="105"/>
                <w:sz w:val="16"/>
              </w:rPr>
              <w:t> </w:t>
            </w:r>
            <w:r>
              <w:rPr>
                <w:spacing w:val="-2"/>
                <w:w w:val="105"/>
                <w:sz w:val="16"/>
              </w:rPr>
              <w:t>of</w:t>
            </w:r>
            <w:r>
              <w:rPr>
                <w:spacing w:val="1"/>
                <w:w w:val="105"/>
                <w:sz w:val="16"/>
              </w:rPr>
              <w:t> </w:t>
            </w:r>
            <w:r>
              <w:rPr>
                <w:spacing w:val="-2"/>
                <w:w w:val="105"/>
                <w:sz w:val="16"/>
              </w:rPr>
              <w:t>foreign</w:t>
            </w:r>
            <w:r>
              <w:rPr>
                <w:spacing w:val="1"/>
                <w:w w:val="105"/>
                <w:sz w:val="16"/>
              </w:rPr>
              <w:t> </w:t>
            </w:r>
            <w:r>
              <w:rPr>
                <w:spacing w:val="-2"/>
                <w:w w:val="105"/>
                <w:sz w:val="16"/>
              </w:rPr>
              <w:t>currency</w:t>
            </w:r>
            <w:r>
              <w:rPr>
                <w:spacing w:val="1"/>
                <w:w w:val="105"/>
                <w:sz w:val="16"/>
              </w:rPr>
              <w:t> </w:t>
            </w:r>
            <w:r>
              <w:rPr>
                <w:spacing w:val="-2"/>
                <w:w w:val="105"/>
                <w:sz w:val="16"/>
              </w:rPr>
              <w:t>movements</w:t>
            </w:r>
            <w:r>
              <w:rPr>
                <w:spacing w:val="3"/>
                <w:w w:val="105"/>
                <w:sz w:val="16"/>
              </w:rPr>
              <w:t> </w:t>
            </w:r>
            <w:r>
              <w:rPr>
                <w:spacing w:val="-5"/>
                <w:w w:val="105"/>
                <w:position w:val="3"/>
                <w:sz w:val="14"/>
              </w:rPr>
              <w:t>(2)</w:t>
            </w:r>
          </w:p>
        </w:tc>
        <w:tc>
          <w:tcPr>
            <w:tcW w:w="973" w:type="dxa"/>
            <w:shd w:val="clear" w:color="auto" w:fill="CCEDFF"/>
          </w:tcPr>
          <w:p>
            <w:pPr>
              <w:pStyle w:val="TableParagraph"/>
              <w:rPr>
                <w:sz w:val="14"/>
              </w:rPr>
            </w:pPr>
          </w:p>
        </w:tc>
        <w:tc>
          <w:tcPr>
            <w:tcW w:w="572" w:type="dxa"/>
            <w:shd w:val="clear" w:color="auto" w:fill="CCEDFF"/>
          </w:tcPr>
          <w:p>
            <w:pPr>
              <w:pStyle w:val="TableParagraph"/>
              <w:spacing w:line="180" w:lineRule="exact" w:before="3"/>
              <w:ind w:right="52"/>
              <w:jc w:val="right"/>
              <w:rPr>
                <w:b/>
                <w:sz w:val="16"/>
              </w:rPr>
            </w:pPr>
            <w:r>
              <w:rPr>
                <w:b/>
                <w:spacing w:val="-5"/>
                <w:w w:val="105"/>
                <w:sz w:val="16"/>
              </w:rPr>
              <w:t>38</w:t>
            </w:r>
          </w:p>
        </w:tc>
        <w:tc>
          <w:tcPr>
            <w:tcW w:w="1839" w:type="dxa"/>
            <w:shd w:val="clear" w:color="auto" w:fill="CCEDFF"/>
          </w:tcPr>
          <w:p>
            <w:pPr>
              <w:pStyle w:val="TableParagraph"/>
              <w:spacing w:line="180" w:lineRule="exact" w:before="3"/>
              <w:ind w:right="171"/>
              <w:jc w:val="right"/>
              <w:rPr>
                <w:sz w:val="16"/>
              </w:rPr>
            </w:pPr>
            <w:r>
              <w:rPr>
                <w:spacing w:val="-5"/>
                <w:w w:val="105"/>
                <w:sz w:val="16"/>
              </w:rPr>
              <w:t>44</w:t>
            </w:r>
          </w:p>
        </w:tc>
        <w:tc>
          <w:tcPr>
            <w:tcW w:w="1028" w:type="dxa"/>
            <w:shd w:val="clear" w:color="auto" w:fill="CCEDFF"/>
          </w:tcPr>
          <w:p>
            <w:pPr>
              <w:pStyle w:val="TableParagraph"/>
              <w:rPr>
                <w:sz w:val="14"/>
              </w:rPr>
            </w:pPr>
          </w:p>
        </w:tc>
        <w:tc>
          <w:tcPr>
            <w:tcW w:w="632" w:type="dxa"/>
            <w:shd w:val="clear" w:color="auto" w:fill="CCEDFF"/>
          </w:tcPr>
          <w:p>
            <w:pPr>
              <w:pStyle w:val="TableParagraph"/>
              <w:spacing w:line="180" w:lineRule="exact" w:before="3"/>
              <w:ind w:right="112"/>
              <w:jc w:val="right"/>
              <w:rPr>
                <w:sz w:val="16"/>
              </w:rPr>
            </w:pPr>
            <w:r>
              <w:rPr>
                <w:spacing w:val="-5"/>
                <w:w w:val="105"/>
                <w:sz w:val="16"/>
              </w:rPr>
              <w:t>153</w:t>
            </w:r>
          </w:p>
        </w:tc>
      </w:tr>
      <w:tr>
        <w:trPr>
          <w:trHeight w:val="202" w:hRule="atLeast"/>
        </w:trPr>
        <w:tc>
          <w:tcPr>
            <w:tcW w:w="6471" w:type="dxa"/>
            <w:tcBorders>
              <w:bottom w:val="single" w:sz="6" w:space="0" w:color="000000"/>
            </w:tcBorders>
          </w:tcPr>
          <w:p>
            <w:pPr>
              <w:pStyle w:val="TableParagraph"/>
              <w:spacing w:line="183" w:lineRule="exact"/>
              <w:rPr>
                <w:sz w:val="14"/>
              </w:rPr>
            </w:pPr>
            <w:r>
              <w:rPr>
                <w:sz w:val="16"/>
              </w:rPr>
              <w:t>Cumulative</w:t>
            </w:r>
            <w:r>
              <w:rPr>
                <w:spacing w:val="16"/>
                <w:sz w:val="16"/>
              </w:rPr>
              <w:t> </w:t>
            </w:r>
            <w:r>
              <w:rPr>
                <w:sz w:val="16"/>
              </w:rPr>
              <w:t>adjustment</w:t>
            </w:r>
            <w:r>
              <w:rPr>
                <w:spacing w:val="17"/>
                <w:sz w:val="16"/>
              </w:rPr>
              <w:t> </w:t>
            </w:r>
            <w:r>
              <w:rPr>
                <w:sz w:val="16"/>
              </w:rPr>
              <w:t>related</w:t>
            </w:r>
            <w:r>
              <w:rPr>
                <w:spacing w:val="14"/>
                <w:sz w:val="16"/>
              </w:rPr>
              <w:t> </w:t>
            </w:r>
            <w:r>
              <w:rPr>
                <w:sz w:val="16"/>
              </w:rPr>
              <w:t>to</w:t>
            </w:r>
            <w:r>
              <w:rPr>
                <w:spacing w:val="17"/>
                <w:sz w:val="16"/>
              </w:rPr>
              <w:t> </w:t>
            </w:r>
            <w:r>
              <w:rPr>
                <w:sz w:val="16"/>
              </w:rPr>
              <w:t>customer</w:t>
            </w:r>
            <w:r>
              <w:rPr>
                <w:spacing w:val="17"/>
                <w:sz w:val="16"/>
              </w:rPr>
              <w:t> </w:t>
            </w:r>
            <w:r>
              <w:rPr>
                <w:sz w:val="16"/>
              </w:rPr>
              <w:t>contract</w:t>
            </w:r>
            <w:r>
              <w:rPr>
                <w:spacing w:val="14"/>
                <w:sz w:val="16"/>
              </w:rPr>
              <w:t> </w:t>
            </w:r>
            <w:r>
              <w:rPr>
                <w:spacing w:val="-5"/>
                <w:position w:val="3"/>
                <w:sz w:val="14"/>
              </w:rPr>
              <w:t>(3)</w:t>
            </w:r>
          </w:p>
        </w:tc>
        <w:tc>
          <w:tcPr>
            <w:tcW w:w="973" w:type="dxa"/>
            <w:tcBorders>
              <w:bottom w:val="single" w:sz="6" w:space="0" w:color="000000"/>
            </w:tcBorders>
          </w:tcPr>
          <w:p>
            <w:pPr>
              <w:pStyle w:val="TableParagraph"/>
              <w:rPr>
                <w:sz w:val="14"/>
              </w:rPr>
            </w:pPr>
          </w:p>
        </w:tc>
        <w:tc>
          <w:tcPr>
            <w:tcW w:w="572" w:type="dxa"/>
            <w:tcBorders>
              <w:bottom w:val="single" w:sz="6" w:space="0" w:color="000000"/>
            </w:tcBorders>
          </w:tcPr>
          <w:p>
            <w:pPr>
              <w:pStyle w:val="TableParagraph"/>
              <w:rPr>
                <w:sz w:val="14"/>
              </w:rPr>
            </w:pPr>
          </w:p>
        </w:tc>
        <w:tc>
          <w:tcPr>
            <w:tcW w:w="1839" w:type="dxa"/>
            <w:tcBorders>
              <w:bottom w:val="single" w:sz="6" w:space="0" w:color="000000"/>
            </w:tcBorders>
          </w:tcPr>
          <w:p>
            <w:pPr>
              <w:pStyle w:val="TableParagraph"/>
              <w:spacing w:line="179" w:lineRule="exact" w:before="3"/>
              <w:ind w:right="171"/>
              <w:jc w:val="right"/>
              <w:rPr>
                <w:sz w:val="16"/>
              </w:rPr>
            </w:pPr>
            <w:r>
              <w:rPr>
                <w:spacing w:val="-5"/>
                <w:w w:val="105"/>
                <w:sz w:val="16"/>
              </w:rPr>
              <w:t>105</w:t>
            </w:r>
          </w:p>
        </w:tc>
        <w:tc>
          <w:tcPr>
            <w:tcW w:w="1028" w:type="dxa"/>
            <w:tcBorders>
              <w:bottom w:val="single" w:sz="6" w:space="0" w:color="000000"/>
            </w:tcBorders>
          </w:tcPr>
          <w:p>
            <w:pPr>
              <w:pStyle w:val="TableParagraph"/>
              <w:rPr>
                <w:sz w:val="14"/>
              </w:rPr>
            </w:pPr>
          </w:p>
        </w:tc>
        <w:tc>
          <w:tcPr>
            <w:tcW w:w="632" w:type="dxa"/>
            <w:tcBorders>
              <w:bottom w:val="single" w:sz="6" w:space="0" w:color="000000"/>
            </w:tcBorders>
          </w:tcPr>
          <w:p>
            <w:pPr>
              <w:pStyle w:val="TableParagraph"/>
              <w:rPr>
                <w:sz w:val="14"/>
              </w:rPr>
            </w:pPr>
          </w:p>
        </w:tc>
      </w:tr>
      <w:tr>
        <w:trPr>
          <w:trHeight w:val="199" w:hRule="atLeast"/>
        </w:trPr>
        <w:tc>
          <w:tcPr>
            <w:tcW w:w="6471"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Net</w:t>
            </w:r>
            <w:r>
              <w:rPr>
                <w:spacing w:val="-9"/>
                <w:w w:val="105"/>
                <w:sz w:val="16"/>
              </w:rPr>
              <w:t> </w:t>
            </w:r>
            <w:r>
              <w:rPr>
                <w:w w:val="105"/>
                <w:sz w:val="16"/>
              </w:rPr>
              <w:t>sales</w:t>
            </w:r>
            <w:r>
              <w:rPr>
                <w:spacing w:val="-9"/>
                <w:w w:val="105"/>
                <w:sz w:val="16"/>
              </w:rPr>
              <w:t> </w:t>
            </w:r>
            <w:r>
              <w:rPr>
                <w:w w:val="105"/>
                <w:sz w:val="16"/>
              </w:rPr>
              <w:t>of</w:t>
            </w:r>
            <w:r>
              <w:rPr>
                <w:spacing w:val="-9"/>
                <w:w w:val="105"/>
                <w:sz w:val="16"/>
              </w:rPr>
              <w:t> </w:t>
            </w:r>
            <w:r>
              <w:rPr>
                <w:w w:val="105"/>
                <w:sz w:val="16"/>
              </w:rPr>
              <w:t>reportable</w:t>
            </w:r>
            <w:r>
              <w:rPr>
                <w:spacing w:val="-9"/>
                <w:w w:val="105"/>
                <w:sz w:val="16"/>
              </w:rPr>
              <w:t> </w:t>
            </w:r>
            <w:r>
              <w:rPr>
                <w:w w:val="105"/>
                <w:sz w:val="16"/>
              </w:rPr>
              <w:t>segments</w:t>
            </w:r>
            <w:r>
              <w:rPr>
                <w:spacing w:val="-9"/>
                <w:w w:val="105"/>
                <w:sz w:val="16"/>
              </w:rPr>
              <w:t> </w:t>
            </w:r>
            <w:r>
              <w:rPr>
                <w:w w:val="105"/>
                <w:sz w:val="16"/>
              </w:rPr>
              <w:t>and</w:t>
            </w:r>
            <w:r>
              <w:rPr>
                <w:spacing w:val="-9"/>
                <w:w w:val="105"/>
                <w:sz w:val="16"/>
              </w:rPr>
              <w:t> </w:t>
            </w:r>
            <w:r>
              <w:rPr>
                <w:w w:val="105"/>
                <w:sz w:val="16"/>
              </w:rPr>
              <w:t>All</w:t>
            </w:r>
            <w:r>
              <w:rPr>
                <w:spacing w:val="-9"/>
                <w:w w:val="105"/>
                <w:sz w:val="16"/>
              </w:rPr>
              <w:t> </w:t>
            </w:r>
            <w:r>
              <w:rPr>
                <w:spacing w:val="-2"/>
                <w:w w:val="105"/>
                <w:sz w:val="16"/>
              </w:rPr>
              <w:t>Other</w:t>
            </w:r>
          </w:p>
        </w:tc>
        <w:tc>
          <w:tcPr>
            <w:tcW w:w="973" w:type="dxa"/>
            <w:tcBorders>
              <w:top w:val="single" w:sz="6" w:space="0" w:color="000000"/>
              <w:bottom w:val="double" w:sz="6" w:space="0" w:color="000000"/>
            </w:tcBorders>
            <w:shd w:val="clear" w:color="auto" w:fill="CCEDFF"/>
          </w:tcPr>
          <w:p>
            <w:pPr>
              <w:pStyle w:val="TableParagraph"/>
              <w:spacing w:line="177" w:lineRule="exact" w:before="2"/>
              <w:rPr>
                <w:b/>
                <w:sz w:val="16"/>
              </w:rPr>
            </w:pPr>
            <w:r>
              <w:rPr>
                <w:b/>
                <w:spacing w:val="-10"/>
                <w:w w:val="105"/>
                <w:sz w:val="16"/>
              </w:rPr>
              <w:t>$</w:t>
            </w:r>
          </w:p>
        </w:tc>
        <w:tc>
          <w:tcPr>
            <w:tcW w:w="572" w:type="dxa"/>
            <w:tcBorders>
              <w:top w:val="single" w:sz="6" w:space="0" w:color="000000"/>
              <w:bottom w:val="double" w:sz="6" w:space="0" w:color="000000"/>
            </w:tcBorders>
            <w:shd w:val="clear" w:color="auto" w:fill="CCEDFF"/>
          </w:tcPr>
          <w:p>
            <w:pPr>
              <w:pStyle w:val="TableParagraph"/>
              <w:spacing w:line="177" w:lineRule="exact" w:before="2"/>
              <w:ind w:right="52"/>
              <w:jc w:val="right"/>
              <w:rPr>
                <w:b/>
                <w:sz w:val="16"/>
              </w:rPr>
            </w:pPr>
            <w:r>
              <w:rPr>
                <w:b/>
                <w:spacing w:val="-2"/>
                <w:w w:val="105"/>
                <w:sz w:val="16"/>
              </w:rPr>
              <w:t>14,120</w:t>
            </w:r>
          </w:p>
        </w:tc>
        <w:tc>
          <w:tcPr>
            <w:tcW w:w="1839" w:type="dxa"/>
            <w:tcBorders>
              <w:top w:val="single" w:sz="6" w:space="0" w:color="000000"/>
              <w:bottom w:val="double" w:sz="6" w:space="0" w:color="000000"/>
            </w:tcBorders>
            <w:shd w:val="clear" w:color="auto" w:fill="CCEDFF"/>
          </w:tcPr>
          <w:p>
            <w:pPr>
              <w:pStyle w:val="TableParagraph"/>
              <w:tabs>
                <w:tab w:pos="1209" w:val="left" w:leader="none"/>
              </w:tabs>
              <w:spacing w:line="177" w:lineRule="exact" w:before="2"/>
              <w:ind w:left="174"/>
              <w:rPr>
                <w:sz w:val="16"/>
              </w:rPr>
            </w:pPr>
            <w:r>
              <w:rPr>
                <w:spacing w:val="-10"/>
                <w:w w:val="105"/>
                <w:sz w:val="16"/>
              </w:rPr>
              <w:t>$</w:t>
            </w:r>
            <w:r>
              <w:rPr>
                <w:sz w:val="16"/>
              </w:rPr>
              <w:tab/>
            </w:r>
            <w:r>
              <w:rPr>
                <w:spacing w:val="-2"/>
                <w:w w:val="105"/>
                <w:sz w:val="16"/>
              </w:rPr>
              <w:t>11,452</w:t>
            </w:r>
          </w:p>
        </w:tc>
        <w:tc>
          <w:tcPr>
            <w:tcW w:w="1028" w:type="dxa"/>
            <w:tcBorders>
              <w:top w:val="single" w:sz="6" w:space="0" w:color="000000"/>
              <w:bottom w:val="double" w:sz="6" w:space="0" w:color="000000"/>
            </w:tcBorders>
            <w:shd w:val="clear" w:color="auto" w:fill="CCEDFF"/>
          </w:tcPr>
          <w:p>
            <w:pPr>
              <w:pStyle w:val="TableParagraph"/>
              <w:spacing w:line="177" w:lineRule="exact" w:before="2"/>
              <w:ind w:left="55"/>
              <w:rPr>
                <w:sz w:val="16"/>
              </w:rPr>
            </w:pPr>
            <w:r>
              <w:rPr>
                <w:spacing w:val="-10"/>
                <w:w w:val="105"/>
                <w:sz w:val="16"/>
              </w:rPr>
              <w:t>$</w:t>
            </w:r>
          </w:p>
        </w:tc>
        <w:tc>
          <w:tcPr>
            <w:tcW w:w="632" w:type="dxa"/>
            <w:tcBorders>
              <w:top w:val="single" w:sz="6" w:space="0" w:color="000000"/>
              <w:bottom w:val="double" w:sz="6" w:space="0" w:color="000000"/>
            </w:tcBorders>
            <w:shd w:val="clear" w:color="auto" w:fill="CCEDFF"/>
          </w:tcPr>
          <w:p>
            <w:pPr>
              <w:pStyle w:val="TableParagraph"/>
              <w:spacing w:line="177" w:lineRule="exact" w:before="2"/>
              <w:ind w:right="112"/>
              <w:jc w:val="right"/>
              <w:rPr>
                <w:sz w:val="16"/>
              </w:rPr>
            </w:pPr>
            <w:r>
              <w:rPr>
                <w:spacing w:val="-2"/>
                <w:w w:val="105"/>
                <w:sz w:val="16"/>
              </w:rPr>
              <w:t>11,656</w:t>
            </w:r>
          </w:p>
        </w:tc>
      </w:tr>
    </w:tbl>
    <w:p>
      <w:pPr>
        <w:pStyle w:val="BodyText"/>
        <w:spacing w:before="26"/>
      </w:pPr>
    </w:p>
    <w:p>
      <w:pPr>
        <w:pStyle w:val="ListParagraph"/>
        <w:numPr>
          <w:ilvl w:val="0"/>
          <w:numId w:val="41"/>
        </w:numPr>
        <w:tabs>
          <w:tab w:pos="460" w:val="left" w:leader="none"/>
        </w:tabs>
        <w:spacing w:line="157" w:lineRule="exact" w:before="0" w:after="0"/>
        <w:ind w:left="460" w:right="0" w:hanging="304"/>
        <w:jc w:val="left"/>
        <w:rPr>
          <w:sz w:val="14"/>
        </w:rPr>
      </w:pPr>
      <w:r>
        <w:rPr>
          <w:sz w:val="14"/>
        </w:rPr>
        <w:t>The</w:t>
      </w:r>
      <w:r>
        <w:rPr>
          <w:spacing w:val="-2"/>
          <w:sz w:val="14"/>
        </w:rPr>
        <w:t> </w:t>
      </w:r>
      <w:r>
        <w:rPr>
          <w:sz w:val="14"/>
        </w:rPr>
        <w:t>Company</w:t>
      </w:r>
      <w:r>
        <w:rPr>
          <w:spacing w:val="-1"/>
          <w:sz w:val="14"/>
        </w:rPr>
        <w:t> </w:t>
      </w:r>
      <w:r>
        <w:rPr>
          <w:sz w:val="14"/>
        </w:rPr>
        <w:t>obtained</w:t>
      </w:r>
      <w:r>
        <w:rPr>
          <w:spacing w:val="-1"/>
          <w:sz w:val="14"/>
        </w:rPr>
        <w:t> </w:t>
      </w:r>
      <w:r>
        <w:rPr>
          <w:sz w:val="14"/>
        </w:rPr>
        <w:t>a</w:t>
      </w:r>
      <w:r>
        <w:rPr>
          <w:spacing w:val="-1"/>
          <w:sz w:val="14"/>
        </w:rPr>
        <w:t> </w:t>
      </w:r>
      <w:r>
        <w:rPr>
          <w:sz w:val="14"/>
        </w:rPr>
        <w:t>controlling</w:t>
      </w:r>
      <w:r>
        <w:rPr>
          <w:spacing w:val="-1"/>
          <w:sz w:val="14"/>
        </w:rPr>
        <w:t> </w:t>
      </w:r>
      <w:r>
        <w:rPr>
          <w:sz w:val="14"/>
        </w:rPr>
        <w:t>interest</w:t>
      </w:r>
      <w:r>
        <w:rPr>
          <w:spacing w:val="-1"/>
          <w:sz w:val="14"/>
        </w:rPr>
        <w:t> </w:t>
      </w:r>
      <w:r>
        <w:rPr>
          <w:sz w:val="14"/>
        </w:rPr>
        <w:t>in</w:t>
      </w:r>
      <w:r>
        <w:rPr>
          <w:spacing w:val="-1"/>
          <w:sz w:val="14"/>
        </w:rPr>
        <w:t> </w:t>
      </w:r>
      <w:r>
        <w:rPr>
          <w:sz w:val="14"/>
        </w:rPr>
        <w:t>HSG</w:t>
      </w:r>
      <w:r>
        <w:rPr>
          <w:spacing w:val="-1"/>
          <w:sz w:val="14"/>
        </w:rPr>
        <w:t> </w:t>
      </w:r>
      <w:r>
        <w:rPr>
          <w:sz w:val="14"/>
        </w:rPr>
        <w:t>during</w:t>
      </w:r>
      <w:r>
        <w:rPr>
          <w:spacing w:val="-1"/>
          <w:sz w:val="14"/>
        </w:rPr>
        <w:t> </w:t>
      </w:r>
      <w:r>
        <w:rPr>
          <w:sz w:val="14"/>
        </w:rPr>
        <w:t>the</w:t>
      </w:r>
      <w:r>
        <w:rPr>
          <w:spacing w:val="-2"/>
          <w:sz w:val="14"/>
        </w:rPr>
        <w:t> </w:t>
      </w:r>
      <w:r>
        <w:rPr>
          <w:sz w:val="14"/>
        </w:rPr>
        <w:t>third</w:t>
      </w:r>
      <w:r>
        <w:rPr>
          <w:spacing w:val="-1"/>
          <w:sz w:val="14"/>
        </w:rPr>
        <w:t> </w:t>
      </w:r>
      <w:r>
        <w:rPr>
          <w:sz w:val="14"/>
        </w:rPr>
        <w:t>quarter</w:t>
      </w:r>
      <w:r>
        <w:rPr>
          <w:spacing w:val="-2"/>
          <w:sz w:val="14"/>
        </w:rPr>
        <w:t> </w:t>
      </w:r>
      <w:r>
        <w:rPr>
          <w:sz w:val="14"/>
        </w:rPr>
        <w:t>of 2020</w:t>
      </w:r>
      <w:r>
        <w:rPr>
          <w:spacing w:val="-1"/>
          <w:sz w:val="14"/>
        </w:rPr>
        <w:t> </w:t>
      </w:r>
      <w:r>
        <w:rPr>
          <w:sz w:val="14"/>
        </w:rPr>
        <w:t>and</w:t>
      </w:r>
      <w:r>
        <w:rPr>
          <w:spacing w:val="-1"/>
          <w:sz w:val="14"/>
        </w:rPr>
        <w:t> </w:t>
      </w:r>
      <w:r>
        <w:rPr>
          <w:sz w:val="14"/>
        </w:rPr>
        <w:t>has</w:t>
      </w:r>
      <w:r>
        <w:rPr>
          <w:spacing w:val="-1"/>
          <w:sz w:val="14"/>
        </w:rPr>
        <w:t> </w:t>
      </w:r>
      <w:r>
        <w:rPr>
          <w:sz w:val="14"/>
        </w:rPr>
        <w:t>consolidated</w:t>
      </w:r>
      <w:r>
        <w:rPr>
          <w:spacing w:val="-1"/>
          <w:sz w:val="14"/>
        </w:rPr>
        <w:t> </w:t>
      </w:r>
      <w:r>
        <w:rPr>
          <w:sz w:val="14"/>
        </w:rPr>
        <w:t>results</w:t>
      </w:r>
      <w:r>
        <w:rPr>
          <w:spacing w:val="-1"/>
          <w:sz w:val="14"/>
        </w:rPr>
        <w:t> </w:t>
      </w:r>
      <w:r>
        <w:rPr>
          <w:sz w:val="14"/>
        </w:rPr>
        <w:t>in</w:t>
      </w:r>
      <w:r>
        <w:rPr>
          <w:spacing w:val="-1"/>
          <w:sz w:val="14"/>
        </w:rPr>
        <w:t> </w:t>
      </w:r>
      <w:r>
        <w:rPr>
          <w:sz w:val="14"/>
        </w:rPr>
        <w:t>"All</w:t>
      </w:r>
      <w:r>
        <w:rPr>
          <w:spacing w:val="-1"/>
          <w:sz w:val="14"/>
        </w:rPr>
        <w:t> </w:t>
      </w:r>
      <w:r>
        <w:rPr>
          <w:sz w:val="14"/>
        </w:rPr>
        <w:t>Other"</w:t>
      </w:r>
      <w:r>
        <w:rPr>
          <w:spacing w:val="-1"/>
          <w:sz w:val="14"/>
        </w:rPr>
        <w:t> </w:t>
      </w:r>
      <w:r>
        <w:rPr>
          <w:sz w:val="14"/>
        </w:rPr>
        <w:t>beginning</w:t>
      </w:r>
      <w:r>
        <w:rPr>
          <w:spacing w:val="-1"/>
          <w:sz w:val="14"/>
        </w:rPr>
        <w:t> </w:t>
      </w:r>
      <w:r>
        <w:rPr>
          <w:sz w:val="14"/>
        </w:rPr>
        <w:t>on</w:t>
      </w:r>
      <w:r>
        <w:rPr>
          <w:spacing w:val="-1"/>
          <w:sz w:val="14"/>
        </w:rPr>
        <w:t> </w:t>
      </w:r>
      <w:r>
        <w:rPr>
          <w:sz w:val="14"/>
        </w:rPr>
        <w:t>September</w:t>
      </w:r>
      <w:r>
        <w:rPr>
          <w:spacing w:val="-1"/>
          <w:sz w:val="14"/>
        </w:rPr>
        <w:t> </w:t>
      </w:r>
      <w:r>
        <w:rPr>
          <w:sz w:val="14"/>
        </w:rPr>
        <w:t>9,</w:t>
      </w:r>
      <w:r>
        <w:rPr>
          <w:spacing w:val="-1"/>
          <w:sz w:val="14"/>
        </w:rPr>
        <w:t> </w:t>
      </w:r>
      <w:r>
        <w:rPr>
          <w:spacing w:val="-2"/>
          <w:sz w:val="14"/>
        </w:rPr>
        <w:t>2020.</w:t>
      </w:r>
    </w:p>
    <w:p>
      <w:pPr>
        <w:pStyle w:val="ListParagraph"/>
        <w:numPr>
          <w:ilvl w:val="0"/>
          <w:numId w:val="41"/>
        </w:numPr>
        <w:tabs>
          <w:tab w:pos="460" w:val="left" w:leader="none"/>
        </w:tabs>
        <w:spacing w:line="153" w:lineRule="exact" w:before="0" w:after="0"/>
        <w:ind w:left="460" w:right="0" w:hanging="304"/>
        <w:jc w:val="left"/>
        <w:rPr>
          <w:sz w:val="14"/>
        </w:rPr>
      </w:pPr>
      <w:r>
        <w:rPr>
          <w:sz w:val="14"/>
        </w:rPr>
        <w:t>This</w:t>
      </w:r>
      <w:r>
        <w:rPr>
          <w:spacing w:val="-2"/>
          <w:sz w:val="14"/>
        </w:rPr>
        <w:t> </w:t>
      </w:r>
      <w:r>
        <w:rPr>
          <w:sz w:val="14"/>
        </w:rPr>
        <w:t>amount</w:t>
      </w:r>
      <w:r>
        <w:rPr>
          <w:spacing w:val="-2"/>
          <w:sz w:val="14"/>
        </w:rPr>
        <w:t> </w:t>
      </w:r>
      <w:r>
        <w:rPr>
          <w:sz w:val="14"/>
        </w:rPr>
        <w:t>primarily</w:t>
      </w:r>
      <w:r>
        <w:rPr>
          <w:spacing w:val="-1"/>
          <w:sz w:val="14"/>
        </w:rPr>
        <w:t> </w:t>
      </w:r>
      <w:r>
        <w:rPr>
          <w:sz w:val="14"/>
        </w:rPr>
        <w:t>represents</w:t>
      </w:r>
      <w:r>
        <w:rPr>
          <w:spacing w:val="-2"/>
          <w:sz w:val="14"/>
        </w:rPr>
        <w:t> </w:t>
      </w:r>
      <w:r>
        <w:rPr>
          <w:sz w:val="14"/>
        </w:rPr>
        <w:t>the</w:t>
      </w:r>
      <w:r>
        <w:rPr>
          <w:spacing w:val="-2"/>
          <w:sz w:val="14"/>
        </w:rPr>
        <w:t> </w:t>
      </w:r>
      <w:r>
        <w:rPr>
          <w:sz w:val="14"/>
        </w:rPr>
        <w:t>impact</w:t>
      </w:r>
      <w:r>
        <w:rPr>
          <w:spacing w:val="-1"/>
          <w:sz w:val="14"/>
        </w:rPr>
        <w:t> </w:t>
      </w:r>
      <w:r>
        <w:rPr>
          <w:sz w:val="14"/>
        </w:rPr>
        <w:t>of</w:t>
      </w:r>
      <w:r>
        <w:rPr>
          <w:spacing w:val="-2"/>
          <w:sz w:val="14"/>
        </w:rPr>
        <w:t> </w:t>
      </w:r>
      <w:r>
        <w:rPr>
          <w:sz w:val="14"/>
        </w:rPr>
        <w:t>foreign</w:t>
      </w:r>
      <w:r>
        <w:rPr>
          <w:spacing w:val="-2"/>
          <w:sz w:val="14"/>
        </w:rPr>
        <w:t> </w:t>
      </w:r>
      <w:r>
        <w:rPr>
          <w:sz w:val="14"/>
        </w:rPr>
        <w:t>currency</w:t>
      </w:r>
      <w:r>
        <w:rPr>
          <w:spacing w:val="-1"/>
          <w:sz w:val="14"/>
        </w:rPr>
        <w:t> </w:t>
      </w:r>
      <w:r>
        <w:rPr>
          <w:sz w:val="14"/>
        </w:rPr>
        <w:t>adjustments</w:t>
      </w:r>
      <w:r>
        <w:rPr>
          <w:spacing w:val="-2"/>
          <w:sz w:val="14"/>
        </w:rPr>
        <w:t> </w:t>
      </w:r>
      <w:r>
        <w:rPr>
          <w:sz w:val="14"/>
        </w:rPr>
        <w:t>in</w:t>
      </w:r>
      <w:r>
        <w:rPr>
          <w:spacing w:val="-2"/>
          <w:sz w:val="14"/>
        </w:rPr>
        <w:t> </w:t>
      </w:r>
      <w:r>
        <w:rPr>
          <w:sz w:val="14"/>
        </w:rPr>
        <w:t>the</w:t>
      </w:r>
      <w:r>
        <w:rPr>
          <w:spacing w:val="-1"/>
          <w:sz w:val="14"/>
        </w:rPr>
        <w:t> </w:t>
      </w:r>
      <w:r>
        <w:rPr>
          <w:sz w:val="14"/>
        </w:rPr>
        <w:t>Display</w:t>
      </w:r>
      <w:r>
        <w:rPr>
          <w:spacing w:val="-2"/>
          <w:sz w:val="14"/>
        </w:rPr>
        <w:t> </w:t>
      </w:r>
      <w:r>
        <w:rPr>
          <w:sz w:val="14"/>
        </w:rPr>
        <w:t>Technologies</w:t>
      </w:r>
      <w:r>
        <w:rPr>
          <w:spacing w:val="-1"/>
          <w:sz w:val="14"/>
        </w:rPr>
        <w:t> </w:t>
      </w:r>
      <w:r>
        <w:rPr>
          <w:spacing w:val="-2"/>
          <w:sz w:val="14"/>
        </w:rPr>
        <w:t>segment.</w:t>
      </w:r>
    </w:p>
    <w:p>
      <w:pPr>
        <w:pStyle w:val="ListParagraph"/>
        <w:numPr>
          <w:ilvl w:val="0"/>
          <w:numId w:val="41"/>
        </w:numPr>
        <w:tabs>
          <w:tab w:pos="460" w:val="left" w:leader="none"/>
          <w:tab w:pos="462" w:val="left" w:leader="none"/>
        </w:tabs>
        <w:spacing w:line="228" w:lineRule="auto" w:before="2" w:after="0"/>
        <w:ind w:left="462" w:right="503" w:hanging="306"/>
        <w:jc w:val="left"/>
        <w:rPr>
          <w:sz w:val="14"/>
        </w:rPr>
      </w:pPr>
      <w:r>
        <w:rPr>
          <w:sz w:val="14"/>
        </w:rPr>
        <w:t>Amount</w:t>
      </w:r>
      <w:r>
        <w:rPr>
          <w:spacing w:val="-1"/>
          <w:sz w:val="14"/>
        </w:rPr>
        <w:t> </w:t>
      </w:r>
      <w:r>
        <w:rPr>
          <w:sz w:val="14"/>
        </w:rPr>
        <w:t>represents</w:t>
      </w:r>
      <w:r>
        <w:rPr>
          <w:spacing w:val="-1"/>
          <w:sz w:val="14"/>
        </w:rPr>
        <w:t> </w:t>
      </w:r>
      <w:r>
        <w:rPr>
          <w:sz w:val="14"/>
        </w:rPr>
        <w:t>the</w:t>
      </w:r>
      <w:r>
        <w:rPr>
          <w:spacing w:val="-1"/>
          <w:sz w:val="14"/>
        </w:rPr>
        <w:t> </w:t>
      </w:r>
      <w:r>
        <w:rPr>
          <w:sz w:val="14"/>
        </w:rPr>
        <w:t>negative</w:t>
      </w:r>
      <w:r>
        <w:rPr>
          <w:spacing w:val="-1"/>
          <w:sz w:val="14"/>
        </w:rPr>
        <w:t> </w:t>
      </w:r>
      <w:r>
        <w:rPr>
          <w:sz w:val="14"/>
        </w:rPr>
        <w:t>impact</w:t>
      </w:r>
      <w:r>
        <w:rPr>
          <w:spacing w:val="-1"/>
          <w:sz w:val="14"/>
        </w:rPr>
        <w:t> </w:t>
      </w:r>
      <w:r>
        <w:rPr>
          <w:sz w:val="14"/>
        </w:rPr>
        <w:t>of</w:t>
      </w:r>
      <w:r>
        <w:rPr>
          <w:spacing w:val="-1"/>
          <w:sz w:val="14"/>
        </w:rPr>
        <w:t> </w:t>
      </w:r>
      <w:r>
        <w:rPr>
          <w:sz w:val="14"/>
        </w:rPr>
        <w:t>a</w:t>
      </w:r>
      <w:r>
        <w:rPr>
          <w:spacing w:val="-1"/>
          <w:sz w:val="14"/>
        </w:rPr>
        <w:t> </w:t>
      </w:r>
      <w:r>
        <w:rPr>
          <w:sz w:val="14"/>
        </w:rPr>
        <w:t>cumulative</w:t>
      </w:r>
      <w:r>
        <w:rPr>
          <w:spacing w:val="-1"/>
          <w:sz w:val="14"/>
        </w:rPr>
        <w:t> </w:t>
      </w:r>
      <w:r>
        <w:rPr>
          <w:sz w:val="14"/>
        </w:rPr>
        <w:t>adjustment</w:t>
      </w:r>
      <w:r>
        <w:rPr>
          <w:spacing w:val="-1"/>
          <w:sz w:val="14"/>
        </w:rPr>
        <w:t> </w:t>
      </w:r>
      <w:r>
        <w:rPr>
          <w:sz w:val="14"/>
        </w:rPr>
        <w:t>to</w:t>
      </w:r>
      <w:r>
        <w:rPr>
          <w:spacing w:val="-1"/>
          <w:sz w:val="14"/>
        </w:rPr>
        <w:t> </w:t>
      </w:r>
      <w:r>
        <w:rPr>
          <w:sz w:val="14"/>
        </w:rPr>
        <w:t>reduce</w:t>
      </w:r>
      <w:r>
        <w:rPr>
          <w:spacing w:val="-1"/>
          <w:sz w:val="14"/>
        </w:rPr>
        <w:t> </w:t>
      </w:r>
      <w:r>
        <w:rPr>
          <w:sz w:val="14"/>
        </w:rPr>
        <w:t>revenue</w:t>
      </w:r>
      <w:r>
        <w:rPr>
          <w:spacing w:val="-1"/>
          <w:sz w:val="14"/>
        </w:rPr>
        <w:t> </w:t>
      </w:r>
      <w:r>
        <w:rPr>
          <w:sz w:val="14"/>
        </w:rPr>
        <w:t>by</w:t>
      </w:r>
      <w:r>
        <w:rPr>
          <w:spacing w:val="-1"/>
          <w:sz w:val="14"/>
        </w:rPr>
        <w:t> </w:t>
      </w:r>
      <w:r>
        <w:rPr>
          <w:sz w:val="14"/>
        </w:rPr>
        <w:t>$105</w:t>
      </w:r>
      <w:r>
        <w:rPr>
          <w:spacing w:val="-1"/>
          <w:sz w:val="14"/>
        </w:rPr>
        <w:t> </w:t>
      </w:r>
      <w:r>
        <w:rPr>
          <w:sz w:val="14"/>
        </w:rPr>
        <w:t>million</w:t>
      </w:r>
      <w:r>
        <w:rPr>
          <w:spacing w:val="-1"/>
          <w:sz w:val="14"/>
        </w:rPr>
        <w:t> </w:t>
      </w:r>
      <w:r>
        <w:rPr>
          <w:sz w:val="14"/>
        </w:rPr>
        <w:t>recorded</w:t>
      </w:r>
      <w:r>
        <w:rPr>
          <w:spacing w:val="-1"/>
          <w:sz w:val="14"/>
        </w:rPr>
        <w:t> </w:t>
      </w:r>
      <w:r>
        <w:rPr>
          <w:sz w:val="14"/>
        </w:rPr>
        <w:t>during</w:t>
      </w:r>
      <w:r>
        <w:rPr>
          <w:spacing w:val="-1"/>
          <w:sz w:val="14"/>
        </w:rPr>
        <w:t> </w:t>
      </w:r>
      <w:r>
        <w:rPr>
          <w:sz w:val="14"/>
        </w:rPr>
        <w:t>the</w:t>
      </w:r>
      <w:r>
        <w:rPr>
          <w:spacing w:val="-5"/>
          <w:sz w:val="14"/>
        </w:rPr>
        <w:t> </w:t>
      </w:r>
      <w:r>
        <w:rPr>
          <w:sz w:val="14"/>
        </w:rPr>
        <w:t>first</w:t>
      </w:r>
      <w:r>
        <w:rPr>
          <w:spacing w:val="-1"/>
          <w:sz w:val="14"/>
        </w:rPr>
        <w:t> </w:t>
      </w:r>
      <w:r>
        <w:rPr>
          <w:sz w:val="14"/>
        </w:rPr>
        <w:t>quarter</w:t>
      </w:r>
      <w:r>
        <w:rPr>
          <w:spacing w:val="-2"/>
          <w:sz w:val="14"/>
        </w:rPr>
        <w:t> </w:t>
      </w:r>
      <w:r>
        <w:rPr>
          <w:sz w:val="14"/>
        </w:rPr>
        <w:t>of 2020.</w:t>
      </w:r>
      <w:r>
        <w:rPr>
          <w:spacing w:val="-1"/>
          <w:sz w:val="14"/>
        </w:rPr>
        <w:t> </w:t>
      </w:r>
      <w:r>
        <w:rPr>
          <w:sz w:val="14"/>
        </w:rPr>
        <w:t>The</w:t>
      </w:r>
      <w:r>
        <w:rPr>
          <w:spacing w:val="-1"/>
          <w:sz w:val="14"/>
        </w:rPr>
        <w:t> </w:t>
      </w:r>
      <w:r>
        <w:rPr>
          <w:sz w:val="14"/>
        </w:rPr>
        <w:t>adjustment</w:t>
      </w:r>
      <w:r>
        <w:rPr>
          <w:spacing w:val="-1"/>
          <w:sz w:val="14"/>
        </w:rPr>
        <w:t> </w:t>
      </w:r>
      <w:r>
        <w:rPr>
          <w:sz w:val="14"/>
        </w:rPr>
        <w:t>was</w:t>
      </w:r>
      <w:r>
        <w:rPr>
          <w:spacing w:val="-1"/>
          <w:sz w:val="14"/>
        </w:rPr>
        <w:t> </w:t>
      </w:r>
      <w:r>
        <w:rPr>
          <w:sz w:val="14"/>
        </w:rPr>
        <w:t>associated</w:t>
      </w:r>
      <w:r>
        <w:rPr>
          <w:spacing w:val="-1"/>
          <w:sz w:val="14"/>
        </w:rPr>
        <w:t> </w:t>
      </w:r>
      <w:r>
        <w:rPr>
          <w:sz w:val="14"/>
        </w:rPr>
        <w:t>with</w:t>
      </w:r>
      <w:r>
        <w:rPr>
          <w:spacing w:val="-1"/>
          <w:sz w:val="14"/>
        </w:rPr>
        <w:t> </w:t>
      </w:r>
      <w:r>
        <w:rPr>
          <w:sz w:val="14"/>
        </w:rPr>
        <w:t>a</w:t>
      </w:r>
      <w:r>
        <w:rPr>
          <w:spacing w:val="-1"/>
          <w:sz w:val="14"/>
        </w:rPr>
        <w:t> </w:t>
      </w:r>
      <w:r>
        <w:rPr>
          <w:sz w:val="14"/>
        </w:rPr>
        <w:t>previously</w:t>
      </w:r>
      <w:r>
        <w:rPr>
          <w:spacing w:val="40"/>
          <w:sz w:val="14"/>
        </w:rPr>
        <w:t> </w:t>
      </w:r>
      <w:r>
        <w:rPr>
          <w:sz w:val="14"/>
        </w:rPr>
        <w:t>recorded commercial benefit asset, reflected as a prepayment, to a customer with a long-term supply agreement that substantially exited its production of LCD panels.</w:t>
      </w:r>
    </w:p>
    <w:p>
      <w:pPr>
        <w:pStyle w:val="BodyText"/>
        <w:spacing w:before="43"/>
        <w:rPr>
          <w:sz w:val="14"/>
        </w:rPr>
      </w:pPr>
    </w:p>
    <w:p>
      <w:pPr>
        <w:pStyle w:val="BodyText"/>
        <w:ind w:left="156"/>
      </w:pPr>
      <w:r>
        <w:rPr>
          <w:w w:val="105"/>
        </w:rPr>
        <w:t>Refer</w:t>
      </w:r>
      <w:r>
        <w:rPr>
          <w:spacing w:val="-10"/>
          <w:w w:val="105"/>
        </w:rPr>
        <w:t> </w:t>
      </w:r>
      <w:r>
        <w:rPr>
          <w:w w:val="105"/>
        </w:rPr>
        <w:t>to</w:t>
      </w:r>
      <w:r>
        <w:rPr>
          <w:spacing w:val="-10"/>
          <w:w w:val="105"/>
        </w:rPr>
        <w:t> </w:t>
      </w:r>
      <w:r>
        <w:rPr>
          <w:w w:val="105"/>
        </w:rPr>
        <w:t>Note</w:t>
      </w:r>
      <w:r>
        <w:rPr>
          <w:spacing w:val="-9"/>
          <w:w w:val="105"/>
        </w:rPr>
        <w:t> </w:t>
      </w:r>
      <w:r>
        <w:rPr>
          <w:w w:val="105"/>
        </w:rPr>
        <w:t>20</w:t>
      </w:r>
      <w:r>
        <w:rPr>
          <w:spacing w:val="-10"/>
          <w:w w:val="105"/>
        </w:rPr>
        <w:t> </w:t>
      </w:r>
      <w:r>
        <w:rPr>
          <w:w w:val="105"/>
        </w:rPr>
        <w:t>(Reportable</w:t>
      </w:r>
      <w:r>
        <w:rPr>
          <w:spacing w:val="-10"/>
          <w:w w:val="105"/>
        </w:rPr>
        <w:t> </w:t>
      </w:r>
      <w:r>
        <w:rPr>
          <w:w w:val="105"/>
        </w:rPr>
        <w:t>Segments)</w:t>
      </w:r>
      <w:r>
        <w:rPr>
          <w:spacing w:val="-9"/>
          <w:w w:val="105"/>
        </w:rPr>
        <w:t> </w:t>
      </w:r>
      <w:r>
        <w:rPr>
          <w:w w:val="105"/>
        </w:rPr>
        <w:t>to</w:t>
      </w:r>
      <w:r>
        <w:rPr>
          <w:spacing w:val="-10"/>
          <w:w w:val="105"/>
        </w:rPr>
        <w:t> </w:t>
      </w:r>
      <w:r>
        <w:rPr>
          <w:w w:val="105"/>
        </w:rPr>
        <w:t>the</w:t>
      </w:r>
      <w:r>
        <w:rPr>
          <w:spacing w:val="-10"/>
          <w:w w:val="105"/>
        </w:rPr>
        <w:t> </w:t>
      </w:r>
      <w:r>
        <w:rPr>
          <w:w w:val="105"/>
        </w:rPr>
        <w:t>consolidated</w:t>
      </w:r>
      <w:r>
        <w:rPr>
          <w:spacing w:val="-10"/>
          <w:w w:val="105"/>
        </w:rPr>
        <w:t> </w:t>
      </w:r>
      <w:r>
        <w:rPr>
          <w:w w:val="105"/>
        </w:rPr>
        <w:t>financial</w:t>
      </w:r>
      <w:r>
        <w:rPr>
          <w:spacing w:val="-10"/>
          <w:w w:val="105"/>
        </w:rPr>
        <w:t> </w:t>
      </w:r>
      <w:r>
        <w:rPr>
          <w:w w:val="105"/>
        </w:rPr>
        <w:t>statements</w:t>
      </w:r>
      <w:r>
        <w:rPr>
          <w:spacing w:val="-9"/>
          <w:w w:val="105"/>
        </w:rPr>
        <w:t> </w:t>
      </w:r>
      <w:r>
        <w:rPr>
          <w:w w:val="105"/>
        </w:rPr>
        <w:t>for</w:t>
      </w:r>
      <w:r>
        <w:rPr>
          <w:spacing w:val="-10"/>
          <w:w w:val="105"/>
        </w:rPr>
        <w:t> </w:t>
      </w:r>
      <w:r>
        <w:rPr>
          <w:w w:val="105"/>
        </w:rPr>
        <w:t>additional</w:t>
      </w:r>
      <w:r>
        <w:rPr>
          <w:spacing w:val="-10"/>
          <w:w w:val="105"/>
        </w:rPr>
        <w:t> </w:t>
      </w:r>
      <w:r>
        <w:rPr>
          <w:spacing w:val="-2"/>
          <w:w w:val="105"/>
        </w:rPr>
        <w:t>information.</w:t>
      </w:r>
    </w:p>
    <w:p>
      <w:pPr>
        <w:pStyle w:val="BodyText"/>
        <w:spacing w:before="40"/>
      </w:pPr>
    </w:p>
    <w:p>
      <w:pPr>
        <w:pStyle w:val="Heading3"/>
      </w:pPr>
      <w:r>
        <w:rPr>
          <w:spacing w:val="-2"/>
          <w:w w:val="105"/>
        </w:rPr>
        <w:t>Contract</w:t>
      </w:r>
      <w:r>
        <w:rPr>
          <w:w w:val="105"/>
        </w:rPr>
        <w:t> </w:t>
      </w:r>
      <w:r>
        <w:rPr>
          <w:spacing w:val="-2"/>
          <w:w w:val="105"/>
        </w:rPr>
        <w:t>Assets</w:t>
      </w:r>
      <w:r>
        <w:rPr>
          <w:w w:val="105"/>
        </w:rPr>
        <w:t> </w:t>
      </w:r>
      <w:r>
        <w:rPr>
          <w:spacing w:val="-2"/>
          <w:w w:val="105"/>
        </w:rPr>
        <w:t>and</w:t>
      </w:r>
      <w:r>
        <w:rPr>
          <w:spacing w:val="1"/>
          <w:w w:val="105"/>
        </w:rPr>
        <w:t> </w:t>
      </w:r>
      <w:r>
        <w:rPr>
          <w:spacing w:val="-2"/>
          <w:w w:val="105"/>
        </w:rPr>
        <w:t>Liabilities</w:t>
      </w:r>
    </w:p>
    <w:p>
      <w:pPr>
        <w:pStyle w:val="BodyText"/>
        <w:spacing w:before="39"/>
        <w:rPr>
          <w:b/>
          <w:i/>
        </w:rPr>
      </w:pPr>
    </w:p>
    <w:p>
      <w:pPr>
        <w:pStyle w:val="BodyText"/>
        <w:spacing w:line="266" w:lineRule="auto" w:before="1"/>
        <w:ind w:left="156" w:right="272"/>
        <w:jc w:val="both"/>
      </w:pPr>
      <w:r>
        <w:rPr>
          <w:w w:val="105"/>
        </w:rPr>
        <w:t>Contract</w:t>
      </w:r>
      <w:r>
        <w:rPr>
          <w:spacing w:val="-8"/>
          <w:w w:val="105"/>
        </w:rPr>
        <w:t> </w:t>
      </w:r>
      <w:r>
        <w:rPr>
          <w:w w:val="105"/>
        </w:rPr>
        <w:t>assets,</w:t>
      </w:r>
      <w:r>
        <w:rPr>
          <w:spacing w:val="-8"/>
          <w:w w:val="105"/>
        </w:rPr>
        <w:t> </w:t>
      </w:r>
      <w:r>
        <w:rPr>
          <w:w w:val="105"/>
        </w:rPr>
        <w:t>such</w:t>
      </w:r>
      <w:r>
        <w:rPr>
          <w:spacing w:val="-8"/>
          <w:w w:val="105"/>
        </w:rPr>
        <w:t> </w:t>
      </w:r>
      <w:r>
        <w:rPr>
          <w:w w:val="105"/>
        </w:rPr>
        <w:t>as</w:t>
      </w:r>
      <w:r>
        <w:rPr>
          <w:spacing w:val="-8"/>
          <w:w w:val="105"/>
        </w:rPr>
        <w:t> </w:t>
      </w:r>
      <w:r>
        <w:rPr>
          <w:w w:val="105"/>
        </w:rPr>
        <w:t>incremental</w:t>
      </w:r>
      <w:r>
        <w:rPr>
          <w:spacing w:val="-8"/>
          <w:w w:val="105"/>
        </w:rPr>
        <w:t> </w:t>
      </w:r>
      <w:r>
        <w:rPr>
          <w:w w:val="105"/>
        </w:rPr>
        <w:t>costs</w:t>
      </w:r>
      <w:r>
        <w:rPr>
          <w:spacing w:val="-8"/>
          <w:w w:val="105"/>
        </w:rPr>
        <w:t> </w:t>
      </w:r>
      <w:r>
        <w:rPr>
          <w:w w:val="105"/>
        </w:rPr>
        <w:t>to</w:t>
      </w:r>
      <w:r>
        <w:rPr>
          <w:spacing w:val="-8"/>
          <w:w w:val="105"/>
        </w:rPr>
        <w:t> </w:t>
      </w:r>
      <w:r>
        <w:rPr>
          <w:w w:val="105"/>
        </w:rPr>
        <w:t>obtain</w:t>
      </w:r>
      <w:r>
        <w:rPr>
          <w:spacing w:val="-8"/>
          <w:w w:val="105"/>
        </w:rPr>
        <w:t> </w:t>
      </w:r>
      <w:r>
        <w:rPr>
          <w:w w:val="105"/>
        </w:rPr>
        <w:t>or</w:t>
      </w:r>
      <w:r>
        <w:rPr>
          <w:spacing w:val="-6"/>
          <w:w w:val="105"/>
        </w:rPr>
        <w:t> </w:t>
      </w:r>
      <w:r>
        <w:rPr>
          <w:w w:val="105"/>
        </w:rPr>
        <w:t>fulfill</w:t>
      </w:r>
      <w:r>
        <w:rPr>
          <w:spacing w:val="-8"/>
          <w:w w:val="105"/>
        </w:rPr>
        <w:t> </w:t>
      </w:r>
      <w:r>
        <w:rPr>
          <w:w w:val="105"/>
        </w:rPr>
        <w:t>contracts,</w:t>
      </w:r>
      <w:r>
        <w:rPr>
          <w:spacing w:val="-8"/>
          <w:w w:val="105"/>
        </w:rPr>
        <w:t> </w:t>
      </w:r>
      <w:r>
        <w:rPr>
          <w:w w:val="105"/>
        </w:rPr>
        <w:t>are</w:t>
      </w:r>
      <w:r>
        <w:rPr>
          <w:spacing w:val="-8"/>
          <w:w w:val="105"/>
        </w:rPr>
        <w:t> </w:t>
      </w:r>
      <w:r>
        <w:rPr>
          <w:w w:val="105"/>
        </w:rPr>
        <w:t>an</w:t>
      </w:r>
      <w:r>
        <w:rPr>
          <w:spacing w:val="-8"/>
          <w:w w:val="105"/>
        </w:rPr>
        <w:t> </w:t>
      </w:r>
      <w:r>
        <w:rPr>
          <w:w w:val="105"/>
        </w:rPr>
        <w:t>insignificant</w:t>
      </w:r>
      <w:r>
        <w:rPr>
          <w:spacing w:val="-8"/>
          <w:w w:val="105"/>
        </w:rPr>
        <w:t> </w:t>
      </w:r>
      <w:r>
        <w:rPr>
          <w:w w:val="105"/>
        </w:rPr>
        <w:t>component</w:t>
      </w:r>
      <w:r>
        <w:rPr>
          <w:spacing w:val="-8"/>
          <w:w w:val="105"/>
        </w:rPr>
        <w:t> </w:t>
      </w:r>
      <w:r>
        <w:rPr>
          <w:w w:val="105"/>
        </w:rPr>
        <w:t>of</w:t>
      </w:r>
      <w:r>
        <w:rPr>
          <w:spacing w:val="-8"/>
          <w:w w:val="105"/>
        </w:rPr>
        <w:t> </w:t>
      </w:r>
      <w:r>
        <w:rPr>
          <w:w w:val="105"/>
        </w:rPr>
        <w:t>Corning’s</w:t>
      </w:r>
      <w:r>
        <w:rPr>
          <w:spacing w:val="-8"/>
          <w:w w:val="105"/>
        </w:rPr>
        <w:t> </w:t>
      </w:r>
      <w:r>
        <w:rPr>
          <w:w w:val="105"/>
        </w:rPr>
        <w:t>revenue</w:t>
      </w:r>
      <w:r>
        <w:rPr>
          <w:spacing w:val="-8"/>
          <w:w w:val="105"/>
        </w:rPr>
        <w:t> </w:t>
      </w:r>
      <w:r>
        <w:rPr>
          <w:w w:val="105"/>
        </w:rPr>
        <w:t>recognition</w:t>
      </w:r>
      <w:r>
        <w:rPr>
          <w:spacing w:val="-8"/>
          <w:w w:val="105"/>
        </w:rPr>
        <w:t> </w:t>
      </w:r>
      <w:r>
        <w:rPr>
          <w:w w:val="105"/>
        </w:rPr>
        <w:t>process.</w:t>
      </w:r>
      <w:r>
        <w:rPr>
          <w:spacing w:val="-8"/>
          <w:w w:val="105"/>
        </w:rPr>
        <w:t> </w:t>
      </w:r>
      <w:r>
        <w:rPr>
          <w:w w:val="105"/>
        </w:rPr>
        <w:t>Most</w:t>
      </w:r>
      <w:r>
        <w:rPr>
          <w:spacing w:val="-8"/>
          <w:w w:val="105"/>
        </w:rPr>
        <w:t> </w:t>
      </w:r>
      <w:r>
        <w:rPr>
          <w:w w:val="105"/>
        </w:rPr>
        <w:t>of</w:t>
      </w:r>
      <w:r>
        <w:rPr>
          <w:spacing w:val="-8"/>
          <w:w w:val="105"/>
        </w:rPr>
        <w:t> </w:t>
      </w:r>
      <w:r>
        <w:rPr>
          <w:w w:val="105"/>
        </w:rPr>
        <w:t>Corning’s</w:t>
      </w:r>
      <w:r>
        <w:rPr>
          <w:spacing w:val="-8"/>
          <w:w w:val="105"/>
        </w:rPr>
        <w:t> </w:t>
      </w:r>
      <w:r>
        <w:rPr>
          <w:w w:val="105"/>
        </w:rPr>
        <w:t>cost</w:t>
      </w:r>
      <w:r>
        <w:rPr>
          <w:spacing w:val="-8"/>
          <w:w w:val="105"/>
        </w:rPr>
        <w:t> </w:t>
      </w:r>
      <w:r>
        <w:rPr>
          <w:w w:val="105"/>
        </w:rPr>
        <w:t>of fulfillment</w:t>
      </w:r>
      <w:r>
        <w:rPr>
          <w:spacing w:val="-8"/>
          <w:w w:val="105"/>
        </w:rPr>
        <w:t> </w:t>
      </w:r>
      <w:r>
        <w:rPr>
          <w:w w:val="105"/>
        </w:rPr>
        <w:t>as</w:t>
      </w:r>
      <w:r>
        <w:rPr>
          <w:spacing w:val="-8"/>
          <w:w w:val="105"/>
        </w:rPr>
        <w:t> </w:t>
      </w:r>
      <w:r>
        <w:rPr>
          <w:w w:val="105"/>
        </w:rPr>
        <w:t>a</w:t>
      </w:r>
      <w:r>
        <w:rPr>
          <w:spacing w:val="-8"/>
          <w:w w:val="105"/>
        </w:rPr>
        <w:t> </w:t>
      </w:r>
      <w:r>
        <w:rPr>
          <w:w w:val="105"/>
        </w:rPr>
        <w:t>manufacturer</w:t>
      </w:r>
      <w:r>
        <w:rPr>
          <w:spacing w:val="-8"/>
          <w:w w:val="105"/>
        </w:rPr>
        <w:t> </w:t>
      </w:r>
      <w:r>
        <w:rPr>
          <w:w w:val="105"/>
        </w:rPr>
        <w:t>of</w:t>
      </w:r>
      <w:r>
        <w:rPr>
          <w:spacing w:val="-8"/>
          <w:w w:val="105"/>
        </w:rPr>
        <w:t> </w:t>
      </w:r>
      <w:r>
        <w:rPr>
          <w:w w:val="105"/>
        </w:rPr>
        <w:t>products</w:t>
      </w:r>
      <w:r>
        <w:rPr>
          <w:spacing w:val="-8"/>
          <w:w w:val="105"/>
        </w:rPr>
        <w:t> </w:t>
      </w:r>
      <w:r>
        <w:rPr>
          <w:w w:val="105"/>
        </w:rPr>
        <w:t>is</w:t>
      </w:r>
      <w:r>
        <w:rPr>
          <w:spacing w:val="-6"/>
          <w:w w:val="105"/>
        </w:rPr>
        <w:t> </w:t>
      </w:r>
      <w:r>
        <w:rPr>
          <w:w w:val="105"/>
        </w:rPr>
        <w:t>classified</w:t>
      </w:r>
      <w:r>
        <w:rPr>
          <w:spacing w:val="-8"/>
          <w:w w:val="105"/>
        </w:rPr>
        <w:t> </w:t>
      </w:r>
      <w:r>
        <w:rPr>
          <w:w w:val="105"/>
        </w:rPr>
        <w:t>as</w:t>
      </w:r>
      <w:r>
        <w:rPr>
          <w:spacing w:val="-8"/>
          <w:w w:val="105"/>
        </w:rPr>
        <w:t> </w:t>
      </w:r>
      <w:r>
        <w:rPr>
          <w:w w:val="105"/>
        </w:rPr>
        <w:t>inventory,</w:t>
      </w:r>
      <w:r>
        <w:rPr>
          <w:spacing w:val="-8"/>
          <w:w w:val="105"/>
        </w:rPr>
        <w:t> </w:t>
      </w:r>
      <w:r>
        <w:rPr>
          <w:w w:val="105"/>
        </w:rPr>
        <w:t>fixed</w:t>
      </w:r>
      <w:r>
        <w:rPr>
          <w:spacing w:val="-8"/>
          <w:w w:val="105"/>
        </w:rPr>
        <w:t> </w:t>
      </w:r>
      <w:r>
        <w:rPr>
          <w:w w:val="105"/>
        </w:rPr>
        <w:t>assets</w:t>
      </w:r>
      <w:r>
        <w:rPr>
          <w:spacing w:val="-8"/>
          <w:w w:val="105"/>
        </w:rPr>
        <w:t> </w:t>
      </w:r>
      <w:r>
        <w:rPr>
          <w:w w:val="105"/>
        </w:rPr>
        <w:t>and</w:t>
      </w:r>
      <w:r>
        <w:rPr>
          <w:spacing w:val="-8"/>
          <w:w w:val="105"/>
        </w:rPr>
        <w:t> </w:t>
      </w:r>
      <w:r>
        <w:rPr>
          <w:w w:val="105"/>
        </w:rPr>
        <w:t>intangible</w:t>
      </w:r>
      <w:r>
        <w:rPr>
          <w:spacing w:val="-8"/>
          <w:w w:val="105"/>
        </w:rPr>
        <w:t> </w:t>
      </w:r>
      <w:r>
        <w:rPr>
          <w:w w:val="105"/>
        </w:rPr>
        <w:t>assets,</w:t>
      </w:r>
      <w:r>
        <w:rPr>
          <w:spacing w:val="-8"/>
          <w:w w:val="105"/>
        </w:rPr>
        <w:t> </w:t>
      </w:r>
      <w:r>
        <w:rPr>
          <w:w w:val="105"/>
        </w:rPr>
        <w:t>which</w:t>
      </w:r>
      <w:r>
        <w:rPr>
          <w:spacing w:val="-8"/>
          <w:w w:val="105"/>
        </w:rPr>
        <w:t> </w:t>
      </w:r>
      <w:r>
        <w:rPr>
          <w:w w:val="105"/>
        </w:rPr>
        <w:t>are</w:t>
      </w:r>
      <w:r>
        <w:rPr>
          <w:spacing w:val="-8"/>
          <w:w w:val="105"/>
        </w:rPr>
        <w:t> </w:t>
      </w:r>
      <w:r>
        <w:rPr>
          <w:w w:val="105"/>
        </w:rPr>
        <w:t>accounted</w:t>
      </w:r>
      <w:r>
        <w:rPr>
          <w:spacing w:val="-8"/>
          <w:w w:val="105"/>
        </w:rPr>
        <w:t> </w:t>
      </w:r>
      <w:r>
        <w:rPr>
          <w:w w:val="105"/>
        </w:rPr>
        <w:t>for</w:t>
      </w:r>
      <w:r>
        <w:rPr>
          <w:spacing w:val="-8"/>
          <w:w w:val="105"/>
        </w:rPr>
        <w:t> </w:t>
      </w:r>
      <w:r>
        <w:rPr>
          <w:w w:val="105"/>
        </w:rPr>
        <w:t>under</w:t>
      </w:r>
      <w:r>
        <w:rPr>
          <w:spacing w:val="-8"/>
          <w:w w:val="105"/>
        </w:rPr>
        <w:t> </w:t>
      </w:r>
      <w:r>
        <w:rPr>
          <w:w w:val="105"/>
        </w:rPr>
        <w:t>the</w:t>
      </w:r>
      <w:r>
        <w:rPr>
          <w:spacing w:val="-8"/>
          <w:w w:val="105"/>
        </w:rPr>
        <w:t> </w:t>
      </w:r>
      <w:r>
        <w:rPr>
          <w:w w:val="105"/>
        </w:rPr>
        <w:t>respective</w:t>
      </w:r>
      <w:r>
        <w:rPr>
          <w:spacing w:val="-8"/>
          <w:w w:val="105"/>
        </w:rPr>
        <w:t> </w:t>
      </w:r>
      <w:r>
        <w:rPr>
          <w:w w:val="105"/>
        </w:rPr>
        <w:t>guidance</w:t>
      </w:r>
      <w:r>
        <w:rPr>
          <w:spacing w:val="-8"/>
          <w:w w:val="105"/>
        </w:rPr>
        <w:t> </w:t>
      </w:r>
      <w:r>
        <w:rPr>
          <w:w w:val="105"/>
        </w:rPr>
        <w:t>for</w:t>
      </w:r>
      <w:r>
        <w:rPr>
          <w:spacing w:val="-8"/>
          <w:w w:val="105"/>
        </w:rPr>
        <w:t> </w:t>
      </w:r>
      <w:r>
        <w:rPr>
          <w:w w:val="105"/>
        </w:rPr>
        <w:t>those</w:t>
      </w:r>
      <w:r>
        <w:rPr>
          <w:spacing w:val="-8"/>
          <w:w w:val="105"/>
        </w:rPr>
        <w:t> </w:t>
      </w:r>
      <w:r>
        <w:rPr>
          <w:w w:val="105"/>
        </w:rPr>
        <w:t>asset types. Other costs</w:t>
      </w:r>
      <w:r>
        <w:rPr>
          <w:spacing w:val="-2"/>
          <w:w w:val="105"/>
        </w:rPr>
        <w:t> </w:t>
      </w:r>
      <w:r>
        <w:rPr>
          <w:w w:val="105"/>
        </w:rPr>
        <w:t>of contract fulfillment are immaterial due</w:t>
      </w:r>
      <w:r>
        <w:rPr>
          <w:spacing w:val="-2"/>
          <w:w w:val="105"/>
        </w:rPr>
        <w:t> </w:t>
      </w:r>
      <w:r>
        <w:rPr>
          <w:w w:val="105"/>
        </w:rPr>
        <w:t>to the nature of the products and their respective</w:t>
      </w:r>
      <w:r>
        <w:rPr>
          <w:spacing w:val="-2"/>
          <w:w w:val="105"/>
        </w:rPr>
        <w:t> </w:t>
      </w:r>
      <w:r>
        <w:rPr>
          <w:w w:val="105"/>
        </w:rPr>
        <w:t>manufacturing processes.</w:t>
      </w:r>
    </w:p>
    <w:p>
      <w:pPr>
        <w:pStyle w:val="BodyText"/>
        <w:spacing w:before="18"/>
      </w:pPr>
    </w:p>
    <w:p>
      <w:pPr>
        <w:pStyle w:val="BodyText"/>
        <w:spacing w:line="266" w:lineRule="auto"/>
        <w:ind w:left="156" w:right="117"/>
      </w:pPr>
      <w:r>
        <w:rPr>
          <w:w w:val="105"/>
        </w:rPr>
        <w:t>Contract</w:t>
      </w:r>
      <w:r>
        <w:rPr>
          <w:spacing w:val="-4"/>
          <w:w w:val="105"/>
        </w:rPr>
        <w:t> </w:t>
      </w:r>
      <w:r>
        <w:rPr>
          <w:w w:val="105"/>
        </w:rPr>
        <w:t>liabilities</w:t>
      </w:r>
      <w:r>
        <w:rPr>
          <w:spacing w:val="-4"/>
          <w:w w:val="105"/>
        </w:rPr>
        <w:t> </w:t>
      </w:r>
      <w:r>
        <w:rPr>
          <w:w w:val="105"/>
        </w:rPr>
        <w:t>include</w:t>
      </w:r>
      <w:r>
        <w:rPr>
          <w:spacing w:val="-4"/>
          <w:w w:val="105"/>
        </w:rPr>
        <w:t> </w:t>
      </w:r>
      <w:r>
        <w:rPr>
          <w:w w:val="105"/>
        </w:rPr>
        <w:t>deferred</w:t>
      </w:r>
      <w:r>
        <w:rPr>
          <w:spacing w:val="-4"/>
          <w:w w:val="105"/>
        </w:rPr>
        <w:t> </w:t>
      </w:r>
      <w:r>
        <w:rPr>
          <w:w w:val="105"/>
        </w:rPr>
        <w:t>revenue,</w:t>
      </w:r>
      <w:r>
        <w:rPr>
          <w:spacing w:val="-4"/>
          <w:w w:val="105"/>
        </w:rPr>
        <w:t> </w:t>
      </w:r>
      <w:r>
        <w:rPr>
          <w:w w:val="105"/>
        </w:rPr>
        <w:t>other</w:t>
      </w:r>
      <w:r>
        <w:rPr>
          <w:spacing w:val="-4"/>
          <w:w w:val="105"/>
        </w:rPr>
        <w:t> </w:t>
      </w:r>
      <w:r>
        <w:rPr>
          <w:w w:val="105"/>
        </w:rPr>
        <w:t>advanced</w:t>
      </w:r>
      <w:r>
        <w:rPr>
          <w:spacing w:val="-4"/>
          <w:w w:val="105"/>
        </w:rPr>
        <w:t> </w:t>
      </w:r>
      <w:r>
        <w:rPr>
          <w:w w:val="105"/>
        </w:rPr>
        <w:t>payments</w:t>
      </w:r>
      <w:r>
        <w:rPr>
          <w:spacing w:val="-2"/>
          <w:w w:val="105"/>
        </w:rPr>
        <w:t> </w:t>
      </w:r>
      <w:r>
        <w:rPr>
          <w:w w:val="105"/>
        </w:rPr>
        <w:t>and</w:t>
      </w:r>
      <w:r>
        <w:rPr>
          <w:spacing w:val="-4"/>
          <w:w w:val="105"/>
        </w:rPr>
        <w:t> </w:t>
      </w:r>
      <w:r>
        <w:rPr>
          <w:w w:val="105"/>
        </w:rPr>
        <w:t>customer</w:t>
      </w:r>
      <w:r>
        <w:rPr>
          <w:spacing w:val="-4"/>
          <w:w w:val="105"/>
        </w:rPr>
        <w:t> </w:t>
      </w:r>
      <w:r>
        <w:rPr>
          <w:w w:val="105"/>
        </w:rPr>
        <w:t>deposits.</w:t>
      </w:r>
      <w:r>
        <w:rPr>
          <w:spacing w:val="-4"/>
          <w:w w:val="105"/>
        </w:rPr>
        <w:t> </w:t>
      </w:r>
      <w:r>
        <w:rPr>
          <w:w w:val="105"/>
        </w:rPr>
        <w:t>Other</w:t>
      </w:r>
      <w:r>
        <w:rPr>
          <w:spacing w:val="-4"/>
          <w:w w:val="105"/>
        </w:rPr>
        <w:t> </w:t>
      </w:r>
      <w:r>
        <w:rPr>
          <w:w w:val="105"/>
        </w:rPr>
        <w:t>advanced</w:t>
      </w:r>
      <w:r>
        <w:rPr>
          <w:spacing w:val="-4"/>
          <w:w w:val="105"/>
        </w:rPr>
        <w:t> </w:t>
      </w:r>
      <w:r>
        <w:rPr>
          <w:w w:val="105"/>
        </w:rPr>
        <w:t>payments</w:t>
      </w:r>
      <w:r>
        <w:rPr>
          <w:spacing w:val="-4"/>
          <w:w w:val="105"/>
        </w:rPr>
        <w:t> </w:t>
      </w:r>
      <w:r>
        <w:rPr>
          <w:w w:val="105"/>
        </w:rPr>
        <w:t>are</w:t>
      </w:r>
      <w:r>
        <w:rPr>
          <w:spacing w:val="-3"/>
          <w:w w:val="105"/>
        </w:rPr>
        <w:t> </w:t>
      </w:r>
      <w:r>
        <w:rPr>
          <w:w w:val="105"/>
        </w:rPr>
        <w:t>not</w:t>
      </w:r>
      <w:r>
        <w:rPr>
          <w:spacing w:val="-4"/>
          <w:w w:val="105"/>
        </w:rPr>
        <w:t> </w:t>
      </w:r>
      <w:r>
        <w:rPr>
          <w:w w:val="105"/>
        </w:rPr>
        <w:t>significant</w:t>
      </w:r>
      <w:r>
        <w:rPr>
          <w:spacing w:val="-4"/>
          <w:w w:val="105"/>
        </w:rPr>
        <w:t> </w:t>
      </w:r>
      <w:r>
        <w:rPr>
          <w:w w:val="105"/>
        </w:rPr>
        <w:t>to</w:t>
      </w:r>
      <w:r>
        <w:rPr>
          <w:spacing w:val="-4"/>
          <w:w w:val="105"/>
        </w:rPr>
        <w:t> </w:t>
      </w:r>
      <w:r>
        <w:rPr>
          <w:w w:val="105"/>
        </w:rPr>
        <w:t>operations</w:t>
      </w:r>
      <w:r>
        <w:rPr>
          <w:spacing w:val="-4"/>
          <w:w w:val="105"/>
        </w:rPr>
        <w:t> </w:t>
      </w:r>
      <w:r>
        <w:rPr>
          <w:w w:val="105"/>
        </w:rPr>
        <w:t>and</w:t>
      </w:r>
      <w:r>
        <w:rPr>
          <w:spacing w:val="-4"/>
          <w:w w:val="105"/>
        </w:rPr>
        <w:t> </w:t>
      </w:r>
      <w:r>
        <w:rPr>
          <w:w w:val="105"/>
        </w:rPr>
        <w:t>are</w:t>
      </w:r>
      <w:r>
        <w:rPr>
          <w:spacing w:val="-4"/>
          <w:w w:val="105"/>
        </w:rPr>
        <w:t> </w:t>
      </w:r>
      <w:r>
        <w:rPr>
          <w:w w:val="105"/>
        </w:rPr>
        <w:t>classified as</w:t>
      </w:r>
      <w:r>
        <w:rPr>
          <w:spacing w:val="-8"/>
          <w:w w:val="105"/>
        </w:rPr>
        <w:t> </w:t>
      </w:r>
      <w:r>
        <w:rPr>
          <w:w w:val="105"/>
        </w:rPr>
        <w:t>part</w:t>
      </w:r>
      <w:r>
        <w:rPr>
          <w:spacing w:val="-8"/>
          <w:w w:val="105"/>
        </w:rPr>
        <w:t> </w:t>
      </w:r>
      <w:r>
        <w:rPr>
          <w:w w:val="105"/>
        </w:rPr>
        <w:t>of</w:t>
      </w:r>
      <w:r>
        <w:rPr>
          <w:spacing w:val="-8"/>
          <w:w w:val="105"/>
        </w:rPr>
        <w:t> </w:t>
      </w:r>
      <w:r>
        <w:rPr>
          <w:w w:val="105"/>
        </w:rPr>
        <w:t>other</w:t>
      </w:r>
      <w:r>
        <w:rPr>
          <w:spacing w:val="-8"/>
          <w:w w:val="105"/>
        </w:rPr>
        <w:t> </w:t>
      </w:r>
      <w:r>
        <w:rPr>
          <w:w w:val="105"/>
        </w:rPr>
        <w:t>accrued</w:t>
      </w:r>
      <w:r>
        <w:rPr>
          <w:spacing w:val="-8"/>
          <w:w w:val="105"/>
        </w:rPr>
        <w:t> </w:t>
      </w:r>
      <w:r>
        <w:rPr>
          <w:w w:val="105"/>
        </w:rPr>
        <w:t>liabilities</w:t>
      </w:r>
      <w:r>
        <w:rPr>
          <w:spacing w:val="-8"/>
          <w:w w:val="105"/>
        </w:rPr>
        <w:t> </w:t>
      </w:r>
      <w:r>
        <w:rPr>
          <w:w w:val="105"/>
        </w:rPr>
        <w:t>in</w:t>
      </w:r>
      <w:r>
        <w:rPr>
          <w:spacing w:val="-8"/>
          <w:w w:val="105"/>
        </w:rPr>
        <w:t> </w:t>
      </w:r>
      <w:r>
        <w:rPr>
          <w:w w:val="105"/>
        </w:rPr>
        <w:t>the</w:t>
      </w:r>
      <w:r>
        <w:rPr>
          <w:spacing w:val="-8"/>
          <w:w w:val="105"/>
        </w:rPr>
        <w:t> </w:t>
      </w:r>
      <w:r>
        <w:rPr>
          <w:w w:val="105"/>
        </w:rPr>
        <w:t>financial</w:t>
      </w:r>
      <w:r>
        <w:rPr>
          <w:spacing w:val="-8"/>
          <w:w w:val="105"/>
        </w:rPr>
        <w:t> </w:t>
      </w:r>
      <w:r>
        <w:rPr>
          <w:w w:val="105"/>
        </w:rPr>
        <w:t>statements.</w:t>
      </w:r>
      <w:r>
        <w:rPr>
          <w:spacing w:val="-8"/>
          <w:w w:val="105"/>
        </w:rPr>
        <w:t> </w:t>
      </w:r>
      <w:r>
        <w:rPr>
          <w:w w:val="105"/>
        </w:rPr>
        <w:t>Customer</w:t>
      </w:r>
      <w:r>
        <w:rPr>
          <w:spacing w:val="-8"/>
          <w:w w:val="105"/>
        </w:rPr>
        <w:t> </w:t>
      </w:r>
      <w:r>
        <w:rPr>
          <w:w w:val="105"/>
        </w:rPr>
        <w:t>deposits</w:t>
      </w:r>
      <w:r>
        <w:rPr>
          <w:spacing w:val="-10"/>
          <w:w w:val="105"/>
        </w:rPr>
        <w:t> </w:t>
      </w:r>
      <w:r>
        <w:rPr>
          <w:w w:val="105"/>
        </w:rPr>
        <w:t>are</w:t>
      </w:r>
      <w:r>
        <w:rPr>
          <w:spacing w:val="-8"/>
          <w:w w:val="105"/>
        </w:rPr>
        <w:t> </w:t>
      </w:r>
      <w:r>
        <w:rPr>
          <w:w w:val="105"/>
        </w:rPr>
        <w:t>predominately</w:t>
      </w:r>
      <w:r>
        <w:rPr>
          <w:spacing w:val="-8"/>
          <w:w w:val="105"/>
        </w:rPr>
        <w:t> </w:t>
      </w:r>
      <w:r>
        <w:rPr>
          <w:w w:val="105"/>
        </w:rPr>
        <w:t>related</w:t>
      </w:r>
      <w:r>
        <w:rPr>
          <w:spacing w:val="-8"/>
          <w:w w:val="105"/>
        </w:rPr>
        <w:t> </w:t>
      </w:r>
      <w:r>
        <w:rPr>
          <w:w w:val="105"/>
        </w:rPr>
        <w:t>to</w:t>
      </w:r>
      <w:r>
        <w:rPr>
          <w:spacing w:val="-10"/>
          <w:w w:val="105"/>
        </w:rPr>
        <w:t> </w:t>
      </w:r>
      <w:r>
        <w:rPr>
          <w:w w:val="105"/>
        </w:rPr>
        <w:t>Display</w:t>
      </w:r>
      <w:r>
        <w:rPr>
          <w:spacing w:val="-8"/>
          <w:w w:val="105"/>
        </w:rPr>
        <w:t> </w:t>
      </w:r>
      <w:r>
        <w:rPr>
          <w:w w:val="105"/>
        </w:rPr>
        <w:t>products</w:t>
      </w:r>
      <w:r>
        <w:rPr>
          <w:spacing w:val="-8"/>
          <w:w w:val="105"/>
        </w:rPr>
        <w:t> </w:t>
      </w:r>
      <w:r>
        <w:rPr>
          <w:w w:val="105"/>
        </w:rPr>
        <w:t>and</w:t>
      </w:r>
      <w:r>
        <w:rPr>
          <w:spacing w:val="-10"/>
          <w:w w:val="105"/>
        </w:rPr>
        <w:t> </w:t>
      </w:r>
      <w:r>
        <w:rPr>
          <w:w w:val="105"/>
        </w:rPr>
        <w:t>deferred</w:t>
      </w:r>
      <w:r>
        <w:rPr>
          <w:spacing w:val="-8"/>
          <w:w w:val="105"/>
        </w:rPr>
        <w:t> </w:t>
      </w:r>
      <w:r>
        <w:rPr>
          <w:w w:val="105"/>
        </w:rPr>
        <w:t>revenue</w:t>
      </w:r>
      <w:r>
        <w:rPr>
          <w:spacing w:val="-8"/>
          <w:w w:val="105"/>
        </w:rPr>
        <w:t> </w:t>
      </w:r>
      <w:r>
        <w:rPr>
          <w:w w:val="105"/>
        </w:rPr>
        <w:t>is</w:t>
      </w:r>
      <w:r>
        <w:rPr>
          <w:spacing w:val="-8"/>
          <w:w w:val="105"/>
        </w:rPr>
        <w:t> </w:t>
      </w:r>
      <w:r>
        <w:rPr>
          <w:w w:val="105"/>
        </w:rPr>
        <w:t>predominately</w:t>
      </w:r>
      <w:r>
        <w:rPr>
          <w:spacing w:val="-8"/>
          <w:w w:val="105"/>
        </w:rPr>
        <w:t> </w:t>
      </w:r>
      <w:r>
        <w:rPr>
          <w:w w:val="105"/>
        </w:rPr>
        <w:t>related to obtaining a controlling interest in HSG.</w:t>
      </w:r>
    </w:p>
    <w:p>
      <w:pPr>
        <w:pStyle w:val="BodyText"/>
        <w:spacing w:before="19"/>
      </w:pPr>
    </w:p>
    <w:p>
      <w:pPr>
        <w:pStyle w:val="BodyText"/>
        <w:ind w:left="48"/>
        <w:jc w:val="center"/>
      </w:pPr>
      <w:r>
        <w:rPr>
          <w:spacing w:val="-5"/>
          <w:w w:val="105"/>
        </w:rPr>
        <w:t>82</w:t>
      </w:r>
    </w:p>
    <w:p>
      <w:pPr>
        <w:pStyle w:val="BodyText"/>
        <w:spacing w:before="11"/>
        <w:rPr>
          <w:sz w:val="5"/>
        </w:rPr>
      </w:pPr>
      <w:r>
        <w:rPr/>
        <mc:AlternateContent>
          <mc:Choice Requires="wps">
            <w:drawing>
              <wp:anchor distT="0" distB="0" distL="0" distR="0" allowOverlap="1" layoutInCell="1" locked="0" behindDoc="1" simplePos="0" relativeHeight="487681536">
                <wp:simplePos x="0" y="0"/>
                <wp:positionH relativeFrom="page">
                  <wp:posOffset>226488</wp:posOffset>
                </wp:positionH>
                <wp:positionV relativeFrom="paragraph">
                  <wp:posOffset>58734</wp:posOffset>
                </wp:positionV>
                <wp:extent cx="7312659" cy="16510"/>
                <wp:effectExtent l="0" t="0" r="0" b="0"/>
                <wp:wrapTopAndBottom/>
                <wp:docPr id="378" name="Graphic 378"/>
                <wp:cNvGraphicFramePr>
                  <a:graphicFrameLocks/>
                </wp:cNvGraphicFramePr>
                <a:graphic>
                  <a:graphicData uri="http://schemas.microsoft.com/office/word/2010/wordprocessingShape">
                    <wps:wsp>
                      <wps:cNvPr id="378" name="Graphic 378"/>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34944;mso-wrap-distance-left:0;mso-wrap-distance-right:0" id="docshape377"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numPr>
          <w:ilvl w:val="0"/>
          <w:numId w:val="42"/>
        </w:numPr>
        <w:tabs>
          <w:tab w:pos="362" w:val="left" w:leader="none"/>
        </w:tabs>
        <w:spacing w:line="240" w:lineRule="auto" w:before="0" w:after="0"/>
        <w:ind w:left="362" w:right="0" w:hanging="206"/>
        <w:jc w:val="left"/>
      </w:pPr>
      <w:r>
        <w:rPr/>
        <w:t>Revenue</w:t>
      </w:r>
      <w:r>
        <w:rPr>
          <w:spacing w:val="18"/>
        </w:rPr>
        <w:t> </w:t>
      </w:r>
      <w:r>
        <w:rPr>
          <w:spacing w:val="-2"/>
        </w:rPr>
        <w:t>(Continued)</w:t>
      </w:r>
    </w:p>
    <w:p>
      <w:pPr>
        <w:pStyle w:val="BodyText"/>
        <w:spacing w:before="40"/>
        <w:rPr>
          <w:b/>
        </w:rPr>
      </w:pPr>
    </w:p>
    <w:p>
      <w:pPr>
        <w:pStyle w:val="Heading3"/>
      </w:pPr>
      <w:r>
        <w:rPr/>
        <w:t>Customer</w:t>
      </w:r>
      <w:r>
        <w:rPr>
          <w:spacing w:val="13"/>
        </w:rPr>
        <w:t> </w:t>
      </w:r>
      <w:r>
        <w:rPr>
          <w:spacing w:val="-2"/>
        </w:rPr>
        <w:t>Deposits</w:t>
      </w:r>
    </w:p>
    <w:p>
      <w:pPr>
        <w:pStyle w:val="BodyText"/>
        <w:spacing w:before="39"/>
        <w:rPr>
          <w:b/>
          <w:i/>
        </w:rPr>
      </w:pPr>
    </w:p>
    <w:p>
      <w:pPr>
        <w:pStyle w:val="BodyText"/>
        <w:spacing w:line="266" w:lineRule="auto"/>
        <w:ind w:left="156" w:right="228"/>
      </w:pPr>
      <w:r>
        <w:rPr>
          <w:w w:val="105"/>
        </w:rPr>
        <w:t>As</w:t>
      </w:r>
      <w:r>
        <w:rPr>
          <w:spacing w:val="-2"/>
          <w:w w:val="105"/>
        </w:rPr>
        <w:t> </w:t>
      </w:r>
      <w:r>
        <w:rPr>
          <w:w w:val="105"/>
        </w:rPr>
        <w:t>of</w:t>
      </w:r>
      <w:r>
        <w:rPr>
          <w:spacing w:val="-1"/>
          <w:w w:val="105"/>
        </w:rPr>
        <w:t> </w:t>
      </w:r>
      <w:r>
        <w:rPr>
          <w:w w:val="105"/>
        </w:rPr>
        <w:t>December</w:t>
      </w:r>
      <w:r>
        <w:rPr>
          <w:spacing w:val="-2"/>
          <w:w w:val="105"/>
        </w:rPr>
        <w:t> </w:t>
      </w:r>
      <w:r>
        <w:rPr>
          <w:w w:val="105"/>
        </w:rPr>
        <w:t>31,</w:t>
      </w:r>
      <w:r>
        <w:rPr>
          <w:spacing w:val="-2"/>
          <w:w w:val="105"/>
        </w:rPr>
        <w:t> </w:t>
      </w:r>
      <w:r>
        <w:rPr>
          <w:w w:val="105"/>
        </w:rPr>
        <w:t>2021</w:t>
      </w:r>
      <w:r>
        <w:rPr>
          <w:spacing w:val="-1"/>
          <w:w w:val="105"/>
        </w:rPr>
        <w:t> </w:t>
      </w:r>
      <w:r>
        <w:rPr>
          <w:w w:val="105"/>
        </w:rPr>
        <w:t>and</w:t>
      </w:r>
      <w:r>
        <w:rPr>
          <w:spacing w:val="-2"/>
          <w:w w:val="105"/>
        </w:rPr>
        <w:t> </w:t>
      </w:r>
      <w:r>
        <w:rPr>
          <w:w w:val="105"/>
        </w:rPr>
        <w:t>2020,</w:t>
      </w:r>
      <w:r>
        <w:rPr>
          <w:spacing w:val="-2"/>
          <w:w w:val="105"/>
        </w:rPr>
        <w:t> </w:t>
      </w:r>
      <w:r>
        <w:rPr>
          <w:w w:val="105"/>
        </w:rPr>
        <w:t>Corning</w:t>
      </w:r>
      <w:r>
        <w:rPr>
          <w:spacing w:val="-2"/>
          <w:w w:val="105"/>
        </w:rPr>
        <w:t> </w:t>
      </w:r>
      <w:r>
        <w:rPr>
          <w:w w:val="105"/>
        </w:rPr>
        <w:t>had</w:t>
      </w:r>
      <w:r>
        <w:rPr>
          <w:spacing w:val="-2"/>
          <w:w w:val="105"/>
        </w:rPr>
        <w:t> </w:t>
      </w:r>
      <w:r>
        <w:rPr>
          <w:w w:val="105"/>
        </w:rPr>
        <w:t>customer</w:t>
      </w:r>
      <w:r>
        <w:rPr>
          <w:spacing w:val="-2"/>
          <w:w w:val="105"/>
        </w:rPr>
        <w:t> </w:t>
      </w:r>
      <w:r>
        <w:rPr>
          <w:w w:val="105"/>
        </w:rPr>
        <w:t>deposits</w:t>
      </w:r>
      <w:r>
        <w:rPr>
          <w:spacing w:val="-2"/>
          <w:w w:val="105"/>
        </w:rPr>
        <w:t> </w:t>
      </w:r>
      <w:r>
        <w:rPr>
          <w:w w:val="105"/>
        </w:rPr>
        <w:t>of</w:t>
      </w:r>
      <w:r>
        <w:rPr>
          <w:spacing w:val="-2"/>
          <w:w w:val="105"/>
        </w:rPr>
        <w:t> </w:t>
      </w:r>
      <w:r>
        <w:rPr>
          <w:w w:val="105"/>
        </w:rPr>
        <w:t>approximately</w:t>
      </w:r>
      <w:r>
        <w:rPr>
          <w:spacing w:val="-2"/>
          <w:w w:val="105"/>
        </w:rPr>
        <w:t> </w:t>
      </w:r>
      <w:r>
        <w:rPr>
          <w:w w:val="105"/>
        </w:rPr>
        <w:t>$1.3</w:t>
      </w:r>
      <w:r>
        <w:rPr>
          <w:spacing w:val="-2"/>
          <w:w w:val="105"/>
        </w:rPr>
        <w:t> </w:t>
      </w:r>
      <w:r>
        <w:rPr>
          <w:w w:val="105"/>
        </w:rPr>
        <w:t>billion</w:t>
      </w:r>
      <w:r>
        <w:rPr>
          <w:spacing w:val="-2"/>
          <w:w w:val="105"/>
        </w:rPr>
        <w:t> </w:t>
      </w:r>
      <w:r>
        <w:rPr>
          <w:w w:val="105"/>
        </w:rPr>
        <w:t>and</w:t>
      </w:r>
      <w:r>
        <w:rPr>
          <w:spacing w:val="-2"/>
          <w:w w:val="105"/>
        </w:rPr>
        <w:t> </w:t>
      </w:r>
      <w:r>
        <w:rPr>
          <w:w w:val="105"/>
        </w:rPr>
        <w:t>$1.4</w:t>
      </w:r>
      <w:r>
        <w:rPr>
          <w:spacing w:val="-2"/>
          <w:w w:val="105"/>
        </w:rPr>
        <w:t> </w:t>
      </w:r>
      <w:r>
        <w:rPr>
          <w:w w:val="105"/>
        </w:rPr>
        <w:t>billion.</w:t>
      </w:r>
      <w:r>
        <w:rPr>
          <w:spacing w:val="38"/>
          <w:w w:val="105"/>
        </w:rPr>
        <w:t> </w:t>
      </w:r>
      <w:r>
        <w:rPr>
          <w:w w:val="105"/>
        </w:rPr>
        <w:t>Most</w:t>
      </w:r>
      <w:r>
        <w:rPr>
          <w:spacing w:val="-2"/>
          <w:w w:val="105"/>
        </w:rPr>
        <w:t> </w:t>
      </w:r>
      <w:r>
        <w:rPr>
          <w:w w:val="105"/>
        </w:rPr>
        <w:t>of</w:t>
      </w:r>
      <w:r>
        <w:rPr>
          <w:spacing w:val="-2"/>
          <w:w w:val="105"/>
        </w:rPr>
        <w:t> </w:t>
      </w:r>
      <w:r>
        <w:rPr>
          <w:w w:val="105"/>
        </w:rPr>
        <w:t>these</w:t>
      </w:r>
      <w:r>
        <w:rPr>
          <w:spacing w:val="-2"/>
          <w:w w:val="105"/>
        </w:rPr>
        <w:t> </w:t>
      </w:r>
      <w:r>
        <w:rPr>
          <w:w w:val="105"/>
        </w:rPr>
        <w:t>customer</w:t>
      </w:r>
      <w:r>
        <w:rPr>
          <w:spacing w:val="-2"/>
          <w:w w:val="105"/>
        </w:rPr>
        <w:t> </w:t>
      </w:r>
      <w:r>
        <w:rPr>
          <w:w w:val="105"/>
        </w:rPr>
        <w:t>deposits</w:t>
      </w:r>
      <w:r>
        <w:rPr>
          <w:spacing w:val="-2"/>
          <w:w w:val="105"/>
        </w:rPr>
        <w:t> </w:t>
      </w:r>
      <w:r>
        <w:rPr>
          <w:w w:val="105"/>
        </w:rPr>
        <w:t>were</w:t>
      </w:r>
      <w:r>
        <w:rPr>
          <w:spacing w:val="-2"/>
          <w:w w:val="105"/>
        </w:rPr>
        <w:t> </w:t>
      </w:r>
      <w:r>
        <w:rPr>
          <w:w w:val="105"/>
        </w:rPr>
        <w:t>non-refundable and</w:t>
      </w:r>
      <w:r>
        <w:rPr>
          <w:spacing w:val="-9"/>
          <w:w w:val="105"/>
        </w:rPr>
        <w:t> </w:t>
      </w:r>
      <w:r>
        <w:rPr>
          <w:w w:val="105"/>
        </w:rPr>
        <w:t>allowed</w:t>
      </w:r>
      <w:r>
        <w:rPr>
          <w:spacing w:val="-9"/>
          <w:w w:val="105"/>
        </w:rPr>
        <w:t> </w:t>
      </w:r>
      <w:r>
        <w:rPr>
          <w:w w:val="105"/>
        </w:rPr>
        <w:t>customers</w:t>
      </w:r>
      <w:r>
        <w:rPr>
          <w:spacing w:val="-9"/>
          <w:w w:val="105"/>
        </w:rPr>
        <w:t> </w:t>
      </w:r>
      <w:r>
        <w:rPr>
          <w:w w:val="105"/>
        </w:rPr>
        <w:t>to</w:t>
      </w:r>
      <w:r>
        <w:rPr>
          <w:spacing w:val="-9"/>
          <w:w w:val="105"/>
        </w:rPr>
        <w:t> </w:t>
      </w:r>
      <w:r>
        <w:rPr>
          <w:w w:val="105"/>
        </w:rPr>
        <w:t>secure</w:t>
      </w:r>
      <w:r>
        <w:rPr>
          <w:spacing w:val="-9"/>
          <w:w w:val="105"/>
        </w:rPr>
        <w:t> </w:t>
      </w:r>
      <w:r>
        <w:rPr>
          <w:w w:val="105"/>
        </w:rPr>
        <w:t>rights</w:t>
      </w:r>
      <w:r>
        <w:rPr>
          <w:spacing w:val="-9"/>
          <w:w w:val="105"/>
        </w:rPr>
        <w:t> </w:t>
      </w:r>
      <w:r>
        <w:rPr>
          <w:w w:val="105"/>
        </w:rPr>
        <w:t>to</w:t>
      </w:r>
      <w:r>
        <w:rPr>
          <w:spacing w:val="-9"/>
          <w:w w:val="105"/>
        </w:rPr>
        <w:t> </w:t>
      </w:r>
      <w:r>
        <w:rPr>
          <w:w w:val="105"/>
        </w:rPr>
        <w:t>products</w:t>
      </w:r>
      <w:r>
        <w:rPr>
          <w:spacing w:val="-9"/>
          <w:w w:val="105"/>
        </w:rPr>
        <w:t> </w:t>
      </w:r>
      <w:r>
        <w:rPr>
          <w:w w:val="105"/>
        </w:rPr>
        <w:t>produced</w:t>
      </w:r>
      <w:r>
        <w:rPr>
          <w:spacing w:val="-9"/>
          <w:w w:val="105"/>
        </w:rPr>
        <w:t> </w:t>
      </w:r>
      <w:r>
        <w:rPr>
          <w:w w:val="105"/>
        </w:rPr>
        <w:t>by</w:t>
      </w:r>
      <w:r>
        <w:rPr>
          <w:spacing w:val="-9"/>
          <w:w w:val="105"/>
        </w:rPr>
        <w:t> </w:t>
      </w:r>
      <w:r>
        <w:rPr>
          <w:w w:val="105"/>
        </w:rPr>
        <w:t>Corning</w:t>
      </w:r>
      <w:r>
        <w:rPr>
          <w:spacing w:val="-9"/>
          <w:w w:val="105"/>
        </w:rPr>
        <w:t> </w:t>
      </w:r>
      <w:r>
        <w:rPr>
          <w:w w:val="105"/>
        </w:rPr>
        <w:t>under</w:t>
      </w:r>
      <w:r>
        <w:rPr>
          <w:spacing w:val="-9"/>
          <w:w w:val="105"/>
        </w:rPr>
        <w:t> </w:t>
      </w:r>
      <w:r>
        <w:rPr>
          <w:w w:val="105"/>
        </w:rPr>
        <w:t>long-term</w:t>
      </w:r>
      <w:r>
        <w:rPr>
          <w:spacing w:val="-9"/>
          <w:w w:val="105"/>
        </w:rPr>
        <w:t> </w:t>
      </w:r>
      <w:r>
        <w:rPr>
          <w:w w:val="105"/>
        </w:rPr>
        <w:t>supply</w:t>
      </w:r>
      <w:r>
        <w:rPr>
          <w:spacing w:val="-9"/>
          <w:w w:val="105"/>
        </w:rPr>
        <w:t> </w:t>
      </w:r>
      <w:r>
        <w:rPr>
          <w:w w:val="105"/>
        </w:rPr>
        <w:t>agreements.</w:t>
      </w:r>
      <w:r>
        <w:rPr>
          <w:spacing w:val="25"/>
          <w:w w:val="105"/>
        </w:rPr>
        <w:t> </w:t>
      </w:r>
      <w:r>
        <w:rPr>
          <w:w w:val="105"/>
        </w:rPr>
        <w:t>The</w:t>
      </w:r>
      <w:r>
        <w:rPr>
          <w:spacing w:val="-9"/>
          <w:w w:val="105"/>
        </w:rPr>
        <w:t> </w:t>
      </w:r>
      <w:r>
        <w:rPr>
          <w:w w:val="105"/>
        </w:rPr>
        <w:t>duration</w:t>
      </w:r>
      <w:r>
        <w:rPr>
          <w:spacing w:val="-9"/>
          <w:w w:val="105"/>
        </w:rPr>
        <w:t> </w:t>
      </w:r>
      <w:r>
        <w:rPr>
          <w:w w:val="105"/>
        </w:rPr>
        <w:t>of</w:t>
      </w:r>
      <w:r>
        <w:rPr>
          <w:spacing w:val="-9"/>
          <w:w w:val="105"/>
        </w:rPr>
        <w:t> </w:t>
      </w:r>
      <w:r>
        <w:rPr>
          <w:w w:val="105"/>
        </w:rPr>
        <w:t>these</w:t>
      </w:r>
      <w:r>
        <w:rPr>
          <w:spacing w:val="-9"/>
          <w:w w:val="105"/>
        </w:rPr>
        <w:t> </w:t>
      </w:r>
      <w:r>
        <w:rPr>
          <w:w w:val="105"/>
        </w:rPr>
        <w:t>long-term</w:t>
      </w:r>
      <w:r>
        <w:rPr>
          <w:spacing w:val="-9"/>
          <w:w w:val="105"/>
        </w:rPr>
        <w:t> </w:t>
      </w:r>
      <w:r>
        <w:rPr>
          <w:w w:val="105"/>
        </w:rPr>
        <w:t>supply</w:t>
      </w:r>
      <w:r>
        <w:rPr>
          <w:spacing w:val="-9"/>
          <w:w w:val="105"/>
        </w:rPr>
        <w:t> </w:t>
      </w:r>
      <w:r>
        <w:rPr>
          <w:w w:val="105"/>
        </w:rPr>
        <w:t>agreements</w:t>
      </w:r>
      <w:r>
        <w:rPr>
          <w:spacing w:val="-7"/>
          <w:w w:val="105"/>
        </w:rPr>
        <w:t> </w:t>
      </w:r>
      <w:r>
        <w:rPr>
          <w:w w:val="105"/>
        </w:rPr>
        <w:t>ranges</w:t>
      </w:r>
      <w:r>
        <w:rPr>
          <w:spacing w:val="-9"/>
          <w:w w:val="105"/>
        </w:rPr>
        <w:t> </w:t>
      </w:r>
      <w:r>
        <w:rPr>
          <w:w w:val="105"/>
        </w:rPr>
        <w:t>up to</w:t>
      </w:r>
      <w:r>
        <w:rPr>
          <w:spacing w:val="-1"/>
          <w:w w:val="105"/>
        </w:rPr>
        <w:t> </w:t>
      </w:r>
      <w:r>
        <w:rPr>
          <w:w w:val="105"/>
        </w:rPr>
        <w:t>10</w:t>
      </w:r>
      <w:r>
        <w:rPr>
          <w:spacing w:val="-1"/>
          <w:w w:val="105"/>
        </w:rPr>
        <w:t> </w:t>
      </w:r>
      <w:r>
        <w:rPr>
          <w:w w:val="105"/>
        </w:rPr>
        <w:t>years.</w:t>
      </w:r>
      <w:r>
        <w:rPr>
          <w:spacing w:val="40"/>
          <w:w w:val="105"/>
        </w:rPr>
        <w:t> </w:t>
      </w:r>
      <w:r>
        <w:rPr>
          <w:w w:val="105"/>
        </w:rPr>
        <w:t>As</w:t>
      </w:r>
      <w:r>
        <w:rPr>
          <w:spacing w:val="-1"/>
          <w:w w:val="105"/>
        </w:rPr>
        <w:t> </w:t>
      </w:r>
      <w:r>
        <w:rPr>
          <w:w w:val="105"/>
        </w:rPr>
        <w:t>products</w:t>
      </w:r>
      <w:r>
        <w:rPr>
          <w:spacing w:val="-1"/>
          <w:w w:val="105"/>
        </w:rPr>
        <w:t> </w:t>
      </w:r>
      <w:r>
        <w:rPr>
          <w:w w:val="105"/>
        </w:rPr>
        <w:t>are</w:t>
      </w:r>
      <w:r>
        <w:rPr>
          <w:spacing w:val="-1"/>
          <w:w w:val="105"/>
        </w:rPr>
        <w:t> </w:t>
      </w:r>
      <w:r>
        <w:rPr>
          <w:w w:val="105"/>
        </w:rPr>
        <w:t>shipped</w:t>
      </w:r>
      <w:r>
        <w:rPr>
          <w:spacing w:val="-1"/>
          <w:w w:val="105"/>
        </w:rPr>
        <w:t> </w:t>
      </w:r>
      <w:r>
        <w:rPr>
          <w:w w:val="105"/>
        </w:rPr>
        <w:t>to customers,</w:t>
      </w:r>
      <w:r>
        <w:rPr>
          <w:spacing w:val="-1"/>
          <w:w w:val="105"/>
        </w:rPr>
        <w:t> </w:t>
      </w:r>
      <w:r>
        <w:rPr>
          <w:w w:val="105"/>
        </w:rPr>
        <w:t>Corning</w:t>
      </w:r>
      <w:r>
        <w:rPr>
          <w:spacing w:val="-1"/>
          <w:w w:val="105"/>
        </w:rPr>
        <w:t> </w:t>
      </w:r>
      <w:r>
        <w:rPr>
          <w:w w:val="105"/>
        </w:rPr>
        <w:t>will</w:t>
      </w:r>
      <w:r>
        <w:rPr>
          <w:spacing w:val="-1"/>
          <w:w w:val="105"/>
        </w:rPr>
        <w:t> </w:t>
      </w:r>
      <w:r>
        <w:rPr>
          <w:w w:val="105"/>
        </w:rPr>
        <w:t>recognize</w:t>
      </w:r>
      <w:r>
        <w:rPr>
          <w:spacing w:val="-1"/>
          <w:w w:val="105"/>
        </w:rPr>
        <w:t> </w:t>
      </w:r>
      <w:r>
        <w:rPr>
          <w:w w:val="105"/>
        </w:rPr>
        <w:t>revenue</w:t>
      </w:r>
      <w:r>
        <w:rPr>
          <w:spacing w:val="-1"/>
          <w:w w:val="105"/>
        </w:rPr>
        <w:t> </w:t>
      </w:r>
      <w:r>
        <w:rPr>
          <w:w w:val="105"/>
        </w:rPr>
        <w:t>and</w:t>
      </w:r>
      <w:r>
        <w:rPr>
          <w:spacing w:val="-1"/>
          <w:w w:val="105"/>
        </w:rPr>
        <w:t> </w:t>
      </w:r>
      <w:r>
        <w:rPr>
          <w:w w:val="105"/>
        </w:rPr>
        <w:t>reduce</w:t>
      </w:r>
      <w:r>
        <w:rPr>
          <w:spacing w:val="-1"/>
          <w:w w:val="105"/>
        </w:rPr>
        <w:t> </w:t>
      </w:r>
      <w:r>
        <w:rPr>
          <w:w w:val="105"/>
        </w:rPr>
        <w:t>the</w:t>
      </w:r>
      <w:r>
        <w:rPr>
          <w:spacing w:val="-1"/>
          <w:w w:val="105"/>
        </w:rPr>
        <w:t> </w:t>
      </w:r>
      <w:r>
        <w:rPr>
          <w:w w:val="105"/>
        </w:rPr>
        <w:t>amount</w:t>
      </w:r>
      <w:r>
        <w:rPr>
          <w:spacing w:val="-1"/>
          <w:w w:val="105"/>
        </w:rPr>
        <w:t> </w:t>
      </w:r>
      <w:r>
        <w:rPr>
          <w:w w:val="105"/>
        </w:rPr>
        <w:t>of</w:t>
      </w:r>
      <w:r>
        <w:rPr>
          <w:spacing w:val="-1"/>
          <w:w w:val="105"/>
        </w:rPr>
        <w:t> </w:t>
      </w:r>
      <w:r>
        <w:rPr>
          <w:w w:val="105"/>
        </w:rPr>
        <w:t>the</w:t>
      </w:r>
      <w:r>
        <w:rPr>
          <w:spacing w:val="-1"/>
          <w:w w:val="105"/>
        </w:rPr>
        <w:t> </w:t>
      </w:r>
      <w:r>
        <w:rPr>
          <w:w w:val="105"/>
        </w:rPr>
        <w:t>customer</w:t>
      </w:r>
      <w:r>
        <w:rPr>
          <w:spacing w:val="-1"/>
          <w:w w:val="105"/>
        </w:rPr>
        <w:t> </w:t>
      </w:r>
      <w:r>
        <w:rPr>
          <w:w w:val="105"/>
        </w:rPr>
        <w:t>deposit liability.</w:t>
      </w:r>
    </w:p>
    <w:p>
      <w:pPr>
        <w:pStyle w:val="BodyText"/>
        <w:spacing w:before="19"/>
      </w:pPr>
    </w:p>
    <w:p>
      <w:pPr>
        <w:pStyle w:val="BodyText"/>
        <w:spacing w:line="266" w:lineRule="auto"/>
        <w:ind w:left="156" w:right="117"/>
      </w:pPr>
      <w:r>
        <w:rPr>
          <w:w w:val="105"/>
        </w:rPr>
        <w:t>In</w:t>
      </w:r>
      <w:r>
        <w:rPr>
          <w:spacing w:val="-8"/>
          <w:w w:val="105"/>
        </w:rPr>
        <w:t> </w:t>
      </w:r>
      <w:r>
        <w:rPr>
          <w:w w:val="105"/>
        </w:rPr>
        <w:t>the</w:t>
      </w:r>
      <w:r>
        <w:rPr>
          <w:spacing w:val="-8"/>
          <w:w w:val="105"/>
        </w:rPr>
        <w:t> </w:t>
      </w:r>
      <w:r>
        <w:rPr>
          <w:w w:val="105"/>
        </w:rPr>
        <w:t>years</w:t>
      </w:r>
      <w:r>
        <w:rPr>
          <w:spacing w:val="-8"/>
          <w:w w:val="105"/>
        </w:rPr>
        <w:t> </w:t>
      </w:r>
      <w:r>
        <w:rPr>
          <w:w w:val="105"/>
        </w:rPr>
        <w:t>ended</w:t>
      </w:r>
      <w:r>
        <w:rPr>
          <w:spacing w:val="-7"/>
          <w:w w:val="105"/>
        </w:rPr>
        <w:t> </w:t>
      </w:r>
      <w:r>
        <w:rPr>
          <w:w w:val="105"/>
        </w:rPr>
        <w:t>December</w:t>
      </w:r>
      <w:r>
        <w:rPr>
          <w:spacing w:val="-8"/>
          <w:w w:val="105"/>
        </w:rPr>
        <w:t> </w:t>
      </w:r>
      <w:r>
        <w:rPr>
          <w:w w:val="105"/>
        </w:rPr>
        <w:t>31,</w:t>
      </w:r>
      <w:r>
        <w:rPr>
          <w:spacing w:val="-8"/>
          <w:w w:val="105"/>
        </w:rPr>
        <w:t> </w:t>
      </w:r>
      <w:r>
        <w:rPr>
          <w:w w:val="105"/>
        </w:rPr>
        <w:t>2021</w:t>
      </w:r>
      <w:r>
        <w:rPr>
          <w:spacing w:val="-7"/>
          <w:w w:val="105"/>
        </w:rPr>
        <w:t> </w:t>
      </w:r>
      <w:r>
        <w:rPr>
          <w:w w:val="105"/>
        </w:rPr>
        <w:t>and</w:t>
      </w:r>
      <w:r>
        <w:rPr>
          <w:spacing w:val="-8"/>
          <w:w w:val="105"/>
        </w:rPr>
        <w:t> </w:t>
      </w:r>
      <w:r>
        <w:rPr>
          <w:w w:val="105"/>
        </w:rPr>
        <w:t>2020,</w:t>
      </w:r>
      <w:r>
        <w:rPr>
          <w:spacing w:val="-8"/>
          <w:w w:val="105"/>
        </w:rPr>
        <w:t> </w:t>
      </w:r>
      <w:r>
        <w:rPr>
          <w:w w:val="105"/>
        </w:rPr>
        <w:t>customer</w:t>
      </w:r>
      <w:r>
        <w:rPr>
          <w:spacing w:val="-8"/>
          <w:w w:val="105"/>
        </w:rPr>
        <w:t> </w:t>
      </w:r>
      <w:r>
        <w:rPr>
          <w:w w:val="105"/>
        </w:rPr>
        <w:t>deposits</w:t>
      </w:r>
      <w:r>
        <w:rPr>
          <w:spacing w:val="-8"/>
          <w:w w:val="105"/>
        </w:rPr>
        <w:t> </w:t>
      </w:r>
      <w:r>
        <w:rPr>
          <w:w w:val="105"/>
        </w:rPr>
        <w:t>used</w:t>
      </w:r>
      <w:r>
        <w:rPr>
          <w:spacing w:val="-8"/>
          <w:w w:val="105"/>
        </w:rPr>
        <w:t> </w:t>
      </w:r>
      <w:r>
        <w:rPr>
          <w:w w:val="105"/>
        </w:rPr>
        <w:t>were</w:t>
      </w:r>
      <w:r>
        <w:rPr>
          <w:spacing w:val="-8"/>
          <w:w w:val="105"/>
        </w:rPr>
        <w:t> </w:t>
      </w:r>
      <w:r>
        <w:rPr>
          <w:w w:val="105"/>
        </w:rPr>
        <w:t>$216</w:t>
      </w:r>
      <w:r>
        <w:rPr>
          <w:spacing w:val="-8"/>
          <w:w w:val="105"/>
        </w:rPr>
        <w:t> </w:t>
      </w:r>
      <w:r>
        <w:rPr>
          <w:w w:val="105"/>
        </w:rPr>
        <w:t>million</w:t>
      </w:r>
      <w:r>
        <w:rPr>
          <w:spacing w:val="-8"/>
          <w:w w:val="105"/>
        </w:rPr>
        <w:t> </w:t>
      </w:r>
      <w:r>
        <w:rPr>
          <w:w w:val="105"/>
        </w:rPr>
        <w:t>and</w:t>
      </w:r>
      <w:r>
        <w:rPr>
          <w:spacing w:val="-8"/>
          <w:w w:val="105"/>
        </w:rPr>
        <w:t> </w:t>
      </w:r>
      <w:r>
        <w:rPr>
          <w:w w:val="105"/>
        </w:rPr>
        <w:t>$140</w:t>
      </w:r>
      <w:r>
        <w:rPr>
          <w:spacing w:val="-8"/>
          <w:w w:val="105"/>
        </w:rPr>
        <w:t> </w:t>
      </w:r>
      <w:r>
        <w:rPr>
          <w:w w:val="105"/>
        </w:rPr>
        <w:t>million,</w:t>
      </w:r>
      <w:r>
        <w:rPr>
          <w:spacing w:val="-8"/>
          <w:w w:val="105"/>
        </w:rPr>
        <w:t> </w:t>
      </w:r>
      <w:r>
        <w:rPr>
          <w:w w:val="105"/>
        </w:rPr>
        <w:t>respectively.</w:t>
      </w:r>
      <w:r>
        <w:rPr>
          <w:spacing w:val="-8"/>
          <w:w w:val="105"/>
        </w:rPr>
        <w:t> </w:t>
      </w:r>
      <w:r>
        <w:rPr>
          <w:w w:val="105"/>
        </w:rPr>
        <w:t>As</w:t>
      </w:r>
      <w:r>
        <w:rPr>
          <w:spacing w:val="-8"/>
          <w:w w:val="105"/>
        </w:rPr>
        <w:t> </w:t>
      </w:r>
      <w:r>
        <w:rPr>
          <w:w w:val="105"/>
        </w:rPr>
        <w:t>of</w:t>
      </w:r>
      <w:r>
        <w:rPr>
          <w:spacing w:val="-7"/>
          <w:w w:val="105"/>
        </w:rPr>
        <w:t> </w:t>
      </w:r>
      <w:r>
        <w:rPr>
          <w:w w:val="105"/>
        </w:rPr>
        <w:t>December</w:t>
      </w:r>
      <w:r>
        <w:rPr>
          <w:spacing w:val="-8"/>
          <w:w w:val="105"/>
        </w:rPr>
        <w:t> </w:t>
      </w:r>
      <w:r>
        <w:rPr>
          <w:w w:val="105"/>
        </w:rPr>
        <w:t>31,</w:t>
      </w:r>
      <w:r>
        <w:rPr>
          <w:spacing w:val="-8"/>
          <w:w w:val="105"/>
        </w:rPr>
        <w:t> </w:t>
      </w:r>
      <w:r>
        <w:rPr>
          <w:w w:val="105"/>
        </w:rPr>
        <w:t>2021</w:t>
      </w:r>
      <w:r>
        <w:rPr>
          <w:spacing w:val="-7"/>
          <w:w w:val="105"/>
        </w:rPr>
        <w:t> </w:t>
      </w:r>
      <w:r>
        <w:rPr>
          <w:w w:val="105"/>
        </w:rPr>
        <w:t>and</w:t>
      </w:r>
      <w:r>
        <w:rPr>
          <w:spacing w:val="-8"/>
          <w:w w:val="105"/>
        </w:rPr>
        <w:t> </w:t>
      </w:r>
      <w:r>
        <w:rPr>
          <w:w w:val="105"/>
        </w:rPr>
        <w:t>2020,</w:t>
      </w:r>
      <w:r>
        <w:rPr>
          <w:spacing w:val="-8"/>
          <w:w w:val="105"/>
        </w:rPr>
        <w:t> </w:t>
      </w:r>
      <w:r>
        <w:rPr>
          <w:w w:val="105"/>
        </w:rPr>
        <w:t>$1.1</w:t>
      </w:r>
      <w:r>
        <w:rPr>
          <w:spacing w:val="-8"/>
          <w:w w:val="105"/>
        </w:rPr>
        <w:t> </w:t>
      </w:r>
      <w:r>
        <w:rPr>
          <w:w w:val="105"/>
        </w:rPr>
        <w:t>billion was</w:t>
      </w:r>
      <w:r>
        <w:rPr>
          <w:spacing w:val="-1"/>
          <w:w w:val="105"/>
        </w:rPr>
        <w:t> </w:t>
      </w:r>
      <w:r>
        <w:rPr>
          <w:w w:val="105"/>
        </w:rPr>
        <w:t>recorded</w:t>
      </w:r>
      <w:r>
        <w:rPr>
          <w:spacing w:val="-1"/>
          <w:w w:val="105"/>
        </w:rPr>
        <w:t> </w:t>
      </w:r>
      <w:r>
        <w:rPr>
          <w:w w:val="105"/>
        </w:rPr>
        <w:t>as</w:t>
      </w:r>
      <w:r>
        <w:rPr>
          <w:spacing w:val="-1"/>
          <w:w w:val="105"/>
        </w:rPr>
        <w:t> </w:t>
      </w:r>
      <w:r>
        <w:rPr>
          <w:w w:val="105"/>
        </w:rPr>
        <w:t>an</w:t>
      </w:r>
      <w:r>
        <w:rPr>
          <w:spacing w:val="-1"/>
          <w:w w:val="105"/>
        </w:rPr>
        <w:t> </w:t>
      </w:r>
      <w:r>
        <w:rPr>
          <w:w w:val="105"/>
        </w:rPr>
        <w:t>other</w:t>
      </w:r>
      <w:r>
        <w:rPr>
          <w:spacing w:val="-1"/>
          <w:w w:val="105"/>
        </w:rPr>
        <w:t> </w:t>
      </w:r>
      <w:r>
        <w:rPr>
          <w:w w:val="105"/>
        </w:rPr>
        <w:t>long-term</w:t>
      </w:r>
      <w:r>
        <w:rPr>
          <w:spacing w:val="-1"/>
          <w:w w:val="105"/>
        </w:rPr>
        <w:t> </w:t>
      </w:r>
      <w:r>
        <w:rPr>
          <w:w w:val="105"/>
        </w:rPr>
        <w:t>liability.</w:t>
      </w:r>
      <w:r>
        <w:rPr>
          <w:spacing w:val="-1"/>
          <w:w w:val="105"/>
        </w:rPr>
        <w:t> </w:t>
      </w:r>
      <w:r>
        <w:rPr>
          <w:w w:val="105"/>
        </w:rPr>
        <w:t>The</w:t>
      </w:r>
      <w:r>
        <w:rPr>
          <w:spacing w:val="-1"/>
          <w:w w:val="105"/>
        </w:rPr>
        <w:t> </w:t>
      </w:r>
      <w:r>
        <w:rPr>
          <w:w w:val="105"/>
        </w:rPr>
        <w:t>remaining</w:t>
      </w:r>
      <w:r>
        <w:rPr>
          <w:spacing w:val="-1"/>
          <w:w w:val="105"/>
        </w:rPr>
        <w:t> </w:t>
      </w:r>
      <w:r>
        <w:rPr>
          <w:w w:val="105"/>
        </w:rPr>
        <w:t>$223</w:t>
      </w:r>
      <w:r>
        <w:rPr>
          <w:spacing w:val="-1"/>
          <w:w w:val="105"/>
        </w:rPr>
        <w:t> </w:t>
      </w:r>
      <w:r>
        <w:rPr>
          <w:w w:val="105"/>
        </w:rPr>
        <w:t>million</w:t>
      </w:r>
      <w:r>
        <w:rPr>
          <w:spacing w:val="-1"/>
          <w:w w:val="105"/>
        </w:rPr>
        <w:t> </w:t>
      </w:r>
      <w:r>
        <w:rPr>
          <w:w w:val="105"/>
        </w:rPr>
        <w:t>and</w:t>
      </w:r>
      <w:r>
        <w:rPr>
          <w:spacing w:val="-1"/>
          <w:w w:val="105"/>
        </w:rPr>
        <w:t> </w:t>
      </w:r>
      <w:r>
        <w:rPr>
          <w:w w:val="105"/>
        </w:rPr>
        <w:t>$211</w:t>
      </w:r>
      <w:r>
        <w:rPr>
          <w:spacing w:val="-1"/>
          <w:w w:val="105"/>
        </w:rPr>
        <w:t> </w:t>
      </w:r>
      <w:r>
        <w:rPr>
          <w:w w:val="105"/>
        </w:rPr>
        <w:t>million,</w:t>
      </w:r>
      <w:r>
        <w:rPr>
          <w:spacing w:val="-1"/>
          <w:w w:val="105"/>
        </w:rPr>
        <w:t> </w:t>
      </w:r>
      <w:r>
        <w:rPr>
          <w:w w:val="105"/>
        </w:rPr>
        <w:t>respectively,</w:t>
      </w:r>
      <w:r>
        <w:rPr>
          <w:spacing w:val="-1"/>
          <w:w w:val="105"/>
        </w:rPr>
        <w:t> </w:t>
      </w:r>
      <w:r>
        <w:rPr>
          <w:w w:val="105"/>
        </w:rPr>
        <w:t>were classified</w:t>
      </w:r>
      <w:r>
        <w:rPr>
          <w:spacing w:val="-1"/>
          <w:w w:val="105"/>
        </w:rPr>
        <w:t> </w:t>
      </w:r>
      <w:r>
        <w:rPr>
          <w:w w:val="105"/>
        </w:rPr>
        <w:t>as</w:t>
      </w:r>
      <w:r>
        <w:rPr>
          <w:spacing w:val="-1"/>
          <w:w w:val="105"/>
        </w:rPr>
        <w:t> </w:t>
      </w:r>
      <w:r>
        <w:rPr>
          <w:w w:val="105"/>
        </w:rPr>
        <w:t>other</w:t>
      </w:r>
      <w:r>
        <w:rPr>
          <w:spacing w:val="-1"/>
          <w:w w:val="105"/>
        </w:rPr>
        <w:t> </w:t>
      </w:r>
      <w:r>
        <w:rPr>
          <w:w w:val="105"/>
        </w:rPr>
        <w:t>current</w:t>
      </w:r>
      <w:r>
        <w:rPr>
          <w:spacing w:val="-1"/>
          <w:w w:val="105"/>
        </w:rPr>
        <w:t> </w:t>
      </w:r>
      <w:r>
        <w:rPr>
          <w:w w:val="105"/>
        </w:rPr>
        <w:t>liabilities.</w:t>
      </w:r>
    </w:p>
    <w:p>
      <w:pPr>
        <w:pStyle w:val="BodyText"/>
        <w:spacing w:before="19"/>
      </w:pPr>
    </w:p>
    <w:p>
      <w:pPr>
        <w:pStyle w:val="Heading3"/>
      </w:pPr>
      <w:r>
        <w:rPr/>
        <w:t>Deferred</w:t>
      </w:r>
      <w:r>
        <w:rPr>
          <w:spacing w:val="18"/>
        </w:rPr>
        <w:t> </w:t>
      </w:r>
      <w:r>
        <w:rPr>
          <w:spacing w:val="-2"/>
        </w:rPr>
        <w:t>Revenue</w:t>
      </w:r>
    </w:p>
    <w:p>
      <w:pPr>
        <w:pStyle w:val="BodyText"/>
        <w:spacing w:before="40"/>
        <w:rPr>
          <w:b/>
          <w:i/>
        </w:rPr>
      </w:pPr>
    </w:p>
    <w:p>
      <w:pPr>
        <w:pStyle w:val="BodyText"/>
        <w:spacing w:line="266" w:lineRule="auto"/>
        <w:ind w:left="156"/>
      </w:pPr>
      <w:r>
        <w:rPr>
          <w:w w:val="105"/>
        </w:rPr>
        <w:t>As</w:t>
      </w:r>
      <w:r>
        <w:rPr>
          <w:spacing w:val="-8"/>
          <w:w w:val="105"/>
        </w:rPr>
        <w:t> </w:t>
      </w:r>
      <w:r>
        <w:rPr>
          <w:w w:val="105"/>
        </w:rPr>
        <w:t>of</w:t>
      </w:r>
      <w:r>
        <w:rPr>
          <w:spacing w:val="-7"/>
          <w:w w:val="105"/>
        </w:rPr>
        <w:t> </w:t>
      </w:r>
      <w:r>
        <w:rPr>
          <w:w w:val="105"/>
        </w:rPr>
        <w:t>December</w:t>
      </w:r>
      <w:r>
        <w:rPr>
          <w:spacing w:val="-8"/>
          <w:w w:val="105"/>
        </w:rPr>
        <w:t> </w:t>
      </w:r>
      <w:r>
        <w:rPr>
          <w:w w:val="105"/>
        </w:rPr>
        <w:t>31,</w:t>
      </w:r>
      <w:r>
        <w:rPr>
          <w:spacing w:val="-8"/>
          <w:w w:val="105"/>
        </w:rPr>
        <w:t> </w:t>
      </w:r>
      <w:r>
        <w:rPr>
          <w:w w:val="105"/>
        </w:rPr>
        <w:t>2021</w:t>
      </w:r>
      <w:r>
        <w:rPr>
          <w:spacing w:val="-7"/>
          <w:w w:val="105"/>
        </w:rPr>
        <w:t> </w:t>
      </w:r>
      <w:r>
        <w:rPr>
          <w:w w:val="105"/>
        </w:rPr>
        <w:t>and</w:t>
      </w:r>
      <w:r>
        <w:rPr>
          <w:spacing w:val="-8"/>
          <w:w w:val="105"/>
        </w:rPr>
        <w:t> </w:t>
      </w:r>
      <w:r>
        <w:rPr>
          <w:w w:val="105"/>
        </w:rPr>
        <w:t>2020,</w:t>
      </w:r>
      <w:r>
        <w:rPr>
          <w:spacing w:val="-8"/>
          <w:w w:val="105"/>
        </w:rPr>
        <w:t> </w:t>
      </w:r>
      <w:r>
        <w:rPr>
          <w:w w:val="105"/>
        </w:rPr>
        <w:t>Corning</w:t>
      </w:r>
      <w:r>
        <w:rPr>
          <w:spacing w:val="-8"/>
          <w:w w:val="105"/>
        </w:rPr>
        <w:t> </w:t>
      </w:r>
      <w:r>
        <w:rPr>
          <w:w w:val="105"/>
        </w:rPr>
        <w:t>had</w:t>
      </w:r>
      <w:r>
        <w:rPr>
          <w:spacing w:val="-8"/>
          <w:w w:val="105"/>
        </w:rPr>
        <w:t> </w:t>
      </w:r>
      <w:r>
        <w:rPr>
          <w:w w:val="105"/>
        </w:rPr>
        <w:t>deferred</w:t>
      </w:r>
      <w:r>
        <w:rPr>
          <w:spacing w:val="-8"/>
          <w:w w:val="105"/>
        </w:rPr>
        <w:t> </w:t>
      </w:r>
      <w:r>
        <w:rPr>
          <w:w w:val="105"/>
        </w:rPr>
        <w:t>revenue</w:t>
      </w:r>
      <w:r>
        <w:rPr>
          <w:spacing w:val="-8"/>
          <w:w w:val="105"/>
        </w:rPr>
        <w:t> </w:t>
      </w:r>
      <w:r>
        <w:rPr>
          <w:w w:val="105"/>
        </w:rPr>
        <w:t>of</w:t>
      </w:r>
      <w:r>
        <w:rPr>
          <w:spacing w:val="-8"/>
          <w:w w:val="105"/>
        </w:rPr>
        <w:t> </w:t>
      </w:r>
      <w:r>
        <w:rPr>
          <w:w w:val="105"/>
        </w:rPr>
        <w:t>approximately</w:t>
      </w:r>
      <w:r>
        <w:rPr>
          <w:spacing w:val="-8"/>
          <w:w w:val="105"/>
        </w:rPr>
        <w:t> </w:t>
      </w:r>
      <w:r>
        <w:rPr>
          <w:w w:val="105"/>
        </w:rPr>
        <w:t>$912</w:t>
      </w:r>
      <w:r>
        <w:rPr>
          <w:spacing w:val="-8"/>
          <w:w w:val="105"/>
        </w:rPr>
        <w:t> </w:t>
      </w:r>
      <w:r>
        <w:rPr>
          <w:w w:val="105"/>
        </w:rPr>
        <w:t>million</w:t>
      </w:r>
      <w:r>
        <w:rPr>
          <w:spacing w:val="-8"/>
          <w:w w:val="105"/>
        </w:rPr>
        <w:t> </w:t>
      </w:r>
      <w:r>
        <w:rPr>
          <w:w w:val="105"/>
        </w:rPr>
        <w:t>and</w:t>
      </w:r>
      <w:r>
        <w:rPr>
          <w:spacing w:val="-8"/>
          <w:w w:val="105"/>
        </w:rPr>
        <w:t> </w:t>
      </w:r>
      <w:r>
        <w:rPr>
          <w:w w:val="105"/>
        </w:rPr>
        <w:t>$1.0</w:t>
      </w:r>
      <w:r>
        <w:rPr>
          <w:spacing w:val="-8"/>
          <w:w w:val="105"/>
        </w:rPr>
        <w:t> </w:t>
      </w:r>
      <w:r>
        <w:rPr>
          <w:w w:val="105"/>
        </w:rPr>
        <w:t>billion,</w:t>
      </w:r>
      <w:r>
        <w:rPr>
          <w:spacing w:val="-8"/>
          <w:w w:val="105"/>
        </w:rPr>
        <w:t> </w:t>
      </w:r>
      <w:r>
        <w:rPr>
          <w:w w:val="105"/>
        </w:rPr>
        <w:t>respectively.</w:t>
      </w:r>
      <w:r>
        <w:rPr>
          <w:spacing w:val="27"/>
          <w:w w:val="105"/>
        </w:rPr>
        <w:t> </w:t>
      </w:r>
      <w:r>
        <w:rPr>
          <w:w w:val="105"/>
        </w:rPr>
        <w:t>The</w:t>
      </w:r>
      <w:r>
        <w:rPr>
          <w:spacing w:val="-8"/>
          <w:w w:val="105"/>
        </w:rPr>
        <w:t> </w:t>
      </w:r>
      <w:r>
        <w:rPr>
          <w:w w:val="105"/>
        </w:rPr>
        <w:t>deferred</w:t>
      </w:r>
      <w:r>
        <w:rPr>
          <w:spacing w:val="-8"/>
          <w:w w:val="105"/>
        </w:rPr>
        <w:t> </w:t>
      </w:r>
      <w:r>
        <w:rPr>
          <w:w w:val="105"/>
        </w:rPr>
        <w:t>revenue</w:t>
      </w:r>
      <w:r>
        <w:rPr>
          <w:spacing w:val="-8"/>
          <w:w w:val="105"/>
        </w:rPr>
        <w:t> </w:t>
      </w:r>
      <w:r>
        <w:rPr>
          <w:w w:val="105"/>
        </w:rPr>
        <w:t>was</w:t>
      </w:r>
      <w:r>
        <w:rPr>
          <w:spacing w:val="-8"/>
          <w:w w:val="105"/>
        </w:rPr>
        <w:t> </w:t>
      </w:r>
      <w:r>
        <w:rPr>
          <w:w w:val="105"/>
        </w:rPr>
        <w:t>related</w:t>
      </w:r>
      <w:r>
        <w:rPr>
          <w:spacing w:val="-8"/>
          <w:w w:val="105"/>
        </w:rPr>
        <w:t> </w:t>
      </w:r>
      <w:r>
        <w:rPr>
          <w:w w:val="105"/>
        </w:rPr>
        <w:t>to</w:t>
      </w:r>
      <w:r>
        <w:rPr>
          <w:spacing w:val="-8"/>
          <w:w w:val="105"/>
        </w:rPr>
        <w:t> </w:t>
      </w:r>
      <w:r>
        <w:rPr>
          <w:w w:val="105"/>
        </w:rPr>
        <w:t>the performance</w:t>
      </w:r>
      <w:r>
        <w:rPr>
          <w:spacing w:val="-1"/>
          <w:w w:val="105"/>
        </w:rPr>
        <w:t> </w:t>
      </w:r>
      <w:r>
        <w:rPr>
          <w:w w:val="105"/>
        </w:rPr>
        <w:t>obligations</w:t>
      </w:r>
      <w:r>
        <w:rPr>
          <w:spacing w:val="-1"/>
          <w:w w:val="105"/>
        </w:rPr>
        <w:t> </w:t>
      </w:r>
      <w:r>
        <w:rPr>
          <w:w w:val="105"/>
        </w:rPr>
        <w:t>of</w:t>
      </w:r>
      <w:r>
        <w:rPr>
          <w:spacing w:val="-1"/>
          <w:w w:val="105"/>
        </w:rPr>
        <w:t> </w:t>
      </w:r>
      <w:r>
        <w:rPr>
          <w:w w:val="105"/>
        </w:rPr>
        <w:t>non-refundable</w:t>
      </w:r>
      <w:r>
        <w:rPr>
          <w:spacing w:val="-1"/>
          <w:w w:val="105"/>
        </w:rPr>
        <w:t> </w:t>
      </w:r>
      <w:r>
        <w:rPr>
          <w:w w:val="105"/>
        </w:rPr>
        <w:t>consideration</w:t>
      </w:r>
      <w:r>
        <w:rPr>
          <w:spacing w:val="-1"/>
          <w:w w:val="105"/>
        </w:rPr>
        <w:t> </w:t>
      </w:r>
      <w:r>
        <w:rPr>
          <w:w w:val="105"/>
        </w:rPr>
        <w:t>previously</w:t>
      </w:r>
      <w:r>
        <w:rPr>
          <w:spacing w:val="-1"/>
          <w:w w:val="105"/>
        </w:rPr>
        <w:t> </w:t>
      </w:r>
      <w:r>
        <w:rPr>
          <w:w w:val="105"/>
        </w:rPr>
        <w:t>received</w:t>
      </w:r>
      <w:r>
        <w:rPr>
          <w:spacing w:val="-1"/>
          <w:w w:val="105"/>
        </w:rPr>
        <w:t> </w:t>
      </w:r>
      <w:r>
        <w:rPr>
          <w:w w:val="105"/>
        </w:rPr>
        <w:t>by</w:t>
      </w:r>
      <w:r>
        <w:rPr>
          <w:spacing w:val="-1"/>
          <w:w w:val="105"/>
        </w:rPr>
        <w:t> </w:t>
      </w:r>
      <w:r>
        <w:rPr>
          <w:w w:val="105"/>
        </w:rPr>
        <w:t>HSG</w:t>
      </w:r>
      <w:r>
        <w:rPr>
          <w:spacing w:val="-1"/>
          <w:w w:val="105"/>
        </w:rPr>
        <w:t> </w:t>
      </w:r>
      <w:r>
        <w:rPr>
          <w:w w:val="105"/>
        </w:rPr>
        <w:t>from its</w:t>
      </w:r>
      <w:r>
        <w:rPr>
          <w:spacing w:val="-1"/>
          <w:w w:val="105"/>
        </w:rPr>
        <w:t> </w:t>
      </w:r>
      <w:r>
        <w:rPr>
          <w:w w:val="105"/>
        </w:rPr>
        <w:t>customers</w:t>
      </w:r>
      <w:r>
        <w:rPr>
          <w:spacing w:val="-1"/>
          <w:w w:val="105"/>
        </w:rPr>
        <w:t> </w:t>
      </w:r>
      <w:r>
        <w:rPr>
          <w:w w:val="105"/>
        </w:rPr>
        <w:t>under</w:t>
      </w:r>
      <w:r>
        <w:rPr>
          <w:spacing w:val="-1"/>
          <w:w w:val="105"/>
        </w:rPr>
        <w:t> </w:t>
      </w:r>
      <w:r>
        <w:rPr>
          <w:w w:val="105"/>
        </w:rPr>
        <w:t>long</w:t>
      </w:r>
      <w:r>
        <w:rPr>
          <w:spacing w:val="-1"/>
          <w:w w:val="105"/>
        </w:rPr>
        <w:t> </w:t>
      </w:r>
      <w:r>
        <w:rPr>
          <w:w w:val="105"/>
        </w:rPr>
        <w:t>term</w:t>
      </w:r>
      <w:r>
        <w:rPr>
          <w:spacing w:val="-1"/>
          <w:w w:val="105"/>
        </w:rPr>
        <w:t> </w:t>
      </w:r>
      <w:r>
        <w:rPr>
          <w:w w:val="105"/>
        </w:rPr>
        <w:t>supply</w:t>
      </w:r>
      <w:r>
        <w:rPr>
          <w:spacing w:val="-1"/>
          <w:w w:val="105"/>
        </w:rPr>
        <w:t> </w:t>
      </w:r>
      <w:r>
        <w:rPr>
          <w:w w:val="105"/>
        </w:rPr>
        <w:t>agreements.</w:t>
      </w:r>
    </w:p>
    <w:p>
      <w:pPr>
        <w:pStyle w:val="BodyText"/>
        <w:spacing w:before="19"/>
      </w:pPr>
    </w:p>
    <w:p>
      <w:pPr>
        <w:pStyle w:val="BodyText"/>
        <w:spacing w:line="266" w:lineRule="auto"/>
        <w:ind w:left="156" w:right="328"/>
      </w:pPr>
      <w:r>
        <w:rPr>
          <w:w w:val="105"/>
        </w:rPr>
        <w:t>The</w:t>
      </w:r>
      <w:r>
        <w:rPr>
          <w:spacing w:val="-3"/>
          <w:w w:val="105"/>
        </w:rPr>
        <w:t> </w:t>
      </w:r>
      <w:r>
        <w:rPr>
          <w:w w:val="105"/>
        </w:rPr>
        <w:t>deferred</w:t>
      </w:r>
      <w:r>
        <w:rPr>
          <w:spacing w:val="-3"/>
          <w:w w:val="105"/>
        </w:rPr>
        <w:t> </w:t>
      </w:r>
      <w:r>
        <w:rPr>
          <w:w w:val="105"/>
        </w:rPr>
        <w:t>revenue</w:t>
      </w:r>
      <w:r>
        <w:rPr>
          <w:spacing w:val="-3"/>
          <w:w w:val="105"/>
        </w:rPr>
        <w:t> </w:t>
      </w:r>
      <w:r>
        <w:rPr>
          <w:w w:val="105"/>
        </w:rPr>
        <w:t>is</w:t>
      </w:r>
      <w:r>
        <w:rPr>
          <w:spacing w:val="-1"/>
          <w:w w:val="105"/>
        </w:rPr>
        <w:t> </w:t>
      </w:r>
      <w:r>
        <w:rPr>
          <w:w w:val="105"/>
        </w:rPr>
        <w:t>tracked</w:t>
      </w:r>
      <w:r>
        <w:rPr>
          <w:spacing w:val="-3"/>
          <w:w w:val="105"/>
        </w:rPr>
        <w:t> </w:t>
      </w:r>
      <w:r>
        <w:rPr>
          <w:w w:val="105"/>
        </w:rPr>
        <w:t>on</w:t>
      </w:r>
      <w:r>
        <w:rPr>
          <w:spacing w:val="-3"/>
          <w:w w:val="105"/>
        </w:rPr>
        <w:t> </w:t>
      </w:r>
      <w:r>
        <w:rPr>
          <w:w w:val="105"/>
        </w:rPr>
        <w:t>a</w:t>
      </w:r>
      <w:r>
        <w:rPr>
          <w:spacing w:val="-3"/>
          <w:w w:val="105"/>
        </w:rPr>
        <w:t> </w:t>
      </w:r>
      <w:r>
        <w:rPr>
          <w:w w:val="105"/>
        </w:rPr>
        <w:t>per-customer</w:t>
      </w:r>
      <w:r>
        <w:rPr>
          <w:spacing w:val="-3"/>
          <w:w w:val="105"/>
        </w:rPr>
        <w:t> </w:t>
      </w:r>
      <w:r>
        <w:rPr>
          <w:w w:val="105"/>
        </w:rPr>
        <w:t>contract-unit</w:t>
      </w:r>
      <w:r>
        <w:rPr>
          <w:spacing w:val="-3"/>
          <w:w w:val="105"/>
        </w:rPr>
        <w:t> </w:t>
      </w:r>
      <w:r>
        <w:rPr>
          <w:w w:val="105"/>
        </w:rPr>
        <w:t>basis.</w:t>
      </w:r>
      <w:r>
        <w:rPr>
          <w:spacing w:val="-3"/>
          <w:w w:val="105"/>
        </w:rPr>
        <w:t> </w:t>
      </w:r>
      <w:r>
        <w:rPr>
          <w:w w:val="105"/>
        </w:rPr>
        <w:t>As</w:t>
      </w:r>
      <w:r>
        <w:rPr>
          <w:spacing w:val="-3"/>
          <w:w w:val="105"/>
        </w:rPr>
        <w:t> </w:t>
      </w:r>
      <w:r>
        <w:rPr>
          <w:w w:val="105"/>
        </w:rPr>
        <w:t>customers</w:t>
      </w:r>
      <w:r>
        <w:rPr>
          <w:spacing w:val="-3"/>
          <w:w w:val="105"/>
        </w:rPr>
        <w:t> </w:t>
      </w:r>
      <w:r>
        <w:rPr>
          <w:w w:val="105"/>
        </w:rPr>
        <w:t>take</w:t>
      </w:r>
      <w:r>
        <w:rPr>
          <w:spacing w:val="-3"/>
          <w:w w:val="105"/>
        </w:rPr>
        <w:t> </w:t>
      </w:r>
      <w:r>
        <w:rPr>
          <w:w w:val="105"/>
        </w:rPr>
        <w:t>delivery</w:t>
      </w:r>
      <w:r>
        <w:rPr>
          <w:spacing w:val="-3"/>
          <w:w w:val="105"/>
        </w:rPr>
        <w:t> </w:t>
      </w:r>
      <w:r>
        <w:rPr>
          <w:w w:val="105"/>
        </w:rPr>
        <w:t>of</w:t>
      </w:r>
      <w:r>
        <w:rPr>
          <w:spacing w:val="-3"/>
          <w:w w:val="105"/>
        </w:rPr>
        <w:t> </w:t>
      </w:r>
      <w:r>
        <w:rPr>
          <w:w w:val="105"/>
        </w:rPr>
        <w:t>the</w:t>
      </w:r>
      <w:r>
        <w:rPr>
          <w:spacing w:val="-3"/>
          <w:w w:val="105"/>
        </w:rPr>
        <w:t> </w:t>
      </w:r>
      <w:r>
        <w:rPr>
          <w:w w:val="105"/>
        </w:rPr>
        <w:t>committed</w:t>
      </w:r>
      <w:r>
        <w:rPr>
          <w:spacing w:val="-3"/>
          <w:w w:val="105"/>
        </w:rPr>
        <w:t> </w:t>
      </w:r>
      <w:r>
        <w:rPr>
          <w:w w:val="105"/>
        </w:rPr>
        <w:t>volumes</w:t>
      </w:r>
      <w:r>
        <w:rPr>
          <w:spacing w:val="-3"/>
          <w:w w:val="105"/>
        </w:rPr>
        <w:t> </w:t>
      </w:r>
      <w:r>
        <w:rPr>
          <w:w w:val="105"/>
        </w:rPr>
        <w:t>under</w:t>
      </w:r>
      <w:r>
        <w:rPr>
          <w:spacing w:val="-1"/>
          <w:w w:val="105"/>
        </w:rPr>
        <w:t> </w:t>
      </w:r>
      <w:r>
        <w:rPr>
          <w:w w:val="105"/>
        </w:rPr>
        <w:t>the</w:t>
      </w:r>
      <w:r>
        <w:rPr>
          <w:spacing w:val="-3"/>
          <w:w w:val="105"/>
        </w:rPr>
        <w:t> </w:t>
      </w:r>
      <w:r>
        <w:rPr>
          <w:w w:val="105"/>
        </w:rPr>
        <w:t>terms</w:t>
      </w:r>
      <w:r>
        <w:rPr>
          <w:spacing w:val="-3"/>
          <w:w w:val="105"/>
        </w:rPr>
        <w:t> </w:t>
      </w:r>
      <w:r>
        <w:rPr>
          <w:w w:val="105"/>
        </w:rPr>
        <w:t>of</w:t>
      </w:r>
      <w:r>
        <w:rPr>
          <w:spacing w:val="-3"/>
          <w:w w:val="105"/>
        </w:rPr>
        <w:t> </w:t>
      </w:r>
      <w:r>
        <w:rPr>
          <w:w w:val="105"/>
        </w:rPr>
        <w:t>the</w:t>
      </w:r>
      <w:r>
        <w:rPr>
          <w:spacing w:val="-3"/>
          <w:w w:val="105"/>
        </w:rPr>
        <w:t> </w:t>
      </w:r>
      <w:r>
        <w:rPr>
          <w:w w:val="105"/>
        </w:rPr>
        <w:t>contract,</w:t>
      </w:r>
      <w:r>
        <w:rPr>
          <w:spacing w:val="-3"/>
          <w:w w:val="105"/>
        </w:rPr>
        <w:t> </w:t>
      </w:r>
      <w:r>
        <w:rPr>
          <w:w w:val="105"/>
        </w:rPr>
        <w:t>a</w:t>
      </w:r>
      <w:r>
        <w:rPr>
          <w:spacing w:val="-3"/>
          <w:w w:val="105"/>
        </w:rPr>
        <w:t> </w:t>
      </w:r>
      <w:r>
        <w:rPr>
          <w:w w:val="105"/>
        </w:rPr>
        <w:t>per</w:t>
      </w:r>
      <w:r>
        <w:rPr>
          <w:spacing w:val="-3"/>
          <w:w w:val="105"/>
        </w:rPr>
        <w:t> </w:t>
      </w:r>
      <w:r>
        <w:rPr>
          <w:w w:val="105"/>
        </w:rPr>
        <w:t>unit amount</w:t>
      </w:r>
      <w:r>
        <w:rPr>
          <w:spacing w:val="-8"/>
          <w:w w:val="105"/>
        </w:rPr>
        <w:t> </w:t>
      </w:r>
      <w:r>
        <w:rPr>
          <w:w w:val="105"/>
        </w:rPr>
        <w:t>of</w:t>
      </w:r>
      <w:r>
        <w:rPr>
          <w:spacing w:val="-8"/>
          <w:w w:val="105"/>
        </w:rPr>
        <w:t> </w:t>
      </w:r>
      <w:r>
        <w:rPr>
          <w:w w:val="105"/>
        </w:rPr>
        <w:t>revenue</w:t>
      </w:r>
      <w:r>
        <w:rPr>
          <w:spacing w:val="-8"/>
          <w:w w:val="105"/>
        </w:rPr>
        <w:t> </w:t>
      </w:r>
      <w:r>
        <w:rPr>
          <w:w w:val="105"/>
        </w:rPr>
        <w:t>is</w:t>
      </w:r>
      <w:r>
        <w:rPr>
          <w:spacing w:val="-8"/>
          <w:w w:val="105"/>
        </w:rPr>
        <w:t> </w:t>
      </w:r>
      <w:r>
        <w:rPr>
          <w:w w:val="105"/>
        </w:rPr>
        <w:t>recognized</w:t>
      </w:r>
      <w:r>
        <w:rPr>
          <w:spacing w:val="-8"/>
          <w:w w:val="105"/>
        </w:rPr>
        <w:t> </w:t>
      </w:r>
      <w:r>
        <w:rPr>
          <w:w w:val="105"/>
        </w:rPr>
        <w:t>from</w:t>
      </w:r>
      <w:r>
        <w:rPr>
          <w:spacing w:val="-8"/>
          <w:w w:val="105"/>
        </w:rPr>
        <w:t> </w:t>
      </w:r>
      <w:r>
        <w:rPr>
          <w:w w:val="105"/>
        </w:rPr>
        <w:t>deferred</w:t>
      </w:r>
      <w:r>
        <w:rPr>
          <w:spacing w:val="-8"/>
          <w:w w:val="105"/>
        </w:rPr>
        <w:t> </w:t>
      </w:r>
      <w:r>
        <w:rPr>
          <w:w w:val="105"/>
        </w:rPr>
        <w:t>revenue</w:t>
      </w:r>
      <w:r>
        <w:rPr>
          <w:spacing w:val="-8"/>
          <w:w w:val="105"/>
        </w:rPr>
        <w:t> </w:t>
      </w:r>
      <w:r>
        <w:rPr>
          <w:w w:val="105"/>
        </w:rPr>
        <w:t>when</w:t>
      </w:r>
      <w:r>
        <w:rPr>
          <w:spacing w:val="-8"/>
          <w:w w:val="105"/>
        </w:rPr>
        <w:t> </w:t>
      </w:r>
      <w:r>
        <w:rPr>
          <w:w w:val="105"/>
        </w:rPr>
        <w:t>control</w:t>
      </w:r>
      <w:r>
        <w:rPr>
          <w:spacing w:val="-8"/>
          <w:w w:val="105"/>
        </w:rPr>
        <w:t> </w:t>
      </w:r>
      <w:r>
        <w:rPr>
          <w:w w:val="105"/>
        </w:rPr>
        <w:t>of</w:t>
      </w:r>
      <w:r>
        <w:rPr>
          <w:spacing w:val="-8"/>
          <w:w w:val="105"/>
        </w:rPr>
        <w:t> </w:t>
      </w:r>
      <w:r>
        <w:rPr>
          <w:w w:val="105"/>
        </w:rPr>
        <w:t>the</w:t>
      </w:r>
      <w:r>
        <w:rPr>
          <w:spacing w:val="-8"/>
          <w:w w:val="105"/>
        </w:rPr>
        <w:t> </w:t>
      </w:r>
      <w:r>
        <w:rPr>
          <w:w w:val="105"/>
        </w:rPr>
        <w:t>promised</w:t>
      </w:r>
      <w:r>
        <w:rPr>
          <w:spacing w:val="-8"/>
          <w:w w:val="105"/>
        </w:rPr>
        <w:t> </w:t>
      </w:r>
      <w:r>
        <w:rPr>
          <w:w w:val="105"/>
        </w:rPr>
        <w:t>goods</w:t>
      </w:r>
      <w:r>
        <w:rPr>
          <w:spacing w:val="-8"/>
          <w:w w:val="105"/>
        </w:rPr>
        <w:t> </w:t>
      </w:r>
      <w:r>
        <w:rPr>
          <w:w w:val="105"/>
        </w:rPr>
        <w:t>is</w:t>
      </w:r>
      <w:r>
        <w:rPr>
          <w:spacing w:val="-8"/>
          <w:w w:val="105"/>
        </w:rPr>
        <w:t> </w:t>
      </w:r>
      <w:r>
        <w:rPr>
          <w:w w:val="105"/>
        </w:rPr>
        <w:t>transferred</w:t>
      </w:r>
      <w:r>
        <w:rPr>
          <w:spacing w:val="-8"/>
          <w:w w:val="105"/>
        </w:rPr>
        <w:t> </w:t>
      </w:r>
      <w:r>
        <w:rPr>
          <w:w w:val="105"/>
        </w:rPr>
        <w:t>to</w:t>
      </w:r>
      <w:r>
        <w:rPr>
          <w:spacing w:val="-8"/>
          <w:w w:val="105"/>
        </w:rPr>
        <w:t> </w:t>
      </w:r>
      <w:r>
        <w:rPr>
          <w:w w:val="105"/>
        </w:rPr>
        <w:t>the</w:t>
      </w:r>
      <w:r>
        <w:rPr>
          <w:spacing w:val="-6"/>
          <w:w w:val="105"/>
        </w:rPr>
        <w:t> </w:t>
      </w:r>
      <w:r>
        <w:rPr>
          <w:w w:val="105"/>
        </w:rPr>
        <w:t>customer</w:t>
      </w:r>
      <w:r>
        <w:rPr>
          <w:spacing w:val="-8"/>
          <w:w w:val="105"/>
        </w:rPr>
        <w:t> </w:t>
      </w:r>
      <w:r>
        <w:rPr>
          <w:w w:val="105"/>
        </w:rPr>
        <w:t>based</w:t>
      </w:r>
      <w:r>
        <w:rPr>
          <w:spacing w:val="-8"/>
          <w:w w:val="105"/>
        </w:rPr>
        <w:t> </w:t>
      </w:r>
      <w:r>
        <w:rPr>
          <w:w w:val="105"/>
        </w:rPr>
        <w:t>upon</w:t>
      </w:r>
      <w:r>
        <w:rPr>
          <w:spacing w:val="-8"/>
          <w:w w:val="105"/>
        </w:rPr>
        <w:t> </w:t>
      </w:r>
      <w:r>
        <w:rPr>
          <w:w w:val="105"/>
        </w:rPr>
        <w:t>the</w:t>
      </w:r>
      <w:r>
        <w:rPr>
          <w:spacing w:val="-8"/>
          <w:w w:val="105"/>
        </w:rPr>
        <w:t> </w:t>
      </w:r>
      <w:r>
        <w:rPr>
          <w:w w:val="105"/>
        </w:rPr>
        <w:t>units</w:t>
      </w:r>
      <w:r>
        <w:rPr>
          <w:spacing w:val="-8"/>
          <w:w w:val="105"/>
        </w:rPr>
        <w:t> </w:t>
      </w:r>
      <w:r>
        <w:rPr>
          <w:w w:val="105"/>
        </w:rPr>
        <w:t>shipped</w:t>
      </w:r>
      <w:r>
        <w:rPr>
          <w:spacing w:val="-6"/>
          <w:w w:val="105"/>
        </w:rPr>
        <w:t> </w:t>
      </w:r>
      <w:r>
        <w:rPr>
          <w:w w:val="105"/>
        </w:rPr>
        <w:t>compared</w:t>
      </w:r>
      <w:r>
        <w:rPr>
          <w:spacing w:val="-8"/>
          <w:w w:val="105"/>
        </w:rPr>
        <w:t> </w:t>
      </w:r>
      <w:r>
        <w:rPr>
          <w:w w:val="105"/>
        </w:rPr>
        <w:t>to</w:t>
      </w:r>
      <w:r>
        <w:rPr>
          <w:spacing w:val="-8"/>
          <w:w w:val="105"/>
        </w:rPr>
        <w:t> </w:t>
      </w:r>
      <w:r>
        <w:rPr>
          <w:w w:val="105"/>
        </w:rPr>
        <w:t>the remaining contractual units.</w:t>
      </w:r>
    </w:p>
    <w:p>
      <w:pPr>
        <w:pStyle w:val="BodyText"/>
        <w:spacing w:before="18"/>
      </w:pPr>
    </w:p>
    <w:p>
      <w:pPr>
        <w:pStyle w:val="BodyText"/>
        <w:spacing w:line="266" w:lineRule="auto"/>
        <w:ind w:left="156" w:right="328"/>
      </w:pPr>
      <w:r>
        <w:rPr>
          <w:w w:val="105"/>
        </w:rPr>
        <w:t>As</w:t>
      </w:r>
      <w:r>
        <w:rPr>
          <w:spacing w:val="-8"/>
          <w:w w:val="105"/>
        </w:rPr>
        <w:t> </w:t>
      </w:r>
      <w:r>
        <w:rPr>
          <w:w w:val="105"/>
        </w:rPr>
        <w:t>of</w:t>
      </w:r>
      <w:r>
        <w:rPr>
          <w:spacing w:val="-7"/>
          <w:w w:val="105"/>
        </w:rPr>
        <w:t> </w:t>
      </w:r>
      <w:r>
        <w:rPr>
          <w:w w:val="105"/>
        </w:rPr>
        <w:t>December</w:t>
      </w:r>
      <w:r>
        <w:rPr>
          <w:spacing w:val="-8"/>
          <w:w w:val="105"/>
        </w:rPr>
        <w:t> </w:t>
      </w:r>
      <w:r>
        <w:rPr>
          <w:w w:val="105"/>
        </w:rPr>
        <w:t>31,</w:t>
      </w:r>
      <w:r>
        <w:rPr>
          <w:spacing w:val="-8"/>
          <w:w w:val="105"/>
        </w:rPr>
        <w:t> </w:t>
      </w:r>
      <w:r>
        <w:rPr>
          <w:w w:val="105"/>
        </w:rPr>
        <w:t>2021</w:t>
      </w:r>
      <w:r>
        <w:rPr>
          <w:spacing w:val="-7"/>
          <w:w w:val="105"/>
        </w:rPr>
        <w:t> </w:t>
      </w:r>
      <w:r>
        <w:rPr>
          <w:w w:val="105"/>
        </w:rPr>
        <w:t>and</w:t>
      </w:r>
      <w:r>
        <w:rPr>
          <w:spacing w:val="-8"/>
          <w:w w:val="105"/>
        </w:rPr>
        <w:t> </w:t>
      </w:r>
      <w:r>
        <w:rPr>
          <w:w w:val="105"/>
        </w:rPr>
        <w:t>2020,</w:t>
      </w:r>
      <w:r>
        <w:rPr>
          <w:spacing w:val="-8"/>
          <w:w w:val="105"/>
        </w:rPr>
        <w:t> </w:t>
      </w:r>
      <w:r>
        <w:rPr>
          <w:w w:val="105"/>
        </w:rPr>
        <w:t>$764</w:t>
      </w:r>
      <w:r>
        <w:rPr>
          <w:spacing w:val="-8"/>
          <w:w w:val="105"/>
        </w:rPr>
        <w:t> </w:t>
      </w:r>
      <w:r>
        <w:rPr>
          <w:w w:val="105"/>
        </w:rPr>
        <w:t>million</w:t>
      </w:r>
      <w:r>
        <w:rPr>
          <w:spacing w:val="-8"/>
          <w:w w:val="105"/>
        </w:rPr>
        <w:t> </w:t>
      </w:r>
      <w:r>
        <w:rPr>
          <w:w w:val="105"/>
        </w:rPr>
        <w:t>and</w:t>
      </w:r>
      <w:r>
        <w:rPr>
          <w:spacing w:val="-8"/>
          <w:w w:val="105"/>
        </w:rPr>
        <w:t> </w:t>
      </w:r>
      <w:r>
        <w:rPr>
          <w:w w:val="105"/>
        </w:rPr>
        <w:t>$872</w:t>
      </w:r>
      <w:r>
        <w:rPr>
          <w:spacing w:val="-8"/>
          <w:w w:val="105"/>
        </w:rPr>
        <w:t> </w:t>
      </w:r>
      <w:r>
        <w:rPr>
          <w:w w:val="105"/>
        </w:rPr>
        <w:t>million,</w:t>
      </w:r>
      <w:r>
        <w:rPr>
          <w:spacing w:val="-8"/>
          <w:w w:val="105"/>
        </w:rPr>
        <w:t> </w:t>
      </w:r>
      <w:r>
        <w:rPr>
          <w:w w:val="105"/>
        </w:rPr>
        <w:t>respectively,</w:t>
      </w:r>
      <w:r>
        <w:rPr>
          <w:spacing w:val="-8"/>
          <w:w w:val="105"/>
        </w:rPr>
        <w:t> </w:t>
      </w:r>
      <w:r>
        <w:rPr>
          <w:w w:val="105"/>
        </w:rPr>
        <w:t>were</w:t>
      </w:r>
      <w:r>
        <w:rPr>
          <w:spacing w:val="-8"/>
          <w:w w:val="105"/>
        </w:rPr>
        <w:t> </w:t>
      </w:r>
      <w:r>
        <w:rPr>
          <w:w w:val="105"/>
        </w:rPr>
        <w:t>classified</w:t>
      </w:r>
      <w:r>
        <w:rPr>
          <w:spacing w:val="-8"/>
          <w:w w:val="105"/>
        </w:rPr>
        <w:t> </w:t>
      </w:r>
      <w:r>
        <w:rPr>
          <w:w w:val="105"/>
        </w:rPr>
        <w:t>as</w:t>
      </w:r>
      <w:r>
        <w:rPr>
          <w:spacing w:val="-8"/>
          <w:w w:val="105"/>
        </w:rPr>
        <w:t> </w:t>
      </w:r>
      <w:r>
        <w:rPr>
          <w:w w:val="105"/>
        </w:rPr>
        <w:t>a</w:t>
      </w:r>
      <w:r>
        <w:rPr>
          <w:spacing w:val="-8"/>
          <w:w w:val="105"/>
        </w:rPr>
        <w:t> </w:t>
      </w:r>
      <w:r>
        <w:rPr>
          <w:w w:val="105"/>
        </w:rPr>
        <w:t>long-term</w:t>
      </w:r>
      <w:r>
        <w:rPr>
          <w:spacing w:val="-8"/>
          <w:w w:val="105"/>
        </w:rPr>
        <w:t> </w:t>
      </w:r>
      <w:r>
        <w:rPr>
          <w:w w:val="105"/>
        </w:rPr>
        <w:t>liability</w:t>
      </w:r>
      <w:r>
        <w:rPr>
          <w:spacing w:val="-8"/>
          <w:w w:val="105"/>
        </w:rPr>
        <w:t> </w:t>
      </w:r>
      <w:r>
        <w:rPr>
          <w:w w:val="105"/>
        </w:rPr>
        <w:t>and</w:t>
      </w:r>
      <w:r>
        <w:rPr>
          <w:spacing w:val="-8"/>
          <w:w w:val="105"/>
        </w:rPr>
        <w:t> </w:t>
      </w:r>
      <w:r>
        <w:rPr>
          <w:w w:val="105"/>
        </w:rPr>
        <w:t>$148</w:t>
      </w:r>
      <w:r>
        <w:rPr>
          <w:spacing w:val="-8"/>
          <w:w w:val="105"/>
        </w:rPr>
        <w:t> </w:t>
      </w:r>
      <w:r>
        <w:rPr>
          <w:w w:val="105"/>
        </w:rPr>
        <w:t>million</w:t>
      </w:r>
      <w:r>
        <w:rPr>
          <w:spacing w:val="-8"/>
          <w:w w:val="105"/>
        </w:rPr>
        <w:t> </w:t>
      </w:r>
      <w:r>
        <w:rPr>
          <w:w w:val="105"/>
        </w:rPr>
        <w:t>and</w:t>
      </w:r>
      <w:r>
        <w:rPr>
          <w:spacing w:val="-8"/>
          <w:w w:val="105"/>
        </w:rPr>
        <w:t> </w:t>
      </w:r>
      <w:r>
        <w:rPr>
          <w:w w:val="105"/>
        </w:rPr>
        <w:t>$152</w:t>
      </w:r>
      <w:r>
        <w:rPr>
          <w:spacing w:val="-8"/>
          <w:w w:val="105"/>
        </w:rPr>
        <w:t> </w:t>
      </w:r>
      <w:r>
        <w:rPr>
          <w:w w:val="105"/>
        </w:rPr>
        <w:t>million,</w:t>
      </w:r>
      <w:r>
        <w:rPr>
          <w:spacing w:val="-8"/>
          <w:w w:val="105"/>
        </w:rPr>
        <w:t> </w:t>
      </w:r>
      <w:r>
        <w:rPr>
          <w:w w:val="105"/>
        </w:rPr>
        <w:t>respectively, were classified as a current liability.</w:t>
      </w:r>
    </w:p>
    <w:p>
      <w:pPr>
        <w:pStyle w:val="BodyText"/>
        <w:spacing w:before="19"/>
      </w:pPr>
    </w:p>
    <w:p>
      <w:pPr>
        <w:pStyle w:val="BodyText"/>
        <w:ind w:left="156"/>
      </w:pPr>
      <w:r>
        <w:rPr>
          <w:spacing w:val="-2"/>
          <w:w w:val="105"/>
        </w:rPr>
        <w:t>Refer</w:t>
      </w:r>
      <w:r>
        <w:rPr>
          <w:spacing w:val="1"/>
          <w:w w:val="105"/>
        </w:rPr>
        <w:t> </w:t>
      </w:r>
      <w:r>
        <w:rPr>
          <w:spacing w:val="-2"/>
          <w:w w:val="105"/>
        </w:rPr>
        <w:t>to</w:t>
      </w:r>
      <w:r>
        <w:rPr>
          <w:spacing w:val="2"/>
          <w:w w:val="105"/>
        </w:rPr>
        <w:t> </w:t>
      </w:r>
      <w:r>
        <w:rPr>
          <w:spacing w:val="-2"/>
          <w:w w:val="105"/>
        </w:rPr>
        <w:t>Note</w:t>
      </w:r>
      <w:r>
        <w:rPr>
          <w:spacing w:val="3"/>
          <w:w w:val="105"/>
        </w:rPr>
        <w:t> </w:t>
      </w:r>
      <w:r>
        <w:rPr>
          <w:spacing w:val="-2"/>
          <w:w w:val="105"/>
        </w:rPr>
        <w:t>4</w:t>
      </w:r>
      <w:r>
        <w:rPr>
          <w:spacing w:val="2"/>
          <w:w w:val="105"/>
        </w:rPr>
        <w:t> </w:t>
      </w:r>
      <w:r>
        <w:rPr>
          <w:spacing w:val="-2"/>
          <w:w w:val="105"/>
        </w:rPr>
        <w:t>(HSG</w:t>
      </w:r>
      <w:r>
        <w:rPr>
          <w:spacing w:val="2"/>
          <w:w w:val="105"/>
        </w:rPr>
        <w:t> </w:t>
      </w:r>
      <w:r>
        <w:rPr>
          <w:spacing w:val="-2"/>
          <w:w w:val="105"/>
        </w:rPr>
        <w:t>Transactions</w:t>
      </w:r>
      <w:r>
        <w:rPr>
          <w:spacing w:val="1"/>
          <w:w w:val="105"/>
        </w:rPr>
        <w:t> </w:t>
      </w:r>
      <w:r>
        <w:rPr>
          <w:spacing w:val="-2"/>
          <w:w w:val="105"/>
        </w:rPr>
        <w:t>and</w:t>
      </w:r>
      <w:r>
        <w:rPr>
          <w:spacing w:val="2"/>
          <w:w w:val="105"/>
        </w:rPr>
        <w:t> </w:t>
      </w:r>
      <w:r>
        <w:rPr>
          <w:spacing w:val="-2"/>
          <w:w w:val="105"/>
        </w:rPr>
        <w:t>Acquisitions)</w:t>
      </w:r>
      <w:r>
        <w:rPr>
          <w:spacing w:val="2"/>
          <w:w w:val="105"/>
        </w:rPr>
        <w:t> </w:t>
      </w:r>
      <w:r>
        <w:rPr>
          <w:spacing w:val="-2"/>
          <w:w w:val="105"/>
        </w:rPr>
        <w:t>to</w:t>
      </w:r>
      <w:r>
        <w:rPr>
          <w:spacing w:val="2"/>
          <w:w w:val="105"/>
        </w:rPr>
        <w:t> </w:t>
      </w:r>
      <w:r>
        <w:rPr>
          <w:spacing w:val="-2"/>
          <w:w w:val="105"/>
        </w:rPr>
        <w:t>the</w:t>
      </w:r>
      <w:r>
        <w:rPr>
          <w:spacing w:val="2"/>
          <w:w w:val="105"/>
        </w:rPr>
        <w:t> </w:t>
      </w:r>
      <w:r>
        <w:rPr>
          <w:spacing w:val="-2"/>
          <w:w w:val="105"/>
        </w:rPr>
        <w:t>consolidated</w:t>
      </w:r>
      <w:r>
        <w:rPr>
          <w:spacing w:val="1"/>
          <w:w w:val="105"/>
        </w:rPr>
        <w:t> </w:t>
      </w:r>
      <w:r>
        <w:rPr>
          <w:spacing w:val="-2"/>
          <w:w w:val="105"/>
        </w:rPr>
        <w:t>financial</w:t>
      </w:r>
      <w:r>
        <w:rPr>
          <w:spacing w:val="2"/>
          <w:w w:val="105"/>
        </w:rPr>
        <w:t> </w:t>
      </w:r>
      <w:r>
        <w:rPr>
          <w:spacing w:val="-2"/>
          <w:w w:val="105"/>
        </w:rPr>
        <w:t>statements</w:t>
      </w:r>
      <w:r>
        <w:rPr>
          <w:spacing w:val="2"/>
          <w:w w:val="105"/>
        </w:rPr>
        <w:t> </w:t>
      </w:r>
      <w:r>
        <w:rPr>
          <w:spacing w:val="-2"/>
          <w:w w:val="105"/>
        </w:rPr>
        <w:t>for</w:t>
      </w:r>
      <w:r>
        <w:rPr>
          <w:spacing w:val="2"/>
          <w:w w:val="105"/>
        </w:rPr>
        <w:t> </w:t>
      </w:r>
      <w:r>
        <w:rPr>
          <w:spacing w:val="-2"/>
          <w:w w:val="105"/>
        </w:rPr>
        <w:t>additional</w:t>
      </w:r>
      <w:r>
        <w:rPr>
          <w:spacing w:val="2"/>
          <w:w w:val="105"/>
        </w:rPr>
        <w:t> </w:t>
      </w:r>
      <w:r>
        <w:rPr>
          <w:spacing w:val="-2"/>
          <w:w w:val="105"/>
        </w:rPr>
        <w:t>information.</w:t>
      </w:r>
    </w:p>
    <w:p>
      <w:pPr>
        <w:pStyle w:val="BodyText"/>
        <w:spacing w:before="40"/>
      </w:pPr>
    </w:p>
    <w:p>
      <w:pPr>
        <w:pStyle w:val="Heading3"/>
      </w:pPr>
      <w:r>
        <w:rPr/>
        <w:t>Practical</w:t>
      </w:r>
      <w:r>
        <w:rPr>
          <w:spacing w:val="13"/>
        </w:rPr>
        <w:t> </w:t>
      </w:r>
      <w:r>
        <w:rPr/>
        <w:t>Expedients</w:t>
      </w:r>
      <w:r>
        <w:rPr>
          <w:spacing w:val="14"/>
        </w:rPr>
        <w:t> </w:t>
      </w:r>
      <w:r>
        <w:rPr/>
        <w:t>and</w:t>
      </w:r>
      <w:r>
        <w:rPr>
          <w:spacing w:val="14"/>
        </w:rPr>
        <w:t> </w:t>
      </w:r>
      <w:r>
        <w:rPr>
          <w:spacing w:val="-2"/>
        </w:rPr>
        <w:t>Exemptions</w:t>
      </w:r>
    </w:p>
    <w:p>
      <w:pPr>
        <w:pStyle w:val="BodyText"/>
        <w:spacing w:before="40"/>
        <w:rPr>
          <w:b/>
          <w:i/>
        </w:rPr>
      </w:pPr>
    </w:p>
    <w:p>
      <w:pPr>
        <w:pStyle w:val="BodyText"/>
        <w:spacing w:line="266" w:lineRule="auto"/>
        <w:ind w:left="156"/>
      </w:pPr>
      <w:r>
        <w:rPr>
          <w:w w:val="105"/>
        </w:rPr>
        <w:t>The</w:t>
      </w:r>
      <w:r>
        <w:rPr>
          <w:spacing w:val="-7"/>
          <w:w w:val="105"/>
        </w:rPr>
        <w:t> </w:t>
      </w:r>
      <w:r>
        <w:rPr>
          <w:w w:val="105"/>
        </w:rPr>
        <w:t>value</w:t>
      </w:r>
      <w:r>
        <w:rPr>
          <w:spacing w:val="-7"/>
          <w:w w:val="105"/>
        </w:rPr>
        <w:t> </w:t>
      </w:r>
      <w:r>
        <w:rPr>
          <w:w w:val="105"/>
        </w:rPr>
        <w:t>of</w:t>
      </w:r>
      <w:r>
        <w:rPr>
          <w:spacing w:val="-7"/>
          <w:w w:val="105"/>
        </w:rPr>
        <w:t> </w:t>
      </w:r>
      <w:r>
        <w:rPr>
          <w:w w:val="105"/>
        </w:rPr>
        <w:t>unsatisfied</w:t>
      </w:r>
      <w:r>
        <w:rPr>
          <w:spacing w:val="-7"/>
          <w:w w:val="105"/>
        </w:rPr>
        <w:t> </w:t>
      </w:r>
      <w:r>
        <w:rPr>
          <w:w w:val="105"/>
        </w:rPr>
        <w:t>performance</w:t>
      </w:r>
      <w:r>
        <w:rPr>
          <w:spacing w:val="-7"/>
          <w:w w:val="105"/>
        </w:rPr>
        <w:t> </w:t>
      </w:r>
      <w:r>
        <w:rPr>
          <w:w w:val="105"/>
        </w:rPr>
        <w:t>obligations</w:t>
      </w:r>
      <w:r>
        <w:rPr>
          <w:spacing w:val="-7"/>
          <w:w w:val="105"/>
        </w:rPr>
        <w:t> </w:t>
      </w:r>
      <w:r>
        <w:rPr>
          <w:w w:val="105"/>
        </w:rPr>
        <w:t>is</w:t>
      </w:r>
      <w:r>
        <w:rPr>
          <w:spacing w:val="-6"/>
          <w:w w:val="105"/>
        </w:rPr>
        <w:t> </w:t>
      </w:r>
      <w:r>
        <w:rPr>
          <w:w w:val="105"/>
        </w:rPr>
        <w:t>not</w:t>
      </w:r>
      <w:r>
        <w:rPr>
          <w:spacing w:val="-7"/>
          <w:w w:val="105"/>
        </w:rPr>
        <w:t> </w:t>
      </w:r>
      <w:r>
        <w:rPr>
          <w:w w:val="105"/>
        </w:rPr>
        <w:t>disclosed</w:t>
      </w:r>
      <w:r>
        <w:rPr>
          <w:spacing w:val="-7"/>
          <w:w w:val="105"/>
        </w:rPr>
        <w:t> </w:t>
      </w:r>
      <w:r>
        <w:rPr>
          <w:w w:val="105"/>
        </w:rPr>
        <w:t>for</w:t>
      </w:r>
      <w:r>
        <w:rPr>
          <w:spacing w:val="-7"/>
          <w:w w:val="105"/>
        </w:rPr>
        <w:t> </w:t>
      </w:r>
      <w:r>
        <w:rPr>
          <w:w w:val="105"/>
        </w:rPr>
        <w:t>(i)</w:t>
      </w:r>
      <w:r>
        <w:rPr>
          <w:spacing w:val="-7"/>
          <w:w w:val="105"/>
        </w:rPr>
        <w:t> </w:t>
      </w:r>
      <w:r>
        <w:rPr>
          <w:w w:val="105"/>
        </w:rPr>
        <w:t>contracts</w:t>
      </w:r>
      <w:r>
        <w:rPr>
          <w:spacing w:val="-7"/>
          <w:w w:val="105"/>
        </w:rPr>
        <w:t> </w:t>
      </w:r>
      <w:r>
        <w:rPr>
          <w:w w:val="105"/>
        </w:rPr>
        <w:t>with</w:t>
      </w:r>
      <w:r>
        <w:rPr>
          <w:spacing w:val="-7"/>
          <w:w w:val="105"/>
        </w:rPr>
        <w:t> </w:t>
      </w:r>
      <w:r>
        <w:rPr>
          <w:w w:val="105"/>
        </w:rPr>
        <w:t>an</w:t>
      </w:r>
      <w:r>
        <w:rPr>
          <w:spacing w:val="-7"/>
          <w:w w:val="105"/>
        </w:rPr>
        <w:t> </w:t>
      </w:r>
      <w:r>
        <w:rPr>
          <w:w w:val="105"/>
        </w:rPr>
        <w:t>original</w:t>
      </w:r>
      <w:r>
        <w:rPr>
          <w:spacing w:val="-7"/>
          <w:w w:val="105"/>
        </w:rPr>
        <w:t> </w:t>
      </w:r>
      <w:r>
        <w:rPr>
          <w:w w:val="105"/>
        </w:rPr>
        <w:t>expected</w:t>
      </w:r>
      <w:r>
        <w:rPr>
          <w:spacing w:val="-7"/>
          <w:w w:val="105"/>
        </w:rPr>
        <w:t> </w:t>
      </w:r>
      <w:r>
        <w:rPr>
          <w:w w:val="105"/>
        </w:rPr>
        <w:t>length</w:t>
      </w:r>
      <w:r>
        <w:rPr>
          <w:spacing w:val="-7"/>
          <w:w w:val="105"/>
        </w:rPr>
        <w:t> </w:t>
      </w:r>
      <w:r>
        <w:rPr>
          <w:w w:val="105"/>
        </w:rPr>
        <w:t>of</w:t>
      </w:r>
      <w:r>
        <w:rPr>
          <w:spacing w:val="-7"/>
          <w:w w:val="105"/>
        </w:rPr>
        <w:t> </w:t>
      </w:r>
      <w:r>
        <w:rPr>
          <w:w w:val="105"/>
        </w:rPr>
        <w:t>one</w:t>
      </w:r>
      <w:r>
        <w:rPr>
          <w:spacing w:val="-7"/>
          <w:w w:val="105"/>
        </w:rPr>
        <w:t> </w:t>
      </w:r>
      <w:r>
        <w:rPr>
          <w:w w:val="105"/>
        </w:rPr>
        <w:t>year</w:t>
      </w:r>
      <w:r>
        <w:rPr>
          <w:spacing w:val="-7"/>
          <w:w w:val="105"/>
        </w:rPr>
        <w:t> </w:t>
      </w:r>
      <w:r>
        <w:rPr>
          <w:w w:val="105"/>
        </w:rPr>
        <w:t>or</w:t>
      </w:r>
      <w:r>
        <w:rPr>
          <w:spacing w:val="-7"/>
          <w:w w:val="105"/>
        </w:rPr>
        <w:t> </w:t>
      </w:r>
      <w:r>
        <w:rPr>
          <w:w w:val="105"/>
        </w:rPr>
        <w:t>less</w:t>
      </w:r>
      <w:r>
        <w:rPr>
          <w:spacing w:val="-7"/>
          <w:w w:val="105"/>
        </w:rPr>
        <w:t> </w:t>
      </w:r>
      <w:r>
        <w:rPr>
          <w:w w:val="105"/>
        </w:rPr>
        <w:t>and</w:t>
      </w:r>
      <w:r>
        <w:rPr>
          <w:spacing w:val="-7"/>
          <w:w w:val="105"/>
        </w:rPr>
        <w:t> </w:t>
      </w:r>
      <w:r>
        <w:rPr>
          <w:w w:val="105"/>
        </w:rPr>
        <w:t>(ii)</w:t>
      </w:r>
      <w:r>
        <w:rPr>
          <w:spacing w:val="-7"/>
          <w:w w:val="105"/>
        </w:rPr>
        <w:t> </w:t>
      </w:r>
      <w:r>
        <w:rPr>
          <w:w w:val="105"/>
        </w:rPr>
        <w:t>contracts</w:t>
      </w:r>
      <w:r>
        <w:rPr>
          <w:spacing w:val="-7"/>
          <w:w w:val="105"/>
        </w:rPr>
        <w:t> </w:t>
      </w:r>
      <w:r>
        <w:rPr>
          <w:w w:val="105"/>
        </w:rPr>
        <w:t>for</w:t>
      </w:r>
      <w:r>
        <w:rPr>
          <w:spacing w:val="-7"/>
          <w:w w:val="105"/>
        </w:rPr>
        <w:t> </w:t>
      </w:r>
      <w:r>
        <w:rPr>
          <w:w w:val="105"/>
        </w:rPr>
        <w:t>which</w:t>
      </w:r>
      <w:r>
        <w:rPr>
          <w:spacing w:val="-7"/>
          <w:w w:val="105"/>
        </w:rPr>
        <w:t> </w:t>
      </w:r>
      <w:r>
        <w:rPr>
          <w:w w:val="105"/>
        </w:rPr>
        <w:t>revenue</w:t>
      </w:r>
      <w:r>
        <w:rPr>
          <w:spacing w:val="-7"/>
          <w:w w:val="105"/>
        </w:rPr>
        <w:t> </w:t>
      </w:r>
      <w:r>
        <w:rPr>
          <w:w w:val="105"/>
        </w:rPr>
        <w:t>has been recognized at an amount for which the right exists to invoice for services performed.</w:t>
      </w:r>
    </w:p>
    <w:p>
      <w:pPr>
        <w:pStyle w:val="BodyText"/>
        <w:spacing w:before="19"/>
      </w:pPr>
    </w:p>
    <w:p>
      <w:pPr>
        <w:pStyle w:val="BodyText"/>
        <w:spacing w:line="266" w:lineRule="auto"/>
        <w:ind w:left="156" w:right="117"/>
      </w:pPr>
      <w:r>
        <w:rPr>
          <w:w w:val="105"/>
        </w:rPr>
        <w:t>Shipping</w:t>
      </w:r>
      <w:r>
        <w:rPr>
          <w:spacing w:val="-8"/>
          <w:w w:val="105"/>
        </w:rPr>
        <w:t> </w:t>
      </w:r>
      <w:r>
        <w:rPr>
          <w:w w:val="105"/>
        </w:rPr>
        <w:t>and</w:t>
      </w:r>
      <w:r>
        <w:rPr>
          <w:spacing w:val="-8"/>
          <w:w w:val="105"/>
        </w:rPr>
        <w:t> </w:t>
      </w:r>
      <w:r>
        <w:rPr>
          <w:w w:val="105"/>
        </w:rPr>
        <w:t>handling</w:t>
      </w:r>
      <w:r>
        <w:rPr>
          <w:spacing w:val="-8"/>
          <w:w w:val="105"/>
        </w:rPr>
        <w:t> </w:t>
      </w:r>
      <w:r>
        <w:rPr>
          <w:w w:val="105"/>
        </w:rPr>
        <w:t>fees</w:t>
      </w:r>
      <w:r>
        <w:rPr>
          <w:spacing w:val="-8"/>
          <w:w w:val="105"/>
        </w:rPr>
        <w:t> </w:t>
      </w:r>
      <w:r>
        <w:rPr>
          <w:w w:val="105"/>
        </w:rPr>
        <w:t>are</w:t>
      </w:r>
      <w:r>
        <w:rPr>
          <w:spacing w:val="-8"/>
          <w:w w:val="105"/>
        </w:rPr>
        <w:t> </w:t>
      </w:r>
      <w:r>
        <w:rPr>
          <w:w w:val="105"/>
        </w:rPr>
        <w:t>treated</w:t>
      </w:r>
      <w:r>
        <w:rPr>
          <w:spacing w:val="-8"/>
          <w:w w:val="105"/>
        </w:rPr>
        <w:t> </w:t>
      </w:r>
      <w:r>
        <w:rPr>
          <w:w w:val="105"/>
        </w:rPr>
        <w:t>as</w:t>
      </w:r>
      <w:r>
        <w:rPr>
          <w:spacing w:val="-8"/>
          <w:w w:val="105"/>
        </w:rPr>
        <w:t> </w:t>
      </w:r>
      <w:r>
        <w:rPr>
          <w:w w:val="105"/>
        </w:rPr>
        <w:t>fulfillment</w:t>
      </w:r>
      <w:r>
        <w:rPr>
          <w:spacing w:val="-8"/>
          <w:w w:val="105"/>
        </w:rPr>
        <w:t> </w:t>
      </w:r>
      <w:r>
        <w:rPr>
          <w:w w:val="105"/>
        </w:rPr>
        <w:t>costs</w:t>
      </w:r>
      <w:r>
        <w:rPr>
          <w:spacing w:val="-8"/>
          <w:w w:val="105"/>
        </w:rPr>
        <w:t> </w:t>
      </w:r>
      <w:r>
        <w:rPr>
          <w:w w:val="105"/>
        </w:rPr>
        <w:t>and</w:t>
      </w:r>
      <w:r>
        <w:rPr>
          <w:spacing w:val="-8"/>
          <w:w w:val="105"/>
        </w:rPr>
        <w:t> </w:t>
      </w:r>
      <w:r>
        <w:rPr>
          <w:w w:val="105"/>
        </w:rPr>
        <w:t>not</w:t>
      </w:r>
      <w:r>
        <w:rPr>
          <w:spacing w:val="-8"/>
          <w:w w:val="105"/>
        </w:rPr>
        <w:t> </w:t>
      </w:r>
      <w:r>
        <w:rPr>
          <w:w w:val="105"/>
        </w:rPr>
        <w:t>as</w:t>
      </w:r>
      <w:r>
        <w:rPr>
          <w:spacing w:val="-8"/>
          <w:w w:val="105"/>
        </w:rPr>
        <w:t> </w:t>
      </w:r>
      <w:r>
        <w:rPr>
          <w:w w:val="105"/>
        </w:rPr>
        <w:t>separate</w:t>
      </w:r>
      <w:r>
        <w:rPr>
          <w:spacing w:val="-8"/>
          <w:w w:val="105"/>
        </w:rPr>
        <w:t> </w:t>
      </w:r>
      <w:r>
        <w:rPr>
          <w:w w:val="105"/>
        </w:rPr>
        <w:t>performance</w:t>
      </w:r>
      <w:r>
        <w:rPr>
          <w:spacing w:val="-8"/>
          <w:w w:val="105"/>
        </w:rPr>
        <w:t> </w:t>
      </w:r>
      <w:r>
        <w:rPr>
          <w:w w:val="105"/>
        </w:rPr>
        <w:t>obligations</w:t>
      </w:r>
      <w:r>
        <w:rPr>
          <w:spacing w:val="-8"/>
          <w:w w:val="105"/>
        </w:rPr>
        <w:t> </w:t>
      </w:r>
      <w:r>
        <w:rPr>
          <w:w w:val="105"/>
        </w:rPr>
        <w:t>under</w:t>
      </w:r>
      <w:r>
        <w:rPr>
          <w:spacing w:val="-8"/>
          <w:w w:val="105"/>
        </w:rPr>
        <w:t> </w:t>
      </w:r>
      <w:r>
        <w:rPr>
          <w:w w:val="105"/>
        </w:rPr>
        <w:t>the</w:t>
      </w:r>
      <w:r>
        <w:rPr>
          <w:spacing w:val="-8"/>
          <w:w w:val="105"/>
        </w:rPr>
        <w:t> </w:t>
      </w:r>
      <w:r>
        <w:rPr>
          <w:w w:val="105"/>
        </w:rPr>
        <w:t>terms</w:t>
      </w:r>
      <w:r>
        <w:rPr>
          <w:spacing w:val="-8"/>
          <w:w w:val="105"/>
        </w:rPr>
        <w:t> </w:t>
      </w:r>
      <w:r>
        <w:rPr>
          <w:w w:val="105"/>
        </w:rPr>
        <w:t>of</w:t>
      </w:r>
      <w:r>
        <w:rPr>
          <w:spacing w:val="-8"/>
          <w:w w:val="105"/>
        </w:rPr>
        <w:t> </w:t>
      </w:r>
      <w:r>
        <w:rPr>
          <w:w w:val="105"/>
        </w:rPr>
        <w:t>revenue</w:t>
      </w:r>
      <w:r>
        <w:rPr>
          <w:spacing w:val="-8"/>
          <w:w w:val="105"/>
        </w:rPr>
        <w:t> </w:t>
      </w:r>
      <w:r>
        <w:rPr>
          <w:w w:val="105"/>
        </w:rPr>
        <w:t>contracts</w:t>
      </w:r>
      <w:r>
        <w:rPr>
          <w:spacing w:val="-8"/>
          <w:w w:val="105"/>
        </w:rPr>
        <w:t> </w:t>
      </w:r>
      <w:r>
        <w:rPr>
          <w:w w:val="105"/>
        </w:rPr>
        <w:t>due</w:t>
      </w:r>
      <w:r>
        <w:rPr>
          <w:spacing w:val="-8"/>
          <w:w w:val="105"/>
        </w:rPr>
        <w:t> </w:t>
      </w:r>
      <w:r>
        <w:rPr>
          <w:w w:val="105"/>
        </w:rPr>
        <w:t>to</w:t>
      </w:r>
      <w:r>
        <w:rPr>
          <w:spacing w:val="-8"/>
          <w:w w:val="105"/>
        </w:rPr>
        <w:t> </w:t>
      </w:r>
      <w:r>
        <w:rPr>
          <w:w w:val="105"/>
        </w:rPr>
        <w:t>the</w:t>
      </w:r>
      <w:r>
        <w:rPr>
          <w:spacing w:val="-8"/>
          <w:w w:val="105"/>
        </w:rPr>
        <w:t> </w:t>
      </w:r>
      <w:r>
        <w:rPr>
          <w:w w:val="105"/>
        </w:rPr>
        <w:t>perfunctory</w:t>
      </w:r>
      <w:r>
        <w:rPr>
          <w:spacing w:val="-8"/>
          <w:w w:val="105"/>
        </w:rPr>
        <w:t> </w:t>
      </w:r>
      <w:r>
        <w:rPr>
          <w:w w:val="105"/>
        </w:rPr>
        <w:t>nature</w:t>
      </w:r>
      <w:r>
        <w:rPr>
          <w:spacing w:val="-8"/>
          <w:w w:val="105"/>
        </w:rPr>
        <w:t> </w:t>
      </w:r>
      <w:r>
        <w:rPr>
          <w:w w:val="105"/>
        </w:rPr>
        <w:t>of the shipping and handling obligations.</w:t>
      </w:r>
    </w:p>
    <w:p>
      <w:pPr>
        <w:pStyle w:val="BodyText"/>
        <w:spacing w:before="19"/>
      </w:pPr>
    </w:p>
    <w:p>
      <w:pPr>
        <w:pStyle w:val="Heading3"/>
      </w:pPr>
      <w:r>
        <w:rPr/>
        <w:t>Significant</w:t>
      </w:r>
      <w:r>
        <w:rPr>
          <w:spacing w:val="22"/>
        </w:rPr>
        <w:t> </w:t>
      </w:r>
      <w:r>
        <w:rPr>
          <w:spacing w:val="-2"/>
        </w:rPr>
        <w:t>Customers</w:t>
      </w:r>
    </w:p>
    <w:p>
      <w:pPr>
        <w:pStyle w:val="BodyText"/>
        <w:spacing w:before="39"/>
        <w:rPr>
          <w:b/>
          <w:i/>
        </w:rPr>
      </w:pPr>
    </w:p>
    <w:p>
      <w:pPr>
        <w:pStyle w:val="BodyText"/>
        <w:ind w:left="156"/>
      </w:pPr>
      <w:r>
        <w:rPr>
          <w:w w:val="105"/>
        </w:rPr>
        <w:t>For</w:t>
      </w:r>
      <w:r>
        <w:rPr>
          <w:spacing w:val="-9"/>
          <w:w w:val="105"/>
        </w:rPr>
        <w:t> </w:t>
      </w:r>
      <w:r>
        <w:rPr>
          <w:w w:val="105"/>
        </w:rPr>
        <w:t>2021,</w:t>
      </w:r>
      <w:r>
        <w:rPr>
          <w:spacing w:val="-9"/>
          <w:w w:val="105"/>
        </w:rPr>
        <w:t> </w:t>
      </w:r>
      <w:r>
        <w:rPr>
          <w:w w:val="105"/>
        </w:rPr>
        <w:t>2020</w:t>
      </w:r>
      <w:r>
        <w:rPr>
          <w:spacing w:val="-9"/>
          <w:w w:val="105"/>
        </w:rPr>
        <w:t> </w:t>
      </w:r>
      <w:r>
        <w:rPr>
          <w:w w:val="105"/>
        </w:rPr>
        <w:t>and</w:t>
      </w:r>
      <w:r>
        <w:rPr>
          <w:spacing w:val="-8"/>
          <w:w w:val="105"/>
        </w:rPr>
        <w:t> </w:t>
      </w:r>
      <w:r>
        <w:rPr>
          <w:w w:val="105"/>
        </w:rPr>
        <w:t>2019,</w:t>
      </w:r>
      <w:r>
        <w:rPr>
          <w:spacing w:val="-9"/>
          <w:w w:val="105"/>
        </w:rPr>
        <w:t> </w:t>
      </w:r>
      <w:r>
        <w:rPr>
          <w:w w:val="105"/>
        </w:rPr>
        <w:t>no</w:t>
      </w:r>
      <w:r>
        <w:rPr>
          <w:spacing w:val="-9"/>
          <w:w w:val="105"/>
        </w:rPr>
        <w:t> </w:t>
      </w:r>
      <w:r>
        <w:rPr>
          <w:w w:val="105"/>
        </w:rPr>
        <w:t>customer</w:t>
      </w:r>
      <w:r>
        <w:rPr>
          <w:spacing w:val="-9"/>
          <w:w w:val="105"/>
        </w:rPr>
        <w:t> </w:t>
      </w:r>
      <w:r>
        <w:rPr>
          <w:w w:val="105"/>
        </w:rPr>
        <w:t>met</w:t>
      </w:r>
      <w:r>
        <w:rPr>
          <w:spacing w:val="-8"/>
          <w:w w:val="105"/>
        </w:rPr>
        <w:t> </w:t>
      </w:r>
      <w:r>
        <w:rPr>
          <w:w w:val="105"/>
        </w:rPr>
        <w:t>or</w:t>
      </w:r>
      <w:r>
        <w:rPr>
          <w:spacing w:val="-9"/>
          <w:w w:val="105"/>
        </w:rPr>
        <w:t> </w:t>
      </w:r>
      <w:r>
        <w:rPr>
          <w:w w:val="105"/>
        </w:rPr>
        <w:t>exceeded</w:t>
      </w:r>
      <w:r>
        <w:rPr>
          <w:spacing w:val="-10"/>
          <w:w w:val="105"/>
        </w:rPr>
        <w:t> </w:t>
      </w:r>
      <w:r>
        <w:rPr>
          <w:w w:val="105"/>
        </w:rPr>
        <w:t>10%</w:t>
      </w:r>
      <w:r>
        <w:rPr>
          <w:spacing w:val="-9"/>
          <w:w w:val="105"/>
        </w:rPr>
        <w:t> </w:t>
      </w:r>
      <w:r>
        <w:rPr>
          <w:w w:val="105"/>
        </w:rPr>
        <w:t>of</w:t>
      </w:r>
      <w:r>
        <w:rPr>
          <w:spacing w:val="-9"/>
          <w:w w:val="105"/>
        </w:rPr>
        <w:t> </w:t>
      </w:r>
      <w:r>
        <w:rPr>
          <w:w w:val="105"/>
        </w:rPr>
        <w:t>Corning’s</w:t>
      </w:r>
      <w:r>
        <w:rPr>
          <w:spacing w:val="-9"/>
          <w:w w:val="105"/>
        </w:rPr>
        <w:t> </w:t>
      </w:r>
      <w:r>
        <w:rPr>
          <w:w w:val="105"/>
        </w:rPr>
        <w:t>consolidated</w:t>
      </w:r>
      <w:r>
        <w:rPr>
          <w:spacing w:val="-8"/>
          <w:w w:val="105"/>
        </w:rPr>
        <w:t> </w:t>
      </w:r>
      <w:r>
        <w:rPr>
          <w:w w:val="105"/>
        </w:rPr>
        <w:t>net</w:t>
      </w:r>
      <w:r>
        <w:rPr>
          <w:spacing w:val="-9"/>
          <w:w w:val="105"/>
        </w:rPr>
        <w:t> </w:t>
      </w:r>
      <w:r>
        <w:rPr>
          <w:spacing w:val="-2"/>
          <w:w w:val="105"/>
        </w:rPr>
        <w:t>sales.</w:t>
      </w:r>
    </w:p>
    <w:p>
      <w:pPr>
        <w:pStyle w:val="BodyText"/>
      </w:pPr>
    </w:p>
    <w:p>
      <w:pPr>
        <w:pStyle w:val="BodyText"/>
        <w:spacing w:before="60"/>
      </w:pPr>
    </w:p>
    <w:p>
      <w:pPr>
        <w:pStyle w:val="Heading2"/>
        <w:numPr>
          <w:ilvl w:val="0"/>
          <w:numId w:val="42"/>
        </w:numPr>
        <w:tabs>
          <w:tab w:pos="362" w:val="left" w:leader="none"/>
        </w:tabs>
        <w:spacing w:line="240" w:lineRule="auto" w:before="0" w:after="0"/>
        <w:ind w:left="362" w:right="0" w:hanging="206"/>
        <w:jc w:val="left"/>
      </w:pPr>
      <w:bookmarkStart w:name="_bookmark14" w:id="15"/>
      <w:bookmarkEnd w:id="15"/>
      <w:r>
        <w:rPr>
          <w:b w:val="0"/>
        </w:rPr>
      </w:r>
      <w:r>
        <w:rPr/>
        <w:t>Inventories,</w:t>
      </w:r>
      <w:r>
        <w:rPr>
          <w:spacing w:val="25"/>
        </w:rPr>
        <w:t> </w:t>
      </w:r>
      <w:r>
        <w:rPr>
          <w:spacing w:val="-5"/>
        </w:rPr>
        <w:t>Net</w:t>
      </w:r>
    </w:p>
    <w:p>
      <w:pPr>
        <w:pStyle w:val="BodyText"/>
        <w:spacing w:before="39"/>
        <w:rPr>
          <w:b/>
        </w:rPr>
      </w:pPr>
    </w:p>
    <w:p>
      <w:pPr>
        <w:pStyle w:val="BodyText"/>
        <w:spacing w:before="1"/>
        <w:ind w:left="156"/>
      </w:pPr>
      <w:r>
        <w:rPr>
          <w:w w:val="105"/>
        </w:rPr>
        <w:t>Inventories,</w:t>
      </w:r>
      <w:r>
        <w:rPr>
          <w:spacing w:val="-9"/>
          <w:w w:val="105"/>
        </w:rPr>
        <w:t> </w:t>
      </w:r>
      <w:r>
        <w:rPr>
          <w:w w:val="105"/>
        </w:rPr>
        <w:t>net,</w:t>
      </w:r>
      <w:r>
        <w:rPr>
          <w:spacing w:val="-8"/>
          <w:w w:val="105"/>
        </w:rPr>
        <w:t> </w:t>
      </w:r>
      <w:r>
        <w:rPr>
          <w:w w:val="105"/>
        </w:rPr>
        <w:t>are</w:t>
      </w:r>
      <w:r>
        <w:rPr>
          <w:spacing w:val="-8"/>
          <w:w w:val="105"/>
        </w:rPr>
        <w:t> </w:t>
      </w:r>
      <w:r>
        <w:rPr>
          <w:w w:val="105"/>
        </w:rPr>
        <w:t>comprised</w:t>
      </w:r>
      <w:r>
        <w:rPr>
          <w:spacing w:val="-8"/>
          <w:w w:val="105"/>
        </w:rPr>
        <w:t> </w:t>
      </w:r>
      <w:r>
        <w:rPr>
          <w:w w:val="105"/>
        </w:rPr>
        <w:t>of</w:t>
      </w:r>
      <w:r>
        <w:rPr>
          <w:spacing w:val="-9"/>
          <w:w w:val="105"/>
        </w:rPr>
        <w:t> </w:t>
      </w:r>
      <w:r>
        <w:rPr>
          <w:w w:val="105"/>
        </w:rPr>
        <w:t>the</w:t>
      </w:r>
      <w:r>
        <w:rPr>
          <w:spacing w:val="-8"/>
          <w:w w:val="105"/>
        </w:rPr>
        <w:t> </w:t>
      </w:r>
      <w:r>
        <w:rPr>
          <w:w w:val="105"/>
        </w:rPr>
        <w:t>following</w:t>
      </w:r>
      <w:r>
        <w:rPr>
          <w:spacing w:val="-8"/>
          <w:w w:val="105"/>
        </w:rPr>
        <w:t> </w:t>
      </w:r>
      <w:r>
        <w:rPr>
          <w:w w:val="105"/>
        </w:rPr>
        <w:t>(in</w:t>
      </w:r>
      <w:r>
        <w:rPr>
          <w:spacing w:val="-8"/>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682048">
                <wp:simplePos x="0" y="0"/>
                <wp:positionH relativeFrom="page">
                  <wp:posOffset>226479</wp:posOffset>
                </wp:positionH>
                <wp:positionV relativeFrom="paragraph">
                  <wp:posOffset>83077</wp:posOffset>
                </wp:positionV>
                <wp:extent cx="7312659" cy="16510"/>
                <wp:effectExtent l="0" t="0" r="0" b="0"/>
                <wp:wrapTopAndBottom/>
                <wp:docPr id="379" name="Graphic 379"/>
                <wp:cNvGraphicFramePr>
                  <a:graphicFrameLocks/>
                </wp:cNvGraphicFramePr>
                <a:graphic>
                  <a:graphicData uri="http://schemas.microsoft.com/office/word/2010/wordprocessingShape">
                    <wps:wsp>
                      <wps:cNvPr id="379" name="Graphic 379"/>
                      <wps:cNvSpPr/>
                      <wps:spPr>
                        <a:xfrm>
                          <a:off x="0" y="0"/>
                          <a:ext cx="7312659" cy="16510"/>
                        </a:xfrm>
                        <a:custGeom>
                          <a:avLst/>
                          <a:gdLst/>
                          <a:ahLst/>
                          <a:cxnLst/>
                          <a:rect l="l" t="t" r="r" b="b"/>
                          <a:pathLst>
                            <a:path w="7312659" h="16510">
                              <a:moveTo>
                                <a:pt x="7312342" y="0"/>
                              </a:moveTo>
                              <a:lnTo>
                                <a:pt x="7239546" y="0"/>
                              </a:lnTo>
                              <a:lnTo>
                                <a:pt x="5201145" y="0"/>
                              </a:lnTo>
                              <a:lnTo>
                                <a:pt x="5120259" y="0"/>
                              </a:lnTo>
                              <a:lnTo>
                                <a:pt x="0" y="0"/>
                              </a:lnTo>
                              <a:lnTo>
                                <a:pt x="0" y="16179"/>
                              </a:lnTo>
                              <a:lnTo>
                                <a:pt x="5120259" y="16179"/>
                              </a:lnTo>
                              <a:lnTo>
                                <a:pt x="520114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6.5415pt;width:575.8pt;height:1.3pt;mso-position-horizontal-relative:page;mso-position-vertical-relative:paragraph;z-index:-15634432;mso-wrap-distance-left:0;mso-wrap-distance-right:0" id="docshape378" coordorigin="357,131" coordsize="11516,26" path="m11872,131l11758,131,8547,131,8420,131,357,131,357,156,8420,156,8547,156,11758,156,11872,156,11872,131xe" filled="true" fillcolor="#000000" stroked="false">
                <v:path arrowok="t"/>
                <v:fill type="solid"/>
                <w10:wrap type="topAndBottom"/>
              </v:shape>
            </w:pict>
          </mc:Fallback>
        </mc:AlternateContent>
      </w:r>
    </w:p>
    <w:p>
      <w:pPr>
        <w:pStyle w:val="BodyText"/>
        <w:spacing w:before="3" w:after="23"/>
        <w:ind w:right="1361"/>
        <w:jc w:val="right"/>
      </w:pPr>
      <w:r>
        <w:rPr/>
        <w:t>December</w:t>
      </w:r>
      <w:r>
        <w:rPr>
          <w:spacing w:val="20"/>
        </w:rPr>
        <w:t> </w:t>
      </w:r>
      <w:r>
        <w:rPr>
          <w:spacing w:val="-5"/>
        </w:rPr>
        <w:t>31,</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1"/>
        <w:gridCol w:w="1015"/>
        <w:gridCol w:w="591"/>
        <w:gridCol w:w="446"/>
        <w:gridCol w:w="1274"/>
      </w:tblGrid>
      <w:tr>
        <w:trPr>
          <w:trHeight w:val="213" w:hRule="atLeast"/>
        </w:trPr>
        <w:tc>
          <w:tcPr>
            <w:tcW w:w="9206" w:type="dxa"/>
            <w:gridSpan w:val="2"/>
          </w:tcPr>
          <w:p>
            <w:pPr>
              <w:pStyle w:val="TableParagraph"/>
              <w:spacing w:before="2"/>
              <w:ind w:right="102"/>
              <w:jc w:val="right"/>
              <w:rPr>
                <w:b/>
                <w:sz w:val="16"/>
              </w:rPr>
            </w:pPr>
            <w:r>
              <w:rPr>
                <w:b/>
                <w:spacing w:val="-4"/>
                <w:w w:val="105"/>
                <w:sz w:val="16"/>
              </w:rPr>
              <w:t>2021</w:t>
            </w:r>
          </w:p>
        </w:tc>
        <w:tc>
          <w:tcPr>
            <w:tcW w:w="2311" w:type="dxa"/>
            <w:gridSpan w:val="3"/>
            <w:tcBorders>
              <w:top w:val="single" w:sz="6" w:space="0" w:color="000000"/>
            </w:tcBorders>
          </w:tcPr>
          <w:p>
            <w:pPr>
              <w:pStyle w:val="TableParagraph"/>
              <w:spacing w:before="2"/>
              <w:ind w:left="1284"/>
              <w:rPr>
                <w:sz w:val="16"/>
              </w:rPr>
            </w:pPr>
            <w:r>
              <w:rPr>
                <w:spacing w:val="-4"/>
                <w:w w:val="105"/>
                <w:sz w:val="16"/>
              </w:rPr>
              <w:t>2020</w:t>
            </w:r>
          </w:p>
        </w:tc>
      </w:tr>
      <w:tr>
        <w:trPr>
          <w:trHeight w:val="191" w:hRule="atLeast"/>
        </w:trPr>
        <w:tc>
          <w:tcPr>
            <w:tcW w:w="8191" w:type="dxa"/>
            <w:tcBorders>
              <w:top w:val="single" w:sz="6" w:space="0" w:color="000000"/>
            </w:tcBorders>
            <w:shd w:val="clear" w:color="auto" w:fill="CCEDFF"/>
          </w:tcPr>
          <w:p>
            <w:pPr>
              <w:pStyle w:val="TableParagraph"/>
              <w:spacing w:line="180" w:lineRule="exact" w:before="2"/>
              <w:rPr>
                <w:sz w:val="16"/>
              </w:rPr>
            </w:pPr>
            <w:r>
              <w:rPr>
                <w:sz w:val="16"/>
              </w:rPr>
              <w:t>Finished</w:t>
            </w:r>
            <w:r>
              <w:rPr>
                <w:spacing w:val="17"/>
                <w:sz w:val="16"/>
              </w:rPr>
              <w:t> </w:t>
            </w:r>
            <w:r>
              <w:rPr>
                <w:spacing w:val="-2"/>
                <w:sz w:val="16"/>
              </w:rPr>
              <w:t>goods</w:t>
            </w:r>
          </w:p>
        </w:tc>
        <w:tc>
          <w:tcPr>
            <w:tcW w:w="1015" w:type="dxa"/>
            <w:tcBorders>
              <w:top w:val="single" w:sz="6" w:space="0" w:color="000000"/>
            </w:tcBorders>
            <w:shd w:val="clear" w:color="auto" w:fill="CCEDFF"/>
          </w:tcPr>
          <w:p>
            <w:pPr>
              <w:pStyle w:val="TableParagraph"/>
              <w:spacing w:line="180" w:lineRule="exact" w:before="2"/>
              <w:ind w:left="-1"/>
              <w:rPr>
                <w:b/>
                <w:sz w:val="16"/>
              </w:rPr>
            </w:pPr>
            <w:r>
              <w:rPr>
                <w:b/>
                <w:spacing w:val="-10"/>
                <w:w w:val="105"/>
                <w:sz w:val="16"/>
              </w:rPr>
              <w:t>$</w:t>
            </w:r>
          </w:p>
        </w:tc>
        <w:tc>
          <w:tcPr>
            <w:tcW w:w="591" w:type="dxa"/>
            <w:tcBorders>
              <w:top w:val="single" w:sz="6" w:space="0" w:color="000000"/>
            </w:tcBorders>
            <w:shd w:val="clear" w:color="auto" w:fill="CCEDFF"/>
          </w:tcPr>
          <w:p>
            <w:pPr>
              <w:pStyle w:val="TableParagraph"/>
              <w:spacing w:line="180" w:lineRule="exact" w:before="2"/>
              <w:ind w:left="70" w:right="81"/>
              <w:jc w:val="center"/>
              <w:rPr>
                <w:b/>
                <w:sz w:val="16"/>
              </w:rPr>
            </w:pPr>
            <w:r>
              <w:rPr>
                <w:b/>
                <w:spacing w:val="-4"/>
                <w:w w:val="105"/>
                <w:sz w:val="16"/>
              </w:rPr>
              <w:t>1,190</w:t>
            </w:r>
          </w:p>
        </w:tc>
        <w:tc>
          <w:tcPr>
            <w:tcW w:w="446" w:type="dxa"/>
            <w:tcBorders>
              <w:top w:val="single" w:sz="6" w:space="0" w:color="000000"/>
            </w:tcBorders>
            <w:shd w:val="clear" w:color="auto" w:fill="CCEDFF"/>
          </w:tcPr>
          <w:p>
            <w:pPr>
              <w:pStyle w:val="TableParagraph"/>
              <w:spacing w:line="180" w:lineRule="exact" w:before="2"/>
              <w:ind w:left="113"/>
              <w:rPr>
                <w:sz w:val="16"/>
              </w:rPr>
            </w:pPr>
            <w:r>
              <w:rPr>
                <w:spacing w:val="-10"/>
                <w:w w:val="105"/>
                <w:sz w:val="16"/>
              </w:rPr>
              <w:t>$</w:t>
            </w:r>
          </w:p>
        </w:tc>
        <w:tc>
          <w:tcPr>
            <w:tcW w:w="1274" w:type="dxa"/>
            <w:tcBorders>
              <w:top w:val="single" w:sz="6" w:space="0" w:color="000000"/>
            </w:tcBorders>
            <w:shd w:val="clear" w:color="auto" w:fill="CCEDFF"/>
          </w:tcPr>
          <w:p>
            <w:pPr>
              <w:pStyle w:val="TableParagraph"/>
              <w:spacing w:line="180" w:lineRule="exact" w:before="2"/>
              <w:ind w:right="114"/>
              <w:jc w:val="right"/>
              <w:rPr>
                <w:sz w:val="16"/>
              </w:rPr>
            </w:pPr>
            <w:r>
              <w:rPr>
                <w:spacing w:val="-4"/>
                <w:w w:val="105"/>
                <w:sz w:val="16"/>
              </w:rPr>
              <w:t>1,236</w:t>
            </w:r>
          </w:p>
        </w:tc>
      </w:tr>
      <w:tr>
        <w:trPr>
          <w:trHeight w:val="203" w:hRule="atLeast"/>
        </w:trPr>
        <w:tc>
          <w:tcPr>
            <w:tcW w:w="8191" w:type="dxa"/>
          </w:tcPr>
          <w:p>
            <w:pPr>
              <w:pStyle w:val="TableParagraph"/>
              <w:spacing w:line="180" w:lineRule="exact" w:before="3"/>
              <w:rPr>
                <w:sz w:val="16"/>
              </w:rPr>
            </w:pPr>
            <w:r>
              <w:rPr>
                <w:w w:val="105"/>
                <w:sz w:val="16"/>
              </w:rPr>
              <w:t>Work</w:t>
            </w:r>
            <w:r>
              <w:rPr>
                <w:spacing w:val="-6"/>
                <w:w w:val="105"/>
                <w:sz w:val="16"/>
              </w:rPr>
              <w:t> </w:t>
            </w:r>
            <w:r>
              <w:rPr>
                <w:w w:val="105"/>
                <w:sz w:val="16"/>
              </w:rPr>
              <w:t>in</w:t>
            </w:r>
            <w:r>
              <w:rPr>
                <w:spacing w:val="-6"/>
                <w:w w:val="105"/>
                <w:sz w:val="16"/>
              </w:rPr>
              <w:t> </w:t>
            </w:r>
            <w:r>
              <w:rPr>
                <w:spacing w:val="-2"/>
                <w:w w:val="105"/>
                <w:sz w:val="16"/>
              </w:rPr>
              <w:t>process</w:t>
            </w:r>
          </w:p>
        </w:tc>
        <w:tc>
          <w:tcPr>
            <w:tcW w:w="1015" w:type="dxa"/>
          </w:tcPr>
          <w:p>
            <w:pPr>
              <w:pStyle w:val="TableParagraph"/>
              <w:rPr>
                <w:sz w:val="14"/>
              </w:rPr>
            </w:pPr>
          </w:p>
        </w:tc>
        <w:tc>
          <w:tcPr>
            <w:tcW w:w="591" w:type="dxa"/>
          </w:tcPr>
          <w:p>
            <w:pPr>
              <w:pStyle w:val="TableParagraph"/>
              <w:spacing w:line="180" w:lineRule="exact" w:before="3"/>
              <w:ind w:left="194" w:right="84"/>
              <w:jc w:val="center"/>
              <w:rPr>
                <w:b/>
                <w:sz w:val="16"/>
              </w:rPr>
            </w:pPr>
            <w:r>
              <w:rPr>
                <w:b/>
                <w:spacing w:val="-5"/>
                <w:w w:val="105"/>
                <w:sz w:val="16"/>
              </w:rPr>
              <w:t>358</w:t>
            </w:r>
          </w:p>
        </w:tc>
        <w:tc>
          <w:tcPr>
            <w:tcW w:w="446" w:type="dxa"/>
          </w:tcPr>
          <w:p>
            <w:pPr>
              <w:pStyle w:val="TableParagraph"/>
              <w:rPr>
                <w:sz w:val="14"/>
              </w:rPr>
            </w:pPr>
          </w:p>
        </w:tc>
        <w:tc>
          <w:tcPr>
            <w:tcW w:w="1274" w:type="dxa"/>
          </w:tcPr>
          <w:p>
            <w:pPr>
              <w:pStyle w:val="TableParagraph"/>
              <w:spacing w:line="180" w:lineRule="exact" w:before="3"/>
              <w:ind w:right="114"/>
              <w:jc w:val="right"/>
              <w:rPr>
                <w:sz w:val="16"/>
              </w:rPr>
            </w:pPr>
            <w:r>
              <w:rPr>
                <w:spacing w:val="-5"/>
                <w:w w:val="105"/>
                <w:sz w:val="16"/>
              </w:rPr>
              <w:t>357</w:t>
            </w:r>
          </w:p>
        </w:tc>
      </w:tr>
      <w:tr>
        <w:trPr>
          <w:trHeight w:val="203" w:hRule="atLeast"/>
        </w:trPr>
        <w:tc>
          <w:tcPr>
            <w:tcW w:w="8191" w:type="dxa"/>
            <w:shd w:val="clear" w:color="auto" w:fill="CCEDFF"/>
          </w:tcPr>
          <w:p>
            <w:pPr>
              <w:pStyle w:val="TableParagraph"/>
              <w:spacing w:line="180" w:lineRule="exact" w:before="3"/>
              <w:rPr>
                <w:sz w:val="16"/>
              </w:rPr>
            </w:pPr>
            <w:r>
              <w:rPr>
                <w:spacing w:val="-2"/>
                <w:w w:val="105"/>
                <w:sz w:val="16"/>
              </w:rPr>
              <w:t>Raw materials and accessories</w:t>
            </w:r>
          </w:p>
        </w:tc>
        <w:tc>
          <w:tcPr>
            <w:tcW w:w="1015" w:type="dxa"/>
            <w:shd w:val="clear" w:color="auto" w:fill="CCEDFF"/>
          </w:tcPr>
          <w:p>
            <w:pPr>
              <w:pStyle w:val="TableParagraph"/>
              <w:rPr>
                <w:sz w:val="14"/>
              </w:rPr>
            </w:pPr>
          </w:p>
        </w:tc>
        <w:tc>
          <w:tcPr>
            <w:tcW w:w="591" w:type="dxa"/>
            <w:shd w:val="clear" w:color="auto" w:fill="CCEDFF"/>
          </w:tcPr>
          <w:p>
            <w:pPr>
              <w:pStyle w:val="TableParagraph"/>
              <w:spacing w:line="180" w:lineRule="exact" w:before="3"/>
              <w:ind w:left="194" w:right="84"/>
              <w:jc w:val="center"/>
              <w:rPr>
                <w:b/>
                <w:sz w:val="16"/>
              </w:rPr>
            </w:pPr>
            <w:r>
              <w:rPr>
                <w:b/>
                <w:spacing w:val="-5"/>
                <w:w w:val="105"/>
                <w:sz w:val="16"/>
              </w:rPr>
              <w:t>427</w:t>
            </w:r>
          </w:p>
        </w:tc>
        <w:tc>
          <w:tcPr>
            <w:tcW w:w="446" w:type="dxa"/>
            <w:shd w:val="clear" w:color="auto" w:fill="CCEDFF"/>
          </w:tcPr>
          <w:p>
            <w:pPr>
              <w:pStyle w:val="TableParagraph"/>
              <w:rPr>
                <w:sz w:val="14"/>
              </w:rPr>
            </w:pPr>
          </w:p>
        </w:tc>
        <w:tc>
          <w:tcPr>
            <w:tcW w:w="1274" w:type="dxa"/>
            <w:shd w:val="clear" w:color="auto" w:fill="CCEDFF"/>
          </w:tcPr>
          <w:p>
            <w:pPr>
              <w:pStyle w:val="TableParagraph"/>
              <w:spacing w:line="180" w:lineRule="exact" w:before="3"/>
              <w:ind w:right="114"/>
              <w:jc w:val="right"/>
              <w:rPr>
                <w:sz w:val="16"/>
              </w:rPr>
            </w:pPr>
            <w:r>
              <w:rPr>
                <w:spacing w:val="-5"/>
                <w:w w:val="105"/>
                <w:sz w:val="16"/>
              </w:rPr>
              <w:t>370</w:t>
            </w:r>
          </w:p>
        </w:tc>
      </w:tr>
      <w:tr>
        <w:trPr>
          <w:trHeight w:val="202" w:hRule="atLeast"/>
        </w:trPr>
        <w:tc>
          <w:tcPr>
            <w:tcW w:w="8191" w:type="dxa"/>
            <w:tcBorders>
              <w:bottom w:val="single" w:sz="6" w:space="0" w:color="000000"/>
            </w:tcBorders>
          </w:tcPr>
          <w:p>
            <w:pPr>
              <w:pStyle w:val="TableParagraph"/>
              <w:spacing w:line="179" w:lineRule="exact" w:before="3"/>
              <w:rPr>
                <w:sz w:val="16"/>
              </w:rPr>
            </w:pPr>
            <w:r>
              <w:rPr>
                <w:spacing w:val="-2"/>
                <w:w w:val="105"/>
                <w:sz w:val="16"/>
              </w:rPr>
              <w:t>Supplies</w:t>
            </w:r>
            <w:r>
              <w:rPr>
                <w:w w:val="105"/>
                <w:sz w:val="16"/>
              </w:rPr>
              <w:t> </w:t>
            </w:r>
            <w:r>
              <w:rPr>
                <w:spacing w:val="-2"/>
                <w:w w:val="105"/>
                <w:sz w:val="16"/>
              </w:rPr>
              <w:t>and</w:t>
            </w:r>
            <w:r>
              <w:rPr>
                <w:w w:val="105"/>
                <w:sz w:val="16"/>
              </w:rPr>
              <w:t> </w:t>
            </w:r>
            <w:r>
              <w:rPr>
                <w:spacing w:val="-2"/>
                <w:w w:val="105"/>
                <w:sz w:val="16"/>
              </w:rPr>
              <w:t>packing</w:t>
            </w:r>
            <w:r>
              <w:rPr>
                <w:w w:val="105"/>
                <w:sz w:val="16"/>
              </w:rPr>
              <w:t> </w:t>
            </w:r>
            <w:r>
              <w:rPr>
                <w:spacing w:val="-2"/>
                <w:w w:val="105"/>
                <w:sz w:val="16"/>
              </w:rPr>
              <w:t>materials</w:t>
            </w:r>
          </w:p>
        </w:tc>
        <w:tc>
          <w:tcPr>
            <w:tcW w:w="1015" w:type="dxa"/>
            <w:tcBorders>
              <w:bottom w:val="single" w:sz="6" w:space="0" w:color="000000"/>
            </w:tcBorders>
          </w:tcPr>
          <w:p>
            <w:pPr>
              <w:pStyle w:val="TableParagraph"/>
              <w:rPr>
                <w:sz w:val="14"/>
              </w:rPr>
            </w:pPr>
          </w:p>
        </w:tc>
        <w:tc>
          <w:tcPr>
            <w:tcW w:w="591" w:type="dxa"/>
            <w:tcBorders>
              <w:bottom w:val="single" w:sz="6" w:space="0" w:color="000000"/>
            </w:tcBorders>
          </w:tcPr>
          <w:p>
            <w:pPr>
              <w:pStyle w:val="TableParagraph"/>
              <w:spacing w:line="179" w:lineRule="exact" w:before="3"/>
              <w:ind w:left="194" w:right="84"/>
              <w:jc w:val="center"/>
              <w:rPr>
                <w:b/>
                <w:sz w:val="16"/>
              </w:rPr>
            </w:pPr>
            <w:r>
              <w:rPr>
                <w:b/>
                <w:spacing w:val="-5"/>
                <w:w w:val="105"/>
                <w:sz w:val="16"/>
              </w:rPr>
              <w:t>506</w:t>
            </w:r>
          </w:p>
        </w:tc>
        <w:tc>
          <w:tcPr>
            <w:tcW w:w="446" w:type="dxa"/>
            <w:tcBorders>
              <w:bottom w:val="single" w:sz="6" w:space="0" w:color="000000"/>
            </w:tcBorders>
          </w:tcPr>
          <w:p>
            <w:pPr>
              <w:pStyle w:val="TableParagraph"/>
              <w:rPr>
                <w:sz w:val="14"/>
              </w:rPr>
            </w:pPr>
          </w:p>
        </w:tc>
        <w:tc>
          <w:tcPr>
            <w:tcW w:w="1274" w:type="dxa"/>
            <w:tcBorders>
              <w:bottom w:val="single" w:sz="6" w:space="0" w:color="000000"/>
            </w:tcBorders>
          </w:tcPr>
          <w:p>
            <w:pPr>
              <w:pStyle w:val="TableParagraph"/>
              <w:spacing w:line="179" w:lineRule="exact" w:before="3"/>
              <w:ind w:right="114"/>
              <w:jc w:val="right"/>
              <w:rPr>
                <w:sz w:val="16"/>
              </w:rPr>
            </w:pPr>
            <w:r>
              <w:rPr>
                <w:spacing w:val="-5"/>
                <w:w w:val="105"/>
                <w:sz w:val="16"/>
              </w:rPr>
              <w:t>475</w:t>
            </w:r>
          </w:p>
        </w:tc>
      </w:tr>
      <w:tr>
        <w:trPr>
          <w:trHeight w:val="199" w:hRule="atLeast"/>
        </w:trPr>
        <w:tc>
          <w:tcPr>
            <w:tcW w:w="8191" w:type="dxa"/>
            <w:tcBorders>
              <w:top w:val="single" w:sz="6" w:space="0" w:color="000000"/>
              <w:bottom w:val="double" w:sz="6" w:space="0" w:color="000000"/>
            </w:tcBorders>
            <w:shd w:val="clear" w:color="auto" w:fill="CCEDFF"/>
          </w:tcPr>
          <w:p>
            <w:pPr>
              <w:pStyle w:val="TableParagraph"/>
              <w:spacing w:line="177" w:lineRule="exact" w:before="2"/>
              <w:rPr>
                <w:sz w:val="16"/>
              </w:rPr>
            </w:pPr>
            <w:r>
              <w:rPr>
                <w:sz w:val="16"/>
              </w:rPr>
              <w:t>Total</w:t>
            </w:r>
            <w:r>
              <w:rPr>
                <w:spacing w:val="17"/>
                <w:sz w:val="16"/>
              </w:rPr>
              <w:t> </w:t>
            </w:r>
            <w:r>
              <w:rPr>
                <w:sz w:val="16"/>
              </w:rPr>
              <w:t>inventories,</w:t>
            </w:r>
            <w:r>
              <w:rPr>
                <w:spacing w:val="17"/>
                <w:sz w:val="16"/>
              </w:rPr>
              <w:t> </w:t>
            </w:r>
            <w:r>
              <w:rPr>
                <w:spacing w:val="-5"/>
                <w:sz w:val="16"/>
              </w:rPr>
              <w:t>net</w:t>
            </w:r>
          </w:p>
        </w:tc>
        <w:tc>
          <w:tcPr>
            <w:tcW w:w="1015" w:type="dxa"/>
            <w:tcBorders>
              <w:top w:val="single" w:sz="6" w:space="0" w:color="000000"/>
              <w:bottom w:val="double" w:sz="6" w:space="0" w:color="000000"/>
            </w:tcBorders>
            <w:shd w:val="clear" w:color="auto" w:fill="CCEDFF"/>
          </w:tcPr>
          <w:p>
            <w:pPr>
              <w:pStyle w:val="TableParagraph"/>
              <w:spacing w:line="177" w:lineRule="exact" w:before="2"/>
              <w:ind w:left="-1"/>
              <w:rPr>
                <w:b/>
                <w:sz w:val="16"/>
              </w:rPr>
            </w:pPr>
            <w:r>
              <w:rPr>
                <w:b/>
                <w:spacing w:val="-10"/>
                <w:w w:val="105"/>
                <w:sz w:val="16"/>
              </w:rPr>
              <w:t>$</w:t>
            </w:r>
          </w:p>
        </w:tc>
        <w:tc>
          <w:tcPr>
            <w:tcW w:w="591" w:type="dxa"/>
            <w:tcBorders>
              <w:top w:val="single" w:sz="6" w:space="0" w:color="000000"/>
              <w:bottom w:val="double" w:sz="6" w:space="0" w:color="000000"/>
            </w:tcBorders>
            <w:shd w:val="clear" w:color="auto" w:fill="CCEDFF"/>
          </w:tcPr>
          <w:p>
            <w:pPr>
              <w:pStyle w:val="TableParagraph"/>
              <w:spacing w:line="177" w:lineRule="exact" w:before="2"/>
              <w:ind w:left="70" w:right="81"/>
              <w:jc w:val="center"/>
              <w:rPr>
                <w:b/>
                <w:sz w:val="16"/>
              </w:rPr>
            </w:pPr>
            <w:r>
              <w:rPr>
                <w:b/>
                <w:spacing w:val="-4"/>
                <w:w w:val="105"/>
                <w:sz w:val="16"/>
              </w:rPr>
              <w:t>2,481</w:t>
            </w:r>
          </w:p>
        </w:tc>
        <w:tc>
          <w:tcPr>
            <w:tcW w:w="446" w:type="dxa"/>
            <w:tcBorders>
              <w:top w:val="single" w:sz="6" w:space="0" w:color="000000"/>
              <w:bottom w:val="double" w:sz="6" w:space="0" w:color="000000"/>
            </w:tcBorders>
            <w:shd w:val="clear" w:color="auto" w:fill="CCEDFF"/>
          </w:tcPr>
          <w:p>
            <w:pPr>
              <w:pStyle w:val="TableParagraph"/>
              <w:spacing w:line="177" w:lineRule="exact" w:before="2"/>
              <w:ind w:left="113"/>
              <w:rPr>
                <w:sz w:val="16"/>
              </w:rPr>
            </w:pPr>
            <w:r>
              <w:rPr>
                <w:spacing w:val="-10"/>
                <w:w w:val="105"/>
                <w:sz w:val="16"/>
              </w:rPr>
              <w:t>$</w:t>
            </w:r>
          </w:p>
        </w:tc>
        <w:tc>
          <w:tcPr>
            <w:tcW w:w="1274" w:type="dxa"/>
            <w:tcBorders>
              <w:top w:val="single" w:sz="6" w:space="0" w:color="000000"/>
              <w:bottom w:val="double" w:sz="6" w:space="0" w:color="000000"/>
            </w:tcBorders>
            <w:shd w:val="clear" w:color="auto" w:fill="CCEDFF"/>
          </w:tcPr>
          <w:p>
            <w:pPr>
              <w:pStyle w:val="TableParagraph"/>
              <w:spacing w:line="177" w:lineRule="exact" w:before="2"/>
              <w:ind w:right="114"/>
              <w:jc w:val="right"/>
              <w:rPr>
                <w:sz w:val="16"/>
              </w:rPr>
            </w:pPr>
            <w:r>
              <w:rPr>
                <w:spacing w:val="-4"/>
                <w:w w:val="105"/>
                <w:sz w:val="16"/>
              </w:rPr>
              <w:t>2,438</w:t>
            </w:r>
          </w:p>
        </w:tc>
      </w:tr>
    </w:tbl>
    <w:p>
      <w:pPr>
        <w:pStyle w:val="BodyText"/>
        <w:spacing w:before="15"/>
      </w:pPr>
    </w:p>
    <w:p>
      <w:pPr>
        <w:pStyle w:val="BodyText"/>
        <w:ind w:left="48"/>
        <w:jc w:val="center"/>
      </w:pPr>
      <w:r>
        <w:rPr>
          <w:spacing w:val="-5"/>
          <w:w w:val="105"/>
        </w:rPr>
        <w:t>83</w:t>
      </w:r>
    </w:p>
    <w:p>
      <w:pPr>
        <w:pStyle w:val="BodyText"/>
        <w:rPr>
          <w:sz w:val="6"/>
        </w:rPr>
      </w:pPr>
      <w:r>
        <w:rPr/>
        <mc:AlternateContent>
          <mc:Choice Requires="wps">
            <w:drawing>
              <wp:anchor distT="0" distB="0" distL="0" distR="0" allowOverlap="1" layoutInCell="1" locked="0" behindDoc="1" simplePos="0" relativeHeight="487682560">
                <wp:simplePos x="0" y="0"/>
                <wp:positionH relativeFrom="page">
                  <wp:posOffset>226488</wp:posOffset>
                </wp:positionH>
                <wp:positionV relativeFrom="paragraph">
                  <wp:posOffset>59077</wp:posOffset>
                </wp:positionV>
                <wp:extent cx="7312659" cy="16510"/>
                <wp:effectExtent l="0" t="0" r="0" b="0"/>
                <wp:wrapTopAndBottom/>
                <wp:docPr id="380" name="Graphic 380"/>
                <wp:cNvGraphicFramePr>
                  <a:graphicFrameLocks/>
                </wp:cNvGraphicFramePr>
                <a:graphic>
                  <a:graphicData uri="http://schemas.microsoft.com/office/word/2010/wordprocessingShape">
                    <wps:wsp>
                      <wps:cNvPr id="380" name="Graphic 380"/>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1805pt;width:575.775087pt;height:1.273839pt;mso-position-horizontal-relative:page;mso-position-vertical-relative:paragraph;z-index:-15633920;mso-wrap-distance-left:0;mso-wrap-distance-right:0" id="docshape379"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198"/>
        <w:rPr>
          <w:sz w:val="2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1"/>
        <w:gridCol w:w="4212"/>
        <w:gridCol w:w="522"/>
        <w:gridCol w:w="1190"/>
        <w:gridCol w:w="528"/>
      </w:tblGrid>
      <w:tr>
        <w:trPr>
          <w:trHeight w:val="1126" w:hRule="atLeast"/>
        </w:trPr>
        <w:tc>
          <w:tcPr>
            <w:tcW w:w="9273" w:type="dxa"/>
            <w:gridSpan w:val="2"/>
            <w:tcBorders>
              <w:bottom w:val="single" w:sz="12" w:space="0" w:color="000000"/>
            </w:tcBorders>
          </w:tcPr>
          <w:p>
            <w:pPr>
              <w:pStyle w:val="TableParagraph"/>
              <w:spacing w:line="182" w:lineRule="exact"/>
              <w:rPr>
                <w:b/>
                <w:sz w:val="16"/>
              </w:rPr>
            </w:pPr>
            <w:bookmarkStart w:name="_bookmark15" w:id="16"/>
            <w:bookmarkEnd w:id="16"/>
            <w:r>
              <w:rPr/>
            </w:r>
            <w:r>
              <w:rPr>
                <w:b/>
                <w:w w:val="105"/>
                <w:sz w:val="16"/>
              </w:rPr>
              <w:t>7.</w:t>
            </w:r>
            <w:r>
              <w:rPr>
                <w:b/>
                <w:spacing w:val="37"/>
                <w:w w:val="105"/>
                <w:sz w:val="16"/>
              </w:rPr>
              <w:t> </w:t>
            </w:r>
            <w:r>
              <w:rPr>
                <w:b/>
                <w:spacing w:val="-2"/>
                <w:w w:val="105"/>
                <w:sz w:val="16"/>
              </w:rPr>
              <w:t>Leases</w:t>
            </w:r>
          </w:p>
          <w:p>
            <w:pPr>
              <w:pStyle w:val="TableParagraph"/>
              <w:spacing w:line="400" w:lineRule="atLeast" w:before="7"/>
              <w:ind w:right="3674"/>
              <w:rPr>
                <w:sz w:val="16"/>
              </w:rPr>
            </w:pPr>
            <w:r>
              <w:rPr>
                <w:w w:val="105"/>
                <w:sz w:val="16"/>
              </w:rPr>
              <w:t>Corning</w:t>
            </w:r>
            <w:r>
              <w:rPr>
                <w:spacing w:val="-10"/>
                <w:w w:val="105"/>
                <w:sz w:val="16"/>
              </w:rPr>
              <w:t> </w:t>
            </w:r>
            <w:r>
              <w:rPr>
                <w:w w:val="105"/>
                <w:sz w:val="16"/>
              </w:rPr>
              <w:t>has</w:t>
            </w:r>
            <w:r>
              <w:rPr>
                <w:spacing w:val="-10"/>
                <w:w w:val="105"/>
                <w:sz w:val="16"/>
              </w:rPr>
              <w:t> </w:t>
            </w:r>
            <w:r>
              <w:rPr>
                <w:w w:val="105"/>
                <w:sz w:val="16"/>
              </w:rPr>
              <w:t>operating</w:t>
            </w:r>
            <w:r>
              <w:rPr>
                <w:spacing w:val="-10"/>
                <w:w w:val="105"/>
                <w:sz w:val="16"/>
              </w:rPr>
              <w:t> </w:t>
            </w:r>
            <w:r>
              <w:rPr>
                <w:w w:val="105"/>
                <w:sz w:val="16"/>
              </w:rPr>
              <w:t>and</w:t>
            </w:r>
            <w:r>
              <w:rPr>
                <w:spacing w:val="-10"/>
                <w:w w:val="105"/>
                <w:sz w:val="16"/>
              </w:rPr>
              <w:t> </w:t>
            </w:r>
            <w:r>
              <w:rPr>
                <w:w w:val="105"/>
                <w:sz w:val="16"/>
              </w:rPr>
              <w:t>finance</w:t>
            </w:r>
            <w:r>
              <w:rPr>
                <w:spacing w:val="-10"/>
                <w:w w:val="105"/>
                <w:sz w:val="16"/>
              </w:rPr>
              <w:t> </w:t>
            </w:r>
            <w:r>
              <w:rPr>
                <w:w w:val="105"/>
                <w:sz w:val="16"/>
              </w:rPr>
              <w:t>leases</w:t>
            </w:r>
            <w:r>
              <w:rPr>
                <w:spacing w:val="-10"/>
                <w:w w:val="105"/>
                <w:sz w:val="16"/>
              </w:rPr>
              <w:t> </w:t>
            </w:r>
            <w:r>
              <w:rPr>
                <w:w w:val="105"/>
                <w:sz w:val="16"/>
              </w:rPr>
              <w:t>for</w:t>
            </w:r>
            <w:r>
              <w:rPr>
                <w:spacing w:val="-10"/>
                <w:w w:val="105"/>
                <w:sz w:val="16"/>
              </w:rPr>
              <w:t> </w:t>
            </w:r>
            <w:r>
              <w:rPr>
                <w:w w:val="105"/>
                <w:sz w:val="16"/>
              </w:rPr>
              <w:t>real</w:t>
            </w:r>
            <w:r>
              <w:rPr>
                <w:spacing w:val="-10"/>
                <w:w w:val="105"/>
                <w:sz w:val="16"/>
              </w:rPr>
              <w:t> </w:t>
            </w:r>
            <w:r>
              <w:rPr>
                <w:w w:val="105"/>
                <w:sz w:val="16"/>
              </w:rPr>
              <w:t>estate,</w:t>
            </w:r>
            <w:r>
              <w:rPr>
                <w:spacing w:val="-10"/>
                <w:w w:val="105"/>
                <w:sz w:val="16"/>
              </w:rPr>
              <w:t> </w:t>
            </w:r>
            <w:r>
              <w:rPr>
                <w:w w:val="105"/>
                <w:sz w:val="16"/>
              </w:rPr>
              <w:t>vehicles,</w:t>
            </w:r>
            <w:r>
              <w:rPr>
                <w:spacing w:val="-10"/>
                <w:w w:val="105"/>
                <w:sz w:val="16"/>
              </w:rPr>
              <w:t> </w:t>
            </w:r>
            <w:r>
              <w:rPr>
                <w:w w:val="105"/>
                <w:sz w:val="16"/>
              </w:rPr>
              <w:t>and</w:t>
            </w:r>
            <w:r>
              <w:rPr>
                <w:spacing w:val="-10"/>
                <w:w w:val="105"/>
                <w:sz w:val="16"/>
              </w:rPr>
              <w:t> </w:t>
            </w:r>
            <w:r>
              <w:rPr>
                <w:w w:val="105"/>
                <w:sz w:val="16"/>
              </w:rPr>
              <w:t>equipment. The following table shows components of lease expense (in millions):</w:t>
            </w:r>
          </w:p>
        </w:tc>
        <w:tc>
          <w:tcPr>
            <w:tcW w:w="2240" w:type="dxa"/>
            <w:gridSpan w:val="3"/>
            <w:tcBorders>
              <w:bottom w:val="single" w:sz="12" w:space="0" w:color="000000"/>
            </w:tcBorders>
          </w:tcPr>
          <w:p>
            <w:pPr>
              <w:pStyle w:val="TableParagraph"/>
              <w:rPr>
                <w:sz w:val="16"/>
              </w:rPr>
            </w:pPr>
          </w:p>
        </w:tc>
      </w:tr>
      <w:tr>
        <w:trPr>
          <w:trHeight w:val="200" w:hRule="atLeast"/>
        </w:trPr>
        <w:tc>
          <w:tcPr>
            <w:tcW w:w="9273" w:type="dxa"/>
            <w:gridSpan w:val="2"/>
            <w:tcBorders>
              <w:top w:val="single" w:sz="12" w:space="0" w:color="000000"/>
            </w:tcBorders>
          </w:tcPr>
          <w:p>
            <w:pPr>
              <w:pStyle w:val="TableParagraph"/>
              <w:spacing w:line="179" w:lineRule="exact" w:before="1"/>
              <w:ind w:right="18"/>
              <w:jc w:val="right"/>
              <w:rPr>
                <w:sz w:val="16"/>
              </w:rPr>
            </w:pPr>
            <w:r>
              <w:rPr>
                <w:spacing w:val="-4"/>
                <w:w w:val="105"/>
                <w:sz w:val="16"/>
              </w:rPr>
              <w:t>Year</w:t>
            </w:r>
          </w:p>
        </w:tc>
        <w:tc>
          <w:tcPr>
            <w:tcW w:w="1712" w:type="dxa"/>
            <w:gridSpan w:val="2"/>
            <w:tcBorders>
              <w:top w:val="single" w:sz="12" w:space="0" w:color="000000"/>
              <w:bottom w:val="single" w:sz="6" w:space="0" w:color="000000"/>
            </w:tcBorders>
          </w:tcPr>
          <w:p>
            <w:pPr>
              <w:pStyle w:val="TableParagraph"/>
              <w:spacing w:line="179" w:lineRule="exact" w:before="1"/>
              <w:ind w:left="20"/>
              <w:rPr>
                <w:sz w:val="16"/>
              </w:rPr>
            </w:pPr>
            <w:r>
              <w:rPr>
                <w:sz w:val="16"/>
              </w:rPr>
              <w:t>ended</w:t>
            </w:r>
            <w:r>
              <w:rPr>
                <w:spacing w:val="16"/>
                <w:sz w:val="16"/>
              </w:rPr>
              <w:t> </w:t>
            </w:r>
            <w:r>
              <w:rPr>
                <w:sz w:val="16"/>
              </w:rPr>
              <w:t>December</w:t>
            </w:r>
            <w:r>
              <w:rPr>
                <w:spacing w:val="17"/>
                <w:sz w:val="16"/>
              </w:rPr>
              <w:t> </w:t>
            </w:r>
            <w:r>
              <w:rPr>
                <w:spacing w:val="-5"/>
                <w:sz w:val="16"/>
              </w:rPr>
              <w:t>31,</w:t>
            </w:r>
          </w:p>
        </w:tc>
        <w:tc>
          <w:tcPr>
            <w:tcW w:w="528" w:type="dxa"/>
            <w:tcBorders>
              <w:top w:val="single" w:sz="12" w:space="0" w:color="000000"/>
              <w:bottom w:val="single" w:sz="6" w:space="0" w:color="000000"/>
            </w:tcBorders>
          </w:tcPr>
          <w:p>
            <w:pPr>
              <w:pStyle w:val="TableParagraph"/>
              <w:rPr>
                <w:sz w:val="12"/>
              </w:rPr>
            </w:pPr>
          </w:p>
        </w:tc>
      </w:tr>
      <w:tr>
        <w:trPr>
          <w:trHeight w:val="201" w:hRule="atLeast"/>
        </w:trPr>
        <w:tc>
          <w:tcPr>
            <w:tcW w:w="9273" w:type="dxa"/>
            <w:gridSpan w:val="2"/>
            <w:tcBorders>
              <w:bottom w:val="single" w:sz="6" w:space="0" w:color="000000"/>
            </w:tcBorders>
          </w:tcPr>
          <w:p>
            <w:pPr>
              <w:pStyle w:val="TableParagraph"/>
              <w:spacing w:line="179" w:lineRule="exact" w:before="2"/>
              <w:ind w:right="169"/>
              <w:jc w:val="right"/>
              <w:rPr>
                <w:b/>
                <w:sz w:val="16"/>
              </w:rPr>
            </w:pPr>
            <w:r>
              <w:rPr>
                <w:b/>
                <w:spacing w:val="-4"/>
                <w:w w:val="105"/>
                <w:sz w:val="16"/>
              </w:rPr>
              <w:t>2021</w:t>
            </w:r>
          </w:p>
        </w:tc>
        <w:tc>
          <w:tcPr>
            <w:tcW w:w="1712" w:type="dxa"/>
            <w:gridSpan w:val="2"/>
            <w:tcBorders>
              <w:top w:val="single" w:sz="6" w:space="0" w:color="000000"/>
              <w:bottom w:val="single" w:sz="6" w:space="0" w:color="000000"/>
            </w:tcBorders>
          </w:tcPr>
          <w:p>
            <w:pPr>
              <w:pStyle w:val="TableParagraph"/>
              <w:spacing w:line="179" w:lineRule="exact" w:before="2"/>
              <w:ind w:right="161"/>
              <w:jc w:val="right"/>
              <w:rPr>
                <w:sz w:val="16"/>
              </w:rPr>
            </w:pPr>
            <w:r>
              <w:rPr>
                <w:spacing w:val="-4"/>
                <w:w w:val="105"/>
                <w:sz w:val="16"/>
              </w:rPr>
              <w:t>2020</w:t>
            </w:r>
          </w:p>
        </w:tc>
        <w:tc>
          <w:tcPr>
            <w:tcW w:w="528" w:type="dxa"/>
            <w:tcBorders>
              <w:top w:val="single" w:sz="6" w:space="0" w:color="000000"/>
              <w:bottom w:val="single" w:sz="6" w:space="0" w:color="000000"/>
            </w:tcBorders>
          </w:tcPr>
          <w:p>
            <w:pPr>
              <w:pStyle w:val="TableParagraph"/>
              <w:rPr>
                <w:sz w:val="14"/>
              </w:rPr>
            </w:pPr>
          </w:p>
        </w:tc>
      </w:tr>
      <w:tr>
        <w:trPr>
          <w:trHeight w:val="202" w:hRule="atLeast"/>
        </w:trPr>
        <w:tc>
          <w:tcPr>
            <w:tcW w:w="9273" w:type="dxa"/>
            <w:gridSpan w:val="2"/>
            <w:tcBorders>
              <w:top w:val="single" w:sz="6" w:space="0" w:color="000000"/>
            </w:tcBorders>
            <w:shd w:val="clear" w:color="auto" w:fill="CCEDFF"/>
          </w:tcPr>
          <w:p>
            <w:pPr>
              <w:pStyle w:val="TableParagraph"/>
              <w:spacing w:line="180" w:lineRule="exact" w:before="2"/>
              <w:rPr>
                <w:sz w:val="16"/>
              </w:rPr>
            </w:pPr>
            <w:r>
              <w:rPr>
                <w:spacing w:val="-2"/>
                <w:w w:val="105"/>
                <w:sz w:val="16"/>
              </w:rPr>
              <w:t>Finance:</w:t>
            </w:r>
          </w:p>
        </w:tc>
        <w:tc>
          <w:tcPr>
            <w:tcW w:w="1712" w:type="dxa"/>
            <w:gridSpan w:val="2"/>
            <w:tcBorders>
              <w:top w:val="single" w:sz="6" w:space="0" w:color="000000"/>
            </w:tcBorders>
            <w:shd w:val="clear" w:color="auto" w:fill="CCEDFF"/>
          </w:tcPr>
          <w:p>
            <w:pPr>
              <w:pStyle w:val="TableParagraph"/>
              <w:rPr>
                <w:sz w:val="14"/>
              </w:rPr>
            </w:pPr>
          </w:p>
        </w:tc>
        <w:tc>
          <w:tcPr>
            <w:tcW w:w="528" w:type="dxa"/>
            <w:tcBorders>
              <w:top w:val="single" w:sz="6" w:space="0" w:color="000000"/>
            </w:tcBorders>
            <w:shd w:val="clear" w:color="auto" w:fill="CCEDFF"/>
          </w:tcPr>
          <w:p>
            <w:pPr>
              <w:pStyle w:val="TableParagraph"/>
              <w:rPr>
                <w:sz w:val="14"/>
              </w:rPr>
            </w:pPr>
          </w:p>
        </w:tc>
      </w:tr>
      <w:tr>
        <w:trPr>
          <w:trHeight w:val="203" w:hRule="atLeast"/>
        </w:trPr>
        <w:tc>
          <w:tcPr>
            <w:tcW w:w="9273" w:type="dxa"/>
            <w:gridSpan w:val="2"/>
          </w:tcPr>
          <w:p>
            <w:pPr>
              <w:pStyle w:val="TableParagraph"/>
              <w:tabs>
                <w:tab w:pos="8190" w:val="left" w:leader="none"/>
              </w:tabs>
              <w:spacing w:line="180" w:lineRule="exact" w:before="3"/>
              <w:rPr>
                <w:b/>
                <w:sz w:val="16"/>
              </w:rPr>
            </w:pPr>
            <w:r>
              <w:rPr>
                <w:sz w:val="16"/>
              </w:rPr>
              <w:t>Depreciation</w:t>
            </w:r>
            <w:r>
              <w:rPr>
                <w:spacing w:val="18"/>
                <w:sz w:val="16"/>
              </w:rPr>
              <w:t> </w:t>
            </w:r>
            <w:r>
              <w:rPr>
                <w:sz w:val="16"/>
              </w:rPr>
              <w:t>of</w:t>
            </w:r>
            <w:r>
              <w:rPr>
                <w:spacing w:val="19"/>
                <w:sz w:val="16"/>
              </w:rPr>
              <w:t> </w:t>
            </w:r>
            <w:r>
              <w:rPr>
                <w:sz w:val="16"/>
              </w:rPr>
              <w:t>right-of-use</w:t>
            </w:r>
            <w:r>
              <w:rPr>
                <w:spacing w:val="19"/>
                <w:sz w:val="16"/>
              </w:rPr>
              <w:t> </w:t>
            </w:r>
            <w:r>
              <w:rPr>
                <w:spacing w:val="-2"/>
                <w:sz w:val="16"/>
              </w:rPr>
              <w:t>assets</w:t>
            </w:r>
            <w:r>
              <w:rPr>
                <w:sz w:val="16"/>
              </w:rPr>
              <w:tab/>
            </w:r>
            <w:r>
              <w:rPr>
                <w:b/>
                <w:spacing w:val="-10"/>
                <w:sz w:val="16"/>
              </w:rPr>
              <w:t>$</w:t>
            </w:r>
          </w:p>
        </w:tc>
        <w:tc>
          <w:tcPr>
            <w:tcW w:w="1712" w:type="dxa"/>
            <w:gridSpan w:val="2"/>
          </w:tcPr>
          <w:p>
            <w:pPr>
              <w:pStyle w:val="TableParagraph"/>
              <w:tabs>
                <w:tab w:pos="637" w:val="left" w:leader="none"/>
              </w:tabs>
              <w:spacing w:line="180" w:lineRule="exact" w:before="3"/>
              <w:ind w:left="242"/>
              <w:rPr>
                <w:sz w:val="16"/>
              </w:rPr>
            </w:pPr>
            <w:r>
              <w:rPr>
                <w:b/>
                <w:spacing w:val="-5"/>
                <w:w w:val="105"/>
                <w:sz w:val="16"/>
              </w:rPr>
              <w:t>17</w:t>
            </w:r>
            <w:r>
              <w:rPr>
                <w:b/>
                <w:sz w:val="16"/>
              </w:rPr>
              <w:tab/>
            </w:r>
            <w:r>
              <w:rPr>
                <w:spacing w:val="-10"/>
                <w:w w:val="105"/>
                <w:sz w:val="16"/>
              </w:rPr>
              <w:t>$</w:t>
            </w:r>
          </w:p>
        </w:tc>
        <w:tc>
          <w:tcPr>
            <w:tcW w:w="528" w:type="dxa"/>
          </w:tcPr>
          <w:p>
            <w:pPr>
              <w:pStyle w:val="TableParagraph"/>
              <w:spacing w:line="180" w:lineRule="exact" w:before="3"/>
              <w:ind w:right="110"/>
              <w:jc w:val="right"/>
              <w:rPr>
                <w:sz w:val="16"/>
              </w:rPr>
            </w:pPr>
            <w:r>
              <w:rPr>
                <w:spacing w:val="-5"/>
                <w:w w:val="105"/>
                <w:sz w:val="16"/>
              </w:rPr>
              <w:t>15</w:t>
            </w:r>
          </w:p>
        </w:tc>
      </w:tr>
      <w:tr>
        <w:trPr>
          <w:trHeight w:val="202" w:hRule="atLeast"/>
        </w:trPr>
        <w:tc>
          <w:tcPr>
            <w:tcW w:w="9273" w:type="dxa"/>
            <w:gridSpan w:val="2"/>
            <w:tcBorders>
              <w:bottom w:val="single" w:sz="6" w:space="0" w:color="000000"/>
            </w:tcBorders>
            <w:shd w:val="clear" w:color="auto" w:fill="CCEDFF"/>
          </w:tcPr>
          <w:p>
            <w:pPr>
              <w:pStyle w:val="TableParagraph"/>
              <w:spacing w:line="179" w:lineRule="exact" w:before="3"/>
              <w:rPr>
                <w:sz w:val="16"/>
              </w:rPr>
            </w:pPr>
            <w:r>
              <w:rPr>
                <w:w w:val="105"/>
                <w:sz w:val="16"/>
              </w:rPr>
              <w:t>Interest</w:t>
            </w:r>
            <w:r>
              <w:rPr>
                <w:spacing w:val="-8"/>
                <w:w w:val="105"/>
                <w:sz w:val="16"/>
              </w:rPr>
              <w:t> </w:t>
            </w:r>
            <w:r>
              <w:rPr>
                <w:w w:val="105"/>
                <w:sz w:val="16"/>
              </w:rPr>
              <w:t>on</w:t>
            </w:r>
            <w:r>
              <w:rPr>
                <w:spacing w:val="-7"/>
                <w:w w:val="105"/>
                <w:sz w:val="16"/>
              </w:rPr>
              <w:t> </w:t>
            </w:r>
            <w:r>
              <w:rPr>
                <w:w w:val="105"/>
                <w:sz w:val="16"/>
              </w:rPr>
              <w:t>lease</w:t>
            </w:r>
            <w:r>
              <w:rPr>
                <w:spacing w:val="-8"/>
                <w:w w:val="105"/>
                <w:sz w:val="16"/>
              </w:rPr>
              <w:t> </w:t>
            </w:r>
            <w:r>
              <w:rPr>
                <w:spacing w:val="-2"/>
                <w:w w:val="105"/>
                <w:sz w:val="16"/>
              </w:rPr>
              <w:t>liabilities</w:t>
            </w:r>
          </w:p>
        </w:tc>
        <w:tc>
          <w:tcPr>
            <w:tcW w:w="1712" w:type="dxa"/>
            <w:gridSpan w:val="2"/>
            <w:tcBorders>
              <w:bottom w:val="single" w:sz="6" w:space="0" w:color="000000"/>
            </w:tcBorders>
            <w:shd w:val="clear" w:color="auto" w:fill="CCEDFF"/>
          </w:tcPr>
          <w:p>
            <w:pPr>
              <w:pStyle w:val="TableParagraph"/>
              <w:spacing w:line="179" w:lineRule="exact" w:before="3"/>
              <w:ind w:left="325"/>
              <w:rPr>
                <w:b/>
                <w:sz w:val="16"/>
              </w:rPr>
            </w:pPr>
            <w:r>
              <w:rPr>
                <w:b/>
                <w:spacing w:val="-10"/>
                <w:w w:val="105"/>
                <w:sz w:val="16"/>
              </w:rPr>
              <w:t>8</w:t>
            </w:r>
          </w:p>
        </w:tc>
        <w:tc>
          <w:tcPr>
            <w:tcW w:w="528" w:type="dxa"/>
            <w:tcBorders>
              <w:bottom w:val="single" w:sz="6" w:space="0" w:color="000000"/>
            </w:tcBorders>
            <w:shd w:val="clear" w:color="auto" w:fill="CCEDFF"/>
          </w:tcPr>
          <w:p>
            <w:pPr>
              <w:pStyle w:val="TableParagraph"/>
              <w:spacing w:line="179" w:lineRule="exact" w:before="3"/>
              <w:ind w:right="110"/>
              <w:jc w:val="right"/>
              <w:rPr>
                <w:sz w:val="16"/>
              </w:rPr>
            </w:pPr>
            <w:r>
              <w:rPr>
                <w:spacing w:val="-10"/>
                <w:w w:val="105"/>
                <w:sz w:val="16"/>
              </w:rPr>
              <w:t>7</w:t>
            </w:r>
          </w:p>
        </w:tc>
      </w:tr>
      <w:tr>
        <w:trPr>
          <w:trHeight w:val="201" w:hRule="atLeast"/>
        </w:trPr>
        <w:tc>
          <w:tcPr>
            <w:tcW w:w="9273" w:type="dxa"/>
            <w:gridSpan w:val="2"/>
            <w:tcBorders>
              <w:top w:val="single" w:sz="6" w:space="0" w:color="000000"/>
              <w:bottom w:val="single" w:sz="6" w:space="0" w:color="000000"/>
            </w:tcBorders>
          </w:tcPr>
          <w:p>
            <w:pPr>
              <w:pStyle w:val="TableParagraph"/>
              <w:tabs>
                <w:tab w:pos="8190" w:val="left" w:leader="none"/>
              </w:tabs>
              <w:spacing w:line="179" w:lineRule="exact" w:before="2"/>
              <w:rPr>
                <w:b/>
                <w:sz w:val="16"/>
              </w:rPr>
            </w:pPr>
            <w:r>
              <w:rPr>
                <w:w w:val="105"/>
                <w:sz w:val="16"/>
              </w:rPr>
              <w:t>Total</w:t>
            </w:r>
            <w:r>
              <w:rPr>
                <w:spacing w:val="-9"/>
                <w:w w:val="105"/>
                <w:sz w:val="16"/>
              </w:rPr>
              <w:t> </w:t>
            </w:r>
            <w:r>
              <w:rPr>
                <w:w w:val="105"/>
                <w:sz w:val="16"/>
              </w:rPr>
              <w:t>finance</w:t>
            </w:r>
            <w:r>
              <w:rPr>
                <w:spacing w:val="-9"/>
                <w:w w:val="105"/>
                <w:sz w:val="16"/>
              </w:rPr>
              <w:t> </w:t>
            </w:r>
            <w:r>
              <w:rPr>
                <w:w w:val="105"/>
                <w:sz w:val="16"/>
              </w:rPr>
              <w:t>lease</w:t>
            </w:r>
            <w:r>
              <w:rPr>
                <w:spacing w:val="-8"/>
                <w:w w:val="105"/>
                <w:sz w:val="16"/>
              </w:rPr>
              <w:t> </w:t>
            </w:r>
            <w:r>
              <w:rPr>
                <w:spacing w:val="-2"/>
                <w:w w:val="105"/>
                <w:sz w:val="16"/>
              </w:rPr>
              <w:t>expense</w:t>
            </w:r>
            <w:r>
              <w:rPr>
                <w:sz w:val="16"/>
              </w:rPr>
              <w:tab/>
            </w:r>
            <w:r>
              <w:rPr>
                <w:b/>
                <w:spacing w:val="-10"/>
                <w:w w:val="105"/>
                <w:sz w:val="16"/>
              </w:rPr>
              <w:t>$</w:t>
            </w:r>
          </w:p>
        </w:tc>
        <w:tc>
          <w:tcPr>
            <w:tcW w:w="1712" w:type="dxa"/>
            <w:gridSpan w:val="2"/>
            <w:tcBorders>
              <w:top w:val="single" w:sz="6" w:space="0" w:color="000000"/>
              <w:bottom w:val="single" w:sz="6" w:space="0" w:color="000000"/>
            </w:tcBorders>
          </w:tcPr>
          <w:p>
            <w:pPr>
              <w:pStyle w:val="TableParagraph"/>
              <w:tabs>
                <w:tab w:pos="637" w:val="left" w:leader="none"/>
              </w:tabs>
              <w:spacing w:line="179" w:lineRule="exact" w:before="2"/>
              <w:ind w:left="242"/>
              <w:rPr>
                <w:sz w:val="16"/>
              </w:rPr>
            </w:pPr>
            <w:r>
              <w:rPr>
                <w:b/>
                <w:spacing w:val="-5"/>
                <w:w w:val="105"/>
                <w:sz w:val="16"/>
              </w:rPr>
              <w:t>25</w:t>
            </w:r>
            <w:r>
              <w:rPr>
                <w:b/>
                <w:sz w:val="16"/>
              </w:rPr>
              <w:tab/>
            </w:r>
            <w:r>
              <w:rPr>
                <w:spacing w:val="-10"/>
                <w:w w:val="105"/>
                <w:sz w:val="16"/>
              </w:rPr>
              <w:t>$</w:t>
            </w:r>
          </w:p>
        </w:tc>
        <w:tc>
          <w:tcPr>
            <w:tcW w:w="528" w:type="dxa"/>
            <w:tcBorders>
              <w:top w:val="single" w:sz="6" w:space="0" w:color="000000"/>
              <w:bottom w:val="single" w:sz="6" w:space="0" w:color="000000"/>
            </w:tcBorders>
          </w:tcPr>
          <w:p>
            <w:pPr>
              <w:pStyle w:val="TableParagraph"/>
              <w:spacing w:line="179" w:lineRule="exact" w:before="2"/>
              <w:ind w:right="110"/>
              <w:jc w:val="right"/>
              <w:rPr>
                <w:sz w:val="16"/>
              </w:rPr>
            </w:pPr>
            <w:r>
              <w:rPr>
                <w:spacing w:val="-5"/>
                <w:w w:val="105"/>
                <w:sz w:val="16"/>
              </w:rPr>
              <w:t>22</w:t>
            </w:r>
          </w:p>
        </w:tc>
      </w:tr>
      <w:tr>
        <w:trPr>
          <w:trHeight w:val="202" w:hRule="atLeast"/>
        </w:trPr>
        <w:tc>
          <w:tcPr>
            <w:tcW w:w="9273" w:type="dxa"/>
            <w:gridSpan w:val="2"/>
            <w:tcBorders>
              <w:top w:val="single" w:sz="6" w:space="0" w:color="000000"/>
            </w:tcBorders>
            <w:shd w:val="clear" w:color="auto" w:fill="CCEDFF"/>
          </w:tcPr>
          <w:p>
            <w:pPr>
              <w:pStyle w:val="TableParagraph"/>
              <w:rPr>
                <w:sz w:val="14"/>
              </w:rPr>
            </w:pPr>
          </w:p>
        </w:tc>
        <w:tc>
          <w:tcPr>
            <w:tcW w:w="1712" w:type="dxa"/>
            <w:gridSpan w:val="2"/>
            <w:tcBorders>
              <w:top w:val="single" w:sz="6" w:space="0" w:color="000000"/>
            </w:tcBorders>
            <w:shd w:val="clear" w:color="auto" w:fill="CCEDFF"/>
          </w:tcPr>
          <w:p>
            <w:pPr>
              <w:pStyle w:val="TableParagraph"/>
              <w:rPr>
                <w:sz w:val="14"/>
              </w:rPr>
            </w:pPr>
          </w:p>
        </w:tc>
        <w:tc>
          <w:tcPr>
            <w:tcW w:w="528" w:type="dxa"/>
            <w:tcBorders>
              <w:top w:val="single" w:sz="6" w:space="0" w:color="000000"/>
            </w:tcBorders>
            <w:shd w:val="clear" w:color="auto" w:fill="CCEDFF"/>
          </w:tcPr>
          <w:p>
            <w:pPr>
              <w:pStyle w:val="TableParagraph"/>
              <w:rPr>
                <w:sz w:val="14"/>
              </w:rPr>
            </w:pPr>
          </w:p>
        </w:tc>
      </w:tr>
      <w:tr>
        <w:trPr>
          <w:trHeight w:val="203" w:hRule="atLeast"/>
        </w:trPr>
        <w:tc>
          <w:tcPr>
            <w:tcW w:w="9273" w:type="dxa"/>
            <w:gridSpan w:val="2"/>
          </w:tcPr>
          <w:p>
            <w:pPr>
              <w:pStyle w:val="TableParagraph"/>
              <w:tabs>
                <w:tab w:pos="8190" w:val="left" w:leader="none"/>
              </w:tabs>
              <w:spacing w:line="180" w:lineRule="exact" w:before="3"/>
              <w:rPr>
                <w:b/>
                <w:sz w:val="16"/>
              </w:rPr>
            </w:pPr>
            <w:r>
              <w:rPr>
                <w:sz w:val="16"/>
              </w:rPr>
              <w:t>Operating</w:t>
            </w:r>
            <w:r>
              <w:rPr>
                <w:spacing w:val="15"/>
                <w:sz w:val="16"/>
              </w:rPr>
              <w:t> </w:t>
            </w:r>
            <w:r>
              <w:rPr>
                <w:sz w:val="16"/>
              </w:rPr>
              <w:t>lease</w:t>
            </w:r>
            <w:r>
              <w:rPr>
                <w:spacing w:val="15"/>
                <w:sz w:val="16"/>
              </w:rPr>
              <w:t> </w:t>
            </w:r>
            <w:r>
              <w:rPr>
                <w:spacing w:val="-2"/>
                <w:sz w:val="16"/>
              </w:rPr>
              <w:t>expense</w:t>
            </w:r>
            <w:r>
              <w:rPr>
                <w:sz w:val="16"/>
              </w:rPr>
              <w:tab/>
            </w:r>
            <w:r>
              <w:rPr>
                <w:b/>
                <w:spacing w:val="-10"/>
                <w:sz w:val="16"/>
              </w:rPr>
              <w:t>$</w:t>
            </w:r>
          </w:p>
        </w:tc>
        <w:tc>
          <w:tcPr>
            <w:tcW w:w="1712" w:type="dxa"/>
            <w:gridSpan w:val="2"/>
          </w:tcPr>
          <w:p>
            <w:pPr>
              <w:pStyle w:val="TableParagraph"/>
              <w:tabs>
                <w:tab w:pos="637" w:val="left" w:leader="none"/>
              </w:tabs>
              <w:spacing w:line="180" w:lineRule="exact" w:before="3"/>
              <w:ind w:left="159"/>
              <w:rPr>
                <w:sz w:val="16"/>
              </w:rPr>
            </w:pPr>
            <w:r>
              <w:rPr>
                <w:b/>
                <w:spacing w:val="-5"/>
                <w:w w:val="105"/>
                <w:sz w:val="16"/>
              </w:rPr>
              <w:t>139</w:t>
            </w:r>
            <w:r>
              <w:rPr>
                <w:b/>
                <w:sz w:val="16"/>
              </w:rPr>
              <w:tab/>
            </w:r>
            <w:r>
              <w:rPr>
                <w:spacing w:val="-10"/>
                <w:w w:val="105"/>
                <w:sz w:val="16"/>
              </w:rPr>
              <w:t>$</w:t>
            </w:r>
          </w:p>
        </w:tc>
        <w:tc>
          <w:tcPr>
            <w:tcW w:w="528" w:type="dxa"/>
          </w:tcPr>
          <w:p>
            <w:pPr>
              <w:pStyle w:val="TableParagraph"/>
              <w:spacing w:line="180" w:lineRule="exact" w:before="3"/>
              <w:ind w:right="110"/>
              <w:jc w:val="right"/>
              <w:rPr>
                <w:sz w:val="16"/>
              </w:rPr>
            </w:pPr>
            <w:r>
              <w:rPr>
                <w:spacing w:val="-5"/>
                <w:w w:val="105"/>
                <w:sz w:val="16"/>
              </w:rPr>
              <w:t>133</w:t>
            </w:r>
          </w:p>
        </w:tc>
      </w:tr>
      <w:tr>
        <w:trPr>
          <w:trHeight w:val="203" w:hRule="atLeast"/>
        </w:trPr>
        <w:tc>
          <w:tcPr>
            <w:tcW w:w="9273" w:type="dxa"/>
            <w:gridSpan w:val="2"/>
            <w:shd w:val="clear" w:color="auto" w:fill="CCEDFF"/>
          </w:tcPr>
          <w:p>
            <w:pPr>
              <w:pStyle w:val="TableParagraph"/>
              <w:spacing w:line="180" w:lineRule="exact" w:before="3"/>
              <w:rPr>
                <w:sz w:val="16"/>
              </w:rPr>
            </w:pPr>
            <w:r>
              <w:rPr>
                <w:w w:val="105"/>
                <w:sz w:val="16"/>
              </w:rPr>
              <w:t>Variable</w:t>
            </w:r>
            <w:r>
              <w:rPr>
                <w:spacing w:val="-10"/>
                <w:w w:val="105"/>
                <w:sz w:val="16"/>
              </w:rPr>
              <w:t> </w:t>
            </w:r>
            <w:r>
              <w:rPr>
                <w:w w:val="105"/>
                <w:sz w:val="16"/>
              </w:rPr>
              <w:t>lease</w:t>
            </w:r>
            <w:r>
              <w:rPr>
                <w:spacing w:val="-10"/>
                <w:w w:val="105"/>
                <w:sz w:val="16"/>
              </w:rPr>
              <w:t> </w:t>
            </w:r>
            <w:r>
              <w:rPr>
                <w:spacing w:val="-2"/>
                <w:w w:val="105"/>
                <w:sz w:val="16"/>
              </w:rPr>
              <w:t>expense</w:t>
            </w:r>
          </w:p>
        </w:tc>
        <w:tc>
          <w:tcPr>
            <w:tcW w:w="1712" w:type="dxa"/>
            <w:gridSpan w:val="2"/>
            <w:shd w:val="clear" w:color="auto" w:fill="CCEDFF"/>
          </w:tcPr>
          <w:p>
            <w:pPr>
              <w:pStyle w:val="TableParagraph"/>
              <w:spacing w:line="180" w:lineRule="exact" w:before="3"/>
              <w:ind w:left="242"/>
              <w:rPr>
                <w:b/>
                <w:sz w:val="16"/>
              </w:rPr>
            </w:pPr>
            <w:r>
              <w:rPr>
                <w:b/>
                <w:spacing w:val="-5"/>
                <w:w w:val="105"/>
                <w:sz w:val="16"/>
              </w:rPr>
              <w:t>59</w:t>
            </w:r>
          </w:p>
        </w:tc>
        <w:tc>
          <w:tcPr>
            <w:tcW w:w="528" w:type="dxa"/>
            <w:shd w:val="clear" w:color="auto" w:fill="CCEDFF"/>
          </w:tcPr>
          <w:p>
            <w:pPr>
              <w:pStyle w:val="TableParagraph"/>
              <w:spacing w:line="180" w:lineRule="exact" w:before="3"/>
              <w:ind w:right="110"/>
              <w:jc w:val="right"/>
              <w:rPr>
                <w:sz w:val="16"/>
              </w:rPr>
            </w:pPr>
            <w:r>
              <w:rPr>
                <w:spacing w:val="-5"/>
                <w:w w:val="105"/>
                <w:sz w:val="16"/>
              </w:rPr>
              <w:t>41</w:t>
            </w:r>
          </w:p>
        </w:tc>
      </w:tr>
      <w:tr>
        <w:trPr>
          <w:trHeight w:val="202" w:hRule="atLeast"/>
        </w:trPr>
        <w:tc>
          <w:tcPr>
            <w:tcW w:w="9273" w:type="dxa"/>
            <w:gridSpan w:val="2"/>
            <w:tcBorders>
              <w:bottom w:val="single" w:sz="6" w:space="0" w:color="000000"/>
            </w:tcBorders>
          </w:tcPr>
          <w:p>
            <w:pPr>
              <w:pStyle w:val="TableParagraph"/>
              <w:spacing w:line="179" w:lineRule="exact" w:before="3"/>
              <w:rPr>
                <w:sz w:val="16"/>
              </w:rPr>
            </w:pPr>
            <w:r>
              <w:rPr>
                <w:sz w:val="16"/>
              </w:rPr>
              <w:t>Short-term</w:t>
            </w:r>
            <w:r>
              <w:rPr>
                <w:spacing w:val="16"/>
                <w:sz w:val="16"/>
              </w:rPr>
              <w:t> </w:t>
            </w:r>
            <w:r>
              <w:rPr>
                <w:sz w:val="16"/>
              </w:rPr>
              <w:t>lease</w:t>
            </w:r>
            <w:r>
              <w:rPr>
                <w:spacing w:val="16"/>
                <w:sz w:val="16"/>
              </w:rPr>
              <w:t> </w:t>
            </w:r>
            <w:r>
              <w:rPr>
                <w:spacing w:val="-2"/>
                <w:sz w:val="16"/>
              </w:rPr>
              <w:t>expense</w:t>
            </w:r>
          </w:p>
        </w:tc>
        <w:tc>
          <w:tcPr>
            <w:tcW w:w="1712" w:type="dxa"/>
            <w:gridSpan w:val="2"/>
            <w:tcBorders>
              <w:bottom w:val="single" w:sz="6" w:space="0" w:color="000000"/>
            </w:tcBorders>
          </w:tcPr>
          <w:p>
            <w:pPr>
              <w:pStyle w:val="TableParagraph"/>
              <w:spacing w:line="179" w:lineRule="exact" w:before="3"/>
              <w:ind w:left="325"/>
              <w:rPr>
                <w:b/>
                <w:sz w:val="16"/>
              </w:rPr>
            </w:pPr>
            <w:r>
              <w:rPr>
                <w:b/>
                <w:spacing w:val="-10"/>
                <w:w w:val="105"/>
                <w:sz w:val="16"/>
              </w:rPr>
              <w:t>2</w:t>
            </w:r>
          </w:p>
        </w:tc>
        <w:tc>
          <w:tcPr>
            <w:tcW w:w="528" w:type="dxa"/>
            <w:tcBorders>
              <w:bottom w:val="single" w:sz="6" w:space="0" w:color="000000"/>
            </w:tcBorders>
          </w:tcPr>
          <w:p>
            <w:pPr>
              <w:pStyle w:val="TableParagraph"/>
              <w:spacing w:line="179" w:lineRule="exact" w:before="3"/>
              <w:ind w:right="110"/>
              <w:jc w:val="right"/>
              <w:rPr>
                <w:sz w:val="16"/>
              </w:rPr>
            </w:pPr>
            <w:r>
              <w:rPr>
                <w:spacing w:val="-10"/>
                <w:w w:val="105"/>
                <w:sz w:val="16"/>
              </w:rPr>
              <w:t>4</w:t>
            </w:r>
          </w:p>
        </w:tc>
      </w:tr>
      <w:tr>
        <w:trPr>
          <w:trHeight w:val="199" w:hRule="atLeast"/>
        </w:trPr>
        <w:tc>
          <w:tcPr>
            <w:tcW w:w="9273" w:type="dxa"/>
            <w:gridSpan w:val="2"/>
            <w:tcBorders>
              <w:top w:val="single" w:sz="6" w:space="0" w:color="000000"/>
              <w:bottom w:val="double" w:sz="6" w:space="0" w:color="000000"/>
            </w:tcBorders>
            <w:shd w:val="clear" w:color="auto" w:fill="CCEDFF"/>
          </w:tcPr>
          <w:p>
            <w:pPr>
              <w:pStyle w:val="TableParagraph"/>
              <w:tabs>
                <w:tab w:pos="8190" w:val="left" w:leader="none"/>
              </w:tabs>
              <w:spacing w:line="177" w:lineRule="exact" w:before="2"/>
              <w:rPr>
                <w:b/>
                <w:sz w:val="16"/>
              </w:rPr>
            </w:pPr>
            <w:r>
              <w:rPr>
                <w:w w:val="105"/>
                <w:sz w:val="16"/>
              </w:rPr>
              <w:t>Total</w:t>
            </w:r>
            <w:r>
              <w:rPr>
                <w:spacing w:val="-8"/>
                <w:w w:val="105"/>
                <w:sz w:val="16"/>
              </w:rPr>
              <w:t> </w:t>
            </w:r>
            <w:r>
              <w:rPr>
                <w:w w:val="105"/>
                <w:sz w:val="16"/>
              </w:rPr>
              <w:t>lease</w:t>
            </w:r>
            <w:r>
              <w:rPr>
                <w:spacing w:val="-8"/>
                <w:w w:val="105"/>
                <w:sz w:val="16"/>
              </w:rPr>
              <w:t> </w:t>
            </w:r>
            <w:r>
              <w:rPr>
                <w:spacing w:val="-2"/>
                <w:w w:val="105"/>
                <w:sz w:val="16"/>
              </w:rPr>
              <w:t>expense</w:t>
            </w:r>
            <w:r>
              <w:rPr>
                <w:sz w:val="16"/>
              </w:rPr>
              <w:tab/>
            </w:r>
            <w:r>
              <w:rPr>
                <w:b/>
                <w:spacing w:val="-10"/>
                <w:w w:val="105"/>
                <w:sz w:val="16"/>
              </w:rPr>
              <w:t>$</w:t>
            </w:r>
          </w:p>
        </w:tc>
        <w:tc>
          <w:tcPr>
            <w:tcW w:w="1712" w:type="dxa"/>
            <w:gridSpan w:val="2"/>
            <w:tcBorders>
              <w:top w:val="single" w:sz="6" w:space="0" w:color="000000"/>
              <w:bottom w:val="double" w:sz="6" w:space="0" w:color="000000"/>
            </w:tcBorders>
            <w:shd w:val="clear" w:color="auto" w:fill="CCEDFF"/>
          </w:tcPr>
          <w:p>
            <w:pPr>
              <w:pStyle w:val="TableParagraph"/>
              <w:tabs>
                <w:tab w:pos="637" w:val="left" w:leader="none"/>
              </w:tabs>
              <w:spacing w:line="177" w:lineRule="exact" w:before="2"/>
              <w:ind w:left="159"/>
              <w:rPr>
                <w:sz w:val="16"/>
              </w:rPr>
            </w:pPr>
            <w:r>
              <w:rPr>
                <w:b/>
                <w:spacing w:val="-5"/>
                <w:w w:val="105"/>
                <w:sz w:val="16"/>
              </w:rPr>
              <w:t>225</w:t>
            </w:r>
            <w:r>
              <w:rPr>
                <w:b/>
                <w:sz w:val="16"/>
              </w:rPr>
              <w:tab/>
            </w:r>
            <w:r>
              <w:rPr>
                <w:spacing w:val="-10"/>
                <w:w w:val="105"/>
                <w:sz w:val="16"/>
              </w:rPr>
              <w:t>$</w:t>
            </w:r>
          </w:p>
        </w:tc>
        <w:tc>
          <w:tcPr>
            <w:tcW w:w="528" w:type="dxa"/>
            <w:tcBorders>
              <w:top w:val="single" w:sz="6" w:space="0" w:color="000000"/>
              <w:bottom w:val="double" w:sz="6" w:space="0" w:color="000000"/>
            </w:tcBorders>
            <w:shd w:val="clear" w:color="auto" w:fill="CCEDFF"/>
          </w:tcPr>
          <w:p>
            <w:pPr>
              <w:pStyle w:val="TableParagraph"/>
              <w:spacing w:line="177" w:lineRule="exact" w:before="2"/>
              <w:ind w:right="110"/>
              <w:jc w:val="right"/>
              <w:rPr>
                <w:sz w:val="16"/>
              </w:rPr>
            </w:pPr>
            <w:r>
              <w:rPr>
                <w:spacing w:val="-5"/>
                <w:w w:val="105"/>
                <w:sz w:val="16"/>
              </w:rPr>
              <w:t>200</w:t>
            </w:r>
          </w:p>
        </w:tc>
      </w:tr>
      <w:tr>
        <w:trPr>
          <w:trHeight w:val="516" w:hRule="atLeast"/>
        </w:trPr>
        <w:tc>
          <w:tcPr>
            <w:tcW w:w="9273" w:type="dxa"/>
            <w:gridSpan w:val="2"/>
            <w:tcBorders>
              <w:top w:val="double" w:sz="6" w:space="0" w:color="000000"/>
              <w:bottom w:val="single" w:sz="12" w:space="0" w:color="000000"/>
            </w:tcBorders>
          </w:tcPr>
          <w:p>
            <w:pPr>
              <w:pStyle w:val="TableParagraph"/>
              <w:spacing w:before="8"/>
              <w:rPr>
                <w:sz w:val="16"/>
              </w:rPr>
            </w:pPr>
          </w:p>
          <w:p>
            <w:pPr>
              <w:pStyle w:val="TableParagraph"/>
              <w:rPr>
                <w:sz w:val="16"/>
              </w:rPr>
            </w:pPr>
            <w:r>
              <w:rPr>
                <w:w w:val="105"/>
                <w:sz w:val="16"/>
              </w:rPr>
              <w:t>The</w:t>
            </w:r>
            <w:r>
              <w:rPr>
                <w:spacing w:val="-10"/>
                <w:w w:val="105"/>
                <w:sz w:val="16"/>
              </w:rPr>
              <w:t> </w:t>
            </w:r>
            <w:r>
              <w:rPr>
                <w:w w:val="105"/>
                <w:sz w:val="16"/>
              </w:rPr>
              <w:t>following</w:t>
            </w:r>
            <w:r>
              <w:rPr>
                <w:spacing w:val="-10"/>
                <w:w w:val="105"/>
                <w:sz w:val="16"/>
              </w:rPr>
              <w:t> </w:t>
            </w:r>
            <w:r>
              <w:rPr>
                <w:w w:val="105"/>
                <w:sz w:val="16"/>
              </w:rPr>
              <w:t>table</w:t>
            </w:r>
            <w:r>
              <w:rPr>
                <w:spacing w:val="-10"/>
                <w:w w:val="105"/>
                <w:sz w:val="16"/>
              </w:rPr>
              <w:t> </w:t>
            </w:r>
            <w:r>
              <w:rPr>
                <w:w w:val="105"/>
                <w:sz w:val="16"/>
              </w:rPr>
              <w:t>shows</w:t>
            </w:r>
            <w:r>
              <w:rPr>
                <w:spacing w:val="-10"/>
                <w:w w:val="105"/>
                <w:sz w:val="16"/>
              </w:rPr>
              <w:t> </w:t>
            </w:r>
            <w:r>
              <w:rPr>
                <w:w w:val="105"/>
                <w:sz w:val="16"/>
              </w:rPr>
              <w:t>components</w:t>
            </w:r>
            <w:r>
              <w:rPr>
                <w:spacing w:val="-10"/>
                <w:w w:val="105"/>
                <w:sz w:val="16"/>
              </w:rPr>
              <w:t> </w:t>
            </w:r>
            <w:r>
              <w:rPr>
                <w:w w:val="105"/>
                <w:sz w:val="16"/>
              </w:rPr>
              <w:t>of</w:t>
            </w:r>
            <w:r>
              <w:rPr>
                <w:spacing w:val="-9"/>
                <w:w w:val="105"/>
                <w:sz w:val="16"/>
              </w:rPr>
              <w:t> </w:t>
            </w:r>
            <w:r>
              <w:rPr>
                <w:w w:val="105"/>
                <w:sz w:val="16"/>
              </w:rPr>
              <w:t>cash</w:t>
            </w:r>
            <w:r>
              <w:rPr>
                <w:spacing w:val="-10"/>
                <w:w w:val="105"/>
                <w:sz w:val="16"/>
              </w:rPr>
              <w:t> </w:t>
            </w:r>
            <w:r>
              <w:rPr>
                <w:w w:val="105"/>
                <w:sz w:val="16"/>
              </w:rPr>
              <w:t>paid</w:t>
            </w:r>
            <w:r>
              <w:rPr>
                <w:spacing w:val="-10"/>
                <w:w w:val="105"/>
                <w:sz w:val="16"/>
              </w:rPr>
              <w:t> </w:t>
            </w:r>
            <w:r>
              <w:rPr>
                <w:w w:val="105"/>
                <w:sz w:val="16"/>
              </w:rPr>
              <w:t>for</w:t>
            </w:r>
            <w:r>
              <w:rPr>
                <w:spacing w:val="-9"/>
                <w:w w:val="105"/>
                <w:sz w:val="16"/>
              </w:rPr>
              <w:t> </w:t>
            </w:r>
            <w:r>
              <w:rPr>
                <w:w w:val="105"/>
                <w:sz w:val="16"/>
              </w:rPr>
              <w:t>amounts</w:t>
            </w:r>
            <w:r>
              <w:rPr>
                <w:spacing w:val="-10"/>
                <w:w w:val="105"/>
                <w:sz w:val="16"/>
              </w:rPr>
              <w:t> </w:t>
            </w:r>
            <w:r>
              <w:rPr>
                <w:w w:val="105"/>
                <w:sz w:val="16"/>
              </w:rPr>
              <w:t>included</w:t>
            </w:r>
            <w:r>
              <w:rPr>
                <w:spacing w:val="-9"/>
                <w:w w:val="105"/>
                <w:sz w:val="16"/>
              </w:rPr>
              <w:t> </w:t>
            </w:r>
            <w:r>
              <w:rPr>
                <w:w w:val="105"/>
                <w:sz w:val="16"/>
              </w:rPr>
              <w:t>in</w:t>
            </w:r>
            <w:r>
              <w:rPr>
                <w:spacing w:val="-10"/>
                <w:w w:val="105"/>
                <w:sz w:val="16"/>
              </w:rPr>
              <w:t> </w:t>
            </w:r>
            <w:r>
              <w:rPr>
                <w:w w:val="105"/>
                <w:sz w:val="16"/>
              </w:rPr>
              <w:t>the</w:t>
            </w:r>
            <w:r>
              <w:rPr>
                <w:spacing w:val="-10"/>
                <w:w w:val="105"/>
                <w:sz w:val="16"/>
              </w:rPr>
              <w:t> </w:t>
            </w:r>
            <w:r>
              <w:rPr>
                <w:w w:val="105"/>
                <w:sz w:val="16"/>
              </w:rPr>
              <w:t>measurement</w:t>
            </w:r>
            <w:r>
              <w:rPr>
                <w:spacing w:val="-10"/>
                <w:w w:val="105"/>
                <w:sz w:val="16"/>
              </w:rPr>
              <w:t> </w:t>
            </w:r>
            <w:r>
              <w:rPr>
                <w:w w:val="105"/>
                <w:sz w:val="16"/>
              </w:rPr>
              <w:t>of</w:t>
            </w:r>
            <w:r>
              <w:rPr>
                <w:spacing w:val="-10"/>
                <w:w w:val="105"/>
                <w:sz w:val="16"/>
              </w:rPr>
              <w:t> </w:t>
            </w:r>
            <w:r>
              <w:rPr>
                <w:w w:val="105"/>
                <w:sz w:val="16"/>
              </w:rPr>
              <w:t>lease</w:t>
            </w:r>
            <w:r>
              <w:rPr>
                <w:spacing w:val="-10"/>
                <w:w w:val="105"/>
                <w:sz w:val="16"/>
              </w:rPr>
              <w:t> </w:t>
            </w:r>
            <w:r>
              <w:rPr>
                <w:w w:val="105"/>
                <w:sz w:val="16"/>
              </w:rPr>
              <w:t>liabilities</w:t>
            </w:r>
            <w:r>
              <w:rPr>
                <w:spacing w:val="-9"/>
                <w:w w:val="105"/>
                <w:sz w:val="16"/>
              </w:rPr>
              <w:t> </w:t>
            </w:r>
            <w:r>
              <w:rPr>
                <w:w w:val="105"/>
                <w:sz w:val="16"/>
              </w:rPr>
              <w:t>(in</w:t>
            </w:r>
            <w:r>
              <w:rPr>
                <w:spacing w:val="-10"/>
                <w:w w:val="105"/>
                <w:sz w:val="16"/>
              </w:rPr>
              <w:t> </w:t>
            </w:r>
            <w:r>
              <w:rPr>
                <w:w w:val="105"/>
                <w:sz w:val="16"/>
              </w:rPr>
              <w:t>millions)</w:t>
            </w:r>
            <w:r>
              <w:rPr>
                <w:spacing w:val="-10"/>
                <w:w w:val="105"/>
                <w:sz w:val="16"/>
              </w:rPr>
              <w:t> </w:t>
            </w:r>
            <w:r>
              <w:rPr>
                <w:spacing w:val="-4"/>
                <w:w w:val="105"/>
                <w:position w:val="3"/>
                <w:sz w:val="14"/>
              </w:rPr>
              <w:t>(</w:t>
            </w:r>
            <w:r>
              <w:rPr>
                <w:spacing w:val="-4"/>
                <w:w w:val="105"/>
                <w:sz w:val="14"/>
              </w:rPr>
              <w:t>1</w:t>
            </w:r>
            <w:r>
              <w:rPr>
                <w:spacing w:val="-4"/>
                <w:w w:val="105"/>
                <w:position w:val="3"/>
                <w:sz w:val="14"/>
              </w:rPr>
              <w:t>)</w:t>
            </w:r>
            <w:r>
              <w:rPr>
                <w:spacing w:val="-4"/>
                <w:w w:val="105"/>
                <w:sz w:val="16"/>
              </w:rPr>
              <w:t>:</w:t>
            </w:r>
          </w:p>
        </w:tc>
        <w:tc>
          <w:tcPr>
            <w:tcW w:w="1712" w:type="dxa"/>
            <w:gridSpan w:val="2"/>
            <w:tcBorders>
              <w:top w:val="double" w:sz="6" w:space="0" w:color="000000"/>
              <w:bottom w:val="single" w:sz="12" w:space="0" w:color="000000"/>
            </w:tcBorders>
          </w:tcPr>
          <w:p>
            <w:pPr>
              <w:pStyle w:val="TableParagraph"/>
              <w:rPr>
                <w:sz w:val="16"/>
              </w:rPr>
            </w:pPr>
          </w:p>
        </w:tc>
        <w:tc>
          <w:tcPr>
            <w:tcW w:w="528" w:type="dxa"/>
            <w:tcBorders>
              <w:top w:val="double" w:sz="6" w:space="0" w:color="000000"/>
              <w:bottom w:val="single" w:sz="12" w:space="0" w:color="000000"/>
            </w:tcBorders>
          </w:tcPr>
          <w:p>
            <w:pPr>
              <w:pStyle w:val="TableParagraph"/>
              <w:rPr>
                <w:sz w:val="16"/>
              </w:rPr>
            </w:pPr>
          </w:p>
        </w:tc>
      </w:tr>
      <w:tr>
        <w:trPr>
          <w:trHeight w:val="200" w:hRule="atLeast"/>
        </w:trPr>
        <w:tc>
          <w:tcPr>
            <w:tcW w:w="9273" w:type="dxa"/>
            <w:gridSpan w:val="2"/>
            <w:tcBorders>
              <w:top w:val="single" w:sz="12" w:space="0" w:color="000000"/>
            </w:tcBorders>
          </w:tcPr>
          <w:p>
            <w:pPr>
              <w:pStyle w:val="TableParagraph"/>
              <w:rPr>
                <w:sz w:val="12"/>
              </w:rPr>
            </w:pPr>
          </w:p>
        </w:tc>
        <w:tc>
          <w:tcPr>
            <w:tcW w:w="1712" w:type="dxa"/>
            <w:gridSpan w:val="2"/>
            <w:tcBorders>
              <w:top w:val="single" w:sz="12" w:space="0" w:color="000000"/>
              <w:bottom w:val="single" w:sz="6" w:space="0" w:color="000000"/>
            </w:tcBorders>
          </w:tcPr>
          <w:p>
            <w:pPr>
              <w:pStyle w:val="TableParagraph"/>
              <w:spacing w:line="179" w:lineRule="exact" w:before="1"/>
              <w:ind w:left="58"/>
              <w:rPr>
                <w:sz w:val="16"/>
              </w:rPr>
            </w:pPr>
            <w:r>
              <w:rPr>
                <w:sz w:val="16"/>
              </w:rPr>
              <w:t>December</w:t>
            </w:r>
            <w:r>
              <w:rPr>
                <w:spacing w:val="20"/>
                <w:sz w:val="16"/>
              </w:rPr>
              <w:t> </w:t>
            </w:r>
            <w:r>
              <w:rPr>
                <w:spacing w:val="-5"/>
                <w:sz w:val="16"/>
              </w:rPr>
              <w:t>31,</w:t>
            </w:r>
          </w:p>
        </w:tc>
        <w:tc>
          <w:tcPr>
            <w:tcW w:w="528" w:type="dxa"/>
            <w:tcBorders>
              <w:top w:val="single" w:sz="12" w:space="0" w:color="000000"/>
              <w:bottom w:val="single" w:sz="6" w:space="0" w:color="000000"/>
            </w:tcBorders>
          </w:tcPr>
          <w:p>
            <w:pPr>
              <w:pStyle w:val="TableParagraph"/>
              <w:rPr>
                <w:sz w:val="12"/>
              </w:rPr>
            </w:pPr>
          </w:p>
        </w:tc>
      </w:tr>
      <w:tr>
        <w:trPr>
          <w:trHeight w:val="201" w:hRule="atLeast"/>
        </w:trPr>
        <w:tc>
          <w:tcPr>
            <w:tcW w:w="5061" w:type="dxa"/>
            <w:tcBorders>
              <w:bottom w:val="single" w:sz="6" w:space="0" w:color="000000"/>
            </w:tcBorders>
          </w:tcPr>
          <w:p>
            <w:pPr>
              <w:pStyle w:val="TableParagraph"/>
              <w:rPr>
                <w:sz w:val="12"/>
              </w:rPr>
            </w:pPr>
          </w:p>
        </w:tc>
        <w:tc>
          <w:tcPr>
            <w:tcW w:w="4212" w:type="dxa"/>
            <w:tcBorders>
              <w:bottom w:val="single" w:sz="6" w:space="0" w:color="000000"/>
            </w:tcBorders>
          </w:tcPr>
          <w:p>
            <w:pPr>
              <w:pStyle w:val="TableParagraph"/>
              <w:spacing w:line="175" w:lineRule="exact"/>
              <w:ind w:right="169"/>
              <w:jc w:val="right"/>
              <w:rPr>
                <w:b/>
                <w:sz w:val="16"/>
              </w:rPr>
            </w:pPr>
            <w:r>
              <w:rPr>
                <w:b/>
                <w:spacing w:val="-4"/>
                <w:w w:val="105"/>
                <w:sz w:val="16"/>
              </w:rPr>
              <w:t>2021</w:t>
            </w:r>
          </w:p>
        </w:tc>
        <w:tc>
          <w:tcPr>
            <w:tcW w:w="522" w:type="dxa"/>
            <w:tcBorders>
              <w:bottom w:val="single" w:sz="6" w:space="0" w:color="000000"/>
            </w:tcBorders>
          </w:tcPr>
          <w:p>
            <w:pPr>
              <w:pStyle w:val="TableParagraph"/>
              <w:rPr>
                <w:sz w:val="12"/>
              </w:rPr>
            </w:pPr>
          </w:p>
        </w:tc>
        <w:tc>
          <w:tcPr>
            <w:tcW w:w="1190" w:type="dxa"/>
            <w:tcBorders>
              <w:bottom w:val="single" w:sz="6" w:space="0" w:color="000000"/>
            </w:tcBorders>
          </w:tcPr>
          <w:p>
            <w:pPr>
              <w:pStyle w:val="TableParagraph"/>
              <w:spacing w:line="175" w:lineRule="exact"/>
              <w:ind w:left="695"/>
              <w:rPr>
                <w:sz w:val="16"/>
              </w:rPr>
            </w:pPr>
            <w:r>
              <w:rPr>
                <w:spacing w:val="-4"/>
                <w:w w:val="105"/>
                <w:sz w:val="16"/>
              </w:rPr>
              <w:t>2020</w:t>
            </w:r>
          </w:p>
        </w:tc>
        <w:tc>
          <w:tcPr>
            <w:tcW w:w="528" w:type="dxa"/>
            <w:tcBorders>
              <w:bottom w:val="single" w:sz="6" w:space="0" w:color="000000"/>
            </w:tcBorders>
          </w:tcPr>
          <w:p>
            <w:pPr>
              <w:pStyle w:val="TableParagraph"/>
              <w:rPr>
                <w:sz w:val="12"/>
              </w:rPr>
            </w:pPr>
          </w:p>
        </w:tc>
      </w:tr>
      <w:tr>
        <w:trPr>
          <w:trHeight w:val="202" w:hRule="atLeast"/>
        </w:trPr>
        <w:tc>
          <w:tcPr>
            <w:tcW w:w="5061" w:type="dxa"/>
            <w:tcBorders>
              <w:top w:val="single" w:sz="6" w:space="0" w:color="000000"/>
            </w:tcBorders>
            <w:shd w:val="clear" w:color="auto" w:fill="CCEDFF"/>
          </w:tcPr>
          <w:p>
            <w:pPr>
              <w:pStyle w:val="TableParagraph"/>
              <w:spacing w:line="180" w:lineRule="exact" w:before="2"/>
              <w:rPr>
                <w:sz w:val="16"/>
              </w:rPr>
            </w:pPr>
            <w:r>
              <w:rPr>
                <w:spacing w:val="-2"/>
                <w:w w:val="105"/>
                <w:sz w:val="16"/>
              </w:rPr>
              <w:t>Finance:</w:t>
            </w:r>
          </w:p>
        </w:tc>
        <w:tc>
          <w:tcPr>
            <w:tcW w:w="4212" w:type="dxa"/>
            <w:tcBorders>
              <w:top w:val="single" w:sz="6" w:space="0" w:color="000000"/>
            </w:tcBorders>
            <w:shd w:val="clear" w:color="auto" w:fill="CCEDFF"/>
          </w:tcPr>
          <w:p>
            <w:pPr>
              <w:pStyle w:val="TableParagraph"/>
              <w:rPr>
                <w:sz w:val="14"/>
              </w:rPr>
            </w:pPr>
          </w:p>
        </w:tc>
        <w:tc>
          <w:tcPr>
            <w:tcW w:w="522" w:type="dxa"/>
            <w:tcBorders>
              <w:top w:val="single" w:sz="6" w:space="0" w:color="000000"/>
            </w:tcBorders>
            <w:shd w:val="clear" w:color="auto" w:fill="CCEDFF"/>
          </w:tcPr>
          <w:p>
            <w:pPr>
              <w:pStyle w:val="TableParagraph"/>
              <w:rPr>
                <w:sz w:val="14"/>
              </w:rPr>
            </w:pPr>
          </w:p>
        </w:tc>
        <w:tc>
          <w:tcPr>
            <w:tcW w:w="1190" w:type="dxa"/>
            <w:tcBorders>
              <w:top w:val="single" w:sz="6" w:space="0" w:color="000000"/>
            </w:tcBorders>
            <w:shd w:val="clear" w:color="auto" w:fill="CCEDFF"/>
          </w:tcPr>
          <w:p>
            <w:pPr>
              <w:pStyle w:val="TableParagraph"/>
              <w:rPr>
                <w:sz w:val="14"/>
              </w:rPr>
            </w:pPr>
          </w:p>
        </w:tc>
        <w:tc>
          <w:tcPr>
            <w:tcW w:w="528" w:type="dxa"/>
            <w:tcBorders>
              <w:top w:val="single" w:sz="6" w:space="0" w:color="000000"/>
            </w:tcBorders>
            <w:shd w:val="clear" w:color="auto" w:fill="CCEDFF"/>
          </w:tcPr>
          <w:p>
            <w:pPr>
              <w:pStyle w:val="TableParagraph"/>
              <w:rPr>
                <w:sz w:val="14"/>
              </w:rPr>
            </w:pPr>
          </w:p>
        </w:tc>
      </w:tr>
      <w:tr>
        <w:trPr>
          <w:trHeight w:val="203" w:hRule="atLeast"/>
        </w:trPr>
        <w:tc>
          <w:tcPr>
            <w:tcW w:w="5061" w:type="dxa"/>
          </w:tcPr>
          <w:p>
            <w:pPr>
              <w:pStyle w:val="TableParagraph"/>
              <w:spacing w:line="180" w:lineRule="exact" w:before="3"/>
              <w:rPr>
                <w:sz w:val="16"/>
              </w:rPr>
            </w:pPr>
            <w:r>
              <w:rPr>
                <w:spacing w:val="-2"/>
                <w:w w:val="105"/>
                <w:sz w:val="16"/>
              </w:rPr>
              <w:t>Principal</w:t>
            </w:r>
          </w:p>
        </w:tc>
        <w:tc>
          <w:tcPr>
            <w:tcW w:w="4212" w:type="dxa"/>
          </w:tcPr>
          <w:p>
            <w:pPr>
              <w:pStyle w:val="TableParagraph"/>
              <w:spacing w:line="180" w:lineRule="exact" w:before="3"/>
              <w:ind w:left="3129"/>
              <w:rPr>
                <w:b/>
                <w:sz w:val="16"/>
              </w:rPr>
            </w:pPr>
            <w:r>
              <w:rPr>
                <w:b/>
                <w:spacing w:val="-10"/>
                <w:w w:val="105"/>
                <w:sz w:val="16"/>
              </w:rPr>
              <w:t>$</w:t>
            </w:r>
          </w:p>
        </w:tc>
        <w:tc>
          <w:tcPr>
            <w:tcW w:w="522" w:type="dxa"/>
          </w:tcPr>
          <w:p>
            <w:pPr>
              <w:pStyle w:val="TableParagraph"/>
              <w:spacing w:line="180" w:lineRule="exact" w:before="3"/>
              <w:ind w:left="211" w:right="83"/>
              <w:jc w:val="center"/>
              <w:rPr>
                <w:b/>
                <w:sz w:val="16"/>
              </w:rPr>
            </w:pPr>
            <w:r>
              <w:rPr>
                <w:b/>
                <w:spacing w:val="-5"/>
                <w:w w:val="105"/>
                <w:sz w:val="16"/>
              </w:rPr>
              <w:t>13</w:t>
            </w:r>
          </w:p>
        </w:tc>
        <w:tc>
          <w:tcPr>
            <w:tcW w:w="1190" w:type="dxa"/>
          </w:tcPr>
          <w:p>
            <w:pPr>
              <w:pStyle w:val="TableParagraph"/>
              <w:spacing w:line="180" w:lineRule="exact" w:before="3"/>
              <w:ind w:left="115"/>
              <w:rPr>
                <w:sz w:val="16"/>
              </w:rPr>
            </w:pPr>
            <w:r>
              <w:rPr>
                <w:spacing w:val="-10"/>
                <w:w w:val="105"/>
                <w:sz w:val="16"/>
              </w:rPr>
              <w:t>$</w:t>
            </w:r>
          </w:p>
        </w:tc>
        <w:tc>
          <w:tcPr>
            <w:tcW w:w="528" w:type="dxa"/>
          </w:tcPr>
          <w:p>
            <w:pPr>
              <w:pStyle w:val="TableParagraph"/>
              <w:spacing w:line="180" w:lineRule="exact" w:before="3"/>
              <w:ind w:right="110"/>
              <w:jc w:val="right"/>
              <w:rPr>
                <w:sz w:val="16"/>
              </w:rPr>
            </w:pPr>
            <w:r>
              <w:rPr>
                <w:spacing w:val="-5"/>
                <w:w w:val="105"/>
                <w:sz w:val="16"/>
              </w:rPr>
              <w:t>10</w:t>
            </w:r>
          </w:p>
        </w:tc>
      </w:tr>
      <w:tr>
        <w:trPr>
          <w:trHeight w:val="202" w:hRule="atLeast"/>
        </w:trPr>
        <w:tc>
          <w:tcPr>
            <w:tcW w:w="5061" w:type="dxa"/>
            <w:tcBorders>
              <w:bottom w:val="single" w:sz="6" w:space="0" w:color="000000"/>
            </w:tcBorders>
            <w:shd w:val="clear" w:color="auto" w:fill="CCEDFF"/>
          </w:tcPr>
          <w:p>
            <w:pPr>
              <w:pStyle w:val="TableParagraph"/>
              <w:spacing w:line="179" w:lineRule="exact" w:before="3"/>
              <w:rPr>
                <w:sz w:val="16"/>
              </w:rPr>
            </w:pPr>
            <w:r>
              <w:rPr>
                <w:spacing w:val="-2"/>
                <w:w w:val="105"/>
                <w:sz w:val="16"/>
              </w:rPr>
              <w:t>Interest</w:t>
            </w:r>
          </w:p>
        </w:tc>
        <w:tc>
          <w:tcPr>
            <w:tcW w:w="4212" w:type="dxa"/>
            <w:tcBorders>
              <w:bottom w:val="single" w:sz="6" w:space="0" w:color="000000"/>
            </w:tcBorders>
            <w:shd w:val="clear" w:color="auto" w:fill="CCEDFF"/>
          </w:tcPr>
          <w:p>
            <w:pPr>
              <w:pStyle w:val="TableParagraph"/>
              <w:rPr>
                <w:sz w:val="14"/>
              </w:rPr>
            </w:pPr>
          </w:p>
        </w:tc>
        <w:tc>
          <w:tcPr>
            <w:tcW w:w="522" w:type="dxa"/>
            <w:tcBorders>
              <w:bottom w:val="single" w:sz="6" w:space="0" w:color="000000"/>
            </w:tcBorders>
            <w:shd w:val="clear" w:color="auto" w:fill="CCEDFF"/>
          </w:tcPr>
          <w:p>
            <w:pPr>
              <w:pStyle w:val="TableParagraph"/>
              <w:spacing w:line="179" w:lineRule="exact" w:before="3"/>
              <w:ind w:left="211"/>
              <w:jc w:val="center"/>
              <w:rPr>
                <w:b/>
                <w:sz w:val="16"/>
              </w:rPr>
            </w:pPr>
            <w:r>
              <w:rPr>
                <w:b/>
                <w:spacing w:val="-10"/>
                <w:w w:val="105"/>
                <w:sz w:val="16"/>
              </w:rPr>
              <w:t>8</w:t>
            </w:r>
          </w:p>
        </w:tc>
        <w:tc>
          <w:tcPr>
            <w:tcW w:w="1190" w:type="dxa"/>
            <w:tcBorders>
              <w:bottom w:val="single" w:sz="6" w:space="0" w:color="000000"/>
            </w:tcBorders>
            <w:shd w:val="clear" w:color="auto" w:fill="CCEDFF"/>
          </w:tcPr>
          <w:p>
            <w:pPr>
              <w:pStyle w:val="TableParagraph"/>
              <w:rPr>
                <w:sz w:val="14"/>
              </w:rPr>
            </w:pPr>
          </w:p>
        </w:tc>
        <w:tc>
          <w:tcPr>
            <w:tcW w:w="528" w:type="dxa"/>
            <w:tcBorders>
              <w:bottom w:val="single" w:sz="6" w:space="0" w:color="000000"/>
            </w:tcBorders>
            <w:shd w:val="clear" w:color="auto" w:fill="CCEDFF"/>
          </w:tcPr>
          <w:p>
            <w:pPr>
              <w:pStyle w:val="TableParagraph"/>
              <w:spacing w:line="179" w:lineRule="exact" w:before="3"/>
              <w:ind w:right="110"/>
              <w:jc w:val="right"/>
              <w:rPr>
                <w:sz w:val="16"/>
              </w:rPr>
            </w:pPr>
            <w:r>
              <w:rPr>
                <w:spacing w:val="-10"/>
                <w:w w:val="105"/>
                <w:sz w:val="16"/>
              </w:rPr>
              <w:t>7</w:t>
            </w:r>
          </w:p>
        </w:tc>
      </w:tr>
      <w:tr>
        <w:trPr>
          <w:trHeight w:val="201" w:hRule="atLeast"/>
        </w:trPr>
        <w:tc>
          <w:tcPr>
            <w:tcW w:w="5061" w:type="dxa"/>
            <w:tcBorders>
              <w:top w:val="single" w:sz="6" w:space="0" w:color="000000"/>
              <w:bottom w:val="single" w:sz="6" w:space="0" w:color="000000"/>
            </w:tcBorders>
          </w:tcPr>
          <w:p>
            <w:pPr>
              <w:pStyle w:val="TableParagraph"/>
              <w:spacing w:line="179" w:lineRule="exact" w:before="2"/>
              <w:rPr>
                <w:sz w:val="16"/>
              </w:rPr>
            </w:pPr>
            <w:r>
              <w:rPr>
                <w:w w:val="105"/>
                <w:sz w:val="16"/>
              </w:rPr>
              <w:t>Total</w:t>
            </w:r>
            <w:r>
              <w:rPr>
                <w:spacing w:val="-9"/>
                <w:w w:val="105"/>
                <w:sz w:val="16"/>
              </w:rPr>
              <w:t> </w:t>
            </w:r>
            <w:r>
              <w:rPr>
                <w:w w:val="105"/>
                <w:sz w:val="16"/>
              </w:rPr>
              <w:t>finance</w:t>
            </w:r>
            <w:r>
              <w:rPr>
                <w:spacing w:val="-9"/>
                <w:w w:val="105"/>
                <w:sz w:val="16"/>
              </w:rPr>
              <w:t> </w:t>
            </w:r>
            <w:r>
              <w:rPr>
                <w:w w:val="105"/>
                <w:sz w:val="16"/>
              </w:rPr>
              <w:t>lease</w:t>
            </w:r>
            <w:r>
              <w:rPr>
                <w:spacing w:val="-8"/>
                <w:w w:val="105"/>
                <w:sz w:val="16"/>
              </w:rPr>
              <w:t> </w:t>
            </w:r>
            <w:r>
              <w:rPr>
                <w:spacing w:val="-2"/>
                <w:w w:val="105"/>
                <w:sz w:val="16"/>
              </w:rPr>
              <w:t>payments</w:t>
            </w:r>
          </w:p>
        </w:tc>
        <w:tc>
          <w:tcPr>
            <w:tcW w:w="4212" w:type="dxa"/>
            <w:tcBorders>
              <w:top w:val="single" w:sz="6" w:space="0" w:color="000000"/>
              <w:bottom w:val="single" w:sz="6" w:space="0" w:color="000000"/>
            </w:tcBorders>
          </w:tcPr>
          <w:p>
            <w:pPr>
              <w:pStyle w:val="TableParagraph"/>
              <w:spacing w:line="179" w:lineRule="exact" w:before="2"/>
              <w:ind w:left="3129"/>
              <w:rPr>
                <w:b/>
                <w:sz w:val="16"/>
              </w:rPr>
            </w:pPr>
            <w:r>
              <w:rPr>
                <w:b/>
                <w:spacing w:val="-10"/>
                <w:w w:val="105"/>
                <w:sz w:val="16"/>
              </w:rPr>
              <w:t>$</w:t>
            </w:r>
          </w:p>
        </w:tc>
        <w:tc>
          <w:tcPr>
            <w:tcW w:w="522" w:type="dxa"/>
            <w:tcBorders>
              <w:top w:val="single" w:sz="6" w:space="0" w:color="000000"/>
              <w:bottom w:val="single" w:sz="6" w:space="0" w:color="000000"/>
            </w:tcBorders>
          </w:tcPr>
          <w:p>
            <w:pPr>
              <w:pStyle w:val="TableParagraph"/>
              <w:spacing w:line="179" w:lineRule="exact" w:before="2"/>
              <w:ind w:left="211" w:right="83"/>
              <w:jc w:val="center"/>
              <w:rPr>
                <w:b/>
                <w:sz w:val="16"/>
              </w:rPr>
            </w:pPr>
            <w:r>
              <w:rPr>
                <w:b/>
                <w:spacing w:val="-5"/>
                <w:w w:val="105"/>
                <w:sz w:val="16"/>
              </w:rPr>
              <w:t>21</w:t>
            </w:r>
          </w:p>
        </w:tc>
        <w:tc>
          <w:tcPr>
            <w:tcW w:w="1190" w:type="dxa"/>
            <w:tcBorders>
              <w:top w:val="single" w:sz="6" w:space="0" w:color="000000"/>
              <w:bottom w:val="single" w:sz="6" w:space="0" w:color="000000"/>
            </w:tcBorders>
          </w:tcPr>
          <w:p>
            <w:pPr>
              <w:pStyle w:val="TableParagraph"/>
              <w:spacing w:line="179" w:lineRule="exact" w:before="2"/>
              <w:ind w:left="115"/>
              <w:rPr>
                <w:sz w:val="16"/>
              </w:rPr>
            </w:pPr>
            <w:r>
              <w:rPr>
                <w:spacing w:val="-10"/>
                <w:w w:val="105"/>
                <w:sz w:val="16"/>
              </w:rPr>
              <w:t>$</w:t>
            </w:r>
          </w:p>
        </w:tc>
        <w:tc>
          <w:tcPr>
            <w:tcW w:w="528" w:type="dxa"/>
            <w:tcBorders>
              <w:top w:val="single" w:sz="6" w:space="0" w:color="000000"/>
              <w:bottom w:val="single" w:sz="6" w:space="0" w:color="000000"/>
            </w:tcBorders>
          </w:tcPr>
          <w:p>
            <w:pPr>
              <w:pStyle w:val="TableParagraph"/>
              <w:spacing w:line="179" w:lineRule="exact" w:before="2"/>
              <w:ind w:right="110"/>
              <w:jc w:val="right"/>
              <w:rPr>
                <w:sz w:val="16"/>
              </w:rPr>
            </w:pPr>
            <w:r>
              <w:rPr>
                <w:spacing w:val="-5"/>
                <w:w w:val="105"/>
                <w:sz w:val="16"/>
              </w:rPr>
              <w:t>17</w:t>
            </w:r>
          </w:p>
        </w:tc>
      </w:tr>
      <w:tr>
        <w:trPr>
          <w:trHeight w:val="202" w:hRule="atLeast"/>
        </w:trPr>
        <w:tc>
          <w:tcPr>
            <w:tcW w:w="5061" w:type="dxa"/>
            <w:tcBorders>
              <w:top w:val="single" w:sz="6" w:space="0" w:color="000000"/>
            </w:tcBorders>
            <w:shd w:val="clear" w:color="auto" w:fill="CCEDFF"/>
          </w:tcPr>
          <w:p>
            <w:pPr>
              <w:pStyle w:val="TableParagraph"/>
              <w:rPr>
                <w:sz w:val="14"/>
              </w:rPr>
            </w:pPr>
          </w:p>
        </w:tc>
        <w:tc>
          <w:tcPr>
            <w:tcW w:w="4212" w:type="dxa"/>
            <w:tcBorders>
              <w:top w:val="single" w:sz="6" w:space="0" w:color="000000"/>
            </w:tcBorders>
            <w:shd w:val="clear" w:color="auto" w:fill="CCEDFF"/>
          </w:tcPr>
          <w:p>
            <w:pPr>
              <w:pStyle w:val="TableParagraph"/>
              <w:rPr>
                <w:sz w:val="14"/>
              </w:rPr>
            </w:pPr>
          </w:p>
        </w:tc>
        <w:tc>
          <w:tcPr>
            <w:tcW w:w="522" w:type="dxa"/>
            <w:tcBorders>
              <w:top w:val="single" w:sz="6" w:space="0" w:color="000000"/>
            </w:tcBorders>
            <w:shd w:val="clear" w:color="auto" w:fill="CCEDFF"/>
          </w:tcPr>
          <w:p>
            <w:pPr>
              <w:pStyle w:val="TableParagraph"/>
              <w:rPr>
                <w:sz w:val="14"/>
              </w:rPr>
            </w:pPr>
          </w:p>
        </w:tc>
        <w:tc>
          <w:tcPr>
            <w:tcW w:w="1190" w:type="dxa"/>
            <w:tcBorders>
              <w:top w:val="single" w:sz="6" w:space="0" w:color="000000"/>
            </w:tcBorders>
            <w:shd w:val="clear" w:color="auto" w:fill="CCEDFF"/>
          </w:tcPr>
          <w:p>
            <w:pPr>
              <w:pStyle w:val="TableParagraph"/>
              <w:rPr>
                <w:sz w:val="14"/>
              </w:rPr>
            </w:pPr>
          </w:p>
        </w:tc>
        <w:tc>
          <w:tcPr>
            <w:tcW w:w="528" w:type="dxa"/>
            <w:tcBorders>
              <w:top w:val="single" w:sz="6" w:space="0" w:color="000000"/>
            </w:tcBorders>
            <w:shd w:val="clear" w:color="auto" w:fill="CCEDFF"/>
          </w:tcPr>
          <w:p>
            <w:pPr>
              <w:pStyle w:val="TableParagraph"/>
              <w:rPr>
                <w:sz w:val="14"/>
              </w:rPr>
            </w:pPr>
          </w:p>
        </w:tc>
      </w:tr>
      <w:tr>
        <w:trPr>
          <w:trHeight w:val="202" w:hRule="atLeast"/>
        </w:trPr>
        <w:tc>
          <w:tcPr>
            <w:tcW w:w="5061" w:type="dxa"/>
            <w:tcBorders>
              <w:bottom w:val="single" w:sz="6" w:space="0" w:color="000000"/>
            </w:tcBorders>
          </w:tcPr>
          <w:p>
            <w:pPr>
              <w:pStyle w:val="TableParagraph"/>
              <w:spacing w:line="179" w:lineRule="exact" w:before="3"/>
              <w:rPr>
                <w:sz w:val="16"/>
              </w:rPr>
            </w:pPr>
            <w:r>
              <w:rPr>
                <w:sz w:val="16"/>
              </w:rPr>
              <w:t>Operating</w:t>
            </w:r>
            <w:r>
              <w:rPr>
                <w:spacing w:val="15"/>
                <w:sz w:val="16"/>
              </w:rPr>
              <w:t> </w:t>
            </w:r>
            <w:r>
              <w:rPr>
                <w:sz w:val="16"/>
              </w:rPr>
              <w:t>lease</w:t>
            </w:r>
            <w:r>
              <w:rPr>
                <w:spacing w:val="15"/>
                <w:sz w:val="16"/>
              </w:rPr>
              <w:t> </w:t>
            </w:r>
            <w:r>
              <w:rPr>
                <w:spacing w:val="-2"/>
                <w:sz w:val="16"/>
              </w:rPr>
              <w:t>payments</w:t>
            </w:r>
          </w:p>
        </w:tc>
        <w:tc>
          <w:tcPr>
            <w:tcW w:w="4212" w:type="dxa"/>
            <w:tcBorders>
              <w:bottom w:val="single" w:sz="6" w:space="0" w:color="000000"/>
            </w:tcBorders>
          </w:tcPr>
          <w:p>
            <w:pPr>
              <w:pStyle w:val="TableParagraph"/>
              <w:spacing w:line="179" w:lineRule="exact" w:before="3"/>
              <w:ind w:left="3129"/>
              <w:rPr>
                <w:b/>
                <w:sz w:val="16"/>
              </w:rPr>
            </w:pPr>
            <w:r>
              <w:rPr>
                <w:b/>
                <w:spacing w:val="-10"/>
                <w:w w:val="105"/>
                <w:sz w:val="16"/>
              </w:rPr>
              <w:t>$</w:t>
            </w:r>
          </w:p>
        </w:tc>
        <w:tc>
          <w:tcPr>
            <w:tcW w:w="522" w:type="dxa"/>
            <w:tcBorders>
              <w:bottom w:val="single" w:sz="6" w:space="0" w:color="000000"/>
            </w:tcBorders>
          </w:tcPr>
          <w:p>
            <w:pPr>
              <w:pStyle w:val="TableParagraph"/>
              <w:spacing w:line="179" w:lineRule="exact" w:before="3"/>
              <w:ind w:left="45"/>
              <w:jc w:val="center"/>
              <w:rPr>
                <w:b/>
                <w:sz w:val="16"/>
              </w:rPr>
            </w:pPr>
            <w:r>
              <w:rPr>
                <w:b/>
                <w:spacing w:val="-5"/>
                <w:w w:val="105"/>
                <w:sz w:val="16"/>
              </w:rPr>
              <w:t>134</w:t>
            </w:r>
          </w:p>
        </w:tc>
        <w:tc>
          <w:tcPr>
            <w:tcW w:w="1190" w:type="dxa"/>
            <w:tcBorders>
              <w:bottom w:val="single" w:sz="6" w:space="0" w:color="000000"/>
            </w:tcBorders>
          </w:tcPr>
          <w:p>
            <w:pPr>
              <w:pStyle w:val="TableParagraph"/>
              <w:spacing w:line="179" w:lineRule="exact" w:before="3"/>
              <w:ind w:left="115"/>
              <w:rPr>
                <w:sz w:val="16"/>
              </w:rPr>
            </w:pPr>
            <w:r>
              <w:rPr>
                <w:spacing w:val="-10"/>
                <w:w w:val="105"/>
                <w:sz w:val="16"/>
              </w:rPr>
              <w:t>$</w:t>
            </w:r>
          </w:p>
        </w:tc>
        <w:tc>
          <w:tcPr>
            <w:tcW w:w="528" w:type="dxa"/>
            <w:tcBorders>
              <w:bottom w:val="single" w:sz="6" w:space="0" w:color="000000"/>
            </w:tcBorders>
          </w:tcPr>
          <w:p>
            <w:pPr>
              <w:pStyle w:val="TableParagraph"/>
              <w:spacing w:line="179" w:lineRule="exact" w:before="3"/>
              <w:ind w:right="110"/>
              <w:jc w:val="right"/>
              <w:rPr>
                <w:sz w:val="16"/>
              </w:rPr>
            </w:pPr>
            <w:r>
              <w:rPr>
                <w:spacing w:val="-5"/>
                <w:w w:val="105"/>
                <w:sz w:val="16"/>
              </w:rPr>
              <w:t>121</w:t>
            </w:r>
          </w:p>
        </w:tc>
      </w:tr>
      <w:tr>
        <w:trPr>
          <w:trHeight w:val="199" w:hRule="atLeast"/>
        </w:trPr>
        <w:tc>
          <w:tcPr>
            <w:tcW w:w="5061"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Total</w:t>
            </w:r>
            <w:r>
              <w:rPr>
                <w:spacing w:val="-8"/>
                <w:w w:val="105"/>
                <w:sz w:val="16"/>
              </w:rPr>
              <w:t> </w:t>
            </w:r>
            <w:r>
              <w:rPr>
                <w:w w:val="105"/>
                <w:sz w:val="16"/>
              </w:rPr>
              <w:t>lease</w:t>
            </w:r>
            <w:r>
              <w:rPr>
                <w:spacing w:val="-8"/>
                <w:w w:val="105"/>
                <w:sz w:val="16"/>
              </w:rPr>
              <w:t> </w:t>
            </w:r>
            <w:r>
              <w:rPr>
                <w:spacing w:val="-2"/>
                <w:w w:val="105"/>
                <w:sz w:val="16"/>
              </w:rPr>
              <w:t>payments</w:t>
            </w:r>
          </w:p>
        </w:tc>
        <w:tc>
          <w:tcPr>
            <w:tcW w:w="4212" w:type="dxa"/>
            <w:tcBorders>
              <w:top w:val="single" w:sz="6" w:space="0" w:color="000000"/>
              <w:bottom w:val="double" w:sz="6" w:space="0" w:color="000000"/>
            </w:tcBorders>
            <w:shd w:val="clear" w:color="auto" w:fill="CCEDFF"/>
          </w:tcPr>
          <w:p>
            <w:pPr>
              <w:pStyle w:val="TableParagraph"/>
              <w:spacing w:line="177" w:lineRule="exact" w:before="2"/>
              <w:ind w:left="3129"/>
              <w:rPr>
                <w:b/>
                <w:sz w:val="16"/>
              </w:rPr>
            </w:pPr>
            <w:r>
              <w:rPr>
                <w:b/>
                <w:spacing w:val="-10"/>
                <w:w w:val="105"/>
                <w:sz w:val="16"/>
              </w:rPr>
              <w:t>$</w:t>
            </w:r>
          </w:p>
        </w:tc>
        <w:tc>
          <w:tcPr>
            <w:tcW w:w="522" w:type="dxa"/>
            <w:tcBorders>
              <w:top w:val="single" w:sz="6" w:space="0" w:color="000000"/>
              <w:bottom w:val="double" w:sz="6" w:space="0" w:color="000000"/>
            </w:tcBorders>
            <w:shd w:val="clear" w:color="auto" w:fill="CCEDFF"/>
          </w:tcPr>
          <w:p>
            <w:pPr>
              <w:pStyle w:val="TableParagraph"/>
              <w:spacing w:line="177" w:lineRule="exact" w:before="2"/>
              <w:ind w:left="45"/>
              <w:jc w:val="center"/>
              <w:rPr>
                <w:b/>
                <w:sz w:val="16"/>
              </w:rPr>
            </w:pPr>
            <w:r>
              <w:rPr>
                <w:b/>
                <w:spacing w:val="-5"/>
                <w:w w:val="105"/>
                <w:sz w:val="16"/>
              </w:rPr>
              <w:t>155</w:t>
            </w:r>
          </w:p>
        </w:tc>
        <w:tc>
          <w:tcPr>
            <w:tcW w:w="1190" w:type="dxa"/>
            <w:tcBorders>
              <w:top w:val="single" w:sz="6" w:space="0" w:color="000000"/>
              <w:bottom w:val="double" w:sz="6" w:space="0" w:color="000000"/>
            </w:tcBorders>
            <w:shd w:val="clear" w:color="auto" w:fill="CCEDFF"/>
          </w:tcPr>
          <w:p>
            <w:pPr>
              <w:pStyle w:val="TableParagraph"/>
              <w:spacing w:line="177" w:lineRule="exact" w:before="2"/>
              <w:ind w:left="115"/>
              <w:rPr>
                <w:sz w:val="16"/>
              </w:rPr>
            </w:pPr>
            <w:r>
              <w:rPr>
                <w:spacing w:val="-10"/>
                <w:w w:val="105"/>
                <w:sz w:val="16"/>
              </w:rPr>
              <w:t>$</w:t>
            </w:r>
          </w:p>
        </w:tc>
        <w:tc>
          <w:tcPr>
            <w:tcW w:w="528" w:type="dxa"/>
            <w:tcBorders>
              <w:top w:val="single" w:sz="6" w:space="0" w:color="000000"/>
              <w:bottom w:val="double" w:sz="6" w:space="0" w:color="000000"/>
            </w:tcBorders>
            <w:shd w:val="clear" w:color="auto" w:fill="CCEDFF"/>
          </w:tcPr>
          <w:p>
            <w:pPr>
              <w:pStyle w:val="TableParagraph"/>
              <w:spacing w:line="177" w:lineRule="exact" w:before="2"/>
              <w:ind w:right="110"/>
              <w:jc w:val="right"/>
              <w:rPr>
                <w:sz w:val="16"/>
              </w:rPr>
            </w:pPr>
            <w:r>
              <w:rPr>
                <w:spacing w:val="-5"/>
                <w:w w:val="105"/>
                <w:sz w:val="16"/>
              </w:rPr>
              <w:t>138</w:t>
            </w:r>
          </w:p>
        </w:tc>
      </w:tr>
    </w:tbl>
    <w:p>
      <w:pPr>
        <w:pStyle w:val="BodyText"/>
        <w:spacing w:before="55"/>
        <w:rPr>
          <w:sz w:val="14"/>
        </w:rPr>
      </w:pPr>
    </w:p>
    <w:p>
      <w:pPr>
        <w:spacing w:line="228" w:lineRule="auto" w:before="0"/>
        <w:ind w:left="462" w:right="0" w:hanging="306"/>
        <w:jc w:val="left"/>
        <w:rPr>
          <w:sz w:val="14"/>
        </w:rPr>
      </w:pPr>
      <w:r>
        <w:rPr>
          <w:sz w:val="14"/>
        </w:rPr>
        <w:t>(1)</w:t>
      </w:r>
      <w:r>
        <w:rPr>
          <w:spacing w:val="80"/>
          <w:sz w:val="14"/>
        </w:rPr>
        <w:t> </w:t>
      </w:r>
      <w:r>
        <w:rPr>
          <w:sz w:val="14"/>
        </w:rPr>
        <w:t>Principle</w:t>
      </w:r>
      <w:r>
        <w:rPr>
          <w:spacing w:val="-1"/>
          <w:sz w:val="14"/>
        </w:rPr>
        <w:t> </w:t>
      </w:r>
      <w:r>
        <w:rPr>
          <w:sz w:val="14"/>
        </w:rPr>
        <w:t>payments</w:t>
      </w:r>
      <w:r>
        <w:rPr>
          <w:spacing w:val="-1"/>
          <w:sz w:val="14"/>
        </w:rPr>
        <w:t> </w:t>
      </w:r>
      <w:r>
        <w:rPr>
          <w:sz w:val="14"/>
        </w:rPr>
        <w:t>for</w:t>
      </w:r>
      <w:r>
        <w:rPr>
          <w:spacing w:val="-1"/>
          <w:sz w:val="14"/>
        </w:rPr>
        <w:t> </w:t>
      </w:r>
      <w:r>
        <w:rPr>
          <w:sz w:val="14"/>
        </w:rPr>
        <w:t>finance</w:t>
      </w:r>
      <w:r>
        <w:rPr>
          <w:spacing w:val="-1"/>
          <w:sz w:val="14"/>
        </w:rPr>
        <w:t> </w:t>
      </w:r>
      <w:r>
        <w:rPr>
          <w:sz w:val="14"/>
        </w:rPr>
        <w:t>leases</w:t>
      </w:r>
      <w:r>
        <w:rPr>
          <w:spacing w:val="-1"/>
          <w:sz w:val="14"/>
        </w:rPr>
        <w:t> </w:t>
      </w:r>
      <w:r>
        <w:rPr>
          <w:sz w:val="14"/>
        </w:rPr>
        <w:t>have</w:t>
      </w:r>
      <w:r>
        <w:rPr>
          <w:spacing w:val="-1"/>
          <w:sz w:val="14"/>
        </w:rPr>
        <w:t> </w:t>
      </w:r>
      <w:r>
        <w:rPr>
          <w:sz w:val="14"/>
        </w:rPr>
        <w:t>been</w:t>
      </w:r>
      <w:r>
        <w:rPr>
          <w:spacing w:val="-1"/>
          <w:sz w:val="14"/>
        </w:rPr>
        <w:t> </w:t>
      </w:r>
      <w:r>
        <w:rPr>
          <w:sz w:val="14"/>
        </w:rPr>
        <w:t>classified</w:t>
      </w:r>
      <w:r>
        <w:rPr>
          <w:spacing w:val="-1"/>
          <w:sz w:val="14"/>
        </w:rPr>
        <w:t> </w:t>
      </w:r>
      <w:r>
        <w:rPr>
          <w:sz w:val="14"/>
        </w:rPr>
        <w:t>as</w:t>
      </w:r>
      <w:r>
        <w:rPr>
          <w:spacing w:val="-1"/>
          <w:sz w:val="14"/>
        </w:rPr>
        <w:t> </w:t>
      </w:r>
      <w:r>
        <w:rPr>
          <w:sz w:val="14"/>
        </w:rPr>
        <w:t>an</w:t>
      </w:r>
      <w:r>
        <w:rPr>
          <w:spacing w:val="-1"/>
          <w:sz w:val="14"/>
        </w:rPr>
        <w:t> </w:t>
      </w:r>
      <w:r>
        <w:rPr>
          <w:sz w:val="14"/>
        </w:rPr>
        <w:t>investing</w:t>
      </w:r>
      <w:r>
        <w:rPr>
          <w:spacing w:val="-1"/>
          <w:sz w:val="14"/>
        </w:rPr>
        <w:t> </w:t>
      </w:r>
      <w:r>
        <w:rPr>
          <w:sz w:val="14"/>
        </w:rPr>
        <w:t>outflow,</w:t>
      </w:r>
      <w:r>
        <w:rPr>
          <w:spacing w:val="-1"/>
          <w:sz w:val="14"/>
        </w:rPr>
        <w:t> </w:t>
      </w:r>
      <w:r>
        <w:rPr>
          <w:sz w:val="14"/>
        </w:rPr>
        <w:t>and</w:t>
      </w:r>
      <w:r>
        <w:rPr>
          <w:spacing w:val="-1"/>
          <w:sz w:val="14"/>
        </w:rPr>
        <w:t> </w:t>
      </w:r>
      <w:r>
        <w:rPr>
          <w:sz w:val="14"/>
        </w:rPr>
        <w:t>cash</w:t>
      </w:r>
      <w:r>
        <w:rPr>
          <w:spacing w:val="-1"/>
          <w:sz w:val="14"/>
        </w:rPr>
        <w:t> </w:t>
      </w:r>
      <w:r>
        <w:rPr>
          <w:sz w:val="14"/>
        </w:rPr>
        <w:t>payments</w:t>
      </w:r>
      <w:r>
        <w:rPr>
          <w:spacing w:val="-1"/>
          <w:sz w:val="14"/>
        </w:rPr>
        <w:t> </w:t>
      </w:r>
      <w:r>
        <w:rPr>
          <w:sz w:val="14"/>
        </w:rPr>
        <w:t>for</w:t>
      </w:r>
      <w:r>
        <w:rPr>
          <w:spacing w:val="-1"/>
          <w:sz w:val="14"/>
        </w:rPr>
        <w:t> </w:t>
      </w:r>
      <w:r>
        <w:rPr>
          <w:sz w:val="14"/>
        </w:rPr>
        <w:t>operating</w:t>
      </w:r>
      <w:r>
        <w:rPr>
          <w:spacing w:val="-1"/>
          <w:sz w:val="14"/>
        </w:rPr>
        <w:t> </w:t>
      </w:r>
      <w:r>
        <w:rPr>
          <w:sz w:val="14"/>
        </w:rPr>
        <w:t>leases,</w:t>
      </w:r>
      <w:r>
        <w:rPr>
          <w:spacing w:val="-1"/>
          <w:sz w:val="14"/>
        </w:rPr>
        <w:t> </w:t>
      </w:r>
      <w:r>
        <w:rPr>
          <w:sz w:val="14"/>
        </w:rPr>
        <w:t>along</w:t>
      </w:r>
      <w:r>
        <w:rPr>
          <w:spacing w:val="-1"/>
          <w:sz w:val="14"/>
        </w:rPr>
        <w:t> </w:t>
      </w:r>
      <w:r>
        <w:rPr>
          <w:sz w:val="14"/>
        </w:rPr>
        <w:t>with interest</w:t>
      </w:r>
      <w:r>
        <w:rPr>
          <w:spacing w:val="-1"/>
          <w:sz w:val="14"/>
        </w:rPr>
        <w:t> </w:t>
      </w:r>
      <w:r>
        <w:rPr>
          <w:sz w:val="14"/>
        </w:rPr>
        <w:t>payments</w:t>
      </w:r>
      <w:r>
        <w:rPr>
          <w:spacing w:val="-1"/>
          <w:sz w:val="14"/>
        </w:rPr>
        <w:t> </w:t>
      </w:r>
      <w:r>
        <w:rPr>
          <w:sz w:val="14"/>
        </w:rPr>
        <w:t>for</w:t>
      </w:r>
      <w:r>
        <w:rPr>
          <w:spacing w:val="-1"/>
          <w:sz w:val="14"/>
        </w:rPr>
        <w:t> </w:t>
      </w:r>
      <w:r>
        <w:rPr>
          <w:sz w:val="14"/>
        </w:rPr>
        <w:t>finance</w:t>
      </w:r>
      <w:r>
        <w:rPr>
          <w:spacing w:val="-1"/>
          <w:sz w:val="14"/>
        </w:rPr>
        <w:t> </w:t>
      </w:r>
      <w:r>
        <w:rPr>
          <w:sz w:val="14"/>
        </w:rPr>
        <w:t>leases,</w:t>
      </w:r>
      <w:r>
        <w:rPr>
          <w:spacing w:val="-1"/>
          <w:sz w:val="14"/>
        </w:rPr>
        <w:t> </w:t>
      </w:r>
      <w:r>
        <w:rPr>
          <w:sz w:val="14"/>
        </w:rPr>
        <w:t>have</w:t>
      </w:r>
      <w:r>
        <w:rPr>
          <w:spacing w:val="-1"/>
          <w:sz w:val="14"/>
        </w:rPr>
        <w:t> </w:t>
      </w:r>
      <w:r>
        <w:rPr>
          <w:sz w:val="14"/>
        </w:rPr>
        <w:t>been</w:t>
      </w:r>
      <w:r>
        <w:rPr>
          <w:spacing w:val="-1"/>
          <w:sz w:val="14"/>
        </w:rPr>
        <w:t> </w:t>
      </w:r>
      <w:r>
        <w:rPr>
          <w:sz w:val="14"/>
        </w:rPr>
        <w:t>classified</w:t>
      </w:r>
      <w:r>
        <w:rPr>
          <w:spacing w:val="-1"/>
          <w:sz w:val="14"/>
        </w:rPr>
        <w:t> </w:t>
      </w:r>
      <w:r>
        <w:rPr>
          <w:sz w:val="14"/>
        </w:rPr>
        <w:t>as</w:t>
      </w:r>
      <w:r>
        <w:rPr>
          <w:spacing w:val="-1"/>
          <w:sz w:val="14"/>
        </w:rPr>
        <w:t> </w:t>
      </w:r>
      <w:r>
        <w:rPr>
          <w:sz w:val="14"/>
        </w:rPr>
        <w:t>an</w:t>
      </w:r>
      <w:r>
        <w:rPr>
          <w:spacing w:val="40"/>
          <w:sz w:val="14"/>
        </w:rPr>
        <w:t> </w:t>
      </w:r>
      <w:r>
        <w:rPr>
          <w:sz w:val="14"/>
        </w:rPr>
        <w:t>operating outflow on the consolidated statements of cash flows.</w:t>
      </w:r>
    </w:p>
    <w:p>
      <w:pPr>
        <w:pStyle w:val="BodyText"/>
        <w:spacing w:before="20"/>
      </w:pPr>
    </w:p>
    <w:p>
      <w:pPr>
        <w:pStyle w:val="BodyText"/>
        <w:ind w:left="156"/>
      </w:pPr>
      <w:r>
        <w:rPr>
          <w:w w:val="105"/>
        </w:rPr>
        <w:t>Supplemental</w:t>
      </w:r>
      <w:r>
        <w:rPr>
          <w:spacing w:val="-10"/>
          <w:w w:val="105"/>
        </w:rPr>
        <w:t> </w:t>
      </w:r>
      <w:r>
        <w:rPr>
          <w:w w:val="105"/>
        </w:rPr>
        <w:t>balance</w:t>
      </w:r>
      <w:r>
        <w:rPr>
          <w:spacing w:val="-9"/>
          <w:w w:val="105"/>
        </w:rPr>
        <w:t> </w:t>
      </w:r>
      <w:r>
        <w:rPr>
          <w:w w:val="105"/>
        </w:rPr>
        <w:t>sheet</w:t>
      </w:r>
      <w:r>
        <w:rPr>
          <w:spacing w:val="-10"/>
          <w:w w:val="105"/>
        </w:rPr>
        <w:t> </w:t>
      </w:r>
      <w:r>
        <w:rPr>
          <w:w w:val="105"/>
        </w:rPr>
        <w:t>information</w:t>
      </w:r>
      <w:r>
        <w:rPr>
          <w:spacing w:val="-9"/>
          <w:w w:val="105"/>
        </w:rPr>
        <w:t> </w:t>
      </w:r>
      <w:r>
        <w:rPr>
          <w:w w:val="105"/>
        </w:rPr>
        <w:t>related</w:t>
      </w:r>
      <w:r>
        <w:rPr>
          <w:spacing w:val="-9"/>
          <w:w w:val="105"/>
        </w:rPr>
        <w:t> </w:t>
      </w:r>
      <w:r>
        <w:rPr>
          <w:w w:val="105"/>
        </w:rPr>
        <w:t>to</w:t>
      </w:r>
      <w:r>
        <w:rPr>
          <w:spacing w:val="-10"/>
          <w:w w:val="105"/>
        </w:rPr>
        <w:t> </w:t>
      </w:r>
      <w:r>
        <w:rPr>
          <w:w w:val="105"/>
        </w:rPr>
        <w:t>leases</w:t>
      </w:r>
      <w:r>
        <w:rPr>
          <w:spacing w:val="-9"/>
          <w:w w:val="105"/>
        </w:rPr>
        <w:t> </w:t>
      </w:r>
      <w:r>
        <w:rPr>
          <w:w w:val="105"/>
        </w:rPr>
        <w:t>was</w:t>
      </w:r>
      <w:r>
        <w:rPr>
          <w:spacing w:val="-9"/>
          <w:w w:val="105"/>
        </w:rPr>
        <w:t> </w:t>
      </w:r>
      <w:r>
        <w:rPr>
          <w:w w:val="105"/>
        </w:rPr>
        <w:t>as</w:t>
      </w:r>
      <w:r>
        <w:rPr>
          <w:spacing w:val="-10"/>
          <w:w w:val="105"/>
        </w:rPr>
        <w:t> </w:t>
      </w:r>
      <w:r>
        <w:rPr>
          <w:w w:val="105"/>
        </w:rPr>
        <w:t>follows</w:t>
      </w:r>
      <w:r>
        <w:rPr>
          <w:spacing w:val="-9"/>
          <w:w w:val="105"/>
        </w:rPr>
        <w:t> </w:t>
      </w:r>
      <w:r>
        <w:rPr>
          <w:w w:val="105"/>
        </w:rPr>
        <w:t>(in</w:t>
      </w:r>
      <w:r>
        <w:rPr>
          <w:spacing w:val="-9"/>
          <w:w w:val="105"/>
        </w:rPr>
        <w:t> </w:t>
      </w:r>
      <w:r>
        <w:rPr>
          <w:w w:val="105"/>
        </w:rPr>
        <w:t>millions,</w:t>
      </w:r>
      <w:r>
        <w:rPr>
          <w:spacing w:val="-10"/>
          <w:w w:val="105"/>
        </w:rPr>
        <w:t> </w:t>
      </w:r>
      <w:r>
        <w:rPr>
          <w:w w:val="105"/>
        </w:rPr>
        <w:t>except</w:t>
      </w:r>
      <w:r>
        <w:rPr>
          <w:spacing w:val="-9"/>
          <w:w w:val="105"/>
        </w:rPr>
        <w:t> </w:t>
      </w:r>
      <w:r>
        <w:rPr>
          <w:w w:val="105"/>
        </w:rPr>
        <w:t>lease</w:t>
      </w:r>
      <w:r>
        <w:rPr>
          <w:spacing w:val="-9"/>
          <w:w w:val="105"/>
        </w:rPr>
        <w:t> </w:t>
      </w:r>
      <w:r>
        <w:rPr>
          <w:w w:val="105"/>
        </w:rPr>
        <w:t>term</w:t>
      </w:r>
      <w:r>
        <w:rPr>
          <w:spacing w:val="-10"/>
          <w:w w:val="105"/>
        </w:rPr>
        <w:t> </w:t>
      </w:r>
      <w:r>
        <w:rPr>
          <w:w w:val="105"/>
        </w:rPr>
        <w:t>and</w:t>
      </w:r>
      <w:r>
        <w:rPr>
          <w:spacing w:val="-9"/>
          <w:w w:val="105"/>
        </w:rPr>
        <w:t> </w:t>
      </w:r>
      <w:r>
        <w:rPr>
          <w:w w:val="105"/>
        </w:rPr>
        <w:t>discount</w:t>
      </w:r>
      <w:r>
        <w:rPr>
          <w:spacing w:val="-10"/>
          <w:w w:val="105"/>
        </w:rPr>
        <w:t> </w:t>
      </w:r>
      <w:r>
        <w:rPr>
          <w:spacing w:val="-2"/>
          <w:w w:val="105"/>
        </w:rPr>
        <w:t>rate):</w:t>
      </w:r>
    </w:p>
    <w:p>
      <w:pPr>
        <w:pStyle w:val="BodyText"/>
        <w:spacing w:before="4"/>
        <w:rPr>
          <w:sz w:val="9"/>
        </w:rPr>
      </w:pPr>
      <w:r>
        <w:rPr/>
        <mc:AlternateContent>
          <mc:Choice Requires="wps">
            <w:drawing>
              <wp:anchor distT="0" distB="0" distL="0" distR="0" allowOverlap="1" layoutInCell="1" locked="0" behindDoc="1" simplePos="0" relativeHeight="487683072">
                <wp:simplePos x="0" y="0"/>
                <wp:positionH relativeFrom="page">
                  <wp:posOffset>226479</wp:posOffset>
                </wp:positionH>
                <wp:positionV relativeFrom="paragraph">
                  <wp:posOffset>83656</wp:posOffset>
                </wp:positionV>
                <wp:extent cx="7312659" cy="16510"/>
                <wp:effectExtent l="0" t="0" r="0" b="0"/>
                <wp:wrapTopAndBottom/>
                <wp:docPr id="381" name="Graphic 381"/>
                <wp:cNvGraphicFramePr>
                  <a:graphicFrameLocks/>
                </wp:cNvGraphicFramePr>
                <a:graphic>
                  <a:graphicData uri="http://schemas.microsoft.com/office/word/2010/wordprocessingShape">
                    <wps:wsp>
                      <wps:cNvPr id="381" name="Graphic 381"/>
                      <wps:cNvSpPr/>
                      <wps:spPr>
                        <a:xfrm>
                          <a:off x="0" y="0"/>
                          <a:ext cx="7312659" cy="16510"/>
                        </a:xfrm>
                        <a:custGeom>
                          <a:avLst/>
                          <a:gdLst/>
                          <a:ahLst/>
                          <a:cxnLst/>
                          <a:rect l="l" t="t" r="r" b="b"/>
                          <a:pathLst>
                            <a:path w="7312659" h="16510">
                              <a:moveTo>
                                <a:pt x="7312342" y="0"/>
                              </a:moveTo>
                              <a:lnTo>
                                <a:pt x="7239546" y="0"/>
                              </a:lnTo>
                              <a:lnTo>
                                <a:pt x="5201145" y="0"/>
                              </a:lnTo>
                              <a:lnTo>
                                <a:pt x="5120259" y="0"/>
                              </a:lnTo>
                              <a:lnTo>
                                <a:pt x="0" y="0"/>
                              </a:lnTo>
                              <a:lnTo>
                                <a:pt x="0" y="16179"/>
                              </a:lnTo>
                              <a:lnTo>
                                <a:pt x="5120259" y="16179"/>
                              </a:lnTo>
                              <a:lnTo>
                                <a:pt x="520114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6.587127pt;width:575.8pt;height:1.3pt;mso-position-horizontal-relative:page;mso-position-vertical-relative:paragraph;z-index:-15633408;mso-wrap-distance-left:0;mso-wrap-distance-right:0" id="docshape380" coordorigin="357,132" coordsize="11516,26" path="m11872,132l11758,132,8547,132,8420,132,357,132,357,157,8420,157,8547,157,11758,157,11872,157,11872,132xe" filled="true" fillcolor="#000000" stroked="false">
                <v:path arrowok="t"/>
                <v:fill type="solid"/>
                <w10:wrap type="topAndBottom"/>
              </v:shape>
            </w:pict>
          </mc:Fallback>
        </mc:AlternateContent>
      </w:r>
    </w:p>
    <w:p>
      <w:pPr>
        <w:pStyle w:val="BodyText"/>
        <w:spacing w:before="3" w:after="23"/>
        <w:ind w:right="1361"/>
        <w:jc w:val="right"/>
      </w:pPr>
      <w:r>
        <w:rPr/>
        <w:t>December</w:t>
      </w:r>
      <w:r>
        <w:rPr>
          <w:spacing w:val="20"/>
        </w:rPr>
        <w:t> </w:t>
      </w:r>
      <w:r>
        <w:rPr>
          <w:spacing w:val="-5"/>
        </w:rPr>
        <w:t>31,</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7"/>
        <w:gridCol w:w="3965"/>
        <w:gridCol w:w="1077"/>
        <w:gridCol w:w="557"/>
        <w:gridCol w:w="1164"/>
        <w:gridCol w:w="529"/>
      </w:tblGrid>
      <w:tr>
        <w:trPr>
          <w:trHeight w:val="201" w:hRule="atLeast"/>
        </w:trPr>
        <w:tc>
          <w:tcPr>
            <w:tcW w:w="8192" w:type="dxa"/>
            <w:gridSpan w:val="2"/>
            <w:tcBorders>
              <w:bottom w:val="single" w:sz="6" w:space="0" w:color="000000"/>
            </w:tcBorders>
          </w:tcPr>
          <w:p>
            <w:pPr>
              <w:pStyle w:val="TableParagraph"/>
              <w:rPr>
                <w:sz w:val="14"/>
              </w:rPr>
            </w:pPr>
          </w:p>
        </w:tc>
        <w:tc>
          <w:tcPr>
            <w:tcW w:w="1077" w:type="dxa"/>
            <w:tcBorders>
              <w:top w:val="single" w:sz="6" w:space="0" w:color="000000"/>
              <w:bottom w:val="single" w:sz="6" w:space="0" w:color="000000"/>
            </w:tcBorders>
          </w:tcPr>
          <w:p>
            <w:pPr>
              <w:pStyle w:val="TableParagraph"/>
              <w:spacing w:line="179" w:lineRule="exact" w:before="2"/>
              <w:ind w:left="578"/>
              <w:rPr>
                <w:b/>
                <w:sz w:val="16"/>
              </w:rPr>
            </w:pPr>
            <w:r>
              <w:rPr>
                <w:b/>
                <w:spacing w:val="-4"/>
                <w:w w:val="105"/>
                <w:sz w:val="16"/>
              </w:rPr>
              <w:t>2021</w:t>
            </w:r>
          </w:p>
        </w:tc>
        <w:tc>
          <w:tcPr>
            <w:tcW w:w="557" w:type="dxa"/>
            <w:tcBorders>
              <w:top w:val="single" w:sz="6" w:space="0" w:color="000000"/>
              <w:bottom w:val="single" w:sz="6" w:space="0" w:color="000000"/>
            </w:tcBorders>
          </w:tcPr>
          <w:p>
            <w:pPr>
              <w:pStyle w:val="TableParagraph"/>
              <w:rPr>
                <w:sz w:val="14"/>
              </w:rPr>
            </w:pPr>
          </w:p>
        </w:tc>
        <w:tc>
          <w:tcPr>
            <w:tcW w:w="1164" w:type="dxa"/>
            <w:tcBorders>
              <w:top w:val="single" w:sz="6" w:space="0" w:color="000000"/>
              <w:bottom w:val="single" w:sz="6" w:space="0" w:color="000000"/>
            </w:tcBorders>
          </w:tcPr>
          <w:p>
            <w:pPr>
              <w:pStyle w:val="TableParagraph"/>
              <w:spacing w:line="179" w:lineRule="exact" w:before="2"/>
              <w:ind w:left="664"/>
              <w:rPr>
                <w:sz w:val="16"/>
              </w:rPr>
            </w:pPr>
            <w:r>
              <w:rPr>
                <w:spacing w:val="-4"/>
                <w:w w:val="105"/>
                <w:sz w:val="16"/>
              </w:rPr>
              <w:t>2020</w:t>
            </w:r>
          </w:p>
        </w:tc>
        <w:tc>
          <w:tcPr>
            <w:tcW w:w="529" w:type="dxa"/>
            <w:tcBorders>
              <w:top w:val="single" w:sz="6" w:space="0" w:color="000000"/>
              <w:bottom w:val="single" w:sz="6" w:space="0" w:color="000000"/>
            </w:tcBorders>
          </w:tcPr>
          <w:p>
            <w:pPr>
              <w:pStyle w:val="TableParagraph"/>
              <w:rPr>
                <w:sz w:val="14"/>
              </w:rPr>
            </w:pPr>
          </w:p>
        </w:tc>
      </w:tr>
      <w:tr>
        <w:trPr>
          <w:trHeight w:val="202" w:hRule="atLeast"/>
        </w:trPr>
        <w:tc>
          <w:tcPr>
            <w:tcW w:w="4227" w:type="dxa"/>
            <w:tcBorders>
              <w:top w:val="single" w:sz="6" w:space="0" w:color="000000"/>
            </w:tcBorders>
            <w:shd w:val="clear" w:color="auto" w:fill="CCEDFF"/>
          </w:tcPr>
          <w:p>
            <w:pPr>
              <w:pStyle w:val="TableParagraph"/>
              <w:spacing w:line="180" w:lineRule="exact" w:before="2"/>
              <w:rPr>
                <w:b/>
                <w:sz w:val="16"/>
              </w:rPr>
            </w:pPr>
            <w:r>
              <w:rPr>
                <w:b/>
                <w:sz w:val="16"/>
              </w:rPr>
              <w:t>Operating</w:t>
            </w:r>
            <w:r>
              <w:rPr>
                <w:b/>
                <w:spacing w:val="22"/>
                <w:sz w:val="16"/>
              </w:rPr>
              <w:t> </w:t>
            </w:r>
            <w:r>
              <w:rPr>
                <w:b/>
                <w:spacing w:val="-2"/>
                <w:sz w:val="16"/>
              </w:rPr>
              <w:t>Leases:</w:t>
            </w:r>
          </w:p>
        </w:tc>
        <w:tc>
          <w:tcPr>
            <w:tcW w:w="3965" w:type="dxa"/>
            <w:tcBorders>
              <w:top w:val="single" w:sz="6" w:space="0" w:color="000000"/>
            </w:tcBorders>
            <w:shd w:val="clear" w:color="auto" w:fill="CCEDFF"/>
          </w:tcPr>
          <w:p>
            <w:pPr>
              <w:pStyle w:val="TableParagraph"/>
              <w:rPr>
                <w:sz w:val="14"/>
              </w:rPr>
            </w:pPr>
          </w:p>
        </w:tc>
        <w:tc>
          <w:tcPr>
            <w:tcW w:w="1077" w:type="dxa"/>
            <w:tcBorders>
              <w:top w:val="single" w:sz="6" w:space="0" w:color="000000"/>
            </w:tcBorders>
            <w:shd w:val="clear" w:color="auto" w:fill="CCEDFF"/>
          </w:tcPr>
          <w:p>
            <w:pPr>
              <w:pStyle w:val="TableParagraph"/>
              <w:rPr>
                <w:sz w:val="14"/>
              </w:rPr>
            </w:pPr>
          </w:p>
        </w:tc>
        <w:tc>
          <w:tcPr>
            <w:tcW w:w="557" w:type="dxa"/>
            <w:tcBorders>
              <w:top w:val="single" w:sz="6" w:space="0" w:color="000000"/>
            </w:tcBorders>
            <w:shd w:val="clear" w:color="auto" w:fill="CCEDFF"/>
          </w:tcPr>
          <w:p>
            <w:pPr>
              <w:pStyle w:val="TableParagraph"/>
              <w:rPr>
                <w:sz w:val="14"/>
              </w:rPr>
            </w:pPr>
          </w:p>
        </w:tc>
        <w:tc>
          <w:tcPr>
            <w:tcW w:w="1164" w:type="dxa"/>
            <w:tcBorders>
              <w:top w:val="single" w:sz="6" w:space="0" w:color="000000"/>
            </w:tcBorders>
            <w:shd w:val="clear" w:color="auto" w:fill="CCEDFF"/>
          </w:tcPr>
          <w:p>
            <w:pPr>
              <w:pStyle w:val="TableParagraph"/>
              <w:rPr>
                <w:sz w:val="14"/>
              </w:rPr>
            </w:pPr>
          </w:p>
        </w:tc>
        <w:tc>
          <w:tcPr>
            <w:tcW w:w="529" w:type="dxa"/>
            <w:tcBorders>
              <w:top w:val="single" w:sz="6" w:space="0" w:color="000000"/>
            </w:tcBorders>
            <w:shd w:val="clear" w:color="auto" w:fill="CCEDFF"/>
          </w:tcPr>
          <w:p>
            <w:pPr>
              <w:pStyle w:val="TableParagraph"/>
              <w:rPr>
                <w:sz w:val="14"/>
              </w:rPr>
            </w:pPr>
          </w:p>
        </w:tc>
      </w:tr>
      <w:tr>
        <w:trPr>
          <w:trHeight w:val="200" w:hRule="atLeast"/>
        </w:trPr>
        <w:tc>
          <w:tcPr>
            <w:tcW w:w="4227" w:type="dxa"/>
            <w:tcBorders>
              <w:bottom w:val="double" w:sz="6" w:space="0" w:color="000000"/>
            </w:tcBorders>
          </w:tcPr>
          <w:p>
            <w:pPr>
              <w:pStyle w:val="TableParagraph"/>
              <w:spacing w:line="180" w:lineRule="exact"/>
              <w:rPr>
                <w:sz w:val="14"/>
              </w:rPr>
            </w:pPr>
            <w:r>
              <w:rPr>
                <w:w w:val="105"/>
                <w:sz w:val="16"/>
              </w:rPr>
              <w:t>Operating</w:t>
            </w:r>
            <w:r>
              <w:rPr>
                <w:spacing w:val="-10"/>
                <w:w w:val="105"/>
                <w:sz w:val="16"/>
              </w:rPr>
              <w:t> </w:t>
            </w:r>
            <w:r>
              <w:rPr>
                <w:w w:val="105"/>
                <w:sz w:val="16"/>
              </w:rPr>
              <w:t>lease</w:t>
            </w:r>
            <w:r>
              <w:rPr>
                <w:spacing w:val="-10"/>
                <w:w w:val="105"/>
                <w:sz w:val="16"/>
              </w:rPr>
              <w:t> </w:t>
            </w:r>
            <w:r>
              <w:rPr>
                <w:w w:val="105"/>
                <w:sz w:val="16"/>
              </w:rPr>
              <w:t>right-of-use</w:t>
            </w:r>
            <w:r>
              <w:rPr>
                <w:spacing w:val="-10"/>
                <w:w w:val="105"/>
                <w:sz w:val="16"/>
              </w:rPr>
              <w:t> </w:t>
            </w:r>
            <w:r>
              <w:rPr>
                <w:w w:val="105"/>
                <w:sz w:val="16"/>
              </w:rPr>
              <w:t>assets,</w:t>
            </w:r>
            <w:r>
              <w:rPr>
                <w:spacing w:val="-10"/>
                <w:w w:val="105"/>
                <w:sz w:val="16"/>
              </w:rPr>
              <w:t> </w:t>
            </w:r>
            <w:r>
              <w:rPr>
                <w:w w:val="105"/>
                <w:sz w:val="16"/>
              </w:rPr>
              <w:t>net</w:t>
            </w:r>
            <w:r>
              <w:rPr>
                <w:spacing w:val="-9"/>
                <w:w w:val="105"/>
                <w:sz w:val="16"/>
              </w:rPr>
              <w:t> </w:t>
            </w:r>
            <w:r>
              <w:rPr>
                <w:spacing w:val="-5"/>
                <w:w w:val="105"/>
                <w:position w:val="3"/>
                <w:sz w:val="14"/>
              </w:rPr>
              <w:t>(1)</w:t>
            </w:r>
          </w:p>
        </w:tc>
        <w:tc>
          <w:tcPr>
            <w:tcW w:w="3965" w:type="dxa"/>
            <w:tcBorders>
              <w:bottom w:val="double" w:sz="6" w:space="0" w:color="000000"/>
            </w:tcBorders>
          </w:tcPr>
          <w:p>
            <w:pPr>
              <w:pStyle w:val="TableParagraph"/>
              <w:rPr>
                <w:sz w:val="12"/>
              </w:rPr>
            </w:pPr>
          </w:p>
        </w:tc>
        <w:tc>
          <w:tcPr>
            <w:tcW w:w="1077" w:type="dxa"/>
            <w:tcBorders>
              <w:bottom w:val="double" w:sz="6" w:space="0" w:color="000000"/>
            </w:tcBorders>
          </w:tcPr>
          <w:p>
            <w:pPr>
              <w:pStyle w:val="TableParagraph"/>
              <w:spacing w:line="177" w:lineRule="exact" w:before="3"/>
              <w:ind w:left="-2"/>
              <w:rPr>
                <w:b/>
                <w:sz w:val="16"/>
              </w:rPr>
            </w:pPr>
            <w:r>
              <w:rPr>
                <w:b/>
                <w:spacing w:val="-10"/>
                <w:w w:val="105"/>
                <w:sz w:val="16"/>
              </w:rPr>
              <w:t>$</w:t>
            </w:r>
          </w:p>
        </w:tc>
        <w:tc>
          <w:tcPr>
            <w:tcW w:w="557" w:type="dxa"/>
            <w:tcBorders>
              <w:bottom w:val="double" w:sz="6" w:space="0" w:color="000000"/>
            </w:tcBorders>
          </w:tcPr>
          <w:p>
            <w:pPr>
              <w:pStyle w:val="TableParagraph"/>
              <w:spacing w:line="177" w:lineRule="exact" w:before="3"/>
              <w:ind w:left="18"/>
              <w:jc w:val="center"/>
              <w:rPr>
                <w:b/>
                <w:sz w:val="16"/>
              </w:rPr>
            </w:pPr>
            <w:r>
              <w:rPr>
                <w:b/>
                <w:spacing w:val="-5"/>
                <w:w w:val="105"/>
                <w:sz w:val="16"/>
              </w:rPr>
              <w:t>741</w:t>
            </w:r>
          </w:p>
        </w:tc>
        <w:tc>
          <w:tcPr>
            <w:tcW w:w="1164" w:type="dxa"/>
            <w:tcBorders>
              <w:bottom w:val="double" w:sz="6" w:space="0" w:color="000000"/>
            </w:tcBorders>
          </w:tcPr>
          <w:p>
            <w:pPr>
              <w:pStyle w:val="TableParagraph"/>
              <w:spacing w:line="177" w:lineRule="exact" w:before="3"/>
              <w:ind w:left="84"/>
              <w:rPr>
                <w:sz w:val="16"/>
              </w:rPr>
            </w:pPr>
            <w:r>
              <w:rPr>
                <w:spacing w:val="-10"/>
                <w:w w:val="105"/>
                <w:sz w:val="16"/>
              </w:rPr>
              <w:t>$</w:t>
            </w:r>
          </w:p>
        </w:tc>
        <w:tc>
          <w:tcPr>
            <w:tcW w:w="529" w:type="dxa"/>
            <w:tcBorders>
              <w:bottom w:val="double" w:sz="6" w:space="0" w:color="000000"/>
            </w:tcBorders>
          </w:tcPr>
          <w:p>
            <w:pPr>
              <w:pStyle w:val="TableParagraph"/>
              <w:spacing w:line="177" w:lineRule="exact" w:before="3"/>
              <w:ind w:left="162"/>
              <w:rPr>
                <w:sz w:val="16"/>
              </w:rPr>
            </w:pPr>
            <w:r>
              <w:rPr>
                <w:spacing w:val="-5"/>
                <w:w w:val="105"/>
                <w:sz w:val="16"/>
              </w:rPr>
              <w:t>680</w:t>
            </w:r>
          </w:p>
        </w:tc>
      </w:tr>
      <w:tr>
        <w:trPr>
          <w:trHeight w:val="200" w:hRule="atLeast"/>
        </w:trPr>
        <w:tc>
          <w:tcPr>
            <w:tcW w:w="4227" w:type="dxa"/>
            <w:tcBorders>
              <w:top w:val="double" w:sz="6" w:space="0" w:color="000000"/>
            </w:tcBorders>
            <w:shd w:val="clear" w:color="auto" w:fill="CCEDFF"/>
          </w:tcPr>
          <w:p>
            <w:pPr>
              <w:pStyle w:val="TableParagraph"/>
              <w:rPr>
                <w:sz w:val="12"/>
              </w:rPr>
            </w:pPr>
          </w:p>
        </w:tc>
        <w:tc>
          <w:tcPr>
            <w:tcW w:w="3965" w:type="dxa"/>
            <w:tcBorders>
              <w:top w:val="double" w:sz="6" w:space="0" w:color="000000"/>
            </w:tcBorders>
            <w:shd w:val="clear" w:color="auto" w:fill="CCEDFF"/>
          </w:tcPr>
          <w:p>
            <w:pPr>
              <w:pStyle w:val="TableParagraph"/>
              <w:rPr>
                <w:sz w:val="12"/>
              </w:rPr>
            </w:pPr>
          </w:p>
        </w:tc>
        <w:tc>
          <w:tcPr>
            <w:tcW w:w="1077" w:type="dxa"/>
            <w:tcBorders>
              <w:top w:val="double" w:sz="6" w:space="0" w:color="000000"/>
            </w:tcBorders>
            <w:shd w:val="clear" w:color="auto" w:fill="CCEDFF"/>
          </w:tcPr>
          <w:p>
            <w:pPr>
              <w:pStyle w:val="TableParagraph"/>
              <w:rPr>
                <w:sz w:val="12"/>
              </w:rPr>
            </w:pPr>
          </w:p>
        </w:tc>
        <w:tc>
          <w:tcPr>
            <w:tcW w:w="557" w:type="dxa"/>
            <w:tcBorders>
              <w:top w:val="double" w:sz="6" w:space="0" w:color="000000"/>
            </w:tcBorders>
            <w:shd w:val="clear" w:color="auto" w:fill="CCEDFF"/>
          </w:tcPr>
          <w:p>
            <w:pPr>
              <w:pStyle w:val="TableParagraph"/>
              <w:rPr>
                <w:sz w:val="12"/>
              </w:rPr>
            </w:pPr>
          </w:p>
        </w:tc>
        <w:tc>
          <w:tcPr>
            <w:tcW w:w="1164" w:type="dxa"/>
            <w:tcBorders>
              <w:top w:val="double" w:sz="6" w:space="0" w:color="000000"/>
            </w:tcBorders>
            <w:shd w:val="clear" w:color="auto" w:fill="CCEDFF"/>
          </w:tcPr>
          <w:p>
            <w:pPr>
              <w:pStyle w:val="TableParagraph"/>
              <w:rPr>
                <w:sz w:val="12"/>
              </w:rPr>
            </w:pPr>
          </w:p>
        </w:tc>
        <w:tc>
          <w:tcPr>
            <w:tcW w:w="529" w:type="dxa"/>
            <w:tcBorders>
              <w:top w:val="double" w:sz="6" w:space="0" w:color="000000"/>
            </w:tcBorders>
            <w:shd w:val="clear" w:color="auto" w:fill="CCEDFF"/>
          </w:tcPr>
          <w:p>
            <w:pPr>
              <w:pStyle w:val="TableParagraph"/>
              <w:rPr>
                <w:sz w:val="12"/>
              </w:rPr>
            </w:pPr>
          </w:p>
        </w:tc>
      </w:tr>
      <w:tr>
        <w:trPr>
          <w:trHeight w:val="203" w:hRule="atLeast"/>
        </w:trPr>
        <w:tc>
          <w:tcPr>
            <w:tcW w:w="4227" w:type="dxa"/>
          </w:tcPr>
          <w:p>
            <w:pPr>
              <w:pStyle w:val="TableParagraph"/>
              <w:spacing w:line="180" w:lineRule="exact" w:before="3"/>
              <w:rPr>
                <w:sz w:val="16"/>
              </w:rPr>
            </w:pPr>
            <w:r>
              <w:rPr>
                <w:w w:val="105"/>
                <w:sz w:val="16"/>
              </w:rPr>
              <w:t>Other</w:t>
            </w:r>
            <w:r>
              <w:rPr>
                <w:spacing w:val="-10"/>
                <w:w w:val="105"/>
                <w:sz w:val="16"/>
              </w:rPr>
              <w:t> </w:t>
            </w:r>
            <w:r>
              <w:rPr>
                <w:w w:val="105"/>
                <w:sz w:val="16"/>
              </w:rPr>
              <w:t>current</w:t>
            </w:r>
            <w:r>
              <w:rPr>
                <w:spacing w:val="-9"/>
                <w:w w:val="105"/>
                <w:sz w:val="16"/>
              </w:rPr>
              <w:t> </w:t>
            </w:r>
            <w:r>
              <w:rPr>
                <w:spacing w:val="-2"/>
                <w:w w:val="105"/>
                <w:sz w:val="16"/>
              </w:rPr>
              <w:t>liabilities</w:t>
            </w:r>
          </w:p>
        </w:tc>
        <w:tc>
          <w:tcPr>
            <w:tcW w:w="3965" w:type="dxa"/>
          </w:tcPr>
          <w:p>
            <w:pPr>
              <w:pStyle w:val="TableParagraph"/>
              <w:rPr>
                <w:sz w:val="14"/>
              </w:rPr>
            </w:pPr>
          </w:p>
        </w:tc>
        <w:tc>
          <w:tcPr>
            <w:tcW w:w="1077" w:type="dxa"/>
          </w:tcPr>
          <w:p>
            <w:pPr>
              <w:pStyle w:val="TableParagraph"/>
              <w:spacing w:line="180" w:lineRule="exact" w:before="3"/>
              <w:ind w:left="-2"/>
              <w:rPr>
                <w:b/>
                <w:sz w:val="16"/>
              </w:rPr>
            </w:pPr>
            <w:r>
              <w:rPr>
                <w:b/>
                <w:spacing w:val="-10"/>
                <w:w w:val="105"/>
                <w:sz w:val="16"/>
              </w:rPr>
              <w:t>$</w:t>
            </w:r>
          </w:p>
        </w:tc>
        <w:tc>
          <w:tcPr>
            <w:tcW w:w="557" w:type="dxa"/>
          </w:tcPr>
          <w:p>
            <w:pPr>
              <w:pStyle w:val="TableParagraph"/>
              <w:spacing w:line="180" w:lineRule="exact" w:before="3"/>
              <w:ind w:left="101"/>
              <w:jc w:val="center"/>
              <w:rPr>
                <w:b/>
                <w:sz w:val="16"/>
              </w:rPr>
            </w:pPr>
            <w:r>
              <w:rPr>
                <w:b/>
                <w:spacing w:val="-5"/>
                <w:w w:val="105"/>
                <w:sz w:val="16"/>
              </w:rPr>
              <w:t>94</w:t>
            </w:r>
          </w:p>
        </w:tc>
        <w:tc>
          <w:tcPr>
            <w:tcW w:w="1164" w:type="dxa"/>
          </w:tcPr>
          <w:p>
            <w:pPr>
              <w:pStyle w:val="TableParagraph"/>
              <w:spacing w:line="180" w:lineRule="exact" w:before="3"/>
              <w:ind w:left="84"/>
              <w:rPr>
                <w:sz w:val="16"/>
              </w:rPr>
            </w:pPr>
            <w:r>
              <w:rPr>
                <w:spacing w:val="-10"/>
                <w:w w:val="105"/>
                <w:sz w:val="16"/>
              </w:rPr>
              <w:t>$</w:t>
            </w:r>
          </w:p>
        </w:tc>
        <w:tc>
          <w:tcPr>
            <w:tcW w:w="529" w:type="dxa"/>
          </w:tcPr>
          <w:p>
            <w:pPr>
              <w:pStyle w:val="TableParagraph"/>
              <w:spacing w:line="180" w:lineRule="exact" w:before="3"/>
              <w:ind w:left="245"/>
              <w:rPr>
                <w:sz w:val="16"/>
              </w:rPr>
            </w:pPr>
            <w:r>
              <w:rPr>
                <w:spacing w:val="-5"/>
                <w:w w:val="105"/>
                <w:sz w:val="16"/>
              </w:rPr>
              <w:t>96</w:t>
            </w:r>
          </w:p>
        </w:tc>
      </w:tr>
      <w:tr>
        <w:trPr>
          <w:trHeight w:val="202" w:hRule="atLeast"/>
        </w:trPr>
        <w:tc>
          <w:tcPr>
            <w:tcW w:w="4227" w:type="dxa"/>
            <w:tcBorders>
              <w:bottom w:val="single" w:sz="6" w:space="0" w:color="000000"/>
            </w:tcBorders>
            <w:shd w:val="clear" w:color="auto" w:fill="CCEDFF"/>
          </w:tcPr>
          <w:p>
            <w:pPr>
              <w:pStyle w:val="TableParagraph"/>
              <w:spacing w:line="183" w:lineRule="exact"/>
              <w:rPr>
                <w:sz w:val="14"/>
              </w:rPr>
            </w:pPr>
            <w:r>
              <w:rPr>
                <w:sz w:val="16"/>
              </w:rPr>
              <w:t>Operating</w:t>
            </w:r>
            <w:r>
              <w:rPr>
                <w:spacing w:val="16"/>
                <w:sz w:val="16"/>
              </w:rPr>
              <w:t> </w:t>
            </w:r>
            <w:r>
              <w:rPr>
                <w:sz w:val="16"/>
              </w:rPr>
              <w:t>lease</w:t>
            </w:r>
            <w:r>
              <w:rPr>
                <w:spacing w:val="17"/>
                <w:sz w:val="16"/>
              </w:rPr>
              <w:t> </w:t>
            </w:r>
            <w:r>
              <w:rPr>
                <w:sz w:val="16"/>
              </w:rPr>
              <w:t>liabilities</w:t>
            </w:r>
            <w:r>
              <w:rPr>
                <w:spacing w:val="15"/>
                <w:sz w:val="16"/>
              </w:rPr>
              <w:t> </w:t>
            </w:r>
            <w:r>
              <w:rPr>
                <w:spacing w:val="-5"/>
                <w:position w:val="3"/>
                <w:sz w:val="14"/>
              </w:rPr>
              <w:t>(2)</w:t>
            </w:r>
          </w:p>
        </w:tc>
        <w:tc>
          <w:tcPr>
            <w:tcW w:w="3965" w:type="dxa"/>
            <w:tcBorders>
              <w:bottom w:val="single" w:sz="6" w:space="0" w:color="000000"/>
            </w:tcBorders>
            <w:shd w:val="clear" w:color="auto" w:fill="CCEDFF"/>
          </w:tcPr>
          <w:p>
            <w:pPr>
              <w:pStyle w:val="TableParagraph"/>
              <w:rPr>
                <w:sz w:val="14"/>
              </w:rPr>
            </w:pPr>
          </w:p>
        </w:tc>
        <w:tc>
          <w:tcPr>
            <w:tcW w:w="1077" w:type="dxa"/>
            <w:tcBorders>
              <w:bottom w:val="single" w:sz="6" w:space="0" w:color="000000"/>
            </w:tcBorders>
            <w:shd w:val="clear" w:color="auto" w:fill="CCEDFF"/>
          </w:tcPr>
          <w:p>
            <w:pPr>
              <w:pStyle w:val="TableParagraph"/>
              <w:rPr>
                <w:sz w:val="14"/>
              </w:rPr>
            </w:pPr>
          </w:p>
        </w:tc>
        <w:tc>
          <w:tcPr>
            <w:tcW w:w="557" w:type="dxa"/>
            <w:tcBorders>
              <w:bottom w:val="single" w:sz="6" w:space="0" w:color="000000"/>
            </w:tcBorders>
            <w:shd w:val="clear" w:color="auto" w:fill="CCEDFF"/>
          </w:tcPr>
          <w:p>
            <w:pPr>
              <w:pStyle w:val="TableParagraph"/>
              <w:spacing w:line="179" w:lineRule="exact" w:before="3"/>
              <w:ind w:left="18"/>
              <w:jc w:val="center"/>
              <w:rPr>
                <w:b/>
                <w:sz w:val="16"/>
              </w:rPr>
            </w:pPr>
            <w:r>
              <w:rPr>
                <w:b/>
                <w:spacing w:val="-5"/>
                <w:w w:val="105"/>
                <w:sz w:val="16"/>
              </w:rPr>
              <w:t>691</w:t>
            </w:r>
          </w:p>
        </w:tc>
        <w:tc>
          <w:tcPr>
            <w:tcW w:w="1164" w:type="dxa"/>
            <w:tcBorders>
              <w:bottom w:val="single" w:sz="6" w:space="0" w:color="000000"/>
            </w:tcBorders>
            <w:shd w:val="clear" w:color="auto" w:fill="CCEDFF"/>
          </w:tcPr>
          <w:p>
            <w:pPr>
              <w:pStyle w:val="TableParagraph"/>
              <w:rPr>
                <w:sz w:val="14"/>
              </w:rPr>
            </w:pPr>
          </w:p>
        </w:tc>
        <w:tc>
          <w:tcPr>
            <w:tcW w:w="529" w:type="dxa"/>
            <w:tcBorders>
              <w:bottom w:val="single" w:sz="6" w:space="0" w:color="000000"/>
            </w:tcBorders>
            <w:shd w:val="clear" w:color="auto" w:fill="CCEDFF"/>
          </w:tcPr>
          <w:p>
            <w:pPr>
              <w:pStyle w:val="TableParagraph"/>
              <w:spacing w:line="179" w:lineRule="exact" w:before="3"/>
              <w:ind w:left="162"/>
              <w:rPr>
                <w:sz w:val="16"/>
              </w:rPr>
            </w:pPr>
            <w:r>
              <w:rPr>
                <w:spacing w:val="-5"/>
                <w:w w:val="105"/>
                <w:sz w:val="16"/>
              </w:rPr>
              <w:t>633</w:t>
            </w:r>
          </w:p>
        </w:tc>
      </w:tr>
      <w:tr>
        <w:trPr>
          <w:trHeight w:val="199" w:hRule="atLeast"/>
        </w:trPr>
        <w:tc>
          <w:tcPr>
            <w:tcW w:w="4227" w:type="dxa"/>
            <w:tcBorders>
              <w:top w:val="single" w:sz="6" w:space="0" w:color="000000"/>
              <w:bottom w:val="double" w:sz="6" w:space="0" w:color="000000"/>
            </w:tcBorders>
          </w:tcPr>
          <w:p>
            <w:pPr>
              <w:pStyle w:val="TableParagraph"/>
              <w:spacing w:line="177" w:lineRule="exact" w:before="2"/>
              <w:rPr>
                <w:sz w:val="16"/>
              </w:rPr>
            </w:pPr>
            <w:r>
              <w:rPr>
                <w:w w:val="105"/>
                <w:sz w:val="16"/>
              </w:rPr>
              <w:t>Total</w:t>
            </w:r>
            <w:r>
              <w:rPr>
                <w:spacing w:val="-10"/>
                <w:w w:val="105"/>
                <w:sz w:val="16"/>
              </w:rPr>
              <w:t> </w:t>
            </w:r>
            <w:r>
              <w:rPr>
                <w:w w:val="105"/>
                <w:sz w:val="16"/>
              </w:rPr>
              <w:t>operating</w:t>
            </w:r>
            <w:r>
              <w:rPr>
                <w:spacing w:val="-9"/>
                <w:w w:val="105"/>
                <w:sz w:val="16"/>
              </w:rPr>
              <w:t> </w:t>
            </w:r>
            <w:r>
              <w:rPr>
                <w:w w:val="105"/>
                <w:sz w:val="16"/>
              </w:rPr>
              <w:t>lease</w:t>
            </w:r>
            <w:r>
              <w:rPr>
                <w:spacing w:val="-10"/>
                <w:w w:val="105"/>
                <w:sz w:val="16"/>
              </w:rPr>
              <w:t> </w:t>
            </w:r>
            <w:r>
              <w:rPr>
                <w:spacing w:val="-2"/>
                <w:w w:val="105"/>
                <w:sz w:val="16"/>
              </w:rPr>
              <w:t>liabilities</w:t>
            </w:r>
          </w:p>
        </w:tc>
        <w:tc>
          <w:tcPr>
            <w:tcW w:w="3965" w:type="dxa"/>
            <w:tcBorders>
              <w:top w:val="single" w:sz="6" w:space="0" w:color="000000"/>
              <w:bottom w:val="double" w:sz="6" w:space="0" w:color="000000"/>
            </w:tcBorders>
          </w:tcPr>
          <w:p>
            <w:pPr>
              <w:pStyle w:val="TableParagraph"/>
              <w:rPr>
                <w:sz w:val="12"/>
              </w:rPr>
            </w:pPr>
          </w:p>
        </w:tc>
        <w:tc>
          <w:tcPr>
            <w:tcW w:w="1077" w:type="dxa"/>
            <w:tcBorders>
              <w:top w:val="single" w:sz="6" w:space="0" w:color="000000"/>
              <w:bottom w:val="double" w:sz="6" w:space="0" w:color="000000"/>
            </w:tcBorders>
          </w:tcPr>
          <w:p>
            <w:pPr>
              <w:pStyle w:val="TableParagraph"/>
              <w:spacing w:line="177" w:lineRule="exact" w:before="2"/>
              <w:ind w:left="-2"/>
              <w:rPr>
                <w:b/>
                <w:sz w:val="16"/>
              </w:rPr>
            </w:pPr>
            <w:r>
              <w:rPr>
                <w:b/>
                <w:spacing w:val="-10"/>
                <w:w w:val="105"/>
                <w:sz w:val="16"/>
              </w:rPr>
              <w:t>$</w:t>
            </w:r>
          </w:p>
        </w:tc>
        <w:tc>
          <w:tcPr>
            <w:tcW w:w="557" w:type="dxa"/>
            <w:tcBorders>
              <w:top w:val="single" w:sz="6" w:space="0" w:color="000000"/>
              <w:bottom w:val="double" w:sz="6" w:space="0" w:color="000000"/>
            </w:tcBorders>
          </w:tcPr>
          <w:p>
            <w:pPr>
              <w:pStyle w:val="TableParagraph"/>
              <w:spacing w:line="177" w:lineRule="exact" w:before="2"/>
              <w:ind w:left="18"/>
              <w:jc w:val="center"/>
              <w:rPr>
                <w:b/>
                <w:sz w:val="16"/>
              </w:rPr>
            </w:pPr>
            <w:r>
              <w:rPr>
                <w:b/>
                <w:spacing w:val="-5"/>
                <w:w w:val="105"/>
                <w:sz w:val="16"/>
              </w:rPr>
              <w:t>785</w:t>
            </w:r>
          </w:p>
        </w:tc>
        <w:tc>
          <w:tcPr>
            <w:tcW w:w="1164" w:type="dxa"/>
            <w:tcBorders>
              <w:top w:val="single" w:sz="6" w:space="0" w:color="000000"/>
              <w:bottom w:val="double" w:sz="6" w:space="0" w:color="000000"/>
            </w:tcBorders>
          </w:tcPr>
          <w:p>
            <w:pPr>
              <w:pStyle w:val="TableParagraph"/>
              <w:spacing w:line="177" w:lineRule="exact" w:before="2"/>
              <w:ind w:left="84"/>
              <w:rPr>
                <w:sz w:val="16"/>
              </w:rPr>
            </w:pPr>
            <w:r>
              <w:rPr>
                <w:spacing w:val="-10"/>
                <w:w w:val="105"/>
                <w:sz w:val="16"/>
              </w:rPr>
              <w:t>$</w:t>
            </w:r>
          </w:p>
        </w:tc>
        <w:tc>
          <w:tcPr>
            <w:tcW w:w="529" w:type="dxa"/>
            <w:tcBorders>
              <w:top w:val="single" w:sz="6" w:space="0" w:color="000000"/>
              <w:bottom w:val="double" w:sz="6" w:space="0" w:color="000000"/>
            </w:tcBorders>
          </w:tcPr>
          <w:p>
            <w:pPr>
              <w:pStyle w:val="TableParagraph"/>
              <w:spacing w:line="177" w:lineRule="exact" w:before="2"/>
              <w:ind w:left="162"/>
              <w:rPr>
                <w:sz w:val="16"/>
              </w:rPr>
            </w:pPr>
            <w:r>
              <w:rPr>
                <w:spacing w:val="-5"/>
                <w:w w:val="105"/>
                <w:sz w:val="16"/>
              </w:rPr>
              <w:t>729</w:t>
            </w:r>
          </w:p>
        </w:tc>
      </w:tr>
      <w:tr>
        <w:trPr>
          <w:trHeight w:val="200" w:hRule="atLeast"/>
        </w:trPr>
        <w:tc>
          <w:tcPr>
            <w:tcW w:w="4227" w:type="dxa"/>
            <w:tcBorders>
              <w:top w:val="double" w:sz="6" w:space="0" w:color="000000"/>
            </w:tcBorders>
            <w:shd w:val="clear" w:color="auto" w:fill="CCEDFF"/>
          </w:tcPr>
          <w:p>
            <w:pPr>
              <w:pStyle w:val="TableParagraph"/>
              <w:rPr>
                <w:sz w:val="12"/>
              </w:rPr>
            </w:pPr>
          </w:p>
        </w:tc>
        <w:tc>
          <w:tcPr>
            <w:tcW w:w="3965" w:type="dxa"/>
            <w:tcBorders>
              <w:top w:val="double" w:sz="6" w:space="0" w:color="000000"/>
            </w:tcBorders>
            <w:shd w:val="clear" w:color="auto" w:fill="CCEDFF"/>
          </w:tcPr>
          <w:p>
            <w:pPr>
              <w:pStyle w:val="TableParagraph"/>
              <w:rPr>
                <w:sz w:val="12"/>
              </w:rPr>
            </w:pPr>
          </w:p>
        </w:tc>
        <w:tc>
          <w:tcPr>
            <w:tcW w:w="1077" w:type="dxa"/>
            <w:tcBorders>
              <w:top w:val="double" w:sz="6" w:space="0" w:color="000000"/>
            </w:tcBorders>
            <w:shd w:val="clear" w:color="auto" w:fill="CCEDFF"/>
          </w:tcPr>
          <w:p>
            <w:pPr>
              <w:pStyle w:val="TableParagraph"/>
              <w:rPr>
                <w:sz w:val="12"/>
              </w:rPr>
            </w:pPr>
          </w:p>
        </w:tc>
        <w:tc>
          <w:tcPr>
            <w:tcW w:w="557" w:type="dxa"/>
            <w:tcBorders>
              <w:top w:val="double" w:sz="6" w:space="0" w:color="000000"/>
            </w:tcBorders>
            <w:shd w:val="clear" w:color="auto" w:fill="CCEDFF"/>
          </w:tcPr>
          <w:p>
            <w:pPr>
              <w:pStyle w:val="TableParagraph"/>
              <w:rPr>
                <w:sz w:val="12"/>
              </w:rPr>
            </w:pPr>
          </w:p>
        </w:tc>
        <w:tc>
          <w:tcPr>
            <w:tcW w:w="1164" w:type="dxa"/>
            <w:tcBorders>
              <w:top w:val="double" w:sz="6" w:space="0" w:color="000000"/>
            </w:tcBorders>
            <w:shd w:val="clear" w:color="auto" w:fill="CCEDFF"/>
          </w:tcPr>
          <w:p>
            <w:pPr>
              <w:pStyle w:val="TableParagraph"/>
              <w:rPr>
                <w:sz w:val="12"/>
              </w:rPr>
            </w:pPr>
          </w:p>
        </w:tc>
        <w:tc>
          <w:tcPr>
            <w:tcW w:w="529" w:type="dxa"/>
            <w:tcBorders>
              <w:top w:val="double" w:sz="6" w:space="0" w:color="000000"/>
            </w:tcBorders>
            <w:shd w:val="clear" w:color="auto" w:fill="CCEDFF"/>
          </w:tcPr>
          <w:p>
            <w:pPr>
              <w:pStyle w:val="TableParagraph"/>
              <w:rPr>
                <w:sz w:val="12"/>
              </w:rPr>
            </w:pPr>
          </w:p>
        </w:tc>
      </w:tr>
      <w:tr>
        <w:trPr>
          <w:trHeight w:val="203" w:hRule="atLeast"/>
        </w:trPr>
        <w:tc>
          <w:tcPr>
            <w:tcW w:w="4227" w:type="dxa"/>
          </w:tcPr>
          <w:p>
            <w:pPr>
              <w:pStyle w:val="TableParagraph"/>
              <w:spacing w:line="180" w:lineRule="exact" w:before="3"/>
              <w:rPr>
                <w:b/>
                <w:sz w:val="16"/>
              </w:rPr>
            </w:pPr>
            <w:r>
              <w:rPr>
                <w:b/>
                <w:sz w:val="16"/>
              </w:rPr>
              <w:t>Finance</w:t>
            </w:r>
            <w:r>
              <w:rPr>
                <w:b/>
                <w:spacing w:val="17"/>
                <w:sz w:val="16"/>
              </w:rPr>
              <w:t> </w:t>
            </w:r>
            <w:r>
              <w:rPr>
                <w:b/>
                <w:spacing w:val="-2"/>
                <w:sz w:val="16"/>
              </w:rPr>
              <w:t>Leases:</w:t>
            </w:r>
          </w:p>
        </w:tc>
        <w:tc>
          <w:tcPr>
            <w:tcW w:w="3965" w:type="dxa"/>
          </w:tcPr>
          <w:p>
            <w:pPr>
              <w:pStyle w:val="TableParagraph"/>
              <w:rPr>
                <w:sz w:val="14"/>
              </w:rPr>
            </w:pPr>
          </w:p>
        </w:tc>
        <w:tc>
          <w:tcPr>
            <w:tcW w:w="1077" w:type="dxa"/>
          </w:tcPr>
          <w:p>
            <w:pPr>
              <w:pStyle w:val="TableParagraph"/>
              <w:rPr>
                <w:sz w:val="14"/>
              </w:rPr>
            </w:pPr>
          </w:p>
        </w:tc>
        <w:tc>
          <w:tcPr>
            <w:tcW w:w="557" w:type="dxa"/>
          </w:tcPr>
          <w:p>
            <w:pPr>
              <w:pStyle w:val="TableParagraph"/>
              <w:rPr>
                <w:sz w:val="14"/>
              </w:rPr>
            </w:pPr>
          </w:p>
        </w:tc>
        <w:tc>
          <w:tcPr>
            <w:tcW w:w="1164" w:type="dxa"/>
          </w:tcPr>
          <w:p>
            <w:pPr>
              <w:pStyle w:val="TableParagraph"/>
              <w:rPr>
                <w:sz w:val="14"/>
              </w:rPr>
            </w:pPr>
          </w:p>
        </w:tc>
        <w:tc>
          <w:tcPr>
            <w:tcW w:w="529" w:type="dxa"/>
          </w:tcPr>
          <w:p>
            <w:pPr>
              <w:pStyle w:val="TableParagraph"/>
              <w:rPr>
                <w:sz w:val="14"/>
              </w:rPr>
            </w:pPr>
          </w:p>
        </w:tc>
      </w:tr>
      <w:tr>
        <w:trPr>
          <w:trHeight w:val="203" w:hRule="atLeast"/>
        </w:trPr>
        <w:tc>
          <w:tcPr>
            <w:tcW w:w="4227" w:type="dxa"/>
            <w:shd w:val="clear" w:color="auto" w:fill="CCEDFF"/>
          </w:tcPr>
          <w:p>
            <w:pPr>
              <w:pStyle w:val="TableParagraph"/>
              <w:spacing w:line="180" w:lineRule="exact" w:before="3"/>
              <w:rPr>
                <w:sz w:val="16"/>
              </w:rPr>
            </w:pPr>
            <w:r>
              <w:rPr>
                <w:w w:val="105"/>
                <w:sz w:val="16"/>
              </w:rPr>
              <w:t>Property</w:t>
            </w:r>
            <w:r>
              <w:rPr>
                <w:spacing w:val="-10"/>
                <w:w w:val="105"/>
                <w:sz w:val="16"/>
              </w:rPr>
              <w:t> </w:t>
            </w:r>
            <w:r>
              <w:rPr>
                <w:w w:val="105"/>
                <w:sz w:val="16"/>
              </w:rPr>
              <w:t>and</w:t>
            </w:r>
            <w:r>
              <w:rPr>
                <w:spacing w:val="-9"/>
                <w:w w:val="105"/>
                <w:sz w:val="16"/>
              </w:rPr>
              <w:t> </w:t>
            </w:r>
            <w:r>
              <w:rPr>
                <w:w w:val="105"/>
                <w:sz w:val="16"/>
              </w:rPr>
              <w:t>equipment,</w:t>
            </w:r>
            <w:r>
              <w:rPr>
                <w:spacing w:val="-9"/>
                <w:w w:val="105"/>
                <w:sz w:val="16"/>
              </w:rPr>
              <w:t> </w:t>
            </w:r>
            <w:r>
              <w:rPr>
                <w:w w:val="105"/>
                <w:sz w:val="16"/>
              </w:rPr>
              <w:t>at</w:t>
            </w:r>
            <w:r>
              <w:rPr>
                <w:spacing w:val="-9"/>
                <w:w w:val="105"/>
                <w:sz w:val="16"/>
              </w:rPr>
              <w:t> </w:t>
            </w:r>
            <w:r>
              <w:rPr>
                <w:spacing w:val="-4"/>
                <w:w w:val="105"/>
                <w:sz w:val="16"/>
              </w:rPr>
              <w:t>cost</w:t>
            </w:r>
          </w:p>
        </w:tc>
        <w:tc>
          <w:tcPr>
            <w:tcW w:w="3965" w:type="dxa"/>
            <w:shd w:val="clear" w:color="auto" w:fill="CCEDFF"/>
          </w:tcPr>
          <w:p>
            <w:pPr>
              <w:pStyle w:val="TableParagraph"/>
              <w:rPr>
                <w:sz w:val="14"/>
              </w:rPr>
            </w:pPr>
          </w:p>
        </w:tc>
        <w:tc>
          <w:tcPr>
            <w:tcW w:w="1077" w:type="dxa"/>
            <w:shd w:val="clear" w:color="auto" w:fill="CCEDFF"/>
          </w:tcPr>
          <w:p>
            <w:pPr>
              <w:pStyle w:val="TableParagraph"/>
              <w:spacing w:line="180" w:lineRule="exact" w:before="3"/>
              <w:ind w:left="-2"/>
              <w:rPr>
                <w:b/>
                <w:sz w:val="16"/>
              </w:rPr>
            </w:pPr>
            <w:r>
              <w:rPr>
                <w:b/>
                <w:spacing w:val="-10"/>
                <w:w w:val="105"/>
                <w:sz w:val="16"/>
              </w:rPr>
              <w:t>$</w:t>
            </w:r>
          </w:p>
        </w:tc>
        <w:tc>
          <w:tcPr>
            <w:tcW w:w="557" w:type="dxa"/>
            <w:shd w:val="clear" w:color="auto" w:fill="CCEDFF"/>
          </w:tcPr>
          <w:p>
            <w:pPr>
              <w:pStyle w:val="TableParagraph"/>
              <w:spacing w:line="180" w:lineRule="exact" w:before="3"/>
              <w:ind w:left="18"/>
              <w:jc w:val="center"/>
              <w:rPr>
                <w:b/>
                <w:sz w:val="16"/>
              </w:rPr>
            </w:pPr>
            <w:r>
              <w:rPr>
                <w:b/>
                <w:spacing w:val="-5"/>
                <w:w w:val="105"/>
                <w:sz w:val="16"/>
              </w:rPr>
              <w:t>200</w:t>
            </w:r>
          </w:p>
        </w:tc>
        <w:tc>
          <w:tcPr>
            <w:tcW w:w="1164" w:type="dxa"/>
            <w:shd w:val="clear" w:color="auto" w:fill="CCEDFF"/>
          </w:tcPr>
          <w:p>
            <w:pPr>
              <w:pStyle w:val="TableParagraph"/>
              <w:spacing w:line="180" w:lineRule="exact" w:before="3"/>
              <w:ind w:left="84"/>
              <w:rPr>
                <w:sz w:val="16"/>
              </w:rPr>
            </w:pPr>
            <w:r>
              <w:rPr>
                <w:spacing w:val="-10"/>
                <w:w w:val="105"/>
                <w:sz w:val="16"/>
              </w:rPr>
              <w:t>$</w:t>
            </w:r>
          </w:p>
        </w:tc>
        <w:tc>
          <w:tcPr>
            <w:tcW w:w="529" w:type="dxa"/>
            <w:shd w:val="clear" w:color="auto" w:fill="CCEDFF"/>
          </w:tcPr>
          <w:p>
            <w:pPr>
              <w:pStyle w:val="TableParagraph"/>
              <w:spacing w:line="180" w:lineRule="exact" w:before="3"/>
              <w:ind w:left="162"/>
              <w:rPr>
                <w:sz w:val="16"/>
              </w:rPr>
            </w:pPr>
            <w:r>
              <w:rPr>
                <w:spacing w:val="-5"/>
                <w:w w:val="105"/>
                <w:sz w:val="16"/>
              </w:rPr>
              <w:t>184</w:t>
            </w:r>
          </w:p>
        </w:tc>
      </w:tr>
      <w:tr>
        <w:trPr>
          <w:trHeight w:val="202" w:hRule="atLeast"/>
        </w:trPr>
        <w:tc>
          <w:tcPr>
            <w:tcW w:w="4227" w:type="dxa"/>
            <w:tcBorders>
              <w:bottom w:val="single" w:sz="6" w:space="0" w:color="000000"/>
            </w:tcBorders>
          </w:tcPr>
          <w:p>
            <w:pPr>
              <w:pStyle w:val="TableParagraph"/>
              <w:spacing w:line="179" w:lineRule="exact" w:before="3"/>
              <w:rPr>
                <w:sz w:val="16"/>
              </w:rPr>
            </w:pPr>
            <w:r>
              <w:rPr>
                <w:sz w:val="16"/>
              </w:rPr>
              <w:t>Accumulated</w:t>
            </w:r>
            <w:r>
              <w:rPr>
                <w:spacing w:val="26"/>
                <w:sz w:val="16"/>
              </w:rPr>
              <w:t> </w:t>
            </w:r>
            <w:r>
              <w:rPr>
                <w:spacing w:val="-2"/>
                <w:sz w:val="16"/>
              </w:rPr>
              <w:t>depreciation</w:t>
            </w:r>
          </w:p>
        </w:tc>
        <w:tc>
          <w:tcPr>
            <w:tcW w:w="3965" w:type="dxa"/>
            <w:tcBorders>
              <w:bottom w:val="single" w:sz="6" w:space="0" w:color="000000"/>
            </w:tcBorders>
          </w:tcPr>
          <w:p>
            <w:pPr>
              <w:pStyle w:val="TableParagraph"/>
              <w:rPr>
                <w:sz w:val="14"/>
              </w:rPr>
            </w:pPr>
          </w:p>
        </w:tc>
        <w:tc>
          <w:tcPr>
            <w:tcW w:w="1077" w:type="dxa"/>
            <w:tcBorders>
              <w:bottom w:val="single" w:sz="6" w:space="0" w:color="000000"/>
            </w:tcBorders>
          </w:tcPr>
          <w:p>
            <w:pPr>
              <w:pStyle w:val="TableParagraph"/>
              <w:rPr>
                <w:sz w:val="14"/>
              </w:rPr>
            </w:pPr>
          </w:p>
        </w:tc>
        <w:tc>
          <w:tcPr>
            <w:tcW w:w="557" w:type="dxa"/>
            <w:tcBorders>
              <w:bottom w:val="single" w:sz="6" w:space="0" w:color="000000"/>
            </w:tcBorders>
          </w:tcPr>
          <w:p>
            <w:pPr>
              <w:pStyle w:val="TableParagraph"/>
              <w:spacing w:line="179" w:lineRule="exact" w:before="3"/>
              <w:ind w:left="101"/>
              <w:jc w:val="center"/>
              <w:rPr>
                <w:b/>
                <w:sz w:val="16"/>
              </w:rPr>
            </w:pPr>
            <w:r>
              <w:rPr>
                <w:b/>
                <w:spacing w:val="-4"/>
                <w:w w:val="105"/>
                <w:sz w:val="16"/>
              </w:rPr>
              <w:t>(40)</w:t>
            </w:r>
          </w:p>
        </w:tc>
        <w:tc>
          <w:tcPr>
            <w:tcW w:w="1164" w:type="dxa"/>
            <w:tcBorders>
              <w:bottom w:val="single" w:sz="6" w:space="0" w:color="000000"/>
            </w:tcBorders>
          </w:tcPr>
          <w:p>
            <w:pPr>
              <w:pStyle w:val="TableParagraph"/>
              <w:rPr>
                <w:sz w:val="14"/>
              </w:rPr>
            </w:pPr>
          </w:p>
        </w:tc>
        <w:tc>
          <w:tcPr>
            <w:tcW w:w="529" w:type="dxa"/>
            <w:tcBorders>
              <w:bottom w:val="single" w:sz="6" w:space="0" w:color="000000"/>
            </w:tcBorders>
          </w:tcPr>
          <w:p>
            <w:pPr>
              <w:pStyle w:val="TableParagraph"/>
              <w:spacing w:line="179" w:lineRule="exact" w:before="3"/>
              <w:ind w:left="189"/>
              <w:rPr>
                <w:sz w:val="16"/>
              </w:rPr>
            </w:pPr>
            <w:r>
              <w:rPr>
                <w:spacing w:val="-4"/>
                <w:w w:val="105"/>
                <w:sz w:val="16"/>
              </w:rPr>
              <w:t>(27)</w:t>
            </w:r>
          </w:p>
        </w:tc>
      </w:tr>
      <w:tr>
        <w:trPr>
          <w:trHeight w:val="199" w:hRule="atLeast"/>
        </w:trPr>
        <w:tc>
          <w:tcPr>
            <w:tcW w:w="4227" w:type="dxa"/>
            <w:tcBorders>
              <w:top w:val="single" w:sz="6" w:space="0" w:color="000000"/>
              <w:bottom w:val="double" w:sz="6" w:space="0" w:color="000000"/>
            </w:tcBorders>
            <w:shd w:val="clear" w:color="auto" w:fill="CCEDFF"/>
          </w:tcPr>
          <w:p>
            <w:pPr>
              <w:pStyle w:val="TableParagraph"/>
              <w:spacing w:line="177" w:lineRule="exact" w:before="2"/>
              <w:rPr>
                <w:sz w:val="16"/>
              </w:rPr>
            </w:pPr>
            <w:r>
              <w:rPr>
                <w:sz w:val="16"/>
              </w:rPr>
              <w:t>Property</w:t>
            </w:r>
            <w:r>
              <w:rPr>
                <w:spacing w:val="15"/>
                <w:sz w:val="16"/>
              </w:rPr>
              <w:t> </w:t>
            </w:r>
            <w:r>
              <w:rPr>
                <w:sz w:val="16"/>
              </w:rPr>
              <w:t>and</w:t>
            </w:r>
            <w:r>
              <w:rPr>
                <w:spacing w:val="16"/>
                <w:sz w:val="16"/>
              </w:rPr>
              <w:t> </w:t>
            </w:r>
            <w:r>
              <w:rPr>
                <w:sz w:val="16"/>
              </w:rPr>
              <w:t>equipment,</w:t>
            </w:r>
            <w:r>
              <w:rPr>
                <w:spacing w:val="16"/>
                <w:sz w:val="16"/>
              </w:rPr>
              <w:t> </w:t>
            </w:r>
            <w:r>
              <w:rPr>
                <w:spacing w:val="-5"/>
                <w:sz w:val="16"/>
              </w:rPr>
              <w:t>net</w:t>
            </w:r>
          </w:p>
        </w:tc>
        <w:tc>
          <w:tcPr>
            <w:tcW w:w="3965" w:type="dxa"/>
            <w:tcBorders>
              <w:top w:val="single" w:sz="6" w:space="0" w:color="000000"/>
              <w:bottom w:val="double" w:sz="6" w:space="0" w:color="000000"/>
            </w:tcBorders>
            <w:shd w:val="clear" w:color="auto" w:fill="CCEDFF"/>
          </w:tcPr>
          <w:p>
            <w:pPr>
              <w:pStyle w:val="TableParagraph"/>
              <w:rPr>
                <w:sz w:val="12"/>
              </w:rPr>
            </w:pPr>
          </w:p>
        </w:tc>
        <w:tc>
          <w:tcPr>
            <w:tcW w:w="1077" w:type="dxa"/>
            <w:tcBorders>
              <w:top w:val="single" w:sz="6" w:space="0" w:color="000000"/>
              <w:bottom w:val="double" w:sz="6" w:space="0" w:color="000000"/>
            </w:tcBorders>
            <w:shd w:val="clear" w:color="auto" w:fill="CCEDFF"/>
          </w:tcPr>
          <w:p>
            <w:pPr>
              <w:pStyle w:val="TableParagraph"/>
              <w:spacing w:line="177" w:lineRule="exact" w:before="2"/>
              <w:ind w:left="-2"/>
              <w:rPr>
                <w:b/>
                <w:sz w:val="16"/>
              </w:rPr>
            </w:pPr>
            <w:r>
              <w:rPr>
                <w:b/>
                <w:spacing w:val="-10"/>
                <w:w w:val="105"/>
                <w:sz w:val="16"/>
              </w:rPr>
              <w:t>$</w:t>
            </w:r>
          </w:p>
        </w:tc>
        <w:tc>
          <w:tcPr>
            <w:tcW w:w="557" w:type="dxa"/>
            <w:tcBorders>
              <w:top w:val="single" w:sz="6" w:space="0" w:color="000000"/>
              <w:bottom w:val="double" w:sz="6" w:space="0" w:color="000000"/>
            </w:tcBorders>
            <w:shd w:val="clear" w:color="auto" w:fill="CCEDFF"/>
          </w:tcPr>
          <w:p>
            <w:pPr>
              <w:pStyle w:val="TableParagraph"/>
              <w:spacing w:line="177" w:lineRule="exact" w:before="2"/>
              <w:ind w:left="18"/>
              <w:jc w:val="center"/>
              <w:rPr>
                <w:b/>
                <w:sz w:val="16"/>
              </w:rPr>
            </w:pPr>
            <w:r>
              <w:rPr>
                <w:b/>
                <w:spacing w:val="-5"/>
                <w:w w:val="105"/>
                <w:sz w:val="16"/>
              </w:rPr>
              <w:t>160</w:t>
            </w:r>
          </w:p>
        </w:tc>
        <w:tc>
          <w:tcPr>
            <w:tcW w:w="1164" w:type="dxa"/>
            <w:tcBorders>
              <w:top w:val="single" w:sz="6" w:space="0" w:color="000000"/>
              <w:bottom w:val="double" w:sz="6" w:space="0" w:color="000000"/>
            </w:tcBorders>
            <w:shd w:val="clear" w:color="auto" w:fill="CCEDFF"/>
          </w:tcPr>
          <w:p>
            <w:pPr>
              <w:pStyle w:val="TableParagraph"/>
              <w:spacing w:line="177" w:lineRule="exact" w:before="2"/>
              <w:ind w:left="84"/>
              <w:rPr>
                <w:sz w:val="16"/>
              </w:rPr>
            </w:pPr>
            <w:r>
              <w:rPr>
                <w:spacing w:val="-10"/>
                <w:w w:val="105"/>
                <w:sz w:val="16"/>
              </w:rPr>
              <w:t>$</w:t>
            </w:r>
          </w:p>
        </w:tc>
        <w:tc>
          <w:tcPr>
            <w:tcW w:w="529" w:type="dxa"/>
            <w:tcBorders>
              <w:top w:val="single" w:sz="6" w:space="0" w:color="000000"/>
              <w:bottom w:val="double" w:sz="6" w:space="0" w:color="000000"/>
            </w:tcBorders>
            <w:shd w:val="clear" w:color="auto" w:fill="CCEDFF"/>
          </w:tcPr>
          <w:p>
            <w:pPr>
              <w:pStyle w:val="TableParagraph"/>
              <w:spacing w:line="177" w:lineRule="exact" w:before="2"/>
              <w:ind w:left="162"/>
              <w:rPr>
                <w:sz w:val="16"/>
              </w:rPr>
            </w:pPr>
            <w:r>
              <w:rPr>
                <w:spacing w:val="-5"/>
                <w:w w:val="105"/>
                <w:sz w:val="16"/>
              </w:rPr>
              <w:t>157</w:t>
            </w:r>
          </w:p>
        </w:tc>
      </w:tr>
      <w:tr>
        <w:trPr>
          <w:trHeight w:val="200" w:hRule="atLeast"/>
        </w:trPr>
        <w:tc>
          <w:tcPr>
            <w:tcW w:w="4227" w:type="dxa"/>
            <w:tcBorders>
              <w:top w:val="double" w:sz="6" w:space="0" w:color="000000"/>
            </w:tcBorders>
          </w:tcPr>
          <w:p>
            <w:pPr>
              <w:pStyle w:val="TableParagraph"/>
              <w:rPr>
                <w:sz w:val="12"/>
              </w:rPr>
            </w:pPr>
          </w:p>
        </w:tc>
        <w:tc>
          <w:tcPr>
            <w:tcW w:w="3965" w:type="dxa"/>
            <w:tcBorders>
              <w:top w:val="double" w:sz="6" w:space="0" w:color="000000"/>
            </w:tcBorders>
          </w:tcPr>
          <w:p>
            <w:pPr>
              <w:pStyle w:val="TableParagraph"/>
              <w:rPr>
                <w:sz w:val="12"/>
              </w:rPr>
            </w:pPr>
          </w:p>
        </w:tc>
        <w:tc>
          <w:tcPr>
            <w:tcW w:w="1077" w:type="dxa"/>
            <w:tcBorders>
              <w:top w:val="double" w:sz="6" w:space="0" w:color="000000"/>
            </w:tcBorders>
          </w:tcPr>
          <w:p>
            <w:pPr>
              <w:pStyle w:val="TableParagraph"/>
              <w:rPr>
                <w:sz w:val="12"/>
              </w:rPr>
            </w:pPr>
          </w:p>
        </w:tc>
        <w:tc>
          <w:tcPr>
            <w:tcW w:w="557" w:type="dxa"/>
            <w:tcBorders>
              <w:top w:val="double" w:sz="6" w:space="0" w:color="000000"/>
            </w:tcBorders>
          </w:tcPr>
          <w:p>
            <w:pPr>
              <w:pStyle w:val="TableParagraph"/>
              <w:rPr>
                <w:sz w:val="12"/>
              </w:rPr>
            </w:pPr>
          </w:p>
        </w:tc>
        <w:tc>
          <w:tcPr>
            <w:tcW w:w="1164" w:type="dxa"/>
            <w:tcBorders>
              <w:top w:val="double" w:sz="6" w:space="0" w:color="000000"/>
            </w:tcBorders>
          </w:tcPr>
          <w:p>
            <w:pPr>
              <w:pStyle w:val="TableParagraph"/>
              <w:rPr>
                <w:sz w:val="12"/>
              </w:rPr>
            </w:pPr>
          </w:p>
        </w:tc>
        <w:tc>
          <w:tcPr>
            <w:tcW w:w="529" w:type="dxa"/>
            <w:tcBorders>
              <w:top w:val="double" w:sz="6" w:space="0" w:color="000000"/>
            </w:tcBorders>
          </w:tcPr>
          <w:p>
            <w:pPr>
              <w:pStyle w:val="TableParagraph"/>
              <w:rPr>
                <w:sz w:val="12"/>
              </w:rPr>
            </w:pPr>
          </w:p>
        </w:tc>
      </w:tr>
      <w:tr>
        <w:trPr>
          <w:trHeight w:val="203" w:hRule="atLeast"/>
        </w:trPr>
        <w:tc>
          <w:tcPr>
            <w:tcW w:w="4227" w:type="dxa"/>
            <w:shd w:val="clear" w:color="auto" w:fill="CCEDFF"/>
          </w:tcPr>
          <w:p>
            <w:pPr>
              <w:pStyle w:val="TableParagraph"/>
              <w:spacing w:line="180" w:lineRule="exact" w:before="3"/>
              <w:rPr>
                <w:sz w:val="16"/>
              </w:rPr>
            </w:pPr>
            <w:r>
              <w:rPr>
                <w:w w:val="105"/>
                <w:sz w:val="16"/>
              </w:rPr>
              <w:t>Current</w:t>
            </w:r>
            <w:r>
              <w:rPr>
                <w:spacing w:val="-10"/>
                <w:w w:val="105"/>
                <w:sz w:val="16"/>
              </w:rPr>
              <w:t> </w:t>
            </w:r>
            <w:r>
              <w:rPr>
                <w:w w:val="105"/>
                <w:sz w:val="16"/>
              </w:rPr>
              <w:t>portion</w:t>
            </w:r>
            <w:r>
              <w:rPr>
                <w:spacing w:val="-9"/>
                <w:w w:val="105"/>
                <w:sz w:val="16"/>
              </w:rPr>
              <w:t> </w:t>
            </w:r>
            <w:r>
              <w:rPr>
                <w:w w:val="105"/>
                <w:sz w:val="16"/>
              </w:rPr>
              <w:t>of</w:t>
            </w:r>
            <w:r>
              <w:rPr>
                <w:spacing w:val="-9"/>
                <w:w w:val="105"/>
                <w:sz w:val="16"/>
              </w:rPr>
              <w:t> </w:t>
            </w:r>
            <w:r>
              <w:rPr>
                <w:w w:val="105"/>
                <w:sz w:val="16"/>
              </w:rPr>
              <w:t>long-term</w:t>
            </w:r>
            <w:r>
              <w:rPr>
                <w:spacing w:val="-9"/>
                <w:w w:val="105"/>
                <w:sz w:val="16"/>
              </w:rPr>
              <w:t> </w:t>
            </w:r>
            <w:r>
              <w:rPr>
                <w:spacing w:val="-4"/>
                <w:w w:val="105"/>
                <w:sz w:val="16"/>
              </w:rPr>
              <w:t>debt</w:t>
            </w:r>
          </w:p>
        </w:tc>
        <w:tc>
          <w:tcPr>
            <w:tcW w:w="3965" w:type="dxa"/>
            <w:shd w:val="clear" w:color="auto" w:fill="CCEDFF"/>
          </w:tcPr>
          <w:p>
            <w:pPr>
              <w:pStyle w:val="TableParagraph"/>
              <w:rPr>
                <w:sz w:val="14"/>
              </w:rPr>
            </w:pPr>
          </w:p>
        </w:tc>
        <w:tc>
          <w:tcPr>
            <w:tcW w:w="1077" w:type="dxa"/>
            <w:shd w:val="clear" w:color="auto" w:fill="CCEDFF"/>
          </w:tcPr>
          <w:p>
            <w:pPr>
              <w:pStyle w:val="TableParagraph"/>
              <w:spacing w:line="180" w:lineRule="exact" w:before="3"/>
              <w:ind w:left="-2"/>
              <w:rPr>
                <w:b/>
                <w:sz w:val="16"/>
              </w:rPr>
            </w:pPr>
            <w:r>
              <w:rPr>
                <w:b/>
                <w:spacing w:val="-10"/>
                <w:w w:val="105"/>
                <w:sz w:val="16"/>
              </w:rPr>
              <w:t>$</w:t>
            </w:r>
          </w:p>
        </w:tc>
        <w:tc>
          <w:tcPr>
            <w:tcW w:w="557" w:type="dxa"/>
            <w:shd w:val="clear" w:color="auto" w:fill="CCEDFF"/>
          </w:tcPr>
          <w:p>
            <w:pPr>
              <w:pStyle w:val="TableParagraph"/>
              <w:spacing w:line="180" w:lineRule="exact" w:before="3"/>
              <w:ind w:left="101"/>
              <w:jc w:val="center"/>
              <w:rPr>
                <w:b/>
                <w:sz w:val="16"/>
              </w:rPr>
            </w:pPr>
            <w:r>
              <w:rPr>
                <w:b/>
                <w:spacing w:val="-5"/>
                <w:w w:val="105"/>
                <w:sz w:val="16"/>
              </w:rPr>
              <w:t>15</w:t>
            </w:r>
          </w:p>
        </w:tc>
        <w:tc>
          <w:tcPr>
            <w:tcW w:w="1164" w:type="dxa"/>
            <w:shd w:val="clear" w:color="auto" w:fill="CCEDFF"/>
          </w:tcPr>
          <w:p>
            <w:pPr>
              <w:pStyle w:val="TableParagraph"/>
              <w:spacing w:line="180" w:lineRule="exact" w:before="3"/>
              <w:ind w:left="84"/>
              <w:rPr>
                <w:sz w:val="16"/>
              </w:rPr>
            </w:pPr>
            <w:r>
              <w:rPr>
                <w:spacing w:val="-10"/>
                <w:w w:val="105"/>
                <w:sz w:val="16"/>
              </w:rPr>
              <w:t>$</w:t>
            </w:r>
          </w:p>
        </w:tc>
        <w:tc>
          <w:tcPr>
            <w:tcW w:w="529" w:type="dxa"/>
            <w:shd w:val="clear" w:color="auto" w:fill="CCEDFF"/>
          </w:tcPr>
          <w:p>
            <w:pPr>
              <w:pStyle w:val="TableParagraph"/>
              <w:spacing w:line="180" w:lineRule="exact" w:before="3"/>
              <w:ind w:left="245"/>
              <w:rPr>
                <w:sz w:val="16"/>
              </w:rPr>
            </w:pPr>
            <w:r>
              <w:rPr>
                <w:spacing w:val="-5"/>
                <w:w w:val="105"/>
                <w:sz w:val="16"/>
              </w:rPr>
              <w:t>10</w:t>
            </w:r>
          </w:p>
        </w:tc>
      </w:tr>
      <w:tr>
        <w:trPr>
          <w:trHeight w:val="202" w:hRule="atLeast"/>
        </w:trPr>
        <w:tc>
          <w:tcPr>
            <w:tcW w:w="4227" w:type="dxa"/>
            <w:tcBorders>
              <w:bottom w:val="single" w:sz="6" w:space="0" w:color="000000"/>
            </w:tcBorders>
          </w:tcPr>
          <w:p>
            <w:pPr>
              <w:pStyle w:val="TableParagraph"/>
              <w:spacing w:line="179" w:lineRule="exact" w:before="3"/>
              <w:rPr>
                <w:sz w:val="16"/>
              </w:rPr>
            </w:pPr>
            <w:r>
              <w:rPr>
                <w:sz w:val="16"/>
              </w:rPr>
              <w:t>Long-term</w:t>
            </w:r>
            <w:r>
              <w:rPr>
                <w:spacing w:val="21"/>
                <w:sz w:val="16"/>
              </w:rPr>
              <w:t> </w:t>
            </w:r>
            <w:r>
              <w:rPr>
                <w:spacing w:val="-4"/>
                <w:sz w:val="16"/>
              </w:rPr>
              <w:t>debt</w:t>
            </w:r>
          </w:p>
        </w:tc>
        <w:tc>
          <w:tcPr>
            <w:tcW w:w="3965" w:type="dxa"/>
            <w:tcBorders>
              <w:bottom w:val="single" w:sz="6" w:space="0" w:color="000000"/>
            </w:tcBorders>
          </w:tcPr>
          <w:p>
            <w:pPr>
              <w:pStyle w:val="TableParagraph"/>
              <w:rPr>
                <w:sz w:val="14"/>
              </w:rPr>
            </w:pPr>
          </w:p>
        </w:tc>
        <w:tc>
          <w:tcPr>
            <w:tcW w:w="1077" w:type="dxa"/>
            <w:tcBorders>
              <w:bottom w:val="single" w:sz="6" w:space="0" w:color="000000"/>
            </w:tcBorders>
          </w:tcPr>
          <w:p>
            <w:pPr>
              <w:pStyle w:val="TableParagraph"/>
              <w:rPr>
                <w:sz w:val="14"/>
              </w:rPr>
            </w:pPr>
          </w:p>
        </w:tc>
        <w:tc>
          <w:tcPr>
            <w:tcW w:w="557" w:type="dxa"/>
            <w:tcBorders>
              <w:bottom w:val="single" w:sz="6" w:space="0" w:color="000000"/>
            </w:tcBorders>
          </w:tcPr>
          <w:p>
            <w:pPr>
              <w:pStyle w:val="TableParagraph"/>
              <w:spacing w:line="179" w:lineRule="exact" w:before="3"/>
              <w:ind w:left="18"/>
              <w:jc w:val="center"/>
              <w:rPr>
                <w:b/>
                <w:sz w:val="16"/>
              </w:rPr>
            </w:pPr>
            <w:r>
              <w:rPr>
                <w:b/>
                <w:spacing w:val="-5"/>
                <w:w w:val="105"/>
                <w:sz w:val="16"/>
              </w:rPr>
              <w:t>168</w:t>
            </w:r>
          </w:p>
        </w:tc>
        <w:tc>
          <w:tcPr>
            <w:tcW w:w="1164" w:type="dxa"/>
            <w:tcBorders>
              <w:bottom w:val="single" w:sz="6" w:space="0" w:color="000000"/>
            </w:tcBorders>
          </w:tcPr>
          <w:p>
            <w:pPr>
              <w:pStyle w:val="TableParagraph"/>
              <w:rPr>
                <w:sz w:val="14"/>
              </w:rPr>
            </w:pPr>
          </w:p>
        </w:tc>
        <w:tc>
          <w:tcPr>
            <w:tcW w:w="529" w:type="dxa"/>
            <w:tcBorders>
              <w:bottom w:val="single" w:sz="6" w:space="0" w:color="000000"/>
            </w:tcBorders>
          </w:tcPr>
          <w:p>
            <w:pPr>
              <w:pStyle w:val="TableParagraph"/>
              <w:spacing w:line="179" w:lineRule="exact" w:before="3"/>
              <w:ind w:left="162"/>
              <w:rPr>
                <w:sz w:val="16"/>
              </w:rPr>
            </w:pPr>
            <w:r>
              <w:rPr>
                <w:spacing w:val="-5"/>
                <w:w w:val="105"/>
                <w:sz w:val="16"/>
              </w:rPr>
              <w:t>163</w:t>
            </w:r>
          </w:p>
        </w:tc>
      </w:tr>
      <w:tr>
        <w:trPr>
          <w:trHeight w:val="199" w:hRule="atLeast"/>
        </w:trPr>
        <w:tc>
          <w:tcPr>
            <w:tcW w:w="4227"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Total</w:t>
            </w:r>
            <w:r>
              <w:rPr>
                <w:spacing w:val="-9"/>
                <w:w w:val="105"/>
                <w:sz w:val="16"/>
              </w:rPr>
              <w:t> </w:t>
            </w:r>
            <w:r>
              <w:rPr>
                <w:w w:val="105"/>
                <w:sz w:val="16"/>
              </w:rPr>
              <w:t>finance</w:t>
            </w:r>
            <w:r>
              <w:rPr>
                <w:spacing w:val="-9"/>
                <w:w w:val="105"/>
                <w:sz w:val="16"/>
              </w:rPr>
              <w:t> </w:t>
            </w:r>
            <w:r>
              <w:rPr>
                <w:w w:val="105"/>
                <w:sz w:val="16"/>
              </w:rPr>
              <w:t>lease</w:t>
            </w:r>
            <w:r>
              <w:rPr>
                <w:spacing w:val="-8"/>
                <w:w w:val="105"/>
                <w:sz w:val="16"/>
              </w:rPr>
              <w:t> </w:t>
            </w:r>
            <w:r>
              <w:rPr>
                <w:spacing w:val="-2"/>
                <w:w w:val="105"/>
                <w:sz w:val="16"/>
              </w:rPr>
              <w:t>liabilities</w:t>
            </w:r>
          </w:p>
        </w:tc>
        <w:tc>
          <w:tcPr>
            <w:tcW w:w="3965" w:type="dxa"/>
            <w:tcBorders>
              <w:top w:val="single" w:sz="6" w:space="0" w:color="000000"/>
              <w:bottom w:val="double" w:sz="6" w:space="0" w:color="000000"/>
            </w:tcBorders>
            <w:shd w:val="clear" w:color="auto" w:fill="CCEDFF"/>
          </w:tcPr>
          <w:p>
            <w:pPr>
              <w:pStyle w:val="TableParagraph"/>
              <w:rPr>
                <w:sz w:val="12"/>
              </w:rPr>
            </w:pPr>
          </w:p>
        </w:tc>
        <w:tc>
          <w:tcPr>
            <w:tcW w:w="1077" w:type="dxa"/>
            <w:tcBorders>
              <w:top w:val="single" w:sz="6" w:space="0" w:color="000000"/>
              <w:bottom w:val="double" w:sz="6" w:space="0" w:color="000000"/>
            </w:tcBorders>
            <w:shd w:val="clear" w:color="auto" w:fill="CCEDFF"/>
          </w:tcPr>
          <w:p>
            <w:pPr>
              <w:pStyle w:val="TableParagraph"/>
              <w:spacing w:line="177" w:lineRule="exact" w:before="2"/>
              <w:ind w:left="-2"/>
              <w:rPr>
                <w:b/>
                <w:sz w:val="16"/>
              </w:rPr>
            </w:pPr>
            <w:r>
              <w:rPr>
                <w:b/>
                <w:spacing w:val="-10"/>
                <w:w w:val="105"/>
                <w:sz w:val="16"/>
              </w:rPr>
              <w:t>$</w:t>
            </w:r>
          </w:p>
        </w:tc>
        <w:tc>
          <w:tcPr>
            <w:tcW w:w="557" w:type="dxa"/>
            <w:tcBorders>
              <w:top w:val="single" w:sz="6" w:space="0" w:color="000000"/>
              <w:bottom w:val="double" w:sz="6" w:space="0" w:color="000000"/>
            </w:tcBorders>
            <w:shd w:val="clear" w:color="auto" w:fill="CCEDFF"/>
          </w:tcPr>
          <w:p>
            <w:pPr>
              <w:pStyle w:val="TableParagraph"/>
              <w:spacing w:line="177" w:lineRule="exact" w:before="2"/>
              <w:ind w:left="18"/>
              <w:jc w:val="center"/>
              <w:rPr>
                <w:b/>
                <w:sz w:val="16"/>
              </w:rPr>
            </w:pPr>
            <w:r>
              <w:rPr>
                <w:b/>
                <w:spacing w:val="-5"/>
                <w:w w:val="105"/>
                <w:sz w:val="16"/>
              </w:rPr>
              <w:t>183</w:t>
            </w:r>
          </w:p>
        </w:tc>
        <w:tc>
          <w:tcPr>
            <w:tcW w:w="1164" w:type="dxa"/>
            <w:tcBorders>
              <w:top w:val="single" w:sz="6" w:space="0" w:color="000000"/>
              <w:bottom w:val="double" w:sz="6" w:space="0" w:color="000000"/>
            </w:tcBorders>
            <w:shd w:val="clear" w:color="auto" w:fill="CCEDFF"/>
          </w:tcPr>
          <w:p>
            <w:pPr>
              <w:pStyle w:val="TableParagraph"/>
              <w:spacing w:line="177" w:lineRule="exact" w:before="2"/>
              <w:ind w:left="84"/>
              <w:rPr>
                <w:sz w:val="16"/>
              </w:rPr>
            </w:pPr>
            <w:r>
              <w:rPr>
                <w:spacing w:val="-10"/>
                <w:w w:val="105"/>
                <w:sz w:val="16"/>
              </w:rPr>
              <w:t>$</w:t>
            </w:r>
          </w:p>
        </w:tc>
        <w:tc>
          <w:tcPr>
            <w:tcW w:w="529" w:type="dxa"/>
            <w:tcBorders>
              <w:top w:val="single" w:sz="6" w:space="0" w:color="000000"/>
              <w:bottom w:val="double" w:sz="6" w:space="0" w:color="000000"/>
            </w:tcBorders>
            <w:shd w:val="clear" w:color="auto" w:fill="CCEDFF"/>
          </w:tcPr>
          <w:p>
            <w:pPr>
              <w:pStyle w:val="TableParagraph"/>
              <w:spacing w:line="177" w:lineRule="exact" w:before="2"/>
              <w:ind w:left="162"/>
              <w:rPr>
                <w:sz w:val="16"/>
              </w:rPr>
            </w:pPr>
            <w:r>
              <w:rPr>
                <w:spacing w:val="-5"/>
                <w:w w:val="105"/>
                <w:sz w:val="16"/>
              </w:rPr>
              <w:t>173</w:t>
            </w:r>
          </w:p>
        </w:tc>
      </w:tr>
      <w:tr>
        <w:trPr>
          <w:trHeight w:val="613" w:hRule="atLeast"/>
        </w:trPr>
        <w:tc>
          <w:tcPr>
            <w:tcW w:w="4227" w:type="dxa"/>
            <w:tcBorders>
              <w:top w:val="double" w:sz="6" w:space="0" w:color="000000"/>
            </w:tcBorders>
          </w:tcPr>
          <w:p>
            <w:pPr>
              <w:pStyle w:val="TableParagraph"/>
              <w:spacing w:before="36"/>
              <w:rPr>
                <w:sz w:val="14"/>
              </w:rPr>
            </w:pPr>
          </w:p>
          <w:p>
            <w:pPr>
              <w:pStyle w:val="TableParagraph"/>
              <w:numPr>
                <w:ilvl w:val="0"/>
                <w:numId w:val="43"/>
              </w:numPr>
              <w:tabs>
                <w:tab w:pos="304" w:val="left" w:leader="none"/>
              </w:tabs>
              <w:spacing w:line="157" w:lineRule="exact" w:before="0" w:after="0"/>
              <w:ind w:left="304" w:right="0" w:hanging="304"/>
              <w:jc w:val="left"/>
              <w:rPr>
                <w:sz w:val="14"/>
              </w:rPr>
            </w:pPr>
            <w:r>
              <w:rPr>
                <w:sz w:val="14"/>
              </w:rPr>
              <w:t>Included in other </w:t>
            </w:r>
            <w:r>
              <w:rPr>
                <w:spacing w:val="-2"/>
                <w:sz w:val="14"/>
              </w:rPr>
              <w:t>assets.</w:t>
            </w:r>
          </w:p>
          <w:p>
            <w:pPr>
              <w:pStyle w:val="TableParagraph"/>
              <w:numPr>
                <w:ilvl w:val="0"/>
                <w:numId w:val="43"/>
              </w:numPr>
              <w:tabs>
                <w:tab w:pos="304" w:val="left" w:leader="none"/>
              </w:tabs>
              <w:spacing w:line="157" w:lineRule="exact" w:before="0" w:after="0"/>
              <w:ind w:left="304" w:right="0" w:hanging="304"/>
              <w:jc w:val="left"/>
              <w:rPr>
                <w:sz w:val="14"/>
              </w:rPr>
            </w:pPr>
            <w:r>
              <w:rPr>
                <w:sz w:val="14"/>
              </w:rPr>
              <w:t>Included in other </w:t>
            </w:r>
            <w:r>
              <w:rPr>
                <w:spacing w:val="-2"/>
                <w:sz w:val="14"/>
              </w:rPr>
              <w:t>liabilities.</w:t>
            </w:r>
          </w:p>
        </w:tc>
        <w:tc>
          <w:tcPr>
            <w:tcW w:w="3965" w:type="dxa"/>
            <w:tcBorders>
              <w:top w:val="double" w:sz="6" w:space="0" w:color="000000"/>
            </w:tcBorders>
          </w:tcPr>
          <w:p>
            <w:pPr>
              <w:pStyle w:val="TableParagraph"/>
              <w:rPr>
                <w:sz w:val="16"/>
              </w:rPr>
            </w:pPr>
          </w:p>
        </w:tc>
        <w:tc>
          <w:tcPr>
            <w:tcW w:w="1077" w:type="dxa"/>
            <w:tcBorders>
              <w:top w:val="double" w:sz="6" w:space="0" w:color="000000"/>
            </w:tcBorders>
          </w:tcPr>
          <w:p>
            <w:pPr>
              <w:pStyle w:val="TableParagraph"/>
              <w:rPr>
                <w:sz w:val="16"/>
              </w:rPr>
            </w:pPr>
          </w:p>
        </w:tc>
        <w:tc>
          <w:tcPr>
            <w:tcW w:w="557" w:type="dxa"/>
            <w:tcBorders>
              <w:top w:val="double" w:sz="6" w:space="0" w:color="000000"/>
            </w:tcBorders>
          </w:tcPr>
          <w:p>
            <w:pPr>
              <w:pStyle w:val="TableParagraph"/>
              <w:rPr>
                <w:sz w:val="16"/>
              </w:rPr>
            </w:pPr>
          </w:p>
        </w:tc>
        <w:tc>
          <w:tcPr>
            <w:tcW w:w="1164" w:type="dxa"/>
            <w:tcBorders>
              <w:top w:val="double" w:sz="6" w:space="0" w:color="000000"/>
            </w:tcBorders>
          </w:tcPr>
          <w:p>
            <w:pPr>
              <w:pStyle w:val="TableParagraph"/>
              <w:rPr>
                <w:sz w:val="16"/>
              </w:rPr>
            </w:pPr>
          </w:p>
        </w:tc>
        <w:tc>
          <w:tcPr>
            <w:tcW w:w="529" w:type="dxa"/>
            <w:tcBorders>
              <w:top w:val="double" w:sz="6" w:space="0" w:color="000000"/>
            </w:tcBorders>
          </w:tcPr>
          <w:p>
            <w:pPr>
              <w:pStyle w:val="TableParagraph"/>
              <w:rPr>
                <w:sz w:val="16"/>
              </w:rPr>
            </w:pPr>
          </w:p>
        </w:tc>
      </w:tr>
      <w:tr>
        <w:trPr>
          <w:trHeight w:val="374" w:hRule="atLeast"/>
        </w:trPr>
        <w:tc>
          <w:tcPr>
            <w:tcW w:w="4227" w:type="dxa"/>
            <w:tcBorders>
              <w:bottom w:val="single" w:sz="12" w:space="0" w:color="000000"/>
            </w:tcBorders>
          </w:tcPr>
          <w:p>
            <w:pPr>
              <w:pStyle w:val="TableParagraph"/>
              <w:rPr>
                <w:sz w:val="16"/>
              </w:rPr>
            </w:pPr>
          </w:p>
        </w:tc>
        <w:tc>
          <w:tcPr>
            <w:tcW w:w="3965" w:type="dxa"/>
            <w:tcBorders>
              <w:bottom w:val="single" w:sz="12" w:space="0" w:color="000000"/>
            </w:tcBorders>
          </w:tcPr>
          <w:p>
            <w:pPr>
              <w:pStyle w:val="TableParagraph"/>
              <w:spacing w:before="100"/>
              <w:ind w:right="901"/>
              <w:jc w:val="center"/>
              <w:rPr>
                <w:sz w:val="16"/>
              </w:rPr>
            </w:pPr>
            <w:r>
              <w:rPr>
                <w:spacing w:val="-5"/>
                <w:w w:val="105"/>
                <w:sz w:val="16"/>
              </w:rPr>
              <w:t>84</w:t>
            </w:r>
          </w:p>
        </w:tc>
        <w:tc>
          <w:tcPr>
            <w:tcW w:w="1077" w:type="dxa"/>
            <w:tcBorders>
              <w:bottom w:val="single" w:sz="12" w:space="0" w:color="000000"/>
            </w:tcBorders>
          </w:tcPr>
          <w:p>
            <w:pPr>
              <w:pStyle w:val="TableParagraph"/>
              <w:rPr>
                <w:sz w:val="16"/>
              </w:rPr>
            </w:pPr>
          </w:p>
        </w:tc>
        <w:tc>
          <w:tcPr>
            <w:tcW w:w="557" w:type="dxa"/>
            <w:tcBorders>
              <w:bottom w:val="single" w:sz="12" w:space="0" w:color="000000"/>
            </w:tcBorders>
          </w:tcPr>
          <w:p>
            <w:pPr>
              <w:pStyle w:val="TableParagraph"/>
              <w:rPr>
                <w:sz w:val="16"/>
              </w:rPr>
            </w:pPr>
          </w:p>
        </w:tc>
        <w:tc>
          <w:tcPr>
            <w:tcW w:w="1164" w:type="dxa"/>
            <w:tcBorders>
              <w:bottom w:val="single" w:sz="12" w:space="0" w:color="000000"/>
            </w:tcBorders>
          </w:tcPr>
          <w:p>
            <w:pPr>
              <w:pStyle w:val="TableParagraph"/>
              <w:rPr>
                <w:sz w:val="16"/>
              </w:rPr>
            </w:pPr>
          </w:p>
        </w:tc>
        <w:tc>
          <w:tcPr>
            <w:tcW w:w="529" w:type="dxa"/>
            <w:tcBorders>
              <w:bottom w:val="single" w:sz="12" w:space="0" w:color="000000"/>
            </w:tcBorders>
          </w:tcPr>
          <w:p>
            <w:pPr>
              <w:pStyle w:val="TableParagraph"/>
              <w:rPr>
                <w:sz w:val="16"/>
              </w:rPr>
            </w:pPr>
          </w:p>
        </w:tc>
      </w:tr>
    </w:tbl>
    <w:p>
      <w:pPr>
        <w:spacing w:after="0"/>
        <w:rPr>
          <w:sz w:val="16"/>
        </w:rPr>
        <w:sectPr>
          <w:pgSz w:w="12240" w:h="15840"/>
          <w:pgMar w:header="428" w:footer="0" w:top="620" w:bottom="280" w:left="200" w:right="260"/>
        </w:sectPr>
      </w:pPr>
    </w:p>
    <w:p>
      <w:pPr>
        <w:pStyle w:val="BodyText"/>
        <w:spacing w:before="38"/>
      </w:pPr>
    </w:p>
    <w:p>
      <w:pPr>
        <w:pStyle w:val="Heading2"/>
        <w:numPr>
          <w:ilvl w:val="0"/>
          <w:numId w:val="42"/>
        </w:numPr>
        <w:tabs>
          <w:tab w:pos="362" w:val="left" w:leader="none"/>
        </w:tabs>
        <w:spacing w:line="240" w:lineRule="auto" w:before="0" w:after="0"/>
        <w:ind w:left="362" w:right="0" w:hanging="206"/>
        <w:jc w:val="left"/>
      </w:pPr>
      <w:r>
        <w:rPr/>
        <w:t>Leases</w:t>
      </w:r>
      <w:r>
        <w:rPr>
          <w:spacing w:val="9"/>
        </w:rPr>
        <w:t> </w:t>
      </w:r>
      <w:r>
        <w:rPr>
          <w:spacing w:val="-2"/>
        </w:rPr>
        <w:t>(Continued)</w:t>
      </w:r>
    </w:p>
    <w:p>
      <w:pPr>
        <w:pStyle w:val="BodyText"/>
        <w:spacing w:before="40"/>
        <w:rPr>
          <w:b/>
        </w:rPr>
      </w:pPr>
    </w:p>
    <w:p>
      <w:pPr>
        <w:pStyle w:val="BodyText"/>
        <w:spacing w:line="266" w:lineRule="auto"/>
        <w:ind w:left="156"/>
      </w:pPr>
      <w:r>
        <w:rPr>
          <w:w w:val="105"/>
        </w:rPr>
        <w:t>The</w:t>
      </w:r>
      <w:r>
        <w:rPr>
          <w:spacing w:val="-8"/>
          <w:w w:val="105"/>
        </w:rPr>
        <w:t> </w:t>
      </w:r>
      <w:r>
        <w:rPr>
          <w:w w:val="105"/>
        </w:rPr>
        <w:t>weighted</w:t>
      </w:r>
      <w:r>
        <w:rPr>
          <w:spacing w:val="-8"/>
          <w:w w:val="105"/>
        </w:rPr>
        <w:t> </w:t>
      </w:r>
      <w:r>
        <w:rPr>
          <w:w w:val="105"/>
        </w:rPr>
        <w:t>average</w:t>
      </w:r>
      <w:r>
        <w:rPr>
          <w:spacing w:val="-8"/>
          <w:w w:val="105"/>
        </w:rPr>
        <w:t> </w:t>
      </w:r>
      <w:r>
        <w:rPr>
          <w:w w:val="105"/>
        </w:rPr>
        <w:t>remaining</w:t>
      </w:r>
      <w:r>
        <w:rPr>
          <w:spacing w:val="-8"/>
          <w:w w:val="105"/>
        </w:rPr>
        <w:t> </w:t>
      </w:r>
      <w:r>
        <w:rPr>
          <w:w w:val="105"/>
        </w:rPr>
        <w:t>lease</w:t>
      </w:r>
      <w:r>
        <w:rPr>
          <w:spacing w:val="-8"/>
          <w:w w:val="105"/>
        </w:rPr>
        <w:t> </w:t>
      </w:r>
      <w:r>
        <w:rPr>
          <w:w w:val="105"/>
        </w:rPr>
        <w:t>terms</w:t>
      </w:r>
      <w:r>
        <w:rPr>
          <w:spacing w:val="-8"/>
          <w:w w:val="105"/>
        </w:rPr>
        <w:t> </w:t>
      </w:r>
      <w:r>
        <w:rPr>
          <w:w w:val="105"/>
        </w:rPr>
        <w:t>and</w:t>
      </w:r>
      <w:r>
        <w:rPr>
          <w:spacing w:val="-8"/>
          <w:w w:val="105"/>
        </w:rPr>
        <w:t> </w:t>
      </w:r>
      <w:r>
        <w:rPr>
          <w:w w:val="105"/>
        </w:rPr>
        <w:t>weighted</w:t>
      </w:r>
      <w:r>
        <w:rPr>
          <w:spacing w:val="-8"/>
          <w:w w:val="105"/>
        </w:rPr>
        <w:t> </w:t>
      </w:r>
      <w:r>
        <w:rPr>
          <w:w w:val="105"/>
        </w:rPr>
        <w:t>average</w:t>
      </w:r>
      <w:r>
        <w:rPr>
          <w:spacing w:val="-8"/>
          <w:w w:val="105"/>
        </w:rPr>
        <w:t> </w:t>
      </w:r>
      <w:r>
        <w:rPr>
          <w:w w:val="105"/>
        </w:rPr>
        <w:t>discount</w:t>
      </w:r>
      <w:r>
        <w:rPr>
          <w:spacing w:val="-8"/>
          <w:w w:val="105"/>
        </w:rPr>
        <w:t> </w:t>
      </w:r>
      <w:r>
        <w:rPr>
          <w:w w:val="105"/>
        </w:rPr>
        <w:t>rates</w:t>
      </w:r>
      <w:r>
        <w:rPr>
          <w:spacing w:val="-8"/>
          <w:w w:val="105"/>
        </w:rPr>
        <w:t> </w:t>
      </w:r>
      <w:r>
        <w:rPr>
          <w:w w:val="105"/>
        </w:rPr>
        <w:t>for</w:t>
      </w:r>
      <w:r>
        <w:rPr>
          <w:spacing w:val="-8"/>
          <w:w w:val="105"/>
        </w:rPr>
        <w:t> </w:t>
      </w:r>
      <w:r>
        <w:rPr>
          <w:w w:val="105"/>
        </w:rPr>
        <w:t>operating</w:t>
      </w:r>
      <w:r>
        <w:rPr>
          <w:spacing w:val="-8"/>
          <w:w w:val="105"/>
        </w:rPr>
        <w:t> </w:t>
      </w:r>
      <w:r>
        <w:rPr>
          <w:w w:val="105"/>
        </w:rPr>
        <w:t>and</w:t>
      </w:r>
      <w:r>
        <w:rPr>
          <w:spacing w:val="-8"/>
          <w:w w:val="105"/>
        </w:rPr>
        <w:t> </w:t>
      </w:r>
      <w:r>
        <w:rPr>
          <w:w w:val="105"/>
        </w:rPr>
        <w:t>finance</w:t>
      </w:r>
      <w:r>
        <w:rPr>
          <w:spacing w:val="-8"/>
          <w:w w:val="105"/>
        </w:rPr>
        <w:t> </w:t>
      </w:r>
      <w:r>
        <w:rPr>
          <w:w w:val="105"/>
        </w:rPr>
        <w:t>leases,</w:t>
      </w:r>
      <w:r>
        <w:rPr>
          <w:spacing w:val="-8"/>
          <w:w w:val="105"/>
        </w:rPr>
        <w:t> </w:t>
      </w:r>
      <w:r>
        <w:rPr>
          <w:w w:val="105"/>
        </w:rPr>
        <w:t>respectively,</w:t>
      </w:r>
      <w:r>
        <w:rPr>
          <w:spacing w:val="-6"/>
          <w:w w:val="105"/>
        </w:rPr>
        <w:t> </w:t>
      </w:r>
      <w:r>
        <w:rPr>
          <w:w w:val="105"/>
        </w:rPr>
        <w:t>are</w:t>
      </w:r>
      <w:r>
        <w:rPr>
          <w:spacing w:val="-8"/>
          <w:w w:val="105"/>
        </w:rPr>
        <w:t> </w:t>
      </w:r>
      <w:r>
        <w:rPr>
          <w:w w:val="105"/>
        </w:rPr>
        <w:t>12.9</w:t>
      </w:r>
      <w:r>
        <w:rPr>
          <w:spacing w:val="-8"/>
          <w:w w:val="105"/>
        </w:rPr>
        <w:t> </w:t>
      </w:r>
      <w:r>
        <w:rPr>
          <w:w w:val="105"/>
        </w:rPr>
        <w:t>years</w:t>
      </w:r>
      <w:r>
        <w:rPr>
          <w:spacing w:val="-8"/>
          <w:w w:val="105"/>
        </w:rPr>
        <w:t> </w:t>
      </w:r>
      <w:r>
        <w:rPr>
          <w:w w:val="105"/>
        </w:rPr>
        <w:t>and</w:t>
      </w:r>
      <w:r>
        <w:rPr>
          <w:spacing w:val="-8"/>
          <w:w w:val="105"/>
        </w:rPr>
        <w:t> </w:t>
      </w:r>
      <w:r>
        <w:rPr>
          <w:w w:val="105"/>
        </w:rPr>
        <w:t>15.0</w:t>
      </w:r>
      <w:r>
        <w:rPr>
          <w:spacing w:val="-8"/>
          <w:w w:val="105"/>
        </w:rPr>
        <w:t> </w:t>
      </w:r>
      <w:r>
        <w:rPr>
          <w:w w:val="105"/>
        </w:rPr>
        <w:t>years</w:t>
      </w:r>
      <w:r>
        <w:rPr>
          <w:spacing w:val="-8"/>
          <w:w w:val="105"/>
        </w:rPr>
        <w:t> </w:t>
      </w:r>
      <w:r>
        <w:rPr>
          <w:w w:val="105"/>
        </w:rPr>
        <w:t>and</w:t>
      </w:r>
      <w:r>
        <w:rPr>
          <w:spacing w:val="-8"/>
          <w:w w:val="105"/>
        </w:rPr>
        <w:t> </w:t>
      </w:r>
      <w:r>
        <w:rPr>
          <w:w w:val="105"/>
        </w:rPr>
        <w:t>4.0%</w:t>
      </w:r>
      <w:r>
        <w:rPr>
          <w:spacing w:val="-8"/>
          <w:w w:val="105"/>
        </w:rPr>
        <w:t> </w:t>
      </w:r>
      <w:r>
        <w:rPr>
          <w:w w:val="105"/>
        </w:rPr>
        <w:t>and 4.4%,</w:t>
      </w:r>
      <w:r>
        <w:rPr>
          <w:spacing w:val="-1"/>
          <w:w w:val="105"/>
        </w:rPr>
        <w:t> </w:t>
      </w:r>
      <w:r>
        <w:rPr>
          <w:w w:val="105"/>
        </w:rPr>
        <w:t>respectively.</w:t>
      </w:r>
    </w:p>
    <w:p>
      <w:pPr>
        <w:pStyle w:val="BodyText"/>
        <w:spacing w:before="19"/>
      </w:pPr>
    </w:p>
    <w:p>
      <w:pPr>
        <w:pStyle w:val="BodyText"/>
        <w:ind w:left="156"/>
      </w:pPr>
      <w:r>
        <w:rPr>
          <w:w w:val="105"/>
        </w:rPr>
        <w:t>As</w:t>
      </w:r>
      <w:r>
        <w:rPr>
          <w:spacing w:val="-10"/>
          <w:w w:val="105"/>
        </w:rPr>
        <w:t> </w:t>
      </w:r>
      <w:r>
        <w:rPr>
          <w:w w:val="105"/>
        </w:rPr>
        <w:t>of</w:t>
      </w:r>
      <w:r>
        <w:rPr>
          <w:spacing w:val="-9"/>
          <w:w w:val="105"/>
        </w:rPr>
        <w:t> </w:t>
      </w:r>
      <w:r>
        <w:rPr>
          <w:w w:val="105"/>
        </w:rPr>
        <w:t>December</w:t>
      </w:r>
      <w:r>
        <w:rPr>
          <w:spacing w:val="-10"/>
          <w:w w:val="105"/>
        </w:rPr>
        <w:t> </w:t>
      </w:r>
      <w:r>
        <w:rPr>
          <w:w w:val="105"/>
        </w:rPr>
        <w:t>31,</w:t>
      </w:r>
      <w:r>
        <w:rPr>
          <w:spacing w:val="-9"/>
          <w:w w:val="105"/>
        </w:rPr>
        <w:t> </w:t>
      </w:r>
      <w:r>
        <w:rPr>
          <w:w w:val="105"/>
        </w:rPr>
        <w:t>2021,</w:t>
      </w:r>
      <w:r>
        <w:rPr>
          <w:spacing w:val="-10"/>
          <w:w w:val="105"/>
        </w:rPr>
        <w:t> </w:t>
      </w:r>
      <w:r>
        <w:rPr>
          <w:w w:val="105"/>
        </w:rPr>
        <w:t>maturities</w:t>
      </w:r>
      <w:r>
        <w:rPr>
          <w:spacing w:val="-10"/>
          <w:w w:val="105"/>
        </w:rPr>
        <w:t> </w:t>
      </w:r>
      <w:r>
        <w:rPr>
          <w:w w:val="105"/>
        </w:rPr>
        <w:t>of</w:t>
      </w:r>
      <w:r>
        <w:rPr>
          <w:spacing w:val="-9"/>
          <w:w w:val="105"/>
        </w:rPr>
        <w:t> </w:t>
      </w:r>
      <w:r>
        <w:rPr>
          <w:w w:val="105"/>
        </w:rPr>
        <w:t>lease</w:t>
      </w:r>
      <w:r>
        <w:rPr>
          <w:spacing w:val="-10"/>
          <w:w w:val="105"/>
        </w:rPr>
        <w:t> </w:t>
      </w:r>
      <w:r>
        <w:rPr>
          <w:w w:val="105"/>
        </w:rPr>
        <w:t>liabilities</w:t>
      </w:r>
      <w:r>
        <w:rPr>
          <w:spacing w:val="-10"/>
          <w:w w:val="105"/>
        </w:rPr>
        <w:t> </w:t>
      </w:r>
      <w:r>
        <w:rPr>
          <w:w w:val="105"/>
        </w:rPr>
        <w:t>are</w:t>
      </w:r>
      <w:r>
        <w:rPr>
          <w:spacing w:val="-8"/>
          <w:w w:val="105"/>
        </w:rPr>
        <w:t> </w:t>
      </w:r>
      <w:r>
        <w:rPr>
          <w:w w:val="105"/>
        </w:rPr>
        <w:t>as</w:t>
      </w:r>
      <w:r>
        <w:rPr>
          <w:spacing w:val="-9"/>
          <w:w w:val="105"/>
        </w:rPr>
        <w:t> </w:t>
      </w:r>
      <w:r>
        <w:rPr>
          <w:w w:val="105"/>
        </w:rPr>
        <w:t>follows</w:t>
      </w:r>
      <w:r>
        <w:rPr>
          <w:spacing w:val="-10"/>
          <w:w w:val="105"/>
        </w:rPr>
        <w:t> </w:t>
      </w:r>
      <w:r>
        <w:rPr>
          <w:w w:val="105"/>
        </w:rPr>
        <w:t>(in</w:t>
      </w:r>
      <w:r>
        <w:rPr>
          <w:spacing w:val="-10"/>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683584">
                <wp:simplePos x="0" y="0"/>
                <wp:positionH relativeFrom="page">
                  <wp:posOffset>226479</wp:posOffset>
                </wp:positionH>
                <wp:positionV relativeFrom="paragraph">
                  <wp:posOffset>83260</wp:posOffset>
                </wp:positionV>
                <wp:extent cx="7312659" cy="16510"/>
                <wp:effectExtent l="0" t="0" r="0" b="0"/>
                <wp:wrapTopAndBottom/>
                <wp:docPr id="382" name="Graphic 382"/>
                <wp:cNvGraphicFramePr>
                  <a:graphicFrameLocks/>
                </wp:cNvGraphicFramePr>
                <a:graphic>
                  <a:graphicData uri="http://schemas.microsoft.com/office/word/2010/wordprocessingShape">
                    <wps:wsp>
                      <wps:cNvPr id="382" name="Graphic 382"/>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55936pt;width:575.775027pt;height:1.274pt;mso-position-horizontal-relative:page;mso-position-vertical-relative:paragraph;z-index:-15632896;mso-wrap-distance-left:0;mso-wrap-distance-right:0" id="docshape381" filled="true" fillcolor="#000000" stroked="false">
                <v:fill type="solid"/>
                <w10:wrap type="topAndBottom"/>
              </v:rect>
            </w:pict>
          </mc:Fallback>
        </mc:AlternateContent>
      </w:r>
    </w:p>
    <w:p>
      <w:pPr>
        <w:pStyle w:val="BodyText"/>
        <w:spacing w:before="3"/>
        <w:ind w:left="9841"/>
      </w:pPr>
      <w:r>
        <w:rPr>
          <w:spacing w:val="-2"/>
          <w:w w:val="105"/>
        </w:rPr>
        <w:t>Imputed</w:t>
      </w:r>
    </w:p>
    <w:p>
      <w:pPr>
        <w:pStyle w:val="BodyText"/>
        <w:tabs>
          <w:tab w:pos="3755" w:val="left" w:leader="none"/>
          <w:tab w:pos="4786" w:val="left" w:leader="none"/>
          <w:tab w:pos="5818" w:val="left" w:leader="none"/>
          <w:tab w:pos="6850" w:val="left" w:leader="none"/>
          <w:tab w:pos="7686" w:val="left" w:leader="none"/>
          <w:tab w:pos="8690" w:val="left" w:leader="none"/>
          <w:tab w:pos="9819" w:val="left" w:leader="none"/>
          <w:tab w:pos="10981" w:val="left" w:leader="none"/>
        </w:tabs>
        <w:spacing w:before="20"/>
        <w:ind w:left="2717"/>
      </w:pPr>
      <w:r>
        <w:rPr/>
        <mc:AlternateContent>
          <mc:Choice Requires="wps">
            <w:drawing>
              <wp:anchor distT="0" distB="0" distL="0" distR="0" allowOverlap="1" layoutInCell="1" locked="0" behindDoc="1" simplePos="0" relativeHeight="487684096">
                <wp:simplePos x="0" y="0"/>
                <wp:positionH relativeFrom="page">
                  <wp:posOffset>226479</wp:posOffset>
                </wp:positionH>
                <wp:positionV relativeFrom="paragraph">
                  <wp:posOffset>140110</wp:posOffset>
                </wp:positionV>
                <wp:extent cx="7312659" cy="8255"/>
                <wp:effectExtent l="0" t="0" r="0" b="0"/>
                <wp:wrapTopAndBottom/>
                <wp:docPr id="383" name="Graphic 383"/>
                <wp:cNvGraphicFramePr>
                  <a:graphicFrameLocks/>
                </wp:cNvGraphicFramePr>
                <a:graphic>
                  <a:graphicData uri="http://schemas.microsoft.com/office/word/2010/wordprocessingShape">
                    <wps:wsp>
                      <wps:cNvPr id="383" name="Graphic 383"/>
                      <wps:cNvSpPr/>
                      <wps:spPr>
                        <a:xfrm>
                          <a:off x="0"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11.032351pt;width:575.775027pt;height:.637pt;mso-position-horizontal-relative:page;mso-position-vertical-relative:paragraph;z-index:-15632384;mso-wrap-distance-left:0;mso-wrap-distance-right:0" id="docshape382" filled="true" fillcolor="#000000" stroked="false">
                <v:fill type="solid"/>
                <w10:wrap type="topAndBottom"/>
              </v:rect>
            </w:pict>
          </mc:Fallback>
        </mc:AlternateContent>
      </w:r>
      <w:r>
        <w:rPr>
          <w:spacing w:val="-4"/>
          <w:w w:val="105"/>
        </w:rPr>
        <w:t>2022</w:t>
      </w:r>
      <w:r>
        <w:rPr/>
        <w:tab/>
      </w:r>
      <w:r>
        <w:rPr>
          <w:spacing w:val="-4"/>
          <w:w w:val="105"/>
        </w:rPr>
        <w:t>2023</w:t>
      </w:r>
      <w:r>
        <w:rPr/>
        <w:tab/>
      </w:r>
      <w:r>
        <w:rPr>
          <w:spacing w:val="-4"/>
          <w:w w:val="105"/>
        </w:rPr>
        <w:t>2024</w:t>
      </w:r>
      <w:r>
        <w:rPr/>
        <w:tab/>
      </w:r>
      <w:r>
        <w:rPr>
          <w:spacing w:val="-4"/>
          <w:w w:val="105"/>
        </w:rPr>
        <w:t>2025</w:t>
      </w:r>
      <w:r>
        <w:rPr/>
        <w:tab/>
      </w:r>
      <w:r>
        <w:rPr>
          <w:spacing w:val="-4"/>
          <w:w w:val="105"/>
        </w:rPr>
        <w:t>2026</w:t>
      </w:r>
      <w:r>
        <w:rPr/>
        <w:tab/>
      </w:r>
      <w:r>
        <w:rPr>
          <w:spacing w:val="-2"/>
          <w:w w:val="105"/>
        </w:rPr>
        <w:t>After </w:t>
      </w:r>
      <w:r>
        <w:rPr>
          <w:spacing w:val="-4"/>
          <w:w w:val="105"/>
        </w:rPr>
        <w:t>2026</w:t>
      </w:r>
      <w:r>
        <w:rPr/>
        <w:tab/>
      </w:r>
      <w:r>
        <w:rPr>
          <w:spacing w:val="-2"/>
          <w:w w:val="105"/>
        </w:rPr>
        <w:t>Gross</w:t>
      </w:r>
      <w:r>
        <w:rPr>
          <w:spacing w:val="-3"/>
          <w:w w:val="105"/>
        </w:rPr>
        <w:t> </w:t>
      </w:r>
      <w:r>
        <w:rPr>
          <w:spacing w:val="-4"/>
          <w:w w:val="105"/>
        </w:rPr>
        <w:t>Total</w:t>
      </w:r>
      <w:r>
        <w:rPr/>
        <w:tab/>
      </w:r>
      <w:r>
        <w:rPr>
          <w:spacing w:val="-2"/>
          <w:w w:val="105"/>
        </w:rPr>
        <w:t>Discount</w:t>
      </w:r>
      <w:r>
        <w:rPr/>
        <w:tab/>
      </w:r>
      <w:r>
        <w:rPr>
          <w:spacing w:val="-2"/>
          <w:w w:val="105"/>
        </w:rPr>
        <w:t>Total</w:t>
      </w:r>
    </w:p>
    <w:p>
      <w:pPr>
        <w:pStyle w:val="BodyText"/>
        <w:spacing w:before="8"/>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9"/>
        <w:gridCol w:w="1540"/>
        <w:gridCol w:w="1032"/>
        <w:gridCol w:w="1507"/>
        <w:gridCol w:w="558"/>
        <w:gridCol w:w="1033"/>
        <w:gridCol w:w="1033"/>
        <w:gridCol w:w="1033"/>
        <w:gridCol w:w="1073"/>
        <w:gridCol w:w="1005"/>
      </w:tblGrid>
      <w:tr>
        <w:trPr>
          <w:trHeight w:val="203" w:hRule="atLeast"/>
        </w:trPr>
        <w:tc>
          <w:tcPr>
            <w:tcW w:w="1709" w:type="dxa"/>
            <w:shd w:val="clear" w:color="auto" w:fill="CCEDFF"/>
          </w:tcPr>
          <w:p>
            <w:pPr>
              <w:pStyle w:val="TableParagraph"/>
              <w:spacing w:line="180" w:lineRule="exact" w:before="3"/>
              <w:rPr>
                <w:sz w:val="16"/>
              </w:rPr>
            </w:pPr>
            <w:r>
              <w:rPr>
                <w:sz w:val="16"/>
              </w:rPr>
              <w:t>Operating</w:t>
            </w:r>
            <w:r>
              <w:rPr>
                <w:spacing w:val="20"/>
                <w:sz w:val="16"/>
              </w:rPr>
              <w:t> </w:t>
            </w:r>
            <w:r>
              <w:rPr>
                <w:spacing w:val="-2"/>
                <w:sz w:val="16"/>
              </w:rPr>
              <w:t>leases</w:t>
            </w:r>
          </w:p>
        </w:tc>
        <w:tc>
          <w:tcPr>
            <w:tcW w:w="1540" w:type="dxa"/>
            <w:shd w:val="clear" w:color="auto" w:fill="CCEDFF"/>
          </w:tcPr>
          <w:p>
            <w:pPr>
              <w:pStyle w:val="TableParagraph"/>
              <w:tabs>
                <w:tab w:pos="566" w:val="left" w:leader="none"/>
              </w:tabs>
              <w:spacing w:line="180" w:lineRule="exact" w:before="3"/>
              <w:ind w:right="113"/>
              <w:jc w:val="right"/>
              <w:rPr>
                <w:sz w:val="16"/>
              </w:rPr>
            </w:pPr>
            <w:r>
              <w:rPr>
                <w:spacing w:val="-10"/>
                <w:w w:val="105"/>
                <w:sz w:val="16"/>
              </w:rPr>
              <w:t>$</w:t>
            </w:r>
            <w:r>
              <w:rPr>
                <w:sz w:val="16"/>
              </w:rPr>
              <w:tab/>
            </w:r>
            <w:r>
              <w:rPr>
                <w:spacing w:val="-5"/>
                <w:w w:val="105"/>
                <w:sz w:val="16"/>
              </w:rPr>
              <w:t>103</w:t>
            </w:r>
          </w:p>
        </w:tc>
        <w:tc>
          <w:tcPr>
            <w:tcW w:w="1032" w:type="dxa"/>
            <w:shd w:val="clear" w:color="auto" w:fill="CCEDFF"/>
          </w:tcPr>
          <w:p>
            <w:pPr>
              <w:pStyle w:val="TableParagraph"/>
              <w:tabs>
                <w:tab w:pos="554" w:val="left" w:leader="none"/>
              </w:tabs>
              <w:spacing w:line="180" w:lineRule="exact" w:before="3"/>
              <w:ind w:right="113"/>
              <w:jc w:val="right"/>
              <w:rPr>
                <w:sz w:val="16"/>
              </w:rPr>
            </w:pPr>
            <w:r>
              <w:rPr>
                <w:spacing w:val="-10"/>
                <w:w w:val="105"/>
                <w:sz w:val="16"/>
              </w:rPr>
              <w:t>$</w:t>
            </w:r>
            <w:r>
              <w:rPr>
                <w:sz w:val="16"/>
              </w:rPr>
              <w:tab/>
            </w:r>
            <w:r>
              <w:rPr>
                <w:spacing w:val="-5"/>
                <w:w w:val="105"/>
                <w:sz w:val="16"/>
              </w:rPr>
              <w:t>110</w:t>
            </w:r>
          </w:p>
        </w:tc>
        <w:tc>
          <w:tcPr>
            <w:tcW w:w="1507" w:type="dxa"/>
            <w:shd w:val="clear" w:color="auto" w:fill="CCEDFF"/>
          </w:tcPr>
          <w:p>
            <w:pPr>
              <w:pStyle w:val="TableParagraph"/>
              <w:tabs>
                <w:tab w:pos="750" w:val="left" w:leader="none"/>
                <w:tab w:pos="1145" w:val="left" w:leader="none"/>
              </w:tabs>
              <w:spacing w:line="180" w:lineRule="exact" w:before="3"/>
              <w:ind w:left="113"/>
              <w:rPr>
                <w:sz w:val="16"/>
              </w:rPr>
            </w:pPr>
            <w:r>
              <w:rPr>
                <w:spacing w:val="-10"/>
                <w:w w:val="105"/>
                <w:sz w:val="16"/>
              </w:rPr>
              <w:t>$</w:t>
            </w:r>
            <w:r>
              <w:rPr>
                <w:sz w:val="16"/>
              </w:rPr>
              <w:tab/>
            </w:r>
            <w:r>
              <w:rPr>
                <w:spacing w:val="-5"/>
                <w:w w:val="105"/>
                <w:sz w:val="16"/>
              </w:rPr>
              <w:t>97</w:t>
            </w:r>
            <w:r>
              <w:rPr>
                <w:sz w:val="16"/>
              </w:rPr>
              <w:tab/>
            </w:r>
            <w:r>
              <w:rPr>
                <w:spacing w:val="-10"/>
                <w:w w:val="105"/>
                <w:sz w:val="16"/>
              </w:rPr>
              <w:t>$</w:t>
            </w:r>
          </w:p>
        </w:tc>
        <w:tc>
          <w:tcPr>
            <w:tcW w:w="558" w:type="dxa"/>
            <w:shd w:val="clear" w:color="auto" w:fill="CCEDFF"/>
          </w:tcPr>
          <w:p>
            <w:pPr>
              <w:pStyle w:val="TableParagraph"/>
              <w:spacing w:line="180" w:lineRule="exact" w:before="3"/>
              <w:ind w:left="158"/>
              <w:jc w:val="center"/>
              <w:rPr>
                <w:sz w:val="16"/>
              </w:rPr>
            </w:pPr>
            <w:r>
              <w:rPr>
                <w:spacing w:val="-5"/>
                <w:w w:val="105"/>
                <w:sz w:val="16"/>
              </w:rPr>
              <w:t>85</w:t>
            </w:r>
          </w:p>
        </w:tc>
        <w:tc>
          <w:tcPr>
            <w:tcW w:w="1033" w:type="dxa"/>
            <w:shd w:val="clear" w:color="auto" w:fill="CCEDFF"/>
          </w:tcPr>
          <w:p>
            <w:pPr>
              <w:pStyle w:val="TableParagraph"/>
              <w:tabs>
                <w:tab w:pos="636" w:val="left" w:leader="none"/>
              </w:tabs>
              <w:spacing w:line="180" w:lineRule="exact" w:before="3"/>
              <w:ind w:right="116"/>
              <w:jc w:val="right"/>
              <w:rPr>
                <w:sz w:val="16"/>
              </w:rPr>
            </w:pPr>
            <w:r>
              <w:rPr>
                <w:spacing w:val="-10"/>
                <w:w w:val="105"/>
                <w:sz w:val="16"/>
              </w:rPr>
              <w:t>$</w:t>
            </w:r>
            <w:r>
              <w:rPr>
                <w:sz w:val="16"/>
              </w:rPr>
              <w:tab/>
            </w:r>
            <w:r>
              <w:rPr>
                <w:spacing w:val="-5"/>
                <w:w w:val="105"/>
                <w:sz w:val="16"/>
              </w:rPr>
              <w:t>78</w:t>
            </w:r>
          </w:p>
        </w:tc>
        <w:tc>
          <w:tcPr>
            <w:tcW w:w="1033" w:type="dxa"/>
            <w:shd w:val="clear" w:color="auto" w:fill="CCEDFF"/>
          </w:tcPr>
          <w:p>
            <w:pPr>
              <w:pStyle w:val="TableParagraph"/>
              <w:tabs>
                <w:tab w:pos="554" w:val="left" w:leader="none"/>
              </w:tabs>
              <w:spacing w:line="180" w:lineRule="exact" w:before="3"/>
              <w:ind w:right="117"/>
              <w:jc w:val="right"/>
              <w:rPr>
                <w:sz w:val="16"/>
              </w:rPr>
            </w:pPr>
            <w:r>
              <w:rPr>
                <w:spacing w:val="-10"/>
                <w:w w:val="105"/>
                <w:sz w:val="16"/>
              </w:rPr>
              <w:t>$</w:t>
            </w:r>
            <w:r>
              <w:rPr>
                <w:sz w:val="16"/>
              </w:rPr>
              <w:tab/>
            </w:r>
            <w:r>
              <w:rPr>
                <w:spacing w:val="-5"/>
                <w:w w:val="105"/>
                <w:sz w:val="16"/>
              </w:rPr>
              <w:t>553</w:t>
            </w:r>
          </w:p>
        </w:tc>
        <w:tc>
          <w:tcPr>
            <w:tcW w:w="1033" w:type="dxa"/>
            <w:shd w:val="clear" w:color="auto" w:fill="CCEDFF"/>
          </w:tcPr>
          <w:p>
            <w:pPr>
              <w:pStyle w:val="TableParagraph"/>
              <w:tabs>
                <w:tab w:pos="429" w:val="left" w:leader="none"/>
              </w:tabs>
              <w:spacing w:line="180" w:lineRule="exact" w:before="3"/>
              <w:ind w:right="118"/>
              <w:jc w:val="right"/>
              <w:rPr>
                <w:sz w:val="16"/>
              </w:rPr>
            </w:pPr>
            <w:r>
              <w:rPr>
                <w:spacing w:val="-10"/>
                <w:w w:val="105"/>
                <w:sz w:val="16"/>
              </w:rPr>
              <w:t>$</w:t>
            </w:r>
            <w:r>
              <w:rPr>
                <w:sz w:val="16"/>
              </w:rPr>
              <w:tab/>
            </w:r>
            <w:r>
              <w:rPr>
                <w:spacing w:val="-4"/>
                <w:w w:val="105"/>
                <w:sz w:val="16"/>
              </w:rPr>
              <w:t>1,026</w:t>
            </w:r>
          </w:p>
        </w:tc>
        <w:tc>
          <w:tcPr>
            <w:tcW w:w="1073" w:type="dxa"/>
            <w:shd w:val="clear" w:color="auto" w:fill="CCEDFF"/>
          </w:tcPr>
          <w:p>
            <w:pPr>
              <w:pStyle w:val="TableParagraph"/>
              <w:tabs>
                <w:tab w:pos="511" w:val="left" w:leader="none"/>
              </w:tabs>
              <w:spacing w:line="180" w:lineRule="exact" w:before="3"/>
              <w:ind w:right="91"/>
              <w:jc w:val="right"/>
              <w:rPr>
                <w:sz w:val="16"/>
              </w:rPr>
            </w:pPr>
            <w:r>
              <w:rPr>
                <w:spacing w:val="-10"/>
                <w:w w:val="105"/>
                <w:sz w:val="16"/>
              </w:rPr>
              <w:t>$</w:t>
            </w:r>
            <w:r>
              <w:rPr>
                <w:sz w:val="16"/>
              </w:rPr>
              <w:tab/>
            </w:r>
            <w:r>
              <w:rPr>
                <w:spacing w:val="-2"/>
                <w:w w:val="105"/>
                <w:sz w:val="16"/>
              </w:rPr>
              <w:t>(241)</w:t>
            </w:r>
          </w:p>
        </w:tc>
        <w:tc>
          <w:tcPr>
            <w:tcW w:w="1005" w:type="dxa"/>
            <w:shd w:val="clear" w:color="auto" w:fill="CCEDFF"/>
          </w:tcPr>
          <w:p>
            <w:pPr>
              <w:pStyle w:val="TableParagraph"/>
              <w:tabs>
                <w:tab w:pos="554" w:val="left" w:leader="none"/>
              </w:tabs>
              <w:spacing w:line="180" w:lineRule="exact" w:before="3"/>
              <w:ind w:right="120"/>
              <w:jc w:val="right"/>
              <w:rPr>
                <w:sz w:val="16"/>
              </w:rPr>
            </w:pPr>
            <w:r>
              <w:rPr>
                <w:spacing w:val="-10"/>
                <w:w w:val="105"/>
                <w:sz w:val="16"/>
              </w:rPr>
              <w:t>$</w:t>
            </w:r>
            <w:r>
              <w:rPr>
                <w:sz w:val="16"/>
              </w:rPr>
              <w:tab/>
            </w:r>
            <w:r>
              <w:rPr>
                <w:spacing w:val="-5"/>
                <w:w w:val="105"/>
                <w:sz w:val="16"/>
              </w:rPr>
              <w:t>785</w:t>
            </w:r>
          </w:p>
        </w:tc>
      </w:tr>
      <w:tr>
        <w:trPr>
          <w:trHeight w:val="200" w:hRule="atLeast"/>
        </w:trPr>
        <w:tc>
          <w:tcPr>
            <w:tcW w:w="1709" w:type="dxa"/>
            <w:tcBorders>
              <w:bottom w:val="double" w:sz="6" w:space="0" w:color="000000"/>
            </w:tcBorders>
          </w:tcPr>
          <w:p>
            <w:pPr>
              <w:pStyle w:val="TableParagraph"/>
              <w:spacing w:line="177" w:lineRule="exact" w:before="3"/>
              <w:rPr>
                <w:sz w:val="16"/>
              </w:rPr>
            </w:pPr>
            <w:r>
              <w:rPr>
                <w:sz w:val="16"/>
              </w:rPr>
              <w:t>Finance</w:t>
            </w:r>
            <w:r>
              <w:rPr>
                <w:spacing w:val="16"/>
                <w:sz w:val="16"/>
              </w:rPr>
              <w:t> </w:t>
            </w:r>
            <w:r>
              <w:rPr>
                <w:spacing w:val="-2"/>
                <w:sz w:val="16"/>
              </w:rPr>
              <w:t>leases</w:t>
            </w:r>
          </w:p>
        </w:tc>
        <w:tc>
          <w:tcPr>
            <w:tcW w:w="1540" w:type="dxa"/>
            <w:tcBorders>
              <w:bottom w:val="double" w:sz="6" w:space="0" w:color="000000"/>
            </w:tcBorders>
          </w:tcPr>
          <w:p>
            <w:pPr>
              <w:pStyle w:val="TableParagraph"/>
              <w:spacing w:line="177" w:lineRule="exact" w:before="3"/>
              <w:ind w:right="113"/>
              <w:jc w:val="right"/>
              <w:rPr>
                <w:sz w:val="16"/>
              </w:rPr>
            </w:pPr>
            <w:r>
              <w:rPr>
                <w:spacing w:val="-5"/>
                <w:w w:val="105"/>
                <w:sz w:val="16"/>
              </w:rPr>
              <w:t>22</w:t>
            </w:r>
          </w:p>
        </w:tc>
        <w:tc>
          <w:tcPr>
            <w:tcW w:w="1032" w:type="dxa"/>
            <w:tcBorders>
              <w:bottom w:val="double" w:sz="6" w:space="0" w:color="000000"/>
            </w:tcBorders>
          </w:tcPr>
          <w:p>
            <w:pPr>
              <w:pStyle w:val="TableParagraph"/>
              <w:spacing w:line="177" w:lineRule="exact" w:before="3"/>
              <w:ind w:right="113"/>
              <w:jc w:val="right"/>
              <w:rPr>
                <w:sz w:val="16"/>
              </w:rPr>
            </w:pPr>
            <w:r>
              <w:rPr>
                <w:spacing w:val="-5"/>
                <w:w w:val="105"/>
                <w:sz w:val="16"/>
              </w:rPr>
              <w:t>27</w:t>
            </w:r>
          </w:p>
        </w:tc>
        <w:tc>
          <w:tcPr>
            <w:tcW w:w="1507" w:type="dxa"/>
            <w:tcBorders>
              <w:bottom w:val="double" w:sz="6" w:space="0" w:color="000000"/>
            </w:tcBorders>
          </w:tcPr>
          <w:p>
            <w:pPr>
              <w:pStyle w:val="TableParagraph"/>
              <w:spacing w:line="177" w:lineRule="exact" w:before="3"/>
              <w:ind w:left="159"/>
              <w:jc w:val="center"/>
              <w:rPr>
                <w:sz w:val="16"/>
              </w:rPr>
            </w:pPr>
            <w:r>
              <w:rPr>
                <w:spacing w:val="-5"/>
                <w:w w:val="105"/>
                <w:sz w:val="16"/>
              </w:rPr>
              <w:t>21</w:t>
            </w:r>
          </w:p>
        </w:tc>
        <w:tc>
          <w:tcPr>
            <w:tcW w:w="558" w:type="dxa"/>
            <w:tcBorders>
              <w:bottom w:val="double" w:sz="6" w:space="0" w:color="000000"/>
            </w:tcBorders>
          </w:tcPr>
          <w:p>
            <w:pPr>
              <w:pStyle w:val="TableParagraph"/>
              <w:spacing w:line="177" w:lineRule="exact" w:before="3"/>
              <w:ind w:left="158"/>
              <w:jc w:val="center"/>
              <w:rPr>
                <w:sz w:val="16"/>
              </w:rPr>
            </w:pPr>
            <w:r>
              <w:rPr>
                <w:spacing w:val="-5"/>
                <w:w w:val="105"/>
                <w:sz w:val="16"/>
              </w:rPr>
              <w:t>15</w:t>
            </w:r>
          </w:p>
        </w:tc>
        <w:tc>
          <w:tcPr>
            <w:tcW w:w="1033" w:type="dxa"/>
            <w:tcBorders>
              <w:bottom w:val="double" w:sz="6" w:space="0" w:color="000000"/>
            </w:tcBorders>
          </w:tcPr>
          <w:p>
            <w:pPr>
              <w:pStyle w:val="TableParagraph"/>
              <w:spacing w:line="177" w:lineRule="exact" w:before="3"/>
              <w:ind w:right="116"/>
              <w:jc w:val="right"/>
              <w:rPr>
                <w:sz w:val="16"/>
              </w:rPr>
            </w:pPr>
            <w:r>
              <w:rPr>
                <w:spacing w:val="-5"/>
                <w:w w:val="105"/>
                <w:sz w:val="16"/>
              </w:rPr>
              <w:t>32</w:t>
            </w:r>
          </w:p>
        </w:tc>
        <w:tc>
          <w:tcPr>
            <w:tcW w:w="1033" w:type="dxa"/>
            <w:tcBorders>
              <w:bottom w:val="double" w:sz="6" w:space="0" w:color="000000"/>
            </w:tcBorders>
          </w:tcPr>
          <w:p>
            <w:pPr>
              <w:pStyle w:val="TableParagraph"/>
              <w:spacing w:line="177" w:lineRule="exact" w:before="3"/>
              <w:ind w:right="117"/>
              <w:jc w:val="right"/>
              <w:rPr>
                <w:sz w:val="16"/>
              </w:rPr>
            </w:pPr>
            <w:r>
              <w:rPr>
                <w:spacing w:val="-5"/>
                <w:w w:val="105"/>
                <w:sz w:val="16"/>
              </w:rPr>
              <w:t>142</w:t>
            </w:r>
          </w:p>
        </w:tc>
        <w:tc>
          <w:tcPr>
            <w:tcW w:w="1033" w:type="dxa"/>
            <w:tcBorders>
              <w:bottom w:val="double" w:sz="6" w:space="0" w:color="000000"/>
            </w:tcBorders>
          </w:tcPr>
          <w:p>
            <w:pPr>
              <w:pStyle w:val="TableParagraph"/>
              <w:spacing w:line="177" w:lineRule="exact" w:before="3"/>
              <w:ind w:right="118"/>
              <w:jc w:val="right"/>
              <w:rPr>
                <w:sz w:val="16"/>
              </w:rPr>
            </w:pPr>
            <w:r>
              <w:rPr>
                <w:spacing w:val="-5"/>
                <w:w w:val="105"/>
                <w:sz w:val="16"/>
              </w:rPr>
              <w:t>259</w:t>
            </w:r>
          </w:p>
        </w:tc>
        <w:tc>
          <w:tcPr>
            <w:tcW w:w="1073" w:type="dxa"/>
            <w:tcBorders>
              <w:bottom w:val="double" w:sz="6" w:space="0" w:color="000000"/>
            </w:tcBorders>
          </w:tcPr>
          <w:p>
            <w:pPr>
              <w:pStyle w:val="TableParagraph"/>
              <w:spacing w:line="177" w:lineRule="exact" w:before="3"/>
              <w:ind w:right="91"/>
              <w:jc w:val="right"/>
              <w:rPr>
                <w:sz w:val="16"/>
              </w:rPr>
            </w:pPr>
            <w:r>
              <w:rPr>
                <w:spacing w:val="-4"/>
                <w:w w:val="105"/>
                <w:sz w:val="16"/>
              </w:rPr>
              <w:t>(76)</w:t>
            </w:r>
          </w:p>
        </w:tc>
        <w:tc>
          <w:tcPr>
            <w:tcW w:w="1005" w:type="dxa"/>
            <w:tcBorders>
              <w:bottom w:val="double" w:sz="6" w:space="0" w:color="000000"/>
            </w:tcBorders>
          </w:tcPr>
          <w:p>
            <w:pPr>
              <w:pStyle w:val="TableParagraph"/>
              <w:spacing w:line="177" w:lineRule="exact" w:before="3"/>
              <w:ind w:right="120"/>
              <w:jc w:val="right"/>
              <w:rPr>
                <w:sz w:val="16"/>
              </w:rPr>
            </w:pPr>
            <w:r>
              <w:rPr>
                <w:spacing w:val="-5"/>
                <w:w w:val="105"/>
                <w:sz w:val="16"/>
              </w:rPr>
              <w:t>183</w:t>
            </w:r>
          </w:p>
        </w:tc>
      </w:tr>
    </w:tbl>
    <w:p>
      <w:pPr>
        <w:pStyle w:val="BodyText"/>
        <w:spacing w:before="21"/>
      </w:pPr>
    </w:p>
    <w:p>
      <w:pPr>
        <w:pStyle w:val="BodyText"/>
        <w:ind w:left="156"/>
      </w:pPr>
      <w:r>
        <w:rPr>
          <w:w w:val="105"/>
        </w:rPr>
        <w:t>As</w:t>
      </w:r>
      <w:r>
        <w:rPr>
          <w:spacing w:val="-9"/>
          <w:w w:val="105"/>
        </w:rPr>
        <w:t> </w:t>
      </w:r>
      <w:r>
        <w:rPr>
          <w:w w:val="105"/>
        </w:rPr>
        <w:t>of</w:t>
      </w:r>
      <w:r>
        <w:rPr>
          <w:spacing w:val="-8"/>
          <w:w w:val="105"/>
        </w:rPr>
        <w:t> </w:t>
      </w:r>
      <w:r>
        <w:rPr>
          <w:w w:val="105"/>
        </w:rPr>
        <w:t>December</w:t>
      </w:r>
      <w:r>
        <w:rPr>
          <w:spacing w:val="-8"/>
          <w:w w:val="105"/>
        </w:rPr>
        <w:t> </w:t>
      </w:r>
      <w:r>
        <w:rPr>
          <w:w w:val="105"/>
        </w:rPr>
        <w:t>31,</w:t>
      </w:r>
      <w:r>
        <w:rPr>
          <w:spacing w:val="-9"/>
          <w:w w:val="105"/>
        </w:rPr>
        <w:t> </w:t>
      </w:r>
      <w:r>
        <w:rPr>
          <w:w w:val="105"/>
        </w:rPr>
        <w:t>2021,</w:t>
      </w:r>
      <w:r>
        <w:rPr>
          <w:spacing w:val="-8"/>
          <w:w w:val="105"/>
        </w:rPr>
        <w:t> </w:t>
      </w:r>
      <w:r>
        <w:rPr>
          <w:w w:val="105"/>
        </w:rPr>
        <w:t>Corning</w:t>
      </w:r>
      <w:r>
        <w:rPr>
          <w:spacing w:val="-8"/>
          <w:w w:val="105"/>
        </w:rPr>
        <w:t> </w:t>
      </w:r>
      <w:r>
        <w:rPr>
          <w:w w:val="105"/>
        </w:rPr>
        <w:t>had</w:t>
      </w:r>
      <w:r>
        <w:rPr>
          <w:spacing w:val="-9"/>
          <w:w w:val="105"/>
        </w:rPr>
        <w:t> </w:t>
      </w:r>
      <w:r>
        <w:rPr>
          <w:w w:val="105"/>
        </w:rPr>
        <w:t>additional</w:t>
      </w:r>
      <w:r>
        <w:rPr>
          <w:spacing w:val="-8"/>
          <w:w w:val="105"/>
        </w:rPr>
        <w:t> </w:t>
      </w:r>
      <w:r>
        <w:rPr>
          <w:w w:val="105"/>
        </w:rPr>
        <w:t>operating</w:t>
      </w:r>
      <w:r>
        <w:rPr>
          <w:spacing w:val="-9"/>
          <w:w w:val="105"/>
        </w:rPr>
        <w:t> </w:t>
      </w:r>
      <w:r>
        <w:rPr>
          <w:w w:val="105"/>
        </w:rPr>
        <w:t>leases,</w:t>
      </w:r>
      <w:r>
        <w:rPr>
          <w:spacing w:val="-8"/>
          <w:w w:val="105"/>
        </w:rPr>
        <w:t> </w:t>
      </w:r>
      <w:r>
        <w:rPr>
          <w:w w:val="105"/>
        </w:rPr>
        <w:t>primarily</w:t>
      </w:r>
      <w:r>
        <w:rPr>
          <w:spacing w:val="-9"/>
          <w:w w:val="105"/>
        </w:rPr>
        <w:t> </w:t>
      </w:r>
      <w:r>
        <w:rPr>
          <w:w w:val="105"/>
        </w:rPr>
        <w:t>for</w:t>
      </w:r>
      <w:r>
        <w:rPr>
          <w:spacing w:val="-8"/>
          <w:w w:val="105"/>
        </w:rPr>
        <w:t> </w:t>
      </w:r>
      <w:r>
        <w:rPr>
          <w:w w:val="105"/>
        </w:rPr>
        <w:t>new</w:t>
      </w:r>
      <w:r>
        <w:rPr>
          <w:spacing w:val="-9"/>
          <w:w w:val="105"/>
        </w:rPr>
        <w:t> </w:t>
      </w:r>
      <w:r>
        <w:rPr>
          <w:w w:val="105"/>
        </w:rPr>
        <w:t>production</w:t>
      </w:r>
      <w:r>
        <w:rPr>
          <w:spacing w:val="-8"/>
          <w:w w:val="105"/>
        </w:rPr>
        <w:t> </w:t>
      </w:r>
      <w:r>
        <w:rPr>
          <w:w w:val="105"/>
        </w:rPr>
        <w:t>facilities,</w:t>
      </w:r>
      <w:r>
        <w:rPr>
          <w:spacing w:val="-9"/>
          <w:w w:val="105"/>
        </w:rPr>
        <w:t> </w:t>
      </w:r>
      <w:r>
        <w:rPr>
          <w:w w:val="105"/>
        </w:rPr>
        <w:t>that</w:t>
      </w:r>
      <w:r>
        <w:rPr>
          <w:spacing w:val="-8"/>
          <w:w w:val="105"/>
        </w:rPr>
        <w:t> </w:t>
      </w:r>
      <w:r>
        <w:rPr>
          <w:w w:val="105"/>
        </w:rPr>
        <w:t>have</w:t>
      </w:r>
      <w:r>
        <w:rPr>
          <w:spacing w:val="-9"/>
          <w:w w:val="105"/>
        </w:rPr>
        <w:t> </w:t>
      </w:r>
      <w:r>
        <w:rPr>
          <w:w w:val="105"/>
        </w:rPr>
        <w:t>not</w:t>
      </w:r>
      <w:r>
        <w:rPr>
          <w:spacing w:val="-8"/>
          <w:w w:val="105"/>
        </w:rPr>
        <w:t> </w:t>
      </w:r>
      <w:r>
        <w:rPr>
          <w:w w:val="105"/>
        </w:rPr>
        <w:t>yet</w:t>
      </w:r>
      <w:r>
        <w:rPr>
          <w:spacing w:val="-8"/>
          <w:w w:val="105"/>
        </w:rPr>
        <w:t> </w:t>
      </w:r>
      <w:r>
        <w:rPr>
          <w:w w:val="105"/>
        </w:rPr>
        <w:t>commenced</w:t>
      </w:r>
      <w:r>
        <w:rPr>
          <w:spacing w:val="-9"/>
          <w:w w:val="105"/>
        </w:rPr>
        <w:t> </w:t>
      </w:r>
      <w:r>
        <w:rPr>
          <w:w w:val="105"/>
        </w:rPr>
        <w:t>or</w:t>
      </w:r>
      <w:r>
        <w:rPr>
          <w:spacing w:val="-8"/>
          <w:w w:val="105"/>
        </w:rPr>
        <w:t> </w:t>
      </w:r>
      <w:r>
        <w:rPr>
          <w:w w:val="105"/>
        </w:rPr>
        <w:t>been</w:t>
      </w:r>
      <w:r>
        <w:rPr>
          <w:spacing w:val="-9"/>
          <w:w w:val="105"/>
        </w:rPr>
        <w:t> </w:t>
      </w:r>
      <w:r>
        <w:rPr>
          <w:w w:val="105"/>
        </w:rPr>
        <w:t>recorded,</w:t>
      </w:r>
      <w:r>
        <w:rPr>
          <w:spacing w:val="-8"/>
          <w:w w:val="105"/>
        </w:rPr>
        <w:t> </w:t>
      </w:r>
      <w:r>
        <w:rPr>
          <w:w w:val="105"/>
        </w:rPr>
        <w:t>of</w:t>
      </w:r>
      <w:r>
        <w:rPr>
          <w:spacing w:val="-9"/>
          <w:w w:val="105"/>
        </w:rPr>
        <w:t> </w:t>
      </w:r>
      <w:r>
        <w:rPr>
          <w:spacing w:val="-2"/>
          <w:w w:val="105"/>
        </w:rPr>
        <w:t>approximately</w:t>
      </w:r>
    </w:p>
    <w:p>
      <w:pPr>
        <w:pStyle w:val="BodyText"/>
        <w:spacing w:before="20"/>
        <w:ind w:left="156"/>
      </w:pPr>
      <w:r>
        <w:rPr>
          <w:w w:val="105"/>
        </w:rPr>
        <w:t>$122</w:t>
      </w:r>
      <w:r>
        <w:rPr>
          <w:spacing w:val="-9"/>
          <w:w w:val="105"/>
        </w:rPr>
        <w:t> </w:t>
      </w:r>
      <w:r>
        <w:rPr>
          <w:w w:val="105"/>
        </w:rPr>
        <w:t>million</w:t>
      </w:r>
      <w:r>
        <w:rPr>
          <w:spacing w:val="-8"/>
          <w:w w:val="105"/>
        </w:rPr>
        <w:t> </w:t>
      </w:r>
      <w:r>
        <w:rPr>
          <w:w w:val="105"/>
        </w:rPr>
        <w:t>on</w:t>
      </w:r>
      <w:r>
        <w:rPr>
          <w:spacing w:val="-8"/>
          <w:w w:val="105"/>
        </w:rPr>
        <w:t> </w:t>
      </w:r>
      <w:r>
        <w:rPr>
          <w:w w:val="105"/>
        </w:rPr>
        <w:t>an</w:t>
      </w:r>
      <w:r>
        <w:rPr>
          <w:spacing w:val="-8"/>
          <w:w w:val="105"/>
        </w:rPr>
        <w:t> </w:t>
      </w:r>
      <w:r>
        <w:rPr>
          <w:w w:val="105"/>
        </w:rPr>
        <w:t>undiscounted</w:t>
      </w:r>
      <w:r>
        <w:rPr>
          <w:spacing w:val="-9"/>
          <w:w w:val="105"/>
        </w:rPr>
        <w:t> </w:t>
      </w:r>
      <w:r>
        <w:rPr>
          <w:w w:val="105"/>
        </w:rPr>
        <w:t>basis.</w:t>
      </w:r>
      <w:r>
        <w:rPr>
          <w:spacing w:val="-8"/>
          <w:w w:val="105"/>
        </w:rPr>
        <w:t> </w:t>
      </w:r>
      <w:r>
        <w:rPr>
          <w:w w:val="105"/>
        </w:rPr>
        <w:t>These</w:t>
      </w:r>
      <w:r>
        <w:rPr>
          <w:spacing w:val="-8"/>
          <w:w w:val="105"/>
        </w:rPr>
        <w:t> </w:t>
      </w:r>
      <w:r>
        <w:rPr>
          <w:w w:val="105"/>
        </w:rPr>
        <w:t>operating</w:t>
      </w:r>
      <w:r>
        <w:rPr>
          <w:spacing w:val="-8"/>
          <w:w w:val="105"/>
        </w:rPr>
        <w:t> </w:t>
      </w:r>
      <w:r>
        <w:rPr>
          <w:w w:val="105"/>
        </w:rPr>
        <w:t>leases</w:t>
      </w:r>
      <w:r>
        <w:rPr>
          <w:spacing w:val="-8"/>
          <w:w w:val="105"/>
        </w:rPr>
        <w:t> </w:t>
      </w:r>
      <w:r>
        <w:rPr>
          <w:w w:val="105"/>
        </w:rPr>
        <w:t>will</w:t>
      </w:r>
      <w:r>
        <w:rPr>
          <w:spacing w:val="-7"/>
          <w:w w:val="105"/>
        </w:rPr>
        <w:t> </w:t>
      </w:r>
      <w:r>
        <w:rPr>
          <w:w w:val="105"/>
        </w:rPr>
        <w:t>commence</w:t>
      </w:r>
      <w:r>
        <w:rPr>
          <w:spacing w:val="-8"/>
          <w:w w:val="105"/>
        </w:rPr>
        <w:t> </w:t>
      </w:r>
      <w:r>
        <w:rPr>
          <w:w w:val="105"/>
        </w:rPr>
        <w:t>in</w:t>
      </w:r>
      <w:r>
        <w:rPr>
          <w:spacing w:val="-8"/>
          <w:w w:val="105"/>
        </w:rPr>
        <w:t> </w:t>
      </w:r>
      <w:r>
        <w:rPr>
          <w:w w:val="105"/>
        </w:rPr>
        <w:t>fiscal</w:t>
      </w:r>
      <w:r>
        <w:rPr>
          <w:spacing w:val="-9"/>
          <w:w w:val="105"/>
        </w:rPr>
        <w:t> </w:t>
      </w:r>
      <w:r>
        <w:rPr>
          <w:w w:val="105"/>
        </w:rPr>
        <w:t>years</w:t>
      </w:r>
      <w:r>
        <w:rPr>
          <w:spacing w:val="-8"/>
          <w:w w:val="105"/>
        </w:rPr>
        <w:t> </w:t>
      </w:r>
      <w:r>
        <w:rPr>
          <w:w w:val="105"/>
        </w:rPr>
        <w:t>2022</w:t>
      </w:r>
      <w:r>
        <w:rPr>
          <w:spacing w:val="-8"/>
          <w:w w:val="105"/>
        </w:rPr>
        <w:t> </w:t>
      </w:r>
      <w:r>
        <w:rPr>
          <w:w w:val="105"/>
        </w:rPr>
        <w:t>and</w:t>
      </w:r>
      <w:r>
        <w:rPr>
          <w:spacing w:val="-8"/>
          <w:w w:val="105"/>
        </w:rPr>
        <w:t> </w:t>
      </w:r>
      <w:r>
        <w:rPr>
          <w:w w:val="105"/>
        </w:rPr>
        <w:t>2023</w:t>
      </w:r>
      <w:r>
        <w:rPr>
          <w:spacing w:val="-8"/>
          <w:w w:val="105"/>
        </w:rPr>
        <w:t> </w:t>
      </w:r>
      <w:r>
        <w:rPr>
          <w:w w:val="105"/>
        </w:rPr>
        <w:t>with</w:t>
      </w:r>
      <w:r>
        <w:rPr>
          <w:spacing w:val="-9"/>
          <w:w w:val="105"/>
        </w:rPr>
        <w:t> </w:t>
      </w:r>
      <w:r>
        <w:rPr>
          <w:w w:val="105"/>
        </w:rPr>
        <w:t>lease</w:t>
      </w:r>
      <w:r>
        <w:rPr>
          <w:spacing w:val="-8"/>
          <w:w w:val="105"/>
        </w:rPr>
        <w:t> </w:t>
      </w:r>
      <w:r>
        <w:rPr>
          <w:w w:val="105"/>
        </w:rPr>
        <w:t>terms</w:t>
      </w:r>
      <w:r>
        <w:rPr>
          <w:spacing w:val="-8"/>
          <w:w w:val="105"/>
        </w:rPr>
        <w:t> </w:t>
      </w:r>
      <w:r>
        <w:rPr>
          <w:w w:val="105"/>
        </w:rPr>
        <w:t>between</w:t>
      </w:r>
      <w:r>
        <w:rPr>
          <w:spacing w:val="-8"/>
          <w:w w:val="105"/>
        </w:rPr>
        <w:t> </w:t>
      </w:r>
      <w:r>
        <w:rPr>
          <w:w w:val="105"/>
        </w:rPr>
        <w:t>10</w:t>
      </w:r>
      <w:r>
        <w:rPr>
          <w:spacing w:val="-7"/>
          <w:w w:val="105"/>
        </w:rPr>
        <w:t> </w:t>
      </w:r>
      <w:r>
        <w:rPr>
          <w:w w:val="105"/>
        </w:rPr>
        <w:t>and</w:t>
      </w:r>
      <w:r>
        <w:rPr>
          <w:spacing w:val="-8"/>
          <w:w w:val="105"/>
        </w:rPr>
        <w:t> </w:t>
      </w:r>
      <w:r>
        <w:rPr>
          <w:w w:val="105"/>
        </w:rPr>
        <w:t>20</w:t>
      </w:r>
      <w:r>
        <w:rPr>
          <w:spacing w:val="-8"/>
          <w:w w:val="105"/>
        </w:rPr>
        <w:t> </w:t>
      </w:r>
      <w:r>
        <w:rPr>
          <w:spacing w:val="-2"/>
          <w:w w:val="105"/>
        </w:rPr>
        <w:t>years.</w:t>
      </w:r>
    </w:p>
    <w:p>
      <w:pPr>
        <w:pStyle w:val="BodyText"/>
        <w:spacing w:before="199"/>
        <w:rPr>
          <w:sz w:val="2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1"/>
        <w:gridCol w:w="1014"/>
        <w:gridCol w:w="558"/>
        <w:gridCol w:w="781"/>
        <w:gridCol w:w="1029"/>
        <w:gridCol w:w="1069"/>
        <w:gridCol w:w="590"/>
      </w:tblGrid>
      <w:tr>
        <w:trPr>
          <w:trHeight w:val="718" w:hRule="atLeast"/>
        </w:trPr>
        <w:tc>
          <w:tcPr>
            <w:tcW w:w="6471" w:type="dxa"/>
            <w:tcBorders>
              <w:bottom w:val="single" w:sz="12" w:space="0" w:color="000000"/>
            </w:tcBorders>
          </w:tcPr>
          <w:p>
            <w:pPr>
              <w:pStyle w:val="TableParagraph"/>
              <w:spacing w:line="182" w:lineRule="exact"/>
              <w:rPr>
                <w:b/>
                <w:sz w:val="16"/>
              </w:rPr>
            </w:pPr>
            <w:bookmarkStart w:name="_bookmark16" w:id="17"/>
            <w:bookmarkEnd w:id="17"/>
            <w:r>
              <w:rPr/>
            </w:r>
            <w:r>
              <w:rPr>
                <w:b/>
                <w:w w:val="105"/>
                <w:sz w:val="16"/>
              </w:rPr>
              <w:t>8.</w:t>
            </w:r>
            <w:r>
              <w:rPr>
                <w:b/>
                <w:spacing w:val="31"/>
                <w:w w:val="105"/>
                <w:sz w:val="16"/>
              </w:rPr>
              <w:t> </w:t>
            </w:r>
            <w:r>
              <w:rPr>
                <w:b/>
                <w:w w:val="105"/>
                <w:sz w:val="16"/>
              </w:rPr>
              <w:t>Income</w:t>
            </w:r>
            <w:r>
              <w:rPr>
                <w:b/>
                <w:spacing w:val="-5"/>
                <w:w w:val="105"/>
                <w:sz w:val="16"/>
              </w:rPr>
              <w:t> </w:t>
            </w:r>
            <w:r>
              <w:rPr>
                <w:b/>
                <w:spacing w:val="-2"/>
                <w:w w:val="105"/>
                <w:sz w:val="16"/>
              </w:rPr>
              <w:t>Taxes</w:t>
            </w:r>
          </w:p>
          <w:p>
            <w:pPr>
              <w:pStyle w:val="TableParagraph"/>
              <w:spacing w:before="39"/>
              <w:rPr>
                <w:sz w:val="16"/>
              </w:rPr>
            </w:pPr>
          </w:p>
          <w:p>
            <w:pPr>
              <w:pStyle w:val="TableParagraph"/>
              <w:rPr>
                <w:sz w:val="16"/>
              </w:rPr>
            </w:pPr>
            <w:r>
              <w:rPr>
                <w:w w:val="105"/>
                <w:sz w:val="16"/>
              </w:rPr>
              <w:t>Income</w:t>
            </w:r>
            <w:r>
              <w:rPr>
                <w:spacing w:val="-11"/>
                <w:w w:val="105"/>
                <w:sz w:val="16"/>
              </w:rPr>
              <w:t> </w:t>
            </w:r>
            <w:r>
              <w:rPr>
                <w:w w:val="105"/>
                <w:sz w:val="16"/>
              </w:rPr>
              <w:t>before</w:t>
            </w:r>
            <w:r>
              <w:rPr>
                <w:spacing w:val="-10"/>
                <w:w w:val="105"/>
                <w:sz w:val="16"/>
              </w:rPr>
              <w:t> </w:t>
            </w:r>
            <w:r>
              <w:rPr>
                <w:w w:val="105"/>
                <w:sz w:val="16"/>
              </w:rPr>
              <w:t>income</w:t>
            </w:r>
            <w:r>
              <w:rPr>
                <w:spacing w:val="-9"/>
                <w:w w:val="105"/>
                <w:sz w:val="16"/>
              </w:rPr>
              <w:t> </w:t>
            </w:r>
            <w:r>
              <w:rPr>
                <w:w w:val="105"/>
                <w:sz w:val="16"/>
              </w:rPr>
              <w:t>taxes</w:t>
            </w:r>
            <w:r>
              <w:rPr>
                <w:spacing w:val="-11"/>
                <w:w w:val="105"/>
                <w:sz w:val="16"/>
              </w:rPr>
              <w:t> </w:t>
            </w:r>
            <w:r>
              <w:rPr>
                <w:w w:val="105"/>
                <w:sz w:val="16"/>
              </w:rPr>
              <w:t>follows</w:t>
            </w:r>
            <w:r>
              <w:rPr>
                <w:spacing w:val="-10"/>
                <w:w w:val="105"/>
                <w:sz w:val="16"/>
              </w:rPr>
              <w:t> </w:t>
            </w:r>
            <w:r>
              <w:rPr>
                <w:w w:val="105"/>
                <w:sz w:val="16"/>
              </w:rPr>
              <w:t>(in</w:t>
            </w:r>
            <w:r>
              <w:rPr>
                <w:spacing w:val="-10"/>
                <w:w w:val="105"/>
                <w:sz w:val="16"/>
              </w:rPr>
              <w:t> </w:t>
            </w:r>
            <w:r>
              <w:rPr>
                <w:spacing w:val="-2"/>
                <w:w w:val="105"/>
                <w:sz w:val="16"/>
              </w:rPr>
              <w:t>millions):</w:t>
            </w:r>
          </w:p>
        </w:tc>
        <w:tc>
          <w:tcPr>
            <w:tcW w:w="5041" w:type="dxa"/>
            <w:gridSpan w:val="6"/>
            <w:tcBorders>
              <w:bottom w:val="single" w:sz="12" w:space="0" w:color="000000"/>
            </w:tcBorders>
          </w:tcPr>
          <w:p>
            <w:pPr>
              <w:pStyle w:val="TableParagraph"/>
              <w:rPr>
                <w:sz w:val="16"/>
              </w:rPr>
            </w:pPr>
          </w:p>
        </w:tc>
      </w:tr>
      <w:tr>
        <w:trPr>
          <w:trHeight w:val="200" w:hRule="atLeast"/>
        </w:trPr>
        <w:tc>
          <w:tcPr>
            <w:tcW w:w="6471" w:type="dxa"/>
            <w:tcBorders>
              <w:top w:val="single" w:sz="12" w:space="0" w:color="000000"/>
            </w:tcBorders>
          </w:tcPr>
          <w:p>
            <w:pPr>
              <w:pStyle w:val="TableParagraph"/>
              <w:rPr>
                <w:sz w:val="12"/>
              </w:rPr>
            </w:pPr>
          </w:p>
        </w:tc>
        <w:tc>
          <w:tcPr>
            <w:tcW w:w="1014" w:type="dxa"/>
            <w:tcBorders>
              <w:top w:val="single" w:sz="12" w:space="0" w:color="000000"/>
              <w:bottom w:val="single" w:sz="6" w:space="0" w:color="000000"/>
            </w:tcBorders>
          </w:tcPr>
          <w:p>
            <w:pPr>
              <w:pStyle w:val="TableParagraph"/>
              <w:rPr>
                <w:sz w:val="12"/>
              </w:rPr>
            </w:pPr>
          </w:p>
        </w:tc>
        <w:tc>
          <w:tcPr>
            <w:tcW w:w="558" w:type="dxa"/>
            <w:tcBorders>
              <w:top w:val="single" w:sz="12" w:space="0" w:color="000000"/>
              <w:bottom w:val="single" w:sz="6" w:space="0" w:color="000000"/>
            </w:tcBorders>
          </w:tcPr>
          <w:p>
            <w:pPr>
              <w:pStyle w:val="TableParagraph"/>
              <w:rPr>
                <w:sz w:val="12"/>
              </w:rPr>
            </w:pPr>
          </w:p>
        </w:tc>
        <w:tc>
          <w:tcPr>
            <w:tcW w:w="1810" w:type="dxa"/>
            <w:gridSpan w:val="2"/>
            <w:tcBorders>
              <w:top w:val="single" w:sz="12" w:space="0" w:color="000000"/>
              <w:bottom w:val="single" w:sz="6" w:space="0" w:color="000000"/>
            </w:tcBorders>
          </w:tcPr>
          <w:p>
            <w:pPr>
              <w:pStyle w:val="TableParagraph"/>
              <w:spacing w:line="179" w:lineRule="exact" w:before="1"/>
              <w:ind w:left="27"/>
              <w:rPr>
                <w:sz w:val="16"/>
              </w:rPr>
            </w:pPr>
            <w:r>
              <w:rPr>
                <w:w w:val="105"/>
                <w:sz w:val="16"/>
              </w:rPr>
              <w:t>Year</w:t>
            </w:r>
            <w:r>
              <w:rPr>
                <w:spacing w:val="-12"/>
                <w:w w:val="105"/>
                <w:sz w:val="16"/>
              </w:rPr>
              <w:t> </w:t>
            </w:r>
            <w:r>
              <w:rPr>
                <w:w w:val="105"/>
                <w:sz w:val="16"/>
              </w:rPr>
              <w:t>ended</w:t>
            </w:r>
            <w:r>
              <w:rPr>
                <w:spacing w:val="-10"/>
                <w:w w:val="105"/>
                <w:sz w:val="16"/>
              </w:rPr>
              <w:t> </w:t>
            </w:r>
            <w:r>
              <w:rPr>
                <w:w w:val="105"/>
                <w:sz w:val="16"/>
              </w:rPr>
              <w:t>December</w:t>
            </w:r>
            <w:r>
              <w:rPr>
                <w:spacing w:val="-10"/>
                <w:w w:val="105"/>
                <w:sz w:val="16"/>
              </w:rPr>
              <w:t> </w:t>
            </w:r>
            <w:r>
              <w:rPr>
                <w:spacing w:val="-5"/>
                <w:w w:val="105"/>
                <w:sz w:val="16"/>
              </w:rPr>
              <w:t>31,</w:t>
            </w:r>
          </w:p>
        </w:tc>
        <w:tc>
          <w:tcPr>
            <w:tcW w:w="1069" w:type="dxa"/>
            <w:tcBorders>
              <w:top w:val="single" w:sz="12" w:space="0" w:color="000000"/>
              <w:bottom w:val="single" w:sz="6" w:space="0" w:color="000000"/>
            </w:tcBorders>
          </w:tcPr>
          <w:p>
            <w:pPr>
              <w:pStyle w:val="TableParagraph"/>
              <w:rPr>
                <w:sz w:val="12"/>
              </w:rPr>
            </w:pPr>
          </w:p>
        </w:tc>
        <w:tc>
          <w:tcPr>
            <w:tcW w:w="590" w:type="dxa"/>
            <w:tcBorders>
              <w:top w:val="single" w:sz="12" w:space="0" w:color="000000"/>
              <w:bottom w:val="single" w:sz="6" w:space="0" w:color="000000"/>
            </w:tcBorders>
          </w:tcPr>
          <w:p>
            <w:pPr>
              <w:pStyle w:val="TableParagraph"/>
              <w:rPr>
                <w:sz w:val="12"/>
              </w:rPr>
            </w:pPr>
          </w:p>
        </w:tc>
      </w:tr>
      <w:tr>
        <w:trPr>
          <w:trHeight w:val="201" w:hRule="atLeast"/>
        </w:trPr>
        <w:tc>
          <w:tcPr>
            <w:tcW w:w="6471" w:type="dxa"/>
            <w:tcBorders>
              <w:bottom w:val="single" w:sz="6" w:space="0" w:color="000000"/>
            </w:tcBorders>
          </w:tcPr>
          <w:p>
            <w:pPr>
              <w:pStyle w:val="TableParagraph"/>
              <w:rPr>
                <w:sz w:val="14"/>
              </w:rPr>
            </w:pPr>
          </w:p>
        </w:tc>
        <w:tc>
          <w:tcPr>
            <w:tcW w:w="1014" w:type="dxa"/>
            <w:tcBorders>
              <w:top w:val="single" w:sz="6" w:space="0" w:color="000000"/>
              <w:bottom w:val="single" w:sz="6" w:space="0" w:color="000000"/>
            </w:tcBorders>
          </w:tcPr>
          <w:p>
            <w:pPr>
              <w:pStyle w:val="TableParagraph"/>
              <w:spacing w:line="179" w:lineRule="exact" w:before="2"/>
              <w:ind w:right="101"/>
              <w:jc w:val="right"/>
              <w:rPr>
                <w:b/>
                <w:sz w:val="16"/>
              </w:rPr>
            </w:pPr>
            <w:r>
              <w:rPr>
                <w:b/>
                <w:spacing w:val="-4"/>
                <w:w w:val="105"/>
                <w:sz w:val="16"/>
              </w:rPr>
              <w:t>2021</w:t>
            </w:r>
          </w:p>
        </w:tc>
        <w:tc>
          <w:tcPr>
            <w:tcW w:w="558" w:type="dxa"/>
            <w:tcBorders>
              <w:top w:val="single" w:sz="6" w:space="0" w:color="000000"/>
              <w:bottom w:val="single" w:sz="6" w:space="0" w:color="000000"/>
            </w:tcBorders>
          </w:tcPr>
          <w:p>
            <w:pPr>
              <w:pStyle w:val="TableParagraph"/>
              <w:rPr>
                <w:sz w:val="14"/>
              </w:rPr>
            </w:pPr>
          </w:p>
        </w:tc>
        <w:tc>
          <w:tcPr>
            <w:tcW w:w="1810" w:type="dxa"/>
            <w:gridSpan w:val="2"/>
            <w:tcBorders>
              <w:top w:val="single" w:sz="6" w:space="0" w:color="000000"/>
              <w:bottom w:val="single" w:sz="6" w:space="0" w:color="000000"/>
            </w:tcBorders>
          </w:tcPr>
          <w:p>
            <w:pPr>
              <w:pStyle w:val="TableParagraph"/>
              <w:spacing w:line="179" w:lineRule="exact" w:before="2"/>
              <w:ind w:right="22"/>
              <w:jc w:val="center"/>
              <w:rPr>
                <w:sz w:val="16"/>
              </w:rPr>
            </w:pPr>
            <w:r>
              <w:rPr>
                <w:spacing w:val="-4"/>
                <w:w w:val="105"/>
                <w:sz w:val="16"/>
              </w:rPr>
              <w:t>2020</w:t>
            </w:r>
          </w:p>
        </w:tc>
        <w:tc>
          <w:tcPr>
            <w:tcW w:w="1069" w:type="dxa"/>
            <w:tcBorders>
              <w:top w:val="single" w:sz="6" w:space="0" w:color="000000"/>
              <w:bottom w:val="single" w:sz="6" w:space="0" w:color="000000"/>
            </w:tcBorders>
          </w:tcPr>
          <w:p>
            <w:pPr>
              <w:pStyle w:val="TableParagraph"/>
              <w:spacing w:line="179" w:lineRule="exact" w:before="2"/>
              <w:ind w:right="98"/>
              <w:jc w:val="right"/>
              <w:rPr>
                <w:sz w:val="16"/>
              </w:rPr>
            </w:pPr>
            <w:r>
              <w:rPr>
                <w:spacing w:val="-4"/>
                <w:w w:val="105"/>
                <w:sz w:val="16"/>
              </w:rPr>
              <w:t>2019</w:t>
            </w:r>
          </w:p>
        </w:tc>
        <w:tc>
          <w:tcPr>
            <w:tcW w:w="590" w:type="dxa"/>
            <w:tcBorders>
              <w:top w:val="single" w:sz="6" w:space="0" w:color="000000"/>
              <w:bottom w:val="single" w:sz="6" w:space="0" w:color="000000"/>
            </w:tcBorders>
          </w:tcPr>
          <w:p>
            <w:pPr>
              <w:pStyle w:val="TableParagraph"/>
              <w:rPr>
                <w:sz w:val="14"/>
              </w:rPr>
            </w:pPr>
          </w:p>
        </w:tc>
      </w:tr>
      <w:tr>
        <w:trPr>
          <w:trHeight w:val="202" w:hRule="atLeast"/>
        </w:trPr>
        <w:tc>
          <w:tcPr>
            <w:tcW w:w="6471" w:type="dxa"/>
            <w:tcBorders>
              <w:top w:val="single" w:sz="6" w:space="0" w:color="000000"/>
            </w:tcBorders>
            <w:shd w:val="clear" w:color="auto" w:fill="CCEDFF"/>
          </w:tcPr>
          <w:p>
            <w:pPr>
              <w:pStyle w:val="TableParagraph"/>
              <w:spacing w:line="180" w:lineRule="exact" w:before="2"/>
              <w:rPr>
                <w:sz w:val="16"/>
              </w:rPr>
            </w:pPr>
            <w:r>
              <w:rPr>
                <w:w w:val="105"/>
                <w:sz w:val="16"/>
              </w:rPr>
              <w:t>U.S.</w:t>
            </w:r>
            <w:r>
              <w:rPr>
                <w:spacing w:val="-7"/>
                <w:w w:val="105"/>
                <w:sz w:val="16"/>
              </w:rPr>
              <w:t> </w:t>
            </w:r>
            <w:r>
              <w:rPr>
                <w:spacing w:val="-2"/>
                <w:w w:val="105"/>
                <w:sz w:val="16"/>
              </w:rPr>
              <w:t>companies</w:t>
            </w:r>
          </w:p>
        </w:tc>
        <w:tc>
          <w:tcPr>
            <w:tcW w:w="1014"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558" w:type="dxa"/>
            <w:tcBorders>
              <w:top w:val="single" w:sz="6" w:space="0" w:color="000000"/>
            </w:tcBorders>
            <w:shd w:val="clear" w:color="auto" w:fill="CCEDFF"/>
          </w:tcPr>
          <w:p>
            <w:pPr>
              <w:pStyle w:val="TableParagraph"/>
              <w:spacing w:line="180" w:lineRule="exact" w:before="2"/>
              <w:ind w:left="103"/>
              <w:rPr>
                <w:b/>
                <w:sz w:val="16"/>
              </w:rPr>
            </w:pPr>
            <w:r>
              <w:rPr>
                <w:b/>
                <w:spacing w:val="-4"/>
                <w:w w:val="105"/>
                <w:sz w:val="16"/>
              </w:rPr>
              <w:t>1,254</w:t>
            </w:r>
          </w:p>
        </w:tc>
        <w:tc>
          <w:tcPr>
            <w:tcW w:w="1810" w:type="dxa"/>
            <w:gridSpan w:val="2"/>
            <w:tcBorders>
              <w:top w:val="single" w:sz="6" w:space="0" w:color="000000"/>
            </w:tcBorders>
            <w:shd w:val="clear" w:color="auto" w:fill="CCEDFF"/>
          </w:tcPr>
          <w:p>
            <w:pPr>
              <w:pStyle w:val="TableParagraph"/>
              <w:tabs>
                <w:tab w:pos="1417" w:val="left" w:leader="none"/>
              </w:tabs>
              <w:spacing w:line="180" w:lineRule="exact" w:before="2"/>
              <w:ind w:left="147"/>
              <w:rPr>
                <w:sz w:val="16"/>
              </w:rPr>
            </w:pPr>
            <w:r>
              <w:rPr>
                <w:spacing w:val="-10"/>
                <w:w w:val="105"/>
                <w:sz w:val="16"/>
              </w:rPr>
              <w:t>$</w:t>
            </w:r>
            <w:r>
              <w:rPr>
                <w:sz w:val="16"/>
              </w:rPr>
              <w:tab/>
            </w:r>
            <w:r>
              <w:rPr>
                <w:spacing w:val="-4"/>
                <w:w w:val="105"/>
                <w:sz w:val="16"/>
              </w:rPr>
              <w:t>(71)</w:t>
            </w:r>
          </w:p>
        </w:tc>
        <w:tc>
          <w:tcPr>
            <w:tcW w:w="1069" w:type="dxa"/>
            <w:tcBorders>
              <w:top w:val="single" w:sz="6" w:space="0" w:color="000000"/>
            </w:tcBorders>
            <w:shd w:val="clear" w:color="auto" w:fill="CCEDFF"/>
          </w:tcPr>
          <w:p>
            <w:pPr>
              <w:pStyle w:val="TableParagraph"/>
              <w:spacing w:line="180" w:lineRule="exact" w:before="2"/>
              <w:ind w:left="57"/>
              <w:rPr>
                <w:sz w:val="16"/>
              </w:rPr>
            </w:pPr>
            <w:r>
              <w:rPr>
                <w:spacing w:val="-10"/>
                <w:w w:val="105"/>
                <w:sz w:val="16"/>
              </w:rPr>
              <w:t>$</w:t>
            </w:r>
          </w:p>
        </w:tc>
        <w:tc>
          <w:tcPr>
            <w:tcW w:w="590" w:type="dxa"/>
            <w:tcBorders>
              <w:top w:val="single" w:sz="6" w:space="0" w:color="000000"/>
            </w:tcBorders>
            <w:shd w:val="clear" w:color="auto" w:fill="CCEDFF"/>
          </w:tcPr>
          <w:p>
            <w:pPr>
              <w:pStyle w:val="TableParagraph"/>
              <w:spacing w:line="180" w:lineRule="exact" w:before="2"/>
              <w:ind w:left="119"/>
              <w:jc w:val="center"/>
              <w:rPr>
                <w:sz w:val="16"/>
              </w:rPr>
            </w:pPr>
            <w:r>
              <w:rPr>
                <w:spacing w:val="-5"/>
                <w:w w:val="105"/>
                <w:sz w:val="16"/>
              </w:rPr>
              <w:t>504</w:t>
            </w:r>
          </w:p>
        </w:tc>
      </w:tr>
      <w:tr>
        <w:trPr>
          <w:trHeight w:val="202" w:hRule="atLeast"/>
        </w:trPr>
        <w:tc>
          <w:tcPr>
            <w:tcW w:w="6471" w:type="dxa"/>
            <w:tcBorders>
              <w:bottom w:val="single" w:sz="6" w:space="0" w:color="000000"/>
            </w:tcBorders>
          </w:tcPr>
          <w:p>
            <w:pPr>
              <w:pStyle w:val="TableParagraph"/>
              <w:spacing w:line="179" w:lineRule="exact" w:before="3"/>
              <w:rPr>
                <w:sz w:val="16"/>
              </w:rPr>
            </w:pPr>
            <w:r>
              <w:rPr>
                <w:sz w:val="16"/>
              </w:rPr>
              <w:t>Non-U.S.</w:t>
            </w:r>
            <w:r>
              <w:rPr>
                <w:spacing w:val="19"/>
                <w:sz w:val="16"/>
              </w:rPr>
              <w:t> </w:t>
            </w:r>
            <w:r>
              <w:rPr>
                <w:spacing w:val="-2"/>
                <w:sz w:val="16"/>
              </w:rPr>
              <w:t>companies</w:t>
            </w:r>
          </w:p>
        </w:tc>
        <w:tc>
          <w:tcPr>
            <w:tcW w:w="1014" w:type="dxa"/>
            <w:tcBorders>
              <w:bottom w:val="single" w:sz="6" w:space="0" w:color="000000"/>
            </w:tcBorders>
          </w:tcPr>
          <w:p>
            <w:pPr>
              <w:pStyle w:val="TableParagraph"/>
              <w:rPr>
                <w:sz w:val="14"/>
              </w:rPr>
            </w:pPr>
          </w:p>
        </w:tc>
        <w:tc>
          <w:tcPr>
            <w:tcW w:w="558" w:type="dxa"/>
            <w:tcBorders>
              <w:bottom w:val="single" w:sz="6" w:space="0" w:color="000000"/>
            </w:tcBorders>
          </w:tcPr>
          <w:p>
            <w:pPr>
              <w:pStyle w:val="TableParagraph"/>
              <w:spacing w:line="179" w:lineRule="exact" w:before="3"/>
              <w:ind w:left="103"/>
              <w:rPr>
                <w:b/>
                <w:sz w:val="16"/>
              </w:rPr>
            </w:pPr>
            <w:r>
              <w:rPr>
                <w:b/>
                <w:spacing w:val="-4"/>
                <w:w w:val="105"/>
                <w:sz w:val="16"/>
              </w:rPr>
              <w:t>1,143</w:t>
            </w:r>
          </w:p>
        </w:tc>
        <w:tc>
          <w:tcPr>
            <w:tcW w:w="1810" w:type="dxa"/>
            <w:gridSpan w:val="2"/>
            <w:tcBorders>
              <w:bottom w:val="single" w:sz="6" w:space="0" w:color="000000"/>
            </w:tcBorders>
          </w:tcPr>
          <w:p>
            <w:pPr>
              <w:pStyle w:val="TableParagraph"/>
              <w:spacing w:line="179" w:lineRule="exact" w:before="3"/>
              <w:ind w:right="169"/>
              <w:jc w:val="right"/>
              <w:rPr>
                <w:sz w:val="16"/>
              </w:rPr>
            </w:pPr>
            <w:r>
              <w:rPr>
                <w:spacing w:val="-5"/>
                <w:w w:val="105"/>
                <w:sz w:val="16"/>
              </w:rPr>
              <w:t>694</w:t>
            </w:r>
          </w:p>
        </w:tc>
        <w:tc>
          <w:tcPr>
            <w:tcW w:w="1069" w:type="dxa"/>
            <w:tcBorders>
              <w:bottom w:val="single" w:sz="6" w:space="0" w:color="000000"/>
            </w:tcBorders>
          </w:tcPr>
          <w:p>
            <w:pPr>
              <w:pStyle w:val="TableParagraph"/>
              <w:rPr>
                <w:sz w:val="14"/>
              </w:rPr>
            </w:pPr>
          </w:p>
        </w:tc>
        <w:tc>
          <w:tcPr>
            <w:tcW w:w="590" w:type="dxa"/>
            <w:tcBorders>
              <w:bottom w:val="single" w:sz="6" w:space="0" w:color="000000"/>
            </w:tcBorders>
          </w:tcPr>
          <w:p>
            <w:pPr>
              <w:pStyle w:val="TableParagraph"/>
              <w:spacing w:line="179" w:lineRule="exact" w:before="3"/>
              <w:ind w:left="119"/>
              <w:jc w:val="center"/>
              <w:rPr>
                <w:sz w:val="16"/>
              </w:rPr>
            </w:pPr>
            <w:r>
              <w:rPr>
                <w:spacing w:val="-5"/>
                <w:w w:val="105"/>
                <w:sz w:val="16"/>
              </w:rPr>
              <w:t>712</w:t>
            </w:r>
          </w:p>
        </w:tc>
      </w:tr>
      <w:tr>
        <w:trPr>
          <w:trHeight w:val="199" w:hRule="atLeast"/>
        </w:trPr>
        <w:tc>
          <w:tcPr>
            <w:tcW w:w="6471"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Income</w:t>
            </w:r>
            <w:r>
              <w:rPr>
                <w:spacing w:val="-11"/>
                <w:w w:val="105"/>
                <w:sz w:val="16"/>
              </w:rPr>
              <w:t> </w:t>
            </w:r>
            <w:r>
              <w:rPr>
                <w:w w:val="105"/>
                <w:sz w:val="16"/>
              </w:rPr>
              <w:t>before</w:t>
            </w:r>
            <w:r>
              <w:rPr>
                <w:spacing w:val="-10"/>
                <w:w w:val="105"/>
                <w:sz w:val="16"/>
              </w:rPr>
              <w:t> </w:t>
            </w:r>
            <w:r>
              <w:rPr>
                <w:w w:val="105"/>
                <w:sz w:val="16"/>
              </w:rPr>
              <w:t>income</w:t>
            </w:r>
            <w:r>
              <w:rPr>
                <w:spacing w:val="-10"/>
                <w:w w:val="105"/>
                <w:sz w:val="16"/>
              </w:rPr>
              <w:t> </w:t>
            </w:r>
            <w:r>
              <w:rPr>
                <w:spacing w:val="-2"/>
                <w:w w:val="105"/>
                <w:sz w:val="16"/>
              </w:rPr>
              <w:t>taxes</w:t>
            </w:r>
          </w:p>
        </w:tc>
        <w:tc>
          <w:tcPr>
            <w:tcW w:w="1014" w:type="dxa"/>
            <w:tcBorders>
              <w:top w:val="single" w:sz="6" w:space="0" w:color="000000"/>
              <w:bottom w:val="double" w:sz="6" w:space="0" w:color="000000"/>
            </w:tcBorders>
            <w:shd w:val="clear" w:color="auto" w:fill="CCEDFF"/>
          </w:tcPr>
          <w:p>
            <w:pPr>
              <w:pStyle w:val="TableParagraph"/>
              <w:spacing w:line="177" w:lineRule="exact" w:before="2"/>
              <w:rPr>
                <w:b/>
                <w:sz w:val="16"/>
              </w:rPr>
            </w:pPr>
            <w:r>
              <w:rPr>
                <w:b/>
                <w:spacing w:val="-10"/>
                <w:w w:val="105"/>
                <w:sz w:val="16"/>
              </w:rPr>
              <w:t>$</w:t>
            </w:r>
          </w:p>
        </w:tc>
        <w:tc>
          <w:tcPr>
            <w:tcW w:w="558" w:type="dxa"/>
            <w:tcBorders>
              <w:top w:val="single" w:sz="6" w:space="0" w:color="000000"/>
              <w:bottom w:val="double" w:sz="6" w:space="0" w:color="000000"/>
            </w:tcBorders>
            <w:shd w:val="clear" w:color="auto" w:fill="CCEDFF"/>
          </w:tcPr>
          <w:p>
            <w:pPr>
              <w:pStyle w:val="TableParagraph"/>
              <w:spacing w:line="177" w:lineRule="exact" w:before="2"/>
              <w:ind w:left="103"/>
              <w:rPr>
                <w:b/>
                <w:sz w:val="16"/>
              </w:rPr>
            </w:pPr>
            <w:r>
              <w:rPr>
                <w:b/>
                <w:spacing w:val="-4"/>
                <w:w w:val="105"/>
                <w:sz w:val="16"/>
              </w:rPr>
              <w:t>2,397</w:t>
            </w:r>
          </w:p>
        </w:tc>
        <w:tc>
          <w:tcPr>
            <w:tcW w:w="1810" w:type="dxa"/>
            <w:gridSpan w:val="2"/>
            <w:tcBorders>
              <w:top w:val="single" w:sz="6" w:space="0" w:color="000000"/>
              <w:bottom w:val="double" w:sz="6" w:space="0" w:color="000000"/>
            </w:tcBorders>
            <w:shd w:val="clear" w:color="auto" w:fill="CCEDFF"/>
          </w:tcPr>
          <w:p>
            <w:pPr>
              <w:pStyle w:val="TableParagraph"/>
              <w:tabs>
                <w:tab w:pos="1389" w:val="left" w:leader="none"/>
              </w:tabs>
              <w:spacing w:line="177" w:lineRule="exact" w:before="2"/>
              <w:ind w:left="147"/>
              <w:rPr>
                <w:sz w:val="16"/>
              </w:rPr>
            </w:pPr>
            <w:r>
              <w:rPr>
                <w:spacing w:val="-10"/>
                <w:w w:val="105"/>
                <w:sz w:val="16"/>
              </w:rPr>
              <w:t>$</w:t>
            </w:r>
            <w:r>
              <w:rPr>
                <w:sz w:val="16"/>
              </w:rPr>
              <w:tab/>
            </w:r>
            <w:r>
              <w:rPr>
                <w:spacing w:val="-5"/>
                <w:w w:val="105"/>
                <w:sz w:val="16"/>
              </w:rPr>
              <w:t>623</w:t>
            </w:r>
          </w:p>
        </w:tc>
        <w:tc>
          <w:tcPr>
            <w:tcW w:w="1069" w:type="dxa"/>
            <w:tcBorders>
              <w:top w:val="single" w:sz="6" w:space="0" w:color="000000"/>
              <w:bottom w:val="double" w:sz="6" w:space="0" w:color="000000"/>
            </w:tcBorders>
            <w:shd w:val="clear" w:color="auto" w:fill="CCEDFF"/>
          </w:tcPr>
          <w:p>
            <w:pPr>
              <w:pStyle w:val="TableParagraph"/>
              <w:spacing w:line="177" w:lineRule="exact" w:before="2"/>
              <w:ind w:left="57"/>
              <w:rPr>
                <w:sz w:val="16"/>
              </w:rPr>
            </w:pPr>
            <w:r>
              <w:rPr>
                <w:spacing w:val="-10"/>
                <w:w w:val="105"/>
                <w:sz w:val="16"/>
              </w:rPr>
              <w:t>$</w:t>
            </w:r>
          </w:p>
        </w:tc>
        <w:tc>
          <w:tcPr>
            <w:tcW w:w="590" w:type="dxa"/>
            <w:tcBorders>
              <w:top w:val="single" w:sz="6" w:space="0" w:color="000000"/>
              <w:bottom w:val="double" w:sz="6" w:space="0" w:color="000000"/>
            </w:tcBorders>
            <w:shd w:val="clear" w:color="auto" w:fill="CCEDFF"/>
          </w:tcPr>
          <w:p>
            <w:pPr>
              <w:pStyle w:val="TableParagraph"/>
              <w:spacing w:line="177" w:lineRule="exact" w:before="2"/>
              <w:ind w:right="2"/>
              <w:jc w:val="center"/>
              <w:rPr>
                <w:sz w:val="16"/>
              </w:rPr>
            </w:pPr>
            <w:r>
              <w:rPr>
                <w:spacing w:val="-4"/>
                <w:w w:val="105"/>
                <w:sz w:val="16"/>
              </w:rPr>
              <w:t>1,216</w:t>
            </w:r>
          </w:p>
        </w:tc>
      </w:tr>
      <w:tr>
        <w:trPr>
          <w:trHeight w:val="516" w:hRule="atLeast"/>
        </w:trPr>
        <w:tc>
          <w:tcPr>
            <w:tcW w:w="6471" w:type="dxa"/>
            <w:tcBorders>
              <w:top w:val="double" w:sz="6" w:space="0" w:color="000000"/>
              <w:bottom w:val="single" w:sz="12" w:space="0" w:color="000000"/>
            </w:tcBorders>
          </w:tcPr>
          <w:p>
            <w:pPr>
              <w:pStyle w:val="TableParagraph"/>
              <w:spacing w:before="19"/>
              <w:rPr>
                <w:sz w:val="16"/>
              </w:rPr>
            </w:pPr>
          </w:p>
          <w:p>
            <w:pPr>
              <w:pStyle w:val="TableParagraph"/>
              <w:spacing w:before="1"/>
              <w:rPr>
                <w:sz w:val="16"/>
              </w:rPr>
            </w:pPr>
            <w:r>
              <w:rPr>
                <w:w w:val="105"/>
                <w:sz w:val="16"/>
              </w:rPr>
              <w:t>The</w:t>
            </w:r>
            <w:r>
              <w:rPr>
                <w:spacing w:val="-9"/>
                <w:w w:val="105"/>
                <w:sz w:val="16"/>
              </w:rPr>
              <w:t> </w:t>
            </w:r>
            <w:r>
              <w:rPr>
                <w:w w:val="105"/>
                <w:sz w:val="16"/>
              </w:rPr>
              <w:t>current</w:t>
            </w:r>
            <w:r>
              <w:rPr>
                <w:spacing w:val="-8"/>
                <w:w w:val="105"/>
                <w:sz w:val="16"/>
              </w:rPr>
              <w:t> </w:t>
            </w:r>
            <w:r>
              <w:rPr>
                <w:w w:val="105"/>
                <w:sz w:val="16"/>
              </w:rPr>
              <w:t>and</w:t>
            </w:r>
            <w:r>
              <w:rPr>
                <w:spacing w:val="-8"/>
                <w:w w:val="105"/>
                <w:sz w:val="16"/>
              </w:rPr>
              <w:t> </w:t>
            </w:r>
            <w:r>
              <w:rPr>
                <w:w w:val="105"/>
                <w:sz w:val="16"/>
              </w:rPr>
              <w:t>deferred</w:t>
            </w:r>
            <w:r>
              <w:rPr>
                <w:spacing w:val="-9"/>
                <w:w w:val="105"/>
                <w:sz w:val="16"/>
              </w:rPr>
              <w:t> </w:t>
            </w:r>
            <w:r>
              <w:rPr>
                <w:w w:val="105"/>
                <w:sz w:val="16"/>
              </w:rPr>
              <w:t>amounts</w:t>
            </w:r>
            <w:r>
              <w:rPr>
                <w:spacing w:val="-8"/>
                <w:w w:val="105"/>
                <w:sz w:val="16"/>
              </w:rPr>
              <w:t> </w:t>
            </w:r>
            <w:r>
              <w:rPr>
                <w:w w:val="105"/>
                <w:sz w:val="16"/>
              </w:rPr>
              <w:t>of</w:t>
            </w:r>
            <w:r>
              <w:rPr>
                <w:spacing w:val="-8"/>
                <w:w w:val="105"/>
                <w:sz w:val="16"/>
              </w:rPr>
              <w:t> </w:t>
            </w:r>
            <w:r>
              <w:rPr>
                <w:w w:val="105"/>
                <w:sz w:val="16"/>
              </w:rPr>
              <w:t>the</w:t>
            </w:r>
            <w:r>
              <w:rPr>
                <w:spacing w:val="-8"/>
                <w:w w:val="105"/>
                <w:sz w:val="16"/>
              </w:rPr>
              <w:t> </w:t>
            </w:r>
            <w:r>
              <w:rPr>
                <w:w w:val="105"/>
                <w:sz w:val="16"/>
              </w:rPr>
              <w:t>provision</w:t>
            </w:r>
            <w:r>
              <w:rPr>
                <w:spacing w:val="-9"/>
                <w:w w:val="105"/>
                <w:sz w:val="16"/>
              </w:rPr>
              <w:t> </w:t>
            </w:r>
            <w:r>
              <w:rPr>
                <w:w w:val="105"/>
                <w:sz w:val="16"/>
              </w:rPr>
              <w:t>for</w:t>
            </w:r>
            <w:r>
              <w:rPr>
                <w:spacing w:val="-8"/>
                <w:w w:val="105"/>
                <w:sz w:val="16"/>
              </w:rPr>
              <w:t> </w:t>
            </w:r>
            <w:r>
              <w:rPr>
                <w:w w:val="105"/>
                <w:sz w:val="16"/>
              </w:rPr>
              <w:t>income</w:t>
            </w:r>
            <w:r>
              <w:rPr>
                <w:spacing w:val="-8"/>
                <w:w w:val="105"/>
                <w:sz w:val="16"/>
              </w:rPr>
              <w:t> </w:t>
            </w:r>
            <w:r>
              <w:rPr>
                <w:w w:val="105"/>
                <w:sz w:val="16"/>
              </w:rPr>
              <w:t>taxes</w:t>
            </w:r>
            <w:r>
              <w:rPr>
                <w:spacing w:val="-9"/>
                <w:w w:val="105"/>
                <w:sz w:val="16"/>
              </w:rPr>
              <w:t> </w:t>
            </w:r>
            <w:r>
              <w:rPr>
                <w:w w:val="105"/>
                <w:sz w:val="16"/>
              </w:rPr>
              <w:t>are</w:t>
            </w:r>
            <w:r>
              <w:rPr>
                <w:spacing w:val="-8"/>
                <w:w w:val="105"/>
                <w:sz w:val="16"/>
              </w:rPr>
              <w:t> </w:t>
            </w:r>
            <w:r>
              <w:rPr>
                <w:w w:val="105"/>
                <w:sz w:val="16"/>
              </w:rPr>
              <w:t>as</w:t>
            </w:r>
            <w:r>
              <w:rPr>
                <w:spacing w:val="-8"/>
                <w:w w:val="105"/>
                <w:sz w:val="16"/>
              </w:rPr>
              <w:t> </w:t>
            </w:r>
            <w:r>
              <w:rPr>
                <w:w w:val="105"/>
                <w:sz w:val="16"/>
              </w:rPr>
              <w:t>follows</w:t>
            </w:r>
            <w:r>
              <w:rPr>
                <w:spacing w:val="-8"/>
                <w:w w:val="105"/>
                <w:sz w:val="16"/>
              </w:rPr>
              <w:t> </w:t>
            </w:r>
            <w:r>
              <w:rPr>
                <w:w w:val="105"/>
                <w:sz w:val="16"/>
              </w:rPr>
              <w:t>(in</w:t>
            </w:r>
            <w:r>
              <w:rPr>
                <w:spacing w:val="-9"/>
                <w:w w:val="105"/>
                <w:sz w:val="16"/>
              </w:rPr>
              <w:t> </w:t>
            </w:r>
            <w:r>
              <w:rPr>
                <w:spacing w:val="-2"/>
                <w:w w:val="105"/>
                <w:sz w:val="16"/>
              </w:rPr>
              <w:t>millions):</w:t>
            </w:r>
          </w:p>
        </w:tc>
        <w:tc>
          <w:tcPr>
            <w:tcW w:w="1014" w:type="dxa"/>
            <w:tcBorders>
              <w:top w:val="double" w:sz="6" w:space="0" w:color="000000"/>
              <w:bottom w:val="single" w:sz="12" w:space="0" w:color="000000"/>
            </w:tcBorders>
          </w:tcPr>
          <w:p>
            <w:pPr>
              <w:pStyle w:val="TableParagraph"/>
              <w:rPr>
                <w:sz w:val="16"/>
              </w:rPr>
            </w:pPr>
          </w:p>
        </w:tc>
        <w:tc>
          <w:tcPr>
            <w:tcW w:w="558" w:type="dxa"/>
            <w:tcBorders>
              <w:top w:val="double" w:sz="6" w:space="0" w:color="000000"/>
              <w:bottom w:val="single" w:sz="12" w:space="0" w:color="000000"/>
            </w:tcBorders>
          </w:tcPr>
          <w:p>
            <w:pPr>
              <w:pStyle w:val="TableParagraph"/>
              <w:rPr>
                <w:sz w:val="16"/>
              </w:rPr>
            </w:pPr>
          </w:p>
        </w:tc>
        <w:tc>
          <w:tcPr>
            <w:tcW w:w="1810" w:type="dxa"/>
            <w:gridSpan w:val="2"/>
            <w:tcBorders>
              <w:top w:val="double" w:sz="6" w:space="0" w:color="000000"/>
              <w:bottom w:val="single" w:sz="12" w:space="0" w:color="000000"/>
            </w:tcBorders>
          </w:tcPr>
          <w:p>
            <w:pPr>
              <w:pStyle w:val="TableParagraph"/>
              <w:rPr>
                <w:sz w:val="16"/>
              </w:rPr>
            </w:pPr>
          </w:p>
        </w:tc>
        <w:tc>
          <w:tcPr>
            <w:tcW w:w="1069" w:type="dxa"/>
            <w:tcBorders>
              <w:top w:val="double" w:sz="6" w:space="0" w:color="000000"/>
              <w:bottom w:val="single" w:sz="12" w:space="0" w:color="000000"/>
            </w:tcBorders>
          </w:tcPr>
          <w:p>
            <w:pPr>
              <w:pStyle w:val="TableParagraph"/>
              <w:rPr>
                <w:sz w:val="16"/>
              </w:rPr>
            </w:pPr>
          </w:p>
        </w:tc>
        <w:tc>
          <w:tcPr>
            <w:tcW w:w="590" w:type="dxa"/>
            <w:tcBorders>
              <w:top w:val="double" w:sz="6" w:space="0" w:color="000000"/>
              <w:bottom w:val="single" w:sz="12" w:space="0" w:color="000000"/>
            </w:tcBorders>
          </w:tcPr>
          <w:p>
            <w:pPr>
              <w:pStyle w:val="TableParagraph"/>
              <w:rPr>
                <w:sz w:val="16"/>
              </w:rPr>
            </w:pPr>
          </w:p>
        </w:tc>
      </w:tr>
      <w:tr>
        <w:trPr>
          <w:trHeight w:val="200" w:hRule="atLeast"/>
        </w:trPr>
        <w:tc>
          <w:tcPr>
            <w:tcW w:w="6471" w:type="dxa"/>
            <w:tcBorders>
              <w:top w:val="single" w:sz="12" w:space="0" w:color="000000"/>
            </w:tcBorders>
          </w:tcPr>
          <w:p>
            <w:pPr>
              <w:pStyle w:val="TableParagraph"/>
              <w:rPr>
                <w:sz w:val="12"/>
              </w:rPr>
            </w:pPr>
          </w:p>
        </w:tc>
        <w:tc>
          <w:tcPr>
            <w:tcW w:w="1014" w:type="dxa"/>
            <w:tcBorders>
              <w:top w:val="single" w:sz="12" w:space="0" w:color="000000"/>
              <w:bottom w:val="single" w:sz="6" w:space="0" w:color="000000"/>
            </w:tcBorders>
          </w:tcPr>
          <w:p>
            <w:pPr>
              <w:pStyle w:val="TableParagraph"/>
              <w:rPr>
                <w:sz w:val="12"/>
              </w:rPr>
            </w:pPr>
          </w:p>
        </w:tc>
        <w:tc>
          <w:tcPr>
            <w:tcW w:w="558" w:type="dxa"/>
            <w:tcBorders>
              <w:top w:val="single" w:sz="12" w:space="0" w:color="000000"/>
              <w:bottom w:val="single" w:sz="6" w:space="0" w:color="000000"/>
            </w:tcBorders>
          </w:tcPr>
          <w:p>
            <w:pPr>
              <w:pStyle w:val="TableParagraph"/>
              <w:rPr>
                <w:sz w:val="12"/>
              </w:rPr>
            </w:pPr>
          </w:p>
        </w:tc>
        <w:tc>
          <w:tcPr>
            <w:tcW w:w="1810" w:type="dxa"/>
            <w:gridSpan w:val="2"/>
            <w:tcBorders>
              <w:top w:val="single" w:sz="12" w:space="0" w:color="000000"/>
              <w:bottom w:val="single" w:sz="6" w:space="0" w:color="000000"/>
            </w:tcBorders>
          </w:tcPr>
          <w:p>
            <w:pPr>
              <w:pStyle w:val="TableParagraph"/>
              <w:spacing w:line="179" w:lineRule="exact" w:before="1"/>
              <w:ind w:left="27"/>
              <w:rPr>
                <w:sz w:val="16"/>
              </w:rPr>
            </w:pPr>
            <w:r>
              <w:rPr>
                <w:w w:val="105"/>
                <w:sz w:val="16"/>
              </w:rPr>
              <w:t>Year</w:t>
            </w:r>
            <w:r>
              <w:rPr>
                <w:spacing w:val="-12"/>
                <w:w w:val="105"/>
                <w:sz w:val="16"/>
              </w:rPr>
              <w:t> </w:t>
            </w:r>
            <w:r>
              <w:rPr>
                <w:w w:val="105"/>
                <w:sz w:val="16"/>
              </w:rPr>
              <w:t>ended</w:t>
            </w:r>
            <w:r>
              <w:rPr>
                <w:spacing w:val="-10"/>
                <w:w w:val="105"/>
                <w:sz w:val="16"/>
              </w:rPr>
              <w:t> </w:t>
            </w:r>
            <w:r>
              <w:rPr>
                <w:w w:val="105"/>
                <w:sz w:val="16"/>
              </w:rPr>
              <w:t>December</w:t>
            </w:r>
            <w:r>
              <w:rPr>
                <w:spacing w:val="-10"/>
                <w:w w:val="105"/>
                <w:sz w:val="16"/>
              </w:rPr>
              <w:t> </w:t>
            </w:r>
            <w:r>
              <w:rPr>
                <w:spacing w:val="-5"/>
                <w:w w:val="105"/>
                <w:sz w:val="16"/>
              </w:rPr>
              <w:t>31,</w:t>
            </w:r>
          </w:p>
        </w:tc>
        <w:tc>
          <w:tcPr>
            <w:tcW w:w="1069" w:type="dxa"/>
            <w:tcBorders>
              <w:top w:val="single" w:sz="12" w:space="0" w:color="000000"/>
              <w:bottom w:val="single" w:sz="6" w:space="0" w:color="000000"/>
            </w:tcBorders>
          </w:tcPr>
          <w:p>
            <w:pPr>
              <w:pStyle w:val="TableParagraph"/>
              <w:rPr>
                <w:sz w:val="12"/>
              </w:rPr>
            </w:pPr>
          </w:p>
        </w:tc>
        <w:tc>
          <w:tcPr>
            <w:tcW w:w="590" w:type="dxa"/>
            <w:tcBorders>
              <w:top w:val="single" w:sz="12" w:space="0" w:color="000000"/>
              <w:bottom w:val="single" w:sz="6" w:space="0" w:color="000000"/>
            </w:tcBorders>
          </w:tcPr>
          <w:p>
            <w:pPr>
              <w:pStyle w:val="TableParagraph"/>
              <w:rPr>
                <w:sz w:val="12"/>
              </w:rPr>
            </w:pPr>
          </w:p>
        </w:tc>
      </w:tr>
      <w:tr>
        <w:trPr>
          <w:trHeight w:val="201" w:hRule="atLeast"/>
        </w:trPr>
        <w:tc>
          <w:tcPr>
            <w:tcW w:w="6471" w:type="dxa"/>
            <w:tcBorders>
              <w:bottom w:val="single" w:sz="6" w:space="0" w:color="000000"/>
            </w:tcBorders>
          </w:tcPr>
          <w:p>
            <w:pPr>
              <w:pStyle w:val="TableParagraph"/>
              <w:rPr>
                <w:sz w:val="14"/>
              </w:rPr>
            </w:pPr>
          </w:p>
        </w:tc>
        <w:tc>
          <w:tcPr>
            <w:tcW w:w="1014" w:type="dxa"/>
            <w:tcBorders>
              <w:top w:val="single" w:sz="6" w:space="0" w:color="000000"/>
              <w:bottom w:val="single" w:sz="6" w:space="0" w:color="000000"/>
            </w:tcBorders>
          </w:tcPr>
          <w:p>
            <w:pPr>
              <w:pStyle w:val="TableParagraph"/>
              <w:spacing w:line="179" w:lineRule="exact" w:before="2"/>
              <w:ind w:right="101"/>
              <w:jc w:val="right"/>
              <w:rPr>
                <w:b/>
                <w:sz w:val="16"/>
              </w:rPr>
            </w:pPr>
            <w:r>
              <w:rPr>
                <w:b/>
                <w:spacing w:val="-4"/>
                <w:w w:val="105"/>
                <w:sz w:val="16"/>
              </w:rPr>
              <w:t>2021</w:t>
            </w:r>
          </w:p>
        </w:tc>
        <w:tc>
          <w:tcPr>
            <w:tcW w:w="558" w:type="dxa"/>
            <w:tcBorders>
              <w:top w:val="single" w:sz="6" w:space="0" w:color="000000"/>
              <w:bottom w:val="single" w:sz="6" w:space="0" w:color="000000"/>
            </w:tcBorders>
          </w:tcPr>
          <w:p>
            <w:pPr>
              <w:pStyle w:val="TableParagraph"/>
              <w:rPr>
                <w:sz w:val="14"/>
              </w:rPr>
            </w:pPr>
          </w:p>
        </w:tc>
        <w:tc>
          <w:tcPr>
            <w:tcW w:w="1810" w:type="dxa"/>
            <w:gridSpan w:val="2"/>
            <w:tcBorders>
              <w:top w:val="single" w:sz="6" w:space="0" w:color="000000"/>
              <w:bottom w:val="single" w:sz="6" w:space="0" w:color="000000"/>
            </w:tcBorders>
          </w:tcPr>
          <w:p>
            <w:pPr>
              <w:pStyle w:val="TableParagraph"/>
              <w:spacing w:line="179" w:lineRule="exact" w:before="2"/>
              <w:ind w:right="22"/>
              <w:jc w:val="center"/>
              <w:rPr>
                <w:sz w:val="16"/>
              </w:rPr>
            </w:pPr>
            <w:r>
              <w:rPr>
                <w:spacing w:val="-4"/>
                <w:w w:val="105"/>
                <w:sz w:val="16"/>
              </w:rPr>
              <w:t>2020</w:t>
            </w:r>
          </w:p>
        </w:tc>
        <w:tc>
          <w:tcPr>
            <w:tcW w:w="1069" w:type="dxa"/>
            <w:tcBorders>
              <w:top w:val="single" w:sz="6" w:space="0" w:color="000000"/>
              <w:bottom w:val="single" w:sz="6" w:space="0" w:color="000000"/>
            </w:tcBorders>
          </w:tcPr>
          <w:p>
            <w:pPr>
              <w:pStyle w:val="TableParagraph"/>
              <w:spacing w:line="179" w:lineRule="exact" w:before="2"/>
              <w:ind w:right="98"/>
              <w:jc w:val="right"/>
              <w:rPr>
                <w:sz w:val="16"/>
              </w:rPr>
            </w:pPr>
            <w:r>
              <w:rPr>
                <w:spacing w:val="-4"/>
                <w:w w:val="105"/>
                <w:sz w:val="16"/>
              </w:rPr>
              <w:t>2019</w:t>
            </w:r>
          </w:p>
        </w:tc>
        <w:tc>
          <w:tcPr>
            <w:tcW w:w="590" w:type="dxa"/>
            <w:tcBorders>
              <w:top w:val="single" w:sz="6" w:space="0" w:color="000000"/>
              <w:bottom w:val="single" w:sz="6" w:space="0" w:color="000000"/>
            </w:tcBorders>
          </w:tcPr>
          <w:p>
            <w:pPr>
              <w:pStyle w:val="TableParagraph"/>
              <w:rPr>
                <w:sz w:val="14"/>
              </w:rPr>
            </w:pPr>
          </w:p>
        </w:tc>
      </w:tr>
      <w:tr>
        <w:trPr>
          <w:trHeight w:val="202" w:hRule="atLeast"/>
        </w:trPr>
        <w:tc>
          <w:tcPr>
            <w:tcW w:w="6471" w:type="dxa"/>
            <w:tcBorders>
              <w:top w:val="single" w:sz="6" w:space="0" w:color="000000"/>
            </w:tcBorders>
            <w:shd w:val="clear" w:color="auto" w:fill="CCEDFF"/>
          </w:tcPr>
          <w:p>
            <w:pPr>
              <w:pStyle w:val="TableParagraph"/>
              <w:spacing w:line="180" w:lineRule="exact" w:before="2"/>
              <w:rPr>
                <w:sz w:val="16"/>
              </w:rPr>
            </w:pPr>
            <w:r>
              <w:rPr>
                <w:spacing w:val="-2"/>
                <w:w w:val="105"/>
                <w:sz w:val="16"/>
              </w:rPr>
              <w:t>Current:</w:t>
            </w:r>
          </w:p>
        </w:tc>
        <w:tc>
          <w:tcPr>
            <w:tcW w:w="1014" w:type="dxa"/>
            <w:tcBorders>
              <w:top w:val="single" w:sz="6" w:space="0" w:color="000000"/>
            </w:tcBorders>
            <w:shd w:val="clear" w:color="auto" w:fill="CCEDFF"/>
          </w:tcPr>
          <w:p>
            <w:pPr>
              <w:pStyle w:val="TableParagraph"/>
              <w:rPr>
                <w:sz w:val="14"/>
              </w:rPr>
            </w:pPr>
          </w:p>
        </w:tc>
        <w:tc>
          <w:tcPr>
            <w:tcW w:w="558" w:type="dxa"/>
            <w:tcBorders>
              <w:top w:val="single" w:sz="6" w:space="0" w:color="000000"/>
            </w:tcBorders>
            <w:shd w:val="clear" w:color="auto" w:fill="CCEDFF"/>
          </w:tcPr>
          <w:p>
            <w:pPr>
              <w:pStyle w:val="TableParagraph"/>
              <w:rPr>
                <w:sz w:val="14"/>
              </w:rPr>
            </w:pPr>
          </w:p>
        </w:tc>
        <w:tc>
          <w:tcPr>
            <w:tcW w:w="1810" w:type="dxa"/>
            <w:gridSpan w:val="2"/>
            <w:tcBorders>
              <w:top w:val="single" w:sz="6" w:space="0" w:color="000000"/>
            </w:tcBorders>
            <w:shd w:val="clear" w:color="auto" w:fill="CCEDFF"/>
          </w:tcPr>
          <w:p>
            <w:pPr>
              <w:pStyle w:val="TableParagraph"/>
              <w:rPr>
                <w:sz w:val="14"/>
              </w:rPr>
            </w:pPr>
          </w:p>
        </w:tc>
        <w:tc>
          <w:tcPr>
            <w:tcW w:w="1069" w:type="dxa"/>
            <w:tcBorders>
              <w:top w:val="single" w:sz="6" w:space="0" w:color="000000"/>
            </w:tcBorders>
            <w:shd w:val="clear" w:color="auto" w:fill="CCEDFF"/>
          </w:tcPr>
          <w:p>
            <w:pPr>
              <w:pStyle w:val="TableParagraph"/>
              <w:rPr>
                <w:sz w:val="14"/>
              </w:rPr>
            </w:pPr>
          </w:p>
        </w:tc>
        <w:tc>
          <w:tcPr>
            <w:tcW w:w="590" w:type="dxa"/>
            <w:tcBorders>
              <w:top w:val="single" w:sz="6" w:space="0" w:color="000000"/>
            </w:tcBorders>
            <w:shd w:val="clear" w:color="auto" w:fill="CCEDFF"/>
          </w:tcPr>
          <w:p>
            <w:pPr>
              <w:pStyle w:val="TableParagraph"/>
              <w:rPr>
                <w:sz w:val="14"/>
              </w:rPr>
            </w:pPr>
          </w:p>
        </w:tc>
      </w:tr>
      <w:tr>
        <w:trPr>
          <w:trHeight w:val="203" w:hRule="atLeast"/>
        </w:trPr>
        <w:tc>
          <w:tcPr>
            <w:tcW w:w="6471" w:type="dxa"/>
          </w:tcPr>
          <w:p>
            <w:pPr>
              <w:pStyle w:val="TableParagraph"/>
              <w:spacing w:line="180" w:lineRule="exact" w:before="3"/>
              <w:ind w:left="305"/>
              <w:rPr>
                <w:sz w:val="16"/>
              </w:rPr>
            </w:pPr>
            <w:r>
              <w:rPr>
                <w:spacing w:val="-2"/>
                <w:w w:val="105"/>
                <w:sz w:val="16"/>
              </w:rPr>
              <w:t>Federal</w:t>
            </w:r>
          </w:p>
        </w:tc>
        <w:tc>
          <w:tcPr>
            <w:tcW w:w="1014" w:type="dxa"/>
          </w:tcPr>
          <w:p>
            <w:pPr>
              <w:pStyle w:val="TableParagraph"/>
              <w:spacing w:line="180" w:lineRule="exact" w:before="3"/>
              <w:rPr>
                <w:b/>
                <w:sz w:val="16"/>
              </w:rPr>
            </w:pPr>
            <w:r>
              <w:rPr>
                <w:b/>
                <w:spacing w:val="-10"/>
                <w:w w:val="105"/>
                <w:sz w:val="16"/>
              </w:rPr>
              <w:t>$</w:t>
            </w:r>
          </w:p>
        </w:tc>
        <w:tc>
          <w:tcPr>
            <w:tcW w:w="558" w:type="dxa"/>
          </w:tcPr>
          <w:p>
            <w:pPr>
              <w:pStyle w:val="TableParagraph"/>
              <w:spacing w:line="180" w:lineRule="exact" w:before="3"/>
              <w:ind w:right="24"/>
              <w:jc w:val="right"/>
              <w:rPr>
                <w:b/>
                <w:sz w:val="16"/>
              </w:rPr>
            </w:pPr>
            <w:r>
              <w:rPr>
                <w:b/>
                <w:spacing w:val="-2"/>
                <w:w w:val="105"/>
                <w:sz w:val="16"/>
              </w:rPr>
              <w:t>(172)</w:t>
            </w:r>
          </w:p>
        </w:tc>
        <w:tc>
          <w:tcPr>
            <w:tcW w:w="1810" w:type="dxa"/>
            <w:gridSpan w:val="2"/>
          </w:tcPr>
          <w:p>
            <w:pPr>
              <w:pStyle w:val="TableParagraph"/>
              <w:tabs>
                <w:tab w:pos="1472" w:val="left" w:leader="none"/>
              </w:tabs>
              <w:spacing w:line="180" w:lineRule="exact" w:before="3"/>
              <w:ind w:left="147"/>
              <w:rPr>
                <w:sz w:val="16"/>
              </w:rPr>
            </w:pPr>
            <w:r>
              <w:rPr>
                <w:spacing w:val="-10"/>
                <w:w w:val="105"/>
                <w:sz w:val="16"/>
              </w:rPr>
              <w:t>$</w:t>
            </w:r>
            <w:r>
              <w:rPr>
                <w:sz w:val="16"/>
              </w:rPr>
              <w:tab/>
            </w:r>
            <w:r>
              <w:rPr>
                <w:spacing w:val="-5"/>
                <w:w w:val="105"/>
                <w:sz w:val="16"/>
              </w:rPr>
              <w:t>88</w:t>
            </w:r>
          </w:p>
        </w:tc>
        <w:tc>
          <w:tcPr>
            <w:tcW w:w="1069" w:type="dxa"/>
          </w:tcPr>
          <w:p>
            <w:pPr>
              <w:pStyle w:val="TableParagraph"/>
              <w:spacing w:line="180" w:lineRule="exact" w:before="3"/>
              <w:ind w:left="57"/>
              <w:rPr>
                <w:sz w:val="16"/>
              </w:rPr>
            </w:pPr>
            <w:r>
              <w:rPr>
                <w:spacing w:val="-10"/>
                <w:w w:val="105"/>
                <w:sz w:val="16"/>
              </w:rPr>
              <w:t>$</w:t>
            </w:r>
          </w:p>
        </w:tc>
        <w:tc>
          <w:tcPr>
            <w:tcW w:w="590" w:type="dxa"/>
          </w:tcPr>
          <w:p>
            <w:pPr>
              <w:pStyle w:val="TableParagraph"/>
              <w:spacing w:line="180" w:lineRule="exact" w:before="3"/>
              <w:ind w:left="203" w:right="2"/>
              <w:jc w:val="center"/>
              <w:rPr>
                <w:sz w:val="16"/>
              </w:rPr>
            </w:pPr>
            <w:r>
              <w:rPr>
                <w:spacing w:val="-4"/>
                <w:w w:val="105"/>
                <w:sz w:val="16"/>
              </w:rPr>
              <w:t>(82)</w:t>
            </w:r>
          </w:p>
        </w:tc>
      </w:tr>
      <w:tr>
        <w:trPr>
          <w:trHeight w:val="203" w:hRule="atLeast"/>
        </w:trPr>
        <w:tc>
          <w:tcPr>
            <w:tcW w:w="6471" w:type="dxa"/>
            <w:shd w:val="clear" w:color="auto" w:fill="CCEDFF"/>
          </w:tcPr>
          <w:p>
            <w:pPr>
              <w:pStyle w:val="TableParagraph"/>
              <w:spacing w:line="180" w:lineRule="exact" w:before="3"/>
              <w:ind w:left="305"/>
              <w:rPr>
                <w:sz w:val="16"/>
              </w:rPr>
            </w:pPr>
            <w:r>
              <w:rPr>
                <w:w w:val="105"/>
                <w:sz w:val="16"/>
              </w:rPr>
              <w:t>State</w:t>
            </w:r>
            <w:r>
              <w:rPr>
                <w:spacing w:val="-7"/>
                <w:w w:val="105"/>
                <w:sz w:val="16"/>
              </w:rPr>
              <w:t> </w:t>
            </w:r>
            <w:r>
              <w:rPr>
                <w:w w:val="105"/>
                <w:sz w:val="16"/>
              </w:rPr>
              <w:t>and</w:t>
            </w:r>
            <w:r>
              <w:rPr>
                <w:spacing w:val="-7"/>
                <w:w w:val="105"/>
                <w:sz w:val="16"/>
              </w:rPr>
              <w:t> </w:t>
            </w:r>
            <w:r>
              <w:rPr>
                <w:spacing w:val="-2"/>
                <w:w w:val="105"/>
                <w:sz w:val="16"/>
              </w:rPr>
              <w:t>municipal</w:t>
            </w:r>
          </w:p>
        </w:tc>
        <w:tc>
          <w:tcPr>
            <w:tcW w:w="1014" w:type="dxa"/>
            <w:shd w:val="clear" w:color="auto" w:fill="CCEDFF"/>
          </w:tcPr>
          <w:p>
            <w:pPr>
              <w:pStyle w:val="TableParagraph"/>
              <w:rPr>
                <w:sz w:val="14"/>
              </w:rPr>
            </w:pPr>
          </w:p>
        </w:tc>
        <w:tc>
          <w:tcPr>
            <w:tcW w:w="558" w:type="dxa"/>
            <w:shd w:val="clear" w:color="auto" w:fill="CCEDFF"/>
          </w:tcPr>
          <w:p>
            <w:pPr>
              <w:pStyle w:val="TableParagraph"/>
              <w:spacing w:line="180" w:lineRule="exact" w:before="3"/>
              <w:ind w:right="24"/>
              <w:jc w:val="right"/>
              <w:rPr>
                <w:b/>
                <w:sz w:val="16"/>
              </w:rPr>
            </w:pPr>
            <w:r>
              <w:rPr>
                <w:b/>
                <w:spacing w:val="-4"/>
                <w:w w:val="105"/>
                <w:sz w:val="16"/>
              </w:rPr>
              <w:t>(13)</w:t>
            </w:r>
          </w:p>
        </w:tc>
        <w:tc>
          <w:tcPr>
            <w:tcW w:w="1810" w:type="dxa"/>
            <w:gridSpan w:val="2"/>
            <w:shd w:val="clear" w:color="auto" w:fill="CCEDFF"/>
          </w:tcPr>
          <w:p>
            <w:pPr>
              <w:pStyle w:val="TableParagraph"/>
              <w:spacing w:line="180" w:lineRule="exact" w:before="3"/>
              <w:ind w:right="114"/>
              <w:jc w:val="right"/>
              <w:rPr>
                <w:sz w:val="16"/>
              </w:rPr>
            </w:pPr>
            <w:r>
              <w:rPr>
                <w:spacing w:val="-4"/>
                <w:w w:val="105"/>
                <w:sz w:val="16"/>
              </w:rPr>
              <w:t>(16)</w:t>
            </w:r>
          </w:p>
        </w:tc>
        <w:tc>
          <w:tcPr>
            <w:tcW w:w="1069" w:type="dxa"/>
            <w:shd w:val="clear" w:color="auto" w:fill="CCEDFF"/>
          </w:tcPr>
          <w:p>
            <w:pPr>
              <w:pStyle w:val="TableParagraph"/>
              <w:rPr>
                <w:sz w:val="14"/>
              </w:rPr>
            </w:pPr>
          </w:p>
        </w:tc>
        <w:tc>
          <w:tcPr>
            <w:tcW w:w="590" w:type="dxa"/>
            <w:shd w:val="clear" w:color="auto" w:fill="CCEDFF"/>
          </w:tcPr>
          <w:p>
            <w:pPr>
              <w:pStyle w:val="TableParagraph"/>
              <w:spacing w:line="180" w:lineRule="exact" w:before="3"/>
              <w:ind w:left="203" w:right="2"/>
              <w:jc w:val="center"/>
              <w:rPr>
                <w:sz w:val="16"/>
              </w:rPr>
            </w:pPr>
            <w:r>
              <w:rPr>
                <w:spacing w:val="-4"/>
                <w:w w:val="105"/>
                <w:sz w:val="16"/>
              </w:rPr>
              <w:t>(12)</w:t>
            </w:r>
          </w:p>
        </w:tc>
      </w:tr>
      <w:tr>
        <w:trPr>
          <w:trHeight w:val="203" w:hRule="atLeast"/>
        </w:trPr>
        <w:tc>
          <w:tcPr>
            <w:tcW w:w="6471" w:type="dxa"/>
          </w:tcPr>
          <w:p>
            <w:pPr>
              <w:pStyle w:val="TableParagraph"/>
              <w:spacing w:line="180" w:lineRule="exact" w:before="3"/>
              <w:ind w:left="305"/>
              <w:rPr>
                <w:sz w:val="16"/>
              </w:rPr>
            </w:pPr>
            <w:r>
              <w:rPr>
                <w:spacing w:val="-2"/>
                <w:w w:val="105"/>
                <w:sz w:val="16"/>
              </w:rPr>
              <w:t>Foreign</w:t>
            </w:r>
          </w:p>
        </w:tc>
        <w:tc>
          <w:tcPr>
            <w:tcW w:w="1014" w:type="dxa"/>
          </w:tcPr>
          <w:p>
            <w:pPr>
              <w:pStyle w:val="TableParagraph"/>
              <w:rPr>
                <w:sz w:val="14"/>
              </w:rPr>
            </w:pPr>
          </w:p>
        </w:tc>
        <w:tc>
          <w:tcPr>
            <w:tcW w:w="558" w:type="dxa"/>
          </w:tcPr>
          <w:p>
            <w:pPr>
              <w:pStyle w:val="TableParagraph"/>
              <w:spacing w:line="180" w:lineRule="exact" w:before="3"/>
              <w:ind w:right="24"/>
              <w:jc w:val="right"/>
              <w:rPr>
                <w:b/>
                <w:sz w:val="16"/>
              </w:rPr>
            </w:pPr>
            <w:r>
              <w:rPr>
                <w:b/>
                <w:spacing w:val="-2"/>
                <w:w w:val="105"/>
                <w:sz w:val="16"/>
              </w:rPr>
              <w:t>(290)</w:t>
            </w:r>
          </w:p>
        </w:tc>
        <w:tc>
          <w:tcPr>
            <w:tcW w:w="1810" w:type="dxa"/>
            <w:gridSpan w:val="2"/>
          </w:tcPr>
          <w:p>
            <w:pPr>
              <w:pStyle w:val="TableParagraph"/>
              <w:spacing w:line="180" w:lineRule="exact" w:before="3"/>
              <w:ind w:right="114"/>
              <w:jc w:val="right"/>
              <w:rPr>
                <w:sz w:val="16"/>
              </w:rPr>
            </w:pPr>
            <w:r>
              <w:rPr>
                <w:spacing w:val="-2"/>
                <w:w w:val="105"/>
                <w:sz w:val="16"/>
              </w:rPr>
              <w:t>(203)</w:t>
            </w:r>
          </w:p>
        </w:tc>
        <w:tc>
          <w:tcPr>
            <w:tcW w:w="1069" w:type="dxa"/>
          </w:tcPr>
          <w:p>
            <w:pPr>
              <w:pStyle w:val="TableParagraph"/>
              <w:rPr>
                <w:sz w:val="14"/>
              </w:rPr>
            </w:pPr>
          </w:p>
        </w:tc>
        <w:tc>
          <w:tcPr>
            <w:tcW w:w="590" w:type="dxa"/>
          </w:tcPr>
          <w:p>
            <w:pPr>
              <w:pStyle w:val="TableParagraph"/>
              <w:spacing w:line="180" w:lineRule="exact" w:before="3"/>
              <w:ind w:left="121" w:right="2"/>
              <w:jc w:val="center"/>
              <w:rPr>
                <w:sz w:val="16"/>
              </w:rPr>
            </w:pPr>
            <w:r>
              <w:rPr>
                <w:spacing w:val="-2"/>
                <w:w w:val="105"/>
                <w:sz w:val="16"/>
              </w:rPr>
              <w:t>(354)</w:t>
            </w:r>
          </w:p>
        </w:tc>
      </w:tr>
      <w:tr>
        <w:trPr>
          <w:trHeight w:val="203" w:hRule="atLeast"/>
        </w:trPr>
        <w:tc>
          <w:tcPr>
            <w:tcW w:w="6471" w:type="dxa"/>
            <w:shd w:val="clear" w:color="auto" w:fill="CCEDFF"/>
          </w:tcPr>
          <w:p>
            <w:pPr>
              <w:pStyle w:val="TableParagraph"/>
              <w:spacing w:line="180" w:lineRule="exact" w:before="3"/>
              <w:rPr>
                <w:sz w:val="16"/>
              </w:rPr>
            </w:pPr>
            <w:r>
              <w:rPr>
                <w:spacing w:val="-2"/>
                <w:w w:val="105"/>
                <w:sz w:val="16"/>
              </w:rPr>
              <w:t>Deferred:</w:t>
            </w:r>
          </w:p>
        </w:tc>
        <w:tc>
          <w:tcPr>
            <w:tcW w:w="1014" w:type="dxa"/>
            <w:shd w:val="clear" w:color="auto" w:fill="CCEDFF"/>
          </w:tcPr>
          <w:p>
            <w:pPr>
              <w:pStyle w:val="TableParagraph"/>
              <w:rPr>
                <w:sz w:val="14"/>
              </w:rPr>
            </w:pPr>
          </w:p>
        </w:tc>
        <w:tc>
          <w:tcPr>
            <w:tcW w:w="558" w:type="dxa"/>
            <w:shd w:val="clear" w:color="auto" w:fill="CCEDFF"/>
          </w:tcPr>
          <w:p>
            <w:pPr>
              <w:pStyle w:val="TableParagraph"/>
              <w:rPr>
                <w:sz w:val="14"/>
              </w:rPr>
            </w:pPr>
          </w:p>
        </w:tc>
        <w:tc>
          <w:tcPr>
            <w:tcW w:w="1810" w:type="dxa"/>
            <w:gridSpan w:val="2"/>
            <w:shd w:val="clear" w:color="auto" w:fill="CCEDFF"/>
          </w:tcPr>
          <w:p>
            <w:pPr>
              <w:pStyle w:val="TableParagraph"/>
              <w:rPr>
                <w:sz w:val="14"/>
              </w:rPr>
            </w:pPr>
          </w:p>
        </w:tc>
        <w:tc>
          <w:tcPr>
            <w:tcW w:w="1069" w:type="dxa"/>
            <w:shd w:val="clear" w:color="auto" w:fill="CCEDFF"/>
          </w:tcPr>
          <w:p>
            <w:pPr>
              <w:pStyle w:val="TableParagraph"/>
              <w:rPr>
                <w:sz w:val="14"/>
              </w:rPr>
            </w:pPr>
          </w:p>
        </w:tc>
        <w:tc>
          <w:tcPr>
            <w:tcW w:w="590" w:type="dxa"/>
            <w:shd w:val="clear" w:color="auto" w:fill="CCEDFF"/>
          </w:tcPr>
          <w:p>
            <w:pPr>
              <w:pStyle w:val="TableParagraph"/>
              <w:rPr>
                <w:sz w:val="14"/>
              </w:rPr>
            </w:pPr>
          </w:p>
        </w:tc>
      </w:tr>
      <w:tr>
        <w:trPr>
          <w:trHeight w:val="203" w:hRule="atLeast"/>
        </w:trPr>
        <w:tc>
          <w:tcPr>
            <w:tcW w:w="6471" w:type="dxa"/>
          </w:tcPr>
          <w:p>
            <w:pPr>
              <w:pStyle w:val="TableParagraph"/>
              <w:spacing w:line="180" w:lineRule="exact" w:before="3"/>
              <w:ind w:left="305"/>
              <w:rPr>
                <w:sz w:val="16"/>
              </w:rPr>
            </w:pPr>
            <w:r>
              <w:rPr>
                <w:spacing w:val="-2"/>
                <w:w w:val="105"/>
                <w:sz w:val="16"/>
              </w:rPr>
              <w:t>Federal</w:t>
            </w:r>
          </w:p>
        </w:tc>
        <w:tc>
          <w:tcPr>
            <w:tcW w:w="1014" w:type="dxa"/>
          </w:tcPr>
          <w:p>
            <w:pPr>
              <w:pStyle w:val="TableParagraph"/>
              <w:rPr>
                <w:sz w:val="14"/>
              </w:rPr>
            </w:pPr>
          </w:p>
        </w:tc>
        <w:tc>
          <w:tcPr>
            <w:tcW w:w="558" w:type="dxa"/>
          </w:tcPr>
          <w:p>
            <w:pPr>
              <w:pStyle w:val="TableParagraph"/>
              <w:spacing w:line="180" w:lineRule="exact" w:before="3"/>
              <w:ind w:right="24"/>
              <w:jc w:val="right"/>
              <w:rPr>
                <w:b/>
                <w:sz w:val="16"/>
              </w:rPr>
            </w:pPr>
            <w:r>
              <w:rPr>
                <w:b/>
                <w:spacing w:val="-4"/>
                <w:w w:val="105"/>
                <w:sz w:val="16"/>
              </w:rPr>
              <w:t>(97)</w:t>
            </w:r>
          </w:p>
        </w:tc>
        <w:tc>
          <w:tcPr>
            <w:tcW w:w="781" w:type="dxa"/>
          </w:tcPr>
          <w:p>
            <w:pPr>
              <w:pStyle w:val="TableParagraph"/>
              <w:rPr>
                <w:sz w:val="14"/>
              </w:rPr>
            </w:pPr>
          </w:p>
        </w:tc>
        <w:tc>
          <w:tcPr>
            <w:tcW w:w="1029" w:type="dxa"/>
          </w:tcPr>
          <w:p>
            <w:pPr>
              <w:pStyle w:val="TableParagraph"/>
              <w:spacing w:line="180" w:lineRule="exact" w:before="3"/>
              <w:ind w:right="169"/>
              <w:jc w:val="right"/>
              <w:rPr>
                <w:sz w:val="16"/>
              </w:rPr>
            </w:pPr>
            <w:r>
              <w:rPr>
                <w:spacing w:val="-10"/>
                <w:w w:val="105"/>
                <w:sz w:val="16"/>
              </w:rPr>
              <w:t>7</w:t>
            </w:r>
          </w:p>
        </w:tc>
        <w:tc>
          <w:tcPr>
            <w:tcW w:w="1069" w:type="dxa"/>
          </w:tcPr>
          <w:p>
            <w:pPr>
              <w:pStyle w:val="TableParagraph"/>
              <w:rPr>
                <w:sz w:val="14"/>
              </w:rPr>
            </w:pPr>
          </w:p>
        </w:tc>
        <w:tc>
          <w:tcPr>
            <w:tcW w:w="590" w:type="dxa"/>
          </w:tcPr>
          <w:p>
            <w:pPr>
              <w:pStyle w:val="TableParagraph"/>
              <w:spacing w:line="180" w:lineRule="exact" w:before="3"/>
              <w:ind w:left="204" w:right="2"/>
              <w:jc w:val="center"/>
              <w:rPr>
                <w:sz w:val="16"/>
              </w:rPr>
            </w:pPr>
            <w:r>
              <w:rPr>
                <w:spacing w:val="-5"/>
                <w:w w:val="105"/>
                <w:sz w:val="16"/>
              </w:rPr>
              <w:t>64</w:t>
            </w:r>
          </w:p>
        </w:tc>
      </w:tr>
      <w:tr>
        <w:trPr>
          <w:trHeight w:val="203" w:hRule="atLeast"/>
        </w:trPr>
        <w:tc>
          <w:tcPr>
            <w:tcW w:w="6471" w:type="dxa"/>
            <w:shd w:val="clear" w:color="auto" w:fill="CCEDFF"/>
          </w:tcPr>
          <w:p>
            <w:pPr>
              <w:pStyle w:val="TableParagraph"/>
              <w:spacing w:line="180" w:lineRule="exact" w:before="3"/>
              <w:ind w:left="305"/>
              <w:rPr>
                <w:sz w:val="16"/>
              </w:rPr>
            </w:pPr>
            <w:r>
              <w:rPr>
                <w:w w:val="105"/>
                <w:sz w:val="16"/>
              </w:rPr>
              <w:t>State</w:t>
            </w:r>
            <w:r>
              <w:rPr>
                <w:spacing w:val="-7"/>
                <w:w w:val="105"/>
                <w:sz w:val="16"/>
              </w:rPr>
              <w:t> </w:t>
            </w:r>
            <w:r>
              <w:rPr>
                <w:w w:val="105"/>
                <w:sz w:val="16"/>
              </w:rPr>
              <w:t>and</w:t>
            </w:r>
            <w:r>
              <w:rPr>
                <w:spacing w:val="-7"/>
                <w:w w:val="105"/>
                <w:sz w:val="16"/>
              </w:rPr>
              <w:t> </w:t>
            </w:r>
            <w:r>
              <w:rPr>
                <w:spacing w:val="-2"/>
                <w:w w:val="105"/>
                <w:sz w:val="16"/>
              </w:rPr>
              <w:t>municipal</w:t>
            </w:r>
          </w:p>
        </w:tc>
        <w:tc>
          <w:tcPr>
            <w:tcW w:w="1014" w:type="dxa"/>
            <w:shd w:val="clear" w:color="auto" w:fill="CCEDFF"/>
          </w:tcPr>
          <w:p>
            <w:pPr>
              <w:pStyle w:val="TableParagraph"/>
              <w:rPr>
                <w:sz w:val="14"/>
              </w:rPr>
            </w:pPr>
          </w:p>
        </w:tc>
        <w:tc>
          <w:tcPr>
            <w:tcW w:w="558" w:type="dxa"/>
            <w:shd w:val="clear" w:color="auto" w:fill="CCEDFF"/>
          </w:tcPr>
          <w:p>
            <w:pPr>
              <w:pStyle w:val="TableParagraph"/>
              <w:spacing w:line="180" w:lineRule="exact" w:before="3"/>
              <w:ind w:right="24"/>
              <w:jc w:val="right"/>
              <w:rPr>
                <w:b/>
                <w:sz w:val="16"/>
              </w:rPr>
            </w:pPr>
            <w:r>
              <w:rPr>
                <w:b/>
                <w:spacing w:val="-5"/>
                <w:w w:val="105"/>
                <w:sz w:val="16"/>
              </w:rPr>
              <w:t>(7)</w:t>
            </w:r>
          </w:p>
        </w:tc>
        <w:tc>
          <w:tcPr>
            <w:tcW w:w="781" w:type="dxa"/>
            <w:shd w:val="clear" w:color="auto" w:fill="CCEDFF"/>
          </w:tcPr>
          <w:p>
            <w:pPr>
              <w:pStyle w:val="TableParagraph"/>
              <w:rPr>
                <w:sz w:val="14"/>
              </w:rPr>
            </w:pPr>
          </w:p>
        </w:tc>
        <w:tc>
          <w:tcPr>
            <w:tcW w:w="1029" w:type="dxa"/>
            <w:shd w:val="clear" w:color="auto" w:fill="CCEDFF"/>
          </w:tcPr>
          <w:p>
            <w:pPr>
              <w:pStyle w:val="TableParagraph"/>
              <w:spacing w:line="180" w:lineRule="exact" w:before="3"/>
              <w:ind w:right="169"/>
              <w:jc w:val="right"/>
              <w:rPr>
                <w:sz w:val="16"/>
              </w:rPr>
            </w:pPr>
            <w:r>
              <w:rPr>
                <w:spacing w:val="-10"/>
                <w:w w:val="105"/>
                <w:sz w:val="16"/>
              </w:rPr>
              <w:t>3</w:t>
            </w:r>
          </w:p>
        </w:tc>
        <w:tc>
          <w:tcPr>
            <w:tcW w:w="1069" w:type="dxa"/>
            <w:shd w:val="clear" w:color="auto" w:fill="CCEDFF"/>
          </w:tcPr>
          <w:p>
            <w:pPr>
              <w:pStyle w:val="TableParagraph"/>
              <w:rPr>
                <w:sz w:val="14"/>
              </w:rPr>
            </w:pPr>
          </w:p>
        </w:tc>
        <w:tc>
          <w:tcPr>
            <w:tcW w:w="590" w:type="dxa"/>
            <w:shd w:val="clear" w:color="auto" w:fill="CCEDFF"/>
          </w:tcPr>
          <w:p>
            <w:pPr>
              <w:pStyle w:val="TableParagraph"/>
              <w:spacing w:line="180" w:lineRule="exact" w:before="3"/>
              <w:ind w:left="204" w:right="2"/>
              <w:jc w:val="center"/>
              <w:rPr>
                <w:sz w:val="16"/>
              </w:rPr>
            </w:pPr>
            <w:r>
              <w:rPr>
                <w:spacing w:val="-5"/>
                <w:w w:val="105"/>
                <w:sz w:val="16"/>
              </w:rPr>
              <w:t>13</w:t>
            </w:r>
          </w:p>
        </w:tc>
      </w:tr>
      <w:tr>
        <w:trPr>
          <w:trHeight w:val="202" w:hRule="atLeast"/>
        </w:trPr>
        <w:tc>
          <w:tcPr>
            <w:tcW w:w="6471" w:type="dxa"/>
            <w:tcBorders>
              <w:bottom w:val="single" w:sz="6" w:space="0" w:color="000000"/>
            </w:tcBorders>
          </w:tcPr>
          <w:p>
            <w:pPr>
              <w:pStyle w:val="TableParagraph"/>
              <w:spacing w:line="179" w:lineRule="exact" w:before="3"/>
              <w:ind w:left="305"/>
              <w:rPr>
                <w:sz w:val="16"/>
              </w:rPr>
            </w:pPr>
            <w:r>
              <w:rPr>
                <w:spacing w:val="-2"/>
                <w:w w:val="105"/>
                <w:sz w:val="16"/>
              </w:rPr>
              <w:t>Foreign</w:t>
            </w:r>
          </w:p>
        </w:tc>
        <w:tc>
          <w:tcPr>
            <w:tcW w:w="1014" w:type="dxa"/>
            <w:tcBorders>
              <w:bottom w:val="single" w:sz="6" w:space="0" w:color="000000"/>
            </w:tcBorders>
          </w:tcPr>
          <w:p>
            <w:pPr>
              <w:pStyle w:val="TableParagraph"/>
              <w:rPr>
                <w:sz w:val="14"/>
              </w:rPr>
            </w:pPr>
          </w:p>
        </w:tc>
        <w:tc>
          <w:tcPr>
            <w:tcW w:w="558" w:type="dxa"/>
            <w:tcBorders>
              <w:bottom w:val="single" w:sz="6" w:space="0" w:color="000000"/>
            </w:tcBorders>
          </w:tcPr>
          <w:p>
            <w:pPr>
              <w:pStyle w:val="TableParagraph"/>
              <w:spacing w:line="179" w:lineRule="exact" w:before="3"/>
              <w:ind w:left="310"/>
              <w:rPr>
                <w:b/>
                <w:sz w:val="16"/>
              </w:rPr>
            </w:pPr>
            <w:r>
              <w:rPr>
                <w:b/>
                <w:spacing w:val="-5"/>
                <w:w w:val="105"/>
                <w:sz w:val="16"/>
              </w:rPr>
              <w:t>88</w:t>
            </w:r>
          </w:p>
        </w:tc>
        <w:tc>
          <w:tcPr>
            <w:tcW w:w="781" w:type="dxa"/>
            <w:tcBorders>
              <w:bottom w:val="single" w:sz="6" w:space="0" w:color="000000"/>
            </w:tcBorders>
          </w:tcPr>
          <w:p>
            <w:pPr>
              <w:pStyle w:val="TableParagraph"/>
              <w:rPr>
                <w:sz w:val="14"/>
              </w:rPr>
            </w:pPr>
          </w:p>
        </w:tc>
        <w:tc>
          <w:tcPr>
            <w:tcW w:w="1029" w:type="dxa"/>
            <w:tcBorders>
              <w:bottom w:val="single" w:sz="6" w:space="0" w:color="000000"/>
            </w:tcBorders>
          </w:tcPr>
          <w:p>
            <w:pPr>
              <w:pStyle w:val="TableParagraph"/>
              <w:spacing w:line="179" w:lineRule="exact" w:before="3"/>
              <w:ind w:right="169"/>
              <w:jc w:val="right"/>
              <w:rPr>
                <w:sz w:val="16"/>
              </w:rPr>
            </w:pPr>
            <w:r>
              <w:rPr>
                <w:spacing w:val="-5"/>
                <w:w w:val="105"/>
                <w:sz w:val="16"/>
              </w:rPr>
              <w:t>10</w:t>
            </w:r>
          </w:p>
        </w:tc>
        <w:tc>
          <w:tcPr>
            <w:tcW w:w="1069" w:type="dxa"/>
            <w:tcBorders>
              <w:bottom w:val="single" w:sz="6" w:space="0" w:color="000000"/>
            </w:tcBorders>
          </w:tcPr>
          <w:p>
            <w:pPr>
              <w:pStyle w:val="TableParagraph"/>
              <w:rPr>
                <w:sz w:val="14"/>
              </w:rPr>
            </w:pPr>
          </w:p>
        </w:tc>
        <w:tc>
          <w:tcPr>
            <w:tcW w:w="590" w:type="dxa"/>
            <w:tcBorders>
              <w:bottom w:val="single" w:sz="6" w:space="0" w:color="000000"/>
            </w:tcBorders>
          </w:tcPr>
          <w:p>
            <w:pPr>
              <w:pStyle w:val="TableParagraph"/>
              <w:spacing w:line="179" w:lineRule="exact" w:before="3"/>
              <w:ind w:left="119"/>
              <w:jc w:val="center"/>
              <w:rPr>
                <w:sz w:val="16"/>
              </w:rPr>
            </w:pPr>
            <w:r>
              <w:rPr>
                <w:spacing w:val="-5"/>
                <w:w w:val="105"/>
                <w:sz w:val="16"/>
              </w:rPr>
              <w:t>115</w:t>
            </w:r>
          </w:p>
        </w:tc>
      </w:tr>
      <w:tr>
        <w:trPr>
          <w:trHeight w:val="199" w:hRule="atLeast"/>
        </w:trPr>
        <w:tc>
          <w:tcPr>
            <w:tcW w:w="6471"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Provision</w:t>
            </w:r>
            <w:r>
              <w:rPr>
                <w:spacing w:val="-10"/>
                <w:w w:val="105"/>
                <w:sz w:val="16"/>
              </w:rPr>
              <w:t> </w:t>
            </w:r>
            <w:r>
              <w:rPr>
                <w:w w:val="105"/>
                <w:sz w:val="16"/>
              </w:rPr>
              <w:t>for</w:t>
            </w:r>
            <w:r>
              <w:rPr>
                <w:spacing w:val="-9"/>
                <w:w w:val="105"/>
                <w:sz w:val="16"/>
              </w:rPr>
              <w:t> </w:t>
            </w:r>
            <w:r>
              <w:rPr>
                <w:w w:val="105"/>
                <w:sz w:val="16"/>
              </w:rPr>
              <w:t>income</w:t>
            </w:r>
            <w:r>
              <w:rPr>
                <w:spacing w:val="-10"/>
                <w:w w:val="105"/>
                <w:sz w:val="16"/>
              </w:rPr>
              <w:t> </w:t>
            </w:r>
            <w:r>
              <w:rPr>
                <w:spacing w:val="-2"/>
                <w:w w:val="105"/>
                <w:sz w:val="16"/>
              </w:rPr>
              <w:t>taxes</w:t>
            </w:r>
          </w:p>
        </w:tc>
        <w:tc>
          <w:tcPr>
            <w:tcW w:w="1014" w:type="dxa"/>
            <w:tcBorders>
              <w:top w:val="single" w:sz="6" w:space="0" w:color="000000"/>
              <w:bottom w:val="double" w:sz="6" w:space="0" w:color="000000"/>
            </w:tcBorders>
            <w:shd w:val="clear" w:color="auto" w:fill="CCEDFF"/>
          </w:tcPr>
          <w:p>
            <w:pPr>
              <w:pStyle w:val="TableParagraph"/>
              <w:spacing w:line="177" w:lineRule="exact" w:before="2"/>
              <w:rPr>
                <w:b/>
                <w:sz w:val="16"/>
              </w:rPr>
            </w:pPr>
            <w:r>
              <w:rPr>
                <w:b/>
                <w:spacing w:val="-10"/>
                <w:w w:val="105"/>
                <w:sz w:val="16"/>
              </w:rPr>
              <w:t>$</w:t>
            </w:r>
          </w:p>
        </w:tc>
        <w:tc>
          <w:tcPr>
            <w:tcW w:w="558" w:type="dxa"/>
            <w:tcBorders>
              <w:top w:val="single" w:sz="6" w:space="0" w:color="000000"/>
              <w:bottom w:val="double" w:sz="6" w:space="0" w:color="000000"/>
            </w:tcBorders>
            <w:shd w:val="clear" w:color="auto" w:fill="CCEDFF"/>
          </w:tcPr>
          <w:p>
            <w:pPr>
              <w:pStyle w:val="TableParagraph"/>
              <w:spacing w:line="177" w:lineRule="exact" w:before="2"/>
              <w:ind w:right="24"/>
              <w:jc w:val="right"/>
              <w:rPr>
                <w:b/>
                <w:sz w:val="16"/>
              </w:rPr>
            </w:pPr>
            <w:r>
              <w:rPr>
                <w:b/>
                <w:spacing w:val="-2"/>
                <w:w w:val="105"/>
                <w:sz w:val="16"/>
              </w:rPr>
              <w:t>(491)</w:t>
            </w:r>
          </w:p>
        </w:tc>
        <w:tc>
          <w:tcPr>
            <w:tcW w:w="781" w:type="dxa"/>
            <w:tcBorders>
              <w:top w:val="single" w:sz="6" w:space="0" w:color="000000"/>
              <w:bottom w:val="double" w:sz="6" w:space="0" w:color="000000"/>
            </w:tcBorders>
            <w:shd w:val="clear" w:color="auto" w:fill="CCEDFF"/>
          </w:tcPr>
          <w:p>
            <w:pPr>
              <w:pStyle w:val="TableParagraph"/>
              <w:spacing w:line="177" w:lineRule="exact" w:before="2"/>
              <w:ind w:left="147"/>
              <w:rPr>
                <w:sz w:val="16"/>
              </w:rPr>
            </w:pPr>
            <w:r>
              <w:rPr>
                <w:spacing w:val="-10"/>
                <w:w w:val="105"/>
                <w:sz w:val="16"/>
              </w:rPr>
              <w:t>$</w:t>
            </w:r>
          </w:p>
        </w:tc>
        <w:tc>
          <w:tcPr>
            <w:tcW w:w="1029" w:type="dxa"/>
            <w:tcBorders>
              <w:top w:val="single" w:sz="6" w:space="0" w:color="000000"/>
              <w:bottom w:val="double" w:sz="6" w:space="0" w:color="000000"/>
            </w:tcBorders>
            <w:shd w:val="clear" w:color="auto" w:fill="CCEDFF"/>
          </w:tcPr>
          <w:p>
            <w:pPr>
              <w:pStyle w:val="TableParagraph"/>
              <w:spacing w:line="177" w:lineRule="exact" w:before="2"/>
              <w:ind w:right="114"/>
              <w:jc w:val="right"/>
              <w:rPr>
                <w:sz w:val="16"/>
              </w:rPr>
            </w:pPr>
            <w:r>
              <w:rPr>
                <w:spacing w:val="-2"/>
                <w:w w:val="105"/>
                <w:sz w:val="16"/>
              </w:rPr>
              <w:t>(111)</w:t>
            </w:r>
          </w:p>
        </w:tc>
        <w:tc>
          <w:tcPr>
            <w:tcW w:w="1069" w:type="dxa"/>
            <w:tcBorders>
              <w:top w:val="single" w:sz="6" w:space="0" w:color="000000"/>
              <w:bottom w:val="double" w:sz="6" w:space="0" w:color="000000"/>
            </w:tcBorders>
            <w:shd w:val="clear" w:color="auto" w:fill="CCEDFF"/>
          </w:tcPr>
          <w:p>
            <w:pPr>
              <w:pStyle w:val="TableParagraph"/>
              <w:spacing w:line="177" w:lineRule="exact" w:before="2"/>
              <w:ind w:left="57"/>
              <w:rPr>
                <w:sz w:val="16"/>
              </w:rPr>
            </w:pPr>
            <w:r>
              <w:rPr>
                <w:spacing w:val="-10"/>
                <w:w w:val="105"/>
                <w:sz w:val="16"/>
              </w:rPr>
              <w:t>$</w:t>
            </w:r>
          </w:p>
        </w:tc>
        <w:tc>
          <w:tcPr>
            <w:tcW w:w="590" w:type="dxa"/>
            <w:tcBorders>
              <w:top w:val="single" w:sz="6" w:space="0" w:color="000000"/>
              <w:bottom w:val="double" w:sz="6" w:space="0" w:color="000000"/>
            </w:tcBorders>
            <w:shd w:val="clear" w:color="auto" w:fill="CCEDFF"/>
          </w:tcPr>
          <w:p>
            <w:pPr>
              <w:pStyle w:val="TableParagraph"/>
              <w:spacing w:line="177" w:lineRule="exact" w:before="2"/>
              <w:ind w:left="121" w:right="2"/>
              <w:jc w:val="center"/>
              <w:rPr>
                <w:sz w:val="16"/>
              </w:rPr>
            </w:pPr>
            <w:r>
              <w:rPr>
                <w:spacing w:val="-2"/>
                <w:w w:val="105"/>
                <w:sz w:val="16"/>
              </w:rPr>
              <w:t>(256)</w:t>
            </w:r>
          </w:p>
        </w:tc>
      </w:tr>
      <w:tr>
        <w:trPr>
          <w:trHeight w:val="389" w:hRule="atLeast"/>
        </w:trPr>
        <w:tc>
          <w:tcPr>
            <w:tcW w:w="6471" w:type="dxa"/>
            <w:tcBorders>
              <w:top w:val="double" w:sz="6" w:space="0" w:color="000000"/>
            </w:tcBorders>
          </w:tcPr>
          <w:p>
            <w:pPr>
              <w:pStyle w:val="TableParagraph"/>
              <w:spacing w:before="19"/>
              <w:rPr>
                <w:sz w:val="16"/>
              </w:rPr>
            </w:pPr>
          </w:p>
          <w:p>
            <w:pPr>
              <w:pStyle w:val="TableParagraph"/>
              <w:spacing w:line="165" w:lineRule="exact" w:before="1"/>
              <w:rPr>
                <w:sz w:val="16"/>
              </w:rPr>
            </w:pPr>
            <w:r>
              <w:rPr>
                <w:w w:val="105"/>
                <w:sz w:val="16"/>
              </w:rPr>
              <w:t>Amounts</w:t>
            </w:r>
            <w:r>
              <w:rPr>
                <w:spacing w:val="-9"/>
                <w:w w:val="105"/>
                <w:sz w:val="16"/>
              </w:rPr>
              <w:t> </w:t>
            </w:r>
            <w:r>
              <w:rPr>
                <w:w w:val="105"/>
                <w:sz w:val="16"/>
              </w:rPr>
              <w:t>are</w:t>
            </w:r>
            <w:r>
              <w:rPr>
                <w:spacing w:val="-8"/>
                <w:w w:val="105"/>
                <w:sz w:val="16"/>
              </w:rPr>
              <w:t> </w:t>
            </w:r>
            <w:r>
              <w:rPr>
                <w:w w:val="105"/>
                <w:sz w:val="16"/>
              </w:rPr>
              <w:t>reflected</w:t>
            </w:r>
            <w:r>
              <w:rPr>
                <w:spacing w:val="-7"/>
                <w:w w:val="105"/>
                <w:sz w:val="16"/>
              </w:rPr>
              <w:t> </w:t>
            </w:r>
            <w:r>
              <w:rPr>
                <w:w w:val="105"/>
                <w:sz w:val="16"/>
              </w:rPr>
              <w:t>in</w:t>
            </w:r>
            <w:r>
              <w:rPr>
                <w:spacing w:val="-8"/>
                <w:w w:val="105"/>
                <w:sz w:val="16"/>
              </w:rPr>
              <w:t> </w:t>
            </w:r>
            <w:r>
              <w:rPr>
                <w:w w:val="105"/>
                <w:sz w:val="16"/>
              </w:rPr>
              <w:t>the</w:t>
            </w:r>
            <w:r>
              <w:rPr>
                <w:spacing w:val="-8"/>
                <w:w w:val="105"/>
                <w:sz w:val="16"/>
              </w:rPr>
              <w:t> </w:t>
            </w:r>
            <w:r>
              <w:rPr>
                <w:w w:val="105"/>
                <w:sz w:val="16"/>
              </w:rPr>
              <w:t>preceding</w:t>
            </w:r>
            <w:r>
              <w:rPr>
                <w:spacing w:val="-8"/>
                <w:w w:val="105"/>
                <w:sz w:val="16"/>
              </w:rPr>
              <w:t> </w:t>
            </w:r>
            <w:r>
              <w:rPr>
                <w:w w:val="105"/>
                <w:sz w:val="16"/>
              </w:rPr>
              <w:t>tables</w:t>
            </w:r>
            <w:r>
              <w:rPr>
                <w:spacing w:val="-8"/>
                <w:w w:val="105"/>
                <w:sz w:val="16"/>
              </w:rPr>
              <w:t> </w:t>
            </w:r>
            <w:r>
              <w:rPr>
                <w:w w:val="105"/>
                <w:sz w:val="16"/>
              </w:rPr>
              <w:t>based</w:t>
            </w:r>
            <w:r>
              <w:rPr>
                <w:spacing w:val="-9"/>
                <w:w w:val="105"/>
                <w:sz w:val="16"/>
              </w:rPr>
              <w:t> </w:t>
            </w:r>
            <w:r>
              <w:rPr>
                <w:w w:val="105"/>
                <w:sz w:val="16"/>
              </w:rPr>
              <w:t>on</w:t>
            </w:r>
            <w:r>
              <w:rPr>
                <w:spacing w:val="-8"/>
                <w:w w:val="105"/>
                <w:sz w:val="16"/>
              </w:rPr>
              <w:t> </w:t>
            </w:r>
            <w:r>
              <w:rPr>
                <w:w w:val="105"/>
                <w:sz w:val="16"/>
              </w:rPr>
              <w:t>the</w:t>
            </w:r>
            <w:r>
              <w:rPr>
                <w:spacing w:val="-8"/>
                <w:w w:val="105"/>
                <w:sz w:val="16"/>
              </w:rPr>
              <w:t> </w:t>
            </w:r>
            <w:r>
              <w:rPr>
                <w:w w:val="105"/>
                <w:sz w:val="16"/>
              </w:rPr>
              <w:t>location</w:t>
            </w:r>
            <w:r>
              <w:rPr>
                <w:spacing w:val="-8"/>
                <w:w w:val="105"/>
                <w:sz w:val="16"/>
              </w:rPr>
              <w:t> </w:t>
            </w:r>
            <w:r>
              <w:rPr>
                <w:w w:val="105"/>
                <w:sz w:val="16"/>
              </w:rPr>
              <w:t>of</w:t>
            </w:r>
            <w:r>
              <w:rPr>
                <w:spacing w:val="-9"/>
                <w:w w:val="105"/>
                <w:sz w:val="16"/>
              </w:rPr>
              <w:t> </w:t>
            </w:r>
            <w:r>
              <w:rPr>
                <w:w w:val="105"/>
                <w:sz w:val="16"/>
              </w:rPr>
              <w:t>the</w:t>
            </w:r>
            <w:r>
              <w:rPr>
                <w:spacing w:val="-8"/>
                <w:w w:val="105"/>
                <w:sz w:val="16"/>
              </w:rPr>
              <w:t> </w:t>
            </w:r>
            <w:r>
              <w:rPr>
                <w:w w:val="105"/>
                <w:sz w:val="16"/>
              </w:rPr>
              <w:t>taxing</w:t>
            </w:r>
            <w:r>
              <w:rPr>
                <w:spacing w:val="-8"/>
                <w:w w:val="105"/>
                <w:sz w:val="16"/>
              </w:rPr>
              <w:t> </w:t>
            </w:r>
            <w:r>
              <w:rPr>
                <w:spacing w:val="-2"/>
                <w:w w:val="105"/>
                <w:sz w:val="16"/>
              </w:rPr>
              <w:t>authorities.</w:t>
            </w:r>
          </w:p>
        </w:tc>
        <w:tc>
          <w:tcPr>
            <w:tcW w:w="1014" w:type="dxa"/>
            <w:tcBorders>
              <w:top w:val="double" w:sz="6" w:space="0" w:color="000000"/>
            </w:tcBorders>
          </w:tcPr>
          <w:p>
            <w:pPr>
              <w:pStyle w:val="TableParagraph"/>
              <w:rPr>
                <w:sz w:val="16"/>
              </w:rPr>
            </w:pPr>
          </w:p>
        </w:tc>
        <w:tc>
          <w:tcPr>
            <w:tcW w:w="558" w:type="dxa"/>
            <w:tcBorders>
              <w:top w:val="double" w:sz="6" w:space="0" w:color="000000"/>
            </w:tcBorders>
          </w:tcPr>
          <w:p>
            <w:pPr>
              <w:pStyle w:val="TableParagraph"/>
              <w:rPr>
                <w:sz w:val="16"/>
              </w:rPr>
            </w:pPr>
          </w:p>
        </w:tc>
        <w:tc>
          <w:tcPr>
            <w:tcW w:w="781" w:type="dxa"/>
            <w:tcBorders>
              <w:top w:val="double" w:sz="6" w:space="0" w:color="000000"/>
            </w:tcBorders>
          </w:tcPr>
          <w:p>
            <w:pPr>
              <w:pStyle w:val="TableParagraph"/>
              <w:rPr>
                <w:sz w:val="16"/>
              </w:rPr>
            </w:pPr>
          </w:p>
        </w:tc>
        <w:tc>
          <w:tcPr>
            <w:tcW w:w="1029" w:type="dxa"/>
            <w:tcBorders>
              <w:top w:val="double" w:sz="6" w:space="0" w:color="000000"/>
            </w:tcBorders>
          </w:tcPr>
          <w:p>
            <w:pPr>
              <w:pStyle w:val="TableParagraph"/>
              <w:rPr>
                <w:sz w:val="16"/>
              </w:rPr>
            </w:pPr>
          </w:p>
        </w:tc>
        <w:tc>
          <w:tcPr>
            <w:tcW w:w="1069" w:type="dxa"/>
            <w:tcBorders>
              <w:top w:val="double" w:sz="6" w:space="0" w:color="000000"/>
            </w:tcBorders>
          </w:tcPr>
          <w:p>
            <w:pPr>
              <w:pStyle w:val="TableParagraph"/>
              <w:rPr>
                <w:sz w:val="16"/>
              </w:rPr>
            </w:pPr>
          </w:p>
        </w:tc>
        <w:tc>
          <w:tcPr>
            <w:tcW w:w="590" w:type="dxa"/>
            <w:tcBorders>
              <w:top w:val="double" w:sz="6" w:space="0" w:color="000000"/>
            </w:tcBorders>
          </w:tcPr>
          <w:p>
            <w:pPr>
              <w:pStyle w:val="TableParagraph"/>
              <w:rPr>
                <w:sz w:val="16"/>
              </w:rPr>
            </w:pPr>
          </w:p>
        </w:tc>
      </w:tr>
    </w:tbl>
    <w:p>
      <w:pPr>
        <w:pStyle w:val="BodyText"/>
        <w:spacing w:before="49"/>
      </w:pPr>
    </w:p>
    <w:p>
      <w:pPr>
        <w:pStyle w:val="BodyText"/>
        <w:spacing w:before="1"/>
        <w:ind w:left="48"/>
        <w:jc w:val="center"/>
      </w:pPr>
      <w:r>
        <w:rPr>
          <w:spacing w:val="-5"/>
          <w:w w:val="105"/>
        </w:rPr>
        <w:t>85</w:t>
      </w:r>
    </w:p>
    <w:p>
      <w:pPr>
        <w:pStyle w:val="BodyText"/>
        <w:spacing w:before="11"/>
        <w:rPr>
          <w:sz w:val="5"/>
        </w:rPr>
      </w:pPr>
      <w:r>
        <w:rPr/>
        <mc:AlternateContent>
          <mc:Choice Requires="wps">
            <w:drawing>
              <wp:anchor distT="0" distB="0" distL="0" distR="0" allowOverlap="1" layoutInCell="1" locked="0" behindDoc="1" simplePos="0" relativeHeight="487684608">
                <wp:simplePos x="0" y="0"/>
                <wp:positionH relativeFrom="page">
                  <wp:posOffset>226488</wp:posOffset>
                </wp:positionH>
                <wp:positionV relativeFrom="paragraph">
                  <wp:posOffset>58818</wp:posOffset>
                </wp:positionV>
                <wp:extent cx="7312659" cy="16510"/>
                <wp:effectExtent l="0" t="0" r="0" b="0"/>
                <wp:wrapTopAndBottom/>
                <wp:docPr id="384" name="Graphic 384"/>
                <wp:cNvGraphicFramePr>
                  <a:graphicFrameLocks/>
                </wp:cNvGraphicFramePr>
                <a:graphic>
                  <a:graphicData uri="http://schemas.microsoft.com/office/word/2010/wordprocessingShape">
                    <wps:wsp>
                      <wps:cNvPr id="384" name="Graphic 38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31397pt;width:575.775087pt;height:1.273839pt;mso-position-horizontal-relative:page;mso-position-vertical-relative:paragraph;z-index:-15631872;mso-wrap-distance-left:0;mso-wrap-distance-right:0" id="docshape383"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numPr>
          <w:ilvl w:val="0"/>
          <w:numId w:val="42"/>
        </w:numPr>
        <w:tabs>
          <w:tab w:pos="362" w:val="left" w:leader="none"/>
        </w:tabs>
        <w:spacing w:line="240" w:lineRule="auto" w:before="0" w:after="0"/>
        <w:ind w:left="362" w:right="0" w:hanging="206"/>
        <w:jc w:val="left"/>
      </w:pPr>
      <w:r>
        <w:rPr>
          <w:spacing w:val="-2"/>
          <w:w w:val="105"/>
        </w:rPr>
        <w:t>Income Taxes</w:t>
      </w:r>
      <w:r>
        <w:rPr>
          <w:spacing w:val="-1"/>
          <w:w w:val="105"/>
        </w:rPr>
        <w:t> </w:t>
      </w:r>
      <w:r>
        <w:rPr>
          <w:spacing w:val="-2"/>
          <w:w w:val="105"/>
        </w:rPr>
        <w:t>(Continued)</w:t>
      </w:r>
    </w:p>
    <w:p>
      <w:pPr>
        <w:pStyle w:val="BodyText"/>
        <w:spacing w:before="40"/>
        <w:rPr>
          <w:b/>
        </w:rPr>
      </w:pPr>
    </w:p>
    <w:p>
      <w:pPr>
        <w:pStyle w:val="BodyText"/>
        <w:ind w:left="156"/>
      </w:pPr>
      <w:r>
        <w:rPr>
          <w:w w:val="105"/>
        </w:rPr>
        <w:t>Reconciliation</w:t>
      </w:r>
      <w:r>
        <w:rPr>
          <w:spacing w:val="-8"/>
          <w:w w:val="105"/>
        </w:rPr>
        <w:t> </w:t>
      </w:r>
      <w:r>
        <w:rPr>
          <w:w w:val="105"/>
        </w:rPr>
        <w:t>of</w:t>
      </w:r>
      <w:r>
        <w:rPr>
          <w:spacing w:val="-8"/>
          <w:w w:val="105"/>
        </w:rPr>
        <w:t> </w:t>
      </w:r>
      <w:r>
        <w:rPr>
          <w:w w:val="105"/>
        </w:rPr>
        <w:t>the</w:t>
      </w:r>
      <w:r>
        <w:rPr>
          <w:spacing w:val="-8"/>
          <w:w w:val="105"/>
        </w:rPr>
        <w:t> </w:t>
      </w:r>
      <w:r>
        <w:rPr>
          <w:w w:val="105"/>
        </w:rPr>
        <w:t>U.S.</w:t>
      </w:r>
      <w:r>
        <w:rPr>
          <w:spacing w:val="-8"/>
          <w:w w:val="105"/>
        </w:rPr>
        <w:t> </w:t>
      </w:r>
      <w:r>
        <w:rPr>
          <w:w w:val="105"/>
        </w:rPr>
        <w:t>statutory</w:t>
      </w:r>
      <w:r>
        <w:rPr>
          <w:spacing w:val="-7"/>
          <w:w w:val="105"/>
        </w:rPr>
        <w:t> </w:t>
      </w:r>
      <w:r>
        <w:rPr>
          <w:w w:val="105"/>
        </w:rPr>
        <w:t>income</w:t>
      </w:r>
      <w:r>
        <w:rPr>
          <w:spacing w:val="-8"/>
          <w:w w:val="105"/>
        </w:rPr>
        <w:t> </w:t>
      </w:r>
      <w:r>
        <w:rPr>
          <w:w w:val="105"/>
        </w:rPr>
        <w:t>tax</w:t>
      </w:r>
      <w:r>
        <w:rPr>
          <w:spacing w:val="-8"/>
          <w:w w:val="105"/>
        </w:rPr>
        <w:t> </w:t>
      </w:r>
      <w:r>
        <w:rPr>
          <w:w w:val="105"/>
        </w:rPr>
        <w:t>rate</w:t>
      </w:r>
      <w:r>
        <w:rPr>
          <w:spacing w:val="-8"/>
          <w:w w:val="105"/>
        </w:rPr>
        <w:t> </w:t>
      </w:r>
      <w:r>
        <w:rPr>
          <w:w w:val="105"/>
        </w:rPr>
        <w:t>to</w:t>
      </w:r>
      <w:r>
        <w:rPr>
          <w:spacing w:val="-6"/>
          <w:w w:val="105"/>
        </w:rPr>
        <w:t> </w:t>
      </w:r>
      <w:r>
        <w:rPr>
          <w:w w:val="105"/>
        </w:rPr>
        <w:t>the</w:t>
      </w:r>
      <w:r>
        <w:rPr>
          <w:spacing w:val="-8"/>
          <w:w w:val="105"/>
        </w:rPr>
        <w:t> </w:t>
      </w:r>
      <w:r>
        <w:rPr>
          <w:w w:val="105"/>
        </w:rPr>
        <w:t>effective</w:t>
      </w:r>
      <w:r>
        <w:rPr>
          <w:spacing w:val="-7"/>
          <w:w w:val="105"/>
        </w:rPr>
        <w:t> </w:t>
      </w:r>
      <w:r>
        <w:rPr>
          <w:w w:val="105"/>
        </w:rPr>
        <w:t>tax</w:t>
      </w:r>
      <w:r>
        <w:rPr>
          <w:spacing w:val="-8"/>
          <w:w w:val="105"/>
        </w:rPr>
        <w:t> </w:t>
      </w:r>
      <w:r>
        <w:rPr>
          <w:w w:val="105"/>
        </w:rPr>
        <w:t>rate</w:t>
      </w:r>
      <w:r>
        <w:rPr>
          <w:spacing w:val="-8"/>
          <w:w w:val="105"/>
        </w:rPr>
        <w:t> </w:t>
      </w:r>
      <w:r>
        <w:rPr>
          <w:w w:val="105"/>
        </w:rPr>
        <w:t>for</w:t>
      </w:r>
      <w:r>
        <w:rPr>
          <w:spacing w:val="-8"/>
          <w:w w:val="105"/>
        </w:rPr>
        <w:t> </w:t>
      </w:r>
      <w:r>
        <w:rPr>
          <w:w w:val="105"/>
        </w:rPr>
        <w:t>operations</w:t>
      </w:r>
      <w:r>
        <w:rPr>
          <w:spacing w:val="-7"/>
          <w:w w:val="105"/>
        </w:rPr>
        <w:t> </w:t>
      </w:r>
      <w:r>
        <w:rPr>
          <w:w w:val="105"/>
        </w:rPr>
        <w:t>is</w:t>
      </w:r>
      <w:r>
        <w:rPr>
          <w:spacing w:val="-8"/>
          <w:w w:val="105"/>
        </w:rPr>
        <w:t> </w:t>
      </w:r>
      <w:r>
        <w:rPr>
          <w:w w:val="105"/>
        </w:rPr>
        <w:t>as</w:t>
      </w:r>
      <w:r>
        <w:rPr>
          <w:spacing w:val="-8"/>
          <w:w w:val="105"/>
        </w:rPr>
        <w:t> </w:t>
      </w:r>
      <w:r>
        <w:rPr>
          <w:spacing w:val="-2"/>
          <w:w w:val="105"/>
        </w:rPr>
        <w:t>follows:</w:t>
      </w:r>
    </w:p>
    <w:p>
      <w:pPr>
        <w:pStyle w:val="BodyText"/>
        <w:spacing w:before="3"/>
        <w:rPr>
          <w:sz w:val="9"/>
        </w:rPr>
      </w:pPr>
      <w:r>
        <w:rPr/>
        <mc:AlternateContent>
          <mc:Choice Requires="wps">
            <w:drawing>
              <wp:anchor distT="0" distB="0" distL="0" distR="0" allowOverlap="1" layoutInCell="1" locked="0" behindDoc="1" simplePos="0" relativeHeight="487685120">
                <wp:simplePos x="0" y="0"/>
                <wp:positionH relativeFrom="page">
                  <wp:posOffset>226479</wp:posOffset>
                </wp:positionH>
                <wp:positionV relativeFrom="paragraph">
                  <wp:posOffset>83253</wp:posOffset>
                </wp:positionV>
                <wp:extent cx="7312659" cy="16510"/>
                <wp:effectExtent l="0" t="0" r="0" b="0"/>
                <wp:wrapTopAndBottom/>
                <wp:docPr id="385" name="Graphic 385"/>
                <wp:cNvGraphicFramePr>
                  <a:graphicFrameLocks/>
                </wp:cNvGraphicFramePr>
                <a:graphic>
                  <a:graphicData uri="http://schemas.microsoft.com/office/word/2010/wordprocessingShape">
                    <wps:wsp>
                      <wps:cNvPr id="385" name="Graphic 385"/>
                      <wps:cNvSpPr/>
                      <wps:spPr>
                        <a:xfrm>
                          <a:off x="0" y="0"/>
                          <a:ext cx="7312659" cy="16510"/>
                        </a:xfrm>
                        <a:custGeom>
                          <a:avLst/>
                          <a:gdLst/>
                          <a:ahLst/>
                          <a:cxnLst/>
                          <a:rect l="l" t="t" r="r" b="b"/>
                          <a:pathLst>
                            <a:path w="7312659" h="16510">
                              <a:moveTo>
                                <a:pt x="7312342" y="0"/>
                              </a:moveTo>
                              <a:lnTo>
                                <a:pt x="7223366" y="0"/>
                              </a:lnTo>
                              <a:lnTo>
                                <a:pt x="4052532" y="0"/>
                              </a:lnTo>
                              <a:lnTo>
                                <a:pt x="3979735" y="0"/>
                              </a:lnTo>
                              <a:lnTo>
                                <a:pt x="0" y="0"/>
                              </a:lnTo>
                              <a:lnTo>
                                <a:pt x="0" y="16179"/>
                              </a:lnTo>
                              <a:lnTo>
                                <a:pt x="3979735" y="16179"/>
                              </a:lnTo>
                              <a:lnTo>
                                <a:pt x="4052532" y="16179"/>
                              </a:lnTo>
                              <a:lnTo>
                                <a:pt x="722336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6.555419pt;width:575.8pt;height:1.3pt;mso-position-horizontal-relative:page;mso-position-vertical-relative:paragraph;z-index:-15631360;mso-wrap-distance-left:0;mso-wrap-distance-right:0" id="docshape384" coordorigin="357,131" coordsize="11516,26" path="m11872,131l11732,131,6739,131,6624,131,357,131,357,157,6624,157,6739,157,11732,157,11872,157,11872,131xe" filled="true" fillcolor="#000000" stroked="false">
                <v:path arrowok="t"/>
                <v:fill type="solid"/>
                <w10:wrap type="topAndBottom"/>
              </v:shape>
            </w:pict>
          </mc:Fallback>
        </mc:AlternateContent>
      </w:r>
    </w:p>
    <w:p>
      <w:pPr>
        <w:pStyle w:val="BodyText"/>
        <w:spacing w:before="3" w:after="23"/>
        <w:ind w:right="1879"/>
        <w:jc w:val="right"/>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2"/>
        <w:gridCol w:w="2273"/>
        <w:gridCol w:w="1751"/>
        <w:gridCol w:w="1109"/>
      </w:tblGrid>
      <w:tr>
        <w:trPr>
          <w:trHeight w:val="213" w:hRule="atLeast"/>
        </w:trPr>
        <w:tc>
          <w:tcPr>
            <w:tcW w:w="8655" w:type="dxa"/>
            <w:gridSpan w:val="2"/>
            <w:tcBorders>
              <w:top w:val="single" w:sz="6" w:space="0" w:color="000000"/>
            </w:tcBorders>
          </w:tcPr>
          <w:p>
            <w:pPr>
              <w:pStyle w:val="TableParagraph"/>
              <w:spacing w:before="2"/>
              <w:ind w:right="793"/>
              <w:jc w:val="right"/>
              <w:rPr>
                <w:b/>
                <w:sz w:val="16"/>
              </w:rPr>
            </w:pPr>
            <w:r>
              <w:rPr>
                <w:b/>
                <w:spacing w:val="-4"/>
                <w:w w:val="105"/>
                <w:sz w:val="16"/>
              </w:rPr>
              <w:t>2021</w:t>
            </w:r>
          </w:p>
        </w:tc>
        <w:tc>
          <w:tcPr>
            <w:tcW w:w="1751" w:type="dxa"/>
            <w:tcBorders>
              <w:top w:val="single" w:sz="6" w:space="0" w:color="000000"/>
            </w:tcBorders>
          </w:tcPr>
          <w:p>
            <w:pPr>
              <w:pStyle w:val="TableParagraph"/>
              <w:spacing w:before="2"/>
              <w:ind w:left="47" w:right="176"/>
              <w:jc w:val="center"/>
              <w:rPr>
                <w:sz w:val="16"/>
              </w:rPr>
            </w:pPr>
            <w:r>
              <w:rPr>
                <w:spacing w:val="-4"/>
                <w:w w:val="105"/>
                <w:sz w:val="16"/>
              </w:rPr>
              <w:t>2020</w:t>
            </w:r>
          </w:p>
        </w:tc>
        <w:tc>
          <w:tcPr>
            <w:tcW w:w="1109" w:type="dxa"/>
            <w:tcBorders>
              <w:top w:val="single" w:sz="6" w:space="0" w:color="000000"/>
            </w:tcBorders>
          </w:tcPr>
          <w:p>
            <w:pPr>
              <w:pStyle w:val="TableParagraph"/>
              <w:spacing w:before="2"/>
              <w:ind w:right="137"/>
              <w:jc w:val="right"/>
              <w:rPr>
                <w:sz w:val="16"/>
              </w:rPr>
            </w:pPr>
            <w:r>
              <w:rPr>
                <w:spacing w:val="-4"/>
                <w:w w:val="105"/>
                <w:sz w:val="16"/>
              </w:rPr>
              <w:t>2019</w:t>
            </w:r>
          </w:p>
        </w:tc>
      </w:tr>
      <w:tr>
        <w:trPr>
          <w:trHeight w:val="191" w:hRule="atLeast"/>
        </w:trPr>
        <w:tc>
          <w:tcPr>
            <w:tcW w:w="6382" w:type="dxa"/>
            <w:tcBorders>
              <w:top w:val="single" w:sz="6" w:space="0" w:color="000000"/>
            </w:tcBorders>
            <w:shd w:val="clear" w:color="auto" w:fill="CCEDFF"/>
          </w:tcPr>
          <w:p>
            <w:pPr>
              <w:pStyle w:val="TableParagraph"/>
              <w:spacing w:line="180" w:lineRule="exact" w:before="2"/>
              <w:rPr>
                <w:sz w:val="16"/>
              </w:rPr>
            </w:pPr>
            <w:r>
              <w:rPr>
                <w:w w:val="105"/>
                <w:sz w:val="16"/>
              </w:rPr>
              <w:t>Statutory</w:t>
            </w:r>
            <w:r>
              <w:rPr>
                <w:spacing w:val="-9"/>
                <w:w w:val="105"/>
                <w:sz w:val="16"/>
              </w:rPr>
              <w:t> </w:t>
            </w:r>
            <w:r>
              <w:rPr>
                <w:w w:val="105"/>
                <w:sz w:val="16"/>
              </w:rPr>
              <w:t>U.S.</w:t>
            </w:r>
            <w:r>
              <w:rPr>
                <w:spacing w:val="-9"/>
                <w:w w:val="105"/>
                <w:sz w:val="16"/>
              </w:rPr>
              <w:t> </w:t>
            </w:r>
            <w:r>
              <w:rPr>
                <w:w w:val="105"/>
                <w:sz w:val="16"/>
              </w:rPr>
              <w:t>income</w:t>
            </w:r>
            <w:r>
              <w:rPr>
                <w:spacing w:val="-9"/>
                <w:w w:val="105"/>
                <w:sz w:val="16"/>
              </w:rPr>
              <w:t> </w:t>
            </w:r>
            <w:r>
              <w:rPr>
                <w:w w:val="105"/>
                <w:sz w:val="16"/>
              </w:rPr>
              <w:t>tax</w:t>
            </w:r>
            <w:r>
              <w:rPr>
                <w:spacing w:val="-8"/>
                <w:w w:val="105"/>
                <w:sz w:val="16"/>
              </w:rPr>
              <w:t> </w:t>
            </w:r>
            <w:r>
              <w:rPr>
                <w:spacing w:val="-4"/>
                <w:w w:val="105"/>
                <w:sz w:val="16"/>
              </w:rPr>
              <w:t>rate</w:t>
            </w:r>
          </w:p>
        </w:tc>
        <w:tc>
          <w:tcPr>
            <w:tcW w:w="2273" w:type="dxa"/>
            <w:tcBorders>
              <w:top w:val="single" w:sz="6" w:space="0" w:color="000000"/>
            </w:tcBorders>
            <w:shd w:val="clear" w:color="auto" w:fill="CCEDFF"/>
          </w:tcPr>
          <w:p>
            <w:pPr>
              <w:pStyle w:val="TableParagraph"/>
              <w:spacing w:line="180" w:lineRule="exact" w:before="2"/>
              <w:ind w:left="1187"/>
              <w:rPr>
                <w:b/>
                <w:sz w:val="16"/>
              </w:rPr>
            </w:pPr>
            <w:r>
              <w:rPr>
                <w:b/>
                <w:spacing w:val="-2"/>
                <w:w w:val="105"/>
                <w:sz w:val="16"/>
              </w:rPr>
              <w:t>21.0%</w:t>
            </w:r>
          </w:p>
        </w:tc>
        <w:tc>
          <w:tcPr>
            <w:tcW w:w="1751" w:type="dxa"/>
            <w:tcBorders>
              <w:top w:val="single" w:sz="6" w:space="0" w:color="000000"/>
            </w:tcBorders>
            <w:shd w:val="clear" w:color="auto" w:fill="CCEDFF"/>
          </w:tcPr>
          <w:p>
            <w:pPr>
              <w:pStyle w:val="TableParagraph"/>
              <w:spacing w:line="180" w:lineRule="exact" w:before="2"/>
              <w:ind w:left="176" w:right="129"/>
              <w:jc w:val="center"/>
              <w:rPr>
                <w:sz w:val="16"/>
              </w:rPr>
            </w:pPr>
            <w:r>
              <w:rPr>
                <w:spacing w:val="-2"/>
                <w:w w:val="105"/>
                <w:sz w:val="16"/>
              </w:rPr>
              <w:t>21.0%</w:t>
            </w:r>
          </w:p>
        </w:tc>
        <w:tc>
          <w:tcPr>
            <w:tcW w:w="1109" w:type="dxa"/>
            <w:tcBorders>
              <w:top w:val="single" w:sz="6" w:space="0" w:color="000000"/>
            </w:tcBorders>
            <w:shd w:val="clear" w:color="auto" w:fill="CCEDFF"/>
          </w:tcPr>
          <w:p>
            <w:pPr>
              <w:pStyle w:val="TableParagraph"/>
              <w:spacing w:line="180" w:lineRule="exact" w:before="2"/>
              <w:ind w:right="1"/>
              <w:jc w:val="right"/>
              <w:rPr>
                <w:sz w:val="16"/>
              </w:rPr>
            </w:pPr>
            <w:r>
              <w:rPr>
                <w:spacing w:val="-2"/>
                <w:w w:val="105"/>
                <w:sz w:val="16"/>
              </w:rPr>
              <w:t>21.0%</w:t>
            </w:r>
          </w:p>
        </w:tc>
      </w:tr>
      <w:tr>
        <w:trPr>
          <w:trHeight w:val="203" w:hRule="atLeast"/>
        </w:trPr>
        <w:tc>
          <w:tcPr>
            <w:tcW w:w="6382" w:type="dxa"/>
          </w:tcPr>
          <w:p>
            <w:pPr>
              <w:pStyle w:val="TableParagraph"/>
              <w:spacing w:line="180" w:lineRule="exact" w:before="3"/>
              <w:rPr>
                <w:sz w:val="16"/>
              </w:rPr>
            </w:pPr>
            <w:r>
              <w:rPr>
                <w:w w:val="105"/>
                <w:sz w:val="16"/>
              </w:rPr>
              <w:t>State</w:t>
            </w:r>
            <w:r>
              <w:rPr>
                <w:spacing w:val="-7"/>
                <w:w w:val="105"/>
                <w:sz w:val="16"/>
              </w:rPr>
              <w:t> </w:t>
            </w:r>
            <w:r>
              <w:rPr>
                <w:w w:val="105"/>
                <w:sz w:val="16"/>
              </w:rPr>
              <w:t>income</w:t>
            </w:r>
            <w:r>
              <w:rPr>
                <w:spacing w:val="-7"/>
                <w:w w:val="105"/>
                <w:sz w:val="16"/>
              </w:rPr>
              <w:t> </w:t>
            </w:r>
            <w:r>
              <w:rPr>
                <w:w w:val="105"/>
                <w:sz w:val="16"/>
              </w:rPr>
              <w:t>tax,</w:t>
            </w:r>
            <w:r>
              <w:rPr>
                <w:spacing w:val="-7"/>
                <w:w w:val="105"/>
                <w:sz w:val="16"/>
              </w:rPr>
              <w:t> </w:t>
            </w:r>
            <w:r>
              <w:rPr>
                <w:w w:val="105"/>
                <w:sz w:val="16"/>
              </w:rPr>
              <w:t>net</w:t>
            </w:r>
            <w:r>
              <w:rPr>
                <w:spacing w:val="-7"/>
                <w:w w:val="105"/>
                <w:sz w:val="16"/>
              </w:rPr>
              <w:t> </w:t>
            </w:r>
            <w:r>
              <w:rPr>
                <w:w w:val="105"/>
                <w:sz w:val="16"/>
              </w:rPr>
              <w:t>of</w:t>
            </w:r>
            <w:r>
              <w:rPr>
                <w:spacing w:val="-6"/>
                <w:w w:val="105"/>
                <w:sz w:val="16"/>
              </w:rPr>
              <w:t> </w:t>
            </w:r>
            <w:r>
              <w:rPr>
                <w:w w:val="105"/>
                <w:sz w:val="16"/>
              </w:rPr>
              <w:t>federal</w:t>
            </w:r>
            <w:r>
              <w:rPr>
                <w:spacing w:val="-6"/>
                <w:w w:val="105"/>
                <w:sz w:val="16"/>
              </w:rPr>
              <w:t> </w:t>
            </w:r>
            <w:r>
              <w:rPr>
                <w:spacing w:val="-2"/>
                <w:w w:val="105"/>
                <w:sz w:val="16"/>
              </w:rPr>
              <w:t>effect</w:t>
            </w:r>
          </w:p>
        </w:tc>
        <w:tc>
          <w:tcPr>
            <w:tcW w:w="2273" w:type="dxa"/>
          </w:tcPr>
          <w:p>
            <w:pPr>
              <w:pStyle w:val="TableParagraph"/>
              <w:spacing w:line="180" w:lineRule="exact" w:before="3"/>
              <w:ind w:left="475"/>
              <w:jc w:val="center"/>
              <w:rPr>
                <w:b/>
                <w:sz w:val="16"/>
              </w:rPr>
            </w:pPr>
            <w:r>
              <w:rPr>
                <w:b/>
                <w:spacing w:val="-5"/>
                <w:w w:val="105"/>
                <w:sz w:val="16"/>
              </w:rPr>
              <w:t>1.0</w:t>
            </w:r>
          </w:p>
        </w:tc>
        <w:tc>
          <w:tcPr>
            <w:tcW w:w="1751" w:type="dxa"/>
          </w:tcPr>
          <w:p>
            <w:pPr>
              <w:pStyle w:val="TableParagraph"/>
              <w:spacing w:line="180" w:lineRule="exact" w:before="3"/>
              <w:ind w:left="124" w:right="129"/>
              <w:jc w:val="center"/>
              <w:rPr>
                <w:sz w:val="16"/>
              </w:rPr>
            </w:pPr>
            <w:r>
              <w:rPr>
                <w:spacing w:val="-5"/>
                <w:w w:val="105"/>
                <w:sz w:val="16"/>
              </w:rPr>
              <w:t>1.4</w:t>
            </w:r>
          </w:p>
        </w:tc>
        <w:tc>
          <w:tcPr>
            <w:tcW w:w="1109" w:type="dxa"/>
          </w:tcPr>
          <w:p>
            <w:pPr>
              <w:pStyle w:val="TableParagraph"/>
              <w:spacing w:line="180" w:lineRule="exact" w:before="3"/>
              <w:ind w:right="137"/>
              <w:jc w:val="right"/>
              <w:rPr>
                <w:sz w:val="16"/>
              </w:rPr>
            </w:pPr>
            <w:r>
              <w:rPr>
                <w:spacing w:val="-5"/>
                <w:w w:val="105"/>
                <w:sz w:val="16"/>
              </w:rPr>
              <w:t>0.6</w:t>
            </w:r>
          </w:p>
        </w:tc>
      </w:tr>
      <w:tr>
        <w:trPr>
          <w:trHeight w:val="203" w:hRule="atLeast"/>
        </w:trPr>
        <w:tc>
          <w:tcPr>
            <w:tcW w:w="6382" w:type="dxa"/>
            <w:shd w:val="clear" w:color="auto" w:fill="CCEDFF"/>
          </w:tcPr>
          <w:p>
            <w:pPr>
              <w:pStyle w:val="TableParagraph"/>
              <w:spacing w:line="180" w:lineRule="exact" w:before="3"/>
              <w:rPr>
                <w:sz w:val="16"/>
              </w:rPr>
            </w:pPr>
            <w:r>
              <w:rPr>
                <w:sz w:val="16"/>
              </w:rPr>
              <w:t>Global</w:t>
            </w:r>
            <w:r>
              <w:rPr>
                <w:spacing w:val="17"/>
                <w:sz w:val="16"/>
              </w:rPr>
              <w:t> </w:t>
            </w:r>
            <w:r>
              <w:rPr>
                <w:sz w:val="16"/>
              </w:rPr>
              <w:t>intangible</w:t>
            </w:r>
            <w:r>
              <w:rPr>
                <w:spacing w:val="18"/>
                <w:sz w:val="16"/>
              </w:rPr>
              <w:t> </w:t>
            </w:r>
            <w:r>
              <w:rPr>
                <w:sz w:val="16"/>
              </w:rPr>
              <w:t>low-taxed</w:t>
            </w:r>
            <w:r>
              <w:rPr>
                <w:spacing w:val="21"/>
                <w:sz w:val="16"/>
              </w:rPr>
              <w:t> </w:t>
            </w:r>
            <w:r>
              <w:rPr>
                <w:spacing w:val="-2"/>
                <w:sz w:val="16"/>
              </w:rPr>
              <w:t>income</w:t>
            </w:r>
          </w:p>
        </w:tc>
        <w:tc>
          <w:tcPr>
            <w:tcW w:w="2273" w:type="dxa"/>
            <w:shd w:val="clear" w:color="auto" w:fill="CCEDFF"/>
          </w:tcPr>
          <w:p>
            <w:pPr>
              <w:pStyle w:val="TableParagraph"/>
              <w:spacing w:line="180" w:lineRule="exact" w:before="3"/>
              <w:ind w:left="475"/>
              <w:jc w:val="center"/>
              <w:rPr>
                <w:b/>
                <w:sz w:val="16"/>
              </w:rPr>
            </w:pPr>
            <w:r>
              <w:rPr>
                <w:b/>
                <w:spacing w:val="-5"/>
                <w:w w:val="105"/>
                <w:sz w:val="16"/>
              </w:rPr>
              <w:t>0.2</w:t>
            </w:r>
          </w:p>
        </w:tc>
        <w:tc>
          <w:tcPr>
            <w:tcW w:w="1751" w:type="dxa"/>
            <w:shd w:val="clear" w:color="auto" w:fill="CCEDFF"/>
          </w:tcPr>
          <w:p>
            <w:pPr>
              <w:pStyle w:val="TableParagraph"/>
              <w:spacing w:line="180" w:lineRule="exact" w:before="3"/>
              <w:ind w:left="124" w:right="129"/>
              <w:jc w:val="center"/>
              <w:rPr>
                <w:sz w:val="16"/>
              </w:rPr>
            </w:pPr>
            <w:r>
              <w:rPr>
                <w:spacing w:val="-2"/>
                <w:w w:val="105"/>
                <w:sz w:val="16"/>
              </w:rPr>
              <w:t>(0.5)</w:t>
            </w:r>
          </w:p>
        </w:tc>
        <w:tc>
          <w:tcPr>
            <w:tcW w:w="1109" w:type="dxa"/>
            <w:shd w:val="clear" w:color="auto" w:fill="CCEDFF"/>
          </w:tcPr>
          <w:p>
            <w:pPr>
              <w:pStyle w:val="TableParagraph"/>
              <w:spacing w:line="180" w:lineRule="exact" w:before="3"/>
              <w:ind w:right="137"/>
              <w:jc w:val="right"/>
              <w:rPr>
                <w:sz w:val="16"/>
              </w:rPr>
            </w:pPr>
            <w:r>
              <w:rPr>
                <w:spacing w:val="-5"/>
                <w:w w:val="105"/>
                <w:sz w:val="16"/>
              </w:rPr>
              <w:t>1.2</w:t>
            </w:r>
          </w:p>
        </w:tc>
      </w:tr>
      <w:tr>
        <w:trPr>
          <w:trHeight w:val="203" w:hRule="atLeast"/>
        </w:trPr>
        <w:tc>
          <w:tcPr>
            <w:tcW w:w="6382" w:type="dxa"/>
          </w:tcPr>
          <w:p>
            <w:pPr>
              <w:pStyle w:val="TableParagraph"/>
              <w:spacing w:line="180" w:lineRule="exact" w:before="3"/>
              <w:rPr>
                <w:sz w:val="16"/>
              </w:rPr>
            </w:pPr>
            <w:r>
              <w:rPr>
                <w:sz w:val="16"/>
              </w:rPr>
              <w:t>Foreign</w:t>
            </w:r>
            <w:r>
              <w:rPr>
                <w:spacing w:val="16"/>
                <w:sz w:val="16"/>
              </w:rPr>
              <w:t> </w:t>
            </w:r>
            <w:r>
              <w:rPr>
                <w:sz w:val="16"/>
              </w:rPr>
              <w:t>derived</w:t>
            </w:r>
            <w:r>
              <w:rPr>
                <w:spacing w:val="17"/>
                <w:sz w:val="16"/>
              </w:rPr>
              <w:t> </w:t>
            </w:r>
            <w:r>
              <w:rPr>
                <w:sz w:val="16"/>
              </w:rPr>
              <w:t>intangible</w:t>
            </w:r>
            <w:r>
              <w:rPr>
                <w:spacing w:val="20"/>
                <w:sz w:val="16"/>
              </w:rPr>
              <w:t> </w:t>
            </w:r>
            <w:r>
              <w:rPr>
                <w:spacing w:val="-2"/>
                <w:sz w:val="16"/>
              </w:rPr>
              <w:t>income</w:t>
            </w:r>
          </w:p>
        </w:tc>
        <w:tc>
          <w:tcPr>
            <w:tcW w:w="2273" w:type="dxa"/>
          </w:tcPr>
          <w:p>
            <w:pPr>
              <w:pStyle w:val="TableParagraph"/>
              <w:spacing w:line="180" w:lineRule="exact" w:before="3"/>
              <w:ind w:left="1215"/>
              <w:rPr>
                <w:b/>
                <w:sz w:val="16"/>
              </w:rPr>
            </w:pPr>
            <w:r>
              <w:rPr>
                <w:b/>
                <w:spacing w:val="-2"/>
                <w:w w:val="105"/>
                <w:sz w:val="16"/>
              </w:rPr>
              <w:t>(1.3)</w:t>
            </w:r>
          </w:p>
        </w:tc>
        <w:tc>
          <w:tcPr>
            <w:tcW w:w="1751" w:type="dxa"/>
          </w:tcPr>
          <w:p>
            <w:pPr>
              <w:pStyle w:val="TableParagraph"/>
              <w:rPr>
                <w:sz w:val="14"/>
              </w:rPr>
            </w:pPr>
          </w:p>
        </w:tc>
        <w:tc>
          <w:tcPr>
            <w:tcW w:w="1109" w:type="dxa"/>
          </w:tcPr>
          <w:p>
            <w:pPr>
              <w:pStyle w:val="TableParagraph"/>
              <w:spacing w:line="180" w:lineRule="exact" w:before="3"/>
              <w:ind w:right="82"/>
              <w:jc w:val="right"/>
              <w:rPr>
                <w:sz w:val="16"/>
              </w:rPr>
            </w:pPr>
            <w:r>
              <w:rPr>
                <w:spacing w:val="-2"/>
                <w:w w:val="105"/>
                <w:sz w:val="16"/>
              </w:rPr>
              <w:t>(8.5)</w:t>
            </w:r>
          </w:p>
        </w:tc>
      </w:tr>
      <w:tr>
        <w:trPr>
          <w:trHeight w:val="203" w:hRule="atLeast"/>
        </w:trPr>
        <w:tc>
          <w:tcPr>
            <w:tcW w:w="6382" w:type="dxa"/>
            <w:shd w:val="clear" w:color="auto" w:fill="CCEDFF"/>
          </w:tcPr>
          <w:p>
            <w:pPr>
              <w:pStyle w:val="TableParagraph"/>
              <w:spacing w:line="180" w:lineRule="exact" w:before="3"/>
              <w:rPr>
                <w:sz w:val="16"/>
              </w:rPr>
            </w:pPr>
            <w:r>
              <w:rPr>
                <w:w w:val="105"/>
                <w:sz w:val="16"/>
              </w:rPr>
              <w:t>Remeasurement</w:t>
            </w:r>
            <w:r>
              <w:rPr>
                <w:spacing w:val="-10"/>
                <w:w w:val="105"/>
                <w:sz w:val="16"/>
              </w:rPr>
              <w:t> </w:t>
            </w:r>
            <w:r>
              <w:rPr>
                <w:w w:val="105"/>
                <w:sz w:val="16"/>
              </w:rPr>
              <w:t>of</w:t>
            </w:r>
            <w:r>
              <w:rPr>
                <w:spacing w:val="-10"/>
                <w:w w:val="105"/>
                <w:sz w:val="16"/>
              </w:rPr>
              <w:t> </w:t>
            </w:r>
            <w:r>
              <w:rPr>
                <w:w w:val="105"/>
                <w:sz w:val="16"/>
              </w:rPr>
              <w:t>deferred</w:t>
            </w:r>
            <w:r>
              <w:rPr>
                <w:spacing w:val="-9"/>
                <w:w w:val="105"/>
                <w:sz w:val="16"/>
              </w:rPr>
              <w:t> </w:t>
            </w:r>
            <w:r>
              <w:rPr>
                <w:w w:val="105"/>
                <w:sz w:val="16"/>
              </w:rPr>
              <w:t>tax</w:t>
            </w:r>
            <w:r>
              <w:rPr>
                <w:spacing w:val="-11"/>
                <w:w w:val="105"/>
                <w:sz w:val="16"/>
              </w:rPr>
              <w:t> </w:t>
            </w:r>
            <w:r>
              <w:rPr>
                <w:w w:val="105"/>
                <w:sz w:val="16"/>
              </w:rPr>
              <w:t>assets</w:t>
            </w:r>
            <w:r>
              <w:rPr>
                <w:spacing w:val="-9"/>
                <w:w w:val="105"/>
                <w:sz w:val="16"/>
              </w:rPr>
              <w:t> </w:t>
            </w:r>
            <w:r>
              <w:rPr>
                <w:w w:val="105"/>
                <w:sz w:val="16"/>
              </w:rPr>
              <w:t>and</w:t>
            </w:r>
            <w:r>
              <w:rPr>
                <w:spacing w:val="-9"/>
                <w:w w:val="105"/>
                <w:sz w:val="16"/>
              </w:rPr>
              <w:t> </w:t>
            </w:r>
            <w:r>
              <w:rPr>
                <w:spacing w:val="-2"/>
                <w:w w:val="105"/>
                <w:sz w:val="16"/>
              </w:rPr>
              <w:t>liabilities</w:t>
            </w:r>
          </w:p>
        </w:tc>
        <w:tc>
          <w:tcPr>
            <w:tcW w:w="2273" w:type="dxa"/>
            <w:shd w:val="clear" w:color="auto" w:fill="CCEDFF"/>
          </w:tcPr>
          <w:p>
            <w:pPr>
              <w:pStyle w:val="TableParagraph"/>
              <w:rPr>
                <w:sz w:val="14"/>
              </w:rPr>
            </w:pPr>
          </w:p>
        </w:tc>
        <w:tc>
          <w:tcPr>
            <w:tcW w:w="1751" w:type="dxa"/>
            <w:shd w:val="clear" w:color="auto" w:fill="CCEDFF"/>
          </w:tcPr>
          <w:p>
            <w:pPr>
              <w:pStyle w:val="TableParagraph"/>
              <w:spacing w:line="180" w:lineRule="exact" w:before="3"/>
              <w:ind w:left="47" w:right="135"/>
              <w:jc w:val="center"/>
              <w:rPr>
                <w:sz w:val="16"/>
              </w:rPr>
            </w:pPr>
            <w:r>
              <w:rPr>
                <w:spacing w:val="-2"/>
                <w:w w:val="105"/>
                <w:sz w:val="16"/>
              </w:rPr>
              <w:t>(13.4)</w:t>
            </w:r>
          </w:p>
        </w:tc>
        <w:tc>
          <w:tcPr>
            <w:tcW w:w="1109" w:type="dxa"/>
            <w:shd w:val="clear" w:color="auto" w:fill="CCEDFF"/>
          </w:tcPr>
          <w:p>
            <w:pPr>
              <w:pStyle w:val="TableParagraph"/>
              <w:spacing w:line="180" w:lineRule="exact" w:before="3"/>
              <w:ind w:right="82"/>
              <w:jc w:val="right"/>
              <w:rPr>
                <w:sz w:val="16"/>
              </w:rPr>
            </w:pPr>
            <w:r>
              <w:rPr>
                <w:spacing w:val="-2"/>
                <w:w w:val="105"/>
                <w:sz w:val="16"/>
              </w:rPr>
              <w:t>(0.6)</w:t>
            </w:r>
          </w:p>
        </w:tc>
      </w:tr>
      <w:tr>
        <w:trPr>
          <w:trHeight w:val="203" w:hRule="atLeast"/>
        </w:trPr>
        <w:tc>
          <w:tcPr>
            <w:tcW w:w="6382" w:type="dxa"/>
          </w:tcPr>
          <w:p>
            <w:pPr>
              <w:pStyle w:val="TableParagraph"/>
              <w:spacing w:line="184" w:lineRule="exact"/>
              <w:rPr>
                <w:sz w:val="14"/>
              </w:rPr>
            </w:pPr>
            <w:r>
              <w:rPr>
                <w:sz w:val="16"/>
              </w:rPr>
              <w:t>Differential</w:t>
            </w:r>
            <w:r>
              <w:rPr>
                <w:spacing w:val="14"/>
                <w:sz w:val="16"/>
              </w:rPr>
              <w:t> </w:t>
            </w:r>
            <w:r>
              <w:rPr>
                <w:sz w:val="16"/>
              </w:rPr>
              <w:t>arising</w:t>
            </w:r>
            <w:r>
              <w:rPr>
                <w:spacing w:val="14"/>
                <w:sz w:val="16"/>
              </w:rPr>
              <w:t> </w:t>
            </w:r>
            <w:r>
              <w:rPr>
                <w:sz w:val="16"/>
              </w:rPr>
              <w:t>from</w:t>
            </w:r>
            <w:r>
              <w:rPr>
                <w:spacing w:val="14"/>
                <w:sz w:val="16"/>
              </w:rPr>
              <w:t> </w:t>
            </w:r>
            <w:r>
              <w:rPr>
                <w:sz w:val="16"/>
              </w:rPr>
              <w:t>foreign</w:t>
            </w:r>
            <w:r>
              <w:rPr>
                <w:spacing w:val="15"/>
                <w:sz w:val="16"/>
              </w:rPr>
              <w:t> </w:t>
            </w:r>
            <w:r>
              <w:rPr>
                <w:sz w:val="16"/>
              </w:rPr>
              <w:t>earnings</w:t>
            </w:r>
            <w:r>
              <w:rPr>
                <w:spacing w:val="16"/>
                <w:sz w:val="16"/>
              </w:rPr>
              <w:t> </w:t>
            </w:r>
            <w:r>
              <w:rPr>
                <w:spacing w:val="-5"/>
                <w:position w:val="3"/>
                <w:sz w:val="14"/>
              </w:rPr>
              <w:t>(1)</w:t>
            </w:r>
          </w:p>
        </w:tc>
        <w:tc>
          <w:tcPr>
            <w:tcW w:w="2273" w:type="dxa"/>
          </w:tcPr>
          <w:p>
            <w:pPr>
              <w:pStyle w:val="TableParagraph"/>
              <w:spacing w:line="180" w:lineRule="exact" w:before="3"/>
              <w:ind w:left="475"/>
              <w:jc w:val="center"/>
              <w:rPr>
                <w:b/>
                <w:sz w:val="16"/>
              </w:rPr>
            </w:pPr>
            <w:r>
              <w:rPr>
                <w:b/>
                <w:spacing w:val="-5"/>
                <w:w w:val="105"/>
                <w:sz w:val="16"/>
              </w:rPr>
              <w:t>2.0</w:t>
            </w:r>
          </w:p>
        </w:tc>
        <w:tc>
          <w:tcPr>
            <w:tcW w:w="1751" w:type="dxa"/>
          </w:tcPr>
          <w:p>
            <w:pPr>
              <w:pStyle w:val="TableParagraph"/>
              <w:spacing w:line="180" w:lineRule="exact" w:before="3"/>
              <w:ind w:left="47" w:right="135"/>
              <w:jc w:val="center"/>
              <w:rPr>
                <w:sz w:val="16"/>
              </w:rPr>
            </w:pPr>
            <w:r>
              <w:rPr>
                <w:spacing w:val="-4"/>
                <w:w w:val="105"/>
                <w:sz w:val="16"/>
              </w:rPr>
              <w:t>15.2</w:t>
            </w:r>
          </w:p>
        </w:tc>
        <w:tc>
          <w:tcPr>
            <w:tcW w:w="1109" w:type="dxa"/>
          </w:tcPr>
          <w:p>
            <w:pPr>
              <w:pStyle w:val="TableParagraph"/>
              <w:spacing w:line="180" w:lineRule="exact" w:before="3"/>
              <w:ind w:right="137"/>
              <w:jc w:val="right"/>
              <w:rPr>
                <w:sz w:val="16"/>
              </w:rPr>
            </w:pPr>
            <w:r>
              <w:rPr>
                <w:spacing w:val="-5"/>
                <w:w w:val="105"/>
                <w:sz w:val="16"/>
              </w:rPr>
              <w:t>5.4</w:t>
            </w:r>
          </w:p>
        </w:tc>
      </w:tr>
      <w:tr>
        <w:trPr>
          <w:trHeight w:val="203" w:hRule="atLeast"/>
        </w:trPr>
        <w:tc>
          <w:tcPr>
            <w:tcW w:w="6382" w:type="dxa"/>
            <w:shd w:val="clear" w:color="auto" w:fill="CCEDFF"/>
          </w:tcPr>
          <w:p>
            <w:pPr>
              <w:pStyle w:val="TableParagraph"/>
              <w:spacing w:line="180" w:lineRule="exact" w:before="3"/>
              <w:rPr>
                <w:sz w:val="16"/>
              </w:rPr>
            </w:pPr>
            <w:r>
              <w:rPr>
                <w:w w:val="105"/>
                <w:sz w:val="16"/>
              </w:rPr>
              <w:t>IRS</w:t>
            </w:r>
            <w:r>
              <w:rPr>
                <w:spacing w:val="-10"/>
                <w:w w:val="105"/>
                <w:sz w:val="16"/>
              </w:rPr>
              <w:t> </w:t>
            </w:r>
            <w:r>
              <w:rPr>
                <w:w w:val="105"/>
                <w:sz w:val="16"/>
              </w:rPr>
              <w:t>settlements</w:t>
            </w:r>
            <w:r>
              <w:rPr>
                <w:spacing w:val="-10"/>
                <w:w w:val="105"/>
                <w:sz w:val="16"/>
              </w:rPr>
              <w:t> </w:t>
            </w:r>
            <w:r>
              <w:rPr>
                <w:w w:val="105"/>
                <w:sz w:val="16"/>
              </w:rPr>
              <w:t>&amp;</w:t>
            </w:r>
            <w:r>
              <w:rPr>
                <w:spacing w:val="-10"/>
                <w:w w:val="105"/>
                <w:sz w:val="16"/>
              </w:rPr>
              <w:t> </w:t>
            </w:r>
            <w:r>
              <w:rPr>
                <w:w w:val="105"/>
                <w:sz w:val="16"/>
              </w:rPr>
              <w:t>change</w:t>
            </w:r>
            <w:r>
              <w:rPr>
                <w:spacing w:val="-10"/>
                <w:w w:val="105"/>
                <w:sz w:val="16"/>
              </w:rPr>
              <w:t> </w:t>
            </w:r>
            <w:r>
              <w:rPr>
                <w:w w:val="105"/>
                <w:sz w:val="16"/>
              </w:rPr>
              <w:t>in</w:t>
            </w:r>
            <w:r>
              <w:rPr>
                <w:spacing w:val="-9"/>
                <w:w w:val="105"/>
                <w:sz w:val="16"/>
              </w:rPr>
              <w:t> </w:t>
            </w:r>
            <w:r>
              <w:rPr>
                <w:spacing w:val="-2"/>
                <w:w w:val="105"/>
                <w:sz w:val="16"/>
              </w:rPr>
              <w:t>reserve</w:t>
            </w:r>
          </w:p>
        </w:tc>
        <w:tc>
          <w:tcPr>
            <w:tcW w:w="2273" w:type="dxa"/>
            <w:shd w:val="clear" w:color="auto" w:fill="CCEDFF"/>
          </w:tcPr>
          <w:p>
            <w:pPr>
              <w:pStyle w:val="TableParagraph"/>
              <w:spacing w:line="180" w:lineRule="exact" w:before="3"/>
              <w:ind w:left="475"/>
              <w:jc w:val="center"/>
              <w:rPr>
                <w:b/>
                <w:sz w:val="16"/>
              </w:rPr>
            </w:pPr>
            <w:r>
              <w:rPr>
                <w:b/>
                <w:spacing w:val="-5"/>
                <w:w w:val="105"/>
                <w:sz w:val="16"/>
              </w:rPr>
              <w:t>1.6</w:t>
            </w:r>
          </w:p>
        </w:tc>
        <w:tc>
          <w:tcPr>
            <w:tcW w:w="1751" w:type="dxa"/>
            <w:shd w:val="clear" w:color="auto" w:fill="CCEDFF"/>
          </w:tcPr>
          <w:p>
            <w:pPr>
              <w:pStyle w:val="TableParagraph"/>
              <w:spacing w:line="180" w:lineRule="exact" w:before="3"/>
              <w:ind w:left="47" w:right="135"/>
              <w:jc w:val="center"/>
              <w:rPr>
                <w:sz w:val="16"/>
              </w:rPr>
            </w:pPr>
            <w:r>
              <w:rPr>
                <w:spacing w:val="-4"/>
                <w:w w:val="105"/>
                <w:sz w:val="16"/>
              </w:rPr>
              <w:t>12.1</w:t>
            </w:r>
          </w:p>
        </w:tc>
        <w:tc>
          <w:tcPr>
            <w:tcW w:w="1109" w:type="dxa"/>
            <w:shd w:val="clear" w:color="auto" w:fill="CCEDFF"/>
          </w:tcPr>
          <w:p>
            <w:pPr>
              <w:pStyle w:val="TableParagraph"/>
              <w:spacing w:line="180" w:lineRule="exact" w:before="3"/>
              <w:ind w:right="137"/>
              <w:jc w:val="right"/>
              <w:rPr>
                <w:sz w:val="16"/>
              </w:rPr>
            </w:pPr>
            <w:r>
              <w:rPr>
                <w:spacing w:val="-5"/>
                <w:w w:val="105"/>
                <w:sz w:val="16"/>
              </w:rPr>
              <w:t>8.5</w:t>
            </w:r>
          </w:p>
        </w:tc>
      </w:tr>
      <w:tr>
        <w:trPr>
          <w:trHeight w:val="203" w:hRule="atLeast"/>
        </w:trPr>
        <w:tc>
          <w:tcPr>
            <w:tcW w:w="6382" w:type="dxa"/>
          </w:tcPr>
          <w:p>
            <w:pPr>
              <w:pStyle w:val="TableParagraph"/>
              <w:spacing w:line="180" w:lineRule="exact" w:before="3"/>
              <w:rPr>
                <w:sz w:val="16"/>
              </w:rPr>
            </w:pPr>
            <w:r>
              <w:rPr>
                <w:sz w:val="16"/>
              </w:rPr>
              <w:t>Valuation</w:t>
            </w:r>
            <w:r>
              <w:rPr>
                <w:spacing w:val="19"/>
                <w:sz w:val="16"/>
              </w:rPr>
              <w:t> </w:t>
            </w:r>
            <w:r>
              <w:rPr>
                <w:spacing w:val="-2"/>
                <w:sz w:val="16"/>
              </w:rPr>
              <w:t>allowance</w:t>
            </w:r>
          </w:p>
        </w:tc>
        <w:tc>
          <w:tcPr>
            <w:tcW w:w="2273" w:type="dxa"/>
          </w:tcPr>
          <w:p>
            <w:pPr>
              <w:pStyle w:val="TableParagraph"/>
              <w:spacing w:line="180" w:lineRule="exact" w:before="3"/>
              <w:ind w:left="1215"/>
              <w:rPr>
                <w:b/>
                <w:sz w:val="16"/>
              </w:rPr>
            </w:pPr>
            <w:r>
              <w:rPr>
                <w:b/>
                <w:spacing w:val="-2"/>
                <w:w w:val="105"/>
                <w:sz w:val="16"/>
              </w:rPr>
              <w:t>(0.5)</w:t>
            </w:r>
          </w:p>
        </w:tc>
        <w:tc>
          <w:tcPr>
            <w:tcW w:w="1751" w:type="dxa"/>
          </w:tcPr>
          <w:p>
            <w:pPr>
              <w:pStyle w:val="TableParagraph"/>
              <w:spacing w:line="180" w:lineRule="exact" w:before="3"/>
              <w:ind w:left="124" w:right="129"/>
              <w:jc w:val="center"/>
              <w:rPr>
                <w:sz w:val="16"/>
              </w:rPr>
            </w:pPr>
            <w:r>
              <w:rPr>
                <w:spacing w:val="-5"/>
                <w:w w:val="105"/>
                <w:sz w:val="16"/>
              </w:rPr>
              <w:t>2.5</w:t>
            </w:r>
          </w:p>
        </w:tc>
        <w:tc>
          <w:tcPr>
            <w:tcW w:w="1109" w:type="dxa"/>
          </w:tcPr>
          <w:p>
            <w:pPr>
              <w:pStyle w:val="TableParagraph"/>
              <w:spacing w:line="180" w:lineRule="exact" w:before="3"/>
              <w:ind w:right="82"/>
              <w:jc w:val="right"/>
              <w:rPr>
                <w:sz w:val="16"/>
              </w:rPr>
            </w:pPr>
            <w:r>
              <w:rPr>
                <w:spacing w:val="-2"/>
                <w:w w:val="105"/>
                <w:sz w:val="16"/>
              </w:rPr>
              <w:t>(3.7)</w:t>
            </w:r>
          </w:p>
        </w:tc>
      </w:tr>
      <w:tr>
        <w:trPr>
          <w:trHeight w:val="203" w:hRule="atLeast"/>
        </w:trPr>
        <w:tc>
          <w:tcPr>
            <w:tcW w:w="6382" w:type="dxa"/>
            <w:shd w:val="clear" w:color="auto" w:fill="CCEDFF"/>
          </w:tcPr>
          <w:p>
            <w:pPr>
              <w:pStyle w:val="TableParagraph"/>
              <w:spacing w:line="180" w:lineRule="exact" w:before="3"/>
              <w:rPr>
                <w:sz w:val="16"/>
              </w:rPr>
            </w:pPr>
            <w:r>
              <w:rPr>
                <w:w w:val="105"/>
                <w:sz w:val="16"/>
              </w:rPr>
              <w:t>Tax</w:t>
            </w:r>
            <w:r>
              <w:rPr>
                <w:spacing w:val="-6"/>
                <w:w w:val="105"/>
                <w:sz w:val="16"/>
              </w:rPr>
              <w:t> </w:t>
            </w:r>
            <w:r>
              <w:rPr>
                <w:spacing w:val="-2"/>
                <w:w w:val="105"/>
                <w:sz w:val="16"/>
              </w:rPr>
              <w:t>credits</w:t>
            </w:r>
          </w:p>
        </w:tc>
        <w:tc>
          <w:tcPr>
            <w:tcW w:w="2273" w:type="dxa"/>
            <w:shd w:val="clear" w:color="auto" w:fill="CCEDFF"/>
          </w:tcPr>
          <w:p>
            <w:pPr>
              <w:pStyle w:val="TableParagraph"/>
              <w:spacing w:line="180" w:lineRule="exact" w:before="3"/>
              <w:ind w:left="1215"/>
              <w:rPr>
                <w:b/>
                <w:sz w:val="16"/>
              </w:rPr>
            </w:pPr>
            <w:r>
              <w:rPr>
                <w:b/>
                <w:spacing w:val="-2"/>
                <w:w w:val="105"/>
                <w:sz w:val="16"/>
              </w:rPr>
              <w:t>(2.6)</w:t>
            </w:r>
          </w:p>
        </w:tc>
        <w:tc>
          <w:tcPr>
            <w:tcW w:w="1751" w:type="dxa"/>
            <w:shd w:val="clear" w:color="auto" w:fill="CCEDFF"/>
          </w:tcPr>
          <w:p>
            <w:pPr>
              <w:pStyle w:val="TableParagraph"/>
              <w:spacing w:line="180" w:lineRule="exact" w:before="3"/>
              <w:ind w:left="47" w:right="135"/>
              <w:jc w:val="center"/>
              <w:rPr>
                <w:sz w:val="16"/>
              </w:rPr>
            </w:pPr>
            <w:r>
              <w:rPr>
                <w:spacing w:val="-2"/>
                <w:w w:val="105"/>
                <w:sz w:val="16"/>
              </w:rPr>
              <w:t>(29.7)</w:t>
            </w:r>
          </w:p>
        </w:tc>
        <w:tc>
          <w:tcPr>
            <w:tcW w:w="1109" w:type="dxa"/>
            <w:shd w:val="clear" w:color="auto" w:fill="CCEDFF"/>
          </w:tcPr>
          <w:p>
            <w:pPr>
              <w:pStyle w:val="TableParagraph"/>
              <w:spacing w:line="180" w:lineRule="exact" w:before="3"/>
              <w:ind w:right="82"/>
              <w:jc w:val="right"/>
              <w:rPr>
                <w:sz w:val="16"/>
              </w:rPr>
            </w:pPr>
            <w:r>
              <w:rPr>
                <w:spacing w:val="-2"/>
                <w:w w:val="105"/>
                <w:sz w:val="16"/>
              </w:rPr>
              <w:t>(2.8)</w:t>
            </w:r>
          </w:p>
        </w:tc>
      </w:tr>
      <w:tr>
        <w:trPr>
          <w:trHeight w:val="203" w:hRule="atLeast"/>
        </w:trPr>
        <w:tc>
          <w:tcPr>
            <w:tcW w:w="6382" w:type="dxa"/>
          </w:tcPr>
          <w:p>
            <w:pPr>
              <w:pStyle w:val="TableParagraph"/>
              <w:spacing w:line="180" w:lineRule="exact" w:before="3"/>
              <w:rPr>
                <w:sz w:val="16"/>
              </w:rPr>
            </w:pPr>
            <w:r>
              <w:rPr>
                <w:w w:val="105"/>
                <w:sz w:val="16"/>
              </w:rPr>
              <w:t>Stock</w:t>
            </w:r>
            <w:r>
              <w:rPr>
                <w:spacing w:val="-9"/>
                <w:w w:val="105"/>
                <w:sz w:val="16"/>
              </w:rPr>
              <w:t> </w:t>
            </w:r>
            <w:r>
              <w:rPr>
                <w:spacing w:val="-2"/>
                <w:w w:val="105"/>
                <w:sz w:val="16"/>
              </w:rPr>
              <w:t>compensation</w:t>
            </w:r>
          </w:p>
        </w:tc>
        <w:tc>
          <w:tcPr>
            <w:tcW w:w="2273" w:type="dxa"/>
          </w:tcPr>
          <w:p>
            <w:pPr>
              <w:pStyle w:val="TableParagraph"/>
              <w:spacing w:line="180" w:lineRule="exact" w:before="3"/>
              <w:ind w:left="1215"/>
              <w:rPr>
                <w:b/>
                <w:sz w:val="16"/>
              </w:rPr>
            </w:pPr>
            <w:r>
              <w:rPr>
                <w:b/>
                <w:spacing w:val="-2"/>
                <w:w w:val="105"/>
                <w:sz w:val="16"/>
              </w:rPr>
              <w:t>(1.5)</w:t>
            </w:r>
          </w:p>
        </w:tc>
        <w:tc>
          <w:tcPr>
            <w:tcW w:w="1751" w:type="dxa"/>
          </w:tcPr>
          <w:p>
            <w:pPr>
              <w:pStyle w:val="TableParagraph"/>
              <w:spacing w:line="180" w:lineRule="exact" w:before="3"/>
              <w:ind w:left="124" w:right="129"/>
              <w:jc w:val="center"/>
              <w:rPr>
                <w:sz w:val="16"/>
              </w:rPr>
            </w:pPr>
            <w:r>
              <w:rPr>
                <w:spacing w:val="-2"/>
                <w:w w:val="105"/>
                <w:sz w:val="16"/>
              </w:rPr>
              <w:t>(1.7)</w:t>
            </w:r>
          </w:p>
        </w:tc>
        <w:tc>
          <w:tcPr>
            <w:tcW w:w="1109" w:type="dxa"/>
          </w:tcPr>
          <w:p>
            <w:pPr>
              <w:pStyle w:val="TableParagraph"/>
              <w:spacing w:line="180" w:lineRule="exact" w:before="3"/>
              <w:ind w:right="82"/>
              <w:jc w:val="right"/>
              <w:rPr>
                <w:sz w:val="16"/>
              </w:rPr>
            </w:pPr>
            <w:r>
              <w:rPr>
                <w:spacing w:val="-2"/>
                <w:w w:val="105"/>
                <w:sz w:val="16"/>
              </w:rPr>
              <w:t>(0.6)</w:t>
            </w:r>
          </w:p>
        </w:tc>
      </w:tr>
      <w:tr>
        <w:trPr>
          <w:trHeight w:val="203" w:hRule="atLeast"/>
        </w:trPr>
        <w:tc>
          <w:tcPr>
            <w:tcW w:w="6382" w:type="dxa"/>
            <w:shd w:val="clear" w:color="auto" w:fill="CCEDFF"/>
          </w:tcPr>
          <w:p>
            <w:pPr>
              <w:pStyle w:val="TableParagraph"/>
              <w:spacing w:line="180" w:lineRule="exact" w:before="3"/>
              <w:rPr>
                <w:sz w:val="16"/>
              </w:rPr>
            </w:pPr>
            <w:r>
              <w:rPr>
                <w:w w:val="105"/>
                <w:sz w:val="16"/>
              </w:rPr>
              <w:t>Legal</w:t>
            </w:r>
            <w:r>
              <w:rPr>
                <w:spacing w:val="-9"/>
                <w:w w:val="105"/>
                <w:sz w:val="16"/>
              </w:rPr>
              <w:t> </w:t>
            </w:r>
            <w:r>
              <w:rPr>
                <w:w w:val="105"/>
                <w:sz w:val="16"/>
              </w:rPr>
              <w:t>entity</w:t>
            </w:r>
            <w:r>
              <w:rPr>
                <w:spacing w:val="-8"/>
                <w:w w:val="105"/>
                <w:sz w:val="16"/>
              </w:rPr>
              <w:t> </w:t>
            </w:r>
            <w:r>
              <w:rPr>
                <w:spacing w:val="-2"/>
                <w:w w:val="105"/>
                <w:sz w:val="16"/>
              </w:rPr>
              <w:t>rationalization</w:t>
            </w:r>
          </w:p>
        </w:tc>
        <w:tc>
          <w:tcPr>
            <w:tcW w:w="2273" w:type="dxa"/>
            <w:shd w:val="clear" w:color="auto" w:fill="CCEDFF"/>
          </w:tcPr>
          <w:p>
            <w:pPr>
              <w:pStyle w:val="TableParagraph"/>
              <w:rPr>
                <w:sz w:val="14"/>
              </w:rPr>
            </w:pPr>
          </w:p>
        </w:tc>
        <w:tc>
          <w:tcPr>
            <w:tcW w:w="1751" w:type="dxa"/>
            <w:shd w:val="clear" w:color="auto" w:fill="CCEDFF"/>
          </w:tcPr>
          <w:p>
            <w:pPr>
              <w:pStyle w:val="TableParagraph"/>
              <w:spacing w:line="180" w:lineRule="exact" w:before="3"/>
              <w:ind w:left="124" w:right="129"/>
              <w:jc w:val="center"/>
              <w:rPr>
                <w:sz w:val="16"/>
              </w:rPr>
            </w:pPr>
            <w:r>
              <w:rPr>
                <w:spacing w:val="-2"/>
                <w:w w:val="105"/>
                <w:sz w:val="16"/>
              </w:rPr>
              <w:t>(2.2)</w:t>
            </w:r>
          </w:p>
        </w:tc>
        <w:tc>
          <w:tcPr>
            <w:tcW w:w="1109" w:type="dxa"/>
            <w:shd w:val="clear" w:color="auto" w:fill="CCEDFF"/>
          </w:tcPr>
          <w:p>
            <w:pPr>
              <w:pStyle w:val="TableParagraph"/>
              <w:rPr>
                <w:sz w:val="14"/>
              </w:rPr>
            </w:pPr>
          </w:p>
        </w:tc>
      </w:tr>
      <w:tr>
        <w:trPr>
          <w:trHeight w:val="203" w:hRule="atLeast"/>
        </w:trPr>
        <w:tc>
          <w:tcPr>
            <w:tcW w:w="6382" w:type="dxa"/>
          </w:tcPr>
          <w:p>
            <w:pPr>
              <w:pStyle w:val="TableParagraph"/>
              <w:spacing w:line="180" w:lineRule="exact" w:before="3"/>
              <w:rPr>
                <w:sz w:val="16"/>
              </w:rPr>
            </w:pPr>
            <w:r>
              <w:rPr>
                <w:sz w:val="16"/>
              </w:rPr>
              <w:t>Intercompany</w:t>
            </w:r>
            <w:r>
              <w:rPr>
                <w:spacing w:val="18"/>
                <w:sz w:val="16"/>
              </w:rPr>
              <w:t> </w:t>
            </w:r>
            <w:r>
              <w:rPr>
                <w:sz w:val="16"/>
              </w:rPr>
              <w:t>loan</w:t>
            </w:r>
            <w:r>
              <w:rPr>
                <w:spacing w:val="18"/>
                <w:sz w:val="16"/>
              </w:rPr>
              <w:t> </w:t>
            </w:r>
            <w:r>
              <w:rPr>
                <w:spacing w:val="-2"/>
                <w:sz w:val="16"/>
              </w:rPr>
              <w:t>adjustment</w:t>
            </w:r>
          </w:p>
        </w:tc>
        <w:tc>
          <w:tcPr>
            <w:tcW w:w="2273" w:type="dxa"/>
          </w:tcPr>
          <w:p>
            <w:pPr>
              <w:pStyle w:val="TableParagraph"/>
              <w:rPr>
                <w:sz w:val="14"/>
              </w:rPr>
            </w:pPr>
          </w:p>
        </w:tc>
        <w:tc>
          <w:tcPr>
            <w:tcW w:w="1751" w:type="dxa"/>
          </w:tcPr>
          <w:p>
            <w:pPr>
              <w:pStyle w:val="TableParagraph"/>
              <w:spacing w:line="180" w:lineRule="exact" w:before="3"/>
              <w:ind w:left="124" w:right="129"/>
              <w:jc w:val="center"/>
              <w:rPr>
                <w:sz w:val="16"/>
              </w:rPr>
            </w:pPr>
            <w:r>
              <w:rPr>
                <w:spacing w:val="-5"/>
                <w:w w:val="105"/>
                <w:sz w:val="16"/>
              </w:rPr>
              <w:t>6.2</w:t>
            </w:r>
          </w:p>
        </w:tc>
        <w:tc>
          <w:tcPr>
            <w:tcW w:w="1109" w:type="dxa"/>
          </w:tcPr>
          <w:p>
            <w:pPr>
              <w:pStyle w:val="TableParagraph"/>
              <w:spacing w:line="180" w:lineRule="exact" w:before="3"/>
              <w:ind w:right="82"/>
              <w:jc w:val="right"/>
              <w:rPr>
                <w:sz w:val="16"/>
              </w:rPr>
            </w:pPr>
            <w:r>
              <w:rPr>
                <w:spacing w:val="-2"/>
                <w:w w:val="105"/>
                <w:sz w:val="16"/>
              </w:rPr>
              <w:t>(0.5)</w:t>
            </w:r>
          </w:p>
        </w:tc>
      </w:tr>
      <w:tr>
        <w:trPr>
          <w:trHeight w:val="203" w:hRule="atLeast"/>
        </w:trPr>
        <w:tc>
          <w:tcPr>
            <w:tcW w:w="6382" w:type="dxa"/>
            <w:shd w:val="clear" w:color="auto" w:fill="CCEDFF"/>
          </w:tcPr>
          <w:p>
            <w:pPr>
              <w:pStyle w:val="TableParagraph"/>
              <w:spacing w:line="180" w:lineRule="exact" w:before="3"/>
              <w:rPr>
                <w:sz w:val="16"/>
              </w:rPr>
            </w:pPr>
            <w:r>
              <w:rPr>
                <w:sz w:val="16"/>
              </w:rPr>
              <w:t>Non-deductible</w:t>
            </w:r>
            <w:r>
              <w:rPr>
                <w:spacing w:val="30"/>
                <w:sz w:val="16"/>
              </w:rPr>
              <w:t> </w:t>
            </w:r>
            <w:r>
              <w:rPr>
                <w:spacing w:val="-2"/>
                <w:sz w:val="16"/>
              </w:rPr>
              <w:t>expenses</w:t>
            </w:r>
          </w:p>
        </w:tc>
        <w:tc>
          <w:tcPr>
            <w:tcW w:w="2273" w:type="dxa"/>
            <w:shd w:val="clear" w:color="auto" w:fill="CCEDFF"/>
          </w:tcPr>
          <w:p>
            <w:pPr>
              <w:pStyle w:val="TableParagraph"/>
              <w:spacing w:line="180" w:lineRule="exact" w:before="3"/>
              <w:ind w:left="475"/>
              <w:jc w:val="center"/>
              <w:rPr>
                <w:b/>
                <w:sz w:val="16"/>
              </w:rPr>
            </w:pPr>
            <w:r>
              <w:rPr>
                <w:b/>
                <w:spacing w:val="-5"/>
                <w:w w:val="105"/>
                <w:sz w:val="16"/>
              </w:rPr>
              <w:t>1.4</w:t>
            </w:r>
          </w:p>
        </w:tc>
        <w:tc>
          <w:tcPr>
            <w:tcW w:w="1751" w:type="dxa"/>
            <w:shd w:val="clear" w:color="auto" w:fill="CCEDFF"/>
          </w:tcPr>
          <w:p>
            <w:pPr>
              <w:pStyle w:val="TableParagraph"/>
              <w:spacing w:line="180" w:lineRule="exact" w:before="3"/>
              <w:ind w:left="124" w:right="129"/>
              <w:jc w:val="center"/>
              <w:rPr>
                <w:sz w:val="16"/>
              </w:rPr>
            </w:pPr>
            <w:r>
              <w:rPr>
                <w:spacing w:val="-5"/>
                <w:w w:val="105"/>
                <w:sz w:val="16"/>
              </w:rPr>
              <w:t>7.0</w:t>
            </w:r>
          </w:p>
        </w:tc>
        <w:tc>
          <w:tcPr>
            <w:tcW w:w="1109" w:type="dxa"/>
            <w:shd w:val="clear" w:color="auto" w:fill="CCEDFF"/>
          </w:tcPr>
          <w:p>
            <w:pPr>
              <w:pStyle w:val="TableParagraph"/>
              <w:spacing w:line="180" w:lineRule="exact" w:before="3"/>
              <w:ind w:right="137"/>
              <w:jc w:val="right"/>
              <w:rPr>
                <w:sz w:val="16"/>
              </w:rPr>
            </w:pPr>
            <w:r>
              <w:rPr>
                <w:spacing w:val="-5"/>
                <w:w w:val="105"/>
                <w:sz w:val="16"/>
              </w:rPr>
              <w:t>2.1</w:t>
            </w:r>
          </w:p>
        </w:tc>
      </w:tr>
      <w:tr>
        <w:trPr>
          <w:trHeight w:val="202" w:hRule="atLeast"/>
        </w:trPr>
        <w:tc>
          <w:tcPr>
            <w:tcW w:w="6382" w:type="dxa"/>
            <w:tcBorders>
              <w:bottom w:val="single" w:sz="6" w:space="0" w:color="000000"/>
            </w:tcBorders>
          </w:tcPr>
          <w:p>
            <w:pPr>
              <w:pStyle w:val="TableParagraph"/>
              <w:spacing w:line="179" w:lineRule="exact" w:before="3"/>
              <w:rPr>
                <w:sz w:val="16"/>
              </w:rPr>
            </w:pPr>
            <w:r>
              <w:rPr>
                <w:w w:val="105"/>
                <w:sz w:val="16"/>
              </w:rPr>
              <w:t>Other</w:t>
            </w:r>
            <w:r>
              <w:rPr>
                <w:spacing w:val="-9"/>
                <w:w w:val="105"/>
                <w:sz w:val="16"/>
              </w:rPr>
              <w:t> </w:t>
            </w:r>
            <w:r>
              <w:rPr>
                <w:w w:val="105"/>
                <w:sz w:val="16"/>
              </w:rPr>
              <w:t>items,</w:t>
            </w:r>
            <w:r>
              <w:rPr>
                <w:spacing w:val="-9"/>
                <w:w w:val="105"/>
                <w:sz w:val="16"/>
              </w:rPr>
              <w:t> </w:t>
            </w:r>
            <w:r>
              <w:rPr>
                <w:spacing w:val="-5"/>
                <w:w w:val="105"/>
                <w:sz w:val="16"/>
              </w:rPr>
              <w:t>net</w:t>
            </w:r>
          </w:p>
        </w:tc>
        <w:tc>
          <w:tcPr>
            <w:tcW w:w="2273" w:type="dxa"/>
            <w:tcBorders>
              <w:bottom w:val="single" w:sz="6" w:space="0" w:color="000000"/>
            </w:tcBorders>
          </w:tcPr>
          <w:p>
            <w:pPr>
              <w:pStyle w:val="TableParagraph"/>
              <w:spacing w:line="179" w:lineRule="exact" w:before="3"/>
              <w:ind w:left="1215"/>
              <w:rPr>
                <w:b/>
                <w:sz w:val="16"/>
              </w:rPr>
            </w:pPr>
            <w:r>
              <w:rPr>
                <w:b/>
                <w:spacing w:val="-2"/>
                <w:w w:val="105"/>
                <w:sz w:val="16"/>
              </w:rPr>
              <w:t>(0.8)</w:t>
            </w:r>
          </w:p>
        </w:tc>
        <w:tc>
          <w:tcPr>
            <w:tcW w:w="1751" w:type="dxa"/>
            <w:tcBorders>
              <w:bottom w:val="single" w:sz="6" w:space="0" w:color="000000"/>
            </w:tcBorders>
          </w:tcPr>
          <w:p>
            <w:pPr>
              <w:pStyle w:val="TableParagraph"/>
              <w:spacing w:line="179" w:lineRule="exact" w:before="3"/>
              <w:ind w:left="124" w:right="129"/>
              <w:jc w:val="center"/>
              <w:rPr>
                <w:sz w:val="16"/>
              </w:rPr>
            </w:pPr>
            <w:r>
              <w:rPr>
                <w:spacing w:val="-2"/>
                <w:w w:val="105"/>
                <w:sz w:val="16"/>
              </w:rPr>
              <w:t>(0.1)</w:t>
            </w:r>
          </w:p>
        </w:tc>
        <w:tc>
          <w:tcPr>
            <w:tcW w:w="1109" w:type="dxa"/>
            <w:tcBorders>
              <w:bottom w:val="single" w:sz="6" w:space="0" w:color="000000"/>
            </w:tcBorders>
          </w:tcPr>
          <w:p>
            <w:pPr>
              <w:pStyle w:val="TableParagraph"/>
              <w:spacing w:line="179" w:lineRule="exact" w:before="3"/>
              <w:ind w:right="82"/>
              <w:jc w:val="right"/>
              <w:rPr>
                <w:sz w:val="16"/>
              </w:rPr>
            </w:pPr>
            <w:r>
              <w:rPr>
                <w:spacing w:val="-2"/>
                <w:w w:val="105"/>
                <w:sz w:val="16"/>
              </w:rPr>
              <w:t>(1.0)</w:t>
            </w:r>
          </w:p>
        </w:tc>
      </w:tr>
      <w:tr>
        <w:trPr>
          <w:trHeight w:val="199" w:hRule="atLeast"/>
        </w:trPr>
        <w:tc>
          <w:tcPr>
            <w:tcW w:w="6382"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Effective</w:t>
            </w:r>
            <w:r>
              <w:rPr>
                <w:spacing w:val="-10"/>
                <w:w w:val="105"/>
                <w:sz w:val="16"/>
              </w:rPr>
              <w:t> </w:t>
            </w:r>
            <w:r>
              <w:rPr>
                <w:w w:val="105"/>
                <w:sz w:val="16"/>
              </w:rPr>
              <w:t>income</w:t>
            </w:r>
            <w:r>
              <w:rPr>
                <w:spacing w:val="-9"/>
                <w:w w:val="105"/>
                <w:sz w:val="16"/>
              </w:rPr>
              <w:t> </w:t>
            </w:r>
            <w:r>
              <w:rPr>
                <w:w w:val="105"/>
                <w:sz w:val="16"/>
              </w:rPr>
              <w:t>tax</w:t>
            </w:r>
            <w:r>
              <w:rPr>
                <w:spacing w:val="-10"/>
                <w:w w:val="105"/>
                <w:sz w:val="16"/>
              </w:rPr>
              <w:t> </w:t>
            </w:r>
            <w:r>
              <w:rPr>
                <w:spacing w:val="-4"/>
                <w:w w:val="105"/>
                <w:sz w:val="16"/>
              </w:rPr>
              <w:t>rate</w:t>
            </w:r>
          </w:p>
        </w:tc>
        <w:tc>
          <w:tcPr>
            <w:tcW w:w="2273" w:type="dxa"/>
            <w:tcBorders>
              <w:top w:val="single" w:sz="6" w:space="0" w:color="000000"/>
              <w:bottom w:val="double" w:sz="6" w:space="0" w:color="000000"/>
            </w:tcBorders>
            <w:shd w:val="clear" w:color="auto" w:fill="CCEDFF"/>
          </w:tcPr>
          <w:p>
            <w:pPr>
              <w:pStyle w:val="TableParagraph"/>
              <w:spacing w:line="177" w:lineRule="exact" w:before="2"/>
              <w:ind w:left="1187"/>
              <w:rPr>
                <w:b/>
                <w:sz w:val="16"/>
              </w:rPr>
            </w:pPr>
            <w:r>
              <w:rPr>
                <w:b/>
                <w:spacing w:val="-2"/>
                <w:w w:val="105"/>
                <w:sz w:val="16"/>
              </w:rPr>
              <w:t>20.5%</w:t>
            </w:r>
          </w:p>
        </w:tc>
        <w:tc>
          <w:tcPr>
            <w:tcW w:w="1751" w:type="dxa"/>
            <w:tcBorders>
              <w:top w:val="single" w:sz="6" w:space="0" w:color="000000"/>
              <w:bottom w:val="double" w:sz="6" w:space="0" w:color="000000"/>
            </w:tcBorders>
            <w:shd w:val="clear" w:color="auto" w:fill="CCEDFF"/>
          </w:tcPr>
          <w:p>
            <w:pPr>
              <w:pStyle w:val="TableParagraph"/>
              <w:spacing w:line="177" w:lineRule="exact" w:before="2"/>
              <w:ind w:left="176" w:right="129"/>
              <w:jc w:val="center"/>
              <w:rPr>
                <w:sz w:val="16"/>
              </w:rPr>
            </w:pPr>
            <w:r>
              <w:rPr>
                <w:spacing w:val="-2"/>
                <w:w w:val="105"/>
                <w:sz w:val="16"/>
              </w:rPr>
              <w:t>17.8%</w:t>
            </w:r>
          </w:p>
        </w:tc>
        <w:tc>
          <w:tcPr>
            <w:tcW w:w="1109" w:type="dxa"/>
            <w:tcBorders>
              <w:top w:val="single" w:sz="6" w:space="0" w:color="000000"/>
              <w:bottom w:val="double" w:sz="6" w:space="0" w:color="000000"/>
            </w:tcBorders>
            <w:shd w:val="clear" w:color="auto" w:fill="CCEDFF"/>
          </w:tcPr>
          <w:p>
            <w:pPr>
              <w:pStyle w:val="TableParagraph"/>
              <w:spacing w:line="177" w:lineRule="exact" w:before="2"/>
              <w:ind w:right="1"/>
              <w:jc w:val="right"/>
              <w:rPr>
                <w:sz w:val="16"/>
              </w:rPr>
            </w:pPr>
            <w:r>
              <w:rPr>
                <w:spacing w:val="-2"/>
                <w:w w:val="105"/>
                <w:sz w:val="16"/>
              </w:rPr>
              <w:t>21.1%</w:t>
            </w:r>
          </w:p>
        </w:tc>
      </w:tr>
    </w:tbl>
    <w:p>
      <w:pPr>
        <w:pStyle w:val="BodyText"/>
        <w:spacing w:before="39"/>
        <w:rPr>
          <w:sz w:val="14"/>
        </w:rPr>
      </w:pPr>
    </w:p>
    <w:p>
      <w:pPr>
        <w:spacing w:before="0"/>
        <w:ind w:left="156" w:right="0" w:firstLine="0"/>
        <w:jc w:val="left"/>
        <w:rPr>
          <w:sz w:val="14"/>
        </w:rPr>
      </w:pPr>
      <w:r>
        <w:rPr>
          <w:sz w:val="14"/>
        </w:rPr>
        <w:t>(1)</w:t>
      </w:r>
      <w:r>
        <w:rPr>
          <w:spacing w:val="32"/>
          <w:sz w:val="14"/>
        </w:rPr>
        <w:t>  </w:t>
      </w:r>
      <w:r>
        <w:rPr>
          <w:sz w:val="14"/>
        </w:rPr>
        <w:t>Includes</w:t>
      </w:r>
      <w:r>
        <w:rPr>
          <w:spacing w:val="-1"/>
          <w:sz w:val="14"/>
        </w:rPr>
        <w:t> </w:t>
      </w:r>
      <w:r>
        <w:rPr>
          <w:sz w:val="14"/>
        </w:rPr>
        <w:t>impact</w:t>
      </w:r>
      <w:r>
        <w:rPr>
          <w:spacing w:val="-1"/>
          <w:sz w:val="14"/>
        </w:rPr>
        <w:t> </w:t>
      </w:r>
      <w:r>
        <w:rPr>
          <w:sz w:val="14"/>
        </w:rPr>
        <w:t>of</w:t>
      </w:r>
      <w:r>
        <w:rPr>
          <w:spacing w:val="-1"/>
          <w:sz w:val="14"/>
        </w:rPr>
        <w:t> </w:t>
      </w:r>
      <w:r>
        <w:rPr>
          <w:sz w:val="14"/>
        </w:rPr>
        <w:t>intercompany</w:t>
      </w:r>
      <w:r>
        <w:rPr>
          <w:spacing w:val="-1"/>
          <w:sz w:val="14"/>
        </w:rPr>
        <w:t> </w:t>
      </w:r>
      <w:r>
        <w:rPr>
          <w:sz w:val="14"/>
        </w:rPr>
        <w:t>asset </w:t>
      </w:r>
      <w:r>
        <w:rPr>
          <w:spacing w:val="-2"/>
          <w:sz w:val="14"/>
        </w:rPr>
        <w:t>sales.</w:t>
      </w:r>
    </w:p>
    <w:p>
      <w:pPr>
        <w:pStyle w:val="BodyText"/>
        <w:spacing w:before="42"/>
        <w:rPr>
          <w:sz w:val="14"/>
        </w:rPr>
      </w:pPr>
    </w:p>
    <w:p>
      <w:pPr>
        <w:pStyle w:val="BodyText"/>
        <w:spacing w:line="266" w:lineRule="auto"/>
        <w:ind w:left="156"/>
      </w:pPr>
      <w:r>
        <w:rPr>
          <w:w w:val="105"/>
        </w:rPr>
        <w:t>On</w:t>
      </w:r>
      <w:r>
        <w:rPr>
          <w:spacing w:val="-7"/>
          <w:w w:val="105"/>
        </w:rPr>
        <w:t> </w:t>
      </w:r>
      <w:r>
        <w:rPr>
          <w:w w:val="105"/>
        </w:rPr>
        <w:t>September</w:t>
      </w:r>
      <w:r>
        <w:rPr>
          <w:spacing w:val="-7"/>
          <w:w w:val="105"/>
        </w:rPr>
        <w:t> </w:t>
      </w:r>
      <w:r>
        <w:rPr>
          <w:w w:val="105"/>
        </w:rPr>
        <w:t>9,</w:t>
      </w:r>
      <w:r>
        <w:rPr>
          <w:spacing w:val="-7"/>
          <w:w w:val="105"/>
        </w:rPr>
        <w:t> </w:t>
      </w:r>
      <w:r>
        <w:rPr>
          <w:w w:val="105"/>
        </w:rPr>
        <w:t>2020,</w:t>
      </w:r>
      <w:r>
        <w:rPr>
          <w:spacing w:val="-6"/>
          <w:w w:val="105"/>
        </w:rPr>
        <w:t> </w:t>
      </w:r>
      <w:r>
        <w:rPr>
          <w:w w:val="105"/>
        </w:rPr>
        <w:t>Corning</w:t>
      </w:r>
      <w:r>
        <w:rPr>
          <w:spacing w:val="-7"/>
          <w:w w:val="105"/>
        </w:rPr>
        <w:t> </w:t>
      </w:r>
      <w:r>
        <w:rPr>
          <w:w w:val="105"/>
        </w:rPr>
        <w:t>obtained</w:t>
      </w:r>
      <w:r>
        <w:rPr>
          <w:spacing w:val="-7"/>
          <w:w w:val="105"/>
        </w:rPr>
        <w:t> </w:t>
      </w:r>
      <w:r>
        <w:rPr>
          <w:w w:val="105"/>
        </w:rPr>
        <w:t>a</w:t>
      </w:r>
      <w:r>
        <w:rPr>
          <w:spacing w:val="-7"/>
          <w:w w:val="105"/>
        </w:rPr>
        <w:t> </w:t>
      </w:r>
      <w:r>
        <w:rPr>
          <w:w w:val="105"/>
        </w:rPr>
        <w:t>100%</w:t>
      </w:r>
      <w:r>
        <w:rPr>
          <w:spacing w:val="-7"/>
          <w:w w:val="105"/>
        </w:rPr>
        <w:t> </w:t>
      </w:r>
      <w:r>
        <w:rPr>
          <w:w w:val="105"/>
        </w:rPr>
        <w:t>controlling</w:t>
      </w:r>
      <w:r>
        <w:rPr>
          <w:spacing w:val="-7"/>
          <w:w w:val="105"/>
        </w:rPr>
        <w:t> </w:t>
      </w:r>
      <w:r>
        <w:rPr>
          <w:w w:val="105"/>
        </w:rPr>
        <w:t>interest</w:t>
      </w:r>
      <w:r>
        <w:rPr>
          <w:spacing w:val="-7"/>
          <w:w w:val="105"/>
        </w:rPr>
        <w:t> </w:t>
      </w:r>
      <w:r>
        <w:rPr>
          <w:w w:val="105"/>
        </w:rPr>
        <w:t>in</w:t>
      </w:r>
      <w:r>
        <w:rPr>
          <w:spacing w:val="-7"/>
          <w:w w:val="105"/>
        </w:rPr>
        <w:t> </w:t>
      </w:r>
      <w:r>
        <w:rPr>
          <w:w w:val="105"/>
        </w:rPr>
        <w:t>HS</w:t>
      </w:r>
      <w:r>
        <w:rPr>
          <w:spacing w:val="-7"/>
          <w:w w:val="105"/>
        </w:rPr>
        <w:t> </w:t>
      </w:r>
      <w:r>
        <w:rPr>
          <w:w w:val="105"/>
        </w:rPr>
        <w:t>LLC</w:t>
      </w:r>
      <w:r>
        <w:rPr>
          <w:spacing w:val="-7"/>
          <w:w w:val="105"/>
        </w:rPr>
        <w:t> </w:t>
      </w:r>
      <w:r>
        <w:rPr>
          <w:w w:val="105"/>
        </w:rPr>
        <w:t>and</w:t>
      </w:r>
      <w:r>
        <w:rPr>
          <w:spacing w:val="-7"/>
          <w:w w:val="105"/>
        </w:rPr>
        <w:t> </w:t>
      </w:r>
      <w:r>
        <w:rPr>
          <w:w w:val="105"/>
        </w:rPr>
        <w:t>an</w:t>
      </w:r>
      <w:r>
        <w:rPr>
          <w:spacing w:val="-7"/>
          <w:w w:val="105"/>
        </w:rPr>
        <w:t> </w:t>
      </w:r>
      <w:r>
        <w:rPr>
          <w:w w:val="105"/>
        </w:rPr>
        <w:t>80.5%</w:t>
      </w:r>
      <w:r>
        <w:rPr>
          <w:spacing w:val="-7"/>
          <w:w w:val="105"/>
        </w:rPr>
        <w:t> </w:t>
      </w:r>
      <w:r>
        <w:rPr>
          <w:w w:val="105"/>
        </w:rPr>
        <w:t>controlling</w:t>
      </w:r>
      <w:r>
        <w:rPr>
          <w:spacing w:val="-7"/>
          <w:w w:val="105"/>
        </w:rPr>
        <w:t> </w:t>
      </w:r>
      <w:r>
        <w:rPr>
          <w:w w:val="105"/>
        </w:rPr>
        <w:t>interest</w:t>
      </w:r>
      <w:r>
        <w:rPr>
          <w:spacing w:val="-7"/>
          <w:w w:val="105"/>
        </w:rPr>
        <w:t> </w:t>
      </w:r>
      <w:r>
        <w:rPr>
          <w:w w:val="105"/>
        </w:rPr>
        <w:t>in</w:t>
      </w:r>
      <w:r>
        <w:rPr>
          <w:spacing w:val="-7"/>
          <w:w w:val="105"/>
        </w:rPr>
        <w:t> </w:t>
      </w:r>
      <w:r>
        <w:rPr>
          <w:w w:val="105"/>
        </w:rPr>
        <w:t>HSO</w:t>
      </w:r>
      <w:r>
        <w:rPr>
          <w:spacing w:val="-7"/>
          <w:w w:val="105"/>
        </w:rPr>
        <w:t> </w:t>
      </w:r>
      <w:r>
        <w:rPr>
          <w:w w:val="105"/>
        </w:rPr>
        <w:t>LLC.</w:t>
      </w:r>
      <w:r>
        <w:rPr>
          <w:spacing w:val="-7"/>
          <w:w w:val="105"/>
        </w:rPr>
        <w:t> </w:t>
      </w:r>
      <w:r>
        <w:rPr>
          <w:w w:val="105"/>
        </w:rPr>
        <w:t>As</w:t>
      </w:r>
      <w:r>
        <w:rPr>
          <w:spacing w:val="-7"/>
          <w:w w:val="105"/>
        </w:rPr>
        <w:t> </w:t>
      </w:r>
      <w:r>
        <w:rPr>
          <w:w w:val="105"/>
        </w:rPr>
        <w:t>a</w:t>
      </w:r>
      <w:r>
        <w:rPr>
          <w:spacing w:val="-7"/>
          <w:w w:val="105"/>
        </w:rPr>
        <w:t> </w:t>
      </w:r>
      <w:r>
        <w:rPr>
          <w:w w:val="105"/>
        </w:rPr>
        <w:t>result,</w:t>
      </w:r>
      <w:r>
        <w:rPr>
          <w:spacing w:val="-7"/>
          <w:w w:val="105"/>
        </w:rPr>
        <w:t> </w:t>
      </w:r>
      <w:r>
        <w:rPr>
          <w:w w:val="105"/>
        </w:rPr>
        <w:t>the</w:t>
      </w:r>
      <w:r>
        <w:rPr>
          <w:spacing w:val="-7"/>
          <w:w w:val="105"/>
        </w:rPr>
        <w:t> </w:t>
      </w:r>
      <w:r>
        <w:rPr>
          <w:w w:val="105"/>
        </w:rPr>
        <w:t>deferred</w:t>
      </w:r>
      <w:r>
        <w:rPr>
          <w:spacing w:val="-7"/>
          <w:w w:val="105"/>
        </w:rPr>
        <w:t> </w:t>
      </w:r>
      <w:r>
        <w:rPr>
          <w:w w:val="105"/>
        </w:rPr>
        <w:t>tax</w:t>
      </w:r>
      <w:r>
        <w:rPr>
          <w:spacing w:val="-7"/>
          <w:w w:val="105"/>
        </w:rPr>
        <w:t> </w:t>
      </w:r>
      <w:r>
        <w:rPr>
          <w:w w:val="105"/>
        </w:rPr>
        <w:t>liability</w:t>
      </w:r>
      <w:r>
        <w:rPr>
          <w:spacing w:val="-7"/>
          <w:w w:val="105"/>
        </w:rPr>
        <w:t> </w:t>
      </w:r>
      <w:r>
        <w:rPr>
          <w:w w:val="105"/>
        </w:rPr>
        <w:t>on</w:t>
      </w:r>
      <w:r>
        <w:rPr>
          <w:spacing w:val="-7"/>
          <w:w w:val="105"/>
        </w:rPr>
        <w:t> </w:t>
      </w:r>
      <w:r>
        <w:rPr>
          <w:w w:val="105"/>
        </w:rPr>
        <w:t>the outside</w:t>
      </w:r>
      <w:r>
        <w:rPr>
          <w:spacing w:val="-2"/>
          <w:w w:val="105"/>
        </w:rPr>
        <w:t> </w:t>
      </w:r>
      <w:r>
        <w:rPr>
          <w:w w:val="105"/>
        </w:rPr>
        <w:t>basis</w:t>
      </w:r>
      <w:r>
        <w:rPr>
          <w:spacing w:val="-2"/>
          <w:w w:val="105"/>
        </w:rPr>
        <w:t> </w:t>
      </w:r>
      <w:r>
        <w:rPr>
          <w:w w:val="105"/>
        </w:rPr>
        <w:t>difference</w:t>
      </w:r>
      <w:r>
        <w:rPr>
          <w:spacing w:val="-2"/>
          <w:w w:val="105"/>
        </w:rPr>
        <w:t> </w:t>
      </w:r>
      <w:r>
        <w:rPr>
          <w:w w:val="105"/>
        </w:rPr>
        <w:t>between</w:t>
      </w:r>
      <w:r>
        <w:rPr>
          <w:spacing w:val="-2"/>
          <w:w w:val="105"/>
        </w:rPr>
        <w:t> </w:t>
      </w:r>
      <w:r>
        <w:rPr>
          <w:w w:val="105"/>
        </w:rPr>
        <w:t>book</w:t>
      </w:r>
      <w:r>
        <w:rPr>
          <w:spacing w:val="-2"/>
          <w:w w:val="105"/>
        </w:rPr>
        <w:t> </w:t>
      </w:r>
      <w:r>
        <w:rPr>
          <w:w w:val="105"/>
        </w:rPr>
        <w:t>and</w:t>
      </w:r>
      <w:r>
        <w:rPr>
          <w:spacing w:val="-2"/>
          <w:w w:val="105"/>
        </w:rPr>
        <w:t> </w:t>
      </w:r>
      <w:r>
        <w:rPr>
          <w:w w:val="105"/>
        </w:rPr>
        <w:t>tax</w:t>
      </w:r>
      <w:r>
        <w:rPr>
          <w:spacing w:val="-2"/>
          <w:w w:val="105"/>
        </w:rPr>
        <w:t> </w:t>
      </w:r>
      <w:r>
        <w:rPr>
          <w:w w:val="105"/>
        </w:rPr>
        <w:t>basis</w:t>
      </w:r>
      <w:r>
        <w:rPr>
          <w:spacing w:val="-2"/>
          <w:w w:val="105"/>
        </w:rPr>
        <w:t> </w:t>
      </w:r>
      <w:r>
        <w:rPr>
          <w:w w:val="105"/>
        </w:rPr>
        <w:t>for</w:t>
      </w:r>
      <w:r>
        <w:rPr>
          <w:spacing w:val="-2"/>
          <w:w w:val="105"/>
        </w:rPr>
        <w:t> </w:t>
      </w:r>
      <w:r>
        <w:rPr>
          <w:w w:val="105"/>
        </w:rPr>
        <w:t>Corning’s investment</w:t>
      </w:r>
      <w:r>
        <w:rPr>
          <w:spacing w:val="-2"/>
          <w:w w:val="105"/>
        </w:rPr>
        <w:t> </w:t>
      </w:r>
      <w:r>
        <w:rPr>
          <w:w w:val="105"/>
        </w:rPr>
        <w:t>in</w:t>
      </w:r>
      <w:r>
        <w:rPr>
          <w:spacing w:val="-2"/>
          <w:w w:val="105"/>
        </w:rPr>
        <w:t> </w:t>
      </w:r>
      <w:r>
        <w:rPr>
          <w:w w:val="105"/>
        </w:rPr>
        <w:t>HS</w:t>
      </w:r>
      <w:r>
        <w:rPr>
          <w:spacing w:val="-2"/>
          <w:w w:val="105"/>
        </w:rPr>
        <w:t> </w:t>
      </w:r>
      <w:r>
        <w:rPr>
          <w:w w:val="105"/>
        </w:rPr>
        <w:t>LLC</w:t>
      </w:r>
      <w:r>
        <w:rPr>
          <w:spacing w:val="-2"/>
          <w:w w:val="105"/>
        </w:rPr>
        <w:t> </w:t>
      </w:r>
      <w:r>
        <w:rPr>
          <w:w w:val="105"/>
        </w:rPr>
        <w:t>and</w:t>
      </w:r>
      <w:r>
        <w:rPr>
          <w:spacing w:val="-2"/>
          <w:w w:val="105"/>
        </w:rPr>
        <w:t> </w:t>
      </w:r>
      <w:r>
        <w:rPr>
          <w:w w:val="105"/>
        </w:rPr>
        <w:t>HSO</w:t>
      </w:r>
      <w:r>
        <w:rPr>
          <w:spacing w:val="-2"/>
          <w:w w:val="105"/>
        </w:rPr>
        <w:t> </w:t>
      </w:r>
      <w:r>
        <w:rPr>
          <w:w w:val="105"/>
        </w:rPr>
        <w:t>LLC</w:t>
      </w:r>
      <w:r>
        <w:rPr>
          <w:spacing w:val="-2"/>
          <w:w w:val="105"/>
        </w:rPr>
        <w:t> </w:t>
      </w:r>
      <w:r>
        <w:rPr>
          <w:w w:val="105"/>
        </w:rPr>
        <w:t>was</w:t>
      </w:r>
      <w:r>
        <w:rPr>
          <w:spacing w:val="-2"/>
          <w:w w:val="105"/>
        </w:rPr>
        <w:t> </w:t>
      </w:r>
      <w:r>
        <w:rPr>
          <w:w w:val="105"/>
        </w:rPr>
        <w:t>adjusted</w:t>
      </w:r>
      <w:r>
        <w:rPr>
          <w:spacing w:val="-2"/>
          <w:w w:val="105"/>
        </w:rPr>
        <w:t> </w:t>
      </w:r>
      <w:r>
        <w:rPr>
          <w:w w:val="105"/>
        </w:rPr>
        <w:t>by</w:t>
      </w:r>
      <w:r>
        <w:rPr>
          <w:spacing w:val="-2"/>
          <w:w w:val="105"/>
        </w:rPr>
        <w:t> </w:t>
      </w:r>
      <w:r>
        <w:rPr>
          <w:w w:val="105"/>
        </w:rPr>
        <w:t>approximately</w:t>
      </w:r>
      <w:r>
        <w:rPr>
          <w:spacing w:val="-2"/>
          <w:w w:val="105"/>
        </w:rPr>
        <w:t> </w:t>
      </w:r>
      <w:r>
        <w:rPr>
          <w:w w:val="105"/>
        </w:rPr>
        <w:t>$116 million.</w:t>
      </w:r>
    </w:p>
    <w:p>
      <w:pPr>
        <w:pStyle w:val="BodyText"/>
        <w:spacing w:before="19"/>
      </w:pPr>
    </w:p>
    <w:p>
      <w:pPr>
        <w:pStyle w:val="BodyText"/>
        <w:ind w:left="156"/>
      </w:pPr>
      <w:r>
        <w:rPr>
          <w:spacing w:val="-2"/>
          <w:w w:val="105"/>
        </w:rPr>
        <w:t>Refer</w:t>
      </w:r>
      <w:r>
        <w:rPr>
          <w:spacing w:val="1"/>
          <w:w w:val="105"/>
        </w:rPr>
        <w:t> </w:t>
      </w:r>
      <w:r>
        <w:rPr>
          <w:spacing w:val="-2"/>
          <w:w w:val="105"/>
        </w:rPr>
        <w:t>to</w:t>
      </w:r>
      <w:r>
        <w:rPr>
          <w:spacing w:val="2"/>
          <w:w w:val="105"/>
        </w:rPr>
        <w:t> </w:t>
      </w:r>
      <w:r>
        <w:rPr>
          <w:spacing w:val="-2"/>
          <w:w w:val="105"/>
        </w:rPr>
        <w:t>Note</w:t>
      </w:r>
      <w:r>
        <w:rPr>
          <w:spacing w:val="3"/>
          <w:w w:val="105"/>
        </w:rPr>
        <w:t> </w:t>
      </w:r>
      <w:r>
        <w:rPr>
          <w:spacing w:val="-2"/>
          <w:w w:val="105"/>
        </w:rPr>
        <w:t>4</w:t>
      </w:r>
      <w:r>
        <w:rPr>
          <w:spacing w:val="2"/>
          <w:w w:val="105"/>
        </w:rPr>
        <w:t> </w:t>
      </w:r>
      <w:r>
        <w:rPr>
          <w:spacing w:val="-2"/>
          <w:w w:val="105"/>
        </w:rPr>
        <w:t>(HSG</w:t>
      </w:r>
      <w:r>
        <w:rPr>
          <w:spacing w:val="2"/>
          <w:w w:val="105"/>
        </w:rPr>
        <w:t> </w:t>
      </w:r>
      <w:r>
        <w:rPr>
          <w:spacing w:val="-2"/>
          <w:w w:val="105"/>
        </w:rPr>
        <w:t>Transactions</w:t>
      </w:r>
      <w:r>
        <w:rPr>
          <w:spacing w:val="1"/>
          <w:w w:val="105"/>
        </w:rPr>
        <w:t> </w:t>
      </w:r>
      <w:r>
        <w:rPr>
          <w:spacing w:val="-2"/>
          <w:w w:val="105"/>
        </w:rPr>
        <w:t>and</w:t>
      </w:r>
      <w:r>
        <w:rPr>
          <w:spacing w:val="2"/>
          <w:w w:val="105"/>
        </w:rPr>
        <w:t> </w:t>
      </w:r>
      <w:r>
        <w:rPr>
          <w:spacing w:val="-2"/>
          <w:w w:val="105"/>
        </w:rPr>
        <w:t>Acquisitions)</w:t>
      </w:r>
      <w:r>
        <w:rPr>
          <w:spacing w:val="2"/>
          <w:w w:val="105"/>
        </w:rPr>
        <w:t> </w:t>
      </w:r>
      <w:r>
        <w:rPr>
          <w:spacing w:val="-2"/>
          <w:w w:val="105"/>
        </w:rPr>
        <w:t>to</w:t>
      </w:r>
      <w:r>
        <w:rPr>
          <w:spacing w:val="2"/>
          <w:w w:val="105"/>
        </w:rPr>
        <w:t> </w:t>
      </w:r>
      <w:r>
        <w:rPr>
          <w:spacing w:val="-2"/>
          <w:w w:val="105"/>
        </w:rPr>
        <w:t>the</w:t>
      </w:r>
      <w:r>
        <w:rPr>
          <w:spacing w:val="2"/>
          <w:w w:val="105"/>
        </w:rPr>
        <w:t> </w:t>
      </w:r>
      <w:r>
        <w:rPr>
          <w:spacing w:val="-2"/>
          <w:w w:val="105"/>
        </w:rPr>
        <w:t>consolidated</w:t>
      </w:r>
      <w:r>
        <w:rPr>
          <w:spacing w:val="1"/>
          <w:w w:val="105"/>
        </w:rPr>
        <w:t> </w:t>
      </w:r>
      <w:r>
        <w:rPr>
          <w:spacing w:val="-2"/>
          <w:w w:val="105"/>
        </w:rPr>
        <w:t>financial</w:t>
      </w:r>
      <w:r>
        <w:rPr>
          <w:spacing w:val="2"/>
          <w:w w:val="105"/>
        </w:rPr>
        <w:t> </w:t>
      </w:r>
      <w:r>
        <w:rPr>
          <w:spacing w:val="-2"/>
          <w:w w:val="105"/>
        </w:rPr>
        <w:t>statements</w:t>
      </w:r>
      <w:r>
        <w:rPr>
          <w:spacing w:val="2"/>
          <w:w w:val="105"/>
        </w:rPr>
        <w:t> </w:t>
      </w:r>
      <w:r>
        <w:rPr>
          <w:spacing w:val="-2"/>
          <w:w w:val="105"/>
        </w:rPr>
        <w:t>for</w:t>
      </w:r>
      <w:r>
        <w:rPr>
          <w:spacing w:val="2"/>
          <w:w w:val="105"/>
        </w:rPr>
        <w:t> </w:t>
      </w:r>
      <w:r>
        <w:rPr>
          <w:spacing w:val="-2"/>
          <w:w w:val="105"/>
        </w:rPr>
        <w:t>additional</w:t>
      </w:r>
      <w:r>
        <w:rPr>
          <w:spacing w:val="2"/>
          <w:w w:val="105"/>
        </w:rPr>
        <w:t> </w:t>
      </w:r>
      <w:r>
        <w:rPr>
          <w:spacing w:val="-2"/>
          <w:w w:val="105"/>
        </w:rPr>
        <w:t>information.</w:t>
      </w:r>
    </w:p>
    <w:p>
      <w:pPr>
        <w:pStyle w:val="BodyText"/>
      </w:pPr>
    </w:p>
    <w:p>
      <w:pPr>
        <w:pStyle w:val="BodyText"/>
      </w:pPr>
    </w:p>
    <w:p>
      <w:pPr>
        <w:pStyle w:val="BodyText"/>
        <w:spacing w:before="79"/>
      </w:pPr>
    </w:p>
    <w:p>
      <w:pPr>
        <w:pStyle w:val="BodyText"/>
        <w:ind w:left="48"/>
        <w:jc w:val="center"/>
      </w:pPr>
      <w:r>
        <w:rPr>
          <w:spacing w:val="-5"/>
          <w:w w:val="105"/>
        </w:rPr>
        <w:t>86</w:t>
      </w:r>
    </w:p>
    <w:p>
      <w:pPr>
        <w:pStyle w:val="BodyText"/>
        <w:rPr>
          <w:sz w:val="6"/>
        </w:rPr>
      </w:pPr>
      <w:r>
        <w:rPr/>
        <mc:AlternateContent>
          <mc:Choice Requires="wps">
            <w:drawing>
              <wp:anchor distT="0" distB="0" distL="0" distR="0" allowOverlap="1" layoutInCell="1" locked="0" behindDoc="1" simplePos="0" relativeHeight="487685632">
                <wp:simplePos x="0" y="0"/>
                <wp:positionH relativeFrom="page">
                  <wp:posOffset>226488</wp:posOffset>
                </wp:positionH>
                <wp:positionV relativeFrom="paragraph">
                  <wp:posOffset>59051</wp:posOffset>
                </wp:positionV>
                <wp:extent cx="7312659" cy="16510"/>
                <wp:effectExtent l="0" t="0" r="0" b="0"/>
                <wp:wrapTopAndBottom/>
                <wp:docPr id="386" name="Graphic 386"/>
                <wp:cNvGraphicFramePr>
                  <a:graphicFrameLocks/>
                </wp:cNvGraphicFramePr>
                <a:graphic>
                  <a:graphicData uri="http://schemas.microsoft.com/office/word/2010/wordprocessingShape">
                    <wps:wsp>
                      <wps:cNvPr id="386" name="Graphic 386"/>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30848;mso-wrap-distance-left:0;mso-wrap-distance-right:0" id="docshape385"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r>
        <w:rPr/>
        <mc:AlternateContent>
          <mc:Choice Requires="wps">
            <w:drawing>
              <wp:anchor distT="0" distB="0" distL="0" distR="0" allowOverlap="1" layoutInCell="1" locked="0" behindDoc="0" simplePos="0" relativeHeight="15827456">
                <wp:simplePos x="0" y="0"/>
                <wp:positionH relativeFrom="page">
                  <wp:posOffset>188388</wp:posOffset>
                </wp:positionH>
                <wp:positionV relativeFrom="page">
                  <wp:posOffset>5265742</wp:posOffset>
                </wp:positionV>
                <wp:extent cx="7388859" cy="2512695"/>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7388859" cy="25126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5"/>
                              <w:gridCol w:w="1410"/>
                              <w:gridCol w:w="710"/>
                              <w:gridCol w:w="327"/>
                              <w:gridCol w:w="175"/>
                              <w:gridCol w:w="1235"/>
                              <w:gridCol w:w="273"/>
                              <w:gridCol w:w="850"/>
                              <w:gridCol w:w="309"/>
                              <w:gridCol w:w="1414"/>
                              <w:gridCol w:w="156"/>
                              <w:gridCol w:w="823"/>
                              <w:gridCol w:w="377"/>
                            </w:tblGrid>
                            <w:tr>
                              <w:trPr>
                                <w:trHeight w:val="201" w:hRule="atLeast"/>
                              </w:trPr>
                              <w:tc>
                                <w:tcPr>
                                  <w:tcW w:w="4865" w:type="dxa"/>
                                  <w:gridSpan w:val="2"/>
                                  <w:tcBorders>
                                    <w:bottom w:val="single" w:sz="6" w:space="0" w:color="000000"/>
                                  </w:tcBorders>
                                </w:tcPr>
                                <w:p>
                                  <w:pPr>
                                    <w:pStyle w:val="TableParagraph"/>
                                    <w:rPr>
                                      <w:sz w:val="14"/>
                                    </w:rPr>
                                  </w:pPr>
                                </w:p>
                              </w:tc>
                              <w:tc>
                                <w:tcPr>
                                  <w:tcW w:w="710" w:type="dxa"/>
                                  <w:tcBorders>
                                    <w:bottom w:val="single" w:sz="6" w:space="0" w:color="000000"/>
                                  </w:tcBorders>
                                </w:tcPr>
                                <w:p>
                                  <w:pPr>
                                    <w:pStyle w:val="TableParagraph"/>
                                    <w:spacing w:line="179" w:lineRule="exact" w:before="2"/>
                                    <w:ind w:left="106"/>
                                    <w:rPr>
                                      <w:b/>
                                      <w:sz w:val="16"/>
                                    </w:rPr>
                                  </w:pPr>
                                  <w:r>
                                    <w:rPr>
                                      <w:b/>
                                      <w:spacing w:val="-2"/>
                                      <w:w w:val="105"/>
                                      <w:sz w:val="16"/>
                                    </w:rPr>
                                    <w:t>Amount</w:t>
                                  </w:r>
                                </w:p>
                              </w:tc>
                              <w:tc>
                                <w:tcPr>
                                  <w:tcW w:w="502" w:type="dxa"/>
                                  <w:gridSpan w:val="2"/>
                                  <w:tcBorders>
                                    <w:bottom w:val="single" w:sz="6" w:space="0" w:color="000000"/>
                                  </w:tcBorders>
                                </w:tcPr>
                                <w:p>
                                  <w:pPr>
                                    <w:pStyle w:val="TableParagraph"/>
                                    <w:rPr>
                                      <w:sz w:val="14"/>
                                    </w:rPr>
                                  </w:pPr>
                                </w:p>
                              </w:tc>
                              <w:tc>
                                <w:tcPr>
                                  <w:tcW w:w="1235" w:type="dxa"/>
                                  <w:tcBorders>
                                    <w:top w:val="single" w:sz="6" w:space="0" w:color="000000"/>
                                    <w:bottom w:val="single" w:sz="6" w:space="0" w:color="000000"/>
                                  </w:tcBorders>
                                </w:tcPr>
                                <w:p>
                                  <w:pPr>
                                    <w:pStyle w:val="TableParagraph"/>
                                    <w:spacing w:line="179" w:lineRule="exact" w:before="2"/>
                                    <w:ind w:left="-1" w:right="87"/>
                                    <w:jc w:val="right"/>
                                    <w:rPr>
                                      <w:sz w:val="16"/>
                                    </w:rPr>
                                  </w:pPr>
                                  <w:r>
                                    <w:rPr>
                                      <w:sz w:val="16"/>
                                    </w:rPr>
                                    <w:t>2022-</w:t>
                                  </w:r>
                                  <w:r>
                                    <w:rPr>
                                      <w:spacing w:val="-4"/>
                                      <w:sz w:val="16"/>
                                    </w:rPr>
                                    <w:t>2026</w:t>
                                  </w:r>
                                </w:p>
                              </w:tc>
                              <w:tc>
                                <w:tcPr>
                                  <w:tcW w:w="1432" w:type="dxa"/>
                                  <w:gridSpan w:val="3"/>
                                  <w:tcBorders>
                                    <w:top w:val="single" w:sz="6" w:space="0" w:color="000000"/>
                                    <w:bottom w:val="single" w:sz="6" w:space="0" w:color="000000"/>
                                  </w:tcBorders>
                                </w:tcPr>
                                <w:p>
                                  <w:pPr>
                                    <w:pStyle w:val="TableParagraph"/>
                                    <w:spacing w:line="179" w:lineRule="exact" w:before="2"/>
                                    <w:ind w:left="568"/>
                                    <w:rPr>
                                      <w:sz w:val="16"/>
                                    </w:rPr>
                                  </w:pPr>
                                  <w:r>
                                    <w:rPr>
                                      <w:sz w:val="16"/>
                                    </w:rPr>
                                    <w:t>2027-</w:t>
                                  </w:r>
                                  <w:r>
                                    <w:rPr>
                                      <w:spacing w:val="-4"/>
                                      <w:sz w:val="16"/>
                                    </w:rPr>
                                    <w:t>2031</w:t>
                                  </w:r>
                                </w:p>
                              </w:tc>
                              <w:tc>
                                <w:tcPr>
                                  <w:tcW w:w="1414" w:type="dxa"/>
                                  <w:tcBorders>
                                    <w:top w:val="single" w:sz="6" w:space="0" w:color="000000"/>
                                    <w:bottom w:val="single" w:sz="6" w:space="0" w:color="000000"/>
                                  </w:tcBorders>
                                </w:tcPr>
                                <w:p>
                                  <w:pPr>
                                    <w:pStyle w:val="TableParagraph"/>
                                    <w:spacing w:line="179" w:lineRule="exact" w:before="2"/>
                                    <w:ind w:left="512"/>
                                    <w:rPr>
                                      <w:sz w:val="16"/>
                                    </w:rPr>
                                  </w:pPr>
                                  <w:r>
                                    <w:rPr>
                                      <w:sz w:val="16"/>
                                    </w:rPr>
                                    <w:t>2032-</w:t>
                                  </w:r>
                                  <w:r>
                                    <w:rPr>
                                      <w:spacing w:val="-4"/>
                                      <w:sz w:val="16"/>
                                    </w:rPr>
                                    <w:t>2041</w:t>
                                  </w:r>
                                </w:p>
                              </w:tc>
                              <w:tc>
                                <w:tcPr>
                                  <w:tcW w:w="156" w:type="dxa"/>
                                  <w:tcBorders>
                                    <w:top w:val="single" w:sz="6" w:space="0" w:color="000000"/>
                                    <w:bottom w:val="single" w:sz="6" w:space="0" w:color="000000"/>
                                  </w:tcBorders>
                                </w:tcPr>
                                <w:p>
                                  <w:pPr>
                                    <w:pStyle w:val="TableParagraph"/>
                                    <w:rPr>
                                      <w:sz w:val="14"/>
                                    </w:rPr>
                                  </w:pPr>
                                </w:p>
                              </w:tc>
                              <w:tc>
                                <w:tcPr>
                                  <w:tcW w:w="823" w:type="dxa"/>
                                  <w:tcBorders>
                                    <w:top w:val="single" w:sz="6" w:space="0" w:color="000000"/>
                                    <w:bottom w:val="single" w:sz="6" w:space="0" w:color="000000"/>
                                  </w:tcBorders>
                                </w:tcPr>
                                <w:p>
                                  <w:pPr>
                                    <w:pStyle w:val="TableParagraph"/>
                                    <w:spacing w:line="179" w:lineRule="exact" w:before="2"/>
                                    <w:ind w:left="165"/>
                                    <w:rPr>
                                      <w:sz w:val="16"/>
                                    </w:rPr>
                                  </w:pPr>
                                  <w:r>
                                    <w:rPr>
                                      <w:spacing w:val="-2"/>
                                      <w:w w:val="105"/>
                                      <w:sz w:val="16"/>
                                    </w:rPr>
                                    <w:t>Indefinite</w:t>
                                  </w:r>
                                </w:p>
                              </w:tc>
                              <w:tc>
                                <w:tcPr>
                                  <w:tcW w:w="377" w:type="dxa"/>
                                  <w:tcBorders>
                                    <w:top w:val="single" w:sz="6" w:space="0" w:color="000000"/>
                                    <w:bottom w:val="single" w:sz="6" w:space="0" w:color="000000"/>
                                  </w:tcBorders>
                                </w:tcPr>
                                <w:p>
                                  <w:pPr>
                                    <w:pStyle w:val="TableParagraph"/>
                                    <w:rPr>
                                      <w:sz w:val="14"/>
                                    </w:rPr>
                                  </w:pPr>
                                </w:p>
                              </w:tc>
                            </w:tr>
                            <w:tr>
                              <w:trPr>
                                <w:trHeight w:val="202" w:hRule="atLeast"/>
                              </w:trPr>
                              <w:tc>
                                <w:tcPr>
                                  <w:tcW w:w="3455" w:type="dxa"/>
                                  <w:tcBorders>
                                    <w:top w:val="single" w:sz="6" w:space="0" w:color="000000"/>
                                  </w:tcBorders>
                                  <w:shd w:val="clear" w:color="auto" w:fill="CCEDFF"/>
                                </w:tcPr>
                                <w:p>
                                  <w:pPr>
                                    <w:pStyle w:val="TableParagraph"/>
                                    <w:spacing w:line="180" w:lineRule="exact" w:before="2"/>
                                    <w:rPr>
                                      <w:sz w:val="16"/>
                                    </w:rPr>
                                  </w:pPr>
                                  <w:r>
                                    <w:rPr>
                                      <w:w w:val="105"/>
                                      <w:sz w:val="16"/>
                                    </w:rPr>
                                    <w:t>Net</w:t>
                                  </w:r>
                                  <w:r>
                                    <w:rPr>
                                      <w:spacing w:val="-10"/>
                                      <w:w w:val="105"/>
                                      <w:sz w:val="16"/>
                                    </w:rPr>
                                    <w:t> </w:t>
                                  </w:r>
                                  <w:r>
                                    <w:rPr>
                                      <w:w w:val="105"/>
                                      <w:sz w:val="16"/>
                                    </w:rPr>
                                    <w:t>operating</w:t>
                                  </w:r>
                                  <w:r>
                                    <w:rPr>
                                      <w:spacing w:val="-9"/>
                                      <w:w w:val="105"/>
                                      <w:sz w:val="16"/>
                                    </w:rPr>
                                    <w:t> </w:t>
                                  </w:r>
                                  <w:r>
                                    <w:rPr>
                                      <w:spacing w:val="-2"/>
                                      <w:w w:val="105"/>
                                      <w:sz w:val="16"/>
                                    </w:rPr>
                                    <w:t>losses</w:t>
                                  </w:r>
                                </w:p>
                              </w:tc>
                              <w:tc>
                                <w:tcPr>
                                  <w:tcW w:w="1410" w:type="dxa"/>
                                  <w:tcBorders>
                                    <w:top w:val="single" w:sz="6" w:space="0" w:color="000000"/>
                                  </w:tcBorders>
                                  <w:shd w:val="clear" w:color="auto" w:fill="CCEDFF"/>
                                </w:tcPr>
                                <w:p>
                                  <w:pPr>
                                    <w:pStyle w:val="TableParagraph"/>
                                    <w:spacing w:line="180" w:lineRule="exact" w:before="2"/>
                                    <w:ind w:right="105"/>
                                    <w:jc w:val="right"/>
                                    <w:rPr>
                                      <w:b/>
                                      <w:sz w:val="16"/>
                                    </w:rPr>
                                  </w:pPr>
                                  <w:r>
                                    <w:rPr>
                                      <w:b/>
                                      <w:spacing w:val="-10"/>
                                      <w:w w:val="105"/>
                                      <w:sz w:val="16"/>
                                    </w:rPr>
                                    <w:t>$</w:t>
                                  </w:r>
                                </w:p>
                              </w:tc>
                              <w:tc>
                                <w:tcPr>
                                  <w:tcW w:w="710" w:type="dxa"/>
                                  <w:tcBorders>
                                    <w:top w:val="single" w:sz="6" w:space="0" w:color="000000"/>
                                  </w:tcBorders>
                                  <w:shd w:val="clear" w:color="auto" w:fill="CCEDFF"/>
                                </w:tcPr>
                                <w:p>
                                  <w:pPr>
                                    <w:pStyle w:val="TableParagraph"/>
                                    <w:rPr>
                                      <w:sz w:val="14"/>
                                    </w:rPr>
                                  </w:pPr>
                                </w:p>
                              </w:tc>
                              <w:tc>
                                <w:tcPr>
                                  <w:tcW w:w="502" w:type="dxa"/>
                                  <w:gridSpan w:val="2"/>
                                  <w:tcBorders>
                                    <w:top w:val="single" w:sz="6" w:space="0" w:color="000000"/>
                                  </w:tcBorders>
                                  <w:shd w:val="clear" w:color="auto" w:fill="CCEDFF"/>
                                </w:tcPr>
                                <w:p>
                                  <w:pPr>
                                    <w:pStyle w:val="TableParagraph"/>
                                    <w:spacing w:line="180" w:lineRule="exact" w:before="2"/>
                                    <w:ind w:left="23"/>
                                    <w:rPr>
                                      <w:b/>
                                      <w:sz w:val="16"/>
                                    </w:rPr>
                                  </w:pPr>
                                  <w:r>
                                    <w:rPr>
                                      <w:b/>
                                      <w:spacing w:val="-5"/>
                                      <w:w w:val="105"/>
                                      <w:sz w:val="16"/>
                                    </w:rPr>
                                    <w:t>303</w:t>
                                  </w:r>
                                </w:p>
                              </w:tc>
                              <w:tc>
                                <w:tcPr>
                                  <w:tcW w:w="1235" w:type="dxa"/>
                                  <w:tcBorders>
                                    <w:top w:val="single" w:sz="6" w:space="0" w:color="000000"/>
                                  </w:tcBorders>
                                  <w:shd w:val="clear" w:color="auto" w:fill="CCEDFF"/>
                                </w:tcPr>
                                <w:p>
                                  <w:pPr>
                                    <w:pStyle w:val="TableParagraph"/>
                                    <w:tabs>
                                      <w:tab w:pos="897" w:val="left" w:leader="none"/>
                                    </w:tabs>
                                    <w:spacing w:line="180" w:lineRule="exact" w:before="2"/>
                                    <w:ind w:left="-1" w:right="87"/>
                                    <w:jc w:val="right"/>
                                    <w:rPr>
                                      <w:sz w:val="16"/>
                                    </w:rPr>
                                  </w:pPr>
                                  <w:r>
                                    <w:rPr>
                                      <w:spacing w:val="-10"/>
                                      <w:w w:val="105"/>
                                      <w:sz w:val="16"/>
                                    </w:rPr>
                                    <w:t>$</w:t>
                                  </w:r>
                                  <w:r>
                                    <w:rPr>
                                      <w:sz w:val="16"/>
                                    </w:rPr>
                                    <w:tab/>
                                  </w:r>
                                  <w:r>
                                    <w:rPr>
                                      <w:spacing w:val="-5"/>
                                      <w:w w:val="105"/>
                                      <w:sz w:val="16"/>
                                    </w:rPr>
                                    <w:t>102</w:t>
                                  </w:r>
                                </w:p>
                              </w:tc>
                              <w:tc>
                                <w:tcPr>
                                  <w:tcW w:w="1432" w:type="dxa"/>
                                  <w:gridSpan w:val="3"/>
                                  <w:tcBorders>
                                    <w:top w:val="single" w:sz="6" w:space="0" w:color="000000"/>
                                  </w:tcBorders>
                                  <w:shd w:val="clear" w:color="auto" w:fill="CCEDFF"/>
                                </w:tcPr>
                                <w:p>
                                  <w:pPr>
                                    <w:pStyle w:val="TableParagraph"/>
                                    <w:tabs>
                                      <w:tab w:pos="1120" w:val="left" w:leader="none"/>
                                    </w:tabs>
                                    <w:spacing w:line="180" w:lineRule="exact" w:before="2"/>
                                    <w:ind w:left="139"/>
                                    <w:rPr>
                                      <w:sz w:val="16"/>
                                    </w:rPr>
                                  </w:pPr>
                                  <w:r>
                                    <w:rPr>
                                      <w:spacing w:val="-10"/>
                                      <w:w w:val="105"/>
                                      <w:sz w:val="16"/>
                                    </w:rPr>
                                    <w:t>$</w:t>
                                  </w:r>
                                  <w:r>
                                    <w:rPr>
                                      <w:sz w:val="16"/>
                                    </w:rPr>
                                    <w:tab/>
                                  </w:r>
                                  <w:r>
                                    <w:rPr>
                                      <w:spacing w:val="-5"/>
                                      <w:w w:val="105"/>
                                      <w:sz w:val="16"/>
                                    </w:rPr>
                                    <w:t>16</w:t>
                                  </w:r>
                                </w:p>
                              </w:tc>
                              <w:tc>
                                <w:tcPr>
                                  <w:tcW w:w="1414" w:type="dxa"/>
                                  <w:tcBorders>
                                    <w:top w:val="single" w:sz="6" w:space="0" w:color="000000"/>
                                  </w:tcBorders>
                                  <w:shd w:val="clear" w:color="auto" w:fill="CCEDFF"/>
                                </w:tcPr>
                                <w:p>
                                  <w:pPr>
                                    <w:pStyle w:val="TableParagraph"/>
                                    <w:tabs>
                                      <w:tab w:pos="1064" w:val="left" w:leader="none"/>
                                    </w:tabs>
                                    <w:spacing w:line="180" w:lineRule="exact" w:before="2"/>
                                    <w:ind w:left="83"/>
                                    <w:rPr>
                                      <w:sz w:val="16"/>
                                    </w:rPr>
                                  </w:pPr>
                                  <w:r>
                                    <w:rPr>
                                      <w:spacing w:val="-10"/>
                                      <w:w w:val="105"/>
                                      <w:sz w:val="16"/>
                                    </w:rPr>
                                    <w:t>$</w:t>
                                  </w:r>
                                  <w:r>
                                    <w:rPr>
                                      <w:sz w:val="16"/>
                                    </w:rPr>
                                    <w:tab/>
                                  </w:r>
                                  <w:r>
                                    <w:rPr>
                                      <w:spacing w:val="-5"/>
                                      <w:w w:val="105"/>
                                      <w:sz w:val="16"/>
                                    </w:rPr>
                                    <w:t>41</w:t>
                                  </w:r>
                                </w:p>
                              </w:tc>
                              <w:tc>
                                <w:tcPr>
                                  <w:tcW w:w="156" w:type="dxa"/>
                                  <w:tcBorders>
                                    <w:top w:val="single" w:sz="6" w:space="0" w:color="000000"/>
                                  </w:tcBorders>
                                  <w:shd w:val="clear" w:color="auto" w:fill="CCEDFF"/>
                                </w:tcPr>
                                <w:p>
                                  <w:pPr>
                                    <w:pStyle w:val="TableParagraph"/>
                                    <w:spacing w:line="180" w:lineRule="exact" w:before="2"/>
                                    <w:ind w:left="17"/>
                                    <w:jc w:val="center"/>
                                    <w:rPr>
                                      <w:sz w:val="16"/>
                                    </w:rPr>
                                  </w:pPr>
                                  <w:r>
                                    <w:rPr>
                                      <w:spacing w:val="-10"/>
                                      <w:w w:val="105"/>
                                      <w:sz w:val="16"/>
                                    </w:rPr>
                                    <w:t>$</w:t>
                                  </w:r>
                                </w:p>
                              </w:tc>
                              <w:tc>
                                <w:tcPr>
                                  <w:tcW w:w="823" w:type="dxa"/>
                                  <w:tcBorders>
                                    <w:top w:val="single" w:sz="6" w:space="0" w:color="000000"/>
                                  </w:tcBorders>
                                  <w:shd w:val="clear" w:color="auto" w:fill="CCEDFF"/>
                                </w:tcPr>
                                <w:p>
                                  <w:pPr>
                                    <w:pStyle w:val="TableParagraph"/>
                                    <w:rPr>
                                      <w:sz w:val="14"/>
                                    </w:rPr>
                                  </w:pPr>
                                </w:p>
                              </w:tc>
                              <w:tc>
                                <w:tcPr>
                                  <w:tcW w:w="377" w:type="dxa"/>
                                  <w:tcBorders>
                                    <w:top w:val="single" w:sz="6" w:space="0" w:color="000000"/>
                                  </w:tcBorders>
                                  <w:shd w:val="clear" w:color="auto" w:fill="CCEDFF"/>
                                </w:tcPr>
                                <w:p>
                                  <w:pPr>
                                    <w:pStyle w:val="TableParagraph"/>
                                    <w:spacing w:line="180" w:lineRule="exact" w:before="2"/>
                                    <w:ind w:right="111"/>
                                    <w:jc w:val="right"/>
                                    <w:rPr>
                                      <w:sz w:val="16"/>
                                    </w:rPr>
                                  </w:pPr>
                                  <w:r>
                                    <w:rPr>
                                      <w:spacing w:val="-5"/>
                                      <w:w w:val="105"/>
                                      <w:sz w:val="16"/>
                                    </w:rPr>
                                    <w:t>144</w:t>
                                  </w:r>
                                </w:p>
                              </w:tc>
                            </w:tr>
                            <w:tr>
                              <w:trPr>
                                <w:trHeight w:val="202" w:hRule="atLeast"/>
                              </w:trPr>
                              <w:tc>
                                <w:tcPr>
                                  <w:tcW w:w="3455" w:type="dxa"/>
                                  <w:tcBorders>
                                    <w:bottom w:val="single" w:sz="6" w:space="0" w:color="000000"/>
                                  </w:tcBorders>
                                </w:tcPr>
                                <w:p>
                                  <w:pPr>
                                    <w:pStyle w:val="TableParagraph"/>
                                    <w:spacing w:line="179" w:lineRule="exact" w:before="3"/>
                                    <w:rPr>
                                      <w:sz w:val="16"/>
                                    </w:rPr>
                                  </w:pPr>
                                  <w:r>
                                    <w:rPr>
                                      <w:w w:val="105"/>
                                      <w:sz w:val="16"/>
                                    </w:rPr>
                                    <w:t>Tax</w:t>
                                  </w:r>
                                  <w:r>
                                    <w:rPr>
                                      <w:spacing w:val="-6"/>
                                      <w:w w:val="105"/>
                                      <w:sz w:val="16"/>
                                    </w:rPr>
                                    <w:t> </w:t>
                                  </w:r>
                                  <w:r>
                                    <w:rPr>
                                      <w:spacing w:val="-2"/>
                                      <w:w w:val="105"/>
                                      <w:sz w:val="16"/>
                                    </w:rPr>
                                    <w:t>credits</w:t>
                                  </w:r>
                                </w:p>
                              </w:tc>
                              <w:tc>
                                <w:tcPr>
                                  <w:tcW w:w="1410" w:type="dxa"/>
                                  <w:tcBorders>
                                    <w:bottom w:val="single" w:sz="6" w:space="0" w:color="000000"/>
                                  </w:tcBorders>
                                </w:tcPr>
                                <w:p>
                                  <w:pPr>
                                    <w:pStyle w:val="TableParagraph"/>
                                    <w:rPr>
                                      <w:sz w:val="14"/>
                                    </w:rPr>
                                  </w:pPr>
                                </w:p>
                              </w:tc>
                              <w:tc>
                                <w:tcPr>
                                  <w:tcW w:w="710" w:type="dxa"/>
                                  <w:tcBorders>
                                    <w:bottom w:val="single" w:sz="6" w:space="0" w:color="000000"/>
                                  </w:tcBorders>
                                </w:tcPr>
                                <w:p>
                                  <w:pPr>
                                    <w:pStyle w:val="TableParagraph"/>
                                    <w:rPr>
                                      <w:sz w:val="14"/>
                                    </w:rPr>
                                  </w:pPr>
                                </w:p>
                              </w:tc>
                              <w:tc>
                                <w:tcPr>
                                  <w:tcW w:w="502" w:type="dxa"/>
                                  <w:gridSpan w:val="2"/>
                                  <w:tcBorders>
                                    <w:bottom w:val="single" w:sz="6" w:space="0" w:color="000000"/>
                                  </w:tcBorders>
                                </w:tcPr>
                                <w:p>
                                  <w:pPr>
                                    <w:pStyle w:val="TableParagraph"/>
                                    <w:spacing w:line="179" w:lineRule="exact" w:before="3"/>
                                    <w:ind w:left="106"/>
                                    <w:rPr>
                                      <w:b/>
                                      <w:sz w:val="16"/>
                                    </w:rPr>
                                  </w:pPr>
                                  <w:r>
                                    <w:rPr>
                                      <w:b/>
                                      <w:spacing w:val="-5"/>
                                      <w:w w:val="105"/>
                                      <w:sz w:val="16"/>
                                    </w:rPr>
                                    <w:t>72</w:t>
                                  </w:r>
                                </w:p>
                              </w:tc>
                              <w:tc>
                                <w:tcPr>
                                  <w:tcW w:w="1235" w:type="dxa"/>
                                  <w:tcBorders>
                                    <w:bottom w:val="single" w:sz="6" w:space="0" w:color="000000"/>
                                  </w:tcBorders>
                                </w:tcPr>
                                <w:p>
                                  <w:pPr>
                                    <w:pStyle w:val="TableParagraph"/>
                                    <w:spacing w:line="179" w:lineRule="exact" w:before="3"/>
                                    <w:ind w:left="-1" w:right="87"/>
                                    <w:jc w:val="right"/>
                                    <w:rPr>
                                      <w:sz w:val="16"/>
                                    </w:rPr>
                                  </w:pPr>
                                  <w:r>
                                    <w:rPr>
                                      <w:spacing w:val="-10"/>
                                      <w:w w:val="105"/>
                                      <w:sz w:val="16"/>
                                    </w:rPr>
                                    <w:t>7</w:t>
                                  </w:r>
                                </w:p>
                              </w:tc>
                              <w:tc>
                                <w:tcPr>
                                  <w:tcW w:w="1432" w:type="dxa"/>
                                  <w:gridSpan w:val="3"/>
                                  <w:tcBorders>
                                    <w:bottom w:val="single" w:sz="6" w:space="0" w:color="000000"/>
                                  </w:tcBorders>
                                </w:tcPr>
                                <w:p>
                                  <w:pPr>
                                    <w:pStyle w:val="TableParagraph"/>
                                    <w:spacing w:line="179" w:lineRule="exact" w:before="3"/>
                                    <w:ind w:right="143"/>
                                    <w:jc w:val="right"/>
                                    <w:rPr>
                                      <w:sz w:val="16"/>
                                    </w:rPr>
                                  </w:pPr>
                                  <w:r>
                                    <w:rPr>
                                      <w:spacing w:val="-10"/>
                                      <w:w w:val="105"/>
                                      <w:sz w:val="16"/>
                                    </w:rPr>
                                    <w:t>1</w:t>
                                  </w:r>
                                </w:p>
                              </w:tc>
                              <w:tc>
                                <w:tcPr>
                                  <w:tcW w:w="1414" w:type="dxa"/>
                                  <w:tcBorders>
                                    <w:bottom w:val="single" w:sz="6" w:space="0" w:color="000000"/>
                                  </w:tcBorders>
                                </w:tcPr>
                                <w:p>
                                  <w:pPr>
                                    <w:pStyle w:val="TableParagraph"/>
                                    <w:spacing w:line="179" w:lineRule="exact" w:before="3"/>
                                    <w:ind w:right="181"/>
                                    <w:jc w:val="right"/>
                                    <w:rPr>
                                      <w:sz w:val="16"/>
                                    </w:rPr>
                                  </w:pPr>
                                  <w:r>
                                    <w:rPr>
                                      <w:spacing w:val="-5"/>
                                      <w:w w:val="105"/>
                                      <w:sz w:val="16"/>
                                    </w:rPr>
                                    <w:t>59</w:t>
                                  </w:r>
                                </w:p>
                              </w:tc>
                              <w:tc>
                                <w:tcPr>
                                  <w:tcW w:w="156" w:type="dxa"/>
                                  <w:tcBorders>
                                    <w:bottom w:val="single" w:sz="6" w:space="0" w:color="000000"/>
                                  </w:tcBorders>
                                </w:tcPr>
                                <w:p>
                                  <w:pPr>
                                    <w:pStyle w:val="TableParagraph"/>
                                    <w:rPr>
                                      <w:sz w:val="14"/>
                                    </w:rPr>
                                  </w:pPr>
                                </w:p>
                              </w:tc>
                              <w:tc>
                                <w:tcPr>
                                  <w:tcW w:w="823" w:type="dxa"/>
                                  <w:tcBorders>
                                    <w:bottom w:val="single" w:sz="6" w:space="0" w:color="000000"/>
                                  </w:tcBorders>
                                </w:tcPr>
                                <w:p>
                                  <w:pPr>
                                    <w:pStyle w:val="TableParagraph"/>
                                    <w:rPr>
                                      <w:sz w:val="14"/>
                                    </w:rPr>
                                  </w:pPr>
                                </w:p>
                              </w:tc>
                              <w:tc>
                                <w:tcPr>
                                  <w:tcW w:w="377" w:type="dxa"/>
                                  <w:tcBorders>
                                    <w:bottom w:val="single" w:sz="6" w:space="0" w:color="000000"/>
                                  </w:tcBorders>
                                </w:tcPr>
                                <w:p>
                                  <w:pPr>
                                    <w:pStyle w:val="TableParagraph"/>
                                    <w:spacing w:line="179" w:lineRule="exact" w:before="3"/>
                                    <w:ind w:right="111"/>
                                    <w:jc w:val="right"/>
                                    <w:rPr>
                                      <w:sz w:val="16"/>
                                    </w:rPr>
                                  </w:pPr>
                                  <w:r>
                                    <w:rPr>
                                      <w:spacing w:val="-10"/>
                                      <w:w w:val="105"/>
                                      <w:sz w:val="16"/>
                                    </w:rPr>
                                    <w:t>5</w:t>
                                  </w:r>
                                </w:p>
                              </w:tc>
                            </w:tr>
                            <w:tr>
                              <w:trPr>
                                <w:trHeight w:val="199" w:hRule="atLeast"/>
                              </w:trPr>
                              <w:tc>
                                <w:tcPr>
                                  <w:tcW w:w="3455"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Balance</w:t>
                                  </w:r>
                                  <w:r>
                                    <w:rPr>
                                      <w:spacing w:val="-8"/>
                                      <w:w w:val="105"/>
                                      <w:sz w:val="16"/>
                                    </w:rPr>
                                    <w:t> </w:t>
                                  </w:r>
                                  <w:r>
                                    <w:rPr>
                                      <w:w w:val="105"/>
                                      <w:sz w:val="16"/>
                                    </w:rPr>
                                    <w:t>as</w:t>
                                  </w:r>
                                  <w:r>
                                    <w:rPr>
                                      <w:spacing w:val="-8"/>
                                      <w:w w:val="105"/>
                                      <w:sz w:val="16"/>
                                    </w:rPr>
                                    <w:t> </w:t>
                                  </w:r>
                                  <w:r>
                                    <w:rPr>
                                      <w:w w:val="105"/>
                                      <w:sz w:val="16"/>
                                    </w:rPr>
                                    <w:t>of</w:t>
                                  </w:r>
                                  <w:r>
                                    <w:rPr>
                                      <w:spacing w:val="-8"/>
                                      <w:w w:val="105"/>
                                      <w:sz w:val="16"/>
                                    </w:rPr>
                                    <w:t> </w:t>
                                  </w:r>
                                  <w:r>
                                    <w:rPr>
                                      <w:w w:val="105"/>
                                      <w:sz w:val="16"/>
                                    </w:rPr>
                                    <w:t>December</w:t>
                                  </w:r>
                                  <w:r>
                                    <w:rPr>
                                      <w:spacing w:val="-8"/>
                                      <w:w w:val="105"/>
                                      <w:sz w:val="16"/>
                                    </w:rPr>
                                    <w:t> </w:t>
                                  </w:r>
                                  <w:r>
                                    <w:rPr>
                                      <w:w w:val="105"/>
                                      <w:sz w:val="16"/>
                                    </w:rPr>
                                    <w:t>31,</w:t>
                                  </w:r>
                                  <w:r>
                                    <w:rPr>
                                      <w:spacing w:val="-7"/>
                                      <w:w w:val="105"/>
                                      <w:sz w:val="16"/>
                                    </w:rPr>
                                    <w:t> </w:t>
                                  </w:r>
                                  <w:r>
                                    <w:rPr>
                                      <w:spacing w:val="-4"/>
                                      <w:w w:val="105"/>
                                      <w:sz w:val="16"/>
                                    </w:rPr>
                                    <w:t>2021</w:t>
                                  </w:r>
                                </w:p>
                              </w:tc>
                              <w:tc>
                                <w:tcPr>
                                  <w:tcW w:w="1410" w:type="dxa"/>
                                  <w:tcBorders>
                                    <w:top w:val="single" w:sz="6" w:space="0" w:color="000000"/>
                                    <w:bottom w:val="double" w:sz="6" w:space="0" w:color="000000"/>
                                  </w:tcBorders>
                                  <w:shd w:val="clear" w:color="auto" w:fill="CCEDFF"/>
                                </w:tcPr>
                                <w:p>
                                  <w:pPr>
                                    <w:pStyle w:val="TableParagraph"/>
                                    <w:spacing w:line="177" w:lineRule="exact" w:before="2"/>
                                    <w:ind w:right="105"/>
                                    <w:jc w:val="right"/>
                                    <w:rPr>
                                      <w:b/>
                                      <w:sz w:val="16"/>
                                    </w:rPr>
                                  </w:pPr>
                                  <w:r>
                                    <w:rPr>
                                      <w:b/>
                                      <w:spacing w:val="-10"/>
                                      <w:w w:val="105"/>
                                      <w:sz w:val="16"/>
                                    </w:rPr>
                                    <w:t>$</w:t>
                                  </w:r>
                                </w:p>
                              </w:tc>
                              <w:tc>
                                <w:tcPr>
                                  <w:tcW w:w="710" w:type="dxa"/>
                                  <w:tcBorders>
                                    <w:top w:val="single" w:sz="6" w:space="0" w:color="000000"/>
                                    <w:bottom w:val="double" w:sz="6" w:space="0" w:color="000000"/>
                                  </w:tcBorders>
                                  <w:shd w:val="clear" w:color="auto" w:fill="CCEDFF"/>
                                </w:tcPr>
                                <w:p>
                                  <w:pPr>
                                    <w:pStyle w:val="TableParagraph"/>
                                    <w:rPr>
                                      <w:sz w:val="12"/>
                                    </w:rPr>
                                  </w:pPr>
                                </w:p>
                              </w:tc>
                              <w:tc>
                                <w:tcPr>
                                  <w:tcW w:w="502" w:type="dxa"/>
                                  <w:gridSpan w:val="2"/>
                                  <w:tcBorders>
                                    <w:top w:val="single" w:sz="6" w:space="0" w:color="000000"/>
                                    <w:bottom w:val="double" w:sz="6" w:space="0" w:color="000000"/>
                                  </w:tcBorders>
                                  <w:shd w:val="clear" w:color="auto" w:fill="CCEDFF"/>
                                </w:tcPr>
                                <w:p>
                                  <w:pPr>
                                    <w:pStyle w:val="TableParagraph"/>
                                    <w:spacing w:line="177" w:lineRule="exact" w:before="2"/>
                                    <w:ind w:left="23"/>
                                    <w:rPr>
                                      <w:b/>
                                      <w:sz w:val="16"/>
                                    </w:rPr>
                                  </w:pPr>
                                  <w:r>
                                    <w:rPr>
                                      <w:b/>
                                      <w:spacing w:val="-5"/>
                                      <w:w w:val="105"/>
                                      <w:sz w:val="16"/>
                                    </w:rPr>
                                    <w:t>375</w:t>
                                  </w:r>
                                </w:p>
                              </w:tc>
                              <w:tc>
                                <w:tcPr>
                                  <w:tcW w:w="1235" w:type="dxa"/>
                                  <w:tcBorders>
                                    <w:top w:val="single" w:sz="6" w:space="0" w:color="000000"/>
                                    <w:bottom w:val="double" w:sz="6" w:space="0" w:color="000000"/>
                                  </w:tcBorders>
                                  <w:shd w:val="clear" w:color="auto" w:fill="CCEDFF"/>
                                </w:tcPr>
                                <w:p>
                                  <w:pPr>
                                    <w:pStyle w:val="TableParagraph"/>
                                    <w:tabs>
                                      <w:tab w:pos="897" w:val="left" w:leader="none"/>
                                    </w:tabs>
                                    <w:spacing w:line="177" w:lineRule="exact" w:before="2"/>
                                    <w:ind w:left="-1" w:right="87"/>
                                    <w:jc w:val="right"/>
                                    <w:rPr>
                                      <w:sz w:val="16"/>
                                    </w:rPr>
                                  </w:pPr>
                                  <w:r>
                                    <w:rPr>
                                      <w:spacing w:val="-10"/>
                                      <w:w w:val="105"/>
                                      <w:sz w:val="16"/>
                                    </w:rPr>
                                    <w:t>$</w:t>
                                  </w:r>
                                  <w:r>
                                    <w:rPr>
                                      <w:sz w:val="16"/>
                                    </w:rPr>
                                    <w:tab/>
                                  </w:r>
                                  <w:r>
                                    <w:rPr>
                                      <w:spacing w:val="-5"/>
                                      <w:w w:val="105"/>
                                      <w:sz w:val="16"/>
                                    </w:rPr>
                                    <w:t>109</w:t>
                                  </w:r>
                                </w:p>
                              </w:tc>
                              <w:tc>
                                <w:tcPr>
                                  <w:tcW w:w="1432" w:type="dxa"/>
                                  <w:gridSpan w:val="3"/>
                                  <w:tcBorders>
                                    <w:top w:val="single" w:sz="6" w:space="0" w:color="000000"/>
                                    <w:bottom w:val="double" w:sz="6" w:space="0" w:color="000000"/>
                                  </w:tcBorders>
                                  <w:shd w:val="clear" w:color="auto" w:fill="CCEDFF"/>
                                </w:tcPr>
                                <w:p>
                                  <w:pPr>
                                    <w:pStyle w:val="TableParagraph"/>
                                    <w:tabs>
                                      <w:tab w:pos="1120" w:val="left" w:leader="none"/>
                                    </w:tabs>
                                    <w:spacing w:line="177" w:lineRule="exact" w:before="2"/>
                                    <w:ind w:left="139"/>
                                    <w:rPr>
                                      <w:sz w:val="16"/>
                                    </w:rPr>
                                  </w:pPr>
                                  <w:r>
                                    <w:rPr>
                                      <w:spacing w:val="-10"/>
                                      <w:w w:val="105"/>
                                      <w:sz w:val="16"/>
                                    </w:rPr>
                                    <w:t>$</w:t>
                                  </w:r>
                                  <w:r>
                                    <w:rPr>
                                      <w:sz w:val="16"/>
                                    </w:rPr>
                                    <w:tab/>
                                  </w:r>
                                  <w:r>
                                    <w:rPr>
                                      <w:spacing w:val="-5"/>
                                      <w:w w:val="105"/>
                                      <w:sz w:val="16"/>
                                    </w:rPr>
                                    <w:t>17</w:t>
                                  </w:r>
                                </w:p>
                              </w:tc>
                              <w:tc>
                                <w:tcPr>
                                  <w:tcW w:w="1414" w:type="dxa"/>
                                  <w:tcBorders>
                                    <w:top w:val="single" w:sz="6" w:space="0" w:color="000000"/>
                                    <w:bottom w:val="double" w:sz="6" w:space="0" w:color="000000"/>
                                  </w:tcBorders>
                                  <w:shd w:val="clear" w:color="auto" w:fill="CCEDFF"/>
                                </w:tcPr>
                                <w:p>
                                  <w:pPr>
                                    <w:pStyle w:val="TableParagraph"/>
                                    <w:tabs>
                                      <w:tab w:pos="981" w:val="left" w:leader="none"/>
                                    </w:tabs>
                                    <w:spacing w:line="177" w:lineRule="exact" w:before="2"/>
                                    <w:ind w:left="83"/>
                                    <w:rPr>
                                      <w:sz w:val="16"/>
                                    </w:rPr>
                                  </w:pPr>
                                  <w:r>
                                    <w:rPr>
                                      <w:spacing w:val="-10"/>
                                      <w:w w:val="105"/>
                                      <w:sz w:val="16"/>
                                    </w:rPr>
                                    <w:t>$</w:t>
                                  </w:r>
                                  <w:r>
                                    <w:rPr>
                                      <w:sz w:val="16"/>
                                    </w:rPr>
                                    <w:tab/>
                                  </w:r>
                                  <w:r>
                                    <w:rPr>
                                      <w:spacing w:val="-5"/>
                                      <w:w w:val="105"/>
                                      <w:sz w:val="16"/>
                                    </w:rPr>
                                    <w:t>100</w:t>
                                  </w:r>
                                </w:p>
                              </w:tc>
                              <w:tc>
                                <w:tcPr>
                                  <w:tcW w:w="156" w:type="dxa"/>
                                  <w:tcBorders>
                                    <w:top w:val="single" w:sz="6" w:space="0" w:color="000000"/>
                                    <w:bottom w:val="double" w:sz="6" w:space="0" w:color="000000"/>
                                  </w:tcBorders>
                                  <w:shd w:val="clear" w:color="auto" w:fill="CCEDFF"/>
                                </w:tcPr>
                                <w:p>
                                  <w:pPr>
                                    <w:pStyle w:val="TableParagraph"/>
                                    <w:spacing w:line="177" w:lineRule="exact" w:before="2"/>
                                    <w:ind w:left="17"/>
                                    <w:jc w:val="center"/>
                                    <w:rPr>
                                      <w:sz w:val="16"/>
                                    </w:rPr>
                                  </w:pPr>
                                  <w:r>
                                    <w:rPr>
                                      <w:spacing w:val="-10"/>
                                      <w:w w:val="105"/>
                                      <w:sz w:val="16"/>
                                    </w:rPr>
                                    <w:t>$</w:t>
                                  </w:r>
                                </w:p>
                              </w:tc>
                              <w:tc>
                                <w:tcPr>
                                  <w:tcW w:w="823" w:type="dxa"/>
                                  <w:tcBorders>
                                    <w:top w:val="single" w:sz="6" w:space="0" w:color="000000"/>
                                    <w:bottom w:val="double" w:sz="6" w:space="0" w:color="000000"/>
                                  </w:tcBorders>
                                  <w:shd w:val="clear" w:color="auto" w:fill="CCEDFF"/>
                                </w:tcPr>
                                <w:p>
                                  <w:pPr>
                                    <w:pStyle w:val="TableParagraph"/>
                                    <w:rPr>
                                      <w:sz w:val="12"/>
                                    </w:rPr>
                                  </w:pPr>
                                </w:p>
                              </w:tc>
                              <w:tc>
                                <w:tcPr>
                                  <w:tcW w:w="377" w:type="dxa"/>
                                  <w:tcBorders>
                                    <w:top w:val="single" w:sz="6" w:space="0" w:color="000000"/>
                                    <w:bottom w:val="double" w:sz="6" w:space="0" w:color="000000"/>
                                  </w:tcBorders>
                                  <w:shd w:val="clear" w:color="auto" w:fill="CCEDFF"/>
                                </w:tcPr>
                                <w:p>
                                  <w:pPr>
                                    <w:pStyle w:val="TableParagraph"/>
                                    <w:spacing w:line="177" w:lineRule="exact" w:before="2"/>
                                    <w:ind w:right="111"/>
                                    <w:jc w:val="right"/>
                                    <w:rPr>
                                      <w:sz w:val="16"/>
                                    </w:rPr>
                                  </w:pPr>
                                  <w:r>
                                    <w:rPr>
                                      <w:spacing w:val="-5"/>
                                      <w:w w:val="105"/>
                                      <w:sz w:val="16"/>
                                    </w:rPr>
                                    <w:t>149</w:t>
                                  </w:r>
                                </w:p>
                              </w:tc>
                            </w:tr>
                            <w:tr>
                              <w:trPr>
                                <w:trHeight w:val="605" w:hRule="atLeast"/>
                              </w:trPr>
                              <w:tc>
                                <w:tcPr>
                                  <w:tcW w:w="5575" w:type="dxa"/>
                                  <w:gridSpan w:val="3"/>
                                  <w:tcBorders>
                                    <w:bottom w:val="single" w:sz="12" w:space="0" w:color="000000"/>
                                  </w:tcBorders>
                                </w:tcPr>
                                <w:p>
                                  <w:pPr>
                                    <w:pStyle w:val="TableParagraph"/>
                                    <w:spacing w:before="19"/>
                                    <w:rPr>
                                      <w:sz w:val="16"/>
                                    </w:rPr>
                                  </w:pPr>
                                </w:p>
                                <w:p>
                                  <w:pPr>
                                    <w:pStyle w:val="TableParagraph"/>
                                    <w:spacing w:before="1"/>
                                    <w:rPr>
                                      <w:sz w:val="16"/>
                                    </w:rPr>
                                  </w:pPr>
                                  <w:r>
                                    <w:rPr>
                                      <w:w w:val="105"/>
                                      <w:sz w:val="16"/>
                                    </w:rPr>
                                    <w:t>Details</w:t>
                                  </w:r>
                                  <w:r>
                                    <w:rPr>
                                      <w:spacing w:val="-9"/>
                                      <w:w w:val="105"/>
                                      <w:sz w:val="16"/>
                                    </w:rPr>
                                    <w:t> </w:t>
                                  </w:r>
                                  <w:r>
                                    <w:rPr>
                                      <w:w w:val="105"/>
                                      <w:sz w:val="16"/>
                                    </w:rPr>
                                    <w:t>of</w:t>
                                  </w:r>
                                  <w:r>
                                    <w:rPr>
                                      <w:spacing w:val="-8"/>
                                      <w:w w:val="105"/>
                                      <w:sz w:val="16"/>
                                    </w:rPr>
                                    <w:t> </w:t>
                                  </w:r>
                                  <w:r>
                                    <w:rPr>
                                      <w:w w:val="105"/>
                                      <w:sz w:val="16"/>
                                    </w:rPr>
                                    <w:t>the</w:t>
                                  </w:r>
                                  <w:r>
                                    <w:rPr>
                                      <w:spacing w:val="-8"/>
                                      <w:w w:val="105"/>
                                      <w:sz w:val="16"/>
                                    </w:rPr>
                                    <w:t> </w:t>
                                  </w:r>
                                  <w:r>
                                    <w:rPr>
                                      <w:w w:val="105"/>
                                      <w:sz w:val="16"/>
                                    </w:rPr>
                                    <w:t>deferred</w:t>
                                  </w:r>
                                  <w:r>
                                    <w:rPr>
                                      <w:spacing w:val="-8"/>
                                      <w:w w:val="105"/>
                                      <w:sz w:val="16"/>
                                    </w:rPr>
                                    <w:t> </w:t>
                                  </w:r>
                                  <w:r>
                                    <w:rPr>
                                      <w:w w:val="105"/>
                                      <w:sz w:val="16"/>
                                    </w:rPr>
                                    <w:t>tax</w:t>
                                  </w:r>
                                  <w:r>
                                    <w:rPr>
                                      <w:spacing w:val="-10"/>
                                      <w:w w:val="105"/>
                                      <w:sz w:val="16"/>
                                    </w:rPr>
                                    <w:t> </w:t>
                                  </w:r>
                                  <w:r>
                                    <w:rPr>
                                      <w:w w:val="105"/>
                                      <w:sz w:val="16"/>
                                    </w:rPr>
                                    <w:t>valuation</w:t>
                                  </w:r>
                                  <w:r>
                                    <w:rPr>
                                      <w:spacing w:val="-8"/>
                                      <w:w w:val="105"/>
                                      <w:sz w:val="16"/>
                                    </w:rPr>
                                    <w:t> </w:t>
                                  </w:r>
                                  <w:r>
                                    <w:rPr>
                                      <w:w w:val="105"/>
                                      <w:sz w:val="16"/>
                                    </w:rPr>
                                    <w:t>allowances</w:t>
                                  </w:r>
                                  <w:r>
                                    <w:rPr>
                                      <w:spacing w:val="-8"/>
                                      <w:w w:val="105"/>
                                      <w:sz w:val="16"/>
                                    </w:rPr>
                                    <w:t> </w:t>
                                  </w:r>
                                  <w:r>
                                    <w:rPr>
                                      <w:w w:val="105"/>
                                      <w:sz w:val="16"/>
                                    </w:rPr>
                                    <w:t>are</w:t>
                                  </w:r>
                                  <w:r>
                                    <w:rPr>
                                      <w:spacing w:val="-8"/>
                                      <w:w w:val="105"/>
                                      <w:sz w:val="16"/>
                                    </w:rPr>
                                    <w:t> </w:t>
                                  </w:r>
                                  <w:r>
                                    <w:rPr>
                                      <w:w w:val="105"/>
                                      <w:sz w:val="16"/>
                                    </w:rPr>
                                    <w:t>as</w:t>
                                  </w:r>
                                  <w:r>
                                    <w:rPr>
                                      <w:spacing w:val="-8"/>
                                      <w:w w:val="105"/>
                                      <w:sz w:val="16"/>
                                    </w:rPr>
                                    <w:t> </w:t>
                                  </w:r>
                                  <w:r>
                                    <w:rPr>
                                      <w:w w:val="105"/>
                                      <w:sz w:val="16"/>
                                    </w:rPr>
                                    <w:t>follows</w:t>
                                  </w:r>
                                  <w:r>
                                    <w:rPr>
                                      <w:spacing w:val="-8"/>
                                      <w:w w:val="105"/>
                                      <w:sz w:val="16"/>
                                    </w:rPr>
                                    <w:t> </w:t>
                                  </w:r>
                                  <w:r>
                                    <w:rPr>
                                      <w:w w:val="105"/>
                                      <w:sz w:val="16"/>
                                    </w:rPr>
                                    <w:t>(in</w:t>
                                  </w:r>
                                  <w:r>
                                    <w:rPr>
                                      <w:spacing w:val="-9"/>
                                      <w:w w:val="105"/>
                                      <w:sz w:val="16"/>
                                    </w:rPr>
                                    <w:t> </w:t>
                                  </w:r>
                                  <w:r>
                                    <w:rPr>
                                      <w:spacing w:val="-2"/>
                                      <w:w w:val="105"/>
                                      <w:sz w:val="16"/>
                                    </w:rPr>
                                    <w:t>millions):</w:t>
                                  </w:r>
                                </w:p>
                              </w:tc>
                              <w:tc>
                                <w:tcPr>
                                  <w:tcW w:w="327" w:type="dxa"/>
                                  <w:tcBorders>
                                    <w:bottom w:val="single" w:sz="12" w:space="0" w:color="000000"/>
                                  </w:tcBorders>
                                </w:tcPr>
                                <w:p>
                                  <w:pPr>
                                    <w:pStyle w:val="TableParagraph"/>
                                    <w:rPr>
                                      <w:sz w:val="16"/>
                                    </w:rPr>
                                  </w:pPr>
                                </w:p>
                              </w:tc>
                              <w:tc>
                                <w:tcPr>
                                  <w:tcW w:w="1410" w:type="dxa"/>
                                  <w:gridSpan w:val="2"/>
                                  <w:tcBorders>
                                    <w:bottom w:val="single" w:sz="12" w:space="0" w:color="000000"/>
                                  </w:tcBorders>
                                </w:tcPr>
                                <w:p>
                                  <w:pPr>
                                    <w:pStyle w:val="TableParagraph"/>
                                    <w:rPr>
                                      <w:sz w:val="16"/>
                                    </w:rPr>
                                  </w:pPr>
                                </w:p>
                              </w:tc>
                              <w:tc>
                                <w:tcPr>
                                  <w:tcW w:w="273"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309" w:type="dxa"/>
                                  <w:tcBorders>
                                    <w:bottom w:val="single" w:sz="12" w:space="0" w:color="000000"/>
                                  </w:tcBorders>
                                </w:tcPr>
                                <w:p>
                                  <w:pPr>
                                    <w:pStyle w:val="TableParagraph"/>
                                    <w:rPr>
                                      <w:sz w:val="16"/>
                                    </w:rPr>
                                  </w:pPr>
                                </w:p>
                              </w:tc>
                              <w:tc>
                                <w:tcPr>
                                  <w:tcW w:w="1414" w:type="dxa"/>
                                  <w:tcBorders>
                                    <w:bottom w:val="single" w:sz="12" w:space="0" w:color="000000"/>
                                  </w:tcBorders>
                                </w:tcPr>
                                <w:p>
                                  <w:pPr>
                                    <w:pStyle w:val="TableParagraph"/>
                                    <w:rPr>
                                      <w:sz w:val="16"/>
                                    </w:rPr>
                                  </w:pPr>
                                </w:p>
                              </w:tc>
                              <w:tc>
                                <w:tcPr>
                                  <w:tcW w:w="1356" w:type="dxa"/>
                                  <w:gridSpan w:val="3"/>
                                  <w:tcBorders>
                                    <w:bottom w:val="single" w:sz="12" w:space="0" w:color="000000"/>
                                  </w:tcBorders>
                                </w:tcPr>
                                <w:p>
                                  <w:pPr>
                                    <w:pStyle w:val="TableParagraph"/>
                                    <w:rPr>
                                      <w:sz w:val="16"/>
                                    </w:rPr>
                                  </w:pPr>
                                </w:p>
                              </w:tc>
                            </w:tr>
                            <w:tr>
                              <w:trPr>
                                <w:trHeight w:val="400" w:hRule="atLeast"/>
                              </w:trPr>
                              <w:tc>
                                <w:tcPr>
                                  <w:tcW w:w="5575" w:type="dxa"/>
                                  <w:gridSpan w:val="3"/>
                                  <w:tcBorders>
                                    <w:top w:val="single" w:sz="12" w:space="0" w:color="000000"/>
                                  </w:tcBorders>
                                </w:tcPr>
                                <w:p>
                                  <w:pPr>
                                    <w:pStyle w:val="TableParagraph"/>
                                    <w:rPr>
                                      <w:sz w:val="16"/>
                                    </w:rPr>
                                  </w:pPr>
                                </w:p>
                              </w:tc>
                              <w:tc>
                                <w:tcPr>
                                  <w:tcW w:w="327" w:type="dxa"/>
                                  <w:tcBorders>
                                    <w:top w:val="single" w:sz="12" w:space="0" w:color="000000"/>
                                  </w:tcBorders>
                                </w:tcPr>
                                <w:p>
                                  <w:pPr>
                                    <w:pStyle w:val="TableParagraph"/>
                                    <w:rPr>
                                      <w:sz w:val="16"/>
                                    </w:rPr>
                                  </w:pPr>
                                </w:p>
                              </w:tc>
                              <w:tc>
                                <w:tcPr>
                                  <w:tcW w:w="1410" w:type="dxa"/>
                                  <w:gridSpan w:val="2"/>
                                  <w:tcBorders>
                                    <w:top w:val="single" w:sz="12" w:space="0" w:color="000000"/>
                                  </w:tcBorders>
                                </w:tcPr>
                                <w:p>
                                  <w:pPr>
                                    <w:pStyle w:val="TableParagraph"/>
                                    <w:spacing w:before="1"/>
                                    <w:ind w:left="273"/>
                                    <w:rPr>
                                      <w:b/>
                                      <w:sz w:val="16"/>
                                    </w:rPr>
                                  </w:pPr>
                                  <w:r>
                                    <w:rPr>
                                      <w:b/>
                                      <w:sz w:val="16"/>
                                    </w:rPr>
                                    <w:t>Balance</w:t>
                                  </w:r>
                                  <w:r>
                                    <w:rPr>
                                      <w:b/>
                                      <w:spacing w:val="11"/>
                                      <w:sz w:val="16"/>
                                    </w:rPr>
                                    <w:t> </w:t>
                                  </w:r>
                                  <w:r>
                                    <w:rPr>
                                      <w:b/>
                                      <w:spacing w:val="-5"/>
                                      <w:sz w:val="16"/>
                                    </w:rPr>
                                    <w:t>at</w:t>
                                  </w:r>
                                </w:p>
                                <w:p>
                                  <w:pPr>
                                    <w:pStyle w:val="TableParagraph"/>
                                    <w:spacing w:line="175" w:lineRule="exact" w:before="20"/>
                                    <w:ind w:left="225"/>
                                    <w:rPr>
                                      <w:b/>
                                      <w:sz w:val="16"/>
                                    </w:rPr>
                                  </w:pPr>
                                  <w:r>
                                    <w:rPr>
                                      <w:b/>
                                      <w:sz w:val="16"/>
                                    </w:rPr>
                                    <w:t>beginning</w:t>
                                  </w:r>
                                  <w:r>
                                    <w:rPr>
                                      <w:b/>
                                      <w:spacing w:val="13"/>
                                      <w:sz w:val="16"/>
                                    </w:rPr>
                                    <w:t> </w:t>
                                  </w:r>
                                  <w:r>
                                    <w:rPr>
                                      <w:b/>
                                      <w:spacing w:val="-5"/>
                                      <w:sz w:val="16"/>
                                    </w:rPr>
                                    <w:t>of</w:t>
                                  </w:r>
                                </w:p>
                              </w:tc>
                              <w:tc>
                                <w:tcPr>
                                  <w:tcW w:w="273"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309" w:type="dxa"/>
                                  <w:tcBorders>
                                    <w:top w:val="single" w:sz="12" w:space="0" w:color="000000"/>
                                  </w:tcBorders>
                                </w:tcPr>
                                <w:p>
                                  <w:pPr>
                                    <w:pStyle w:val="TableParagraph"/>
                                    <w:rPr>
                                      <w:sz w:val="16"/>
                                    </w:rPr>
                                  </w:pPr>
                                </w:p>
                              </w:tc>
                              <w:tc>
                                <w:tcPr>
                                  <w:tcW w:w="1414" w:type="dxa"/>
                                  <w:tcBorders>
                                    <w:top w:val="single" w:sz="12" w:space="0" w:color="000000"/>
                                  </w:tcBorders>
                                </w:tcPr>
                                <w:p>
                                  <w:pPr>
                                    <w:pStyle w:val="TableParagraph"/>
                                    <w:spacing w:before="21"/>
                                    <w:rPr>
                                      <w:sz w:val="16"/>
                                    </w:rPr>
                                  </w:pPr>
                                </w:p>
                                <w:p>
                                  <w:pPr>
                                    <w:pStyle w:val="TableParagraph"/>
                                    <w:spacing w:line="175" w:lineRule="exact"/>
                                    <w:ind w:left="211"/>
                                    <w:rPr>
                                      <w:b/>
                                      <w:sz w:val="16"/>
                                    </w:rPr>
                                  </w:pPr>
                                  <w:r>
                                    <w:rPr>
                                      <w:b/>
                                      <w:w w:val="105"/>
                                      <w:sz w:val="16"/>
                                    </w:rPr>
                                    <w:t>Net</w:t>
                                  </w:r>
                                  <w:r>
                                    <w:rPr>
                                      <w:b/>
                                      <w:spacing w:val="-6"/>
                                      <w:w w:val="105"/>
                                      <w:sz w:val="16"/>
                                    </w:rPr>
                                    <w:t> </w:t>
                                  </w:r>
                                  <w:r>
                                    <w:rPr>
                                      <w:b/>
                                      <w:spacing w:val="-2"/>
                                      <w:w w:val="105"/>
                                      <w:sz w:val="16"/>
                                    </w:rPr>
                                    <w:t>deductions</w:t>
                                  </w:r>
                                </w:p>
                              </w:tc>
                              <w:tc>
                                <w:tcPr>
                                  <w:tcW w:w="1356" w:type="dxa"/>
                                  <w:gridSpan w:val="3"/>
                                  <w:tcBorders>
                                    <w:top w:val="single" w:sz="12" w:space="0" w:color="000000"/>
                                  </w:tcBorders>
                                </w:tcPr>
                                <w:p>
                                  <w:pPr>
                                    <w:pStyle w:val="TableParagraph"/>
                                    <w:spacing w:before="21"/>
                                    <w:rPr>
                                      <w:sz w:val="16"/>
                                    </w:rPr>
                                  </w:pPr>
                                </w:p>
                                <w:p>
                                  <w:pPr>
                                    <w:pStyle w:val="TableParagraph"/>
                                    <w:spacing w:line="175" w:lineRule="exact"/>
                                    <w:ind w:left="380"/>
                                    <w:rPr>
                                      <w:b/>
                                      <w:sz w:val="16"/>
                                    </w:rPr>
                                  </w:pPr>
                                  <w:r>
                                    <w:rPr>
                                      <w:b/>
                                      <w:sz w:val="16"/>
                                    </w:rPr>
                                    <w:t>Balance</w:t>
                                  </w:r>
                                  <w:r>
                                    <w:rPr>
                                      <w:b/>
                                      <w:spacing w:val="11"/>
                                      <w:sz w:val="16"/>
                                    </w:rPr>
                                    <w:t> </w:t>
                                  </w:r>
                                  <w:r>
                                    <w:rPr>
                                      <w:b/>
                                      <w:spacing w:val="-5"/>
                                      <w:sz w:val="16"/>
                                    </w:rPr>
                                    <w:t>at</w:t>
                                  </w:r>
                                </w:p>
                              </w:tc>
                            </w:tr>
                            <w:tr>
                              <w:trPr>
                                <w:trHeight w:val="207" w:hRule="atLeast"/>
                              </w:trPr>
                              <w:tc>
                                <w:tcPr>
                                  <w:tcW w:w="5575" w:type="dxa"/>
                                  <w:gridSpan w:val="3"/>
                                  <w:tcBorders>
                                    <w:bottom w:val="single" w:sz="6" w:space="0" w:color="000000"/>
                                  </w:tcBorders>
                                </w:tcPr>
                                <w:p>
                                  <w:pPr>
                                    <w:pStyle w:val="TableParagraph"/>
                                    <w:spacing w:line="179" w:lineRule="exact" w:before="8"/>
                                    <w:rPr>
                                      <w:sz w:val="16"/>
                                    </w:rPr>
                                  </w:pPr>
                                  <w:r>
                                    <w:rPr>
                                      <w:sz w:val="16"/>
                                    </w:rPr>
                                    <w:t>Deferred</w:t>
                                  </w:r>
                                  <w:r>
                                    <w:rPr>
                                      <w:spacing w:val="15"/>
                                      <w:sz w:val="16"/>
                                    </w:rPr>
                                    <w:t> </w:t>
                                  </w:r>
                                  <w:r>
                                    <w:rPr>
                                      <w:sz w:val="16"/>
                                    </w:rPr>
                                    <w:t>Tax</w:t>
                                  </w:r>
                                  <w:r>
                                    <w:rPr>
                                      <w:spacing w:val="15"/>
                                      <w:sz w:val="16"/>
                                    </w:rPr>
                                    <w:t> </w:t>
                                  </w:r>
                                  <w:r>
                                    <w:rPr>
                                      <w:sz w:val="16"/>
                                    </w:rPr>
                                    <w:t>Valuation</w:t>
                                  </w:r>
                                  <w:r>
                                    <w:rPr>
                                      <w:spacing w:val="16"/>
                                      <w:sz w:val="16"/>
                                    </w:rPr>
                                    <w:t> </w:t>
                                  </w:r>
                                  <w:r>
                                    <w:rPr>
                                      <w:spacing w:val="-2"/>
                                      <w:sz w:val="16"/>
                                    </w:rPr>
                                    <w:t>Allowance</w:t>
                                  </w:r>
                                </w:p>
                              </w:tc>
                              <w:tc>
                                <w:tcPr>
                                  <w:tcW w:w="327" w:type="dxa"/>
                                  <w:tcBorders>
                                    <w:bottom w:val="single" w:sz="6" w:space="0" w:color="000000"/>
                                  </w:tcBorders>
                                </w:tcPr>
                                <w:p>
                                  <w:pPr>
                                    <w:pStyle w:val="TableParagraph"/>
                                    <w:rPr>
                                      <w:sz w:val="14"/>
                                    </w:rPr>
                                  </w:pPr>
                                </w:p>
                              </w:tc>
                              <w:tc>
                                <w:tcPr>
                                  <w:tcW w:w="1410" w:type="dxa"/>
                                  <w:gridSpan w:val="2"/>
                                  <w:tcBorders>
                                    <w:bottom w:val="single" w:sz="6" w:space="0" w:color="000000"/>
                                  </w:tcBorders>
                                </w:tcPr>
                                <w:p>
                                  <w:pPr>
                                    <w:pStyle w:val="TableParagraph"/>
                                    <w:spacing w:line="179" w:lineRule="exact" w:before="8"/>
                                    <w:ind w:left="434"/>
                                    <w:rPr>
                                      <w:b/>
                                      <w:sz w:val="16"/>
                                    </w:rPr>
                                  </w:pPr>
                                  <w:r>
                                    <w:rPr>
                                      <w:b/>
                                      <w:spacing w:val="-2"/>
                                      <w:w w:val="105"/>
                                      <w:sz w:val="16"/>
                                    </w:rPr>
                                    <w:t>period</w:t>
                                  </w:r>
                                </w:p>
                              </w:tc>
                              <w:tc>
                                <w:tcPr>
                                  <w:tcW w:w="273" w:type="dxa"/>
                                  <w:tcBorders>
                                    <w:bottom w:val="single" w:sz="6" w:space="0" w:color="000000"/>
                                  </w:tcBorders>
                                </w:tcPr>
                                <w:p>
                                  <w:pPr>
                                    <w:pStyle w:val="TableParagraph"/>
                                    <w:rPr>
                                      <w:sz w:val="14"/>
                                    </w:rPr>
                                  </w:pPr>
                                </w:p>
                              </w:tc>
                              <w:tc>
                                <w:tcPr>
                                  <w:tcW w:w="850" w:type="dxa"/>
                                  <w:tcBorders>
                                    <w:bottom w:val="single" w:sz="6" w:space="0" w:color="000000"/>
                                  </w:tcBorders>
                                </w:tcPr>
                                <w:p>
                                  <w:pPr>
                                    <w:pStyle w:val="TableParagraph"/>
                                    <w:spacing w:line="179" w:lineRule="exact" w:before="8"/>
                                    <w:ind w:left="101"/>
                                    <w:rPr>
                                      <w:b/>
                                      <w:sz w:val="16"/>
                                    </w:rPr>
                                  </w:pPr>
                                  <w:r>
                                    <w:rPr>
                                      <w:b/>
                                      <w:spacing w:val="-2"/>
                                      <w:w w:val="105"/>
                                      <w:sz w:val="16"/>
                                    </w:rPr>
                                    <w:t>Additions</w:t>
                                  </w:r>
                                </w:p>
                              </w:tc>
                              <w:tc>
                                <w:tcPr>
                                  <w:tcW w:w="309" w:type="dxa"/>
                                  <w:tcBorders>
                                    <w:bottom w:val="single" w:sz="6" w:space="0" w:color="000000"/>
                                  </w:tcBorders>
                                </w:tcPr>
                                <w:p>
                                  <w:pPr>
                                    <w:pStyle w:val="TableParagraph"/>
                                    <w:rPr>
                                      <w:sz w:val="14"/>
                                    </w:rPr>
                                  </w:pPr>
                                </w:p>
                              </w:tc>
                              <w:tc>
                                <w:tcPr>
                                  <w:tcW w:w="1414" w:type="dxa"/>
                                  <w:tcBorders>
                                    <w:bottom w:val="single" w:sz="6" w:space="0" w:color="000000"/>
                                  </w:tcBorders>
                                </w:tcPr>
                                <w:p>
                                  <w:pPr>
                                    <w:pStyle w:val="TableParagraph"/>
                                    <w:spacing w:line="179" w:lineRule="exact" w:before="8"/>
                                    <w:ind w:left="416"/>
                                    <w:rPr>
                                      <w:b/>
                                      <w:sz w:val="16"/>
                                    </w:rPr>
                                  </w:pPr>
                                  <w:r>
                                    <w:rPr>
                                      <w:b/>
                                      <w:w w:val="105"/>
                                      <w:sz w:val="16"/>
                                    </w:rPr>
                                    <w:t>and</w:t>
                                  </w:r>
                                  <w:r>
                                    <w:rPr>
                                      <w:b/>
                                      <w:spacing w:val="-9"/>
                                      <w:w w:val="105"/>
                                      <w:sz w:val="16"/>
                                    </w:rPr>
                                    <w:t> </w:t>
                                  </w:r>
                                  <w:r>
                                    <w:rPr>
                                      <w:b/>
                                      <w:spacing w:val="-2"/>
                                      <w:w w:val="105"/>
                                      <w:sz w:val="16"/>
                                    </w:rPr>
                                    <w:t>other</w:t>
                                  </w:r>
                                </w:p>
                              </w:tc>
                              <w:tc>
                                <w:tcPr>
                                  <w:tcW w:w="1356" w:type="dxa"/>
                                  <w:gridSpan w:val="3"/>
                                  <w:tcBorders>
                                    <w:bottom w:val="single" w:sz="6" w:space="0" w:color="000000"/>
                                  </w:tcBorders>
                                </w:tcPr>
                                <w:p>
                                  <w:pPr>
                                    <w:pStyle w:val="TableParagraph"/>
                                    <w:spacing w:line="179" w:lineRule="exact" w:before="8"/>
                                    <w:ind w:left="302"/>
                                    <w:rPr>
                                      <w:b/>
                                      <w:sz w:val="16"/>
                                    </w:rPr>
                                  </w:pPr>
                                  <w:r>
                                    <w:rPr>
                                      <w:b/>
                                      <w:w w:val="105"/>
                                      <w:sz w:val="16"/>
                                    </w:rPr>
                                    <w:t>end</w:t>
                                  </w:r>
                                  <w:r>
                                    <w:rPr>
                                      <w:b/>
                                      <w:spacing w:val="-6"/>
                                      <w:w w:val="105"/>
                                      <w:sz w:val="16"/>
                                    </w:rPr>
                                    <w:t> </w:t>
                                  </w:r>
                                  <w:r>
                                    <w:rPr>
                                      <w:b/>
                                      <w:w w:val="105"/>
                                      <w:sz w:val="16"/>
                                    </w:rPr>
                                    <w:t>of</w:t>
                                  </w:r>
                                  <w:r>
                                    <w:rPr>
                                      <w:b/>
                                      <w:spacing w:val="-6"/>
                                      <w:w w:val="105"/>
                                      <w:sz w:val="16"/>
                                    </w:rPr>
                                    <w:t> </w:t>
                                  </w:r>
                                  <w:r>
                                    <w:rPr>
                                      <w:b/>
                                      <w:spacing w:val="-2"/>
                                      <w:w w:val="105"/>
                                      <w:sz w:val="16"/>
                                    </w:rPr>
                                    <w:t>period</w:t>
                                  </w:r>
                                </w:p>
                              </w:tc>
                            </w:tr>
                            <w:tr>
                              <w:trPr>
                                <w:trHeight w:val="202" w:hRule="atLeast"/>
                              </w:trPr>
                              <w:tc>
                                <w:tcPr>
                                  <w:tcW w:w="5575" w:type="dxa"/>
                                  <w:gridSpan w:val="3"/>
                                  <w:tcBorders>
                                    <w:top w:val="single" w:sz="6" w:space="0" w:color="000000"/>
                                  </w:tcBorders>
                                </w:tcPr>
                                <w:p>
                                  <w:pPr>
                                    <w:pStyle w:val="TableParagraph"/>
                                    <w:rPr>
                                      <w:sz w:val="14"/>
                                    </w:rPr>
                                  </w:pPr>
                                </w:p>
                              </w:tc>
                              <w:tc>
                                <w:tcPr>
                                  <w:tcW w:w="327" w:type="dxa"/>
                                  <w:tcBorders>
                                    <w:top w:val="single" w:sz="6" w:space="0" w:color="000000"/>
                                  </w:tcBorders>
                                </w:tcPr>
                                <w:p>
                                  <w:pPr>
                                    <w:pStyle w:val="TableParagraph"/>
                                    <w:rPr>
                                      <w:sz w:val="14"/>
                                    </w:rPr>
                                  </w:pPr>
                                </w:p>
                              </w:tc>
                              <w:tc>
                                <w:tcPr>
                                  <w:tcW w:w="1410" w:type="dxa"/>
                                  <w:gridSpan w:val="2"/>
                                  <w:tcBorders>
                                    <w:top w:val="single" w:sz="6" w:space="0" w:color="000000"/>
                                  </w:tcBorders>
                                </w:tcPr>
                                <w:p>
                                  <w:pPr>
                                    <w:pStyle w:val="TableParagraph"/>
                                    <w:rPr>
                                      <w:sz w:val="14"/>
                                    </w:rPr>
                                  </w:pPr>
                                </w:p>
                              </w:tc>
                              <w:tc>
                                <w:tcPr>
                                  <w:tcW w:w="273" w:type="dxa"/>
                                  <w:tcBorders>
                                    <w:top w:val="single" w:sz="6" w:space="0" w:color="000000"/>
                                  </w:tcBorders>
                                </w:tcPr>
                                <w:p>
                                  <w:pPr>
                                    <w:pStyle w:val="TableParagraph"/>
                                    <w:rPr>
                                      <w:sz w:val="14"/>
                                    </w:rPr>
                                  </w:pPr>
                                </w:p>
                              </w:tc>
                              <w:tc>
                                <w:tcPr>
                                  <w:tcW w:w="850" w:type="dxa"/>
                                  <w:tcBorders>
                                    <w:top w:val="single" w:sz="6" w:space="0" w:color="000000"/>
                                  </w:tcBorders>
                                </w:tcPr>
                                <w:p>
                                  <w:pPr>
                                    <w:pStyle w:val="TableParagraph"/>
                                    <w:rPr>
                                      <w:sz w:val="14"/>
                                    </w:rPr>
                                  </w:pPr>
                                </w:p>
                              </w:tc>
                              <w:tc>
                                <w:tcPr>
                                  <w:tcW w:w="309" w:type="dxa"/>
                                  <w:tcBorders>
                                    <w:top w:val="single" w:sz="6" w:space="0" w:color="000000"/>
                                  </w:tcBorders>
                                </w:tcPr>
                                <w:p>
                                  <w:pPr>
                                    <w:pStyle w:val="TableParagraph"/>
                                    <w:rPr>
                                      <w:sz w:val="14"/>
                                    </w:rPr>
                                  </w:pPr>
                                </w:p>
                              </w:tc>
                              <w:tc>
                                <w:tcPr>
                                  <w:tcW w:w="1414" w:type="dxa"/>
                                  <w:tcBorders>
                                    <w:top w:val="single" w:sz="6" w:space="0" w:color="000000"/>
                                  </w:tcBorders>
                                </w:tcPr>
                                <w:p>
                                  <w:pPr>
                                    <w:pStyle w:val="TableParagraph"/>
                                    <w:rPr>
                                      <w:sz w:val="14"/>
                                    </w:rPr>
                                  </w:pPr>
                                </w:p>
                              </w:tc>
                              <w:tc>
                                <w:tcPr>
                                  <w:tcW w:w="1356" w:type="dxa"/>
                                  <w:gridSpan w:val="3"/>
                                  <w:tcBorders>
                                    <w:top w:val="single" w:sz="6" w:space="0" w:color="000000"/>
                                  </w:tcBorders>
                                </w:tcPr>
                                <w:p>
                                  <w:pPr>
                                    <w:pStyle w:val="TableParagraph"/>
                                    <w:rPr>
                                      <w:sz w:val="14"/>
                                    </w:rPr>
                                  </w:pPr>
                                </w:p>
                              </w:tc>
                            </w:tr>
                            <w:tr>
                              <w:trPr>
                                <w:trHeight w:val="242" w:hRule="atLeast"/>
                              </w:trPr>
                              <w:tc>
                                <w:tcPr>
                                  <w:tcW w:w="5575" w:type="dxa"/>
                                  <w:gridSpan w:val="3"/>
                                  <w:shd w:val="clear" w:color="auto" w:fill="CCEDFF"/>
                                </w:tcPr>
                                <w:p>
                                  <w:pPr>
                                    <w:pStyle w:val="TableParagraph"/>
                                    <w:spacing w:line="180" w:lineRule="exact" w:before="41"/>
                                    <w:rPr>
                                      <w:sz w:val="16"/>
                                    </w:rPr>
                                  </w:pPr>
                                  <w:r>
                                    <w:rPr>
                                      <w:w w:val="105"/>
                                      <w:sz w:val="16"/>
                                    </w:rPr>
                                    <w:t>Year</w:t>
                                  </w:r>
                                  <w:r>
                                    <w:rPr>
                                      <w:spacing w:val="-11"/>
                                      <w:w w:val="105"/>
                                      <w:sz w:val="16"/>
                                    </w:rPr>
                                    <w:t> </w:t>
                                  </w:r>
                                  <w:r>
                                    <w:rPr>
                                      <w:w w:val="105"/>
                                      <w:sz w:val="16"/>
                                    </w:rPr>
                                    <w:t>ended</w:t>
                                  </w:r>
                                  <w:r>
                                    <w:rPr>
                                      <w:spacing w:val="-9"/>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2021</w:t>
                                  </w:r>
                                </w:p>
                              </w:tc>
                              <w:tc>
                                <w:tcPr>
                                  <w:tcW w:w="327" w:type="dxa"/>
                                  <w:shd w:val="clear" w:color="auto" w:fill="CCEDFF"/>
                                </w:tcPr>
                                <w:p>
                                  <w:pPr>
                                    <w:pStyle w:val="TableParagraph"/>
                                    <w:rPr>
                                      <w:sz w:val="16"/>
                                    </w:rPr>
                                  </w:pPr>
                                </w:p>
                              </w:tc>
                              <w:tc>
                                <w:tcPr>
                                  <w:tcW w:w="1410" w:type="dxa"/>
                                  <w:gridSpan w:val="2"/>
                                  <w:shd w:val="clear" w:color="auto" w:fill="CCEDFF"/>
                                </w:tcPr>
                                <w:p>
                                  <w:pPr>
                                    <w:pStyle w:val="TableParagraph"/>
                                    <w:tabs>
                                      <w:tab w:pos="1021" w:val="left" w:leader="none"/>
                                    </w:tabs>
                                    <w:spacing w:line="180" w:lineRule="exact" w:before="41"/>
                                    <w:ind w:left="59"/>
                                    <w:rPr>
                                      <w:b/>
                                      <w:sz w:val="16"/>
                                    </w:rPr>
                                  </w:pPr>
                                  <w:r>
                                    <w:rPr>
                                      <w:b/>
                                      <w:spacing w:val="-10"/>
                                      <w:w w:val="105"/>
                                      <w:sz w:val="16"/>
                                    </w:rPr>
                                    <w:t>$</w:t>
                                  </w:r>
                                  <w:r>
                                    <w:rPr>
                                      <w:b/>
                                      <w:sz w:val="16"/>
                                    </w:rPr>
                                    <w:tab/>
                                  </w:r>
                                  <w:r>
                                    <w:rPr>
                                      <w:b/>
                                      <w:spacing w:val="-5"/>
                                      <w:w w:val="105"/>
                                      <w:sz w:val="16"/>
                                    </w:rPr>
                                    <w:t>167</w:t>
                                  </w:r>
                                </w:p>
                              </w:tc>
                              <w:tc>
                                <w:tcPr>
                                  <w:tcW w:w="273" w:type="dxa"/>
                                  <w:shd w:val="clear" w:color="auto" w:fill="CCEDFF"/>
                                </w:tcPr>
                                <w:p>
                                  <w:pPr>
                                    <w:pStyle w:val="TableParagraph"/>
                                    <w:spacing w:line="180" w:lineRule="exact" w:before="41"/>
                                    <w:ind w:right="10"/>
                                    <w:jc w:val="center"/>
                                    <w:rPr>
                                      <w:b/>
                                      <w:sz w:val="16"/>
                                    </w:rPr>
                                  </w:pPr>
                                  <w:r>
                                    <w:rPr>
                                      <w:b/>
                                      <w:spacing w:val="-10"/>
                                      <w:w w:val="105"/>
                                      <w:sz w:val="16"/>
                                    </w:rPr>
                                    <w:t>$</w:t>
                                  </w:r>
                                </w:p>
                              </w:tc>
                              <w:tc>
                                <w:tcPr>
                                  <w:tcW w:w="850" w:type="dxa"/>
                                  <w:shd w:val="clear" w:color="auto" w:fill="CCEDFF"/>
                                </w:tcPr>
                                <w:p>
                                  <w:pPr>
                                    <w:pStyle w:val="TableParagraph"/>
                                    <w:rPr>
                                      <w:sz w:val="16"/>
                                    </w:rPr>
                                  </w:pPr>
                                </w:p>
                              </w:tc>
                              <w:tc>
                                <w:tcPr>
                                  <w:tcW w:w="309" w:type="dxa"/>
                                  <w:shd w:val="clear" w:color="auto" w:fill="CCEDFF"/>
                                </w:tcPr>
                                <w:p>
                                  <w:pPr>
                                    <w:pStyle w:val="TableParagraph"/>
                                    <w:spacing w:line="180" w:lineRule="exact" w:before="41"/>
                                    <w:ind w:right="18"/>
                                    <w:jc w:val="center"/>
                                    <w:rPr>
                                      <w:b/>
                                      <w:sz w:val="16"/>
                                    </w:rPr>
                                  </w:pPr>
                                  <w:r>
                                    <w:rPr>
                                      <w:b/>
                                      <w:spacing w:val="-5"/>
                                      <w:w w:val="105"/>
                                      <w:sz w:val="16"/>
                                    </w:rPr>
                                    <w:t>13</w:t>
                                  </w:r>
                                </w:p>
                              </w:tc>
                              <w:tc>
                                <w:tcPr>
                                  <w:tcW w:w="1414" w:type="dxa"/>
                                  <w:shd w:val="clear" w:color="auto" w:fill="CCEDFF"/>
                                </w:tcPr>
                                <w:p>
                                  <w:pPr>
                                    <w:pStyle w:val="TableParagraph"/>
                                    <w:tabs>
                                      <w:tab w:pos="1057" w:val="left" w:leader="none"/>
                                    </w:tabs>
                                    <w:spacing w:line="180" w:lineRule="exact" w:before="41"/>
                                    <w:ind w:right="41"/>
                                    <w:jc w:val="right"/>
                                    <w:rPr>
                                      <w:b/>
                                      <w:sz w:val="16"/>
                                    </w:rPr>
                                  </w:pPr>
                                  <w:r>
                                    <w:rPr>
                                      <w:b/>
                                      <w:spacing w:val="-10"/>
                                      <w:w w:val="105"/>
                                      <w:sz w:val="16"/>
                                    </w:rPr>
                                    <w:t>$</w:t>
                                  </w:r>
                                  <w:r>
                                    <w:rPr>
                                      <w:b/>
                                      <w:sz w:val="16"/>
                                    </w:rPr>
                                    <w:tab/>
                                  </w:r>
                                  <w:r>
                                    <w:rPr>
                                      <w:b/>
                                      <w:spacing w:val="-5"/>
                                      <w:w w:val="105"/>
                                      <w:sz w:val="16"/>
                                    </w:rPr>
                                    <w:t>42</w:t>
                                  </w:r>
                                </w:p>
                              </w:tc>
                              <w:tc>
                                <w:tcPr>
                                  <w:tcW w:w="1356" w:type="dxa"/>
                                  <w:gridSpan w:val="3"/>
                                  <w:shd w:val="clear" w:color="auto" w:fill="CCEDFF"/>
                                </w:tcPr>
                                <w:p>
                                  <w:pPr>
                                    <w:pStyle w:val="TableParagraph"/>
                                    <w:tabs>
                                      <w:tab w:pos="1109" w:val="left" w:leader="none"/>
                                    </w:tabs>
                                    <w:spacing w:line="180" w:lineRule="exact" w:before="41"/>
                                    <w:ind w:left="185" w:right="-15"/>
                                    <w:rPr>
                                      <w:b/>
                                      <w:sz w:val="16"/>
                                    </w:rPr>
                                  </w:pPr>
                                  <w:r>
                                    <w:rPr>
                                      <w:b/>
                                      <w:spacing w:val="-10"/>
                                      <w:w w:val="105"/>
                                      <w:sz w:val="16"/>
                                    </w:rPr>
                                    <w:t>$</w:t>
                                  </w:r>
                                  <w:r>
                                    <w:rPr>
                                      <w:b/>
                                      <w:sz w:val="16"/>
                                    </w:rPr>
                                    <w:tab/>
                                  </w:r>
                                  <w:r>
                                    <w:rPr>
                                      <w:b/>
                                      <w:spacing w:val="-5"/>
                                      <w:w w:val="105"/>
                                      <w:sz w:val="16"/>
                                    </w:rPr>
                                    <w:t>138</w:t>
                                  </w:r>
                                </w:p>
                              </w:tc>
                            </w:tr>
                            <w:tr>
                              <w:trPr>
                                <w:trHeight w:val="203" w:hRule="atLeast"/>
                              </w:trPr>
                              <w:tc>
                                <w:tcPr>
                                  <w:tcW w:w="5575" w:type="dxa"/>
                                  <w:gridSpan w:val="3"/>
                                </w:tcPr>
                                <w:p>
                                  <w:pPr>
                                    <w:pStyle w:val="TableParagraph"/>
                                    <w:rPr>
                                      <w:sz w:val="14"/>
                                    </w:rPr>
                                  </w:pPr>
                                </w:p>
                              </w:tc>
                              <w:tc>
                                <w:tcPr>
                                  <w:tcW w:w="327" w:type="dxa"/>
                                </w:tcPr>
                                <w:p>
                                  <w:pPr>
                                    <w:pStyle w:val="TableParagraph"/>
                                    <w:rPr>
                                      <w:sz w:val="14"/>
                                    </w:rPr>
                                  </w:pPr>
                                </w:p>
                              </w:tc>
                              <w:tc>
                                <w:tcPr>
                                  <w:tcW w:w="1410" w:type="dxa"/>
                                  <w:gridSpan w:val="2"/>
                                </w:tcPr>
                                <w:p>
                                  <w:pPr>
                                    <w:pStyle w:val="TableParagraph"/>
                                    <w:rPr>
                                      <w:sz w:val="14"/>
                                    </w:rPr>
                                  </w:pPr>
                                </w:p>
                              </w:tc>
                              <w:tc>
                                <w:tcPr>
                                  <w:tcW w:w="273" w:type="dxa"/>
                                </w:tcPr>
                                <w:p>
                                  <w:pPr>
                                    <w:pStyle w:val="TableParagraph"/>
                                    <w:rPr>
                                      <w:sz w:val="14"/>
                                    </w:rPr>
                                  </w:pPr>
                                </w:p>
                              </w:tc>
                              <w:tc>
                                <w:tcPr>
                                  <w:tcW w:w="850" w:type="dxa"/>
                                </w:tcPr>
                                <w:p>
                                  <w:pPr>
                                    <w:pStyle w:val="TableParagraph"/>
                                    <w:rPr>
                                      <w:sz w:val="14"/>
                                    </w:rPr>
                                  </w:pPr>
                                </w:p>
                              </w:tc>
                              <w:tc>
                                <w:tcPr>
                                  <w:tcW w:w="309" w:type="dxa"/>
                                </w:tcPr>
                                <w:p>
                                  <w:pPr>
                                    <w:pStyle w:val="TableParagraph"/>
                                    <w:rPr>
                                      <w:sz w:val="14"/>
                                    </w:rPr>
                                  </w:pPr>
                                </w:p>
                              </w:tc>
                              <w:tc>
                                <w:tcPr>
                                  <w:tcW w:w="1414" w:type="dxa"/>
                                </w:tcPr>
                                <w:p>
                                  <w:pPr>
                                    <w:pStyle w:val="TableParagraph"/>
                                    <w:rPr>
                                      <w:sz w:val="14"/>
                                    </w:rPr>
                                  </w:pPr>
                                </w:p>
                              </w:tc>
                              <w:tc>
                                <w:tcPr>
                                  <w:tcW w:w="1356" w:type="dxa"/>
                                  <w:gridSpan w:val="3"/>
                                </w:tcPr>
                                <w:p>
                                  <w:pPr>
                                    <w:pStyle w:val="TableParagraph"/>
                                    <w:rPr>
                                      <w:sz w:val="14"/>
                                    </w:rPr>
                                  </w:pPr>
                                </w:p>
                              </w:tc>
                            </w:tr>
                            <w:tr>
                              <w:trPr>
                                <w:trHeight w:val="203" w:hRule="atLeast"/>
                              </w:trPr>
                              <w:tc>
                                <w:tcPr>
                                  <w:tcW w:w="5575" w:type="dxa"/>
                                  <w:gridSpan w:val="3"/>
                                  <w:shd w:val="clear" w:color="auto" w:fill="CCEDFF"/>
                                </w:tcPr>
                                <w:p>
                                  <w:pPr>
                                    <w:pStyle w:val="TableParagraph"/>
                                    <w:spacing w:line="180" w:lineRule="exact" w:before="3"/>
                                    <w:rPr>
                                      <w:sz w:val="16"/>
                                    </w:rPr>
                                  </w:pPr>
                                  <w:r>
                                    <w:rPr>
                                      <w:w w:val="105"/>
                                      <w:sz w:val="16"/>
                                    </w:rPr>
                                    <w:t>Year</w:t>
                                  </w:r>
                                  <w:r>
                                    <w:rPr>
                                      <w:spacing w:val="-11"/>
                                      <w:w w:val="105"/>
                                      <w:sz w:val="16"/>
                                    </w:rPr>
                                    <w:t> </w:t>
                                  </w:r>
                                  <w:r>
                                    <w:rPr>
                                      <w:w w:val="105"/>
                                      <w:sz w:val="16"/>
                                    </w:rPr>
                                    <w:t>ended</w:t>
                                  </w:r>
                                  <w:r>
                                    <w:rPr>
                                      <w:spacing w:val="-9"/>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2020</w:t>
                                  </w:r>
                                </w:p>
                              </w:tc>
                              <w:tc>
                                <w:tcPr>
                                  <w:tcW w:w="327" w:type="dxa"/>
                                  <w:shd w:val="clear" w:color="auto" w:fill="CCEDFF"/>
                                </w:tcPr>
                                <w:p>
                                  <w:pPr>
                                    <w:pStyle w:val="TableParagraph"/>
                                    <w:rPr>
                                      <w:sz w:val="14"/>
                                    </w:rPr>
                                  </w:pPr>
                                </w:p>
                              </w:tc>
                              <w:tc>
                                <w:tcPr>
                                  <w:tcW w:w="1410" w:type="dxa"/>
                                  <w:gridSpan w:val="2"/>
                                  <w:shd w:val="clear" w:color="auto" w:fill="CCEDFF"/>
                                </w:tcPr>
                                <w:p>
                                  <w:pPr>
                                    <w:pStyle w:val="TableParagraph"/>
                                    <w:tabs>
                                      <w:tab w:pos="1021" w:val="left" w:leader="none"/>
                                    </w:tabs>
                                    <w:spacing w:line="180" w:lineRule="exact" w:before="3"/>
                                    <w:ind w:left="59"/>
                                    <w:rPr>
                                      <w:sz w:val="16"/>
                                    </w:rPr>
                                  </w:pPr>
                                  <w:r>
                                    <w:rPr>
                                      <w:spacing w:val="-10"/>
                                      <w:w w:val="105"/>
                                      <w:sz w:val="16"/>
                                    </w:rPr>
                                    <w:t>$</w:t>
                                  </w:r>
                                  <w:r>
                                    <w:rPr>
                                      <w:sz w:val="16"/>
                                    </w:rPr>
                                    <w:tab/>
                                  </w:r>
                                  <w:r>
                                    <w:rPr>
                                      <w:spacing w:val="-5"/>
                                      <w:w w:val="105"/>
                                      <w:sz w:val="16"/>
                                    </w:rPr>
                                    <w:t>215</w:t>
                                  </w:r>
                                </w:p>
                              </w:tc>
                              <w:tc>
                                <w:tcPr>
                                  <w:tcW w:w="273" w:type="dxa"/>
                                  <w:shd w:val="clear" w:color="auto" w:fill="CCEDFF"/>
                                </w:tcPr>
                                <w:p>
                                  <w:pPr>
                                    <w:pStyle w:val="TableParagraph"/>
                                    <w:spacing w:line="180" w:lineRule="exact" w:before="3"/>
                                    <w:ind w:right="10"/>
                                    <w:jc w:val="center"/>
                                    <w:rPr>
                                      <w:sz w:val="16"/>
                                    </w:rPr>
                                  </w:pPr>
                                  <w:r>
                                    <w:rPr>
                                      <w:spacing w:val="-10"/>
                                      <w:w w:val="105"/>
                                      <w:sz w:val="16"/>
                                    </w:rPr>
                                    <w:t>$</w:t>
                                  </w:r>
                                </w:p>
                              </w:tc>
                              <w:tc>
                                <w:tcPr>
                                  <w:tcW w:w="850" w:type="dxa"/>
                                  <w:shd w:val="clear" w:color="auto" w:fill="CCEDFF"/>
                                </w:tcPr>
                                <w:p>
                                  <w:pPr>
                                    <w:pStyle w:val="TableParagraph"/>
                                    <w:rPr>
                                      <w:sz w:val="14"/>
                                    </w:rPr>
                                  </w:pPr>
                                </w:p>
                              </w:tc>
                              <w:tc>
                                <w:tcPr>
                                  <w:tcW w:w="309" w:type="dxa"/>
                                  <w:shd w:val="clear" w:color="auto" w:fill="CCEDFF"/>
                                </w:tcPr>
                                <w:p>
                                  <w:pPr>
                                    <w:pStyle w:val="TableParagraph"/>
                                    <w:spacing w:line="180" w:lineRule="exact" w:before="3"/>
                                    <w:ind w:right="18"/>
                                    <w:jc w:val="center"/>
                                    <w:rPr>
                                      <w:sz w:val="16"/>
                                    </w:rPr>
                                  </w:pPr>
                                  <w:r>
                                    <w:rPr>
                                      <w:spacing w:val="-5"/>
                                      <w:w w:val="105"/>
                                      <w:sz w:val="16"/>
                                    </w:rPr>
                                    <w:t>27</w:t>
                                  </w:r>
                                </w:p>
                              </w:tc>
                              <w:tc>
                                <w:tcPr>
                                  <w:tcW w:w="1414" w:type="dxa"/>
                                  <w:shd w:val="clear" w:color="auto" w:fill="CCEDFF"/>
                                </w:tcPr>
                                <w:p>
                                  <w:pPr>
                                    <w:pStyle w:val="TableParagraph"/>
                                    <w:tabs>
                                      <w:tab w:pos="1057" w:val="left" w:leader="none"/>
                                    </w:tabs>
                                    <w:spacing w:line="180" w:lineRule="exact" w:before="3"/>
                                    <w:ind w:right="41"/>
                                    <w:jc w:val="right"/>
                                    <w:rPr>
                                      <w:sz w:val="16"/>
                                    </w:rPr>
                                  </w:pPr>
                                  <w:r>
                                    <w:rPr>
                                      <w:spacing w:val="-10"/>
                                      <w:w w:val="105"/>
                                      <w:sz w:val="16"/>
                                    </w:rPr>
                                    <w:t>$</w:t>
                                  </w:r>
                                  <w:r>
                                    <w:rPr>
                                      <w:sz w:val="16"/>
                                    </w:rPr>
                                    <w:tab/>
                                  </w:r>
                                  <w:r>
                                    <w:rPr>
                                      <w:spacing w:val="-5"/>
                                      <w:w w:val="105"/>
                                      <w:sz w:val="16"/>
                                    </w:rPr>
                                    <w:t>75</w:t>
                                  </w:r>
                                </w:p>
                              </w:tc>
                              <w:tc>
                                <w:tcPr>
                                  <w:tcW w:w="1356" w:type="dxa"/>
                                  <w:gridSpan w:val="3"/>
                                  <w:shd w:val="clear" w:color="auto" w:fill="CCEDFF"/>
                                </w:tcPr>
                                <w:p>
                                  <w:pPr>
                                    <w:pStyle w:val="TableParagraph"/>
                                    <w:tabs>
                                      <w:tab w:pos="1109" w:val="left" w:leader="none"/>
                                    </w:tabs>
                                    <w:spacing w:line="180" w:lineRule="exact" w:before="3"/>
                                    <w:ind w:left="185" w:right="-15"/>
                                    <w:rPr>
                                      <w:sz w:val="16"/>
                                    </w:rPr>
                                  </w:pPr>
                                  <w:r>
                                    <w:rPr>
                                      <w:spacing w:val="-10"/>
                                      <w:w w:val="105"/>
                                      <w:sz w:val="16"/>
                                    </w:rPr>
                                    <w:t>$</w:t>
                                  </w:r>
                                  <w:r>
                                    <w:rPr>
                                      <w:sz w:val="16"/>
                                    </w:rPr>
                                    <w:tab/>
                                  </w:r>
                                  <w:r>
                                    <w:rPr>
                                      <w:spacing w:val="-5"/>
                                      <w:w w:val="105"/>
                                      <w:sz w:val="16"/>
                                    </w:rPr>
                                    <w:t>167</w:t>
                                  </w:r>
                                </w:p>
                              </w:tc>
                            </w:tr>
                            <w:tr>
                              <w:trPr>
                                <w:trHeight w:val="203" w:hRule="atLeast"/>
                              </w:trPr>
                              <w:tc>
                                <w:tcPr>
                                  <w:tcW w:w="5575" w:type="dxa"/>
                                  <w:gridSpan w:val="3"/>
                                </w:tcPr>
                                <w:p>
                                  <w:pPr>
                                    <w:pStyle w:val="TableParagraph"/>
                                    <w:rPr>
                                      <w:sz w:val="14"/>
                                    </w:rPr>
                                  </w:pPr>
                                </w:p>
                              </w:tc>
                              <w:tc>
                                <w:tcPr>
                                  <w:tcW w:w="327" w:type="dxa"/>
                                </w:tcPr>
                                <w:p>
                                  <w:pPr>
                                    <w:pStyle w:val="TableParagraph"/>
                                    <w:rPr>
                                      <w:sz w:val="14"/>
                                    </w:rPr>
                                  </w:pPr>
                                </w:p>
                              </w:tc>
                              <w:tc>
                                <w:tcPr>
                                  <w:tcW w:w="1410" w:type="dxa"/>
                                  <w:gridSpan w:val="2"/>
                                </w:tcPr>
                                <w:p>
                                  <w:pPr>
                                    <w:pStyle w:val="TableParagraph"/>
                                    <w:rPr>
                                      <w:sz w:val="14"/>
                                    </w:rPr>
                                  </w:pPr>
                                </w:p>
                              </w:tc>
                              <w:tc>
                                <w:tcPr>
                                  <w:tcW w:w="273" w:type="dxa"/>
                                </w:tcPr>
                                <w:p>
                                  <w:pPr>
                                    <w:pStyle w:val="TableParagraph"/>
                                    <w:rPr>
                                      <w:sz w:val="14"/>
                                    </w:rPr>
                                  </w:pPr>
                                </w:p>
                              </w:tc>
                              <w:tc>
                                <w:tcPr>
                                  <w:tcW w:w="850" w:type="dxa"/>
                                </w:tcPr>
                                <w:p>
                                  <w:pPr>
                                    <w:pStyle w:val="TableParagraph"/>
                                    <w:rPr>
                                      <w:sz w:val="14"/>
                                    </w:rPr>
                                  </w:pPr>
                                </w:p>
                              </w:tc>
                              <w:tc>
                                <w:tcPr>
                                  <w:tcW w:w="309" w:type="dxa"/>
                                </w:tcPr>
                                <w:p>
                                  <w:pPr>
                                    <w:pStyle w:val="TableParagraph"/>
                                    <w:rPr>
                                      <w:sz w:val="14"/>
                                    </w:rPr>
                                  </w:pPr>
                                </w:p>
                              </w:tc>
                              <w:tc>
                                <w:tcPr>
                                  <w:tcW w:w="1414" w:type="dxa"/>
                                </w:tcPr>
                                <w:p>
                                  <w:pPr>
                                    <w:pStyle w:val="TableParagraph"/>
                                    <w:rPr>
                                      <w:sz w:val="14"/>
                                    </w:rPr>
                                  </w:pPr>
                                </w:p>
                              </w:tc>
                              <w:tc>
                                <w:tcPr>
                                  <w:tcW w:w="1356" w:type="dxa"/>
                                  <w:gridSpan w:val="3"/>
                                </w:tcPr>
                                <w:p>
                                  <w:pPr>
                                    <w:pStyle w:val="TableParagraph"/>
                                    <w:rPr>
                                      <w:sz w:val="14"/>
                                    </w:rPr>
                                  </w:pPr>
                                </w:p>
                              </w:tc>
                            </w:tr>
                            <w:tr>
                              <w:trPr>
                                <w:trHeight w:val="200" w:hRule="atLeast"/>
                              </w:trPr>
                              <w:tc>
                                <w:tcPr>
                                  <w:tcW w:w="5575" w:type="dxa"/>
                                  <w:gridSpan w:val="3"/>
                                  <w:tcBorders>
                                    <w:bottom w:val="double" w:sz="6" w:space="0" w:color="000000"/>
                                  </w:tcBorders>
                                  <w:shd w:val="clear" w:color="auto" w:fill="CCEDFF"/>
                                </w:tcPr>
                                <w:p>
                                  <w:pPr>
                                    <w:pStyle w:val="TableParagraph"/>
                                    <w:spacing w:line="177" w:lineRule="exact" w:before="3"/>
                                    <w:rPr>
                                      <w:sz w:val="16"/>
                                    </w:rPr>
                                  </w:pPr>
                                  <w:r>
                                    <w:rPr>
                                      <w:w w:val="105"/>
                                      <w:sz w:val="16"/>
                                    </w:rPr>
                                    <w:t>Year</w:t>
                                  </w:r>
                                  <w:r>
                                    <w:rPr>
                                      <w:spacing w:val="-11"/>
                                      <w:w w:val="105"/>
                                      <w:sz w:val="16"/>
                                    </w:rPr>
                                    <w:t> </w:t>
                                  </w:r>
                                  <w:r>
                                    <w:rPr>
                                      <w:w w:val="105"/>
                                      <w:sz w:val="16"/>
                                    </w:rPr>
                                    <w:t>ended</w:t>
                                  </w:r>
                                  <w:r>
                                    <w:rPr>
                                      <w:spacing w:val="-9"/>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2019</w:t>
                                  </w:r>
                                </w:p>
                              </w:tc>
                              <w:tc>
                                <w:tcPr>
                                  <w:tcW w:w="327" w:type="dxa"/>
                                  <w:tcBorders>
                                    <w:bottom w:val="double" w:sz="6" w:space="0" w:color="000000"/>
                                  </w:tcBorders>
                                  <w:shd w:val="clear" w:color="auto" w:fill="CCEDFF"/>
                                </w:tcPr>
                                <w:p>
                                  <w:pPr>
                                    <w:pStyle w:val="TableParagraph"/>
                                    <w:rPr>
                                      <w:sz w:val="12"/>
                                    </w:rPr>
                                  </w:pPr>
                                </w:p>
                              </w:tc>
                              <w:tc>
                                <w:tcPr>
                                  <w:tcW w:w="1410" w:type="dxa"/>
                                  <w:gridSpan w:val="2"/>
                                  <w:tcBorders>
                                    <w:bottom w:val="double" w:sz="6" w:space="0" w:color="000000"/>
                                  </w:tcBorders>
                                  <w:shd w:val="clear" w:color="auto" w:fill="CCEDFF"/>
                                </w:tcPr>
                                <w:p>
                                  <w:pPr>
                                    <w:pStyle w:val="TableParagraph"/>
                                    <w:tabs>
                                      <w:tab w:pos="1021" w:val="left" w:leader="none"/>
                                    </w:tabs>
                                    <w:spacing w:line="177" w:lineRule="exact" w:before="3"/>
                                    <w:ind w:left="59"/>
                                    <w:rPr>
                                      <w:sz w:val="16"/>
                                    </w:rPr>
                                  </w:pPr>
                                  <w:r>
                                    <w:rPr>
                                      <w:spacing w:val="-10"/>
                                      <w:w w:val="105"/>
                                      <w:sz w:val="16"/>
                                    </w:rPr>
                                    <w:t>$</w:t>
                                  </w:r>
                                  <w:r>
                                    <w:rPr>
                                      <w:sz w:val="16"/>
                                    </w:rPr>
                                    <w:tab/>
                                  </w:r>
                                  <w:r>
                                    <w:rPr>
                                      <w:spacing w:val="-5"/>
                                      <w:w w:val="105"/>
                                      <w:sz w:val="16"/>
                                    </w:rPr>
                                    <w:t>317</w:t>
                                  </w:r>
                                </w:p>
                              </w:tc>
                              <w:tc>
                                <w:tcPr>
                                  <w:tcW w:w="273" w:type="dxa"/>
                                  <w:tcBorders>
                                    <w:bottom w:val="double" w:sz="6" w:space="0" w:color="000000"/>
                                  </w:tcBorders>
                                  <w:shd w:val="clear" w:color="auto" w:fill="CCEDFF"/>
                                </w:tcPr>
                                <w:p>
                                  <w:pPr>
                                    <w:pStyle w:val="TableParagraph"/>
                                    <w:spacing w:line="177" w:lineRule="exact" w:before="3"/>
                                    <w:ind w:right="10"/>
                                    <w:jc w:val="center"/>
                                    <w:rPr>
                                      <w:sz w:val="16"/>
                                    </w:rPr>
                                  </w:pPr>
                                  <w:r>
                                    <w:rPr>
                                      <w:spacing w:val="-10"/>
                                      <w:w w:val="105"/>
                                      <w:sz w:val="16"/>
                                    </w:rPr>
                                    <w:t>$</w:t>
                                  </w:r>
                                </w:p>
                              </w:tc>
                              <w:tc>
                                <w:tcPr>
                                  <w:tcW w:w="850" w:type="dxa"/>
                                  <w:tcBorders>
                                    <w:bottom w:val="double" w:sz="6" w:space="0" w:color="000000"/>
                                  </w:tcBorders>
                                  <w:shd w:val="clear" w:color="auto" w:fill="CCEDFF"/>
                                </w:tcPr>
                                <w:p>
                                  <w:pPr>
                                    <w:pStyle w:val="TableParagraph"/>
                                    <w:rPr>
                                      <w:sz w:val="12"/>
                                    </w:rPr>
                                  </w:pPr>
                                </w:p>
                              </w:tc>
                              <w:tc>
                                <w:tcPr>
                                  <w:tcW w:w="309" w:type="dxa"/>
                                  <w:tcBorders>
                                    <w:bottom w:val="double" w:sz="6" w:space="0" w:color="000000"/>
                                  </w:tcBorders>
                                  <w:shd w:val="clear" w:color="auto" w:fill="CCEDFF"/>
                                </w:tcPr>
                                <w:p>
                                  <w:pPr>
                                    <w:pStyle w:val="TableParagraph"/>
                                    <w:spacing w:line="177" w:lineRule="exact" w:before="3"/>
                                    <w:ind w:right="18"/>
                                    <w:jc w:val="center"/>
                                    <w:rPr>
                                      <w:sz w:val="16"/>
                                    </w:rPr>
                                  </w:pPr>
                                  <w:r>
                                    <w:rPr>
                                      <w:spacing w:val="-5"/>
                                      <w:w w:val="105"/>
                                      <w:sz w:val="16"/>
                                    </w:rPr>
                                    <w:t>10</w:t>
                                  </w:r>
                                </w:p>
                              </w:tc>
                              <w:tc>
                                <w:tcPr>
                                  <w:tcW w:w="1414" w:type="dxa"/>
                                  <w:tcBorders>
                                    <w:bottom w:val="double" w:sz="6" w:space="0" w:color="000000"/>
                                  </w:tcBorders>
                                  <w:shd w:val="clear" w:color="auto" w:fill="CCEDFF"/>
                                </w:tcPr>
                                <w:p>
                                  <w:pPr>
                                    <w:pStyle w:val="TableParagraph"/>
                                    <w:tabs>
                                      <w:tab w:pos="974" w:val="left" w:leader="none"/>
                                    </w:tabs>
                                    <w:spacing w:line="177" w:lineRule="exact" w:before="3"/>
                                    <w:ind w:right="41"/>
                                    <w:jc w:val="right"/>
                                    <w:rPr>
                                      <w:sz w:val="16"/>
                                    </w:rPr>
                                  </w:pPr>
                                  <w:r>
                                    <w:rPr>
                                      <w:spacing w:val="-10"/>
                                      <w:w w:val="105"/>
                                      <w:sz w:val="16"/>
                                    </w:rPr>
                                    <w:t>$</w:t>
                                  </w:r>
                                  <w:r>
                                    <w:rPr>
                                      <w:sz w:val="16"/>
                                    </w:rPr>
                                    <w:tab/>
                                  </w:r>
                                  <w:r>
                                    <w:rPr>
                                      <w:spacing w:val="-5"/>
                                      <w:w w:val="105"/>
                                      <w:sz w:val="16"/>
                                    </w:rPr>
                                    <w:t>112</w:t>
                                  </w:r>
                                </w:p>
                              </w:tc>
                              <w:tc>
                                <w:tcPr>
                                  <w:tcW w:w="1356" w:type="dxa"/>
                                  <w:gridSpan w:val="3"/>
                                  <w:tcBorders>
                                    <w:bottom w:val="double" w:sz="6" w:space="0" w:color="000000"/>
                                  </w:tcBorders>
                                  <w:shd w:val="clear" w:color="auto" w:fill="CCEDFF"/>
                                </w:tcPr>
                                <w:p>
                                  <w:pPr>
                                    <w:pStyle w:val="TableParagraph"/>
                                    <w:tabs>
                                      <w:tab w:pos="1109" w:val="left" w:leader="none"/>
                                    </w:tabs>
                                    <w:spacing w:line="177" w:lineRule="exact" w:before="3"/>
                                    <w:ind w:left="185" w:right="-15"/>
                                    <w:rPr>
                                      <w:sz w:val="16"/>
                                    </w:rPr>
                                  </w:pPr>
                                  <w:r>
                                    <w:rPr>
                                      <w:spacing w:val="-10"/>
                                      <w:w w:val="105"/>
                                      <w:sz w:val="16"/>
                                    </w:rPr>
                                    <w:t>$</w:t>
                                  </w:r>
                                  <w:r>
                                    <w:rPr>
                                      <w:sz w:val="16"/>
                                    </w:rPr>
                                    <w:tab/>
                                  </w:r>
                                  <w:r>
                                    <w:rPr>
                                      <w:spacing w:val="-5"/>
                                      <w:w w:val="105"/>
                                      <w:sz w:val="16"/>
                                    </w:rPr>
                                    <w:t>215</w:t>
                                  </w:r>
                                </w:p>
                              </w:tc>
                            </w:tr>
                            <w:tr>
                              <w:trPr>
                                <w:trHeight w:val="478" w:hRule="atLeast"/>
                              </w:trPr>
                              <w:tc>
                                <w:tcPr>
                                  <w:tcW w:w="5575" w:type="dxa"/>
                                  <w:gridSpan w:val="3"/>
                                  <w:tcBorders>
                                    <w:top w:val="double" w:sz="6" w:space="0" w:color="000000"/>
                                    <w:bottom w:val="single" w:sz="12" w:space="0" w:color="000000"/>
                                  </w:tcBorders>
                                </w:tcPr>
                                <w:p>
                                  <w:pPr>
                                    <w:pStyle w:val="TableParagraph"/>
                                    <w:rPr>
                                      <w:sz w:val="16"/>
                                    </w:rPr>
                                  </w:pPr>
                                </w:p>
                              </w:tc>
                              <w:tc>
                                <w:tcPr>
                                  <w:tcW w:w="327" w:type="dxa"/>
                                  <w:tcBorders>
                                    <w:top w:val="double" w:sz="6" w:space="0" w:color="000000"/>
                                    <w:bottom w:val="single" w:sz="12" w:space="0" w:color="000000"/>
                                  </w:tcBorders>
                                </w:tcPr>
                                <w:p>
                                  <w:pPr>
                                    <w:pStyle w:val="TableParagraph"/>
                                    <w:spacing w:before="19"/>
                                    <w:rPr>
                                      <w:sz w:val="16"/>
                                    </w:rPr>
                                  </w:pPr>
                                </w:p>
                                <w:p>
                                  <w:pPr>
                                    <w:pStyle w:val="TableParagraph"/>
                                    <w:spacing w:before="1"/>
                                    <w:ind w:left="99"/>
                                    <w:rPr>
                                      <w:sz w:val="16"/>
                                    </w:rPr>
                                  </w:pPr>
                                  <w:r>
                                    <w:rPr>
                                      <w:spacing w:val="-5"/>
                                      <w:w w:val="105"/>
                                      <w:sz w:val="16"/>
                                    </w:rPr>
                                    <w:t>87</w:t>
                                  </w:r>
                                </w:p>
                              </w:tc>
                              <w:tc>
                                <w:tcPr>
                                  <w:tcW w:w="1410" w:type="dxa"/>
                                  <w:gridSpan w:val="2"/>
                                  <w:tcBorders>
                                    <w:top w:val="double" w:sz="6" w:space="0" w:color="000000"/>
                                    <w:bottom w:val="single" w:sz="12" w:space="0" w:color="000000"/>
                                  </w:tcBorders>
                                </w:tcPr>
                                <w:p>
                                  <w:pPr>
                                    <w:pStyle w:val="TableParagraph"/>
                                    <w:rPr>
                                      <w:sz w:val="16"/>
                                    </w:rPr>
                                  </w:pPr>
                                </w:p>
                              </w:tc>
                              <w:tc>
                                <w:tcPr>
                                  <w:tcW w:w="273" w:type="dxa"/>
                                  <w:tcBorders>
                                    <w:top w:val="double" w:sz="6" w:space="0" w:color="000000"/>
                                    <w:bottom w:val="single" w:sz="12" w:space="0" w:color="000000"/>
                                  </w:tcBorders>
                                </w:tcPr>
                                <w:p>
                                  <w:pPr>
                                    <w:pStyle w:val="TableParagraph"/>
                                    <w:rPr>
                                      <w:sz w:val="16"/>
                                    </w:rPr>
                                  </w:pPr>
                                </w:p>
                              </w:tc>
                              <w:tc>
                                <w:tcPr>
                                  <w:tcW w:w="850" w:type="dxa"/>
                                  <w:tcBorders>
                                    <w:top w:val="double" w:sz="6" w:space="0" w:color="000000"/>
                                    <w:bottom w:val="single" w:sz="12" w:space="0" w:color="000000"/>
                                  </w:tcBorders>
                                </w:tcPr>
                                <w:p>
                                  <w:pPr>
                                    <w:pStyle w:val="TableParagraph"/>
                                    <w:rPr>
                                      <w:sz w:val="16"/>
                                    </w:rPr>
                                  </w:pPr>
                                </w:p>
                              </w:tc>
                              <w:tc>
                                <w:tcPr>
                                  <w:tcW w:w="309" w:type="dxa"/>
                                  <w:tcBorders>
                                    <w:top w:val="double" w:sz="6" w:space="0" w:color="000000"/>
                                    <w:bottom w:val="single" w:sz="12" w:space="0" w:color="000000"/>
                                  </w:tcBorders>
                                </w:tcPr>
                                <w:p>
                                  <w:pPr>
                                    <w:pStyle w:val="TableParagraph"/>
                                    <w:rPr>
                                      <w:sz w:val="16"/>
                                    </w:rPr>
                                  </w:pPr>
                                </w:p>
                              </w:tc>
                              <w:tc>
                                <w:tcPr>
                                  <w:tcW w:w="1414" w:type="dxa"/>
                                  <w:tcBorders>
                                    <w:top w:val="double" w:sz="6" w:space="0" w:color="000000"/>
                                    <w:bottom w:val="single" w:sz="12" w:space="0" w:color="000000"/>
                                  </w:tcBorders>
                                </w:tcPr>
                                <w:p>
                                  <w:pPr>
                                    <w:pStyle w:val="TableParagraph"/>
                                    <w:rPr>
                                      <w:sz w:val="16"/>
                                    </w:rPr>
                                  </w:pPr>
                                </w:p>
                              </w:tc>
                              <w:tc>
                                <w:tcPr>
                                  <w:tcW w:w="1356" w:type="dxa"/>
                                  <w:gridSpan w:val="3"/>
                                  <w:tcBorders>
                                    <w:top w:val="double" w:sz="6" w:space="0" w:color="000000"/>
                                    <w:bottom w:val="single" w:sz="12"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4.83374pt;margin-top:414.625366pt;width:581.8pt;height:197.85pt;mso-position-horizontal-relative:page;mso-position-vertical-relative:page;z-index:15827456" type="#_x0000_t202" id="docshape38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5"/>
                        <w:gridCol w:w="1410"/>
                        <w:gridCol w:w="710"/>
                        <w:gridCol w:w="327"/>
                        <w:gridCol w:w="175"/>
                        <w:gridCol w:w="1235"/>
                        <w:gridCol w:w="273"/>
                        <w:gridCol w:w="850"/>
                        <w:gridCol w:w="309"/>
                        <w:gridCol w:w="1414"/>
                        <w:gridCol w:w="156"/>
                        <w:gridCol w:w="823"/>
                        <w:gridCol w:w="377"/>
                      </w:tblGrid>
                      <w:tr>
                        <w:trPr>
                          <w:trHeight w:val="201" w:hRule="atLeast"/>
                        </w:trPr>
                        <w:tc>
                          <w:tcPr>
                            <w:tcW w:w="4865" w:type="dxa"/>
                            <w:gridSpan w:val="2"/>
                            <w:tcBorders>
                              <w:bottom w:val="single" w:sz="6" w:space="0" w:color="000000"/>
                            </w:tcBorders>
                          </w:tcPr>
                          <w:p>
                            <w:pPr>
                              <w:pStyle w:val="TableParagraph"/>
                              <w:rPr>
                                <w:sz w:val="14"/>
                              </w:rPr>
                            </w:pPr>
                          </w:p>
                        </w:tc>
                        <w:tc>
                          <w:tcPr>
                            <w:tcW w:w="710" w:type="dxa"/>
                            <w:tcBorders>
                              <w:bottom w:val="single" w:sz="6" w:space="0" w:color="000000"/>
                            </w:tcBorders>
                          </w:tcPr>
                          <w:p>
                            <w:pPr>
                              <w:pStyle w:val="TableParagraph"/>
                              <w:spacing w:line="179" w:lineRule="exact" w:before="2"/>
                              <w:ind w:left="106"/>
                              <w:rPr>
                                <w:b/>
                                <w:sz w:val="16"/>
                              </w:rPr>
                            </w:pPr>
                            <w:r>
                              <w:rPr>
                                <w:b/>
                                <w:spacing w:val="-2"/>
                                <w:w w:val="105"/>
                                <w:sz w:val="16"/>
                              </w:rPr>
                              <w:t>Amount</w:t>
                            </w:r>
                          </w:p>
                        </w:tc>
                        <w:tc>
                          <w:tcPr>
                            <w:tcW w:w="502" w:type="dxa"/>
                            <w:gridSpan w:val="2"/>
                            <w:tcBorders>
                              <w:bottom w:val="single" w:sz="6" w:space="0" w:color="000000"/>
                            </w:tcBorders>
                          </w:tcPr>
                          <w:p>
                            <w:pPr>
                              <w:pStyle w:val="TableParagraph"/>
                              <w:rPr>
                                <w:sz w:val="14"/>
                              </w:rPr>
                            </w:pPr>
                          </w:p>
                        </w:tc>
                        <w:tc>
                          <w:tcPr>
                            <w:tcW w:w="1235" w:type="dxa"/>
                            <w:tcBorders>
                              <w:top w:val="single" w:sz="6" w:space="0" w:color="000000"/>
                              <w:bottom w:val="single" w:sz="6" w:space="0" w:color="000000"/>
                            </w:tcBorders>
                          </w:tcPr>
                          <w:p>
                            <w:pPr>
                              <w:pStyle w:val="TableParagraph"/>
                              <w:spacing w:line="179" w:lineRule="exact" w:before="2"/>
                              <w:ind w:left="-1" w:right="87"/>
                              <w:jc w:val="right"/>
                              <w:rPr>
                                <w:sz w:val="16"/>
                              </w:rPr>
                            </w:pPr>
                            <w:r>
                              <w:rPr>
                                <w:sz w:val="16"/>
                              </w:rPr>
                              <w:t>2022-</w:t>
                            </w:r>
                            <w:r>
                              <w:rPr>
                                <w:spacing w:val="-4"/>
                                <w:sz w:val="16"/>
                              </w:rPr>
                              <w:t>2026</w:t>
                            </w:r>
                          </w:p>
                        </w:tc>
                        <w:tc>
                          <w:tcPr>
                            <w:tcW w:w="1432" w:type="dxa"/>
                            <w:gridSpan w:val="3"/>
                            <w:tcBorders>
                              <w:top w:val="single" w:sz="6" w:space="0" w:color="000000"/>
                              <w:bottom w:val="single" w:sz="6" w:space="0" w:color="000000"/>
                            </w:tcBorders>
                          </w:tcPr>
                          <w:p>
                            <w:pPr>
                              <w:pStyle w:val="TableParagraph"/>
                              <w:spacing w:line="179" w:lineRule="exact" w:before="2"/>
                              <w:ind w:left="568"/>
                              <w:rPr>
                                <w:sz w:val="16"/>
                              </w:rPr>
                            </w:pPr>
                            <w:r>
                              <w:rPr>
                                <w:sz w:val="16"/>
                              </w:rPr>
                              <w:t>2027-</w:t>
                            </w:r>
                            <w:r>
                              <w:rPr>
                                <w:spacing w:val="-4"/>
                                <w:sz w:val="16"/>
                              </w:rPr>
                              <w:t>2031</w:t>
                            </w:r>
                          </w:p>
                        </w:tc>
                        <w:tc>
                          <w:tcPr>
                            <w:tcW w:w="1414" w:type="dxa"/>
                            <w:tcBorders>
                              <w:top w:val="single" w:sz="6" w:space="0" w:color="000000"/>
                              <w:bottom w:val="single" w:sz="6" w:space="0" w:color="000000"/>
                            </w:tcBorders>
                          </w:tcPr>
                          <w:p>
                            <w:pPr>
                              <w:pStyle w:val="TableParagraph"/>
                              <w:spacing w:line="179" w:lineRule="exact" w:before="2"/>
                              <w:ind w:left="512"/>
                              <w:rPr>
                                <w:sz w:val="16"/>
                              </w:rPr>
                            </w:pPr>
                            <w:r>
                              <w:rPr>
                                <w:sz w:val="16"/>
                              </w:rPr>
                              <w:t>2032-</w:t>
                            </w:r>
                            <w:r>
                              <w:rPr>
                                <w:spacing w:val="-4"/>
                                <w:sz w:val="16"/>
                              </w:rPr>
                              <w:t>2041</w:t>
                            </w:r>
                          </w:p>
                        </w:tc>
                        <w:tc>
                          <w:tcPr>
                            <w:tcW w:w="156" w:type="dxa"/>
                            <w:tcBorders>
                              <w:top w:val="single" w:sz="6" w:space="0" w:color="000000"/>
                              <w:bottom w:val="single" w:sz="6" w:space="0" w:color="000000"/>
                            </w:tcBorders>
                          </w:tcPr>
                          <w:p>
                            <w:pPr>
                              <w:pStyle w:val="TableParagraph"/>
                              <w:rPr>
                                <w:sz w:val="14"/>
                              </w:rPr>
                            </w:pPr>
                          </w:p>
                        </w:tc>
                        <w:tc>
                          <w:tcPr>
                            <w:tcW w:w="823" w:type="dxa"/>
                            <w:tcBorders>
                              <w:top w:val="single" w:sz="6" w:space="0" w:color="000000"/>
                              <w:bottom w:val="single" w:sz="6" w:space="0" w:color="000000"/>
                            </w:tcBorders>
                          </w:tcPr>
                          <w:p>
                            <w:pPr>
                              <w:pStyle w:val="TableParagraph"/>
                              <w:spacing w:line="179" w:lineRule="exact" w:before="2"/>
                              <w:ind w:left="165"/>
                              <w:rPr>
                                <w:sz w:val="16"/>
                              </w:rPr>
                            </w:pPr>
                            <w:r>
                              <w:rPr>
                                <w:spacing w:val="-2"/>
                                <w:w w:val="105"/>
                                <w:sz w:val="16"/>
                              </w:rPr>
                              <w:t>Indefinite</w:t>
                            </w:r>
                          </w:p>
                        </w:tc>
                        <w:tc>
                          <w:tcPr>
                            <w:tcW w:w="377" w:type="dxa"/>
                            <w:tcBorders>
                              <w:top w:val="single" w:sz="6" w:space="0" w:color="000000"/>
                              <w:bottom w:val="single" w:sz="6" w:space="0" w:color="000000"/>
                            </w:tcBorders>
                          </w:tcPr>
                          <w:p>
                            <w:pPr>
                              <w:pStyle w:val="TableParagraph"/>
                              <w:rPr>
                                <w:sz w:val="14"/>
                              </w:rPr>
                            </w:pPr>
                          </w:p>
                        </w:tc>
                      </w:tr>
                      <w:tr>
                        <w:trPr>
                          <w:trHeight w:val="202" w:hRule="atLeast"/>
                        </w:trPr>
                        <w:tc>
                          <w:tcPr>
                            <w:tcW w:w="3455" w:type="dxa"/>
                            <w:tcBorders>
                              <w:top w:val="single" w:sz="6" w:space="0" w:color="000000"/>
                            </w:tcBorders>
                            <w:shd w:val="clear" w:color="auto" w:fill="CCEDFF"/>
                          </w:tcPr>
                          <w:p>
                            <w:pPr>
                              <w:pStyle w:val="TableParagraph"/>
                              <w:spacing w:line="180" w:lineRule="exact" w:before="2"/>
                              <w:rPr>
                                <w:sz w:val="16"/>
                              </w:rPr>
                            </w:pPr>
                            <w:r>
                              <w:rPr>
                                <w:w w:val="105"/>
                                <w:sz w:val="16"/>
                              </w:rPr>
                              <w:t>Net</w:t>
                            </w:r>
                            <w:r>
                              <w:rPr>
                                <w:spacing w:val="-10"/>
                                <w:w w:val="105"/>
                                <w:sz w:val="16"/>
                              </w:rPr>
                              <w:t> </w:t>
                            </w:r>
                            <w:r>
                              <w:rPr>
                                <w:w w:val="105"/>
                                <w:sz w:val="16"/>
                              </w:rPr>
                              <w:t>operating</w:t>
                            </w:r>
                            <w:r>
                              <w:rPr>
                                <w:spacing w:val="-9"/>
                                <w:w w:val="105"/>
                                <w:sz w:val="16"/>
                              </w:rPr>
                              <w:t> </w:t>
                            </w:r>
                            <w:r>
                              <w:rPr>
                                <w:spacing w:val="-2"/>
                                <w:w w:val="105"/>
                                <w:sz w:val="16"/>
                              </w:rPr>
                              <w:t>losses</w:t>
                            </w:r>
                          </w:p>
                        </w:tc>
                        <w:tc>
                          <w:tcPr>
                            <w:tcW w:w="1410" w:type="dxa"/>
                            <w:tcBorders>
                              <w:top w:val="single" w:sz="6" w:space="0" w:color="000000"/>
                            </w:tcBorders>
                            <w:shd w:val="clear" w:color="auto" w:fill="CCEDFF"/>
                          </w:tcPr>
                          <w:p>
                            <w:pPr>
                              <w:pStyle w:val="TableParagraph"/>
                              <w:spacing w:line="180" w:lineRule="exact" w:before="2"/>
                              <w:ind w:right="105"/>
                              <w:jc w:val="right"/>
                              <w:rPr>
                                <w:b/>
                                <w:sz w:val="16"/>
                              </w:rPr>
                            </w:pPr>
                            <w:r>
                              <w:rPr>
                                <w:b/>
                                <w:spacing w:val="-10"/>
                                <w:w w:val="105"/>
                                <w:sz w:val="16"/>
                              </w:rPr>
                              <w:t>$</w:t>
                            </w:r>
                          </w:p>
                        </w:tc>
                        <w:tc>
                          <w:tcPr>
                            <w:tcW w:w="710" w:type="dxa"/>
                            <w:tcBorders>
                              <w:top w:val="single" w:sz="6" w:space="0" w:color="000000"/>
                            </w:tcBorders>
                            <w:shd w:val="clear" w:color="auto" w:fill="CCEDFF"/>
                          </w:tcPr>
                          <w:p>
                            <w:pPr>
                              <w:pStyle w:val="TableParagraph"/>
                              <w:rPr>
                                <w:sz w:val="14"/>
                              </w:rPr>
                            </w:pPr>
                          </w:p>
                        </w:tc>
                        <w:tc>
                          <w:tcPr>
                            <w:tcW w:w="502" w:type="dxa"/>
                            <w:gridSpan w:val="2"/>
                            <w:tcBorders>
                              <w:top w:val="single" w:sz="6" w:space="0" w:color="000000"/>
                            </w:tcBorders>
                            <w:shd w:val="clear" w:color="auto" w:fill="CCEDFF"/>
                          </w:tcPr>
                          <w:p>
                            <w:pPr>
                              <w:pStyle w:val="TableParagraph"/>
                              <w:spacing w:line="180" w:lineRule="exact" w:before="2"/>
                              <w:ind w:left="23"/>
                              <w:rPr>
                                <w:b/>
                                <w:sz w:val="16"/>
                              </w:rPr>
                            </w:pPr>
                            <w:r>
                              <w:rPr>
                                <w:b/>
                                <w:spacing w:val="-5"/>
                                <w:w w:val="105"/>
                                <w:sz w:val="16"/>
                              </w:rPr>
                              <w:t>303</w:t>
                            </w:r>
                          </w:p>
                        </w:tc>
                        <w:tc>
                          <w:tcPr>
                            <w:tcW w:w="1235" w:type="dxa"/>
                            <w:tcBorders>
                              <w:top w:val="single" w:sz="6" w:space="0" w:color="000000"/>
                            </w:tcBorders>
                            <w:shd w:val="clear" w:color="auto" w:fill="CCEDFF"/>
                          </w:tcPr>
                          <w:p>
                            <w:pPr>
                              <w:pStyle w:val="TableParagraph"/>
                              <w:tabs>
                                <w:tab w:pos="897" w:val="left" w:leader="none"/>
                              </w:tabs>
                              <w:spacing w:line="180" w:lineRule="exact" w:before="2"/>
                              <w:ind w:left="-1" w:right="87"/>
                              <w:jc w:val="right"/>
                              <w:rPr>
                                <w:sz w:val="16"/>
                              </w:rPr>
                            </w:pPr>
                            <w:r>
                              <w:rPr>
                                <w:spacing w:val="-10"/>
                                <w:w w:val="105"/>
                                <w:sz w:val="16"/>
                              </w:rPr>
                              <w:t>$</w:t>
                            </w:r>
                            <w:r>
                              <w:rPr>
                                <w:sz w:val="16"/>
                              </w:rPr>
                              <w:tab/>
                            </w:r>
                            <w:r>
                              <w:rPr>
                                <w:spacing w:val="-5"/>
                                <w:w w:val="105"/>
                                <w:sz w:val="16"/>
                              </w:rPr>
                              <w:t>102</w:t>
                            </w:r>
                          </w:p>
                        </w:tc>
                        <w:tc>
                          <w:tcPr>
                            <w:tcW w:w="1432" w:type="dxa"/>
                            <w:gridSpan w:val="3"/>
                            <w:tcBorders>
                              <w:top w:val="single" w:sz="6" w:space="0" w:color="000000"/>
                            </w:tcBorders>
                            <w:shd w:val="clear" w:color="auto" w:fill="CCEDFF"/>
                          </w:tcPr>
                          <w:p>
                            <w:pPr>
                              <w:pStyle w:val="TableParagraph"/>
                              <w:tabs>
                                <w:tab w:pos="1120" w:val="left" w:leader="none"/>
                              </w:tabs>
                              <w:spacing w:line="180" w:lineRule="exact" w:before="2"/>
                              <w:ind w:left="139"/>
                              <w:rPr>
                                <w:sz w:val="16"/>
                              </w:rPr>
                            </w:pPr>
                            <w:r>
                              <w:rPr>
                                <w:spacing w:val="-10"/>
                                <w:w w:val="105"/>
                                <w:sz w:val="16"/>
                              </w:rPr>
                              <w:t>$</w:t>
                            </w:r>
                            <w:r>
                              <w:rPr>
                                <w:sz w:val="16"/>
                              </w:rPr>
                              <w:tab/>
                            </w:r>
                            <w:r>
                              <w:rPr>
                                <w:spacing w:val="-5"/>
                                <w:w w:val="105"/>
                                <w:sz w:val="16"/>
                              </w:rPr>
                              <w:t>16</w:t>
                            </w:r>
                          </w:p>
                        </w:tc>
                        <w:tc>
                          <w:tcPr>
                            <w:tcW w:w="1414" w:type="dxa"/>
                            <w:tcBorders>
                              <w:top w:val="single" w:sz="6" w:space="0" w:color="000000"/>
                            </w:tcBorders>
                            <w:shd w:val="clear" w:color="auto" w:fill="CCEDFF"/>
                          </w:tcPr>
                          <w:p>
                            <w:pPr>
                              <w:pStyle w:val="TableParagraph"/>
                              <w:tabs>
                                <w:tab w:pos="1064" w:val="left" w:leader="none"/>
                              </w:tabs>
                              <w:spacing w:line="180" w:lineRule="exact" w:before="2"/>
                              <w:ind w:left="83"/>
                              <w:rPr>
                                <w:sz w:val="16"/>
                              </w:rPr>
                            </w:pPr>
                            <w:r>
                              <w:rPr>
                                <w:spacing w:val="-10"/>
                                <w:w w:val="105"/>
                                <w:sz w:val="16"/>
                              </w:rPr>
                              <w:t>$</w:t>
                            </w:r>
                            <w:r>
                              <w:rPr>
                                <w:sz w:val="16"/>
                              </w:rPr>
                              <w:tab/>
                            </w:r>
                            <w:r>
                              <w:rPr>
                                <w:spacing w:val="-5"/>
                                <w:w w:val="105"/>
                                <w:sz w:val="16"/>
                              </w:rPr>
                              <w:t>41</w:t>
                            </w:r>
                          </w:p>
                        </w:tc>
                        <w:tc>
                          <w:tcPr>
                            <w:tcW w:w="156" w:type="dxa"/>
                            <w:tcBorders>
                              <w:top w:val="single" w:sz="6" w:space="0" w:color="000000"/>
                            </w:tcBorders>
                            <w:shd w:val="clear" w:color="auto" w:fill="CCEDFF"/>
                          </w:tcPr>
                          <w:p>
                            <w:pPr>
                              <w:pStyle w:val="TableParagraph"/>
                              <w:spacing w:line="180" w:lineRule="exact" w:before="2"/>
                              <w:ind w:left="17"/>
                              <w:jc w:val="center"/>
                              <w:rPr>
                                <w:sz w:val="16"/>
                              </w:rPr>
                            </w:pPr>
                            <w:r>
                              <w:rPr>
                                <w:spacing w:val="-10"/>
                                <w:w w:val="105"/>
                                <w:sz w:val="16"/>
                              </w:rPr>
                              <w:t>$</w:t>
                            </w:r>
                          </w:p>
                        </w:tc>
                        <w:tc>
                          <w:tcPr>
                            <w:tcW w:w="823" w:type="dxa"/>
                            <w:tcBorders>
                              <w:top w:val="single" w:sz="6" w:space="0" w:color="000000"/>
                            </w:tcBorders>
                            <w:shd w:val="clear" w:color="auto" w:fill="CCEDFF"/>
                          </w:tcPr>
                          <w:p>
                            <w:pPr>
                              <w:pStyle w:val="TableParagraph"/>
                              <w:rPr>
                                <w:sz w:val="14"/>
                              </w:rPr>
                            </w:pPr>
                          </w:p>
                        </w:tc>
                        <w:tc>
                          <w:tcPr>
                            <w:tcW w:w="377" w:type="dxa"/>
                            <w:tcBorders>
                              <w:top w:val="single" w:sz="6" w:space="0" w:color="000000"/>
                            </w:tcBorders>
                            <w:shd w:val="clear" w:color="auto" w:fill="CCEDFF"/>
                          </w:tcPr>
                          <w:p>
                            <w:pPr>
                              <w:pStyle w:val="TableParagraph"/>
                              <w:spacing w:line="180" w:lineRule="exact" w:before="2"/>
                              <w:ind w:right="111"/>
                              <w:jc w:val="right"/>
                              <w:rPr>
                                <w:sz w:val="16"/>
                              </w:rPr>
                            </w:pPr>
                            <w:r>
                              <w:rPr>
                                <w:spacing w:val="-5"/>
                                <w:w w:val="105"/>
                                <w:sz w:val="16"/>
                              </w:rPr>
                              <w:t>144</w:t>
                            </w:r>
                          </w:p>
                        </w:tc>
                      </w:tr>
                      <w:tr>
                        <w:trPr>
                          <w:trHeight w:val="202" w:hRule="atLeast"/>
                        </w:trPr>
                        <w:tc>
                          <w:tcPr>
                            <w:tcW w:w="3455" w:type="dxa"/>
                            <w:tcBorders>
                              <w:bottom w:val="single" w:sz="6" w:space="0" w:color="000000"/>
                            </w:tcBorders>
                          </w:tcPr>
                          <w:p>
                            <w:pPr>
                              <w:pStyle w:val="TableParagraph"/>
                              <w:spacing w:line="179" w:lineRule="exact" w:before="3"/>
                              <w:rPr>
                                <w:sz w:val="16"/>
                              </w:rPr>
                            </w:pPr>
                            <w:r>
                              <w:rPr>
                                <w:w w:val="105"/>
                                <w:sz w:val="16"/>
                              </w:rPr>
                              <w:t>Tax</w:t>
                            </w:r>
                            <w:r>
                              <w:rPr>
                                <w:spacing w:val="-6"/>
                                <w:w w:val="105"/>
                                <w:sz w:val="16"/>
                              </w:rPr>
                              <w:t> </w:t>
                            </w:r>
                            <w:r>
                              <w:rPr>
                                <w:spacing w:val="-2"/>
                                <w:w w:val="105"/>
                                <w:sz w:val="16"/>
                              </w:rPr>
                              <w:t>credits</w:t>
                            </w:r>
                          </w:p>
                        </w:tc>
                        <w:tc>
                          <w:tcPr>
                            <w:tcW w:w="1410" w:type="dxa"/>
                            <w:tcBorders>
                              <w:bottom w:val="single" w:sz="6" w:space="0" w:color="000000"/>
                            </w:tcBorders>
                          </w:tcPr>
                          <w:p>
                            <w:pPr>
                              <w:pStyle w:val="TableParagraph"/>
                              <w:rPr>
                                <w:sz w:val="14"/>
                              </w:rPr>
                            </w:pPr>
                          </w:p>
                        </w:tc>
                        <w:tc>
                          <w:tcPr>
                            <w:tcW w:w="710" w:type="dxa"/>
                            <w:tcBorders>
                              <w:bottom w:val="single" w:sz="6" w:space="0" w:color="000000"/>
                            </w:tcBorders>
                          </w:tcPr>
                          <w:p>
                            <w:pPr>
                              <w:pStyle w:val="TableParagraph"/>
                              <w:rPr>
                                <w:sz w:val="14"/>
                              </w:rPr>
                            </w:pPr>
                          </w:p>
                        </w:tc>
                        <w:tc>
                          <w:tcPr>
                            <w:tcW w:w="502" w:type="dxa"/>
                            <w:gridSpan w:val="2"/>
                            <w:tcBorders>
                              <w:bottom w:val="single" w:sz="6" w:space="0" w:color="000000"/>
                            </w:tcBorders>
                          </w:tcPr>
                          <w:p>
                            <w:pPr>
                              <w:pStyle w:val="TableParagraph"/>
                              <w:spacing w:line="179" w:lineRule="exact" w:before="3"/>
                              <w:ind w:left="106"/>
                              <w:rPr>
                                <w:b/>
                                <w:sz w:val="16"/>
                              </w:rPr>
                            </w:pPr>
                            <w:r>
                              <w:rPr>
                                <w:b/>
                                <w:spacing w:val="-5"/>
                                <w:w w:val="105"/>
                                <w:sz w:val="16"/>
                              </w:rPr>
                              <w:t>72</w:t>
                            </w:r>
                          </w:p>
                        </w:tc>
                        <w:tc>
                          <w:tcPr>
                            <w:tcW w:w="1235" w:type="dxa"/>
                            <w:tcBorders>
                              <w:bottom w:val="single" w:sz="6" w:space="0" w:color="000000"/>
                            </w:tcBorders>
                          </w:tcPr>
                          <w:p>
                            <w:pPr>
                              <w:pStyle w:val="TableParagraph"/>
                              <w:spacing w:line="179" w:lineRule="exact" w:before="3"/>
                              <w:ind w:left="-1" w:right="87"/>
                              <w:jc w:val="right"/>
                              <w:rPr>
                                <w:sz w:val="16"/>
                              </w:rPr>
                            </w:pPr>
                            <w:r>
                              <w:rPr>
                                <w:spacing w:val="-10"/>
                                <w:w w:val="105"/>
                                <w:sz w:val="16"/>
                              </w:rPr>
                              <w:t>7</w:t>
                            </w:r>
                          </w:p>
                        </w:tc>
                        <w:tc>
                          <w:tcPr>
                            <w:tcW w:w="1432" w:type="dxa"/>
                            <w:gridSpan w:val="3"/>
                            <w:tcBorders>
                              <w:bottom w:val="single" w:sz="6" w:space="0" w:color="000000"/>
                            </w:tcBorders>
                          </w:tcPr>
                          <w:p>
                            <w:pPr>
                              <w:pStyle w:val="TableParagraph"/>
                              <w:spacing w:line="179" w:lineRule="exact" w:before="3"/>
                              <w:ind w:right="143"/>
                              <w:jc w:val="right"/>
                              <w:rPr>
                                <w:sz w:val="16"/>
                              </w:rPr>
                            </w:pPr>
                            <w:r>
                              <w:rPr>
                                <w:spacing w:val="-10"/>
                                <w:w w:val="105"/>
                                <w:sz w:val="16"/>
                              </w:rPr>
                              <w:t>1</w:t>
                            </w:r>
                          </w:p>
                        </w:tc>
                        <w:tc>
                          <w:tcPr>
                            <w:tcW w:w="1414" w:type="dxa"/>
                            <w:tcBorders>
                              <w:bottom w:val="single" w:sz="6" w:space="0" w:color="000000"/>
                            </w:tcBorders>
                          </w:tcPr>
                          <w:p>
                            <w:pPr>
                              <w:pStyle w:val="TableParagraph"/>
                              <w:spacing w:line="179" w:lineRule="exact" w:before="3"/>
                              <w:ind w:right="181"/>
                              <w:jc w:val="right"/>
                              <w:rPr>
                                <w:sz w:val="16"/>
                              </w:rPr>
                            </w:pPr>
                            <w:r>
                              <w:rPr>
                                <w:spacing w:val="-5"/>
                                <w:w w:val="105"/>
                                <w:sz w:val="16"/>
                              </w:rPr>
                              <w:t>59</w:t>
                            </w:r>
                          </w:p>
                        </w:tc>
                        <w:tc>
                          <w:tcPr>
                            <w:tcW w:w="156" w:type="dxa"/>
                            <w:tcBorders>
                              <w:bottom w:val="single" w:sz="6" w:space="0" w:color="000000"/>
                            </w:tcBorders>
                          </w:tcPr>
                          <w:p>
                            <w:pPr>
                              <w:pStyle w:val="TableParagraph"/>
                              <w:rPr>
                                <w:sz w:val="14"/>
                              </w:rPr>
                            </w:pPr>
                          </w:p>
                        </w:tc>
                        <w:tc>
                          <w:tcPr>
                            <w:tcW w:w="823" w:type="dxa"/>
                            <w:tcBorders>
                              <w:bottom w:val="single" w:sz="6" w:space="0" w:color="000000"/>
                            </w:tcBorders>
                          </w:tcPr>
                          <w:p>
                            <w:pPr>
                              <w:pStyle w:val="TableParagraph"/>
                              <w:rPr>
                                <w:sz w:val="14"/>
                              </w:rPr>
                            </w:pPr>
                          </w:p>
                        </w:tc>
                        <w:tc>
                          <w:tcPr>
                            <w:tcW w:w="377" w:type="dxa"/>
                            <w:tcBorders>
                              <w:bottom w:val="single" w:sz="6" w:space="0" w:color="000000"/>
                            </w:tcBorders>
                          </w:tcPr>
                          <w:p>
                            <w:pPr>
                              <w:pStyle w:val="TableParagraph"/>
                              <w:spacing w:line="179" w:lineRule="exact" w:before="3"/>
                              <w:ind w:right="111"/>
                              <w:jc w:val="right"/>
                              <w:rPr>
                                <w:sz w:val="16"/>
                              </w:rPr>
                            </w:pPr>
                            <w:r>
                              <w:rPr>
                                <w:spacing w:val="-10"/>
                                <w:w w:val="105"/>
                                <w:sz w:val="16"/>
                              </w:rPr>
                              <w:t>5</w:t>
                            </w:r>
                          </w:p>
                        </w:tc>
                      </w:tr>
                      <w:tr>
                        <w:trPr>
                          <w:trHeight w:val="199" w:hRule="atLeast"/>
                        </w:trPr>
                        <w:tc>
                          <w:tcPr>
                            <w:tcW w:w="3455"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Balance</w:t>
                            </w:r>
                            <w:r>
                              <w:rPr>
                                <w:spacing w:val="-8"/>
                                <w:w w:val="105"/>
                                <w:sz w:val="16"/>
                              </w:rPr>
                              <w:t> </w:t>
                            </w:r>
                            <w:r>
                              <w:rPr>
                                <w:w w:val="105"/>
                                <w:sz w:val="16"/>
                              </w:rPr>
                              <w:t>as</w:t>
                            </w:r>
                            <w:r>
                              <w:rPr>
                                <w:spacing w:val="-8"/>
                                <w:w w:val="105"/>
                                <w:sz w:val="16"/>
                              </w:rPr>
                              <w:t> </w:t>
                            </w:r>
                            <w:r>
                              <w:rPr>
                                <w:w w:val="105"/>
                                <w:sz w:val="16"/>
                              </w:rPr>
                              <w:t>of</w:t>
                            </w:r>
                            <w:r>
                              <w:rPr>
                                <w:spacing w:val="-8"/>
                                <w:w w:val="105"/>
                                <w:sz w:val="16"/>
                              </w:rPr>
                              <w:t> </w:t>
                            </w:r>
                            <w:r>
                              <w:rPr>
                                <w:w w:val="105"/>
                                <w:sz w:val="16"/>
                              </w:rPr>
                              <w:t>December</w:t>
                            </w:r>
                            <w:r>
                              <w:rPr>
                                <w:spacing w:val="-8"/>
                                <w:w w:val="105"/>
                                <w:sz w:val="16"/>
                              </w:rPr>
                              <w:t> </w:t>
                            </w:r>
                            <w:r>
                              <w:rPr>
                                <w:w w:val="105"/>
                                <w:sz w:val="16"/>
                              </w:rPr>
                              <w:t>31,</w:t>
                            </w:r>
                            <w:r>
                              <w:rPr>
                                <w:spacing w:val="-7"/>
                                <w:w w:val="105"/>
                                <w:sz w:val="16"/>
                              </w:rPr>
                              <w:t> </w:t>
                            </w:r>
                            <w:r>
                              <w:rPr>
                                <w:spacing w:val="-4"/>
                                <w:w w:val="105"/>
                                <w:sz w:val="16"/>
                              </w:rPr>
                              <w:t>2021</w:t>
                            </w:r>
                          </w:p>
                        </w:tc>
                        <w:tc>
                          <w:tcPr>
                            <w:tcW w:w="1410" w:type="dxa"/>
                            <w:tcBorders>
                              <w:top w:val="single" w:sz="6" w:space="0" w:color="000000"/>
                              <w:bottom w:val="double" w:sz="6" w:space="0" w:color="000000"/>
                            </w:tcBorders>
                            <w:shd w:val="clear" w:color="auto" w:fill="CCEDFF"/>
                          </w:tcPr>
                          <w:p>
                            <w:pPr>
                              <w:pStyle w:val="TableParagraph"/>
                              <w:spacing w:line="177" w:lineRule="exact" w:before="2"/>
                              <w:ind w:right="105"/>
                              <w:jc w:val="right"/>
                              <w:rPr>
                                <w:b/>
                                <w:sz w:val="16"/>
                              </w:rPr>
                            </w:pPr>
                            <w:r>
                              <w:rPr>
                                <w:b/>
                                <w:spacing w:val="-10"/>
                                <w:w w:val="105"/>
                                <w:sz w:val="16"/>
                              </w:rPr>
                              <w:t>$</w:t>
                            </w:r>
                          </w:p>
                        </w:tc>
                        <w:tc>
                          <w:tcPr>
                            <w:tcW w:w="710" w:type="dxa"/>
                            <w:tcBorders>
                              <w:top w:val="single" w:sz="6" w:space="0" w:color="000000"/>
                              <w:bottom w:val="double" w:sz="6" w:space="0" w:color="000000"/>
                            </w:tcBorders>
                            <w:shd w:val="clear" w:color="auto" w:fill="CCEDFF"/>
                          </w:tcPr>
                          <w:p>
                            <w:pPr>
                              <w:pStyle w:val="TableParagraph"/>
                              <w:rPr>
                                <w:sz w:val="12"/>
                              </w:rPr>
                            </w:pPr>
                          </w:p>
                        </w:tc>
                        <w:tc>
                          <w:tcPr>
                            <w:tcW w:w="502" w:type="dxa"/>
                            <w:gridSpan w:val="2"/>
                            <w:tcBorders>
                              <w:top w:val="single" w:sz="6" w:space="0" w:color="000000"/>
                              <w:bottom w:val="double" w:sz="6" w:space="0" w:color="000000"/>
                            </w:tcBorders>
                            <w:shd w:val="clear" w:color="auto" w:fill="CCEDFF"/>
                          </w:tcPr>
                          <w:p>
                            <w:pPr>
                              <w:pStyle w:val="TableParagraph"/>
                              <w:spacing w:line="177" w:lineRule="exact" w:before="2"/>
                              <w:ind w:left="23"/>
                              <w:rPr>
                                <w:b/>
                                <w:sz w:val="16"/>
                              </w:rPr>
                            </w:pPr>
                            <w:r>
                              <w:rPr>
                                <w:b/>
                                <w:spacing w:val="-5"/>
                                <w:w w:val="105"/>
                                <w:sz w:val="16"/>
                              </w:rPr>
                              <w:t>375</w:t>
                            </w:r>
                          </w:p>
                        </w:tc>
                        <w:tc>
                          <w:tcPr>
                            <w:tcW w:w="1235" w:type="dxa"/>
                            <w:tcBorders>
                              <w:top w:val="single" w:sz="6" w:space="0" w:color="000000"/>
                              <w:bottom w:val="double" w:sz="6" w:space="0" w:color="000000"/>
                            </w:tcBorders>
                            <w:shd w:val="clear" w:color="auto" w:fill="CCEDFF"/>
                          </w:tcPr>
                          <w:p>
                            <w:pPr>
                              <w:pStyle w:val="TableParagraph"/>
                              <w:tabs>
                                <w:tab w:pos="897" w:val="left" w:leader="none"/>
                              </w:tabs>
                              <w:spacing w:line="177" w:lineRule="exact" w:before="2"/>
                              <w:ind w:left="-1" w:right="87"/>
                              <w:jc w:val="right"/>
                              <w:rPr>
                                <w:sz w:val="16"/>
                              </w:rPr>
                            </w:pPr>
                            <w:r>
                              <w:rPr>
                                <w:spacing w:val="-10"/>
                                <w:w w:val="105"/>
                                <w:sz w:val="16"/>
                              </w:rPr>
                              <w:t>$</w:t>
                            </w:r>
                            <w:r>
                              <w:rPr>
                                <w:sz w:val="16"/>
                              </w:rPr>
                              <w:tab/>
                            </w:r>
                            <w:r>
                              <w:rPr>
                                <w:spacing w:val="-5"/>
                                <w:w w:val="105"/>
                                <w:sz w:val="16"/>
                              </w:rPr>
                              <w:t>109</w:t>
                            </w:r>
                          </w:p>
                        </w:tc>
                        <w:tc>
                          <w:tcPr>
                            <w:tcW w:w="1432" w:type="dxa"/>
                            <w:gridSpan w:val="3"/>
                            <w:tcBorders>
                              <w:top w:val="single" w:sz="6" w:space="0" w:color="000000"/>
                              <w:bottom w:val="double" w:sz="6" w:space="0" w:color="000000"/>
                            </w:tcBorders>
                            <w:shd w:val="clear" w:color="auto" w:fill="CCEDFF"/>
                          </w:tcPr>
                          <w:p>
                            <w:pPr>
                              <w:pStyle w:val="TableParagraph"/>
                              <w:tabs>
                                <w:tab w:pos="1120" w:val="left" w:leader="none"/>
                              </w:tabs>
                              <w:spacing w:line="177" w:lineRule="exact" w:before="2"/>
                              <w:ind w:left="139"/>
                              <w:rPr>
                                <w:sz w:val="16"/>
                              </w:rPr>
                            </w:pPr>
                            <w:r>
                              <w:rPr>
                                <w:spacing w:val="-10"/>
                                <w:w w:val="105"/>
                                <w:sz w:val="16"/>
                              </w:rPr>
                              <w:t>$</w:t>
                            </w:r>
                            <w:r>
                              <w:rPr>
                                <w:sz w:val="16"/>
                              </w:rPr>
                              <w:tab/>
                            </w:r>
                            <w:r>
                              <w:rPr>
                                <w:spacing w:val="-5"/>
                                <w:w w:val="105"/>
                                <w:sz w:val="16"/>
                              </w:rPr>
                              <w:t>17</w:t>
                            </w:r>
                          </w:p>
                        </w:tc>
                        <w:tc>
                          <w:tcPr>
                            <w:tcW w:w="1414" w:type="dxa"/>
                            <w:tcBorders>
                              <w:top w:val="single" w:sz="6" w:space="0" w:color="000000"/>
                              <w:bottom w:val="double" w:sz="6" w:space="0" w:color="000000"/>
                            </w:tcBorders>
                            <w:shd w:val="clear" w:color="auto" w:fill="CCEDFF"/>
                          </w:tcPr>
                          <w:p>
                            <w:pPr>
                              <w:pStyle w:val="TableParagraph"/>
                              <w:tabs>
                                <w:tab w:pos="981" w:val="left" w:leader="none"/>
                              </w:tabs>
                              <w:spacing w:line="177" w:lineRule="exact" w:before="2"/>
                              <w:ind w:left="83"/>
                              <w:rPr>
                                <w:sz w:val="16"/>
                              </w:rPr>
                            </w:pPr>
                            <w:r>
                              <w:rPr>
                                <w:spacing w:val="-10"/>
                                <w:w w:val="105"/>
                                <w:sz w:val="16"/>
                              </w:rPr>
                              <w:t>$</w:t>
                            </w:r>
                            <w:r>
                              <w:rPr>
                                <w:sz w:val="16"/>
                              </w:rPr>
                              <w:tab/>
                            </w:r>
                            <w:r>
                              <w:rPr>
                                <w:spacing w:val="-5"/>
                                <w:w w:val="105"/>
                                <w:sz w:val="16"/>
                              </w:rPr>
                              <w:t>100</w:t>
                            </w:r>
                          </w:p>
                        </w:tc>
                        <w:tc>
                          <w:tcPr>
                            <w:tcW w:w="156" w:type="dxa"/>
                            <w:tcBorders>
                              <w:top w:val="single" w:sz="6" w:space="0" w:color="000000"/>
                              <w:bottom w:val="double" w:sz="6" w:space="0" w:color="000000"/>
                            </w:tcBorders>
                            <w:shd w:val="clear" w:color="auto" w:fill="CCEDFF"/>
                          </w:tcPr>
                          <w:p>
                            <w:pPr>
                              <w:pStyle w:val="TableParagraph"/>
                              <w:spacing w:line="177" w:lineRule="exact" w:before="2"/>
                              <w:ind w:left="17"/>
                              <w:jc w:val="center"/>
                              <w:rPr>
                                <w:sz w:val="16"/>
                              </w:rPr>
                            </w:pPr>
                            <w:r>
                              <w:rPr>
                                <w:spacing w:val="-10"/>
                                <w:w w:val="105"/>
                                <w:sz w:val="16"/>
                              </w:rPr>
                              <w:t>$</w:t>
                            </w:r>
                          </w:p>
                        </w:tc>
                        <w:tc>
                          <w:tcPr>
                            <w:tcW w:w="823" w:type="dxa"/>
                            <w:tcBorders>
                              <w:top w:val="single" w:sz="6" w:space="0" w:color="000000"/>
                              <w:bottom w:val="double" w:sz="6" w:space="0" w:color="000000"/>
                            </w:tcBorders>
                            <w:shd w:val="clear" w:color="auto" w:fill="CCEDFF"/>
                          </w:tcPr>
                          <w:p>
                            <w:pPr>
                              <w:pStyle w:val="TableParagraph"/>
                              <w:rPr>
                                <w:sz w:val="12"/>
                              </w:rPr>
                            </w:pPr>
                          </w:p>
                        </w:tc>
                        <w:tc>
                          <w:tcPr>
                            <w:tcW w:w="377" w:type="dxa"/>
                            <w:tcBorders>
                              <w:top w:val="single" w:sz="6" w:space="0" w:color="000000"/>
                              <w:bottom w:val="double" w:sz="6" w:space="0" w:color="000000"/>
                            </w:tcBorders>
                            <w:shd w:val="clear" w:color="auto" w:fill="CCEDFF"/>
                          </w:tcPr>
                          <w:p>
                            <w:pPr>
                              <w:pStyle w:val="TableParagraph"/>
                              <w:spacing w:line="177" w:lineRule="exact" w:before="2"/>
                              <w:ind w:right="111"/>
                              <w:jc w:val="right"/>
                              <w:rPr>
                                <w:sz w:val="16"/>
                              </w:rPr>
                            </w:pPr>
                            <w:r>
                              <w:rPr>
                                <w:spacing w:val="-5"/>
                                <w:w w:val="105"/>
                                <w:sz w:val="16"/>
                              </w:rPr>
                              <w:t>149</w:t>
                            </w:r>
                          </w:p>
                        </w:tc>
                      </w:tr>
                      <w:tr>
                        <w:trPr>
                          <w:trHeight w:val="605" w:hRule="atLeast"/>
                        </w:trPr>
                        <w:tc>
                          <w:tcPr>
                            <w:tcW w:w="5575" w:type="dxa"/>
                            <w:gridSpan w:val="3"/>
                            <w:tcBorders>
                              <w:bottom w:val="single" w:sz="12" w:space="0" w:color="000000"/>
                            </w:tcBorders>
                          </w:tcPr>
                          <w:p>
                            <w:pPr>
                              <w:pStyle w:val="TableParagraph"/>
                              <w:spacing w:before="19"/>
                              <w:rPr>
                                <w:sz w:val="16"/>
                              </w:rPr>
                            </w:pPr>
                          </w:p>
                          <w:p>
                            <w:pPr>
                              <w:pStyle w:val="TableParagraph"/>
                              <w:spacing w:before="1"/>
                              <w:rPr>
                                <w:sz w:val="16"/>
                              </w:rPr>
                            </w:pPr>
                            <w:r>
                              <w:rPr>
                                <w:w w:val="105"/>
                                <w:sz w:val="16"/>
                              </w:rPr>
                              <w:t>Details</w:t>
                            </w:r>
                            <w:r>
                              <w:rPr>
                                <w:spacing w:val="-9"/>
                                <w:w w:val="105"/>
                                <w:sz w:val="16"/>
                              </w:rPr>
                              <w:t> </w:t>
                            </w:r>
                            <w:r>
                              <w:rPr>
                                <w:w w:val="105"/>
                                <w:sz w:val="16"/>
                              </w:rPr>
                              <w:t>of</w:t>
                            </w:r>
                            <w:r>
                              <w:rPr>
                                <w:spacing w:val="-8"/>
                                <w:w w:val="105"/>
                                <w:sz w:val="16"/>
                              </w:rPr>
                              <w:t> </w:t>
                            </w:r>
                            <w:r>
                              <w:rPr>
                                <w:w w:val="105"/>
                                <w:sz w:val="16"/>
                              </w:rPr>
                              <w:t>the</w:t>
                            </w:r>
                            <w:r>
                              <w:rPr>
                                <w:spacing w:val="-8"/>
                                <w:w w:val="105"/>
                                <w:sz w:val="16"/>
                              </w:rPr>
                              <w:t> </w:t>
                            </w:r>
                            <w:r>
                              <w:rPr>
                                <w:w w:val="105"/>
                                <w:sz w:val="16"/>
                              </w:rPr>
                              <w:t>deferred</w:t>
                            </w:r>
                            <w:r>
                              <w:rPr>
                                <w:spacing w:val="-8"/>
                                <w:w w:val="105"/>
                                <w:sz w:val="16"/>
                              </w:rPr>
                              <w:t> </w:t>
                            </w:r>
                            <w:r>
                              <w:rPr>
                                <w:w w:val="105"/>
                                <w:sz w:val="16"/>
                              </w:rPr>
                              <w:t>tax</w:t>
                            </w:r>
                            <w:r>
                              <w:rPr>
                                <w:spacing w:val="-10"/>
                                <w:w w:val="105"/>
                                <w:sz w:val="16"/>
                              </w:rPr>
                              <w:t> </w:t>
                            </w:r>
                            <w:r>
                              <w:rPr>
                                <w:w w:val="105"/>
                                <w:sz w:val="16"/>
                              </w:rPr>
                              <w:t>valuation</w:t>
                            </w:r>
                            <w:r>
                              <w:rPr>
                                <w:spacing w:val="-8"/>
                                <w:w w:val="105"/>
                                <w:sz w:val="16"/>
                              </w:rPr>
                              <w:t> </w:t>
                            </w:r>
                            <w:r>
                              <w:rPr>
                                <w:w w:val="105"/>
                                <w:sz w:val="16"/>
                              </w:rPr>
                              <w:t>allowances</w:t>
                            </w:r>
                            <w:r>
                              <w:rPr>
                                <w:spacing w:val="-8"/>
                                <w:w w:val="105"/>
                                <w:sz w:val="16"/>
                              </w:rPr>
                              <w:t> </w:t>
                            </w:r>
                            <w:r>
                              <w:rPr>
                                <w:w w:val="105"/>
                                <w:sz w:val="16"/>
                              </w:rPr>
                              <w:t>are</w:t>
                            </w:r>
                            <w:r>
                              <w:rPr>
                                <w:spacing w:val="-8"/>
                                <w:w w:val="105"/>
                                <w:sz w:val="16"/>
                              </w:rPr>
                              <w:t> </w:t>
                            </w:r>
                            <w:r>
                              <w:rPr>
                                <w:w w:val="105"/>
                                <w:sz w:val="16"/>
                              </w:rPr>
                              <w:t>as</w:t>
                            </w:r>
                            <w:r>
                              <w:rPr>
                                <w:spacing w:val="-8"/>
                                <w:w w:val="105"/>
                                <w:sz w:val="16"/>
                              </w:rPr>
                              <w:t> </w:t>
                            </w:r>
                            <w:r>
                              <w:rPr>
                                <w:w w:val="105"/>
                                <w:sz w:val="16"/>
                              </w:rPr>
                              <w:t>follows</w:t>
                            </w:r>
                            <w:r>
                              <w:rPr>
                                <w:spacing w:val="-8"/>
                                <w:w w:val="105"/>
                                <w:sz w:val="16"/>
                              </w:rPr>
                              <w:t> </w:t>
                            </w:r>
                            <w:r>
                              <w:rPr>
                                <w:w w:val="105"/>
                                <w:sz w:val="16"/>
                              </w:rPr>
                              <w:t>(in</w:t>
                            </w:r>
                            <w:r>
                              <w:rPr>
                                <w:spacing w:val="-9"/>
                                <w:w w:val="105"/>
                                <w:sz w:val="16"/>
                              </w:rPr>
                              <w:t> </w:t>
                            </w:r>
                            <w:r>
                              <w:rPr>
                                <w:spacing w:val="-2"/>
                                <w:w w:val="105"/>
                                <w:sz w:val="16"/>
                              </w:rPr>
                              <w:t>millions):</w:t>
                            </w:r>
                          </w:p>
                        </w:tc>
                        <w:tc>
                          <w:tcPr>
                            <w:tcW w:w="327" w:type="dxa"/>
                            <w:tcBorders>
                              <w:bottom w:val="single" w:sz="12" w:space="0" w:color="000000"/>
                            </w:tcBorders>
                          </w:tcPr>
                          <w:p>
                            <w:pPr>
                              <w:pStyle w:val="TableParagraph"/>
                              <w:rPr>
                                <w:sz w:val="16"/>
                              </w:rPr>
                            </w:pPr>
                          </w:p>
                        </w:tc>
                        <w:tc>
                          <w:tcPr>
                            <w:tcW w:w="1410" w:type="dxa"/>
                            <w:gridSpan w:val="2"/>
                            <w:tcBorders>
                              <w:bottom w:val="single" w:sz="12" w:space="0" w:color="000000"/>
                            </w:tcBorders>
                          </w:tcPr>
                          <w:p>
                            <w:pPr>
                              <w:pStyle w:val="TableParagraph"/>
                              <w:rPr>
                                <w:sz w:val="16"/>
                              </w:rPr>
                            </w:pPr>
                          </w:p>
                        </w:tc>
                        <w:tc>
                          <w:tcPr>
                            <w:tcW w:w="273" w:type="dxa"/>
                            <w:tcBorders>
                              <w:bottom w:val="single" w:sz="12" w:space="0" w:color="000000"/>
                            </w:tcBorders>
                          </w:tcPr>
                          <w:p>
                            <w:pPr>
                              <w:pStyle w:val="TableParagraph"/>
                              <w:rPr>
                                <w:sz w:val="16"/>
                              </w:rPr>
                            </w:pPr>
                          </w:p>
                        </w:tc>
                        <w:tc>
                          <w:tcPr>
                            <w:tcW w:w="850" w:type="dxa"/>
                            <w:tcBorders>
                              <w:bottom w:val="single" w:sz="12" w:space="0" w:color="000000"/>
                            </w:tcBorders>
                          </w:tcPr>
                          <w:p>
                            <w:pPr>
                              <w:pStyle w:val="TableParagraph"/>
                              <w:rPr>
                                <w:sz w:val="16"/>
                              </w:rPr>
                            </w:pPr>
                          </w:p>
                        </w:tc>
                        <w:tc>
                          <w:tcPr>
                            <w:tcW w:w="309" w:type="dxa"/>
                            <w:tcBorders>
                              <w:bottom w:val="single" w:sz="12" w:space="0" w:color="000000"/>
                            </w:tcBorders>
                          </w:tcPr>
                          <w:p>
                            <w:pPr>
                              <w:pStyle w:val="TableParagraph"/>
                              <w:rPr>
                                <w:sz w:val="16"/>
                              </w:rPr>
                            </w:pPr>
                          </w:p>
                        </w:tc>
                        <w:tc>
                          <w:tcPr>
                            <w:tcW w:w="1414" w:type="dxa"/>
                            <w:tcBorders>
                              <w:bottom w:val="single" w:sz="12" w:space="0" w:color="000000"/>
                            </w:tcBorders>
                          </w:tcPr>
                          <w:p>
                            <w:pPr>
                              <w:pStyle w:val="TableParagraph"/>
                              <w:rPr>
                                <w:sz w:val="16"/>
                              </w:rPr>
                            </w:pPr>
                          </w:p>
                        </w:tc>
                        <w:tc>
                          <w:tcPr>
                            <w:tcW w:w="1356" w:type="dxa"/>
                            <w:gridSpan w:val="3"/>
                            <w:tcBorders>
                              <w:bottom w:val="single" w:sz="12" w:space="0" w:color="000000"/>
                            </w:tcBorders>
                          </w:tcPr>
                          <w:p>
                            <w:pPr>
                              <w:pStyle w:val="TableParagraph"/>
                              <w:rPr>
                                <w:sz w:val="16"/>
                              </w:rPr>
                            </w:pPr>
                          </w:p>
                        </w:tc>
                      </w:tr>
                      <w:tr>
                        <w:trPr>
                          <w:trHeight w:val="400" w:hRule="atLeast"/>
                        </w:trPr>
                        <w:tc>
                          <w:tcPr>
                            <w:tcW w:w="5575" w:type="dxa"/>
                            <w:gridSpan w:val="3"/>
                            <w:tcBorders>
                              <w:top w:val="single" w:sz="12" w:space="0" w:color="000000"/>
                            </w:tcBorders>
                          </w:tcPr>
                          <w:p>
                            <w:pPr>
                              <w:pStyle w:val="TableParagraph"/>
                              <w:rPr>
                                <w:sz w:val="16"/>
                              </w:rPr>
                            </w:pPr>
                          </w:p>
                        </w:tc>
                        <w:tc>
                          <w:tcPr>
                            <w:tcW w:w="327" w:type="dxa"/>
                            <w:tcBorders>
                              <w:top w:val="single" w:sz="12" w:space="0" w:color="000000"/>
                            </w:tcBorders>
                          </w:tcPr>
                          <w:p>
                            <w:pPr>
                              <w:pStyle w:val="TableParagraph"/>
                              <w:rPr>
                                <w:sz w:val="16"/>
                              </w:rPr>
                            </w:pPr>
                          </w:p>
                        </w:tc>
                        <w:tc>
                          <w:tcPr>
                            <w:tcW w:w="1410" w:type="dxa"/>
                            <w:gridSpan w:val="2"/>
                            <w:tcBorders>
                              <w:top w:val="single" w:sz="12" w:space="0" w:color="000000"/>
                            </w:tcBorders>
                          </w:tcPr>
                          <w:p>
                            <w:pPr>
                              <w:pStyle w:val="TableParagraph"/>
                              <w:spacing w:before="1"/>
                              <w:ind w:left="273"/>
                              <w:rPr>
                                <w:b/>
                                <w:sz w:val="16"/>
                              </w:rPr>
                            </w:pPr>
                            <w:r>
                              <w:rPr>
                                <w:b/>
                                <w:sz w:val="16"/>
                              </w:rPr>
                              <w:t>Balance</w:t>
                            </w:r>
                            <w:r>
                              <w:rPr>
                                <w:b/>
                                <w:spacing w:val="11"/>
                                <w:sz w:val="16"/>
                              </w:rPr>
                              <w:t> </w:t>
                            </w:r>
                            <w:r>
                              <w:rPr>
                                <w:b/>
                                <w:spacing w:val="-5"/>
                                <w:sz w:val="16"/>
                              </w:rPr>
                              <w:t>at</w:t>
                            </w:r>
                          </w:p>
                          <w:p>
                            <w:pPr>
                              <w:pStyle w:val="TableParagraph"/>
                              <w:spacing w:line="175" w:lineRule="exact" w:before="20"/>
                              <w:ind w:left="225"/>
                              <w:rPr>
                                <w:b/>
                                <w:sz w:val="16"/>
                              </w:rPr>
                            </w:pPr>
                            <w:r>
                              <w:rPr>
                                <w:b/>
                                <w:sz w:val="16"/>
                              </w:rPr>
                              <w:t>beginning</w:t>
                            </w:r>
                            <w:r>
                              <w:rPr>
                                <w:b/>
                                <w:spacing w:val="13"/>
                                <w:sz w:val="16"/>
                              </w:rPr>
                              <w:t> </w:t>
                            </w:r>
                            <w:r>
                              <w:rPr>
                                <w:b/>
                                <w:spacing w:val="-5"/>
                                <w:sz w:val="16"/>
                              </w:rPr>
                              <w:t>of</w:t>
                            </w:r>
                          </w:p>
                        </w:tc>
                        <w:tc>
                          <w:tcPr>
                            <w:tcW w:w="273" w:type="dxa"/>
                            <w:tcBorders>
                              <w:top w:val="single" w:sz="12" w:space="0" w:color="000000"/>
                            </w:tcBorders>
                          </w:tcPr>
                          <w:p>
                            <w:pPr>
                              <w:pStyle w:val="TableParagraph"/>
                              <w:rPr>
                                <w:sz w:val="16"/>
                              </w:rPr>
                            </w:pPr>
                          </w:p>
                        </w:tc>
                        <w:tc>
                          <w:tcPr>
                            <w:tcW w:w="850" w:type="dxa"/>
                            <w:tcBorders>
                              <w:top w:val="single" w:sz="12" w:space="0" w:color="000000"/>
                            </w:tcBorders>
                          </w:tcPr>
                          <w:p>
                            <w:pPr>
                              <w:pStyle w:val="TableParagraph"/>
                              <w:rPr>
                                <w:sz w:val="16"/>
                              </w:rPr>
                            </w:pPr>
                          </w:p>
                        </w:tc>
                        <w:tc>
                          <w:tcPr>
                            <w:tcW w:w="309" w:type="dxa"/>
                            <w:tcBorders>
                              <w:top w:val="single" w:sz="12" w:space="0" w:color="000000"/>
                            </w:tcBorders>
                          </w:tcPr>
                          <w:p>
                            <w:pPr>
                              <w:pStyle w:val="TableParagraph"/>
                              <w:rPr>
                                <w:sz w:val="16"/>
                              </w:rPr>
                            </w:pPr>
                          </w:p>
                        </w:tc>
                        <w:tc>
                          <w:tcPr>
                            <w:tcW w:w="1414" w:type="dxa"/>
                            <w:tcBorders>
                              <w:top w:val="single" w:sz="12" w:space="0" w:color="000000"/>
                            </w:tcBorders>
                          </w:tcPr>
                          <w:p>
                            <w:pPr>
                              <w:pStyle w:val="TableParagraph"/>
                              <w:spacing w:before="21"/>
                              <w:rPr>
                                <w:sz w:val="16"/>
                              </w:rPr>
                            </w:pPr>
                          </w:p>
                          <w:p>
                            <w:pPr>
                              <w:pStyle w:val="TableParagraph"/>
                              <w:spacing w:line="175" w:lineRule="exact"/>
                              <w:ind w:left="211"/>
                              <w:rPr>
                                <w:b/>
                                <w:sz w:val="16"/>
                              </w:rPr>
                            </w:pPr>
                            <w:r>
                              <w:rPr>
                                <w:b/>
                                <w:w w:val="105"/>
                                <w:sz w:val="16"/>
                              </w:rPr>
                              <w:t>Net</w:t>
                            </w:r>
                            <w:r>
                              <w:rPr>
                                <w:b/>
                                <w:spacing w:val="-6"/>
                                <w:w w:val="105"/>
                                <w:sz w:val="16"/>
                              </w:rPr>
                              <w:t> </w:t>
                            </w:r>
                            <w:r>
                              <w:rPr>
                                <w:b/>
                                <w:spacing w:val="-2"/>
                                <w:w w:val="105"/>
                                <w:sz w:val="16"/>
                              </w:rPr>
                              <w:t>deductions</w:t>
                            </w:r>
                          </w:p>
                        </w:tc>
                        <w:tc>
                          <w:tcPr>
                            <w:tcW w:w="1356" w:type="dxa"/>
                            <w:gridSpan w:val="3"/>
                            <w:tcBorders>
                              <w:top w:val="single" w:sz="12" w:space="0" w:color="000000"/>
                            </w:tcBorders>
                          </w:tcPr>
                          <w:p>
                            <w:pPr>
                              <w:pStyle w:val="TableParagraph"/>
                              <w:spacing w:before="21"/>
                              <w:rPr>
                                <w:sz w:val="16"/>
                              </w:rPr>
                            </w:pPr>
                          </w:p>
                          <w:p>
                            <w:pPr>
                              <w:pStyle w:val="TableParagraph"/>
                              <w:spacing w:line="175" w:lineRule="exact"/>
                              <w:ind w:left="380"/>
                              <w:rPr>
                                <w:b/>
                                <w:sz w:val="16"/>
                              </w:rPr>
                            </w:pPr>
                            <w:r>
                              <w:rPr>
                                <w:b/>
                                <w:sz w:val="16"/>
                              </w:rPr>
                              <w:t>Balance</w:t>
                            </w:r>
                            <w:r>
                              <w:rPr>
                                <w:b/>
                                <w:spacing w:val="11"/>
                                <w:sz w:val="16"/>
                              </w:rPr>
                              <w:t> </w:t>
                            </w:r>
                            <w:r>
                              <w:rPr>
                                <w:b/>
                                <w:spacing w:val="-5"/>
                                <w:sz w:val="16"/>
                              </w:rPr>
                              <w:t>at</w:t>
                            </w:r>
                          </w:p>
                        </w:tc>
                      </w:tr>
                      <w:tr>
                        <w:trPr>
                          <w:trHeight w:val="207" w:hRule="atLeast"/>
                        </w:trPr>
                        <w:tc>
                          <w:tcPr>
                            <w:tcW w:w="5575" w:type="dxa"/>
                            <w:gridSpan w:val="3"/>
                            <w:tcBorders>
                              <w:bottom w:val="single" w:sz="6" w:space="0" w:color="000000"/>
                            </w:tcBorders>
                          </w:tcPr>
                          <w:p>
                            <w:pPr>
                              <w:pStyle w:val="TableParagraph"/>
                              <w:spacing w:line="179" w:lineRule="exact" w:before="8"/>
                              <w:rPr>
                                <w:sz w:val="16"/>
                              </w:rPr>
                            </w:pPr>
                            <w:r>
                              <w:rPr>
                                <w:sz w:val="16"/>
                              </w:rPr>
                              <w:t>Deferred</w:t>
                            </w:r>
                            <w:r>
                              <w:rPr>
                                <w:spacing w:val="15"/>
                                <w:sz w:val="16"/>
                              </w:rPr>
                              <w:t> </w:t>
                            </w:r>
                            <w:r>
                              <w:rPr>
                                <w:sz w:val="16"/>
                              </w:rPr>
                              <w:t>Tax</w:t>
                            </w:r>
                            <w:r>
                              <w:rPr>
                                <w:spacing w:val="15"/>
                                <w:sz w:val="16"/>
                              </w:rPr>
                              <w:t> </w:t>
                            </w:r>
                            <w:r>
                              <w:rPr>
                                <w:sz w:val="16"/>
                              </w:rPr>
                              <w:t>Valuation</w:t>
                            </w:r>
                            <w:r>
                              <w:rPr>
                                <w:spacing w:val="16"/>
                                <w:sz w:val="16"/>
                              </w:rPr>
                              <w:t> </w:t>
                            </w:r>
                            <w:r>
                              <w:rPr>
                                <w:spacing w:val="-2"/>
                                <w:sz w:val="16"/>
                              </w:rPr>
                              <w:t>Allowance</w:t>
                            </w:r>
                          </w:p>
                        </w:tc>
                        <w:tc>
                          <w:tcPr>
                            <w:tcW w:w="327" w:type="dxa"/>
                            <w:tcBorders>
                              <w:bottom w:val="single" w:sz="6" w:space="0" w:color="000000"/>
                            </w:tcBorders>
                          </w:tcPr>
                          <w:p>
                            <w:pPr>
                              <w:pStyle w:val="TableParagraph"/>
                              <w:rPr>
                                <w:sz w:val="14"/>
                              </w:rPr>
                            </w:pPr>
                          </w:p>
                        </w:tc>
                        <w:tc>
                          <w:tcPr>
                            <w:tcW w:w="1410" w:type="dxa"/>
                            <w:gridSpan w:val="2"/>
                            <w:tcBorders>
                              <w:bottom w:val="single" w:sz="6" w:space="0" w:color="000000"/>
                            </w:tcBorders>
                          </w:tcPr>
                          <w:p>
                            <w:pPr>
                              <w:pStyle w:val="TableParagraph"/>
                              <w:spacing w:line="179" w:lineRule="exact" w:before="8"/>
                              <w:ind w:left="434"/>
                              <w:rPr>
                                <w:b/>
                                <w:sz w:val="16"/>
                              </w:rPr>
                            </w:pPr>
                            <w:r>
                              <w:rPr>
                                <w:b/>
                                <w:spacing w:val="-2"/>
                                <w:w w:val="105"/>
                                <w:sz w:val="16"/>
                              </w:rPr>
                              <w:t>period</w:t>
                            </w:r>
                          </w:p>
                        </w:tc>
                        <w:tc>
                          <w:tcPr>
                            <w:tcW w:w="273" w:type="dxa"/>
                            <w:tcBorders>
                              <w:bottom w:val="single" w:sz="6" w:space="0" w:color="000000"/>
                            </w:tcBorders>
                          </w:tcPr>
                          <w:p>
                            <w:pPr>
                              <w:pStyle w:val="TableParagraph"/>
                              <w:rPr>
                                <w:sz w:val="14"/>
                              </w:rPr>
                            </w:pPr>
                          </w:p>
                        </w:tc>
                        <w:tc>
                          <w:tcPr>
                            <w:tcW w:w="850" w:type="dxa"/>
                            <w:tcBorders>
                              <w:bottom w:val="single" w:sz="6" w:space="0" w:color="000000"/>
                            </w:tcBorders>
                          </w:tcPr>
                          <w:p>
                            <w:pPr>
                              <w:pStyle w:val="TableParagraph"/>
                              <w:spacing w:line="179" w:lineRule="exact" w:before="8"/>
                              <w:ind w:left="101"/>
                              <w:rPr>
                                <w:b/>
                                <w:sz w:val="16"/>
                              </w:rPr>
                            </w:pPr>
                            <w:r>
                              <w:rPr>
                                <w:b/>
                                <w:spacing w:val="-2"/>
                                <w:w w:val="105"/>
                                <w:sz w:val="16"/>
                              </w:rPr>
                              <w:t>Additions</w:t>
                            </w:r>
                          </w:p>
                        </w:tc>
                        <w:tc>
                          <w:tcPr>
                            <w:tcW w:w="309" w:type="dxa"/>
                            <w:tcBorders>
                              <w:bottom w:val="single" w:sz="6" w:space="0" w:color="000000"/>
                            </w:tcBorders>
                          </w:tcPr>
                          <w:p>
                            <w:pPr>
                              <w:pStyle w:val="TableParagraph"/>
                              <w:rPr>
                                <w:sz w:val="14"/>
                              </w:rPr>
                            </w:pPr>
                          </w:p>
                        </w:tc>
                        <w:tc>
                          <w:tcPr>
                            <w:tcW w:w="1414" w:type="dxa"/>
                            <w:tcBorders>
                              <w:bottom w:val="single" w:sz="6" w:space="0" w:color="000000"/>
                            </w:tcBorders>
                          </w:tcPr>
                          <w:p>
                            <w:pPr>
                              <w:pStyle w:val="TableParagraph"/>
                              <w:spacing w:line="179" w:lineRule="exact" w:before="8"/>
                              <w:ind w:left="416"/>
                              <w:rPr>
                                <w:b/>
                                <w:sz w:val="16"/>
                              </w:rPr>
                            </w:pPr>
                            <w:r>
                              <w:rPr>
                                <w:b/>
                                <w:w w:val="105"/>
                                <w:sz w:val="16"/>
                              </w:rPr>
                              <w:t>and</w:t>
                            </w:r>
                            <w:r>
                              <w:rPr>
                                <w:b/>
                                <w:spacing w:val="-9"/>
                                <w:w w:val="105"/>
                                <w:sz w:val="16"/>
                              </w:rPr>
                              <w:t> </w:t>
                            </w:r>
                            <w:r>
                              <w:rPr>
                                <w:b/>
                                <w:spacing w:val="-2"/>
                                <w:w w:val="105"/>
                                <w:sz w:val="16"/>
                              </w:rPr>
                              <w:t>other</w:t>
                            </w:r>
                          </w:p>
                        </w:tc>
                        <w:tc>
                          <w:tcPr>
                            <w:tcW w:w="1356" w:type="dxa"/>
                            <w:gridSpan w:val="3"/>
                            <w:tcBorders>
                              <w:bottom w:val="single" w:sz="6" w:space="0" w:color="000000"/>
                            </w:tcBorders>
                          </w:tcPr>
                          <w:p>
                            <w:pPr>
                              <w:pStyle w:val="TableParagraph"/>
                              <w:spacing w:line="179" w:lineRule="exact" w:before="8"/>
                              <w:ind w:left="302"/>
                              <w:rPr>
                                <w:b/>
                                <w:sz w:val="16"/>
                              </w:rPr>
                            </w:pPr>
                            <w:r>
                              <w:rPr>
                                <w:b/>
                                <w:w w:val="105"/>
                                <w:sz w:val="16"/>
                              </w:rPr>
                              <w:t>end</w:t>
                            </w:r>
                            <w:r>
                              <w:rPr>
                                <w:b/>
                                <w:spacing w:val="-6"/>
                                <w:w w:val="105"/>
                                <w:sz w:val="16"/>
                              </w:rPr>
                              <w:t> </w:t>
                            </w:r>
                            <w:r>
                              <w:rPr>
                                <w:b/>
                                <w:w w:val="105"/>
                                <w:sz w:val="16"/>
                              </w:rPr>
                              <w:t>of</w:t>
                            </w:r>
                            <w:r>
                              <w:rPr>
                                <w:b/>
                                <w:spacing w:val="-6"/>
                                <w:w w:val="105"/>
                                <w:sz w:val="16"/>
                              </w:rPr>
                              <w:t> </w:t>
                            </w:r>
                            <w:r>
                              <w:rPr>
                                <w:b/>
                                <w:spacing w:val="-2"/>
                                <w:w w:val="105"/>
                                <w:sz w:val="16"/>
                              </w:rPr>
                              <w:t>period</w:t>
                            </w:r>
                          </w:p>
                        </w:tc>
                      </w:tr>
                      <w:tr>
                        <w:trPr>
                          <w:trHeight w:val="202" w:hRule="atLeast"/>
                        </w:trPr>
                        <w:tc>
                          <w:tcPr>
                            <w:tcW w:w="5575" w:type="dxa"/>
                            <w:gridSpan w:val="3"/>
                            <w:tcBorders>
                              <w:top w:val="single" w:sz="6" w:space="0" w:color="000000"/>
                            </w:tcBorders>
                          </w:tcPr>
                          <w:p>
                            <w:pPr>
                              <w:pStyle w:val="TableParagraph"/>
                              <w:rPr>
                                <w:sz w:val="14"/>
                              </w:rPr>
                            </w:pPr>
                          </w:p>
                        </w:tc>
                        <w:tc>
                          <w:tcPr>
                            <w:tcW w:w="327" w:type="dxa"/>
                            <w:tcBorders>
                              <w:top w:val="single" w:sz="6" w:space="0" w:color="000000"/>
                            </w:tcBorders>
                          </w:tcPr>
                          <w:p>
                            <w:pPr>
                              <w:pStyle w:val="TableParagraph"/>
                              <w:rPr>
                                <w:sz w:val="14"/>
                              </w:rPr>
                            </w:pPr>
                          </w:p>
                        </w:tc>
                        <w:tc>
                          <w:tcPr>
                            <w:tcW w:w="1410" w:type="dxa"/>
                            <w:gridSpan w:val="2"/>
                            <w:tcBorders>
                              <w:top w:val="single" w:sz="6" w:space="0" w:color="000000"/>
                            </w:tcBorders>
                          </w:tcPr>
                          <w:p>
                            <w:pPr>
                              <w:pStyle w:val="TableParagraph"/>
                              <w:rPr>
                                <w:sz w:val="14"/>
                              </w:rPr>
                            </w:pPr>
                          </w:p>
                        </w:tc>
                        <w:tc>
                          <w:tcPr>
                            <w:tcW w:w="273" w:type="dxa"/>
                            <w:tcBorders>
                              <w:top w:val="single" w:sz="6" w:space="0" w:color="000000"/>
                            </w:tcBorders>
                          </w:tcPr>
                          <w:p>
                            <w:pPr>
                              <w:pStyle w:val="TableParagraph"/>
                              <w:rPr>
                                <w:sz w:val="14"/>
                              </w:rPr>
                            </w:pPr>
                          </w:p>
                        </w:tc>
                        <w:tc>
                          <w:tcPr>
                            <w:tcW w:w="850" w:type="dxa"/>
                            <w:tcBorders>
                              <w:top w:val="single" w:sz="6" w:space="0" w:color="000000"/>
                            </w:tcBorders>
                          </w:tcPr>
                          <w:p>
                            <w:pPr>
                              <w:pStyle w:val="TableParagraph"/>
                              <w:rPr>
                                <w:sz w:val="14"/>
                              </w:rPr>
                            </w:pPr>
                          </w:p>
                        </w:tc>
                        <w:tc>
                          <w:tcPr>
                            <w:tcW w:w="309" w:type="dxa"/>
                            <w:tcBorders>
                              <w:top w:val="single" w:sz="6" w:space="0" w:color="000000"/>
                            </w:tcBorders>
                          </w:tcPr>
                          <w:p>
                            <w:pPr>
                              <w:pStyle w:val="TableParagraph"/>
                              <w:rPr>
                                <w:sz w:val="14"/>
                              </w:rPr>
                            </w:pPr>
                          </w:p>
                        </w:tc>
                        <w:tc>
                          <w:tcPr>
                            <w:tcW w:w="1414" w:type="dxa"/>
                            <w:tcBorders>
                              <w:top w:val="single" w:sz="6" w:space="0" w:color="000000"/>
                            </w:tcBorders>
                          </w:tcPr>
                          <w:p>
                            <w:pPr>
                              <w:pStyle w:val="TableParagraph"/>
                              <w:rPr>
                                <w:sz w:val="14"/>
                              </w:rPr>
                            </w:pPr>
                          </w:p>
                        </w:tc>
                        <w:tc>
                          <w:tcPr>
                            <w:tcW w:w="1356" w:type="dxa"/>
                            <w:gridSpan w:val="3"/>
                            <w:tcBorders>
                              <w:top w:val="single" w:sz="6" w:space="0" w:color="000000"/>
                            </w:tcBorders>
                          </w:tcPr>
                          <w:p>
                            <w:pPr>
                              <w:pStyle w:val="TableParagraph"/>
                              <w:rPr>
                                <w:sz w:val="14"/>
                              </w:rPr>
                            </w:pPr>
                          </w:p>
                        </w:tc>
                      </w:tr>
                      <w:tr>
                        <w:trPr>
                          <w:trHeight w:val="242" w:hRule="atLeast"/>
                        </w:trPr>
                        <w:tc>
                          <w:tcPr>
                            <w:tcW w:w="5575" w:type="dxa"/>
                            <w:gridSpan w:val="3"/>
                            <w:shd w:val="clear" w:color="auto" w:fill="CCEDFF"/>
                          </w:tcPr>
                          <w:p>
                            <w:pPr>
                              <w:pStyle w:val="TableParagraph"/>
                              <w:spacing w:line="180" w:lineRule="exact" w:before="41"/>
                              <w:rPr>
                                <w:sz w:val="16"/>
                              </w:rPr>
                            </w:pPr>
                            <w:r>
                              <w:rPr>
                                <w:w w:val="105"/>
                                <w:sz w:val="16"/>
                              </w:rPr>
                              <w:t>Year</w:t>
                            </w:r>
                            <w:r>
                              <w:rPr>
                                <w:spacing w:val="-11"/>
                                <w:w w:val="105"/>
                                <w:sz w:val="16"/>
                              </w:rPr>
                              <w:t> </w:t>
                            </w:r>
                            <w:r>
                              <w:rPr>
                                <w:w w:val="105"/>
                                <w:sz w:val="16"/>
                              </w:rPr>
                              <w:t>ended</w:t>
                            </w:r>
                            <w:r>
                              <w:rPr>
                                <w:spacing w:val="-9"/>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2021</w:t>
                            </w:r>
                          </w:p>
                        </w:tc>
                        <w:tc>
                          <w:tcPr>
                            <w:tcW w:w="327" w:type="dxa"/>
                            <w:shd w:val="clear" w:color="auto" w:fill="CCEDFF"/>
                          </w:tcPr>
                          <w:p>
                            <w:pPr>
                              <w:pStyle w:val="TableParagraph"/>
                              <w:rPr>
                                <w:sz w:val="16"/>
                              </w:rPr>
                            </w:pPr>
                          </w:p>
                        </w:tc>
                        <w:tc>
                          <w:tcPr>
                            <w:tcW w:w="1410" w:type="dxa"/>
                            <w:gridSpan w:val="2"/>
                            <w:shd w:val="clear" w:color="auto" w:fill="CCEDFF"/>
                          </w:tcPr>
                          <w:p>
                            <w:pPr>
                              <w:pStyle w:val="TableParagraph"/>
                              <w:tabs>
                                <w:tab w:pos="1021" w:val="left" w:leader="none"/>
                              </w:tabs>
                              <w:spacing w:line="180" w:lineRule="exact" w:before="41"/>
                              <w:ind w:left="59"/>
                              <w:rPr>
                                <w:b/>
                                <w:sz w:val="16"/>
                              </w:rPr>
                            </w:pPr>
                            <w:r>
                              <w:rPr>
                                <w:b/>
                                <w:spacing w:val="-10"/>
                                <w:w w:val="105"/>
                                <w:sz w:val="16"/>
                              </w:rPr>
                              <w:t>$</w:t>
                            </w:r>
                            <w:r>
                              <w:rPr>
                                <w:b/>
                                <w:sz w:val="16"/>
                              </w:rPr>
                              <w:tab/>
                            </w:r>
                            <w:r>
                              <w:rPr>
                                <w:b/>
                                <w:spacing w:val="-5"/>
                                <w:w w:val="105"/>
                                <w:sz w:val="16"/>
                              </w:rPr>
                              <w:t>167</w:t>
                            </w:r>
                          </w:p>
                        </w:tc>
                        <w:tc>
                          <w:tcPr>
                            <w:tcW w:w="273" w:type="dxa"/>
                            <w:shd w:val="clear" w:color="auto" w:fill="CCEDFF"/>
                          </w:tcPr>
                          <w:p>
                            <w:pPr>
                              <w:pStyle w:val="TableParagraph"/>
                              <w:spacing w:line="180" w:lineRule="exact" w:before="41"/>
                              <w:ind w:right="10"/>
                              <w:jc w:val="center"/>
                              <w:rPr>
                                <w:b/>
                                <w:sz w:val="16"/>
                              </w:rPr>
                            </w:pPr>
                            <w:r>
                              <w:rPr>
                                <w:b/>
                                <w:spacing w:val="-10"/>
                                <w:w w:val="105"/>
                                <w:sz w:val="16"/>
                              </w:rPr>
                              <w:t>$</w:t>
                            </w:r>
                          </w:p>
                        </w:tc>
                        <w:tc>
                          <w:tcPr>
                            <w:tcW w:w="850" w:type="dxa"/>
                            <w:shd w:val="clear" w:color="auto" w:fill="CCEDFF"/>
                          </w:tcPr>
                          <w:p>
                            <w:pPr>
                              <w:pStyle w:val="TableParagraph"/>
                              <w:rPr>
                                <w:sz w:val="16"/>
                              </w:rPr>
                            </w:pPr>
                          </w:p>
                        </w:tc>
                        <w:tc>
                          <w:tcPr>
                            <w:tcW w:w="309" w:type="dxa"/>
                            <w:shd w:val="clear" w:color="auto" w:fill="CCEDFF"/>
                          </w:tcPr>
                          <w:p>
                            <w:pPr>
                              <w:pStyle w:val="TableParagraph"/>
                              <w:spacing w:line="180" w:lineRule="exact" w:before="41"/>
                              <w:ind w:right="18"/>
                              <w:jc w:val="center"/>
                              <w:rPr>
                                <w:b/>
                                <w:sz w:val="16"/>
                              </w:rPr>
                            </w:pPr>
                            <w:r>
                              <w:rPr>
                                <w:b/>
                                <w:spacing w:val="-5"/>
                                <w:w w:val="105"/>
                                <w:sz w:val="16"/>
                              </w:rPr>
                              <w:t>13</w:t>
                            </w:r>
                          </w:p>
                        </w:tc>
                        <w:tc>
                          <w:tcPr>
                            <w:tcW w:w="1414" w:type="dxa"/>
                            <w:shd w:val="clear" w:color="auto" w:fill="CCEDFF"/>
                          </w:tcPr>
                          <w:p>
                            <w:pPr>
                              <w:pStyle w:val="TableParagraph"/>
                              <w:tabs>
                                <w:tab w:pos="1057" w:val="left" w:leader="none"/>
                              </w:tabs>
                              <w:spacing w:line="180" w:lineRule="exact" w:before="41"/>
                              <w:ind w:right="41"/>
                              <w:jc w:val="right"/>
                              <w:rPr>
                                <w:b/>
                                <w:sz w:val="16"/>
                              </w:rPr>
                            </w:pPr>
                            <w:r>
                              <w:rPr>
                                <w:b/>
                                <w:spacing w:val="-10"/>
                                <w:w w:val="105"/>
                                <w:sz w:val="16"/>
                              </w:rPr>
                              <w:t>$</w:t>
                            </w:r>
                            <w:r>
                              <w:rPr>
                                <w:b/>
                                <w:sz w:val="16"/>
                              </w:rPr>
                              <w:tab/>
                            </w:r>
                            <w:r>
                              <w:rPr>
                                <w:b/>
                                <w:spacing w:val="-5"/>
                                <w:w w:val="105"/>
                                <w:sz w:val="16"/>
                              </w:rPr>
                              <w:t>42</w:t>
                            </w:r>
                          </w:p>
                        </w:tc>
                        <w:tc>
                          <w:tcPr>
                            <w:tcW w:w="1356" w:type="dxa"/>
                            <w:gridSpan w:val="3"/>
                            <w:shd w:val="clear" w:color="auto" w:fill="CCEDFF"/>
                          </w:tcPr>
                          <w:p>
                            <w:pPr>
                              <w:pStyle w:val="TableParagraph"/>
                              <w:tabs>
                                <w:tab w:pos="1109" w:val="left" w:leader="none"/>
                              </w:tabs>
                              <w:spacing w:line="180" w:lineRule="exact" w:before="41"/>
                              <w:ind w:left="185" w:right="-15"/>
                              <w:rPr>
                                <w:b/>
                                <w:sz w:val="16"/>
                              </w:rPr>
                            </w:pPr>
                            <w:r>
                              <w:rPr>
                                <w:b/>
                                <w:spacing w:val="-10"/>
                                <w:w w:val="105"/>
                                <w:sz w:val="16"/>
                              </w:rPr>
                              <w:t>$</w:t>
                            </w:r>
                            <w:r>
                              <w:rPr>
                                <w:b/>
                                <w:sz w:val="16"/>
                              </w:rPr>
                              <w:tab/>
                            </w:r>
                            <w:r>
                              <w:rPr>
                                <w:b/>
                                <w:spacing w:val="-5"/>
                                <w:w w:val="105"/>
                                <w:sz w:val="16"/>
                              </w:rPr>
                              <w:t>138</w:t>
                            </w:r>
                          </w:p>
                        </w:tc>
                      </w:tr>
                      <w:tr>
                        <w:trPr>
                          <w:trHeight w:val="203" w:hRule="atLeast"/>
                        </w:trPr>
                        <w:tc>
                          <w:tcPr>
                            <w:tcW w:w="5575" w:type="dxa"/>
                            <w:gridSpan w:val="3"/>
                          </w:tcPr>
                          <w:p>
                            <w:pPr>
                              <w:pStyle w:val="TableParagraph"/>
                              <w:rPr>
                                <w:sz w:val="14"/>
                              </w:rPr>
                            </w:pPr>
                          </w:p>
                        </w:tc>
                        <w:tc>
                          <w:tcPr>
                            <w:tcW w:w="327" w:type="dxa"/>
                          </w:tcPr>
                          <w:p>
                            <w:pPr>
                              <w:pStyle w:val="TableParagraph"/>
                              <w:rPr>
                                <w:sz w:val="14"/>
                              </w:rPr>
                            </w:pPr>
                          </w:p>
                        </w:tc>
                        <w:tc>
                          <w:tcPr>
                            <w:tcW w:w="1410" w:type="dxa"/>
                            <w:gridSpan w:val="2"/>
                          </w:tcPr>
                          <w:p>
                            <w:pPr>
                              <w:pStyle w:val="TableParagraph"/>
                              <w:rPr>
                                <w:sz w:val="14"/>
                              </w:rPr>
                            </w:pPr>
                          </w:p>
                        </w:tc>
                        <w:tc>
                          <w:tcPr>
                            <w:tcW w:w="273" w:type="dxa"/>
                          </w:tcPr>
                          <w:p>
                            <w:pPr>
                              <w:pStyle w:val="TableParagraph"/>
                              <w:rPr>
                                <w:sz w:val="14"/>
                              </w:rPr>
                            </w:pPr>
                          </w:p>
                        </w:tc>
                        <w:tc>
                          <w:tcPr>
                            <w:tcW w:w="850" w:type="dxa"/>
                          </w:tcPr>
                          <w:p>
                            <w:pPr>
                              <w:pStyle w:val="TableParagraph"/>
                              <w:rPr>
                                <w:sz w:val="14"/>
                              </w:rPr>
                            </w:pPr>
                          </w:p>
                        </w:tc>
                        <w:tc>
                          <w:tcPr>
                            <w:tcW w:w="309" w:type="dxa"/>
                          </w:tcPr>
                          <w:p>
                            <w:pPr>
                              <w:pStyle w:val="TableParagraph"/>
                              <w:rPr>
                                <w:sz w:val="14"/>
                              </w:rPr>
                            </w:pPr>
                          </w:p>
                        </w:tc>
                        <w:tc>
                          <w:tcPr>
                            <w:tcW w:w="1414" w:type="dxa"/>
                          </w:tcPr>
                          <w:p>
                            <w:pPr>
                              <w:pStyle w:val="TableParagraph"/>
                              <w:rPr>
                                <w:sz w:val="14"/>
                              </w:rPr>
                            </w:pPr>
                          </w:p>
                        </w:tc>
                        <w:tc>
                          <w:tcPr>
                            <w:tcW w:w="1356" w:type="dxa"/>
                            <w:gridSpan w:val="3"/>
                          </w:tcPr>
                          <w:p>
                            <w:pPr>
                              <w:pStyle w:val="TableParagraph"/>
                              <w:rPr>
                                <w:sz w:val="14"/>
                              </w:rPr>
                            </w:pPr>
                          </w:p>
                        </w:tc>
                      </w:tr>
                      <w:tr>
                        <w:trPr>
                          <w:trHeight w:val="203" w:hRule="atLeast"/>
                        </w:trPr>
                        <w:tc>
                          <w:tcPr>
                            <w:tcW w:w="5575" w:type="dxa"/>
                            <w:gridSpan w:val="3"/>
                            <w:shd w:val="clear" w:color="auto" w:fill="CCEDFF"/>
                          </w:tcPr>
                          <w:p>
                            <w:pPr>
                              <w:pStyle w:val="TableParagraph"/>
                              <w:spacing w:line="180" w:lineRule="exact" w:before="3"/>
                              <w:rPr>
                                <w:sz w:val="16"/>
                              </w:rPr>
                            </w:pPr>
                            <w:r>
                              <w:rPr>
                                <w:w w:val="105"/>
                                <w:sz w:val="16"/>
                              </w:rPr>
                              <w:t>Year</w:t>
                            </w:r>
                            <w:r>
                              <w:rPr>
                                <w:spacing w:val="-11"/>
                                <w:w w:val="105"/>
                                <w:sz w:val="16"/>
                              </w:rPr>
                              <w:t> </w:t>
                            </w:r>
                            <w:r>
                              <w:rPr>
                                <w:w w:val="105"/>
                                <w:sz w:val="16"/>
                              </w:rPr>
                              <w:t>ended</w:t>
                            </w:r>
                            <w:r>
                              <w:rPr>
                                <w:spacing w:val="-9"/>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2020</w:t>
                            </w:r>
                          </w:p>
                        </w:tc>
                        <w:tc>
                          <w:tcPr>
                            <w:tcW w:w="327" w:type="dxa"/>
                            <w:shd w:val="clear" w:color="auto" w:fill="CCEDFF"/>
                          </w:tcPr>
                          <w:p>
                            <w:pPr>
                              <w:pStyle w:val="TableParagraph"/>
                              <w:rPr>
                                <w:sz w:val="14"/>
                              </w:rPr>
                            </w:pPr>
                          </w:p>
                        </w:tc>
                        <w:tc>
                          <w:tcPr>
                            <w:tcW w:w="1410" w:type="dxa"/>
                            <w:gridSpan w:val="2"/>
                            <w:shd w:val="clear" w:color="auto" w:fill="CCEDFF"/>
                          </w:tcPr>
                          <w:p>
                            <w:pPr>
                              <w:pStyle w:val="TableParagraph"/>
                              <w:tabs>
                                <w:tab w:pos="1021" w:val="left" w:leader="none"/>
                              </w:tabs>
                              <w:spacing w:line="180" w:lineRule="exact" w:before="3"/>
                              <w:ind w:left="59"/>
                              <w:rPr>
                                <w:sz w:val="16"/>
                              </w:rPr>
                            </w:pPr>
                            <w:r>
                              <w:rPr>
                                <w:spacing w:val="-10"/>
                                <w:w w:val="105"/>
                                <w:sz w:val="16"/>
                              </w:rPr>
                              <w:t>$</w:t>
                            </w:r>
                            <w:r>
                              <w:rPr>
                                <w:sz w:val="16"/>
                              </w:rPr>
                              <w:tab/>
                            </w:r>
                            <w:r>
                              <w:rPr>
                                <w:spacing w:val="-5"/>
                                <w:w w:val="105"/>
                                <w:sz w:val="16"/>
                              </w:rPr>
                              <w:t>215</w:t>
                            </w:r>
                          </w:p>
                        </w:tc>
                        <w:tc>
                          <w:tcPr>
                            <w:tcW w:w="273" w:type="dxa"/>
                            <w:shd w:val="clear" w:color="auto" w:fill="CCEDFF"/>
                          </w:tcPr>
                          <w:p>
                            <w:pPr>
                              <w:pStyle w:val="TableParagraph"/>
                              <w:spacing w:line="180" w:lineRule="exact" w:before="3"/>
                              <w:ind w:right="10"/>
                              <w:jc w:val="center"/>
                              <w:rPr>
                                <w:sz w:val="16"/>
                              </w:rPr>
                            </w:pPr>
                            <w:r>
                              <w:rPr>
                                <w:spacing w:val="-10"/>
                                <w:w w:val="105"/>
                                <w:sz w:val="16"/>
                              </w:rPr>
                              <w:t>$</w:t>
                            </w:r>
                          </w:p>
                        </w:tc>
                        <w:tc>
                          <w:tcPr>
                            <w:tcW w:w="850" w:type="dxa"/>
                            <w:shd w:val="clear" w:color="auto" w:fill="CCEDFF"/>
                          </w:tcPr>
                          <w:p>
                            <w:pPr>
                              <w:pStyle w:val="TableParagraph"/>
                              <w:rPr>
                                <w:sz w:val="14"/>
                              </w:rPr>
                            </w:pPr>
                          </w:p>
                        </w:tc>
                        <w:tc>
                          <w:tcPr>
                            <w:tcW w:w="309" w:type="dxa"/>
                            <w:shd w:val="clear" w:color="auto" w:fill="CCEDFF"/>
                          </w:tcPr>
                          <w:p>
                            <w:pPr>
                              <w:pStyle w:val="TableParagraph"/>
                              <w:spacing w:line="180" w:lineRule="exact" w:before="3"/>
                              <w:ind w:right="18"/>
                              <w:jc w:val="center"/>
                              <w:rPr>
                                <w:sz w:val="16"/>
                              </w:rPr>
                            </w:pPr>
                            <w:r>
                              <w:rPr>
                                <w:spacing w:val="-5"/>
                                <w:w w:val="105"/>
                                <w:sz w:val="16"/>
                              </w:rPr>
                              <w:t>27</w:t>
                            </w:r>
                          </w:p>
                        </w:tc>
                        <w:tc>
                          <w:tcPr>
                            <w:tcW w:w="1414" w:type="dxa"/>
                            <w:shd w:val="clear" w:color="auto" w:fill="CCEDFF"/>
                          </w:tcPr>
                          <w:p>
                            <w:pPr>
                              <w:pStyle w:val="TableParagraph"/>
                              <w:tabs>
                                <w:tab w:pos="1057" w:val="left" w:leader="none"/>
                              </w:tabs>
                              <w:spacing w:line="180" w:lineRule="exact" w:before="3"/>
                              <w:ind w:right="41"/>
                              <w:jc w:val="right"/>
                              <w:rPr>
                                <w:sz w:val="16"/>
                              </w:rPr>
                            </w:pPr>
                            <w:r>
                              <w:rPr>
                                <w:spacing w:val="-10"/>
                                <w:w w:val="105"/>
                                <w:sz w:val="16"/>
                              </w:rPr>
                              <w:t>$</w:t>
                            </w:r>
                            <w:r>
                              <w:rPr>
                                <w:sz w:val="16"/>
                              </w:rPr>
                              <w:tab/>
                            </w:r>
                            <w:r>
                              <w:rPr>
                                <w:spacing w:val="-5"/>
                                <w:w w:val="105"/>
                                <w:sz w:val="16"/>
                              </w:rPr>
                              <w:t>75</w:t>
                            </w:r>
                          </w:p>
                        </w:tc>
                        <w:tc>
                          <w:tcPr>
                            <w:tcW w:w="1356" w:type="dxa"/>
                            <w:gridSpan w:val="3"/>
                            <w:shd w:val="clear" w:color="auto" w:fill="CCEDFF"/>
                          </w:tcPr>
                          <w:p>
                            <w:pPr>
                              <w:pStyle w:val="TableParagraph"/>
                              <w:tabs>
                                <w:tab w:pos="1109" w:val="left" w:leader="none"/>
                              </w:tabs>
                              <w:spacing w:line="180" w:lineRule="exact" w:before="3"/>
                              <w:ind w:left="185" w:right="-15"/>
                              <w:rPr>
                                <w:sz w:val="16"/>
                              </w:rPr>
                            </w:pPr>
                            <w:r>
                              <w:rPr>
                                <w:spacing w:val="-10"/>
                                <w:w w:val="105"/>
                                <w:sz w:val="16"/>
                              </w:rPr>
                              <w:t>$</w:t>
                            </w:r>
                            <w:r>
                              <w:rPr>
                                <w:sz w:val="16"/>
                              </w:rPr>
                              <w:tab/>
                            </w:r>
                            <w:r>
                              <w:rPr>
                                <w:spacing w:val="-5"/>
                                <w:w w:val="105"/>
                                <w:sz w:val="16"/>
                              </w:rPr>
                              <w:t>167</w:t>
                            </w:r>
                          </w:p>
                        </w:tc>
                      </w:tr>
                      <w:tr>
                        <w:trPr>
                          <w:trHeight w:val="203" w:hRule="atLeast"/>
                        </w:trPr>
                        <w:tc>
                          <w:tcPr>
                            <w:tcW w:w="5575" w:type="dxa"/>
                            <w:gridSpan w:val="3"/>
                          </w:tcPr>
                          <w:p>
                            <w:pPr>
                              <w:pStyle w:val="TableParagraph"/>
                              <w:rPr>
                                <w:sz w:val="14"/>
                              </w:rPr>
                            </w:pPr>
                          </w:p>
                        </w:tc>
                        <w:tc>
                          <w:tcPr>
                            <w:tcW w:w="327" w:type="dxa"/>
                          </w:tcPr>
                          <w:p>
                            <w:pPr>
                              <w:pStyle w:val="TableParagraph"/>
                              <w:rPr>
                                <w:sz w:val="14"/>
                              </w:rPr>
                            </w:pPr>
                          </w:p>
                        </w:tc>
                        <w:tc>
                          <w:tcPr>
                            <w:tcW w:w="1410" w:type="dxa"/>
                            <w:gridSpan w:val="2"/>
                          </w:tcPr>
                          <w:p>
                            <w:pPr>
                              <w:pStyle w:val="TableParagraph"/>
                              <w:rPr>
                                <w:sz w:val="14"/>
                              </w:rPr>
                            </w:pPr>
                          </w:p>
                        </w:tc>
                        <w:tc>
                          <w:tcPr>
                            <w:tcW w:w="273" w:type="dxa"/>
                          </w:tcPr>
                          <w:p>
                            <w:pPr>
                              <w:pStyle w:val="TableParagraph"/>
                              <w:rPr>
                                <w:sz w:val="14"/>
                              </w:rPr>
                            </w:pPr>
                          </w:p>
                        </w:tc>
                        <w:tc>
                          <w:tcPr>
                            <w:tcW w:w="850" w:type="dxa"/>
                          </w:tcPr>
                          <w:p>
                            <w:pPr>
                              <w:pStyle w:val="TableParagraph"/>
                              <w:rPr>
                                <w:sz w:val="14"/>
                              </w:rPr>
                            </w:pPr>
                          </w:p>
                        </w:tc>
                        <w:tc>
                          <w:tcPr>
                            <w:tcW w:w="309" w:type="dxa"/>
                          </w:tcPr>
                          <w:p>
                            <w:pPr>
                              <w:pStyle w:val="TableParagraph"/>
                              <w:rPr>
                                <w:sz w:val="14"/>
                              </w:rPr>
                            </w:pPr>
                          </w:p>
                        </w:tc>
                        <w:tc>
                          <w:tcPr>
                            <w:tcW w:w="1414" w:type="dxa"/>
                          </w:tcPr>
                          <w:p>
                            <w:pPr>
                              <w:pStyle w:val="TableParagraph"/>
                              <w:rPr>
                                <w:sz w:val="14"/>
                              </w:rPr>
                            </w:pPr>
                          </w:p>
                        </w:tc>
                        <w:tc>
                          <w:tcPr>
                            <w:tcW w:w="1356" w:type="dxa"/>
                            <w:gridSpan w:val="3"/>
                          </w:tcPr>
                          <w:p>
                            <w:pPr>
                              <w:pStyle w:val="TableParagraph"/>
                              <w:rPr>
                                <w:sz w:val="14"/>
                              </w:rPr>
                            </w:pPr>
                          </w:p>
                        </w:tc>
                      </w:tr>
                      <w:tr>
                        <w:trPr>
                          <w:trHeight w:val="200" w:hRule="atLeast"/>
                        </w:trPr>
                        <w:tc>
                          <w:tcPr>
                            <w:tcW w:w="5575" w:type="dxa"/>
                            <w:gridSpan w:val="3"/>
                            <w:tcBorders>
                              <w:bottom w:val="double" w:sz="6" w:space="0" w:color="000000"/>
                            </w:tcBorders>
                            <w:shd w:val="clear" w:color="auto" w:fill="CCEDFF"/>
                          </w:tcPr>
                          <w:p>
                            <w:pPr>
                              <w:pStyle w:val="TableParagraph"/>
                              <w:spacing w:line="177" w:lineRule="exact" w:before="3"/>
                              <w:rPr>
                                <w:sz w:val="16"/>
                              </w:rPr>
                            </w:pPr>
                            <w:r>
                              <w:rPr>
                                <w:w w:val="105"/>
                                <w:sz w:val="16"/>
                              </w:rPr>
                              <w:t>Year</w:t>
                            </w:r>
                            <w:r>
                              <w:rPr>
                                <w:spacing w:val="-11"/>
                                <w:w w:val="105"/>
                                <w:sz w:val="16"/>
                              </w:rPr>
                              <w:t> </w:t>
                            </w:r>
                            <w:r>
                              <w:rPr>
                                <w:w w:val="105"/>
                                <w:sz w:val="16"/>
                              </w:rPr>
                              <w:t>ended</w:t>
                            </w:r>
                            <w:r>
                              <w:rPr>
                                <w:spacing w:val="-9"/>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2019</w:t>
                            </w:r>
                          </w:p>
                        </w:tc>
                        <w:tc>
                          <w:tcPr>
                            <w:tcW w:w="327" w:type="dxa"/>
                            <w:tcBorders>
                              <w:bottom w:val="double" w:sz="6" w:space="0" w:color="000000"/>
                            </w:tcBorders>
                            <w:shd w:val="clear" w:color="auto" w:fill="CCEDFF"/>
                          </w:tcPr>
                          <w:p>
                            <w:pPr>
                              <w:pStyle w:val="TableParagraph"/>
                              <w:rPr>
                                <w:sz w:val="12"/>
                              </w:rPr>
                            </w:pPr>
                          </w:p>
                        </w:tc>
                        <w:tc>
                          <w:tcPr>
                            <w:tcW w:w="1410" w:type="dxa"/>
                            <w:gridSpan w:val="2"/>
                            <w:tcBorders>
                              <w:bottom w:val="double" w:sz="6" w:space="0" w:color="000000"/>
                            </w:tcBorders>
                            <w:shd w:val="clear" w:color="auto" w:fill="CCEDFF"/>
                          </w:tcPr>
                          <w:p>
                            <w:pPr>
                              <w:pStyle w:val="TableParagraph"/>
                              <w:tabs>
                                <w:tab w:pos="1021" w:val="left" w:leader="none"/>
                              </w:tabs>
                              <w:spacing w:line="177" w:lineRule="exact" w:before="3"/>
                              <w:ind w:left="59"/>
                              <w:rPr>
                                <w:sz w:val="16"/>
                              </w:rPr>
                            </w:pPr>
                            <w:r>
                              <w:rPr>
                                <w:spacing w:val="-10"/>
                                <w:w w:val="105"/>
                                <w:sz w:val="16"/>
                              </w:rPr>
                              <w:t>$</w:t>
                            </w:r>
                            <w:r>
                              <w:rPr>
                                <w:sz w:val="16"/>
                              </w:rPr>
                              <w:tab/>
                            </w:r>
                            <w:r>
                              <w:rPr>
                                <w:spacing w:val="-5"/>
                                <w:w w:val="105"/>
                                <w:sz w:val="16"/>
                              </w:rPr>
                              <w:t>317</w:t>
                            </w:r>
                          </w:p>
                        </w:tc>
                        <w:tc>
                          <w:tcPr>
                            <w:tcW w:w="273" w:type="dxa"/>
                            <w:tcBorders>
                              <w:bottom w:val="double" w:sz="6" w:space="0" w:color="000000"/>
                            </w:tcBorders>
                            <w:shd w:val="clear" w:color="auto" w:fill="CCEDFF"/>
                          </w:tcPr>
                          <w:p>
                            <w:pPr>
                              <w:pStyle w:val="TableParagraph"/>
                              <w:spacing w:line="177" w:lineRule="exact" w:before="3"/>
                              <w:ind w:right="10"/>
                              <w:jc w:val="center"/>
                              <w:rPr>
                                <w:sz w:val="16"/>
                              </w:rPr>
                            </w:pPr>
                            <w:r>
                              <w:rPr>
                                <w:spacing w:val="-10"/>
                                <w:w w:val="105"/>
                                <w:sz w:val="16"/>
                              </w:rPr>
                              <w:t>$</w:t>
                            </w:r>
                          </w:p>
                        </w:tc>
                        <w:tc>
                          <w:tcPr>
                            <w:tcW w:w="850" w:type="dxa"/>
                            <w:tcBorders>
                              <w:bottom w:val="double" w:sz="6" w:space="0" w:color="000000"/>
                            </w:tcBorders>
                            <w:shd w:val="clear" w:color="auto" w:fill="CCEDFF"/>
                          </w:tcPr>
                          <w:p>
                            <w:pPr>
                              <w:pStyle w:val="TableParagraph"/>
                              <w:rPr>
                                <w:sz w:val="12"/>
                              </w:rPr>
                            </w:pPr>
                          </w:p>
                        </w:tc>
                        <w:tc>
                          <w:tcPr>
                            <w:tcW w:w="309" w:type="dxa"/>
                            <w:tcBorders>
                              <w:bottom w:val="double" w:sz="6" w:space="0" w:color="000000"/>
                            </w:tcBorders>
                            <w:shd w:val="clear" w:color="auto" w:fill="CCEDFF"/>
                          </w:tcPr>
                          <w:p>
                            <w:pPr>
                              <w:pStyle w:val="TableParagraph"/>
                              <w:spacing w:line="177" w:lineRule="exact" w:before="3"/>
                              <w:ind w:right="18"/>
                              <w:jc w:val="center"/>
                              <w:rPr>
                                <w:sz w:val="16"/>
                              </w:rPr>
                            </w:pPr>
                            <w:r>
                              <w:rPr>
                                <w:spacing w:val="-5"/>
                                <w:w w:val="105"/>
                                <w:sz w:val="16"/>
                              </w:rPr>
                              <w:t>10</w:t>
                            </w:r>
                          </w:p>
                        </w:tc>
                        <w:tc>
                          <w:tcPr>
                            <w:tcW w:w="1414" w:type="dxa"/>
                            <w:tcBorders>
                              <w:bottom w:val="double" w:sz="6" w:space="0" w:color="000000"/>
                            </w:tcBorders>
                            <w:shd w:val="clear" w:color="auto" w:fill="CCEDFF"/>
                          </w:tcPr>
                          <w:p>
                            <w:pPr>
                              <w:pStyle w:val="TableParagraph"/>
                              <w:tabs>
                                <w:tab w:pos="974" w:val="left" w:leader="none"/>
                              </w:tabs>
                              <w:spacing w:line="177" w:lineRule="exact" w:before="3"/>
                              <w:ind w:right="41"/>
                              <w:jc w:val="right"/>
                              <w:rPr>
                                <w:sz w:val="16"/>
                              </w:rPr>
                            </w:pPr>
                            <w:r>
                              <w:rPr>
                                <w:spacing w:val="-10"/>
                                <w:w w:val="105"/>
                                <w:sz w:val="16"/>
                              </w:rPr>
                              <w:t>$</w:t>
                            </w:r>
                            <w:r>
                              <w:rPr>
                                <w:sz w:val="16"/>
                              </w:rPr>
                              <w:tab/>
                            </w:r>
                            <w:r>
                              <w:rPr>
                                <w:spacing w:val="-5"/>
                                <w:w w:val="105"/>
                                <w:sz w:val="16"/>
                              </w:rPr>
                              <w:t>112</w:t>
                            </w:r>
                          </w:p>
                        </w:tc>
                        <w:tc>
                          <w:tcPr>
                            <w:tcW w:w="1356" w:type="dxa"/>
                            <w:gridSpan w:val="3"/>
                            <w:tcBorders>
                              <w:bottom w:val="double" w:sz="6" w:space="0" w:color="000000"/>
                            </w:tcBorders>
                            <w:shd w:val="clear" w:color="auto" w:fill="CCEDFF"/>
                          </w:tcPr>
                          <w:p>
                            <w:pPr>
                              <w:pStyle w:val="TableParagraph"/>
                              <w:tabs>
                                <w:tab w:pos="1109" w:val="left" w:leader="none"/>
                              </w:tabs>
                              <w:spacing w:line="177" w:lineRule="exact" w:before="3"/>
                              <w:ind w:left="185" w:right="-15"/>
                              <w:rPr>
                                <w:sz w:val="16"/>
                              </w:rPr>
                            </w:pPr>
                            <w:r>
                              <w:rPr>
                                <w:spacing w:val="-10"/>
                                <w:w w:val="105"/>
                                <w:sz w:val="16"/>
                              </w:rPr>
                              <w:t>$</w:t>
                            </w:r>
                            <w:r>
                              <w:rPr>
                                <w:sz w:val="16"/>
                              </w:rPr>
                              <w:tab/>
                            </w:r>
                            <w:r>
                              <w:rPr>
                                <w:spacing w:val="-5"/>
                                <w:w w:val="105"/>
                                <w:sz w:val="16"/>
                              </w:rPr>
                              <w:t>215</w:t>
                            </w:r>
                          </w:p>
                        </w:tc>
                      </w:tr>
                      <w:tr>
                        <w:trPr>
                          <w:trHeight w:val="478" w:hRule="atLeast"/>
                        </w:trPr>
                        <w:tc>
                          <w:tcPr>
                            <w:tcW w:w="5575" w:type="dxa"/>
                            <w:gridSpan w:val="3"/>
                            <w:tcBorders>
                              <w:top w:val="double" w:sz="6" w:space="0" w:color="000000"/>
                              <w:bottom w:val="single" w:sz="12" w:space="0" w:color="000000"/>
                            </w:tcBorders>
                          </w:tcPr>
                          <w:p>
                            <w:pPr>
                              <w:pStyle w:val="TableParagraph"/>
                              <w:rPr>
                                <w:sz w:val="16"/>
                              </w:rPr>
                            </w:pPr>
                          </w:p>
                        </w:tc>
                        <w:tc>
                          <w:tcPr>
                            <w:tcW w:w="327" w:type="dxa"/>
                            <w:tcBorders>
                              <w:top w:val="double" w:sz="6" w:space="0" w:color="000000"/>
                              <w:bottom w:val="single" w:sz="12" w:space="0" w:color="000000"/>
                            </w:tcBorders>
                          </w:tcPr>
                          <w:p>
                            <w:pPr>
                              <w:pStyle w:val="TableParagraph"/>
                              <w:spacing w:before="19"/>
                              <w:rPr>
                                <w:sz w:val="16"/>
                              </w:rPr>
                            </w:pPr>
                          </w:p>
                          <w:p>
                            <w:pPr>
                              <w:pStyle w:val="TableParagraph"/>
                              <w:spacing w:before="1"/>
                              <w:ind w:left="99"/>
                              <w:rPr>
                                <w:sz w:val="16"/>
                              </w:rPr>
                            </w:pPr>
                            <w:r>
                              <w:rPr>
                                <w:spacing w:val="-5"/>
                                <w:w w:val="105"/>
                                <w:sz w:val="16"/>
                              </w:rPr>
                              <w:t>87</w:t>
                            </w:r>
                          </w:p>
                        </w:tc>
                        <w:tc>
                          <w:tcPr>
                            <w:tcW w:w="1410" w:type="dxa"/>
                            <w:gridSpan w:val="2"/>
                            <w:tcBorders>
                              <w:top w:val="double" w:sz="6" w:space="0" w:color="000000"/>
                              <w:bottom w:val="single" w:sz="12" w:space="0" w:color="000000"/>
                            </w:tcBorders>
                          </w:tcPr>
                          <w:p>
                            <w:pPr>
                              <w:pStyle w:val="TableParagraph"/>
                              <w:rPr>
                                <w:sz w:val="16"/>
                              </w:rPr>
                            </w:pPr>
                          </w:p>
                        </w:tc>
                        <w:tc>
                          <w:tcPr>
                            <w:tcW w:w="273" w:type="dxa"/>
                            <w:tcBorders>
                              <w:top w:val="double" w:sz="6" w:space="0" w:color="000000"/>
                              <w:bottom w:val="single" w:sz="12" w:space="0" w:color="000000"/>
                            </w:tcBorders>
                          </w:tcPr>
                          <w:p>
                            <w:pPr>
                              <w:pStyle w:val="TableParagraph"/>
                              <w:rPr>
                                <w:sz w:val="16"/>
                              </w:rPr>
                            </w:pPr>
                          </w:p>
                        </w:tc>
                        <w:tc>
                          <w:tcPr>
                            <w:tcW w:w="850" w:type="dxa"/>
                            <w:tcBorders>
                              <w:top w:val="double" w:sz="6" w:space="0" w:color="000000"/>
                              <w:bottom w:val="single" w:sz="12" w:space="0" w:color="000000"/>
                            </w:tcBorders>
                          </w:tcPr>
                          <w:p>
                            <w:pPr>
                              <w:pStyle w:val="TableParagraph"/>
                              <w:rPr>
                                <w:sz w:val="16"/>
                              </w:rPr>
                            </w:pPr>
                          </w:p>
                        </w:tc>
                        <w:tc>
                          <w:tcPr>
                            <w:tcW w:w="309" w:type="dxa"/>
                            <w:tcBorders>
                              <w:top w:val="double" w:sz="6" w:space="0" w:color="000000"/>
                              <w:bottom w:val="single" w:sz="12" w:space="0" w:color="000000"/>
                            </w:tcBorders>
                          </w:tcPr>
                          <w:p>
                            <w:pPr>
                              <w:pStyle w:val="TableParagraph"/>
                              <w:rPr>
                                <w:sz w:val="16"/>
                              </w:rPr>
                            </w:pPr>
                          </w:p>
                        </w:tc>
                        <w:tc>
                          <w:tcPr>
                            <w:tcW w:w="1414" w:type="dxa"/>
                            <w:tcBorders>
                              <w:top w:val="double" w:sz="6" w:space="0" w:color="000000"/>
                              <w:bottom w:val="single" w:sz="12" w:space="0" w:color="000000"/>
                            </w:tcBorders>
                          </w:tcPr>
                          <w:p>
                            <w:pPr>
                              <w:pStyle w:val="TableParagraph"/>
                              <w:rPr>
                                <w:sz w:val="16"/>
                              </w:rPr>
                            </w:pPr>
                          </w:p>
                        </w:tc>
                        <w:tc>
                          <w:tcPr>
                            <w:tcW w:w="1356" w:type="dxa"/>
                            <w:gridSpan w:val="3"/>
                            <w:tcBorders>
                              <w:top w:val="double" w:sz="6" w:space="0" w:color="000000"/>
                              <w:bottom w:val="single" w:sz="12" w:space="0" w:color="000000"/>
                            </w:tcBorders>
                          </w:tcPr>
                          <w:p>
                            <w:pPr>
                              <w:pStyle w:val="TableParagraph"/>
                              <w:rPr>
                                <w:sz w:val="16"/>
                              </w:rPr>
                            </w:pPr>
                          </w:p>
                        </w:tc>
                      </w:tr>
                    </w:tbl>
                    <w:p>
                      <w:pPr>
                        <w:pStyle w:val="BodyText"/>
                      </w:pPr>
                    </w:p>
                  </w:txbxContent>
                </v:textbox>
                <w10:wrap type="none"/>
              </v:shape>
            </w:pict>
          </mc:Fallback>
        </mc:AlternateContent>
      </w:r>
    </w:p>
    <w:p>
      <w:pPr>
        <w:pStyle w:val="Heading2"/>
      </w:pPr>
      <w:r>
        <w:rPr>
          <w:w w:val="105"/>
        </w:rPr>
        <w:t>8.</w:t>
      </w:r>
      <w:r>
        <w:rPr>
          <w:spacing w:val="27"/>
          <w:w w:val="105"/>
        </w:rPr>
        <w:t> </w:t>
      </w:r>
      <w:r>
        <w:rPr>
          <w:w w:val="105"/>
        </w:rPr>
        <w:t>Income</w:t>
      </w:r>
      <w:r>
        <w:rPr>
          <w:spacing w:val="-7"/>
          <w:w w:val="105"/>
        </w:rPr>
        <w:t> </w:t>
      </w:r>
      <w:r>
        <w:rPr>
          <w:w w:val="105"/>
        </w:rPr>
        <w:t>Taxes</w:t>
      </w:r>
      <w:r>
        <w:rPr>
          <w:spacing w:val="-7"/>
          <w:w w:val="105"/>
        </w:rPr>
        <w:t> </w:t>
      </w:r>
      <w:r>
        <w:rPr>
          <w:spacing w:val="-2"/>
          <w:w w:val="105"/>
        </w:rPr>
        <w:t>(Continued)</w:t>
      </w:r>
    </w:p>
    <w:p>
      <w:pPr>
        <w:pStyle w:val="BodyText"/>
        <w:spacing w:before="40"/>
        <w:rPr>
          <w:b/>
        </w:rPr>
      </w:pPr>
    </w:p>
    <w:p>
      <w:pPr>
        <w:pStyle w:val="BodyText"/>
        <w:spacing w:line="266" w:lineRule="auto"/>
        <w:ind w:left="156" w:right="228"/>
      </w:pPr>
      <w:r>
        <w:rPr>
          <w:w w:val="105"/>
        </w:rPr>
        <w:t>During</w:t>
      </w:r>
      <w:r>
        <w:rPr>
          <w:spacing w:val="-8"/>
          <w:w w:val="105"/>
        </w:rPr>
        <w:t> </w:t>
      </w:r>
      <w:r>
        <w:rPr>
          <w:w w:val="105"/>
        </w:rPr>
        <w:t>2021,</w:t>
      </w:r>
      <w:r>
        <w:rPr>
          <w:spacing w:val="-9"/>
          <w:w w:val="105"/>
        </w:rPr>
        <w:t> </w:t>
      </w:r>
      <w:r>
        <w:rPr>
          <w:w w:val="105"/>
        </w:rPr>
        <w:t>the</w:t>
      </w:r>
      <w:r>
        <w:rPr>
          <w:spacing w:val="-9"/>
          <w:w w:val="105"/>
        </w:rPr>
        <w:t> </w:t>
      </w:r>
      <w:r>
        <w:rPr>
          <w:w w:val="105"/>
        </w:rPr>
        <w:t>Company</w:t>
      </w:r>
      <w:r>
        <w:rPr>
          <w:spacing w:val="-9"/>
          <w:w w:val="105"/>
        </w:rPr>
        <w:t> </w:t>
      </w:r>
      <w:r>
        <w:rPr>
          <w:w w:val="105"/>
        </w:rPr>
        <w:t>distributed</w:t>
      </w:r>
      <w:r>
        <w:rPr>
          <w:spacing w:val="-9"/>
          <w:w w:val="105"/>
        </w:rPr>
        <w:t> </w:t>
      </w:r>
      <w:r>
        <w:rPr>
          <w:w w:val="105"/>
        </w:rPr>
        <w:t>approximately</w:t>
      </w:r>
      <w:r>
        <w:rPr>
          <w:spacing w:val="-9"/>
          <w:w w:val="105"/>
        </w:rPr>
        <w:t> </w:t>
      </w:r>
      <w:r>
        <w:rPr>
          <w:w w:val="105"/>
        </w:rPr>
        <w:t>$2.3</w:t>
      </w:r>
      <w:r>
        <w:rPr>
          <w:spacing w:val="-9"/>
          <w:w w:val="105"/>
        </w:rPr>
        <w:t> </w:t>
      </w:r>
      <w:r>
        <w:rPr>
          <w:w w:val="105"/>
        </w:rPr>
        <w:t>billion</w:t>
      </w:r>
      <w:r>
        <w:rPr>
          <w:spacing w:val="-9"/>
          <w:w w:val="105"/>
        </w:rPr>
        <w:t> </w:t>
      </w:r>
      <w:r>
        <w:rPr>
          <w:w w:val="105"/>
        </w:rPr>
        <w:t>from</w:t>
      </w:r>
      <w:r>
        <w:rPr>
          <w:spacing w:val="-9"/>
          <w:w w:val="105"/>
        </w:rPr>
        <w:t> </w:t>
      </w:r>
      <w:r>
        <w:rPr>
          <w:w w:val="105"/>
        </w:rPr>
        <w:t>foreign</w:t>
      </w:r>
      <w:r>
        <w:rPr>
          <w:spacing w:val="-9"/>
          <w:w w:val="105"/>
        </w:rPr>
        <w:t> </w:t>
      </w:r>
      <w:r>
        <w:rPr>
          <w:w w:val="105"/>
        </w:rPr>
        <w:t>subsidiaries</w:t>
      </w:r>
      <w:r>
        <w:rPr>
          <w:spacing w:val="-9"/>
          <w:w w:val="105"/>
        </w:rPr>
        <w:t> </w:t>
      </w:r>
      <w:r>
        <w:rPr>
          <w:w w:val="105"/>
        </w:rPr>
        <w:t>to</w:t>
      </w:r>
      <w:r>
        <w:rPr>
          <w:spacing w:val="-9"/>
          <w:w w:val="105"/>
        </w:rPr>
        <w:t> </w:t>
      </w:r>
      <w:r>
        <w:rPr>
          <w:w w:val="105"/>
        </w:rPr>
        <w:t>their</w:t>
      </w:r>
      <w:r>
        <w:rPr>
          <w:spacing w:val="-9"/>
          <w:w w:val="105"/>
        </w:rPr>
        <w:t> </w:t>
      </w:r>
      <w:r>
        <w:rPr>
          <w:w w:val="105"/>
        </w:rPr>
        <w:t>respective</w:t>
      </w:r>
      <w:r>
        <w:rPr>
          <w:spacing w:val="-9"/>
          <w:w w:val="105"/>
        </w:rPr>
        <w:t> </w:t>
      </w:r>
      <w:r>
        <w:rPr>
          <w:w w:val="105"/>
        </w:rPr>
        <w:t>U.S.</w:t>
      </w:r>
      <w:r>
        <w:rPr>
          <w:spacing w:val="-9"/>
          <w:w w:val="105"/>
        </w:rPr>
        <w:t> </w:t>
      </w:r>
      <w:r>
        <w:rPr>
          <w:w w:val="105"/>
        </w:rPr>
        <w:t>parent</w:t>
      </w:r>
      <w:r>
        <w:rPr>
          <w:spacing w:val="-9"/>
          <w:w w:val="105"/>
        </w:rPr>
        <w:t> </w:t>
      </w:r>
      <w:r>
        <w:rPr>
          <w:w w:val="105"/>
        </w:rPr>
        <w:t>companies.</w:t>
      </w:r>
      <w:r>
        <w:rPr>
          <w:spacing w:val="25"/>
          <w:w w:val="105"/>
        </w:rPr>
        <w:t> </w:t>
      </w: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2021,</w:t>
      </w:r>
      <w:r>
        <w:rPr>
          <w:spacing w:val="-9"/>
          <w:w w:val="105"/>
        </w:rPr>
        <w:t> </w:t>
      </w:r>
      <w:r>
        <w:rPr>
          <w:w w:val="105"/>
        </w:rPr>
        <w:t>Corning has</w:t>
      </w:r>
      <w:r>
        <w:rPr>
          <w:spacing w:val="-5"/>
          <w:w w:val="105"/>
        </w:rPr>
        <w:t> </w:t>
      </w:r>
      <w:r>
        <w:rPr>
          <w:w w:val="105"/>
        </w:rPr>
        <w:t>approximately</w:t>
      </w:r>
      <w:r>
        <w:rPr>
          <w:spacing w:val="-5"/>
          <w:w w:val="105"/>
        </w:rPr>
        <w:t> </w:t>
      </w:r>
      <w:r>
        <w:rPr>
          <w:w w:val="105"/>
        </w:rPr>
        <w:t>$2.4</w:t>
      </w:r>
      <w:r>
        <w:rPr>
          <w:spacing w:val="-5"/>
          <w:w w:val="105"/>
        </w:rPr>
        <w:t> </w:t>
      </w:r>
      <w:r>
        <w:rPr>
          <w:w w:val="105"/>
        </w:rPr>
        <w:t>billion</w:t>
      </w:r>
      <w:r>
        <w:rPr>
          <w:spacing w:val="-5"/>
          <w:w w:val="105"/>
        </w:rPr>
        <w:t> </w:t>
      </w:r>
      <w:r>
        <w:rPr>
          <w:w w:val="105"/>
        </w:rPr>
        <w:t>of</w:t>
      </w:r>
      <w:r>
        <w:rPr>
          <w:spacing w:val="-5"/>
          <w:w w:val="105"/>
        </w:rPr>
        <w:t> </w:t>
      </w:r>
      <w:r>
        <w:rPr>
          <w:w w:val="105"/>
        </w:rPr>
        <w:t>indefinitely</w:t>
      </w:r>
      <w:r>
        <w:rPr>
          <w:spacing w:val="-5"/>
          <w:w w:val="105"/>
        </w:rPr>
        <w:t> </w:t>
      </w:r>
      <w:r>
        <w:rPr>
          <w:w w:val="105"/>
        </w:rPr>
        <w:t>reinvested</w:t>
      </w:r>
      <w:r>
        <w:rPr>
          <w:spacing w:val="-5"/>
          <w:w w:val="105"/>
        </w:rPr>
        <w:t> </w:t>
      </w:r>
      <w:r>
        <w:rPr>
          <w:w w:val="105"/>
        </w:rPr>
        <w:t>foreign</w:t>
      </w:r>
      <w:r>
        <w:rPr>
          <w:spacing w:val="-5"/>
          <w:w w:val="105"/>
        </w:rPr>
        <w:t> </w:t>
      </w:r>
      <w:r>
        <w:rPr>
          <w:w w:val="105"/>
        </w:rPr>
        <w:t>earnings.</w:t>
      </w:r>
      <w:r>
        <w:rPr>
          <w:spacing w:val="33"/>
          <w:w w:val="105"/>
        </w:rPr>
        <w:t> </w:t>
      </w:r>
      <w:r>
        <w:rPr>
          <w:w w:val="105"/>
        </w:rPr>
        <w:t>It</w:t>
      </w:r>
      <w:r>
        <w:rPr>
          <w:spacing w:val="-5"/>
          <w:w w:val="105"/>
        </w:rPr>
        <w:t> </w:t>
      </w:r>
      <w:r>
        <w:rPr>
          <w:w w:val="105"/>
        </w:rPr>
        <w:t>remains</w:t>
      </w:r>
      <w:r>
        <w:rPr>
          <w:spacing w:val="-5"/>
          <w:w w:val="105"/>
        </w:rPr>
        <w:t> </w:t>
      </w:r>
      <w:r>
        <w:rPr>
          <w:w w:val="105"/>
        </w:rPr>
        <w:t>impracticable</w:t>
      </w:r>
      <w:r>
        <w:rPr>
          <w:spacing w:val="-5"/>
          <w:w w:val="105"/>
        </w:rPr>
        <w:t> </w:t>
      </w:r>
      <w:r>
        <w:rPr>
          <w:w w:val="105"/>
        </w:rPr>
        <w:t>to</w:t>
      </w:r>
      <w:r>
        <w:rPr>
          <w:spacing w:val="-5"/>
          <w:w w:val="105"/>
        </w:rPr>
        <w:t> </w:t>
      </w:r>
      <w:r>
        <w:rPr>
          <w:w w:val="105"/>
        </w:rPr>
        <w:t>calculate</w:t>
      </w:r>
      <w:r>
        <w:rPr>
          <w:spacing w:val="-7"/>
          <w:w w:val="105"/>
        </w:rPr>
        <w:t> </w:t>
      </w:r>
      <w:r>
        <w:rPr>
          <w:w w:val="105"/>
        </w:rPr>
        <w:t>the</w:t>
      </w:r>
      <w:r>
        <w:rPr>
          <w:spacing w:val="-5"/>
          <w:w w:val="105"/>
        </w:rPr>
        <w:t> </w:t>
      </w:r>
      <w:r>
        <w:rPr>
          <w:w w:val="105"/>
        </w:rPr>
        <w:t>tax</w:t>
      </w:r>
      <w:r>
        <w:rPr>
          <w:spacing w:val="-5"/>
          <w:w w:val="105"/>
        </w:rPr>
        <w:t> </w:t>
      </w:r>
      <w:r>
        <w:rPr>
          <w:w w:val="105"/>
        </w:rPr>
        <w:t>cost</w:t>
      </w:r>
      <w:r>
        <w:rPr>
          <w:spacing w:val="-5"/>
          <w:w w:val="105"/>
        </w:rPr>
        <w:t> </w:t>
      </w:r>
      <w:r>
        <w:rPr>
          <w:w w:val="105"/>
        </w:rPr>
        <w:t>of</w:t>
      </w:r>
      <w:r>
        <w:rPr>
          <w:spacing w:val="-5"/>
          <w:w w:val="105"/>
        </w:rPr>
        <w:t> </w:t>
      </w:r>
      <w:r>
        <w:rPr>
          <w:w w:val="105"/>
        </w:rPr>
        <w:t>repatriating</w:t>
      </w:r>
      <w:r>
        <w:rPr>
          <w:spacing w:val="-7"/>
          <w:w w:val="105"/>
        </w:rPr>
        <w:t> </w:t>
      </w:r>
      <w:r>
        <w:rPr>
          <w:w w:val="105"/>
        </w:rPr>
        <w:t>unremitted</w:t>
      </w:r>
      <w:r>
        <w:rPr>
          <w:spacing w:val="-5"/>
          <w:w w:val="105"/>
        </w:rPr>
        <w:t> </w:t>
      </w:r>
      <w:r>
        <w:rPr>
          <w:w w:val="105"/>
        </w:rPr>
        <w:t>earnings</w:t>
      </w:r>
      <w:r>
        <w:rPr>
          <w:spacing w:val="-5"/>
          <w:w w:val="105"/>
        </w:rPr>
        <w:t> </w:t>
      </w:r>
      <w:r>
        <w:rPr>
          <w:w w:val="105"/>
        </w:rPr>
        <w:t>which</w:t>
      </w:r>
      <w:r>
        <w:rPr>
          <w:spacing w:val="-5"/>
          <w:w w:val="105"/>
        </w:rPr>
        <w:t> </w:t>
      </w:r>
      <w:r>
        <w:rPr>
          <w:w w:val="105"/>
        </w:rPr>
        <w:t>are considered indefinitely reinvested.</w:t>
      </w:r>
    </w:p>
    <w:p>
      <w:pPr>
        <w:pStyle w:val="BodyText"/>
        <w:spacing w:before="18"/>
      </w:pPr>
    </w:p>
    <w:p>
      <w:pPr>
        <w:pStyle w:val="BodyText"/>
        <w:ind w:left="156"/>
      </w:pPr>
      <w:r>
        <w:rPr>
          <w:w w:val="105"/>
        </w:rPr>
        <w:t>The</w:t>
      </w:r>
      <w:r>
        <w:rPr>
          <w:spacing w:val="-10"/>
          <w:w w:val="105"/>
        </w:rPr>
        <w:t> </w:t>
      </w:r>
      <w:r>
        <w:rPr>
          <w:w w:val="105"/>
        </w:rPr>
        <w:t>tax</w:t>
      </w:r>
      <w:r>
        <w:rPr>
          <w:spacing w:val="-10"/>
          <w:w w:val="105"/>
        </w:rPr>
        <w:t> </w:t>
      </w:r>
      <w:r>
        <w:rPr>
          <w:w w:val="105"/>
        </w:rPr>
        <w:t>effects</w:t>
      </w:r>
      <w:r>
        <w:rPr>
          <w:spacing w:val="-10"/>
          <w:w w:val="105"/>
        </w:rPr>
        <w:t> </w:t>
      </w:r>
      <w:r>
        <w:rPr>
          <w:w w:val="105"/>
        </w:rPr>
        <w:t>of</w:t>
      </w:r>
      <w:r>
        <w:rPr>
          <w:spacing w:val="-10"/>
          <w:w w:val="105"/>
        </w:rPr>
        <w:t> </w:t>
      </w:r>
      <w:r>
        <w:rPr>
          <w:w w:val="105"/>
        </w:rPr>
        <w:t>temporary</w:t>
      </w:r>
      <w:r>
        <w:rPr>
          <w:spacing w:val="-9"/>
          <w:w w:val="105"/>
        </w:rPr>
        <w:t> </w:t>
      </w:r>
      <w:r>
        <w:rPr>
          <w:w w:val="105"/>
        </w:rPr>
        <w:t>differences</w:t>
      </w:r>
      <w:r>
        <w:rPr>
          <w:spacing w:val="-10"/>
          <w:w w:val="105"/>
        </w:rPr>
        <w:t> </w:t>
      </w:r>
      <w:r>
        <w:rPr>
          <w:w w:val="105"/>
        </w:rPr>
        <w:t>and</w:t>
      </w:r>
      <w:r>
        <w:rPr>
          <w:spacing w:val="-8"/>
          <w:w w:val="105"/>
        </w:rPr>
        <w:t> </w:t>
      </w:r>
      <w:r>
        <w:rPr>
          <w:w w:val="105"/>
        </w:rPr>
        <w:t>carryforwards</w:t>
      </w:r>
      <w:r>
        <w:rPr>
          <w:spacing w:val="-10"/>
          <w:w w:val="105"/>
        </w:rPr>
        <w:t> </w:t>
      </w:r>
      <w:r>
        <w:rPr>
          <w:w w:val="105"/>
        </w:rPr>
        <w:t>that</w:t>
      </w:r>
      <w:r>
        <w:rPr>
          <w:spacing w:val="-10"/>
          <w:w w:val="105"/>
        </w:rPr>
        <w:t> </w:t>
      </w:r>
      <w:r>
        <w:rPr>
          <w:w w:val="105"/>
        </w:rPr>
        <w:t>gave</w:t>
      </w:r>
      <w:r>
        <w:rPr>
          <w:spacing w:val="-10"/>
          <w:w w:val="105"/>
        </w:rPr>
        <w:t> </w:t>
      </w:r>
      <w:r>
        <w:rPr>
          <w:w w:val="105"/>
        </w:rPr>
        <w:t>rise</w:t>
      </w:r>
      <w:r>
        <w:rPr>
          <w:spacing w:val="-9"/>
          <w:w w:val="105"/>
        </w:rPr>
        <w:t> </w:t>
      </w:r>
      <w:r>
        <w:rPr>
          <w:w w:val="105"/>
        </w:rPr>
        <w:t>to</w:t>
      </w:r>
      <w:r>
        <w:rPr>
          <w:spacing w:val="-10"/>
          <w:w w:val="105"/>
        </w:rPr>
        <w:t> </w:t>
      </w:r>
      <w:r>
        <w:rPr>
          <w:w w:val="105"/>
        </w:rPr>
        <w:t>significant</w:t>
      </w:r>
      <w:r>
        <w:rPr>
          <w:spacing w:val="-10"/>
          <w:w w:val="105"/>
        </w:rPr>
        <w:t> </w:t>
      </w:r>
      <w:r>
        <w:rPr>
          <w:w w:val="105"/>
        </w:rPr>
        <w:t>portions</w:t>
      </w:r>
      <w:r>
        <w:rPr>
          <w:spacing w:val="-10"/>
          <w:w w:val="105"/>
        </w:rPr>
        <w:t> </w:t>
      </w:r>
      <w:r>
        <w:rPr>
          <w:w w:val="105"/>
        </w:rPr>
        <w:t>of</w:t>
      </w:r>
      <w:r>
        <w:rPr>
          <w:spacing w:val="-10"/>
          <w:w w:val="105"/>
        </w:rPr>
        <w:t> </w:t>
      </w:r>
      <w:r>
        <w:rPr>
          <w:w w:val="105"/>
        </w:rPr>
        <w:t>the</w:t>
      </w:r>
      <w:r>
        <w:rPr>
          <w:spacing w:val="-9"/>
          <w:w w:val="105"/>
        </w:rPr>
        <w:t> </w:t>
      </w:r>
      <w:r>
        <w:rPr>
          <w:w w:val="105"/>
        </w:rPr>
        <w:t>deferred</w:t>
      </w:r>
      <w:r>
        <w:rPr>
          <w:spacing w:val="-10"/>
          <w:w w:val="105"/>
        </w:rPr>
        <w:t> </w:t>
      </w:r>
      <w:r>
        <w:rPr>
          <w:w w:val="105"/>
        </w:rPr>
        <w:t>tax</w:t>
      </w:r>
      <w:r>
        <w:rPr>
          <w:spacing w:val="-10"/>
          <w:w w:val="105"/>
        </w:rPr>
        <w:t> </w:t>
      </w:r>
      <w:r>
        <w:rPr>
          <w:w w:val="105"/>
        </w:rPr>
        <w:t>assets</w:t>
      </w:r>
      <w:r>
        <w:rPr>
          <w:spacing w:val="-10"/>
          <w:w w:val="105"/>
        </w:rPr>
        <w:t> </w:t>
      </w:r>
      <w:r>
        <w:rPr>
          <w:w w:val="105"/>
        </w:rPr>
        <w:t>and</w:t>
      </w:r>
      <w:r>
        <w:rPr>
          <w:spacing w:val="-9"/>
          <w:w w:val="105"/>
        </w:rPr>
        <w:t> </w:t>
      </w:r>
      <w:r>
        <w:rPr>
          <w:w w:val="105"/>
        </w:rPr>
        <w:t>liabilities</w:t>
      </w:r>
      <w:r>
        <w:rPr>
          <w:spacing w:val="-10"/>
          <w:w w:val="105"/>
        </w:rPr>
        <w:t> </w:t>
      </w:r>
      <w:r>
        <w:rPr>
          <w:w w:val="105"/>
        </w:rPr>
        <w:t>are</w:t>
      </w:r>
      <w:r>
        <w:rPr>
          <w:spacing w:val="-10"/>
          <w:w w:val="105"/>
        </w:rPr>
        <w:t> </w:t>
      </w:r>
      <w:r>
        <w:rPr>
          <w:w w:val="105"/>
        </w:rPr>
        <w:t>as</w:t>
      </w:r>
      <w:r>
        <w:rPr>
          <w:spacing w:val="-10"/>
          <w:w w:val="105"/>
        </w:rPr>
        <w:t> </w:t>
      </w:r>
      <w:r>
        <w:rPr>
          <w:w w:val="105"/>
        </w:rPr>
        <w:t>follows</w:t>
      </w:r>
      <w:r>
        <w:rPr>
          <w:spacing w:val="-10"/>
          <w:w w:val="105"/>
        </w:rPr>
        <w:t> </w:t>
      </w:r>
      <w:r>
        <w:rPr>
          <w:w w:val="105"/>
        </w:rPr>
        <w:t>(in</w:t>
      </w:r>
      <w:r>
        <w:rPr>
          <w:spacing w:val="-9"/>
          <w:w w:val="105"/>
        </w:rPr>
        <w:t> </w:t>
      </w:r>
      <w:r>
        <w:rPr>
          <w:spacing w:val="-2"/>
          <w:w w:val="105"/>
        </w:rPr>
        <w:t>millions):</w:t>
      </w:r>
    </w:p>
    <w:p>
      <w:pPr>
        <w:pStyle w:val="BodyText"/>
        <w:spacing w:before="4"/>
        <w:rPr>
          <w:sz w:val="9"/>
        </w:rPr>
      </w:pPr>
      <w:r>
        <w:rPr/>
        <mc:AlternateContent>
          <mc:Choice Requires="wps">
            <w:drawing>
              <wp:anchor distT="0" distB="0" distL="0" distR="0" allowOverlap="1" layoutInCell="1" locked="0" behindDoc="1" simplePos="0" relativeHeight="487686144">
                <wp:simplePos x="0" y="0"/>
                <wp:positionH relativeFrom="page">
                  <wp:posOffset>226479</wp:posOffset>
                </wp:positionH>
                <wp:positionV relativeFrom="paragraph">
                  <wp:posOffset>83639</wp:posOffset>
                </wp:positionV>
                <wp:extent cx="7312659" cy="16510"/>
                <wp:effectExtent l="0" t="0" r="0" b="0"/>
                <wp:wrapTopAndBottom/>
                <wp:docPr id="388" name="Graphic 388"/>
                <wp:cNvGraphicFramePr>
                  <a:graphicFrameLocks/>
                </wp:cNvGraphicFramePr>
                <a:graphic>
                  <a:graphicData uri="http://schemas.microsoft.com/office/word/2010/wordprocessingShape">
                    <wps:wsp>
                      <wps:cNvPr id="388" name="Graphic 388"/>
                      <wps:cNvSpPr/>
                      <wps:spPr>
                        <a:xfrm>
                          <a:off x="0" y="0"/>
                          <a:ext cx="7312659" cy="16510"/>
                        </a:xfrm>
                        <a:custGeom>
                          <a:avLst/>
                          <a:gdLst/>
                          <a:ahLst/>
                          <a:cxnLst/>
                          <a:rect l="l" t="t" r="r" b="b"/>
                          <a:pathLst>
                            <a:path w="7312659" h="16510">
                              <a:moveTo>
                                <a:pt x="7312342" y="0"/>
                              </a:moveTo>
                              <a:lnTo>
                                <a:pt x="7239546" y="0"/>
                              </a:lnTo>
                              <a:lnTo>
                                <a:pt x="5201145" y="0"/>
                              </a:lnTo>
                              <a:lnTo>
                                <a:pt x="5120259" y="0"/>
                              </a:lnTo>
                              <a:lnTo>
                                <a:pt x="0" y="0"/>
                              </a:lnTo>
                              <a:lnTo>
                                <a:pt x="0" y="16179"/>
                              </a:lnTo>
                              <a:lnTo>
                                <a:pt x="5120259" y="16179"/>
                              </a:lnTo>
                              <a:lnTo>
                                <a:pt x="520114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6.585804pt;width:575.8pt;height:1.3pt;mso-position-horizontal-relative:page;mso-position-vertical-relative:paragraph;z-index:-15630336;mso-wrap-distance-left:0;mso-wrap-distance-right:0" id="docshape387" coordorigin="357,132" coordsize="11516,26" path="m11872,132l11758,132,8547,132,8420,132,357,132,357,157,8420,157,8547,157,11758,157,11872,157,11872,132xe" filled="true" fillcolor="#000000" stroked="false">
                <v:path arrowok="t"/>
                <v:fill type="solid"/>
                <w10:wrap type="topAndBottom"/>
              </v:shape>
            </w:pict>
          </mc:Fallback>
        </mc:AlternateConten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1"/>
        <w:gridCol w:w="141"/>
        <w:gridCol w:w="875"/>
        <w:gridCol w:w="619"/>
        <w:gridCol w:w="419"/>
        <w:gridCol w:w="684"/>
        <w:gridCol w:w="592"/>
      </w:tblGrid>
      <w:tr>
        <w:trPr>
          <w:trHeight w:val="197" w:hRule="atLeast"/>
        </w:trPr>
        <w:tc>
          <w:tcPr>
            <w:tcW w:w="11521" w:type="dxa"/>
            <w:gridSpan w:val="7"/>
          </w:tcPr>
          <w:p>
            <w:pPr>
              <w:pStyle w:val="TableParagraph"/>
              <w:spacing w:line="177" w:lineRule="exact"/>
              <w:ind w:right="1260"/>
              <w:jc w:val="right"/>
              <w:rPr>
                <w:sz w:val="16"/>
              </w:rPr>
            </w:pPr>
            <w:r>
              <w:rPr>
                <w:sz w:val="16"/>
              </w:rPr>
              <w:t>December</w:t>
            </w:r>
            <w:r>
              <w:rPr>
                <w:spacing w:val="20"/>
                <w:sz w:val="16"/>
              </w:rPr>
              <w:t> </w:t>
            </w:r>
            <w:r>
              <w:rPr>
                <w:spacing w:val="-5"/>
                <w:sz w:val="16"/>
              </w:rPr>
              <w:t>31,</w:t>
            </w:r>
          </w:p>
        </w:tc>
      </w:tr>
      <w:tr>
        <w:trPr>
          <w:trHeight w:val="213" w:hRule="atLeast"/>
        </w:trPr>
        <w:tc>
          <w:tcPr>
            <w:tcW w:w="9207" w:type="dxa"/>
            <w:gridSpan w:val="3"/>
          </w:tcPr>
          <w:p>
            <w:pPr>
              <w:pStyle w:val="TableParagraph"/>
              <w:spacing w:before="2"/>
              <w:ind w:right="103"/>
              <w:jc w:val="right"/>
              <w:rPr>
                <w:b/>
                <w:sz w:val="16"/>
              </w:rPr>
            </w:pPr>
            <w:r>
              <w:rPr>
                <w:b/>
                <w:spacing w:val="-4"/>
                <w:w w:val="105"/>
                <w:sz w:val="16"/>
              </w:rPr>
              <w:t>2021</w:t>
            </w:r>
          </w:p>
        </w:tc>
        <w:tc>
          <w:tcPr>
            <w:tcW w:w="2314" w:type="dxa"/>
            <w:gridSpan w:val="4"/>
            <w:tcBorders>
              <w:top w:val="single" w:sz="6" w:space="0" w:color="000000"/>
            </w:tcBorders>
          </w:tcPr>
          <w:p>
            <w:pPr>
              <w:pStyle w:val="TableParagraph"/>
              <w:spacing w:before="2"/>
              <w:ind w:left="1283"/>
              <w:rPr>
                <w:sz w:val="16"/>
              </w:rPr>
            </w:pPr>
            <w:r>
              <w:rPr>
                <w:spacing w:val="-4"/>
                <w:w w:val="105"/>
                <w:sz w:val="16"/>
              </w:rPr>
              <w:t>2020</w:t>
            </w:r>
          </w:p>
        </w:tc>
      </w:tr>
      <w:tr>
        <w:trPr>
          <w:trHeight w:val="191" w:hRule="atLeast"/>
        </w:trPr>
        <w:tc>
          <w:tcPr>
            <w:tcW w:w="8191" w:type="dxa"/>
            <w:tcBorders>
              <w:top w:val="single" w:sz="6" w:space="0" w:color="000000"/>
            </w:tcBorders>
            <w:shd w:val="clear" w:color="auto" w:fill="CCEDFF"/>
          </w:tcPr>
          <w:p>
            <w:pPr>
              <w:pStyle w:val="TableParagraph"/>
              <w:spacing w:line="180" w:lineRule="exact" w:before="2"/>
              <w:rPr>
                <w:sz w:val="16"/>
              </w:rPr>
            </w:pPr>
            <w:r>
              <w:rPr>
                <w:w w:val="105"/>
                <w:sz w:val="16"/>
              </w:rPr>
              <w:t>Loss</w:t>
            </w:r>
            <w:r>
              <w:rPr>
                <w:spacing w:val="-8"/>
                <w:w w:val="105"/>
                <w:sz w:val="16"/>
              </w:rPr>
              <w:t> </w:t>
            </w:r>
            <w:r>
              <w:rPr>
                <w:w w:val="105"/>
                <w:sz w:val="16"/>
              </w:rPr>
              <w:t>and</w:t>
            </w:r>
            <w:r>
              <w:rPr>
                <w:spacing w:val="-7"/>
                <w:w w:val="105"/>
                <w:sz w:val="16"/>
              </w:rPr>
              <w:t> </w:t>
            </w:r>
            <w:r>
              <w:rPr>
                <w:w w:val="105"/>
                <w:sz w:val="16"/>
              </w:rPr>
              <w:t>tax</w:t>
            </w:r>
            <w:r>
              <w:rPr>
                <w:spacing w:val="-7"/>
                <w:w w:val="105"/>
                <w:sz w:val="16"/>
              </w:rPr>
              <w:t> </w:t>
            </w:r>
            <w:r>
              <w:rPr>
                <w:w w:val="105"/>
                <w:sz w:val="16"/>
              </w:rPr>
              <w:t>credit</w:t>
            </w:r>
            <w:r>
              <w:rPr>
                <w:spacing w:val="-7"/>
                <w:w w:val="105"/>
                <w:sz w:val="16"/>
              </w:rPr>
              <w:t> </w:t>
            </w:r>
            <w:r>
              <w:rPr>
                <w:spacing w:val="-2"/>
                <w:w w:val="105"/>
                <w:sz w:val="16"/>
              </w:rPr>
              <w:t>carryforwards</w:t>
            </w:r>
          </w:p>
        </w:tc>
        <w:tc>
          <w:tcPr>
            <w:tcW w:w="1016" w:type="dxa"/>
            <w:gridSpan w:val="2"/>
            <w:tcBorders>
              <w:top w:val="single" w:sz="6" w:space="0" w:color="000000"/>
            </w:tcBorders>
            <w:shd w:val="clear" w:color="auto" w:fill="CCEDFF"/>
          </w:tcPr>
          <w:p>
            <w:pPr>
              <w:pStyle w:val="TableParagraph"/>
              <w:spacing w:line="180" w:lineRule="exact" w:before="2"/>
              <w:ind w:left="-1"/>
              <w:rPr>
                <w:b/>
                <w:sz w:val="16"/>
              </w:rPr>
            </w:pPr>
            <w:r>
              <w:rPr>
                <w:b/>
                <w:spacing w:val="-10"/>
                <w:w w:val="105"/>
                <w:sz w:val="16"/>
              </w:rPr>
              <w:t>$</w:t>
            </w:r>
          </w:p>
        </w:tc>
        <w:tc>
          <w:tcPr>
            <w:tcW w:w="619" w:type="dxa"/>
            <w:tcBorders>
              <w:top w:val="single" w:sz="6" w:space="0" w:color="000000"/>
            </w:tcBorders>
            <w:shd w:val="clear" w:color="auto" w:fill="CCEDFF"/>
          </w:tcPr>
          <w:p>
            <w:pPr>
              <w:pStyle w:val="TableParagraph"/>
              <w:spacing w:line="180" w:lineRule="exact" w:before="2"/>
              <w:ind w:left="225"/>
              <w:rPr>
                <w:b/>
                <w:sz w:val="16"/>
              </w:rPr>
            </w:pPr>
            <w:r>
              <w:rPr>
                <w:b/>
                <w:spacing w:val="-5"/>
                <w:w w:val="105"/>
                <w:sz w:val="16"/>
              </w:rPr>
              <w:t>375</w:t>
            </w:r>
          </w:p>
        </w:tc>
        <w:tc>
          <w:tcPr>
            <w:tcW w:w="419" w:type="dxa"/>
            <w:tcBorders>
              <w:top w:val="single" w:sz="6" w:space="0" w:color="000000"/>
            </w:tcBorders>
            <w:shd w:val="clear" w:color="auto" w:fill="CCEDFF"/>
          </w:tcPr>
          <w:p>
            <w:pPr>
              <w:pStyle w:val="TableParagraph"/>
              <w:spacing w:line="180" w:lineRule="exact" w:before="2"/>
              <w:ind w:left="84"/>
              <w:rPr>
                <w:sz w:val="16"/>
              </w:rPr>
            </w:pPr>
            <w:r>
              <w:rPr>
                <w:spacing w:val="-10"/>
                <w:w w:val="105"/>
                <w:sz w:val="16"/>
              </w:rPr>
              <w:t>$</w:t>
            </w:r>
          </w:p>
        </w:tc>
        <w:tc>
          <w:tcPr>
            <w:tcW w:w="1276" w:type="dxa"/>
            <w:gridSpan w:val="2"/>
            <w:tcBorders>
              <w:top w:val="single" w:sz="6" w:space="0" w:color="000000"/>
            </w:tcBorders>
            <w:shd w:val="clear" w:color="auto" w:fill="CCEDFF"/>
          </w:tcPr>
          <w:p>
            <w:pPr>
              <w:pStyle w:val="TableParagraph"/>
              <w:spacing w:line="180" w:lineRule="exact" w:before="2"/>
              <w:ind w:right="118"/>
              <w:jc w:val="right"/>
              <w:rPr>
                <w:sz w:val="16"/>
              </w:rPr>
            </w:pPr>
            <w:r>
              <w:rPr>
                <w:spacing w:val="-5"/>
                <w:w w:val="105"/>
                <w:sz w:val="16"/>
              </w:rPr>
              <w:t>637</w:t>
            </w:r>
          </w:p>
        </w:tc>
      </w:tr>
      <w:tr>
        <w:trPr>
          <w:trHeight w:val="203" w:hRule="atLeast"/>
        </w:trPr>
        <w:tc>
          <w:tcPr>
            <w:tcW w:w="8191" w:type="dxa"/>
          </w:tcPr>
          <w:p>
            <w:pPr>
              <w:pStyle w:val="TableParagraph"/>
              <w:spacing w:line="180" w:lineRule="exact" w:before="3"/>
              <w:rPr>
                <w:sz w:val="16"/>
              </w:rPr>
            </w:pPr>
            <w:r>
              <w:rPr>
                <w:w w:val="105"/>
                <w:sz w:val="16"/>
              </w:rPr>
              <w:t>Other</w:t>
            </w:r>
            <w:r>
              <w:rPr>
                <w:spacing w:val="-9"/>
                <w:w w:val="105"/>
                <w:sz w:val="16"/>
              </w:rPr>
              <w:t> </w:t>
            </w:r>
            <w:r>
              <w:rPr>
                <w:spacing w:val="-2"/>
                <w:w w:val="105"/>
                <w:sz w:val="16"/>
              </w:rPr>
              <w:t>assets</w:t>
            </w:r>
          </w:p>
        </w:tc>
        <w:tc>
          <w:tcPr>
            <w:tcW w:w="1016" w:type="dxa"/>
            <w:gridSpan w:val="2"/>
          </w:tcPr>
          <w:p>
            <w:pPr>
              <w:pStyle w:val="TableParagraph"/>
              <w:rPr>
                <w:sz w:val="14"/>
              </w:rPr>
            </w:pPr>
          </w:p>
        </w:tc>
        <w:tc>
          <w:tcPr>
            <w:tcW w:w="619" w:type="dxa"/>
          </w:tcPr>
          <w:p>
            <w:pPr>
              <w:pStyle w:val="TableParagraph"/>
              <w:spacing w:line="180" w:lineRule="exact" w:before="3"/>
              <w:ind w:left="225"/>
              <w:rPr>
                <w:b/>
                <w:sz w:val="16"/>
              </w:rPr>
            </w:pPr>
            <w:r>
              <w:rPr>
                <w:b/>
                <w:spacing w:val="-5"/>
                <w:w w:val="105"/>
                <w:sz w:val="16"/>
              </w:rPr>
              <w:t>281</w:t>
            </w:r>
          </w:p>
        </w:tc>
        <w:tc>
          <w:tcPr>
            <w:tcW w:w="419" w:type="dxa"/>
          </w:tcPr>
          <w:p>
            <w:pPr>
              <w:pStyle w:val="TableParagraph"/>
              <w:rPr>
                <w:sz w:val="14"/>
              </w:rPr>
            </w:pPr>
          </w:p>
        </w:tc>
        <w:tc>
          <w:tcPr>
            <w:tcW w:w="1276" w:type="dxa"/>
            <w:gridSpan w:val="2"/>
          </w:tcPr>
          <w:p>
            <w:pPr>
              <w:pStyle w:val="TableParagraph"/>
              <w:spacing w:line="180" w:lineRule="exact" w:before="3"/>
              <w:ind w:right="118"/>
              <w:jc w:val="right"/>
              <w:rPr>
                <w:sz w:val="16"/>
              </w:rPr>
            </w:pPr>
            <w:r>
              <w:rPr>
                <w:spacing w:val="-5"/>
                <w:w w:val="105"/>
                <w:sz w:val="16"/>
              </w:rPr>
              <w:t>269</w:t>
            </w:r>
          </w:p>
        </w:tc>
      </w:tr>
      <w:tr>
        <w:trPr>
          <w:trHeight w:val="203" w:hRule="atLeast"/>
        </w:trPr>
        <w:tc>
          <w:tcPr>
            <w:tcW w:w="8191" w:type="dxa"/>
            <w:shd w:val="clear" w:color="auto" w:fill="CCEDFF"/>
          </w:tcPr>
          <w:p>
            <w:pPr>
              <w:pStyle w:val="TableParagraph"/>
              <w:spacing w:line="180" w:lineRule="exact" w:before="3"/>
              <w:rPr>
                <w:sz w:val="16"/>
              </w:rPr>
            </w:pPr>
            <w:r>
              <w:rPr>
                <w:sz w:val="16"/>
              </w:rPr>
              <w:t>Asset</w:t>
            </w:r>
            <w:r>
              <w:rPr>
                <w:spacing w:val="15"/>
                <w:sz w:val="16"/>
              </w:rPr>
              <w:t> </w:t>
            </w:r>
            <w:r>
              <w:rPr>
                <w:sz w:val="16"/>
              </w:rPr>
              <w:t>impairments</w:t>
            </w:r>
            <w:r>
              <w:rPr>
                <w:spacing w:val="15"/>
                <w:sz w:val="16"/>
              </w:rPr>
              <w:t> </w:t>
            </w:r>
            <w:r>
              <w:rPr>
                <w:sz w:val="16"/>
              </w:rPr>
              <w:t>and</w:t>
            </w:r>
            <w:r>
              <w:rPr>
                <w:spacing w:val="15"/>
                <w:sz w:val="16"/>
              </w:rPr>
              <w:t> </w:t>
            </w:r>
            <w:r>
              <w:rPr>
                <w:sz w:val="16"/>
              </w:rPr>
              <w:t>restructuring</w:t>
            </w:r>
            <w:r>
              <w:rPr>
                <w:spacing w:val="15"/>
                <w:sz w:val="16"/>
              </w:rPr>
              <w:t> </w:t>
            </w:r>
            <w:r>
              <w:rPr>
                <w:spacing w:val="-2"/>
                <w:sz w:val="16"/>
              </w:rPr>
              <w:t>reserves</w:t>
            </w:r>
          </w:p>
        </w:tc>
        <w:tc>
          <w:tcPr>
            <w:tcW w:w="1016" w:type="dxa"/>
            <w:gridSpan w:val="2"/>
            <w:shd w:val="clear" w:color="auto" w:fill="CCEDFF"/>
          </w:tcPr>
          <w:p>
            <w:pPr>
              <w:pStyle w:val="TableParagraph"/>
              <w:rPr>
                <w:sz w:val="14"/>
              </w:rPr>
            </w:pPr>
          </w:p>
        </w:tc>
        <w:tc>
          <w:tcPr>
            <w:tcW w:w="619" w:type="dxa"/>
            <w:shd w:val="clear" w:color="auto" w:fill="CCEDFF"/>
          </w:tcPr>
          <w:p>
            <w:pPr>
              <w:pStyle w:val="TableParagraph"/>
              <w:spacing w:line="180" w:lineRule="exact" w:before="3"/>
              <w:ind w:left="308"/>
              <w:rPr>
                <w:b/>
                <w:sz w:val="16"/>
              </w:rPr>
            </w:pPr>
            <w:r>
              <w:rPr>
                <w:b/>
                <w:spacing w:val="-5"/>
                <w:w w:val="105"/>
                <w:sz w:val="16"/>
              </w:rPr>
              <w:t>30</w:t>
            </w:r>
          </w:p>
        </w:tc>
        <w:tc>
          <w:tcPr>
            <w:tcW w:w="419" w:type="dxa"/>
            <w:shd w:val="clear" w:color="auto" w:fill="CCEDFF"/>
          </w:tcPr>
          <w:p>
            <w:pPr>
              <w:pStyle w:val="TableParagraph"/>
              <w:rPr>
                <w:sz w:val="14"/>
              </w:rPr>
            </w:pPr>
          </w:p>
        </w:tc>
        <w:tc>
          <w:tcPr>
            <w:tcW w:w="1276" w:type="dxa"/>
            <w:gridSpan w:val="2"/>
            <w:shd w:val="clear" w:color="auto" w:fill="CCEDFF"/>
          </w:tcPr>
          <w:p>
            <w:pPr>
              <w:pStyle w:val="TableParagraph"/>
              <w:spacing w:line="180" w:lineRule="exact" w:before="3"/>
              <w:ind w:right="118"/>
              <w:jc w:val="right"/>
              <w:rPr>
                <w:sz w:val="16"/>
              </w:rPr>
            </w:pPr>
            <w:r>
              <w:rPr>
                <w:spacing w:val="-5"/>
                <w:w w:val="105"/>
                <w:sz w:val="16"/>
              </w:rPr>
              <w:t>29</w:t>
            </w:r>
          </w:p>
        </w:tc>
      </w:tr>
      <w:tr>
        <w:trPr>
          <w:trHeight w:val="203" w:hRule="atLeast"/>
        </w:trPr>
        <w:tc>
          <w:tcPr>
            <w:tcW w:w="8191" w:type="dxa"/>
          </w:tcPr>
          <w:p>
            <w:pPr>
              <w:pStyle w:val="TableParagraph"/>
              <w:spacing w:line="180" w:lineRule="exact" w:before="3"/>
              <w:rPr>
                <w:sz w:val="16"/>
              </w:rPr>
            </w:pPr>
            <w:r>
              <w:rPr>
                <w:w w:val="105"/>
                <w:sz w:val="16"/>
              </w:rPr>
              <w:t>Postretirement</w:t>
            </w:r>
            <w:r>
              <w:rPr>
                <w:spacing w:val="-10"/>
                <w:w w:val="105"/>
                <w:sz w:val="16"/>
              </w:rPr>
              <w:t> </w:t>
            </w:r>
            <w:r>
              <w:rPr>
                <w:w w:val="105"/>
                <w:sz w:val="16"/>
              </w:rPr>
              <w:t>medical</w:t>
            </w:r>
            <w:r>
              <w:rPr>
                <w:spacing w:val="-10"/>
                <w:w w:val="105"/>
                <w:sz w:val="16"/>
              </w:rPr>
              <w:t> </w:t>
            </w:r>
            <w:r>
              <w:rPr>
                <w:w w:val="105"/>
                <w:sz w:val="16"/>
              </w:rPr>
              <w:t>and</w:t>
            </w:r>
            <w:r>
              <w:rPr>
                <w:spacing w:val="-10"/>
                <w:w w:val="105"/>
                <w:sz w:val="16"/>
              </w:rPr>
              <w:t> </w:t>
            </w:r>
            <w:r>
              <w:rPr>
                <w:w w:val="105"/>
                <w:sz w:val="16"/>
              </w:rPr>
              <w:t>life</w:t>
            </w:r>
            <w:r>
              <w:rPr>
                <w:spacing w:val="-10"/>
                <w:w w:val="105"/>
                <w:sz w:val="16"/>
              </w:rPr>
              <w:t> </w:t>
            </w:r>
            <w:r>
              <w:rPr>
                <w:spacing w:val="-2"/>
                <w:w w:val="105"/>
                <w:sz w:val="16"/>
              </w:rPr>
              <w:t>benefits</w:t>
            </w:r>
          </w:p>
        </w:tc>
        <w:tc>
          <w:tcPr>
            <w:tcW w:w="1016" w:type="dxa"/>
            <w:gridSpan w:val="2"/>
          </w:tcPr>
          <w:p>
            <w:pPr>
              <w:pStyle w:val="TableParagraph"/>
              <w:rPr>
                <w:sz w:val="14"/>
              </w:rPr>
            </w:pPr>
          </w:p>
        </w:tc>
        <w:tc>
          <w:tcPr>
            <w:tcW w:w="619" w:type="dxa"/>
          </w:tcPr>
          <w:p>
            <w:pPr>
              <w:pStyle w:val="TableParagraph"/>
              <w:spacing w:line="180" w:lineRule="exact" w:before="3"/>
              <w:ind w:left="225"/>
              <w:rPr>
                <w:b/>
                <w:sz w:val="16"/>
              </w:rPr>
            </w:pPr>
            <w:r>
              <w:rPr>
                <w:b/>
                <w:spacing w:val="-5"/>
                <w:w w:val="105"/>
                <w:sz w:val="16"/>
              </w:rPr>
              <w:t>154</w:t>
            </w:r>
          </w:p>
        </w:tc>
        <w:tc>
          <w:tcPr>
            <w:tcW w:w="419" w:type="dxa"/>
          </w:tcPr>
          <w:p>
            <w:pPr>
              <w:pStyle w:val="TableParagraph"/>
              <w:rPr>
                <w:sz w:val="14"/>
              </w:rPr>
            </w:pPr>
          </w:p>
        </w:tc>
        <w:tc>
          <w:tcPr>
            <w:tcW w:w="1276" w:type="dxa"/>
            <w:gridSpan w:val="2"/>
          </w:tcPr>
          <w:p>
            <w:pPr>
              <w:pStyle w:val="TableParagraph"/>
              <w:spacing w:line="180" w:lineRule="exact" w:before="3"/>
              <w:ind w:right="118"/>
              <w:jc w:val="right"/>
              <w:rPr>
                <w:sz w:val="16"/>
              </w:rPr>
            </w:pPr>
            <w:r>
              <w:rPr>
                <w:spacing w:val="-5"/>
                <w:w w:val="105"/>
                <w:sz w:val="16"/>
              </w:rPr>
              <w:t>171</w:t>
            </w:r>
          </w:p>
        </w:tc>
      </w:tr>
      <w:tr>
        <w:trPr>
          <w:trHeight w:val="203" w:hRule="atLeast"/>
        </w:trPr>
        <w:tc>
          <w:tcPr>
            <w:tcW w:w="8191" w:type="dxa"/>
            <w:shd w:val="clear" w:color="auto" w:fill="CCEDFF"/>
          </w:tcPr>
          <w:p>
            <w:pPr>
              <w:pStyle w:val="TableParagraph"/>
              <w:spacing w:line="180" w:lineRule="exact" w:before="3"/>
              <w:rPr>
                <w:sz w:val="16"/>
              </w:rPr>
            </w:pPr>
            <w:r>
              <w:rPr>
                <w:w w:val="105"/>
                <w:sz w:val="16"/>
              </w:rPr>
              <w:t>Other</w:t>
            </w:r>
            <w:r>
              <w:rPr>
                <w:spacing w:val="-10"/>
                <w:w w:val="105"/>
                <w:sz w:val="16"/>
              </w:rPr>
              <w:t> </w:t>
            </w:r>
            <w:r>
              <w:rPr>
                <w:w w:val="105"/>
                <w:sz w:val="16"/>
              </w:rPr>
              <w:t>accrued</w:t>
            </w:r>
            <w:r>
              <w:rPr>
                <w:spacing w:val="-10"/>
                <w:w w:val="105"/>
                <w:sz w:val="16"/>
              </w:rPr>
              <w:t> </w:t>
            </w:r>
            <w:r>
              <w:rPr>
                <w:spacing w:val="-2"/>
                <w:w w:val="105"/>
                <w:sz w:val="16"/>
              </w:rPr>
              <w:t>liabilities</w:t>
            </w:r>
          </w:p>
        </w:tc>
        <w:tc>
          <w:tcPr>
            <w:tcW w:w="1016" w:type="dxa"/>
            <w:gridSpan w:val="2"/>
            <w:shd w:val="clear" w:color="auto" w:fill="CCEDFF"/>
          </w:tcPr>
          <w:p>
            <w:pPr>
              <w:pStyle w:val="TableParagraph"/>
              <w:rPr>
                <w:sz w:val="14"/>
              </w:rPr>
            </w:pPr>
          </w:p>
        </w:tc>
        <w:tc>
          <w:tcPr>
            <w:tcW w:w="619" w:type="dxa"/>
            <w:shd w:val="clear" w:color="auto" w:fill="CCEDFF"/>
          </w:tcPr>
          <w:p>
            <w:pPr>
              <w:pStyle w:val="TableParagraph"/>
              <w:spacing w:line="180" w:lineRule="exact" w:before="3"/>
              <w:ind w:left="225"/>
              <w:rPr>
                <w:b/>
                <w:sz w:val="16"/>
              </w:rPr>
            </w:pPr>
            <w:r>
              <w:rPr>
                <w:b/>
                <w:spacing w:val="-5"/>
                <w:w w:val="105"/>
                <w:sz w:val="16"/>
              </w:rPr>
              <w:t>354</w:t>
            </w:r>
          </w:p>
        </w:tc>
        <w:tc>
          <w:tcPr>
            <w:tcW w:w="419" w:type="dxa"/>
            <w:shd w:val="clear" w:color="auto" w:fill="CCEDFF"/>
          </w:tcPr>
          <w:p>
            <w:pPr>
              <w:pStyle w:val="TableParagraph"/>
              <w:rPr>
                <w:sz w:val="14"/>
              </w:rPr>
            </w:pPr>
          </w:p>
        </w:tc>
        <w:tc>
          <w:tcPr>
            <w:tcW w:w="1276" w:type="dxa"/>
            <w:gridSpan w:val="2"/>
            <w:shd w:val="clear" w:color="auto" w:fill="CCEDFF"/>
          </w:tcPr>
          <w:p>
            <w:pPr>
              <w:pStyle w:val="TableParagraph"/>
              <w:spacing w:line="180" w:lineRule="exact" w:before="3"/>
              <w:ind w:right="118"/>
              <w:jc w:val="right"/>
              <w:rPr>
                <w:sz w:val="16"/>
              </w:rPr>
            </w:pPr>
            <w:r>
              <w:rPr>
                <w:spacing w:val="-5"/>
                <w:w w:val="105"/>
                <w:sz w:val="16"/>
              </w:rPr>
              <w:t>162</w:t>
            </w:r>
          </w:p>
        </w:tc>
      </w:tr>
      <w:tr>
        <w:trPr>
          <w:trHeight w:val="202" w:hRule="atLeast"/>
        </w:trPr>
        <w:tc>
          <w:tcPr>
            <w:tcW w:w="8191" w:type="dxa"/>
            <w:tcBorders>
              <w:bottom w:val="single" w:sz="6" w:space="0" w:color="000000"/>
            </w:tcBorders>
          </w:tcPr>
          <w:p>
            <w:pPr>
              <w:pStyle w:val="TableParagraph"/>
              <w:spacing w:line="179" w:lineRule="exact" w:before="3"/>
              <w:rPr>
                <w:sz w:val="16"/>
              </w:rPr>
            </w:pPr>
            <w:r>
              <w:rPr>
                <w:sz w:val="16"/>
              </w:rPr>
              <w:t>Other</w:t>
            </w:r>
            <w:r>
              <w:rPr>
                <w:spacing w:val="15"/>
                <w:sz w:val="16"/>
              </w:rPr>
              <w:t> </w:t>
            </w:r>
            <w:r>
              <w:rPr>
                <w:sz w:val="16"/>
              </w:rPr>
              <w:t>employee</w:t>
            </w:r>
            <w:r>
              <w:rPr>
                <w:spacing w:val="16"/>
                <w:sz w:val="16"/>
              </w:rPr>
              <w:t> </w:t>
            </w:r>
            <w:r>
              <w:rPr>
                <w:spacing w:val="-2"/>
                <w:sz w:val="16"/>
              </w:rPr>
              <w:t>benefits</w:t>
            </w:r>
          </w:p>
        </w:tc>
        <w:tc>
          <w:tcPr>
            <w:tcW w:w="1016" w:type="dxa"/>
            <w:gridSpan w:val="2"/>
            <w:tcBorders>
              <w:bottom w:val="single" w:sz="6" w:space="0" w:color="000000"/>
            </w:tcBorders>
          </w:tcPr>
          <w:p>
            <w:pPr>
              <w:pStyle w:val="TableParagraph"/>
              <w:rPr>
                <w:sz w:val="14"/>
              </w:rPr>
            </w:pPr>
          </w:p>
        </w:tc>
        <w:tc>
          <w:tcPr>
            <w:tcW w:w="619" w:type="dxa"/>
            <w:tcBorders>
              <w:bottom w:val="single" w:sz="6" w:space="0" w:color="000000"/>
            </w:tcBorders>
          </w:tcPr>
          <w:p>
            <w:pPr>
              <w:pStyle w:val="TableParagraph"/>
              <w:spacing w:line="179" w:lineRule="exact" w:before="3"/>
              <w:ind w:left="225"/>
              <w:rPr>
                <w:b/>
                <w:sz w:val="16"/>
              </w:rPr>
            </w:pPr>
            <w:r>
              <w:rPr>
                <w:b/>
                <w:spacing w:val="-5"/>
                <w:w w:val="105"/>
                <w:sz w:val="16"/>
              </w:rPr>
              <w:t>329</w:t>
            </w:r>
          </w:p>
        </w:tc>
        <w:tc>
          <w:tcPr>
            <w:tcW w:w="419" w:type="dxa"/>
            <w:tcBorders>
              <w:bottom w:val="single" w:sz="6" w:space="0" w:color="000000"/>
            </w:tcBorders>
          </w:tcPr>
          <w:p>
            <w:pPr>
              <w:pStyle w:val="TableParagraph"/>
              <w:rPr>
                <w:sz w:val="14"/>
              </w:rPr>
            </w:pPr>
          </w:p>
        </w:tc>
        <w:tc>
          <w:tcPr>
            <w:tcW w:w="1276" w:type="dxa"/>
            <w:gridSpan w:val="2"/>
            <w:tcBorders>
              <w:bottom w:val="single" w:sz="6" w:space="0" w:color="000000"/>
            </w:tcBorders>
          </w:tcPr>
          <w:p>
            <w:pPr>
              <w:pStyle w:val="TableParagraph"/>
              <w:spacing w:line="179" w:lineRule="exact" w:before="3"/>
              <w:ind w:right="118"/>
              <w:jc w:val="right"/>
              <w:rPr>
                <w:sz w:val="16"/>
              </w:rPr>
            </w:pPr>
            <w:r>
              <w:rPr>
                <w:spacing w:val="-5"/>
                <w:w w:val="105"/>
                <w:sz w:val="16"/>
              </w:rPr>
              <w:t>337</w:t>
            </w:r>
          </w:p>
        </w:tc>
      </w:tr>
      <w:tr>
        <w:trPr>
          <w:trHeight w:val="202" w:hRule="atLeast"/>
        </w:trPr>
        <w:tc>
          <w:tcPr>
            <w:tcW w:w="8191" w:type="dxa"/>
            <w:tcBorders>
              <w:top w:val="single" w:sz="6" w:space="0" w:color="000000"/>
            </w:tcBorders>
            <w:shd w:val="clear" w:color="auto" w:fill="CCEDFF"/>
          </w:tcPr>
          <w:p>
            <w:pPr>
              <w:pStyle w:val="TableParagraph"/>
              <w:spacing w:line="180" w:lineRule="exact" w:before="2"/>
              <w:ind w:left="305"/>
              <w:rPr>
                <w:sz w:val="16"/>
              </w:rPr>
            </w:pPr>
            <w:r>
              <w:rPr>
                <w:w w:val="105"/>
                <w:sz w:val="16"/>
              </w:rPr>
              <w:t>Gross</w:t>
            </w:r>
            <w:r>
              <w:rPr>
                <w:spacing w:val="-10"/>
                <w:w w:val="105"/>
                <w:sz w:val="16"/>
              </w:rPr>
              <w:t> </w:t>
            </w:r>
            <w:r>
              <w:rPr>
                <w:w w:val="105"/>
                <w:sz w:val="16"/>
              </w:rPr>
              <w:t>deferred</w:t>
            </w:r>
            <w:r>
              <w:rPr>
                <w:spacing w:val="-10"/>
                <w:w w:val="105"/>
                <w:sz w:val="16"/>
              </w:rPr>
              <w:t> </w:t>
            </w:r>
            <w:r>
              <w:rPr>
                <w:w w:val="105"/>
                <w:sz w:val="16"/>
              </w:rPr>
              <w:t>tax</w:t>
            </w:r>
            <w:r>
              <w:rPr>
                <w:spacing w:val="-10"/>
                <w:w w:val="105"/>
                <w:sz w:val="16"/>
              </w:rPr>
              <w:t> </w:t>
            </w:r>
            <w:r>
              <w:rPr>
                <w:spacing w:val="-2"/>
                <w:w w:val="105"/>
                <w:sz w:val="16"/>
              </w:rPr>
              <w:t>assets</w:t>
            </w:r>
          </w:p>
        </w:tc>
        <w:tc>
          <w:tcPr>
            <w:tcW w:w="1016" w:type="dxa"/>
            <w:gridSpan w:val="2"/>
            <w:tcBorders>
              <w:top w:val="single" w:sz="6" w:space="0" w:color="000000"/>
            </w:tcBorders>
            <w:shd w:val="clear" w:color="auto" w:fill="CCEDFF"/>
          </w:tcPr>
          <w:p>
            <w:pPr>
              <w:pStyle w:val="TableParagraph"/>
              <w:rPr>
                <w:sz w:val="14"/>
              </w:rPr>
            </w:pPr>
          </w:p>
        </w:tc>
        <w:tc>
          <w:tcPr>
            <w:tcW w:w="619" w:type="dxa"/>
            <w:tcBorders>
              <w:top w:val="single" w:sz="6" w:space="0" w:color="000000"/>
            </w:tcBorders>
            <w:shd w:val="clear" w:color="auto" w:fill="CCEDFF"/>
          </w:tcPr>
          <w:p>
            <w:pPr>
              <w:pStyle w:val="TableParagraph"/>
              <w:spacing w:line="180" w:lineRule="exact" w:before="2"/>
              <w:ind w:left="101"/>
              <w:rPr>
                <w:b/>
                <w:sz w:val="16"/>
              </w:rPr>
            </w:pPr>
            <w:r>
              <w:rPr>
                <w:b/>
                <w:spacing w:val="-4"/>
                <w:w w:val="105"/>
                <w:sz w:val="16"/>
              </w:rPr>
              <w:t>1,523</w:t>
            </w:r>
          </w:p>
        </w:tc>
        <w:tc>
          <w:tcPr>
            <w:tcW w:w="419" w:type="dxa"/>
            <w:tcBorders>
              <w:top w:val="single" w:sz="6" w:space="0" w:color="000000"/>
            </w:tcBorders>
            <w:shd w:val="clear" w:color="auto" w:fill="CCEDFF"/>
          </w:tcPr>
          <w:p>
            <w:pPr>
              <w:pStyle w:val="TableParagraph"/>
              <w:rPr>
                <w:sz w:val="14"/>
              </w:rPr>
            </w:pPr>
          </w:p>
        </w:tc>
        <w:tc>
          <w:tcPr>
            <w:tcW w:w="1276" w:type="dxa"/>
            <w:gridSpan w:val="2"/>
            <w:tcBorders>
              <w:top w:val="single" w:sz="6" w:space="0" w:color="000000"/>
            </w:tcBorders>
            <w:shd w:val="clear" w:color="auto" w:fill="CCEDFF"/>
          </w:tcPr>
          <w:p>
            <w:pPr>
              <w:pStyle w:val="TableParagraph"/>
              <w:spacing w:line="180" w:lineRule="exact" w:before="2"/>
              <w:ind w:left="783"/>
              <w:rPr>
                <w:sz w:val="16"/>
              </w:rPr>
            </w:pPr>
            <w:r>
              <w:rPr>
                <w:spacing w:val="-4"/>
                <w:w w:val="105"/>
                <w:sz w:val="16"/>
              </w:rPr>
              <w:t>1,605</w:t>
            </w:r>
          </w:p>
        </w:tc>
      </w:tr>
      <w:tr>
        <w:trPr>
          <w:trHeight w:val="202" w:hRule="atLeast"/>
        </w:trPr>
        <w:tc>
          <w:tcPr>
            <w:tcW w:w="8191" w:type="dxa"/>
            <w:tcBorders>
              <w:bottom w:val="single" w:sz="6" w:space="0" w:color="000000"/>
            </w:tcBorders>
          </w:tcPr>
          <w:p>
            <w:pPr>
              <w:pStyle w:val="TableParagraph"/>
              <w:spacing w:line="179" w:lineRule="exact" w:before="3"/>
              <w:rPr>
                <w:sz w:val="16"/>
              </w:rPr>
            </w:pPr>
            <w:r>
              <w:rPr>
                <w:sz w:val="16"/>
              </w:rPr>
              <w:t>Valuation</w:t>
            </w:r>
            <w:r>
              <w:rPr>
                <w:spacing w:val="19"/>
                <w:sz w:val="16"/>
              </w:rPr>
              <w:t> </w:t>
            </w:r>
            <w:r>
              <w:rPr>
                <w:spacing w:val="-2"/>
                <w:sz w:val="16"/>
              </w:rPr>
              <w:t>allowances</w:t>
            </w:r>
          </w:p>
        </w:tc>
        <w:tc>
          <w:tcPr>
            <w:tcW w:w="1016" w:type="dxa"/>
            <w:gridSpan w:val="2"/>
            <w:tcBorders>
              <w:bottom w:val="single" w:sz="6" w:space="0" w:color="000000"/>
            </w:tcBorders>
          </w:tcPr>
          <w:p>
            <w:pPr>
              <w:pStyle w:val="TableParagraph"/>
              <w:rPr>
                <w:sz w:val="14"/>
              </w:rPr>
            </w:pPr>
          </w:p>
        </w:tc>
        <w:tc>
          <w:tcPr>
            <w:tcW w:w="619" w:type="dxa"/>
            <w:tcBorders>
              <w:bottom w:val="single" w:sz="6" w:space="0" w:color="000000"/>
            </w:tcBorders>
          </w:tcPr>
          <w:p>
            <w:pPr>
              <w:pStyle w:val="TableParagraph"/>
              <w:spacing w:line="179" w:lineRule="exact" w:before="3"/>
              <w:ind w:right="87"/>
              <w:jc w:val="right"/>
              <w:rPr>
                <w:b/>
                <w:sz w:val="16"/>
              </w:rPr>
            </w:pPr>
            <w:r>
              <w:rPr>
                <w:b/>
                <w:spacing w:val="-2"/>
                <w:w w:val="105"/>
                <w:sz w:val="16"/>
              </w:rPr>
              <w:t>(138)</w:t>
            </w:r>
          </w:p>
        </w:tc>
        <w:tc>
          <w:tcPr>
            <w:tcW w:w="419" w:type="dxa"/>
            <w:tcBorders>
              <w:bottom w:val="single" w:sz="6" w:space="0" w:color="000000"/>
            </w:tcBorders>
          </w:tcPr>
          <w:p>
            <w:pPr>
              <w:pStyle w:val="TableParagraph"/>
              <w:rPr>
                <w:sz w:val="14"/>
              </w:rPr>
            </w:pPr>
          </w:p>
        </w:tc>
        <w:tc>
          <w:tcPr>
            <w:tcW w:w="1276" w:type="dxa"/>
            <w:gridSpan w:val="2"/>
            <w:tcBorders>
              <w:bottom w:val="single" w:sz="6" w:space="0" w:color="000000"/>
            </w:tcBorders>
          </w:tcPr>
          <w:p>
            <w:pPr>
              <w:pStyle w:val="TableParagraph"/>
              <w:spacing w:line="179" w:lineRule="exact" w:before="3"/>
              <w:ind w:right="64"/>
              <w:jc w:val="right"/>
              <w:rPr>
                <w:sz w:val="16"/>
              </w:rPr>
            </w:pPr>
            <w:r>
              <w:rPr>
                <w:spacing w:val="-2"/>
                <w:w w:val="105"/>
                <w:sz w:val="16"/>
              </w:rPr>
              <w:t>(167)</w:t>
            </w:r>
          </w:p>
        </w:tc>
      </w:tr>
      <w:tr>
        <w:trPr>
          <w:trHeight w:val="201" w:hRule="atLeast"/>
        </w:trPr>
        <w:tc>
          <w:tcPr>
            <w:tcW w:w="8191" w:type="dxa"/>
            <w:tcBorders>
              <w:top w:val="single" w:sz="6" w:space="0" w:color="000000"/>
              <w:bottom w:val="single" w:sz="6" w:space="0" w:color="000000"/>
            </w:tcBorders>
            <w:shd w:val="clear" w:color="auto" w:fill="CCEDFF"/>
          </w:tcPr>
          <w:p>
            <w:pPr>
              <w:pStyle w:val="TableParagraph"/>
              <w:spacing w:line="179" w:lineRule="exact" w:before="2"/>
              <w:ind w:left="305"/>
              <w:rPr>
                <w:sz w:val="16"/>
              </w:rPr>
            </w:pPr>
            <w:r>
              <w:rPr>
                <w:w w:val="105"/>
                <w:sz w:val="16"/>
              </w:rPr>
              <w:t>Total</w:t>
            </w:r>
            <w:r>
              <w:rPr>
                <w:spacing w:val="-9"/>
                <w:w w:val="105"/>
                <w:sz w:val="16"/>
              </w:rPr>
              <w:t> </w:t>
            </w:r>
            <w:r>
              <w:rPr>
                <w:w w:val="105"/>
                <w:sz w:val="16"/>
              </w:rPr>
              <w:t>deferred</w:t>
            </w:r>
            <w:r>
              <w:rPr>
                <w:spacing w:val="-8"/>
                <w:w w:val="105"/>
                <w:sz w:val="16"/>
              </w:rPr>
              <w:t> </w:t>
            </w:r>
            <w:r>
              <w:rPr>
                <w:w w:val="105"/>
                <w:sz w:val="16"/>
              </w:rPr>
              <w:t>tax</w:t>
            </w:r>
            <w:r>
              <w:rPr>
                <w:spacing w:val="-8"/>
                <w:w w:val="105"/>
                <w:sz w:val="16"/>
              </w:rPr>
              <w:t> </w:t>
            </w:r>
            <w:r>
              <w:rPr>
                <w:spacing w:val="-2"/>
                <w:w w:val="105"/>
                <w:sz w:val="16"/>
              </w:rPr>
              <w:t>assets</w:t>
            </w:r>
          </w:p>
        </w:tc>
        <w:tc>
          <w:tcPr>
            <w:tcW w:w="1016" w:type="dxa"/>
            <w:gridSpan w:val="2"/>
            <w:tcBorders>
              <w:top w:val="single" w:sz="6" w:space="0" w:color="000000"/>
              <w:bottom w:val="single" w:sz="6" w:space="0" w:color="000000"/>
            </w:tcBorders>
            <w:shd w:val="clear" w:color="auto" w:fill="CCEDFF"/>
          </w:tcPr>
          <w:p>
            <w:pPr>
              <w:pStyle w:val="TableParagraph"/>
              <w:rPr>
                <w:sz w:val="14"/>
              </w:rPr>
            </w:pPr>
          </w:p>
        </w:tc>
        <w:tc>
          <w:tcPr>
            <w:tcW w:w="619" w:type="dxa"/>
            <w:tcBorders>
              <w:top w:val="single" w:sz="6" w:space="0" w:color="000000"/>
              <w:bottom w:val="single" w:sz="6" w:space="0" w:color="000000"/>
            </w:tcBorders>
            <w:shd w:val="clear" w:color="auto" w:fill="CCEDFF"/>
          </w:tcPr>
          <w:p>
            <w:pPr>
              <w:pStyle w:val="TableParagraph"/>
              <w:spacing w:line="179" w:lineRule="exact" w:before="2"/>
              <w:ind w:left="101"/>
              <w:rPr>
                <w:b/>
                <w:sz w:val="16"/>
              </w:rPr>
            </w:pPr>
            <w:r>
              <w:rPr>
                <w:b/>
                <w:spacing w:val="-4"/>
                <w:w w:val="105"/>
                <w:sz w:val="16"/>
              </w:rPr>
              <w:t>1,385</w:t>
            </w:r>
          </w:p>
        </w:tc>
        <w:tc>
          <w:tcPr>
            <w:tcW w:w="419" w:type="dxa"/>
            <w:tcBorders>
              <w:top w:val="single" w:sz="6" w:space="0" w:color="000000"/>
              <w:bottom w:val="single" w:sz="6" w:space="0" w:color="000000"/>
            </w:tcBorders>
            <w:shd w:val="clear" w:color="auto" w:fill="CCEDFF"/>
          </w:tcPr>
          <w:p>
            <w:pPr>
              <w:pStyle w:val="TableParagraph"/>
              <w:rPr>
                <w:sz w:val="14"/>
              </w:rPr>
            </w:pPr>
          </w:p>
        </w:tc>
        <w:tc>
          <w:tcPr>
            <w:tcW w:w="1276" w:type="dxa"/>
            <w:gridSpan w:val="2"/>
            <w:tcBorders>
              <w:top w:val="single" w:sz="6" w:space="0" w:color="000000"/>
              <w:bottom w:val="single" w:sz="6" w:space="0" w:color="000000"/>
            </w:tcBorders>
            <w:shd w:val="clear" w:color="auto" w:fill="CCEDFF"/>
          </w:tcPr>
          <w:p>
            <w:pPr>
              <w:pStyle w:val="TableParagraph"/>
              <w:spacing w:line="179" w:lineRule="exact" w:before="2"/>
              <w:ind w:left="783"/>
              <w:rPr>
                <w:sz w:val="16"/>
              </w:rPr>
            </w:pPr>
            <w:r>
              <w:rPr>
                <w:spacing w:val="-4"/>
                <w:w w:val="105"/>
                <w:sz w:val="16"/>
              </w:rPr>
              <w:t>1,438</w:t>
            </w:r>
          </w:p>
        </w:tc>
      </w:tr>
      <w:tr>
        <w:trPr>
          <w:trHeight w:val="202" w:hRule="atLeast"/>
        </w:trPr>
        <w:tc>
          <w:tcPr>
            <w:tcW w:w="8191" w:type="dxa"/>
            <w:tcBorders>
              <w:top w:val="single" w:sz="6" w:space="0" w:color="000000"/>
            </w:tcBorders>
          </w:tcPr>
          <w:p>
            <w:pPr>
              <w:pStyle w:val="TableParagraph"/>
              <w:spacing w:line="180" w:lineRule="exact" w:before="2"/>
              <w:rPr>
                <w:sz w:val="16"/>
              </w:rPr>
            </w:pPr>
            <w:r>
              <w:rPr>
                <w:w w:val="105"/>
                <w:sz w:val="16"/>
              </w:rPr>
              <w:t>Intangible</w:t>
            </w:r>
            <w:r>
              <w:rPr>
                <w:spacing w:val="-10"/>
                <w:w w:val="105"/>
                <w:sz w:val="16"/>
              </w:rPr>
              <w:t> </w:t>
            </w:r>
            <w:r>
              <w:rPr>
                <w:w w:val="105"/>
                <w:sz w:val="16"/>
              </w:rPr>
              <w:t>and</w:t>
            </w:r>
            <w:r>
              <w:rPr>
                <w:spacing w:val="-9"/>
                <w:w w:val="105"/>
                <w:sz w:val="16"/>
              </w:rPr>
              <w:t> </w:t>
            </w:r>
            <w:r>
              <w:rPr>
                <w:w w:val="105"/>
                <w:sz w:val="16"/>
              </w:rPr>
              <w:t>other</w:t>
            </w:r>
            <w:r>
              <w:rPr>
                <w:spacing w:val="-9"/>
                <w:w w:val="105"/>
                <w:sz w:val="16"/>
              </w:rPr>
              <w:t> </w:t>
            </w:r>
            <w:r>
              <w:rPr>
                <w:spacing w:val="-2"/>
                <w:w w:val="105"/>
                <w:sz w:val="16"/>
              </w:rPr>
              <w:t>assets</w:t>
            </w:r>
          </w:p>
        </w:tc>
        <w:tc>
          <w:tcPr>
            <w:tcW w:w="1016" w:type="dxa"/>
            <w:gridSpan w:val="2"/>
            <w:tcBorders>
              <w:top w:val="single" w:sz="6" w:space="0" w:color="000000"/>
            </w:tcBorders>
          </w:tcPr>
          <w:p>
            <w:pPr>
              <w:pStyle w:val="TableParagraph"/>
              <w:rPr>
                <w:sz w:val="14"/>
              </w:rPr>
            </w:pPr>
          </w:p>
        </w:tc>
        <w:tc>
          <w:tcPr>
            <w:tcW w:w="619" w:type="dxa"/>
            <w:tcBorders>
              <w:top w:val="single" w:sz="6" w:space="0" w:color="000000"/>
            </w:tcBorders>
          </w:tcPr>
          <w:p>
            <w:pPr>
              <w:pStyle w:val="TableParagraph"/>
              <w:spacing w:line="180" w:lineRule="exact" w:before="2"/>
              <w:ind w:right="87"/>
              <w:jc w:val="right"/>
              <w:rPr>
                <w:b/>
                <w:sz w:val="16"/>
              </w:rPr>
            </w:pPr>
            <w:r>
              <w:rPr>
                <w:b/>
                <w:spacing w:val="-2"/>
                <w:w w:val="105"/>
                <w:sz w:val="16"/>
              </w:rPr>
              <w:t>(103)</w:t>
            </w:r>
          </w:p>
        </w:tc>
        <w:tc>
          <w:tcPr>
            <w:tcW w:w="419" w:type="dxa"/>
            <w:tcBorders>
              <w:top w:val="single" w:sz="6" w:space="0" w:color="000000"/>
            </w:tcBorders>
          </w:tcPr>
          <w:p>
            <w:pPr>
              <w:pStyle w:val="TableParagraph"/>
              <w:rPr>
                <w:sz w:val="14"/>
              </w:rPr>
            </w:pPr>
          </w:p>
        </w:tc>
        <w:tc>
          <w:tcPr>
            <w:tcW w:w="1276" w:type="dxa"/>
            <w:gridSpan w:val="2"/>
            <w:tcBorders>
              <w:top w:val="single" w:sz="6" w:space="0" w:color="000000"/>
            </w:tcBorders>
          </w:tcPr>
          <w:p>
            <w:pPr>
              <w:pStyle w:val="TableParagraph"/>
              <w:spacing w:line="180" w:lineRule="exact" w:before="2"/>
              <w:ind w:right="64"/>
              <w:jc w:val="right"/>
              <w:rPr>
                <w:sz w:val="16"/>
              </w:rPr>
            </w:pPr>
            <w:r>
              <w:rPr>
                <w:spacing w:val="-4"/>
                <w:w w:val="105"/>
                <w:sz w:val="16"/>
              </w:rPr>
              <w:t>(95)</w:t>
            </w:r>
          </w:p>
        </w:tc>
      </w:tr>
      <w:tr>
        <w:trPr>
          <w:trHeight w:val="203" w:hRule="atLeast"/>
        </w:trPr>
        <w:tc>
          <w:tcPr>
            <w:tcW w:w="8191" w:type="dxa"/>
            <w:shd w:val="clear" w:color="auto" w:fill="CCEDFF"/>
          </w:tcPr>
          <w:p>
            <w:pPr>
              <w:pStyle w:val="TableParagraph"/>
              <w:spacing w:line="180" w:lineRule="exact" w:before="3"/>
              <w:rPr>
                <w:sz w:val="16"/>
              </w:rPr>
            </w:pPr>
            <w:r>
              <w:rPr>
                <w:w w:val="105"/>
                <w:sz w:val="16"/>
              </w:rPr>
              <w:t>Fixed</w:t>
            </w:r>
            <w:r>
              <w:rPr>
                <w:spacing w:val="-9"/>
                <w:w w:val="105"/>
                <w:sz w:val="16"/>
              </w:rPr>
              <w:t> </w:t>
            </w:r>
            <w:r>
              <w:rPr>
                <w:spacing w:val="-2"/>
                <w:w w:val="105"/>
                <w:sz w:val="16"/>
              </w:rPr>
              <w:t>assets</w:t>
            </w:r>
          </w:p>
        </w:tc>
        <w:tc>
          <w:tcPr>
            <w:tcW w:w="1016" w:type="dxa"/>
            <w:gridSpan w:val="2"/>
            <w:shd w:val="clear" w:color="auto" w:fill="CCEDFF"/>
          </w:tcPr>
          <w:p>
            <w:pPr>
              <w:pStyle w:val="TableParagraph"/>
              <w:rPr>
                <w:sz w:val="14"/>
              </w:rPr>
            </w:pPr>
          </w:p>
        </w:tc>
        <w:tc>
          <w:tcPr>
            <w:tcW w:w="619" w:type="dxa"/>
            <w:shd w:val="clear" w:color="auto" w:fill="CCEDFF"/>
          </w:tcPr>
          <w:p>
            <w:pPr>
              <w:pStyle w:val="TableParagraph"/>
              <w:spacing w:line="180" w:lineRule="exact" w:before="3"/>
              <w:ind w:right="87"/>
              <w:jc w:val="right"/>
              <w:rPr>
                <w:b/>
                <w:sz w:val="16"/>
              </w:rPr>
            </w:pPr>
            <w:r>
              <w:rPr>
                <w:b/>
                <w:spacing w:val="-2"/>
                <w:w w:val="105"/>
                <w:sz w:val="16"/>
              </w:rPr>
              <w:t>(300)</w:t>
            </w:r>
          </w:p>
        </w:tc>
        <w:tc>
          <w:tcPr>
            <w:tcW w:w="419" w:type="dxa"/>
            <w:shd w:val="clear" w:color="auto" w:fill="CCEDFF"/>
          </w:tcPr>
          <w:p>
            <w:pPr>
              <w:pStyle w:val="TableParagraph"/>
              <w:rPr>
                <w:sz w:val="14"/>
              </w:rPr>
            </w:pPr>
          </w:p>
        </w:tc>
        <w:tc>
          <w:tcPr>
            <w:tcW w:w="1276" w:type="dxa"/>
            <w:gridSpan w:val="2"/>
            <w:shd w:val="clear" w:color="auto" w:fill="CCEDFF"/>
          </w:tcPr>
          <w:p>
            <w:pPr>
              <w:pStyle w:val="TableParagraph"/>
              <w:spacing w:line="180" w:lineRule="exact" w:before="3"/>
              <w:ind w:right="64"/>
              <w:jc w:val="right"/>
              <w:rPr>
                <w:sz w:val="16"/>
              </w:rPr>
            </w:pPr>
            <w:r>
              <w:rPr>
                <w:spacing w:val="-2"/>
                <w:w w:val="105"/>
                <w:sz w:val="16"/>
              </w:rPr>
              <w:t>(375)</w:t>
            </w:r>
          </w:p>
        </w:tc>
      </w:tr>
      <w:tr>
        <w:trPr>
          <w:trHeight w:val="202" w:hRule="atLeast"/>
        </w:trPr>
        <w:tc>
          <w:tcPr>
            <w:tcW w:w="8191" w:type="dxa"/>
            <w:tcBorders>
              <w:bottom w:val="single" w:sz="6" w:space="0" w:color="000000"/>
            </w:tcBorders>
          </w:tcPr>
          <w:p>
            <w:pPr>
              <w:pStyle w:val="TableParagraph"/>
              <w:spacing w:line="179" w:lineRule="exact" w:before="3"/>
              <w:rPr>
                <w:sz w:val="16"/>
              </w:rPr>
            </w:pPr>
            <w:r>
              <w:rPr>
                <w:sz w:val="16"/>
              </w:rPr>
              <w:t>Finance</w:t>
            </w:r>
            <w:r>
              <w:rPr>
                <w:spacing w:val="16"/>
                <w:sz w:val="16"/>
              </w:rPr>
              <w:t> </w:t>
            </w:r>
            <w:r>
              <w:rPr>
                <w:spacing w:val="-2"/>
                <w:sz w:val="16"/>
              </w:rPr>
              <w:t>leases</w:t>
            </w:r>
          </w:p>
        </w:tc>
        <w:tc>
          <w:tcPr>
            <w:tcW w:w="1016" w:type="dxa"/>
            <w:gridSpan w:val="2"/>
            <w:tcBorders>
              <w:bottom w:val="single" w:sz="6" w:space="0" w:color="000000"/>
            </w:tcBorders>
          </w:tcPr>
          <w:p>
            <w:pPr>
              <w:pStyle w:val="TableParagraph"/>
              <w:rPr>
                <w:sz w:val="14"/>
              </w:rPr>
            </w:pPr>
          </w:p>
        </w:tc>
        <w:tc>
          <w:tcPr>
            <w:tcW w:w="619" w:type="dxa"/>
            <w:tcBorders>
              <w:bottom w:val="single" w:sz="6" w:space="0" w:color="000000"/>
            </w:tcBorders>
          </w:tcPr>
          <w:p>
            <w:pPr>
              <w:pStyle w:val="TableParagraph"/>
              <w:spacing w:line="179" w:lineRule="exact" w:before="3"/>
              <w:ind w:right="87"/>
              <w:jc w:val="right"/>
              <w:rPr>
                <w:b/>
                <w:sz w:val="16"/>
              </w:rPr>
            </w:pPr>
            <w:r>
              <w:rPr>
                <w:b/>
                <w:spacing w:val="-2"/>
                <w:w w:val="105"/>
                <w:sz w:val="16"/>
              </w:rPr>
              <w:t>(174)</w:t>
            </w:r>
          </w:p>
        </w:tc>
        <w:tc>
          <w:tcPr>
            <w:tcW w:w="419" w:type="dxa"/>
            <w:tcBorders>
              <w:bottom w:val="single" w:sz="6" w:space="0" w:color="000000"/>
            </w:tcBorders>
          </w:tcPr>
          <w:p>
            <w:pPr>
              <w:pStyle w:val="TableParagraph"/>
              <w:rPr>
                <w:sz w:val="14"/>
              </w:rPr>
            </w:pPr>
          </w:p>
        </w:tc>
        <w:tc>
          <w:tcPr>
            <w:tcW w:w="1276" w:type="dxa"/>
            <w:gridSpan w:val="2"/>
            <w:tcBorders>
              <w:bottom w:val="single" w:sz="6" w:space="0" w:color="000000"/>
            </w:tcBorders>
          </w:tcPr>
          <w:p>
            <w:pPr>
              <w:pStyle w:val="TableParagraph"/>
              <w:spacing w:line="179" w:lineRule="exact" w:before="3"/>
              <w:ind w:right="64"/>
              <w:jc w:val="right"/>
              <w:rPr>
                <w:sz w:val="16"/>
              </w:rPr>
            </w:pPr>
            <w:r>
              <w:rPr>
                <w:spacing w:val="-2"/>
                <w:w w:val="105"/>
                <w:sz w:val="16"/>
              </w:rPr>
              <w:t>(160)</w:t>
            </w:r>
          </w:p>
        </w:tc>
      </w:tr>
      <w:tr>
        <w:trPr>
          <w:trHeight w:val="201" w:hRule="atLeast"/>
        </w:trPr>
        <w:tc>
          <w:tcPr>
            <w:tcW w:w="8191" w:type="dxa"/>
            <w:tcBorders>
              <w:top w:val="single" w:sz="6" w:space="0" w:color="000000"/>
              <w:bottom w:val="single" w:sz="6" w:space="0" w:color="000000"/>
            </w:tcBorders>
            <w:shd w:val="clear" w:color="auto" w:fill="CCEDFF"/>
          </w:tcPr>
          <w:p>
            <w:pPr>
              <w:pStyle w:val="TableParagraph"/>
              <w:spacing w:line="179" w:lineRule="exact" w:before="2"/>
              <w:ind w:left="305"/>
              <w:rPr>
                <w:sz w:val="16"/>
              </w:rPr>
            </w:pPr>
            <w:r>
              <w:rPr>
                <w:w w:val="105"/>
                <w:sz w:val="16"/>
              </w:rPr>
              <w:t>Total</w:t>
            </w:r>
            <w:r>
              <w:rPr>
                <w:spacing w:val="-9"/>
                <w:w w:val="105"/>
                <w:sz w:val="16"/>
              </w:rPr>
              <w:t> </w:t>
            </w:r>
            <w:r>
              <w:rPr>
                <w:w w:val="105"/>
                <w:sz w:val="16"/>
              </w:rPr>
              <w:t>deferred</w:t>
            </w:r>
            <w:r>
              <w:rPr>
                <w:spacing w:val="-8"/>
                <w:w w:val="105"/>
                <w:sz w:val="16"/>
              </w:rPr>
              <w:t> </w:t>
            </w:r>
            <w:r>
              <w:rPr>
                <w:w w:val="105"/>
                <w:sz w:val="16"/>
              </w:rPr>
              <w:t>tax</w:t>
            </w:r>
            <w:r>
              <w:rPr>
                <w:spacing w:val="-8"/>
                <w:w w:val="105"/>
                <w:sz w:val="16"/>
              </w:rPr>
              <w:t> </w:t>
            </w:r>
            <w:r>
              <w:rPr>
                <w:spacing w:val="-2"/>
                <w:w w:val="105"/>
                <w:sz w:val="16"/>
              </w:rPr>
              <w:t>liabilities</w:t>
            </w:r>
          </w:p>
        </w:tc>
        <w:tc>
          <w:tcPr>
            <w:tcW w:w="1016" w:type="dxa"/>
            <w:gridSpan w:val="2"/>
            <w:tcBorders>
              <w:top w:val="single" w:sz="6" w:space="0" w:color="000000"/>
              <w:bottom w:val="single" w:sz="6" w:space="0" w:color="000000"/>
            </w:tcBorders>
            <w:shd w:val="clear" w:color="auto" w:fill="CCEDFF"/>
          </w:tcPr>
          <w:p>
            <w:pPr>
              <w:pStyle w:val="TableParagraph"/>
              <w:rPr>
                <w:sz w:val="14"/>
              </w:rPr>
            </w:pPr>
          </w:p>
        </w:tc>
        <w:tc>
          <w:tcPr>
            <w:tcW w:w="619" w:type="dxa"/>
            <w:tcBorders>
              <w:top w:val="single" w:sz="6" w:space="0" w:color="000000"/>
              <w:bottom w:val="single" w:sz="6" w:space="0" w:color="000000"/>
            </w:tcBorders>
            <w:shd w:val="clear" w:color="auto" w:fill="CCEDFF"/>
          </w:tcPr>
          <w:p>
            <w:pPr>
              <w:pStyle w:val="TableParagraph"/>
              <w:spacing w:line="179" w:lineRule="exact" w:before="2"/>
              <w:ind w:right="87"/>
              <w:jc w:val="right"/>
              <w:rPr>
                <w:b/>
                <w:sz w:val="16"/>
              </w:rPr>
            </w:pPr>
            <w:r>
              <w:rPr>
                <w:b/>
                <w:spacing w:val="-2"/>
                <w:w w:val="105"/>
                <w:sz w:val="16"/>
              </w:rPr>
              <w:t>(577)</w:t>
            </w:r>
          </w:p>
        </w:tc>
        <w:tc>
          <w:tcPr>
            <w:tcW w:w="419" w:type="dxa"/>
            <w:tcBorders>
              <w:top w:val="single" w:sz="6" w:space="0" w:color="000000"/>
              <w:bottom w:val="single" w:sz="6" w:space="0" w:color="000000"/>
            </w:tcBorders>
            <w:shd w:val="clear" w:color="auto" w:fill="CCEDFF"/>
          </w:tcPr>
          <w:p>
            <w:pPr>
              <w:pStyle w:val="TableParagraph"/>
              <w:rPr>
                <w:sz w:val="14"/>
              </w:rPr>
            </w:pPr>
          </w:p>
        </w:tc>
        <w:tc>
          <w:tcPr>
            <w:tcW w:w="1276" w:type="dxa"/>
            <w:gridSpan w:val="2"/>
            <w:tcBorders>
              <w:top w:val="single" w:sz="6" w:space="0" w:color="000000"/>
              <w:bottom w:val="single" w:sz="6" w:space="0" w:color="000000"/>
            </w:tcBorders>
            <w:shd w:val="clear" w:color="auto" w:fill="CCEDFF"/>
          </w:tcPr>
          <w:p>
            <w:pPr>
              <w:pStyle w:val="TableParagraph"/>
              <w:spacing w:line="179" w:lineRule="exact" w:before="2"/>
              <w:ind w:right="64"/>
              <w:jc w:val="right"/>
              <w:rPr>
                <w:sz w:val="16"/>
              </w:rPr>
            </w:pPr>
            <w:r>
              <w:rPr>
                <w:spacing w:val="-2"/>
                <w:w w:val="105"/>
                <w:sz w:val="16"/>
              </w:rPr>
              <w:t>(630)</w:t>
            </w:r>
          </w:p>
        </w:tc>
      </w:tr>
      <w:tr>
        <w:trPr>
          <w:trHeight w:val="199" w:hRule="atLeast"/>
        </w:trPr>
        <w:tc>
          <w:tcPr>
            <w:tcW w:w="8191" w:type="dxa"/>
            <w:tcBorders>
              <w:top w:val="single" w:sz="6" w:space="0" w:color="000000"/>
              <w:bottom w:val="double" w:sz="6" w:space="0" w:color="000000"/>
            </w:tcBorders>
          </w:tcPr>
          <w:p>
            <w:pPr>
              <w:pStyle w:val="TableParagraph"/>
              <w:spacing w:line="177" w:lineRule="exact" w:before="2"/>
              <w:rPr>
                <w:sz w:val="16"/>
              </w:rPr>
            </w:pPr>
            <w:r>
              <w:rPr>
                <w:w w:val="105"/>
                <w:sz w:val="16"/>
              </w:rPr>
              <w:t>Net</w:t>
            </w:r>
            <w:r>
              <w:rPr>
                <w:spacing w:val="-8"/>
                <w:w w:val="105"/>
                <w:sz w:val="16"/>
              </w:rPr>
              <w:t> </w:t>
            </w:r>
            <w:r>
              <w:rPr>
                <w:w w:val="105"/>
                <w:sz w:val="16"/>
              </w:rPr>
              <w:t>deferred</w:t>
            </w:r>
            <w:r>
              <w:rPr>
                <w:spacing w:val="-7"/>
                <w:w w:val="105"/>
                <w:sz w:val="16"/>
              </w:rPr>
              <w:t> </w:t>
            </w:r>
            <w:r>
              <w:rPr>
                <w:w w:val="105"/>
                <w:sz w:val="16"/>
              </w:rPr>
              <w:t>tax</w:t>
            </w:r>
            <w:r>
              <w:rPr>
                <w:spacing w:val="-8"/>
                <w:w w:val="105"/>
                <w:sz w:val="16"/>
              </w:rPr>
              <w:t> </w:t>
            </w:r>
            <w:r>
              <w:rPr>
                <w:spacing w:val="-2"/>
                <w:w w:val="105"/>
                <w:sz w:val="16"/>
              </w:rPr>
              <w:t>assets</w:t>
            </w:r>
          </w:p>
        </w:tc>
        <w:tc>
          <w:tcPr>
            <w:tcW w:w="1016" w:type="dxa"/>
            <w:gridSpan w:val="2"/>
            <w:tcBorders>
              <w:top w:val="single" w:sz="6" w:space="0" w:color="000000"/>
              <w:bottom w:val="double" w:sz="6" w:space="0" w:color="000000"/>
            </w:tcBorders>
          </w:tcPr>
          <w:p>
            <w:pPr>
              <w:pStyle w:val="TableParagraph"/>
              <w:spacing w:line="177" w:lineRule="exact" w:before="2"/>
              <w:ind w:left="-1"/>
              <w:rPr>
                <w:b/>
                <w:sz w:val="16"/>
              </w:rPr>
            </w:pPr>
            <w:r>
              <w:rPr>
                <w:b/>
                <w:spacing w:val="-10"/>
                <w:w w:val="105"/>
                <w:sz w:val="16"/>
              </w:rPr>
              <w:t>$</w:t>
            </w:r>
          </w:p>
        </w:tc>
        <w:tc>
          <w:tcPr>
            <w:tcW w:w="619" w:type="dxa"/>
            <w:tcBorders>
              <w:top w:val="single" w:sz="6" w:space="0" w:color="000000"/>
              <w:bottom w:val="double" w:sz="6" w:space="0" w:color="000000"/>
            </w:tcBorders>
          </w:tcPr>
          <w:p>
            <w:pPr>
              <w:pStyle w:val="TableParagraph"/>
              <w:spacing w:line="177" w:lineRule="exact" w:before="2"/>
              <w:ind w:left="225"/>
              <w:rPr>
                <w:b/>
                <w:sz w:val="16"/>
              </w:rPr>
            </w:pPr>
            <w:r>
              <w:rPr>
                <w:b/>
                <w:spacing w:val="-5"/>
                <w:w w:val="105"/>
                <w:sz w:val="16"/>
              </w:rPr>
              <w:t>808</w:t>
            </w:r>
          </w:p>
        </w:tc>
        <w:tc>
          <w:tcPr>
            <w:tcW w:w="419" w:type="dxa"/>
            <w:tcBorders>
              <w:top w:val="single" w:sz="6" w:space="0" w:color="000000"/>
              <w:bottom w:val="double" w:sz="6" w:space="0" w:color="000000"/>
            </w:tcBorders>
          </w:tcPr>
          <w:p>
            <w:pPr>
              <w:pStyle w:val="TableParagraph"/>
              <w:spacing w:line="177" w:lineRule="exact" w:before="2"/>
              <w:ind w:left="84"/>
              <w:rPr>
                <w:sz w:val="16"/>
              </w:rPr>
            </w:pPr>
            <w:r>
              <w:rPr>
                <w:spacing w:val="-10"/>
                <w:w w:val="105"/>
                <w:sz w:val="16"/>
              </w:rPr>
              <w:t>$</w:t>
            </w:r>
          </w:p>
        </w:tc>
        <w:tc>
          <w:tcPr>
            <w:tcW w:w="1276" w:type="dxa"/>
            <w:gridSpan w:val="2"/>
            <w:tcBorders>
              <w:top w:val="single" w:sz="6" w:space="0" w:color="000000"/>
              <w:bottom w:val="double" w:sz="6" w:space="0" w:color="000000"/>
            </w:tcBorders>
          </w:tcPr>
          <w:p>
            <w:pPr>
              <w:pStyle w:val="TableParagraph"/>
              <w:spacing w:line="177" w:lineRule="exact" w:before="2"/>
              <w:ind w:right="118"/>
              <w:jc w:val="right"/>
              <w:rPr>
                <w:sz w:val="16"/>
              </w:rPr>
            </w:pPr>
            <w:r>
              <w:rPr>
                <w:spacing w:val="-5"/>
                <w:w w:val="105"/>
                <w:sz w:val="16"/>
              </w:rPr>
              <w:t>808</w:t>
            </w:r>
          </w:p>
        </w:tc>
      </w:tr>
      <w:tr>
        <w:trPr>
          <w:trHeight w:val="516" w:hRule="atLeast"/>
        </w:trPr>
        <w:tc>
          <w:tcPr>
            <w:tcW w:w="8191" w:type="dxa"/>
            <w:tcBorders>
              <w:top w:val="double" w:sz="6" w:space="0" w:color="000000"/>
              <w:bottom w:val="single" w:sz="12" w:space="0" w:color="000000"/>
            </w:tcBorders>
          </w:tcPr>
          <w:p>
            <w:pPr>
              <w:pStyle w:val="TableParagraph"/>
              <w:spacing w:before="19"/>
              <w:rPr>
                <w:sz w:val="16"/>
              </w:rPr>
            </w:pPr>
          </w:p>
          <w:p>
            <w:pPr>
              <w:pStyle w:val="TableParagraph"/>
              <w:spacing w:before="1"/>
              <w:rPr>
                <w:sz w:val="16"/>
              </w:rPr>
            </w:pPr>
            <w:r>
              <w:rPr>
                <w:w w:val="105"/>
                <w:sz w:val="16"/>
              </w:rPr>
              <w:t>The</w:t>
            </w:r>
            <w:r>
              <w:rPr>
                <w:spacing w:val="-9"/>
                <w:w w:val="105"/>
                <w:sz w:val="16"/>
              </w:rPr>
              <w:t> </w:t>
            </w:r>
            <w:r>
              <w:rPr>
                <w:w w:val="105"/>
                <w:sz w:val="16"/>
              </w:rPr>
              <w:t>net</w:t>
            </w:r>
            <w:r>
              <w:rPr>
                <w:spacing w:val="-8"/>
                <w:w w:val="105"/>
                <w:sz w:val="16"/>
              </w:rPr>
              <w:t> </w:t>
            </w:r>
            <w:r>
              <w:rPr>
                <w:w w:val="105"/>
                <w:sz w:val="16"/>
              </w:rPr>
              <w:t>deferred</w:t>
            </w:r>
            <w:r>
              <w:rPr>
                <w:spacing w:val="-8"/>
                <w:w w:val="105"/>
                <w:sz w:val="16"/>
              </w:rPr>
              <w:t> </w:t>
            </w:r>
            <w:r>
              <w:rPr>
                <w:w w:val="105"/>
                <w:sz w:val="16"/>
              </w:rPr>
              <w:t>tax</w:t>
            </w:r>
            <w:r>
              <w:rPr>
                <w:spacing w:val="-8"/>
                <w:w w:val="105"/>
                <w:sz w:val="16"/>
              </w:rPr>
              <w:t> </w:t>
            </w:r>
            <w:r>
              <w:rPr>
                <w:w w:val="105"/>
                <w:sz w:val="16"/>
              </w:rPr>
              <w:t>assets</w:t>
            </w:r>
            <w:r>
              <w:rPr>
                <w:spacing w:val="-8"/>
                <w:w w:val="105"/>
                <w:sz w:val="16"/>
              </w:rPr>
              <w:t> </w:t>
            </w:r>
            <w:r>
              <w:rPr>
                <w:w w:val="105"/>
                <w:sz w:val="16"/>
              </w:rPr>
              <w:t>in</w:t>
            </w:r>
            <w:r>
              <w:rPr>
                <w:spacing w:val="-9"/>
                <w:w w:val="105"/>
                <w:sz w:val="16"/>
              </w:rPr>
              <w:t> </w:t>
            </w:r>
            <w:r>
              <w:rPr>
                <w:w w:val="105"/>
                <w:sz w:val="16"/>
              </w:rPr>
              <w:t>the</w:t>
            </w:r>
            <w:r>
              <w:rPr>
                <w:spacing w:val="-8"/>
                <w:w w:val="105"/>
                <w:sz w:val="16"/>
              </w:rPr>
              <w:t> </w:t>
            </w:r>
            <w:r>
              <w:rPr>
                <w:w w:val="105"/>
                <w:sz w:val="16"/>
              </w:rPr>
              <w:t>consolidated</w:t>
            </w:r>
            <w:r>
              <w:rPr>
                <w:spacing w:val="-8"/>
                <w:w w:val="105"/>
                <w:sz w:val="16"/>
              </w:rPr>
              <w:t> </w:t>
            </w:r>
            <w:r>
              <w:rPr>
                <w:w w:val="105"/>
                <w:sz w:val="16"/>
              </w:rPr>
              <w:t>balance</w:t>
            </w:r>
            <w:r>
              <w:rPr>
                <w:spacing w:val="-8"/>
                <w:w w:val="105"/>
                <w:sz w:val="16"/>
              </w:rPr>
              <w:t> </w:t>
            </w:r>
            <w:r>
              <w:rPr>
                <w:w w:val="105"/>
                <w:sz w:val="16"/>
              </w:rPr>
              <w:t>sheets</w:t>
            </w:r>
            <w:r>
              <w:rPr>
                <w:spacing w:val="-8"/>
                <w:w w:val="105"/>
                <w:sz w:val="16"/>
              </w:rPr>
              <w:t> </w:t>
            </w:r>
            <w:r>
              <w:rPr>
                <w:w w:val="105"/>
                <w:sz w:val="16"/>
              </w:rPr>
              <w:t>are</w:t>
            </w:r>
            <w:r>
              <w:rPr>
                <w:spacing w:val="-9"/>
                <w:w w:val="105"/>
                <w:sz w:val="16"/>
              </w:rPr>
              <w:t> </w:t>
            </w:r>
            <w:r>
              <w:rPr>
                <w:w w:val="105"/>
                <w:sz w:val="16"/>
              </w:rPr>
              <w:t>as</w:t>
            </w:r>
            <w:r>
              <w:rPr>
                <w:spacing w:val="-8"/>
                <w:w w:val="105"/>
                <w:sz w:val="16"/>
              </w:rPr>
              <w:t> </w:t>
            </w:r>
            <w:r>
              <w:rPr>
                <w:w w:val="105"/>
                <w:sz w:val="16"/>
              </w:rPr>
              <w:t>follows</w:t>
            </w:r>
            <w:r>
              <w:rPr>
                <w:spacing w:val="-8"/>
                <w:w w:val="105"/>
                <w:sz w:val="16"/>
              </w:rPr>
              <w:t> </w:t>
            </w:r>
            <w:r>
              <w:rPr>
                <w:w w:val="105"/>
                <w:sz w:val="16"/>
              </w:rPr>
              <w:t>(in</w:t>
            </w:r>
            <w:r>
              <w:rPr>
                <w:spacing w:val="-8"/>
                <w:w w:val="105"/>
                <w:sz w:val="16"/>
              </w:rPr>
              <w:t> </w:t>
            </w:r>
            <w:r>
              <w:rPr>
                <w:spacing w:val="-2"/>
                <w:w w:val="105"/>
                <w:sz w:val="16"/>
              </w:rPr>
              <w:t>millions):</w:t>
            </w:r>
          </w:p>
        </w:tc>
        <w:tc>
          <w:tcPr>
            <w:tcW w:w="1016" w:type="dxa"/>
            <w:gridSpan w:val="2"/>
            <w:tcBorders>
              <w:top w:val="double" w:sz="6" w:space="0" w:color="000000"/>
              <w:bottom w:val="single" w:sz="12" w:space="0" w:color="000000"/>
            </w:tcBorders>
          </w:tcPr>
          <w:p>
            <w:pPr>
              <w:pStyle w:val="TableParagraph"/>
              <w:rPr>
                <w:sz w:val="16"/>
              </w:rPr>
            </w:pPr>
          </w:p>
        </w:tc>
        <w:tc>
          <w:tcPr>
            <w:tcW w:w="619" w:type="dxa"/>
            <w:tcBorders>
              <w:top w:val="double" w:sz="6" w:space="0" w:color="000000"/>
              <w:bottom w:val="single" w:sz="12" w:space="0" w:color="000000"/>
            </w:tcBorders>
          </w:tcPr>
          <w:p>
            <w:pPr>
              <w:pStyle w:val="TableParagraph"/>
              <w:rPr>
                <w:sz w:val="16"/>
              </w:rPr>
            </w:pPr>
          </w:p>
        </w:tc>
        <w:tc>
          <w:tcPr>
            <w:tcW w:w="419" w:type="dxa"/>
            <w:tcBorders>
              <w:top w:val="double" w:sz="6" w:space="0" w:color="000000"/>
              <w:bottom w:val="single" w:sz="12" w:space="0" w:color="000000"/>
            </w:tcBorders>
          </w:tcPr>
          <w:p>
            <w:pPr>
              <w:pStyle w:val="TableParagraph"/>
              <w:rPr>
                <w:sz w:val="16"/>
              </w:rPr>
            </w:pPr>
          </w:p>
        </w:tc>
        <w:tc>
          <w:tcPr>
            <w:tcW w:w="1276" w:type="dxa"/>
            <w:gridSpan w:val="2"/>
            <w:tcBorders>
              <w:top w:val="double" w:sz="6" w:space="0" w:color="000000"/>
              <w:bottom w:val="single" w:sz="12" w:space="0" w:color="000000"/>
            </w:tcBorders>
          </w:tcPr>
          <w:p>
            <w:pPr>
              <w:pStyle w:val="TableParagraph"/>
              <w:rPr>
                <w:sz w:val="16"/>
              </w:rPr>
            </w:pPr>
          </w:p>
        </w:tc>
      </w:tr>
      <w:tr>
        <w:trPr>
          <w:trHeight w:val="200" w:hRule="atLeast"/>
        </w:trPr>
        <w:tc>
          <w:tcPr>
            <w:tcW w:w="11521" w:type="dxa"/>
            <w:gridSpan w:val="7"/>
          </w:tcPr>
          <w:p>
            <w:pPr>
              <w:pStyle w:val="TableParagraph"/>
              <w:spacing w:line="179" w:lineRule="exact" w:before="1"/>
              <w:ind w:right="1260"/>
              <w:jc w:val="right"/>
              <w:rPr>
                <w:sz w:val="16"/>
              </w:rPr>
            </w:pPr>
            <w:r>
              <w:rPr>
                <w:sz w:val="16"/>
              </w:rPr>
              <w:t>December</w:t>
            </w:r>
            <w:r>
              <w:rPr>
                <w:spacing w:val="20"/>
                <w:sz w:val="16"/>
              </w:rPr>
              <w:t> </w:t>
            </w:r>
            <w:r>
              <w:rPr>
                <w:spacing w:val="-5"/>
                <w:sz w:val="16"/>
              </w:rPr>
              <w:t>31,</w:t>
            </w:r>
          </w:p>
        </w:tc>
      </w:tr>
      <w:tr>
        <w:trPr>
          <w:trHeight w:val="201" w:hRule="atLeast"/>
        </w:trPr>
        <w:tc>
          <w:tcPr>
            <w:tcW w:w="8191" w:type="dxa"/>
            <w:tcBorders>
              <w:bottom w:val="single" w:sz="6" w:space="0" w:color="000000"/>
            </w:tcBorders>
          </w:tcPr>
          <w:p>
            <w:pPr>
              <w:pStyle w:val="TableParagraph"/>
              <w:rPr>
                <w:sz w:val="14"/>
              </w:rPr>
            </w:pPr>
          </w:p>
        </w:tc>
        <w:tc>
          <w:tcPr>
            <w:tcW w:w="141" w:type="dxa"/>
            <w:tcBorders>
              <w:top w:val="single" w:sz="6" w:space="0" w:color="000000"/>
              <w:bottom w:val="single" w:sz="6" w:space="0" w:color="000000"/>
            </w:tcBorders>
          </w:tcPr>
          <w:p>
            <w:pPr>
              <w:pStyle w:val="TableParagraph"/>
              <w:rPr>
                <w:sz w:val="14"/>
              </w:rPr>
            </w:pPr>
          </w:p>
        </w:tc>
        <w:tc>
          <w:tcPr>
            <w:tcW w:w="875" w:type="dxa"/>
            <w:tcBorders>
              <w:top w:val="single" w:sz="6" w:space="0" w:color="000000"/>
              <w:bottom w:val="single" w:sz="6" w:space="0" w:color="000000"/>
            </w:tcBorders>
          </w:tcPr>
          <w:p>
            <w:pPr>
              <w:pStyle w:val="TableParagraph"/>
              <w:spacing w:line="179" w:lineRule="exact" w:before="2"/>
              <w:ind w:right="103"/>
              <w:jc w:val="right"/>
              <w:rPr>
                <w:b/>
                <w:sz w:val="16"/>
              </w:rPr>
            </w:pPr>
            <w:r>
              <w:rPr>
                <w:b/>
                <w:spacing w:val="-4"/>
                <w:w w:val="105"/>
                <w:sz w:val="16"/>
              </w:rPr>
              <w:t>2021</w:t>
            </w:r>
          </w:p>
        </w:tc>
        <w:tc>
          <w:tcPr>
            <w:tcW w:w="619" w:type="dxa"/>
            <w:tcBorders>
              <w:top w:val="single" w:sz="6" w:space="0" w:color="000000"/>
              <w:bottom w:val="single" w:sz="6" w:space="0" w:color="000000"/>
            </w:tcBorders>
          </w:tcPr>
          <w:p>
            <w:pPr>
              <w:pStyle w:val="TableParagraph"/>
              <w:rPr>
                <w:sz w:val="14"/>
              </w:rPr>
            </w:pPr>
          </w:p>
        </w:tc>
        <w:tc>
          <w:tcPr>
            <w:tcW w:w="1103" w:type="dxa"/>
            <w:gridSpan w:val="2"/>
            <w:tcBorders>
              <w:top w:val="single" w:sz="6" w:space="0" w:color="000000"/>
              <w:bottom w:val="single" w:sz="6" w:space="0" w:color="000000"/>
            </w:tcBorders>
          </w:tcPr>
          <w:p>
            <w:pPr>
              <w:pStyle w:val="TableParagraph"/>
              <w:spacing w:line="179" w:lineRule="exact" w:before="2"/>
              <w:ind w:left="664"/>
              <w:rPr>
                <w:sz w:val="16"/>
              </w:rPr>
            </w:pPr>
            <w:r>
              <w:rPr>
                <w:spacing w:val="-4"/>
                <w:w w:val="105"/>
                <w:sz w:val="16"/>
              </w:rPr>
              <w:t>2020</w:t>
            </w:r>
          </w:p>
        </w:tc>
        <w:tc>
          <w:tcPr>
            <w:tcW w:w="592" w:type="dxa"/>
            <w:tcBorders>
              <w:top w:val="single" w:sz="6" w:space="0" w:color="000000"/>
              <w:bottom w:val="single" w:sz="6" w:space="0" w:color="000000"/>
            </w:tcBorders>
          </w:tcPr>
          <w:p>
            <w:pPr>
              <w:pStyle w:val="TableParagraph"/>
              <w:rPr>
                <w:sz w:val="14"/>
              </w:rPr>
            </w:pPr>
          </w:p>
        </w:tc>
      </w:tr>
      <w:tr>
        <w:trPr>
          <w:trHeight w:val="202" w:hRule="atLeast"/>
        </w:trPr>
        <w:tc>
          <w:tcPr>
            <w:tcW w:w="8191" w:type="dxa"/>
            <w:tcBorders>
              <w:top w:val="single" w:sz="6" w:space="0" w:color="000000"/>
            </w:tcBorders>
            <w:shd w:val="clear" w:color="auto" w:fill="CCEDFF"/>
          </w:tcPr>
          <w:p>
            <w:pPr>
              <w:pStyle w:val="TableParagraph"/>
              <w:spacing w:line="180" w:lineRule="exact" w:before="2"/>
              <w:rPr>
                <w:sz w:val="16"/>
              </w:rPr>
            </w:pPr>
            <w:r>
              <w:rPr>
                <w:w w:val="105"/>
                <w:sz w:val="16"/>
              </w:rPr>
              <w:t>Deferred</w:t>
            </w:r>
            <w:r>
              <w:rPr>
                <w:spacing w:val="-9"/>
                <w:w w:val="105"/>
                <w:sz w:val="16"/>
              </w:rPr>
              <w:t> </w:t>
            </w:r>
            <w:r>
              <w:rPr>
                <w:w w:val="105"/>
                <w:sz w:val="16"/>
              </w:rPr>
              <w:t>tax</w:t>
            </w:r>
            <w:r>
              <w:rPr>
                <w:spacing w:val="-9"/>
                <w:w w:val="105"/>
                <w:sz w:val="16"/>
              </w:rPr>
              <w:t> </w:t>
            </w:r>
            <w:r>
              <w:rPr>
                <w:spacing w:val="-2"/>
                <w:w w:val="105"/>
                <w:sz w:val="16"/>
              </w:rPr>
              <w:t>assets</w:t>
            </w:r>
          </w:p>
        </w:tc>
        <w:tc>
          <w:tcPr>
            <w:tcW w:w="141" w:type="dxa"/>
            <w:tcBorders>
              <w:top w:val="single" w:sz="6" w:space="0" w:color="000000"/>
            </w:tcBorders>
            <w:shd w:val="clear" w:color="auto" w:fill="CCEDFF"/>
          </w:tcPr>
          <w:p>
            <w:pPr>
              <w:pStyle w:val="TableParagraph"/>
              <w:spacing w:line="180" w:lineRule="exact" w:before="2"/>
              <w:ind w:left="-1" w:right="56"/>
              <w:jc w:val="center"/>
              <w:rPr>
                <w:b/>
                <w:sz w:val="16"/>
              </w:rPr>
            </w:pPr>
            <w:r>
              <w:rPr>
                <w:b/>
                <w:spacing w:val="-10"/>
                <w:w w:val="105"/>
                <w:sz w:val="16"/>
              </w:rPr>
              <w:t>$</w:t>
            </w:r>
          </w:p>
        </w:tc>
        <w:tc>
          <w:tcPr>
            <w:tcW w:w="875" w:type="dxa"/>
            <w:tcBorders>
              <w:top w:val="single" w:sz="6" w:space="0" w:color="000000"/>
            </w:tcBorders>
            <w:shd w:val="clear" w:color="auto" w:fill="CCEDFF"/>
          </w:tcPr>
          <w:p>
            <w:pPr>
              <w:pStyle w:val="TableParagraph"/>
              <w:rPr>
                <w:sz w:val="14"/>
              </w:rPr>
            </w:pPr>
          </w:p>
        </w:tc>
        <w:tc>
          <w:tcPr>
            <w:tcW w:w="619" w:type="dxa"/>
            <w:tcBorders>
              <w:top w:val="single" w:sz="6" w:space="0" w:color="000000"/>
            </w:tcBorders>
            <w:shd w:val="clear" w:color="auto" w:fill="CCEDFF"/>
          </w:tcPr>
          <w:p>
            <w:pPr>
              <w:pStyle w:val="TableParagraph"/>
              <w:spacing w:line="180" w:lineRule="exact" w:before="2"/>
              <w:ind w:left="101"/>
              <w:rPr>
                <w:b/>
                <w:sz w:val="16"/>
              </w:rPr>
            </w:pPr>
            <w:r>
              <w:rPr>
                <w:b/>
                <w:spacing w:val="-4"/>
                <w:w w:val="105"/>
                <w:sz w:val="16"/>
              </w:rPr>
              <w:t>1,066</w:t>
            </w:r>
          </w:p>
        </w:tc>
        <w:tc>
          <w:tcPr>
            <w:tcW w:w="1103" w:type="dxa"/>
            <w:gridSpan w:val="2"/>
            <w:tcBorders>
              <w:top w:val="single" w:sz="6" w:space="0" w:color="000000"/>
            </w:tcBorders>
            <w:shd w:val="clear" w:color="auto" w:fill="CCEDFF"/>
          </w:tcPr>
          <w:p>
            <w:pPr>
              <w:pStyle w:val="TableParagraph"/>
              <w:spacing w:line="180" w:lineRule="exact" w:before="2"/>
              <w:ind w:left="84"/>
              <w:rPr>
                <w:sz w:val="16"/>
              </w:rPr>
            </w:pPr>
            <w:r>
              <w:rPr>
                <w:spacing w:val="-10"/>
                <w:w w:val="105"/>
                <w:sz w:val="16"/>
              </w:rPr>
              <w:t>$</w:t>
            </w:r>
          </w:p>
        </w:tc>
        <w:tc>
          <w:tcPr>
            <w:tcW w:w="592" w:type="dxa"/>
            <w:tcBorders>
              <w:top w:val="single" w:sz="6" w:space="0" w:color="000000"/>
            </w:tcBorders>
            <w:shd w:val="clear" w:color="auto" w:fill="CCEDFF"/>
          </w:tcPr>
          <w:p>
            <w:pPr>
              <w:pStyle w:val="TableParagraph"/>
              <w:spacing w:line="180" w:lineRule="exact" w:before="2"/>
              <w:ind w:right="18"/>
              <w:jc w:val="center"/>
              <w:rPr>
                <w:sz w:val="16"/>
              </w:rPr>
            </w:pPr>
            <w:r>
              <w:rPr>
                <w:spacing w:val="-4"/>
                <w:w w:val="105"/>
                <w:sz w:val="16"/>
              </w:rPr>
              <w:t>1,121</w:t>
            </w:r>
          </w:p>
        </w:tc>
      </w:tr>
      <w:tr>
        <w:trPr>
          <w:trHeight w:val="202" w:hRule="atLeast"/>
        </w:trPr>
        <w:tc>
          <w:tcPr>
            <w:tcW w:w="8191" w:type="dxa"/>
            <w:tcBorders>
              <w:bottom w:val="single" w:sz="6" w:space="0" w:color="000000"/>
            </w:tcBorders>
          </w:tcPr>
          <w:p>
            <w:pPr>
              <w:pStyle w:val="TableParagraph"/>
              <w:spacing w:line="179" w:lineRule="exact" w:before="3"/>
              <w:rPr>
                <w:sz w:val="16"/>
              </w:rPr>
            </w:pPr>
            <w:r>
              <w:rPr>
                <w:w w:val="105"/>
                <w:sz w:val="16"/>
              </w:rPr>
              <w:t>Other</w:t>
            </w:r>
            <w:r>
              <w:rPr>
                <w:spacing w:val="-9"/>
                <w:w w:val="105"/>
                <w:sz w:val="16"/>
              </w:rPr>
              <w:t> </w:t>
            </w:r>
            <w:r>
              <w:rPr>
                <w:spacing w:val="-2"/>
                <w:w w:val="105"/>
                <w:sz w:val="16"/>
              </w:rPr>
              <w:t>liabilities</w:t>
            </w:r>
          </w:p>
        </w:tc>
        <w:tc>
          <w:tcPr>
            <w:tcW w:w="141" w:type="dxa"/>
            <w:tcBorders>
              <w:bottom w:val="single" w:sz="6" w:space="0" w:color="000000"/>
            </w:tcBorders>
          </w:tcPr>
          <w:p>
            <w:pPr>
              <w:pStyle w:val="TableParagraph"/>
              <w:rPr>
                <w:sz w:val="14"/>
              </w:rPr>
            </w:pPr>
          </w:p>
        </w:tc>
        <w:tc>
          <w:tcPr>
            <w:tcW w:w="875" w:type="dxa"/>
            <w:tcBorders>
              <w:bottom w:val="single" w:sz="6" w:space="0" w:color="000000"/>
            </w:tcBorders>
          </w:tcPr>
          <w:p>
            <w:pPr>
              <w:pStyle w:val="TableParagraph"/>
              <w:rPr>
                <w:sz w:val="14"/>
              </w:rPr>
            </w:pPr>
          </w:p>
        </w:tc>
        <w:tc>
          <w:tcPr>
            <w:tcW w:w="619" w:type="dxa"/>
            <w:tcBorders>
              <w:bottom w:val="single" w:sz="6" w:space="0" w:color="000000"/>
            </w:tcBorders>
          </w:tcPr>
          <w:p>
            <w:pPr>
              <w:pStyle w:val="TableParagraph"/>
              <w:spacing w:line="179" w:lineRule="exact" w:before="3"/>
              <w:ind w:right="87"/>
              <w:jc w:val="right"/>
              <w:rPr>
                <w:b/>
                <w:sz w:val="16"/>
              </w:rPr>
            </w:pPr>
            <w:r>
              <w:rPr>
                <w:b/>
                <w:spacing w:val="-2"/>
                <w:w w:val="105"/>
                <w:sz w:val="16"/>
              </w:rPr>
              <w:t>(258)</w:t>
            </w:r>
          </w:p>
        </w:tc>
        <w:tc>
          <w:tcPr>
            <w:tcW w:w="1103" w:type="dxa"/>
            <w:gridSpan w:val="2"/>
            <w:tcBorders>
              <w:bottom w:val="single" w:sz="6" w:space="0" w:color="000000"/>
            </w:tcBorders>
          </w:tcPr>
          <w:p>
            <w:pPr>
              <w:pStyle w:val="TableParagraph"/>
              <w:rPr>
                <w:sz w:val="14"/>
              </w:rPr>
            </w:pPr>
          </w:p>
        </w:tc>
        <w:tc>
          <w:tcPr>
            <w:tcW w:w="592" w:type="dxa"/>
            <w:tcBorders>
              <w:bottom w:val="single" w:sz="6" w:space="0" w:color="000000"/>
            </w:tcBorders>
          </w:tcPr>
          <w:p>
            <w:pPr>
              <w:pStyle w:val="TableParagraph"/>
              <w:spacing w:line="179" w:lineRule="exact" w:before="3"/>
              <w:ind w:left="121" w:right="18"/>
              <w:jc w:val="center"/>
              <w:rPr>
                <w:sz w:val="16"/>
              </w:rPr>
            </w:pPr>
            <w:r>
              <w:rPr>
                <w:spacing w:val="-2"/>
                <w:w w:val="105"/>
                <w:sz w:val="16"/>
              </w:rPr>
              <w:t>(313)</w:t>
            </w:r>
          </w:p>
        </w:tc>
      </w:tr>
      <w:tr>
        <w:trPr>
          <w:trHeight w:val="199" w:hRule="atLeast"/>
        </w:trPr>
        <w:tc>
          <w:tcPr>
            <w:tcW w:w="8191"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Net</w:t>
            </w:r>
            <w:r>
              <w:rPr>
                <w:spacing w:val="-8"/>
                <w:w w:val="105"/>
                <w:sz w:val="16"/>
              </w:rPr>
              <w:t> </w:t>
            </w:r>
            <w:r>
              <w:rPr>
                <w:w w:val="105"/>
                <w:sz w:val="16"/>
              </w:rPr>
              <w:t>deferred</w:t>
            </w:r>
            <w:r>
              <w:rPr>
                <w:spacing w:val="-7"/>
                <w:w w:val="105"/>
                <w:sz w:val="16"/>
              </w:rPr>
              <w:t> </w:t>
            </w:r>
            <w:r>
              <w:rPr>
                <w:w w:val="105"/>
                <w:sz w:val="16"/>
              </w:rPr>
              <w:t>tax</w:t>
            </w:r>
            <w:r>
              <w:rPr>
                <w:spacing w:val="-8"/>
                <w:w w:val="105"/>
                <w:sz w:val="16"/>
              </w:rPr>
              <w:t> </w:t>
            </w:r>
            <w:r>
              <w:rPr>
                <w:spacing w:val="-2"/>
                <w:w w:val="105"/>
                <w:sz w:val="16"/>
              </w:rPr>
              <w:t>assets</w:t>
            </w:r>
          </w:p>
        </w:tc>
        <w:tc>
          <w:tcPr>
            <w:tcW w:w="141" w:type="dxa"/>
            <w:tcBorders>
              <w:top w:val="single" w:sz="6" w:space="0" w:color="000000"/>
              <w:bottom w:val="double" w:sz="6" w:space="0" w:color="000000"/>
            </w:tcBorders>
            <w:shd w:val="clear" w:color="auto" w:fill="CCEDFF"/>
          </w:tcPr>
          <w:p>
            <w:pPr>
              <w:pStyle w:val="TableParagraph"/>
              <w:spacing w:line="177" w:lineRule="exact" w:before="2"/>
              <w:ind w:left="-1" w:right="56"/>
              <w:jc w:val="center"/>
              <w:rPr>
                <w:b/>
                <w:sz w:val="16"/>
              </w:rPr>
            </w:pPr>
            <w:r>
              <w:rPr>
                <w:b/>
                <w:spacing w:val="-10"/>
                <w:w w:val="105"/>
                <w:sz w:val="16"/>
              </w:rPr>
              <w:t>$</w:t>
            </w:r>
          </w:p>
        </w:tc>
        <w:tc>
          <w:tcPr>
            <w:tcW w:w="875" w:type="dxa"/>
            <w:tcBorders>
              <w:top w:val="single" w:sz="6" w:space="0" w:color="000000"/>
              <w:bottom w:val="double" w:sz="6" w:space="0" w:color="000000"/>
            </w:tcBorders>
            <w:shd w:val="clear" w:color="auto" w:fill="CCEDFF"/>
          </w:tcPr>
          <w:p>
            <w:pPr>
              <w:pStyle w:val="TableParagraph"/>
              <w:rPr>
                <w:sz w:val="12"/>
              </w:rPr>
            </w:pPr>
          </w:p>
        </w:tc>
        <w:tc>
          <w:tcPr>
            <w:tcW w:w="619" w:type="dxa"/>
            <w:tcBorders>
              <w:top w:val="single" w:sz="6" w:space="0" w:color="000000"/>
              <w:bottom w:val="double" w:sz="6" w:space="0" w:color="000000"/>
            </w:tcBorders>
            <w:shd w:val="clear" w:color="auto" w:fill="CCEDFF"/>
          </w:tcPr>
          <w:p>
            <w:pPr>
              <w:pStyle w:val="TableParagraph"/>
              <w:spacing w:line="177" w:lineRule="exact" w:before="2"/>
              <w:ind w:left="225"/>
              <w:rPr>
                <w:b/>
                <w:sz w:val="16"/>
              </w:rPr>
            </w:pPr>
            <w:r>
              <w:rPr>
                <w:b/>
                <w:spacing w:val="-5"/>
                <w:w w:val="105"/>
                <w:sz w:val="16"/>
              </w:rPr>
              <w:t>808</w:t>
            </w:r>
          </w:p>
        </w:tc>
        <w:tc>
          <w:tcPr>
            <w:tcW w:w="1103" w:type="dxa"/>
            <w:gridSpan w:val="2"/>
            <w:tcBorders>
              <w:top w:val="single" w:sz="6" w:space="0" w:color="000000"/>
              <w:bottom w:val="double" w:sz="6" w:space="0" w:color="000000"/>
            </w:tcBorders>
            <w:shd w:val="clear" w:color="auto" w:fill="CCEDFF"/>
          </w:tcPr>
          <w:p>
            <w:pPr>
              <w:pStyle w:val="TableParagraph"/>
              <w:spacing w:line="177" w:lineRule="exact" w:before="2"/>
              <w:ind w:left="84"/>
              <w:rPr>
                <w:sz w:val="16"/>
              </w:rPr>
            </w:pPr>
            <w:r>
              <w:rPr>
                <w:spacing w:val="-10"/>
                <w:w w:val="105"/>
                <w:sz w:val="16"/>
              </w:rPr>
              <w:t>$</w:t>
            </w:r>
          </w:p>
        </w:tc>
        <w:tc>
          <w:tcPr>
            <w:tcW w:w="592" w:type="dxa"/>
            <w:tcBorders>
              <w:top w:val="single" w:sz="6" w:space="0" w:color="000000"/>
              <w:bottom w:val="double" w:sz="6" w:space="0" w:color="000000"/>
            </w:tcBorders>
            <w:shd w:val="clear" w:color="auto" w:fill="CCEDFF"/>
          </w:tcPr>
          <w:p>
            <w:pPr>
              <w:pStyle w:val="TableParagraph"/>
              <w:spacing w:line="177" w:lineRule="exact" w:before="2"/>
              <w:ind w:left="121" w:right="18"/>
              <w:jc w:val="center"/>
              <w:rPr>
                <w:sz w:val="16"/>
              </w:rPr>
            </w:pPr>
            <w:r>
              <w:rPr>
                <w:spacing w:val="-5"/>
                <w:w w:val="105"/>
                <w:sz w:val="16"/>
              </w:rPr>
              <w:t>808</w:t>
            </w:r>
          </w:p>
        </w:tc>
      </w:tr>
      <w:tr>
        <w:trPr>
          <w:trHeight w:val="605" w:hRule="atLeast"/>
        </w:trPr>
        <w:tc>
          <w:tcPr>
            <w:tcW w:w="8191" w:type="dxa"/>
            <w:tcBorders>
              <w:top w:val="double" w:sz="6" w:space="0" w:color="000000"/>
              <w:bottom w:val="single" w:sz="12" w:space="0" w:color="000000"/>
            </w:tcBorders>
          </w:tcPr>
          <w:p>
            <w:pPr>
              <w:pStyle w:val="TableParagraph"/>
              <w:spacing w:before="19"/>
              <w:rPr>
                <w:sz w:val="16"/>
              </w:rPr>
            </w:pPr>
          </w:p>
          <w:p>
            <w:pPr>
              <w:pStyle w:val="TableParagraph"/>
              <w:spacing w:before="1"/>
              <w:rPr>
                <w:sz w:val="16"/>
              </w:rPr>
            </w:pPr>
            <w:r>
              <w:rPr>
                <w:w w:val="105"/>
                <w:sz w:val="16"/>
              </w:rPr>
              <w:t>Details</w:t>
            </w:r>
            <w:r>
              <w:rPr>
                <w:spacing w:val="-10"/>
                <w:w w:val="105"/>
                <w:sz w:val="16"/>
              </w:rPr>
              <w:t> </w:t>
            </w:r>
            <w:r>
              <w:rPr>
                <w:w w:val="105"/>
                <w:sz w:val="16"/>
              </w:rPr>
              <w:t>on</w:t>
            </w:r>
            <w:r>
              <w:rPr>
                <w:spacing w:val="-9"/>
                <w:w w:val="105"/>
                <w:sz w:val="16"/>
              </w:rPr>
              <w:t> </w:t>
            </w:r>
            <w:r>
              <w:rPr>
                <w:w w:val="105"/>
                <w:sz w:val="16"/>
              </w:rPr>
              <w:t>deferred</w:t>
            </w:r>
            <w:r>
              <w:rPr>
                <w:spacing w:val="-9"/>
                <w:w w:val="105"/>
                <w:sz w:val="16"/>
              </w:rPr>
              <w:t> </w:t>
            </w:r>
            <w:r>
              <w:rPr>
                <w:w w:val="105"/>
                <w:sz w:val="16"/>
              </w:rPr>
              <w:t>tax</w:t>
            </w:r>
            <w:r>
              <w:rPr>
                <w:spacing w:val="-8"/>
                <w:w w:val="105"/>
                <w:sz w:val="16"/>
              </w:rPr>
              <w:t> </w:t>
            </w:r>
            <w:r>
              <w:rPr>
                <w:w w:val="105"/>
                <w:sz w:val="16"/>
              </w:rPr>
              <w:t>assets</w:t>
            </w:r>
            <w:r>
              <w:rPr>
                <w:spacing w:val="-9"/>
                <w:w w:val="105"/>
                <w:sz w:val="16"/>
              </w:rPr>
              <w:t> </w:t>
            </w:r>
            <w:r>
              <w:rPr>
                <w:w w:val="105"/>
                <w:sz w:val="16"/>
              </w:rPr>
              <w:t>for</w:t>
            </w:r>
            <w:r>
              <w:rPr>
                <w:spacing w:val="-9"/>
                <w:w w:val="105"/>
                <w:sz w:val="16"/>
              </w:rPr>
              <w:t> </w:t>
            </w:r>
            <w:r>
              <w:rPr>
                <w:w w:val="105"/>
                <w:sz w:val="16"/>
              </w:rPr>
              <w:t>loss</w:t>
            </w:r>
            <w:r>
              <w:rPr>
                <w:spacing w:val="-9"/>
                <w:w w:val="105"/>
                <w:sz w:val="16"/>
              </w:rPr>
              <w:t> </w:t>
            </w:r>
            <w:r>
              <w:rPr>
                <w:w w:val="105"/>
                <w:sz w:val="16"/>
              </w:rPr>
              <w:t>and</w:t>
            </w:r>
            <w:r>
              <w:rPr>
                <w:spacing w:val="-10"/>
                <w:w w:val="105"/>
                <w:sz w:val="16"/>
              </w:rPr>
              <w:t> </w:t>
            </w:r>
            <w:r>
              <w:rPr>
                <w:w w:val="105"/>
                <w:sz w:val="16"/>
              </w:rPr>
              <w:t>tax</w:t>
            </w:r>
            <w:r>
              <w:rPr>
                <w:spacing w:val="-9"/>
                <w:w w:val="105"/>
                <w:sz w:val="16"/>
              </w:rPr>
              <w:t> </w:t>
            </w:r>
            <w:r>
              <w:rPr>
                <w:w w:val="105"/>
                <w:sz w:val="16"/>
              </w:rPr>
              <w:t>credit</w:t>
            </w:r>
            <w:r>
              <w:rPr>
                <w:spacing w:val="-9"/>
                <w:w w:val="105"/>
                <w:sz w:val="16"/>
              </w:rPr>
              <w:t> </w:t>
            </w:r>
            <w:r>
              <w:rPr>
                <w:w w:val="105"/>
                <w:sz w:val="16"/>
              </w:rPr>
              <w:t>carryforwards</w:t>
            </w:r>
            <w:r>
              <w:rPr>
                <w:spacing w:val="-9"/>
                <w:w w:val="105"/>
                <w:sz w:val="16"/>
              </w:rPr>
              <w:t> </w:t>
            </w:r>
            <w:r>
              <w:rPr>
                <w:w w:val="105"/>
                <w:sz w:val="16"/>
              </w:rPr>
              <w:t>are</w:t>
            </w:r>
            <w:r>
              <w:rPr>
                <w:spacing w:val="-9"/>
                <w:w w:val="105"/>
                <w:sz w:val="16"/>
              </w:rPr>
              <w:t> </w:t>
            </w:r>
            <w:r>
              <w:rPr>
                <w:w w:val="105"/>
                <w:sz w:val="16"/>
              </w:rPr>
              <w:t>as</w:t>
            </w:r>
            <w:r>
              <w:rPr>
                <w:spacing w:val="-10"/>
                <w:w w:val="105"/>
                <w:sz w:val="16"/>
              </w:rPr>
              <w:t> </w:t>
            </w:r>
            <w:r>
              <w:rPr>
                <w:w w:val="105"/>
                <w:sz w:val="16"/>
              </w:rPr>
              <w:t>follows</w:t>
            </w:r>
            <w:r>
              <w:rPr>
                <w:spacing w:val="-9"/>
                <w:w w:val="105"/>
                <w:sz w:val="16"/>
              </w:rPr>
              <w:t> </w:t>
            </w:r>
            <w:r>
              <w:rPr>
                <w:w w:val="105"/>
                <w:sz w:val="16"/>
              </w:rPr>
              <w:t>(in</w:t>
            </w:r>
            <w:r>
              <w:rPr>
                <w:spacing w:val="-9"/>
                <w:w w:val="105"/>
                <w:sz w:val="16"/>
              </w:rPr>
              <w:t> </w:t>
            </w:r>
            <w:r>
              <w:rPr>
                <w:spacing w:val="-2"/>
                <w:w w:val="105"/>
                <w:sz w:val="16"/>
              </w:rPr>
              <w:t>millions):</w:t>
            </w:r>
          </w:p>
        </w:tc>
        <w:tc>
          <w:tcPr>
            <w:tcW w:w="141" w:type="dxa"/>
            <w:tcBorders>
              <w:top w:val="double" w:sz="6" w:space="0" w:color="000000"/>
              <w:bottom w:val="single" w:sz="12" w:space="0" w:color="000000"/>
            </w:tcBorders>
          </w:tcPr>
          <w:p>
            <w:pPr>
              <w:pStyle w:val="TableParagraph"/>
              <w:rPr>
                <w:sz w:val="16"/>
              </w:rPr>
            </w:pPr>
          </w:p>
        </w:tc>
        <w:tc>
          <w:tcPr>
            <w:tcW w:w="875" w:type="dxa"/>
            <w:tcBorders>
              <w:top w:val="double" w:sz="6" w:space="0" w:color="000000"/>
              <w:bottom w:val="single" w:sz="12" w:space="0" w:color="000000"/>
            </w:tcBorders>
          </w:tcPr>
          <w:p>
            <w:pPr>
              <w:pStyle w:val="TableParagraph"/>
              <w:rPr>
                <w:sz w:val="16"/>
              </w:rPr>
            </w:pPr>
          </w:p>
        </w:tc>
        <w:tc>
          <w:tcPr>
            <w:tcW w:w="619" w:type="dxa"/>
            <w:tcBorders>
              <w:top w:val="double" w:sz="6" w:space="0" w:color="000000"/>
              <w:bottom w:val="single" w:sz="12" w:space="0" w:color="000000"/>
            </w:tcBorders>
          </w:tcPr>
          <w:p>
            <w:pPr>
              <w:pStyle w:val="TableParagraph"/>
              <w:rPr>
                <w:sz w:val="16"/>
              </w:rPr>
            </w:pPr>
          </w:p>
        </w:tc>
        <w:tc>
          <w:tcPr>
            <w:tcW w:w="1103" w:type="dxa"/>
            <w:gridSpan w:val="2"/>
            <w:tcBorders>
              <w:top w:val="double" w:sz="6" w:space="0" w:color="000000"/>
              <w:bottom w:val="single" w:sz="12" w:space="0" w:color="000000"/>
            </w:tcBorders>
          </w:tcPr>
          <w:p>
            <w:pPr>
              <w:pStyle w:val="TableParagraph"/>
              <w:rPr>
                <w:sz w:val="16"/>
              </w:rPr>
            </w:pPr>
          </w:p>
        </w:tc>
        <w:tc>
          <w:tcPr>
            <w:tcW w:w="592" w:type="dxa"/>
            <w:tcBorders>
              <w:top w:val="double" w:sz="6" w:space="0" w:color="000000"/>
              <w:bottom w:val="single" w:sz="12" w:space="0" w:color="000000"/>
            </w:tcBorders>
          </w:tcPr>
          <w:p>
            <w:pPr>
              <w:pStyle w:val="TableParagraph"/>
              <w:rPr>
                <w:sz w:val="16"/>
              </w:rPr>
            </w:pPr>
          </w:p>
        </w:tc>
      </w:tr>
      <w:tr>
        <w:trPr>
          <w:trHeight w:val="214" w:hRule="atLeast"/>
        </w:trPr>
        <w:tc>
          <w:tcPr>
            <w:tcW w:w="8191" w:type="dxa"/>
            <w:tcBorders>
              <w:top w:val="single" w:sz="12" w:space="0" w:color="000000"/>
            </w:tcBorders>
          </w:tcPr>
          <w:p>
            <w:pPr>
              <w:pStyle w:val="TableParagraph"/>
              <w:rPr>
                <w:sz w:val="14"/>
              </w:rPr>
            </w:pPr>
          </w:p>
        </w:tc>
        <w:tc>
          <w:tcPr>
            <w:tcW w:w="141" w:type="dxa"/>
            <w:tcBorders>
              <w:top w:val="single" w:sz="12" w:space="0" w:color="000000"/>
            </w:tcBorders>
          </w:tcPr>
          <w:p>
            <w:pPr>
              <w:pStyle w:val="TableParagraph"/>
              <w:rPr>
                <w:sz w:val="14"/>
              </w:rPr>
            </w:pPr>
          </w:p>
        </w:tc>
        <w:tc>
          <w:tcPr>
            <w:tcW w:w="875" w:type="dxa"/>
            <w:tcBorders>
              <w:top w:val="single" w:sz="12" w:space="0" w:color="000000"/>
            </w:tcBorders>
          </w:tcPr>
          <w:p>
            <w:pPr>
              <w:pStyle w:val="TableParagraph"/>
              <w:spacing w:before="1"/>
              <w:ind w:right="117"/>
              <w:jc w:val="right"/>
              <w:rPr>
                <w:sz w:val="16"/>
              </w:rPr>
            </w:pPr>
            <w:r>
              <w:rPr>
                <w:spacing w:val="-2"/>
                <w:w w:val="105"/>
                <w:sz w:val="16"/>
              </w:rPr>
              <w:t>Expiration</w:t>
            </w:r>
          </w:p>
        </w:tc>
        <w:tc>
          <w:tcPr>
            <w:tcW w:w="619" w:type="dxa"/>
            <w:tcBorders>
              <w:top w:val="single" w:sz="12" w:space="0" w:color="000000"/>
            </w:tcBorders>
          </w:tcPr>
          <w:p>
            <w:pPr>
              <w:pStyle w:val="TableParagraph"/>
              <w:rPr>
                <w:sz w:val="14"/>
              </w:rPr>
            </w:pPr>
          </w:p>
        </w:tc>
        <w:tc>
          <w:tcPr>
            <w:tcW w:w="1103" w:type="dxa"/>
            <w:gridSpan w:val="2"/>
            <w:tcBorders>
              <w:top w:val="single" w:sz="12" w:space="0" w:color="000000"/>
            </w:tcBorders>
          </w:tcPr>
          <w:p>
            <w:pPr>
              <w:pStyle w:val="TableParagraph"/>
              <w:rPr>
                <w:sz w:val="14"/>
              </w:rPr>
            </w:pPr>
          </w:p>
        </w:tc>
        <w:tc>
          <w:tcPr>
            <w:tcW w:w="592" w:type="dxa"/>
            <w:tcBorders>
              <w:top w:val="single" w:sz="12" w:space="0" w:color="000000"/>
            </w:tcBorders>
          </w:tcPr>
          <w:p>
            <w:pPr>
              <w:pStyle w:val="TableParagraph"/>
              <w:rPr>
                <w:sz w:val="14"/>
              </w:rPr>
            </w:pPr>
          </w:p>
        </w:tc>
      </w:tr>
    </w:tbl>
    <w:p>
      <w:pPr>
        <w:spacing w:after="0"/>
        <w:rPr>
          <w:sz w:val="14"/>
        </w:rPr>
        <w:sectPr>
          <w:pgSz w:w="12240" w:h="15840"/>
          <w:pgMar w:header="428" w:footer="0" w:top="620" w:bottom="280" w:left="200" w:right="260"/>
        </w:sectPr>
      </w:pPr>
    </w:p>
    <w:p>
      <w:pPr>
        <w:pStyle w:val="BodyText"/>
        <w:spacing w:before="38"/>
      </w:pPr>
    </w:p>
    <w:p>
      <w:pPr>
        <w:pStyle w:val="Heading2"/>
        <w:numPr>
          <w:ilvl w:val="0"/>
          <w:numId w:val="44"/>
        </w:numPr>
        <w:tabs>
          <w:tab w:pos="362" w:val="left" w:leader="none"/>
        </w:tabs>
        <w:spacing w:line="240" w:lineRule="auto" w:before="0" w:after="0"/>
        <w:ind w:left="362" w:right="0" w:hanging="206"/>
        <w:jc w:val="left"/>
      </w:pPr>
      <w:r>
        <w:rPr>
          <w:spacing w:val="-2"/>
          <w:w w:val="105"/>
        </w:rPr>
        <w:t>Income Taxes</w:t>
      </w:r>
      <w:r>
        <w:rPr>
          <w:spacing w:val="-1"/>
          <w:w w:val="105"/>
        </w:rPr>
        <w:t> </w:t>
      </w:r>
      <w:r>
        <w:rPr>
          <w:spacing w:val="-2"/>
          <w:w w:val="105"/>
        </w:rPr>
        <w:t>(Continued)</w:t>
      </w:r>
    </w:p>
    <w:p>
      <w:pPr>
        <w:pStyle w:val="BodyText"/>
        <w:spacing w:before="40"/>
        <w:rPr>
          <w:b/>
        </w:rPr>
      </w:pPr>
    </w:p>
    <w:p>
      <w:pPr>
        <w:pStyle w:val="BodyText"/>
        <w:ind w:left="156"/>
      </w:pPr>
      <w:r>
        <w:rPr>
          <w:w w:val="105"/>
        </w:rPr>
        <w:t>The</w:t>
      </w:r>
      <w:r>
        <w:rPr>
          <w:spacing w:val="-9"/>
          <w:w w:val="105"/>
        </w:rPr>
        <w:t> </w:t>
      </w:r>
      <w:r>
        <w:rPr>
          <w:w w:val="105"/>
        </w:rPr>
        <w:t>following</w:t>
      </w:r>
      <w:r>
        <w:rPr>
          <w:spacing w:val="-8"/>
          <w:w w:val="105"/>
        </w:rPr>
        <w:t> </w:t>
      </w:r>
      <w:r>
        <w:rPr>
          <w:w w:val="105"/>
        </w:rPr>
        <w:t>is</w:t>
      </w:r>
      <w:r>
        <w:rPr>
          <w:spacing w:val="-9"/>
          <w:w w:val="105"/>
        </w:rPr>
        <w:t> </w:t>
      </w:r>
      <w:r>
        <w:rPr>
          <w:w w:val="105"/>
        </w:rPr>
        <w:t>a</w:t>
      </w:r>
      <w:r>
        <w:rPr>
          <w:spacing w:val="-10"/>
          <w:w w:val="105"/>
        </w:rPr>
        <w:t> </w:t>
      </w:r>
      <w:r>
        <w:rPr>
          <w:w w:val="105"/>
        </w:rPr>
        <w:t>tabular</w:t>
      </w:r>
      <w:r>
        <w:rPr>
          <w:spacing w:val="-8"/>
          <w:w w:val="105"/>
        </w:rPr>
        <w:t> </w:t>
      </w:r>
      <w:r>
        <w:rPr>
          <w:w w:val="105"/>
        </w:rPr>
        <w:t>reconciliation</w:t>
      </w:r>
      <w:r>
        <w:rPr>
          <w:spacing w:val="-9"/>
          <w:w w:val="105"/>
        </w:rPr>
        <w:t> </w:t>
      </w:r>
      <w:r>
        <w:rPr>
          <w:w w:val="105"/>
        </w:rPr>
        <w:t>of</w:t>
      </w:r>
      <w:r>
        <w:rPr>
          <w:spacing w:val="-8"/>
          <w:w w:val="105"/>
        </w:rPr>
        <w:t> </w:t>
      </w:r>
      <w:r>
        <w:rPr>
          <w:w w:val="105"/>
        </w:rPr>
        <w:t>the</w:t>
      </w:r>
      <w:r>
        <w:rPr>
          <w:spacing w:val="-8"/>
          <w:w w:val="105"/>
        </w:rPr>
        <w:t> </w:t>
      </w:r>
      <w:r>
        <w:rPr>
          <w:w w:val="105"/>
        </w:rPr>
        <w:t>total</w:t>
      </w:r>
      <w:r>
        <w:rPr>
          <w:spacing w:val="-9"/>
          <w:w w:val="105"/>
        </w:rPr>
        <w:t> </w:t>
      </w:r>
      <w:r>
        <w:rPr>
          <w:w w:val="105"/>
        </w:rPr>
        <w:t>amount</w:t>
      </w:r>
      <w:r>
        <w:rPr>
          <w:spacing w:val="-8"/>
          <w:w w:val="105"/>
        </w:rPr>
        <w:t> </w:t>
      </w:r>
      <w:r>
        <w:rPr>
          <w:w w:val="105"/>
        </w:rPr>
        <w:t>of</w:t>
      </w:r>
      <w:r>
        <w:rPr>
          <w:spacing w:val="-9"/>
          <w:w w:val="105"/>
        </w:rPr>
        <w:t> </w:t>
      </w:r>
      <w:r>
        <w:rPr>
          <w:w w:val="105"/>
        </w:rPr>
        <w:t>unrecognized</w:t>
      </w:r>
      <w:r>
        <w:rPr>
          <w:spacing w:val="-8"/>
          <w:w w:val="105"/>
        </w:rPr>
        <w:t> </w:t>
      </w:r>
      <w:r>
        <w:rPr>
          <w:w w:val="105"/>
        </w:rPr>
        <w:t>tax</w:t>
      </w:r>
      <w:r>
        <w:rPr>
          <w:spacing w:val="-8"/>
          <w:w w:val="105"/>
        </w:rPr>
        <w:t> </w:t>
      </w:r>
      <w:r>
        <w:rPr>
          <w:w w:val="105"/>
        </w:rPr>
        <w:t>benefits</w:t>
      </w:r>
      <w:r>
        <w:rPr>
          <w:spacing w:val="-9"/>
          <w:w w:val="105"/>
        </w:rPr>
        <w:t> </w:t>
      </w:r>
      <w:r>
        <w:rPr>
          <w:w w:val="105"/>
        </w:rPr>
        <w:t>(in</w:t>
      </w:r>
      <w:r>
        <w:rPr>
          <w:spacing w:val="-8"/>
          <w:w w:val="105"/>
        </w:rPr>
        <w:t> </w:t>
      </w:r>
      <w:r>
        <w:rPr>
          <w:spacing w:val="-2"/>
          <w:w w:val="105"/>
        </w:rPr>
        <w:t>millions):</w:t>
      </w:r>
    </w:p>
    <w:p>
      <w:pPr>
        <w:pStyle w:val="BodyText"/>
        <w:spacing w:before="3"/>
        <w:rPr>
          <w:sz w:val="2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9"/>
        <w:gridCol w:w="2359"/>
        <w:gridCol w:w="556"/>
        <w:gridCol w:w="1163"/>
        <w:gridCol w:w="556"/>
        <w:gridCol w:w="1136"/>
        <w:gridCol w:w="557"/>
      </w:tblGrid>
      <w:tr>
        <w:trPr>
          <w:trHeight w:val="200" w:hRule="atLeast"/>
        </w:trPr>
        <w:tc>
          <w:tcPr>
            <w:tcW w:w="5189" w:type="dxa"/>
            <w:tcBorders>
              <w:top w:val="single" w:sz="12" w:space="0" w:color="000000"/>
              <w:bottom w:val="single" w:sz="6" w:space="0" w:color="000000"/>
            </w:tcBorders>
          </w:tcPr>
          <w:p>
            <w:pPr>
              <w:pStyle w:val="TableParagraph"/>
              <w:rPr>
                <w:sz w:val="12"/>
              </w:rPr>
            </w:pPr>
          </w:p>
        </w:tc>
        <w:tc>
          <w:tcPr>
            <w:tcW w:w="2359" w:type="dxa"/>
            <w:tcBorders>
              <w:top w:val="single" w:sz="12" w:space="0" w:color="000000"/>
              <w:bottom w:val="single" w:sz="6" w:space="0" w:color="000000"/>
            </w:tcBorders>
          </w:tcPr>
          <w:p>
            <w:pPr>
              <w:pStyle w:val="TableParagraph"/>
              <w:spacing w:line="179" w:lineRule="exact" w:before="1"/>
              <w:ind w:right="164"/>
              <w:jc w:val="right"/>
              <w:rPr>
                <w:b/>
                <w:sz w:val="16"/>
              </w:rPr>
            </w:pPr>
            <w:r>
              <w:rPr>
                <w:b/>
                <w:spacing w:val="-4"/>
                <w:w w:val="105"/>
                <w:sz w:val="16"/>
              </w:rPr>
              <w:t>2021</w:t>
            </w:r>
          </w:p>
        </w:tc>
        <w:tc>
          <w:tcPr>
            <w:tcW w:w="556" w:type="dxa"/>
            <w:tcBorders>
              <w:top w:val="single" w:sz="12" w:space="0" w:color="000000"/>
              <w:bottom w:val="single" w:sz="6" w:space="0" w:color="000000"/>
            </w:tcBorders>
          </w:tcPr>
          <w:p>
            <w:pPr>
              <w:pStyle w:val="TableParagraph"/>
              <w:rPr>
                <w:sz w:val="12"/>
              </w:rPr>
            </w:pPr>
          </w:p>
        </w:tc>
        <w:tc>
          <w:tcPr>
            <w:tcW w:w="1163" w:type="dxa"/>
            <w:tcBorders>
              <w:top w:val="single" w:sz="12" w:space="0" w:color="000000"/>
              <w:bottom w:val="single" w:sz="6" w:space="0" w:color="000000"/>
            </w:tcBorders>
          </w:tcPr>
          <w:p>
            <w:pPr>
              <w:pStyle w:val="TableParagraph"/>
              <w:spacing w:line="179" w:lineRule="exact" w:before="1"/>
              <w:ind w:left="666"/>
              <w:rPr>
                <w:sz w:val="16"/>
              </w:rPr>
            </w:pPr>
            <w:r>
              <w:rPr>
                <w:spacing w:val="-4"/>
                <w:w w:val="105"/>
                <w:sz w:val="16"/>
              </w:rPr>
              <w:t>2020</w:t>
            </w:r>
          </w:p>
        </w:tc>
        <w:tc>
          <w:tcPr>
            <w:tcW w:w="556" w:type="dxa"/>
            <w:tcBorders>
              <w:top w:val="single" w:sz="12" w:space="0" w:color="000000"/>
              <w:bottom w:val="single" w:sz="6" w:space="0" w:color="000000"/>
            </w:tcBorders>
          </w:tcPr>
          <w:p>
            <w:pPr>
              <w:pStyle w:val="TableParagraph"/>
              <w:rPr>
                <w:sz w:val="12"/>
              </w:rPr>
            </w:pPr>
          </w:p>
        </w:tc>
        <w:tc>
          <w:tcPr>
            <w:tcW w:w="1136" w:type="dxa"/>
            <w:tcBorders>
              <w:top w:val="single" w:sz="12" w:space="0" w:color="000000"/>
              <w:bottom w:val="single" w:sz="6" w:space="0" w:color="000000"/>
            </w:tcBorders>
          </w:tcPr>
          <w:p>
            <w:pPr>
              <w:pStyle w:val="TableParagraph"/>
              <w:spacing w:line="179" w:lineRule="exact" w:before="1"/>
              <w:ind w:left="667"/>
              <w:rPr>
                <w:sz w:val="16"/>
              </w:rPr>
            </w:pPr>
            <w:r>
              <w:rPr>
                <w:spacing w:val="-4"/>
                <w:w w:val="105"/>
                <w:sz w:val="16"/>
              </w:rPr>
              <w:t>2019</w:t>
            </w:r>
          </w:p>
        </w:tc>
        <w:tc>
          <w:tcPr>
            <w:tcW w:w="557" w:type="dxa"/>
            <w:tcBorders>
              <w:top w:val="single" w:sz="12" w:space="0" w:color="000000"/>
              <w:bottom w:val="single" w:sz="6" w:space="0" w:color="000000"/>
            </w:tcBorders>
          </w:tcPr>
          <w:p>
            <w:pPr>
              <w:pStyle w:val="TableParagraph"/>
              <w:rPr>
                <w:sz w:val="12"/>
              </w:rPr>
            </w:pPr>
          </w:p>
        </w:tc>
      </w:tr>
      <w:tr>
        <w:trPr>
          <w:trHeight w:val="202" w:hRule="atLeast"/>
        </w:trPr>
        <w:tc>
          <w:tcPr>
            <w:tcW w:w="5189" w:type="dxa"/>
            <w:tcBorders>
              <w:top w:val="single" w:sz="6" w:space="0" w:color="000000"/>
            </w:tcBorders>
            <w:shd w:val="clear" w:color="auto" w:fill="CCEDFF"/>
          </w:tcPr>
          <w:p>
            <w:pPr>
              <w:pStyle w:val="TableParagraph"/>
              <w:spacing w:line="180" w:lineRule="exact" w:before="2"/>
              <w:rPr>
                <w:sz w:val="16"/>
              </w:rPr>
            </w:pPr>
            <w:r>
              <w:rPr>
                <w:w w:val="105"/>
                <w:sz w:val="16"/>
              </w:rPr>
              <w:t>Balance</w:t>
            </w:r>
            <w:r>
              <w:rPr>
                <w:spacing w:val="-9"/>
                <w:w w:val="105"/>
                <w:sz w:val="16"/>
              </w:rPr>
              <w:t> </w:t>
            </w:r>
            <w:r>
              <w:rPr>
                <w:w w:val="105"/>
                <w:sz w:val="16"/>
              </w:rPr>
              <w:t>at</w:t>
            </w:r>
            <w:r>
              <w:rPr>
                <w:spacing w:val="-9"/>
                <w:w w:val="105"/>
                <w:sz w:val="16"/>
              </w:rPr>
              <w:t> </w:t>
            </w:r>
            <w:r>
              <w:rPr>
                <w:w w:val="105"/>
                <w:sz w:val="16"/>
              </w:rPr>
              <w:t>January</w:t>
            </w:r>
            <w:r>
              <w:rPr>
                <w:spacing w:val="-8"/>
                <w:w w:val="105"/>
                <w:sz w:val="16"/>
              </w:rPr>
              <w:t> </w:t>
            </w:r>
            <w:r>
              <w:rPr>
                <w:spacing w:val="-10"/>
                <w:w w:val="105"/>
                <w:sz w:val="16"/>
              </w:rPr>
              <w:t>1</w:t>
            </w:r>
          </w:p>
        </w:tc>
        <w:tc>
          <w:tcPr>
            <w:tcW w:w="2359" w:type="dxa"/>
            <w:tcBorders>
              <w:top w:val="single" w:sz="6" w:space="0" w:color="000000"/>
            </w:tcBorders>
            <w:shd w:val="clear" w:color="auto" w:fill="CCEDFF"/>
          </w:tcPr>
          <w:p>
            <w:pPr>
              <w:pStyle w:val="TableParagraph"/>
              <w:spacing w:line="180" w:lineRule="exact" w:before="2"/>
              <w:ind w:left="1282"/>
              <w:rPr>
                <w:b/>
                <w:sz w:val="16"/>
              </w:rPr>
            </w:pPr>
            <w:r>
              <w:rPr>
                <w:b/>
                <w:spacing w:val="-10"/>
                <w:w w:val="105"/>
                <w:sz w:val="16"/>
              </w:rPr>
              <w:t>$</w:t>
            </w:r>
          </w:p>
        </w:tc>
        <w:tc>
          <w:tcPr>
            <w:tcW w:w="556" w:type="dxa"/>
            <w:tcBorders>
              <w:top w:val="single" w:sz="6" w:space="0" w:color="000000"/>
            </w:tcBorders>
            <w:shd w:val="clear" w:color="auto" w:fill="CCEDFF"/>
          </w:tcPr>
          <w:p>
            <w:pPr>
              <w:pStyle w:val="TableParagraph"/>
              <w:spacing w:line="180" w:lineRule="exact" w:before="2"/>
              <w:ind w:left="165"/>
              <w:rPr>
                <w:b/>
                <w:sz w:val="16"/>
              </w:rPr>
            </w:pPr>
            <w:r>
              <w:rPr>
                <w:b/>
                <w:spacing w:val="-5"/>
                <w:w w:val="105"/>
                <w:sz w:val="16"/>
              </w:rPr>
              <w:t>131</w:t>
            </w:r>
          </w:p>
        </w:tc>
        <w:tc>
          <w:tcPr>
            <w:tcW w:w="1163" w:type="dxa"/>
            <w:tcBorders>
              <w:top w:val="single" w:sz="6" w:space="0" w:color="000000"/>
            </w:tcBorders>
            <w:shd w:val="clear" w:color="auto" w:fill="CCEDFF"/>
          </w:tcPr>
          <w:p>
            <w:pPr>
              <w:pStyle w:val="TableParagraph"/>
              <w:spacing w:line="180" w:lineRule="exact" w:before="2"/>
              <w:ind w:left="86"/>
              <w:rPr>
                <w:sz w:val="16"/>
              </w:rPr>
            </w:pPr>
            <w:r>
              <w:rPr>
                <w:spacing w:val="-10"/>
                <w:w w:val="105"/>
                <w:sz w:val="16"/>
              </w:rPr>
              <w:t>$</w:t>
            </w:r>
          </w:p>
        </w:tc>
        <w:tc>
          <w:tcPr>
            <w:tcW w:w="556" w:type="dxa"/>
            <w:tcBorders>
              <w:top w:val="single" w:sz="6" w:space="0" w:color="000000"/>
            </w:tcBorders>
            <w:shd w:val="clear" w:color="auto" w:fill="CCEDFF"/>
          </w:tcPr>
          <w:p>
            <w:pPr>
              <w:pStyle w:val="TableParagraph"/>
              <w:spacing w:line="180" w:lineRule="exact" w:before="2"/>
              <w:ind w:left="106"/>
              <w:jc w:val="center"/>
              <w:rPr>
                <w:sz w:val="16"/>
              </w:rPr>
            </w:pPr>
            <w:r>
              <w:rPr>
                <w:spacing w:val="-5"/>
                <w:w w:val="105"/>
                <w:sz w:val="16"/>
              </w:rPr>
              <w:t>62</w:t>
            </w:r>
          </w:p>
        </w:tc>
        <w:tc>
          <w:tcPr>
            <w:tcW w:w="1136" w:type="dxa"/>
            <w:tcBorders>
              <w:top w:val="single" w:sz="6" w:space="0" w:color="000000"/>
            </w:tcBorders>
            <w:shd w:val="clear" w:color="auto" w:fill="CCEDFF"/>
          </w:tcPr>
          <w:p>
            <w:pPr>
              <w:pStyle w:val="TableParagraph"/>
              <w:spacing w:line="180" w:lineRule="exact" w:before="2"/>
              <w:ind w:left="87"/>
              <w:rPr>
                <w:sz w:val="16"/>
              </w:rPr>
            </w:pPr>
            <w:r>
              <w:rPr>
                <w:spacing w:val="-10"/>
                <w:w w:val="105"/>
                <w:sz w:val="16"/>
              </w:rPr>
              <w:t>$</w:t>
            </w:r>
          </w:p>
        </w:tc>
        <w:tc>
          <w:tcPr>
            <w:tcW w:w="557" w:type="dxa"/>
            <w:tcBorders>
              <w:top w:val="single" w:sz="6" w:space="0" w:color="000000"/>
            </w:tcBorders>
            <w:shd w:val="clear" w:color="auto" w:fill="CCEDFF"/>
          </w:tcPr>
          <w:p>
            <w:pPr>
              <w:pStyle w:val="TableParagraph"/>
              <w:spacing w:line="180" w:lineRule="exact" w:before="2"/>
              <w:ind w:left="193"/>
              <w:rPr>
                <w:sz w:val="16"/>
              </w:rPr>
            </w:pPr>
            <w:r>
              <w:rPr>
                <w:spacing w:val="-5"/>
                <w:w w:val="105"/>
                <w:sz w:val="16"/>
              </w:rPr>
              <w:t>435</w:t>
            </w:r>
          </w:p>
        </w:tc>
      </w:tr>
      <w:tr>
        <w:trPr>
          <w:trHeight w:val="203" w:hRule="atLeast"/>
        </w:trPr>
        <w:tc>
          <w:tcPr>
            <w:tcW w:w="5189" w:type="dxa"/>
          </w:tcPr>
          <w:p>
            <w:pPr>
              <w:pStyle w:val="TableParagraph"/>
              <w:spacing w:line="180" w:lineRule="exact" w:before="3"/>
              <w:rPr>
                <w:sz w:val="16"/>
              </w:rPr>
            </w:pPr>
            <w:r>
              <w:rPr>
                <w:w w:val="105"/>
                <w:sz w:val="16"/>
              </w:rPr>
              <w:t>Additions</w:t>
            </w:r>
            <w:r>
              <w:rPr>
                <w:spacing w:val="-10"/>
                <w:w w:val="105"/>
                <w:sz w:val="16"/>
              </w:rPr>
              <w:t> </w:t>
            </w:r>
            <w:r>
              <w:rPr>
                <w:w w:val="105"/>
                <w:sz w:val="16"/>
              </w:rPr>
              <w:t>based</w:t>
            </w:r>
            <w:r>
              <w:rPr>
                <w:spacing w:val="-10"/>
                <w:w w:val="105"/>
                <w:sz w:val="16"/>
              </w:rPr>
              <w:t> </w:t>
            </w:r>
            <w:r>
              <w:rPr>
                <w:w w:val="105"/>
                <w:sz w:val="16"/>
              </w:rPr>
              <w:t>on</w:t>
            </w:r>
            <w:r>
              <w:rPr>
                <w:spacing w:val="-9"/>
                <w:w w:val="105"/>
                <w:sz w:val="16"/>
              </w:rPr>
              <w:t> </w:t>
            </w:r>
            <w:r>
              <w:rPr>
                <w:w w:val="105"/>
                <w:sz w:val="16"/>
              </w:rPr>
              <w:t>tax</w:t>
            </w:r>
            <w:r>
              <w:rPr>
                <w:spacing w:val="-10"/>
                <w:w w:val="105"/>
                <w:sz w:val="16"/>
              </w:rPr>
              <w:t> </w:t>
            </w:r>
            <w:r>
              <w:rPr>
                <w:w w:val="105"/>
                <w:sz w:val="16"/>
              </w:rPr>
              <w:t>positions</w:t>
            </w:r>
            <w:r>
              <w:rPr>
                <w:spacing w:val="-9"/>
                <w:w w:val="105"/>
                <w:sz w:val="16"/>
              </w:rPr>
              <w:t> </w:t>
            </w:r>
            <w:r>
              <w:rPr>
                <w:w w:val="105"/>
                <w:sz w:val="16"/>
              </w:rPr>
              <w:t>related</w:t>
            </w:r>
            <w:r>
              <w:rPr>
                <w:spacing w:val="-10"/>
                <w:w w:val="105"/>
                <w:sz w:val="16"/>
              </w:rPr>
              <w:t> </w:t>
            </w:r>
            <w:r>
              <w:rPr>
                <w:w w:val="105"/>
                <w:sz w:val="16"/>
              </w:rPr>
              <w:t>to</w:t>
            </w:r>
            <w:r>
              <w:rPr>
                <w:spacing w:val="-9"/>
                <w:w w:val="105"/>
                <w:sz w:val="16"/>
              </w:rPr>
              <w:t> </w:t>
            </w:r>
            <w:r>
              <w:rPr>
                <w:w w:val="105"/>
                <w:sz w:val="16"/>
              </w:rPr>
              <w:t>the</w:t>
            </w:r>
            <w:r>
              <w:rPr>
                <w:spacing w:val="-10"/>
                <w:w w:val="105"/>
                <w:sz w:val="16"/>
              </w:rPr>
              <w:t> </w:t>
            </w:r>
            <w:r>
              <w:rPr>
                <w:w w:val="105"/>
                <w:sz w:val="16"/>
              </w:rPr>
              <w:t>current</w:t>
            </w:r>
            <w:r>
              <w:rPr>
                <w:spacing w:val="-9"/>
                <w:w w:val="105"/>
                <w:sz w:val="16"/>
              </w:rPr>
              <w:t> </w:t>
            </w:r>
            <w:r>
              <w:rPr>
                <w:spacing w:val="-4"/>
                <w:w w:val="105"/>
                <w:sz w:val="16"/>
              </w:rPr>
              <w:t>year</w:t>
            </w:r>
          </w:p>
        </w:tc>
        <w:tc>
          <w:tcPr>
            <w:tcW w:w="2359" w:type="dxa"/>
          </w:tcPr>
          <w:p>
            <w:pPr>
              <w:pStyle w:val="TableParagraph"/>
              <w:rPr>
                <w:sz w:val="14"/>
              </w:rPr>
            </w:pPr>
          </w:p>
        </w:tc>
        <w:tc>
          <w:tcPr>
            <w:tcW w:w="556" w:type="dxa"/>
          </w:tcPr>
          <w:p>
            <w:pPr>
              <w:pStyle w:val="TableParagraph"/>
              <w:spacing w:line="180" w:lineRule="exact" w:before="3"/>
              <w:ind w:left="247"/>
              <w:rPr>
                <w:b/>
                <w:sz w:val="16"/>
              </w:rPr>
            </w:pPr>
            <w:r>
              <w:rPr>
                <w:b/>
                <w:spacing w:val="-5"/>
                <w:w w:val="105"/>
                <w:sz w:val="16"/>
              </w:rPr>
              <w:t>54</w:t>
            </w:r>
          </w:p>
        </w:tc>
        <w:tc>
          <w:tcPr>
            <w:tcW w:w="1163" w:type="dxa"/>
          </w:tcPr>
          <w:p>
            <w:pPr>
              <w:pStyle w:val="TableParagraph"/>
              <w:rPr>
                <w:sz w:val="14"/>
              </w:rPr>
            </w:pPr>
          </w:p>
        </w:tc>
        <w:tc>
          <w:tcPr>
            <w:tcW w:w="556" w:type="dxa"/>
          </w:tcPr>
          <w:p>
            <w:pPr>
              <w:pStyle w:val="TableParagraph"/>
              <w:spacing w:line="180" w:lineRule="exact" w:before="3"/>
              <w:ind w:left="106"/>
              <w:jc w:val="center"/>
              <w:rPr>
                <w:sz w:val="16"/>
              </w:rPr>
            </w:pPr>
            <w:r>
              <w:rPr>
                <w:spacing w:val="-5"/>
                <w:w w:val="105"/>
                <w:sz w:val="16"/>
              </w:rPr>
              <w:t>19</w:t>
            </w:r>
          </w:p>
        </w:tc>
        <w:tc>
          <w:tcPr>
            <w:tcW w:w="1136" w:type="dxa"/>
          </w:tcPr>
          <w:p>
            <w:pPr>
              <w:pStyle w:val="TableParagraph"/>
              <w:rPr>
                <w:sz w:val="14"/>
              </w:rPr>
            </w:pPr>
          </w:p>
        </w:tc>
        <w:tc>
          <w:tcPr>
            <w:tcW w:w="557" w:type="dxa"/>
          </w:tcPr>
          <w:p>
            <w:pPr>
              <w:pStyle w:val="TableParagraph"/>
              <w:spacing w:line="180" w:lineRule="exact" w:before="3"/>
              <w:ind w:left="-12034" w:right="113"/>
              <w:jc w:val="right"/>
              <w:rPr>
                <w:sz w:val="16"/>
              </w:rPr>
            </w:pPr>
            <w:r>
              <w:rPr>
                <w:spacing w:val="-10"/>
                <w:w w:val="105"/>
                <w:sz w:val="16"/>
              </w:rPr>
              <w:t>3</w:t>
            </w:r>
          </w:p>
        </w:tc>
      </w:tr>
      <w:tr>
        <w:trPr>
          <w:trHeight w:val="203" w:hRule="atLeast"/>
        </w:trPr>
        <w:tc>
          <w:tcPr>
            <w:tcW w:w="5189" w:type="dxa"/>
            <w:shd w:val="clear" w:color="auto" w:fill="CCEDFF"/>
          </w:tcPr>
          <w:p>
            <w:pPr>
              <w:pStyle w:val="TableParagraph"/>
              <w:spacing w:line="180" w:lineRule="exact" w:before="3"/>
              <w:rPr>
                <w:sz w:val="16"/>
              </w:rPr>
            </w:pPr>
            <w:r>
              <w:rPr>
                <w:w w:val="105"/>
                <w:sz w:val="16"/>
              </w:rPr>
              <w:t>Additions</w:t>
            </w:r>
            <w:r>
              <w:rPr>
                <w:spacing w:val="-11"/>
                <w:w w:val="105"/>
                <w:sz w:val="16"/>
              </w:rPr>
              <w:t> </w:t>
            </w:r>
            <w:r>
              <w:rPr>
                <w:w w:val="105"/>
                <w:sz w:val="16"/>
              </w:rPr>
              <w:t>for</w:t>
            </w:r>
            <w:r>
              <w:rPr>
                <w:spacing w:val="-10"/>
                <w:w w:val="105"/>
                <w:sz w:val="16"/>
              </w:rPr>
              <w:t> </w:t>
            </w:r>
            <w:r>
              <w:rPr>
                <w:w w:val="105"/>
                <w:sz w:val="16"/>
              </w:rPr>
              <w:t>tax</w:t>
            </w:r>
            <w:r>
              <w:rPr>
                <w:spacing w:val="-10"/>
                <w:w w:val="105"/>
                <w:sz w:val="16"/>
              </w:rPr>
              <w:t> </w:t>
            </w:r>
            <w:r>
              <w:rPr>
                <w:w w:val="105"/>
                <w:sz w:val="16"/>
              </w:rPr>
              <w:t>positions</w:t>
            </w:r>
            <w:r>
              <w:rPr>
                <w:spacing w:val="-10"/>
                <w:w w:val="105"/>
                <w:sz w:val="16"/>
              </w:rPr>
              <w:t> </w:t>
            </w:r>
            <w:r>
              <w:rPr>
                <w:w w:val="105"/>
                <w:sz w:val="16"/>
              </w:rPr>
              <w:t>of</w:t>
            </w:r>
            <w:r>
              <w:rPr>
                <w:spacing w:val="-10"/>
                <w:w w:val="105"/>
                <w:sz w:val="16"/>
              </w:rPr>
              <w:t> </w:t>
            </w:r>
            <w:r>
              <w:rPr>
                <w:w w:val="105"/>
                <w:sz w:val="16"/>
              </w:rPr>
              <w:t>prior</w:t>
            </w:r>
            <w:r>
              <w:rPr>
                <w:spacing w:val="-10"/>
                <w:w w:val="105"/>
                <w:sz w:val="16"/>
              </w:rPr>
              <w:t> </w:t>
            </w:r>
            <w:r>
              <w:rPr>
                <w:spacing w:val="-2"/>
                <w:w w:val="105"/>
                <w:sz w:val="16"/>
              </w:rPr>
              <w:t>years</w:t>
            </w:r>
          </w:p>
        </w:tc>
        <w:tc>
          <w:tcPr>
            <w:tcW w:w="2359" w:type="dxa"/>
            <w:shd w:val="clear" w:color="auto" w:fill="CCEDFF"/>
          </w:tcPr>
          <w:p>
            <w:pPr>
              <w:pStyle w:val="TableParagraph"/>
              <w:rPr>
                <w:sz w:val="14"/>
              </w:rPr>
            </w:pPr>
          </w:p>
        </w:tc>
        <w:tc>
          <w:tcPr>
            <w:tcW w:w="556" w:type="dxa"/>
            <w:shd w:val="clear" w:color="auto" w:fill="CCEDFF"/>
          </w:tcPr>
          <w:p>
            <w:pPr>
              <w:pStyle w:val="TableParagraph"/>
              <w:spacing w:line="180" w:lineRule="exact" w:before="3"/>
              <w:ind w:left="247"/>
              <w:rPr>
                <w:b/>
                <w:sz w:val="16"/>
              </w:rPr>
            </w:pPr>
            <w:r>
              <w:rPr>
                <w:b/>
                <w:spacing w:val="-5"/>
                <w:w w:val="105"/>
                <w:sz w:val="16"/>
              </w:rPr>
              <w:t>17</w:t>
            </w:r>
          </w:p>
        </w:tc>
        <w:tc>
          <w:tcPr>
            <w:tcW w:w="1163" w:type="dxa"/>
            <w:shd w:val="clear" w:color="auto" w:fill="CCEDFF"/>
          </w:tcPr>
          <w:p>
            <w:pPr>
              <w:pStyle w:val="TableParagraph"/>
              <w:rPr>
                <w:sz w:val="14"/>
              </w:rPr>
            </w:pPr>
          </w:p>
        </w:tc>
        <w:tc>
          <w:tcPr>
            <w:tcW w:w="556" w:type="dxa"/>
            <w:shd w:val="clear" w:color="auto" w:fill="CCEDFF"/>
          </w:tcPr>
          <w:p>
            <w:pPr>
              <w:pStyle w:val="TableParagraph"/>
              <w:spacing w:line="180" w:lineRule="exact" w:before="3"/>
              <w:ind w:left="106"/>
              <w:jc w:val="center"/>
              <w:rPr>
                <w:sz w:val="16"/>
              </w:rPr>
            </w:pPr>
            <w:r>
              <w:rPr>
                <w:spacing w:val="-5"/>
                <w:w w:val="105"/>
                <w:sz w:val="16"/>
              </w:rPr>
              <w:t>53</w:t>
            </w:r>
          </w:p>
        </w:tc>
        <w:tc>
          <w:tcPr>
            <w:tcW w:w="1136" w:type="dxa"/>
            <w:shd w:val="clear" w:color="auto" w:fill="CCEDFF"/>
          </w:tcPr>
          <w:p>
            <w:pPr>
              <w:pStyle w:val="TableParagraph"/>
              <w:rPr>
                <w:sz w:val="14"/>
              </w:rPr>
            </w:pPr>
          </w:p>
        </w:tc>
        <w:tc>
          <w:tcPr>
            <w:tcW w:w="557" w:type="dxa"/>
            <w:shd w:val="clear" w:color="auto" w:fill="CCEDFF"/>
          </w:tcPr>
          <w:p>
            <w:pPr>
              <w:pStyle w:val="TableParagraph"/>
              <w:spacing w:line="180" w:lineRule="exact" w:before="3"/>
              <w:ind w:left="-12034" w:right="113"/>
              <w:jc w:val="right"/>
              <w:rPr>
                <w:sz w:val="16"/>
              </w:rPr>
            </w:pPr>
            <w:r>
              <w:rPr>
                <w:spacing w:val="-10"/>
                <w:w w:val="105"/>
                <w:sz w:val="16"/>
              </w:rPr>
              <w:t>2</w:t>
            </w:r>
          </w:p>
        </w:tc>
      </w:tr>
      <w:tr>
        <w:trPr>
          <w:trHeight w:val="203" w:hRule="atLeast"/>
        </w:trPr>
        <w:tc>
          <w:tcPr>
            <w:tcW w:w="5189" w:type="dxa"/>
          </w:tcPr>
          <w:p>
            <w:pPr>
              <w:pStyle w:val="TableParagraph"/>
              <w:spacing w:line="180" w:lineRule="exact" w:before="3"/>
              <w:rPr>
                <w:sz w:val="16"/>
              </w:rPr>
            </w:pPr>
            <w:r>
              <w:rPr>
                <w:spacing w:val="-2"/>
                <w:w w:val="105"/>
                <w:sz w:val="16"/>
              </w:rPr>
              <w:t>Reductions</w:t>
            </w:r>
            <w:r>
              <w:rPr>
                <w:w w:val="105"/>
                <w:sz w:val="16"/>
              </w:rPr>
              <w:t> </w:t>
            </w:r>
            <w:r>
              <w:rPr>
                <w:spacing w:val="-2"/>
                <w:w w:val="105"/>
                <w:sz w:val="16"/>
              </w:rPr>
              <w:t>for</w:t>
            </w:r>
            <w:r>
              <w:rPr>
                <w:w w:val="105"/>
                <w:sz w:val="16"/>
              </w:rPr>
              <w:t> </w:t>
            </w:r>
            <w:r>
              <w:rPr>
                <w:spacing w:val="-2"/>
                <w:w w:val="105"/>
                <w:sz w:val="16"/>
              </w:rPr>
              <w:t>tax</w:t>
            </w:r>
            <w:r>
              <w:rPr>
                <w:w w:val="105"/>
                <w:sz w:val="16"/>
              </w:rPr>
              <w:t> </w:t>
            </w:r>
            <w:r>
              <w:rPr>
                <w:spacing w:val="-2"/>
                <w:w w:val="105"/>
                <w:sz w:val="16"/>
              </w:rPr>
              <w:t>positions</w:t>
            </w:r>
            <w:r>
              <w:rPr>
                <w:w w:val="105"/>
                <w:sz w:val="16"/>
              </w:rPr>
              <w:t> </w:t>
            </w:r>
            <w:r>
              <w:rPr>
                <w:spacing w:val="-2"/>
                <w:w w:val="105"/>
                <w:sz w:val="16"/>
              </w:rPr>
              <w:t>of</w:t>
            </w:r>
            <w:r>
              <w:rPr>
                <w:w w:val="105"/>
                <w:sz w:val="16"/>
              </w:rPr>
              <w:t> </w:t>
            </w:r>
            <w:r>
              <w:rPr>
                <w:spacing w:val="-2"/>
                <w:w w:val="105"/>
                <w:sz w:val="16"/>
              </w:rPr>
              <w:t>prior</w:t>
            </w:r>
            <w:r>
              <w:rPr>
                <w:w w:val="105"/>
                <w:sz w:val="16"/>
              </w:rPr>
              <w:t> </w:t>
            </w:r>
            <w:r>
              <w:rPr>
                <w:spacing w:val="-2"/>
                <w:w w:val="105"/>
                <w:sz w:val="16"/>
              </w:rPr>
              <w:t>years</w:t>
            </w:r>
          </w:p>
        </w:tc>
        <w:tc>
          <w:tcPr>
            <w:tcW w:w="2359" w:type="dxa"/>
          </w:tcPr>
          <w:p>
            <w:pPr>
              <w:pStyle w:val="TableParagraph"/>
              <w:rPr>
                <w:sz w:val="14"/>
              </w:rPr>
            </w:pPr>
          </w:p>
        </w:tc>
        <w:tc>
          <w:tcPr>
            <w:tcW w:w="556" w:type="dxa"/>
          </w:tcPr>
          <w:p>
            <w:pPr>
              <w:pStyle w:val="TableParagraph"/>
              <w:spacing w:line="180" w:lineRule="exact" w:before="3"/>
              <w:ind w:right="85"/>
              <w:jc w:val="right"/>
              <w:rPr>
                <w:b/>
                <w:sz w:val="16"/>
              </w:rPr>
            </w:pPr>
            <w:r>
              <w:rPr>
                <w:b/>
                <w:spacing w:val="-4"/>
                <w:w w:val="105"/>
                <w:sz w:val="16"/>
              </w:rPr>
              <w:t>(21)</w:t>
            </w:r>
          </w:p>
        </w:tc>
        <w:tc>
          <w:tcPr>
            <w:tcW w:w="1163" w:type="dxa"/>
          </w:tcPr>
          <w:p>
            <w:pPr>
              <w:pStyle w:val="TableParagraph"/>
              <w:rPr>
                <w:sz w:val="14"/>
              </w:rPr>
            </w:pPr>
          </w:p>
        </w:tc>
        <w:tc>
          <w:tcPr>
            <w:tcW w:w="556" w:type="dxa"/>
          </w:tcPr>
          <w:p>
            <w:pPr>
              <w:pStyle w:val="TableParagraph"/>
              <w:rPr>
                <w:sz w:val="14"/>
              </w:rPr>
            </w:pPr>
          </w:p>
        </w:tc>
        <w:tc>
          <w:tcPr>
            <w:tcW w:w="1136" w:type="dxa"/>
          </w:tcPr>
          <w:p>
            <w:pPr>
              <w:pStyle w:val="TableParagraph"/>
              <w:rPr>
                <w:sz w:val="14"/>
              </w:rPr>
            </w:pPr>
          </w:p>
        </w:tc>
        <w:tc>
          <w:tcPr>
            <w:tcW w:w="557" w:type="dxa"/>
          </w:tcPr>
          <w:p>
            <w:pPr>
              <w:pStyle w:val="TableParagraph"/>
              <w:rPr>
                <w:sz w:val="14"/>
              </w:rPr>
            </w:pPr>
          </w:p>
        </w:tc>
      </w:tr>
      <w:tr>
        <w:trPr>
          <w:trHeight w:val="202" w:hRule="atLeast"/>
        </w:trPr>
        <w:tc>
          <w:tcPr>
            <w:tcW w:w="5189" w:type="dxa"/>
            <w:tcBorders>
              <w:bottom w:val="single" w:sz="6" w:space="0" w:color="000000"/>
            </w:tcBorders>
            <w:shd w:val="clear" w:color="auto" w:fill="CCEDFF"/>
          </w:tcPr>
          <w:p>
            <w:pPr>
              <w:pStyle w:val="TableParagraph"/>
              <w:spacing w:line="179" w:lineRule="exact" w:before="3"/>
              <w:rPr>
                <w:sz w:val="16"/>
              </w:rPr>
            </w:pPr>
            <w:r>
              <w:rPr>
                <w:w w:val="105"/>
                <w:sz w:val="16"/>
              </w:rPr>
              <w:t>Settlements</w:t>
            </w:r>
            <w:r>
              <w:rPr>
                <w:spacing w:val="-8"/>
                <w:w w:val="105"/>
                <w:sz w:val="16"/>
              </w:rPr>
              <w:t> </w:t>
            </w:r>
            <w:r>
              <w:rPr>
                <w:w w:val="105"/>
                <w:sz w:val="16"/>
              </w:rPr>
              <w:t>and</w:t>
            </w:r>
            <w:r>
              <w:rPr>
                <w:spacing w:val="-8"/>
                <w:w w:val="105"/>
                <w:sz w:val="16"/>
              </w:rPr>
              <w:t> </w:t>
            </w:r>
            <w:r>
              <w:rPr>
                <w:w w:val="105"/>
                <w:sz w:val="16"/>
              </w:rPr>
              <w:t>lapse</w:t>
            </w:r>
            <w:r>
              <w:rPr>
                <w:spacing w:val="-8"/>
                <w:w w:val="105"/>
                <w:sz w:val="16"/>
              </w:rPr>
              <w:t> </w:t>
            </w:r>
            <w:r>
              <w:rPr>
                <w:w w:val="105"/>
                <w:sz w:val="16"/>
              </w:rPr>
              <w:t>of</w:t>
            </w:r>
            <w:r>
              <w:rPr>
                <w:spacing w:val="-9"/>
                <w:w w:val="105"/>
                <w:sz w:val="16"/>
              </w:rPr>
              <w:t> </w:t>
            </w:r>
            <w:r>
              <w:rPr>
                <w:w w:val="105"/>
                <w:sz w:val="16"/>
              </w:rPr>
              <w:t>statute</w:t>
            </w:r>
            <w:r>
              <w:rPr>
                <w:spacing w:val="-8"/>
                <w:w w:val="105"/>
                <w:sz w:val="16"/>
              </w:rPr>
              <w:t> </w:t>
            </w:r>
            <w:r>
              <w:rPr>
                <w:w w:val="105"/>
                <w:sz w:val="16"/>
              </w:rPr>
              <w:t>of</w:t>
            </w:r>
            <w:r>
              <w:rPr>
                <w:spacing w:val="-7"/>
                <w:w w:val="105"/>
                <w:sz w:val="16"/>
              </w:rPr>
              <w:t> </w:t>
            </w:r>
            <w:r>
              <w:rPr>
                <w:spacing w:val="-2"/>
                <w:w w:val="105"/>
                <w:sz w:val="16"/>
              </w:rPr>
              <w:t>limitations</w:t>
            </w:r>
          </w:p>
        </w:tc>
        <w:tc>
          <w:tcPr>
            <w:tcW w:w="2359" w:type="dxa"/>
            <w:tcBorders>
              <w:bottom w:val="single" w:sz="6" w:space="0" w:color="000000"/>
            </w:tcBorders>
            <w:shd w:val="clear" w:color="auto" w:fill="CCEDFF"/>
          </w:tcPr>
          <w:p>
            <w:pPr>
              <w:pStyle w:val="TableParagraph"/>
              <w:rPr>
                <w:sz w:val="14"/>
              </w:rPr>
            </w:pPr>
          </w:p>
        </w:tc>
        <w:tc>
          <w:tcPr>
            <w:tcW w:w="556" w:type="dxa"/>
            <w:tcBorders>
              <w:bottom w:val="single" w:sz="6" w:space="0" w:color="000000"/>
            </w:tcBorders>
            <w:shd w:val="clear" w:color="auto" w:fill="CCEDFF"/>
          </w:tcPr>
          <w:p>
            <w:pPr>
              <w:pStyle w:val="TableParagraph"/>
              <w:spacing w:line="179" w:lineRule="exact" w:before="3"/>
              <w:ind w:right="85"/>
              <w:jc w:val="right"/>
              <w:rPr>
                <w:b/>
                <w:sz w:val="16"/>
              </w:rPr>
            </w:pPr>
            <w:r>
              <w:rPr>
                <w:b/>
                <w:spacing w:val="-5"/>
                <w:w w:val="105"/>
                <w:sz w:val="16"/>
              </w:rPr>
              <w:t>(3)</w:t>
            </w:r>
          </w:p>
        </w:tc>
        <w:tc>
          <w:tcPr>
            <w:tcW w:w="1163" w:type="dxa"/>
            <w:tcBorders>
              <w:bottom w:val="single" w:sz="6" w:space="0" w:color="000000"/>
            </w:tcBorders>
            <w:shd w:val="clear" w:color="auto" w:fill="CCEDFF"/>
          </w:tcPr>
          <w:p>
            <w:pPr>
              <w:pStyle w:val="TableParagraph"/>
              <w:rPr>
                <w:sz w:val="14"/>
              </w:rPr>
            </w:pPr>
          </w:p>
        </w:tc>
        <w:tc>
          <w:tcPr>
            <w:tcW w:w="556" w:type="dxa"/>
            <w:tcBorders>
              <w:bottom w:val="single" w:sz="6" w:space="0" w:color="000000"/>
            </w:tcBorders>
            <w:shd w:val="clear" w:color="auto" w:fill="CCEDFF"/>
          </w:tcPr>
          <w:p>
            <w:pPr>
              <w:pStyle w:val="TableParagraph"/>
              <w:spacing w:line="179" w:lineRule="exact" w:before="3"/>
              <w:ind w:left="189"/>
              <w:jc w:val="center"/>
              <w:rPr>
                <w:sz w:val="16"/>
              </w:rPr>
            </w:pPr>
            <w:r>
              <w:rPr>
                <w:spacing w:val="-5"/>
                <w:w w:val="105"/>
                <w:sz w:val="16"/>
              </w:rPr>
              <w:t>(3)</w:t>
            </w:r>
          </w:p>
        </w:tc>
        <w:tc>
          <w:tcPr>
            <w:tcW w:w="1136" w:type="dxa"/>
            <w:tcBorders>
              <w:bottom w:val="single" w:sz="6" w:space="0" w:color="000000"/>
            </w:tcBorders>
            <w:shd w:val="clear" w:color="auto" w:fill="CCEDFF"/>
          </w:tcPr>
          <w:p>
            <w:pPr>
              <w:pStyle w:val="TableParagraph"/>
              <w:rPr>
                <w:sz w:val="14"/>
              </w:rPr>
            </w:pPr>
          </w:p>
        </w:tc>
        <w:tc>
          <w:tcPr>
            <w:tcW w:w="557" w:type="dxa"/>
            <w:tcBorders>
              <w:bottom w:val="single" w:sz="6" w:space="0" w:color="000000"/>
            </w:tcBorders>
            <w:shd w:val="clear" w:color="auto" w:fill="CCEDFF"/>
          </w:tcPr>
          <w:p>
            <w:pPr>
              <w:pStyle w:val="TableParagraph"/>
              <w:spacing w:line="179" w:lineRule="exact" w:before="3"/>
              <w:ind w:left="-12034" w:right="59"/>
              <w:jc w:val="right"/>
              <w:rPr>
                <w:sz w:val="16"/>
              </w:rPr>
            </w:pPr>
            <w:r>
              <w:rPr>
                <w:spacing w:val="-2"/>
                <w:w w:val="105"/>
                <w:sz w:val="16"/>
              </w:rPr>
              <w:t>(378)</w:t>
            </w:r>
          </w:p>
        </w:tc>
      </w:tr>
      <w:tr>
        <w:trPr>
          <w:trHeight w:val="199" w:hRule="atLeast"/>
        </w:trPr>
        <w:tc>
          <w:tcPr>
            <w:tcW w:w="5189" w:type="dxa"/>
            <w:tcBorders>
              <w:top w:val="single" w:sz="6" w:space="0" w:color="000000"/>
              <w:bottom w:val="double" w:sz="6" w:space="0" w:color="000000"/>
            </w:tcBorders>
          </w:tcPr>
          <w:p>
            <w:pPr>
              <w:pStyle w:val="TableParagraph"/>
              <w:spacing w:line="177" w:lineRule="exact" w:before="2"/>
              <w:rPr>
                <w:sz w:val="16"/>
              </w:rPr>
            </w:pPr>
            <w:r>
              <w:rPr>
                <w:w w:val="105"/>
                <w:sz w:val="16"/>
              </w:rPr>
              <w:t>Balance</w:t>
            </w:r>
            <w:r>
              <w:rPr>
                <w:spacing w:val="-10"/>
                <w:w w:val="105"/>
                <w:sz w:val="16"/>
              </w:rPr>
              <w:t> </w:t>
            </w:r>
            <w:r>
              <w:rPr>
                <w:w w:val="105"/>
                <w:sz w:val="16"/>
              </w:rPr>
              <w:t>at</w:t>
            </w:r>
            <w:r>
              <w:rPr>
                <w:spacing w:val="-10"/>
                <w:w w:val="105"/>
                <w:sz w:val="16"/>
              </w:rPr>
              <w:t> </w:t>
            </w:r>
            <w:r>
              <w:rPr>
                <w:w w:val="105"/>
                <w:sz w:val="16"/>
              </w:rPr>
              <w:t>December</w:t>
            </w:r>
            <w:r>
              <w:rPr>
                <w:spacing w:val="-9"/>
                <w:w w:val="105"/>
                <w:sz w:val="16"/>
              </w:rPr>
              <w:t> </w:t>
            </w:r>
            <w:r>
              <w:rPr>
                <w:spacing w:val="-5"/>
                <w:w w:val="105"/>
                <w:sz w:val="16"/>
              </w:rPr>
              <w:t>31</w:t>
            </w:r>
          </w:p>
        </w:tc>
        <w:tc>
          <w:tcPr>
            <w:tcW w:w="2359" w:type="dxa"/>
            <w:tcBorders>
              <w:top w:val="single" w:sz="6" w:space="0" w:color="000000"/>
              <w:bottom w:val="double" w:sz="6" w:space="0" w:color="000000"/>
            </w:tcBorders>
          </w:tcPr>
          <w:p>
            <w:pPr>
              <w:pStyle w:val="TableParagraph"/>
              <w:spacing w:line="177" w:lineRule="exact" w:before="2"/>
              <w:ind w:left="1282"/>
              <w:rPr>
                <w:b/>
                <w:sz w:val="16"/>
              </w:rPr>
            </w:pPr>
            <w:r>
              <w:rPr>
                <w:b/>
                <w:spacing w:val="-10"/>
                <w:w w:val="105"/>
                <w:sz w:val="16"/>
              </w:rPr>
              <w:t>$</w:t>
            </w:r>
          </w:p>
        </w:tc>
        <w:tc>
          <w:tcPr>
            <w:tcW w:w="556" w:type="dxa"/>
            <w:tcBorders>
              <w:top w:val="single" w:sz="6" w:space="0" w:color="000000"/>
              <w:bottom w:val="double" w:sz="6" w:space="0" w:color="000000"/>
            </w:tcBorders>
          </w:tcPr>
          <w:p>
            <w:pPr>
              <w:pStyle w:val="TableParagraph"/>
              <w:spacing w:line="177" w:lineRule="exact" w:before="2"/>
              <w:ind w:left="165"/>
              <w:rPr>
                <w:b/>
                <w:sz w:val="16"/>
              </w:rPr>
            </w:pPr>
            <w:r>
              <w:rPr>
                <w:b/>
                <w:spacing w:val="-5"/>
                <w:w w:val="105"/>
                <w:sz w:val="16"/>
              </w:rPr>
              <w:t>178</w:t>
            </w:r>
          </w:p>
        </w:tc>
        <w:tc>
          <w:tcPr>
            <w:tcW w:w="1163" w:type="dxa"/>
            <w:tcBorders>
              <w:top w:val="single" w:sz="6" w:space="0" w:color="000000"/>
              <w:bottom w:val="double" w:sz="6" w:space="0" w:color="000000"/>
            </w:tcBorders>
          </w:tcPr>
          <w:p>
            <w:pPr>
              <w:pStyle w:val="TableParagraph"/>
              <w:spacing w:line="177" w:lineRule="exact" w:before="2"/>
              <w:ind w:left="86"/>
              <w:rPr>
                <w:sz w:val="16"/>
              </w:rPr>
            </w:pPr>
            <w:r>
              <w:rPr>
                <w:spacing w:val="-10"/>
                <w:w w:val="105"/>
                <w:sz w:val="16"/>
              </w:rPr>
              <w:t>$</w:t>
            </w:r>
          </w:p>
        </w:tc>
        <w:tc>
          <w:tcPr>
            <w:tcW w:w="556" w:type="dxa"/>
            <w:tcBorders>
              <w:top w:val="single" w:sz="6" w:space="0" w:color="000000"/>
              <w:bottom w:val="double" w:sz="6" w:space="0" w:color="000000"/>
            </w:tcBorders>
          </w:tcPr>
          <w:p>
            <w:pPr>
              <w:pStyle w:val="TableParagraph"/>
              <w:spacing w:line="177" w:lineRule="exact" w:before="2"/>
              <w:ind w:left="23"/>
              <w:jc w:val="center"/>
              <w:rPr>
                <w:sz w:val="16"/>
              </w:rPr>
            </w:pPr>
            <w:r>
              <w:rPr>
                <w:spacing w:val="-5"/>
                <w:w w:val="105"/>
                <w:sz w:val="16"/>
              </w:rPr>
              <w:t>131</w:t>
            </w:r>
          </w:p>
        </w:tc>
        <w:tc>
          <w:tcPr>
            <w:tcW w:w="1136" w:type="dxa"/>
            <w:tcBorders>
              <w:top w:val="single" w:sz="6" w:space="0" w:color="000000"/>
              <w:bottom w:val="double" w:sz="6" w:space="0" w:color="000000"/>
            </w:tcBorders>
          </w:tcPr>
          <w:p>
            <w:pPr>
              <w:pStyle w:val="TableParagraph"/>
              <w:spacing w:line="177" w:lineRule="exact" w:before="2"/>
              <w:ind w:left="87"/>
              <w:rPr>
                <w:sz w:val="16"/>
              </w:rPr>
            </w:pPr>
            <w:r>
              <w:rPr>
                <w:spacing w:val="-10"/>
                <w:w w:val="105"/>
                <w:sz w:val="16"/>
              </w:rPr>
              <w:t>$</w:t>
            </w:r>
          </w:p>
        </w:tc>
        <w:tc>
          <w:tcPr>
            <w:tcW w:w="557" w:type="dxa"/>
            <w:tcBorders>
              <w:top w:val="single" w:sz="6" w:space="0" w:color="000000"/>
              <w:bottom w:val="double" w:sz="6" w:space="0" w:color="000000"/>
            </w:tcBorders>
          </w:tcPr>
          <w:p>
            <w:pPr>
              <w:pStyle w:val="TableParagraph"/>
              <w:spacing w:line="177" w:lineRule="exact" w:before="2"/>
              <w:ind w:left="276"/>
              <w:rPr>
                <w:sz w:val="16"/>
              </w:rPr>
            </w:pPr>
            <w:r>
              <w:rPr>
                <w:spacing w:val="-5"/>
                <w:w w:val="105"/>
                <w:sz w:val="16"/>
              </w:rPr>
              <w:t>62</w:t>
            </w:r>
          </w:p>
        </w:tc>
      </w:tr>
    </w:tbl>
    <w:p>
      <w:pPr>
        <w:pStyle w:val="BodyText"/>
        <w:spacing w:before="9"/>
      </w:pPr>
    </w:p>
    <w:p>
      <w:pPr>
        <w:pStyle w:val="BodyText"/>
        <w:spacing w:line="266" w:lineRule="auto"/>
        <w:ind w:left="156"/>
      </w:pPr>
      <w:r>
        <w:rPr>
          <w:w w:val="105"/>
        </w:rPr>
        <w:t>During</w:t>
      </w:r>
      <w:r>
        <w:rPr>
          <w:spacing w:val="-7"/>
          <w:w w:val="105"/>
        </w:rPr>
        <w:t> </w:t>
      </w:r>
      <w:r>
        <w:rPr>
          <w:w w:val="105"/>
        </w:rPr>
        <w:t>2020,</w:t>
      </w:r>
      <w:r>
        <w:rPr>
          <w:spacing w:val="-8"/>
          <w:w w:val="105"/>
        </w:rPr>
        <w:t> </w:t>
      </w:r>
      <w:r>
        <w:rPr>
          <w:w w:val="105"/>
        </w:rPr>
        <w:t>the</w:t>
      </w:r>
      <w:r>
        <w:rPr>
          <w:spacing w:val="-8"/>
          <w:w w:val="105"/>
        </w:rPr>
        <w:t> </w:t>
      </w:r>
      <w:r>
        <w:rPr>
          <w:w w:val="105"/>
        </w:rPr>
        <w:t>Internal</w:t>
      </w:r>
      <w:r>
        <w:rPr>
          <w:spacing w:val="-8"/>
          <w:w w:val="105"/>
        </w:rPr>
        <w:t> </w:t>
      </w:r>
      <w:r>
        <w:rPr>
          <w:w w:val="105"/>
        </w:rPr>
        <w:t>Revenue</w:t>
      </w:r>
      <w:r>
        <w:rPr>
          <w:spacing w:val="-8"/>
          <w:w w:val="105"/>
        </w:rPr>
        <w:t> </w:t>
      </w:r>
      <w:r>
        <w:rPr>
          <w:w w:val="105"/>
        </w:rPr>
        <w:t>Service</w:t>
      </w:r>
      <w:r>
        <w:rPr>
          <w:spacing w:val="-8"/>
          <w:w w:val="105"/>
        </w:rPr>
        <w:t> </w:t>
      </w:r>
      <w:r>
        <w:rPr>
          <w:w w:val="105"/>
        </w:rPr>
        <w:t>(“IRS”)</w:t>
      </w:r>
      <w:r>
        <w:rPr>
          <w:spacing w:val="-8"/>
          <w:w w:val="105"/>
        </w:rPr>
        <w:t> </w:t>
      </w:r>
      <w:r>
        <w:rPr>
          <w:w w:val="105"/>
        </w:rPr>
        <w:t>opened</w:t>
      </w:r>
      <w:r>
        <w:rPr>
          <w:spacing w:val="-8"/>
          <w:w w:val="105"/>
        </w:rPr>
        <w:t> </w:t>
      </w:r>
      <w:r>
        <w:rPr>
          <w:w w:val="105"/>
        </w:rPr>
        <w:t>an</w:t>
      </w:r>
      <w:r>
        <w:rPr>
          <w:spacing w:val="-8"/>
          <w:w w:val="105"/>
        </w:rPr>
        <w:t> </w:t>
      </w:r>
      <w:r>
        <w:rPr>
          <w:w w:val="105"/>
        </w:rPr>
        <w:t>audit</w:t>
      </w:r>
      <w:r>
        <w:rPr>
          <w:spacing w:val="-8"/>
          <w:w w:val="105"/>
        </w:rPr>
        <w:t> </w:t>
      </w:r>
      <w:r>
        <w:rPr>
          <w:w w:val="105"/>
        </w:rPr>
        <w:t>for</w:t>
      </w:r>
      <w:r>
        <w:rPr>
          <w:spacing w:val="-6"/>
          <w:w w:val="105"/>
        </w:rPr>
        <w:t> </w:t>
      </w:r>
      <w:r>
        <w:rPr>
          <w:w w:val="105"/>
        </w:rPr>
        <w:t>tax</w:t>
      </w:r>
      <w:r>
        <w:rPr>
          <w:spacing w:val="-8"/>
          <w:w w:val="105"/>
        </w:rPr>
        <w:t> </w:t>
      </w:r>
      <w:r>
        <w:rPr>
          <w:w w:val="105"/>
        </w:rPr>
        <w:t>years</w:t>
      </w:r>
      <w:r>
        <w:rPr>
          <w:spacing w:val="-8"/>
          <w:w w:val="105"/>
        </w:rPr>
        <w:t> </w:t>
      </w:r>
      <w:r>
        <w:rPr>
          <w:w w:val="105"/>
        </w:rPr>
        <w:t>2015-2018.</w:t>
      </w:r>
      <w:r>
        <w:rPr>
          <w:spacing w:val="-8"/>
          <w:w w:val="105"/>
        </w:rPr>
        <w:t> </w:t>
      </w:r>
      <w:r>
        <w:rPr>
          <w:w w:val="105"/>
        </w:rPr>
        <w:t>We</w:t>
      </w:r>
      <w:r>
        <w:rPr>
          <w:spacing w:val="-8"/>
          <w:w w:val="105"/>
        </w:rPr>
        <w:t> </w:t>
      </w:r>
      <w:r>
        <w:rPr>
          <w:w w:val="105"/>
        </w:rPr>
        <w:t>do</w:t>
      </w:r>
      <w:r>
        <w:rPr>
          <w:spacing w:val="-8"/>
          <w:w w:val="105"/>
        </w:rPr>
        <w:t> </w:t>
      </w:r>
      <w:r>
        <w:rPr>
          <w:w w:val="105"/>
        </w:rPr>
        <w:t>not</w:t>
      </w:r>
      <w:r>
        <w:rPr>
          <w:spacing w:val="-8"/>
          <w:w w:val="105"/>
        </w:rPr>
        <w:t> </w:t>
      </w:r>
      <w:r>
        <w:rPr>
          <w:w w:val="105"/>
        </w:rPr>
        <w:t>expect</w:t>
      </w:r>
      <w:r>
        <w:rPr>
          <w:spacing w:val="-8"/>
          <w:w w:val="105"/>
        </w:rPr>
        <w:t> </w:t>
      </w:r>
      <w:r>
        <w:rPr>
          <w:w w:val="105"/>
        </w:rPr>
        <w:t>additional</w:t>
      </w:r>
      <w:r>
        <w:rPr>
          <w:spacing w:val="-8"/>
          <w:w w:val="105"/>
        </w:rPr>
        <w:t> </w:t>
      </w:r>
      <w:r>
        <w:rPr>
          <w:w w:val="105"/>
        </w:rPr>
        <w:t>material</w:t>
      </w:r>
      <w:r>
        <w:rPr>
          <w:spacing w:val="-8"/>
          <w:w w:val="105"/>
        </w:rPr>
        <w:t> </w:t>
      </w:r>
      <w:r>
        <w:rPr>
          <w:w w:val="105"/>
        </w:rPr>
        <w:t>exposure</w:t>
      </w:r>
      <w:r>
        <w:rPr>
          <w:spacing w:val="-8"/>
          <w:w w:val="105"/>
        </w:rPr>
        <w:t> </w:t>
      </w:r>
      <w:r>
        <w:rPr>
          <w:w w:val="105"/>
        </w:rPr>
        <w:t>for</w:t>
      </w:r>
      <w:r>
        <w:rPr>
          <w:spacing w:val="-8"/>
          <w:w w:val="105"/>
        </w:rPr>
        <w:t> </w:t>
      </w:r>
      <w:r>
        <w:rPr>
          <w:w w:val="105"/>
        </w:rPr>
        <w:t>the</w:t>
      </w:r>
      <w:r>
        <w:rPr>
          <w:spacing w:val="-6"/>
          <w:w w:val="105"/>
        </w:rPr>
        <w:t> </w:t>
      </w:r>
      <w:r>
        <w:rPr>
          <w:w w:val="105"/>
        </w:rPr>
        <w:t>tax</w:t>
      </w:r>
      <w:r>
        <w:rPr>
          <w:spacing w:val="-8"/>
          <w:w w:val="105"/>
        </w:rPr>
        <w:t> </w:t>
      </w:r>
      <w:r>
        <w:rPr>
          <w:w w:val="105"/>
        </w:rPr>
        <w:t>years</w:t>
      </w:r>
      <w:r>
        <w:rPr>
          <w:spacing w:val="-8"/>
          <w:w w:val="105"/>
        </w:rPr>
        <w:t> </w:t>
      </w:r>
      <w:r>
        <w:rPr>
          <w:w w:val="105"/>
        </w:rPr>
        <w:t>under</w:t>
      </w:r>
      <w:r>
        <w:rPr>
          <w:spacing w:val="-8"/>
          <w:w w:val="105"/>
        </w:rPr>
        <w:t> </w:t>
      </w:r>
      <w:r>
        <w:rPr>
          <w:w w:val="105"/>
        </w:rPr>
        <w:t>audit. However,</w:t>
      </w:r>
      <w:r>
        <w:rPr>
          <w:spacing w:val="-1"/>
          <w:w w:val="105"/>
        </w:rPr>
        <w:t> </w:t>
      </w:r>
      <w:r>
        <w:rPr>
          <w:w w:val="105"/>
        </w:rPr>
        <w:t>if</w:t>
      </w:r>
      <w:r>
        <w:rPr>
          <w:spacing w:val="-1"/>
          <w:w w:val="105"/>
        </w:rPr>
        <w:t> </w:t>
      </w:r>
      <w:r>
        <w:rPr>
          <w:w w:val="105"/>
        </w:rPr>
        <w:t>upon</w:t>
      </w:r>
      <w:r>
        <w:rPr>
          <w:spacing w:val="-1"/>
          <w:w w:val="105"/>
        </w:rPr>
        <w:t> </w:t>
      </w:r>
      <w:r>
        <w:rPr>
          <w:w w:val="105"/>
        </w:rPr>
        <w:t>conclusion</w:t>
      </w:r>
      <w:r>
        <w:rPr>
          <w:spacing w:val="-1"/>
          <w:w w:val="105"/>
        </w:rPr>
        <w:t> </w:t>
      </w:r>
      <w:r>
        <w:rPr>
          <w:w w:val="105"/>
        </w:rPr>
        <w:t>of</w:t>
      </w:r>
      <w:r>
        <w:rPr>
          <w:spacing w:val="-1"/>
          <w:w w:val="105"/>
        </w:rPr>
        <w:t> </w:t>
      </w:r>
      <w:r>
        <w:rPr>
          <w:w w:val="105"/>
        </w:rPr>
        <w:t>these</w:t>
      </w:r>
      <w:r>
        <w:rPr>
          <w:spacing w:val="-1"/>
          <w:w w:val="105"/>
        </w:rPr>
        <w:t> </w:t>
      </w:r>
      <w:r>
        <w:rPr>
          <w:w w:val="105"/>
        </w:rPr>
        <w:t>matters,</w:t>
      </w:r>
      <w:r>
        <w:rPr>
          <w:spacing w:val="-1"/>
          <w:w w:val="105"/>
        </w:rPr>
        <w:t> </w:t>
      </w:r>
      <w:r>
        <w:rPr>
          <w:w w:val="105"/>
        </w:rPr>
        <w:t>the</w:t>
      </w:r>
      <w:r>
        <w:rPr>
          <w:spacing w:val="-1"/>
          <w:w w:val="105"/>
        </w:rPr>
        <w:t> </w:t>
      </w:r>
      <w:r>
        <w:rPr>
          <w:w w:val="105"/>
        </w:rPr>
        <w:t>ultimate</w:t>
      </w:r>
      <w:r>
        <w:rPr>
          <w:spacing w:val="-1"/>
          <w:w w:val="105"/>
        </w:rPr>
        <w:t> </w:t>
      </w:r>
      <w:r>
        <w:rPr>
          <w:w w:val="105"/>
        </w:rPr>
        <w:t>determination</w:t>
      </w:r>
      <w:r>
        <w:rPr>
          <w:spacing w:val="-1"/>
          <w:w w:val="105"/>
        </w:rPr>
        <w:t> </w:t>
      </w:r>
      <w:r>
        <w:rPr>
          <w:w w:val="105"/>
        </w:rPr>
        <w:t>of</w:t>
      </w:r>
      <w:r>
        <w:rPr>
          <w:spacing w:val="-1"/>
          <w:w w:val="105"/>
        </w:rPr>
        <w:t> </w:t>
      </w:r>
      <w:r>
        <w:rPr>
          <w:w w:val="105"/>
        </w:rPr>
        <w:t>taxes</w:t>
      </w:r>
      <w:r>
        <w:rPr>
          <w:spacing w:val="-1"/>
          <w:w w:val="105"/>
        </w:rPr>
        <w:t> </w:t>
      </w:r>
      <w:r>
        <w:rPr>
          <w:w w:val="105"/>
        </w:rPr>
        <w:t>owed</w:t>
      </w:r>
      <w:r>
        <w:rPr>
          <w:spacing w:val="-1"/>
          <w:w w:val="105"/>
        </w:rPr>
        <w:t> </w:t>
      </w:r>
      <w:r>
        <w:rPr>
          <w:w w:val="105"/>
        </w:rPr>
        <w:t>is</w:t>
      </w:r>
      <w:r>
        <w:rPr>
          <w:spacing w:val="-1"/>
          <w:w w:val="105"/>
        </w:rPr>
        <w:t> </w:t>
      </w:r>
      <w:r>
        <w:rPr>
          <w:w w:val="105"/>
        </w:rPr>
        <w:t>for</w:t>
      </w:r>
      <w:r>
        <w:rPr>
          <w:spacing w:val="-1"/>
          <w:w w:val="105"/>
        </w:rPr>
        <w:t> </w:t>
      </w:r>
      <w:r>
        <w:rPr>
          <w:w w:val="105"/>
        </w:rPr>
        <w:t>an</w:t>
      </w:r>
      <w:r>
        <w:rPr>
          <w:spacing w:val="-1"/>
          <w:w w:val="105"/>
        </w:rPr>
        <w:t> </w:t>
      </w:r>
      <w:r>
        <w:rPr>
          <w:w w:val="105"/>
        </w:rPr>
        <w:t>amount</w:t>
      </w:r>
      <w:r>
        <w:rPr>
          <w:spacing w:val="-1"/>
          <w:w w:val="105"/>
        </w:rPr>
        <w:t> </w:t>
      </w:r>
      <w:r>
        <w:rPr>
          <w:w w:val="105"/>
        </w:rPr>
        <w:t>materially</w:t>
      </w:r>
      <w:r>
        <w:rPr>
          <w:spacing w:val="-1"/>
          <w:w w:val="105"/>
        </w:rPr>
        <w:t> </w:t>
      </w:r>
      <w:r>
        <w:rPr>
          <w:w w:val="105"/>
        </w:rPr>
        <w:t>different</w:t>
      </w:r>
      <w:r>
        <w:rPr>
          <w:spacing w:val="-1"/>
          <w:w w:val="105"/>
        </w:rPr>
        <w:t> </w:t>
      </w:r>
      <w:r>
        <w:rPr>
          <w:w w:val="105"/>
        </w:rPr>
        <w:t>than</w:t>
      </w:r>
      <w:r>
        <w:rPr>
          <w:spacing w:val="-1"/>
          <w:w w:val="105"/>
        </w:rPr>
        <w:t> </w:t>
      </w:r>
      <w:r>
        <w:rPr>
          <w:w w:val="105"/>
        </w:rPr>
        <w:t>our</w:t>
      </w:r>
      <w:r>
        <w:rPr>
          <w:spacing w:val="-1"/>
          <w:w w:val="105"/>
        </w:rPr>
        <w:t> </w:t>
      </w:r>
      <w:r>
        <w:rPr>
          <w:w w:val="105"/>
        </w:rPr>
        <w:t>current</w:t>
      </w:r>
      <w:r>
        <w:rPr>
          <w:spacing w:val="-1"/>
          <w:w w:val="105"/>
        </w:rPr>
        <w:t> </w:t>
      </w:r>
      <w:r>
        <w:rPr>
          <w:w w:val="105"/>
        </w:rPr>
        <w:t>position,</w:t>
      </w:r>
      <w:r>
        <w:rPr>
          <w:spacing w:val="-1"/>
          <w:w w:val="105"/>
        </w:rPr>
        <w:t> </w:t>
      </w:r>
      <w:r>
        <w:rPr>
          <w:w w:val="105"/>
        </w:rPr>
        <w:t>our</w:t>
      </w:r>
      <w:r>
        <w:rPr>
          <w:spacing w:val="-1"/>
          <w:w w:val="105"/>
        </w:rPr>
        <w:t> </w:t>
      </w:r>
      <w:r>
        <w:rPr>
          <w:w w:val="105"/>
        </w:rPr>
        <w:t>overall</w:t>
      </w:r>
      <w:r>
        <w:rPr>
          <w:spacing w:val="-1"/>
          <w:w w:val="105"/>
        </w:rPr>
        <w:t> </w:t>
      </w:r>
      <w:r>
        <w:rPr>
          <w:w w:val="105"/>
        </w:rPr>
        <w:t>tax expense and effective tax rate could be materially impacted in the period of adjustment.</w:t>
      </w:r>
    </w:p>
    <w:p>
      <w:pPr>
        <w:pStyle w:val="BodyText"/>
        <w:spacing w:before="19"/>
      </w:pPr>
    </w:p>
    <w:p>
      <w:pPr>
        <w:pStyle w:val="BodyText"/>
        <w:ind w:left="156"/>
      </w:pPr>
      <w:r>
        <w:rPr>
          <w:w w:val="105"/>
        </w:rPr>
        <w:t>The</w:t>
      </w:r>
      <w:r>
        <w:rPr>
          <w:spacing w:val="-9"/>
          <w:w w:val="105"/>
        </w:rPr>
        <w:t> </w:t>
      </w:r>
      <w:r>
        <w:rPr>
          <w:w w:val="105"/>
        </w:rPr>
        <w:t>additions</w:t>
      </w:r>
      <w:r>
        <w:rPr>
          <w:spacing w:val="-9"/>
          <w:w w:val="105"/>
        </w:rPr>
        <w:t> </w:t>
      </w:r>
      <w:r>
        <w:rPr>
          <w:w w:val="105"/>
        </w:rPr>
        <w:t>for</w:t>
      </w:r>
      <w:r>
        <w:rPr>
          <w:spacing w:val="-8"/>
          <w:w w:val="105"/>
        </w:rPr>
        <w:t> </w:t>
      </w:r>
      <w:r>
        <w:rPr>
          <w:w w:val="105"/>
        </w:rPr>
        <w:t>tax</w:t>
      </w:r>
      <w:r>
        <w:rPr>
          <w:spacing w:val="-9"/>
          <w:w w:val="105"/>
        </w:rPr>
        <w:t> </w:t>
      </w:r>
      <w:r>
        <w:rPr>
          <w:w w:val="105"/>
        </w:rPr>
        <w:t>positions</w:t>
      </w:r>
      <w:r>
        <w:rPr>
          <w:spacing w:val="-8"/>
          <w:w w:val="105"/>
        </w:rPr>
        <w:t> </w:t>
      </w:r>
      <w:r>
        <w:rPr>
          <w:w w:val="105"/>
        </w:rPr>
        <w:t>of</w:t>
      </w:r>
      <w:r>
        <w:rPr>
          <w:spacing w:val="-9"/>
          <w:w w:val="105"/>
        </w:rPr>
        <w:t> </w:t>
      </w:r>
      <w:r>
        <w:rPr>
          <w:w w:val="105"/>
        </w:rPr>
        <w:t>prior</w:t>
      </w:r>
      <w:r>
        <w:rPr>
          <w:spacing w:val="-9"/>
          <w:w w:val="105"/>
        </w:rPr>
        <w:t> </w:t>
      </w:r>
      <w:r>
        <w:rPr>
          <w:w w:val="105"/>
        </w:rPr>
        <w:t>years</w:t>
      </w:r>
      <w:r>
        <w:rPr>
          <w:spacing w:val="-8"/>
          <w:w w:val="105"/>
        </w:rPr>
        <w:t> </w:t>
      </w:r>
      <w:r>
        <w:rPr>
          <w:w w:val="105"/>
        </w:rPr>
        <w:t>were</w:t>
      </w:r>
      <w:r>
        <w:rPr>
          <w:spacing w:val="-9"/>
          <w:w w:val="105"/>
        </w:rPr>
        <w:t> </w:t>
      </w:r>
      <w:r>
        <w:rPr>
          <w:w w:val="105"/>
        </w:rPr>
        <w:t>primarily</w:t>
      </w:r>
      <w:r>
        <w:rPr>
          <w:spacing w:val="-8"/>
          <w:w w:val="105"/>
        </w:rPr>
        <w:t> </w:t>
      </w:r>
      <w:r>
        <w:rPr>
          <w:w w:val="105"/>
        </w:rPr>
        <w:t>due</w:t>
      </w:r>
      <w:r>
        <w:rPr>
          <w:spacing w:val="-9"/>
          <w:w w:val="105"/>
        </w:rPr>
        <w:t> </w:t>
      </w:r>
      <w:r>
        <w:rPr>
          <w:w w:val="105"/>
        </w:rPr>
        <w:t>to</w:t>
      </w:r>
      <w:r>
        <w:rPr>
          <w:spacing w:val="-8"/>
          <w:w w:val="105"/>
        </w:rPr>
        <w:t> </w:t>
      </w:r>
      <w:r>
        <w:rPr>
          <w:w w:val="105"/>
        </w:rPr>
        <w:t>tax</w:t>
      </w:r>
      <w:r>
        <w:rPr>
          <w:spacing w:val="-9"/>
          <w:w w:val="105"/>
        </w:rPr>
        <w:t> </w:t>
      </w:r>
      <w:r>
        <w:rPr>
          <w:w w:val="105"/>
        </w:rPr>
        <w:t>audits,</w:t>
      </w:r>
      <w:r>
        <w:rPr>
          <w:spacing w:val="-9"/>
          <w:w w:val="105"/>
        </w:rPr>
        <w:t> </w:t>
      </w:r>
      <w:r>
        <w:rPr>
          <w:w w:val="105"/>
        </w:rPr>
        <w:t>development</w:t>
      </w:r>
      <w:r>
        <w:rPr>
          <w:spacing w:val="-8"/>
          <w:w w:val="105"/>
        </w:rPr>
        <w:t> </w:t>
      </w:r>
      <w:r>
        <w:rPr>
          <w:w w:val="105"/>
        </w:rPr>
        <w:t>of</w:t>
      </w:r>
      <w:r>
        <w:rPr>
          <w:spacing w:val="-9"/>
          <w:w w:val="105"/>
        </w:rPr>
        <w:t> </w:t>
      </w:r>
      <w:r>
        <w:rPr>
          <w:w w:val="105"/>
        </w:rPr>
        <w:t>tax</w:t>
      </w:r>
      <w:r>
        <w:rPr>
          <w:spacing w:val="-8"/>
          <w:w w:val="105"/>
        </w:rPr>
        <w:t> </w:t>
      </w:r>
      <w:r>
        <w:rPr>
          <w:w w:val="105"/>
        </w:rPr>
        <w:t>court</w:t>
      </w:r>
      <w:r>
        <w:rPr>
          <w:spacing w:val="-9"/>
          <w:w w:val="105"/>
        </w:rPr>
        <w:t> </w:t>
      </w:r>
      <w:r>
        <w:rPr>
          <w:w w:val="105"/>
        </w:rPr>
        <w:t>cases,</w:t>
      </w:r>
      <w:r>
        <w:rPr>
          <w:spacing w:val="-8"/>
          <w:w w:val="105"/>
        </w:rPr>
        <w:t> </w:t>
      </w:r>
      <w:r>
        <w:rPr>
          <w:w w:val="105"/>
        </w:rPr>
        <w:t>and</w:t>
      </w:r>
      <w:r>
        <w:rPr>
          <w:spacing w:val="-7"/>
          <w:w w:val="105"/>
        </w:rPr>
        <w:t> </w:t>
      </w:r>
      <w:r>
        <w:rPr>
          <w:w w:val="105"/>
        </w:rPr>
        <w:t>tax</w:t>
      </w:r>
      <w:r>
        <w:rPr>
          <w:spacing w:val="-9"/>
          <w:w w:val="105"/>
        </w:rPr>
        <w:t> </w:t>
      </w:r>
      <w:r>
        <w:rPr>
          <w:w w:val="105"/>
        </w:rPr>
        <w:t>law</w:t>
      </w:r>
      <w:r>
        <w:rPr>
          <w:spacing w:val="-8"/>
          <w:w w:val="105"/>
        </w:rPr>
        <w:t> </w:t>
      </w:r>
      <w:r>
        <w:rPr>
          <w:w w:val="105"/>
        </w:rPr>
        <w:t>changes</w:t>
      </w:r>
      <w:r>
        <w:rPr>
          <w:spacing w:val="-9"/>
          <w:w w:val="105"/>
        </w:rPr>
        <w:t> </w:t>
      </w:r>
      <w:r>
        <w:rPr>
          <w:w w:val="105"/>
        </w:rPr>
        <w:t>in</w:t>
      </w:r>
      <w:r>
        <w:rPr>
          <w:spacing w:val="-9"/>
          <w:w w:val="105"/>
        </w:rPr>
        <w:t> </w:t>
      </w:r>
      <w:r>
        <w:rPr>
          <w:w w:val="105"/>
        </w:rPr>
        <w:t>various</w:t>
      </w:r>
      <w:r>
        <w:rPr>
          <w:spacing w:val="-8"/>
          <w:w w:val="105"/>
        </w:rPr>
        <w:t> </w:t>
      </w:r>
      <w:r>
        <w:rPr>
          <w:spacing w:val="-2"/>
          <w:w w:val="105"/>
        </w:rPr>
        <w:t>jurisdictions.</w:t>
      </w:r>
    </w:p>
    <w:p>
      <w:pPr>
        <w:pStyle w:val="BodyText"/>
        <w:spacing w:before="39"/>
      </w:pPr>
    </w:p>
    <w:p>
      <w:pPr>
        <w:pStyle w:val="BodyText"/>
        <w:spacing w:line="266" w:lineRule="auto"/>
        <w:ind w:left="156" w:right="117"/>
      </w:pPr>
      <w:r>
        <w:rPr>
          <w:w w:val="105"/>
        </w:rPr>
        <w:t>Included</w:t>
      </w:r>
      <w:r>
        <w:rPr>
          <w:spacing w:val="-8"/>
          <w:w w:val="105"/>
        </w:rPr>
        <w:t> </w:t>
      </w:r>
      <w:r>
        <w:rPr>
          <w:w w:val="105"/>
        </w:rPr>
        <w:t>in</w:t>
      </w:r>
      <w:r>
        <w:rPr>
          <w:spacing w:val="-8"/>
          <w:w w:val="105"/>
        </w:rPr>
        <w:t> </w:t>
      </w:r>
      <w:r>
        <w:rPr>
          <w:w w:val="105"/>
        </w:rPr>
        <w:t>the</w:t>
      </w:r>
      <w:r>
        <w:rPr>
          <w:spacing w:val="-8"/>
          <w:w w:val="105"/>
        </w:rPr>
        <w:t> </w:t>
      </w:r>
      <w:r>
        <w:rPr>
          <w:w w:val="105"/>
        </w:rPr>
        <w:t>balance</w:t>
      </w:r>
      <w:r>
        <w:rPr>
          <w:spacing w:val="-8"/>
          <w:w w:val="105"/>
        </w:rPr>
        <w:t> </w:t>
      </w:r>
      <w:r>
        <w:rPr>
          <w:w w:val="105"/>
        </w:rPr>
        <w:t>at</w:t>
      </w:r>
      <w:r>
        <w:rPr>
          <w:spacing w:val="26"/>
          <w:w w:val="105"/>
        </w:rPr>
        <w:t> </w:t>
      </w:r>
      <w:r>
        <w:rPr>
          <w:w w:val="105"/>
        </w:rPr>
        <w:t>December</w:t>
      </w:r>
      <w:r>
        <w:rPr>
          <w:spacing w:val="-8"/>
          <w:w w:val="105"/>
        </w:rPr>
        <w:t> </w:t>
      </w:r>
      <w:r>
        <w:rPr>
          <w:w w:val="105"/>
        </w:rPr>
        <w:t>31,</w:t>
      </w:r>
      <w:r>
        <w:rPr>
          <w:spacing w:val="-8"/>
          <w:w w:val="105"/>
        </w:rPr>
        <w:t> </w:t>
      </w:r>
      <w:r>
        <w:rPr>
          <w:w w:val="105"/>
        </w:rPr>
        <w:t>2021,</w:t>
      </w:r>
      <w:r>
        <w:rPr>
          <w:spacing w:val="-7"/>
          <w:w w:val="105"/>
        </w:rPr>
        <w:t> </w:t>
      </w:r>
      <w:r>
        <w:rPr>
          <w:w w:val="105"/>
        </w:rPr>
        <w:t>2020</w:t>
      </w:r>
      <w:r>
        <w:rPr>
          <w:spacing w:val="-8"/>
          <w:w w:val="105"/>
        </w:rPr>
        <w:t> </w:t>
      </w:r>
      <w:r>
        <w:rPr>
          <w:w w:val="105"/>
        </w:rPr>
        <w:t>and</w:t>
      </w:r>
      <w:r>
        <w:rPr>
          <w:spacing w:val="-8"/>
          <w:w w:val="105"/>
        </w:rPr>
        <w:t> </w:t>
      </w:r>
      <w:r>
        <w:rPr>
          <w:w w:val="105"/>
        </w:rPr>
        <w:t>2019</w:t>
      </w:r>
      <w:r>
        <w:rPr>
          <w:spacing w:val="-8"/>
          <w:w w:val="105"/>
        </w:rPr>
        <w:t> </w:t>
      </w:r>
      <w:r>
        <w:rPr>
          <w:w w:val="105"/>
        </w:rPr>
        <w:t>are</w:t>
      </w:r>
      <w:r>
        <w:rPr>
          <w:spacing w:val="-8"/>
          <w:w w:val="105"/>
        </w:rPr>
        <w:t> </w:t>
      </w:r>
      <w:r>
        <w:rPr>
          <w:w w:val="105"/>
        </w:rPr>
        <w:t>$120</w:t>
      </w:r>
      <w:r>
        <w:rPr>
          <w:spacing w:val="-8"/>
          <w:w w:val="105"/>
        </w:rPr>
        <w:t> </w:t>
      </w:r>
      <w:r>
        <w:rPr>
          <w:w w:val="105"/>
        </w:rPr>
        <w:t>million,</w:t>
      </w:r>
      <w:r>
        <w:rPr>
          <w:spacing w:val="-8"/>
          <w:w w:val="105"/>
        </w:rPr>
        <w:t> </w:t>
      </w:r>
      <w:r>
        <w:rPr>
          <w:w w:val="105"/>
        </w:rPr>
        <w:t>$102</w:t>
      </w:r>
      <w:r>
        <w:rPr>
          <w:spacing w:val="-8"/>
          <w:w w:val="105"/>
        </w:rPr>
        <w:t> </w:t>
      </w:r>
      <w:r>
        <w:rPr>
          <w:w w:val="105"/>
        </w:rPr>
        <w:t>million</w:t>
      </w:r>
      <w:r>
        <w:rPr>
          <w:spacing w:val="-8"/>
          <w:w w:val="105"/>
        </w:rPr>
        <w:t> </w:t>
      </w:r>
      <w:r>
        <w:rPr>
          <w:w w:val="105"/>
        </w:rPr>
        <w:t>and</w:t>
      </w:r>
      <w:r>
        <w:rPr>
          <w:spacing w:val="-8"/>
          <w:w w:val="105"/>
        </w:rPr>
        <w:t> </w:t>
      </w:r>
      <w:r>
        <w:rPr>
          <w:w w:val="105"/>
        </w:rPr>
        <w:t>$35</w:t>
      </w:r>
      <w:r>
        <w:rPr>
          <w:spacing w:val="-8"/>
          <w:w w:val="105"/>
        </w:rPr>
        <w:t> </w:t>
      </w:r>
      <w:r>
        <w:rPr>
          <w:w w:val="105"/>
        </w:rPr>
        <w:t>million,</w:t>
      </w:r>
      <w:r>
        <w:rPr>
          <w:spacing w:val="-8"/>
          <w:w w:val="105"/>
        </w:rPr>
        <w:t> </w:t>
      </w:r>
      <w:r>
        <w:rPr>
          <w:w w:val="105"/>
        </w:rPr>
        <w:t>respectively,</w:t>
      </w:r>
      <w:r>
        <w:rPr>
          <w:spacing w:val="-8"/>
          <w:w w:val="105"/>
        </w:rPr>
        <w:t> </w:t>
      </w:r>
      <w:r>
        <w:rPr>
          <w:w w:val="105"/>
        </w:rPr>
        <w:t>of</w:t>
      </w:r>
      <w:r>
        <w:rPr>
          <w:spacing w:val="-8"/>
          <w:w w:val="105"/>
        </w:rPr>
        <w:t> </w:t>
      </w:r>
      <w:r>
        <w:rPr>
          <w:w w:val="105"/>
        </w:rPr>
        <w:t>unrecognized</w:t>
      </w:r>
      <w:r>
        <w:rPr>
          <w:spacing w:val="-8"/>
          <w:w w:val="105"/>
        </w:rPr>
        <w:t> </w:t>
      </w:r>
      <w:r>
        <w:rPr>
          <w:w w:val="105"/>
        </w:rPr>
        <w:t>tax</w:t>
      </w:r>
      <w:r>
        <w:rPr>
          <w:spacing w:val="-8"/>
          <w:w w:val="105"/>
        </w:rPr>
        <w:t> </w:t>
      </w:r>
      <w:r>
        <w:rPr>
          <w:w w:val="105"/>
        </w:rPr>
        <w:t>benefits</w:t>
      </w:r>
      <w:r>
        <w:rPr>
          <w:spacing w:val="-8"/>
          <w:w w:val="105"/>
        </w:rPr>
        <w:t> </w:t>
      </w:r>
      <w:r>
        <w:rPr>
          <w:w w:val="105"/>
        </w:rPr>
        <w:t>that</w:t>
      </w:r>
      <w:r>
        <w:rPr>
          <w:spacing w:val="-8"/>
          <w:w w:val="105"/>
        </w:rPr>
        <w:t> </w:t>
      </w:r>
      <w:r>
        <w:rPr>
          <w:w w:val="105"/>
        </w:rPr>
        <w:t>would</w:t>
      </w:r>
      <w:r>
        <w:rPr>
          <w:spacing w:val="-8"/>
          <w:w w:val="105"/>
        </w:rPr>
        <w:t> </w:t>
      </w:r>
      <w:r>
        <w:rPr>
          <w:w w:val="105"/>
        </w:rPr>
        <w:t>impact the Company’s effective tax rate if recognized.</w:t>
      </w:r>
    </w:p>
    <w:p>
      <w:pPr>
        <w:pStyle w:val="BodyText"/>
        <w:spacing w:before="19"/>
      </w:pPr>
    </w:p>
    <w:p>
      <w:pPr>
        <w:pStyle w:val="BodyText"/>
        <w:spacing w:line="266" w:lineRule="auto"/>
        <w:ind w:left="156" w:right="328"/>
      </w:pPr>
      <w:r>
        <w:rPr>
          <w:w w:val="105"/>
        </w:rPr>
        <w:t>Accrued</w:t>
      </w:r>
      <w:r>
        <w:rPr>
          <w:spacing w:val="-8"/>
          <w:w w:val="105"/>
        </w:rPr>
        <w:t> </w:t>
      </w:r>
      <w:r>
        <w:rPr>
          <w:w w:val="105"/>
        </w:rPr>
        <w:t>interest</w:t>
      </w:r>
      <w:r>
        <w:rPr>
          <w:spacing w:val="-8"/>
          <w:w w:val="105"/>
        </w:rPr>
        <w:t> </w:t>
      </w:r>
      <w:r>
        <w:rPr>
          <w:w w:val="105"/>
        </w:rPr>
        <w:t>and</w:t>
      </w:r>
      <w:r>
        <w:rPr>
          <w:spacing w:val="-8"/>
          <w:w w:val="105"/>
        </w:rPr>
        <w:t> </w:t>
      </w:r>
      <w:r>
        <w:rPr>
          <w:w w:val="105"/>
        </w:rPr>
        <w:t>penalties</w:t>
      </w:r>
      <w:r>
        <w:rPr>
          <w:spacing w:val="-8"/>
          <w:w w:val="105"/>
        </w:rPr>
        <w:t> </w:t>
      </w:r>
      <w:r>
        <w:rPr>
          <w:w w:val="105"/>
        </w:rPr>
        <w:t>associated</w:t>
      </w:r>
      <w:r>
        <w:rPr>
          <w:spacing w:val="-8"/>
          <w:w w:val="105"/>
        </w:rPr>
        <w:t> </w:t>
      </w:r>
      <w:r>
        <w:rPr>
          <w:w w:val="105"/>
        </w:rPr>
        <w:t>with</w:t>
      </w:r>
      <w:r>
        <w:rPr>
          <w:spacing w:val="-8"/>
          <w:w w:val="105"/>
        </w:rPr>
        <w:t> </w:t>
      </w:r>
      <w:r>
        <w:rPr>
          <w:w w:val="105"/>
        </w:rPr>
        <w:t>uncertain</w:t>
      </w:r>
      <w:r>
        <w:rPr>
          <w:spacing w:val="-8"/>
          <w:w w:val="105"/>
        </w:rPr>
        <w:t> </w:t>
      </w:r>
      <w:r>
        <w:rPr>
          <w:w w:val="105"/>
        </w:rPr>
        <w:t>tax</w:t>
      </w:r>
      <w:r>
        <w:rPr>
          <w:spacing w:val="-8"/>
          <w:w w:val="105"/>
        </w:rPr>
        <w:t> </w:t>
      </w:r>
      <w:r>
        <w:rPr>
          <w:w w:val="105"/>
        </w:rPr>
        <w:t>positions</w:t>
      </w:r>
      <w:r>
        <w:rPr>
          <w:spacing w:val="-8"/>
          <w:w w:val="105"/>
        </w:rPr>
        <w:t> </w:t>
      </w:r>
      <w:r>
        <w:rPr>
          <w:w w:val="105"/>
        </w:rPr>
        <w:t>are</w:t>
      </w:r>
      <w:r>
        <w:rPr>
          <w:spacing w:val="-8"/>
          <w:w w:val="105"/>
        </w:rPr>
        <w:t> </w:t>
      </w:r>
      <w:r>
        <w:rPr>
          <w:w w:val="105"/>
        </w:rPr>
        <w:t>recognized</w:t>
      </w:r>
      <w:r>
        <w:rPr>
          <w:spacing w:val="-8"/>
          <w:w w:val="105"/>
        </w:rPr>
        <w:t> </w:t>
      </w:r>
      <w:r>
        <w:rPr>
          <w:w w:val="105"/>
        </w:rPr>
        <w:t>as</w:t>
      </w:r>
      <w:r>
        <w:rPr>
          <w:spacing w:val="-8"/>
          <w:w w:val="105"/>
        </w:rPr>
        <w:t> </w:t>
      </w:r>
      <w:r>
        <w:rPr>
          <w:w w:val="105"/>
        </w:rPr>
        <w:t>part</w:t>
      </w:r>
      <w:r>
        <w:rPr>
          <w:spacing w:val="-8"/>
          <w:w w:val="105"/>
        </w:rPr>
        <w:t> </w:t>
      </w:r>
      <w:r>
        <w:rPr>
          <w:w w:val="105"/>
        </w:rPr>
        <w:t>of</w:t>
      </w:r>
      <w:r>
        <w:rPr>
          <w:spacing w:val="-8"/>
          <w:w w:val="105"/>
        </w:rPr>
        <w:t> </w:t>
      </w:r>
      <w:r>
        <w:rPr>
          <w:w w:val="105"/>
        </w:rPr>
        <w:t>tax</w:t>
      </w:r>
      <w:r>
        <w:rPr>
          <w:spacing w:val="-8"/>
          <w:w w:val="105"/>
        </w:rPr>
        <w:t> </w:t>
      </w:r>
      <w:r>
        <w:rPr>
          <w:w w:val="105"/>
        </w:rPr>
        <w:t>expense.</w:t>
      </w:r>
      <w:r>
        <w:rPr>
          <w:spacing w:val="-8"/>
          <w:w w:val="105"/>
        </w:rPr>
        <w:t> </w:t>
      </w:r>
      <w:r>
        <w:rPr>
          <w:w w:val="105"/>
        </w:rPr>
        <w:t>For</w:t>
      </w:r>
      <w:r>
        <w:rPr>
          <w:spacing w:val="-8"/>
          <w:w w:val="105"/>
        </w:rPr>
        <w:t> </w:t>
      </w:r>
      <w:r>
        <w:rPr>
          <w:w w:val="105"/>
        </w:rPr>
        <w:t>the</w:t>
      </w:r>
      <w:r>
        <w:rPr>
          <w:spacing w:val="-8"/>
          <w:w w:val="105"/>
        </w:rPr>
        <w:t> </w:t>
      </w:r>
      <w:r>
        <w:rPr>
          <w:w w:val="105"/>
        </w:rPr>
        <w:t>years</w:t>
      </w:r>
      <w:r>
        <w:rPr>
          <w:spacing w:val="-8"/>
          <w:w w:val="105"/>
        </w:rPr>
        <w:t> </w:t>
      </w:r>
      <w:r>
        <w:rPr>
          <w:w w:val="105"/>
        </w:rPr>
        <w:t>ended</w:t>
      </w:r>
      <w:r>
        <w:rPr>
          <w:spacing w:val="28"/>
          <w:w w:val="105"/>
        </w:rPr>
        <w:t> </w:t>
      </w:r>
      <w:r>
        <w:rPr>
          <w:w w:val="105"/>
        </w:rPr>
        <w:t>December</w:t>
      </w:r>
      <w:r>
        <w:rPr>
          <w:spacing w:val="-8"/>
          <w:w w:val="105"/>
        </w:rPr>
        <w:t> </w:t>
      </w:r>
      <w:r>
        <w:rPr>
          <w:w w:val="105"/>
        </w:rPr>
        <w:t>31,</w:t>
      </w:r>
      <w:r>
        <w:rPr>
          <w:spacing w:val="-8"/>
          <w:w w:val="105"/>
        </w:rPr>
        <w:t> </w:t>
      </w:r>
      <w:r>
        <w:rPr>
          <w:w w:val="105"/>
        </w:rPr>
        <w:t>2021,</w:t>
      </w:r>
      <w:r>
        <w:rPr>
          <w:spacing w:val="-7"/>
          <w:w w:val="105"/>
        </w:rPr>
        <w:t> </w:t>
      </w:r>
      <w:r>
        <w:rPr>
          <w:w w:val="105"/>
        </w:rPr>
        <w:t>2020</w:t>
      </w:r>
      <w:r>
        <w:rPr>
          <w:spacing w:val="-8"/>
          <w:w w:val="105"/>
        </w:rPr>
        <w:t> </w:t>
      </w:r>
      <w:r>
        <w:rPr>
          <w:w w:val="105"/>
        </w:rPr>
        <w:t>and</w:t>
      </w:r>
      <w:r>
        <w:rPr>
          <w:spacing w:val="-8"/>
          <w:w w:val="105"/>
        </w:rPr>
        <w:t> </w:t>
      </w:r>
      <w:r>
        <w:rPr>
          <w:w w:val="105"/>
        </w:rPr>
        <w:t>2019</w:t>
      </w:r>
      <w:r>
        <w:rPr>
          <w:spacing w:val="-8"/>
          <w:w w:val="105"/>
        </w:rPr>
        <w:t> </w:t>
      </w:r>
      <w:r>
        <w:rPr>
          <w:w w:val="105"/>
        </w:rPr>
        <w:t>the amount recognized in interest expense and accrued for the payment of interest and penalties were not material.</w:t>
      </w:r>
    </w:p>
    <w:p>
      <w:pPr>
        <w:pStyle w:val="BodyText"/>
        <w:spacing w:before="19"/>
      </w:pPr>
    </w:p>
    <w:p>
      <w:pPr>
        <w:pStyle w:val="BodyText"/>
        <w:spacing w:line="266" w:lineRule="auto"/>
        <w:ind w:left="156" w:right="117"/>
      </w:pPr>
      <w:r>
        <w:rPr>
          <w:w w:val="105"/>
        </w:rPr>
        <w:t>It</w:t>
      </w:r>
      <w:r>
        <w:rPr>
          <w:spacing w:val="-1"/>
          <w:w w:val="105"/>
        </w:rPr>
        <w:t> </w:t>
      </w:r>
      <w:r>
        <w:rPr>
          <w:w w:val="105"/>
        </w:rPr>
        <w:t>is</w:t>
      </w:r>
      <w:r>
        <w:rPr>
          <w:spacing w:val="-1"/>
          <w:w w:val="105"/>
        </w:rPr>
        <w:t> </w:t>
      </w:r>
      <w:r>
        <w:rPr>
          <w:w w:val="105"/>
        </w:rPr>
        <w:t>possible</w:t>
      </w:r>
      <w:r>
        <w:rPr>
          <w:spacing w:val="-1"/>
          <w:w w:val="105"/>
        </w:rPr>
        <w:t> </w:t>
      </w:r>
      <w:r>
        <w:rPr>
          <w:w w:val="105"/>
        </w:rPr>
        <w:t>that</w:t>
      </w:r>
      <w:r>
        <w:rPr>
          <w:spacing w:val="-1"/>
          <w:w w:val="105"/>
        </w:rPr>
        <w:t> </w:t>
      </w:r>
      <w:r>
        <w:rPr>
          <w:w w:val="105"/>
        </w:rPr>
        <w:t>the</w:t>
      </w:r>
      <w:r>
        <w:rPr>
          <w:spacing w:val="-2"/>
          <w:w w:val="105"/>
        </w:rPr>
        <w:t> </w:t>
      </w:r>
      <w:r>
        <w:rPr>
          <w:w w:val="105"/>
        </w:rPr>
        <w:t>amount</w:t>
      </w:r>
      <w:r>
        <w:rPr>
          <w:spacing w:val="-1"/>
          <w:w w:val="105"/>
        </w:rPr>
        <w:t> </w:t>
      </w:r>
      <w:r>
        <w:rPr>
          <w:w w:val="105"/>
        </w:rPr>
        <w:t>of</w:t>
      </w:r>
      <w:r>
        <w:rPr>
          <w:spacing w:val="-1"/>
          <w:w w:val="105"/>
        </w:rPr>
        <w:t> </w:t>
      </w:r>
      <w:r>
        <w:rPr>
          <w:w w:val="105"/>
        </w:rPr>
        <w:t>unrecognized</w:t>
      </w:r>
      <w:r>
        <w:rPr>
          <w:spacing w:val="-1"/>
          <w:w w:val="105"/>
        </w:rPr>
        <w:t> </w:t>
      </w:r>
      <w:r>
        <w:rPr>
          <w:w w:val="105"/>
        </w:rPr>
        <w:t>tax</w:t>
      </w:r>
      <w:r>
        <w:rPr>
          <w:spacing w:val="-1"/>
          <w:w w:val="105"/>
        </w:rPr>
        <w:t> </w:t>
      </w:r>
      <w:r>
        <w:rPr>
          <w:w w:val="105"/>
        </w:rPr>
        <w:t>benefits</w:t>
      </w:r>
      <w:r>
        <w:rPr>
          <w:spacing w:val="-2"/>
          <w:w w:val="105"/>
        </w:rPr>
        <w:t> </w:t>
      </w:r>
      <w:r>
        <w:rPr>
          <w:w w:val="105"/>
        </w:rPr>
        <w:t>will</w:t>
      </w:r>
      <w:r>
        <w:rPr>
          <w:spacing w:val="-1"/>
          <w:w w:val="105"/>
        </w:rPr>
        <w:t> </w:t>
      </w:r>
      <w:r>
        <w:rPr>
          <w:w w:val="105"/>
        </w:rPr>
        <w:t>change</w:t>
      </w:r>
      <w:r>
        <w:rPr>
          <w:spacing w:val="-1"/>
          <w:w w:val="105"/>
        </w:rPr>
        <w:t> </w:t>
      </w:r>
      <w:r>
        <w:rPr>
          <w:w w:val="105"/>
        </w:rPr>
        <w:t>due</w:t>
      </w:r>
      <w:r>
        <w:rPr>
          <w:spacing w:val="-1"/>
          <w:w w:val="105"/>
        </w:rPr>
        <w:t> </w:t>
      </w:r>
      <w:r>
        <w:rPr>
          <w:w w:val="105"/>
        </w:rPr>
        <w:t>to</w:t>
      </w:r>
      <w:r>
        <w:rPr>
          <w:spacing w:val="-1"/>
          <w:w w:val="105"/>
        </w:rPr>
        <w:t> </w:t>
      </w:r>
      <w:r>
        <w:rPr>
          <w:w w:val="105"/>
        </w:rPr>
        <w:t>one</w:t>
      </w:r>
      <w:r>
        <w:rPr>
          <w:spacing w:val="-2"/>
          <w:w w:val="105"/>
        </w:rPr>
        <w:t> </w:t>
      </w:r>
      <w:r>
        <w:rPr>
          <w:w w:val="105"/>
        </w:rPr>
        <w:t>or</w:t>
      </w:r>
      <w:r>
        <w:rPr>
          <w:spacing w:val="-1"/>
          <w:w w:val="105"/>
        </w:rPr>
        <w:t> </w:t>
      </w:r>
      <w:r>
        <w:rPr>
          <w:w w:val="105"/>
        </w:rPr>
        <w:t>more</w:t>
      </w:r>
      <w:r>
        <w:rPr>
          <w:spacing w:val="-1"/>
          <w:w w:val="105"/>
        </w:rPr>
        <w:t> </w:t>
      </w:r>
      <w:r>
        <w:rPr>
          <w:w w:val="105"/>
        </w:rPr>
        <w:t>of</w:t>
      </w:r>
      <w:r>
        <w:rPr>
          <w:spacing w:val="-1"/>
          <w:w w:val="105"/>
        </w:rPr>
        <w:t> </w:t>
      </w:r>
      <w:r>
        <w:rPr>
          <w:w w:val="105"/>
        </w:rPr>
        <w:t>the</w:t>
      </w:r>
      <w:r>
        <w:rPr>
          <w:spacing w:val="-1"/>
          <w:w w:val="105"/>
        </w:rPr>
        <w:t> </w:t>
      </w:r>
      <w:r>
        <w:rPr>
          <w:w w:val="105"/>
        </w:rPr>
        <w:t>following</w:t>
      </w:r>
      <w:r>
        <w:rPr>
          <w:spacing w:val="-2"/>
          <w:w w:val="105"/>
        </w:rPr>
        <w:t> </w:t>
      </w:r>
      <w:r>
        <w:rPr>
          <w:w w:val="105"/>
        </w:rPr>
        <w:t>events</w:t>
      </w:r>
      <w:r>
        <w:rPr>
          <w:spacing w:val="-1"/>
          <w:w w:val="105"/>
        </w:rPr>
        <w:t> </w:t>
      </w:r>
      <w:r>
        <w:rPr>
          <w:w w:val="105"/>
        </w:rPr>
        <w:t>during</w:t>
      </w:r>
      <w:r>
        <w:rPr>
          <w:spacing w:val="-1"/>
          <w:w w:val="105"/>
        </w:rPr>
        <w:t> </w:t>
      </w:r>
      <w:r>
        <w:rPr>
          <w:w w:val="105"/>
        </w:rPr>
        <w:t>the</w:t>
      </w:r>
      <w:r>
        <w:rPr>
          <w:spacing w:val="-1"/>
          <w:w w:val="105"/>
        </w:rPr>
        <w:t> </w:t>
      </w:r>
      <w:r>
        <w:rPr>
          <w:w w:val="105"/>
        </w:rPr>
        <w:t>next</w:t>
      </w:r>
      <w:r>
        <w:rPr>
          <w:spacing w:val="-1"/>
          <w:w w:val="105"/>
        </w:rPr>
        <w:t> </w:t>
      </w:r>
      <w:r>
        <w:rPr>
          <w:w w:val="105"/>
        </w:rPr>
        <w:t>twelve months:</w:t>
      </w:r>
      <w:r>
        <w:rPr>
          <w:spacing w:val="-1"/>
          <w:w w:val="105"/>
        </w:rPr>
        <w:t> </w:t>
      </w:r>
      <w:r>
        <w:rPr>
          <w:w w:val="105"/>
        </w:rPr>
        <w:t>audit</w:t>
      </w:r>
      <w:r>
        <w:rPr>
          <w:spacing w:val="-1"/>
          <w:w w:val="105"/>
        </w:rPr>
        <w:t> </w:t>
      </w:r>
      <w:r>
        <w:rPr>
          <w:w w:val="105"/>
        </w:rPr>
        <w:t>activity, tax payments,</w:t>
      </w:r>
      <w:r>
        <w:rPr>
          <w:spacing w:val="-8"/>
          <w:w w:val="105"/>
        </w:rPr>
        <w:t> </w:t>
      </w:r>
      <w:r>
        <w:rPr>
          <w:w w:val="105"/>
        </w:rPr>
        <w:t>or</w:t>
      </w:r>
      <w:r>
        <w:rPr>
          <w:spacing w:val="-8"/>
          <w:w w:val="105"/>
        </w:rPr>
        <w:t> </w:t>
      </w:r>
      <w:r>
        <w:rPr>
          <w:w w:val="105"/>
        </w:rPr>
        <w:t>final</w:t>
      </w:r>
      <w:r>
        <w:rPr>
          <w:spacing w:val="-8"/>
          <w:w w:val="105"/>
        </w:rPr>
        <w:t> </w:t>
      </w:r>
      <w:r>
        <w:rPr>
          <w:w w:val="105"/>
        </w:rPr>
        <w:t>decisions</w:t>
      </w:r>
      <w:r>
        <w:rPr>
          <w:spacing w:val="-8"/>
          <w:w w:val="105"/>
        </w:rPr>
        <w:t> </w:t>
      </w:r>
      <w:r>
        <w:rPr>
          <w:w w:val="105"/>
        </w:rPr>
        <w:t>in</w:t>
      </w:r>
      <w:r>
        <w:rPr>
          <w:spacing w:val="-8"/>
          <w:w w:val="105"/>
        </w:rPr>
        <w:t> </w:t>
      </w:r>
      <w:r>
        <w:rPr>
          <w:w w:val="105"/>
        </w:rPr>
        <w:t>matters</w:t>
      </w:r>
      <w:r>
        <w:rPr>
          <w:spacing w:val="-8"/>
          <w:w w:val="105"/>
        </w:rPr>
        <w:t> </w:t>
      </w:r>
      <w:r>
        <w:rPr>
          <w:w w:val="105"/>
        </w:rPr>
        <w:t>that</w:t>
      </w:r>
      <w:r>
        <w:rPr>
          <w:spacing w:val="-8"/>
          <w:w w:val="105"/>
        </w:rPr>
        <w:t> </w:t>
      </w:r>
      <w:r>
        <w:rPr>
          <w:w w:val="105"/>
        </w:rPr>
        <w:t>are</w:t>
      </w:r>
      <w:r>
        <w:rPr>
          <w:spacing w:val="-8"/>
          <w:w w:val="105"/>
        </w:rPr>
        <w:t> </w:t>
      </w:r>
      <w:r>
        <w:rPr>
          <w:w w:val="105"/>
        </w:rPr>
        <w:t>the</w:t>
      </w:r>
      <w:r>
        <w:rPr>
          <w:spacing w:val="-8"/>
          <w:w w:val="105"/>
        </w:rPr>
        <w:t> </w:t>
      </w:r>
      <w:r>
        <w:rPr>
          <w:w w:val="105"/>
        </w:rPr>
        <w:t>subject</w:t>
      </w:r>
      <w:r>
        <w:rPr>
          <w:spacing w:val="-8"/>
          <w:w w:val="105"/>
        </w:rPr>
        <w:t> </w:t>
      </w:r>
      <w:r>
        <w:rPr>
          <w:w w:val="105"/>
        </w:rPr>
        <w:t>of</w:t>
      </w:r>
      <w:r>
        <w:rPr>
          <w:spacing w:val="-8"/>
          <w:w w:val="105"/>
        </w:rPr>
        <w:t> </w:t>
      </w:r>
      <w:r>
        <w:rPr>
          <w:w w:val="105"/>
        </w:rPr>
        <w:t>controversy</w:t>
      </w:r>
      <w:r>
        <w:rPr>
          <w:spacing w:val="-6"/>
          <w:w w:val="105"/>
        </w:rPr>
        <w:t> </w:t>
      </w:r>
      <w:r>
        <w:rPr>
          <w:w w:val="105"/>
        </w:rPr>
        <w:t>in</w:t>
      </w:r>
      <w:r>
        <w:rPr>
          <w:spacing w:val="-8"/>
          <w:w w:val="105"/>
        </w:rPr>
        <w:t> </w:t>
      </w:r>
      <w:r>
        <w:rPr>
          <w:w w:val="105"/>
        </w:rPr>
        <w:t>various</w:t>
      </w:r>
      <w:r>
        <w:rPr>
          <w:spacing w:val="-8"/>
          <w:w w:val="105"/>
        </w:rPr>
        <w:t> </w:t>
      </w:r>
      <w:r>
        <w:rPr>
          <w:w w:val="105"/>
        </w:rPr>
        <w:t>jurisdictions.</w:t>
      </w:r>
      <w:r>
        <w:rPr>
          <w:spacing w:val="-8"/>
          <w:w w:val="105"/>
        </w:rPr>
        <w:t> </w:t>
      </w:r>
      <w:r>
        <w:rPr>
          <w:w w:val="105"/>
        </w:rPr>
        <w:t>Corning</w:t>
      </w:r>
      <w:r>
        <w:rPr>
          <w:spacing w:val="-8"/>
          <w:w w:val="105"/>
        </w:rPr>
        <w:t> </w:t>
      </w:r>
      <w:r>
        <w:rPr>
          <w:w w:val="105"/>
        </w:rPr>
        <w:t>believes</w:t>
      </w:r>
      <w:r>
        <w:rPr>
          <w:spacing w:val="-8"/>
          <w:w w:val="105"/>
        </w:rPr>
        <w:t> </w:t>
      </w:r>
      <w:r>
        <w:rPr>
          <w:w w:val="105"/>
        </w:rPr>
        <w:t>that</w:t>
      </w:r>
      <w:r>
        <w:rPr>
          <w:spacing w:val="-8"/>
          <w:w w:val="105"/>
        </w:rPr>
        <w:t> </w:t>
      </w:r>
      <w:r>
        <w:rPr>
          <w:w w:val="105"/>
        </w:rPr>
        <w:t>adequate</w:t>
      </w:r>
      <w:r>
        <w:rPr>
          <w:spacing w:val="-8"/>
          <w:w w:val="105"/>
        </w:rPr>
        <w:t> </w:t>
      </w:r>
      <w:r>
        <w:rPr>
          <w:w w:val="105"/>
        </w:rPr>
        <w:t>tax</w:t>
      </w:r>
      <w:r>
        <w:rPr>
          <w:spacing w:val="-8"/>
          <w:w w:val="105"/>
        </w:rPr>
        <w:t> </w:t>
      </w:r>
      <w:r>
        <w:rPr>
          <w:w w:val="105"/>
        </w:rPr>
        <w:t>reserves</w:t>
      </w:r>
      <w:r>
        <w:rPr>
          <w:spacing w:val="-8"/>
          <w:w w:val="105"/>
        </w:rPr>
        <w:t> </w:t>
      </w:r>
      <w:r>
        <w:rPr>
          <w:w w:val="105"/>
        </w:rPr>
        <w:t>are</w:t>
      </w:r>
      <w:r>
        <w:rPr>
          <w:spacing w:val="-8"/>
          <w:w w:val="105"/>
        </w:rPr>
        <w:t> </w:t>
      </w:r>
      <w:r>
        <w:rPr>
          <w:w w:val="105"/>
        </w:rPr>
        <w:t>provided</w:t>
      </w:r>
      <w:r>
        <w:rPr>
          <w:spacing w:val="-8"/>
          <w:w w:val="105"/>
        </w:rPr>
        <w:t> </w:t>
      </w:r>
      <w:r>
        <w:rPr>
          <w:w w:val="105"/>
        </w:rPr>
        <w:t>for</w:t>
      </w:r>
      <w:r>
        <w:rPr>
          <w:spacing w:val="-8"/>
          <w:w w:val="105"/>
        </w:rPr>
        <w:t> </w:t>
      </w:r>
      <w:r>
        <w:rPr>
          <w:w w:val="105"/>
        </w:rPr>
        <w:t>these</w:t>
      </w:r>
      <w:r>
        <w:rPr>
          <w:spacing w:val="-8"/>
          <w:w w:val="105"/>
        </w:rPr>
        <w:t> </w:t>
      </w:r>
      <w:r>
        <w:rPr>
          <w:w w:val="105"/>
        </w:rPr>
        <w:t>matters. However,</w:t>
      </w:r>
      <w:r>
        <w:rPr>
          <w:spacing w:val="-2"/>
          <w:w w:val="105"/>
        </w:rPr>
        <w:t> </w:t>
      </w:r>
      <w:r>
        <w:rPr>
          <w:w w:val="105"/>
        </w:rPr>
        <w:t>if</w:t>
      </w:r>
      <w:r>
        <w:rPr>
          <w:spacing w:val="-2"/>
          <w:w w:val="105"/>
        </w:rPr>
        <w:t> </w:t>
      </w:r>
      <w:r>
        <w:rPr>
          <w:w w:val="105"/>
        </w:rPr>
        <w:t>upon</w:t>
      </w:r>
      <w:r>
        <w:rPr>
          <w:spacing w:val="-2"/>
          <w:w w:val="105"/>
        </w:rPr>
        <w:t> </w:t>
      </w:r>
      <w:r>
        <w:rPr>
          <w:w w:val="105"/>
        </w:rPr>
        <w:t>conclusion</w:t>
      </w:r>
      <w:r>
        <w:rPr>
          <w:spacing w:val="-2"/>
          <w:w w:val="105"/>
        </w:rPr>
        <w:t> </w:t>
      </w:r>
      <w:r>
        <w:rPr>
          <w:w w:val="105"/>
        </w:rPr>
        <w:t>of</w:t>
      </w:r>
      <w:r>
        <w:rPr>
          <w:spacing w:val="-2"/>
          <w:w w:val="105"/>
        </w:rPr>
        <w:t> </w:t>
      </w:r>
      <w:r>
        <w:rPr>
          <w:w w:val="105"/>
        </w:rPr>
        <w:t>these</w:t>
      </w:r>
      <w:r>
        <w:rPr>
          <w:spacing w:val="-2"/>
          <w:w w:val="105"/>
        </w:rPr>
        <w:t> </w:t>
      </w:r>
      <w:r>
        <w:rPr>
          <w:w w:val="105"/>
        </w:rPr>
        <w:t>matters,</w:t>
      </w:r>
      <w:r>
        <w:rPr>
          <w:spacing w:val="-2"/>
          <w:w w:val="105"/>
        </w:rPr>
        <w:t> </w:t>
      </w:r>
      <w:r>
        <w:rPr>
          <w:w w:val="105"/>
        </w:rPr>
        <w:t>the</w:t>
      </w:r>
      <w:r>
        <w:rPr>
          <w:spacing w:val="-2"/>
          <w:w w:val="105"/>
        </w:rPr>
        <w:t> </w:t>
      </w:r>
      <w:r>
        <w:rPr>
          <w:w w:val="105"/>
        </w:rPr>
        <w:t>ultimate</w:t>
      </w:r>
      <w:r>
        <w:rPr>
          <w:spacing w:val="-2"/>
          <w:w w:val="105"/>
        </w:rPr>
        <w:t> </w:t>
      </w:r>
      <w:r>
        <w:rPr>
          <w:w w:val="105"/>
        </w:rPr>
        <w:t>determination</w:t>
      </w:r>
      <w:r>
        <w:rPr>
          <w:spacing w:val="-2"/>
          <w:w w:val="105"/>
        </w:rPr>
        <w:t> </w:t>
      </w:r>
      <w:r>
        <w:rPr>
          <w:w w:val="105"/>
        </w:rPr>
        <w:t>of</w:t>
      </w:r>
      <w:r>
        <w:rPr>
          <w:spacing w:val="-2"/>
          <w:w w:val="105"/>
        </w:rPr>
        <w:t> </w:t>
      </w:r>
      <w:r>
        <w:rPr>
          <w:w w:val="105"/>
        </w:rPr>
        <w:t>taxes</w:t>
      </w:r>
      <w:r>
        <w:rPr>
          <w:spacing w:val="-2"/>
          <w:w w:val="105"/>
        </w:rPr>
        <w:t> </w:t>
      </w:r>
      <w:r>
        <w:rPr>
          <w:w w:val="105"/>
        </w:rPr>
        <w:t>owed</w:t>
      </w:r>
      <w:r>
        <w:rPr>
          <w:spacing w:val="-2"/>
          <w:w w:val="105"/>
        </w:rPr>
        <w:t> </w:t>
      </w:r>
      <w:r>
        <w:rPr>
          <w:w w:val="105"/>
        </w:rPr>
        <w:t>is</w:t>
      </w:r>
      <w:r>
        <w:rPr>
          <w:spacing w:val="-2"/>
          <w:w w:val="105"/>
        </w:rPr>
        <w:t> </w:t>
      </w:r>
      <w:r>
        <w:rPr>
          <w:w w:val="105"/>
        </w:rPr>
        <w:t>for</w:t>
      </w:r>
      <w:r>
        <w:rPr>
          <w:spacing w:val="-2"/>
          <w:w w:val="105"/>
        </w:rPr>
        <w:t> </w:t>
      </w:r>
      <w:r>
        <w:rPr>
          <w:w w:val="105"/>
        </w:rPr>
        <w:t>an</w:t>
      </w:r>
      <w:r>
        <w:rPr>
          <w:spacing w:val="-2"/>
          <w:w w:val="105"/>
        </w:rPr>
        <w:t> </w:t>
      </w:r>
      <w:r>
        <w:rPr>
          <w:w w:val="105"/>
        </w:rPr>
        <w:t>amount</w:t>
      </w:r>
      <w:r>
        <w:rPr>
          <w:spacing w:val="-2"/>
          <w:w w:val="105"/>
        </w:rPr>
        <w:t> </w:t>
      </w:r>
      <w:r>
        <w:rPr>
          <w:w w:val="105"/>
        </w:rPr>
        <w:t>materially</w:t>
      </w:r>
      <w:r>
        <w:rPr>
          <w:spacing w:val="-2"/>
          <w:w w:val="105"/>
        </w:rPr>
        <w:t> </w:t>
      </w:r>
      <w:r>
        <w:rPr>
          <w:w w:val="105"/>
        </w:rPr>
        <w:t>different</w:t>
      </w:r>
      <w:r>
        <w:rPr>
          <w:spacing w:val="-2"/>
          <w:w w:val="105"/>
        </w:rPr>
        <w:t> </w:t>
      </w:r>
      <w:r>
        <w:rPr>
          <w:w w:val="105"/>
        </w:rPr>
        <w:t>than the</w:t>
      </w:r>
      <w:r>
        <w:rPr>
          <w:spacing w:val="-2"/>
          <w:w w:val="105"/>
        </w:rPr>
        <w:t> </w:t>
      </w:r>
      <w:r>
        <w:rPr>
          <w:w w:val="105"/>
        </w:rPr>
        <w:t>current</w:t>
      </w:r>
      <w:r>
        <w:rPr>
          <w:spacing w:val="-2"/>
          <w:w w:val="105"/>
        </w:rPr>
        <w:t> </w:t>
      </w:r>
      <w:r>
        <w:rPr>
          <w:w w:val="105"/>
        </w:rPr>
        <w:t>reserves,</w:t>
      </w:r>
      <w:r>
        <w:rPr>
          <w:spacing w:val="-2"/>
          <w:w w:val="105"/>
        </w:rPr>
        <w:t> </w:t>
      </w:r>
      <w:r>
        <w:rPr>
          <w:w w:val="105"/>
        </w:rPr>
        <w:t>the</w:t>
      </w:r>
      <w:r>
        <w:rPr>
          <w:spacing w:val="-2"/>
          <w:w w:val="105"/>
        </w:rPr>
        <w:t> </w:t>
      </w:r>
      <w:r>
        <w:rPr>
          <w:w w:val="105"/>
        </w:rPr>
        <w:t>Company’s overall</w:t>
      </w:r>
      <w:r>
        <w:rPr>
          <w:spacing w:val="-4"/>
          <w:w w:val="105"/>
        </w:rPr>
        <w:t> </w:t>
      </w:r>
      <w:r>
        <w:rPr>
          <w:w w:val="105"/>
        </w:rPr>
        <w:t>tax</w:t>
      </w:r>
      <w:r>
        <w:rPr>
          <w:spacing w:val="-4"/>
          <w:w w:val="105"/>
        </w:rPr>
        <w:t> </w:t>
      </w:r>
      <w:r>
        <w:rPr>
          <w:w w:val="105"/>
        </w:rPr>
        <w:t>expense</w:t>
      </w:r>
      <w:r>
        <w:rPr>
          <w:spacing w:val="-4"/>
          <w:w w:val="105"/>
        </w:rPr>
        <w:t> </w:t>
      </w:r>
      <w:r>
        <w:rPr>
          <w:w w:val="105"/>
        </w:rPr>
        <w:t>and</w:t>
      </w:r>
      <w:r>
        <w:rPr>
          <w:spacing w:val="-6"/>
          <w:w w:val="105"/>
        </w:rPr>
        <w:t> </w:t>
      </w:r>
      <w:r>
        <w:rPr>
          <w:w w:val="105"/>
        </w:rPr>
        <w:t>effective</w:t>
      </w:r>
      <w:r>
        <w:rPr>
          <w:spacing w:val="-4"/>
          <w:w w:val="105"/>
        </w:rPr>
        <w:t> </w:t>
      </w:r>
      <w:r>
        <w:rPr>
          <w:w w:val="105"/>
        </w:rPr>
        <w:t>tax</w:t>
      </w:r>
      <w:r>
        <w:rPr>
          <w:spacing w:val="-4"/>
          <w:w w:val="105"/>
        </w:rPr>
        <w:t> </w:t>
      </w:r>
      <w:r>
        <w:rPr>
          <w:w w:val="105"/>
        </w:rPr>
        <w:t>rate</w:t>
      </w:r>
      <w:r>
        <w:rPr>
          <w:spacing w:val="-4"/>
          <w:w w:val="105"/>
        </w:rPr>
        <w:t> </w:t>
      </w:r>
      <w:r>
        <w:rPr>
          <w:w w:val="105"/>
        </w:rPr>
        <w:t>could</w:t>
      </w:r>
      <w:r>
        <w:rPr>
          <w:spacing w:val="-4"/>
          <w:w w:val="105"/>
        </w:rPr>
        <w:t> </w:t>
      </w:r>
      <w:r>
        <w:rPr>
          <w:w w:val="105"/>
        </w:rPr>
        <w:t>be</w:t>
      </w:r>
      <w:r>
        <w:rPr>
          <w:spacing w:val="-4"/>
          <w:w w:val="105"/>
        </w:rPr>
        <w:t> </w:t>
      </w:r>
      <w:r>
        <w:rPr>
          <w:w w:val="105"/>
        </w:rPr>
        <w:t>materially</w:t>
      </w:r>
      <w:r>
        <w:rPr>
          <w:spacing w:val="-6"/>
          <w:w w:val="105"/>
        </w:rPr>
        <w:t> </w:t>
      </w:r>
      <w:r>
        <w:rPr>
          <w:w w:val="105"/>
        </w:rPr>
        <w:t>impacted</w:t>
      </w:r>
      <w:r>
        <w:rPr>
          <w:spacing w:val="-4"/>
          <w:w w:val="105"/>
        </w:rPr>
        <w:t> </w:t>
      </w:r>
      <w:r>
        <w:rPr>
          <w:w w:val="105"/>
        </w:rPr>
        <w:t>in</w:t>
      </w:r>
      <w:r>
        <w:rPr>
          <w:spacing w:val="-4"/>
          <w:w w:val="105"/>
        </w:rPr>
        <w:t> </w:t>
      </w:r>
      <w:r>
        <w:rPr>
          <w:w w:val="105"/>
        </w:rPr>
        <w:t>the</w:t>
      </w:r>
      <w:r>
        <w:rPr>
          <w:spacing w:val="-4"/>
          <w:w w:val="105"/>
        </w:rPr>
        <w:t> </w:t>
      </w:r>
      <w:r>
        <w:rPr>
          <w:w w:val="105"/>
        </w:rPr>
        <w:t>period</w:t>
      </w:r>
      <w:r>
        <w:rPr>
          <w:spacing w:val="-4"/>
          <w:w w:val="105"/>
        </w:rPr>
        <w:t> </w:t>
      </w:r>
      <w:r>
        <w:rPr>
          <w:w w:val="105"/>
        </w:rPr>
        <w:t>of</w:t>
      </w:r>
      <w:r>
        <w:rPr>
          <w:spacing w:val="-6"/>
          <w:w w:val="105"/>
        </w:rPr>
        <w:t> </w:t>
      </w:r>
      <w:r>
        <w:rPr>
          <w:w w:val="105"/>
        </w:rPr>
        <w:t>adjustment.</w:t>
      </w:r>
      <w:r>
        <w:rPr>
          <w:spacing w:val="-4"/>
          <w:w w:val="105"/>
        </w:rPr>
        <w:t> </w:t>
      </w:r>
      <w:r>
        <w:rPr>
          <w:w w:val="105"/>
        </w:rPr>
        <w:t>As</w:t>
      </w:r>
      <w:r>
        <w:rPr>
          <w:spacing w:val="-4"/>
          <w:w w:val="105"/>
        </w:rPr>
        <w:t> </w:t>
      </w:r>
      <w:r>
        <w:rPr>
          <w:w w:val="105"/>
        </w:rPr>
        <w:t>of</w:t>
      </w:r>
      <w:r>
        <w:rPr>
          <w:spacing w:val="-7"/>
          <w:w w:val="105"/>
        </w:rPr>
        <w:t> </w:t>
      </w:r>
      <w:r>
        <w:rPr>
          <w:w w:val="105"/>
        </w:rPr>
        <w:t>December</w:t>
      </w:r>
      <w:r>
        <w:rPr>
          <w:spacing w:val="-4"/>
          <w:w w:val="105"/>
        </w:rPr>
        <w:t> </w:t>
      </w:r>
      <w:r>
        <w:rPr>
          <w:w w:val="105"/>
        </w:rPr>
        <w:t>31,</w:t>
      </w:r>
      <w:r>
        <w:rPr>
          <w:spacing w:val="-4"/>
          <w:w w:val="105"/>
        </w:rPr>
        <w:t> </w:t>
      </w:r>
      <w:r>
        <w:rPr>
          <w:w w:val="105"/>
        </w:rPr>
        <w:t>2021,</w:t>
      </w:r>
      <w:r>
        <w:rPr>
          <w:spacing w:val="-4"/>
          <w:w w:val="105"/>
        </w:rPr>
        <w:t> </w:t>
      </w:r>
      <w:r>
        <w:rPr>
          <w:w w:val="105"/>
        </w:rPr>
        <w:t>the</w:t>
      </w:r>
      <w:r>
        <w:rPr>
          <w:spacing w:val="-4"/>
          <w:w w:val="105"/>
        </w:rPr>
        <w:t> </w:t>
      </w:r>
      <w:r>
        <w:rPr>
          <w:w w:val="105"/>
        </w:rPr>
        <w:t>company</w:t>
      </w:r>
      <w:r>
        <w:rPr>
          <w:spacing w:val="-4"/>
          <w:w w:val="105"/>
        </w:rPr>
        <w:t> </w:t>
      </w:r>
      <w:r>
        <w:rPr>
          <w:w w:val="105"/>
        </w:rPr>
        <w:t>is</w:t>
      </w:r>
      <w:r>
        <w:rPr>
          <w:spacing w:val="-3"/>
          <w:w w:val="105"/>
        </w:rPr>
        <w:t> </w:t>
      </w:r>
      <w:r>
        <w:rPr>
          <w:w w:val="105"/>
        </w:rPr>
        <w:t>not</w:t>
      </w:r>
      <w:r>
        <w:rPr>
          <w:spacing w:val="-4"/>
          <w:w w:val="105"/>
        </w:rPr>
        <w:t> </w:t>
      </w:r>
      <w:r>
        <w:rPr>
          <w:w w:val="105"/>
        </w:rPr>
        <w:t>expecting</w:t>
      </w:r>
      <w:r>
        <w:rPr>
          <w:spacing w:val="-4"/>
          <w:w w:val="105"/>
        </w:rPr>
        <w:t> </w:t>
      </w:r>
      <w:r>
        <w:rPr>
          <w:w w:val="105"/>
        </w:rPr>
        <w:t>any</w:t>
      </w:r>
      <w:r>
        <w:rPr>
          <w:spacing w:val="-4"/>
          <w:w w:val="105"/>
        </w:rPr>
        <w:t> </w:t>
      </w:r>
      <w:r>
        <w:rPr>
          <w:w w:val="105"/>
        </w:rPr>
        <w:t>significant movements in the uncertain tax benefits in the next twelve months.</w:t>
      </w:r>
    </w:p>
    <w:p>
      <w:pPr>
        <w:pStyle w:val="BodyText"/>
        <w:spacing w:before="18"/>
      </w:pPr>
    </w:p>
    <w:p>
      <w:pPr>
        <w:pStyle w:val="BodyText"/>
        <w:spacing w:line="266" w:lineRule="auto"/>
        <w:ind w:left="156"/>
      </w:pPr>
      <w:r>
        <w:rPr>
          <w:w w:val="105"/>
        </w:rPr>
        <w:t>Corning</w:t>
      </w:r>
      <w:r>
        <w:rPr>
          <w:spacing w:val="-9"/>
          <w:w w:val="105"/>
        </w:rPr>
        <w:t> </w:t>
      </w:r>
      <w:r>
        <w:rPr>
          <w:w w:val="105"/>
        </w:rPr>
        <w:t>Incorporated,</w:t>
      </w:r>
      <w:r>
        <w:rPr>
          <w:spacing w:val="-9"/>
          <w:w w:val="105"/>
        </w:rPr>
        <w:t> </w:t>
      </w:r>
      <w:r>
        <w:rPr>
          <w:w w:val="105"/>
        </w:rPr>
        <w:t>as</w:t>
      </w:r>
      <w:r>
        <w:rPr>
          <w:spacing w:val="-9"/>
          <w:w w:val="105"/>
        </w:rPr>
        <w:t> </w:t>
      </w:r>
      <w:r>
        <w:rPr>
          <w:w w:val="105"/>
        </w:rPr>
        <w:t>the</w:t>
      </w:r>
      <w:r>
        <w:rPr>
          <w:spacing w:val="-9"/>
          <w:w w:val="105"/>
        </w:rPr>
        <w:t> </w:t>
      </w:r>
      <w:r>
        <w:rPr>
          <w:w w:val="105"/>
        </w:rPr>
        <w:t>common</w:t>
      </w:r>
      <w:r>
        <w:rPr>
          <w:spacing w:val="-9"/>
          <w:w w:val="105"/>
        </w:rPr>
        <w:t> </w:t>
      </w:r>
      <w:r>
        <w:rPr>
          <w:w w:val="105"/>
        </w:rPr>
        <w:t>parent</w:t>
      </w:r>
      <w:r>
        <w:rPr>
          <w:spacing w:val="-9"/>
          <w:w w:val="105"/>
        </w:rPr>
        <w:t> </w:t>
      </w:r>
      <w:r>
        <w:rPr>
          <w:w w:val="105"/>
        </w:rPr>
        <w:t>company,</w:t>
      </w:r>
      <w:r>
        <w:rPr>
          <w:spacing w:val="-9"/>
          <w:w w:val="105"/>
        </w:rPr>
        <w:t> </w:t>
      </w:r>
      <w:r>
        <w:rPr>
          <w:w w:val="105"/>
        </w:rPr>
        <w:t>and</w:t>
      </w:r>
      <w:r>
        <w:rPr>
          <w:spacing w:val="-9"/>
          <w:w w:val="105"/>
        </w:rPr>
        <w:t> </w:t>
      </w:r>
      <w:r>
        <w:rPr>
          <w:w w:val="105"/>
        </w:rPr>
        <w:t>all</w:t>
      </w:r>
      <w:r>
        <w:rPr>
          <w:spacing w:val="-7"/>
          <w:w w:val="105"/>
        </w:rPr>
        <w:t> </w:t>
      </w:r>
      <w:r>
        <w:rPr>
          <w:w w:val="105"/>
        </w:rPr>
        <w:t>80%-or-more-owned</w:t>
      </w:r>
      <w:r>
        <w:rPr>
          <w:spacing w:val="-9"/>
          <w:w w:val="105"/>
        </w:rPr>
        <w:t> </w:t>
      </w:r>
      <w:r>
        <w:rPr>
          <w:w w:val="105"/>
        </w:rPr>
        <w:t>of</w:t>
      </w:r>
      <w:r>
        <w:rPr>
          <w:spacing w:val="-9"/>
          <w:w w:val="105"/>
        </w:rPr>
        <w:t> </w:t>
      </w:r>
      <w:r>
        <w:rPr>
          <w:w w:val="105"/>
        </w:rPr>
        <w:t>its</w:t>
      </w:r>
      <w:r>
        <w:rPr>
          <w:spacing w:val="-9"/>
          <w:w w:val="105"/>
        </w:rPr>
        <w:t> </w:t>
      </w:r>
      <w:r>
        <w:rPr>
          <w:w w:val="105"/>
        </w:rPr>
        <w:t>U.S.</w:t>
      </w:r>
      <w:r>
        <w:rPr>
          <w:spacing w:val="-9"/>
          <w:w w:val="105"/>
        </w:rPr>
        <w:t> </w:t>
      </w:r>
      <w:r>
        <w:rPr>
          <w:w w:val="105"/>
        </w:rPr>
        <w:t>subsidiaries</w:t>
      </w:r>
      <w:r>
        <w:rPr>
          <w:spacing w:val="-9"/>
          <w:w w:val="105"/>
        </w:rPr>
        <w:t> </w:t>
      </w:r>
      <w:r>
        <w:rPr>
          <w:w w:val="105"/>
        </w:rPr>
        <w:t>join</w:t>
      </w:r>
      <w:r>
        <w:rPr>
          <w:spacing w:val="-9"/>
          <w:w w:val="105"/>
        </w:rPr>
        <w:t> </w:t>
      </w:r>
      <w:r>
        <w:rPr>
          <w:w w:val="105"/>
        </w:rPr>
        <w:t>in</w:t>
      </w:r>
      <w:r>
        <w:rPr>
          <w:spacing w:val="-9"/>
          <w:w w:val="105"/>
        </w:rPr>
        <w:t> </w:t>
      </w:r>
      <w:r>
        <w:rPr>
          <w:w w:val="105"/>
        </w:rPr>
        <w:t>the</w:t>
      </w:r>
      <w:r>
        <w:rPr>
          <w:spacing w:val="-9"/>
          <w:w w:val="105"/>
        </w:rPr>
        <w:t> </w:t>
      </w:r>
      <w:r>
        <w:rPr>
          <w:w w:val="105"/>
        </w:rPr>
        <w:t>filing</w:t>
      </w:r>
      <w:r>
        <w:rPr>
          <w:spacing w:val="-9"/>
          <w:w w:val="105"/>
        </w:rPr>
        <w:t> </w:t>
      </w:r>
      <w:r>
        <w:rPr>
          <w:w w:val="105"/>
        </w:rPr>
        <w:t>of</w:t>
      </w:r>
      <w:r>
        <w:rPr>
          <w:spacing w:val="-9"/>
          <w:w w:val="105"/>
        </w:rPr>
        <w:t> </w:t>
      </w:r>
      <w:r>
        <w:rPr>
          <w:w w:val="105"/>
        </w:rPr>
        <w:t>consolidated</w:t>
      </w:r>
      <w:r>
        <w:rPr>
          <w:spacing w:val="-9"/>
          <w:w w:val="105"/>
        </w:rPr>
        <w:t> </w:t>
      </w:r>
      <w:r>
        <w:rPr>
          <w:w w:val="105"/>
        </w:rPr>
        <w:t>U.S.</w:t>
      </w:r>
      <w:r>
        <w:rPr>
          <w:spacing w:val="-9"/>
          <w:w w:val="105"/>
        </w:rPr>
        <w:t> </w:t>
      </w:r>
      <w:r>
        <w:rPr>
          <w:w w:val="105"/>
        </w:rPr>
        <w:t>federal</w:t>
      </w:r>
      <w:r>
        <w:rPr>
          <w:spacing w:val="-9"/>
          <w:w w:val="105"/>
        </w:rPr>
        <w:t> </w:t>
      </w:r>
      <w:r>
        <w:rPr>
          <w:w w:val="105"/>
        </w:rPr>
        <w:t>income</w:t>
      </w:r>
      <w:r>
        <w:rPr>
          <w:spacing w:val="-7"/>
          <w:w w:val="105"/>
        </w:rPr>
        <w:t> </w:t>
      </w:r>
      <w:r>
        <w:rPr>
          <w:w w:val="105"/>
        </w:rPr>
        <w:t>tax</w:t>
      </w:r>
      <w:r>
        <w:rPr>
          <w:spacing w:val="-9"/>
          <w:w w:val="105"/>
        </w:rPr>
        <w:t> </w:t>
      </w:r>
      <w:r>
        <w:rPr>
          <w:w w:val="105"/>
        </w:rPr>
        <w:t>returns. The</w:t>
      </w:r>
      <w:r>
        <w:rPr>
          <w:spacing w:val="-3"/>
          <w:w w:val="105"/>
        </w:rPr>
        <w:t> </w:t>
      </w:r>
      <w:r>
        <w:rPr>
          <w:w w:val="105"/>
        </w:rPr>
        <w:t>statute</w:t>
      </w:r>
      <w:r>
        <w:rPr>
          <w:spacing w:val="-3"/>
          <w:w w:val="105"/>
        </w:rPr>
        <w:t> </w:t>
      </w:r>
      <w:r>
        <w:rPr>
          <w:w w:val="105"/>
        </w:rPr>
        <w:t>of</w:t>
      </w:r>
      <w:r>
        <w:rPr>
          <w:spacing w:val="-3"/>
          <w:w w:val="105"/>
        </w:rPr>
        <w:t> </w:t>
      </w:r>
      <w:r>
        <w:rPr>
          <w:w w:val="105"/>
        </w:rPr>
        <w:t>limitations</w:t>
      </w:r>
      <w:r>
        <w:rPr>
          <w:spacing w:val="-3"/>
          <w:w w:val="105"/>
        </w:rPr>
        <w:t> </w:t>
      </w:r>
      <w:r>
        <w:rPr>
          <w:w w:val="105"/>
        </w:rPr>
        <w:t>is</w:t>
      </w:r>
      <w:r>
        <w:rPr>
          <w:spacing w:val="-3"/>
          <w:w w:val="105"/>
        </w:rPr>
        <w:t> </w:t>
      </w:r>
      <w:r>
        <w:rPr>
          <w:w w:val="105"/>
        </w:rPr>
        <w:t>closed</w:t>
      </w:r>
      <w:r>
        <w:rPr>
          <w:spacing w:val="-3"/>
          <w:w w:val="105"/>
        </w:rPr>
        <w:t> </w:t>
      </w:r>
      <w:r>
        <w:rPr>
          <w:w w:val="105"/>
        </w:rPr>
        <w:t>for</w:t>
      </w:r>
      <w:r>
        <w:rPr>
          <w:spacing w:val="-3"/>
          <w:w w:val="105"/>
        </w:rPr>
        <w:t> </w:t>
      </w:r>
      <w:r>
        <w:rPr>
          <w:w w:val="105"/>
        </w:rPr>
        <w:t>all</w:t>
      </w:r>
      <w:r>
        <w:rPr>
          <w:spacing w:val="-3"/>
          <w:w w:val="105"/>
        </w:rPr>
        <w:t> </w:t>
      </w:r>
      <w:r>
        <w:rPr>
          <w:w w:val="105"/>
        </w:rPr>
        <w:t>periods</w:t>
      </w:r>
      <w:r>
        <w:rPr>
          <w:spacing w:val="-3"/>
          <w:w w:val="105"/>
        </w:rPr>
        <w:t> </w:t>
      </w:r>
      <w:r>
        <w:rPr>
          <w:w w:val="105"/>
        </w:rPr>
        <w:t>ending</w:t>
      </w:r>
      <w:r>
        <w:rPr>
          <w:spacing w:val="-3"/>
          <w:w w:val="105"/>
        </w:rPr>
        <w:t> </w:t>
      </w:r>
      <w:r>
        <w:rPr>
          <w:w w:val="105"/>
        </w:rPr>
        <w:t>through</w:t>
      </w:r>
      <w:r>
        <w:rPr>
          <w:spacing w:val="-2"/>
          <w:w w:val="105"/>
        </w:rPr>
        <w:t> </w:t>
      </w:r>
      <w:r>
        <w:rPr>
          <w:w w:val="105"/>
        </w:rPr>
        <w:t>December</w:t>
      </w:r>
      <w:r>
        <w:rPr>
          <w:spacing w:val="-2"/>
          <w:w w:val="105"/>
        </w:rPr>
        <w:t> </w:t>
      </w:r>
      <w:r>
        <w:rPr>
          <w:w w:val="105"/>
        </w:rPr>
        <w:t>31,</w:t>
      </w:r>
      <w:r>
        <w:rPr>
          <w:spacing w:val="-3"/>
          <w:w w:val="105"/>
        </w:rPr>
        <w:t> </w:t>
      </w:r>
      <w:r>
        <w:rPr>
          <w:w w:val="105"/>
        </w:rPr>
        <w:t>2012.</w:t>
      </w:r>
      <w:r>
        <w:rPr>
          <w:spacing w:val="-3"/>
          <w:w w:val="105"/>
        </w:rPr>
        <w:t> </w:t>
      </w:r>
      <w:r>
        <w:rPr>
          <w:w w:val="105"/>
        </w:rPr>
        <w:t>All</w:t>
      </w:r>
      <w:r>
        <w:rPr>
          <w:spacing w:val="-3"/>
          <w:w w:val="105"/>
        </w:rPr>
        <w:t> </w:t>
      </w:r>
      <w:r>
        <w:rPr>
          <w:w w:val="105"/>
        </w:rPr>
        <w:t>returns</w:t>
      </w:r>
      <w:r>
        <w:rPr>
          <w:spacing w:val="-3"/>
          <w:w w:val="105"/>
        </w:rPr>
        <w:t> </w:t>
      </w:r>
      <w:r>
        <w:rPr>
          <w:w w:val="105"/>
        </w:rPr>
        <w:t>for</w:t>
      </w:r>
      <w:r>
        <w:rPr>
          <w:spacing w:val="-3"/>
          <w:w w:val="105"/>
        </w:rPr>
        <w:t> </w:t>
      </w:r>
      <w:r>
        <w:rPr>
          <w:w w:val="105"/>
        </w:rPr>
        <w:t>periods</w:t>
      </w:r>
      <w:r>
        <w:rPr>
          <w:spacing w:val="-3"/>
          <w:w w:val="105"/>
        </w:rPr>
        <w:t> </w:t>
      </w:r>
      <w:r>
        <w:rPr>
          <w:w w:val="105"/>
        </w:rPr>
        <w:t>ended</w:t>
      </w:r>
      <w:r>
        <w:rPr>
          <w:spacing w:val="-1"/>
          <w:w w:val="105"/>
        </w:rPr>
        <w:t> </w:t>
      </w:r>
      <w:r>
        <w:rPr>
          <w:w w:val="105"/>
        </w:rPr>
        <w:t>through</w:t>
      </w:r>
      <w:r>
        <w:rPr>
          <w:spacing w:val="-3"/>
          <w:w w:val="105"/>
        </w:rPr>
        <w:t> </w:t>
      </w:r>
      <w:r>
        <w:rPr>
          <w:w w:val="105"/>
        </w:rPr>
        <w:t>December</w:t>
      </w:r>
      <w:r>
        <w:rPr>
          <w:spacing w:val="-2"/>
          <w:w w:val="105"/>
        </w:rPr>
        <w:t> </w:t>
      </w:r>
      <w:r>
        <w:rPr>
          <w:w w:val="105"/>
        </w:rPr>
        <w:t>31,</w:t>
      </w:r>
      <w:r>
        <w:rPr>
          <w:spacing w:val="-3"/>
          <w:w w:val="105"/>
        </w:rPr>
        <w:t> </w:t>
      </w:r>
      <w:r>
        <w:rPr>
          <w:w w:val="105"/>
        </w:rPr>
        <w:t>2014,</w:t>
      </w:r>
      <w:r>
        <w:rPr>
          <w:spacing w:val="-3"/>
          <w:w w:val="105"/>
        </w:rPr>
        <w:t> </w:t>
      </w:r>
      <w:r>
        <w:rPr>
          <w:w w:val="105"/>
        </w:rPr>
        <w:t>have</w:t>
      </w:r>
      <w:r>
        <w:rPr>
          <w:spacing w:val="-3"/>
          <w:w w:val="105"/>
        </w:rPr>
        <w:t> </w:t>
      </w:r>
      <w:r>
        <w:rPr>
          <w:w w:val="105"/>
        </w:rPr>
        <w:t>been</w:t>
      </w:r>
      <w:r>
        <w:rPr>
          <w:spacing w:val="-3"/>
          <w:w w:val="105"/>
        </w:rPr>
        <w:t> </w:t>
      </w:r>
      <w:r>
        <w:rPr>
          <w:w w:val="105"/>
        </w:rPr>
        <w:t>audited</w:t>
      </w:r>
      <w:r>
        <w:rPr>
          <w:spacing w:val="-3"/>
          <w:w w:val="105"/>
        </w:rPr>
        <w:t> </w:t>
      </w:r>
      <w:r>
        <w:rPr>
          <w:w w:val="105"/>
        </w:rPr>
        <w:t>by</w:t>
      </w:r>
      <w:r>
        <w:rPr>
          <w:spacing w:val="-3"/>
          <w:w w:val="105"/>
        </w:rPr>
        <w:t> </w:t>
      </w:r>
      <w:r>
        <w:rPr>
          <w:w w:val="105"/>
        </w:rPr>
        <w:t>and settled with the IRS.</w:t>
      </w:r>
    </w:p>
    <w:p>
      <w:pPr>
        <w:pStyle w:val="BodyText"/>
        <w:spacing w:before="19"/>
      </w:pPr>
    </w:p>
    <w:p>
      <w:pPr>
        <w:pStyle w:val="BodyText"/>
        <w:spacing w:line="266" w:lineRule="auto"/>
        <w:ind w:left="156" w:right="324"/>
        <w:jc w:val="both"/>
      </w:pPr>
      <w:r>
        <w:rPr>
          <w:w w:val="105"/>
        </w:rPr>
        <w:t>Corning</w:t>
      </w:r>
      <w:r>
        <w:rPr>
          <w:spacing w:val="-8"/>
          <w:w w:val="105"/>
        </w:rPr>
        <w:t> </w:t>
      </w:r>
      <w:r>
        <w:rPr>
          <w:w w:val="105"/>
        </w:rPr>
        <w:t>Incorporated</w:t>
      </w:r>
      <w:r>
        <w:rPr>
          <w:spacing w:val="-8"/>
          <w:w w:val="105"/>
        </w:rPr>
        <w:t> </w:t>
      </w:r>
      <w:r>
        <w:rPr>
          <w:w w:val="105"/>
        </w:rPr>
        <w:t>and</w:t>
      </w:r>
      <w:r>
        <w:rPr>
          <w:spacing w:val="-8"/>
          <w:w w:val="105"/>
        </w:rPr>
        <w:t> </w:t>
      </w:r>
      <w:r>
        <w:rPr>
          <w:w w:val="105"/>
        </w:rPr>
        <w:t>its</w:t>
      </w:r>
      <w:r>
        <w:rPr>
          <w:spacing w:val="-8"/>
          <w:w w:val="105"/>
        </w:rPr>
        <w:t> </w:t>
      </w:r>
      <w:r>
        <w:rPr>
          <w:w w:val="105"/>
        </w:rPr>
        <w:t>U.S.</w:t>
      </w:r>
      <w:r>
        <w:rPr>
          <w:spacing w:val="-8"/>
          <w:w w:val="105"/>
        </w:rPr>
        <w:t> </w:t>
      </w:r>
      <w:r>
        <w:rPr>
          <w:w w:val="105"/>
        </w:rPr>
        <w:t>subsidiaries</w:t>
      </w:r>
      <w:r>
        <w:rPr>
          <w:spacing w:val="-8"/>
          <w:w w:val="105"/>
        </w:rPr>
        <w:t> </w:t>
      </w:r>
      <w:r>
        <w:rPr>
          <w:w w:val="105"/>
        </w:rPr>
        <w:t>file</w:t>
      </w:r>
      <w:r>
        <w:rPr>
          <w:spacing w:val="-8"/>
          <w:w w:val="105"/>
        </w:rPr>
        <w:t> </w:t>
      </w:r>
      <w:r>
        <w:rPr>
          <w:w w:val="105"/>
        </w:rPr>
        <w:t>income</w:t>
      </w:r>
      <w:r>
        <w:rPr>
          <w:spacing w:val="-8"/>
          <w:w w:val="105"/>
        </w:rPr>
        <w:t> </w:t>
      </w:r>
      <w:r>
        <w:rPr>
          <w:w w:val="105"/>
        </w:rPr>
        <w:t>tax</w:t>
      </w:r>
      <w:r>
        <w:rPr>
          <w:spacing w:val="-7"/>
          <w:w w:val="105"/>
        </w:rPr>
        <w:t> </w:t>
      </w:r>
      <w:r>
        <w:rPr>
          <w:w w:val="105"/>
        </w:rPr>
        <w:t>returns</w:t>
      </w:r>
      <w:r>
        <w:rPr>
          <w:spacing w:val="-8"/>
          <w:w w:val="105"/>
        </w:rPr>
        <w:t> </w:t>
      </w:r>
      <w:r>
        <w:rPr>
          <w:w w:val="105"/>
        </w:rPr>
        <w:t>on</w:t>
      </w:r>
      <w:r>
        <w:rPr>
          <w:spacing w:val="-8"/>
          <w:w w:val="105"/>
        </w:rPr>
        <w:t> </w:t>
      </w:r>
      <w:r>
        <w:rPr>
          <w:w w:val="105"/>
        </w:rPr>
        <w:t>a</w:t>
      </w:r>
      <w:r>
        <w:rPr>
          <w:spacing w:val="-8"/>
          <w:w w:val="105"/>
        </w:rPr>
        <w:t> </w:t>
      </w:r>
      <w:r>
        <w:rPr>
          <w:w w:val="105"/>
        </w:rPr>
        <w:t>combined,</w:t>
      </w:r>
      <w:r>
        <w:rPr>
          <w:spacing w:val="-8"/>
          <w:w w:val="105"/>
        </w:rPr>
        <w:t> </w:t>
      </w:r>
      <w:r>
        <w:rPr>
          <w:w w:val="105"/>
        </w:rPr>
        <w:t>unitary</w:t>
      </w:r>
      <w:r>
        <w:rPr>
          <w:spacing w:val="-8"/>
          <w:w w:val="105"/>
        </w:rPr>
        <w:t> </w:t>
      </w:r>
      <w:r>
        <w:rPr>
          <w:w w:val="105"/>
        </w:rPr>
        <w:t>or</w:t>
      </w:r>
      <w:r>
        <w:rPr>
          <w:spacing w:val="-8"/>
          <w:w w:val="105"/>
        </w:rPr>
        <w:t> </w:t>
      </w:r>
      <w:r>
        <w:rPr>
          <w:w w:val="105"/>
        </w:rPr>
        <w:t>stand-alone</w:t>
      </w:r>
      <w:r>
        <w:rPr>
          <w:spacing w:val="-8"/>
          <w:w w:val="105"/>
        </w:rPr>
        <w:t> </w:t>
      </w:r>
      <w:r>
        <w:rPr>
          <w:w w:val="105"/>
        </w:rPr>
        <w:t>basis</w:t>
      </w:r>
      <w:r>
        <w:rPr>
          <w:spacing w:val="-8"/>
          <w:w w:val="105"/>
        </w:rPr>
        <w:t> </w:t>
      </w:r>
      <w:r>
        <w:rPr>
          <w:w w:val="105"/>
        </w:rPr>
        <w:t>in</w:t>
      </w:r>
      <w:r>
        <w:rPr>
          <w:spacing w:val="-8"/>
          <w:w w:val="105"/>
        </w:rPr>
        <w:t> </w:t>
      </w:r>
      <w:r>
        <w:rPr>
          <w:w w:val="105"/>
        </w:rPr>
        <w:t>multiple</w:t>
      </w:r>
      <w:r>
        <w:rPr>
          <w:spacing w:val="-8"/>
          <w:w w:val="105"/>
        </w:rPr>
        <w:t> </w:t>
      </w:r>
      <w:r>
        <w:rPr>
          <w:w w:val="105"/>
        </w:rPr>
        <w:t>state</w:t>
      </w:r>
      <w:r>
        <w:rPr>
          <w:spacing w:val="-8"/>
          <w:w w:val="105"/>
        </w:rPr>
        <w:t> </w:t>
      </w:r>
      <w:r>
        <w:rPr>
          <w:w w:val="105"/>
        </w:rPr>
        <w:t>and</w:t>
      </w:r>
      <w:r>
        <w:rPr>
          <w:spacing w:val="-8"/>
          <w:w w:val="105"/>
        </w:rPr>
        <w:t> </w:t>
      </w:r>
      <w:r>
        <w:rPr>
          <w:w w:val="105"/>
        </w:rPr>
        <w:t>local</w:t>
      </w:r>
      <w:r>
        <w:rPr>
          <w:spacing w:val="-8"/>
          <w:w w:val="105"/>
        </w:rPr>
        <w:t> </w:t>
      </w:r>
      <w:r>
        <w:rPr>
          <w:w w:val="105"/>
        </w:rPr>
        <w:t>jurisdictions,</w:t>
      </w:r>
      <w:r>
        <w:rPr>
          <w:spacing w:val="-8"/>
          <w:w w:val="105"/>
        </w:rPr>
        <w:t> </w:t>
      </w:r>
      <w:r>
        <w:rPr>
          <w:w w:val="105"/>
        </w:rPr>
        <w:t>which</w:t>
      </w:r>
      <w:r>
        <w:rPr>
          <w:spacing w:val="-8"/>
          <w:w w:val="105"/>
        </w:rPr>
        <w:t> </w:t>
      </w:r>
      <w:r>
        <w:rPr>
          <w:w w:val="105"/>
        </w:rPr>
        <w:t>generally have</w:t>
      </w:r>
      <w:r>
        <w:rPr>
          <w:spacing w:val="-7"/>
          <w:w w:val="105"/>
        </w:rPr>
        <w:t> </w:t>
      </w:r>
      <w:r>
        <w:rPr>
          <w:w w:val="105"/>
        </w:rPr>
        <w:t>statutes</w:t>
      </w:r>
      <w:r>
        <w:rPr>
          <w:spacing w:val="-7"/>
          <w:w w:val="105"/>
        </w:rPr>
        <w:t> </w:t>
      </w:r>
      <w:r>
        <w:rPr>
          <w:w w:val="105"/>
        </w:rPr>
        <w:t>of</w:t>
      </w:r>
      <w:r>
        <w:rPr>
          <w:spacing w:val="-7"/>
          <w:w w:val="105"/>
        </w:rPr>
        <w:t> </w:t>
      </w:r>
      <w:r>
        <w:rPr>
          <w:w w:val="105"/>
        </w:rPr>
        <w:t>limitations</w:t>
      </w:r>
      <w:r>
        <w:rPr>
          <w:spacing w:val="-7"/>
          <w:w w:val="105"/>
        </w:rPr>
        <w:t> </w:t>
      </w:r>
      <w:r>
        <w:rPr>
          <w:w w:val="105"/>
        </w:rPr>
        <w:t>ranging</w:t>
      </w:r>
      <w:r>
        <w:rPr>
          <w:spacing w:val="-7"/>
          <w:w w:val="105"/>
        </w:rPr>
        <w:t> </w:t>
      </w:r>
      <w:r>
        <w:rPr>
          <w:w w:val="105"/>
        </w:rPr>
        <w:t>from</w:t>
      </w:r>
      <w:r>
        <w:rPr>
          <w:spacing w:val="-5"/>
          <w:w w:val="105"/>
        </w:rPr>
        <w:t> </w:t>
      </w:r>
      <w:r>
        <w:rPr>
          <w:w w:val="105"/>
        </w:rPr>
        <w:t>3</w:t>
      </w:r>
      <w:r>
        <w:rPr>
          <w:spacing w:val="-7"/>
          <w:w w:val="105"/>
        </w:rPr>
        <w:t> </w:t>
      </w:r>
      <w:r>
        <w:rPr>
          <w:w w:val="105"/>
        </w:rPr>
        <w:t>to</w:t>
      </w:r>
      <w:r>
        <w:rPr>
          <w:spacing w:val="-7"/>
          <w:w w:val="105"/>
        </w:rPr>
        <w:t> </w:t>
      </w:r>
      <w:r>
        <w:rPr>
          <w:w w:val="105"/>
        </w:rPr>
        <w:t>5</w:t>
      </w:r>
      <w:r>
        <w:rPr>
          <w:spacing w:val="-7"/>
          <w:w w:val="105"/>
        </w:rPr>
        <w:t> </w:t>
      </w:r>
      <w:r>
        <w:rPr>
          <w:w w:val="105"/>
        </w:rPr>
        <w:t>years.</w:t>
      </w:r>
      <w:r>
        <w:rPr>
          <w:spacing w:val="-7"/>
          <w:w w:val="105"/>
        </w:rPr>
        <w:t> </w:t>
      </w:r>
      <w:r>
        <w:rPr>
          <w:w w:val="105"/>
        </w:rPr>
        <w:t>Various</w:t>
      </w:r>
      <w:r>
        <w:rPr>
          <w:spacing w:val="-7"/>
          <w:w w:val="105"/>
        </w:rPr>
        <w:t> </w:t>
      </w:r>
      <w:r>
        <w:rPr>
          <w:w w:val="105"/>
        </w:rPr>
        <w:t>state</w:t>
      </w:r>
      <w:r>
        <w:rPr>
          <w:spacing w:val="-7"/>
          <w:w w:val="105"/>
        </w:rPr>
        <w:t> </w:t>
      </w:r>
      <w:r>
        <w:rPr>
          <w:w w:val="105"/>
        </w:rPr>
        <w:t>income</w:t>
      </w:r>
      <w:r>
        <w:rPr>
          <w:spacing w:val="-7"/>
          <w:w w:val="105"/>
        </w:rPr>
        <w:t> </w:t>
      </w:r>
      <w:r>
        <w:rPr>
          <w:w w:val="105"/>
        </w:rPr>
        <w:t>tax</w:t>
      </w:r>
      <w:r>
        <w:rPr>
          <w:spacing w:val="-7"/>
          <w:w w:val="105"/>
        </w:rPr>
        <w:t> </w:t>
      </w:r>
      <w:r>
        <w:rPr>
          <w:w w:val="105"/>
        </w:rPr>
        <w:t>returns</w:t>
      </w:r>
      <w:r>
        <w:rPr>
          <w:spacing w:val="-7"/>
          <w:w w:val="105"/>
        </w:rPr>
        <w:t> </w:t>
      </w:r>
      <w:r>
        <w:rPr>
          <w:w w:val="105"/>
        </w:rPr>
        <w:t>are</w:t>
      </w:r>
      <w:r>
        <w:rPr>
          <w:spacing w:val="-7"/>
          <w:w w:val="105"/>
        </w:rPr>
        <w:t> </w:t>
      </w:r>
      <w:r>
        <w:rPr>
          <w:w w:val="105"/>
        </w:rPr>
        <w:t>currently</w:t>
      </w:r>
      <w:r>
        <w:rPr>
          <w:spacing w:val="-7"/>
          <w:w w:val="105"/>
        </w:rPr>
        <w:t> </w:t>
      </w:r>
      <w:r>
        <w:rPr>
          <w:w w:val="105"/>
        </w:rPr>
        <w:t>in</w:t>
      </w:r>
      <w:r>
        <w:rPr>
          <w:spacing w:val="-7"/>
          <w:w w:val="105"/>
        </w:rPr>
        <w:t> </w:t>
      </w:r>
      <w:r>
        <w:rPr>
          <w:w w:val="105"/>
        </w:rPr>
        <w:t>the</w:t>
      </w:r>
      <w:r>
        <w:rPr>
          <w:spacing w:val="-7"/>
          <w:w w:val="105"/>
        </w:rPr>
        <w:t> </w:t>
      </w:r>
      <w:r>
        <w:rPr>
          <w:w w:val="105"/>
        </w:rPr>
        <w:t>process</w:t>
      </w:r>
      <w:r>
        <w:rPr>
          <w:spacing w:val="-7"/>
          <w:w w:val="105"/>
        </w:rPr>
        <w:t> </w:t>
      </w:r>
      <w:r>
        <w:rPr>
          <w:w w:val="105"/>
        </w:rPr>
        <w:t>of</w:t>
      </w:r>
      <w:r>
        <w:rPr>
          <w:spacing w:val="-7"/>
          <w:w w:val="105"/>
        </w:rPr>
        <w:t> </w:t>
      </w:r>
      <w:r>
        <w:rPr>
          <w:w w:val="105"/>
        </w:rPr>
        <w:t>examination</w:t>
      </w:r>
      <w:r>
        <w:rPr>
          <w:spacing w:val="-7"/>
          <w:w w:val="105"/>
        </w:rPr>
        <w:t> </w:t>
      </w:r>
      <w:r>
        <w:rPr>
          <w:w w:val="105"/>
        </w:rPr>
        <w:t>or</w:t>
      </w:r>
      <w:r>
        <w:rPr>
          <w:spacing w:val="-7"/>
          <w:w w:val="105"/>
        </w:rPr>
        <w:t> </w:t>
      </w:r>
      <w:r>
        <w:rPr>
          <w:w w:val="105"/>
        </w:rPr>
        <w:t>administrative</w:t>
      </w:r>
      <w:r>
        <w:rPr>
          <w:spacing w:val="-7"/>
          <w:w w:val="105"/>
        </w:rPr>
        <w:t> </w:t>
      </w:r>
      <w:r>
        <w:rPr>
          <w:w w:val="105"/>
        </w:rPr>
        <w:t>appeal.</w:t>
      </w:r>
      <w:r>
        <w:rPr>
          <w:spacing w:val="-7"/>
          <w:w w:val="105"/>
        </w:rPr>
        <w:t> </w:t>
      </w:r>
      <w:r>
        <w:rPr>
          <w:w w:val="105"/>
        </w:rPr>
        <w:t>The</w:t>
      </w:r>
      <w:r>
        <w:rPr>
          <w:spacing w:val="-7"/>
          <w:w w:val="105"/>
        </w:rPr>
        <w:t> </w:t>
      </w:r>
      <w:r>
        <w:rPr>
          <w:w w:val="105"/>
        </w:rPr>
        <w:t>Company does not expect any material proposed adjustments from any of these audits.</w:t>
      </w:r>
    </w:p>
    <w:p>
      <w:pPr>
        <w:pStyle w:val="BodyText"/>
        <w:spacing w:before="18"/>
      </w:pPr>
    </w:p>
    <w:p>
      <w:pPr>
        <w:pStyle w:val="BodyText"/>
        <w:spacing w:line="266" w:lineRule="auto"/>
        <w:ind w:left="156" w:right="139"/>
      </w:pPr>
      <w:r>
        <w:rPr>
          <w:w w:val="105"/>
        </w:rPr>
        <w:t>Corning’s</w:t>
      </w:r>
      <w:r>
        <w:rPr>
          <w:spacing w:val="-9"/>
          <w:w w:val="105"/>
        </w:rPr>
        <w:t> </w:t>
      </w:r>
      <w:r>
        <w:rPr>
          <w:w w:val="105"/>
        </w:rPr>
        <w:t>foreign</w:t>
      </w:r>
      <w:r>
        <w:rPr>
          <w:spacing w:val="-9"/>
          <w:w w:val="105"/>
        </w:rPr>
        <w:t> </w:t>
      </w:r>
      <w:r>
        <w:rPr>
          <w:w w:val="105"/>
        </w:rPr>
        <w:t>subsidiaries</w:t>
      </w:r>
      <w:r>
        <w:rPr>
          <w:spacing w:val="-7"/>
          <w:w w:val="105"/>
        </w:rPr>
        <w:t> </w:t>
      </w:r>
      <w:r>
        <w:rPr>
          <w:w w:val="105"/>
        </w:rPr>
        <w:t>file</w:t>
      </w:r>
      <w:r>
        <w:rPr>
          <w:spacing w:val="-9"/>
          <w:w w:val="105"/>
        </w:rPr>
        <w:t> </w:t>
      </w:r>
      <w:r>
        <w:rPr>
          <w:w w:val="105"/>
        </w:rPr>
        <w:t>income</w:t>
      </w:r>
      <w:r>
        <w:rPr>
          <w:spacing w:val="-9"/>
          <w:w w:val="105"/>
        </w:rPr>
        <w:t> </w:t>
      </w:r>
      <w:r>
        <w:rPr>
          <w:w w:val="105"/>
        </w:rPr>
        <w:t>tax</w:t>
      </w:r>
      <w:r>
        <w:rPr>
          <w:spacing w:val="-9"/>
          <w:w w:val="105"/>
        </w:rPr>
        <w:t> </w:t>
      </w:r>
      <w:r>
        <w:rPr>
          <w:w w:val="105"/>
        </w:rPr>
        <w:t>returns</w:t>
      </w:r>
      <w:r>
        <w:rPr>
          <w:spacing w:val="-9"/>
          <w:w w:val="105"/>
        </w:rPr>
        <w:t> </w:t>
      </w:r>
      <w:r>
        <w:rPr>
          <w:w w:val="105"/>
        </w:rPr>
        <w:t>in</w:t>
      </w:r>
      <w:r>
        <w:rPr>
          <w:spacing w:val="-9"/>
          <w:w w:val="105"/>
        </w:rPr>
        <w:t> </w:t>
      </w:r>
      <w:r>
        <w:rPr>
          <w:w w:val="105"/>
        </w:rPr>
        <w:t>the</w:t>
      </w:r>
      <w:r>
        <w:rPr>
          <w:spacing w:val="-9"/>
          <w:w w:val="105"/>
        </w:rPr>
        <w:t> </w:t>
      </w:r>
      <w:r>
        <w:rPr>
          <w:w w:val="105"/>
        </w:rPr>
        <w:t>countries</w:t>
      </w:r>
      <w:r>
        <w:rPr>
          <w:spacing w:val="-9"/>
          <w:w w:val="105"/>
        </w:rPr>
        <w:t> </w:t>
      </w:r>
      <w:r>
        <w:rPr>
          <w:w w:val="105"/>
        </w:rPr>
        <w:t>where</w:t>
      </w:r>
      <w:r>
        <w:rPr>
          <w:spacing w:val="-9"/>
          <w:w w:val="105"/>
        </w:rPr>
        <w:t> </w:t>
      </w:r>
      <w:r>
        <w:rPr>
          <w:w w:val="105"/>
        </w:rPr>
        <w:t>their</w:t>
      </w:r>
      <w:r>
        <w:rPr>
          <w:spacing w:val="-9"/>
          <w:w w:val="105"/>
        </w:rPr>
        <w:t> </w:t>
      </w:r>
      <w:r>
        <w:rPr>
          <w:w w:val="105"/>
        </w:rPr>
        <w:t>operations</w:t>
      </w:r>
      <w:r>
        <w:rPr>
          <w:spacing w:val="-9"/>
          <w:w w:val="105"/>
        </w:rPr>
        <w:t> </w:t>
      </w:r>
      <w:r>
        <w:rPr>
          <w:w w:val="105"/>
        </w:rPr>
        <w:t>are</w:t>
      </w:r>
      <w:r>
        <w:rPr>
          <w:spacing w:val="-9"/>
          <w:w w:val="105"/>
        </w:rPr>
        <w:t> </w:t>
      </w:r>
      <w:r>
        <w:rPr>
          <w:w w:val="105"/>
        </w:rPr>
        <w:t>located.</w:t>
      </w:r>
      <w:r>
        <w:rPr>
          <w:spacing w:val="25"/>
          <w:w w:val="105"/>
        </w:rPr>
        <w:t> </w:t>
      </w:r>
      <w:r>
        <w:rPr>
          <w:w w:val="105"/>
        </w:rPr>
        <w:t>Generally,</w:t>
      </w:r>
      <w:r>
        <w:rPr>
          <w:spacing w:val="-9"/>
          <w:w w:val="105"/>
        </w:rPr>
        <w:t> </w:t>
      </w:r>
      <w:r>
        <w:rPr>
          <w:w w:val="105"/>
        </w:rPr>
        <w:t>these</w:t>
      </w:r>
      <w:r>
        <w:rPr>
          <w:spacing w:val="-9"/>
          <w:w w:val="105"/>
        </w:rPr>
        <w:t> </w:t>
      </w:r>
      <w:r>
        <w:rPr>
          <w:w w:val="105"/>
        </w:rPr>
        <w:t>countries</w:t>
      </w:r>
      <w:r>
        <w:rPr>
          <w:spacing w:val="-9"/>
          <w:w w:val="105"/>
        </w:rPr>
        <w:t> </w:t>
      </w:r>
      <w:r>
        <w:rPr>
          <w:w w:val="105"/>
        </w:rPr>
        <w:t>have</w:t>
      </w:r>
      <w:r>
        <w:rPr>
          <w:spacing w:val="-9"/>
          <w:w w:val="105"/>
        </w:rPr>
        <w:t> </w:t>
      </w:r>
      <w:r>
        <w:rPr>
          <w:w w:val="105"/>
        </w:rPr>
        <w:t>statutes</w:t>
      </w:r>
      <w:r>
        <w:rPr>
          <w:spacing w:val="-9"/>
          <w:w w:val="105"/>
        </w:rPr>
        <w:t> </w:t>
      </w:r>
      <w:r>
        <w:rPr>
          <w:w w:val="105"/>
        </w:rPr>
        <w:t>of</w:t>
      </w:r>
      <w:r>
        <w:rPr>
          <w:spacing w:val="-9"/>
          <w:w w:val="105"/>
        </w:rPr>
        <w:t> </w:t>
      </w:r>
      <w:r>
        <w:rPr>
          <w:w w:val="105"/>
        </w:rPr>
        <w:t>limitations</w:t>
      </w:r>
      <w:r>
        <w:rPr>
          <w:spacing w:val="-9"/>
          <w:w w:val="105"/>
        </w:rPr>
        <w:t> </w:t>
      </w:r>
      <w:r>
        <w:rPr>
          <w:w w:val="105"/>
        </w:rPr>
        <w:t>ranging</w:t>
      </w:r>
      <w:r>
        <w:rPr>
          <w:spacing w:val="-9"/>
          <w:w w:val="105"/>
        </w:rPr>
        <w:t> </w:t>
      </w:r>
      <w:r>
        <w:rPr>
          <w:w w:val="105"/>
        </w:rPr>
        <w:t>from 3</w:t>
      </w:r>
      <w:r>
        <w:rPr>
          <w:spacing w:val="-2"/>
          <w:w w:val="105"/>
        </w:rPr>
        <w:t> </w:t>
      </w:r>
      <w:r>
        <w:rPr>
          <w:w w:val="105"/>
        </w:rPr>
        <w:t>to</w:t>
      </w:r>
      <w:r>
        <w:rPr>
          <w:spacing w:val="-2"/>
          <w:w w:val="105"/>
        </w:rPr>
        <w:t> </w:t>
      </w:r>
      <w:r>
        <w:rPr>
          <w:w w:val="105"/>
        </w:rPr>
        <w:t>10</w:t>
      </w:r>
      <w:r>
        <w:rPr>
          <w:spacing w:val="-2"/>
          <w:w w:val="105"/>
        </w:rPr>
        <w:t> </w:t>
      </w:r>
      <w:r>
        <w:rPr>
          <w:w w:val="105"/>
        </w:rPr>
        <w:t>years.</w:t>
      </w:r>
      <w:r>
        <w:rPr>
          <w:spacing w:val="39"/>
          <w:w w:val="105"/>
        </w:rPr>
        <w:t> </w:t>
      </w:r>
      <w:r>
        <w:rPr>
          <w:w w:val="105"/>
        </w:rPr>
        <w:t>The</w:t>
      </w:r>
      <w:r>
        <w:rPr>
          <w:spacing w:val="-2"/>
          <w:w w:val="105"/>
        </w:rPr>
        <w:t> </w:t>
      </w:r>
      <w:r>
        <w:rPr>
          <w:w w:val="105"/>
        </w:rPr>
        <w:t>statute</w:t>
      </w:r>
      <w:r>
        <w:rPr>
          <w:spacing w:val="-2"/>
          <w:w w:val="105"/>
        </w:rPr>
        <w:t> </w:t>
      </w:r>
      <w:r>
        <w:rPr>
          <w:w w:val="105"/>
        </w:rPr>
        <w:t>of</w:t>
      </w:r>
      <w:r>
        <w:rPr>
          <w:spacing w:val="-2"/>
          <w:w w:val="105"/>
        </w:rPr>
        <w:t> </w:t>
      </w:r>
      <w:r>
        <w:rPr>
          <w:w w:val="105"/>
        </w:rPr>
        <w:t>limitations</w:t>
      </w:r>
      <w:r>
        <w:rPr>
          <w:spacing w:val="-2"/>
          <w:w w:val="105"/>
        </w:rPr>
        <w:t> </w:t>
      </w:r>
      <w:r>
        <w:rPr>
          <w:w w:val="105"/>
        </w:rPr>
        <w:t>is</w:t>
      </w:r>
      <w:r>
        <w:rPr>
          <w:spacing w:val="-2"/>
          <w:w w:val="105"/>
        </w:rPr>
        <w:t> </w:t>
      </w:r>
      <w:r>
        <w:rPr>
          <w:w w:val="105"/>
        </w:rPr>
        <w:t>closed</w:t>
      </w:r>
      <w:r>
        <w:rPr>
          <w:spacing w:val="-2"/>
          <w:w w:val="105"/>
        </w:rPr>
        <w:t> </w:t>
      </w:r>
      <w:r>
        <w:rPr>
          <w:w w:val="105"/>
        </w:rPr>
        <w:t>through</w:t>
      </w:r>
      <w:r>
        <w:rPr>
          <w:spacing w:val="-2"/>
          <w:w w:val="105"/>
        </w:rPr>
        <w:t> </w:t>
      </w:r>
      <w:r>
        <w:rPr>
          <w:w w:val="105"/>
        </w:rPr>
        <w:t>the</w:t>
      </w:r>
      <w:r>
        <w:rPr>
          <w:spacing w:val="-2"/>
          <w:w w:val="105"/>
        </w:rPr>
        <w:t> </w:t>
      </w:r>
      <w:r>
        <w:rPr>
          <w:w w:val="105"/>
        </w:rPr>
        <w:t>following</w:t>
      </w:r>
      <w:r>
        <w:rPr>
          <w:spacing w:val="-2"/>
          <w:w w:val="105"/>
        </w:rPr>
        <w:t> </w:t>
      </w:r>
      <w:r>
        <w:rPr>
          <w:w w:val="105"/>
        </w:rPr>
        <w:t>years</w:t>
      </w:r>
      <w:r>
        <w:rPr>
          <w:spacing w:val="-2"/>
          <w:w w:val="105"/>
        </w:rPr>
        <w:t> </w:t>
      </w:r>
      <w:r>
        <w:rPr>
          <w:w w:val="105"/>
        </w:rPr>
        <w:t>in</w:t>
      </w:r>
      <w:r>
        <w:rPr>
          <w:spacing w:val="-2"/>
          <w:w w:val="105"/>
        </w:rPr>
        <w:t> </w:t>
      </w:r>
      <w:r>
        <w:rPr>
          <w:w w:val="105"/>
        </w:rPr>
        <w:t>these</w:t>
      </w:r>
      <w:r>
        <w:rPr>
          <w:spacing w:val="-2"/>
          <w:w w:val="105"/>
        </w:rPr>
        <w:t> </w:t>
      </w:r>
      <w:r>
        <w:rPr>
          <w:w w:val="105"/>
        </w:rPr>
        <w:t>major</w:t>
      </w:r>
      <w:r>
        <w:rPr>
          <w:spacing w:val="-2"/>
          <w:w w:val="105"/>
        </w:rPr>
        <w:t> </w:t>
      </w:r>
      <w:r>
        <w:rPr>
          <w:w w:val="105"/>
        </w:rPr>
        <w:t>jurisdictions:</w:t>
      </w:r>
      <w:r>
        <w:rPr>
          <w:spacing w:val="39"/>
          <w:w w:val="105"/>
        </w:rPr>
        <w:t> </w:t>
      </w:r>
      <w:r>
        <w:rPr>
          <w:w w:val="105"/>
        </w:rPr>
        <w:t>China</w:t>
      </w:r>
      <w:r>
        <w:rPr>
          <w:spacing w:val="-2"/>
          <w:w w:val="105"/>
        </w:rPr>
        <w:t> </w:t>
      </w:r>
      <w:r>
        <w:rPr>
          <w:w w:val="105"/>
        </w:rPr>
        <w:t>(2008),</w:t>
      </w:r>
      <w:r>
        <w:rPr>
          <w:spacing w:val="-2"/>
          <w:w w:val="105"/>
        </w:rPr>
        <w:t> </w:t>
      </w:r>
      <w:r>
        <w:rPr>
          <w:w w:val="105"/>
        </w:rPr>
        <w:t>Japan</w:t>
      </w:r>
      <w:r>
        <w:rPr>
          <w:spacing w:val="-2"/>
          <w:w w:val="105"/>
        </w:rPr>
        <w:t> </w:t>
      </w:r>
      <w:r>
        <w:rPr>
          <w:w w:val="105"/>
        </w:rPr>
        <w:t>(2012),</w:t>
      </w:r>
      <w:r>
        <w:rPr>
          <w:spacing w:val="-2"/>
          <w:w w:val="105"/>
        </w:rPr>
        <w:t> </w:t>
      </w:r>
      <w:r>
        <w:rPr>
          <w:w w:val="105"/>
        </w:rPr>
        <w:t>Taiwan</w:t>
      </w:r>
      <w:r>
        <w:rPr>
          <w:spacing w:val="-2"/>
          <w:w w:val="105"/>
        </w:rPr>
        <w:t> </w:t>
      </w:r>
      <w:r>
        <w:rPr>
          <w:w w:val="105"/>
        </w:rPr>
        <w:t>(2015)</w:t>
      </w:r>
      <w:r>
        <w:rPr>
          <w:spacing w:val="-2"/>
          <w:w w:val="105"/>
        </w:rPr>
        <w:t> </w:t>
      </w:r>
      <w:r>
        <w:rPr>
          <w:w w:val="105"/>
        </w:rPr>
        <w:t>and</w:t>
      </w:r>
      <w:r>
        <w:rPr>
          <w:spacing w:val="-2"/>
          <w:w w:val="105"/>
        </w:rPr>
        <w:t> </w:t>
      </w:r>
      <w:r>
        <w:rPr>
          <w:w w:val="105"/>
        </w:rPr>
        <w:t>South</w:t>
      </w:r>
      <w:r>
        <w:rPr>
          <w:spacing w:val="-2"/>
          <w:w w:val="105"/>
        </w:rPr>
        <w:t> </w:t>
      </w:r>
      <w:r>
        <w:rPr>
          <w:w w:val="105"/>
        </w:rPr>
        <w:t>Korea </w:t>
      </w:r>
      <w:r>
        <w:rPr>
          <w:spacing w:val="-2"/>
          <w:w w:val="105"/>
        </w:rPr>
        <w:t>(2013).</w:t>
      </w:r>
    </w:p>
    <w:p>
      <w:pPr>
        <w:pStyle w:val="BodyText"/>
        <w:spacing w:before="19"/>
      </w:pPr>
    </w:p>
    <w:p>
      <w:pPr>
        <w:pStyle w:val="BodyText"/>
        <w:spacing w:line="266" w:lineRule="auto"/>
        <w:ind w:left="156"/>
      </w:pPr>
      <w:r>
        <w:rPr>
          <w:w w:val="105"/>
        </w:rPr>
        <w:t>CPM</w:t>
      </w:r>
      <w:r>
        <w:rPr>
          <w:spacing w:val="-9"/>
          <w:w w:val="105"/>
        </w:rPr>
        <w:t> </w:t>
      </w:r>
      <w:r>
        <w:rPr>
          <w:w w:val="105"/>
        </w:rPr>
        <w:t>(“Corning</w:t>
      </w:r>
      <w:r>
        <w:rPr>
          <w:spacing w:val="-9"/>
          <w:w w:val="105"/>
        </w:rPr>
        <w:t> </w:t>
      </w:r>
      <w:r>
        <w:rPr>
          <w:w w:val="105"/>
        </w:rPr>
        <w:t>Precision</w:t>
      </w:r>
      <w:r>
        <w:rPr>
          <w:spacing w:val="-9"/>
          <w:w w:val="105"/>
        </w:rPr>
        <w:t> </w:t>
      </w:r>
      <w:r>
        <w:rPr>
          <w:w w:val="105"/>
        </w:rPr>
        <w:t>Materials”),</w:t>
      </w:r>
      <w:r>
        <w:rPr>
          <w:spacing w:val="-9"/>
          <w:w w:val="105"/>
        </w:rPr>
        <w:t> </w:t>
      </w:r>
      <w:r>
        <w:rPr>
          <w:w w:val="105"/>
        </w:rPr>
        <w:t>a</w:t>
      </w:r>
      <w:r>
        <w:rPr>
          <w:spacing w:val="-9"/>
          <w:w w:val="105"/>
        </w:rPr>
        <w:t> </w:t>
      </w:r>
      <w:r>
        <w:rPr>
          <w:w w:val="105"/>
        </w:rPr>
        <w:t>South</w:t>
      </w:r>
      <w:r>
        <w:rPr>
          <w:spacing w:val="-9"/>
          <w:w w:val="105"/>
        </w:rPr>
        <w:t> </w:t>
      </w:r>
      <w:r>
        <w:rPr>
          <w:w w:val="105"/>
        </w:rPr>
        <w:t>Korean</w:t>
      </w:r>
      <w:r>
        <w:rPr>
          <w:spacing w:val="-9"/>
          <w:w w:val="105"/>
        </w:rPr>
        <w:t> </w:t>
      </w:r>
      <w:r>
        <w:rPr>
          <w:w w:val="105"/>
        </w:rPr>
        <w:t>subsidiary,</w:t>
      </w:r>
      <w:r>
        <w:rPr>
          <w:spacing w:val="-9"/>
          <w:w w:val="105"/>
        </w:rPr>
        <w:t> </w:t>
      </w:r>
      <w:r>
        <w:rPr>
          <w:w w:val="105"/>
        </w:rPr>
        <w:t>is</w:t>
      </w:r>
      <w:r>
        <w:rPr>
          <w:spacing w:val="-9"/>
          <w:w w:val="105"/>
        </w:rPr>
        <w:t> </w:t>
      </w:r>
      <w:r>
        <w:rPr>
          <w:w w:val="105"/>
        </w:rPr>
        <w:t>currently</w:t>
      </w:r>
      <w:r>
        <w:rPr>
          <w:spacing w:val="-9"/>
          <w:w w:val="105"/>
        </w:rPr>
        <w:t> </w:t>
      </w:r>
      <w:r>
        <w:rPr>
          <w:w w:val="105"/>
        </w:rPr>
        <w:t>appealing</w:t>
      </w:r>
      <w:r>
        <w:rPr>
          <w:spacing w:val="-9"/>
          <w:w w:val="105"/>
        </w:rPr>
        <w:t> </w:t>
      </w:r>
      <w:r>
        <w:rPr>
          <w:w w:val="105"/>
        </w:rPr>
        <w:t>certain</w:t>
      </w:r>
      <w:r>
        <w:rPr>
          <w:spacing w:val="-9"/>
          <w:w w:val="105"/>
        </w:rPr>
        <w:t> </w:t>
      </w:r>
      <w:r>
        <w:rPr>
          <w:w w:val="105"/>
        </w:rPr>
        <w:t>tax</w:t>
      </w:r>
      <w:r>
        <w:rPr>
          <w:spacing w:val="-9"/>
          <w:w w:val="105"/>
        </w:rPr>
        <w:t> </w:t>
      </w:r>
      <w:r>
        <w:rPr>
          <w:w w:val="105"/>
        </w:rPr>
        <w:t>assessments</w:t>
      </w:r>
      <w:r>
        <w:rPr>
          <w:spacing w:val="-9"/>
          <w:w w:val="105"/>
        </w:rPr>
        <w:t> </w:t>
      </w:r>
      <w:r>
        <w:rPr>
          <w:w w:val="105"/>
        </w:rPr>
        <w:t>and</w:t>
      </w:r>
      <w:r>
        <w:rPr>
          <w:spacing w:val="-9"/>
          <w:w w:val="105"/>
        </w:rPr>
        <w:t> </w:t>
      </w:r>
      <w:r>
        <w:rPr>
          <w:w w:val="105"/>
        </w:rPr>
        <w:t>tax</w:t>
      </w:r>
      <w:r>
        <w:rPr>
          <w:spacing w:val="-9"/>
          <w:w w:val="105"/>
        </w:rPr>
        <w:t> </w:t>
      </w:r>
      <w:r>
        <w:rPr>
          <w:w w:val="105"/>
        </w:rPr>
        <w:t>refund</w:t>
      </w:r>
      <w:r>
        <w:rPr>
          <w:spacing w:val="-9"/>
          <w:w w:val="105"/>
        </w:rPr>
        <w:t> </w:t>
      </w:r>
      <w:r>
        <w:rPr>
          <w:w w:val="105"/>
        </w:rPr>
        <w:t>claims</w:t>
      </w:r>
      <w:r>
        <w:rPr>
          <w:spacing w:val="-9"/>
          <w:w w:val="105"/>
        </w:rPr>
        <w:t> </w:t>
      </w:r>
      <w:r>
        <w:rPr>
          <w:w w:val="105"/>
        </w:rPr>
        <w:t>for</w:t>
      </w:r>
      <w:r>
        <w:rPr>
          <w:spacing w:val="-9"/>
          <w:w w:val="105"/>
        </w:rPr>
        <w:t> </w:t>
      </w:r>
      <w:r>
        <w:rPr>
          <w:w w:val="105"/>
        </w:rPr>
        <w:t>tax</w:t>
      </w:r>
      <w:r>
        <w:rPr>
          <w:spacing w:val="-9"/>
          <w:w w:val="105"/>
        </w:rPr>
        <w:t> </w:t>
      </w:r>
      <w:r>
        <w:rPr>
          <w:w w:val="105"/>
        </w:rPr>
        <w:t>years</w:t>
      </w:r>
      <w:r>
        <w:rPr>
          <w:spacing w:val="-6"/>
          <w:w w:val="105"/>
        </w:rPr>
        <w:t> </w:t>
      </w:r>
      <w:r>
        <w:rPr>
          <w:w w:val="105"/>
        </w:rPr>
        <w:t>2010</w:t>
      </w:r>
      <w:r>
        <w:rPr>
          <w:spacing w:val="-9"/>
          <w:w w:val="105"/>
        </w:rPr>
        <w:t> </w:t>
      </w:r>
      <w:r>
        <w:rPr>
          <w:w w:val="105"/>
        </w:rPr>
        <w:t>through</w:t>
      </w:r>
      <w:r>
        <w:rPr>
          <w:spacing w:val="-9"/>
          <w:w w:val="105"/>
        </w:rPr>
        <w:t> </w:t>
      </w:r>
      <w:r>
        <w:rPr>
          <w:w w:val="105"/>
        </w:rPr>
        <w:t>2018.</w:t>
      </w:r>
      <w:r>
        <w:rPr>
          <w:spacing w:val="-9"/>
          <w:w w:val="105"/>
        </w:rPr>
        <w:t> </w:t>
      </w:r>
      <w:r>
        <w:rPr>
          <w:w w:val="105"/>
        </w:rPr>
        <w:t>The Company</w:t>
      </w:r>
      <w:r>
        <w:rPr>
          <w:spacing w:val="-2"/>
          <w:w w:val="105"/>
        </w:rPr>
        <w:t> </w:t>
      </w:r>
      <w:r>
        <w:rPr>
          <w:w w:val="105"/>
        </w:rPr>
        <w:t>is</w:t>
      </w:r>
      <w:r>
        <w:rPr>
          <w:spacing w:val="-2"/>
          <w:w w:val="105"/>
        </w:rPr>
        <w:t> </w:t>
      </w:r>
      <w:r>
        <w:rPr>
          <w:w w:val="105"/>
        </w:rPr>
        <w:t>required</w:t>
      </w:r>
      <w:r>
        <w:rPr>
          <w:spacing w:val="-2"/>
          <w:w w:val="105"/>
        </w:rPr>
        <w:t> </w:t>
      </w:r>
      <w:r>
        <w:rPr>
          <w:w w:val="105"/>
        </w:rPr>
        <w:t>to</w:t>
      </w:r>
      <w:r>
        <w:rPr>
          <w:spacing w:val="-2"/>
          <w:w w:val="105"/>
        </w:rPr>
        <w:t> </w:t>
      </w:r>
      <w:r>
        <w:rPr>
          <w:w w:val="105"/>
        </w:rPr>
        <w:t>deposit</w:t>
      </w:r>
      <w:r>
        <w:rPr>
          <w:spacing w:val="-2"/>
          <w:w w:val="105"/>
        </w:rPr>
        <w:t> </w:t>
      </w:r>
      <w:r>
        <w:rPr>
          <w:w w:val="105"/>
        </w:rPr>
        <w:t>the</w:t>
      </w:r>
      <w:r>
        <w:rPr>
          <w:spacing w:val="-2"/>
          <w:w w:val="105"/>
        </w:rPr>
        <w:t> </w:t>
      </w:r>
      <w:r>
        <w:rPr>
          <w:w w:val="105"/>
        </w:rPr>
        <w:t>disputed</w:t>
      </w:r>
      <w:r>
        <w:rPr>
          <w:spacing w:val="-2"/>
          <w:w w:val="105"/>
        </w:rPr>
        <w:t> </w:t>
      </w:r>
      <w:r>
        <w:rPr>
          <w:w w:val="105"/>
        </w:rPr>
        <w:t>tax</w:t>
      </w:r>
      <w:r>
        <w:rPr>
          <w:spacing w:val="-2"/>
          <w:w w:val="105"/>
        </w:rPr>
        <w:t> </w:t>
      </w:r>
      <w:r>
        <w:rPr>
          <w:w w:val="105"/>
        </w:rPr>
        <w:t>amounts</w:t>
      </w:r>
      <w:r>
        <w:rPr>
          <w:spacing w:val="-2"/>
          <w:w w:val="105"/>
        </w:rPr>
        <w:t> </w:t>
      </w:r>
      <w:r>
        <w:rPr>
          <w:w w:val="105"/>
        </w:rPr>
        <w:t>with</w:t>
      </w:r>
      <w:r>
        <w:rPr>
          <w:spacing w:val="-2"/>
          <w:w w:val="105"/>
        </w:rPr>
        <w:t> </w:t>
      </w:r>
      <w:r>
        <w:rPr>
          <w:w w:val="105"/>
        </w:rPr>
        <w:t>the</w:t>
      </w:r>
      <w:r>
        <w:rPr>
          <w:spacing w:val="-2"/>
          <w:w w:val="105"/>
        </w:rPr>
        <w:t> </w:t>
      </w:r>
      <w:r>
        <w:rPr>
          <w:w w:val="105"/>
        </w:rPr>
        <w:t>South</w:t>
      </w:r>
      <w:r>
        <w:rPr>
          <w:spacing w:val="-2"/>
          <w:w w:val="105"/>
        </w:rPr>
        <w:t> </w:t>
      </w:r>
      <w:r>
        <w:rPr>
          <w:w w:val="105"/>
        </w:rPr>
        <w:t>Korean</w:t>
      </w:r>
      <w:r>
        <w:rPr>
          <w:spacing w:val="-2"/>
          <w:w w:val="105"/>
        </w:rPr>
        <w:t> </w:t>
      </w:r>
      <w:r>
        <w:rPr>
          <w:w w:val="105"/>
        </w:rPr>
        <w:t>government</w:t>
      </w:r>
      <w:r>
        <w:rPr>
          <w:spacing w:val="-2"/>
          <w:w w:val="105"/>
        </w:rPr>
        <w:t> </w:t>
      </w:r>
      <w:r>
        <w:rPr>
          <w:w w:val="105"/>
        </w:rPr>
        <w:t>as</w:t>
      </w:r>
      <w:r>
        <w:rPr>
          <w:spacing w:val="-2"/>
          <w:w w:val="105"/>
        </w:rPr>
        <w:t> </w:t>
      </w:r>
      <w:r>
        <w:rPr>
          <w:w w:val="105"/>
        </w:rPr>
        <w:t>a</w:t>
      </w:r>
      <w:r>
        <w:rPr>
          <w:spacing w:val="-2"/>
          <w:w w:val="105"/>
        </w:rPr>
        <w:t> </w:t>
      </w:r>
      <w:r>
        <w:rPr>
          <w:w w:val="105"/>
        </w:rPr>
        <w:t>condition</w:t>
      </w:r>
      <w:r>
        <w:rPr>
          <w:spacing w:val="-2"/>
          <w:w w:val="105"/>
        </w:rPr>
        <w:t> </w:t>
      </w:r>
      <w:r>
        <w:rPr>
          <w:w w:val="105"/>
        </w:rPr>
        <w:t>of its</w:t>
      </w:r>
      <w:r>
        <w:rPr>
          <w:spacing w:val="-2"/>
          <w:w w:val="105"/>
        </w:rPr>
        <w:t> </w:t>
      </w:r>
      <w:r>
        <w:rPr>
          <w:w w:val="105"/>
        </w:rPr>
        <w:t>appeal</w:t>
      </w:r>
      <w:r>
        <w:rPr>
          <w:spacing w:val="-2"/>
          <w:w w:val="105"/>
        </w:rPr>
        <w:t> </w:t>
      </w:r>
      <w:r>
        <w:rPr>
          <w:w w:val="105"/>
        </w:rPr>
        <w:t>of</w:t>
      </w:r>
      <w:r>
        <w:rPr>
          <w:spacing w:val="-2"/>
          <w:w w:val="105"/>
        </w:rPr>
        <w:t> </w:t>
      </w:r>
      <w:r>
        <w:rPr>
          <w:w w:val="105"/>
        </w:rPr>
        <w:t>any</w:t>
      </w:r>
      <w:r>
        <w:rPr>
          <w:spacing w:val="-2"/>
          <w:w w:val="105"/>
        </w:rPr>
        <w:t> </w:t>
      </w:r>
      <w:r>
        <w:rPr>
          <w:w w:val="105"/>
        </w:rPr>
        <w:t>tax</w:t>
      </w:r>
      <w:r>
        <w:rPr>
          <w:spacing w:val="-2"/>
          <w:w w:val="105"/>
        </w:rPr>
        <w:t> </w:t>
      </w:r>
      <w:r>
        <w:rPr>
          <w:w w:val="105"/>
        </w:rPr>
        <w:t>assessments.</w:t>
      </w:r>
      <w:r>
        <w:rPr>
          <w:spacing w:val="-2"/>
          <w:w w:val="105"/>
        </w:rPr>
        <w:t> </w:t>
      </w:r>
      <w:r>
        <w:rPr>
          <w:w w:val="105"/>
        </w:rPr>
        <w:t>We</w:t>
      </w:r>
      <w:r>
        <w:rPr>
          <w:spacing w:val="-2"/>
          <w:w w:val="105"/>
        </w:rPr>
        <w:t> </w:t>
      </w:r>
      <w:r>
        <w:rPr>
          <w:w w:val="105"/>
        </w:rPr>
        <w:t>believe</w:t>
      </w:r>
      <w:r>
        <w:rPr>
          <w:spacing w:val="-2"/>
          <w:w w:val="105"/>
        </w:rPr>
        <w:t> </w:t>
      </w:r>
      <w:r>
        <w:rPr>
          <w:w w:val="105"/>
        </w:rPr>
        <w:t>that</w:t>
      </w:r>
      <w:r>
        <w:rPr>
          <w:spacing w:val="-2"/>
          <w:w w:val="105"/>
        </w:rPr>
        <w:t> </w:t>
      </w:r>
      <w:r>
        <w:rPr>
          <w:w w:val="105"/>
        </w:rPr>
        <w:t>it</w:t>
      </w:r>
      <w:r>
        <w:rPr>
          <w:spacing w:val="-2"/>
          <w:w w:val="105"/>
        </w:rPr>
        <w:t> </w:t>
      </w:r>
      <w:r>
        <w:rPr>
          <w:w w:val="105"/>
        </w:rPr>
        <w:t>is</w:t>
      </w:r>
      <w:r>
        <w:rPr>
          <w:spacing w:val="-2"/>
          <w:w w:val="105"/>
        </w:rPr>
        <w:t> </w:t>
      </w:r>
      <w:r>
        <w:rPr>
          <w:w w:val="105"/>
        </w:rPr>
        <w:t>more likely</w:t>
      </w:r>
      <w:r>
        <w:rPr>
          <w:spacing w:val="-1"/>
          <w:w w:val="105"/>
        </w:rPr>
        <w:t> </w:t>
      </w:r>
      <w:r>
        <w:rPr>
          <w:w w:val="105"/>
        </w:rPr>
        <w:t>than not</w:t>
      </w:r>
      <w:r>
        <w:rPr>
          <w:spacing w:val="-1"/>
          <w:w w:val="105"/>
        </w:rPr>
        <w:t> </w:t>
      </w:r>
      <w:r>
        <w:rPr>
          <w:w w:val="105"/>
        </w:rPr>
        <w:t>that</w:t>
      </w:r>
      <w:r>
        <w:rPr>
          <w:spacing w:val="-1"/>
          <w:w w:val="105"/>
        </w:rPr>
        <w:t> </w:t>
      </w:r>
      <w:r>
        <w:rPr>
          <w:w w:val="105"/>
        </w:rPr>
        <w:t>the</w:t>
      </w:r>
      <w:r>
        <w:rPr>
          <w:spacing w:val="-1"/>
          <w:w w:val="105"/>
        </w:rPr>
        <w:t> </w:t>
      </w:r>
      <w:r>
        <w:rPr>
          <w:w w:val="105"/>
        </w:rPr>
        <w:t>Company</w:t>
      </w:r>
      <w:r>
        <w:rPr>
          <w:spacing w:val="-1"/>
          <w:w w:val="105"/>
        </w:rPr>
        <w:t> </w:t>
      </w:r>
      <w:r>
        <w:rPr>
          <w:w w:val="105"/>
        </w:rPr>
        <w:t>will</w:t>
      </w:r>
      <w:r>
        <w:rPr>
          <w:spacing w:val="-1"/>
          <w:w w:val="105"/>
        </w:rPr>
        <w:t> </w:t>
      </w:r>
      <w:r>
        <w:rPr>
          <w:w w:val="105"/>
        </w:rPr>
        <w:t>prevail</w:t>
      </w:r>
      <w:r>
        <w:rPr>
          <w:spacing w:val="-1"/>
          <w:w w:val="105"/>
        </w:rPr>
        <w:t> </w:t>
      </w:r>
      <w:r>
        <w:rPr>
          <w:w w:val="105"/>
        </w:rPr>
        <w:t>in</w:t>
      </w:r>
      <w:r>
        <w:rPr>
          <w:spacing w:val="-1"/>
          <w:w w:val="105"/>
        </w:rPr>
        <w:t> </w:t>
      </w:r>
      <w:r>
        <w:rPr>
          <w:w w:val="105"/>
        </w:rPr>
        <w:t>the</w:t>
      </w:r>
      <w:r>
        <w:rPr>
          <w:spacing w:val="-1"/>
          <w:w w:val="105"/>
        </w:rPr>
        <w:t> </w:t>
      </w:r>
      <w:r>
        <w:rPr>
          <w:w w:val="105"/>
        </w:rPr>
        <w:t>appeal</w:t>
      </w:r>
      <w:r>
        <w:rPr>
          <w:spacing w:val="-1"/>
          <w:w w:val="105"/>
        </w:rPr>
        <w:t> </w:t>
      </w:r>
      <w:r>
        <w:rPr>
          <w:w w:val="105"/>
        </w:rPr>
        <w:t>process.</w:t>
      </w:r>
      <w:r>
        <w:rPr>
          <w:spacing w:val="40"/>
          <w:w w:val="105"/>
        </w:rPr>
        <w:t> </w:t>
      </w:r>
      <w:r>
        <w:rPr>
          <w:w w:val="105"/>
        </w:rPr>
        <w:t>The</w:t>
      </w:r>
      <w:r>
        <w:rPr>
          <w:spacing w:val="-1"/>
          <w:w w:val="105"/>
        </w:rPr>
        <w:t> </w:t>
      </w:r>
      <w:r>
        <w:rPr>
          <w:w w:val="105"/>
        </w:rPr>
        <w:t>non-current</w:t>
      </w:r>
      <w:r>
        <w:rPr>
          <w:spacing w:val="-1"/>
          <w:w w:val="105"/>
        </w:rPr>
        <w:t> </w:t>
      </w:r>
      <w:r>
        <w:rPr>
          <w:w w:val="105"/>
        </w:rPr>
        <w:t>receivable</w:t>
      </w:r>
      <w:r>
        <w:rPr>
          <w:spacing w:val="-1"/>
          <w:w w:val="105"/>
        </w:rPr>
        <w:t> </w:t>
      </w:r>
      <w:r>
        <w:rPr>
          <w:w w:val="105"/>
        </w:rPr>
        <w:t>balance</w:t>
      </w:r>
      <w:r>
        <w:rPr>
          <w:spacing w:val="-1"/>
          <w:w w:val="105"/>
        </w:rPr>
        <w:t> </w:t>
      </w:r>
      <w:r>
        <w:rPr>
          <w:w w:val="105"/>
        </w:rPr>
        <w:t>was</w:t>
      </w:r>
      <w:r>
        <w:rPr>
          <w:spacing w:val="-1"/>
          <w:w w:val="105"/>
        </w:rPr>
        <w:t> </w:t>
      </w:r>
      <w:r>
        <w:rPr>
          <w:w w:val="105"/>
        </w:rPr>
        <w:t>$350</w:t>
      </w:r>
      <w:r>
        <w:rPr>
          <w:spacing w:val="-1"/>
          <w:w w:val="105"/>
        </w:rPr>
        <w:t> </w:t>
      </w:r>
      <w:r>
        <w:rPr>
          <w:w w:val="105"/>
        </w:rPr>
        <w:t>million</w:t>
      </w:r>
      <w:r>
        <w:rPr>
          <w:spacing w:val="-1"/>
          <w:w w:val="105"/>
        </w:rPr>
        <w:t> </w:t>
      </w:r>
      <w:r>
        <w:rPr>
          <w:w w:val="105"/>
        </w:rPr>
        <w:t>and</w:t>
      </w:r>
      <w:r>
        <w:rPr>
          <w:spacing w:val="-1"/>
          <w:w w:val="105"/>
        </w:rPr>
        <w:t> </w:t>
      </w:r>
      <w:r>
        <w:rPr>
          <w:w w:val="105"/>
        </w:rPr>
        <w:t>$365</w:t>
      </w:r>
      <w:r>
        <w:rPr>
          <w:spacing w:val="-1"/>
          <w:w w:val="105"/>
        </w:rPr>
        <w:t> </w:t>
      </w:r>
      <w:r>
        <w:rPr>
          <w:w w:val="105"/>
        </w:rPr>
        <w:t>million</w:t>
      </w:r>
      <w:r>
        <w:rPr>
          <w:spacing w:val="-1"/>
          <w:w w:val="105"/>
        </w:rPr>
        <w:t> </w:t>
      </w:r>
      <w:r>
        <w:rPr>
          <w:w w:val="105"/>
        </w:rPr>
        <w:t>as</w:t>
      </w:r>
      <w:r>
        <w:rPr>
          <w:spacing w:val="-1"/>
          <w:w w:val="105"/>
        </w:rPr>
        <w:t> </w:t>
      </w:r>
      <w:r>
        <w:rPr>
          <w:w w:val="105"/>
        </w:rPr>
        <w:t>of</w:t>
      </w:r>
      <w:r>
        <w:rPr>
          <w:spacing w:val="39"/>
          <w:w w:val="105"/>
        </w:rPr>
        <w:t> </w:t>
      </w:r>
      <w:r>
        <w:rPr>
          <w:w w:val="105"/>
        </w:rPr>
        <w:t>December</w:t>
      </w:r>
      <w:r>
        <w:rPr>
          <w:spacing w:val="-1"/>
          <w:w w:val="105"/>
        </w:rPr>
        <w:t> </w:t>
      </w:r>
      <w:r>
        <w:rPr>
          <w:w w:val="105"/>
        </w:rPr>
        <w:t>31,</w:t>
      </w:r>
      <w:r>
        <w:rPr>
          <w:spacing w:val="-1"/>
          <w:w w:val="105"/>
        </w:rPr>
        <w:t> </w:t>
      </w:r>
      <w:r>
        <w:rPr>
          <w:w w:val="105"/>
        </w:rPr>
        <w:t>2021 and December 31, 2020, respectively, for the amount on deposit with the South Korean government.</w:t>
      </w:r>
    </w:p>
    <w:p>
      <w:pPr>
        <w:pStyle w:val="BodyText"/>
        <w:spacing w:before="18"/>
      </w:pPr>
    </w:p>
    <w:p>
      <w:pPr>
        <w:pStyle w:val="BodyText"/>
        <w:ind w:left="48"/>
        <w:jc w:val="center"/>
      </w:pPr>
      <w:r>
        <w:rPr>
          <w:spacing w:val="-5"/>
          <w:w w:val="105"/>
        </w:rPr>
        <w:t>88</w:t>
      </w:r>
    </w:p>
    <w:p>
      <w:pPr>
        <w:pStyle w:val="BodyText"/>
        <w:rPr>
          <w:sz w:val="6"/>
        </w:rPr>
      </w:pPr>
      <w:r>
        <w:rPr/>
        <mc:AlternateContent>
          <mc:Choice Requires="wps">
            <w:drawing>
              <wp:anchor distT="0" distB="0" distL="0" distR="0" allowOverlap="1" layoutInCell="1" locked="0" behindDoc="1" simplePos="0" relativeHeight="487687168">
                <wp:simplePos x="0" y="0"/>
                <wp:positionH relativeFrom="page">
                  <wp:posOffset>226488</wp:posOffset>
                </wp:positionH>
                <wp:positionV relativeFrom="paragraph">
                  <wp:posOffset>59051</wp:posOffset>
                </wp:positionV>
                <wp:extent cx="7312659" cy="16510"/>
                <wp:effectExtent l="0" t="0" r="0" b="0"/>
                <wp:wrapTopAndBottom/>
                <wp:docPr id="389" name="Graphic 389"/>
                <wp:cNvGraphicFramePr>
                  <a:graphicFrameLocks/>
                </wp:cNvGraphicFramePr>
                <a:graphic>
                  <a:graphicData uri="http://schemas.microsoft.com/office/word/2010/wordprocessingShape">
                    <wps:wsp>
                      <wps:cNvPr id="389" name="Graphic 389"/>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29312;mso-wrap-distance-left:0;mso-wrap-distance-right:0" id="docshape388"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pPr>
    </w:p>
    <w:p>
      <w:pPr>
        <w:pStyle w:val="BodyText"/>
        <w:spacing w:before="58"/>
      </w:pPr>
    </w:p>
    <w:p>
      <w:pPr>
        <w:pStyle w:val="Heading2"/>
        <w:numPr>
          <w:ilvl w:val="0"/>
          <w:numId w:val="44"/>
        </w:numPr>
        <w:tabs>
          <w:tab w:pos="362" w:val="left" w:leader="none"/>
        </w:tabs>
        <w:spacing w:line="240" w:lineRule="auto" w:before="0" w:after="0"/>
        <w:ind w:left="362" w:right="0" w:hanging="206"/>
        <w:jc w:val="left"/>
      </w:pPr>
      <w:bookmarkStart w:name="_bookmark17" w:id="18"/>
      <w:bookmarkEnd w:id="18"/>
      <w:r>
        <w:rPr>
          <w:b w:val="0"/>
        </w:rPr>
      </w:r>
      <w:r>
        <w:rPr/>
        <w:t>Property,</w:t>
      </w:r>
      <w:r>
        <w:rPr>
          <w:spacing w:val="13"/>
        </w:rPr>
        <w:t> </w:t>
      </w:r>
      <w:r>
        <w:rPr/>
        <w:t>Plant</w:t>
      </w:r>
      <w:r>
        <w:rPr>
          <w:spacing w:val="14"/>
        </w:rPr>
        <w:t> </w:t>
      </w:r>
      <w:r>
        <w:rPr/>
        <w:t>and</w:t>
      </w:r>
      <w:r>
        <w:rPr>
          <w:spacing w:val="14"/>
        </w:rPr>
        <w:t> </w:t>
      </w:r>
      <w:r>
        <w:rPr/>
        <w:t>Equipment,</w:t>
      </w:r>
      <w:r>
        <w:rPr>
          <w:spacing w:val="13"/>
        </w:rPr>
        <w:t> </w:t>
      </w:r>
      <w:r>
        <w:rPr/>
        <w:t>Net</w:t>
      </w:r>
      <w:r>
        <w:rPr>
          <w:spacing w:val="14"/>
        </w:rPr>
        <w:t> </w:t>
      </w:r>
      <w:r>
        <w:rPr/>
        <w:t>of</w:t>
      </w:r>
      <w:r>
        <w:rPr>
          <w:spacing w:val="14"/>
        </w:rPr>
        <w:t> </w:t>
      </w:r>
      <w:r>
        <w:rPr/>
        <w:t>Accumulated</w:t>
      </w:r>
      <w:r>
        <w:rPr>
          <w:spacing w:val="13"/>
        </w:rPr>
        <w:t> </w:t>
      </w:r>
      <w:r>
        <w:rPr>
          <w:spacing w:val="-2"/>
        </w:rPr>
        <w:t>Depreciation</w:t>
      </w:r>
    </w:p>
    <w:p>
      <w:pPr>
        <w:pStyle w:val="BodyText"/>
        <w:spacing w:before="39"/>
        <w:rPr>
          <w:b/>
        </w:rPr>
      </w:pPr>
    </w:p>
    <w:p>
      <w:pPr>
        <w:pStyle w:val="BodyText"/>
        <w:spacing w:before="1"/>
        <w:ind w:left="156"/>
      </w:pPr>
      <w:r>
        <w:rPr>
          <w:w w:val="105"/>
        </w:rPr>
        <w:t>Property,</w:t>
      </w:r>
      <w:r>
        <w:rPr>
          <w:spacing w:val="-10"/>
          <w:w w:val="105"/>
        </w:rPr>
        <w:t> </w:t>
      </w:r>
      <w:r>
        <w:rPr>
          <w:w w:val="105"/>
        </w:rPr>
        <w:t>plant</w:t>
      </w:r>
      <w:r>
        <w:rPr>
          <w:spacing w:val="-10"/>
          <w:w w:val="105"/>
        </w:rPr>
        <w:t> </w:t>
      </w:r>
      <w:r>
        <w:rPr>
          <w:w w:val="105"/>
        </w:rPr>
        <w:t>and</w:t>
      </w:r>
      <w:r>
        <w:rPr>
          <w:spacing w:val="-10"/>
          <w:w w:val="105"/>
        </w:rPr>
        <w:t> </w:t>
      </w:r>
      <w:r>
        <w:rPr>
          <w:w w:val="105"/>
        </w:rPr>
        <w:t>equipment,</w:t>
      </w:r>
      <w:r>
        <w:rPr>
          <w:spacing w:val="-10"/>
          <w:w w:val="105"/>
        </w:rPr>
        <w:t> </w:t>
      </w:r>
      <w:r>
        <w:rPr>
          <w:w w:val="105"/>
        </w:rPr>
        <w:t>net</w:t>
      </w:r>
      <w:r>
        <w:rPr>
          <w:spacing w:val="-10"/>
          <w:w w:val="105"/>
        </w:rPr>
        <w:t> </w:t>
      </w:r>
      <w:r>
        <w:rPr>
          <w:w w:val="105"/>
        </w:rPr>
        <w:t>of</w:t>
      </w:r>
      <w:r>
        <w:rPr>
          <w:spacing w:val="-10"/>
          <w:w w:val="105"/>
        </w:rPr>
        <w:t> </w:t>
      </w:r>
      <w:r>
        <w:rPr>
          <w:w w:val="105"/>
        </w:rPr>
        <w:t>accumulated</w:t>
      </w:r>
      <w:r>
        <w:rPr>
          <w:spacing w:val="-10"/>
          <w:w w:val="105"/>
        </w:rPr>
        <w:t> </w:t>
      </w:r>
      <w:r>
        <w:rPr>
          <w:w w:val="105"/>
        </w:rPr>
        <w:t>depreciation</w:t>
      </w:r>
      <w:r>
        <w:rPr>
          <w:spacing w:val="-9"/>
          <w:w w:val="105"/>
        </w:rPr>
        <w:t> </w:t>
      </w:r>
      <w:r>
        <w:rPr>
          <w:w w:val="105"/>
        </w:rPr>
        <w:t>follow</w:t>
      </w:r>
      <w:r>
        <w:rPr>
          <w:spacing w:val="-10"/>
          <w:w w:val="105"/>
        </w:rPr>
        <w:t> </w:t>
      </w:r>
      <w:r>
        <w:rPr>
          <w:w w:val="105"/>
        </w:rPr>
        <w:t>(in</w:t>
      </w:r>
      <w:r>
        <w:rPr>
          <w:spacing w:val="-10"/>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687680">
                <wp:simplePos x="0" y="0"/>
                <wp:positionH relativeFrom="page">
                  <wp:posOffset>226479</wp:posOffset>
                </wp:positionH>
                <wp:positionV relativeFrom="paragraph">
                  <wp:posOffset>83149</wp:posOffset>
                </wp:positionV>
                <wp:extent cx="7312659" cy="16510"/>
                <wp:effectExtent l="0" t="0" r="0" b="0"/>
                <wp:wrapTopAndBottom/>
                <wp:docPr id="390" name="Graphic 390"/>
                <wp:cNvGraphicFramePr>
                  <a:graphicFrameLocks/>
                </wp:cNvGraphicFramePr>
                <a:graphic>
                  <a:graphicData uri="http://schemas.microsoft.com/office/word/2010/wordprocessingShape">
                    <wps:wsp>
                      <wps:cNvPr id="390" name="Graphic 390"/>
                      <wps:cNvSpPr/>
                      <wps:spPr>
                        <a:xfrm>
                          <a:off x="0" y="0"/>
                          <a:ext cx="7312659" cy="16510"/>
                        </a:xfrm>
                        <a:custGeom>
                          <a:avLst/>
                          <a:gdLst/>
                          <a:ahLst/>
                          <a:cxnLst/>
                          <a:rect l="l" t="t" r="r" b="b"/>
                          <a:pathLst>
                            <a:path w="7312659" h="16510">
                              <a:moveTo>
                                <a:pt x="7312342" y="0"/>
                              </a:moveTo>
                              <a:lnTo>
                                <a:pt x="7239546" y="0"/>
                              </a:lnTo>
                              <a:lnTo>
                                <a:pt x="5201145" y="0"/>
                              </a:lnTo>
                              <a:lnTo>
                                <a:pt x="5120259" y="0"/>
                              </a:lnTo>
                              <a:lnTo>
                                <a:pt x="0" y="0"/>
                              </a:lnTo>
                              <a:lnTo>
                                <a:pt x="0" y="16167"/>
                              </a:lnTo>
                              <a:lnTo>
                                <a:pt x="5120259" y="16167"/>
                              </a:lnTo>
                              <a:lnTo>
                                <a:pt x="5201145" y="16167"/>
                              </a:lnTo>
                              <a:lnTo>
                                <a:pt x="7239546"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6.547201pt;width:575.8pt;height:1.3pt;mso-position-horizontal-relative:page;mso-position-vertical-relative:paragraph;z-index:-15628800;mso-wrap-distance-left:0;mso-wrap-distance-right:0" id="docshape389" coordorigin="357,131" coordsize="11516,26" path="m11872,131l11758,131,8547,131,8420,131,357,131,357,156,8420,156,8547,156,11758,156,11872,156,11872,131xe" filled="true" fillcolor="#000000" stroked="false">
                <v:path arrowok="t"/>
                <v:fill type="solid"/>
                <w10:wrap type="topAndBottom"/>
              </v:shape>
            </w:pict>
          </mc:Fallback>
        </mc:AlternateContent>
      </w:r>
    </w:p>
    <w:p>
      <w:pPr>
        <w:pStyle w:val="BodyText"/>
        <w:spacing w:before="3" w:after="23"/>
        <w:ind w:right="1361"/>
        <w:jc w:val="right"/>
      </w:pPr>
      <w:r>
        <w:rPr/>
        <w:t>December</w:t>
      </w:r>
      <w:r>
        <w:rPr>
          <w:spacing w:val="20"/>
        </w:rPr>
        <w:t> </w:t>
      </w:r>
      <w:r>
        <w:rPr>
          <w:spacing w:val="-5"/>
        </w:rPr>
        <w:t>31,</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1"/>
        <w:gridCol w:w="945"/>
        <w:gridCol w:w="687"/>
        <w:gridCol w:w="1032"/>
        <w:gridCol w:w="660"/>
      </w:tblGrid>
      <w:tr>
        <w:trPr>
          <w:trHeight w:val="201" w:hRule="atLeast"/>
        </w:trPr>
        <w:tc>
          <w:tcPr>
            <w:tcW w:w="8191" w:type="dxa"/>
            <w:tcBorders>
              <w:bottom w:val="single" w:sz="6" w:space="0" w:color="000000"/>
            </w:tcBorders>
          </w:tcPr>
          <w:p>
            <w:pPr>
              <w:pStyle w:val="TableParagraph"/>
              <w:rPr>
                <w:sz w:val="14"/>
              </w:rPr>
            </w:pPr>
          </w:p>
        </w:tc>
        <w:tc>
          <w:tcPr>
            <w:tcW w:w="945" w:type="dxa"/>
            <w:tcBorders>
              <w:top w:val="single" w:sz="6" w:space="0" w:color="000000"/>
              <w:bottom w:val="single" w:sz="6" w:space="0" w:color="000000"/>
            </w:tcBorders>
          </w:tcPr>
          <w:p>
            <w:pPr>
              <w:pStyle w:val="TableParagraph"/>
              <w:spacing w:line="179" w:lineRule="exact" w:before="2"/>
              <w:ind w:left="579"/>
              <w:rPr>
                <w:b/>
                <w:sz w:val="16"/>
              </w:rPr>
            </w:pPr>
            <w:r>
              <w:rPr>
                <w:b/>
                <w:spacing w:val="-4"/>
                <w:w w:val="105"/>
                <w:sz w:val="16"/>
              </w:rPr>
              <w:t>2021</w:t>
            </w:r>
          </w:p>
        </w:tc>
        <w:tc>
          <w:tcPr>
            <w:tcW w:w="687" w:type="dxa"/>
            <w:tcBorders>
              <w:top w:val="single" w:sz="6" w:space="0" w:color="000000"/>
              <w:bottom w:val="single" w:sz="6" w:space="0" w:color="000000"/>
            </w:tcBorders>
          </w:tcPr>
          <w:p>
            <w:pPr>
              <w:pStyle w:val="TableParagraph"/>
              <w:rPr>
                <w:sz w:val="14"/>
              </w:rPr>
            </w:pPr>
          </w:p>
        </w:tc>
        <w:tc>
          <w:tcPr>
            <w:tcW w:w="1032" w:type="dxa"/>
            <w:tcBorders>
              <w:top w:val="single" w:sz="6" w:space="0" w:color="000000"/>
              <w:bottom w:val="single" w:sz="6" w:space="0" w:color="000000"/>
            </w:tcBorders>
          </w:tcPr>
          <w:p>
            <w:pPr>
              <w:pStyle w:val="TableParagraph"/>
              <w:spacing w:line="179" w:lineRule="exact" w:before="2"/>
              <w:ind w:left="667"/>
              <w:rPr>
                <w:sz w:val="16"/>
              </w:rPr>
            </w:pPr>
            <w:r>
              <w:rPr>
                <w:spacing w:val="-4"/>
                <w:w w:val="105"/>
                <w:sz w:val="16"/>
              </w:rPr>
              <w:t>2020</w:t>
            </w:r>
          </w:p>
        </w:tc>
        <w:tc>
          <w:tcPr>
            <w:tcW w:w="660" w:type="dxa"/>
            <w:tcBorders>
              <w:top w:val="single" w:sz="6" w:space="0" w:color="000000"/>
              <w:bottom w:val="single" w:sz="6" w:space="0" w:color="000000"/>
            </w:tcBorders>
          </w:tcPr>
          <w:p>
            <w:pPr>
              <w:pStyle w:val="TableParagraph"/>
              <w:rPr>
                <w:sz w:val="14"/>
              </w:rPr>
            </w:pPr>
          </w:p>
        </w:tc>
      </w:tr>
      <w:tr>
        <w:trPr>
          <w:trHeight w:val="202" w:hRule="atLeast"/>
        </w:trPr>
        <w:tc>
          <w:tcPr>
            <w:tcW w:w="8191" w:type="dxa"/>
            <w:tcBorders>
              <w:top w:val="single" w:sz="6" w:space="0" w:color="000000"/>
            </w:tcBorders>
            <w:shd w:val="clear" w:color="auto" w:fill="CCEDFF"/>
          </w:tcPr>
          <w:p>
            <w:pPr>
              <w:pStyle w:val="TableParagraph"/>
              <w:spacing w:line="180" w:lineRule="exact" w:before="2"/>
              <w:rPr>
                <w:sz w:val="16"/>
              </w:rPr>
            </w:pPr>
            <w:r>
              <w:rPr>
                <w:spacing w:val="-4"/>
                <w:w w:val="105"/>
                <w:sz w:val="16"/>
              </w:rPr>
              <w:t>Land</w:t>
            </w:r>
          </w:p>
        </w:tc>
        <w:tc>
          <w:tcPr>
            <w:tcW w:w="945" w:type="dxa"/>
            <w:tcBorders>
              <w:top w:val="single" w:sz="6" w:space="0" w:color="000000"/>
            </w:tcBorders>
            <w:shd w:val="clear" w:color="auto" w:fill="CCEDFF"/>
          </w:tcPr>
          <w:p>
            <w:pPr>
              <w:pStyle w:val="TableParagraph"/>
              <w:spacing w:line="180" w:lineRule="exact" w:before="2"/>
              <w:ind w:left="-1"/>
              <w:rPr>
                <w:b/>
                <w:sz w:val="16"/>
              </w:rPr>
            </w:pPr>
            <w:r>
              <w:rPr>
                <w:b/>
                <w:spacing w:val="-10"/>
                <w:w w:val="105"/>
                <w:sz w:val="16"/>
              </w:rPr>
              <w:t>$</w:t>
            </w:r>
          </w:p>
        </w:tc>
        <w:tc>
          <w:tcPr>
            <w:tcW w:w="687" w:type="dxa"/>
            <w:tcBorders>
              <w:top w:val="single" w:sz="6" w:space="0" w:color="000000"/>
            </w:tcBorders>
            <w:shd w:val="clear" w:color="auto" w:fill="CCEDFF"/>
          </w:tcPr>
          <w:p>
            <w:pPr>
              <w:pStyle w:val="TableParagraph"/>
              <w:spacing w:line="180" w:lineRule="exact" w:before="2"/>
              <w:ind w:left="154"/>
              <w:jc w:val="center"/>
              <w:rPr>
                <w:b/>
                <w:sz w:val="16"/>
              </w:rPr>
            </w:pPr>
            <w:r>
              <w:rPr>
                <w:b/>
                <w:spacing w:val="-5"/>
                <w:w w:val="105"/>
                <w:sz w:val="16"/>
              </w:rPr>
              <w:t>441</w:t>
            </w:r>
          </w:p>
        </w:tc>
        <w:tc>
          <w:tcPr>
            <w:tcW w:w="1032" w:type="dxa"/>
            <w:tcBorders>
              <w:top w:val="single" w:sz="6" w:space="0" w:color="000000"/>
            </w:tcBorders>
            <w:shd w:val="clear" w:color="auto" w:fill="CCEDFF"/>
          </w:tcPr>
          <w:p>
            <w:pPr>
              <w:pStyle w:val="TableParagraph"/>
              <w:spacing w:line="180" w:lineRule="exact" w:before="2"/>
              <w:ind w:left="87"/>
              <w:rPr>
                <w:sz w:val="16"/>
              </w:rPr>
            </w:pPr>
            <w:r>
              <w:rPr>
                <w:spacing w:val="-10"/>
                <w:w w:val="105"/>
                <w:sz w:val="16"/>
              </w:rPr>
              <w:t>$</w:t>
            </w:r>
          </w:p>
        </w:tc>
        <w:tc>
          <w:tcPr>
            <w:tcW w:w="660" w:type="dxa"/>
            <w:tcBorders>
              <w:top w:val="single" w:sz="6" w:space="0" w:color="000000"/>
            </w:tcBorders>
            <w:shd w:val="clear" w:color="auto" w:fill="CCEDFF"/>
          </w:tcPr>
          <w:p>
            <w:pPr>
              <w:pStyle w:val="TableParagraph"/>
              <w:spacing w:line="180" w:lineRule="exact" w:before="2"/>
              <w:ind w:left="297"/>
              <w:rPr>
                <w:sz w:val="16"/>
              </w:rPr>
            </w:pPr>
            <w:r>
              <w:rPr>
                <w:spacing w:val="-5"/>
                <w:w w:val="105"/>
                <w:sz w:val="16"/>
              </w:rPr>
              <w:t>471</w:t>
            </w:r>
          </w:p>
        </w:tc>
      </w:tr>
      <w:tr>
        <w:trPr>
          <w:trHeight w:val="203" w:hRule="atLeast"/>
        </w:trPr>
        <w:tc>
          <w:tcPr>
            <w:tcW w:w="8191" w:type="dxa"/>
          </w:tcPr>
          <w:p>
            <w:pPr>
              <w:pStyle w:val="TableParagraph"/>
              <w:spacing w:line="180" w:lineRule="exact" w:before="3"/>
              <w:rPr>
                <w:sz w:val="16"/>
              </w:rPr>
            </w:pPr>
            <w:r>
              <w:rPr>
                <w:spacing w:val="-2"/>
                <w:w w:val="105"/>
                <w:sz w:val="16"/>
              </w:rPr>
              <w:t>Buildings</w:t>
            </w:r>
          </w:p>
        </w:tc>
        <w:tc>
          <w:tcPr>
            <w:tcW w:w="945" w:type="dxa"/>
          </w:tcPr>
          <w:p>
            <w:pPr>
              <w:pStyle w:val="TableParagraph"/>
              <w:rPr>
                <w:sz w:val="14"/>
              </w:rPr>
            </w:pPr>
          </w:p>
        </w:tc>
        <w:tc>
          <w:tcPr>
            <w:tcW w:w="687" w:type="dxa"/>
          </w:tcPr>
          <w:p>
            <w:pPr>
              <w:pStyle w:val="TableParagraph"/>
              <w:spacing w:line="180" w:lineRule="exact" w:before="3"/>
              <w:ind w:left="30"/>
              <w:jc w:val="center"/>
              <w:rPr>
                <w:b/>
                <w:sz w:val="16"/>
              </w:rPr>
            </w:pPr>
            <w:r>
              <w:rPr>
                <w:b/>
                <w:spacing w:val="-4"/>
                <w:w w:val="105"/>
                <w:sz w:val="16"/>
              </w:rPr>
              <w:t>6,145</w:t>
            </w:r>
          </w:p>
        </w:tc>
        <w:tc>
          <w:tcPr>
            <w:tcW w:w="1032" w:type="dxa"/>
          </w:tcPr>
          <w:p>
            <w:pPr>
              <w:pStyle w:val="TableParagraph"/>
              <w:rPr>
                <w:sz w:val="14"/>
              </w:rPr>
            </w:pPr>
          </w:p>
        </w:tc>
        <w:tc>
          <w:tcPr>
            <w:tcW w:w="660" w:type="dxa"/>
          </w:tcPr>
          <w:p>
            <w:pPr>
              <w:pStyle w:val="TableParagraph"/>
              <w:spacing w:line="180" w:lineRule="exact" w:before="3"/>
              <w:ind w:left="173"/>
              <w:rPr>
                <w:sz w:val="16"/>
              </w:rPr>
            </w:pPr>
            <w:r>
              <w:rPr>
                <w:spacing w:val="-4"/>
                <w:w w:val="105"/>
                <w:sz w:val="16"/>
              </w:rPr>
              <w:t>6,453</w:t>
            </w:r>
          </w:p>
        </w:tc>
      </w:tr>
      <w:tr>
        <w:trPr>
          <w:trHeight w:val="203" w:hRule="atLeast"/>
        </w:trPr>
        <w:tc>
          <w:tcPr>
            <w:tcW w:w="8191" w:type="dxa"/>
            <w:shd w:val="clear" w:color="auto" w:fill="CCEDFF"/>
          </w:tcPr>
          <w:p>
            <w:pPr>
              <w:pStyle w:val="TableParagraph"/>
              <w:spacing w:line="180" w:lineRule="exact" w:before="3"/>
              <w:rPr>
                <w:sz w:val="16"/>
              </w:rPr>
            </w:pPr>
            <w:r>
              <w:rPr>
                <w:spacing w:val="-2"/>
                <w:w w:val="105"/>
                <w:sz w:val="16"/>
              </w:rPr>
              <w:t>Equipment</w:t>
            </w:r>
          </w:p>
        </w:tc>
        <w:tc>
          <w:tcPr>
            <w:tcW w:w="945" w:type="dxa"/>
            <w:shd w:val="clear" w:color="auto" w:fill="CCEDFF"/>
          </w:tcPr>
          <w:p>
            <w:pPr>
              <w:pStyle w:val="TableParagraph"/>
              <w:rPr>
                <w:sz w:val="14"/>
              </w:rPr>
            </w:pPr>
          </w:p>
        </w:tc>
        <w:tc>
          <w:tcPr>
            <w:tcW w:w="687" w:type="dxa"/>
            <w:shd w:val="clear" w:color="auto" w:fill="CCEDFF"/>
          </w:tcPr>
          <w:p>
            <w:pPr>
              <w:pStyle w:val="TableParagraph"/>
              <w:spacing w:line="180" w:lineRule="exact" w:before="3"/>
              <w:ind w:right="50"/>
              <w:jc w:val="center"/>
              <w:rPr>
                <w:b/>
                <w:sz w:val="16"/>
              </w:rPr>
            </w:pPr>
            <w:r>
              <w:rPr>
                <w:b/>
                <w:spacing w:val="-2"/>
                <w:w w:val="105"/>
                <w:sz w:val="16"/>
              </w:rPr>
              <w:t>21,208</w:t>
            </w:r>
          </w:p>
        </w:tc>
        <w:tc>
          <w:tcPr>
            <w:tcW w:w="1032" w:type="dxa"/>
            <w:shd w:val="clear" w:color="auto" w:fill="CCEDFF"/>
          </w:tcPr>
          <w:p>
            <w:pPr>
              <w:pStyle w:val="TableParagraph"/>
              <w:rPr>
                <w:sz w:val="14"/>
              </w:rPr>
            </w:pPr>
          </w:p>
        </w:tc>
        <w:tc>
          <w:tcPr>
            <w:tcW w:w="660" w:type="dxa"/>
            <w:shd w:val="clear" w:color="auto" w:fill="CCEDFF"/>
          </w:tcPr>
          <w:p>
            <w:pPr>
              <w:pStyle w:val="TableParagraph"/>
              <w:spacing w:line="180" w:lineRule="exact" w:before="3"/>
              <w:ind w:left="90"/>
              <w:rPr>
                <w:sz w:val="16"/>
              </w:rPr>
            </w:pPr>
            <w:r>
              <w:rPr>
                <w:spacing w:val="-2"/>
                <w:w w:val="105"/>
                <w:sz w:val="16"/>
              </w:rPr>
              <w:t>20,563</w:t>
            </w:r>
          </w:p>
        </w:tc>
      </w:tr>
      <w:tr>
        <w:trPr>
          <w:trHeight w:val="202" w:hRule="atLeast"/>
        </w:trPr>
        <w:tc>
          <w:tcPr>
            <w:tcW w:w="8191" w:type="dxa"/>
            <w:tcBorders>
              <w:bottom w:val="single" w:sz="6" w:space="0" w:color="000000"/>
            </w:tcBorders>
          </w:tcPr>
          <w:p>
            <w:pPr>
              <w:pStyle w:val="TableParagraph"/>
              <w:spacing w:line="179" w:lineRule="exact" w:before="3"/>
              <w:rPr>
                <w:sz w:val="16"/>
              </w:rPr>
            </w:pPr>
            <w:r>
              <w:rPr>
                <w:sz w:val="16"/>
              </w:rPr>
              <w:t>Construction</w:t>
            </w:r>
            <w:r>
              <w:rPr>
                <w:spacing w:val="15"/>
                <w:sz w:val="16"/>
              </w:rPr>
              <w:t> </w:t>
            </w:r>
            <w:r>
              <w:rPr>
                <w:sz w:val="16"/>
              </w:rPr>
              <w:t>in</w:t>
            </w:r>
            <w:r>
              <w:rPr>
                <w:spacing w:val="15"/>
                <w:sz w:val="16"/>
              </w:rPr>
              <w:t> </w:t>
            </w:r>
            <w:r>
              <w:rPr>
                <w:spacing w:val="-2"/>
                <w:sz w:val="16"/>
              </w:rPr>
              <w:t>progress</w:t>
            </w:r>
          </w:p>
        </w:tc>
        <w:tc>
          <w:tcPr>
            <w:tcW w:w="945" w:type="dxa"/>
            <w:tcBorders>
              <w:bottom w:val="single" w:sz="6" w:space="0" w:color="000000"/>
            </w:tcBorders>
          </w:tcPr>
          <w:p>
            <w:pPr>
              <w:pStyle w:val="TableParagraph"/>
              <w:rPr>
                <w:sz w:val="14"/>
              </w:rPr>
            </w:pPr>
          </w:p>
        </w:tc>
        <w:tc>
          <w:tcPr>
            <w:tcW w:w="687" w:type="dxa"/>
            <w:tcBorders>
              <w:bottom w:val="single" w:sz="6" w:space="0" w:color="000000"/>
            </w:tcBorders>
          </w:tcPr>
          <w:p>
            <w:pPr>
              <w:pStyle w:val="TableParagraph"/>
              <w:spacing w:line="179" w:lineRule="exact" w:before="3"/>
              <w:ind w:left="30"/>
              <w:jc w:val="center"/>
              <w:rPr>
                <w:b/>
                <w:sz w:val="16"/>
              </w:rPr>
            </w:pPr>
            <w:r>
              <w:rPr>
                <w:b/>
                <w:spacing w:val="-4"/>
                <w:w w:val="105"/>
                <w:sz w:val="16"/>
              </w:rPr>
              <w:t>1,979</w:t>
            </w:r>
          </w:p>
        </w:tc>
        <w:tc>
          <w:tcPr>
            <w:tcW w:w="1032" w:type="dxa"/>
            <w:tcBorders>
              <w:bottom w:val="single" w:sz="6" w:space="0" w:color="000000"/>
            </w:tcBorders>
          </w:tcPr>
          <w:p>
            <w:pPr>
              <w:pStyle w:val="TableParagraph"/>
              <w:rPr>
                <w:sz w:val="14"/>
              </w:rPr>
            </w:pPr>
          </w:p>
        </w:tc>
        <w:tc>
          <w:tcPr>
            <w:tcW w:w="660" w:type="dxa"/>
            <w:tcBorders>
              <w:bottom w:val="single" w:sz="6" w:space="0" w:color="000000"/>
            </w:tcBorders>
          </w:tcPr>
          <w:p>
            <w:pPr>
              <w:pStyle w:val="TableParagraph"/>
              <w:spacing w:line="179" w:lineRule="exact" w:before="3"/>
              <w:ind w:left="173"/>
              <w:rPr>
                <w:sz w:val="16"/>
              </w:rPr>
            </w:pPr>
            <w:r>
              <w:rPr>
                <w:spacing w:val="-4"/>
                <w:w w:val="105"/>
                <w:sz w:val="16"/>
              </w:rPr>
              <w:t>1,918</w:t>
            </w:r>
          </w:p>
        </w:tc>
      </w:tr>
      <w:tr>
        <w:trPr>
          <w:trHeight w:val="202" w:hRule="atLeast"/>
        </w:trPr>
        <w:tc>
          <w:tcPr>
            <w:tcW w:w="8191" w:type="dxa"/>
            <w:tcBorders>
              <w:top w:val="single" w:sz="6" w:space="0" w:color="000000"/>
            </w:tcBorders>
            <w:shd w:val="clear" w:color="auto" w:fill="CCEDFF"/>
          </w:tcPr>
          <w:p>
            <w:pPr>
              <w:pStyle w:val="TableParagraph"/>
              <w:spacing w:line="180" w:lineRule="exact" w:before="2"/>
              <w:rPr>
                <w:sz w:val="16"/>
              </w:rPr>
            </w:pPr>
            <w:r>
              <w:rPr>
                <w:spacing w:val="-2"/>
                <w:w w:val="105"/>
                <w:sz w:val="16"/>
              </w:rPr>
              <w:t>Subtotal</w:t>
            </w:r>
          </w:p>
        </w:tc>
        <w:tc>
          <w:tcPr>
            <w:tcW w:w="945" w:type="dxa"/>
            <w:tcBorders>
              <w:top w:val="single" w:sz="6" w:space="0" w:color="000000"/>
            </w:tcBorders>
            <w:shd w:val="clear" w:color="auto" w:fill="CCEDFF"/>
          </w:tcPr>
          <w:p>
            <w:pPr>
              <w:pStyle w:val="TableParagraph"/>
              <w:rPr>
                <w:sz w:val="14"/>
              </w:rPr>
            </w:pPr>
          </w:p>
        </w:tc>
        <w:tc>
          <w:tcPr>
            <w:tcW w:w="687" w:type="dxa"/>
            <w:tcBorders>
              <w:top w:val="single" w:sz="6" w:space="0" w:color="000000"/>
            </w:tcBorders>
            <w:shd w:val="clear" w:color="auto" w:fill="CCEDFF"/>
          </w:tcPr>
          <w:p>
            <w:pPr>
              <w:pStyle w:val="TableParagraph"/>
              <w:spacing w:line="180" w:lineRule="exact" w:before="2"/>
              <w:ind w:right="50"/>
              <w:jc w:val="center"/>
              <w:rPr>
                <w:b/>
                <w:sz w:val="16"/>
              </w:rPr>
            </w:pPr>
            <w:r>
              <w:rPr>
                <w:b/>
                <w:spacing w:val="-2"/>
                <w:w w:val="105"/>
                <w:sz w:val="16"/>
              </w:rPr>
              <w:t>29,773</w:t>
            </w:r>
          </w:p>
        </w:tc>
        <w:tc>
          <w:tcPr>
            <w:tcW w:w="1032" w:type="dxa"/>
            <w:tcBorders>
              <w:top w:val="single" w:sz="6" w:space="0" w:color="000000"/>
            </w:tcBorders>
            <w:shd w:val="clear" w:color="auto" w:fill="CCEDFF"/>
          </w:tcPr>
          <w:p>
            <w:pPr>
              <w:pStyle w:val="TableParagraph"/>
              <w:rPr>
                <w:sz w:val="14"/>
              </w:rPr>
            </w:pPr>
          </w:p>
        </w:tc>
        <w:tc>
          <w:tcPr>
            <w:tcW w:w="660" w:type="dxa"/>
            <w:tcBorders>
              <w:top w:val="single" w:sz="6" w:space="0" w:color="000000"/>
            </w:tcBorders>
            <w:shd w:val="clear" w:color="auto" w:fill="CCEDFF"/>
          </w:tcPr>
          <w:p>
            <w:pPr>
              <w:pStyle w:val="TableParagraph"/>
              <w:spacing w:line="180" w:lineRule="exact" w:before="2"/>
              <w:ind w:left="90"/>
              <w:rPr>
                <w:sz w:val="16"/>
              </w:rPr>
            </w:pPr>
            <w:r>
              <w:rPr>
                <w:spacing w:val="-2"/>
                <w:w w:val="105"/>
                <w:sz w:val="16"/>
              </w:rPr>
              <w:t>29,405</w:t>
            </w:r>
          </w:p>
        </w:tc>
      </w:tr>
      <w:tr>
        <w:trPr>
          <w:trHeight w:val="202" w:hRule="atLeast"/>
        </w:trPr>
        <w:tc>
          <w:tcPr>
            <w:tcW w:w="8191" w:type="dxa"/>
            <w:tcBorders>
              <w:bottom w:val="single" w:sz="6" w:space="0" w:color="000000"/>
            </w:tcBorders>
          </w:tcPr>
          <w:p>
            <w:pPr>
              <w:pStyle w:val="TableParagraph"/>
              <w:spacing w:line="179" w:lineRule="exact" w:before="3"/>
              <w:rPr>
                <w:sz w:val="16"/>
              </w:rPr>
            </w:pPr>
            <w:r>
              <w:rPr>
                <w:sz w:val="16"/>
              </w:rPr>
              <w:t>Accumulated</w:t>
            </w:r>
            <w:r>
              <w:rPr>
                <w:spacing w:val="26"/>
                <w:sz w:val="16"/>
              </w:rPr>
              <w:t> </w:t>
            </w:r>
            <w:r>
              <w:rPr>
                <w:spacing w:val="-2"/>
                <w:sz w:val="16"/>
              </w:rPr>
              <w:t>depreciation</w:t>
            </w:r>
          </w:p>
        </w:tc>
        <w:tc>
          <w:tcPr>
            <w:tcW w:w="945" w:type="dxa"/>
            <w:tcBorders>
              <w:bottom w:val="single" w:sz="6" w:space="0" w:color="000000"/>
            </w:tcBorders>
          </w:tcPr>
          <w:p>
            <w:pPr>
              <w:pStyle w:val="TableParagraph"/>
              <w:rPr>
                <w:sz w:val="14"/>
              </w:rPr>
            </w:pPr>
          </w:p>
        </w:tc>
        <w:tc>
          <w:tcPr>
            <w:tcW w:w="687" w:type="dxa"/>
            <w:tcBorders>
              <w:bottom w:val="single" w:sz="6" w:space="0" w:color="000000"/>
            </w:tcBorders>
          </w:tcPr>
          <w:p>
            <w:pPr>
              <w:pStyle w:val="TableParagraph"/>
              <w:spacing w:line="179" w:lineRule="exact" w:before="3"/>
              <w:ind w:right="50"/>
              <w:jc w:val="center"/>
              <w:rPr>
                <w:b/>
                <w:sz w:val="16"/>
              </w:rPr>
            </w:pPr>
            <w:r>
              <w:rPr>
                <w:b/>
                <w:spacing w:val="-2"/>
                <w:w w:val="105"/>
                <w:sz w:val="16"/>
              </w:rPr>
              <w:t>(13,969)</w:t>
            </w:r>
          </w:p>
        </w:tc>
        <w:tc>
          <w:tcPr>
            <w:tcW w:w="1032" w:type="dxa"/>
            <w:tcBorders>
              <w:bottom w:val="single" w:sz="6" w:space="0" w:color="000000"/>
            </w:tcBorders>
          </w:tcPr>
          <w:p>
            <w:pPr>
              <w:pStyle w:val="TableParagraph"/>
              <w:rPr>
                <w:sz w:val="14"/>
              </w:rPr>
            </w:pPr>
          </w:p>
        </w:tc>
        <w:tc>
          <w:tcPr>
            <w:tcW w:w="660" w:type="dxa"/>
            <w:tcBorders>
              <w:bottom w:val="single" w:sz="6" w:space="0" w:color="000000"/>
            </w:tcBorders>
          </w:tcPr>
          <w:p>
            <w:pPr>
              <w:pStyle w:val="TableParagraph"/>
              <w:spacing w:line="179" w:lineRule="exact" w:before="3"/>
              <w:ind w:left="35"/>
              <w:rPr>
                <w:sz w:val="16"/>
              </w:rPr>
            </w:pPr>
            <w:r>
              <w:rPr>
                <w:spacing w:val="-2"/>
                <w:w w:val="105"/>
                <w:sz w:val="16"/>
              </w:rPr>
              <w:t>(13,663)</w:t>
            </w:r>
          </w:p>
        </w:tc>
      </w:tr>
      <w:tr>
        <w:trPr>
          <w:trHeight w:val="199" w:hRule="atLeast"/>
        </w:trPr>
        <w:tc>
          <w:tcPr>
            <w:tcW w:w="8191" w:type="dxa"/>
            <w:tcBorders>
              <w:top w:val="single" w:sz="6" w:space="0" w:color="000000"/>
              <w:bottom w:val="double" w:sz="6" w:space="0" w:color="000000"/>
            </w:tcBorders>
            <w:shd w:val="clear" w:color="auto" w:fill="CCEDFF"/>
          </w:tcPr>
          <w:p>
            <w:pPr>
              <w:pStyle w:val="TableParagraph"/>
              <w:spacing w:line="177" w:lineRule="exact" w:before="2"/>
              <w:rPr>
                <w:sz w:val="16"/>
              </w:rPr>
            </w:pPr>
            <w:r>
              <w:rPr>
                <w:spacing w:val="-4"/>
                <w:w w:val="105"/>
                <w:sz w:val="16"/>
              </w:rPr>
              <w:t>Total</w:t>
            </w:r>
          </w:p>
        </w:tc>
        <w:tc>
          <w:tcPr>
            <w:tcW w:w="945" w:type="dxa"/>
            <w:tcBorders>
              <w:top w:val="single" w:sz="6" w:space="0" w:color="000000"/>
              <w:bottom w:val="double" w:sz="6" w:space="0" w:color="000000"/>
            </w:tcBorders>
            <w:shd w:val="clear" w:color="auto" w:fill="CCEDFF"/>
          </w:tcPr>
          <w:p>
            <w:pPr>
              <w:pStyle w:val="TableParagraph"/>
              <w:spacing w:line="177" w:lineRule="exact" w:before="2"/>
              <w:ind w:left="-1"/>
              <w:rPr>
                <w:b/>
                <w:sz w:val="16"/>
              </w:rPr>
            </w:pPr>
            <w:r>
              <w:rPr>
                <w:b/>
                <w:spacing w:val="-10"/>
                <w:w w:val="105"/>
                <w:sz w:val="16"/>
              </w:rPr>
              <w:t>$</w:t>
            </w:r>
          </w:p>
        </w:tc>
        <w:tc>
          <w:tcPr>
            <w:tcW w:w="687" w:type="dxa"/>
            <w:tcBorders>
              <w:top w:val="single" w:sz="6" w:space="0" w:color="000000"/>
              <w:bottom w:val="double" w:sz="6" w:space="0" w:color="000000"/>
            </w:tcBorders>
            <w:shd w:val="clear" w:color="auto" w:fill="CCEDFF"/>
          </w:tcPr>
          <w:p>
            <w:pPr>
              <w:pStyle w:val="TableParagraph"/>
              <w:spacing w:line="177" w:lineRule="exact" w:before="2"/>
              <w:ind w:right="50"/>
              <w:jc w:val="center"/>
              <w:rPr>
                <w:b/>
                <w:sz w:val="16"/>
              </w:rPr>
            </w:pPr>
            <w:r>
              <w:rPr>
                <w:b/>
                <w:spacing w:val="-2"/>
                <w:w w:val="105"/>
                <w:sz w:val="16"/>
              </w:rPr>
              <w:t>15,804</w:t>
            </w:r>
          </w:p>
        </w:tc>
        <w:tc>
          <w:tcPr>
            <w:tcW w:w="1032" w:type="dxa"/>
            <w:tcBorders>
              <w:top w:val="single" w:sz="6" w:space="0" w:color="000000"/>
              <w:bottom w:val="double" w:sz="6" w:space="0" w:color="000000"/>
            </w:tcBorders>
            <w:shd w:val="clear" w:color="auto" w:fill="CCEDFF"/>
          </w:tcPr>
          <w:p>
            <w:pPr>
              <w:pStyle w:val="TableParagraph"/>
              <w:spacing w:line="177" w:lineRule="exact" w:before="2"/>
              <w:ind w:left="87"/>
              <w:rPr>
                <w:sz w:val="16"/>
              </w:rPr>
            </w:pPr>
            <w:r>
              <w:rPr>
                <w:spacing w:val="-10"/>
                <w:w w:val="105"/>
                <w:sz w:val="16"/>
              </w:rPr>
              <w:t>$</w:t>
            </w:r>
          </w:p>
        </w:tc>
        <w:tc>
          <w:tcPr>
            <w:tcW w:w="660" w:type="dxa"/>
            <w:tcBorders>
              <w:top w:val="single" w:sz="6" w:space="0" w:color="000000"/>
              <w:bottom w:val="double" w:sz="6" w:space="0" w:color="000000"/>
            </w:tcBorders>
            <w:shd w:val="clear" w:color="auto" w:fill="CCEDFF"/>
          </w:tcPr>
          <w:p>
            <w:pPr>
              <w:pStyle w:val="TableParagraph"/>
              <w:spacing w:line="177" w:lineRule="exact" w:before="2"/>
              <w:ind w:left="90"/>
              <w:rPr>
                <w:sz w:val="16"/>
              </w:rPr>
            </w:pPr>
            <w:r>
              <w:rPr>
                <w:spacing w:val="-2"/>
                <w:w w:val="105"/>
                <w:sz w:val="16"/>
              </w:rPr>
              <w:t>15,742</w:t>
            </w:r>
          </w:p>
        </w:tc>
      </w:tr>
    </w:tbl>
    <w:p>
      <w:pPr>
        <w:pStyle w:val="BodyText"/>
        <w:spacing w:before="17"/>
      </w:pPr>
    </w:p>
    <w:p>
      <w:pPr>
        <w:pStyle w:val="BodyText"/>
        <w:spacing w:line="266" w:lineRule="auto"/>
        <w:ind w:left="156"/>
      </w:pPr>
      <w:r>
        <w:rPr>
          <w:w w:val="105"/>
        </w:rPr>
        <w:t>Approximately</w:t>
      </w:r>
      <w:r>
        <w:rPr>
          <w:spacing w:val="-8"/>
          <w:w w:val="105"/>
        </w:rPr>
        <w:t> </w:t>
      </w:r>
      <w:r>
        <w:rPr>
          <w:w w:val="105"/>
        </w:rPr>
        <w:t>$36</w:t>
      </w:r>
      <w:r>
        <w:rPr>
          <w:spacing w:val="-8"/>
          <w:w w:val="105"/>
        </w:rPr>
        <w:t> </w:t>
      </w:r>
      <w:r>
        <w:rPr>
          <w:w w:val="105"/>
        </w:rPr>
        <w:t>million,</w:t>
      </w:r>
      <w:r>
        <w:rPr>
          <w:spacing w:val="-8"/>
          <w:w w:val="105"/>
        </w:rPr>
        <w:t> </w:t>
      </w:r>
      <w:r>
        <w:rPr>
          <w:w w:val="105"/>
        </w:rPr>
        <w:t>$58</w:t>
      </w:r>
      <w:r>
        <w:rPr>
          <w:spacing w:val="-8"/>
          <w:w w:val="105"/>
        </w:rPr>
        <w:t> </w:t>
      </w:r>
      <w:r>
        <w:rPr>
          <w:w w:val="105"/>
        </w:rPr>
        <w:t>million</w:t>
      </w:r>
      <w:r>
        <w:rPr>
          <w:spacing w:val="-8"/>
          <w:w w:val="105"/>
        </w:rPr>
        <w:t> </w:t>
      </w:r>
      <w:r>
        <w:rPr>
          <w:w w:val="105"/>
        </w:rPr>
        <w:t>and</w:t>
      </w:r>
      <w:r>
        <w:rPr>
          <w:spacing w:val="-8"/>
          <w:w w:val="105"/>
        </w:rPr>
        <w:t> </w:t>
      </w:r>
      <w:r>
        <w:rPr>
          <w:w w:val="105"/>
        </w:rPr>
        <w:t>$54</w:t>
      </w:r>
      <w:r>
        <w:rPr>
          <w:spacing w:val="-8"/>
          <w:w w:val="105"/>
        </w:rPr>
        <w:t> </w:t>
      </w:r>
      <w:r>
        <w:rPr>
          <w:w w:val="105"/>
        </w:rPr>
        <w:t>million</w:t>
      </w:r>
      <w:r>
        <w:rPr>
          <w:spacing w:val="-8"/>
          <w:w w:val="105"/>
        </w:rPr>
        <w:t> </w:t>
      </w:r>
      <w:r>
        <w:rPr>
          <w:w w:val="105"/>
        </w:rPr>
        <w:t>of</w:t>
      </w:r>
      <w:r>
        <w:rPr>
          <w:spacing w:val="-8"/>
          <w:w w:val="105"/>
        </w:rPr>
        <w:t> </w:t>
      </w:r>
      <w:r>
        <w:rPr>
          <w:w w:val="105"/>
        </w:rPr>
        <w:t>interest</w:t>
      </w:r>
      <w:r>
        <w:rPr>
          <w:spacing w:val="-8"/>
          <w:w w:val="105"/>
        </w:rPr>
        <w:t> </w:t>
      </w:r>
      <w:r>
        <w:rPr>
          <w:w w:val="105"/>
        </w:rPr>
        <w:t>costs</w:t>
      </w:r>
      <w:r>
        <w:rPr>
          <w:spacing w:val="-8"/>
          <w:w w:val="105"/>
        </w:rPr>
        <w:t> </w:t>
      </w:r>
      <w:r>
        <w:rPr>
          <w:w w:val="105"/>
        </w:rPr>
        <w:t>were</w:t>
      </w:r>
      <w:r>
        <w:rPr>
          <w:spacing w:val="-8"/>
          <w:w w:val="105"/>
        </w:rPr>
        <w:t> </w:t>
      </w:r>
      <w:r>
        <w:rPr>
          <w:w w:val="105"/>
        </w:rPr>
        <w:t>capitalized</w:t>
      </w:r>
      <w:r>
        <w:rPr>
          <w:spacing w:val="-8"/>
          <w:w w:val="105"/>
        </w:rPr>
        <w:t> </w:t>
      </w:r>
      <w:r>
        <w:rPr>
          <w:w w:val="105"/>
        </w:rPr>
        <w:t>as</w:t>
      </w:r>
      <w:r>
        <w:rPr>
          <w:spacing w:val="-8"/>
          <w:w w:val="105"/>
        </w:rPr>
        <w:t> </w:t>
      </w:r>
      <w:r>
        <w:rPr>
          <w:w w:val="105"/>
        </w:rPr>
        <w:t>part</w:t>
      </w:r>
      <w:r>
        <w:rPr>
          <w:spacing w:val="-8"/>
          <w:w w:val="105"/>
        </w:rPr>
        <w:t> </w:t>
      </w:r>
      <w:r>
        <w:rPr>
          <w:w w:val="105"/>
        </w:rPr>
        <w:t>of</w:t>
      </w:r>
      <w:r>
        <w:rPr>
          <w:spacing w:val="-8"/>
          <w:w w:val="105"/>
        </w:rPr>
        <w:t> </w:t>
      </w:r>
      <w:r>
        <w:rPr>
          <w:w w:val="105"/>
        </w:rPr>
        <w:t>property,</w:t>
      </w:r>
      <w:r>
        <w:rPr>
          <w:spacing w:val="-8"/>
          <w:w w:val="105"/>
        </w:rPr>
        <w:t> </w:t>
      </w:r>
      <w:r>
        <w:rPr>
          <w:w w:val="105"/>
        </w:rPr>
        <w:t>plant</w:t>
      </w:r>
      <w:r>
        <w:rPr>
          <w:spacing w:val="-8"/>
          <w:w w:val="105"/>
        </w:rPr>
        <w:t> </w:t>
      </w:r>
      <w:r>
        <w:rPr>
          <w:w w:val="105"/>
        </w:rPr>
        <w:t>and</w:t>
      </w:r>
      <w:r>
        <w:rPr>
          <w:spacing w:val="-8"/>
          <w:w w:val="105"/>
        </w:rPr>
        <w:t> </w:t>
      </w:r>
      <w:r>
        <w:rPr>
          <w:w w:val="105"/>
        </w:rPr>
        <w:t>equipment,</w:t>
      </w:r>
      <w:r>
        <w:rPr>
          <w:spacing w:val="-8"/>
          <w:w w:val="105"/>
        </w:rPr>
        <w:t> </w:t>
      </w:r>
      <w:r>
        <w:rPr>
          <w:w w:val="105"/>
        </w:rPr>
        <w:t>net</w:t>
      </w:r>
      <w:r>
        <w:rPr>
          <w:spacing w:val="-8"/>
          <w:w w:val="105"/>
        </w:rPr>
        <w:t> </w:t>
      </w:r>
      <w:r>
        <w:rPr>
          <w:w w:val="105"/>
        </w:rPr>
        <w:t>of</w:t>
      </w:r>
      <w:r>
        <w:rPr>
          <w:spacing w:val="-8"/>
          <w:w w:val="105"/>
        </w:rPr>
        <w:t> </w:t>
      </w:r>
      <w:r>
        <w:rPr>
          <w:w w:val="105"/>
        </w:rPr>
        <w:t>accumulated</w:t>
      </w:r>
      <w:r>
        <w:rPr>
          <w:spacing w:val="-8"/>
          <w:w w:val="105"/>
        </w:rPr>
        <w:t> </w:t>
      </w:r>
      <w:r>
        <w:rPr>
          <w:w w:val="105"/>
        </w:rPr>
        <w:t>depreciation,</w:t>
      </w:r>
      <w:r>
        <w:rPr>
          <w:spacing w:val="-8"/>
          <w:w w:val="105"/>
        </w:rPr>
        <w:t> </w:t>
      </w:r>
      <w:r>
        <w:rPr>
          <w:w w:val="105"/>
        </w:rPr>
        <w:t>in</w:t>
      </w:r>
      <w:r>
        <w:rPr>
          <w:spacing w:val="-9"/>
          <w:w w:val="105"/>
        </w:rPr>
        <w:t> </w:t>
      </w:r>
      <w:r>
        <w:rPr>
          <w:w w:val="105"/>
        </w:rPr>
        <w:t>2021, 2020 and 2019, respectively.</w:t>
      </w:r>
    </w:p>
    <w:p>
      <w:pPr>
        <w:pStyle w:val="BodyText"/>
        <w:spacing w:before="19"/>
      </w:pPr>
    </w:p>
    <w:p>
      <w:pPr>
        <w:pStyle w:val="BodyText"/>
        <w:spacing w:line="266" w:lineRule="auto"/>
        <w:ind w:left="156" w:right="117"/>
      </w:pPr>
      <w:r>
        <w:rPr>
          <w:w w:val="105"/>
        </w:rPr>
        <w:t>Manufacturing</w:t>
      </w:r>
      <w:r>
        <w:rPr>
          <w:spacing w:val="-9"/>
          <w:w w:val="105"/>
        </w:rPr>
        <w:t> </w:t>
      </w:r>
      <w:r>
        <w:rPr>
          <w:w w:val="105"/>
        </w:rPr>
        <w:t>equipment</w:t>
      </w:r>
      <w:r>
        <w:rPr>
          <w:spacing w:val="-8"/>
          <w:w w:val="105"/>
        </w:rPr>
        <w:t> </w:t>
      </w:r>
      <w:r>
        <w:rPr>
          <w:w w:val="105"/>
        </w:rPr>
        <w:t>includes</w:t>
      </w:r>
      <w:r>
        <w:rPr>
          <w:spacing w:val="-9"/>
          <w:w w:val="105"/>
        </w:rPr>
        <w:t> </w:t>
      </w:r>
      <w:r>
        <w:rPr>
          <w:w w:val="105"/>
        </w:rPr>
        <w:t>certain</w:t>
      </w:r>
      <w:r>
        <w:rPr>
          <w:spacing w:val="-9"/>
          <w:w w:val="105"/>
        </w:rPr>
        <w:t> </w:t>
      </w:r>
      <w:r>
        <w:rPr>
          <w:w w:val="105"/>
        </w:rPr>
        <w:t>components</w:t>
      </w:r>
      <w:r>
        <w:rPr>
          <w:spacing w:val="-9"/>
          <w:w w:val="105"/>
        </w:rPr>
        <w:t> </w:t>
      </w:r>
      <w:r>
        <w:rPr>
          <w:w w:val="105"/>
        </w:rPr>
        <w:t>of</w:t>
      </w:r>
      <w:r>
        <w:rPr>
          <w:spacing w:val="-9"/>
          <w:w w:val="105"/>
        </w:rPr>
        <w:t> </w:t>
      </w:r>
      <w:r>
        <w:rPr>
          <w:w w:val="105"/>
        </w:rPr>
        <w:t>production</w:t>
      </w:r>
      <w:r>
        <w:rPr>
          <w:spacing w:val="-9"/>
          <w:w w:val="105"/>
        </w:rPr>
        <w:t> </w:t>
      </w:r>
      <w:r>
        <w:rPr>
          <w:w w:val="105"/>
        </w:rPr>
        <w:t>equipment</w:t>
      </w:r>
      <w:r>
        <w:rPr>
          <w:spacing w:val="-9"/>
          <w:w w:val="105"/>
        </w:rPr>
        <w:t> </w:t>
      </w:r>
      <w:r>
        <w:rPr>
          <w:w w:val="105"/>
        </w:rPr>
        <w:t>that</w:t>
      </w:r>
      <w:r>
        <w:rPr>
          <w:spacing w:val="-9"/>
          <w:w w:val="105"/>
        </w:rPr>
        <w:t> </w:t>
      </w:r>
      <w:r>
        <w:rPr>
          <w:w w:val="105"/>
        </w:rPr>
        <w:t>are</w:t>
      </w:r>
      <w:r>
        <w:rPr>
          <w:spacing w:val="-9"/>
          <w:w w:val="105"/>
        </w:rPr>
        <w:t> </w:t>
      </w:r>
      <w:r>
        <w:rPr>
          <w:w w:val="105"/>
        </w:rPr>
        <w:t>constructed</w:t>
      </w:r>
      <w:r>
        <w:rPr>
          <w:spacing w:val="-9"/>
          <w:w w:val="105"/>
        </w:rPr>
        <w:t> </w:t>
      </w:r>
      <w:r>
        <w:rPr>
          <w:w w:val="105"/>
        </w:rPr>
        <w:t>of</w:t>
      </w:r>
      <w:r>
        <w:rPr>
          <w:spacing w:val="-9"/>
          <w:w w:val="105"/>
        </w:rPr>
        <w:t> </w:t>
      </w:r>
      <w:r>
        <w:rPr>
          <w:w w:val="105"/>
        </w:rPr>
        <w:t>precious</w:t>
      </w:r>
      <w:r>
        <w:rPr>
          <w:spacing w:val="-9"/>
          <w:w w:val="105"/>
        </w:rPr>
        <w:t> </w:t>
      </w:r>
      <w:r>
        <w:rPr>
          <w:w w:val="105"/>
        </w:rPr>
        <w:t>metals.</w:t>
      </w:r>
      <w:r>
        <w:rPr>
          <w:spacing w:val="-9"/>
          <w:w w:val="105"/>
        </w:rPr>
        <w:t> </w:t>
      </w:r>
      <w:r>
        <w:rPr>
          <w:w w:val="105"/>
        </w:rPr>
        <w:t>At</w:t>
      </w:r>
      <w:r>
        <w:rPr>
          <w:spacing w:val="-9"/>
          <w:w w:val="105"/>
        </w:rPr>
        <w:t> </w:t>
      </w:r>
      <w:r>
        <w:rPr>
          <w:w w:val="105"/>
        </w:rPr>
        <w:t>December</w:t>
      </w:r>
      <w:r>
        <w:rPr>
          <w:spacing w:val="-9"/>
          <w:w w:val="105"/>
        </w:rPr>
        <w:t> </w:t>
      </w:r>
      <w:r>
        <w:rPr>
          <w:w w:val="105"/>
        </w:rPr>
        <w:t>31,</w:t>
      </w:r>
      <w:r>
        <w:rPr>
          <w:spacing w:val="-9"/>
          <w:w w:val="105"/>
        </w:rPr>
        <w:t> </w:t>
      </w:r>
      <w:r>
        <w:rPr>
          <w:w w:val="105"/>
        </w:rPr>
        <w:t>2021</w:t>
      </w:r>
      <w:r>
        <w:rPr>
          <w:spacing w:val="-9"/>
          <w:w w:val="105"/>
        </w:rPr>
        <w:t> </w:t>
      </w:r>
      <w:r>
        <w:rPr>
          <w:w w:val="105"/>
        </w:rPr>
        <w:t>and</w:t>
      </w:r>
      <w:r>
        <w:rPr>
          <w:spacing w:val="-9"/>
          <w:w w:val="105"/>
        </w:rPr>
        <w:t> </w:t>
      </w:r>
      <w:r>
        <w:rPr>
          <w:w w:val="105"/>
        </w:rPr>
        <w:t>2020,</w:t>
      </w:r>
      <w:r>
        <w:rPr>
          <w:spacing w:val="-9"/>
          <w:w w:val="105"/>
        </w:rPr>
        <w:t> </w:t>
      </w:r>
      <w:r>
        <w:rPr>
          <w:w w:val="105"/>
        </w:rPr>
        <w:t>the</w:t>
      </w:r>
      <w:r>
        <w:rPr>
          <w:spacing w:val="-9"/>
          <w:w w:val="105"/>
        </w:rPr>
        <w:t> </w:t>
      </w:r>
      <w:r>
        <w:rPr>
          <w:w w:val="105"/>
        </w:rPr>
        <w:t>recorded</w:t>
      </w:r>
      <w:r>
        <w:rPr>
          <w:spacing w:val="-9"/>
          <w:w w:val="105"/>
        </w:rPr>
        <w:t> </w:t>
      </w:r>
      <w:r>
        <w:rPr>
          <w:w w:val="105"/>
        </w:rPr>
        <w:t>value of</w:t>
      </w:r>
      <w:r>
        <w:rPr>
          <w:spacing w:val="-4"/>
          <w:w w:val="105"/>
        </w:rPr>
        <w:t> </w:t>
      </w:r>
      <w:r>
        <w:rPr>
          <w:w w:val="105"/>
        </w:rPr>
        <w:t>precious</w:t>
      </w:r>
      <w:r>
        <w:rPr>
          <w:spacing w:val="-4"/>
          <w:w w:val="105"/>
        </w:rPr>
        <w:t> </w:t>
      </w:r>
      <w:r>
        <w:rPr>
          <w:w w:val="105"/>
        </w:rPr>
        <w:t>metals</w:t>
      </w:r>
      <w:r>
        <w:rPr>
          <w:spacing w:val="-4"/>
          <w:w w:val="105"/>
        </w:rPr>
        <w:t> </w:t>
      </w:r>
      <w:r>
        <w:rPr>
          <w:w w:val="105"/>
        </w:rPr>
        <w:t>totaled</w:t>
      </w:r>
      <w:r>
        <w:rPr>
          <w:spacing w:val="-4"/>
          <w:w w:val="105"/>
        </w:rPr>
        <w:t> </w:t>
      </w:r>
      <w:r>
        <w:rPr>
          <w:w w:val="105"/>
        </w:rPr>
        <w:t>$3.5</w:t>
      </w:r>
      <w:r>
        <w:rPr>
          <w:spacing w:val="-4"/>
          <w:w w:val="105"/>
        </w:rPr>
        <w:t> </w:t>
      </w:r>
      <w:r>
        <w:rPr>
          <w:w w:val="105"/>
        </w:rPr>
        <w:t>billion</w:t>
      </w:r>
      <w:r>
        <w:rPr>
          <w:spacing w:val="-4"/>
          <w:w w:val="105"/>
        </w:rPr>
        <w:t> </w:t>
      </w:r>
      <w:r>
        <w:rPr>
          <w:w w:val="105"/>
        </w:rPr>
        <w:t>and</w:t>
      </w:r>
      <w:r>
        <w:rPr>
          <w:spacing w:val="-4"/>
          <w:w w:val="105"/>
        </w:rPr>
        <w:t> </w:t>
      </w:r>
      <w:r>
        <w:rPr>
          <w:w w:val="105"/>
        </w:rPr>
        <w:t>$3.4</w:t>
      </w:r>
      <w:r>
        <w:rPr>
          <w:spacing w:val="-4"/>
          <w:w w:val="105"/>
        </w:rPr>
        <w:t> </w:t>
      </w:r>
      <w:r>
        <w:rPr>
          <w:w w:val="105"/>
        </w:rPr>
        <w:t>billion,</w:t>
      </w:r>
      <w:r>
        <w:rPr>
          <w:spacing w:val="-4"/>
          <w:w w:val="105"/>
        </w:rPr>
        <w:t> </w:t>
      </w:r>
      <w:r>
        <w:rPr>
          <w:w w:val="105"/>
        </w:rPr>
        <w:t>respectively.</w:t>
      </w:r>
      <w:r>
        <w:rPr>
          <w:spacing w:val="-4"/>
          <w:w w:val="105"/>
        </w:rPr>
        <w:t> </w:t>
      </w:r>
      <w:r>
        <w:rPr>
          <w:w w:val="105"/>
        </w:rPr>
        <w:t>Depletion</w:t>
      </w:r>
      <w:r>
        <w:rPr>
          <w:spacing w:val="-4"/>
          <w:w w:val="105"/>
        </w:rPr>
        <w:t> </w:t>
      </w:r>
      <w:r>
        <w:rPr>
          <w:w w:val="105"/>
        </w:rPr>
        <w:t>expense</w:t>
      </w:r>
      <w:r>
        <w:rPr>
          <w:spacing w:val="-4"/>
          <w:w w:val="105"/>
        </w:rPr>
        <w:t> </w:t>
      </w:r>
      <w:r>
        <w:rPr>
          <w:w w:val="105"/>
        </w:rPr>
        <w:t>for</w:t>
      </w:r>
      <w:r>
        <w:rPr>
          <w:spacing w:val="-4"/>
          <w:w w:val="105"/>
        </w:rPr>
        <w:t> </w:t>
      </w:r>
      <w:r>
        <w:rPr>
          <w:w w:val="105"/>
        </w:rPr>
        <w:t>precious</w:t>
      </w:r>
      <w:r>
        <w:rPr>
          <w:spacing w:val="-4"/>
          <w:w w:val="105"/>
        </w:rPr>
        <w:t> </w:t>
      </w:r>
      <w:r>
        <w:rPr>
          <w:w w:val="105"/>
        </w:rPr>
        <w:t>metals</w:t>
      </w:r>
      <w:r>
        <w:rPr>
          <w:spacing w:val="-4"/>
          <w:w w:val="105"/>
        </w:rPr>
        <w:t> </w:t>
      </w:r>
      <w:r>
        <w:rPr>
          <w:w w:val="105"/>
        </w:rPr>
        <w:t>in</w:t>
      </w:r>
      <w:r>
        <w:rPr>
          <w:spacing w:val="-3"/>
          <w:w w:val="105"/>
        </w:rPr>
        <w:t> </w:t>
      </w:r>
      <w:r>
        <w:rPr>
          <w:w w:val="105"/>
        </w:rPr>
        <w:t>the</w:t>
      </w:r>
      <w:r>
        <w:rPr>
          <w:spacing w:val="-4"/>
          <w:w w:val="105"/>
        </w:rPr>
        <w:t> </w:t>
      </w:r>
      <w:r>
        <w:rPr>
          <w:w w:val="105"/>
        </w:rPr>
        <w:t>years</w:t>
      </w:r>
      <w:r>
        <w:rPr>
          <w:spacing w:val="-4"/>
          <w:w w:val="105"/>
        </w:rPr>
        <w:t> </w:t>
      </w:r>
      <w:r>
        <w:rPr>
          <w:w w:val="105"/>
        </w:rPr>
        <w:t>ended</w:t>
      </w:r>
      <w:r>
        <w:rPr>
          <w:spacing w:val="36"/>
          <w:w w:val="105"/>
        </w:rPr>
        <w:t> </w:t>
      </w:r>
      <w:r>
        <w:rPr>
          <w:w w:val="105"/>
        </w:rPr>
        <w:t>December</w:t>
      </w:r>
      <w:r>
        <w:rPr>
          <w:spacing w:val="-4"/>
          <w:w w:val="105"/>
        </w:rPr>
        <w:t> </w:t>
      </w:r>
      <w:r>
        <w:rPr>
          <w:w w:val="105"/>
        </w:rPr>
        <w:t>31,</w:t>
      </w:r>
      <w:r>
        <w:rPr>
          <w:spacing w:val="-4"/>
          <w:w w:val="105"/>
        </w:rPr>
        <w:t> </w:t>
      </w:r>
      <w:r>
        <w:rPr>
          <w:w w:val="105"/>
        </w:rPr>
        <w:t>2021,</w:t>
      </w:r>
      <w:r>
        <w:rPr>
          <w:spacing w:val="-3"/>
          <w:w w:val="105"/>
        </w:rPr>
        <w:t> </w:t>
      </w:r>
      <w:r>
        <w:rPr>
          <w:w w:val="105"/>
        </w:rPr>
        <w:t>2020</w:t>
      </w:r>
      <w:r>
        <w:rPr>
          <w:spacing w:val="-4"/>
          <w:w w:val="105"/>
        </w:rPr>
        <w:t> </w:t>
      </w:r>
      <w:r>
        <w:rPr>
          <w:w w:val="105"/>
        </w:rPr>
        <w:t>and</w:t>
      </w:r>
      <w:r>
        <w:rPr>
          <w:spacing w:val="-4"/>
          <w:w w:val="105"/>
        </w:rPr>
        <w:t> </w:t>
      </w:r>
      <w:r>
        <w:rPr>
          <w:w w:val="105"/>
        </w:rPr>
        <w:t>2019</w:t>
      </w:r>
      <w:r>
        <w:rPr>
          <w:spacing w:val="-4"/>
          <w:w w:val="105"/>
        </w:rPr>
        <w:t> </w:t>
      </w:r>
      <w:r>
        <w:rPr>
          <w:w w:val="105"/>
        </w:rPr>
        <w:t>was</w:t>
      </w:r>
      <w:r>
        <w:rPr>
          <w:spacing w:val="-4"/>
          <w:w w:val="105"/>
        </w:rPr>
        <w:t> </w:t>
      </w:r>
      <w:r>
        <w:rPr>
          <w:w w:val="105"/>
        </w:rPr>
        <w:t>$28 million, $24 million and $16 million, respectively.</w:t>
      </w:r>
    </w:p>
    <w:p>
      <w:pPr>
        <w:pStyle w:val="BodyText"/>
      </w:pPr>
    </w:p>
    <w:p>
      <w:pPr>
        <w:pStyle w:val="BodyText"/>
        <w:spacing w:before="39"/>
      </w:pPr>
    </w:p>
    <w:p>
      <w:pPr>
        <w:pStyle w:val="Heading2"/>
        <w:numPr>
          <w:ilvl w:val="0"/>
          <w:numId w:val="44"/>
        </w:numPr>
        <w:tabs>
          <w:tab w:pos="445" w:val="left" w:leader="none"/>
        </w:tabs>
        <w:spacing w:line="240" w:lineRule="auto" w:before="0" w:after="0"/>
        <w:ind w:left="445" w:right="0" w:hanging="289"/>
        <w:jc w:val="left"/>
      </w:pPr>
      <w:bookmarkStart w:name="_bookmark18" w:id="19"/>
      <w:bookmarkEnd w:id="19"/>
      <w:r>
        <w:rPr>
          <w:b w:val="0"/>
        </w:rPr>
      </w:r>
      <w:r>
        <w:rPr/>
        <w:t>Goodwill</w:t>
      </w:r>
      <w:r>
        <w:rPr>
          <w:spacing w:val="15"/>
        </w:rPr>
        <w:t> </w:t>
      </w:r>
      <w:r>
        <w:rPr/>
        <w:t>and</w:t>
      </w:r>
      <w:r>
        <w:rPr>
          <w:spacing w:val="15"/>
        </w:rPr>
        <w:t> </w:t>
      </w:r>
      <w:r>
        <w:rPr/>
        <w:t>Other</w:t>
      </w:r>
      <w:r>
        <w:rPr>
          <w:spacing w:val="16"/>
        </w:rPr>
        <w:t> </w:t>
      </w:r>
      <w:r>
        <w:rPr/>
        <w:t>Intangible</w:t>
      </w:r>
      <w:r>
        <w:rPr>
          <w:spacing w:val="15"/>
        </w:rPr>
        <w:t> </w:t>
      </w:r>
      <w:r>
        <w:rPr>
          <w:spacing w:val="-2"/>
        </w:rPr>
        <w:t>Assets</w:t>
      </w:r>
    </w:p>
    <w:p>
      <w:pPr>
        <w:pStyle w:val="BodyText"/>
        <w:spacing w:before="39"/>
        <w:rPr>
          <w:b/>
        </w:rPr>
      </w:pPr>
    </w:p>
    <w:p>
      <w:pPr>
        <w:pStyle w:val="Heading3"/>
      </w:pPr>
      <w:r>
        <w:rPr>
          <w:spacing w:val="-2"/>
          <w:w w:val="105"/>
        </w:rPr>
        <w:t>Goodwill</w:t>
      </w:r>
    </w:p>
    <w:p>
      <w:pPr>
        <w:pStyle w:val="BodyText"/>
        <w:spacing w:before="40"/>
        <w:rPr>
          <w:b/>
          <w:i/>
        </w:rPr>
      </w:pPr>
    </w:p>
    <w:p>
      <w:pPr>
        <w:pStyle w:val="BodyText"/>
        <w:spacing w:line="266" w:lineRule="auto"/>
        <w:ind w:left="156"/>
      </w:pPr>
      <w:r>
        <w:rPr>
          <w:w w:val="105"/>
        </w:rPr>
        <w:t>Goodwill</w:t>
      </w:r>
      <w:r>
        <w:rPr>
          <w:spacing w:val="-8"/>
          <w:w w:val="105"/>
        </w:rPr>
        <w:t> </w:t>
      </w:r>
      <w:r>
        <w:rPr>
          <w:w w:val="105"/>
        </w:rPr>
        <w:t>is</w:t>
      </w:r>
      <w:r>
        <w:rPr>
          <w:spacing w:val="-8"/>
          <w:w w:val="105"/>
        </w:rPr>
        <w:t> </w:t>
      </w:r>
      <w:r>
        <w:rPr>
          <w:w w:val="105"/>
        </w:rPr>
        <w:t>the</w:t>
      </w:r>
      <w:r>
        <w:rPr>
          <w:spacing w:val="-8"/>
          <w:w w:val="105"/>
        </w:rPr>
        <w:t> </w:t>
      </w:r>
      <w:r>
        <w:rPr>
          <w:w w:val="105"/>
        </w:rPr>
        <w:t>excess</w:t>
      </w:r>
      <w:r>
        <w:rPr>
          <w:spacing w:val="-8"/>
          <w:w w:val="105"/>
        </w:rPr>
        <w:t> </w:t>
      </w:r>
      <w:r>
        <w:rPr>
          <w:w w:val="105"/>
        </w:rPr>
        <w:t>of</w:t>
      </w:r>
      <w:r>
        <w:rPr>
          <w:spacing w:val="-8"/>
          <w:w w:val="105"/>
        </w:rPr>
        <w:t> </w:t>
      </w:r>
      <w:r>
        <w:rPr>
          <w:w w:val="105"/>
        </w:rPr>
        <w:t>cost</w:t>
      </w:r>
      <w:r>
        <w:rPr>
          <w:spacing w:val="-8"/>
          <w:w w:val="105"/>
        </w:rPr>
        <w:t> </w:t>
      </w:r>
      <w:r>
        <w:rPr>
          <w:w w:val="105"/>
        </w:rPr>
        <w:t>of</w:t>
      </w:r>
      <w:r>
        <w:rPr>
          <w:spacing w:val="-8"/>
          <w:w w:val="105"/>
        </w:rPr>
        <w:t> </w:t>
      </w:r>
      <w:r>
        <w:rPr>
          <w:w w:val="105"/>
        </w:rPr>
        <w:t>an</w:t>
      </w:r>
      <w:r>
        <w:rPr>
          <w:spacing w:val="-6"/>
          <w:w w:val="105"/>
        </w:rPr>
        <w:t> </w:t>
      </w:r>
      <w:r>
        <w:rPr>
          <w:w w:val="105"/>
        </w:rPr>
        <w:t>acquired</w:t>
      </w:r>
      <w:r>
        <w:rPr>
          <w:spacing w:val="-8"/>
          <w:w w:val="105"/>
        </w:rPr>
        <w:t> </w:t>
      </w:r>
      <w:r>
        <w:rPr>
          <w:w w:val="105"/>
        </w:rPr>
        <w:t>entity</w:t>
      </w:r>
      <w:r>
        <w:rPr>
          <w:spacing w:val="-8"/>
          <w:w w:val="105"/>
        </w:rPr>
        <w:t> </w:t>
      </w:r>
      <w:r>
        <w:rPr>
          <w:w w:val="105"/>
        </w:rPr>
        <w:t>over</w:t>
      </w:r>
      <w:r>
        <w:rPr>
          <w:spacing w:val="-8"/>
          <w:w w:val="105"/>
        </w:rPr>
        <w:t> </w:t>
      </w:r>
      <w:r>
        <w:rPr>
          <w:w w:val="105"/>
        </w:rPr>
        <w:t>the</w:t>
      </w:r>
      <w:r>
        <w:rPr>
          <w:spacing w:val="-6"/>
          <w:w w:val="105"/>
        </w:rPr>
        <w:t> </w:t>
      </w:r>
      <w:r>
        <w:rPr>
          <w:w w:val="105"/>
        </w:rPr>
        <w:t>amounts</w:t>
      </w:r>
      <w:r>
        <w:rPr>
          <w:spacing w:val="-8"/>
          <w:w w:val="105"/>
        </w:rPr>
        <w:t> </w:t>
      </w:r>
      <w:r>
        <w:rPr>
          <w:w w:val="105"/>
        </w:rPr>
        <w:t>assigned</w:t>
      </w:r>
      <w:r>
        <w:rPr>
          <w:spacing w:val="-8"/>
          <w:w w:val="105"/>
        </w:rPr>
        <w:t> </w:t>
      </w:r>
      <w:r>
        <w:rPr>
          <w:w w:val="105"/>
        </w:rPr>
        <w:t>to</w:t>
      </w:r>
      <w:r>
        <w:rPr>
          <w:spacing w:val="-8"/>
          <w:w w:val="105"/>
        </w:rPr>
        <w:t> </w:t>
      </w:r>
      <w:r>
        <w:rPr>
          <w:w w:val="105"/>
        </w:rPr>
        <w:t>assets</w:t>
      </w:r>
      <w:r>
        <w:rPr>
          <w:spacing w:val="-8"/>
          <w:w w:val="105"/>
        </w:rPr>
        <w:t> </w:t>
      </w:r>
      <w:r>
        <w:rPr>
          <w:w w:val="105"/>
        </w:rPr>
        <w:t>acquired</w:t>
      </w:r>
      <w:r>
        <w:rPr>
          <w:spacing w:val="-8"/>
          <w:w w:val="105"/>
        </w:rPr>
        <w:t> </w:t>
      </w:r>
      <w:r>
        <w:rPr>
          <w:w w:val="105"/>
        </w:rPr>
        <w:t>and</w:t>
      </w:r>
      <w:r>
        <w:rPr>
          <w:spacing w:val="-8"/>
          <w:w w:val="105"/>
        </w:rPr>
        <w:t> </w:t>
      </w:r>
      <w:r>
        <w:rPr>
          <w:w w:val="105"/>
        </w:rPr>
        <w:t>liabilities</w:t>
      </w:r>
      <w:r>
        <w:rPr>
          <w:spacing w:val="-8"/>
          <w:w w:val="105"/>
        </w:rPr>
        <w:t> </w:t>
      </w:r>
      <w:r>
        <w:rPr>
          <w:w w:val="105"/>
        </w:rPr>
        <w:t>assumed</w:t>
      </w:r>
      <w:r>
        <w:rPr>
          <w:spacing w:val="-8"/>
          <w:w w:val="105"/>
        </w:rPr>
        <w:t> </w:t>
      </w:r>
      <w:r>
        <w:rPr>
          <w:w w:val="105"/>
        </w:rPr>
        <w:t>in</w:t>
      </w:r>
      <w:r>
        <w:rPr>
          <w:spacing w:val="-8"/>
          <w:w w:val="105"/>
        </w:rPr>
        <w:t> </w:t>
      </w:r>
      <w:r>
        <w:rPr>
          <w:w w:val="105"/>
        </w:rPr>
        <w:t>a</w:t>
      </w:r>
      <w:r>
        <w:rPr>
          <w:spacing w:val="-8"/>
          <w:w w:val="105"/>
        </w:rPr>
        <w:t> </w:t>
      </w:r>
      <w:r>
        <w:rPr>
          <w:w w:val="105"/>
        </w:rPr>
        <w:t>business</w:t>
      </w:r>
      <w:r>
        <w:rPr>
          <w:spacing w:val="-8"/>
          <w:w w:val="105"/>
        </w:rPr>
        <w:t> </w:t>
      </w:r>
      <w:r>
        <w:rPr>
          <w:w w:val="105"/>
        </w:rPr>
        <w:t>combination.</w:t>
      </w:r>
      <w:r>
        <w:rPr>
          <w:spacing w:val="27"/>
          <w:w w:val="105"/>
        </w:rPr>
        <w:t> </w:t>
      </w:r>
      <w:r>
        <w:rPr>
          <w:w w:val="105"/>
        </w:rPr>
        <w:t>Goodwill</w:t>
      </w:r>
      <w:r>
        <w:rPr>
          <w:spacing w:val="-6"/>
          <w:w w:val="105"/>
        </w:rPr>
        <w:t> </w:t>
      </w:r>
      <w:r>
        <w:rPr>
          <w:w w:val="105"/>
        </w:rPr>
        <w:t>relates,</w:t>
      </w:r>
      <w:r>
        <w:rPr>
          <w:spacing w:val="-8"/>
          <w:w w:val="105"/>
        </w:rPr>
        <w:t> </w:t>
      </w:r>
      <w:r>
        <w:rPr>
          <w:w w:val="105"/>
        </w:rPr>
        <w:t>and</w:t>
      </w:r>
      <w:r>
        <w:rPr>
          <w:spacing w:val="-8"/>
          <w:w w:val="105"/>
        </w:rPr>
        <w:t> </w:t>
      </w:r>
      <w:r>
        <w:rPr>
          <w:w w:val="105"/>
        </w:rPr>
        <w:t>is assigned</w:t>
      </w:r>
      <w:r>
        <w:rPr>
          <w:spacing w:val="-2"/>
          <w:w w:val="105"/>
        </w:rPr>
        <w:t> </w:t>
      </w:r>
      <w:r>
        <w:rPr>
          <w:w w:val="105"/>
        </w:rPr>
        <w:t>directly,</w:t>
      </w:r>
      <w:r>
        <w:rPr>
          <w:spacing w:val="-2"/>
          <w:w w:val="105"/>
        </w:rPr>
        <w:t> </w:t>
      </w:r>
      <w:r>
        <w:rPr>
          <w:w w:val="105"/>
        </w:rPr>
        <w:t>to</w:t>
      </w:r>
      <w:r>
        <w:rPr>
          <w:spacing w:val="-2"/>
          <w:w w:val="105"/>
        </w:rPr>
        <w:t> </w:t>
      </w:r>
      <w:r>
        <w:rPr>
          <w:w w:val="105"/>
        </w:rPr>
        <w:t>a</w:t>
      </w:r>
      <w:r>
        <w:rPr>
          <w:spacing w:val="-2"/>
          <w:w w:val="105"/>
        </w:rPr>
        <w:t> </w:t>
      </w:r>
      <w:r>
        <w:rPr>
          <w:w w:val="105"/>
        </w:rPr>
        <w:t>specific</w:t>
      </w:r>
      <w:r>
        <w:rPr>
          <w:spacing w:val="-2"/>
          <w:w w:val="105"/>
        </w:rPr>
        <w:t> </w:t>
      </w:r>
      <w:r>
        <w:rPr>
          <w:w w:val="105"/>
        </w:rPr>
        <w:t>reporting</w:t>
      </w:r>
      <w:r>
        <w:rPr>
          <w:spacing w:val="-2"/>
          <w:w w:val="105"/>
        </w:rPr>
        <w:t> </w:t>
      </w:r>
      <w:r>
        <w:rPr>
          <w:w w:val="105"/>
        </w:rPr>
        <w:t>unit.</w:t>
      </w:r>
      <w:r>
        <w:rPr>
          <w:spacing w:val="38"/>
          <w:w w:val="105"/>
        </w:rPr>
        <w:t> </w:t>
      </w:r>
      <w:r>
        <w:rPr>
          <w:w w:val="105"/>
        </w:rPr>
        <w:t>Reporting</w:t>
      </w:r>
      <w:r>
        <w:rPr>
          <w:spacing w:val="-2"/>
          <w:w w:val="105"/>
        </w:rPr>
        <w:t> </w:t>
      </w:r>
      <w:r>
        <w:rPr>
          <w:w w:val="105"/>
        </w:rPr>
        <w:t>units</w:t>
      </w:r>
      <w:r>
        <w:rPr>
          <w:spacing w:val="-2"/>
          <w:w w:val="105"/>
        </w:rPr>
        <w:t> </w:t>
      </w:r>
      <w:r>
        <w:rPr>
          <w:w w:val="105"/>
        </w:rPr>
        <w:t>are</w:t>
      </w:r>
      <w:r>
        <w:rPr>
          <w:spacing w:val="-2"/>
          <w:w w:val="105"/>
        </w:rPr>
        <w:t> </w:t>
      </w:r>
      <w:r>
        <w:rPr>
          <w:w w:val="105"/>
        </w:rPr>
        <w:t>either</w:t>
      </w:r>
      <w:r>
        <w:rPr>
          <w:spacing w:val="-2"/>
          <w:w w:val="105"/>
        </w:rPr>
        <w:t> </w:t>
      </w:r>
      <w:r>
        <w:rPr>
          <w:w w:val="105"/>
        </w:rPr>
        <w:t>operating</w:t>
      </w:r>
      <w:r>
        <w:rPr>
          <w:spacing w:val="-2"/>
          <w:w w:val="105"/>
        </w:rPr>
        <w:t> </w:t>
      </w:r>
      <w:r>
        <w:rPr>
          <w:w w:val="105"/>
        </w:rPr>
        <w:t>segments</w:t>
      </w:r>
      <w:r>
        <w:rPr>
          <w:spacing w:val="-2"/>
          <w:w w:val="105"/>
        </w:rPr>
        <w:t> </w:t>
      </w:r>
      <w:r>
        <w:rPr>
          <w:w w:val="105"/>
        </w:rPr>
        <w:t>or</w:t>
      </w:r>
      <w:r>
        <w:rPr>
          <w:spacing w:val="-1"/>
          <w:w w:val="105"/>
        </w:rPr>
        <w:t> </w:t>
      </w:r>
      <w:r>
        <w:rPr>
          <w:w w:val="105"/>
        </w:rPr>
        <w:t>one</w:t>
      </w:r>
      <w:r>
        <w:rPr>
          <w:spacing w:val="-2"/>
          <w:w w:val="105"/>
        </w:rPr>
        <w:t> </w:t>
      </w:r>
      <w:r>
        <w:rPr>
          <w:w w:val="105"/>
        </w:rPr>
        <w:t>level</w:t>
      </w:r>
      <w:r>
        <w:rPr>
          <w:spacing w:val="-2"/>
          <w:w w:val="105"/>
        </w:rPr>
        <w:t> </w:t>
      </w:r>
      <w:r>
        <w:rPr>
          <w:w w:val="105"/>
        </w:rPr>
        <w:t>below</w:t>
      </w:r>
      <w:r>
        <w:rPr>
          <w:spacing w:val="-2"/>
          <w:w w:val="105"/>
        </w:rPr>
        <w:t> </w:t>
      </w:r>
      <w:r>
        <w:rPr>
          <w:w w:val="105"/>
        </w:rPr>
        <w:t>the</w:t>
      </w:r>
      <w:r>
        <w:rPr>
          <w:spacing w:val="-2"/>
          <w:w w:val="105"/>
        </w:rPr>
        <w:t> </w:t>
      </w:r>
      <w:r>
        <w:rPr>
          <w:w w:val="105"/>
        </w:rPr>
        <w:t>operating</w:t>
      </w:r>
      <w:r>
        <w:rPr>
          <w:spacing w:val="-2"/>
          <w:w w:val="105"/>
        </w:rPr>
        <w:t> </w:t>
      </w:r>
      <w:r>
        <w:rPr>
          <w:w w:val="105"/>
        </w:rPr>
        <w:t>segment.</w:t>
      </w:r>
      <w:r>
        <w:rPr>
          <w:spacing w:val="38"/>
          <w:w w:val="105"/>
        </w:rPr>
        <w:t> </w:t>
      </w:r>
      <w:r>
        <w:rPr>
          <w:w w:val="105"/>
        </w:rPr>
        <w:t>Impairment</w:t>
      </w:r>
      <w:r>
        <w:rPr>
          <w:spacing w:val="-2"/>
          <w:w w:val="105"/>
        </w:rPr>
        <w:t> </w:t>
      </w:r>
      <w:r>
        <w:rPr>
          <w:w w:val="105"/>
        </w:rPr>
        <w:t>testing</w:t>
      </w:r>
      <w:r>
        <w:rPr>
          <w:spacing w:val="-2"/>
          <w:w w:val="105"/>
        </w:rPr>
        <w:t> </w:t>
      </w:r>
      <w:r>
        <w:rPr>
          <w:w w:val="105"/>
        </w:rPr>
        <w:t>for</w:t>
      </w:r>
      <w:r>
        <w:rPr>
          <w:spacing w:val="-2"/>
          <w:w w:val="105"/>
        </w:rPr>
        <w:t> </w:t>
      </w:r>
      <w:r>
        <w:rPr>
          <w:w w:val="105"/>
        </w:rPr>
        <w:t>goodwill</w:t>
      </w:r>
      <w:r>
        <w:rPr>
          <w:spacing w:val="-2"/>
          <w:w w:val="105"/>
        </w:rPr>
        <w:t> </w:t>
      </w:r>
      <w:r>
        <w:rPr>
          <w:w w:val="105"/>
        </w:rPr>
        <w:t>is done</w:t>
      </w:r>
      <w:r>
        <w:rPr>
          <w:spacing w:val="-2"/>
          <w:w w:val="105"/>
        </w:rPr>
        <w:t> </w:t>
      </w:r>
      <w:r>
        <w:rPr>
          <w:w w:val="105"/>
        </w:rPr>
        <w:t>at</w:t>
      </w:r>
      <w:r>
        <w:rPr>
          <w:spacing w:val="-2"/>
          <w:w w:val="105"/>
        </w:rPr>
        <w:t> </w:t>
      </w:r>
      <w:r>
        <w:rPr>
          <w:w w:val="105"/>
        </w:rPr>
        <w:t>a</w:t>
      </w:r>
      <w:r>
        <w:rPr>
          <w:spacing w:val="-2"/>
          <w:w w:val="105"/>
        </w:rPr>
        <w:t> </w:t>
      </w:r>
      <w:r>
        <w:rPr>
          <w:w w:val="105"/>
        </w:rPr>
        <w:t>reporting</w:t>
      </w:r>
      <w:r>
        <w:rPr>
          <w:spacing w:val="-2"/>
          <w:w w:val="105"/>
        </w:rPr>
        <w:t> </w:t>
      </w:r>
      <w:r>
        <w:rPr>
          <w:w w:val="105"/>
        </w:rPr>
        <w:t>unit</w:t>
      </w:r>
      <w:r>
        <w:rPr>
          <w:spacing w:val="-2"/>
          <w:w w:val="105"/>
        </w:rPr>
        <w:t> </w:t>
      </w:r>
      <w:r>
        <w:rPr>
          <w:w w:val="105"/>
        </w:rPr>
        <w:t>level.</w:t>
      </w:r>
      <w:r>
        <w:rPr>
          <w:spacing w:val="39"/>
          <w:w w:val="105"/>
        </w:rPr>
        <w:t> </w:t>
      </w:r>
      <w:r>
        <w:rPr>
          <w:w w:val="105"/>
        </w:rPr>
        <w:t>Goodwill</w:t>
      </w:r>
      <w:r>
        <w:rPr>
          <w:spacing w:val="-2"/>
          <w:w w:val="105"/>
        </w:rPr>
        <w:t> </w:t>
      </w:r>
      <w:r>
        <w:rPr>
          <w:w w:val="105"/>
        </w:rPr>
        <w:t>is</w:t>
      </w:r>
      <w:r>
        <w:rPr>
          <w:spacing w:val="-2"/>
          <w:w w:val="105"/>
        </w:rPr>
        <w:t> </w:t>
      </w:r>
      <w:r>
        <w:rPr>
          <w:w w:val="105"/>
        </w:rPr>
        <w:t>reviewed</w:t>
      </w:r>
      <w:r>
        <w:rPr>
          <w:spacing w:val="-2"/>
          <w:w w:val="105"/>
        </w:rPr>
        <w:t> </w:t>
      </w:r>
      <w:r>
        <w:rPr>
          <w:w w:val="105"/>
        </w:rPr>
        <w:t>for</w:t>
      </w:r>
      <w:r>
        <w:rPr>
          <w:spacing w:val="-2"/>
          <w:w w:val="105"/>
        </w:rPr>
        <w:t> </w:t>
      </w:r>
      <w:r>
        <w:rPr>
          <w:w w:val="105"/>
        </w:rPr>
        <w:t>indicators</w:t>
      </w:r>
      <w:r>
        <w:rPr>
          <w:spacing w:val="-2"/>
          <w:w w:val="105"/>
        </w:rPr>
        <w:t> </w:t>
      </w:r>
      <w:r>
        <w:rPr>
          <w:w w:val="105"/>
        </w:rPr>
        <w:t>of</w:t>
      </w:r>
      <w:r>
        <w:rPr>
          <w:spacing w:val="-2"/>
          <w:w w:val="105"/>
        </w:rPr>
        <w:t> </w:t>
      </w:r>
      <w:r>
        <w:rPr>
          <w:w w:val="105"/>
        </w:rPr>
        <w:t>impairment</w:t>
      </w:r>
      <w:r>
        <w:rPr>
          <w:spacing w:val="-2"/>
          <w:w w:val="105"/>
        </w:rPr>
        <w:t> </w:t>
      </w:r>
      <w:r>
        <w:rPr>
          <w:w w:val="105"/>
        </w:rPr>
        <w:t>quarterly,</w:t>
      </w:r>
      <w:r>
        <w:rPr>
          <w:spacing w:val="-2"/>
          <w:w w:val="105"/>
        </w:rPr>
        <w:t> </w:t>
      </w:r>
      <w:r>
        <w:rPr>
          <w:w w:val="105"/>
        </w:rPr>
        <w:t>or</w:t>
      </w:r>
      <w:r>
        <w:rPr>
          <w:spacing w:val="-2"/>
          <w:w w:val="105"/>
        </w:rPr>
        <w:t> </w:t>
      </w:r>
      <w:r>
        <w:rPr>
          <w:w w:val="105"/>
        </w:rPr>
        <w:t>if</w:t>
      </w:r>
      <w:r>
        <w:rPr>
          <w:spacing w:val="-2"/>
          <w:w w:val="105"/>
        </w:rPr>
        <w:t> </w:t>
      </w:r>
      <w:r>
        <w:rPr>
          <w:w w:val="105"/>
        </w:rPr>
        <w:t>an</w:t>
      </w:r>
      <w:r>
        <w:rPr>
          <w:spacing w:val="-2"/>
          <w:w w:val="105"/>
        </w:rPr>
        <w:t> </w:t>
      </w:r>
      <w:r>
        <w:rPr>
          <w:w w:val="105"/>
        </w:rPr>
        <w:t>event</w:t>
      </w:r>
      <w:r>
        <w:rPr>
          <w:spacing w:val="-2"/>
          <w:w w:val="105"/>
        </w:rPr>
        <w:t> </w:t>
      </w:r>
      <w:r>
        <w:rPr>
          <w:w w:val="105"/>
        </w:rPr>
        <w:t>occurs</w:t>
      </w:r>
      <w:r>
        <w:rPr>
          <w:spacing w:val="-2"/>
          <w:w w:val="105"/>
        </w:rPr>
        <w:t> </w:t>
      </w:r>
      <w:r>
        <w:rPr>
          <w:w w:val="105"/>
        </w:rPr>
        <w:t>or</w:t>
      </w:r>
      <w:r>
        <w:rPr>
          <w:spacing w:val="-2"/>
          <w:w w:val="105"/>
        </w:rPr>
        <w:t> </w:t>
      </w:r>
      <w:r>
        <w:rPr>
          <w:w w:val="105"/>
        </w:rPr>
        <w:t>circumstances change</w:t>
      </w:r>
      <w:r>
        <w:rPr>
          <w:spacing w:val="-2"/>
          <w:w w:val="105"/>
        </w:rPr>
        <w:t> </w:t>
      </w:r>
      <w:r>
        <w:rPr>
          <w:w w:val="105"/>
        </w:rPr>
        <w:t>that</w:t>
      </w:r>
      <w:r>
        <w:rPr>
          <w:spacing w:val="-2"/>
          <w:w w:val="105"/>
        </w:rPr>
        <w:t> </w:t>
      </w:r>
      <w:r>
        <w:rPr>
          <w:w w:val="105"/>
        </w:rPr>
        <w:t>indicate</w:t>
      </w:r>
      <w:r>
        <w:rPr>
          <w:spacing w:val="-2"/>
          <w:w w:val="105"/>
        </w:rPr>
        <w:t> </w:t>
      </w:r>
      <w:r>
        <w:rPr>
          <w:w w:val="105"/>
        </w:rPr>
        <w:t>that</w:t>
      </w:r>
      <w:r>
        <w:rPr>
          <w:spacing w:val="-2"/>
          <w:w w:val="105"/>
        </w:rPr>
        <w:t> </w:t>
      </w:r>
      <w:r>
        <w:rPr>
          <w:w w:val="105"/>
        </w:rPr>
        <w:t>the</w:t>
      </w:r>
      <w:r>
        <w:rPr>
          <w:spacing w:val="-2"/>
          <w:w w:val="105"/>
        </w:rPr>
        <w:t> </w:t>
      </w:r>
      <w:r>
        <w:rPr>
          <w:w w:val="105"/>
        </w:rPr>
        <w:t>carrying amount</w:t>
      </w:r>
      <w:r>
        <w:rPr>
          <w:spacing w:val="-4"/>
          <w:w w:val="105"/>
        </w:rPr>
        <w:t> </w:t>
      </w:r>
      <w:r>
        <w:rPr>
          <w:w w:val="105"/>
        </w:rPr>
        <w:t>may</w:t>
      </w:r>
      <w:r>
        <w:rPr>
          <w:spacing w:val="-4"/>
          <w:w w:val="105"/>
        </w:rPr>
        <w:t> </w:t>
      </w:r>
      <w:r>
        <w:rPr>
          <w:w w:val="105"/>
        </w:rPr>
        <w:t>be</w:t>
      </w:r>
      <w:r>
        <w:rPr>
          <w:spacing w:val="-4"/>
          <w:w w:val="105"/>
        </w:rPr>
        <w:t> </w:t>
      </w:r>
      <w:r>
        <w:rPr>
          <w:w w:val="105"/>
        </w:rPr>
        <w:t>impaired.</w:t>
      </w:r>
      <w:r>
        <w:rPr>
          <w:spacing w:val="36"/>
          <w:w w:val="105"/>
        </w:rPr>
        <w:t> </w:t>
      </w:r>
      <w:r>
        <w:rPr>
          <w:w w:val="105"/>
        </w:rPr>
        <w:t>Corning</w:t>
      </w:r>
      <w:r>
        <w:rPr>
          <w:spacing w:val="-4"/>
          <w:w w:val="105"/>
        </w:rPr>
        <w:t> </w:t>
      </w:r>
      <w:r>
        <w:rPr>
          <w:w w:val="105"/>
        </w:rPr>
        <w:t>also</w:t>
      </w:r>
      <w:r>
        <w:rPr>
          <w:spacing w:val="-4"/>
          <w:w w:val="105"/>
        </w:rPr>
        <w:t> </w:t>
      </w:r>
      <w:r>
        <w:rPr>
          <w:w w:val="105"/>
        </w:rPr>
        <w:t>performs</w:t>
      </w:r>
      <w:r>
        <w:rPr>
          <w:spacing w:val="-4"/>
          <w:w w:val="105"/>
        </w:rPr>
        <w:t> </w:t>
      </w:r>
      <w:r>
        <w:rPr>
          <w:w w:val="105"/>
        </w:rPr>
        <w:t>a</w:t>
      </w:r>
      <w:r>
        <w:rPr>
          <w:spacing w:val="-4"/>
          <w:w w:val="105"/>
        </w:rPr>
        <w:t> </w:t>
      </w:r>
      <w:r>
        <w:rPr>
          <w:w w:val="105"/>
        </w:rPr>
        <w:t>detailed</w:t>
      </w:r>
      <w:r>
        <w:rPr>
          <w:spacing w:val="-5"/>
          <w:w w:val="105"/>
        </w:rPr>
        <w:t> </w:t>
      </w:r>
      <w:r>
        <w:rPr>
          <w:w w:val="105"/>
        </w:rPr>
        <w:t>quantitative</w:t>
      </w:r>
      <w:r>
        <w:rPr>
          <w:spacing w:val="-4"/>
          <w:w w:val="105"/>
        </w:rPr>
        <w:t> </w:t>
      </w:r>
      <w:r>
        <w:rPr>
          <w:w w:val="105"/>
        </w:rPr>
        <w:t>impairment</w:t>
      </w:r>
      <w:r>
        <w:rPr>
          <w:spacing w:val="-4"/>
          <w:w w:val="105"/>
        </w:rPr>
        <w:t> </w:t>
      </w:r>
      <w:r>
        <w:rPr>
          <w:w w:val="105"/>
        </w:rPr>
        <w:t>test</w:t>
      </w:r>
      <w:r>
        <w:rPr>
          <w:spacing w:val="-4"/>
          <w:w w:val="105"/>
        </w:rPr>
        <w:t> </w:t>
      </w:r>
      <w:r>
        <w:rPr>
          <w:w w:val="105"/>
        </w:rPr>
        <w:t>every</w:t>
      </w:r>
      <w:r>
        <w:rPr>
          <w:spacing w:val="-5"/>
          <w:w w:val="105"/>
        </w:rPr>
        <w:t> </w:t>
      </w:r>
      <w:r>
        <w:rPr>
          <w:w w:val="105"/>
        </w:rPr>
        <w:t>three</w:t>
      </w:r>
      <w:r>
        <w:rPr>
          <w:spacing w:val="-3"/>
          <w:w w:val="105"/>
        </w:rPr>
        <w:t> </w:t>
      </w:r>
      <w:r>
        <w:rPr>
          <w:w w:val="105"/>
        </w:rPr>
        <w:t>years,</w:t>
      </w:r>
      <w:r>
        <w:rPr>
          <w:spacing w:val="-4"/>
          <w:w w:val="105"/>
        </w:rPr>
        <w:t> </w:t>
      </w:r>
      <w:r>
        <w:rPr>
          <w:w w:val="105"/>
        </w:rPr>
        <w:t>even</w:t>
      </w:r>
      <w:r>
        <w:rPr>
          <w:spacing w:val="-4"/>
          <w:w w:val="105"/>
        </w:rPr>
        <w:t> </w:t>
      </w:r>
      <w:r>
        <w:rPr>
          <w:w w:val="105"/>
        </w:rPr>
        <w:t>if</w:t>
      </w:r>
      <w:r>
        <w:rPr>
          <w:spacing w:val="-4"/>
          <w:w w:val="105"/>
        </w:rPr>
        <w:t> </w:t>
      </w:r>
      <w:r>
        <w:rPr>
          <w:w w:val="105"/>
        </w:rPr>
        <w:t>there</w:t>
      </w:r>
      <w:r>
        <w:rPr>
          <w:spacing w:val="-4"/>
          <w:w w:val="105"/>
        </w:rPr>
        <w:t> </w:t>
      </w:r>
      <w:r>
        <w:rPr>
          <w:w w:val="105"/>
        </w:rPr>
        <w:t>are</w:t>
      </w:r>
      <w:r>
        <w:rPr>
          <w:spacing w:val="-5"/>
          <w:w w:val="105"/>
        </w:rPr>
        <w:t> </w:t>
      </w:r>
      <w:r>
        <w:rPr>
          <w:w w:val="105"/>
        </w:rPr>
        <w:t>no</w:t>
      </w:r>
      <w:r>
        <w:rPr>
          <w:spacing w:val="-4"/>
          <w:w w:val="105"/>
        </w:rPr>
        <w:t> </w:t>
      </w:r>
      <w:r>
        <w:rPr>
          <w:w w:val="105"/>
        </w:rPr>
        <w:t>impairment</w:t>
      </w:r>
      <w:r>
        <w:rPr>
          <w:spacing w:val="-4"/>
          <w:w w:val="105"/>
        </w:rPr>
        <w:t> </w:t>
      </w:r>
      <w:r>
        <w:rPr>
          <w:w w:val="105"/>
        </w:rPr>
        <w:t>indicators</w:t>
      </w:r>
      <w:r>
        <w:rPr>
          <w:spacing w:val="-4"/>
          <w:w w:val="105"/>
        </w:rPr>
        <w:t> </w:t>
      </w:r>
      <w:r>
        <w:rPr>
          <w:w w:val="105"/>
        </w:rPr>
        <w:t>present.</w:t>
      </w:r>
      <w:r>
        <w:rPr>
          <w:spacing w:val="35"/>
          <w:w w:val="105"/>
        </w:rPr>
        <w:t> </w:t>
      </w:r>
      <w:r>
        <w:rPr>
          <w:w w:val="105"/>
        </w:rPr>
        <w:t>We</w:t>
      </w:r>
      <w:r>
        <w:rPr>
          <w:spacing w:val="-4"/>
          <w:w w:val="105"/>
        </w:rPr>
        <w:t> </w:t>
      </w:r>
      <w:r>
        <w:rPr>
          <w:w w:val="105"/>
        </w:rPr>
        <w:t>use</w:t>
      </w:r>
      <w:r>
        <w:rPr>
          <w:spacing w:val="-4"/>
          <w:w w:val="105"/>
        </w:rPr>
        <w:t> </w:t>
      </w:r>
      <w:r>
        <w:rPr>
          <w:w w:val="105"/>
        </w:rPr>
        <w:t>this calculation</w:t>
      </w:r>
      <w:r>
        <w:rPr>
          <w:spacing w:val="-2"/>
          <w:w w:val="105"/>
        </w:rPr>
        <w:t> </w:t>
      </w:r>
      <w:r>
        <w:rPr>
          <w:w w:val="105"/>
        </w:rPr>
        <w:t>as</w:t>
      </w:r>
      <w:r>
        <w:rPr>
          <w:spacing w:val="-2"/>
          <w:w w:val="105"/>
        </w:rPr>
        <w:t> </w:t>
      </w:r>
      <w:r>
        <w:rPr>
          <w:w w:val="105"/>
        </w:rPr>
        <w:t>quantitative</w:t>
      </w:r>
      <w:r>
        <w:rPr>
          <w:spacing w:val="-2"/>
          <w:w w:val="105"/>
        </w:rPr>
        <w:t> </w:t>
      </w:r>
      <w:r>
        <w:rPr>
          <w:w w:val="105"/>
        </w:rPr>
        <w:t>validation</w:t>
      </w:r>
      <w:r>
        <w:rPr>
          <w:spacing w:val="-2"/>
          <w:w w:val="105"/>
        </w:rPr>
        <w:t> </w:t>
      </w:r>
      <w:r>
        <w:rPr>
          <w:w w:val="105"/>
        </w:rPr>
        <w:t>of</w:t>
      </w:r>
      <w:r>
        <w:rPr>
          <w:spacing w:val="-2"/>
          <w:w w:val="105"/>
        </w:rPr>
        <w:t> </w:t>
      </w:r>
      <w:r>
        <w:rPr>
          <w:w w:val="105"/>
        </w:rPr>
        <w:t>the</w:t>
      </w:r>
      <w:r>
        <w:rPr>
          <w:spacing w:val="-2"/>
          <w:w w:val="105"/>
        </w:rPr>
        <w:t> </w:t>
      </w:r>
      <w:r>
        <w:rPr>
          <w:w w:val="105"/>
        </w:rPr>
        <w:t>qualitative</w:t>
      </w:r>
      <w:r>
        <w:rPr>
          <w:spacing w:val="-2"/>
          <w:w w:val="105"/>
        </w:rPr>
        <w:t> </w:t>
      </w:r>
      <w:r>
        <w:rPr>
          <w:w w:val="105"/>
        </w:rPr>
        <w:t>process; this</w:t>
      </w:r>
      <w:r>
        <w:rPr>
          <w:spacing w:val="-2"/>
          <w:w w:val="105"/>
        </w:rPr>
        <w:t> </w:t>
      </w:r>
      <w:r>
        <w:rPr>
          <w:w w:val="105"/>
        </w:rPr>
        <w:t>process</w:t>
      </w:r>
      <w:r>
        <w:rPr>
          <w:spacing w:val="-2"/>
          <w:w w:val="105"/>
        </w:rPr>
        <w:t> </w:t>
      </w:r>
      <w:r>
        <w:rPr>
          <w:w w:val="105"/>
        </w:rPr>
        <w:t>does</w:t>
      </w:r>
      <w:r>
        <w:rPr>
          <w:spacing w:val="-2"/>
          <w:w w:val="105"/>
        </w:rPr>
        <w:t> </w:t>
      </w:r>
      <w:r>
        <w:rPr>
          <w:w w:val="105"/>
        </w:rPr>
        <w:t>not</w:t>
      </w:r>
      <w:r>
        <w:rPr>
          <w:spacing w:val="-2"/>
          <w:w w:val="105"/>
        </w:rPr>
        <w:t> </w:t>
      </w:r>
      <w:r>
        <w:rPr>
          <w:w w:val="105"/>
        </w:rPr>
        <w:t>represent</w:t>
      </w:r>
      <w:r>
        <w:rPr>
          <w:spacing w:val="-2"/>
          <w:w w:val="105"/>
        </w:rPr>
        <w:t> </w:t>
      </w:r>
      <w:r>
        <w:rPr>
          <w:w w:val="105"/>
        </w:rPr>
        <w:t>an</w:t>
      </w:r>
      <w:r>
        <w:rPr>
          <w:spacing w:val="-2"/>
          <w:w w:val="105"/>
        </w:rPr>
        <w:t> </w:t>
      </w:r>
      <w:r>
        <w:rPr>
          <w:w w:val="105"/>
        </w:rPr>
        <w:t>election</w:t>
      </w:r>
      <w:r>
        <w:rPr>
          <w:spacing w:val="-2"/>
          <w:w w:val="105"/>
        </w:rPr>
        <w:t> </w:t>
      </w:r>
      <w:r>
        <w:rPr>
          <w:w w:val="105"/>
        </w:rPr>
        <w:t>to</w:t>
      </w:r>
      <w:r>
        <w:rPr>
          <w:spacing w:val="-4"/>
          <w:w w:val="105"/>
        </w:rPr>
        <w:t> </w:t>
      </w:r>
      <w:r>
        <w:rPr>
          <w:w w:val="105"/>
        </w:rPr>
        <w:t>perform</w:t>
      </w:r>
      <w:r>
        <w:rPr>
          <w:spacing w:val="-2"/>
          <w:w w:val="105"/>
        </w:rPr>
        <w:t> </w:t>
      </w:r>
      <w:r>
        <w:rPr>
          <w:w w:val="105"/>
        </w:rPr>
        <w:t>the</w:t>
      </w:r>
      <w:r>
        <w:rPr>
          <w:spacing w:val="-2"/>
          <w:w w:val="105"/>
        </w:rPr>
        <w:t> </w:t>
      </w:r>
      <w:r>
        <w:rPr>
          <w:w w:val="105"/>
        </w:rPr>
        <w:t>quantitative</w:t>
      </w:r>
      <w:r>
        <w:rPr>
          <w:spacing w:val="-2"/>
          <w:w w:val="105"/>
        </w:rPr>
        <w:t> </w:t>
      </w:r>
      <w:r>
        <w:rPr>
          <w:w w:val="105"/>
        </w:rPr>
        <w:t>impairment</w:t>
      </w:r>
      <w:r>
        <w:rPr>
          <w:spacing w:val="-2"/>
          <w:w w:val="105"/>
        </w:rPr>
        <w:t> </w:t>
      </w:r>
      <w:r>
        <w:rPr>
          <w:w w:val="105"/>
        </w:rPr>
        <w:t>test</w:t>
      </w:r>
      <w:r>
        <w:rPr>
          <w:spacing w:val="-2"/>
          <w:w w:val="105"/>
        </w:rPr>
        <w:t> </w:t>
      </w:r>
      <w:r>
        <w:rPr>
          <w:w w:val="105"/>
        </w:rPr>
        <w:t>in</w:t>
      </w:r>
      <w:r>
        <w:rPr>
          <w:spacing w:val="-2"/>
          <w:w w:val="105"/>
        </w:rPr>
        <w:t> </w:t>
      </w:r>
      <w:r>
        <w:rPr>
          <w:w w:val="105"/>
        </w:rPr>
        <w:t>place</w:t>
      </w:r>
      <w:r>
        <w:rPr>
          <w:spacing w:val="-2"/>
          <w:w w:val="105"/>
        </w:rPr>
        <w:t> </w:t>
      </w:r>
      <w:r>
        <w:rPr>
          <w:w w:val="105"/>
        </w:rPr>
        <w:t>of</w:t>
      </w:r>
      <w:r>
        <w:rPr>
          <w:spacing w:val="-2"/>
          <w:w w:val="105"/>
        </w:rPr>
        <w:t> </w:t>
      </w:r>
      <w:r>
        <w:rPr>
          <w:w w:val="105"/>
        </w:rPr>
        <w:t>the qualitative</w:t>
      </w:r>
      <w:r>
        <w:rPr>
          <w:spacing w:val="-1"/>
          <w:w w:val="105"/>
        </w:rPr>
        <w:t> </w:t>
      </w:r>
      <w:r>
        <w:rPr>
          <w:w w:val="105"/>
        </w:rPr>
        <w:t>review.</w:t>
      </w:r>
    </w:p>
    <w:p>
      <w:pPr>
        <w:pStyle w:val="BodyText"/>
        <w:spacing w:before="17"/>
      </w:pPr>
    </w:p>
    <w:p>
      <w:pPr>
        <w:pStyle w:val="BodyText"/>
        <w:spacing w:line="266" w:lineRule="auto"/>
        <w:ind w:left="156" w:right="328"/>
      </w:pPr>
      <w:r>
        <w:rPr>
          <w:w w:val="105"/>
        </w:rPr>
        <w:t>The</w:t>
      </w:r>
      <w:r>
        <w:rPr>
          <w:spacing w:val="-3"/>
          <w:w w:val="105"/>
        </w:rPr>
        <w:t> </w:t>
      </w:r>
      <w:r>
        <w:rPr>
          <w:w w:val="105"/>
        </w:rPr>
        <w:t>qualitative</w:t>
      </w:r>
      <w:r>
        <w:rPr>
          <w:spacing w:val="-3"/>
          <w:w w:val="105"/>
        </w:rPr>
        <w:t> </w:t>
      </w:r>
      <w:r>
        <w:rPr>
          <w:w w:val="105"/>
        </w:rPr>
        <w:t>process</w:t>
      </w:r>
      <w:r>
        <w:rPr>
          <w:spacing w:val="-1"/>
          <w:w w:val="105"/>
        </w:rPr>
        <w:t> </w:t>
      </w:r>
      <w:r>
        <w:rPr>
          <w:w w:val="105"/>
        </w:rPr>
        <w:t>includes</w:t>
      </w:r>
      <w:r>
        <w:rPr>
          <w:spacing w:val="-3"/>
          <w:w w:val="105"/>
        </w:rPr>
        <w:t> </w:t>
      </w:r>
      <w:r>
        <w:rPr>
          <w:w w:val="105"/>
        </w:rPr>
        <w:t>an</w:t>
      </w:r>
      <w:r>
        <w:rPr>
          <w:spacing w:val="-3"/>
          <w:w w:val="105"/>
        </w:rPr>
        <w:t> </w:t>
      </w:r>
      <w:r>
        <w:rPr>
          <w:w w:val="105"/>
        </w:rPr>
        <w:t>extensive</w:t>
      </w:r>
      <w:r>
        <w:rPr>
          <w:spacing w:val="-3"/>
          <w:w w:val="105"/>
        </w:rPr>
        <w:t> </w:t>
      </w:r>
      <w:r>
        <w:rPr>
          <w:w w:val="105"/>
        </w:rPr>
        <w:t>review</w:t>
      </w:r>
      <w:r>
        <w:rPr>
          <w:spacing w:val="-3"/>
          <w:w w:val="105"/>
        </w:rPr>
        <w:t> </w:t>
      </w:r>
      <w:r>
        <w:rPr>
          <w:w w:val="105"/>
        </w:rPr>
        <w:t>of</w:t>
      </w:r>
      <w:r>
        <w:rPr>
          <w:spacing w:val="-3"/>
          <w:w w:val="105"/>
        </w:rPr>
        <w:t> </w:t>
      </w:r>
      <w:r>
        <w:rPr>
          <w:w w:val="105"/>
        </w:rPr>
        <w:t>expectations</w:t>
      </w:r>
      <w:r>
        <w:rPr>
          <w:spacing w:val="-3"/>
          <w:w w:val="105"/>
        </w:rPr>
        <w:t> </w:t>
      </w:r>
      <w:r>
        <w:rPr>
          <w:w w:val="105"/>
        </w:rPr>
        <w:t>for</w:t>
      </w:r>
      <w:r>
        <w:rPr>
          <w:spacing w:val="-3"/>
          <w:w w:val="105"/>
        </w:rPr>
        <w:t> </w:t>
      </w:r>
      <w:r>
        <w:rPr>
          <w:w w:val="105"/>
        </w:rPr>
        <w:t>the</w:t>
      </w:r>
      <w:r>
        <w:rPr>
          <w:spacing w:val="-3"/>
          <w:w w:val="105"/>
        </w:rPr>
        <w:t> </w:t>
      </w:r>
      <w:r>
        <w:rPr>
          <w:w w:val="105"/>
        </w:rPr>
        <w:t>long-term</w:t>
      </w:r>
      <w:r>
        <w:rPr>
          <w:spacing w:val="-3"/>
          <w:w w:val="105"/>
        </w:rPr>
        <w:t> </w:t>
      </w:r>
      <w:r>
        <w:rPr>
          <w:w w:val="105"/>
        </w:rPr>
        <w:t>growth</w:t>
      </w:r>
      <w:r>
        <w:rPr>
          <w:spacing w:val="-3"/>
          <w:w w:val="105"/>
        </w:rPr>
        <w:t> </w:t>
      </w:r>
      <w:r>
        <w:rPr>
          <w:w w:val="105"/>
        </w:rPr>
        <w:t>of</w:t>
      </w:r>
      <w:r>
        <w:rPr>
          <w:spacing w:val="-3"/>
          <w:w w:val="105"/>
        </w:rPr>
        <w:t> </w:t>
      </w:r>
      <w:r>
        <w:rPr>
          <w:w w:val="105"/>
        </w:rPr>
        <w:t>our</w:t>
      </w:r>
      <w:r>
        <w:rPr>
          <w:spacing w:val="-3"/>
          <w:w w:val="105"/>
        </w:rPr>
        <w:t> </w:t>
      </w:r>
      <w:r>
        <w:rPr>
          <w:w w:val="105"/>
        </w:rPr>
        <w:t>businesses</w:t>
      </w:r>
      <w:r>
        <w:rPr>
          <w:spacing w:val="-3"/>
          <w:w w:val="105"/>
        </w:rPr>
        <w:t> </w:t>
      </w:r>
      <w:r>
        <w:rPr>
          <w:w w:val="105"/>
        </w:rPr>
        <w:t>and</w:t>
      </w:r>
      <w:r>
        <w:rPr>
          <w:spacing w:val="-3"/>
          <w:w w:val="105"/>
        </w:rPr>
        <w:t> </w:t>
      </w:r>
      <w:r>
        <w:rPr>
          <w:w w:val="105"/>
        </w:rPr>
        <w:t>forecasted</w:t>
      </w:r>
      <w:r>
        <w:rPr>
          <w:spacing w:val="-3"/>
          <w:w w:val="105"/>
        </w:rPr>
        <w:t> </w:t>
      </w:r>
      <w:r>
        <w:rPr>
          <w:w w:val="105"/>
        </w:rPr>
        <w:t>future</w:t>
      </w:r>
      <w:r>
        <w:rPr>
          <w:spacing w:val="-3"/>
          <w:w w:val="105"/>
        </w:rPr>
        <w:t> </w:t>
      </w:r>
      <w:r>
        <w:rPr>
          <w:w w:val="105"/>
        </w:rPr>
        <w:t>cash</w:t>
      </w:r>
      <w:r>
        <w:rPr>
          <w:spacing w:val="-3"/>
          <w:w w:val="105"/>
        </w:rPr>
        <w:t> </w:t>
      </w:r>
      <w:r>
        <w:rPr>
          <w:w w:val="105"/>
        </w:rPr>
        <w:t>flows.</w:t>
      </w:r>
      <w:r>
        <w:rPr>
          <w:spacing w:val="37"/>
          <w:w w:val="105"/>
        </w:rPr>
        <w:t> </w:t>
      </w:r>
      <w:r>
        <w:rPr>
          <w:w w:val="105"/>
        </w:rPr>
        <w:t>If</w:t>
      </w:r>
      <w:r>
        <w:rPr>
          <w:spacing w:val="-3"/>
          <w:w w:val="105"/>
        </w:rPr>
        <w:t> </w:t>
      </w:r>
      <w:r>
        <w:rPr>
          <w:w w:val="105"/>
        </w:rPr>
        <w:t>we</w:t>
      </w:r>
      <w:r>
        <w:rPr>
          <w:spacing w:val="-3"/>
          <w:w w:val="105"/>
        </w:rPr>
        <w:t> </w:t>
      </w:r>
      <w:r>
        <w:rPr>
          <w:w w:val="105"/>
        </w:rPr>
        <w:t>are</w:t>
      </w:r>
      <w:r>
        <w:rPr>
          <w:spacing w:val="-3"/>
          <w:w w:val="105"/>
        </w:rPr>
        <w:t> </w:t>
      </w:r>
      <w:r>
        <w:rPr>
          <w:w w:val="105"/>
        </w:rPr>
        <w:t>required</w:t>
      </w:r>
      <w:r>
        <w:rPr>
          <w:spacing w:val="-3"/>
          <w:w w:val="105"/>
        </w:rPr>
        <w:t> </w:t>
      </w:r>
      <w:r>
        <w:rPr>
          <w:w w:val="105"/>
        </w:rPr>
        <w:t>to perform</w:t>
      </w:r>
      <w:r>
        <w:rPr>
          <w:spacing w:val="-2"/>
          <w:w w:val="105"/>
        </w:rPr>
        <w:t> </w:t>
      </w:r>
      <w:r>
        <w:rPr>
          <w:w w:val="105"/>
        </w:rPr>
        <w:t>the</w:t>
      </w:r>
      <w:r>
        <w:rPr>
          <w:spacing w:val="-2"/>
          <w:w w:val="105"/>
        </w:rPr>
        <w:t> </w:t>
      </w:r>
      <w:r>
        <w:rPr>
          <w:w w:val="105"/>
        </w:rPr>
        <w:t>quantitative</w:t>
      </w:r>
      <w:r>
        <w:rPr>
          <w:spacing w:val="-2"/>
          <w:w w:val="105"/>
        </w:rPr>
        <w:t> </w:t>
      </w:r>
      <w:r>
        <w:rPr>
          <w:w w:val="105"/>
        </w:rPr>
        <w:t>impairment</w:t>
      </w:r>
      <w:r>
        <w:rPr>
          <w:spacing w:val="-2"/>
          <w:w w:val="105"/>
        </w:rPr>
        <w:t> </w:t>
      </w:r>
      <w:r>
        <w:rPr>
          <w:w w:val="105"/>
        </w:rPr>
        <w:t>analysis,</w:t>
      </w:r>
      <w:r>
        <w:rPr>
          <w:spacing w:val="-2"/>
          <w:w w:val="105"/>
        </w:rPr>
        <w:t> </w:t>
      </w:r>
      <w:r>
        <w:rPr>
          <w:w w:val="105"/>
        </w:rPr>
        <w:t>our</w:t>
      </w:r>
      <w:r>
        <w:rPr>
          <w:spacing w:val="-2"/>
          <w:w w:val="105"/>
        </w:rPr>
        <w:t> </w:t>
      </w:r>
      <w:r>
        <w:rPr>
          <w:w w:val="105"/>
        </w:rPr>
        <w:t>valuation</w:t>
      </w:r>
      <w:r>
        <w:rPr>
          <w:spacing w:val="-2"/>
          <w:w w:val="105"/>
        </w:rPr>
        <w:t> </w:t>
      </w:r>
      <w:r>
        <w:rPr>
          <w:w w:val="105"/>
        </w:rPr>
        <w:t>method</w:t>
      </w:r>
      <w:r>
        <w:rPr>
          <w:spacing w:val="-2"/>
          <w:w w:val="105"/>
        </w:rPr>
        <w:t> </w:t>
      </w:r>
      <w:r>
        <w:rPr>
          <w:w w:val="105"/>
        </w:rPr>
        <w:t>is</w:t>
      </w:r>
      <w:r>
        <w:rPr>
          <w:spacing w:val="-2"/>
          <w:w w:val="105"/>
        </w:rPr>
        <w:t> </w:t>
      </w:r>
      <w:r>
        <w:rPr>
          <w:w w:val="105"/>
        </w:rPr>
        <w:t>an “income</w:t>
      </w:r>
      <w:r>
        <w:rPr>
          <w:spacing w:val="-2"/>
          <w:w w:val="105"/>
        </w:rPr>
        <w:t> </w:t>
      </w:r>
      <w:r>
        <w:rPr>
          <w:w w:val="105"/>
        </w:rPr>
        <w:t>approach”</w:t>
      </w:r>
      <w:r>
        <w:rPr>
          <w:spacing w:val="-2"/>
          <w:w w:val="105"/>
        </w:rPr>
        <w:t> </w:t>
      </w:r>
      <w:r>
        <w:rPr>
          <w:w w:val="105"/>
        </w:rPr>
        <w:t>using</w:t>
      </w:r>
      <w:r>
        <w:rPr>
          <w:spacing w:val="-2"/>
          <w:w w:val="105"/>
        </w:rPr>
        <w:t> </w:t>
      </w:r>
      <w:r>
        <w:rPr>
          <w:w w:val="105"/>
        </w:rPr>
        <w:t>a</w:t>
      </w:r>
      <w:r>
        <w:rPr>
          <w:spacing w:val="-2"/>
          <w:w w:val="105"/>
        </w:rPr>
        <w:t> </w:t>
      </w:r>
      <w:r>
        <w:rPr>
          <w:w w:val="105"/>
        </w:rPr>
        <w:t>discounted</w:t>
      </w:r>
      <w:r>
        <w:rPr>
          <w:spacing w:val="-2"/>
          <w:w w:val="105"/>
        </w:rPr>
        <w:t> </w:t>
      </w:r>
      <w:r>
        <w:rPr>
          <w:w w:val="105"/>
        </w:rPr>
        <w:t>cash</w:t>
      </w:r>
      <w:r>
        <w:rPr>
          <w:spacing w:val="-2"/>
          <w:w w:val="105"/>
        </w:rPr>
        <w:t> </w:t>
      </w:r>
      <w:r>
        <w:rPr>
          <w:w w:val="105"/>
        </w:rPr>
        <w:t>flow</w:t>
      </w:r>
      <w:r>
        <w:rPr>
          <w:spacing w:val="-2"/>
          <w:w w:val="105"/>
        </w:rPr>
        <w:t> </w:t>
      </w:r>
      <w:r>
        <w:rPr>
          <w:w w:val="105"/>
        </w:rPr>
        <w:t>model</w:t>
      </w:r>
      <w:r>
        <w:rPr>
          <w:spacing w:val="-2"/>
          <w:w w:val="105"/>
        </w:rPr>
        <w:t> </w:t>
      </w:r>
      <w:r>
        <w:rPr>
          <w:w w:val="105"/>
        </w:rPr>
        <w:t>in</w:t>
      </w:r>
      <w:r>
        <w:rPr>
          <w:spacing w:val="-2"/>
          <w:w w:val="105"/>
        </w:rPr>
        <w:t> </w:t>
      </w:r>
      <w:r>
        <w:rPr>
          <w:w w:val="105"/>
        </w:rPr>
        <w:t>which</w:t>
      </w:r>
      <w:r>
        <w:rPr>
          <w:spacing w:val="-2"/>
          <w:w w:val="105"/>
        </w:rPr>
        <w:t> </w:t>
      </w:r>
      <w:r>
        <w:rPr>
          <w:w w:val="105"/>
        </w:rPr>
        <w:t>cash flows</w:t>
      </w:r>
      <w:r>
        <w:rPr>
          <w:spacing w:val="-2"/>
          <w:w w:val="105"/>
        </w:rPr>
        <w:t> </w:t>
      </w:r>
      <w:r>
        <w:rPr>
          <w:w w:val="105"/>
        </w:rPr>
        <w:t>anticipated</w:t>
      </w:r>
      <w:r>
        <w:rPr>
          <w:spacing w:val="-2"/>
          <w:w w:val="105"/>
        </w:rPr>
        <w:t> </w:t>
      </w:r>
      <w:r>
        <w:rPr>
          <w:w w:val="105"/>
        </w:rPr>
        <w:t>over several</w:t>
      </w:r>
      <w:r>
        <w:rPr>
          <w:spacing w:val="-1"/>
          <w:w w:val="105"/>
        </w:rPr>
        <w:t> </w:t>
      </w:r>
      <w:r>
        <w:rPr>
          <w:w w:val="105"/>
        </w:rPr>
        <w:t>periods,</w:t>
      </w:r>
      <w:r>
        <w:rPr>
          <w:spacing w:val="-1"/>
          <w:w w:val="105"/>
        </w:rPr>
        <w:t> </w:t>
      </w:r>
      <w:r>
        <w:rPr>
          <w:w w:val="105"/>
        </w:rPr>
        <w:t>plus</w:t>
      </w:r>
      <w:r>
        <w:rPr>
          <w:spacing w:val="-1"/>
          <w:w w:val="105"/>
        </w:rPr>
        <w:t> </w:t>
      </w:r>
      <w:r>
        <w:rPr>
          <w:w w:val="105"/>
        </w:rPr>
        <w:t>a</w:t>
      </w:r>
      <w:r>
        <w:rPr>
          <w:spacing w:val="-1"/>
          <w:w w:val="105"/>
        </w:rPr>
        <w:t> </w:t>
      </w:r>
      <w:r>
        <w:rPr>
          <w:w w:val="105"/>
        </w:rPr>
        <w:t>terminal</w:t>
      </w:r>
      <w:r>
        <w:rPr>
          <w:spacing w:val="-1"/>
          <w:w w:val="105"/>
        </w:rPr>
        <w:t> </w:t>
      </w:r>
      <w:r>
        <w:rPr>
          <w:w w:val="105"/>
        </w:rPr>
        <w:t>value</w:t>
      </w:r>
      <w:r>
        <w:rPr>
          <w:spacing w:val="-1"/>
          <w:w w:val="105"/>
        </w:rPr>
        <w:t> </w:t>
      </w:r>
      <w:r>
        <w:rPr>
          <w:w w:val="105"/>
        </w:rPr>
        <w:t>at</w:t>
      </w:r>
      <w:r>
        <w:rPr>
          <w:spacing w:val="-1"/>
          <w:w w:val="105"/>
        </w:rPr>
        <w:t> </w:t>
      </w:r>
      <w:r>
        <w:rPr>
          <w:w w:val="105"/>
        </w:rPr>
        <w:t>the</w:t>
      </w:r>
      <w:r>
        <w:rPr>
          <w:spacing w:val="-1"/>
          <w:w w:val="105"/>
        </w:rPr>
        <w:t> </w:t>
      </w:r>
      <w:r>
        <w:rPr>
          <w:w w:val="105"/>
        </w:rPr>
        <w:t>end</w:t>
      </w:r>
      <w:r>
        <w:rPr>
          <w:spacing w:val="-1"/>
          <w:w w:val="105"/>
        </w:rPr>
        <w:t> </w:t>
      </w:r>
      <w:r>
        <w:rPr>
          <w:w w:val="105"/>
        </w:rPr>
        <w:t>of</w:t>
      </w:r>
      <w:r>
        <w:rPr>
          <w:spacing w:val="-1"/>
          <w:w w:val="105"/>
        </w:rPr>
        <w:t> </w:t>
      </w:r>
      <w:r>
        <w:rPr>
          <w:w w:val="105"/>
        </w:rPr>
        <w:t>that</w:t>
      </w:r>
      <w:r>
        <w:rPr>
          <w:spacing w:val="-1"/>
          <w:w w:val="105"/>
        </w:rPr>
        <w:t> </w:t>
      </w:r>
      <w:r>
        <w:rPr>
          <w:w w:val="105"/>
        </w:rPr>
        <w:t>time</w:t>
      </w:r>
      <w:r>
        <w:rPr>
          <w:spacing w:val="-1"/>
          <w:w w:val="105"/>
        </w:rPr>
        <w:t> </w:t>
      </w:r>
      <w:r>
        <w:rPr>
          <w:w w:val="105"/>
        </w:rPr>
        <w:t>horizon,</w:t>
      </w:r>
      <w:r>
        <w:rPr>
          <w:spacing w:val="-1"/>
          <w:w w:val="105"/>
        </w:rPr>
        <w:t> </w:t>
      </w:r>
      <w:r>
        <w:rPr>
          <w:w w:val="105"/>
        </w:rPr>
        <w:t>are</w:t>
      </w:r>
      <w:r>
        <w:rPr>
          <w:spacing w:val="-1"/>
          <w:w w:val="105"/>
        </w:rPr>
        <w:t> </w:t>
      </w:r>
      <w:r>
        <w:rPr>
          <w:w w:val="105"/>
        </w:rPr>
        <w:t>discounted</w:t>
      </w:r>
      <w:r>
        <w:rPr>
          <w:spacing w:val="-1"/>
          <w:w w:val="105"/>
        </w:rPr>
        <w:t> </w:t>
      </w:r>
      <w:r>
        <w:rPr>
          <w:w w:val="105"/>
        </w:rPr>
        <w:t>to</w:t>
      </w:r>
      <w:r>
        <w:rPr>
          <w:spacing w:val="-1"/>
          <w:w w:val="105"/>
        </w:rPr>
        <w:t> </w:t>
      </w:r>
      <w:r>
        <w:rPr>
          <w:w w:val="105"/>
        </w:rPr>
        <w:t>their</w:t>
      </w:r>
      <w:r>
        <w:rPr>
          <w:spacing w:val="-1"/>
          <w:w w:val="105"/>
        </w:rPr>
        <w:t> </w:t>
      </w:r>
      <w:r>
        <w:rPr>
          <w:w w:val="105"/>
        </w:rPr>
        <w:t>present</w:t>
      </w:r>
      <w:r>
        <w:rPr>
          <w:spacing w:val="-1"/>
          <w:w w:val="105"/>
        </w:rPr>
        <w:t> </w:t>
      </w:r>
      <w:r>
        <w:rPr>
          <w:w w:val="105"/>
        </w:rPr>
        <w:t>value</w:t>
      </w:r>
      <w:r>
        <w:rPr>
          <w:spacing w:val="-1"/>
          <w:w w:val="105"/>
        </w:rPr>
        <w:t> </w:t>
      </w:r>
      <w:r>
        <w:rPr>
          <w:w w:val="105"/>
        </w:rPr>
        <w:t>using</w:t>
      </w:r>
      <w:r>
        <w:rPr>
          <w:spacing w:val="-1"/>
          <w:w w:val="105"/>
        </w:rPr>
        <w:t> </w:t>
      </w:r>
      <w:r>
        <w:rPr>
          <w:w w:val="105"/>
        </w:rPr>
        <w:t>an</w:t>
      </w:r>
      <w:r>
        <w:rPr>
          <w:spacing w:val="-1"/>
          <w:w w:val="105"/>
        </w:rPr>
        <w:t> </w:t>
      </w:r>
      <w:r>
        <w:rPr>
          <w:w w:val="105"/>
        </w:rPr>
        <w:t>appropriate rate</w:t>
      </w:r>
      <w:r>
        <w:rPr>
          <w:spacing w:val="-1"/>
          <w:w w:val="105"/>
        </w:rPr>
        <w:t> </w:t>
      </w:r>
      <w:r>
        <w:rPr>
          <w:w w:val="105"/>
        </w:rPr>
        <w:t>of</w:t>
      </w:r>
      <w:r>
        <w:rPr>
          <w:spacing w:val="-1"/>
          <w:w w:val="105"/>
        </w:rPr>
        <w:t> </w:t>
      </w:r>
      <w:r>
        <w:rPr>
          <w:w w:val="105"/>
        </w:rPr>
        <w:t>return.</w:t>
      </w:r>
      <w:r>
        <w:rPr>
          <w:spacing w:val="40"/>
          <w:w w:val="105"/>
        </w:rPr>
        <w:t> </w:t>
      </w:r>
      <w:r>
        <w:rPr>
          <w:w w:val="105"/>
        </w:rPr>
        <w:t>Our</w:t>
      </w:r>
      <w:r>
        <w:rPr>
          <w:spacing w:val="-1"/>
          <w:w w:val="105"/>
        </w:rPr>
        <w:t> </w:t>
      </w:r>
      <w:r>
        <w:rPr>
          <w:w w:val="105"/>
        </w:rPr>
        <w:t>estimates</w:t>
      </w:r>
      <w:r>
        <w:rPr>
          <w:spacing w:val="-1"/>
          <w:w w:val="105"/>
        </w:rPr>
        <w:t> </w:t>
      </w:r>
      <w:r>
        <w:rPr>
          <w:w w:val="105"/>
        </w:rPr>
        <w:t>are</w:t>
      </w:r>
      <w:r>
        <w:rPr>
          <w:spacing w:val="-1"/>
          <w:w w:val="105"/>
        </w:rPr>
        <w:t> </w:t>
      </w:r>
      <w:r>
        <w:rPr>
          <w:w w:val="105"/>
        </w:rPr>
        <w:t>based upon</w:t>
      </w:r>
      <w:r>
        <w:rPr>
          <w:spacing w:val="-7"/>
          <w:w w:val="105"/>
        </w:rPr>
        <w:t> </w:t>
      </w:r>
      <w:r>
        <w:rPr>
          <w:w w:val="105"/>
        </w:rPr>
        <w:t>historical</w:t>
      </w:r>
      <w:r>
        <w:rPr>
          <w:spacing w:val="-7"/>
          <w:w w:val="105"/>
        </w:rPr>
        <w:t> </w:t>
      </w:r>
      <w:r>
        <w:rPr>
          <w:w w:val="105"/>
        </w:rPr>
        <w:t>experience,</w:t>
      </w:r>
      <w:r>
        <w:rPr>
          <w:spacing w:val="-7"/>
          <w:w w:val="105"/>
        </w:rPr>
        <w:t> </w:t>
      </w:r>
      <w:r>
        <w:rPr>
          <w:w w:val="105"/>
        </w:rPr>
        <w:t>current</w:t>
      </w:r>
      <w:r>
        <w:rPr>
          <w:spacing w:val="-7"/>
          <w:w w:val="105"/>
        </w:rPr>
        <w:t> </w:t>
      </w:r>
      <w:r>
        <w:rPr>
          <w:w w:val="105"/>
        </w:rPr>
        <w:t>knowledge</w:t>
      </w:r>
      <w:r>
        <w:rPr>
          <w:spacing w:val="-7"/>
          <w:w w:val="105"/>
        </w:rPr>
        <w:t> </w:t>
      </w:r>
      <w:r>
        <w:rPr>
          <w:w w:val="105"/>
        </w:rPr>
        <w:t>from</w:t>
      </w:r>
      <w:r>
        <w:rPr>
          <w:spacing w:val="-7"/>
          <w:w w:val="105"/>
        </w:rPr>
        <w:t> </w:t>
      </w:r>
      <w:r>
        <w:rPr>
          <w:w w:val="105"/>
        </w:rPr>
        <w:t>our</w:t>
      </w:r>
      <w:r>
        <w:rPr>
          <w:spacing w:val="-5"/>
          <w:w w:val="105"/>
        </w:rPr>
        <w:t> </w:t>
      </w:r>
      <w:r>
        <w:rPr>
          <w:w w:val="105"/>
        </w:rPr>
        <w:t>commercial</w:t>
      </w:r>
      <w:r>
        <w:rPr>
          <w:spacing w:val="-7"/>
          <w:w w:val="105"/>
        </w:rPr>
        <w:t> </w:t>
      </w:r>
      <w:r>
        <w:rPr>
          <w:w w:val="105"/>
        </w:rPr>
        <w:t>relationships,</w:t>
      </w:r>
      <w:r>
        <w:rPr>
          <w:spacing w:val="-7"/>
          <w:w w:val="105"/>
        </w:rPr>
        <w:t> </w:t>
      </w:r>
      <w:r>
        <w:rPr>
          <w:w w:val="105"/>
        </w:rPr>
        <w:t>and</w:t>
      </w:r>
      <w:r>
        <w:rPr>
          <w:spacing w:val="-7"/>
          <w:w w:val="105"/>
        </w:rPr>
        <w:t> </w:t>
      </w:r>
      <w:r>
        <w:rPr>
          <w:w w:val="105"/>
        </w:rPr>
        <w:t>available</w:t>
      </w:r>
      <w:r>
        <w:rPr>
          <w:spacing w:val="-7"/>
          <w:w w:val="105"/>
        </w:rPr>
        <w:t> </w:t>
      </w:r>
      <w:r>
        <w:rPr>
          <w:w w:val="105"/>
        </w:rPr>
        <w:t>external</w:t>
      </w:r>
      <w:r>
        <w:rPr>
          <w:spacing w:val="-7"/>
          <w:w w:val="105"/>
        </w:rPr>
        <w:t> </w:t>
      </w:r>
      <w:r>
        <w:rPr>
          <w:w w:val="105"/>
        </w:rPr>
        <w:t>information</w:t>
      </w:r>
      <w:r>
        <w:rPr>
          <w:spacing w:val="-7"/>
          <w:w w:val="105"/>
        </w:rPr>
        <w:t> </w:t>
      </w:r>
      <w:r>
        <w:rPr>
          <w:w w:val="105"/>
        </w:rPr>
        <w:t>about</w:t>
      </w:r>
      <w:r>
        <w:rPr>
          <w:spacing w:val="-5"/>
          <w:w w:val="105"/>
        </w:rPr>
        <w:t> </w:t>
      </w:r>
      <w:r>
        <w:rPr>
          <w:w w:val="105"/>
        </w:rPr>
        <w:t>future</w:t>
      </w:r>
      <w:r>
        <w:rPr>
          <w:spacing w:val="-7"/>
          <w:w w:val="105"/>
        </w:rPr>
        <w:t> </w:t>
      </w:r>
      <w:r>
        <w:rPr>
          <w:w w:val="105"/>
        </w:rPr>
        <w:t>trends.</w:t>
      </w:r>
      <w:r>
        <w:rPr>
          <w:spacing w:val="28"/>
          <w:w w:val="105"/>
        </w:rPr>
        <w:t> </w:t>
      </w:r>
      <w:r>
        <w:rPr>
          <w:w w:val="105"/>
        </w:rPr>
        <w:t>If</w:t>
      </w:r>
      <w:r>
        <w:rPr>
          <w:spacing w:val="-7"/>
          <w:w w:val="105"/>
        </w:rPr>
        <w:t> </w:t>
      </w: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is</w:t>
      </w:r>
      <w:r>
        <w:rPr>
          <w:spacing w:val="-7"/>
          <w:w w:val="105"/>
        </w:rPr>
        <w:t> </w:t>
      </w:r>
      <w:r>
        <w:rPr>
          <w:w w:val="105"/>
        </w:rPr>
        <w:t>less</w:t>
      </w:r>
      <w:r>
        <w:rPr>
          <w:spacing w:val="-7"/>
          <w:w w:val="105"/>
        </w:rPr>
        <w:t> </w:t>
      </w:r>
      <w:r>
        <w:rPr>
          <w:w w:val="105"/>
        </w:rPr>
        <w:t>than</w:t>
      </w:r>
      <w:r>
        <w:rPr>
          <w:spacing w:val="-7"/>
          <w:w w:val="105"/>
        </w:rPr>
        <w:t> </w:t>
      </w:r>
      <w:r>
        <w:rPr>
          <w:w w:val="105"/>
        </w:rPr>
        <w:t>the carrying</w:t>
      </w:r>
      <w:r>
        <w:rPr>
          <w:spacing w:val="-7"/>
          <w:w w:val="105"/>
        </w:rPr>
        <w:t> </w:t>
      </w:r>
      <w:r>
        <w:rPr>
          <w:w w:val="105"/>
        </w:rPr>
        <w:t>value,</w:t>
      </w:r>
      <w:r>
        <w:rPr>
          <w:spacing w:val="-7"/>
          <w:w w:val="105"/>
        </w:rPr>
        <w:t> </w:t>
      </w:r>
      <w:r>
        <w:rPr>
          <w:w w:val="105"/>
        </w:rPr>
        <w:t>a</w:t>
      </w:r>
      <w:r>
        <w:rPr>
          <w:spacing w:val="-7"/>
          <w:w w:val="105"/>
        </w:rPr>
        <w:t> </w:t>
      </w:r>
      <w:r>
        <w:rPr>
          <w:w w:val="105"/>
        </w:rPr>
        <w:t>loss</w:t>
      </w:r>
      <w:r>
        <w:rPr>
          <w:spacing w:val="-9"/>
          <w:w w:val="105"/>
        </w:rPr>
        <w:t> </w:t>
      </w:r>
      <w:r>
        <w:rPr>
          <w:w w:val="105"/>
        </w:rPr>
        <w:t>is</w:t>
      </w:r>
      <w:r>
        <w:rPr>
          <w:spacing w:val="-7"/>
          <w:w w:val="105"/>
        </w:rPr>
        <w:t> </w:t>
      </w:r>
      <w:r>
        <w:rPr>
          <w:w w:val="105"/>
        </w:rPr>
        <w:t>recorded</w:t>
      </w:r>
      <w:r>
        <w:rPr>
          <w:spacing w:val="-7"/>
          <w:w w:val="105"/>
        </w:rPr>
        <w:t> </w:t>
      </w:r>
      <w:r>
        <w:rPr>
          <w:w w:val="105"/>
        </w:rPr>
        <w:t>to</w:t>
      </w:r>
      <w:r>
        <w:rPr>
          <w:spacing w:val="-7"/>
          <w:w w:val="105"/>
        </w:rPr>
        <w:t> </w:t>
      </w:r>
      <w:r>
        <w:rPr>
          <w:w w:val="105"/>
        </w:rPr>
        <w:t>reflect</w:t>
      </w:r>
      <w:r>
        <w:rPr>
          <w:spacing w:val="-7"/>
          <w:w w:val="105"/>
        </w:rPr>
        <w:t> </w:t>
      </w:r>
      <w:r>
        <w:rPr>
          <w:w w:val="105"/>
        </w:rPr>
        <w:t>the</w:t>
      </w:r>
      <w:r>
        <w:rPr>
          <w:spacing w:val="-7"/>
          <w:w w:val="105"/>
        </w:rPr>
        <w:t> </w:t>
      </w:r>
      <w:r>
        <w:rPr>
          <w:w w:val="105"/>
        </w:rPr>
        <w:t>difference</w:t>
      </w:r>
      <w:r>
        <w:rPr>
          <w:spacing w:val="-7"/>
          <w:w w:val="105"/>
        </w:rPr>
        <w:t> </w:t>
      </w:r>
      <w:r>
        <w:rPr>
          <w:w w:val="105"/>
        </w:rPr>
        <w:t>between</w:t>
      </w:r>
      <w:r>
        <w:rPr>
          <w:spacing w:val="-7"/>
          <w:w w:val="105"/>
        </w:rPr>
        <w:t> </w:t>
      </w: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and</w:t>
      </w:r>
      <w:r>
        <w:rPr>
          <w:spacing w:val="-7"/>
          <w:w w:val="105"/>
        </w:rPr>
        <w:t> </w:t>
      </w:r>
      <w:r>
        <w:rPr>
          <w:w w:val="105"/>
        </w:rPr>
        <w:t>carrying</w:t>
      </w:r>
      <w:r>
        <w:rPr>
          <w:spacing w:val="-7"/>
          <w:w w:val="105"/>
        </w:rPr>
        <w:t> </w:t>
      </w:r>
      <w:r>
        <w:rPr>
          <w:w w:val="105"/>
        </w:rPr>
        <w:t>value.</w:t>
      </w:r>
      <w:r>
        <w:rPr>
          <w:spacing w:val="30"/>
          <w:w w:val="105"/>
        </w:rPr>
        <w:t> </w:t>
      </w:r>
      <w:r>
        <w:rPr>
          <w:w w:val="105"/>
        </w:rPr>
        <w:t>The</w:t>
      </w:r>
      <w:r>
        <w:rPr>
          <w:spacing w:val="-7"/>
          <w:w w:val="105"/>
        </w:rPr>
        <w:t> </w:t>
      </w:r>
      <w:r>
        <w:rPr>
          <w:w w:val="105"/>
        </w:rPr>
        <w:t>most</w:t>
      </w:r>
      <w:r>
        <w:rPr>
          <w:spacing w:val="-7"/>
          <w:w w:val="105"/>
        </w:rPr>
        <w:t> </w:t>
      </w:r>
      <w:r>
        <w:rPr>
          <w:w w:val="105"/>
        </w:rPr>
        <w:t>recent</w:t>
      </w:r>
      <w:r>
        <w:rPr>
          <w:spacing w:val="-7"/>
          <w:w w:val="105"/>
        </w:rPr>
        <w:t> </w:t>
      </w:r>
      <w:r>
        <w:rPr>
          <w:w w:val="105"/>
        </w:rPr>
        <w:t>quantitative</w:t>
      </w:r>
      <w:r>
        <w:rPr>
          <w:spacing w:val="-7"/>
          <w:w w:val="105"/>
        </w:rPr>
        <w:t> </w:t>
      </w:r>
      <w:r>
        <w:rPr>
          <w:w w:val="105"/>
        </w:rPr>
        <w:t>test</w:t>
      </w:r>
      <w:r>
        <w:rPr>
          <w:spacing w:val="-9"/>
          <w:w w:val="105"/>
        </w:rPr>
        <w:t> </w:t>
      </w:r>
      <w:r>
        <w:rPr>
          <w:w w:val="105"/>
        </w:rPr>
        <w:t>was</w:t>
      </w:r>
      <w:r>
        <w:rPr>
          <w:spacing w:val="-7"/>
          <w:w w:val="105"/>
        </w:rPr>
        <w:t> </w:t>
      </w:r>
      <w:r>
        <w:rPr>
          <w:w w:val="105"/>
        </w:rPr>
        <w:t>performed</w:t>
      </w:r>
      <w:r>
        <w:rPr>
          <w:spacing w:val="-7"/>
          <w:w w:val="105"/>
        </w:rPr>
        <w:t> </w:t>
      </w:r>
      <w:r>
        <w:rPr>
          <w:w w:val="105"/>
        </w:rPr>
        <w:t>in</w:t>
      </w:r>
      <w:r>
        <w:rPr>
          <w:spacing w:val="-9"/>
          <w:w w:val="105"/>
        </w:rPr>
        <w:t> </w:t>
      </w:r>
      <w:r>
        <w:rPr>
          <w:w w:val="105"/>
        </w:rPr>
        <w:t>2020,</w:t>
      </w:r>
      <w:r>
        <w:rPr>
          <w:spacing w:val="-7"/>
          <w:w w:val="105"/>
        </w:rPr>
        <w:t> </w:t>
      </w:r>
      <w:r>
        <w:rPr>
          <w:w w:val="105"/>
        </w:rPr>
        <w:t>and</w:t>
      </w:r>
      <w:r>
        <w:rPr>
          <w:spacing w:val="-7"/>
          <w:w w:val="105"/>
        </w:rPr>
        <w:t> </w:t>
      </w:r>
      <w:r>
        <w:rPr>
          <w:w w:val="105"/>
        </w:rPr>
        <w:t>the</w:t>
      </w:r>
      <w:r>
        <w:rPr>
          <w:spacing w:val="-7"/>
          <w:w w:val="105"/>
        </w:rPr>
        <w:t> </w:t>
      </w:r>
      <w:r>
        <w:rPr>
          <w:w w:val="105"/>
        </w:rPr>
        <w:t>fair value of the Company's reporting units significantly exceeded the respective carrying values.</w:t>
      </w:r>
    </w:p>
    <w:p>
      <w:pPr>
        <w:pStyle w:val="BodyText"/>
        <w:spacing w:before="18"/>
      </w:pPr>
    </w:p>
    <w:p>
      <w:pPr>
        <w:pStyle w:val="BodyText"/>
        <w:ind w:left="48"/>
        <w:jc w:val="center"/>
      </w:pPr>
      <w:r>
        <w:rPr>
          <w:spacing w:val="-5"/>
          <w:w w:val="105"/>
        </w:rPr>
        <w:t>89</w:t>
      </w:r>
    </w:p>
    <w:p>
      <w:pPr>
        <w:pStyle w:val="BodyText"/>
        <w:spacing w:before="11"/>
        <w:rPr>
          <w:sz w:val="5"/>
        </w:rPr>
      </w:pPr>
      <w:r>
        <w:rPr/>
        <mc:AlternateContent>
          <mc:Choice Requires="wps">
            <w:drawing>
              <wp:anchor distT="0" distB="0" distL="0" distR="0" allowOverlap="1" layoutInCell="1" locked="0" behindDoc="1" simplePos="0" relativeHeight="487688192">
                <wp:simplePos x="0" y="0"/>
                <wp:positionH relativeFrom="page">
                  <wp:posOffset>226488</wp:posOffset>
                </wp:positionH>
                <wp:positionV relativeFrom="paragraph">
                  <wp:posOffset>58734</wp:posOffset>
                </wp:positionV>
                <wp:extent cx="7312659" cy="16510"/>
                <wp:effectExtent l="0" t="0" r="0" b="0"/>
                <wp:wrapTopAndBottom/>
                <wp:docPr id="391" name="Graphic 391"/>
                <wp:cNvGraphicFramePr>
                  <a:graphicFrameLocks/>
                </wp:cNvGraphicFramePr>
                <a:graphic>
                  <a:graphicData uri="http://schemas.microsoft.com/office/word/2010/wordprocessingShape">
                    <wps:wsp>
                      <wps:cNvPr id="391" name="Graphic 391"/>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28288;mso-wrap-distance-left:0;mso-wrap-distance-right:0" id="docshape390"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numPr>
          <w:ilvl w:val="0"/>
          <w:numId w:val="45"/>
        </w:numPr>
        <w:tabs>
          <w:tab w:pos="445" w:val="left" w:leader="none"/>
        </w:tabs>
        <w:spacing w:line="240" w:lineRule="auto" w:before="0" w:after="0"/>
        <w:ind w:left="445" w:right="0" w:hanging="289"/>
        <w:jc w:val="left"/>
      </w:pPr>
      <w:r>
        <w:rPr/>
        <w:t>Goodwill</w:t>
      </w:r>
      <w:r>
        <w:rPr>
          <w:spacing w:val="14"/>
        </w:rPr>
        <w:t> </w:t>
      </w:r>
      <w:r>
        <w:rPr/>
        <w:t>and</w:t>
      </w:r>
      <w:r>
        <w:rPr>
          <w:spacing w:val="14"/>
        </w:rPr>
        <w:t> </w:t>
      </w:r>
      <w:r>
        <w:rPr/>
        <w:t>Other</w:t>
      </w:r>
      <w:r>
        <w:rPr>
          <w:spacing w:val="14"/>
        </w:rPr>
        <w:t> </w:t>
      </w:r>
      <w:r>
        <w:rPr/>
        <w:t>Intangible</w:t>
      </w:r>
      <w:r>
        <w:rPr>
          <w:spacing w:val="14"/>
        </w:rPr>
        <w:t> </w:t>
      </w:r>
      <w:r>
        <w:rPr/>
        <w:t>Assets</w:t>
      </w:r>
      <w:r>
        <w:rPr>
          <w:spacing w:val="14"/>
        </w:rPr>
        <w:t> </w:t>
      </w:r>
      <w:r>
        <w:rPr>
          <w:spacing w:val="-2"/>
        </w:rPr>
        <w:t>(Continued)</w:t>
      </w:r>
    </w:p>
    <w:p>
      <w:pPr>
        <w:pStyle w:val="BodyText"/>
        <w:spacing w:before="40"/>
        <w:rPr>
          <w:b/>
        </w:rPr>
      </w:pPr>
    </w:p>
    <w:p>
      <w:pPr>
        <w:pStyle w:val="BodyText"/>
        <w:ind w:left="156"/>
      </w:pPr>
      <w:r>
        <w:rPr>
          <w:w w:val="105"/>
        </w:rPr>
        <w:t>Changes</w:t>
      </w:r>
      <w:r>
        <w:rPr>
          <w:spacing w:val="-9"/>
          <w:w w:val="105"/>
        </w:rPr>
        <w:t> </w:t>
      </w:r>
      <w:r>
        <w:rPr>
          <w:w w:val="105"/>
        </w:rPr>
        <w:t>in</w:t>
      </w:r>
      <w:r>
        <w:rPr>
          <w:spacing w:val="-9"/>
          <w:w w:val="105"/>
        </w:rPr>
        <w:t> </w:t>
      </w:r>
      <w:r>
        <w:rPr>
          <w:w w:val="105"/>
        </w:rPr>
        <w:t>the</w:t>
      </w:r>
      <w:r>
        <w:rPr>
          <w:spacing w:val="-9"/>
          <w:w w:val="105"/>
        </w:rPr>
        <w:t> </w:t>
      </w:r>
      <w:r>
        <w:rPr>
          <w:w w:val="105"/>
        </w:rPr>
        <w:t>carrying</w:t>
      </w:r>
      <w:r>
        <w:rPr>
          <w:spacing w:val="-8"/>
          <w:w w:val="105"/>
        </w:rPr>
        <w:t> </w:t>
      </w:r>
      <w:r>
        <w:rPr>
          <w:w w:val="105"/>
        </w:rPr>
        <w:t>amount</w:t>
      </w:r>
      <w:r>
        <w:rPr>
          <w:spacing w:val="-9"/>
          <w:w w:val="105"/>
        </w:rPr>
        <w:t> </w:t>
      </w:r>
      <w:r>
        <w:rPr>
          <w:w w:val="105"/>
        </w:rPr>
        <w:t>of</w:t>
      </w:r>
      <w:r>
        <w:rPr>
          <w:spacing w:val="-9"/>
          <w:w w:val="105"/>
        </w:rPr>
        <w:t> </w:t>
      </w:r>
      <w:r>
        <w:rPr>
          <w:w w:val="105"/>
        </w:rPr>
        <w:t>goodwill</w:t>
      </w:r>
      <w:r>
        <w:rPr>
          <w:spacing w:val="-9"/>
          <w:w w:val="105"/>
        </w:rPr>
        <w:t> </w:t>
      </w:r>
      <w:r>
        <w:rPr>
          <w:w w:val="105"/>
        </w:rPr>
        <w:t>for</w:t>
      </w:r>
      <w:r>
        <w:rPr>
          <w:spacing w:val="-8"/>
          <w:w w:val="105"/>
        </w:rPr>
        <w:t> </w:t>
      </w:r>
      <w:r>
        <w:rPr>
          <w:w w:val="105"/>
        </w:rPr>
        <w:t>the</w:t>
      </w:r>
      <w:r>
        <w:rPr>
          <w:spacing w:val="-8"/>
          <w:w w:val="105"/>
        </w:rPr>
        <w:t> </w:t>
      </w:r>
      <w:r>
        <w:rPr>
          <w:w w:val="105"/>
        </w:rPr>
        <w:t>twelve</w:t>
      </w:r>
      <w:r>
        <w:rPr>
          <w:spacing w:val="-8"/>
          <w:w w:val="105"/>
        </w:rPr>
        <w:t> </w:t>
      </w:r>
      <w:r>
        <w:rPr>
          <w:w w:val="105"/>
        </w:rPr>
        <w:t>months</w:t>
      </w:r>
      <w:r>
        <w:rPr>
          <w:spacing w:val="-9"/>
          <w:w w:val="105"/>
        </w:rPr>
        <w:t> </w:t>
      </w:r>
      <w:r>
        <w:rPr>
          <w:w w:val="105"/>
        </w:rPr>
        <w:t>ended</w:t>
      </w:r>
      <w:r>
        <w:rPr>
          <w:spacing w:val="-8"/>
          <w:w w:val="105"/>
        </w:rPr>
        <w:t> </w:t>
      </w:r>
      <w:r>
        <w:rPr>
          <w:w w:val="105"/>
        </w:rPr>
        <w:t>December</w:t>
      </w:r>
      <w:r>
        <w:rPr>
          <w:spacing w:val="-9"/>
          <w:w w:val="105"/>
        </w:rPr>
        <w:t> </w:t>
      </w:r>
      <w:r>
        <w:rPr>
          <w:w w:val="105"/>
        </w:rPr>
        <w:t>31,</w:t>
      </w:r>
      <w:r>
        <w:rPr>
          <w:spacing w:val="-8"/>
          <w:w w:val="105"/>
        </w:rPr>
        <w:t> </w:t>
      </w:r>
      <w:r>
        <w:rPr>
          <w:w w:val="105"/>
        </w:rPr>
        <w:t>2021</w:t>
      </w:r>
      <w:r>
        <w:rPr>
          <w:spacing w:val="-8"/>
          <w:w w:val="105"/>
        </w:rPr>
        <w:t> </w:t>
      </w:r>
      <w:r>
        <w:rPr>
          <w:w w:val="105"/>
        </w:rPr>
        <w:t>and</w:t>
      </w:r>
      <w:r>
        <w:rPr>
          <w:spacing w:val="-9"/>
          <w:w w:val="105"/>
        </w:rPr>
        <w:t> </w:t>
      </w:r>
      <w:r>
        <w:rPr>
          <w:w w:val="105"/>
        </w:rPr>
        <w:t>2020,</w:t>
      </w:r>
      <w:r>
        <w:rPr>
          <w:spacing w:val="-9"/>
          <w:w w:val="105"/>
        </w:rPr>
        <w:t> </w:t>
      </w:r>
      <w:r>
        <w:rPr>
          <w:w w:val="105"/>
        </w:rPr>
        <w:t>were</w:t>
      </w:r>
      <w:r>
        <w:rPr>
          <w:spacing w:val="-9"/>
          <w:w w:val="105"/>
        </w:rPr>
        <w:t> </w:t>
      </w:r>
      <w:r>
        <w:rPr>
          <w:w w:val="105"/>
        </w:rPr>
        <w:t>as</w:t>
      </w:r>
      <w:r>
        <w:rPr>
          <w:spacing w:val="-8"/>
          <w:w w:val="105"/>
        </w:rPr>
        <w:t> </w:t>
      </w:r>
      <w:r>
        <w:rPr>
          <w:w w:val="105"/>
        </w:rPr>
        <w:t>follows</w:t>
      </w:r>
      <w:r>
        <w:rPr>
          <w:spacing w:val="-9"/>
          <w:w w:val="105"/>
        </w:rPr>
        <w:t> </w:t>
      </w:r>
      <w:r>
        <w:rPr>
          <w:w w:val="105"/>
        </w:rPr>
        <w:t>(in</w:t>
      </w:r>
      <w:r>
        <w:rPr>
          <w:spacing w:val="-9"/>
          <w:w w:val="105"/>
        </w:rPr>
        <w:t> </w:t>
      </w:r>
      <w:r>
        <w:rPr>
          <w:spacing w:val="-2"/>
          <w:w w:val="105"/>
        </w:rPr>
        <w:t>millions):</w:t>
      </w:r>
    </w:p>
    <w:p>
      <w:pPr>
        <w:pStyle w:val="BodyText"/>
        <w:spacing w:before="5" w:after="1"/>
        <w:rPr>
          <w:sz w:val="12"/>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3"/>
        <w:gridCol w:w="1506"/>
        <w:gridCol w:w="1541"/>
        <w:gridCol w:w="1361"/>
        <w:gridCol w:w="1403"/>
        <w:gridCol w:w="1337"/>
        <w:gridCol w:w="1322"/>
      </w:tblGrid>
      <w:tr>
        <w:trPr>
          <w:trHeight w:val="404" w:hRule="atLeast"/>
        </w:trPr>
        <w:tc>
          <w:tcPr>
            <w:tcW w:w="3043" w:type="dxa"/>
            <w:tcBorders>
              <w:top w:val="single" w:sz="12" w:space="0" w:color="000000"/>
              <w:bottom w:val="single" w:sz="6" w:space="0" w:color="000000"/>
            </w:tcBorders>
          </w:tcPr>
          <w:p>
            <w:pPr>
              <w:pStyle w:val="TableParagraph"/>
              <w:rPr>
                <w:sz w:val="16"/>
              </w:rPr>
            </w:pPr>
          </w:p>
        </w:tc>
        <w:tc>
          <w:tcPr>
            <w:tcW w:w="1506" w:type="dxa"/>
            <w:tcBorders>
              <w:top w:val="single" w:sz="12" w:space="0" w:color="000000"/>
              <w:bottom w:val="single" w:sz="6" w:space="0" w:color="000000"/>
            </w:tcBorders>
          </w:tcPr>
          <w:p>
            <w:pPr>
              <w:pStyle w:val="TableParagraph"/>
              <w:spacing w:before="1"/>
              <w:ind w:left="36" w:right="60"/>
              <w:jc w:val="center"/>
              <w:rPr>
                <w:sz w:val="16"/>
              </w:rPr>
            </w:pPr>
            <w:r>
              <w:rPr>
                <w:spacing w:val="-2"/>
                <w:w w:val="105"/>
                <w:sz w:val="16"/>
              </w:rPr>
              <w:t>Display</w:t>
            </w:r>
          </w:p>
          <w:p>
            <w:pPr>
              <w:pStyle w:val="TableParagraph"/>
              <w:spacing w:line="179" w:lineRule="exact" w:before="20"/>
              <w:ind w:left="36" w:right="60"/>
              <w:jc w:val="center"/>
              <w:rPr>
                <w:sz w:val="16"/>
              </w:rPr>
            </w:pPr>
            <w:r>
              <w:rPr>
                <w:spacing w:val="-2"/>
                <w:w w:val="105"/>
                <w:sz w:val="16"/>
              </w:rPr>
              <w:t>Technologies</w:t>
            </w:r>
          </w:p>
        </w:tc>
        <w:tc>
          <w:tcPr>
            <w:tcW w:w="1541" w:type="dxa"/>
            <w:tcBorders>
              <w:top w:val="single" w:sz="12" w:space="0" w:color="000000"/>
              <w:bottom w:val="single" w:sz="6" w:space="0" w:color="000000"/>
            </w:tcBorders>
          </w:tcPr>
          <w:p>
            <w:pPr>
              <w:pStyle w:val="TableParagraph"/>
              <w:spacing w:before="1"/>
              <w:ind w:right="52"/>
              <w:jc w:val="center"/>
              <w:rPr>
                <w:sz w:val="16"/>
              </w:rPr>
            </w:pPr>
            <w:r>
              <w:rPr>
                <w:spacing w:val="-2"/>
                <w:w w:val="105"/>
                <w:sz w:val="16"/>
              </w:rPr>
              <w:t>Optical</w:t>
            </w:r>
          </w:p>
          <w:p>
            <w:pPr>
              <w:pStyle w:val="TableParagraph"/>
              <w:spacing w:line="179" w:lineRule="exact" w:before="20"/>
              <w:ind w:right="52"/>
              <w:jc w:val="center"/>
              <w:rPr>
                <w:sz w:val="16"/>
              </w:rPr>
            </w:pPr>
            <w:r>
              <w:rPr>
                <w:spacing w:val="-2"/>
                <w:w w:val="105"/>
                <w:sz w:val="16"/>
              </w:rPr>
              <w:t>Communications</w:t>
            </w:r>
          </w:p>
        </w:tc>
        <w:tc>
          <w:tcPr>
            <w:tcW w:w="1361" w:type="dxa"/>
            <w:tcBorders>
              <w:top w:val="single" w:sz="12" w:space="0" w:color="000000"/>
              <w:bottom w:val="single" w:sz="6" w:space="0" w:color="000000"/>
            </w:tcBorders>
          </w:tcPr>
          <w:p>
            <w:pPr>
              <w:pStyle w:val="TableParagraph"/>
              <w:spacing w:before="1"/>
              <w:ind w:left="359"/>
              <w:rPr>
                <w:sz w:val="16"/>
              </w:rPr>
            </w:pPr>
            <w:r>
              <w:rPr>
                <w:spacing w:val="-2"/>
                <w:w w:val="105"/>
                <w:sz w:val="16"/>
              </w:rPr>
              <w:t>Specialty</w:t>
            </w:r>
          </w:p>
          <w:p>
            <w:pPr>
              <w:pStyle w:val="TableParagraph"/>
              <w:spacing w:line="179" w:lineRule="exact" w:before="20"/>
              <w:ind w:left="354"/>
              <w:rPr>
                <w:sz w:val="16"/>
              </w:rPr>
            </w:pPr>
            <w:r>
              <w:rPr>
                <w:spacing w:val="-2"/>
                <w:w w:val="105"/>
                <w:sz w:val="16"/>
              </w:rPr>
              <w:t>Materials</w:t>
            </w:r>
          </w:p>
        </w:tc>
        <w:tc>
          <w:tcPr>
            <w:tcW w:w="1403" w:type="dxa"/>
            <w:tcBorders>
              <w:top w:val="single" w:sz="12" w:space="0" w:color="000000"/>
              <w:bottom w:val="single" w:sz="6" w:space="0" w:color="000000"/>
            </w:tcBorders>
          </w:tcPr>
          <w:p>
            <w:pPr>
              <w:pStyle w:val="TableParagraph"/>
              <w:spacing w:before="21"/>
              <w:rPr>
                <w:sz w:val="16"/>
              </w:rPr>
            </w:pPr>
          </w:p>
          <w:p>
            <w:pPr>
              <w:pStyle w:val="TableParagraph"/>
              <w:spacing w:line="179" w:lineRule="exact"/>
              <w:ind w:left="240"/>
              <w:rPr>
                <w:sz w:val="16"/>
              </w:rPr>
            </w:pPr>
            <w:r>
              <w:rPr>
                <w:w w:val="105"/>
                <w:sz w:val="16"/>
              </w:rPr>
              <w:t>Life</w:t>
            </w:r>
            <w:r>
              <w:rPr>
                <w:spacing w:val="-7"/>
                <w:w w:val="105"/>
                <w:sz w:val="16"/>
              </w:rPr>
              <w:t> </w:t>
            </w:r>
            <w:r>
              <w:rPr>
                <w:spacing w:val="-2"/>
                <w:w w:val="105"/>
                <w:sz w:val="16"/>
              </w:rPr>
              <w:t>Sciences</w:t>
            </w:r>
          </w:p>
        </w:tc>
        <w:tc>
          <w:tcPr>
            <w:tcW w:w="1337" w:type="dxa"/>
            <w:tcBorders>
              <w:top w:val="single" w:sz="12" w:space="0" w:color="000000"/>
              <w:bottom w:val="single" w:sz="6" w:space="0" w:color="000000"/>
            </w:tcBorders>
          </w:tcPr>
          <w:p>
            <w:pPr>
              <w:pStyle w:val="TableParagraph"/>
              <w:spacing w:before="21"/>
              <w:rPr>
                <w:sz w:val="16"/>
              </w:rPr>
            </w:pPr>
          </w:p>
          <w:p>
            <w:pPr>
              <w:pStyle w:val="TableParagraph"/>
              <w:spacing w:line="179" w:lineRule="exact"/>
              <w:ind w:left="327"/>
              <w:rPr>
                <w:sz w:val="16"/>
              </w:rPr>
            </w:pPr>
            <w:r>
              <w:rPr>
                <w:w w:val="105"/>
                <w:sz w:val="16"/>
              </w:rPr>
              <w:t>All</w:t>
            </w:r>
            <w:r>
              <w:rPr>
                <w:spacing w:val="-8"/>
                <w:w w:val="105"/>
                <w:sz w:val="16"/>
              </w:rPr>
              <w:t> </w:t>
            </w:r>
            <w:r>
              <w:rPr>
                <w:spacing w:val="-2"/>
                <w:w w:val="105"/>
                <w:sz w:val="16"/>
              </w:rPr>
              <w:t>Other</w:t>
            </w:r>
          </w:p>
        </w:tc>
        <w:tc>
          <w:tcPr>
            <w:tcW w:w="1322" w:type="dxa"/>
            <w:tcBorders>
              <w:top w:val="single" w:sz="12" w:space="0" w:color="000000"/>
              <w:bottom w:val="single" w:sz="6" w:space="0" w:color="000000"/>
            </w:tcBorders>
          </w:tcPr>
          <w:p>
            <w:pPr>
              <w:pStyle w:val="TableParagraph"/>
              <w:spacing w:before="21"/>
              <w:rPr>
                <w:sz w:val="16"/>
              </w:rPr>
            </w:pPr>
          </w:p>
          <w:p>
            <w:pPr>
              <w:pStyle w:val="TableParagraph"/>
              <w:spacing w:line="179" w:lineRule="exact"/>
              <w:ind w:right="21"/>
              <w:jc w:val="center"/>
              <w:rPr>
                <w:sz w:val="16"/>
              </w:rPr>
            </w:pPr>
            <w:r>
              <w:rPr>
                <w:spacing w:val="-4"/>
                <w:w w:val="105"/>
                <w:sz w:val="16"/>
              </w:rPr>
              <w:t>Total</w:t>
            </w:r>
          </w:p>
        </w:tc>
      </w:tr>
      <w:tr>
        <w:trPr>
          <w:trHeight w:val="202" w:hRule="atLeast"/>
        </w:trPr>
        <w:tc>
          <w:tcPr>
            <w:tcW w:w="3043" w:type="dxa"/>
            <w:tcBorders>
              <w:top w:val="single" w:sz="6" w:space="0" w:color="000000"/>
            </w:tcBorders>
            <w:shd w:val="clear" w:color="auto" w:fill="CCEDFF"/>
          </w:tcPr>
          <w:p>
            <w:pPr>
              <w:pStyle w:val="TableParagraph"/>
              <w:spacing w:line="180" w:lineRule="exact" w:before="2"/>
              <w:rPr>
                <w:sz w:val="16"/>
              </w:rPr>
            </w:pPr>
            <w:r>
              <w:rPr>
                <w:w w:val="105"/>
                <w:sz w:val="16"/>
              </w:rPr>
              <w:t>Balance</w:t>
            </w:r>
            <w:r>
              <w:rPr>
                <w:spacing w:val="-9"/>
                <w:w w:val="105"/>
                <w:sz w:val="16"/>
              </w:rPr>
              <w:t> </w:t>
            </w:r>
            <w:r>
              <w:rPr>
                <w:w w:val="105"/>
                <w:sz w:val="16"/>
              </w:rPr>
              <w:t>at</w:t>
            </w:r>
            <w:r>
              <w:rPr>
                <w:spacing w:val="-8"/>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2019</w:t>
            </w:r>
          </w:p>
        </w:tc>
        <w:tc>
          <w:tcPr>
            <w:tcW w:w="1506" w:type="dxa"/>
            <w:tcBorders>
              <w:top w:val="single" w:sz="6" w:space="0" w:color="000000"/>
            </w:tcBorders>
            <w:shd w:val="clear" w:color="auto" w:fill="CCEDFF"/>
          </w:tcPr>
          <w:p>
            <w:pPr>
              <w:pStyle w:val="TableParagraph"/>
              <w:tabs>
                <w:tab w:pos="999" w:val="left" w:leader="none"/>
              </w:tabs>
              <w:spacing w:line="180" w:lineRule="exact" w:before="2"/>
              <w:ind w:right="139"/>
              <w:jc w:val="right"/>
              <w:rPr>
                <w:sz w:val="16"/>
              </w:rPr>
            </w:pPr>
            <w:r>
              <w:rPr>
                <w:spacing w:val="-10"/>
                <w:w w:val="105"/>
                <w:sz w:val="16"/>
              </w:rPr>
              <w:t>$</w:t>
            </w:r>
            <w:r>
              <w:rPr>
                <w:sz w:val="16"/>
              </w:rPr>
              <w:tab/>
            </w:r>
            <w:r>
              <w:rPr>
                <w:spacing w:val="-5"/>
                <w:w w:val="105"/>
                <w:sz w:val="16"/>
              </w:rPr>
              <w:t>129</w:t>
            </w:r>
          </w:p>
        </w:tc>
        <w:tc>
          <w:tcPr>
            <w:tcW w:w="1541" w:type="dxa"/>
            <w:tcBorders>
              <w:top w:val="single" w:sz="6" w:space="0" w:color="000000"/>
            </w:tcBorders>
            <w:shd w:val="clear" w:color="auto" w:fill="CCEDFF"/>
          </w:tcPr>
          <w:p>
            <w:pPr>
              <w:pStyle w:val="TableParagraph"/>
              <w:tabs>
                <w:tab w:pos="1151" w:val="left" w:leader="none"/>
              </w:tabs>
              <w:spacing w:line="180" w:lineRule="exact" w:before="2"/>
              <w:ind w:left="87"/>
              <w:rPr>
                <w:sz w:val="16"/>
              </w:rPr>
            </w:pPr>
            <w:r>
              <w:rPr>
                <w:spacing w:val="-10"/>
                <w:w w:val="105"/>
                <w:sz w:val="16"/>
              </w:rPr>
              <w:t>$</w:t>
            </w:r>
            <w:r>
              <w:rPr>
                <w:sz w:val="16"/>
              </w:rPr>
              <w:tab/>
            </w:r>
            <w:r>
              <w:rPr>
                <w:spacing w:val="-5"/>
                <w:w w:val="105"/>
                <w:sz w:val="16"/>
              </w:rPr>
              <w:t>931</w:t>
            </w:r>
          </w:p>
        </w:tc>
        <w:tc>
          <w:tcPr>
            <w:tcW w:w="1361" w:type="dxa"/>
            <w:tcBorders>
              <w:top w:val="single" w:sz="6" w:space="0" w:color="000000"/>
            </w:tcBorders>
            <w:shd w:val="clear" w:color="auto" w:fill="CCEDFF"/>
          </w:tcPr>
          <w:p>
            <w:pPr>
              <w:pStyle w:val="TableParagraph"/>
              <w:tabs>
                <w:tab w:pos="910" w:val="left" w:leader="none"/>
              </w:tabs>
              <w:spacing w:line="180" w:lineRule="exact" w:before="2"/>
              <w:ind w:right="23"/>
              <w:jc w:val="center"/>
              <w:rPr>
                <w:sz w:val="16"/>
              </w:rPr>
            </w:pPr>
            <w:r>
              <w:rPr>
                <w:spacing w:val="-10"/>
                <w:w w:val="105"/>
                <w:sz w:val="16"/>
              </w:rPr>
              <w:t>$</w:t>
            </w:r>
            <w:r>
              <w:rPr>
                <w:sz w:val="16"/>
              </w:rPr>
              <w:tab/>
            </w:r>
            <w:r>
              <w:rPr>
                <w:spacing w:val="-5"/>
                <w:w w:val="105"/>
                <w:sz w:val="16"/>
              </w:rPr>
              <w:t>150</w:t>
            </w:r>
          </w:p>
        </w:tc>
        <w:tc>
          <w:tcPr>
            <w:tcW w:w="1403" w:type="dxa"/>
            <w:tcBorders>
              <w:top w:val="single" w:sz="6" w:space="0" w:color="000000"/>
            </w:tcBorders>
            <w:shd w:val="clear" w:color="auto" w:fill="CCEDFF"/>
          </w:tcPr>
          <w:p>
            <w:pPr>
              <w:pStyle w:val="TableParagraph"/>
              <w:tabs>
                <w:tab w:pos="1013" w:val="left" w:leader="none"/>
              </w:tabs>
              <w:spacing w:line="180" w:lineRule="exact" w:before="2"/>
              <w:ind w:left="115"/>
              <w:rPr>
                <w:sz w:val="16"/>
              </w:rPr>
            </w:pPr>
            <w:r>
              <w:rPr>
                <w:spacing w:val="-10"/>
                <w:w w:val="105"/>
                <w:sz w:val="16"/>
              </w:rPr>
              <w:t>$</w:t>
            </w:r>
            <w:r>
              <w:rPr>
                <w:sz w:val="16"/>
              </w:rPr>
              <w:tab/>
            </w:r>
            <w:r>
              <w:rPr>
                <w:spacing w:val="-5"/>
                <w:w w:val="105"/>
                <w:sz w:val="16"/>
              </w:rPr>
              <w:t>616</w:t>
            </w:r>
          </w:p>
        </w:tc>
        <w:tc>
          <w:tcPr>
            <w:tcW w:w="1337" w:type="dxa"/>
            <w:tcBorders>
              <w:top w:val="single" w:sz="6" w:space="0" w:color="000000"/>
            </w:tcBorders>
            <w:shd w:val="clear" w:color="auto" w:fill="CCEDFF"/>
          </w:tcPr>
          <w:p>
            <w:pPr>
              <w:pStyle w:val="TableParagraph"/>
              <w:tabs>
                <w:tab w:pos="859" w:val="left" w:leader="none"/>
              </w:tabs>
              <w:spacing w:line="180" w:lineRule="exact" w:before="2"/>
              <w:ind w:right="138"/>
              <w:jc w:val="right"/>
              <w:rPr>
                <w:sz w:val="16"/>
              </w:rPr>
            </w:pPr>
            <w:r>
              <w:rPr>
                <w:spacing w:val="-10"/>
                <w:w w:val="105"/>
                <w:sz w:val="16"/>
              </w:rPr>
              <w:t>$</w:t>
            </w:r>
            <w:r>
              <w:rPr>
                <w:sz w:val="16"/>
              </w:rPr>
              <w:tab/>
            </w:r>
            <w:r>
              <w:rPr>
                <w:spacing w:val="-5"/>
                <w:w w:val="105"/>
                <w:sz w:val="16"/>
              </w:rPr>
              <w:t>109</w:t>
            </w:r>
          </w:p>
        </w:tc>
        <w:tc>
          <w:tcPr>
            <w:tcW w:w="1322" w:type="dxa"/>
            <w:tcBorders>
              <w:top w:val="single" w:sz="6" w:space="0" w:color="000000"/>
            </w:tcBorders>
            <w:shd w:val="clear" w:color="auto" w:fill="CCEDFF"/>
          </w:tcPr>
          <w:p>
            <w:pPr>
              <w:pStyle w:val="TableParagraph"/>
              <w:tabs>
                <w:tab w:pos="837" w:val="left" w:leader="none"/>
              </w:tabs>
              <w:spacing w:line="180" w:lineRule="exact" w:before="2"/>
              <w:ind w:left="88"/>
              <w:rPr>
                <w:sz w:val="16"/>
              </w:rPr>
            </w:pPr>
            <w:r>
              <w:rPr>
                <w:spacing w:val="-10"/>
                <w:w w:val="105"/>
                <w:sz w:val="16"/>
              </w:rPr>
              <w:t>$</w:t>
            </w:r>
            <w:r>
              <w:rPr>
                <w:sz w:val="16"/>
              </w:rPr>
              <w:tab/>
            </w:r>
            <w:r>
              <w:rPr>
                <w:spacing w:val="-4"/>
                <w:w w:val="105"/>
                <w:sz w:val="16"/>
              </w:rPr>
              <w:t>1,935</w:t>
            </w:r>
          </w:p>
        </w:tc>
      </w:tr>
      <w:tr>
        <w:trPr>
          <w:trHeight w:val="203" w:hRule="atLeast"/>
        </w:trPr>
        <w:tc>
          <w:tcPr>
            <w:tcW w:w="3043" w:type="dxa"/>
          </w:tcPr>
          <w:p>
            <w:pPr>
              <w:pStyle w:val="TableParagraph"/>
              <w:spacing w:line="180" w:lineRule="exact" w:before="3"/>
              <w:rPr>
                <w:sz w:val="16"/>
              </w:rPr>
            </w:pPr>
            <w:r>
              <w:rPr>
                <w:sz w:val="16"/>
              </w:rPr>
              <w:t>Acquired</w:t>
            </w:r>
            <w:r>
              <w:rPr>
                <w:spacing w:val="18"/>
                <w:sz w:val="16"/>
              </w:rPr>
              <w:t> </w:t>
            </w:r>
            <w:r>
              <w:rPr>
                <w:sz w:val="16"/>
              </w:rPr>
              <w:t>goodwill</w:t>
            </w:r>
            <w:r>
              <w:rPr>
                <w:spacing w:val="18"/>
                <w:sz w:val="16"/>
              </w:rPr>
              <w:t> </w:t>
            </w:r>
            <w:r>
              <w:rPr>
                <w:spacing w:val="-5"/>
                <w:sz w:val="16"/>
              </w:rPr>
              <w:t>(1)</w:t>
            </w:r>
          </w:p>
        </w:tc>
        <w:tc>
          <w:tcPr>
            <w:tcW w:w="1506" w:type="dxa"/>
          </w:tcPr>
          <w:p>
            <w:pPr>
              <w:pStyle w:val="TableParagraph"/>
              <w:rPr>
                <w:sz w:val="14"/>
              </w:rPr>
            </w:pPr>
          </w:p>
        </w:tc>
        <w:tc>
          <w:tcPr>
            <w:tcW w:w="1541" w:type="dxa"/>
          </w:tcPr>
          <w:p>
            <w:pPr>
              <w:pStyle w:val="TableParagraph"/>
              <w:rPr>
                <w:sz w:val="14"/>
              </w:rPr>
            </w:pPr>
          </w:p>
        </w:tc>
        <w:tc>
          <w:tcPr>
            <w:tcW w:w="1361" w:type="dxa"/>
          </w:tcPr>
          <w:p>
            <w:pPr>
              <w:pStyle w:val="TableParagraph"/>
              <w:rPr>
                <w:sz w:val="14"/>
              </w:rPr>
            </w:pPr>
          </w:p>
        </w:tc>
        <w:tc>
          <w:tcPr>
            <w:tcW w:w="1403" w:type="dxa"/>
          </w:tcPr>
          <w:p>
            <w:pPr>
              <w:pStyle w:val="TableParagraph"/>
              <w:rPr>
                <w:sz w:val="14"/>
              </w:rPr>
            </w:pPr>
          </w:p>
        </w:tc>
        <w:tc>
          <w:tcPr>
            <w:tcW w:w="1337" w:type="dxa"/>
          </w:tcPr>
          <w:p>
            <w:pPr>
              <w:pStyle w:val="TableParagraph"/>
              <w:spacing w:line="180" w:lineRule="exact" w:before="3"/>
              <w:ind w:right="138"/>
              <w:jc w:val="right"/>
              <w:rPr>
                <w:sz w:val="16"/>
              </w:rPr>
            </w:pPr>
            <w:r>
              <w:rPr>
                <w:spacing w:val="-5"/>
                <w:w w:val="105"/>
                <w:sz w:val="16"/>
              </w:rPr>
              <w:t>495</w:t>
            </w:r>
          </w:p>
        </w:tc>
        <w:tc>
          <w:tcPr>
            <w:tcW w:w="1322" w:type="dxa"/>
          </w:tcPr>
          <w:p>
            <w:pPr>
              <w:pStyle w:val="TableParagraph"/>
              <w:spacing w:line="180" w:lineRule="exact" w:before="3"/>
              <w:ind w:right="110"/>
              <w:jc w:val="right"/>
              <w:rPr>
                <w:sz w:val="16"/>
              </w:rPr>
            </w:pPr>
            <w:r>
              <w:rPr>
                <w:spacing w:val="-5"/>
                <w:w w:val="105"/>
                <w:sz w:val="16"/>
              </w:rPr>
              <w:t>495</w:t>
            </w:r>
          </w:p>
        </w:tc>
      </w:tr>
      <w:tr>
        <w:trPr>
          <w:trHeight w:val="406" w:hRule="atLeast"/>
        </w:trPr>
        <w:tc>
          <w:tcPr>
            <w:tcW w:w="3043" w:type="dxa"/>
            <w:tcBorders>
              <w:bottom w:val="single" w:sz="6" w:space="0" w:color="000000"/>
            </w:tcBorders>
            <w:shd w:val="clear" w:color="auto" w:fill="CCEDFF"/>
          </w:tcPr>
          <w:p>
            <w:pPr>
              <w:pStyle w:val="TableParagraph"/>
              <w:spacing w:before="3"/>
              <w:rPr>
                <w:sz w:val="16"/>
              </w:rPr>
            </w:pPr>
            <w:r>
              <w:rPr>
                <w:sz w:val="16"/>
              </w:rPr>
              <w:t>Foreign</w:t>
            </w:r>
            <w:r>
              <w:rPr>
                <w:spacing w:val="19"/>
                <w:sz w:val="16"/>
              </w:rPr>
              <w:t> </w:t>
            </w:r>
            <w:r>
              <w:rPr>
                <w:sz w:val="16"/>
              </w:rPr>
              <w:t>currency</w:t>
            </w:r>
            <w:r>
              <w:rPr>
                <w:spacing w:val="20"/>
                <w:sz w:val="16"/>
              </w:rPr>
              <w:t> </w:t>
            </w:r>
            <w:r>
              <w:rPr>
                <w:sz w:val="16"/>
              </w:rPr>
              <w:t>translation</w:t>
            </w:r>
            <w:r>
              <w:rPr>
                <w:spacing w:val="20"/>
                <w:sz w:val="16"/>
              </w:rPr>
              <w:t> </w:t>
            </w:r>
            <w:r>
              <w:rPr>
                <w:sz w:val="16"/>
              </w:rPr>
              <w:t>adjustment</w:t>
            </w:r>
            <w:r>
              <w:rPr>
                <w:spacing w:val="20"/>
                <w:sz w:val="16"/>
              </w:rPr>
              <w:t> </w:t>
            </w:r>
            <w:r>
              <w:rPr>
                <w:spacing w:val="-5"/>
                <w:sz w:val="16"/>
              </w:rPr>
              <w:t>and</w:t>
            </w:r>
          </w:p>
          <w:p>
            <w:pPr>
              <w:pStyle w:val="TableParagraph"/>
              <w:spacing w:line="179" w:lineRule="exact" w:before="20"/>
              <w:ind w:left="152"/>
              <w:rPr>
                <w:sz w:val="16"/>
              </w:rPr>
            </w:pPr>
            <w:r>
              <w:rPr>
                <w:spacing w:val="-2"/>
                <w:w w:val="105"/>
                <w:sz w:val="16"/>
              </w:rPr>
              <w:t>other</w:t>
            </w:r>
          </w:p>
        </w:tc>
        <w:tc>
          <w:tcPr>
            <w:tcW w:w="1506" w:type="dxa"/>
            <w:tcBorders>
              <w:bottom w:val="single" w:sz="6" w:space="0" w:color="000000"/>
            </w:tcBorders>
            <w:shd w:val="clear" w:color="auto" w:fill="CCEDFF"/>
          </w:tcPr>
          <w:p>
            <w:pPr>
              <w:pStyle w:val="TableParagraph"/>
              <w:spacing w:before="23"/>
              <w:rPr>
                <w:sz w:val="16"/>
              </w:rPr>
            </w:pPr>
          </w:p>
          <w:p>
            <w:pPr>
              <w:pStyle w:val="TableParagraph"/>
              <w:spacing w:line="179" w:lineRule="exact"/>
              <w:ind w:right="139"/>
              <w:jc w:val="right"/>
              <w:rPr>
                <w:sz w:val="16"/>
              </w:rPr>
            </w:pPr>
            <w:r>
              <w:rPr>
                <w:spacing w:val="-10"/>
                <w:w w:val="105"/>
                <w:sz w:val="16"/>
              </w:rPr>
              <w:t>3</w:t>
            </w:r>
          </w:p>
        </w:tc>
        <w:tc>
          <w:tcPr>
            <w:tcW w:w="1541" w:type="dxa"/>
            <w:tcBorders>
              <w:bottom w:val="single" w:sz="6" w:space="0" w:color="000000"/>
            </w:tcBorders>
            <w:shd w:val="clear" w:color="auto" w:fill="CCEDFF"/>
          </w:tcPr>
          <w:p>
            <w:pPr>
              <w:pStyle w:val="TableParagraph"/>
              <w:spacing w:before="23"/>
              <w:rPr>
                <w:sz w:val="16"/>
              </w:rPr>
            </w:pPr>
          </w:p>
          <w:p>
            <w:pPr>
              <w:pStyle w:val="TableParagraph"/>
              <w:spacing w:line="179" w:lineRule="exact"/>
              <w:ind w:right="139"/>
              <w:jc w:val="right"/>
              <w:rPr>
                <w:sz w:val="16"/>
              </w:rPr>
            </w:pPr>
            <w:r>
              <w:rPr>
                <w:spacing w:val="-5"/>
                <w:w w:val="105"/>
                <w:sz w:val="16"/>
              </w:rPr>
              <w:t>12</w:t>
            </w:r>
          </w:p>
        </w:tc>
        <w:tc>
          <w:tcPr>
            <w:tcW w:w="1361" w:type="dxa"/>
            <w:tcBorders>
              <w:bottom w:val="single" w:sz="6" w:space="0" w:color="000000"/>
            </w:tcBorders>
            <w:shd w:val="clear" w:color="auto" w:fill="CCEDFF"/>
          </w:tcPr>
          <w:p>
            <w:pPr>
              <w:pStyle w:val="TableParagraph"/>
              <w:rPr>
                <w:sz w:val="16"/>
              </w:rPr>
            </w:pPr>
          </w:p>
        </w:tc>
        <w:tc>
          <w:tcPr>
            <w:tcW w:w="1403" w:type="dxa"/>
            <w:tcBorders>
              <w:bottom w:val="single" w:sz="6" w:space="0" w:color="000000"/>
            </w:tcBorders>
            <w:shd w:val="clear" w:color="auto" w:fill="CCEDFF"/>
          </w:tcPr>
          <w:p>
            <w:pPr>
              <w:pStyle w:val="TableParagraph"/>
              <w:spacing w:before="23"/>
              <w:rPr>
                <w:sz w:val="16"/>
              </w:rPr>
            </w:pPr>
          </w:p>
          <w:p>
            <w:pPr>
              <w:pStyle w:val="TableParagraph"/>
              <w:spacing w:line="179" w:lineRule="exact"/>
              <w:ind w:right="138"/>
              <w:jc w:val="right"/>
              <w:rPr>
                <w:sz w:val="16"/>
              </w:rPr>
            </w:pPr>
            <w:r>
              <w:rPr>
                <w:spacing w:val="-10"/>
                <w:w w:val="105"/>
                <w:sz w:val="16"/>
              </w:rPr>
              <w:t>2</w:t>
            </w:r>
          </w:p>
        </w:tc>
        <w:tc>
          <w:tcPr>
            <w:tcW w:w="1337" w:type="dxa"/>
            <w:tcBorders>
              <w:bottom w:val="single" w:sz="6" w:space="0" w:color="000000"/>
            </w:tcBorders>
            <w:shd w:val="clear" w:color="auto" w:fill="CCEDFF"/>
          </w:tcPr>
          <w:p>
            <w:pPr>
              <w:pStyle w:val="TableParagraph"/>
              <w:spacing w:before="23"/>
              <w:rPr>
                <w:sz w:val="16"/>
              </w:rPr>
            </w:pPr>
          </w:p>
          <w:p>
            <w:pPr>
              <w:pStyle w:val="TableParagraph"/>
              <w:spacing w:line="179" w:lineRule="exact"/>
              <w:ind w:right="138"/>
              <w:jc w:val="right"/>
              <w:rPr>
                <w:sz w:val="16"/>
              </w:rPr>
            </w:pPr>
            <w:r>
              <w:rPr>
                <w:spacing w:val="-5"/>
                <w:w w:val="105"/>
                <w:sz w:val="16"/>
              </w:rPr>
              <w:t>13</w:t>
            </w:r>
          </w:p>
        </w:tc>
        <w:tc>
          <w:tcPr>
            <w:tcW w:w="1322" w:type="dxa"/>
            <w:tcBorders>
              <w:bottom w:val="single" w:sz="6" w:space="0" w:color="000000"/>
            </w:tcBorders>
            <w:shd w:val="clear" w:color="auto" w:fill="CCEDFF"/>
          </w:tcPr>
          <w:p>
            <w:pPr>
              <w:pStyle w:val="TableParagraph"/>
              <w:spacing w:before="23"/>
              <w:rPr>
                <w:sz w:val="16"/>
              </w:rPr>
            </w:pPr>
          </w:p>
          <w:p>
            <w:pPr>
              <w:pStyle w:val="TableParagraph"/>
              <w:spacing w:line="179" w:lineRule="exact"/>
              <w:ind w:right="110"/>
              <w:jc w:val="right"/>
              <w:rPr>
                <w:sz w:val="16"/>
              </w:rPr>
            </w:pPr>
            <w:r>
              <w:rPr>
                <w:spacing w:val="-5"/>
                <w:w w:val="105"/>
                <w:sz w:val="16"/>
              </w:rPr>
              <w:t>30</w:t>
            </w:r>
          </w:p>
        </w:tc>
      </w:tr>
      <w:tr>
        <w:trPr>
          <w:trHeight w:val="199" w:hRule="atLeast"/>
        </w:trPr>
        <w:tc>
          <w:tcPr>
            <w:tcW w:w="3043" w:type="dxa"/>
            <w:tcBorders>
              <w:top w:val="single" w:sz="6" w:space="0" w:color="000000"/>
              <w:bottom w:val="double" w:sz="6" w:space="0" w:color="000000"/>
            </w:tcBorders>
          </w:tcPr>
          <w:p>
            <w:pPr>
              <w:pStyle w:val="TableParagraph"/>
              <w:spacing w:line="177" w:lineRule="exact" w:before="2"/>
              <w:rPr>
                <w:sz w:val="16"/>
              </w:rPr>
            </w:pPr>
            <w:r>
              <w:rPr>
                <w:w w:val="105"/>
                <w:sz w:val="16"/>
              </w:rPr>
              <w:t>Balance</w:t>
            </w:r>
            <w:r>
              <w:rPr>
                <w:spacing w:val="-9"/>
                <w:w w:val="105"/>
                <w:sz w:val="16"/>
              </w:rPr>
              <w:t> </w:t>
            </w:r>
            <w:r>
              <w:rPr>
                <w:w w:val="105"/>
                <w:sz w:val="16"/>
              </w:rPr>
              <w:t>at</w:t>
            </w:r>
            <w:r>
              <w:rPr>
                <w:spacing w:val="-8"/>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2020</w:t>
            </w:r>
          </w:p>
        </w:tc>
        <w:tc>
          <w:tcPr>
            <w:tcW w:w="1506" w:type="dxa"/>
            <w:tcBorders>
              <w:top w:val="single" w:sz="6" w:space="0" w:color="000000"/>
              <w:bottom w:val="double" w:sz="6" w:space="0" w:color="000000"/>
            </w:tcBorders>
          </w:tcPr>
          <w:p>
            <w:pPr>
              <w:pStyle w:val="TableParagraph"/>
              <w:tabs>
                <w:tab w:pos="999" w:val="left" w:leader="none"/>
              </w:tabs>
              <w:spacing w:line="177" w:lineRule="exact" w:before="2"/>
              <w:ind w:right="139"/>
              <w:jc w:val="right"/>
              <w:rPr>
                <w:sz w:val="16"/>
              </w:rPr>
            </w:pPr>
            <w:r>
              <w:rPr>
                <w:spacing w:val="-10"/>
                <w:w w:val="105"/>
                <w:sz w:val="16"/>
              </w:rPr>
              <w:t>$</w:t>
            </w:r>
            <w:r>
              <w:rPr>
                <w:sz w:val="16"/>
              </w:rPr>
              <w:tab/>
            </w:r>
            <w:r>
              <w:rPr>
                <w:spacing w:val="-5"/>
                <w:w w:val="105"/>
                <w:sz w:val="16"/>
              </w:rPr>
              <w:t>132</w:t>
            </w:r>
          </w:p>
        </w:tc>
        <w:tc>
          <w:tcPr>
            <w:tcW w:w="1541" w:type="dxa"/>
            <w:tcBorders>
              <w:top w:val="single" w:sz="6" w:space="0" w:color="000000"/>
              <w:bottom w:val="double" w:sz="6" w:space="0" w:color="000000"/>
            </w:tcBorders>
          </w:tcPr>
          <w:p>
            <w:pPr>
              <w:pStyle w:val="TableParagraph"/>
              <w:tabs>
                <w:tab w:pos="1151" w:val="left" w:leader="none"/>
              </w:tabs>
              <w:spacing w:line="177" w:lineRule="exact" w:before="2"/>
              <w:ind w:left="87"/>
              <w:rPr>
                <w:sz w:val="16"/>
              </w:rPr>
            </w:pPr>
            <w:r>
              <w:rPr>
                <w:spacing w:val="-10"/>
                <w:w w:val="105"/>
                <w:sz w:val="16"/>
              </w:rPr>
              <w:t>$</w:t>
            </w:r>
            <w:r>
              <w:rPr>
                <w:sz w:val="16"/>
              </w:rPr>
              <w:tab/>
            </w:r>
            <w:r>
              <w:rPr>
                <w:spacing w:val="-5"/>
                <w:w w:val="105"/>
                <w:sz w:val="16"/>
              </w:rPr>
              <w:t>943</w:t>
            </w:r>
          </w:p>
        </w:tc>
        <w:tc>
          <w:tcPr>
            <w:tcW w:w="1361" w:type="dxa"/>
            <w:tcBorders>
              <w:top w:val="single" w:sz="6" w:space="0" w:color="000000"/>
              <w:bottom w:val="double" w:sz="6" w:space="0" w:color="000000"/>
            </w:tcBorders>
          </w:tcPr>
          <w:p>
            <w:pPr>
              <w:pStyle w:val="TableParagraph"/>
              <w:tabs>
                <w:tab w:pos="910" w:val="left" w:leader="none"/>
              </w:tabs>
              <w:spacing w:line="177" w:lineRule="exact" w:before="2"/>
              <w:ind w:right="23"/>
              <w:jc w:val="center"/>
              <w:rPr>
                <w:sz w:val="16"/>
              </w:rPr>
            </w:pPr>
            <w:r>
              <w:rPr>
                <w:spacing w:val="-10"/>
                <w:w w:val="105"/>
                <w:sz w:val="16"/>
              </w:rPr>
              <w:t>$</w:t>
            </w:r>
            <w:r>
              <w:rPr>
                <w:sz w:val="16"/>
              </w:rPr>
              <w:tab/>
            </w:r>
            <w:r>
              <w:rPr>
                <w:spacing w:val="-5"/>
                <w:w w:val="105"/>
                <w:sz w:val="16"/>
              </w:rPr>
              <w:t>150</w:t>
            </w:r>
          </w:p>
        </w:tc>
        <w:tc>
          <w:tcPr>
            <w:tcW w:w="1403" w:type="dxa"/>
            <w:tcBorders>
              <w:top w:val="single" w:sz="6" w:space="0" w:color="000000"/>
              <w:bottom w:val="double" w:sz="6" w:space="0" w:color="000000"/>
            </w:tcBorders>
          </w:tcPr>
          <w:p>
            <w:pPr>
              <w:pStyle w:val="TableParagraph"/>
              <w:tabs>
                <w:tab w:pos="1013" w:val="left" w:leader="none"/>
              </w:tabs>
              <w:spacing w:line="177" w:lineRule="exact" w:before="2"/>
              <w:ind w:left="115"/>
              <w:rPr>
                <w:sz w:val="16"/>
              </w:rPr>
            </w:pPr>
            <w:r>
              <w:rPr>
                <w:spacing w:val="-10"/>
                <w:w w:val="105"/>
                <w:sz w:val="16"/>
              </w:rPr>
              <w:t>$</w:t>
            </w:r>
            <w:r>
              <w:rPr>
                <w:sz w:val="16"/>
              </w:rPr>
              <w:tab/>
            </w:r>
            <w:r>
              <w:rPr>
                <w:spacing w:val="-5"/>
                <w:w w:val="105"/>
                <w:sz w:val="16"/>
              </w:rPr>
              <w:t>618</w:t>
            </w:r>
          </w:p>
        </w:tc>
        <w:tc>
          <w:tcPr>
            <w:tcW w:w="1337" w:type="dxa"/>
            <w:tcBorders>
              <w:top w:val="single" w:sz="6" w:space="0" w:color="000000"/>
              <w:bottom w:val="double" w:sz="6" w:space="0" w:color="000000"/>
            </w:tcBorders>
          </w:tcPr>
          <w:p>
            <w:pPr>
              <w:pStyle w:val="TableParagraph"/>
              <w:tabs>
                <w:tab w:pos="859" w:val="left" w:leader="none"/>
              </w:tabs>
              <w:spacing w:line="177" w:lineRule="exact" w:before="2"/>
              <w:ind w:right="138"/>
              <w:jc w:val="right"/>
              <w:rPr>
                <w:sz w:val="16"/>
              </w:rPr>
            </w:pPr>
            <w:r>
              <w:rPr>
                <w:spacing w:val="-10"/>
                <w:w w:val="105"/>
                <w:sz w:val="16"/>
              </w:rPr>
              <w:t>$</w:t>
            </w:r>
            <w:r>
              <w:rPr>
                <w:sz w:val="16"/>
              </w:rPr>
              <w:tab/>
            </w:r>
            <w:r>
              <w:rPr>
                <w:spacing w:val="-5"/>
                <w:w w:val="105"/>
                <w:sz w:val="16"/>
              </w:rPr>
              <w:t>617</w:t>
            </w:r>
          </w:p>
        </w:tc>
        <w:tc>
          <w:tcPr>
            <w:tcW w:w="1322" w:type="dxa"/>
            <w:tcBorders>
              <w:top w:val="single" w:sz="6" w:space="0" w:color="000000"/>
              <w:bottom w:val="double" w:sz="6" w:space="0" w:color="000000"/>
            </w:tcBorders>
          </w:tcPr>
          <w:p>
            <w:pPr>
              <w:pStyle w:val="TableParagraph"/>
              <w:tabs>
                <w:tab w:pos="837" w:val="left" w:leader="none"/>
              </w:tabs>
              <w:spacing w:line="177" w:lineRule="exact" w:before="2"/>
              <w:ind w:left="88"/>
              <w:rPr>
                <w:sz w:val="16"/>
              </w:rPr>
            </w:pPr>
            <w:r>
              <w:rPr>
                <w:spacing w:val="-10"/>
                <w:w w:val="105"/>
                <w:sz w:val="16"/>
              </w:rPr>
              <w:t>$</w:t>
            </w:r>
            <w:r>
              <w:rPr>
                <w:sz w:val="16"/>
              </w:rPr>
              <w:tab/>
            </w:r>
            <w:r>
              <w:rPr>
                <w:spacing w:val="-4"/>
                <w:w w:val="105"/>
                <w:sz w:val="16"/>
              </w:rPr>
              <w:t>2,460</w:t>
            </w:r>
          </w:p>
        </w:tc>
      </w:tr>
      <w:tr>
        <w:trPr>
          <w:trHeight w:val="404" w:hRule="atLeast"/>
        </w:trPr>
        <w:tc>
          <w:tcPr>
            <w:tcW w:w="3043" w:type="dxa"/>
            <w:tcBorders>
              <w:top w:val="double" w:sz="6" w:space="0" w:color="000000"/>
            </w:tcBorders>
            <w:shd w:val="clear" w:color="auto" w:fill="CCEDFF"/>
          </w:tcPr>
          <w:p>
            <w:pPr>
              <w:pStyle w:val="TableParagraph"/>
              <w:rPr>
                <w:sz w:val="16"/>
              </w:rPr>
            </w:pPr>
            <w:r>
              <w:rPr>
                <w:sz w:val="16"/>
              </w:rPr>
              <w:t>Foreign</w:t>
            </w:r>
            <w:r>
              <w:rPr>
                <w:spacing w:val="19"/>
                <w:sz w:val="16"/>
              </w:rPr>
              <w:t> </w:t>
            </w:r>
            <w:r>
              <w:rPr>
                <w:sz w:val="16"/>
              </w:rPr>
              <w:t>currency</w:t>
            </w:r>
            <w:r>
              <w:rPr>
                <w:spacing w:val="20"/>
                <w:sz w:val="16"/>
              </w:rPr>
              <w:t> </w:t>
            </w:r>
            <w:r>
              <w:rPr>
                <w:sz w:val="16"/>
              </w:rPr>
              <w:t>translation</w:t>
            </w:r>
            <w:r>
              <w:rPr>
                <w:spacing w:val="20"/>
                <w:sz w:val="16"/>
              </w:rPr>
              <w:t> </w:t>
            </w:r>
            <w:r>
              <w:rPr>
                <w:sz w:val="16"/>
              </w:rPr>
              <w:t>adjustment</w:t>
            </w:r>
            <w:r>
              <w:rPr>
                <w:spacing w:val="20"/>
                <w:sz w:val="16"/>
              </w:rPr>
              <w:t> </w:t>
            </w:r>
            <w:r>
              <w:rPr>
                <w:spacing w:val="-5"/>
                <w:sz w:val="16"/>
              </w:rPr>
              <w:t>and</w:t>
            </w:r>
          </w:p>
          <w:p>
            <w:pPr>
              <w:pStyle w:val="TableParagraph"/>
              <w:spacing w:line="180" w:lineRule="exact" w:before="20"/>
              <w:ind w:left="152"/>
              <w:rPr>
                <w:sz w:val="16"/>
              </w:rPr>
            </w:pPr>
            <w:r>
              <w:rPr>
                <w:spacing w:val="-2"/>
                <w:w w:val="105"/>
                <w:sz w:val="16"/>
              </w:rPr>
              <w:t>other</w:t>
            </w:r>
          </w:p>
        </w:tc>
        <w:tc>
          <w:tcPr>
            <w:tcW w:w="1506" w:type="dxa"/>
            <w:tcBorders>
              <w:top w:val="double" w:sz="6" w:space="0" w:color="000000"/>
            </w:tcBorders>
            <w:shd w:val="clear" w:color="auto" w:fill="CCEDFF"/>
          </w:tcPr>
          <w:p>
            <w:pPr>
              <w:pStyle w:val="TableParagraph"/>
              <w:spacing w:before="19"/>
              <w:rPr>
                <w:sz w:val="16"/>
              </w:rPr>
            </w:pPr>
          </w:p>
          <w:p>
            <w:pPr>
              <w:pStyle w:val="TableParagraph"/>
              <w:spacing w:line="180" w:lineRule="exact" w:before="1"/>
              <w:ind w:right="84"/>
              <w:jc w:val="right"/>
              <w:rPr>
                <w:sz w:val="16"/>
              </w:rPr>
            </w:pPr>
            <w:r>
              <w:rPr>
                <w:spacing w:val="-5"/>
                <w:w w:val="105"/>
                <w:sz w:val="16"/>
              </w:rPr>
              <w:t>(7)</w:t>
            </w:r>
          </w:p>
        </w:tc>
        <w:tc>
          <w:tcPr>
            <w:tcW w:w="1541" w:type="dxa"/>
            <w:tcBorders>
              <w:top w:val="double" w:sz="6" w:space="0" w:color="000000"/>
            </w:tcBorders>
            <w:shd w:val="clear" w:color="auto" w:fill="CCEDFF"/>
          </w:tcPr>
          <w:p>
            <w:pPr>
              <w:pStyle w:val="TableParagraph"/>
              <w:spacing w:before="19"/>
              <w:rPr>
                <w:sz w:val="16"/>
              </w:rPr>
            </w:pPr>
          </w:p>
          <w:p>
            <w:pPr>
              <w:pStyle w:val="TableParagraph"/>
              <w:spacing w:line="180" w:lineRule="exact" w:before="1"/>
              <w:ind w:right="84"/>
              <w:jc w:val="right"/>
              <w:rPr>
                <w:sz w:val="16"/>
              </w:rPr>
            </w:pPr>
            <w:r>
              <w:rPr>
                <w:spacing w:val="-4"/>
                <w:w w:val="105"/>
                <w:sz w:val="16"/>
              </w:rPr>
              <w:t>(28)</w:t>
            </w:r>
          </w:p>
        </w:tc>
        <w:tc>
          <w:tcPr>
            <w:tcW w:w="1361" w:type="dxa"/>
            <w:tcBorders>
              <w:top w:val="double" w:sz="6" w:space="0" w:color="000000"/>
            </w:tcBorders>
            <w:shd w:val="clear" w:color="auto" w:fill="CCEDFF"/>
          </w:tcPr>
          <w:p>
            <w:pPr>
              <w:pStyle w:val="TableParagraph"/>
              <w:rPr>
                <w:sz w:val="16"/>
              </w:rPr>
            </w:pPr>
          </w:p>
        </w:tc>
        <w:tc>
          <w:tcPr>
            <w:tcW w:w="1403" w:type="dxa"/>
            <w:tcBorders>
              <w:top w:val="double" w:sz="6" w:space="0" w:color="000000"/>
            </w:tcBorders>
            <w:shd w:val="clear" w:color="auto" w:fill="CCEDFF"/>
          </w:tcPr>
          <w:p>
            <w:pPr>
              <w:pStyle w:val="TableParagraph"/>
              <w:spacing w:before="19"/>
              <w:rPr>
                <w:sz w:val="16"/>
              </w:rPr>
            </w:pPr>
          </w:p>
          <w:p>
            <w:pPr>
              <w:pStyle w:val="TableParagraph"/>
              <w:spacing w:line="180" w:lineRule="exact" w:before="1"/>
              <w:ind w:right="83"/>
              <w:jc w:val="right"/>
              <w:rPr>
                <w:sz w:val="16"/>
              </w:rPr>
            </w:pPr>
            <w:r>
              <w:rPr>
                <w:spacing w:val="-5"/>
                <w:w w:val="105"/>
                <w:sz w:val="16"/>
              </w:rPr>
              <w:t>(2)</w:t>
            </w:r>
          </w:p>
        </w:tc>
        <w:tc>
          <w:tcPr>
            <w:tcW w:w="1337" w:type="dxa"/>
            <w:tcBorders>
              <w:top w:val="double" w:sz="6" w:space="0" w:color="000000"/>
            </w:tcBorders>
            <w:shd w:val="clear" w:color="auto" w:fill="CCEDFF"/>
          </w:tcPr>
          <w:p>
            <w:pPr>
              <w:pStyle w:val="TableParagraph"/>
              <w:spacing w:before="19"/>
              <w:rPr>
                <w:sz w:val="16"/>
              </w:rPr>
            </w:pPr>
          </w:p>
          <w:p>
            <w:pPr>
              <w:pStyle w:val="TableParagraph"/>
              <w:spacing w:line="180" w:lineRule="exact" w:before="1"/>
              <w:ind w:right="83"/>
              <w:jc w:val="right"/>
              <w:rPr>
                <w:sz w:val="16"/>
              </w:rPr>
            </w:pPr>
            <w:r>
              <w:rPr>
                <w:spacing w:val="-5"/>
                <w:w w:val="105"/>
                <w:sz w:val="16"/>
              </w:rPr>
              <w:t>(2)</w:t>
            </w:r>
          </w:p>
        </w:tc>
        <w:tc>
          <w:tcPr>
            <w:tcW w:w="1322" w:type="dxa"/>
            <w:tcBorders>
              <w:top w:val="double" w:sz="6" w:space="0" w:color="000000"/>
            </w:tcBorders>
            <w:shd w:val="clear" w:color="auto" w:fill="CCEDFF"/>
          </w:tcPr>
          <w:p>
            <w:pPr>
              <w:pStyle w:val="TableParagraph"/>
              <w:spacing w:before="19"/>
              <w:rPr>
                <w:sz w:val="16"/>
              </w:rPr>
            </w:pPr>
          </w:p>
          <w:p>
            <w:pPr>
              <w:pStyle w:val="TableParagraph"/>
              <w:spacing w:line="180" w:lineRule="exact" w:before="1"/>
              <w:ind w:right="56"/>
              <w:jc w:val="right"/>
              <w:rPr>
                <w:sz w:val="16"/>
              </w:rPr>
            </w:pPr>
            <w:r>
              <w:rPr>
                <w:spacing w:val="-4"/>
                <w:w w:val="105"/>
                <w:sz w:val="16"/>
              </w:rPr>
              <w:t>(39)</w:t>
            </w:r>
          </w:p>
        </w:tc>
      </w:tr>
      <w:tr>
        <w:trPr>
          <w:trHeight w:val="200" w:hRule="atLeast"/>
        </w:trPr>
        <w:tc>
          <w:tcPr>
            <w:tcW w:w="3043" w:type="dxa"/>
            <w:tcBorders>
              <w:bottom w:val="double" w:sz="6" w:space="0" w:color="000000"/>
            </w:tcBorders>
          </w:tcPr>
          <w:p>
            <w:pPr>
              <w:pStyle w:val="TableParagraph"/>
              <w:spacing w:line="177" w:lineRule="exact" w:before="3"/>
              <w:rPr>
                <w:b/>
                <w:sz w:val="16"/>
              </w:rPr>
            </w:pPr>
            <w:r>
              <w:rPr>
                <w:b/>
                <w:w w:val="105"/>
                <w:sz w:val="16"/>
              </w:rPr>
              <w:t>Balance</w:t>
            </w:r>
            <w:r>
              <w:rPr>
                <w:b/>
                <w:spacing w:val="-9"/>
                <w:w w:val="105"/>
                <w:sz w:val="16"/>
              </w:rPr>
              <w:t> </w:t>
            </w:r>
            <w:r>
              <w:rPr>
                <w:b/>
                <w:w w:val="105"/>
                <w:sz w:val="16"/>
              </w:rPr>
              <w:t>at</w:t>
            </w:r>
            <w:r>
              <w:rPr>
                <w:b/>
                <w:spacing w:val="-9"/>
                <w:w w:val="105"/>
                <w:sz w:val="16"/>
              </w:rPr>
              <w:t> </w:t>
            </w:r>
            <w:r>
              <w:rPr>
                <w:b/>
                <w:w w:val="105"/>
                <w:sz w:val="16"/>
              </w:rPr>
              <w:t>December</w:t>
            </w:r>
            <w:r>
              <w:rPr>
                <w:b/>
                <w:spacing w:val="-9"/>
                <w:w w:val="105"/>
                <w:sz w:val="16"/>
              </w:rPr>
              <w:t> </w:t>
            </w:r>
            <w:r>
              <w:rPr>
                <w:b/>
                <w:w w:val="105"/>
                <w:sz w:val="16"/>
              </w:rPr>
              <w:t>31,</w:t>
            </w:r>
            <w:r>
              <w:rPr>
                <w:b/>
                <w:spacing w:val="-9"/>
                <w:w w:val="105"/>
                <w:sz w:val="16"/>
              </w:rPr>
              <w:t> </w:t>
            </w:r>
            <w:r>
              <w:rPr>
                <w:b/>
                <w:spacing w:val="-4"/>
                <w:w w:val="105"/>
                <w:sz w:val="16"/>
              </w:rPr>
              <w:t>2021</w:t>
            </w:r>
          </w:p>
        </w:tc>
        <w:tc>
          <w:tcPr>
            <w:tcW w:w="1506" w:type="dxa"/>
            <w:tcBorders>
              <w:bottom w:val="double" w:sz="6" w:space="0" w:color="000000"/>
            </w:tcBorders>
          </w:tcPr>
          <w:p>
            <w:pPr>
              <w:pStyle w:val="TableParagraph"/>
              <w:tabs>
                <w:tab w:pos="999" w:val="left" w:leader="none"/>
              </w:tabs>
              <w:spacing w:line="177" w:lineRule="exact" w:before="3"/>
              <w:ind w:right="139"/>
              <w:jc w:val="right"/>
              <w:rPr>
                <w:b/>
                <w:sz w:val="16"/>
              </w:rPr>
            </w:pPr>
            <w:r>
              <w:rPr>
                <w:b/>
                <w:spacing w:val="-10"/>
                <w:w w:val="105"/>
                <w:sz w:val="16"/>
              </w:rPr>
              <w:t>$</w:t>
            </w:r>
            <w:r>
              <w:rPr>
                <w:b/>
                <w:sz w:val="16"/>
              </w:rPr>
              <w:tab/>
            </w:r>
            <w:r>
              <w:rPr>
                <w:b/>
                <w:spacing w:val="-5"/>
                <w:w w:val="105"/>
                <w:sz w:val="16"/>
              </w:rPr>
              <w:t>125</w:t>
            </w:r>
          </w:p>
        </w:tc>
        <w:tc>
          <w:tcPr>
            <w:tcW w:w="1541" w:type="dxa"/>
            <w:tcBorders>
              <w:bottom w:val="double" w:sz="6" w:space="0" w:color="000000"/>
            </w:tcBorders>
          </w:tcPr>
          <w:p>
            <w:pPr>
              <w:pStyle w:val="TableParagraph"/>
              <w:tabs>
                <w:tab w:pos="1151" w:val="left" w:leader="none"/>
              </w:tabs>
              <w:spacing w:line="177" w:lineRule="exact" w:before="3"/>
              <w:ind w:left="87"/>
              <w:rPr>
                <w:b/>
                <w:sz w:val="16"/>
              </w:rPr>
            </w:pPr>
            <w:r>
              <w:rPr>
                <w:b/>
                <w:spacing w:val="-10"/>
                <w:w w:val="105"/>
                <w:sz w:val="16"/>
              </w:rPr>
              <w:t>$</w:t>
            </w:r>
            <w:r>
              <w:rPr>
                <w:b/>
                <w:sz w:val="16"/>
              </w:rPr>
              <w:tab/>
            </w:r>
            <w:r>
              <w:rPr>
                <w:b/>
                <w:spacing w:val="-5"/>
                <w:w w:val="105"/>
                <w:sz w:val="16"/>
              </w:rPr>
              <w:t>915</w:t>
            </w:r>
          </w:p>
        </w:tc>
        <w:tc>
          <w:tcPr>
            <w:tcW w:w="1361" w:type="dxa"/>
            <w:tcBorders>
              <w:bottom w:val="double" w:sz="6" w:space="0" w:color="000000"/>
            </w:tcBorders>
          </w:tcPr>
          <w:p>
            <w:pPr>
              <w:pStyle w:val="TableParagraph"/>
              <w:tabs>
                <w:tab w:pos="910" w:val="left" w:leader="none"/>
              </w:tabs>
              <w:spacing w:line="177" w:lineRule="exact" w:before="3"/>
              <w:ind w:right="23"/>
              <w:jc w:val="center"/>
              <w:rPr>
                <w:b/>
                <w:sz w:val="16"/>
              </w:rPr>
            </w:pPr>
            <w:r>
              <w:rPr>
                <w:b/>
                <w:spacing w:val="-10"/>
                <w:w w:val="105"/>
                <w:sz w:val="16"/>
              </w:rPr>
              <w:t>$</w:t>
            </w:r>
            <w:r>
              <w:rPr>
                <w:b/>
                <w:sz w:val="16"/>
              </w:rPr>
              <w:tab/>
            </w:r>
            <w:r>
              <w:rPr>
                <w:b/>
                <w:spacing w:val="-5"/>
                <w:w w:val="105"/>
                <w:sz w:val="16"/>
              </w:rPr>
              <w:t>150</w:t>
            </w:r>
          </w:p>
        </w:tc>
        <w:tc>
          <w:tcPr>
            <w:tcW w:w="1403" w:type="dxa"/>
            <w:tcBorders>
              <w:bottom w:val="double" w:sz="6" w:space="0" w:color="000000"/>
            </w:tcBorders>
          </w:tcPr>
          <w:p>
            <w:pPr>
              <w:pStyle w:val="TableParagraph"/>
              <w:tabs>
                <w:tab w:pos="1013" w:val="left" w:leader="none"/>
              </w:tabs>
              <w:spacing w:line="177" w:lineRule="exact" w:before="3"/>
              <w:ind w:left="115"/>
              <w:rPr>
                <w:b/>
                <w:sz w:val="16"/>
              </w:rPr>
            </w:pPr>
            <w:r>
              <w:rPr>
                <w:b/>
                <w:spacing w:val="-10"/>
                <w:w w:val="105"/>
                <w:sz w:val="16"/>
              </w:rPr>
              <w:t>$</w:t>
            </w:r>
            <w:r>
              <w:rPr>
                <w:b/>
                <w:sz w:val="16"/>
              </w:rPr>
              <w:tab/>
            </w:r>
            <w:r>
              <w:rPr>
                <w:b/>
                <w:spacing w:val="-5"/>
                <w:w w:val="105"/>
                <w:sz w:val="16"/>
              </w:rPr>
              <w:t>616</w:t>
            </w:r>
          </w:p>
        </w:tc>
        <w:tc>
          <w:tcPr>
            <w:tcW w:w="1337" w:type="dxa"/>
            <w:tcBorders>
              <w:bottom w:val="double" w:sz="6" w:space="0" w:color="000000"/>
            </w:tcBorders>
          </w:tcPr>
          <w:p>
            <w:pPr>
              <w:pStyle w:val="TableParagraph"/>
              <w:tabs>
                <w:tab w:pos="859" w:val="left" w:leader="none"/>
              </w:tabs>
              <w:spacing w:line="177" w:lineRule="exact" w:before="3"/>
              <w:ind w:right="138"/>
              <w:jc w:val="right"/>
              <w:rPr>
                <w:b/>
                <w:sz w:val="16"/>
              </w:rPr>
            </w:pPr>
            <w:r>
              <w:rPr>
                <w:b/>
                <w:spacing w:val="-10"/>
                <w:w w:val="105"/>
                <w:sz w:val="16"/>
              </w:rPr>
              <w:t>$</w:t>
            </w:r>
            <w:r>
              <w:rPr>
                <w:b/>
                <w:sz w:val="16"/>
              </w:rPr>
              <w:tab/>
            </w:r>
            <w:r>
              <w:rPr>
                <w:b/>
                <w:spacing w:val="-5"/>
                <w:w w:val="105"/>
                <w:sz w:val="16"/>
              </w:rPr>
              <w:t>615</w:t>
            </w:r>
          </w:p>
        </w:tc>
        <w:tc>
          <w:tcPr>
            <w:tcW w:w="1322" w:type="dxa"/>
            <w:tcBorders>
              <w:bottom w:val="double" w:sz="6" w:space="0" w:color="000000"/>
            </w:tcBorders>
          </w:tcPr>
          <w:p>
            <w:pPr>
              <w:pStyle w:val="TableParagraph"/>
              <w:tabs>
                <w:tab w:pos="837" w:val="left" w:leader="none"/>
              </w:tabs>
              <w:spacing w:line="177" w:lineRule="exact" w:before="3"/>
              <w:ind w:left="88"/>
              <w:rPr>
                <w:b/>
                <w:sz w:val="16"/>
              </w:rPr>
            </w:pPr>
            <w:r>
              <w:rPr>
                <w:b/>
                <w:spacing w:val="-10"/>
                <w:w w:val="105"/>
                <w:sz w:val="16"/>
              </w:rPr>
              <w:t>$</w:t>
            </w:r>
            <w:r>
              <w:rPr>
                <w:b/>
                <w:sz w:val="16"/>
              </w:rPr>
              <w:tab/>
            </w:r>
            <w:r>
              <w:rPr>
                <w:b/>
                <w:spacing w:val="-4"/>
                <w:w w:val="105"/>
                <w:sz w:val="16"/>
              </w:rPr>
              <w:t>2,421</w:t>
            </w:r>
          </w:p>
        </w:tc>
      </w:tr>
    </w:tbl>
    <w:p>
      <w:pPr>
        <w:pStyle w:val="BodyText"/>
        <w:spacing w:before="7"/>
      </w:pPr>
    </w:p>
    <w:p>
      <w:pPr>
        <w:spacing w:line="228" w:lineRule="auto" w:before="1"/>
        <w:ind w:left="462" w:right="0" w:hanging="306"/>
        <w:jc w:val="left"/>
        <w:rPr>
          <w:sz w:val="14"/>
        </w:rPr>
      </w:pPr>
      <w:r>
        <w:rPr>
          <w:sz w:val="14"/>
        </w:rPr>
        <w:t>(1)</w:t>
      </w:r>
      <w:r>
        <w:rPr>
          <w:spacing w:val="80"/>
          <w:sz w:val="14"/>
        </w:rPr>
        <w:t> </w:t>
      </w:r>
      <w:r>
        <w:rPr>
          <w:sz w:val="14"/>
        </w:rPr>
        <w:t>The</w:t>
      </w:r>
      <w:r>
        <w:rPr>
          <w:spacing w:val="-1"/>
          <w:sz w:val="14"/>
        </w:rPr>
        <w:t> </w:t>
      </w:r>
      <w:r>
        <w:rPr>
          <w:sz w:val="14"/>
        </w:rPr>
        <w:t>Company</w:t>
      </w:r>
      <w:r>
        <w:rPr>
          <w:spacing w:val="-1"/>
          <w:sz w:val="14"/>
        </w:rPr>
        <w:t> </w:t>
      </w:r>
      <w:r>
        <w:rPr>
          <w:sz w:val="14"/>
        </w:rPr>
        <w:t>obtained</w:t>
      </w:r>
      <w:r>
        <w:rPr>
          <w:spacing w:val="-1"/>
          <w:sz w:val="14"/>
        </w:rPr>
        <w:t> </w:t>
      </w:r>
      <w:r>
        <w:rPr>
          <w:sz w:val="14"/>
        </w:rPr>
        <w:t>a</w:t>
      </w:r>
      <w:r>
        <w:rPr>
          <w:spacing w:val="-1"/>
          <w:sz w:val="14"/>
        </w:rPr>
        <w:t> </w:t>
      </w:r>
      <w:r>
        <w:rPr>
          <w:sz w:val="14"/>
        </w:rPr>
        <w:t>controlling</w:t>
      </w:r>
      <w:r>
        <w:rPr>
          <w:spacing w:val="-1"/>
          <w:sz w:val="14"/>
        </w:rPr>
        <w:t> </w:t>
      </w:r>
      <w:r>
        <w:rPr>
          <w:sz w:val="14"/>
        </w:rPr>
        <w:t>interest</w:t>
      </w:r>
      <w:r>
        <w:rPr>
          <w:spacing w:val="-1"/>
          <w:sz w:val="14"/>
        </w:rPr>
        <w:t> </w:t>
      </w:r>
      <w:r>
        <w:rPr>
          <w:sz w:val="14"/>
        </w:rPr>
        <w:t>in</w:t>
      </w:r>
      <w:r>
        <w:rPr>
          <w:spacing w:val="-1"/>
          <w:sz w:val="14"/>
        </w:rPr>
        <w:t> </w:t>
      </w:r>
      <w:r>
        <w:rPr>
          <w:sz w:val="14"/>
        </w:rPr>
        <w:t>HSG</w:t>
      </w:r>
      <w:r>
        <w:rPr>
          <w:spacing w:val="-1"/>
          <w:sz w:val="14"/>
        </w:rPr>
        <w:t> </w:t>
      </w:r>
      <w:r>
        <w:rPr>
          <w:sz w:val="14"/>
        </w:rPr>
        <w:t>during</w:t>
      </w:r>
      <w:r>
        <w:rPr>
          <w:spacing w:val="-1"/>
          <w:sz w:val="14"/>
        </w:rPr>
        <w:t> </w:t>
      </w:r>
      <w:r>
        <w:rPr>
          <w:sz w:val="14"/>
        </w:rPr>
        <w:t>the</w:t>
      </w:r>
      <w:r>
        <w:rPr>
          <w:spacing w:val="-2"/>
          <w:sz w:val="14"/>
        </w:rPr>
        <w:t> </w:t>
      </w:r>
      <w:r>
        <w:rPr>
          <w:sz w:val="14"/>
        </w:rPr>
        <w:t>third</w:t>
      </w:r>
      <w:r>
        <w:rPr>
          <w:spacing w:val="-1"/>
          <w:sz w:val="14"/>
        </w:rPr>
        <w:t> </w:t>
      </w:r>
      <w:r>
        <w:rPr>
          <w:sz w:val="14"/>
        </w:rPr>
        <w:t>quarter</w:t>
      </w:r>
      <w:r>
        <w:rPr>
          <w:spacing w:val="-2"/>
          <w:sz w:val="14"/>
        </w:rPr>
        <w:t> </w:t>
      </w:r>
      <w:r>
        <w:rPr>
          <w:sz w:val="14"/>
        </w:rPr>
        <w:t>of 2020.</w:t>
      </w:r>
      <w:r>
        <w:rPr>
          <w:spacing w:val="-1"/>
          <w:sz w:val="14"/>
        </w:rPr>
        <w:t> </w:t>
      </w:r>
      <w:r>
        <w:rPr>
          <w:sz w:val="14"/>
        </w:rPr>
        <w:t>Refer</w:t>
      </w:r>
      <w:r>
        <w:rPr>
          <w:spacing w:val="-1"/>
          <w:sz w:val="14"/>
        </w:rPr>
        <w:t> </w:t>
      </w:r>
      <w:r>
        <w:rPr>
          <w:sz w:val="14"/>
        </w:rPr>
        <w:t>to</w:t>
      </w:r>
      <w:r>
        <w:rPr>
          <w:spacing w:val="-1"/>
          <w:sz w:val="14"/>
        </w:rPr>
        <w:t> </w:t>
      </w:r>
      <w:r>
        <w:rPr>
          <w:sz w:val="14"/>
        </w:rPr>
        <w:t>Note</w:t>
      </w:r>
      <w:r>
        <w:rPr>
          <w:spacing w:val="-2"/>
          <w:sz w:val="14"/>
        </w:rPr>
        <w:t> </w:t>
      </w:r>
      <w:r>
        <w:rPr>
          <w:sz w:val="14"/>
        </w:rPr>
        <w:t>4</w:t>
      </w:r>
      <w:r>
        <w:rPr>
          <w:spacing w:val="-1"/>
          <w:sz w:val="14"/>
        </w:rPr>
        <w:t> </w:t>
      </w:r>
      <w:r>
        <w:rPr>
          <w:sz w:val="14"/>
        </w:rPr>
        <w:t>(HSG</w:t>
      </w:r>
      <w:r>
        <w:rPr>
          <w:spacing w:val="-1"/>
          <w:sz w:val="14"/>
        </w:rPr>
        <w:t> </w:t>
      </w:r>
      <w:r>
        <w:rPr>
          <w:sz w:val="14"/>
        </w:rPr>
        <w:t>Transactions</w:t>
      </w:r>
      <w:r>
        <w:rPr>
          <w:spacing w:val="-1"/>
          <w:sz w:val="14"/>
        </w:rPr>
        <w:t> </w:t>
      </w:r>
      <w:r>
        <w:rPr>
          <w:sz w:val="14"/>
        </w:rPr>
        <w:t>and</w:t>
      </w:r>
      <w:r>
        <w:rPr>
          <w:spacing w:val="-1"/>
          <w:sz w:val="14"/>
        </w:rPr>
        <w:t> </w:t>
      </w:r>
      <w:r>
        <w:rPr>
          <w:sz w:val="14"/>
        </w:rPr>
        <w:t>Acquisitions)</w:t>
      </w:r>
      <w:r>
        <w:rPr>
          <w:spacing w:val="-1"/>
          <w:sz w:val="14"/>
        </w:rPr>
        <w:t> </w:t>
      </w:r>
      <w:r>
        <w:rPr>
          <w:sz w:val="14"/>
        </w:rPr>
        <w:t>to</w:t>
      </w:r>
      <w:r>
        <w:rPr>
          <w:spacing w:val="-1"/>
          <w:sz w:val="14"/>
        </w:rPr>
        <w:t> </w:t>
      </w:r>
      <w:r>
        <w:rPr>
          <w:sz w:val="14"/>
        </w:rPr>
        <w:t>the</w:t>
      </w:r>
      <w:r>
        <w:rPr>
          <w:spacing w:val="-1"/>
          <w:sz w:val="14"/>
        </w:rPr>
        <w:t> </w:t>
      </w:r>
      <w:r>
        <w:rPr>
          <w:sz w:val="14"/>
        </w:rPr>
        <w:t>consolidated</w:t>
      </w:r>
      <w:r>
        <w:rPr>
          <w:spacing w:val="-1"/>
          <w:sz w:val="14"/>
        </w:rPr>
        <w:t> </w:t>
      </w:r>
      <w:r>
        <w:rPr>
          <w:sz w:val="14"/>
        </w:rPr>
        <w:t>financial</w:t>
      </w:r>
      <w:r>
        <w:rPr>
          <w:spacing w:val="-1"/>
          <w:sz w:val="14"/>
        </w:rPr>
        <w:t> </w:t>
      </w:r>
      <w:r>
        <w:rPr>
          <w:sz w:val="14"/>
        </w:rPr>
        <w:t>statements</w:t>
      </w:r>
      <w:r>
        <w:rPr>
          <w:spacing w:val="-1"/>
          <w:sz w:val="14"/>
        </w:rPr>
        <w:t> </w:t>
      </w:r>
      <w:r>
        <w:rPr>
          <w:sz w:val="14"/>
        </w:rPr>
        <w:t>for</w:t>
      </w:r>
      <w:r>
        <w:rPr>
          <w:spacing w:val="-1"/>
          <w:sz w:val="14"/>
        </w:rPr>
        <w:t> </w:t>
      </w:r>
      <w:r>
        <w:rPr>
          <w:sz w:val="14"/>
        </w:rPr>
        <w:t>additional</w:t>
      </w:r>
      <w:r>
        <w:rPr>
          <w:spacing w:val="40"/>
          <w:sz w:val="14"/>
        </w:rPr>
        <w:t> </w:t>
      </w:r>
      <w:r>
        <w:rPr>
          <w:sz w:val="14"/>
        </w:rPr>
        <w:t>information on this transaction.</w:t>
      </w:r>
    </w:p>
    <w:p>
      <w:pPr>
        <w:pStyle w:val="BodyText"/>
        <w:spacing w:before="42"/>
        <w:rPr>
          <w:sz w:val="14"/>
        </w:rPr>
      </w:pPr>
    </w:p>
    <w:p>
      <w:pPr>
        <w:pStyle w:val="BodyText"/>
        <w:spacing w:line="266" w:lineRule="auto"/>
        <w:ind w:left="156" w:right="117"/>
      </w:pPr>
      <w:r>
        <w:rPr>
          <w:w w:val="105"/>
        </w:rPr>
        <w:t>Corning’s</w:t>
      </w:r>
      <w:r>
        <w:rPr>
          <w:spacing w:val="-3"/>
          <w:w w:val="105"/>
        </w:rPr>
        <w:t> </w:t>
      </w:r>
      <w:r>
        <w:rPr>
          <w:w w:val="105"/>
        </w:rPr>
        <w:t>gross</w:t>
      </w:r>
      <w:r>
        <w:rPr>
          <w:spacing w:val="-3"/>
          <w:w w:val="105"/>
        </w:rPr>
        <w:t> </w:t>
      </w:r>
      <w:r>
        <w:rPr>
          <w:w w:val="105"/>
        </w:rPr>
        <w:t>goodwill</w:t>
      </w:r>
      <w:r>
        <w:rPr>
          <w:spacing w:val="-3"/>
          <w:w w:val="105"/>
        </w:rPr>
        <w:t> </w:t>
      </w:r>
      <w:r>
        <w:rPr>
          <w:w w:val="105"/>
        </w:rPr>
        <w:t>balance</w:t>
      </w:r>
      <w:r>
        <w:rPr>
          <w:spacing w:val="-3"/>
          <w:w w:val="105"/>
        </w:rPr>
        <w:t> </w:t>
      </w:r>
      <w:r>
        <w:rPr>
          <w:w w:val="105"/>
        </w:rPr>
        <w:t>and</w:t>
      </w:r>
      <w:r>
        <w:rPr>
          <w:spacing w:val="-3"/>
          <w:w w:val="105"/>
        </w:rPr>
        <w:t> </w:t>
      </w:r>
      <w:r>
        <w:rPr>
          <w:w w:val="105"/>
        </w:rPr>
        <w:t>accumulated</w:t>
      </w:r>
      <w:r>
        <w:rPr>
          <w:spacing w:val="-3"/>
          <w:w w:val="105"/>
        </w:rPr>
        <w:t> </w:t>
      </w:r>
      <w:r>
        <w:rPr>
          <w:w w:val="105"/>
        </w:rPr>
        <w:t>impairment</w:t>
      </w:r>
      <w:r>
        <w:rPr>
          <w:spacing w:val="-3"/>
          <w:w w:val="105"/>
        </w:rPr>
        <w:t> </w:t>
      </w:r>
      <w:r>
        <w:rPr>
          <w:w w:val="105"/>
        </w:rPr>
        <w:t>losses</w:t>
      </w:r>
      <w:r>
        <w:rPr>
          <w:spacing w:val="-3"/>
          <w:w w:val="105"/>
        </w:rPr>
        <w:t> </w:t>
      </w:r>
      <w:r>
        <w:rPr>
          <w:w w:val="105"/>
        </w:rPr>
        <w:t>were</w:t>
      </w:r>
      <w:r>
        <w:rPr>
          <w:spacing w:val="-3"/>
          <w:w w:val="105"/>
        </w:rPr>
        <w:t> </w:t>
      </w:r>
      <w:r>
        <w:rPr>
          <w:w w:val="105"/>
        </w:rPr>
        <w:t>$8.9</w:t>
      </w:r>
      <w:r>
        <w:rPr>
          <w:spacing w:val="-3"/>
          <w:w w:val="105"/>
        </w:rPr>
        <w:t> </w:t>
      </w:r>
      <w:r>
        <w:rPr>
          <w:w w:val="105"/>
        </w:rPr>
        <w:t>billion</w:t>
      </w:r>
      <w:r>
        <w:rPr>
          <w:spacing w:val="-3"/>
          <w:w w:val="105"/>
        </w:rPr>
        <w:t> </w:t>
      </w:r>
      <w:r>
        <w:rPr>
          <w:w w:val="105"/>
        </w:rPr>
        <w:t>and</w:t>
      </w:r>
      <w:r>
        <w:rPr>
          <w:spacing w:val="-3"/>
          <w:w w:val="105"/>
        </w:rPr>
        <w:t> </w:t>
      </w:r>
      <w:r>
        <w:rPr>
          <w:w w:val="105"/>
        </w:rPr>
        <w:t>$6.5</w:t>
      </w:r>
      <w:r>
        <w:rPr>
          <w:spacing w:val="-3"/>
          <w:w w:val="105"/>
        </w:rPr>
        <w:t> </w:t>
      </w:r>
      <w:r>
        <w:rPr>
          <w:w w:val="105"/>
        </w:rPr>
        <w:t>billion,</w:t>
      </w:r>
      <w:r>
        <w:rPr>
          <w:spacing w:val="-3"/>
          <w:w w:val="105"/>
        </w:rPr>
        <w:t> </w:t>
      </w:r>
      <w:r>
        <w:rPr>
          <w:w w:val="105"/>
        </w:rPr>
        <w:t>respectively,</w:t>
      </w:r>
      <w:r>
        <w:rPr>
          <w:spacing w:val="-3"/>
          <w:w w:val="105"/>
        </w:rPr>
        <w:t> </w:t>
      </w:r>
      <w:r>
        <w:rPr>
          <w:w w:val="105"/>
        </w:rPr>
        <w:t>for</w:t>
      </w:r>
      <w:r>
        <w:rPr>
          <w:spacing w:val="-3"/>
          <w:w w:val="105"/>
        </w:rPr>
        <w:t> </w:t>
      </w:r>
      <w:r>
        <w:rPr>
          <w:w w:val="105"/>
        </w:rPr>
        <w:t>the</w:t>
      </w:r>
      <w:r>
        <w:rPr>
          <w:spacing w:val="-3"/>
          <w:w w:val="105"/>
        </w:rPr>
        <w:t> </w:t>
      </w:r>
      <w:r>
        <w:rPr>
          <w:w w:val="105"/>
        </w:rPr>
        <w:t>year</w:t>
      </w:r>
      <w:r>
        <w:rPr>
          <w:spacing w:val="-3"/>
          <w:w w:val="105"/>
        </w:rPr>
        <w:t> </w:t>
      </w:r>
      <w:r>
        <w:rPr>
          <w:w w:val="105"/>
        </w:rPr>
        <w:t>ended</w:t>
      </w:r>
      <w:r>
        <w:rPr>
          <w:spacing w:val="-3"/>
          <w:w w:val="105"/>
        </w:rPr>
        <w:t> </w:t>
      </w:r>
      <w:r>
        <w:rPr>
          <w:w w:val="105"/>
        </w:rPr>
        <w:t>December</w:t>
      </w:r>
      <w:r>
        <w:rPr>
          <w:spacing w:val="-3"/>
          <w:w w:val="105"/>
        </w:rPr>
        <w:t> </w:t>
      </w:r>
      <w:r>
        <w:rPr>
          <w:w w:val="105"/>
        </w:rPr>
        <w:t>31,</w:t>
      </w:r>
      <w:r>
        <w:rPr>
          <w:spacing w:val="-3"/>
          <w:w w:val="105"/>
        </w:rPr>
        <w:t> </w:t>
      </w:r>
      <w:r>
        <w:rPr>
          <w:w w:val="105"/>
        </w:rPr>
        <w:t>2021.</w:t>
      </w:r>
      <w:r>
        <w:rPr>
          <w:spacing w:val="-3"/>
          <w:w w:val="105"/>
        </w:rPr>
        <w:t> </w:t>
      </w:r>
      <w:r>
        <w:rPr>
          <w:w w:val="105"/>
        </w:rPr>
        <w:t>Corning’s gross</w:t>
      </w:r>
      <w:r>
        <w:rPr>
          <w:spacing w:val="-9"/>
          <w:w w:val="105"/>
        </w:rPr>
        <w:t> </w:t>
      </w:r>
      <w:r>
        <w:rPr>
          <w:w w:val="105"/>
        </w:rPr>
        <w:t>goodwill</w:t>
      </w:r>
      <w:r>
        <w:rPr>
          <w:spacing w:val="-9"/>
          <w:w w:val="105"/>
        </w:rPr>
        <w:t> </w:t>
      </w:r>
      <w:r>
        <w:rPr>
          <w:w w:val="105"/>
        </w:rPr>
        <w:t>balance</w:t>
      </w:r>
      <w:r>
        <w:rPr>
          <w:spacing w:val="-9"/>
          <w:w w:val="105"/>
        </w:rPr>
        <w:t> </w:t>
      </w:r>
      <w:r>
        <w:rPr>
          <w:w w:val="105"/>
        </w:rPr>
        <w:t>and</w:t>
      </w:r>
      <w:r>
        <w:rPr>
          <w:spacing w:val="-9"/>
          <w:w w:val="105"/>
        </w:rPr>
        <w:t> </w:t>
      </w:r>
      <w:r>
        <w:rPr>
          <w:w w:val="105"/>
        </w:rPr>
        <w:t>accumulated</w:t>
      </w:r>
      <w:r>
        <w:rPr>
          <w:spacing w:val="-9"/>
          <w:w w:val="105"/>
        </w:rPr>
        <w:t> </w:t>
      </w:r>
      <w:r>
        <w:rPr>
          <w:w w:val="105"/>
        </w:rPr>
        <w:t>impairment</w:t>
      </w:r>
      <w:r>
        <w:rPr>
          <w:spacing w:val="-8"/>
          <w:w w:val="105"/>
        </w:rPr>
        <w:t> </w:t>
      </w:r>
      <w:r>
        <w:rPr>
          <w:w w:val="105"/>
        </w:rPr>
        <w:t>losses</w:t>
      </w:r>
      <w:r>
        <w:rPr>
          <w:spacing w:val="-9"/>
          <w:w w:val="105"/>
        </w:rPr>
        <w:t> </w:t>
      </w:r>
      <w:r>
        <w:rPr>
          <w:w w:val="105"/>
        </w:rPr>
        <w:t>were</w:t>
      </w:r>
      <w:r>
        <w:rPr>
          <w:spacing w:val="-9"/>
          <w:w w:val="105"/>
        </w:rPr>
        <w:t> </w:t>
      </w:r>
      <w:r>
        <w:rPr>
          <w:w w:val="105"/>
        </w:rPr>
        <w:t>$9.0</w:t>
      </w:r>
      <w:r>
        <w:rPr>
          <w:spacing w:val="-9"/>
          <w:w w:val="105"/>
        </w:rPr>
        <w:t> </w:t>
      </w:r>
      <w:r>
        <w:rPr>
          <w:w w:val="105"/>
        </w:rPr>
        <w:t>billion</w:t>
      </w:r>
      <w:r>
        <w:rPr>
          <w:spacing w:val="-9"/>
          <w:w w:val="105"/>
        </w:rPr>
        <w:t> </w:t>
      </w:r>
      <w:r>
        <w:rPr>
          <w:w w:val="105"/>
        </w:rPr>
        <w:t>and</w:t>
      </w:r>
      <w:r>
        <w:rPr>
          <w:spacing w:val="-9"/>
          <w:w w:val="105"/>
        </w:rPr>
        <w:t> </w:t>
      </w:r>
      <w:r>
        <w:rPr>
          <w:w w:val="105"/>
        </w:rPr>
        <w:t>$6.5</w:t>
      </w:r>
      <w:r>
        <w:rPr>
          <w:spacing w:val="-9"/>
          <w:w w:val="105"/>
        </w:rPr>
        <w:t> </w:t>
      </w:r>
      <w:r>
        <w:rPr>
          <w:w w:val="105"/>
        </w:rPr>
        <w:t>billion,</w:t>
      </w:r>
      <w:r>
        <w:rPr>
          <w:spacing w:val="-8"/>
          <w:w w:val="105"/>
        </w:rPr>
        <w:t> </w:t>
      </w:r>
      <w:r>
        <w:rPr>
          <w:w w:val="105"/>
        </w:rPr>
        <w:t>respectively,</w:t>
      </w:r>
      <w:r>
        <w:rPr>
          <w:spacing w:val="-9"/>
          <w:w w:val="105"/>
        </w:rPr>
        <w:t> </w:t>
      </w:r>
      <w:r>
        <w:rPr>
          <w:w w:val="105"/>
        </w:rPr>
        <w:t>for</w:t>
      </w:r>
      <w:r>
        <w:rPr>
          <w:spacing w:val="-9"/>
          <w:w w:val="105"/>
        </w:rPr>
        <w:t> </w:t>
      </w:r>
      <w:r>
        <w:rPr>
          <w:w w:val="105"/>
        </w:rPr>
        <w:t>the</w:t>
      </w:r>
      <w:r>
        <w:rPr>
          <w:spacing w:val="-9"/>
          <w:w w:val="105"/>
        </w:rPr>
        <w:t> </w:t>
      </w:r>
      <w:r>
        <w:rPr>
          <w:w w:val="105"/>
        </w:rPr>
        <w:t>year</w:t>
      </w:r>
      <w:r>
        <w:rPr>
          <w:spacing w:val="-9"/>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w w:val="105"/>
        </w:rPr>
        <w:t>2020.</w:t>
      </w:r>
      <w:r>
        <w:rPr>
          <w:spacing w:val="-9"/>
          <w:w w:val="105"/>
        </w:rPr>
        <w:t> </w:t>
      </w:r>
      <w:r>
        <w:rPr>
          <w:w w:val="105"/>
        </w:rPr>
        <w:t>Accumulated</w:t>
      </w:r>
      <w:r>
        <w:rPr>
          <w:spacing w:val="-9"/>
          <w:w w:val="105"/>
        </w:rPr>
        <w:t> </w:t>
      </w:r>
      <w:r>
        <w:rPr>
          <w:w w:val="105"/>
        </w:rPr>
        <w:t>impairment losses were generated primarily through goodwill impairments related to the Optical Communications segment.</w:t>
      </w:r>
    </w:p>
    <w:p>
      <w:pPr>
        <w:pStyle w:val="BodyText"/>
        <w:spacing w:before="19"/>
      </w:pPr>
    </w:p>
    <w:p>
      <w:pPr>
        <w:pStyle w:val="Heading3"/>
      </w:pPr>
      <w:r>
        <w:rPr/>
        <w:t>Other</w:t>
      </w:r>
      <w:r>
        <w:rPr>
          <w:spacing w:val="15"/>
        </w:rPr>
        <w:t> </w:t>
      </w:r>
      <w:r>
        <w:rPr/>
        <w:t>Intangible</w:t>
      </w:r>
      <w:r>
        <w:rPr>
          <w:spacing w:val="15"/>
        </w:rPr>
        <w:t> </w:t>
      </w:r>
      <w:r>
        <w:rPr>
          <w:spacing w:val="-2"/>
        </w:rPr>
        <w:t>Assets</w:t>
      </w:r>
    </w:p>
    <w:p>
      <w:pPr>
        <w:pStyle w:val="BodyText"/>
        <w:spacing w:before="10"/>
        <w:rPr>
          <w:b/>
          <w:i/>
          <w:sz w:val="10"/>
        </w:rPr>
      </w:pPr>
    </w:p>
    <w:p>
      <w:pPr>
        <w:spacing w:after="0"/>
        <w:rPr>
          <w:sz w:val="10"/>
        </w:rPr>
        <w:sectPr>
          <w:pgSz w:w="12240" w:h="15840"/>
          <w:pgMar w:header="428" w:footer="0" w:top="620" w:bottom="280" w:left="200" w:right="260"/>
        </w:sectPr>
      </w:pPr>
    </w:p>
    <w:p>
      <w:pPr>
        <w:pStyle w:val="BodyText"/>
        <w:spacing w:before="99"/>
        <w:ind w:left="156"/>
      </w:pPr>
      <w:r>
        <w:rPr/>
        <mc:AlternateContent>
          <mc:Choice Requires="wps">
            <w:drawing>
              <wp:anchor distT="0" distB="0" distL="0" distR="0" allowOverlap="1" layoutInCell="1" locked="0" behindDoc="0" simplePos="0" relativeHeight="15830016">
                <wp:simplePos x="0" y="0"/>
                <wp:positionH relativeFrom="page">
                  <wp:posOffset>226479</wp:posOffset>
                </wp:positionH>
                <wp:positionV relativeFrom="paragraph">
                  <wp:posOffset>262903</wp:posOffset>
                </wp:positionV>
                <wp:extent cx="7312659" cy="1651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7312659" cy="16510"/>
                        </a:xfrm>
                        <a:custGeom>
                          <a:avLst/>
                          <a:gdLst/>
                          <a:ahLst/>
                          <a:cxnLst/>
                          <a:rect l="l" t="t" r="r" b="b"/>
                          <a:pathLst>
                            <a:path w="7312659" h="16510">
                              <a:moveTo>
                                <a:pt x="7312342" y="0"/>
                              </a:moveTo>
                              <a:lnTo>
                                <a:pt x="7239546" y="0"/>
                              </a:lnTo>
                              <a:lnTo>
                                <a:pt x="2054580" y="0"/>
                              </a:lnTo>
                              <a:lnTo>
                                <a:pt x="1981771" y="0"/>
                              </a:lnTo>
                              <a:lnTo>
                                <a:pt x="0" y="0"/>
                              </a:lnTo>
                              <a:lnTo>
                                <a:pt x="0" y="16179"/>
                              </a:lnTo>
                              <a:lnTo>
                                <a:pt x="1981771" y="16179"/>
                              </a:lnTo>
                              <a:lnTo>
                                <a:pt x="2054580"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20.70104pt;width:575.8pt;height:1.3pt;mso-position-horizontal-relative:page;mso-position-vertical-relative:paragraph;z-index:15830016" id="docshape391" coordorigin="357,414" coordsize="11516,26" path="m11872,414l11758,414,3592,414,3478,414,357,414,357,440,3478,440,3592,440,11758,440,11872,440,11872,414xe" filled="true" fillcolor="#000000" stroked="false">
                <v:path arrowok="t"/>
                <v:fill type="solid"/>
                <w10:wrap type="none"/>
              </v:shape>
            </w:pict>
          </mc:Fallback>
        </mc:AlternateContent>
      </w:r>
      <w:r>
        <w:rPr>
          <w:w w:val="105"/>
        </w:rPr>
        <w:t>Other</w:t>
      </w:r>
      <w:r>
        <w:rPr>
          <w:spacing w:val="-10"/>
          <w:w w:val="105"/>
        </w:rPr>
        <w:t> </w:t>
      </w:r>
      <w:r>
        <w:rPr>
          <w:w w:val="105"/>
        </w:rPr>
        <w:t>intangible</w:t>
      </w:r>
      <w:r>
        <w:rPr>
          <w:spacing w:val="-10"/>
          <w:w w:val="105"/>
        </w:rPr>
        <w:t> </w:t>
      </w:r>
      <w:r>
        <w:rPr>
          <w:w w:val="105"/>
        </w:rPr>
        <w:t>assets</w:t>
      </w:r>
      <w:r>
        <w:rPr>
          <w:spacing w:val="-9"/>
          <w:w w:val="105"/>
        </w:rPr>
        <w:t> </w:t>
      </w:r>
      <w:r>
        <w:rPr>
          <w:w w:val="105"/>
        </w:rPr>
        <w:t>were</w:t>
      </w:r>
      <w:r>
        <w:rPr>
          <w:spacing w:val="-10"/>
          <w:w w:val="105"/>
        </w:rPr>
        <w:t> </w:t>
      </w:r>
      <w:r>
        <w:rPr>
          <w:w w:val="105"/>
        </w:rPr>
        <w:t>as</w:t>
      </w:r>
      <w:r>
        <w:rPr>
          <w:spacing w:val="-9"/>
          <w:w w:val="105"/>
        </w:rPr>
        <w:t> </w:t>
      </w:r>
      <w:r>
        <w:rPr>
          <w:w w:val="105"/>
        </w:rPr>
        <w:t>follows</w:t>
      </w:r>
      <w:r>
        <w:rPr>
          <w:spacing w:val="-10"/>
          <w:w w:val="105"/>
        </w:rPr>
        <w:t> </w:t>
      </w:r>
      <w:r>
        <w:rPr>
          <w:w w:val="105"/>
        </w:rPr>
        <w:t>(in</w:t>
      </w:r>
      <w:r>
        <w:rPr>
          <w:spacing w:val="-9"/>
          <w:w w:val="105"/>
        </w:rPr>
        <w:t> </w:t>
      </w:r>
      <w:r>
        <w:rPr>
          <w:spacing w:val="-2"/>
          <w:w w:val="105"/>
        </w:rPr>
        <w:t>millions):</w:t>
      </w:r>
    </w:p>
    <w:p>
      <w:pPr>
        <w:spacing w:line="240" w:lineRule="auto" w:before="0"/>
        <w:rPr>
          <w:sz w:val="16"/>
        </w:rPr>
      </w:pPr>
      <w:r>
        <w:rPr/>
        <w:br w:type="column"/>
      </w:r>
      <w:r>
        <w:rPr>
          <w:sz w:val="16"/>
        </w:rPr>
      </w:r>
    </w:p>
    <w:p>
      <w:pPr>
        <w:pStyle w:val="BodyText"/>
        <w:spacing w:before="75"/>
      </w:pPr>
    </w:p>
    <w:p>
      <w:pPr>
        <w:pStyle w:val="BodyText"/>
        <w:ind w:right="1879"/>
        <w:jc w:val="center"/>
      </w:pPr>
      <w:r>
        <w:rPr/>
        <w:t>December</w:t>
      </w:r>
      <w:r>
        <w:rPr>
          <w:spacing w:val="20"/>
        </w:rPr>
        <w:t> </w:t>
      </w:r>
      <w:r>
        <w:rPr>
          <w:spacing w:val="-5"/>
        </w:rPr>
        <w:t>31,</w:t>
      </w:r>
    </w:p>
    <w:p>
      <w:pPr>
        <w:tabs>
          <w:tab w:pos="4197" w:val="left" w:leader="none"/>
        </w:tabs>
        <w:spacing w:before="32"/>
        <w:ind w:left="0" w:right="1885" w:firstLine="0"/>
        <w:jc w:val="center"/>
        <w:rPr>
          <w:sz w:val="16"/>
        </w:rPr>
      </w:pPr>
      <w:r>
        <w:rPr/>
        <mc:AlternateContent>
          <mc:Choice Requires="wps">
            <w:drawing>
              <wp:anchor distT="0" distB="0" distL="0" distR="0" allowOverlap="1" layoutInCell="1" locked="0" behindDoc="0" simplePos="0" relativeHeight="15830528">
                <wp:simplePos x="0" y="0"/>
                <wp:positionH relativeFrom="page">
                  <wp:posOffset>2281059</wp:posOffset>
                </wp:positionH>
                <wp:positionV relativeFrom="paragraph">
                  <wp:posOffset>10380</wp:posOffset>
                </wp:positionV>
                <wp:extent cx="5257800" cy="8255"/>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5257800" cy="8255"/>
                        </a:xfrm>
                        <a:custGeom>
                          <a:avLst/>
                          <a:gdLst/>
                          <a:ahLst/>
                          <a:cxnLst/>
                          <a:rect l="l" t="t" r="r" b="b"/>
                          <a:pathLst>
                            <a:path w="5257800" h="8255">
                              <a:moveTo>
                                <a:pt x="5257762" y="0"/>
                              </a:moveTo>
                              <a:lnTo>
                                <a:pt x="5184965" y="0"/>
                              </a:lnTo>
                              <a:lnTo>
                                <a:pt x="0" y="0"/>
                              </a:lnTo>
                              <a:lnTo>
                                <a:pt x="0" y="8089"/>
                              </a:lnTo>
                              <a:lnTo>
                                <a:pt x="5184965" y="8089"/>
                              </a:lnTo>
                              <a:lnTo>
                                <a:pt x="5257762" y="8089"/>
                              </a:lnTo>
                              <a:lnTo>
                                <a:pt x="52577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9.611008pt;margin-top:.817384pt;width:414pt;height:.65pt;mso-position-horizontal-relative:page;mso-position-vertical-relative:paragraph;z-index:15830528" id="docshape392" coordorigin="3592,16" coordsize="8280,13" path="m11872,16l11758,16,3592,16,3592,29,11758,29,11872,29,11872,1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1040">
                <wp:simplePos x="0" y="0"/>
                <wp:positionH relativeFrom="page">
                  <wp:posOffset>2281059</wp:posOffset>
                </wp:positionH>
                <wp:positionV relativeFrom="paragraph">
                  <wp:posOffset>147896</wp:posOffset>
                </wp:positionV>
                <wp:extent cx="2588895" cy="8255"/>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2588895" cy="8255"/>
                        </a:xfrm>
                        <a:custGeom>
                          <a:avLst/>
                          <a:gdLst/>
                          <a:ahLst/>
                          <a:cxnLst/>
                          <a:rect l="l" t="t" r="r" b="b"/>
                          <a:pathLst>
                            <a:path w="2588895" h="8255">
                              <a:moveTo>
                                <a:pt x="2588437" y="0"/>
                              </a:moveTo>
                              <a:lnTo>
                                <a:pt x="2515641" y="0"/>
                              </a:lnTo>
                              <a:lnTo>
                                <a:pt x="0" y="0"/>
                              </a:lnTo>
                              <a:lnTo>
                                <a:pt x="0" y="8089"/>
                              </a:lnTo>
                              <a:lnTo>
                                <a:pt x="2515641" y="8089"/>
                              </a:lnTo>
                              <a:lnTo>
                                <a:pt x="2588437" y="8089"/>
                              </a:lnTo>
                              <a:lnTo>
                                <a:pt x="25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9.611008pt;margin-top:11.645385pt;width:203.85pt;height:.65pt;mso-position-horizontal-relative:page;mso-position-vertical-relative:paragraph;z-index:15831040" id="docshape393" coordorigin="3592,233" coordsize="4077,13" path="m7669,233l7554,233,3592,233,3592,246,7554,246,7669,246,7669,23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1552">
                <wp:simplePos x="0" y="0"/>
                <wp:positionH relativeFrom="page">
                  <wp:posOffset>4942294</wp:posOffset>
                </wp:positionH>
                <wp:positionV relativeFrom="paragraph">
                  <wp:posOffset>147896</wp:posOffset>
                </wp:positionV>
                <wp:extent cx="2597150" cy="8255"/>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2597150" cy="8255"/>
                        </a:xfrm>
                        <a:custGeom>
                          <a:avLst/>
                          <a:gdLst/>
                          <a:ahLst/>
                          <a:cxnLst/>
                          <a:rect l="l" t="t" r="r" b="b"/>
                          <a:pathLst>
                            <a:path w="2597150" h="8255">
                              <a:moveTo>
                                <a:pt x="2596527" y="0"/>
                              </a:moveTo>
                              <a:lnTo>
                                <a:pt x="2523731" y="0"/>
                              </a:lnTo>
                              <a:lnTo>
                                <a:pt x="0" y="0"/>
                              </a:lnTo>
                              <a:lnTo>
                                <a:pt x="0" y="8089"/>
                              </a:lnTo>
                              <a:lnTo>
                                <a:pt x="2523731" y="8089"/>
                              </a:lnTo>
                              <a:lnTo>
                                <a:pt x="2596527" y="8089"/>
                              </a:lnTo>
                              <a:lnTo>
                                <a:pt x="25965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9.157013pt;margin-top:11.645385pt;width:204.5pt;height:.65pt;mso-position-horizontal-relative:page;mso-position-vertical-relative:paragraph;z-index:15831552" id="docshape394" coordorigin="7783,233" coordsize="4090,13" path="m11872,233l11758,233,7783,233,7783,246,11758,246,11872,246,11872,233xe" filled="true" fillcolor="#000000" stroked="false">
                <v:path arrowok="t"/>
                <v:fill type="solid"/>
                <w10:wrap type="none"/>
              </v:shape>
            </w:pict>
          </mc:Fallback>
        </mc:AlternateContent>
      </w:r>
      <w:r>
        <w:rPr>
          <w:b/>
          <w:spacing w:val="-4"/>
          <w:w w:val="105"/>
          <w:sz w:val="16"/>
        </w:rPr>
        <w:t>2021</w:t>
      </w:r>
      <w:r>
        <w:rPr>
          <w:b/>
          <w:sz w:val="16"/>
        </w:rPr>
        <w:tab/>
      </w:r>
      <w:r>
        <w:rPr>
          <w:spacing w:val="-4"/>
          <w:w w:val="105"/>
          <w:sz w:val="16"/>
        </w:rPr>
        <w:t>2020</w:t>
      </w:r>
    </w:p>
    <w:p>
      <w:pPr>
        <w:spacing w:after="0"/>
        <w:jc w:val="center"/>
        <w:rPr>
          <w:sz w:val="16"/>
        </w:rPr>
        <w:sectPr>
          <w:type w:val="continuous"/>
          <w:pgSz w:w="12240" w:h="15840"/>
          <w:pgMar w:header="428" w:footer="0" w:top="700" w:bottom="280" w:left="200" w:right="260"/>
          <w:cols w:num="2" w:equalWidth="0">
            <w:col w:w="3699" w:space="1351"/>
            <w:col w:w="6730"/>
          </w:cols>
        </w:sectPr>
      </w:pPr>
    </w:p>
    <w:p>
      <w:pPr>
        <w:pStyle w:val="BodyText"/>
        <w:spacing w:before="52"/>
      </w:pPr>
    </w:p>
    <w:p>
      <w:pPr>
        <w:pStyle w:val="Heading2"/>
        <w:spacing w:before="1"/>
        <w:ind w:left="0"/>
        <w:jc w:val="right"/>
      </w:pPr>
      <w:r>
        <w:rPr>
          <w:spacing w:val="-2"/>
          <w:w w:val="105"/>
        </w:rPr>
        <w:t>Gross</w:t>
      </w:r>
    </w:p>
    <w:p>
      <w:pPr>
        <w:spacing w:before="33"/>
        <w:ind w:left="704" w:right="0" w:firstLine="0"/>
        <w:jc w:val="left"/>
        <w:rPr>
          <w:b/>
          <w:sz w:val="16"/>
        </w:rPr>
      </w:pPr>
      <w:r>
        <w:rPr/>
        <w:br w:type="column"/>
      </w:r>
      <w:r>
        <w:rPr>
          <w:b/>
          <w:spacing w:val="-2"/>
          <w:w w:val="105"/>
          <w:sz w:val="16"/>
        </w:rPr>
        <w:t>Accumulated</w:t>
      </w:r>
    </w:p>
    <w:p>
      <w:pPr>
        <w:tabs>
          <w:tab w:pos="2469" w:val="left" w:leader="none"/>
          <w:tab w:pos="3757" w:val="left" w:leader="none"/>
        </w:tabs>
        <w:spacing w:before="20"/>
        <w:ind w:left="717" w:right="0" w:firstLine="0"/>
        <w:jc w:val="left"/>
        <w:rPr>
          <w:sz w:val="16"/>
        </w:rPr>
      </w:pPr>
      <w:r>
        <w:rPr>
          <w:b/>
          <w:spacing w:val="-2"/>
          <w:w w:val="105"/>
          <w:sz w:val="16"/>
        </w:rPr>
        <w:t>amortization</w:t>
      </w:r>
      <w:r>
        <w:rPr>
          <w:b/>
          <w:sz w:val="16"/>
        </w:rPr>
        <w:tab/>
      </w:r>
      <w:r>
        <w:rPr>
          <w:b/>
          <w:spacing w:val="-5"/>
          <w:w w:val="105"/>
          <w:sz w:val="16"/>
        </w:rPr>
        <w:t>Net</w:t>
      </w:r>
      <w:r>
        <w:rPr>
          <w:b/>
          <w:sz w:val="16"/>
        </w:rPr>
        <w:tab/>
      </w:r>
      <w:r>
        <w:rPr>
          <w:spacing w:val="-5"/>
          <w:w w:val="105"/>
          <w:sz w:val="16"/>
        </w:rPr>
        <w:t>Gross</w:t>
      </w:r>
    </w:p>
    <w:p>
      <w:pPr>
        <w:pStyle w:val="BodyText"/>
        <w:spacing w:before="33"/>
        <w:ind w:left="746"/>
      </w:pPr>
      <w:r>
        <w:rPr/>
        <w:br w:type="column"/>
      </w:r>
      <w:r>
        <w:rPr>
          <w:spacing w:val="-2"/>
          <w:w w:val="105"/>
        </w:rPr>
        <w:t>Accumulated</w:t>
      </w:r>
    </w:p>
    <w:p>
      <w:pPr>
        <w:pStyle w:val="BodyText"/>
        <w:tabs>
          <w:tab w:pos="2488" w:val="left" w:leader="none"/>
        </w:tabs>
        <w:spacing w:before="20"/>
        <w:ind w:left="768"/>
      </w:pPr>
      <w:r>
        <w:rPr>
          <w:spacing w:val="-2"/>
          <w:w w:val="105"/>
        </w:rPr>
        <w:t>amortization</w:t>
      </w:r>
      <w:r>
        <w:rPr/>
        <w:tab/>
      </w:r>
      <w:r>
        <w:rPr>
          <w:spacing w:val="-5"/>
          <w:w w:val="105"/>
        </w:rPr>
        <w:t>Net</w:t>
      </w:r>
    </w:p>
    <w:p>
      <w:pPr>
        <w:spacing w:after="0"/>
        <w:sectPr>
          <w:type w:val="continuous"/>
          <w:pgSz w:w="12240" w:h="15840"/>
          <w:pgMar w:header="428" w:footer="0" w:top="700" w:bottom="280" w:left="200" w:right="260"/>
          <w:cols w:num="3" w:equalWidth="0">
            <w:col w:w="4160" w:space="40"/>
            <w:col w:w="4143" w:space="39"/>
            <w:col w:w="3398"/>
          </w:cols>
        </w:sect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7"/>
        <w:gridCol w:w="1624"/>
        <w:gridCol w:w="662"/>
        <w:gridCol w:w="828"/>
        <w:gridCol w:w="1350"/>
        <w:gridCol w:w="1363"/>
        <w:gridCol w:w="1478"/>
        <w:gridCol w:w="1363"/>
      </w:tblGrid>
      <w:tr>
        <w:trPr>
          <w:trHeight w:val="202" w:hRule="atLeast"/>
        </w:trPr>
        <w:tc>
          <w:tcPr>
            <w:tcW w:w="2847" w:type="dxa"/>
            <w:tcBorders>
              <w:top w:val="single" w:sz="6" w:space="0" w:color="000000"/>
            </w:tcBorders>
            <w:shd w:val="clear" w:color="auto" w:fill="CCEDFF"/>
          </w:tcPr>
          <w:p>
            <w:pPr>
              <w:pStyle w:val="TableParagraph"/>
              <w:spacing w:line="180" w:lineRule="exact" w:before="2"/>
              <w:rPr>
                <w:sz w:val="16"/>
              </w:rPr>
            </w:pPr>
            <w:r>
              <w:rPr>
                <w:sz w:val="16"/>
              </w:rPr>
              <w:t>Amortized</w:t>
            </w:r>
            <w:r>
              <w:rPr>
                <w:spacing w:val="20"/>
                <w:sz w:val="16"/>
              </w:rPr>
              <w:t> </w:t>
            </w:r>
            <w:r>
              <w:rPr>
                <w:sz w:val="16"/>
              </w:rPr>
              <w:t>intangible</w:t>
            </w:r>
            <w:r>
              <w:rPr>
                <w:spacing w:val="21"/>
                <w:sz w:val="16"/>
              </w:rPr>
              <w:t> </w:t>
            </w:r>
            <w:r>
              <w:rPr>
                <w:spacing w:val="-2"/>
                <w:sz w:val="16"/>
              </w:rPr>
              <w:t>assets:</w:t>
            </w:r>
          </w:p>
        </w:tc>
        <w:tc>
          <w:tcPr>
            <w:tcW w:w="8668" w:type="dxa"/>
            <w:gridSpan w:val="7"/>
            <w:tcBorders>
              <w:top w:val="single" w:sz="6" w:space="0" w:color="000000"/>
            </w:tcBorders>
            <w:shd w:val="clear" w:color="auto" w:fill="CCEDFF"/>
          </w:tcPr>
          <w:p>
            <w:pPr>
              <w:pStyle w:val="TableParagraph"/>
              <w:rPr>
                <w:sz w:val="14"/>
              </w:rPr>
            </w:pPr>
          </w:p>
        </w:tc>
      </w:tr>
      <w:tr>
        <w:trPr>
          <w:trHeight w:val="203" w:hRule="atLeast"/>
        </w:trPr>
        <w:tc>
          <w:tcPr>
            <w:tcW w:w="2847" w:type="dxa"/>
          </w:tcPr>
          <w:p>
            <w:pPr>
              <w:pStyle w:val="TableParagraph"/>
              <w:spacing w:line="180" w:lineRule="exact" w:before="3"/>
              <w:ind w:left="152"/>
              <w:rPr>
                <w:sz w:val="16"/>
              </w:rPr>
            </w:pPr>
            <w:r>
              <w:rPr>
                <w:spacing w:val="-2"/>
                <w:w w:val="105"/>
                <w:sz w:val="16"/>
              </w:rPr>
              <w:t>Patents,</w:t>
            </w:r>
            <w:r>
              <w:rPr>
                <w:w w:val="105"/>
                <w:sz w:val="16"/>
              </w:rPr>
              <w:t> </w:t>
            </w:r>
            <w:r>
              <w:rPr>
                <w:spacing w:val="-2"/>
                <w:w w:val="105"/>
                <w:sz w:val="16"/>
              </w:rPr>
              <w:t>trademarks</w:t>
            </w:r>
            <w:r>
              <w:rPr>
                <w:spacing w:val="1"/>
                <w:w w:val="105"/>
                <w:sz w:val="16"/>
              </w:rPr>
              <w:t> </w:t>
            </w:r>
            <w:r>
              <w:rPr>
                <w:spacing w:val="-2"/>
                <w:w w:val="105"/>
                <w:sz w:val="16"/>
              </w:rPr>
              <w:t>&amp;</w:t>
            </w:r>
            <w:r>
              <w:rPr>
                <w:spacing w:val="1"/>
                <w:w w:val="105"/>
                <w:sz w:val="16"/>
              </w:rPr>
              <w:t> </w:t>
            </w:r>
            <w:r>
              <w:rPr>
                <w:spacing w:val="-2"/>
                <w:w w:val="105"/>
                <w:sz w:val="16"/>
              </w:rPr>
              <w:t>trade</w:t>
            </w:r>
            <w:r>
              <w:rPr>
                <w:spacing w:val="1"/>
                <w:w w:val="105"/>
                <w:sz w:val="16"/>
              </w:rPr>
              <w:t> </w:t>
            </w:r>
            <w:r>
              <w:rPr>
                <w:spacing w:val="-2"/>
                <w:w w:val="105"/>
                <w:sz w:val="16"/>
              </w:rPr>
              <w:t>names</w:t>
            </w:r>
          </w:p>
        </w:tc>
        <w:tc>
          <w:tcPr>
            <w:tcW w:w="1624" w:type="dxa"/>
          </w:tcPr>
          <w:p>
            <w:pPr>
              <w:pStyle w:val="TableParagraph"/>
              <w:tabs>
                <w:tab w:pos="872" w:val="left" w:leader="none"/>
              </w:tabs>
              <w:spacing w:line="180" w:lineRule="exact" w:before="3"/>
              <w:ind w:right="112"/>
              <w:jc w:val="right"/>
              <w:rPr>
                <w:b/>
                <w:sz w:val="16"/>
              </w:rPr>
            </w:pPr>
            <w:r>
              <w:rPr>
                <w:b/>
                <w:spacing w:val="-10"/>
                <w:w w:val="105"/>
                <w:sz w:val="16"/>
              </w:rPr>
              <w:t>$</w:t>
            </w:r>
            <w:r>
              <w:rPr>
                <w:b/>
                <w:sz w:val="16"/>
              </w:rPr>
              <w:tab/>
            </w:r>
            <w:r>
              <w:rPr>
                <w:b/>
                <w:spacing w:val="-5"/>
                <w:w w:val="105"/>
                <w:sz w:val="16"/>
              </w:rPr>
              <w:t>498</w:t>
            </w:r>
          </w:p>
        </w:tc>
        <w:tc>
          <w:tcPr>
            <w:tcW w:w="662" w:type="dxa"/>
          </w:tcPr>
          <w:p>
            <w:pPr>
              <w:pStyle w:val="TableParagraph"/>
              <w:spacing w:line="180" w:lineRule="exact" w:before="3"/>
              <w:ind w:left="114"/>
              <w:rPr>
                <w:b/>
                <w:sz w:val="16"/>
              </w:rPr>
            </w:pPr>
            <w:r>
              <w:rPr>
                <w:b/>
                <w:spacing w:val="-10"/>
                <w:w w:val="105"/>
                <w:sz w:val="16"/>
              </w:rPr>
              <w:t>$</w:t>
            </w:r>
          </w:p>
        </w:tc>
        <w:tc>
          <w:tcPr>
            <w:tcW w:w="828" w:type="dxa"/>
          </w:tcPr>
          <w:p>
            <w:pPr>
              <w:pStyle w:val="TableParagraph"/>
              <w:spacing w:line="180" w:lineRule="exact" w:before="3"/>
              <w:ind w:right="112"/>
              <w:jc w:val="right"/>
              <w:rPr>
                <w:b/>
                <w:sz w:val="16"/>
              </w:rPr>
            </w:pPr>
            <w:r>
              <w:rPr>
                <w:b/>
                <w:spacing w:val="-5"/>
                <w:w w:val="105"/>
                <w:sz w:val="16"/>
              </w:rPr>
              <w:t>279</w:t>
            </w:r>
          </w:p>
        </w:tc>
        <w:tc>
          <w:tcPr>
            <w:tcW w:w="1350" w:type="dxa"/>
          </w:tcPr>
          <w:p>
            <w:pPr>
              <w:pStyle w:val="TableParagraph"/>
              <w:tabs>
                <w:tab w:pos="872" w:val="left" w:leader="none"/>
              </w:tabs>
              <w:spacing w:line="180" w:lineRule="exact" w:before="3"/>
              <w:ind w:right="111"/>
              <w:jc w:val="right"/>
              <w:rPr>
                <w:b/>
                <w:sz w:val="16"/>
              </w:rPr>
            </w:pPr>
            <w:r>
              <w:rPr>
                <w:b/>
                <w:spacing w:val="-10"/>
                <w:w w:val="105"/>
                <w:sz w:val="16"/>
              </w:rPr>
              <w:t>$</w:t>
            </w:r>
            <w:r>
              <w:rPr>
                <w:b/>
                <w:sz w:val="16"/>
              </w:rPr>
              <w:tab/>
            </w:r>
            <w:r>
              <w:rPr>
                <w:b/>
                <w:spacing w:val="-5"/>
                <w:w w:val="105"/>
                <w:sz w:val="16"/>
              </w:rPr>
              <w:t>219</w:t>
            </w:r>
          </w:p>
        </w:tc>
        <w:tc>
          <w:tcPr>
            <w:tcW w:w="1363" w:type="dxa"/>
          </w:tcPr>
          <w:p>
            <w:pPr>
              <w:pStyle w:val="TableParagraph"/>
              <w:tabs>
                <w:tab w:pos="885" w:val="left" w:leader="none"/>
              </w:tabs>
              <w:spacing w:line="180" w:lineRule="exact" w:before="3"/>
              <w:ind w:right="111"/>
              <w:jc w:val="right"/>
              <w:rPr>
                <w:sz w:val="16"/>
              </w:rPr>
            </w:pPr>
            <w:r>
              <w:rPr>
                <w:spacing w:val="-10"/>
                <w:w w:val="105"/>
                <w:sz w:val="16"/>
              </w:rPr>
              <w:t>$</w:t>
            </w:r>
            <w:r>
              <w:rPr>
                <w:sz w:val="16"/>
              </w:rPr>
              <w:tab/>
            </w:r>
            <w:r>
              <w:rPr>
                <w:spacing w:val="-5"/>
                <w:w w:val="105"/>
                <w:sz w:val="16"/>
              </w:rPr>
              <w:t>500</w:t>
            </w:r>
          </w:p>
        </w:tc>
        <w:tc>
          <w:tcPr>
            <w:tcW w:w="1478" w:type="dxa"/>
          </w:tcPr>
          <w:p>
            <w:pPr>
              <w:pStyle w:val="TableParagraph"/>
              <w:tabs>
                <w:tab w:pos="999" w:val="left" w:leader="none"/>
              </w:tabs>
              <w:spacing w:line="180" w:lineRule="exact" w:before="3"/>
              <w:ind w:right="112"/>
              <w:jc w:val="right"/>
              <w:rPr>
                <w:sz w:val="16"/>
              </w:rPr>
            </w:pPr>
            <w:r>
              <w:rPr>
                <w:spacing w:val="-10"/>
                <w:w w:val="105"/>
                <w:sz w:val="16"/>
              </w:rPr>
              <w:t>$</w:t>
            </w:r>
            <w:r>
              <w:rPr>
                <w:sz w:val="16"/>
              </w:rPr>
              <w:tab/>
            </w:r>
            <w:r>
              <w:rPr>
                <w:spacing w:val="-5"/>
                <w:w w:val="105"/>
                <w:sz w:val="16"/>
              </w:rPr>
              <w:t>255</w:t>
            </w:r>
          </w:p>
        </w:tc>
        <w:tc>
          <w:tcPr>
            <w:tcW w:w="1363" w:type="dxa"/>
          </w:tcPr>
          <w:p>
            <w:pPr>
              <w:pStyle w:val="TableParagraph"/>
              <w:tabs>
                <w:tab w:pos="885" w:val="left" w:leader="none"/>
              </w:tabs>
              <w:spacing w:line="180" w:lineRule="exact" w:before="3"/>
              <w:ind w:right="112"/>
              <w:jc w:val="right"/>
              <w:rPr>
                <w:sz w:val="16"/>
              </w:rPr>
            </w:pPr>
            <w:r>
              <w:rPr>
                <w:spacing w:val="-10"/>
                <w:w w:val="105"/>
                <w:sz w:val="16"/>
              </w:rPr>
              <w:t>$</w:t>
            </w:r>
            <w:r>
              <w:rPr>
                <w:sz w:val="16"/>
              </w:rPr>
              <w:tab/>
            </w:r>
            <w:r>
              <w:rPr>
                <w:spacing w:val="-5"/>
                <w:w w:val="105"/>
                <w:sz w:val="16"/>
              </w:rPr>
              <w:t>245</w:t>
            </w:r>
          </w:p>
        </w:tc>
      </w:tr>
      <w:tr>
        <w:trPr>
          <w:trHeight w:val="202" w:hRule="atLeast"/>
        </w:trPr>
        <w:tc>
          <w:tcPr>
            <w:tcW w:w="2847" w:type="dxa"/>
            <w:tcBorders>
              <w:bottom w:val="single" w:sz="6" w:space="0" w:color="000000"/>
            </w:tcBorders>
            <w:shd w:val="clear" w:color="auto" w:fill="CCEDFF"/>
          </w:tcPr>
          <w:p>
            <w:pPr>
              <w:pStyle w:val="TableParagraph"/>
              <w:spacing w:line="183" w:lineRule="exact"/>
              <w:ind w:left="152"/>
              <w:rPr>
                <w:sz w:val="14"/>
              </w:rPr>
            </w:pPr>
            <w:r>
              <w:rPr>
                <w:sz w:val="16"/>
              </w:rPr>
              <w:t>Customer</w:t>
            </w:r>
            <w:r>
              <w:rPr>
                <w:spacing w:val="10"/>
                <w:sz w:val="16"/>
              </w:rPr>
              <w:t> </w:t>
            </w:r>
            <w:r>
              <w:rPr>
                <w:sz w:val="16"/>
              </w:rPr>
              <w:t>lists</w:t>
            </w:r>
            <w:r>
              <w:rPr>
                <w:spacing w:val="11"/>
                <w:sz w:val="16"/>
              </w:rPr>
              <w:t> </w:t>
            </w:r>
            <w:r>
              <w:rPr>
                <w:sz w:val="16"/>
              </w:rPr>
              <w:t>and</w:t>
            </w:r>
            <w:r>
              <w:rPr>
                <w:spacing w:val="11"/>
                <w:sz w:val="16"/>
              </w:rPr>
              <w:t> </w:t>
            </w:r>
            <w:r>
              <w:rPr>
                <w:sz w:val="16"/>
              </w:rPr>
              <w:t>other</w:t>
            </w:r>
            <w:r>
              <w:rPr>
                <w:spacing w:val="13"/>
                <w:sz w:val="16"/>
              </w:rPr>
              <w:t> </w:t>
            </w:r>
            <w:r>
              <w:rPr>
                <w:spacing w:val="-5"/>
                <w:position w:val="3"/>
                <w:sz w:val="14"/>
              </w:rPr>
              <w:t>(1)</w:t>
            </w:r>
          </w:p>
        </w:tc>
        <w:tc>
          <w:tcPr>
            <w:tcW w:w="1624" w:type="dxa"/>
            <w:tcBorders>
              <w:bottom w:val="single" w:sz="6" w:space="0" w:color="000000"/>
            </w:tcBorders>
            <w:shd w:val="clear" w:color="auto" w:fill="CCEDFF"/>
          </w:tcPr>
          <w:p>
            <w:pPr>
              <w:pStyle w:val="TableParagraph"/>
              <w:spacing w:line="179" w:lineRule="exact" w:before="3"/>
              <w:ind w:right="112"/>
              <w:jc w:val="right"/>
              <w:rPr>
                <w:b/>
                <w:sz w:val="16"/>
              </w:rPr>
            </w:pPr>
            <w:r>
              <w:rPr>
                <w:b/>
                <w:spacing w:val="-4"/>
                <w:w w:val="105"/>
                <w:sz w:val="16"/>
              </w:rPr>
              <w:t>1,464</w:t>
            </w:r>
          </w:p>
        </w:tc>
        <w:tc>
          <w:tcPr>
            <w:tcW w:w="662" w:type="dxa"/>
            <w:tcBorders>
              <w:bottom w:val="single" w:sz="6" w:space="0" w:color="000000"/>
            </w:tcBorders>
            <w:shd w:val="clear" w:color="auto" w:fill="CCEDFF"/>
          </w:tcPr>
          <w:p>
            <w:pPr>
              <w:pStyle w:val="TableParagraph"/>
              <w:rPr>
                <w:sz w:val="14"/>
              </w:rPr>
            </w:pPr>
          </w:p>
        </w:tc>
        <w:tc>
          <w:tcPr>
            <w:tcW w:w="828" w:type="dxa"/>
            <w:tcBorders>
              <w:bottom w:val="single" w:sz="6" w:space="0" w:color="000000"/>
            </w:tcBorders>
            <w:shd w:val="clear" w:color="auto" w:fill="CCEDFF"/>
          </w:tcPr>
          <w:p>
            <w:pPr>
              <w:pStyle w:val="TableParagraph"/>
              <w:spacing w:line="179" w:lineRule="exact" w:before="3"/>
              <w:ind w:right="112"/>
              <w:jc w:val="right"/>
              <w:rPr>
                <w:b/>
                <w:sz w:val="16"/>
              </w:rPr>
            </w:pPr>
            <w:r>
              <w:rPr>
                <w:b/>
                <w:spacing w:val="-5"/>
                <w:w w:val="105"/>
                <w:sz w:val="16"/>
              </w:rPr>
              <w:t>535</w:t>
            </w:r>
          </w:p>
        </w:tc>
        <w:tc>
          <w:tcPr>
            <w:tcW w:w="1350" w:type="dxa"/>
            <w:tcBorders>
              <w:bottom w:val="single" w:sz="6" w:space="0" w:color="000000"/>
            </w:tcBorders>
            <w:shd w:val="clear" w:color="auto" w:fill="CCEDFF"/>
          </w:tcPr>
          <w:p>
            <w:pPr>
              <w:pStyle w:val="TableParagraph"/>
              <w:spacing w:line="179" w:lineRule="exact" w:before="3"/>
              <w:ind w:right="111"/>
              <w:jc w:val="right"/>
              <w:rPr>
                <w:b/>
                <w:sz w:val="16"/>
              </w:rPr>
            </w:pPr>
            <w:r>
              <w:rPr>
                <w:b/>
                <w:spacing w:val="-5"/>
                <w:w w:val="105"/>
                <w:sz w:val="16"/>
              </w:rPr>
              <w:t>929</w:t>
            </w:r>
          </w:p>
        </w:tc>
        <w:tc>
          <w:tcPr>
            <w:tcW w:w="1363" w:type="dxa"/>
            <w:tcBorders>
              <w:bottom w:val="single" w:sz="6" w:space="0" w:color="000000"/>
            </w:tcBorders>
            <w:shd w:val="clear" w:color="auto" w:fill="CCEDFF"/>
          </w:tcPr>
          <w:p>
            <w:pPr>
              <w:pStyle w:val="TableParagraph"/>
              <w:spacing w:line="179" w:lineRule="exact" w:before="3"/>
              <w:ind w:right="111"/>
              <w:jc w:val="right"/>
              <w:rPr>
                <w:sz w:val="16"/>
              </w:rPr>
            </w:pPr>
            <w:r>
              <w:rPr>
                <w:spacing w:val="-4"/>
                <w:w w:val="105"/>
                <w:sz w:val="16"/>
              </w:rPr>
              <w:t>1,517</w:t>
            </w:r>
          </w:p>
        </w:tc>
        <w:tc>
          <w:tcPr>
            <w:tcW w:w="1478" w:type="dxa"/>
            <w:tcBorders>
              <w:bottom w:val="single" w:sz="6" w:space="0" w:color="000000"/>
            </w:tcBorders>
            <w:shd w:val="clear" w:color="auto" w:fill="CCEDFF"/>
          </w:tcPr>
          <w:p>
            <w:pPr>
              <w:pStyle w:val="TableParagraph"/>
              <w:spacing w:line="179" w:lineRule="exact" w:before="3"/>
              <w:ind w:right="112"/>
              <w:jc w:val="right"/>
              <w:rPr>
                <w:sz w:val="16"/>
              </w:rPr>
            </w:pPr>
            <w:r>
              <w:rPr>
                <w:spacing w:val="-5"/>
                <w:w w:val="105"/>
                <w:sz w:val="16"/>
              </w:rPr>
              <w:t>454</w:t>
            </w:r>
          </w:p>
        </w:tc>
        <w:tc>
          <w:tcPr>
            <w:tcW w:w="1363" w:type="dxa"/>
            <w:tcBorders>
              <w:bottom w:val="single" w:sz="6" w:space="0" w:color="000000"/>
            </w:tcBorders>
            <w:shd w:val="clear" w:color="auto" w:fill="CCEDFF"/>
          </w:tcPr>
          <w:p>
            <w:pPr>
              <w:pStyle w:val="TableParagraph"/>
              <w:spacing w:line="179" w:lineRule="exact" w:before="3"/>
              <w:ind w:right="112"/>
              <w:jc w:val="right"/>
              <w:rPr>
                <w:sz w:val="16"/>
              </w:rPr>
            </w:pPr>
            <w:r>
              <w:rPr>
                <w:spacing w:val="-4"/>
                <w:w w:val="105"/>
                <w:sz w:val="16"/>
              </w:rPr>
              <w:t>1,063</w:t>
            </w:r>
          </w:p>
        </w:tc>
      </w:tr>
      <w:tr>
        <w:trPr>
          <w:trHeight w:val="199" w:hRule="atLeast"/>
        </w:trPr>
        <w:tc>
          <w:tcPr>
            <w:tcW w:w="2847" w:type="dxa"/>
            <w:tcBorders>
              <w:top w:val="single" w:sz="6" w:space="0" w:color="000000"/>
              <w:bottom w:val="double" w:sz="6" w:space="0" w:color="000000"/>
            </w:tcBorders>
          </w:tcPr>
          <w:p>
            <w:pPr>
              <w:pStyle w:val="TableParagraph"/>
              <w:spacing w:line="177" w:lineRule="exact" w:before="2"/>
              <w:rPr>
                <w:sz w:val="16"/>
              </w:rPr>
            </w:pPr>
            <w:r>
              <w:rPr>
                <w:spacing w:val="-4"/>
                <w:w w:val="105"/>
                <w:sz w:val="16"/>
              </w:rPr>
              <w:t>Total</w:t>
            </w:r>
          </w:p>
        </w:tc>
        <w:tc>
          <w:tcPr>
            <w:tcW w:w="1624" w:type="dxa"/>
            <w:tcBorders>
              <w:top w:val="single" w:sz="6" w:space="0" w:color="000000"/>
              <w:bottom w:val="double" w:sz="6" w:space="0" w:color="000000"/>
            </w:tcBorders>
          </w:tcPr>
          <w:p>
            <w:pPr>
              <w:pStyle w:val="TableParagraph"/>
              <w:tabs>
                <w:tab w:pos="748" w:val="left" w:leader="none"/>
              </w:tabs>
              <w:spacing w:line="177" w:lineRule="exact" w:before="2"/>
              <w:ind w:right="112"/>
              <w:jc w:val="right"/>
              <w:rPr>
                <w:b/>
                <w:sz w:val="16"/>
              </w:rPr>
            </w:pPr>
            <w:r>
              <w:rPr>
                <w:b/>
                <w:spacing w:val="-10"/>
                <w:w w:val="105"/>
                <w:sz w:val="16"/>
              </w:rPr>
              <w:t>$</w:t>
            </w:r>
            <w:r>
              <w:rPr>
                <w:b/>
                <w:sz w:val="16"/>
              </w:rPr>
              <w:tab/>
            </w:r>
            <w:r>
              <w:rPr>
                <w:b/>
                <w:spacing w:val="-2"/>
                <w:w w:val="105"/>
                <w:sz w:val="16"/>
              </w:rPr>
              <w:t>1,962</w:t>
            </w:r>
          </w:p>
        </w:tc>
        <w:tc>
          <w:tcPr>
            <w:tcW w:w="662" w:type="dxa"/>
            <w:tcBorders>
              <w:top w:val="single" w:sz="6" w:space="0" w:color="000000"/>
              <w:bottom w:val="double" w:sz="6" w:space="0" w:color="000000"/>
            </w:tcBorders>
          </w:tcPr>
          <w:p>
            <w:pPr>
              <w:pStyle w:val="TableParagraph"/>
              <w:spacing w:line="177" w:lineRule="exact" w:before="2"/>
              <w:ind w:left="114"/>
              <w:rPr>
                <w:b/>
                <w:sz w:val="16"/>
              </w:rPr>
            </w:pPr>
            <w:r>
              <w:rPr>
                <w:b/>
                <w:spacing w:val="-10"/>
                <w:w w:val="105"/>
                <w:sz w:val="16"/>
              </w:rPr>
              <w:t>$</w:t>
            </w:r>
          </w:p>
        </w:tc>
        <w:tc>
          <w:tcPr>
            <w:tcW w:w="828" w:type="dxa"/>
            <w:tcBorders>
              <w:top w:val="single" w:sz="6" w:space="0" w:color="000000"/>
              <w:bottom w:val="double" w:sz="6" w:space="0" w:color="000000"/>
            </w:tcBorders>
          </w:tcPr>
          <w:p>
            <w:pPr>
              <w:pStyle w:val="TableParagraph"/>
              <w:spacing w:line="177" w:lineRule="exact" w:before="2"/>
              <w:ind w:right="112"/>
              <w:jc w:val="right"/>
              <w:rPr>
                <w:b/>
                <w:sz w:val="16"/>
              </w:rPr>
            </w:pPr>
            <w:r>
              <w:rPr>
                <w:b/>
                <w:spacing w:val="-5"/>
                <w:w w:val="105"/>
                <w:sz w:val="16"/>
              </w:rPr>
              <w:t>814</w:t>
            </w:r>
          </w:p>
        </w:tc>
        <w:tc>
          <w:tcPr>
            <w:tcW w:w="1350" w:type="dxa"/>
            <w:tcBorders>
              <w:top w:val="single" w:sz="6" w:space="0" w:color="000000"/>
              <w:bottom w:val="double" w:sz="6" w:space="0" w:color="000000"/>
            </w:tcBorders>
          </w:tcPr>
          <w:p>
            <w:pPr>
              <w:pStyle w:val="TableParagraph"/>
              <w:tabs>
                <w:tab w:pos="748" w:val="left" w:leader="none"/>
              </w:tabs>
              <w:spacing w:line="177" w:lineRule="exact" w:before="2"/>
              <w:ind w:right="111"/>
              <w:jc w:val="right"/>
              <w:rPr>
                <w:b/>
                <w:sz w:val="16"/>
              </w:rPr>
            </w:pPr>
            <w:r>
              <w:rPr>
                <w:b/>
                <w:spacing w:val="-10"/>
                <w:w w:val="105"/>
                <w:sz w:val="16"/>
              </w:rPr>
              <w:t>$</w:t>
            </w:r>
            <w:r>
              <w:rPr>
                <w:b/>
                <w:sz w:val="16"/>
              </w:rPr>
              <w:tab/>
            </w:r>
            <w:r>
              <w:rPr>
                <w:b/>
                <w:spacing w:val="-2"/>
                <w:w w:val="105"/>
                <w:sz w:val="16"/>
              </w:rPr>
              <w:t>1,148</w:t>
            </w:r>
          </w:p>
        </w:tc>
        <w:tc>
          <w:tcPr>
            <w:tcW w:w="1363" w:type="dxa"/>
            <w:tcBorders>
              <w:top w:val="single" w:sz="6" w:space="0" w:color="000000"/>
              <w:bottom w:val="double" w:sz="6" w:space="0" w:color="000000"/>
            </w:tcBorders>
          </w:tcPr>
          <w:p>
            <w:pPr>
              <w:pStyle w:val="TableParagraph"/>
              <w:tabs>
                <w:tab w:pos="761" w:val="left" w:leader="none"/>
              </w:tabs>
              <w:spacing w:line="177" w:lineRule="exact" w:before="2"/>
              <w:ind w:right="111"/>
              <w:jc w:val="right"/>
              <w:rPr>
                <w:sz w:val="16"/>
              </w:rPr>
            </w:pPr>
            <w:r>
              <w:rPr>
                <w:spacing w:val="-10"/>
                <w:w w:val="105"/>
                <w:sz w:val="16"/>
              </w:rPr>
              <w:t>$</w:t>
            </w:r>
            <w:r>
              <w:rPr>
                <w:sz w:val="16"/>
              </w:rPr>
              <w:tab/>
            </w:r>
            <w:r>
              <w:rPr>
                <w:spacing w:val="-4"/>
                <w:w w:val="105"/>
                <w:sz w:val="16"/>
              </w:rPr>
              <w:t>2,017</w:t>
            </w:r>
          </w:p>
        </w:tc>
        <w:tc>
          <w:tcPr>
            <w:tcW w:w="1478" w:type="dxa"/>
            <w:tcBorders>
              <w:top w:val="single" w:sz="6" w:space="0" w:color="000000"/>
              <w:bottom w:val="double" w:sz="6" w:space="0" w:color="000000"/>
            </w:tcBorders>
          </w:tcPr>
          <w:p>
            <w:pPr>
              <w:pStyle w:val="TableParagraph"/>
              <w:tabs>
                <w:tab w:pos="999" w:val="left" w:leader="none"/>
              </w:tabs>
              <w:spacing w:line="177" w:lineRule="exact" w:before="2"/>
              <w:ind w:right="112"/>
              <w:jc w:val="right"/>
              <w:rPr>
                <w:sz w:val="16"/>
              </w:rPr>
            </w:pPr>
            <w:r>
              <w:rPr>
                <w:spacing w:val="-10"/>
                <w:w w:val="105"/>
                <w:sz w:val="16"/>
              </w:rPr>
              <w:t>$</w:t>
            </w:r>
            <w:r>
              <w:rPr>
                <w:sz w:val="16"/>
              </w:rPr>
              <w:tab/>
            </w:r>
            <w:r>
              <w:rPr>
                <w:spacing w:val="-5"/>
                <w:w w:val="105"/>
                <w:sz w:val="16"/>
              </w:rPr>
              <w:t>709</w:t>
            </w:r>
          </w:p>
        </w:tc>
        <w:tc>
          <w:tcPr>
            <w:tcW w:w="1363" w:type="dxa"/>
            <w:tcBorders>
              <w:top w:val="single" w:sz="6" w:space="0" w:color="000000"/>
              <w:bottom w:val="double" w:sz="6" w:space="0" w:color="000000"/>
            </w:tcBorders>
          </w:tcPr>
          <w:p>
            <w:pPr>
              <w:pStyle w:val="TableParagraph"/>
              <w:tabs>
                <w:tab w:pos="761" w:val="left" w:leader="none"/>
              </w:tabs>
              <w:spacing w:line="177" w:lineRule="exact" w:before="2"/>
              <w:ind w:right="112"/>
              <w:jc w:val="right"/>
              <w:rPr>
                <w:sz w:val="16"/>
              </w:rPr>
            </w:pPr>
            <w:r>
              <w:rPr>
                <w:spacing w:val="-10"/>
                <w:w w:val="105"/>
                <w:sz w:val="16"/>
              </w:rPr>
              <w:t>$</w:t>
            </w:r>
            <w:r>
              <w:rPr>
                <w:sz w:val="16"/>
              </w:rPr>
              <w:tab/>
            </w:r>
            <w:r>
              <w:rPr>
                <w:spacing w:val="-4"/>
                <w:w w:val="105"/>
                <w:sz w:val="16"/>
              </w:rPr>
              <w:t>1,308</w:t>
            </w:r>
          </w:p>
        </w:tc>
      </w:tr>
    </w:tbl>
    <w:p>
      <w:pPr>
        <w:pStyle w:val="BodyText"/>
        <w:spacing w:before="53"/>
        <w:rPr>
          <w:sz w:val="14"/>
        </w:rPr>
      </w:pPr>
    </w:p>
    <w:p>
      <w:pPr>
        <w:spacing w:before="0"/>
        <w:ind w:left="156" w:right="0" w:firstLine="0"/>
        <w:jc w:val="left"/>
        <w:rPr>
          <w:sz w:val="14"/>
        </w:rPr>
      </w:pPr>
      <w:r>
        <w:rPr>
          <w:sz w:val="14"/>
        </w:rPr>
        <w:t>(1)</w:t>
      </w:r>
      <w:r>
        <w:rPr>
          <w:spacing w:val="33"/>
          <w:sz w:val="14"/>
        </w:rPr>
        <w:t>  </w:t>
      </w:r>
      <w:r>
        <w:rPr>
          <w:sz w:val="14"/>
        </w:rPr>
        <w:t>Other is</w:t>
      </w:r>
      <w:r>
        <w:rPr>
          <w:spacing w:val="-1"/>
          <w:sz w:val="14"/>
        </w:rPr>
        <w:t> </w:t>
      </w:r>
      <w:r>
        <w:rPr>
          <w:sz w:val="14"/>
        </w:rPr>
        <w:t>comprised</w:t>
      </w:r>
      <w:r>
        <w:rPr>
          <w:spacing w:val="-1"/>
          <w:sz w:val="14"/>
        </w:rPr>
        <w:t> </w:t>
      </w:r>
      <w:r>
        <w:rPr>
          <w:sz w:val="14"/>
        </w:rPr>
        <w:t>of</w:t>
      </w:r>
      <w:r>
        <w:rPr>
          <w:spacing w:val="-1"/>
          <w:sz w:val="14"/>
        </w:rPr>
        <w:t> </w:t>
      </w:r>
      <w:r>
        <w:rPr>
          <w:sz w:val="14"/>
        </w:rPr>
        <w:t>intangible</w:t>
      </w:r>
      <w:r>
        <w:rPr>
          <w:spacing w:val="-1"/>
          <w:sz w:val="14"/>
        </w:rPr>
        <w:t> </w:t>
      </w:r>
      <w:r>
        <w:rPr>
          <w:sz w:val="14"/>
        </w:rPr>
        <w:t>assets</w:t>
      </w:r>
      <w:r>
        <w:rPr>
          <w:spacing w:val="-1"/>
          <w:sz w:val="14"/>
        </w:rPr>
        <w:t> </w:t>
      </w:r>
      <w:r>
        <w:rPr>
          <w:sz w:val="14"/>
        </w:rPr>
        <w:t>related</w:t>
      </w:r>
      <w:r>
        <w:rPr>
          <w:spacing w:val="-1"/>
          <w:sz w:val="14"/>
        </w:rPr>
        <w:t> </w:t>
      </w:r>
      <w:r>
        <w:rPr>
          <w:sz w:val="14"/>
        </w:rPr>
        <w:t>to</w:t>
      </w:r>
      <w:r>
        <w:rPr>
          <w:spacing w:val="-1"/>
          <w:sz w:val="14"/>
        </w:rPr>
        <w:t> </w:t>
      </w:r>
      <w:r>
        <w:rPr>
          <w:sz w:val="14"/>
        </w:rPr>
        <w:t>developed</w:t>
      </w:r>
      <w:r>
        <w:rPr>
          <w:spacing w:val="-1"/>
          <w:sz w:val="14"/>
        </w:rPr>
        <w:t> </w:t>
      </w:r>
      <w:r>
        <w:rPr>
          <w:sz w:val="14"/>
        </w:rPr>
        <w:t>technologies</w:t>
      </w:r>
      <w:r>
        <w:rPr>
          <w:spacing w:val="-1"/>
          <w:sz w:val="14"/>
        </w:rPr>
        <w:t> </w:t>
      </w:r>
      <w:r>
        <w:rPr>
          <w:sz w:val="14"/>
        </w:rPr>
        <w:t>and</w:t>
      </w:r>
      <w:r>
        <w:rPr>
          <w:spacing w:val="-1"/>
          <w:sz w:val="14"/>
        </w:rPr>
        <w:t> </w:t>
      </w:r>
      <w:r>
        <w:rPr>
          <w:sz w:val="14"/>
        </w:rPr>
        <w:t>intellectual</w:t>
      </w:r>
      <w:r>
        <w:rPr>
          <w:spacing w:val="-1"/>
          <w:sz w:val="14"/>
        </w:rPr>
        <w:t> </w:t>
      </w:r>
      <w:r>
        <w:rPr>
          <w:sz w:val="14"/>
        </w:rPr>
        <w:t>know-</w:t>
      </w:r>
      <w:r>
        <w:rPr>
          <w:spacing w:val="-4"/>
          <w:sz w:val="14"/>
        </w:rPr>
        <w:t>how.</w:t>
      </w:r>
    </w:p>
    <w:p>
      <w:pPr>
        <w:pStyle w:val="BodyText"/>
        <w:spacing w:before="42"/>
        <w:rPr>
          <w:sz w:val="14"/>
        </w:rPr>
      </w:pPr>
    </w:p>
    <w:p>
      <w:pPr>
        <w:pStyle w:val="BodyText"/>
        <w:spacing w:line="266" w:lineRule="auto"/>
        <w:ind w:left="156" w:right="117"/>
      </w:pPr>
      <w:r>
        <w:rPr>
          <w:w w:val="105"/>
        </w:rPr>
        <w:t>Corning’s</w:t>
      </w:r>
      <w:r>
        <w:rPr>
          <w:spacing w:val="-3"/>
          <w:w w:val="105"/>
        </w:rPr>
        <w:t> </w:t>
      </w:r>
      <w:r>
        <w:rPr>
          <w:w w:val="105"/>
        </w:rPr>
        <w:t>amortized</w:t>
      </w:r>
      <w:r>
        <w:rPr>
          <w:spacing w:val="-3"/>
          <w:w w:val="105"/>
        </w:rPr>
        <w:t> </w:t>
      </w:r>
      <w:r>
        <w:rPr>
          <w:w w:val="105"/>
        </w:rPr>
        <w:t>intangible</w:t>
      </w:r>
      <w:r>
        <w:rPr>
          <w:spacing w:val="-3"/>
          <w:w w:val="105"/>
        </w:rPr>
        <w:t> </w:t>
      </w:r>
      <w:r>
        <w:rPr>
          <w:w w:val="105"/>
        </w:rPr>
        <w:t>assets</w:t>
      </w:r>
      <w:r>
        <w:rPr>
          <w:spacing w:val="-3"/>
          <w:w w:val="105"/>
        </w:rPr>
        <w:t> </w:t>
      </w:r>
      <w:r>
        <w:rPr>
          <w:w w:val="105"/>
        </w:rPr>
        <w:t>are</w:t>
      </w:r>
      <w:r>
        <w:rPr>
          <w:spacing w:val="-3"/>
          <w:w w:val="105"/>
        </w:rPr>
        <w:t> </w:t>
      </w:r>
      <w:r>
        <w:rPr>
          <w:w w:val="105"/>
        </w:rPr>
        <w:t>primarily</w:t>
      </w:r>
      <w:r>
        <w:rPr>
          <w:spacing w:val="-3"/>
          <w:w w:val="105"/>
        </w:rPr>
        <w:t> </w:t>
      </w:r>
      <w:r>
        <w:rPr>
          <w:w w:val="105"/>
        </w:rPr>
        <w:t>related</w:t>
      </w:r>
      <w:r>
        <w:rPr>
          <w:spacing w:val="-3"/>
          <w:w w:val="105"/>
        </w:rPr>
        <w:t> </w:t>
      </w:r>
      <w:r>
        <w:rPr>
          <w:w w:val="105"/>
        </w:rPr>
        <w:t>to</w:t>
      </w:r>
      <w:r>
        <w:rPr>
          <w:spacing w:val="-3"/>
          <w:w w:val="105"/>
        </w:rPr>
        <w:t> </w:t>
      </w:r>
      <w:r>
        <w:rPr>
          <w:w w:val="105"/>
        </w:rPr>
        <w:t>the</w:t>
      </w:r>
      <w:r>
        <w:rPr>
          <w:spacing w:val="-3"/>
          <w:w w:val="105"/>
        </w:rPr>
        <w:t> </w:t>
      </w:r>
      <w:r>
        <w:rPr>
          <w:w w:val="105"/>
        </w:rPr>
        <w:t>Optical</w:t>
      </w:r>
      <w:r>
        <w:rPr>
          <w:spacing w:val="-3"/>
          <w:w w:val="105"/>
        </w:rPr>
        <w:t> </w:t>
      </w:r>
      <w:r>
        <w:rPr>
          <w:w w:val="105"/>
        </w:rPr>
        <w:t>Communications</w:t>
      </w:r>
      <w:r>
        <w:rPr>
          <w:spacing w:val="-3"/>
          <w:w w:val="105"/>
        </w:rPr>
        <w:t> </w:t>
      </w:r>
      <w:r>
        <w:rPr>
          <w:w w:val="105"/>
        </w:rPr>
        <w:t>and</w:t>
      </w:r>
      <w:r>
        <w:rPr>
          <w:spacing w:val="-3"/>
          <w:w w:val="105"/>
        </w:rPr>
        <w:t> </w:t>
      </w:r>
      <w:r>
        <w:rPr>
          <w:w w:val="105"/>
        </w:rPr>
        <w:t>Life</w:t>
      </w:r>
      <w:r>
        <w:rPr>
          <w:spacing w:val="-3"/>
          <w:w w:val="105"/>
        </w:rPr>
        <w:t> </w:t>
      </w:r>
      <w:r>
        <w:rPr>
          <w:w w:val="105"/>
        </w:rPr>
        <w:t>Sciences</w:t>
      </w:r>
      <w:r>
        <w:rPr>
          <w:spacing w:val="-3"/>
          <w:w w:val="105"/>
        </w:rPr>
        <w:t> </w:t>
      </w:r>
      <w:r>
        <w:rPr>
          <w:w w:val="105"/>
        </w:rPr>
        <w:t>segments</w:t>
      </w:r>
      <w:r>
        <w:rPr>
          <w:spacing w:val="-3"/>
          <w:w w:val="105"/>
        </w:rPr>
        <w:t> </w:t>
      </w:r>
      <w:r>
        <w:rPr>
          <w:w w:val="105"/>
        </w:rPr>
        <w:t>and</w:t>
      </w:r>
      <w:r>
        <w:rPr>
          <w:spacing w:val="-3"/>
          <w:w w:val="105"/>
        </w:rPr>
        <w:t> </w:t>
      </w:r>
      <w:r>
        <w:rPr>
          <w:w w:val="105"/>
        </w:rPr>
        <w:t>“All</w:t>
      </w:r>
      <w:r>
        <w:rPr>
          <w:spacing w:val="-3"/>
          <w:w w:val="105"/>
        </w:rPr>
        <w:t> </w:t>
      </w:r>
      <w:r>
        <w:rPr>
          <w:w w:val="105"/>
        </w:rPr>
        <w:t>Other”.</w:t>
      </w:r>
      <w:r>
        <w:rPr>
          <w:spacing w:val="37"/>
          <w:w w:val="105"/>
        </w:rPr>
        <w:t> </w:t>
      </w:r>
      <w:r>
        <w:rPr>
          <w:w w:val="105"/>
        </w:rPr>
        <w:t>The</w:t>
      </w:r>
      <w:r>
        <w:rPr>
          <w:spacing w:val="-3"/>
          <w:w w:val="105"/>
        </w:rPr>
        <w:t> </w:t>
      </w:r>
      <w:r>
        <w:rPr>
          <w:w w:val="105"/>
        </w:rPr>
        <w:t>net</w:t>
      </w:r>
      <w:r>
        <w:rPr>
          <w:spacing w:val="-3"/>
          <w:w w:val="105"/>
        </w:rPr>
        <w:t> </w:t>
      </w:r>
      <w:r>
        <w:rPr>
          <w:w w:val="105"/>
        </w:rPr>
        <w:t>carrying</w:t>
      </w:r>
      <w:r>
        <w:rPr>
          <w:spacing w:val="-3"/>
          <w:w w:val="105"/>
        </w:rPr>
        <w:t> </w:t>
      </w:r>
      <w:r>
        <w:rPr>
          <w:w w:val="105"/>
        </w:rPr>
        <w:t>amount</w:t>
      </w:r>
      <w:r>
        <w:rPr>
          <w:spacing w:val="-3"/>
          <w:w w:val="105"/>
        </w:rPr>
        <w:t> </w:t>
      </w:r>
      <w:r>
        <w:rPr>
          <w:w w:val="105"/>
        </w:rPr>
        <w:t>of intangible</w:t>
      </w:r>
      <w:r>
        <w:rPr>
          <w:spacing w:val="-9"/>
          <w:w w:val="105"/>
        </w:rPr>
        <w:t> </w:t>
      </w:r>
      <w:r>
        <w:rPr>
          <w:w w:val="105"/>
        </w:rPr>
        <w:t>assets</w:t>
      </w:r>
      <w:r>
        <w:rPr>
          <w:spacing w:val="-9"/>
          <w:w w:val="105"/>
        </w:rPr>
        <w:t> </w:t>
      </w:r>
      <w:r>
        <w:rPr>
          <w:w w:val="105"/>
        </w:rPr>
        <w:t>decreased</w:t>
      </w:r>
      <w:r>
        <w:rPr>
          <w:spacing w:val="-9"/>
          <w:w w:val="105"/>
        </w:rPr>
        <w:t> </w:t>
      </w:r>
      <w:r>
        <w:rPr>
          <w:w w:val="105"/>
        </w:rPr>
        <w:t>during</w:t>
      </w:r>
      <w:r>
        <w:rPr>
          <w:spacing w:val="-9"/>
          <w:w w:val="105"/>
        </w:rPr>
        <w:t> </w:t>
      </w:r>
      <w:r>
        <w:rPr>
          <w:w w:val="105"/>
        </w:rPr>
        <w:t>the</w:t>
      </w:r>
      <w:r>
        <w:rPr>
          <w:spacing w:val="-9"/>
          <w:w w:val="105"/>
        </w:rPr>
        <w:t> </w:t>
      </w:r>
      <w:r>
        <w:rPr>
          <w:w w:val="105"/>
        </w:rPr>
        <w:t>year,</w:t>
      </w:r>
      <w:r>
        <w:rPr>
          <w:spacing w:val="-9"/>
          <w:w w:val="105"/>
        </w:rPr>
        <w:t> </w:t>
      </w:r>
      <w:r>
        <w:rPr>
          <w:w w:val="105"/>
        </w:rPr>
        <w:t>primarily</w:t>
      </w:r>
      <w:r>
        <w:rPr>
          <w:spacing w:val="-9"/>
          <w:w w:val="105"/>
        </w:rPr>
        <w:t> </w:t>
      </w:r>
      <w:r>
        <w:rPr>
          <w:w w:val="105"/>
        </w:rPr>
        <w:t>driven</w:t>
      </w:r>
      <w:r>
        <w:rPr>
          <w:spacing w:val="-9"/>
          <w:w w:val="105"/>
        </w:rPr>
        <w:t> </w:t>
      </w:r>
      <w:r>
        <w:rPr>
          <w:w w:val="105"/>
        </w:rPr>
        <w:t>by</w:t>
      </w:r>
      <w:r>
        <w:rPr>
          <w:spacing w:val="-9"/>
          <w:w w:val="105"/>
        </w:rPr>
        <w:t> </w:t>
      </w:r>
      <w:r>
        <w:rPr>
          <w:w w:val="105"/>
        </w:rPr>
        <w:t>amortization</w:t>
      </w:r>
      <w:r>
        <w:rPr>
          <w:spacing w:val="-9"/>
          <w:w w:val="105"/>
        </w:rPr>
        <w:t> </w:t>
      </w:r>
      <w:r>
        <w:rPr>
          <w:w w:val="105"/>
        </w:rPr>
        <w:t>of</w:t>
      </w:r>
      <w:r>
        <w:rPr>
          <w:spacing w:val="-9"/>
          <w:w w:val="105"/>
        </w:rPr>
        <w:t> </w:t>
      </w:r>
      <w:r>
        <w:rPr>
          <w:w w:val="105"/>
        </w:rPr>
        <w:t>$129</w:t>
      </w:r>
      <w:r>
        <w:rPr>
          <w:spacing w:val="-9"/>
          <w:w w:val="105"/>
        </w:rPr>
        <w:t> </w:t>
      </w:r>
      <w:r>
        <w:rPr>
          <w:w w:val="105"/>
        </w:rPr>
        <w:t>million,</w:t>
      </w:r>
      <w:r>
        <w:rPr>
          <w:spacing w:val="-9"/>
          <w:w w:val="105"/>
        </w:rPr>
        <w:t> </w:t>
      </w:r>
      <w:r>
        <w:rPr>
          <w:w w:val="105"/>
        </w:rPr>
        <w:t>disposals</w:t>
      </w:r>
      <w:r>
        <w:rPr>
          <w:spacing w:val="-9"/>
          <w:w w:val="105"/>
        </w:rPr>
        <w:t> </w:t>
      </w:r>
      <w:r>
        <w:rPr>
          <w:w w:val="105"/>
        </w:rPr>
        <w:t>of</w:t>
      </w:r>
      <w:r>
        <w:rPr>
          <w:spacing w:val="-9"/>
          <w:w w:val="105"/>
        </w:rPr>
        <w:t> </w:t>
      </w:r>
      <w:r>
        <w:rPr>
          <w:w w:val="105"/>
        </w:rPr>
        <w:t>$24</w:t>
      </w:r>
      <w:r>
        <w:rPr>
          <w:spacing w:val="-7"/>
          <w:w w:val="105"/>
        </w:rPr>
        <w:t> </w:t>
      </w:r>
      <w:r>
        <w:rPr>
          <w:w w:val="105"/>
        </w:rPr>
        <w:t>million</w:t>
      </w:r>
      <w:r>
        <w:rPr>
          <w:spacing w:val="-9"/>
          <w:w w:val="105"/>
        </w:rPr>
        <w:t> </w:t>
      </w:r>
      <w:r>
        <w:rPr>
          <w:w w:val="105"/>
        </w:rPr>
        <w:t>and</w:t>
      </w:r>
      <w:r>
        <w:rPr>
          <w:spacing w:val="-9"/>
          <w:w w:val="105"/>
        </w:rPr>
        <w:t> </w:t>
      </w:r>
      <w:r>
        <w:rPr>
          <w:w w:val="105"/>
        </w:rPr>
        <w:t>foreign</w:t>
      </w:r>
      <w:r>
        <w:rPr>
          <w:spacing w:val="-9"/>
          <w:w w:val="105"/>
        </w:rPr>
        <w:t> </w:t>
      </w:r>
      <w:r>
        <w:rPr>
          <w:w w:val="105"/>
        </w:rPr>
        <w:t>currency</w:t>
      </w:r>
      <w:r>
        <w:rPr>
          <w:spacing w:val="-9"/>
          <w:w w:val="105"/>
        </w:rPr>
        <w:t> </w:t>
      </w:r>
      <w:r>
        <w:rPr>
          <w:w w:val="105"/>
        </w:rPr>
        <w:t>translation</w:t>
      </w:r>
      <w:r>
        <w:rPr>
          <w:spacing w:val="-9"/>
          <w:w w:val="105"/>
        </w:rPr>
        <w:t> </w:t>
      </w:r>
      <w:r>
        <w:rPr>
          <w:w w:val="105"/>
        </w:rPr>
        <w:t>and</w:t>
      </w:r>
      <w:r>
        <w:rPr>
          <w:spacing w:val="-9"/>
          <w:w w:val="105"/>
        </w:rPr>
        <w:t> </w:t>
      </w:r>
      <w:r>
        <w:rPr>
          <w:w w:val="105"/>
        </w:rPr>
        <w:t>other</w:t>
      </w:r>
      <w:r>
        <w:rPr>
          <w:spacing w:val="-7"/>
          <w:w w:val="105"/>
        </w:rPr>
        <w:t> </w:t>
      </w:r>
      <w:r>
        <w:rPr>
          <w:w w:val="105"/>
        </w:rPr>
        <w:t>adjustments of $7 million.</w:t>
      </w:r>
    </w:p>
    <w:p>
      <w:pPr>
        <w:pStyle w:val="BodyText"/>
        <w:spacing w:before="18"/>
      </w:pPr>
    </w:p>
    <w:p>
      <w:pPr>
        <w:pStyle w:val="BodyText"/>
        <w:spacing w:before="1"/>
        <w:ind w:left="156"/>
      </w:pPr>
      <w:r>
        <w:rPr>
          <w:w w:val="105"/>
        </w:rPr>
        <w:t>Amortization</w:t>
      </w:r>
      <w:r>
        <w:rPr>
          <w:spacing w:val="-10"/>
          <w:w w:val="105"/>
        </w:rPr>
        <w:t> </w:t>
      </w:r>
      <w:r>
        <w:rPr>
          <w:w w:val="105"/>
        </w:rPr>
        <w:t>expense</w:t>
      </w:r>
      <w:r>
        <w:rPr>
          <w:spacing w:val="-9"/>
          <w:w w:val="105"/>
        </w:rPr>
        <w:t> </w:t>
      </w:r>
      <w:r>
        <w:rPr>
          <w:w w:val="105"/>
        </w:rPr>
        <w:t>related</w:t>
      </w:r>
      <w:r>
        <w:rPr>
          <w:spacing w:val="-9"/>
          <w:w w:val="105"/>
        </w:rPr>
        <w:t> </w:t>
      </w:r>
      <w:r>
        <w:rPr>
          <w:w w:val="105"/>
        </w:rPr>
        <w:t>to</w:t>
      </w:r>
      <w:r>
        <w:rPr>
          <w:spacing w:val="-9"/>
          <w:w w:val="105"/>
        </w:rPr>
        <w:t> </w:t>
      </w:r>
      <w:r>
        <w:rPr>
          <w:w w:val="105"/>
        </w:rPr>
        <w:t>all</w:t>
      </w:r>
      <w:r>
        <w:rPr>
          <w:spacing w:val="-9"/>
          <w:w w:val="105"/>
        </w:rPr>
        <w:t> </w:t>
      </w:r>
      <w:r>
        <w:rPr>
          <w:w w:val="105"/>
        </w:rPr>
        <w:t>intangible</w:t>
      </w:r>
      <w:r>
        <w:rPr>
          <w:spacing w:val="-9"/>
          <w:w w:val="105"/>
        </w:rPr>
        <w:t> </w:t>
      </w:r>
      <w:r>
        <w:rPr>
          <w:w w:val="105"/>
        </w:rPr>
        <w:t>assets</w:t>
      </w:r>
      <w:r>
        <w:rPr>
          <w:spacing w:val="-10"/>
          <w:w w:val="105"/>
        </w:rPr>
        <w:t> </w:t>
      </w:r>
      <w:r>
        <w:rPr>
          <w:w w:val="105"/>
        </w:rPr>
        <w:t>is</w:t>
      </w:r>
      <w:r>
        <w:rPr>
          <w:spacing w:val="-9"/>
          <w:w w:val="105"/>
        </w:rPr>
        <w:t> </w:t>
      </w:r>
      <w:r>
        <w:rPr>
          <w:w w:val="105"/>
        </w:rPr>
        <w:t>expected</w:t>
      </w:r>
      <w:r>
        <w:rPr>
          <w:spacing w:val="-9"/>
          <w:w w:val="105"/>
        </w:rPr>
        <w:t> </w:t>
      </w:r>
      <w:r>
        <w:rPr>
          <w:w w:val="105"/>
        </w:rPr>
        <w:t>to</w:t>
      </w:r>
      <w:r>
        <w:rPr>
          <w:spacing w:val="-9"/>
          <w:w w:val="105"/>
        </w:rPr>
        <w:t> </w:t>
      </w:r>
      <w:r>
        <w:rPr>
          <w:w w:val="105"/>
        </w:rPr>
        <w:t>be</w:t>
      </w:r>
      <w:r>
        <w:rPr>
          <w:spacing w:val="-9"/>
          <w:w w:val="105"/>
        </w:rPr>
        <w:t> </w:t>
      </w:r>
      <w:r>
        <w:rPr>
          <w:w w:val="105"/>
        </w:rPr>
        <w:t>approximately</w:t>
      </w:r>
      <w:r>
        <w:rPr>
          <w:spacing w:val="-9"/>
          <w:w w:val="105"/>
        </w:rPr>
        <w:t> </w:t>
      </w:r>
      <w:r>
        <w:rPr>
          <w:w w:val="105"/>
        </w:rPr>
        <w:t>$120</w:t>
      </w:r>
      <w:r>
        <w:rPr>
          <w:spacing w:val="-9"/>
          <w:w w:val="105"/>
        </w:rPr>
        <w:t> </w:t>
      </w:r>
      <w:r>
        <w:rPr>
          <w:w w:val="105"/>
        </w:rPr>
        <w:t>million</w:t>
      </w:r>
      <w:r>
        <w:rPr>
          <w:spacing w:val="-10"/>
          <w:w w:val="105"/>
        </w:rPr>
        <w:t> </w:t>
      </w:r>
      <w:r>
        <w:rPr>
          <w:w w:val="105"/>
        </w:rPr>
        <w:t>annually</w:t>
      </w:r>
      <w:r>
        <w:rPr>
          <w:spacing w:val="-9"/>
          <w:w w:val="105"/>
        </w:rPr>
        <w:t> </w:t>
      </w:r>
      <w:r>
        <w:rPr>
          <w:w w:val="105"/>
        </w:rPr>
        <w:t>for</w:t>
      </w:r>
      <w:r>
        <w:rPr>
          <w:spacing w:val="-9"/>
          <w:w w:val="105"/>
        </w:rPr>
        <w:t> </w:t>
      </w:r>
      <w:r>
        <w:rPr>
          <w:w w:val="105"/>
        </w:rPr>
        <w:t>years</w:t>
      </w:r>
      <w:r>
        <w:rPr>
          <w:spacing w:val="-8"/>
          <w:w w:val="105"/>
        </w:rPr>
        <w:t> </w:t>
      </w:r>
      <w:r>
        <w:rPr>
          <w:w w:val="105"/>
        </w:rPr>
        <w:t>2022</w:t>
      </w:r>
      <w:r>
        <w:rPr>
          <w:spacing w:val="-9"/>
          <w:w w:val="105"/>
        </w:rPr>
        <w:t> </w:t>
      </w:r>
      <w:r>
        <w:rPr>
          <w:w w:val="105"/>
        </w:rPr>
        <w:t>through</w:t>
      </w:r>
      <w:r>
        <w:rPr>
          <w:spacing w:val="-10"/>
          <w:w w:val="105"/>
        </w:rPr>
        <w:t> </w:t>
      </w:r>
      <w:r>
        <w:rPr>
          <w:spacing w:val="-2"/>
          <w:w w:val="105"/>
        </w:rPr>
        <w:t>2026.</w:t>
      </w:r>
    </w:p>
    <w:p>
      <w:pPr>
        <w:pStyle w:val="BodyText"/>
        <w:spacing w:before="39"/>
      </w:pPr>
    </w:p>
    <w:p>
      <w:pPr>
        <w:pStyle w:val="BodyText"/>
        <w:ind w:left="48"/>
        <w:jc w:val="center"/>
      </w:pPr>
      <w:r>
        <w:rPr>
          <w:spacing w:val="-5"/>
          <w:w w:val="105"/>
        </w:rPr>
        <w:t>90</w:t>
      </w:r>
    </w:p>
    <w:p>
      <w:pPr>
        <w:pStyle w:val="BodyText"/>
        <w:rPr>
          <w:sz w:val="6"/>
        </w:rPr>
      </w:pPr>
      <w:r>
        <w:rPr/>
        <mc:AlternateContent>
          <mc:Choice Requires="wps">
            <w:drawing>
              <wp:anchor distT="0" distB="0" distL="0" distR="0" allowOverlap="1" layoutInCell="1" locked="0" behindDoc="1" simplePos="0" relativeHeight="487688704">
                <wp:simplePos x="0" y="0"/>
                <wp:positionH relativeFrom="page">
                  <wp:posOffset>226488</wp:posOffset>
                </wp:positionH>
                <wp:positionV relativeFrom="paragraph">
                  <wp:posOffset>59051</wp:posOffset>
                </wp:positionV>
                <wp:extent cx="7312659" cy="16510"/>
                <wp:effectExtent l="0" t="0" r="0" b="0"/>
                <wp:wrapTopAndBottom/>
                <wp:docPr id="396" name="Graphic 396"/>
                <wp:cNvGraphicFramePr>
                  <a:graphicFrameLocks/>
                </wp:cNvGraphicFramePr>
                <a:graphic>
                  <a:graphicData uri="http://schemas.microsoft.com/office/word/2010/wordprocessingShape">
                    <wps:wsp>
                      <wps:cNvPr id="396" name="Graphic 396"/>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27776;mso-wrap-distance-left:0;mso-wrap-distance-right:0" id="docshape395" filled="true" fillcolor="#000000" stroked="false">
                <v:fill type="solid"/>
                <w10:wrap type="topAndBottom"/>
              </v:rect>
            </w:pict>
          </mc:Fallback>
        </mc:AlternateContent>
      </w:r>
    </w:p>
    <w:p>
      <w:pPr>
        <w:spacing w:after="0"/>
        <w:rPr>
          <w:sz w:val="6"/>
        </w:rPr>
        <w:sectPr>
          <w:type w:val="continuous"/>
          <w:pgSz w:w="12240" w:h="15840"/>
          <w:pgMar w:header="428" w:footer="0" w:top="700" w:bottom="280" w:left="200" w:right="260"/>
        </w:sectPr>
      </w:pPr>
    </w:p>
    <w:p>
      <w:pPr>
        <w:pStyle w:val="BodyText"/>
      </w:pPr>
    </w:p>
    <w:p>
      <w:pPr>
        <w:pStyle w:val="BodyText"/>
        <w:spacing w:before="58"/>
      </w:pPr>
    </w:p>
    <w:p>
      <w:pPr>
        <w:pStyle w:val="Heading2"/>
        <w:numPr>
          <w:ilvl w:val="0"/>
          <w:numId w:val="45"/>
        </w:numPr>
        <w:tabs>
          <w:tab w:pos="445" w:val="left" w:leader="none"/>
        </w:tabs>
        <w:spacing w:line="240" w:lineRule="auto" w:before="0" w:after="0"/>
        <w:ind w:left="445" w:right="0" w:hanging="289"/>
        <w:jc w:val="left"/>
      </w:pPr>
      <w:bookmarkStart w:name="_bookmark19" w:id="20"/>
      <w:bookmarkEnd w:id="20"/>
      <w:r>
        <w:rPr>
          <w:b w:val="0"/>
        </w:rPr>
      </w:r>
      <w:r>
        <w:rPr>
          <w:w w:val="105"/>
        </w:rPr>
        <w:t>Other</w:t>
      </w:r>
      <w:r>
        <w:rPr>
          <w:spacing w:val="-11"/>
          <w:w w:val="105"/>
        </w:rPr>
        <w:t> </w:t>
      </w:r>
      <w:r>
        <w:rPr>
          <w:w w:val="105"/>
        </w:rPr>
        <w:t>Assets</w:t>
      </w:r>
      <w:r>
        <w:rPr>
          <w:spacing w:val="-10"/>
          <w:w w:val="105"/>
        </w:rPr>
        <w:t> </w:t>
      </w:r>
      <w:r>
        <w:rPr>
          <w:w w:val="105"/>
        </w:rPr>
        <w:t>and</w:t>
      </w:r>
      <w:r>
        <w:rPr>
          <w:spacing w:val="-10"/>
          <w:w w:val="105"/>
        </w:rPr>
        <w:t> </w:t>
      </w:r>
      <w:r>
        <w:rPr>
          <w:w w:val="105"/>
        </w:rPr>
        <w:t>Other</w:t>
      </w:r>
      <w:r>
        <w:rPr>
          <w:spacing w:val="-11"/>
          <w:w w:val="105"/>
        </w:rPr>
        <w:t> </w:t>
      </w:r>
      <w:r>
        <w:rPr>
          <w:spacing w:val="-2"/>
          <w:w w:val="105"/>
        </w:rPr>
        <w:t>Liabilities</w:t>
      </w:r>
    </w:p>
    <w:p>
      <w:pPr>
        <w:pStyle w:val="BodyText"/>
        <w:spacing w:before="10"/>
        <w:rPr>
          <w:b/>
          <w:sz w:val="10"/>
        </w:rPr>
      </w:pPr>
    </w:p>
    <w:p>
      <w:pPr>
        <w:spacing w:after="0"/>
        <w:rPr>
          <w:sz w:val="10"/>
        </w:rPr>
        <w:sectPr>
          <w:pgSz w:w="12240" w:h="15840"/>
          <w:pgMar w:header="428" w:footer="0" w:top="620" w:bottom="280" w:left="200" w:right="260"/>
        </w:sectPr>
      </w:pPr>
    </w:p>
    <w:p>
      <w:pPr>
        <w:pStyle w:val="BodyText"/>
        <w:spacing w:before="99"/>
        <w:ind w:left="156"/>
      </w:pPr>
      <w:r>
        <w:rPr/>
        <mc:AlternateContent>
          <mc:Choice Requires="wps">
            <w:drawing>
              <wp:anchor distT="0" distB="0" distL="0" distR="0" allowOverlap="1" layoutInCell="1" locked="0" behindDoc="0" simplePos="0" relativeHeight="15833088">
                <wp:simplePos x="0" y="0"/>
                <wp:positionH relativeFrom="page">
                  <wp:posOffset>226479</wp:posOffset>
                </wp:positionH>
                <wp:positionV relativeFrom="paragraph">
                  <wp:posOffset>262840</wp:posOffset>
                </wp:positionV>
                <wp:extent cx="7312659" cy="1651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7312659" cy="16510"/>
                        </a:xfrm>
                        <a:custGeom>
                          <a:avLst/>
                          <a:gdLst/>
                          <a:ahLst/>
                          <a:cxnLst/>
                          <a:rect l="l" t="t" r="r" b="b"/>
                          <a:pathLst>
                            <a:path w="7312659" h="16510">
                              <a:moveTo>
                                <a:pt x="7312342" y="0"/>
                              </a:moveTo>
                              <a:lnTo>
                                <a:pt x="7239546" y="0"/>
                              </a:lnTo>
                              <a:lnTo>
                                <a:pt x="5201145" y="0"/>
                              </a:lnTo>
                              <a:lnTo>
                                <a:pt x="5120259" y="0"/>
                              </a:lnTo>
                              <a:lnTo>
                                <a:pt x="0" y="0"/>
                              </a:lnTo>
                              <a:lnTo>
                                <a:pt x="0" y="16167"/>
                              </a:lnTo>
                              <a:lnTo>
                                <a:pt x="5120259" y="16167"/>
                              </a:lnTo>
                              <a:lnTo>
                                <a:pt x="5201145" y="16167"/>
                              </a:lnTo>
                              <a:lnTo>
                                <a:pt x="7239546"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20.696127pt;width:575.8pt;height:1.3pt;mso-position-horizontal-relative:page;mso-position-vertical-relative:paragraph;z-index:15833088" id="docshape396" coordorigin="357,414" coordsize="11516,26" path="m11872,414l11758,414,8547,414,8420,414,357,414,357,439,8420,439,8547,439,11758,439,11872,439,11872,414xe" filled="true" fillcolor="#000000" stroked="false">
                <v:path arrowok="t"/>
                <v:fill type="solid"/>
                <w10:wrap type="none"/>
              </v:shape>
            </w:pict>
          </mc:Fallback>
        </mc:AlternateContent>
      </w:r>
      <w:r>
        <w:rPr>
          <w:w w:val="105"/>
        </w:rPr>
        <w:t>Other</w:t>
      </w:r>
      <w:r>
        <w:rPr>
          <w:spacing w:val="-10"/>
          <w:w w:val="105"/>
        </w:rPr>
        <w:t> </w:t>
      </w:r>
      <w:r>
        <w:rPr>
          <w:w w:val="105"/>
        </w:rPr>
        <w:t>assets</w:t>
      </w:r>
      <w:r>
        <w:rPr>
          <w:spacing w:val="-9"/>
          <w:w w:val="105"/>
        </w:rPr>
        <w:t> </w:t>
      </w:r>
      <w:r>
        <w:rPr>
          <w:w w:val="105"/>
        </w:rPr>
        <w:t>were</w:t>
      </w:r>
      <w:r>
        <w:rPr>
          <w:spacing w:val="-9"/>
          <w:w w:val="105"/>
        </w:rPr>
        <w:t> </w:t>
      </w:r>
      <w:r>
        <w:rPr>
          <w:w w:val="105"/>
        </w:rPr>
        <w:t>as</w:t>
      </w:r>
      <w:r>
        <w:rPr>
          <w:spacing w:val="-9"/>
          <w:w w:val="105"/>
        </w:rPr>
        <w:t> </w:t>
      </w:r>
      <w:r>
        <w:rPr>
          <w:w w:val="105"/>
        </w:rPr>
        <w:t>follows</w:t>
      </w:r>
      <w:r>
        <w:rPr>
          <w:spacing w:val="-9"/>
          <w:w w:val="105"/>
        </w:rPr>
        <w:t> </w:t>
      </w:r>
      <w:r>
        <w:rPr>
          <w:w w:val="105"/>
        </w:rPr>
        <w:t>(in</w:t>
      </w:r>
      <w:r>
        <w:rPr>
          <w:spacing w:val="-7"/>
          <w:w w:val="105"/>
        </w:rPr>
        <w:t> </w:t>
      </w:r>
      <w:r>
        <w:rPr>
          <w:spacing w:val="-2"/>
          <w:w w:val="105"/>
        </w:rPr>
        <w:t>millions):</w:t>
      </w:r>
    </w:p>
    <w:p>
      <w:pPr>
        <w:spacing w:line="240" w:lineRule="auto" w:before="0"/>
        <w:rPr>
          <w:sz w:val="16"/>
        </w:rPr>
      </w:pPr>
      <w:r>
        <w:rPr/>
        <w:br w:type="column"/>
      </w:r>
      <w:r>
        <w:rPr>
          <w:sz w:val="16"/>
        </w:rPr>
      </w:r>
    </w:p>
    <w:p>
      <w:pPr>
        <w:pStyle w:val="BodyText"/>
        <w:spacing w:before="74"/>
      </w:pPr>
    </w:p>
    <w:p>
      <w:pPr>
        <w:pStyle w:val="BodyText"/>
        <w:spacing w:before="1"/>
        <w:ind w:right="643"/>
        <w:jc w:val="center"/>
      </w:pPr>
      <w:r>
        <w:rPr/>
        <w:t>December</w:t>
      </w:r>
      <w:r>
        <w:rPr>
          <w:spacing w:val="20"/>
        </w:rPr>
        <w:t> </w:t>
      </w:r>
      <w:r>
        <w:rPr>
          <w:spacing w:val="-5"/>
        </w:rPr>
        <w:t>31,</w:t>
      </w:r>
    </w:p>
    <w:p>
      <w:pPr>
        <w:pStyle w:val="BodyText"/>
        <w:spacing w:line="20" w:lineRule="exact"/>
        <w:ind w:left="-423"/>
        <w:rPr>
          <w:sz w:val="2"/>
        </w:rPr>
      </w:pPr>
      <w:r>
        <w:rPr>
          <w:sz w:val="2"/>
        </w:rPr>
        <mc:AlternateContent>
          <mc:Choice Requires="wps">
            <w:drawing>
              <wp:inline distT="0" distB="0" distL="0" distR="0">
                <wp:extent cx="2111375" cy="8255"/>
                <wp:effectExtent l="0" t="0" r="0" b="0"/>
                <wp:docPr id="398" name="Group 398"/>
                <wp:cNvGraphicFramePr>
                  <a:graphicFrameLocks/>
                </wp:cNvGraphicFramePr>
                <a:graphic>
                  <a:graphicData uri="http://schemas.microsoft.com/office/word/2010/wordprocessingGroup">
                    <wpg:wgp>
                      <wpg:cNvPr id="398" name="Group 398"/>
                      <wpg:cNvGrpSpPr/>
                      <wpg:grpSpPr>
                        <a:xfrm>
                          <a:off x="0" y="0"/>
                          <a:ext cx="2111375" cy="8255"/>
                          <a:chExt cx="2111375" cy="8255"/>
                        </a:xfrm>
                      </wpg:grpSpPr>
                      <wps:wsp>
                        <wps:cNvPr id="399" name="Graphic 399"/>
                        <wps:cNvSpPr/>
                        <wps:spPr>
                          <a:xfrm>
                            <a:off x="-10" y="3"/>
                            <a:ext cx="2111375" cy="8255"/>
                          </a:xfrm>
                          <a:custGeom>
                            <a:avLst/>
                            <a:gdLst/>
                            <a:ahLst/>
                            <a:cxnLst/>
                            <a:rect l="l" t="t" r="r" b="b"/>
                            <a:pathLst>
                              <a:path w="2111375" h="8255">
                                <a:moveTo>
                                  <a:pt x="2111197" y="0"/>
                                </a:moveTo>
                                <a:lnTo>
                                  <a:pt x="2038400" y="0"/>
                                </a:lnTo>
                                <a:lnTo>
                                  <a:pt x="0" y="0"/>
                                </a:lnTo>
                                <a:lnTo>
                                  <a:pt x="0" y="8089"/>
                                </a:lnTo>
                                <a:lnTo>
                                  <a:pt x="2038400" y="8089"/>
                                </a:lnTo>
                                <a:lnTo>
                                  <a:pt x="2111197" y="8089"/>
                                </a:lnTo>
                                <a:lnTo>
                                  <a:pt x="21111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6.25pt;height:.65pt;mso-position-horizontal-relative:char;mso-position-vertical-relative:line" id="docshapegroup397" coordorigin="0,0" coordsize="3325,13">
                <v:shape style="position:absolute;left:-1;top:0;width:3325;height:13" id="docshape398" coordorigin="0,0" coordsize="3325,13" path="m3325,0l3210,0,0,0,0,13,3210,13,3325,13,3325,0xe" filled="true" fillcolor="#000000" stroked="false">
                  <v:path arrowok="t"/>
                  <v:fill type="solid"/>
                </v:shape>
              </v:group>
            </w:pict>
          </mc:Fallback>
        </mc:AlternateContent>
      </w:r>
      <w:r>
        <w:rPr>
          <w:sz w:val="2"/>
        </w:rPr>
      </w:r>
    </w:p>
    <w:p>
      <w:pPr>
        <w:tabs>
          <w:tab w:pos="1719" w:val="left" w:leader="none"/>
        </w:tabs>
        <w:spacing w:before="12"/>
        <w:ind w:left="0" w:right="643" w:firstLine="0"/>
        <w:jc w:val="center"/>
        <w:rPr>
          <w:sz w:val="16"/>
        </w:rPr>
      </w:pPr>
      <w:r>
        <w:rPr>
          <w:b/>
          <w:spacing w:val="-4"/>
          <w:w w:val="105"/>
          <w:sz w:val="16"/>
        </w:rPr>
        <w:t>2021</w:t>
      </w:r>
      <w:r>
        <w:rPr>
          <w:b/>
          <w:sz w:val="16"/>
        </w:rPr>
        <w:tab/>
      </w:r>
      <w:r>
        <w:rPr>
          <w:spacing w:val="-4"/>
          <w:w w:val="105"/>
          <w:sz w:val="16"/>
        </w:rPr>
        <w:t>2020</w:t>
      </w:r>
    </w:p>
    <w:p>
      <w:pPr>
        <w:spacing w:after="0"/>
        <w:jc w:val="center"/>
        <w:rPr>
          <w:sz w:val="16"/>
        </w:rPr>
        <w:sectPr>
          <w:type w:val="continuous"/>
          <w:pgSz w:w="12240" w:h="15840"/>
          <w:pgMar w:header="428" w:footer="0" w:top="700" w:bottom="280" w:left="200" w:right="260"/>
          <w:cols w:num="2" w:equalWidth="0">
            <w:col w:w="2996" w:space="5775"/>
            <w:col w:w="3009"/>
          </w:cols>
        </w:sect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70"/>
        <w:gridCol w:w="3522"/>
        <w:gridCol w:w="1005"/>
        <w:gridCol w:w="715"/>
        <w:gridCol w:w="1005"/>
      </w:tblGrid>
      <w:tr>
        <w:trPr>
          <w:trHeight w:val="202" w:hRule="atLeast"/>
        </w:trPr>
        <w:tc>
          <w:tcPr>
            <w:tcW w:w="5270" w:type="dxa"/>
            <w:tcBorders>
              <w:top w:val="single" w:sz="6" w:space="0" w:color="000000"/>
            </w:tcBorders>
            <w:shd w:val="clear" w:color="auto" w:fill="CCEDFF"/>
          </w:tcPr>
          <w:p>
            <w:pPr>
              <w:pStyle w:val="TableParagraph"/>
              <w:spacing w:line="180" w:lineRule="exact" w:before="2"/>
              <w:rPr>
                <w:sz w:val="16"/>
              </w:rPr>
            </w:pPr>
            <w:r>
              <w:rPr>
                <w:sz w:val="16"/>
              </w:rPr>
              <w:t>Current</w:t>
            </w:r>
            <w:r>
              <w:rPr>
                <w:spacing w:val="15"/>
                <w:sz w:val="16"/>
              </w:rPr>
              <w:t> </w:t>
            </w:r>
            <w:r>
              <w:rPr>
                <w:spacing w:val="-2"/>
                <w:sz w:val="16"/>
              </w:rPr>
              <w:t>assets:</w:t>
            </w:r>
          </w:p>
        </w:tc>
        <w:tc>
          <w:tcPr>
            <w:tcW w:w="6247" w:type="dxa"/>
            <w:gridSpan w:val="4"/>
            <w:tcBorders>
              <w:top w:val="single" w:sz="6" w:space="0" w:color="000000"/>
            </w:tcBorders>
            <w:shd w:val="clear" w:color="auto" w:fill="CCEDFF"/>
          </w:tcPr>
          <w:p>
            <w:pPr>
              <w:pStyle w:val="TableParagraph"/>
              <w:rPr>
                <w:sz w:val="14"/>
              </w:rPr>
            </w:pPr>
          </w:p>
        </w:tc>
      </w:tr>
      <w:tr>
        <w:trPr>
          <w:trHeight w:val="203" w:hRule="atLeast"/>
        </w:trPr>
        <w:tc>
          <w:tcPr>
            <w:tcW w:w="5270" w:type="dxa"/>
          </w:tcPr>
          <w:p>
            <w:pPr>
              <w:pStyle w:val="TableParagraph"/>
              <w:spacing w:line="180" w:lineRule="exact" w:before="3"/>
              <w:ind w:right="2919"/>
              <w:jc w:val="right"/>
              <w:rPr>
                <w:sz w:val="16"/>
              </w:rPr>
            </w:pPr>
            <w:r>
              <w:rPr>
                <w:sz w:val="16"/>
              </w:rPr>
              <w:t>Derivative</w:t>
            </w:r>
            <w:r>
              <w:rPr>
                <w:spacing w:val="15"/>
                <w:sz w:val="16"/>
              </w:rPr>
              <w:t> </w:t>
            </w:r>
            <w:r>
              <w:rPr>
                <w:sz w:val="16"/>
              </w:rPr>
              <w:t>instruments</w:t>
            </w:r>
            <w:r>
              <w:rPr>
                <w:spacing w:val="18"/>
                <w:sz w:val="16"/>
              </w:rPr>
              <w:t> </w:t>
            </w:r>
            <w:r>
              <w:rPr>
                <w:sz w:val="16"/>
              </w:rPr>
              <w:t>(Note</w:t>
            </w:r>
            <w:r>
              <w:rPr>
                <w:spacing w:val="15"/>
                <w:sz w:val="16"/>
              </w:rPr>
              <w:t> </w:t>
            </w:r>
            <w:r>
              <w:rPr>
                <w:spacing w:val="-5"/>
                <w:sz w:val="16"/>
              </w:rPr>
              <w:t>15)</w:t>
            </w:r>
          </w:p>
        </w:tc>
        <w:tc>
          <w:tcPr>
            <w:tcW w:w="3522" w:type="dxa"/>
          </w:tcPr>
          <w:p>
            <w:pPr>
              <w:pStyle w:val="TableParagraph"/>
              <w:spacing w:line="180" w:lineRule="exact" w:before="3"/>
              <w:ind w:right="516"/>
              <w:jc w:val="right"/>
              <w:rPr>
                <w:b/>
                <w:sz w:val="16"/>
              </w:rPr>
            </w:pPr>
            <w:r>
              <w:rPr>
                <w:b/>
                <w:spacing w:val="-10"/>
                <w:w w:val="105"/>
                <w:sz w:val="16"/>
              </w:rPr>
              <w:t>$</w:t>
            </w:r>
          </w:p>
        </w:tc>
        <w:tc>
          <w:tcPr>
            <w:tcW w:w="1005" w:type="dxa"/>
          </w:tcPr>
          <w:p>
            <w:pPr>
              <w:pStyle w:val="TableParagraph"/>
              <w:spacing w:line="180" w:lineRule="exact" w:before="3"/>
              <w:ind w:right="113"/>
              <w:jc w:val="right"/>
              <w:rPr>
                <w:b/>
                <w:sz w:val="16"/>
              </w:rPr>
            </w:pPr>
            <w:r>
              <w:rPr>
                <w:b/>
                <w:spacing w:val="-5"/>
                <w:w w:val="105"/>
                <w:sz w:val="16"/>
              </w:rPr>
              <w:t>336</w:t>
            </w:r>
          </w:p>
        </w:tc>
        <w:tc>
          <w:tcPr>
            <w:tcW w:w="715" w:type="dxa"/>
          </w:tcPr>
          <w:p>
            <w:pPr>
              <w:pStyle w:val="TableParagraph"/>
              <w:spacing w:line="180" w:lineRule="exact" w:before="3"/>
              <w:ind w:left="113"/>
              <w:rPr>
                <w:sz w:val="16"/>
              </w:rPr>
            </w:pPr>
            <w:r>
              <w:rPr>
                <w:spacing w:val="-10"/>
                <w:w w:val="105"/>
                <w:sz w:val="16"/>
              </w:rPr>
              <w:t>$</w:t>
            </w:r>
          </w:p>
        </w:tc>
        <w:tc>
          <w:tcPr>
            <w:tcW w:w="1005" w:type="dxa"/>
          </w:tcPr>
          <w:p>
            <w:pPr>
              <w:pStyle w:val="TableParagraph"/>
              <w:spacing w:line="180" w:lineRule="exact" w:before="3"/>
              <w:ind w:right="114"/>
              <w:jc w:val="right"/>
              <w:rPr>
                <w:sz w:val="16"/>
              </w:rPr>
            </w:pPr>
            <w:r>
              <w:rPr>
                <w:spacing w:val="-5"/>
                <w:w w:val="105"/>
                <w:sz w:val="16"/>
              </w:rPr>
              <w:t>148</w:t>
            </w:r>
          </w:p>
        </w:tc>
      </w:tr>
      <w:tr>
        <w:trPr>
          <w:trHeight w:val="202" w:hRule="atLeast"/>
        </w:trPr>
        <w:tc>
          <w:tcPr>
            <w:tcW w:w="5270" w:type="dxa"/>
            <w:tcBorders>
              <w:bottom w:val="single" w:sz="6" w:space="0" w:color="000000"/>
            </w:tcBorders>
            <w:shd w:val="clear" w:color="auto" w:fill="CCEDFF"/>
          </w:tcPr>
          <w:p>
            <w:pPr>
              <w:pStyle w:val="TableParagraph"/>
              <w:spacing w:line="179" w:lineRule="exact" w:before="3"/>
              <w:ind w:left="152"/>
              <w:rPr>
                <w:sz w:val="16"/>
              </w:rPr>
            </w:pPr>
            <w:r>
              <w:rPr>
                <w:w w:val="105"/>
                <w:sz w:val="16"/>
              </w:rPr>
              <w:t>Other</w:t>
            </w:r>
            <w:r>
              <w:rPr>
                <w:spacing w:val="-10"/>
                <w:w w:val="105"/>
                <w:sz w:val="16"/>
              </w:rPr>
              <w:t> </w:t>
            </w:r>
            <w:r>
              <w:rPr>
                <w:w w:val="105"/>
                <w:sz w:val="16"/>
              </w:rPr>
              <w:t>current</w:t>
            </w:r>
            <w:r>
              <w:rPr>
                <w:spacing w:val="-9"/>
                <w:w w:val="105"/>
                <w:sz w:val="16"/>
              </w:rPr>
              <w:t> </w:t>
            </w:r>
            <w:r>
              <w:rPr>
                <w:spacing w:val="-2"/>
                <w:w w:val="105"/>
                <w:sz w:val="16"/>
              </w:rPr>
              <w:t>assets</w:t>
            </w:r>
          </w:p>
        </w:tc>
        <w:tc>
          <w:tcPr>
            <w:tcW w:w="3522" w:type="dxa"/>
            <w:tcBorders>
              <w:bottom w:val="single" w:sz="6" w:space="0" w:color="000000"/>
            </w:tcBorders>
            <w:shd w:val="clear" w:color="auto" w:fill="CCEDFF"/>
          </w:tcPr>
          <w:p>
            <w:pPr>
              <w:pStyle w:val="TableParagraph"/>
              <w:rPr>
                <w:sz w:val="14"/>
              </w:rPr>
            </w:pPr>
          </w:p>
        </w:tc>
        <w:tc>
          <w:tcPr>
            <w:tcW w:w="1005" w:type="dxa"/>
            <w:tcBorders>
              <w:bottom w:val="single" w:sz="6" w:space="0" w:color="000000"/>
            </w:tcBorders>
            <w:shd w:val="clear" w:color="auto" w:fill="CCEDFF"/>
          </w:tcPr>
          <w:p>
            <w:pPr>
              <w:pStyle w:val="TableParagraph"/>
              <w:spacing w:line="179" w:lineRule="exact" w:before="3"/>
              <w:ind w:right="113"/>
              <w:jc w:val="right"/>
              <w:rPr>
                <w:b/>
                <w:sz w:val="16"/>
              </w:rPr>
            </w:pPr>
            <w:r>
              <w:rPr>
                <w:b/>
                <w:spacing w:val="-5"/>
                <w:w w:val="105"/>
                <w:sz w:val="16"/>
              </w:rPr>
              <w:t>690</w:t>
            </w:r>
          </w:p>
        </w:tc>
        <w:tc>
          <w:tcPr>
            <w:tcW w:w="715" w:type="dxa"/>
            <w:tcBorders>
              <w:bottom w:val="single" w:sz="6" w:space="0" w:color="000000"/>
            </w:tcBorders>
            <w:shd w:val="clear" w:color="auto" w:fill="CCEDFF"/>
          </w:tcPr>
          <w:p>
            <w:pPr>
              <w:pStyle w:val="TableParagraph"/>
              <w:rPr>
                <w:sz w:val="14"/>
              </w:rPr>
            </w:pPr>
          </w:p>
        </w:tc>
        <w:tc>
          <w:tcPr>
            <w:tcW w:w="1005" w:type="dxa"/>
            <w:tcBorders>
              <w:bottom w:val="single" w:sz="6" w:space="0" w:color="000000"/>
            </w:tcBorders>
            <w:shd w:val="clear" w:color="auto" w:fill="CCEDFF"/>
          </w:tcPr>
          <w:p>
            <w:pPr>
              <w:pStyle w:val="TableParagraph"/>
              <w:spacing w:line="179" w:lineRule="exact" w:before="3"/>
              <w:ind w:right="114"/>
              <w:jc w:val="right"/>
              <w:rPr>
                <w:sz w:val="16"/>
              </w:rPr>
            </w:pPr>
            <w:r>
              <w:rPr>
                <w:spacing w:val="-5"/>
                <w:w w:val="105"/>
                <w:sz w:val="16"/>
              </w:rPr>
              <w:t>613</w:t>
            </w:r>
          </w:p>
        </w:tc>
      </w:tr>
      <w:tr>
        <w:trPr>
          <w:trHeight w:val="199" w:hRule="atLeast"/>
        </w:trPr>
        <w:tc>
          <w:tcPr>
            <w:tcW w:w="5270" w:type="dxa"/>
            <w:tcBorders>
              <w:top w:val="single" w:sz="6" w:space="0" w:color="000000"/>
              <w:bottom w:val="double" w:sz="6" w:space="0" w:color="000000"/>
            </w:tcBorders>
          </w:tcPr>
          <w:p>
            <w:pPr>
              <w:pStyle w:val="TableParagraph"/>
              <w:spacing w:line="177" w:lineRule="exact" w:before="2"/>
              <w:rPr>
                <w:sz w:val="16"/>
              </w:rPr>
            </w:pPr>
            <w:r>
              <w:rPr>
                <w:w w:val="105"/>
                <w:sz w:val="16"/>
              </w:rPr>
              <w:t>Other</w:t>
            </w:r>
            <w:r>
              <w:rPr>
                <w:spacing w:val="-10"/>
                <w:w w:val="105"/>
                <w:sz w:val="16"/>
              </w:rPr>
              <w:t> </w:t>
            </w:r>
            <w:r>
              <w:rPr>
                <w:w w:val="105"/>
                <w:sz w:val="16"/>
              </w:rPr>
              <w:t>current</w:t>
            </w:r>
            <w:r>
              <w:rPr>
                <w:spacing w:val="-9"/>
                <w:w w:val="105"/>
                <w:sz w:val="16"/>
              </w:rPr>
              <w:t> </w:t>
            </w:r>
            <w:r>
              <w:rPr>
                <w:spacing w:val="-2"/>
                <w:w w:val="105"/>
                <w:sz w:val="16"/>
              </w:rPr>
              <w:t>assets</w:t>
            </w:r>
          </w:p>
        </w:tc>
        <w:tc>
          <w:tcPr>
            <w:tcW w:w="3522" w:type="dxa"/>
            <w:tcBorders>
              <w:top w:val="single" w:sz="6" w:space="0" w:color="000000"/>
              <w:bottom w:val="double" w:sz="6" w:space="0" w:color="000000"/>
            </w:tcBorders>
          </w:tcPr>
          <w:p>
            <w:pPr>
              <w:pStyle w:val="TableParagraph"/>
              <w:spacing w:line="177" w:lineRule="exact" w:before="2"/>
              <w:ind w:right="516"/>
              <w:jc w:val="right"/>
              <w:rPr>
                <w:b/>
                <w:sz w:val="16"/>
              </w:rPr>
            </w:pPr>
            <w:r>
              <w:rPr>
                <w:b/>
                <w:spacing w:val="-10"/>
                <w:w w:val="105"/>
                <w:sz w:val="16"/>
              </w:rPr>
              <w:t>$</w:t>
            </w:r>
          </w:p>
        </w:tc>
        <w:tc>
          <w:tcPr>
            <w:tcW w:w="1005" w:type="dxa"/>
            <w:tcBorders>
              <w:top w:val="single" w:sz="6" w:space="0" w:color="000000"/>
              <w:bottom w:val="double" w:sz="6" w:space="0" w:color="000000"/>
            </w:tcBorders>
          </w:tcPr>
          <w:p>
            <w:pPr>
              <w:pStyle w:val="TableParagraph"/>
              <w:spacing w:line="177" w:lineRule="exact" w:before="2"/>
              <w:ind w:right="113"/>
              <w:jc w:val="right"/>
              <w:rPr>
                <w:b/>
                <w:sz w:val="16"/>
              </w:rPr>
            </w:pPr>
            <w:r>
              <w:rPr>
                <w:b/>
                <w:spacing w:val="-4"/>
                <w:w w:val="105"/>
                <w:sz w:val="16"/>
              </w:rPr>
              <w:t>1,026</w:t>
            </w:r>
          </w:p>
        </w:tc>
        <w:tc>
          <w:tcPr>
            <w:tcW w:w="715" w:type="dxa"/>
            <w:tcBorders>
              <w:top w:val="single" w:sz="6" w:space="0" w:color="000000"/>
              <w:bottom w:val="double" w:sz="6" w:space="0" w:color="000000"/>
            </w:tcBorders>
          </w:tcPr>
          <w:p>
            <w:pPr>
              <w:pStyle w:val="TableParagraph"/>
              <w:spacing w:line="177" w:lineRule="exact" w:before="2"/>
              <w:ind w:left="113"/>
              <w:rPr>
                <w:sz w:val="16"/>
              </w:rPr>
            </w:pPr>
            <w:r>
              <w:rPr>
                <w:spacing w:val="-10"/>
                <w:w w:val="105"/>
                <w:sz w:val="16"/>
              </w:rPr>
              <w:t>$</w:t>
            </w:r>
          </w:p>
        </w:tc>
        <w:tc>
          <w:tcPr>
            <w:tcW w:w="1005" w:type="dxa"/>
            <w:tcBorders>
              <w:top w:val="single" w:sz="6" w:space="0" w:color="000000"/>
              <w:bottom w:val="double" w:sz="6" w:space="0" w:color="000000"/>
            </w:tcBorders>
          </w:tcPr>
          <w:p>
            <w:pPr>
              <w:pStyle w:val="TableParagraph"/>
              <w:spacing w:line="177" w:lineRule="exact" w:before="2"/>
              <w:ind w:right="114"/>
              <w:jc w:val="right"/>
              <w:rPr>
                <w:sz w:val="16"/>
              </w:rPr>
            </w:pPr>
            <w:r>
              <w:rPr>
                <w:spacing w:val="-5"/>
                <w:w w:val="105"/>
                <w:sz w:val="16"/>
              </w:rPr>
              <w:t>761</w:t>
            </w:r>
          </w:p>
        </w:tc>
      </w:tr>
      <w:tr>
        <w:trPr>
          <w:trHeight w:val="200" w:hRule="atLeast"/>
        </w:trPr>
        <w:tc>
          <w:tcPr>
            <w:tcW w:w="5270" w:type="dxa"/>
            <w:tcBorders>
              <w:top w:val="double" w:sz="6" w:space="0" w:color="000000"/>
            </w:tcBorders>
            <w:shd w:val="clear" w:color="auto" w:fill="CCEDFF"/>
          </w:tcPr>
          <w:p>
            <w:pPr>
              <w:pStyle w:val="TableParagraph"/>
              <w:rPr>
                <w:sz w:val="12"/>
              </w:rPr>
            </w:pPr>
          </w:p>
        </w:tc>
        <w:tc>
          <w:tcPr>
            <w:tcW w:w="3522" w:type="dxa"/>
            <w:tcBorders>
              <w:top w:val="double" w:sz="6" w:space="0" w:color="000000"/>
            </w:tcBorders>
            <w:shd w:val="clear" w:color="auto" w:fill="CCEDFF"/>
          </w:tcPr>
          <w:p>
            <w:pPr>
              <w:pStyle w:val="TableParagraph"/>
              <w:rPr>
                <w:sz w:val="12"/>
              </w:rPr>
            </w:pPr>
          </w:p>
        </w:tc>
        <w:tc>
          <w:tcPr>
            <w:tcW w:w="1005" w:type="dxa"/>
            <w:tcBorders>
              <w:top w:val="double" w:sz="6" w:space="0" w:color="000000"/>
            </w:tcBorders>
            <w:shd w:val="clear" w:color="auto" w:fill="CCEDFF"/>
          </w:tcPr>
          <w:p>
            <w:pPr>
              <w:pStyle w:val="TableParagraph"/>
              <w:rPr>
                <w:sz w:val="12"/>
              </w:rPr>
            </w:pPr>
          </w:p>
        </w:tc>
        <w:tc>
          <w:tcPr>
            <w:tcW w:w="715" w:type="dxa"/>
            <w:tcBorders>
              <w:top w:val="double" w:sz="6" w:space="0" w:color="000000"/>
            </w:tcBorders>
            <w:shd w:val="clear" w:color="auto" w:fill="CCEDFF"/>
          </w:tcPr>
          <w:p>
            <w:pPr>
              <w:pStyle w:val="TableParagraph"/>
              <w:rPr>
                <w:sz w:val="12"/>
              </w:rPr>
            </w:pPr>
          </w:p>
        </w:tc>
        <w:tc>
          <w:tcPr>
            <w:tcW w:w="1005" w:type="dxa"/>
            <w:tcBorders>
              <w:top w:val="double" w:sz="6" w:space="0" w:color="000000"/>
            </w:tcBorders>
            <w:shd w:val="clear" w:color="auto" w:fill="CCEDFF"/>
          </w:tcPr>
          <w:p>
            <w:pPr>
              <w:pStyle w:val="TableParagraph"/>
              <w:rPr>
                <w:sz w:val="12"/>
              </w:rPr>
            </w:pPr>
          </w:p>
        </w:tc>
      </w:tr>
      <w:tr>
        <w:trPr>
          <w:trHeight w:val="203" w:hRule="atLeast"/>
        </w:trPr>
        <w:tc>
          <w:tcPr>
            <w:tcW w:w="5270" w:type="dxa"/>
          </w:tcPr>
          <w:p>
            <w:pPr>
              <w:pStyle w:val="TableParagraph"/>
              <w:spacing w:line="180" w:lineRule="exact" w:before="3"/>
              <w:rPr>
                <w:sz w:val="16"/>
              </w:rPr>
            </w:pPr>
            <w:r>
              <w:rPr>
                <w:sz w:val="16"/>
              </w:rPr>
              <w:t>Non-current</w:t>
            </w:r>
            <w:r>
              <w:rPr>
                <w:spacing w:val="24"/>
                <w:sz w:val="16"/>
              </w:rPr>
              <w:t> </w:t>
            </w:r>
            <w:r>
              <w:rPr>
                <w:spacing w:val="-2"/>
                <w:sz w:val="16"/>
              </w:rPr>
              <w:t>assets:</w:t>
            </w:r>
          </w:p>
        </w:tc>
        <w:tc>
          <w:tcPr>
            <w:tcW w:w="3522" w:type="dxa"/>
          </w:tcPr>
          <w:p>
            <w:pPr>
              <w:pStyle w:val="TableParagraph"/>
              <w:rPr>
                <w:sz w:val="14"/>
              </w:rPr>
            </w:pPr>
          </w:p>
        </w:tc>
        <w:tc>
          <w:tcPr>
            <w:tcW w:w="1005" w:type="dxa"/>
          </w:tcPr>
          <w:p>
            <w:pPr>
              <w:pStyle w:val="TableParagraph"/>
              <w:rPr>
                <w:sz w:val="14"/>
              </w:rPr>
            </w:pPr>
          </w:p>
        </w:tc>
        <w:tc>
          <w:tcPr>
            <w:tcW w:w="715" w:type="dxa"/>
          </w:tcPr>
          <w:p>
            <w:pPr>
              <w:pStyle w:val="TableParagraph"/>
              <w:rPr>
                <w:sz w:val="14"/>
              </w:rPr>
            </w:pPr>
          </w:p>
        </w:tc>
        <w:tc>
          <w:tcPr>
            <w:tcW w:w="1005" w:type="dxa"/>
          </w:tcPr>
          <w:p>
            <w:pPr>
              <w:pStyle w:val="TableParagraph"/>
              <w:rPr>
                <w:sz w:val="14"/>
              </w:rPr>
            </w:pPr>
          </w:p>
        </w:tc>
      </w:tr>
      <w:tr>
        <w:trPr>
          <w:trHeight w:val="203" w:hRule="atLeast"/>
        </w:trPr>
        <w:tc>
          <w:tcPr>
            <w:tcW w:w="5270" w:type="dxa"/>
            <w:shd w:val="clear" w:color="auto" w:fill="CCEDFF"/>
          </w:tcPr>
          <w:p>
            <w:pPr>
              <w:pStyle w:val="TableParagraph"/>
              <w:spacing w:line="180" w:lineRule="exact" w:before="3"/>
              <w:ind w:right="2919"/>
              <w:jc w:val="right"/>
              <w:rPr>
                <w:sz w:val="16"/>
              </w:rPr>
            </w:pPr>
            <w:r>
              <w:rPr>
                <w:sz w:val="16"/>
              </w:rPr>
              <w:t>Derivative</w:t>
            </w:r>
            <w:r>
              <w:rPr>
                <w:spacing w:val="15"/>
                <w:sz w:val="16"/>
              </w:rPr>
              <w:t> </w:t>
            </w:r>
            <w:r>
              <w:rPr>
                <w:sz w:val="16"/>
              </w:rPr>
              <w:t>instruments</w:t>
            </w:r>
            <w:r>
              <w:rPr>
                <w:spacing w:val="18"/>
                <w:sz w:val="16"/>
              </w:rPr>
              <w:t> </w:t>
            </w:r>
            <w:r>
              <w:rPr>
                <w:sz w:val="16"/>
              </w:rPr>
              <w:t>(Note</w:t>
            </w:r>
            <w:r>
              <w:rPr>
                <w:spacing w:val="15"/>
                <w:sz w:val="16"/>
              </w:rPr>
              <w:t> </w:t>
            </w:r>
            <w:r>
              <w:rPr>
                <w:spacing w:val="-5"/>
                <w:sz w:val="16"/>
              </w:rPr>
              <w:t>15)</w:t>
            </w:r>
          </w:p>
        </w:tc>
        <w:tc>
          <w:tcPr>
            <w:tcW w:w="3522" w:type="dxa"/>
            <w:shd w:val="clear" w:color="auto" w:fill="CCEDFF"/>
          </w:tcPr>
          <w:p>
            <w:pPr>
              <w:pStyle w:val="TableParagraph"/>
              <w:spacing w:line="180" w:lineRule="exact" w:before="3"/>
              <w:ind w:right="516"/>
              <w:jc w:val="right"/>
              <w:rPr>
                <w:b/>
                <w:sz w:val="16"/>
              </w:rPr>
            </w:pPr>
            <w:r>
              <w:rPr>
                <w:b/>
                <w:spacing w:val="-10"/>
                <w:w w:val="105"/>
                <w:sz w:val="16"/>
              </w:rPr>
              <w:t>$</w:t>
            </w:r>
          </w:p>
        </w:tc>
        <w:tc>
          <w:tcPr>
            <w:tcW w:w="1005" w:type="dxa"/>
            <w:shd w:val="clear" w:color="auto" w:fill="CCEDFF"/>
          </w:tcPr>
          <w:p>
            <w:pPr>
              <w:pStyle w:val="TableParagraph"/>
              <w:spacing w:line="180" w:lineRule="exact" w:before="3"/>
              <w:ind w:right="113"/>
              <w:jc w:val="right"/>
              <w:rPr>
                <w:b/>
                <w:sz w:val="16"/>
              </w:rPr>
            </w:pPr>
            <w:r>
              <w:rPr>
                <w:b/>
                <w:spacing w:val="-5"/>
                <w:w w:val="105"/>
                <w:sz w:val="16"/>
              </w:rPr>
              <w:t>164</w:t>
            </w:r>
          </w:p>
        </w:tc>
        <w:tc>
          <w:tcPr>
            <w:tcW w:w="715" w:type="dxa"/>
            <w:shd w:val="clear" w:color="auto" w:fill="CCEDFF"/>
          </w:tcPr>
          <w:p>
            <w:pPr>
              <w:pStyle w:val="TableParagraph"/>
              <w:spacing w:line="180" w:lineRule="exact" w:before="3"/>
              <w:ind w:left="113"/>
              <w:rPr>
                <w:sz w:val="16"/>
              </w:rPr>
            </w:pPr>
            <w:r>
              <w:rPr>
                <w:spacing w:val="-10"/>
                <w:w w:val="105"/>
                <w:sz w:val="16"/>
              </w:rPr>
              <w:t>$</w:t>
            </w:r>
          </w:p>
        </w:tc>
        <w:tc>
          <w:tcPr>
            <w:tcW w:w="1005" w:type="dxa"/>
            <w:shd w:val="clear" w:color="auto" w:fill="CCEDFF"/>
          </w:tcPr>
          <w:p>
            <w:pPr>
              <w:pStyle w:val="TableParagraph"/>
              <w:spacing w:line="180" w:lineRule="exact" w:before="3"/>
              <w:ind w:right="114"/>
              <w:jc w:val="right"/>
              <w:rPr>
                <w:sz w:val="16"/>
              </w:rPr>
            </w:pPr>
            <w:r>
              <w:rPr>
                <w:spacing w:val="-5"/>
                <w:w w:val="105"/>
                <w:sz w:val="16"/>
              </w:rPr>
              <w:t>123</w:t>
            </w:r>
          </w:p>
        </w:tc>
      </w:tr>
      <w:tr>
        <w:trPr>
          <w:trHeight w:val="203" w:hRule="atLeast"/>
        </w:trPr>
        <w:tc>
          <w:tcPr>
            <w:tcW w:w="5270" w:type="dxa"/>
          </w:tcPr>
          <w:p>
            <w:pPr>
              <w:pStyle w:val="TableParagraph"/>
              <w:spacing w:line="180" w:lineRule="exact" w:before="3"/>
              <w:ind w:left="152"/>
              <w:rPr>
                <w:sz w:val="16"/>
              </w:rPr>
            </w:pPr>
            <w:r>
              <w:rPr>
                <w:w w:val="105"/>
                <w:sz w:val="16"/>
              </w:rPr>
              <w:t>South</w:t>
            </w:r>
            <w:r>
              <w:rPr>
                <w:spacing w:val="-8"/>
                <w:w w:val="105"/>
                <w:sz w:val="16"/>
              </w:rPr>
              <w:t> </w:t>
            </w:r>
            <w:r>
              <w:rPr>
                <w:w w:val="105"/>
                <w:sz w:val="16"/>
              </w:rPr>
              <w:t>Korean</w:t>
            </w:r>
            <w:r>
              <w:rPr>
                <w:spacing w:val="-8"/>
                <w:w w:val="105"/>
                <w:sz w:val="16"/>
              </w:rPr>
              <w:t> </w:t>
            </w:r>
            <w:r>
              <w:rPr>
                <w:w w:val="105"/>
                <w:sz w:val="16"/>
              </w:rPr>
              <w:t>tax</w:t>
            </w:r>
            <w:r>
              <w:rPr>
                <w:spacing w:val="-8"/>
                <w:w w:val="105"/>
                <w:sz w:val="16"/>
              </w:rPr>
              <w:t> </w:t>
            </w:r>
            <w:r>
              <w:rPr>
                <w:spacing w:val="-2"/>
                <w:w w:val="105"/>
                <w:sz w:val="16"/>
              </w:rPr>
              <w:t>deposits</w:t>
            </w:r>
          </w:p>
        </w:tc>
        <w:tc>
          <w:tcPr>
            <w:tcW w:w="3522" w:type="dxa"/>
          </w:tcPr>
          <w:p>
            <w:pPr>
              <w:pStyle w:val="TableParagraph"/>
              <w:rPr>
                <w:sz w:val="14"/>
              </w:rPr>
            </w:pPr>
          </w:p>
        </w:tc>
        <w:tc>
          <w:tcPr>
            <w:tcW w:w="1005" w:type="dxa"/>
          </w:tcPr>
          <w:p>
            <w:pPr>
              <w:pStyle w:val="TableParagraph"/>
              <w:spacing w:line="180" w:lineRule="exact" w:before="3"/>
              <w:ind w:right="113"/>
              <w:jc w:val="right"/>
              <w:rPr>
                <w:b/>
                <w:sz w:val="16"/>
              </w:rPr>
            </w:pPr>
            <w:r>
              <w:rPr>
                <w:b/>
                <w:spacing w:val="-5"/>
                <w:w w:val="105"/>
                <w:sz w:val="16"/>
              </w:rPr>
              <w:t>350</w:t>
            </w:r>
          </w:p>
        </w:tc>
        <w:tc>
          <w:tcPr>
            <w:tcW w:w="715" w:type="dxa"/>
          </w:tcPr>
          <w:p>
            <w:pPr>
              <w:pStyle w:val="TableParagraph"/>
              <w:rPr>
                <w:sz w:val="14"/>
              </w:rPr>
            </w:pPr>
          </w:p>
        </w:tc>
        <w:tc>
          <w:tcPr>
            <w:tcW w:w="1005" w:type="dxa"/>
          </w:tcPr>
          <w:p>
            <w:pPr>
              <w:pStyle w:val="TableParagraph"/>
              <w:spacing w:line="180" w:lineRule="exact" w:before="3"/>
              <w:ind w:right="114"/>
              <w:jc w:val="right"/>
              <w:rPr>
                <w:sz w:val="16"/>
              </w:rPr>
            </w:pPr>
            <w:r>
              <w:rPr>
                <w:spacing w:val="-5"/>
                <w:w w:val="105"/>
                <w:sz w:val="16"/>
              </w:rPr>
              <w:t>365</w:t>
            </w:r>
          </w:p>
        </w:tc>
      </w:tr>
      <w:tr>
        <w:trPr>
          <w:trHeight w:val="203" w:hRule="atLeast"/>
        </w:trPr>
        <w:tc>
          <w:tcPr>
            <w:tcW w:w="5270" w:type="dxa"/>
            <w:shd w:val="clear" w:color="auto" w:fill="CCEDFF"/>
          </w:tcPr>
          <w:p>
            <w:pPr>
              <w:pStyle w:val="TableParagraph"/>
              <w:spacing w:line="180" w:lineRule="exact" w:before="3"/>
              <w:ind w:left="152"/>
              <w:rPr>
                <w:sz w:val="16"/>
              </w:rPr>
            </w:pPr>
            <w:r>
              <w:rPr>
                <w:sz w:val="16"/>
              </w:rPr>
              <w:t>Operating</w:t>
            </w:r>
            <w:r>
              <w:rPr>
                <w:spacing w:val="13"/>
                <w:sz w:val="16"/>
              </w:rPr>
              <w:t> </w:t>
            </w:r>
            <w:r>
              <w:rPr>
                <w:sz w:val="16"/>
              </w:rPr>
              <w:t>leases</w:t>
            </w:r>
            <w:r>
              <w:rPr>
                <w:spacing w:val="13"/>
                <w:sz w:val="16"/>
              </w:rPr>
              <w:t> </w:t>
            </w:r>
            <w:r>
              <w:rPr>
                <w:sz w:val="16"/>
              </w:rPr>
              <w:t>(Note</w:t>
            </w:r>
            <w:r>
              <w:rPr>
                <w:spacing w:val="13"/>
                <w:sz w:val="16"/>
              </w:rPr>
              <w:t> </w:t>
            </w:r>
            <w:r>
              <w:rPr>
                <w:spacing w:val="-5"/>
                <w:sz w:val="16"/>
              </w:rPr>
              <w:t>7)</w:t>
            </w:r>
          </w:p>
        </w:tc>
        <w:tc>
          <w:tcPr>
            <w:tcW w:w="3522"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3"/>
              <w:jc w:val="right"/>
              <w:rPr>
                <w:b/>
                <w:sz w:val="16"/>
              </w:rPr>
            </w:pPr>
            <w:r>
              <w:rPr>
                <w:b/>
                <w:spacing w:val="-5"/>
                <w:w w:val="105"/>
                <w:sz w:val="16"/>
              </w:rPr>
              <w:t>741</w:t>
            </w:r>
          </w:p>
        </w:tc>
        <w:tc>
          <w:tcPr>
            <w:tcW w:w="715"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4"/>
              <w:jc w:val="right"/>
              <w:rPr>
                <w:sz w:val="16"/>
              </w:rPr>
            </w:pPr>
            <w:r>
              <w:rPr>
                <w:spacing w:val="-5"/>
                <w:w w:val="105"/>
                <w:sz w:val="16"/>
              </w:rPr>
              <w:t>680</w:t>
            </w:r>
          </w:p>
        </w:tc>
      </w:tr>
      <w:tr>
        <w:trPr>
          <w:trHeight w:val="203" w:hRule="atLeast"/>
        </w:trPr>
        <w:tc>
          <w:tcPr>
            <w:tcW w:w="5270" w:type="dxa"/>
          </w:tcPr>
          <w:p>
            <w:pPr>
              <w:pStyle w:val="TableParagraph"/>
              <w:spacing w:line="180" w:lineRule="exact" w:before="3"/>
              <w:ind w:left="152"/>
              <w:rPr>
                <w:sz w:val="16"/>
              </w:rPr>
            </w:pPr>
            <w:r>
              <w:rPr>
                <w:sz w:val="16"/>
              </w:rPr>
              <w:t>Investments</w:t>
            </w:r>
            <w:r>
              <w:rPr>
                <w:spacing w:val="13"/>
                <w:sz w:val="16"/>
              </w:rPr>
              <w:t> </w:t>
            </w:r>
            <w:r>
              <w:rPr>
                <w:sz w:val="16"/>
              </w:rPr>
              <w:t>(Note</w:t>
            </w:r>
            <w:r>
              <w:rPr>
                <w:spacing w:val="13"/>
                <w:sz w:val="16"/>
              </w:rPr>
              <w:t> </w:t>
            </w:r>
            <w:r>
              <w:rPr>
                <w:spacing w:val="-5"/>
                <w:sz w:val="16"/>
              </w:rPr>
              <w:t>3)</w:t>
            </w:r>
          </w:p>
        </w:tc>
        <w:tc>
          <w:tcPr>
            <w:tcW w:w="3522" w:type="dxa"/>
          </w:tcPr>
          <w:p>
            <w:pPr>
              <w:pStyle w:val="TableParagraph"/>
              <w:rPr>
                <w:sz w:val="14"/>
              </w:rPr>
            </w:pPr>
          </w:p>
        </w:tc>
        <w:tc>
          <w:tcPr>
            <w:tcW w:w="1005" w:type="dxa"/>
          </w:tcPr>
          <w:p>
            <w:pPr>
              <w:pStyle w:val="TableParagraph"/>
              <w:spacing w:line="180" w:lineRule="exact" w:before="3"/>
              <w:ind w:right="113"/>
              <w:jc w:val="right"/>
              <w:rPr>
                <w:b/>
                <w:sz w:val="16"/>
              </w:rPr>
            </w:pPr>
            <w:r>
              <w:rPr>
                <w:b/>
                <w:spacing w:val="-5"/>
                <w:w w:val="105"/>
                <w:sz w:val="16"/>
              </w:rPr>
              <w:t>318</w:t>
            </w:r>
          </w:p>
        </w:tc>
        <w:tc>
          <w:tcPr>
            <w:tcW w:w="715" w:type="dxa"/>
          </w:tcPr>
          <w:p>
            <w:pPr>
              <w:pStyle w:val="TableParagraph"/>
              <w:rPr>
                <w:sz w:val="14"/>
              </w:rPr>
            </w:pPr>
          </w:p>
        </w:tc>
        <w:tc>
          <w:tcPr>
            <w:tcW w:w="1005" w:type="dxa"/>
          </w:tcPr>
          <w:p>
            <w:pPr>
              <w:pStyle w:val="TableParagraph"/>
              <w:spacing w:line="180" w:lineRule="exact" w:before="3"/>
              <w:ind w:right="114"/>
              <w:jc w:val="right"/>
              <w:rPr>
                <w:sz w:val="16"/>
              </w:rPr>
            </w:pPr>
            <w:r>
              <w:rPr>
                <w:spacing w:val="-5"/>
                <w:w w:val="105"/>
                <w:sz w:val="16"/>
              </w:rPr>
              <w:t>435</w:t>
            </w:r>
          </w:p>
        </w:tc>
      </w:tr>
      <w:tr>
        <w:trPr>
          <w:trHeight w:val="202" w:hRule="atLeast"/>
        </w:trPr>
        <w:tc>
          <w:tcPr>
            <w:tcW w:w="5270" w:type="dxa"/>
            <w:tcBorders>
              <w:bottom w:val="single" w:sz="6" w:space="0" w:color="000000"/>
            </w:tcBorders>
            <w:shd w:val="clear" w:color="auto" w:fill="CCEDFF"/>
          </w:tcPr>
          <w:p>
            <w:pPr>
              <w:pStyle w:val="TableParagraph"/>
              <w:spacing w:line="179" w:lineRule="exact" w:before="3"/>
              <w:ind w:left="152"/>
              <w:rPr>
                <w:sz w:val="16"/>
              </w:rPr>
            </w:pPr>
            <w:r>
              <w:rPr>
                <w:sz w:val="16"/>
              </w:rPr>
              <w:t>Other</w:t>
            </w:r>
            <w:r>
              <w:rPr>
                <w:spacing w:val="17"/>
                <w:sz w:val="16"/>
              </w:rPr>
              <w:t> </w:t>
            </w:r>
            <w:r>
              <w:rPr>
                <w:sz w:val="16"/>
              </w:rPr>
              <w:t>non-current</w:t>
            </w:r>
            <w:r>
              <w:rPr>
                <w:spacing w:val="18"/>
                <w:sz w:val="16"/>
              </w:rPr>
              <w:t> </w:t>
            </w:r>
            <w:r>
              <w:rPr>
                <w:spacing w:val="-2"/>
                <w:sz w:val="16"/>
              </w:rPr>
              <w:t>assets</w:t>
            </w:r>
          </w:p>
        </w:tc>
        <w:tc>
          <w:tcPr>
            <w:tcW w:w="3522" w:type="dxa"/>
            <w:tcBorders>
              <w:bottom w:val="single" w:sz="6" w:space="0" w:color="000000"/>
            </w:tcBorders>
            <w:shd w:val="clear" w:color="auto" w:fill="CCEDFF"/>
          </w:tcPr>
          <w:p>
            <w:pPr>
              <w:pStyle w:val="TableParagraph"/>
              <w:rPr>
                <w:sz w:val="14"/>
              </w:rPr>
            </w:pPr>
          </w:p>
        </w:tc>
        <w:tc>
          <w:tcPr>
            <w:tcW w:w="1005" w:type="dxa"/>
            <w:tcBorders>
              <w:bottom w:val="single" w:sz="6" w:space="0" w:color="000000"/>
            </w:tcBorders>
            <w:shd w:val="clear" w:color="auto" w:fill="CCEDFF"/>
          </w:tcPr>
          <w:p>
            <w:pPr>
              <w:pStyle w:val="TableParagraph"/>
              <w:spacing w:line="179" w:lineRule="exact" w:before="3"/>
              <w:ind w:right="113"/>
              <w:jc w:val="right"/>
              <w:rPr>
                <w:b/>
                <w:sz w:val="16"/>
              </w:rPr>
            </w:pPr>
            <w:r>
              <w:rPr>
                <w:b/>
                <w:spacing w:val="-5"/>
                <w:w w:val="105"/>
                <w:sz w:val="16"/>
              </w:rPr>
              <w:t>483</w:t>
            </w:r>
          </w:p>
        </w:tc>
        <w:tc>
          <w:tcPr>
            <w:tcW w:w="715" w:type="dxa"/>
            <w:tcBorders>
              <w:bottom w:val="single" w:sz="6" w:space="0" w:color="000000"/>
            </w:tcBorders>
            <w:shd w:val="clear" w:color="auto" w:fill="CCEDFF"/>
          </w:tcPr>
          <w:p>
            <w:pPr>
              <w:pStyle w:val="TableParagraph"/>
              <w:rPr>
                <w:sz w:val="14"/>
              </w:rPr>
            </w:pPr>
          </w:p>
        </w:tc>
        <w:tc>
          <w:tcPr>
            <w:tcW w:w="1005" w:type="dxa"/>
            <w:tcBorders>
              <w:bottom w:val="single" w:sz="6" w:space="0" w:color="000000"/>
            </w:tcBorders>
            <w:shd w:val="clear" w:color="auto" w:fill="CCEDFF"/>
          </w:tcPr>
          <w:p>
            <w:pPr>
              <w:pStyle w:val="TableParagraph"/>
              <w:spacing w:line="179" w:lineRule="exact" w:before="3"/>
              <w:ind w:right="114"/>
              <w:jc w:val="right"/>
              <w:rPr>
                <w:sz w:val="16"/>
              </w:rPr>
            </w:pPr>
            <w:r>
              <w:rPr>
                <w:spacing w:val="-5"/>
                <w:w w:val="105"/>
                <w:sz w:val="16"/>
              </w:rPr>
              <w:t>537</w:t>
            </w:r>
          </w:p>
        </w:tc>
      </w:tr>
      <w:tr>
        <w:trPr>
          <w:trHeight w:val="199" w:hRule="atLeast"/>
        </w:trPr>
        <w:tc>
          <w:tcPr>
            <w:tcW w:w="5270" w:type="dxa"/>
            <w:tcBorders>
              <w:top w:val="single" w:sz="6" w:space="0" w:color="000000"/>
              <w:bottom w:val="double" w:sz="6" w:space="0" w:color="000000"/>
            </w:tcBorders>
          </w:tcPr>
          <w:p>
            <w:pPr>
              <w:pStyle w:val="TableParagraph"/>
              <w:spacing w:line="177" w:lineRule="exact" w:before="2"/>
              <w:rPr>
                <w:sz w:val="16"/>
              </w:rPr>
            </w:pPr>
            <w:r>
              <w:rPr>
                <w:w w:val="105"/>
                <w:sz w:val="16"/>
              </w:rPr>
              <w:t>Other</w:t>
            </w:r>
            <w:r>
              <w:rPr>
                <w:spacing w:val="-9"/>
                <w:w w:val="105"/>
                <w:sz w:val="16"/>
              </w:rPr>
              <w:t> </w:t>
            </w:r>
            <w:r>
              <w:rPr>
                <w:spacing w:val="-2"/>
                <w:w w:val="105"/>
                <w:sz w:val="16"/>
              </w:rPr>
              <w:t>assets</w:t>
            </w:r>
          </w:p>
        </w:tc>
        <w:tc>
          <w:tcPr>
            <w:tcW w:w="3522" w:type="dxa"/>
            <w:tcBorders>
              <w:top w:val="single" w:sz="6" w:space="0" w:color="000000"/>
              <w:bottom w:val="double" w:sz="6" w:space="0" w:color="000000"/>
            </w:tcBorders>
          </w:tcPr>
          <w:p>
            <w:pPr>
              <w:pStyle w:val="TableParagraph"/>
              <w:spacing w:line="177" w:lineRule="exact" w:before="2"/>
              <w:ind w:right="516"/>
              <w:jc w:val="right"/>
              <w:rPr>
                <w:b/>
                <w:sz w:val="16"/>
              </w:rPr>
            </w:pPr>
            <w:r>
              <w:rPr>
                <w:b/>
                <w:spacing w:val="-10"/>
                <w:w w:val="105"/>
                <w:sz w:val="16"/>
              </w:rPr>
              <w:t>$</w:t>
            </w:r>
          </w:p>
        </w:tc>
        <w:tc>
          <w:tcPr>
            <w:tcW w:w="1005" w:type="dxa"/>
            <w:tcBorders>
              <w:top w:val="single" w:sz="6" w:space="0" w:color="000000"/>
              <w:bottom w:val="double" w:sz="6" w:space="0" w:color="000000"/>
            </w:tcBorders>
          </w:tcPr>
          <w:p>
            <w:pPr>
              <w:pStyle w:val="TableParagraph"/>
              <w:spacing w:line="177" w:lineRule="exact" w:before="2"/>
              <w:ind w:right="113"/>
              <w:jc w:val="right"/>
              <w:rPr>
                <w:b/>
                <w:sz w:val="16"/>
              </w:rPr>
            </w:pPr>
            <w:r>
              <w:rPr>
                <w:b/>
                <w:spacing w:val="-4"/>
                <w:w w:val="105"/>
                <w:sz w:val="16"/>
              </w:rPr>
              <w:t>2,056</w:t>
            </w:r>
          </w:p>
        </w:tc>
        <w:tc>
          <w:tcPr>
            <w:tcW w:w="715" w:type="dxa"/>
            <w:tcBorders>
              <w:top w:val="single" w:sz="6" w:space="0" w:color="000000"/>
              <w:bottom w:val="double" w:sz="6" w:space="0" w:color="000000"/>
            </w:tcBorders>
          </w:tcPr>
          <w:p>
            <w:pPr>
              <w:pStyle w:val="TableParagraph"/>
              <w:spacing w:line="177" w:lineRule="exact" w:before="2"/>
              <w:ind w:left="113"/>
              <w:rPr>
                <w:sz w:val="16"/>
              </w:rPr>
            </w:pPr>
            <w:r>
              <w:rPr>
                <w:spacing w:val="-10"/>
                <w:w w:val="105"/>
                <w:sz w:val="16"/>
              </w:rPr>
              <w:t>$</w:t>
            </w:r>
          </w:p>
        </w:tc>
        <w:tc>
          <w:tcPr>
            <w:tcW w:w="1005" w:type="dxa"/>
            <w:tcBorders>
              <w:top w:val="single" w:sz="6" w:space="0" w:color="000000"/>
              <w:bottom w:val="double" w:sz="6" w:space="0" w:color="000000"/>
            </w:tcBorders>
          </w:tcPr>
          <w:p>
            <w:pPr>
              <w:pStyle w:val="TableParagraph"/>
              <w:spacing w:line="177" w:lineRule="exact" w:before="2"/>
              <w:ind w:right="114"/>
              <w:jc w:val="right"/>
              <w:rPr>
                <w:sz w:val="16"/>
              </w:rPr>
            </w:pPr>
            <w:r>
              <w:rPr>
                <w:spacing w:val="-4"/>
                <w:w w:val="105"/>
                <w:sz w:val="16"/>
              </w:rPr>
              <w:t>2,140</w:t>
            </w:r>
          </w:p>
        </w:tc>
      </w:tr>
      <w:tr>
        <w:trPr>
          <w:trHeight w:val="389" w:hRule="atLeast"/>
        </w:trPr>
        <w:tc>
          <w:tcPr>
            <w:tcW w:w="5270" w:type="dxa"/>
            <w:tcBorders>
              <w:top w:val="double" w:sz="6" w:space="0" w:color="000000"/>
            </w:tcBorders>
          </w:tcPr>
          <w:p>
            <w:pPr>
              <w:pStyle w:val="TableParagraph"/>
              <w:spacing w:before="19"/>
              <w:rPr>
                <w:sz w:val="16"/>
              </w:rPr>
            </w:pPr>
          </w:p>
          <w:p>
            <w:pPr>
              <w:pStyle w:val="TableParagraph"/>
              <w:spacing w:line="165" w:lineRule="exact" w:before="1"/>
              <w:rPr>
                <w:b/>
                <w:i/>
                <w:sz w:val="16"/>
              </w:rPr>
            </w:pPr>
            <w:r>
              <w:rPr>
                <w:b/>
                <w:i/>
                <w:spacing w:val="-2"/>
                <w:w w:val="105"/>
                <w:sz w:val="16"/>
              </w:rPr>
              <w:t>South Korean tax deposits</w:t>
            </w:r>
          </w:p>
        </w:tc>
        <w:tc>
          <w:tcPr>
            <w:tcW w:w="3522" w:type="dxa"/>
            <w:tcBorders>
              <w:top w:val="double" w:sz="6" w:space="0" w:color="000000"/>
            </w:tcBorders>
          </w:tcPr>
          <w:p>
            <w:pPr>
              <w:pStyle w:val="TableParagraph"/>
              <w:rPr>
                <w:sz w:val="16"/>
              </w:rPr>
            </w:pPr>
          </w:p>
        </w:tc>
        <w:tc>
          <w:tcPr>
            <w:tcW w:w="1005" w:type="dxa"/>
            <w:tcBorders>
              <w:top w:val="double" w:sz="6" w:space="0" w:color="000000"/>
            </w:tcBorders>
          </w:tcPr>
          <w:p>
            <w:pPr>
              <w:pStyle w:val="TableParagraph"/>
              <w:rPr>
                <w:sz w:val="16"/>
              </w:rPr>
            </w:pPr>
          </w:p>
        </w:tc>
        <w:tc>
          <w:tcPr>
            <w:tcW w:w="715" w:type="dxa"/>
            <w:tcBorders>
              <w:top w:val="double" w:sz="6" w:space="0" w:color="000000"/>
            </w:tcBorders>
          </w:tcPr>
          <w:p>
            <w:pPr>
              <w:pStyle w:val="TableParagraph"/>
              <w:rPr>
                <w:sz w:val="16"/>
              </w:rPr>
            </w:pPr>
          </w:p>
        </w:tc>
        <w:tc>
          <w:tcPr>
            <w:tcW w:w="1005" w:type="dxa"/>
            <w:tcBorders>
              <w:top w:val="double" w:sz="6" w:space="0" w:color="000000"/>
            </w:tcBorders>
          </w:tcPr>
          <w:p>
            <w:pPr>
              <w:pStyle w:val="TableParagraph"/>
              <w:rPr>
                <w:sz w:val="16"/>
              </w:rPr>
            </w:pPr>
          </w:p>
        </w:tc>
      </w:tr>
    </w:tbl>
    <w:p>
      <w:pPr>
        <w:pStyle w:val="BodyText"/>
        <w:spacing w:before="62"/>
      </w:pPr>
    </w:p>
    <w:p>
      <w:pPr>
        <w:pStyle w:val="BodyText"/>
        <w:spacing w:line="266" w:lineRule="auto"/>
        <w:ind w:left="156" w:right="328"/>
      </w:pPr>
      <w:r>
        <w:rPr>
          <w:w w:val="105"/>
        </w:rPr>
        <w:t>CPM</w:t>
      </w:r>
      <w:r>
        <w:rPr>
          <w:spacing w:val="-8"/>
          <w:w w:val="105"/>
        </w:rPr>
        <w:t> </w:t>
      </w:r>
      <w:r>
        <w:rPr>
          <w:w w:val="105"/>
        </w:rPr>
        <w:t>is</w:t>
      </w:r>
      <w:r>
        <w:rPr>
          <w:spacing w:val="-8"/>
          <w:w w:val="105"/>
        </w:rPr>
        <w:t> </w:t>
      </w:r>
      <w:r>
        <w:rPr>
          <w:w w:val="105"/>
        </w:rPr>
        <w:t>currently</w:t>
      </w:r>
      <w:r>
        <w:rPr>
          <w:spacing w:val="-8"/>
          <w:w w:val="105"/>
        </w:rPr>
        <w:t> </w:t>
      </w:r>
      <w:r>
        <w:rPr>
          <w:w w:val="105"/>
        </w:rPr>
        <w:t>appealing</w:t>
      </w:r>
      <w:r>
        <w:rPr>
          <w:spacing w:val="-8"/>
          <w:w w:val="105"/>
        </w:rPr>
        <w:t> </w:t>
      </w:r>
      <w:r>
        <w:rPr>
          <w:w w:val="105"/>
        </w:rPr>
        <w:t>certain</w:t>
      </w:r>
      <w:r>
        <w:rPr>
          <w:spacing w:val="-8"/>
          <w:w w:val="105"/>
        </w:rPr>
        <w:t> </w:t>
      </w:r>
      <w:r>
        <w:rPr>
          <w:w w:val="105"/>
        </w:rPr>
        <w:t>tax</w:t>
      </w:r>
      <w:r>
        <w:rPr>
          <w:spacing w:val="-8"/>
          <w:w w:val="105"/>
        </w:rPr>
        <w:t> </w:t>
      </w:r>
      <w:r>
        <w:rPr>
          <w:w w:val="105"/>
        </w:rPr>
        <w:t>assessments</w:t>
      </w:r>
      <w:r>
        <w:rPr>
          <w:spacing w:val="-8"/>
          <w:w w:val="105"/>
        </w:rPr>
        <w:t> </w:t>
      </w:r>
      <w:r>
        <w:rPr>
          <w:w w:val="105"/>
        </w:rPr>
        <w:t>and</w:t>
      </w:r>
      <w:r>
        <w:rPr>
          <w:spacing w:val="-8"/>
          <w:w w:val="105"/>
        </w:rPr>
        <w:t> </w:t>
      </w:r>
      <w:r>
        <w:rPr>
          <w:w w:val="105"/>
        </w:rPr>
        <w:t>tax</w:t>
      </w:r>
      <w:r>
        <w:rPr>
          <w:spacing w:val="-8"/>
          <w:w w:val="105"/>
        </w:rPr>
        <w:t> </w:t>
      </w:r>
      <w:r>
        <w:rPr>
          <w:w w:val="105"/>
        </w:rPr>
        <w:t>refund</w:t>
      </w:r>
      <w:r>
        <w:rPr>
          <w:spacing w:val="-8"/>
          <w:w w:val="105"/>
        </w:rPr>
        <w:t> </w:t>
      </w:r>
      <w:r>
        <w:rPr>
          <w:w w:val="105"/>
        </w:rPr>
        <w:t>claims</w:t>
      </w:r>
      <w:r>
        <w:rPr>
          <w:spacing w:val="-8"/>
          <w:w w:val="105"/>
        </w:rPr>
        <w:t> </w:t>
      </w:r>
      <w:r>
        <w:rPr>
          <w:w w:val="105"/>
        </w:rPr>
        <w:t>for</w:t>
      </w:r>
      <w:r>
        <w:rPr>
          <w:spacing w:val="-8"/>
          <w:w w:val="105"/>
        </w:rPr>
        <w:t> </w:t>
      </w:r>
      <w:r>
        <w:rPr>
          <w:w w:val="105"/>
        </w:rPr>
        <w:t>tax</w:t>
      </w:r>
      <w:r>
        <w:rPr>
          <w:spacing w:val="-8"/>
          <w:w w:val="105"/>
        </w:rPr>
        <w:t> </w:t>
      </w:r>
      <w:r>
        <w:rPr>
          <w:w w:val="105"/>
        </w:rPr>
        <w:t>years</w:t>
      </w:r>
      <w:r>
        <w:rPr>
          <w:spacing w:val="-7"/>
          <w:w w:val="105"/>
        </w:rPr>
        <w:t> </w:t>
      </w:r>
      <w:r>
        <w:rPr>
          <w:w w:val="105"/>
        </w:rPr>
        <w:t>2010</w:t>
      </w:r>
      <w:r>
        <w:rPr>
          <w:spacing w:val="-8"/>
          <w:w w:val="105"/>
        </w:rPr>
        <w:t> </w:t>
      </w:r>
      <w:r>
        <w:rPr>
          <w:w w:val="105"/>
        </w:rPr>
        <w:t>through</w:t>
      </w:r>
      <w:r>
        <w:rPr>
          <w:spacing w:val="-8"/>
          <w:w w:val="105"/>
        </w:rPr>
        <w:t> </w:t>
      </w:r>
      <w:r>
        <w:rPr>
          <w:w w:val="105"/>
        </w:rPr>
        <w:t>2018.</w:t>
      </w:r>
      <w:r>
        <w:rPr>
          <w:spacing w:val="27"/>
          <w:w w:val="105"/>
        </w:rPr>
        <w:t> </w:t>
      </w:r>
      <w:r>
        <w:rPr>
          <w:w w:val="105"/>
        </w:rPr>
        <w:t>The</w:t>
      </w:r>
      <w:r>
        <w:rPr>
          <w:spacing w:val="-8"/>
          <w:w w:val="105"/>
        </w:rPr>
        <w:t> </w:t>
      </w:r>
      <w:r>
        <w:rPr>
          <w:w w:val="105"/>
        </w:rPr>
        <w:t>Company</w:t>
      </w:r>
      <w:r>
        <w:rPr>
          <w:spacing w:val="-8"/>
          <w:w w:val="105"/>
        </w:rPr>
        <w:t> </w:t>
      </w:r>
      <w:r>
        <w:rPr>
          <w:w w:val="105"/>
        </w:rPr>
        <w:t>is</w:t>
      </w:r>
      <w:r>
        <w:rPr>
          <w:spacing w:val="-8"/>
          <w:w w:val="105"/>
        </w:rPr>
        <w:t> </w:t>
      </w:r>
      <w:r>
        <w:rPr>
          <w:w w:val="105"/>
        </w:rPr>
        <w:t>required</w:t>
      </w:r>
      <w:r>
        <w:rPr>
          <w:spacing w:val="-8"/>
          <w:w w:val="105"/>
        </w:rPr>
        <w:t> </w:t>
      </w:r>
      <w:r>
        <w:rPr>
          <w:w w:val="105"/>
        </w:rPr>
        <w:t>to</w:t>
      </w:r>
      <w:r>
        <w:rPr>
          <w:spacing w:val="-8"/>
          <w:w w:val="105"/>
        </w:rPr>
        <w:t> </w:t>
      </w:r>
      <w:r>
        <w:rPr>
          <w:w w:val="105"/>
        </w:rPr>
        <w:t>deposit</w:t>
      </w:r>
      <w:r>
        <w:rPr>
          <w:spacing w:val="-6"/>
          <w:w w:val="105"/>
        </w:rPr>
        <w:t> </w:t>
      </w:r>
      <w:r>
        <w:rPr>
          <w:w w:val="105"/>
        </w:rPr>
        <w:t>the</w:t>
      </w:r>
      <w:r>
        <w:rPr>
          <w:spacing w:val="-8"/>
          <w:w w:val="105"/>
        </w:rPr>
        <w:t> </w:t>
      </w:r>
      <w:r>
        <w:rPr>
          <w:w w:val="105"/>
        </w:rPr>
        <w:t>disputed</w:t>
      </w:r>
      <w:r>
        <w:rPr>
          <w:spacing w:val="-8"/>
          <w:w w:val="105"/>
        </w:rPr>
        <w:t> </w:t>
      </w:r>
      <w:r>
        <w:rPr>
          <w:w w:val="105"/>
        </w:rPr>
        <w:t>tax</w:t>
      </w:r>
      <w:r>
        <w:rPr>
          <w:spacing w:val="-8"/>
          <w:w w:val="105"/>
        </w:rPr>
        <w:t> </w:t>
      </w:r>
      <w:r>
        <w:rPr>
          <w:w w:val="105"/>
        </w:rPr>
        <w:t>amounts with</w:t>
      </w:r>
      <w:r>
        <w:rPr>
          <w:spacing w:val="-2"/>
          <w:w w:val="105"/>
        </w:rPr>
        <w:t> </w:t>
      </w:r>
      <w:r>
        <w:rPr>
          <w:w w:val="105"/>
        </w:rPr>
        <w:t>the</w:t>
      </w:r>
      <w:r>
        <w:rPr>
          <w:spacing w:val="-2"/>
          <w:w w:val="105"/>
        </w:rPr>
        <w:t> </w:t>
      </w:r>
      <w:r>
        <w:rPr>
          <w:w w:val="105"/>
        </w:rPr>
        <w:t>South</w:t>
      </w:r>
      <w:r>
        <w:rPr>
          <w:spacing w:val="-2"/>
          <w:w w:val="105"/>
        </w:rPr>
        <w:t> </w:t>
      </w:r>
      <w:r>
        <w:rPr>
          <w:w w:val="105"/>
        </w:rPr>
        <w:t>Korean</w:t>
      </w:r>
      <w:r>
        <w:rPr>
          <w:spacing w:val="-2"/>
          <w:w w:val="105"/>
        </w:rPr>
        <w:t> </w:t>
      </w:r>
      <w:r>
        <w:rPr>
          <w:w w:val="105"/>
        </w:rPr>
        <w:t>government</w:t>
      </w:r>
      <w:r>
        <w:rPr>
          <w:spacing w:val="-2"/>
          <w:w w:val="105"/>
        </w:rPr>
        <w:t> </w:t>
      </w:r>
      <w:r>
        <w:rPr>
          <w:w w:val="105"/>
        </w:rPr>
        <w:t>as</w:t>
      </w:r>
      <w:r>
        <w:rPr>
          <w:spacing w:val="-2"/>
          <w:w w:val="105"/>
        </w:rPr>
        <w:t> </w:t>
      </w:r>
      <w:r>
        <w:rPr>
          <w:w w:val="105"/>
        </w:rPr>
        <w:t>a condition</w:t>
      </w:r>
      <w:r>
        <w:rPr>
          <w:spacing w:val="-2"/>
          <w:w w:val="105"/>
        </w:rPr>
        <w:t> </w:t>
      </w:r>
      <w:r>
        <w:rPr>
          <w:w w:val="105"/>
        </w:rPr>
        <w:t>of</w:t>
      </w:r>
      <w:r>
        <w:rPr>
          <w:spacing w:val="-2"/>
          <w:w w:val="105"/>
        </w:rPr>
        <w:t> </w:t>
      </w:r>
      <w:r>
        <w:rPr>
          <w:w w:val="105"/>
        </w:rPr>
        <w:t>its</w:t>
      </w:r>
      <w:r>
        <w:rPr>
          <w:spacing w:val="-2"/>
          <w:w w:val="105"/>
        </w:rPr>
        <w:t> </w:t>
      </w:r>
      <w:r>
        <w:rPr>
          <w:w w:val="105"/>
        </w:rPr>
        <w:t>appeal</w:t>
      </w:r>
      <w:r>
        <w:rPr>
          <w:spacing w:val="-2"/>
          <w:w w:val="105"/>
        </w:rPr>
        <w:t> </w:t>
      </w:r>
      <w:r>
        <w:rPr>
          <w:w w:val="105"/>
        </w:rPr>
        <w:t>of</w:t>
      </w:r>
      <w:r>
        <w:rPr>
          <w:spacing w:val="-2"/>
          <w:w w:val="105"/>
        </w:rPr>
        <w:t> </w:t>
      </w:r>
      <w:r>
        <w:rPr>
          <w:w w:val="105"/>
        </w:rPr>
        <w:t>any tax</w:t>
      </w:r>
      <w:r>
        <w:rPr>
          <w:spacing w:val="-2"/>
          <w:w w:val="105"/>
        </w:rPr>
        <w:t> </w:t>
      </w:r>
      <w:r>
        <w:rPr>
          <w:w w:val="105"/>
        </w:rPr>
        <w:t>assessments.</w:t>
      </w:r>
      <w:r>
        <w:rPr>
          <w:spacing w:val="38"/>
          <w:w w:val="105"/>
        </w:rPr>
        <w:t> </w:t>
      </w:r>
      <w:r>
        <w:rPr>
          <w:w w:val="105"/>
        </w:rPr>
        <w:t>Corning</w:t>
      </w:r>
      <w:r>
        <w:rPr>
          <w:spacing w:val="-2"/>
          <w:w w:val="105"/>
        </w:rPr>
        <w:t> </w:t>
      </w:r>
      <w:r>
        <w:rPr>
          <w:w w:val="105"/>
        </w:rPr>
        <w:t>believes that</w:t>
      </w:r>
      <w:r>
        <w:rPr>
          <w:spacing w:val="-2"/>
          <w:w w:val="105"/>
        </w:rPr>
        <w:t> </w:t>
      </w:r>
      <w:r>
        <w:rPr>
          <w:w w:val="105"/>
        </w:rPr>
        <w:t>it</w:t>
      </w:r>
      <w:r>
        <w:rPr>
          <w:spacing w:val="-2"/>
          <w:w w:val="105"/>
        </w:rPr>
        <w:t> </w:t>
      </w:r>
      <w:r>
        <w:rPr>
          <w:w w:val="105"/>
        </w:rPr>
        <w:t>is</w:t>
      </w:r>
      <w:r>
        <w:rPr>
          <w:spacing w:val="-2"/>
          <w:w w:val="105"/>
        </w:rPr>
        <w:t> </w:t>
      </w:r>
      <w:r>
        <w:rPr>
          <w:w w:val="105"/>
        </w:rPr>
        <w:t>more</w:t>
      </w:r>
      <w:r>
        <w:rPr>
          <w:spacing w:val="-2"/>
          <w:w w:val="105"/>
        </w:rPr>
        <w:t> </w:t>
      </w:r>
      <w:r>
        <w:rPr>
          <w:w w:val="105"/>
        </w:rPr>
        <w:t>likely than</w:t>
      </w:r>
      <w:r>
        <w:rPr>
          <w:spacing w:val="-2"/>
          <w:w w:val="105"/>
        </w:rPr>
        <w:t> </w:t>
      </w:r>
      <w:r>
        <w:rPr>
          <w:w w:val="105"/>
        </w:rPr>
        <w:t>not</w:t>
      </w:r>
      <w:r>
        <w:rPr>
          <w:spacing w:val="-2"/>
          <w:w w:val="105"/>
        </w:rPr>
        <w:t> </w:t>
      </w:r>
      <w:r>
        <w:rPr>
          <w:w w:val="105"/>
        </w:rPr>
        <w:t>that</w:t>
      </w:r>
      <w:r>
        <w:rPr>
          <w:spacing w:val="-2"/>
          <w:w w:val="105"/>
        </w:rPr>
        <w:t> </w:t>
      </w:r>
      <w:r>
        <w:rPr>
          <w:w w:val="105"/>
        </w:rPr>
        <w:t>we</w:t>
      </w:r>
      <w:r>
        <w:rPr>
          <w:spacing w:val="-2"/>
          <w:w w:val="105"/>
        </w:rPr>
        <w:t> </w:t>
      </w:r>
      <w:r>
        <w:rPr>
          <w:w w:val="105"/>
        </w:rPr>
        <w:t>will</w:t>
      </w:r>
      <w:r>
        <w:rPr>
          <w:spacing w:val="-2"/>
          <w:w w:val="105"/>
        </w:rPr>
        <w:t> </w:t>
      </w:r>
      <w:r>
        <w:rPr>
          <w:w w:val="105"/>
        </w:rPr>
        <w:t>prevail</w:t>
      </w:r>
      <w:r>
        <w:rPr>
          <w:spacing w:val="-2"/>
          <w:w w:val="105"/>
        </w:rPr>
        <w:t> </w:t>
      </w:r>
      <w:r>
        <w:rPr>
          <w:w w:val="105"/>
        </w:rPr>
        <w:t>in</w:t>
      </w:r>
      <w:r>
        <w:rPr>
          <w:spacing w:val="-2"/>
          <w:w w:val="105"/>
        </w:rPr>
        <w:t> </w:t>
      </w:r>
      <w:r>
        <w:rPr>
          <w:w w:val="105"/>
        </w:rPr>
        <w:t>the</w:t>
      </w:r>
      <w:r>
        <w:rPr>
          <w:spacing w:val="-2"/>
          <w:w w:val="105"/>
        </w:rPr>
        <w:t> </w:t>
      </w:r>
      <w:r>
        <w:rPr>
          <w:w w:val="105"/>
        </w:rPr>
        <w:t>appeal process.</w:t>
      </w:r>
      <w:r>
        <w:rPr>
          <w:spacing w:val="40"/>
          <w:w w:val="105"/>
        </w:rPr>
        <w:t> </w:t>
      </w:r>
      <w:r>
        <w:rPr>
          <w:w w:val="105"/>
        </w:rPr>
        <w:t>Refer to Note 8 (Income Taxes) to the consolidated financial statements</w:t>
      </w:r>
      <w:r>
        <w:rPr>
          <w:spacing w:val="-1"/>
          <w:w w:val="105"/>
        </w:rPr>
        <w:t> </w:t>
      </w:r>
      <w:r>
        <w:rPr>
          <w:w w:val="105"/>
        </w:rPr>
        <w:t>for additional information.</w:t>
      </w:r>
    </w:p>
    <w:p>
      <w:pPr>
        <w:pStyle w:val="BodyText"/>
        <w:spacing w:before="1"/>
        <w:rPr>
          <w:sz w:val="9"/>
        </w:rPr>
      </w:pPr>
    </w:p>
    <w:p>
      <w:pPr>
        <w:spacing w:after="0"/>
        <w:rPr>
          <w:sz w:val="9"/>
        </w:rPr>
        <w:sectPr>
          <w:type w:val="continuous"/>
          <w:pgSz w:w="12240" w:h="15840"/>
          <w:pgMar w:header="428" w:footer="0" w:top="700" w:bottom="280" w:left="200" w:right="260"/>
        </w:sectPr>
      </w:pPr>
    </w:p>
    <w:p>
      <w:pPr>
        <w:pStyle w:val="BodyText"/>
        <w:spacing w:before="98"/>
        <w:ind w:left="156"/>
      </w:pPr>
      <w:r>
        <w:rPr/>
        <mc:AlternateContent>
          <mc:Choice Requires="wps">
            <w:drawing>
              <wp:anchor distT="0" distB="0" distL="0" distR="0" allowOverlap="1" layoutInCell="1" locked="0" behindDoc="0" simplePos="0" relativeHeight="15833600">
                <wp:simplePos x="0" y="0"/>
                <wp:positionH relativeFrom="page">
                  <wp:posOffset>226479</wp:posOffset>
                </wp:positionH>
                <wp:positionV relativeFrom="paragraph">
                  <wp:posOffset>262421</wp:posOffset>
                </wp:positionV>
                <wp:extent cx="7312659" cy="1651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7312659" cy="16510"/>
                        </a:xfrm>
                        <a:custGeom>
                          <a:avLst/>
                          <a:gdLst/>
                          <a:ahLst/>
                          <a:cxnLst/>
                          <a:rect l="l" t="t" r="r" b="b"/>
                          <a:pathLst>
                            <a:path w="7312659" h="16510">
                              <a:moveTo>
                                <a:pt x="7312342" y="0"/>
                              </a:moveTo>
                              <a:lnTo>
                                <a:pt x="7239546" y="0"/>
                              </a:lnTo>
                              <a:lnTo>
                                <a:pt x="5201145" y="0"/>
                              </a:lnTo>
                              <a:lnTo>
                                <a:pt x="5120259" y="0"/>
                              </a:lnTo>
                              <a:lnTo>
                                <a:pt x="0" y="0"/>
                              </a:lnTo>
                              <a:lnTo>
                                <a:pt x="0" y="16167"/>
                              </a:lnTo>
                              <a:lnTo>
                                <a:pt x="5120259" y="16167"/>
                              </a:lnTo>
                              <a:lnTo>
                                <a:pt x="5201145" y="16167"/>
                              </a:lnTo>
                              <a:lnTo>
                                <a:pt x="7239546"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20.663086pt;width:575.8pt;height:1.3pt;mso-position-horizontal-relative:page;mso-position-vertical-relative:paragraph;z-index:15833600" id="docshape399" coordorigin="357,413" coordsize="11516,26" path="m11872,413l11758,413,8547,413,8420,413,357,413,357,439,8420,439,8547,439,11758,439,11872,439,11872,413xe" filled="true" fillcolor="#000000" stroked="false">
                <v:path arrowok="t"/>
                <v:fill type="solid"/>
                <w10:wrap type="none"/>
              </v:shape>
            </w:pict>
          </mc:Fallback>
        </mc:AlternateContent>
      </w:r>
      <w:r>
        <w:rPr>
          <w:w w:val="105"/>
        </w:rPr>
        <w:t>Other</w:t>
      </w:r>
      <w:r>
        <w:rPr>
          <w:spacing w:val="-11"/>
          <w:w w:val="105"/>
        </w:rPr>
        <w:t> </w:t>
      </w:r>
      <w:r>
        <w:rPr>
          <w:w w:val="105"/>
        </w:rPr>
        <w:t>liabilities</w:t>
      </w:r>
      <w:r>
        <w:rPr>
          <w:spacing w:val="-10"/>
          <w:w w:val="105"/>
        </w:rPr>
        <w:t> </w:t>
      </w:r>
      <w:r>
        <w:rPr>
          <w:w w:val="105"/>
        </w:rPr>
        <w:t>were</w:t>
      </w:r>
      <w:r>
        <w:rPr>
          <w:spacing w:val="-11"/>
          <w:w w:val="105"/>
        </w:rPr>
        <w:t> </w:t>
      </w:r>
      <w:r>
        <w:rPr>
          <w:w w:val="105"/>
        </w:rPr>
        <w:t>as</w:t>
      </w:r>
      <w:r>
        <w:rPr>
          <w:spacing w:val="-10"/>
          <w:w w:val="105"/>
        </w:rPr>
        <w:t> </w:t>
      </w:r>
      <w:r>
        <w:rPr>
          <w:w w:val="105"/>
        </w:rPr>
        <w:t>follows</w:t>
      </w:r>
      <w:r>
        <w:rPr>
          <w:spacing w:val="-10"/>
          <w:w w:val="105"/>
        </w:rPr>
        <w:t> </w:t>
      </w:r>
      <w:r>
        <w:rPr>
          <w:w w:val="105"/>
        </w:rPr>
        <w:t>(in</w:t>
      </w:r>
      <w:r>
        <w:rPr>
          <w:spacing w:val="-11"/>
          <w:w w:val="105"/>
        </w:rPr>
        <w:t> </w:t>
      </w:r>
      <w:r>
        <w:rPr>
          <w:spacing w:val="-2"/>
          <w:w w:val="105"/>
        </w:rPr>
        <w:t>millions):</w:t>
      </w:r>
    </w:p>
    <w:p>
      <w:pPr>
        <w:spacing w:line="240" w:lineRule="auto" w:before="0"/>
        <w:rPr>
          <w:sz w:val="16"/>
        </w:rPr>
      </w:pPr>
      <w:r>
        <w:rPr/>
        <w:br w:type="column"/>
      </w:r>
      <w:r>
        <w:rPr>
          <w:sz w:val="16"/>
        </w:rPr>
      </w:r>
    </w:p>
    <w:p>
      <w:pPr>
        <w:pStyle w:val="BodyText"/>
        <w:spacing w:before="74"/>
      </w:pPr>
    </w:p>
    <w:p>
      <w:pPr>
        <w:pStyle w:val="BodyText"/>
        <w:ind w:right="643"/>
        <w:jc w:val="center"/>
      </w:pPr>
      <w:r>
        <w:rPr/>
        <w:t>December</w:t>
      </w:r>
      <w:r>
        <w:rPr>
          <w:spacing w:val="20"/>
        </w:rPr>
        <w:t> </w:t>
      </w:r>
      <w:r>
        <w:rPr>
          <w:spacing w:val="-5"/>
        </w:rPr>
        <w:t>31,</w:t>
      </w:r>
    </w:p>
    <w:p>
      <w:pPr>
        <w:pStyle w:val="BodyText"/>
        <w:spacing w:line="20" w:lineRule="exact"/>
        <w:ind w:left="-423"/>
        <w:rPr>
          <w:sz w:val="2"/>
        </w:rPr>
      </w:pPr>
      <w:r>
        <w:rPr>
          <w:sz w:val="2"/>
        </w:rPr>
        <mc:AlternateContent>
          <mc:Choice Requires="wps">
            <w:drawing>
              <wp:inline distT="0" distB="0" distL="0" distR="0">
                <wp:extent cx="2111375" cy="8255"/>
                <wp:effectExtent l="0" t="0" r="0" b="0"/>
                <wp:docPr id="401" name="Group 401"/>
                <wp:cNvGraphicFramePr>
                  <a:graphicFrameLocks/>
                </wp:cNvGraphicFramePr>
                <a:graphic>
                  <a:graphicData uri="http://schemas.microsoft.com/office/word/2010/wordprocessingGroup">
                    <wpg:wgp>
                      <wpg:cNvPr id="401" name="Group 401"/>
                      <wpg:cNvGrpSpPr/>
                      <wpg:grpSpPr>
                        <a:xfrm>
                          <a:off x="0" y="0"/>
                          <a:ext cx="2111375" cy="8255"/>
                          <a:chExt cx="2111375" cy="8255"/>
                        </a:xfrm>
                      </wpg:grpSpPr>
                      <wps:wsp>
                        <wps:cNvPr id="402" name="Graphic 402"/>
                        <wps:cNvSpPr/>
                        <wps:spPr>
                          <a:xfrm>
                            <a:off x="-10" y="4"/>
                            <a:ext cx="2111375" cy="8255"/>
                          </a:xfrm>
                          <a:custGeom>
                            <a:avLst/>
                            <a:gdLst/>
                            <a:ahLst/>
                            <a:cxnLst/>
                            <a:rect l="l" t="t" r="r" b="b"/>
                            <a:pathLst>
                              <a:path w="2111375" h="8255">
                                <a:moveTo>
                                  <a:pt x="2111197" y="0"/>
                                </a:moveTo>
                                <a:lnTo>
                                  <a:pt x="2038400" y="0"/>
                                </a:lnTo>
                                <a:lnTo>
                                  <a:pt x="0" y="0"/>
                                </a:lnTo>
                                <a:lnTo>
                                  <a:pt x="0" y="8089"/>
                                </a:lnTo>
                                <a:lnTo>
                                  <a:pt x="2038400" y="8089"/>
                                </a:lnTo>
                                <a:lnTo>
                                  <a:pt x="2111197" y="8089"/>
                                </a:lnTo>
                                <a:lnTo>
                                  <a:pt x="21111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6.25pt;height:.65pt;mso-position-horizontal-relative:char;mso-position-vertical-relative:line" id="docshapegroup400" coordorigin="0,0" coordsize="3325,13">
                <v:shape style="position:absolute;left:-1;top:0;width:3325;height:13" id="docshape401" coordorigin="0,0" coordsize="3325,13" path="m3325,0l3210,0,0,0,0,13,3210,13,3325,13,3325,0xe" filled="true" fillcolor="#000000" stroked="false">
                  <v:path arrowok="t"/>
                  <v:fill type="solid"/>
                </v:shape>
              </v:group>
            </w:pict>
          </mc:Fallback>
        </mc:AlternateContent>
      </w:r>
      <w:r>
        <w:rPr>
          <w:sz w:val="2"/>
        </w:rPr>
      </w:r>
    </w:p>
    <w:p>
      <w:pPr>
        <w:tabs>
          <w:tab w:pos="1719" w:val="left" w:leader="none"/>
        </w:tabs>
        <w:spacing w:before="13"/>
        <w:ind w:left="0" w:right="643" w:firstLine="0"/>
        <w:jc w:val="center"/>
        <w:rPr>
          <w:sz w:val="16"/>
        </w:rPr>
      </w:pPr>
      <w:r>
        <w:rPr>
          <w:b/>
          <w:spacing w:val="-4"/>
          <w:w w:val="105"/>
          <w:sz w:val="16"/>
        </w:rPr>
        <w:t>2021</w:t>
      </w:r>
      <w:r>
        <w:rPr>
          <w:b/>
          <w:sz w:val="16"/>
        </w:rPr>
        <w:tab/>
      </w:r>
      <w:r>
        <w:rPr>
          <w:spacing w:val="-4"/>
          <w:w w:val="105"/>
          <w:sz w:val="16"/>
        </w:rPr>
        <w:t>2020</w:t>
      </w:r>
    </w:p>
    <w:p>
      <w:pPr>
        <w:spacing w:after="0"/>
        <w:jc w:val="center"/>
        <w:rPr>
          <w:sz w:val="16"/>
        </w:rPr>
        <w:sectPr>
          <w:type w:val="continuous"/>
          <w:pgSz w:w="12240" w:h="15840"/>
          <w:pgMar w:header="428" w:footer="0" w:top="700" w:bottom="280" w:left="200" w:right="260"/>
          <w:cols w:num="2" w:equalWidth="0">
            <w:col w:w="3225" w:space="5545"/>
            <w:col w:w="3010"/>
          </w:cols>
        </w:sect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3"/>
        <w:gridCol w:w="2814"/>
        <w:gridCol w:w="1776"/>
        <w:gridCol w:w="1005"/>
        <w:gridCol w:w="715"/>
        <w:gridCol w:w="1005"/>
      </w:tblGrid>
      <w:tr>
        <w:trPr>
          <w:trHeight w:val="202" w:hRule="atLeast"/>
        </w:trPr>
        <w:tc>
          <w:tcPr>
            <w:tcW w:w="4203" w:type="dxa"/>
            <w:tcBorders>
              <w:top w:val="single" w:sz="6" w:space="0" w:color="000000"/>
            </w:tcBorders>
            <w:shd w:val="clear" w:color="auto" w:fill="CCEDFF"/>
          </w:tcPr>
          <w:p>
            <w:pPr>
              <w:pStyle w:val="TableParagraph"/>
              <w:spacing w:line="180" w:lineRule="exact" w:before="2"/>
              <w:rPr>
                <w:sz w:val="16"/>
              </w:rPr>
            </w:pPr>
            <w:r>
              <w:rPr>
                <w:sz w:val="16"/>
              </w:rPr>
              <w:t>Current</w:t>
            </w:r>
            <w:r>
              <w:rPr>
                <w:spacing w:val="15"/>
                <w:sz w:val="16"/>
              </w:rPr>
              <w:t> </w:t>
            </w:r>
            <w:r>
              <w:rPr>
                <w:spacing w:val="-2"/>
                <w:sz w:val="16"/>
              </w:rPr>
              <w:t>liabilities:</w:t>
            </w:r>
          </w:p>
        </w:tc>
        <w:tc>
          <w:tcPr>
            <w:tcW w:w="7315" w:type="dxa"/>
            <w:gridSpan w:val="5"/>
            <w:tcBorders>
              <w:top w:val="single" w:sz="6" w:space="0" w:color="000000"/>
            </w:tcBorders>
            <w:shd w:val="clear" w:color="auto" w:fill="CCEDFF"/>
          </w:tcPr>
          <w:p>
            <w:pPr>
              <w:pStyle w:val="TableParagraph"/>
              <w:rPr>
                <w:sz w:val="14"/>
              </w:rPr>
            </w:pPr>
          </w:p>
        </w:tc>
      </w:tr>
      <w:tr>
        <w:trPr>
          <w:trHeight w:val="203" w:hRule="atLeast"/>
        </w:trPr>
        <w:tc>
          <w:tcPr>
            <w:tcW w:w="4203" w:type="dxa"/>
          </w:tcPr>
          <w:p>
            <w:pPr>
              <w:pStyle w:val="TableParagraph"/>
              <w:spacing w:line="180" w:lineRule="exact" w:before="3"/>
              <w:ind w:left="152"/>
              <w:rPr>
                <w:sz w:val="16"/>
              </w:rPr>
            </w:pPr>
            <w:r>
              <w:rPr>
                <w:w w:val="105"/>
                <w:sz w:val="16"/>
              </w:rPr>
              <w:t>Wages</w:t>
            </w:r>
            <w:r>
              <w:rPr>
                <w:spacing w:val="-10"/>
                <w:w w:val="105"/>
                <w:sz w:val="16"/>
              </w:rPr>
              <w:t> </w:t>
            </w:r>
            <w:r>
              <w:rPr>
                <w:w w:val="105"/>
                <w:sz w:val="16"/>
              </w:rPr>
              <w:t>and</w:t>
            </w:r>
            <w:r>
              <w:rPr>
                <w:spacing w:val="-10"/>
                <w:w w:val="105"/>
                <w:sz w:val="16"/>
              </w:rPr>
              <w:t> </w:t>
            </w:r>
            <w:r>
              <w:rPr>
                <w:w w:val="105"/>
                <w:sz w:val="16"/>
              </w:rPr>
              <w:t>employee</w:t>
            </w:r>
            <w:r>
              <w:rPr>
                <w:spacing w:val="-9"/>
                <w:w w:val="105"/>
                <w:sz w:val="16"/>
              </w:rPr>
              <w:t> </w:t>
            </w:r>
            <w:r>
              <w:rPr>
                <w:spacing w:val="-2"/>
                <w:w w:val="105"/>
                <w:sz w:val="16"/>
              </w:rPr>
              <w:t>benefits</w:t>
            </w:r>
          </w:p>
        </w:tc>
        <w:tc>
          <w:tcPr>
            <w:tcW w:w="2814" w:type="dxa"/>
          </w:tcPr>
          <w:p>
            <w:pPr>
              <w:pStyle w:val="TableParagraph"/>
              <w:rPr>
                <w:sz w:val="14"/>
              </w:rPr>
            </w:pPr>
          </w:p>
        </w:tc>
        <w:tc>
          <w:tcPr>
            <w:tcW w:w="1776" w:type="dxa"/>
          </w:tcPr>
          <w:p>
            <w:pPr>
              <w:pStyle w:val="TableParagraph"/>
              <w:spacing w:line="180" w:lineRule="exact" w:before="3"/>
              <w:ind w:right="517"/>
              <w:jc w:val="right"/>
              <w:rPr>
                <w:b/>
                <w:sz w:val="16"/>
              </w:rPr>
            </w:pPr>
            <w:r>
              <w:rPr>
                <w:b/>
                <w:spacing w:val="-10"/>
                <w:w w:val="105"/>
                <w:sz w:val="16"/>
              </w:rPr>
              <w:t>$</w:t>
            </w:r>
          </w:p>
        </w:tc>
        <w:tc>
          <w:tcPr>
            <w:tcW w:w="1005" w:type="dxa"/>
          </w:tcPr>
          <w:p>
            <w:pPr>
              <w:pStyle w:val="TableParagraph"/>
              <w:spacing w:line="180" w:lineRule="exact" w:before="3"/>
              <w:ind w:right="114"/>
              <w:jc w:val="right"/>
              <w:rPr>
                <w:b/>
                <w:sz w:val="16"/>
              </w:rPr>
            </w:pPr>
            <w:r>
              <w:rPr>
                <w:b/>
                <w:spacing w:val="-5"/>
                <w:w w:val="105"/>
                <w:sz w:val="16"/>
              </w:rPr>
              <w:t>824</w:t>
            </w:r>
          </w:p>
        </w:tc>
        <w:tc>
          <w:tcPr>
            <w:tcW w:w="715" w:type="dxa"/>
          </w:tcPr>
          <w:p>
            <w:pPr>
              <w:pStyle w:val="TableParagraph"/>
              <w:spacing w:line="180" w:lineRule="exact" w:before="3"/>
              <w:ind w:left="112"/>
              <w:rPr>
                <w:sz w:val="16"/>
              </w:rPr>
            </w:pPr>
            <w:r>
              <w:rPr>
                <w:spacing w:val="-10"/>
                <w:w w:val="105"/>
                <w:sz w:val="16"/>
              </w:rPr>
              <w:t>$</w:t>
            </w:r>
          </w:p>
        </w:tc>
        <w:tc>
          <w:tcPr>
            <w:tcW w:w="1005" w:type="dxa"/>
          </w:tcPr>
          <w:p>
            <w:pPr>
              <w:pStyle w:val="TableParagraph"/>
              <w:spacing w:line="180" w:lineRule="exact" w:before="3"/>
              <w:ind w:right="115"/>
              <w:jc w:val="right"/>
              <w:rPr>
                <w:sz w:val="16"/>
              </w:rPr>
            </w:pPr>
            <w:r>
              <w:rPr>
                <w:spacing w:val="-5"/>
                <w:w w:val="105"/>
                <w:sz w:val="16"/>
              </w:rPr>
              <w:t>572</w:t>
            </w:r>
          </w:p>
        </w:tc>
      </w:tr>
      <w:tr>
        <w:trPr>
          <w:trHeight w:val="203" w:hRule="atLeast"/>
        </w:trPr>
        <w:tc>
          <w:tcPr>
            <w:tcW w:w="4203" w:type="dxa"/>
            <w:shd w:val="clear" w:color="auto" w:fill="CCEDFF"/>
          </w:tcPr>
          <w:p>
            <w:pPr>
              <w:pStyle w:val="TableParagraph"/>
              <w:spacing w:line="180" w:lineRule="exact" w:before="3"/>
              <w:ind w:left="152"/>
              <w:rPr>
                <w:sz w:val="16"/>
              </w:rPr>
            </w:pPr>
            <w:r>
              <w:rPr>
                <w:sz w:val="16"/>
              </w:rPr>
              <w:t>Income</w:t>
            </w:r>
            <w:r>
              <w:rPr>
                <w:spacing w:val="15"/>
                <w:sz w:val="16"/>
              </w:rPr>
              <w:t> </w:t>
            </w:r>
            <w:r>
              <w:rPr>
                <w:spacing w:val="-2"/>
                <w:sz w:val="16"/>
              </w:rPr>
              <w:t>taxes</w:t>
            </w:r>
          </w:p>
        </w:tc>
        <w:tc>
          <w:tcPr>
            <w:tcW w:w="2814" w:type="dxa"/>
            <w:shd w:val="clear" w:color="auto" w:fill="CCEDFF"/>
          </w:tcPr>
          <w:p>
            <w:pPr>
              <w:pStyle w:val="TableParagraph"/>
              <w:rPr>
                <w:sz w:val="14"/>
              </w:rPr>
            </w:pPr>
          </w:p>
        </w:tc>
        <w:tc>
          <w:tcPr>
            <w:tcW w:w="1776"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4"/>
              <w:jc w:val="right"/>
              <w:rPr>
                <w:b/>
                <w:sz w:val="16"/>
              </w:rPr>
            </w:pPr>
            <w:r>
              <w:rPr>
                <w:b/>
                <w:spacing w:val="-5"/>
                <w:w w:val="105"/>
                <w:sz w:val="16"/>
              </w:rPr>
              <w:t>196</w:t>
            </w:r>
          </w:p>
        </w:tc>
        <w:tc>
          <w:tcPr>
            <w:tcW w:w="715"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5"/>
              <w:jc w:val="right"/>
              <w:rPr>
                <w:sz w:val="16"/>
              </w:rPr>
            </w:pPr>
            <w:r>
              <w:rPr>
                <w:spacing w:val="-5"/>
                <w:w w:val="105"/>
                <w:sz w:val="16"/>
              </w:rPr>
              <w:t>173</w:t>
            </w:r>
          </w:p>
        </w:tc>
      </w:tr>
      <w:tr>
        <w:trPr>
          <w:trHeight w:val="203" w:hRule="atLeast"/>
        </w:trPr>
        <w:tc>
          <w:tcPr>
            <w:tcW w:w="4203" w:type="dxa"/>
          </w:tcPr>
          <w:p>
            <w:pPr>
              <w:pStyle w:val="TableParagraph"/>
              <w:spacing w:line="180" w:lineRule="exact" w:before="3"/>
              <w:ind w:left="152"/>
              <w:rPr>
                <w:sz w:val="16"/>
              </w:rPr>
            </w:pPr>
            <w:r>
              <w:rPr>
                <w:sz w:val="16"/>
              </w:rPr>
              <w:t>Derivative</w:t>
            </w:r>
            <w:r>
              <w:rPr>
                <w:spacing w:val="15"/>
                <w:sz w:val="16"/>
              </w:rPr>
              <w:t> </w:t>
            </w:r>
            <w:r>
              <w:rPr>
                <w:sz w:val="16"/>
              </w:rPr>
              <w:t>instruments</w:t>
            </w:r>
            <w:r>
              <w:rPr>
                <w:spacing w:val="18"/>
                <w:sz w:val="16"/>
              </w:rPr>
              <w:t> </w:t>
            </w:r>
            <w:r>
              <w:rPr>
                <w:sz w:val="16"/>
              </w:rPr>
              <w:t>(Note</w:t>
            </w:r>
            <w:r>
              <w:rPr>
                <w:spacing w:val="15"/>
                <w:sz w:val="16"/>
              </w:rPr>
              <w:t> </w:t>
            </w:r>
            <w:r>
              <w:rPr>
                <w:spacing w:val="-5"/>
                <w:sz w:val="16"/>
              </w:rPr>
              <w:t>15)</w:t>
            </w:r>
          </w:p>
        </w:tc>
        <w:tc>
          <w:tcPr>
            <w:tcW w:w="2814" w:type="dxa"/>
          </w:tcPr>
          <w:p>
            <w:pPr>
              <w:pStyle w:val="TableParagraph"/>
              <w:rPr>
                <w:sz w:val="14"/>
              </w:rPr>
            </w:pPr>
          </w:p>
        </w:tc>
        <w:tc>
          <w:tcPr>
            <w:tcW w:w="1776" w:type="dxa"/>
          </w:tcPr>
          <w:p>
            <w:pPr>
              <w:pStyle w:val="TableParagraph"/>
              <w:rPr>
                <w:sz w:val="14"/>
              </w:rPr>
            </w:pPr>
          </w:p>
        </w:tc>
        <w:tc>
          <w:tcPr>
            <w:tcW w:w="1005" w:type="dxa"/>
          </w:tcPr>
          <w:p>
            <w:pPr>
              <w:pStyle w:val="TableParagraph"/>
              <w:spacing w:line="180" w:lineRule="exact" w:before="3"/>
              <w:ind w:right="114"/>
              <w:jc w:val="right"/>
              <w:rPr>
                <w:b/>
                <w:sz w:val="16"/>
              </w:rPr>
            </w:pPr>
            <w:r>
              <w:rPr>
                <w:b/>
                <w:spacing w:val="-5"/>
                <w:w w:val="105"/>
                <w:sz w:val="16"/>
              </w:rPr>
              <w:t>144</w:t>
            </w:r>
          </w:p>
        </w:tc>
        <w:tc>
          <w:tcPr>
            <w:tcW w:w="715" w:type="dxa"/>
          </w:tcPr>
          <w:p>
            <w:pPr>
              <w:pStyle w:val="TableParagraph"/>
              <w:rPr>
                <w:sz w:val="14"/>
              </w:rPr>
            </w:pPr>
          </w:p>
        </w:tc>
        <w:tc>
          <w:tcPr>
            <w:tcW w:w="1005" w:type="dxa"/>
          </w:tcPr>
          <w:p>
            <w:pPr>
              <w:pStyle w:val="TableParagraph"/>
              <w:spacing w:line="180" w:lineRule="exact" w:before="3"/>
              <w:ind w:right="115"/>
              <w:jc w:val="right"/>
              <w:rPr>
                <w:sz w:val="16"/>
              </w:rPr>
            </w:pPr>
            <w:r>
              <w:rPr>
                <w:spacing w:val="-5"/>
                <w:w w:val="105"/>
                <w:sz w:val="16"/>
              </w:rPr>
              <w:t>189</w:t>
            </w:r>
          </w:p>
        </w:tc>
      </w:tr>
      <w:tr>
        <w:trPr>
          <w:trHeight w:val="203" w:hRule="atLeast"/>
        </w:trPr>
        <w:tc>
          <w:tcPr>
            <w:tcW w:w="4203" w:type="dxa"/>
            <w:shd w:val="clear" w:color="auto" w:fill="CCEDFF"/>
          </w:tcPr>
          <w:p>
            <w:pPr>
              <w:pStyle w:val="TableParagraph"/>
              <w:spacing w:line="180" w:lineRule="exact" w:before="3"/>
              <w:ind w:left="152"/>
              <w:rPr>
                <w:sz w:val="16"/>
              </w:rPr>
            </w:pPr>
            <w:r>
              <w:rPr>
                <w:sz w:val="16"/>
              </w:rPr>
              <w:t>Deferred</w:t>
            </w:r>
            <w:r>
              <w:rPr>
                <w:spacing w:val="15"/>
                <w:sz w:val="16"/>
              </w:rPr>
              <w:t> </w:t>
            </w:r>
            <w:r>
              <w:rPr>
                <w:sz w:val="16"/>
              </w:rPr>
              <w:t>revenue</w:t>
            </w:r>
            <w:r>
              <w:rPr>
                <w:spacing w:val="15"/>
                <w:sz w:val="16"/>
              </w:rPr>
              <w:t> </w:t>
            </w:r>
            <w:r>
              <w:rPr>
                <w:sz w:val="16"/>
              </w:rPr>
              <w:t>(Note</w:t>
            </w:r>
            <w:r>
              <w:rPr>
                <w:spacing w:val="16"/>
                <w:sz w:val="16"/>
              </w:rPr>
              <w:t> </w:t>
            </w:r>
            <w:r>
              <w:rPr>
                <w:spacing w:val="-5"/>
                <w:sz w:val="16"/>
              </w:rPr>
              <w:t>5)</w:t>
            </w:r>
          </w:p>
        </w:tc>
        <w:tc>
          <w:tcPr>
            <w:tcW w:w="2814" w:type="dxa"/>
            <w:shd w:val="clear" w:color="auto" w:fill="CCEDFF"/>
          </w:tcPr>
          <w:p>
            <w:pPr>
              <w:pStyle w:val="TableParagraph"/>
              <w:rPr>
                <w:sz w:val="14"/>
              </w:rPr>
            </w:pPr>
          </w:p>
        </w:tc>
        <w:tc>
          <w:tcPr>
            <w:tcW w:w="1776"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4"/>
              <w:jc w:val="right"/>
              <w:rPr>
                <w:b/>
                <w:sz w:val="16"/>
              </w:rPr>
            </w:pPr>
            <w:r>
              <w:rPr>
                <w:b/>
                <w:spacing w:val="-5"/>
                <w:w w:val="105"/>
                <w:sz w:val="16"/>
              </w:rPr>
              <w:t>148</w:t>
            </w:r>
          </w:p>
        </w:tc>
        <w:tc>
          <w:tcPr>
            <w:tcW w:w="715"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5"/>
              <w:jc w:val="right"/>
              <w:rPr>
                <w:sz w:val="16"/>
              </w:rPr>
            </w:pPr>
            <w:r>
              <w:rPr>
                <w:spacing w:val="-5"/>
                <w:w w:val="105"/>
                <w:sz w:val="16"/>
              </w:rPr>
              <w:t>152</w:t>
            </w:r>
          </w:p>
        </w:tc>
      </w:tr>
      <w:tr>
        <w:trPr>
          <w:trHeight w:val="203" w:hRule="atLeast"/>
        </w:trPr>
        <w:tc>
          <w:tcPr>
            <w:tcW w:w="4203" w:type="dxa"/>
          </w:tcPr>
          <w:p>
            <w:pPr>
              <w:pStyle w:val="TableParagraph"/>
              <w:spacing w:line="180" w:lineRule="exact" w:before="3"/>
              <w:ind w:left="152"/>
              <w:rPr>
                <w:sz w:val="16"/>
              </w:rPr>
            </w:pPr>
            <w:r>
              <w:rPr>
                <w:sz w:val="16"/>
              </w:rPr>
              <w:t>Settlement</w:t>
            </w:r>
            <w:r>
              <w:rPr>
                <w:spacing w:val="16"/>
                <w:sz w:val="16"/>
              </w:rPr>
              <w:t> </w:t>
            </w:r>
            <w:r>
              <w:rPr>
                <w:sz w:val="16"/>
              </w:rPr>
              <w:t>liability</w:t>
            </w:r>
            <w:r>
              <w:rPr>
                <w:spacing w:val="16"/>
                <w:sz w:val="16"/>
              </w:rPr>
              <w:t> </w:t>
            </w:r>
            <w:r>
              <w:rPr>
                <w:sz w:val="16"/>
              </w:rPr>
              <w:t>(Note</w:t>
            </w:r>
            <w:r>
              <w:rPr>
                <w:spacing w:val="17"/>
                <w:sz w:val="16"/>
              </w:rPr>
              <w:t> </w:t>
            </w:r>
            <w:r>
              <w:rPr>
                <w:spacing w:val="-5"/>
                <w:sz w:val="16"/>
              </w:rPr>
              <w:t>4)</w:t>
            </w:r>
          </w:p>
        </w:tc>
        <w:tc>
          <w:tcPr>
            <w:tcW w:w="2814" w:type="dxa"/>
          </w:tcPr>
          <w:p>
            <w:pPr>
              <w:pStyle w:val="TableParagraph"/>
              <w:rPr>
                <w:sz w:val="14"/>
              </w:rPr>
            </w:pPr>
          </w:p>
        </w:tc>
        <w:tc>
          <w:tcPr>
            <w:tcW w:w="1776" w:type="dxa"/>
          </w:tcPr>
          <w:p>
            <w:pPr>
              <w:pStyle w:val="TableParagraph"/>
              <w:rPr>
                <w:sz w:val="14"/>
              </w:rPr>
            </w:pPr>
          </w:p>
        </w:tc>
        <w:tc>
          <w:tcPr>
            <w:tcW w:w="1005" w:type="dxa"/>
          </w:tcPr>
          <w:p>
            <w:pPr>
              <w:pStyle w:val="TableParagraph"/>
              <w:spacing w:line="180" w:lineRule="exact" w:before="3"/>
              <w:ind w:right="114"/>
              <w:jc w:val="right"/>
              <w:rPr>
                <w:b/>
                <w:sz w:val="16"/>
              </w:rPr>
            </w:pPr>
            <w:r>
              <w:rPr>
                <w:b/>
                <w:spacing w:val="-5"/>
                <w:w w:val="105"/>
                <w:sz w:val="16"/>
              </w:rPr>
              <w:t>58</w:t>
            </w:r>
          </w:p>
        </w:tc>
        <w:tc>
          <w:tcPr>
            <w:tcW w:w="715" w:type="dxa"/>
          </w:tcPr>
          <w:p>
            <w:pPr>
              <w:pStyle w:val="TableParagraph"/>
              <w:rPr>
                <w:sz w:val="14"/>
              </w:rPr>
            </w:pPr>
          </w:p>
        </w:tc>
        <w:tc>
          <w:tcPr>
            <w:tcW w:w="1005" w:type="dxa"/>
          </w:tcPr>
          <w:p>
            <w:pPr>
              <w:pStyle w:val="TableParagraph"/>
              <w:spacing w:line="180" w:lineRule="exact" w:before="3"/>
              <w:ind w:right="115"/>
              <w:jc w:val="right"/>
              <w:rPr>
                <w:sz w:val="16"/>
              </w:rPr>
            </w:pPr>
            <w:r>
              <w:rPr>
                <w:spacing w:val="-5"/>
                <w:w w:val="105"/>
                <w:sz w:val="16"/>
              </w:rPr>
              <w:t>58</w:t>
            </w:r>
          </w:p>
        </w:tc>
      </w:tr>
      <w:tr>
        <w:trPr>
          <w:trHeight w:val="203" w:hRule="atLeast"/>
        </w:trPr>
        <w:tc>
          <w:tcPr>
            <w:tcW w:w="4203" w:type="dxa"/>
            <w:shd w:val="clear" w:color="auto" w:fill="CCEDFF"/>
          </w:tcPr>
          <w:p>
            <w:pPr>
              <w:pStyle w:val="TableParagraph"/>
              <w:spacing w:line="180" w:lineRule="exact" w:before="3"/>
              <w:ind w:left="152"/>
              <w:rPr>
                <w:sz w:val="16"/>
              </w:rPr>
            </w:pPr>
            <w:r>
              <w:rPr>
                <w:sz w:val="16"/>
              </w:rPr>
              <w:t>Customer</w:t>
            </w:r>
            <w:r>
              <w:rPr>
                <w:spacing w:val="13"/>
                <w:sz w:val="16"/>
              </w:rPr>
              <w:t> </w:t>
            </w:r>
            <w:r>
              <w:rPr>
                <w:sz w:val="16"/>
              </w:rPr>
              <w:t>deposits</w:t>
            </w:r>
            <w:r>
              <w:rPr>
                <w:spacing w:val="14"/>
                <w:sz w:val="16"/>
              </w:rPr>
              <w:t> </w:t>
            </w:r>
            <w:r>
              <w:rPr>
                <w:sz w:val="16"/>
              </w:rPr>
              <w:t>(Note</w:t>
            </w:r>
            <w:r>
              <w:rPr>
                <w:spacing w:val="14"/>
                <w:sz w:val="16"/>
              </w:rPr>
              <w:t> </w:t>
            </w:r>
            <w:r>
              <w:rPr>
                <w:spacing w:val="-5"/>
                <w:sz w:val="16"/>
              </w:rPr>
              <w:t>5)</w:t>
            </w:r>
          </w:p>
        </w:tc>
        <w:tc>
          <w:tcPr>
            <w:tcW w:w="2814" w:type="dxa"/>
            <w:shd w:val="clear" w:color="auto" w:fill="CCEDFF"/>
          </w:tcPr>
          <w:p>
            <w:pPr>
              <w:pStyle w:val="TableParagraph"/>
              <w:rPr>
                <w:sz w:val="14"/>
              </w:rPr>
            </w:pPr>
          </w:p>
        </w:tc>
        <w:tc>
          <w:tcPr>
            <w:tcW w:w="1776"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4"/>
              <w:jc w:val="right"/>
              <w:rPr>
                <w:b/>
                <w:sz w:val="16"/>
              </w:rPr>
            </w:pPr>
            <w:r>
              <w:rPr>
                <w:b/>
                <w:spacing w:val="-5"/>
                <w:w w:val="105"/>
                <w:sz w:val="16"/>
              </w:rPr>
              <w:t>223</w:t>
            </w:r>
          </w:p>
        </w:tc>
        <w:tc>
          <w:tcPr>
            <w:tcW w:w="715"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5"/>
              <w:jc w:val="right"/>
              <w:rPr>
                <w:sz w:val="16"/>
              </w:rPr>
            </w:pPr>
            <w:r>
              <w:rPr>
                <w:spacing w:val="-5"/>
                <w:w w:val="105"/>
                <w:sz w:val="16"/>
              </w:rPr>
              <w:t>211</w:t>
            </w:r>
          </w:p>
        </w:tc>
      </w:tr>
      <w:tr>
        <w:trPr>
          <w:trHeight w:val="203" w:hRule="atLeast"/>
        </w:trPr>
        <w:tc>
          <w:tcPr>
            <w:tcW w:w="4203" w:type="dxa"/>
          </w:tcPr>
          <w:p>
            <w:pPr>
              <w:pStyle w:val="TableParagraph"/>
              <w:spacing w:line="180" w:lineRule="exact" w:before="3"/>
              <w:ind w:left="152"/>
              <w:rPr>
                <w:sz w:val="16"/>
              </w:rPr>
            </w:pPr>
            <w:r>
              <w:rPr>
                <w:sz w:val="16"/>
              </w:rPr>
              <w:t>Share</w:t>
            </w:r>
            <w:r>
              <w:rPr>
                <w:spacing w:val="15"/>
                <w:sz w:val="16"/>
              </w:rPr>
              <w:t> </w:t>
            </w:r>
            <w:r>
              <w:rPr>
                <w:sz w:val="16"/>
              </w:rPr>
              <w:t>repurchase</w:t>
            </w:r>
            <w:r>
              <w:rPr>
                <w:spacing w:val="16"/>
                <w:sz w:val="16"/>
              </w:rPr>
              <w:t> </w:t>
            </w:r>
            <w:r>
              <w:rPr>
                <w:sz w:val="16"/>
              </w:rPr>
              <w:t>liability</w:t>
            </w:r>
            <w:r>
              <w:rPr>
                <w:spacing w:val="16"/>
                <w:sz w:val="16"/>
              </w:rPr>
              <w:t> </w:t>
            </w:r>
            <w:r>
              <w:rPr>
                <w:sz w:val="16"/>
              </w:rPr>
              <w:t>(Note</w:t>
            </w:r>
            <w:r>
              <w:rPr>
                <w:spacing w:val="16"/>
                <w:sz w:val="16"/>
              </w:rPr>
              <w:t> </w:t>
            </w:r>
            <w:r>
              <w:rPr>
                <w:spacing w:val="-5"/>
                <w:sz w:val="16"/>
              </w:rPr>
              <w:t>17)</w:t>
            </w:r>
          </w:p>
        </w:tc>
        <w:tc>
          <w:tcPr>
            <w:tcW w:w="2814" w:type="dxa"/>
          </w:tcPr>
          <w:p>
            <w:pPr>
              <w:pStyle w:val="TableParagraph"/>
              <w:rPr>
                <w:sz w:val="14"/>
              </w:rPr>
            </w:pPr>
          </w:p>
        </w:tc>
        <w:tc>
          <w:tcPr>
            <w:tcW w:w="1776" w:type="dxa"/>
          </w:tcPr>
          <w:p>
            <w:pPr>
              <w:pStyle w:val="TableParagraph"/>
              <w:rPr>
                <w:sz w:val="14"/>
              </w:rPr>
            </w:pPr>
          </w:p>
        </w:tc>
        <w:tc>
          <w:tcPr>
            <w:tcW w:w="1005" w:type="dxa"/>
          </w:tcPr>
          <w:p>
            <w:pPr>
              <w:pStyle w:val="TableParagraph"/>
              <w:spacing w:line="180" w:lineRule="exact" w:before="3"/>
              <w:ind w:right="114"/>
              <w:jc w:val="right"/>
              <w:rPr>
                <w:b/>
                <w:sz w:val="16"/>
              </w:rPr>
            </w:pPr>
            <w:r>
              <w:rPr>
                <w:b/>
                <w:spacing w:val="-5"/>
                <w:w w:val="105"/>
                <w:sz w:val="16"/>
              </w:rPr>
              <w:t>506</w:t>
            </w:r>
          </w:p>
        </w:tc>
        <w:tc>
          <w:tcPr>
            <w:tcW w:w="715" w:type="dxa"/>
          </w:tcPr>
          <w:p>
            <w:pPr>
              <w:pStyle w:val="TableParagraph"/>
              <w:rPr>
                <w:sz w:val="14"/>
              </w:rPr>
            </w:pPr>
          </w:p>
        </w:tc>
        <w:tc>
          <w:tcPr>
            <w:tcW w:w="1005" w:type="dxa"/>
          </w:tcPr>
          <w:p>
            <w:pPr>
              <w:pStyle w:val="TableParagraph"/>
              <w:rPr>
                <w:sz w:val="14"/>
              </w:rPr>
            </w:pPr>
          </w:p>
        </w:tc>
      </w:tr>
      <w:tr>
        <w:trPr>
          <w:trHeight w:val="203" w:hRule="atLeast"/>
        </w:trPr>
        <w:tc>
          <w:tcPr>
            <w:tcW w:w="4203" w:type="dxa"/>
            <w:shd w:val="clear" w:color="auto" w:fill="CCEDFF"/>
          </w:tcPr>
          <w:p>
            <w:pPr>
              <w:pStyle w:val="TableParagraph"/>
              <w:spacing w:line="180" w:lineRule="exact" w:before="3"/>
              <w:ind w:left="152"/>
              <w:rPr>
                <w:sz w:val="16"/>
              </w:rPr>
            </w:pPr>
            <w:r>
              <w:rPr>
                <w:sz w:val="16"/>
              </w:rPr>
              <w:t>Short-term</w:t>
            </w:r>
            <w:r>
              <w:rPr>
                <w:spacing w:val="13"/>
                <w:sz w:val="16"/>
              </w:rPr>
              <w:t> </w:t>
            </w:r>
            <w:r>
              <w:rPr>
                <w:sz w:val="16"/>
              </w:rPr>
              <w:t>leases</w:t>
            </w:r>
            <w:r>
              <w:rPr>
                <w:spacing w:val="14"/>
                <w:sz w:val="16"/>
              </w:rPr>
              <w:t> </w:t>
            </w:r>
            <w:r>
              <w:rPr>
                <w:sz w:val="16"/>
              </w:rPr>
              <w:t>(Note</w:t>
            </w:r>
            <w:r>
              <w:rPr>
                <w:spacing w:val="14"/>
                <w:sz w:val="16"/>
              </w:rPr>
              <w:t> </w:t>
            </w:r>
            <w:r>
              <w:rPr>
                <w:spacing w:val="-5"/>
                <w:sz w:val="16"/>
              </w:rPr>
              <w:t>7)</w:t>
            </w:r>
          </w:p>
        </w:tc>
        <w:tc>
          <w:tcPr>
            <w:tcW w:w="2814" w:type="dxa"/>
            <w:shd w:val="clear" w:color="auto" w:fill="CCEDFF"/>
          </w:tcPr>
          <w:p>
            <w:pPr>
              <w:pStyle w:val="TableParagraph"/>
              <w:rPr>
                <w:sz w:val="14"/>
              </w:rPr>
            </w:pPr>
          </w:p>
        </w:tc>
        <w:tc>
          <w:tcPr>
            <w:tcW w:w="1776"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4"/>
              <w:jc w:val="right"/>
              <w:rPr>
                <w:b/>
                <w:sz w:val="16"/>
              </w:rPr>
            </w:pPr>
            <w:r>
              <w:rPr>
                <w:b/>
                <w:spacing w:val="-5"/>
                <w:w w:val="105"/>
                <w:sz w:val="16"/>
              </w:rPr>
              <w:t>94</w:t>
            </w:r>
          </w:p>
        </w:tc>
        <w:tc>
          <w:tcPr>
            <w:tcW w:w="715"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5"/>
              <w:jc w:val="right"/>
              <w:rPr>
                <w:sz w:val="16"/>
              </w:rPr>
            </w:pPr>
            <w:r>
              <w:rPr>
                <w:spacing w:val="-5"/>
                <w:w w:val="105"/>
                <w:sz w:val="16"/>
              </w:rPr>
              <w:t>96</w:t>
            </w:r>
          </w:p>
        </w:tc>
      </w:tr>
      <w:tr>
        <w:trPr>
          <w:trHeight w:val="202" w:hRule="atLeast"/>
        </w:trPr>
        <w:tc>
          <w:tcPr>
            <w:tcW w:w="4203" w:type="dxa"/>
            <w:tcBorders>
              <w:bottom w:val="single" w:sz="6" w:space="0" w:color="000000"/>
            </w:tcBorders>
          </w:tcPr>
          <w:p>
            <w:pPr>
              <w:pStyle w:val="TableParagraph"/>
              <w:spacing w:line="179" w:lineRule="exact" w:before="3"/>
              <w:ind w:left="152"/>
              <w:rPr>
                <w:sz w:val="16"/>
              </w:rPr>
            </w:pPr>
            <w:r>
              <w:rPr>
                <w:w w:val="105"/>
                <w:sz w:val="16"/>
              </w:rPr>
              <w:t>Other</w:t>
            </w:r>
            <w:r>
              <w:rPr>
                <w:spacing w:val="-10"/>
                <w:w w:val="105"/>
                <w:sz w:val="16"/>
              </w:rPr>
              <w:t> </w:t>
            </w:r>
            <w:r>
              <w:rPr>
                <w:w w:val="105"/>
                <w:sz w:val="16"/>
              </w:rPr>
              <w:t>current</w:t>
            </w:r>
            <w:r>
              <w:rPr>
                <w:spacing w:val="-9"/>
                <w:w w:val="105"/>
                <w:sz w:val="16"/>
              </w:rPr>
              <w:t> </w:t>
            </w:r>
            <w:r>
              <w:rPr>
                <w:spacing w:val="-2"/>
                <w:w w:val="105"/>
                <w:sz w:val="16"/>
              </w:rPr>
              <w:t>liabilities</w:t>
            </w:r>
          </w:p>
        </w:tc>
        <w:tc>
          <w:tcPr>
            <w:tcW w:w="2814" w:type="dxa"/>
            <w:tcBorders>
              <w:bottom w:val="single" w:sz="6" w:space="0" w:color="000000"/>
            </w:tcBorders>
          </w:tcPr>
          <w:p>
            <w:pPr>
              <w:pStyle w:val="TableParagraph"/>
              <w:rPr>
                <w:sz w:val="14"/>
              </w:rPr>
            </w:pPr>
          </w:p>
        </w:tc>
        <w:tc>
          <w:tcPr>
            <w:tcW w:w="1776" w:type="dxa"/>
            <w:tcBorders>
              <w:bottom w:val="single" w:sz="6" w:space="0" w:color="000000"/>
            </w:tcBorders>
          </w:tcPr>
          <w:p>
            <w:pPr>
              <w:pStyle w:val="TableParagraph"/>
              <w:rPr>
                <w:sz w:val="14"/>
              </w:rPr>
            </w:pPr>
          </w:p>
        </w:tc>
        <w:tc>
          <w:tcPr>
            <w:tcW w:w="1005" w:type="dxa"/>
            <w:tcBorders>
              <w:bottom w:val="single" w:sz="6" w:space="0" w:color="000000"/>
            </w:tcBorders>
          </w:tcPr>
          <w:p>
            <w:pPr>
              <w:pStyle w:val="TableParagraph"/>
              <w:spacing w:line="179" w:lineRule="exact" w:before="3"/>
              <w:ind w:right="114"/>
              <w:jc w:val="right"/>
              <w:rPr>
                <w:b/>
                <w:sz w:val="16"/>
              </w:rPr>
            </w:pPr>
            <w:r>
              <w:rPr>
                <w:b/>
                <w:spacing w:val="-5"/>
                <w:w w:val="105"/>
                <w:sz w:val="16"/>
              </w:rPr>
              <w:t>946</w:t>
            </w:r>
          </w:p>
        </w:tc>
        <w:tc>
          <w:tcPr>
            <w:tcW w:w="715" w:type="dxa"/>
            <w:tcBorders>
              <w:bottom w:val="single" w:sz="6" w:space="0" w:color="000000"/>
            </w:tcBorders>
          </w:tcPr>
          <w:p>
            <w:pPr>
              <w:pStyle w:val="TableParagraph"/>
              <w:rPr>
                <w:sz w:val="14"/>
              </w:rPr>
            </w:pPr>
          </w:p>
        </w:tc>
        <w:tc>
          <w:tcPr>
            <w:tcW w:w="1005" w:type="dxa"/>
            <w:tcBorders>
              <w:bottom w:val="single" w:sz="6" w:space="0" w:color="000000"/>
            </w:tcBorders>
          </w:tcPr>
          <w:p>
            <w:pPr>
              <w:pStyle w:val="TableParagraph"/>
              <w:spacing w:line="179" w:lineRule="exact" w:before="3"/>
              <w:ind w:right="115"/>
              <w:jc w:val="right"/>
              <w:rPr>
                <w:sz w:val="16"/>
              </w:rPr>
            </w:pPr>
            <w:r>
              <w:rPr>
                <w:spacing w:val="-5"/>
                <w:w w:val="105"/>
                <w:sz w:val="16"/>
              </w:rPr>
              <w:t>986</w:t>
            </w:r>
          </w:p>
        </w:tc>
      </w:tr>
      <w:tr>
        <w:trPr>
          <w:trHeight w:val="199" w:hRule="atLeast"/>
        </w:trPr>
        <w:tc>
          <w:tcPr>
            <w:tcW w:w="4203"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Other</w:t>
            </w:r>
            <w:r>
              <w:rPr>
                <w:spacing w:val="-10"/>
                <w:w w:val="105"/>
                <w:sz w:val="16"/>
              </w:rPr>
              <w:t> </w:t>
            </w:r>
            <w:r>
              <w:rPr>
                <w:w w:val="105"/>
                <w:sz w:val="16"/>
              </w:rPr>
              <w:t>accrued</w:t>
            </w:r>
            <w:r>
              <w:rPr>
                <w:spacing w:val="-10"/>
                <w:w w:val="105"/>
                <w:sz w:val="16"/>
              </w:rPr>
              <w:t> </w:t>
            </w:r>
            <w:r>
              <w:rPr>
                <w:spacing w:val="-2"/>
                <w:w w:val="105"/>
                <w:sz w:val="16"/>
              </w:rPr>
              <w:t>liabilities</w:t>
            </w:r>
          </w:p>
        </w:tc>
        <w:tc>
          <w:tcPr>
            <w:tcW w:w="2814" w:type="dxa"/>
            <w:tcBorders>
              <w:top w:val="single" w:sz="6" w:space="0" w:color="000000"/>
              <w:bottom w:val="double" w:sz="6" w:space="0" w:color="000000"/>
            </w:tcBorders>
            <w:shd w:val="clear" w:color="auto" w:fill="CCEDFF"/>
          </w:tcPr>
          <w:p>
            <w:pPr>
              <w:pStyle w:val="TableParagraph"/>
              <w:rPr>
                <w:sz w:val="12"/>
              </w:rPr>
            </w:pPr>
          </w:p>
        </w:tc>
        <w:tc>
          <w:tcPr>
            <w:tcW w:w="1776" w:type="dxa"/>
            <w:tcBorders>
              <w:top w:val="single" w:sz="6" w:space="0" w:color="000000"/>
              <w:bottom w:val="double" w:sz="6" w:space="0" w:color="000000"/>
            </w:tcBorders>
            <w:shd w:val="clear" w:color="auto" w:fill="CCEDFF"/>
          </w:tcPr>
          <w:p>
            <w:pPr>
              <w:pStyle w:val="TableParagraph"/>
              <w:spacing w:line="177" w:lineRule="exact" w:before="2"/>
              <w:ind w:right="517"/>
              <w:jc w:val="right"/>
              <w:rPr>
                <w:b/>
                <w:sz w:val="16"/>
              </w:rPr>
            </w:pPr>
            <w:r>
              <w:rPr>
                <w:b/>
                <w:spacing w:val="-10"/>
                <w:w w:val="105"/>
                <w:sz w:val="16"/>
              </w:rPr>
              <w:t>$</w:t>
            </w:r>
          </w:p>
        </w:tc>
        <w:tc>
          <w:tcPr>
            <w:tcW w:w="1005" w:type="dxa"/>
            <w:tcBorders>
              <w:top w:val="single" w:sz="6" w:space="0" w:color="000000"/>
              <w:bottom w:val="double" w:sz="6" w:space="0" w:color="000000"/>
            </w:tcBorders>
            <w:shd w:val="clear" w:color="auto" w:fill="CCEDFF"/>
          </w:tcPr>
          <w:p>
            <w:pPr>
              <w:pStyle w:val="TableParagraph"/>
              <w:spacing w:line="177" w:lineRule="exact" w:before="2"/>
              <w:ind w:right="114"/>
              <w:jc w:val="right"/>
              <w:rPr>
                <w:b/>
                <w:sz w:val="16"/>
              </w:rPr>
            </w:pPr>
            <w:r>
              <w:rPr>
                <w:b/>
                <w:spacing w:val="-4"/>
                <w:w w:val="105"/>
                <w:sz w:val="16"/>
              </w:rPr>
              <w:t>3,139</w:t>
            </w:r>
          </w:p>
        </w:tc>
        <w:tc>
          <w:tcPr>
            <w:tcW w:w="715" w:type="dxa"/>
            <w:tcBorders>
              <w:top w:val="single" w:sz="6" w:space="0" w:color="000000"/>
              <w:bottom w:val="double" w:sz="6" w:space="0" w:color="000000"/>
            </w:tcBorders>
            <w:shd w:val="clear" w:color="auto" w:fill="CCEDFF"/>
          </w:tcPr>
          <w:p>
            <w:pPr>
              <w:pStyle w:val="TableParagraph"/>
              <w:spacing w:line="177" w:lineRule="exact" w:before="2"/>
              <w:ind w:left="112"/>
              <w:rPr>
                <w:sz w:val="16"/>
              </w:rPr>
            </w:pPr>
            <w:r>
              <w:rPr>
                <w:spacing w:val="-10"/>
                <w:w w:val="105"/>
                <w:sz w:val="16"/>
              </w:rPr>
              <w:t>$</w:t>
            </w:r>
          </w:p>
        </w:tc>
        <w:tc>
          <w:tcPr>
            <w:tcW w:w="1005" w:type="dxa"/>
            <w:tcBorders>
              <w:top w:val="single" w:sz="6" w:space="0" w:color="000000"/>
              <w:bottom w:val="double" w:sz="6" w:space="0" w:color="000000"/>
            </w:tcBorders>
            <w:shd w:val="clear" w:color="auto" w:fill="CCEDFF"/>
          </w:tcPr>
          <w:p>
            <w:pPr>
              <w:pStyle w:val="TableParagraph"/>
              <w:spacing w:line="177" w:lineRule="exact" w:before="2"/>
              <w:ind w:right="115"/>
              <w:jc w:val="right"/>
              <w:rPr>
                <w:sz w:val="16"/>
              </w:rPr>
            </w:pPr>
            <w:r>
              <w:rPr>
                <w:spacing w:val="-4"/>
                <w:w w:val="105"/>
                <w:sz w:val="16"/>
              </w:rPr>
              <w:t>2,437</w:t>
            </w:r>
          </w:p>
        </w:tc>
      </w:tr>
      <w:tr>
        <w:trPr>
          <w:trHeight w:val="200" w:hRule="atLeast"/>
        </w:trPr>
        <w:tc>
          <w:tcPr>
            <w:tcW w:w="4203" w:type="dxa"/>
            <w:tcBorders>
              <w:top w:val="double" w:sz="6" w:space="0" w:color="000000"/>
            </w:tcBorders>
          </w:tcPr>
          <w:p>
            <w:pPr>
              <w:pStyle w:val="TableParagraph"/>
              <w:rPr>
                <w:sz w:val="12"/>
              </w:rPr>
            </w:pPr>
          </w:p>
        </w:tc>
        <w:tc>
          <w:tcPr>
            <w:tcW w:w="2814" w:type="dxa"/>
            <w:tcBorders>
              <w:top w:val="double" w:sz="6" w:space="0" w:color="000000"/>
            </w:tcBorders>
          </w:tcPr>
          <w:p>
            <w:pPr>
              <w:pStyle w:val="TableParagraph"/>
              <w:rPr>
                <w:sz w:val="12"/>
              </w:rPr>
            </w:pPr>
          </w:p>
        </w:tc>
        <w:tc>
          <w:tcPr>
            <w:tcW w:w="1776" w:type="dxa"/>
            <w:tcBorders>
              <w:top w:val="double" w:sz="6" w:space="0" w:color="000000"/>
            </w:tcBorders>
          </w:tcPr>
          <w:p>
            <w:pPr>
              <w:pStyle w:val="TableParagraph"/>
              <w:rPr>
                <w:sz w:val="12"/>
              </w:rPr>
            </w:pPr>
          </w:p>
        </w:tc>
        <w:tc>
          <w:tcPr>
            <w:tcW w:w="1005" w:type="dxa"/>
            <w:tcBorders>
              <w:top w:val="double" w:sz="6" w:space="0" w:color="000000"/>
            </w:tcBorders>
          </w:tcPr>
          <w:p>
            <w:pPr>
              <w:pStyle w:val="TableParagraph"/>
              <w:rPr>
                <w:sz w:val="12"/>
              </w:rPr>
            </w:pPr>
          </w:p>
        </w:tc>
        <w:tc>
          <w:tcPr>
            <w:tcW w:w="715" w:type="dxa"/>
            <w:tcBorders>
              <w:top w:val="double" w:sz="6" w:space="0" w:color="000000"/>
            </w:tcBorders>
          </w:tcPr>
          <w:p>
            <w:pPr>
              <w:pStyle w:val="TableParagraph"/>
              <w:rPr>
                <w:sz w:val="12"/>
              </w:rPr>
            </w:pPr>
          </w:p>
        </w:tc>
        <w:tc>
          <w:tcPr>
            <w:tcW w:w="1005" w:type="dxa"/>
            <w:tcBorders>
              <w:top w:val="double" w:sz="6" w:space="0" w:color="000000"/>
            </w:tcBorders>
          </w:tcPr>
          <w:p>
            <w:pPr>
              <w:pStyle w:val="TableParagraph"/>
              <w:rPr>
                <w:sz w:val="12"/>
              </w:rPr>
            </w:pPr>
          </w:p>
        </w:tc>
      </w:tr>
      <w:tr>
        <w:trPr>
          <w:trHeight w:val="203" w:hRule="atLeast"/>
        </w:trPr>
        <w:tc>
          <w:tcPr>
            <w:tcW w:w="4203" w:type="dxa"/>
            <w:shd w:val="clear" w:color="auto" w:fill="CCEDFF"/>
          </w:tcPr>
          <w:p>
            <w:pPr>
              <w:pStyle w:val="TableParagraph"/>
              <w:spacing w:line="180" w:lineRule="exact" w:before="3"/>
              <w:rPr>
                <w:sz w:val="16"/>
              </w:rPr>
            </w:pPr>
            <w:r>
              <w:rPr>
                <w:sz w:val="16"/>
              </w:rPr>
              <w:t>Non-current</w:t>
            </w:r>
            <w:r>
              <w:rPr>
                <w:spacing w:val="24"/>
                <w:sz w:val="16"/>
              </w:rPr>
              <w:t> </w:t>
            </w:r>
            <w:r>
              <w:rPr>
                <w:spacing w:val="-2"/>
                <w:sz w:val="16"/>
              </w:rPr>
              <w:t>liabilities:</w:t>
            </w:r>
          </w:p>
        </w:tc>
        <w:tc>
          <w:tcPr>
            <w:tcW w:w="2814" w:type="dxa"/>
            <w:shd w:val="clear" w:color="auto" w:fill="CCEDFF"/>
          </w:tcPr>
          <w:p>
            <w:pPr>
              <w:pStyle w:val="TableParagraph"/>
              <w:rPr>
                <w:sz w:val="14"/>
              </w:rPr>
            </w:pPr>
          </w:p>
        </w:tc>
        <w:tc>
          <w:tcPr>
            <w:tcW w:w="1776" w:type="dxa"/>
            <w:shd w:val="clear" w:color="auto" w:fill="CCEDFF"/>
          </w:tcPr>
          <w:p>
            <w:pPr>
              <w:pStyle w:val="TableParagraph"/>
              <w:rPr>
                <w:sz w:val="14"/>
              </w:rPr>
            </w:pPr>
          </w:p>
        </w:tc>
        <w:tc>
          <w:tcPr>
            <w:tcW w:w="1005" w:type="dxa"/>
            <w:shd w:val="clear" w:color="auto" w:fill="CCEDFF"/>
          </w:tcPr>
          <w:p>
            <w:pPr>
              <w:pStyle w:val="TableParagraph"/>
              <w:rPr>
                <w:sz w:val="14"/>
              </w:rPr>
            </w:pPr>
          </w:p>
        </w:tc>
        <w:tc>
          <w:tcPr>
            <w:tcW w:w="715" w:type="dxa"/>
            <w:shd w:val="clear" w:color="auto" w:fill="CCEDFF"/>
          </w:tcPr>
          <w:p>
            <w:pPr>
              <w:pStyle w:val="TableParagraph"/>
              <w:rPr>
                <w:sz w:val="14"/>
              </w:rPr>
            </w:pPr>
          </w:p>
        </w:tc>
        <w:tc>
          <w:tcPr>
            <w:tcW w:w="1005" w:type="dxa"/>
            <w:shd w:val="clear" w:color="auto" w:fill="CCEDFF"/>
          </w:tcPr>
          <w:p>
            <w:pPr>
              <w:pStyle w:val="TableParagraph"/>
              <w:rPr>
                <w:sz w:val="14"/>
              </w:rPr>
            </w:pPr>
          </w:p>
        </w:tc>
      </w:tr>
      <w:tr>
        <w:trPr>
          <w:trHeight w:val="203" w:hRule="atLeast"/>
        </w:trPr>
        <w:tc>
          <w:tcPr>
            <w:tcW w:w="4203" w:type="dxa"/>
          </w:tcPr>
          <w:p>
            <w:pPr>
              <w:pStyle w:val="TableParagraph"/>
              <w:spacing w:line="180" w:lineRule="exact" w:before="3"/>
              <w:ind w:left="152"/>
              <w:rPr>
                <w:sz w:val="16"/>
              </w:rPr>
            </w:pPr>
            <w:r>
              <w:rPr>
                <w:w w:val="105"/>
                <w:sz w:val="16"/>
              </w:rPr>
              <w:t>Defined</w:t>
            </w:r>
            <w:r>
              <w:rPr>
                <w:spacing w:val="-10"/>
                <w:w w:val="105"/>
                <w:sz w:val="16"/>
              </w:rPr>
              <w:t> </w:t>
            </w:r>
            <w:r>
              <w:rPr>
                <w:w w:val="105"/>
                <w:sz w:val="16"/>
              </w:rPr>
              <w:t>benefit</w:t>
            </w:r>
            <w:r>
              <w:rPr>
                <w:spacing w:val="-10"/>
                <w:w w:val="105"/>
                <w:sz w:val="16"/>
              </w:rPr>
              <w:t> </w:t>
            </w:r>
            <w:r>
              <w:rPr>
                <w:w w:val="105"/>
                <w:sz w:val="16"/>
              </w:rPr>
              <w:t>pension</w:t>
            </w:r>
            <w:r>
              <w:rPr>
                <w:spacing w:val="-9"/>
                <w:w w:val="105"/>
                <w:sz w:val="16"/>
              </w:rPr>
              <w:t> </w:t>
            </w:r>
            <w:r>
              <w:rPr>
                <w:w w:val="105"/>
                <w:sz w:val="16"/>
              </w:rPr>
              <w:t>plan</w:t>
            </w:r>
            <w:r>
              <w:rPr>
                <w:spacing w:val="-8"/>
                <w:w w:val="105"/>
                <w:sz w:val="16"/>
              </w:rPr>
              <w:t> </w:t>
            </w:r>
            <w:r>
              <w:rPr>
                <w:spacing w:val="-2"/>
                <w:w w:val="105"/>
                <w:sz w:val="16"/>
              </w:rPr>
              <w:t>liabilities</w:t>
            </w:r>
          </w:p>
        </w:tc>
        <w:tc>
          <w:tcPr>
            <w:tcW w:w="2814" w:type="dxa"/>
          </w:tcPr>
          <w:p>
            <w:pPr>
              <w:pStyle w:val="TableParagraph"/>
              <w:rPr>
                <w:sz w:val="14"/>
              </w:rPr>
            </w:pPr>
          </w:p>
        </w:tc>
        <w:tc>
          <w:tcPr>
            <w:tcW w:w="1776" w:type="dxa"/>
          </w:tcPr>
          <w:p>
            <w:pPr>
              <w:pStyle w:val="TableParagraph"/>
              <w:spacing w:line="180" w:lineRule="exact" w:before="3"/>
              <w:ind w:right="517"/>
              <w:jc w:val="right"/>
              <w:rPr>
                <w:b/>
                <w:sz w:val="16"/>
              </w:rPr>
            </w:pPr>
            <w:r>
              <w:rPr>
                <w:b/>
                <w:spacing w:val="-10"/>
                <w:w w:val="105"/>
                <w:sz w:val="16"/>
              </w:rPr>
              <w:t>$</w:t>
            </w:r>
          </w:p>
        </w:tc>
        <w:tc>
          <w:tcPr>
            <w:tcW w:w="1005" w:type="dxa"/>
          </w:tcPr>
          <w:p>
            <w:pPr>
              <w:pStyle w:val="TableParagraph"/>
              <w:spacing w:line="180" w:lineRule="exact" w:before="3"/>
              <w:ind w:right="114"/>
              <w:jc w:val="right"/>
              <w:rPr>
                <w:b/>
                <w:sz w:val="16"/>
              </w:rPr>
            </w:pPr>
            <w:r>
              <w:rPr>
                <w:b/>
                <w:spacing w:val="-5"/>
                <w:w w:val="105"/>
                <w:sz w:val="16"/>
              </w:rPr>
              <w:t>707</w:t>
            </w:r>
          </w:p>
        </w:tc>
        <w:tc>
          <w:tcPr>
            <w:tcW w:w="715" w:type="dxa"/>
          </w:tcPr>
          <w:p>
            <w:pPr>
              <w:pStyle w:val="TableParagraph"/>
              <w:spacing w:line="180" w:lineRule="exact" w:before="3"/>
              <w:ind w:left="112"/>
              <w:rPr>
                <w:sz w:val="16"/>
              </w:rPr>
            </w:pPr>
            <w:r>
              <w:rPr>
                <w:spacing w:val="-10"/>
                <w:w w:val="105"/>
                <w:sz w:val="16"/>
              </w:rPr>
              <w:t>$</w:t>
            </w:r>
          </w:p>
        </w:tc>
        <w:tc>
          <w:tcPr>
            <w:tcW w:w="1005" w:type="dxa"/>
          </w:tcPr>
          <w:p>
            <w:pPr>
              <w:pStyle w:val="TableParagraph"/>
              <w:spacing w:line="180" w:lineRule="exact" w:before="3"/>
              <w:ind w:right="115"/>
              <w:jc w:val="right"/>
              <w:rPr>
                <w:sz w:val="16"/>
              </w:rPr>
            </w:pPr>
            <w:r>
              <w:rPr>
                <w:spacing w:val="-5"/>
                <w:w w:val="105"/>
                <w:sz w:val="16"/>
              </w:rPr>
              <w:t>887</w:t>
            </w:r>
          </w:p>
        </w:tc>
      </w:tr>
      <w:tr>
        <w:trPr>
          <w:trHeight w:val="203" w:hRule="atLeast"/>
        </w:trPr>
        <w:tc>
          <w:tcPr>
            <w:tcW w:w="4203" w:type="dxa"/>
            <w:shd w:val="clear" w:color="auto" w:fill="CCEDFF"/>
          </w:tcPr>
          <w:p>
            <w:pPr>
              <w:pStyle w:val="TableParagraph"/>
              <w:spacing w:line="180" w:lineRule="exact" w:before="3"/>
              <w:ind w:left="152"/>
              <w:rPr>
                <w:sz w:val="16"/>
              </w:rPr>
            </w:pPr>
            <w:r>
              <w:rPr>
                <w:sz w:val="16"/>
              </w:rPr>
              <w:t>Derivative</w:t>
            </w:r>
            <w:r>
              <w:rPr>
                <w:spacing w:val="15"/>
                <w:sz w:val="16"/>
              </w:rPr>
              <w:t> </w:t>
            </w:r>
            <w:r>
              <w:rPr>
                <w:sz w:val="16"/>
              </w:rPr>
              <w:t>instruments</w:t>
            </w:r>
            <w:r>
              <w:rPr>
                <w:spacing w:val="18"/>
                <w:sz w:val="16"/>
              </w:rPr>
              <w:t> </w:t>
            </w:r>
            <w:r>
              <w:rPr>
                <w:sz w:val="16"/>
              </w:rPr>
              <w:t>(Note</w:t>
            </w:r>
            <w:r>
              <w:rPr>
                <w:spacing w:val="15"/>
                <w:sz w:val="16"/>
              </w:rPr>
              <w:t> </w:t>
            </w:r>
            <w:r>
              <w:rPr>
                <w:spacing w:val="-5"/>
                <w:sz w:val="16"/>
              </w:rPr>
              <w:t>15)</w:t>
            </w:r>
          </w:p>
        </w:tc>
        <w:tc>
          <w:tcPr>
            <w:tcW w:w="2814" w:type="dxa"/>
            <w:shd w:val="clear" w:color="auto" w:fill="CCEDFF"/>
          </w:tcPr>
          <w:p>
            <w:pPr>
              <w:pStyle w:val="TableParagraph"/>
              <w:rPr>
                <w:sz w:val="14"/>
              </w:rPr>
            </w:pPr>
          </w:p>
        </w:tc>
        <w:tc>
          <w:tcPr>
            <w:tcW w:w="1776"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4"/>
              <w:jc w:val="right"/>
              <w:rPr>
                <w:b/>
                <w:sz w:val="16"/>
              </w:rPr>
            </w:pPr>
            <w:r>
              <w:rPr>
                <w:b/>
                <w:spacing w:val="-5"/>
                <w:w w:val="105"/>
                <w:sz w:val="16"/>
              </w:rPr>
              <w:t>49</w:t>
            </w:r>
          </w:p>
        </w:tc>
        <w:tc>
          <w:tcPr>
            <w:tcW w:w="715"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5"/>
              <w:jc w:val="right"/>
              <w:rPr>
                <w:sz w:val="16"/>
              </w:rPr>
            </w:pPr>
            <w:r>
              <w:rPr>
                <w:spacing w:val="-5"/>
                <w:w w:val="105"/>
                <w:sz w:val="16"/>
              </w:rPr>
              <w:t>155</w:t>
            </w:r>
          </w:p>
        </w:tc>
      </w:tr>
      <w:tr>
        <w:trPr>
          <w:trHeight w:val="203" w:hRule="atLeast"/>
        </w:trPr>
        <w:tc>
          <w:tcPr>
            <w:tcW w:w="4203" w:type="dxa"/>
          </w:tcPr>
          <w:p>
            <w:pPr>
              <w:pStyle w:val="TableParagraph"/>
              <w:spacing w:line="180" w:lineRule="exact" w:before="3"/>
              <w:ind w:left="152"/>
              <w:rPr>
                <w:sz w:val="16"/>
              </w:rPr>
            </w:pPr>
            <w:r>
              <w:rPr>
                <w:sz w:val="16"/>
              </w:rPr>
              <w:t>Deferred</w:t>
            </w:r>
            <w:r>
              <w:rPr>
                <w:spacing w:val="15"/>
                <w:sz w:val="16"/>
              </w:rPr>
              <w:t> </w:t>
            </w:r>
            <w:r>
              <w:rPr>
                <w:sz w:val="16"/>
              </w:rPr>
              <w:t>revenue</w:t>
            </w:r>
            <w:r>
              <w:rPr>
                <w:spacing w:val="15"/>
                <w:sz w:val="16"/>
              </w:rPr>
              <w:t> </w:t>
            </w:r>
            <w:r>
              <w:rPr>
                <w:sz w:val="16"/>
              </w:rPr>
              <w:t>(Note</w:t>
            </w:r>
            <w:r>
              <w:rPr>
                <w:spacing w:val="16"/>
                <w:sz w:val="16"/>
              </w:rPr>
              <w:t> </w:t>
            </w:r>
            <w:r>
              <w:rPr>
                <w:spacing w:val="-5"/>
                <w:sz w:val="16"/>
              </w:rPr>
              <w:t>5)</w:t>
            </w:r>
          </w:p>
        </w:tc>
        <w:tc>
          <w:tcPr>
            <w:tcW w:w="2814" w:type="dxa"/>
          </w:tcPr>
          <w:p>
            <w:pPr>
              <w:pStyle w:val="TableParagraph"/>
              <w:rPr>
                <w:sz w:val="14"/>
              </w:rPr>
            </w:pPr>
          </w:p>
        </w:tc>
        <w:tc>
          <w:tcPr>
            <w:tcW w:w="1776" w:type="dxa"/>
          </w:tcPr>
          <w:p>
            <w:pPr>
              <w:pStyle w:val="TableParagraph"/>
              <w:rPr>
                <w:sz w:val="14"/>
              </w:rPr>
            </w:pPr>
          </w:p>
        </w:tc>
        <w:tc>
          <w:tcPr>
            <w:tcW w:w="1005" w:type="dxa"/>
          </w:tcPr>
          <w:p>
            <w:pPr>
              <w:pStyle w:val="TableParagraph"/>
              <w:spacing w:line="180" w:lineRule="exact" w:before="3"/>
              <w:ind w:right="114"/>
              <w:jc w:val="right"/>
              <w:rPr>
                <w:b/>
                <w:sz w:val="16"/>
              </w:rPr>
            </w:pPr>
            <w:r>
              <w:rPr>
                <w:b/>
                <w:spacing w:val="-5"/>
                <w:w w:val="105"/>
                <w:sz w:val="16"/>
              </w:rPr>
              <w:t>764</w:t>
            </w:r>
          </w:p>
        </w:tc>
        <w:tc>
          <w:tcPr>
            <w:tcW w:w="715" w:type="dxa"/>
          </w:tcPr>
          <w:p>
            <w:pPr>
              <w:pStyle w:val="TableParagraph"/>
              <w:rPr>
                <w:sz w:val="14"/>
              </w:rPr>
            </w:pPr>
          </w:p>
        </w:tc>
        <w:tc>
          <w:tcPr>
            <w:tcW w:w="1005" w:type="dxa"/>
          </w:tcPr>
          <w:p>
            <w:pPr>
              <w:pStyle w:val="TableParagraph"/>
              <w:spacing w:line="180" w:lineRule="exact" w:before="3"/>
              <w:ind w:right="115"/>
              <w:jc w:val="right"/>
              <w:rPr>
                <w:sz w:val="16"/>
              </w:rPr>
            </w:pPr>
            <w:r>
              <w:rPr>
                <w:spacing w:val="-5"/>
                <w:w w:val="105"/>
                <w:sz w:val="16"/>
              </w:rPr>
              <w:t>872</w:t>
            </w:r>
          </w:p>
        </w:tc>
      </w:tr>
      <w:tr>
        <w:trPr>
          <w:trHeight w:val="203" w:hRule="atLeast"/>
        </w:trPr>
        <w:tc>
          <w:tcPr>
            <w:tcW w:w="4203" w:type="dxa"/>
            <w:shd w:val="clear" w:color="auto" w:fill="CCEDFF"/>
          </w:tcPr>
          <w:p>
            <w:pPr>
              <w:pStyle w:val="TableParagraph"/>
              <w:spacing w:line="180" w:lineRule="exact" w:before="3"/>
              <w:ind w:left="152"/>
              <w:rPr>
                <w:sz w:val="16"/>
              </w:rPr>
            </w:pPr>
            <w:r>
              <w:rPr>
                <w:sz w:val="16"/>
              </w:rPr>
              <w:t>Settlement</w:t>
            </w:r>
            <w:r>
              <w:rPr>
                <w:spacing w:val="16"/>
                <w:sz w:val="16"/>
              </w:rPr>
              <w:t> </w:t>
            </w:r>
            <w:r>
              <w:rPr>
                <w:sz w:val="16"/>
              </w:rPr>
              <w:t>liability</w:t>
            </w:r>
            <w:r>
              <w:rPr>
                <w:spacing w:val="16"/>
                <w:sz w:val="16"/>
              </w:rPr>
              <w:t> </w:t>
            </w:r>
            <w:r>
              <w:rPr>
                <w:sz w:val="16"/>
              </w:rPr>
              <w:t>(Note</w:t>
            </w:r>
            <w:r>
              <w:rPr>
                <w:spacing w:val="17"/>
                <w:sz w:val="16"/>
              </w:rPr>
              <w:t> </w:t>
            </w:r>
            <w:r>
              <w:rPr>
                <w:spacing w:val="-5"/>
                <w:sz w:val="16"/>
              </w:rPr>
              <w:t>4)</w:t>
            </w:r>
          </w:p>
        </w:tc>
        <w:tc>
          <w:tcPr>
            <w:tcW w:w="2814" w:type="dxa"/>
            <w:shd w:val="clear" w:color="auto" w:fill="CCEDFF"/>
          </w:tcPr>
          <w:p>
            <w:pPr>
              <w:pStyle w:val="TableParagraph"/>
              <w:rPr>
                <w:sz w:val="14"/>
              </w:rPr>
            </w:pPr>
          </w:p>
        </w:tc>
        <w:tc>
          <w:tcPr>
            <w:tcW w:w="1776"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4"/>
              <w:jc w:val="right"/>
              <w:rPr>
                <w:b/>
                <w:sz w:val="16"/>
              </w:rPr>
            </w:pPr>
            <w:r>
              <w:rPr>
                <w:b/>
                <w:spacing w:val="-5"/>
                <w:w w:val="105"/>
                <w:sz w:val="16"/>
              </w:rPr>
              <w:t>58</w:t>
            </w:r>
          </w:p>
        </w:tc>
        <w:tc>
          <w:tcPr>
            <w:tcW w:w="715"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5"/>
              <w:jc w:val="right"/>
              <w:rPr>
                <w:sz w:val="16"/>
              </w:rPr>
            </w:pPr>
            <w:r>
              <w:rPr>
                <w:spacing w:val="-5"/>
                <w:w w:val="105"/>
                <w:sz w:val="16"/>
              </w:rPr>
              <w:t>117</w:t>
            </w:r>
          </w:p>
        </w:tc>
      </w:tr>
      <w:tr>
        <w:trPr>
          <w:trHeight w:val="203" w:hRule="atLeast"/>
        </w:trPr>
        <w:tc>
          <w:tcPr>
            <w:tcW w:w="4203" w:type="dxa"/>
          </w:tcPr>
          <w:p>
            <w:pPr>
              <w:pStyle w:val="TableParagraph"/>
              <w:spacing w:line="180" w:lineRule="exact" w:before="3"/>
              <w:ind w:left="152"/>
              <w:rPr>
                <w:sz w:val="16"/>
              </w:rPr>
            </w:pPr>
            <w:r>
              <w:rPr>
                <w:sz w:val="16"/>
              </w:rPr>
              <w:t>Customer</w:t>
            </w:r>
            <w:r>
              <w:rPr>
                <w:spacing w:val="13"/>
                <w:sz w:val="16"/>
              </w:rPr>
              <w:t> </w:t>
            </w:r>
            <w:r>
              <w:rPr>
                <w:sz w:val="16"/>
              </w:rPr>
              <w:t>deposits</w:t>
            </w:r>
            <w:r>
              <w:rPr>
                <w:spacing w:val="14"/>
                <w:sz w:val="16"/>
              </w:rPr>
              <w:t> </w:t>
            </w:r>
            <w:r>
              <w:rPr>
                <w:sz w:val="16"/>
              </w:rPr>
              <w:t>(Note</w:t>
            </w:r>
            <w:r>
              <w:rPr>
                <w:spacing w:val="14"/>
                <w:sz w:val="16"/>
              </w:rPr>
              <w:t> </w:t>
            </w:r>
            <w:r>
              <w:rPr>
                <w:spacing w:val="-5"/>
                <w:sz w:val="16"/>
              </w:rPr>
              <w:t>5)</w:t>
            </w:r>
          </w:p>
        </w:tc>
        <w:tc>
          <w:tcPr>
            <w:tcW w:w="2814" w:type="dxa"/>
          </w:tcPr>
          <w:p>
            <w:pPr>
              <w:pStyle w:val="TableParagraph"/>
              <w:rPr>
                <w:sz w:val="14"/>
              </w:rPr>
            </w:pPr>
          </w:p>
        </w:tc>
        <w:tc>
          <w:tcPr>
            <w:tcW w:w="1776" w:type="dxa"/>
          </w:tcPr>
          <w:p>
            <w:pPr>
              <w:pStyle w:val="TableParagraph"/>
              <w:rPr>
                <w:sz w:val="14"/>
              </w:rPr>
            </w:pPr>
          </w:p>
        </w:tc>
        <w:tc>
          <w:tcPr>
            <w:tcW w:w="1005" w:type="dxa"/>
          </w:tcPr>
          <w:p>
            <w:pPr>
              <w:pStyle w:val="TableParagraph"/>
              <w:spacing w:line="180" w:lineRule="exact" w:before="3"/>
              <w:ind w:right="114"/>
              <w:jc w:val="right"/>
              <w:rPr>
                <w:b/>
                <w:sz w:val="16"/>
              </w:rPr>
            </w:pPr>
            <w:r>
              <w:rPr>
                <w:b/>
                <w:spacing w:val="-4"/>
                <w:w w:val="105"/>
                <w:sz w:val="16"/>
              </w:rPr>
              <w:t>1,072</w:t>
            </w:r>
          </w:p>
        </w:tc>
        <w:tc>
          <w:tcPr>
            <w:tcW w:w="715" w:type="dxa"/>
          </w:tcPr>
          <w:p>
            <w:pPr>
              <w:pStyle w:val="TableParagraph"/>
              <w:rPr>
                <w:sz w:val="14"/>
              </w:rPr>
            </w:pPr>
          </w:p>
        </w:tc>
        <w:tc>
          <w:tcPr>
            <w:tcW w:w="1005" w:type="dxa"/>
          </w:tcPr>
          <w:p>
            <w:pPr>
              <w:pStyle w:val="TableParagraph"/>
              <w:spacing w:line="180" w:lineRule="exact" w:before="3"/>
              <w:ind w:right="115"/>
              <w:jc w:val="right"/>
              <w:rPr>
                <w:sz w:val="16"/>
              </w:rPr>
            </w:pPr>
            <w:r>
              <w:rPr>
                <w:spacing w:val="-4"/>
                <w:w w:val="105"/>
                <w:sz w:val="16"/>
              </w:rPr>
              <w:t>1,148</w:t>
            </w:r>
          </w:p>
        </w:tc>
      </w:tr>
      <w:tr>
        <w:trPr>
          <w:trHeight w:val="203" w:hRule="atLeast"/>
        </w:trPr>
        <w:tc>
          <w:tcPr>
            <w:tcW w:w="4203" w:type="dxa"/>
            <w:shd w:val="clear" w:color="auto" w:fill="CCEDFF"/>
          </w:tcPr>
          <w:p>
            <w:pPr>
              <w:pStyle w:val="TableParagraph"/>
              <w:spacing w:line="180" w:lineRule="exact" w:before="3"/>
              <w:ind w:left="152"/>
              <w:rPr>
                <w:sz w:val="16"/>
              </w:rPr>
            </w:pPr>
            <w:r>
              <w:rPr>
                <w:sz w:val="16"/>
              </w:rPr>
              <w:t>Share</w:t>
            </w:r>
            <w:r>
              <w:rPr>
                <w:spacing w:val="15"/>
                <w:sz w:val="16"/>
              </w:rPr>
              <w:t> </w:t>
            </w:r>
            <w:r>
              <w:rPr>
                <w:sz w:val="16"/>
              </w:rPr>
              <w:t>repurchase</w:t>
            </w:r>
            <w:r>
              <w:rPr>
                <w:spacing w:val="16"/>
                <w:sz w:val="16"/>
              </w:rPr>
              <w:t> </w:t>
            </w:r>
            <w:r>
              <w:rPr>
                <w:sz w:val="16"/>
              </w:rPr>
              <w:t>liability</w:t>
            </w:r>
            <w:r>
              <w:rPr>
                <w:spacing w:val="16"/>
                <w:sz w:val="16"/>
              </w:rPr>
              <w:t> </w:t>
            </w:r>
            <w:r>
              <w:rPr>
                <w:sz w:val="16"/>
              </w:rPr>
              <w:t>(Note</w:t>
            </w:r>
            <w:r>
              <w:rPr>
                <w:spacing w:val="16"/>
                <w:sz w:val="16"/>
              </w:rPr>
              <w:t> </w:t>
            </w:r>
            <w:r>
              <w:rPr>
                <w:spacing w:val="-5"/>
                <w:sz w:val="16"/>
              </w:rPr>
              <w:t>17)</w:t>
            </w:r>
          </w:p>
        </w:tc>
        <w:tc>
          <w:tcPr>
            <w:tcW w:w="2814" w:type="dxa"/>
            <w:shd w:val="clear" w:color="auto" w:fill="CCEDFF"/>
          </w:tcPr>
          <w:p>
            <w:pPr>
              <w:pStyle w:val="TableParagraph"/>
              <w:rPr>
                <w:sz w:val="14"/>
              </w:rPr>
            </w:pPr>
          </w:p>
        </w:tc>
        <w:tc>
          <w:tcPr>
            <w:tcW w:w="1776"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4"/>
              <w:jc w:val="right"/>
              <w:rPr>
                <w:b/>
                <w:sz w:val="16"/>
              </w:rPr>
            </w:pPr>
            <w:r>
              <w:rPr>
                <w:b/>
                <w:spacing w:val="-5"/>
                <w:w w:val="105"/>
                <w:sz w:val="16"/>
              </w:rPr>
              <w:t>517</w:t>
            </w:r>
          </w:p>
        </w:tc>
        <w:tc>
          <w:tcPr>
            <w:tcW w:w="715" w:type="dxa"/>
            <w:shd w:val="clear" w:color="auto" w:fill="CCEDFF"/>
          </w:tcPr>
          <w:p>
            <w:pPr>
              <w:pStyle w:val="TableParagraph"/>
              <w:rPr>
                <w:sz w:val="14"/>
              </w:rPr>
            </w:pPr>
          </w:p>
        </w:tc>
        <w:tc>
          <w:tcPr>
            <w:tcW w:w="1005" w:type="dxa"/>
            <w:shd w:val="clear" w:color="auto" w:fill="CCEDFF"/>
          </w:tcPr>
          <w:p>
            <w:pPr>
              <w:pStyle w:val="TableParagraph"/>
              <w:rPr>
                <w:sz w:val="14"/>
              </w:rPr>
            </w:pPr>
          </w:p>
        </w:tc>
      </w:tr>
      <w:tr>
        <w:trPr>
          <w:trHeight w:val="203" w:hRule="atLeast"/>
        </w:trPr>
        <w:tc>
          <w:tcPr>
            <w:tcW w:w="4203" w:type="dxa"/>
          </w:tcPr>
          <w:p>
            <w:pPr>
              <w:pStyle w:val="TableParagraph"/>
              <w:spacing w:line="180" w:lineRule="exact" w:before="3"/>
              <w:ind w:left="152"/>
              <w:rPr>
                <w:sz w:val="16"/>
              </w:rPr>
            </w:pPr>
            <w:r>
              <w:rPr>
                <w:w w:val="105"/>
                <w:sz w:val="16"/>
              </w:rPr>
              <w:t>Deferred</w:t>
            </w:r>
            <w:r>
              <w:rPr>
                <w:spacing w:val="-9"/>
                <w:w w:val="105"/>
                <w:sz w:val="16"/>
              </w:rPr>
              <w:t> </w:t>
            </w:r>
            <w:r>
              <w:rPr>
                <w:w w:val="105"/>
                <w:sz w:val="16"/>
              </w:rPr>
              <w:t>tax</w:t>
            </w:r>
            <w:r>
              <w:rPr>
                <w:spacing w:val="-9"/>
                <w:w w:val="105"/>
                <w:sz w:val="16"/>
              </w:rPr>
              <w:t> </w:t>
            </w:r>
            <w:r>
              <w:rPr>
                <w:spacing w:val="-2"/>
                <w:w w:val="105"/>
                <w:sz w:val="16"/>
              </w:rPr>
              <w:t>liabilities</w:t>
            </w:r>
          </w:p>
        </w:tc>
        <w:tc>
          <w:tcPr>
            <w:tcW w:w="2814" w:type="dxa"/>
          </w:tcPr>
          <w:p>
            <w:pPr>
              <w:pStyle w:val="TableParagraph"/>
              <w:rPr>
                <w:sz w:val="14"/>
              </w:rPr>
            </w:pPr>
          </w:p>
        </w:tc>
        <w:tc>
          <w:tcPr>
            <w:tcW w:w="1776" w:type="dxa"/>
          </w:tcPr>
          <w:p>
            <w:pPr>
              <w:pStyle w:val="TableParagraph"/>
              <w:rPr>
                <w:sz w:val="14"/>
              </w:rPr>
            </w:pPr>
          </w:p>
        </w:tc>
        <w:tc>
          <w:tcPr>
            <w:tcW w:w="1005" w:type="dxa"/>
          </w:tcPr>
          <w:p>
            <w:pPr>
              <w:pStyle w:val="TableParagraph"/>
              <w:spacing w:line="180" w:lineRule="exact" w:before="3"/>
              <w:ind w:right="114"/>
              <w:jc w:val="right"/>
              <w:rPr>
                <w:b/>
                <w:sz w:val="16"/>
              </w:rPr>
            </w:pPr>
            <w:r>
              <w:rPr>
                <w:b/>
                <w:spacing w:val="-5"/>
                <w:w w:val="105"/>
                <w:sz w:val="16"/>
              </w:rPr>
              <w:t>258</w:t>
            </w:r>
          </w:p>
        </w:tc>
        <w:tc>
          <w:tcPr>
            <w:tcW w:w="715" w:type="dxa"/>
          </w:tcPr>
          <w:p>
            <w:pPr>
              <w:pStyle w:val="TableParagraph"/>
              <w:rPr>
                <w:sz w:val="14"/>
              </w:rPr>
            </w:pPr>
          </w:p>
        </w:tc>
        <w:tc>
          <w:tcPr>
            <w:tcW w:w="1005" w:type="dxa"/>
          </w:tcPr>
          <w:p>
            <w:pPr>
              <w:pStyle w:val="TableParagraph"/>
              <w:spacing w:line="180" w:lineRule="exact" w:before="3"/>
              <w:ind w:right="115"/>
              <w:jc w:val="right"/>
              <w:rPr>
                <w:sz w:val="16"/>
              </w:rPr>
            </w:pPr>
            <w:r>
              <w:rPr>
                <w:spacing w:val="-5"/>
                <w:w w:val="105"/>
                <w:sz w:val="16"/>
              </w:rPr>
              <w:t>313</w:t>
            </w:r>
          </w:p>
        </w:tc>
      </w:tr>
      <w:tr>
        <w:trPr>
          <w:trHeight w:val="203" w:hRule="atLeast"/>
        </w:trPr>
        <w:tc>
          <w:tcPr>
            <w:tcW w:w="4203" w:type="dxa"/>
            <w:shd w:val="clear" w:color="auto" w:fill="CCEDFF"/>
          </w:tcPr>
          <w:p>
            <w:pPr>
              <w:pStyle w:val="TableParagraph"/>
              <w:spacing w:line="180" w:lineRule="exact" w:before="3"/>
              <w:ind w:left="152"/>
              <w:rPr>
                <w:sz w:val="16"/>
              </w:rPr>
            </w:pPr>
            <w:r>
              <w:rPr>
                <w:sz w:val="16"/>
              </w:rPr>
              <w:t>Long-term</w:t>
            </w:r>
            <w:r>
              <w:rPr>
                <w:spacing w:val="13"/>
                <w:sz w:val="16"/>
              </w:rPr>
              <w:t> </w:t>
            </w:r>
            <w:r>
              <w:rPr>
                <w:sz w:val="16"/>
              </w:rPr>
              <w:t>leases</w:t>
            </w:r>
            <w:r>
              <w:rPr>
                <w:spacing w:val="14"/>
                <w:sz w:val="16"/>
              </w:rPr>
              <w:t> </w:t>
            </w:r>
            <w:r>
              <w:rPr>
                <w:sz w:val="16"/>
              </w:rPr>
              <w:t>(Note</w:t>
            </w:r>
            <w:r>
              <w:rPr>
                <w:spacing w:val="13"/>
                <w:sz w:val="16"/>
              </w:rPr>
              <w:t> </w:t>
            </w:r>
            <w:r>
              <w:rPr>
                <w:spacing w:val="-5"/>
                <w:sz w:val="16"/>
              </w:rPr>
              <w:t>7)</w:t>
            </w:r>
          </w:p>
        </w:tc>
        <w:tc>
          <w:tcPr>
            <w:tcW w:w="2814" w:type="dxa"/>
            <w:shd w:val="clear" w:color="auto" w:fill="CCEDFF"/>
          </w:tcPr>
          <w:p>
            <w:pPr>
              <w:pStyle w:val="TableParagraph"/>
              <w:rPr>
                <w:sz w:val="14"/>
              </w:rPr>
            </w:pPr>
          </w:p>
        </w:tc>
        <w:tc>
          <w:tcPr>
            <w:tcW w:w="1776"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4"/>
              <w:jc w:val="right"/>
              <w:rPr>
                <w:b/>
                <w:sz w:val="16"/>
              </w:rPr>
            </w:pPr>
            <w:r>
              <w:rPr>
                <w:b/>
                <w:spacing w:val="-5"/>
                <w:w w:val="105"/>
                <w:sz w:val="16"/>
              </w:rPr>
              <w:t>691</w:t>
            </w:r>
          </w:p>
        </w:tc>
        <w:tc>
          <w:tcPr>
            <w:tcW w:w="715" w:type="dxa"/>
            <w:shd w:val="clear" w:color="auto" w:fill="CCEDFF"/>
          </w:tcPr>
          <w:p>
            <w:pPr>
              <w:pStyle w:val="TableParagraph"/>
              <w:rPr>
                <w:sz w:val="14"/>
              </w:rPr>
            </w:pPr>
          </w:p>
        </w:tc>
        <w:tc>
          <w:tcPr>
            <w:tcW w:w="1005" w:type="dxa"/>
            <w:shd w:val="clear" w:color="auto" w:fill="CCEDFF"/>
          </w:tcPr>
          <w:p>
            <w:pPr>
              <w:pStyle w:val="TableParagraph"/>
              <w:spacing w:line="180" w:lineRule="exact" w:before="3"/>
              <w:ind w:right="115"/>
              <w:jc w:val="right"/>
              <w:rPr>
                <w:sz w:val="16"/>
              </w:rPr>
            </w:pPr>
            <w:r>
              <w:rPr>
                <w:spacing w:val="-5"/>
                <w:w w:val="105"/>
                <w:sz w:val="16"/>
              </w:rPr>
              <w:t>633</w:t>
            </w:r>
          </w:p>
        </w:tc>
      </w:tr>
      <w:tr>
        <w:trPr>
          <w:trHeight w:val="203" w:hRule="atLeast"/>
        </w:trPr>
        <w:tc>
          <w:tcPr>
            <w:tcW w:w="4203" w:type="dxa"/>
          </w:tcPr>
          <w:p>
            <w:pPr>
              <w:pStyle w:val="TableParagraph"/>
              <w:spacing w:line="180" w:lineRule="exact" w:before="3"/>
              <w:ind w:left="152"/>
              <w:rPr>
                <w:sz w:val="16"/>
              </w:rPr>
            </w:pPr>
            <w:r>
              <w:rPr>
                <w:spacing w:val="-2"/>
                <w:w w:val="105"/>
                <w:sz w:val="16"/>
              </w:rPr>
              <w:t>Asbestos</w:t>
            </w:r>
            <w:r>
              <w:rPr>
                <w:spacing w:val="-1"/>
                <w:w w:val="105"/>
                <w:sz w:val="16"/>
              </w:rPr>
              <w:t> </w:t>
            </w:r>
            <w:r>
              <w:rPr>
                <w:spacing w:val="-2"/>
                <w:w w:val="105"/>
                <w:sz w:val="16"/>
              </w:rPr>
              <w:t>and</w:t>
            </w:r>
            <w:r>
              <w:rPr>
                <w:w w:val="105"/>
                <w:sz w:val="16"/>
              </w:rPr>
              <w:t> </w:t>
            </w:r>
            <w:r>
              <w:rPr>
                <w:spacing w:val="-2"/>
                <w:w w:val="105"/>
                <w:sz w:val="16"/>
              </w:rPr>
              <w:t>other</w:t>
            </w:r>
            <w:r>
              <w:rPr>
                <w:w w:val="105"/>
                <w:sz w:val="16"/>
              </w:rPr>
              <w:t> </w:t>
            </w:r>
            <w:r>
              <w:rPr>
                <w:spacing w:val="-2"/>
                <w:w w:val="105"/>
                <w:sz w:val="16"/>
              </w:rPr>
              <w:t>litigation</w:t>
            </w:r>
          </w:p>
        </w:tc>
        <w:tc>
          <w:tcPr>
            <w:tcW w:w="2814" w:type="dxa"/>
          </w:tcPr>
          <w:p>
            <w:pPr>
              <w:pStyle w:val="TableParagraph"/>
              <w:rPr>
                <w:sz w:val="14"/>
              </w:rPr>
            </w:pPr>
          </w:p>
        </w:tc>
        <w:tc>
          <w:tcPr>
            <w:tcW w:w="1776" w:type="dxa"/>
          </w:tcPr>
          <w:p>
            <w:pPr>
              <w:pStyle w:val="TableParagraph"/>
              <w:rPr>
                <w:sz w:val="14"/>
              </w:rPr>
            </w:pPr>
          </w:p>
        </w:tc>
        <w:tc>
          <w:tcPr>
            <w:tcW w:w="1005" w:type="dxa"/>
          </w:tcPr>
          <w:p>
            <w:pPr>
              <w:pStyle w:val="TableParagraph"/>
              <w:spacing w:line="180" w:lineRule="exact" w:before="3"/>
              <w:ind w:right="114"/>
              <w:jc w:val="right"/>
              <w:rPr>
                <w:b/>
                <w:sz w:val="16"/>
              </w:rPr>
            </w:pPr>
            <w:r>
              <w:rPr>
                <w:b/>
                <w:spacing w:val="-5"/>
                <w:w w:val="105"/>
                <w:sz w:val="16"/>
              </w:rPr>
              <w:t>35</w:t>
            </w:r>
          </w:p>
        </w:tc>
        <w:tc>
          <w:tcPr>
            <w:tcW w:w="715" w:type="dxa"/>
          </w:tcPr>
          <w:p>
            <w:pPr>
              <w:pStyle w:val="TableParagraph"/>
              <w:rPr>
                <w:sz w:val="14"/>
              </w:rPr>
            </w:pPr>
          </w:p>
        </w:tc>
        <w:tc>
          <w:tcPr>
            <w:tcW w:w="1005" w:type="dxa"/>
          </w:tcPr>
          <w:p>
            <w:pPr>
              <w:pStyle w:val="TableParagraph"/>
              <w:spacing w:line="180" w:lineRule="exact" w:before="3"/>
              <w:ind w:right="115"/>
              <w:jc w:val="right"/>
              <w:rPr>
                <w:sz w:val="16"/>
              </w:rPr>
            </w:pPr>
            <w:r>
              <w:rPr>
                <w:spacing w:val="-5"/>
                <w:w w:val="105"/>
                <w:sz w:val="16"/>
              </w:rPr>
              <w:t>94</w:t>
            </w:r>
          </w:p>
        </w:tc>
      </w:tr>
      <w:tr>
        <w:trPr>
          <w:trHeight w:val="202" w:hRule="atLeast"/>
        </w:trPr>
        <w:tc>
          <w:tcPr>
            <w:tcW w:w="4203" w:type="dxa"/>
            <w:tcBorders>
              <w:bottom w:val="single" w:sz="6" w:space="0" w:color="000000"/>
            </w:tcBorders>
            <w:shd w:val="clear" w:color="auto" w:fill="CCEDFF"/>
          </w:tcPr>
          <w:p>
            <w:pPr>
              <w:pStyle w:val="TableParagraph"/>
              <w:spacing w:line="179" w:lineRule="exact" w:before="3"/>
              <w:ind w:left="152"/>
              <w:rPr>
                <w:sz w:val="16"/>
              </w:rPr>
            </w:pPr>
            <w:r>
              <w:rPr>
                <w:sz w:val="16"/>
              </w:rPr>
              <w:t>Other</w:t>
            </w:r>
            <w:r>
              <w:rPr>
                <w:spacing w:val="17"/>
                <w:sz w:val="16"/>
              </w:rPr>
              <w:t> </w:t>
            </w:r>
            <w:r>
              <w:rPr>
                <w:sz w:val="16"/>
              </w:rPr>
              <w:t>non-current</w:t>
            </w:r>
            <w:r>
              <w:rPr>
                <w:spacing w:val="18"/>
                <w:sz w:val="16"/>
              </w:rPr>
              <w:t> </w:t>
            </w:r>
            <w:r>
              <w:rPr>
                <w:spacing w:val="-2"/>
                <w:sz w:val="16"/>
              </w:rPr>
              <w:t>liabilities</w:t>
            </w:r>
          </w:p>
        </w:tc>
        <w:tc>
          <w:tcPr>
            <w:tcW w:w="2814" w:type="dxa"/>
            <w:tcBorders>
              <w:bottom w:val="single" w:sz="6" w:space="0" w:color="000000"/>
            </w:tcBorders>
            <w:shd w:val="clear" w:color="auto" w:fill="CCEDFF"/>
          </w:tcPr>
          <w:p>
            <w:pPr>
              <w:pStyle w:val="TableParagraph"/>
              <w:rPr>
                <w:sz w:val="14"/>
              </w:rPr>
            </w:pPr>
          </w:p>
        </w:tc>
        <w:tc>
          <w:tcPr>
            <w:tcW w:w="1776" w:type="dxa"/>
            <w:tcBorders>
              <w:bottom w:val="single" w:sz="6" w:space="0" w:color="000000"/>
            </w:tcBorders>
            <w:shd w:val="clear" w:color="auto" w:fill="CCEDFF"/>
          </w:tcPr>
          <w:p>
            <w:pPr>
              <w:pStyle w:val="TableParagraph"/>
              <w:rPr>
                <w:sz w:val="14"/>
              </w:rPr>
            </w:pPr>
          </w:p>
        </w:tc>
        <w:tc>
          <w:tcPr>
            <w:tcW w:w="1005" w:type="dxa"/>
            <w:tcBorders>
              <w:bottom w:val="single" w:sz="6" w:space="0" w:color="000000"/>
            </w:tcBorders>
            <w:shd w:val="clear" w:color="auto" w:fill="CCEDFF"/>
          </w:tcPr>
          <w:p>
            <w:pPr>
              <w:pStyle w:val="TableParagraph"/>
              <w:spacing w:line="179" w:lineRule="exact" w:before="3"/>
              <w:ind w:right="114"/>
              <w:jc w:val="right"/>
              <w:rPr>
                <w:b/>
                <w:sz w:val="16"/>
              </w:rPr>
            </w:pPr>
            <w:r>
              <w:rPr>
                <w:b/>
                <w:spacing w:val="-4"/>
                <w:w w:val="105"/>
                <w:sz w:val="16"/>
              </w:rPr>
              <w:t>1,041</w:t>
            </w:r>
          </w:p>
        </w:tc>
        <w:tc>
          <w:tcPr>
            <w:tcW w:w="715" w:type="dxa"/>
            <w:tcBorders>
              <w:bottom w:val="single" w:sz="6" w:space="0" w:color="000000"/>
            </w:tcBorders>
            <w:shd w:val="clear" w:color="auto" w:fill="CCEDFF"/>
          </w:tcPr>
          <w:p>
            <w:pPr>
              <w:pStyle w:val="TableParagraph"/>
              <w:rPr>
                <w:sz w:val="14"/>
              </w:rPr>
            </w:pPr>
          </w:p>
        </w:tc>
        <w:tc>
          <w:tcPr>
            <w:tcW w:w="1005" w:type="dxa"/>
            <w:tcBorders>
              <w:bottom w:val="single" w:sz="6" w:space="0" w:color="000000"/>
            </w:tcBorders>
            <w:shd w:val="clear" w:color="auto" w:fill="CCEDFF"/>
          </w:tcPr>
          <w:p>
            <w:pPr>
              <w:pStyle w:val="TableParagraph"/>
              <w:spacing w:line="179" w:lineRule="exact" w:before="3"/>
              <w:ind w:right="115"/>
              <w:jc w:val="right"/>
              <w:rPr>
                <w:sz w:val="16"/>
              </w:rPr>
            </w:pPr>
            <w:r>
              <w:rPr>
                <w:spacing w:val="-5"/>
                <w:w w:val="105"/>
                <w:sz w:val="16"/>
              </w:rPr>
              <w:t>798</w:t>
            </w:r>
          </w:p>
        </w:tc>
      </w:tr>
      <w:tr>
        <w:trPr>
          <w:trHeight w:val="199" w:hRule="atLeast"/>
        </w:trPr>
        <w:tc>
          <w:tcPr>
            <w:tcW w:w="4203" w:type="dxa"/>
            <w:tcBorders>
              <w:top w:val="single" w:sz="6" w:space="0" w:color="000000"/>
              <w:bottom w:val="double" w:sz="6" w:space="0" w:color="000000"/>
            </w:tcBorders>
          </w:tcPr>
          <w:p>
            <w:pPr>
              <w:pStyle w:val="TableParagraph"/>
              <w:spacing w:line="177" w:lineRule="exact" w:before="2"/>
              <w:rPr>
                <w:sz w:val="16"/>
              </w:rPr>
            </w:pPr>
            <w:r>
              <w:rPr>
                <w:w w:val="105"/>
                <w:sz w:val="16"/>
              </w:rPr>
              <w:t>Other</w:t>
            </w:r>
            <w:r>
              <w:rPr>
                <w:spacing w:val="-9"/>
                <w:w w:val="105"/>
                <w:sz w:val="16"/>
              </w:rPr>
              <w:t> </w:t>
            </w:r>
            <w:r>
              <w:rPr>
                <w:spacing w:val="-2"/>
                <w:w w:val="105"/>
                <w:sz w:val="16"/>
              </w:rPr>
              <w:t>liabilities</w:t>
            </w:r>
          </w:p>
        </w:tc>
        <w:tc>
          <w:tcPr>
            <w:tcW w:w="2814" w:type="dxa"/>
            <w:tcBorders>
              <w:top w:val="single" w:sz="6" w:space="0" w:color="000000"/>
              <w:bottom w:val="double" w:sz="6" w:space="0" w:color="000000"/>
            </w:tcBorders>
          </w:tcPr>
          <w:p>
            <w:pPr>
              <w:pStyle w:val="TableParagraph"/>
              <w:rPr>
                <w:sz w:val="12"/>
              </w:rPr>
            </w:pPr>
          </w:p>
        </w:tc>
        <w:tc>
          <w:tcPr>
            <w:tcW w:w="1776" w:type="dxa"/>
            <w:tcBorders>
              <w:top w:val="single" w:sz="6" w:space="0" w:color="000000"/>
              <w:bottom w:val="double" w:sz="6" w:space="0" w:color="000000"/>
            </w:tcBorders>
          </w:tcPr>
          <w:p>
            <w:pPr>
              <w:pStyle w:val="TableParagraph"/>
              <w:spacing w:line="177" w:lineRule="exact" w:before="2"/>
              <w:ind w:right="517"/>
              <w:jc w:val="right"/>
              <w:rPr>
                <w:b/>
                <w:sz w:val="16"/>
              </w:rPr>
            </w:pPr>
            <w:r>
              <w:rPr>
                <w:b/>
                <w:spacing w:val="-10"/>
                <w:w w:val="105"/>
                <w:sz w:val="16"/>
              </w:rPr>
              <w:t>$</w:t>
            </w:r>
          </w:p>
        </w:tc>
        <w:tc>
          <w:tcPr>
            <w:tcW w:w="1005" w:type="dxa"/>
            <w:tcBorders>
              <w:top w:val="single" w:sz="6" w:space="0" w:color="000000"/>
              <w:bottom w:val="double" w:sz="6" w:space="0" w:color="000000"/>
            </w:tcBorders>
          </w:tcPr>
          <w:p>
            <w:pPr>
              <w:pStyle w:val="TableParagraph"/>
              <w:spacing w:line="177" w:lineRule="exact" w:before="2"/>
              <w:ind w:right="114"/>
              <w:jc w:val="right"/>
              <w:rPr>
                <w:b/>
                <w:sz w:val="16"/>
              </w:rPr>
            </w:pPr>
            <w:r>
              <w:rPr>
                <w:b/>
                <w:spacing w:val="-4"/>
                <w:w w:val="105"/>
                <w:sz w:val="16"/>
              </w:rPr>
              <w:t>5,192</w:t>
            </w:r>
          </w:p>
        </w:tc>
        <w:tc>
          <w:tcPr>
            <w:tcW w:w="715" w:type="dxa"/>
            <w:tcBorders>
              <w:top w:val="single" w:sz="6" w:space="0" w:color="000000"/>
              <w:bottom w:val="double" w:sz="6" w:space="0" w:color="000000"/>
            </w:tcBorders>
          </w:tcPr>
          <w:p>
            <w:pPr>
              <w:pStyle w:val="TableParagraph"/>
              <w:spacing w:line="177" w:lineRule="exact" w:before="2"/>
              <w:ind w:left="112"/>
              <w:rPr>
                <w:sz w:val="16"/>
              </w:rPr>
            </w:pPr>
            <w:r>
              <w:rPr>
                <w:spacing w:val="-10"/>
                <w:w w:val="105"/>
                <w:sz w:val="16"/>
              </w:rPr>
              <w:t>$</w:t>
            </w:r>
          </w:p>
        </w:tc>
        <w:tc>
          <w:tcPr>
            <w:tcW w:w="1005" w:type="dxa"/>
            <w:tcBorders>
              <w:top w:val="single" w:sz="6" w:space="0" w:color="000000"/>
              <w:bottom w:val="double" w:sz="6" w:space="0" w:color="000000"/>
            </w:tcBorders>
          </w:tcPr>
          <w:p>
            <w:pPr>
              <w:pStyle w:val="TableParagraph"/>
              <w:spacing w:line="177" w:lineRule="exact" w:before="2"/>
              <w:ind w:right="115"/>
              <w:jc w:val="right"/>
              <w:rPr>
                <w:sz w:val="16"/>
              </w:rPr>
            </w:pPr>
            <w:r>
              <w:rPr>
                <w:spacing w:val="-4"/>
                <w:w w:val="105"/>
                <w:sz w:val="16"/>
              </w:rPr>
              <w:t>5,017</w:t>
            </w:r>
          </w:p>
        </w:tc>
      </w:tr>
      <w:tr>
        <w:trPr>
          <w:trHeight w:val="478" w:hRule="atLeast"/>
        </w:trPr>
        <w:tc>
          <w:tcPr>
            <w:tcW w:w="4203" w:type="dxa"/>
            <w:tcBorders>
              <w:top w:val="double" w:sz="6" w:space="0" w:color="000000"/>
              <w:bottom w:val="single" w:sz="12" w:space="0" w:color="000000"/>
            </w:tcBorders>
          </w:tcPr>
          <w:p>
            <w:pPr>
              <w:pStyle w:val="TableParagraph"/>
              <w:rPr>
                <w:sz w:val="16"/>
              </w:rPr>
            </w:pPr>
          </w:p>
        </w:tc>
        <w:tc>
          <w:tcPr>
            <w:tcW w:w="2814" w:type="dxa"/>
            <w:tcBorders>
              <w:top w:val="double" w:sz="6" w:space="0" w:color="000000"/>
              <w:bottom w:val="single" w:sz="12" w:space="0" w:color="000000"/>
            </w:tcBorders>
          </w:tcPr>
          <w:p>
            <w:pPr>
              <w:pStyle w:val="TableParagraph"/>
              <w:spacing w:before="19"/>
              <w:rPr>
                <w:sz w:val="16"/>
              </w:rPr>
            </w:pPr>
          </w:p>
          <w:p>
            <w:pPr>
              <w:pStyle w:val="TableParagraph"/>
              <w:spacing w:before="1"/>
              <w:ind w:left="295"/>
              <w:jc w:val="center"/>
              <w:rPr>
                <w:sz w:val="16"/>
              </w:rPr>
            </w:pPr>
            <w:r>
              <w:rPr>
                <w:spacing w:val="-5"/>
                <w:w w:val="105"/>
                <w:sz w:val="16"/>
              </w:rPr>
              <w:t>91</w:t>
            </w:r>
          </w:p>
        </w:tc>
        <w:tc>
          <w:tcPr>
            <w:tcW w:w="1776" w:type="dxa"/>
            <w:tcBorders>
              <w:top w:val="double" w:sz="6" w:space="0" w:color="000000"/>
              <w:bottom w:val="single" w:sz="12" w:space="0" w:color="000000"/>
            </w:tcBorders>
          </w:tcPr>
          <w:p>
            <w:pPr>
              <w:pStyle w:val="TableParagraph"/>
              <w:rPr>
                <w:sz w:val="16"/>
              </w:rPr>
            </w:pPr>
          </w:p>
        </w:tc>
        <w:tc>
          <w:tcPr>
            <w:tcW w:w="1005" w:type="dxa"/>
            <w:tcBorders>
              <w:top w:val="double" w:sz="6" w:space="0" w:color="000000"/>
              <w:bottom w:val="single" w:sz="12" w:space="0" w:color="000000"/>
            </w:tcBorders>
          </w:tcPr>
          <w:p>
            <w:pPr>
              <w:pStyle w:val="TableParagraph"/>
              <w:rPr>
                <w:sz w:val="16"/>
              </w:rPr>
            </w:pPr>
          </w:p>
        </w:tc>
        <w:tc>
          <w:tcPr>
            <w:tcW w:w="715" w:type="dxa"/>
            <w:tcBorders>
              <w:top w:val="double" w:sz="6" w:space="0" w:color="000000"/>
              <w:bottom w:val="single" w:sz="12" w:space="0" w:color="000000"/>
            </w:tcBorders>
          </w:tcPr>
          <w:p>
            <w:pPr>
              <w:pStyle w:val="TableParagraph"/>
              <w:rPr>
                <w:sz w:val="16"/>
              </w:rPr>
            </w:pPr>
          </w:p>
        </w:tc>
        <w:tc>
          <w:tcPr>
            <w:tcW w:w="1005" w:type="dxa"/>
            <w:tcBorders>
              <w:top w:val="double" w:sz="6" w:space="0" w:color="000000"/>
              <w:bottom w:val="single" w:sz="12" w:space="0" w:color="000000"/>
            </w:tcBorders>
          </w:tcPr>
          <w:p>
            <w:pPr>
              <w:pStyle w:val="TableParagraph"/>
              <w:rPr>
                <w:sz w:val="16"/>
              </w:rPr>
            </w:pPr>
          </w:p>
        </w:tc>
      </w:tr>
    </w:tbl>
    <w:p>
      <w:pPr>
        <w:spacing w:after="0"/>
        <w:rPr>
          <w:sz w:val="16"/>
        </w:rPr>
        <w:sectPr>
          <w:type w:val="continuous"/>
          <w:pgSz w:w="12240" w:h="15840"/>
          <w:pgMar w:header="428" w:footer="0" w:top="700" w:bottom="280" w:left="200" w:right="260"/>
        </w:sectPr>
      </w:pPr>
    </w:p>
    <w:p>
      <w:pPr>
        <w:pStyle w:val="BodyText"/>
      </w:pPr>
    </w:p>
    <w:p>
      <w:pPr>
        <w:pStyle w:val="BodyText"/>
        <w:spacing w:before="58"/>
      </w:pPr>
    </w:p>
    <w:p>
      <w:pPr>
        <w:pStyle w:val="Heading2"/>
        <w:numPr>
          <w:ilvl w:val="0"/>
          <w:numId w:val="45"/>
        </w:numPr>
        <w:tabs>
          <w:tab w:pos="445" w:val="left" w:leader="none"/>
        </w:tabs>
        <w:spacing w:line="240" w:lineRule="auto" w:before="0" w:after="0"/>
        <w:ind w:left="445" w:right="0" w:hanging="289"/>
        <w:jc w:val="left"/>
      </w:pPr>
      <w:bookmarkStart w:name="_bookmark20" w:id="21"/>
      <w:bookmarkEnd w:id="21"/>
      <w:r>
        <w:rPr>
          <w:b w:val="0"/>
        </w:rPr>
      </w:r>
      <w:r>
        <w:rPr>
          <w:spacing w:val="-4"/>
          <w:w w:val="105"/>
        </w:rPr>
        <w:t>Debt</w:t>
      </w:r>
    </w:p>
    <w:p>
      <w:pPr>
        <w:pStyle w:val="BodyText"/>
        <w:spacing w:before="39"/>
        <w:rPr>
          <w:b/>
        </w:rPr>
      </w:pPr>
    </w:p>
    <w:p>
      <w:pPr>
        <w:pStyle w:val="BodyText"/>
        <w:spacing w:before="1"/>
        <w:ind w:left="156"/>
      </w:pPr>
      <w:r>
        <w:rPr>
          <w:w w:val="105"/>
        </w:rPr>
        <w:t>(In</w:t>
      </w:r>
      <w:r>
        <w:rPr>
          <w:spacing w:val="-5"/>
          <w:w w:val="105"/>
        </w:rPr>
        <w:t> </w:t>
      </w:r>
      <w:r>
        <w:rPr>
          <w:spacing w:val="-2"/>
          <w:w w:val="105"/>
        </w:rPr>
        <w:t>millions)</w:t>
      </w:r>
    </w:p>
    <w:p>
      <w:pPr>
        <w:pStyle w:val="BodyText"/>
        <w:rPr>
          <w:sz w:val="17"/>
        </w:rPr>
      </w:pPr>
      <w:r>
        <w:rPr/>
        <mc:AlternateContent>
          <mc:Choice Requires="wps">
            <w:drawing>
              <wp:anchor distT="0" distB="0" distL="0" distR="0" allowOverlap="1" layoutInCell="1" locked="0" behindDoc="1" simplePos="0" relativeHeight="487693312">
                <wp:simplePos x="0" y="0"/>
                <wp:positionH relativeFrom="page">
                  <wp:posOffset>226479</wp:posOffset>
                </wp:positionH>
                <wp:positionV relativeFrom="paragraph">
                  <wp:posOffset>139766</wp:posOffset>
                </wp:positionV>
                <wp:extent cx="7312659" cy="16510"/>
                <wp:effectExtent l="0" t="0" r="0" b="0"/>
                <wp:wrapTopAndBottom/>
                <wp:docPr id="403" name="Graphic 403"/>
                <wp:cNvGraphicFramePr>
                  <a:graphicFrameLocks/>
                </wp:cNvGraphicFramePr>
                <a:graphic>
                  <a:graphicData uri="http://schemas.microsoft.com/office/word/2010/wordprocessingShape">
                    <wps:wsp>
                      <wps:cNvPr id="403" name="Graphic 403"/>
                      <wps:cNvSpPr/>
                      <wps:spPr>
                        <a:xfrm>
                          <a:off x="0" y="0"/>
                          <a:ext cx="7312659" cy="16510"/>
                        </a:xfrm>
                        <a:custGeom>
                          <a:avLst/>
                          <a:gdLst/>
                          <a:ahLst/>
                          <a:cxnLst/>
                          <a:rect l="l" t="t" r="r" b="b"/>
                          <a:pathLst>
                            <a:path w="7312659" h="16510">
                              <a:moveTo>
                                <a:pt x="7312342" y="0"/>
                              </a:moveTo>
                              <a:lnTo>
                                <a:pt x="7239546" y="0"/>
                              </a:lnTo>
                              <a:lnTo>
                                <a:pt x="5201145" y="0"/>
                              </a:lnTo>
                              <a:lnTo>
                                <a:pt x="5120259" y="0"/>
                              </a:lnTo>
                              <a:lnTo>
                                <a:pt x="0" y="0"/>
                              </a:lnTo>
                              <a:lnTo>
                                <a:pt x="0" y="16179"/>
                              </a:lnTo>
                              <a:lnTo>
                                <a:pt x="5120259" y="16179"/>
                              </a:lnTo>
                              <a:lnTo>
                                <a:pt x="520114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11.005201pt;width:575.8pt;height:1.3pt;mso-position-horizontal-relative:page;mso-position-vertical-relative:paragraph;z-index:-15623168;mso-wrap-distance-left:0;mso-wrap-distance-right:0" id="docshape402" coordorigin="357,220" coordsize="11516,26" path="m11872,220l11758,220,8547,220,8420,220,357,220,357,246,8420,246,8547,246,11758,246,11872,246,11872,220xe" filled="true" fillcolor="#000000" stroked="false">
                <v:path arrowok="t"/>
                <v:fill type="solid"/>
                <w10:wrap type="topAndBottom"/>
              </v:shape>
            </w:pict>
          </mc:Fallback>
        </mc:AlternateContent>
      </w:r>
    </w:p>
    <w:p>
      <w:pPr>
        <w:pStyle w:val="BodyText"/>
        <w:spacing w:before="3" w:after="17"/>
        <w:ind w:left="8124"/>
        <w:jc w:val="center"/>
      </w:pPr>
      <w:r>
        <w:rPr/>
        <w:t>December</w:t>
      </w:r>
      <w:r>
        <w:rPr>
          <w:spacing w:val="20"/>
        </w:rPr>
        <w:t> </w:t>
      </w:r>
      <w:r>
        <w:rPr>
          <w:spacing w:val="-5"/>
        </w:rPr>
        <w:t>31,</w:t>
      </w:r>
    </w:p>
    <w:p>
      <w:pPr>
        <w:pStyle w:val="BodyText"/>
        <w:spacing w:line="20" w:lineRule="exact"/>
        <w:ind w:left="8347"/>
        <w:rPr>
          <w:sz w:val="2"/>
        </w:rPr>
      </w:pPr>
      <w:r>
        <w:rPr>
          <w:sz w:val="2"/>
        </w:rPr>
        <mc:AlternateContent>
          <mc:Choice Requires="wps">
            <w:drawing>
              <wp:inline distT="0" distB="0" distL="0" distR="0">
                <wp:extent cx="2111375" cy="8255"/>
                <wp:effectExtent l="0" t="0" r="0" b="0"/>
                <wp:docPr id="404" name="Group 404"/>
                <wp:cNvGraphicFramePr>
                  <a:graphicFrameLocks/>
                </wp:cNvGraphicFramePr>
                <a:graphic>
                  <a:graphicData uri="http://schemas.microsoft.com/office/word/2010/wordprocessingGroup">
                    <wpg:wgp>
                      <wpg:cNvPr id="404" name="Group 404"/>
                      <wpg:cNvGrpSpPr/>
                      <wpg:grpSpPr>
                        <a:xfrm>
                          <a:off x="0" y="0"/>
                          <a:ext cx="2111375" cy="8255"/>
                          <a:chExt cx="2111375" cy="8255"/>
                        </a:xfrm>
                      </wpg:grpSpPr>
                      <wps:wsp>
                        <wps:cNvPr id="405" name="Graphic 405"/>
                        <wps:cNvSpPr/>
                        <wps:spPr>
                          <a:xfrm>
                            <a:off x="-10" y="10"/>
                            <a:ext cx="2111375" cy="8255"/>
                          </a:xfrm>
                          <a:custGeom>
                            <a:avLst/>
                            <a:gdLst/>
                            <a:ahLst/>
                            <a:cxnLst/>
                            <a:rect l="l" t="t" r="r" b="b"/>
                            <a:pathLst>
                              <a:path w="2111375" h="8255">
                                <a:moveTo>
                                  <a:pt x="2111197" y="0"/>
                                </a:moveTo>
                                <a:lnTo>
                                  <a:pt x="2038400" y="0"/>
                                </a:lnTo>
                                <a:lnTo>
                                  <a:pt x="0" y="0"/>
                                </a:lnTo>
                                <a:lnTo>
                                  <a:pt x="0" y="8089"/>
                                </a:lnTo>
                                <a:lnTo>
                                  <a:pt x="2038400" y="8089"/>
                                </a:lnTo>
                                <a:lnTo>
                                  <a:pt x="2111197" y="8089"/>
                                </a:lnTo>
                                <a:lnTo>
                                  <a:pt x="21111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6.25pt;height:.65pt;mso-position-horizontal-relative:char;mso-position-vertical-relative:line" id="docshapegroup403" coordorigin="0,0" coordsize="3325,13">
                <v:shape style="position:absolute;left:-1;top:0;width:3325;height:13" id="docshape404" coordorigin="0,0" coordsize="3325,13" path="m3325,0l3210,0,0,0,0,13,3210,13,3325,13,3325,0xe" filled="true" fillcolor="#000000" stroked="false">
                  <v:path arrowok="t"/>
                  <v:fill type="solid"/>
                </v:shape>
              </v:group>
            </w:pict>
          </mc:Fallback>
        </mc:AlternateContent>
      </w:r>
      <w:r>
        <w:rPr>
          <w:sz w:val="2"/>
        </w:rPr>
      </w:r>
    </w:p>
    <w:p>
      <w:pPr>
        <w:tabs>
          <w:tab w:pos="9844" w:val="left" w:leader="none"/>
        </w:tabs>
        <w:spacing w:before="0"/>
        <w:ind w:left="8124" w:right="0" w:firstLine="0"/>
        <w:jc w:val="center"/>
        <w:rPr>
          <w:sz w:val="16"/>
        </w:rPr>
      </w:pPr>
      <w:r>
        <w:rPr/>
        <mc:AlternateContent>
          <mc:Choice Requires="wps">
            <w:drawing>
              <wp:anchor distT="0" distB="0" distL="0" distR="0" allowOverlap="1" layoutInCell="1" locked="0" behindDoc="0" simplePos="0" relativeHeight="15836160">
                <wp:simplePos x="0" y="0"/>
                <wp:positionH relativeFrom="page">
                  <wp:posOffset>226479</wp:posOffset>
                </wp:positionH>
                <wp:positionV relativeFrom="paragraph">
                  <wp:posOffset>124813</wp:posOffset>
                </wp:positionV>
                <wp:extent cx="7312659" cy="8255"/>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9.827843pt;width:575.775027pt;height:.637pt;mso-position-horizontal-relative:page;mso-position-vertical-relative:paragraph;z-index:15836160" id="docshape405" filled="true" fillcolor="#000000" stroked="false">
                <v:fill type="solid"/>
                <w10:wrap type="none"/>
              </v:rect>
            </w:pict>
          </mc:Fallback>
        </mc:AlternateContent>
      </w:r>
      <w:r>
        <w:rPr>
          <w:b/>
          <w:spacing w:val="-4"/>
          <w:w w:val="105"/>
          <w:sz w:val="16"/>
        </w:rPr>
        <w:t>2021</w:t>
      </w:r>
      <w:r>
        <w:rPr>
          <w:b/>
          <w:sz w:val="16"/>
        </w:rPr>
        <w:tab/>
      </w:r>
      <w:r>
        <w:rPr>
          <w:spacing w:val="-4"/>
          <w:w w:val="105"/>
          <w:sz w:val="16"/>
        </w:rPr>
        <w:t>2020</w:t>
      </w:r>
    </w:p>
    <w:p>
      <w:pPr>
        <w:pStyle w:val="BodyText"/>
        <w:tabs>
          <w:tab w:pos="11557" w:val="right" w:leader="none"/>
        </w:tabs>
        <w:spacing w:before="436"/>
        <w:ind w:left="156"/>
      </w:pPr>
      <w:r>
        <w:rPr/>
        <mc:AlternateContent>
          <mc:Choice Requires="wps">
            <w:drawing>
              <wp:anchor distT="0" distB="0" distL="0" distR="0" allowOverlap="1" layoutInCell="1" locked="0" behindDoc="1" simplePos="0" relativeHeight="487694336">
                <wp:simplePos x="0" y="0"/>
                <wp:positionH relativeFrom="page">
                  <wp:posOffset>226488</wp:posOffset>
                </wp:positionH>
                <wp:positionV relativeFrom="paragraph">
                  <wp:posOffset>404335</wp:posOffset>
                </wp:positionV>
                <wp:extent cx="7312659" cy="161925"/>
                <wp:effectExtent l="0" t="0" r="0" b="0"/>
                <wp:wrapTopAndBottom/>
                <wp:docPr id="407" name="Group 407"/>
                <wp:cNvGraphicFramePr>
                  <a:graphicFrameLocks/>
                </wp:cNvGraphicFramePr>
                <a:graphic>
                  <a:graphicData uri="http://schemas.microsoft.com/office/word/2010/wordprocessingGroup">
                    <wpg:wgp>
                      <wpg:cNvPr id="407" name="Group 407"/>
                      <wpg:cNvGrpSpPr/>
                      <wpg:grpSpPr>
                        <a:xfrm>
                          <a:off x="0" y="0"/>
                          <a:ext cx="7312659" cy="161925"/>
                          <a:chExt cx="7312659" cy="161925"/>
                        </a:xfrm>
                      </wpg:grpSpPr>
                      <wps:wsp>
                        <wps:cNvPr id="408" name="Graphic 408"/>
                        <wps:cNvSpPr/>
                        <wps:spPr>
                          <a:xfrm>
                            <a:off x="-9" y="2"/>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0" y="8088"/>
                            <a:ext cx="5120640" cy="154305"/>
                          </a:xfrm>
                          <a:custGeom>
                            <a:avLst/>
                            <a:gdLst/>
                            <a:ahLst/>
                            <a:cxnLst/>
                            <a:rect l="l" t="t" r="r" b="b"/>
                            <a:pathLst>
                              <a:path w="5120640" h="154305">
                                <a:moveTo>
                                  <a:pt x="0" y="0"/>
                                </a:moveTo>
                                <a:lnTo>
                                  <a:pt x="5120258" y="0"/>
                                </a:lnTo>
                                <a:lnTo>
                                  <a:pt x="5120258"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410" name="Graphic 410"/>
                        <wps:cNvSpPr/>
                        <wps:spPr>
                          <a:xfrm>
                            <a:off x="-9" y="137517"/>
                            <a:ext cx="5120640" cy="24765"/>
                          </a:xfrm>
                          <a:custGeom>
                            <a:avLst/>
                            <a:gdLst/>
                            <a:ahLst/>
                            <a:cxnLst/>
                            <a:rect l="l" t="t" r="r" b="b"/>
                            <a:pathLst>
                              <a:path w="5120640" h="24765">
                                <a:moveTo>
                                  <a:pt x="5120259" y="16179"/>
                                </a:moveTo>
                                <a:lnTo>
                                  <a:pt x="0" y="16179"/>
                                </a:lnTo>
                                <a:lnTo>
                                  <a:pt x="0" y="24269"/>
                                </a:lnTo>
                                <a:lnTo>
                                  <a:pt x="5120259" y="24269"/>
                                </a:lnTo>
                                <a:lnTo>
                                  <a:pt x="5120259" y="16179"/>
                                </a:lnTo>
                                <a:close/>
                              </a:path>
                              <a:path w="5120640" h="24765">
                                <a:moveTo>
                                  <a:pt x="5120259" y="0"/>
                                </a:moveTo>
                                <a:lnTo>
                                  <a:pt x="0" y="0"/>
                                </a:lnTo>
                                <a:lnTo>
                                  <a:pt x="0" y="8089"/>
                                </a:lnTo>
                                <a:lnTo>
                                  <a:pt x="5120259" y="8089"/>
                                </a:lnTo>
                                <a:lnTo>
                                  <a:pt x="5120259" y="0"/>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5120258" y="8088"/>
                            <a:ext cx="81280" cy="154305"/>
                          </a:xfrm>
                          <a:custGeom>
                            <a:avLst/>
                            <a:gdLst/>
                            <a:ahLst/>
                            <a:cxnLst/>
                            <a:rect l="l" t="t" r="r" b="b"/>
                            <a:pathLst>
                              <a:path w="81280" h="154305">
                                <a:moveTo>
                                  <a:pt x="0" y="0"/>
                                </a:moveTo>
                                <a:lnTo>
                                  <a:pt x="80888" y="0"/>
                                </a:lnTo>
                                <a:lnTo>
                                  <a:pt x="80888"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412" name="Graphic 412"/>
                        <wps:cNvSpPr/>
                        <wps:spPr>
                          <a:xfrm>
                            <a:off x="5120249" y="137517"/>
                            <a:ext cx="81280" cy="24765"/>
                          </a:xfrm>
                          <a:custGeom>
                            <a:avLst/>
                            <a:gdLst/>
                            <a:ahLst/>
                            <a:cxnLst/>
                            <a:rect l="l" t="t" r="r" b="b"/>
                            <a:pathLst>
                              <a:path w="81280" h="24765">
                                <a:moveTo>
                                  <a:pt x="80886" y="16179"/>
                                </a:moveTo>
                                <a:lnTo>
                                  <a:pt x="0" y="16179"/>
                                </a:lnTo>
                                <a:lnTo>
                                  <a:pt x="0" y="24269"/>
                                </a:lnTo>
                                <a:lnTo>
                                  <a:pt x="80886" y="24269"/>
                                </a:lnTo>
                                <a:lnTo>
                                  <a:pt x="80886" y="16179"/>
                                </a:lnTo>
                                <a:close/>
                              </a:path>
                              <a:path w="81280" h="24765">
                                <a:moveTo>
                                  <a:pt x="80886" y="0"/>
                                </a:moveTo>
                                <a:lnTo>
                                  <a:pt x="0" y="0"/>
                                </a:lnTo>
                                <a:lnTo>
                                  <a:pt x="0" y="8089"/>
                                </a:lnTo>
                                <a:lnTo>
                                  <a:pt x="80886" y="8089"/>
                                </a:lnTo>
                                <a:lnTo>
                                  <a:pt x="80886"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5201146"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414" name="Graphic 414"/>
                        <wps:cNvSpPr/>
                        <wps:spPr>
                          <a:xfrm>
                            <a:off x="5201136" y="137517"/>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5273947" y="8088"/>
                            <a:ext cx="873760" cy="154305"/>
                          </a:xfrm>
                          <a:custGeom>
                            <a:avLst/>
                            <a:gdLst/>
                            <a:ahLst/>
                            <a:cxnLst/>
                            <a:rect l="l" t="t" r="r" b="b"/>
                            <a:pathLst>
                              <a:path w="873760" h="154305">
                                <a:moveTo>
                                  <a:pt x="0" y="0"/>
                                </a:moveTo>
                                <a:lnTo>
                                  <a:pt x="873598" y="0"/>
                                </a:lnTo>
                                <a:lnTo>
                                  <a:pt x="873598"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416" name="Graphic 416"/>
                        <wps:cNvSpPr/>
                        <wps:spPr>
                          <a:xfrm>
                            <a:off x="5273945" y="137517"/>
                            <a:ext cx="873760" cy="24765"/>
                          </a:xfrm>
                          <a:custGeom>
                            <a:avLst/>
                            <a:gdLst/>
                            <a:ahLst/>
                            <a:cxnLst/>
                            <a:rect l="l" t="t" r="r" b="b"/>
                            <a:pathLst>
                              <a:path w="873760" h="24765">
                                <a:moveTo>
                                  <a:pt x="873594" y="16179"/>
                                </a:moveTo>
                                <a:lnTo>
                                  <a:pt x="0" y="16179"/>
                                </a:lnTo>
                                <a:lnTo>
                                  <a:pt x="0" y="24269"/>
                                </a:lnTo>
                                <a:lnTo>
                                  <a:pt x="873594" y="24269"/>
                                </a:lnTo>
                                <a:lnTo>
                                  <a:pt x="873594" y="16179"/>
                                </a:lnTo>
                                <a:close/>
                              </a:path>
                              <a:path w="873760" h="24765">
                                <a:moveTo>
                                  <a:pt x="873594" y="0"/>
                                </a:moveTo>
                                <a:lnTo>
                                  <a:pt x="0" y="0"/>
                                </a:lnTo>
                                <a:lnTo>
                                  <a:pt x="0" y="8089"/>
                                </a:lnTo>
                                <a:lnTo>
                                  <a:pt x="873594" y="8089"/>
                                </a:lnTo>
                                <a:lnTo>
                                  <a:pt x="873594"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6147545"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418" name="Graphic 418"/>
                        <wps:cNvSpPr/>
                        <wps:spPr>
                          <a:xfrm>
                            <a:off x="6147540" y="137517"/>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6220345"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420" name="Graphic 420"/>
                        <wps:cNvSpPr/>
                        <wps:spPr>
                          <a:xfrm>
                            <a:off x="6220336" y="137517"/>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6293145"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422" name="Graphic 422"/>
                        <wps:cNvSpPr/>
                        <wps:spPr>
                          <a:xfrm>
                            <a:off x="6293132" y="137517"/>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6365945" y="8088"/>
                            <a:ext cx="873760" cy="154305"/>
                          </a:xfrm>
                          <a:custGeom>
                            <a:avLst/>
                            <a:gdLst/>
                            <a:ahLst/>
                            <a:cxnLst/>
                            <a:rect l="l" t="t" r="r" b="b"/>
                            <a:pathLst>
                              <a:path w="873760" h="154305">
                                <a:moveTo>
                                  <a:pt x="0" y="0"/>
                                </a:moveTo>
                                <a:lnTo>
                                  <a:pt x="873598" y="0"/>
                                </a:lnTo>
                                <a:lnTo>
                                  <a:pt x="873598"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424" name="Graphic 424"/>
                        <wps:cNvSpPr/>
                        <wps:spPr>
                          <a:xfrm>
                            <a:off x="6365942" y="137517"/>
                            <a:ext cx="873760" cy="24765"/>
                          </a:xfrm>
                          <a:custGeom>
                            <a:avLst/>
                            <a:gdLst/>
                            <a:ahLst/>
                            <a:cxnLst/>
                            <a:rect l="l" t="t" r="r" b="b"/>
                            <a:pathLst>
                              <a:path w="873760" h="24765">
                                <a:moveTo>
                                  <a:pt x="873594" y="16179"/>
                                </a:moveTo>
                                <a:lnTo>
                                  <a:pt x="0" y="16179"/>
                                </a:lnTo>
                                <a:lnTo>
                                  <a:pt x="0" y="24269"/>
                                </a:lnTo>
                                <a:lnTo>
                                  <a:pt x="873594" y="24269"/>
                                </a:lnTo>
                                <a:lnTo>
                                  <a:pt x="873594" y="16179"/>
                                </a:lnTo>
                                <a:close/>
                              </a:path>
                              <a:path w="873760" h="24765">
                                <a:moveTo>
                                  <a:pt x="873594" y="0"/>
                                </a:moveTo>
                                <a:lnTo>
                                  <a:pt x="0" y="0"/>
                                </a:lnTo>
                                <a:lnTo>
                                  <a:pt x="0" y="8089"/>
                                </a:lnTo>
                                <a:lnTo>
                                  <a:pt x="873594" y="8089"/>
                                </a:lnTo>
                                <a:lnTo>
                                  <a:pt x="873594"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7239543"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426" name="Graphic 426"/>
                        <wps:cNvSpPr/>
                        <wps:spPr>
                          <a:xfrm>
                            <a:off x="7239537" y="137517"/>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427" name="Textbox 427"/>
                        <wps:cNvSpPr txBox="1"/>
                        <wps:spPr>
                          <a:xfrm>
                            <a:off x="0" y="11450"/>
                            <a:ext cx="2797810" cy="116839"/>
                          </a:xfrm>
                          <a:prstGeom prst="rect">
                            <a:avLst/>
                          </a:prstGeom>
                        </wps:spPr>
                        <wps:txbx>
                          <w:txbxContent>
                            <w:p>
                              <w:pPr>
                                <w:spacing w:line="182" w:lineRule="exact" w:before="0"/>
                                <w:ind w:left="0" w:right="0" w:firstLine="0"/>
                                <w:jc w:val="left"/>
                                <w:rPr>
                                  <w:b/>
                                  <w:sz w:val="16"/>
                                </w:rPr>
                              </w:pPr>
                              <w:r>
                                <w:rPr>
                                  <w:b/>
                                  <w:spacing w:val="-2"/>
                                  <w:w w:val="105"/>
                                  <w:sz w:val="16"/>
                                </w:rPr>
                                <w:t>Current</w:t>
                              </w:r>
                              <w:r>
                                <w:rPr>
                                  <w:b/>
                                  <w:w w:val="105"/>
                                  <w:sz w:val="16"/>
                                </w:rPr>
                                <w:t> </w:t>
                              </w:r>
                              <w:r>
                                <w:rPr>
                                  <w:b/>
                                  <w:spacing w:val="-2"/>
                                  <w:w w:val="105"/>
                                  <w:sz w:val="16"/>
                                </w:rPr>
                                <w:t>portion</w:t>
                              </w:r>
                              <w:r>
                                <w:rPr>
                                  <w:b/>
                                  <w:spacing w:val="1"/>
                                  <w:w w:val="105"/>
                                  <w:sz w:val="16"/>
                                </w:rPr>
                                <w:t> </w:t>
                              </w:r>
                              <w:r>
                                <w:rPr>
                                  <w:b/>
                                  <w:spacing w:val="-2"/>
                                  <w:w w:val="105"/>
                                  <w:sz w:val="16"/>
                                </w:rPr>
                                <w:t>of</w:t>
                              </w:r>
                              <w:r>
                                <w:rPr>
                                  <w:b/>
                                  <w:spacing w:val="1"/>
                                  <w:w w:val="105"/>
                                  <w:sz w:val="16"/>
                                </w:rPr>
                                <w:t> </w:t>
                              </w:r>
                              <w:r>
                                <w:rPr>
                                  <w:b/>
                                  <w:spacing w:val="-2"/>
                                  <w:w w:val="105"/>
                                  <w:sz w:val="16"/>
                                </w:rPr>
                                <w:t>long-term</w:t>
                              </w:r>
                              <w:r>
                                <w:rPr>
                                  <w:b/>
                                  <w:spacing w:val="1"/>
                                  <w:w w:val="105"/>
                                  <w:sz w:val="16"/>
                                </w:rPr>
                                <w:t> </w:t>
                              </w:r>
                              <w:r>
                                <w:rPr>
                                  <w:b/>
                                  <w:spacing w:val="-2"/>
                                  <w:w w:val="105"/>
                                  <w:sz w:val="16"/>
                                </w:rPr>
                                <w:t>debt</w:t>
                              </w:r>
                              <w:r>
                                <w:rPr>
                                  <w:b/>
                                  <w:w w:val="105"/>
                                  <w:sz w:val="16"/>
                                </w:rPr>
                                <w:t> </w:t>
                              </w:r>
                              <w:r>
                                <w:rPr>
                                  <w:b/>
                                  <w:spacing w:val="-2"/>
                                  <w:w w:val="105"/>
                                  <w:sz w:val="16"/>
                                </w:rPr>
                                <w:t>and</w:t>
                              </w:r>
                              <w:r>
                                <w:rPr>
                                  <w:b/>
                                  <w:spacing w:val="1"/>
                                  <w:w w:val="105"/>
                                  <w:sz w:val="16"/>
                                </w:rPr>
                                <w:t> </w:t>
                              </w:r>
                              <w:r>
                                <w:rPr>
                                  <w:b/>
                                  <w:spacing w:val="-2"/>
                                  <w:w w:val="105"/>
                                  <w:sz w:val="16"/>
                                </w:rPr>
                                <w:t>short-term</w:t>
                              </w:r>
                              <w:r>
                                <w:rPr>
                                  <w:b/>
                                  <w:spacing w:val="1"/>
                                  <w:w w:val="105"/>
                                  <w:sz w:val="16"/>
                                </w:rPr>
                                <w:t> </w:t>
                              </w:r>
                              <w:r>
                                <w:rPr>
                                  <w:b/>
                                  <w:spacing w:val="-2"/>
                                  <w:w w:val="105"/>
                                  <w:sz w:val="16"/>
                                </w:rPr>
                                <w:t>borrowings</w:t>
                              </w:r>
                            </w:p>
                          </w:txbxContent>
                        </wps:txbx>
                        <wps:bodyPr wrap="square" lIns="0" tIns="0" rIns="0" bIns="0" rtlCol="0">
                          <a:noAutofit/>
                        </wps:bodyPr>
                      </wps:wsp>
                      <wps:wsp>
                        <wps:cNvPr id="428" name="Textbox 428"/>
                        <wps:cNvSpPr txBox="1"/>
                        <wps:spPr>
                          <a:xfrm>
                            <a:off x="5201146" y="11450"/>
                            <a:ext cx="65405" cy="116839"/>
                          </a:xfrm>
                          <a:prstGeom prst="rect">
                            <a:avLst/>
                          </a:prstGeom>
                        </wps:spPr>
                        <wps:txbx>
                          <w:txbxContent>
                            <w:p>
                              <w:pPr>
                                <w:spacing w:line="182" w:lineRule="exact" w:before="0"/>
                                <w:ind w:left="0" w:right="0" w:firstLine="0"/>
                                <w:jc w:val="left"/>
                                <w:rPr>
                                  <w:b/>
                                  <w:sz w:val="16"/>
                                </w:rPr>
                              </w:pPr>
                              <w:r>
                                <w:rPr>
                                  <w:b/>
                                  <w:spacing w:val="-10"/>
                                  <w:w w:val="105"/>
                                  <w:sz w:val="16"/>
                                </w:rPr>
                                <w:t>$</w:t>
                              </w:r>
                            </w:p>
                          </w:txbxContent>
                        </wps:txbx>
                        <wps:bodyPr wrap="square" lIns="0" tIns="0" rIns="0" bIns="0" rtlCol="0">
                          <a:noAutofit/>
                        </wps:bodyPr>
                      </wps:wsp>
                      <wps:wsp>
                        <wps:cNvPr id="429" name="Textbox 429"/>
                        <wps:cNvSpPr txBox="1"/>
                        <wps:spPr>
                          <a:xfrm>
                            <a:off x="6042389" y="11450"/>
                            <a:ext cx="316230" cy="116839"/>
                          </a:xfrm>
                          <a:prstGeom prst="rect">
                            <a:avLst/>
                          </a:prstGeom>
                        </wps:spPr>
                        <wps:txbx>
                          <w:txbxContent>
                            <w:p>
                              <w:pPr>
                                <w:tabs>
                                  <w:tab w:pos="394" w:val="left" w:leader="none"/>
                                </w:tabs>
                                <w:spacing w:line="182" w:lineRule="exact" w:before="0"/>
                                <w:ind w:left="0" w:right="0" w:firstLine="0"/>
                                <w:jc w:val="left"/>
                                <w:rPr>
                                  <w:sz w:val="16"/>
                                </w:rPr>
                              </w:pPr>
                              <w:r>
                                <w:rPr>
                                  <w:b/>
                                  <w:spacing w:val="-5"/>
                                  <w:w w:val="105"/>
                                  <w:sz w:val="16"/>
                                </w:rPr>
                                <w:t>55</w:t>
                              </w:r>
                              <w:r>
                                <w:rPr>
                                  <w:b/>
                                  <w:sz w:val="16"/>
                                </w:rPr>
                                <w:tab/>
                              </w:r>
                              <w:r>
                                <w:rPr>
                                  <w:spacing w:val="-10"/>
                                  <w:w w:val="105"/>
                                  <w:sz w:val="16"/>
                                </w:rPr>
                                <w:t>$</w:t>
                              </w:r>
                            </w:p>
                          </w:txbxContent>
                        </wps:txbx>
                        <wps:bodyPr wrap="square" lIns="0" tIns="0" rIns="0" bIns="0" rtlCol="0">
                          <a:noAutofit/>
                        </wps:bodyPr>
                      </wps:wsp>
                      <wps:wsp>
                        <wps:cNvPr id="430" name="Textbox 430"/>
                        <wps:cNvSpPr txBox="1"/>
                        <wps:spPr>
                          <a:xfrm>
                            <a:off x="7081810" y="11450"/>
                            <a:ext cx="170815" cy="116839"/>
                          </a:xfrm>
                          <a:prstGeom prst="rect">
                            <a:avLst/>
                          </a:prstGeom>
                        </wps:spPr>
                        <wps:txbx>
                          <w:txbxContent>
                            <w:p>
                              <w:pPr>
                                <w:spacing w:line="182" w:lineRule="exact" w:before="0"/>
                                <w:ind w:left="0" w:right="0" w:firstLine="0"/>
                                <w:jc w:val="left"/>
                                <w:rPr>
                                  <w:sz w:val="16"/>
                                </w:rPr>
                              </w:pPr>
                              <w:r>
                                <w:rPr>
                                  <w:spacing w:val="-5"/>
                                  <w:w w:val="105"/>
                                  <w:sz w:val="16"/>
                                </w:rPr>
                                <w:t>156</w:t>
                              </w:r>
                            </w:p>
                          </w:txbxContent>
                        </wps:txbx>
                        <wps:bodyPr wrap="square" lIns="0" tIns="0" rIns="0" bIns="0" rtlCol="0">
                          <a:noAutofit/>
                        </wps:bodyPr>
                      </wps:wsp>
                    </wpg:wgp>
                  </a:graphicData>
                </a:graphic>
              </wp:anchor>
            </w:drawing>
          </mc:Choice>
          <mc:Fallback>
            <w:pict>
              <v:group style="position:absolute;margin-left:17.833740pt;margin-top:31.837456pt;width:575.8pt;height:12.75pt;mso-position-horizontal-relative:page;mso-position-vertical-relative:paragraph;z-index:-15622144;mso-wrap-distance-left:0;mso-wrap-distance-right:0" id="docshapegroup406" coordorigin="357,637" coordsize="11516,255">
                <v:rect style="position:absolute;left:356;top:636;width:11516;height:13" id="docshape407" filled="true" fillcolor="#000000" stroked="false">
                  <v:fill type="solid"/>
                </v:rect>
                <v:rect style="position:absolute;left:356;top:649;width:8064;height:243" id="docshape408" filled="true" fillcolor="#ccedff" stroked="false">
                  <v:fill type="solid"/>
                </v:rect>
                <v:shape style="position:absolute;left:356;top:853;width:8064;height:39" id="docshape409" coordorigin="357,853" coordsize="8064,39" path="m8420,879l357,879,357,892,8420,892,8420,879xm8420,853l357,853,357,866,8420,866,8420,853xe" filled="true" fillcolor="#000000" stroked="false">
                  <v:path arrowok="t"/>
                  <v:fill type="solid"/>
                </v:shape>
                <v:rect style="position:absolute;left:8420;top:649;width:128;height:243" id="docshape410" filled="true" fillcolor="#ccedff" stroked="false">
                  <v:fill type="solid"/>
                </v:rect>
                <v:shape style="position:absolute;left:8420;top:853;width:128;height:39" id="docshape411" coordorigin="8420,853" coordsize="128,39" path="m8547,879l8420,879,8420,892,8547,892,8547,879xm8547,853l8420,853,8420,866,8547,866,8547,853xe" filled="true" fillcolor="#000000" stroked="false">
                  <v:path arrowok="t"/>
                  <v:fill type="solid"/>
                </v:shape>
                <v:rect style="position:absolute;left:8547;top:649;width:115;height:243" id="docshape412" filled="true" fillcolor="#ccedff" stroked="false">
                  <v:fill type="solid"/>
                </v:rect>
                <v:shape style="position:absolute;left:8547;top:853;width:115;height:39" id="docshape413" coordorigin="8547,853" coordsize="115,39" path="m8662,879l8547,879,8547,892,8662,892,8662,879xm8662,853l8547,853,8547,866,8662,866,8662,853xe" filled="true" fillcolor="#000000" stroked="false">
                  <v:path arrowok="t"/>
                  <v:fill type="solid"/>
                </v:shape>
                <v:rect style="position:absolute;left:8662;top:649;width:1376;height:243" id="docshape414" filled="true" fillcolor="#ccedff" stroked="false">
                  <v:fill type="solid"/>
                </v:rect>
                <v:shape style="position:absolute;left:8662;top:853;width:1376;height:39" id="docshape415" coordorigin="8662,853" coordsize="1376,39" path="m10038,879l8662,879,8662,892,10038,892,10038,879xm10038,853l8662,853,8662,866,10038,866,10038,853xe" filled="true" fillcolor="#000000" stroked="false">
                  <v:path arrowok="t"/>
                  <v:fill type="solid"/>
                </v:shape>
                <v:rect style="position:absolute;left:10037;top:649;width:115;height:243" id="docshape416" filled="true" fillcolor="#ccedff" stroked="false">
                  <v:fill type="solid"/>
                </v:rect>
                <v:shape style="position:absolute;left:10037;top:853;width:115;height:39" id="docshape417" coordorigin="10038,853" coordsize="115,39" path="m10152,879l10038,879,10038,892,10152,892,10152,879xm10152,853l10038,853,10038,866,10152,866,10152,853xe" filled="true" fillcolor="#000000" stroked="false">
                  <v:path arrowok="t"/>
                  <v:fill type="solid"/>
                </v:shape>
                <v:rect style="position:absolute;left:10152;top:649;width:115;height:243" id="docshape418" filled="true" fillcolor="#ccedff" stroked="false">
                  <v:fill type="solid"/>
                </v:rect>
                <v:shape style="position:absolute;left:10152;top:853;width:115;height:39" id="docshape419" coordorigin="10152,853" coordsize="115,39" path="m10267,879l10152,879,10152,892,10267,892,10267,879xm10267,853l10152,853,10152,866,10267,866,10267,853xe" filled="true" fillcolor="#000000" stroked="false">
                  <v:path arrowok="t"/>
                  <v:fill type="solid"/>
                </v:shape>
                <v:rect style="position:absolute;left:10267;top:649;width:115;height:243" id="docshape420" filled="true" fillcolor="#ccedff" stroked="false">
                  <v:fill type="solid"/>
                </v:rect>
                <v:shape style="position:absolute;left:10267;top:853;width:115;height:39" id="docshape421" coordorigin="10267,853" coordsize="115,39" path="m10382,879l10267,879,10267,892,10382,892,10382,879xm10382,853l10267,853,10267,866,10382,866,10382,853xe" filled="true" fillcolor="#000000" stroked="false">
                  <v:path arrowok="t"/>
                  <v:fill type="solid"/>
                </v:shape>
                <v:rect style="position:absolute;left:10381;top:649;width:1376;height:243" id="docshape422" filled="true" fillcolor="#ccedff" stroked="false">
                  <v:fill type="solid"/>
                </v:rect>
                <v:shape style="position:absolute;left:10381;top:853;width:1376;height:39" id="docshape423" coordorigin="10382,853" coordsize="1376,39" path="m11758,879l10382,879,10382,892,11758,892,11758,879xm11758,853l10382,853,10382,866,11758,866,11758,853xe" filled="true" fillcolor="#000000" stroked="false">
                  <v:path arrowok="t"/>
                  <v:fill type="solid"/>
                </v:shape>
                <v:rect style="position:absolute;left:11757;top:649;width:115;height:243" id="docshape424" filled="true" fillcolor="#ccedff" stroked="false">
                  <v:fill type="solid"/>
                </v:rect>
                <v:shape style="position:absolute;left:11757;top:853;width:115;height:39" id="docshape425" coordorigin="11758,853" coordsize="115,39" path="m11872,879l11758,879,11758,892,11872,892,11872,879xm11872,853l11758,853,11758,866,11872,866,11872,853xe" filled="true" fillcolor="#000000" stroked="false">
                  <v:path arrowok="t"/>
                  <v:fill type="solid"/>
                </v:shape>
                <v:shape style="position:absolute;left:356;top:654;width:4406;height:184" type="#_x0000_t202" id="docshape426" filled="false" stroked="false">
                  <v:textbox inset="0,0,0,0">
                    <w:txbxContent>
                      <w:p>
                        <w:pPr>
                          <w:spacing w:line="182" w:lineRule="exact" w:before="0"/>
                          <w:ind w:left="0" w:right="0" w:firstLine="0"/>
                          <w:jc w:val="left"/>
                          <w:rPr>
                            <w:b/>
                            <w:sz w:val="16"/>
                          </w:rPr>
                        </w:pPr>
                        <w:r>
                          <w:rPr>
                            <w:b/>
                            <w:spacing w:val="-2"/>
                            <w:w w:val="105"/>
                            <w:sz w:val="16"/>
                          </w:rPr>
                          <w:t>Current</w:t>
                        </w:r>
                        <w:r>
                          <w:rPr>
                            <w:b/>
                            <w:w w:val="105"/>
                            <w:sz w:val="16"/>
                          </w:rPr>
                          <w:t> </w:t>
                        </w:r>
                        <w:r>
                          <w:rPr>
                            <w:b/>
                            <w:spacing w:val="-2"/>
                            <w:w w:val="105"/>
                            <w:sz w:val="16"/>
                          </w:rPr>
                          <w:t>portion</w:t>
                        </w:r>
                        <w:r>
                          <w:rPr>
                            <w:b/>
                            <w:spacing w:val="1"/>
                            <w:w w:val="105"/>
                            <w:sz w:val="16"/>
                          </w:rPr>
                          <w:t> </w:t>
                        </w:r>
                        <w:r>
                          <w:rPr>
                            <w:b/>
                            <w:spacing w:val="-2"/>
                            <w:w w:val="105"/>
                            <w:sz w:val="16"/>
                          </w:rPr>
                          <w:t>of</w:t>
                        </w:r>
                        <w:r>
                          <w:rPr>
                            <w:b/>
                            <w:spacing w:val="1"/>
                            <w:w w:val="105"/>
                            <w:sz w:val="16"/>
                          </w:rPr>
                          <w:t> </w:t>
                        </w:r>
                        <w:r>
                          <w:rPr>
                            <w:b/>
                            <w:spacing w:val="-2"/>
                            <w:w w:val="105"/>
                            <w:sz w:val="16"/>
                          </w:rPr>
                          <w:t>long-term</w:t>
                        </w:r>
                        <w:r>
                          <w:rPr>
                            <w:b/>
                            <w:spacing w:val="1"/>
                            <w:w w:val="105"/>
                            <w:sz w:val="16"/>
                          </w:rPr>
                          <w:t> </w:t>
                        </w:r>
                        <w:r>
                          <w:rPr>
                            <w:b/>
                            <w:spacing w:val="-2"/>
                            <w:w w:val="105"/>
                            <w:sz w:val="16"/>
                          </w:rPr>
                          <w:t>debt</w:t>
                        </w:r>
                        <w:r>
                          <w:rPr>
                            <w:b/>
                            <w:w w:val="105"/>
                            <w:sz w:val="16"/>
                          </w:rPr>
                          <w:t> </w:t>
                        </w:r>
                        <w:r>
                          <w:rPr>
                            <w:b/>
                            <w:spacing w:val="-2"/>
                            <w:w w:val="105"/>
                            <w:sz w:val="16"/>
                          </w:rPr>
                          <w:t>and</w:t>
                        </w:r>
                        <w:r>
                          <w:rPr>
                            <w:b/>
                            <w:spacing w:val="1"/>
                            <w:w w:val="105"/>
                            <w:sz w:val="16"/>
                          </w:rPr>
                          <w:t> </w:t>
                        </w:r>
                        <w:r>
                          <w:rPr>
                            <w:b/>
                            <w:spacing w:val="-2"/>
                            <w:w w:val="105"/>
                            <w:sz w:val="16"/>
                          </w:rPr>
                          <w:t>short-term</w:t>
                        </w:r>
                        <w:r>
                          <w:rPr>
                            <w:b/>
                            <w:spacing w:val="1"/>
                            <w:w w:val="105"/>
                            <w:sz w:val="16"/>
                          </w:rPr>
                          <w:t> </w:t>
                        </w:r>
                        <w:r>
                          <w:rPr>
                            <w:b/>
                            <w:spacing w:val="-2"/>
                            <w:w w:val="105"/>
                            <w:sz w:val="16"/>
                          </w:rPr>
                          <w:t>borrowings</w:t>
                        </w:r>
                      </w:p>
                    </w:txbxContent>
                  </v:textbox>
                  <w10:wrap type="none"/>
                </v:shape>
                <v:shape style="position:absolute;left:8547;top:654;width:103;height:184" type="#_x0000_t202" id="docshape427" filled="false" stroked="false">
                  <v:textbox inset="0,0,0,0">
                    <w:txbxContent>
                      <w:p>
                        <w:pPr>
                          <w:spacing w:line="182" w:lineRule="exact" w:before="0"/>
                          <w:ind w:left="0" w:right="0" w:firstLine="0"/>
                          <w:jc w:val="left"/>
                          <w:rPr>
                            <w:b/>
                            <w:sz w:val="16"/>
                          </w:rPr>
                        </w:pPr>
                        <w:r>
                          <w:rPr>
                            <w:b/>
                            <w:spacing w:val="-10"/>
                            <w:w w:val="105"/>
                            <w:sz w:val="16"/>
                          </w:rPr>
                          <w:t>$</w:t>
                        </w:r>
                      </w:p>
                    </w:txbxContent>
                  </v:textbox>
                  <w10:wrap type="none"/>
                </v:shape>
                <v:shape style="position:absolute;left:9872;top:654;width:498;height:184" type="#_x0000_t202" id="docshape428" filled="false" stroked="false">
                  <v:textbox inset="0,0,0,0">
                    <w:txbxContent>
                      <w:p>
                        <w:pPr>
                          <w:tabs>
                            <w:tab w:pos="394" w:val="left" w:leader="none"/>
                          </w:tabs>
                          <w:spacing w:line="182" w:lineRule="exact" w:before="0"/>
                          <w:ind w:left="0" w:right="0" w:firstLine="0"/>
                          <w:jc w:val="left"/>
                          <w:rPr>
                            <w:sz w:val="16"/>
                          </w:rPr>
                        </w:pPr>
                        <w:r>
                          <w:rPr>
                            <w:b/>
                            <w:spacing w:val="-5"/>
                            <w:w w:val="105"/>
                            <w:sz w:val="16"/>
                          </w:rPr>
                          <w:t>55</w:t>
                        </w:r>
                        <w:r>
                          <w:rPr>
                            <w:b/>
                            <w:sz w:val="16"/>
                          </w:rPr>
                          <w:tab/>
                        </w:r>
                        <w:r>
                          <w:rPr>
                            <w:spacing w:val="-10"/>
                            <w:w w:val="105"/>
                            <w:sz w:val="16"/>
                          </w:rPr>
                          <w:t>$</w:t>
                        </w:r>
                      </w:p>
                    </w:txbxContent>
                  </v:textbox>
                  <w10:wrap type="none"/>
                </v:shape>
                <v:shape style="position:absolute;left:11509;top:654;width:269;height:184" type="#_x0000_t202" id="docshape429" filled="false" stroked="false">
                  <v:textbox inset="0,0,0,0">
                    <w:txbxContent>
                      <w:p>
                        <w:pPr>
                          <w:spacing w:line="182" w:lineRule="exact" w:before="0"/>
                          <w:ind w:left="0" w:right="0" w:firstLine="0"/>
                          <w:jc w:val="left"/>
                          <w:rPr>
                            <w:sz w:val="16"/>
                          </w:rPr>
                        </w:pPr>
                        <w:r>
                          <w:rPr>
                            <w:spacing w:val="-5"/>
                            <w:w w:val="105"/>
                            <w:sz w:val="16"/>
                          </w:rPr>
                          <w:t>156</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836672">
                <wp:simplePos x="0" y="0"/>
                <wp:positionH relativeFrom="page">
                  <wp:posOffset>226488</wp:posOffset>
                </wp:positionH>
                <wp:positionV relativeFrom="paragraph">
                  <wp:posOffset>145491</wp:posOffset>
                </wp:positionV>
                <wp:extent cx="7312659" cy="129539"/>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7312659" cy="129539"/>
                        </a:xfrm>
                        <a:prstGeom prst="rect">
                          <a:avLst/>
                        </a:prstGeom>
                        <a:solidFill>
                          <a:srgbClr val="CCEDFF"/>
                        </a:solidFill>
                      </wps:spPr>
                      <wps:txbx>
                        <w:txbxContent>
                          <w:p>
                            <w:pPr>
                              <w:pStyle w:val="BodyText"/>
                              <w:tabs>
                                <w:tab w:pos="8190" w:val="left" w:leader="none"/>
                                <w:tab w:pos="9515" w:val="left" w:leader="none"/>
                                <w:tab w:pos="9910" w:val="left" w:leader="none"/>
                                <w:tab w:pos="11400" w:val="right" w:leader="none"/>
                              </w:tabs>
                              <w:spacing w:before="3"/>
                              <w:rPr>
                                <w:color w:val="000000"/>
                              </w:rPr>
                            </w:pPr>
                            <w:r>
                              <w:rPr>
                                <w:color w:val="000000"/>
                              </w:rPr>
                              <w:t>Current</w:t>
                            </w:r>
                            <w:r>
                              <w:rPr>
                                <w:color w:val="000000"/>
                                <w:spacing w:val="14"/>
                              </w:rPr>
                              <w:t> </w:t>
                            </w:r>
                            <w:r>
                              <w:rPr>
                                <w:color w:val="000000"/>
                              </w:rPr>
                              <w:t>portion</w:t>
                            </w:r>
                            <w:r>
                              <w:rPr>
                                <w:color w:val="000000"/>
                                <w:spacing w:val="14"/>
                              </w:rPr>
                              <w:t> </w:t>
                            </w:r>
                            <w:r>
                              <w:rPr>
                                <w:color w:val="000000"/>
                              </w:rPr>
                              <w:t>of</w:t>
                            </w:r>
                            <w:r>
                              <w:rPr>
                                <w:color w:val="000000"/>
                                <w:spacing w:val="15"/>
                              </w:rPr>
                              <w:t> </w:t>
                            </w:r>
                            <w:r>
                              <w:rPr>
                                <w:color w:val="000000"/>
                              </w:rPr>
                              <w:t>long-term</w:t>
                            </w:r>
                            <w:r>
                              <w:rPr>
                                <w:color w:val="000000"/>
                                <w:spacing w:val="14"/>
                              </w:rPr>
                              <w:t> </w:t>
                            </w:r>
                            <w:r>
                              <w:rPr>
                                <w:color w:val="000000"/>
                                <w:spacing w:val="-4"/>
                              </w:rPr>
                              <w:t>debt</w:t>
                            </w:r>
                            <w:r>
                              <w:rPr>
                                <w:color w:val="000000"/>
                              </w:rPr>
                              <w:tab/>
                            </w:r>
                            <w:r>
                              <w:rPr>
                                <w:b/>
                                <w:color w:val="000000"/>
                                <w:spacing w:val="-10"/>
                              </w:rPr>
                              <w:t>$</w:t>
                            </w:r>
                            <w:r>
                              <w:rPr>
                                <w:b/>
                                <w:color w:val="000000"/>
                              </w:rPr>
                              <w:tab/>
                            </w:r>
                            <w:r>
                              <w:rPr>
                                <w:b/>
                                <w:color w:val="000000"/>
                                <w:spacing w:val="-5"/>
                              </w:rPr>
                              <w:t>55</w:t>
                            </w:r>
                            <w:r>
                              <w:rPr>
                                <w:b/>
                                <w:color w:val="000000"/>
                              </w:rPr>
                              <w:tab/>
                            </w:r>
                            <w:r>
                              <w:rPr>
                                <w:color w:val="000000"/>
                                <w:spacing w:val="-10"/>
                              </w:rPr>
                              <w:t>$</w:t>
                            </w:r>
                            <w:r>
                              <w:rPr>
                                <w:color w:val="000000"/>
                              </w:rPr>
                              <w:tab/>
                            </w:r>
                            <w:r>
                              <w:rPr>
                                <w:color w:val="000000"/>
                                <w:spacing w:val="-5"/>
                              </w:rPr>
                              <w:t>81</w:t>
                            </w:r>
                          </w:p>
                        </w:txbxContent>
                      </wps:txbx>
                      <wps:bodyPr wrap="square" lIns="0" tIns="0" rIns="0" bIns="0" rtlCol="0">
                        <a:noAutofit/>
                      </wps:bodyPr>
                    </wps:wsp>
                  </a:graphicData>
                </a:graphic>
              </wp:anchor>
            </w:drawing>
          </mc:Choice>
          <mc:Fallback>
            <w:pict>
              <v:shape style="position:absolute;margin-left:17.833740pt;margin-top:11.456038pt;width:575.8pt;height:10.2pt;mso-position-horizontal-relative:page;mso-position-vertical-relative:paragraph;z-index:15836672" type="#_x0000_t202" id="docshape430" filled="true" fillcolor="#ccedff" stroked="false">
                <v:textbox inset="0,0,0,0">
                  <w:txbxContent>
                    <w:p>
                      <w:pPr>
                        <w:pStyle w:val="BodyText"/>
                        <w:tabs>
                          <w:tab w:pos="8190" w:val="left" w:leader="none"/>
                          <w:tab w:pos="9515" w:val="left" w:leader="none"/>
                          <w:tab w:pos="9910" w:val="left" w:leader="none"/>
                          <w:tab w:pos="11400" w:val="right" w:leader="none"/>
                        </w:tabs>
                        <w:spacing w:before="3"/>
                        <w:rPr>
                          <w:color w:val="000000"/>
                        </w:rPr>
                      </w:pPr>
                      <w:r>
                        <w:rPr>
                          <w:color w:val="000000"/>
                        </w:rPr>
                        <w:t>Current</w:t>
                      </w:r>
                      <w:r>
                        <w:rPr>
                          <w:color w:val="000000"/>
                          <w:spacing w:val="14"/>
                        </w:rPr>
                        <w:t> </w:t>
                      </w:r>
                      <w:r>
                        <w:rPr>
                          <w:color w:val="000000"/>
                        </w:rPr>
                        <w:t>portion</w:t>
                      </w:r>
                      <w:r>
                        <w:rPr>
                          <w:color w:val="000000"/>
                          <w:spacing w:val="14"/>
                        </w:rPr>
                        <w:t> </w:t>
                      </w:r>
                      <w:r>
                        <w:rPr>
                          <w:color w:val="000000"/>
                        </w:rPr>
                        <w:t>of</w:t>
                      </w:r>
                      <w:r>
                        <w:rPr>
                          <w:color w:val="000000"/>
                          <w:spacing w:val="15"/>
                        </w:rPr>
                        <w:t> </w:t>
                      </w:r>
                      <w:r>
                        <w:rPr>
                          <w:color w:val="000000"/>
                        </w:rPr>
                        <w:t>long-term</w:t>
                      </w:r>
                      <w:r>
                        <w:rPr>
                          <w:color w:val="000000"/>
                          <w:spacing w:val="14"/>
                        </w:rPr>
                        <w:t> </w:t>
                      </w:r>
                      <w:r>
                        <w:rPr>
                          <w:color w:val="000000"/>
                          <w:spacing w:val="-4"/>
                        </w:rPr>
                        <w:t>debt</w:t>
                      </w:r>
                      <w:r>
                        <w:rPr>
                          <w:color w:val="000000"/>
                        </w:rPr>
                        <w:tab/>
                      </w:r>
                      <w:r>
                        <w:rPr>
                          <w:b/>
                          <w:color w:val="000000"/>
                          <w:spacing w:val="-10"/>
                        </w:rPr>
                        <w:t>$</w:t>
                      </w:r>
                      <w:r>
                        <w:rPr>
                          <w:b/>
                          <w:color w:val="000000"/>
                        </w:rPr>
                        <w:tab/>
                      </w:r>
                      <w:r>
                        <w:rPr>
                          <w:b/>
                          <w:color w:val="000000"/>
                          <w:spacing w:val="-5"/>
                        </w:rPr>
                        <w:t>55</w:t>
                      </w:r>
                      <w:r>
                        <w:rPr>
                          <w:b/>
                          <w:color w:val="000000"/>
                        </w:rPr>
                        <w:tab/>
                      </w:r>
                      <w:r>
                        <w:rPr>
                          <w:color w:val="000000"/>
                          <w:spacing w:val="-10"/>
                        </w:rPr>
                        <w:t>$</w:t>
                      </w:r>
                      <w:r>
                        <w:rPr>
                          <w:color w:val="000000"/>
                        </w:rPr>
                        <w:tab/>
                      </w:r>
                      <w:r>
                        <w:rPr>
                          <w:color w:val="000000"/>
                          <w:spacing w:val="-5"/>
                        </w:rPr>
                        <w:t>81</w:t>
                      </w:r>
                    </w:p>
                  </w:txbxContent>
                </v:textbox>
                <v:fill type="solid"/>
                <w10:wrap type="none"/>
              </v:shape>
            </w:pict>
          </mc:Fallback>
        </mc:AlternateContent>
      </w:r>
      <w:r>
        <w:rPr/>
        <w:t>Short-term</w:t>
      </w:r>
      <w:r>
        <w:rPr>
          <w:spacing w:val="21"/>
        </w:rPr>
        <w:t> </w:t>
      </w:r>
      <w:r>
        <w:rPr>
          <w:spacing w:val="-2"/>
        </w:rPr>
        <w:t>borrowings</w:t>
      </w:r>
      <w:r>
        <w:rPr/>
        <w:tab/>
      </w:r>
      <w:r>
        <w:rPr>
          <w:spacing w:val="-5"/>
        </w:rPr>
        <w:t>75</w:t>
      </w:r>
    </w:p>
    <w:p>
      <w:pPr>
        <w:pStyle w:val="BodyText"/>
        <w:spacing w:before="8"/>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0"/>
        <w:gridCol w:w="2814"/>
        <w:gridCol w:w="590"/>
        <w:gridCol w:w="1128"/>
        <w:gridCol w:w="590"/>
      </w:tblGrid>
      <w:tr>
        <w:trPr>
          <w:trHeight w:val="203" w:hRule="atLeast"/>
        </w:trPr>
        <w:tc>
          <w:tcPr>
            <w:tcW w:w="6390" w:type="dxa"/>
            <w:shd w:val="clear" w:color="auto" w:fill="CCEDFF"/>
          </w:tcPr>
          <w:p>
            <w:pPr>
              <w:pStyle w:val="TableParagraph"/>
              <w:spacing w:line="180" w:lineRule="exact" w:before="3"/>
              <w:rPr>
                <w:b/>
                <w:sz w:val="16"/>
              </w:rPr>
            </w:pPr>
            <w:r>
              <w:rPr>
                <w:b/>
                <w:sz w:val="16"/>
              </w:rPr>
              <w:t>Long-term</w:t>
            </w:r>
            <w:r>
              <w:rPr>
                <w:b/>
                <w:spacing w:val="23"/>
                <w:sz w:val="16"/>
              </w:rPr>
              <w:t> </w:t>
            </w:r>
            <w:r>
              <w:rPr>
                <w:b/>
                <w:spacing w:val="-4"/>
                <w:sz w:val="16"/>
              </w:rPr>
              <w:t>debt</w:t>
            </w:r>
          </w:p>
        </w:tc>
        <w:tc>
          <w:tcPr>
            <w:tcW w:w="5122" w:type="dxa"/>
            <w:gridSpan w:val="4"/>
            <w:shd w:val="clear" w:color="auto" w:fill="CCEDFF"/>
          </w:tcPr>
          <w:p>
            <w:pPr>
              <w:pStyle w:val="TableParagraph"/>
              <w:rPr>
                <w:sz w:val="14"/>
              </w:rPr>
            </w:pPr>
          </w:p>
        </w:tc>
      </w:tr>
      <w:tr>
        <w:trPr>
          <w:trHeight w:val="203" w:hRule="atLeast"/>
        </w:trPr>
        <w:tc>
          <w:tcPr>
            <w:tcW w:w="6390" w:type="dxa"/>
          </w:tcPr>
          <w:p>
            <w:pPr>
              <w:pStyle w:val="TableParagraph"/>
              <w:spacing w:line="180" w:lineRule="exact" w:before="3"/>
              <w:ind w:left="305"/>
              <w:rPr>
                <w:sz w:val="16"/>
              </w:rPr>
            </w:pPr>
            <w:r>
              <w:rPr>
                <w:sz w:val="16"/>
              </w:rPr>
              <w:t>Debentures,</w:t>
            </w:r>
            <w:r>
              <w:rPr>
                <w:spacing w:val="17"/>
                <w:sz w:val="16"/>
              </w:rPr>
              <w:t> </w:t>
            </w:r>
            <w:r>
              <w:rPr>
                <w:sz w:val="16"/>
              </w:rPr>
              <w:t>8.875%,</w:t>
            </w:r>
            <w:r>
              <w:rPr>
                <w:spacing w:val="16"/>
                <w:sz w:val="16"/>
              </w:rPr>
              <w:t> </w:t>
            </w:r>
            <w:r>
              <w:rPr>
                <w:sz w:val="16"/>
              </w:rPr>
              <w:t>due</w:t>
            </w:r>
            <w:r>
              <w:rPr>
                <w:spacing w:val="16"/>
                <w:sz w:val="16"/>
              </w:rPr>
              <w:t> </w:t>
            </w:r>
            <w:r>
              <w:rPr>
                <w:spacing w:val="-4"/>
                <w:sz w:val="16"/>
              </w:rPr>
              <w:t>2021</w:t>
            </w:r>
          </w:p>
        </w:tc>
        <w:tc>
          <w:tcPr>
            <w:tcW w:w="2814" w:type="dxa"/>
          </w:tcPr>
          <w:p>
            <w:pPr>
              <w:pStyle w:val="TableParagraph"/>
              <w:rPr>
                <w:sz w:val="14"/>
              </w:rPr>
            </w:pPr>
          </w:p>
        </w:tc>
        <w:tc>
          <w:tcPr>
            <w:tcW w:w="590" w:type="dxa"/>
          </w:tcPr>
          <w:p>
            <w:pPr>
              <w:pStyle w:val="TableParagraph"/>
              <w:rPr>
                <w:sz w:val="14"/>
              </w:rPr>
            </w:pPr>
          </w:p>
        </w:tc>
        <w:tc>
          <w:tcPr>
            <w:tcW w:w="1128" w:type="dxa"/>
          </w:tcPr>
          <w:p>
            <w:pPr>
              <w:pStyle w:val="TableParagraph"/>
              <w:spacing w:line="180" w:lineRule="exact" w:before="3"/>
              <w:ind w:left="116"/>
              <w:rPr>
                <w:sz w:val="16"/>
              </w:rPr>
            </w:pPr>
            <w:r>
              <w:rPr>
                <w:spacing w:val="-10"/>
                <w:w w:val="105"/>
                <w:sz w:val="16"/>
              </w:rPr>
              <w:t>$</w:t>
            </w:r>
          </w:p>
        </w:tc>
        <w:tc>
          <w:tcPr>
            <w:tcW w:w="590" w:type="dxa"/>
          </w:tcPr>
          <w:p>
            <w:pPr>
              <w:pStyle w:val="TableParagraph"/>
              <w:spacing w:line="180" w:lineRule="exact" w:before="3"/>
              <w:ind w:left="204" w:right="2"/>
              <w:jc w:val="center"/>
              <w:rPr>
                <w:sz w:val="16"/>
              </w:rPr>
            </w:pPr>
            <w:r>
              <w:rPr>
                <w:spacing w:val="-5"/>
                <w:w w:val="105"/>
                <w:sz w:val="16"/>
              </w:rPr>
              <w:t>63</w:t>
            </w:r>
          </w:p>
        </w:tc>
      </w:tr>
      <w:tr>
        <w:trPr>
          <w:trHeight w:val="203" w:hRule="atLeast"/>
        </w:trPr>
        <w:tc>
          <w:tcPr>
            <w:tcW w:w="6390" w:type="dxa"/>
            <w:shd w:val="clear" w:color="auto" w:fill="CCEDFF"/>
          </w:tcPr>
          <w:p>
            <w:pPr>
              <w:pStyle w:val="TableParagraph"/>
              <w:spacing w:line="180" w:lineRule="exact" w:before="3"/>
              <w:ind w:left="305"/>
              <w:rPr>
                <w:sz w:val="16"/>
              </w:rPr>
            </w:pPr>
            <w:r>
              <w:rPr>
                <w:w w:val="105"/>
                <w:sz w:val="16"/>
              </w:rPr>
              <w:t>Debentures,</w:t>
            </w:r>
            <w:r>
              <w:rPr>
                <w:spacing w:val="-11"/>
                <w:w w:val="105"/>
                <w:sz w:val="16"/>
              </w:rPr>
              <w:t> </w:t>
            </w:r>
            <w:r>
              <w:rPr>
                <w:w w:val="105"/>
                <w:sz w:val="16"/>
              </w:rPr>
              <w:t>2.90%,</w:t>
            </w:r>
            <w:r>
              <w:rPr>
                <w:spacing w:val="-10"/>
                <w:w w:val="105"/>
                <w:sz w:val="16"/>
              </w:rPr>
              <w:t> </w:t>
            </w:r>
            <w:r>
              <w:rPr>
                <w:w w:val="105"/>
                <w:sz w:val="16"/>
              </w:rPr>
              <w:t>due</w:t>
            </w:r>
            <w:r>
              <w:rPr>
                <w:spacing w:val="-11"/>
                <w:w w:val="105"/>
                <w:sz w:val="16"/>
              </w:rPr>
              <w:t> </w:t>
            </w:r>
            <w:r>
              <w:rPr>
                <w:spacing w:val="-4"/>
                <w:w w:val="105"/>
                <w:sz w:val="16"/>
              </w:rPr>
              <w:t>2022</w:t>
            </w:r>
          </w:p>
        </w:tc>
        <w:tc>
          <w:tcPr>
            <w:tcW w:w="2814" w:type="dxa"/>
            <w:shd w:val="clear" w:color="auto" w:fill="CCEDFF"/>
          </w:tcPr>
          <w:p>
            <w:pPr>
              <w:pStyle w:val="TableParagraph"/>
              <w:rPr>
                <w:sz w:val="14"/>
              </w:rPr>
            </w:pPr>
          </w:p>
        </w:tc>
        <w:tc>
          <w:tcPr>
            <w:tcW w:w="590" w:type="dxa"/>
            <w:shd w:val="clear" w:color="auto" w:fill="CCEDFF"/>
          </w:tcPr>
          <w:p>
            <w:pPr>
              <w:pStyle w:val="TableParagraph"/>
              <w:rPr>
                <w:sz w:val="14"/>
              </w:rPr>
            </w:pPr>
          </w:p>
        </w:tc>
        <w:tc>
          <w:tcPr>
            <w:tcW w:w="1128" w:type="dxa"/>
            <w:shd w:val="clear" w:color="auto" w:fill="CCEDFF"/>
          </w:tcPr>
          <w:p>
            <w:pPr>
              <w:pStyle w:val="TableParagraph"/>
              <w:rPr>
                <w:sz w:val="14"/>
              </w:rPr>
            </w:pPr>
          </w:p>
        </w:tc>
        <w:tc>
          <w:tcPr>
            <w:tcW w:w="590" w:type="dxa"/>
            <w:shd w:val="clear" w:color="auto" w:fill="CCEDFF"/>
          </w:tcPr>
          <w:p>
            <w:pPr>
              <w:pStyle w:val="TableParagraph"/>
              <w:spacing w:line="180" w:lineRule="exact" w:before="3"/>
              <w:ind w:left="119"/>
              <w:jc w:val="center"/>
              <w:rPr>
                <w:sz w:val="16"/>
              </w:rPr>
            </w:pPr>
            <w:r>
              <w:rPr>
                <w:spacing w:val="-5"/>
                <w:w w:val="105"/>
                <w:sz w:val="16"/>
              </w:rPr>
              <w:t>374</w:t>
            </w:r>
          </w:p>
        </w:tc>
      </w:tr>
      <w:tr>
        <w:trPr>
          <w:trHeight w:val="203" w:hRule="atLeast"/>
        </w:trPr>
        <w:tc>
          <w:tcPr>
            <w:tcW w:w="6390" w:type="dxa"/>
          </w:tcPr>
          <w:p>
            <w:pPr>
              <w:pStyle w:val="TableParagraph"/>
              <w:spacing w:line="180" w:lineRule="exact" w:before="3"/>
              <w:ind w:left="305"/>
              <w:rPr>
                <w:sz w:val="16"/>
              </w:rPr>
            </w:pPr>
            <w:r>
              <w:rPr>
                <w:w w:val="105"/>
                <w:sz w:val="16"/>
              </w:rPr>
              <w:t>Debentures,</w:t>
            </w:r>
            <w:r>
              <w:rPr>
                <w:spacing w:val="-11"/>
                <w:w w:val="105"/>
                <w:sz w:val="16"/>
              </w:rPr>
              <w:t> </w:t>
            </w:r>
            <w:r>
              <w:rPr>
                <w:w w:val="105"/>
                <w:sz w:val="16"/>
              </w:rPr>
              <w:t>3.70%,</w:t>
            </w:r>
            <w:r>
              <w:rPr>
                <w:spacing w:val="-10"/>
                <w:w w:val="105"/>
                <w:sz w:val="16"/>
              </w:rPr>
              <w:t> </w:t>
            </w:r>
            <w:r>
              <w:rPr>
                <w:w w:val="105"/>
                <w:sz w:val="16"/>
              </w:rPr>
              <w:t>due</w:t>
            </w:r>
            <w:r>
              <w:rPr>
                <w:spacing w:val="-11"/>
                <w:w w:val="105"/>
                <w:sz w:val="16"/>
              </w:rPr>
              <w:t> </w:t>
            </w:r>
            <w:r>
              <w:rPr>
                <w:spacing w:val="-4"/>
                <w:w w:val="105"/>
                <w:sz w:val="16"/>
              </w:rPr>
              <w:t>2023</w:t>
            </w:r>
          </w:p>
        </w:tc>
        <w:tc>
          <w:tcPr>
            <w:tcW w:w="2814" w:type="dxa"/>
          </w:tcPr>
          <w:p>
            <w:pPr>
              <w:pStyle w:val="TableParagraph"/>
              <w:rPr>
                <w:sz w:val="14"/>
              </w:rPr>
            </w:pPr>
          </w:p>
        </w:tc>
        <w:tc>
          <w:tcPr>
            <w:tcW w:w="590" w:type="dxa"/>
          </w:tcPr>
          <w:p>
            <w:pPr>
              <w:pStyle w:val="TableParagraph"/>
              <w:rPr>
                <w:sz w:val="14"/>
              </w:rPr>
            </w:pPr>
          </w:p>
        </w:tc>
        <w:tc>
          <w:tcPr>
            <w:tcW w:w="1128" w:type="dxa"/>
          </w:tcPr>
          <w:p>
            <w:pPr>
              <w:pStyle w:val="TableParagraph"/>
              <w:rPr>
                <w:sz w:val="14"/>
              </w:rPr>
            </w:pPr>
          </w:p>
        </w:tc>
        <w:tc>
          <w:tcPr>
            <w:tcW w:w="590" w:type="dxa"/>
          </w:tcPr>
          <w:p>
            <w:pPr>
              <w:pStyle w:val="TableParagraph"/>
              <w:spacing w:line="180" w:lineRule="exact" w:before="3"/>
              <w:ind w:left="119"/>
              <w:jc w:val="center"/>
              <w:rPr>
                <w:sz w:val="16"/>
              </w:rPr>
            </w:pPr>
            <w:r>
              <w:rPr>
                <w:spacing w:val="-5"/>
                <w:w w:val="105"/>
                <w:sz w:val="16"/>
              </w:rPr>
              <w:t>249</w:t>
            </w:r>
          </w:p>
        </w:tc>
      </w:tr>
      <w:tr>
        <w:trPr>
          <w:trHeight w:val="203" w:hRule="atLeast"/>
        </w:trPr>
        <w:tc>
          <w:tcPr>
            <w:tcW w:w="6390" w:type="dxa"/>
            <w:shd w:val="clear" w:color="auto" w:fill="CCEDFF"/>
          </w:tcPr>
          <w:p>
            <w:pPr>
              <w:pStyle w:val="TableParagraph"/>
              <w:spacing w:line="180" w:lineRule="exact" w:before="3"/>
              <w:ind w:left="305"/>
              <w:rPr>
                <w:sz w:val="16"/>
              </w:rPr>
            </w:pPr>
            <w:r>
              <w:rPr>
                <w:w w:val="105"/>
                <w:sz w:val="16"/>
              </w:rPr>
              <w:t>Medium-term</w:t>
            </w:r>
            <w:r>
              <w:rPr>
                <w:spacing w:val="-11"/>
                <w:w w:val="105"/>
                <w:sz w:val="16"/>
              </w:rPr>
              <w:t> </w:t>
            </w:r>
            <w:r>
              <w:rPr>
                <w:w w:val="105"/>
                <w:sz w:val="16"/>
              </w:rPr>
              <w:t>notes,</w:t>
            </w:r>
            <w:r>
              <w:rPr>
                <w:spacing w:val="-10"/>
                <w:w w:val="105"/>
                <w:sz w:val="16"/>
              </w:rPr>
              <w:t> </w:t>
            </w:r>
            <w:r>
              <w:rPr>
                <w:w w:val="105"/>
                <w:sz w:val="16"/>
              </w:rPr>
              <w:t>average</w:t>
            </w:r>
            <w:r>
              <w:rPr>
                <w:spacing w:val="-11"/>
                <w:w w:val="105"/>
                <w:sz w:val="16"/>
              </w:rPr>
              <w:t> </w:t>
            </w:r>
            <w:r>
              <w:rPr>
                <w:w w:val="105"/>
                <w:sz w:val="16"/>
              </w:rPr>
              <w:t>rate</w:t>
            </w:r>
            <w:r>
              <w:rPr>
                <w:spacing w:val="-10"/>
                <w:w w:val="105"/>
                <w:sz w:val="16"/>
              </w:rPr>
              <w:t> </w:t>
            </w:r>
            <w:r>
              <w:rPr>
                <w:w w:val="105"/>
                <w:sz w:val="16"/>
              </w:rPr>
              <w:t>7.66%,</w:t>
            </w:r>
            <w:r>
              <w:rPr>
                <w:spacing w:val="-11"/>
                <w:w w:val="105"/>
                <w:sz w:val="16"/>
              </w:rPr>
              <w:t> </w:t>
            </w:r>
            <w:r>
              <w:rPr>
                <w:w w:val="105"/>
                <w:sz w:val="16"/>
              </w:rPr>
              <w:t>due</w:t>
            </w:r>
            <w:r>
              <w:rPr>
                <w:spacing w:val="-10"/>
                <w:w w:val="105"/>
                <w:sz w:val="16"/>
              </w:rPr>
              <w:t> </w:t>
            </w:r>
            <w:r>
              <w:rPr>
                <w:w w:val="105"/>
                <w:sz w:val="16"/>
              </w:rPr>
              <w:t>through</w:t>
            </w:r>
            <w:r>
              <w:rPr>
                <w:spacing w:val="-10"/>
                <w:w w:val="105"/>
                <w:sz w:val="16"/>
              </w:rPr>
              <w:t> </w:t>
            </w:r>
            <w:r>
              <w:rPr>
                <w:spacing w:val="-4"/>
                <w:w w:val="105"/>
                <w:sz w:val="16"/>
              </w:rPr>
              <w:t>2023</w:t>
            </w:r>
          </w:p>
        </w:tc>
        <w:tc>
          <w:tcPr>
            <w:tcW w:w="2814" w:type="dxa"/>
            <w:shd w:val="clear" w:color="auto" w:fill="CCEDFF"/>
          </w:tcPr>
          <w:p>
            <w:pPr>
              <w:pStyle w:val="TableParagraph"/>
              <w:spacing w:line="180" w:lineRule="exact" w:before="3"/>
              <w:ind w:right="928"/>
              <w:jc w:val="right"/>
              <w:rPr>
                <w:b/>
                <w:sz w:val="16"/>
              </w:rPr>
            </w:pPr>
            <w:r>
              <w:rPr>
                <w:b/>
                <w:spacing w:val="-10"/>
                <w:w w:val="105"/>
                <w:sz w:val="16"/>
              </w:rPr>
              <w:t>$</w:t>
            </w:r>
          </w:p>
        </w:tc>
        <w:tc>
          <w:tcPr>
            <w:tcW w:w="590" w:type="dxa"/>
            <w:shd w:val="clear" w:color="auto" w:fill="CCEDFF"/>
          </w:tcPr>
          <w:p>
            <w:pPr>
              <w:pStyle w:val="TableParagraph"/>
              <w:spacing w:line="180" w:lineRule="exact" w:before="3"/>
              <w:ind w:right="110"/>
              <w:jc w:val="right"/>
              <w:rPr>
                <w:b/>
                <w:sz w:val="16"/>
              </w:rPr>
            </w:pPr>
            <w:r>
              <w:rPr>
                <w:b/>
                <w:spacing w:val="-5"/>
                <w:w w:val="105"/>
                <w:sz w:val="16"/>
              </w:rPr>
              <w:t>45</w:t>
            </w:r>
          </w:p>
        </w:tc>
        <w:tc>
          <w:tcPr>
            <w:tcW w:w="1128" w:type="dxa"/>
            <w:shd w:val="clear" w:color="auto" w:fill="CCEDFF"/>
          </w:tcPr>
          <w:p>
            <w:pPr>
              <w:pStyle w:val="TableParagraph"/>
              <w:rPr>
                <w:sz w:val="14"/>
              </w:rPr>
            </w:pPr>
          </w:p>
        </w:tc>
        <w:tc>
          <w:tcPr>
            <w:tcW w:w="590" w:type="dxa"/>
            <w:shd w:val="clear" w:color="auto" w:fill="CCEDFF"/>
          </w:tcPr>
          <w:p>
            <w:pPr>
              <w:pStyle w:val="TableParagraph"/>
              <w:spacing w:line="180" w:lineRule="exact" w:before="3"/>
              <w:ind w:left="204" w:right="2"/>
              <w:jc w:val="center"/>
              <w:rPr>
                <w:sz w:val="16"/>
              </w:rPr>
            </w:pPr>
            <w:r>
              <w:rPr>
                <w:spacing w:val="-5"/>
                <w:w w:val="105"/>
                <w:sz w:val="16"/>
              </w:rPr>
              <w:t>45</w:t>
            </w:r>
          </w:p>
        </w:tc>
      </w:tr>
      <w:tr>
        <w:trPr>
          <w:trHeight w:val="203" w:hRule="atLeast"/>
        </w:trPr>
        <w:tc>
          <w:tcPr>
            <w:tcW w:w="6390" w:type="dxa"/>
          </w:tcPr>
          <w:p>
            <w:pPr>
              <w:pStyle w:val="TableParagraph"/>
              <w:spacing w:line="180" w:lineRule="exact" w:before="3"/>
              <w:ind w:left="305"/>
              <w:rPr>
                <w:sz w:val="16"/>
              </w:rPr>
            </w:pPr>
            <w:r>
              <w:rPr>
                <w:w w:val="105"/>
                <w:sz w:val="16"/>
              </w:rPr>
              <w:t>Debentures,</w:t>
            </w:r>
            <w:r>
              <w:rPr>
                <w:spacing w:val="-11"/>
                <w:w w:val="105"/>
                <w:sz w:val="16"/>
              </w:rPr>
              <w:t> </w:t>
            </w:r>
            <w:r>
              <w:rPr>
                <w:w w:val="105"/>
                <w:sz w:val="16"/>
              </w:rPr>
              <w:t>3.90%,</w:t>
            </w:r>
            <w:r>
              <w:rPr>
                <w:spacing w:val="-10"/>
                <w:w w:val="105"/>
                <w:sz w:val="16"/>
              </w:rPr>
              <w:t> </w:t>
            </w:r>
            <w:r>
              <w:rPr>
                <w:w w:val="105"/>
                <w:sz w:val="16"/>
              </w:rPr>
              <w:t>due</w:t>
            </w:r>
            <w:r>
              <w:rPr>
                <w:spacing w:val="-11"/>
                <w:w w:val="105"/>
                <w:sz w:val="16"/>
              </w:rPr>
              <w:t> </w:t>
            </w:r>
            <w:r>
              <w:rPr>
                <w:spacing w:val="-4"/>
                <w:w w:val="105"/>
                <w:sz w:val="16"/>
              </w:rPr>
              <w:t>2049</w:t>
            </w:r>
          </w:p>
        </w:tc>
        <w:tc>
          <w:tcPr>
            <w:tcW w:w="2814" w:type="dxa"/>
          </w:tcPr>
          <w:p>
            <w:pPr>
              <w:pStyle w:val="TableParagraph"/>
              <w:rPr>
                <w:sz w:val="14"/>
              </w:rPr>
            </w:pPr>
          </w:p>
        </w:tc>
        <w:tc>
          <w:tcPr>
            <w:tcW w:w="590" w:type="dxa"/>
          </w:tcPr>
          <w:p>
            <w:pPr>
              <w:pStyle w:val="TableParagraph"/>
              <w:spacing w:line="180" w:lineRule="exact" w:before="3"/>
              <w:ind w:right="110"/>
              <w:jc w:val="right"/>
              <w:rPr>
                <w:b/>
                <w:sz w:val="16"/>
              </w:rPr>
            </w:pPr>
            <w:r>
              <w:rPr>
                <w:b/>
                <w:spacing w:val="-5"/>
                <w:w w:val="105"/>
                <w:sz w:val="16"/>
              </w:rPr>
              <w:t>395</w:t>
            </w:r>
          </w:p>
        </w:tc>
        <w:tc>
          <w:tcPr>
            <w:tcW w:w="1128" w:type="dxa"/>
          </w:tcPr>
          <w:p>
            <w:pPr>
              <w:pStyle w:val="TableParagraph"/>
              <w:rPr>
                <w:sz w:val="14"/>
              </w:rPr>
            </w:pPr>
          </w:p>
        </w:tc>
        <w:tc>
          <w:tcPr>
            <w:tcW w:w="590" w:type="dxa"/>
          </w:tcPr>
          <w:p>
            <w:pPr>
              <w:pStyle w:val="TableParagraph"/>
              <w:spacing w:line="180" w:lineRule="exact" w:before="3"/>
              <w:ind w:left="119"/>
              <w:jc w:val="center"/>
              <w:rPr>
                <w:sz w:val="16"/>
              </w:rPr>
            </w:pPr>
            <w:r>
              <w:rPr>
                <w:spacing w:val="-5"/>
                <w:w w:val="105"/>
                <w:sz w:val="16"/>
              </w:rPr>
              <w:t>394</w:t>
            </w:r>
          </w:p>
        </w:tc>
      </w:tr>
      <w:tr>
        <w:trPr>
          <w:trHeight w:val="203" w:hRule="atLeast"/>
        </w:trPr>
        <w:tc>
          <w:tcPr>
            <w:tcW w:w="6390" w:type="dxa"/>
            <w:shd w:val="clear" w:color="auto" w:fill="CCEDFF"/>
          </w:tcPr>
          <w:p>
            <w:pPr>
              <w:pStyle w:val="TableParagraph"/>
              <w:spacing w:line="180" w:lineRule="exact" w:before="3"/>
              <w:ind w:left="305"/>
              <w:rPr>
                <w:sz w:val="16"/>
              </w:rPr>
            </w:pPr>
            <w:r>
              <w:rPr>
                <w:w w:val="105"/>
                <w:sz w:val="16"/>
              </w:rPr>
              <w:t>Debentures,</w:t>
            </w:r>
            <w:r>
              <w:rPr>
                <w:spacing w:val="-11"/>
                <w:w w:val="105"/>
                <w:sz w:val="16"/>
              </w:rPr>
              <w:t> </w:t>
            </w:r>
            <w:r>
              <w:rPr>
                <w:w w:val="105"/>
                <w:sz w:val="16"/>
              </w:rPr>
              <w:t>5.45%,</w:t>
            </w:r>
            <w:r>
              <w:rPr>
                <w:spacing w:val="-10"/>
                <w:w w:val="105"/>
                <w:sz w:val="16"/>
              </w:rPr>
              <w:t> </w:t>
            </w:r>
            <w:r>
              <w:rPr>
                <w:w w:val="105"/>
                <w:sz w:val="16"/>
              </w:rPr>
              <w:t>due</w:t>
            </w:r>
            <w:r>
              <w:rPr>
                <w:spacing w:val="-11"/>
                <w:w w:val="105"/>
                <w:sz w:val="16"/>
              </w:rPr>
              <w:t> </w:t>
            </w:r>
            <w:r>
              <w:rPr>
                <w:spacing w:val="-4"/>
                <w:w w:val="105"/>
                <w:sz w:val="16"/>
              </w:rPr>
              <w:t>2079</w:t>
            </w:r>
          </w:p>
        </w:tc>
        <w:tc>
          <w:tcPr>
            <w:tcW w:w="2814" w:type="dxa"/>
            <w:shd w:val="clear" w:color="auto" w:fill="CCEDFF"/>
          </w:tcPr>
          <w:p>
            <w:pPr>
              <w:pStyle w:val="TableParagraph"/>
              <w:rPr>
                <w:sz w:val="14"/>
              </w:rPr>
            </w:pPr>
          </w:p>
        </w:tc>
        <w:tc>
          <w:tcPr>
            <w:tcW w:w="590" w:type="dxa"/>
            <w:shd w:val="clear" w:color="auto" w:fill="CCEDFF"/>
          </w:tcPr>
          <w:p>
            <w:pPr>
              <w:pStyle w:val="TableParagraph"/>
              <w:spacing w:line="180" w:lineRule="exact" w:before="3"/>
              <w:ind w:right="110"/>
              <w:jc w:val="right"/>
              <w:rPr>
                <w:b/>
                <w:sz w:val="16"/>
              </w:rPr>
            </w:pPr>
            <w:r>
              <w:rPr>
                <w:b/>
                <w:spacing w:val="-4"/>
                <w:w w:val="105"/>
                <w:sz w:val="16"/>
              </w:rPr>
              <w:t>1,086</w:t>
            </w:r>
          </w:p>
        </w:tc>
        <w:tc>
          <w:tcPr>
            <w:tcW w:w="1128" w:type="dxa"/>
            <w:shd w:val="clear" w:color="auto" w:fill="CCEDFF"/>
          </w:tcPr>
          <w:p>
            <w:pPr>
              <w:pStyle w:val="TableParagraph"/>
              <w:rPr>
                <w:sz w:val="14"/>
              </w:rPr>
            </w:pPr>
          </w:p>
        </w:tc>
        <w:tc>
          <w:tcPr>
            <w:tcW w:w="590" w:type="dxa"/>
            <w:shd w:val="clear" w:color="auto" w:fill="CCEDFF"/>
          </w:tcPr>
          <w:p>
            <w:pPr>
              <w:pStyle w:val="TableParagraph"/>
              <w:spacing w:line="180" w:lineRule="exact" w:before="3"/>
              <w:ind w:right="2"/>
              <w:jc w:val="center"/>
              <w:rPr>
                <w:sz w:val="16"/>
              </w:rPr>
            </w:pPr>
            <w:r>
              <w:rPr>
                <w:spacing w:val="-4"/>
                <w:w w:val="105"/>
                <w:sz w:val="16"/>
              </w:rPr>
              <w:t>1,084</w:t>
            </w:r>
          </w:p>
        </w:tc>
      </w:tr>
      <w:tr>
        <w:trPr>
          <w:trHeight w:val="203" w:hRule="atLeast"/>
        </w:trPr>
        <w:tc>
          <w:tcPr>
            <w:tcW w:w="6390" w:type="dxa"/>
          </w:tcPr>
          <w:p>
            <w:pPr>
              <w:pStyle w:val="TableParagraph"/>
              <w:spacing w:line="180" w:lineRule="exact" w:before="3"/>
              <w:ind w:left="305"/>
              <w:rPr>
                <w:sz w:val="16"/>
              </w:rPr>
            </w:pPr>
            <w:r>
              <w:rPr>
                <w:sz w:val="16"/>
              </w:rPr>
              <w:t>Yen-denominated</w:t>
            </w:r>
            <w:r>
              <w:rPr>
                <w:spacing w:val="20"/>
                <w:sz w:val="16"/>
              </w:rPr>
              <w:t> </w:t>
            </w:r>
            <w:r>
              <w:rPr>
                <w:sz w:val="16"/>
              </w:rPr>
              <w:t>debentures,</w:t>
            </w:r>
            <w:r>
              <w:rPr>
                <w:spacing w:val="24"/>
                <w:sz w:val="16"/>
              </w:rPr>
              <w:t> </w:t>
            </w:r>
            <w:r>
              <w:rPr>
                <w:sz w:val="16"/>
              </w:rPr>
              <w:t>0.698%,</w:t>
            </w:r>
            <w:r>
              <w:rPr>
                <w:spacing w:val="20"/>
                <w:sz w:val="16"/>
              </w:rPr>
              <w:t> </w:t>
            </w:r>
            <w:r>
              <w:rPr>
                <w:sz w:val="16"/>
              </w:rPr>
              <w:t>due</w:t>
            </w:r>
            <w:r>
              <w:rPr>
                <w:spacing w:val="21"/>
                <w:sz w:val="16"/>
              </w:rPr>
              <w:t> </w:t>
            </w:r>
            <w:r>
              <w:rPr>
                <w:spacing w:val="-4"/>
                <w:sz w:val="16"/>
              </w:rPr>
              <w:t>2024</w:t>
            </w:r>
          </w:p>
        </w:tc>
        <w:tc>
          <w:tcPr>
            <w:tcW w:w="2814" w:type="dxa"/>
          </w:tcPr>
          <w:p>
            <w:pPr>
              <w:pStyle w:val="TableParagraph"/>
              <w:rPr>
                <w:sz w:val="14"/>
              </w:rPr>
            </w:pPr>
          </w:p>
        </w:tc>
        <w:tc>
          <w:tcPr>
            <w:tcW w:w="590" w:type="dxa"/>
          </w:tcPr>
          <w:p>
            <w:pPr>
              <w:pStyle w:val="TableParagraph"/>
              <w:spacing w:line="180" w:lineRule="exact" w:before="3"/>
              <w:ind w:right="110"/>
              <w:jc w:val="right"/>
              <w:rPr>
                <w:b/>
                <w:sz w:val="16"/>
              </w:rPr>
            </w:pPr>
            <w:r>
              <w:rPr>
                <w:b/>
                <w:spacing w:val="-5"/>
                <w:w w:val="105"/>
                <w:sz w:val="16"/>
              </w:rPr>
              <w:t>182</w:t>
            </w:r>
          </w:p>
        </w:tc>
        <w:tc>
          <w:tcPr>
            <w:tcW w:w="1128" w:type="dxa"/>
          </w:tcPr>
          <w:p>
            <w:pPr>
              <w:pStyle w:val="TableParagraph"/>
              <w:rPr>
                <w:sz w:val="14"/>
              </w:rPr>
            </w:pPr>
          </w:p>
        </w:tc>
        <w:tc>
          <w:tcPr>
            <w:tcW w:w="590" w:type="dxa"/>
          </w:tcPr>
          <w:p>
            <w:pPr>
              <w:pStyle w:val="TableParagraph"/>
              <w:spacing w:line="180" w:lineRule="exact" w:before="3"/>
              <w:ind w:left="119"/>
              <w:jc w:val="center"/>
              <w:rPr>
                <w:sz w:val="16"/>
              </w:rPr>
            </w:pPr>
            <w:r>
              <w:rPr>
                <w:spacing w:val="-5"/>
                <w:w w:val="105"/>
                <w:sz w:val="16"/>
              </w:rPr>
              <w:t>203</w:t>
            </w:r>
          </w:p>
        </w:tc>
      </w:tr>
      <w:tr>
        <w:trPr>
          <w:trHeight w:val="203" w:hRule="atLeast"/>
        </w:trPr>
        <w:tc>
          <w:tcPr>
            <w:tcW w:w="6390" w:type="dxa"/>
            <w:shd w:val="clear" w:color="auto" w:fill="CCEDFF"/>
          </w:tcPr>
          <w:p>
            <w:pPr>
              <w:pStyle w:val="TableParagraph"/>
              <w:spacing w:line="180" w:lineRule="exact" w:before="3"/>
              <w:ind w:left="305"/>
              <w:rPr>
                <w:sz w:val="16"/>
              </w:rPr>
            </w:pPr>
            <w:r>
              <w:rPr>
                <w:sz w:val="16"/>
              </w:rPr>
              <w:t>Yen-denominated</w:t>
            </w:r>
            <w:r>
              <w:rPr>
                <w:spacing w:val="20"/>
                <w:sz w:val="16"/>
              </w:rPr>
              <w:t> </w:t>
            </w:r>
            <w:r>
              <w:rPr>
                <w:sz w:val="16"/>
              </w:rPr>
              <w:t>debentures,</w:t>
            </w:r>
            <w:r>
              <w:rPr>
                <w:spacing w:val="24"/>
                <w:sz w:val="16"/>
              </w:rPr>
              <w:t> </w:t>
            </w:r>
            <w:r>
              <w:rPr>
                <w:sz w:val="16"/>
              </w:rPr>
              <w:t>0.722%,</w:t>
            </w:r>
            <w:r>
              <w:rPr>
                <w:spacing w:val="20"/>
                <w:sz w:val="16"/>
              </w:rPr>
              <w:t> </w:t>
            </w:r>
            <w:r>
              <w:rPr>
                <w:sz w:val="16"/>
              </w:rPr>
              <w:t>due</w:t>
            </w:r>
            <w:r>
              <w:rPr>
                <w:spacing w:val="21"/>
                <w:sz w:val="16"/>
              </w:rPr>
              <w:t> </w:t>
            </w:r>
            <w:r>
              <w:rPr>
                <w:spacing w:val="-4"/>
                <w:sz w:val="16"/>
              </w:rPr>
              <w:t>2025</w:t>
            </w:r>
          </w:p>
        </w:tc>
        <w:tc>
          <w:tcPr>
            <w:tcW w:w="2814" w:type="dxa"/>
            <w:shd w:val="clear" w:color="auto" w:fill="CCEDFF"/>
          </w:tcPr>
          <w:p>
            <w:pPr>
              <w:pStyle w:val="TableParagraph"/>
              <w:rPr>
                <w:sz w:val="14"/>
              </w:rPr>
            </w:pPr>
          </w:p>
        </w:tc>
        <w:tc>
          <w:tcPr>
            <w:tcW w:w="590" w:type="dxa"/>
            <w:shd w:val="clear" w:color="auto" w:fill="CCEDFF"/>
          </w:tcPr>
          <w:p>
            <w:pPr>
              <w:pStyle w:val="TableParagraph"/>
              <w:spacing w:line="180" w:lineRule="exact" w:before="3"/>
              <w:ind w:right="110"/>
              <w:jc w:val="right"/>
              <w:rPr>
                <w:b/>
                <w:sz w:val="16"/>
              </w:rPr>
            </w:pPr>
            <w:r>
              <w:rPr>
                <w:b/>
                <w:spacing w:val="-5"/>
                <w:w w:val="105"/>
                <w:sz w:val="16"/>
              </w:rPr>
              <w:t>87</w:t>
            </w:r>
          </w:p>
        </w:tc>
        <w:tc>
          <w:tcPr>
            <w:tcW w:w="1128" w:type="dxa"/>
            <w:shd w:val="clear" w:color="auto" w:fill="CCEDFF"/>
          </w:tcPr>
          <w:p>
            <w:pPr>
              <w:pStyle w:val="TableParagraph"/>
              <w:rPr>
                <w:sz w:val="14"/>
              </w:rPr>
            </w:pPr>
          </w:p>
        </w:tc>
        <w:tc>
          <w:tcPr>
            <w:tcW w:w="590" w:type="dxa"/>
            <w:shd w:val="clear" w:color="auto" w:fill="CCEDFF"/>
          </w:tcPr>
          <w:p>
            <w:pPr>
              <w:pStyle w:val="TableParagraph"/>
              <w:spacing w:line="180" w:lineRule="exact" w:before="3"/>
              <w:ind w:left="204" w:right="2"/>
              <w:jc w:val="center"/>
              <w:rPr>
                <w:sz w:val="16"/>
              </w:rPr>
            </w:pPr>
            <w:r>
              <w:rPr>
                <w:spacing w:val="-5"/>
                <w:w w:val="105"/>
                <w:sz w:val="16"/>
              </w:rPr>
              <w:t>96</w:t>
            </w:r>
          </w:p>
        </w:tc>
      </w:tr>
      <w:tr>
        <w:trPr>
          <w:trHeight w:val="203" w:hRule="atLeast"/>
        </w:trPr>
        <w:tc>
          <w:tcPr>
            <w:tcW w:w="6390" w:type="dxa"/>
          </w:tcPr>
          <w:p>
            <w:pPr>
              <w:pStyle w:val="TableParagraph"/>
              <w:spacing w:line="180" w:lineRule="exact" w:before="3"/>
              <w:ind w:left="305"/>
              <w:rPr>
                <w:sz w:val="16"/>
              </w:rPr>
            </w:pPr>
            <w:r>
              <w:rPr>
                <w:sz w:val="16"/>
              </w:rPr>
              <w:t>Yen-denominated</w:t>
            </w:r>
            <w:r>
              <w:rPr>
                <w:spacing w:val="20"/>
                <w:sz w:val="16"/>
              </w:rPr>
              <w:t> </w:t>
            </w:r>
            <w:r>
              <w:rPr>
                <w:sz w:val="16"/>
              </w:rPr>
              <w:t>debentures,</w:t>
            </w:r>
            <w:r>
              <w:rPr>
                <w:spacing w:val="24"/>
                <w:sz w:val="16"/>
              </w:rPr>
              <w:t> </w:t>
            </w:r>
            <w:r>
              <w:rPr>
                <w:sz w:val="16"/>
              </w:rPr>
              <w:t>0.992%,</w:t>
            </w:r>
            <w:r>
              <w:rPr>
                <w:spacing w:val="20"/>
                <w:sz w:val="16"/>
              </w:rPr>
              <w:t> </w:t>
            </w:r>
            <w:r>
              <w:rPr>
                <w:sz w:val="16"/>
              </w:rPr>
              <w:t>due</w:t>
            </w:r>
            <w:r>
              <w:rPr>
                <w:spacing w:val="21"/>
                <w:sz w:val="16"/>
              </w:rPr>
              <w:t> </w:t>
            </w:r>
            <w:r>
              <w:rPr>
                <w:spacing w:val="-4"/>
                <w:sz w:val="16"/>
              </w:rPr>
              <w:t>2027</w:t>
            </w:r>
          </w:p>
        </w:tc>
        <w:tc>
          <w:tcPr>
            <w:tcW w:w="2814" w:type="dxa"/>
          </w:tcPr>
          <w:p>
            <w:pPr>
              <w:pStyle w:val="TableParagraph"/>
              <w:rPr>
                <w:sz w:val="14"/>
              </w:rPr>
            </w:pPr>
          </w:p>
        </w:tc>
        <w:tc>
          <w:tcPr>
            <w:tcW w:w="590" w:type="dxa"/>
          </w:tcPr>
          <w:p>
            <w:pPr>
              <w:pStyle w:val="TableParagraph"/>
              <w:spacing w:line="180" w:lineRule="exact" w:before="3"/>
              <w:ind w:right="110"/>
              <w:jc w:val="right"/>
              <w:rPr>
                <w:b/>
                <w:sz w:val="16"/>
              </w:rPr>
            </w:pPr>
            <w:r>
              <w:rPr>
                <w:b/>
                <w:spacing w:val="-5"/>
                <w:w w:val="105"/>
                <w:sz w:val="16"/>
              </w:rPr>
              <w:t>407</w:t>
            </w:r>
          </w:p>
        </w:tc>
        <w:tc>
          <w:tcPr>
            <w:tcW w:w="1128" w:type="dxa"/>
          </w:tcPr>
          <w:p>
            <w:pPr>
              <w:pStyle w:val="TableParagraph"/>
              <w:rPr>
                <w:sz w:val="14"/>
              </w:rPr>
            </w:pPr>
          </w:p>
        </w:tc>
        <w:tc>
          <w:tcPr>
            <w:tcW w:w="590" w:type="dxa"/>
          </w:tcPr>
          <w:p>
            <w:pPr>
              <w:pStyle w:val="TableParagraph"/>
              <w:spacing w:line="180" w:lineRule="exact" w:before="3"/>
              <w:ind w:left="119"/>
              <w:jc w:val="center"/>
              <w:rPr>
                <w:sz w:val="16"/>
              </w:rPr>
            </w:pPr>
            <w:r>
              <w:rPr>
                <w:spacing w:val="-5"/>
                <w:w w:val="105"/>
                <w:sz w:val="16"/>
              </w:rPr>
              <w:t>453</w:t>
            </w:r>
          </w:p>
        </w:tc>
      </w:tr>
      <w:tr>
        <w:trPr>
          <w:trHeight w:val="203" w:hRule="atLeast"/>
        </w:trPr>
        <w:tc>
          <w:tcPr>
            <w:tcW w:w="6390" w:type="dxa"/>
            <w:shd w:val="clear" w:color="auto" w:fill="CCEDFF"/>
          </w:tcPr>
          <w:p>
            <w:pPr>
              <w:pStyle w:val="TableParagraph"/>
              <w:spacing w:line="180" w:lineRule="exact" w:before="3"/>
              <w:ind w:left="305"/>
              <w:rPr>
                <w:sz w:val="16"/>
              </w:rPr>
            </w:pPr>
            <w:r>
              <w:rPr>
                <w:sz w:val="16"/>
              </w:rPr>
              <w:t>Yen-denominated</w:t>
            </w:r>
            <w:r>
              <w:rPr>
                <w:spacing w:val="20"/>
                <w:sz w:val="16"/>
              </w:rPr>
              <w:t> </w:t>
            </w:r>
            <w:r>
              <w:rPr>
                <w:sz w:val="16"/>
              </w:rPr>
              <w:t>debentures,</w:t>
            </w:r>
            <w:r>
              <w:rPr>
                <w:spacing w:val="24"/>
                <w:sz w:val="16"/>
              </w:rPr>
              <w:t> </w:t>
            </w:r>
            <w:r>
              <w:rPr>
                <w:sz w:val="16"/>
              </w:rPr>
              <w:t>1.043%,</w:t>
            </w:r>
            <w:r>
              <w:rPr>
                <w:spacing w:val="20"/>
                <w:sz w:val="16"/>
              </w:rPr>
              <w:t> </w:t>
            </w:r>
            <w:r>
              <w:rPr>
                <w:sz w:val="16"/>
              </w:rPr>
              <w:t>due</w:t>
            </w:r>
            <w:r>
              <w:rPr>
                <w:spacing w:val="21"/>
                <w:sz w:val="16"/>
              </w:rPr>
              <w:t> </w:t>
            </w:r>
            <w:r>
              <w:rPr>
                <w:spacing w:val="-4"/>
                <w:sz w:val="16"/>
              </w:rPr>
              <w:t>2028</w:t>
            </w:r>
          </w:p>
        </w:tc>
        <w:tc>
          <w:tcPr>
            <w:tcW w:w="2814" w:type="dxa"/>
            <w:shd w:val="clear" w:color="auto" w:fill="CCEDFF"/>
          </w:tcPr>
          <w:p>
            <w:pPr>
              <w:pStyle w:val="TableParagraph"/>
              <w:rPr>
                <w:sz w:val="14"/>
              </w:rPr>
            </w:pPr>
          </w:p>
        </w:tc>
        <w:tc>
          <w:tcPr>
            <w:tcW w:w="590" w:type="dxa"/>
            <w:shd w:val="clear" w:color="auto" w:fill="CCEDFF"/>
          </w:tcPr>
          <w:p>
            <w:pPr>
              <w:pStyle w:val="TableParagraph"/>
              <w:spacing w:line="180" w:lineRule="exact" w:before="3"/>
              <w:ind w:right="110"/>
              <w:jc w:val="right"/>
              <w:rPr>
                <w:b/>
                <w:sz w:val="16"/>
              </w:rPr>
            </w:pPr>
            <w:r>
              <w:rPr>
                <w:b/>
                <w:spacing w:val="-5"/>
                <w:w w:val="105"/>
                <w:sz w:val="16"/>
              </w:rPr>
              <w:t>264</w:t>
            </w:r>
          </w:p>
        </w:tc>
        <w:tc>
          <w:tcPr>
            <w:tcW w:w="1128" w:type="dxa"/>
            <w:shd w:val="clear" w:color="auto" w:fill="CCEDFF"/>
          </w:tcPr>
          <w:p>
            <w:pPr>
              <w:pStyle w:val="TableParagraph"/>
              <w:rPr>
                <w:sz w:val="14"/>
              </w:rPr>
            </w:pPr>
          </w:p>
        </w:tc>
        <w:tc>
          <w:tcPr>
            <w:tcW w:w="590" w:type="dxa"/>
            <w:shd w:val="clear" w:color="auto" w:fill="CCEDFF"/>
          </w:tcPr>
          <w:p>
            <w:pPr>
              <w:pStyle w:val="TableParagraph"/>
              <w:spacing w:line="180" w:lineRule="exact" w:before="3"/>
              <w:ind w:left="119"/>
              <w:jc w:val="center"/>
              <w:rPr>
                <w:sz w:val="16"/>
              </w:rPr>
            </w:pPr>
            <w:r>
              <w:rPr>
                <w:spacing w:val="-5"/>
                <w:w w:val="105"/>
                <w:sz w:val="16"/>
              </w:rPr>
              <w:t>293</w:t>
            </w:r>
          </w:p>
        </w:tc>
      </w:tr>
      <w:tr>
        <w:trPr>
          <w:trHeight w:val="203" w:hRule="atLeast"/>
        </w:trPr>
        <w:tc>
          <w:tcPr>
            <w:tcW w:w="6390" w:type="dxa"/>
          </w:tcPr>
          <w:p>
            <w:pPr>
              <w:pStyle w:val="TableParagraph"/>
              <w:spacing w:line="180" w:lineRule="exact" w:before="3"/>
              <w:ind w:left="305"/>
              <w:rPr>
                <w:sz w:val="16"/>
              </w:rPr>
            </w:pPr>
            <w:r>
              <w:rPr>
                <w:sz w:val="16"/>
              </w:rPr>
              <w:t>Yen-denominated</w:t>
            </w:r>
            <w:r>
              <w:rPr>
                <w:spacing w:val="20"/>
                <w:sz w:val="16"/>
              </w:rPr>
              <w:t> </w:t>
            </w:r>
            <w:r>
              <w:rPr>
                <w:sz w:val="16"/>
              </w:rPr>
              <w:t>debentures,</w:t>
            </w:r>
            <w:r>
              <w:rPr>
                <w:spacing w:val="24"/>
                <w:sz w:val="16"/>
              </w:rPr>
              <w:t> </w:t>
            </w:r>
            <w:r>
              <w:rPr>
                <w:sz w:val="16"/>
              </w:rPr>
              <w:t>1.153%,</w:t>
            </w:r>
            <w:r>
              <w:rPr>
                <w:spacing w:val="20"/>
                <w:sz w:val="16"/>
              </w:rPr>
              <w:t> </w:t>
            </w:r>
            <w:r>
              <w:rPr>
                <w:sz w:val="16"/>
              </w:rPr>
              <w:t>due</w:t>
            </w:r>
            <w:r>
              <w:rPr>
                <w:spacing w:val="21"/>
                <w:sz w:val="16"/>
              </w:rPr>
              <w:t> </w:t>
            </w:r>
            <w:r>
              <w:rPr>
                <w:spacing w:val="-4"/>
                <w:sz w:val="16"/>
              </w:rPr>
              <w:t>2031</w:t>
            </w:r>
          </w:p>
        </w:tc>
        <w:tc>
          <w:tcPr>
            <w:tcW w:w="2814" w:type="dxa"/>
          </w:tcPr>
          <w:p>
            <w:pPr>
              <w:pStyle w:val="TableParagraph"/>
              <w:rPr>
                <w:sz w:val="14"/>
              </w:rPr>
            </w:pPr>
          </w:p>
        </w:tc>
        <w:tc>
          <w:tcPr>
            <w:tcW w:w="590" w:type="dxa"/>
          </w:tcPr>
          <w:p>
            <w:pPr>
              <w:pStyle w:val="TableParagraph"/>
              <w:spacing w:line="180" w:lineRule="exact" w:before="3"/>
              <w:ind w:right="110"/>
              <w:jc w:val="right"/>
              <w:rPr>
                <w:b/>
                <w:sz w:val="16"/>
              </w:rPr>
            </w:pPr>
            <w:r>
              <w:rPr>
                <w:b/>
                <w:spacing w:val="-5"/>
                <w:w w:val="105"/>
                <w:sz w:val="16"/>
              </w:rPr>
              <w:t>270</w:t>
            </w:r>
          </w:p>
        </w:tc>
        <w:tc>
          <w:tcPr>
            <w:tcW w:w="1128" w:type="dxa"/>
          </w:tcPr>
          <w:p>
            <w:pPr>
              <w:pStyle w:val="TableParagraph"/>
              <w:rPr>
                <w:sz w:val="14"/>
              </w:rPr>
            </w:pPr>
          </w:p>
        </w:tc>
        <w:tc>
          <w:tcPr>
            <w:tcW w:w="590" w:type="dxa"/>
          </w:tcPr>
          <w:p>
            <w:pPr>
              <w:pStyle w:val="TableParagraph"/>
              <w:spacing w:line="180" w:lineRule="exact" w:before="3"/>
              <w:ind w:left="119"/>
              <w:jc w:val="center"/>
              <w:rPr>
                <w:sz w:val="16"/>
              </w:rPr>
            </w:pPr>
            <w:r>
              <w:rPr>
                <w:spacing w:val="-5"/>
                <w:w w:val="105"/>
                <w:sz w:val="16"/>
              </w:rPr>
              <w:t>301</w:t>
            </w:r>
          </w:p>
        </w:tc>
      </w:tr>
      <w:tr>
        <w:trPr>
          <w:trHeight w:val="203" w:hRule="atLeast"/>
        </w:trPr>
        <w:tc>
          <w:tcPr>
            <w:tcW w:w="6390" w:type="dxa"/>
            <w:shd w:val="clear" w:color="auto" w:fill="CCEDFF"/>
          </w:tcPr>
          <w:p>
            <w:pPr>
              <w:pStyle w:val="TableParagraph"/>
              <w:spacing w:line="180" w:lineRule="exact" w:before="3"/>
              <w:ind w:left="305"/>
              <w:rPr>
                <w:sz w:val="16"/>
              </w:rPr>
            </w:pPr>
            <w:r>
              <w:rPr>
                <w:sz w:val="16"/>
              </w:rPr>
              <w:t>Yen-denominated</w:t>
            </w:r>
            <w:r>
              <w:rPr>
                <w:spacing w:val="20"/>
                <w:sz w:val="16"/>
              </w:rPr>
              <w:t> </w:t>
            </w:r>
            <w:r>
              <w:rPr>
                <w:sz w:val="16"/>
              </w:rPr>
              <w:t>debentures,</w:t>
            </w:r>
            <w:r>
              <w:rPr>
                <w:spacing w:val="24"/>
                <w:sz w:val="16"/>
              </w:rPr>
              <w:t> </w:t>
            </w:r>
            <w:r>
              <w:rPr>
                <w:sz w:val="16"/>
              </w:rPr>
              <w:t>1.513%,</w:t>
            </w:r>
            <w:r>
              <w:rPr>
                <w:spacing w:val="20"/>
                <w:sz w:val="16"/>
              </w:rPr>
              <w:t> </w:t>
            </w:r>
            <w:r>
              <w:rPr>
                <w:sz w:val="16"/>
              </w:rPr>
              <w:t>due</w:t>
            </w:r>
            <w:r>
              <w:rPr>
                <w:spacing w:val="21"/>
                <w:sz w:val="16"/>
              </w:rPr>
              <w:t> </w:t>
            </w:r>
            <w:r>
              <w:rPr>
                <w:spacing w:val="-4"/>
                <w:sz w:val="16"/>
              </w:rPr>
              <w:t>2039</w:t>
            </w:r>
          </w:p>
        </w:tc>
        <w:tc>
          <w:tcPr>
            <w:tcW w:w="2814" w:type="dxa"/>
            <w:shd w:val="clear" w:color="auto" w:fill="CCEDFF"/>
          </w:tcPr>
          <w:p>
            <w:pPr>
              <w:pStyle w:val="TableParagraph"/>
              <w:rPr>
                <w:sz w:val="14"/>
              </w:rPr>
            </w:pPr>
          </w:p>
        </w:tc>
        <w:tc>
          <w:tcPr>
            <w:tcW w:w="590" w:type="dxa"/>
            <w:shd w:val="clear" w:color="auto" w:fill="CCEDFF"/>
          </w:tcPr>
          <w:p>
            <w:pPr>
              <w:pStyle w:val="TableParagraph"/>
              <w:spacing w:line="180" w:lineRule="exact" w:before="3"/>
              <w:ind w:right="110"/>
              <w:jc w:val="right"/>
              <w:rPr>
                <w:b/>
                <w:sz w:val="16"/>
              </w:rPr>
            </w:pPr>
            <w:r>
              <w:rPr>
                <w:b/>
                <w:spacing w:val="-5"/>
                <w:w w:val="105"/>
                <w:sz w:val="16"/>
              </w:rPr>
              <w:t>51</w:t>
            </w:r>
          </w:p>
        </w:tc>
        <w:tc>
          <w:tcPr>
            <w:tcW w:w="1128" w:type="dxa"/>
            <w:shd w:val="clear" w:color="auto" w:fill="CCEDFF"/>
          </w:tcPr>
          <w:p>
            <w:pPr>
              <w:pStyle w:val="TableParagraph"/>
              <w:rPr>
                <w:sz w:val="14"/>
              </w:rPr>
            </w:pPr>
          </w:p>
        </w:tc>
        <w:tc>
          <w:tcPr>
            <w:tcW w:w="590" w:type="dxa"/>
            <w:shd w:val="clear" w:color="auto" w:fill="CCEDFF"/>
          </w:tcPr>
          <w:p>
            <w:pPr>
              <w:pStyle w:val="TableParagraph"/>
              <w:spacing w:line="180" w:lineRule="exact" w:before="3"/>
              <w:ind w:left="204" w:right="2"/>
              <w:jc w:val="center"/>
              <w:rPr>
                <w:sz w:val="16"/>
              </w:rPr>
            </w:pPr>
            <w:r>
              <w:rPr>
                <w:spacing w:val="-5"/>
                <w:w w:val="105"/>
                <w:sz w:val="16"/>
              </w:rPr>
              <w:t>56</w:t>
            </w:r>
          </w:p>
        </w:tc>
      </w:tr>
      <w:tr>
        <w:trPr>
          <w:trHeight w:val="203" w:hRule="atLeast"/>
        </w:trPr>
        <w:tc>
          <w:tcPr>
            <w:tcW w:w="6390" w:type="dxa"/>
          </w:tcPr>
          <w:p>
            <w:pPr>
              <w:pStyle w:val="TableParagraph"/>
              <w:spacing w:line="180" w:lineRule="exact" w:before="3"/>
              <w:ind w:left="305"/>
              <w:rPr>
                <w:sz w:val="16"/>
              </w:rPr>
            </w:pPr>
            <w:r>
              <w:rPr>
                <w:w w:val="105"/>
                <w:sz w:val="16"/>
              </w:rPr>
              <w:t>Debentures,</w:t>
            </w:r>
            <w:r>
              <w:rPr>
                <w:spacing w:val="-11"/>
                <w:w w:val="105"/>
                <w:sz w:val="16"/>
              </w:rPr>
              <w:t> </w:t>
            </w:r>
            <w:r>
              <w:rPr>
                <w:w w:val="105"/>
                <w:sz w:val="16"/>
              </w:rPr>
              <w:t>6.85%,</w:t>
            </w:r>
            <w:r>
              <w:rPr>
                <w:spacing w:val="-10"/>
                <w:w w:val="105"/>
                <w:sz w:val="16"/>
              </w:rPr>
              <w:t> </w:t>
            </w:r>
            <w:r>
              <w:rPr>
                <w:w w:val="105"/>
                <w:sz w:val="16"/>
              </w:rPr>
              <w:t>due</w:t>
            </w:r>
            <w:r>
              <w:rPr>
                <w:spacing w:val="-11"/>
                <w:w w:val="105"/>
                <w:sz w:val="16"/>
              </w:rPr>
              <w:t> </w:t>
            </w:r>
            <w:r>
              <w:rPr>
                <w:spacing w:val="-4"/>
                <w:w w:val="105"/>
                <w:sz w:val="16"/>
              </w:rPr>
              <w:t>2029</w:t>
            </w:r>
          </w:p>
        </w:tc>
        <w:tc>
          <w:tcPr>
            <w:tcW w:w="2814" w:type="dxa"/>
          </w:tcPr>
          <w:p>
            <w:pPr>
              <w:pStyle w:val="TableParagraph"/>
              <w:rPr>
                <w:sz w:val="14"/>
              </w:rPr>
            </w:pPr>
          </w:p>
        </w:tc>
        <w:tc>
          <w:tcPr>
            <w:tcW w:w="590" w:type="dxa"/>
          </w:tcPr>
          <w:p>
            <w:pPr>
              <w:pStyle w:val="TableParagraph"/>
              <w:spacing w:line="180" w:lineRule="exact" w:before="3"/>
              <w:ind w:right="110"/>
              <w:jc w:val="right"/>
              <w:rPr>
                <w:b/>
                <w:sz w:val="16"/>
              </w:rPr>
            </w:pPr>
            <w:r>
              <w:rPr>
                <w:b/>
                <w:spacing w:val="-5"/>
                <w:w w:val="105"/>
                <w:sz w:val="16"/>
              </w:rPr>
              <w:t>160</w:t>
            </w:r>
          </w:p>
        </w:tc>
        <w:tc>
          <w:tcPr>
            <w:tcW w:w="1128" w:type="dxa"/>
          </w:tcPr>
          <w:p>
            <w:pPr>
              <w:pStyle w:val="TableParagraph"/>
              <w:rPr>
                <w:sz w:val="14"/>
              </w:rPr>
            </w:pPr>
          </w:p>
        </w:tc>
        <w:tc>
          <w:tcPr>
            <w:tcW w:w="590" w:type="dxa"/>
          </w:tcPr>
          <w:p>
            <w:pPr>
              <w:pStyle w:val="TableParagraph"/>
              <w:spacing w:line="180" w:lineRule="exact" w:before="3"/>
              <w:ind w:left="119"/>
              <w:jc w:val="center"/>
              <w:rPr>
                <w:sz w:val="16"/>
              </w:rPr>
            </w:pPr>
            <w:r>
              <w:rPr>
                <w:spacing w:val="-5"/>
                <w:w w:val="105"/>
                <w:sz w:val="16"/>
              </w:rPr>
              <w:t>161</w:t>
            </w:r>
          </w:p>
        </w:tc>
      </w:tr>
      <w:tr>
        <w:trPr>
          <w:trHeight w:val="203" w:hRule="atLeast"/>
        </w:trPr>
        <w:tc>
          <w:tcPr>
            <w:tcW w:w="6390" w:type="dxa"/>
            <w:shd w:val="clear" w:color="auto" w:fill="CCEDFF"/>
          </w:tcPr>
          <w:p>
            <w:pPr>
              <w:pStyle w:val="TableParagraph"/>
              <w:spacing w:line="180" w:lineRule="exact" w:before="3"/>
              <w:ind w:left="305"/>
              <w:rPr>
                <w:sz w:val="16"/>
              </w:rPr>
            </w:pPr>
            <w:r>
              <w:rPr>
                <w:sz w:val="16"/>
              </w:rPr>
              <w:t>Yen-denominated</w:t>
            </w:r>
            <w:r>
              <w:rPr>
                <w:spacing w:val="20"/>
                <w:sz w:val="16"/>
              </w:rPr>
              <w:t> </w:t>
            </w:r>
            <w:r>
              <w:rPr>
                <w:sz w:val="16"/>
              </w:rPr>
              <w:t>debentures,</w:t>
            </w:r>
            <w:r>
              <w:rPr>
                <w:spacing w:val="24"/>
                <w:sz w:val="16"/>
              </w:rPr>
              <w:t> </w:t>
            </w:r>
            <w:r>
              <w:rPr>
                <w:sz w:val="16"/>
              </w:rPr>
              <w:t>1.219%,</w:t>
            </w:r>
            <w:r>
              <w:rPr>
                <w:spacing w:val="20"/>
                <w:sz w:val="16"/>
              </w:rPr>
              <w:t> </w:t>
            </w:r>
            <w:r>
              <w:rPr>
                <w:sz w:val="16"/>
              </w:rPr>
              <w:t>due</w:t>
            </w:r>
            <w:r>
              <w:rPr>
                <w:spacing w:val="21"/>
                <w:sz w:val="16"/>
              </w:rPr>
              <w:t> </w:t>
            </w:r>
            <w:r>
              <w:rPr>
                <w:spacing w:val="-4"/>
                <w:sz w:val="16"/>
              </w:rPr>
              <w:t>2030</w:t>
            </w:r>
          </w:p>
        </w:tc>
        <w:tc>
          <w:tcPr>
            <w:tcW w:w="2814" w:type="dxa"/>
            <w:shd w:val="clear" w:color="auto" w:fill="CCEDFF"/>
          </w:tcPr>
          <w:p>
            <w:pPr>
              <w:pStyle w:val="TableParagraph"/>
              <w:rPr>
                <w:sz w:val="14"/>
              </w:rPr>
            </w:pPr>
          </w:p>
        </w:tc>
        <w:tc>
          <w:tcPr>
            <w:tcW w:w="590" w:type="dxa"/>
            <w:shd w:val="clear" w:color="auto" w:fill="CCEDFF"/>
          </w:tcPr>
          <w:p>
            <w:pPr>
              <w:pStyle w:val="TableParagraph"/>
              <w:spacing w:line="180" w:lineRule="exact" w:before="3"/>
              <w:ind w:right="110"/>
              <w:jc w:val="right"/>
              <w:rPr>
                <w:b/>
                <w:sz w:val="16"/>
              </w:rPr>
            </w:pPr>
            <w:r>
              <w:rPr>
                <w:b/>
                <w:spacing w:val="-5"/>
                <w:w w:val="105"/>
                <w:sz w:val="16"/>
              </w:rPr>
              <w:t>216</w:t>
            </w:r>
          </w:p>
        </w:tc>
        <w:tc>
          <w:tcPr>
            <w:tcW w:w="1128" w:type="dxa"/>
            <w:shd w:val="clear" w:color="auto" w:fill="CCEDFF"/>
          </w:tcPr>
          <w:p>
            <w:pPr>
              <w:pStyle w:val="TableParagraph"/>
              <w:rPr>
                <w:sz w:val="14"/>
              </w:rPr>
            </w:pPr>
          </w:p>
        </w:tc>
        <w:tc>
          <w:tcPr>
            <w:tcW w:w="590" w:type="dxa"/>
            <w:shd w:val="clear" w:color="auto" w:fill="CCEDFF"/>
          </w:tcPr>
          <w:p>
            <w:pPr>
              <w:pStyle w:val="TableParagraph"/>
              <w:spacing w:line="180" w:lineRule="exact" w:before="3"/>
              <w:ind w:left="119"/>
              <w:jc w:val="center"/>
              <w:rPr>
                <w:sz w:val="16"/>
              </w:rPr>
            </w:pPr>
            <w:r>
              <w:rPr>
                <w:spacing w:val="-5"/>
                <w:w w:val="105"/>
                <w:sz w:val="16"/>
              </w:rPr>
              <w:t>239</w:t>
            </w:r>
          </w:p>
        </w:tc>
      </w:tr>
      <w:tr>
        <w:trPr>
          <w:trHeight w:val="203" w:hRule="atLeast"/>
        </w:trPr>
        <w:tc>
          <w:tcPr>
            <w:tcW w:w="6390" w:type="dxa"/>
          </w:tcPr>
          <w:p>
            <w:pPr>
              <w:pStyle w:val="TableParagraph"/>
              <w:spacing w:line="180" w:lineRule="exact" w:before="3"/>
              <w:ind w:left="305"/>
              <w:rPr>
                <w:sz w:val="16"/>
              </w:rPr>
            </w:pPr>
            <w:r>
              <w:rPr>
                <w:w w:val="105"/>
                <w:sz w:val="16"/>
              </w:rPr>
              <w:t>Debentures,</w:t>
            </w:r>
            <w:r>
              <w:rPr>
                <w:spacing w:val="-11"/>
                <w:w w:val="105"/>
                <w:sz w:val="16"/>
              </w:rPr>
              <w:t> </w:t>
            </w:r>
            <w:r>
              <w:rPr>
                <w:w w:val="105"/>
                <w:sz w:val="16"/>
              </w:rPr>
              <w:t>callable,</w:t>
            </w:r>
            <w:r>
              <w:rPr>
                <w:spacing w:val="-10"/>
                <w:w w:val="105"/>
                <w:sz w:val="16"/>
              </w:rPr>
              <w:t> </w:t>
            </w:r>
            <w:r>
              <w:rPr>
                <w:w w:val="105"/>
                <w:sz w:val="16"/>
              </w:rPr>
              <w:t>7.25%,</w:t>
            </w:r>
            <w:r>
              <w:rPr>
                <w:spacing w:val="-11"/>
                <w:w w:val="105"/>
                <w:sz w:val="16"/>
              </w:rPr>
              <w:t> </w:t>
            </w:r>
            <w:r>
              <w:rPr>
                <w:w w:val="105"/>
                <w:sz w:val="16"/>
              </w:rPr>
              <w:t>due</w:t>
            </w:r>
            <w:r>
              <w:rPr>
                <w:spacing w:val="-10"/>
                <w:w w:val="105"/>
                <w:sz w:val="16"/>
              </w:rPr>
              <w:t> </w:t>
            </w:r>
            <w:r>
              <w:rPr>
                <w:spacing w:val="-4"/>
                <w:w w:val="105"/>
                <w:sz w:val="16"/>
              </w:rPr>
              <w:t>2036</w:t>
            </w:r>
          </w:p>
        </w:tc>
        <w:tc>
          <w:tcPr>
            <w:tcW w:w="2814" w:type="dxa"/>
          </w:tcPr>
          <w:p>
            <w:pPr>
              <w:pStyle w:val="TableParagraph"/>
              <w:rPr>
                <w:sz w:val="14"/>
              </w:rPr>
            </w:pPr>
          </w:p>
        </w:tc>
        <w:tc>
          <w:tcPr>
            <w:tcW w:w="590" w:type="dxa"/>
          </w:tcPr>
          <w:p>
            <w:pPr>
              <w:pStyle w:val="TableParagraph"/>
              <w:spacing w:line="180" w:lineRule="exact" w:before="3"/>
              <w:ind w:right="110"/>
              <w:jc w:val="right"/>
              <w:rPr>
                <w:b/>
                <w:sz w:val="16"/>
              </w:rPr>
            </w:pPr>
            <w:r>
              <w:rPr>
                <w:b/>
                <w:spacing w:val="-5"/>
                <w:w w:val="105"/>
                <w:sz w:val="16"/>
              </w:rPr>
              <w:t>249</w:t>
            </w:r>
          </w:p>
        </w:tc>
        <w:tc>
          <w:tcPr>
            <w:tcW w:w="1128" w:type="dxa"/>
          </w:tcPr>
          <w:p>
            <w:pPr>
              <w:pStyle w:val="TableParagraph"/>
              <w:rPr>
                <w:sz w:val="14"/>
              </w:rPr>
            </w:pPr>
          </w:p>
        </w:tc>
        <w:tc>
          <w:tcPr>
            <w:tcW w:w="590" w:type="dxa"/>
          </w:tcPr>
          <w:p>
            <w:pPr>
              <w:pStyle w:val="TableParagraph"/>
              <w:spacing w:line="180" w:lineRule="exact" w:before="3"/>
              <w:ind w:left="119"/>
              <w:jc w:val="center"/>
              <w:rPr>
                <w:sz w:val="16"/>
              </w:rPr>
            </w:pPr>
            <w:r>
              <w:rPr>
                <w:spacing w:val="-5"/>
                <w:w w:val="105"/>
                <w:sz w:val="16"/>
              </w:rPr>
              <w:t>249</w:t>
            </w:r>
          </w:p>
        </w:tc>
      </w:tr>
      <w:tr>
        <w:trPr>
          <w:trHeight w:val="203" w:hRule="atLeast"/>
        </w:trPr>
        <w:tc>
          <w:tcPr>
            <w:tcW w:w="6390" w:type="dxa"/>
            <w:shd w:val="clear" w:color="auto" w:fill="CCEDFF"/>
          </w:tcPr>
          <w:p>
            <w:pPr>
              <w:pStyle w:val="TableParagraph"/>
              <w:spacing w:line="180" w:lineRule="exact" w:before="3"/>
              <w:ind w:left="305"/>
              <w:rPr>
                <w:sz w:val="16"/>
              </w:rPr>
            </w:pPr>
            <w:r>
              <w:rPr>
                <w:w w:val="105"/>
                <w:sz w:val="16"/>
              </w:rPr>
              <w:t>Debentures,</w:t>
            </w:r>
            <w:r>
              <w:rPr>
                <w:spacing w:val="-11"/>
                <w:w w:val="105"/>
                <w:sz w:val="16"/>
              </w:rPr>
              <w:t> </w:t>
            </w:r>
            <w:r>
              <w:rPr>
                <w:w w:val="105"/>
                <w:sz w:val="16"/>
              </w:rPr>
              <w:t>4.70%,</w:t>
            </w:r>
            <w:r>
              <w:rPr>
                <w:spacing w:val="-10"/>
                <w:w w:val="105"/>
                <w:sz w:val="16"/>
              </w:rPr>
              <w:t> </w:t>
            </w:r>
            <w:r>
              <w:rPr>
                <w:w w:val="105"/>
                <w:sz w:val="16"/>
              </w:rPr>
              <w:t>due</w:t>
            </w:r>
            <w:r>
              <w:rPr>
                <w:spacing w:val="-11"/>
                <w:w w:val="105"/>
                <w:sz w:val="16"/>
              </w:rPr>
              <w:t> </w:t>
            </w:r>
            <w:r>
              <w:rPr>
                <w:spacing w:val="-4"/>
                <w:w w:val="105"/>
                <w:sz w:val="16"/>
              </w:rPr>
              <w:t>2037</w:t>
            </w:r>
          </w:p>
        </w:tc>
        <w:tc>
          <w:tcPr>
            <w:tcW w:w="2814" w:type="dxa"/>
            <w:shd w:val="clear" w:color="auto" w:fill="CCEDFF"/>
          </w:tcPr>
          <w:p>
            <w:pPr>
              <w:pStyle w:val="TableParagraph"/>
              <w:rPr>
                <w:sz w:val="14"/>
              </w:rPr>
            </w:pPr>
          </w:p>
        </w:tc>
        <w:tc>
          <w:tcPr>
            <w:tcW w:w="590" w:type="dxa"/>
            <w:shd w:val="clear" w:color="auto" w:fill="CCEDFF"/>
          </w:tcPr>
          <w:p>
            <w:pPr>
              <w:pStyle w:val="TableParagraph"/>
              <w:spacing w:line="180" w:lineRule="exact" w:before="3"/>
              <w:ind w:right="110"/>
              <w:jc w:val="right"/>
              <w:rPr>
                <w:b/>
                <w:sz w:val="16"/>
              </w:rPr>
            </w:pPr>
            <w:r>
              <w:rPr>
                <w:b/>
                <w:spacing w:val="-5"/>
                <w:w w:val="105"/>
                <w:sz w:val="16"/>
              </w:rPr>
              <w:t>296</w:t>
            </w:r>
          </w:p>
        </w:tc>
        <w:tc>
          <w:tcPr>
            <w:tcW w:w="1128" w:type="dxa"/>
            <w:shd w:val="clear" w:color="auto" w:fill="CCEDFF"/>
          </w:tcPr>
          <w:p>
            <w:pPr>
              <w:pStyle w:val="TableParagraph"/>
              <w:rPr>
                <w:sz w:val="14"/>
              </w:rPr>
            </w:pPr>
          </w:p>
        </w:tc>
        <w:tc>
          <w:tcPr>
            <w:tcW w:w="590" w:type="dxa"/>
            <w:shd w:val="clear" w:color="auto" w:fill="CCEDFF"/>
          </w:tcPr>
          <w:p>
            <w:pPr>
              <w:pStyle w:val="TableParagraph"/>
              <w:spacing w:line="180" w:lineRule="exact" w:before="3"/>
              <w:ind w:left="119"/>
              <w:jc w:val="center"/>
              <w:rPr>
                <w:sz w:val="16"/>
              </w:rPr>
            </w:pPr>
            <w:r>
              <w:rPr>
                <w:spacing w:val="-5"/>
                <w:w w:val="105"/>
                <w:sz w:val="16"/>
              </w:rPr>
              <w:t>296</w:t>
            </w:r>
          </w:p>
        </w:tc>
      </w:tr>
      <w:tr>
        <w:trPr>
          <w:trHeight w:val="203" w:hRule="atLeast"/>
        </w:trPr>
        <w:tc>
          <w:tcPr>
            <w:tcW w:w="6390" w:type="dxa"/>
          </w:tcPr>
          <w:p>
            <w:pPr>
              <w:pStyle w:val="TableParagraph"/>
              <w:spacing w:line="180" w:lineRule="exact" w:before="3"/>
              <w:ind w:left="305"/>
              <w:rPr>
                <w:sz w:val="16"/>
              </w:rPr>
            </w:pPr>
            <w:r>
              <w:rPr>
                <w:sz w:val="16"/>
              </w:rPr>
              <w:t>Yen-denominated</w:t>
            </w:r>
            <w:r>
              <w:rPr>
                <w:spacing w:val="20"/>
                <w:sz w:val="16"/>
              </w:rPr>
              <w:t> </w:t>
            </w:r>
            <w:r>
              <w:rPr>
                <w:sz w:val="16"/>
              </w:rPr>
              <w:t>debentures,</w:t>
            </w:r>
            <w:r>
              <w:rPr>
                <w:spacing w:val="24"/>
                <w:sz w:val="16"/>
              </w:rPr>
              <w:t> </w:t>
            </w:r>
            <w:r>
              <w:rPr>
                <w:sz w:val="16"/>
              </w:rPr>
              <w:t>1.583%,</w:t>
            </w:r>
            <w:r>
              <w:rPr>
                <w:spacing w:val="20"/>
                <w:sz w:val="16"/>
              </w:rPr>
              <w:t> </w:t>
            </w:r>
            <w:r>
              <w:rPr>
                <w:sz w:val="16"/>
              </w:rPr>
              <w:t>due</w:t>
            </w:r>
            <w:r>
              <w:rPr>
                <w:spacing w:val="21"/>
                <w:sz w:val="16"/>
              </w:rPr>
              <w:t> </w:t>
            </w:r>
            <w:r>
              <w:rPr>
                <w:spacing w:val="-4"/>
                <w:sz w:val="16"/>
              </w:rPr>
              <w:t>2037</w:t>
            </w:r>
          </w:p>
        </w:tc>
        <w:tc>
          <w:tcPr>
            <w:tcW w:w="2814" w:type="dxa"/>
          </w:tcPr>
          <w:p>
            <w:pPr>
              <w:pStyle w:val="TableParagraph"/>
              <w:rPr>
                <w:sz w:val="14"/>
              </w:rPr>
            </w:pPr>
          </w:p>
        </w:tc>
        <w:tc>
          <w:tcPr>
            <w:tcW w:w="590" w:type="dxa"/>
          </w:tcPr>
          <w:p>
            <w:pPr>
              <w:pStyle w:val="TableParagraph"/>
              <w:spacing w:line="180" w:lineRule="exact" w:before="3"/>
              <w:ind w:right="110"/>
              <w:jc w:val="right"/>
              <w:rPr>
                <w:b/>
                <w:sz w:val="16"/>
              </w:rPr>
            </w:pPr>
            <w:r>
              <w:rPr>
                <w:b/>
                <w:spacing w:val="-5"/>
                <w:w w:val="105"/>
                <w:sz w:val="16"/>
              </w:rPr>
              <w:t>86</w:t>
            </w:r>
          </w:p>
        </w:tc>
        <w:tc>
          <w:tcPr>
            <w:tcW w:w="1128" w:type="dxa"/>
          </w:tcPr>
          <w:p>
            <w:pPr>
              <w:pStyle w:val="TableParagraph"/>
              <w:rPr>
                <w:sz w:val="14"/>
              </w:rPr>
            </w:pPr>
          </w:p>
        </w:tc>
        <w:tc>
          <w:tcPr>
            <w:tcW w:w="590" w:type="dxa"/>
          </w:tcPr>
          <w:p>
            <w:pPr>
              <w:pStyle w:val="TableParagraph"/>
              <w:spacing w:line="180" w:lineRule="exact" w:before="3"/>
              <w:ind w:left="204" w:right="2"/>
              <w:jc w:val="center"/>
              <w:rPr>
                <w:sz w:val="16"/>
              </w:rPr>
            </w:pPr>
            <w:r>
              <w:rPr>
                <w:spacing w:val="-5"/>
                <w:w w:val="105"/>
                <w:sz w:val="16"/>
              </w:rPr>
              <w:t>96</w:t>
            </w:r>
          </w:p>
        </w:tc>
      </w:tr>
      <w:tr>
        <w:trPr>
          <w:trHeight w:val="203" w:hRule="atLeast"/>
        </w:trPr>
        <w:tc>
          <w:tcPr>
            <w:tcW w:w="6390" w:type="dxa"/>
            <w:shd w:val="clear" w:color="auto" w:fill="CCEDFF"/>
          </w:tcPr>
          <w:p>
            <w:pPr>
              <w:pStyle w:val="TableParagraph"/>
              <w:spacing w:line="180" w:lineRule="exact" w:before="3"/>
              <w:ind w:left="305"/>
              <w:rPr>
                <w:sz w:val="16"/>
              </w:rPr>
            </w:pPr>
            <w:r>
              <w:rPr>
                <w:w w:val="105"/>
                <w:sz w:val="16"/>
              </w:rPr>
              <w:t>Debentures,</w:t>
            </w:r>
            <w:r>
              <w:rPr>
                <w:spacing w:val="-11"/>
                <w:w w:val="105"/>
                <w:sz w:val="16"/>
              </w:rPr>
              <w:t> </w:t>
            </w:r>
            <w:r>
              <w:rPr>
                <w:w w:val="105"/>
                <w:sz w:val="16"/>
              </w:rPr>
              <w:t>5.75%,</w:t>
            </w:r>
            <w:r>
              <w:rPr>
                <w:spacing w:val="-10"/>
                <w:w w:val="105"/>
                <w:sz w:val="16"/>
              </w:rPr>
              <w:t> </w:t>
            </w:r>
            <w:r>
              <w:rPr>
                <w:w w:val="105"/>
                <w:sz w:val="16"/>
              </w:rPr>
              <w:t>due</w:t>
            </w:r>
            <w:r>
              <w:rPr>
                <w:spacing w:val="-11"/>
                <w:w w:val="105"/>
                <w:sz w:val="16"/>
              </w:rPr>
              <w:t> </w:t>
            </w:r>
            <w:r>
              <w:rPr>
                <w:spacing w:val="-4"/>
                <w:w w:val="105"/>
                <w:sz w:val="16"/>
              </w:rPr>
              <w:t>2040</w:t>
            </w:r>
          </w:p>
        </w:tc>
        <w:tc>
          <w:tcPr>
            <w:tcW w:w="2814" w:type="dxa"/>
            <w:shd w:val="clear" w:color="auto" w:fill="CCEDFF"/>
          </w:tcPr>
          <w:p>
            <w:pPr>
              <w:pStyle w:val="TableParagraph"/>
              <w:rPr>
                <w:sz w:val="14"/>
              </w:rPr>
            </w:pPr>
          </w:p>
        </w:tc>
        <w:tc>
          <w:tcPr>
            <w:tcW w:w="590" w:type="dxa"/>
            <w:shd w:val="clear" w:color="auto" w:fill="CCEDFF"/>
          </w:tcPr>
          <w:p>
            <w:pPr>
              <w:pStyle w:val="TableParagraph"/>
              <w:spacing w:line="180" w:lineRule="exact" w:before="3"/>
              <w:ind w:right="110"/>
              <w:jc w:val="right"/>
              <w:rPr>
                <w:b/>
                <w:sz w:val="16"/>
              </w:rPr>
            </w:pPr>
            <w:r>
              <w:rPr>
                <w:b/>
                <w:spacing w:val="-5"/>
                <w:w w:val="105"/>
                <w:sz w:val="16"/>
              </w:rPr>
              <w:t>396</w:t>
            </w:r>
          </w:p>
        </w:tc>
        <w:tc>
          <w:tcPr>
            <w:tcW w:w="1128" w:type="dxa"/>
            <w:shd w:val="clear" w:color="auto" w:fill="CCEDFF"/>
          </w:tcPr>
          <w:p>
            <w:pPr>
              <w:pStyle w:val="TableParagraph"/>
              <w:rPr>
                <w:sz w:val="14"/>
              </w:rPr>
            </w:pPr>
          </w:p>
        </w:tc>
        <w:tc>
          <w:tcPr>
            <w:tcW w:w="590" w:type="dxa"/>
            <w:shd w:val="clear" w:color="auto" w:fill="CCEDFF"/>
          </w:tcPr>
          <w:p>
            <w:pPr>
              <w:pStyle w:val="TableParagraph"/>
              <w:spacing w:line="180" w:lineRule="exact" w:before="3"/>
              <w:ind w:left="119"/>
              <w:jc w:val="center"/>
              <w:rPr>
                <w:sz w:val="16"/>
              </w:rPr>
            </w:pPr>
            <w:r>
              <w:rPr>
                <w:spacing w:val="-5"/>
                <w:w w:val="105"/>
                <w:sz w:val="16"/>
              </w:rPr>
              <w:t>396</w:t>
            </w:r>
          </w:p>
        </w:tc>
      </w:tr>
      <w:tr>
        <w:trPr>
          <w:trHeight w:val="203" w:hRule="atLeast"/>
        </w:trPr>
        <w:tc>
          <w:tcPr>
            <w:tcW w:w="6390" w:type="dxa"/>
          </w:tcPr>
          <w:p>
            <w:pPr>
              <w:pStyle w:val="TableParagraph"/>
              <w:spacing w:line="180" w:lineRule="exact" w:before="3"/>
              <w:ind w:left="305"/>
              <w:rPr>
                <w:sz w:val="16"/>
              </w:rPr>
            </w:pPr>
            <w:r>
              <w:rPr>
                <w:w w:val="105"/>
                <w:sz w:val="16"/>
              </w:rPr>
              <w:t>Debentures,</w:t>
            </w:r>
            <w:r>
              <w:rPr>
                <w:spacing w:val="-11"/>
                <w:w w:val="105"/>
                <w:sz w:val="16"/>
              </w:rPr>
              <w:t> </w:t>
            </w:r>
            <w:r>
              <w:rPr>
                <w:w w:val="105"/>
                <w:sz w:val="16"/>
              </w:rPr>
              <w:t>4.75%,</w:t>
            </w:r>
            <w:r>
              <w:rPr>
                <w:spacing w:val="-10"/>
                <w:w w:val="105"/>
                <w:sz w:val="16"/>
              </w:rPr>
              <w:t> </w:t>
            </w:r>
            <w:r>
              <w:rPr>
                <w:w w:val="105"/>
                <w:sz w:val="16"/>
              </w:rPr>
              <w:t>due</w:t>
            </w:r>
            <w:r>
              <w:rPr>
                <w:spacing w:val="-11"/>
                <w:w w:val="105"/>
                <w:sz w:val="16"/>
              </w:rPr>
              <w:t> </w:t>
            </w:r>
            <w:r>
              <w:rPr>
                <w:spacing w:val="-4"/>
                <w:w w:val="105"/>
                <w:sz w:val="16"/>
              </w:rPr>
              <w:t>2042</w:t>
            </w:r>
          </w:p>
        </w:tc>
        <w:tc>
          <w:tcPr>
            <w:tcW w:w="2814" w:type="dxa"/>
          </w:tcPr>
          <w:p>
            <w:pPr>
              <w:pStyle w:val="TableParagraph"/>
              <w:rPr>
                <w:sz w:val="14"/>
              </w:rPr>
            </w:pPr>
          </w:p>
        </w:tc>
        <w:tc>
          <w:tcPr>
            <w:tcW w:w="590" w:type="dxa"/>
          </w:tcPr>
          <w:p>
            <w:pPr>
              <w:pStyle w:val="TableParagraph"/>
              <w:spacing w:line="180" w:lineRule="exact" w:before="3"/>
              <w:ind w:right="110"/>
              <w:jc w:val="right"/>
              <w:rPr>
                <w:b/>
                <w:sz w:val="16"/>
              </w:rPr>
            </w:pPr>
            <w:r>
              <w:rPr>
                <w:b/>
                <w:spacing w:val="-5"/>
                <w:w w:val="105"/>
                <w:sz w:val="16"/>
              </w:rPr>
              <w:t>496</w:t>
            </w:r>
          </w:p>
        </w:tc>
        <w:tc>
          <w:tcPr>
            <w:tcW w:w="1128" w:type="dxa"/>
          </w:tcPr>
          <w:p>
            <w:pPr>
              <w:pStyle w:val="TableParagraph"/>
              <w:rPr>
                <w:sz w:val="14"/>
              </w:rPr>
            </w:pPr>
          </w:p>
        </w:tc>
        <w:tc>
          <w:tcPr>
            <w:tcW w:w="590" w:type="dxa"/>
          </w:tcPr>
          <w:p>
            <w:pPr>
              <w:pStyle w:val="TableParagraph"/>
              <w:spacing w:line="180" w:lineRule="exact" w:before="3"/>
              <w:ind w:left="119"/>
              <w:jc w:val="center"/>
              <w:rPr>
                <w:sz w:val="16"/>
              </w:rPr>
            </w:pPr>
            <w:r>
              <w:rPr>
                <w:spacing w:val="-5"/>
                <w:w w:val="105"/>
                <w:sz w:val="16"/>
              </w:rPr>
              <w:t>496</w:t>
            </w:r>
          </w:p>
        </w:tc>
      </w:tr>
      <w:tr>
        <w:trPr>
          <w:trHeight w:val="203" w:hRule="atLeast"/>
        </w:trPr>
        <w:tc>
          <w:tcPr>
            <w:tcW w:w="6390" w:type="dxa"/>
            <w:shd w:val="clear" w:color="auto" w:fill="CCEDFF"/>
          </w:tcPr>
          <w:p>
            <w:pPr>
              <w:pStyle w:val="TableParagraph"/>
              <w:spacing w:line="180" w:lineRule="exact" w:before="3"/>
              <w:ind w:left="305"/>
              <w:rPr>
                <w:sz w:val="16"/>
              </w:rPr>
            </w:pPr>
            <w:r>
              <w:rPr>
                <w:w w:val="105"/>
                <w:sz w:val="16"/>
              </w:rPr>
              <w:t>Debentures,</w:t>
            </w:r>
            <w:r>
              <w:rPr>
                <w:spacing w:val="-11"/>
                <w:w w:val="105"/>
                <w:sz w:val="16"/>
              </w:rPr>
              <w:t> </w:t>
            </w:r>
            <w:r>
              <w:rPr>
                <w:w w:val="105"/>
                <w:sz w:val="16"/>
              </w:rPr>
              <w:t>5.35%,</w:t>
            </w:r>
            <w:r>
              <w:rPr>
                <w:spacing w:val="-10"/>
                <w:w w:val="105"/>
                <w:sz w:val="16"/>
              </w:rPr>
              <w:t> </w:t>
            </w:r>
            <w:r>
              <w:rPr>
                <w:w w:val="105"/>
                <w:sz w:val="16"/>
              </w:rPr>
              <w:t>due</w:t>
            </w:r>
            <w:r>
              <w:rPr>
                <w:spacing w:val="-11"/>
                <w:w w:val="105"/>
                <w:sz w:val="16"/>
              </w:rPr>
              <w:t> </w:t>
            </w:r>
            <w:r>
              <w:rPr>
                <w:spacing w:val="-4"/>
                <w:w w:val="105"/>
                <w:sz w:val="16"/>
              </w:rPr>
              <w:t>2048</w:t>
            </w:r>
          </w:p>
        </w:tc>
        <w:tc>
          <w:tcPr>
            <w:tcW w:w="2814" w:type="dxa"/>
            <w:shd w:val="clear" w:color="auto" w:fill="CCEDFF"/>
          </w:tcPr>
          <w:p>
            <w:pPr>
              <w:pStyle w:val="TableParagraph"/>
              <w:rPr>
                <w:sz w:val="14"/>
              </w:rPr>
            </w:pPr>
          </w:p>
        </w:tc>
        <w:tc>
          <w:tcPr>
            <w:tcW w:w="590" w:type="dxa"/>
            <w:shd w:val="clear" w:color="auto" w:fill="CCEDFF"/>
          </w:tcPr>
          <w:p>
            <w:pPr>
              <w:pStyle w:val="TableParagraph"/>
              <w:spacing w:line="180" w:lineRule="exact" w:before="3"/>
              <w:ind w:right="110"/>
              <w:jc w:val="right"/>
              <w:rPr>
                <w:b/>
                <w:sz w:val="16"/>
              </w:rPr>
            </w:pPr>
            <w:r>
              <w:rPr>
                <w:b/>
                <w:spacing w:val="-5"/>
                <w:w w:val="105"/>
                <w:sz w:val="16"/>
              </w:rPr>
              <w:t>544</w:t>
            </w:r>
          </w:p>
        </w:tc>
        <w:tc>
          <w:tcPr>
            <w:tcW w:w="1128" w:type="dxa"/>
            <w:shd w:val="clear" w:color="auto" w:fill="CCEDFF"/>
          </w:tcPr>
          <w:p>
            <w:pPr>
              <w:pStyle w:val="TableParagraph"/>
              <w:rPr>
                <w:sz w:val="14"/>
              </w:rPr>
            </w:pPr>
          </w:p>
        </w:tc>
        <w:tc>
          <w:tcPr>
            <w:tcW w:w="590" w:type="dxa"/>
            <w:shd w:val="clear" w:color="auto" w:fill="CCEDFF"/>
          </w:tcPr>
          <w:p>
            <w:pPr>
              <w:pStyle w:val="TableParagraph"/>
              <w:spacing w:line="180" w:lineRule="exact" w:before="3"/>
              <w:ind w:left="119"/>
              <w:jc w:val="center"/>
              <w:rPr>
                <w:sz w:val="16"/>
              </w:rPr>
            </w:pPr>
            <w:r>
              <w:rPr>
                <w:spacing w:val="-5"/>
                <w:w w:val="105"/>
                <w:sz w:val="16"/>
              </w:rPr>
              <w:t>543</w:t>
            </w:r>
          </w:p>
        </w:tc>
      </w:tr>
      <w:tr>
        <w:trPr>
          <w:trHeight w:val="203" w:hRule="atLeast"/>
        </w:trPr>
        <w:tc>
          <w:tcPr>
            <w:tcW w:w="6390" w:type="dxa"/>
          </w:tcPr>
          <w:p>
            <w:pPr>
              <w:pStyle w:val="TableParagraph"/>
              <w:spacing w:line="180" w:lineRule="exact" w:before="3"/>
              <w:ind w:left="305"/>
              <w:rPr>
                <w:sz w:val="16"/>
              </w:rPr>
            </w:pPr>
            <w:r>
              <w:rPr>
                <w:sz w:val="16"/>
              </w:rPr>
              <w:t>Debentures,</w:t>
            </w:r>
            <w:r>
              <w:rPr>
                <w:spacing w:val="17"/>
                <w:sz w:val="16"/>
              </w:rPr>
              <w:t> </w:t>
            </w:r>
            <w:r>
              <w:rPr>
                <w:sz w:val="16"/>
              </w:rPr>
              <w:t>4.375%,</w:t>
            </w:r>
            <w:r>
              <w:rPr>
                <w:spacing w:val="16"/>
                <w:sz w:val="16"/>
              </w:rPr>
              <w:t> </w:t>
            </w:r>
            <w:r>
              <w:rPr>
                <w:sz w:val="16"/>
              </w:rPr>
              <w:t>due</w:t>
            </w:r>
            <w:r>
              <w:rPr>
                <w:spacing w:val="16"/>
                <w:sz w:val="16"/>
              </w:rPr>
              <w:t> </w:t>
            </w:r>
            <w:r>
              <w:rPr>
                <w:spacing w:val="-4"/>
                <w:sz w:val="16"/>
              </w:rPr>
              <w:t>2057</w:t>
            </w:r>
          </w:p>
        </w:tc>
        <w:tc>
          <w:tcPr>
            <w:tcW w:w="2814" w:type="dxa"/>
          </w:tcPr>
          <w:p>
            <w:pPr>
              <w:pStyle w:val="TableParagraph"/>
              <w:rPr>
                <w:sz w:val="14"/>
              </w:rPr>
            </w:pPr>
          </w:p>
        </w:tc>
        <w:tc>
          <w:tcPr>
            <w:tcW w:w="590" w:type="dxa"/>
          </w:tcPr>
          <w:p>
            <w:pPr>
              <w:pStyle w:val="TableParagraph"/>
              <w:spacing w:line="180" w:lineRule="exact" w:before="3"/>
              <w:ind w:right="110"/>
              <w:jc w:val="right"/>
              <w:rPr>
                <w:b/>
                <w:sz w:val="16"/>
              </w:rPr>
            </w:pPr>
            <w:r>
              <w:rPr>
                <w:b/>
                <w:spacing w:val="-5"/>
                <w:w w:val="105"/>
                <w:sz w:val="16"/>
              </w:rPr>
              <w:t>743</w:t>
            </w:r>
          </w:p>
        </w:tc>
        <w:tc>
          <w:tcPr>
            <w:tcW w:w="1128" w:type="dxa"/>
          </w:tcPr>
          <w:p>
            <w:pPr>
              <w:pStyle w:val="TableParagraph"/>
              <w:rPr>
                <w:sz w:val="14"/>
              </w:rPr>
            </w:pPr>
          </w:p>
        </w:tc>
        <w:tc>
          <w:tcPr>
            <w:tcW w:w="590" w:type="dxa"/>
          </w:tcPr>
          <w:p>
            <w:pPr>
              <w:pStyle w:val="TableParagraph"/>
              <w:spacing w:line="180" w:lineRule="exact" w:before="3"/>
              <w:ind w:left="119"/>
              <w:jc w:val="center"/>
              <w:rPr>
                <w:sz w:val="16"/>
              </w:rPr>
            </w:pPr>
            <w:r>
              <w:rPr>
                <w:spacing w:val="-5"/>
                <w:w w:val="105"/>
                <w:sz w:val="16"/>
              </w:rPr>
              <w:t>743</w:t>
            </w:r>
          </w:p>
        </w:tc>
      </w:tr>
      <w:tr>
        <w:trPr>
          <w:trHeight w:val="203" w:hRule="atLeast"/>
        </w:trPr>
        <w:tc>
          <w:tcPr>
            <w:tcW w:w="6390" w:type="dxa"/>
            <w:shd w:val="clear" w:color="auto" w:fill="CCEDFF"/>
          </w:tcPr>
          <w:p>
            <w:pPr>
              <w:pStyle w:val="TableParagraph"/>
              <w:spacing w:line="180" w:lineRule="exact" w:before="3"/>
              <w:ind w:left="305"/>
              <w:rPr>
                <w:sz w:val="16"/>
              </w:rPr>
            </w:pPr>
            <w:r>
              <w:rPr>
                <w:w w:val="105"/>
                <w:sz w:val="16"/>
              </w:rPr>
              <w:t>Debentures,</w:t>
            </w:r>
            <w:r>
              <w:rPr>
                <w:spacing w:val="-11"/>
                <w:w w:val="105"/>
                <w:sz w:val="16"/>
              </w:rPr>
              <w:t> </w:t>
            </w:r>
            <w:r>
              <w:rPr>
                <w:w w:val="105"/>
                <w:sz w:val="16"/>
              </w:rPr>
              <w:t>5.85%,</w:t>
            </w:r>
            <w:r>
              <w:rPr>
                <w:spacing w:val="-10"/>
                <w:w w:val="105"/>
                <w:sz w:val="16"/>
              </w:rPr>
              <w:t> </w:t>
            </w:r>
            <w:r>
              <w:rPr>
                <w:w w:val="105"/>
                <w:sz w:val="16"/>
              </w:rPr>
              <w:t>due</w:t>
            </w:r>
            <w:r>
              <w:rPr>
                <w:spacing w:val="-11"/>
                <w:w w:val="105"/>
                <w:sz w:val="16"/>
              </w:rPr>
              <w:t> </w:t>
            </w:r>
            <w:r>
              <w:rPr>
                <w:spacing w:val="-4"/>
                <w:w w:val="105"/>
                <w:sz w:val="16"/>
              </w:rPr>
              <w:t>2068</w:t>
            </w:r>
          </w:p>
        </w:tc>
        <w:tc>
          <w:tcPr>
            <w:tcW w:w="2814" w:type="dxa"/>
            <w:shd w:val="clear" w:color="auto" w:fill="CCEDFF"/>
          </w:tcPr>
          <w:p>
            <w:pPr>
              <w:pStyle w:val="TableParagraph"/>
              <w:rPr>
                <w:sz w:val="14"/>
              </w:rPr>
            </w:pPr>
          </w:p>
        </w:tc>
        <w:tc>
          <w:tcPr>
            <w:tcW w:w="590" w:type="dxa"/>
            <w:shd w:val="clear" w:color="auto" w:fill="CCEDFF"/>
          </w:tcPr>
          <w:p>
            <w:pPr>
              <w:pStyle w:val="TableParagraph"/>
              <w:spacing w:line="180" w:lineRule="exact" w:before="3"/>
              <w:ind w:right="110"/>
              <w:jc w:val="right"/>
              <w:rPr>
                <w:b/>
                <w:sz w:val="16"/>
              </w:rPr>
            </w:pPr>
            <w:r>
              <w:rPr>
                <w:b/>
                <w:spacing w:val="-5"/>
                <w:w w:val="105"/>
                <w:sz w:val="16"/>
              </w:rPr>
              <w:t>297</w:t>
            </w:r>
          </w:p>
        </w:tc>
        <w:tc>
          <w:tcPr>
            <w:tcW w:w="1128" w:type="dxa"/>
            <w:shd w:val="clear" w:color="auto" w:fill="CCEDFF"/>
          </w:tcPr>
          <w:p>
            <w:pPr>
              <w:pStyle w:val="TableParagraph"/>
              <w:rPr>
                <w:sz w:val="14"/>
              </w:rPr>
            </w:pPr>
          </w:p>
        </w:tc>
        <w:tc>
          <w:tcPr>
            <w:tcW w:w="590" w:type="dxa"/>
            <w:shd w:val="clear" w:color="auto" w:fill="CCEDFF"/>
          </w:tcPr>
          <w:p>
            <w:pPr>
              <w:pStyle w:val="TableParagraph"/>
              <w:spacing w:line="180" w:lineRule="exact" w:before="3"/>
              <w:ind w:left="119"/>
              <w:jc w:val="center"/>
              <w:rPr>
                <w:sz w:val="16"/>
              </w:rPr>
            </w:pPr>
            <w:r>
              <w:rPr>
                <w:spacing w:val="-5"/>
                <w:w w:val="105"/>
                <w:sz w:val="16"/>
              </w:rPr>
              <w:t>296</w:t>
            </w:r>
          </w:p>
        </w:tc>
      </w:tr>
      <w:tr>
        <w:trPr>
          <w:trHeight w:val="203" w:hRule="atLeast"/>
        </w:trPr>
        <w:tc>
          <w:tcPr>
            <w:tcW w:w="6390" w:type="dxa"/>
          </w:tcPr>
          <w:p>
            <w:pPr>
              <w:pStyle w:val="TableParagraph"/>
              <w:spacing w:line="180" w:lineRule="exact" w:before="3"/>
              <w:ind w:left="305"/>
              <w:rPr>
                <w:sz w:val="16"/>
              </w:rPr>
            </w:pPr>
            <w:r>
              <w:rPr>
                <w:w w:val="105"/>
                <w:sz w:val="16"/>
              </w:rPr>
              <w:t>Financing</w:t>
            </w:r>
            <w:r>
              <w:rPr>
                <w:spacing w:val="-10"/>
                <w:w w:val="105"/>
                <w:sz w:val="16"/>
              </w:rPr>
              <w:t> </w:t>
            </w:r>
            <w:r>
              <w:rPr>
                <w:w w:val="105"/>
                <w:sz w:val="16"/>
              </w:rPr>
              <w:t>Leases,</w:t>
            </w:r>
            <w:r>
              <w:rPr>
                <w:spacing w:val="-10"/>
                <w:w w:val="105"/>
                <w:sz w:val="16"/>
              </w:rPr>
              <w:t> </w:t>
            </w:r>
            <w:r>
              <w:rPr>
                <w:w w:val="105"/>
                <w:sz w:val="16"/>
              </w:rPr>
              <w:t>average</w:t>
            </w:r>
            <w:r>
              <w:rPr>
                <w:spacing w:val="-10"/>
                <w:w w:val="105"/>
                <w:sz w:val="16"/>
              </w:rPr>
              <w:t> </w:t>
            </w:r>
            <w:r>
              <w:rPr>
                <w:w w:val="105"/>
                <w:sz w:val="16"/>
              </w:rPr>
              <w:t>discount</w:t>
            </w:r>
            <w:r>
              <w:rPr>
                <w:spacing w:val="-9"/>
                <w:w w:val="105"/>
                <w:sz w:val="16"/>
              </w:rPr>
              <w:t> </w:t>
            </w:r>
            <w:r>
              <w:rPr>
                <w:w w:val="105"/>
                <w:sz w:val="16"/>
              </w:rPr>
              <w:t>rate</w:t>
            </w:r>
            <w:r>
              <w:rPr>
                <w:spacing w:val="-10"/>
                <w:w w:val="105"/>
                <w:sz w:val="16"/>
              </w:rPr>
              <w:t> </w:t>
            </w:r>
            <w:r>
              <w:rPr>
                <w:w w:val="105"/>
                <w:sz w:val="16"/>
              </w:rPr>
              <w:t>4.4%,</w:t>
            </w:r>
            <w:r>
              <w:rPr>
                <w:spacing w:val="-10"/>
                <w:w w:val="105"/>
                <w:sz w:val="16"/>
              </w:rPr>
              <w:t> </w:t>
            </w:r>
            <w:r>
              <w:rPr>
                <w:w w:val="105"/>
                <w:sz w:val="16"/>
              </w:rPr>
              <w:t>due</w:t>
            </w:r>
            <w:r>
              <w:rPr>
                <w:spacing w:val="-10"/>
                <w:w w:val="105"/>
                <w:sz w:val="16"/>
              </w:rPr>
              <w:t> </w:t>
            </w:r>
            <w:r>
              <w:rPr>
                <w:w w:val="105"/>
                <w:sz w:val="16"/>
              </w:rPr>
              <w:t>through</w:t>
            </w:r>
            <w:r>
              <w:rPr>
                <w:spacing w:val="-9"/>
                <w:w w:val="105"/>
                <w:sz w:val="16"/>
              </w:rPr>
              <w:t> </w:t>
            </w:r>
            <w:r>
              <w:rPr>
                <w:spacing w:val="-4"/>
                <w:w w:val="105"/>
                <w:sz w:val="16"/>
              </w:rPr>
              <w:t>2044</w:t>
            </w:r>
          </w:p>
        </w:tc>
        <w:tc>
          <w:tcPr>
            <w:tcW w:w="2814" w:type="dxa"/>
          </w:tcPr>
          <w:p>
            <w:pPr>
              <w:pStyle w:val="TableParagraph"/>
              <w:rPr>
                <w:sz w:val="14"/>
              </w:rPr>
            </w:pPr>
          </w:p>
        </w:tc>
        <w:tc>
          <w:tcPr>
            <w:tcW w:w="590" w:type="dxa"/>
          </w:tcPr>
          <w:p>
            <w:pPr>
              <w:pStyle w:val="TableParagraph"/>
              <w:spacing w:line="180" w:lineRule="exact" w:before="3"/>
              <w:ind w:right="110"/>
              <w:jc w:val="right"/>
              <w:rPr>
                <w:b/>
                <w:sz w:val="16"/>
              </w:rPr>
            </w:pPr>
            <w:r>
              <w:rPr>
                <w:b/>
                <w:spacing w:val="-5"/>
                <w:w w:val="105"/>
                <w:sz w:val="16"/>
              </w:rPr>
              <w:t>183</w:t>
            </w:r>
          </w:p>
        </w:tc>
        <w:tc>
          <w:tcPr>
            <w:tcW w:w="1128" w:type="dxa"/>
          </w:tcPr>
          <w:p>
            <w:pPr>
              <w:pStyle w:val="TableParagraph"/>
              <w:rPr>
                <w:sz w:val="14"/>
              </w:rPr>
            </w:pPr>
          </w:p>
        </w:tc>
        <w:tc>
          <w:tcPr>
            <w:tcW w:w="590" w:type="dxa"/>
          </w:tcPr>
          <w:p>
            <w:pPr>
              <w:pStyle w:val="TableParagraph"/>
              <w:spacing w:line="180" w:lineRule="exact" w:before="3"/>
              <w:ind w:left="119"/>
              <w:jc w:val="center"/>
              <w:rPr>
                <w:sz w:val="16"/>
              </w:rPr>
            </w:pPr>
            <w:r>
              <w:rPr>
                <w:spacing w:val="-5"/>
                <w:w w:val="105"/>
                <w:sz w:val="16"/>
              </w:rPr>
              <w:t>173</w:t>
            </w:r>
          </w:p>
        </w:tc>
      </w:tr>
      <w:tr>
        <w:trPr>
          <w:trHeight w:val="202" w:hRule="atLeast"/>
        </w:trPr>
        <w:tc>
          <w:tcPr>
            <w:tcW w:w="6390" w:type="dxa"/>
            <w:tcBorders>
              <w:bottom w:val="single" w:sz="6" w:space="0" w:color="000000"/>
            </w:tcBorders>
            <w:shd w:val="clear" w:color="auto" w:fill="CCEDFF"/>
          </w:tcPr>
          <w:p>
            <w:pPr>
              <w:pStyle w:val="TableParagraph"/>
              <w:spacing w:line="179" w:lineRule="exact" w:before="3"/>
              <w:ind w:left="305"/>
              <w:rPr>
                <w:sz w:val="16"/>
              </w:rPr>
            </w:pPr>
            <w:r>
              <w:rPr>
                <w:w w:val="105"/>
                <w:sz w:val="16"/>
              </w:rPr>
              <w:t>Other,</w:t>
            </w:r>
            <w:r>
              <w:rPr>
                <w:spacing w:val="-9"/>
                <w:w w:val="105"/>
                <w:sz w:val="16"/>
              </w:rPr>
              <w:t> </w:t>
            </w:r>
            <w:r>
              <w:rPr>
                <w:w w:val="105"/>
                <w:sz w:val="16"/>
              </w:rPr>
              <w:t>average</w:t>
            </w:r>
            <w:r>
              <w:rPr>
                <w:spacing w:val="-9"/>
                <w:w w:val="105"/>
                <w:sz w:val="16"/>
              </w:rPr>
              <w:t> </w:t>
            </w:r>
            <w:r>
              <w:rPr>
                <w:w w:val="105"/>
                <w:sz w:val="16"/>
              </w:rPr>
              <w:t>rate</w:t>
            </w:r>
            <w:r>
              <w:rPr>
                <w:spacing w:val="-8"/>
                <w:w w:val="105"/>
                <w:sz w:val="16"/>
              </w:rPr>
              <w:t> </w:t>
            </w:r>
            <w:r>
              <w:rPr>
                <w:w w:val="105"/>
                <w:sz w:val="16"/>
              </w:rPr>
              <w:t>4.33%,</w:t>
            </w:r>
            <w:r>
              <w:rPr>
                <w:spacing w:val="-9"/>
                <w:w w:val="105"/>
                <w:sz w:val="16"/>
              </w:rPr>
              <w:t> </w:t>
            </w:r>
            <w:r>
              <w:rPr>
                <w:w w:val="105"/>
                <w:sz w:val="16"/>
              </w:rPr>
              <w:t>due</w:t>
            </w:r>
            <w:r>
              <w:rPr>
                <w:spacing w:val="-8"/>
                <w:w w:val="105"/>
                <w:sz w:val="16"/>
              </w:rPr>
              <w:t> </w:t>
            </w:r>
            <w:r>
              <w:rPr>
                <w:w w:val="105"/>
                <w:sz w:val="16"/>
              </w:rPr>
              <w:t>through</w:t>
            </w:r>
            <w:r>
              <w:rPr>
                <w:spacing w:val="-9"/>
                <w:w w:val="105"/>
                <w:sz w:val="16"/>
              </w:rPr>
              <w:t> </w:t>
            </w:r>
            <w:r>
              <w:rPr>
                <w:spacing w:val="-4"/>
                <w:w w:val="105"/>
                <w:sz w:val="16"/>
              </w:rPr>
              <w:t>2043</w:t>
            </w:r>
          </w:p>
        </w:tc>
        <w:tc>
          <w:tcPr>
            <w:tcW w:w="2814" w:type="dxa"/>
            <w:tcBorders>
              <w:bottom w:val="single" w:sz="6" w:space="0" w:color="000000"/>
            </w:tcBorders>
            <w:shd w:val="clear" w:color="auto" w:fill="CCEDFF"/>
          </w:tcPr>
          <w:p>
            <w:pPr>
              <w:pStyle w:val="TableParagraph"/>
              <w:rPr>
                <w:sz w:val="14"/>
              </w:rPr>
            </w:pPr>
          </w:p>
        </w:tc>
        <w:tc>
          <w:tcPr>
            <w:tcW w:w="590" w:type="dxa"/>
            <w:tcBorders>
              <w:bottom w:val="single" w:sz="6" w:space="0" w:color="000000"/>
            </w:tcBorders>
            <w:shd w:val="clear" w:color="auto" w:fill="CCEDFF"/>
          </w:tcPr>
          <w:p>
            <w:pPr>
              <w:pStyle w:val="TableParagraph"/>
              <w:spacing w:line="179" w:lineRule="exact" w:before="3"/>
              <w:ind w:right="110"/>
              <w:jc w:val="right"/>
              <w:rPr>
                <w:b/>
                <w:sz w:val="16"/>
              </w:rPr>
            </w:pPr>
            <w:r>
              <w:rPr>
                <w:b/>
                <w:spacing w:val="-5"/>
                <w:w w:val="105"/>
                <w:sz w:val="16"/>
              </w:rPr>
              <w:t>591</w:t>
            </w:r>
          </w:p>
        </w:tc>
        <w:tc>
          <w:tcPr>
            <w:tcW w:w="1128" w:type="dxa"/>
            <w:tcBorders>
              <w:bottom w:val="single" w:sz="6" w:space="0" w:color="000000"/>
            </w:tcBorders>
            <w:shd w:val="clear" w:color="auto" w:fill="CCEDFF"/>
          </w:tcPr>
          <w:p>
            <w:pPr>
              <w:pStyle w:val="TableParagraph"/>
              <w:rPr>
                <w:sz w:val="14"/>
              </w:rPr>
            </w:pPr>
          </w:p>
        </w:tc>
        <w:tc>
          <w:tcPr>
            <w:tcW w:w="590" w:type="dxa"/>
            <w:tcBorders>
              <w:bottom w:val="single" w:sz="6" w:space="0" w:color="000000"/>
            </w:tcBorders>
            <w:shd w:val="clear" w:color="auto" w:fill="CCEDFF"/>
          </w:tcPr>
          <w:p>
            <w:pPr>
              <w:pStyle w:val="TableParagraph"/>
              <w:spacing w:line="179" w:lineRule="exact" w:before="3"/>
              <w:ind w:left="119"/>
              <w:jc w:val="center"/>
              <w:rPr>
                <w:sz w:val="16"/>
              </w:rPr>
            </w:pPr>
            <w:r>
              <w:rPr>
                <w:spacing w:val="-5"/>
                <w:w w:val="105"/>
                <w:sz w:val="16"/>
              </w:rPr>
              <w:t>598</w:t>
            </w:r>
          </w:p>
        </w:tc>
      </w:tr>
      <w:tr>
        <w:trPr>
          <w:trHeight w:val="202" w:hRule="atLeast"/>
        </w:trPr>
        <w:tc>
          <w:tcPr>
            <w:tcW w:w="6390" w:type="dxa"/>
            <w:tcBorders>
              <w:top w:val="single" w:sz="6" w:space="0" w:color="000000"/>
            </w:tcBorders>
          </w:tcPr>
          <w:p>
            <w:pPr>
              <w:pStyle w:val="TableParagraph"/>
              <w:spacing w:line="180" w:lineRule="exact" w:before="2"/>
              <w:ind w:left="305"/>
              <w:rPr>
                <w:sz w:val="16"/>
              </w:rPr>
            </w:pPr>
            <w:r>
              <w:rPr>
                <w:w w:val="105"/>
                <w:sz w:val="16"/>
              </w:rPr>
              <w:t>Total</w:t>
            </w:r>
            <w:r>
              <w:rPr>
                <w:spacing w:val="-10"/>
                <w:w w:val="105"/>
                <w:sz w:val="16"/>
              </w:rPr>
              <w:t> </w:t>
            </w:r>
            <w:r>
              <w:rPr>
                <w:w w:val="105"/>
                <w:sz w:val="16"/>
              </w:rPr>
              <w:t>long-term</w:t>
            </w:r>
            <w:r>
              <w:rPr>
                <w:spacing w:val="-10"/>
                <w:w w:val="105"/>
                <w:sz w:val="16"/>
              </w:rPr>
              <w:t> </w:t>
            </w:r>
            <w:r>
              <w:rPr>
                <w:w w:val="105"/>
                <w:sz w:val="16"/>
              </w:rPr>
              <w:t>debt,</w:t>
            </w:r>
            <w:r>
              <w:rPr>
                <w:spacing w:val="-10"/>
                <w:w w:val="105"/>
                <w:sz w:val="16"/>
              </w:rPr>
              <w:t> </w:t>
            </w:r>
            <w:r>
              <w:rPr>
                <w:w w:val="105"/>
                <w:sz w:val="16"/>
              </w:rPr>
              <w:t>including</w:t>
            </w:r>
            <w:r>
              <w:rPr>
                <w:spacing w:val="-10"/>
                <w:w w:val="105"/>
                <w:sz w:val="16"/>
              </w:rPr>
              <w:t> </w:t>
            </w:r>
            <w:r>
              <w:rPr>
                <w:w w:val="105"/>
                <w:sz w:val="16"/>
              </w:rPr>
              <w:t>current</w:t>
            </w:r>
            <w:r>
              <w:rPr>
                <w:spacing w:val="-10"/>
                <w:w w:val="105"/>
                <w:sz w:val="16"/>
              </w:rPr>
              <w:t> </w:t>
            </w:r>
            <w:r>
              <w:rPr>
                <w:spacing w:val="-2"/>
                <w:w w:val="105"/>
                <w:sz w:val="16"/>
              </w:rPr>
              <w:t>portion</w:t>
            </w:r>
          </w:p>
        </w:tc>
        <w:tc>
          <w:tcPr>
            <w:tcW w:w="2814" w:type="dxa"/>
            <w:tcBorders>
              <w:top w:val="single" w:sz="6" w:space="0" w:color="000000"/>
            </w:tcBorders>
          </w:tcPr>
          <w:p>
            <w:pPr>
              <w:pStyle w:val="TableParagraph"/>
              <w:rPr>
                <w:sz w:val="14"/>
              </w:rPr>
            </w:pPr>
          </w:p>
        </w:tc>
        <w:tc>
          <w:tcPr>
            <w:tcW w:w="590" w:type="dxa"/>
            <w:tcBorders>
              <w:top w:val="single" w:sz="6" w:space="0" w:color="000000"/>
            </w:tcBorders>
          </w:tcPr>
          <w:p>
            <w:pPr>
              <w:pStyle w:val="TableParagraph"/>
              <w:spacing w:line="180" w:lineRule="exact" w:before="2"/>
              <w:ind w:right="110"/>
              <w:jc w:val="right"/>
              <w:rPr>
                <w:b/>
                <w:sz w:val="16"/>
              </w:rPr>
            </w:pPr>
            <w:r>
              <w:rPr>
                <w:b/>
                <w:spacing w:val="-4"/>
                <w:w w:val="105"/>
                <w:sz w:val="16"/>
              </w:rPr>
              <w:t>7,044</w:t>
            </w:r>
          </w:p>
        </w:tc>
        <w:tc>
          <w:tcPr>
            <w:tcW w:w="1128" w:type="dxa"/>
            <w:tcBorders>
              <w:top w:val="single" w:sz="6" w:space="0" w:color="000000"/>
            </w:tcBorders>
          </w:tcPr>
          <w:p>
            <w:pPr>
              <w:pStyle w:val="TableParagraph"/>
              <w:rPr>
                <w:sz w:val="14"/>
              </w:rPr>
            </w:pPr>
          </w:p>
        </w:tc>
        <w:tc>
          <w:tcPr>
            <w:tcW w:w="590" w:type="dxa"/>
            <w:tcBorders>
              <w:top w:val="single" w:sz="6" w:space="0" w:color="000000"/>
            </w:tcBorders>
          </w:tcPr>
          <w:p>
            <w:pPr>
              <w:pStyle w:val="TableParagraph"/>
              <w:spacing w:line="180" w:lineRule="exact" w:before="2"/>
              <w:ind w:right="2"/>
              <w:jc w:val="center"/>
              <w:rPr>
                <w:sz w:val="16"/>
              </w:rPr>
            </w:pPr>
            <w:r>
              <w:rPr>
                <w:spacing w:val="-4"/>
                <w:w w:val="105"/>
                <w:sz w:val="16"/>
              </w:rPr>
              <w:t>7,897</w:t>
            </w:r>
          </w:p>
        </w:tc>
      </w:tr>
      <w:tr>
        <w:trPr>
          <w:trHeight w:val="202" w:hRule="atLeast"/>
        </w:trPr>
        <w:tc>
          <w:tcPr>
            <w:tcW w:w="6390" w:type="dxa"/>
            <w:tcBorders>
              <w:bottom w:val="single" w:sz="6" w:space="0" w:color="000000"/>
            </w:tcBorders>
            <w:shd w:val="clear" w:color="auto" w:fill="CCEDFF"/>
          </w:tcPr>
          <w:p>
            <w:pPr>
              <w:pStyle w:val="TableParagraph"/>
              <w:spacing w:line="179" w:lineRule="exact" w:before="3"/>
              <w:ind w:left="305"/>
              <w:rPr>
                <w:sz w:val="16"/>
              </w:rPr>
            </w:pPr>
            <w:r>
              <w:rPr>
                <w:w w:val="105"/>
                <w:sz w:val="16"/>
              </w:rPr>
              <w:t>Less</w:t>
            </w:r>
            <w:r>
              <w:rPr>
                <w:spacing w:val="-10"/>
                <w:w w:val="105"/>
                <w:sz w:val="16"/>
              </w:rPr>
              <w:t> </w:t>
            </w:r>
            <w:r>
              <w:rPr>
                <w:w w:val="105"/>
                <w:sz w:val="16"/>
              </w:rPr>
              <w:t>current</w:t>
            </w:r>
            <w:r>
              <w:rPr>
                <w:spacing w:val="-9"/>
                <w:w w:val="105"/>
                <w:sz w:val="16"/>
              </w:rPr>
              <w:t> </w:t>
            </w:r>
            <w:r>
              <w:rPr>
                <w:w w:val="105"/>
                <w:sz w:val="16"/>
              </w:rPr>
              <w:t>portion</w:t>
            </w:r>
            <w:r>
              <w:rPr>
                <w:spacing w:val="-9"/>
                <w:w w:val="105"/>
                <w:sz w:val="16"/>
              </w:rPr>
              <w:t> </w:t>
            </w:r>
            <w:r>
              <w:rPr>
                <w:w w:val="105"/>
                <w:sz w:val="16"/>
              </w:rPr>
              <w:t>of</w:t>
            </w:r>
            <w:r>
              <w:rPr>
                <w:spacing w:val="-9"/>
                <w:w w:val="105"/>
                <w:sz w:val="16"/>
              </w:rPr>
              <w:t> </w:t>
            </w:r>
            <w:r>
              <w:rPr>
                <w:w w:val="105"/>
                <w:sz w:val="16"/>
              </w:rPr>
              <w:t>long-term</w:t>
            </w:r>
            <w:r>
              <w:rPr>
                <w:spacing w:val="-9"/>
                <w:w w:val="105"/>
                <w:sz w:val="16"/>
              </w:rPr>
              <w:t> </w:t>
            </w:r>
            <w:r>
              <w:rPr>
                <w:spacing w:val="-4"/>
                <w:w w:val="105"/>
                <w:sz w:val="16"/>
              </w:rPr>
              <w:t>debt</w:t>
            </w:r>
          </w:p>
        </w:tc>
        <w:tc>
          <w:tcPr>
            <w:tcW w:w="2814" w:type="dxa"/>
            <w:tcBorders>
              <w:bottom w:val="single" w:sz="6" w:space="0" w:color="000000"/>
            </w:tcBorders>
            <w:shd w:val="clear" w:color="auto" w:fill="CCEDFF"/>
          </w:tcPr>
          <w:p>
            <w:pPr>
              <w:pStyle w:val="TableParagraph"/>
              <w:rPr>
                <w:sz w:val="14"/>
              </w:rPr>
            </w:pPr>
          </w:p>
        </w:tc>
        <w:tc>
          <w:tcPr>
            <w:tcW w:w="590" w:type="dxa"/>
            <w:tcBorders>
              <w:bottom w:val="single" w:sz="6" w:space="0" w:color="000000"/>
            </w:tcBorders>
            <w:shd w:val="clear" w:color="auto" w:fill="CCEDFF"/>
          </w:tcPr>
          <w:p>
            <w:pPr>
              <w:pStyle w:val="TableParagraph"/>
              <w:spacing w:line="179" w:lineRule="exact" w:before="3"/>
              <w:ind w:right="110"/>
              <w:jc w:val="right"/>
              <w:rPr>
                <w:b/>
                <w:sz w:val="16"/>
              </w:rPr>
            </w:pPr>
            <w:r>
              <w:rPr>
                <w:b/>
                <w:spacing w:val="-5"/>
                <w:w w:val="105"/>
                <w:sz w:val="16"/>
              </w:rPr>
              <w:t>55</w:t>
            </w:r>
          </w:p>
        </w:tc>
        <w:tc>
          <w:tcPr>
            <w:tcW w:w="1128" w:type="dxa"/>
            <w:tcBorders>
              <w:bottom w:val="single" w:sz="6" w:space="0" w:color="000000"/>
            </w:tcBorders>
            <w:shd w:val="clear" w:color="auto" w:fill="CCEDFF"/>
          </w:tcPr>
          <w:p>
            <w:pPr>
              <w:pStyle w:val="TableParagraph"/>
              <w:rPr>
                <w:sz w:val="14"/>
              </w:rPr>
            </w:pPr>
          </w:p>
        </w:tc>
        <w:tc>
          <w:tcPr>
            <w:tcW w:w="590" w:type="dxa"/>
            <w:tcBorders>
              <w:bottom w:val="single" w:sz="6" w:space="0" w:color="000000"/>
            </w:tcBorders>
            <w:shd w:val="clear" w:color="auto" w:fill="CCEDFF"/>
          </w:tcPr>
          <w:p>
            <w:pPr>
              <w:pStyle w:val="TableParagraph"/>
              <w:spacing w:line="179" w:lineRule="exact" w:before="3"/>
              <w:ind w:left="204" w:right="2"/>
              <w:jc w:val="center"/>
              <w:rPr>
                <w:sz w:val="16"/>
              </w:rPr>
            </w:pPr>
            <w:r>
              <w:rPr>
                <w:spacing w:val="-5"/>
                <w:w w:val="105"/>
                <w:sz w:val="16"/>
              </w:rPr>
              <w:t>81</w:t>
            </w:r>
          </w:p>
        </w:tc>
      </w:tr>
      <w:tr>
        <w:trPr>
          <w:trHeight w:val="199" w:hRule="atLeast"/>
        </w:trPr>
        <w:tc>
          <w:tcPr>
            <w:tcW w:w="6390" w:type="dxa"/>
            <w:tcBorders>
              <w:top w:val="single" w:sz="6" w:space="0" w:color="000000"/>
              <w:bottom w:val="double" w:sz="6" w:space="0" w:color="000000"/>
            </w:tcBorders>
          </w:tcPr>
          <w:p>
            <w:pPr>
              <w:pStyle w:val="TableParagraph"/>
              <w:spacing w:line="177" w:lineRule="exact" w:before="2"/>
              <w:ind w:left="305"/>
              <w:rPr>
                <w:sz w:val="16"/>
              </w:rPr>
            </w:pPr>
            <w:r>
              <w:rPr>
                <w:sz w:val="16"/>
              </w:rPr>
              <w:t>Long-term</w:t>
            </w:r>
            <w:r>
              <w:rPr>
                <w:spacing w:val="21"/>
                <w:sz w:val="16"/>
              </w:rPr>
              <w:t> </w:t>
            </w:r>
            <w:r>
              <w:rPr>
                <w:spacing w:val="-4"/>
                <w:sz w:val="16"/>
              </w:rPr>
              <w:t>debt</w:t>
            </w:r>
          </w:p>
        </w:tc>
        <w:tc>
          <w:tcPr>
            <w:tcW w:w="2814" w:type="dxa"/>
            <w:tcBorders>
              <w:top w:val="single" w:sz="6" w:space="0" w:color="000000"/>
              <w:bottom w:val="double" w:sz="6" w:space="0" w:color="000000"/>
            </w:tcBorders>
          </w:tcPr>
          <w:p>
            <w:pPr>
              <w:pStyle w:val="TableParagraph"/>
              <w:spacing w:line="177" w:lineRule="exact" w:before="2"/>
              <w:ind w:right="928"/>
              <w:jc w:val="right"/>
              <w:rPr>
                <w:b/>
                <w:sz w:val="16"/>
              </w:rPr>
            </w:pPr>
            <w:r>
              <w:rPr>
                <w:b/>
                <w:spacing w:val="-10"/>
                <w:w w:val="105"/>
                <w:sz w:val="16"/>
              </w:rPr>
              <w:t>$</w:t>
            </w:r>
          </w:p>
        </w:tc>
        <w:tc>
          <w:tcPr>
            <w:tcW w:w="590" w:type="dxa"/>
            <w:tcBorders>
              <w:top w:val="single" w:sz="6" w:space="0" w:color="000000"/>
              <w:bottom w:val="double" w:sz="6" w:space="0" w:color="000000"/>
            </w:tcBorders>
          </w:tcPr>
          <w:p>
            <w:pPr>
              <w:pStyle w:val="TableParagraph"/>
              <w:spacing w:line="177" w:lineRule="exact" w:before="2"/>
              <w:ind w:right="110"/>
              <w:jc w:val="right"/>
              <w:rPr>
                <w:b/>
                <w:sz w:val="16"/>
              </w:rPr>
            </w:pPr>
            <w:r>
              <w:rPr>
                <w:b/>
                <w:spacing w:val="-4"/>
                <w:w w:val="105"/>
                <w:sz w:val="16"/>
              </w:rPr>
              <w:t>6,989</w:t>
            </w:r>
          </w:p>
        </w:tc>
        <w:tc>
          <w:tcPr>
            <w:tcW w:w="1128" w:type="dxa"/>
            <w:tcBorders>
              <w:top w:val="single" w:sz="6" w:space="0" w:color="000000"/>
              <w:bottom w:val="double" w:sz="6" w:space="0" w:color="000000"/>
            </w:tcBorders>
          </w:tcPr>
          <w:p>
            <w:pPr>
              <w:pStyle w:val="TableParagraph"/>
              <w:spacing w:line="177" w:lineRule="exact" w:before="2"/>
              <w:ind w:left="116"/>
              <w:rPr>
                <w:sz w:val="16"/>
              </w:rPr>
            </w:pPr>
            <w:r>
              <w:rPr>
                <w:spacing w:val="-10"/>
                <w:w w:val="105"/>
                <w:sz w:val="16"/>
              </w:rPr>
              <w:t>$</w:t>
            </w:r>
          </w:p>
        </w:tc>
        <w:tc>
          <w:tcPr>
            <w:tcW w:w="590" w:type="dxa"/>
            <w:tcBorders>
              <w:top w:val="single" w:sz="6" w:space="0" w:color="000000"/>
              <w:bottom w:val="double" w:sz="6" w:space="0" w:color="000000"/>
            </w:tcBorders>
          </w:tcPr>
          <w:p>
            <w:pPr>
              <w:pStyle w:val="TableParagraph"/>
              <w:spacing w:line="177" w:lineRule="exact" w:before="2"/>
              <w:ind w:right="2"/>
              <w:jc w:val="center"/>
              <w:rPr>
                <w:sz w:val="16"/>
              </w:rPr>
            </w:pPr>
            <w:r>
              <w:rPr>
                <w:spacing w:val="-4"/>
                <w:w w:val="105"/>
                <w:sz w:val="16"/>
              </w:rPr>
              <w:t>7,816</w:t>
            </w:r>
          </w:p>
        </w:tc>
      </w:tr>
    </w:tbl>
    <w:p>
      <w:pPr>
        <w:pStyle w:val="BodyText"/>
        <w:spacing w:before="41"/>
      </w:pPr>
    </w:p>
    <w:p>
      <w:pPr>
        <w:pStyle w:val="BodyText"/>
        <w:spacing w:line="266" w:lineRule="auto" w:before="1"/>
        <w:ind w:left="156" w:right="117"/>
      </w:pPr>
      <w:r>
        <w:rPr>
          <w:w w:val="105"/>
        </w:rPr>
        <w:t>Based</w:t>
      </w:r>
      <w:r>
        <w:rPr>
          <w:spacing w:val="-7"/>
          <w:w w:val="105"/>
        </w:rPr>
        <w:t> </w:t>
      </w:r>
      <w:r>
        <w:rPr>
          <w:w w:val="105"/>
        </w:rPr>
        <w:t>on</w:t>
      </w:r>
      <w:r>
        <w:rPr>
          <w:spacing w:val="-7"/>
          <w:w w:val="105"/>
        </w:rPr>
        <w:t> </w:t>
      </w:r>
      <w:r>
        <w:rPr>
          <w:w w:val="105"/>
        </w:rPr>
        <w:t>borrowing</w:t>
      </w:r>
      <w:r>
        <w:rPr>
          <w:spacing w:val="-7"/>
          <w:w w:val="105"/>
        </w:rPr>
        <w:t> </w:t>
      </w:r>
      <w:r>
        <w:rPr>
          <w:w w:val="105"/>
        </w:rPr>
        <w:t>rates</w:t>
      </w:r>
      <w:r>
        <w:rPr>
          <w:spacing w:val="-7"/>
          <w:w w:val="105"/>
        </w:rPr>
        <w:t> </w:t>
      </w:r>
      <w:r>
        <w:rPr>
          <w:w w:val="105"/>
        </w:rPr>
        <w:t>currently</w:t>
      </w:r>
      <w:r>
        <w:rPr>
          <w:spacing w:val="-7"/>
          <w:w w:val="105"/>
        </w:rPr>
        <w:t> </w:t>
      </w:r>
      <w:r>
        <w:rPr>
          <w:w w:val="105"/>
        </w:rPr>
        <w:t>available</w:t>
      </w:r>
      <w:r>
        <w:rPr>
          <w:spacing w:val="-7"/>
          <w:w w:val="105"/>
        </w:rPr>
        <w:t> </w:t>
      </w:r>
      <w:r>
        <w:rPr>
          <w:w w:val="105"/>
        </w:rPr>
        <w:t>to</w:t>
      </w:r>
      <w:r>
        <w:rPr>
          <w:spacing w:val="-7"/>
          <w:w w:val="105"/>
        </w:rPr>
        <w:t> </w:t>
      </w:r>
      <w:r>
        <w:rPr>
          <w:w w:val="105"/>
        </w:rPr>
        <w:t>us</w:t>
      </w:r>
      <w:r>
        <w:rPr>
          <w:spacing w:val="-7"/>
          <w:w w:val="105"/>
        </w:rPr>
        <w:t> </w:t>
      </w:r>
      <w:r>
        <w:rPr>
          <w:w w:val="105"/>
        </w:rPr>
        <w:t>for</w:t>
      </w:r>
      <w:r>
        <w:rPr>
          <w:spacing w:val="-7"/>
          <w:w w:val="105"/>
        </w:rPr>
        <w:t> </w:t>
      </w:r>
      <w:r>
        <w:rPr>
          <w:w w:val="105"/>
        </w:rPr>
        <w:t>loans</w:t>
      </w:r>
      <w:r>
        <w:rPr>
          <w:spacing w:val="-7"/>
          <w:w w:val="105"/>
        </w:rPr>
        <w:t> </w:t>
      </w:r>
      <w:r>
        <w:rPr>
          <w:w w:val="105"/>
        </w:rPr>
        <w:t>with</w:t>
      </w:r>
      <w:r>
        <w:rPr>
          <w:spacing w:val="-7"/>
          <w:w w:val="105"/>
        </w:rPr>
        <w:t> </w:t>
      </w:r>
      <w:r>
        <w:rPr>
          <w:w w:val="105"/>
        </w:rPr>
        <w:t>similar</w:t>
      </w:r>
      <w:r>
        <w:rPr>
          <w:spacing w:val="-7"/>
          <w:w w:val="105"/>
        </w:rPr>
        <w:t> </w:t>
      </w:r>
      <w:r>
        <w:rPr>
          <w:w w:val="105"/>
        </w:rPr>
        <w:t>terms</w:t>
      </w:r>
      <w:r>
        <w:rPr>
          <w:spacing w:val="-7"/>
          <w:w w:val="105"/>
        </w:rPr>
        <w:t> </w:t>
      </w:r>
      <w:r>
        <w:rPr>
          <w:w w:val="105"/>
        </w:rPr>
        <w:t>and</w:t>
      </w:r>
      <w:r>
        <w:rPr>
          <w:spacing w:val="-7"/>
          <w:w w:val="105"/>
        </w:rPr>
        <w:t> </w:t>
      </w:r>
      <w:r>
        <w:rPr>
          <w:w w:val="105"/>
        </w:rPr>
        <w:t>maturities,</w:t>
      </w:r>
      <w:r>
        <w:rPr>
          <w:spacing w:val="-7"/>
          <w:w w:val="105"/>
        </w:rPr>
        <w:t> </w:t>
      </w: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long-term</w:t>
      </w:r>
      <w:r>
        <w:rPr>
          <w:spacing w:val="-7"/>
          <w:w w:val="105"/>
        </w:rPr>
        <w:t> </w:t>
      </w:r>
      <w:r>
        <w:rPr>
          <w:w w:val="105"/>
        </w:rPr>
        <w:t>debt</w:t>
      </w:r>
      <w:r>
        <w:rPr>
          <w:spacing w:val="-7"/>
          <w:w w:val="105"/>
        </w:rPr>
        <w:t> </w:t>
      </w:r>
      <w:r>
        <w:rPr>
          <w:w w:val="105"/>
        </w:rPr>
        <w:t>was</w:t>
      </w:r>
      <w:r>
        <w:rPr>
          <w:spacing w:val="-7"/>
          <w:w w:val="105"/>
        </w:rPr>
        <w:t> </w:t>
      </w:r>
      <w:r>
        <w:rPr>
          <w:w w:val="105"/>
        </w:rPr>
        <w:t>$8.3</w:t>
      </w:r>
      <w:r>
        <w:rPr>
          <w:spacing w:val="-7"/>
          <w:w w:val="105"/>
        </w:rPr>
        <w:t> </w:t>
      </w:r>
      <w:r>
        <w:rPr>
          <w:w w:val="105"/>
        </w:rPr>
        <w:t>billion</w:t>
      </w:r>
      <w:r>
        <w:rPr>
          <w:spacing w:val="-7"/>
          <w:w w:val="105"/>
        </w:rPr>
        <w:t> </w:t>
      </w:r>
      <w:r>
        <w:rPr>
          <w:w w:val="105"/>
        </w:rPr>
        <w:t>and</w:t>
      </w:r>
      <w:r>
        <w:rPr>
          <w:spacing w:val="-7"/>
          <w:w w:val="105"/>
        </w:rPr>
        <w:t> </w:t>
      </w:r>
      <w:r>
        <w:rPr>
          <w:w w:val="105"/>
        </w:rPr>
        <w:t>$9.4</w:t>
      </w:r>
      <w:r>
        <w:rPr>
          <w:spacing w:val="-7"/>
          <w:w w:val="105"/>
        </w:rPr>
        <w:t> </w:t>
      </w:r>
      <w:r>
        <w:rPr>
          <w:w w:val="105"/>
        </w:rPr>
        <w:t>billion</w:t>
      </w:r>
      <w:r>
        <w:rPr>
          <w:spacing w:val="-7"/>
          <w:w w:val="105"/>
        </w:rPr>
        <w:t> </w:t>
      </w:r>
      <w:r>
        <w:rPr>
          <w:w w:val="105"/>
        </w:rPr>
        <w:t>at</w:t>
      </w:r>
      <w:r>
        <w:rPr>
          <w:spacing w:val="-7"/>
          <w:w w:val="105"/>
        </w:rPr>
        <w:t> </w:t>
      </w:r>
      <w:r>
        <w:rPr>
          <w:w w:val="105"/>
        </w:rPr>
        <w:t>December 31,</w:t>
      </w:r>
      <w:r>
        <w:rPr>
          <w:spacing w:val="-2"/>
          <w:w w:val="105"/>
        </w:rPr>
        <w:t> </w:t>
      </w:r>
      <w:r>
        <w:rPr>
          <w:w w:val="105"/>
        </w:rPr>
        <w:t>2021</w:t>
      </w:r>
      <w:r>
        <w:rPr>
          <w:spacing w:val="-2"/>
          <w:w w:val="105"/>
        </w:rPr>
        <w:t> </w:t>
      </w:r>
      <w:r>
        <w:rPr>
          <w:w w:val="105"/>
        </w:rPr>
        <w:t>and</w:t>
      </w:r>
      <w:r>
        <w:rPr>
          <w:spacing w:val="-2"/>
          <w:w w:val="105"/>
        </w:rPr>
        <w:t> </w:t>
      </w:r>
      <w:r>
        <w:rPr>
          <w:w w:val="105"/>
        </w:rPr>
        <w:t>2020,</w:t>
      </w:r>
      <w:r>
        <w:rPr>
          <w:spacing w:val="-2"/>
          <w:w w:val="105"/>
        </w:rPr>
        <w:t> </w:t>
      </w:r>
      <w:r>
        <w:rPr>
          <w:w w:val="105"/>
        </w:rPr>
        <w:t>respectively,</w:t>
      </w:r>
      <w:r>
        <w:rPr>
          <w:spacing w:val="-2"/>
          <w:w w:val="105"/>
        </w:rPr>
        <w:t> </w:t>
      </w:r>
      <w:r>
        <w:rPr>
          <w:w w:val="105"/>
        </w:rPr>
        <w:t>compared</w:t>
      </w:r>
      <w:r>
        <w:rPr>
          <w:spacing w:val="-2"/>
          <w:w w:val="105"/>
        </w:rPr>
        <w:t> </w:t>
      </w:r>
      <w:r>
        <w:rPr>
          <w:w w:val="105"/>
        </w:rPr>
        <w:t>to</w:t>
      </w:r>
      <w:r>
        <w:rPr>
          <w:spacing w:val="-2"/>
          <w:w w:val="105"/>
        </w:rPr>
        <w:t> </w:t>
      </w:r>
      <w:r>
        <w:rPr>
          <w:w w:val="105"/>
        </w:rPr>
        <w:t>recorded</w:t>
      </w:r>
      <w:r>
        <w:rPr>
          <w:spacing w:val="-2"/>
          <w:w w:val="105"/>
        </w:rPr>
        <w:t> </w:t>
      </w:r>
      <w:r>
        <w:rPr>
          <w:w w:val="105"/>
        </w:rPr>
        <w:t>book</w:t>
      </w:r>
      <w:r>
        <w:rPr>
          <w:spacing w:val="-2"/>
          <w:w w:val="105"/>
        </w:rPr>
        <w:t> </w:t>
      </w:r>
      <w:r>
        <w:rPr>
          <w:w w:val="105"/>
        </w:rPr>
        <w:t>values</w:t>
      </w:r>
      <w:r>
        <w:rPr>
          <w:spacing w:val="-2"/>
          <w:w w:val="105"/>
        </w:rPr>
        <w:t> </w:t>
      </w:r>
      <w:r>
        <w:rPr>
          <w:w w:val="105"/>
        </w:rPr>
        <w:t>of</w:t>
      </w:r>
      <w:r>
        <w:rPr>
          <w:spacing w:val="-2"/>
          <w:w w:val="105"/>
        </w:rPr>
        <w:t> </w:t>
      </w:r>
      <w:r>
        <w:rPr>
          <w:w w:val="105"/>
        </w:rPr>
        <w:t>$7.0</w:t>
      </w:r>
      <w:r>
        <w:rPr>
          <w:spacing w:val="-2"/>
          <w:w w:val="105"/>
        </w:rPr>
        <w:t> </w:t>
      </w:r>
      <w:r>
        <w:rPr>
          <w:w w:val="105"/>
        </w:rPr>
        <w:t>billion</w:t>
      </w:r>
      <w:r>
        <w:rPr>
          <w:spacing w:val="-2"/>
          <w:w w:val="105"/>
        </w:rPr>
        <w:t> </w:t>
      </w:r>
      <w:r>
        <w:rPr>
          <w:w w:val="105"/>
        </w:rPr>
        <w:t>and</w:t>
      </w:r>
      <w:r>
        <w:rPr>
          <w:spacing w:val="-2"/>
          <w:w w:val="105"/>
        </w:rPr>
        <w:t> </w:t>
      </w:r>
      <w:r>
        <w:rPr>
          <w:w w:val="105"/>
        </w:rPr>
        <w:t>$7.8</w:t>
      </w:r>
      <w:r>
        <w:rPr>
          <w:spacing w:val="-2"/>
          <w:w w:val="105"/>
        </w:rPr>
        <w:t> </w:t>
      </w:r>
      <w:r>
        <w:rPr>
          <w:w w:val="105"/>
        </w:rPr>
        <w:t>billion</w:t>
      </w:r>
      <w:r>
        <w:rPr>
          <w:spacing w:val="-2"/>
          <w:w w:val="105"/>
        </w:rPr>
        <w:t> </w:t>
      </w:r>
      <w:r>
        <w:rPr>
          <w:w w:val="105"/>
        </w:rPr>
        <w:t>at</w:t>
      </w:r>
      <w:r>
        <w:rPr>
          <w:spacing w:val="-1"/>
          <w:w w:val="105"/>
        </w:rPr>
        <w:t> </w:t>
      </w:r>
      <w:r>
        <w:rPr>
          <w:w w:val="105"/>
        </w:rPr>
        <w:t>December</w:t>
      </w:r>
      <w:r>
        <w:rPr>
          <w:spacing w:val="-2"/>
          <w:w w:val="105"/>
        </w:rPr>
        <w:t> </w:t>
      </w:r>
      <w:r>
        <w:rPr>
          <w:w w:val="105"/>
        </w:rPr>
        <w:t>31,</w:t>
      </w:r>
      <w:r>
        <w:rPr>
          <w:spacing w:val="-2"/>
          <w:w w:val="105"/>
        </w:rPr>
        <w:t> </w:t>
      </w:r>
      <w:r>
        <w:rPr>
          <w:w w:val="105"/>
        </w:rPr>
        <w:t>2021</w:t>
      </w:r>
      <w:r>
        <w:rPr>
          <w:spacing w:val="-1"/>
          <w:w w:val="105"/>
        </w:rPr>
        <w:t> </w:t>
      </w:r>
      <w:r>
        <w:rPr>
          <w:w w:val="105"/>
        </w:rPr>
        <w:t>and</w:t>
      </w:r>
      <w:r>
        <w:rPr>
          <w:spacing w:val="-2"/>
          <w:w w:val="105"/>
        </w:rPr>
        <w:t> </w:t>
      </w:r>
      <w:r>
        <w:rPr>
          <w:w w:val="105"/>
        </w:rPr>
        <w:t>December</w:t>
      </w:r>
      <w:r>
        <w:rPr>
          <w:spacing w:val="-2"/>
          <w:w w:val="105"/>
        </w:rPr>
        <w:t> </w:t>
      </w:r>
      <w:r>
        <w:rPr>
          <w:w w:val="105"/>
        </w:rPr>
        <w:t>31,</w:t>
      </w:r>
      <w:r>
        <w:rPr>
          <w:spacing w:val="-2"/>
          <w:w w:val="105"/>
        </w:rPr>
        <w:t> </w:t>
      </w:r>
      <w:r>
        <w:rPr>
          <w:w w:val="105"/>
        </w:rPr>
        <w:t>2020,</w:t>
      </w:r>
      <w:r>
        <w:rPr>
          <w:spacing w:val="-1"/>
          <w:w w:val="105"/>
        </w:rPr>
        <w:t> </w:t>
      </w:r>
      <w:r>
        <w:rPr>
          <w:w w:val="105"/>
        </w:rPr>
        <w:t>respectively.</w:t>
      </w:r>
      <w:r>
        <w:rPr>
          <w:spacing w:val="-2"/>
          <w:w w:val="105"/>
        </w:rPr>
        <w:t> </w:t>
      </w:r>
      <w:r>
        <w:rPr>
          <w:w w:val="105"/>
        </w:rPr>
        <w:t>The Company</w:t>
      </w:r>
      <w:r>
        <w:rPr>
          <w:spacing w:val="-2"/>
          <w:w w:val="105"/>
        </w:rPr>
        <w:t> </w:t>
      </w:r>
      <w:r>
        <w:rPr>
          <w:w w:val="105"/>
        </w:rPr>
        <w:t>measures</w:t>
      </w:r>
      <w:r>
        <w:rPr>
          <w:spacing w:val="-2"/>
          <w:w w:val="105"/>
        </w:rPr>
        <w:t> </w:t>
      </w:r>
      <w:r>
        <w:rPr>
          <w:w w:val="105"/>
        </w:rPr>
        <w:t>the</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its</w:t>
      </w:r>
      <w:r>
        <w:rPr>
          <w:spacing w:val="-2"/>
          <w:w w:val="105"/>
        </w:rPr>
        <w:t> </w:t>
      </w:r>
      <w:r>
        <w:rPr>
          <w:w w:val="105"/>
        </w:rPr>
        <w:t>long-term</w:t>
      </w:r>
      <w:r>
        <w:rPr>
          <w:spacing w:val="-2"/>
          <w:w w:val="105"/>
        </w:rPr>
        <w:t> </w:t>
      </w:r>
      <w:r>
        <w:rPr>
          <w:w w:val="105"/>
        </w:rPr>
        <w:t>debt</w:t>
      </w:r>
      <w:r>
        <w:rPr>
          <w:spacing w:val="-2"/>
          <w:w w:val="105"/>
        </w:rPr>
        <w:t> </w:t>
      </w:r>
      <w:r>
        <w:rPr>
          <w:w w:val="105"/>
        </w:rPr>
        <w:t>using</w:t>
      </w:r>
      <w:r>
        <w:rPr>
          <w:spacing w:val="-2"/>
          <w:w w:val="105"/>
        </w:rPr>
        <w:t> </w:t>
      </w:r>
      <w:r>
        <w:rPr>
          <w:w w:val="105"/>
        </w:rPr>
        <w:t>Level</w:t>
      </w:r>
      <w:r>
        <w:rPr>
          <w:spacing w:val="-2"/>
          <w:w w:val="105"/>
        </w:rPr>
        <w:t> </w:t>
      </w:r>
      <w:r>
        <w:rPr>
          <w:w w:val="105"/>
        </w:rPr>
        <w:t>2</w:t>
      </w:r>
      <w:r>
        <w:rPr>
          <w:spacing w:val="-2"/>
          <w:w w:val="105"/>
        </w:rPr>
        <w:t> </w:t>
      </w:r>
      <w:r>
        <w:rPr>
          <w:w w:val="105"/>
        </w:rPr>
        <w:t>inputs</w:t>
      </w:r>
      <w:r>
        <w:rPr>
          <w:spacing w:val="-2"/>
          <w:w w:val="105"/>
        </w:rPr>
        <w:t> </w:t>
      </w:r>
      <w:r>
        <w:rPr>
          <w:w w:val="105"/>
        </w:rPr>
        <w:t>based</w:t>
      </w:r>
      <w:r>
        <w:rPr>
          <w:spacing w:val="-2"/>
          <w:w w:val="105"/>
        </w:rPr>
        <w:t> </w:t>
      </w:r>
      <w:r>
        <w:rPr>
          <w:w w:val="105"/>
        </w:rPr>
        <w:t>primarily</w:t>
      </w:r>
      <w:r>
        <w:rPr>
          <w:spacing w:val="-2"/>
          <w:w w:val="105"/>
        </w:rPr>
        <w:t> </w:t>
      </w:r>
      <w:r>
        <w:rPr>
          <w:w w:val="105"/>
        </w:rPr>
        <w:t>on</w:t>
      </w:r>
      <w:r>
        <w:rPr>
          <w:spacing w:val="-2"/>
          <w:w w:val="105"/>
        </w:rPr>
        <w:t> </w:t>
      </w:r>
      <w:r>
        <w:rPr>
          <w:w w:val="105"/>
        </w:rPr>
        <w:t>current</w:t>
      </w:r>
      <w:r>
        <w:rPr>
          <w:spacing w:val="-2"/>
          <w:w w:val="105"/>
        </w:rPr>
        <w:t> </w:t>
      </w:r>
      <w:r>
        <w:rPr>
          <w:w w:val="105"/>
        </w:rPr>
        <w:t>market</w:t>
      </w:r>
      <w:r>
        <w:rPr>
          <w:spacing w:val="-2"/>
          <w:w w:val="105"/>
        </w:rPr>
        <w:t> </w:t>
      </w:r>
      <w:r>
        <w:rPr>
          <w:w w:val="105"/>
        </w:rPr>
        <w:t>yields</w:t>
      </w:r>
      <w:r>
        <w:rPr>
          <w:spacing w:val="-2"/>
          <w:w w:val="105"/>
        </w:rPr>
        <w:t> </w:t>
      </w:r>
      <w:r>
        <w:rPr>
          <w:w w:val="105"/>
        </w:rPr>
        <w:t>for</w:t>
      </w:r>
      <w:r>
        <w:rPr>
          <w:spacing w:val="-2"/>
          <w:w w:val="105"/>
        </w:rPr>
        <w:t> </w:t>
      </w:r>
      <w:r>
        <w:rPr>
          <w:w w:val="105"/>
        </w:rPr>
        <w:t>its</w:t>
      </w:r>
      <w:r>
        <w:rPr>
          <w:spacing w:val="-2"/>
          <w:w w:val="105"/>
        </w:rPr>
        <w:t> </w:t>
      </w:r>
      <w:r>
        <w:rPr>
          <w:w w:val="105"/>
        </w:rPr>
        <w:t>existing</w:t>
      </w:r>
      <w:r>
        <w:rPr>
          <w:spacing w:val="-2"/>
          <w:w w:val="105"/>
        </w:rPr>
        <w:t> </w:t>
      </w:r>
      <w:r>
        <w:rPr>
          <w:w w:val="105"/>
        </w:rPr>
        <w:t>debt</w:t>
      </w:r>
      <w:r>
        <w:rPr>
          <w:spacing w:val="-2"/>
          <w:w w:val="105"/>
        </w:rPr>
        <w:t> </w:t>
      </w:r>
      <w:r>
        <w:rPr>
          <w:w w:val="105"/>
        </w:rPr>
        <w:t>traded in</w:t>
      </w:r>
      <w:r>
        <w:rPr>
          <w:spacing w:val="-2"/>
          <w:w w:val="105"/>
        </w:rPr>
        <w:t> </w:t>
      </w:r>
      <w:r>
        <w:rPr>
          <w:w w:val="105"/>
        </w:rPr>
        <w:t>the</w:t>
      </w:r>
      <w:r>
        <w:rPr>
          <w:spacing w:val="-2"/>
          <w:w w:val="105"/>
        </w:rPr>
        <w:t> </w:t>
      </w:r>
      <w:r>
        <w:rPr>
          <w:w w:val="105"/>
        </w:rPr>
        <w:t>secondary</w:t>
      </w:r>
      <w:r>
        <w:rPr>
          <w:spacing w:val="-2"/>
          <w:w w:val="105"/>
        </w:rPr>
        <w:t> </w:t>
      </w:r>
      <w:r>
        <w:rPr>
          <w:w w:val="105"/>
        </w:rPr>
        <w:t>market.</w:t>
      </w:r>
    </w:p>
    <w:p>
      <w:pPr>
        <w:pStyle w:val="BodyText"/>
        <w:spacing w:before="18"/>
      </w:pPr>
    </w:p>
    <w:p>
      <w:pPr>
        <w:pStyle w:val="BodyText"/>
        <w:spacing w:line="266" w:lineRule="auto"/>
        <w:ind w:left="156"/>
      </w:pPr>
      <w:r>
        <w:rPr>
          <w:w w:val="105"/>
        </w:rPr>
        <w:t>On</w:t>
      </w:r>
      <w:r>
        <w:rPr>
          <w:spacing w:val="-2"/>
          <w:w w:val="105"/>
        </w:rPr>
        <w:t> </w:t>
      </w:r>
      <w:r>
        <w:rPr>
          <w:w w:val="105"/>
        </w:rPr>
        <w:t>a</w:t>
      </w:r>
      <w:r>
        <w:rPr>
          <w:spacing w:val="-2"/>
          <w:w w:val="105"/>
        </w:rPr>
        <w:t> </w:t>
      </w:r>
      <w:r>
        <w:rPr>
          <w:w w:val="105"/>
        </w:rPr>
        <w:t>quarterly</w:t>
      </w:r>
      <w:r>
        <w:rPr>
          <w:spacing w:val="-2"/>
          <w:w w:val="105"/>
        </w:rPr>
        <w:t> </w:t>
      </w:r>
      <w:r>
        <w:rPr>
          <w:w w:val="105"/>
        </w:rPr>
        <w:t>basis,</w:t>
      </w:r>
      <w:r>
        <w:rPr>
          <w:spacing w:val="-2"/>
          <w:w w:val="105"/>
        </w:rPr>
        <w:t> </w:t>
      </w:r>
      <w:r>
        <w:rPr>
          <w:w w:val="105"/>
        </w:rPr>
        <w:t>Corning</w:t>
      </w:r>
      <w:r>
        <w:rPr>
          <w:spacing w:val="-2"/>
          <w:w w:val="105"/>
        </w:rPr>
        <w:t> </w:t>
      </w:r>
      <w:r>
        <w:rPr>
          <w:w w:val="105"/>
        </w:rPr>
        <w:t>will</w:t>
      </w:r>
      <w:r>
        <w:rPr>
          <w:spacing w:val="-2"/>
          <w:w w:val="105"/>
        </w:rPr>
        <w:t> </w:t>
      </w:r>
      <w:r>
        <w:rPr>
          <w:w w:val="105"/>
        </w:rPr>
        <w:t>recognize</w:t>
      </w:r>
      <w:r>
        <w:rPr>
          <w:spacing w:val="-2"/>
          <w:w w:val="105"/>
        </w:rPr>
        <w:t> </w:t>
      </w:r>
      <w:r>
        <w:rPr>
          <w:w w:val="105"/>
        </w:rPr>
        <w:t>the</w:t>
      </w:r>
      <w:r>
        <w:rPr>
          <w:spacing w:val="-2"/>
          <w:w w:val="105"/>
        </w:rPr>
        <w:t> </w:t>
      </w:r>
      <w:r>
        <w:rPr>
          <w:w w:val="105"/>
        </w:rPr>
        <w:t>foreign</w:t>
      </w:r>
      <w:r>
        <w:rPr>
          <w:spacing w:val="-2"/>
          <w:w w:val="105"/>
        </w:rPr>
        <w:t> </w:t>
      </w:r>
      <w:r>
        <w:rPr>
          <w:w w:val="105"/>
        </w:rPr>
        <w:t>currency</w:t>
      </w:r>
      <w:r>
        <w:rPr>
          <w:spacing w:val="-2"/>
          <w:w w:val="105"/>
        </w:rPr>
        <w:t> </w:t>
      </w:r>
      <w:r>
        <w:rPr>
          <w:w w:val="105"/>
        </w:rPr>
        <w:t>translation</w:t>
      </w:r>
      <w:r>
        <w:rPr>
          <w:spacing w:val="-2"/>
          <w:w w:val="105"/>
        </w:rPr>
        <w:t> </w:t>
      </w:r>
      <w:r>
        <w:rPr>
          <w:w w:val="105"/>
        </w:rPr>
        <w:t>gains</w:t>
      </w:r>
      <w:r>
        <w:rPr>
          <w:spacing w:val="-2"/>
          <w:w w:val="105"/>
        </w:rPr>
        <w:t> </w:t>
      </w:r>
      <w:r>
        <w:rPr>
          <w:w w:val="105"/>
        </w:rPr>
        <w:t>and losses</w:t>
      </w:r>
      <w:r>
        <w:rPr>
          <w:spacing w:val="-2"/>
          <w:w w:val="105"/>
        </w:rPr>
        <w:t> </w:t>
      </w:r>
      <w:r>
        <w:rPr>
          <w:w w:val="105"/>
        </w:rPr>
        <w:t>resulting</w:t>
      </w:r>
      <w:r>
        <w:rPr>
          <w:spacing w:val="-2"/>
          <w:w w:val="105"/>
        </w:rPr>
        <w:t> </w:t>
      </w:r>
      <w:r>
        <w:rPr>
          <w:w w:val="105"/>
        </w:rPr>
        <w:t>from</w:t>
      </w:r>
      <w:r>
        <w:rPr>
          <w:spacing w:val="-2"/>
          <w:w w:val="105"/>
        </w:rPr>
        <w:t> </w:t>
      </w:r>
      <w:r>
        <w:rPr>
          <w:w w:val="105"/>
        </w:rPr>
        <w:t>changes in</w:t>
      </w:r>
      <w:r>
        <w:rPr>
          <w:spacing w:val="-2"/>
          <w:w w:val="105"/>
        </w:rPr>
        <w:t> </w:t>
      </w:r>
      <w:r>
        <w:rPr>
          <w:w w:val="105"/>
        </w:rPr>
        <w:t>exchanges</w:t>
      </w:r>
      <w:r>
        <w:rPr>
          <w:spacing w:val="-2"/>
          <w:w w:val="105"/>
        </w:rPr>
        <w:t> </w:t>
      </w:r>
      <w:r>
        <w:rPr>
          <w:w w:val="105"/>
        </w:rPr>
        <w:t>rates</w:t>
      </w:r>
      <w:r>
        <w:rPr>
          <w:spacing w:val="-2"/>
          <w:w w:val="105"/>
        </w:rPr>
        <w:t> </w:t>
      </w:r>
      <w:r>
        <w:rPr>
          <w:w w:val="105"/>
        </w:rPr>
        <w:t>within</w:t>
      </w:r>
      <w:r>
        <w:rPr>
          <w:spacing w:val="-2"/>
          <w:w w:val="105"/>
        </w:rPr>
        <w:t> </w:t>
      </w:r>
      <w:r>
        <w:rPr>
          <w:w w:val="105"/>
        </w:rPr>
        <w:t>accumulated</w:t>
      </w:r>
      <w:r>
        <w:rPr>
          <w:spacing w:val="-2"/>
          <w:w w:val="105"/>
        </w:rPr>
        <w:t> </w:t>
      </w:r>
      <w:r>
        <w:rPr>
          <w:w w:val="105"/>
        </w:rPr>
        <w:t>other comprehensive</w:t>
      </w:r>
      <w:r>
        <w:rPr>
          <w:spacing w:val="-9"/>
          <w:w w:val="105"/>
        </w:rPr>
        <w:t> </w:t>
      </w:r>
      <w:r>
        <w:rPr>
          <w:w w:val="105"/>
        </w:rPr>
        <w:t>loss</w:t>
      </w:r>
      <w:r>
        <w:rPr>
          <w:spacing w:val="-9"/>
          <w:w w:val="105"/>
        </w:rPr>
        <w:t> </w:t>
      </w:r>
      <w:r>
        <w:rPr>
          <w:w w:val="105"/>
        </w:rPr>
        <w:t>in</w:t>
      </w:r>
      <w:r>
        <w:rPr>
          <w:spacing w:val="-9"/>
          <w:w w:val="105"/>
        </w:rPr>
        <w:t> </w:t>
      </w:r>
      <w:r>
        <w:rPr>
          <w:w w:val="105"/>
        </w:rPr>
        <w:t>shareholders’</w:t>
      </w:r>
      <w:r>
        <w:rPr>
          <w:spacing w:val="-9"/>
          <w:w w:val="105"/>
        </w:rPr>
        <w:t> </w:t>
      </w:r>
      <w:r>
        <w:rPr>
          <w:w w:val="105"/>
        </w:rPr>
        <w:t>equity.</w:t>
      </w:r>
      <w:r>
        <w:rPr>
          <w:spacing w:val="-9"/>
          <w:w w:val="105"/>
        </w:rPr>
        <w:t> </w:t>
      </w:r>
      <w:r>
        <w:rPr>
          <w:w w:val="105"/>
        </w:rPr>
        <w:t>Cash</w:t>
      </w:r>
      <w:r>
        <w:rPr>
          <w:spacing w:val="-9"/>
          <w:w w:val="105"/>
        </w:rPr>
        <w:t> </w:t>
      </w:r>
      <w:r>
        <w:rPr>
          <w:w w:val="105"/>
        </w:rPr>
        <w:t>proceeds</w:t>
      </w:r>
      <w:r>
        <w:rPr>
          <w:spacing w:val="-9"/>
          <w:w w:val="105"/>
        </w:rPr>
        <w:t> </w:t>
      </w:r>
      <w:r>
        <w:rPr>
          <w:w w:val="105"/>
        </w:rPr>
        <w:t>from</w:t>
      </w:r>
      <w:r>
        <w:rPr>
          <w:spacing w:val="-9"/>
          <w:w w:val="105"/>
        </w:rPr>
        <w:t> </w:t>
      </w:r>
      <w:r>
        <w:rPr>
          <w:w w:val="105"/>
        </w:rPr>
        <w:t>loans</w:t>
      </w:r>
      <w:r>
        <w:rPr>
          <w:spacing w:val="-9"/>
          <w:w w:val="105"/>
        </w:rPr>
        <w:t> </w:t>
      </w:r>
      <w:r>
        <w:rPr>
          <w:w w:val="105"/>
        </w:rPr>
        <w:t>and</w:t>
      </w:r>
      <w:r>
        <w:rPr>
          <w:spacing w:val="-9"/>
          <w:w w:val="105"/>
        </w:rPr>
        <w:t> </w:t>
      </w:r>
      <w:r>
        <w:rPr>
          <w:w w:val="105"/>
        </w:rPr>
        <w:t>debt</w:t>
      </w:r>
      <w:r>
        <w:rPr>
          <w:spacing w:val="-9"/>
          <w:w w:val="105"/>
        </w:rPr>
        <w:t> </w:t>
      </w:r>
      <w:r>
        <w:rPr>
          <w:w w:val="105"/>
        </w:rPr>
        <w:t>issuances</w:t>
      </w:r>
      <w:r>
        <w:rPr>
          <w:spacing w:val="-9"/>
          <w:w w:val="105"/>
        </w:rPr>
        <w:t> </w:t>
      </w:r>
      <w:r>
        <w:rPr>
          <w:w w:val="105"/>
        </w:rPr>
        <w:t>are</w:t>
      </w:r>
      <w:r>
        <w:rPr>
          <w:spacing w:val="-9"/>
          <w:w w:val="105"/>
        </w:rPr>
        <w:t> </w:t>
      </w:r>
      <w:r>
        <w:rPr>
          <w:w w:val="105"/>
        </w:rPr>
        <w:t>disclosed</w:t>
      </w:r>
      <w:r>
        <w:rPr>
          <w:spacing w:val="-9"/>
          <w:w w:val="105"/>
        </w:rPr>
        <w:t> </w:t>
      </w:r>
      <w:r>
        <w:rPr>
          <w:w w:val="105"/>
        </w:rPr>
        <w:t>as</w:t>
      </w:r>
      <w:r>
        <w:rPr>
          <w:spacing w:val="-9"/>
          <w:w w:val="105"/>
        </w:rPr>
        <w:t> </w:t>
      </w:r>
      <w:r>
        <w:rPr>
          <w:w w:val="105"/>
        </w:rPr>
        <w:t>financing</w:t>
      </w:r>
      <w:r>
        <w:rPr>
          <w:spacing w:val="-9"/>
          <w:w w:val="105"/>
        </w:rPr>
        <w:t> </w:t>
      </w:r>
      <w:r>
        <w:rPr>
          <w:w w:val="105"/>
        </w:rPr>
        <w:t>activities,</w:t>
      </w:r>
      <w:r>
        <w:rPr>
          <w:spacing w:val="-9"/>
          <w:w w:val="105"/>
        </w:rPr>
        <w:t> </w:t>
      </w:r>
      <w:r>
        <w:rPr>
          <w:w w:val="105"/>
        </w:rPr>
        <w:t>and</w:t>
      </w:r>
      <w:r>
        <w:rPr>
          <w:spacing w:val="-9"/>
          <w:w w:val="105"/>
        </w:rPr>
        <w:t> </w:t>
      </w:r>
      <w:r>
        <w:rPr>
          <w:w w:val="105"/>
        </w:rPr>
        <w:t>cash</w:t>
      </w:r>
      <w:r>
        <w:rPr>
          <w:spacing w:val="-9"/>
          <w:w w:val="105"/>
        </w:rPr>
        <w:t> </w:t>
      </w:r>
      <w:r>
        <w:rPr>
          <w:w w:val="105"/>
        </w:rPr>
        <w:t>payments</w:t>
      </w:r>
      <w:r>
        <w:rPr>
          <w:spacing w:val="-9"/>
          <w:w w:val="105"/>
        </w:rPr>
        <w:t> </w:t>
      </w:r>
      <w:r>
        <w:rPr>
          <w:w w:val="105"/>
        </w:rPr>
        <w:t>for</w:t>
      </w:r>
      <w:r>
        <w:rPr>
          <w:spacing w:val="-9"/>
          <w:w w:val="105"/>
        </w:rPr>
        <w:t> </w:t>
      </w:r>
      <w:r>
        <w:rPr>
          <w:w w:val="105"/>
        </w:rPr>
        <w:t>interest</w:t>
      </w:r>
      <w:r>
        <w:rPr>
          <w:spacing w:val="-9"/>
          <w:w w:val="105"/>
        </w:rPr>
        <w:t> </w:t>
      </w:r>
      <w:r>
        <w:rPr>
          <w:w w:val="105"/>
        </w:rPr>
        <w:t>and</w:t>
      </w:r>
      <w:r>
        <w:rPr>
          <w:spacing w:val="-9"/>
          <w:w w:val="105"/>
        </w:rPr>
        <w:t> </w:t>
      </w:r>
      <w:r>
        <w:rPr>
          <w:w w:val="105"/>
        </w:rPr>
        <w:t>bond redemptions are disclosed as operating activities and financing activities, respectively, in the consolidated statements of cash flows.</w:t>
      </w:r>
    </w:p>
    <w:p>
      <w:pPr>
        <w:pStyle w:val="BodyText"/>
        <w:spacing w:before="19"/>
      </w:pPr>
    </w:p>
    <w:p>
      <w:pPr>
        <w:pStyle w:val="BodyText"/>
        <w:ind w:left="156"/>
      </w:pPr>
      <w:r>
        <w:rPr>
          <w:w w:val="105"/>
        </w:rPr>
        <w:t>Corning</w:t>
      </w:r>
      <w:r>
        <w:rPr>
          <w:spacing w:val="-9"/>
          <w:w w:val="105"/>
        </w:rPr>
        <w:t> </w:t>
      </w:r>
      <w:r>
        <w:rPr>
          <w:w w:val="105"/>
        </w:rPr>
        <w:t>did</w:t>
      </w:r>
      <w:r>
        <w:rPr>
          <w:spacing w:val="-8"/>
          <w:w w:val="105"/>
        </w:rPr>
        <w:t> </w:t>
      </w:r>
      <w:r>
        <w:rPr>
          <w:w w:val="105"/>
        </w:rPr>
        <w:t>not</w:t>
      </w:r>
      <w:r>
        <w:rPr>
          <w:spacing w:val="-9"/>
          <w:w w:val="105"/>
        </w:rPr>
        <w:t> </w:t>
      </w:r>
      <w:r>
        <w:rPr>
          <w:w w:val="105"/>
        </w:rPr>
        <w:t>have</w:t>
      </w:r>
      <w:r>
        <w:rPr>
          <w:spacing w:val="-8"/>
          <w:w w:val="105"/>
        </w:rPr>
        <w:t> </w:t>
      </w:r>
      <w:r>
        <w:rPr>
          <w:w w:val="105"/>
        </w:rPr>
        <w:t>outstanding</w:t>
      </w:r>
      <w:r>
        <w:rPr>
          <w:spacing w:val="-9"/>
          <w:w w:val="105"/>
        </w:rPr>
        <w:t> </w:t>
      </w:r>
      <w:r>
        <w:rPr>
          <w:w w:val="105"/>
        </w:rPr>
        <w:t>commercial</w:t>
      </w:r>
      <w:r>
        <w:rPr>
          <w:spacing w:val="-8"/>
          <w:w w:val="105"/>
        </w:rPr>
        <w:t> </w:t>
      </w:r>
      <w:r>
        <w:rPr>
          <w:w w:val="105"/>
        </w:rPr>
        <w:t>paper</w:t>
      </w:r>
      <w:r>
        <w:rPr>
          <w:spacing w:val="-9"/>
          <w:w w:val="105"/>
        </w:rPr>
        <w:t> </w:t>
      </w:r>
      <w:r>
        <w:rPr>
          <w:w w:val="105"/>
        </w:rPr>
        <w:t>at</w:t>
      </w:r>
      <w:r>
        <w:rPr>
          <w:spacing w:val="-8"/>
          <w:w w:val="105"/>
        </w:rPr>
        <w:t> </w:t>
      </w:r>
      <w:r>
        <w:rPr>
          <w:w w:val="105"/>
        </w:rPr>
        <w:t>December</w:t>
      </w:r>
      <w:r>
        <w:rPr>
          <w:spacing w:val="-8"/>
          <w:w w:val="105"/>
        </w:rPr>
        <w:t> </w:t>
      </w:r>
      <w:r>
        <w:rPr>
          <w:w w:val="105"/>
        </w:rPr>
        <w:t>31,</w:t>
      </w:r>
      <w:r>
        <w:rPr>
          <w:spacing w:val="-9"/>
          <w:w w:val="105"/>
        </w:rPr>
        <w:t> </w:t>
      </w:r>
      <w:r>
        <w:rPr>
          <w:w w:val="105"/>
        </w:rPr>
        <w:t>2021</w:t>
      </w:r>
      <w:r>
        <w:rPr>
          <w:spacing w:val="-7"/>
          <w:w w:val="105"/>
        </w:rPr>
        <w:t> </w:t>
      </w:r>
      <w:r>
        <w:rPr>
          <w:w w:val="105"/>
        </w:rPr>
        <w:t>and</w:t>
      </w:r>
      <w:r>
        <w:rPr>
          <w:spacing w:val="-9"/>
          <w:w w:val="105"/>
        </w:rPr>
        <w:t> </w:t>
      </w:r>
      <w:r>
        <w:rPr>
          <w:spacing w:val="-2"/>
          <w:w w:val="105"/>
        </w:rPr>
        <w:t>2020.</w:t>
      </w:r>
    </w:p>
    <w:p>
      <w:pPr>
        <w:pStyle w:val="BodyText"/>
        <w:spacing w:before="39"/>
      </w:pPr>
    </w:p>
    <w:p>
      <w:pPr>
        <w:pStyle w:val="BodyText"/>
        <w:spacing w:line="266" w:lineRule="auto"/>
        <w:ind w:left="156"/>
      </w:pPr>
      <w:r>
        <w:rPr>
          <w:w w:val="105"/>
        </w:rPr>
        <w:t>Corning</w:t>
      </w:r>
      <w:r>
        <w:rPr>
          <w:spacing w:val="-9"/>
          <w:w w:val="105"/>
        </w:rPr>
        <w:t> </w:t>
      </w:r>
      <w:r>
        <w:rPr>
          <w:w w:val="105"/>
        </w:rPr>
        <w:t>maintains</w:t>
      </w:r>
      <w:r>
        <w:rPr>
          <w:spacing w:val="-9"/>
          <w:w w:val="105"/>
        </w:rPr>
        <w:t> </w:t>
      </w:r>
      <w:r>
        <w:rPr>
          <w:w w:val="105"/>
        </w:rPr>
        <w:t>a</w:t>
      </w:r>
      <w:r>
        <w:rPr>
          <w:spacing w:val="-9"/>
          <w:w w:val="105"/>
        </w:rPr>
        <w:t> </w:t>
      </w:r>
      <w:r>
        <w:rPr>
          <w:w w:val="105"/>
        </w:rPr>
        <w:t>revolving</w:t>
      </w:r>
      <w:r>
        <w:rPr>
          <w:spacing w:val="-8"/>
          <w:w w:val="105"/>
        </w:rPr>
        <w:t> </w:t>
      </w:r>
      <w:r>
        <w:rPr>
          <w:w w:val="105"/>
        </w:rPr>
        <w:t>credit</w:t>
      </w:r>
      <w:r>
        <w:rPr>
          <w:spacing w:val="-9"/>
          <w:w w:val="105"/>
        </w:rPr>
        <w:t> </w:t>
      </w:r>
      <w:r>
        <w:rPr>
          <w:w w:val="105"/>
        </w:rPr>
        <w:t>agreement</w:t>
      </w:r>
      <w:r>
        <w:rPr>
          <w:spacing w:val="-9"/>
          <w:w w:val="105"/>
        </w:rPr>
        <w:t> </w:t>
      </w:r>
      <w:r>
        <w:rPr>
          <w:w w:val="105"/>
        </w:rPr>
        <w:t>(the</w:t>
      </w:r>
      <w:r>
        <w:rPr>
          <w:spacing w:val="-9"/>
          <w:w w:val="105"/>
        </w:rPr>
        <w:t> </w:t>
      </w:r>
      <w:r>
        <w:rPr>
          <w:w w:val="105"/>
        </w:rPr>
        <w:t>“Revolving</w:t>
      </w:r>
      <w:r>
        <w:rPr>
          <w:spacing w:val="-9"/>
          <w:w w:val="105"/>
        </w:rPr>
        <w:t> </w:t>
      </w:r>
      <w:r>
        <w:rPr>
          <w:w w:val="105"/>
        </w:rPr>
        <w:t>Credit</w:t>
      </w:r>
      <w:r>
        <w:rPr>
          <w:spacing w:val="-9"/>
          <w:w w:val="105"/>
        </w:rPr>
        <w:t> </w:t>
      </w:r>
      <w:r>
        <w:rPr>
          <w:w w:val="105"/>
        </w:rPr>
        <w:t>Agreement”)</w:t>
      </w:r>
      <w:r>
        <w:rPr>
          <w:spacing w:val="-9"/>
          <w:w w:val="105"/>
        </w:rPr>
        <w:t> </w:t>
      </w:r>
      <w:r>
        <w:rPr>
          <w:w w:val="105"/>
        </w:rPr>
        <w:t>which</w:t>
      </w:r>
      <w:r>
        <w:rPr>
          <w:spacing w:val="-9"/>
          <w:w w:val="105"/>
        </w:rPr>
        <w:t> </w:t>
      </w:r>
      <w:r>
        <w:rPr>
          <w:w w:val="105"/>
        </w:rPr>
        <w:t>provides</w:t>
      </w:r>
      <w:r>
        <w:rPr>
          <w:spacing w:val="-9"/>
          <w:w w:val="105"/>
        </w:rPr>
        <w:t> </w:t>
      </w:r>
      <w:r>
        <w:rPr>
          <w:w w:val="105"/>
        </w:rPr>
        <w:t>a</w:t>
      </w:r>
      <w:r>
        <w:rPr>
          <w:spacing w:val="-9"/>
          <w:w w:val="105"/>
        </w:rPr>
        <w:t> </w:t>
      </w:r>
      <w:r>
        <w:rPr>
          <w:w w:val="105"/>
        </w:rPr>
        <w:t>committed</w:t>
      </w:r>
      <w:r>
        <w:rPr>
          <w:spacing w:val="-9"/>
          <w:w w:val="105"/>
        </w:rPr>
        <w:t> </w:t>
      </w:r>
      <w:r>
        <w:rPr>
          <w:w w:val="105"/>
        </w:rPr>
        <w:t>$1.5</w:t>
      </w:r>
      <w:r>
        <w:rPr>
          <w:spacing w:val="-9"/>
          <w:w w:val="105"/>
        </w:rPr>
        <w:t> </w:t>
      </w:r>
      <w:r>
        <w:rPr>
          <w:w w:val="105"/>
        </w:rPr>
        <w:t>billion</w:t>
      </w:r>
      <w:r>
        <w:rPr>
          <w:spacing w:val="-9"/>
          <w:w w:val="105"/>
        </w:rPr>
        <w:t> </w:t>
      </w:r>
      <w:r>
        <w:rPr>
          <w:w w:val="105"/>
        </w:rPr>
        <w:t>unsecured</w:t>
      </w:r>
      <w:r>
        <w:rPr>
          <w:spacing w:val="-9"/>
          <w:w w:val="105"/>
        </w:rPr>
        <w:t> </w:t>
      </w:r>
      <w:r>
        <w:rPr>
          <w:w w:val="105"/>
        </w:rPr>
        <w:t>multi-currency</w:t>
      </w:r>
      <w:r>
        <w:rPr>
          <w:spacing w:val="-9"/>
          <w:w w:val="105"/>
        </w:rPr>
        <w:t> </w:t>
      </w:r>
      <w:r>
        <w:rPr>
          <w:w w:val="105"/>
        </w:rPr>
        <w:t>line</w:t>
      </w:r>
      <w:r>
        <w:rPr>
          <w:spacing w:val="-9"/>
          <w:w w:val="105"/>
        </w:rPr>
        <w:t> </w:t>
      </w:r>
      <w:r>
        <w:rPr>
          <w:w w:val="105"/>
        </w:rPr>
        <w:t>of</w:t>
      </w:r>
      <w:r>
        <w:rPr>
          <w:spacing w:val="-9"/>
          <w:w w:val="105"/>
        </w:rPr>
        <w:t> </w:t>
      </w:r>
      <w:r>
        <w:rPr>
          <w:w w:val="105"/>
        </w:rPr>
        <w:t>credit</w:t>
      </w:r>
      <w:r>
        <w:rPr>
          <w:spacing w:val="-9"/>
          <w:w w:val="105"/>
        </w:rPr>
        <w:t> </w:t>
      </w:r>
      <w:r>
        <w:rPr>
          <w:w w:val="105"/>
        </w:rPr>
        <w:t>and expires on August 15, 2023. At December 31, 2021, there were no outstanding amounts under the Revolving Credit Agreement.</w:t>
      </w:r>
    </w:p>
    <w:p>
      <w:pPr>
        <w:pStyle w:val="BodyText"/>
        <w:spacing w:before="19"/>
      </w:pPr>
    </w:p>
    <w:p>
      <w:pPr>
        <w:pStyle w:val="BodyText"/>
        <w:ind w:left="48"/>
        <w:jc w:val="center"/>
      </w:pPr>
      <w:r>
        <w:rPr>
          <w:spacing w:val="-5"/>
          <w:w w:val="105"/>
        </w:rPr>
        <w:t>92</w:t>
      </w:r>
    </w:p>
    <w:p>
      <w:pPr>
        <w:pStyle w:val="BodyText"/>
        <w:rPr>
          <w:sz w:val="6"/>
        </w:rPr>
      </w:pPr>
      <w:r>
        <w:rPr/>
        <mc:AlternateContent>
          <mc:Choice Requires="wps">
            <w:drawing>
              <wp:anchor distT="0" distB="0" distL="0" distR="0" allowOverlap="1" layoutInCell="1" locked="0" behindDoc="1" simplePos="0" relativeHeight="487694848">
                <wp:simplePos x="0" y="0"/>
                <wp:positionH relativeFrom="page">
                  <wp:posOffset>226488</wp:posOffset>
                </wp:positionH>
                <wp:positionV relativeFrom="paragraph">
                  <wp:posOffset>59051</wp:posOffset>
                </wp:positionV>
                <wp:extent cx="7312659" cy="16510"/>
                <wp:effectExtent l="0" t="0" r="0" b="0"/>
                <wp:wrapTopAndBottom/>
                <wp:docPr id="432" name="Graphic 432"/>
                <wp:cNvGraphicFramePr>
                  <a:graphicFrameLocks/>
                </wp:cNvGraphicFramePr>
                <a:graphic>
                  <a:graphicData uri="http://schemas.microsoft.com/office/word/2010/wordprocessingShape">
                    <wps:wsp>
                      <wps:cNvPr id="432" name="Graphic 432"/>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21632;mso-wrap-distance-left:0;mso-wrap-distance-right:0" id="docshape431"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numPr>
          <w:ilvl w:val="0"/>
          <w:numId w:val="46"/>
        </w:numPr>
        <w:tabs>
          <w:tab w:pos="445" w:val="left" w:leader="none"/>
        </w:tabs>
        <w:spacing w:line="240" w:lineRule="auto" w:before="0" w:after="0"/>
        <w:ind w:left="445" w:right="0" w:hanging="289"/>
        <w:jc w:val="left"/>
      </w:pPr>
      <w:r>
        <w:rPr>
          <w:w w:val="105"/>
        </w:rPr>
        <w:t>Debt</w:t>
      </w:r>
      <w:r>
        <w:rPr>
          <w:spacing w:val="-8"/>
          <w:w w:val="105"/>
        </w:rPr>
        <w:t> </w:t>
      </w:r>
      <w:r>
        <w:rPr>
          <w:spacing w:val="-2"/>
          <w:w w:val="105"/>
        </w:rPr>
        <w:t>(Continued)</w:t>
      </w:r>
    </w:p>
    <w:p>
      <w:pPr>
        <w:pStyle w:val="BodyText"/>
        <w:spacing w:before="40"/>
        <w:rPr>
          <w:b/>
        </w:rPr>
      </w:pPr>
    </w:p>
    <w:p>
      <w:pPr>
        <w:pStyle w:val="BodyText"/>
        <w:ind w:left="156"/>
      </w:pPr>
      <w:r>
        <w:rPr>
          <w:w w:val="105"/>
        </w:rPr>
        <w:t>The</w:t>
      </w:r>
      <w:r>
        <w:rPr>
          <w:spacing w:val="-9"/>
          <w:w w:val="105"/>
        </w:rPr>
        <w:t> </w:t>
      </w:r>
      <w:r>
        <w:rPr>
          <w:w w:val="105"/>
        </w:rPr>
        <w:t>following</w:t>
      </w:r>
      <w:r>
        <w:rPr>
          <w:spacing w:val="-8"/>
          <w:w w:val="105"/>
        </w:rPr>
        <w:t> </w:t>
      </w:r>
      <w:r>
        <w:rPr>
          <w:w w:val="105"/>
        </w:rPr>
        <w:t>table</w:t>
      </w:r>
      <w:r>
        <w:rPr>
          <w:spacing w:val="-8"/>
          <w:w w:val="105"/>
        </w:rPr>
        <w:t> </w:t>
      </w:r>
      <w:r>
        <w:rPr>
          <w:w w:val="105"/>
        </w:rPr>
        <w:t>shows</w:t>
      </w:r>
      <w:r>
        <w:rPr>
          <w:spacing w:val="-8"/>
          <w:w w:val="105"/>
        </w:rPr>
        <w:t> </w:t>
      </w:r>
      <w:r>
        <w:rPr>
          <w:w w:val="105"/>
        </w:rPr>
        <w:t>debt</w:t>
      </w:r>
      <w:r>
        <w:rPr>
          <w:spacing w:val="-8"/>
          <w:w w:val="105"/>
        </w:rPr>
        <w:t> </w:t>
      </w:r>
      <w:r>
        <w:rPr>
          <w:w w:val="105"/>
        </w:rPr>
        <w:t>maturities</w:t>
      </w:r>
      <w:r>
        <w:rPr>
          <w:spacing w:val="-8"/>
          <w:w w:val="105"/>
        </w:rPr>
        <w:t> </w:t>
      </w:r>
      <w:r>
        <w:rPr>
          <w:w w:val="105"/>
        </w:rPr>
        <w:t>by</w:t>
      </w:r>
      <w:r>
        <w:rPr>
          <w:spacing w:val="-8"/>
          <w:w w:val="105"/>
        </w:rPr>
        <w:t> </w:t>
      </w:r>
      <w:r>
        <w:rPr>
          <w:w w:val="105"/>
        </w:rPr>
        <w:t>year</w:t>
      </w:r>
      <w:r>
        <w:rPr>
          <w:spacing w:val="-8"/>
          <w:w w:val="105"/>
        </w:rPr>
        <w:t> </w:t>
      </w:r>
      <w:r>
        <w:rPr>
          <w:w w:val="105"/>
        </w:rPr>
        <w:t>at</w:t>
      </w:r>
      <w:r>
        <w:rPr>
          <w:spacing w:val="28"/>
          <w:w w:val="105"/>
        </w:rPr>
        <w:t> </w:t>
      </w:r>
      <w:r>
        <w:rPr>
          <w:w w:val="105"/>
        </w:rPr>
        <w:t>December</w:t>
      </w:r>
      <w:r>
        <w:rPr>
          <w:spacing w:val="-9"/>
          <w:w w:val="105"/>
        </w:rPr>
        <w:t> </w:t>
      </w:r>
      <w:r>
        <w:rPr>
          <w:w w:val="105"/>
        </w:rPr>
        <w:t>31,</w:t>
      </w:r>
      <w:r>
        <w:rPr>
          <w:spacing w:val="-8"/>
          <w:w w:val="105"/>
        </w:rPr>
        <w:t> </w:t>
      </w:r>
      <w:r>
        <w:rPr>
          <w:w w:val="105"/>
        </w:rPr>
        <w:t>2021</w:t>
      </w:r>
      <w:r>
        <w:rPr>
          <w:spacing w:val="-7"/>
          <w:w w:val="105"/>
        </w:rPr>
        <w:t> </w:t>
      </w:r>
      <w:r>
        <w:rPr>
          <w:w w:val="105"/>
        </w:rPr>
        <w:t>(in</w:t>
      </w:r>
      <w:r>
        <w:rPr>
          <w:spacing w:val="-8"/>
          <w:w w:val="105"/>
        </w:rPr>
        <w:t> </w:t>
      </w:r>
      <w:r>
        <w:rPr>
          <w:w w:val="105"/>
        </w:rPr>
        <w:t>millions)</w:t>
      </w:r>
      <w:r>
        <w:rPr>
          <w:spacing w:val="-7"/>
          <w:w w:val="105"/>
        </w:rPr>
        <w:t> </w:t>
      </w:r>
      <w:r>
        <w:rPr>
          <w:spacing w:val="-4"/>
          <w:w w:val="105"/>
          <w:sz w:val="14"/>
        </w:rPr>
        <w:t>(1)</w:t>
      </w:r>
      <w:r>
        <w:rPr>
          <w:spacing w:val="-4"/>
          <w:w w:val="105"/>
        </w:rPr>
        <w:t>:</w:t>
      </w:r>
    </w:p>
    <w:p>
      <w:pPr>
        <w:pStyle w:val="BodyText"/>
        <w:spacing w:before="5" w:after="1"/>
        <w:rPr>
          <w:sz w:val="12"/>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962"/>
        <w:gridCol w:w="1080"/>
        <w:gridCol w:w="844"/>
        <w:gridCol w:w="1220"/>
        <w:gridCol w:w="844"/>
        <w:gridCol w:w="1220"/>
        <w:gridCol w:w="844"/>
        <w:gridCol w:w="1261"/>
        <w:gridCol w:w="802"/>
        <w:gridCol w:w="1732"/>
      </w:tblGrid>
      <w:tr>
        <w:trPr>
          <w:trHeight w:val="200" w:hRule="atLeast"/>
        </w:trPr>
        <w:tc>
          <w:tcPr>
            <w:tcW w:w="707" w:type="dxa"/>
            <w:tcBorders>
              <w:top w:val="single" w:sz="12" w:space="0" w:color="000000"/>
              <w:bottom w:val="single" w:sz="6" w:space="0" w:color="000000"/>
            </w:tcBorders>
          </w:tcPr>
          <w:p>
            <w:pPr>
              <w:pStyle w:val="TableParagraph"/>
              <w:spacing w:line="179" w:lineRule="exact" w:before="1"/>
              <w:ind w:left="305"/>
              <w:rPr>
                <w:sz w:val="16"/>
              </w:rPr>
            </w:pPr>
            <w:r>
              <w:rPr>
                <w:spacing w:val="-4"/>
                <w:w w:val="105"/>
                <w:sz w:val="16"/>
              </w:rPr>
              <w:t>2022</w:t>
            </w:r>
          </w:p>
        </w:tc>
        <w:tc>
          <w:tcPr>
            <w:tcW w:w="962" w:type="dxa"/>
            <w:tcBorders>
              <w:top w:val="single" w:sz="12" w:space="0" w:color="000000"/>
              <w:bottom w:val="single" w:sz="6" w:space="0" w:color="000000"/>
            </w:tcBorders>
          </w:tcPr>
          <w:p>
            <w:pPr>
              <w:pStyle w:val="TableParagraph"/>
              <w:rPr>
                <w:sz w:val="12"/>
              </w:rPr>
            </w:pPr>
          </w:p>
        </w:tc>
        <w:tc>
          <w:tcPr>
            <w:tcW w:w="1080" w:type="dxa"/>
            <w:tcBorders>
              <w:top w:val="single" w:sz="12" w:space="0" w:color="000000"/>
              <w:bottom w:val="single" w:sz="6" w:space="0" w:color="000000"/>
            </w:tcBorders>
          </w:tcPr>
          <w:p>
            <w:pPr>
              <w:pStyle w:val="TableParagraph"/>
              <w:spacing w:line="179" w:lineRule="exact" w:before="1"/>
              <w:ind w:right="20"/>
              <w:jc w:val="right"/>
              <w:rPr>
                <w:sz w:val="16"/>
              </w:rPr>
            </w:pPr>
            <w:r>
              <w:rPr>
                <w:spacing w:val="-4"/>
                <w:w w:val="105"/>
                <w:sz w:val="16"/>
              </w:rPr>
              <w:t>2023</w:t>
            </w:r>
          </w:p>
        </w:tc>
        <w:tc>
          <w:tcPr>
            <w:tcW w:w="844" w:type="dxa"/>
            <w:tcBorders>
              <w:top w:val="single" w:sz="12" w:space="0" w:color="000000"/>
              <w:bottom w:val="single" w:sz="6" w:space="0" w:color="000000"/>
            </w:tcBorders>
          </w:tcPr>
          <w:p>
            <w:pPr>
              <w:pStyle w:val="TableParagraph"/>
              <w:rPr>
                <w:sz w:val="12"/>
              </w:rPr>
            </w:pPr>
          </w:p>
        </w:tc>
        <w:tc>
          <w:tcPr>
            <w:tcW w:w="1220" w:type="dxa"/>
            <w:tcBorders>
              <w:top w:val="single" w:sz="12" w:space="0" w:color="000000"/>
              <w:bottom w:val="single" w:sz="6" w:space="0" w:color="000000"/>
            </w:tcBorders>
          </w:tcPr>
          <w:p>
            <w:pPr>
              <w:pStyle w:val="TableParagraph"/>
              <w:spacing w:line="179" w:lineRule="exact" w:before="1"/>
              <w:ind w:right="21"/>
              <w:jc w:val="right"/>
              <w:rPr>
                <w:sz w:val="16"/>
              </w:rPr>
            </w:pPr>
            <w:r>
              <w:rPr>
                <w:spacing w:val="-4"/>
                <w:w w:val="105"/>
                <w:sz w:val="16"/>
              </w:rPr>
              <w:t>2024</w:t>
            </w:r>
          </w:p>
        </w:tc>
        <w:tc>
          <w:tcPr>
            <w:tcW w:w="844" w:type="dxa"/>
            <w:tcBorders>
              <w:top w:val="single" w:sz="12" w:space="0" w:color="000000"/>
              <w:bottom w:val="single" w:sz="6" w:space="0" w:color="000000"/>
            </w:tcBorders>
          </w:tcPr>
          <w:p>
            <w:pPr>
              <w:pStyle w:val="TableParagraph"/>
              <w:rPr>
                <w:sz w:val="12"/>
              </w:rPr>
            </w:pPr>
          </w:p>
        </w:tc>
        <w:tc>
          <w:tcPr>
            <w:tcW w:w="1220" w:type="dxa"/>
            <w:tcBorders>
              <w:top w:val="single" w:sz="12" w:space="0" w:color="000000"/>
              <w:bottom w:val="single" w:sz="6" w:space="0" w:color="000000"/>
            </w:tcBorders>
          </w:tcPr>
          <w:p>
            <w:pPr>
              <w:pStyle w:val="TableParagraph"/>
              <w:spacing w:line="179" w:lineRule="exact" w:before="1"/>
              <w:ind w:right="21"/>
              <w:jc w:val="right"/>
              <w:rPr>
                <w:sz w:val="16"/>
              </w:rPr>
            </w:pPr>
            <w:r>
              <w:rPr>
                <w:spacing w:val="-4"/>
                <w:w w:val="105"/>
                <w:sz w:val="16"/>
              </w:rPr>
              <w:t>2025</w:t>
            </w:r>
          </w:p>
        </w:tc>
        <w:tc>
          <w:tcPr>
            <w:tcW w:w="844" w:type="dxa"/>
            <w:tcBorders>
              <w:top w:val="single" w:sz="12" w:space="0" w:color="000000"/>
              <w:bottom w:val="single" w:sz="6" w:space="0" w:color="000000"/>
            </w:tcBorders>
          </w:tcPr>
          <w:p>
            <w:pPr>
              <w:pStyle w:val="TableParagraph"/>
              <w:rPr>
                <w:sz w:val="12"/>
              </w:rPr>
            </w:pPr>
          </w:p>
        </w:tc>
        <w:tc>
          <w:tcPr>
            <w:tcW w:w="1261" w:type="dxa"/>
            <w:tcBorders>
              <w:top w:val="single" w:sz="12" w:space="0" w:color="000000"/>
              <w:bottom w:val="single" w:sz="6" w:space="0" w:color="000000"/>
            </w:tcBorders>
          </w:tcPr>
          <w:p>
            <w:pPr>
              <w:pStyle w:val="TableParagraph"/>
              <w:spacing w:line="179" w:lineRule="exact" w:before="1"/>
              <w:ind w:right="63"/>
              <w:jc w:val="right"/>
              <w:rPr>
                <w:sz w:val="16"/>
              </w:rPr>
            </w:pPr>
            <w:r>
              <w:rPr>
                <w:spacing w:val="-4"/>
                <w:w w:val="105"/>
                <w:sz w:val="16"/>
              </w:rPr>
              <w:t>2026</w:t>
            </w:r>
          </w:p>
        </w:tc>
        <w:tc>
          <w:tcPr>
            <w:tcW w:w="802" w:type="dxa"/>
            <w:tcBorders>
              <w:top w:val="single" w:sz="12" w:space="0" w:color="000000"/>
              <w:bottom w:val="single" w:sz="6" w:space="0" w:color="000000"/>
            </w:tcBorders>
          </w:tcPr>
          <w:p>
            <w:pPr>
              <w:pStyle w:val="TableParagraph"/>
              <w:rPr>
                <w:sz w:val="12"/>
              </w:rPr>
            </w:pPr>
          </w:p>
        </w:tc>
        <w:tc>
          <w:tcPr>
            <w:tcW w:w="1732" w:type="dxa"/>
            <w:tcBorders>
              <w:top w:val="single" w:sz="12" w:space="0" w:color="000000"/>
              <w:bottom w:val="single" w:sz="6" w:space="0" w:color="000000"/>
            </w:tcBorders>
          </w:tcPr>
          <w:p>
            <w:pPr>
              <w:pStyle w:val="TableParagraph"/>
              <w:spacing w:line="179" w:lineRule="exact" w:before="1"/>
              <w:ind w:left="456"/>
              <w:jc w:val="center"/>
              <w:rPr>
                <w:sz w:val="16"/>
              </w:rPr>
            </w:pPr>
            <w:r>
              <w:rPr>
                <w:spacing w:val="-2"/>
                <w:w w:val="105"/>
                <w:sz w:val="16"/>
              </w:rPr>
              <w:t>Thereafter</w:t>
            </w:r>
          </w:p>
        </w:tc>
      </w:tr>
      <w:tr>
        <w:trPr>
          <w:trHeight w:val="199" w:hRule="atLeast"/>
        </w:trPr>
        <w:tc>
          <w:tcPr>
            <w:tcW w:w="707" w:type="dxa"/>
            <w:tcBorders>
              <w:top w:val="single" w:sz="6" w:space="0" w:color="000000"/>
              <w:bottom w:val="double" w:sz="6" w:space="0" w:color="000000"/>
            </w:tcBorders>
            <w:shd w:val="clear" w:color="auto" w:fill="CCEDFF"/>
          </w:tcPr>
          <w:p>
            <w:pPr>
              <w:pStyle w:val="TableParagraph"/>
              <w:spacing w:line="177" w:lineRule="exact" w:before="2"/>
              <w:rPr>
                <w:sz w:val="16"/>
              </w:rPr>
            </w:pPr>
            <w:r>
              <w:rPr>
                <w:spacing w:val="-10"/>
                <w:w w:val="105"/>
                <w:sz w:val="16"/>
              </w:rPr>
              <w:t>$</w:t>
            </w:r>
          </w:p>
        </w:tc>
        <w:tc>
          <w:tcPr>
            <w:tcW w:w="962" w:type="dxa"/>
            <w:tcBorders>
              <w:top w:val="single" w:sz="6" w:space="0" w:color="000000"/>
              <w:bottom w:val="double" w:sz="6" w:space="0" w:color="000000"/>
            </w:tcBorders>
            <w:shd w:val="clear" w:color="auto" w:fill="CCEDFF"/>
          </w:tcPr>
          <w:p>
            <w:pPr>
              <w:pStyle w:val="TableParagraph"/>
              <w:spacing w:line="177" w:lineRule="exact" w:before="2"/>
              <w:ind w:left="70"/>
              <w:rPr>
                <w:sz w:val="16"/>
              </w:rPr>
            </w:pPr>
            <w:r>
              <w:rPr>
                <w:spacing w:val="-5"/>
                <w:w w:val="105"/>
                <w:sz w:val="16"/>
              </w:rPr>
              <w:t>55</w:t>
            </w:r>
          </w:p>
        </w:tc>
        <w:tc>
          <w:tcPr>
            <w:tcW w:w="1080" w:type="dxa"/>
            <w:tcBorders>
              <w:top w:val="single" w:sz="6" w:space="0" w:color="000000"/>
              <w:bottom w:val="double" w:sz="6" w:space="0" w:color="000000"/>
            </w:tcBorders>
            <w:shd w:val="clear" w:color="auto" w:fill="CCEDFF"/>
          </w:tcPr>
          <w:p>
            <w:pPr>
              <w:pStyle w:val="TableParagraph"/>
              <w:rPr>
                <w:sz w:val="12"/>
              </w:rPr>
            </w:pPr>
          </w:p>
        </w:tc>
        <w:tc>
          <w:tcPr>
            <w:tcW w:w="844" w:type="dxa"/>
            <w:tcBorders>
              <w:top w:val="single" w:sz="6" w:space="0" w:color="000000"/>
              <w:bottom w:val="double" w:sz="6" w:space="0" w:color="000000"/>
            </w:tcBorders>
            <w:shd w:val="clear" w:color="auto" w:fill="CCEDFF"/>
          </w:tcPr>
          <w:p>
            <w:pPr>
              <w:pStyle w:val="TableParagraph"/>
              <w:spacing w:line="177" w:lineRule="exact" w:before="2"/>
              <w:ind w:left="21"/>
              <w:rPr>
                <w:sz w:val="16"/>
              </w:rPr>
            </w:pPr>
            <w:r>
              <w:rPr>
                <w:spacing w:val="-5"/>
                <w:w w:val="105"/>
                <w:sz w:val="16"/>
              </w:rPr>
              <w:t>141</w:t>
            </w:r>
          </w:p>
        </w:tc>
        <w:tc>
          <w:tcPr>
            <w:tcW w:w="1220" w:type="dxa"/>
            <w:tcBorders>
              <w:top w:val="single" w:sz="6" w:space="0" w:color="000000"/>
              <w:bottom w:val="double" w:sz="6" w:space="0" w:color="000000"/>
            </w:tcBorders>
            <w:shd w:val="clear" w:color="auto" w:fill="CCEDFF"/>
          </w:tcPr>
          <w:p>
            <w:pPr>
              <w:pStyle w:val="TableParagraph"/>
              <w:spacing w:line="177" w:lineRule="exact" w:before="2"/>
              <w:ind w:left="7"/>
              <w:jc w:val="center"/>
              <w:rPr>
                <w:sz w:val="16"/>
              </w:rPr>
            </w:pPr>
            <w:r>
              <w:rPr>
                <w:spacing w:val="-10"/>
                <w:w w:val="105"/>
                <w:sz w:val="16"/>
              </w:rPr>
              <w:t>$</w:t>
            </w:r>
          </w:p>
        </w:tc>
        <w:tc>
          <w:tcPr>
            <w:tcW w:w="844" w:type="dxa"/>
            <w:tcBorders>
              <w:top w:val="single" w:sz="6" w:space="0" w:color="000000"/>
              <w:bottom w:val="double" w:sz="6" w:space="0" w:color="000000"/>
            </w:tcBorders>
            <w:shd w:val="clear" w:color="auto" w:fill="CCEDFF"/>
          </w:tcPr>
          <w:p>
            <w:pPr>
              <w:pStyle w:val="TableParagraph"/>
              <w:spacing w:line="177" w:lineRule="exact" w:before="2"/>
              <w:ind w:left="21"/>
              <w:rPr>
                <w:sz w:val="16"/>
              </w:rPr>
            </w:pPr>
            <w:r>
              <w:rPr>
                <w:spacing w:val="-5"/>
                <w:w w:val="105"/>
                <w:sz w:val="16"/>
              </w:rPr>
              <w:t>293</w:t>
            </w:r>
          </w:p>
        </w:tc>
        <w:tc>
          <w:tcPr>
            <w:tcW w:w="1220" w:type="dxa"/>
            <w:tcBorders>
              <w:top w:val="single" w:sz="6" w:space="0" w:color="000000"/>
              <w:bottom w:val="double" w:sz="6" w:space="0" w:color="000000"/>
            </w:tcBorders>
            <w:shd w:val="clear" w:color="auto" w:fill="CCEDFF"/>
          </w:tcPr>
          <w:p>
            <w:pPr>
              <w:pStyle w:val="TableParagraph"/>
              <w:spacing w:line="177" w:lineRule="exact" w:before="2"/>
              <w:ind w:left="7" w:right="1"/>
              <w:jc w:val="center"/>
              <w:rPr>
                <w:sz w:val="16"/>
              </w:rPr>
            </w:pPr>
            <w:r>
              <w:rPr>
                <w:spacing w:val="-10"/>
                <w:w w:val="105"/>
                <w:sz w:val="16"/>
              </w:rPr>
              <w:t>$</w:t>
            </w:r>
          </w:p>
        </w:tc>
        <w:tc>
          <w:tcPr>
            <w:tcW w:w="844" w:type="dxa"/>
            <w:tcBorders>
              <w:top w:val="single" w:sz="6" w:space="0" w:color="000000"/>
              <w:bottom w:val="double" w:sz="6" w:space="0" w:color="000000"/>
            </w:tcBorders>
            <w:shd w:val="clear" w:color="auto" w:fill="CCEDFF"/>
          </w:tcPr>
          <w:p>
            <w:pPr>
              <w:pStyle w:val="TableParagraph"/>
              <w:spacing w:line="177" w:lineRule="exact" w:before="2"/>
              <w:ind w:left="20"/>
              <w:rPr>
                <w:sz w:val="16"/>
              </w:rPr>
            </w:pPr>
            <w:r>
              <w:rPr>
                <w:spacing w:val="-5"/>
                <w:w w:val="105"/>
                <w:sz w:val="16"/>
              </w:rPr>
              <w:t>166</w:t>
            </w:r>
          </w:p>
        </w:tc>
        <w:tc>
          <w:tcPr>
            <w:tcW w:w="1261" w:type="dxa"/>
            <w:tcBorders>
              <w:top w:val="single" w:sz="6" w:space="0" w:color="000000"/>
              <w:bottom w:val="double" w:sz="6" w:space="0" w:color="000000"/>
            </w:tcBorders>
            <w:shd w:val="clear" w:color="auto" w:fill="CCEDFF"/>
          </w:tcPr>
          <w:p>
            <w:pPr>
              <w:pStyle w:val="TableParagraph"/>
              <w:spacing w:line="177" w:lineRule="exact" w:before="2"/>
              <w:ind w:right="32"/>
              <w:jc w:val="center"/>
              <w:rPr>
                <w:sz w:val="16"/>
              </w:rPr>
            </w:pPr>
            <w:r>
              <w:rPr>
                <w:spacing w:val="-10"/>
                <w:w w:val="105"/>
                <w:sz w:val="16"/>
              </w:rPr>
              <w:t>$</w:t>
            </w:r>
          </w:p>
        </w:tc>
        <w:tc>
          <w:tcPr>
            <w:tcW w:w="802" w:type="dxa"/>
            <w:tcBorders>
              <w:top w:val="single" w:sz="6" w:space="0" w:color="000000"/>
              <w:bottom w:val="double" w:sz="6" w:space="0" w:color="000000"/>
            </w:tcBorders>
            <w:shd w:val="clear" w:color="auto" w:fill="CCEDFF"/>
          </w:tcPr>
          <w:p>
            <w:pPr>
              <w:pStyle w:val="TableParagraph"/>
              <w:spacing w:line="177" w:lineRule="exact" w:before="2"/>
              <w:ind w:left="62"/>
              <w:rPr>
                <w:sz w:val="16"/>
              </w:rPr>
            </w:pPr>
            <w:r>
              <w:rPr>
                <w:spacing w:val="-5"/>
                <w:w w:val="105"/>
                <w:sz w:val="16"/>
              </w:rPr>
              <w:t>36</w:t>
            </w:r>
          </w:p>
        </w:tc>
        <w:tc>
          <w:tcPr>
            <w:tcW w:w="1732" w:type="dxa"/>
            <w:tcBorders>
              <w:top w:val="single" w:sz="6" w:space="0" w:color="000000"/>
              <w:bottom w:val="double" w:sz="6" w:space="0" w:color="000000"/>
            </w:tcBorders>
            <w:shd w:val="clear" w:color="auto" w:fill="CCEDFF"/>
          </w:tcPr>
          <w:p>
            <w:pPr>
              <w:pStyle w:val="TableParagraph"/>
              <w:tabs>
                <w:tab w:pos="1129" w:val="left" w:leader="none"/>
              </w:tabs>
              <w:spacing w:line="177" w:lineRule="exact" w:before="2"/>
              <w:ind w:left="457"/>
              <w:jc w:val="center"/>
              <w:rPr>
                <w:sz w:val="16"/>
              </w:rPr>
            </w:pPr>
            <w:r>
              <w:rPr>
                <w:spacing w:val="-10"/>
                <w:w w:val="105"/>
                <w:sz w:val="16"/>
              </w:rPr>
              <w:t>$</w:t>
            </w:r>
            <w:r>
              <w:rPr>
                <w:sz w:val="16"/>
              </w:rPr>
              <w:tab/>
            </w:r>
            <w:r>
              <w:rPr>
                <w:spacing w:val="-2"/>
                <w:w w:val="105"/>
                <w:sz w:val="16"/>
              </w:rPr>
              <w:t>6,353</w:t>
            </w:r>
          </w:p>
        </w:tc>
      </w:tr>
    </w:tbl>
    <w:p>
      <w:pPr>
        <w:spacing w:before="183"/>
        <w:ind w:left="156" w:right="0" w:firstLine="0"/>
        <w:jc w:val="left"/>
        <w:rPr>
          <w:sz w:val="14"/>
        </w:rPr>
      </w:pPr>
      <w:r>
        <w:rPr>
          <w:sz w:val="14"/>
        </w:rPr>
        <w:t>(1)</w:t>
      </w:r>
      <w:r>
        <w:rPr>
          <w:spacing w:val="33"/>
          <w:sz w:val="14"/>
        </w:rPr>
        <w:t>  </w:t>
      </w:r>
      <w:r>
        <w:rPr>
          <w:sz w:val="14"/>
        </w:rPr>
        <w:t>Excludes</w:t>
      </w:r>
      <w:r>
        <w:rPr>
          <w:spacing w:val="-1"/>
          <w:sz w:val="14"/>
        </w:rPr>
        <w:t> </w:t>
      </w:r>
      <w:r>
        <w:rPr>
          <w:sz w:val="14"/>
        </w:rPr>
        <w:t>interest</w:t>
      </w:r>
      <w:r>
        <w:rPr>
          <w:spacing w:val="-1"/>
          <w:sz w:val="14"/>
        </w:rPr>
        <w:t> </w:t>
      </w:r>
      <w:r>
        <w:rPr>
          <w:sz w:val="14"/>
        </w:rPr>
        <w:t>rate</w:t>
      </w:r>
      <w:r>
        <w:rPr>
          <w:spacing w:val="-1"/>
          <w:sz w:val="14"/>
        </w:rPr>
        <w:t> </w:t>
      </w:r>
      <w:r>
        <w:rPr>
          <w:sz w:val="14"/>
        </w:rPr>
        <w:t>swap</w:t>
      </w:r>
      <w:r>
        <w:rPr>
          <w:spacing w:val="-1"/>
          <w:sz w:val="14"/>
        </w:rPr>
        <w:t> </w:t>
      </w:r>
      <w:r>
        <w:rPr>
          <w:sz w:val="14"/>
        </w:rPr>
        <w:t>gains,</w:t>
      </w:r>
      <w:r>
        <w:rPr>
          <w:spacing w:val="-2"/>
          <w:sz w:val="14"/>
        </w:rPr>
        <w:t> </w:t>
      </w:r>
      <w:r>
        <w:rPr>
          <w:sz w:val="14"/>
        </w:rPr>
        <w:t>bond</w:t>
      </w:r>
      <w:r>
        <w:rPr>
          <w:spacing w:val="-1"/>
          <w:sz w:val="14"/>
        </w:rPr>
        <w:t> </w:t>
      </w:r>
      <w:r>
        <w:rPr>
          <w:sz w:val="14"/>
        </w:rPr>
        <w:t>discounts</w:t>
      </w:r>
      <w:r>
        <w:rPr>
          <w:spacing w:val="-1"/>
          <w:sz w:val="14"/>
        </w:rPr>
        <w:t> </w:t>
      </w:r>
      <w:r>
        <w:rPr>
          <w:sz w:val="14"/>
        </w:rPr>
        <w:t>and</w:t>
      </w:r>
      <w:r>
        <w:rPr>
          <w:spacing w:val="-1"/>
          <w:sz w:val="14"/>
        </w:rPr>
        <w:t> </w:t>
      </w:r>
      <w:r>
        <w:rPr>
          <w:sz w:val="14"/>
        </w:rPr>
        <w:t>deferred</w:t>
      </w:r>
      <w:r>
        <w:rPr>
          <w:spacing w:val="-1"/>
          <w:sz w:val="14"/>
        </w:rPr>
        <w:t> </w:t>
      </w:r>
      <w:r>
        <w:rPr>
          <w:spacing w:val="-2"/>
          <w:sz w:val="14"/>
        </w:rPr>
        <w:t>expenses.</w:t>
      </w:r>
    </w:p>
    <w:p>
      <w:pPr>
        <w:pStyle w:val="BodyText"/>
        <w:spacing w:before="41"/>
        <w:rPr>
          <w:sz w:val="14"/>
        </w:rPr>
      </w:pPr>
    </w:p>
    <w:p>
      <w:pPr>
        <w:pStyle w:val="Heading3"/>
      </w:pPr>
      <w:r>
        <w:rPr>
          <w:spacing w:val="-2"/>
          <w:w w:val="105"/>
        </w:rPr>
        <w:t>Debt Issuances</w:t>
      </w:r>
      <w:r>
        <w:rPr>
          <w:spacing w:val="-1"/>
          <w:w w:val="105"/>
        </w:rPr>
        <w:t> </w:t>
      </w:r>
      <w:r>
        <w:rPr>
          <w:spacing w:val="-2"/>
          <w:w w:val="105"/>
        </w:rPr>
        <w:t>and</w:t>
      </w:r>
      <w:r>
        <w:rPr>
          <w:spacing w:val="-1"/>
          <w:w w:val="105"/>
        </w:rPr>
        <w:t> </w:t>
      </w:r>
      <w:r>
        <w:rPr>
          <w:spacing w:val="-2"/>
          <w:w w:val="105"/>
        </w:rPr>
        <w:t>Repayments</w:t>
      </w:r>
    </w:p>
    <w:p>
      <w:pPr>
        <w:pStyle w:val="BodyText"/>
        <w:spacing w:before="39"/>
        <w:rPr>
          <w:b/>
          <w:i/>
        </w:rPr>
      </w:pPr>
    </w:p>
    <w:p>
      <w:pPr>
        <w:spacing w:before="1"/>
        <w:ind w:left="156" w:right="0" w:firstLine="0"/>
        <w:jc w:val="left"/>
        <w:rPr>
          <w:b/>
          <w:sz w:val="16"/>
        </w:rPr>
      </w:pPr>
      <w:r>
        <w:rPr>
          <w:b/>
          <w:spacing w:val="-4"/>
          <w:w w:val="105"/>
          <w:sz w:val="16"/>
          <w:u w:val="single"/>
        </w:rPr>
        <w:t>2021</w:t>
      </w:r>
    </w:p>
    <w:p>
      <w:pPr>
        <w:pStyle w:val="BodyText"/>
        <w:spacing w:line="266" w:lineRule="auto" w:before="20"/>
        <w:ind w:left="156" w:right="139"/>
      </w:pPr>
      <w:r>
        <w:rPr>
          <w:w w:val="105"/>
        </w:rPr>
        <w:t>In</w:t>
      </w:r>
      <w:r>
        <w:rPr>
          <w:spacing w:val="-2"/>
          <w:w w:val="105"/>
        </w:rPr>
        <w:t> </w:t>
      </w:r>
      <w:r>
        <w:rPr>
          <w:w w:val="105"/>
        </w:rPr>
        <w:t>the</w:t>
      </w:r>
      <w:r>
        <w:rPr>
          <w:spacing w:val="-2"/>
          <w:w w:val="105"/>
        </w:rPr>
        <w:t> </w:t>
      </w:r>
      <w:r>
        <w:rPr>
          <w:w w:val="105"/>
        </w:rPr>
        <w:t>third</w:t>
      </w:r>
      <w:r>
        <w:rPr>
          <w:spacing w:val="-2"/>
          <w:w w:val="105"/>
        </w:rPr>
        <w:t> </w:t>
      </w:r>
      <w:r>
        <w:rPr>
          <w:w w:val="105"/>
        </w:rPr>
        <w:t>quarter</w:t>
      </w:r>
      <w:r>
        <w:rPr>
          <w:spacing w:val="-2"/>
          <w:w w:val="105"/>
        </w:rPr>
        <w:t> </w:t>
      </w:r>
      <w:r>
        <w:rPr>
          <w:w w:val="105"/>
        </w:rPr>
        <w:t>of</w:t>
      </w:r>
      <w:r>
        <w:rPr>
          <w:spacing w:val="-1"/>
          <w:w w:val="105"/>
        </w:rPr>
        <w:t> </w:t>
      </w:r>
      <w:r>
        <w:rPr>
          <w:w w:val="105"/>
        </w:rPr>
        <w:t>2021,</w:t>
      </w:r>
      <w:r>
        <w:rPr>
          <w:spacing w:val="-2"/>
          <w:w w:val="105"/>
        </w:rPr>
        <w:t> </w:t>
      </w:r>
      <w:r>
        <w:rPr>
          <w:w w:val="105"/>
        </w:rPr>
        <w:t>Corning</w:t>
      </w:r>
      <w:r>
        <w:rPr>
          <w:spacing w:val="-2"/>
          <w:w w:val="105"/>
        </w:rPr>
        <w:t> </w:t>
      </w:r>
      <w:r>
        <w:rPr>
          <w:w w:val="105"/>
        </w:rPr>
        <w:t>redeemed</w:t>
      </w:r>
      <w:r>
        <w:rPr>
          <w:spacing w:val="-2"/>
          <w:w w:val="105"/>
        </w:rPr>
        <w:t> </w:t>
      </w:r>
      <w:r>
        <w:rPr>
          <w:w w:val="105"/>
        </w:rPr>
        <w:t>$250</w:t>
      </w:r>
      <w:r>
        <w:rPr>
          <w:spacing w:val="-2"/>
          <w:w w:val="105"/>
        </w:rPr>
        <w:t> </w:t>
      </w:r>
      <w:r>
        <w:rPr>
          <w:w w:val="105"/>
        </w:rPr>
        <w:t>million</w:t>
      </w:r>
      <w:r>
        <w:rPr>
          <w:spacing w:val="-2"/>
          <w:w w:val="105"/>
        </w:rPr>
        <w:t> </w:t>
      </w:r>
      <w:r>
        <w:rPr>
          <w:w w:val="105"/>
        </w:rPr>
        <w:t>of</w:t>
      </w:r>
      <w:r>
        <w:rPr>
          <w:spacing w:val="-2"/>
          <w:w w:val="105"/>
        </w:rPr>
        <w:t> </w:t>
      </w:r>
      <w:r>
        <w:rPr>
          <w:w w:val="105"/>
        </w:rPr>
        <w:t>3.7%</w:t>
      </w:r>
      <w:r>
        <w:rPr>
          <w:spacing w:val="-2"/>
          <w:w w:val="105"/>
        </w:rPr>
        <w:t> </w:t>
      </w:r>
      <w:r>
        <w:rPr>
          <w:w w:val="105"/>
        </w:rPr>
        <w:t>debentures</w:t>
      </w:r>
      <w:r>
        <w:rPr>
          <w:spacing w:val="-2"/>
          <w:w w:val="105"/>
        </w:rPr>
        <w:t> </w:t>
      </w:r>
      <w:r>
        <w:rPr>
          <w:w w:val="105"/>
        </w:rPr>
        <w:t>due</w:t>
      </w:r>
      <w:r>
        <w:rPr>
          <w:spacing w:val="-2"/>
          <w:w w:val="105"/>
        </w:rPr>
        <w:t> </w:t>
      </w:r>
      <w:r>
        <w:rPr>
          <w:w w:val="105"/>
        </w:rPr>
        <w:t>in</w:t>
      </w:r>
      <w:r>
        <w:rPr>
          <w:spacing w:val="-1"/>
          <w:w w:val="105"/>
        </w:rPr>
        <w:t> </w:t>
      </w:r>
      <w:r>
        <w:rPr>
          <w:w w:val="105"/>
        </w:rPr>
        <w:t>2023,</w:t>
      </w:r>
      <w:r>
        <w:rPr>
          <w:spacing w:val="-2"/>
          <w:w w:val="105"/>
        </w:rPr>
        <w:t> </w:t>
      </w:r>
      <w:r>
        <w:rPr>
          <w:w w:val="105"/>
        </w:rPr>
        <w:t>paying</w:t>
      </w:r>
      <w:r>
        <w:rPr>
          <w:spacing w:val="-2"/>
          <w:w w:val="105"/>
        </w:rPr>
        <w:t> </w:t>
      </w:r>
      <w:r>
        <w:rPr>
          <w:w w:val="105"/>
        </w:rPr>
        <w:t>a</w:t>
      </w:r>
      <w:r>
        <w:rPr>
          <w:spacing w:val="-2"/>
          <w:w w:val="105"/>
        </w:rPr>
        <w:t> </w:t>
      </w:r>
      <w:r>
        <w:rPr>
          <w:w w:val="105"/>
        </w:rPr>
        <w:t>premium</w:t>
      </w:r>
      <w:r>
        <w:rPr>
          <w:spacing w:val="-2"/>
          <w:w w:val="105"/>
        </w:rPr>
        <w:t> </w:t>
      </w:r>
      <w:r>
        <w:rPr>
          <w:w w:val="105"/>
        </w:rPr>
        <w:t>of</w:t>
      </w:r>
      <w:r>
        <w:rPr>
          <w:spacing w:val="-2"/>
          <w:w w:val="105"/>
        </w:rPr>
        <w:t> </w:t>
      </w:r>
      <w:r>
        <w:rPr>
          <w:w w:val="105"/>
        </w:rPr>
        <w:t>$19</w:t>
      </w:r>
      <w:r>
        <w:rPr>
          <w:spacing w:val="-2"/>
          <w:w w:val="105"/>
        </w:rPr>
        <w:t> </w:t>
      </w:r>
      <w:r>
        <w:rPr>
          <w:w w:val="105"/>
        </w:rPr>
        <w:t>million</w:t>
      </w:r>
      <w:r>
        <w:rPr>
          <w:spacing w:val="-2"/>
          <w:w w:val="105"/>
        </w:rPr>
        <w:t> </w:t>
      </w:r>
      <w:r>
        <w:rPr>
          <w:w w:val="105"/>
        </w:rPr>
        <w:t>by</w:t>
      </w:r>
      <w:r>
        <w:rPr>
          <w:spacing w:val="-2"/>
          <w:w w:val="105"/>
        </w:rPr>
        <w:t> </w:t>
      </w:r>
      <w:r>
        <w:rPr>
          <w:w w:val="105"/>
        </w:rPr>
        <w:t>exercising</w:t>
      </w:r>
      <w:r>
        <w:rPr>
          <w:spacing w:val="-2"/>
          <w:w w:val="105"/>
        </w:rPr>
        <w:t> </w:t>
      </w:r>
      <w:r>
        <w:rPr>
          <w:w w:val="105"/>
        </w:rPr>
        <w:t>our</w:t>
      </w:r>
      <w:r>
        <w:rPr>
          <w:spacing w:val="-2"/>
          <w:w w:val="105"/>
        </w:rPr>
        <w:t> </w:t>
      </w:r>
      <w:r>
        <w:rPr>
          <w:w w:val="105"/>
        </w:rPr>
        <w:t>make-whole</w:t>
      </w:r>
      <w:r>
        <w:rPr>
          <w:spacing w:val="-2"/>
          <w:w w:val="105"/>
        </w:rPr>
        <w:t> </w:t>
      </w:r>
      <w:r>
        <w:rPr>
          <w:w w:val="105"/>
        </w:rPr>
        <w:t>call.</w:t>
      </w:r>
      <w:r>
        <w:rPr>
          <w:spacing w:val="39"/>
          <w:w w:val="105"/>
        </w:rPr>
        <w:t> </w:t>
      </w:r>
      <w:r>
        <w:rPr>
          <w:w w:val="105"/>
        </w:rPr>
        <w:t>The bond</w:t>
      </w:r>
      <w:r>
        <w:rPr>
          <w:spacing w:val="-8"/>
          <w:w w:val="105"/>
        </w:rPr>
        <w:t> </w:t>
      </w:r>
      <w:r>
        <w:rPr>
          <w:w w:val="105"/>
        </w:rPr>
        <w:t>redemption</w:t>
      </w:r>
      <w:r>
        <w:rPr>
          <w:spacing w:val="-8"/>
          <w:w w:val="105"/>
        </w:rPr>
        <w:t> </w:t>
      </w:r>
      <w:r>
        <w:rPr>
          <w:w w:val="105"/>
        </w:rPr>
        <w:t>resulted</w:t>
      </w:r>
      <w:r>
        <w:rPr>
          <w:spacing w:val="-8"/>
          <w:w w:val="105"/>
        </w:rPr>
        <w:t> </w:t>
      </w:r>
      <w:r>
        <w:rPr>
          <w:w w:val="105"/>
        </w:rPr>
        <w:t>in</w:t>
      </w:r>
      <w:r>
        <w:rPr>
          <w:spacing w:val="-6"/>
          <w:w w:val="105"/>
        </w:rPr>
        <w:t> </w:t>
      </w:r>
      <w:r>
        <w:rPr>
          <w:w w:val="105"/>
        </w:rPr>
        <w:t>a</w:t>
      </w:r>
      <w:r>
        <w:rPr>
          <w:spacing w:val="-8"/>
          <w:w w:val="105"/>
        </w:rPr>
        <w:t> </w:t>
      </w:r>
      <w:r>
        <w:rPr>
          <w:w w:val="105"/>
        </w:rPr>
        <w:t>$20</w:t>
      </w:r>
      <w:r>
        <w:rPr>
          <w:spacing w:val="-8"/>
          <w:w w:val="105"/>
        </w:rPr>
        <w:t> </w:t>
      </w:r>
      <w:r>
        <w:rPr>
          <w:w w:val="105"/>
        </w:rPr>
        <w:t>million</w:t>
      </w:r>
      <w:r>
        <w:rPr>
          <w:spacing w:val="-8"/>
          <w:w w:val="105"/>
        </w:rPr>
        <w:t> </w:t>
      </w:r>
      <w:r>
        <w:rPr>
          <w:w w:val="105"/>
        </w:rPr>
        <w:t>loss</w:t>
      </w:r>
      <w:r>
        <w:rPr>
          <w:spacing w:val="-8"/>
          <w:w w:val="105"/>
        </w:rPr>
        <w:t> </w:t>
      </w:r>
      <w:r>
        <w:rPr>
          <w:w w:val="105"/>
        </w:rPr>
        <w:t>during</w:t>
      </w:r>
      <w:r>
        <w:rPr>
          <w:spacing w:val="-8"/>
          <w:w w:val="105"/>
        </w:rPr>
        <w:t> </w:t>
      </w:r>
      <w:r>
        <w:rPr>
          <w:w w:val="105"/>
        </w:rPr>
        <w:t>the</w:t>
      </w:r>
      <w:r>
        <w:rPr>
          <w:spacing w:val="-8"/>
          <w:w w:val="105"/>
        </w:rPr>
        <w:t> </w:t>
      </w:r>
      <w:r>
        <w:rPr>
          <w:w w:val="105"/>
        </w:rPr>
        <w:t>same</w:t>
      </w:r>
      <w:r>
        <w:rPr>
          <w:spacing w:val="-8"/>
          <w:w w:val="105"/>
        </w:rPr>
        <w:t> </w:t>
      </w:r>
      <w:r>
        <w:rPr>
          <w:w w:val="105"/>
        </w:rPr>
        <w:t>quarter.</w:t>
      </w:r>
      <w:r>
        <w:rPr>
          <w:spacing w:val="27"/>
          <w:w w:val="105"/>
        </w:rPr>
        <w:t> </w:t>
      </w:r>
      <w:r>
        <w:rPr>
          <w:w w:val="105"/>
        </w:rPr>
        <w:t>The</w:t>
      </w:r>
      <w:r>
        <w:rPr>
          <w:spacing w:val="-8"/>
          <w:w w:val="105"/>
        </w:rPr>
        <w:t> </w:t>
      </w:r>
      <w:r>
        <w:rPr>
          <w:w w:val="105"/>
        </w:rPr>
        <w:t>total</w:t>
      </w:r>
      <w:r>
        <w:rPr>
          <w:spacing w:val="-8"/>
          <w:w w:val="105"/>
        </w:rPr>
        <w:t> </w:t>
      </w:r>
      <w:r>
        <w:rPr>
          <w:w w:val="105"/>
        </w:rPr>
        <w:t>payment</w:t>
      </w:r>
      <w:r>
        <w:rPr>
          <w:spacing w:val="-8"/>
          <w:w w:val="105"/>
        </w:rPr>
        <w:t> </w:t>
      </w:r>
      <w:r>
        <w:rPr>
          <w:w w:val="105"/>
        </w:rPr>
        <w:t>of</w:t>
      </w:r>
      <w:r>
        <w:rPr>
          <w:spacing w:val="-8"/>
          <w:w w:val="105"/>
        </w:rPr>
        <w:t> </w:t>
      </w:r>
      <w:r>
        <w:rPr>
          <w:w w:val="105"/>
        </w:rPr>
        <w:t>$269</w:t>
      </w:r>
      <w:r>
        <w:rPr>
          <w:spacing w:val="-8"/>
          <w:w w:val="105"/>
        </w:rPr>
        <w:t> </w:t>
      </w:r>
      <w:r>
        <w:rPr>
          <w:w w:val="105"/>
        </w:rPr>
        <w:t>million</w:t>
      </w:r>
      <w:r>
        <w:rPr>
          <w:spacing w:val="-8"/>
          <w:w w:val="105"/>
        </w:rPr>
        <w:t> </w:t>
      </w:r>
      <w:r>
        <w:rPr>
          <w:w w:val="105"/>
        </w:rPr>
        <w:t>is</w:t>
      </w:r>
      <w:r>
        <w:rPr>
          <w:spacing w:val="-8"/>
          <w:w w:val="105"/>
        </w:rPr>
        <w:t> </w:t>
      </w:r>
      <w:r>
        <w:rPr>
          <w:w w:val="105"/>
        </w:rPr>
        <w:t>disclosed</w:t>
      </w:r>
      <w:r>
        <w:rPr>
          <w:spacing w:val="-6"/>
          <w:w w:val="105"/>
        </w:rPr>
        <w:t> </w:t>
      </w:r>
      <w:r>
        <w:rPr>
          <w:w w:val="105"/>
        </w:rPr>
        <w:t>in</w:t>
      </w:r>
      <w:r>
        <w:rPr>
          <w:spacing w:val="-8"/>
          <w:w w:val="105"/>
        </w:rPr>
        <w:t> </w:t>
      </w:r>
      <w:r>
        <w:rPr>
          <w:w w:val="105"/>
        </w:rPr>
        <w:t>financing</w:t>
      </w:r>
      <w:r>
        <w:rPr>
          <w:spacing w:val="-8"/>
          <w:w w:val="105"/>
        </w:rPr>
        <w:t> </w:t>
      </w:r>
      <w:r>
        <w:rPr>
          <w:w w:val="105"/>
        </w:rPr>
        <w:t>activities</w:t>
      </w:r>
      <w:r>
        <w:rPr>
          <w:spacing w:val="-8"/>
          <w:w w:val="105"/>
        </w:rPr>
        <w:t> </w:t>
      </w:r>
      <w:r>
        <w:rPr>
          <w:w w:val="105"/>
        </w:rPr>
        <w:t>in</w:t>
      </w:r>
      <w:r>
        <w:rPr>
          <w:spacing w:val="-8"/>
          <w:w w:val="105"/>
        </w:rPr>
        <w:t> </w:t>
      </w:r>
      <w:r>
        <w:rPr>
          <w:w w:val="105"/>
        </w:rPr>
        <w:t>the</w:t>
      </w:r>
      <w:r>
        <w:rPr>
          <w:spacing w:val="-8"/>
          <w:w w:val="105"/>
        </w:rPr>
        <w:t> </w:t>
      </w:r>
      <w:r>
        <w:rPr>
          <w:w w:val="105"/>
        </w:rPr>
        <w:t>consolidated</w:t>
      </w:r>
      <w:r>
        <w:rPr>
          <w:spacing w:val="-8"/>
          <w:w w:val="105"/>
        </w:rPr>
        <w:t> </w:t>
      </w:r>
      <w:r>
        <w:rPr>
          <w:w w:val="105"/>
        </w:rPr>
        <w:t>statements of cash flows.</w:t>
      </w:r>
    </w:p>
    <w:p>
      <w:pPr>
        <w:pStyle w:val="BodyText"/>
        <w:spacing w:before="18"/>
      </w:pPr>
    </w:p>
    <w:p>
      <w:pPr>
        <w:pStyle w:val="BodyText"/>
        <w:spacing w:line="266" w:lineRule="auto"/>
        <w:ind w:left="156" w:right="117"/>
      </w:pPr>
      <w:r>
        <w:rPr>
          <w:w w:val="105"/>
        </w:rPr>
        <w:t>In</w:t>
      </w:r>
      <w:r>
        <w:rPr>
          <w:spacing w:val="-2"/>
          <w:w w:val="105"/>
        </w:rPr>
        <w:t> </w:t>
      </w:r>
      <w:r>
        <w:rPr>
          <w:w w:val="105"/>
        </w:rPr>
        <w:t>the</w:t>
      </w:r>
      <w:r>
        <w:rPr>
          <w:spacing w:val="-2"/>
          <w:w w:val="105"/>
        </w:rPr>
        <w:t> </w:t>
      </w:r>
      <w:r>
        <w:rPr>
          <w:w w:val="105"/>
        </w:rPr>
        <w:t>second</w:t>
      </w:r>
      <w:r>
        <w:rPr>
          <w:spacing w:val="-2"/>
          <w:w w:val="105"/>
        </w:rPr>
        <w:t> </w:t>
      </w:r>
      <w:r>
        <w:rPr>
          <w:w w:val="105"/>
        </w:rPr>
        <w:t>quarter</w:t>
      </w:r>
      <w:r>
        <w:rPr>
          <w:spacing w:val="-2"/>
          <w:w w:val="105"/>
        </w:rPr>
        <w:t> </w:t>
      </w:r>
      <w:r>
        <w:rPr>
          <w:w w:val="105"/>
        </w:rPr>
        <w:t>of</w:t>
      </w:r>
      <w:r>
        <w:rPr>
          <w:spacing w:val="-1"/>
          <w:w w:val="105"/>
        </w:rPr>
        <w:t> </w:t>
      </w:r>
      <w:r>
        <w:rPr>
          <w:w w:val="105"/>
        </w:rPr>
        <w:t>2021,</w:t>
      </w:r>
      <w:r>
        <w:rPr>
          <w:spacing w:val="-2"/>
          <w:w w:val="105"/>
        </w:rPr>
        <w:t> </w:t>
      </w:r>
      <w:r>
        <w:rPr>
          <w:w w:val="105"/>
        </w:rPr>
        <w:t>Corning</w:t>
      </w:r>
      <w:r>
        <w:rPr>
          <w:spacing w:val="-2"/>
          <w:w w:val="105"/>
        </w:rPr>
        <w:t> </w:t>
      </w:r>
      <w:r>
        <w:rPr>
          <w:w w:val="105"/>
        </w:rPr>
        <w:t>redeemed</w:t>
      </w:r>
      <w:r>
        <w:rPr>
          <w:spacing w:val="-2"/>
          <w:w w:val="105"/>
        </w:rPr>
        <w:t> </w:t>
      </w:r>
      <w:r>
        <w:rPr>
          <w:w w:val="105"/>
        </w:rPr>
        <w:t>$375</w:t>
      </w:r>
      <w:r>
        <w:rPr>
          <w:spacing w:val="-2"/>
          <w:w w:val="105"/>
        </w:rPr>
        <w:t> </w:t>
      </w:r>
      <w:r>
        <w:rPr>
          <w:w w:val="105"/>
        </w:rPr>
        <w:t>million</w:t>
      </w:r>
      <w:r>
        <w:rPr>
          <w:spacing w:val="-2"/>
          <w:w w:val="105"/>
        </w:rPr>
        <w:t> </w:t>
      </w:r>
      <w:r>
        <w:rPr>
          <w:w w:val="105"/>
        </w:rPr>
        <w:t>of</w:t>
      </w:r>
      <w:r>
        <w:rPr>
          <w:spacing w:val="-2"/>
          <w:w w:val="105"/>
        </w:rPr>
        <w:t> </w:t>
      </w:r>
      <w:r>
        <w:rPr>
          <w:w w:val="105"/>
        </w:rPr>
        <w:t>2.9%</w:t>
      </w:r>
      <w:r>
        <w:rPr>
          <w:spacing w:val="-2"/>
          <w:w w:val="105"/>
        </w:rPr>
        <w:t> </w:t>
      </w:r>
      <w:r>
        <w:rPr>
          <w:w w:val="105"/>
        </w:rPr>
        <w:t>debentures</w:t>
      </w:r>
      <w:r>
        <w:rPr>
          <w:spacing w:val="-2"/>
          <w:w w:val="105"/>
        </w:rPr>
        <w:t> </w:t>
      </w:r>
      <w:r>
        <w:rPr>
          <w:w w:val="105"/>
        </w:rPr>
        <w:t>due</w:t>
      </w:r>
      <w:r>
        <w:rPr>
          <w:spacing w:val="-2"/>
          <w:w w:val="105"/>
        </w:rPr>
        <w:t> </w:t>
      </w:r>
      <w:r>
        <w:rPr>
          <w:w w:val="105"/>
        </w:rPr>
        <w:t>in</w:t>
      </w:r>
      <w:r>
        <w:rPr>
          <w:spacing w:val="-1"/>
          <w:w w:val="105"/>
        </w:rPr>
        <w:t> </w:t>
      </w:r>
      <w:r>
        <w:rPr>
          <w:w w:val="105"/>
        </w:rPr>
        <w:t>2022,</w:t>
      </w:r>
      <w:r>
        <w:rPr>
          <w:spacing w:val="-2"/>
          <w:w w:val="105"/>
        </w:rPr>
        <w:t> </w:t>
      </w:r>
      <w:r>
        <w:rPr>
          <w:w w:val="105"/>
        </w:rPr>
        <w:t>paying</w:t>
      </w:r>
      <w:r>
        <w:rPr>
          <w:spacing w:val="-2"/>
          <w:w w:val="105"/>
        </w:rPr>
        <w:t> </w:t>
      </w:r>
      <w:r>
        <w:rPr>
          <w:w w:val="105"/>
        </w:rPr>
        <w:t>a</w:t>
      </w:r>
      <w:r>
        <w:rPr>
          <w:spacing w:val="-2"/>
          <w:w w:val="105"/>
        </w:rPr>
        <w:t> </w:t>
      </w:r>
      <w:r>
        <w:rPr>
          <w:w w:val="105"/>
        </w:rPr>
        <w:t>premium</w:t>
      </w:r>
      <w:r>
        <w:rPr>
          <w:spacing w:val="-2"/>
          <w:w w:val="105"/>
        </w:rPr>
        <w:t> </w:t>
      </w:r>
      <w:r>
        <w:rPr>
          <w:w w:val="105"/>
        </w:rPr>
        <w:t>of</w:t>
      </w:r>
      <w:r>
        <w:rPr>
          <w:spacing w:val="-2"/>
          <w:w w:val="105"/>
        </w:rPr>
        <w:t> </w:t>
      </w:r>
      <w:r>
        <w:rPr>
          <w:w w:val="105"/>
        </w:rPr>
        <w:t>$10</w:t>
      </w:r>
      <w:r>
        <w:rPr>
          <w:spacing w:val="-2"/>
          <w:w w:val="105"/>
        </w:rPr>
        <w:t> </w:t>
      </w:r>
      <w:r>
        <w:rPr>
          <w:w w:val="105"/>
        </w:rPr>
        <w:t>million</w:t>
      </w:r>
      <w:r>
        <w:rPr>
          <w:spacing w:val="-2"/>
          <w:w w:val="105"/>
        </w:rPr>
        <w:t> </w:t>
      </w:r>
      <w:r>
        <w:rPr>
          <w:w w:val="105"/>
        </w:rPr>
        <w:t>by</w:t>
      </w:r>
      <w:r>
        <w:rPr>
          <w:spacing w:val="-2"/>
          <w:w w:val="105"/>
        </w:rPr>
        <w:t> </w:t>
      </w:r>
      <w:r>
        <w:rPr>
          <w:w w:val="105"/>
        </w:rPr>
        <w:t>exercising</w:t>
      </w:r>
      <w:r>
        <w:rPr>
          <w:spacing w:val="-2"/>
          <w:w w:val="105"/>
        </w:rPr>
        <w:t> </w:t>
      </w:r>
      <w:r>
        <w:rPr>
          <w:w w:val="105"/>
        </w:rPr>
        <w:t>our</w:t>
      </w:r>
      <w:r>
        <w:rPr>
          <w:spacing w:val="-2"/>
          <w:w w:val="105"/>
        </w:rPr>
        <w:t> </w:t>
      </w:r>
      <w:r>
        <w:rPr>
          <w:w w:val="105"/>
        </w:rPr>
        <w:t>make-whole</w:t>
      </w:r>
      <w:r>
        <w:rPr>
          <w:spacing w:val="-2"/>
          <w:w w:val="105"/>
        </w:rPr>
        <w:t> </w:t>
      </w:r>
      <w:r>
        <w:rPr>
          <w:w w:val="105"/>
        </w:rPr>
        <w:t>call.</w:t>
      </w:r>
      <w:r>
        <w:rPr>
          <w:spacing w:val="39"/>
          <w:w w:val="105"/>
        </w:rPr>
        <w:t> </w:t>
      </w:r>
      <w:r>
        <w:rPr>
          <w:w w:val="105"/>
        </w:rPr>
        <w:t>The bond</w:t>
      </w:r>
      <w:r>
        <w:rPr>
          <w:spacing w:val="-8"/>
          <w:w w:val="105"/>
        </w:rPr>
        <w:t> </w:t>
      </w:r>
      <w:r>
        <w:rPr>
          <w:w w:val="105"/>
        </w:rPr>
        <w:t>redemption</w:t>
      </w:r>
      <w:r>
        <w:rPr>
          <w:spacing w:val="-8"/>
          <w:w w:val="105"/>
        </w:rPr>
        <w:t> </w:t>
      </w:r>
      <w:r>
        <w:rPr>
          <w:w w:val="105"/>
        </w:rPr>
        <w:t>resulted</w:t>
      </w:r>
      <w:r>
        <w:rPr>
          <w:spacing w:val="-8"/>
          <w:w w:val="105"/>
        </w:rPr>
        <w:t> </w:t>
      </w:r>
      <w:r>
        <w:rPr>
          <w:w w:val="105"/>
        </w:rPr>
        <w:t>in</w:t>
      </w:r>
      <w:r>
        <w:rPr>
          <w:spacing w:val="-6"/>
          <w:w w:val="105"/>
        </w:rPr>
        <w:t> </w:t>
      </w:r>
      <w:r>
        <w:rPr>
          <w:w w:val="105"/>
        </w:rPr>
        <w:t>an</w:t>
      </w:r>
      <w:r>
        <w:rPr>
          <w:spacing w:val="-8"/>
          <w:w w:val="105"/>
        </w:rPr>
        <w:t> </w:t>
      </w:r>
      <w:r>
        <w:rPr>
          <w:w w:val="105"/>
        </w:rPr>
        <w:t>$11</w:t>
      </w:r>
      <w:r>
        <w:rPr>
          <w:spacing w:val="-8"/>
          <w:w w:val="105"/>
        </w:rPr>
        <w:t> </w:t>
      </w:r>
      <w:r>
        <w:rPr>
          <w:w w:val="105"/>
        </w:rPr>
        <w:t>million</w:t>
      </w:r>
      <w:r>
        <w:rPr>
          <w:spacing w:val="-8"/>
          <w:w w:val="105"/>
        </w:rPr>
        <w:t> </w:t>
      </w:r>
      <w:r>
        <w:rPr>
          <w:w w:val="105"/>
        </w:rPr>
        <w:t>loss</w:t>
      </w:r>
      <w:r>
        <w:rPr>
          <w:spacing w:val="-8"/>
          <w:w w:val="105"/>
        </w:rPr>
        <w:t> </w:t>
      </w:r>
      <w:r>
        <w:rPr>
          <w:w w:val="105"/>
        </w:rPr>
        <w:t>during</w:t>
      </w:r>
      <w:r>
        <w:rPr>
          <w:spacing w:val="-8"/>
          <w:w w:val="105"/>
        </w:rPr>
        <w:t> </w:t>
      </w:r>
      <w:r>
        <w:rPr>
          <w:w w:val="105"/>
        </w:rPr>
        <w:t>the</w:t>
      </w:r>
      <w:r>
        <w:rPr>
          <w:spacing w:val="-8"/>
          <w:w w:val="105"/>
        </w:rPr>
        <w:t> </w:t>
      </w:r>
      <w:r>
        <w:rPr>
          <w:w w:val="105"/>
        </w:rPr>
        <w:t>same</w:t>
      </w:r>
      <w:r>
        <w:rPr>
          <w:spacing w:val="-8"/>
          <w:w w:val="105"/>
        </w:rPr>
        <w:t> </w:t>
      </w:r>
      <w:r>
        <w:rPr>
          <w:w w:val="105"/>
        </w:rPr>
        <w:t>quarter.</w:t>
      </w:r>
      <w:r>
        <w:rPr>
          <w:spacing w:val="27"/>
          <w:w w:val="105"/>
        </w:rPr>
        <w:t> </w:t>
      </w:r>
      <w:r>
        <w:rPr>
          <w:w w:val="105"/>
        </w:rPr>
        <w:t>The</w:t>
      </w:r>
      <w:r>
        <w:rPr>
          <w:spacing w:val="-8"/>
          <w:w w:val="105"/>
        </w:rPr>
        <w:t> </w:t>
      </w:r>
      <w:r>
        <w:rPr>
          <w:w w:val="105"/>
        </w:rPr>
        <w:t>total</w:t>
      </w:r>
      <w:r>
        <w:rPr>
          <w:spacing w:val="-8"/>
          <w:w w:val="105"/>
        </w:rPr>
        <w:t> </w:t>
      </w:r>
      <w:r>
        <w:rPr>
          <w:w w:val="105"/>
        </w:rPr>
        <w:t>payment</w:t>
      </w:r>
      <w:r>
        <w:rPr>
          <w:spacing w:val="-8"/>
          <w:w w:val="105"/>
        </w:rPr>
        <w:t> </w:t>
      </w:r>
      <w:r>
        <w:rPr>
          <w:w w:val="105"/>
        </w:rPr>
        <w:t>of</w:t>
      </w:r>
      <w:r>
        <w:rPr>
          <w:spacing w:val="-8"/>
          <w:w w:val="105"/>
        </w:rPr>
        <w:t> </w:t>
      </w:r>
      <w:r>
        <w:rPr>
          <w:w w:val="105"/>
        </w:rPr>
        <w:t>$385</w:t>
      </w:r>
      <w:r>
        <w:rPr>
          <w:spacing w:val="-8"/>
          <w:w w:val="105"/>
        </w:rPr>
        <w:t> </w:t>
      </w:r>
      <w:r>
        <w:rPr>
          <w:w w:val="105"/>
        </w:rPr>
        <w:t>million</w:t>
      </w:r>
      <w:r>
        <w:rPr>
          <w:spacing w:val="-8"/>
          <w:w w:val="105"/>
        </w:rPr>
        <w:t> </w:t>
      </w:r>
      <w:r>
        <w:rPr>
          <w:w w:val="105"/>
        </w:rPr>
        <w:t>is</w:t>
      </w:r>
      <w:r>
        <w:rPr>
          <w:spacing w:val="-8"/>
          <w:w w:val="105"/>
        </w:rPr>
        <w:t> </w:t>
      </w:r>
      <w:r>
        <w:rPr>
          <w:w w:val="105"/>
        </w:rPr>
        <w:t>disclosed</w:t>
      </w:r>
      <w:r>
        <w:rPr>
          <w:spacing w:val="-6"/>
          <w:w w:val="105"/>
        </w:rPr>
        <w:t> </w:t>
      </w:r>
      <w:r>
        <w:rPr>
          <w:w w:val="105"/>
        </w:rPr>
        <w:t>in</w:t>
      </w:r>
      <w:r>
        <w:rPr>
          <w:spacing w:val="-8"/>
          <w:w w:val="105"/>
        </w:rPr>
        <w:t> </w:t>
      </w:r>
      <w:r>
        <w:rPr>
          <w:w w:val="105"/>
        </w:rPr>
        <w:t>financing</w:t>
      </w:r>
      <w:r>
        <w:rPr>
          <w:spacing w:val="-8"/>
          <w:w w:val="105"/>
        </w:rPr>
        <w:t> </w:t>
      </w:r>
      <w:r>
        <w:rPr>
          <w:w w:val="105"/>
        </w:rPr>
        <w:t>activities</w:t>
      </w:r>
      <w:r>
        <w:rPr>
          <w:spacing w:val="-8"/>
          <w:w w:val="105"/>
        </w:rPr>
        <w:t> </w:t>
      </w:r>
      <w:r>
        <w:rPr>
          <w:w w:val="105"/>
        </w:rPr>
        <w:t>in</w:t>
      </w:r>
      <w:r>
        <w:rPr>
          <w:spacing w:val="-8"/>
          <w:w w:val="105"/>
        </w:rPr>
        <w:t> </w:t>
      </w:r>
      <w:r>
        <w:rPr>
          <w:w w:val="105"/>
        </w:rPr>
        <w:t>the</w:t>
      </w:r>
      <w:r>
        <w:rPr>
          <w:spacing w:val="-8"/>
          <w:w w:val="105"/>
        </w:rPr>
        <w:t> </w:t>
      </w:r>
      <w:r>
        <w:rPr>
          <w:w w:val="105"/>
        </w:rPr>
        <w:t>consolidated</w:t>
      </w:r>
      <w:r>
        <w:rPr>
          <w:spacing w:val="-8"/>
          <w:w w:val="105"/>
        </w:rPr>
        <w:t> </w:t>
      </w:r>
      <w:r>
        <w:rPr>
          <w:w w:val="105"/>
        </w:rPr>
        <w:t>statements of cash flows.</w:t>
      </w:r>
    </w:p>
    <w:p>
      <w:pPr>
        <w:pStyle w:val="BodyText"/>
        <w:spacing w:before="19"/>
      </w:pPr>
    </w:p>
    <w:p>
      <w:pPr>
        <w:pStyle w:val="BodyText"/>
        <w:spacing w:line="532" w:lineRule="auto"/>
        <w:ind w:left="156" w:right="117"/>
      </w:pPr>
      <w:r>
        <w:rPr>
          <w:w w:val="105"/>
        </w:rPr>
        <w:t>Losses</w:t>
      </w:r>
      <w:r>
        <w:rPr>
          <w:spacing w:val="-2"/>
          <w:w w:val="105"/>
        </w:rPr>
        <w:t> </w:t>
      </w:r>
      <w:r>
        <w:rPr>
          <w:w w:val="105"/>
        </w:rPr>
        <w:t>on</w:t>
      </w:r>
      <w:r>
        <w:rPr>
          <w:spacing w:val="-2"/>
          <w:w w:val="105"/>
        </w:rPr>
        <w:t> </w:t>
      </w:r>
      <w:r>
        <w:rPr>
          <w:w w:val="105"/>
        </w:rPr>
        <w:t>bond</w:t>
      </w:r>
      <w:r>
        <w:rPr>
          <w:spacing w:val="-2"/>
          <w:w w:val="105"/>
        </w:rPr>
        <w:t> </w:t>
      </w:r>
      <w:r>
        <w:rPr>
          <w:w w:val="105"/>
        </w:rPr>
        <w:t>redemption</w:t>
      </w:r>
      <w:r>
        <w:rPr>
          <w:spacing w:val="-2"/>
          <w:w w:val="105"/>
        </w:rPr>
        <w:t> </w:t>
      </w:r>
      <w:r>
        <w:rPr>
          <w:w w:val="105"/>
        </w:rPr>
        <w:t>have</w:t>
      </w:r>
      <w:r>
        <w:rPr>
          <w:spacing w:val="-2"/>
          <w:w w:val="105"/>
        </w:rPr>
        <w:t> </w:t>
      </w:r>
      <w:r>
        <w:rPr>
          <w:w w:val="105"/>
        </w:rPr>
        <w:t>been</w:t>
      </w:r>
      <w:r>
        <w:rPr>
          <w:spacing w:val="-2"/>
          <w:w w:val="105"/>
        </w:rPr>
        <w:t> </w:t>
      </w:r>
      <w:r>
        <w:rPr>
          <w:w w:val="105"/>
        </w:rPr>
        <w:t>recorded</w:t>
      </w:r>
      <w:r>
        <w:rPr>
          <w:spacing w:val="-2"/>
          <w:w w:val="105"/>
        </w:rPr>
        <w:t> </w:t>
      </w:r>
      <w:r>
        <w:rPr>
          <w:w w:val="105"/>
        </w:rPr>
        <w:t>in</w:t>
      </w:r>
      <w:r>
        <w:rPr>
          <w:spacing w:val="-2"/>
          <w:w w:val="105"/>
        </w:rPr>
        <w:t> </w:t>
      </w:r>
      <w:r>
        <w:rPr>
          <w:w w:val="105"/>
        </w:rPr>
        <w:t>other</w:t>
      </w:r>
      <w:r>
        <w:rPr>
          <w:spacing w:val="-2"/>
          <w:w w:val="105"/>
        </w:rPr>
        <w:t> </w:t>
      </w:r>
      <w:r>
        <w:rPr>
          <w:w w:val="105"/>
        </w:rPr>
        <w:t>income</w:t>
      </w:r>
      <w:r>
        <w:rPr>
          <w:spacing w:val="-2"/>
          <w:w w:val="105"/>
        </w:rPr>
        <w:t> </w:t>
      </w:r>
      <w:r>
        <w:rPr>
          <w:w w:val="105"/>
        </w:rPr>
        <w:t>(expense),</w:t>
      </w:r>
      <w:r>
        <w:rPr>
          <w:spacing w:val="-2"/>
          <w:w w:val="105"/>
        </w:rPr>
        <w:t> </w:t>
      </w:r>
      <w:r>
        <w:rPr>
          <w:w w:val="105"/>
        </w:rPr>
        <w:t>net</w:t>
      </w:r>
      <w:r>
        <w:rPr>
          <w:spacing w:val="-2"/>
          <w:w w:val="105"/>
        </w:rPr>
        <w:t> </w:t>
      </w:r>
      <w:r>
        <w:rPr>
          <w:w w:val="105"/>
        </w:rPr>
        <w:t>on</w:t>
      </w:r>
      <w:r>
        <w:rPr>
          <w:spacing w:val="-2"/>
          <w:w w:val="105"/>
        </w:rPr>
        <w:t> </w:t>
      </w:r>
      <w:r>
        <w:rPr>
          <w:w w:val="105"/>
        </w:rPr>
        <w:t>the</w:t>
      </w:r>
      <w:r>
        <w:rPr>
          <w:spacing w:val="-2"/>
          <w:w w:val="105"/>
        </w:rPr>
        <w:t> </w:t>
      </w:r>
      <w:r>
        <w:rPr>
          <w:w w:val="105"/>
        </w:rPr>
        <w:t>consolidated</w:t>
      </w:r>
      <w:r>
        <w:rPr>
          <w:spacing w:val="-2"/>
          <w:w w:val="105"/>
        </w:rPr>
        <w:t> </w:t>
      </w:r>
      <w:r>
        <w:rPr>
          <w:w w:val="105"/>
        </w:rPr>
        <w:t>statements</w:t>
      </w:r>
      <w:r>
        <w:rPr>
          <w:spacing w:val="-2"/>
          <w:w w:val="105"/>
        </w:rPr>
        <w:t> </w:t>
      </w:r>
      <w:r>
        <w:rPr>
          <w:w w:val="105"/>
        </w:rPr>
        <w:t>of</w:t>
      </w:r>
      <w:r>
        <w:rPr>
          <w:spacing w:val="-2"/>
          <w:w w:val="105"/>
        </w:rPr>
        <w:t> </w:t>
      </w:r>
      <w:r>
        <w:rPr>
          <w:w w:val="105"/>
        </w:rPr>
        <w:t>income</w:t>
      </w:r>
      <w:r>
        <w:rPr>
          <w:spacing w:val="-2"/>
          <w:w w:val="105"/>
        </w:rPr>
        <w:t> </w:t>
      </w:r>
      <w:r>
        <w:rPr>
          <w:w w:val="105"/>
        </w:rPr>
        <w:t>during</w:t>
      </w:r>
      <w:r>
        <w:rPr>
          <w:spacing w:val="-2"/>
          <w:w w:val="105"/>
        </w:rPr>
        <w:t> </w:t>
      </w:r>
      <w:r>
        <w:rPr>
          <w:w w:val="105"/>
        </w:rPr>
        <w:t>the</w:t>
      </w:r>
      <w:r>
        <w:rPr>
          <w:spacing w:val="-2"/>
          <w:w w:val="105"/>
        </w:rPr>
        <w:t> </w:t>
      </w:r>
      <w:r>
        <w:rPr>
          <w:w w:val="105"/>
        </w:rPr>
        <w:t>quarter</w:t>
      </w:r>
      <w:r>
        <w:rPr>
          <w:spacing w:val="-2"/>
          <w:w w:val="105"/>
        </w:rPr>
        <w:t> </w:t>
      </w:r>
      <w:r>
        <w:rPr>
          <w:w w:val="105"/>
        </w:rPr>
        <w:t>in</w:t>
      </w:r>
      <w:r>
        <w:rPr>
          <w:spacing w:val="-2"/>
          <w:w w:val="105"/>
        </w:rPr>
        <w:t> </w:t>
      </w:r>
      <w:r>
        <w:rPr>
          <w:w w:val="105"/>
        </w:rPr>
        <w:t>which</w:t>
      </w:r>
      <w:r>
        <w:rPr>
          <w:spacing w:val="-2"/>
          <w:w w:val="105"/>
        </w:rPr>
        <w:t> </w:t>
      </w:r>
      <w:r>
        <w:rPr>
          <w:w w:val="105"/>
        </w:rPr>
        <w:t>they</w:t>
      </w:r>
      <w:r>
        <w:rPr>
          <w:spacing w:val="-2"/>
          <w:w w:val="105"/>
        </w:rPr>
        <w:t> </w:t>
      </w:r>
      <w:r>
        <w:rPr>
          <w:w w:val="105"/>
        </w:rPr>
        <w:t>occurred. Borrowings</w:t>
      </w:r>
      <w:r>
        <w:rPr>
          <w:spacing w:val="-8"/>
          <w:w w:val="105"/>
        </w:rPr>
        <w:t> </w:t>
      </w:r>
      <w:r>
        <w:rPr>
          <w:w w:val="105"/>
        </w:rPr>
        <w:t>under</w:t>
      </w:r>
      <w:r>
        <w:rPr>
          <w:spacing w:val="-8"/>
          <w:w w:val="105"/>
        </w:rPr>
        <w:t> </w:t>
      </w:r>
      <w:r>
        <w:rPr>
          <w:w w:val="105"/>
        </w:rPr>
        <w:t>the</w:t>
      </w:r>
      <w:r>
        <w:rPr>
          <w:spacing w:val="-8"/>
          <w:w w:val="105"/>
        </w:rPr>
        <w:t> </w:t>
      </w:r>
      <w:r>
        <w:rPr>
          <w:w w:val="105"/>
        </w:rPr>
        <w:t>three</w:t>
      </w:r>
      <w:r>
        <w:rPr>
          <w:spacing w:val="-8"/>
          <w:w w:val="105"/>
        </w:rPr>
        <w:t> </w:t>
      </w:r>
      <w:r>
        <w:rPr>
          <w:w w:val="105"/>
        </w:rPr>
        <w:t>unsecured</w:t>
      </w:r>
      <w:r>
        <w:rPr>
          <w:spacing w:val="-8"/>
          <w:w w:val="105"/>
        </w:rPr>
        <w:t> </w:t>
      </w:r>
      <w:r>
        <w:rPr>
          <w:w w:val="105"/>
        </w:rPr>
        <w:t>variable</w:t>
      </w:r>
      <w:r>
        <w:rPr>
          <w:spacing w:val="-8"/>
          <w:w w:val="105"/>
        </w:rPr>
        <w:t> </w:t>
      </w:r>
      <w:r>
        <w:rPr>
          <w:w w:val="105"/>
        </w:rPr>
        <w:t>rate</w:t>
      </w:r>
      <w:r>
        <w:rPr>
          <w:spacing w:val="-8"/>
          <w:w w:val="105"/>
        </w:rPr>
        <w:t> </w:t>
      </w:r>
      <w:r>
        <w:rPr>
          <w:w w:val="105"/>
        </w:rPr>
        <w:t>loan</w:t>
      </w:r>
      <w:r>
        <w:rPr>
          <w:spacing w:val="-8"/>
          <w:w w:val="105"/>
        </w:rPr>
        <w:t> </w:t>
      </w:r>
      <w:r>
        <w:rPr>
          <w:w w:val="105"/>
        </w:rPr>
        <w:t>facilities</w:t>
      </w:r>
      <w:r>
        <w:rPr>
          <w:spacing w:val="-8"/>
          <w:w w:val="105"/>
        </w:rPr>
        <w:t> </w:t>
      </w:r>
      <w:r>
        <w:rPr>
          <w:w w:val="105"/>
        </w:rPr>
        <w:t>for</w:t>
      </w:r>
      <w:r>
        <w:rPr>
          <w:spacing w:val="-8"/>
          <w:w w:val="105"/>
        </w:rPr>
        <w:t> </w:t>
      </w:r>
      <w:r>
        <w:rPr>
          <w:w w:val="105"/>
        </w:rPr>
        <w:t>the</w:t>
      </w:r>
      <w:r>
        <w:rPr>
          <w:spacing w:val="-8"/>
          <w:w w:val="105"/>
        </w:rPr>
        <w:t> </w:t>
      </w:r>
      <w:r>
        <w:rPr>
          <w:w w:val="105"/>
        </w:rPr>
        <w:t>year</w:t>
      </w:r>
      <w:r>
        <w:rPr>
          <w:spacing w:val="-8"/>
          <w:w w:val="105"/>
        </w:rPr>
        <w:t> </w:t>
      </w:r>
      <w:r>
        <w:rPr>
          <w:w w:val="105"/>
        </w:rPr>
        <w:t>ended</w:t>
      </w:r>
      <w:r>
        <w:rPr>
          <w:spacing w:val="-10"/>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totaled</w:t>
      </w:r>
      <w:r>
        <w:rPr>
          <w:spacing w:val="-8"/>
          <w:w w:val="105"/>
        </w:rPr>
        <w:t> </w:t>
      </w:r>
      <w:r>
        <w:rPr>
          <w:w w:val="105"/>
        </w:rPr>
        <w:t>1,764</w:t>
      </w:r>
      <w:r>
        <w:rPr>
          <w:spacing w:val="-8"/>
          <w:w w:val="105"/>
        </w:rPr>
        <w:t> </w:t>
      </w:r>
      <w:r>
        <w:rPr>
          <w:w w:val="105"/>
        </w:rPr>
        <w:t>million</w:t>
      </w:r>
      <w:r>
        <w:rPr>
          <w:spacing w:val="-8"/>
          <w:w w:val="105"/>
        </w:rPr>
        <w:t> </w:t>
      </w:r>
      <w:r>
        <w:rPr>
          <w:w w:val="105"/>
        </w:rPr>
        <w:t>Chinese</w:t>
      </w:r>
      <w:r>
        <w:rPr>
          <w:spacing w:val="-8"/>
          <w:w w:val="105"/>
        </w:rPr>
        <w:t> </w:t>
      </w:r>
      <w:r>
        <w:rPr>
          <w:w w:val="105"/>
        </w:rPr>
        <w:t>yuan,</w:t>
      </w:r>
      <w:r>
        <w:rPr>
          <w:spacing w:val="-8"/>
          <w:w w:val="105"/>
        </w:rPr>
        <w:t> </w:t>
      </w:r>
      <w:r>
        <w:rPr>
          <w:w w:val="105"/>
        </w:rPr>
        <w:t>or</w:t>
      </w:r>
      <w:r>
        <w:rPr>
          <w:spacing w:val="-8"/>
          <w:w w:val="105"/>
        </w:rPr>
        <w:t> </w:t>
      </w:r>
      <w:r>
        <w:rPr>
          <w:w w:val="105"/>
        </w:rPr>
        <w:t>approximately</w:t>
      </w:r>
      <w:r>
        <w:rPr>
          <w:spacing w:val="-8"/>
          <w:w w:val="105"/>
        </w:rPr>
        <w:t> </w:t>
      </w:r>
      <w:r>
        <w:rPr>
          <w:w w:val="105"/>
        </w:rPr>
        <w:t>$277</w:t>
      </w:r>
      <w:r>
        <w:rPr>
          <w:spacing w:val="-8"/>
          <w:w w:val="105"/>
        </w:rPr>
        <w:t> </w:t>
      </w:r>
      <w:r>
        <w:rPr>
          <w:w w:val="105"/>
        </w:rPr>
        <w:t>million. As of December 31, 2021, the 25 billion Japanese yen facility, equivalent to $217 million, has not been drawn upon.</w:t>
      </w:r>
    </w:p>
    <w:p>
      <w:pPr>
        <w:spacing w:line="182" w:lineRule="exact" w:before="0"/>
        <w:ind w:left="156" w:right="0" w:firstLine="0"/>
        <w:jc w:val="left"/>
        <w:rPr>
          <w:b/>
          <w:sz w:val="16"/>
        </w:rPr>
      </w:pPr>
      <w:r>
        <w:rPr>
          <w:b/>
          <w:spacing w:val="-4"/>
          <w:w w:val="105"/>
          <w:sz w:val="16"/>
          <w:u w:val="single"/>
        </w:rPr>
        <w:t>2020</w:t>
      </w:r>
    </w:p>
    <w:p>
      <w:pPr>
        <w:pStyle w:val="BodyText"/>
        <w:spacing w:line="266" w:lineRule="auto" w:before="20"/>
        <w:ind w:left="156"/>
      </w:pPr>
      <w:r>
        <w:rPr>
          <w:w w:val="105"/>
        </w:rPr>
        <w:t>During</w:t>
      </w:r>
      <w:r>
        <w:rPr>
          <w:spacing w:val="-8"/>
          <w:w w:val="105"/>
        </w:rPr>
        <w:t> </w:t>
      </w:r>
      <w:r>
        <w:rPr>
          <w:w w:val="105"/>
        </w:rPr>
        <w:t>the</w:t>
      </w:r>
      <w:r>
        <w:rPr>
          <w:spacing w:val="-8"/>
          <w:w w:val="105"/>
        </w:rPr>
        <w:t> </w:t>
      </w:r>
      <w:r>
        <w:rPr>
          <w:w w:val="105"/>
        </w:rPr>
        <w:t>fourth</w:t>
      </w:r>
      <w:r>
        <w:rPr>
          <w:spacing w:val="-8"/>
          <w:w w:val="105"/>
        </w:rPr>
        <w:t> </w:t>
      </w:r>
      <w:r>
        <w:rPr>
          <w:w w:val="105"/>
        </w:rPr>
        <w:t>quarter</w:t>
      </w:r>
      <w:r>
        <w:rPr>
          <w:spacing w:val="-8"/>
          <w:w w:val="105"/>
        </w:rPr>
        <w:t> </w:t>
      </w:r>
      <w:r>
        <w:rPr>
          <w:w w:val="105"/>
        </w:rPr>
        <w:t>of</w:t>
      </w:r>
      <w:r>
        <w:rPr>
          <w:spacing w:val="-7"/>
          <w:w w:val="105"/>
        </w:rPr>
        <w:t> </w:t>
      </w:r>
      <w:r>
        <w:rPr>
          <w:w w:val="105"/>
        </w:rPr>
        <w:t>2020,</w:t>
      </w:r>
      <w:r>
        <w:rPr>
          <w:spacing w:val="-8"/>
          <w:w w:val="105"/>
        </w:rPr>
        <w:t> </w:t>
      </w:r>
      <w:r>
        <w:rPr>
          <w:w w:val="105"/>
        </w:rPr>
        <w:t>Corning</w:t>
      </w:r>
      <w:r>
        <w:rPr>
          <w:spacing w:val="-8"/>
          <w:w w:val="105"/>
        </w:rPr>
        <w:t> </w:t>
      </w:r>
      <w:r>
        <w:rPr>
          <w:w w:val="105"/>
        </w:rPr>
        <w:t>redeemed</w:t>
      </w:r>
      <w:r>
        <w:rPr>
          <w:spacing w:val="-8"/>
          <w:w w:val="105"/>
        </w:rPr>
        <w:t> </w:t>
      </w:r>
      <w:r>
        <w:rPr>
          <w:w w:val="105"/>
        </w:rPr>
        <w:t>$100</w:t>
      </w:r>
      <w:r>
        <w:rPr>
          <w:spacing w:val="-8"/>
          <w:w w:val="105"/>
        </w:rPr>
        <w:t> </w:t>
      </w:r>
      <w:r>
        <w:rPr>
          <w:w w:val="105"/>
        </w:rPr>
        <w:t>million</w:t>
      </w:r>
      <w:r>
        <w:rPr>
          <w:spacing w:val="-8"/>
          <w:w w:val="105"/>
        </w:rPr>
        <w:t> </w:t>
      </w:r>
      <w:r>
        <w:rPr>
          <w:w w:val="105"/>
        </w:rPr>
        <w:t>of</w:t>
      </w:r>
      <w:r>
        <w:rPr>
          <w:spacing w:val="-8"/>
          <w:w w:val="105"/>
        </w:rPr>
        <w:t> </w:t>
      </w:r>
      <w:r>
        <w:rPr>
          <w:w w:val="105"/>
        </w:rPr>
        <w:t>7.0%</w:t>
      </w:r>
      <w:r>
        <w:rPr>
          <w:spacing w:val="-8"/>
          <w:w w:val="105"/>
        </w:rPr>
        <w:t> </w:t>
      </w:r>
      <w:r>
        <w:rPr>
          <w:w w:val="105"/>
        </w:rPr>
        <w:t>debentures</w:t>
      </w:r>
      <w:r>
        <w:rPr>
          <w:spacing w:val="-8"/>
          <w:w w:val="105"/>
        </w:rPr>
        <w:t> </w:t>
      </w:r>
      <w:r>
        <w:rPr>
          <w:w w:val="105"/>
        </w:rPr>
        <w:t>due</w:t>
      </w:r>
      <w:r>
        <w:rPr>
          <w:spacing w:val="-8"/>
          <w:w w:val="105"/>
        </w:rPr>
        <w:t> </w:t>
      </w:r>
      <w:r>
        <w:rPr>
          <w:w w:val="105"/>
        </w:rPr>
        <w:t>in</w:t>
      </w:r>
      <w:r>
        <w:rPr>
          <w:spacing w:val="-7"/>
          <w:w w:val="105"/>
        </w:rPr>
        <w:t> </w:t>
      </w:r>
      <w:r>
        <w:rPr>
          <w:w w:val="105"/>
        </w:rPr>
        <w:t>2024</w:t>
      </w:r>
      <w:r>
        <w:rPr>
          <w:spacing w:val="-8"/>
          <w:w w:val="105"/>
        </w:rPr>
        <w:t> </w:t>
      </w:r>
      <w:r>
        <w:rPr>
          <w:w w:val="105"/>
        </w:rPr>
        <w:t>with</w:t>
      </w:r>
      <w:r>
        <w:rPr>
          <w:spacing w:val="-8"/>
          <w:w w:val="105"/>
        </w:rPr>
        <w:t> </w:t>
      </w:r>
      <w:r>
        <w:rPr>
          <w:w w:val="105"/>
        </w:rPr>
        <w:t>a</w:t>
      </w:r>
      <w:r>
        <w:rPr>
          <w:spacing w:val="-8"/>
          <w:w w:val="105"/>
        </w:rPr>
        <w:t> </w:t>
      </w:r>
      <w:r>
        <w:rPr>
          <w:w w:val="105"/>
        </w:rPr>
        <w:t>carrying</w:t>
      </w:r>
      <w:r>
        <w:rPr>
          <w:spacing w:val="-8"/>
          <w:w w:val="105"/>
        </w:rPr>
        <w:t> </w:t>
      </w:r>
      <w:r>
        <w:rPr>
          <w:w w:val="105"/>
        </w:rPr>
        <w:t>amount</w:t>
      </w:r>
      <w:r>
        <w:rPr>
          <w:spacing w:val="-8"/>
          <w:w w:val="105"/>
        </w:rPr>
        <w:t> </w:t>
      </w:r>
      <w:r>
        <w:rPr>
          <w:w w:val="105"/>
        </w:rPr>
        <w:t>of</w:t>
      </w:r>
      <w:r>
        <w:rPr>
          <w:spacing w:val="-8"/>
          <w:w w:val="105"/>
        </w:rPr>
        <w:t> </w:t>
      </w:r>
      <w:r>
        <w:rPr>
          <w:w w:val="105"/>
        </w:rPr>
        <w:t>$99</w:t>
      </w:r>
      <w:r>
        <w:rPr>
          <w:spacing w:val="-8"/>
          <w:w w:val="105"/>
        </w:rPr>
        <w:t> </w:t>
      </w:r>
      <w:r>
        <w:rPr>
          <w:w w:val="105"/>
        </w:rPr>
        <w:t>million,</w:t>
      </w:r>
      <w:r>
        <w:rPr>
          <w:spacing w:val="-8"/>
          <w:w w:val="105"/>
        </w:rPr>
        <w:t> </w:t>
      </w:r>
      <w:r>
        <w:rPr>
          <w:w w:val="105"/>
        </w:rPr>
        <w:t>paying</w:t>
      </w:r>
      <w:r>
        <w:rPr>
          <w:spacing w:val="-8"/>
          <w:w w:val="105"/>
        </w:rPr>
        <w:t> </w:t>
      </w:r>
      <w:r>
        <w:rPr>
          <w:w w:val="105"/>
        </w:rPr>
        <w:t>a</w:t>
      </w:r>
      <w:r>
        <w:rPr>
          <w:spacing w:val="-8"/>
          <w:w w:val="105"/>
        </w:rPr>
        <w:t> </w:t>
      </w:r>
      <w:r>
        <w:rPr>
          <w:w w:val="105"/>
        </w:rPr>
        <w:t>$21</w:t>
      </w:r>
      <w:r>
        <w:rPr>
          <w:spacing w:val="-8"/>
          <w:w w:val="105"/>
        </w:rPr>
        <w:t> </w:t>
      </w:r>
      <w:r>
        <w:rPr>
          <w:w w:val="105"/>
        </w:rPr>
        <w:t>million</w:t>
      </w:r>
      <w:r>
        <w:rPr>
          <w:spacing w:val="-8"/>
          <w:w w:val="105"/>
        </w:rPr>
        <w:t> </w:t>
      </w:r>
      <w:r>
        <w:rPr>
          <w:w w:val="105"/>
        </w:rPr>
        <w:t>make-whole call</w:t>
      </w:r>
      <w:r>
        <w:rPr>
          <w:spacing w:val="-2"/>
          <w:w w:val="105"/>
        </w:rPr>
        <w:t> </w:t>
      </w:r>
      <w:r>
        <w:rPr>
          <w:w w:val="105"/>
        </w:rPr>
        <w:t>premium.</w:t>
      </w:r>
      <w:r>
        <w:rPr>
          <w:spacing w:val="-2"/>
          <w:w w:val="105"/>
        </w:rPr>
        <w:t> </w:t>
      </w:r>
      <w:r>
        <w:rPr>
          <w:w w:val="105"/>
        </w:rPr>
        <w:t>The</w:t>
      </w:r>
      <w:r>
        <w:rPr>
          <w:spacing w:val="-2"/>
          <w:w w:val="105"/>
        </w:rPr>
        <w:t> </w:t>
      </w:r>
      <w:r>
        <w:rPr>
          <w:w w:val="105"/>
        </w:rPr>
        <w:t>total</w:t>
      </w:r>
      <w:r>
        <w:rPr>
          <w:spacing w:val="-2"/>
          <w:w w:val="105"/>
        </w:rPr>
        <w:t> </w:t>
      </w:r>
      <w:r>
        <w:rPr>
          <w:w w:val="105"/>
        </w:rPr>
        <w:t>payment</w:t>
      </w:r>
      <w:r>
        <w:rPr>
          <w:spacing w:val="-2"/>
          <w:w w:val="105"/>
        </w:rPr>
        <w:t> </w:t>
      </w:r>
      <w:r>
        <w:rPr>
          <w:w w:val="105"/>
        </w:rPr>
        <w:t>of</w:t>
      </w:r>
      <w:r>
        <w:rPr>
          <w:spacing w:val="-2"/>
          <w:w w:val="105"/>
        </w:rPr>
        <w:t> </w:t>
      </w:r>
      <w:r>
        <w:rPr>
          <w:w w:val="105"/>
        </w:rPr>
        <w:t>$121</w:t>
      </w:r>
      <w:r>
        <w:rPr>
          <w:spacing w:val="-2"/>
          <w:w w:val="105"/>
        </w:rPr>
        <w:t> </w:t>
      </w:r>
      <w:r>
        <w:rPr>
          <w:w w:val="105"/>
        </w:rPr>
        <w:t>million</w:t>
      </w:r>
      <w:r>
        <w:rPr>
          <w:spacing w:val="-2"/>
          <w:w w:val="105"/>
        </w:rPr>
        <w:t> </w:t>
      </w:r>
      <w:r>
        <w:rPr>
          <w:w w:val="105"/>
        </w:rPr>
        <w:t>is</w:t>
      </w:r>
      <w:r>
        <w:rPr>
          <w:spacing w:val="-2"/>
          <w:w w:val="105"/>
        </w:rPr>
        <w:t> </w:t>
      </w:r>
      <w:r>
        <w:rPr>
          <w:w w:val="105"/>
        </w:rPr>
        <w:t>disclosed</w:t>
      </w:r>
      <w:r>
        <w:rPr>
          <w:spacing w:val="-2"/>
          <w:w w:val="105"/>
        </w:rPr>
        <w:t> </w:t>
      </w:r>
      <w:r>
        <w:rPr>
          <w:w w:val="105"/>
        </w:rPr>
        <w:t>in</w:t>
      </w:r>
      <w:r>
        <w:rPr>
          <w:spacing w:val="-2"/>
          <w:w w:val="105"/>
        </w:rPr>
        <w:t> </w:t>
      </w:r>
      <w:r>
        <w:rPr>
          <w:w w:val="105"/>
        </w:rPr>
        <w:t>financing</w:t>
      </w:r>
      <w:r>
        <w:rPr>
          <w:spacing w:val="-2"/>
          <w:w w:val="105"/>
        </w:rPr>
        <w:t> </w:t>
      </w:r>
      <w:r>
        <w:rPr>
          <w:w w:val="105"/>
        </w:rPr>
        <w:t>activities</w:t>
      </w:r>
      <w:r>
        <w:rPr>
          <w:spacing w:val="-2"/>
          <w:w w:val="105"/>
        </w:rPr>
        <w:t> </w:t>
      </w:r>
      <w:r>
        <w:rPr>
          <w:w w:val="105"/>
        </w:rPr>
        <w:t>in</w:t>
      </w:r>
      <w:r>
        <w:rPr>
          <w:spacing w:val="-2"/>
          <w:w w:val="105"/>
        </w:rPr>
        <w:t> </w:t>
      </w:r>
      <w:r>
        <w:rPr>
          <w:w w:val="105"/>
        </w:rPr>
        <w:t>the</w:t>
      </w:r>
      <w:r>
        <w:rPr>
          <w:spacing w:val="-2"/>
          <w:w w:val="105"/>
        </w:rPr>
        <w:t> </w:t>
      </w:r>
      <w:r>
        <w:rPr>
          <w:w w:val="105"/>
        </w:rPr>
        <w:t>consolidated</w:t>
      </w:r>
      <w:r>
        <w:rPr>
          <w:spacing w:val="-2"/>
          <w:w w:val="105"/>
        </w:rPr>
        <w:t> </w:t>
      </w:r>
      <w:r>
        <w:rPr>
          <w:w w:val="105"/>
        </w:rPr>
        <w:t>statements</w:t>
      </w:r>
      <w:r>
        <w:rPr>
          <w:spacing w:val="-2"/>
          <w:w w:val="105"/>
        </w:rPr>
        <w:t> </w:t>
      </w:r>
      <w:r>
        <w:rPr>
          <w:w w:val="105"/>
        </w:rPr>
        <w:t>of</w:t>
      </w:r>
      <w:r>
        <w:rPr>
          <w:spacing w:val="-2"/>
          <w:w w:val="105"/>
        </w:rPr>
        <w:t> </w:t>
      </w:r>
      <w:r>
        <w:rPr>
          <w:w w:val="105"/>
        </w:rPr>
        <w:t>cash</w:t>
      </w:r>
      <w:r>
        <w:rPr>
          <w:spacing w:val="-2"/>
          <w:w w:val="105"/>
        </w:rPr>
        <w:t> </w:t>
      </w:r>
      <w:r>
        <w:rPr>
          <w:w w:val="105"/>
        </w:rPr>
        <w:t>flows.</w:t>
      </w:r>
      <w:r>
        <w:rPr>
          <w:spacing w:val="-2"/>
          <w:w w:val="105"/>
        </w:rPr>
        <w:t> </w:t>
      </w:r>
      <w:r>
        <w:rPr>
          <w:w w:val="105"/>
        </w:rPr>
        <w:t>The redemption</w:t>
      </w:r>
      <w:r>
        <w:rPr>
          <w:spacing w:val="-2"/>
          <w:w w:val="105"/>
        </w:rPr>
        <w:t> </w:t>
      </w:r>
      <w:r>
        <w:rPr>
          <w:w w:val="105"/>
        </w:rPr>
        <w:t>resulted</w:t>
      </w:r>
      <w:r>
        <w:rPr>
          <w:spacing w:val="-2"/>
          <w:w w:val="105"/>
        </w:rPr>
        <w:t> </w:t>
      </w:r>
      <w:r>
        <w:rPr>
          <w:w w:val="105"/>
        </w:rPr>
        <w:t>in</w:t>
      </w:r>
      <w:r>
        <w:rPr>
          <w:spacing w:val="-2"/>
          <w:w w:val="105"/>
        </w:rPr>
        <w:t> </w:t>
      </w:r>
      <w:r>
        <w:rPr>
          <w:w w:val="105"/>
        </w:rPr>
        <w:t>a loss</w:t>
      </w:r>
      <w:r>
        <w:rPr>
          <w:spacing w:val="-2"/>
          <w:w w:val="105"/>
        </w:rPr>
        <w:t> </w:t>
      </w:r>
      <w:r>
        <w:rPr>
          <w:w w:val="105"/>
        </w:rPr>
        <w:t>of</w:t>
      </w:r>
      <w:r>
        <w:rPr>
          <w:spacing w:val="-2"/>
          <w:w w:val="105"/>
        </w:rPr>
        <w:t> </w:t>
      </w:r>
      <w:r>
        <w:rPr>
          <w:w w:val="105"/>
        </w:rPr>
        <w:t>$22 </w:t>
      </w:r>
      <w:r>
        <w:rPr>
          <w:spacing w:val="-2"/>
          <w:w w:val="105"/>
        </w:rPr>
        <w:t>million.</w:t>
      </w:r>
    </w:p>
    <w:p>
      <w:pPr>
        <w:pStyle w:val="BodyText"/>
        <w:spacing w:before="18"/>
      </w:pPr>
    </w:p>
    <w:p>
      <w:pPr>
        <w:pStyle w:val="BodyText"/>
        <w:spacing w:line="266" w:lineRule="auto"/>
        <w:ind w:left="156"/>
      </w:pPr>
      <w:r>
        <w:rPr>
          <w:w w:val="105"/>
        </w:rPr>
        <w:t>In</w:t>
      </w:r>
      <w:r>
        <w:rPr>
          <w:spacing w:val="-7"/>
          <w:w w:val="105"/>
        </w:rPr>
        <w:t> </w:t>
      </w:r>
      <w:r>
        <w:rPr>
          <w:w w:val="105"/>
        </w:rPr>
        <w:t>conjunction</w:t>
      </w:r>
      <w:r>
        <w:rPr>
          <w:spacing w:val="-7"/>
          <w:w w:val="105"/>
        </w:rPr>
        <w:t> </w:t>
      </w:r>
      <w:r>
        <w:rPr>
          <w:w w:val="105"/>
        </w:rPr>
        <w:t>with</w:t>
      </w:r>
      <w:r>
        <w:rPr>
          <w:spacing w:val="-7"/>
          <w:w w:val="105"/>
        </w:rPr>
        <w:t> </w:t>
      </w:r>
      <w:r>
        <w:rPr>
          <w:w w:val="105"/>
        </w:rPr>
        <w:t>the</w:t>
      </w:r>
      <w:r>
        <w:rPr>
          <w:spacing w:val="-7"/>
          <w:w w:val="105"/>
        </w:rPr>
        <w:t> </w:t>
      </w:r>
      <w:r>
        <w:rPr>
          <w:w w:val="105"/>
        </w:rPr>
        <w:t>change</w:t>
      </w:r>
      <w:r>
        <w:rPr>
          <w:spacing w:val="-5"/>
          <w:w w:val="105"/>
        </w:rPr>
        <w:t> </w:t>
      </w:r>
      <w:r>
        <w:rPr>
          <w:w w:val="105"/>
        </w:rPr>
        <w:t>in</w:t>
      </w:r>
      <w:r>
        <w:rPr>
          <w:spacing w:val="-7"/>
          <w:w w:val="105"/>
        </w:rPr>
        <w:t> </w:t>
      </w:r>
      <w:r>
        <w:rPr>
          <w:w w:val="105"/>
        </w:rPr>
        <w:t>control</w:t>
      </w:r>
      <w:r>
        <w:rPr>
          <w:spacing w:val="-7"/>
          <w:w w:val="105"/>
        </w:rPr>
        <w:t> </w:t>
      </w:r>
      <w:r>
        <w:rPr>
          <w:w w:val="105"/>
        </w:rPr>
        <w:t>of</w:t>
      </w:r>
      <w:r>
        <w:rPr>
          <w:spacing w:val="-7"/>
          <w:w w:val="105"/>
        </w:rPr>
        <w:t> </w:t>
      </w:r>
      <w:r>
        <w:rPr>
          <w:w w:val="105"/>
        </w:rPr>
        <w:t>HSG</w:t>
      </w:r>
      <w:r>
        <w:rPr>
          <w:spacing w:val="-7"/>
          <w:w w:val="105"/>
        </w:rPr>
        <w:t> </w:t>
      </w:r>
      <w:r>
        <w:rPr>
          <w:w w:val="105"/>
        </w:rPr>
        <w:t>on</w:t>
      </w:r>
      <w:r>
        <w:rPr>
          <w:spacing w:val="-7"/>
          <w:w w:val="105"/>
        </w:rPr>
        <w:t> </w:t>
      </w:r>
      <w:r>
        <w:rPr>
          <w:w w:val="105"/>
        </w:rPr>
        <w:t>September</w:t>
      </w:r>
      <w:r>
        <w:rPr>
          <w:spacing w:val="-7"/>
          <w:w w:val="105"/>
        </w:rPr>
        <w:t> </w:t>
      </w:r>
      <w:r>
        <w:rPr>
          <w:w w:val="105"/>
        </w:rPr>
        <w:t>9,</w:t>
      </w:r>
      <w:r>
        <w:rPr>
          <w:spacing w:val="-7"/>
          <w:w w:val="105"/>
        </w:rPr>
        <w:t> </w:t>
      </w:r>
      <w:r>
        <w:rPr>
          <w:w w:val="105"/>
        </w:rPr>
        <w:t>2020,</w:t>
      </w:r>
      <w:r>
        <w:rPr>
          <w:spacing w:val="-6"/>
          <w:w w:val="105"/>
        </w:rPr>
        <w:t> </w:t>
      </w:r>
      <w:r>
        <w:rPr>
          <w:w w:val="105"/>
        </w:rPr>
        <w:t>a</w:t>
      </w:r>
      <w:r>
        <w:rPr>
          <w:spacing w:val="-7"/>
          <w:w w:val="105"/>
        </w:rPr>
        <w:t> </w:t>
      </w:r>
      <w:r>
        <w:rPr>
          <w:w w:val="105"/>
        </w:rPr>
        <w:t>variable</w:t>
      </w:r>
      <w:r>
        <w:rPr>
          <w:spacing w:val="-7"/>
          <w:w w:val="105"/>
        </w:rPr>
        <w:t> </w:t>
      </w:r>
      <w:r>
        <w:rPr>
          <w:w w:val="105"/>
        </w:rPr>
        <w:t>interest</w:t>
      </w:r>
      <w:r>
        <w:rPr>
          <w:spacing w:val="-7"/>
          <w:w w:val="105"/>
        </w:rPr>
        <w:t> </w:t>
      </w:r>
      <w:r>
        <w:rPr>
          <w:w w:val="105"/>
        </w:rPr>
        <w:t>rate</w:t>
      </w:r>
      <w:r>
        <w:rPr>
          <w:spacing w:val="-7"/>
          <w:w w:val="105"/>
        </w:rPr>
        <w:t> </w:t>
      </w:r>
      <w:r>
        <w:rPr>
          <w:w w:val="105"/>
        </w:rPr>
        <w:t>loan</w:t>
      </w:r>
      <w:r>
        <w:rPr>
          <w:spacing w:val="-7"/>
          <w:w w:val="105"/>
        </w:rPr>
        <w:t> </w:t>
      </w:r>
      <w:r>
        <w:rPr>
          <w:w w:val="105"/>
        </w:rPr>
        <w:t>of</w:t>
      </w:r>
      <w:r>
        <w:rPr>
          <w:spacing w:val="-7"/>
          <w:w w:val="105"/>
        </w:rPr>
        <w:t> </w:t>
      </w:r>
      <w:r>
        <w:rPr>
          <w:w w:val="105"/>
        </w:rPr>
        <w:t>$175</w:t>
      </w:r>
      <w:r>
        <w:rPr>
          <w:spacing w:val="-7"/>
          <w:w w:val="105"/>
        </w:rPr>
        <w:t> </w:t>
      </w:r>
      <w:r>
        <w:rPr>
          <w:w w:val="105"/>
        </w:rPr>
        <w:t>million,</w:t>
      </w:r>
      <w:r>
        <w:rPr>
          <w:spacing w:val="-5"/>
          <w:w w:val="105"/>
        </w:rPr>
        <w:t> </w:t>
      </w:r>
      <w:r>
        <w:rPr>
          <w:w w:val="105"/>
        </w:rPr>
        <w:t>maturing</w:t>
      </w:r>
      <w:r>
        <w:rPr>
          <w:spacing w:val="-7"/>
          <w:w w:val="105"/>
        </w:rPr>
        <w:t> </w:t>
      </w:r>
      <w:r>
        <w:rPr>
          <w:w w:val="105"/>
        </w:rPr>
        <w:t>on</w:t>
      </w:r>
      <w:r>
        <w:rPr>
          <w:spacing w:val="-7"/>
          <w:w w:val="105"/>
        </w:rPr>
        <w:t> </w:t>
      </w:r>
      <w:r>
        <w:rPr>
          <w:w w:val="105"/>
        </w:rPr>
        <w:t>September</w:t>
      </w:r>
      <w:r>
        <w:rPr>
          <w:spacing w:val="-7"/>
          <w:w w:val="105"/>
        </w:rPr>
        <w:t> </w:t>
      </w:r>
      <w:r>
        <w:rPr>
          <w:w w:val="105"/>
        </w:rPr>
        <w:t>8,</w:t>
      </w:r>
      <w:r>
        <w:rPr>
          <w:spacing w:val="-7"/>
          <w:w w:val="105"/>
        </w:rPr>
        <w:t> </w:t>
      </w:r>
      <w:r>
        <w:rPr>
          <w:w w:val="105"/>
        </w:rPr>
        <w:t>2021,</w:t>
      </w:r>
      <w:r>
        <w:rPr>
          <w:spacing w:val="-6"/>
          <w:w w:val="105"/>
        </w:rPr>
        <w:t> </w:t>
      </w:r>
      <w:r>
        <w:rPr>
          <w:w w:val="105"/>
        </w:rPr>
        <w:t>was</w:t>
      </w:r>
      <w:r>
        <w:rPr>
          <w:spacing w:val="-7"/>
          <w:w w:val="105"/>
        </w:rPr>
        <w:t> </w:t>
      </w:r>
      <w:r>
        <w:rPr>
          <w:w w:val="105"/>
        </w:rPr>
        <w:t>made</w:t>
      </w:r>
      <w:r>
        <w:rPr>
          <w:spacing w:val="-7"/>
          <w:w w:val="105"/>
        </w:rPr>
        <w:t> </w:t>
      </w:r>
      <w:r>
        <w:rPr>
          <w:w w:val="105"/>
        </w:rPr>
        <w:t>to</w:t>
      </w:r>
      <w:r>
        <w:rPr>
          <w:spacing w:val="-7"/>
          <w:w w:val="105"/>
        </w:rPr>
        <w:t> </w:t>
      </w:r>
      <w:r>
        <w:rPr>
          <w:w w:val="105"/>
        </w:rPr>
        <w:t>DC</w:t>
      </w:r>
      <w:r>
        <w:rPr>
          <w:spacing w:val="-7"/>
          <w:w w:val="105"/>
        </w:rPr>
        <w:t> </w:t>
      </w:r>
      <w:r>
        <w:rPr>
          <w:w w:val="105"/>
        </w:rPr>
        <w:t>HSC Holdings,</w:t>
      </w:r>
      <w:r>
        <w:rPr>
          <w:spacing w:val="-2"/>
          <w:w w:val="105"/>
        </w:rPr>
        <w:t> </w:t>
      </w:r>
      <w:r>
        <w:rPr>
          <w:w w:val="105"/>
        </w:rPr>
        <w:t>LLC,</w:t>
      </w:r>
      <w:r>
        <w:rPr>
          <w:spacing w:val="-2"/>
          <w:w w:val="105"/>
        </w:rPr>
        <w:t> </w:t>
      </w:r>
      <w:r>
        <w:rPr>
          <w:w w:val="105"/>
        </w:rPr>
        <w:t>now</w:t>
      </w:r>
      <w:r>
        <w:rPr>
          <w:spacing w:val="-2"/>
          <w:w w:val="105"/>
        </w:rPr>
        <w:t> </w:t>
      </w:r>
      <w:r>
        <w:rPr>
          <w:w w:val="105"/>
        </w:rPr>
        <w:t>a</w:t>
      </w:r>
      <w:r>
        <w:rPr>
          <w:spacing w:val="-2"/>
          <w:w w:val="105"/>
        </w:rPr>
        <w:t> </w:t>
      </w:r>
      <w:r>
        <w:rPr>
          <w:w w:val="105"/>
        </w:rPr>
        <w:t>consolidated</w:t>
      </w:r>
      <w:r>
        <w:rPr>
          <w:spacing w:val="-2"/>
          <w:w w:val="105"/>
        </w:rPr>
        <w:t> </w:t>
      </w:r>
      <w:r>
        <w:rPr>
          <w:w w:val="105"/>
        </w:rPr>
        <w:t>subsidiary</w:t>
      </w:r>
      <w:r>
        <w:rPr>
          <w:spacing w:val="-2"/>
          <w:w w:val="105"/>
        </w:rPr>
        <w:t> </w:t>
      </w:r>
      <w:r>
        <w:rPr>
          <w:w w:val="105"/>
        </w:rPr>
        <w:t>of</w:t>
      </w:r>
      <w:r>
        <w:rPr>
          <w:spacing w:val="-2"/>
          <w:w w:val="105"/>
        </w:rPr>
        <w:t> </w:t>
      </w:r>
      <w:r>
        <w:rPr>
          <w:w w:val="105"/>
        </w:rPr>
        <w:t>Corning.</w:t>
      </w:r>
      <w:r>
        <w:rPr>
          <w:spacing w:val="39"/>
          <w:w w:val="105"/>
        </w:rPr>
        <w:t> </w:t>
      </w:r>
      <w:r>
        <w:rPr>
          <w:w w:val="105"/>
        </w:rPr>
        <w:t>As</w:t>
      </w:r>
      <w:r>
        <w:rPr>
          <w:spacing w:val="-2"/>
          <w:w w:val="105"/>
        </w:rPr>
        <w:t> </w:t>
      </w:r>
      <w:r>
        <w:rPr>
          <w:w w:val="105"/>
        </w:rPr>
        <w:t>of December</w:t>
      </w:r>
      <w:r>
        <w:rPr>
          <w:spacing w:val="-2"/>
          <w:w w:val="105"/>
        </w:rPr>
        <w:t> </w:t>
      </w:r>
      <w:r>
        <w:rPr>
          <w:w w:val="105"/>
        </w:rPr>
        <w:t>31,</w:t>
      </w:r>
      <w:r>
        <w:rPr>
          <w:spacing w:val="-2"/>
          <w:w w:val="105"/>
        </w:rPr>
        <w:t> </w:t>
      </w:r>
      <w:r>
        <w:rPr>
          <w:w w:val="105"/>
        </w:rPr>
        <w:t>2021,</w:t>
      </w:r>
      <w:r>
        <w:rPr>
          <w:spacing w:val="-1"/>
          <w:w w:val="105"/>
        </w:rPr>
        <w:t> </w:t>
      </w:r>
      <w:r>
        <w:rPr>
          <w:w w:val="105"/>
        </w:rPr>
        <w:t>the</w:t>
      </w:r>
      <w:r>
        <w:rPr>
          <w:spacing w:val="-2"/>
          <w:w w:val="105"/>
        </w:rPr>
        <w:t> </w:t>
      </w:r>
      <w:r>
        <w:rPr>
          <w:w w:val="105"/>
        </w:rPr>
        <w:t>third-party</w:t>
      </w:r>
      <w:r>
        <w:rPr>
          <w:spacing w:val="-2"/>
          <w:w w:val="105"/>
        </w:rPr>
        <w:t> </w:t>
      </w:r>
      <w:r>
        <w:rPr>
          <w:w w:val="105"/>
        </w:rPr>
        <w:t>debt</w:t>
      </w:r>
      <w:r>
        <w:rPr>
          <w:spacing w:val="-2"/>
          <w:w w:val="105"/>
        </w:rPr>
        <w:t> </w:t>
      </w:r>
      <w:r>
        <w:rPr>
          <w:w w:val="105"/>
        </w:rPr>
        <w:t>has</w:t>
      </w:r>
      <w:r>
        <w:rPr>
          <w:spacing w:val="-2"/>
          <w:w w:val="105"/>
        </w:rPr>
        <w:t> </w:t>
      </w:r>
      <w:r>
        <w:rPr>
          <w:w w:val="105"/>
        </w:rPr>
        <w:t>been</w:t>
      </w:r>
      <w:r>
        <w:rPr>
          <w:spacing w:val="-2"/>
          <w:w w:val="105"/>
        </w:rPr>
        <w:t> </w:t>
      </w:r>
      <w:r>
        <w:rPr>
          <w:w w:val="105"/>
        </w:rPr>
        <w:t>fully repaid.</w:t>
      </w:r>
      <w:r>
        <w:rPr>
          <w:spacing w:val="39"/>
          <w:w w:val="105"/>
        </w:rPr>
        <w:t> </w:t>
      </w:r>
      <w:r>
        <w:rPr>
          <w:w w:val="105"/>
        </w:rPr>
        <w:t>Refer</w:t>
      </w:r>
      <w:r>
        <w:rPr>
          <w:spacing w:val="-2"/>
          <w:w w:val="105"/>
        </w:rPr>
        <w:t> </w:t>
      </w:r>
      <w:r>
        <w:rPr>
          <w:w w:val="105"/>
        </w:rPr>
        <w:t>to</w:t>
      </w:r>
      <w:r>
        <w:rPr>
          <w:spacing w:val="-2"/>
          <w:w w:val="105"/>
        </w:rPr>
        <w:t> </w:t>
      </w:r>
      <w:r>
        <w:rPr>
          <w:w w:val="105"/>
        </w:rPr>
        <w:t>Note</w:t>
      </w:r>
      <w:r>
        <w:rPr>
          <w:spacing w:val="-1"/>
          <w:w w:val="105"/>
        </w:rPr>
        <w:t> </w:t>
      </w:r>
      <w:r>
        <w:rPr>
          <w:w w:val="105"/>
        </w:rPr>
        <w:t>3</w:t>
      </w:r>
      <w:r>
        <w:rPr>
          <w:spacing w:val="-2"/>
          <w:w w:val="105"/>
        </w:rPr>
        <w:t> </w:t>
      </w:r>
      <w:r>
        <w:rPr>
          <w:w w:val="105"/>
        </w:rPr>
        <w:t>(Investments)</w:t>
      </w:r>
      <w:r>
        <w:rPr>
          <w:spacing w:val="-2"/>
          <w:w w:val="105"/>
        </w:rPr>
        <w:t> </w:t>
      </w:r>
      <w:r>
        <w:rPr>
          <w:w w:val="105"/>
        </w:rPr>
        <w:t>to</w:t>
      </w:r>
      <w:r>
        <w:rPr>
          <w:spacing w:val="-2"/>
          <w:w w:val="105"/>
        </w:rPr>
        <w:t> </w:t>
      </w:r>
      <w:r>
        <w:rPr>
          <w:w w:val="105"/>
        </w:rPr>
        <w:t>the consolidated financial statements for additional information.</w:t>
      </w:r>
    </w:p>
    <w:p>
      <w:pPr>
        <w:pStyle w:val="BodyText"/>
        <w:spacing w:before="19"/>
      </w:pPr>
    </w:p>
    <w:p>
      <w:pPr>
        <w:pStyle w:val="BodyText"/>
        <w:spacing w:line="266" w:lineRule="auto"/>
        <w:ind w:left="156" w:right="328"/>
      </w:pPr>
      <w:r>
        <w:rPr>
          <w:w w:val="105"/>
        </w:rPr>
        <w:t>During</w:t>
      </w:r>
      <w:r>
        <w:rPr>
          <w:spacing w:val="-8"/>
          <w:w w:val="105"/>
        </w:rPr>
        <w:t> </w:t>
      </w:r>
      <w:r>
        <w:rPr>
          <w:w w:val="105"/>
        </w:rPr>
        <w:t>the</w:t>
      </w:r>
      <w:r>
        <w:rPr>
          <w:spacing w:val="-8"/>
          <w:w w:val="105"/>
        </w:rPr>
        <w:t> </w:t>
      </w:r>
      <w:r>
        <w:rPr>
          <w:w w:val="105"/>
        </w:rPr>
        <w:t>second</w:t>
      </w:r>
      <w:r>
        <w:rPr>
          <w:spacing w:val="-8"/>
          <w:w w:val="105"/>
        </w:rPr>
        <w:t> </w:t>
      </w:r>
      <w:r>
        <w:rPr>
          <w:w w:val="105"/>
        </w:rPr>
        <w:t>quarter</w:t>
      </w:r>
      <w:r>
        <w:rPr>
          <w:spacing w:val="-8"/>
          <w:w w:val="105"/>
        </w:rPr>
        <w:t> </w:t>
      </w:r>
      <w:r>
        <w:rPr>
          <w:w w:val="105"/>
        </w:rPr>
        <w:t>of</w:t>
      </w:r>
      <w:r>
        <w:rPr>
          <w:spacing w:val="-7"/>
          <w:w w:val="105"/>
        </w:rPr>
        <w:t> </w:t>
      </w:r>
      <w:r>
        <w:rPr>
          <w:w w:val="105"/>
        </w:rPr>
        <w:t>2020,</w:t>
      </w:r>
      <w:r>
        <w:rPr>
          <w:spacing w:val="-8"/>
          <w:w w:val="105"/>
        </w:rPr>
        <w:t> </w:t>
      </w:r>
      <w:r>
        <w:rPr>
          <w:w w:val="105"/>
        </w:rPr>
        <w:t>Corning</w:t>
      </w:r>
      <w:r>
        <w:rPr>
          <w:spacing w:val="-8"/>
          <w:w w:val="105"/>
        </w:rPr>
        <w:t> </w:t>
      </w:r>
      <w:r>
        <w:rPr>
          <w:w w:val="105"/>
        </w:rPr>
        <w:t>established</w:t>
      </w:r>
      <w:r>
        <w:rPr>
          <w:spacing w:val="-8"/>
          <w:w w:val="105"/>
        </w:rPr>
        <w:t> </w:t>
      </w:r>
      <w:r>
        <w:rPr>
          <w:w w:val="105"/>
        </w:rPr>
        <w:t>an</w:t>
      </w:r>
      <w:r>
        <w:rPr>
          <w:spacing w:val="-8"/>
          <w:w w:val="105"/>
        </w:rPr>
        <w:t> </w:t>
      </w:r>
      <w:r>
        <w:rPr>
          <w:w w:val="105"/>
        </w:rPr>
        <w:t>incremental</w:t>
      </w:r>
      <w:r>
        <w:rPr>
          <w:spacing w:val="-8"/>
          <w:w w:val="105"/>
        </w:rPr>
        <w:t> </w:t>
      </w:r>
      <w:r>
        <w:rPr>
          <w:w w:val="105"/>
        </w:rPr>
        <w:t>liquidity</w:t>
      </w:r>
      <w:r>
        <w:rPr>
          <w:spacing w:val="-8"/>
          <w:w w:val="105"/>
        </w:rPr>
        <w:t> </w:t>
      </w:r>
      <w:r>
        <w:rPr>
          <w:w w:val="105"/>
        </w:rPr>
        <w:t>facility</w:t>
      </w:r>
      <w:r>
        <w:rPr>
          <w:spacing w:val="-8"/>
          <w:w w:val="105"/>
        </w:rPr>
        <w:t> </w:t>
      </w:r>
      <w:r>
        <w:rPr>
          <w:w w:val="105"/>
        </w:rPr>
        <w:t>for</w:t>
      </w:r>
      <w:r>
        <w:rPr>
          <w:spacing w:val="-8"/>
          <w:w w:val="105"/>
        </w:rPr>
        <w:t> </w:t>
      </w:r>
      <w:r>
        <w:rPr>
          <w:w w:val="105"/>
        </w:rPr>
        <w:t>25</w:t>
      </w:r>
      <w:r>
        <w:rPr>
          <w:spacing w:val="-8"/>
          <w:w w:val="105"/>
        </w:rPr>
        <w:t> </w:t>
      </w:r>
      <w:r>
        <w:rPr>
          <w:w w:val="105"/>
        </w:rPr>
        <w:t>billion</w:t>
      </w:r>
      <w:r>
        <w:rPr>
          <w:spacing w:val="-8"/>
          <w:w w:val="105"/>
        </w:rPr>
        <w:t> </w:t>
      </w:r>
      <w:r>
        <w:rPr>
          <w:w w:val="105"/>
        </w:rPr>
        <w:t>Japanese</w:t>
      </w:r>
      <w:r>
        <w:rPr>
          <w:spacing w:val="-8"/>
          <w:w w:val="105"/>
        </w:rPr>
        <w:t> </w:t>
      </w:r>
      <w:r>
        <w:rPr>
          <w:w w:val="105"/>
        </w:rPr>
        <w:t>yen,</w:t>
      </w:r>
      <w:r>
        <w:rPr>
          <w:spacing w:val="-8"/>
          <w:w w:val="105"/>
        </w:rPr>
        <w:t> </w:t>
      </w:r>
      <w:r>
        <w:rPr>
          <w:w w:val="105"/>
        </w:rPr>
        <w:t>equivalent</w:t>
      </w:r>
      <w:r>
        <w:rPr>
          <w:spacing w:val="-8"/>
          <w:w w:val="105"/>
        </w:rPr>
        <w:t> </w:t>
      </w:r>
      <w:r>
        <w:rPr>
          <w:w w:val="105"/>
        </w:rPr>
        <w:t>to</w:t>
      </w:r>
      <w:r>
        <w:rPr>
          <w:spacing w:val="-8"/>
          <w:w w:val="105"/>
        </w:rPr>
        <w:t> </w:t>
      </w:r>
      <w:r>
        <w:rPr>
          <w:w w:val="105"/>
        </w:rPr>
        <w:t>$232</w:t>
      </w:r>
      <w:r>
        <w:rPr>
          <w:spacing w:val="-8"/>
          <w:w w:val="105"/>
        </w:rPr>
        <w:t> </w:t>
      </w:r>
      <w:r>
        <w:rPr>
          <w:w w:val="105"/>
        </w:rPr>
        <w:t>million</w:t>
      </w:r>
      <w:r>
        <w:rPr>
          <w:spacing w:val="-8"/>
          <w:w w:val="105"/>
        </w:rPr>
        <w:t> </w:t>
      </w:r>
      <w:r>
        <w:rPr>
          <w:w w:val="105"/>
        </w:rPr>
        <w:t>with</w:t>
      </w:r>
      <w:r>
        <w:rPr>
          <w:spacing w:val="-8"/>
          <w:w w:val="105"/>
        </w:rPr>
        <w:t> </w:t>
      </w:r>
      <w:r>
        <w:rPr>
          <w:w w:val="105"/>
        </w:rPr>
        <w:t>a</w:t>
      </w:r>
      <w:r>
        <w:rPr>
          <w:spacing w:val="-8"/>
          <w:w w:val="105"/>
        </w:rPr>
        <w:t> </w:t>
      </w:r>
      <w:r>
        <w:rPr>
          <w:w w:val="105"/>
        </w:rPr>
        <w:t>maturity</w:t>
      </w:r>
      <w:r>
        <w:rPr>
          <w:spacing w:val="-8"/>
          <w:w w:val="105"/>
        </w:rPr>
        <w:t> </w:t>
      </w:r>
      <w:r>
        <w:rPr>
          <w:w w:val="105"/>
        </w:rPr>
        <w:t>of</w:t>
      </w:r>
      <w:r>
        <w:rPr>
          <w:spacing w:val="-7"/>
          <w:w w:val="105"/>
        </w:rPr>
        <w:t> </w:t>
      </w:r>
      <w:r>
        <w:rPr>
          <w:w w:val="105"/>
        </w:rPr>
        <w:t>three years. As of December 31, 2020, the facility has not been drawn upon.</w:t>
      </w:r>
    </w:p>
    <w:p>
      <w:pPr>
        <w:pStyle w:val="BodyText"/>
        <w:spacing w:before="19"/>
      </w:pPr>
    </w:p>
    <w:p>
      <w:pPr>
        <w:pStyle w:val="BodyText"/>
        <w:spacing w:line="266" w:lineRule="auto"/>
        <w:ind w:left="156" w:right="117"/>
      </w:pPr>
      <w:r>
        <w:rPr>
          <w:w w:val="105"/>
        </w:rPr>
        <w:t>In</w:t>
      </w:r>
      <w:r>
        <w:rPr>
          <w:spacing w:val="-2"/>
          <w:w w:val="105"/>
        </w:rPr>
        <w:t> </w:t>
      </w:r>
      <w:r>
        <w:rPr>
          <w:w w:val="105"/>
        </w:rPr>
        <w:t>the</w:t>
      </w:r>
      <w:r>
        <w:rPr>
          <w:spacing w:val="-2"/>
          <w:w w:val="105"/>
        </w:rPr>
        <w:t> </w:t>
      </w:r>
      <w:r>
        <w:rPr>
          <w:w w:val="105"/>
        </w:rPr>
        <w:t>first</w:t>
      </w:r>
      <w:r>
        <w:rPr>
          <w:spacing w:val="-1"/>
          <w:w w:val="105"/>
        </w:rPr>
        <w:t> </w:t>
      </w:r>
      <w:r>
        <w:rPr>
          <w:w w:val="105"/>
        </w:rPr>
        <w:t>quarter</w:t>
      </w:r>
      <w:r>
        <w:rPr>
          <w:spacing w:val="-2"/>
          <w:w w:val="105"/>
        </w:rPr>
        <w:t> </w:t>
      </w:r>
      <w:r>
        <w:rPr>
          <w:w w:val="105"/>
        </w:rPr>
        <w:t>of</w:t>
      </w:r>
      <w:r>
        <w:rPr>
          <w:spacing w:val="-1"/>
          <w:w w:val="105"/>
        </w:rPr>
        <w:t> </w:t>
      </w:r>
      <w:r>
        <w:rPr>
          <w:w w:val="105"/>
        </w:rPr>
        <w:t>2020,</w:t>
      </w:r>
      <w:r>
        <w:rPr>
          <w:spacing w:val="-2"/>
          <w:w w:val="105"/>
        </w:rPr>
        <w:t> </w:t>
      </w:r>
      <w:r>
        <w:rPr>
          <w:w w:val="105"/>
        </w:rPr>
        <w:t>Corning</w:t>
      </w:r>
      <w:r>
        <w:rPr>
          <w:spacing w:val="-2"/>
          <w:w w:val="105"/>
        </w:rPr>
        <w:t> </w:t>
      </w:r>
      <w:r>
        <w:rPr>
          <w:w w:val="105"/>
        </w:rPr>
        <w:t>established</w:t>
      </w:r>
      <w:r>
        <w:rPr>
          <w:spacing w:val="-1"/>
          <w:w w:val="105"/>
        </w:rPr>
        <w:t> </w:t>
      </w:r>
      <w:r>
        <w:rPr>
          <w:w w:val="105"/>
        </w:rPr>
        <w:t>two</w:t>
      </w:r>
      <w:r>
        <w:rPr>
          <w:spacing w:val="-2"/>
          <w:w w:val="105"/>
        </w:rPr>
        <w:t> </w:t>
      </w:r>
      <w:r>
        <w:rPr>
          <w:w w:val="105"/>
        </w:rPr>
        <w:t>unsecured</w:t>
      </w:r>
      <w:r>
        <w:rPr>
          <w:spacing w:val="-2"/>
          <w:w w:val="105"/>
        </w:rPr>
        <w:t> </w:t>
      </w:r>
      <w:r>
        <w:rPr>
          <w:w w:val="105"/>
        </w:rPr>
        <w:t>variable</w:t>
      </w:r>
      <w:r>
        <w:rPr>
          <w:spacing w:val="-2"/>
          <w:w w:val="105"/>
        </w:rPr>
        <w:t> </w:t>
      </w:r>
      <w:r>
        <w:rPr>
          <w:w w:val="105"/>
        </w:rPr>
        <w:t>rate</w:t>
      </w:r>
      <w:r>
        <w:rPr>
          <w:spacing w:val="-2"/>
          <w:w w:val="105"/>
        </w:rPr>
        <w:t> </w:t>
      </w:r>
      <w:r>
        <w:rPr>
          <w:w w:val="105"/>
        </w:rPr>
        <w:t>loan</w:t>
      </w:r>
      <w:r>
        <w:rPr>
          <w:spacing w:val="-2"/>
          <w:w w:val="105"/>
        </w:rPr>
        <w:t> </w:t>
      </w:r>
      <w:r>
        <w:rPr>
          <w:w w:val="105"/>
        </w:rPr>
        <w:t>facilities for</w:t>
      </w:r>
      <w:r>
        <w:rPr>
          <w:spacing w:val="-2"/>
          <w:w w:val="105"/>
        </w:rPr>
        <w:t> </w:t>
      </w:r>
      <w:r>
        <w:rPr>
          <w:w w:val="105"/>
        </w:rPr>
        <w:t>1,050</w:t>
      </w:r>
      <w:r>
        <w:rPr>
          <w:spacing w:val="-2"/>
          <w:w w:val="105"/>
        </w:rPr>
        <w:t> </w:t>
      </w:r>
      <w:r>
        <w:rPr>
          <w:w w:val="105"/>
        </w:rPr>
        <w:t>million</w:t>
      </w:r>
      <w:r>
        <w:rPr>
          <w:spacing w:val="-2"/>
          <w:w w:val="105"/>
        </w:rPr>
        <w:t> </w:t>
      </w:r>
      <w:r>
        <w:rPr>
          <w:w w:val="105"/>
        </w:rPr>
        <w:t>Chinese</w:t>
      </w:r>
      <w:r>
        <w:rPr>
          <w:spacing w:val="-2"/>
          <w:w w:val="105"/>
        </w:rPr>
        <w:t> </w:t>
      </w:r>
      <w:r>
        <w:rPr>
          <w:w w:val="105"/>
        </w:rPr>
        <w:t>yuan,</w:t>
      </w:r>
      <w:r>
        <w:rPr>
          <w:spacing w:val="-2"/>
          <w:w w:val="105"/>
        </w:rPr>
        <w:t> </w:t>
      </w:r>
      <w:r>
        <w:rPr>
          <w:w w:val="105"/>
        </w:rPr>
        <w:t>equivalent</w:t>
      </w:r>
      <w:r>
        <w:rPr>
          <w:spacing w:val="-2"/>
          <w:w w:val="105"/>
        </w:rPr>
        <w:t> </w:t>
      </w:r>
      <w:r>
        <w:rPr>
          <w:w w:val="105"/>
        </w:rPr>
        <w:t>to</w:t>
      </w:r>
      <w:r>
        <w:rPr>
          <w:spacing w:val="-2"/>
          <w:w w:val="105"/>
        </w:rPr>
        <w:t> </w:t>
      </w:r>
      <w:r>
        <w:rPr>
          <w:w w:val="105"/>
        </w:rPr>
        <w:t>$150</w:t>
      </w:r>
      <w:r>
        <w:rPr>
          <w:spacing w:val="-2"/>
          <w:w w:val="105"/>
        </w:rPr>
        <w:t> </w:t>
      </w:r>
      <w:r>
        <w:rPr>
          <w:w w:val="105"/>
        </w:rPr>
        <w:t>million,</w:t>
      </w:r>
      <w:r>
        <w:rPr>
          <w:spacing w:val="-2"/>
          <w:w w:val="105"/>
        </w:rPr>
        <w:t> </w:t>
      </w:r>
      <w:r>
        <w:rPr>
          <w:w w:val="105"/>
        </w:rPr>
        <w:t>and</w:t>
      </w:r>
      <w:r>
        <w:rPr>
          <w:spacing w:val="-2"/>
          <w:w w:val="105"/>
        </w:rPr>
        <w:t> </w:t>
      </w:r>
      <w:r>
        <w:rPr>
          <w:w w:val="105"/>
        </w:rPr>
        <w:t>749</w:t>
      </w:r>
      <w:r>
        <w:rPr>
          <w:spacing w:val="-2"/>
          <w:w w:val="105"/>
        </w:rPr>
        <w:t> </w:t>
      </w:r>
      <w:r>
        <w:rPr>
          <w:w w:val="105"/>
        </w:rPr>
        <w:t>million Chinese</w:t>
      </w:r>
      <w:r>
        <w:rPr>
          <w:spacing w:val="-3"/>
          <w:w w:val="105"/>
        </w:rPr>
        <w:t> </w:t>
      </w:r>
      <w:r>
        <w:rPr>
          <w:w w:val="105"/>
        </w:rPr>
        <w:t>yuan,</w:t>
      </w:r>
      <w:r>
        <w:rPr>
          <w:spacing w:val="-3"/>
          <w:w w:val="105"/>
        </w:rPr>
        <w:t> </w:t>
      </w:r>
      <w:r>
        <w:rPr>
          <w:w w:val="105"/>
        </w:rPr>
        <w:t>equivalent</w:t>
      </w:r>
      <w:r>
        <w:rPr>
          <w:spacing w:val="-3"/>
          <w:w w:val="105"/>
        </w:rPr>
        <w:t> </w:t>
      </w:r>
      <w:r>
        <w:rPr>
          <w:w w:val="105"/>
        </w:rPr>
        <w:t>to</w:t>
      </w:r>
      <w:r>
        <w:rPr>
          <w:spacing w:val="-3"/>
          <w:w w:val="105"/>
        </w:rPr>
        <w:t> </w:t>
      </w:r>
      <w:r>
        <w:rPr>
          <w:w w:val="105"/>
        </w:rPr>
        <w:t>$105</w:t>
      </w:r>
      <w:r>
        <w:rPr>
          <w:spacing w:val="-3"/>
          <w:w w:val="105"/>
        </w:rPr>
        <w:t> </w:t>
      </w:r>
      <w:r>
        <w:rPr>
          <w:w w:val="105"/>
        </w:rPr>
        <w:t>million,</w:t>
      </w:r>
      <w:r>
        <w:rPr>
          <w:spacing w:val="-3"/>
          <w:w w:val="105"/>
        </w:rPr>
        <w:t> </w:t>
      </w:r>
      <w:r>
        <w:rPr>
          <w:w w:val="105"/>
        </w:rPr>
        <w:t>each</w:t>
      </w:r>
      <w:r>
        <w:rPr>
          <w:spacing w:val="-3"/>
          <w:w w:val="105"/>
        </w:rPr>
        <w:t> </w:t>
      </w:r>
      <w:r>
        <w:rPr>
          <w:w w:val="105"/>
        </w:rPr>
        <w:t>with</w:t>
      </w:r>
      <w:r>
        <w:rPr>
          <w:spacing w:val="-3"/>
          <w:w w:val="105"/>
        </w:rPr>
        <w:t> </w:t>
      </w:r>
      <w:r>
        <w:rPr>
          <w:w w:val="105"/>
        </w:rPr>
        <w:t>a</w:t>
      </w:r>
      <w:r>
        <w:rPr>
          <w:spacing w:val="-3"/>
          <w:w w:val="105"/>
        </w:rPr>
        <w:t> </w:t>
      </w:r>
      <w:r>
        <w:rPr>
          <w:w w:val="105"/>
        </w:rPr>
        <w:t>maturity</w:t>
      </w:r>
      <w:r>
        <w:rPr>
          <w:spacing w:val="-3"/>
          <w:w w:val="105"/>
        </w:rPr>
        <w:t> </w:t>
      </w:r>
      <w:r>
        <w:rPr>
          <w:w w:val="105"/>
        </w:rPr>
        <w:t>of</w:t>
      </w:r>
      <w:r>
        <w:rPr>
          <w:spacing w:val="-4"/>
          <w:w w:val="105"/>
        </w:rPr>
        <w:t> </w:t>
      </w:r>
      <w:r>
        <w:rPr>
          <w:w w:val="105"/>
        </w:rPr>
        <w:t>five</w:t>
      </w:r>
      <w:r>
        <w:rPr>
          <w:spacing w:val="-3"/>
          <w:w w:val="105"/>
        </w:rPr>
        <w:t> </w:t>
      </w:r>
      <w:r>
        <w:rPr>
          <w:w w:val="105"/>
        </w:rPr>
        <w:t>years.</w:t>
      </w:r>
      <w:r>
        <w:rPr>
          <w:spacing w:val="36"/>
          <w:w w:val="105"/>
        </w:rPr>
        <w:t> </w:t>
      </w:r>
      <w:r>
        <w:rPr>
          <w:w w:val="105"/>
        </w:rPr>
        <w:t>In</w:t>
      </w:r>
      <w:r>
        <w:rPr>
          <w:spacing w:val="-3"/>
          <w:w w:val="105"/>
        </w:rPr>
        <w:t> </w:t>
      </w:r>
      <w:r>
        <w:rPr>
          <w:w w:val="105"/>
        </w:rPr>
        <w:t>the</w:t>
      </w:r>
      <w:r>
        <w:rPr>
          <w:spacing w:val="-2"/>
          <w:w w:val="105"/>
        </w:rPr>
        <w:t> </w:t>
      </w:r>
      <w:r>
        <w:rPr>
          <w:w w:val="105"/>
        </w:rPr>
        <w:t>fourth</w:t>
      </w:r>
      <w:r>
        <w:rPr>
          <w:spacing w:val="-3"/>
          <w:w w:val="105"/>
        </w:rPr>
        <w:t> </w:t>
      </w:r>
      <w:r>
        <w:rPr>
          <w:w w:val="105"/>
        </w:rPr>
        <w:t>quarter</w:t>
      </w:r>
      <w:r>
        <w:rPr>
          <w:spacing w:val="-3"/>
          <w:w w:val="105"/>
        </w:rPr>
        <w:t> </w:t>
      </w:r>
      <w:r>
        <w:rPr>
          <w:w w:val="105"/>
        </w:rPr>
        <w:t>of</w:t>
      </w:r>
      <w:r>
        <w:rPr>
          <w:spacing w:val="-2"/>
          <w:w w:val="105"/>
        </w:rPr>
        <w:t> </w:t>
      </w:r>
      <w:r>
        <w:rPr>
          <w:w w:val="105"/>
        </w:rPr>
        <w:t>2020,</w:t>
      </w:r>
      <w:r>
        <w:rPr>
          <w:spacing w:val="-3"/>
          <w:w w:val="105"/>
        </w:rPr>
        <w:t> </w:t>
      </w:r>
      <w:r>
        <w:rPr>
          <w:w w:val="105"/>
        </w:rPr>
        <w:t>Corning</w:t>
      </w:r>
      <w:r>
        <w:rPr>
          <w:spacing w:val="-3"/>
          <w:w w:val="105"/>
        </w:rPr>
        <w:t> </w:t>
      </w:r>
      <w:r>
        <w:rPr>
          <w:w w:val="105"/>
        </w:rPr>
        <w:t>established</w:t>
      </w:r>
      <w:r>
        <w:rPr>
          <w:spacing w:val="-3"/>
          <w:w w:val="105"/>
        </w:rPr>
        <w:t> </w:t>
      </w:r>
      <w:r>
        <w:rPr>
          <w:w w:val="105"/>
        </w:rPr>
        <w:t>a</w:t>
      </w:r>
      <w:r>
        <w:rPr>
          <w:spacing w:val="-2"/>
          <w:w w:val="105"/>
        </w:rPr>
        <w:t> </w:t>
      </w:r>
      <w:r>
        <w:rPr>
          <w:w w:val="105"/>
        </w:rPr>
        <w:t>third</w:t>
      </w:r>
      <w:r>
        <w:rPr>
          <w:spacing w:val="-3"/>
          <w:w w:val="105"/>
        </w:rPr>
        <w:t> </w:t>
      </w:r>
      <w:r>
        <w:rPr>
          <w:w w:val="105"/>
        </w:rPr>
        <w:t>unsecured</w:t>
      </w:r>
      <w:r>
        <w:rPr>
          <w:spacing w:val="-3"/>
          <w:w w:val="105"/>
        </w:rPr>
        <w:t> </w:t>
      </w:r>
      <w:r>
        <w:rPr>
          <w:w w:val="105"/>
        </w:rPr>
        <w:t>variable</w:t>
      </w:r>
      <w:r>
        <w:rPr>
          <w:spacing w:val="-3"/>
          <w:w w:val="105"/>
        </w:rPr>
        <w:t> </w:t>
      </w:r>
      <w:r>
        <w:rPr>
          <w:w w:val="105"/>
        </w:rPr>
        <w:t>rate</w:t>
      </w:r>
      <w:r>
        <w:rPr>
          <w:spacing w:val="-3"/>
          <w:w w:val="105"/>
        </w:rPr>
        <w:t> </w:t>
      </w:r>
      <w:r>
        <w:rPr>
          <w:w w:val="105"/>
        </w:rPr>
        <w:t>loan</w:t>
      </w:r>
      <w:r>
        <w:rPr>
          <w:spacing w:val="-3"/>
          <w:w w:val="105"/>
        </w:rPr>
        <w:t> </w:t>
      </w:r>
      <w:r>
        <w:rPr>
          <w:w w:val="105"/>
        </w:rPr>
        <w:t>facility for</w:t>
      </w:r>
      <w:r>
        <w:rPr>
          <w:spacing w:val="-5"/>
          <w:w w:val="105"/>
        </w:rPr>
        <w:t> </w:t>
      </w:r>
      <w:r>
        <w:rPr>
          <w:w w:val="105"/>
        </w:rPr>
        <w:t>546</w:t>
      </w:r>
      <w:r>
        <w:rPr>
          <w:spacing w:val="-5"/>
          <w:w w:val="105"/>
        </w:rPr>
        <w:t> </w:t>
      </w:r>
      <w:r>
        <w:rPr>
          <w:w w:val="105"/>
        </w:rPr>
        <w:t>million</w:t>
      </w:r>
      <w:r>
        <w:rPr>
          <w:spacing w:val="-5"/>
          <w:w w:val="105"/>
        </w:rPr>
        <w:t> </w:t>
      </w:r>
      <w:r>
        <w:rPr>
          <w:w w:val="105"/>
        </w:rPr>
        <w:t>Chinese</w:t>
      </w:r>
      <w:r>
        <w:rPr>
          <w:spacing w:val="-5"/>
          <w:w w:val="105"/>
        </w:rPr>
        <w:t> </w:t>
      </w:r>
      <w:r>
        <w:rPr>
          <w:w w:val="105"/>
        </w:rPr>
        <w:t>yuan,</w:t>
      </w:r>
      <w:r>
        <w:rPr>
          <w:spacing w:val="-5"/>
          <w:w w:val="105"/>
        </w:rPr>
        <w:t> </w:t>
      </w:r>
      <w:r>
        <w:rPr>
          <w:w w:val="105"/>
        </w:rPr>
        <w:t>equivalent</w:t>
      </w:r>
      <w:r>
        <w:rPr>
          <w:spacing w:val="-5"/>
          <w:w w:val="105"/>
        </w:rPr>
        <w:t> </w:t>
      </w:r>
      <w:r>
        <w:rPr>
          <w:w w:val="105"/>
        </w:rPr>
        <w:t>to</w:t>
      </w:r>
      <w:r>
        <w:rPr>
          <w:spacing w:val="-5"/>
          <w:w w:val="105"/>
        </w:rPr>
        <w:t> </w:t>
      </w:r>
      <w:r>
        <w:rPr>
          <w:w w:val="105"/>
        </w:rPr>
        <w:t>$84</w:t>
      </w:r>
      <w:r>
        <w:rPr>
          <w:spacing w:val="-5"/>
          <w:w w:val="105"/>
        </w:rPr>
        <w:t> </w:t>
      </w:r>
      <w:r>
        <w:rPr>
          <w:w w:val="105"/>
        </w:rPr>
        <w:t>million,</w:t>
      </w:r>
      <w:r>
        <w:rPr>
          <w:spacing w:val="-5"/>
          <w:w w:val="105"/>
        </w:rPr>
        <w:t> </w:t>
      </w:r>
      <w:r>
        <w:rPr>
          <w:w w:val="105"/>
        </w:rPr>
        <w:t>with</w:t>
      </w:r>
      <w:r>
        <w:rPr>
          <w:spacing w:val="-5"/>
          <w:w w:val="105"/>
        </w:rPr>
        <w:t> </w:t>
      </w:r>
      <w:r>
        <w:rPr>
          <w:w w:val="105"/>
        </w:rPr>
        <w:t>a</w:t>
      </w:r>
      <w:r>
        <w:rPr>
          <w:spacing w:val="-5"/>
          <w:w w:val="105"/>
        </w:rPr>
        <w:t> </w:t>
      </w:r>
      <w:r>
        <w:rPr>
          <w:w w:val="105"/>
        </w:rPr>
        <w:t>maturity</w:t>
      </w:r>
      <w:r>
        <w:rPr>
          <w:spacing w:val="-5"/>
          <w:w w:val="105"/>
        </w:rPr>
        <w:t> </w:t>
      </w:r>
      <w:r>
        <w:rPr>
          <w:w w:val="105"/>
        </w:rPr>
        <w:t>of</w:t>
      </w:r>
      <w:r>
        <w:rPr>
          <w:spacing w:val="-5"/>
          <w:w w:val="105"/>
        </w:rPr>
        <w:t> </w:t>
      </w:r>
      <w:r>
        <w:rPr>
          <w:w w:val="105"/>
        </w:rPr>
        <w:t>five</w:t>
      </w:r>
      <w:r>
        <w:rPr>
          <w:spacing w:val="-5"/>
          <w:w w:val="105"/>
        </w:rPr>
        <w:t> </w:t>
      </w:r>
      <w:r>
        <w:rPr>
          <w:w w:val="105"/>
        </w:rPr>
        <w:t>years.</w:t>
      </w:r>
      <w:r>
        <w:rPr>
          <w:spacing w:val="-5"/>
          <w:w w:val="105"/>
        </w:rPr>
        <w:t> </w:t>
      </w:r>
      <w:r>
        <w:rPr>
          <w:w w:val="105"/>
        </w:rPr>
        <w:t>Borrowings</w:t>
      </w:r>
      <w:r>
        <w:rPr>
          <w:spacing w:val="-5"/>
          <w:w w:val="105"/>
        </w:rPr>
        <w:t> </w:t>
      </w:r>
      <w:r>
        <w:rPr>
          <w:w w:val="105"/>
        </w:rPr>
        <w:t>under</w:t>
      </w:r>
      <w:r>
        <w:rPr>
          <w:spacing w:val="-5"/>
          <w:w w:val="105"/>
        </w:rPr>
        <w:t> </w:t>
      </w:r>
      <w:r>
        <w:rPr>
          <w:w w:val="105"/>
        </w:rPr>
        <w:t>these</w:t>
      </w:r>
      <w:r>
        <w:rPr>
          <w:spacing w:val="-5"/>
          <w:w w:val="105"/>
        </w:rPr>
        <w:t> </w:t>
      </w:r>
      <w:r>
        <w:rPr>
          <w:w w:val="105"/>
        </w:rPr>
        <w:t>loan</w:t>
      </w:r>
      <w:r>
        <w:rPr>
          <w:spacing w:val="-5"/>
          <w:w w:val="105"/>
        </w:rPr>
        <w:t> </w:t>
      </w:r>
      <w:r>
        <w:rPr>
          <w:w w:val="105"/>
        </w:rPr>
        <w:t>facilities</w:t>
      </w:r>
      <w:r>
        <w:rPr>
          <w:spacing w:val="-5"/>
          <w:w w:val="105"/>
        </w:rPr>
        <w:t> </w:t>
      </w:r>
      <w:r>
        <w:rPr>
          <w:w w:val="105"/>
        </w:rPr>
        <w:t>for</w:t>
      </w:r>
      <w:r>
        <w:rPr>
          <w:spacing w:val="-5"/>
          <w:w w:val="105"/>
        </w:rPr>
        <w:t> </w:t>
      </w:r>
      <w:r>
        <w:rPr>
          <w:w w:val="105"/>
        </w:rPr>
        <w:t>the</w:t>
      </w:r>
      <w:r>
        <w:rPr>
          <w:spacing w:val="-5"/>
          <w:w w:val="105"/>
        </w:rPr>
        <w:t> </w:t>
      </w:r>
      <w:r>
        <w:rPr>
          <w:w w:val="105"/>
        </w:rPr>
        <w:t>year</w:t>
      </w:r>
      <w:r>
        <w:rPr>
          <w:spacing w:val="-5"/>
          <w:w w:val="105"/>
        </w:rPr>
        <w:t> </w:t>
      </w:r>
      <w:r>
        <w:rPr>
          <w:w w:val="105"/>
        </w:rPr>
        <w:t>ended</w:t>
      </w:r>
      <w:r>
        <w:rPr>
          <w:spacing w:val="-4"/>
          <w:w w:val="105"/>
        </w:rPr>
        <w:t> </w:t>
      </w:r>
      <w:r>
        <w:rPr>
          <w:w w:val="105"/>
        </w:rPr>
        <w:t>December</w:t>
      </w:r>
      <w:r>
        <w:rPr>
          <w:spacing w:val="-5"/>
          <w:w w:val="105"/>
        </w:rPr>
        <w:t> </w:t>
      </w:r>
      <w:r>
        <w:rPr>
          <w:w w:val="105"/>
        </w:rPr>
        <w:t>31,</w:t>
      </w:r>
      <w:r>
        <w:rPr>
          <w:spacing w:val="-5"/>
          <w:w w:val="105"/>
        </w:rPr>
        <w:t> </w:t>
      </w:r>
      <w:r>
        <w:rPr>
          <w:w w:val="105"/>
        </w:rPr>
        <w:t>2020,</w:t>
      </w:r>
      <w:r>
        <w:rPr>
          <w:spacing w:val="-4"/>
          <w:w w:val="105"/>
        </w:rPr>
        <w:t> </w:t>
      </w:r>
      <w:r>
        <w:rPr>
          <w:w w:val="105"/>
        </w:rPr>
        <w:t>totaled 1,691</w:t>
      </w:r>
      <w:r>
        <w:rPr>
          <w:spacing w:val="-9"/>
          <w:w w:val="105"/>
        </w:rPr>
        <w:t> </w:t>
      </w:r>
      <w:r>
        <w:rPr>
          <w:w w:val="105"/>
        </w:rPr>
        <w:t>million</w:t>
      </w:r>
      <w:r>
        <w:rPr>
          <w:spacing w:val="-9"/>
          <w:w w:val="105"/>
        </w:rPr>
        <w:t> </w:t>
      </w:r>
      <w:r>
        <w:rPr>
          <w:w w:val="105"/>
        </w:rPr>
        <w:t>Chinese</w:t>
      </w:r>
      <w:r>
        <w:rPr>
          <w:spacing w:val="-9"/>
          <w:w w:val="105"/>
        </w:rPr>
        <w:t> </w:t>
      </w:r>
      <w:r>
        <w:rPr>
          <w:w w:val="105"/>
        </w:rPr>
        <w:t>yuan,</w:t>
      </w:r>
      <w:r>
        <w:rPr>
          <w:spacing w:val="-9"/>
          <w:w w:val="105"/>
        </w:rPr>
        <w:t> </w:t>
      </w:r>
      <w:r>
        <w:rPr>
          <w:w w:val="105"/>
        </w:rPr>
        <w:t>or</w:t>
      </w:r>
      <w:r>
        <w:rPr>
          <w:spacing w:val="-9"/>
          <w:w w:val="105"/>
        </w:rPr>
        <w:t> </w:t>
      </w:r>
      <w:r>
        <w:rPr>
          <w:w w:val="105"/>
        </w:rPr>
        <w:t>approximately</w:t>
      </w:r>
      <w:r>
        <w:rPr>
          <w:spacing w:val="-9"/>
          <w:w w:val="105"/>
        </w:rPr>
        <w:t> </w:t>
      </w:r>
      <w:r>
        <w:rPr>
          <w:w w:val="105"/>
        </w:rPr>
        <w:t>$243</w:t>
      </w:r>
      <w:r>
        <w:rPr>
          <w:spacing w:val="-9"/>
          <w:w w:val="105"/>
        </w:rPr>
        <w:t> </w:t>
      </w:r>
      <w:r>
        <w:rPr>
          <w:w w:val="105"/>
        </w:rPr>
        <w:t>million.</w:t>
      </w:r>
      <w:r>
        <w:rPr>
          <w:spacing w:val="-9"/>
          <w:w w:val="105"/>
        </w:rPr>
        <w:t> </w:t>
      </w:r>
      <w:r>
        <w:rPr>
          <w:w w:val="105"/>
        </w:rPr>
        <w:t>These</w:t>
      </w:r>
      <w:r>
        <w:rPr>
          <w:spacing w:val="-9"/>
          <w:w w:val="105"/>
        </w:rPr>
        <w:t> </w:t>
      </w:r>
      <w:r>
        <w:rPr>
          <w:w w:val="105"/>
        </w:rPr>
        <w:t>Chinese</w:t>
      </w:r>
      <w:r>
        <w:rPr>
          <w:spacing w:val="-9"/>
          <w:w w:val="105"/>
        </w:rPr>
        <w:t> </w:t>
      </w:r>
      <w:r>
        <w:rPr>
          <w:w w:val="105"/>
        </w:rPr>
        <w:t>yuan-denominated</w:t>
      </w:r>
      <w:r>
        <w:rPr>
          <w:spacing w:val="-9"/>
          <w:w w:val="105"/>
        </w:rPr>
        <w:t> </w:t>
      </w:r>
      <w:r>
        <w:rPr>
          <w:w w:val="105"/>
        </w:rPr>
        <w:t>proceeds</w:t>
      </w:r>
      <w:r>
        <w:rPr>
          <w:spacing w:val="-9"/>
          <w:w w:val="105"/>
        </w:rPr>
        <w:t> </w:t>
      </w:r>
      <w:r>
        <w:rPr>
          <w:w w:val="105"/>
        </w:rPr>
        <w:t>will</w:t>
      </w:r>
      <w:r>
        <w:rPr>
          <w:spacing w:val="-9"/>
          <w:w w:val="105"/>
        </w:rPr>
        <w:t> </w:t>
      </w:r>
      <w:r>
        <w:rPr>
          <w:w w:val="105"/>
        </w:rPr>
        <w:t>not</w:t>
      </w:r>
      <w:r>
        <w:rPr>
          <w:spacing w:val="-9"/>
          <w:w w:val="105"/>
        </w:rPr>
        <w:t> </w:t>
      </w:r>
      <w:r>
        <w:rPr>
          <w:w w:val="105"/>
        </w:rPr>
        <w:t>be</w:t>
      </w:r>
      <w:r>
        <w:rPr>
          <w:spacing w:val="-9"/>
          <w:w w:val="105"/>
        </w:rPr>
        <w:t> </w:t>
      </w:r>
      <w:r>
        <w:rPr>
          <w:w w:val="105"/>
        </w:rPr>
        <w:t>converted</w:t>
      </w:r>
      <w:r>
        <w:rPr>
          <w:spacing w:val="-9"/>
          <w:w w:val="105"/>
        </w:rPr>
        <w:t> </w:t>
      </w:r>
      <w:r>
        <w:rPr>
          <w:w w:val="105"/>
        </w:rPr>
        <w:t>into</w:t>
      </w:r>
      <w:r>
        <w:rPr>
          <w:spacing w:val="-9"/>
          <w:w w:val="105"/>
        </w:rPr>
        <w:t> </w:t>
      </w:r>
      <w:r>
        <w:rPr>
          <w:w w:val="105"/>
        </w:rPr>
        <w:t>USD</w:t>
      </w:r>
      <w:r>
        <w:rPr>
          <w:spacing w:val="-9"/>
          <w:w w:val="105"/>
        </w:rPr>
        <w:t> </w:t>
      </w:r>
      <w:r>
        <w:rPr>
          <w:w w:val="105"/>
        </w:rPr>
        <w:t>and</w:t>
      </w:r>
      <w:r>
        <w:rPr>
          <w:spacing w:val="-9"/>
          <w:w w:val="105"/>
        </w:rPr>
        <w:t> </w:t>
      </w:r>
      <w:r>
        <w:rPr>
          <w:w w:val="105"/>
        </w:rPr>
        <w:t>will</w:t>
      </w:r>
      <w:r>
        <w:rPr>
          <w:spacing w:val="-9"/>
          <w:w w:val="105"/>
        </w:rPr>
        <w:t> </w:t>
      </w:r>
      <w:r>
        <w:rPr>
          <w:w w:val="105"/>
        </w:rPr>
        <w:t>be</w:t>
      </w:r>
      <w:r>
        <w:rPr>
          <w:spacing w:val="-9"/>
          <w:w w:val="105"/>
        </w:rPr>
        <w:t> </w:t>
      </w:r>
      <w:r>
        <w:rPr>
          <w:w w:val="105"/>
        </w:rPr>
        <w:t>used</w:t>
      </w:r>
      <w:r>
        <w:rPr>
          <w:spacing w:val="-9"/>
          <w:w w:val="105"/>
        </w:rPr>
        <w:t> </w:t>
      </w:r>
      <w:r>
        <w:rPr>
          <w:w w:val="105"/>
        </w:rPr>
        <w:t>for</w:t>
      </w:r>
      <w:r>
        <w:rPr>
          <w:spacing w:val="-7"/>
          <w:w w:val="105"/>
        </w:rPr>
        <w:t> </w:t>
      </w:r>
      <w:r>
        <w:rPr>
          <w:w w:val="105"/>
        </w:rPr>
        <w:t>capital</w:t>
      </w:r>
      <w:r>
        <w:rPr>
          <w:spacing w:val="-9"/>
          <w:w w:val="105"/>
        </w:rPr>
        <w:t> </w:t>
      </w:r>
      <w:r>
        <w:rPr>
          <w:w w:val="105"/>
        </w:rPr>
        <w:t>projects. Payments</w:t>
      </w:r>
      <w:r>
        <w:rPr>
          <w:spacing w:val="-3"/>
          <w:w w:val="105"/>
        </w:rPr>
        <w:t> </w:t>
      </w:r>
      <w:r>
        <w:rPr>
          <w:w w:val="105"/>
        </w:rPr>
        <w:t>of</w:t>
      </w:r>
      <w:r>
        <w:rPr>
          <w:spacing w:val="-3"/>
          <w:w w:val="105"/>
        </w:rPr>
        <w:t> </w:t>
      </w:r>
      <w:r>
        <w:rPr>
          <w:w w:val="105"/>
        </w:rPr>
        <w:t>principal</w:t>
      </w:r>
      <w:r>
        <w:rPr>
          <w:spacing w:val="-3"/>
          <w:w w:val="105"/>
        </w:rPr>
        <w:t> </w:t>
      </w:r>
      <w:r>
        <w:rPr>
          <w:w w:val="105"/>
        </w:rPr>
        <w:t>and</w:t>
      </w:r>
      <w:r>
        <w:rPr>
          <w:spacing w:val="-3"/>
          <w:w w:val="105"/>
        </w:rPr>
        <w:t> </w:t>
      </w:r>
      <w:r>
        <w:rPr>
          <w:w w:val="105"/>
        </w:rPr>
        <w:t>interest</w:t>
      </w:r>
      <w:r>
        <w:rPr>
          <w:spacing w:val="-3"/>
          <w:w w:val="105"/>
        </w:rPr>
        <w:t> </w:t>
      </w:r>
      <w:r>
        <w:rPr>
          <w:w w:val="105"/>
        </w:rPr>
        <w:t>on</w:t>
      </w:r>
      <w:r>
        <w:rPr>
          <w:spacing w:val="-3"/>
          <w:w w:val="105"/>
        </w:rPr>
        <w:t> </w:t>
      </w:r>
      <w:r>
        <w:rPr>
          <w:w w:val="105"/>
        </w:rPr>
        <w:t>the</w:t>
      </w:r>
      <w:r>
        <w:rPr>
          <w:spacing w:val="-3"/>
          <w:w w:val="105"/>
        </w:rPr>
        <w:t> </w:t>
      </w:r>
      <w:r>
        <w:rPr>
          <w:w w:val="105"/>
        </w:rPr>
        <w:t>Notes</w:t>
      </w:r>
      <w:r>
        <w:rPr>
          <w:spacing w:val="-3"/>
          <w:w w:val="105"/>
        </w:rPr>
        <w:t> </w:t>
      </w:r>
      <w:r>
        <w:rPr>
          <w:w w:val="105"/>
        </w:rPr>
        <w:t>will</w:t>
      </w:r>
      <w:r>
        <w:rPr>
          <w:spacing w:val="-3"/>
          <w:w w:val="105"/>
        </w:rPr>
        <w:t> </w:t>
      </w:r>
      <w:r>
        <w:rPr>
          <w:w w:val="105"/>
        </w:rPr>
        <w:t>be</w:t>
      </w:r>
      <w:r>
        <w:rPr>
          <w:spacing w:val="-3"/>
          <w:w w:val="105"/>
        </w:rPr>
        <w:t> </w:t>
      </w:r>
      <w:r>
        <w:rPr>
          <w:w w:val="105"/>
        </w:rPr>
        <w:t>in</w:t>
      </w:r>
      <w:r>
        <w:rPr>
          <w:spacing w:val="-3"/>
          <w:w w:val="105"/>
        </w:rPr>
        <w:t> </w:t>
      </w:r>
      <w:r>
        <w:rPr>
          <w:w w:val="105"/>
        </w:rPr>
        <w:t>Chinese</w:t>
      </w:r>
      <w:r>
        <w:rPr>
          <w:spacing w:val="-3"/>
          <w:w w:val="105"/>
        </w:rPr>
        <w:t> </w:t>
      </w:r>
      <w:r>
        <w:rPr>
          <w:w w:val="105"/>
        </w:rPr>
        <w:t>yuan,</w:t>
      </w:r>
      <w:r>
        <w:rPr>
          <w:spacing w:val="-3"/>
          <w:w w:val="105"/>
        </w:rPr>
        <w:t> </w:t>
      </w:r>
      <w:r>
        <w:rPr>
          <w:w w:val="105"/>
        </w:rPr>
        <w:t>or</w:t>
      </w:r>
      <w:r>
        <w:rPr>
          <w:spacing w:val="-3"/>
          <w:w w:val="105"/>
        </w:rPr>
        <w:t> </w:t>
      </w:r>
      <w:r>
        <w:rPr>
          <w:w w:val="105"/>
        </w:rPr>
        <w:t>should</w:t>
      </w:r>
      <w:r>
        <w:rPr>
          <w:spacing w:val="-3"/>
          <w:w w:val="105"/>
        </w:rPr>
        <w:t> </w:t>
      </w:r>
      <w:r>
        <w:rPr>
          <w:w w:val="105"/>
        </w:rPr>
        <w:t>yuan</w:t>
      </w:r>
      <w:r>
        <w:rPr>
          <w:spacing w:val="-3"/>
          <w:w w:val="105"/>
        </w:rPr>
        <w:t> </w:t>
      </w:r>
      <w:r>
        <w:rPr>
          <w:w w:val="105"/>
        </w:rPr>
        <w:t>be</w:t>
      </w:r>
      <w:r>
        <w:rPr>
          <w:spacing w:val="-3"/>
          <w:w w:val="105"/>
        </w:rPr>
        <w:t> </w:t>
      </w:r>
      <w:r>
        <w:rPr>
          <w:w w:val="105"/>
        </w:rPr>
        <w:t>unavailable</w:t>
      </w:r>
      <w:r>
        <w:rPr>
          <w:spacing w:val="-3"/>
          <w:w w:val="105"/>
        </w:rPr>
        <w:t> </w:t>
      </w:r>
      <w:r>
        <w:rPr>
          <w:w w:val="105"/>
        </w:rPr>
        <w:t>due</w:t>
      </w:r>
      <w:r>
        <w:rPr>
          <w:spacing w:val="-3"/>
          <w:w w:val="105"/>
        </w:rPr>
        <w:t> </w:t>
      </w:r>
      <w:r>
        <w:rPr>
          <w:w w:val="105"/>
        </w:rPr>
        <w:t>to</w:t>
      </w:r>
      <w:r>
        <w:rPr>
          <w:spacing w:val="-3"/>
          <w:w w:val="105"/>
        </w:rPr>
        <w:t> </w:t>
      </w:r>
      <w:r>
        <w:rPr>
          <w:w w:val="105"/>
        </w:rPr>
        <w:t>circumstances</w:t>
      </w:r>
      <w:r>
        <w:rPr>
          <w:spacing w:val="-3"/>
          <w:w w:val="105"/>
        </w:rPr>
        <w:t> </w:t>
      </w:r>
      <w:r>
        <w:rPr>
          <w:w w:val="105"/>
        </w:rPr>
        <w:t>beyond</w:t>
      </w:r>
      <w:r>
        <w:rPr>
          <w:spacing w:val="-3"/>
          <w:w w:val="105"/>
        </w:rPr>
        <w:t> </w:t>
      </w:r>
      <w:r>
        <w:rPr>
          <w:w w:val="105"/>
        </w:rPr>
        <w:t>Corning’s</w:t>
      </w:r>
      <w:r>
        <w:rPr>
          <w:spacing w:val="-3"/>
          <w:w w:val="105"/>
        </w:rPr>
        <w:t> </w:t>
      </w:r>
      <w:r>
        <w:rPr>
          <w:w w:val="105"/>
        </w:rPr>
        <w:t>control,</w:t>
      </w:r>
      <w:r>
        <w:rPr>
          <w:spacing w:val="-3"/>
          <w:w w:val="105"/>
        </w:rPr>
        <w:t> </w:t>
      </w:r>
      <w:r>
        <w:rPr>
          <w:w w:val="105"/>
        </w:rPr>
        <w:t>a</w:t>
      </w:r>
      <w:r>
        <w:rPr>
          <w:spacing w:val="-3"/>
          <w:w w:val="105"/>
        </w:rPr>
        <w:t> </w:t>
      </w:r>
      <w:r>
        <w:rPr>
          <w:w w:val="105"/>
        </w:rPr>
        <w:t>USD</w:t>
      </w:r>
      <w:r>
        <w:rPr>
          <w:spacing w:val="-3"/>
          <w:w w:val="105"/>
        </w:rPr>
        <w:t> </w:t>
      </w:r>
      <w:r>
        <w:rPr>
          <w:w w:val="105"/>
        </w:rPr>
        <w:t>equivalent. These loans are the sole obligations of the subsidiary borrowers and are not guaranteed by any other Corning entity.</w:t>
      </w:r>
    </w:p>
    <w:p>
      <w:pPr>
        <w:pStyle w:val="BodyText"/>
        <w:spacing w:before="17"/>
      </w:pPr>
    </w:p>
    <w:p>
      <w:pPr>
        <w:pStyle w:val="BodyText"/>
        <w:ind w:left="48"/>
        <w:jc w:val="center"/>
      </w:pPr>
      <w:r>
        <w:rPr>
          <w:spacing w:val="-5"/>
          <w:w w:val="105"/>
        </w:rPr>
        <w:t>93</w:t>
      </w:r>
    </w:p>
    <w:p>
      <w:pPr>
        <w:pStyle w:val="BodyText"/>
        <w:rPr>
          <w:sz w:val="6"/>
        </w:rPr>
      </w:pPr>
      <w:r>
        <w:rPr/>
        <mc:AlternateContent>
          <mc:Choice Requires="wps">
            <w:drawing>
              <wp:anchor distT="0" distB="0" distL="0" distR="0" allowOverlap="1" layoutInCell="1" locked="0" behindDoc="1" simplePos="0" relativeHeight="487696384">
                <wp:simplePos x="0" y="0"/>
                <wp:positionH relativeFrom="page">
                  <wp:posOffset>226488</wp:posOffset>
                </wp:positionH>
                <wp:positionV relativeFrom="paragraph">
                  <wp:posOffset>59051</wp:posOffset>
                </wp:positionV>
                <wp:extent cx="7312659" cy="16510"/>
                <wp:effectExtent l="0" t="0" r="0" b="0"/>
                <wp:wrapTopAndBottom/>
                <wp:docPr id="433" name="Graphic 433"/>
                <wp:cNvGraphicFramePr>
                  <a:graphicFrameLocks/>
                </wp:cNvGraphicFramePr>
                <a:graphic>
                  <a:graphicData uri="http://schemas.microsoft.com/office/word/2010/wordprocessingShape">
                    <wps:wsp>
                      <wps:cNvPr id="433" name="Graphic 433"/>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620096;mso-wrap-distance-left:0;mso-wrap-distance-right:0" id="docshape432"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pPr>
    </w:p>
    <w:p>
      <w:pPr>
        <w:pStyle w:val="BodyText"/>
        <w:spacing w:before="58"/>
      </w:pPr>
    </w:p>
    <w:p>
      <w:pPr>
        <w:pStyle w:val="Heading2"/>
        <w:numPr>
          <w:ilvl w:val="0"/>
          <w:numId w:val="46"/>
        </w:numPr>
        <w:tabs>
          <w:tab w:pos="445" w:val="left" w:leader="none"/>
        </w:tabs>
        <w:spacing w:line="240" w:lineRule="auto" w:before="0" w:after="0"/>
        <w:ind w:left="445" w:right="0" w:hanging="289"/>
        <w:jc w:val="left"/>
      </w:pPr>
      <w:bookmarkStart w:name="_bookmark21" w:id="22"/>
      <w:bookmarkEnd w:id="22"/>
      <w:r>
        <w:rPr>
          <w:b w:val="0"/>
        </w:rPr>
      </w:r>
      <w:r>
        <w:rPr/>
        <w:t>Employee</w:t>
      </w:r>
      <w:r>
        <w:rPr>
          <w:spacing w:val="22"/>
        </w:rPr>
        <w:t> </w:t>
      </w:r>
      <w:r>
        <w:rPr/>
        <w:t>Retirement</w:t>
      </w:r>
      <w:r>
        <w:rPr>
          <w:spacing w:val="23"/>
        </w:rPr>
        <w:t> </w:t>
      </w:r>
      <w:r>
        <w:rPr>
          <w:spacing w:val="-2"/>
        </w:rPr>
        <w:t>Plans</w:t>
      </w:r>
    </w:p>
    <w:p>
      <w:pPr>
        <w:pStyle w:val="BodyText"/>
        <w:spacing w:before="39"/>
        <w:rPr>
          <w:b/>
        </w:rPr>
      </w:pPr>
    </w:p>
    <w:p>
      <w:pPr>
        <w:pStyle w:val="Heading3"/>
        <w:spacing w:before="1"/>
      </w:pPr>
      <w:r>
        <w:rPr/>
        <w:t>Defined</w:t>
      </w:r>
      <w:r>
        <w:rPr>
          <w:spacing w:val="16"/>
        </w:rPr>
        <w:t> </w:t>
      </w:r>
      <w:r>
        <w:rPr/>
        <w:t>Benefit</w:t>
      </w:r>
      <w:r>
        <w:rPr>
          <w:spacing w:val="16"/>
        </w:rPr>
        <w:t> </w:t>
      </w:r>
      <w:r>
        <w:rPr>
          <w:spacing w:val="-2"/>
        </w:rPr>
        <w:t>Plans</w:t>
      </w:r>
    </w:p>
    <w:p>
      <w:pPr>
        <w:pStyle w:val="BodyText"/>
        <w:spacing w:before="39"/>
        <w:rPr>
          <w:b/>
          <w:i/>
        </w:rPr>
      </w:pPr>
    </w:p>
    <w:p>
      <w:pPr>
        <w:pStyle w:val="BodyText"/>
        <w:spacing w:line="266" w:lineRule="auto"/>
        <w:ind w:left="156"/>
      </w:pPr>
      <w:r>
        <w:rPr>
          <w:w w:val="105"/>
        </w:rPr>
        <w:t>Corning</w:t>
      </w:r>
      <w:r>
        <w:rPr>
          <w:spacing w:val="-2"/>
          <w:w w:val="105"/>
        </w:rPr>
        <w:t> </w:t>
      </w:r>
      <w:r>
        <w:rPr>
          <w:w w:val="105"/>
        </w:rPr>
        <w:t>has</w:t>
      </w:r>
      <w:r>
        <w:rPr>
          <w:spacing w:val="-2"/>
          <w:w w:val="105"/>
        </w:rPr>
        <w:t> </w:t>
      </w:r>
      <w:r>
        <w:rPr>
          <w:w w:val="105"/>
        </w:rPr>
        <w:t>defined</w:t>
      </w:r>
      <w:r>
        <w:rPr>
          <w:spacing w:val="-2"/>
          <w:w w:val="105"/>
        </w:rPr>
        <w:t> </w:t>
      </w:r>
      <w:r>
        <w:rPr>
          <w:w w:val="105"/>
        </w:rPr>
        <w:t>benefit</w:t>
      </w:r>
      <w:r>
        <w:rPr>
          <w:spacing w:val="-2"/>
          <w:w w:val="105"/>
        </w:rPr>
        <w:t> </w:t>
      </w:r>
      <w:r>
        <w:rPr>
          <w:w w:val="105"/>
        </w:rPr>
        <w:t>pension</w:t>
      </w:r>
      <w:r>
        <w:rPr>
          <w:spacing w:val="-2"/>
          <w:w w:val="105"/>
        </w:rPr>
        <w:t> </w:t>
      </w:r>
      <w:r>
        <w:rPr>
          <w:w w:val="105"/>
        </w:rPr>
        <w:t>plans</w:t>
      </w:r>
      <w:r>
        <w:rPr>
          <w:spacing w:val="-2"/>
          <w:w w:val="105"/>
        </w:rPr>
        <w:t> </w:t>
      </w:r>
      <w:r>
        <w:rPr>
          <w:w w:val="105"/>
        </w:rPr>
        <w:t>covering</w:t>
      </w:r>
      <w:r>
        <w:rPr>
          <w:spacing w:val="-2"/>
          <w:w w:val="105"/>
        </w:rPr>
        <w:t> </w:t>
      </w:r>
      <w:r>
        <w:rPr>
          <w:w w:val="105"/>
        </w:rPr>
        <w:t>certain</w:t>
      </w:r>
      <w:r>
        <w:rPr>
          <w:spacing w:val="-2"/>
          <w:w w:val="105"/>
        </w:rPr>
        <w:t> </w:t>
      </w:r>
      <w:r>
        <w:rPr>
          <w:w w:val="105"/>
        </w:rPr>
        <w:t>domestic</w:t>
      </w:r>
      <w:r>
        <w:rPr>
          <w:spacing w:val="-2"/>
          <w:w w:val="105"/>
        </w:rPr>
        <w:t> </w:t>
      </w:r>
      <w:r>
        <w:rPr>
          <w:w w:val="105"/>
        </w:rPr>
        <w:t>and</w:t>
      </w:r>
      <w:r>
        <w:rPr>
          <w:spacing w:val="-2"/>
          <w:w w:val="105"/>
        </w:rPr>
        <w:t> </w:t>
      </w:r>
      <w:r>
        <w:rPr>
          <w:w w:val="105"/>
        </w:rPr>
        <w:t>international</w:t>
      </w:r>
      <w:r>
        <w:rPr>
          <w:spacing w:val="-2"/>
          <w:w w:val="105"/>
        </w:rPr>
        <w:t> </w:t>
      </w:r>
      <w:r>
        <w:rPr>
          <w:w w:val="105"/>
        </w:rPr>
        <w:t>employees.</w:t>
      </w:r>
      <w:r>
        <w:rPr>
          <w:spacing w:val="-2"/>
          <w:w w:val="105"/>
        </w:rPr>
        <w:t> </w:t>
      </w:r>
      <w:r>
        <w:rPr>
          <w:w w:val="105"/>
        </w:rPr>
        <w:t>The</w:t>
      </w:r>
      <w:r>
        <w:rPr>
          <w:spacing w:val="-2"/>
          <w:w w:val="105"/>
        </w:rPr>
        <w:t> </w:t>
      </w:r>
      <w:r>
        <w:rPr>
          <w:w w:val="105"/>
        </w:rPr>
        <w:t>Company’s</w:t>
      </w:r>
      <w:r>
        <w:rPr>
          <w:spacing w:val="-2"/>
          <w:w w:val="105"/>
        </w:rPr>
        <w:t> </w:t>
      </w:r>
      <w:r>
        <w:rPr>
          <w:w w:val="105"/>
        </w:rPr>
        <w:t>funding</w:t>
      </w:r>
      <w:r>
        <w:rPr>
          <w:spacing w:val="-2"/>
          <w:w w:val="105"/>
        </w:rPr>
        <w:t> </w:t>
      </w:r>
      <w:r>
        <w:rPr>
          <w:w w:val="105"/>
        </w:rPr>
        <w:t>policy</w:t>
      </w:r>
      <w:r>
        <w:rPr>
          <w:spacing w:val="-2"/>
          <w:w w:val="105"/>
        </w:rPr>
        <w:t> </w:t>
      </w:r>
      <w:r>
        <w:rPr>
          <w:w w:val="105"/>
        </w:rPr>
        <w:t>has</w:t>
      </w:r>
      <w:r>
        <w:rPr>
          <w:spacing w:val="-2"/>
          <w:w w:val="105"/>
        </w:rPr>
        <w:t> </w:t>
      </w:r>
      <w:r>
        <w:rPr>
          <w:w w:val="105"/>
        </w:rPr>
        <w:t>been</w:t>
      </w:r>
      <w:r>
        <w:rPr>
          <w:spacing w:val="-2"/>
          <w:w w:val="105"/>
        </w:rPr>
        <w:t> </w:t>
      </w:r>
      <w:r>
        <w:rPr>
          <w:w w:val="105"/>
        </w:rPr>
        <w:t>to</w:t>
      </w:r>
      <w:r>
        <w:rPr>
          <w:spacing w:val="-2"/>
          <w:w w:val="105"/>
        </w:rPr>
        <w:t> </w:t>
      </w:r>
      <w:r>
        <w:rPr>
          <w:w w:val="105"/>
        </w:rPr>
        <w:t>contribute,</w:t>
      </w:r>
      <w:r>
        <w:rPr>
          <w:spacing w:val="-2"/>
          <w:w w:val="105"/>
        </w:rPr>
        <w:t> </w:t>
      </w:r>
      <w:r>
        <w:rPr>
          <w:w w:val="105"/>
        </w:rPr>
        <w:t>as</w:t>
      </w:r>
      <w:r>
        <w:rPr>
          <w:spacing w:val="-2"/>
          <w:w w:val="105"/>
        </w:rPr>
        <w:t> </w:t>
      </w:r>
      <w:r>
        <w:rPr>
          <w:w w:val="105"/>
        </w:rPr>
        <w:t>necessary,</w:t>
      </w:r>
      <w:r>
        <w:rPr>
          <w:spacing w:val="-2"/>
          <w:w w:val="105"/>
        </w:rPr>
        <w:t> </w:t>
      </w:r>
      <w:r>
        <w:rPr>
          <w:w w:val="105"/>
        </w:rPr>
        <w:t>an amount</w:t>
      </w:r>
      <w:r>
        <w:rPr>
          <w:spacing w:val="-9"/>
          <w:w w:val="105"/>
        </w:rPr>
        <w:t> </w:t>
      </w:r>
      <w:r>
        <w:rPr>
          <w:w w:val="105"/>
        </w:rPr>
        <w:t>exceeding</w:t>
      </w:r>
      <w:r>
        <w:rPr>
          <w:spacing w:val="-9"/>
          <w:w w:val="105"/>
        </w:rPr>
        <w:t> </w:t>
      </w:r>
      <w:r>
        <w:rPr>
          <w:w w:val="105"/>
        </w:rPr>
        <w:t>the</w:t>
      </w:r>
      <w:r>
        <w:rPr>
          <w:spacing w:val="-9"/>
          <w:w w:val="105"/>
        </w:rPr>
        <w:t> </w:t>
      </w:r>
      <w:r>
        <w:rPr>
          <w:w w:val="105"/>
        </w:rPr>
        <w:t>minimum</w:t>
      </w:r>
      <w:r>
        <w:rPr>
          <w:spacing w:val="-9"/>
          <w:w w:val="105"/>
        </w:rPr>
        <w:t> </w:t>
      </w:r>
      <w:r>
        <w:rPr>
          <w:w w:val="105"/>
        </w:rPr>
        <w:t>requirements</w:t>
      </w:r>
      <w:r>
        <w:rPr>
          <w:spacing w:val="-9"/>
          <w:w w:val="105"/>
        </w:rPr>
        <w:t> </w:t>
      </w:r>
      <w:r>
        <w:rPr>
          <w:w w:val="105"/>
        </w:rPr>
        <w:t>to</w:t>
      </w:r>
      <w:r>
        <w:rPr>
          <w:spacing w:val="-9"/>
          <w:w w:val="105"/>
        </w:rPr>
        <w:t> </w:t>
      </w:r>
      <w:r>
        <w:rPr>
          <w:w w:val="105"/>
        </w:rPr>
        <w:t>achieve</w:t>
      </w:r>
      <w:r>
        <w:rPr>
          <w:spacing w:val="-9"/>
          <w:w w:val="105"/>
        </w:rPr>
        <w:t> </w:t>
      </w:r>
      <w:r>
        <w:rPr>
          <w:w w:val="105"/>
        </w:rPr>
        <w:t>the</w:t>
      </w:r>
      <w:r>
        <w:rPr>
          <w:spacing w:val="-9"/>
          <w:w w:val="105"/>
        </w:rPr>
        <w:t> </w:t>
      </w:r>
      <w:r>
        <w:rPr>
          <w:w w:val="105"/>
        </w:rPr>
        <w:t>Company’s</w:t>
      </w:r>
      <w:r>
        <w:rPr>
          <w:spacing w:val="-9"/>
          <w:w w:val="105"/>
        </w:rPr>
        <w:t> </w:t>
      </w:r>
      <w:r>
        <w:rPr>
          <w:w w:val="105"/>
        </w:rPr>
        <w:t>long-term</w:t>
      </w:r>
      <w:r>
        <w:rPr>
          <w:spacing w:val="-9"/>
          <w:w w:val="105"/>
        </w:rPr>
        <w:t> </w:t>
      </w:r>
      <w:r>
        <w:rPr>
          <w:w w:val="105"/>
        </w:rPr>
        <w:t>funding</w:t>
      </w:r>
      <w:r>
        <w:rPr>
          <w:spacing w:val="-9"/>
          <w:w w:val="105"/>
        </w:rPr>
        <w:t> </w:t>
      </w:r>
      <w:r>
        <w:rPr>
          <w:w w:val="105"/>
        </w:rPr>
        <w:t>targets.</w:t>
      </w:r>
      <w:r>
        <w:rPr>
          <w:spacing w:val="-9"/>
          <w:w w:val="105"/>
        </w:rPr>
        <w:t> </w:t>
      </w:r>
      <w:r>
        <w:rPr>
          <w:w w:val="105"/>
        </w:rPr>
        <w:t>In</w:t>
      </w:r>
      <w:r>
        <w:rPr>
          <w:spacing w:val="-8"/>
          <w:w w:val="105"/>
        </w:rPr>
        <w:t> </w:t>
      </w:r>
      <w:r>
        <w:rPr>
          <w:w w:val="105"/>
        </w:rPr>
        <w:t>2021,</w:t>
      </w:r>
      <w:r>
        <w:rPr>
          <w:spacing w:val="-9"/>
          <w:w w:val="105"/>
        </w:rPr>
        <w:t> </w:t>
      </w:r>
      <w:r>
        <w:rPr>
          <w:w w:val="105"/>
        </w:rPr>
        <w:t>no</w:t>
      </w:r>
      <w:r>
        <w:rPr>
          <w:spacing w:val="-9"/>
          <w:w w:val="105"/>
        </w:rPr>
        <w:t> </w:t>
      </w:r>
      <w:r>
        <w:rPr>
          <w:w w:val="105"/>
        </w:rPr>
        <w:t>voluntary</w:t>
      </w:r>
      <w:r>
        <w:rPr>
          <w:spacing w:val="-9"/>
          <w:w w:val="105"/>
        </w:rPr>
        <w:t> </w:t>
      </w:r>
      <w:r>
        <w:rPr>
          <w:w w:val="105"/>
        </w:rPr>
        <w:t>cash</w:t>
      </w:r>
      <w:r>
        <w:rPr>
          <w:spacing w:val="-9"/>
          <w:w w:val="105"/>
        </w:rPr>
        <w:t> </w:t>
      </w:r>
      <w:r>
        <w:rPr>
          <w:w w:val="105"/>
        </w:rPr>
        <w:t>contributions</w:t>
      </w:r>
      <w:r>
        <w:rPr>
          <w:spacing w:val="-9"/>
          <w:w w:val="105"/>
        </w:rPr>
        <w:t> </w:t>
      </w:r>
      <w:r>
        <w:rPr>
          <w:w w:val="105"/>
        </w:rPr>
        <w:t>were</w:t>
      </w:r>
      <w:r>
        <w:rPr>
          <w:spacing w:val="-9"/>
          <w:w w:val="105"/>
        </w:rPr>
        <w:t> </w:t>
      </w:r>
      <w:r>
        <w:rPr>
          <w:w w:val="105"/>
        </w:rPr>
        <w:t>made</w:t>
      </w:r>
      <w:r>
        <w:rPr>
          <w:spacing w:val="-9"/>
          <w:w w:val="105"/>
        </w:rPr>
        <w:t> </w:t>
      </w:r>
      <w:r>
        <w:rPr>
          <w:w w:val="105"/>
        </w:rPr>
        <w:t>to</w:t>
      </w:r>
      <w:r>
        <w:rPr>
          <w:spacing w:val="-9"/>
          <w:w w:val="105"/>
        </w:rPr>
        <w:t> </w:t>
      </w:r>
      <w:r>
        <w:rPr>
          <w:w w:val="105"/>
        </w:rPr>
        <w:t>domestic</w:t>
      </w:r>
      <w:r>
        <w:rPr>
          <w:spacing w:val="-9"/>
          <w:w w:val="105"/>
        </w:rPr>
        <w:t> </w:t>
      </w:r>
      <w:r>
        <w:rPr>
          <w:w w:val="105"/>
        </w:rPr>
        <w:t>defined benefit</w:t>
      </w:r>
      <w:r>
        <w:rPr>
          <w:spacing w:val="-5"/>
          <w:w w:val="105"/>
        </w:rPr>
        <w:t> </w:t>
      </w:r>
      <w:r>
        <w:rPr>
          <w:w w:val="105"/>
        </w:rPr>
        <w:t>pension</w:t>
      </w:r>
      <w:r>
        <w:rPr>
          <w:spacing w:val="-5"/>
          <w:w w:val="105"/>
        </w:rPr>
        <w:t> </w:t>
      </w:r>
      <w:r>
        <w:rPr>
          <w:w w:val="105"/>
        </w:rPr>
        <w:t>plans.</w:t>
      </w:r>
      <w:r>
        <w:rPr>
          <w:spacing w:val="33"/>
          <w:w w:val="105"/>
        </w:rPr>
        <w:t> </w:t>
      </w:r>
      <w:r>
        <w:rPr>
          <w:w w:val="105"/>
        </w:rPr>
        <w:t>Voluntary</w:t>
      </w:r>
      <w:r>
        <w:rPr>
          <w:spacing w:val="-3"/>
          <w:w w:val="105"/>
        </w:rPr>
        <w:t> </w:t>
      </w:r>
      <w:r>
        <w:rPr>
          <w:w w:val="105"/>
        </w:rPr>
        <w:t>cash</w:t>
      </w:r>
      <w:r>
        <w:rPr>
          <w:spacing w:val="-5"/>
          <w:w w:val="105"/>
        </w:rPr>
        <w:t> </w:t>
      </w:r>
      <w:r>
        <w:rPr>
          <w:w w:val="105"/>
        </w:rPr>
        <w:t>contributions</w:t>
      </w:r>
      <w:r>
        <w:rPr>
          <w:spacing w:val="-5"/>
          <w:w w:val="105"/>
        </w:rPr>
        <w:t> </w:t>
      </w:r>
      <w:r>
        <w:rPr>
          <w:w w:val="105"/>
        </w:rPr>
        <w:t>of</w:t>
      </w:r>
      <w:r>
        <w:rPr>
          <w:spacing w:val="-5"/>
          <w:w w:val="105"/>
        </w:rPr>
        <w:t> </w:t>
      </w:r>
      <w:r>
        <w:rPr>
          <w:w w:val="105"/>
        </w:rPr>
        <w:t>$24</w:t>
      </w:r>
      <w:r>
        <w:rPr>
          <w:spacing w:val="-5"/>
          <w:w w:val="105"/>
        </w:rPr>
        <w:t> </w:t>
      </w:r>
      <w:r>
        <w:rPr>
          <w:w w:val="105"/>
        </w:rPr>
        <w:t>million</w:t>
      </w:r>
      <w:r>
        <w:rPr>
          <w:spacing w:val="-5"/>
          <w:w w:val="105"/>
        </w:rPr>
        <w:t> </w:t>
      </w:r>
      <w:r>
        <w:rPr>
          <w:w w:val="105"/>
        </w:rPr>
        <w:t>were</w:t>
      </w:r>
      <w:r>
        <w:rPr>
          <w:spacing w:val="-5"/>
          <w:w w:val="105"/>
        </w:rPr>
        <w:t> </w:t>
      </w:r>
      <w:r>
        <w:rPr>
          <w:w w:val="105"/>
        </w:rPr>
        <w:t>made</w:t>
      </w:r>
      <w:r>
        <w:rPr>
          <w:spacing w:val="-5"/>
          <w:w w:val="105"/>
        </w:rPr>
        <w:t> </w:t>
      </w:r>
      <w:r>
        <w:rPr>
          <w:w w:val="105"/>
        </w:rPr>
        <w:t>to</w:t>
      </w:r>
      <w:r>
        <w:rPr>
          <w:spacing w:val="-5"/>
          <w:w w:val="105"/>
        </w:rPr>
        <w:t> </w:t>
      </w:r>
      <w:r>
        <w:rPr>
          <w:w w:val="105"/>
        </w:rPr>
        <w:t>international</w:t>
      </w:r>
      <w:r>
        <w:rPr>
          <w:spacing w:val="-5"/>
          <w:w w:val="105"/>
        </w:rPr>
        <w:t> </w:t>
      </w:r>
      <w:r>
        <w:rPr>
          <w:w w:val="105"/>
        </w:rPr>
        <w:t>pension</w:t>
      </w:r>
      <w:r>
        <w:rPr>
          <w:spacing w:val="-5"/>
          <w:w w:val="105"/>
        </w:rPr>
        <w:t> </w:t>
      </w:r>
      <w:r>
        <w:rPr>
          <w:w w:val="105"/>
        </w:rPr>
        <w:t>plans.</w:t>
      </w:r>
      <w:r>
        <w:rPr>
          <w:spacing w:val="-5"/>
          <w:w w:val="105"/>
        </w:rPr>
        <w:t> </w:t>
      </w:r>
      <w:r>
        <w:rPr>
          <w:w w:val="105"/>
        </w:rPr>
        <w:t>In</w:t>
      </w:r>
      <w:r>
        <w:rPr>
          <w:spacing w:val="-4"/>
          <w:w w:val="105"/>
        </w:rPr>
        <w:t> </w:t>
      </w:r>
      <w:r>
        <w:rPr>
          <w:w w:val="105"/>
        </w:rPr>
        <w:t>2020,</w:t>
      </w:r>
      <w:r>
        <w:rPr>
          <w:spacing w:val="-5"/>
          <w:w w:val="105"/>
        </w:rPr>
        <w:t> </w:t>
      </w:r>
      <w:r>
        <w:rPr>
          <w:w w:val="105"/>
        </w:rPr>
        <w:t>voluntary</w:t>
      </w:r>
      <w:r>
        <w:rPr>
          <w:spacing w:val="-5"/>
          <w:w w:val="105"/>
        </w:rPr>
        <w:t> </w:t>
      </w:r>
      <w:r>
        <w:rPr>
          <w:w w:val="105"/>
        </w:rPr>
        <w:t>cash</w:t>
      </w:r>
      <w:r>
        <w:rPr>
          <w:spacing w:val="-5"/>
          <w:w w:val="105"/>
        </w:rPr>
        <w:t> </w:t>
      </w:r>
      <w:r>
        <w:rPr>
          <w:w w:val="105"/>
        </w:rPr>
        <w:t>contributions</w:t>
      </w:r>
      <w:r>
        <w:rPr>
          <w:spacing w:val="-5"/>
          <w:w w:val="105"/>
        </w:rPr>
        <w:t> </w:t>
      </w:r>
      <w:r>
        <w:rPr>
          <w:w w:val="105"/>
        </w:rPr>
        <w:t>were</w:t>
      </w:r>
      <w:r>
        <w:rPr>
          <w:spacing w:val="-5"/>
          <w:w w:val="105"/>
        </w:rPr>
        <w:t> </w:t>
      </w:r>
      <w:r>
        <w:rPr>
          <w:w w:val="105"/>
        </w:rPr>
        <w:t>made</w:t>
      </w:r>
      <w:r>
        <w:rPr>
          <w:spacing w:val="-5"/>
          <w:w w:val="105"/>
        </w:rPr>
        <w:t> </w:t>
      </w:r>
      <w:r>
        <w:rPr>
          <w:w w:val="105"/>
        </w:rPr>
        <w:t>to</w:t>
      </w:r>
      <w:r>
        <w:rPr>
          <w:spacing w:val="-5"/>
          <w:w w:val="105"/>
        </w:rPr>
        <w:t> </w:t>
      </w:r>
      <w:r>
        <w:rPr>
          <w:w w:val="105"/>
        </w:rPr>
        <w:t>domestic defined</w:t>
      </w:r>
      <w:r>
        <w:rPr>
          <w:spacing w:val="-2"/>
          <w:w w:val="105"/>
        </w:rPr>
        <w:t> </w:t>
      </w:r>
      <w:r>
        <w:rPr>
          <w:w w:val="105"/>
        </w:rPr>
        <w:t>benefit</w:t>
      </w:r>
      <w:r>
        <w:rPr>
          <w:spacing w:val="-2"/>
          <w:w w:val="105"/>
        </w:rPr>
        <w:t> </w:t>
      </w:r>
      <w:r>
        <w:rPr>
          <w:w w:val="105"/>
        </w:rPr>
        <w:t>pension</w:t>
      </w:r>
      <w:r>
        <w:rPr>
          <w:spacing w:val="-2"/>
          <w:w w:val="105"/>
        </w:rPr>
        <w:t> </w:t>
      </w:r>
      <w:r>
        <w:rPr>
          <w:w w:val="105"/>
        </w:rPr>
        <w:t>plans</w:t>
      </w:r>
      <w:r>
        <w:rPr>
          <w:spacing w:val="-2"/>
          <w:w w:val="105"/>
        </w:rPr>
        <w:t> </w:t>
      </w:r>
      <w:r>
        <w:rPr>
          <w:w w:val="105"/>
        </w:rPr>
        <w:t>and</w:t>
      </w:r>
      <w:r>
        <w:rPr>
          <w:spacing w:val="-2"/>
          <w:w w:val="105"/>
        </w:rPr>
        <w:t> </w:t>
      </w:r>
      <w:r>
        <w:rPr>
          <w:w w:val="105"/>
        </w:rPr>
        <w:t>international</w:t>
      </w:r>
      <w:r>
        <w:rPr>
          <w:spacing w:val="-2"/>
          <w:w w:val="105"/>
        </w:rPr>
        <w:t> </w:t>
      </w:r>
      <w:r>
        <w:rPr>
          <w:w w:val="105"/>
        </w:rPr>
        <w:t>pension</w:t>
      </w:r>
      <w:r>
        <w:rPr>
          <w:spacing w:val="-2"/>
          <w:w w:val="105"/>
        </w:rPr>
        <w:t> </w:t>
      </w:r>
      <w:r>
        <w:rPr>
          <w:w w:val="105"/>
        </w:rPr>
        <w:t>plans</w:t>
      </w:r>
      <w:r>
        <w:rPr>
          <w:spacing w:val="-2"/>
          <w:w w:val="105"/>
        </w:rPr>
        <w:t> </w:t>
      </w:r>
      <w:r>
        <w:rPr>
          <w:w w:val="105"/>
        </w:rPr>
        <w:t>in</w:t>
      </w:r>
      <w:r>
        <w:rPr>
          <w:spacing w:val="-2"/>
          <w:w w:val="105"/>
        </w:rPr>
        <w:t> </w:t>
      </w:r>
      <w:r>
        <w:rPr>
          <w:w w:val="105"/>
        </w:rPr>
        <w:t>the</w:t>
      </w:r>
      <w:r>
        <w:rPr>
          <w:spacing w:val="-2"/>
          <w:w w:val="105"/>
        </w:rPr>
        <w:t> </w:t>
      </w:r>
      <w:r>
        <w:rPr>
          <w:w w:val="105"/>
        </w:rPr>
        <w:t>amount</w:t>
      </w:r>
      <w:r>
        <w:rPr>
          <w:spacing w:val="-2"/>
          <w:w w:val="105"/>
        </w:rPr>
        <w:t> </w:t>
      </w:r>
      <w:r>
        <w:rPr>
          <w:w w:val="105"/>
        </w:rPr>
        <w:t>of</w:t>
      </w:r>
      <w:r>
        <w:rPr>
          <w:spacing w:val="-2"/>
          <w:w w:val="105"/>
        </w:rPr>
        <w:t> </w:t>
      </w:r>
      <w:r>
        <w:rPr>
          <w:w w:val="105"/>
        </w:rPr>
        <w:t>$180</w:t>
      </w:r>
      <w:r>
        <w:rPr>
          <w:spacing w:val="-2"/>
          <w:w w:val="105"/>
        </w:rPr>
        <w:t> </w:t>
      </w:r>
      <w:r>
        <w:rPr>
          <w:w w:val="105"/>
        </w:rPr>
        <w:t>million</w:t>
      </w:r>
      <w:r>
        <w:rPr>
          <w:spacing w:val="-2"/>
          <w:w w:val="105"/>
        </w:rPr>
        <w:t> </w:t>
      </w:r>
      <w:r>
        <w:rPr>
          <w:w w:val="105"/>
        </w:rPr>
        <w:t>and</w:t>
      </w:r>
      <w:r>
        <w:rPr>
          <w:spacing w:val="-2"/>
          <w:w w:val="105"/>
        </w:rPr>
        <w:t> </w:t>
      </w:r>
      <w:r>
        <w:rPr>
          <w:w w:val="105"/>
        </w:rPr>
        <w:t>$41</w:t>
      </w:r>
      <w:r>
        <w:rPr>
          <w:spacing w:val="-2"/>
          <w:w w:val="105"/>
        </w:rPr>
        <w:t> </w:t>
      </w:r>
      <w:r>
        <w:rPr>
          <w:w w:val="105"/>
        </w:rPr>
        <w:t>million,</w:t>
      </w:r>
      <w:r>
        <w:rPr>
          <w:spacing w:val="-2"/>
          <w:w w:val="105"/>
        </w:rPr>
        <w:t> </w:t>
      </w:r>
      <w:r>
        <w:rPr>
          <w:w w:val="105"/>
        </w:rPr>
        <w:t>respectively.</w:t>
      </w:r>
      <w:r>
        <w:rPr>
          <w:spacing w:val="38"/>
          <w:w w:val="105"/>
        </w:rPr>
        <w:t> </w:t>
      </w:r>
      <w:r>
        <w:rPr>
          <w:w w:val="105"/>
        </w:rPr>
        <w:t>During</w:t>
      </w:r>
      <w:r>
        <w:rPr>
          <w:spacing w:val="-3"/>
          <w:w w:val="105"/>
        </w:rPr>
        <w:t> </w:t>
      </w:r>
      <w:r>
        <w:rPr>
          <w:w w:val="105"/>
        </w:rPr>
        <w:t>2022,</w:t>
      </w:r>
      <w:r>
        <w:rPr>
          <w:spacing w:val="-2"/>
          <w:w w:val="105"/>
        </w:rPr>
        <w:t> </w:t>
      </w:r>
      <w:r>
        <w:rPr>
          <w:w w:val="105"/>
        </w:rPr>
        <w:t>the</w:t>
      </w:r>
      <w:r>
        <w:rPr>
          <w:spacing w:val="-2"/>
          <w:w w:val="105"/>
        </w:rPr>
        <w:t> </w:t>
      </w:r>
      <w:r>
        <w:rPr>
          <w:w w:val="105"/>
        </w:rPr>
        <w:t>Company</w:t>
      </w:r>
      <w:r>
        <w:rPr>
          <w:spacing w:val="-2"/>
          <w:w w:val="105"/>
        </w:rPr>
        <w:t> </w:t>
      </w:r>
      <w:r>
        <w:rPr>
          <w:w w:val="105"/>
        </w:rPr>
        <w:t>plans</w:t>
      </w:r>
      <w:r>
        <w:rPr>
          <w:spacing w:val="-2"/>
          <w:w w:val="105"/>
        </w:rPr>
        <w:t> </w:t>
      </w:r>
      <w:r>
        <w:rPr>
          <w:w w:val="105"/>
        </w:rPr>
        <w:t>to</w:t>
      </w:r>
      <w:r>
        <w:rPr>
          <w:spacing w:val="-2"/>
          <w:w w:val="105"/>
        </w:rPr>
        <w:t> </w:t>
      </w:r>
      <w:r>
        <w:rPr>
          <w:w w:val="105"/>
        </w:rPr>
        <w:t>make</w:t>
      </w:r>
      <w:r>
        <w:rPr>
          <w:spacing w:val="-2"/>
          <w:w w:val="105"/>
        </w:rPr>
        <w:t> </w:t>
      </w:r>
      <w:r>
        <w:rPr>
          <w:w w:val="105"/>
        </w:rPr>
        <w:t>cash contributions of $29 million to international pension plans.</w:t>
      </w:r>
    </w:p>
    <w:p>
      <w:pPr>
        <w:pStyle w:val="BodyText"/>
        <w:spacing w:before="18"/>
      </w:pPr>
    </w:p>
    <w:p>
      <w:pPr>
        <w:pStyle w:val="BodyText"/>
        <w:spacing w:line="266" w:lineRule="auto"/>
        <w:ind w:left="156"/>
      </w:pPr>
      <w:r>
        <w:rPr>
          <w:w w:val="105"/>
        </w:rPr>
        <w:t>Corning</w:t>
      </w:r>
      <w:r>
        <w:rPr>
          <w:spacing w:val="-9"/>
          <w:w w:val="105"/>
        </w:rPr>
        <w:t> </w:t>
      </w:r>
      <w:r>
        <w:rPr>
          <w:w w:val="105"/>
        </w:rPr>
        <w:t>offers</w:t>
      </w:r>
      <w:r>
        <w:rPr>
          <w:spacing w:val="-9"/>
          <w:w w:val="105"/>
        </w:rPr>
        <w:t> </w:t>
      </w:r>
      <w:r>
        <w:rPr>
          <w:w w:val="105"/>
        </w:rPr>
        <w:t>postretirement</w:t>
      </w:r>
      <w:r>
        <w:rPr>
          <w:spacing w:val="-9"/>
          <w:w w:val="105"/>
        </w:rPr>
        <w:t> </w:t>
      </w:r>
      <w:r>
        <w:rPr>
          <w:w w:val="105"/>
        </w:rPr>
        <w:t>plans</w:t>
      </w:r>
      <w:r>
        <w:rPr>
          <w:spacing w:val="-9"/>
          <w:w w:val="105"/>
        </w:rPr>
        <w:t> </w:t>
      </w:r>
      <w:r>
        <w:rPr>
          <w:w w:val="105"/>
        </w:rPr>
        <w:t>that</w:t>
      </w:r>
      <w:r>
        <w:rPr>
          <w:spacing w:val="-9"/>
          <w:w w:val="105"/>
        </w:rPr>
        <w:t> </w:t>
      </w:r>
      <w:r>
        <w:rPr>
          <w:w w:val="105"/>
        </w:rPr>
        <w:t>provide</w:t>
      </w:r>
      <w:r>
        <w:rPr>
          <w:spacing w:val="-9"/>
          <w:w w:val="105"/>
        </w:rPr>
        <w:t> </w:t>
      </w:r>
      <w:r>
        <w:rPr>
          <w:w w:val="105"/>
        </w:rPr>
        <w:t>health</w:t>
      </w:r>
      <w:r>
        <w:rPr>
          <w:spacing w:val="-9"/>
          <w:w w:val="105"/>
        </w:rPr>
        <w:t> </w:t>
      </w:r>
      <w:r>
        <w:rPr>
          <w:w w:val="105"/>
        </w:rPr>
        <w:t>care</w:t>
      </w:r>
      <w:r>
        <w:rPr>
          <w:spacing w:val="-9"/>
          <w:w w:val="105"/>
        </w:rPr>
        <w:t> </w:t>
      </w:r>
      <w:r>
        <w:rPr>
          <w:w w:val="105"/>
        </w:rPr>
        <w:t>and</w:t>
      </w:r>
      <w:r>
        <w:rPr>
          <w:spacing w:val="-9"/>
          <w:w w:val="105"/>
        </w:rPr>
        <w:t> </w:t>
      </w:r>
      <w:r>
        <w:rPr>
          <w:w w:val="105"/>
        </w:rPr>
        <w:t>life</w:t>
      </w:r>
      <w:r>
        <w:rPr>
          <w:spacing w:val="-9"/>
          <w:w w:val="105"/>
        </w:rPr>
        <w:t> </w:t>
      </w:r>
      <w:r>
        <w:rPr>
          <w:w w:val="105"/>
        </w:rPr>
        <w:t>insurance</w:t>
      </w:r>
      <w:r>
        <w:rPr>
          <w:spacing w:val="-9"/>
          <w:w w:val="105"/>
        </w:rPr>
        <w:t> </w:t>
      </w:r>
      <w:r>
        <w:rPr>
          <w:w w:val="105"/>
        </w:rPr>
        <w:t>benefits</w:t>
      </w:r>
      <w:r>
        <w:rPr>
          <w:spacing w:val="-9"/>
          <w:w w:val="105"/>
        </w:rPr>
        <w:t> </w:t>
      </w:r>
      <w:r>
        <w:rPr>
          <w:w w:val="105"/>
        </w:rPr>
        <w:t>for</w:t>
      </w:r>
      <w:r>
        <w:rPr>
          <w:spacing w:val="-9"/>
          <w:w w:val="105"/>
        </w:rPr>
        <w:t> </w:t>
      </w:r>
      <w:r>
        <w:rPr>
          <w:w w:val="105"/>
        </w:rPr>
        <w:t>retirees</w:t>
      </w:r>
      <w:r>
        <w:rPr>
          <w:spacing w:val="-9"/>
          <w:w w:val="105"/>
        </w:rPr>
        <w:t> </w:t>
      </w:r>
      <w:r>
        <w:rPr>
          <w:w w:val="105"/>
        </w:rPr>
        <w:t>and</w:t>
      </w:r>
      <w:r>
        <w:rPr>
          <w:spacing w:val="-9"/>
          <w:w w:val="105"/>
        </w:rPr>
        <w:t> </w:t>
      </w:r>
      <w:r>
        <w:rPr>
          <w:w w:val="105"/>
        </w:rPr>
        <w:t>eligible</w:t>
      </w:r>
      <w:r>
        <w:rPr>
          <w:spacing w:val="-9"/>
          <w:w w:val="105"/>
        </w:rPr>
        <w:t> </w:t>
      </w:r>
      <w:r>
        <w:rPr>
          <w:w w:val="105"/>
        </w:rPr>
        <w:t>dependents.</w:t>
      </w:r>
      <w:r>
        <w:rPr>
          <w:spacing w:val="-9"/>
          <w:w w:val="105"/>
        </w:rPr>
        <w:t> </w:t>
      </w:r>
      <w:r>
        <w:rPr>
          <w:w w:val="105"/>
        </w:rPr>
        <w:t>Certain</w:t>
      </w:r>
      <w:r>
        <w:rPr>
          <w:spacing w:val="-9"/>
          <w:w w:val="105"/>
        </w:rPr>
        <w:t> </w:t>
      </w:r>
      <w:r>
        <w:rPr>
          <w:w w:val="105"/>
        </w:rPr>
        <w:t>employees</w:t>
      </w:r>
      <w:r>
        <w:rPr>
          <w:spacing w:val="-8"/>
          <w:w w:val="105"/>
        </w:rPr>
        <w:t> </w:t>
      </w:r>
      <w:r>
        <w:rPr>
          <w:w w:val="105"/>
        </w:rPr>
        <w:t>may</w:t>
      </w:r>
      <w:r>
        <w:rPr>
          <w:spacing w:val="-9"/>
          <w:w w:val="105"/>
        </w:rPr>
        <w:t> </w:t>
      </w:r>
      <w:r>
        <w:rPr>
          <w:w w:val="105"/>
        </w:rPr>
        <w:t>become</w:t>
      </w:r>
      <w:r>
        <w:rPr>
          <w:spacing w:val="-9"/>
          <w:w w:val="105"/>
        </w:rPr>
        <w:t> </w:t>
      </w:r>
      <w:r>
        <w:rPr>
          <w:w w:val="105"/>
        </w:rPr>
        <w:t>eligible</w:t>
      </w:r>
      <w:r>
        <w:rPr>
          <w:spacing w:val="-9"/>
          <w:w w:val="105"/>
        </w:rPr>
        <w:t> </w:t>
      </w:r>
      <w:r>
        <w:rPr>
          <w:w w:val="105"/>
        </w:rPr>
        <w:t>for</w:t>
      </w:r>
      <w:r>
        <w:rPr>
          <w:spacing w:val="-9"/>
          <w:w w:val="105"/>
        </w:rPr>
        <w:t> </w:t>
      </w:r>
      <w:r>
        <w:rPr>
          <w:w w:val="105"/>
        </w:rPr>
        <w:t>such postretirement</w:t>
      </w:r>
      <w:r>
        <w:rPr>
          <w:spacing w:val="-2"/>
          <w:w w:val="105"/>
        </w:rPr>
        <w:t> </w:t>
      </w:r>
      <w:r>
        <w:rPr>
          <w:w w:val="105"/>
        </w:rPr>
        <w:t>benefits</w:t>
      </w:r>
      <w:r>
        <w:rPr>
          <w:spacing w:val="-2"/>
          <w:w w:val="105"/>
        </w:rPr>
        <w:t> </w:t>
      </w:r>
      <w:r>
        <w:rPr>
          <w:w w:val="105"/>
        </w:rPr>
        <w:t>upon</w:t>
      </w:r>
      <w:r>
        <w:rPr>
          <w:spacing w:val="-2"/>
          <w:w w:val="105"/>
        </w:rPr>
        <w:t> </w:t>
      </w:r>
      <w:r>
        <w:rPr>
          <w:w w:val="105"/>
        </w:rPr>
        <w:t>reaching</w:t>
      </w:r>
      <w:r>
        <w:rPr>
          <w:spacing w:val="-2"/>
          <w:w w:val="105"/>
        </w:rPr>
        <w:t> </w:t>
      </w:r>
      <w:r>
        <w:rPr>
          <w:w w:val="105"/>
        </w:rPr>
        <w:t>retirement</w:t>
      </w:r>
      <w:r>
        <w:rPr>
          <w:spacing w:val="-2"/>
          <w:w w:val="105"/>
        </w:rPr>
        <w:t> </w:t>
      </w:r>
      <w:r>
        <w:rPr>
          <w:w w:val="105"/>
        </w:rPr>
        <w:t>age</w:t>
      </w:r>
      <w:r>
        <w:rPr>
          <w:spacing w:val="-2"/>
          <w:w w:val="105"/>
        </w:rPr>
        <w:t> </w:t>
      </w:r>
      <w:r>
        <w:rPr>
          <w:w w:val="105"/>
        </w:rPr>
        <w:t>and</w:t>
      </w:r>
      <w:r>
        <w:rPr>
          <w:spacing w:val="-4"/>
          <w:w w:val="105"/>
        </w:rPr>
        <w:t> </w:t>
      </w:r>
      <w:r>
        <w:rPr>
          <w:w w:val="105"/>
        </w:rPr>
        <w:t>service</w:t>
      </w:r>
      <w:r>
        <w:rPr>
          <w:spacing w:val="-2"/>
          <w:w w:val="105"/>
        </w:rPr>
        <w:t> </w:t>
      </w:r>
      <w:r>
        <w:rPr>
          <w:w w:val="105"/>
        </w:rPr>
        <w:t>requirements.</w:t>
      </w:r>
      <w:r>
        <w:rPr>
          <w:spacing w:val="-2"/>
          <w:w w:val="105"/>
        </w:rPr>
        <w:t> </w:t>
      </w:r>
      <w:r>
        <w:rPr>
          <w:w w:val="105"/>
        </w:rPr>
        <w:t>In</w:t>
      </w:r>
      <w:r>
        <w:rPr>
          <w:spacing w:val="-4"/>
          <w:w w:val="105"/>
        </w:rPr>
        <w:t> </w:t>
      </w:r>
      <w:r>
        <w:rPr>
          <w:w w:val="105"/>
        </w:rPr>
        <w:t>2021,</w:t>
      </w:r>
      <w:r>
        <w:rPr>
          <w:spacing w:val="-2"/>
          <w:w w:val="105"/>
        </w:rPr>
        <w:t> </w:t>
      </w:r>
      <w:r>
        <w:rPr>
          <w:w w:val="105"/>
        </w:rPr>
        <w:t>no</w:t>
      </w:r>
      <w:r>
        <w:rPr>
          <w:spacing w:val="-2"/>
          <w:w w:val="105"/>
        </w:rPr>
        <w:t> </w:t>
      </w:r>
      <w:r>
        <w:rPr>
          <w:w w:val="105"/>
        </w:rPr>
        <w:t>voluntary</w:t>
      </w:r>
      <w:r>
        <w:rPr>
          <w:spacing w:val="-2"/>
          <w:w w:val="105"/>
        </w:rPr>
        <w:t> </w:t>
      </w:r>
      <w:r>
        <w:rPr>
          <w:w w:val="105"/>
        </w:rPr>
        <w:t>cash</w:t>
      </w:r>
      <w:r>
        <w:rPr>
          <w:spacing w:val="-2"/>
          <w:w w:val="105"/>
        </w:rPr>
        <w:t> </w:t>
      </w:r>
      <w:r>
        <w:rPr>
          <w:w w:val="105"/>
        </w:rPr>
        <w:t>contributions</w:t>
      </w:r>
      <w:r>
        <w:rPr>
          <w:spacing w:val="-2"/>
          <w:w w:val="105"/>
        </w:rPr>
        <w:t> </w:t>
      </w:r>
      <w:r>
        <w:rPr>
          <w:w w:val="105"/>
        </w:rPr>
        <w:t>were</w:t>
      </w:r>
      <w:r>
        <w:rPr>
          <w:spacing w:val="-2"/>
          <w:w w:val="105"/>
        </w:rPr>
        <w:t> </w:t>
      </w:r>
      <w:r>
        <w:rPr>
          <w:w w:val="105"/>
        </w:rPr>
        <w:t>made</w:t>
      </w:r>
      <w:r>
        <w:rPr>
          <w:spacing w:val="-2"/>
          <w:w w:val="105"/>
        </w:rPr>
        <w:t> </w:t>
      </w:r>
      <w:r>
        <w:rPr>
          <w:w w:val="105"/>
        </w:rPr>
        <w:t>to</w:t>
      </w:r>
      <w:r>
        <w:rPr>
          <w:spacing w:val="-2"/>
          <w:w w:val="105"/>
        </w:rPr>
        <w:t> </w:t>
      </w:r>
      <w:r>
        <w:rPr>
          <w:w w:val="105"/>
        </w:rPr>
        <w:t>domestic</w:t>
      </w:r>
      <w:r>
        <w:rPr>
          <w:spacing w:val="-2"/>
          <w:w w:val="105"/>
        </w:rPr>
        <w:t> </w:t>
      </w:r>
      <w:r>
        <w:rPr>
          <w:w w:val="105"/>
        </w:rPr>
        <w:t>postretirement</w:t>
      </w:r>
      <w:r>
        <w:rPr>
          <w:spacing w:val="-2"/>
          <w:w w:val="105"/>
        </w:rPr>
        <w:t> </w:t>
      </w:r>
      <w:r>
        <w:rPr>
          <w:w w:val="105"/>
        </w:rPr>
        <w:t>plans.</w:t>
      </w:r>
    </w:p>
    <w:p>
      <w:pPr>
        <w:pStyle w:val="BodyText"/>
        <w:spacing w:line="266" w:lineRule="auto"/>
        <w:ind w:left="156" w:right="117"/>
      </w:pPr>
      <w:r>
        <w:rPr>
          <w:w w:val="105"/>
        </w:rPr>
        <w:t>Voluntary</w:t>
      </w:r>
      <w:r>
        <w:rPr>
          <w:spacing w:val="-3"/>
          <w:w w:val="105"/>
        </w:rPr>
        <w:t> </w:t>
      </w:r>
      <w:r>
        <w:rPr>
          <w:w w:val="105"/>
        </w:rPr>
        <w:t>cash</w:t>
      </w:r>
      <w:r>
        <w:rPr>
          <w:spacing w:val="-3"/>
          <w:w w:val="105"/>
        </w:rPr>
        <w:t> </w:t>
      </w:r>
      <w:r>
        <w:rPr>
          <w:w w:val="105"/>
        </w:rPr>
        <w:t>contributions</w:t>
      </w:r>
      <w:r>
        <w:rPr>
          <w:spacing w:val="-3"/>
          <w:w w:val="105"/>
        </w:rPr>
        <w:t> </w:t>
      </w:r>
      <w:r>
        <w:rPr>
          <w:w w:val="105"/>
        </w:rPr>
        <w:t>of</w:t>
      </w:r>
      <w:r>
        <w:rPr>
          <w:spacing w:val="-3"/>
          <w:w w:val="105"/>
        </w:rPr>
        <w:t> </w:t>
      </w:r>
      <w:r>
        <w:rPr>
          <w:w w:val="105"/>
        </w:rPr>
        <w:t>$30</w:t>
      </w:r>
      <w:r>
        <w:rPr>
          <w:spacing w:val="-1"/>
          <w:w w:val="105"/>
        </w:rPr>
        <w:t> </w:t>
      </w:r>
      <w:r>
        <w:rPr>
          <w:w w:val="105"/>
        </w:rPr>
        <w:t>million</w:t>
      </w:r>
      <w:r>
        <w:rPr>
          <w:spacing w:val="-3"/>
          <w:w w:val="105"/>
        </w:rPr>
        <w:t> </w:t>
      </w:r>
      <w:r>
        <w:rPr>
          <w:w w:val="105"/>
        </w:rPr>
        <w:t>were</w:t>
      </w:r>
      <w:r>
        <w:rPr>
          <w:spacing w:val="-3"/>
          <w:w w:val="105"/>
        </w:rPr>
        <w:t> </w:t>
      </w:r>
      <w:r>
        <w:rPr>
          <w:w w:val="105"/>
        </w:rPr>
        <w:t>made</w:t>
      </w:r>
      <w:r>
        <w:rPr>
          <w:spacing w:val="-3"/>
          <w:w w:val="105"/>
        </w:rPr>
        <w:t> </w:t>
      </w:r>
      <w:r>
        <w:rPr>
          <w:w w:val="105"/>
        </w:rPr>
        <w:t>to</w:t>
      </w:r>
      <w:r>
        <w:rPr>
          <w:spacing w:val="-3"/>
          <w:w w:val="105"/>
        </w:rPr>
        <w:t> </w:t>
      </w:r>
      <w:r>
        <w:rPr>
          <w:w w:val="105"/>
        </w:rPr>
        <w:t>domestic</w:t>
      </w:r>
      <w:r>
        <w:rPr>
          <w:spacing w:val="-3"/>
          <w:w w:val="105"/>
        </w:rPr>
        <w:t> </w:t>
      </w:r>
      <w:r>
        <w:rPr>
          <w:w w:val="105"/>
        </w:rPr>
        <w:t>postretirement</w:t>
      </w:r>
      <w:r>
        <w:rPr>
          <w:spacing w:val="-3"/>
          <w:w w:val="105"/>
        </w:rPr>
        <w:t> </w:t>
      </w:r>
      <w:r>
        <w:rPr>
          <w:w w:val="105"/>
        </w:rPr>
        <w:t>plans</w:t>
      </w:r>
      <w:r>
        <w:rPr>
          <w:spacing w:val="-3"/>
          <w:w w:val="105"/>
        </w:rPr>
        <w:t> </w:t>
      </w:r>
      <w:r>
        <w:rPr>
          <w:w w:val="105"/>
        </w:rPr>
        <w:t>in</w:t>
      </w:r>
      <w:r>
        <w:rPr>
          <w:spacing w:val="-3"/>
          <w:w w:val="105"/>
        </w:rPr>
        <w:t> </w:t>
      </w:r>
      <w:r>
        <w:rPr>
          <w:w w:val="105"/>
        </w:rPr>
        <w:t>2020.</w:t>
      </w:r>
      <w:r>
        <w:rPr>
          <w:spacing w:val="-3"/>
          <w:w w:val="105"/>
        </w:rPr>
        <w:t> </w:t>
      </w:r>
      <w:r>
        <w:rPr>
          <w:w w:val="105"/>
        </w:rPr>
        <w:t>For</w:t>
      </w:r>
      <w:r>
        <w:rPr>
          <w:spacing w:val="-3"/>
          <w:w w:val="105"/>
        </w:rPr>
        <w:t> </w:t>
      </w:r>
      <w:r>
        <w:rPr>
          <w:w w:val="105"/>
        </w:rPr>
        <w:t>current</w:t>
      </w:r>
      <w:r>
        <w:rPr>
          <w:spacing w:val="-3"/>
          <w:w w:val="105"/>
        </w:rPr>
        <w:t> </w:t>
      </w:r>
      <w:r>
        <w:rPr>
          <w:w w:val="105"/>
        </w:rPr>
        <w:t>retirees</w:t>
      </w:r>
      <w:r>
        <w:rPr>
          <w:spacing w:val="-1"/>
          <w:w w:val="105"/>
        </w:rPr>
        <w:t> </w:t>
      </w:r>
      <w:r>
        <w:rPr>
          <w:w w:val="105"/>
        </w:rPr>
        <w:t>(including</w:t>
      </w:r>
      <w:r>
        <w:rPr>
          <w:spacing w:val="-3"/>
          <w:w w:val="105"/>
        </w:rPr>
        <w:t> </w:t>
      </w:r>
      <w:r>
        <w:rPr>
          <w:w w:val="105"/>
        </w:rPr>
        <w:t>surviving</w:t>
      </w:r>
      <w:r>
        <w:rPr>
          <w:spacing w:val="-3"/>
          <w:w w:val="105"/>
        </w:rPr>
        <w:t> </w:t>
      </w:r>
      <w:r>
        <w:rPr>
          <w:w w:val="105"/>
        </w:rPr>
        <w:t>spouses)</w:t>
      </w:r>
      <w:r>
        <w:rPr>
          <w:spacing w:val="-3"/>
          <w:w w:val="105"/>
        </w:rPr>
        <w:t> </w:t>
      </w:r>
      <w:r>
        <w:rPr>
          <w:w w:val="105"/>
        </w:rPr>
        <w:t>and</w:t>
      </w:r>
      <w:r>
        <w:rPr>
          <w:spacing w:val="-3"/>
          <w:w w:val="105"/>
        </w:rPr>
        <w:t> </w:t>
      </w:r>
      <w:r>
        <w:rPr>
          <w:w w:val="105"/>
        </w:rPr>
        <w:t>active</w:t>
      </w:r>
      <w:r>
        <w:rPr>
          <w:spacing w:val="-3"/>
          <w:w w:val="105"/>
        </w:rPr>
        <w:t> </w:t>
      </w:r>
      <w:r>
        <w:rPr>
          <w:w w:val="105"/>
        </w:rPr>
        <w:t>employees eligible</w:t>
      </w:r>
      <w:r>
        <w:rPr>
          <w:spacing w:val="-5"/>
          <w:w w:val="105"/>
        </w:rPr>
        <w:t> </w:t>
      </w:r>
      <w:r>
        <w:rPr>
          <w:w w:val="105"/>
        </w:rPr>
        <w:t>for</w:t>
      </w:r>
      <w:r>
        <w:rPr>
          <w:spacing w:val="-5"/>
          <w:w w:val="105"/>
        </w:rPr>
        <w:t> </w:t>
      </w:r>
      <w:r>
        <w:rPr>
          <w:w w:val="105"/>
        </w:rPr>
        <w:t>the</w:t>
      </w:r>
      <w:r>
        <w:rPr>
          <w:spacing w:val="-5"/>
          <w:w w:val="105"/>
        </w:rPr>
        <w:t> </w:t>
      </w:r>
      <w:r>
        <w:rPr>
          <w:w w:val="105"/>
        </w:rPr>
        <w:t>salaried</w:t>
      </w:r>
      <w:r>
        <w:rPr>
          <w:spacing w:val="-5"/>
          <w:w w:val="105"/>
        </w:rPr>
        <w:t> </w:t>
      </w:r>
      <w:r>
        <w:rPr>
          <w:w w:val="105"/>
        </w:rPr>
        <w:t>retiree</w:t>
      </w:r>
      <w:r>
        <w:rPr>
          <w:spacing w:val="-5"/>
          <w:w w:val="105"/>
        </w:rPr>
        <w:t> </w:t>
      </w:r>
      <w:r>
        <w:rPr>
          <w:w w:val="105"/>
        </w:rPr>
        <w:t>medical</w:t>
      </w:r>
      <w:r>
        <w:rPr>
          <w:spacing w:val="-5"/>
          <w:w w:val="105"/>
        </w:rPr>
        <w:t> </w:t>
      </w:r>
      <w:r>
        <w:rPr>
          <w:w w:val="105"/>
        </w:rPr>
        <w:t>program,</w:t>
      </w:r>
      <w:r>
        <w:rPr>
          <w:spacing w:val="-5"/>
          <w:w w:val="105"/>
        </w:rPr>
        <w:t> </w:t>
      </w:r>
      <w:r>
        <w:rPr>
          <w:w w:val="105"/>
        </w:rPr>
        <w:t>Corning</w:t>
      </w:r>
      <w:r>
        <w:rPr>
          <w:spacing w:val="-5"/>
          <w:w w:val="105"/>
        </w:rPr>
        <w:t> </w:t>
      </w:r>
      <w:r>
        <w:rPr>
          <w:w w:val="105"/>
        </w:rPr>
        <w:t>has</w:t>
      </w:r>
      <w:r>
        <w:rPr>
          <w:spacing w:val="-5"/>
          <w:w w:val="105"/>
        </w:rPr>
        <w:t> </w:t>
      </w:r>
      <w:r>
        <w:rPr>
          <w:w w:val="105"/>
        </w:rPr>
        <w:t>placed</w:t>
      </w:r>
      <w:r>
        <w:rPr>
          <w:spacing w:val="-5"/>
          <w:w w:val="105"/>
        </w:rPr>
        <w:t> </w:t>
      </w:r>
      <w:r>
        <w:rPr>
          <w:w w:val="105"/>
        </w:rPr>
        <w:t>a</w:t>
      </w:r>
      <w:r>
        <w:rPr>
          <w:spacing w:val="-5"/>
          <w:w w:val="105"/>
        </w:rPr>
        <w:t> </w:t>
      </w:r>
      <w:r>
        <w:rPr>
          <w:w w:val="105"/>
        </w:rPr>
        <w:t>“cap”</w:t>
      </w:r>
      <w:r>
        <w:rPr>
          <w:spacing w:val="-5"/>
          <w:w w:val="105"/>
        </w:rPr>
        <w:t> </w:t>
      </w:r>
      <w:r>
        <w:rPr>
          <w:w w:val="105"/>
        </w:rPr>
        <w:t>on</w:t>
      </w:r>
      <w:r>
        <w:rPr>
          <w:spacing w:val="-5"/>
          <w:w w:val="105"/>
        </w:rPr>
        <w:t> </w:t>
      </w:r>
      <w:r>
        <w:rPr>
          <w:w w:val="105"/>
        </w:rPr>
        <w:t>the</w:t>
      </w:r>
      <w:r>
        <w:rPr>
          <w:spacing w:val="-5"/>
          <w:w w:val="105"/>
        </w:rPr>
        <w:t> </w:t>
      </w:r>
      <w:r>
        <w:rPr>
          <w:w w:val="105"/>
        </w:rPr>
        <w:t>amount</w:t>
      </w:r>
      <w:r>
        <w:rPr>
          <w:spacing w:val="-5"/>
          <w:w w:val="105"/>
        </w:rPr>
        <w:t> </w:t>
      </w:r>
      <w:r>
        <w:rPr>
          <w:w w:val="105"/>
        </w:rPr>
        <w:t>to</w:t>
      </w:r>
      <w:r>
        <w:rPr>
          <w:spacing w:val="-5"/>
          <w:w w:val="105"/>
        </w:rPr>
        <w:t> </w:t>
      </w:r>
      <w:r>
        <w:rPr>
          <w:w w:val="105"/>
        </w:rPr>
        <w:t>be</w:t>
      </w:r>
      <w:r>
        <w:rPr>
          <w:spacing w:val="-4"/>
          <w:w w:val="105"/>
        </w:rPr>
        <w:t> </w:t>
      </w:r>
      <w:r>
        <w:rPr>
          <w:w w:val="105"/>
        </w:rPr>
        <w:t>contributed</w:t>
      </w:r>
      <w:r>
        <w:rPr>
          <w:spacing w:val="-5"/>
          <w:w w:val="105"/>
        </w:rPr>
        <w:t> </w:t>
      </w:r>
      <w:r>
        <w:rPr>
          <w:w w:val="105"/>
        </w:rPr>
        <w:t>toward</w:t>
      </w:r>
      <w:r>
        <w:rPr>
          <w:spacing w:val="-5"/>
          <w:w w:val="105"/>
        </w:rPr>
        <w:t> </w:t>
      </w:r>
      <w:r>
        <w:rPr>
          <w:w w:val="105"/>
        </w:rPr>
        <w:t>retiree</w:t>
      </w:r>
      <w:r>
        <w:rPr>
          <w:spacing w:val="-5"/>
          <w:w w:val="105"/>
        </w:rPr>
        <w:t> </w:t>
      </w:r>
      <w:r>
        <w:rPr>
          <w:w w:val="105"/>
        </w:rPr>
        <w:t>medical</w:t>
      </w:r>
      <w:r>
        <w:rPr>
          <w:spacing w:val="-5"/>
          <w:w w:val="105"/>
        </w:rPr>
        <w:t> </w:t>
      </w:r>
      <w:r>
        <w:rPr>
          <w:w w:val="105"/>
        </w:rPr>
        <w:t>coverage</w:t>
      </w:r>
      <w:r>
        <w:rPr>
          <w:spacing w:val="-4"/>
          <w:w w:val="105"/>
        </w:rPr>
        <w:t> </w:t>
      </w:r>
      <w:r>
        <w:rPr>
          <w:w w:val="105"/>
        </w:rPr>
        <w:t>in</w:t>
      </w:r>
      <w:r>
        <w:rPr>
          <w:spacing w:val="-5"/>
          <w:w w:val="105"/>
        </w:rPr>
        <w:t> </w:t>
      </w:r>
      <w:r>
        <w:rPr>
          <w:w w:val="105"/>
        </w:rPr>
        <w:t>the</w:t>
      </w:r>
      <w:r>
        <w:rPr>
          <w:spacing w:val="-5"/>
          <w:w w:val="105"/>
        </w:rPr>
        <w:t> </w:t>
      </w:r>
      <w:r>
        <w:rPr>
          <w:w w:val="105"/>
        </w:rPr>
        <w:t>future.</w:t>
      </w:r>
      <w:r>
        <w:rPr>
          <w:spacing w:val="-5"/>
          <w:w w:val="105"/>
        </w:rPr>
        <w:t> </w:t>
      </w:r>
      <w:r>
        <w:rPr>
          <w:w w:val="105"/>
        </w:rPr>
        <w:t>The</w:t>
      </w:r>
      <w:r>
        <w:rPr>
          <w:spacing w:val="-5"/>
          <w:w w:val="105"/>
        </w:rPr>
        <w:t> </w:t>
      </w:r>
      <w:r>
        <w:rPr>
          <w:w w:val="105"/>
        </w:rPr>
        <w:t>cap</w:t>
      </w:r>
      <w:r>
        <w:rPr>
          <w:spacing w:val="-5"/>
          <w:w w:val="105"/>
        </w:rPr>
        <w:t> </w:t>
      </w:r>
      <w:r>
        <w:rPr>
          <w:w w:val="105"/>
        </w:rPr>
        <w:t>is</w:t>
      </w:r>
      <w:r>
        <w:rPr>
          <w:spacing w:val="-5"/>
          <w:w w:val="105"/>
        </w:rPr>
        <w:t> </w:t>
      </w:r>
      <w:r>
        <w:rPr>
          <w:w w:val="105"/>
        </w:rPr>
        <w:t>equal to</w:t>
      </w:r>
      <w:r>
        <w:rPr>
          <w:spacing w:val="-8"/>
          <w:w w:val="105"/>
        </w:rPr>
        <w:t> </w:t>
      </w:r>
      <w:r>
        <w:rPr>
          <w:w w:val="105"/>
        </w:rPr>
        <w:t>120%</w:t>
      </w:r>
      <w:r>
        <w:rPr>
          <w:spacing w:val="-8"/>
          <w:w w:val="105"/>
        </w:rPr>
        <w:t> </w:t>
      </w:r>
      <w:r>
        <w:rPr>
          <w:w w:val="105"/>
        </w:rPr>
        <w:t>of</w:t>
      </w:r>
      <w:r>
        <w:rPr>
          <w:spacing w:val="-8"/>
          <w:w w:val="105"/>
        </w:rPr>
        <w:t> </w:t>
      </w:r>
      <w:r>
        <w:rPr>
          <w:w w:val="105"/>
        </w:rPr>
        <w:t>the</w:t>
      </w:r>
      <w:r>
        <w:rPr>
          <w:spacing w:val="-7"/>
          <w:w w:val="105"/>
        </w:rPr>
        <w:t> </w:t>
      </w:r>
      <w:r>
        <w:rPr>
          <w:w w:val="105"/>
        </w:rPr>
        <w:t>2005</w:t>
      </w:r>
      <w:r>
        <w:rPr>
          <w:spacing w:val="-8"/>
          <w:w w:val="105"/>
        </w:rPr>
        <w:t> </w:t>
      </w:r>
      <w:r>
        <w:rPr>
          <w:w w:val="105"/>
        </w:rPr>
        <w:t>contributions</w:t>
      </w:r>
      <w:r>
        <w:rPr>
          <w:spacing w:val="-8"/>
          <w:w w:val="105"/>
        </w:rPr>
        <w:t> </w:t>
      </w:r>
      <w:r>
        <w:rPr>
          <w:w w:val="105"/>
        </w:rPr>
        <w:t>toward</w:t>
      </w:r>
      <w:r>
        <w:rPr>
          <w:spacing w:val="-8"/>
          <w:w w:val="105"/>
        </w:rPr>
        <w:t> </w:t>
      </w:r>
      <w:r>
        <w:rPr>
          <w:w w:val="105"/>
        </w:rPr>
        <w:t>retiree</w:t>
      </w:r>
      <w:r>
        <w:rPr>
          <w:spacing w:val="-8"/>
          <w:w w:val="105"/>
        </w:rPr>
        <w:t> </w:t>
      </w:r>
      <w:r>
        <w:rPr>
          <w:w w:val="105"/>
        </w:rPr>
        <w:t>medical</w:t>
      </w:r>
      <w:r>
        <w:rPr>
          <w:spacing w:val="-8"/>
          <w:w w:val="105"/>
        </w:rPr>
        <w:t> </w:t>
      </w:r>
      <w:r>
        <w:rPr>
          <w:w w:val="105"/>
        </w:rPr>
        <w:t>benefits.</w:t>
      </w:r>
      <w:r>
        <w:rPr>
          <w:spacing w:val="-8"/>
          <w:w w:val="105"/>
        </w:rPr>
        <w:t> </w:t>
      </w:r>
      <w:r>
        <w:rPr>
          <w:w w:val="105"/>
        </w:rPr>
        <w:t>Once</w:t>
      </w:r>
      <w:r>
        <w:rPr>
          <w:spacing w:val="-10"/>
          <w:w w:val="105"/>
        </w:rPr>
        <w:t> </w:t>
      </w:r>
      <w:r>
        <w:rPr>
          <w:w w:val="105"/>
        </w:rPr>
        <w:t>contributions</w:t>
      </w:r>
      <w:r>
        <w:rPr>
          <w:spacing w:val="-8"/>
          <w:w w:val="105"/>
        </w:rPr>
        <w:t> </w:t>
      </w:r>
      <w:r>
        <w:rPr>
          <w:w w:val="105"/>
        </w:rPr>
        <w:t>toward</w:t>
      </w:r>
      <w:r>
        <w:rPr>
          <w:spacing w:val="-10"/>
          <w:w w:val="105"/>
        </w:rPr>
        <w:t> </w:t>
      </w:r>
      <w:r>
        <w:rPr>
          <w:w w:val="105"/>
        </w:rPr>
        <w:t>salaried</w:t>
      </w:r>
      <w:r>
        <w:rPr>
          <w:spacing w:val="-8"/>
          <w:w w:val="105"/>
        </w:rPr>
        <w:t> </w:t>
      </w:r>
      <w:r>
        <w:rPr>
          <w:w w:val="105"/>
        </w:rPr>
        <w:t>retiree</w:t>
      </w:r>
      <w:r>
        <w:rPr>
          <w:spacing w:val="-8"/>
          <w:w w:val="105"/>
        </w:rPr>
        <w:t> </w:t>
      </w:r>
      <w:r>
        <w:rPr>
          <w:w w:val="105"/>
        </w:rPr>
        <w:t>medical</w:t>
      </w:r>
      <w:r>
        <w:rPr>
          <w:spacing w:val="-8"/>
          <w:w w:val="105"/>
        </w:rPr>
        <w:t> </w:t>
      </w:r>
      <w:r>
        <w:rPr>
          <w:w w:val="105"/>
        </w:rPr>
        <w:t>costs</w:t>
      </w:r>
      <w:r>
        <w:rPr>
          <w:spacing w:val="-8"/>
          <w:w w:val="105"/>
        </w:rPr>
        <w:t> </w:t>
      </w:r>
      <w:r>
        <w:rPr>
          <w:w w:val="105"/>
        </w:rPr>
        <w:t>reach</w:t>
      </w:r>
      <w:r>
        <w:rPr>
          <w:spacing w:val="-8"/>
          <w:w w:val="105"/>
        </w:rPr>
        <w:t> </w:t>
      </w:r>
      <w:r>
        <w:rPr>
          <w:w w:val="105"/>
        </w:rPr>
        <w:t>this</w:t>
      </w:r>
      <w:r>
        <w:rPr>
          <w:spacing w:val="-8"/>
          <w:w w:val="105"/>
        </w:rPr>
        <w:t> </w:t>
      </w:r>
      <w:r>
        <w:rPr>
          <w:w w:val="105"/>
        </w:rPr>
        <w:t>cap,</w:t>
      </w:r>
      <w:r>
        <w:rPr>
          <w:spacing w:val="-8"/>
          <w:w w:val="105"/>
        </w:rPr>
        <w:t> </w:t>
      </w:r>
      <w:r>
        <w:rPr>
          <w:w w:val="105"/>
        </w:rPr>
        <w:t>impacted</w:t>
      </w:r>
      <w:r>
        <w:rPr>
          <w:spacing w:val="-8"/>
          <w:w w:val="105"/>
        </w:rPr>
        <w:t> </w:t>
      </w:r>
      <w:r>
        <w:rPr>
          <w:w w:val="105"/>
        </w:rPr>
        <w:t>retirees</w:t>
      </w:r>
      <w:r>
        <w:rPr>
          <w:spacing w:val="-8"/>
          <w:w w:val="105"/>
        </w:rPr>
        <w:t> </w:t>
      </w:r>
      <w:r>
        <w:rPr>
          <w:w w:val="105"/>
        </w:rPr>
        <w:t>will</w:t>
      </w:r>
      <w:r>
        <w:rPr>
          <w:spacing w:val="-10"/>
          <w:w w:val="105"/>
        </w:rPr>
        <w:t> </w:t>
      </w:r>
      <w:r>
        <w:rPr>
          <w:w w:val="105"/>
        </w:rPr>
        <w:t>have</w:t>
      </w:r>
      <w:r>
        <w:rPr>
          <w:spacing w:val="-8"/>
          <w:w w:val="105"/>
        </w:rPr>
        <w:t> </w:t>
      </w:r>
      <w:r>
        <w:rPr>
          <w:w w:val="105"/>
        </w:rPr>
        <w:t>to</w:t>
      </w:r>
      <w:r>
        <w:rPr>
          <w:spacing w:val="-8"/>
          <w:w w:val="105"/>
        </w:rPr>
        <w:t> </w:t>
      </w:r>
      <w:r>
        <w:rPr>
          <w:w w:val="105"/>
        </w:rPr>
        <w:t>pay the</w:t>
      </w:r>
      <w:r>
        <w:rPr>
          <w:spacing w:val="-2"/>
          <w:w w:val="105"/>
        </w:rPr>
        <w:t> </w:t>
      </w:r>
      <w:r>
        <w:rPr>
          <w:w w:val="105"/>
        </w:rPr>
        <w:t>excess</w:t>
      </w:r>
      <w:r>
        <w:rPr>
          <w:spacing w:val="-2"/>
          <w:w w:val="105"/>
        </w:rPr>
        <w:t> </w:t>
      </w:r>
      <w:r>
        <w:rPr>
          <w:w w:val="105"/>
        </w:rPr>
        <w:t>amount</w:t>
      </w:r>
      <w:r>
        <w:rPr>
          <w:spacing w:val="-2"/>
          <w:w w:val="105"/>
        </w:rPr>
        <w:t> </w:t>
      </w:r>
      <w:r>
        <w:rPr>
          <w:w w:val="105"/>
        </w:rPr>
        <w:t>in</w:t>
      </w:r>
      <w:r>
        <w:rPr>
          <w:spacing w:val="-2"/>
          <w:w w:val="105"/>
        </w:rPr>
        <w:t> </w:t>
      </w:r>
      <w:r>
        <w:rPr>
          <w:w w:val="105"/>
        </w:rPr>
        <w:t>addition</w:t>
      </w:r>
      <w:r>
        <w:rPr>
          <w:spacing w:val="-2"/>
          <w:w w:val="105"/>
        </w:rPr>
        <w:t> </w:t>
      </w:r>
      <w:r>
        <w:rPr>
          <w:w w:val="105"/>
        </w:rPr>
        <w:t>to</w:t>
      </w:r>
      <w:r>
        <w:rPr>
          <w:spacing w:val="-2"/>
          <w:w w:val="105"/>
        </w:rPr>
        <w:t> </w:t>
      </w:r>
      <w:r>
        <w:rPr>
          <w:w w:val="105"/>
        </w:rPr>
        <w:t>their</w:t>
      </w:r>
      <w:r>
        <w:rPr>
          <w:spacing w:val="-2"/>
          <w:w w:val="105"/>
        </w:rPr>
        <w:t> </w:t>
      </w:r>
      <w:r>
        <w:rPr>
          <w:w w:val="105"/>
        </w:rPr>
        <w:t>regular</w:t>
      </w:r>
      <w:r>
        <w:rPr>
          <w:spacing w:val="-2"/>
          <w:w w:val="105"/>
        </w:rPr>
        <w:t> </w:t>
      </w:r>
      <w:r>
        <w:rPr>
          <w:w w:val="105"/>
        </w:rPr>
        <w:t>contributions</w:t>
      </w:r>
      <w:r>
        <w:rPr>
          <w:spacing w:val="-2"/>
          <w:w w:val="105"/>
        </w:rPr>
        <w:t> </w:t>
      </w:r>
      <w:r>
        <w:rPr>
          <w:w w:val="105"/>
        </w:rPr>
        <w:t>for</w:t>
      </w:r>
      <w:r>
        <w:rPr>
          <w:spacing w:val="-2"/>
          <w:w w:val="105"/>
        </w:rPr>
        <w:t> </w:t>
      </w:r>
      <w:r>
        <w:rPr>
          <w:w w:val="105"/>
        </w:rPr>
        <w:t>coverage.</w:t>
      </w:r>
      <w:r>
        <w:rPr>
          <w:spacing w:val="-2"/>
          <w:w w:val="105"/>
        </w:rPr>
        <w:t> </w:t>
      </w:r>
      <w:r>
        <w:rPr>
          <w:w w:val="105"/>
        </w:rPr>
        <w:t>This</w:t>
      </w:r>
      <w:r>
        <w:rPr>
          <w:spacing w:val="-2"/>
          <w:w w:val="105"/>
        </w:rPr>
        <w:t> </w:t>
      </w:r>
      <w:r>
        <w:rPr>
          <w:w w:val="105"/>
        </w:rPr>
        <w:t>cap</w:t>
      </w:r>
      <w:r>
        <w:rPr>
          <w:spacing w:val="-2"/>
          <w:w w:val="105"/>
        </w:rPr>
        <w:t> </w:t>
      </w:r>
      <w:r>
        <w:rPr>
          <w:w w:val="105"/>
        </w:rPr>
        <w:t>was</w:t>
      </w:r>
      <w:r>
        <w:rPr>
          <w:spacing w:val="-2"/>
          <w:w w:val="105"/>
        </w:rPr>
        <w:t> </w:t>
      </w:r>
      <w:r>
        <w:rPr>
          <w:w w:val="105"/>
        </w:rPr>
        <w:t>attained</w:t>
      </w:r>
      <w:r>
        <w:rPr>
          <w:spacing w:val="-2"/>
          <w:w w:val="105"/>
        </w:rPr>
        <w:t> </w:t>
      </w:r>
      <w:r>
        <w:rPr>
          <w:w w:val="105"/>
        </w:rPr>
        <w:t>for</w:t>
      </w:r>
      <w:r>
        <w:rPr>
          <w:spacing w:val="-2"/>
          <w:w w:val="105"/>
        </w:rPr>
        <w:t> </w:t>
      </w:r>
      <w:r>
        <w:rPr>
          <w:w w:val="105"/>
        </w:rPr>
        <w:t>post-65</w:t>
      </w:r>
      <w:r>
        <w:rPr>
          <w:spacing w:val="-2"/>
          <w:w w:val="105"/>
        </w:rPr>
        <w:t> </w:t>
      </w:r>
      <w:r>
        <w:rPr>
          <w:w w:val="105"/>
        </w:rPr>
        <w:t>retirees</w:t>
      </w:r>
      <w:r>
        <w:rPr>
          <w:spacing w:val="-2"/>
          <w:w w:val="105"/>
        </w:rPr>
        <w:t> </w:t>
      </w:r>
      <w:r>
        <w:rPr>
          <w:w w:val="105"/>
        </w:rPr>
        <w:t>in</w:t>
      </w:r>
      <w:r>
        <w:rPr>
          <w:spacing w:val="-1"/>
          <w:w w:val="105"/>
        </w:rPr>
        <w:t> </w:t>
      </w:r>
      <w:r>
        <w:rPr>
          <w:w w:val="105"/>
        </w:rPr>
        <w:t>2008</w:t>
      </w:r>
      <w:r>
        <w:rPr>
          <w:spacing w:val="-2"/>
          <w:w w:val="105"/>
        </w:rPr>
        <w:t> </w:t>
      </w:r>
      <w:r>
        <w:rPr>
          <w:w w:val="105"/>
        </w:rPr>
        <w:t>and</w:t>
      </w:r>
      <w:r>
        <w:rPr>
          <w:spacing w:val="-2"/>
          <w:w w:val="105"/>
        </w:rPr>
        <w:t> </w:t>
      </w:r>
      <w:r>
        <w:rPr>
          <w:w w:val="105"/>
        </w:rPr>
        <w:t>attained</w:t>
      </w:r>
      <w:r>
        <w:rPr>
          <w:spacing w:val="-2"/>
          <w:w w:val="105"/>
        </w:rPr>
        <w:t> </w:t>
      </w:r>
      <w:r>
        <w:rPr>
          <w:w w:val="105"/>
        </w:rPr>
        <w:t>for</w:t>
      </w:r>
      <w:r>
        <w:rPr>
          <w:spacing w:val="-2"/>
          <w:w w:val="105"/>
        </w:rPr>
        <w:t> </w:t>
      </w:r>
      <w:r>
        <w:rPr>
          <w:w w:val="105"/>
        </w:rPr>
        <w:t>pre-65</w:t>
      </w:r>
      <w:r>
        <w:rPr>
          <w:spacing w:val="-2"/>
          <w:w w:val="105"/>
        </w:rPr>
        <w:t> </w:t>
      </w:r>
      <w:r>
        <w:rPr>
          <w:w w:val="105"/>
        </w:rPr>
        <w:t>retirees</w:t>
      </w:r>
      <w:r>
        <w:rPr>
          <w:spacing w:val="-2"/>
          <w:w w:val="105"/>
        </w:rPr>
        <w:t> </w:t>
      </w:r>
      <w:r>
        <w:rPr>
          <w:w w:val="105"/>
        </w:rPr>
        <w:t>in</w:t>
      </w:r>
      <w:r>
        <w:rPr>
          <w:spacing w:val="-1"/>
          <w:w w:val="105"/>
        </w:rPr>
        <w:t> </w:t>
      </w:r>
      <w:r>
        <w:rPr>
          <w:w w:val="105"/>
        </w:rPr>
        <w:t>2010.</w:t>
      </w:r>
    </w:p>
    <w:p>
      <w:pPr>
        <w:pStyle w:val="BodyText"/>
        <w:spacing w:line="266" w:lineRule="auto"/>
        <w:ind w:left="156"/>
      </w:pPr>
      <w:r>
        <w:rPr>
          <w:w w:val="105"/>
        </w:rPr>
        <w:t>Furthermore,</w:t>
      </w:r>
      <w:r>
        <w:rPr>
          <w:spacing w:val="-8"/>
          <w:w w:val="105"/>
        </w:rPr>
        <w:t> </w:t>
      </w:r>
      <w:r>
        <w:rPr>
          <w:w w:val="105"/>
        </w:rPr>
        <w:t>employees</w:t>
      </w:r>
      <w:r>
        <w:rPr>
          <w:spacing w:val="-9"/>
          <w:w w:val="105"/>
        </w:rPr>
        <w:t> </w:t>
      </w:r>
      <w:r>
        <w:rPr>
          <w:w w:val="105"/>
        </w:rPr>
        <w:t>hired</w:t>
      </w:r>
      <w:r>
        <w:rPr>
          <w:spacing w:val="-8"/>
          <w:w w:val="105"/>
        </w:rPr>
        <w:t> </w:t>
      </w:r>
      <w:r>
        <w:rPr>
          <w:w w:val="105"/>
        </w:rPr>
        <w:t>or</w:t>
      </w:r>
      <w:r>
        <w:rPr>
          <w:spacing w:val="-8"/>
          <w:w w:val="105"/>
        </w:rPr>
        <w:t> </w:t>
      </w:r>
      <w:r>
        <w:rPr>
          <w:w w:val="105"/>
        </w:rPr>
        <w:t>rehired</w:t>
      </w:r>
      <w:r>
        <w:rPr>
          <w:spacing w:val="-8"/>
          <w:w w:val="105"/>
        </w:rPr>
        <w:t> </w:t>
      </w:r>
      <w:r>
        <w:rPr>
          <w:w w:val="105"/>
        </w:rPr>
        <w:t>on</w:t>
      </w:r>
      <w:r>
        <w:rPr>
          <w:spacing w:val="-8"/>
          <w:w w:val="105"/>
        </w:rPr>
        <w:t> </w:t>
      </w:r>
      <w:r>
        <w:rPr>
          <w:w w:val="105"/>
        </w:rPr>
        <w:t>or</w:t>
      </w:r>
      <w:r>
        <w:rPr>
          <w:spacing w:val="-8"/>
          <w:w w:val="105"/>
        </w:rPr>
        <w:t> </w:t>
      </w:r>
      <w:r>
        <w:rPr>
          <w:w w:val="105"/>
        </w:rPr>
        <w:t>after</w:t>
      </w:r>
      <w:r>
        <w:rPr>
          <w:spacing w:val="-9"/>
          <w:w w:val="105"/>
        </w:rPr>
        <w:t> </w:t>
      </w:r>
      <w:r>
        <w:rPr>
          <w:w w:val="105"/>
        </w:rPr>
        <w:t>January</w:t>
      </w:r>
      <w:r>
        <w:rPr>
          <w:spacing w:val="-8"/>
          <w:w w:val="105"/>
        </w:rPr>
        <w:t> </w:t>
      </w:r>
      <w:r>
        <w:rPr>
          <w:w w:val="105"/>
        </w:rPr>
        <w:t>1,</w:t>
      </w:r>
      <w:r>
        <w:rPr>
          <w:spacing w:val="-8"/>
          <w:w w:val="105"/>
        </w:rPr>
        <w:t> </w:t>
      </w:r>
      <w:r>
        <w:rPr>
          <w:w w:val="105"/>
        </w:rPr>
        <w:t>2007</w:t>
      </w:r>
      <w:r>
        <w:rPr>
          <w:spacing w:val="-8"/>
          <w:w w:val="105"/>
        </w:rPr>
        <w:t> </w:t>
      </w:r>
      <w:r>
        <w:rPr>
          <w:w w:val="105"/>
        </w:rPr>
        <w:t>will</w:t>
      </w:r>
      <w:r>
        <w:rPr>
          <w:spacing w:val="-8"/>
          <w:w w:val="105"/>
        </w:rPr>
        <w:t> </w:t>
      </w:r>
      <w:r>
        <w:rPr>
          <w:w w:val="105"/>
        </w:rPr>
        <w:t>be</w:t>
      </w:r>
      <w:r>
        <w:rPr>
          <w:spacing w:val="-8"/>
          <w:w w:val="105"/>
        </w:rPr>
        <w:t> </w:t>
      </w:r>
      <w:r>
        <w:rPr>
          <w:w w:val="105"/>
        </w:rPr>
        <w:t>eligible</w:t>
      </w:r>
      <w:r>
        <w:rPr>
          <w:spacing w:val="-8"/>
          <w:w w:val="105"/>
        </w:rPr>
        <w:t> </w:t>
      </w:r>
      <w:r>
        <w:rPr>
          <w:w w:val="105"/>
        </w:rPr>
        <w:t>for</w:t>
      </w:r>
      <w:r>
        <w:rPr>
          <w:spacing w:val="-9"/>
          <w:w w:val="105"/>
        </w:rPr>
        <w:t> </w:t>
      </w:r>
      <w:r>
        <w:rPr>
          <w:w w:val="105"/>
        </w:rPr>
        <w:t>Corning</w:t>
      </w:r>
      <w:r>
        <w:rPr>
          <w:spacing w:val="-8"/>
          <w:w w:val="105"/>
        </w:rPr>
        <w:t> </w:t>
      </w:r>
      <w:r>
        <w:rPr>
          <w:w w:val="105"/>
        </w:rPr>
        <w:t>retiree</w:t>
      </w:r>
      <w:r>
        <w:rPr>
          <w:spacing w:val="-8"/>
          <w:w w:val="105"/>
        </w:rPr>
        <w:t> </w:t>
      </w:r>
      <w:r>
        <w:rPr>
          <w:w w:val="105"/>
        </w:rPr>
        <w:t>medical</w:t>
      </w:r>
      <w:r>
        <w:rPr>
          <w:spacing w:val="-8"/>
          <w:w w:val="105"/>
        </w:rPr>
        <w:t> </w:t>
      </w:r>
      <w:r>
        <w:rPr>
          <w:w w:val="105"/>
        </w:rPr>
        <w:t>benefits</w:t>
      </w:r>
      <w:r>
        <w:rPr>
          <w:spacing w:val="-9"/>
          <w:w w:val="105"/>
        </w:rPr>
        <w:t> </w:t>
      </w:r>
      <w:r>
        <w:rPr>
          <w:w w:val="105"/>
        </w:rPr>
        <w:t>upon</w:t>
      </w:r>
      <w:r>
        <w:rPr>
          <w:spacing w:val="-8"/>
          <w:w w:val="105"/>
        </w:rPr>
        <w:t> </w:t>
      </w:r>
      <w:r>
        <w:rPr>
          <w:w w:val="105"/>
        </w:rPr>
        <w:t>retirement;</w:t>
      </w:r>
      <w:r>
        <w:rPr>
          <w:spacing w:val="-8"/>
          <w:w w:val="105"/>
        </w:rPr>
        <w:t> </w:t>
      </w:r>
      <w:r>
        <w:rPr>
          <w:w w:val="105"/>
        </w:rPr>
        <w:t>however,</w:t>
      </w:r>
      <w:r>
        <w:rPr>
          <w:spacing w:val="-9"/>
          <w:w w:val="105"/>
        </w:rPr>
        <w:t> </w:t>
      </w:r>
      <w:r>
        <w:rPr>
          <w:w w:val="105"/>
        </w:rPr>
        <w:t>these</w:t>
      </w:r>
      <w:r>
        <w:rPr>
          <w:spacing w:val="-8"/>
          <w:w w:val="105"/>
        </w:rPr>
        <w:t> </w:t>
      </w:r>
      <w:r>
        <w:rPr>
          <w:w w:val="105"/>
        </w:rPr>
        <w:t>employees</w:t>
      </w:r>
      <w:r>
        <w:rPr>
          <w:spacing w:val="-8"/>
          <w:w w:val="105"/>
        </w:rPr>
        <w:t> </w:t>
      </w:r>
      <w:r>
        <w:rPr>
          <w:w w:val="105"/>
        </w:rPr>
        <w:t>will</w:t>
      </w:r>
      <w:r>
        <w:rPr>
          <w:spacing w:val="-8"/>
          <w:w w:val="105"/>
        </w:rPr>
        <w:t> </w:t>
      </w:r>
      <w:r>
        <w:rPr>
          <w:w w:val="105"/>
        </w:rPr>
        <w:t>pay 100% of the cost.</w:t>
      </w:r>
    </w:p>
    <w:p>
      <w:pPr>
        <w:pStyle w:val="BodyText"/>
        <w:spacing w:before="16"/>
      </w:pPr>
    </w:p>
    <w:p>
      <w:pPr>
        <w:pStyle w:val="BodyText"/>
        <w:spacing w:before="1"/>
        <w:ind w:left="48"/>
        <w:jc w:val="center"/>
      </w:pPr>
      <w:r>
        <w:rPr>
          <w:spacing w:val="-5"/>
          <w:w w:val="105"/>
        </w:rPr>
        <w:t>94</w:t>
      </w:r>
    </w:p>
    <w:p>
      <w:pPr>
        <w:pStyle w:val="BodyText"/>
        <w:spacing w:before="11"/>
        <w:rPr>
          <w:sz w:val="5"/>
        </w:rPr>
      </w:pPr>
      <w:r>
        <w:rPr/>
        <mc:AlternateContent>
          <mc:Choice Requires="wps">
            <w:drawing>
              <wp:anchor distT="0" distB="0" distL="0" distR="0" allowOverlap="1" layoutInCell="1" locked="0" behindDoc="1" simplePos="0" relativeHeight="487696896">
                <wp:simplePos x="0" y="0"/>
                <wp:positionH relativeFrom="page">
                  <wp:posOffset>226488</wp:posOffset>
                </wp:positionH>
                <wp:positionV relativeFrom="paragraph">
                  <wp:posOffset>58734</wp:posOffset>
                </wp:positionV>
                <wp:extent cx="7312659" cy="16510"/>
                <wp:effectExtent l="0" t="0" r="0" b="0"/>
                <wp:wrapTopAndBottom/>
                <wp:docPr id="434" name="Graphic 434"/>
                <wp:cNvGraphicFramePr>
                  <a:graphicFrameLocks/>
                </wp:cNvGraphicFramePr>
                <a:graphic>
                  <a:graphicData uri="http://schemas.microsoft.com/office/word/2010/wordprocessingShape">
                    <wps:wsp>
                      <wps:cNvPr id="434" name="Graphic 43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19584;mso-wrap-distance-left:0;mso-wrap-distance-right:0" id="docshape433"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pPr>
      <w:r>
        <w:rPr>
          <w:w w:val="105"/>
        </w:rPr>
        <w:t>13.</w:t>
      </w:r>
      <w:r>
        <w:rPr>
          <w:spacing w:val="22"/>
          <w:w w:val="105"/>
        </w:rPr>
        <w:t> </w:t>
      </w:r>
      <w:r>
        <w:rPr>
          <w:w w:val="105"/>
        </w:rPr>
        <w:t>Employee</w:t>
      </w:r>
      <w:r>
        <w:rPr>
          <w:spacing w:val="-10"/>
          <w:w w:val="105"/>
        </w:rPr>
        <w:t> </w:t>
      </w:r>
      <w:r>
        <w:rPr>
          <w:w w:val="105"/>
        </w:rPr>
        <w:t>Retirement</w:t>
      </w:r>
      <w:r>
        <w:rPr>
          <w:spacing w:val="-10"/>
          <w:w w:val="105"/>
        </w:rPr>
        <w:t> </w:t>
      </w:r>
      <w:r>
        <w:rPr>
          <w:w w:val="105"/>
        </w:rPr>
        <w:t>Plans</w:t>
      </w:r>
      <w:r>
        <w:rPr>
          <w:spacing w:val="-10"/>
          <w:w w:val="105"/>
        </w:rPr>
        <w:t> </w:t>
      </w:r>
      <w:r>
        <w:rPr>
          <w:spacing w:val="-2"/>
          <w:w w:val="105"/>
        </w:rPr>
        <w:t>(Continued)</w:t>
      </w:r>
    </w:p>
    <w:p>
      <w:pPr>
        <w:pStyle w:val="BodyText"/>
        <w:spacing w:before="40"/>
        <w:rPr>
          <w:b/>
        </w:rPr>
      </w:pPr>
    </w:p>
    <w:p>
      <w:pPr>
        <w:pStyle w:val="BodyText"/>
        <w:ind w:left="156"/>
      </w:pPr>
      <w:r>
        <w:rPr>
          <w:u w:val="single"/>
        </w:rPr>
        <w:t>Obligations</w:t>
      </w:r>
      <w:r>
        <w:rPr>
          <w:spacing w:val="12"/>
          <w:u w:val="single"/>
        </w:rPr>
        <w:t> </w:t>
      </w:r>
      <w:r>
        <w:rPr>
          <w:u w:val="single"/>
        </w:rPr>
        <w:t>and</w:t>
      </w:r>
      <w:r>
        <w:rPr>
          <w:spacing w:val="12"/>
          <w:u w:val="single"/>
        </w:rPr>
        <w:t> </w:t>
      </w:r>
      <w:r>
        <w:rPr>
          <w:u w:val="single"/>
        </w:rPr>
        <w:t>Funded</w:t>
      </w:r>
      <w:r>
        <w:rPr>
          <w:spacing w:val="12"/>
          <w:u w:val="single"/>
        </w:rPr>
        <w:t> </w:t>
      </w:r>
      <w:r>
        <w:rPr>
          <w:spacing w:val="-2"/>
          <w:u w:val="single"/>
        </w:rPr>
        <w:t>Status</w:t>
      </w:r>
    </w:p>
    <w:p>
      <w:pPr>
        <w:pStyle w:val="BodyText"/>
        <w:spacing w:before="39"/>
      </w:pPr>
    </w:p>
    <w:p>
      <w:pPr>
        <w:pStyle w:val="BodyText"/>
        <w:ind w:left="156"/>
      </w:pPr>
      <w:r>
        <w:rPr>
          <w:w w:val="105"/>
        </w:rPr>
        <w:t>The</w:t>
      </w:r>
      <w:r>
        <w:rPr>
          <w:spacing w:val="-9"/>
          <w:w w:val="105"/>
        </w:rPr>
        <w:t> </w:t>
      </w:r>
      <w:r>
        <w:rPr>
          <w:w w:val="105"/>
        </w:rPr>
        <w:t>change</w:t>
      </w:r>
      <w:r>
        <w:rPr>
          <w:spacing w:val="-9"/>
          <w:w w:val="105"/>
        </w:rPr>
        <w:t> </w:t>
      </w:r>
      <w:r>
        <w:rPr>
          <w:w w:val="105"/>
        </w:rPr>
        <w:t>in</w:t>
      </w:r>
      <w:r>
        <w:rPr>
          <w:spacing w:val="-9"/>
          <w:w w:val="105"/>
        </w:rPr>
        <w:t> </w:t>
      </w:r>
      <w:r>
        <w:rPr>
          <w:w w:val="105"/>
        </w:rPr>
        <w:t>benefit</w:t>
      </w:r>
      <w:r>
        <w:rPr>
          <w:spacing w:val="-8"/>
          <w:w w:val="105"/>
        </w:rPr>
        <w:t> </w:t>
      </w:r>
      <w:r>
        <w:rPr>
          <w:w w:val="105"/>
        </w:rPr>
        <w:t>obligation</w:t>
      </w:r>
      <w:r>
        <w:rPr>
          <w:spacing w:val="-9"/>
          <w:w w:val="105"/>
        </w:rPr>
        <w:t> </w:t>
      </w:r>
      <w:r>
        <w:rPr>
          <w:w w:val="105"/>
        </w:rPr>
        <w:t>and</w:t>
      </w:r>
      <w:r>
        <w:rPr>
          <w:spacing w:val="-9"/>
          <w:w w:val="105"/>
        </w:rPr>
        <w:t> </w:t>
      </w:r>
      <w:r>
        <w:rPr>
          <w:w w:val="105"/>
        </w:rPr>
        <w:t>funded</w:t>
      </w:r>
      <w:r>
        <w:rPr>
          <w:spacing w:val="-8"/>
          <w:w w:val="105"/>
        </w:rPr>
        <w:t> </w:t>
      </w:r>
      <w:r>
        <w:rPr>
          <w:w w:val="105"/>
        </w:rPr>
        <w:t>status</w:t>
      </w:r>
      <w:r>
        <w:rPr>
          <w:spacing w:val="-9"/>
          <w:w w:val="105"/>
        </w:rPr>
        <w:t> </w:t>
      </w:r>
      <w:r>
        <w:rPr>
          <w:w w:val="105"/>
        </w:rPr>
        <w:t>of</w:t>
      </w:r>
      <w:r>
        <w:rPr>
          <w:spacing w:val="-9"/>
          <w:w w:val="105"/>
        </w:rPr>
        <w:t> </w:t>
      </w:r>
      <w:r>
        <w:rPr>
          <w:w w:val="105"/>
        </w:rPr>
        <w:t>our</w:t>
      </w:r>
      <w:r>
        <w:rPr>
          <w:spacing w:val="-8"/>
          <w:w w:val="105"/>
        </w:rPr>
        <w:t> </w:t>
      </w:r>
      <w:r>
        <w:rPr>
          <w:w w:val="105"/>
        </w:rPr>
        <w:t>defined</w:t>
      </w:r>
      <w:r>
        <w:rPr>
          <w:spacing w:val="-9"/>
          <w:w w:val="105"/>
        </w:rPr>
        <w:t> </w:t>
      </w:r>
      <w:r>
        <w:rPr>
          <w:w w:val="105"/>
        </w:rPr>
        <w:t>benefit</w:t>
      </w:r>
      <w:r>
        <w:rPr>
          <w:spacing w:val="-9"/>
          <w:w w:val="105"/>
        </w:rPr>
        <w:t> </w:t>
      </w:r>
      <w:r>
        <w:rPr>
          <w:w w:val="105"/>
        </w:rPr>
        <w:t>pension</w:t>
      </w:r>
      <w:r>
        <w:rPr>
          <w:spacing w:val="-8"/>
          <w:w w:val="105"/>
        </w:rPr>
        <w:t> </w:t>
      </w:r>
      <w:r>
        <w:rPr>
          <w:w w:val="105"/>
        </w:rPr>
        <w:t>and</w:t>
      </w:r>
      <w:r>
        <w:rPr>
          <w:spacing w:val="-9"/>
          <w:w w:val="105"/>
        </w:rPr>
        <w:t> </w:t>
      </w:r>
      <w:r>
        <w:rPr>
          <w:w w:val="105"/>
        </w:rPr>
        <w:t>post-retirement</w:t>
      </w:r>
      <w:r>
        <w:rPr>
          <w:spacing w:val="-9"/>
          <w:w w:val="105"/>
        </w:rPr>
        <w:t> </w:t>
      </w:r>
      <w:r>
        <w:rPr>
          <w:w w:val="105"/>
        </w:rPr>
        <w:t>benefit</w:t>
      </w:r>
      <w:r>
        <w:rPr>
          <w:spacing w:val="-8"/>
          <w:w w:val="105"/>
        </w:rPr>
        <w:t> </w:t>
      </w:r>
      <w:r>
        <w:rPr>
          <w:w w:val="105"/>
        </w:rPr>
        <w:t>plans</w:t>
      </w:r>
      <w:r>
        <w:rPr>
          <w:spacing w:val="-9"/>
          <w:w w:val="105"/>
        </w:rPr>
        <w:t> </w:t>
      </w:r>
      <w:r>
        <w:rPr>
          <w:w w:val="105"/>
        </w:rPr>
        <w:t>are</w:t>
      </w:r>
      <w:r>
        <w:rPr>
          <w:spacing w:val="-9"/>
          <w:w w:val="105"/>
        </w:rPr>
        <w:t> </w:t>
      </w:r>
      <w:r>
        <w:rPr>
          <w:w w:val="105"/>
        </w:rPr>
        <w:t>as</w:t>
      </w:r>
      <w:r>
        <w:rPr>
          <w:spacing w:val="-8"/>
          <w:w w:val="105"/>
        </w:rPr>
        <w:t> </w:t>
      </w:r>
      <w:r>
        <w:rPr>
          <w:w w:val="105"/>
        </w:rPr>
        <w:t>follows</w:t>
      </w:r>
      <w:r>
        <w:rPr>
          <w:spacing w:val="-9"/>
          <w:w w:val="105"/>
        </w:rPr>
        <w:t> </w:t>
      </w:r>
      <w:r>
        <w:rPr>
          <w:w w:val="105"/>
        </w:rPr>
        <w:t>(in</w:t>
      </w:r>
      <w:r>
        <w:rPr>
          <w:spacing w:val="-9"/>
          <w:w w:val="105"/>
        </w:rPr>
        <w:t> </w:t>
      </w:r>
      <w:r>
        <w:rPr>
          <w:spacing w:val="-2"/>
          <w:w w:val="105"/>
        </w:rPr>
        <w:t>millions):</w:t>
      </w:r>
    </w:p>
    <w:p>
      <w:pPr>
        <w:pStyle w:val="BodyText"/>
        <w:spacing w:before="4"/>
        <w:rPr>
          <w:sz w:val="9"/>
        </w:rPr>
      </w:pPr>
      <w:r>
        <w:rPr/>
        <mc:AlternateContent>
          <mc:Choice Requires="wps">
            <w:drawing>
              <wp:anchor distT="0" distB="0" distL="0" distR="0" allowOverlap="1" layoutInCell="1" locked="0" behindDoc="1" simplePos="0" relativeHeight="487697408">
                <wp:simplePos x="0" y="0"/>
                <wp:positionH relativeFrom="page">
                  <wp:posOffset>226479</wp:posOffset>
                </wp:positionH>
                <wp:positionV relativeFrom="paragraph">
                  <wp:posOffset>83667</wp:posOffset>
                </wp:positionV>
                <wp:extent cx="7312659" cy="16510"/>
                <wp:effectExtent l="0" t="0" r="0" b="0"/>
                <wp:wrapTopAndBottom/>
                <wp:docPr id="435" name="Graphic 435"/>
                <wp:cNvGraphicFramePr>
                  <a:graphicFrameLocks/>
                </wp:cNvGraphicFramePr>
                <a:graphic>
                  <a:graphicData uri="http://schemas.microsoft.com/office/word/2010/wordprocessingShape">
                    <wps:wsp>
                      <wps:cNvPr id="435" name="Graphic 435"/>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87983pt;width:575.775027pt;height:1.274pt;mso-position-horizontal-relative:page;mso-position-vertical-relative:paragraph;z-index:-15619072;mso-wrap-distance-left:0;mso-wrap-distance-right:0" id="docshape434" filled="true" fillcolor="#000000" stroked="false">
                <v:fill type="solid"/>
                <w10:wrap type="topAndBottom"/>
              </v:rect>
            </w:pict>
          </mc:Fallback>
        </mc:AlternateContent>
      </w:r>
    </w:p>
    <w:p>
      <w:pPr>
        <w:pStyle w:val="BodyText"/>
        <w:tabs>
          <w:tab w:pos="6559" w:val="left" w:leader="none"/>
          <w:tab w:pos="9529" w:val="left" w:leader="none"/>
        </w:tabs>
        <w:spacing w:before="3" w:after="23"/>
        <w:ind w:left="3907"/>
      </w:pPr>
      <w:r>
        <w:rPr/>
        <w:t>Domestic</w:t>
      </w:r>
      <w:r>
        <w:rPr>
          <w:spacing w:val="17"/>
        </w:rPr>
        <w:t> </w:t>
      </w:r>
      <w:r>
        <w:rPr/>
        <w:t>pension</w:t>
      </w:r>
      <w:r>
        <w:rPr>
          <w:spacing w:val="18"/>
        </w:rPr>
        <w:t> </w:t>
      </w:r>
      <w:r>
        <w:rPr>
          <w:spacing w:val="-2"/>
        </w:rPr>
        <w:t>benefits</w:t>
      </w:r>
      <w:r>
        <w:rPr/>
        <w:tab/>
        <w:t>International</w:t>
      </w:r>
      <w:r>
        <w:rPr>
          <w:spacing w:val="20"/>
        </w:rPr>
        <w:t> </w:t>
      </w:r>
      <w:r>
        <w:rPr/>
        <w:t>pension</w:t>
      </w:r>
      <w:r>
        <w:rPr>
          <w:spacing w:val="21"/>
        </w:rPr>
        <w:t> </w:t>
      </w:r>
      <w:r>
        <w:rPr>
          <w:spacing w:val="-2"/>
        </w:rPr>
        <w:t>benefits</w:t>
      </w:r>
      <w:r>
        <w:rPr/>
        <w:tab/>
        <w:t>Postretirement</w:t>
      </w:r>
      <w:r>
        <w:rPr>
          <w:spacing w:val="27"/>
        </w:rPr>
        <w:t> </w:t>
      </w:r>
      <w:r>
        <w:rPr>
          <w:spacing w:val="-2"/>
        </w:rPr>
        <w:t>benefits</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3"/>
        <w:gridCol w:w="766"/>
        <w:gridCol w:w="536"/>
        <w:gridCol w:w="844"/>
        <w:gridCol w:w="620"/>
        <w:gridCol w:w="819"/>
        <w:gridCol w:w="471"/>
        <w:gridCol w:w="906"/>
        <w:gridCol w:w="558"/>
        <w:gridCol w:w="791"/>
        <w:gridCol w:w="498"/>
        <w:gridCol w:w="906"/>
        <w:gridCol w:w="443"/>
      </w:tblGrid>
      <w:tr>
        <w:trPr>
          <w:trHeight w:val="201" w:hRule="atLeast"/>
        </w:trPr>
        <w:tc>
          <w:tcPr>
            <w:tcW w:w="3363" w:type="dxa"/>
            <w:tcBorders>
              <w:bottom w:val="single" w:sz="6" w:space="0" w:color="000000"/>
            </w:tcBorders>
          </w:tcPr>
          <w:p>
            <w:pPr>
              <w:pStyle w:val="TableParagraph"/>
              <w:spacing w:line="179" w:lineRule="exact" w:before="2"/>
              <w:rPr>
                <w:sz w:val="16"/>
              </w:rPr>
            </w:pPr>
            <w:r>
              <w:rPr>
                <w:sz w:val="16"/>
              </w:rPr>
              <w:t>December</w:t>
            </w:r>
            <w:r>
              <w:rPr>
                <w:spacing w:val="20"/>
                <w:sz w:val="16"/>
              </w:rPr>
              <w:t> </w:t>
            </w:r>
            <w:r>
              <w:rPr>
                <w:spacing w:val="-5"/>
                <w:sz w:val="16"/>
              </w:rPr>
              <w:t>31,</w:t>
            </w:r>
          </w:p>
        </w:tc>
        <w:tc>
          <w:tcPr>
            <w:tcW w:w="766" w:type="dxa"/>
            <w:tcBorders>
              <w:top w:val="single" w:sz="6" w:space="0" w:color="000000"/>
              <w:bottom w:val="single" w:sz="6" w:space="0" w:color="000000"/>
            </w:tcBorders>
          </w:tcPr>
          <w:p>
            <w:pPr>
              <w:pStyle w:val="TableParagraph"/>
              <w:spacing w:line="179" w:lineRule="exact" w:before="2"/>
              <w:ind w:left="413"/>
              <w:rPr>
                <w:b/>
                <w:sz w:val="16"/>
              </w:rPr>
            </w:pPr>
            <w:r>
              <w:rPr>
                <w:b/>
                <w:spacing w:val="-4"/>
                <w:w w:val="105"/>
                <w:sz w:val="16"/>
              </w:rPr>
              <w:t>2021</w:t>
            </w:r>
          </w:p>
        </w:tc>
        <w:tc>
          <w:tcPr>
            <w:tcW w:w="536" w:type="dxa"/>
            <w:tcBorders>
              <w:top w:val="single" w:sz="6" w:space="0" w:color="000000"/>
              <w:bottom w:val="single" w:sz="6" w:space="0" w:color="000000"/>
            </w:tcBorders>
          </w:tcPr>
          <w:p>
            <w:pPr>
              <w:pStyle w:val="TableParagraph"/>
              <w:rPr>
                <w:sz w:val="14"/>
              </w:rPr>
            </w:pPr>
          </w:p>
        </w:tc>
        <w:tc>
          <w:tcPr>
            <w:tcW w:w="844" w:type="dxa"/>
            <w:tcBorders>
              <w:top w:val="single" w:sz="6" w:space="0" w:color="000000"/>
              <w:bottom w:val="single" w:sz="6" w:space="0" w:color="000000"/>
            </w:tcBorders>
          </w:tcPr>
          <w:p>
            <w:pPr>
              <w:pStyle w:val="TableParagraph"/>
              <w:spacing w:line="179" w:lineRule="exact" w:before="2"/>
              <w:ind w:left="494"/>
              <w:rPr>
                <w:sz w:val="16"/>
              </w:rPr>
            </w:pPr>
            <w:r>
              <w:rPr>
                <w:spacing w:val="-4"/>
                <w:w w:val="105"/>
                <w:sz w:val="16"/>
              </w:rPr>
              <w:t>2020</w:t>
            </w:r>
          </w:p>
        </w:tc>
        <w:tc>
          <w:tcPr>
            <w:tcW w:w="620" w:type="dxa"/>
            <w:tcBorders>
              <w:top w:val="single" w:sz="6" w:space="0" w:color="000000"/>
              <w:bottom w:val="single" w:sz="6" w:space="0" w:color="000000"/>
            </w:tcBorders>
          </w:tcPr>
          <w:p>
            <w:pPr>
              <w:pStyle w:val="TableParagraph"/>
              <w:rPr>
                <w:sz w:val="14"/>
              </w:rPr>
            </w:pPr>
          </w:p>
        </w:tc>
        <w:tc>
          <w:tcPr>
            <w:tcW w:w="819" w:type="dxa"/>
            <w:tcBorders>
              <w:top w:val="single" w:sz="6" w:space="0" w:color="000000"/>
              <w:bottom w:val="single" w:sz="6" w:space="0" w:color="000000"/>
            </w:tcBorders>
          </w:tcPr>
          <w:p>
            <w:pPr>
              <w:pStyle w:val="TableParagraph"/>
              <w:spacing w:line="179" w:lineRule="exact" w:before="2"/>
              <w:ind w:left="405"/>
              <w:rPr>
                <w:b/>
                <w:sz w:val="16"/>
              </w:rPr>
            </w:pPr>
            <w:r>
              <w:rPr>
                <w:b/>
                <w:spacing w:val="-4"/>
                <w:w w:val="105"/>
                <w:sz w:val="16"/>
              </w:rPr>
              <w:t>2021</w:t>
            </w:r>
          </w:p>
        </w:tc>
        <w:tc>
          <w:tcPr>
            <w:tcW w:w="471" w:type="dxa"/>
            <w:tcBorders>
              <w:top w:val="single" w:sz="6" w:space="0" w:color="000000"/>
              <w:bottom w:val="single" w:sz="6" w:space="0" w:color="000000"/>
            </w:tcBorders>
          </w:tcPr>
          <w:p>
            <w:pPr>
              <w:pStyle w:val="TableParagraph"/>
              <w:rPr>
                <w:sz w:val="14"/>
              </w:rPr>
            </w:pPr>
          </w:p>
        </w:tc>
        <w:tc>
          <w:tcPr>
            <w:tcW w:w="906" w:type="dxa"/>
            <w:tcBorders>
              <w:top w:val="single" w:sz="6" w:space="0" w:color="000000"/>
              <w:bottom w:val="single" w:sz="6" w:space="0" w:color="000000"/>
            </w:tcBorders>
          </w:tcPr>
          <w:p>
            <w:pPr>
              <w:pStyle w:val="TableParagraph"/>
              <w:spacing w:line="179" w:lineRule="exact" w:before="2"/>
              <w:ind w:left="491"/>
              <w:rPr>
                <w:sz w:val="16"/>
              </w:rPr>
            </w:pPr>
            <w:r>
              <w:rPr>
                <w:spacing w:val="-4"/>
                <w:w w:val="105"/>
                <w:sz w:val="16"/>
              </w:rPr>
              <w:t>2020</w:t>
            </w:r>
          </w:p>
        </w:tc>
        <w:tc>
          <w:tcPr>
            <w:tcW w:w="558" w:type="dxa"/>
            <w:tcBorders>
              <w:top w:val="single" w:sz="6" w:space="0" w:color="000000"/>
              <w:bottom w:val="single" w:sz="6" w:space="0" w:color="000000"/>
            </w:tcBorders>
          </w:tcPr>
          <w:p>
            <w:pPr>
              <w:pStyle w:val="TableParagraph"/>
              <w:rPr>
                <w:sz w:val="14"/>
              </w:rPr>
            </w:pPr>
          </w:p>
        </w:tc>
        <w:tc>
          <w:tcPr>
            <w:tcW w:w="791" w:type="dxa"/>
            <w:tcBorders>
              <w:top w:val="single" w:sz="6" w:space="0" w:color="000000"/>
              <w:bottom w:val="single" w:sz="6" w:space="0" w:color="000000"/>
            </w:tcBorders>
          </w:tcPr>
          <w:p>
            <w:pPr>
              <w:pStyle w:val="TableParagraph"/>
              <w:spacing w:line="179" w:lineRule="exact" w:before="2"/>
              <w:ind w:left="403"/>
              <w:rPr>
                <w:b/>
                <w:sz w:val="16"/>
              </w:rPr>
            </w:pPr>
            <w:r>
              <w:rPr>
                <w:b/>
                <w:spacing w:val="-4"/>
                <w:w w:val="105"/>
                <w:sz w:val="16"/>
              </w:rPr>
              <w:t>2021</w:t>
            </w:r>
          </w:p>
        </w:tc>
        <w:tc>
          <w:tcPr>
            <w:tcW w:w="498" w:type="dxa"/>
            <w:tcBorders>
              <w:top w:val="single" w:sz="6" w:space="0" w:color="000000"/>
              <w:bottom w:val="single" w:sz="6" w:space="0" w:color="000000"/>
            </w:tcBorders>
          </w:tcPr>
          <w:p>
            <w:pPr>
              <w:pStyle w:val="TableParagraph"/>
              <w:rPr>
                <w:sz w:val="14"/>
              </w:rPr>
            </w:pPr>
          </w:p>
        </w:tc>
        <w:tc>
          <w:tcPr>
            <w:tcW w:w="906" w:type="dxa"/>
            <w:tcBorders>
              <w:top w:val="single" w:sz="6" w:space="0" w:color="000000"/>
              <w:bottom w:val="single" w:sz="6" w:space="0" w:color="000000"/>
            </w:tcBorders>
          </w:tcPr>
          <w:p>
            <w:pPr>
              <w:pStyle w:val="TableParagraph"/>
              <w:spacing w:line="179" w:lineRule="exact" w:before="2"/>
              <w:ind w:left="490"/>
              <w:rPr>
                <w:sz w:val="16"/>
              </w:rPr>
            </w:pPr>
            <w:r>
              <w:rPr>
                <w:spacing w:val="-4"/>
                <w:w w:val="105"/>
                <w:sz w:val="16"/>
              </w:rPr>
              <w:t>2020</w:t>
            </w:r>
          </w:p>
        </w:tc>
        <w:tc>
          <w:tcPr>
            <w:tcW w:w="443" w:type="dxa"/>
            <w:tcBorders>
              <w:top w:val="single" w:sz="6" w:space="0" w:color="000000"/>
              <w:bottom w:val="single" w:sz="6" w:space="0" w:color="000000"/>
            </w:tcBorders>
          </w:tcPr>
          <w:p>
            <w:pPr>
              <w:pStyle w:val="TableParagraph"/>
              <w:rPr>
                <w:sz w:val="14"/>
              </w:rPr>
            </w:pPr>
          </w:p>
        </w:tc>
      </w:tr>
      <w:tr>
        <w:trPr>
          <w:trHeight w:val="202" w:hRule="atLeast"/>
        </w:trPr>
        <w:tc>
          <w:tcPr>
            <w:tcW w:w="3363" w:type="dxa"/>
            <w:tcBorders>
              <w:top w:val="single" w:sz="6" w:space="0" w:color="000000"/>
            </w:tcBorders>
          </w:tcPr>
          <w:p>
            <w:pPr>
              <w:pStyle w:val="TableParagraph"/>
              <w:rPr>
                <w:sz w:val="14"/>
              </w:rPr>
            </w:pPr>
          </w:p>
        </w:tc>
        <w:tc>
          <w:tcPr>
            <w:tcW w:w="766" w:type="dxa"/>
            <w:tcBorders>
              <w:top w:val="single" w:sz="6" w:space="0" w:color="000000"/>
            </w:tcBorders>
          </w:tcPr>
          <w:p>
            <w:pPr>
              <w:pStyle w:val="TableParagraph"/>
              <w:rPr>
                <w:sz w:val="14"/>
              </w:rPr>
            </w:pPr>
          </w:p>
        </w:tc>
        <w:tc>
          <w:tcPr>
            <w:tcW w:w="536" w:type="dxa"/>
            <w:tcBorders>
              <w:top w:val="single" w:sz="6" w:space="0" w:color="000000"/>
            </w:tcBorders>
          </w:tcPr>
          <w:p>
            <w:pPr>
              <w:pStyle w:val="TableParagraph"/>
              <w:rPr>
                <w:sz w:val="14"/>
              </w:rPr>
            </w:pPr>
          </w:p>
        </w:tc>
        <w:tc>
          <w:tcPr>
            <w:tcW w:w="844" w:type="dxa"/>
            <w:tcBorders>
              <w:top w:val="single" w:sz="6" w:space="0" w:color="000000"/>
            </w:tcBorders>
          </w:tcPr>
          <w:p>
            <w:pPr>
              <w:pStyle w:val="TableParagraph"/>
              <w:rPr>
                <w:sz w:val="14"/>
              </w:rPr>
            </w:pPr>
          </w:p>
        </w:tc>
        <w:tc>
          <w:tcPr>
            <w:tcW w:w="620" w:type="dxa"/>
            <w:tcBorders>
              <w:top w:val="single" w:sz="6" w:space="0" w:color="000000"/>
            </w:tcBorders>
          </w:tcPr>
          <w:p>
            <w:pPr>
              <w:pStyle w:val="TableParagraph"/>
              <w:rPr>
                <w:sz w:val="14"/>
              </w:rPr>
            </w:pPr>
          </w:p>
        </w:tc>
        <w:tc>
          <w:tcPr>
            <w:tcW w:w="819" w:type="dxa"/>
            <w:tcBorders>
              <w:top w:val="single" w:sz="6" w:space="0" w:color="000000"/>
            </w:tcBorders>
          </w:tcPr>
          <w:p>
            <w:pPr>
              <w:pStyle w:val="TableParagraph"/>
              <w:rPr>
                <w:sz w:val="14"/>
              </w:rPr>
            </w:pPr>
          </w:p>
        </w:tc>
        <w:tc>
          <w:tcPr>
            <w:tcW w:w="471" w:type="dxa"/>
            <w:tcBorders>
              <w:top w:val="single" w:sz="6" w:space="0" w:color="000000"/>
            </w:tcBorders>
          </w:tcPr>
          <w:p>
            <w:pPr>
              <w:pStyle w:val="TableParagraph"/>
              <w:rPr>
                <w:sz w:val="14"/>
              </w:rPr>
            </w:pPr>
          </w:p>
        </w:tc>
        <w:tc>
          <w:tcPr>
            <w:tcW w:w="906" w:type="dxa"/>
            <w:tcBorders>
              <w:top w:val="single" w:sz="6" w:space="0" w:color="000000"/>
            </w:tcBorders>
          </w:tcPr>
          <w:p>
            <w:pPr>
              <w:pStyle w:val="TableParagraph"/>
              <w:rPr>
                <w:sz w:val="14"/>
              </w:rPr>
            </w:pPr>
          </w:p>
        </w:tc>
        <w:tc>
          <w:tcPr>
            <w:tcW w:w="558" w:type="dxa"/>
            <w:tcBorders>
              <w:top w:val="single" w:sz="6" w:space="0" w:color="000000"/>
            </w:tcBorders>
          </w:tcPr>
          <w:p>
            <w:pPr>
              <w:pStyle w:val="TableParagraph"/>
              <w:rPr>
                <w:sz w:val="14"/>
              </w:rPr>
            </w:pPr>
          </w:p>
        </w:tc>
        <w:tc>
          <w:tcPr>
            <w:tcW w:w="791" w:type="dxa"/>
            <w:tcBorders>
              <w:top w:val="single" w:sz="6" w:space="0" w:color="000000"/>
            </w:tcBorders>
          </w:tcPr>
          <w:p>
            <w:pPr>
              <w:pStyle w:val="TableParagraph"/>
              <w:rPr>
                <w:sz w:val="14"/>
              </w:rPr>
            </w:pPr>
          </w:p>
        </w:tc>
        <w:tc>
          <w:tcPr>
            <w:tcW w:w="498" w:type="dxa"/>
            <w:tcBorders>
              <w:top w:val="single" w:sz="6" w:space="0" w:color="000000"/>
            </w:tcBorders>
          </w:tcPr>
          <w:p>
            <w:pPr>
              <w:pStyle w:val="TableParagraph"/>
              <w:rPr>
                <w:sz w:val="14"/>
              </w:rPr>
            </w:pPr>
          </w:p>
        </w:tc>
        <w:tc>
          <w:tcPr>
            <w:tcW w:w="906" w:type="dxa"/>
            <w:tcBorders>
              <w:top w:val="single" w:sz="6" w:space="0" w:color="000000"/>
            </w:tcBorders>
          </w:tcPr>
          <w:p>
            <w:pPr>
              <w:pStyle w:val="TableParagraph"/>
              <w:rPr>
                <w:sz w:val="14"/>
              </w:rPr>
            </w:pPr>
          </w:p>
        </w:tc>
        <w:tc>
          <w:tcPr>
            <w:tcW w:w="443" w:type="dxa"/>
            <w:tcBorders>
              <w:top w:val="single" w:sz="6" w:space="0" w:color="000000"/>
            </w:tcBorders>
          </w:tcPr>
          <w:p>
            <w:pPr>
              <w:pStyle w:val="TableParagraph"/>
              <w:rPr>
                <w:sz w:val="14"/>
              </w:rPr>
            </w:pPr>
          </w:p>
        </w:tc>
      </w:tr>
      <w:tr>
        <w:trPr>
          <w:trHeight w:val="203" w:hRule="atLeast"/>
        </w:trPr>
        <w:tc>
          <w:tcPr>
            <w:tcW w:w="3363" w:type="dxa"/>
            <w:shd w:val="clear" w:color="auto" w:fill="CCEDFF"/>
          </w:tcPr>
          <w:p>
            <w:pPr>
              <w:pStyle w:val="TableParagraph"/>
              <w:spacing w:line="180" w:lineRule="exact" w:before="3"/>
              <w:rPr>
                <w:b/>
                <w:sz w:val="16"/>
              </w:rPr>
            </w:pPr>
            <w:r>
              <w:rPr>
                <w:b/>
                <w:w w:val="105"/>
                <w:sz w:val="16"/>
              </w:rPr>
              <w:t>Change</w:t>
            </w:r>
            <w:r>
              <w:rPr>
                <w:b/>
                <w:spacing w:val="-9"/>
                <w:w w:val="105"/>
                <w:sz w:val="16"/>
              </w:rPr>
              <w:t> </w:t>
            </w:r>
            <w:r>
              <w:rPr>
                <w:b/>
                <w:w w:val="105"/>
                <w:sz w:val="16"/>
              </w:rPr>
              <w:t>in</w:t>
            </w:r>
            <w:r>
              <w:rPr>
                <w:b/>
                <w:spacing w:val="-9"/>
                <w:w w:val="105"/>
                <w:sz w:val="16"/>
              </w:rPr>
              <w:t> </w:t>
            </w:r>
            <w:r>
              <w:rPr>
                <w:b/>
                <w:w w:val="105"/>
                <w:sz w:val="16"/>
              </w:rPr>
              <w:t>benefit</w:t>
            </w:r>
            <w:r>
              <w:rPr>
                <w:b/>
                <w:spacing w:val="-9"/>
                <w:w w:val="105"/>
                <w:sz w:val="16"/>
              </w:rPr>
              <w:t> </w:t>
            </w:r>
            <w:r>
              <w:rPr>
                <w:b/>
                <w:spacing w:val="-2"/>
                <w:w w:val="105"/>
                <w:sz w:val="16"/>
              </w:rPr>
              <w:t>obligation</w:t>
            </w:r>
          </w:p>
        </w:tc>
        <w:tc>
          <w:tcPr>
            <w:tcW w:w="766" w:type="dxa"/>
            <w:shd w:val="clear" w:color="auto" w:fill="CCEDFF"/>
          </w:tcPr>
          <w:p>
            <w:pPr>
              <w:pStyle w:val="TableParagraph"/>
              <w:rPr>
                <w:sz w:val="14"/>
              </w:rPr>
            </w:pPr>
          </w:p>
        </w:tc>
        <w:tc>
          <w:tcPr>
            <w:tcW w:w="536" w:type="dxa"/>
            <w:shd w:val="clear" w:color="auto" w:fill="CCEDFF"/>
          </w:tcPr>
          <w:p>
            <w:pPr>
              <w:pStyle w:val="TableParagraph"/>
              <w:rPr>
                <w:sz w:val="14"/>
              </w:rPr>
            </w:pPr>
          </w:p>
        </w:tc>
        <w:tc>
          <w:tcPr>
            <w:tcW w:w="844" w:type="dxa"/>
            <w:shd w:val="clear" w:color="auto" w:fill="CCEDFF"/>
          </w:tcPr>
          <w:p>
            <w:pPr>
              <w:pStyle w:val="TableParagraph"/>
              <w:rPr>
                <w:sz w:val="14"/>
              </w:rPr>
            </w:pPr>
          </w:p>
        </w:tc>
        <w:tc>
          <w:tcPr>
            <w:tcW w:w="620" w:type="dxa"/>
            <w:shd w:val="clear" w:color="auto" w:fill="CCEDFF"/>
          </w:tcPr>
          <w:p>
            <w:pPr>
              <w:pStyle w:val="TableParagraph"/>
              <w:rPr>
                <w:sz w:val="14"/>
              </w:rPr>
            </w:pPr>
          </w:p>
        </w:tc>
        <w:tc>
          <w:tcPr>
            <w:tcW w:w="819" w:type="dxa"/>
            <w:shd w:val="clear" w:color="auto" w:fill="CCEDFF"/>
          </w:tcPr>
          <w:p>
            <w:pPr>
              <w:pStyle w:val="TableParagraph"/>
              <w:rPr>
                <w:sz w:val="14"/>
              </w:rPr>
            </w:pPr>
          </w:p>
        </w:tc>
        <w:tc>
          <w:tcPr>
            <w:tcW w:w="471" w:type="dxa"/>
            <w:shd w:val="clear" w:color="auto" w:fill="CCEDFF"/>
          </w:tcPr>
          <w:p>
            <w:pPr>
              <w:pStyle w:val="TableParagraph"/>
              <w:rPr>
                <w:sz w:val="14"/>
              </w:rPr>
            </w:pPr>
          </w:p>
        </w:tc>
        <w:tc>
          <w:tcPr>
            <w:tcW w:w="906" w:type="dxa"/>
            <w:shd w:val="clear" w:color="auto" w:fill="CCEDFF"/>
          </w:tcPr>
          <w:p>
            <w:pPr>
              <w:pStyle w:val="TableParagraph"/>
              <w:rPr>
                <w:sz w:val="14"/>
              </w:rPr>
            </w:pPr>
          </w:p>
        </w:tc>
        <w:tc>
          <w:tcPr>
            <w:tcW w:w="558" w:type="dxa"/>
            <w:shd w:val="clear" w:color="auto" w:fill="CCEDFF"/>
          </w:tcPr>
          <w:p>
            <w:pPr>
              <w:pStyle w:val="TableParagraph"/>
              <w:rPr>
                <w:sz w:val="14"/>
              </w:rPr>
            </w:pPr>
          </w:p>
        </w:tc>
        <w:tc>
          <w:tcPr>
            <w:tcW w:w="791" w:type="dxa"/>
            <w:shd w:val="clear" w:color="auto" w:fill="CCEDFF"/>
          </w:tcPr>
          <w:p>
            <w:pPr>
              <w:pStyle w:val="TableParagraph"/>
              <w:rPr>
                <w:sz w:val="14"/>
              </w:rPr>
            </w:pPr>
          </w:p>
        </w:tc>
        <w:tc>
          <w:tcPr>
            <w:tcW w:w="498" w:type="dxa"/>
            <w:shd w:val="clear" w:color="auto" w:fill="CCEDFF"/>
          </w:tcPr>
          <w:p>
            <w:pPr>
              <w:pStyle w:val="TableParagraph"/>
              <w:rPr>
                <w:sz w:val="14"/>
              </w:rPr>
            </w:pPr>
          </w:p>
        </w:tc>
        <w:tc>
          <w:tcPr>
            <w:tcW w:w="906" w:type="dxa"/>
            <w:shd w:val="clear" w:color="auto" w:fill="CCEDFF"/>
          </w:tcPr>
          <w:p>
            <w:pPr>
              <w:pStyle w:val="TableParagraph"/>
              <w:rPr>
                <w:sz w:val="14"/>
              </w:rPr>
            </w:pPr>
          </w:p>
        </w:tc>
        <w:tc>
          <w:tcPr>
            <w:tcW w:w="443" w:type="dxa"/>
            <w:shd w:val="clear" w:color="auto" w:fill="CCEDFF"/>
          </w:tcPr>
          <w:p>
            <w:pPr>
              <w:pStyle w:val="TableParagraph"/>
              <w:rPr>
                <w:sz w:val="14"/>
              </w:rPr>
            </w:pPr>
          </w:p>
        </w:tc>
      </w:tr>
      <w:tr>
        <w:trPr>
          <w:trHeight w:val="203" w:hRule="atLeast"/>
        </w:trPr>
        <w:tc>
          <w:tcPr>
            <w:tcW w:w="3363" w:type="dxa"/>
          </w:tcPr>
          <w:p>
            <w:pPr>
              <w:pStyle w:val="TableParagraph"/>
              <w:spacing w:line="180" w:lineRule="exact" w:before="3"/>
              <w:rPr>
                <w:sz w:val="16"/>
              </w:rPr>
            </w:pPr>
            <w:r>
              <w:rPr>
                <w:w w:val="105"/>
                <w:sz w:val="16"/>
              </w:rPr>
              <w:t>Benefit</w:t>
            </w:r>
            <w:r>
              <w:rPr>
                <w:spacing w:val="-9"/>
                <w:w w:val="105"/>
                <w:sz w:val="16"/>
              </w:rPr>
              <w:t> </w:t>
            </w:r>
            <w:r>
              <w:rPr>
                <w:w w:val="105"/>
                <w:sz w:val="16"/>
              </w:rPr>
              <w:t>obligation</w:t>
            </w:r>
            <w:r>
              <w:rPr>
                <w:spacing w:val="-9"/>
                <w:w w:val="105"/>
                <w:sz w:val="16"/>
              </w:rPr>
              <w:t> </w:t>
            </w:r>
            <w:r>
              <w:rPr>
                <w:w w:val="105"/>
                <w:sz w:val="16"/>
              </w:rPr>
              <w:t>at</w:t>
            </w:r>
            <w:r>
              <w:rPr>
                <w:spacing w:val="-8"/>
                <w:w w:val="105"/>
                <w:sz w:val="16"/>
              </w:rPr>
              <w:t> </w:t>
            </w:r>
            <w:r>
              <w:rPr>
                <w:w w:val="105"/>
                <w:sz w:val="16"/>
              </w:rPr>
              <w:t>beginning</w:t>
            </w:r>
            <w:r>
              <w:rPr>
                <w:spacing w:val="-9"/>
                <w:w w:val="105"/>
                <w:sz w:val="16"/>
              </w:rPr>
              <w:t> </w:t>
            </w:r>
            <w:r>
              <w:rPr>
                <w:w w:val="105"/>
                <w:sz w:val="16"/>
              </w:rPr>
              <w:t>of</w:t>
            </w:r>
            <w:r>
              <w:rPr>
                <w:spacing w:val="-9"/>
                <w:w w:val="105"/>
                <w:sz w:val="16"/>
              </w:rPr>
              <w:t> </w:t>
            </w:r>
            <w:r>
              <w:rPr>
                <w:spacing w:val="-4"/>
                <w:w w:val="105"/>
                <w:sz w:val="16"/>
              </w:rPr>
              <w:t>year</w:t>
            </w:r>
          </w:p>
        </w:tc>
        <w:tc>
          <w:tcPr>
            <w:tcW w:w="766" w:type="dxa"/>
          </w:tcPr>
          <w:p>
            <w:pPr>
              <w:pStyle w:val="TableParagraph"/>
              <w:spacing w:line="180" w:lineRule="exact" w:before="3"/>
              <w:ind w:left="-1"/>
              <w:rPr>
                <w:b/>
                <w:sz w:val="16"/>
              </w:rPr>
            </w:pPr>
            <w:r>
              <w:rPr>
                <w:b/>
                <w:spacing w:val="-10"/>
                <w:w w:val="105"/>
                <w:sz w:val="16"/>
              </w:rPr>
              <w:t>$</w:t>
            </w:r>
          </w:p>
        </w:tc>
        <w:tc>
          <w:tcPr>
            <w:tcW w:w="536" w:type="dxa"/>
          </w:tcPr>
          <w:p>
            <w:pPr>
              <w:pStyle w:val="TableParagraph"/>
              <w:spacing w:line="180" w:lineRule="exact" w:before="3"/>
              <w:ind w:left="1" w:right="121"/>
              <w:jc w:val="center"/>
              <w:rPr>
                <w:b/>
                <w:sz w:val="16"/>
              </w:rPr>
            </w:pPr>
            <w:r>
              <w:rPr>
                <w:b/>
                <w:spacing w:val="-4"/>
                <w:w w:val="105"/>
                <w:sz w:val="16"/>
              </w:rPr>
              <w:t>4,203</w:t>
            </w:r>
          </w:p>
        </w:tc>
        <w:tc>
          <w:tcPr>
            <w:tcW w:w="844" w:type="dxa"/>
          </w:tcPr>
          <w:p>
            <w:pPr>
              <w:pStyle w:val="TableParagraph"/>
              <w:spacing w:line="180" w:lineRule="exact" w:before="3"/>
              <w:ind w:left="86"/>
              <w:rPr>
                <w:sz w:val="16"/>
              </w:rPr>
            </w:pPr>
            <w:r>
              <w:rPr>
                <w:spacing w:val="-10"/>
                <w:w w:val="105"/>
                <w:sz w:val="16"/>
              </w:rPr>
              <w:t>$</w:t>
            </w:r>
          </w:p>
        </w:tc>
        <w:tc>
          <w:tcPr>
            <w:tcW w:w="620" w:type="dxa"/>
          </w:tcPr>
          <w:p>
            <w:pPr>
              <w:pStyle w:val="TableParagraph"/>
              <w:spacing w:line="180" w:lineRule="exact" w:before="3"/>
              <w:ind w:right="229"/>
              <w:jc w:val="right"/>
              <w:rPr>
                <w:sz w:val="16"/>
              </w:rPr>
            </w:pPr>
            <w:r>
              <w:rPr>
                <w:spacing w:val="-4"/>
                <w:w w:val="105"/>
                <w:sz w:val="16"/>
              </w:rPr>
              <w:t>3,856</w:t>
            </w:r>
          </w:p>
        </w:tc>
        <w:tc>
          <w:tcPr>
            <w:tcW w:w="819" w:type="dxa"/>
          </w:tcPr>
          <w:p>
            <w:pPr>
              <w:pStyle w:val="TableParagraph"/>
              <w:spacing w:line="180" w:lineRule="exact" w:before="3"/>
              <w:ind w:left="-2"/>
              <w:rPr>
                <w:b/>
                <w:sz w:val="16"/>
              </w:rPr>
            </w:pPr>
            <w:r>
              <w:rPr>
                <w:b/>
                <w:spacing w:val="-10"/>
                <w:w w:val="105"/>
                <w:sz w:val="16"/>
              </w:rPr>
              <w:t>$</w:t>
            </w:r>
          </w:p>
        </w:tc>
        <w:tc>
          <w:tcPr>
            <w:tcW w:w="471" w:type="dxa"/>
          </w:tcPr>
          <w:p>
            <w:pPr>
              <w:pStyle w:val="TableParagraph"/>
              <w:spacing w:line="180" w:lineRule="exact" w:before="3"/>
              <w:ind w:right="66"/>
              <w:jc w:val="center"/>
              <w:rPr>
                <w:b/>
                <w:sz w:val="16"/>
              </w:rPr>
            </w:pPr>
            <w:r>
              <w:rPr>
                <w:b/>
                <w:spacing w:val="-5"/>
                <w:w w:val="105"/>
                <w:sz w:val="16"/>
              </w:rPr>
              <w:t>778</w:t>
            </w:r>
          </w:p>
        </w:tc>
        <w:tc>
          <w:tcPr>
            <w:tcW w:w="906" w:type="dxa"/>
          </w:tcPr>
          <w:p>
            <w:pPr>
              <w:pStyle w:val="TableParagraph"/>
              <w:spacing w:line="180" w:lineRule="exact" w:before="3"/>
              <w:ind w:left="83"/>
              <w:rPr>
                <w:sz w:val="16"/>
              </w:rPr>
            </w:pPr>
            <w:r>
              <w:rPr>
                <w:spacing w:val="-10"/>
                <w:w w:val="105"/>
                <w:sz w:val="16"/>
              </w:rPr>
              <w:t>$</w:t>
            </w:r>
          </w:p>
        </w:tc>
        <w:tc>
          <w:tcPr>
            <w:tcW w:w="558" w:type="dxa"/>
          </w:tcPr>
          <w:p>
            <w:pPr>
              <w:pStyle w:val="TableParagraph"/>
              <w:spacing w:line="180" w:lineRule="exact" w:before="3"/>
              <w:ind w:right="155"/>
              <w:jc w:val="center"/>
              <w:rPr>
                <w:sz w:val="16"/>
              </w:rPr>
            </w:pPr>
            <w:r>
              <w:rPr>
                <w:spacing w:val="-5"/>
                <w:w w:val="105"/>
                <w:sz w:val="16"/>
              </w:rPr>
              <w:t>725</w:t>
            </w:r>
          </w:p>
        </w:tc>
        <w:tc>
          <w:tcPr>
            <w:tcW w:w="791" w:type="dxa"/>
          </w:tcPr>
          <w:p>
            <w:pPr>
              <w:pStyle w:val="TableParagraph"/>
              <w:spacing w:line="180" w:lineRule="exact" w:before="3"/>
              <w:ind w:left="-5"/>
              <w:rPr>
                <w:b/>
                <w:sz w:val="16"/>
              </w:rPr>
            </w:pPr>
            <w:r>
              <w:rPr>
                <w:b/>
                <w:spacing w:val="-10"/>
                <w:w w:val="105"/>
                <w:sz w:val="16"/>
              </w:rPr>
              <w:t>$</w:t>
            </w:r>
          </w:p>
        </w:tc>
        <w:tc>
          <w:tcPr>
            <w:tcW w:w="498" w:type="dxa"/>
          </w:tcPr>
          <w:p>
            <w:pPr>
              <w:pStyle w:val="TableParagraph"/>
              <w:spacing w:line="180" w:lineRule="exact" w:before="3"/>
              <w:ind w:right="144"/>
              <w:jc w:val="right"/>
              <w:rPr>
                <w:b/>
                <w:sz w:val="16"/>
              </w:rPr>
            </w:pPr>
            <w:r>
              <w:rPr>
                <w:b/>
                <w:spacing w:val="-5"/>
                <w:w w:val="105"/>
                <w:sz w:val="16"/>
              </w:rPr>
              <w:t>764</w:t>
            </w:r>
          </w:p>
        </w:tc>
        <w:tc>
          <w:tcPr>
            <w:tcW w:w="906" w:type="dxa"/>
          </w:tcPr>
          <w:p>
            <w:pPr>
              <w:pStyle w:val="TableParagraph"/>
              <w:spacing w:line="180" w:lineRule="exact" w:before="3"/>
              <w:ind w:left="82"/>
              <w:rPr>
                <w:sz w:val="16"/>
              </w:rPr>
            </w:pPr>
            <w:r>
              <w:rPr>
                <w:spacing w:val="-10"/>
                <w:w w:val="105"/>
                <w:sz w:val="16"/>
              </w:rPr>
              <w:t>$</w:t>
            </w:r>
          </w:p>
        </w:tc>
        <w:tc>
          <w:tcPr>
            <w:tcW w:w="443" w:type="dxa"/>
          </w:tcPr>
          <w:p>
            <w:pPr>
              <w:pStyle w:val="TableParagraph"/>
              <w:spacing w:line="180" w:lineRule="exact" w:before="3"/>
              <w:ind w:left="74"/>
              <w:rPr>
                <w:sz w:val="16"/>
              </w:rPr>
            </w:pPr>
            <w:r>
              <w:rPr>
                <w:spacing w:val="-5"/>
                <w:w w:val="105"/>
                <w:sz w:val="16"/>
              </w:rPr>
              <w:t>705</w:t>
            </w:r>
          </w:p>
        </w:tc>
      </w:tr>
      <w:tr>
        <w:trPr>
          <w:trHeight w:val="203" w:hRule="atLeast"/>
        </w:trPr>
        <w:tc>
          <w:tcPr>
            <w:tcW w:w="3363" w:type="dxa"/>
            <w:shd w:val="clear" w:color="auto" w:fill="CCEDFF"/>
          </w:tcPr>
          <w:p>
            <w:pPr>
              <w:pStyle w:val="TableParagraph"/>
              <w:spacing w:line="180" w:lineRule="exact" w:before="3"/>
              <w:rPr>
                <w:sz w:val="16"/>
              </w:rPr>
            </w:pPr>
            <w:r>
              <w:rPr>
                <w:sz w:val="16"/>
              </w:rPr>
              <w:t>Service</w:t>
            </w:r>
            <w:r>
              <w:rPr>
                <w:spacing w:val="15"/>
                <w:sz w:val="16"/>
              </w:rPr>
              <w:t> </w:t>
            </w:r>
            <w:r>
              <w:rPr>
                <w:spacing w:val="-4"/>
                <w:sz w:val="16"/>
              </w:rPr>
              <w:t>cost</w:t>
            </w:r>
          </w:p>
        </w:tc>
        <w:tc>
          <w:tcPr>
            <w:tcW w:w="766" w:type="dxa"/>
            <w:shd w:val="clear" w:color="auto" w:fill="CCEDFF"/>
          </w:tcPr>
          <w:p>
            <w:pPr>
              <w:pStyle w:val="TableParagraph"/>
              <w:rPr>
                <w:sz w:val="14"/>
              </w:rPr>
            </w:pPr>
          </w:p>
        </w:tc>
        <w:tc>
          <w:tcPr>
            <w:tcW w:w="536" w:type="dxa"/>
            <w:shd w:val="clear" w:color="auto" w:fill="CCEDFF"/>
          </w:tcPr>
          <w:p>
            <w:pPr>
              <w:pStyle w:val="TableParagraph"/>
              <w:spacing w:line="180" w:lineRule="exact" w:before="3"/>
              <w:ind w:left="1"/>
              <w:jc w:val="center"/>
              <w:rPr>
                <w:b/>
                <w:sz w:val="16"/>
              </w:rPr>
            </w:pPr>
            <w:r>
              <w:rPr>
                <w:b/>
                <w:spacing w:val="-5"/>
                <w:w w:val="105"/>
                <w:sz w:val="16"/>
              </w:rPr>
              <w:t>102</w:t>
            </w:r>
          </w:p>
        </w:tc>
        <w:tc>
          <w:tcPr>
            <w:tcW w:w="844" w:type="dxa"/>
            <w:shd w:val="clear" w:color="auto" w:fill="CCEDFF"/>
          </w:tcPr>
          <w:p>
            <w:pPr>
              <w:pStyle w:val="TableParagraph"/>
              <w:rPr>
                <w:sz w:val="14"/>
              </w:rPr>
            </w:pPr>
          </w:p>
        </w:tc>
        <w:tc>
          <w:tcPr>
            <w:tcW w:w="620" w:type="dxa"/>
            <w:shd w:val="clear" w:color="auto" w:fill="CCEDFF"/>
          </w:tcPr>
          <w:p>
            <w:pPr>
              <w:pStyle w:val="TableParagraph"/>
              <w:spacing w:line="180" w:lineRule="exact" w:before="3"/>
              <w:ind w:right="229"/>
              <w:jc w:val="right"/>
              <w:rPr>
                <w:sz w:val="16"/>
              </w:rPr>
            </w:pPr>
            <w:r>
              <w:rPr>
                <w:spacing w:val="-5"/>
                <w:w w:val="105"/>
                <w:sz w:val="16"/>
              </w:rPr>
              <w:t>92</w:t>
            </w:r>
          </w:p>
        </w:tc>
        <w:tc>
          <w:tcPr>
            <w:tcW w:w="819" w:type="dxa"/>
            <w:shd w:val="clear" w:color="auto" w:fill="CCEDFF"/>
          </w:tcPr>
          <w:p>
            <w:pPr>
              <w:pStyle w:val="TableParagraph"/>
              <w:rPr>
                <w:sz w:val="14"/>
              </w:rPr>
            </w:pPr>
          </w:p>
        </w:tc>
        <w:tc>
          <w:tcPr>
            <w:tcW w:w="471" w:type="dxa"/>
            <w:shd w:val="clear" w:color="auto" w:fill="CCEDFF"/>
          </w:tcPr>
          <w:p>
            <w:pPr>
              <w:pStyle w:val="TableParagraph"/>
              <w:spacing w:line="180" w:lineRule="exact" w:before="3"/>
              <w:ind w:left="14"/>
              <w:jc w:val="center"/>
              <w:rPr>
                <w:b/>
                <w:sz w:val="16"/>
              </w:rPr>
            </w:pPr>
            <w:r>
              <w:rPr>
                <w:b/>
                <w:spacing w:val="-5"/>
                <w:w w:val="105"/>
                <w:sz w:val="16"/>
              </w:rPr>
              <w:t>25</w:t>
            </w:r>
          </w:p>
        </w:tc>
        <w:tc>
          <w:tcPr>
            <w:tcW w:w="906" w:type="dxa"/>
            <w:shd w:val="clear" w:color="auto" w:fill="CCEDFF"/>
          </w:tcPr>
          <w:p>
            <w:pPr>
              <w:pStyle w:val="TableParagraph"/>
              <w:rPr>
                <w:sz w:val="14"/>
              </w:rPr>
            </w:pPr>
          </w:p>
        </w:tc>
        <w:tc>
          <w:tcPr>
            <w:tcW w:w="558" w:type="dxa"/>
            <w:shd w:val="clear" w:color="auto" w:fill="CCEDFF"/>
          </w:tcPr>
          <w:p>
            <w:pPr>
              <w:pStyle w:val="TableParagraph"/>
              <w:spacing w:line="180" w:lineRule="exact" w:before="3"/>
              <w:ind w:right="72"/>
              <w:jc w:val="center"/>
              <w:rPr>
                <w:sz w:val="16"/>
              </w:rPr>
            </w:pPr>
            <w:r>
              <w:rPr>
                <w:spacing w:val="-5"/>
                <w:w w:val="105"/>
                <w:sz w:val="16"/>
              </w:rPr>
              <w:t>26</w:t>
            </w:r>
          </w:p>
        </w:tc>
        <w:tc>
          <w:tcPr>
            <w:tcW w:w="791" w:type="dxa"/>
            <w:shd w:val="clear" w:color="auto" w:fill="CCEDFF"/>
          </w:tcPr>
          <w:p>
            <w:pPr>
              <w:pStyle w:val="TableParagraph"/>
              <w:rPr>
                <w:sz w:val="14"/>
              </w:rPr>
            </w:pPr>
          </w:p>
        </w:tc>
        <w:tc>
          <w:tcPr>
            <w:tcW w:w="498" w:type="dxa"/>
            <w:shd w:val="clear" w:color="auto" w:fill="CCEDFF"/>
          </w:tcPr>
          <w:p>
            <w:pPr>
              <w:pStyle w:val="TableParagraph"/>
              <w:spacing w:line="180" w:lineRule="exact" w:before="3"/>
              <w:ind w:right="144"/>
              <w:jc w:val="right"/>
              <w:rPr>
                <w:b/>
                <w:sz w:val="16"/>
              </w:rPr>
            </w:pPr>
            <w:r>
              <w:rPr>
                <w:b/>
                <w:spacing w:val="-5"/>
                <w:w w:val="105"/>
                <w:sz w:val="16"/>
              </w:rPr>
              <w:t>10</w:t>
            </w:r>
          </w:p>
        </w:tc>
        <w:tc>
          <w:tcPr>
            <w:tcW w:w="906" w:type="dxa"/>
            <w:shd w:val="clear" w:color="auto" w:fill="CCEDFF"/>
          </w:tcPr>
          <w:p>
            <w:pPr>
              <w:pStyle w:val="TableParagraph"/>
              <w:rPr>
                <w:sz w:val="14"/>
              </w:rPr>
            </w:pPr>
          </w:p>
        </w:tc>
        <w:tc>
          <w:tcPr>
            <w:tcW w:w="443" w:type="dxa"/>
            <w:shd w:val="clear" w:color="auto" w:fill="CCEDFF"/>
          </w:tcPr>
          <w:p>
            <w:pPr>
              <w:pStyle w:val="TableParagraph"/>
              <w:spacing w:line="180" w:lineRule="exact" w:before="3"/>
              <w:ind w:left="240"/>
              <w:rPr>
                <w:sz w:val="16"/>
              </w:rPr>
            </w:pPr>
            <w:r>
              <w:rPr>
                <w:spacing w:val="-10"/>
                <w:w w:val="105"/>
                <w:sz w:val="16"/>
              </w:rPr>
              <w:t>9</w:t>
            </w:r>
          </w:p>
        </w:tc>
      </w:tr>
      <w:tr>
        <w:trPr>
          <w:trHeight w:val="203" w:hRule="atLeast"/>
        </w:trPr>
        <w:tc>
          <w:tcPr>
            <w:tcW w:w="3363" w:type="dxa"/>
          </w:tcPr>
          <w:p>
            <w:pPr>
              <w:pStyle w:val="TableParagraph"/>
              <w:spacing w:line="180" w:lineRule="exact" w:before="3"/>
              <w:rPr>
                <w:sz w:val="16"/>
              </w:rPr>
            </w:pPr>
            <w:r>
              <w:rPr>
                <w:sz w:val="16"/>
              </w:rPr>
              <w:t>Interest</w:t>
            </w:r>
            <w:r>
              <w:rPr>
                <w:spacing w:val="15"/>
                <w:sz w:val="16"/>
              </w:rPr>
              <w:t> </w:t>
            </w:r>
            <w:r>
              <w:rPr>
                <w:spacing w:val="-4"/>
                <w:sz w:val="16"/>
              </w:rPr>
              <w:t>cost</w:t>
            </w:r>
          </w:p>
        </w:tc>
        <w:tc>
          <w:tcPr>
            <w:tcW w:w="766" w:type="dxa"/>
          </w:tcPr>
          <w:p>
            <w:pPr>
              <w:pStyle w:val="TableParagraph"/>
              <w:rPr>
                <w:sz w:val="14"/>
              </w:rPr>
            </w:pPr>
          </w:p>
        </w:tc>
        <w:tc>
          <w:tcPr>
            <w:tcW w:w="536" w:type="dxa"/>
          </w:tcPr>
          <w:p>
            <w:pPr>
              <w:pStyle w:val="TableParagraph"/>
              <w:spacing w:line="180" w:lineRule="exact" w:before="3"/>
              <w:ind w:left="204" w:right="120"/>
              <w:jc w:val="center"/>
              <w:rPr>
                <w:b/>
                <w:sz w:val="16"/>
              </w:rPr>
            </w:pPr>
            <w:r>
              <w:rPr>
                <w:b/>
                <w:spacing w:val="-5"/>
                <w:w w:val="105"/>
                <w:sz w:val="16"/>
              </w:rPr>
              <w:t>78</w:t>
            </w:r>
          </w:p>
        </w:tc>
        <w:tc>
          <w:tcPr>
            <w:tcW w:w="844" w:type="dxa"/>
          </w:tcPr>
          <w:p>
            <w:pPr>
              <w:pStyle w:val="TableParagraph"/>
              <w:rPr>
                <w:sz w:val="14"/>
              </w:rPr>
            </w:pPr>
          </w:p>
        </w:tc>
        <w:tc>
          <w:tcPr>
            <w:tcW w:w="620" w:type="dxa"/>
          </w:tcPr>
          <w:p>
            <w:pPr>
              <w:pStyle w:val="TableParagraph"/>
              <w:spacing w:line="180" w:lineRule="exact" w:before="3"/>
              <w:ind w:right="229"/>
              <w:jc w:val="right"/>
              <w:rPr>
                <w:sz w:val="16"/>
              </w:rPr>
            </w:pPr>
            <w:r>
              <w:rPr>
                <w:spacing w:val="-5"/>
                <w:w w:val="105"/>
                <w:sz w:val="16"/>
              </w:rPr>
              <w:t>110</w:t>
            </w:r>
          </w:p>
        </w:tc>
        <w:tc>
          <w:tcPr>
            <w:tcW w:w="819" w:type="dxa"/>
          </w:tcPr>
          <w:p>
            <w:pPr>
              <w:pStyle w:val="TableParagraph"/>
              <w:rPr>
                <w:sz w:val="14"/>
              </w:rPr>
            </w:pPr>
          </w:p>
        </w:tc>
        <w:tc>
          <w:tcPr>
            <w:tcW w:w="471" w:type="dxa"/>
          </w:tcPr>
          <w:p>
            <w:pPr>
              <w:pStyle w:val="TableParagraph"/>
              <w:spacing w:line="180" w:lineRule="exact" w:before="3"/>
              <w:ind w:left="14"/>
              <w:jc w:val="center"/>
              <w:rPr>
                <w:b/>
                <w:sz w:val="16"/>
              </w:rPr>
            </w:pPr>
            <w:r>
              <w:rPr>
                <w:b/>
                <w:spacing w:val="-5"/>
                <w:w w:val="105"/>
                <w:sz w:val="16"/>
              </w:rPr>
              <w:t>10</w:t>
            </w:r>
          </w:p>
        </w:tc>
        <w:tc>
          <w:tcPr>
            <w:tcW w:w="906" w:type="dxa"/>
          </w:tcPr>
          <w:p>
            <w:pPr>
              <w:pStyle w:val="TableParagraph"/>
              <w:rPr>
                <w:sz w:val="14"/>
              </w:rPr>
            </w:pPr>
          </w:p>
        </w:tc>
        <w:tc>
          <w:tcPr>
            <w:tcW w:w="558" w:type="dxa"/>
          </w:tcPr>
          <w:p>
            <w:pPr>
              <w:pStyle w:val="TableParagraph"/>
              <w:spacing w:line="180" w:lineRule="exact" w:before="3"/>
              <w:ind w:right="72"/>
              <w:jc w:val="center"/>
              <w:rPr>
                <w:sz w:val="16"/>
              </w:rPr>
            </w:pPr>
            <w:r>
              <w:rPr>
                <w:spacing w:val="-5"/>
                <w:w w:val="105"/>
                <w:sz w:val="16"/>
              </w:rPr>
              <w:t>12</w:t>
            </w:r>
          </w:p>
        </w:tc>
        <w:tc>
          <w:tcPr>
            <w:tcW w:w="791" w:type="dxa"/>
          </w:tcPr>
          <w:p>
            <w:pPr>
              <w:pStyle w:val="TableParagraph"/>
              <w:rPr>
                <w:sz w:val="14"/>
              </w:rPr>
            </w:pPr>
          </w:p>
        </w:tc>
        <w:tc>
          <w:tcPr>
            <w:tcW w:w="498" w:type="dxa"/>
          </w:tcPr>
          <w:p>
            <w:pPr>
              <w:pStyle w:val="TableParagraph"/>
              <w:spacing w:line="180" w:lineRule="exact" w:before="3"/>
              <w:ind w:right="144"/>
              <w:jc w:val="right"/>
              <w:rPr>
                <w:b/>
                <w:sz w:val="16"/>
              </w:rPr>
            </w:pPr>
            <w:r>
              <w:rPr>
                <w:b/>
                <w:spacing w:val="-5"/>
                <w:w w:val="105"/>
                <w:sz w:val="16"/>
              </w:rPr>
              <w:t>15</w:t>
            </w:r>
          </w:p>
        </w:tc>
        <w:tc>
          <w:tcPr>
            <w:tcW w:w="906" w:type="dxa"/>
          </w:tcPr>
          <w:p>
            <w:pPr>
              <w:pStyle w:val="TableParagraph"/>
              <w:rPr>
                <w:sz w:val="14"/>
              </w:rPr>
            </w:pPr>
          </w:p>
        </w:tc>
        <w:tc>
          <w:tcPr>
            <w:tcW w:w="443" w:type="dxa"/>
          </w:tcPr>
          <w:p>
            <w:pPr>
              <w:pStyle w:val="TableParagraph"/>
              <w:spacing w:line="180" w:lineRule="exact" w:before="3"/>
              <w:ind w:left="157"/>
              <w:rPr>
                <w:sz w:val="16"/>
              </w:rPr>
            </w:pPr>
            <w:r>
              <w:rPr>
                <w:spacing w:val="-5"/>
                <w:w w:val="105"/>
                <w:sz w:val="16"/>
              </w:rPr>
              <w:t>20</w:t>
            </w:r>
          </w:p>
        </w:tc>
      </w:tr>
      <w:tr>
        <w:trPr>
          <w:trHeight w:val="203" w:hRule="atLeast"/>
        </w:trPr>
        <w:tc>
          <w:tcPr>
            <w:tcW w:w="3363" w:type="dxa"/>
            <w:shd w:val="clear" w:color="auto" w:fill="CCEDFF"/>
          </w:tcPr>
          <w:p>
            <w:pPr>
              <w:pStyle w:val="TableParagraph"/>
              <w:spacing w:line="180" w:lineRule="exact" w:before="3"/>
              <w:rPr>
                <w:sz w:val="16"/>
              </w:rPr>
            </w:pPr>
            <w:r>
              <w:rPr>
                <w:sz w:val="16"/>
              </w:rPr>
              <w:t>Plan</w:t>
            </w:r>
            <w:r>
              <w:rPr>
                <w:spacing w:val="17"/>
                <w:sz w:val="16"/>
              </w:rPr>
              <w:t> </w:t>
            </w:r>
            <w:r>
              <w:rPr>
                <w:sz w:val="16"/>
              </w:rPr>
              <w:t>participants’</w:t>
            </w:r>
            <w:r>
              <w:rPr>
                <w:spacing w:val="17"/>
                <w:sz w:val="16"/>
              </w:rPr>
              <w:t> </w:t>
            </w:r>
            <w:r>
              <w:rPr>
                <w:spacing w:val="-2"/>
                <w:sz w:val="16"/>
              </w:rPr>
              <w:t>contributions</w:t>
            </w:r>
          </w:p>
        </w:tc>
        <w:tc>
          <w:tcPr>
            <w:tcW w:w="766" w:type="dxa"/>
            <w:shd w:val="clear" w:color="auto" w:fill="CCEDFF"/>
          </w:tcPr>
          <w:p>
            <w:pPr>
              <w:pStyle w:val="TableParagraph"/>
              <w:rPr>
                <w:sz w:val="14"/>
              </w:rPr>
            </w:pPr>
          </w:p>
        </w:tc>
        <w:tc>
          <w:tcPr>
            <w:tcW w:w="536" w:type="dxa"/>
            <w:shd w:val="clear" w:color="auto" w:fill="CCEDFF"/>
          </w:tcPr>
          <w:p>
            <w:pPr>
              <w:pStyle w:val="TableParagraph"/>
              <w:rPr>
                <w:sz w:val="14"/>
              </w:rPr>
            </w:pPr>
          </w:p>
        </w:tc>
        <w:tc>
          <w:tcPr>
            <w:tcW w:w="844" w:type="dxa"/>
            <w:shd w:val="clear" w:color="auto" w:fill="CCEDFF"/>
          </w:tcPr>
          <w:p>
            <w:pPr>
              <w:pStyle w:val="TableParagraph"/>
              <w:rPr>
                <w:sz w:val="14"/>
              </w:rPr>
            </w:pPr>
          </w:p>
        </w:tc>
        <w:tc>
          <w:tcPr>
            <w:tcW w:w="620" w:type="dxa"/>
            <w:shd w:val="clear" w:color="auto" w:fill="CCEDFF"/>
          </w:tcPr>
          <w:p>
            <w:pPr>
              <w:pStyle w:val="TableParagraph"/>
              <w:spacing w:line="180" w:lineRule="exact" w:before="3"/>
              <w:ind w:right="229"/>
              <w:jc w:val="right"/>
              <w:rPr>
                <w:sz w:val="16"/>
              </w:rPr>
            </w:pPr>
            <w:r>
              <w:rPr>
                <w:spacing w:val="-10"/>
                <w:w w:val="105"/>
                <w:sz w:val="16"/>
              </w:rPr>
              <w:t>1</w:t>
            </w:r>
          </w:p>
        </w:tc>
        <w:tc>
          <w:tcPr>
            <w:tcW w:w="819" w:type="dxa"/>
            <w:shd w:val="clear" w:color="auto" w:fill="CCEDFF"/>
          </w:tcPr>
          <w:p>
            <w:pPr>
              <w:pStyle w:val="TableParagraph"/>
              <w:rPr>
                <w:sz w:val="14"/>
              </w:rPr>
            </w:pPr>
          </w:p>
        </w:tc>
        <w:tc>
          <w:tcPr>
            <w:tcW w:w="471" w:type="dxa"/>
            <w:shd w:val="clear" w:color="auto" w:fill="CCEDFF"/>
          </w:tcPr>
          <w:p>
            <w:pPr>
              <w:pStyle w:val="TableParagraph"/>
              <w:rPr>
                <w:sz w:val="14"/>
              </w:rPr>
            </w:pPr>
          </w:p>
        </w:tc>
        <w:tc>
          <w:tcPr>
            <w:tcW w:w="906" w:type="dxa"/>
            <w:shd w:val="clear" w:color="auto" w:fill="CCEDFF"/>
          </w:tcPr>
          <w:p>
            <w:pPr>
              <w:pStyle w:val="TableParagraph"/>
              <w:rPr>
                <w:sz w:val="14"/>
              </w:rPr>
            </w:pPr>
          </w:p>
        </w:tc>
        <w:tc>
          <w:tcPr>
            <w:tcW w:w="558" w:type="dxa"/>
            <w:shd w:val="clear" w:color="auto" w:fill="CCEDFF"/>
          </w:tcPr>
          <w:p>
            <w:pPr>
              <w:pStyle w:val="TableParagraph"/>
              <w:rPr>
                <w:sz w:val="14"/>
              </w:rPr>
            </w:pPr>
          </w:p>
        </w:tc>
        <w:tc>
          <w:tcPr>
            <w:tcW w:w="791" w:type="dxa"/>
            <w:shd w:val="clear" w:color="auto" w:fill="CCEDFF"/>
          </w:tcPr>
          <w:p>
            <w:pPr>
              <w:pStyle w:val="TableParagraph"/>
              <w:rPr>
                <w:sz w:val="14"/>
              </w:rPr>
            </w:pPr>
          </w:p>
        </w:tc>
        <w:tc>
          <w:tcPr>
            <w:tcW w:w="498" w:type="dxa"/>
            <w:shd w:val="clear" w:color="auto" w:fill="CCEDFF"/>
          </w:tcPr>
          <w:p>
            <w:pPr>
              <w:pStyle w:val="TableParagraph"/>
              <w:spacing w:line="180" w:lineRule="exact" w:before="3"/>
              <w:ind w:right="144"/>
              <w:jc w:val="right"/>
              <w:rPr>
                <w:b/>
                <w:sz w:val="16"/>
              </w:rPr>
            </w:pPr>
            <w:r>
              <w:rPr>
                <w:b/>
                <w:spacing w:val="-10"/>
                <w:w w:val="105"/>
                <w:sz w:val="16"/>
              </w:rPr>
              <w:t>7</w:t>
            </w:r>
          </w:p>
        </w:tc>
        <w:tc>
          <w:tcPr>
            <w:tcW w:w="906" w:type="dxa"/>
            <w:shd w:val="clear" w:color="auto" w:fill="CCEDFF"/>
          </w:tcPr>
          <w:p>
            <w:pPr>
              <w:pStyle w:val="TableParagraph"/>
              <w:rPr>
                <w:sz w:val="14"/>
              </w:rPr>
            </w:pPr>
          </w:p>
        </w:tc>
        <w:tc>
          <w:tcPr>
            <w:tcW w:w="443" w:type="dxa"/>
            <w:shd w:val="clear" w:color="auto" w:fill="CCEDFF"/>
          </w:tcPr>
          <w:p>
            <w:pPr>
              <w:pStyle w:val="TableParagraph"/>
              <w:spacing w:line="180" w:lineRule="exact" w:before="3"/>
              <w:ind w:left="240"/>
              <w:rPr>
                <w:sz w:val="16"/>
              </w:rPr>
            </w:pPr>
            <w:r>
              <w:rPr>
                <w:spacing w:val="-10"/>
                <w:w w:val="105"/>
                <w:sz w:val="16"/>
              </w:rPr>
              <w:t>8</w:t>
            </w:r>
          </w:p>
        </w:tc>
      </w:tr>
      <w:tr>
        <w:trPr>
          <w:trHeight w:val="203" w:hRule="atLeast"/>
        </w:trPr>
        <w:tc>
          <w:tcPr>
            <w:tcW w:w="3363" w:type="dxa"/>
          </w:tcPr>
          <w:p>
            <w:pPr>
              <w:pStyle w:val="TableParagraph"/>
              <w:spacing w:line="180" w:lineRule="exact" w:before="3"/>
              <w:rPr>
                <w:sz w:val="16"/>
              </w:rPr>
            </w:pPr>
            <w:r>
              <w:rPr>
                <w:w w:val="105"/>
                <w:sz w:val="16"/>
              </w:rPr>
              <w:t>Plan</w:t>
            </w:r>
            <w:r>
              <w:rPr>
                <w:spacing w:val="-7"/>
                <w:w w:val="105"/>
                <w:sz w:val="16"/>
              </w:rPr>
              <w:t> </w:t>
            </w:r>
            <w:r>
              <w:rPr>
                <w:spacing w:val="-2"/>
                <w:w w:val="105"/>
                <w:sz w:val="16"/>
              </w:rPr>
              <w:t>amendments</w:t>
            </w:r>
          </w:p>
        </w:tc>
        <w:tc>
          <w:tcPr>
            <w:tcW w:w="766" w:type="dxa"/>
          </w:tcPr>
          <w:p>
            <w:pPr>
              <w:pStyle w:val="TableParagraph"/>
              <w:rPr>
                <w:sz w:val="14"/>
              </w:rPr>
            </w:pPr>
          </w:p>
        </w:tc>
        <w:tc>
          <w:tcPr>
            <w:tcW w:w="536" w:type="dxa"/>
          </w:tcPr>
          <w:p>
            <w:pPr>
              <w:pStyle w:val="TableParagraph"/>
              <w:rPr>
                <w:sz w:val="14"/>
              </w:rPr>
            </w:pPr>
          </w:p>
        </w:tc>
        <w:tc>
          <w:tcPr>
            <w:tcW w:w="844" w:type="dxa"/>
          </w:tcPr>
          <w:p>
            <w:pPr>
              <w:pStyle w:val="TableParagraph"/>
              <w:rPr>
                <w:sz w:val="14"/>
              </w:rPr>
            </w:pPr>
          </w:p>
        </w:tc>
        <w:tc>
          <w:tcPr>
            <w:tcW w:w="620" w:type="dxa"/>
          </w:tcPr>
          <w:p>
            <w:pPr>
              <w:pStyle w:val="TableParagraph"/>
              <w:spacing w:line="180" w:lineRule="exact" w:before="3"/>
              <w:ind w:right="229"/>
              <w:jc w:val="right"/>
              <w:rPr>
                <w:sz w:val="16"/>
              </w:rPr>
            </w:pPr>
            <w:r>
              <w:rPr>
                <w:spacing w:val="-10"/>
                <w:w w:val="105"/>
                <w:sz w:val="16"/>
              </w:rPr>
              <w:t>1</w:t>
            </w:r>
          </w:p>
        </w:tc>
        <w:tc>
          <w:tcPr>
            <w:tcW w:w="819" w:type="dxa"/>
          </w:tcPr>
          <w:p>
            <w:pPr>
              <w:pStyle w:val="TableParagraph"/>
              <w:rPr>
                <w:sz w:val="14"/>
              </w:rPr>
            </w:pPr>
          </w:p>
        </w:tc>
        <w:tc>
          <w:tcPr>
            <w:tcW w:w="471" w:type="dxa"/>
          </w:tcPr>
          <w:p>
            <w:pPr>
              <w:pStyle w:val="TableParagraph"/>
              <w:rPr>
                <w:sz w:val="14"/>
              </w:rPr>
            </w:pPr>
          </w:p>
        </w:tc>
        <w:tc>
          <w:tcPr>
            <w:tcW w:w="906" w:type="dxa"/>
          </w:tcPr>
          <w:p>
            <w:pPr>
              <w:pStyle w:val="TableParagraph"/>
              <w:rPr>
                <w:sz w:val="14"/>
              </w:rPr>
            </w:pPr>
          </w:p>
        </w:tc>
        <w:tc>
          <w:tcPr>
            <w:tcW w:w="558" w:type="dxa"/>
          </w:tcPr>
          <w:p>
            <w:pPr>
              <w:pStyle w:val="TableParagraph"/>
              <w:rPr>
                <w:sz w:val="14"/>
              </w:rPr>
            </w:pPr>
          </w:p>
        </w:tc>
        <w:tc>
          <w:tcPr>
            <w:tcW w:w="791" w:type="dxa"/>
          </w:tcPr>
          <w:p>
            <w:pPr>
              <w:pStyle w:val="TableParagraph"/>
              <w:rPr>
                <w:sz w:val="14"/>
              </w:rPr>
            </w:pPr>
          </w:p>
        </w:tc>
        <w:tc>
          <w:tcPr>
            <w:tcW w:w="498" w:type="dxa"/>
          </w:tcPr>
          <w:p>
            <w:pPr>
              <w:pStyle w:val="TableParagraph"/>
              <w:rPr>
                <w:sz w:val="14"/>
              </w:rPr>
            </w:pPr>
          </w:p>
        </w:tc>
        <w:tc>
          <w:tcPr>
            <w:tcW w:w="906" w:type="dxa"/>
          </w:tcPr>
          <w:p>
            <w:pPr>
              <w:pStyle w:val="TableParagraph"/>
              <w:rPr>
                <w:sz w:val="14"/>
              </w:rPr>
            </w:pPr>
          </w:p>
        </w:tc>
        <w:tc>
          <w:tcPr>
            <w:tcW w:w="443" w:type="dxa"/>
          </w:tcPr>
          <w:p>
            <w:pPr>
              <w:pStyle w:val="TableParagraph"/>
              <w:rPr>
                <w:sz w:val="14"/>
              </w:rPr>
            </w:pPr>
          </w:p>
        </w:tc>
      </w:tr>
      <w:tr>
        <w:trPr>
          <w:trHeight w:val="203" w:hRule="atLeast"/>
        </w:trPr>
        <w:tc>
          <w:tcPr>
            <w:tcW w:w="3363" w:type="dxa"/>
            <w:shd w:val="clear" w:color="auto" w:fill="CCEDFF"/>
          </w:tcPr>
          <w:p>
            <w:pPr>
              <w:pStyle w:val="TableParagraph"/>
              <w:spacing w:line="180" w:lineRule="exact" w:before="3"/>
              <w:rPr>
                <w:sz w:val="16"/>
              </w:rPr>
            </w:pPr>
            <w:r>
              <w:rPr>
                <w:sz w:val="16"/>
              </w:rPr>
              <w:t>Actuarial</w:t>
            </w:r>
            <w:r>
              <w:rPr>
                <w:spacing w:val="15"/>
                <w:sz w:val="16"/>
              </w:rPr>
              <w:t> </w:t>
            </w:r>
            <w:r>
              <w:rPr>
                <w:sz w:val="16"/>
              </w:rPr>
              <w:t>(gain)</w:t>
            </w:r>
            <w:r>
              <w:rPr>
                <w:spacing w:val="16"/>
                <w:sz w:val="16"/>
              </w:rPr>
              <w:t> </w:t>
            </w:r>
            <w:r>
              <w:rPr>
                <w:spacing w:val="-4"/>
                <w:sz w:val="16"/>
              </w:rPr>
              <w:t>loss</w:t>
            </w:r>
          </w:p>
        </w:tc>
        <w:tc>
          <w:tcPr>
            <w:tcW w:w="766" w:type="dxa"/>
            <w:shd w:val="clear" w:color="auto" w:fill="CCEDFF"/>
          </w:tcPr>
          <w:p>
            <w:pPr>
              <w:pStyle w:val="TableParagraph"/>
              <w:rPr>
                <w:sz w:val="14"/>
              </w:rPr>
            </w:pPr>
          </w:p>
        </w:tc>
        <w:tc>
          <w:tcPr>
            <w:tcW w:w="536" w:type="dxa"/>
            <w:shd w:val="clear" w:color="auto" w:fill="CCEDFF"/>
          </w:tcPr>
          <w:p>
            <w:pPr>
              <w:pStyle w:val="TableParagraph"/>
              <w:spacing w:line="180" w:lineRule="exact" w:before="3"/>
              <w:ind w:left="1"/>
              <w:jc w:val="center"/>
              <w:rPr>
                <w:b/>
                <w:sz w:val="16"/>
              </w:rPr>
            </w:pPr>
            <w:r>
              <w:rPr>
                <w:b/>
                <w:spacing w:val="-2"/>
                <w:w w:val="105"/>
                <w:sz w:val="16"/>
              </w:rPr>
              <w:t>(107)</w:t>
            </w:r>
          </w:p>
        </w:tc>
        <w:tc>
          <w:tcPr>
            <w:tcW w:w="844" w:type="dxa"/>
            <w:shd w:val="clear" w:color="auto" w:fill="CCEDFF"/>
          </w:tcPr>
          <w:p>
            <w:pPr>
              <w:pStyle w:val="TableParagraph"/>
              <w:rPr>
                <w:sz w:val="14"/>
              </w:rPr>
            </w:pPr>
          </w:p>
        </w:tc>
        <w:tc>
          <w:tcPr>
            <w:tcW w:w="620" w:type="dxa"/>
            <w:shd w:val="clear" w:color="auto" w:fill="CCEDFF"/>
          </w:tcPr>
          <w:p>
            <w:pPr>
              <w:pStyle w:val="TableParagraph"/>
              <w:spacing w:line="180" w:lineRule="exact" w:before="3"/>
              <w:ind w:right="229"/>
              <w:jc w:val="right"/>
              <w:rPr>
                <w:sz w:val="16"/>
              </w:rPr>
            </w:pPr>
            <w:r>
              <w:rPr>
                <w:spacing w:val="-5"/>
                <w:w w:val="105"/>
                <w:sz w:val="16"/>
              </w:rPr>
              <w:t>329</w:t>
            </w:r>
          </w:p>
        </w:tc>
        <w:tc>
          <w:tcPr>
            <w:tcW w:w="819" w:type="dxa"/>
            <w:shd w:val="clear" w:color="auto" w:fill="CCEDFF"/>
          </w:tcPr>
          <w:p>
            <w:pPr>
              <w:pStyle w:val="TableParagraph"/>
              <w:rPr>
                <w:sz w:val="14"/>
              </w:rPr>
            </w:pPr>
          </w:p>
        </w:tc>
        <w:tc>
          <w:tcPr>
            <w:tcW w:w="471" w:type="dxa"/>
            <w:shd w:val="clear" w:color="auto" w:fill="CCEDFF"/>
          </w:tcPr>
          <w:p>
            <w:pPr>
              <w:pStyle w:val="TableParagraph"/>
              <w:spacing w:line="180" w:lineRule="exact" w:before="3"/>
              <w:ind w:left="14"/>
              <w:jc w:val="center"/>
              <w:rPr>
                <w:b/>
                <w:sz w:val="16"/>
              </w:rPr>
            </w:pPr>
            <w:r>
              <w:rPr>
                <w:b/>
                <w:spacing w:val="-4"/>
                <w:w w:val="105"/>
                <w:sz w:val="16"/>
              </w:rPr>
              <w:t>(17)</w:t>
            </w:r>
          </w:p>
        </w:tc>
        <w:tc>
          <w:tcPr>
            <w:tcW w:w="906" w:type="dxa"/>
            <w:shd w:val="clear" w:color="auto" w:fill="CCEDFF"/>
          </w:tcPr>
          <w:p>
            <w:pPr>
              <w:pStyle w:val="TableParagraph"/>
              <w:rPr>
                <w:sz w:val="14"/>
              </w:rPr>
            </w:pPr>
          </w:p>
        </w:tc>
        <w:tc>
          <w:tcPr>
            <w:tcW w:w="558" w:type="dxa"/>
            <w:shd w:val="clear" w:color="auto" w:fill="CCEDFF"/>
          </w:tcPr>
          <w:p>
            <w:pPr>
              <w:pStyle w:val="TableParagraph"/>
              <w:spacing w:line="180" w:lineRule="exact" w:before="3"/>
              <w:ind w:right="72"/>
              <w:jc w:val="center"/>
              <w:rPr>
                <w:sz w:val="16"/>
              </w:rPr>
            </w:pPr>
            <w:r>
              <w:rPr>
                <w:spacing w:val="-5"/>
                <w:w w:val="105"/>
                <w:sz w:val="16"/>
              </w:rPr>
              <w:t>29</w:t>
            </w:r>
          </w:p>
        </w:tc>
        <w:tc>
          <w:tcPr>
            <w:tcW w:w="791" w:type="dxa"/>
            <w:shd w:val="clear" w:color="auto" w:fill="CCEDFF"/>
          </w:tcPr>
          <w:p>
            <w:pPr>
              <w:pStyle w:val="TableParagraph"/>
              <w:rPr>
                <w:sz w:val="14"/>
              </w:rPr>
            </w:pPr>
          </w:p>
        </w:tc>
        <w:tc>
          <w:tcPr>
            <w:tcW w:w="498" w:type="dxa"/>
            <w:shd w:val="clear" w:color="auto" w:fill="CCEDFF"/>
          </w:tcPr>
          <w:p>
            <w:pPr>
              <w:pStyle w:val="TableParagraph"/>
              <w:spacing w:line="180" w:lineRule="exact" w:before="3"/>
              <w:ind w:right="89"/>
              <w:jc w:val="right"/>
              <w:rPr>
                <w:b/>
                <w:sz w:val="16"/>
              </w:rPr>
            </w:pPr>
            <w:r>
              <w:rPr>
                <w:b/>
                <w:spacing w:val="-2"/>
                <w:w w:val="105"/>
                <w:sz w:val="16"/>
              </w:rPr>
              <w:t>(105)</w:t>
            </w:r>
          </w:p>
        </w:tc>
        <w:tc>
          <w:tcPr>
            <w:tcW w:w="906" w:type="dxa"/>
            <w:shd w:val="clear" w:color="auto" w:fill="CCEDFF"/>
          </w:tcPr>
          <w:p>
            <w:pPr>
              <w:pStyle w:val="TableParagraph"/>
              <w:rPr>
                <w:sz w:val="14"/>
              </w:rPr>
            </w:pPr>
          </w:p>
        </w:tc>
        <w:tc>
          <w:tcPr>
            <w:tcW w:w="443" w:type="dxa"/>
            <w:shd w:val="clear" w:color="auto" w:fill="CCEDFF"/>
          </w:tcPr>
          <w:p>
            <w:pPr>
              <w:pStyle w:val="TableParagraph"/>
              <w:spacing w:line="180" w:lineRule="exact" w:before="3"/>
              <w:ind w:left="157"/>
              <w:rPr>
                <w:sz w:val="16"/>
              </w:rPr>
            </w:pPr>
            <w:r>
              <w:rPr>
                <w:spacing w:val="-5"/>
                <w:w w:val="105"/>
                <w:sz w:val="16"/>
              </w:rPr>
              <w:t>58</w:t>
            </w:r>
          </w:p>
        </w:tc>
      </w:tr>
      <w:tr>
        <w:trPr>
          <w:trHeight w:val="203" w:hRule="atLeast"/>
        </w:trPr>
        <w:tc>
          <w:tcPr>
            <w:tcW w:w="3363" w:type="dxa"/>
          </w:tcPr>
          <w:p>
            <w:pPr>
              <w:pStyle w:val="TableParagraph"/>
              <w:spacing w:line="180" w:lineRule="exact" w:before="3"/>
              <w:rPr>
                <w:sz w:val="16"/>
              </w:rPr>
            </w:pPr>
            <w:r>
              <w:rPr>
                <w:spacing w:val="-2"/>
                <w:w w:val="105"/>
                <w:sz w:val="16"/>
              </w:rPr>
              <w:t>Other</w:t>
            </w:r>
          </w:p>
        </w:tc>
        <w:tc>
          <w:tcPr>
            <w:tcW w:w="766" w:type="dxa"/>
          </w:tcPr>
          <w:p>
            <w:pPr>
              <w:pStyle w:val="TableParagraph"/>
              <w:rPr>
                <w:sz w:val="14"/>
              </w:rPr>
            </w:pPr>
          </w:p>
        </w:tc>
        <w:tc>
          <w:tcPr>
            <w:tcW w:w="536" w:type="dxa"/>
          </w:tcPr>
          <w:p>
            <w:pPr>
              <w:pStyle w:val="TableParagraph"/>
              <w:rPr>
                <w:sz w:val="14"/>
              </w:rPr>
            </w:pPr>
          </w:p>
        </w:tc>
        <w:tc>
          <w:tcPr>
            <w:tcW w:w="844" w:type="dxa"/>
          </w:tcPr>
          <w:p>
            <w:pPr>
              <w:pStyle w:val="TableParagraph"/>
              <w:rPr>
                <w:sz w:val="14"/>
              </w:rPr>
            </w:pPr>
          </w:p>
        </w:tc>
        <w:tc>
          <w:tcPr>
            <w:tcW w:w="620" w:type="dxa"/>
          </w:tcPr>
          <w:p>
            <w:pPr>
              <w:pStyle w:val="TableParagraph"/>
              <w:spacing w:line="180" w:lineRule="exact" w:before="3"/>
              <w:ind w:right="229"/>
              <w:jc w:val="right"/>
              <w:rPr>
                <w:sz w:val="16"/>
              </w:rPr>
            </w:pPr>
            <w:r>
              <w:rPr>
                <w:spacing w:val="-10"/>
                <w:w w:val="105"/>
                <w:sz w:val="16"/>
              </w:rPr>
              <w:t>8</w:t>
            </w:r>
          </w:p>
        </w:tc>
        <w:tc>
          <w:tcPr>
            <w:tcW w:w="819" w:type="dxa"/>
          </w:tcPr>
          <w:p>
            <w:pPr>
              <w:pStyle w:val="TableParagraph"/>
              <w:rPr>
                <w:sz w:val="14"/>
              </w:rPr>
            </w:pPr>
          </w:p>
        </w:tc>
        <w:tc>
          <w:tcPr>
            <w:tcW w:w="471" w:type="dxa"/>
          </w:tcPr>
          <w:p>
            <w:pPr>
              <w:pStyle w:val="TableParagraph"/>
              <w:spacing w:line="180" w:lineRule="exact" w:before="3"/>
              <w:ind w:left="163" w:right="66"/>
              <w:jc w:val="center"/>
              <w:rPr>
                <w:b/>
                <w:sz w:val="16"/>
              </w:rPr>
            </w:pPr>
            <w:r>
              <w:rPr>
                <w:b/>
                <w:spacing w:val="-5"/>
                <w:w w:val="105"/>
                <w:sz w:val="16"/>
              </w:rPr>
              <w:t>(2)</w:t>
            </w:r>
          </w:p>
        </w:tc>
        <w:tc>
          <w:tcPr>
            <w:tcW w:w="906" w:type="dxa"/>
          </w:tcPr>
          <w:p>
            <w:pPr>
              <w:pStyle w:val="TableParagraph"/>
              <w:rPr>
                <w:sz w:val="14"/>
              </w:rPr>
            </w:pPr>
          </w:p>
        </w:tc>
        <w:tc>
          <w:tcPr>
            <w:tcW w:w="558" w:type="dxa"/>
          </w:tcPr>
          <w:p>
            <w:pPr>
              <w:pStyle w:val="TableParagraph"/>
              <w:spacing w:line="180" w:lineRule="exact" w:before="3"/>
              <w:ind w:right="73"/>
              <w:jc w:val="center"/>
              <w:rPr>
                <w:sz w:val="16"/>
              </w:rPr>
            </w:pPr>
            <w:r>
              <w:rPr>
                <w:spacing w:val="-4"/>
                <w:w w:val="105"/>
                <w:sz w:val="16"/>
              </w:rPr>
              <w:t>(37)</w:t>
            </w:r>
          </w:p>
        </w:tc>
        <w:tc>
          <w:tcPr>
            <w:tcW w:w="791" w:type="dxa"/>
          </w:tcPr>
          <w:p>
            <w:pPr>
              <w:pStyle w:val="TableParagraph"/>
              <w:rPr>
                <w:sz w:val="14"/>
              </w:rPr>
            </w:pPr>
          </w:p>
        </w:tc>
        <w:tc>
          <w:tcPr>
            <w:tcW w:w="498" w:type="dxa"/>
          </w:tcPr>
          <w:p>
            <w:pPr>
              <w:pStyle w:val="TableParagraph"/>
              <w:rPr>
                <w:sz w:val="14"/>
              </w:rPr>
            </w:pPr>
          </w:p>
        </w:tc>
        <w:tc>
          <w:tcPr>
            <w:tcW w:w="906" w:type="dxa"/>
          </w:tcPr>
          <w:p>
            <w:pPr>
              <w:pStyle w:val="TableParagraph"/>
              <w:rPr>
                <w:sz w:val="14"/>
              </w:rPr>
            </w:pPr>
          </w:p>
        </w:tc>
        <w:tc>
          <w:tcPr>
            <w:tcW w:w="443" w:type="dxa"/>
          </w:tcPr>
          <w:p>
            <w:pPr>
              <w:pStyle w:val="TableParagraph"/>
              <w:spacing w:line="180" w:lineRule="exact" w:before="3"/>
              <w:ind w:left="240"/>
              <w:rPr>
                <w:sz w:val="16"/>
              </w:rPr>
            </w:pPr>
            <w:r>
              <w:rPr>
                <w:spacing w:val="-10"/>
                <w:w w:val="105"/>
                <w:sz w:val="16"/>
              </w:rPr>
              <w:t>2</w:t>
            </w:r>
          </w:p>
        </w:tc>
      </w:tr>
      <w:tr>
        <w:trPr>
          <w:trHeight w:val="203" w:hRule="atLeast"/>
        </w:trPr>
        <w:tc>
          <w:tcPr>
            <w:tcW w:w="3363" w:type="dxa"/>
            <w:shd w:val="clear" w:color="auto" w:fill="CCEDFF"/>
          </w:tcPr>
          <w:p>
            <w:pPr>
              <w:pStyle w:val="TableParagraph"/>
              <w:spacing w:line="180" w:lineRule="exact" w:before="3"/>
              <w:rPr>
                <w:sz w:val="16"/>
              </w:rPr>
            </w:pPr>
            <w:r>
              <w:rPr>
                <w:sz w:val="16"/>
              </w:rPr>
              <w:t>Benefits</w:t>
            </w:r>
            <w:r>
              <w:rPr>
                <w:spacing w:val="8"/>
                <w:sz w:val="16"/>
              </w:rPr>
              <w:t> </w:t>
            </w:r>
            <w:r>
              <w:rPr>
                <w:spacing w:val="-4"/>
                <w:sz w:val="16"/>
              </w:rPr>
              <w:t>paid</w:t>
            </w:r>
          </w:p>
        </w:tc>
        <w:tc>
          <w:tcPr>
            <w:tcW w:w="766" w:type="dxa"/>
            <w:shd w:val="clear" w:color="auto" w:fill="CCEDFF"/>
          </w:tcPr>
          <w:p>
            <w:pPr>
              <w:pStyle w:val="TableParagraph"/>
              <w:rPr>
                <w:sz w:val="14"/>
              </w:rPr>
            </w:pPr>
          </w:p>
        </w:tc>
        <w:tc>
          <w:tcPr>
            <w:tcW w:w="536" w:type="dxa"/>
            <w:shd w:val="clear" w:color="auto" w:fill="CCEDFF"/>
          </w:tcPr>
          <w:p>
            <w:pPr>
              <w:pStyle w:val="TableParagraph"/>
              <w:spacing w:line="180" w:lineRule="exact" w:before="3"/>
              <w:ind w:left="1"/>
              <w:jc w:val="center"/>
              <w:rPr>
                <w:b/>
                <w:sz w:val="16"/>
              </w:rPr>
            </w:pPr>
            <w:r>
              <w:rPr>
                <w:b/>
                <w:spacing w:val="-2"/>
                <w:w w:val="105"/>
                <w:sz w:val="16"/>
              </w:rPr>
              <w:t>(201)</w:t>
            </w:r>
          </w:p>
        </w:tc>
        <w:tc>
          <w:tcPr>
            <w:tcW w:w="844" w:type="dxa"/>
            <w:shd w:val="clear" w:color="auto" w:fill="CCEDFF"/>
          </w:tcPr>
          <w:p>
            <w:pPr>
              <w:pStyle w:val="TableParagraph"/>
              <w:rPr>
                <w:sz w:val="14"/>
              </w:rPr>
            </w:pPr>
          </w:p>
        </w:tc>
        <w:tc>
          <w:tcPr>
            <w:tcW w:w="620" w:type="dxa"/>
            <w:shd w:val="clear" w:color="auto" w:fill="CCEDFF"/>
          </w:tcPr>
          <w:p>
            <w:pPr>
              <w:pStyle w:val="TableParagraph"/>
              <w:spacing w:line="180" w:lineRule="exact" w:before="3"/>
              <w:ind w:right="173"/>
              <w:jc w:val="right"/>
              <w:rPr>
                <w:sz w:val="16"/>
              </w:rPr>
            </w:pPr>
            <w:r>
              <w:rPr>
                <w:spacing w:val="-2"/>
                <w:w w:val="105"/>
                <w:sz w:val="16"/>
              </w:rPr>
              <w:t>(194)</w:t>
            </w:r>
          </w:p>
        </w:tc>
        <w:tc>
          <w:tcPr>
            <w:tcW w:w="819" w:type="dxa"/>
            <w:shd w:val="clear" w:color="auto" w:fill="CCEDFF"/>
          </w:tcPr>
          <w:p>
            <w:pPr>
              <w:pStyle w:val="TableParagraph"/>
              <w:rPr>
                <w:sz w:val="14"/>
              </w:rPr>
            </w:pPr>
          </w:p>
        </w:tc>
        <w:tc>
          <w:tcPr>
            <w:tcW w:w="471" w:type="dxa"/>
            <w:shd w:val="clear" w:color="auto" w:fill="CCEDFF"/>
          </w:tcPr>
          <w:p>
            <w:pPr>
              <w:pStyle w:val="TableParagraph"/>
              <w:spacing w:line="180" w:lineRule="exact" w:before="3"/>
              <w:ind w:left="14"/>
              <w:jc w:val="center"/>
              <w:rPr>
                <w:b/>
                <w:sz w:val="16"/>
              </w:rPr>
            </w:pPr>
            <w:r>
              <w:rPr>
                <w:b/>
                <w:spacing w:val="-4"/>
                <w:w w:val="105"/>
                <w:sz w:val="16"/>
              </w:rPr>
              <w:t>(26)</w:t>
            </w:r>
          </w:p>
        </w:tc>
        <w:tc>
          <w:tcPr>
            <w:tcW w:w="906" w:type="dxa"/>
            <w:shd w:val="clear" w:color="auto" w:fill="CCEDFF"/>
          </w:tcPr>
          <w:p>
            <w:pPr>
              <w:pStyle w:val="TableParagraph"/>
              <w:rPr>
                <w:sz w:val="14"/>
              </w:rPr>
            </w:pPr>
          </w:p>
        </w:tc>
        <w:tc>
          <w:tcPr>
            <w:tcW w:w="558" w:type="dxa"/>
            <w:shd w:val="clear" w:color="auto" w:fill="CCEDFF"/>
          </w:tcPr>
          <w:p>
            <w:pPr>
              <w:pStyle w:val="TableParagraph"/>
              <w:spacing w:line="180" w:lineRule="exact" w:before="3"/>
              <w:ind w:right="73"/>
              <w:jc w:val="center"/>
              <w:rPr>
                <w:sz w:val="16"/>
              </w:rPr>
            </w:pPr>
            <w:r>
              <w:rPr>
                <w:spacing w:val="-4"/>
                <w:w w:val="105"/>
                <w:sz w:val="16"/>
              </w:rPr>
              <w:t>(19)</w:t>
            </w:r>
          </w:p>
        </w:tc>
        <w:tc>
          <w:tcPr>
            <w:tcW w:w="791" w:type="dxa"/>
            <w:shd w:val="clear" w:color="auto" w:fill="CCEDFF"/>
          </w:tcPr>
          <w:p>
            <w:pPr>
              <w:pStyle w:val="TableParagraph"/>
              <w:rPr>
                <w:sz w:val="14"/>
              </w:rPr>
            </w:pPr>
          </w:p>
        </w:tc>
        <w:tc>
          <w:tcPr>
            <w:tcW w:w="498" w:type="dxa"/>
            <w:shd w:val="clear" w:color="auto" w:fill="CCEDFF"/>
          </w:tcPr>
          <w:p>
            <w:pPr>
              <w:pStyle w:val="TableParagraph"/>
              <w:spacing w:line="180" w:lineRule="exact" w:before="3"/>
              <w:ind w:right="89"/>
              <w:jc w:val="right"/>
              <w:rPr>
                <w:b/>
                <w:sz w:val="16"/>
              </w:rPr>
            </w:pPr>
            <w:r>
              <w:rPr>
                <w:b/>
                <w:spacing w:val="-4"/>
                <w:w w:val="105"/>
                <w:sz w:val="16"/>
              </w:rPr>
              <w:t>(37)</w:t>
            </w:r>
          </w:p>
        </w:tc>
        <w:tc>
          <w:tcPr>
            <w:tcW w:w="906" w:type="dxa"/>
            <w:shd w:val="clear" w:color="auto" w:fill="CCEDFF"/>
          </w:tcPr>
          <w:p>
            <w:pPr>
              <w:pStyle w:val="TableParagraph"/>
              <w:rPr>
                <w:sz w:val="14"/>
              </w:rPr>
            </w:pPr>
          </w:p>
        </w:tc>
        <w:tc>
          <w:tcPr>
            <w:tcW w:w="443" w:type="dxa"/>
            <w:shd w:val="clear" w:color="auto" w:fill="CCEDFF"/>
          </w:tcPr>
          <w:p>
            <w:pPr>
              <w:pStyle w:val="TableParagraph"/>
              <w:spacing w:line="180" w:lineRule="exact" w:before="3"/>
              <w:ind w:left="101"/>
              <w:rPr>
                <w:sz w:val="16"/>
              </w:rPr>
            </w:pPr>
            <w:r>
              <w:rPr>
                <w:spacing w:val="-4"/>
                <w:w w:val="105"/>
                <w:sz w:val="16"/>
              </w:rPr>
              <w:t>(38)</w:t>
            </w:r>
          </w:p>
        </w:tc>
      </w:tr>
      <w:tr>
        <w:trPr>
          <w:trHeight w:val="202" w:hRule="atLeast"/>
        </w:trPr>
        <w:tc>
          <w:tcPr>
            <w:tcW w:w="3363" w:type="dxa"/>
            <w:tcBorders>
              <w:bottom w:val="single" w:sz="6" w:space="0" w:color="000000"/>
            </w:tcBorders>
          </w:tcPr>
          <w:p>
            <w:pPr>
              <w:pStyle w:val="TableParagraph"/>
              <w:spacing w:line="179" w:lineRule="exact" w:before="3"/>
              <w:rPr>
                <w:sz w:val="16"/>
              </w:rPr>
            </w:pPr>
            <w:r>
              <w:rPr>
                <w:sz w:val="16"/>
              </w:rPr>
              <w:t>Foreign</w:t>
            </w:r>
            <w:r>
              <w:rPr>
                <w:spacing w:val="16"/>
                <w:sz w:val="16"/>
              </w:rPr>
              <w:t> </w:t>
            </w:r>
            <w:r>
              <w:rPr>
                <w:sz w:val="16"/>
              </w:rPr>
              <w:t>currency</w:t>
            </w:r>
            <w:r>
              <w:rPr>
                <w:spacing w:val="17"/>
                <w:sz w:val="16"/>
              </w:rPr>
              <w:t> </w:t>
            </w:r>
            <w:r>
              <w:rPr>
                <w:spacing w:val="-2"/>
                <w:sz w:val="16"/>
              </w:rPr>
              <w:t>translation</w:t>
            </w:r>
          </w:p>
        </w:tc>
        <w:tc>
          <w:tcPr>
            <w:tcW w:w="766" w:type="dxa"/>
            <w:tcBorders>
              <w:bottom w:val="single" w:sz="6" w:space="0" w:color="000000"/>
            </w:tcBorders>
          </w:tcPr>
          <w:p>
            <w:pPr>
              <w:pStyle w:val="TableParagraph"/>
              <w:rPr>
                <w:sz w:val="14"/>
              </w:rPr>
            </w:pPr>
          </w:p>
        </w:tc>
        <w:tc>
          <w:tcPr>
            <w:tcW w:w="536" w:type="dxa"/>
            <w:tcBorders>
              <w:bottom w:val="single" w:sz="6" w:space="0" w:color="000000"/>
            </w:tcBorders>
          </w:tcPr>
          <w:p>
            <w:pPr>
              <w:pStyle w:val="TableParagraph"/>
              <w:rPr>
                <w:sz w:val="14"/>
              </w:rPr>
            </w:pPr>
          </w:p>
        </w:tc>
        <w:tc>
          <w:tcPr>
            <w:tcW w:w="844" w:type="dxa"/>
            <w:tcBorders>
              <w:bottom w:val="single" w:sz="6" w:space="0" w:color="000000"/>
            </w:tcBorders>
          </w:tcPr>
          <w:p>
            <w:pPr>
              <w:pStyle w:val="TableParagraph"/>
              <w:rPr>
                <w:sz w:val="14"/>
              </w:rPr>
            </w:pPr>
          </w:p>
        </w:tc>
        <w:tc>
          <w:tcPr>
            <w:tcW w:w="620" w:type="dxa"/>
            <w:tcBorders>
              <w:bottom w:val="single" w:sz="6" w:space="0" w:color="000000"/>
            </w:tcBorders>
          </w:tcPr>
          <w:p>
            <w:pPr>
              <w:pStyle w:val="TableParagraph"/>
              <w:rPr>
                <w:sz w:val="14"/>
              </w:rPr>
            </w:pPr>
          </w:p>
        </w:tc>
        <w:tc>
          <w:tcPr>
            <w:tcW w:w="819" w:type="dxa"/>
            <w:tcBorders>
              <w:bottom w:val="single" w:sz="6" w:space="0" w:color="000000"/>
            </w:tcBorders>
          </w:tcPr>
          <w:p>
            <w:pPr>
              <w:pStyle w:val="TableParagraph"/>
              <w:rPr>
                <w:sz w:val="14"/>
              </w:rPr>
            </w:pPr>
          </w:p>
        </w:tc>
        <w:tc>
          <w:tcPr>
            <w:tcW w:w="471" w:type="dxa"/>
            <w:tcBorders>
              <w:bottom w:val="single" w:sz="6" w:space="0" w:color="000000"/>
            </w:tcBorders>
          </w:tcPr>
          <w:p>
            <w:pPr>
              <w:pStyle w:val="TableParagraph"/>
              <w:spacing w:line="179" w:lineRule="exact" w:before="3"/>
              <w:ind w:left="14"/>
              <w:jc w:val="center"/>
              <w:rPr>
                <w:b/>
                <w:sz w:val="16"/>
              </w:rPr>
            </w:pPr>
            <w:r>
              <w:rPr>
                <w:b/>
                <w:spacing w:val="-4"/>
                <w:w w:val="105"/>
                <w:sz w:val="16"/>
              </w:rPr>
              <w:t>(32)</w:t>
            </w:r>
          </w:p>
        </w:tc>
        <w:tc>
          <w:tcPr>
            <w:tcW w:w="906" w:type="dxa"/>
            <w:tcBorders>
              <w:bottom w:val="single" w:sz="6" w:space="0" w:color="000000"/>
            </w:tcBorders>
          </w:tcPr>
          <w:p>
            <w:pPr>
              <w:pStyle w:val="TableParagraph"/>
              <w:rPr>
                <w:sz w:val="14"/>
              </w:rPr>
            </w:pPr>
          </w:p>
        </w:tc>
        <w:tc>
          <w:tcPr>
            <w:tcW w:w="558" w:type="dxa"/>
            <w:tcBorders>
              <w:bottom w:val="single" w:sz="6" w:space="0" w:color="000000"/>
            </w:tcBorders>
          </w:tcPr>
          <w:p>
            <w:pPr>
              <w:pStyle w:val="TableParagraph"/>
              <w:spacing w:line="179" w:lineRule="exact" w:before="3"/>
              <w:ind w:right="72"/>
              <w:jc w:val="center"/>
              <w:rPr>
                <w:sz w:val="16"/>
              </w:rPr>
            </w:pPr>
            <w:r>
              <w:rPr>
                <w:spacing w:val="-5"/>
                <w:w w:val="105"/>
                <w:sz w:val="16"/>
              </w:rPr>
              <w:t>42</w:t>
            </w:r>
          </w:p>
        </w:tc>
        <w:tc>
          <w:tcPr>
            <w:tcW w:w="791" w:type="dxa"/>
            <w:tcBorders>
              <w:bottom w:val="single" w:sz="6" w:space="0" w:color="000000"/>
            </w:tcBorders>
          </w:tcPr>
          <w:p>
            <w:pPr>
              <w:pStyle w:val="TableParagraph"/>
              <w:rPr>
                <w:sz w:val="14"/>
              </w:rPr>
            </w:pPr>
          </w:p>
        </w:tc>
        <w:tc>
          <w:tcPr>
            <w:tcW w:w="498" w:type="dxa"/>
            <w:tcBorders>
              <w:bottom w:val="single" w:sz="6" w:space="0" w:color="000000"/>
            </w:tcBorders>
          </w:tcPr>
          <w:p>
            <w:pPr>
              <w:pStyle w:val="TableParagraph"/>
              <w:rPr>
                <w:sz w:val="14"/>
              </w:rPr>
            </w:pPr>
          </w:p>
        </w:tc>
        <w:tc>
          <w:tcPr>
            <w:tcW w:w="906" w:type="dxa"/>
            <w:tcBorders>
              <w:bottom w:val="single" w:sz="6" w:space="0" w:color="000000"/>
            </w:tcBorders>
          </w:tcPr>
          <w:p>
            <w:pPr>
              <w:pStyle w:val="TableParagraph"/>
              <w:rPr>
                <w:sz w:val="14"/>
              </w:rPr>
            </w:pPr>
          </w:p>
        </w:tc>
        <w:tc>
          <w:tcPr>
            <w:tcW w:w="443" w:type="dxa"/>
            <w:tcBorders>
              <w:bottom w:val="single" w:sz="6" w:space="0" w:color="000000"/>
            </w:tcBorders>
          </w:tcPr>
          <w:p>
            <w:pPr>
              <w:pStyle w:val="TableParagraph"/>
              <w:rPr>
                <w:sz w:val="14"/>
              </w:rPr>
            </w:pPr>
          </w:p>
        </w:tc>
      </w:tr>
      <w:tr>
        <w:trPr>
          <w:trHeight w:val="199" w:hRule="atLeast"/>
        </w:trPr>
        <w:tc>
          <w:tcPr>
            <w:tcW w:w="3363"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Benefit</w:t>
            </w:r>
            <w:r>
              <w:rPr>
                <w:spacing w:val="-7"/>
                <w:w w:val="105"/>
                <w:sz w:val="16"/>
              </w:rPr>
              <w:t> </w:t>
            </w:r>
            <w:r>
              <w:rPr>
                <w:w w:val="105"/>
                <w:sz w:val="16"/>
              </w:rPr>
              <w:t>obligation</w:t>
            </w:r>
            <w:r>
              <w:rPr>
                <w:spacing w:val="-7"/>
                <w:w w:val="105"/>
                <w:sz w:val="16"/>
              </w:rPr>
              <w:t> </w:t>
            </w:r>
            <w:r>
              <w:rPr>
                <w:w w:val="105"/>
                <w:sz w:val="16"/>
              </w:rPr>
              <w:t>at</w:t>
            </w:r>
            <w:r>
              <w:rPr>
                <w:spacing w:val="-7"/>
                <w:w w:val="105"/>
                <w:sz w:val="16"/>
              </w:rPr>
              <w:t> </w:t>
            </w:r>
            <w:r>
              <w:rPr>
                <w:w w:val="105"/>
                <w:sz w:val="16"/>
              </w:rPr>
              <w:t>end</w:t>
            </w:r>
            <w:r>
              <w:rPr>
                <w:spacing w:val="-7"/>
                <w:w w:val="105"/>
                <w:sz w:val="16"/>
              </w:rPr>
              <w:t> </w:t>
            </w:r>
            <w:r>
              <w:rPr>
                <w:w w:val="105"/>
                <w:sz w:val="16"/>
              </w:rPr>
              <w:t>of</w:t>
            </w:r>
            <w:r>
              <w:rPr>
                <w:spacing w:val="-7"/>
                <w:w w:val="105"/>
                <w:sz w:val="16"/>
              </w:rPr>
              <w:t> </w:t>
            </w:r>
            <w:r>
              <w:rPr>
                <w:spacing w:val="-4"/>
                <w:w w:val="105"/>
                <w:sz w:val="16"/>
              </w:rPr>
              <w:t>year</w:t>
            </w:r>
          </w:p>
        </w:tc>
        <w:tc>
          <w:tcPr>
            <w:tcW w:w="766" w:type="dxa"/>
            <w:tcBorders>
              <w:top w:val="single" w:sz="6" w:space="0" w:color="000000"/>
              <w:bottom w:val="double" w:sz="6" w:space="0" w:color="000000"/>
            </w:tcBorders>
            <w:shd w:val="clear" w:color="auto" w:fill="CCEDFF"/>
          </w:tcPr>
          <w:p>
            <w:pPr>
              <w:pStyle w:val="TableParagraph"/>
              <w:spacing w:line="177" w:lineRule="exact" w:before="2"/>
              <w:ind w:left="-1"/>
              <w:rPr>
                <w:b/>
                <w:sz w:val="16"/>
              </w:rPr>
            </w:pPr>
            <w:r>
              <w:rPr>
                <w:b/>
                <w:spacing w:val="-10"/>
                <w:w w:val="105"/>
                <w:sz w:val="16"/>
              </w:rPr>
              <w:t>$</w:t>
            </w:r>
          </w:p>
        </w:tc>
        <w:tc>
          <w:tcPr>
            <w:tcW w:w="536" w:type="dxa"/>
            <w:tcBorders>
              <w:top w:val="single" w:sz="6" w:space="0" w:color="000000"/>
              <w:bottom w:val="double" w:sz="6" w:space="0" w:color="000000"/>
            </w:tcBorders>
            <w:shd w:val="clear" w:color="auto" w:fill="CCEDFF"/>
          </w:tcPr>
          <w:p>
            <w:pPr>
              <w:pStyle w:val="TableParagraph"/>
              <w:spacing w:line="177" w:lineRule="exact" w:before="2"/>
              <w:ind w:left="1" w:right="121"/>
              <w:jc w:val="center"/>
              <w:rPr>
                <w:b/>
                <w:sz w:val="16"/>
              </w:rPr>
            </w:pPr>
            <w:r>
              <w:rPr>
                <w:b/>
                <w:spacing w:val="-4"/>
                <w:w w:val="105"/>
                <w:sz w:val="16"/>
              </w:rPr>
              <w:t>4,075</w:t>
            </w:r>
          </w:p>
        </w:tc>
        <w:tc>
          <w:tcPr>
            <w:tcW w:w="844" w:type="dxa"/>
            <w:tcBorders>
              <w:top w:val="single" w:sz="6" w:space="0" w:color="000000"/>
              <w:bottom w:val="double" w:sz="6" w:space="0" w:color="000000"/>
            </w:tcBorders>
            <w:shd w:val="clear" w:color="auto" w:fill="CCEDFF"/>
          </w:tcPr>
          <w:p>
            <w:pPr>
              <w:pStyle w:val="TableParagraph"/>
              <w:spacing w:line="177" w:lineRule="exact" w:before="2"/>
              <w:ind w:left="86"/>
              <w:rPr>
                <w:sz w:val="16"/>
              </w:rPr>
            </w:pPr>
            <w:r>
              <w:rPr>
                <w:spacing w:val="-10"/>
                <w:w w:val="105"/>
                <w:sz w:val="16"/>
              </w:rPr>
              <w:t>$</w:t>
            </w:r>
          </w:p>
        </w:tc>
        <w:tc>
          <w:tcPr>
            <w:tcW w:w="620" w:type="dxa"/>
            <w:tcBorders>
              <w:top w:val="single" w:sz="6" w:space="0" w:color="000000"/>
              <w:bottom w:val="double" w:sz="6" w:space="0" w:color="000000"/>
            </w:tcBorders>
            <w:shd w:val="clear" w:color="auto" w:fill="CCEDFF"/>
          </w:tcPr>
          <w:p>
            <w:pPr>
              <w:pStyle w:val="TableParagraph"/>
              <w:spacing w:line="177" w:lineRule="exact" w:before="2"/>
              <w:ind w:right="229"/>
              <w:jc w:val="right"/>
              <w:rPr>
                <w:sz w:val="16"/>
              </w:rPr>
            </w:pPr>
            <w:r>
              <w:rPr>
                <w:spacing w:val="-4"/>
                <w:w w:val="105"/>
                <w:sz w:val="16"/>
              </w:rPr>
              <w:t>4,203</w:t>
            </w:r>
          </w:p>
        </w:tc>
        <w:tc>
          <w:tcPr>
            <w:tcW w:w="819" w:type="dxa"/>
            <w:tcBorders>
              <w:top w:val="single" w:sz="6" w:space="0" w:color="000000"/>
              <w:bottom w:val="double" w:sz="6" w:space="0" w:color="000000"/>
            </w:tcBorders>
            <w:shd w:val="clear" w:color="auto" w:fill="CCEDFF"/>
          </w:tcPr>
          <w:p>
            <w:pPr>
              <w:pStyle w:val="TableParagraph"/>
              <w:spacing w:line="177" w:lineRule="exact" w:before="2"/>
              <w:ind w:left="-2"/>
              <w:rPr>
                <w:b/>
                <w:sz w:val="16"/>
              </w:rPr>
            </w:pPr>
            <w:r>
              <w:rPr>
                <w:b/>
                <w:spacing w:val="-10"/>
                <w:w w:val="105"/>
                <w:sz w:val="16"/>
              </w:rPr>
              <w:t>$</w:t>
            </w:r>
          </w:p>
        </w:tc>
        <w:tc>
          <w:tcPr>
            <w:tcW w:w="471" w:type="dxa"/>
            <w:tcBorders>
              <w:top w:val="single" w:sz="6" w:space="0" w:color="000000"/>
              <w:bottom w:val="double" w:sz="6" w:space="0" w:color="000000"/>
            </w:tcBorders>
            <w:shd w:val="clear" w:color="auto" w:fill="CCEDFF"/>
          </w:tcPr>
          <w:p>
            <w:pPr>
              <w:pStyle w:val="TableParagraph"/>
              <w:spacing w:line="177" w:lineRule="exact" w:before="2"/>
              <w:ind w:right="66"/>
              <w:jc w:val="center"/>
              <w:rPr>
                <w:b/>
                <w:sz w:val="16"/>
              </w:rPr>
            </w:pPr>
            <w:r>
              <w:rPr>
                <w:b/>
                <w:spacing w:val="-5"/>
                <w:w w:val="105"/>
                <w:sz w:val="16"/>
              </w:rPr>
              <w:t>736</w:t>
            </w:r>
          </w:p>
        </w:tc>
        <w:tc>
          <w:tcPr>
            <w:tcW w:w="906" w:type="dxa"/>
            <w:tcBorders>
              <w:top w:val="single" w:sz="6" w:space="0" w:color="000000"/>
              <w:bottom w:val="double" w:sz="6" w:space="0" w:color="000000"/>
            </w:tcBorders>
            <w:shd w:val="clear" w:color="auto" w:fill="CCEDFF"/>
          </w:tcPr>
          <w:p>
            <w:pPr>
              <w:pStyle w:val="TableParagraph"/>
              <w:spacing w:line="177" w:lineRule="exact" w:before="2"/>
              <w:ind w:left="83"/>
              <w:rPr>
                <w:sz w:val="16"/>
              </w:rPr>
            </w:pPr>
            <w:r>
              <w:rPr>
                <w:spacing w:val="-10"/>
                <w:w w:val="105"/>
                <w:sz w:val="16"/>
              </w:rPr>
              <w:t>$</w:t>
            </w:r>
          </w:p>
        </w:tc>
        <w:tc>
          <w:tcPr>
            <w:tcW w:w="558" w:type="dxa"/>
            <w:tcBorders>
              <w:top w:val="single" w:sz="6" w:space="0" w:color="000000"/>
              <w:bottom w:val="double" w:sz="6" w:space="0" w:color="000000"/>
            </w:tcBorders>
            <w:shd w:val="clear" w:color="auto" w:fill="CCEDFF"/>
          </w:tcPr>
          <w:p>
            <w:pPr>
              <w:pStyle w:val="TableParagraph"/>
              <w:spacing w:line="177" w:lineRule="exact" w:before="2"/>
              <w:ind w:right="155"/>
              <w:jc w:val="center"/>
              <w:rPr>
                <w:sz w:val="16"/>
              </w:rPr>
            </w:pPr>
            <w:r>
              <w:rPr>
                <w:spacing w:val="-5"/>
                <w:w w:val="105"/>
                <w:sz w:val="16"/>
              </w:rPr>
              <w:t>778</w:t>
            </w:r>
          </w:p>
        </w:tc>
        <w:tc>
          <w:tcPr>
            <w:tcW w:w="791" w:type="dxa"/>
            <w:tcBorders>
              <w:top w:val="single" w:sz="6" w:space="0" w:color="000000"/>
              <w:bottom w:val="double" w:sz="6" w:space="0" w:color="000000"/>
            </w:tcBorders>
            <w:shd w:val="clear" w:color="auto" w:fill="CCEDFF"/>
          </w:tcPr>
          <w:p>
            <w:pPr>
              <w:pStyle w:val="TableParagraph"/>
              <w:spacing w:line="177" w:lineRule="exact" w:before="2"/>
              <w:ind w:left="-5"/>
              <w:rPr>
                <w:b/>
                <w:sz w:val="16"/>
              </w:rPr>
            </w:pPr>
            <w:r>
              <w:rPr>
                <w:b/>
                <w:spacing w:val="-10"/>
                <w:w w:val="105"/>
                <w:sz w:val="16"/>
              </w:rPr>
              <w:t>$</w:t>
            </w:r>
          </w:p>
        </w:tc>
        <w:tc>
          <w:tcPr>
            <w:tcW w:w="498" w:type="dxa"/>
            <w:tcBorders>
              <w:top w:val="single" w:sz="6" w:space="0" w:color="000000"/>
              <w:bottom w:val="double" w:sz="6" w:space="0" w:color="000000"/>
            </w:tcBorders>
            <w:shd w:val="clear" w:color="auto" w:fill="CCEDFF"/>
          </w:tcPr>
          <w:p>
            <w:pPr>
              <w:pStyle w:val="TableParagraph"/>
              <w:spacing w:line="177" w:lineRule="exact" w:before="2"/>
              <w:ind w:right="144"/>
              <w:jc w:val="right"/>
              <w:rPr>
                <w:b/>
                <w:sz w:val="16"/>
              </w:rPr>
            </w:pPr>
            <w:r>
              <w:rPr>
                <w:b/>
                <w:spacing w:val="-5"/>
                <w:w w:val="105"/>
                <w:sz w:val="16"/>
              </w:rPr>
              <w:t>654</w:t>
            </w:r>
          </w:p>
        </w:tc>
        <w:tc>
          <w:tcPr>
            <w:tcW w:w="906" w:type="dxa"/>
            <w:tcBorders>
              <w:top w:val="single" w:sz="6" w:space="0" w:color="000000"/>
              <w:bottom w:val="double" w:sz="6" w:space="0" w:color="000000"/>
            </w:tcBorders>
            <w:shd w:val="clear" w:color="auto" w:fill="CCEDFF"/>
          </w:tcPr>
          <w:p>
            <w:pPr>
              <w:pStyle w:val="TableParagraph"/>
              <w:spacing w:line="177" w:lineRule="exact" w:before="2"/>
              <w:ind w:left="82"/>
              <w:rPr>
                <w:sz w:val="16"/>
              </w:rPr>
            </w:pPr>
            <w:r>
              <w:rPr>
                <w:spacing w:val="-10"/>
                <w:w w:val="105"/>
                <w:sz w:val="16"/>
              </w:rPr>
              <w:t>$</w:t>
            </w:r>
          </w:p>
        </w:tc>
        <w:tc>
          <w:tcPr>
            <w:tcW w:w="443" w:type="dxa"/>
            <w:tcBorders>
              <w:top w:val="single" w:sz="6" w:space="0" w:color="000000"/>
              <w:bottom w:val="double" w:sz="6" w:space="0" w:color="000000"/>
            </w:tcBorders>
            <w:shd w:val="clear" w:color="auto" w:fill="CCEDFF"/>
          </w:tcPr>
          <w:p>
            <w:pPr>
              <w:pStyle w:val="TableParagraph"/>
              <w:spacing w:line="177" w:lineRule="exact" w:before="2"/>
              <w:ind w:left="74"/>
              <w:rPr>
                <w:sz w:val="16"/>
              </w:rPr>
            </w:pPr>
            <w:r>
              <w:rPr>
                <w:spacing w:val="-5"/>
                <w:w w:val="105"/>
                <w:sz w:val="16"/>
              </w:rPr>
              <w:t>764</w:t>
            </w:r>
          </w:p>
        </w:tc>
      </w:tr>
      <w:tr>
        <w:trPr>
          <w:trHeight w:val="200" w:hRule="atLeast"/>
        </w:trPr>
        <w:tc>
          <w:tcPr>
            <w:tcW w:w="3363" w:type="dxa"/>
            <w:tcBorders>
              <w:top w:val="double" w:sz="6" w:space="0" w:color="000000"/>
            </w:tcBorders>
          </w:tcPr>
          <w:p>
            <w:pPr>
              <w:pStyle w:val="TableParagraph"/>
              <w:rPr>
                <w:sz w:val="12"/>
              </w:rPr>
            </w:pPr>
          </w:p>
        </w:tc>
        <w:tc>
          <w:tcPr>
            <w:tcW w:w="766" w:type="dxa"/>
            <w:tcBorders>
              <w:top w:val="double" w:sz="6" w:space="0" w:color="000000"/>
            </w:tcBorders>
          </w:tcPr>
          <w:p>
            <w:pPr>
              <w:pStyle w:val="TableParagraph"/>
              <w:rPr>
                <w:sz w:val="12"/>
              </w:rPr>
            </w:pPr>
          </w:p>
        </w:tc>
        <w:tc>
          <w:tcPr>
            <w:tcW w:w="536" w:type="dxa"/>
            <w:tcBorders>
              <w:top w:val="double" w:sz="6" w:space="0" w:color="000000"/>
            </w:tcBorders>
          </w:tcPr>
          <w:p>
            <w:pPr>
              <w:pStyle w:val="TableParagraph"/>
              <w:rPr>
                <w:sz w:val="12"/>
              </w:rPr>
            </w:pPr>
          </w:p>
        </w:tc>
        <w:tc>
          <w:tcPr>
            <w:tcW w:w="844" w:type="dxa"/>
            <w:tcBorders>
              <w:top w:val="double" w:sz="6" w:space="0" w:color="000000"/>
            </w:tcBorders>
          </w:tcPr>
          <w:p>
            <w:pPr>
              <w:pStyle w:val="TableParagraph"/>
              <w:rPr>
                <w:sz w:val="12"/>
              </w:rPr>
            </w:pPr>
          </w:p>
        </w:tc>
        <w:tc>
          <w:tcPr>
            <w:tcW w:w="620" w:type="dxa"/>
            <w:tcBorders>
              <w:top w:val="double" w:sz="6" w:space="0" w:color="000000"/>
            </w:tcBorders>
          </w:tcPr>
          <w:p>
            <w:pPr>
              <w:pStyle w:val="TableParagraph"/>
              <w:rPr>
                <w:sz w:val="12"/>
              </w:rPr>
            </w:pPr>
          </w:p>
        </w:tc>
        <w:tc>
          <w:tcPr>
            <w:tcW w:w="819" w:type="dxa"/>
            <w:tcBorders>
              <w:top w:val="double" w:sz="6" w:space="0" w:color="000000"/>
            </w:tcBorders>
          </w:tcPr>
          <w:p>
            <w:pPr>
              <w:pStyle w:val="TableParagraph"/>
              <w:rPr>
                <w:sz w:val="12"/>
              </w:rPr>
            </w:pPr>
          </w:p>
        </w:tc>
        <w:tc>
          <w:tcPr>
            <w:tcW w:w="471" w:type="dxa"/>
            <w:tcBorders>
              <w:top w:val="double" w:sz="6" w:space="0" w:color="000000"/>
            </w:tcBorders>
          </w:tcPr>
          <w:p>
            <w:pPr>
              <w:pStyle w:val="TableParagraph"/>
              <w:rPr>
                <w:sz w:val="12"/>
              </w:rPr>
            </w:pPr>
          </w:p>
        </w:tc>
        <w:tc>
          <w:tcPr>
            <w:tcW w:w="906" w:type="dxa"/>
            <w:tcBorders>
              <w:top w:val="double" w:sz="6" w:space="0" w:color="000000"/>
            </w:tcBorders>
          </w:tcPr>
          <w:p>
            <w:pPr>
              <w:pStyle w:val="TableParagraph"/>
              <w:rPr>
                <w:sz w:val="12"/>
              </w:rPr>
            </w:pPr>
          </w:p>
        </w:tc>
        <w:tc>
          <w:tcPr>
            <w:tcW w:w="558" w:type="dxa"/>
            <w:tcBorders>
              <w:top w:val="double" w:sz="6" w:space="0" w:color="000000"/>
            </w:tcBorders>
          </w:tcPr>
          <w:p>
            <w:pPr>
              <w:pStyle w:val="TableParagraph"/>
              <w:rPr>
                <w:sz w:val="12"/>
              </w:rPr>
            </w:pPr>
          </w:p>
        </w:tc>
        <w:tc>
          <w:tcPr>
            <w:tcW w:w="791" w:type="dxa"/>
            <w:tcBorders>
              <w:top w:val="double" w:sz="6" w:space="0" w:color="000000"/>
            </w:tcBorders>
          </w:tcPr>
          <w:p>
            <w:pPr>
              <w:pStyle w:val="TableParagraph"/>
              <w:rPr>
                <w:sz w:val="12"/>
              </w:rPr>
            </w:pPr>
          </w:p>
        </w:tc>
        <w:tc>
          <w:tcPr>
            <w:tcW w:w="498" w:type="dxa"/>
            <w:tcBorders>
              <w:top w:val="double" w:sz="6" w:space="0" w:color="000000"/>
            </w:tcBorders>
          </w:tcPr>
          <w:p>
            <w:pPr>
              <w:pStyle w:val="TableParagraph"/>
              <w:rPr>
                <w:sz w:val="12"/>
              </w:rPr>
            </w:pPr>
          </w:p>
        </w:tc>
        <w:tc>
          <w:tcPr>
            <w:tcW w:w="906" w:type="dxa"/>
            <w:tcBorders>
              <w:top w:val="double" w:sz="6" w:space="0" w:color="000000"/>
            </w:tcBorders>
          </w:tcPr>
          <w:p>
            <w:pPr>
              <w:pStyle w:val="TableParagraph"/>
              <w:rPr>
                <w:sz w:val="12"/>
              </w:rPr>
            </w:pPr>
          </w:p>
        </w:tc>
        <w:tc>
          <w:tcPr>
            <w:tcW w:w="443" w:type="dxa"/>
            <w:tcBorders>
              <w:top w:val="double" w:sz="6" w:space="0" w:color="000000"/>
            </w:tcBorders>
          </w:tcPr>
          <w:p>
            <w:pPr>
              <w:pStyle w:val="TableParagraph"/>
              <w:rPr>
                <w:sz w:val="12"/>
              </w:rPr>
            </w:pPr>
          </w:p>
        </w:tc>
      </w:tr>
      <w:tr>
        <w:trPr>
          <w:trHeight w:val="203" w:hRule="atLeast"/>
        </w:trPr>
        <w:tc>
          <w:tcPr>
            <w:tcW w:w="3363" w:type="dxa"/>
            <w:shd w:val="clear" w:color="auto" w:fill="CCEDFF"/>
          </w:tcPr>
          <w:p>
            <w:pPr>
              <w:pStyle w:val="TableParagraph"/>
              <w:spacing w:line="180" w:lineRule="exact" w:before="3"/>
              <w:rPr>
                <w:b/>
                <w:sz w:val="16"/>
              </w:rPr>
            </w:pPr>
            <w:r>
              <w:rPr>
                <w:b/>
                <w:w w:val="105"/>
                <w:sz w:val="16"/>
              </w:rPr>
              <w:t>Change</w:t>
            </w:r>
            <w:r>
              <w:rPr>
                <w:b/>
                <w:spacing w:val="-9"/>
                <w:w w:val="105"/>
                <w:sz w:val="16"/>
              </w:rPr>
              <w:t> </w:t>
            </w:r>
            <w:r>
              <w:rPr>
                <w:b/>
                <w:w w:val="105"/>
                <w:sz w:val="16"/>
              </w:rPr>
              <w:t>in</w:t>
            </w:r>
            <w:r>
              <w:rPr>
                <w:b/>
                <w:spacing w:val="-9"/>
                <w:w w:val="105"/>
                <w:sz w:val="16"/>
              </w:rPr>
              <w:t> </w:t>
            </w:r>
            <w:r>
              <w:rPr>
                <w:b/>
                <w:w w:val="105"/>
                <w:sz w:val="16"/>
              </w:rPr>
              <w:t>plan</w:t>
            </w:r>
            <w:r>
              <w:rPr>
                <w:b/>
                <w:spacing w:val="-9"/>
                <w:w w:val="105"/>
                <w:sz w:val="16"/>
              </w:rPr>
              <w:t> </w:t>
            </w:r>
            <w:r>
              <w:rPr>
                <w:b/>
                <w:spacing w:val="-2"/>
                <w:w w:val="105"/>
                <w:sz w:val="16"/>
              </w:rPr>
              <w:t>assets</w:t>
            </w:r>
          </w:p>
        </w:tc>
        <w:tc>
          <w:tcPr>
            <w:tcW w:w="766" w:type="dxa"/>
            <w:shd w:val="clear" w:color="auto" w:fill="CCEDFF"/>
          </w:tcPr>
          <w:p>
            <w:pPr>
              <w:pStyle w:val="TableParagraph"/>
              <w:rPr>
                <w:sz w:val="14"/>
              </w:rPr>
            </w:pPr>
          </w:p>
        </w:tc>
        <w:tc>
          <w:tcPr>
            <w:tcW w:w="536" w:type="dxa"/>
            <w:shd w:val="clear" w:color="auto" w:fill="CCEDFF"/>
          </w:tcPr>
          <w:p>
            <w:pPr>
              <w:pStyle w:val="TableParagraph"/>
              <w:rPr>
                <w:sz w:val="14"/>
              </w:rPr>
            </w:pPr>
          </w:p>
        </w:tc>
        <w:tc>
          <w:tcPr>
            <w:tcW w:w="844" w:type="dxa"/>
            <w:shd w:val="clear" w:color="auto" w:fill="CCEDFF"/>
          </w:tcPr>
          <w:p>
            <w:pPr>
              <w:pStyle w:val="TableParagraph"/>
              <w:rPr>
                <w:sz w:val="14"/>
              </w:rPr>
            </w:pPr>
          </w:p>
        </w:tc>
        <w:tc>
          <w:tcPr>
            <w:tcW w:w="620" w:type="dxa"/>
            <w:shd w:val="clear" w:color="auto" w:fill="CCEDFF"/>
          </w:tcPr>
          <w:p>
            <w:pPr>
              <w:pStyle w:val="TableParagraph"/>
              <w:rPr>
                <w:sz w:val="14"/>
              </w:rPr>
            </w:pPr>
          </w:p>
        </w:tc>
        <w:tc>
          <w:tcPr>
            <w:tcW w:w="819" w:type="dxa"/>
            <w:shd w:val="clear" w:color="auto" w:fill="CCEDFF"/>
          </w:tcPr>
          <w:p>
            <w:pPr>
              <w:pStyle w:val="TableParagraph"/>
              <w:rPr>
                <w:sz w:val="14"/>
              </w:rPr>
            </w:pPr>
          </w:p>
        </w:tc>
        <w:tc>
          <w:tcPr>
            <w:tcW w:w="471" w:type="dxa"/>
            <w:shd w:val="clear" w:color="auto" w:fill="CCEDFF"/>
          </w:tcPr>
          <w:p>
            <w:pPr>
              <w:pStyle w:val="TableParagraph"/>
              <w:rPr>
                <w:sz w:val="14"/>
              </w:rPr>
            </w:pPr>
          </w:p>
        </w:tc>
        <w:tc>
          <w:tcPr>
            <w:tcW w:w="906" w:type="dxa"/>
            <w:shd w:val="clear" w:color="auto" w:fill="CCEDFF"/>
          </w:tcPr>
          <w:p>
            <w:pPr>
              <w:pStyle w:val="TableParagraph"/>
              <w:rPr>
                <w:sz w:val="14"/>
              </w:rPr>
            </w:pPr>
          </w:p>
        </w:tc>
        <w:tc>
          <w:tcPr>
            <w:tcW w:w="558" w:type="dxa"/>
            <w:shd w:val="clear" w:color="auto" w:fill="CCEDFF"/>
          </w:tcPr>
          <w:p>
            <w:pPr>
              <w:pStyle w:val="TableParagraph"/>
              <w:rPr>
                <w:sz w:val="14"/>
              </w:rPr>
            </w:pPr>
          </w:p>
        </w:tc>
        <w:tc>
          <w:tcPr>
            <w:tcW w:w="791" w:type="dxa"/>
            <w:shd w:val="clear" w:color="auto" w:fill="CCEDFF"/>
          </w:tcPr>
          <w:p>
            <w:pPr>
              <w:pStyle w:val="TableParagraph"/>
              <w:rPr>
                <w:sz w:val="14"/>
              </w:rPr>
            </w:pPr>
          </w:p>
        </w:tc>
        <w:tc>
          <w:tcPr>
            <w:tcW w:w="498" w:type="dxa"/>
            <w:shd w:val="clear" w:color="auto" w:fill="CCEDFF"/>
          </w:tcPr>
          <w:p>
            <w:pPr>
              <w:pStyle w:val="TableParagraph"/>
              <w:rPr>
                <w:sz w:val="14"/>
              </w:rPr>
            </w:pPr>
          </w:p>
        </w:tc>
        <w:tc>
          <w:tcPr>
            <w:tcW w:w="906" w:type="dxa"/>
            <w:shd w:val="clear" w:color="auto" w:fill="CCEDFF"/>
          </w:tcPr>
          <w:p>
            <w:pPr>
              <w:pStyle w:val="TableParagraph"/>
              <w:rPr>
                <w:sz w:val="14"/>
              </w:rPr>
            </w:pPr>
          </w:p>
        </w:tc>
        <w:tc>
          <w:tcPr>
            <w:tcW w:w="443" w:type="dxa"/>
            <w:shd w:val="clear" w:color="auto" w:fill="CCEDFF"/>
          </w:tcPr>
          <w:p>
            <w:pPr>
              <w:pStyle w:val="TableParagraph"/>
              <w:rPr>
                <w:sz w:val="14"/>
              </w:rPr>
            </w:pPr>
          </w:p>
        </w:tc>
      </w:tr>
      <w:tr>
        <w:trPr>
          <w:trHeight w:val="203" w:hRule="atLeast"/>
        </w:trPr>
        <w:tc>
          <w:tcPr>
            <w:tcW w:w="3363" w:type="dxa"/>
          </w:tcPr>
          <w:p>
            <w:pPr>
              <w:pStyle w:val="TableParagraph"/>
              <w:spacing w:line="180" w:lineRule="exact" w:before="3"/>
              <w:rPr>
                <w:sz w:val="16"/>
              </w:rPr>
            </w:pPr>
            <w:r>
              <w:rPr>
                <w:w w:val="105"/>
                <w:sz w:val="16"/>
              </w:rPr>
              <w:t>Fair</w:t>
            </w:r>
            <w:r>
              <w:rPr>
                <w:spacing w:val="-8"/>
                <w:w w:val="105"/>
                <w:sz w:val="16"/>
              </w:rPr>
              <w:t> </w:t>
            </w:r>
            <w:r>
              <w:rPr>
                <w:w w:val="105"/>
                <w:sz w:val="16"/>
              </w:rPr>
              <w:t>value</w:t>
            </w:r>
            <w:r>
              <w:rPr>
                <w:spacing w:val="-7"/>
                <w:w w:val="105"/>
                <w:sz w:val="16"/>
              </w:rPr>
              <w:t> </w:t>
            </w:r>
            <w:r>
              <w:rPr>
                <w:w w:val="105"/>
                <w:sz w:val="16"/>
              </w:rPr>
              <w:t>of</w:t>
            </w:r>
            <w:r>
              <w:rPr>
                <w:spacing w:val="-7"/>
                <w:w w:val="105"/>
                <w:sz w:val="16"/>
              </w:rPr>
              <w:t> </w:t>
            </w:r>
            <w:r>
              <w:rPr>
                <w:w w:val="105"/>
                <w:sz w:val="16"/>
              </w:rPr>
              <w:t>plan</w:t>
            </w:r>
            <w:r>
              <w:rPr>
                <w:spacing w:val="-7"/>
                <w:w w:val="105"/>
                <w:sz w:val="16"/>
              </w:rPr>
              <w:t> </w:t>
            </w:r>
            <w:r>
              <w:rPr>
                <w:w w:val="105"/>
                <w:sz w:val="16"/>
              </w:rPr>
              <w:t>assets</w:t>
            </w:r>
            <w:r>
              <w:rPr>
                <w:spacing w:val="-7"/>
                <w:w w:val="105"/>
                <w:sz w:val="16"/>
              </w:rPr>
              <w:t> </w:t>
            </w:r>
            <w:r>
              <w:rPr>
                <w:w w:val="105"/>
                <w:sz w:val="16"/>
              </w:rPr>
              <w:t>at</w:t>
            </w:r>
            <w:r>
              <w:rPr>
                <w:spacing w:val="-7"/>
                <w:w w:val="105"/>
                <w:sz w:val="16"/>
              </w:rPr>
              <w:t> </w:t>
            </w:r>
            <w:r>
              <w:rPr>
                <w:w w:val="105"/>
                <w:sz w:val="16"/>
              </w:rPr>
              <w:t>beginning</w:t>
            </w:r>
            <w:r>
              <w:rPr>
                <w:spacing w:val="-7"/>
                <w:w w:val="105"/>
                <w:sz w:val="16"/>
              </w:rPr>
              <w:t> </w:t>
            </w:r>
            <w:r>
              <w:rPr>
                <w:w w:val="105"/>
                <w:sz w:val="16"/>
              </w:rPr>
              <w:t>of</w:t>
            </w:r>
            <w:r>
              <w:rPr>
                <w:spacing w:val="-7"/>
                <w:w w:val="105"/>
                <w:sz w:val="16"/>
              </w:rPr>
              <w:t> </w:t>
            </w:r>
            <w:r>
              <w:rPr>
                <w:spacing w:val="-4"/>
                <w:w w:val="105"/>
                <w:sz w:val="16"/>
              </w:rPr>
              <w:t>year</w:t>
            </w:r>
          </w:p>
        </w:tc>
        <w:tc>
          <w:tcPr>
            <w:tcW w:w="766" w:type="dxa"/>
          </w:tcPr>
          <w:p>
            <w:pPr>
              <w:pStyle w:val="TableParagraph"/>
              <w:spacing w:line="180" w:lineRule="exact" w:before="3"/>
              <w:ind w:left="-1"/>
              <w:rPr>
                <w:b/>
                <w:sz w:val="16"/>
              </w:rPr>
            </w:pPr>
            <w:r>
              <w:rPr>
                <w:b/>
                <w:spacing w:val="-10"/>
                <w:w w:val="105"/>
                <w:sz w:val="16"/>
              </w:rPr>
              <w:t>$</w:t>
            </w:r>
          </w:p>
        </w:tc>
        <w:tc>
          <w:tcPr>
            <w:tcW w:w="536" w:type="dxa"/>
          </w:tcPr>
          <w:p>
            <w:pPr>
              <w:pStyle w:val="TableParagraph"/>
              <w:spacing w:line="180" w:lineRule="exact" w:before="3"/>
              <w:ind w:left="1" w:right="121"/>
              <w:jc w:val="center"/>
              <w:rPr>
                <w:b/>
                <w:sz w:val="16"/>
              </w:rPr>
            </w:pPr>
            <w:r>
              <w:rPr>
                <w:b/>
                <w:spacing w:val="-4"/>
                <w:w w:val="105"/>
                <w:sz w:val="16"/>
              </w:rPr>
              <w:t>3,575</w:t>
            </w:r>
          </w:p>
        </w:tc>
        <w:tc>
          <w:tcPr>
            <w:tcW w:w="844" w:type="dxa"/>
          </w:tcPr>
          <w:p>
            <w:pPr>
              <w:pStyle w:val="TableParagraph"/>
              <w:spacing w:line="180" w:lineRule="exact" w:before="3"/>
              <w:ind w:left="86"/>
              <w:rPr>
                <w:sz w:val="16"/>
              </w:rPr>
            </w:pPr>
            <w:r>
              <w:rPr>
                <w:spacing w:val="-10"/>
                <w:w w:val="105"/>
                <w:sz w:val="16"/>
              </w:rPr>
              <w:t>$</w:t>
            </w:r>
          </w:p>
        </w:tc>
        <w:tc>
          <w:tcPr>
            <w:tcW w:w="620" w:type="dxa"/>
          </w:tcPr>
          <w:p>
            <w:pPr>
              <w:pStyle w:val="TableParagraph"/>
              <w:spacing w:line="180" w:lineRule="exact" w:before="3"/>
              <w:ind w:right="229"/>
              <w:jc w:val="right"/>
              <w:rPr>
                <w:sz w:val="16"/>
              </w:rPr>
            </w:pPr>
            <w:r>
              <w:rPr>
                <w:spacing w:val="-4"/>
                <w:w w:val="105"/>
                <w:sz w:val="16"/>
              </w:rPr>
              <w:t>3,153</w:t>
            </w:r>
          </w:p>
        </w:tc>
        <w:tc>
          <w:tcPr>
            <w:tcW w:w="819" w:type="dxa"/>
          </w:tcPr>
          <w:p>
            <w:pPr>
              <w:pStyle w:val="TableParagraph"/>
              <w:spacing w:line="180" w:lineRule="exact" w:before="3"/>
              <w:ind w:left="-2"/>
              <w:rPr>
                <w:b/>
                <w:sz w:val="16"/>
              </w:rPr>
            </w:pPr>
            <w:r>
              <w:rPr>
                <w:b/>
                <w:spacing w:val="-10"/>
                <w:w w:val="105"/>
                <w:sz w:val="16"/>
              </w:rPr>
              <w:t>$</w:t>
            </w:r>
          </w:p>
        </w:tc>
        <w:tc>
          <w:tcPr>
            <w:tcW w:w="471" w:type="dxa"/>
          </w:tcPr>
          <w:p>
            <w:pPr>
              <w:pStyle w:val="TableParagraph"/>
              <w:spacing w:line="180" w:lineRule="exact" w:before="3"/>
              <w:ind w:right="66"/>
              <w:jc w:val="center"/>
              <w:rPr>
                <w:b/>
                <w:sz w:val="16"/>
              </w:rPr>
            </w:pPr>
            <w:r>
              <w:rPr>
                <w:b/>
                <w:spacing w:val="-5"/>
                <w:w w:val="105"/>
                <w:sz w:val="16"/>
              </w:rPr>
              <w:t>598</w:t>
            </w:r>
          </w:p>
        </w:tc>
        <w:tc>
          <w:tcPr>
            <w:tcW w:w="906" w:type="dxa"/>
          </w:tcPr>
          <w:p>
            <w:pPr>
              <w:pStyle w:val="TableParagraph"/>
              <w:spacing w:line="180" w:lineRule="exact" w:before="3"/>
              <w:ind w:left="83"/>
              <w:rPr>
                <w:sz w:val="16"/>
              </w:rPr>
            </w:pPr>
            <w:r>
              <w:rPr>
                <w:spacing w:val="-10"/>
                <w:w w:val="105"/>
                <w:sz w:val="16"/>
              </w:rPr>
              <w:t>$</w:t>
            </w:r>
          </w:p>
        </w:tc>
        <w:tc>
          <w:tcPr>
            <w:tcW w:w="558" w:type="dxa"/>
          </w:tcPr>
          <w:p>
            <w:pPr>
              <w:pStyle w:val="TableParagraph"/>
              <w:spacing w:line="180" w:lineRule="exact" w:before="3"/>
              <w:ind w:right="155"/>
              <w:jc w:val="center"/>
              <w:rPr>
                <w:sz w:val="16"/>
              </w:rPr>
            </w:pPr>
            <w:r>
              <w:rPr>
                <w:spacing w:val="-5"/>
                <w:w w:val="105"/>
                <w:sz w:val="16"/>
              </w:rPr>
              <w:t>518</w:t>
            </w:r>
          </w:p>
        </w:tc>
        <w:tc>
          <w:tcPr>
            <w:tcW w:w="791" w:type="dxa"/>
          </w:tcPr>
          <w:p>
            <w:pPr>
              <w:pStyle w:val="TableParagraph"/>
              <w:spacing w:line="180" w:lineRule="exact" w:before="3"/>
              <w:ind w:left="-5"/>
              <w:rPr>
                <w:b/>
                <w:sz w:val="16"/>
              </w:rPr>
            </w:pPr>
            <w:r>
              <w:rPr>
                <w:b/>
                <w:spacing w:val="-10"/>
                <w:w w:val="105"/>
                <w:sz w:val="16"/>
              </w:rPr>
              <w:t>$</w:t>
            </w:r>
          </w:p>
        </w:tc>
        <w:tc>
          <w:tcPr>
            <w:tcW w:w="498" w:type="dxa"/>
          </w:tcPr>
          <w:p>
            <w:pPr>
              <w:pStyle w:val="TableParagraph"/>
              <w:spacing w:line="180" w:lineRule="exact" w:before="3"/>
              <w:ind w:right="144"/>
              <w:jc w:val="right"/>
              <w:rPr>
                <w:b/>
                <w:sz w:val="16"/>
              </w:rPr>
            </w:pPr>
            <w:r>
              <w:rPr>
                <w:b/>
                <w:spacing w:val="-5"/>
                <w:w w:val="105"/>
                <w:sz w:val="16"/>
              </w:rPr>
              <w:t>30</w:t>
            </w:r>
          </w:p>
        </w:tc>
        <w:tc>
          <w:tcPr>
            <w:tcW w:w="906" w:type="dxa"/>
          </w:tcPr>
          <w:p>
            <w:pPr>
              <w:pStyle w:val="TableParagraph"/>
              <w:rPr>
                <w:sz w:val="14"/>
              </w:rPr>
            </w:pPr>
          </w:p>
        </w:tc>
        <w:tc>
          <w:tcPr>
            <w:tcW w:w="443" w:type="dxa"/>
          </w:tcPr>
          <w:p>
            <w:pPr>
              <w:pStyle w:val="TableParagraph"/>
              <w:rPr>
                <w:sz w:val="14"/>
              </w:rPr>
            </w:pPr>
          </w:p>
        </w:tc>
      </w:tr>
      <w:tr>
        <w:trPr>
          <w:trHeight w:val="203" w:hRule="atLeast"/>
        </w:trPr>
        <w:tc>
          <w:tcPr>
            <w:tcW w:w="3363" w:type="dxa"/>
            <w:shd w:val="clear" w:color="auto" w:fill="CCEDFF"/>
          </w:tcPr>
          <w:p>
            <w:pPr>
              <w:pStyle w:val="TableParagraph"/>
              <w:spacing w:line="180" w:lineRule="exact" w:before="3"/>
              <w:rPr>
                <w:sz w:val="16"/>
              </w:rPr>
            </w:pPr>
            <w:r>
              <w:rPr>
                <w:w w:val="105"/>
                <w:sz w:val="16"/>
              </w:rPr>
              <w:t>Actual</w:t>
            </w:r>
            <w:r>
              <w:rPr>
                <w:spacing w:val="-7"/>
                <w:w w:val="105"/>
                <w:sz w:val="16"/>
              </w:rPr>
              <w:t> </w:t>
            </w:r>
            <w:r>
              <w:rPr>
                <w:w w:val="105"/>
                <w:sz w:val="16"/>
              </w:rPr>
              <w:t>gain</w:t>
            </w:r>
            <w:r>
              <w:rPr>
                <w:spacing w:val="-7"/>
                <w:w w:val="105"/>
                <w:sz w:val="16"/>
              </w:rPr>
              <w:t> </w:t>
            </w:r>
            <w:r>
              <w:rPr>
                <w:w w:val="105"/>
                <w:sz w:val="16"/>
              </w:rPr>
              <w:t>(loss)</w:t>
            </w:r>
            <w:r>
              <w:rPr>
                <w:spacing w:val="-7"/>
                <w:w w:val="105"/>
                <w:sz w:val="16"/>
              </w:rPr>
              <w:t> </w:t>
            </w:r>
            <w:r>
              <w:rPr>
                <w:w w:val="105"/>
                <w:sz w:val="16"/>
              </w:rPr>
              <w:t>on</w:t>
            </w:r>
            <w:r>
              <w:rPr>
                <w:spacing w:val="-7"/>
                <w:w w:val="105"/>
                <w:sz w:val="16"/>
              </w:rPr>
              <w:t> </w:t>
            </w:r>
            <w:r>
              <w:rPr>
                <w:w w:val="105"/>
                <w:sz w:val="16"/>
              </w:rPr>
              <w:t>plan</w:t>
            </w:r>
            <w:r>
              <w:rPr>
                <w:spacing w:val="-7"/>
                <w:w w:val="105"/>
                <w:sz w:val="16"/>
              </w:rPr>
              <w:t> </w:t>
            </w:r>
            <w:r>
              <w:rPr>
                <w:spacing w:val="-2"/>
                <w:w w:val="105"/>
                <w:sz w:val="16"/>
              </w:rPr>
              <w:t>assets</w:t>
            </w:r>
          </w:p>
        </w:tc>
        <w:tc>
          <w:tcPr>
            <w:tcW w:w="766" w:type="dxa"/>
            <w:shd w:val="clear" w:color="auto" w:fill="CCEDFF"/>
          </w:tcPr>
          <w:p>
            <w:pPr>
              <w:pStyle w:val="TableParagraph"/>
              <w:rPr>
                <w:sz w:val="14"/>
              </w:rPr>
            </w:pPr>
          </w:p>
        </w:tc>
        <w:tc>
          <w:tcPr>
            <w:tcW w:w="536" w:type="dxa"/>
            <w:shd w:val="clear" w:color="auto" w:fill="CCEDFF"/>
          </w:tcPr>
          <w:p>
            <w:pPr>
              <w:pStyle w:val="TableParagraph"/>
              <w:spacing w:line="180" w:lineRule="exact" w:before="3"/>
              <w:ind w:left="1"/>
              <w:jc w:val="center"/>
              <w:rPr>
                <w:b/>
                <w:sz w:val="16"/>
              </w:rPr>
            </w:pPr>
            <w:r>
              <w:rPr>
                <w:b/>
                <w:spacing w:val="-5"/>
                <w:w w:val="105"/>
                <w:sz w:val="16"/>
              </w:rPr>
              <w:t>208</w:t>
            </w:r>
          </w:p>
        </w:tc>
        <w:tc>
          <w:tcPr>
            <w:tcW w:w="844" w:type="dxa"/>
            <w:shd w:val="clear" w:color="auto" w:fill="CCEDFF"/>
          </w:tcPr>
          <w:p>
            <w:pPr>
              <w:pStyle w:val="TableParagraph"/>
              <w:rPr>
                <w:sz w:val="14"/>
              </w:rPr>
            </w:pPr>
          </w:p>
        </w:tc>
        <w:tc>
          <w:tcPr>
            <w:tcW w:w="620" w:type="dxa"/>
            <w:shd w:val="clear" w:color="auto" w:fill="CCEDFF"/>
          </w:tcPr>
          <w:p>
            <w:pPr>
              <w:pStyle w:val="TableParagraph"/>
              <w:spacing w:line="180" w:lineRule="exact" w:before="3"/>
              <w:ind w:right="229"/>
              <w:jc w:val="right"/>
              <w:rPr>
                <w:sz w:val="16"/>
              </w:rPr>
            </w:pPr>
            <w:r>
              <w:rPr>
                <w:spacing w:val="-5"/>
                <w:w w:val="105"/>
                <w:sz w:val="16"/>
              </w:rPr>
              <w:t>420</w:t>
            </w:r>
          </w:p>
        </w:tc>
        <w:tc>
          <w:tcPr>
            <w:tcW w:w="819" w:type="dxa"/>
            <w:shd w:val="clear" w:color="auto" w:fill="CCEDFF"/>
          </w:tcPr>
          <w:p>
            <w:pPr>
              <w:pStyle w:val="TableParagraph"/>
              <w:rPr>
                <w:sz w:val="14"/>
              </w:rPr>
            </w:pPr>
          </w:p>
        </w:tc>
        <w:tc>
          <w:tcPr>
            <w:tcW w:w="471" w:type="dxa"/>
            <w:shd w:val="clear" w:color="auto" w:fill="CCEDFF"/>
          </w:tcPr>
          <w:p>
            <w:pPr>
              <w:pStyle w:val="TableParagraph"/>
              <w:spacing w:line="180" w:lineRule="exact" w:before="3"/>
              <w:ind w:left="163" w:right="66"/>
              <w:jc w:val="center"/>
              <w:rPr>
                <w:b/>
                <w:sz w:val="16"/>
              </w:rPr>
            </w:pPr>
            <w:r>
              <w:rPr>
                <w:b/>
                <w:spacing w:val="-5"/>
                <w:w w:val="105"/>
                <w:sz w:val="16"/>
              </w:rPr>
              <w:t>(2)</w:t>
            </w:r>
          </w:p>
        </w:tc>
        <w:tc>
          <w:tcPr>
            <w:tcW w:w="906" w:type="dxa"/>
            <w:shd w:val="clear" w:color="auto" w:fill="CCEDFF"/>
          </w:tcPr>
          <w:p>
            <w:pPr>
              <w:pStyle w:val="TableParagraph"/>
              <w:rPr>
                <w:sz w:val="14"/>
              </w:rPr>
            </w:pPr>
          </w:p>
        </w:tc>
        <w:tc>
          <w:tcPr>
            <w:tcW w:w="558" w:type="dxa"/>
            <w:shd w:val="clear" w:color="auto" w:fill="CCEDFF"/>
          </w:tcPr>
          <w:p>
            <w:pPr>
              <w:pStyle w:val="TableParagraph"/>
              <w:spacing w:line="180" w:lineRule="exact" w:before="3"/>
              <w:ind w:right="72"/>
              <w:jc w:val="center"/>
              <w:rPr>
                <w:sz w:val="16"/>
              </w:rPr>
            </w:pPr>
            <w:r>
              <w:rPr>
                <w:spacing w:val="-5"/>
                <w:w w:val="105"/>
                <w:sz w:val="16"/>
              </w:rPr>
              <w:t>49</w:t>
            </w:r>
          </w:p>
        </w:tc>
        <w:tc>
          <w:tcPr>
            <w:tcW w:w="791" w:type="dxa"/>
            <w:shd w:val="clear" w:color="auto" w:fill="CCEDFF"/>
          </w:tcPr>
          <w:p>
            <w:pPr>
              <w:pStyle w:val="TableParagraph"/>
              <w:rPr>
                <w:sz w:val="14"/>
              </w:rPr>
            </w:pPr>
          </w:p>
        </w:tc>
        <w:tc>
          <w:tcPr>
            <w:tcW w:w="498" w:type="dxa"/>
            <w:shd w:val="clear" w:color="auto" w:fill="CCEDFF"/>
          </w:tcPr>
          <w:p>
            <w:pPr>
              <w:pStyle w:val="TableParagraph"/>
              <w:rPr>
                <w:sz w:val="14"/>
              </w:rPr>
            </w:pPr>
          </w:p>
        </w:tc>
        <w:tc>
          <w:tcPr>
            <w:tcW w:w="906" w:type="dxa"/>
            <w:shd w:val="clear" w:color="auto" w:fill="CCEDFF"/>
          </w:tcPr>
          <w:p>
            <w:pPr>
              <w:pStyle w:val="TableParagraph"/>
              <w:rPr>
                <w:sz w:val="14"/>
              </w:rPr>
            </w:pPr>
          </w:p>
        </w:tc>
        <w:tc>
          <w:tcPr>
            <w:tcW w:w="443" w:type="dxa"/>
            <w:shd w:val="clear" w:color="auto" w:fill="CCEDFF"/>
          </w:tcPr>
          <w:p>
            <w:pPr>
              <w:pStyle w:val="TableParagraph"/>
              <w:rPr>
                <w:sz w:val="14"/>
              </w:rPr>
            </w:pPr>
          </w:p>
        </w:tc>
      </w:tr>
      <w:tr>
        <w:trPr>
          <w:trHeight w:val="203" w:hRule="atLeast"/>
        </w:trPr>
        <w:tc>
          <w:tcPr>
            <w:tcW w:w="3363" w:type="dxa"/>
          </w:tcPr>
          <w:p>
            <w:pPr>
              <w:pStyle w:val="TableParagraph"/>
              <w:spacing w:line="180" w:lineRule="exact" w:before="3"/>
              <w:rPr>
                <w:sz w:val="16"/>
              </w:rPr>
            </w:pPr>
            <w:r>
              <w:rPr>
                <w:sz w:val="16"/>
              </w:rPr>
              <w:t>Employer</w:t>
            </w:r>
            <w:r>
              <w:rPr>
                <w:spacing w:val="19"/>
                <w:sz w:val="16"/>
              </w:rPr>
              <w:t> </w:t>
            </w:r>
            <w:r>
              <w:rPr>
                <w:spacing w:val="-2"/>
                <w:sz w:val="16"/>
              </w:rPr>
              <w:t>contributions</w:t>
            </w:r>
          </w:p>
        </w:tc>
        <w:tc>
          <w:tcPr>
            <w:tcW w:w="766" w:type="dxa"/>
          </w:tcPr>
          <w:p>
            <w:pPr>
              <w:pStyle w:val="TableParagraph"/>
              <w:rPr>
                <w:sz w:val="14"/>
              </w:rPr>
            </w:pPr>
          </w:p>
        </w:tc>
        <w:tc>
          <w:tcPr>
            <w:tcW w:w="536" w:type="dxa"/>
          </w:tcPr>
          <w:p>
            <w:pPr>
              <w:pStyle w:val="TableParagraph"/>
              <w:spacing w:line="180" w:lineRule="exact" w:before="3"/>
              <w:ind w:left="204" w:right="120"/>
              <w:jc w:val="center"/>
              <w:rPr>
                <w:b/>
                <w:sz w:val="16"/>
              </w:rPr>
            </w:pPr>
            <w:r>
              <w:rPr>
                <w:b/>
                <w:spacing w:val="-5"/>
                <w:w w:val="105"/>
                <w:sz w:val="16"/>
              </w:rPr>
              <w:t>16</w:t>
            </w:r>
          </w:p>
        </w:tc>
        <w:tc>
          <w:tcPr>
            <w:tcW w:w="844" w:type="dxa"/>
          </w:tcPr>
          <w:p>
            <w:pPr>
              <w:pStyle w:val="TableParagraph"/>
              <w:rPr>
                <w:sz w:val="14"/>
              </w:rPr>
            </w:pPr>
          </w:p>
        </w:tc>
        <w:tc>
          <w:tcPr>
            <w:tcW w:w="620" w:type="dxa"/>
          </w:tcPr>
          <w:p>
            <w:pPr>
              <w:pStyle w:val="TableParagraph"/>
              <w:spacing w:line="180" w:lineRule="exact" w:before="3"/>
              <w:ind w:right="229"/>
              <w:jc w:val="right"/>
              <w:rPr>
                <w:sz w:val="16"/>
              </w:rPr>
            </w:pPr>
            <w:r>
              <w:rPr>
                <w:spacing w:val="-5"/>
                <w:w w:val="105"/>
                <w:sz w:val="16"/>
              </w:rPr>
              <w:t>195</w:t>
            </w:r>
          </w:p>
        </w:tc>
        <w:tc>
          <w:tcPr>
            <w:tcW w:w="819" w:type="dxa"/>
          </w:tcPr>
          <w:p>
            <w:pPr>
              <w:pStyle w:val="TableParagraph"/>
              <w:rPr>
                <w:sz w:val="14"/>
              </w:rPr>
            </w:pPr>
          </w:p>
        </w:tc>
        <w:tc>
          <w:tcPr>
            <w:tcW w:w="471" w:type="dxa"/>
          </w:tcPr>
          <w:p>
            <w:pPr>
              <w:pStyle w:val="TableParagraph"/>
              <w:spacing w:line="180" w:lineRule="exact" w:before="3"/>
              <w:ind w:left="14"/>
              <w:jc w:val="center"/>
              <w:rPr>
                <w:b/>
                <w:sz w:val="16"/>
              </w:rPr>
            </w:pPr>
            <w:r>
              <w:rPr>
                <w:b/>
                <w:spacing w:val="-5"/>
                <w:w w:val="105"/>
                <w:sz w:val="16"/>
              </w:rPr>
              <w:t>31</w:t>
            </w:r>
          </w:p>
        </w:tc>
        <w:tc>
          <w:tcPr>
            <w:tcW w:w="906" w:type="dxa"/>
          </w:tcPr>
          <w:p>
            <w:pPr>
              <w:pStyle w:val="TableParagraph"/>
              <w:rPr>
                <w:sz w:val="14"/>
              </w:rPr>
            </w:pPr>
          </w:p>
        </w:tc>
        <w:tc>
          <w:tcPr>
            <w:tcW w:w="558" w:type="dxa"/>
          </w:tcPr>
          <w:p>
            <w:pPr>
              <w:pStyle w:val="TableParagraph"/>
              <w:spacing w:line="180" w:lineRule="exact" w:before="3"/>
              <w:ind w:right="72"/>
              <w:jc w:val="center"/>
              <w:rPr>
                <w:sz w:val="16"/>
              </w:rPr>
            </w:pPr>
            <w:r>
              <w:rPr>
                <w:spacing w:val="-5"/>
                <w:w w:val="105"/>
                <w:sz w:val="16"/>
              </w:rPr>
              <w:t>50</w:t>
            </w:r>
          </w:p>
        </w:tc>
        <w:tc>
          <w:tcPr>
            <w:tcW w:w="791" w:type="dxa"/>
          </w:tcPr>
          <w:p>
            <w:pPr>
              <w:pStyle w:val="TableParagraph"/>
              <w:rPr>
                <w:sz w:val="14"/>
              </w:rPr>
            </w:pPr>
          </w:p>
        </w:tc>
        <w:tc>
          <w:tcPr>
            <w:tcW w:w="498" w:type="dxa"/>
          </w:tcPr>
          <w:p>
            <w:pPr>
              <w:pStyle w:val="TableParagraph"/>
              <w:spacing w:line="180" w:lineRule="exact" w:before="3"/>
              <w:ind w:right="144"/>
              <w:jc w:val="right"/>
              <w:rPr>
                <w:b/>
                <w:sz w:val="16"/>
              </w:rPr>
            </w:pPr>
            <w:r>
              <w:rPr>
                <w:b/>
                <w:spacing w:val="-10"/>
                <w:w w:val="105"/>
                <w:sz w:val="16"/>
              </w:rPr>
              <w:t>9</w:t>
            </w:r>
          </w:p>
        </w:tc>
        <w:tc>
          <w:tcPr>
            <w:tcW w:w="906" w:type="dxa"/>
          </w:tcPr>
          <w:p>
            <w:pPr>
              <w:pStyle w:val="TableParagraph"/>
              <w:spacing w:line="180" w:lineRule="exact" w:before="3"/>
              <w:ind w:left="82"/>
              <w:rPr>
                <w:sz w:val="16"/>
              </w:rPr>
            </w:pPr>
            <w:r>
              <w:rPr>
                <w:spacing w:val="-10"/>
                <w:w w:val="105"/>
                <w:sz w:val="16"/>
              </w:rPr>
              <w:t>$</w:t>
            </w:r>
          </w:p>
        </w:tc>
        <w:tc>
          <w:tcPr>
            <w:tcW w:w="443" w:type="dxa"/>
          </w:tcPr>
          <w:p>
            <w:pPr>
              <w:pStyle w:val="TableParagraph"/>
              <w:spacing w:line="180" w:lineRule="exact" w:before="3"/>
              <w:ind w:left="157"/>
              <w:rPr>
                <w:sz w:val="16"/>
              </w:rPr>
            </w:pPr>
            <w:r>
              <w:rPr>
                <w:spacing w:val="-5"/>
                <w:w w:val="105"/>
                <w:sz w:val="16"/>
              </w:rPr>
              <w:t>60</w:t>
            </w:r>
          </w:p>
        </w:tc>
      </w:tr>
      <w:tr>
        <w:trPr>
          <w:trHeight w:val="203" w:hRule="atLeast"/>
        </w:trPr>
        <w:tc>
          <w:tcPr>
            <w:tcW w:w="3363" w:type="dxa"/>
            <w:shd w:val="clear" w:color="auto" w:fill="CCEDFF"/>
          </w:tcPr>
          <w:p>
            <w:pPr>
              <w:pStyle w:val="TableParagraph"/>
              <w:spacing w:line="180" w:lineRule="exact" w:before="3"/>
              <w:rPr>
                <w:sz w:val="16"/>
              </w:rPr>
            </w:pPr>
            <w:r>
              <w:rPr>
                <w:sz w:val="16"/>
              </w:rPr>
              <w:t>Plan</w:t>
            </w:r>
            <w:r>
              <w:rPr>
                <w:spacing w:val="17"/>
                <w:sz w:val="16"/>
              </w:rPr>
              <w:t> </w:t>
            </w:r>
            <w:r>
              <w:rPr>
                <w:sz w:val="16"/>
              </w:rPr>
              <w:t>participants’</w:t>
            </w:r>
            <w:r>
              <w:rPr>
                <w:spacing w:val="17"/>
                <w:sz w:val="16"/>
              </w:rPr>
              <w:t> </w:t>
            </w:r>
            <w:r>
              <w:rPr>
                <w:spacing w:val="-2"/>
                <w:sz w:val="16"/>
              </w:rPr>
              <w:t>contributions</w:t>
            </w:r>
          </w:p>
        </w:tc>
        <w:tc>
          <w:tcPr>
            <w:tcW w:w="766" w:type="dxa"/>
            <w:shd w:val="clear" w:color="auto" w:fill="CCEDFF"/>
          </w:tcPr>
          <w:p>
            <w:pPr>
              <w:pStyle w:val="TableParagraph"/>
              <w:rPr>
                <w:sz w:val="14"/>
              </w:rPr>
            </w:pPr>
          </w:p>
        </w:tc>
        <w:tc>
          <w:tcPr>
            <w:tcW w:w="536" w:type="dxa"/>
            <w:shd w:val="clear" w:color="auto" w:fill="CCEDFF"/>
          </w:tcPr>
          <w:p>
            <w:pPr>
              <w:pStyle w:val="TableParagraph"/>
              <w:rPr>
                <w:sz w:val="14"/>
              </w:rPr>
            </w:pPr>
          </w:p>
        </w:tc>
        <w:tc>
          <w:tcPr>
            <w:tcW w:w="844" w:type="dxa"/>
            <w:shd w:val="clear" w:color="auto" w:fill="CCEDFF"/>
          </w:tcPr>
          <w:p>
            <w:pPr>
              <w:pStyle w:val="TableParagraph"/>
              <w:rPr>
                <w:sz w:val="14"/>
              </w:rPr>
            </w:pPr>
          </w:p>
        </w:tc>
        <w:tc>
          <w:tcPr>
            <w:tcW w:w="620" w:type="dxa"/>
            <w:shd w:val="clear" w:color="auto" w:fill="CCEDFF"/>
          </w:tcPr>
          <w:p>
            <w:pPr>
              <w:pStyle w:val="TableParagraph"/>
              <w:spacing w:line="180" w:lineRule="exact" w:before="3"/>
              <w:ind w:right="229"/>
              <w:jc w:val="right"/>
              <w:rPr>
                <w:sz w:val="16"/>
              </w:rPr>
            </w:pPr>
            <w:r>
              <w:rPr>
                <w:spacing w:val="-10"/>
                <w:w w:val="105"/>
                <w:sz w:val="16"/>
              </w:rPr>
              <w:t>1</w:t>
            </w:r>
          </w:p>
        </w:tc>
        <w:tc>
          <w:tcPr>
            <w:tcW w:w="819" w:type="dxa"/>
            <w:shd w:val="clear" w:color="auto" w:fill="CCEDFF"/>
          </w:tcPr>
          <w:p>
            <w:pPr>
              <w:pStyle w:val="TableParagraph"/>
              <w:rPr>
                <w:sz w:val="14"/>
              </w:rPr>
            </w:pPr>
          </w:p>
        </w:tc>
        <w:tc>
          <w:tcPr>
            <w:tcW w:w="471" w:type="dxa"/>
            <w:shd w:val="clear" w:color="auto" w:fill="CCEDFF"/>
          </w:tcPr>
          <w:p>
            <w:pPr>
              <w:pStyle w:val="TableParagraph"/>
              <w:rPr>
                <w:sz w:val="14"/>
              </w:rPr>
            </w:pPr>
          </w:p>
        </w:tc>
        <w:tc>
          <w:tcPr>
            <w:tcW w:w="906" w:type="dxa"/>
            <w:shd w:val="clear" w:color="auto" w:fill="CCEDFF"/>
          </w:tcPr>
          <w:p>
            <w:pPr>
              <w:pStyle w:val="TableParagraph"/>
              <w:rPr>
                <w:sz w:val="14"/>
              </w:rPr>
            </w:pPr>
          </w:p>
        </w:tc>
        <w:tc>
          <w:tcPr>
            <w:tcW w:w="558" w:type="dxa"/>
            <w:shd w:val="clear" w:color="auto" w:fill="CCEDFF"/>
          </w:tcPr>
          <w:p>
            <w:pPr>
              <w:pStyle w:val="TableParagraph"/>
              <w:rPr>
                <w:sz w:val="14"/>
              </w:rPr>
            </w:pPr>
          </w:p>
        </w:tc>
        <w:tc>
          <w:tcPr>
            <w:tcW w:w="791" w:type="dxa"/>
            <w:shd w:val="clear" w:color="auto" w:fill="CCEDFF"/>
          </w:tcPr>
          <w:p>
            <w:pPr>
              <w:pStyle w:val="TableParagraph"/>
              <w:rPr>
                <w:sz w:val="14"/>
              </w:rPr>
            </w:pPr>
          </w:p>
        </w:tc>
        <w:tc>
          <w:tcPr>
            <w:tcW w:w="498" w:type="dxa"/>
            <w:shd w:val="clear" w:color="auto" w:fill="CCEDFF"/>
          </w:tcPr>
          <w:p>
            <w:pPr>
              <w:pStyle w:val="TableParagraph"/>
              <w:spacing w:line="180" w:lineRule="exact" w:before="3"/>
              <w:ind w:right="144"/>
              <w:jc w:val="right"/>
              <w:rPr>
                <w:b/>
                <w:sz w:val="16"/>
              </w:rPr>
            </w:pPr>
            <w:r>
              <w:rPr>
                <w:b/>
                <w:spacing w:val="-10"/>
                <w:w w:val="105"/>
                <w:sz w:val="16"/>
              </w:rPr>
              <w:t>7</w:t>
            </w:r>
          </w:p>
        </w:tc>
        <w:tc>
          <w:tcPr>
            <w:tcW w:w="906" w:type="dxa"/>
            <w:shd w:val="clear" w:color="auto" w:fill="CCEDFF"/>
          </w:tcPr>
          <w:p>
            <w:pPr>
              <w:pStyle w:val="TableParagraph"/>
              <w:rPr>
                <w:sz w:val="14"/>
              </w:rPr>
            </w:pPr>
          </w:p>
        </w:tc>
        <w:tc>
          <w:tcPr>
            <w:tcW w:w="443" w:type="dxa"/>
            <w:shd w:val="clear" w:color="auto" w:fill="CCEDFF"/>
          </w:tcPr>
          <w:p>
            <w:pPr>
              <w:pStyle w:val="TableParagraph"/>
              <w:spacing w:line="180" w:lineRule="exact" w:before="3"/>
              <w:ind w:left="240"/>
              <w:rPr>
                <w:sz w:val="16"/>
              </w:rPr>
            </w:pPr>
            <w:r>
              <w:rPr>
                <w:spacing w:val="-10"/>
                <w:w w:val="105"/>
                <w:sz w:val="16"/>
              </w:rPr>
              <w:t>8</w:t>
            </w:r>
          </w:p>
        </w:tc>
      </w:tr>
      <w:tr>
        <w:trPr>
          <w:trHeight w:val="203" w:hRule="atLeast"/>
        </w:trPr>
        <w:tc>
          <w:tcPr>
            <w:tcW w:w="3363" w:type="dxa"/>
          </w:tcPr>
          <w:p>
            <w:pPr>
              <w:pStyle w:val="TableParagraph"/>
              <w:spacing w:line="180" w:lineRule="exact" w:before="3"/>
              <w:rPr>
                <w:sz w:val="16"/>
              </w:rPr>
            </w:pPr>
            <w:r>
              <w:rPr>
                <w:sz w:val="16"/>
              </w:rPr>
              <w:t>Benefits</w:t>
            </w:r>
            <w:r>
              <w:rPr>
                <w:spacing w:val="8"/>
                <w:sz w:val="16"/>
              </w:rPr>
              <w:t> </w:t>
            </w:r>
            <w:r>
              <w:rPr>
                <w:spacing w:val="-4"/>
                <w:sz w:val="16"/>
              </w:rPr>
              <w:t>paid</w:t>
            </w:r>
          </w:p>
        </w:tc>
        <w:tc>
          <w:tcPr>
            <w:tcW w:w="766" w:type="dxa"/>
          </w:tcPr>
          <w:p>
            <w:pPr>
              <w:pStyle w:val="TableParagraph"/>
              <w:rPr>
                <w:sz w:val="14"/>
              </w:rPr>
            </w:pPr>
          </w:p>
        </w:tc>
        <w:tc>
          <w:tcPr>
            <w:tcW w:w="536" w:type="dxa"/>
          </w:tcPr>
          <w:p>
            <w:pPr>
              <w:pStyle w:val="TableParagraph"/>
              <w:spacing w:line="180" w:lineRule="exact" w:before="3"/>
              <w:ind w:left="1"/>
              <w:jc w:val="center"/>
              <w:rPr>
                <w:b/>
                <w:sz w:val="16"/>
              </w:rPr>
            </w:pPr>
            <w:r>
              <w:rPr>
                <w:b/>
                <w:spacing w:val="-2"/>
                <w:w w:val="105"/>
                <w:sz w:val="16"/>
              </w:rPr>
              <w:t>(201)</w:t>
            </w:r>
          </w:p>
        </w:tc>
        <w:tc>
          <w:tcPr>
            <w:tcW w:w="844" w:type="dxa"/>
          </w:tcPr>
          <w:p>
            <w:pPr>
              <w:pStyle w:val="TableParagraph"/>
              <w:rPr>
                <w:sz w:val="14"/>
              </w:rPr>
            </w:pPr>
          </w:p>
        </w:tc>
        <w:tc>
          <w:tcPr>
            <w:tcW w:w="620" w:type="dxa"/>
          </w:tcPr>
          <w:p>
            <w:pPr>
              <w:pStyle w:val="TableParagraph"/>
              <w:spacing w:line="180" w:lineRule="exact" w:before="3"/>
              <w:ind w:right="173"/>
              <w:jc w:val="right"/>
              <w:rPr>
                <w:sz w:val="16"/>
              </w:rPr>
            </w:pPr>
            <w:r>
              <w:rPr>
                <w:spacing w:val="-2"/>
                <w:w w:val="105"/>
                <w:sz w:val="16"/>
              </w:rPr>
              <w:t>(194)</w:t>
            </w:r>
          </w:p>
        </w:tc>
        <w:tc>
          <w:tcPr>
            <w:tcW w:w="819" w:type="dxa"/>
          </w:tcPr>
          <w:p>
            <w:pPr>
              <w:pStyle w:val="TableParagraph"/>
              <w:rPr>
                <w:sz w:val="14"/>
              </w:rPr>
            </w:pPr>
          </w:p>
        </w:tc>
        <w:tc>
          <w:tcPr>
            <w:tcW w:w="471" w:type="dxa"/>
          </w:tcPr>
          <w:p>
            <w:pPr>
              <w:pStyle w:val="TableParagraph"/>
              <w:spacing w:line="180" w:lineRule="exact" w:before="3"/>
              <w:ind w:left="14"/>
              <w:jc w:val="center"/>
              <w:rPr>
                <w:b/>
                <w:sz w:val="16"/>
              </w:rPr>
            </w:pPr>
            <w:r>
              <w:rPr>
                <w:b/>
                <w:spacing w:val="-4"/>
                <w:w w:val="105"/>
                <w:sz w:val="16"/>
              </w:rPr>
              <w:t>(26)</w:t>
            </w:r>
          </w:p>
        </w:tc>
        <w:tc>
          <w:tcPr>
            <w:tcW w:w="906" w:type="dxa"/>
          </w:tcPr>
          <w:p>
            <w:pPr>
              <w:pStyle w:val="TableParagraph"/>
              <w:rPr>
                <w:sz w:val="14"/>
              </w:rPr>
            </w:pPr>
          </w:p>
        </w:tc>
        <w:tc>
          <w:tcPr>
            <w:tcW w:w="558" w:type="dxa"/>
          </w:tcPr>
          <w:p>
            <w:pPr>
              <w:pStyle w:val="TableParagraph"/>
              <w:spacing w:line="180" w:lineRule="exact" w:before="3"/>
              <w:ind w:right="73"/>
              <w:jc w:val="center"/>
              <w:rPr>
                <w:sz w:val="16"/>
              </w:rPr>
            </w:pPr>
            <w:r>
              <w:rPr>
                <w:spacing w:val="-4"/>
                <w:w w:val="105"/>
                <w:sz w:val="16"/>
              </w:rPr>
              <w:t>(44)</w:t>
            </w:r>
          </w:p>
        </w:tc>
        <w:tc>
          <w:tcPr>
            <w:tcW w:w="791" w:type="dxa"/>
          </w:tcPr>
          <w:p>
            <w:pPr>
              <w:pStyle w:val="TableParagraph"/>
              <w:rPr>
                <w:sz w:val="14"/>
              </w:rPr>
            </w:pPr>
          </w:p>
        </w:tc>
        <w:tc>
          <w:tcPr>
            <w:tcW w:w="498" w:type="dxa"/>
          </w:tcPr>
          <w:p>
            <w:pPr>
              <w:pStyle w:val="TableParagraph"/>
              <w:spacing w:line="180" w:lineRule="exact" w:before="3"/>
              <w:ind w:right="89"/>
              <w:jc w:val="right"/>
              <w:rPr>
                <w:b/>
                <w:sz w:val="16"/>
              </w:rPr>
            </w:pPr>
            <w:r>
              <w:rPr>
                <w:b/>
                <w:spacing w:val="-4"/>
                <w:w w:val="105"/>
                <w:sz w:val="16"/>
              </w:rPr>
              <w:t>(37)</w:t>
            </w:r>
          </w:p>
        </w:tc>
        <w:tc>
          <w:tcPr>
            <w:tcW w:w="906" w:type="dxa"/>
          </w:tcPr>
          <w:p>
            <w:pPr>
              <w:pStyle w:val="TableParagraph"/>
              <w:rPr>
                <w:sz w:val="14"/>
              </w:rPr>
            </w:pPr>
          </w:p>
        </w:tc>
        <w:tc>
          <w:tcPr>
            <w:tcW w:w="443" w:type="dxa"/>
          </w:tcPr>
          <w:p>
            <w:pPr>
              <w:pStyle w:val="TableParagraph"/>
              <w:spacing w:line="180" w:lineRule="exact" w:before="3"/>
              <w:ind w:left="101"/>
              <w:rPr>
                <w:sz w:val="16"/>
              </w:rPr>
            </w:pPr>
            <w:r>
              <w:rPr>
                <w:spacing w:val="-4"/>
                <w:w w:val="105"/>
                <w:sz w:val="16"/>
              </w:rPr>
              <w:t>(38)</w:t>
            </w:r>
          </w:p>
        </w:tc>
      </w:tr>
      <w:tr>
        <w:trPr>
          <w:trHeight w:val="202" w:hRule="atLeast"/>
        </w:trPr>
        <w:tc>
          <w:tcPr>
            <w:tcW w:w="3363" w:type="dxa"/>
            <w:tcBorders>
              <w:bottom w:val="single" w:sz="6" w:space="0" w:color="000000"/>
            </w:tcBorders>
            <w:shd w:val="clear" w:color="auto" w:fill="CCEDFF"/>
          </w:tcPr>
          <w:p>
            <w:pPr>
              <w:pStyle w:val="TableParagraph"/>
              <w:spacing w:line="179" w:lineRule="exact" w:before="3"/>
              <w:rPr>
                <w:sz w:val="16"/>
              </w:rPr>
            </w:pPr>
            <w:r>
              <w:rPr>
                <w:sz w:val="16"/>
              </w:rPr>
              <w:t>Foreign</w:t>
            </w:r>
            <w:r>
              <w:rPr>
                <w:spacing w:val="16"/>
                <w:sz w:val="16"/>
              </w:rPr>
              <w:t> </w:t>
            </w:r>
            <w:r>
              <w:rPr>
                <w:sz w:val="16"/>
              </w:rPr>
              <w:t>currency</w:t>
            </w:r>
            <w:r>
              <w:rPr>
                <w:spacing w:val="17"/>
                <w:sz w:val="16"/>
              </w:rPr>
              <w:t> </w:t>
            </w:r>
            <w:r>
              <w:rPr>
                <w:spacing w:val="-2"/>
                <w:sz w:val="16"/>
              </w:rPr>
              <w:t>translation</w:t>
            </w:r>
          </w:p>
        </w:tc>
        <w:tc>
          <w:tcPr>
            <w:tcW w:w="766" w:type="dxa"/>
            <w:tcBorders>
              <w:bottom w:val="single" w:sz="6" w:space="0" w:color="000000"/>
            </w:tcBorders>
            <w:shd w:val="clear" w:color="auto" w:fill="CCEDFF"/>
          </w:tcPr>
          <w:p>
            <w:pPr>
              <w:pStyle w:val="TableParagraph"/>
              <w:rPr>
                <w:sz w:val="14"/>
              </w:rPr>
            </w:pPr>
          </w:p>
        </w:tc>
        <w:tc>
          <w:tcPr>
            <w:tcW w:w="536" w:type="dxa"/>
            <w:tcBorders>
              <w:bottom w:val="single" w:sz="6" w:space="0" w:color="000000"/>
            </w:tcBorders>
            <w:shd w:val="clear" w:color="auto" w:fill="CCEDFF"/>
          </w:tcPr>
          <w:p>
            <w:pPr>
              <w:pStyle w:val="TableParagraph"/>
              <w:rPr>
                <w:sz w:val="14"/>
              </w:rPr>
            </w:pPr>
          </w:p>
        </w:tc>
        <w:tc>
          <w:tcPr>
            <w:tcW w:w="844" w:type="dxa"/>
            <w:tcBorders>
              <w:bottom w:val="single" w:sz="6" w:space="0" w:color="000000"/>
            </w:tcBorders>
            <w:shd w:val="clear" w:color="auto" w:fill="CCEDFF"/>
          </w:tcPr>
          <w:p>
            <w:pPr>
              <w:pStyle w:val="TableParagraph"/>
              <w:rPr>
                <w:sz w:val="14"/>
              </w:rPr>
            </w:pPr>
          </w:p>
        </w:tc>
        <w:tc>
          <w:tcPr>
            <w:tcW w:w="620" w:type="dxa"/>
            <w:tcBorders>
              <w:bottom w:val="single" w:sz="6" w:space="0" w:color="000000"/>
            </w:tcBorders>
            <w:shd w:val="clear" w:color="auto" w:fill="CCEDFF"/>
          </w:tcPr>
          <w:p>
            <w:pPr>
              <w:pStyle w:val="TableParagraph"/>
              <w:rPr>
                <w:sz w:val="14"/>
              </w:rPr>
            </w:pPr>
          </w:p>
        </w:tc>
        <w:tc>
          <w:tcPr>
            <w:tcW w:w="819" w:type="dxa"/>
            <w:tcBorders>
              <w:bottom w:val="single" w:sz="6" w:space="0" w:color="000000"/>
            </w:tcBorders>
            <w:shd w:val="clear" w:color="auto" w:fill="CCEDFF"/>
          </w:tcPr>
          <w:p>
            <w:pPr>
              <w:pStyle w:val="TableParagraph"/>
              <w:rPr>
                <w:sz w:val="14"/>
              </w:rPr>
            </w:pPr>
          </w:p>
        </w:tc>
        <w:tc>
          <w:tcPr>
            <w:tcW w:w="471" w:type="dxa"/>
            <w:tcBorders>
              <w:bottom w:val="single" w:sz="6" w:space="0" w:color="000000"/>
            </w:tcBorders>
            <w:shd w:val="clear" w:color="auto" w:fill="CCEDFF"/>
          </w:tcPr>
          <w:p>
            <w:pPr>
              <w:pStyle w:val="TableParagraph"/>
              <w:spacing w:line="179" w:lineRule="exact" w:before="3"/>
              <w:ind w:left="14"/>
              <w:jc w:val="center"/>
              <w:rPr>
                <w:b/>
                <w:sz w:val="16"/>
              </w:rPr>
            </w:pPr>
            <w:r>
              <w:rPr>
                <w:b/>
                <w:spacing w:val="-4"/>
                <w:w w:val="105"/>
                <w:sz w:val="16"/>
              </w:rPr>
              <w:t>(17)</w:t>
            </w:r>
          </w:p>
        </w:tc>
        <w:tc>
          <w:tcPr>
            <w:tcW w:w="906" w:type="dxa"/>
            <w:tcBorders>
              <w:bottom w:val="single" w:sz="6" w:space="0" w:color="000000"/>
            </w:tcBorders>
            <w:shd w:val="clear" w:color="auto" w:fill="CCEDFF"/>
          </w:tcPr>
          <w:p>
            <w:pPr>
              <w:pStyle w:val="TableParagraph"/>
              <w:rPr>
                <w:sz w:val="14"/>
              </w:rPr>
            </w:pPr>
          </w:p>
        </w:tc>
        <w:tc>
          <w:tcPr>
            <w:tcW w:w="558" w:type="dxa"/>
            <w:tcBorders>
              <w:bottom w:val="single" w:sz="6" w:space="0" w:color="000000"/>
            </w:tcBorders>
            <w:shd w:val="clear" w:color="auto" w:fill="CCEDFF"/>
          </w:tcPr>
          <w:p>
            <w:pPr>
              <w:pStyle w:val="TableParagraph"/>
              <w:spacing w:line="179" w:lineRule="exact" w:before="3"/>
              <w:ind w:right="72"/>
              <w:jc w:val="center"/>
              <w:rPr>
                <w:sz w:val="16"/>
              </w:rPr>
            </w:pPr>
            <w:r>
              <w:rPr>
                <w:spacing w:val="-5"/>
                <w:w w:val="105"/>
                <w:sz w:val="16"/>
              </w:rPr>
              <w:t>25</w:t>
            </w:r>
          </w:p>
        </w:tc>
        <w:tc>
          <w:tcPr>
            <w:tcW w:w="791" w:type="dxa"/>
            <w:tcBorders>
              <w:bottom w:val="single" w:sz="6" w:space="0" w:color="000000"/>
            </w:tcBorders>
            <w:shd w:val="clear" w:color="auto" w:fill="CCEDFF"/>
          </w:tcPr>
          <w:p>
            <w:pPr>
              <w:pStyle w:val="TableParagraph"/>
              <w:rPr>
                <w:sz w:val="14"/>
              </w:rPr>
            </w:pPr>
          </w:p>
        </w:tc>
        <w:tc>
          <w:tcPr>
            <w:tcW w:w="498" w:type="dxa"/>
            <w:tcBorders>
              <w:bottom w:val="single" w:sz="6" w:space="0" w:color="000000"/>
            </w:tcBorders>
            <w:shd w:val="clear" w:color="auto" w:fill="CCEDFF"/>
          </w:tcPr>
          <w:p>
            <w:pPr>
              <w:pStyle w:val="TableParagraph"/>
              <w:rPr>
                <w:sz w:val="14"/>
              </w:rPr>
            </w:pPr>
          </w:p>
        </w:tc>
        <w:tc>
          <w:tcPr>
            <w:tcW w:w="906" w:type="dxa"/>
            <w:tcBorders>
              <w:bottom w:val="single" w:sz="6" w:space="0" w:color="000000"/>
            </w:tcBorders>
            <w:shd w:val="clear" w:color="auto" w:fill="CCEDFF"/>
          </w:tcPr>
          <w:p>
            <w:pPr>
              <w:pStyle w:val="TableParagraph"/>
              <w:rPr>
                <w:sz w:val="14"/>
              </w:rPr>
            </w:pPr>
          </w:p>
        </w:tc>
        <w:tc>
          <w:tcPr>
            <w:tcW w:w="443" w:type="dxa"/>
            <w:tcBorders>
              <w:bottom w:val="single" w:sz="6" w:space="0" w:color="000000"/>
            </w:tcBorders>
            <w:shd w:val="clear" w:color="auto" w:fill="CCEDFF"/>
          </w:tcPr>
          <w:p>
            <w:pPr>
              <w:pStyle w:val="TableParagraph"/>
              <w:rPr>
                <w:sz w:val="14"/>
              </w:rPr>
            </w:pPr>
          </w:p>
        </w:tc>
      </w:tr>
      <w:tr>
        <w:trPr>
          <w:trHeight w:val="199" w:hRule="atLeast"/>
        </w:trPr>
        <w:tc>
          <w:tcPr>
            <w:tcW w:w="3363" w:type="dxa"/>
            <w:tcBorders>
              <w:top w:val="single" w:sz="6" w:space="0" w:color="000000"/>
              <w:bottom w:val="double" w:sz="6" w:space="0" w:color="000000"/>
            </w:tcBorders>
          </w:tcPr>
          <w:p>
            <w:pPr>
              <w:pStyle w:val="TableParagraph"/>
              <w:spacing w:line="177" w:lineRule="exact" w:before="2"/>
              <w:rPr>
                <w:sz w:val="16"/>
              </w:rPr>
            </w:pPr>
            <w:r>
              <w:rPr>
                <w:w w:val="105"/>
                <w:sz w:val="16"/>
              </w:rPr>
              <w:t>Fair</w:t>
            </w:r>
            <w:r>
              <w:rPr>
                <w:spacing w:val="-7"/>
                <w:w w:val="105"/>
                <w:sz w:val="16"/>
              </w:rPr>
              <w:t> </w:t>
            </w:r>
            <w:r>
              <w:rPr>
                <w:w w:val="105"/>
                <w:sz w:val="16"/>
              </w:rPr>
              <w:t>value</w:t>
            </w:r>
            <w:r>
              <w:rPr>
                <w:spacing w:val="-6"/>
                <w:w w:val="105"/>
                <w:sz w:val="16"/>
              </w:rPr>
              <w:t> </w:t>
            </w:r>
            <w:r>
              <w:rPr>
                <w:w w:val="105"/>
                <w:sz w:val="16"/>
              </w:rPr>
              <w:t>of</w:t>
            </w:r>
            <w:r>
              <w:rPr>
                <w:spacing w:val="-6"/>
                <w:w w:val="105"/>
                <w:sz w:val="16"/>
              </w:rPr>
              <w:t> </w:t>
            </w:r>
            <w:r>
              <w:rPr>
                <w:w w:val="105"/>
                <w:sz w:val="16"/>
              </w:rPr>
              <w:t>plan</w:t>
            </w:r>
            <w:r>
              <w:rPr>
                <w:spacing w:val="-6"/>
                <w:w w:val="105"/>
                <w:sz w:val="16"/>
              </w:rPr>
              <w:t> </w:t>
            </w:r>
            <w:r>
              <w:rPr>
                <w:w w:val="105"/>
                <w:sz w:val="16"/>
              </w:rPr>
              <w:t>assets</w:t>
            </w:r>
            <w:r>
              <w:rPr>
                <w:spacing w:val="-6"/>
                <w:w w:val="105"/>
                <w:sz w:val="16"/>
              </w:rPr>
              <w:t> </w:t>
            </w:r>
            <w:r>
              <w:rPr>
                <w:w w:val="105"/>
                <w:sz w:val="16"/>
              </w:rPr>
              <w:t>at</w:t>
            </w:r>
            <w:r>
              <w:rPr>
                <w:spacing w:val="-6"/>
                <w:w w:val="105"/>
                <w:sz w:val="16"/>
              </w:rPr>
              <w:t> </w:t>
            </w:r>
            <w:r>
              <w:rPr>
                <w:w w:val="105"/>
                <w:sz w:val="16"/>
              </w:rPr>
              <w:t>end</w:t>
            </w:r>
            <w:r>
              <w:rPr>
                <w:spacing w:val="-6"/>
                <w:w w:val="105"/>
                <w:sz w:val="16"/>
              </w:rPr>
              <w:t> </w:t>
            </w:r>
            <w:r>
              <w:rPr>
                <w:w w:val="105"/>
                <w:sz w:val="16"/>
              </w:rPr>
              <w:t>of</w:t>
            </w:r>
            <w:r>
              <w:rPr>
                <w:spacing w:val="-6"/>
                <w:w w:val="105"/>
                <w:sz w:val="16"/>
              </w:rPr>
              <w:t> </w:t>
            </w:r>
            <w:r>
              <w:rPr>
                <w:spacing w:val="-4"/>
                <w:w w:val="105"/>
                <w:sz w:val="16"/>
              </w:rPr>
              <w:t>year</w:t>
            </w:r>
          </w:p>
        </w:tc>
        <w:tc>
          <w:tcPr>
            <w:tcW w:w="766" w:type="dxa"/>
            <w:tcBorders>
              <w:top w:val="single" w:sz="6" w:space="0" w:color="000000"/>
              <w:bottom w:val="double" w:sz="6" w:space="0" w:color="000000"/>
            </w:tcBorders>
          </w:tcPr>
          <w:p>
            <w:pPr>
              <w:pStyle w:val="TableParagraph"/>
              <w:spacing w:line="177" w:lineRule="exact" w:before="2"/>
              <w:ind w:left="-1"/>
              <w:rPr>
                <w:b/>
                <w:sz w:val="16"/>
              </w:rPr>
            </w:pPr>
            <w:r>
              <w:rPr>
                <w:b/>
                <w:spacing w:val="-10"/>
                <w:w w:val="105"/>
                <w:sz w:val="16"/>
              </w:rPr>
              <w:t>$</w:t>
            </w:r>
          </w:p>
        </w:tc>
        <w:tc>
          <w:tcPr>
            <w:tcW w:w="536" w:type="dxa"/>
            <w:tcBorders>
              <w:top w:val="single" w:sz="6" w:space="0" w:color="000000"/>
              <w:bottom w:val="double" w:sz="6" w:space="0" w:color="000000"/>
            </w:tcBorders>
          </w:tcPr>
          <w:p>
            <w:pPr>
              <w:pStyle w:val="TableParagraph"/>
              <w:spacing w:line="177" w:lineRule="exact" w:before="2"/>
              <w:ind w:left="1" w:right="121"/>
              <w:jc w:val="center"/>
              <w:rPr>
                <w:b/>
                <w:sz w:val="16"/>
              </w:rPr>
            </w:pPr>
            <w:r>
              <w:rPr>
                <w:b/>
                <w:spacing w:val="-4"/>
                <w:w w:val="105"/>
                <w:sz w:val="16"/>
              </w:rPr>
              <w:t>3,598</w:t>
            </w:r>
          </w:p>
        </w:tc>
        <w:tc>
          <w:tcPr>
            <w:tcW w:w="844" w:type="dxa"/>
            <w:tcBorders>
              <w:top w:val="single" w:sz="6" w:space="0" w:color="000000"/>
              <w:bottom w:val="double" w:sz="6" w:space="0" w:color="000000"/>
            </w:tcBorders>
          </w:tcPr>
          <w:p>
            <w:pPr>
              <w:pStyle w:val="TableParagraph"/>
              <w:spacing w:line="177" w:lineRule="exact" w:before="2"/>
              <w:ind w:left="86"/>
              <w:rPr>
                <w:sz w:val="16"/>
              </w:rPr>
            </w:pPr>
            <w:r>
              <w:rPr>
                <w:spacing w:val="-10"/>
                <w:w w:val="105"/>
                <w:sz w:val="16"/>
              </w:rPr>
              <w:t>$</w:t>
            </w:r>
          </w:p>
        </w:tc>
        <w:tc>
          <w:tcPr>
            <w:tcW w:w="620" w:type="dxa"/>
            <w:tcBorders>
              <w:top w:val="single" w:sz="6" w:space="0" w:color="000000"/>
              <w:bottom w:val="double" w:sz="6" w:space="0" w:color="000000"/>
            </w:tcBorders>
          </w:tcPr>
          <w:p>
            <w:pPr>
              <w:pStyle w:val="TableParagraph"/>
              <w:spacing w:line="177" w:lineRule="exact" w:before="2"/>
              <w:ind w:right="229"/>
              <w:jc w:val="right"/>
              <w:rPr>
                <w:sz w:val="16"/>
              </w:rPr>
            </w:pPr>
            <w:r>
              <w:rPr>
                <w:spacing w:val="-4"/>
                <w:w w:val="105"/>
                <w:sz w:val="16"/>
              </w:rPr>
              <w:t>3,575</w:t>
            </w:r>
          </w:p>
        </w:tc>
        <w:tc>
          <w:tcPr>
            <w:tcW w:w="819" w:type="dxa"/>
            <w:tcBorders>
              <w:top w:val="single" w:sz="6" w:space="0" w:color="000000"/>
              <w:bottom w:val="double" w:sz="6" w:space="0" w:color="000000"/>
            </w:tcBorders>
          </w:tcPr>
          <w:p>
            <w:pPr>
              <w:pStyle w:val="TableParagraph"/>
              <w:spacing w:line="177" w:lineRule="exact" w:before="2"/>
              <w:ind w:left="-2"/>
              <w:rPr>
                <w:b/>
                <w:sz w:val="16"/>
              </w:rPr>
            </w:pPr>
            <w:r>
              <w:rPr>
                <w:b/>
                <w:spacing w:val="-10"/>
                <w:w w:val="105"/>
                <w:sz w:val="16"/>
              </w:rPr>
              <w:t>$</w:t>
            </w:r>
          </w:p>
        </w:tc>
        <w:tc>
          <w:tcPr>
            <w:tcW w:w="471" w:type="dxa"/>
            <w:tcBorders>
              <w:top w:val="single" w:sz="6" w:space="0" w:color="000000"/>
              <w:bottom w:val="double" w:sz="6" w:space="0" w:color="000000"/>
            </w:tcBorders>
          </w:tcPr>
          <w:p>
            <w:pPr>
              <w:pStyle w:val="TableParagraph"/>
              <w:spacing w:line="177" w:lineRule="exact" w:before="2"/>
              <w:ind w:right="66"/>
              <w:jc w:val="center"/>
              <w:rPr>
                <w:b/>
                <w:sz w:val="16"/>
              </w:rPr>
            </w:pPr>
            <w:r>
              <w:rPr>
                <w:b/>
                <w:spacing w:val="-5"/>
                <w:w w:val="105"/>
                <w:sz w:val="16"/>
              </w:rPr>
              <w:t>584</w:t>
            </w:r>
          </w:p>
        </w:tc>
        <w:tc>
          <w:tcPr>
            <w:tcW w:w="906" w:type="dxa"/>
            <w:tcBorders>
              <w:top w:val="single" w:sz="6" w:space="0" w:color="000000"/>
              <w:bottom w:val="double" w:sz="6" w:space="0" w:color="000000"/>
            </w:tcBorders>
          </w:tcPr>
          <w:p>
            <w:pPr>
              <w:pStyle w:val="TableParagraph"/>
              <w:spacing w:line="177" w:lineRule="exact" w:before="2"/>
              <w:ind w:left="83"/>
              <w:rPr>
                <w:sz w:val="16"/>
              </w:rPr>
            </w:pPr>
            <w:r>
              <w:rPr>
                <w:spacing w:val="-10"/>
                <w:w w:val="105"/>
                <w:sz w:val="16"/>
              </w:rPr>
              <w:t>$</w:t>
            </w:r>
          </w:p>
        </w:tc>
        <w:tc>
          <w:tcPr>
            <w:tcW w:w="558" w:type="dxa"/>
            <w:tcBorders>
              <w:top w:val="single" w:sz="6" w:space="0" w:color="000000"/>
              <w:bottom w:val="double" w:sz="6" w:space="0" w:color="000000"/>
            </w:tcBorders>
          </w:tcPr>
          <w:p>
            <w:pPr>
              <w:pStyle w:val="TableParagraph"/>
              <w:spacing w:line="177" w:lineRule="exact" w:before="2"/>
              <w:ind w:right="155"/>
              <w:jc w:val="center"/>
              <w:rPr>
                <w:sz w:val="16"/>
              </w:rPr>
            </w:pPr>
            <w:r>
              <w:rPr>
                <w:spacing w:val="-5"/>
                <w:w w:val="105"/>
                <w:sz w:val="16"/>
              </w:rPr>
              <w:t>598</w:t>
            </w:r>
          </w:p>
        </w:tc>
        <w:tc>
          <w:tcPr>
            <w:tcW w:w="791" w:type="dxa"/>
            <w:tcBorders>
              <w:top w:val="single" w:sz="6" w:space="0" w:color="000000"/>
              <w:bottom w:val="double" w:sz="6" w:space="0" w:color="000000"/>
            </w:tcBorders>
          </w:tcPr>
          <w:p>
            <w:pPr>
              <w:pStyle w:val="TableParagraph"/>
              <w:spacing w:line="177" w:lineRule="exact" w:before="2"/>
              <w:ind w:left="-5"/>
              <w:rPr>
                <w:b/>
                <w:sz w:val="16"/>
              </w:rPr>
            </w:pPr>
            <w:r>
              <w:rPr>
                <w:b/>
                <w:spacing w:val="-10"/>
                <w:w w:val="105"/>
                <w:sz w:val="16"/>
              </w:rPr>
              <w:t>$</w:t>
            </w:r>
          </w:p>
        </w:tc>
        <w:tc>
          <w:tcPr>
            <w:tcW w:w="498" w:type="dxa"/>
            <w:tcBorders>
              <w:top w:val="single" w:sz="6" w:space="0" w:color="000000"/>
              <w:bottom w:val="double" w:sz="6" w:space="0" w:color="000000"/>
            </w:tcBorders>
          </w:tcPr>
          <w:p>
            <w:pPr>
              <w:pStyle w:val="TableParagraph"/>
              <w:spacing w:line="177" w:lineRule="exact" w:before="2"/>
              <w:ind w:right="144"/>
              <w:jc w:val="right"/>
              <w:rPr>
                <w:b/>
                <w:sz w:val="16"/>
              </w:rPr>
            </w:pPr>
            <w:r>
              <w:rPr>
                <w:b/>
                <w:spacing w:val="-10"/>
                <w:w w:val="105"/>
                <w:sz w:val="16"/>
              </w:rPr>
              <w:t>9</w:t>
            </w:r>
          </w:p>
        </w:tc>
        <w:tc>
          <w:tcPr>
            <w:tcW w:w="906" w:type="dxa"/>
            <w:tcBorders>
              <w:top w:val="single" w:sz="6" w:space="0" w:color="000000"/>
              <w:bottom w:val="double" w:sz="6" w:space="0" w:color="000000"/>
            </w:tcBorders>
          </w:tcPr>
          <w:p>
            <w:pPr>
              <w:pStyle w:val="TableParagraph"/>
              <w:spacing w:line="177" w:lineRule="exact" w:before="2"/>
              <w:ind w:left="82"/>
              <w:rPr>
                <w:sz w:val="16"/>
              </w:rPr>
            </w:pPr>
            <w:r>
              <w:rPr>
                <w:spacing w:val="-10"/>
                <w:w w:val="105"/>
                <w:sz w:val="16"/>
              </w:rPr>
              <w:t>$</w:t>
            </w:r>
          </w:p>
        </w:tc>
        <w:tc>
          <w:tcPr>
            <w:tcW w:w="443" w:type="dxa"/>
            <w:tcBorders>
              <w:top w:val="single" w:sz="6" w:space="0" w:color="000000"/>
              <w:bottom w:val="double" w:sz="6" w:space="0" w:color="000000"/>
            </w:tcBorders>
          </w:tcPr>
          <w:p>
            <w:pPr>
              <w:pStyle w:val="TableParagraph"/>
              <w:spacing w:line="177" w:lineRule="exact" w:before="2"/>
              <w:ind w:left="157"/>
              <w:rPr>
                <w:sz w:val="16"/>
              </w:rPr>
            </w:pPr>
            <w:r>
              <w:rPr>
                <w:spacing w:val="-5"/>
                <w:w w:val="105"/>
                <w:sz w:val="16"/>
              </w:rPr>
              <w:t>30</w:t>
            </w:r>
          </w:p>
        </w:tc>
      </w:tr>
      <w:tr>
        <w:trPr>
          <w:trHeight w:val="200" w:hRule="atLeast"/>
        </w:trPr>
        <w:tc>
          <w:tcPr>
            <w:tcW w:w="3363" w:type="dxa"/>
            <w:tcBorders>
              <w:top w:val="double" w:sz="6" w:space="0" w:color="000000"/>
            </w:tcBorders>
            <w:shd w:val="clear" w:color="auto" w:fill="CCEDFF"/>
          </w:tcPr>
          <w:p>
            <w:pPr>
              <w:pStyle w:val="TableParagraph"/>
              <w:rPr>
                <w:sz w:val="12"/>
              </w:rPr>
            </w:pPr>
          </w:p>
        </w:tc>
        <w:tc>
          <w:tcPr>
            <w:tcW w:w="766" w:type="dxa"/>
            <w:tcBorders>
              <w:top w:val="double" w:sz="6" w:space="0" w:color="000000"/>
            </w:tcBorders>
            <w:shd w:val="clear" w:color="auto" w:fill="CCEDFF"/>
          </w:tcPr>
          <w:p>
            <w:pPr>
              <w:pStyle w:val="TableParagraph"/>
              <w:rPr>
                <w:sz w:val="12"/>
              </w:rPr>
            </w:pPr>
          </w:p>
        </w:tc>
        <w:tc>
          <w:tcPr>
            <w:tcW w:w="536" w:type="dxa"/>
            <w:tcBorders>
              <w:top w:val="double" w:sz="6" w:space="0" w:color="000000"/>
            </w:tcBorders>
            <w:shd w:val="clear" w:color="auto" w:fill="CCEDFF"/>
          </w:tcPr>
          <w:p>
            <w:pPr>
              <w:pStyle w:val="TableParagraph"/>
              <w:rPr>
                <w:sz w:val="12"/>
              </w:rPr>
            </w:pPr>
          </w:p>
        </w:tc>
        <w:tc>
          <w:tcPr>
            <w:tcW w:w="844" w:type="dxa"/>
            <w:tcBorders>
              <w:top w:val="double" w:sz="6" w:space="0" w:color="000000"/>
            </w:tcBorders>
            <w:shd w:val="clear" w:color="auto" w:fill="CCEDFF"/>
          </w:tcPr>
          <w:p>
            <w:pPr>
              <w:pStyle w:val="TableParagraph"/>
              <w:rPr>
                <w:sz w:val="12"/>
              </w:rPr>
            </w:pPr>
          </w:p>
        </w:tc>
        <w:tc>
          <w:tcPr>
            <w:tcW w:w="620" w:type="dxa"/>
            <w:tcBorders>
              <w:top w:val="double" w:sz="6" w:space="0" w:color="000000"/>
            </w:tcBorders>
            <w:shd w:val="clear" w:color="auto" w:fill="CCEDFF"/>
          </w:tcPr>
          <w:p>
            <w:pPr>
              <w:pStyle w:val="TableParagraph"/>
              <w:rPr>
                <w:sz w:val="12"/>
              </w:rPr>
            </w:pPr>
          </w:p>
        </w:tc>
        <w:tc>
          <w:tcPr>
            <w:tcW w:w="819" w:type="dxa"/>
            <w:tcBorders>
              <w:top w:val="double" w:sz="6" w:space="0" w:color="000000"/>
            </w:tcBorders>
            <w:shd w:val="clear" w:color="auto" w:fill="CCEDFF"/>
          </w:tcPr>
          <w:p>
            <w:pPr>
              <w:pStyle w:val="TableParagraph"/>
              <w:rPr>
                <w:sz w:val="12"/>
              </w:rPr>
            </w:pPr>
          </w:p>
        </w:tc>
        <w:tc>
          <w:tcPr>
            <w:tcW w:w="471" w:type="dxa"/>
            <w:tcBorders>
              <w:top w:val="double" w:sz="6" w:space="0" w:color="000000"/>
            </w:tcBorders>
            <w:shd w:val="clear" w:color="auto" w:fill="CCEDFF"/>
          </w:tcPr>
          <w:p>
            <w:pPr>
              <w:pStyle w:val="TableParagraph"/>
              <w:rPr>
                <w:sz w:val="12"/>
              </w:rPr>
            </w:pPr>
          </w:p>
        </w:tc>
        <w:tc>
          <w:tcPr>
            <w:tcW w:w="906" w:type="dxa"/>
            <w:tcBorders>
              <w:top w:val="double" w:sz="6" w:space="0" w:color="000000"/>
            </w:tcBorders>
            <w:shd w:val="clear" w:color="auto" w:fill="CCEDFF"/>
          </w:tcPr>
          <w:p>
            <w:pPr>
              <w:pStyle w:val="TableParagraph"/>
              <w:rPr>
                <w:sz w:val="12"/>
              </w:rPr>
            </w:pPr>
          </w:p>
        </w:tc>
        <w:tc>
          <w:tcPr>
            <w:tcW w:w="558" w:type="dxa"/>
            <w:tcBorders>
              <w:top w:val="double" w:sz="6" w:space="0" w:color="000000"/>
            </w:tcBorders>
            <w:shd w:val="clear" w:color="auto" w:fill="CCEDFF"/>
          </w:tcPr>
          <w:p>
            <w:pPr>
              <w:pStyle w:val="TableParagraph"/>
              <w:rPr>
                <w:sz w:val="12"/>
              </w:rPr>
            </w:pPr>
          </w:p>
        </w:tc>
        <w:tc>
          <w:tcPr>
            <w:tcW w:w="791" w:type="dxa"/>
            <w:tcBorders>
              <w:top w:val="double" w:sz="6" w:space="0" w:color="000000"/>
            </w:tcBorders>
            <w:shd w:val="clear" w:color="auto" w:fill="CCEDFF"/>
          </w:tcPr>
          <w:p>
            <w:pPr>
              <w:pStyle w:val="TableParagraph"/>
              <w:rPr>
                <w:sz w:val="12"/>
              </w:rPr>
            </w:pPr>
          </w:p>
        </w:tc>
        <w:tc>
          <w:tcPr>
            <w:tcW w:w="498" w:type="dxa"/>
            <w:tcBorders>
              <w:top w:val="double" w:sz="6" w:space="0" w:color="000000"/>
            </w:tcBorders>
            <w:shd w:val="clear" w:color="auto" w:fill="CCEDFF"/>
          </w:tcPr>
          <w:p>
            <w:pPr>
              <w:pStyle w:val="TableParagraph"/>
              <w:rPr>
                <w:sz w:val="12"/>
              </w:rPr>
            </w:pPr>
          </w:p>
        </w:tc>
        <w:tc>
          <w:tcPr>
            <w:tcW w:w="906" w:type="dxa"/>
            <w:tcBorders>
              <w:top w:val="double" w:sz="6" w:space="0" w:color="000000"/>
            </w:tcBorders>
            <w:shd w:val="clear" w:color="auto" w:fill="CCEDFF"/>
          </w:tcPr>
          <w:p>
            <w:pPr>
              <w:pStyle w:val="TableParagraph"/>
              <w:rPr>
                <w:sz w:val="12"/>
              </w:rPr>
            </w:pPr>
          </w:p>
        </w:tc>
        <w:tc>
          <w:tcPr>
            <w:tcW w:w="443" w:type="dxa"/>
            <w:tcBorders>
              <w:top w:val="double" w:sz="6" w:space="0" w:color="000000"/>
            </w:tcBorders>
            <w:shd w:val="clear" w:color="auto" w:fill="CCEDFF"/>
          </w:tcPr>
          <w:p>
            <w:pPr>
              <w:pStyle w:val="TableParagraph"/>
              <w:rPr>
                <w:sz w:val="12"/>
              </w:rPr>
            </w:pPr>
          </w:p>
        </w:tc>
      </w:tr>
      <w:tr>
        <w:trPr>
          <w:trHeight w:val="203" w:hRule="atLeast"/>
        </w:trPr>
        <w:tc>
          <w:tcPr>
            <w:tcW w:w="3363" w:type="dxa"/>
          </w:tcPr>
          <w:p>
            <w:pPr>
              <w:pStyle w:val="TableParagraph"/>
              <w:spacing w:line="180" w:lineRule="exact" w:before="3"/>
              <w:rPr>
                <w:b/>
                <w:sz w:val="16"/>
              </w:rPr>
            </w:pPr>
            <w:r>
              <w:rPr>
                <w:b/>
                <w:w w:val="105"/>
                <w:sz w:val="16"/>
              </w:rPr>
              <w:t>Funded</w:t>
            </w:r>
            <w:r>
              <w:rPr>
                <w:b/>
                <w:spacing w:val="-10"/>
                <w:w w:val="105"/>
                <w:sz w:val="16"/>
              </w:rPr>
              <w:t> </w:t>
            </w:r>
            <w:r>
              <w:rPr>
                <w:b/>
                <w:w w:val="105"/>
                <w:sz w:val="16"/>
              </w:rPr>
              <w:t>status</w:t>
            </w:r>
            <w:r>
              <w:rPr>
                <w:b/>
                <w:spacing w:val="-9"/>
                <w:w w:val="105"/>
                <w:sz w:val="16"/>
              </w:rPr>
              <w:t> </w:t>
            </w:r>
            <w:r>
              <w:rPr>
                <w:b/>
                <w:w w:val="105"/>
                <w:sz w:val="16"/>
              </w:rPr>
              <w:t>at</w:t>
            </w:r>
            <w:r>
              <w:rPr>
                <w:b/>
                <w:spacing w:val="-9"/>
                <w:w w:val="105"/>
                <w:sz w:val="16"/>
              </w:rPr>
              <w:t> </w:t>
            </w:r>
            <w:r>
              <w:rPr>
                <w:b/>
                <w:w w:val="105"/>
                <w:sz w:val="16"/>
              </w:rPr>
              <w:t>end</w:t>
            </w:r>
            <w:r>
              <w:rPr>
                <w:b/>
                <w:spacing w:val="-9"/>
                <w:w w:val="105"/>
                <w:sz w:val="16"/>
              </w:rPr>
              <w:t> </w:t>
            </w:r>
            <w:r>
              <w:rPr>
                <w:b/>
                <w:w w:val="105"/>
                <w:sz w:val="16"/>
              </w:rPr>
              <w:t>of</w:t>
            </w:r>
            <w:r>
              <w:rPr>
                <w:b/>
                <w:spacing w:val="-9"/>
                <w:w w:val="105"/>
                <w:sz w:val="16"/>
              </w:rPr>
              <w:t> </w:t>
            </w:r>
            <w:r>
              <w:rPr>
                <w:b/>
                <w:spacing w:val="-4"/>
                <w:w w:val="105"/>
                <w:sz w:val="16"/>
              </w:rPr>
              <w:t>year</w:t>
            </w:r>
          </w:p>
        </w:tc>
        <w:tc>
          <w:tcPr>
            <w:tcW w:w="766" w:type="dxa"/>
          </w:tcPr>
          <w:p>
            <w:pPr>
              <w:pStyle w:val="TableParagraph"/>
              <w:rPr>
                <w:sz w:val="14"/>
              </w:rPr>
            </w:pPr>
          </w:p>
        </w:tc>
        <w:tc>
          <w:tcPr>
            <w:tcW w:w="536" w:type="dxa"/>
          </w:tcPr>
          <w:p>
            <w:pPr>
              <w:pStyle w:val="TableParagraph"/>
              <w:rPr>
                <w:sz w:val="14"/>
              </w:rPr>
            </w:pPr>
          </w:p>
        </w:tc>
        <w:tc>
          <w:tcPr>
            <w:tcW w:w="844" w:type="dxa"/>
          </w:tcPr>
          <w:p>
            <w:pPr>
              <w:pStyle w:val="TableParagraph"/>
              <w:rPr>
                <w:sz w:val="14"/>
              </w:rPr>
            </w:pPr>
          </w:p>
        </w:tc>
        <w:tc>
          <w:tcPr>
            <w:tcW w:w="620" w:type="dxa"/>
          </w:tcPr>
          <w:p>
            <w:pPr>
              <w:pStyle w:val="TableParagraph"/>
              <w:rPr>
                <w:sz w:val="14"/>
              </w:rPr>
            </w:pPr>
          </w:p>
        </w:tc>
        <w:tc>
          <w:tcPr>
            <w:tcW w:w="819" w:type="dxa"/>
          </w:tcPr>
          <w:p>
            <w:pPr>
              <w:pStyle w:val="TableParagraph"/>
              <w:rPr>
                <w:sz w:val="14"/>
              </w:rPr>
            </w:pPr>
          </w:p>
        </w:tc>
        <w:tc>
          <w:tcPr>
            <w:tcW w:w="471" w:type="dxa"/>
          </w:tcPr>
          <w:p>
            <w:pPr>
              <w:pStyle w:val="TableParagraph"/>
              <w:rPr>
                <w:sz w:val="14"/>
              </w:rPr>
            </w:pPr>
          </w:p>
        </w:tc>
        <w:tc>
          <w:tcPr>
            <w:tcW w:w="906" w:type="dxa"/>
          </w:tcPr>
          <w:p>
            <w:pPr>
              <w:pStyle w:val="TableParagraph"/>
              <w:rPr>
                <w:sz w:val="14"/>
              </w:rPr>
            </w:pPr>
          </w:p>
        </w:tc>
        <w:tc>
          <w:tcPr>
            <w:tcW w:w="558" w:type="dxa"/>
          </w:tcPr>
          <w:p>
            <w:pPr>
              <w:pStyle w:val="TableParagraph"/>
              <w:rPr>
                <w:sz w:val="14"/>
              </w:rPr>
            </w:pPr>
          </w:p>
        </w:tc>
        <w:tc>
          <w:tcPr>
            <w:tcW w:w="791" w:type="dxa"/>
          </w:tcPr>
          <w:p>
            <w:pPr>
              <w:pStyle w:val="TableParagraph"/>
              <w:rPr>
                <w:sz w:val="14"/>
              </w:rPr>
            </w:pPr>
          </w:p>
        </w:tc>
        <w:tc>
          <w:tcPr>
            <w:tcW w:w="498" w:type="dxa"/>
          </w:tcPr>
          <w:p>
            <w:pPr>
              <w:pStyle w:val="TableParagraph"/>
              <w:rPr>
                <w:sz w:val="14"/>
              </w:rPr>
            </w:pPr>
          </w:p>
        </w:tc>
        <w:tc>
          <w:tcPr>
            <w:tcW w:w="906" w:type="dxa"/>
          </w:tcPr>
          <w:p>
            <w:pPr>
              <w:pStyle w:val="TableParagraph"/>
              <w:rPr>
                <w:sz w:val="14"/>
              </w:rPr>
            </w:pPr>
          </w:p>
        </w:tc>
        <w:tc>
          <w:tcPr>
            <w:tcW w:w="443" w:type="dxa"/>
          </w:tcPr>
          <w:p>
            <w:pPr>
              <w:pStyle w:val="TableParagraph"/>
              <w:rPr>
                <w:sz w:val="14"/>
              </w:rPr>
            </w:pPr>
          </w:p>
        </w:tc>
      </w:tr>
      <w:tr>
        <w:trPr>
          <w:trHeight w:val="203" w:hRule="atLeast"/>
        </w:trPr>
        <w:tc>
          <w:tcPr>
            <w:tcW w:w="3363" w:type="dxa"/>
            <w:shd w:val="clear" w:color="auto" w:fill="CCEDFF"/>
          </w:tcPr>
          <w:p>
            <w:pPr>
              <w:pStyle w:val="TableParagraph"/>
              <w:spacing w:line="180" w:lineRule="exact" w:before="3"/>
              <w:rPr>
                <w:sz w:val="16"/>
              </w:rPr>
            </w:pPr>
            <w:r>
              <w:rPr>
                <w:w w:val="105"/>
                <w:sz w:val="16"/>
              </w:rPr>
              <w:t>Fair</w:t>
            </w:r>
            <w:r>
              <w:rPr>
                <w:spacing w:val="-7"/>
                <w:w w:val="105"/>
                <w:sz w:val="16"/>
              </w:rPr>
              <w:t> </w:t>
            </w:r>
            <w:r>
              <w:rPr>
                <w:w w:val="105"/>
                <w:sz w:val="16"/>
              </w:rPr>
              <w:t>value</w:t>
            </w:r>
            <w:r>
              <w:rPr>
                <w:spacing w:val="-6"/>
                <w:w w:val="105"/>
                <w:sz w:val="16"/>
              </w:rPr>
              <w:t> </w:t>
            </w:r>
            <w:r>
              <w:rPr>
                <w:w w:val="105"/>
                <w:sz w:val="16"/>
              </w:rPr>
              <w:t>of</w:t>
            </w:r>
            <w:r>
              <w:rPr>
                <w:spacing w:val="-6"/>
                <w:w w:val="105"/>
                <w:sz w:val="16"/>
              </w:rPr>
              <w:t> </w:t>
            </w:r>
            <w:r>
              <w:rPr>
                <w:w w:val="105"/>
                <w:sz w:val="16"/>
              </w:rPr>
              <w:t>plan</w:t>
            </w:r>
            <w:r>
              <w:rPr>
                <w:spacing w:val="-6"/>
                <w:w w:val="105"/>
                <w:sz w:val="16"/>
              </w:rPr>
              <w:t> </w:t>
            </w:r>
            <w:r>
              <w:rPr>
                <w:spacing w:val="-2"/>
                <w:w w:val="105"/>
                <w:sz w:val="16"/>
              </w:rPr>
              <w:t>assets</w:t>
            </w:r>
          </w:p>
        </w:tc>
        <w:tc>
          <w:tcPr>
            <w:tcW w:w="766" w:type="dxa"/>
            <w:shd w:val="clear" w:color="auto" w:fill="CCEDFF"/>
          </w:tcPr>
          <w:p>
            <w:pPr>
              <w:pStyle w:val="TableParagraph"/>
              <w:spacing w:line="180" w:lineRule="exact" w:before="3"/>
              <w:ind w:left="-1"/>
              <w:rPr>
                <w:b/>
                <w:sz w:val="16"/>
              </w:rPr>
            </w:pPr>
            <w:r>
              <w:rPr>
                <w:b/>
                <w:spacing w:val="-10"/>
                <w:w w:val="105"/>
                <w:sz w:val="16"/>
              </w:rPr>
              <w:t>$</w:t>
            </w:r>
          </w:p>
        </w:tc>
        <w:tc>
          <w:tcPr>
            <w:tcW w:w="536" w:type="dxa"/>
            <w:shd w:val="clear" w:color="auto" w:fill="CCEDFF"/>
          </w:tcPr>
          <w:p>
            <w:pPr>
              <w:pStyle w:val="TableParagraph"/>
              <w:spacing w:line="180" w:lineRule="exact" w:before="3"/>
              <w:ind w:left="1" w:right="121"/>
              <w:jc w:val="center"/>
              <w:rPr>
                <w:b/>
                <w:sz w:val="16"/>
              </w:rPr>
            </w:pPr>
            <w:r>
              <w:rPr>
                <w:b/>
                <w:spacing w:val="-4"/>
                <w:w w:val="105"/>
                <w:sz w:val="16"/>
              </w:rPr>
              <w:t>3,598</w:t>
            </w:r>
          </w:p>
        </w:tc>
        <w:tc>
          <w:tcPr>
            <w:tcW w:w="844" w:type="dxa"/>
            <w:shd w:val="clear" w:color="auto" w:fill="CCEDFF"/>
          </w:tcPr>
          <w:p>
            <w:pPr>
              <w:pStyle w:val="TableParagraph"/>
              <w:spacing w:line="180" w:lineRule="exact" w:before="3"/>
              <w:ind w:left="86"/>
              <w:rPr>
                <w:sz w:val="16"/>
              </w:rPr>
            </w:pPr>
            <w:r>
              <w:rPr>
                <w:spacing w:val="-10"/>
                <w:w w:val="105"/>
                <w:sz w:val="16"/>
              </w:rPr>
              <w:t>$</w:t>
            </w:r>
          </w:p>
        </w:tc>
        <w:tc>
          <w:tcPr>
            <w:tcW w:w="620" w:type="dxa"/>
            <w:shd w:val="clear" w:color="auto" w:fill="CCEDFF"/>
          </w:tcPr>
          <w:p>
            <w:pPr>
              <w:pStyle w:val="TableParagraph"/>
              <w:spacing w:line="180" w:lineRule="exact" w:before="3"/>
              <w:ind w:right="229"/>
              <w:jc w:val="right"/>
              <w:rPr>
                <w:sz w:val="16"/>
              </w:rPr>
            </w:pPr>
            <w:r>
              <w:rPr>
                <w:spacing w:val="-4"/>
                <w:w w:val="105"/>
                <w:sz w:val="16"/>
              </w:rPr>
              <w:t>3,575</w:t>
            </w:r>
          </w:p>
        </w:tc>
        <w:tc>
          <w:tcPr>
            <w:tcW w:w="819" w:type="dxa"/>
            <w:shd w:val="clear" w:color="auto" w:fill="CCEDFF"/>
          </w:tcPr>
          <w:p>
            <w:pPr>
              <w:pStyle w:val="TableParagraph"/>
              <w:spacing w:line="180" w:lineRule="exact" w:before="3"/>
              <w:ind w:left="-2"/>
              <w:rPr>
                <w:b/>
                <w:sz w:val="16"/>
              </w:rPr>
            </w:pPr>
            <w:r>
              <w:rPr>
                <w:b/>
                <w:spacing w:val="-10"/>
                <w:w w:val="105"/>
                <w:sz w:val="16"/>
              </w:rPr>
              <w:t>$</w:t>
            </w:r>
          </w:p>
        </w:tc>
        <w:tc>
          <w:tcPr>
            <w:tcW w:w="471" w:type="dxa"/>
            <w:shd w:val="clear" w:color="auto" w:fill="CCEDFF"/>
          </w:tcPr>
          <w:p>
            <w:pPr>
              <w:pStyle w:val="TableParagraph"/>
              <w:spacing w:line="180" w:lineRule="exact" w:before="3"/>
              <w:ind w:right="66"/>
              <w:jc w:val="center"/>
              <w:rPr>
                <w:b/>
                <w:sz w:val="16"/>
              </w:rPr>
            </w:pPr>
            <w:r>
              <w:rPr>
                <w:b/>
                <w:spacing w:val="-5"/>
                <w:w w:val="105"/>
                <w:sz w:val="16"/>
              </w:rPr>
              <w:t>584</w:t>
            </w:r>
          </w:p>
        </w:tc>
        <w:tc>
          <w:tcPr>
            <w:tcW w:w="906" w:type="dxa"/>
            <w:shd w:val="clear" w:color="auto" w:fill="CCEDFF"/>
          </w:tcPr>
          <w:p>
            <w:pPr>
              <w:pStyle w:val="TableParagraph"/>
              <w:spacing w:line="180" w:lineRule="exact" w:before="3"/>
              <w:ind w:left="83"/>
              <w:rPr>
                <w:sz w:val="16"/>
              </w:rPr>
            </w:pPr>
            <w:r>
              <w:rPr>
                <w:spacing w:val="-10"/>
                <w:w w:val="105"/>
                <w:sz w:val="16"/>
              </w:rPr>
              <w:t>$</w:t>
            </w:r>
          </w:p>
        </w:tc>
        <w:tc>
          <w:tcPr>
            <w:tcW w:w="558" w:type="dxa"/>
            <w:shd w:val="clear" w:color="auto" w:fill="CCEDFF"/>
          </w:tcPr>
          <w:p>
            <w:pPr>
              <w:pStyle w:val="TableParagraph"/>
              <w:spacing w:line="180" w:lineRule="exact" w:before="3"/>
              <w:ind w:right="155"/>
              <w:jc w:val="center"/>
              <w:rPr>
                <w:sz w:val="16"/>
              </w:rPr>
            </w:pPr>
            <w:r>
              <w:rPr>
                <w:spacing w:val="-5"/>
                <w:w w:val="105"/>
                <w:sz w:val="16"/>
              </w:rPr>
              <w:t>598</w:t>
            </w:r>
          </w:p>
        </w:tc>
        <w:tc>
          <w:tcPr>
            <w:tcW w:w="791" w:type="dxa"/>
            <w:shd w:val="clear" w:color="auto" w:fill="CCEDFF"/>
          </w:tcPr>
          <w:p>
            <w:pPr>
              <w:pStyle w:val="TableParagraph"/>
              <w:spacing w:line="180" w:lineRule="exact" w:before="3"/>
              <w:ind w:left="-5"/>
              <w:rPr>
                <w:b/>
                <w:sz w:val="16"/>
              </w:rPr>
            </w:pPr>
            <w:r>
              <w:rPr>
                <w:b/>
                <w:spacing w:val="-10"/>
                <w:w w:val="105"/>
                <w:sz w:val="16"/>
              </w:rPr>
              <w:t>$</w:t>
            </w:r>
          </w:p>
        </w:tc>
        <w:tc>
          <w:tcPr>
            <w:tcW w:w="498" w:type="dxa"/>
            <w:shd w:val="clear" w:color="auto" w:fill="CCEDFF"/>
          </w:tcPr>
          <w:p>
            <w:pPr>
              <w:pStyle w:val="TableParagraph"/>
              <w:spacing w:line="180" w:lineRule="exact" w:before="3"/>
              <w:ind w:right="144"/>
              <w:jc w:val="right"/>
              <w:rPr>
                <w:b/>
                <w:sz w:val="16"/>
              </w:rPr>
            </w:pPr>
            <w:r>
              <w:rPr>
                <w:b/>
                <w:spacing w:val="-10"/>
                <w:w w:val="105"/>
                <w:sz w:val="16"/>
              </w:rPr>
              <w:t>9</w:t>
            </w:r>
          </w:p>
        </w:tc>
        <w:tc>
          <w:tcPr>
            <w:tcW w:w="906" w:type="dxa"/>
            <w:shd w:val="clear" w:color="auto" w:fill="CCEDFF"/>
          </w:tcPr>
          <w:p>
            <w:pPr>
              <w:pStyle w:val="TableParagraph"/>
              <w:spacing w:line="180" w:lineRule="exact" w:before="3"/>
              <w:ind w:left="82"/>
              <w:rPr>
                <w:sz w:val="16"/>
              </w:rPr>
            </w:pPr>
            <w:r>
              <w:rPr>
                <w:spacing w:val="-10"/>
                <w:w w:val="105"/>
                <w:sz w:val="16"/>
              </w:rPr>
              <w:t>$</w:t>
            </w:r>
          </w:p>
        </w:tc>
        <w:tc>
          <w:tcPr>
            <w:tcW w:w="443" w:type="dxa"/>
            <w:shd w:val="clear" w:color="auto" w:fill="CCEDFF"/>
          </w:tcPr>
          <w:p>
            <w:pPr>
              <w:pStyle w:val="TableParagraph"/>
              <w:spacing w:line="180" w:lineRule="exact" w:before="3"/>
              <w:ind w:left="157"/>
              <w:rPr>
                <w:sz w:val="16"/>
              </w:rPr>
            </w:pPr>
            <w:r>
              <w:rPr>
                <w:spacing w:val="-5"/>
                <w:w w:val="105"/>
                <w:sz w:val="16"/>
              </w:rPr>
              <w:t>30</w:t>
            </w:r>
          </w:p>
        </w:tc>
      </w:tr>
      <w:tr>
        <w:trPr>
          <w:trHeight w:val="202" w:hRule="atLeast"/>
        </w:trPr>
        <w:tc>
          <w:tcPr>
            <w:tcW w:w="4665" w:type="dxa"/>
            <w:gridSpan w:val="3"/>
            <w:tcBorders>
              <w:bottom w:val="single" w:sz="6" w:space="0" w:color="000000"/>
            </w:tcBorders>
          </w:tcPr>
          <w:p>
            <w:pPr>
              <w:pStyle w:val="TableParagraph"/>
              <w:tabs>
                <w:tab w:pos="4094" w:val="left" w:leader="none"/>
              </w:tabs>
              <w:spacing w:line="179" w:lineRule="exact" w:before="3"/>
              <w:rPr>
                <w:b/>
                <w:sz w:val="16"/>
              </w:rPr>
            </w:pPr>
            <w:r>
              <w:rPr>
                <w:w w:val="105"/>
                <w:sz w:val="16"/>
              </w:rPr>
              <w:t>Benefit</w:t>
            </w:r>
            <w:r>
              <w:rPr>
                <w:spacing w:val="-11"/>
                <w:w w:val="105"/>
                <w:sz w:val="16"/>
              </w:rPr>
              <w:t> </w:t>
            </w:r>
            <w:r>
              <w:rPr>
                <w:spacing w:val="-2"/>
                <w:w w:val="105"/>
                <w:sz w:val="16"/>
              </w:rPr>
              <w:t>obligations</w:t>
            </w:r>
            <w:r>
              <w:rPr>
                <w:sz w:val="16"/>
              </w:rPr>
              <w:tab/>
            </w:r>
            <w:r>
              <w:rPr>
                <w:b/>
                <w:spacing w:val="-2"/>
                <w:w w:val="105"/>
                <w:sz w:val="16"/>
              </w:rPr>
              <w:t>(4,075)</w:t>
            </w:r>
          </w:p>
        </w:tc>
        <w:tc>
          <w:tcPr>
            <w:tcW w:w="1464" w:type="dxa"/>
            <w:gridSpan w:val="2"/>
            <w:tcBorders>
              <w:bottom w:val="single" w:sz="6" w:space="0" w:color="000000"/>
            </w:tcBorders>
          </w:tcPr>
          <w:p>
            <w:pPr>
              <w:pStyle w:val="TableParagraph"/>
              <w:spacing w:line="179" w:lineRule="exact" w:before="3"/>
              <w:ind w:left="804"/>
              <w:rPr>
                <w:sz w:val="16"/>
              </w:rPr>
            </w:pPr>
            <w:r>
              <w:rPr>
                <w:spacing w:val="-2"/>
                <w:w w:val="105"/>
                <w:sz w:val="16"/>
              </w:rPr>
              <w:t>(4,203)</w:t>
            </w:r>
          </w:p>
        </w:tc>
        <w:tc>
          <w:tcPr>
            <w:tcW w:w="1290" w:type="dxa"/>
            <w:gridSpan w:val="2"/>
            <w:tcBorders>
              <w:bottom w:val="single" w:sz="6" w:space="0" w:color="000000"/>
            </w:tcBorders>
          </w:tcPr>
          <w:p>
            <w:pPr>
              <w:pStyle w:val="TableParagraph"/>
              <w:spacing w:line="179" w:lineRule="exact" w:before="3"/>
              <w:ind w:left="840"/>
              <w:rPr>
                <w:b/>
                <w:sz w:val="16"/>
              </w:rPr>
            </w:pPr>
            <w:r>
              <w:rPr>
                <w:b/>
                <w:spacing w:val="-2"/>
                <w:w w:val="105"/>
                <w:sz w:val="16"/>
              </w:rPr>
              <w:t>(736)</w:t>
            </w:r>
          </w:p>
        </w:tc>
        <w:tc>
          <w:tcPr>
            <w:tcW w:w="1464" w:type="dxa"/>
            <w:gridSpan w:val="2"/>
            <w:tcBorders>
              <w:bottom w:val="single" w:sz="6" w:space="0" w:color="000000"/>
            </w:tcBorders>
          </w:tcPr>
          <w:p>
            <w:pPr>
              <w:pStyle w:val="TableParagraph"/>
              <w:spacing w:line="179" w:lineRule="exact" w:before="3"/>
              <w:ind w:left="926"/>
              <w:rPr>
                <w:sz w:val="16"/>
              </w:rPr>
            </w:pPr>
            <w:r>
              <w:rPr>
                <w:spacing w:val="-2"/>
                <w:w w:val="105"/>
                <w:sz w:val="16"/>
              </w:rPr>
              <w:t>(778)</w:t>
            </w:r>
          </w:p>
        </w:tc>
        <w:tc>
          <w:tcPr>
            <w:tcW w:w="1289" w:type="dxa"/>
            <w:gridSpan w:val="2"/>
            <w:tcBorders>
              <w:bottom w:val="single" w:sz="6" w:space="0" w:color="000000"/>
            </w:tcBorders>
          </w:tcPr>
          <w:p>
            <w:pPr>
              <w:pStyle w:val="TableParagraph"/>
              <w:spacing w:line="179" w:lineRule="exact" w:before="3"/>
              <w:ind w:left="838"/>
              <w:rPr>
                <w:b/>
                <w:sz w:val="16"/>
              </w:rPr>
            </w:pPr>
            <w:r>
              <w:rPr>
                <w:b/>
                <w:spacing w:val="-2"/>
                <w:w w:val="105"/>
                <w:sz w:val="16"/>
              </w:rPr>
              <w:t>(654)</w:t>
            </w:r>
          </w:p>
        </w:tc>
        <w:tc>
          <w:tcPr>
            <w:tcW w:w="1349" w:type="dxa"/>
            <w:gridSpan w:val="2"/>
            <w:tcBorders>
              <w:bottom w:val="single" w:sz="6" w:space="0" w:color="000000"/>
            </w:tcBorders>
          </w:tcPr>
          <w:p>
            <w:pPr>
              <w:pStyle w:val="TableParagraph"/>
              <w:spacing w:line="179" w:lineRule="exact" w:before="3"/>
              <w:ind w:right="64"/>
              <w:jc w:val="right"/>
              <w:rPr>
                <w:sz w:val="16"/>
              </w:rPr>
            </w:pPr>
            <w:r>
              <w:rPr>
                <w:spacing w:val="-2"/>
                <w:w w:val="105"/>
                <w:sz w:val="16"/>
              </w:rPr>
              <w:t>(764)</w:t>
            </w:r>
          </w:p>
        </w:tc>
      </w:tr>
      <w:tr>
        <w:trPr>
          <w:trHeight w:val="199" w:hRule="atLeast"/>
        </w:trPr>
        <w:tc>
          <w:tcPr>
            <w:tcW w:w="4665" w:type="dxa"/>
            <w:gridSpan w:val="3"/>
            <w:tcBorders>
              <w:top w:val="single" w:sz="6" w:space="0" w:color="000000"/>
              <w:bottom w:val="double" w:sz="6" w:space="0" w:color="000000"/>
            </w:tcBorders>
            <w:shd w:val="clear" w:color="auto" w:fill="CCEDFF"/>
          </w:tcPr>
          <w:p>
            <w:pPr>
              <w:pStyle w:val="TableParagraph"/>
              <w:tabs>
                <w:tab w:pos="3362" w:val="left" w:leader="none"/>
                <w:tab w:pos="4218" w:val="left" w:leader="none"/>
              </w:tabs>
              <w:spacing w:line="177" w:lineRule="exact" w:before="2"/>
              <w:rPr>
                <w:b/>
                <w:sz w:val="16"/>
              </w:rPr>
            </w:pPr>
            <w:r>
              <w:rPr>
                <w:w w:val="105"/>
                <w:sz w:val="16"/>
              </w:rPr>
              <w:t>Funded</w:t>
            </w:r>
            <w:r>
              <w:rPr>
                <w:spacing w:val="-10"/>
                <w:w w:val="105"/>
                <w:sz w:val="16"/>
              </w:rPr>
              <w:t> </w:t>
            </w:r>
            <w:r>
              <w:rPr>
                <w:w w:val="105"/>
                <w:sz w:val="16"/>
              </w:rPr>
              <w:t>status</w:t>
            </w:r>
            <w:r>
              <w:rPr>
                <w:spacing w:val="-9"/>
                <w:w w:val="105"/>
                <w:sz w:val="16"/>
              </w:rPr>
              <w:t> </w:t>
            </w:r>
            <w:r>
              <w:rPr>
                <w:w w:val="105"/>
                <w:sz w:val="16"/>
              </w:rPr>
              <w:t>of</w:t>
            </w:r>
            <w:r>
              <w:rPr>
                <w:spacing w:val="-9"/>
                <w:w w:val="105"/>
                <w:sz w:val="16"/>
              </w:rPr>
              <w:t> </w:t>
            </w:r>
            <w:r>
              <w:rPr>
                <w:spacing w:val="-2"/>
                <w:w w:val="105"/>
                <w:sz w:val="16"/>
              </w:rPr>
              <w:t>plans</w:t>
            </w:r>
            <w:r>
              <w:rPr>
                <w:sz w:val="16"/>
              </w:rPr>
              <w:tab/>
            </w:r>
            <w:r>
              <w:rPr>
                <w:b/>
                <w:spacing w:val="-10"/>
                <w:w w:val="105"/>
                <w:sz w:val="16"/>
              </w:rPr>
              <w:t>$</w:t>
            </w:r>
            <w:r>
              <w:rPr>
                <w:b/>
                <w:sz w:val="16"/>
              </w:rPr>
              <w:tab/>
            </w:r>
            <w:r>
              <w:rPr>
                <w:b/>
                <w:spacing w:val="-2"/>
                <w:w w:val="105"/>
                <w:sz w:val="16"/>
              </w:rPr>
              <w:t>(477)</w:t>
            </w:r>
          </w:p>
        </w:tc>
        <w:tc>
          <w:tcPr>
            <w:tcW w:w="1464" w:type="dxa"/>
            <w:gridSpan w:val="2"/>
            <w:tcBorders>
              <w:top w:val="single" w:sz="6" w:space="0" w:color="000000"/>
              <w:bottom w:val="double" w:sz="6" w:space="0" w:color="000000"/>
            </w:tcBorders>
            <w:shd w:val="clear" w:color="auto" w:fill="CCEDFF"/>
          </w:tcPr>
          <w:p>
            <w:pPr>
              <w:pStyle w:val="TableParagraph"/>
              <w:tabs>
                <w:tab w:pos="929" w:val="left" w:leader="none"/>
              </w:tabs>
              <w:spacing w:line="177" w:lineRule="exact" w:before="2"/>
              <w:ind w:left="86"/>
              <w:rPr>
                <w:sz w:val="16"/>
              </w:rPr>
            </w:pPr>
            <w:r>
              <w:rPr>
                <w:spacing w:val="-10"/>
                <w:w w:val="105"/>
                <w:sz w:val="16"/>
              </w:rPr>
              <w:t>$</w:t>
            </w:r>
            <w:r>
              <w:rPr>
                <w:sz w:val="16"/>
              </w:rPr>
              <w:tab/>
            </w:r>
            <w:r>
              <w:rPr>
                <w:spacing w:val="-2"/>
                <w:w w:val="105"/>
                <w:sz w:val="16"/>
              </w:rPr>
              <w:t>(628)</w:t>
            </w:r>
          </w:p>
        </w:tc>
        <w:tc>
          <w:tcPr>
            <w:tcW w:w="1290" w:type="dxa"/>
            <w:gridSpan w:val="2"/>
            <w:tcBorders>
              <w:top w:val="single" w:sz="6" w:space="0" w:color="000000"/>
              <w:bottom w:val="double" w:sz="6" w:space="0" w:color="000000"/>
            </w:tcBorders>
            <w:shd w:val="clear" w:color="auto" w:fill="CCEDFF"/>
          </w:tcPr>
          <w:p>
            <w:pPr>
              <w:pStyle w:val="TableParagraph"/>
              <w:tabs>
                <w:tab w:pos="840" w:val="left" w:leader="none"/>
              </w:tabs>
              <w:spacing w:line="177" w:lineRule="exact" w:before="2"/>
              <w:ind w:left="-2"/>
              <w:rPr>
                <w:b/>
                <w:sz w:val="16"/>
              </w:rPr>
            </w:pPr>
            <w:r>
              <w:rPr>
                <w:b/>
                <w:spacing w:val="-10"/>
                <w:w w:val="105"/>
                <w:sz w:val="16"/>
              </w:rPr>
              <w:t>$</w:t>
            </w:r>
            <w:r>
              <w:rPr>
                <w:b/>
                <w:sz w:val="16"/>
              </w:rPr>
              <w:tab/>
            </w:r>
            <w:r>
              <w:rPr>
                <w:b/>
                <w:spacing w:val="-4"/>
                <w:w w:val="105"/>
                <w:sz w:val="16"/>
              </w:rPr>
              <w:t>(152)</w:t>
            </w:r>
          </w:p>
        </w:tc>
        <w:tc>
          <w:tcPr>
            <w:tcW w:w="1464" w:type="dxa"/>
            <w:gridSpan w:val="2"/>
            <w:tcBorders>
              <w:top w:val="single" w:sz="6" w:space="0" w:color="000000"/>
              <w:bottom w:val="double" w:sz="6" w:space="0" w:color="000000"/>
            </w:tcBorders>
            <w:shd w:val="clear" w:color="auto" w:fill="CCEDFF"/>
          </w:tcPr>
          <w:p>
            <w:pPr>
              <w:pStyle w:val="TableParagraph"/>
              <w:tabs>
                <w:tab w:pos="926" w:val="left" w:leader="none"/>
              </w:tabs>
              <w:spacing w:line="177" w:lineRule="exact" w:before="2"/>
              <w:ind w:left="83"/>
              <w:rPr>
                <w:sz w:val="16"/>
              </w:rPr>
            </w:pPr>
            <w:r>
              <w:rPr>
                <w:spacing w:val="-10"/>
                <w:w w:val="105"/>
                <w:sz w:val="16"/>
              </w:rPr>
              <w:t>$</w:t>
            </w:r>
            <w:r>
              <w:rPr>
                <w:sz w:val="16"/>
              </w:rPr>
              <w:tab/>
            </w:r>
            <w:r>
              <w:rPr>
                <w:spacing w:val="-4"/>
                <w:w w:val="105"/>
                <w:sz w:val="16"/>
              </w:rPr>
              <w:t>(180)</w:t>
            </w:r>
          </w:p>
        </w:tc>
        <w:tc>
          <w:tcPr>
            <w:tcW w:w="1289" w:type="dxa"/>
            <w:gridSpan w:val="2"/>
            <w:tcBorders>
              <w:top w:val="single" w:sz="6" w:space="0" w:color="000000"/>
              <w:bottom w:val="double" w:sz="6" w:space="0" w:color="000000"/>
            </w:tcBorders>
            <w:shd w:val="clear" w:color="auto" w:fill="CCEDFF"/>
          </w:tcPr>
          <w:p>
            <w:pPr>
              <w:pStyle w:val="TableParagraph"/>
              <w:tabs>
                <w:tab w:pos="838" w:val="left" w:leader="none"/>
              </w:tabs>
              <w:spacing w:line="177" w:lineRule="exact" w:before="2"/>
              <w:ind w:left="-5"/>
              <w:rPr>
                <w:b/>
                <w:sz w:val="16"/>
              </w:rPr>
            </w:pPr>
            <w:r>
              <w:rPr>
                <w:b/>
                <w:spacing w:val="-10"/>
                <w:w w:val="105"/>
                <w:sz w:val="16"/>
              </w:rPr>
              <w:t>$</w:t>
            </w:r>
            <w:r>
              <w:rPr>
                <w:b/>
                <w:sz w:val="16"/>
              </w:rPr>
              <w:tab/>
            </w:r>
            <w:r>
              <w:rPr>
                <w:b/>
                <w:spacing w:val="-4"/>
                <w:w w:val="105"/>
                <w:sz w:val="16"/>
              </w:rPr>
              <w:t>(645)</w:t>
            </w:r>
          </w:p>
        </w:tc>
        <w:tc>
          <w:tcPr>
            <w:tcW w:w="1349" w:type="dxa"/>
            <w:gridSpan w:val="2"/>
            <w:tcBorders>
              <w:top w:val="single" w:sz="6" w:space="0" w:color="000000"/>
              <w:bottom w:val="double" w:sz="6" w:space="0" w:color="000000"/>
            </w:tcBorders>
            <w:shd w:val="clear" w:color="auto" w:fill="CCEDFF"/>
          </w:tcPr>
          <w:p>
            <w:pPr>
              <w:pStyle w:val="TableParagraph"/>
              <w:tabs>
                <w:tab w:pos="925" w:val="left" w:leader="none"/>
              </w:tabs>
              <w:spacing w:line="177" w:lineRule="exact" w:before="2"/>
              <w:ind w:left="82"/>
              <w:rPr>
                <w:sz w:val="16"/>
              </w:rPr>
            </w:pPr>
            <w:r>
              <w:rPr>
                <w:spacing w:val="-10"/>
                <w:w w:val="105"/>
                <w:sz w:val="16"/>
              </w:rPr>
              <w:t>$</w:t>
            </w:r>
            <w:r>
              <w:rPr>
                <w:sz w:val="16"/>
              </w:rPr>
              <w:tab/>
            </w:r>
            <w:r>
              <w:rPr>
                <w:spacing w:val="-4"/>
                <w:w w:val="105"/>
                <w:sz w:val="16"/>
              </w:rPr>
              <w:t>(734)</w:t>
            </w:r>
          </w:p>
        </w:tc>
      </w:tr>
    </w:tbl>
    <w:p>
      <w:pPr>
        <w:pStyle w:val="BodyText"/>
        <w:spacing w:before="4"/>
        <w:rPr>
          <w:sz w:val="18"/>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3"/>
        <w:gridCol w:w="8173"/>
        <w:gridCol w:w="6871"/>
        <w:gridCol w:w="818"/>
        <w:gridCol w:w="470"/>
        <w:gridCol w:w="905"/>
        <w:gridCol w:w="557"/>
        <w:gridCol w:w="2657"/>
        <w:gridCol w:w="1348"/>
      </w:tblGrid>
      <w:tr>
        <w:trPr>
          <w:trHeight w:val="407" w:hRule="atLeast"/>
        </w:trPr>
        <w:tc>
          <w:tcPr>
            <w:tcW w:w="25162" w:type="dxa"/>
            <w:gridSpan w:val="9"/>
            <w:shd w:val="clear" w:color="auto" w:fill="CCEDFF"/>
          </w:tcPr>
          <w:p>
            <w:pPr>
              <w:pStyle w:val="TableParagraph"/>
              <w:spacing w:before="3"/>
              <w:rPr>
                <w:b/>
                <w:sz w:val="16"/>
              </w:rPr>
            </w:pPr>
            <w:r>
              <w:rPr>
                <w:b/>
                <w:spacing w:val="-2"/>
                <w:w w:val="105"/>
                <w:sz w:val="16"/>
              </w:rPr>
              <w:t>Amounts</w:t>
            </w:r>
            <w:r>
              <w:rPr>
                <w:b/>
                <w:spacing w:val="-3"/>
                <w:w w:val="105"/>
                <w:sz w:val="16"/>
              </w:rPr>
              <w:t> </w:t>
            </w:r>
            <w:r>
              <w:rPr>
                <w:b/>
                <w:spacing w:val="-2"/>
                <w:w w:val="105"/>
                <w:sz w:val="16"/>
              </w:rPr>
              <w:t>recognized</w:t>
            </w:r>
            <w:r>
              <w:rPr>
                <w:b/>
                <w:spacing w:val="-3"/>
                <w:w w:val="105"/>
                <w:sz w:val="16"/>
              </w:rPr>
              <w:t> </w:t>
            </w:r>
            <w:r>
              <w:rPr>
                <w:b/>
                <w:spacing w:val="-2"/>
                <w:w w:val="105"/>
                <w:sz w:val="16"/>
              </w:rPr>
              <w:t>in the</w:t>
            </w:r>
            <w:r>
              <w:rPr>
                <w:b/>
                <w:spacing w:val="-3"/>
                <w:w w:val="105"/>
                <w:sz w:val="16"/>
              </w:rPr>
              <w:t> </w:t>
            </w:r>
            <w:r>
              <w:rPr>
                <w:b/>
                <w:spacing w:val="-2"/>
                <w:w w:val="105"/>
                <w:sz w:val="16"/>
              </w:rPr>
              <w:t>consolidated</w:t>
            </w:r>
          </w:p>
          <w:p>
            <w:pPr>
              <w:pStyle w:val="TableParagraph"/>
              <w:spacing w:line="180" w:lineRule="exact" w:before="20"/>
              <w:ind w:left="152"/>
              <w:rPr>
                <w:b/>
                <w:sz w:val="16"/>
              </w:rPr>
            </w:pPr>
            <w:r>
              <w:rPr>
                <w:b/>
                <w:sz w:val="16"/>
              </w:rPr>
              <w:t>balance</w:t>
            </w:r>
            <w:r>
              <w:rPr>
                <w:b/>
                <w:spacing w:val="13"/>
                <w:sz w:val="16"/>
              </w:rPr>
              <w:t> </w:t>
            </w:r>
            <w:r>
              <w:rPr>
                <w:b/>
                <w:sz w:val="16"/>
              </w:rPr>
              <w:t>sheets</w:t>
            </w:r>
            <w:r>
              <w:rPr>
                <w:b/>
                <w:spacing w:val="13"/>
                <w:sz w:val="16"/>
              </w:rPr>
              <w:t> </w:t>
            </w:r>
            <w:r>
              <w:rPr>
                <w:b/>
                <w:sz w:val="16"/>
              </w:rPr>
              <w:t>consist</w:t>
            </w:r>
            <w:r>
              <w:rPr>
                <w:b/>
                <w:spacing w:val="13"/>
                <w:sz w:val="16"/>
              </w:rPr>
              <w:t> </w:t>
            </w:r>
            <w:r>
              <w:rPr>
                <w:b/>
                <w:spacing w:val="-5"/>
                <w:sz w:val="16"/>
              </w:rPr>
              <w:t>of:</w:t>
            </w:r>
          </w:p>
        </w:tc>
      </w:tr>
      <w:tr>
        <w:trPr>
          <w:trHeight w:val="203" w:hRule="atLeast"/>
        </w:trPr>
        <w:tc>
          <w:tcPr>
            <w:tcW w:w="3363" w:type="dxa"/>
          </w:tcPr>
          <w:p>
            <w:pPr>
              <w:pStyle w:val="TableParagraph"/>
              <w:spacing w:line="180" w:lineRule="exact" w:before="3"/>
              <w:rPr>
                <w:sz w:val="16"/>
              </w:rPr>
            </w:pPr>
            <w:r>
              <w:rPr>
                <w:sz w:val="16"/>
              </w:rPr>
              <w:t>Noncurrent</w:t>
            </w:r>
            <w:r>
              <w:rPr>
                <w:spacing w:val="22"/>
                <w:sz w:val="16"/>
              </w:rPr>
              <w:t> </w:t>
            </w:r>
            <w:r>
              <w:rPr>
                <w:spacing w:val="-2"/>
                <w:sz w:val="16"/>
              </w:rPr>
              <w:t>asset</w:t>
            </w:r>
          </w:p>
        </w:tc>
        <w:tc>
          <w:tcPr>
            <w:tcW w:w="8173" w:type="dxa"/>
          </w:tcPr>
          <w:p>
            <w:pPr>
              <w:pStyle w:val="TableParagraph"/>
              <w:rPr>
                <w:sz w:val="14"/>
              </w:rPr>
            </w:pPr>
          </w:p>
        </w:tc>
        <w:tc>
          <w:tcPr>
            <w:tcW w:w="6871" w:type="dxa"/>
          </w:tcPr>
          <w:p>
            <w:pPr>
              <w:pStyle w:val="TableParagraph"/>
              <w:rPr>
                <w:sz w:val="14"/>
              </w:rPr>
            </w:pPr>
          </w:p>
        </w:tc>
        <w:tc>
          <w:tcPr>
            <w:tcW w:w="1288" w:type="dxa"/>
            <w:gridSpan w:val="2"/>
          </w:tcPr>
          <w:p>
            <w:pPr>
              <w:pStyle w:val="TableParagraph"/>
              <w:tabs>
                <w:tab w:pos="-11382" w:val="left" w:leader="none"/>
              </w:tabs>
              <w:spacing w:line="180" w:lineRule="exact" w:before="3"/>
              <w:ind w:left="-12280"/>
              <w:rPr>
                <w:b/>
                <w:sz w:val="16"/>
              </w:rPr>
            </w:pPr>
            <w:r>
              <w:rPr>
                <w:b/>
                <w:spacing w:val="-10"/>
                <w:w w:val="105"/>
                <w:sz w:val="16"/>
              </w:rPr>
              <w:t>$</w:t>
            </w:r>
            <w:r>
              <w:rPr>
                <w:b/>
                <w:sz w:val="16"/>
              </w:rPr>
              <w:tab/>
            </w:r>
            <w:r>
              <w:rPr>
                <w:b/>
                <w:spacing w:val="-5"/>
                <w:w w:val="105"/>
                <w:sz w:val="16"/>
              </w:rPr>
              <w:t>100</w:t>
            </w:r>
          </w:p>
        </w:tc>
        <w:tc>
          <w:tcPr>
            <w:tcW w:w="1462" w:type="dxa"/>
            <w:gridSpan w:val="2"/>
          </w:tcPr>
          <w:p>
            <w:pPr>
              <w:pStyle w:val="TableParagraph"/>
              <w:tabs>
                <w:tab w:pos="-11212" w:val="left" w:leader="none"/>
              </w:tabs>
              <w:spacing w:line="180" w:lineRule="exact" w:before="3"/>
              <w:ind w:left="-12193"/>
              <w:rPr>
                <w:sz w:val="16"/>
              </w:rPr>
            </w:pPr>
            <w:r>
              <w:rPr>
                <w:spacing w:val="-10"/>
                <w:w w:val="105"/>
                <w:sz w:val="16"/>
              </w:rPr>
              <w:t>$</w:t>
            </w:r>
            <w:r>
              <w:rPr>
                <w:sz w:val="16"/>
              </w:rPr>
              <w:tab/>
            </w:r>
            <w:r>
              <w:rPr>
                <w:spacing w:val="-5"/>
                <w:w w:val="105"/>
                <w:sz w:val="16"/>
              </w:rPr>
              <w:t>99</w:t>
            </w:r>
          </w:p>
        </w:tc>
        <w:tc>
          <w:tcPr>
            <w:tcW w:w="2657" w:type="dxa"/>
          </w:tcPr>
          <w:p>
            <w:pPr>
              <w:pStyle w:val="TableParagraph"/>
              <w:rPr>
                <w:sz w:val="14"/>
              </w:rPr>
            </w:pPr>
          </w:p>
        </w:tc>
        <w:tc>
          <w:tcPr>
            <w:tcW w:w="1348" w:type="dxa"/>
          </w:tcPr>
          <w:p>
            <w:pPr>
              <w:pStyle w:val="TableParagraph"/>
              <w:rPr>
                <w:sz w:val="14"/>
              </w:rPr>
            </w:pPr>
          </w:p>
        </w:tc>
      </w:tr>
      <w:tr>
        <w:trPr>
          <w:trHeight w:val="203" w:hRule="atLeast"/>
        </w:trPr>
        <w:tc>
          <w:tcPr>
            <w:tcW w:w="3363" w:type="dxa"/>
            <w:shd w:val="clear" w:color="auto" w:fill="CCEDFF"/>
          </w:tcPr>
          <w:p>
            <w:pPr>
              <w:pStyle w:val="TableParagraph"/>
              <w:spacing w:line="180" w:lineRule="exact" w:before="3"/>
              <w:rPr>
                <w:sz w:val="16"/>
              </w:rPr>
            </w:pPr>
            <w:r>
              <w:rPr>
                <w:sz w:val="16"/>
              </w:rPr>
              <w:t>Current</w:t>
            </w:r>
            <w:r>
              <w:rPr>
                <w:spacing w:val="15"/>
                <w:sz w:val="16"/>
              </w:rPr>
              <w:t> </w:t>
            </w:r>
            <w:r>
              <w:rPr>
                <w:spacing w:val="-2"/>
                <w:sz w:val="16"/>
              </w:rPr>
              <w:t>liability</w:t>
            </w:r>
          </w:p>
        </w:tc>
        <w:tc>
          <w:tcPr>
            <w:tcW w:w="8173" w:type="dxa"/>
            <w:shd w:val="clear" w:color="auto" w:fill="CCEDFF"/>
          </w:tcPr>
          <w:p>
            <w:pPr>
              <w:pStyle w:val="TableParagraph"/>
              <w:tabs>
                <w:tab w:pos="938" w:val="left" w:leader="none"/>
              </w:tabs>
              <w:spacing w:line="180" w:lineRule="exact" w:before="3"/>
              <w:ind w:left="-1"/>
              <w:rPr>
                <w:b/>
                <w:sz w:val="16"/>
              </w:rPr>
            </w:pPr>
            <w:r>
              <w:rPr>
                <w:b/>
                <w:spacing w:val="-10"/>
                <w:w w:val="105"/>
                <w:sz w:val="16"/>
              </w:rPr>
              <w:t>$</w:t>
            </w:r>
            <w:r>
              <w:rPr>
                <w:b/>
                <w:sz w:val="16"/>
              </w:rPr>
              <w:tab/>
            </w:r>
            <w:r>
              <w:rPr>
                <w:b/>
                <w:spacing w:val="-4"/>
                <w:w w:val="105"/>
                <w:sz w:val="16"/>
              </w:rPr>
              <w:t>(15)</w:t>
            </w:r>
          </w:p>
        </w:tc>
        <w:tc>
          <w:tcPr>
            <w:tcW w:w="6871" w:type="dxa"/>
            <w:shd w:val="clear" w:color="auto" w:fill="CCEDFF"/>
          </w:tcPr>
          <w:p>
            <w:pPr>
              <w:pStyle w:val="TableParagraph"/>
              <w:tabs>
                <w:tab w:pos="-5860" w:val="left" w:leader="none"/>
              </w:tabs>
              <w:spacing w:line="180" w:lineRule="exact" w:before="3"/>
              <w:ind w:left="-6785"/>
              <w:rPr>
                <w:sz w:val="16"/>
              </w:rPr>
            </w:pPr>
            <w:r>
              <w:rPr>
                <w:spacing w:val="-10"/>
                <w:w w:val="105"/>
                <w:sz w:val="16"/>
              </w:rPr>
              <w:t>$</w:t>
            </w:r>
            <w:r>
              <w:rPr>
                <w:sz w:val="16"/>
              </w:rPr>
              <w:tab/>
            </w:r>
            <w:r>
              <w:rPr>
                <w:spacing w:val="-4"/>
                <w:w w:val="105"/>
                <w:sz w:val="16"/>
              </w:rPr>
              <w:t>(13)</w:t>
            </w:r>
          </w:p>
        </w:tc>
        <w:tc>
          <w:tcPr>
            <w:tcW w:w="1288" w:type="dxa"/>
            <w:gridSpan w:val="2"/>
            <w:shd w:val="clear" w:color="auto" w:fill="CCEDFF"/>
          </w:tcPr>
          <w:p>
            <w:pPr>
              <w:pStyle w:val="TableParagraph"/>
              <w:spacing w:line="180" w:lineRule="exact" w:before="3"/>
              <w:ind w:left="-11272"/>
              <w:rPr>
                <w:b/>
                <w:sz w:val="16"/>
              </w:rPr>
            </w:pPr>
            <w:r>
              <w:rPr>
                <w:b/>
                <w:spacing w:val="-5"/>
                <w:w w:val="105"/>
                <w:sz w:val="16"/>
              </w:rPr>
              <w:t>(7)</w:t>
            </w:r>
          </w:p>
        </w:tc>
        <w:tc>
          <w:tcPr>
            <w:tcW w:w="1462" w:type="dxa"/>
            <w:gridSpan w:val="2"/>
            <w:shd w:val="clear" w:color="auto" w:fill="CCEDFF"/>
          </w:tcPr>
          <w:p>
            <w:pPr>
              <w:pStyle w:val="TableParagraph"/>
              <w:spacing w:line="180" w:lineRule="exact" w:before="3"/>
              <w:ind w:left="-11184"/>
              <w:rPr>
                <w:sz w:val="16"/>
              </w:rPr>
            </w:pPr>
            <w:r>
              <w:rPr>
                <w:spacing w:val="-5"/>
                <w:w w:val="105"/>
                <w:sz w:val="16"/>
              </w:rPr>
              <w:t>(7)</w:t>
            </w:r>
          </w:p>
        </w:tc>
        <w:tc>
          <w:tcPr>
            <w:tcW w:w="2657" w:type="dxa"/>
            <w:shd w:val="clear" w:color="auto" w:fill="CCEDFF"/>
          </w:tcPr>
          <w:p>
            <w:pPr>
              <w:pStyle w:val="TableParagraph"/>
              <w:tabs>
                <w:tab w:pos="-11353" w:val="left" w:leader="none"/>
              </w:tabs>
              <w:spacing w:line="180" w:lineRule="exact" w:before="3"/>
              <w:ind w:left="-12279"/>
              <w:rPr>
                <w:b/>
                <w:sz w:val="16"/>
              </w:rPr>
            </w:pPr>
            <w:r>
              <w:rPr>
                <w:b/>
                <w:spacing w:val="-10"/>
                <w:w w:val="105"/>
                <w:sz w:val="16"/>
              </w:rPr>
              <w:t>$</w:t>
            </w:r>
            <w:r>
              <w:rPr>
                <w:b/>
                <w:sz w:val="16"/>
              </w:rPr>
              <w:tab/>
            </w:r>
            <w:r>
              <w:rPr>
                <w:b/>
                <w:spacing w:val="-4"/>
                <w:w w:val="105"/>
                <w:sz w:val="16"/>
              </w:rPr>
              <w:t>(23)</w:t>
            </w:r>
          </w:p>
        </w:tc>
        <w:tc>
          <w:tcPr>
            <w:tcW w:w="1348" w:type="dxa"/>
            <w:shd w:val="clear" w:color="auto" w:fill="CCEDFF"/>
          </w:tcPr>
          <w:p>
            <w:pPr>
              <w:pStyle w:val="TableParagraph"/>
              <w:tabs>
                <w:tab w:pos="-12552" w:val="left" w:leader="none"/>
              </w:tabs>
              <w:spacing w:line="180" w:lineRule="exact" w:before="3"/>
              <w:ind w:left="-13560"/>
              <w:rPr>
                <w:sz w:val="16"/>
              </w:rPr>
            </w:pPr>
            <w:r>
              <w:rPr>
                <w:spacing w:val="-10"/>
                <w:w w:val="105"/>
                <w:sz w:val="16"/>
              </w:rPr>
              <w:t>$</w:t>
            </w:r>
            <w:r>
              <w:rPr>
                <w:sz w:val="16"/>
              </w:rPr>
              <w:tab/>
            </w:r>
            <w:r>
              <w:rPr>
                <w:spacing w:val="-5"/>
                <w:w w:val="105"/>
                <w:sz w:val="16"/>
              </w:rPr>
              <w:t>(7)</w:t>
            </w:r>
          </w:p>
        </w:tc>
      </w:tr>
      <w:tr>
        <w:trPr>
          <w:trHeight w:val="202" w:hRule="atLeast"/>
        </w:trPr>
        <w:tc>
          <w:tcPr>
            <w:tcW w:w="3363" w:type="dxa"/>
            <w:tcBorders>
              <w:bottom w:val="single" w:sz="6" w:space="0" w:color="000000"/>
            </w:tcBorders>
          </w:tcPr>
          <w:p>
            <w:pPr>
              <w:pStyle w:val="TableParagraph"/>
              <w:spacing w:line="179" w:lineRule="exact" w:before="3"/>
              <w:rPr>
                <w:sz w:val="16"/>
              </w:rPr>
            </w:pPr>
            <w:r>
              <w:rPr>
                <w:sz w:val="16"/>
              </w:rPr>
              <w:t>Noncurrent</w:t>
            </w:r>
            <w:r>
              <w:rPr>
                <w:spacing w:val="22"/>
                <w:sz w:val="16"/>
              </w:rPr>
              <w:t> </w:t>
            </w:r>
            <w:r>
              <w:rPr>
                <w:spacing w:val="-2"/>
                <w:sz w:val="16"/>
              </w:rPr>
              <w:t>liability</w:t>
            </w:r>
          </w:p>
        </w:tc>
        <w:tc>
          <w:tcPr>
            <w:tcW w:w="8173" w:type="dxa"/>
            <w:tcBorders>
              <w:bottom w:val="single" w:sz="6" w:space="0" w:color="000000"/>
            </w:tcBorders>
          </w:tcPr>
          <w:p>
            <w:pPr>
              <w:pStyle w:val="TableParagraph"/>
              <w:spacing w:line="179" w:lineRule="exact" w:before="3"/>
              <w:ind w:left="855"/>
              <w:rPr>
                <w:b/>
                <w:sz w:val="16"/>
              </w:rPr>
            </w:pPr>
            <w:r>
              <w:rPr>
                <w:b/>
                <w:spacing w:val="-2"/>
                <w:w w:val="105"/>
                <w:sz w:val="16"/>
              </w:rPr>
              <w:t>(462)</w:t>
            </w:r>
          </w:p>
        </w:tc>
        <w:tc>
          <w:tcPr>
            <w:tcW w:w="6871" w:type="dxa"/>
            <w:tcBorders>
              <w:bottom w:val="single" w:sz="6" w:space="0" w:color="000000"/>
            </w:tcBorders>
          </w:tcPr>
          <w:p>
            <w:pPr>
              <w:pStyle w:val="TableParagraph"/>
              <w:spacing w:line="179" w:lineRule="exact" w:before="3"/>
              <w:ind w:left="-5942"/>
              <w:rPr>
                <w:sz w:val="16"/>
              </w:rPr>
            </w:pPr>
            <w:r>
              <w:rPr>
                <w:spacing w:val="-2"/>
                <w:w w:val="105"/>
                <w:sz w:val="16"/>
              </w:rPr>
              <w:t>(615)</w:t>
            </w:r>
          </w:p>
        </w:tc>
        <w:tc>
          <w:tcPr>
            <w:tcW w:w="1288" w:type="dxa"/>
            <w:gridSpan w:val="2"/>
            <w:tcBorders>
              <w:bottom w:val="single" w:sz="6" w:space="0" w:color="000000"/>
            </w:tcBorders>
          </w:tcPr>
          <w:p>
            <w:pPr>
              <w:pStyle w:val="TableParagraph"/>
              <w:spacing w:line="179" w:lineRule="exact" w:before="3"/>
              <w:ind w:left="-11438"/>
              <w:rPr>
                <w:b/>
                <w:sz w:val="16"/>
              </w:rPr>
            </w:pPr>
            <w:r>
              <w:rPr>
                <w:b/>
                <w:spacing w:val="-2"/>
                <w:w w:val="105"/>
                <w:sz w:val="16"/>
              </w:rPr>
              <w:t>(245)</w:t>
            </w:r>
          </w:p>
        </w:tc>
        <w:tc>
          <w:tcPr>
            <w:tcW w:w="1462" w:type="dxa"/>
            <w:gridSpan w:val="2"/>
            <w:tcBorders>
              <w:bottom w:val="single" w:sz="6" w:space="0" w:color="000000"/>
            </w:tcBorders>
          </w:tcPr>
          <w:p>
            <w:pPr>
              <w:pStyle w:val="TableParagraph"/>
              <w:spacing w:line="179" w:lineRule="exact" w:before="3"/>
              <w:ind w:left="-11350"/>
              <w:rPr>
                <w:sz w:val="16"/>
              </w:rPr>
            </w:pPr>
            <w:r>
              <w:rPr>
                <w:spacing w:val="-2"/>
                <w:w w:val="105"/>
                <w:sz w:val="16"/>
              </w:rPr>
              <w:t>(272)</w:t>
            </w:r>
          </w:p>
        </w:tc>
        <w:tc>
          <w:tcPr>
            <w:tcW w:w="2657" w:type="dxa"/>
            <w:tcBorders>
              <w:bottom w:val="single" w:sz="6" w:space="0" w:color="000000"/>
            </w:tcBorders>
          </w:tcPr>
          <w:p>
            <w:pPr>
              <w:pStyle w:val="TableParagraph"/>
              <w:spacing w:line="179" w:lineRule="exact" w:before="3"/>
              <w:ind w:left="-11436"/>
              <w:rPr>
                <w:b/>
                <w:sz w:val="16"/>
              </w:rPr>
            </w:pPr>
            <w:r>
              <w:rPr>
                <w:b/>
                <w:spacing w:val="-2"/>
                <w:w w:val="105"/>
                <w:sz w:val="16"/>
              </w:rPr>
              <w:t>(622)</w:t>
            </w:r>
          </w:p>
        </w:tc>
        <w:tc>
          <w:tcPr>
            <w:tcW w:w="1348" w:type="dxa"/>
            <w:tcBorders>
              <w:bottom w:val="single" w:sz="6" w:space="0" w:color="000000"/>
            </w:tcBorders>
          </w:tcPr>
          <w:p>
            <w:pPr>
              <w:pStyle w:val="TableParagraph"/>
              <w:spacing w:line="179" w:lineRule="exact" w:before="3"/>
              <w:ind w:left="-12717"/>
              <w:rPr>
                <w:sz w:val="16"/>
              </w:rPr>
            </w:pPr>
            <w:r>
              <w:rPr>
                <w:spacing w:val="-2"/>
                <w:w w:val="105"/>
                <w:sz w:val="16"/>
              </w:rPr>
              <w:t>(727)</w:t>
            </w:r>
          </w:p>
        </w:tc>
      </w:tr>
      <w:tr>
        <w:trPr>
          <w:trHeight w:val="199" w:hRule="atLeast"/>
        </w:trPr>
        <w:tc>
          <w:tcPr>
            <w:tcW w:w="3363" w:type="dxa"/>
            <w:tcBorders>
              <w:top w:val="single" w:sz="6" w:space="0" w:color="000000"/>
              <w:bottom w:val="double" w:sz="6" w:space="0" w:color="000000"/>
            </w:tcBorders>
            <w:shd w:val="clear" w:color="auto" w:fill="CCEDFF"/>
          </w:tcPr>
          <w:p>
            <w:pPr>
              <w:pStyle w:val="TableParagraph"/>
              <w:spacing w:line="177" w:lineRule="exact" w:before="2"/>
              <w:rPr>
                <w:sz w:val="16"/>
              </w:rPr>
            </w:pPr>
            <w:r>
              <w:rPr>
                <w:sz w:val="16"/>
              </w:rPr>
              <w:t>Recognized</w:t>
            </w:r>
            <w:r>
              <w:rPr>
                <w:spacing w:val="23"/>
                <w:sz w:val="16"/>
              </w:rPr>
              <w:t> </w:t>
            </w:r>
            <w:r>
              <w:rPr>
                <w:spacing w:val="-2"/>
                <w:sz w:val="16"/>
              </w:rPr>
              <w:t>liability</w:t>
            </w:r>
          </w:p>
        </w:tc>
        <w:tc>
          <w:tcPr>
            <w:tcW w:w="8173" w:type="dxa"/>
            <w:tcBorders>
              <w:top w:val="single" w:sz="6" w:space="0" w:color="000000"/>
              <w:bottom w:val="double" w:sz="6" w:space="0" w:color="000000"/>
            </w:tcBorders>
            <w:shd w:val="clear" w:color="auto" w:fill="CCEDFF"/>
          </w:tcPr>
          <w:p>
            <w:pPr>
              <w:pStyle w:val="TableParagraph"/>
              <w:tabs>
                <w:tab w:pos="855" w:val="left" w:leader="none"/>
              </w:tabs>
              <w:spacing w:line="177" w:lineRule="exact" w:before="2"/>
              <w:ind w:left="-1"/>
              <w:rPr>
                <w:b/>
                <w:sz w:val="16"/>
              </w:rPr>
            </w:pPr>
            <w:r>
              <w:rPr>
                <w:b/>
                <w:spacing w:val="-10"/>
                <w:w w:val="105"/>
                <w:sz w:val="16"/>
              </w:rPr>
              <w:t>$</w:t>
            </w:r>
            <w:r>
              <w:rPr>
                <w:b/>
                <w:sz w:val="16"/>
              </w:rPr>
              <w:tab/>
            </w:r>
            <w:r>
              <w:rPr>
                <w:b/>
                <w:spacing w:val="-2"/>
                <w:w w:val="105"/>
                <w:sz w:val="16"/>
              </w:rPr>
              <w:t>(477)</w:t>
            </w:r>
          </w:p>
        </w:tc>
        <w:tc>
          <w:tcPr>
            <w:tcW w:w="6871" w:type="dxa"/>
            <w:tcBorders>
              <w:top w:val="single" w:sz="6" w:space="0" w:color="000000"/>
              <w:bottom w:val="double" w:sz="6" w:space="0" w:color="000000"/>
            </w:tcBorders>
            <w:shd w:val="clear" w:color="auto" w:fill="CCEDFF"/>
          </w:tcPr>
          <w:p>
            <w:pPr>
              <w:pStyle w:val="TableParagraph"/>
              <w:tabs>
                <w:tab w:pos="-5942" w:val="left" w:leader="none"/>
              </w:tabs>
              <w:spacing w:line="177" w:lineRule="exact" w:before="2"/>
              <w:ind w:left="-6785"/>
              <w:rPr>
                <w:sz w:val="16"/>
              </w:rPr>
            </w:pPr>
            <w:r>
              <w:rPr>
                <w:spacing w:val="-10"/>
                <w:w w:val="105"/>
                <w:sz w:val="16"/>
              </w:rPr>
              <w:t>$</w:t>
            </w:r>
            <w:r>
              <w:rPr>
                <w:sz w:val="16"/>
              </w:rPr>
              <w:tab/>
            </w:r>
            <w:r>
              <w:rPr>
                <w:spacing w:val="-2"/>
                <w:w w:val="105"/>
                <w:sz w:val="16"/>
              </w:rPr>
              <w:t>(628)</w:t>
            </w:r>
          </w:p>
        </w:tc>
        <w:tc>
          <w:tcPr>
            <w:tcW w:w="1288" w:type="dxa"/>
            <w:gridSpan w:val="2"/>
            <w:tcBorders>
              <w:top w:val="single" w:sz="6" w:space="0" w:color="000000"/>
              <w:bottom w:val="double" w:sz="6" w:space="0" w:color="000000"/>
            </w:tcBorders>
            <w:shd w:val="clear" w:color="auto" w:fill="CCEDFF"/>
          </w:tcPr>
          <w:p>
            <w:pPr>
              <w:pStyle w:val="TableParagraph"/>
              <w:tabs>
                <w:tab w:pos="-11438" w:val="left" w:leader="none"/>
              </w:tabs>
              <w:spacing w:line="177" w:lineRule="exact" w:before="2"/>
              <w:ind w:left="-12280"/>
              <w:rPr>
                <w:b/>
                <w:sz w:val="16"/>
              </w:rPr>
            </w:pPr>
            <w:r>
              <w:rPr>
                <w:b/>
                <w:spacing w:val="-10"/>
                <w:w w:val="105"/>
                <w:sz w:val="16"/>
              </w:rPr>
              <w:t>$</w:t>
            </w:r>
            <w:r>
              <w:rPr>
                <w:b/>
                <w:sz w:val="16"/>
              </w:rPr>
              <w:tab/>
            </w:r>
            <w:r>
              <w:rPr>
                <w:b/>
                <w:spacing w:val="-2"/>
                <w:w w:val="105"/>
                <w:sz w:val="16"/>
              </w:rPr>
              <w:t>(152)</w:t>
            </w:r>
          </w:p>
        </w:tc>
        <w:tc>
          <w:tcPr>
            <w:tcW w:w="1462" w:type="dxa"/>
            <w:gridSpan w:val="2"/>
            <w:tcBorders>
              <w:top w:val="single" w:sz="6" w:space="0" w:color="000000"/>
              <w:bottom w:val="double" w:sz="6" w:space="0" w:color="000000"/>
            </w:tcBorders>
            <w:shd w:val="clear" w:color="auto" w:fill="CCEDFF"/>
          </w:tcPr>
          <w:p>
            <w:pPr>
              <w:pStyle w:val="TableParagraph"/>
              <w:tabs>
                <w:tab w:pos="-11350" w:val="left" w:leader="none"/>
              </w:tabs>
              <w:spacing w:line="177" w:lineRule="exact" w:before="2"/>
              <w:ind w:left="-12193"/>
              <w:rPr>
                <w:sz w:val="16"/>
              </w:rPr>
            </w:pPr>
            <w:r>
              <w:rPr>
                <w:spacing w:val="-10"/>
                <w:w w:val="105"/>
                <w:sz w:val="16"/>
              </w:rPr>
              <w:t>$</w:t>
            </w:r>
            <w:r>
              <w:rPr>
                <w:sz w:val="16"/>
              </w:rPr>
              <w:tab/>
            </w:r>
            <w:r>
              <w:rPr>
                <w:spacing w:val="-2"/>
                <w:w w:val="105"/>
                <w:sz w:val="16"/>
              </w:rPr>
              <w:t>(180)</w:t>
            </w:r>
          </w:p>
        </w:tc>
        <w:tc>
          <w:tcPr>
            <w:tcW w:w="2657" w:type="dxa"/>
            <w:tcBorders>
              <w:top w:val="single" w:sz="6" w:space="0" w:color="000000"/>
              <w:bottom w:val="double" w:sz="6" w:space="0" w:color="000000"/>
            </w:tcBorders>
            <w:shd w:val="clear" w:color="auto" w:fill="CCEDFF"/>
          </w:tcPr>
          <w:p>
            <w:pPr>
              <w:pStyle w:val="TableParagraph"/>
              <w:tabs>
                <w:tab w:pos="-11436" w:val="left" w:leader="none"/>
              </w:tabs>
              <w:spacing w:line="177" w:lineRule="exact" w:before="2"/>
              <w:ind w:left="-12279"/>
              <w:rPr>
                <w:b/>
                <w:sz w:val="16"/>
              </w:rPr>
            </w:pPr>
            <w:r>
              <w:rPr>
                <w:b/>
                <w:spacing w:val="-10"/>
                <w:w w:val="105"/>
                <w:sz w:val="16"/>
              </w:rPr>
              <w:t>$</w:t>
            </w:r>
            <w:r>
              <w:rPr>
                <w:b/>
                <w:sz w:val="16"/>
              </w:rPr>
              <w:tab/>
            </w:r>
            <w:r>
              <w:rPr>
                <w:b/>
                <w:spacing w:val="-2"/>
                <w:w w:val="105"/>
                <w:sz w:val="16"/>
              </w:rPr>
              <w:t>(645)</w:t>
            </w:r>
          </w:p>
        </w:tc>
        <w:tc>
          <w:tcPr>
            <w:tcW w:w="1348" w:type="dxa"/>
            <w:tcBorders>
              <w:top w:val="single" w:sz="6" w:space="0" w:color="000000"/>
              <w:bottom w:val="double" w:sz="6" w:space="0" w:color="000000"/>
            </w:tcBorders>
            <w:shd w:val="clear" w:color="auto" w:fill="CCEDFF"/>
          </w:tcPr>
          <w:p>
            <w:pPr>
              <w:pStyle w:val="TableParagraph"/>
              <w:tabs>
                <w:tab w:pos="-12717" w:val="left" w:leader="none"/>
              </w:tabs>
              <w:spacing w:line="177" w:lineRule="exact" w:before="2"/>
              <w:ind w:left="-13560"/>
              <w:rPr>
                <w:sz w:val="16"/>
              </w:rPr>
            </w:pPr>
            <w:r>
              <w:rPr>
                <w:spacing w:val="-10"/>
                <w:w w:val="105"/>
                <w:sz w:val="16"/>
              </w:rPr>
              <w:t>$</w:t>
            </w:r>
            <w:r>
              <w:rPr>
                <w:sz w:val="16"/>
              </w:rPr>
              <w:tab/>
            </w:r>
            <w:r>
              <w:rPr>
                <w:spacing w:val="-2"/>
                <w:w w:val="105"/>
                <w:sz w:val="16"/>
              </w:rPr>
              <w:t>(734)</w:t>
            </w:r>
          </w:p>
        </w:tc>
      </w:tr>
      <w:tr>
        <w:trPr>
          <w:trHeight w:val="200" w:hRule="atLeast"/>
        </w:trPr>
        <w:tc>
          <w:tcPr>
            <w:tcW w:w="3363" w:type="dxa"/>
            <w:tcBorders>
              <w:top w:val="double" w:sz="6" w:space="0" w:color="000000"/>
            </w:tcBorders>
          </w:tcPr>
          <w:p>
            <w:pPr>
              <w:pStyle w:val="TableParagraph"/>
              <w:rPr>
                <w:sz w:val="12"/>
              </w:rPr>
            </w:pPr>
          </w:p>
        </w:tc>
        <w:tc>
          <w:tcPr>
            <w:tcW w:w="8173" w:type="dxa"/>
            <w:tcBorders>
              <w:top w:val="double" w:sz="6" w:space="0" w:color="000000"/>
            </w:tcBorders>
          </w:tcPr>
          <w:p>
            <w:pPr>
              <w:pStyle w:val="TableParagraph"/>
              <w:rPr>
                <w:sz w:val="12"/>
              </w:rPr>
            </w:pPr>
          </w:p>
        </w:tc>
        <w:tc>
          <w:tcPr>
            <w:tcW w:w="6871" w:type="dxa"/>
            <w:tcBorders>
              <w:top w:val="double" w:sz="6" w:space="0" w:color="000000"/>
            </w:tcBorders>
          </w:tcPr>
          <w:p>
            <w:pPr>
              <w:pStyle w:val="TableParagraph"/>
              <w:rPr>
                <w:sz w:val="12"/>
              </w:rPr>
            </w:pPr>
          </w:p>
        </w:tc>
        <w:tc>
          <w:tcPr>
            <w:tcW w:w="1288" w:type="dxa"/>
            <w:gridSpan w:val="2"/>
            <w:tcBorders>
              <w:top w:val="double" w:sz="6" w:space="0" w:color="000000"/>
            </w:tcBorders>
          </w:tcPr>
          <w:p>
            <w:pPr>
              <w:pStyle w:val="TableParagraph"/>
              <w:rPr>
                <w:sz w:val="12"/>
              </w:rPr>
            </w:pPr>
          </w:p>
        </w:tc>
        <w:tc>
          <w:tcPr>
            <w:tcW w:w="1462" w:type="dxa"/>
            <w:gridSpan w:val="2"/>
            <w:tcBorders>
              <w:top w:val="double" w:sz="6" w:space="0" w:color="000000"/>
            </w:tcBorders>
          </w:tcPr>
          <w:p>
            <w:pPr>
              <w:pStyle w:val="TableParagraph"/>
              <w:rPr>
                <w:sz w:val="12"/>
              </w:rPr>
            </w:pPr>
          </w:p>
        </w:tc>
        <w:tc>
          <w:tcPr>
            <w:tcW w:w="2657" w:type="dxa"/>
            <w:tcBorders>
              <w:top w:val="double" w:sz="6" w:space="0" w:color="000000"/>
            </w:tcBorders>
          </w:tcPr>
          <w:p>
            <w:pPr>
              <w:pStyle w:val="TableParagraph"/>
              <w:rPr>
                <w:sz w:val="12"/>
              </w:rPr>
            </w:pPr>
          </w:p>
        </w:tc>
        <w:tc>
          <w:tcPr>
            <w:tcW w:w="1348" w:type="dxa"/>
            <w:tcBorders>
              <w:top w:val="double" w:sz="6" w:space="0" w:color="000000"/>
            </w:tcBorders>
          </w:tcPr>
          <w:p>
            <w:pPr>
              <w:pStyle w:val="TableParagraph"/>
              <w:rPr>
                <w:sz w:val="12"/>
              </w:rPr>
            </w:pPr>
          </w:p>
        </w:tc>
      </w:tr>
      <w:tr>
        <w:trPr>
          <w:trHeight w:val="407" w:hRule="atLeast"/>
        </w:trPr>
        <w:tc>
          <w:tcPr>
            <w:tcW w:w="3363" w:type="dxa"/>
            <w:shd w:val="clear" w:color="auto" w:fill="CCEDFF"/>
          </w:tcPr>
          <w:p>
            <w:pPr>
              <w:pStyle w:val="TableParagraph"/>
              <w:spacing w:before="3"/>
              <w:rPr>
                <w:b/>
                <w:sz w:val="16"/>
              </w:rPr>
            </w:pPr>
            <w:r>
              <w:rPr>
                <w:b/>
                <w:sz w:val="16"/>
              </w:rPr>
              <w:t>Amounts</w:t>
            </w:r>
            <w:r>
              <w:rPr>
                <w:b/>
                <w:spacing w:val="12"/>
                <w:sz w:val="16"/>
              </w:rPr>
              <w:t> </w:t>
            </w:r>
            <w:r>
              <w:rPr>
                <w:b/>
                <w:sz w:val="16"/>
              </w:rPr>
              <w:t>recognized</w:t>
            </w:r>
            <w:r>
              <w:rPr>
                <w:b/>
                <w:spacing w:val="12"/>
                <w:sz w:val="16"/>
              </w:rPr>
              <w:t> </w:t>
            </w:r>
            <w:r>
              <w:rPr>
                <w:b/>
                <w:sz w:val="16"/>
              </w:rPr>
              <w:t>in</w:t>
            </w:r>
            <w:r>
              <w:rPr>
                <w:b/>
                <w:spacing w:val="12"/>
                <w:sz w:val="16"/>
              </w:rPr>
              <w:t> </w:t>
            </w:r>
            <w:r>
              <w:rPr>
                <w:b/>
                <w:sz w:val="16"/>
              </w:rPr>
              <w:t>accumulated</w:t>
            </w:r>
            <w:r>
              <w:rPr>
                <w:b/>
                <w:spacing w:val="12"/>
                <w:sz w:val="16"/>
              </w:rPr>
              <w:t> </w:t>
            </w:r>
            <w:r>
              <w:rPr>
                <w:b/>
                <w:spacing w:val="-2"/>
                <w:sz w:val="16"/>
              </w:rPr>
              <w:t>other</w:t>
            </w:r>
          </w:p>
          <w:p>
            <w:pPr>
              <w:pStyle w:val="TableParagraph"/>
              <w:spacing w:line="180" w:lineRule="exact" w:before="20"/>
              <w:ind w:left="152"/>
              <w:rPr>
                <w:b/>
                <w:sz w:val="16"/>
              </w:rPr>
            </w:pPr>
            <w:r>
              <w:rPr>
                <w:b/>
                <w:sz w:val="16"/>
              </w:rPr>
              <w:t>comprehensive</w:t>
            </w:r>
            <w:r>
              <w:rPr>
                <w:b/>
                <w:spacing w:val="15"/>
                <w:sz w:val="16"/>
              </w:rPr>
              <w:t> </w:t>
            </w:r>
            <w:r>
              <w:rPr>
                <w:b/>
                <w:sz w:val="16"/>
              </w:rPr>
              <w:t>loss</w:t>
            </w:r>
            <w:r>
              <w:rPr>
                <w:b/>
                <w:spacing w:val="17"/>
                <w:sz w:val="16"/>
              </w:rPr>
              <w:t> </w:t>
            </w:r>
            <w:r>
              <w:rPr>
                <w:b/>
                <w:sz w:val="16"/>
              </w:rPr>
              <w:t>consist</w:t>
            </w:r>
            <w:r>
              <w:rPr>
                <w:b/>
                <w:spacing w:val="18"/>
                <w:sz w:val="16"/>
              </w:rPr>
              <w:t> </w:t>
            </w:r>
            <w:r>
              <w:rPr>
                <w:b/>
                <w:spacing w:val="-5"/>
                <w:sz w:val="16"/>
              </w:rPr>
              <w:t>of:</w:t>
            </w:r>
          </w:p>
        </w:tc>
        <w:tc>
          <w:tcPr>
            <w:tcW w:w="8173" w:type="dxa"/>
            <w:shd w:val="clear" w:color="auto" w:fill="CCEDFF"/>
          </w:tcPr>
          <w:p>
            <w:pPr>
              <w:pStyle w:val="TableParagraph"/>
              <w:rPr>
                <w:sz w:val="16"/>
              </w:rPr>
            </w:pPr>
          </w:p>
        </w:tc>
        <w:tc>
          <w:tcPr>
            <w:tcW w:w="6871" w:type="dxa"/>
            <w:shd w:val="clear" w:color="auto" w:fill="CCEDFF"/>
          </w:tcPr>
          <w:p>
            <w:pPr>
              <w:pStyle w:val="TableParagraph"/>
              <w:rPr>
                <w:sz w:val="16"/>
              </w:rPr>
            </w:pPr>
          </w:p>
        </w:tc>
        <w:tc>
          <w:tcPr>
            <w:tcW w:w="1288" w:type="dxa"/>
            <w:gridSpan w:val="2"/>
            <w:shd w:val="clear" w:color="auto" w:fill="CCEDFF"/>
          </w:tcPr>
          <w:p>
            <w:pPr>
              <w:pStyle w:val="TableParagraph"/>
              <w:rPr>
                <w:sz w:val="16"/>
              </w:rPr>
            </w:pPr>
          </w:p>
        </w:tc>
        <w:tc>
          <w:tcPr>
            <w:tcW w:w="1462" w:type="dxa"/>
            <w:gridSpan w:val="2"/>
            <w:shd w:val="clear" w:color="auto" w:fill="CCEDFF"/>
          </w:tcPr>
          <w:p>
            <w:pPr>
              <w:pStyle w:val="TableParagraph"/>
              <w:rPr>
                <w:sz w:val="16"/>
              </w:rPr>
            </w:pPr>
          </w:p>
        </w:tc>
        <w:tc>
          <w:tcPr>
            <w:tcW w:w="2657" w:type="dxa"/>
            <w:shd w:val="clear" w:color="auto" w:fill="CCEDFF"/>
          </w:tcPr>
          <w:p>
            <w:pPr>
              <w:pStyle w:val="TableParagraph"/>
              <w:rPr>
                <w:sz w:val="16"/>
              </w:rPr>
            </w:pPr>
          </w:p>
        </w:tc>
        <w:tc>
          <w:tcPr>
            <w:tcW w:w="1348" w:type="dxa"/>
            <w:shd w:val="clear" w:color="auto" w:fill="CCEDFF"/>
          </w:tcPr>
          <w:p>
            <w:pPr>
              <w:pStyle w:val="TableParagraph"/>
              <w:rPr>
                <w:sz w:val="16"/>
              </w:rPr>
            </w:pPr>
          </w:p>
        </w:tc>
      </w:tr>
      <w:tr>
        <w:trPr>
          <w:trHeight w:val="203" w:hRule="atLeast"/>
        </w:trPr>
        <w:tc>
          <w:tcPr>
            <w:tcW w:w="3363" w:type="dxa"/>
          </w:tcPr>
          <w:p>
            <w:pPr>
              <w:pStyle w:val="TableParagraph"/>
              <w:spacing w:line="180" w:lineRule="exact" w:before="3"/>
              <w:rPr>
                <w:sz w:val="16"/>
              </w:rPr>
            </w:pPr>
            <w:r>
              <w:rPr>
                <w:w w:val="105"/>
                <w:sz w:val="16"/>
              </w:rPr>
              <w:t>Net</w:t>
            </w:r>
            <w:r>
              <w:rPr>
                <w:spacing w:val="-8"/>
                <w:w w:val="105"/>
                <w:sz w:val="16"/>
              </w:rPr>
              <w:t> </w:t>
            </w:r>
            <w:r>
              <w:rPr>
                <w:w w:val="105"/>
                <w:sz w:val="16"/>
              </w:rPr>
              <w:t>actuarial</w:t>
            </w:r>
            <w:r>
              <w:rPr>
                <w:spacing w:val="-8"/>
                <w:w w:val="105"/>
                <w:sz w:val="16"/>
              </w:rPr>
              <w:t> </w:t>
            </w:r>
            <w:r>
              <w:rPr>
                <w:w w:val="105"/>
                <w:sz w:val="16"/>
              </w:rPr>
              <w:t>loss</w:t>
            </w:r>
            <w:r>
              <w:rPr>
                <w:spacing w:val="-8"/>
                <w:w w:val="105"/>
                <w:sz w:val="16"/>
              </w:rPr>
              <w:t> </w:t>
            </w:r>
            <w:r>
              <w:rPr>
                <w:spacing w:val="-2"/>
                <w:w w:val="105"/>
                <w:sz w:val="16"/>
              </w:rPr>
              <w:t>(gain)</w:t>
            </w:r>
          </w:p>
        </w:tc>
        <w:tc>
          <w:tcPr>
            <w:tcW w:w="8173" w:type="dxa"/>
          </w:tcPr>
          <w:p>
            <w:pPr>
              <w:pStyle w:val="TableParagraph"/>
              <w:tabs>
                <w:tab w:pos="910" w:val="left" w:leader="none"/>
              </w:tabs>
              <w:spacing w:line="180" w:lineRule="exact" w:before="3"/>
              <w:ind w:left="-1"/>
              <w:rPr>
                <w:b/>
                <w:sz w:val="16"/>
              </w:rPr>
            </w:pPr>
            <w:r>
              <w:rPr>
                <w:b/>
                <w:spacing w:val="-10"/>
                <w:w w:val="105"/>
                <w:sz w:val="16"/>
              </w:rPr>
              <w:t>$</w:t>
            </w:r>
            <w:r>
              <w:rPr>
                <w:b/>
                <w:sz w:val="16"/>
              </w:rPr>
              <w:tab/>
            </w:r>
            <w:r>
              <w:rPr>
                <w:b/>
                <w:spacing w:val="-5"/>
                <w:w w:val="105"/>
                <w:sz w:val="16"/>
              </w:rPr>
              <w:t>272</w:t>
            </w:r>
          </w:p>
        </w:tc>
        <w:tc>
          <w:tcPr>
            <w:tcW w:w="6871" w:type="dxa"/>
          </w:tcPr>
          <w:p>
            <w:pPr>
              <w:pStyle w:val="TableParagraph"/>
              <w:tabs>
                <w:tab w:pos="-5887" w:val="left" w:leader="none"/>
              </w:tabs>
              <w:spacing w:line="180" w:lineRule="exact" w:before="3"/>
              <w:ind w:left="-6785"/>
              <w:rPr>
                <w:sz w:val="16"/>
              </w:rPr>
            </w:pPr>
            <w:r>
              <w:rPr>
                <w:spacing w:val="-10"/>
                <w:w w:val="105"/>
                <w:sz w:val="16"/>
              </w:rPr>
              <w:t>$</w:t>
            </w:r>
            <w:r>
              <w:rPr>
                <w:sz w:val="16"/>
              </w:rPr>
              <w:tab/>
            </w:r>
            <w:r>
              <w:rPr>
                <w:spacing w:val="-5"/>
                <w:w w:val="105"/>
                <w:sz w:val="16"/>
              </w:rPr>
              <w:t>387</w:t>
            </w:r>
          </w:p>
        </w:tc>
        <w:tc>
          <w:tcPr>
            <w:tcW w:w="818" w:type="dxa"/>
          </w:tcPr>
          <w:p>
            <w:pPr>
              <w:pStyle w:val="TableParagraph"/>
              <w:spacing w:line="180" w:lineRule="exact" w:before="3"/>
              <w:ind w:left="-12280"/>
              <w:rPr>
                <w:b/>
                <w:sz w:val="16"/>
              </w:rPr>
            </w:pPr>
            <w:r>
              <w:rPr>
                <w:b/>
                <w:spacing w:val="-10"/>
                <w:w w:val="105"/>
                <w:sz w:val="16"/>
              </w:rPr>
              <w:t>$</w:t>
            </w:r>
          </w:p>
        </w:tc>
        <w:tc>
          <w:tcPr>
            <w:tcW w:w="470" w:type="dxa"/>
          </w:tcPr>
          <w:p>
            <w:pPr>
              <w:pStyle w:val="TableParagraph"/>
              <w:spacing w:line="180" w:lineRule="exact" w:before="3"/>
              <w:ind w:left="-12090"/>
              <w:rPr>
                <w:b/>
                <w:sz w:val="16"/>
              </w:rPr>
            </w:pPr>
            <w:r>
              <w:rPr>
                <w:b/>
                <w:spacing w:val="-5"/>
                <w:w w:val="105"/>
                <w:sz w:val="16"/>
              </w:rPr>
              <w:t>(3)</w:t>
            </w:r>
          </w:p>
        </w:tc>
        <w:tc>
          <w:tcPr>
            <w:tcW w:w="905" w:type="dxa"/>
          </w:tcPr>
          <w:p>
            <w:pPr>
              <w:pStyle w:val="TableParagraph"/>
              <w:spacing w:line="180" w:lineRule="exact" w:before="3"/>
              <w:ind w:left="-12193"/>
              <w:rPr>
                <w:sz w:val="16"/>
              </w:rPr>
            </w:pPr>
            <w:r>
              <w:rPr>
                <w:spacing w:val="-10"/>
                <w:w w:val="105"/>
                <w:sz w:val="16"/>
              </w:rPr>
              <w:t>$</w:t>
            </w:r>
          </w:p>
        </w:tc>
        <w:tc>
          <w:tcPr>
            <w:tcW w:w="557" w:type="dxa"/>
          </w:tcPr>
          <w:p>
            <w:pPr>
              <w:pStyle w:val="TableParagraph"/>
              <w:spacing w:line="180" w:lineRule="exact" w:before="3"/>
              <w:ind w:left="-12034" w:right="12505"/>
              <w:jc w:val="right"/>
              <w:rPr>
                <w:sz w:val="16"/>
              </w:rPr>
            </w:pPr>
            <w:r>
              <w:rPr>
                <w:spacing w:val="-10"/>
                <w:w w:val="105"/>
                <w:sz w:val="16"/>
              </w:rPr>
              <w:t>7</w:t>
            </w:r>
          </w:p>
        </w:tc>
        <w:tc>
          <w:tcPr>
            <w:tcW w:w="2657" w:type="dxa"/>
          </w:tcPr>
          <w:p>
            <w:pPr>
              <w:pStyle w:val="TableParagraph"/>
              <w:tabs>
                <w:tab w:pos="-11353" w:val="left" w:leader="none"/>
              </w:tabs>
              <w:spacing w:line="180" w:lineRule="exact" w:before="3"/>
              <w:ind w:left="-12279"/>
              <w:rPr>
                <w:b/>
                <w:sz w:val="16"/>
              </w:rPr>
            </w:pPr>
            <w:r>
              <w:rPr>
                <w:b/>
                <w:spacing w:val="-10"/>
                <w:w w:val="105"/>
                <w:sz w:val="16"/>
              </w:rPr>
              <w:t>$</w:t>
            </w:r>
            <w:r>
              <w:rPr>
                <w:b/>
                <w:sz w:val="16"/>
              </w:rPr>
              <w:tab/>
            </w:r>
            <w:r>
              <w:rPr>
                <w:b/>
                <w:spacing w:val="-4"/>
                <w:w w:val="105"/>
                <w:sz w:val="16"/>
              </w:rPr>
              <w:t>(22)</w:t>
            </w:r>
          </w:p>
        </w:tc>
        <w:tc>
          <w:tcPr>
            <w:tcW w:w="1348" w:type="dxa"/>
          </w:tcPr>
          <w:p>
            <w:pPr>
              <w:pStyle w:val="TableParagraph"/>
              <w:tabs>
                <w:tab w:pos="-12579" w:val="left" w:leader="none"/>
              </w:tabs>
              <w:spacing w:line="180" w:lineRule="exact" w:before="3"/>
              <w:ind w:left="-13560"/>
              <w:rPr>
                <w:sz w:val="16"/>
              </w:rPr>
            </w:pPr>
            <w:r>
              <w:rPr>
                <w:spacing w:val="-10"/>
                <w:w w:val="105"/>
                <w:sz w:val="16"/>
              </w:rPr>
              <w:t>$</w:t>
            </w:r>
            <w:r>
              <w:rPr>
                <w:sz w:val="16"/>
              </w:rPr>
              <w:tab/>
            </w:r>
            <w:r>
              <w:rPr>
                <w:spacing w:val="-5"/>
                <w:w w:val="105"/>
                <w:sz w:val="16"/>
              </w:rPr>
              <w:t>86</w:t>
            </w:r>
          </w:p>
        </w:tc>
      </w:tr>
      <w:tr>
        <w:trPr>
          <w:trHeight w:val="202" w:hRule="atLeast"/>
        </w:trPr>
        <w:tc>
          <w:tcPr>
            <w:tcW w:w="3363" w:type="dxa"/>
            <w:tcBorders>
              <w:bottom w:val="single" w:sz="6" w:space="0" w:color="000000"/>
            </w:tcBorders>
            <w:shd w:val="clear" w:color="auto" w:fill="CCEDFF"/>
          </w:tcPr>
          <w:p>
            <w:pPr>
              <w:pStyle w:val="TableParagraph"/>
              <w:spacing w:line="179" w:lineRule="exact" w:before="3"/>
              <w:rPr>
                <w:sz w:val="16"/>
              </w:rPr>
            </w:pPr>
            <w:r>
              <w:rPr>
                <w:w w:val="105"/>
                <w:sz w:val="16"/>
              </w:rPr>
              <w:t>Prior</w:t>
            </w:r>
            <w:r>
              <w:rPr>
                <w:spacing w:val="-8"/>
                <w:w w:val="105"/>
                <w:sz w:val="16"/>
              </w:rPr>
              <w:t> </w:t>
            </w:r>
            <w:r>
              <w:rPr>
                <w:w w:val="105"/>
                <w:sz w:val="16"/>
              </w:rPr>
              <w:t>service</w:t>
            </w:r>
            <w:r>
              <w:rPr>
                <w:spacing w:val="-8"/>
                <w:w w:val="105"/>
                <w:sz w:val="16"/>
              </w:rPr>
              <w:t> </w:t>
            </w:r>
            <w:r>
              <w:rPr>
                <w:w w:val="105"/>
                <w:sz w:val="16"/>
              </w:rPr>
              <w:t>cost</w:t>
            </w:r>
            <w:r>
              <w:rPr>
                <w:spacing w:val="-8"/>
                <w:w w:val="105"/>
                <w:sz w:val="16"/>
              </w:rPr>
              <w:t> </w:t>
            </w:r>
            <w:r>
              <w:rPr>
                <w:spacing w:val="-2"/>
                <w:w w:val="105"/>
                <w:sz w:val="16"/>
              </w:rPr>
              <w:t>(credit)</w:t>
            </w:r>
          </w:p>
        </w:tc>
        <w:tc>
          <w:tcPr>
            <w:tcW w:w="8173" w:type="dxa"/>
            <w:tcBorders>
              <w:bottom w:val="single" w:sz="6" w:space="0" w:color="000000"/>
            </w:tcBorders>
            <w:shd w:val="clear" w:color="auto" w:fill="CCEDFF"/>
          </w:tcPr>
          <w:p>
            <w:pPr>
              <w:pStyle w:val="TableParagraph"/>
              <w:spacing w:line="179" w:lineRule="exact" w:before="3"/>
              <w:ind w:left="993"/>
              <w:rPr>
                <w:b/>
                <w:sz w:val="16"/>
              </w:rPr>
            </w:pPr>
            <w:r>
              <w:rPr>
                <w:b/>
                <w:spacing w:val="-5"/>
                <w:w w:val="105"/>
                <w:sz w:val="16"/>
              </w:rPr>
              <w:t>22</w:t>
            </w:r>
          </w:p>
        </w:tc>
        <w:tc>
          <w:tcPr>
            <w:tcW w:w="6871" w:type="dxa"/>
            <w:tcBorders>
              <w:bottom w:val="single" w:sz="6" w:space="0" w:color="000000"/>
            </w:tcBorders>
            <w:shd w:val="clear" w:color="auto" w:fill="CCEDFF"/>
          </w:tcPr>
          <w:p>
            <w:pPr>
              <w:pStyle w:val="TableParagraph"/>
              <w:spacing w:line="179" w:lineRule="exact" w:before="3"/>
              <w:ind w:left="-5804"/>
              <w:rPr>
                <w:sz w:val="16"/>
              </w:rPr>
            </w:pPr>
            <w:r>
              <w:rPr>
                <w:spacing w:val="-5"/>
                <w:w w:val="105"/>
                <w:sz w:val="16"/>
              </w:rPr>
              <w:t>26</w:t>
            </w:r>
          </w:p>
        </w:tc>
        <w:tc>
          <w:tcPr>
            <w:tcW w:w="818" w:type="dxa"/>
            <w:tcBorders>
              <w:bottom w:val="single" w:sz="6" w:space="0" w:color="000000"/>
            </w:tcBorders>
            <w:shd w:val="clear" w:color="auto" w:fill="CCEDFF"/>
          </w:tcPr>
          <w:p>
            <w:pPr>
              <w:pStyle w:val="TableParagraph"/>
              <w:rPr>
                <w:sz w:val="14"/>
              </w:rPr>
            </w:pPr>
          </w:p>
        </w:tc>
        <w:tc>
          <w:tcPr>
            <w:tcW w:w="470" w:type="dxa"/>
            <w:tcBorders>
              <w:bottom w:val="single" w:sz="6" w:space="0" w:color="000000"/>
            </w:tcBorders>
            <w:shd w:val="clear" w:color="auto" w:fill="CCEDFF"/>
          </w:tcPr>
          <w:p>
            <w:pPr>
              <w:pStyle w:val="TableParagraph"/>
              <w:spacing w:line="179" w:lineRule="exact" w:before="3"/>
              <w:ind w:left="-12035"/>
              <w:rPr>
                <w:b/>
                <w:sz w:val="16"/>
              </w:rPr>
            </w:pPr>
            <w:r>
              <w:rPr>
                <w:b/>
                <w:spacing w:val="-10"/>
                <w:w w:val="105"/>
                <w:sz w:val="16"/>
              </w:rPr>
              <w:t>1</w:t>
            </w:r>
          </w:p>
        </w:tc>
        <w:tc>
          <w:tcPr>
            <w:tcW w:w="905" w:type="dxa"/>
            <w:tcBorders>
              <w:bottom w:val="single" w:sz="6" w:space="0" w:color="000000"/>
            </w:tcBorders>
            <w:shd w:val="clear" w:color="auto" w:fill="CCEDFF"/>
          </w:tcPr>
          <w:p>
            <w:pPr>
              <w:pStyle w:val="TableParagraph"/>
              <w:rPr>
                <w:sz w:val="14"/>
              </w:rPr>
            </w:pPr>
          </w:p>
        </w:tc>
        <w:tc>
          <w:tcPr>
            <w:tcW w:w="557" w:type="dxa"/>
            <w:tcBorders>
              <w:bottom w:val="single" w:sz="6" w:space="0" w:color="000000"/>
            </w:tcBorders>
            <w:shd w:val="clear" w:color="auto" w:fill="CCEDFF"/>
          </w:tcPr>
          <w:p>
            <w:pPr>
              <w:pStyle w:val="TableParagraph"/>
              <w:spacing w:line="179" w:lineRule="exact" w:before="3"/>
              <w:ind w:left="-12034" w:right="12505"/>
              <w:jc w:val="right"/>
              <w:rPr>
                <w:sz w:val="16"/>
              </w:rPr>
            </w:pPr>
            <w:r>
              <w:rPr>
                <w:spacing w:val="-10"/>
                <w:w w:val="105"/>
                <w:sz w:val="16"/>
              </w:rPr>
              <w:t>1</w:t>
            </w:r>
          </w:p>
        </w:tc>
        <w:tc>
          <w:tcPr>
            <w:tcW w:w="2657" w:type="dxa"/>
            <w:tcBorders>
              <w:bottom w:val="single" w:sz="6" w:space="0" w:color="000000"/>
            </w:tcBorders>
            <w:shd w:val="clear" w:color="auto" w:fill="CCEDFF"/>
          </w:tcPr>
          <w:p>
            <w:pPr>
              <w:pStyle w:val="TableParagraph"/>
              <w:spacing w:line="179" w:lineRule="exact" w:before="3"/>
              <w:ind w:left="-11353"/>
              <w:rPr>
                <w:b/>
                <w:sz w:val="16"/>
              </w:rPr>
            </w:pPr>
            <w:r>
              <w:rPr>
                <w:b/>
                <w:spacing w:val="-4"/>
                <w:w w:val="105"/>
                <w:sz w:val="16"/>
              </w:rPr>
              <w:t>(20)</w:t>
            </w:r>
          </w:p>
        </w:tc>
        <w:tc>
          <w:tcPr>
            <w:tcW w:w="1348" w:type="dxa"/>
            <w:tcBorders>
              <w:bottom w:val="single" w:sz="6" w:space="0" w:color="000000"/>
            </w:tcBorders>
            <w:shd w:val="clear" w:color="auto" w:fill="CCEDFF"/>
          </w:tcPr>
          <w:p>
            <w:pPr>
              <w:pStyle w:val="TableParagraph"/>
              <w:spacing w:line="179" w:lineRule="exact" w:before="3"/>
              <w:ind w:left="-12635"/>
              <w:rPr>
                <w:sz w:val="16"/>
              </w:rPr>
            </w:pPr>
            <w:r>
              <w:rPr>
                <w:spacing w:val="-4"/>
                <w:w w:val="105"/>
                <w:sz w:val="16"/>
              </w:rPr>
              <w:t>(26)</w:t>
            </w:r>
          </w:p>
        </w:tc>
      </w:tr>
      <w:tr>
        <w:trPr>
          <w:trHeight w:val="199" w:hRule="atLeast"/>
        </w:trPr>
        <w:tc>
          <w:tcPr>
            <w:tcW w:w="3363" w:type="dxa"/>
            <w:tcBorders>
              <w:top w:val="single" w:sz="6" w:space="0" w:color="000000"/>
              <w:bottom w:val="double" w:sz="6" w:space="0" w:color="000000"/>
            </w:tcBorders>
          </w:tcPr>
          <w:p>
            <w:pPr>
              <w:pStyle w:val="TableParagraph"/>
              <w:spacing w:line="177" w:lineRule="exact" w:before="2"/>
              <w:rPr>
                <w:sz w:val="16"/>
              </w:rPr>
            </w:pPr>
            <w:r>
              <w:rPr>
                <w:w w:val="105"/>
                <w:sz w:val="16"/>
              </w:rPr>
              <w:t>Amounts</w:t>
            </w:r>
            <w:r>
              <w:rPr>
                <w:spacing w:val="-10"/>
                <w:w w:val="105"/>
                <w:sz w:val="16"/>
              </w:rPr>
              <w:t> </w:t>
            </w:r>
            <w:r>
              <w:rPr>
                <w:w w:val="105"/>
                <w:sz w:val="16"/>
              </w:rPr>
              <w:t>recognized</w:t>
            </w:r>
            <w:r>
              <w:rPr>
                <w:spacing w:val="-9"/>
                <w:w w:val="105"/>
                <w:sz w:val="16"/>
              </w:rPr>
              <w:t> </w:t>
            </w:r>
            <w:r>
              <w:rPr>
                <w:w w:val="105"/>
                <w:sz w:val="16"/>
              </w:rPr>
              <w:t>at</w:t>
            </w:r>
            <w:r>
              <w:rPr>
                <w:spacing w:val="-9"/>
                <w:w w:val="105"/>
                <w:sz w:val="16"/>
              </w:rPr>
              <w:t> </w:t>
            </w:r>
            <w:r>
              <w:rPr>
                <w:w w:val="105"/>
                <w:sz w:val="16"/>
              </w:rPr>
              <w:t>end</w:t>
            </w:r>
            <w:r>
              <w:rPr>
                <w:spacing w:val="-10"/>
                <w:w w:val="105"/>
                <w:sz w:val="16"/>
              </w:rPr>
              <w:t> </w:t>
            </w:r>
            <w:r>
              <w:rPr>
                <w:w w:val="105"/>
                <w:sz w:val="16"/>
              </w:rPr>
              <w:t>of</w:t>
            </w:r>
            <w:r>
              <w:rPr>
                <w:spacing w:val="-9"/>
                <w:w w:val="105"/>
                <w:sz w:val="16"/>
              </w:rPr>
              <w:t> </w:t>
            </w:r>
            <w:r>
              <w:rPr>
                <w:spacing w:val="-4"/>
                <w:w w:val="105"/>
                <w:sz w:val="16"/>
              </w:rPr>
              <w:t>year</w:t>
            </w:r>
          </w:p>
        </w:tc>
        <w:tc>
          <w:tcPr>
            <w:tcW w:w="8173" w:type="dxa"/>
            <w:tcBorders>
              <w:top w:val="single" w:sz="6" w:space="0" w:color="000000"/>
              <w:bottom w:val="double" w:sz="6" w:space="0" w:color="000000"/>
            </w:tcBorders>
          </w:tcPr>
          <w:p>
            <w:pPr>
              <w:pStyle w:val="TableParagraph"/>
              <w:tabs>
                <w:tab w:pos="910" w:val="left" w:leader="none"/>
              </w:tabs>
              <w:spacing w:line="177" w:lineRule="exact" w:before="2"/>
              <w:ind w:left="-1"/>
              <w:rPr>
                <w:b/>
                <w:sz w:val="16"/>
              </w:rPr>
            </w:pPr>
            <w:r>
              <w:rPr>
                <w:b/>
                <w:spacing w:val="-10"/>
                <w:w w:val="105"/>
                <w:sz w:val="16"/>
              </w:rPr>
              <w:t>$</w:t>
            </w:r>
            <w:r>
              <w:rPr>
                <w:b/>
                <w:sz w:val="16"/>
              </w:rPr>
              <w:tab/>
            </w:r>
            <w:r>
              <w:rPr>
                <w:b/>
                <w:spacing w:val="-5"/>
                <w:w w:val="105"/>
                <w:sz w:val="16"/>
              </w:rPr>
              <w:t>294</w:t>
            </w:r>
          </w:p>
        </w:tc>
        <w:tc>
          <w:tcPr>
            <w:tcW w:w="6871" w:type="dxa"/>
            <w:tcBorders>
              <w:top w:val="single" w:sz="6" w:space="0" w:color="000000"/>
              <w:bottom w:val="double" w:sz="6" w:space="0" w:color="000000"/>
            </w:tcBorders>
          </w:tcPr>
          <w:p>
            <w:pPr>
              <w:pStyle w:val="TableParagraph"/>
              <w:tabs>
                <w:tab w:pos="-5887" w:val="left" w:leader="none"/>
              </w:tabs>
              <w:spacing w:line="177" w:lineRule="exact" w:before="2"/>
              <w:ind w:left="-6785"/>
              <w:rPr>
                <w:sz w:val="16"/>
              </w:rPr>
            </w:pPr>
            <w:r>
              <w:rPr>
                <w:spacing w:val="-10"/>
                <w:w w:val="105"/>
                <w:sz w:val="16"/>
              </w:rPr>
              <w:t>$</w:t>
            </w:r>
            <w:r>
              <w:rPr>
                <w:sz w:val="16"/>
              </w:rPr>
              <w:tab/>
            </w:r>
            <w:r>
              <w:rPr>
                <w:spacing w:val="-5"/>
                <w:w w:val="105"/>
                <w:sz w:val="16"/>
              </w:rPr>
              <w:t>413</w:t>
            </w:r>
          </w:p>
        </w:tc>
        <w:tc>
          <w:tcPr>
            <w:tcW w:w="818" w:type="dxa"/>
            <w:tcBorders>
              <w:top w:val="single" w:sz="6" w:space="0" w:color="000000"/>
              <w:bottom w:val="double" w:sz="6" w:space="0" w:color="000000"/>
            </w:tcBorders>
          </w:tcPr>
          <w:p>
            <w:pPr>
              <w:pStyle w:val="TableParagraph"/>
              <w:spacing w:line="177" w:lineRule="exact" w:before="2"/>
              <w:ind w:left="-12280"/>
              <w:rPr>
                <w:b/>
                <w:sz w:val="16"/>
              </w:rPr>
            </w:pPr>
            <w:r>
              <w:rPr>
                <w:b/>
                <w:spacing w:val="-10"/>
                <w:w w:val="105"/>
                <w:sz w:val="16"/>
              </w:rPr>
              <w:t>$</w:t>
            </w:r>
          </w:p>
        </w:tc>
        <w:tc>
          <w:tcPr>
            <w:tcW w:w="470" w:type="dxa"/>
            <w:tcBorders>
              <w:top w:val="single" w:sz="6" w:space="0" w:color="000000"/>
              <w:bottom w:val="double" w:sz="6" w:space="0" w:color="000000"/>
            </w:tcBorders>
          </w:tcPr>
          <w:p>
            <w:pPr>
              <w:pStyle w:val="TableParagraph"/>
              <w:spacing w:line="177" w:lineRule="exact" w:before="2"/>
              <w:ind w:left="-12090"/>
              <w:rPr>
                <w:b/>
                <w:sz w:val="16"/>
              </w:rPr>
            </w:pPr>
            <w:r>
              <w:rPr>
                <w:b/>
                <w:spacing w:val="-5"/>
                <w:w w:val="105"/>
                <w:sz w:val="16"/>
              </w:rPr>
              <w:t>(2)</w:t>
            </w:r>
          </w:p>
        </w:tc>
        <w:tc>
          <w:tcPr>
            <w:tcW w:w="905" w:type="dxa"/>
            <w:tcBorders>
              <w:top w:val="single" w:sz="6" w:space="0" w:color="000000"/>
              <w:bottom w:val="double" w:sz="6" w:space="0" w:color="000000"/>
            </w:tcBorders>
          </w:tcPr>
          <w:p>
            <w:pPr>
              <w:pStyle w:val="TableParagraph"/>
              <w:spacing w:line="177" w:lineRule="exact" w:before="2"/>
              <w:ind w:left="-12193"/>
              <w:rPr>
                <w:sz w:val="16"/>
              </w:rPr>
            </w:pPr>
            <w:r>
              <w:rPr>
                <w:spacing w:val="-10"/>
                <w:w w:val="105"/>
                <w:sz w:val="16"/>
              </w:rPr>
              <w:t>$</w:t>
            </w:r>
          </w:p>
        </w:tc>
        <w:tc>
          <w:tcPr>
            <w:tcW w:w="557" w:type="dxa"/>
            <w:tcBorders>
              <w:top w:val="single" w:sz="6" w:space="0" w:color="000000"/>
              <w:bottom w:val="double" w:sz="6" w:space="0" w:color="000000"/>
            </w:tcBorders>
          </w:tcPr>
          <w:p>
            <w:pPr>
              <w:pStyle w:val="TableParagraph"/>
              <w:spacing w:line="177" w:lineRule="exact" w:before="2"/>
              <w:ind w:left="-12034" w:right="12505"/>
              <w:jc w:val="right"/>
              <w:rPr>
                <w:sz w:val="16"/>
              </w:rPr>
            </w:pPr>
            <w:r>
              <w:rPr>
                <w:spacing w:val="-10"/>
                <w:w w:val="105"/>
                <w:sz w:val="16"/>
              </w:rPr>
              <w:t>8</w:t>
            </w:r>
          </w:p>
        </w:tc>
        <w:tc>
          <w:tcPr>
            <w:tcW w:w="2657" w:type="dxa"/>
            <w:tcBorders>
              <w:top w:val="single" w:sz="6" w:space="0" w:color="000000"/>
              <w:bottom w:val="double" w:sz="6" w:space="0" w:color="000000"/>
            </w:tcBorders>
          </w:tcPr>
          <w:p>
            <w:pPr>
              <w:pStyle w:val="TableParagraph"/>
              <w:tabs>
                <w:tab w:pos="-11353" w:val="left" w:leader="none"/>
              </w:tabs>
              <w:spacing w:line="177" w:lineRule="exact" w:before="2"/>
              <w:ind w:left="-12279"/>
              <w:rPr>
                <w:b/>
                <w:sz w:val="16"/>
              </w:rPr>
            </w:pPr>
            <w:r>
              <w:rPr>
                <w:b/>
                <w:spacing w:val="-10"/>
                <w:w w:val="105"/>
                <w:sz w:val="16"/>
              </w:rPr>
              <w:t>$</w:t>
            </w:r>
            <w:r>
              <w:rPr>
                <w:b/>
                <w:sz w:val="16"/>
              </w:rPr>
              <w:tab/>
            </w:r>
            <w:r>
              <w:rPr>
                <w:b/>
                <w:spacing w:val="-4"/>
                <w:w w:val="105"/>
                <w:sz w:val="16"/>
              </w:rPr>
              <w:t>(42)</w:t>
            </w:r>
          </w:p>
        </w:tc>
        <w:tc>
          <w:tcPr>
            <w:tcW w:w="1348" w:type="dxa"/>
            <w:tcBorders>
              <w:top w:val="single" w:sz="6" w:space="0" w:color="000000"/>
              <w:bottom w:val="double" w:sz="6" w:space="0" w:color="000000"/>
            </w:tcBorders>
          </w:tcPr>
          <w:p>
            <w:pPr>
              <w:pStyle w:val="TableParagraph"/>
              <w:tabs>
                <w:tab w:pos="-12579" w:val="left" w:leader="none"/>
              </w:tabs>
              <w:spacing w:line="177" w:lineRule="exact" w:before="2"/>
              <w:ind w:left="-13560"/>
              <w:rPr>
                <w:sz w:val="16"/>
              </w:rPr>
            </w:pPr>
            <w:r>
              <w:rPr>
                <w:spacing w:val="-10"/>
                <w:w w:val="105"/>
                <w:sz w:val="16"/>
              </w:rPr>
              <w:t>$</w:t>
            </w:r>
            <w:r>
              <w:rPr>
                <w:sz w:val="16"/>
              </w:rPr>
              <w:tab/>
            </w:r>
            <w:r>
              <w:rPr>
                <w:spacing w:val="-5"/>
                <w:w w:val="105"/>
                <w:sz w:val="16"/>
              </w:rPr>
              <w:t>60</w:t>
            </w:r>
          </w:p>
        </w:tc>
      </w:tr>
      <w:tr>
        <w:trPr>
          <w:trHeight w:val="478" w:hRule="atLeast"/>
        </w:trPr>
        <w:tc>
          <w:tcPr>
            <w:tcW w:w="3363" w:type="dxa"/>
            <w:tcBorders>
              <w:top w:val="double" w:sz="6" w:space="0" w:color="000000"/>
              <w:bottom w:val="single" w:sz="12" w:space="0" w:color="000000"/>
            </w:tcBorders>
          </w:tcPr>
          <w:p>
            <w:pPr>
              <w:pStyle w:val="TableParagraph"/>
              <w:rPr>
                <w:sz w:val="16"/>
              </w:rPr>
            </w:pPr>
          </w:p>
        </w:tc>
        <w:tc>
          <w:tcPr>
            <w:tcW w:w="8173" w:type="dxa"/>
            <w:tcBorders>
              <w:top w:val="double" w:sz="6" w:space="0" w:color="000000"/>
              <w:bottom w:val="single" w:sz="12" w:space="0" w:color="000000"/>
            </w:tcBorders>
          </w:tcPr>
          <w:p>
            <w:pPr>
              <w:pStyle w:val="TableParagraph"/>
              <w:rPr>
                <w:sz w:val="16"/>
              </w:rPr>
            </w:pPr>
          </w:p>
        </w:tc>
        <w:tc>
          <w:tcPr>
            <w:tcW w:w="6871" w:type="dxa"/>
            <w:tcBorders>
              <w:top w:val="double" w:sz="6" w:space="0" w:color="000000"/>
              <w:bottom w:val="single" w:sz="12" w:space="0" w:color="000000"/>
            </w:tcBorders>
          </w:tcPr>
          <w:p>
            <w:pPr>
              <w:pStyle w:val="TableParagraph"/>
              <w:spacing w:before="19"/>
              <w:rPr>
                <w:sz w:val="16"/>
              </w:rPr>
            </w:pPr>
          </w:p>
          <w:p>
            <w:pPr>
              <w:pStyle w:val="TableParagraph"/>
              <w:spacing w:before="1"/>
              <w:ind w:left="-5862"/>
              <w:rPr>
                <w:sz w:val="16"/>
              </w:rPr>
            </w:pPr>
            <w:r>
              <w:rPr>
                <w:spacing w:val="-5"/>
                <w:w w:val="105"/>
                <w:sz w:val="16"/>
              </w:rPr>
              <w:t>95</w:t>
            </w:r>
          </w:p>
        </w:tc>
        <w:tc>
          <w:tcPr>
            <w:tcW w:w="818" w:type="dxa"/>
            <w:tcBorders>
              <w:top w:val="double" w:sz="6" w:space="0" w:color="000000"/>
              <w:bottom w:val="single" w:sz="12" w:space="0" w:color="000000"/>
            </w:tcBorders>
          </w:tcPr>
          <w:p>
            <w:pPr>
              <w:pStyle w:val="TableParagraph"/>
              <w:rPr>
                <w:sz w:val="16"/>
              </w:rPr>
            </w:pPr>
          </w:p>
        </w:tc>
        <w:tc>
          <w:tcPr>
            <w:tcW w:w="470" w:type="dxa"/>
            <w:tcBorders>
              <w:top w:val="double" w:sz="6" w:space="0" w:color="000000"/>
              <w:bottom w:val="single" w:sz="12" w:space="0" w:color="000000"/>
            </w:tcBorders>
          </w:tcPr>
          <w:p>
            <w:pPr>
              <w:pStyle w:val="TableParagraph"/>
              <w:rPr>
                <w:sz w:val="16"/>
              </w:rPr>
            </w:pPr>
          </w:p>
        </w:tc>
        <w:tc>
          <w:tcPr>
            <w:tcW w:w="905" w:type="dxa"/>
            <w:tcBorders>
              <w:top w:val="double" w:sz="6" w:space="0" w:color="000000"/>
              <w:bottom w:val="single" w:sz="12" w:space="0" w:color="000000"/>
            </w:tcBorders>
          </w:tcPr>
          <w:p>
            <w:pPr>
              <w:pStyle w:val="TableParagraph"/>
              <w:rPr>
                <w:sz w:val="16"/>
              </w:rPr>
            </w:pPr>
          </w:p>
        </w:tc>
        <w:tc>
          <w:tcPr>
            <w:tcW w:w="557" w:type="dxa"/>
            <w:tcBorders>
              <w:top w:val="double" w:sz="6" w:space="0" w:color="000000"/>
              <w:bottom w:val="single" w:sz="12" w:space="0" w:color="000000"/>
            </w:tcBorders>
          </w:tcPr>
          <w:p>
            <w:pPr>
              <w:pStyle w:val="TableParagraph"/>
              <w:rPr>
                <w:sz w:val="16"/>
              </w:rPr>
            </w:pPr>
          </w:p>
        </w:tc>
        <w:tc>
          <w:tcPr>
            <w:tcW w:w="2657" w:type="dxa"/>
            <w:tcBorders>
              <w:top w:val="double" w:sz="6" w:space="0" w:color="000000"/>
              <w:bottom w:val="single" w:sz="12" w:space="0" w:color="000000"/>
            </w:tcBorders>
          </w:tcPr>
          <w:p>
            <w:pPr>
              <w:pStyle w:val="TableParagraph"/>
              <w:rPr>
                <w:sz w:val="16"/>
              </w:rPr>
            </w:pPr>
          </w:p>
        </w:tc>
        <w:tc>
          <w:tcPr>
            <w:tcW w:w="1348" w:type="dxa"/>
            <w:tcBorders>
              <w:top w:val="double" w:sz="6" w:space="0" w:color="000000"/>
              <w:bottom w:val="single" w:sz="12" w:space="0" w:color="000000"/>
            </w:tcBorders>
          </w:tcPr>
          <w:p>
            <w:pPr>
              <w:pStyle w:val="TableParagraph"/>
              <w:rPr>
                <w:sz w:val="16"/>
              </w:rPr>
            </w:pPr>
          </w:p>
        </w:tc>
      </w:tr>
    </w:tbl>
    <w:p>
      <w:pPr>
        <w:spacing w:after="0"/>
        <w:rPr>
          <w:sz w:val="16"/>
        </w:rPr>
        <w:sectPr>
          <w:pgSz w:w="12240" w:h="15840"/>
          <w:pgMar w:header="428" w:footer="0" w:top="620" w:bottom="280" w:left="200" w:right="260"/>
        </w:sectPr>
      </w:pPr>
    </w:p>
    <w:p>
      <w:pPr>
        <w:pStyle w:val="BodyText"/>
        <w:spacing w:before="38"/>
      </w:pPr>
    </w:p>
    <w:p>
      <w:pPr>
        <w:pStyle w:val="Heading2"/>
      </w:pPr>
      <w:r>
        <w:rPr>
          <w:w w:val="105"/>
        </w:rPr>
        <w:t>13.</w:t>
      </w:r>
      <w:r>
        <w:rPr>
          <w:spacing w:val="22"/>
          <w:w w:val="105"/>
        </w:rPr>
        <w:t> </w:t>
      </w:r>
      <w:r>
        <w:rPr>
          <w:w w:val="105"/>
        </w:rPr>
        <w:t>Employee</w:t>
      </w:r>
      <w:r>
        <w:rPr>
          <w:spacing w:val="-10"/>
          <w:w w:val="105"/>
        </w:rPr>
        <w:t> </w:t>
      </w:r>
      <w:r>
        <w:rPr>
          <w:w w:val="105"/>
        </w:rPr>
        <w:t>Retirement</w:t>
      </w:r>
      <w:r>
        <w:rPr>
          <w:spacing w:val="-10"/>
          <w:w w:val="105"/>
        </w:rPr>
        <w:t> </w:t>
      </w:r>
      <w:r>
        <w:rPr>
          <w:w w:val="105"/>
        </w:rPr>
        <w:t>Plans</w:t>
      </w:r>
      <w:r>
        <w:rPr>
          <w:spacing w:val="-10"/>
          <w:w w:val="105"/>
        </w:rPr>
        <w:t> </w:t>
      </w:r>
      <w:r>
        <w:rPr>
          <w:spacing w:val="-2"/>
          <w:w w:val="105"/>
        </w:rPr>
        <w:t>(Continued)</w:t>
      </w:r>
    </w:p>
    <w:p>
      <w:pPr>
        <w:pStyle w:val="BodyText"/>
        <w:spacing w:before="40"/>
        <w:rPr>
          <w:b/>
        </w:rPr>
      </w:pPr>
    </w:p>
    <w:p>
      <w:pPr>
        <w:pStyle w:val="BodyText"/>
        <w:spacing w:line="266" w:lineRule="auto"/>
        <w:ind w:left="156"/>
      </w:pPr>
      <w:r>
        <w:rPr>
          <w:w w:val="105"/>
        </w:rPr>
        <w:t>Across</w:t>
      </w:r>
      <w:r>
        <w:rPr>
          <w:spacing w:val="-2"/>
          <w:w w:val="105"/>
        </w:rPr>
        <w:t> </w:t>
      </w:r>
      <w:r>
        <w:rPr>
          <w:w w:val="105"/>
        </w:rPr>
        <w:t>total</w:t>
      </w:r>
      <w:r>
        <w:rPr>
          <w:spacing w:val="-2"/>
          <w:w w:val="105"/>
        </w:rPr>
        <w:t> </w:t>
      </w:r>
      <w:r>
        <w:rPr>
          <w:w w:val="105"/>
        </w:rPr>
        <w:t>pension</w:t>
      </w:r>
      <w:r>
        <w:rPr>
          <w:spacing w:val="-2"/>
          <w:w w:val="105"/>
        </w:rPr>
        <w:t> </w:t>
      </w:r>
      <w:r>
        <w:rPr>
          <w:w w:val="105"/>
        </w:rPr>
        <w:t>benefits, an</w:t>
      </w:r>
      <w:r>
        <w:rPr>
          <w:spacing w:val="-2"/>
          <w:w w:val="105"/>
        </w:rPr>
        <w:t> </w:t>
      </w:r>
      <w:r>
        <w:rPr>
          <w:w w:val="105"/>
        </w:rPr>
        <w:t>actuarial</w:t>
      </w:r>
      <w:r>
        <w:rPr>
          <w:spacing w:val="-2"/>
          <w:w w:val="105"/>
        </w:rPr>
        <w:t> </w:t>
      </w:r>
      <w:r>
        <w:rPr>
          <w:w w:val="105"/>
        </w:rPr>
        <w:t>gain</w:t>
      </w:r>
      <w:r>
        <w:rPr>
          <w:spacing w:val="-2"/>
          <w:w w:val="105"/>
        </w:rPr>
        <w:t> </w:t>
      </w:r>
      <w:r>
        <w:rPr>
          <w:w w:val="105"/>
        </w:rPr>
        <w:t>of</w:t>
      </w:r>
      <w:r>
        <w:rPr>
          <w:spacing w:val="-2"/>
          <w:w w:val="105"/>
        </w:rPr>
        <w:t> </w:t>
      </w:r>
      <w:r>
        <w:rPr>
          <w:w w:val="105"/>
        </w:rPr>
        <w:t>$124</w:t>
      </w:r>
      <w:r>
        <w:rPr>
          <w:spacing w:val="-2"/>
          <w:w w:val="105"/>
        </w:rPr>
        <w:t> </w:t>
      </w:r>
      <w:r>
        <w:rPr>
          <w:w w:val="105"/>
        </w:rPr>
        <w:t>million</w:t>
      </w:r>
      <w:r>
        <w:rPr>
          <w:spacing w:val="-2"/>
          <w:w w:val="105"/>
        </w:rPr>
        <w:t> </w:t>
      </w:r>
      <w:r>
        <w:rPr>
          <w:w w:val="105"/>
        </w:rPr>
        <w:t>was</w:t>
      </w:r>
      <w:r>
        <w:rPr>
          <w:spacing w:val="-2"/>
          <w:w w:val="105"/>
        </w:rPr>
        <w:t> </w:t>
      </w:r>
      <w:r>
        <w:rPr>
          <w:w w:val="105"/>
        </w:rPr>
        <w:t>recognized</w:t>
      </w:r>
      <w:r>
        <w:rPr>
          <w:spacing w:val="-2"/>
          <w:w w:val="105"/>
        </w:rPr>
        <w:t> </w:t>
      </w:r>
      <w:r>
        <w:rPr>
          <w:w w:val="105"/>
        </w:rPr>
        <w:t>in</w:t>
      </w:r>
      <w:r>
        <w:rPr>
          <w:spacing w:val="-1"/>
          <w:w w:val="105"/>
        </w:rPr>
        <w:t> </w:t>
      </w:r>
      <w:r>
        <w:rPr>
          <w:w w:val="105"/>
        </w:rPr>
        <w:t>2021</w:t>
      </w:r>
      <w:r>
        <w:rPr>
          <w:spacing w:val="-2"/>
          <w:w w:val="105"/>
        </w:rPr>
        <w:t> </w:t>
      </w:r>
      <w:r>
        <w:rPr>
          <w:w w:val="105"/>
        </w:rPr>
        <w:t>primarily</w:t>
      </w:r>
      <w:r>
        <w:rPr>
          <w:spacing w:val="-2"/>
          <w:w w:val="105"/>
        </w:rPr>
        <w:t> </w:t>
      </w:r>
      <w:r>
        <w:rPr>
          <w:w w:val="105"/>
        </w:rPr>
        <w:t>due</w:t>
      </w:r>
      <w:r>
        <w:rPr>
          <w:spacing w:val="-2"/>
          <w:w w:val="105"/>
        </w:rPr>
        <w:t> </w:t>
      </w:r>
      <w:r>
        <w:rPr>
          <w:w w:val="105"/>
        </w:rPr>
        <w:t>to</w:t>
      </w:r>
      <w:r>
        <w:rPr>
          <w:spacing w:val="-2"/>
          <w:w w:val="105"/>
        </w:rPr>
        <w:t> </w:t>
      </w:r>
      <w:r>
        <w:rPr>
          <w:w w:val="105"/>
        </w:rPr>
        <w:t>increases</w:t>
      </w:r>
      <w:r>
        <w:rPr>
          <w:spacing w:val="-2"/>
          <w:w w:val="105"/>
        </w:rPr>
        <w:t> </w:t>
      </w:r>
      <w:r>
        <w:rPr>
          <w:w w:val="105"/>
        </w:rPr>
        <w:t>in</w:t>
      </w:r>
      <w:r>
        <w:rPr>
          <w:spacing w:val="-2"/>
          <w:w w:val="105"/>
        </w:rPr>
        <w:t> </w:t>
      </w:r>
      <w:r>
        <w:rPr>
          <w:w w:val="105"/>
        </w:rPr>
        <w:t>bond</w:t>
      </w:r>
      <w:r>
        <w:rPr>
          <w:spacing w:val="-2"/>
          <w:w w:val="105"/>
        </w:rPr>
        <w:t> </w:t>
      </w:r>
      <w:r>
        <w:rPr>
          <w:w w:val="105"/>
        </w:rPr>
        <w:t>yields</w:t>
      </w:r>
      <w:r>
        <w:rPr>
          <w:spacing w:val="-2"/>
          <w:w w:val="105"/>
        </w:rPr>
        <w:t> </w:t>
      </w:r>
      <w:r>
        <w:rPr>
          <w:w w:val="105"/>
        </w:rPr>
        <w:t>during</w:t>
      </w:r>
      <w:r>
        <w:rPr>
          <w:spacing w:val="-2"/>
          <w:w w:val="105"/>
        </w:rPr>
        <w:t> </w:t>
      </w:r>
      <w:r>
        <w:rPr>
          <w:w w:val="105"/>
        </w:rPr>
        <w:t>the</w:t>
      </w:r>
      <w:r>
        <w:rPr>
          <w:spacing w:val="-2"/>
          <w:w w:val="105"/>
        </w:rPr>
        <w:t> </w:t>
      </w:r>
      <w:r>
        <w:rPr>
          <w:w w:val="105"/>
        </w:rPr>
        <w:t>year,</w:t>
      </w:r>
      <w:r>
        <w:rPr>
          <w:spacing w:val="-2"/>
          <w:w w:val="105"/>
        </w:rPr>
        <w:t> </w:t>
      </w:r>
      <w:r>
        <w:rPr>
          <w:w w:val="105"/>
        </w:rPr>
        <w:t>leading</w:t>
      </w:r>
      <w:r>
        <w:rPr>
          <w:spacing w:val="-2"/>
          <w:w w:val="105"/>
        </w:rPr>
        <w:t> </w:t>
      </w:r>
      <w:r>
        <w:rPr>
          <w:w w:val="105"/>
        </w:rPr>
        <w:t>to</w:t>
      </w:r>
      <w:r>
        <w:rPr>
          <w:spacing w:val="-2"/>
          <w:w w:val="105"/>
        </w:rPr>
        <w:t> </w:t>
      </w:r>
      <w:r>
        <w:rPr>
          <w:w w:val="105"/>
        </w:rPr>
        <w:t>domestic</w:t>
      </w:r>
      <w:r>
        <w:rPr>
          <w:spacing w:val="-2"/>
          <w:w w:val="105"/>
        </w:rPr>
        <w:t> </w:t>
      </w:r>
      <w:r>
        <w:rPr>
          <w:w w:val="105"/>
        </w:rPr>
        <w:t>and international</w:t>
      </w:r>
      <w:r>
        <w:rPr>
          <w:spacing w:val="-2"/>
          <w:w w:val="105"/>
        </w:rPr>
        <w:t> </w:t>
      </w:r>
      <w:r>
        <w:rPr>
          <w:w w:val="105"/>
        </w:rPr>
        <w:t>plan</w:t>
      </w:r>
      <w:r>
        <w:rPr>
          <w:spacing w:val="-2"/>
          <w:w w:val="105"/>
        </w:rPr>
        <w:t> </w:t>
      </w:r>
      <w:r>
        <w:rPr>
          <w:w w:val="105"/>
        </w:rPr>
        <w:t>weighted-average</w:t>
      </w:r>
      <w:r>
        <w:rPr>
          <w:spacing w:val="-2"/>
          <w:w w:val="105"/>
        </w:rPr>
        <w:t> </w:t>
      </w:r>
      <w:r>
        <w:rPr>
          <w:w w:val="105"/>
        </w:rPr>
        <w:t>discount</w:t>
      </w:r>
      <w:r>
        <w:rPr>
          <w:spacing w:val="-2"/>
          <w:w w:val="105"/>
        </w:rPr>
        <w:t> </w:t>
      </w:r>
      <w:r>
        <w:rPr>
          <w:w w:val="105"/>
        </w:rPr>
        <w:t>rates</w:t>
      </w:r>
      <w:r>
        <w:rPr>
          <w:spacing w:val="-2"/>
          <w:w w:val="105"/>
        </w:rPr>
        <w:t> </w:t>
      </w:r>
      <w:r>
        <w:rPr>
          <w:w w:val="105"/>
        </w:rPr>
        <w:t>that</w:t>
      </w:r>
      <w:r>
        <w:rPr>
          <w:spacing w:val="-2"/>
          <w:w w:val="105"/>
        </w:rPr>
        <w:t> </w:t>
      </w:r>
      <w:r>
        <w:rPr>
          <w:w w:val="105"/>
        </w:rPr>
        <w:t>were</w:t>
      </w:r>
      <w:r>
        <w:rPr>
          <w:spacing w:val="-2"/>
          <w:w w:val="105"/>
        </w:rPr>
        <w:t> </w:t>
      </w:r>
      <w:r>
        <w:rPr>
          <w:w w:val="105"/>
        </w:rPr>
        <w:t>37</w:t>
      </w:r>
      <w:r>
        <w:rPr>
          <w:spacing w:val="-2"/>
          <w:w w:val="105"/>
        </w:rPr>
        <w:t> </w:t>
      </w:r>
      <w:r>
        <w:rPr>
          <w:w w:val="105"/>
        </w:rPr>
        <w:t>and</w:t>
      </w:r>
      <w:r>
        <w:rPr>
          <w:spacing w:val="-2"/>
          <w:w w:val="105"/>
        </w:rPr>
        <w:t> </w:t>
      </w:r>
      <w:r>
        <w:rPr>
          <w:w w:val="105"/>
        </w:rPr>
        <w:t>18</w:t>
      </w:r>
      <w:r>
        <w:rPr>
          <w:spacing w:val="-2"/>
          <w:w w:val="105"/>
        </w:rPr>
        <w:t> </w:t>
      </w:r>
      <w:r>
        <w:rPr>
          <w:w w:val="105"/>
        </w:rPr>
        <w:t>basis</w:t>
      </w:r>
      <w:r>
        <w:rPr>
          <w:spacing w:val="-2"/>
          <w:w w:val="105"/>
        </w:rPr>
        <w:t> </w:t>
      </w:r>
      <w:r>
        <w:rPr>
          <w:w w:val="105"/>
        </w:rPr>
        <w:t>points</w:t>
      </w:r>
      <w:r>
        <w:rPr>
          <w:spacing w:val="-2"/>
          <w:w w:val="105"/>
        </w:rPr>
        <w:t> </w:t>
      </w:r>
      <w:r>
        <w:rPr>
          <w:w w:val="105"/>
        </w:rPr>
        <w:t>higher,</w:t>
      </w:r>
      <w:r>
        <w:rPr>
          <w:spacing w:val="-2"/>
          <w:w w:val="105"/>
        </w:rPr>
        <w:t> </w:t>
      </w:r>
      <w:r>
        <w:rPr>
          <w:w w:val="105"/>
        </w:rPr>
        <w:t>respectively,</w:t>
      </w:r>
      <w:r>
        <w:rPr>
          <w:spacing w:val="-2"/>
          <w:w w:val="105"/>
        </w:rPr>
        <w:t> </w:t>
      </w:r>
      <w:r>
        <w:rPr>
          <w:w w:val="105"/>
        </w:rPr>
        <w:t>than</w:t>
      </w:r>
      <w:r>
        <w:rPr>
          <w:spacing w:val="-2"/>
          <w:w w:val="105"/>
        </w:rPr>
        <w:t> </w:t>
      </w:r>
      <w:r>
        <w:rPr>
          <w:w w:val="105"/>
        </w:rPr>
        <w:t>the</w:t>
      </w:r>
      <w:r>
        <w:rPr>
          <w:spacing w:val="-2"/>
          <w:w w:val="105"/>
        </w:rPr>
        <w:t> </w:t>
      </w:r>
      <w:r>
        <w:rPr>
          <w:w w:val="105"/>
        </w:rPr>
        <w:t>prior</w:t>
      </w:r>
      <w:r>
        <w:rPr>
          <w:spacing w:val="-2"/>
          <w:w w:val="105"/>
        </w:rPr>
        <w:t> </w:t>
      </w:r>
      <w:r>
        <w:rPr>
          <w:w w:val="105"/>
        </w:rPr>
        <w:t>year.</w:t>
      </w:r>
      <w:r>
        <w:rPr>
          <w:spacing w:val="-2"/>
          <w:w w:val="105"/>
        </w:rPr>
        <w:t> </w:t>
      </w:r>
      <w:r>
        <w:rPr>
          <w:w w:val="105"/>
        </w:rPr>
        <w:t>In</w:t>
      </w:r>
      <w:r>
        <w:rPr>
          <w:spacing w:val="-2"/>
          <w:w w:val="105"/>
        </w:rPr>
        <w:t> </w:t>
      </w:r>
      <w:r>
        <w:rPr>
          <w:w w:val="105"/>
        </w:rPr>
        <w:t>2020,</w:t>
      </w:r>
      <w:r>
        <w:rPr>
          <w:spacing w:val="-2"/>
          <w:w w:val="105"/>
        </w:rPr>
        <w:t> </w:t>
      </w:r>
      <w:r>
        <w:rPr>
          <w:w w:val="105"/>
        </w:rPr>
        <w:t>an</w:t>
      </w:r>
      <w:r>
        <w:rPr>
          <w:spacing w:val="-2"/>
          <w:w w:val="105"/>
        </w:rPr>
        <w:t> </w:t>
      </w:r>
      <w:r>
        <w:rPr>
          <w:w w:val="105"/>
        </w:rPr>
        <w:t>actuarial</w:t>
      </w:r>
      <w:r>
        <w:rPr>
          <w:spacing w:val="-2"/>
          <w:w w:val="105"/>
        </w:rPr>
        <w:t> </w:t>
      </w:r>
      <w:r>
        <w:rPr>
          <w:w w:val="105"/>
        </w:rPr>
        <w:t>loss</w:t>
      </w:r>
      <w:r>
        <w:rPr>
          <w:spacing w:val="-2"/>
          <w:w w:val="105"/>
        </w:rPr>
        <w:t> </w:t>
      </w:r>
      <w:r>
        <w:rPr>
          <w:w w:val="105"/>
        </w:rPr>
        <w:t>of</w:t>
      </w:r>
      <w:r>
        <w:rPr>
          <w:spacing w:val="-2"/>
          <w:w w:val="105"/>
        </w:rPr>
        <w:t> </w:t>
      </w:r>
      <w:r>
        <w:rPr>
          <w:w w:val="105"/>
        </w:rPr>
        <w:t>$358</w:t>
      </w:r>
      <w:r>
        <w:rPr>
          <w:spacing w:val="-2"/>
          <w:w w:val="105"/>
        </w:rPr>
        <w:t> </w:t>
      </w:r>
      <w:r>
        <w:rPr>
          <w:w w:val="105"/>
        </w:rPr>
        <w:t>million</w:t>
      </w:r>
      <w:r>
        <w:rPr>
          <w:spacing w:val="-2"/>
          <w:w w:val="105"/>
        </w:rPr>
        <w:t> </w:t>
      </w:r>
      <w:r>
        <w:rPr>
          <w:w w:val="105"/>
        </w:rPr>
        <w:t>was recognized</w:t>
      </w:r>
      <w:r>
        <w:rPr>
          <w:spacing w:val="-8"/>
          <w:w w:val="105"/>
        </w:rPr>
        <w:t> </w:t>
      </w:r>
      <w:r>
        <w:rPr>
          <w:w w:val="105"/>
        </w:rPr>
        <w:t>primarily</w:t>
      </w:r>
      <w:r>
        <w:rPr>
          <w:spacing w:val="-8"/>
          <w:w w:val="105"/>
        </w:rPr>
        <w:t> </w:t>
      </w:r>
      <w:r>
        <w:rPr>
          <w:w w:val="105"/>
        </w:rPr>
        <w:t>due</w:t>
      </w:r>
      <w:r>
        <w:rPr>
          <w:spacing w:val="-8"/>
          <w:w w:val="105"/>
        </w:rPr>
        <w:t> </w:t>
      </w:r>
      <w:r>
        <w:rPr>
          <w:w w:val="105"/>
        </w:rPr>
        <w:t>to</w:t>
      </w:r>
      <w:r>
        <w:rPr>
          <w:spacing w:val="-8"/>
          <w:w w:val="105"/>
        </w:rPr>
        <w:t> </w:t>
      </w:r>
      <w:r>
        <w:rPr>
          <w:w w:val="105"/>
        </w:rPr>
        <w:t>decreases</w:t>
      </w:r>
      <w:r>
        <w:rPr>
          <w:spacing w:val="-8"/>
          <w:w w:val="105"/>
        </w:rPr>
        <w:t> </w:t>
      </w:r>
      <w:r>
        <w:rPr>
          <w:w w:val="105"/>
        </w:rPr>
        <w:t>in</w:t>
      </w:r>
      <w:r>
        <w:rPr>
          <w:spacing w:val="-8"/>
          <w:w w:val="105"/>
        </w:rPr>
        <w:t> </w:t>
      </w:r>
      <w:r>
        <w:rPr>
          <w:w w:val="105"/>
        </w:rPr>
        <w:t>bond</w:t>
      </w:r>
      <w:r>
        <w:rPr>
          <w:spacing w:val="-8"/>
          <w:w w:val="105"/>
        </w:rPr>
        <w:t> </w:t>
      </w:r>
      <w:r>
        <w:rPr>
          <w:w w:val="105"/>
        </w:rPr>
        <w:t>yields</w:t>
      </w:r>
      <w:r>
        <w:rPr>
          <w:spacing w:val="-8"/>
          <w:w w:val="105"/>
        </w:rPr>
        <w:t> </w:t>
      </w:r>
      <w:r>
        <w:rPr>
          <w:w w:val="105"/>
        </w:rPr>
        <w:t>during</w:t>
      </w:r>
      <w:r>
        <w:rPr>
          <w:spacing w:val="-8"/>
          <w:w w:val="105"/>
        </w:rPr>
        <w:t> </w:t>
      </w:r>
      <w:r>
        <w:rPr>
          <w:w w:val="105"/>
        </w:rPr>
        <w:t>the</w:t>
      </w:r>
      <w:r>
        <w:rPr>
          <w:spacing w:val="-8"/>
          <w:w w:val="105"/>
        </w:rPr>
        <w:t> </w:t>
      </w:r>
      <w:r>
        <w:rPr>
          <w:w w:val="105"/>
        </w:rPr>
        <w:t>year,</w:t>
      </w:r>
      <w:r>
        <w:rPr>
          <w:spacing w:val="-8"/>
          <w:w w:val="105"/>
        </w:rPr>
        <w:t> </w:t>
      </w:r>
      <w:r>
        <w:rPr>
          <w:w w:val="105"/>
        </w:rPr>
        <w:t>leading</w:t>
      </w:r>
      <w:r>
        <w:rPr>
          <w:spacing w:val="-8"/>
          <w:w w:val="105"/>
        </w:rPr>
        <w:t> </w:t>
      </w:r>
      <w:r>
        <w:rPr>
          <w:w w:val="105"/>
        </w:rPr>
        <w:t>to</w:t>
      </w:r>
      <w:r>
        <w:rPr>
          <w:spacing w:val="-8"/>
          <w:w w:val="105"/>
        </w:rPr>
        <w:t> </w:t>
      </w:r>
      <w:r>
        <w:rPr>
          <w:w w:val="105"/>
        </w:rPr>
        <w:t>a</w:t>
      </w:r>
      <w:r>
        <w:rPr>
          <w:spacing w:val="-8"/>
          <w:w w:val="105"/>
        </w:rPr>
        <w:t> </w:t>
      </w:r>
      <w:r>
        <w:rPr>
          <w:w w:val="105"/>
        </w:rPr>
        <w:t>domestic</w:t>
      </w:r>
      <w:r>
        <w:rPr>
          <w:spacing w:val="-8"/>
          <w:w w:val="105"/>
        </w:rPr>
        <w:t> </w:t>
      </w:r>
      <w:r>
        <w:rPr>
          <w:w w:val="105"/>
        </w:rPr>
        <w:t>plan</w:t>
      </w:r>
      <w:r>
        <w:rPr>
          <w:spacing w:val="-8"/>
          <w:w w:val="105"/>
        </w:rPr>
        <w:t> </w:t>
      </w:r>
      <w:r>
        <w:rPr>
          <w:w w:val="105"/>
        </w:rPr>
        <w:t>weighted-average</w:t>
      </w:r>
      <w:r>
        <w:rPr>
          <w:spacing w:val="-8"/>
          <w:w w:val="105"/>
        </w:rPr>
        <w:t> </w:t>
      </w:r>
      <w:r>
        <w:rPr>
          <w:w w:val="105"/>
        </w:rPr>
        <w:t>discount</w:t>
      </w:r>
      <w:r>
        <w:rPr>
          <w:spacing w:val="-8"/>
          <w:w w:val="105"/>
        </w:rPr>
        <w:t> </w:t>
      </w:r>
      <w:r>
        <w:rPr>
          <w:w w:val="105"/>
        </w:rPr>
        <w:t>rate</w:t>
      </w:r>
      <w:r>
        <w:rPr>
          <w:spacing w:val="-8"/>
          <w:w w:val="105"/>
        </w:rPr>
        <w:t> </w:t>
      </w:r>
      <w:r>
        <w:rPr>
          <w:w w:val="105"/>
        </w:rPr>
        <w:t>that</w:t>
      </w:r>
      <w:r>
        <w:rPr>
          <w:spacing w:val="-8"/>
          <w:w w:val="105"/>
        </w:rPr>
        <w:t> </w:t>
      </w:r>
      <w:r>
        <w:rPr>
          <w:w w:val="105"/>
        </w:rPr>
        <w:t>was</w:t>
      </w:r>
      <w:r>
        <w:rPr>
          <w:spacing w:val="-8"/>
          <w:w w:val="105"/>
        </w:rPr>
        <w:t> </w:t>
      </w:r>
      <w:r>
        <w:rPr>
          <w:w w:val="105"/>
        </w:rPr>
        <w:t>78</w:t>
      </w:r>
      <w:r>
        <w:rPr>
          <w:spacing w:val="-8"/>
          <w:w w:val="105"/>
        </w:rPr>
        <w:t> </w:t>
      </w:r>
      <w:r>
        <w:rPr>
          <w:w w:val="105"/>
        </w:rPr>
        <w:t>basis</w:t>
      </w:r>
      <w:r>
        <w:rPr>
          <w:spacing w:val="-8"/>
          <w:w w:val="105"/>
        </w:rPr>
        <w:t> </w:t>
      </w:r>
      <w:r>
        <w:rPr>
          <w:w w:val="105"/>
        </w:rPr>
        <w:t>points</w:t>
      </w:r>
      <w:r>
        <w:rPr>
          <w:spacing w:val="-8"/>
          <w:w w:val="105"/>
        </w:rPr>
        <w:t> </w:t>
      </w:r>
      <w:r>
        <w:rPr>
          <w:w w:val="105"/>
        </w:rPr>
        <w:t>lower</w:t>
      </w:r>
      <w:r>
        <w:rPr>
          <w:spacing w:val="-8"/>
          <w:w w:val="105"/>
        </w:rPr>
        <w:t> </w:t>
      </w:r>
      <w:r>
        <w:rPr>
          <w:w w:val="105"/>
        </w:rPr>
        <w:t>than</w:t>
      </w:r>
      <w:r>
        <w:rPr>
          <w:spacing w:val="-8"/>
          <w:w w:val="105"/>
        </w:rPr>
        <w:t> </w:t>
      </w:r>
      <w:r>
        <w:rPr>
          <w:w w:val="105"/>
        </w:rPr>
        <w:t>the</w:t>
      </w:r>
      <w:r>
        <w:rPr>
          <w:spacing w:val="-8"/>
          <w:w w:val="105"/>
        </w:rPr>
        <w:t> </w:t>
      </w:r>
      <w:r>
        <w:rPr>
          <w:w w:val="105"/>
        </w:rPr>
        <w:t>prior year.</w:t>
      </w:r>
      <w:r>
        <w:rPr>
          <w:spacing w:val="-1"/>
          <w:w w:val="105"/>
        </w:rPr>
        <w:t> </w:t>
      </w:r>
      <w:r>
        <w:rPr>
          <w:w w:val="105"/>
        </w:rPr>
        <w:t>The</w:t>
      </w:r>
      <w:r>
        <w:rPr>
          <w:spacing w:val="-1"/>
          <w:w w:val="105"/>
        </w:rPr>
        <w:t> </w:t>
      </w:r>
      <w:r>
        <w:rPr>
          <w:w w:val="105"/>
        </w:rPr>
        <w:t>accumulated</w:t>
      </w:r>
      <w:r>
        <w:rPr>
          <w:spacing w:val="-1"/>
          <w:w w:val="105"/>
        </w:rPr>
        <w:t> </w:t>
      </w:r>
      <w:r>
        <w:rPr>
          <w:w w:val="105"/>
        </w:rPr>
        <w:t>benefit</w:t>
      </w:r>
      <w:r>
        <w:rPr>
          <w:spacing w:val="-1"/>
          <w:w w:val="105"/>
        </w:rPr>
        <w:t> </w:t>
      </w:r>
      <w:r>
        <w:rPr>
          <w:w w:val="105"/>
        </w:rPr>
        <w:t>obligation</w:t>
      </w:r>
      <w:r>
        <w:rPr>
          <w:spacing w:val="-1"/>
          <w:w w:val="105"/>
        </w:rPr>
        <w:t> </w:t>
      </w:r>
      <w:r>
        <w:rPr>
          <w:w w:val="105"/>
        </w:rPr>
        <w:t>for</w:t>
      </w:r>
      <w:r>
        <w:rPr>
          <w:spacing w:val="-1"/>
          <w:w w:val="105"/>
        </w:rPr>
        <w:t> </w:t>
      </w:r>
      <w:r>
        <w:rPr>
          <w:w w:val="105"/>
        </w:rPr>
        <w:t>defined</w:t>
      </w:r>
      <w:r>
        <w:rPr>
          <w:spacing w:val="-1"/>
          <w:w w:val="105"/>
        </w:rPr>
        <w:t> </w:t>
      </w:r>
      <w:r>
        <w:rPr>
          <w:w w:val="105"/>
        </w:rPr>
        <w:t>benefit</w:t>
      </w:r>
      <w:r>
        <w:rPr>
          <w:spacing w:val="-1"/>
          <w:w w:val="105"/>
        </w:rPr>
        <w:t> </w:t>
      </w:r>
      <w:r>
        <w:rPr>
          <w:w w:val="105"/>
        </w:rPr>
        <w:t>pension</w:t>
      </w:r>
      <w:r>
        <w:rPr>
          <w:spacing w:val="-1"/>
          <w:w w:val="105"/>
        </w:rPr>
        <w:t> </w:t>
      </w:r>
      <w:r>
        <w:rPr>
          <w:w w:val="105"/>
        </w:rPr>
        <w:t>plans</w:t>
      </w:r>
      <w:r>
        <w:rPr>
          <w:spacing w:val="-1"/>
          <w:w w:val="105"/>
        </w:rPr>
        <w:t> </w:t>
      </w:r>
      <w:r>
        <w:rPr>
          <w:w w:val="105"/>
        </w:rPr>
        <w:t>was</w:t>
      </w:r>
      <w:r>
        <w:rPr>
          <w:spacing w:val="-1"/>
          <w:w w:val="105"/>
        </w:rPr>
        <w:t> </w:t>
      </w:r>
      <w:r>
        <w:rPr>
          <w:w w:val="105"/>
        </w:rPr>
        <w:t>$4.5</w:t>
      </w:r>
      <w:r>
        <w:rPr>
          <w:spacing w:val="-1"/>
          <w:w w:val="105"/>
        </w:rPr>
        <w:t> </w:t>
      </w:r>
      <w:r>
        <w:rPr>
          <w:w w:val="105"/>
        </w:rPr>
        <w:t>billion</w:t>
      </w:r>
      <w:r>
        <w:rPr>
          <w:spacing w:val="-1"/>
          <w:w w:val="105"/>
        </w:rPr>
        <w:t> </w:t>
      </w:r>
      <w:r>
        <w:rPr>
          <w:w w:val="105"/>
        </w:rPr>
        <w:t>and</w:t>
      </w:r>
      <w:r>
        <w:rPr>
          <w:spacing w:val="-1"/>
          <w:w w:val="105"/>
        </w:rPr>
        <w:t> </w:t>
      </w:r>
      <w:r>
        <w:rPr>
          <w:w w:val="105"/>
        </w:rPr>
        <w:t>$4.7</w:t>
      </w:r>
      <w:r>
        <w:rPr>
          <w:spacing w:val="-1"/>
          <w:w w:val="105"/>
        </w:rPr>
        <w:t> </w:t>
      </w:r>
      <w:r>
        <w:rPr>
          <w:w w:val="105"/>
        </w:rPr>
        <w:t>billion</w:t>
      </w:r>
      <w:r>
        <w:rPr>
          <w:spacing w:val="-1"/>
          <w:w w:val="105"/>
        </w:rPr>
        <w:t> </w:t>
      </w:r>
      <w:r>
        <w:rPr>
          <w:w w:val="105"/>
        </w:rPr>
        <w:t>at December</w:t>
      </w:r>
      <w:r>
        <w:rPr>
          <w:spacing w:val="-1"/>
          <w:w w:val="105"/>
        </w:rPr>
        <w:t> </w:t>
      </w:r>
      <w:r>
        <w:rPr>
          <w:w w:val="105"/>
        </w:rPr>
        <w:t>31,</w:t>
      </w:r>
      <w:r>
        <w:rPr>
          <w:spacing w:val="-1"/>
          <w:w w:val="105"/>
        </w:rPr>
        <w:t> </w:t>
      </w:r>
      <w:r>
        <w:rPr>
          <w:w w:val="105"/>
        </w:rPr>
        <w:t>2021 and</w:t>
      </w:r>
      <w:r>
        <w:rPr>
          <w:spacing w:val="-1"/>
          <w:w w:val="105"/>
        </w:rPr>
        <w:t> </w:t>
      </w:r>
      <w:r>
        <w:rPr>
          <w:w w:val="105"/>
        </w:rPr>
        <w:t>2020,</w:t>
      </w:r>
      <w:r>
        <w:rPr>
          <w:spacing w:val="-1"/>
          <w:w w:val="105"/>
        </w:rPr>
        <w:t> </w:t>
      </w:r>
      <w:r>
        <w:rPr>
          <w:w w:val="105"/>
        </w:rPr>
        <w:t>respectively.</w:t>
      </w:r>
    </w:p>
    <w:p>
      <w:pPr>
        <w:pStyle w:val="BodyText"/>
        <w:spacing w:before="18"/>
      </w:pPr>
    </w:p>
    <w:p>
      <w:pPr>
        <w:pStyle w:val="BodyText"/>
        <w:spacing w:line="266" w:lineRule="auto"/>
        <w:ind w:left="156" w:right="366"/>
      </w:pPr>
      <w:r>
        <w:rPr>
          <w:w w:val="105"/>
        </w:rPr>
        <w:t>For</w:t>
      </w:r>
      <w:r>
        <w:rPr>
          <w:spacing w:val="-8"/>
          <w:w w:val="105"/>
        </w:rPr>
        <w:t> </w:t>
      </w:r>
      <w:r>
        <w:rPr>
          <w:w w:val="105"/>
        </w:rPr>
        <w:t>postretirement</w:t>
      </w:r>
      <w:r>
        <w:rPr>
          <w:spacing w:val="-8"/>
          <w:w w:val="105"/>
        </w:rPr>
        <w:t> </w:t>
      </w:r>
      <w:r>
        <w:rPr>
          <w:w w:val="105"/>
        </w:rPr>
        <w:t>benefits,</w:t>
      </w:r>
      <w:r>
        <w:rPr>
          <w:spacing w:val="-8"/>
          <w:w w:val="105"/>
        </w:rPr>
        <w:t> </w:t>
      </w:r>
      <w:r>
        <w:rPr>
          <w:w w:val="105"/>
        </w:rPr>
        <w:t>an</w:t>
      </w:r>
      <w:r>
        <w:rPr>
          <w:spacing w:val="-8"/>
          <w:w w:val="105"/>
        </w:rPr>
        <w:t> </w:t>
      </w:r>
      <w:r>
        <w:rPr>
          <w:w w:val="105"/>
        </w:rPr>
        <w:t>actuarial</w:t>
      </w:r>
      <w:r>
        <w:rPr>
          <w:spacing w:val="-8"/>
          <w:w w:val="105"/>
        </w:rPr>
        <w:t> </w:t>
      </w:r>
      <w:r>
        <w:rPr>
          <w:w w:val="105"/>
        </w:rPr>
        <w:t>gain</w:t>
      </w:r>
      <w:r>
        <w:rPr>
          <w:spacing w:val="-8"/>
          <w:w w:val="105"/>
        </w:rPr>
        <w:t> </w:t>
      </w:r>
      <w:r>
        <w:rPr>
          <w:w w:val="105"/>
        </w:rPr>
        <w:t>of</w:t>
      </w:r>
      <w:r>
        <w:rPr>
          <w:spacing w:val="-8"/>
          <w:w w:val="105"/>
        </w:rPr>
        <w:t> </w:t>
      </w:r>
      <w:r>
        <w:rPr>
          <w:w w:val="105"/>
        </w:rPr>
        <w:t>$105</w:t>
      </w:r>
      <w:r>
        <w:rPr>
          <w:spacing w:val="-8"/>
          <w:w w:val="105"/>
        </w:rPr>
        <w:t> </w:t>
      </w:r>
      <w:r>
        <w:rPr>
          <w:w w:val="105"/>
        </w:rPr>
        <w:t>million</w:t>
      </w:r>
      <w:r>
        <w:rPr>
          <w:spacing w:val="-8"/>
          <w:w w:val="105"/>
        </w:rPr>
        <w:t> </w:t>
      </w:r>
      <w:r>
        <w:rPr>
          <w:w w:val="105"/>
        </w:rPr>
        <w:t>was</w:t>
      </w:r>
      <w:r>
        <w:rPr>
          <w:spacing w:val="-8"/>
          <w:w w:val="105"/>
        </w:rPr>
        <w:t> </w:t>
      </w:r>
      <w:r>
        <w:rPr>
          <w:w w:val="105"/>
        </w:rPr>
        <w:t>recognized</w:t>
      </w:r>
      <w:r>
        <w:rPr>
          <w:spacing w:val="-6"/>
          <w:w w:val="105"/>
        </w:rPr>
        <w:t> </w:t>
      </w:r>
      <w:r>
        <w:rPr>
          <w:w w:val="105"/>
        </w:rPr>
        <w:t>in</w:t>
      </w:r>
      <w:r>
        <w:rPr>
          <w:spacing w:val="-9"/>
          <w:w w:val="105"/>
        </w:rPr>
        <w:t> </w:t>
      </w:r>
      <w:r>
        <w:rPr>
          <w:w w:val="105"/>
        </w:rPr>
        <w:t>2021</w:t>
      </w:r>
      <w:r>
        <w:rPr>
          <w:spacing w:val="-8"/>
          <w:w w:val="105"/>
        </w:rPr>
        <w:t> </w:t>
      </w:r>
      <w:r>
        <w:rPr>
          <w:w w:val="105"/>
        </w:rPr>
        <w:t>due</w:t>
      </w:r>
      <w:r>
        <w:rPr>
          <w:spacing w:val="-8"/>
          <w:w w:val="105"/>
        </w:rPr>
        <w:t> </w:t>
      </w:r>
      <w:r>
        <w:rPr>
          <w:w w:val="105"/>
        </w:rPr>
        <w:t>to</w:t>
      </w:r>
      <w:r>
        <w:rPr>
          <w:spacing w:val="-8"/>
          <w:w w:val="105"/>
        </w:rPr>
        <w:t> </w:t>
      </w:r>
      <w:r>
        <w:rPr>
          <w:w w:val="105"/>
        </w:rPr>
        <w:t>current</w:t>
      </w:r>
      <w:r>
        <w:rPr>
          <w:spacing w:val="-8"/>
          <w:w w:val="105"/>
        </w:rPr>
        <w:t> </w:t>
      </w:r>
      <w:r>
        <w:rPr>
          <w:w w:val="105"/>
        </w:rPr>
        <w:t>year</w:t>
      </w:r>
      <w:r>
        <w:rPr>
          <w:spacing w:val="-8"/>
          <w:w w:val="105"/>
        </w:rPr>
        <w:t> </w:t>
      </w:r>
      <w:r>
        <w:rPr>
          <w:w w:val="105"/>
        </w:rPr>
        <w:t>increases</w:t>
      </w:r>
      <w:r>
        <w:rPr>
          <w:spacing w:val="-8"/>
          <w:w w:val="105"/>
        </w:rPr>
        <w:t> </w:t>
      </w:r>
      <w:r>
        <w:rPr>
          <w:w w:val="105"/>
        </w:rPr>
        <w:t>in</w:t>
      </w:r>
      <w:r>
        <w:rPr>
          <w:spacing w:val="-8"/>
          <w:w w:val="105"/>
        </w:rPr>
        <w:t> </w:t>
      </w:r>
      <w:r>
        <w:rPr>
          <w:w w:val="105"/>
        </w:rPr>
        <w:t>bond</w:t>
      </w:r>
      <w:r>
        <w:rPr>
          <w:spacing w:val="-8"/>
          <w:w w:val="105"/>
        </w:rPr>
        <w:t> </w:t>
      </w:r>
      <w:r>
        <w:rPr>
          <w:w w:val="105"/>
        </w:rPr>
        <w:t>yields,</w:t>
      </w:r>
      <w:r>
        <w:rPr>
          <w:spacing w:val="-8"/>
          <w:w w:val="105"/>
        </w:rPr>
        <w:t> </w:t>
      </w:r>
      <w:r>
        <w:rPr>
          <w:w w:val="105"/>
        </w:rPr>
        <w:t>leading</w:t>
      </w:r>
      <w:r>
        <w:rPr>
          <w:spacing w:val="-8"/>
          <w:w w:val="105"/>
        </w:rPr>
        <w:t> </w:t>
      </w:r>
      <w:r>
        <w:rPr>
          <w:w w:val="105"/>
        </w:rPr>
        <w:t>to</w:t>
      </w:r>
      <w:r>
        <w:rPr>
          <w:spacing w:val="-6"/>
          <w:w w:val="105"/>
        </w:rPr>
        <w:t> </w:t>
      </w:r>
      <w:r>
        <w:rPr>
          <w:w w:val="105"/>
        </w:rPr>
        <w:t>a</w:t>
      </w:r>
      <w:r>
        <w:rPr>
          <w:spacing w:val="-8"/>
          <w:w w:val="105"/>
        </w:rPr>
        <w:t> </w:t>
      </w:r>
      <w:r>
        <w:rPr>
          <w:w w:val="105"/>
        </w:rPr>
        <w:t>weighted-average</w:t>
      </w:r>
      <w:r>
        <w:rPr>
          <w:spacing w:val="-8"/>
          <w:w w:val="105"/>
        </w:rPr>
        <w:t> </w:t>
      </w:r>
      <w:r>
        <w:rPr>
          <w:w w:val="105"/>
        </w:rPr>
        <w:t>discount rate</w:t>
      </w:r>
      <w:r>
        <w:rPr>
          <w:spacing w:val="-5"/>
          <w:w w:val="105"/>
        </w:rPr>
        <w:t> </w:t>
      </w:r>
      <w:r>
        <w:rPr>
          <w:w w:val="105"/>
        </w:rPr>
        <w:t>that</w:t>
      </w:r>
      <w:r>
        <w:rPr>
          <w:spacing w:val="-5"/>
          <w:w w:val="105"/>
        </w:rPr>
        <w:t> </w:t>
      </w:r>
      <w:r>
        <w:rPr>
          <w:w w:val="105"/>
        </w:rPr>
        <w:t>was</w:t>
      </w:r>
      <w:r>
        <w:rPr>
          <w:spacing w:val="-5"/>
          <w:w w:val="105"/>
        </w:rPr>
        <w:t> </w:t>
      </w:r>
      <w:r>
        <w:rPr>
          <w:w w:val="105"/>
        </w:rPr>
        <w:t>30</w:t>
      </w:r>
      <w:r>
        <w:rPr>
          <w:spacing w:val="-5"/>
          <w:w w:val="105"/>
        </w:rPr>
        <w:t> </w:t>
      </w:r>
      <w:r>
        <w:rPr>
          <w:w w:val="105"/>
        </w:rPr>
        <w:t>basis</w:t>
      </w:r>
      <w:r>
        <w:rPr>
          <w:spacing w:val="-5"/>
          <w:w w:val="105"/>
        </w:rPr>
        <w:t> </w:t>
      </w:r>
      <w:r>
        <w:rPr>
          <w:w w:val="105"/>
        </w:rPr>
        <w:t>points</w:t>
      </w:r>
      <w:r>
        <w:rPr>
          <w:spacing w:val="-5"/>
          <w:w w:val="105"/>
        </w:rPr>
        <w:t> </w:t>
      </w:r>
      <w:r>
        <w:rPr>
          <w:w w:val="105"/>
        </w:rPr>
        <w:t>higher</w:t>
      </w:r>
      <w:r>
        <w:rPr>
          <w:spacing w:val="-5"/>
          <w:w w:val="105"/>
        </w:rPr>
        <w:t> </w:t>
      </w:r>
      <w:r>
        <w:rPr>
          <w:w w:val="105"/>
        </w:rPr>
        <w:t>than</w:t>
      </w:r>
      <w:r>
        <w:rPr>
          <w:spacing w:val="-5"/>
          <w:w w:val="105"/>
        </w:rPr>
        <w:t> </w:t>
      </w:r>
      <w:r>
        <w:rPr>
          <w:w w:val="105"/>
        </w:rPr>
        <w:t>the</w:t>
      </w:r>
      <w:r>
        <w:rPr>
          <w:spacing w:val="-5"/>
          <w:w w:val="105"/>
        </w:rPr>
        <w:t> </w:t>
      </w:r>
      <w:r>
        <w:rPr>
          <w:w w:val="105"/>
        </w:rPr>
        <w:t>prior</w:t>
      </w:r>
      <w:r>
        <w:rPr>
          <w:spacing w:val="-5"/>
          <w:w w:val="105"/>
        </w:rPr>
        <w:t> </w:t>
      </w:r>
      <w:r>
        <w:rPr>
          <w:w w:val="105"/>
        </w:rPr>
        <w:t>year.</w:t>
      </w:r>
      <w:r>
        <w:rPr>
          <w:spacing w:val="-5"/>
          <w:w w:val="105"/>
        </w:rPr>
        <w:t> </w:t>
      </w:r>
      <w:r>
        <w:rPr>
          <w:w w:val="105"/>
        </w:rPr>
        <w:t>In</w:t>
      </w:r>
      <w:r>
        <w:rPr>
          <w:spacing w:val="-3"/>
          <w:w w:val="105"/>
        </w:rPr>
        <w:t> </w:t>
      </w:r>
      <w:r>
        <w:rPr>
          <w:w w:val="105"/>
        </w:rPr>
        <w:t>2020,</w:t>
      </w:r>
      <w:r>
        <w:rPr>
          <w:spacing w:val="-5"/>
          <w:w w:val="105"/>
        </w:rPr>
        <w:t> </w:t>
      </w:r>
      <w:r>
        <w:rPr>
          <w:w w:val="105"/>
        </w:rPr>
        <w:t>an</w:t>
      </w:r>
      <w:r>
        <w:rPr>
          <w:spacing w:val="-5"/>
          <w:w w:val="105"/>
        </w:rPr>
        <w:t> </w:t>
      </w:r>
      <w:r>
        <w:rPr>
          <w:w w:val="105"/>
        </w:rPr>
        <w:t>actuarial</w:t>
      </w:r>
      <w:r>
        <w:rPr>
          <w:spacing w:val="-5"/>
          <w:w w:val="105"/>
        </w:rPr>
        <w:t> </w:t>
      </w:r>
      <w:r>
        <w:rPr>
          <w:w w:val="105"/>
        </w:rPr>
        <w:t>loss</w:t>
      </w:r>
      <w:r>
        <w:rPr>
          <w:spacing w:val="-5"/>
          <w:w w:val="105"/>
        </w:rPr>
        <w:t> </w:t>
      </w:r>
      <w:r>
        <w:rPr>
          <w:w w:val="105"/>
        </w:rPr>
        <w:t>of</w:t>
      </w:r>
      <w:r>
        <w:rPr>
          <w:spacing w:val="-5"/>
          <w:w w:val="105"/>
        </w:rPr>
        <w:t> </w:t>
      </w:r>
      <w:r>
        <w:rPr>
          <w:w w:val="105"/>
        </w:rPr>
        <w:t>$58</w:t>
      </w:r>
      <w:r>
        <w:rPr>
          <w:spacing w:val="-5"/>
          <w:w w:val="105"/>
        </w:rPr>
        <w:t> </w:t>
      </w:r>
      <w:r>
        <w:rPr>
          <w:w w:val="105"/>
        </w:rPr>
        <w:t>million</w:t>
      </w:r>
      <w:r>
        <w:rPr>
          <w:spacing w:val="-5"/>
          <w:w w:val="105"/>
        </w:rPr>
        <w:t> </w:t>
      </w:r>
      <w:r>
        <w:rPr>
          <w:w w:val="105"/>
        </w:rPr>
        <w:t>was</w:t>
      </w:r>
      <w:r>
        <w:rPr>
          <w:spacing w:val="-5"/>
          <w:w w:val="105"/>
        </w:rPr>
        <w:t> </w:t>
      </w:r>
      <w:r>
        <w:rPr>
          <w:w w:val="105"/>
        </w:rPr>
        <w:t>recognized</w:t>
      </w:r>
      <w:r>
        <w:rPr>
          <w:spacing w:val="-5"/>
          <w:w w:val="105"/>
        </w:rPr>
        <w:t> </w:t>
      </w:r>
      <w:r>
        <w:rPr>
          <w:w w:val="105"/>
        </w:rPr>
        <w:t>due</w:t>
      </w:r>
      <w:r>
        <w:rPr>
          <w:spacing w:val="-5"/>
          <w:w w:val="105"/>
        </w:rPr>
        <w:t> </w:t>
      </w:r>
      <w:r>
        <w:rPr>
          <w:w w:val="105"/>
        </w:rPr>
        <w:t>to</w:t>
      </w:r>
      <w:r>
        <w:rPr>
          <w:spacing w:val="-5"/>
          <w:w w:val="105"/>
        </w:rPr>
        <w:t> </w:t>
      </w:r>
      <w:r>
        <w:rPr>
          <w:w w:val="105"/>
        </w:rPr>
        <w:t>current</w:t>
      </w:r>
      <w:r>
        <w:rPr>
          <w:spacing w:val="-5"/>
          <w:w w:val="105"/>
        </w:rPr>
        <w:t> </w:t>
      </w:r>
      <w:r>
        <w:rPr>
          <w:w w:val="105"/>
        </w:rPr>
        <w:t>year</w:t>
      </w:r>
      <w:r>
        <w:rPr>
          <w:spacing w:val="-5"/>
          <w:w w:val="105"/>
        </w:rPr>
        <w:t> </w:t>
      </w:r>
      <w:r>
        <w:rPr>
          <w:w w:val="105"/>
        </w:rPr>
        <w:t>decreases</w:t>
      </w:r>
      <w:r>
        <w:rPr>
          <w:spacing w:val="-3"/>
          <w:w w:val="105"/>
        </w:rPr>
        <w:t> </w:t>
      </w:r>
      <w:r>
        <w:rPr>
          <w:w w:val="105"/>
        </w:rPr>
        <w:t>in</w:t>
      </w:r>
      <w:r>
        <w:rPr>
          <w:spacing w:val="-5"/>
          <w:w w:val="105"/>
        </w:rPr>
        <w:t> </w:t>
      </w:r>
      <w:r>
        <w:rPr>
          <w:w w:val="105"/>
        </w:rPr>
        <w:t>bond</w:t>
      </w:r>
      <w:r>
        <w:rPr>
          <w:spacing w:val="-5"/>
          <w:w w:val="105"/>
        </w:rPr>
        <w:t> </w:t>
      </w:r>
      <w:r>
        <w:rPr>
          <w:w w:val="105"/>
        </w:rPr>
        <w:t>yields,</w:t>
      </w:r>
      <w:r>
        <w:rPr>
          <w:spacing w:val="-5"/>
          <w:w w:val="105"/>
        </w:rPr>
        <w:t> </w:t>
      </w:r>
      <w:r>
        <w:rPr>
          <w:w w:val="105"/>
        </w:rPr>
        <w:t>leading</w:t>
      </w:r>
      <w:r>
        <w:rPr>
          <w:spacing w:val="-5"/>
          <w:w w:val="105"/>
        </w:rPr>
        <w:t> </w:t>
      </w:r>
      <w:r>
        <w:rPr>
          <w:w w:val="105"/>
        </w:rPr>
        <w:t>to</w:t>
      </w:r>
      <w:r>
        <w:rPr>
          <w:spacing w:val="-5"/>
          <w:w w:val="105"/>
        </w:rPr>
        <w:t> </w:t>
      </w:r>
      <w:r>
        <w:rPr>
          <w:w w:val="105"/>
        </w:rPr>
        <w:t>a weighted-average discount rate that was 72 basis points lower than the prior year.</w:t>
      </w:r>
    </w:p>
    <w:p>
      <w:pPr>
        <w:pStyle w:val="BodyText"/>
        <w:spacing w:before="18"/>
      </w:pPr>
    </w:p>
    <w:p>
      <w:pPr>
        <w:pStyle w:val="BodyText"/>
        <w:spacing w:line="266" w:lineRule="auto" w:before="1"/>
        <w:ind w:left="156" w:right="228"/>
      </w:pPr>
      <w:r>
        <w:rPr>
          <w:w w:val="105"/>
        </w:rPr>
        <w:t>The</w:t>
      </w:r>
      <w:r>
        <w:rPr>
          <w:spacing w:val="-8"/>
          <w:w w:val="105"/>
        </w:rPr>
        <w:t> </w:t>
      </w:r>
      <w:r>
        <w:rPr>
          <w:w w:val="105"/>
        </w:rPr>
        <w:t>following</w:t>
      </w:r>
      <w:r>
        <w:rPr>
          <w:spacing w:val="-8"/>
          <w:w w:val="105"/>
        </w:rPr>
        <w:t> </w:t>
      </w:r>
      <w:r>
        <w:rPr>
          <w:w w:val="105"/>
        </w:rPr>
        <w:t>information</w:t>
      </w:r>
      <w:r>
        <w:rPr>
          <w:spacing w:val="-8"/>
          <w:w w:val="105"/>
        </w:rPr>
        <w:t> </w:t>
      </w:r>
      <w:r>
        <w:rPr>
          <w:w w:val="105"/>
        </w:rPr>
        <w:t>is</w:t>
      </w:r>
      <w:r>
        <w:rPr>
          <w:spacing w:val="-8"/>
          <w:w w:val="105"/>
        </w:rPr>
        <w:t> </w:t>
      </w:r>
      <w:r>
        <w:rPr>
          <w:w w:val="105"/>
        </w:rPr>
        <w:t>presented</w:t>
      </w:r>
      <w:r>
        <w:rPr>
          <w:spacing w:val="-8"/>
          <w:w w:val="105"/>
        </w:rPr>
        <w:t> </w:t>
      </w:r>
      <w:r>
        <w:rPr>
          <w:w w:val="105"/>
        </w:rPr>
        <w:t>for</w:t>
      </w:r>
      <w:r>
        <w:rPr>
          <w:spacing w:val="-8"/>
          <w:w w:val="105"/>
        </w:rPr>
        <w:t> </w:t>
      </w:r>
      <w:r>
        <w:rPr>
          <w:w w:val="105"/>
        </w:rPr>
        <w:t>pension</w:t>
      </w:r>
      <w:r>
        <w:rPr>
          <w:spacing w:val="-8"/>
          <w:w w:val="105"/>
        </w:rPr>
        <w:t> </w:t>
      </w:r>
      <w:r>
        <w:rPr>
          <w:w w:val="105"/>
        </w:rPr>
        <w:t>plans</w:t>
      </w:r>
      <w:r>
        <w:rPr>
          <w:spacing w:val="-8"/>
          <w:w w:val="105"/>
        </w:rPr>
        <w:t> </w:t>
      </w:r>
      <w:r>
        <w:rPr>
          <w:w w:val="105"/>
        </w:rPr>
        <w:t>where</w:t>
      </w:r>
      <w:r>
        <w:rPr>
          <w:spacing w:val="-7"/>
          <w:w w:val="105"/>
        </w:rPr>
        <w:t> </w:t>
      </w:r>
      <w:r>
        <w:rPr>
          <w:w w:val="105"/>
        </w:rPr>
        <w:t>the</w:t>
      </w:r>
      <w:r>
        <w:rPr>
          <w:spacing w:val="-8"/>
          <w:w w:val="105"/>
        </w:rPr>
        <w:t> </w:t>
      </w:r>
      <w:r>
        <w:rPr>
          <w:w w:val="105"/>
        </w:rPr>
        <w:t>projected</w:t>
      </w:r>
      <w:r>
        <w:rPr>
          <w:spacing w:val="-8"/>
          <w:w w:val="105"/>
        </w:rPr>
        <w:t> </w:t>
      </w:r>
      <w:r>
        <w:rPr>
          <w:w w:val="105"/>
        </w:rPr>
        <w:t>benefit</w:t>
      </w:r>
      <w:r>
        <w:rPr>
          <w:spacing w:val="-8"/>
          <w:w w:val="105"/>
        </w:rPr>
        <w:t> </w:t>
      </w:r>
      <w:r>
        <w:rPr>
          <w:w w:val="105"/>
        </w:rPr>
        <w:t>obligation</w:t>
      </w:r>
      <w:r>
        <w:rPr>
          <w:spacing w:val="-8"/>
          <w:w w:val="105"/>
        </w:rPr>
        <w:t> </w:t>
      </w:r>
      <w:r>
        <w:rPr>
          <w:w w:val="105"/>
        </w:rPr>
        <w:t>or</w:t>
      </w:r>
      <w:r>
        <w:rPr>
          <w:spacing w:val="-8"/>
          <w:w w:val="105"/>
        </w:rPr>
        <w:t> </w:t>
      </w:r>
      <w:r>
        <w:rPr>
          <w:w w:val="105"/>
        </w:rPr>
        <w:t>the</w:t>
      </w:r>
      <w:r>
        <w:rPr>
          <w:spacing w:val="-8"/>
          <w:w w:val="105"/>
        </w:rPr>
        <w:t> </w:t>
      </w:r>
      <w:r>
        <w:rPr>
          <w:w w:val="105"/>
        </w:rPr>
        <w:t>accumulated</w:t>
      </w:r>
      <w:r>
        <w:rPr>
          <w:spacing w:val="-8"/>
          <w:w w:val="105"/>
        </w:rPr>
        <w:t> </w:t>
      </w:r>
      <w:r>
        <w:rPr>
          <w:w w:val="105"/>
        </w:rPr>
        <w:t>benefit</w:t>
      </w:r>
      <w:r>
        <w:rPr>
          <w:spacing w:val="-8"/>
          <w:w w:val="105"/>
        </w:rPr>
        <w:t> </w:t>
      </w:r>
      <w:r>
        <w:rPr>
          <w:w w:val="105"/>
        </w:rPr>
        <w:t>obligation</w:t>
      </w:r>
      <w:r>
        <w:rPr>
          <w:spacing w:val="-7"/>
          <w:w w:val="105"/>
        </w:rPr>
        <w:t> </w:t>
      </w:r>
      <w:r>
        <w:rPr>
          <w:w w:val="105"/>
        </w:rPr>
        <w:t>exceeded</w:t>
      </w:r>
      <w:r>
        <w:rPr>
          <w:spacing w:val="-8"/>
          <w:w w:val="105"/>
        </w:rPr>
        <w:t> </w:t>
      </w:r>
      <w:r>
        <w:rPr>
          <w:w w:val="105"/>
        </w:rPr>
        <w:t>the</w:t>
      </w:r>
      <w:r>
        <w:rPr>
          <w:spacing w:val="-8"/>
          <w:w w:val="105"/>
        </w:rPr>
        <w:t> </w:t>
      </w:r>
      <w:r>
        <w:rPr>
          <w:w w:val="105"/>
        </w:rPr>
        <w:t>fair</w:t>
      </w:r>
      <w:r>
        <w:rPr>
          <w:spacing w:val="-8"/>
          <w:w w:val="105"/>
        </w:rPr>
        <w:t> </w:t>
      </w:r>
      <w:r>
        <w:rPr>
          <w:w w:val="105"/>
        </w:rPr>
        <w:t>value</w:t>
      </w:r>
      <w:r>
        <w:rPr>
          <w:spacing w:val="-8"/>
          <w:w w:val="105"/>
        </w:rPr>
        <w:t> </w:t>
      </w:r>
      <w:r>
        <w:rPr>
          <w:w w:val="105"/>
        </w:rPr>
        <w:t>of</w:t>
      </w:r>
      <w:r>
        <w:rPr>
          <w:spacing w:val="-8"/>
          <w:w w:val="105"/>
        </w:rPr>
        <w:t> </w:t>
      </w:r>
      <w:r>
        <w:rPr>
          <w:w w:val="105"/>
        </w:rPr>
        <w:t>plan</w:t>
      </w:r>
      <w:r>
        <w:rPr>
          <w:spacing w:val="-8"/>
          <w:w w:val="105"/>
        </w:rPr>
        <w:t> </w:t>
      </w:r>
      <w:r>
        <w:rPr>
          <w:w w:val="105"/>
        </w:rPr>
        <w:t>assets (in</w:t>
      </w:r>
      <w:r>
        <w:rPr>
          <w:spacing w:val="-1"/>
          <w:w w:val="105"/>
        </w:rPr>
        <w:t> </w:t>
      </w:r>
      <w:r>
        <w:rPr>
          <w:w w:val="105"/>
        </w:rPr>
        <w:t>millions):</w:t>
      </w:r>
    </w:p>
    <w:p>
      <w:pPr>
        <w:pStyle w:val="BodyText"/>
        <w:spacing w:before="2"/>
        <w:rPr>
          <w:sz w:val="15"/>
        </w:rPr>
      </w:pPr>
      <w:r>
        <w:rPr/>
        <mc:AlternateContent>
          <mc:Choice Requires="wps">
            <w:drawing>
              <wp:anchor distT="0" distB="0" distL="0" distR="0" allowOverlap="1" layoutInCell="1" locked="0" behindDoc="1" simplePos="0" relativeHeight="487697920">
                <wp:simplePos x="0" y="0"/>
                <wp:positionH relativeFrom="page">
                  <wp:posOffset>226479</wp:posOffset>
                </wp:positionH>
                <wp:positionV relativeFrom="paragraph">
                  <wp:posOffset>126631</wp:posOffset>
                </wp:positionV>
                <wp:extent cx="7312659" cy="16510"/>
                <wp:effectExtent l="0" t="0" r="0" b="0"/>
                <wp:wrapTopAndBottom/>
                <wp:docPr id="436" name="Graphic 436"/>
                <wp:cNvGraphicFramePr>
                  <a:graphicFrameLocks/>
                </wp:cNvGraphicFramePr>
                <a:graphic>
                  <a:graphicData uri="http://schemas.microsoft.com/office/word/2010/wordprocessingShape">
                    <wps:wsp>
                      <wps:cNvPr id="436" name="Graphic 436"/>
                      <wps:cNvSpPr/>
                      <wps:spPr>
                        <a:xfrm>
                          <a:off x="0" y="0"/>
                          <a:ext cx="7312659" cy="16510"/>
                        </a:xfrm>
                        <a:custGeom>
                          <a:avLst/>
                          <a:gdLst/>
                          <a:ahLst/>
                          <a:cxnLst/>
                          <a:rect l="l" t="t" r="r" b="b"/>
                          <a:pathLst>
                            <a:path w="7312659" h="16510">
                              <a:moveTo>
                                <a:pt x="7312342" y="0"/>
                              </a:moveTo>
                              <a:lnTo>
                                <a:pt x="7239546" y="0"/>
                              </a:lnTo>
                              <a:lnTo>
                                <a:pt x="5201145" y="0"/>
                              </a:lnTo>
                              <a:lnTo>
                                <a:pt x="5120259" y="0"/>
                              </a:lnTo>
                              <a:lnTo>
                                <a:pt x="0" y="0"/>
                              </a:lnTo>
                              <a:lnTo>
                                <a:pt x="0" y="16179"/>
                              </a:lnTo>
                              <a:lnTo>
                                <a:pt x="5120259" y="16179"/>
                              </a:lnTo>
                              <a:lnTo>
                                <a:pt x="5201145"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9.97101pt;width:575.8pt;height:1.3pt;mso-position-horizontal-relative:page;mso-position-vertical-relative:paragraph;z-index:-15618560;mso-wrap-distance-left:0;mso-wrap-distance-right:0" id="docshape435" coordorigin="357,199" coordsize="11516,26" path="m11872,199l11758,199,8547,199,8420,199,357,199,357,225,8420,225,8547,225,11758,225,11872,225,11872,199xe" filled="true" fillcolor="#000000" stroked="false">
                <v:path arrowok="t"/>
                <v:fill type="solid"/>
                <w10:wrap type="topAndBottom"/>
              </v:shape>
            </w:pict>
          </mc:Fallback>
        </mc:AlternateContent>
      </w:r>
    </w:p>
    <w:p>
      <w:pPr>
        <w:pStyle w:val="BodyText"/>
        <w:spacing w:before="3" w:after="23"/>
        <w:ind w:right="1361"/>
        <w:jc w:val="right"/>
      </w:pPr>
      <w:r>
        <w:rPr/>
        <w:t>December</w:t>
      </w:r>
      <w:r>
        <w:rPr>
          <w:spacing w:val="20"/>
        </w:rPr>
        <w:t> </w:t>
      </w:r>
      <w:r>
        <w:rPr>
          <w:spacing w:val="-5"/>
        </w:rPr>
        <w:t>31,</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1"/>
        <w:gridCol w:w="1015"/>
        <w:gridCol w:w="591"/>
        <w:gridCol w:w="1129"/>
        <w:gridCol w:w="591"/>
      </w:tblGrid>
      <w:tr>
        <w:trPr>
          <w:trHeight w:val="201" w:hRule="atLeast"/>
        </w:trPr>
        <w:tc>
          <w:tcPr>
            <w:tcW w:w="8191" w:type="dxa"/>
            <w:tcBorders>
              <w:bottom w:val="single" w:sz="6" w:space="0" w:color="000000"/>
            </w:tcBorders>
          </w:tcPr>
          <w:p>
            <w:pPr>
              <w:pStyle w:val="TableParagraph"/>
              <w:rPr>
                <w:sz w:val="14"/>
              </w:rPr>
            </w:pPr>
          </w:p>
        </w:tc>
        <w:tc>
          <w:tcPr>
            <w:tcW w:w="1015" w:type="dxa"/>
            <w:tcBorders>
              <w:top w:val="single" w:sz="6" w:space="0" w:color="000000"/>
              <w:bottom w:val="single" w:sz="6" w:space="0" w:color="000000"/>
            </w:tcBorders>
          </w:tcPr>
          <w:p>
            <w:pPr>
              <w:pStyle w:val="TableParagraph"/>
              <w:spacing w:line="179" w:lineRule="exact" w:before="2"/>
              <w:ind w:left="579"/>
              <w:rPr>
                <w:b/>
                <w:sz w:val="16"/>
              </w:rPr>
            </w:pPr>
            <w:r>
              <w:rPr>
                <w:b/>
                <w:spacing w:val="-4"/>
                <w:w w:val="105"/>
                <w:sz w:val="16"/>
              </w:rPr>
              <w:t>2021</w:t>
            </w:r>
          </w:p>
        </w:tc>
        <w:tc>
          <w:tcPr>
            <w:tcW w:w="591" w:type="dxa"/>
            <w:tcBorders>
              <w:top w:val="single" w:sz="6" w:space="0" w:color="000000"/>
              <w:bottom w:val="single" w:sz="6" w:space="0" w:color="000000"/>
            </w:tcBorders>
          </w:tcPr>
          <w:p>
            <w:pPr>
              <w:pStyle w:val="TableParagraph"/>
              <w:rPr>
                <w:sz w:val="14"/>
              </w:rPr>
            </w:pPr>
          </w:p>
        </w:tc>
        <w:tc>
          <w:tcPr>
            <w:tcW w:w="1129" w:type="dxa"/>
            <w:tcBorders>
              <w:top w:val="single" w:sz="6" w:space="0" w:color="000000"/>
              <w:bottom w:val="single" w:sz="6" w:space="0" w:color="000000"/>
            </w:tcBorders>
          </w:tcPr>
          <w:p>
            <w:pPr>
              <w:pStyle w:val="TableParagraph"/>
              <w:spacing w:line="179" w:lineRule="exact" w:before="2"/>
              <w:ind w:left="693"/>
              <w:rPr>
                <w:sz w:val="16"/>
              </w:rPr>
            </w:pPr>
            <w:r>
              <w:rPr>
                <w:spacing w:val="-4"/>
                <w:w w:val="105"/>
                <w:sz w:val="16"/>
              </w:rPr>
              <w:t>2020</w:t>
            </w:r>
          </w:p>
        </w:tc>
        <w:tc>
          <w:tcPr>
            <w:tcW w:w="591" w:type="dxa"/>
            <w:tcBorders>
              <w:top w:val="single" w:sz="6" w:space="0" w:color="000000"/>
              <w:bottom w:val="single" w:sz="6" w:space="0" w:color="000000"/>
            </w:tcBorders>
          </w:tcPr>
          <w:p>
            <w:pPr>
              <w:pStyle w:val="TableParagraph"/>
              <w:rPr>
                <w:sz w:val="14"/>
              </w:rPr>
            </w:pPr>
          </w:p>
        </w:tc>
      </w:tr>
      <w:tr>
        <w:trPr>
          <w:trHeight w:val="202" w:hRule="atLeast"/>
        </w:trPr>
        <w:tc>
          <w:tcPr>
            <w:tcW w:w="8191" w:type="dxa"/>
            <w:tcBorders>
              <w:top w:val="single" w:sz="6" w:space="0" w:color="000000"/>
            </w:tcBorders>
            <w:shd w:val="clear" w:color="auto" w:fill="CCEDFF"/>
          </w:tcPr>
          <w:p>
            <w:pPr>
              <w:pStyle w:val="TableParagraph"/>
              <w:spacing w:line="180" w:lineRule="exact" w:before="2"/>
              <w:rPr>
                <w:sz w:val="16"/>
              </w:rPr>
            </w:pPr>
            <w:r>
              <w:rPr>
                <w:sz w:val="16"/>
              </w:rPr>
              <w:t>Projected</w:t>
            </w:r>
            <w:r>
              <w:rPr>
                <w:spacing w:val="16"/>
                <w:sz w:val="16"/>
              </w:rPr>
              <w:t> </w:t>
            </w:r>
            <w:r>
              <w:rPr>
                <w:sz w:val="16"/>
              </w:rPr>
              <w:t>benefit</w:t>
            </w:r>
            <w:r>
              <w:rPr>
                <w:spacing w:val="17"/>
                <w:sz w:val="16"/>
              </w:rPr>
              <w:t> </w:t>
            </w:r>
            <w:r>
              <w:rPr>
                <w:spacing w:val="-2"/>
                <w:sz w:val="16"/>
              </w:rPr>
              <w:t>obligation</w:t>
            </w:r>
          </w:p>
        </w:tc>
        <w:tc>
          <w:tcPr>
            <w:tcW w:w="1015" w:type="dxa"/>
            <w:tcBorders>
              <w:top w:val="single" w:sz="6" w:space="0" w:color="000000"/>
            </w:tcBorders>
            <w:shd w:val="clear" w:color="auto" w:fill="CCEDFF"/>
          </w:tcPr>
          <w:p>
            <w:pPr>
              <w:pStyle w:val="TableParagraph"/>
              <w:spacing w:line="180" w:lineRule="exact" w:before="2"/>
              <w:ind w:left="-1"/>
              <w:rPr>
                <w:sz w:val="16"/>
              </w:rPr>
            </w:pPr>
            <w:r>
              <w:rPr>
                <w:spacing w:val="-10"/>
                <w:w w:val="105"/>
                <w:sz w:val="16"/>
              </w:rPr>
              <w:t>$</w:t>
            </w:r>
          </w:p>
        </w:tc>
        <w:tc>
          <w:tcPr>
            <w:tcW w:w="591" w:type="dxa"/>
            <w:tcBorders>
              <w:top w:val="single" w:sz="6" w:space="0" w:color="000000"/>
            </w:tcBorders>
            <w:shd w:val="clear" w:color="auto" w:fill="CCEDFF"/>
          </w:tcPr>
          <w:p>
            <w:pPr>
              <w:pStyle w:val="TableParagraph"/>
              <w:spacing w:line="180" w:lineRule="exact" w:before="2"/>
              <w:ind w:left="70" w:right="81"/>
              <w:jc w:val="center"/>
              <w:rPr>
                <w:b/>
                <w:sz w:val="16"/>
              </w:rPr>
            </w:pPr>
            <w:r>
              <w:rPr>
                <w:b/>
                <w:spacing w:val="-4"/>
                <w:w w:val="105"/>
                <w:sz w:val="16"/>
              </w:rPr>
              <w:t>4,358</w:t>
            </w:r>
          </w:p>
        </w:tc>
        <w:tc>
          <w:tcPr>
            <w:tcW w:w="1129" w:type="dxa"/>
            <w:tcBorders>
              <w:top w:val="single" w:sz="6" w:space="0" w:color="000000"/>
            </w:tcBorders>
            <w:shd w:val="clear" w:color="auto" w:fill="CCEDFF"/>
          </w:tcPr>
          <w:p>
            <w:pPr>
              <w:pStyle w:val="TableParagraph"/>
              <w:spacing w:line="180" w:lineRule="exact" w:before="2"/>
              <w:ind w:left="113"/>
              <w:rPr>
                <w:sz w:val="16"/>
              </w:rPr>
            </w:pPr>
            <w:r>
              <w:rPr>
                <w:spacing w:val="-10"/>
                <w:w w:val="105"/>
                <w:sz w:val="16"/>
              </w:rPr>
              <w:t>$</w:t>
            </w:r>
          </w:p>
        </w:tc>
        <w:tc>
          <w:tcPr>
            <w:tcW w:w="591" w:type="dxa"/>
            <w:tcBorders>
              <w:top w:val="single" w:sz="6" w:space="0" w:color="000000"/>
            </w:tcBorders>
            <w:shd w:val="clear" w:color="auto" w:fill="CCEDFF"/>
          </w:tcPr>
          <w:p>
            <w:pPr>
              <w:pStyle w:val="TableParagraph"/>
              <w:spacing w:line="180" w:lineRule="exact" w:before="2"/>
              <w:ind w:left="70" w:right="81"/>
              <w:jc w:val="center"/>
              <w:rPr>
                <w:sz w:val="16"/>
              </w:rPr>
            </w:pPr>
            <w:r>
              <w:rPr>
                <w:spacing w:val="-4"/>
                <w:w w:val="105"/>
                <w:sz w:val="16"/>
              </w:rPr>
              <w:t>4,665</w:t>
            </w:r>
          </w:p>
        </w:tc>
      </w:tr>
      <w:tr>
        <w:trPr>
          <w:trHeight w:val="202" w:hRule="atLeast"/>
        </w:trPr>
        <w:tc>
          <w:tcPr>
            <w:tcW w:w="8191" w:type="dxa"/>
            <w:tcBorders>
              <w:bottom w:val="single" w:sz="6" w:space="0" w:color="000000"/>
            </w:tcBorders>
          </w:tcPr>
          <w:p>
            <w:pPr>
              <w:pStyle w:val="TableParagraph"/>
              <w:spacing w:line="179" w:lineRule="exact" w:before="3"/>
              <w:rPr>
                <w:sz w:val="16"/>
              </w:rPr>
            </w:pPr>
            <w:r>
              <w:rPr>
                <w:w w:val="105"/>
                <w:sz w:val="16"/>
              </w:rPr>
              <w:t>Fair</w:t>
            </w:r>
            <w:r>
              <w:rPr>
                <w:spacing w:val="-7"/>
                <w:w w:val="105"/>
                <w:sz w:val="16"/>
              </w:rPr>
              <w:t> </w:t>
            </w:r>
            <w:r>
              <w:rPr>
                <w:w w:val="105"/>
                <w:sz w:val="16"/>
              </w:rPr>
              <w:t>value</w:t>
            </w:r>
            <w:r>
              <w:rPr>
                <w:spacing w:val="-6"/>
                <w:w w:val="105"/>
                <w:sz w:val="16"/>
              </w:rPr>
              <w:t> </w:t>
            </w:r>
            <w:r>
              <w:rPr>
                <w:w w:val="105"/>
                <w:sz w:val="16"/>
              </w:rPr>
              <w:t>of</w:t>
            </w:r>
            <w:r>
              <w:rPr>
                <w:spacing w:val="-6"/>
                <w:w w:val="105"/>
                <w:sz w:val="16"/>
              </w:rPr>
              <w:t> </w:t>
            </w:r>
            <w:r>
              <w:rPr>
                <w:w w:val="105"/>
                <w:sz w:val="16"/>
              </w:rPr>
              <w:t>plan</w:t>
            </w:r>
            <w:r>
              <w:rPr>
                <w:spacing w:val="-6"/>
                <w:w w:val="105"/>
                <w:sz w:val="16"/>
              </w:rPr>
              <w:t> </w:t>
            </w:r>
            <w:r>
              <w:rPr>
                <w:spacing w:val="-2"/>
                <w:w w:val="105"/>
                <w:sz w:val="16"/>
              </w:rPr>
              <w:t>assets</w:t>
            </w:r>
          </w:p>
        </w:tc>
        <w:tc>
          <w:tcPr>
            <w:tcW w:w="1015" w:type="dxa"/>
            <w:tcBorders>
              <w:bottom w:val="single" w:sz="6" w:space="0" w:color="000000"/>
            </w:tcBorders>
          </w:tcPr>
          <w:p>
            <w:pPr>
              <w:pStyle w:val="TableParagraph"/>
              <w:spacing w:line="179" w:lineRule="exact" w:before="3"/>
              <w:ind w:left="-1"/>
              <w:rPr>
                <w:b/>
                <w:sz w:val="16"/>
              </w:rPr>
            </w:pPr>
            <w:r>
              <w:rPr>
                <w:b/>
                <w:spacing w:val="-10"/>
                <w:w w:val="105"/>
                <w:sz w:val="16"/>
              </w:rPr>
              <w:t>$</w:t>
            </w:r>
          </w:p>
        </w:tc>
        <w:tc>
          <w:tcPr>
            <w:tcW w:w="591" w:type="dxa"/>
            <w:tcBorders>
              <w:bottom w:val="single" w:sz="6" w:space="0" w:color="000000"/>
            </w:tcBorders>
          </w:tcPr>
          <w:p>
            <w:pPr>
              <w:pStyle w:val="TableParagraph"/>
              <w:spacing w:line="179" w:lineRule="exact" w:before="3"/>
              <w:ind w:left="70" w:right="81"/>
              <w:jc w:val="center"/>
              <w:rPr>
                <w:b/>
                <w:sz w:val="16"/>
              </w:rPr>
            </w:pPr>
            <w:r>
              <w:rPr>
                <w:b/>
                <w:spacing w:val="-4"/>
                <w:w w:val="105"/>
                <w:sz w:val="16"/>
              </w:rPr>
              <w:t>3,627</w:t>
            </w:r>
          </w:p>
        </w:tc>
        <w:tc>
          <w:tcPr>
            <w:tcW w:w="1129" w:type="dxa"/>
            <w:tcBorders>
              <w:bottom w:val="single" w:sz="6" w:space="0" w:color="000000"/>
            </w:tcBorders>
          </w:tcPr>
          <w:p>
            <w:pPr>
              <w:pStyle w:val="TableParagraph"/>
              <w:spacing w:line="179" w:lineRule="exact" w:before="3"/>
              <w:ind w:left="113"/>
              <w:rPr>
                <w:sz w:val="16"/>
              </w:rPr>
            </w:pPr>
            <w:r>
              <w:rPr>
                <w:spacing w:val="-10"/>
                <w:w w:val="105"/>
                <w:sz w:val="16"/>
              </w:rPr>
              <w:t>$</w:t>
            </w:r>
          </w:p>
        </w:tc>
        <w:tc>
          <w:tcPr>
            <w:tcW w:w="591" w:type="dxa"/>
            <w:tcBorders>
              <w:bottom w:val="single" w:sz="6" w:space="0" w:color="000000"/>
            </w:tcBorders>
          </w:tcPr>
          <w:p>
            <w:pPr>
              <w:pStyle w:val="TableParagraph"/>
              <w:spacing w:line="179" w:lineRule="exact" w:before="3"/>
              <w:ind w:left="70" w:right="81"/>
              <w:jc w:val="center"/>
              <w:rPr>
                <w:sz w:val="16"/>
              </w:rPr>
            </w:pPr>
            <w:r>
              <w:rPr>
                <w:spacing w:val="-4"/>
                <w:w w:val="105"/>
                <w:sz w:val="16"/>
              </w:rPr>
              <w:t>3,758</w:t>
            </w:r>
          </w:p>
        </w:tc>
      </w:tr>
      <w:tr>
        <w:trPr>
          <w:trHeight w:val="202" w:hRule="atLeast"/>
        </w:trPr>
        <w:tc>
          <w:tcPr>
            <w:tcW w:w="8191" w:type="dxa"/>
            <w:tcBorders>
              <w:top w:val="single" w:sz="6" w:space="0" w:color="000000"/>
            </w:tcBorders>
            <w:shd w:val="clear" w:color="auto" w:fill="CCEDFF"/>
          </w:tcPr>
          <w:p>
            <w:pPr>
              <w:pStyle w:val="TableParagraph"/>
              <w:spacing w:line="180" w:lineRule="exact" w:before="2"/>
              <w:rPr>
                <w:sz w:val="16"/>
              </w:rPr>
            </w:pPr>
            <w:r>
              <w:rPr>
                <w:sz w:val="16"/>
              </w:rPr>
              <w:t>Accumulated</w:t>
            </w:r>
            <w:r>
              <w:rPr>
                <w:spacing w:val="20"/>
                <w:sz w:val="16"/>
              </w:rPr>
              <w:t> </w:t>
            </w:r>
            <w:r>
              <w:rPr>
                <w:sz w:val="16"/>
              </w:rPr>
              <w:t>benefit</w:t>
            </w:r>
            <w:r>
              <w:rPr>
                <w:spacing w:val="20"/>
                <w:sz w:val="16"/>
              </w:rPr>
              <w:t> </w:t>
            </w:r>
            <w:r>
              <w:rPr>
                <w:spacing w:val="-2"/>
                <w:sz w:val="16"/>
              </w:rPr>
              <w:t>obligation</w:t>
            </w:r>
          </w:p>
        </w:tc>
        <w:tc>
          <w:tcPr>
            <w:tcW w:w="1015" w:type="dxa"/>
            <w:tcBorders>
              <w:top w:val="single" w:sz="6" w:space="0" w:color="000000"/>
            </w:tcBorders>
            <w:shd w:val="clear" w:color="auto" w:fill="CCEDFF"/>
          </w:tcPr>
          <w:p>
            <w:pPr>
              <w:pStyle w:val="TableParagraph"/>
              <w:spacing w:line="180" w:lineRule="exact" w:before="2"/>
              <w:ind w:left="-1"/>
              <w:rPr>
                <w:b/>
                <w:sz w:val="16"/>
              </w:rPr>
            </w:pPr>
            <w:r>
              <w:rPr>
                <w:b/>
                <w:spacing w:val="-10"/>
                <w:w w:val="105"/>
                <w:sz w:val="16"/>
              </w:rPr>
              <w:t>$</w:t>
            </w:r>
          </w:p>
        </w:tc>
        <w:tc>
          <w:tcPr>
            <w:tcW w:w="591" w:type="dxa"/>
            <w:tcBorders>
              <w:top w:val="single" w:sz="6" w:space="0" w:color="000000"/>
            </w:tcBorders>
            <w:shd w:val="clear" w:color="auto" w:fill="CCEDFF"/>
          </w:tcPr>
          <w:p>
            <w:pPr>
              <w:pStyle w:val="TableParagraph"/>
              <w:spacing w:line="180" w:lineRule="exact" w:before="2"/>
              <w:ind w:left="70" w:right="81"/>
              <w:jc w:val="center"/>
              <w:rPr>
                <w:b/>
                <w:sz w:val="16"/>
              </w:rPr>
            </w:pPr>
            <w:r>
              <w:rPr>
                <w:b/>
                <w:spacing w:val="-4"/>
                <w:w w:val="105"/>
                <w:sz w:val="16"/>
              </w:rPr>
              <w:t>4,110</w:t>
            </w:r>
          </w:p>
        </w:tc>
        <w:tc>
          <w:tcPr>
            <w:tcW w:w="1129" w:type="dxa"/>
            <w:tcBorders>
              <w:top w:val="single" w:sz="6" w:space="0" w:color="000000"/>
            </w:tcBorders>
            <w:shd w:val="clear" w:color="auto" w:fill="CCEDFF"/>
          </w:tcPr>
          <w:p>
            <w:pPr>
              <w:pStyle w:val="TableParagraph"/>
              <w:spacing w:line="180" w:lineRule="exact" w:before="2"/>
              <w:ind w:left="113"/>
              <w:rPr>
                <w:sz w:val="16"/>
              </w:rPr>
            </w:pPr>
            <w:r>
              <w:rPr>
                <w:spacing w:val="-10"/>
                <w:w w:val="105"/>
                <w:sz w:val="16"/>
              </w:rPr>
              <w:t>$</w:t>
            </w:r>
          </w:p>
        </w:tc>
        <w:tc>
          <w:tcPr>
            <w:tcW w:w="591" w:type="dxa"/>
            <w:tcBorders>
              <w:top w:val="single" w:sz="6" w:space="0" w:color="000000"/>
            </w:tcBorders>
            <w:shd w:val="clear" w:color="auto" w:fill="CCEDFF"/>
          </w:tcPr>
          <w:p>
            <w:pPr>
              <w:pStyle w:val="TableParagraph"/>
              <w:spacing w:line="180" w:lineRule="exact" w:before="2"/>
              <w:ind w:left="70" w:right="81"/>
              <w:jc w:val="center"/>
              <w:rPr>
                <w:sz w:val="16"/>
              </w:rPr>
            </w:pPr>
            <w:r>
              <w:rPr>
                <w:spacing w:val="-4"/>
                <w:w w:val="105"/>
                <w:sz w:val="16"/>
              </w:rPr>
              <w:t>4,247</w:t>
            </w:r>
          </w:p>
        </w:tc>
      </w:tr>
      <w:tr>
        <w:trPr>
          <w:trHeight w:val="200" w:hRule="atLeast"/>
        </w:trPr>
        <w:tc>
          <w:tcPr>
            <w:tcW w:w="8191" w:type="dxa"/>
            <w:tcBorders>
              <w:bottom w:val="double" w:sz="6" w:space="0" w:color="000000"/>
            </w:tcBorders>
          </w:tcPr>
          <w:p>
            <w:pPr>
              <w:pStyle w:val="TableParagraph"/>
              <w:spacing w:line="177" w:lineRule="exact" w:before="3"/>
              <w:rPr>
                <w:sz w:val="16"/>
              </w:rPr>
            </w:pPr>
            <w:r>
              <w:rPr>
                <w:w w:val="105"/>
                <w:sz w:val="16"/>
              </w:rPr>
              <w:t>Fair</w:t>
            </w:r>
            <w:r>
              <w:rPr>
                <w:spacing w:val="-7"/>
                <w:w w:val="105"/>
                <w:sz w:val="16"/>
              </w:rPr>
              <w:t> </w:t>
            </w:r>
            <w:r>
              <w:rPr>
                <w:w w:val="105"/>
                <w:sz w:val="16"/>
              </w:rPr>
              <w:t>value</w:t>
            </w:r>
            <w:r>
              <w:rPr>
                <w:spacing w:val="-6"/>
                <w:w w:val="105"/>
                <w:sz w:val="16"/>
              </w:rPr>
              <w:t> </w:t>
            </w:r>
            <w:r>
              <w:rPr>
                <w:w w:val="105"/>
                <w:sz w:val="16"/>
              </w:rPr>
              <w:t>of</w:t>
            </w:r>
            <w:r>
              <w:rPr>
                <w:spacing w:val="-6"/>
                <w:w w:val="105"/>
                <w:sz w:val="16"/>
              </w:rPr>
              <w:t> </w:t>
            </w:r>
            <w:r>
              <w:rPr>
                <w:w w:val="105"/>
                <w:sz w:val="16"/>
              </w:rPr>
              <w:t>plan</w:t>
            </w:r>
            <w:r>
              <w:rPr>
                <w:spacing w:val="-6"/>
                <w:w w:val="105"/>
                <w:sz w:val="16"/>
              </w:rPr>
              <w:t> </w:t>
            </w:r>
            <w:r>
              <w:rPr>
                <w:spacing w:val="-2"/>
                <w:w w:val="105"/>
                <w:sz w:val="16"/>
              </w:rPr>
              <w:t>assets</w:t>
            </w:r>
          </w:p>
        </w:tc>
        <w:tc>
          <w:tcPr>
            <w:tcW w:w="1015" w:type="dxa"/>
            <w:tcBorders>
              <w:bottom w:val="double" w:sz="6" w:space="0" w:color="000000"/>
            </w:tcBorders>
          </w:tcPr>
          <w:p>
            <w:pPr>
              <w:pStyle w:val="TableParagraph"/>
              <w:spacing w:line="177" w:lineRule="exact" w:before="3"/>
              <w:ind w:left="-1"/>
              <w:rPr>
                <w:sz w:val="16"/>
              </w:rPr>
            </w:pPr>
            <w:r>
              <w:rPr>
                <w:spacing w:val="-10"/>
                <w:w w:val="105"/>
                <w:sz w:val="16"/>
              </w:rPr>
              <w:t>$</w:t>
            </w:r>
          </w:p>
        </w:tc>
        <w:tc>
          <w:tcPr>
            <w:tcW w:w="591" w:type="dxa"/>
            <w:tcBorders>
              <w:bottom w:val="double" w:sz="6" w:space="0" w:color="000000"/>
            </w:tcBorders>
          </w:tcPr>
          <w:p>
            <w:pPr>
              <w:pStyle w:val="TableParagraph"/>
              <w:spacing w:line="177" w:lineRule="exact" w:before="3"/>
              <w:ind w:left="70" w:right="81"/>
              <w:jc w:val="center"/>
              <w:rPr>
                <w:b/>
                <w:sz w:val="16"/>
              </w:rPr>
            </w:pPr>
            <w:r>
              <w:rPr>
                <w:b/>
                <w:spacing w:val="-4"/>
                <w:w w:val="105"/>
                <w:sz w:val="16"/>
              </w:rPr>
              <w:t>3,627</w:t>
            </w:r>
          </w:p>
        </w:tc>
        <w:tc>
          <w:tcPr>
            <w:tcW w:w="1129" w:type="dxa"/>
            <w:tcBorders>
              <w:bottom w:val="double" w:sz="6" w:space="0" w:color="000000"/>
            </w:tcBorders>
          </w:tcPr>
          <w:p>
            <w:pPr>
              <w:pStyle w:val="TableParagraph"/>
              <w:spacing w:line="177" w:lineRule="exact" w:before="3"/>
              <w:ind w:left="113"/>
              <w:rPr>
                <w:sz w:val="16"/>
              </w:rPr>
            </w:pPr>
            <w:r>
              <w:rPr>
                <w:spacing w:val="-10"/>
                <w:w w:val="105"/>
                <w:sz w:val="16"/>
              </w:rPr>
              <w:t>$</w:t>
            </w:r>
          </w:p>
        </w:tc>
        <w:tc>
          <w:tcPr>
            <w:tcW w:w="591" w:type="dxa"/>
            <w:tcBorders>
              <w:bottom w:val="double" w:sz="6" w:space="0" w:color="000000"/>
            </w:tcBorders>
          </w:tcPr>
          <w:p>
            <w:pPr>
              <w:pStyle w:val="TableParagraph"/>
              <w:spacing w:line="177" w:lineRule="exact" w:before="3"/>
              <w:ind w:left="70" w:right="81"/>
              <w:jc w:val="center"/>
              <w:rPr>
                <w:sz w:val="16"/>
              </w:rPr>
            </w:pPr>
            <w:r>
              <w:rPr>
                <w:spacing w:val="-4"/>
                <w:w w:val="105"/>
                <w:sz w:val="16"/>
              </w:rPr>
              <w:t>3,603</w:t>
            </w:r>
          </w:p>
        </w:tc>
      </w:tr>
    </w:tbl>
    <w:p>
      <w:pPr>
        <w:pStyle w:val="BodyText"/>
        <w:spacing w:before="15"/>
      </w:pPr>
    </w:p>
    <w:p>
      <w:pPr>
        <w:pStyle w:val="BodyText"/>
        <w:ind w:left="156"/>
      </w:pPr>
      <w:r>
        <w:rPr>
          <w:w w:val="105"/>
        </w:rPr>
        <w:t>The</w:t>
      </w:r>
      <w:r>
        <w:rPr>
          <w:spacing w:val="-10"/>
          <w:w w:val="105"/>
        </w:rPr>
        <w:t> </w:t>
      </w:r>
      <w:r>
        <w:rPr>
          <w:w w:val="105"/>
        </w:rPr>
        <w:t>components</w:t>
      </w:r>
      <w:r>
        <w:rPr>
          <w:spacing w:val="-9"/>
          <w:w w:val="105"/>
        </w:rPr>
        <w:t> </w:t>
      </w:r>
      <w:r>
        <w:rPr>
          <w:w w:val="105"/>
        </w:rPr>
        <w:t>of</w:t>
      </w:r>
      <w:r>
        <w:rPr>
          <w:spacing w:val="-9"/>
          <w:w w:val="105"/>
        </w:rPr>
        <w:t> </w:t>
      </w:r>
      <w:r>
        <w:rPr>
          <w:w w:val="105"/>
        </w:rPr>
        <w:t>net</w:t>
      </w:r>
      <w:r>
        <w:rPr>
          <w:spacing w:val="-10"/>
          <w:w w:val="105"/>
        </w:rPr>
        <w:t> </w:t>
      </w:r>
      <w:r>
        <w:rPr>
          <w:w w:val="105"/>
        </w:rPr>
        <w:t>periodic</w:t>
      </w:r>
      <w:r>
        <w:rPr>
          <w:spacing w:val="-9"/>
          <w:w w:val="105"/>
        </w:rPr>
        <w:t> </w:t>
      </w:r>
      <w:r>
        <w:rPr>
          <w:w w:val="105"/>
        </w:rPr>
        <w:t>benefit</w:t>
      </w:r>
      <w:r>
        <w:rPr>
          <w:spacing w:val="-9"/>
          <w:w w:val="105"/>
        </w:rPr>
        <w:t> </w:t>
      </w:r>
      <w:r>
        <w:rPr>
          <w:w w:val="105"/>
        </w:rPr>
        <w:t>(income)</w:t>
      </w:r>
      <w:r>
        <w:rPr>
          <w:spacing w:val="-10"/>
          <w:w w:val="105"/>
        </w:rPr>
        <w:t> </w:t>
      </w:r>
      <w:r>
        <w:rPr>
          <w:w w:val="105"/>
        </w:rPr>
        <w:t>expense</w:t>
      </w:r>
      <w:r>
        <w:rPr>
          <w:spacing w:val="-9"/>
          <w:w w:val="105"/>
        </w:rPr>
        <w:t> </w:t>
      </w:r>
      <w:r>
        <w:rPr>
          <w:w w:val="105"/>
        </w:rPr>
        <w:t>for</w:t>
      </w:r>
      <w:r>
        <w:rPr>
          <w:spacing w:val="-9"/>
          <w:w w:val="105"/>
        </w:rPr>
        <w:t> </w:t>
      </w:r>
      <w:r>
        <w:rPr>
          <w:w w:val="105"/>
        </w:rPr>
        <w:t>employee</w:t>
      </w:r>
      <w:r>
        <w:rPr>
          <w:spacing w:val="-10"/>
          <w:w w:val="105"/>
        </w:rPr>
        <w:t> </w:t>
      </w:r>
      <w:r>
        <w:rPr>
          <w:w w:val="105"/>
        </w:rPr>
        <w:t>retirement</w:t>
      </w:r>
      <w:r>
        <w:rPr>
          <w:spacing w:val="-9"/>
          <w:w w:val="105"/>
        </w:rPr>
        <w:t> </w:t>
      </w:r>
      <w:r>
        <w:rPr>
          <w:w w:val="105"/>
        </w:rPr>
        <w:t>plans</w:t>
      </w:r>
      <w:r>
        <w:rPr>
          <w:spacing w:val="-9"/>
          <w:w w:val="105"/>
        </w:rPr>
        <w:t> </w:t>
      </w:r>
      <w:r>
        <w:rPr>
          <w:w w:val="105"/>
        </w:rPr>
        <w:t>are</w:t>
      </w:r>
      <w:r>
        <w:rPr>
          <w:spacing w:val="-10"/>
          <w:w w:val="105"/>
        </w:rPr>
        <w:t> </w:t>
      </w:r>
      <w:r>
        <w:rPr>
          <w:w w:val="105"/>
        </w:rPr>
        <w:t>presented</w:t>
      </w:r>
      <w:r>
        <w:rPr>
          <w:spacing w:val="-9"/>
          <w:w w:val="105"/>
        </w:rPr>
        <w:t> </w:t>
      </w:r>
      <w:r>
        <w:rPr>
          <w:w w:val="105"/>
        </w:rPr>
        <w:t>in</w:t>
      </w:r>
      <w:r>
        <w:rPr>
          <w:spacing w:val="-9"/>
          <w:w w:val="105"/>
        </w:rPr>
        <w:t> </w:t>
      </w:r>
      <w:r>
        <w:rPr>
          <w:w w:val="105"/>
        </w:rPr>
        <w:t>the</w:t>
      </w:r>
      <w:r>
        <w:rPr>
          <w:spacing w:val="-10"/>
          <w:w w:val="105"/>
        </w:rPr>
        <w:t> </w:t>
      </w:r>
      <w:r>
        <w:rPr>
          <w:w w:val="105"/>
        </w:rPr>
        <w:t>following</w:t>
      </w:r>
      <w:r>
        <w:rPr>
          <w:spacing w:val="-9"/>
          <w:w w:val="105"/>
        </w:rPr>
        <w:t> </w:t>
      </w:r>
      <w:r>
        <w:rPr>
          <w:w w:val="105"/>
        </w:rPr>
        <w:t>tables</w:t>
      </w:r>
      <w:r>
        <w:rPr>
          <w:spacing w:val="-9"/>
          <w:w w:val="105"/>
        </w:rPr>
        <w:t> </w:t>
      </w:r>
      <w:r>
        <w:rPr>
          <w:w w:val="105"/>
        </w:rPr>
        <w:t>(in</w:t>
      </w:r>
      <w:r>
        <w:rPr>
          <w:spacing w:val="-10"/>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698432">
                <wp:simplePos x="0" y="0"/>
                <wp:positionH relativeFrom="page">
                  <wp:posOffset>226479</wp:posOffset>
                </wp:positionH>
                <wp:positionV relativeFrom="paragraph">
                  <wp:posOffset>83471</wp:posOffset>
                </wp:positionV>
                <wp:extent cx="7312659" cy="16510"/>
                <wp:effectExtent l="0" t="0" r="0" b="0"/>
                <wp:wrapTopAndBottom/>
                <wp:docPr id="437" name="Graphic 437"/>
                <wp:cNvGraphicFramePr>
                  <a:graphicFrameLocks/>
                </wp:cNvGraphicFramePr>
                <a:graphic>
                  <a:graphicData uri="http://schemas.microsoft.com/office/word/2010/wordprocessingShape">
                    <wps:wsp>
                      <wps:cNvPr id="437" name="Graphic 437"/>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72575pt;width:575.775027pt;height:1.274pt;mso-position-horizontal-relative:page;mso-position-vertical-relative:paragraph;z-index:-15618048;mso-wrap-distance-left:0;mso-wrap-distance-right:0" id="docshape436" filled="true" fillcolor="#000000" stroked="false">
                <v:fill type="solid"/>
                <w10:wrap type="topAndBottom"/>
              </v:rect>
            </w:pict>
          </mc:Fallback>
        </mc:AlternateContent>
      </w:r>
    </w:p>
    <w:p>
      <w:pPr>
        <w:tabs>
          <w:tab w:pos="4043" w:val="left" w:leader="none"/>
          <w:tab w:pos="6169" w:val="left" w:leader="none"/>
          <w:tab w:pos="6712" w:val="left" w:leader="none"/>
          <w:tab w:pos="8920" w:val="left" w:leader="none"/>
          <w:tab w:pos="9648" w:val="left" w:leader="none"/>
          <w:tab w:pos="11672" w:val="left" w:leader="none"/>
        </w:tabs>
        <w:spacing w:before="0" w:after="7"/>
        <w:ind w:left="3519" w:right="0" w:firstLine="0"/>
        <w:jc w:val="left"/>
        <w:rPr>
          <w:sz w:val="14"/>
        </w:rPr>
      </w:pPr>
      <w:r>
        <w:rPr>
          <w:sz w:val="14"/>
          <w:u w:val="single"/>
        </w:rPr>
        <w:tab/>
        <w:t>Domestic pension </w:t>
      </w:r>
      <w:r>
        <w:rPr>
          <w:spacing w:val="-2"/>
          <w:sz w:val="14"/>
          <w:u w:val="single"/>
        </w:rPr>
        <w:t>benefits</w:t>
      </w:r>
      <w:r>
        <w:rPr>
          <w:sz w:val="14"/>
          <w:u w:val="single"/>
        </w:rPr>
        <w:tab/>
      </w:r>
      <w:r>
        <w:rPr>
          <w:spacing w:val="79"/>
          <w:sz w:val="14"/>
        </w:rPr>
        <w:t> </w:t>
      </w:r>
      <w:r>
        <w:rPr>
          <w:sz w:val="14"/>
          <w:u w:val="single"/>
        </w:rPr>
        <w:tab/>
        <w:t>International pension </w:t>
      </w:r>
      <w:r>
        <w:rPr>
          <w:spacing w:val="-2"/>
          <w:sz w:val="14"/>
          <w:u w:val="single"/>
        </w:rPr>
        <w:t>benefits</w:t>
      </w:r>
      <w:r>
        <w:rPr>
          <w:sz w:val="14"/>
          <w:u w:val="single"/>
        </w:rPr>
        <w:tab/>
      </w:r>
      <w:r>
        <w:rPr>
          <w:spacing w:val="79"/>
          <w:sz w:val="14"/>
        </w:rPr>
        <w:t> </w:t>
      </w:r>
      <w:r>
        <w:rPr>
          <w:sz w:val="14"/>
          <w:u w:val="single"/>
        </w:rPr>
        <w:tab/>
        <w:t>Postretirement</w:t>
      </w:r>
      <w:r>
        <w:rPr>
          <w:spacing w:val="-2"/>
          <w:sz w:val="14"/>
          <w:u w:val="single"/>
        </w:rPr>
        <w:t> benefits</w:t>
      </w:r>
      <w:r>
        <w:rPr>
          <w:sz w:val="14"/>
          <w:u w:val="single"/>
        </w:rPr>
        <w:tab/>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5"/>
        <w:gridCol w:w="941"/>
        <w:gridCol w:w="333"/>
        <w:gridCol w:w="586"/>
        <w:gridCol w:w="333"/>
        <w:gridCol w:w="586"/>
        <w:gridCol w:w="333"/>
        <w:gridCol w:w="586"/>
        <w:gridCol w:w="333"/>
        <w:gridCol w:w="586"/>
        <w:gridCol w:w="333"/>
        <w:gridCol w:w="586"/>
        <w:gridCol w:w="333"/>
        <w:gridCol w:w="586"/>
        <w:gridCol w:w="333"/>
        <w:gridCol w:w="586"/>
        <w:gridCol w:w="333"/>
        <w:gridCol w:w="689"/>
      </w:tblGrid>
      <w:tr>
        <w:trPr>
          <w:trHeight w:val="149" w:hRule="atLeast"/>
        </w:trPr>
        <w:tc>
          <w:tcPr>
            <w:tcW w:w="3135" w:type="dxa"/>
            <w:tcBorders>
              <w:bottom w:val="single" w:sz="6" w:space="0" w:color="000000"/>
            </w:tcBorders>
          </w:tcPr>
          <w:p>
            <w:pPr>
              <w:pStyle w:val="TableParagraph"/>
              <w:spacing w:line="129" w:lineRule="exact"/>
              <w:rPr>
                <w:sz w:val="14"/>
              </w:rPr>
            </w:pPr>
            <w:r>
              <w:rPr>
                <w:sz w:val="14"/>
              </w:rPr>
              <w:t>December</w:t>
            </w:r>
            <w:r>
              <w:rPr>
                <w:spacing w:val="-10"/>
                <w:sz w:val="14"/>
              </w:rPr>
              <w:t> </w:t>
            </w:r>
            <w:r>
              <w:rPr>
                <w:spacing w:val="-5"/>
                <w:sz w:val="14"/>
              </w:rPr>
              <w:t>31,</w:t>
            </w:r>
          </w:p>
        </w:tc>
        <w:tc>
          <w:tcPr>
            <w:tcW w:w="941" w:type="dxa"/>
            <w:tcBorders>
              <w:bottom w:val="single" w:sz="6" w:space="0" w:color="000000"/>
            </w:tcBorders>
          </w:tcPr>
          <w:p>
            <w:pPr>
              <w:pStyle w:val="TableParagraph"/>
              <w:spacing w:line="129" w:lineRule="exact"/>
              <w:ind w:left="438"/>
              <w:rPr>
                <w:b/>
                <w:sz w:val="14"/>
              </w:rPr>
            </w:pPr>
            <w:r>
              <w:rPr>
                <w:b/>
                <w:spacing w:val="-4"/>
                <w:sz w:val="14"/>
              </w:rPr>
              <w:t>2021</w:t>
            </w:r>
          </w:p>
        </w:tc>
        <w:tc>
          <w:tcPr>
            <w:tcW w:w="919" w:type="dxa"/>
            <w:gridSpan w:val="2"/>
            <w:tcBorders>
              <w:bottom w:val="single" w:sz="6" w:space="0" w:color="000000"/>
            </w:tcBorders>
          </w:tcPr>
          <w:p>
            <w:pPr>
              <w:pStyle w:val="TableParagraph"/>
              <w:spacing w:line="129" w:lineRule="exact"/>
              <w:ind w:left="420"/>
              <w:rPr>
                <w:sz w:val="14"/>
              </w:rPr>
            </w:pPr>
            <w:r>
              <w:rPr>
                <w:spacing w:val="-4"/>
                <w:sz w:val="14"/>
              </w:rPr>
              <w:t>2020</w:t>
            </w:r>
          </w:p>
        </w:tc>
        <w:tc>
          <w:tcPr>
            <w:tcW w:w="919" w:type="dxa"/>
            <w:gridSpan w:val="2"/>
            <w:tcBorders>
              <w:bottom w:val="single" w:sz="6" w:space="0" w:color="000000"/>
            </w:tcBorders>
          </w:tcPr>
          <w:p>
            <w:pPr>
              <w:pStyle w:val="TableParagraph"/>
              <w:spacing w:line="129" w:lineRule="exact"/>
              <w:ind w:left="418"/>
              <w:rPr>
                <w:sz w:val="14"/>
              </w:rPr>
            </w:pPr>
            <w:r>
              <w:rPr>
                <w:spacing w:val="-4"/>
                <w:sz w:val="14"/>
              </w:rPr>
              <w:t>2019</w:t>
            </w:r>
          </w:p>
        </w:tc>
        <w:tc>
          <w:tcPr>
            <w:tcW w:w="919" w:type="dxa"/>
            <w:gridSpan w:val="2"/>
            <w:tcBorders>
              <w:bottom w:val="single" w:sz="6" w:space="0" w:color="000000"/>
            </w:tcBorders>
          </w:tcPr>
          <w:p>
            <w:pPr>
              <w:pStyle w:val="TableParagraph"/>
              <w:spacing w:line="129" w:lineRule="exact"/>
              <w:ind w:left="416"/>
              <w:rPr>
                <w:b/>
                <w:sz w:val="14"/>
              </w:rPr>
            </w:pPr>
            <w:r>
              <w:rPr>
                <w:b/>
                <w:spacing w:val="-4"/>
                <w:sz w:val="14"/>
              </w:rPr>
              <w:t>2021</w:t>
            </w:r>
          </w:p>
        </w:tc>
        <w:tc>
          <w:tcPr>
            <w:tcW w:w="919" w:type="dxa"/>
            <w:gridSpan w:val="2"/>
            <w:tcBorders>
              <w:bottom w:val="single" w:sz="6" w:space="0" w:color="000000"/>
            </w:tcBorders>
          </w:tcPr>
          <w:p>
            <w:pPr>
              <w:pStyle w:val="TableParagraph"/>
              <w:spacing w:line="129" w:lineRule="exact"/>
              <w:ind w:left="415"/>
              <w:rPr>
                <w:sz w:val="14"/>
              </w:rPr>
            </w:pPr>
            <w:r>
              <w:rPr>
                <w:spacing w:val="-4"/>
                <w:sz w:val="14"/>
              </w:rPr>
              <w:t>2020</w:t>
            </w:r>
          </w:p>
        </w:tc>
        <w:tc>
          <w:tcPr>
            <w:tcW w:w="919" w:type="dxa"/>
            <w:gridSpan w:val="2"/>
            <w:tcBorders>
              <w:bottom w:val="single" w:sz="6" w:space="0" w:color="000000"/>
            </w:tcBorders>
          </w:tcPr>
          <w:p>
            <w:pPr>
              <w:pStyle w:val="TableParagraph"/>
              <w:spacing w:line="129" w:lineRule="exact"/>
              <w:ind w:left="413"/>
              <w:rPr>
                <w:sz w:val="14"/>
              </w:rPr>
            </w:pPr>
            <w:r>
              <w:rPr>
                <w:spacing w:val="-4"/>
                <w:sz w:val="14"/>
              </w:rPr>
              <w:t>2019</w:t>
            </w:r>
          </w:p>
        </w:tc>
        <w:tc>
          <w:tcPr>
            <w:tcW w:w="919" w:type="dxa"/>
            <w:gridSpan w:val="2"/>
            <w:tcBorders>
              <w:bottom w:val="single" w:sz="6" w:space="0" w:color="000000"/>
            </w:tcBorders>
          </w:tcPr>
          <w:p>
            <w:pPr>
              <w:pStyle w:val="TableParagraph"/>
              <w:spacing w:line="129" w:lineRule="exact"/>
              <w:ind w:left="411"/>
              <w:rPr>
                <w:b/>
                <w:sz w:val="14"/>
              </w:rPr>
            </w:pPr>
            <w:r>
              <w:rPr>
                <w:b/>
                <w:spacing w:val="-4"/>
                <w:sz w:val="14"/>
              </w:rPr>
              <w:t>2021</w:t>
            </w:r>
          </w:p>
        </w:tc>
        <w:tc>
          <w:tcPr>
            <w:tcW w:w="919" w:type="dxa"/>
            <w:gridSpan w:val="2"/>
            <w:tcBorders>
              <w:bottom w:val="single" w:sz="6" w:space="0" w:color="000000"/>
            </w:tcBorders>
          </w:tcPr>
          <w:p>
            <w:pPr>
              <w:pStyle w:val="TableParagraph"/>
              <w:spacing w:line="129" w:lineRule="exact"/>
              <w:ind w:left="409"/>
              <w:rPr>
                <w:sz w:val="14"/>
              </w:rPr>
            </w:pPr>
            <w:r>
              <w:rPr>
                <w:spacing w:val="-4"/>
                <w:sz w:val="14"/>
              </w:rPr>
              <w:t>2020</w:t>
            </w:r>
          </w:p>
        </w:tc>
        <w:tc>
          <w:tcPr>
            <w:tcW w:w="1022" w:type="dxa"/>
            <w:gridSpan w:val="2"/>
            <w:tcBorders>
              <w:bottom w:val="single" w:sz="6" w:space="0" w:color="000000"/>
            </w:tcBorders>
          </w:tcPr>
          <w:p>
            <w:pPr>
              <w:pStyle w:val="TableParagraph"/>
              <w:spacing w:line="129" w:lineRule="exact"/>
              <w:ind w:left="407"/>
              <w:rPr>
                <w:sz w:val="14"/>
              </w:rPr>
            </w:pPr>
            <w:r>
              <w:rPr>
                <w:spacing w:val="-4"/>
                <w:sz w:val="14"/>
              </w:rPr>
              <w:t>2019</w:t>
            </w:r>
          </w:p>
        </w:tc>
      </w:tr>
      <w:tr>
        <w:trPr>
          <w:trHeight w:val="156" w:hRule="atLeast"/>
        </w:trPr>
        <w:tc>
          <w:tcPr>
            <w:tcW w:w="3135" w:type="dxa"/>
            <w:tcBorders>
              <w:top w:val="single" w:sz="6" w:space="0" w:color="000000"/>
            </w:tcBorders>
            <w:shd w:val="clear" w:color="auto" w:fill="CCEDFF"/>
          </w:tcPr>
          <w:p>
            <w:pPr>
              <w:pStyle w:val="TableParagraph"/>
              <w:spacing w:line="132" w:lineRule="exact"/>
              <w:rPr>
                <w:sz w:val="14"/>
              </w:rPr>
            </w:pPr>
            <w:r>
              <w:rPr>
                <w:sz w:val="14"/>
              </w:rPr>
              <w:t>Service</w:t>
            </w:r>
            <w:r>
              <w:rPr>
                <w:spacing w:val="-7"/>
                <w:sz w:val="14"/>
              </w:rPr>
              <w:t> </w:t>
            </w:r>
            <w:r>
              <w:rPr>
                <w:spacing w:val="-4"/>
                <w:sz w:val="14"/>
              </w:rPr>
              <w:t>cost</w:t>
            </w:r>
          </w:p>
        </w:tc>
        <w:tc>
          <w:tcPr>
            <w:tcW w:w="941" w:type="dxa"/>
            <w:tcBorders>
              <w:top w:val="single" w:sz="6" w:space="0" w:color="000000"/>
            </w:tcBorders>
            <w:shd w:val="clear" w:color="auto" w:fill="CCEDFF"/>
          </w:tcPr>
          <w:p>
            <w:pPr>
              <w:pStyle w:val="TableParagraph"/>
              <w:tabs>
                <w:tab w:pos="490" w:val="left" w:leader="none"/>
              </w:tabs>
              <w:spacing w:line="132" w:lineRule="exact"/>
              <w:ind w:right="10"/>
              <w:jc w:val="right"/>
              <w:rPr>
                <w:b/>
                <w:sz w:val="14"/>
              </w:rPr>
            </w:pPr>
            <w:r>
              <w:rPr>
                <w:b/>
                <w:spacing w:val="-10"/>
                <w:sz w:val="14"/>
              </w:rPr>
              <w:t>$</w:t>
            </w:r>
            <w:r>
              <w:rPr>
                <w:b/>
                <w:sz w:val="14"/>
              </w:rPr>
              <w:tab/>
            </w:r>
            <w:r>
              <w:rPr>
                <w:b/>
                <w:spacing w:val="-5"/>
                <w:sz w:val="14"/>
              </w:rPr>
              <w:t>102</w:t>
            </w:r>
          </w:p>
        </w:tc>
        <w:tc>
          <w:tcPr>
            <w:tcW w:w="919" w:type="dxa"/>
            <w:gridSpan w:val="2"/>
            <w:tcBorders>
              <w:top w:val="single" w:sz="6" w:space="0" w:color="000000"/>
            </w:tcBorders>
            <w:shd w:val="clear" w:color="auto" w:fill="CCEDFF"/>
          </w:tcPr>
          <w:p>
            <w:pPr>
              <w:pStyle w:val="TableParagraph"/>
              <w:tabs>
                <w:tab w:pos="764" w:val="left" w:leader="none"/>
              </w:tabs>
              <w:spacing w:line="132" w:lineRule="exact"/>
              <w:ind w:left="216"/>
              <w:rPr>
                <w:sz w:val="14"/>
              </w:rPr>
            </w:pPr>
            <w:r>
              <w:rPr>
                <w:spacing w:val="-10"/>
                <w:sz w:val="14"/>
              </w:rPr>
              <w:t>$</w:t>
            </w:r>
            <w:r>
              <w:rPr>
                <w:sz w:val="14"/>
              </w:rPr>
              <w:tab/>
            </w:r>
            <w:r>
              <w:rPr>
                <w:spacing w:val="-5"/>
                <w:sz w:val="14"/>
              </w:rPr>
              <w:t>92</w:t>
            </w:r>
          </w:p>
        </w:tc>
        <w:tc>
          <w:tcPr>
            <w:tcW w:w="919" w:type="dxa"/>
            <w:gridSpan w:val="2"/>
            <w:tcBorders>
              <w:top w:val="single" w:sz="6" w:space="0" w:color="000000"/>
            </w:tcBorders>
            <w:shd w:val="clear" w:color="auto" w:fill="CCEDFF"/>
          </w:tcPr>
          <w:p>
            <w:pPr>
              <w:pStyle w:val="TableParagraph"/>
              <w:tabs>
                <w:tab w:pos="762" w:val="left" w:leader="none"/>
              </w:tabs>
              <w:spacing w:line="132" w:lineRule="exact"/>
              <w:ind w:left="214"/>
              <w:rPr>
                <w:sz w:val="14"/>
              </w:rPr>
            </w:pPr>
            <w:r>
              <w:rPr>
                <w:spacing w:val="-10"/>
                <w:sz w:val="14"/>
              </w:rPr>
              <w:t>$</w:t>
            </w:r>
            <w:r>
              <w:rPr>
                <w:sz w:val="14"/>
              </w:rPr>
              <w:tab/>
            </w:r>
            <w:r>
              <w:rPr>
                <w:spacing w:val="-5"/>
                <w:sz w:val="14"/>
              </w:rPr>
              <w:t>76</w:t>
            </w:r>
          </w:p>
        </w:tc>
        <w:tc>
          <w:tcPr>
            <w:tcW w:w="919" w:type="dxa"/>
            <w:gridSpan w:val="2"/>
            <w:tcBorders>
              <w:top w:val="single" w:sz="6" w:space="0" w:color="000000"/>
            </w:tcBorders>
            <w:shd w:val="clear" w:color="auto" w:fill="CCEDFF"/>
          </w:tcPr>
          <w:p>
            <w:pPr>
              <w:pStyle w:val="TableParagraph"/>
              <w:tabs>
                <w:tab w:pos="760" w:val="left" w:leader="none"/>
              </w:tabs>
              <w:spacing w:line="132" w:lineRule="exact"/>
              <w:ind w:left="213"/>
              <w:rPr>
                <w:b/>
                <w:sz w:val="14"/>
              </w:rPr>
            </w:pPr>
            <w:r>
              <w:rPr>
                <w:b/>
                <w:spacing w:val="-10"/>
                <w:sz w:val="14"/>
              </w:rPr>
              <w:t>$</w:t>
            </w:r>
            <w:r>
              <w:rPr>
                <w:b/>
                <w:sz w:val="14"/>
              </w:rPr>
              <w:tab/>
            </w:r>
            <w:r>
              <w:rPr>
                <w:b/>
                <w:spacing w:val="-5"/>
                <w:sz w:val="14"/>
              </w:rPr>
              <w:t>25</w:t>
            </w:r>
          </w:p>
        </w:tc>
        <w:tc>
          <w:tcPr>
            <w:tcW w:w="919" w:type="dxa"/>
            <w:gridSpan w:val="2"/>
            <w:tcBorders>
              <w:top w:val="single" w:sz="6" w:space="0" w:color="000000"/>
            </w:tcBorders>
            <w:shd w:val="clear" w:color="auto" w:fill="CCEDFF"/>
          </w:tcPr>
          <w:p>
            <w:pPr>
              <w:pStyle w:val="TableParagraph"/>
              <w:tabs>
                <w:tab w:pos="758" w:val="left" w:leader="none"/>
              </w:tabs>
              <w:spacing w:line="132" w:lineRule="exact"/>
              <w:ind w:left="211"/>
              <w:rPr>
                <w:sz w:val="14"/>
              </w:rPr>
            </w:pPr>
            <w:r>
              <w:rPr>
                <w:spacing w:val="-10"/>
                <w:sz w:val="14"/>
              </w:rPr>
              <w:t>$</w:t>
            </w:r>
            <w:r>
              <w:rPr>
                <w:sz w:val="14"/>
              </w:rPr>
              <w:tab/>
            </w:r>
            <w:r>
              <w:rPr>
                <w:spacing w:val="-5"/>
                <w:sz w:val="14"/>
              </w:rPr>
              <w:t>26</w:t>
            </w:r>
          </w:p>
        </w:tc>
        <w:tc>
          <w:tcPr>
            <w:tcW w:w="919" w:type="dxa"/>
            <w:gridSpan w:val="2"/>
            <w:tcBorders>
              <w:top w:val="single" w:sz="6" w:space="0" w:color="000000"/>
            </w:tcBorders>
            <w:shd w:val="clear" w:color="auto" w:fill="CCEDFF"/>
          </w:tcPr>
          <w:p>
            <w:pPr>
              <w:pStyle w:val="TableParagraph"/>
              <w:tabs>
                <w:tab w:pos="757" w:val="left" w:leader="none"/>
              </w:tabs>
              <w:spacing w:line="132" w:lineRule="exact"/>
              <w:ind w:left="209"/>
              <w:rPr>
                <w:sz w:val="14"/>
              </w:rPr>
            </w:pPr>
            <w:r>
              <w:rPr>
                <w:spacing w:val="-10"/>
                <w:sz w:val="14"/>
              </w:rPr>
              <w:t>$</w:t>
            </w:r>
            <w:r>
              <w:rPr>
                <w:sz w:val="14"/>
              </w:rPr>
              <w:tab/>
            </w:r>
            <w:r>
              <w:rPr>
                <w:spacing w:val="-5"/>
                <w:sz w:val="14"/>
              </w:rPr>
              <w:t>25</w:t>
            </w:r>
          </w:p>
        </w:tc>
        <w:tc>
          <w:tcPr>
            <w:tcW w:w="919" w:type="dxa"/>
            <w:gridSpan w:val="2"/>
            <w:tcBorders>
              <w:top w:val="single" w:sz="6" w:space="0" w:color="000000"/>
            </w:tcBorders>
            <w:shd w:val="clear" w:color="auto" w:fill="CCEDFF"/>
          </w:tcPr>
          <w:p>
            <w:pPr>
              <w:pStyle w:val="TableParagraph"/>
              <w:tabs>
                <w:tab w:pos="755" w:val="left" w:leader="none"/>
              </w:tabs>
              <w:spacing w:line="132" w:lineRule="exact"/>
              <w:ind w:left="207"/>
              <w:rPr>
                <w:b/>
                <w:sz w:val="14"/>
              </w:rPr>
            </w:pPr>
            <w:r>
              <w:rPr>
                <w:b/>
                <w:spacing w:val="-10"/>
                <w:sz w:val="14"/>
              </w:rPr>
              <w:t>$</w:t>
            </w:r>
            <w:r>
              <w:rPr>
                <w:b/>
                <w:sz w:val="14"/>
              </w:rPr>
              <w:tab/>
            </w:r>
            <w:r>
              <w:rPr>
                <w:b/>
                <w:spacing w:val="-5"/>
                <w:sz w:val="14"/>
              </w:rPr>
              <w:t>10</w:t>
            </w:r>
          </w:p>
        </w:tc>
        <w:tc>
          <w:tcPr>
            <w:tcW w:w="919" w:type="dxa"/>
            <w:gridSpan w:val="2"/>
            <w:tcBorders>
              <w:top w:val="single" w:sz="6" w:space="0" w:color="000000"/>
            </w:tcBorders>
            <w:shd w:val="clear" w:color="auto" w:fill="CCEDFF"/>
          </w:tcPr>
          <w:p>
            <w:pPr>
              <w:pStyle w:val="TableParagraph"/>
              <w:tabs>
                <w:tab w:pos="823" w:val="left" w:leader="none"/>
              </w:tabs>
              <w:spacing w:line="132" w:lineRule="exact"/>
              <w:ind w:left="205"/>
              <w:rPr>
                <w:sz w:val="14"/>
              </w:rPr>
            </w:pPr>
            <w:r>
              <w:rPr>
                <w:spacing w:val="-10"/>
                <w:sz w:val="14"/>
              </w:rPr>
              <w:t>$</w:t>
            </w:r>
            <w:r>
              <w:rPr>
                <w:sz w:val="14"/>
              </w:rPr>
              <w:tab/>
            </w:r>
            <w:r>
              <w:rPr>
                <w:spacing w:val="-10"/>
                <w:sz w:val="14"/>
              </w:rPr>
              <w:t>9</w:t>
            </w:r>
          </w:p>
        </w:tc>
        <w:tc>
          <w:tcPr>
            <w:tcW w:w="1022" w:type="dxa"/>
            <w:gridSpan w:val="2"/>
            <w:tcBorders>
              <w:top w:val="single" w:sz="6" w:space="0" w:color="000000"/>
            </w:tcBorders>
            <w:shd w:val="clear" w:color="auto" w:fill="CCEDFF"/>
          </w:tcPr>
          <w:p>
            <w:pPr>
              <w:pStyle w:val="TableParagraph"/>
              <w:tabs>
                <w:tab w:pos="821" w:val="left" w:leader="none"/>
              </w:tabs>
              <w:spacing w:line="132" w:lineRule="exact"/>
              <w:ind w:left="203"/>
              <w:rPr>
                <w:sz w:val="14"/>
              </w:rPr>
            </w:pPr>
            <w:r>
              <w:rPr>
                <w:spacing w:val="-10"/>
                <w:sz w:val="14"/>
              </w:rPr>
              <w:t>$</w:t>
            </w:r>
            <w:r>
              <w:rPr>
                <w:sz w:val="14"/>
              </w:rPr>
              <w:tab/>
            </w:r>
            <w:r>
              <w:rPr>
                <w:spacing w:val="-10"/>
                <w:sz w:val="14"/>
              </w:rPr>
              <w:t>9</w:t>
            </w:r>
          </w:p>
        </w:tc>
      </w:tr>
      <w:tr>
        <w:trPr>
          <w:trHeight w:val="152" w:hRule="atLeast"/>
        </w:trPr>
        <w:tc>
          <w:tcPr>
            <w:tcW w:w="3135" w:type="dxa"/>
          </w:tcPr>
          <w:p>
            <w:pPr>
              <w:pStyle w:val="TableParagraph"/>
              <w:spacing w:line="133" w:lineRule="exact"/>
              <w:rPr>
                <w:sz w:val="14"/>
              </w:rPr>
            </w:pPr>
            <w:r>
              <w:rPr>
                <w:sz w:val="14"/>
              </w:rPr>
              <w:t>Interest</w:t>
            </w:r>
            <w:r>
              <w:rPr>
                <w:spacing w:val="-8"/>
                <w:sz w:val="14"/>
              </w:rPr>
              <w:t> </w:t>
            </w:r>
            <w:r>
              <w:rPr>
                <w:spacing w:val="-4"/>
                <w:sz w:val="14"/>
              </w:rPr>
              <w:t>cost</w:t>
            </w:r>
          </w:p>
        </w:tc>
        <w:tc>
          <w:tcPr>
            <w:tcW w:w="941" w:type="dxa"/>
          </w:tcPr>
          <w:p>
            <w:pPr>
              <w:pStyle w:val="TableParagraph"/>
              <w:spacing w:line="133" w:lineRule="exact"/>
              <w:ind w:right="10"/>
              <w:jc w:val="right"/>
              <w:rPr>
                <w:b/>
                <w:sz w:val="14"/>
              </w:rPr>
            </w:pPr>
            <w:r>
              <w:rPr>
                <w:b/>
                <w:spacing w:val="-5"/>
                <w:sz w:val="14"/>
              </w:rPr>
              <w:t>78</w:t>
            </w:r>
          </w:p>
        </w:tc>
        <w:tc>
          <w:tcPr>
            <w:tcW w:w="919" w:type="dxa"/>
            <w:gridSpan w:val="2"/>
          </w:tcPr>
          <w:p>
            <w:pPr>
              <w:pStyle w:val="TableParagraph"/>
              <w:spacing w:line="133" w:lineRule="exact"/>
              <w:ind w:right="12"/>
              <w:jc w:val="right"/>
              <w:rPr>
                <w:sz w:val="14"/>
              </w:rPr>
            </w:pPr>
            <w:r>
              <w:rPr>
                <w:spacing w:val="-5"/>
                <w:sz w:val="14"/>
              </w:rPr>
              <w:t>110</w:t>
            </w:r>
          </w:p>
        </w:tc>
        <w:tc>
          <w:tcPr>
            <w:tcW w:w="919" w:type="dxa"/>
            <w:gridSpan w:val="2"/>
          </w:tcPr>
          <w:p>
            <w:pPr>
              <w:pStyle w:val="TableParagraph"/>
              <w:spacing w:line="133" w:lineRule="exact"/>
              <w:ind w:right="14"/>
              <w:jc w:val="right"/>
              <w:rPr>
                <w:sz w:val="14"/>
              </w:rPr>
            </w:pPr>
            <w:r>
              <w:rPr>
                <w:spacing w:val="-5"/>
                <w:sz w:val="14"/>
              </w:rPr>
              <w:t>133</w:t>
            </w:r>
          </w:p>
        </w:tc>
        <w:tc>
          <w:tcPr>
            <w:tcW w:w="919" w:type="dxa"/>
            <w:gridSpan w:val="2"/>
          </w:tcPr>
          <w:p>
            <w:pPr>
              <w:pStyle w:val="TableParagraph"/>
              <w:spacing w:line="133" w:lineRule="exact"/>
              <w:ind w:right="15"/>
              <w:jc w:val="right"/>
              <w:rPr>
                <w:b/>
                <w:sz w:val="14"/>
              </w:rPr>
            </w:pPr>
            <w:r>
              <w:rPr>
                <w:b/>
                <w:spacing w:val="-5"/>
                <w:sz w:val="14"/>
              </w:rPr>
              <w:t>10</w:t>
            </w:r>
          </w:p>
        </w:tc>
        <w:tc>
          <w:tcPr>
            <w:tcW w:w="919" w:type="dxa"/>
            <w:gridSpan w:val="2"/>
          </w:tcPr>
          <w:p>
            <w:pPr>
              <w:pStyle w:val="TableParagraph"/>
              <w:spacing w:line="133" w:lineRule="exact"/>
              <w:ind w:right="17"/>
              <w:jc w:val="right"/>
              <w:rPr>
                <w:sz w:val="14"/>
              </w:rPr>
            </w:pPr>
            <w:r>
              <w:rPr>
                <w:spacing w:val="-5"/>
                <w:sz w:val="14"/>
              </w:rPr>
              <w:t>12</w:t>
            </w:r>
          </w:p>
        </w:tc>
        <w:tc>
          <w:tcPr>
            <w:tcW w:w="919" w:type="dxa"/>
            <w:gridSpan w:val="2"/>
          </w:tcPr>
          <w:p>
            <w:pPr>
              <w:pStyle w:val="TableParagraph"/>
              <w:spacing w:line="133" w:lineRule="exact"/>
              <w:ind w:right="19"/>
              <w:jc w:val="right"/>
              <w:rPr>
                <w:sz w:val="14"/>
              </w:rPr>
            </w:pPr>
            <w:r>
              <w:rPr>
                <w:spacing w:val="-5"/>
                <w:sz w:val="14"/>
              </w:rPr>
              <w:t>15</w:t>
            </w:r>
          </w:p>
        </w:tc>
        <w:tc>
          <w:tcPr>
            <w:tcW w:w="919" w:type="dxa"/>
            <w:gridSpan w:val="2"/>
          </w:tcPr>
          <w:p>
            <w:pPr>
              <w:pStyle w:val="TableParagraph"/>
              <w:spacing w:line="133" w:lineRule="exact"/>
              <w:ind w:right="21"/>
              <w:jc w:val="right"/>
              <w:rPr>
                <w:b/>
                <w:sz w:val="14"/>
              </w:rPr>
            </w:pPr>
            <w:r>
              <w:rPr>
                <w:b/>
                <w:spacing w:val="-5"/>
                <w:sz w:val="14"/>
              </w:rPr>
              <w:t>15</w:t>
            </w:r>
          </w:p>
        </w:tc>
        <w:tc>
          <w:tcPr>
            <w:tcW w:w="919" w:type="dxa"/>
            <w:gridSpan w:val="2"/>
          </w:tcPr>
          <w:p>
            <w:pPr>
              <w:pStyle w:val="TableParagraph"/>
              <w:spacing w:line="133" w:lineRule="exact"/>
              <w:ind w:right="23"/>
              <w:jc w:val="right"/>
              <w:rPr>
                <w:sz w:val="14"/>
              </w:rPr>
            </w:pPr>
            <w:r>
              <w:rPr>
                <w:spacing w:val="-5"/>
                <w:sz w:val="14"/>
              </w:rPr>
              <w:t>20</w:t>
            </w:r>
          </w:p>
        </w:tc>
        <w:tc>
          <w:tcPr>
            <w:tcW w:w="1022" w:type="dxa"/>
            <w:gridSpan w:val="2"/>
          </w:tcPr>
          <w:p>
            <w:pPr>
              <w:pStyle w:val="TableParagraph"/>
              <w:spacing w:line="133" w:lineRule="exact"/>
              <w:ind w:right="128"/>
              <w:jc w:val="right"/>
              <w:rPr>
                <w:sz w:val="14"/>
              </w:rPr>
            </w:pPr>
            <w:r>
              <w:rPr>
                <w:spacing w:val="-5"/>
                <w:sz w:val="14"/>
              </w:rPr>
              <w:t>27</w:t>
            </w:r>
          </w:p>
        </w:tc>
      </w:tr>
      <w:tr>
        <w:trPr>
          <w:trHeight w:val="152" w:hRule="atLeast"/>
        </w:trPr>
        <w:tc>
          <w:tcPr>
            <w:tcW w:w="3135" w:type="dxa"/>
            <w:shd w:val="clear" w:color="auto" w:fill="CCEDFF"/>
          </w:tcPr>
          <w:p>
            <w:pPr>
              <w:pStyle w:val="TableParagraph"/>
              <w:spacing w:line="133" w:lineRule="exact"/>
              <w:rPr>
                <w:sz w:val="14"/>
              </w:rPr>
            </w:pPr>
            <w:r>
              <w:rPr>
                <w:sz w:val="14"/>
              </w:rPr>
              <w:t>Expected return on plan </w:t>
            </w:r>
            <w:r>
              <w:rPr>
                <w:spacing w:val="-2"/>
                <w:sz w:val="14"/>
              </w:rPr>
              <w:t>assets</w:t>
            </w:r>
          </w:p>
        </w:tc>
        <w:tc>
          <w:tcPr>
            <w:tcW w:w="941" w:type="dxa"/>
            <w:shd w:val="clear" w:color="auto" w:fill="CCEDFF"/>
          </w:tcPr>
          <w:p>
            <w:pPr>
              <w:pStyle w:val="TableParagraph"/>
              <w:spacing w:line="133" w:lineRule="exact"/>
              <w:ind w:right="10"/>
              <w:jc w:val="right"/>
              <w:rPr>
                <w:b/>
                <w:sz w:val="14"/>
              </w:rPr>
            </w:pPr>
            <w:r>
              <w:rPr>
                <w:b/>
                <w:spacing w:val="-4"/>
                <w:sz w:val="14"/>
              </w:rPr>
              <w:t>(209</w:t>
            </w:r>
          </w:p>
        </w:tc>
        <w:tc>
          <w:tcPr>
            <w:tcW w:w="919" w:type="dxa"/>
            <w:gridSpan w:val="2"/>
            <w:shd w:val="clear" w:color="auto" w:fill="CCEDFF"/>
          </w:tcPr>
          <w:p>
            <w:pPr>
              <w:pStyle w:val="TableParagraph"/>
              <w:tabs>
                <w:tab w:pos="647" w:val="left" w:leader="none"/>
              </w:tabs>
              <w:spacing w:line="133" w:lineRule="exact"/>
              <w:ind w:left="-13"/>
              <w:rPr>
                <w:sz w:val="14"/>
              </w:rPr>
            </w:pPr>
            <w:r>
              <w:rPr>
                <w:b/>
                <w:spacing w:val="-10"/>
                <w:sz w:val="14"/>
              </w:rPr>
              <w:t>)</w:t>
            </w:r>
            <w:r>
              <w:rPr>
                <w:b/>
                <w:sz w:val="14"/>
              </w:rPr>
              <w:tab/>
            </w:r>
            <w:r>
              <w:rPr>
                <w:spacing w:val="-4"/>
                <w:sz w:val="14"/>
              </w:rPr>
              <w:t>(186</w:t>
            </w:r>
          </w:p>
        </w:tc>
        <w:tc>
          <w:tcPr>
            <w:tcW w:w="919" w:type="dxa"/>
            <w:gridSpan w:val="2"/>
            <w:shd w:val="clear" w:color="auto" w:fill="CCEDFF"/>
          </w:tcPr>
          <w:p>
            <w:pPr>
              <w:pStyle w:val="TableParagraph"/>
              <w:tabs>
                <w:tab w:pos="646" w:val="left" w:leader="none"/>
              </w:tabs>
              <w:spacing w:line="133" w:lineRule="exact"/>
              <w:ind w:left="-15"/>
              <w:rPr>
                <w:sz w:val="14"/>
              </w:rPr>
            </w:pPr>
            <w:r>
              <w:rPr>
                <w:spacing w:val="-10"/>
                <w:sz w:val="14"/>
              </w:rPr>
              <w:t>)</w:t>
            </w:r>
            <w:r>
              <w:rPr>
                <w:sz w:val="14"/>
              </w:rPr>
              <w:tab/>
            </w:r>
            <w:r>
              <w:rPr>
                <w:spacing w:val="-4"/>
                <w:sz w:val="14"/>
              </w:rPr>
              <w:t>(161</w:t>
            </w:r>
          </w:p>
        </w:tc>
        <w:tc>
          <w:tcPr>
            <w:tcW w:w="919" w:type="dxa"/>
            <w:gridSpan w:val="2"/>
            <w:shd w:val="clear" w:color="auto" w:fill="CCEDFF"/>
          </w:tcPr>
          <w:p>
            <w:pPr>
              <w:pStyle w:val="TableParagraph"/>
              <w:tabs>
                <w:tab w:pos="784" w:val="left" w:leader="none"/>
              </w:tabs>
              <w:spacing w:line="133" w:lineRule="exact"/>
              <w:ind w:left="-17"/>
              <w:rPr>
                <w:b/>
                <w:sz w:val="14"/>
              </w:rPr>
            </w:pPr>
            <w:r>
              <w:rPr>
                <w:spacing w:val="-10"/>
                <w:sz w:val="14"/>
              </w:rPr>
              <w:t>)</w:t>
            </w:r>
            <w:r>
              <w:rPr>
                <w:sz w:val="14"/>
              </w:rPr>
              <w:tab/>
            </w:r>
            <w:r>
              <w:rPr>
                <w:b/>
                <w:spacing w:val="-5"/>
                <w:sz w:val="14"/>
              </w:rPr>
              <w:t>(7</w:t>
            </w:r>
          </w:p>
        </w:tc>
        <w:tc>
          <w:tcPr>
            <w:tcW w:w="919" w:type="dxa"/>
            <w:gridSpan w:val="2"/>
            <w:shd w:val="clear" w:color="auto" w:fill="CCEDFF"/>
          </w:tcPr>
          <w:p>
            <w:pPr>
              <w:pStyle w:val="TableParagraph"/>
              <w:tabs>
                <w:tab w:pos="782" w:val="left" w:leader="none"/>
              </w:tabs>
              <w:spacing w:line="133" w:lineRule="exact"/>
              <w:ind w:left="-18"/>
              <w:rPr>
                <w:sz w:val="14"/>
              </w:rPr>
            </w:pPr>
            <w:r>
              <w:rPr>
                <w:b/>
                <w:spacing w:val="-10"/>
                <w:sz w:val="14"/>
              </w:rPr>
              <w:t>)</w:t>
            </w:r>
            <w:r>
              <w:rPr>
                <w:b/>
                <w:sz w:val="14"/>
              </w:rPr>
              <w:tab/>
            </w:r>
            <w:r>
              <w:rPr>
                <w:spacing w:val="-5"/>
                <w:sz w:val="14"/>
              </w:rPr>
              <w:t>(9</w:t>
            </w:r>
          </w:p>
        </w:tc>
        <w:tc>
          <w:tcPr>
            <w:tcW w:w="919" w:type="dxa"/>
            <w:gridSpan w:val="2"/>
            <w:shd w:val="clear" w:color="auto" w:fill="CCEDFF"/>
          </w:tcPr>
          <w:p>
            <w:pPr>
              <w:pStyle w:val="TableParagraph"/>
              <w:tabs>
                <w:tab w:pos="710" w:val="left" w:leader="none"/>
              </w:tabs>
              <w:spacing w:line="133" w:lineRule="exact"/>
              <w:ind w:left="-20"/>
              <w:rPr>
                <w:sz w:val="14"/>
              </w:rPr>
            </w:pPr>
            <w:r>
              <w:rPr>
                <w:spacing w:val="-10"/>
                <w:sz w:val="14"/>
              </w:rPr>
              <w:t>)</w:t>
            </w:r>
            <w:r>
              <w:rPr>
                <w:sz w:val="14"/>
              </w:rPr>
              <w:tab/>
            </w:r>
            <w:r>
              <w:rPr>
                <w:spacing w:val="-5"/>
                <w:sz w:val="14"/>
              </w:rPr>
              <w:t>(10</w:t>
            </w:r>
          </w:p>
        </w:tc>
        <w:tc>
          <w:tcPr>
            <w:tcW w:w="919" w:type="dxa"/>
            <w:gridSpan w:val="2"/>
            <w:shd w:val="clear" w:color="auto" w:fill="CCEDFF"/>
          </w:tcPr>
          <w:p>
            <w:pPr>
              <w:pStyle w:val="TableParagraph"/>
              <w:spacing w:line="133" w:lineRule="exact"/>
              <w:ind w:left="-22"/>
              <w:rPr>
                <w:sz w:val="14"/>
              </w:rPr>
            </w:pPr>
            <w:r>
              <w:rPr>
                <w:spacing w:val="-10"/>
                <w:sz w:val="14"/>
              </w:rPr>
              <w:t>)</w:t>
            </w:r>
          </w:p>
        </w:tc>
        <w:tc>
          <w:tcPr>
            <w:tcW w:w="919" w:type="dxa"/>
            <w:gridSpan w:val="2"/>
            <w:shd w:val="clear" w:color="auto" w:fill="CCEDFF"/>
          </w:tcPr>
          <w:p>
            <w:pPr>
              <w:pStyle w:val="TableParagraph"/>
              <w:rPr>
                <w:sz w:val="8"/>
              </w:rPr>
            </w:pPr>
          </w:p>
        </w:tc>
        <w:tc>
          <w:tcPr>
            <w:tcW w:w="1022" w:type="dxa"/>
            <w:gridSpan w:val="2"/>
            <w:shd w:val="clear" w:color="auto" w:fill="CCEDFF"/>
          </w:tcPr>
          <w:p>
            <w:pPr>
              <w:pStyle w:val="TableParagraph"/>
              <w:rPr>
                <w:sz w:val="8"/>
              </w:rPr>
            </w:pPr>
          </w:p>
        </w:tc>
      </w:tr>
      <w:tr>
        <w:trPr>
          <w:trHeight w:val="152" w:hRule="atLeast"/>
        </w:trPr>
        <w:tc>
          <w:tcPr>
            <w:tcW w:w="3135" w:type="dxa"/>
          </w:tcPr>
          <w:p>
            <w:pPr>
              <w:pStyle w:val="TableParagraph"/>
              <w:spacing w:line="133" w:lineRule="exact"/>
              <w:rPr>
                <w:sz w:val="14"/>
              </w:rPr>
            </w:pPr>
            <w:r>
              <w:rPr>
                <w:sz w:val="14"/>
              </w:rPr>
              <w:t>Amortization of prior service cost </w:t>
            </w:r>
            <w:r>
              <w:rPr>
                <w:spacing w:val="-2"/>
                <w:sz w:val="14"/>
              </w:rPr>
              <w:t>(credit)</w:t>
            </w:r>
          </w:p>
        </w:tc>
        <w:tc>
          <w:tcPr>
            <w:tcW w:w="941" w:type="dxa"/>
          </w:tcPr>
          <w:p>
            <w:pPr>
              <w:pStyle w:val="TableParagraph"/>
              <w:spacing w:line="133" w:lineRule="exact"/>
              <w:ind w:right="10"/>
              <w:jc w:val="right"/>
              <w:rPr>
                <w:b/>
                <w:sz w:val="14"/>
              </w:rPr>
            </w:pPr>
            <w:r>
              <w:rPr>
                <w:b/>
                <w:spacing w:val="-10"/>
                <w:sz w:val="14"/>
              </w:rPr>
              <w:t>4</w:t>
            </w:r>
          </w:p>
        </w:tc>
        <w:tc>
          <w:tcPr>
            <w:tcW w:w="919" w:type="dxa"/>
            <w:gridSpan w:val="2"/>
          </w:tcPr>
          <w:p>
            <w:pPr>
              <w:pStyle w:val="TableParagraph"/>
              <w:spacing w:line="133" w:lineRule="exact"/>
              <w:ind w:right="12"/>
              <w:jc w:val="right"/>
              <w:rPr>
                <w:sz w:val="14"/>
              </w:rPr>
            </w:pPr>
            <w:r>
              <w:rPr>
                <w:spacing w:val="-10"/>
                <w:sz w:val="14"/>
              </w:rPr>
              <w:t>6</w:t>
            </w:r>
          </w:p>
        </w:tc>
        <w:tc>
          <w:tcPr>
            <w:tcW w:w="919" w:type="dxa"/>
            <w:gridSpan w:val="2"/>
          </w:tcPr>
          <w:p>
            <w:pPr>
              <w:pStyle w:val="TableParagraph"/>
              <w:spacing w:line="133" w:lineRule="exact"/>
              <w:ind w:right="14"/>
              <w:jc w:val="right"/>
              <w:rPr>
                <w:sz w:val="14"/>
              </w:rPr>
            </w:pPr>
            <w:r>
              <w:rPr>
                <w:spacing w:val="-10"/>
                <w:sz w:val="14"/>
              </w:rPr>
              <w:t>7</w:t>
            </w:r>
          </w:p>
        </w:tc>
        <w:tc>
          <w:tcPr>
            <w:tcW w:w="919" w:type="dxa"/>
            <w:gridSpan w:val="2"/>
          </w:tcPr>
          <w:p>
            <w:pPr>
              <w:pStyle w:val="TableParagraph"/>
              <w:spacing w:line="133" w:lineRule="exact"/>
              <w:ind w:right="16"/>
              <w:jc w:val="right"/>
              <w:rPr>
                <w:b/>
                <w:sz w:val="14"/>
              </w:rPr>
            </w:pPr>
            <w:r>
              <w:rPr>
                <w:b/>
                <w:spacing w:val="-5"/>
                <w:sz w:val="14"/>
              </w:rPr>
              <w:t>(1</w:t>
            </w:r>
          </w:p>
        </w:tc>
        <w:tc>
          <w:tcPr>
            <w:tcW w:w="919" w:type="dxa"/>
            <w:gridSpan w:val="2"/>
          </w:tcPr>
          <w:p>
            <w:pPr>
              <w:pStyle w:val="TableParagraph"/>
              <w:tabs>
                <w:tab w:pos="782" w:val="left" w:leader="none"/>
              </w:tabs>
              <w:spacing w:line="133" w:lineRule="exact"/>
              <w:ind w:left="-18"/>
              <w:rPr>
                <w:sz w:val="14"/>
              </w:rPr>
            </w:pPr>
            <w:r>
              <w:rPr>
                <w:b/>
                <w:spacing w:val="-10"/>
                <w:sz w:val="14"/>
              </w:rPr>
              <w:t>)</w:t>
            </w:r>
            <w:r>
              <w:rPr>
                <w:b/>
                <w:sz w:val="14"/>
              </w:rPr>
              <w:tab/>
            </w:r>
            <w:r>
              <w:rPr>
                <w:spacing w:val="-5"/>
                <w:sz w:val="14"/>
              </w:rPr>
              <w:t>(1</w:t>
            </w:r>
          </w:p>
        </w:tc>
        <w:tc>
          <w:tcPr>
            <w:tcW w:w="919" w:type="dxa"/>
            <w:gridSpan w:val="2"/>
          </w:tcPr>
          <w:p>
            <w:pPr>
              <w:pStyle w:val="TableParagraph"/>
              <w:tabs>
                <w:tab w:pos="780" w:val="left" w:leader="none"/>
              </w:tabs>
              <w:spacing w:line="133" w:lineRule="exact"/>
              <w:ind w:left="-20"/>
              <w:rPr>
                <w:sz w:val="14"/>
              </w:rPr>
            </w:pPr>
            <w:r>
              <w:rPr>
                <w:spacing w:val="-10"/>
                <w:sz w:val="14"/>
              </w:rPr>
              <w:t>)</w:t>
            </w:r>
            <w:r>
              <w:rPr>
                <w:sz w:val="14"/>
              </w:rPr>
              <w:tab/>
            </w:r>
            <w:r>
              <w:rPr>
                <w:spacing w:val="-5"/>
                <w:sz w:val="14"/>
              </w:rPr>
              <w:t>(1</w:t>
            </w:r>
          </w:p>
        </w:tc>
        <w:tc>
          <w:tcPr>
            <w:tcW w:w="919" w:type="dxa"/>
            <w:gridSpan w:val="2"/>
          </w:tcPr>
          <w:p>
            <w:pPr>
              <w:pStyle w:val="TableParagraph"/>
              <w:tabs>
                <w:tab w:pos="778" w:val="left" w:leader="none"/>
              </w:tabs>
              <w:spacing w:line="133" w:lineRule="exact"/>
              <w:ind w:left="-22"/>
              <w:rPr>
                <w:b/>
                <w:sz w:val="14"/>
              </w:rPr>
            </w:pPr>
            <w:r>
              <w:rPr>
                <w:spacing w:val="-10"/>
                <w:sz w:val="14"/>
              </w:rPr>
              <w:t>)</w:t>
            </w:r>
            <w:r>
              <w:rPr>
                <w:sz w:val="14"/>
              </w:rPr>
              <w:tab/>
            </w:r>
            <w:r>
              <w:rPr>
                <w:b/>
                <w:spacing w:val="-5"/>
                <w:sz w:val="14"/>
              </w:rPr>
              <w:t>(6</w:t>
            </w:r>
          </w:p>
        </w:tc>
        <w:tc>
          <w:tcPr>
            <w:tcW w:w="919" w:type="dxa"/>
            <w:gridSpan w:val="2"/>
          </w:tcPr>
          <w:p>
            <w:pPr>
              <w:pStyle w:val="TableParagraph"/>
              <w:tabs>
                <w:tab w:pos="776" w:val="left" w:leader="none"/>
              </w:tabs>
              <w:spacing w:line="133" w:lineRule="exact"/>
              <w:ind w:left="-24"/>
              <w:rPr>
                <w:sz w:val="14"/>
              </w:rPr>
            </w:pPr>
            <w:r>
              <w:rPr>
                <w:b/>
                <w:spacing w:val="-10"/>
                <w:sz w:val="14"/>
              </w:rPr>
              <w:t>)</w:t>
            </w:r>
            <w:r>
              <w:rPr>
                <w:b/>
                <w:sz w:val="14"/>
              </w:rPr>
              <w:tab/>
            </w:r>
            <w:r>
              <w:rPr>
                <w:spacing w:val="-5"/>
                <w:sz w:val="14"/>
              </w:rPr>
              <w:t>(5</w:t>
            </w:r>
          </w:p>
        </w:tc>
        <w:tc>
          <w:tcPr>
            <w:tcW w:w="1022" w:type="dxa"/>
            <w:gridSpan w:val="2"/>
          </w:tcPr>
          <w:p>
            <w:pPr>
              <w:pStyle w:val="TableParagraph"/>
              <w:tabs>
                <w:tab w:pos="775" w:val="left" w:leader="none"/>
              </w:tabs>
              <w:spacing w:line="133" w:lineRule="exact"/>
              <w:ind w:left="-26"/>
              <w:rPr>
                <w:sz w:val="14"/>
              </w:rPr>
            </w:pPr>
            <w:r>
              <w:rPr>
                <w:spacing w:val="-10"/>
                <w:sz w:val="14"/>
              </w:rPr>
              <w:t>)</w:t>
            </w:r>
            <w:r>
              <w:rPr>
                <w:sz w:val="14"/>
              </w:rPr>
              <w:tab/>
            </w:r>
            <w:r>
              <w:rPr>
                <w:spacing w:val="-5"/>
                <w:sz w:val="14"/>
              </w:rPr>
              <w:t>(7)</w:t>
            </w:r>
          </w:p>
        </w:tc>
      </w:tr>
      <w:tr>
        <w:trPr>
          <w:trHeight w:val="152" w:hRule="atLeast"/>
        </w:trPr>
        <w:tc>
          <w:tcPr>
            <w:tcW w:w="3135" w:type="dxa"/>
            <w:shd w:val="clear" w:color="auto" w:fill="CCEDFF"/>
          </w:tcPr>
          <w:p>
            <w:pPr>
              <w:pStyle w:val="TableParagraph"/>
              <w:spacing w:line="133" w:lineRule="exact"/>
              <w:rPr>
                <w:sz w:val="14"/>
              </w:rPr>
            </w:pPr>
            <w:r>
              <w:rPr>
                <w:sz w:val="14"/>
              </w:rPr>
              <w:t>Amortization</w:t>
            </w:r>
            <w:r>
              <w:rPr>
                <w:spacing w:val="-1"/>
                <w:sz w:val="14"/>
              </w:rPr>
              <w:t> </w:t>
            </w:r>
            <w:r>
              <w:rPr>
                <w:sz w:val="14"/>
              </w:rPr>
              <w:t>of</w:t>
            </w:r>
            <w:r>
              <w:rPr>
                <w:spacing w:val="-1"/>
                <w:sz w:val="14"/>
              </w:rPr>
              <w:t> </w:t>
            </w:r>
            <w:r>
              <w:rPr>
                <w:sz w:val="14"/>
              </w:rPr>
              <w:t>actuarial</w:t>
            </w:r>
            <w:r>
              <w:rPr>
                <w:spacing w:val="-1"/>
                <w:sz w:val="14"/>
              </w:rPr>
              <w:t> </w:t>
            </w:r>
            <w:r>
              <w:rPr>
                <w:sz w:val="14"/>
              </w:rPr>
              <w:t>loss </w:t>
            </w:r>
            <w:r>
              <w:rPr>
                <w:spacing w:val="-2"/>
                <w:sz w:val="14"/>
              </w:rPr>
              <w:t>(gain)</w:t>
            </w:r>
          </w:p>
        </w:tc>
        <w:tc>
          <w:tcPr>
            <w:tcW w:w="941" w:type="dxa"/>
            <w:shd w:val="clear" w:color="auto" w:fill="CCEDFF"/>
          </w:tcPr>
          <w:p>
            <w:pPr>
              <w:pStyle w:val="TableParagraph"/>
              <w:rPr>
                <w:sz w:val="8"/>
              </w:rPr>
            </w:pPr>
          </w:p>
        </w:tc>
        <w:tc>
          <w:tcPr>
            <w:tcW w:w="919" w:type="dxa"/>
            <w:gridSpan w:val="2"/>
            <w:shd w:val="clear" w:color="auto" w:fill="CCEDFF"/>
          </w:tcPr>
          <w:p>
            <w:pPr>
              <w:pStyle w:val="TableParagraph"/>
              <w:rPr>
                <w:sz w:val="8"/>
              </w:rPr>
            </w:pPr>
          </w:p>
        </w:tc>
        <w:tc>
          <w:tcPr>
            <w:tcW w:w="919" w:type="dxa"/>
            <w:gridSpan w:val="2"/>
            <w:shd w:val="clear" w:color="auto" w:fill="CCEDFF"/>
          </w:tcPr>
          <w:p>
            <w:pPr>
              <w:pStyle w:val="TableParagraph"/>
              <w:rPr>
                <w:sz w:val="8"/>
              </w:rPr>
            </w:pPr>
          </w:p>
        </w:tc>
        <w:tc>
          <w:tcPr>
            <w:tcW w:w="919" w:type="dxa"/>
            <w:gridSpan w:val="2"/>
            <w:shd w:val="clear" w:color="auto" w:fill="CCEDFF"/>
          </w:tcPr>
          <w:p>
            <w:pPr>
              <w:pStyle w:val="TableParagraph"/>
              <w:rPr>
                <w:sz w:val="8"/>
              </w:rPr>
            </w:pPr>
          </w:p>
        </w:tc>
        <w:tc>
          <w:tcPr>
            <w:tcW w:w="919" w:type="dxa"/>
            <w:gridSpan w:val="2"/>
            <w:shd w:val="clear" w:color="auto" w:fill="CCEDFF"/>
          </w:tcPr>
          <w:p>
            <w:pPr>
              <w:pStyle w:val="TableParagraph"/>
              <w:rPr>
                <w:sz w:val="8"/>
              </w:rPr>
            </w:pPr>
          </w:p>
        </w:tc>
        <w:tc>
          <w:tcPr>
            <w:tcW w:w="919" w:type="dxa"/>
            <w:gridSpan w:val="2"/>
            <w:shd w:val="clear" w:color="auto" w:fill="CCEDFF"/>
          </w:tcPr>
          <w:p>
            <w:pPr>
              <w:pStyle w:val="TableParagraph"/>
              <w:rPr>
                <w:sz w:val="8"/>
              </w:rPr>
            </w:pPr>
          </w:p>
        </w:tc>
        <w:tc>
          <w:tcPr>
            <w:tcW w:w="919" w:type="dxa"/>
            <w:gridSpan w:val="2"/>
            <w:shd w:val="clear" w:color="auto" w:fill="CCEDFF"/>
          </w:tcPr>
          <w:p>
            <w:pPr>
              <w:pStyle w:val="TableParagraph"/>
              <w:spacing w:line="133" w:lineRule="exact"/>
              <w:ind w:right="21"/>
              <w:jc w:val="right"/>
              <w:rPr>
                <w:b/>
                <w:sz w:val="14"/>
              </w:rPr>
            </w:pPr>
            <w:r>
              <w:rPr>
                <w:b/>
                <w:spacing w:val="-10"/>
                <w:sz w:val="14"/>
              </w:rPr>
              <w:t>2</w:t>
            </w:r>
          </w:p>
        </w:tc>
        <w:tc>
          <w:tcPr>
            <w:tcW w:w="919" w:type="dxa"/>
            <w:gridSpan w:val="2"/>
            <w:shd w:val="clear" w:color="auto" w:fill="CCEDFF"/>
          </w:tcPr>
          <w:p>
            <w:pPr>
              <w:pStyle w:val="TableParagraph"/>
              <w:spacing w:line="133" w:lineRule="exact"/>
              <w:ind w:right="23"/>
              <w:jc w:val="right"/>
              <w:rPr>
                <w:sz w:val="14"/>
              </w:rPr>
            </w:pPr>
            <w:r>
              <w:rPr>
                <w:spacing w:val="-10"/>
                <w:sz w:val="14"/>
              </w:rPr>
              <w:t>1</w:t>
            </w:r>
          </w:p>
        </w:tc>
        <w:tc>
          <w:tcPr>
            <w:tcW w:w="1022" w:type="dxa"/>
            <w:gridSpan w:val="2"/>
            <w:shd w:val="clear" w:color="auto" w:fill="CCEDFF"/>
          </w:tcPr>
          <w:p>
            <w:pPr>
              <w:pStyle w:val="TableParagraph"/>
              <w:spacing w:line="133" w:lineRule="exact"/>
              <w:ind w:right="81"/>
              <w:jc w:val="right"/>
              <w:rPr>
                <w:sz w:val="14"/>
              </w:rPr>
            </w:pPr>
            <w:r>
              <w:rPr>
                <w:spacing w:val="-5"/>
                <w:sz w:val="14"/>
              </w:rPr>
              <w:t>(1)</w:t>
            </w:r>
          </w:p>
        </w:tc>
      </w:tr>
      <w:tr>
        <w:trPr>
          <w:trHeight w:val="146" w:hRule="atLeast"/>
        </w:trPr>
        <w:tc>
          <w:tcPr>
            <w:tcW w:w="3135" w:type="dxa"/>
            <w:tcBorders>
              <w:bottom w:val="single" w:sz="6" w:space="0" w:color="000000"/>
            </w:tcBorders>
          </w:tcPr>
          <w:p>
            <w:pPr>
              <w:pStyle w:val="TableParagraph"/>
              <w:spacing w:line="132" w:lineRule="exact"/>
              <w:rPr>
                <w:sz w:val="14"/>
              </w:rPr>
            </w:pPr>
            <w:r>
              <w:rPr>
                <w:sz w:val="14"/>
              </w:rPr>
              <w:t>Recognition of actuarial </w:t>
            </w:r>
            <w:r>
              <w:rPr>
                <w:spacing w:val="-4"/>
                <w:sz w:val="14"/>
              </w:rPr>
              <w:t>loss</w:t>
            </w:r>
          </w:p>
        </w:tc>
        <w:tc>
          <w:tcPr>
            <w:tcW w:w="941" w:type="dxa"/>
            <w:tcBorders>
              <w:bottom w:val="single" w:sz="6" w:space="0" w:color="000000"/>
            </w:tcBorders>
          </w:tcPr>
          <w:p>
            <w:pPr>
              <w:pStyle w:val="TableParagraph"/>
              <w:spacing w:line="132" w:lineRule="exact"/>
              <w:ind w:right="10"/>
              <w:jc w:val="right"/>
              <w:rPr>
                <w:b/>
                <w:sz w:val="14"/>
              </w:rPr>
            </w:pPr>
            <w:r>
              <w:rPr>
                <w:b/>
                <w:spacing w:val="-5"/>
                <w:sz w:val="14"/>
              </w:rPr>
              <w:t>10</w:t>
            </w:r>
          </w:p>
        </w:tc>
        <w:tc>
          <w:tcPr>
            <w:tcW w:w="919" w:type="dxa"/>
            <w:gridSpan w:val="2"/>
            <w:tcBorders>
              <w:bottom w:val="single" w:sz="6" w:space="0" w:color="000000"/>
            </w:tcBorders>
          </w:tcPr>
          <w:p>
            <w:pPr>
              <w:pStyle w:val="TableParagraph"/>
              <w:spacing w:line="132" w:lineRule="exact"/>
              <w:ind w:right="12"/>
              <w:jc w:val="right"/>
              <w:rPr>
                <w:sz w:val="14"/>
              </w:rPr>
            </w:pPr>
            <w:r>
              <w:rPr>
                <w:spacing w:val="-5"/>
                <w:sz w:val="14"/>
              </w:rPr>
              <w:t>12</w:t>
            </w:r>
          </w:p>
        </w:tc>
        <w:tc>
          <w:tcPr>
            <w:tcW w:w="919" w:type="dxa"/>
            <w:gridSpan w:val="2"/>
            <w:tcBorders>
              <w:bottom w:val="single" w:sz="6" w:space="0" w:color="000000"/>
            </w:tcBorders>
          </w:tcPr>
          <w:p>
            <w:pPr>
              <w:pStyle w:val="TableParagraph"/>
              <w:spacing w:line="132" w:lineRule="exact"/>
              <w:ind w:right="14"/>
              <w:jc w:val="right"/>
              <w:rPr>
                <w:sz w:val="14"/>
              </w:rPr>
            </w:pPr>
            <w:r>
              <w:rPr>
                <w:spacing w:val="-5"/>
                <w:sz w:val="14"/>
              </w:rPr>
              <w:t>66</w:t>
            </w:r>
          </w:p>
        </w:tc>
        <w:tc>
          <w:tcPr>
            <w:tcW w:w="919" w:type="dxa"/>
            <w:gridSpan w:val="2"/>
            <w:tcBorders>
              <w:bottom w:val="single" w:sz="6" w:space="0" w:color="000000"/>
            </w:tcBorders>
          </w:tcPr>
          <w:p>
            <w:pPr>
              <w:pStyle w:val="TableParagraph"/>
              <w:spacing w:line="132" w:lineRule="exact"/>
              <w:ind w:right="15"/>
              <w:jc w:val="right"/>
              <w:rPr>
                <w:b/>
                <w:sz w:val="14"/>
              </w:rPr>
            </w:pPr>
            <w:r>
              <w:rPr>
                <w:b/>
                <w:spacing w:val="-10"/>
                <w:sz w:val="14"/>
              </w:rPr>
              <w:t>1</w:t>
            </w:r>
          </w:p>
        </w:tc>
        <w:tc>
          <w:tcPr>
            <w:tcW w:w="919" w:type="dxa"/>
            <w:gridSpan w:val="2"/>
            <w:tcBorders>
              <w:bottom w:val="single" w:sz="6" w:space="0" w:color="000000"/>
            </w:tcBorders>
          </w:tcPr>
          <w:p>
            <w:pPr>
              <w:pStyle w:val="TableParagraph"/>
              <w:spacing w:line="132" w:lineRule="exact"/>
              <w:ind w:right="17"/>
              <w:jc w:val="right"/>
              <w:rPr>
                <w:sz w:val="14"/>
              </w:rPr>
            </w:pPr>
            <w:r>
              <w:rPr>
                <w:spacing w:val="-5"/>
                <w:sz w:val="14"/>
              </w:rPr>
              <w:t>10</w:t>
            </w:r>
          </w:p>
        </w:tc>
        <w:tc>
          <w:tcPr>
            <w:tcW w:w="919" w:type="dxa"/>
            <w:gridSpan w:val="2"/>
            <w:tcBorders>
              <w:bottom w:val="single" w:sz="6" w:space="0" w:color="000000"/>
            </w:tcBorders>
          </w:tcPr>
          <w:p>
            <w:pPr>
              <w:pStyle w:val="TableParagraph"/>
              <w:spacing w:line="132" w:lineRule="exact"/>
              <w:ind w:right="19"/>
              <w:jc w:val="right"/>
              <w:rPr>
                <w:sz w:val="14"/>
              </w:rPr>
            </w:pPr>
            <w:r>
              <w:rPr>
                <w:spacing w:val="-5"/>
                <w:sz w:val="14"/>
              </w:rPr>
              <w:t>24</w:t>
            </w:r>
          </w:p>
        </w:tc>
        <w:tc>
          <w:tcPr>
            <w:tcW w:w="919" w:type="dxa"/>
            <w:gridSpan w:val="2"/>
            <w:tcBorders>
              <w:bottom w:val="single" w:sz="6" w:space="0" w:color="000000"/>
            </w:tcBorders>
          </w:tcPr>
          <w:p>
            <w:pPr>
              <w:pStyle w:val="TableParagraph"/>
              <w:rPr>
                <w:sz w:val="8"/>
              </w:rPr>
            </w:pPr>
          </w:p>
        </w:tc>
        <w:tc>
          <w:tcPr>
            <w:tcW w:w="919" w:type="dxa"/>
            <w:gridSpan w:val="2"/>
            <w:tcBorders>
              <w:bottom w:val="single" w:sz="6" w:space="0" w:color="000000"/>
            </w:tcBorders>
          </w:tcPr>
          <w:p>
            <w:pPr>
              <w:pStyle w:val="TableParagraph"/>
              <w:rPr>
                <w:sz w:val="8"/>
              </w:rPr>
            </w:pPr>
          </w:p>
        </w:tc>
        <w:tc>
          <w:tcPr>
            <w:tcW w:w="1022" w:type="dxa"/>
            <w:gridSpan w:val="2"/>
            <w:tcBorders>
              <w:bottom w:val="single" w:sz="6" w:space="0" w:color="000000"/>
            </w:tcBorders>
          </w:tcPr>
          <w:p>
            <w:pPr>
              <w:pStyle w:val="TableParagraph"/>
              <w:rPr>
                <w:sz w:val="8"/>
              </w:rPr>
            </w:pPr>
          </w:p>
        </w:tc>
      </w:tr>
      <w:tr>
        <w:trPr>
          <w:trHeight w:val="153" w:hRule="atLeast"/>
        </w:trPr>
        <w:tc>
          <w:tcPr>
            <w:tcW w:w="3135" w:type="dxa"/>
            <w:tcBorders>
              <w:top w:val="single" w:sz="6" w:space="0" w:color="000000"/>
              <w:bottom w:val="single" w:sz="6" w:space="0" w:color="000000"/>
            </w:tcBorders>
            <w:shd w:val="clear" w:color="auto" w:fill="CCEDFF"/>
          </w:tcPr>
          <w:p>
            <w:pPr>
              <w:pStyle w:val="TableParagraph"/>
              <w:spacing w:line="131" w:lineRule="exact"/>
              <w:rPr>
                <w:sz w:val="14"/>
              </w:rPr>
            </w:pPr>
            <w:r>
              <w:rPr>
                <w:sz w:val="14"/>
              </w:rPr>
              <w:t>Total net periodic benefit (income) </w:t>
            </w:r>
            <w:r>
              <w:rPr>
                <w:spacing w:val="-2"/>
                <w:sz w:val="14"/>
              </w:rPr>
              <w:t>expense</w:t>
            </w:r>
          </w:p>
        </w:tc>
        <w:tc>
          <w:tcPr>
            <w:tcW w:w="941" w:type="dxa"/>
            <w:tcBorders>
              <w:top w:val="single" w:sz="6" w:space="0" w:color="000000"/>
              <w:bottom w:val="single" w:sz="6" w:space="0" w:color="000000"/>
            </w:tcBorders>
            <w:shd w:val="clear" w:color="auto" w:fill="CCEDFF"/>
          </w:tcPr>
          <w:p>
            <w:pPr>
              <w:pStyle w:val="TableParagraph"/>
              <w:tabs>
                <w:tab w:pos="513" w:val="left" w:leader="none"/>
              </w:tabs>
              <w:spacing w:line="131" w:lineRule="exact"/>
              <w:ind w:right="10"/>
              <w:jc w:val="right"/>
              <w:rPr>
                <w:b/>
                <w:sz w:val="14"/>
              </w:rPr>
            </w:pPr>
            <w:r>
              <w:rPr>
                <w:b/>
                <w:spacing w:val="-10"/>
                <w:sz w:val="14"/>
              </w:rPr>
              <w:t>$</w:t>
            </w:r>
            <w:r>
              <w:rPr>
                <w:b/>
                <w:sz w:val="14"/>
              </w:rPr>
              <w:tab/>
            </w:r>
            <w:r>
              <w:rPr>
                <w:b/>
                <w:spacing w:val="-5"/>
                <w:sz w:val="14"/>
              </w:rPr>
              <w:t>(15</w:t>
            </w:r>
          </w:p>
        </w:tc>
        <w:tc>
          <w:tcPr>
            <w:tcW w:w="333" w:type="dxa"/>
            <w:tcBorders>
              <w:top w:val="single" w:sz="6" w:space="0" w:color="000000"/>
            </w:tcBorders>
          </w:tcPr>
          <w:p>
            <w:pPr>
              <w:pStyle w:val="TableParagraph"/>
              <w:spacing w:line="134" w:lineRule="exact"/>
              <w:ind w:left="-13" w:right="44"/>
              <w:jc w:val="center"/>
              <w:rPr>
                <w:sz w:val="14"/>
              </w:rPr>
            </w:pPr>
            <w:r>
              <w:rPr/>
              <mc:AlternateContent>
                <mc:Choice Requires="wps">
                  <w:drawing>
                    <wp:anchor distT="0" distB="0" distL="0" distR="0" allowOverlap="1" layoutInCell="1" locked="0" behindDoc="1" simplePos="0" relativeHeight="474128896">
                      <wp:simplePos x="0" y="0"/>
                      <wp:positionH relativeFrom="column">
                        <wp:posOffset>0</wp:posOffset>
                      </wp:positionH>
                      <wp:positionV relativeFrom="paragraph">
                        <wp:posOffset>-718</wp:posOffset>
                      </wp:positionV>
                      <wp:extent cx="218440" cy="105410"/>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218440" cy="105410"/>
                                <a:chExt cx="218440" cy="105410"/>
                              </a:xfrm>
                            </wpg:grpSpPr>
                            <pic:pic>
                              <pic:nvPicPr>
                                <pic:cNvPr id="439" name="Image 439"/>
                                <pic:cNvPicPr/>
                              </pic:nvPicPr>
                              <pic:blipFill>
                                <a:blip r:embed="rId83" cstate="print"/>
                                <a:stretch>
                                  <a:fillRect/>
                                </a:stretch>
                              </pic:blipFill>
                              <pic:spPr>
                                <a:xfrm>
                                  <a:off x="0" y="0"/>
                                  <a:ext cx="217609" cy="104775"/>
                                </a:xfrm>
                                <a:prstGeom prst="rect">
                                  <a:avLst/>
                                </a:prstGeom>
                              </pic:spPr>
                            </pic:pic>
                          </wpg:wgp>
                        </a:graphicData>
                      </a:graphic>
                    </wp:anchor>
                  </w:drawing>
                </mc:Choice>
                <mc:Fallback>
                  <w:pict>
                    <v:group style="position:absolute;margin-left:0pt;margin-top:-.05654pt;width:17.2pt;height:8.3pt;mso-position-horizontal-relative:column;mso-position-vertical-relative:paragraph;z-index:-29187584" id="docshapegroup437" coordorigin="0,-1" coordsize="344,166">
                      <v:shape style="position:absolute;left:0;top:-2;width:343;height:165" type="#_x0000_t75" id="docshape438" stroked="false">
                        <v:imagedata r:id="rId83" o:title=""/>
                      </v:shape>
                      <w10:wrap type="none"/>
                    </v:group>
                  </w:pict>
                </mc:Fallback>
              </mc:AlternateContent>
            </w:r>
            <w:r>
              <w:rPr>
                <w:b/>
                <w:sz w:val="14"/>
              </w:rPr>
              <w:t>)</w:t>
            </w:r>
            <w:r>
              <w:rPr>
                <w:b/>
                <w:spacing w:val="56"/>
                <w:sz w:val="14"/>
              </w:rPr>
              <w:t>  </w:t>
            </w:r>
            <w:r>
              <w:rPr>
                <w:spacing w:val="-10"/>
                <w:sz w:val="14"/>
              </w:rPr>
              <w:t>$</w:t>
            </w:r>
          </w:p>
        </w:tc>
        <w:tc>
          <w:tcPr>
            <w:tcW w:w="586" w:type="dxa"/>
            <w:tcBorders>
              <w:top w:val="single" w:sz="6" w:space="0" w:color="000000"/>
              <w:bottom w:val="single" w:sz="6" w:space="0" w:color="000000"/>
            </w:tcBorders>
            <w:shd w:val="clear" w:color="auto" w:fill="CCEDFF"/>
          </w:tcPr>
          <w:p>
            <w:pPr>
              <w:pStyle w:val="TableParagraph"/>
              <w:spacing w:line="131" w:lineRule="exact"/>
              <w:ind w:right="12"/>
              <w:jc w:val="right"/>
              <w:rPr>
                <w:sz w:val="14"/>
              </w:rPr>
            </w:pPr>
            <w:r>
              <w:rPr>
                <w:spacing w:val="-5"/>
                <w:sz w:val="14"/>
              </w:rPr>
              <w:t>34</w:t>
            </w:r>
          </w:p>
        </w:tc>
        <w:tc>
          <w:tcPr>
            <w:tcW w:w="333" w:type="dxa"/>
            <w:tcBorders>
              <w:top w:val="single" w:sz="6" w:space="0" w:color="000000"/>
            </w:tcBorders>
          </w:tcPr>
          <w:p>
            <w:pPr>
              <w:pStyle w:val="TableParagraph"/>
              <w:spacing w:line="134" w:lineRule="exact"/>
              <w:ind w:right="45"/>
              <w:jc w:val="right"/>
              <w:rPr>
                <w:sz w:val="14"/>
              </w:rPr>
            </w:pPr>
            <w:r>
              <w:rPr/>
              <mc:AlternateContent>
                <mc:Choice Requires="wps">
                  <w:drawing>
                    <wp:anchor distT="0" distB="0" distL="0" distR="0" allowOverlap="1" layoutInCell="1" locked="0" behindDoc="1" simplePos="0" relativeHeight="474129408">
                      <wp:simplePos x="0" y="0"/>
                      <wp:positionH relativeFrom="column">
                        <wp:posOffset>0</wp:posOffset>
                      </wp:positionH>
                      <wp:positionV relativeFrom="paragraph">
                        <wp:posOffset>-718</wp:posOffset>
                      </wp:positionV>
                      <wp:extent cx="218440" cy="105410"/>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218440" cy="105410"/>
                                <a:chExt cx="218440" cy="105410"/>
                              </a:xfrm>
                            </wpg:grpSpPr>
                            <pic:pic>
                              <pic:nvPicPr>
                                <pic:cNvPr id="441" name="Image 441"/>
                                <pic:cNvPicPr/>
                              </pic:nvPicPr>
                              <pic:blipFill>
                                <a:blip r:embed="rId83" cstate="print"/>
                                <a:stretch>
                                  <a:fillRect/>
                                </a:stretch>
                              </pic:blipFill>
                              <pic:spPr>
                                <a:xfrm>
                                  <a:off x="0" y="0"/>
                                  <a:ext cx="217609" cy="104775"/>
                                </a:xfrm>
                                <a:prstGeom prst="rect">
                                  <a:avLst/>
                                </a:prstGeom>
                              </pic:spPr>
                            </pic:pic>
                          </wpg:wgp>
                        </a:graphicData>
                      </a:graphic>
                    </wp:anchor>
                  </w:drawing>
                </mc:Choice>
                <mc:Fallback>
                  <w:pict>
                    <v:group style="position:absolute;margin-left:0pt;margin-top:-.05654pt;width:17.2pt;height:8.3pt;mso-position-horizontal-relative:column;mso-position-vertical-relative:paragraph;z-index:-29187072" id="docshapegroup439" coordorigin="0,-1" coordsize="344,166">
                      <v:shape style="position:absolute;left:0;top:-2;width:343;height:165" type="#_x0000_t75" id="docshape440" stroked="false">
                        <v:imagedata r:id="rId83" o:title=""/>
                      </v:shape>
                      <w10:wrap type="none"/>
                    </v:group>
                  </w:pict>
                </mc:Fallback>
              </mc:AlternateContent>
            </w:r>
            <w:r>
              <w:rPr>
                <w:spacing w:val="-10"/>
                <w:sz w:val="14"/>
              </w:rPr>
              <w:t>$</w:t>
            </w:r>
          </w:p>
        </w:tc>
        <w:tc>
          <w:tcPr>
            <w:tcW w:w="586" w:type="dxa"/>
            <w:tcBorders>
              <w:top w:val="single" w:sz="6" w:space="0" w:color="000000"/>
              <w:bottom w:val="single" w:sz="6" w:space="0" w:color="000000"/>
            </w:tcBorders>
            <w:shd w:val="clear" w:color="auto" w:fill="CCEDFF"/>
          </w:tcPr>
          <w:p>
            <w:pPr>
              <w:pStyle w:val="TableParagraph"/>
              <w:spacing w:line="131" w:lineRule="exact"/>
              <w:ind w:right="14"/>
              <w:jc w:val="right"/>
              <w:rPr>
                <w:sz w:val="14"/>
              </w:rPr>
            </w:pPr>
            <w:r>
              <w:rPr>
                <w:spacing w:val="-5"/>
                <w:sz w:val="14"/>
              </w:rPr>
              <w:t>121</w:t>
            </w:r>
          </w:p>
        </w:tc>
        <w:tc>
          <w:tcPr>
            <w:tcW w:w="333" w:type="dxa"/>
            <w:tcBorders>
              <w:top w:val="single" w:sz="6" w:space="0" w:color="000000"/>
            </w:tcBorders>
          </w:tcPr>
          <w:p>
            <w:pPr>
              <w:pStyle w:val="TableParagraph"/>
              <w:spacing w:line="134" w:lineRule="exact"/>
              <w:ind w:right="47"/>
              <w:jc w:val="right"/>
              <w:rPr>
                <w:b/>
                <w:sz w:val="14"/>
              </w:rPr>
            </w:pPr>
            <w:r>
              <w:rPr/>
              <mc:AlternateContent>
                <mc:Choice Requires="wps">
                  <w:drawing>
                    <wp:anchor distT="0" distB="0" distL="0" distR="0" allowOverlap="1" layoutInCell="1" locked="0" behindDoc="1" simplePos="0" relativeHeight="474129920">
                      <wp:simplePos x="0" y="0"/>
                      <wp:positionH relativeFrom="column">
                        <wp:posOffset>0</wp:posOffset>
                      </wp:positionH>
                      <wp:positionV relativeFrom="paragraph">
                        <wp:posOffset>-718</wp:posOffset>
                      </wp:positionV>
                      <wp:extent cx="218440" cy="105410"/>
                      <wp:effectExtent l="0" t="0" r="0" b="0"/>
                      <wp:wrapNone/>
                      <wp:docPr id="442" name="Group 442"/>
                      <wp:cNvGraphicFramePr>
                        <a:graphicFrameLocks/>
                      </wp:cNvGraphicFramePr>
                      <a:graphic>
                        <a:graphicData uri="http://schemas.microsoft.com/office/word/2010/wordprocessingGroup">
                          <wpg:wgp>
                            <wpg:cNvPr id="442" name="Group 442"/>
                            <wpg:cNvGrpSpPr/>
                            <wpg:grpSpPr>
                              <a:xfrm>
                                <a:off x="0" y="0"/>
                                <a:ext cx="218440" cy="105410"/>
                                <a:chExt cx="218440" cy="105410"/>
                              </a:xfrm>
                            </wpg:grpSpPr>
                            <pic:pic>
                              <pic:nvPicPr>
                                <pic:cNvPr id="443" name="Image 443"/>
                                <pic:cNvPicPr/>
                              </pic:nvPicPr>
                              <pic:blipFill>
                                <a:blip r:embed="rId83" cstate="print"/>
                                <a:stretch>
                                  <a:fillRect/>
                                </a:stretch>
                              </pic:blipFill>
                              <pic:spPr>
                                <a:xfrm>
                                  <a:off x="0" y="0"/>
                                  <a:ext cx="217609" cy="104775"/>
                                </a:xfrm>
                                <a:prstGeom prst="rect">
                                  <a:avLst/>
                                </a:prstGeom>
                              </pic:spPr>
                            </pic:pic>
                          </wpg:wgp>
                        </a:graphicData>
                      </a:graphic>
                    </wp:anchor>
                  </w:drawing>
                </mc:Choice>
                <mc:Fallback>
                  <w:pict>
                    <v:group style="position:absolute;margin-left:0pt;margin-top:-.05654pt;width:17.2pt;height:8.3pt;mso-position-horizontal-relative:column;mso-position-vertical-relative:paragraph;z-index:-29186560" id="docshapegroup441" coordorigin="0,-1" coordsize="344,166">
                      <v:shape style="position:absolute;left:0;top:-2;width:343;height:165" type="#_x0000_t75" id="docshape442" stroked="false">
                        <v:imagedata r:id="rId83" o:title=""/>
                      </v:shape>
                      <w10:wrap type="none"/>
                    </v:group>
                  </w:pict>
                </mc:Fallback>
              </mc:AlternateContent>
            </w:r>
            <w:r>
              <w:rPr>
                <w:b/>
                <w:spacing w:val="-10"/>
                <w:sz w:val="14"/>
              </w:rPr>
              <w:t>$</w:t>
            </w:r>
          </w:p>
        </w:tc>
        <w:tc>
          <w:tcPr>
            <w:tcW w:w="586" w:type="dxa"/>
            <w:tcBorders>
              <w:top w:val="single" w:sz="6" w:space="0" w:color="000000"/>
              <w:bottom w:val="single" w:sz="6" w:space="0" w:color="000000"/>
            </w:tcBorders>
            <w:shd w:val="clear" w:color="auto" w:fill="CCEDFF"/>
          </w:tcPr>
          <w:p>
            <w:pPr>
              <w:pStyle w:val="TableParagraph"/>
              <w:spacing w:line="131" w:lineRule="exact"/>
              <w:ind w:right="15"/>
              <w:jc w:val="right"/>
              <w:rPr>
                <w:b/>
                <w:sz w:val="14"/>
              </w:rPr>
            </w:pPr>
            <w:r>
              <w:rPr>
                <w:b/>
                <w:spacing w:val="-5"/>
                <w:sz w:val="14"/>
              </w:rPr>
              <w:t>28</w:t>
            </w:r>
          </w:p>
        </w:tc>
        <w:tc>
          <w:tcPr>
            <w:tcW w:w="333" w:type="dxa"/>
            <w:tcBorders>
              <w:top w:val="single" w:sz="6" w:space="0" w:color="000000"/>
            </w:tcBorders>
          </w:tcPr>
          <w:p>
            <w:pPr>
              <w:pStyle w:val="TableParagraph"/>
              <w:spacing w:line="134" w:lineRule="exact"/>
              <w:ind w:right="49"/>
              <w:jc w:val="right"/>
              <w:rPr>
                <w:sz w:val="14"/>
              </w:rPr>
            </w:pPr>
            <w:r>
              <w:rPr/>
              <mc:AlternateContent>
                <mc:Choice Requires="wps">
                  <w:drawing>
                    <wp:anchor distT="0" distB="0" distL="0" distR="0" allowOverlap="1" layoutInCell="1" locked="0" behindDoc="1" simplePos="0" relativeHeight="474130432">
                      <wp:simplePos x="0" y="0"/>
                      <wp:positionH relativeFrom="column">
                        <wp:posOffset>0</wp:posOffset>
                      </wp:positionH>
                      <wp:positionV relativeFrom="paragraph">
                        <wp:posOffset>-718</wp:posOffset>
                      </wp:positionV>
                      <wp:extent cx="218440" cy="105410"/>
                      <wp:effectExtent l="0" t="0" r="0" b="0"/>
                      <wp:wrapNone/>
                      <wp:docPr id="444" name="Group 444"/>
                      <wp:cNvGraphicFramePr>
                        <a:graphicFrameLocks/>
                      </wp:cNvGraphicFramePr>
                      <a:graphic>
                        <a:graphicData uri="http://schemas.microsoft.com/office/word/2010/wordprocessingGroup">
                          <wpg:wgp>
                            <wpg:cNvPr id="444" name="Group 444"/>
                            <wpg:cNvGrpSpPr/>
                            <wpg:grpSpPr>
                              <a:xfrm>
                                <a:off x="0" y="0"/>
                                <a:ext cx="218440" cy="105410"/>
                                <a:chExt cx="218440" cy="105410"/>
                              </a:xfrm>
                            </wpg:grpSpPr>
                            <pic:pic>
                              <pic:nvPicPr>
                                <pic:cNvPr id="445" name="Image 445"/>
                                <pic:cNvPicPr/>
                              </pic:nvPicPr>
                              <pic:blipFill>
                                <a:blip r:embed="rId83" cstate="print"/>
                                <a:stretch>
                                  <a:fillRect/>
                                </a:stretch>
                              </pic:blipFill>
                              <pic:spPr>
                                <a:xfrm>
                                  <a:off x="0" y="0"/>
                                  <a:ext cx="217609" cy="104775"/>
                                </a:xfrm>
                                <a:prstGeom prst="rect">
                                  <a:avLst/>
                                </a:prstGeom>
                              </pic:spPr>
                            </pic:pic>
                          </wpg:wgp>
                        </a:graphicData>
                      </a:graphic>
                    </wp:anchor>
                  </w:drawing>
                </mc:Choice>
                <mc:Fallback>
                  <w:pict>
                    <v:group style="position:absolute;margin-left:0pt;margin-top:-.05654pt;width:17.2pt;height:8.3pt;mso-position-horizontal-relative:column;mso-position-vertical-relative:paragraph;z-index:-29186048" id="docshapegroup443" coordorigin="0,-1" coordsize="344,166">
                      <v:shape style="position:absolute;left:0;top:-2;width:343;height:165" type="#_x0000_t75" id="docshape444" stroked="false">
                        <v:imagedata r:id="rId83" o:title=""/>
                      </v:shape>
                      <w10:wrap type="none"/>
                    </v:group>
                  </w:pict>
                </mc:Fallback>
              </mc:AlternateContent>
            </w:r>
            <w:r>
              <w:rPr>
                <w:spacing w:val="-10"/>
                <w:sz w:val="14"/>
              </w:rPr>
              <w:t>$</w:t>
            </w:r>
          </w:p>
        </w:tc>
        <w:tc>
          <w:tcPr>
            <w:tcW w:w="586" w:type="dxa"/>
            <w:tcBorders>
              <w:top w:val="single" w:sz="6" w:space="0" w:color="000000"/>
              <w:bottom w:val="single" w:sz="6" w:space="0" w:color="000000"/>
            </w:tcBorders>
            <w:shd w:val="clear" w:color="auto" w:fill="CCEDFF"/>
          </w:tcPr>
          <w:p>
            <w:pPr>
              <w:pStyle w:val="TableParagraph"/>
              <w:spacing w:line="131" w:lineRule="exact"/>
              <w:ind w:right="17"/>
              <w:jc w:val="right"/>
              <w:rPr>
                <w:sz w:val="14"/>
              </w:rPr>
            </w:pPr>
            <w:r>
              <w:rPr>
                <w:spacing w:val="-5"/>
                <w:sz w:val="14"/>
              </w:rPr>
              <w:t>38</w:t>
            </w:r>
          </w:p>
        </w:tc>
        <w:tc>
          <w:tcPr>
            <w:tcW w:w="333" w:type="dxa"/>
            <w:tcBorders>
              <w:top w:val="single" w:sz="6" w:space="0" w:color="000000"/>
            </w:tcBorders>
          </w:tcPr>
          <w:p>
            <w:pPr>
              <w:pStyle w:val="TableParagraph"/>
              <w:spacing w:line="134" w:lineRule="exact"/>
              <w:ind w:right="51"/>
              <w:jc w:val="right"/>
              <w:rPr>
                <w:sz w:val="14"/>
              </w:rPr>
            </w:pPr>
            <w:r>
              <w:rPr/>
              <mc:AlternateContent>
                <mc:Choice Requires="wps">
                  <w:drawing>
                    <wp:anchor distT="0" distB="0" distL="0" distR="0" allowOverlap="1" layoutInCell="1" locked="0" behindDoc="1" simplePos="0" relativeHeight="474130944">
                      <wp:simplePos x="0" y="0"/>
                      <wp:positionH relativeFrom="column">
                        <wp:posOffset>0</wp:posOffset>
                      </wp:positionH>
                      <wp:positionV relativeFrom="paragraph">
                        <wp:posOffset>-718</wp:posOffset>
                      </wp:positionV>
                      <wp:extent cx="218440" cy="105410"/>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218440" cy="105410"/>
                                <a:chExt cx="218440" cy="105410"/>
                              </a:xfrm>
                            </wpg:grpSpPr>
                            <pic:pic>
                              <pic:nvPicPr>
                                <pic:cNvPr id="447" name="Image 447"/>
                                <pic:cNvPicPr/>
                              </pic:nvPicPr>
                              <pic:blipFill>
                                <a:blip r:embed="rId84" cstate="print"/>
                                <a:stretch>
                                  <a:fillRect/>
                                </a:stretch>
                              </pic:blipFill>
                              <pic:spPr>
                                <a:xfrm>
                                  <a:off x="0" y="0"/>
                                  <a:ext cx="217609" cy="104775"/>
                                </a:xfrm>
                                <a:prstGeom prst="rect">
                                  <a:avLst/>
                                </a:prstGeom>
                              </pic:spPr>
                            </pic:pic>
                          </wpg:wgp>
                        </a:graphicData>
                      </a:graphic>
                    </wp:anchor>
                  </w:drawing>
                </mc:Choice>
                <mc:Fallback>
                  <w:pict>
                    <v:group style="position:absolute;margin-left:0pt;margin-top:-.05654pt;width:17.2pt;height:8.3pt;mso-position-horizontal-relative:column;mso-position-vertical-relative:paragraph;z-index:-29185536" id="docshapegroup445" coordorigin="0,-1" coordsize="344,166">
                      <v:shape style="position:absolute;left:0;top:-2;width:343;height:165" type="#_x0000_t75" id="docshape446" stroked="false">
                        <v:imagedata r:id="rId84" o:title=""/>
                      </v:shape>
                      <w10:wrap type="none"/>
                    </v:group>
                  </w:pict>
                </mc:Fallback>
              </mc:AlternateContent>
            </w:r>
            <w:r>
              <w:rPr>
                <w:spacing w:val="-10"/>
                <w:sz w:val="14"/>
              </w:rPr>
              <w:t>$</w:t>
            </w:r>
          </w:p>
        </w:tc>
        <w:tc>
          <w:tcPr>
            <w:tcW w:w="586" w:type="dxa"/>
            <w:tcBorders>
              <w:top w:val="single" w:sz="6" w:space="0" w:color="000000"/>
              <w:bottom w:val="single" w:sz="6" w:space="0" w:color="000000"/>
            </w:tcBorders>
            <w:shd w:val="clear" w:color="auto" w:fill="CCEDFF"/>
          </w:tcPr>
          <w:p>
            <w:pPr>
              <w:pStyle w:val="TableParagraph"/>
              <w:spacing w:line="131" w:lineRule="exact"/>
              <w:ind w:right="19"/>
              <w:jc w:val="right"/>
              <w:rPr>
                <w:sz w:val="14"/>
              </w:rPr>
            </w:pPr>
            <w:r>
              <w:rPr>
                <w:spacing w:val="-5"/>
                <w:sz w:val="14"/>
              </w:rPr>
              <w:t>53</w:t>
            </w:r>
          </w:p>
        </w:tc>
        <w:tc>
          <w:tcPr>
            <w:tcW w:w="333" w:type="dxa"/>
            <w:tcBorders>
              <w:top w:val="single" w:sz="6" w:space="0" w:color="000000"/>
            </w:tcBorders>
          </w:tcPr>
          <w:p>
            <w:pPr>
              <w:pStyle w:val="TableParagraph"/>
              <w:spacing w:line="134" w:lineRule="exact"/>
              <w:ind w:left="152"/>
              <w:jc w:val="center"/>
              <w:rPr>
                <w:b/>
                <w:sz w:val="14"/>
              </w:rPr>
            </w:pPr>
            <w:r>
              <w:rPr/>
              <mc:AlternateContent>
                <mc:Choice Requires="wps">
                  <w:drawing>
                    <wp:anchor distT="0" distB="0" distL="0" distR="0" allowOverlap="1" layoutInCell="1" locked="0" behindDoc="1" simplePos="0" relativeHeight="474131456">
                      <wp:simplePos x="0" y="0"/>
                      <wp:positionH relativeFrom="column">
                        <wp:posOffset>0</wp:posOffset>
                      </wp:positionH>
                      <wp:positionV relativeFrom="paragraph">
                        <wp:posOffset>-718</wp:posOffset>
                      </wp:positionV>
                      <wp:extent cx="218440" cy="105410"/>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218440" cy="105410"/>
                                <a:chExt cx="218440" cy="105410"/>
                              </a:xfrm>
                            </wpg:grpSpPr>
                            <pic:pic>
                              <pic:nvPicPr>
                                <pic:cNvPr id="449" name="Image 449"/>
                                <pic:cNvPicPr/>
                              </pic:nvPicPr>
                              <pic:blipFill>
                                <a:blip r:embed="rId83" cstate="print"/>
                                <a:stretch>
                                  <a:fillRect/>
                                </a:stretch>
                              </pic:blipFill>
                              <pic:spPr>
                                <a:xfrm>
                                  <a:off x="0" y="0"/>
                                  <a:ext cx="217609" cy="104775"/>
                                </a:xfrm>
                                <a:prstGeom prst="rect">
                                  <a:avLst/>
                                </a:prstGeom>
                              </pic:spPr>
                            </pic:pic>
                          </wpg:wgp>
                        </a:graphicData>
                      </a:graphic>
                    </wp:anchor>
                  </w:drawing>
                </mc:Choice>
                <mc:Fallback>
                  <w:pict>
                    <v:group style="position:absolute;margin-left:0pt;margin-top:-.05654pt;width:17.2pt;height:8.3pt;mso-position-horizontal-relative:column;mso-position-vertical-relative:paragraph;z-index:-29185024" id="docshapegroup447" coordorigin="0,-1" coordsize="344,166">
                      <v:shape style="position:absolute;left:0;top:-2;width:343;height:165" type="#_x0000_t75" id="docshape448" stroked="false">
                        <v:imagedata r:id="rId83" o:title=""/>
                      </v:shape>
                      <w10:wrap type="none"/>
                    </v:group>
                  </w:pict>
                </mc:Fallback>
              </mc:AlternateContent>
            </w:r>
            <w:r>
              <w:rPr>
                <w:b/>
                <w:spacing w:val="-10"/>
                <w:sz w:val="14"/>
              </w:rPr>
              <w:t>$</w:t>
            </w:r>
          </w:p>
        </w:tc>
        <w:tc>
          <w:tcPr>
            <w:tcW w:w="586" w:type="dxa"/>
            <w:tcBorders>
              <w:top w:val="single" w:sz="6" w:space="0" w:color="000000"/>
              <w:bottom w:val="single" w:sz="6" w:space="0" w:color="000000"/>
            </w:tcBorders>
            <w:shd w:val="clear" w:color="auto" w:fill="CCEDFF"/>
          </w:tcPr>
          <w:p>
            <w:pPr>
              <w:pStyle w:val="TableParagraph"/>
              <w:spacing w:line="131" w:lineRule="exact"/>
              <w:ind w:right="21"/>
              <w:jc w:val="right"/>
              <w:rPr>
                <w:b/>
                <w:sz w:val="14"/>
              </w:rPr>
            </w:pPr>
            <w:r>
              <w:rPr>
                <w:b/>
                <w:spacing w:val="-5"/>
                <w:sz w:val="14"/>
              </w:rPr>
              <w:t>21</w:t>
            </w:r>
          </w:p>
        </w:tc>
        <w:tc>
          <w:tcPr>
            <w:tcW w:w="333" w:type="dxa"/>
            <w:tcBorders>
              <w:top w:val="single" w:sz="6" w:space="0" w:color="000000"/>
            </w:tcBorders>
          </w:tcPr>
          <w:p>
            <w:pPr>
              <w:pStyle w:val="TableParagraph"/>
              <w:spacing w:line="134" w:lineRule="exact"/>
              <w:ind w:right="55"/>
              <w:jc w:val="right"/>
              <w:rPr>
                <w:sz w:val="14"/>
              </w:rPr>
            </w:pPr>
            <w:r>
              <w:rPr/>
              <mc:AlternateContent>
                <mc:Choice Requires="wps">
                  <w:drawing>
                    <wp:anchor distT="0" distB="0" distL="0" distR="0" allowOverlap="1" layoutInCell="1" locked="0" behindDoc="1" simplePos="0" relativeHeight="474131968">
                      <wp:simplePos x="0" y="0"/>
                      <wp:positionH relativeFrom="column">
                        <wp:posOffset>0</wp:posOffset>
                      </wp:positionH>
                      <wp:positionV relativeFrom="paragraph">
                        <wp:posOffset>-718</wp:posOffset>
                      </wp:positionV>
                      <wp:extent cx="218440" cy="105410"/>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218440" cy="105410"/>
                                <a:chExt cx="218440" cy="105410"/>
                              </a:xfrm>
                            </wpg:grpSpPr>
                            <pic:pic>
                              <pic:nvPicPr>
                                <pic:cNvPr id="451" name="Image 451"/>
                                <pic:cNvPicPr/>
                              </pic:nvPicPr>
                              <pic:blipFill>
                                <a:blip r:embed="rId83" cstate="print"/>
                                <a:stretch>
                                  <a:fillRect/>
                                </a:stretch>
                              </pic:blipFill>
                              <pic:spPr>
                                <a:xfrm>
                                  <a:off x="0" y="0"/>
                                  <a:ext cx="217609" cy="104775"/>
                                </a:xfrm>
                                <a:prstGeom prst="rect">
                                  <a:avLst/>
                                </a:prstGeom>
                              </pic:spPr>
                            </pic:pic>
                          </wpg:wgp>
                        </a:graphicData>
                      </a:graphic>
                    </wp:anchor>
                  </w:drawing>
                </mc:Choice>
                <mc:Fallback>
                  <w:pict>
                    <v:group style="position:absolute;margin-left:0pt;margin-top:-.05654pt;width:17.2pt;height:8.3pt;mso-position-horizontal-relative:column;mso-position-vertical-relative:paragraph;z-index:-29184512" id="docshapegroup449" coordorigin="0,-1" coordsize="344,166">
                      <v:shape style="position:absolute;left:0;top:-2;width:343;height:165" type="#_x0000_t75" id="docshape450" stroked="false">
                        <v:imagedata r:id="rId83" o:title=""/>
                      </v:shape>
                      <w10:wrap type="none"/>
                    </v:group>
                  </w:pict>
                </mc:Fallback>
              </mc:AlternateContent>
            </w:r>
            <w:r>
              <w:rPr>
                <w:spacing w:val="-10"/>
                <w:sz w:val="14"/>
              </w:rPr>
              <w:t>$</w:t>
            </w:r>
          </w:p>
        </w:tc>
        <w:tc>
          <w:tcPr>
            <w:tcW w:w="586" w:type="dxa"/>
            <w:tcBorders>
              <w:top w:val="single" w:sz="6" w:space="0" w:color="000000"/>
              <w:bottom w:val="single" w:sz="6" w:space="0" w:color="000000"/>
            </w:tcBorders>
            <w:shd w:val="clear" w:color="auto" w:fill="CCEDFF"/>
          </w:tcPr>
          <w:p>
            <w:pPr>
              <w:pStyle w:val="TableParagraph"/>
              <w:spacing w:line="134" w:lineRule="exact"/>
              <w:ind w:right="23"/>
              <w:jc w:val="right"/>
              <w:rPr>
                <w:sz w:val="14"/>
              </w:rPr>
            </w:pPr>
            <w:r>
              <w:rPr>
                <w:spacing w:val="-5"/>
                <w:sz w:val="14"/>
              </w:rPr>
              <w:t>25</w:t>
            </w:r>
          </w:p>
        </w:tc>
        <w:tc>
          <w:tcPr>
            <w:tcW w:w="333" w:type="dxa"/>
            <w:tcBorders>
              <w:top w:val="single" w:sz="6" w:space="0" w:color="000000"/>
            </w:tcBorders>
          </w:tcPr>
          <w:p>
            <w:pPr>
              <w:pStyle w:val="TableParagraph"/>
              <w:spacing w:line="134" w:lineRule="exact"/>
              <w:ind w:left="152" w:right="7"/>
              <w:jc w:val="center"/>
              <w:rPr>
                <w:sz w:val="14"/>
              </w:rPr>
            </w:pPr>
            <w:r>
              <w:rPr/>
              <mc:AlternateContent>
                <mc:Choice Requires="wps">
                  <w:drawing>
                    <wp:anchor distT="0" distB="0" distL="0" distR="0" allowOverlap="1" layoutInCell="1" locked="0" behindDoc="1" simplePos="0" relativeHeight="474132480">
                      <wp:simplePos x="0" y="0"/>
                      <wp:positionH relativeFrom="column">
                        <wp:posOffset>0</wp:posOffset>
                      </wp:positionH>
                      <wp:positionV relativeFrom="paragraph">
                        <wp:posOffset>-718</wp:posOffset>
                      </wp:positionV>
                      <wp:extent cx="218440" cy="105410"/>
                      <wp:effectExtent l="0" t="0" r="0" b="0"/>
                      <wp:wrapNone/>
                      <wp:docPr id="452" name="Group 452"/>
                      <wp:cNvGraphicFramePr>
                        <a:graphicFrameLocks/>
                      </wp:cNvGraphicFramePr>
                      <a:graphic>
                        <a:graphicData uri="http://schemas.microsoft.com/office/word/2010/wordprocessingGroup">
                          <wpg:wgp>
                            <wpg:cNvPr id="452" name="Group 452"/>
                            <wpg:cNvGrpSpPr/>
                            <wpg:grpSpPr>
                              <a:xfrm>
                                <a:off x="0" y="0"/>
                                <a:ext cx="218440" cy="105410"/>
                                <a:chExt cx="218440" cy="105410"/>
                              </a:xfrm>
                            </wpg:grpSpPr>
                            <pic:pic>
                              <pic:nvPicPr>
                                <pic:cNvPr id="453" name="Image 453"/>
                                <pic:cNvPicPr/>
                              </pic:nvPicPr>
                              <pic:blipFill>
                                <a:blip r:embed="rId83" cstate="print"/>
                                <a:stretch>
                                  <a:fillRect/>
                                </a:stretch>
                              </pic:blipFill>
                              <pic:spPr>
                                <a:xfrm>
                                  <a:off x="0" y="0"/>
                                  <a:ext cx="217609" cy="104775"/>
                                </a:xfrm>
                                <a:prstGeom prst="rect">
                                  <a:avLst/>
                                </a:prstGeom>
                              </pic:spPr>
                            </pic:pic>
                          </wpg:wgp>
                        </a:graphicData>
                      </a:graphic>
                    </wp:anchor>
                  </w:drawing>
                </mc:Choice>
                <mc:Fallback>
                  <w:pict>
                    <v:group style="position:absolute;margin-left:0pt;margin-top:-.05654pt;width:17.2pt;height:8.3pt;mso-position-horizontal-relative:column;mso-position-vertical-relative:paragraph;z-index:-29184000" id="docshapegroup451" coordorigin="0,-1" coordsize="344,166">
                      <v:shape style="position:absolute;left:0;top:-2;width:343;height:165" type="#_x0000_t75" id="docshape452" stroked="false">
                        <v:imagedata r:id="rId83" o:title=""/>
                      </v:shape>
                      <w10:wrap type="none"/>
                    </v:group>
                  </w:pict>
                </mc:Fallback>
              </mc:AlternateContent>
            </w:r>
            <w:r>
              <w:rPr>
                <w:spacing w:val="-10"/>
                <w:sz w:val="14"/>
              </w:rPr>
              <w:t>$</w:t>
            </w:r>
          </w:p>
        </w:tc>
        <w:tc>
          <w:tcPr>
            <w:tcW w:w="689" w:type="dxa"/>
            <w:tcBorders>
              <w:top w:val="single" w:sz="6" w:space="0" w:color="000000"/>
            </w:tcBorders>
            <w:shd w:val="clear" w:color="auto" w:fill="CCEDFF"/>
          </w:tcPr>
          <w:p>
            <w:pPr>
              <w:pStyle w:val="TableParagraph"/>
              <w:tabs>
                <w:tab w:pos="418" w:val="left" w:leader="none"/>
              </w:tabs>
              <w:spacing w:line="134" w:lineRule="exact"/>
              <w:ind w:left="-15" w:right="13"/>
              <w:jc w:val="center"/>
              <w:rPr>
                <w:sz w:val="14"/>
              </w:rPr>
            </w:pPr>
            <w:r>
              <w:rPr>
                <w:sz w:val="14"/>
                <w:u w:val="single"/>
              </w:rPr>
              <w:tab/>
            </w:r>
            <w:r>
              <w:rPr>
                <w:spacing w:val="-5"/>
                <w:sz w:val="14"/>
                <w:u w:val="single"/>
              </w:rPr>
              <w:t>28</w:t>
            </w:r>
            <w:r>
              <w:rPr>
                <w:spacing w:val="40"/>
                <w:sz w:val="14"/>
                <w:u w:val="single"/>
              </w:rPr>
              <w:t> </w:t>
            </w:r>
          </w:p>
        </w:tc>
      </w:tr>
      <w:tr>
        <w:trPr>
          <w:trHeight w:val="147" w:hRule="atLeast"/>
        </w:trPr>
        <w:tc>
          <w:tcPr>
            <w:tcW w:w="3135" w:type="dxa"/>
            <w:tcBorders>
              <w:top w:val="single" w:sz="6" w:space="0" w:color="000000"/>
              <w:bottom w:val="single" w:sz="6" w:space="0" w:color="000000"/>
            </w:tcBorders>
          </w:tcPr>
          <w:p>
            <w:pPr>
              <w:pStyle w:val="TableParagraph"/>
              <w:spacing w:line="131" w:lineRule="exact"/>
              <w:rPr>
                <w:sz w:val="14"/>
              </w:rPr>
            </w:pPr>
            <w:r>
              <w:rPr>
                <w:sz w:val="14"/>
              </w:rPr>
              <w:t>Special termination benefit </w:t>
            </w:r>
            <w:r>
              <w:rPr>
                <w:spacing w:val="-2"/>
                <w:sz w:val="14"/>
              </w:rPr>
              <w:t>charge</w:t>
            </w:r>
          </w:p>
        </w:tc>
        <w:tc>
          <w:tcPr>
            <w:tcW w:w="941" w:type="dxa"/>
            <w:tcBorders>
              <w:top w:val="single" w:sz="6" w:space="0" w:color="000000"/>
              <w:bottom w:val="single" w:sz="6" w:space="0" w:color="000000"/>
            </w:tcBorders>
          </w:tcPr>
          <w:p>
            <w:pPr>
              <w:pStyle w:val="TableParagraph"/>
              <w:rPr>
                <w:sz w:val="8"/>
              </w:rPr>
            </w:pPr>
          </w:p>
        </w:tc>
        <w:tc>
          <w:tcPr>
            <w:tcW w:w="919" w:type="dxa"/>
            <w:gridSpan w:val="2"/>
            <w:tcBorders>
              <w:bottom w:val="single" w:sz="6" w:space="0" w:color="000000"/>
            </w:tcBorders>
          </w:tcPr>
          <w:p>
            <w:pPr>
              <w:pStyle w:val="TableParagraph"/>
              <w:spacing w:line="131" w:lineRule="exact"/>
              <w:ind w:right="12"/>
              <w:jc w:val="right"/>
              <w:rPr>
                <w:sz w:val="14"/>
              </w:rPr>
            </w:pPr>
            <w:r>
              <w:rPr>
                <w:spacing w:val="-10"/>
                <w:sz w:val="14"/>
              </w:rPr>
              <w:t>8</w:t>
            </w:r>
          </w:p>
        </w:tc>
        <w:tc>
          <w:tcPr>
            <w:tcW w:w="919" w:type="dxa"/>
            <w:gridSpan w:val="2"/>
            <w:tcBorders>
              <w:bottom w:val="single" w:sz="6" w:space="0" w:color="000000"/>
            </w:tcBorders>
          </w:tcPr>
          <w:p>
            <w:pPr>
              <w:pStyle w:val="TableParagraph"/>
              <w:spacing w:line="131" w:lineRule="exact"/>
              <w:ind w:right="14"/>
              <w:jc w:val="right"/>
              <w:rPr>
                <w:sz w:val="14"/>
              </w:rPr>
            </w:pPr>
            <w:r>
              <w:rPr>
                <w:spacing w:val="-10"/>
                <w:sz w:val="14"/>
              </w:rPr>
              <w:t>6</w:t>
            </w:r>
          </w:p>
        </w:tc>
        <w:tc>
          <w:tcPr>
            <w:tcW w:w="919" w:type="dxa"/>
            <w:gridSpan w:val="2"/>
            <w:tcBorders>
              <w:bottom w:val="single" w:sz="6" w:space="0" w:color="000000"/>
            </w:tcBorders>
          </w:tcPr>
          <w:p>
            <w:pPr>
              <w:pStyle w:val="TableParagraph"/>
              <w:rPr>
                <w:sz w:val="8"/>
              </w:rPr>
            </w:pPr>
          </w:p>
        </w:tc>
        <w:tc>
          <w:tcPr>
            <w:tcW w:w="919" w:type="dxa"/>
            <w:gridSpan w:val="2"/>
            <w:tcBorders>
              <w:bottom w:val="single" w:sz="6" w:space="0" w:color="000000"/>
            </w:tcBorders>
          </w:tcPr>
          <w:p>
            <w:pPr>
              <w:pStyle w:val="TableParagraph"/>
              <w:rPr>
                <w:sz w:val="8"/>
              </w:rPr>
            </w:pPr>
          </w:p>
        </w:tc>
        <w:tc>
          <w:tcPr>
            <w:tcW w:w="919" w:type="dxa"/>
            <w:gridSpan w:val="2"/>
            <w:tcBorders>
              <w:bottom w:val="single" w:sz="6" w:space="0" w:color="000000"/>
            </w:tcBorders>
          </w:tcPr>
          <w:p>
            <w:pPr>
              <w:pStyle w:val="TableParagraph"/>
              <w:rPr>
                <w:sz w:val="8"/>
              </w:rPr>
            </w:pPr>
          </w:p>
        </w:tc>
        <w:tc>
          <w:tcPr>
            <w:tcW w:w="919" w:type="dxa"/>
            <w:gridSpan w:val="2"/>
            <w:tcBorders>
              <w:bottom w:val="single" w:sz="6" w:space="0" w:color="000000"/>
            </w:tcBorders>
          </w:tcPr>
          <w:p>
            <w:pPr>
              <w:pStyle w:val="TableParagraph"/>
              <w:rPr>
                <w:sz w:val="8"/>
              </w:rPr>
            </w:pPr>
          </w:p>
        </w:tc>
        <w:tc>
          <w:tcPr>
            <w:tcW w:w="919" w:type="dxa"/>
            <w:gridSpan w:val="2"/>
            <w:tcBorders>
              <w:bottom w:val="single" w:sz="6" w:space="0" w:color="000000"/>
            </w:tcBorders>
          </w:tcPr>
          <w:p>
            <w:pPr>
              <w:pStyle w:val="TableParagraph"/>
              <w:spacing w:line="127" w:lineRule="exact"/>
              <w:ind w:right="23"/>
              <w:jc w:val="right"/>
              <w:rPr>
                <w:sz w:val="14"/>
              </w:rPr>
            </w:pPr>
            <w:r>
              <w:rPr>
                <w:spacing w:val="-10"/>
                <w:sz w:val="14"/>
              </w:rPr>
              <w:t>1</w:t>
            </w:r>
          </w:p>
        </w:tc>
        <w:tc>
          <w:tcPr>
            <w:tcW w:w="1022" w:type="dxa"/>
            <w:gridSpan w:val="2"/>
            <w:tcBorders>
              <w:bottom w:val="single" w:sz="6" w:space="0" w:color="000000"/>
            </w:tcBorders>
          </w:tcPr>
          <w:p>
            <w:pPr>
              <w:pStyle w:val="TableParagraph"/>
              <w:spacing w:line="127" w:lineRule="exact"/>
              <w:ind w:right="128"/>
              <w:jc w:val="right"/>
              <w:rPr>
                <w:sz w:val="14"/>
              </w:rPr>
            </w:pPr>
            <w:r>
              <w:rPr>
                <w:spacing w:val="-10"/>
                <w:sz w:val="14"/>
              </w:rPr>
              <w:t>1</w:t>
            </w:r>
          </w:p>
        </w:tc>
      </w:tr>
      <w:tr>
        <w:trPr>
          <w:trHeight w:val="153" w:hRule="atLeast"/>
        </w:trPr>
        <w:tc>
          <w:tcPr>
            <w:tcW w:w="3135" w:type="dxa"/>
            <w:tcBorders>
              <w:top w:val="single" w:sz="6" w:space="0" w:color="000000"/>
              <w:bottom w:val="double" w:sz="6" w:space="0" w:color="000000"/>
            </w:tcBorders>
            <w:shd w:val="clear" w:color="auto" w:fill="CCEDFF"/>
          </w:tcPr>
          <w:p>
            <w:pPr>
              <w:pStyle w:val="TableParagraph"/>
              <w:spacing w:line="128" w:lineRule="exact"/>
              <w:rPr>
                <w:sz w:val="14"/>
              </w:rPr>
            </w:pPr>
            <w:r>
              <w:rPr>
                <w:sz w:val="14"/>
              </w:rPr>
              <w:t>Total (income) </w:t>
            </w:r>
            <w:r>
              <w:rPr>
                <w:spacing w:val="-2"/>
                <w:sz w:val="14"/>
              </w:rPr>
              <w:t>expense</w:t>
            </w:r>
          </w:p>
        </w:tc>
        <w:tc>
          <w:tcPr>
            <w:tcW w:w="941" w:type="dxa"/>
            <w:tcBorders>
              <w:top w:val="single" w:sz="6" w:space="0" w:color="000000"/>
              <w:bottom w:val="double" w:sz="6" w:space="0" w:color="000000"/>
            </w:tcBorders>
            <w:shd w:val="clear" w:color="auto" w:fill="CCEDFF"/>
          </w:tcPr>
          <w:p>
            <w:pPr>
              <w:pStyle w:val="TableParagraph"/>
              <w:tabs>
                <w:tab w:pos="513" w:val="left" w:leader="none"/>
              </w:tabs>
              <w:spacing w:line="128" w:lineRule="exact"/>
              <w:ind w:right="10"/>
              <w:jc w:val="right"/>
              <w:rPr>
                <w:b/>
                <w:sz w:val="14"/>
              </w:rPr>
            </w:pPr>
            <w:r>
              <w:rPr>
                <w:b/>
                <w:spacing w:val="-10"/>
                <w:sz w:val="14"/>
              </w:rPr>
              <w:t>$</w:t>
            </w:r>
            <w:r>
              <w:rPr>
                <w:b/>
                <w:sz w:val="14"/>
              </w:rPr>
              <w:tab/>
            </w:r>
            <w:r>
              <w:rPr>
                <w:b/>
                <w:spacing w:val="-5"/>
                <w:sz w:val="14"/>
              </w:rPr>
              <w:t>(15</w:t>
            </w:r>
          </w:p>
        </w:tc>
        <w:tc>
          <w:tcPr>
            <w:tcW w:w="333" w:type="dxa"/>
            <w:tcBorders>
              <w:top w:val="single" w:sz="6" w:space="0" w:color="000000"/>
            </w:tcBorders>
          </w:tcPr>
          <w:p>
            <w:pPr>
              <w:pStyle w:val="TableParagraph"/>
              <w:spacing w:line="133" w:lineRule="exact"/>
              <w:ind w:left="-13" w:right="44"/>
              <w:jc w:val="center"/>
              <w:rPr>
                <w:sz w:val="14"/>
              </w:rPr>
            </w:pPr>
            <w:r>
              <w:rPr/>
              <mc:AlternateContent>
                <mc:Choice Requires="wps">
                  <w:drawing>
                    <wp:anchor distT="0" distB="0" distL="0" distR="0" allowOverlap="1" layoutInCell="1" locked="0" behindDoc="1" simplePos="0" relativeHeight="474132992">
                      <wp:simplePos x="0" y="0"/>
                      <wp:positionH relativeFrom="column">
                        <wp:posOffset>0</wp:posOffset>
                      </wp:positionH>
                      <wp:positionV relativeFrom="paragraph">
                        <wp:posOffset>-718</wp:posOffset>
                      </wp:positionV>
                      <wp:extent cx="218440" cy="121920"/>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218440" cy="121920"/>
                                <a:chExt cx="218440" cy="121920"/>
                              </a:xfrm>
                            </wpg:grpSpPr>
                            <pic:pic>
                              <pic:nvPicPr>
                                <pic:cNvPr id="455" name="Image 455"/>
                                <pic:cNvPicPr/>
                              </pic:nvPicPr>
                              <pic:blipFill>
                                <a:blip r:embed="rId90" cstate="print"/>
                                <a:stretch>
                                  <a:fillRect/>
                                </a:stretch>
                              </pic:blipFill>
                              <pic:spPr>
                                <a:xfrm>
                                  <a:off x="0" y="0"/>
                                  <a:ext cx="218427" cy="121348"/>
                                </a:xfrm>
                                <a:prstGeom prst="rect">
                                  <a:avLst/>
                                </a:prstGeom>
                              </pic:spPr>
                            </pic:pic>
                          </wpg:wgp>
                        </a:graphicData>
                      </a:graphic>
                    </wp:anchor>
                  </w:drawing>
                </mc:Choice>
                <mc:Fallback>
                  <w:pict>
                    <v:group style="position:absolute;margin-left:0pt;margin-top:-.05654pt;width:17.2pt;height:9.6pt;mso-position-horizontal-relative:column;mso-position-vertical-relative:paragraph;z-index:-29183488" id="docshapegroup453" coordorigin="0,-1" coordsize="344,192">
                      <v:shape style="position:absolute;left:0;top:-2;width:344;height:192" type="#_x0000_t75" id="docshape454" stroked="false">
                        <v:imagedata r:id="rId90" o:title=""/>
                      </v:shape>
                      <w10:wrap type="none"/>
                    </v:group>
                  </w:pict>
                </mc:Fallback>
              </mc:AlternateContent>
            </w:r>
            <w:r>
              <w:rPr>
                <w:b/>
                <w:sz w:val="14"/>
              </w:rPr>
              <w:t>)</w:t>
            </w:r>
            <w:r>
              <w:rPr>
                <w:b/>
                <w:spacing w:val="56"/>
                <w:sz w:val="14"/>
              </w:rPr>
              <w:t>  </w:t>
            </w:r>
            <w:r>
              <w:rPr>
                <w:spacing w:val="-10"/>
                <w:sz w:val="14"/>
              </w:rPr>
              <w:t>$</w:t>
            </w:r>
          </w:p>
        </w:tc>
        <w:tc>
          <w:tcPr>
            <w:tcW w:w="586" w:type="dxa"/>
            <w:tcBorders>
              <w:top w:val="single" w:sz="6" w:space="0" w:color="000000"/>
              <w:bottom w:val="double" w:sz="6" w:space="0" w:color="000000"/>
            </w:tcBorders>
            <w:shd w:val="clear" w:color="auto" w:fill="CCEDFF"/>
          </w:tcPr>
          <w:p>
            <w:pPr>
              <w:pStyle w:val="TableParagraph"/>
              <w:spacing w:line="138" w:lineRule="exact"/>
              <w:ind w:right="12"/>
              <w:jc w:val="right"/>
              <w:rPr>
                <w:sz w:val="14"/>
              </w:rPr>
            </w:pPr>
            <w:r>
              <w:rPr>
                <w:spacing w:val="-5"/>
                <w:sz w:val="14"/>
              </w:rPr>
              <w:t>42</w:t>
            </w:r>
          </w:p>
        </w:tc>
        <w:tc>
          <w:tcPr>
            <w:tcW w:w="333" w:type="dxa"/>
            <w:tcBorders>
              <w:top w:val="single" w:sz="6" w:space="0" w:color="000000"/>
            </w:tcBorders>
          </w:tcPr>
          <w:p>
            <w:pPr>
              <w:pStyle w:val="TableParagraph"/>
              <w:spacing w:line="133" w:lineRule="exact"/>
              <w:ind w:right="45"/>
              <w:jc w:val="right"/>
              <w:rPr>
                <w:sz w:val="14"/>
              </w:rPr>
            </w:pPr>
            <w:r>
              <w:rPr/>
              <mc:AlternateContent>
                <mc:Choice Requires="wps">
                  <w:drawing>
                    <wp:anchor distT="0" distB="0" distL="0" distR="0" allowOverlap="1" layoutInCell="1" locked="0" behindDoc="1" simplePos="0" relativeHeight="474133504">
                      <wp:simplePos x="0" y="0"/>
                      <wp:positionH relativeFrom="column">
                        <wp:posOffset>0</wp:posOffset>
                      </wp:positionH>
                      <wp:positionV relativeFrom="paragraph">
                        <wp:posOffset>-718</wp:posOffset>
                      </wp:positionV>
                      <wp:extent cx="218440" cy="121920"/>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218440" cy="121920"/>
                                <a:chExt cx="218440" cy="121920"/>
                              </a:xfrm>
                            </wpg:grpSpPr>
                            <pic:pic>
                              <pic:nvPicPr>
                                <pic:cNvPr id="457" name="Image 457"/>
                                <pic:cNvPicPr/>
                              </pic:nvPicPr>
                              <pic:blipFill>
                                <a:blip r:embed="rId90" cstate="print"/>
                                <a:stretch>
                                  <a:fillRect/>
                                </a:stretch>
                              </pic:blipFill>
                              <pic:spPr>
                                <a:xfrm>
                                  <a:off x="0" y="0"/>
                                  <a:ext cx="218427" cy="121348"/>
                                </a:xfrm>
                                <a:prstGeom prst="rect">
                                  <a:avLst/>
                                </a:prstGeom>
                              </pic:spPr>
                            </pic:pic>
                          </wpg:wgp>
                        </a:graphicData>
                      </a:graphic>
                    </wp:anchor>
                  </w:drawing>
                </mc:Choice>
                <mc:Fallback>
                  <w:pict>
                    <v:group style="position:absolute;margin-left:0pt;margin-top:-.05654pt;width:17.2pt;height:9.6pt;mso-position-horizontal-relative:column;mso-position-vertical-relative:paragraph;z-index:-29182976" id="docshapegroup455" coordorigin="0,-1" coordsize="344,192">
                      <v:shape style="position:absolute;left:0;top:-2;width:344;height:192" type="#_x0000_t75" id="docshape456" stroked="false">
                        <v:imagedata r:id="rId90" o:title=""/>
                      </v:shape>
                      <w10:wrap type="none"/>
                    </v:group>
                  </w:pict>
                </mc:Fallback>
              </mc:AlternateContent>
            </w:r>
            <w:r>
              <w:rPr>
                <w:spacing w:val="-10"/>
                <w:sz w:val="14"/>
              </w:rPr>
              <w:t>$</w:t>
            </w:r>
          </w:p>
        </w:tc>
        <w:tc>
          <w:tcPr>
            <w:tcW w:w="586" w:type="dxa"/>
            <w:tcBorders>
              <w:top w:val="single" w:sz="6" w:space="0" w:color="000000"/>
              <w:bottom w:val="double" w:sz="6" w:space="0" w:color="000000"/>
            </w:tcBorders>
            <w:shd w:val="clear" w:color="auto" w:fill="CCEDFF"/>
          </w:tcPr>
          <w:p>
            <w:pPr>
              <w:pStyle w:val="TableParagraph"/>
              <w:spacing w:line="128" w:lineRule="exact"/>
              <w:ind w:right="14"/>
              <w:jc w:val="right"/>
              <w:rPr>
                <w:sz w:val="14"/>
              </w:rPr>
            </w:pPr>
            <w:r>
              <w:rPr>
                <w:spacing w:val="-5"/>
                <w:sz w:val="14"/>
              </w:rPr>
              <w:t>127</w:t>
            </w:r>
          </w:p>
        </w:tc>
        <w:tc>
          <w:tcPr>
            <w:tcW w:w="333" w:type="dxa"/>
            <w:tcBorders>
              <w:top w:val="single" w:sz="6" w:space="0" w:color="000000"/>
            </w:tcBorders>
          </w:tcPr>
          <w:p>
            <w:pPr>
              <w:pStyle w:val="TableParagraph"/>
              <w:spacing w:line="133" w:lineRule="exact"/>
              <w:ind w:right="47"/>
              <w:jc w:val="right"/>
              <w:rPr>
                <w:b/>
                <w:sz w:val="14"/>
              </w:rPr>
            </w:pPr>
            <w:r>
              <w:rPr/>
              <mc:AlternateContent>
                <mc:Choice Requires="wps">
                  <w:drawing>
                    <wp:anchor distT="0" distB="0" distL="0" distR="0" allowOverlap="1" layoutInCell="1" locked="0" behindDoc="1" simplePos="0" relativeHeight="474134016">
                      <wp:simplePos x="0" y="0"/>
                      <wp:positionH relativeFrom="column">
                        <wp:posOffset>0</wp:posOffset>
                      </wp:positionH>
                      <wp:positionV relativeFrom="paragraph">
                        <wp:posOffset>-718</wp:posOffset>
                      </wp:positionV>
                      <wp:extent cx="218440" cy="121920"/>
                      <wp:effectExtent l="0" t="0" r="0" b="0"/>
                      <wp:wrapNone/>
                      <wp:docPr id="458" name="Group 458"/>
                      <wp:cNvGraphicFramePr>
                        <a:graphicFrameLocks/>
                      </wp:cNvGraphicFramePr>
                      <a:graphic>
                        <a:graphicData uri="http://schemas.microsoft.com/office/word/2010/wordprocessingGroup">
                          <wpg:wgp>
                            <wpg:cNvPr id="458" name="Group 458"/>
                            <wpg:cNvGrpSpPr/>
                            <wpg:grpSpPr>
                              <a:xfrm>
                                <a:off x="0" y="0"/>
                                <a:ext cx="218440" cy="121920"/>
                                <a:chExt cx="218440" cy="121920"/>
                              </a:xfrm>
                            </wpg:grpSpPr>
                            <pic:pic>
                              <pic:nvPicPr>
                                <pic:cNvPr id="459" name="Image 459"/>
                                <pic:cNvPicPr/>
                              </pic:nvPicPr>
                              <pic:blipFill>
                                <a:blip r:embed="rId90" cstate="print"/>
                                <a:stretch>
                                  <a:fillRect/>
                                </a:stretch>
                              </pic:blipFill>
                              <pic:spPr>
                                <a:xfrm>
                                  <a:off x="0" y="0"/>
                                  <a:ext cx="218427" cy="121348"/>
                                </a:xfrm>
                                <a:prstGeom prst="rect">
                                  <a:avLst/>
                                </a:prstGeom>
                              </pic:spPr>
                            </pic:pic>
                          </wpg:wgp>
                        </a:graphicData>
                      </a:graphic>
                    </wp:anchor>
                  </w:drawing>
                </mc:Choice>
                <mc:Fallback>
                  <w:pict>
                    <v:group style="position:absolute;margin-left:0pt;margin-top:-.05654pt;width:17.2pt;height:9.6pt;mso-position-horizontal-relative:column;mso-position-vertical-relative:paragraph;z-index:-29182464" id="docshapegroup457" coordorigin="0,-1" coordsize="344,192">
                      <v:shape style="position:absolute;left:0;top:-2;width:344;height:192" type="#_x0000_t75" id="docshape458" stroked="false">
                        <v:imagedata r:id="rId90" o:title=""/>
                      </v:shape>
                      <w10:wrap type="none"/>
                    </v:group>
                  </w:pict>
                </mc:Fallback>
              </mc:AlternateContent>
            </w:r>
            <w:r>
              <w:rPr>
                <w:b/>
                <w:spacing w:val="-10"/>
                <w:sz w:val="14"/>
              </w:rPr>
              <w:t>$</w:t>
            </w:r>
          </w:p>
        </w:tc>
        <w:tc>
          <w:tcPr>
            <w:tcW w:w="586" w:type="dxa"/>
            <w:tcBorders>
              <w:top w:val="single" w:sz="6" w:space="0" w:color="000000"/>
              <w:bottom w:val="double" w:sz="6" w:space="0" w:color="000000"/>
            </w:tcBorders>
            <w:shd w:val="clear" w:color="auto" w:fill="CCEDFF"/>
          </w:tcPr>
          <w:p>
            <w:pPr>
              <w:pStyle w:val="TableParagraph"/>
              <w:spacing w:line="128" w:lineRule="exact"/>
              <w:ind w:right="15"/>
              <w:jc w:val="right"/>
              <w:rPr>
                <w:b/>
                <w:sz w:val="14"/>
              </w:rPr>
            </w:pPr>
            <w:r>
              <w:rPr>
                <w:b/>
                <w:spacing w:val="-5"/>
                <w:sz w:val="14"/>
              </w:rPr>
              <w:t>28</w:t>
            </w:r>
          </w:p>
        </w:tc>
        <w:tc>
          <w:tcPr>
            <w:tcW w:w="333" w:type="dxa"/>
            <w:tcBorders>
              <w:top w:val="single" w:sz="6" w:space="0" w:color="000000"/>
            </w:tcBorders>
          </w:tcPr>
          <w:p>
            <w:pPr>
              <w:pStyle w:val="TableParagraph"/>
              <w:spacing w:line="133" w:lineRule="exact"/>
              <w:ind w:right="49"/>
              <w:jc w:val="right"/>
              <w:rPr>
                <w:sz w:val="14"/>
              </w:rPr>
            </w:pPr>
            <w:r>
              <w:rPr/>
              <mc:AlternateContent>
                <mc:Choice Requires="wps">
                  <w:drawing>
                    <wp:anchor distT="0" distB="0" distL="0" distR="0" allowOverlap="1" layoutInCell="1" locked="0" behindDoc="1" simplePos="0" relativeHeight="474134528">
                      <wp:simplePos x="0" y="0"/>
                      <wp:positionH relativeFrom="column">
                        <wp:posOffset>0</wp:posOffset>
                      </wp:positionH>
                      <wp:positionV relativeFrom="paragraph">
                        <wp:posOffset>-718</wp:posOffset>
                      </wp:positionV>
                      <wp:extent cx="218440" cy="121920"/>
                      <wp:effectExtent l="0" t="0" r="0" b="0"/>
                      <wp:wrapNone/>
                      <wp:docPr id="460" name="Group 460"/>
                      <wp:cNvGraphicFramePr>
                        <a:graphicFrameLocks/>
                      </wp:cNvGraphicFramePr>
                      <a:graphic>
                        <a:graphicData uri="http://schemas.microsoft.com/office/word/2010/wordprocessingGroup">
                          <wpg:wgp>
                            <wpg:cNvPr id="460" name="Group 460"/>
                            <wpg:cNvGrpSpPr/>
                            <wpg:grpSpPr>
                              <a:xfrm>
                                <a:off x="0" y="0"/>
                                <a:ext cx="218440" cy="121920"/>
                                <a:chExt cx="218440" cy="121920"/>
                              </a:xfrm>
                            </wpg:grpSpPr>
                            <pic:pic>
                              <pic:nvPicPr>
                                <pic:cNvPr id="461" name="Image 461"/>
                                <pic:cNvPicPr/>
                              </pic:nvPicPr>
                              <pic:blipFill>
                                <a:blip r:embed="rId90" cstate="print"/>
                                <a:stretch>
                                  <a:fillRect/>
                                </a:stretch>
                              </pic:blipFill>
                              <pic:spPr>
                                <a:xfrm>
                                  <a:off x="0" y="0"/>
                                  <a:ext cx="218427" cy="121348"/>
                                </a:xfrm>
                                <a:prstGeom prst="rect">
                                  <a:avLst/>
                                </a:prstGeom>
                              </pic:spPr>
                            </pic:pic>
                          </wpg:wgp>
                        </a:graphicData>
                      </a:graphic>
                    </wp:anchor>
                  </w:drawing>
                </mc:Choice>
                <mc:Fallback>
                  <w:pict>
                    <v:group style="position:absolute;margin-left:0pt;margin-top:-.05654pt;width:17.2pt;height:9.6pt;mso-position-horizontal-relative:column;mso-position-vertical-relative:paragraph;z-index:-29181952" id="docshapegroup459" coordorigin="0,-1" coordsize="344,192">
                      <v:shape style="position:absolute;left:0;top:-2;width:344;height:192" type="#_x0000_t75" id="docshape460" stroked="false">
                        <v:imagedata r:id="rId90" o:title=""/>
                      </v:shape>
                      <w10:wrap type="none"/>
                    </v:group>
                  </w:pict>
                </mc:Fallback>
              </mc:AlternateContent>
            </w:r>
            <w:r>
              <w:rPr>
                <w:spacing w:val="-10"/>
                <w:sz w:val="14"/>
              </w:rPr>
              <w:t>$</w:t>
            </w:r>
          </w:p>
        </w:tc>
        <w:tc>
          <w:tcPr>
            <w:tcW w:w="586" w:type="dxa"/>
            <w:tcBorders>
              <w:top w:val="single" w:sz="6" w:space="0" w:color="000000"/>
              <w:bottom w:val="double" w:sz="6" w:space="0" w:color="000000"/>
            </w:tcBorders>
            <w:shd w:val="clear" w:color="auto" w:fill="CCEDFF"/>
          </w:tcPr>
          <w:p>
            <w:pPr>
              <w:pStyle w:val="TableParagraph"/>
              <w:spacing w:line="128" w:lineRule="exact"/>
              <w:ind w:right="17"/>
              <w:jc w:val="right"/>
              <w:rPr>
                <w:sz w:val="14"/>
              </w:rPr>
            </w:pPr>
            <w:r>
              <w:rPr>
                <w:spacing w:val="-5"/>
                <w:sz w:val="14"/>
              </w:rPr>
              <w:t>38</w:t>
            </w:r>
          </w:p>
        </w:tc>
        <w:tc>
          <w:tcPr>
            <w:tcW w:w="333" w:type="dxa"/>
            <w:tcBorders>
              <w:top w:val="single" w:sz="6" w:space="0" w:color="000000"/>
            </w:tcBorders>
          </w:tcPr>
          <w:p>
            <w:pPr>
              <w:pStyle w:val="TableParagraph"/>
              <w:spacing w:line="133" w:lineRule="exact"/>
              <w:ind w:right="51"/>
              <w:jc w:val="right"/>
              <w:rPr>
                <w:sz w:val="14"/>
              </w:rPr>
            </w:pPr>
            <w:r>
              <w:rPr/>
              <mc:AlternateContent>
                <mc:Choice Requires="wps">
                  <w:drawing>
                    <wp:anchor distT="0" distB="0" distL="0" distR="0" allowOverlap="1" layoutInCell="1" locked="0" behindDoc="1" simplePos="0" relativeHeight="474135040">
                      <wp:simplePos x="0" y="0"/>
                      <wp:positionH relativeFrom="column">
                        <wp:posOffset>0</wp:posOffset>
                      </wp:positionH>
                      <wp:positionV relativeFrom="paragraph">
                        <wp:posOffset>-718</wp:posOffset>
                      </wp:positionV>
                      <wp:extent cx="218440" cy="121920"/>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218440" cy="121920"/>
                                <a:chExt cx="218440" cy="121920"/>
                              </a:xfrm>
                            </wpg:grpSpPr>
                            <pic:pic>
                              <pic:nvPicPr>
                                <pic:cNvPr id="463" name="Image 463"/>
                                <pic:cNvPicPr/>
                              </pic:nvPicPr>
                              <pic:blipFill>
                                <a:blip r:embed="rId91" cstate="print"/>
                                <a:stretch>
                                  <a:fillRect/>
                                </a:stretch>
                              </pic:blipFill>
                              <pic:spPr>
                                <a:xfrm>
                                  <a:off x="0" y="0"/>
                                  <a:ext cx="218427" cy="121348"/>
                                </a:xfrm>
                                <a:prstGeom prst="rect">
                                  <a:avLst/>
                                </a:prstGeom>
                              </pic:spPr>
                            </pic:pic>
                          </wpg:wgp>
                        </a:graphicData>
                      </a:graphic>
                    </wp:anchor>
                  </w:drawing>
                </mc:Choice>
                <mc:Fallback>
                  <w:pict>
                    <v:group style="position:absolute;margin-left:0pt;margin-top:-.05654pt;width:17.2pt;height:9.6pt;mso-position-horizontal-relative:column;mso-position-vertical-relative:paragraph;z-index:-29181440" id="docshapegroup461" coordorigin="0,-1" coordsize="344,192">
                      <v:shape style="position:absolute;left:0;top:-2;width:344;height:192" type="#_x0000_t75" id="docshape462" stroked="false">
                        <v:imagedata r:id="rId91" o:title=""/>
                      </v:shape>
                      <w10:wrap type="none"/>
                    </v:group>
                  </w:pict>
                </mc:Fallback>
              </mc:AlternateContent>
            </w:r>
            <w:r>
              <w:rPr>
                <w:spacing w:val="-10"/>
                <w:sz w:val="14"/>
              </w:rPr>
              <w:t>$</w:t>
            </w:r>
          </w:p>
        </w:tc>
        <w:tc>
          <w:tcPr>
            <w:tcW w:w="586" w:type="dxa"/>
            <w:tcBorders>
              <w:top w:val="single" w:sz="6" w:space="0" w:color="000000"/>
              <w:bottom w:val="double" w:sz="6" w:space="0" w:color="000000"/>
            </w:tcBorders>
            <w:shd w:val="clear" w:color="auto" w:fill="CCEDFF"/>
          </w:tcPr>
          <w:p>
            <w:pPr>
              <w:pStyle w:val="TableParagraph"/>
              <w:spacing w:line="128" w:lineRule="exact"/>
              <w:ind w:right="19"/>
              <w:jc w:val="right"/>
              <w:rPr>
                <w:sz w:val="14"/>
              </w:rPr>
            </w:pPr>
            <w:r>
              <w:rPr>
                <w:spacing w:val="-5"/>
                <w:sz w:val="14"/>
              </w:rPr>
              <w:t>53</w:t>
            </w:r>
          </w:p>
        </w:tc>
        <w:tc>
          <w:tcPr>
            <w:tcW w:w="333" w:type="dxa"/>
            <w:tcBorders>
              <w:top w:val="single" w:sz="6" w:space="0" w:color="000000"/>
            </w:tcBorders>
          </w:tcPr>
          <w:p>
            <w:pPr>
              <w:pStyle w:val="TableParagraph"/>
              <w:spacing w:line="133" w:lineRule="exact"/>
              <w:ind w:left="152"/>
              <w:jc w:val="center"/>
              <w:rPr>
                <w:b/>
                <w:sz w:val="14"/>
              </w:rPr>
            </w:pPr>
            <w:r>
              <w:rPr/>
              <mc:AlternateContent>
                <mc:Choice Requires="wps">
                  <w:drawing>
                    <wp:anchor distT="0" distB="0" distL="0" distR="0" allowOverlap="1" layoutInCell="1" locked="0" behindDoc="1" simplePos="0" relativeHeight="474135552">
                      <wp:simplePos x="0" y="0"/>
                      <wp:positionH relativeFrom="column">
                        <wp:posOffset>0</wp:posOffset>
                      </wp:positionH>
                      <wp:positionV relativeFrom="paragraph">
                        <wp:posOffset>-718</wp:posOffset>
                      </wp:positionV>
                      <wp:extent cx="218440" cy="121920"/>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218440" cy="121920"/>
                                <a:chExt cx="218440" cy="121920"/>
                              </a:xfrm>
                            </wpg:grpSpPr>
                            <pic:pic>
                              <pic:nvPicPr>
                                <pic:cNvPr id="465" name="Image 465"/>
                                <pic:cNvPicPr/>
                              </pic:nvPicPr>
                              <pic:blipFill>
                                <a:blip r:embed="rId90" cstate="print"/>
                                <a:stretch>
                                  <a:fillRect/>
                                </a:stretch>
                              </pic:blipFill>
                              <pic:spPr>
                                <a:xfrm>
                                  <a:off x="0" y="0"/>
                                  <a:ext cx="218427" cy="121348"/>
                                </a:xfrm>
                                <a:prstGeom prst="rect">
                                  <a:avLst/>
                                </a:prstGeom>
                              </pic:spPr>
                            </pic:pic>
                          </wpg:wgp>
                        </a:graphicData>
                      </a:graphic>
                    </wp:anchor>
                  </w:drawing>
                </mc:Choice>
                <mc:Fallback>
                  <w:pict>
                    <v:group style="position:absolute;margin-left:0pt;margin-top:-.05654pt;width:17.2pt;height:9.6pt;mso-position-horizontal-relative:column;mso-position-vertical-relative:paragraph;z-index:-29180928" id="docshapegroup463" coordorigin="0,-1" coordsize="344,192">
                      <v:shape style="position:absolute;left:0;top:-2;width:344;height:192" type="#_x0000_t75" id="docshape464" stroked="false">
                        <v:imagedata r:id="rId90" o:title=""/>
                      </v:shape>
                      <w10:wrap type="none"/>
                    </v:group>
                  </w:pict>
                </mc:Fallback>
              </mc:AlternateContent>
            </w:r>
            <w:r>
              <w:rPr>
                <w:b/>
                <w:spacing w:val="-10"/>
                <w:sz w:val="14"/>
              </w:rPr>
              <w:t>$</w:t>
            </w:r>
          </w:p>
        </w:tc>
        <w:tc>
          <w:tcPr>
            <w:tcW w:w="586" w:type="dxa"/>
            <w:tcBorders>
              <w:top w:val="single" w:sz="6" w:space="0" w:color="000000"/>
              <w:bottom w:val="double" w:sz="6" w:space="0" w:color="000000"/>
            </w:tcBorders>
            <w:shd w:val="clear" w:color="auto" w:fill="CCEDFF"/>
          </w:tcPr>
          <w:p>
            <w:pPr>
              <w:pStyle w:val="TableParagraph"/>
              <w:spacing w:line="128" w:lineRule="exact"/>
              <w:ind w:right="21"/>
              <w:jc w:val="right"/>
              <w:rPr>
                <w:b/>
                <w:sz w:val="14"/>
              </w:rPr>
            </w:pPr>
            <w:r>
              <w:rPr>
                <w:b/>
                <w:spacing w:val="-5"/>
                <w:sz w:val="14"/>
              </w:rPr>
              <w:t>21</w:t>
            </w:r>
          </w:p>
        </w:tc>
        <w:tc>
          <w:tcPr>
            <w:tcW w:w="333" w:type="dxa"/>
            <w:tcBorders>
              <w:top w:val="single" w:sz="6" w:space="0" w:color="000000"/>
            </w:tcBorders>
          </w:tcPr>
          <w:p>
            <w:pPr>
              <w:pStyle w:val="TableParagraph"/>
              <w:spacing w:line="133" w:lineRule="exact"/>
              <w:ind w:right="55"/>
              <w:jc w:val="right"/>
              <w:rPr>
                <w:sz w:val="14"/>
              </w:rPr>
            </w:pPr>
            <w:r>
              <w:rPr/>
              <mc:AlternateContent>
                <mc:Choice Requires="wps">
                  <w:drawing>
                    <wp:anchor distT="0" distB="0" distL="0" distR="0" allowOverlap="1" layoutInCell="1" locked="0" behindDoc="1" simplePos="0" relativeHeight="474136064">
                      <wp:simplePos x="0" y="0"/>
                      <wp:positionH relativeFrom="column">
                        <wp:posOffset>0</wp:posOffset>
                      </wp:positionH>
                      <wp:positionV relativeFrom="paragraph">
                        <wp:posOffset>-718</wp:posOffset>
                      </wp:positionV>
                      <wp:extent cx="218440" cy="121920"/>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218440" cy="121920"/>
                                <a:chExt cx="218440" cy="121920"/>
                              </a:xfrm>
                            </wpg:grpSpPr>
                            <pic:pic>
                              <pic:nvPicPr>
                                <pic:cNvPr id="467" name="Image 467"/>
                                <pic:cNvPicPr/>
                              </pic:nvPicPr>
                              <pic:blipFill>
                                <a:blip r:embed="rId90" cstate="print"/>
                                <a:stretch>
                                  <a:fillRect/>
                                </a:stretch>
                              </pic:blipFill>
                              <pic:spPr>
                                <a:xfrm>
                                  <a:off x="0" y="0"/>
                                  <a:ext cx="218427" cy="121348"/>
                                </a:xfrm>
                                <a:prstGeom prst="rect">
                                  <a:avLst/>
                                </a:prstGeom>
                              </pic:spPr>
                            </pic:pic>
                          </wpg:wgp>
                        </a:graphicData>
                      </a:graphic>
                    </wp:anchor>
                  </w:drawing>
                </mc:Choice>
                <mc:Fallback>
                  <w:pict>
                    <v:group style="position:absolute;margin-left:0pt;margin-top:-.05654pt;width:17.2pt;height:9.6pt;mso-position-horizontal-relative:column;mso-position-vertical-relative:paragraph;z-index:-29180416" id="docshapegroup465" coordorigin="0,-1" coordsize="344,192">
                      <v:shape style="position:absolute;left:0;top:-2;width:344;height:192" type="#_x0000_t75" id="docshape466" stroked="false">
                        <v:imagedata r:id="rId90" o:title=""/>
                      </v:shape>
                      <w10:wrap type="none"/>
                    </v:group>
                  </w:pict>
                </mc:Fallback>
              </mc:AlternateContent>
            </w:r>
            <w:r>
              <w:rPr>
                <w:spacing w:val="-10"/>
                <w:sz w:val="14"/>
              </w:rPr>
              <w:t>$</w:t>
            </w:r>
          </w:p>
        </w:tc>
        <w:tc>
          <w:tcPr>
            <w:tcW w:w="586" w:type="dxa"/>
            <w:tcBorders>
              <w:top w:val="single" w:sz="6" w:space="0" w:color="000000"/>
              <w:bottom w:val="double" w:sz="6" w:space="0" w:color="000000"/>
            </w:tcBorders>
            <w:shd w:val="clear" w:color="auto" w:fill="CCEDFF"/>
          </w:tcPr>
          <w:p>
            <w:pPr>
              <w:pStyle w:val="TableParagraph"/>
              <w:spacing w:line="128" w:lineRule="exact"/>
              <w:ind w:right="23"/>
              <w:jc w:val="right"/>
              <w:rPr>
                <w:sz w:val="14"/>
              </w:rPr>
            </w:pPr>
            <w:r>
              <w:rPr>
                <w:spacing w:val="-5"/>
                <w:sz w:val="14"/>
              </w:rPr>
              <w:t>26</w:t>
            </w:r>
          </w:p>
        </w:tc>
        <w:tc>
          <w:tcPr>
            <w:tcW w:w="333" w:type="dxa"/>
            <w:tcBorders>
              <w:top w:val="single" w:sz="6" w:space="0" w:color="000000"/>
            </w:tcBorders>
          </w:tcPr>
          <w:p>
            <w:pPr>
              <w:pStyle w:val="TableParagraph"/>
              <w:spacing w:line="133" w:lineRule="exact"/>
              <w:ind w:left="152" w:right="7"/>
              <w:jc w:val="center"/>
              <w:rPr>
                <w:sz w:val="14"/>
              </w:rPr>
            </w:pPr>
            <w:r>
              <w:rPr/>
              <mc:AlternateContent>
                <mc:Choice Requires="wps">
                  <w:drawing>
                    <wp:anchor distT="0" distB="0" distL="0" distR="0" allowOverlap="1" layoutInCell="1" locked="0" behindDoc="1" simplePos="0" relativeHeight="474136576">
                      <wp:simplePos x="0" y="0"/>
                      <wp:positionH relativeFrom="column">
                        <wp:posOffset>0</wp:posOffset>
                      </wp:positionH>
                      <wp:positionV relativeFrom="paragraph">
                        <wp:posOffset>-718</wp:posOffset>
                      </wp:positionV>
                      <wp:extent cx="218440" cy="121920"/>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218440" cy="121920"/>
                                <a:chExt cx="218440" cy="121920"/>
                              </a:xfrm>
                            </wpg:grpSpPr>
                            <pic:pic>
                              <pic:nvPicPr>
                                <pic:cNvPr id="469" name="Image 469"/>
                                <pic:cNvPicPr/>
                              </pic:nvPicPr>
                              <pic:blipFill>
                                <a:blip r:embed="rId90" cstate="print"/>
                                <a:stretch>
                                  <a:fillRect/>
                                </a:stretch>
                              </pic:blipFill>
                              <pic:spPr>
                                <a:xfrm>
                                  <a:off x="0" y="0"/>
                                  <a:ext cx="218427" cy="121348"/>
                                </a:xfrm>
                                <a:prstGeom prst="rect">
                                  <a:avLst/>
                                </a:prstGeom>
                              </pic:spPr>
                            </pic:pic>
                          </wpg:wgp>
                        </a:graphicData>
                      </a:graphic>
                    </wp:anchor>
                  </w:drawing>
                </mc:Choice>
                <mc:Fallback>
                  <w:pict>
                    <v:group style="position:absolute;margin-left:0pt;margin-top:-.05654pt;width:17.2pt;height:9.6pt;mso-position-horizontal-relative:column;mso-position-vertical-relative:paragraph;z-index:-29179904" id="docshapegroup467" coordorigin="0,-1" coordsize="344,192">
                      <v:shape style="position:absolute;left:0;top:-2;width:344;height:192" type="#_x0000_t75" id="docshape468" stroked="false">
                        <v:imagedata r:id="rId90" o:title=""/>
                      </v:shape>
                      <w10:wrap type="none"/>
                    </v:group>
                  </w:pict>
                </mc:Fallback>
              </mc:AlternateContent>
            </w:r>
            <w:r>
              <w:rPr>
                <w:spacing w:val="-10"/>
                <w:sz w:val="14"/>
              </w:rPr>
              <w:t>$</w:t>
            </w:r>
          </w:p>
        </w:tc>
        <w:tc>
          <w:tcPr>
            <w:tcW w:w="689" w:type="dxa"/>
            <w:tcBorders>
              <w:top w:val="single" w:sz="6" w:space="0" w:color="000000"/>
            </w:tcBorders>
            <w:shd w:val="clear" w:color="auto" w:fill="CCEDFF"/>
          </w:tcPr>
          <w:p>
            <w:pPr>
              <w:pStyle w:val="TableParagraph"/>
              <w:tabs>
                <w:tab w:pos="418" w:val="left" w:leader="none"/>
              </w:tabs>
              <w:spacing w:line="138" w:lineRule="exact"/>
              <w:ind w:left="-15" w:right="13"/>
              <w:jc w:val="center"/>
              <w:rPr>
                <w:sz w:val="14"/>
              </w:rPr>
            </w:pPr>
            <w:r>
              <w:rPr>
                <w:sz w:val="14"/>
                <w:u w:val="double"/>
              </w:rPr>
              <w:tab/>
            </w:r>
            <w:r>
              <w:rPr>
                <w:spacing w:val="-5"/>
                <w:sz w:val="14"/>
                <w:u w:val="double"/>
              </w:rPr>
              <w:t>29</w:t>
            </w:r>
            <w:r>
              <w:rPr>
                <w:spacing w:val="40"/>
                <w:sz w:val="14"/>
                <w:u w:val="double"/>
              </w:rPr>
              <w:t> </w:t>
            </w:r>
          </w:p>
        </w:tc>
      </w:tr>
      <w:tr>
        <w:trPr>
          <w:trHeight w:val="144" w:hRule="atLeast"/>
        </w:trPr>
        <w:tc>
          <w:tcPr>
            <w:tcW w:w="3135" w:type="dxa"/>
            <w:tcBorders>
              <w:top w:val="double" w:sz="6" w:space="0" w:color="000000"/>
            </w:tcBorders>
          </w:tcPr>
          <w:p>
            <w:pPr>
              <w:pStyle w:val="TableParagraph"/>
              <w:rPr>
                <w:sz w:val="8"/>
              </w:rPr>
            </w:pPr>
          </w:p>
        </w:tc>
        <w:tc>
          <w:tcPr>
            <w:tcW w:w="941" w:type="dxa"/>
            <w:tcBorders>
              <w:top w:val="double" w:sz="6" w:space="0" w:color="000000"/>
            </w:tcBorders>
          </w:tcPr>
          <w:p>
            <w:pPr>
              <w:pStyle w:val="TableParagraph"/>
              <w:rPr>
                <w:sz w:val="8"/>
              </w:rPr>
            </w:pPr>
          </w:p>
        </w:tc>
        <w:tc>
          <w:tcPr>
            <w:tcW w:w="919" w:type="dxa"/>
            <w:gridSpan w:val="2"/>
          </w:tcPr>
          <w:p>
            <w:pPr>
              <w:pStyle w:val="TableParagraph"/>
              <w:rPr>
                <w:sz w:val="8"/>
              </w:rPr>
            </w:pPr>
          </w:p>
        </w:tc>
        <w:tc>
          <w:tcPr>
            <w:tcW w:w="919" w:type="dxa"/>
            <w:gridSpan w:val="2"/>
          </w:tcPr>
          <w:p>
            <w:pPr>
              <w:pStyle w:val="TableParagraph"/>
              <w:rPr>
                <w:sz w:val="8"/>
              </w:rPr>
            </w:pPr>
          </w:p>
        </w:tc>
        <w:tc>
          <w:tcPr>
            <w:tcW w:w="919" w:type="dxa"/>
            <w:gridSpan w:val="2"/>
          </w:tcPr>
          <w:p>
            <w:pPr>
              <w:pStyle w:val="TableParagraph"/>
              <w:rPr>
                <w:sz w:val="8"/>
              </w:rPr>
            </w:pPr>
          </w:p>
        </w:tc>
        <w:tc>
          <w:tcPr>
            <w:tcW w:w="919" w:type="dxa"/>
            <w:gridSpan w:val="2"/>
          </w:tcPr>
          <w:p>
            <w:pPr>
              <w:pStyle w:val="TableParagraph"/>
              <w:rPr>
                <w:sz w:val="8"/>
              </w:rPr>
            </w:pPr>
          </w:p>
        </w:tc>
        <w:tc>
          <w:tcPr>
            <w:tcW w:w="919" w:type="dxa"/>
            <w:gridSpan w:val="2"/>
          </w:tcPr>
          <w:p>
            <w:pPr>
              <w:pStyle w:val="TableParagraph"/>
              <w:rPr>
                <w:sz w:val="8"/>
              </w:rPr>
            </w:pPr>
          </w:p>
        </w:tc>
        <w:tc>
          <w:tcPr>
            <w:tcW w:w="919" w:type="dxa"/>
            <w:gridSpan w:val="2"/>
          </w:tcPr>
          <w:p>
            <w:pPr>
              <w:pStyle w:val="TableParagraph"/>
              <w:rPr>
                <w:sz w:val="8"/>
              </w:rPr>
            </w:pPr>
          </w:p>
        </w:tc>
        <w:tc>
          <w:tcPr>
            <w:tcW w:w="919" w:type="dxa"/>
            <w:gridSpan w:val="2"/>
          </w:tcPr>
          <w:p>
            <w:pPr>
              <w:pStyle w:val="TableParagraph"/>
              <w:rPr>
                <w:sz w:val="8"/>
              </w:rPr>
            </w:pPr>
          </w:p>
        </w:tc>
        <w:tc>
          <w:tcPr>
            <w:tcW w:w="1022" w:type="dxa"/>
            <w:gridSpan w:val="2"/>
          </w:tcPr>
          <w:p>
            <w:pPr>
              <w:pStyle w:val="TableParagraph"/>
              <w:rPr>
                <w:sz w:val="8"/>
              </w:rPr>
            </w:pPr>
          </w:p>
        </w:tc>
      </w:tr>
      <w:tr>
        <w:trPr>
          <w:trHeight w:val="305" w:hRule="atLeast"/>
        </w:trPr>
        <w:tc>
          <w:tcPr>
            <w:tcW w:w="3135" w:type="dxa"/>
            <w:shd w:val="clear" w:color="auto" w:fill="CCEDFF"/>
          </w:tcPr>
          <w:p>
            <w:pPr>
              <w:pStyle w:val="TableParagraph"/>
              <w:spacing w:line="152" w:lineRule="exact"/>
              <w:ind w:left="152" w:right="181" w:hanging="153"/>
              <w:rPr>
                <w:sz w:val="14"/>
              </w:rPr>
            </w:pPr>
            <w:r>
              <w:rPr>
                <w:sz w:val="14"/>
              </w:rPr>
              <w:t>Other changes in plan assets and benefit obligations</w:t>
            </w:r>
            <w:r>
              <w:rPr>
                <w:spacing w:val="40"/>
                <w:sz w:val="14"/>
              </w:rPr>
              <w:t> </w:t>
            </w:r>
            <w:r>
              <w:rPr>
                <w:sz w:val="14"/>
              </w:rPr>
              <w:t>recognized in other comprehensive (loss) </w:t>
            </w:r>
            <w:r>
              <w:rPr>
                <w:spacing w:val="-2"/>
                <w:sz w:val="14"/>
              </w:rPr>
              <w:t>income:</w:t>
            </w:r>
          </w:p>
        </w:tc>
        <w:tc>
          <w:tcPr>
            <w:tcW w:w="941" w:type="dxa"/>
            <w:shd w:val="clear" w:color="auto" w:fill="CCEDFF"/>
          </w:tcPr>
          <w:p>
            <w:pPr>
              <w:pStyle w:val="TableParagraph"/>
              <w:rPr>
                <w:sz w:val="14"/>
              </w:rPr>
            </w:pPr>
          </w:p>
        </w:tc>
        <w:tc>
          <w:tcPr>
            <w:tcW w:w="919" w:type="dxa"/>
            <w:gridSpan w:val="2"/>
            <w:shd w:val="clear" w:color="auto" w:fill="CCEDFF"/>
          </w:tcPr>
          <w:p>
            <w:pPr>
              <w:pStyle w:val="TableParagraph"/>
              <w:rPr>
                <w:sz w:val="14"/>
              </w:rPr>
            </w:pPr>
          </w:p>
        </w:tc>
        <w:tc>
          <w:tcPr>
            <w:tcW w:w="919" w:type="dxa"/>
            <w:gridSpan w:val="2"/>
            <w:shd w:val="clear" w:color="auto" w:fill="CCEDFF"/>
          </w:tcPr>
          <w:p>
            <w:pPr>
              <w:pStyle w:val="TableParagraph"/>
              <w:rPr>
                <w:sz w:val="14"/>
              </w:rPr>
            </w:pPr>
          </w:p>
        </w:tc>
        <w:tc>
          <w:tcPr>
            <w:tcW w:w="919" w:type="dxa"/>
            <w:gridSpan w:val="2"/>
            <w:shd w:val="clear" w:color="auto" w:fill="CCEDFF"/>
          </w:tcPr>
          <w:p>
            <w:pPr>
              <w:pStyle w:val="TableParagraph"/>
              <w:rPr>
                <w:sz w:val="14"/>
              </w:rPr>
            </w:pPr>
          </w:p>
        </w:tc>
        <w:tc>
          <w:tcPr>
            <w:tcW w:w="919" w:type="dxa"/>
            <w:gridSpan w:val="2"/>
            <w:shd w:val="clear" w:color="auto" w:fill="CCEDFF"/>
          </w:tcPr>
          <w:p>
            <w:pPr>
              <w:pStyle w:val="TableParagraph"/>
              <w:rPr>
                <w:sz w:val="14"/>
              </w:rPr>
            </w:pPr>
          </w:p>
        </w:tc>
        <w:tc>
          <w:tcPr>
            <w:tcW w:w="919" w:type="dxa"/>
            <w:gridSpan w:val="2"/>
            <w:shd w:val="clear" w:color="auto" w:fill="CCEDFF"/>
          </w:tcPr>
          <w:p>
            <w:pPr>
              <w:pStyle w:val="TableParagraph"/>
              <w:rPr>
                <w:sz w:val="14"/>
              </w:rPr>
            </w:pPr>
          </w:p>
        </w:tc>
        <w:tc>
          <w:tcPr>
            <w:tcW w:w="919" w:type="dxa"/>
            <w:gridSpan w:val="2"/>
            <w:shd w:val="clear" w:color="auto" w:fill="CCEDFF"/>
          </w:tcPr>
          <w:p>
            <w:pPr>
              <w:pStyle w:val="TableParagraph"/>
              <w:rPr>
                <w:sz w:val="14"/>
              </w:rPr>
            </w:pPr>
          </w:p>
        </w:tc>
        <w:tc>
          <w:tcPr>
            <w:tcW w:w="919" w:type="dxa"/>
            <w:gridSpan w:val="2"/>
            <w:shd w:val="clear" w:color="auto" w:fill="CCEDFF"/>
          </w:tcPr>
          <w:p>
            <w:pPr>
              <w:pStyle w:val="TableParagraph"/>
              <w:rPr>
                <w:sz w:val="14"/>
              </w:rPr>
            </w:pPr>
          </w:p>
        </w:tc>
        <w:tc>
          <w:tcPr>
            <w:tcW w:w="1022" w:type="dxa"/>
            <w:gridSpan w:val="2"/>
            <w:shd w:val="clear" w:color="auto" w:fill="CCEDFF"/>
          </w:tcPr>
          <w:p>
            <w:pPr>
              <w:pStyle w:val="TableParagraph"/>
              <w:rPr>
                <w:sz w:val="14"/>
              </w:rPr>
            </w:pPr>
          </w:p>
        </w:tc>
      </w:tr>
    </w:tbl>
    <w:p>
      <w:pPr>
        <w:tabs>
          <w:tab w:pos="7200" w:val="left" w:leader="none"/>
          <w:tab w:pos="7772" w:val="left" w:leader="none"/>
        </w:tabs>
        <w:spacing w:before="4"/>
        <w:ind w:left="156" w:right="0" w:firstLine="0"/>
        <w:jc w:val="left"/>
        <w:rPr>
          <w:sz w:val="14"/>
        </w:rPr>
      </w:pPr>
      <w:r>
        <w:rPr/>
        <mc:AlternateContent>
          <mc:Choice Requires="wps">
            <w:drawing>
              <wp:anchor distT="0" distB="0" distL="0" distR="0" allowOverlap="1" layoutInCell="1" locked="0" behindDoc="0" simplePos="0" relativeHeight="15853568">
                <wp:simplePos x="0" y="0"/>
                <wp:positionH relativeFrom="page">
                  <wp:posOffset>226488</wp:posOffset>
                </wp:positionH>
                <wp:positionV relativeFrom="paragraph">
                  <wp:posOffset>102043</wp:posOffset>
                </wp:positionV>
                <wp:extent cx="7312659" cy="9715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7312659" cy="97155"/>
                        </a:xfrm>
                        <a:prstGeom prst="rect">
                          <a:avLst/>
                        </a:prstGeom>
                        <a:solidFill>
                          <a:srgbClr val="CCEDFF"/>
                        </a:solidFill>
                      </wps:spPr>
                      <wps:txbx>
                        <w:txbxContent>
                          <w:p>
                            <w:pPr>
                              <w:tabs>
                                <w:tab w:pos="3362" w:val="left" w:leader="none"/>
                                <w:tab w:pos="3806" w:val="left" w:leader="none"/>
                                <w:tab w:pos="4840" w:val="left" w:leader="none"/>
                                <w:tab w:pos="5209" w:val="left" w:leader="none"/>
                                <w:tab w:pos="5757" w:val="left" w:leader="none"/>
                                <w:tab w:pos="6127" w:val="left" w:leader="none"/>
                                <w:tab w:pos="6698" w:val="left" w:leader="none"/>
                                <w:tab w:pos="7545" w:val="left" w:leader="none"/>
                                <w:tab w:pos="8509" w:val="left" w:leader="none"/>
                                <w:tab w:pos="8878" w:val="left" w:leader="none"/>
                                <w:tab w:pos="9309" w:val="left" w:leader="none"/>
                                <w:tab w:pos="10343" w:val="left" w:leader="none"/>
                                <w:tab w:pos="10712" w:val="left" w:leader="none"/>
                                <w:tab w:pos="11400" w:val="right" w:leader="none"/>
                              </w:tabs>
                              <w:spacing w:line="153" w:lineRule="exact" w:before="0"/>
                              <w:ind w:left="0" w:right="0" w:firstLine="0"/>
                              <w:jc w:val="left"/>
                              <w:rPr>
                                <w:color w:val="000000"/>
                                <w:sz w:val="14"/>
                              </w:rPr>
                            </w:pPr>
                            <w:r>
                              <w:rPr>
                                <w:color w:val="000000"/>
                                <w:sz w:val="14"/>
                              </w:rPr>
                              <w:t>Current year actuarial (gain) </w:t>
                            </w:r>
                            <w:r>
                              <w:rPr>
                                <w:color w:val="000000"/>
                                <w:spacing w:val="-4"/>
                                <w:sz w:val="14"/>
                              </w:rPr>
                              <w:t>loss</w:t>
                            </w:r>
                            <w:r>
                              <w:rPr>
                                <w:color w:val="000000"/>
                                <w:sz w:val="14"/>
                              </w:rPr>
                              <w:tab/>
                            </w:r>
                            <w:r>
                              <w:rPr>
                                <w:b/>
                                <w:color w:val="000000"/>
                                <w:spacing w:val="-10"/>
                                <w:sz w:val="14"/>
                              </w:rPr>
                              <w:t>$</w:t>
                            </w:r>
                            <w:r>
                              <w:rPr>
                                <w:b/>
                                <w:color w:val="000000"/>
                                <w:sz w:val="14"/>
                              </w:rPr>
                              <w:tab/>
                              <w:t>(105)</w:t>
                            </w:r>
                            <w:r>
                              <w:rPr>
                                <w:b/>
                                <w:color w:val="000000"/>
                                <w:spacing w:val="54"/>
                                <w:sz w:val="14"/>
                              </w:rPr>
                              <w:t>  </w:t>
                            </w:r>
                            <w:r>
                              <w:rPr>
                                <w:color w:val="000000"/>
                                <w:spacing w:val="-10"/>
                                <w:sz w:val="14"/>
                              </w:rPr>
                              <w:t>$</w:t>
                            </w:r>
                            <w:r>
                              <w:rPr>
                                <w:color w:val="000000"/>
                                <w:sz w:val="14"/>
                              </w:rPr>
                              <w:tab/>
                            </w:r>
                            <w:r>
                              <w:rPr>
                                <w:color w:val="000000"/>
                                <w:spacing w:val="-5"/>
                                <w:sz w:val="14"/>
                              </w:rPr>
                              <w:t>94</w:t>
                            </w:r>
                            <w:r>
                              <w:rPr>
                                <w:color w:val="000000"/>
                                <w:sz w:val="14"/>
                              </w:rPr>
                              <w:tab/>
                            </w:r>
                            <w:r>
                              <w:rPr>
                                <w:color w:val="000000"/>
                                <w:spacing w:val="-10"/>
                                <w:sz w:val="14"/>
                              </w:rPr>
                              <w:t>$</w:t>
                            </w:r>
                            <w:r>
                              <w:rPr>
                                <w:color w:val="000000"/>
                                <w:sz w:val="14"/>
                              </w:rPr>
                              <w:tab/>
                            </w:r>
                            <w:r>
                              <w:rPr>
                                <w:color w:val="000000"/>
                                <w:spacing w:val="-5"/>
                                <w:sz w:val="14"/>
                              </w:rPr>
                              <w:t>47</w:t>
                            </w:r>
                            <w:r>
                              <w:rPr>
                                <w:color w:val="000000"/>
                                <w:sz w:val="14"/>
                              </w:rPr>
                              <w:tab/>
                            </w:r>
                            <w:r>
                              <w:rPr>
                                <w:b/>
                                <w:color w:val="000000"/>
                                <w:spacing w:val="-10"/>
                                <w:sz w:val="14"/>
                              </w:rPr>
                              <w:t>$</w:t>
                            </w:r>
                            <w:r>
                              <w:rPr>
                                <w:b/>
                                <w:color w:val="000000"/>
                                <w:sz w:val="14"/>
                              </w:rPr>
                              <w:tab/>
                            </w:r>
                            <w:r>
                              <w:rPr>
                                <w:b/>
                                <w:color w:val="000000"/>
                                <w:spacing w:val="-5"/>
                                <w:sz w:val="14"/>
                              </w:rPr>
                              <w:t>(7)</w:t>
                            </w:r>
                            <w:r>
                              <w:rPr>
                                <w:b/>
                                <w:color w:val="000000"/>
                                <w:sz w:val="14"/>
                              </w:rPr>
                              <w:tab/>
                            </w:r>
                            <w:r>
                              <w:rPr>
                                <w:color w:val="000000"/>
                                <w:sz w:val="14"/>
                              </w:rPr>
                              <w:t>(11)</w:t>
                            </w:r>
                            <w:r>
                              <w:rPr>
                                <w:color w:val="000000"/>
                                <w:spacing w:val="55"/>
                                <w:sz w:val="14"/>
                              </w:rPr>
                              <w:t>  </w:t>
                            </w:r>
                            <w:r>
                              <w:rPr>
                                <w:color w:val="000000"/>
                                <w:spacing w:val="-10"/>
                                <w:sz w:val="14"/>
                              </w:rPr>
                              <w:t>$</w:t>
                            </w:r>
                            <w:r>
                              <w:rPr>
                                <w:color w:val="000000"/>
                                <w:sz w:val="14"/>
                              </w:rPr>
                              <w:tab/>
                            </w:r>
                            <w:r>
                              <w:rPr>
                                <w:color w:val="000000"/>
                                <w:spacing w:val="-5"/>
                                <w:sz w:val="14"/>
                              </w:rPr>
                              <w:t>41</w:t>
                            </w:r>
                            <w:r>
                              <w:rPr>
                                <w:color w:val="000000"/>
                                <w:sz w:val="14"/>
                              </w:rPr>
                              <w:tab/>
                            </w:r>
                            <w:r>
                              <w:rPr>
                                <w:b/>
                                <w:color w:val="000000"/>
                                <w:spacing w:val="-10"/>
                                <w:sz w:val="14"/>
                              </w:rPr>
                              <w:t>$</w:t>
                            </w:r>
                            <w:r>
                              <w:rPr>
                                <w:b/>
                                <w:color w:val="000000"/>
                                <w:sz w:val="14"/>
                              </w:rPr>
                              <w:tab/>
                              <w:t>(105)</w:t>
                            </w:r>
                            <w:r>
                              <w:rPr>
                                <w:b/>
                                <w:color w:val="000000"/>
                                <w:spacing w:val="54"/>
                                <w:sz w:val="14"/>
                              </w:rPr>
                              <w:t>  </w:t>
                            </w:r>
                            <w:r>
                              <w:rPr>
                                <w:color w:val="000000"/>
                                <w:spacing w:val="-10"/>
                                <w:sz w:val="14"/>
                              </w:rPr>
                              <w:t>$</w:t>
                            </w:r>
                            <w:r>
                              <w:rPr>
                                <w:color w:val="000000"/>
                                <w:sz w:val="14"/>
                              </w:rPr>
                              <w:tab/>
                            </w:r>
                            <w:r>
                              <w:rPr>
                                <w:color w:val="000000"/>
                                <w:spacing w:val="-5"/>
                                <w:sz w:val="14"/>
                              </w:rPr>
                              <w:t>58</w:t>
                            </w:r>
                            <w:r>
                              <w:rPr>
                                <w:color w:val="000000"/>
                                <w:sz w:val="14"/>
                              </w:rPr>
                              <w:tab/>
                            </w:r>
                            <w:r>
                              <w:rPr>
                                <w:color w:val="000000"/>
                                <w:spacing w:val="-10"/>
                                <w:sz w:val="14"/>
                              </w:rPr>
                              <w:t>$</w:t>
                            </w:r>
                            <w:r>
                              <w:rPr>
                                <w:color w:val="000000"/>
                                <w:sz w:val="14"/>
                              </w:rPr>
                              <w:tab/>
                            </w:r>
                            <w:r>
                              <w:rPr>
                                <w:color w:val="000000"/>
                                <w:spacing w:val="-10"/>
                                <w:sz w:val="14"/>
                              </w:rPr>
                              <w:t>6</w:t>
                            </w:r>
                          </w:p>
                        </w:txbxContent>
                      </wps:txbx>
                      <wps:bodyPr wrap="square" lIns="0" tIns="0" rIns="0" bIns="0" rtlCol="0">
                        <a:noAutofit/>
                      </wps:bodyPr>
                    </wps:wsp>
                  </a:graphicData>
                </a:graphic>
              </wp:anchor>
            </w:drawing>
          </mc:Choice>
          <mc:Fallback>
            <w:pict>
              <v:shape style="position:absolute;margin-left:17.833740pt;margin-top:8.034925pt;width:575.8pt;height:7.65pt;mso-position-horizontal-relative:page;mso-position-vertical-relative:paragraph;z-index:15853568" type="#_x0000_t202" id="docshape469" filled="true" fillcolor="#ccedff" stroked="false">
                <v:textbox inset="0,0,0,0">
                  <w:txbxContent>
                    <w:p>
                      <w:pPr>
                        <w:tabs>
                          <w:tab w:pos="3362" w:val="left" w:leader="none"/>
                          <w:tab w:pos="3806" w:val="left" w:leader="none"/>
                          <w:tab w:pos="4840" w:val="left" w:leader="none"/>
                          <w:tab w:pos="5209" w:val="left" w:leader="none"/>
                          <w:tab w:pos="5757" w:val="left" w:leader="none"/>
                          <w:tab w:pos="6127" w:val="left" w:leader="none"/>
                          <w:tab w:pos="6698" w:val="left" w:leader="none"/>
                          <w:tab w:pos="7545" w:val="left" w:leader="none"/>
                          <w:tab w:pos="8509" w:val="left" w:leader="none"/>
                          <w:tab w:pos="8878" w:val="left" w:leader="none"/>
                          <w:tab w:pos="9309" w:val="left" w:leader="none"/>
                          <w:tab w:pos="10343" w:val="left" w:leader="none"/>
                          <w:tab w:pos="10712" w:val="left" w:leader="none"/>
                          <w:tab w:pos="11400" w:val="right" w:leader="none"/>
                        </w:tabs>
                        <w:spacing w:line="153" w:lineRule="exact" w:before="0"/>
                        <w:ind w:left="0" w:right="0" w:firstLine="0"/>
                        <w:jc w:val="left"/>
                        <w:rPr>
                          <w:color w:val="000000"/>
                          <w:sz w:val="14"/>
                        </w:rPr>
                      </w:pPr>
                      <w:r>
                        <w:rPr>
                          <w:color w:val="000000"/>
                          <w:sz w:val="14"/>
                        </w:rPr>
                        <w:t>Current year actuarial (gain) </w:t>
                      </w:r>
                      <w:r>
                        <w:rPr>
                          <w:color w:val="000000"/>
                          <w:spacing w:val="-4"/>
                          <w:sz w:val="14"/>
                        </w:rPr>
                        <w:t>loss</w:t>
                      </w:r>
                      <w:r>
                        <w:rPr>
                          <w:color w:val="000000"/>
                          <w:sz w:val="14"/>
                        </w:rPr>
                        <w:tab/>
                      </w:r>
                      <w:r>
                        <w:rPr>
                          <w:b/>
                          <w:color w:val="000000"/>
                          <w:spacing w:val="-10"/>
                          <w:sz w:val="14"/>
                        </w:rPr>
                        <w:t>$</w:t>
                      </w:r>
                      <w:r>
                        <w:rPr>
                          <w:b/>
                          <w:color w:val="000000"/>
                          <w:sz w:val="14"/>
                        </w:rPr>
                        <w:tab/>
                        <w:t>(105)</w:t>
                      </w:r>
                      <w:r>
                        <w:rPr>
                          <w:b/>
                          <w:color w:val="000000"/>
                          <w:spacing w:val="54"/>
                          <w:sz w:val="14"/>
                        </w:rPr>
                        <w:t>  </w:t>
                      </w:r>
                      <w:r>
                        <w:rPr>
                          <w:color w:val="000000"/>
                          <w:spacing w:val="-10"/>
                          <w:sz w:val="14"/>
                        </w:rPr>
                        <w:t>$</w:t>
                      </w:r>
                      <w:r>
                        <w:rPr>
                          <w:color w:val="000000"/>
                          <w:sz w:val="14"/>
                        </w:rPr>
                        <w:tab/>
                      </w:r>
                      <w:r>
                        <w:rPr>
                          <w:color w:val="000000"/>
                          <w:spacing w:val="-5"/>
                          <w:sz w:val="14"/>
                        </w:rPr>
                        <w:t>94</w:t>
                      </w:r>
                      <w:r>
                        <w:rPr>
                          <w:color w:val="000000"/>
                          <w:sz w:val="14"/>
                        </w:rPr>
                        <w:tab/>
                      </w:r>
                      <w:r>
                        <w:rPr>
                          <w:color w:val="000000"/>
                          <w:spacing w:val="-10"/>
                          <w:sz w:val="14"/>
                        </w:rPr>
                        <w:t>$</w:t>
                      </w:r>
                      <w:r>
                        <w:rPr>
                          <w:color w:val="000000"/>
                          <w:sz w:val="14"/>
                        </w:rPr>
                        <w:tab/>
                      </w:r>
                      <w:r>
                        <w:rPr>
                          <w:color w:val="000000"/>
                          <w:spacing w:val="-5"/>
                          <w:sz w:val="14"/>
                        </w:rPr>
                        <w:t>47</w:t>
                      </w:r>
                      <w:r>
                        <w:rPr>
                          <w:color w:val="000000"/>
                          <w:sz w:val="14"/>
                        </w:rPr>
                        <w:tab/>
                      </w:r>
                      <w:r>
                        <w:rPr>
                          <w:b/>
                          <w:color w:val="000000"/>
                          <w:spacing w:val="-10"/>
                          <w:sz w:val="14"/>
                        </w:rPr>
                        <w:t>$</w:t>
                      </w:r>
                      <w:r>
                        <w:rPr>
                          <w:b/>
                          <w:color w:val="000000"/>
                          <w:sz w:val="14"/>
                        </w:rPr>
                        <w:tab/>
                      </w:r>
                      <w:r>
                        <w:rPr>
                          <w:b/>
                          <w:color w:val="000000"/>
                          <w:spacing w:val="-5"/>
                          <w:sz w:val="14"/>
                        </w:rPr>
                        <w:t>(7)</w:t>
                      </w:r>
                      <w:r>
                        <w:rPr>
                          <w:b/>
                          <w:color w:val="000000"/>
                          <w:sz w:val="14"/>
                        </w:rPr>
                        <w:tab/>
                      </w:r>
                      <w:r>
                        <w:rPr>
                          <w:color w:val="000000"/>
                          <w:sz w:val="14"/>
                        </w:rPr>
                        <w:t>(11)</w:t>
                      </w:r>
                      <w:r>
                        <w:rPr>
                          <w:color w:val="000000"/>
                          <w:spacing w:val="55"/>
                          <w:sz w:val="14"/>
                        </w:rPr>
                        <w:t>  </w:t>
                      </w:r>
                      <w:r>
                        <w:rPr>
                          <w:color w:val="000000"/>
                          <w:spacing w:val="-10"/>
                          <w:sz w:val="14"/>
                        </w:rPr>
                        <w:t>$</w:t>
                      </w:r>
                      <w:r>
                        <w:rPr>
                          <w:color w:val="000000"/>
                          <w:sz w:val="14"/>
                        </w:rPr>
                        <w:tab/>
                      </w:r>
                      <w:r>
                        <w:rPr>
                          <w:color w:val="000000"/>
                          <w:spacing w:val="-5"/>
                          <w:sz w:val="14"/>
                        </w:rPr>
                        <w:t>41</w:t>
                      </w:r>
                      <w:r>
                        <w:rPr>
                          <w:color w:val="000000"/>
                          <w:sz w:val="14"/>
                        </w:rPr>
                        <w:tab/>
                      </w:r>
                      <w:r>
                        <w:rPr>
                          <w:b/>
                          <w:color w:val="000000"/>
                          <w:spacing w:val="-10"/>
                          <w:sz w:val="14"/>
                        </w:rPr>
                        <w:t>$</w:t>
                      </w:r>
                      <w:r>
                        <w:rPr>
                          <w:b/>
                          <w:color w:val="000000"/>
                          <w:sz w:val="14"/>
                        </w:rPr>
                        <w:tab/>
                        <w:t>(105)</w:t>
                      </w:r>
                      <w:r>
                        <w:rPr>
                          <w:b/>
                          <w:color w:val="000000"/>
                          <w:spacing w:val="54"/>
                          <w:sz w:val="14"/>
                        </w:rPr>
                        <w:t>  </w:t>
                      </w:r>
                      <w:r>
                        <w:rPr>
                          <w:color w:val="000000"/>
                          <w:spacing w:val="-10"/>
                          <w:sz w:val="14"/>
                        </w:rPr>
                        <w:t>$</w:t>
                      </w:r>
                      <w:r>
                        <w:rPr>
                          <w:color w:val="000000"/>
                          <w:sz w:val="14"/>
                        </w:rPr>
                        <w:tab/>
                      </w:r>
                      <w:r>
                        <w:rPr>
                          <w:color w:val="000000"/>
                          <w:spacing w:val="-5"/>
                          <w:sz w:val="14"/>
                        </w:rPr>
                        <w:t>58</w:t>
                      </w:r>
                      <w:r>
                        <w:rPr>
                          <w:color w:val="000000"/>
                          <w:sz w:val="14"/>
                        </w:rPr>
                        <w:tab/>
                      </w:r>
                      <w:r>
                        <w:rPr>
                          <w:color w:val="000000"/>
                          <w:spacing w:val="-10"/>
                          <w:sz w:val="14"/>
                        </w:rPr>
                        <w:t>$</w:t>
                      </w:r>
                      <w:r>
                        <w:rPr>
                          <w:color w:val="000000"/>
                          <w:sz w:val="14"/>
                        </w:rPr>
                        <w:tab/>
                      </w:r>
                      <w:r>
                        <w:rPr>
                          <w:color w:val="000000"/>
                          <w:spacing w:val="-10"/>
                          <w:sz w:val="14"/>
                        </w:rPr>
                        <w:t>6</w:t>
                      </w:r>
                    </w:p>
                  </w:txbxContent>
                </v:textbox>
                <v:fill type="solid"/>
                <w10:wrap type="none"/>
              </v:shape>
            </w:pict>
          </mc:Fallback>
        </mc:AlternateContent>
      </w:r>
      <w:r>
        <w:rPr>
          <w:sz w:val="14"/>
        </w:rPr>
        <w:t>Curtailment </w:t>
      </w:r>
      <w:r>
        <w:rPr>
          <w:spacing w:val="-2"/>
          <w:sz w:val="14"/>
        </w:rPr>
        <w:t>effects</w:t>
      </w:r>
      <w:r>
        <w:rPr>
          <w:sz w:val="14"/>
        </w:rPr>
        <w:tab/>
      </w:r>
      <w:r>
        <w:rPr>
          <w:spacing w:val="-10"/>
          <w:sz w:val="14"/>
        </w:rPr>
        <w:t>$</w:t>
      </w:r>
      <w:r>
        <w:rPr>
          <w:sz w:val="14"/>
        </w:rPr>
        <w:tab/>
      </w:r>
      <w:r>
        <w:rPr>
          <w:spacing w:val="-5"/>
          <w:sz w:val="14"/>
        </w:rPr>
        <w:t>(4)</w:t>
      </w:r>
    </w:p>
    <w:p>
      <w:pPr>
        <w:tabs>
          <w:tab w:pos="9606" w:val="left" w:leader="none"/>
          <w:tab w:pos="10523" w:val="left" w:leader="none"/>
          <w:tab w:pos="11557" w:val="right" w:leader="none"/>
        </w:tabs>
        <w:spacing w:before="145"/>
        <w:ind w:left="156" w:right="0" w:firstLine="0"/>
        <w:jc w:val="left"/>
        <w:rPr>
          <w:sz w:val="14"/>
        </w:rPr>
      </w:pPr>
      <w:r>
        <w:rPr/>
        <mc:AlternateContent>
          <mc:Choice Requires="wps">
            <w:drawing>
              <wp:anchor distT="0" distB="0" distL="0" distR="0" allowOverlap="1" layoutInCell="1" locked="0" behindDoc="0" simplePos="0" relativeHeight="15853056">
                <wp:simplePos x="0" y="0"/>
                <wp:positionH relativeFrom="page">
                  <wp:posOffset>226488</wp:posOffset>
                </wp:positionH>
                <wp:positionV relativeFrom="paragraph">
                  <wp:posOffset>191410</wp:posOffset>
                </wp:positionV>
                <wp:extent cx="7312659" cy="9715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7312659" cy="97155"/>
                        </a:xfrm>
                        <a:prstGeom prst="rect">
                          <a:avLst/>
                        </a:prstGeom>
                        <a:solidFill>
                          <a:srgbClr val="CCEDFF"/>
                        </a:solidFill>
                      </wps:spPr>
                      <wps:txbx>
                        <w:txbxContent>
                          <w:p>
                            <w:pPr>
                              <w:tabs>
                                <w:tab w:pos="3876" w:val="left" w:leader="none"/>
                                <w:tab w:pos="4793" w:val="left" w:leader="none"/>
                                <w:tab w:pos="5711" w:val="left" w:leader="none"/>
                                <w:tab w:pos="6698" w:val="left" w:leader="none"/>
                                <w:tab w:pos="7545" w:val="left" w:leader="none"/>
                                <w:tab w:pos="8462" w:val="left" w:leader="none"/>
                              </w:tabs>
                              <w:spacing w:line="153" w:lineRule="exact" w:before="0"/>
                              <w:ind w:left="0" w:right="0" w:firstLine="0"/>
                              <w:jc w:val="left"/>
                              <w:rPr>
                                <w:color w:val="000000"/>
                                <w:sz w:val="14"/>
                              </w:rPr>
                            </w:pPr>
                            <w:r>
                              <w:rPr>
                                <w:color w:val="000000"/>
                                <w:sz w:val="14"/>
                              </w:rPr>
                              <w:t>Recognition of actuarial </w:t>
                            </w:r>
                            <w:r>
                              <w:rPr>
                                <w:color w:val="000000"/>
                                <w:spacing w:val="-4"/>
                                <w:sz w:val="14"/>
                              </w:rPr>
                              <w:t>loss</w:t>
                            </w:r>
                            <w:r>
                              <w:rPr>
                                <w:color w:val="000000"/>
                                <w:sz w:val="14"/>
                              </w:rPr>
                              <w:tab/>
                            </w:r>
                            <w:r>
                              <w:rPr>
                                <w:b/>
                                <w:color w:val="000000"/>
                                <w:spacing w:val="-4"/>
                                <w:sz w:val="14"/>
                              </w:rPr>
                              <w:t>(10)</w:t>
                            </w:r>
                            <w:r>
                              <w:rPr>
                                <w:b/>
                                <w:color w:val="000000"/>
                                <w:sz w:val="14"/>
                              </w:rPr>
                              <w:tab/>
                            </w:r>
                            <w:r>
                              <w:rPr>
                                <w:color w:val="000000"/>
                                <w:spacing w:val="-4"/>
                                <w:sz w:val="14"/>
                              </w:rPr>
                              <w:t>(12)</w:t>
                            </w:r>
                            <w:r>
                              <w:rPr>
                                <w:color w:val="000000"/>
                                <w:sz w:val="14"/>
                              </w:rPr>
                              <w:tab/>
                            </w:r>
                            <w:r>
                              <w:rPr>
                                <w:color w:val="000000"/>
                                <w:spacing w:val="-4"/>
                                <w:sz w:val="14"/>
                              </w:rPr>
                              <w:t>(66)</w:t>
                            </w:r>
                            <w:r>
                              <w:rPr>
                                <w:color w:val="000000"/>
                                <w:sz w:val="14"/>
                              </w:rPr>
                              <w:tab/>
                            </w:r>
                            <w:r>
                              <w:rPr>
                                <w:b/>
                                <w:color w:val="000000"/>
                                <w:spacing w:val="-5"/>
                                <w:sz w:val="14"/>
                              </w:rPr>
                              <w:t>(1)</w:t>
                            </w:r>
                            <w:r>
                              <w:rPr>
                                <w:b/>
                                <w:color w:val="000000"/>
                                <w:sz w:val="14"/>
                              </w:rPr>
                              <w:tab/>
                            </w:r>
                            <w:r>
                              <w:rPr>
                                <w:color w:val="000000"/>
                                <w:spacing w:val="-4"/>
                                <w:sz w:val="14"/>
                              </w:rPr>
                              <w:t>(10)</w:t>
                            </w:r>
                            <w:r>
                              <w:rPr>
                                <w:color w:val="000000"/>
                                <w:sz w:val="14"/>
                              </w:rPr>
                              <w:tab/>
                            </w:r>
                            <w:r>
                              <w:rPr>
                                <w:color w:val="000000"/>
                                <w:spacing w:val="-4"/>
                                <w:sz w:val="14"/>
                              </w:rPr>
                              <w:t>(24)</w:t>
                            </w:r>
                          </w:p>
                        </w:txbxContent>
                      </wps:txbx>
                      <wps:bodyPr wrap="square" lIns="0" tIns="0" rIns="0" bIns="0" rtlCol="0">
                        <a:noAutofit/>
                      </wps:bodyPr>
                    </wps:wsp>
                  </a:graphicData>
                </a:graphic>
              </wp:anchor>
            </w:drawing>
          </mc:Choice>
          <mc:Fallback>
            <w:pict>
              <v:shape style="position:absolute;margin-left:17.833740pt;margin-top:15.071671pt;width:575.8pt;height:7.65pt;mso-position-horizontal-relative:page;mso-position-vertical-relative:paragraph;z-index:15853056" type="#_x0000_t202" id="docshape470" filled="true" fillcolor="#ccedff" stroked="false">
                <v:textbox inset="0,0,0,0">
                  <w:txbxContent>
                    <w:p>
                      <w:pPr>
                        <w:tabs>
                          <w:tab w:pos="3876" w:val="left" w:leader="none"/>
                          <w:tab w:pos="4793" w:val="left" w:leader="none"/>
                          <w:tab w:pos="5711" w:val="left" w:leader="none"/>
                          <w:tab w:pos="6698" w:val="left" w:leader="none"/>
                          <w:tab w:pos="7545" w:val="left" w:leader="none"/>
                          <w:tab w:pos="8462" w:val="left" w:leader="none"/>
                        </w:tabs>
                        <w:spacing w:line="153" w:lineRule="exact" w:before="0"/>
                        <w:ind w:left="0" w:right="0" w:firstLine="0"/>
                        <w:jc w:val="left"/>
                        <w:rPr>
                          <w:color w:val="000000"/>
                          <w:sz w:val="14"/>
                        </w:rPr>
                      </w:pPr>
                      <w:r>
                        <w:rPr>
                          <w:color w:val="000000"/>
                          <w:sz w:val="14"/>
                        </w:rPr>
                        <w:t>Recognition of actuarial </w:t>
                      </w:r>
                      <w:r>
                        <w:rPr>
                          <w:color w:val="000000"/>
                          <w:spacing w:val="-4"/>
                          <w:sz w:val="14"/>
                        </w:rPr>
                        <w:t>loss</w:t>
                      </w:r>
                      <w:r>
                        <w:rPr>
                          <w:color w:val="000000"/>
                          <w:sz w:val="14"/>
                        </w:rPr>
                        <w:tab/>
                      </w:r>
                      <w:r>
                        <w:rPr>
                          <w:b/>
                          <w:color w:val="000000"/>
                          <w:spacing w:val="-4"/>
                          <w:sz w:val="14"/>
                        </w:rPr>
                        <w:t>(10)</w:t>
                      </w:r>
                      <w:r>
                        <w:rPr>
                          <w:b/>
                          <w:color w:val="000000"/>
                          <w:sz w:val="14"/>
                        </w:rPr>
                        <w:tab/>
                      </w:r>
                      <w:r>
                        <w:rPr>
                          <w:color w:val="000000"/>
                          <w:spacing w:val="-4"/>
                          <w:sz w:val="14"/>
                        </w:rPr>
                        <w:t>(12)</w:t>
                      </w:r>
                      <w:r>
                        <w:rPr>
                          <w:color w:val="000000"/>
                          <w:sz w:val="14"/>
                        </w:rPr>
                        <w:tab/>
                      </w:r>
                      <w:r>
                        <w:rPr>
                          <w:color w:val="000000"/>
                          <w:spacing w:val="-4"/>
                          <w:sz w:val="14"/>
                        </w:rPr>
                        <w:t>(66)</w:t>
                      </w:r>
                      <w:r>
                        <w:rPr>
                          <w:color w:val="000000"/>
                          <w:sz w:val="14"/>
                        </w:rPr>
                        <w:tab/>
                      </w:r>
                      <w:r>
                        <w:rPr>
                          <w:b/>
                          <w:color w:val="000000"/>
                          <w:spacing w:val="-5"/>
                          <w:sz w:val="14"/>
                        </w:rPr>
                        <w:t>(1)</w:t>
                      </w:r>
                      <w:r>
                        <w:rPr>
                          <w:b/>
                          <w:color w:val="000000"/>
                          <w:sz w:val="14"/>
                        </w:rPr>
                        <w:tab/>
                      </w:r>
                      <w:r>
                        <w:rPr>
                          <w:color w:val="000000"/>
                          <w:spacing w:val="-4"/>
                          <w:sz w:val="14"/>
                        </w:rPr>
                        <w:t>(10)</w:t>
                      </w:r>
                      <w:r>
                        <w:rPr>
                          <w:color w:val="000000"/>
                          <w:sz w:val="14"/>
                        </w:rPr>
                        <w:tab/>
                      </w:r>
                      <w:r>
                        <w:rPr>
                          <w:color w:val="000000"/>
                          <w:spacing w:val="-4"/>
                          <w:sz w:val="14"/>
                        </w:rPr>
                        <w:t>(24)</w:t>
                      </w:r>
                    </w:p>
                  </w:txbxContent>
                </v:textbox>
                <v:fill type="solid"/>
                <w10:wrap type="none"/>
              </v:shape>
            </w:pict>
          </mc:Fallback>
        </mc:AlternateContent>
      </w:r>
      <w:r>
        <w:rPr>
          <w:sz w:val="14"/>
        </w:rPr>
        <w:t>Amortization of actuarial (loss) </w:t>
      </w:r>
      <w:r>
        <w:rPr>
          <w:spacing w:val="-4"/>
          <w:sz w:val="14"/>
        </w:rPr>
        <w:t>gain</w:t>
      </w:r>
      <w:r>
        <w:rPr>
          <w:sz w:val="14"/>
        </w:rPr>
        <w:tab/>
      </w:r>
      <w:r>
        <w:rPr>
          <w:b/>
          <w:spacing w:val="-5"/>
          <w:sz w:val="14"/>
        </w:rPr>
        <w:t>(2)</w:t>
      </w:r>
      <w:r>
        <w:rPr>
          <w:b/>
          <w:sz w:val="14"/>
        </w:rPr>
        <w:tab/>
      </w:r>
      <w:r>
        <w:rPr>
          <w:spacing w:val="-5"/>
          <w:sz w:val="14"/>
        </w:rPr>
        <w:t>(1)</w:t>
      </w:r>
      <w:r>
        <w:rPr>
          <w:sz w:val="14"/>
        </w:rPr>
        <w:tab/>
      </w:r>
      <w:r>
        <w:rPr>
          <w:spacing w:val="-10"/>
          <w:sz w:val="14"/>
        </w:rPr>
        <w:t>1</w:t>
      </w:r>
    </w:p>
    <w:p>
      <w:pPr>
        <w:tabs>
          <w:tab w:pos="5067" w:val="left" w:leader="none"/>
          <w:tab w:pos="11557" w:val="right" w:leader="none"/>
        </w:tabs>
        <w:spacing w:line="159" w:lineRule="exact" w:before="145"/>
        <w:ind w:left="156" w:right="0" w:firstLine="0"/>
        <w:jc w:val="left"/>
        <w:rPr>
          <w:sz w:val="14"/>
        </w:rPr>
      </w:pPr>
      <w:r>
        <w:rPr/>
        <mc:AlternateContent>
          <mc:Choice Requires="wps">
            <w:drawing>
              <wp:anchor distT="0" distB="0" distL="0" distR="0" allowOverlap="1" layoutInCell="1" locked="0" behindDoc="1" simplePos="0" relativeHeight="474137088">
                <wp:simplePos x="0" y="0"/>
                <wp:positionH relativeFrom="page">
                  <wp:posOffset>226488</wp:posOffset>
                </wp:positionH>
                <wp:positionV relativeFrom="paragraph">
                  <wp:posOffset>191241</wp:posOffset>
                </wp:positionV>
                <wp:extent cx="6875780" cy="105410"/>
                <wp:effectExtent l="0" t="0" r="0" b="0"/>
                <wp:wrapNone/>
                <wp:docPr id="472" name="Group 472"/>
                <wp:cNvGraphicFramePr>
                  <a:graphicFrameLocks/>
                </wp:cNvGraphicFramePr>
                <a:graphic>
                  <a:graphicData uri="http://schemas.microsoft.com/office/word/2010/wordprocessingGroup">
                    <wpg:wgp>
                      <wpg:cNvPr id="472" name="Group 472"/>
                      <wpg:cNvGrpSpPr/>
                      <wpg:grpSpPr>
                        <a:xfrm>
                          <a:off x="0" y="0"/>
                          <a:ext cx="6875780" cy="105410"/>
                          <a:chExt cx="6875780" cy="105410"/>
                        </a:xfrm>
                      </wpg:grpSpPr>
                      <wps:wsp>
                        <wps:cNvPr id="473" name="Graphic 473"/>
                        <wps:cNvSpPr/>
                        <wps:spPr>
                          <a:xfrm>
                            <a:off x="0" y="0"/>
                            <a:ext cx="2054860" cy="105410"/>
                          </a:xfrm>
                          <a:custGeom>
                            <a:avLst/>
                            <a:gdLst/>
                            <a:ahLst/>
                            <a:cxnLst/>
                            <a:rect l="l" t="t" r="r" b="b"/>
                            <a:pathLst>
                              <a:path w="2054860" h="105410">
                                <a:moveTo>
                                  <a:pt x="0" y="0"/>
                                </a:moveTo>
                                <a:lnTo>
                                  <a:pt x="2054574" y="0"/>
                                </a:lnTo>
                                <a:lnTo>
                                  <a:pt x="2054574"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474" name="Graphic 474"/>
                        <wps:cNvSpPr/>
                        <wps:spPr>
                          <a:xfrm>
                            <a:off x="0" y="97066"/>
                            <a:ext cx="2054860" cy="8255"/>
                          </a:xfrm>
                          <a:custGeom>
                            <a:avLst/>
                            <a:gdLst/>
                            <a:ahLst/>
                            <a:cxnLst/>
                            <a:rect l="l" t="t" r="r" b="b"/>
                            <a:pathLst>
                              <a:path w="2054860" h="8255">
                                <a:moveTo>
                                  <a:pt x="0" y="0"/>
                                </a:moveTo>
                                <a:lnTo>
                                  <a:pt x="2054574" y="0"/>
                                </a:lnTo>
                                <a:lnTo>
                                  <a:pt x="2054574"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2054574" y="0"/>
                            <a:ext cx="81280" cy="105410"/>
                          </a:xfrm>
                          <a:custGeom>
                            <a:avLst/>
                            <a:gdLst/>
                            <a:ahLst/>
                            <a:cxnLst/>
                            <a:rect l="l" t="t" r="r" b="b"/>
                            <a:pathLst>
                              <a:path w="81280" h="105410">
                                <a:moveTo>
                                  <a:pt x="0" y="0"/>
                                </a:moveTo>
                                <a:lnTo>
                                  <a:pt x="80888" y="0"/>
                                </a:lnTo>
                                <a:lnTo>
                                  <a:pt x="80888"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476" name="Graphic 476"/>
                        <wps:cNvSpPr/>
                        <wps:spPr>
                          <a:xfrm>
                            <a:off x="2054574" y="97066"/>
                            <a:ext cx="81280" cy="8255"/>
                          </a:xfrm>
                          <a:custGeom>
                            <a:avLst/>
                            <a:gdLst/>
                            <a:ahLst/>
                            <a:cxnLst/>
                            <a:rect l="l" t="t" r="r" b="b"/>
                            <a:pathLst>
                              <a:path w="81280" h="8255">
                                <a:moveTo>
                                  <a:pt x="0" y="0"/>
                                </a:moveTo>
                                <a:lnTo>
                                  <a:pt x="80888" y="0"/>
                                </a:lnTo>
                                <a:lnTo>
                                  <a:pt x="80888"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2135463" y="0"/>
                            <a:ext cx="81280" cy="105410"/>
                          </a:xfrm>
                          <a:custGeom>
                            <a:avLst/>
                            <a:gdLst/>
                            <a:ahLst/>
                            <a:cxnLst/>
                            <a:rect l="l" t="t" r="r" b="b"/>
                            <a:pathLst>
                              <a:path w="81280" h="105410">
                                <a:moveTo>
                                  <a:pt x="0" y="0"/>
                                </a:moveTo>
                                <a:lnTo>
                                  <a:pt x="80888" y="0"/>
                                </a:lnTo>
                                <a:lnTo>
                                  <a:pt x="80888"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478" name="Graphic 478"/>
                        <wps:cNvSpPr/>
                        <wps:spPr>
                          <a:xfrm>
                            <a:off x="2135463" y="97066"/>
                            <a:ext cx="81280" cy="8255"/>
                          </a:xfrm>
                          <a:custGeom>
                            <a:avLst/>
                            <a:gdLst/>
                            <a:ahLst/>
                            <a:cxnLst/>
                            <a:rect l="l" t="t" r="r" b="b"/>
                            <a:pathLst>
                              <a:path w="81280" h="8255">
                                <a:moveTo>
                                  <a:pt x="0" y="0"/>
                                </a:moveTo>
                                <a:lnTo>
                                  <a:pt x="80888" y="0"/>
                                </a:lnTo>
                                <a:lnTo>
                                  <a:pt x="80888"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2216351"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480" name="Graphic 480"/>
                        <wps:cNvSpPr/>
                        <wps:spPr>
                          <a:xfrm>
                            <a:off x="2216351"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481" name="Image 481"/>
                          <pic:cNvPicPr/>
                        </pic:nvPicPr>
                        <pic:blipFill>
                          <a:blip r:embed="rId83" cstate="print"/>
                          <a:stretch>
                            <a:fillRect/>
                          </a:stretch>
                        </pic:blipFill>
                        <pic:spPr>
                          <a:xfrm>
                            <a:off x="2580351" y="0"/>
                            <a:ext cx="218399" cy="105155"/>
                          </a:xfrm>
                          <a:prstGeom prst="rect">
                            <a:avLst/>
                          </a:prstGeom>
                        </pic:spPr>
                      </pic:pic>
                      <wps:wsp>
                        <wps:cNvPr id="482" name="Graphic 482"/>
                        <wps:cNvSpPr/>
                        <wps:spPr>
                          <a:xfrm>
                            <a:off x="2798751"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483" name="Graphic 483"/>
                        <wps:cNvSpPr/>
                        <wps:spPr>
                          <a:xfrm>
                            <a:off x="2798751"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484" name="Image 484"/>
                          <pic:cNvPicPr/>
                        </pic:nvPicPr>
                        <pic:blipFill>
                          <a:blip r:embed="rId83" cstate="print"/>
                          <a:stretch>
                            <a:fillRect/>
                          </a:stretch>
                        </pic:blipFill>
                        <pic:spPr>
                          <a:xfrm>
                            <a:off x="3162750" y="0"/>
                            <a:ext cx="218399" cy="105155"/>
                          </a:xfrm>
                          <a:prstGeom prst="rect">
                            <a:avLst/>
                          </a:prstGeom>
                        </pic:spPr>
                      </pic:pic>
                      <wps:wsp>
                        <wps:cNvPr id="485" name="Graphic 485"/>
                        <wps:cNvSpPr/>
                        <wps:spPr>
                          <a:xfrm>
                            <a:off x="3381150"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486" name="Graphic 486"/>
                        <wps:cNvSpPr/>
                        <wps:spPr>
                          <a:xfrm>
                            <a:off x="3381150"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487" name="Image 487"/>
                          <pic:cNvPicPr/>
                        </pic:nvPicPr>
                        <pic:blipFill>
                          <a:blip r:embed="rId83" cstate="print"/>
                          <a:stretch>
                            <a:fillRect/>
                          </a:stretch>
                        </pic:blipFill>
                        <pic:spPr>
                          <a:xfrm>
                            <a:off x="3745149" y="0"/>
                            <a:ext cx="218399" cy="105155"/>
                          </a:xfrm>
                          <a:prstGeom prst="rect">
                            <a:avLst/>
                          </a:prstGeom>
                        </pic:spPr>
                      </pic:pic>
                      <wps:wsp>
                        <wps:cNvPr id="488" name="Graphic 488"/>
                        <wps:cNvSpPr/>
                        <wps:spPr>
                          <a:xfrm>
                            <a:off x="3963549"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489" name="Graphic 489"/>
                        <wps:cNvSpPr/>
                        <wps:spPr>
                          <a:xfrm>
                            <a:off x="3963549"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490" name="Image 490"/>
                          <pic:cNvPicPr/>
                        </pic:nvPicPr>
                        <pic:blipFill>
                          <a:blip r:embed="rId83" cstate="print"/>
                          <a:stretch>
                            <a:fillRect/>
                          </a:stretch>
                        </pic:blipFill>
                        <pic:spPr>
                          <a:xfrm>
                            <a:off x="4327548" y="0"/>
                            <a:ext cx="218399" cy="105155"/>
                          </a:xfrm>
                          <a:prstGeom prst="rect">
                            <a:avLst/>
                          </a:prstGeom>
                        </pic:spPr>
                      </pic:pic>
                      <wps:wsp>
                        <wps:cNvPr id="491" name="Graphic 491"/>
                        <wps:cNvSpPr/>
                        <wps:spPr>
                          <a:xfrm>
                            <a:off x="4545948"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492" name="Graphic 492"/>
                        <wps:cNvSpPr/>
                        <wps:spPr>
                          <a:xfrm>
                            <a:off x="4545948"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493" name="Image 493"/>
                          <pic:cNvPicPr/>
                        </pic:nvPicPr>
                        <pic:blipFill>
                          <a:blip r:embed="rId84" cstate="print"/>
                          <a:stretch>
                            <a:fillRect/>
                          </a:stretch>
                        </pic:blipFill>
                        <pic:spPr>
                          <a:xfrm>
                            <a:off x="4909947" y="0"/>
                            <a:ext cx="218399" cy="105155"/>
                          </a:xfrm>
                          <a:prstGeom prst="rect">
                            <a:avLst/>
                          </a:prstGeom>
                        </pic:spPr>
                      </pic:pic>
                      <wps:wsp>
                        <wps:cNvPr id="494" name="Graphic 494"/>
                        <wps:cNvSpPr/>
                        <wps:spPr>
                          <a:xfrm>
                            <a:off x="5128347"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495" name="Graphic 495"/>
                        <wps:cNvSpPr/>
                        <wps:spPr>
                          <a:xfrm>
                            <a:off x="5128347"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496" name="Image 496"/>
                          <pic:cNvPicPr/>
                        </pic:nvPicPr>
                        <pic:blipFill>
                          <a:blip r:embed="rId83" cstate="print"/>
                          <a:stretch>
                            <a:fillRect/>
                          </a:stretch>
                        </pic:blipFill>
                        <pic:spPr>
                          <a:xfrm>
                            <a:off x="5492346" y="0"/>
                            <a:ext cx="218399" cy="105155"/>
                          </a:xfrm>
                          <a:prstGeom prst="rect">
                            <a:avLst/>
                          </a:prstGeom>
                        </pic:spPr>
                      </pic:pic>
                      <wps:wsp>
                        <wps:cNvPr id="497" name="Graphic 497"/>
                        <wps:cNvSpPr/>
                        <wps:spPr>
                          <a:xfrm>
                            <a:off x="5710746"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498" name="Graphic 498"/>
                        <wps:cNvSpPr/>
                        <wps:spPr>
                          <a:xfrm>
                            <a:off x="5710746"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499" name="Image 499"/>
                          <pic:cNvPicPr/>
                        </pic:nvPicPr>
                        <pic:blipFill>
                          <a:blip r:embed="rId83" cstate="print"/>
                          <a:stretch>
                            <a:fillRect/>
                          </a:stretch>
                        </pic:blipFill>
                        <pic:spPr>
                          <a:xfrm>
                            <a:off x="6074745" y="0"/>
                            <a:ext cx="218399" cy="105155"/>
                          </a:xfrm>
                          <a:prstGeom prst="rect">
                            <a:avLst/>
                          </a:prstGeom>
                        </pic:spPr>
                      </pic:pic>
                      <wps:wsp>
                        <wps:cNvPr id="500" name="Graphic 500"/>
                        <wps:cNvSpPr/>
                        <wps:spPr>
                          <a:xfrm>
                            <a:off x="6293145" y="0"/>
                            <a:ext cx="364490" cy="105410"/>
                          </a:xfrm>
                          <a:custGeom>
                            <a:avLst/>
                            <a:gdLst/>
                            <a:ahLst/>
                            <a:cxnLst/>
                            <a:rect l="l" t="t" r="r" b="b"/>
                            <a:pathLst>
                              <a:path w="364490" h="105410">
                                <a:moveTo>
                                  <a:pt x="0" y="0"/>
                                </a:moveTo>
                                <a:lnTo>
                                  <a:pt x="363999" y="0"/>
                                </a:lnTo>
                                <a:lnTo>
                                  <a:pt x="3639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501" name="Graphic 501"/>
                        <wps:cNvSpPr/>
                        <wps:spPr>
                          <a:xfrm>
                            <a:off x="6293145" y="97066"/>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pic:pic>
                        <pic:nvPicPr>
                          <pic:cNvPr id="502" name="Image 502"/>
                          <pic:cNvPicPr/>
                        </pic:nvPicPr>
                        <pic:blipFill>
                          <a:blip r:embed="rId83" cstate="print"/>
                          <a:stretch>
                            <a:fillRect/>
                          </a:stretch>
                        </pic:blipFill>
                        <pic:spPr>
                          <a:xfrm>
                            <a:off x="6657144" y="0"/>
                            <a:ext cx="218399" cy="105155"/>
                          </a:xfrm>
                          <a:prstGeom prst="rect">
                            <a:avLst/>
                          </a:prstGeom>
                        </pic:spPr>
                      </pic:pic>
                    </wpg:wgp>
                  </a:graphicData>
                </a:graphic>
              </wp:anchor>
            </w:drawing>
          </mc:Choice>
          <mc:Fallback>
            <w:pict>
              <v:group style="position:absolute;margin-left:17.833740pt;margin-top:15.058418pt;width:541.4pt;height:8.3pt;mso-position-horizontal-relative:page;mso-position-vertical-relative:paragraph;z-index:-29179392" id="docshapegroup471" coordorigin="357,301" coordsize="10828,166">
                <v:rect style="position:absolute;left:356;top:301;width:3236;height:166" id="docshape472" filled="true" fillcolor="#ccedff" stroked="false">
                  <v:fill type="solid"/>
                </v:rect>
                <v:rect style="position:absolute;left:356;top:454;width:3236;height:13" id="docshape473" filled="true" fillcolor="#000000" stroked="false">
                  <v:fill type="solid"/>
                </v:rect>
                <v:rect style="position:absolute;left:3592;top:301;width:128;height:166" id="docshape474" filled="true" fillcolor="#ccedff" stroked="false">
                  <v:fill type="solid"/>
                </v:rect>
                <v:rect style="position:absolute;left:3592;top:454;width:128;height:13" id="docshape475" filled="true" fillcolor="#000000" stroked="false">
                  <v:fill type="solid"/>
                </v:rect>
                <v:rect style="position:absolute;left:3719;top:301;width:128;height:166" id="docshape476" filled="true" fillcolor="#ccedff" stroked="false">
                  <v:fill type="solid"/>
                </v:rect>
                <v:rect style="position:absolute;left:3719;top:454;width:128;height:13" id="docshape477" filled="true" fillcolor="#000000" stroked="false">
                  <v:fill type="solid"/>
                </v:rect>
                <v:rect style="position:absolute;left:3847;top:301;width:574;height:166" id="docshape478" filled="true" fillcolor="#ccedff" stroked="false">
                  <v:fill type="solid"/>
                </v:rect>
                <v:rect style="position:absolute;left:3847;top:454;width:574;height:13" id="docshape479" filled="true" fillcolor="#000000" stroked="false">
                  <v:fill type="solid"/>
                </v:rect>
                <v:shape style="position:absolute;left:4420;top:301;width:344;height:166" type="#_x0000_t75" id="docshape480" stroked="false">
                  <v:imagedata r:id="rId83" o:title=""/>
                </v:shape>
                <v:rect style="position:absolute;left:4764;top:301;width:574;height:166" id="docshape481" filled="true" fillcolor="#ccedff" stroked="false">
                  <v:fill type="solid"/>
                </v:rect>
                <v:rect style="position:absolute;left:4764;top:454;width:574;height:13" id="docshape482" filled="true" fillcolor="#000000" stroked="false">
                  <v:fill type="solid"/>
                </v:rect>
                <v:shape style="position:absolute;left:5337;top:301;width:344;height:166" type="#_x0000_t75" id="docshape483" stroked="false">
                  <v:imagedata r:id="rId83" o:title=""/>
                </v:shape>
                <v:rect style="position:absolute;left:5681;top:301;width:574;height:166" id="docshape484" filled="true" fillcolor="#ccedff" stroked="false">
                  <v:fill type="solid"/>
                </v:rect>
                <v:rect style="position:absolute;left:5681;top:454;width:574;height:13" id="docshape485" filled="true" fillcolor="#000000" stroked="false">
                  <v:fill type="solid"/>
                </v:rect>
                <v:shape style="position:absolute;left:6254;top:301;width:344;height:166" type="#_x0000_t75" id="docshape486" stroked="false">
                  <v:imagedata r:id="rId83" o:title=""/>
                </v:shape>
                <v:rect style="position:absolute;left:6598;top:301;width:574;height:166" id="docshape487" filled="true" fillcolor="#ccedff" stroked="false">
                  <v:fill type="solid"/>
                </v:rect>
                <v:rect style="position:absolute;left:6598;top:454;width:574;height:13" id="docshape488" filled="true" fillcolor="#000000" stroked="false">
                  <v:fill type="solid"/>
                </v:rect>
                <v:shape style="position:absolute;left:7171;top:301;width:344;height:166" type="#_x0000_t75" id="docshape489" stroked="false">
                  <v:imagedata r:id="rId83" o:title=""/>
                </v:shape>
                <v:rect style="position:absolute;left:7515;top:301;width:574;height:166" id="docshape490" filled="true" fillcolor="#ccedff" stroked="false">
                  <v:fill type="solid"/>
                </v:rect>
                <v:rect style="position:absolute;left:7515;top:454;width:574;height:13" id="docshape491" filled="true" fillcolor="#000000" stroked="false">
                  <v:fill type="solid"/>
                </v:rect>
                <v:shape style="position:absolute;left:8088;top:301;width:344;height:166" type="#_x0000_t75" id="docshape492" stroked="false">
                  <v:imagedata r:id="rId84" o:title=""/>
                </v:shape>
                <v:rect style="position:absolute;left:8432;top:301;width:574;height:166" id="docshape493" filled="true" fillcolor="#ccedff" stroked="false">
                  <v:fill type="solid"/>
                </v:rect>
                <v:rect style="position:absolute;left:8432;top:454;width:574;height:13" id="docshape494" filled="true" fillcolor="#000000" stroked="false">
                  <v:fill type="solid"/>
                </v:rect>
                <v:shape style="position:absolute;left:9006;top:301;width:344;height:166" type="#_x0000_t75" id="docshape495" stroked="false">
                  <v:imagedata r:id="rId83" o:title=""/>
                </v:shape>
                <v:rect style="position:absolute;left:9349;top:301;width:574;height:166" id="docshape496" filled="true" fillcolor="#ccedff" stroked="false">
                  <v:fill type="solid"/>
                </v:rect>
                <v:rect style="position:absolute;left:9349;top:454;width:574;height:13" id="docshape497" filled="true" fillcolor="#000000" stroked="false">
                  <v:fill type="solid"/>
                </v:rect>
                <v:shape style="position:absolute;left:9923;top:301;width:344;height:166" type="#_x0000_t75" id="docshape498" stroked="false">
                  <v:imagedata r:id="rId83" o:title=""/>
                </v:shape>
                <v:rect style="position:absolute;left:10267;top:301;width:574;height:166" id="docshape499" filled="true" fillcolor="#ccedff" stroked="false">
                  <v:fill type="solid"/>
                </v:rect>
                <v:rect style="position:absolute;left:10267;top:454;width:574;height:13" id="docshape500" filled="true" fillcolor="#000000" stroked="false">
                  <v:fill type="solid"/>
                </v:rect>
                <v:shape style="position:absolute;left:10840;top:301;width:344;height:166" type="#_x0000_t75" id="docshape501" stroked="false">
                  <v:imagedata r:id="rId83" o:title=""/>
                </v:shape>
                <w10:wrap type="none"/>
              </v:group>
            </w:pict>
          </mc:Fallback>
        </mc:AlternateContent>
      </w:r>
      <w:r>
        <w:rPr/>
        <mc:AlternateContent>
          <mc:Choice Requires="wps">
            <w:drawing>
              <wp:anchor distT="0" distB="0" distL="0" distR="0" allowOverlap="1" layoutInCell="1" locked="0" behindDoc="0" simplePos="0" relativeHeight="15849472">
                <wp:simplePos x="0" y="0"/>
                <wp:positionH relativeFrom="page">
                  <wp:posOffset>7102033</wp:posOffset>
                </wp:positionH>
                <wp:positionV relativeFrom="paragraph">
                  <wp:posOffset>191241</wp:posOffset>
                </wp:positionV>
                <wp:extent cx="436880" cy="105410"/>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436880" cy="105410"/>
                        </a:xfrm>
                        <a:prstGeom prst="rect">
                          <a:avLst/>
                        </a:prstGeom>
                        <a:solidFill>
                          <a:srgbClr val="CCEDFF"/>
                        </a:solidFill>
                      </wps:spPr>
                      <wps:txbx>
                        <w:txbxContent>
                          <w:p>
                            <w:pPr>
                              <w:tabs>
                                <w:tab w:pos="503" w:val="left" w:leader="none"/>
                              </w:tabs>
                              <w:spacing w:line="158" w:lineRule="exact" w:before="0"/>
                              <w:ind w:left="0" w:right="0" w:firstLine="0"/>
                              <w:jc w:val="left"/>
                              <w:rPr>
                                <w:color w:val="000000"/>
                                <w:sz w:val="14"/>
                              </w:rPr>
                            </w:pPr>
                            <w:r>
                              <w:rPr>
                                <w:color w:val="000000"/>
                                <w:sz w:val="14"/>
                                <w:u w:val="single"/>
                              </w:rPr>
                              <w:tab/>
                            </w:r>
                            <w:r>
                              <w:rPr>
                                <w:color w:val="000000"/>
                                <w:spacing w:val="-10"/>
                                <w:sz w:val="14"/>
                                <w:u w:val="single"/>
                              </w:rPr>
                              <w:t>7</w:t>
                            </w:r>
                            <w:r>
                              <w:rPr>
                                <w:color w:val="000000"/>
                                <w:spacing w:val="80"/>
                                <w:sz w:val="14"/>
                                <w:u w:val="single"/>
                              </w:rPr>
                              <w:t> </w:t>
                            </w:r>
                          </w:p>
                        </w:txbxContent>
                      </wps:txbx>
                      <wps:bodyPr wrap="square" lIns="0" tIns="0" rIns="0" bIns="0" rtlCol="0">
                        <a:noAutofit/>
                      </wps:bodyPr>
                    </wps:wsp>
                  </a:graphicData>
                </a:graphic>
              </wp:anchor>
            </w:drawing>
          </mc:Choice>
          <mc:Fallback>
            <w:pict>
              <v:shape style="position:absolute;margin-left:559.215210pt;margin-top:15.058418pt;width:34.4pt;height:8.3pt;mso-position-horizontal-relative:page;mso-position-vertical-relative:paragraph;z-index:15849472" type="#_x0000_t202" id="docshape502" filled="true" fillcolor="#ccedff" stroked="false">
                <v:textbox inset="0,0,0,0">
                  <w:txbxContent>
                    <w:p>
                      <w:pPr>
                        <w:tabs>
                          <w:tab w:pos="503" w:val="left" w:leader="none"/>
                        </w:tabs>
                        <w:spacing w:line="158" w:lineRule="exact" w:before="0"/>
                        <w:ind w:left="0" w:right="0" w:firstLine="0"/>
                        <w:jc w:val="left"/>
                        <w:rPr>
                          <w:color w:val="000000"/>
                          <w:sz w:val="14"/>
                        </w:rPr>
                      </w:pPr>
                      <w:r>
                        <w:rPr>
                          <w:color w:val="000000"/>
                          <w:sz w:val="14"/>
                          <w:u w:val="single"/>
                        </w:rPr>
                        <w:tab/>
                      </w:r>
                      <w:r>
                        <w:rPr>
                          <w:color w:val="000000"/>
                          <w:spacing w:val="-10"/>
                          <w:sz w:val="14"/>
                          <w:u w:val="single"/>
                        </w:rPr>
                        <w:t>7</w:t>
                      </w:r>
                      <w:r>
                        <w:rPr>
                          <w:color w:val="000000"/>
                          <w:spacing w:val="80"/>
                          <w:sz w:val="14"/>
                          <w:u w:val="single"/>
                        </w:rPr>
                        <w:t> </w:t>
                      </w:r>
                    </w:p>
                  </w:txbxContent>
                </v:textbox>
                <v:fill type="solid"/>
                <w10:wrap type="none"/>
              </v:shape>
            </w:pict>
          </mc:Fallback>
        </mc:AlternateContent>
      </w:r>
      <w:r>
        <w:rPr/>
        <mc:AlternateContent>
          <mc:Choice Requires="wps">
            <w:drawing>
              <wp:anchor distT="0" distB="0" distL="0" distR="0" allowOverlap="1" layoutInCell="1" locked="0" behindDoc="0" simplePos="0" relativeHeight="15849984">
                <wp:simplePos x="0" y="0"/>
                <wp:positionH relativeFrom="page">
                  <wp:posOffset>6519633</wp:posOffset>
                </wp:positionH>
                <wp:positionV relativeFrom="paragraph">
                  <wp:posOffset>191241</wp:posOffset>
                </wp:positionV>
                <wp:extent cx="364490" cy="97155"/>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364490" cy="97155"/>
                        </a:xfrm>
                        <a:prstGeom prst="rect">
                          <a:avLst/>
                        </a:prstGeom>
                      </wps:spPr>
                      <wps:txbx>
                        <w:txbxContent>
                          <w:p>
                            <w:pPr>
                              <w:spacing w:line="153" w:lineRule="exact" w:before="0"/>
                              <w:ind w:left="0" w:right="0" w:firstLine="0"/>
                              <w:jc w:val="right"/>
                              <w:rPr>
                                <w:sz w:val="14"/>
                              </w:rPr>
                            </w:pPr>
                            <w:r>
                              <w:rPr>
                                <w:spacing w:val="-10"/>
                                <w:sz w:val="14"/>
                              </w:rPr>
                              <w:t>5</w:t>
                            </w:r>
                          </w:p>
                        </w:txbxContent>
                      </wps:txbx>
                      <wps:bodyPr wrap="square" lIns="0" tIns="0" rIns="0" bIns="0" rtlCol="0">
                        <a:noAutofit/>
                      </wps:bodyPr>
                    </wps:wsp>
                  </a:graphicData>
                </a:graphic>
              </wp:anchor>
            </w:drawing>
          </mc:Choice>
          <mc:Fallback>
            <w:pict>
              <v:shape style="position:absolute;margin-left:513.356995pt;margin-top:15.058418pt;width:28.7pt;height:7.65pt;mso-position-horizontal-relative:page;mso-position-vertical-relative:paragraph;z-index:15849984" type="#_x0000_t202" id="docshape503" filled="false" stroked="false">
                <v:textbox inset="0,0,0,0">
                  <w:txbxContent>
                    <w:p>
                      <w:pPr>
                        <w:spacing w:line="153" w:lineRule="exact" w:before="0"/>
                        <w:ind w:left="0" w:right="0" w:firstLine="0"/>
                        <w:jc w:val="right"/>
                        <w:rPr>
                          <w:sz w:val="14"/>
                        </w:rPr>
                      </w:pPr>
                      <w:r>
                        <w:rPr>
                          <w:spacing w:val="-10"/>
                          <w:sz w:val="14"/>
                        </w:rPr>
                        <w:t>5</w:t>
                      </w:r>
                    </w:p>
                  </w:txbxContent>
                </v:textbox>
                <w10:wrap type="none"/>
              </v:shape>
            </w:pict>
          </mc:Fallback>
        </mc:AlternateContent>
      </w:r>
      <w:r>
        <w:rPr/>
        <mc:AlternateContent>
          <mc:Choice Requires="wps">
            <w:drawing>
              <wp:anchor distT="0" distB="0" distL="0" distR="0" allowOverlap="1" layoutInCell="1" locked="0" behindDoc="1" simplePos="0" relativeHeight="474139136">
                <wp:simplePos x="0" y="0"/>
                <wp:positionH relativeFrom="page">
                  <wp:posOffset>5937234</wp:posOffset>
                </wp:positionH>
                <wp:positionV relativeFrom="paragraph">
                  <wp:posOffset>191241</wp:posOffset>
                </wp:positionV>
                <wp:extent cx="364490" cy="97155"/>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364490" cy="97155"/>
                        </a:xfrm>
                        <a:prstGeom prst="rect">
                          <a:avLst/>
                        </a:prstGeom>
                      </wps:spPr>
                      <wps:txbx>
                        <w:txbxContent>
                          <w:p>
                            <w:pPr>
                              <w:spacing w:line="153" w:lineRule="exact" w:before="0"/>
                              <w:ind w:left="0" w:right="0" w:firstLine="0"/>
                              <w:jc w:val="right"/>
                              <w:rPr>
                                <w:b/>
                                <w:sz w:val="14"/>
                              </w:rPr>
                            </w:pPr>
                            <w:r>
                              <w:rPr>
                                <w:b/>
                                <w:spacing w:val="-10"/>
                                <w:sz w:val="14"/>
                              </w:rPr>
                              <w:t>6</w:t>
                            </w:r>
                          </w:p>
                        </w:txbxContent>
                      </wps:txbx>
                      <wps:bodyPr wrap="square" lIns="0" tIns="0" rIns="0" bIns="0" rtlCol="0">
                        <a:noAutofit/>
                      </wps:bodyPr>
                    </wps:wsp>
                  </a:graphicData>
                </a:graphic>
              </wp:anchor>
            </w:drawing>
          </mc:Choice>
          <mc:Fallback>
            <w:pict>
              <v:shape style="position:absolute;margin-left:467.49881pt;margin-top:15.058418pt;width:28.7pt;height:7.65pt;mso-position-horizontal-relative:page;mso-position-vertical-relative:paragraph;z-index:-29177344" type="#_x0000_t202" id="docshape504" filled="false" stroked="false">
                <v:textbox inset="0,0,0,0">
                  <w:txbxContent>
                    <w:p>
                      <w:pPr>
                        <w:spacing w:line="153" w:lineRule="exact" w:before="0"/>
                        <w:ind w:left="0" w:right="0" w:firstLine="0"/>
                        <w:jc w:val="right"/>
                        <w:rPr>
                          <w:b/>
                          <w:sz w:val="14"/>
                        </w:rPr>
                      </w:pPr>
                      <w:r>
                        <w:rPr>
                          <w:b/>
                          <w:spacing w:val="-10"/>
                          <w:sz w:val="14"/>
                        </w:rPr>
                        <w:t>6</w:t>
                      </w:r>
                    </w:p>
                  </w:txbxContent>
                </v:textbox>
                <w10:wrap type="none"/>
              </v:shape>
            </w:pict>
          </mc:Fallback>
        </mc:AlternateContent>
      </w:r>
      <w:r>
        <w:rPr/>
        <mc:AlternateContent>
          <mc:Choice Requires="wps">
            <w:drawing>
              <wp:anchor distT="0" distB="0" distL="0" distR="0" allowOverlap="1" layoutInCell="1" locked="0" behindDoc="1" simplePos="0" relativeHeight="474139648">
                <wp:simplePos x="0" y="0"/>
                <wp:positionH relativeFrom="page">
                  <wp:posOffset>5354835</wp:posOffset>
                </wp:positionH>
                <wp:positionV relativeFrom="paragraph">
                  <wp:posOffset>191241</wp:posOffset>
                </wp:positionV>
                <wp:extent cx="364490" cy="97155"/>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364490" cy="97155"/>
                        </a:xfrm>
                        <a:prstGeom prst="rect">
                          <a:avLst/>
                        </a:prstGeom>
                      </wps:spPr>
                      <wps:txbx>
                        <w:txbxContent>
                          <w:p>
                            <w:pPr>
                              <w:spacing w:line="153" w:lineRule="exact" w:before="0"/>
                              <w:ind w:left="0" w:right="0" w:firstLine="0"/>
                              <w:jc w:val="righ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421.640594pt;margin-top:15.058418pt;width:28.7pt;height:7.65pt;mso-position-horizontal-relative:page;mso-position-vertical-relative:paragraph;z-index:-29176832" type="#_x0000_t202" id="docshape505" filled="false" stroked="false">
                <v:textbox inset="0,0,0,0">
                  <w:txbxContent>
                    <w:p>
                      <w:pPr>
                        <w:spacing w:line="153" w:lineRule="exact" w:before="0"/>
                        <w:ind w:left="0" w:right="0" w:firstLine="0"/>
                        <w:jc w:val="right"/>
                        <w:rPr>
                          <w:sz w:val="14"/>
                        </w:rPr>
                      </w:pPr>
                      <w:r>
                        <w:rPr>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74140160">
                <wp:simplePos x="0" y="0"/>
                <wp:positionH relativeFrom="page">
                  <wp:posOffset>4772436</wp:posOffset>
                </wp:positionH>
                <wp:positionV relativeFrom="paragraph">
                  <wp:posOffset>191241</wp:posOffset>
                </wp:positionV>
                <wp:extent cx="364490" cy="97155"/>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364490" cy="97155"/>
                        </a:xfrm>
                        <a:prstGeom prst="rect">
                          <a:avLst/>
                        </a:prstGeom>
                      </wps:spPr>
                      <wps:txbx>
                        <w:txbxContent>
                          <w:p>
                            <w:pPr>
                              <w:spacing w:line="153" w:lineRule="exact" w:before="0"/>
                              <w:ind w:left="0" w:right="0" w:firstLine="0"/>
                              <w:jc w:val="righ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375.78241pt;margin-top:15.058418pt;width:28.7pt;height:7.65pt;mso-position-horizontal-relative:page;mso-position-vertical-relative:paragraph;z-index:-29176320" type="#_x0000_t202" id="docshape506" filled="false" stroked="false">
                <v:textbox inset="0,0,0,0">
                  <w:txbxContent>
                    <w:p>
                      <w:pPr>
                        <w:spacing w:line="153" w:lineRule="exact" w:before="0"/>
                        <w:ind w:left="0" w:right="0" w:firstLine="0"/>
                        <w:jc w:val="right"/>
                        <w:rPr>
                          <w:sz w:val="14"/>
                        </w:rPr>
                      </w:pPr>
                      <w:r>
                        <w:rPr>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74140672">
                <wp:simplePos x="0" y="0"/>
                <wp:positionH relativeFrom="page">
                  <wp:posOffset>4190037</wp:posOffset>
                </wp:positionH>
                <wp:positionV relativeFrom="paragraph">
                  <wp:posOffset>191241</wp:posOffset>
                </wp:positionV>
                <wp:extent cx="364490" cy="97155"/>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364490" cy="97155"/>
                        </a:xfrm>
                        <a:prstGeom prst="rect">
                          <a:avLst/>
                        </a:prstGeom>
                      </wps:spPr>
                      <wps:txbx>
                        <w:txbxContent>
                          <w:p>
                            <w:pPr>
                              <w:spacing w:line="153" w:lineRule="exact" w:before="0"/>
                              <w:ind w:left="0" w:right="0" w:firstLine="0"/>
                              <w:jc w:val="right"/>
                              <w:rPr>
                                <w:b/>
                                <w:sz w:val="14"/>
                              </w:rPr>
                            </w:pPr>
                            <w:r>
                              <w:rPr>
                                <w:b/>
                                <w:spacing w:val="-10"/>
                                <w:sz w:val="14"/>
                              </w:rPr>
                              <w:t>1</w:t>
                            </w:r>
                          </w:p>
                        </w:txbxContent>
                      </wps:txbx>
                      <wps:bodyPr wrap="square" lIns="0" tIns="0" rIns="0" bIns="0" rtlCol="0">
                        <a:noAutofit/>
                      </wps:bodyPr>
                    </wps:wsp>
                  </a:graphicData>
                </a:graphic>
              </wp:anchor>
            </w:drawing>
          </mc:Choice>
          <mc:Fallback>
            <w:pict>
              <v:shape style="position:absolute;margin-left:329.924225pt;margin-top:15.058418pt;width:28.7pt;height:7.65pt;mso-position-horizontal-relative:page;mso-position-vertical-relative:paragraph;z-index:-29175808" type="#_x0000_t202" id="docshape507" filled="false" stroked="false">
                <v:textbox inset="0,0,0,0">
                  <w:txbxContent>
                    <w:p>
                      <w:pPr>
                        <w:spacing w:line="153" w:lineRule="exact" w:before="0"/>
                        <w:ind w:left="0" w:right="0" w:firstLine="0"/>
                        <w:jc w:val="right"/>
                        <w:rPr>
                          <w:b/>
                          <w:sz w:val="14"/>
                        </w:rPr>
                      </w:pPr>
                      <w:r>
                        <w:rPr>
                          <w:b/>
                          <w:spacing w:val="-10"/>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852544">
                <wp:simplePos x="0" y="0"/>
                <wp:positionH relativeFrom="page">
                  <wp:posOffset>226488</wp:posOffset>
                </wp:positionH>
                <wp:positionV relativeFrom="paragraph">
                  <wp:posOffset>191241</wp:posOffset>
                </wp:positionV>
                <wp:extent cx="2580640" cy="97155"/>
                <wp:effectExtent l="0" t="0" r="0" b="0"/>
                <wp:wrapNone/>
                <wp:docPr id="509" name="Textbox 509"/>
                <wp:cNvGraphicFramePr>
                  <a:graphicFrameLocks/>
                </wp:cNvGraphicFramePr>
                <a:graphic>
                  <a:graphicData uri="http://schemas.microsoft.com/office/word/2010/wordprocessingShape">
                    <wps:wsp>
                      <wps:cNvPr id="509" name="Textbox 509"/>
                      <wps:cNvSpPr txBox="1"/>
                      <wps:spPr>
                        <a:xfrm>
                          <a:off x="0" y="0"/>
                          <a:ext cx="2580640" cy="97155"/>
                        </a:xfrm>
                        <a:prstGeom prst="rect">
                          <a:avLst/>
                        </a:prstGeom>
                      </wps:spPr>
                      <wps:txbx>
                        <w:txbxContent>
                          <w:p>
                            <w:pPr>
                              <w:tabs>
                                <w:tab w:pos="3946" w:val="left" w:leader="none"/>
                              </w:tabs>
                              <w:spacing w:line="153" w:lineRule="exact" w:before="0"/>
                              <w:ind w:left="0" w:right="0" w:firstLine="0"/>
                              <w:jc w:val="left"/>
                              <w:rPr>
                                <w:b/>
                                <w:sz w:val="14"/>
                              </w:rPr>
                            </w:pPr>
                            <w:r>
                              <w:rPr>
                                <w:sz w:val="14"/>
                              </w:rPr>
                              <w:t>Amortization of prior service (cost) </w:t>
                            </w:r>
                            <w:r>
                              <w:rPr>
                                <w:spacing w:val="-2"/>
                                <w:sz w:val="14"/>
                              </w:rPr>
                              <w:t>credit</w:t>
                            </w:r>
                            <w:r>
                              <w:rPr>
                                <w:sz w:val="14"/>
                              </w:rPr>
                              <w:tab/>
                            </w:r>
                            <w:r>
                              <w:rPr>
                                <w:b/>
                                <w:spacing w:val="-5"/>
                                <w:sz w:val="14"/>
                              </w:rPr>
                              <w:t>(4</w:t>
                            </w:r>
                          </w:p>
                        </w:txbxContent>
                      </wps:txbx>
                      <wps:bodyPr wrap="square" lIns="0" tIns="0" rIns="0" bIns="0" rtlCol="0">
                        <a:noAutofit/>
                      </wps:bodyPr>
                    </wps:wsp>
                  </a:graphicData>
                </a:graphic>
              </wp:anchor>
            </w:drawing>
          </mc:Choice>
          <mc:Fallback>
            <w:pict>
              <v:shape style="position:absolute;margin-left:17.833740pt;margin-top:15.058418pt;width:203.2pt;height:7.65pt;mso-position-horizontal-relative:page;mso-position-vertical-relative:paragraph;z-index:15852544" type="#_x0000_t202" id="docshape508" filled="false" stroked="false">
                <v:textbox inset="0,0,0,0">
                  <w:txbxContent>
                    <w:p>
                      <w:pPr>
                        <w:tabs>
                          <w:tab w:pos="3946" w:val="left" w:leader="none"/>
                        </w:tabs>
                        <w:spacing w:line="153" w:lineRule="exact" w:before="0"/>
                        <w:ind w:left="0" w:right="0" w:firstLine="0"/>
                        <w:jc w:val="left"/>
                        <w:rPr>
                          <w:b/>
                          <w:sz w:val="14"/>
                        </w:rPr>
                      </w:pPr>
                      <w:r>
                        <w:rPr>
                          <w:sz w:val="14"/>
                        </w:rPr>
                        <w:t>Amortization of prior service (cost) </w:t>
                      </w:r>
                      <w:r>
                        <w:rPr>
                          <w:spacing w:val="-2"/>
                          <w:sz w:val="14"/>
                        </w:rPr>
                        <w:t>credit</w:t>
                      </w:r>
                      <w:r>
                        <w:rPr>
                          <w:sz w:val="14"/>
                        </w:rPr>
                        <w:tab/>
                      </w:r>
                      <w:r>
                        <w:rPr>
                          <w:b/>
                          <w:spacing w:val="-5"/>
                          <w:sz w:val="14"/>
                        </w:rPr>
                        <w:t>(4</w:t>
                      </w:r>
                    </w:p>
                  </w:txbxContent>
                </v:textbox>
                <w10:wrap type="none"/>
              </v:shape>
            </w:pict>
          </mc:Fallback>
        </mc:AlternateContent>
      </w:r>
      <w:r>
        <w:rPr>
          <w:sz w:val="14"/>
        </w:rPr>
        <w:t>Current year prior service </w:t>
      </w:r>
      <w:r>
        <w:rPr>
          <w:spacing w:val="-4"/>
          <w:sz w:val="14"/>
        </w:rPr>
        <w:t>cost</w:t>
      </w:r>
      <w:r>
        <w:rPr>
          <w:sz w:val="14"/>
        </w:rPr>
        <w:tab/>
      </w:r>
      <w:r>
        <w:rPr>
          <w:spacing w:val="-10"/>
          <w:sz w:val="14"/>
        </w:rPr>
        <w:t>1</w:t>
      </w:r>
      <w:r>
        <w:rPr>
          <w:sz w:val="14"/>
        </w:rPr>
        <w:tab/>
      </w:r>
      <w:r>
        <w:rPr>
          <w:spacing w:val="-10"/>
          <w:sz w:val="14"/>
        </w:rPr>
        <w:t>5</w:t>
      </w:r>
    </w:p>
    <w:p>
      <w:pPr>
        <w:tabs>
          <w:tab w:pos="5020" w:val="left" w:leader="none"/>
          <w:tab w:pos="5937" w:val="left" w:leader="none"/>
          <w:tab w:pos="9952" w:val="left" w:leader="none"/>
        </w:tabs>
        <w:spacing w:line="155" w:lineRule="exact" w:before="0"/>
        <w:ind w:left="4220" w:right="0" w:firstLine="0"/>
        <w:jc w:val="left"/>
        <w:rPr>
          <w:sz w:val="14"/>
        </w:rPr>
      </w:pPr>
      <w:r>
        <w:rPr>
          <w:b/>
          <w:spacing w:val="-10"/>
          <w:sz w:val="14"/>
        </w:rPr>
        <w:t>)</w:t>
      </w:r>
      <w:r>
        <w:rPr>
          <w:b/>
          <w:sz w:val="14"/>
        </w:rPr>
        <w:tab/>
      </w:r>
      <w:r>
        <w:rPr>
          <w:spacing w:val="-5"/>
          <w:sz w:val="14"/>
        </w:rPr>
        <w:t>(6)</w:t>
      </w:r>
      <w:r>
        <w:rPr>
          <w:sz w:val="14"/>
        </w:rPr>
        <w:tab/>
      </w:r>
      <w:r>
        <w:rPr>
          <w:spacing w:val="-5"/>
          <w:sz w:val="14"/>
        </w:rPr>
        <w:t>(7)</w:t>
      </w:r>
      <w:r>
        <w:rPr>
          <w:sz w:val="14"/>
        </w:rPr>
        <w:tab/>
      </w:r>
      <w:r>
        <w:rPr>
          <w:spacing w:val="-10"/>
          <w:sz w:val="14"/>
        </w:rPr>
        <w:t>$</w:t>
      </w:r>
    </w:p>
    <w:p>
      <w:pPr>
        <w:tabs>
          <w:tab w:pos="3519" w:val="left" w:leader="none"/>
          <w:tab w:pos="3963" w:val="left" w:leader="none"/>
          <w:tab w:pos="4997" w:val="left" w:leader="none"/>
          <w:tab w:pos="5366" w:val="left" w:leader="none"/>
          <w:tab w:pos="5867" w:val="left" w:leader="none"/>
          <w:tab w:pos="6854" w:val="left" w:leader="none"/>
          <w:tab w:pos="7702" w:val="left" w:leader="none"/>
          <w:tab w:pos="8665" w:val="left" w:leader="none"/>
          <w:tab w:pos="9035" w:val="left" w:leader="none"/>
          <w:tab w:pos="9466" w:val="left" w:leader="none"/>
          <w:tab w:pos="10500" w:val="left" w:leader="none"/>
          <w:tab w:pos="10869" w:val="left" w:leader="none"/>
          <w:tab w:pos="11557" w:val="right" w:leader="none"/>
        </w:tabs>
        <w:spacing w:before="4"/>
        <w:ind w:left="156" w:right="0" w:firstLine="0"/>
        <w:jc w:val="left"/>
        <w:rPr>
          <w:sz w:val="14"/>
        </w:rPr>
      </w:pPr>
      <w:r>
        <w:rPr/>
        <mc:AlternateContent>
          <mc:Choice Requires="wps">
            <w:drawing>
              <wp:anchor distT="0" distB="0" distL="0" distR="0" allowOverlap="1" layoutInCell="1" locked="0" behindDoc="0" simplePos="0" relativeHeight="15848960">
                <wp:simplePos x="0" y="0"/>
                <wp:positionH relativeFrom="page">
                  <wp:posOffset>226488</wp:posOffset>
                </wp:positionH>
                <wp:positionV relativeFrom="paragraph">
                  <wp:posOffset>102103</wp:posOffset>
                </wp:positionV>
                <wp:extent cx="7312659" cy="24765"/>
                <wp:effectExtent l="0" t="0" r="0" b="0"/>
                <wp:wrapNone/>
                <wp:docPr id="510" name="Group 510"/>
                <wp:cNvGraphicFramePr>
                  <a:graphicFrameLocks/>
                </wp:cNvGraphicFramePr>
                <a:graphic>
                  <a:graphicData uri="http://schemas.microsoft.com/office/word/2010/wordprocessingGroup">
                    <wpg:wgp>
                      <wpg:cNvPr id="510" name="Group 510"/>
                      <wpg:cNvGrpSpPr/>
                      <wpg:grpSpPr>
                        <a:xfrm>
                          <a:off x="0" y="0"/>
                          <a:ext cx="7312659" cy="24765"/>
                          <a:chExt cx="7312659" cy="24765"/>
                        </a:xfrm>
                      </wpg:grpSpPr>
                      <wps:wsp>
                        <wps:cNvPr id="511" name="Graphic 511"/>
                        <wps:cNvSpPr/>
                        <wps:spPr>
                          <a:xfrm>
                            <a:off x="-9" y="12"/>
                            <a:ext cx="7239634" cy="24765"/>
                          </a:xfrm>
                          <a:custGeom>
                            <a:avLst/>
                            <a:gdLst/>
                            <a:ahLst/>
                            <a:cxnLst/>
                            <a:rect l="l" t="t" r="r" b="b"/>
                            <a:pathLst>
                              <a:path w="7239634" h="24765">
                                <a:moveTo>
                                  <a:pt x="6875551" y="16167"/>
                                </a:moveTo>
                                <a:lnTo>
                                  <a:pt x="6875551" y="16167"/>
                                </a:lnTo>
                                <a:lnTo>
                                  <a:pt x="0" y="16167"/>
                                </a:lnTo>
                                <a:lnTo>
                                  <a:pt x="0" y="24257"/>
                                </a:lnTo>
                                <a:lnTo>
                                  <a:pt x="6875551" y="24257"/>
                                </a:lnTo>
                                <a:lnTo>
                                  <a:pt x="6875551" y="16167"/>
                                </a:lnTo>
                                <a:close/>
                              </a:path>
                              <a:path w="7239634" h="24765">
                                <a:moveTo>
                                  <a:pt x="7239546" y="0"/>
                                </a:moveTo>
                                <a:lnTo>
                                  <a:pt x="7239546" y="0"/>
                                </a:lnTo>
                                <a:lnTo>
                                  <a:pt x="0" y="0"/>
                                </a:lnTo>
                                <a:lnTo>
                                  <a:pt x="0" y="8077"/>
                                </a:lnTo>
                                <a:lnTo>
                                  <a:pt x="7239546" y="8077"/>
                                </a:lnTo>
                                <a:lnTo>
                                  <a:pt x="7239546"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6875542" y="12"/>
                            <a:ext cx="436880" cy="24765"/>
                          </a:xfrm>
                          <a:custGeom>
                            <a:avLst/>
                            <a:gdLst/>
                            <a:ahLst/>
                            <a:cxnLst/>
                            <a:rect l="l" t="t" r="r" b="b"/>
                            <a:pathLst>
                              <a:path w="436880" h="24765">
                                <a:moveTo>
                                  <a:pt x="436791" y="16167"/>
                                </a:moveTo>
                                <a:lnTo>
                                  <a:pt x="363994" y="16167"/>
                                </a:lnTo>
                                <a:lnTo>
                                  <a:pt x="0" y="16167"/>
                                </a:lnTo>
                                <a:lnTo>
                                  <a:pt x="0" y="24257"/>
                                </a:lnTo>
                                <a:lnTo>
                                  <a:pt x="363994" y="24257"/>
                                </a:lnTo>
                                <a:lnTo>
                                  <a:pt x="436791" y="24257"/>
                                </a:lnTo>
                                <a:lnTo>
                                  <a:pt x="436791" y="16167"/>
                                </a:lnTo>
                                <a:close/>
                              </a:path>
                              <a:path w="436880" h="24765">
                                <a:moveTo>
                                  <a:pt x="436791" y="0"/>
                                </a:moveTo>
                                <a:lnTo>
                                  <a:pt x="363994" y="0"/>
                                </a:lnTo>
                                <a:lnTo>
                                  <a:pt x="0" y="0"/>
                                </a:lnTo>
                                <a:lnTo>
                                  <a:pt x="0" y="8077"/>
                                </a:lnTo>
                                <a:lnTo>
                                  <a:pt x="363994" y="8077"/>
                                </a:lnTo>
                                <a:lnTo>
                                  <a:pt x="436791" y="8077"/>
                                </a:lnTo>
                                <a:lnTo>
                                  <a:pt x="4367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833740pt;margin-top:8.039615pt;width:575.8pt;height:1.95pt;mso-position-horizontal-relative:page;mso-position-vertical-relative:paragraph;z-index:15848960" id="docshapegroup509" coordorigin="357,161" coordsize="11516,39">
                <v:shape style="position:absolute;left:356;top:160;width:11401;height:39" id="docshape510" coordorigin="357,161" coordsize="11401,39" path="m11184,186l11070,186,10955,186,10840,186,10267,186,10152,186,10038,186,9923,186,9350,186,9235,186,9121,186,9006,186,8433,186,8318,186,8204,186,8089,186,7516,186,7401,186,7286,186,7172,186,6598,186,6484,186,6369,186,6255,186,5681,186,5567,186,5452,186,5337,186,4764,186,4650,186,4535,186,4420,186,3847,186,3720,186,3592,186,357,186,357,199,3592,199,3720,199,3847,199,4420,199,4535,199,4650,199,4764,199,5337,199,5452,199,5567,199,5681,199,6255,199,6369,199,6484,199,6598,199,7172,199,7286,199,7401,199,7516,199,8089,199,8204,199,8318,199,8433,199,9006,199,9121,199,9235,199,9350,199,9923,199,10038,199,10152,199,10267,199,10840,199,10955,199,11070,199,11184,199,11184,186xm11758,161l11184,161,11070,161,10955,161,10840,161,10267,161,10152,161,10038,161,9923,161,9350,161,9235,161,9121,161,9006,161,8433,161,8318,161,8204,161,8089,161,7516,161,7401,161,7286,161,7172,161,6598,161,6484,161,6369,161,6255,161,5681,161,5567,161,5452,161,5337,161,4764,161,4650,161,4535,161,4420,161,3847,161,3720,161,3592,161,357,161,357,174,3592,174,3720,174,3847,174,4420,174,4535,174,4650,174,4764,174,5337,174,5452,174,5567,174,5681,174,6255,174,6369,174,6484,174,6598,174,7172,174,7286,174,7401,174,7516,174,8089,174,8204,174,8318,174,8433,174,9006,174,9121,174,9235,174,9350,174,9923,174,10038,174,10152,174,10267,174,10840,174,10955,174,11070,174,11184,174,11758,174,11758,161xe" filled="true" fillcolor="#000000" stroked="false">
                  <v:path arrowok="t"/>
                  <v:fill type="solid"/>
                </v:shape>
                <v:shape style="position:absolute;left:11184;top:160;width:688;height:39" id="docshape511" coordorigin="11184,161" coordsize="688,39" path="m11872,186l11758,186,11184,186,11184,199,11758,199,11872,199,11872,186xm11872,161l11758,161,11184,161,11184,174,11758,174,11872,174,11872,161xe" filled="true" fillcolor="#000000" stroked="false">
                  <v:path arrowok="t"/>
                  <v:fill type="solid"/>
                </v:shape>
                <w10:wrap type="none"/>
              </v:group>
            </w:pict>
          </mc:Fallback>
        </mc:AlternateContent>
      </w:r>
      <w:r>
        <w:rPr>
          <w:sz w:val="14"/>
        </w:rPr>
        <w:t>Total recognized in other comprehensive (loss) </w:t>
      </w:r>
      <w:r>
        <w:rPr>
          <w:spacing w:val="-2"/>
          <w:sz w:val="14"/>
        </w:rPr>
        <w:t>income</w:t>
      </w:r>
      <w:r>
        <w:rPr>
          <w:sz w:val="14"/>
        </w:rPr>
        <w:tab/>
      </w:r>
      <w:r>
        <w:rPr>
          <w:b/>
          <w:spacing w:val="-10"/>
          <w:sz w:val="14"/>
        </w:rPr>
        <w:t>$</w:t>
      </w:r>
      <w:r>
        <w:rPr>
          <w:b/>
          <w:sz w:val="14"/>
        </w:rPr>
        <w:tab/>
        <w:t>(119)</w:t>
      </w:r>
      <w:r>
        <w:rPr>
          <w:b/>
          <w:spacing w:val="54"/>
          <w:sz w:val="14"/>
        </w:rPr>
        <w:t>  </w:t>
      </w:r>
      <w:r>
        <w:rPr>
          <w:spacing w:val="-10"/>
          <w:sz w:val="14"/>
        </w:rPr>
        <w:t>$</w:t>
      </w:r>
      <w:r>
        <w:rPr>
          <w:sz w:val="14"/>
        </w:rPr>
        <w:tab/>
      </w:r>
      <w:r>
        <w:rPr>
          <w:spacing w:val="-5"/>
          <w:sz w:val="14"/>
        </w:rPr>
        <w:t>77</w:t>
      </w:r>
      <w:r>
        <w:rPr>
          <w:sz w:val="14"/>
        </w:rPr>
        <w:tab/>
      </w:r>
      <w:r>
        <w:rPr>
          <w:spacing w:val="-10"/>
          <w:sz w:val="14"/>
        </w:rPr>
        <w:t>$</w:t>
      </w:r>
      <w:r>
        <w:rPr>
          <w:sz w:val="14"/>
        </w:rPr>
        <w:tab/>
        <w:t>(26)</w:t>
      </w:r>
      <w:r>
        <w:rPr>
          <w:spacing w:val="55"/>
          <w:sz w:val="14"/>
        </w:rPr>
        <w:t>  </w:t>
      </w:r>
      <w:r>
        <w:rPr>
          <w:b/>
          <w:spacing w:val="-10"/>
          <w:sz w:val="14"/>
        </w:rPr>
        <w:t>$</w:t>
      </w:r>
      <w:r>
        <w:rPr>
          <w:b/>
          <w:sz w:val="14"/>
        </w:rPr>
        <w:tab/>
        <w:t>(7)</w:t>
      </w:r>
      <w:r>
        <w:rPr>
          <w:b/>
          <w:spacing w:val="55"/>
          <w:sz w:val="14"/>
        </w:rPr>
        <w:t>  </w:t>
      </w:r>
      <w:r>
        <w:rPr>
          <w:spacing w:val="-10"/>
          <w:sz w:val="14"/>
        </w:rPr>
        <w:t>$</w:t>
      </w:r>
      <w:r>
        <w:rPr>
          <w:sz w:val="14"/>
        </w:rPr>
        <w:tab/>
        <w:t>(24)</w:t>
      </w:r>
      <w:r>
        <w:rPr>
          <w:spacing w:val="55"/>
          <w:sz w:val="14"/>
        </w:rPr>
        <w:t>  </w:t>
      </w:r>
      <w:r>
        <w:rPr>
          <w:spacing w:val="-10"/>
          <w:sz w:val="14"/>
        </w:rPr>
        <w:t>$</w:t>
      </w:r>
      <w:r>
        <w:rPr>
          <w:sz w:val="14"/>
        </w:rPr>
        <w:tab/>
      </w:r>
      <w:r>
        <w:rPr>
          <w:spacing w:val="-5"/>
          <w:sz w:val="14"/>
        </w:rPr>
        <w:t>18</w:t>
      </w:r>
      <w:r>
        <w:rPr>
          <w:sz w:val="14"/>
        </w:rPr>
        <w:tab/>
      </w:r>
      <w:r>
        <w:rPr>
          <w:b/>
          <w:spacing w:val="-10"/>
          <w:sz w:val="14"/>
        </w:rPr>
        <w:t>$</w:t>
      </w:r>
      <w:r>
        <w:rPr>
          <w:b/>
          <w:sz w:val="14"/>
        </w:rPr>
        <w:tab/>
        <w:t>(101)</w:t>
      </w:r>
      <w:r>
        <w:rPr>
          <w:b/>
          <w:spacing w:val="54"/>
          <w:sz w:val="14"/>
        </w:rPr>
        <w:t>  </w:t>
      </w:r>
      <w:r>
        <w:rPr>
          <w:spacing w:val="-10"/>
          <w:sz w:val="14"/>
        </w:rPr>
        <w:t>$</w:t>
      </w:r>
      <w:r>
        <w:rPr>
          <w:sz w:val="14"/>
        </w:rPr>
        <w:tab/>
      </w:r>
      <w:r>
        <w:rPr>
          <w:spacing w:val="-5"/>
          <w:sz w:val="14"/>
        </w:rPr>
        <w:t>62</w:t>
      </w:r>
      <w:r>
        <w:rPr>
          <w:sz w:val="14"/>
        </w:rPr>
        <w:tab/>
      </w:r>
      <w:r>
        <w:rPr>
          <w:spacing w:val="-10"/>
          <w:sz w:val="14"/>
        </w:rPr>
        <w:t>$</w:t>
      </w:r>
      <w:r>
        <w:rPr>
          <w:sz w:val="14"/>
        </w:rPr>
        <w:tab/>
      </w:r>
      <w:r>
        <w:rPr>
          <w:spacing w:val="-5"/>
          <w:sz w:val="14"/>
        </w:rPr>
        <w:t>19</w:t>
      </w:r>
    </w:p>
    <w:p>
      <w:pPr>
        <w:pStyle w:val="BodyText"/>
        <w:spacing w:line="266" w:lineRule="auto" w:before="241"/>
        <w:ind w:left="156" w:right="328"/>
      </w:pPr>
      <w:r>
        <w:rPr>
          <w:w w:val="105"/>
        </w:rPr>
        <w:t>The</w:t>
      </w:r>
      <w:r>
        <w:rPr>
          <w:spacing w:val="-8"/>
          <w:w w:val="105"/>
        </w:rPr>
        <w:t> </w:t>
      </w:r>
      <w:r>
        <w:rPr>
          <w:w w:val="105"/>
        </w:rPr>
        <w:t>components</w:t>
      </w:r>
      <w:r>
        <w:rPr>
          <w:spacing w:val="-8"/>
          <w:w w:val="105"/>
        </w:rPr>
        <w:t> </w:t>
      </w:r>
      <w:r>
        <w:rPr>
          <w:w w:val="105"/>
        </w:rPr>
        <w:t>of</w:t>
      </w:r>
      <w:r>
        <w:rPr>
          <w:spacing w:val="-8"/>
          <w:w w:val="105"/>
        </w:rPr>
        <w:t> </w:t>
      </w:r>
      <w:r>
        <w:rPr>
          <w:w w:val="105"/>
        </w:rPr>
        <w:t>net</w:t>
      </w:r>
      <w:r>
        <w:rPr>
          <w:spacing w:val="-8"/>
          <w:w w:val="105"/>
        </w:rPr>
        <w:t> </w:t>
      </w:r>
      <w:r>
        <w:rPr>
          <w:w w:val="105"/>
        </w:rPr>
        <w:t>periodic</w:t>
      </w:r>
      <w:r>
        <w:rPr>
          <w:spacing w:val="-8"/>
          <w:w w:val="105"/>
        </w:rPr>
        <w:t> </w:t>
      </w:r>
      <w:r>
        <w:rPr>
          <w:w w:val="105"/>
        </w:rPr>
        <w:t>benefit</w:t>
      </w:r>
      <w:r>
        <w:rPr>
          <w:spacing w:val="-8"/>
          <w:w w:val="105"/>
        </w:rPr>
        <w:t> </w:t>
      </w:r>
      <w:r>
        <w:rPr>
          <w:w w:val="105"/>
        </w:rPr>
        <w:t>(income)</w:t>
      </w:r>
      <w:r>
        <w:rPr>
          <w:spacing w:val="-8"/>
          <w:w w:val="105"/>
        </w:rPr>
        <w:t> </w:t>
      </w:r>
      <w:r>
        <w:rPr>
          <w:w w:val="105"/>
        </w:rPr>
        <w:t>expense,</w:t>
      </w:r>
      <w:r>
        <w:rPr>
          <w:spacing w:val="-8"/>
          <w:w w:val="105"/>
        </w:rPr>
        <w:t> </w:t>
      </w:r>
      <w:r>
        <w:rPr>
          <w:w w:val="105"/>
        </w:rPr>
        <w:t>other</w:t>
      </w:r>
      <w:r>
        <w:rPr>
          <w:spacing w:val="-8"/>
          <w:w w:val="105"/>
        </w:rPr>
        <w:t> </w:t>
      </w:r>
      <w:r>
        <w:rPr>
          <w:w w:val="105"/>
        </w:rPr>
        <w:t>than</w:t>
      </w:r>
      <w:r>
        <w:rPr>
          <w:spacing w:val="-8"/>
          <w:w w:val="105"/>
        </w:rPr>
        <w:t> </w:t>
      </w:r>
      <w:r>
        <w:rPr>
          <w:w w:val="105"/>
        </w:rPr>
        <w:t>the</w:t>
      </w:r>
      <w:r>
        <w:rPr>
          <w:spacing w:val="-8"/>
          <w:w w:val="105"/>
        </w:rPr>
        <w:t> </w:t>
      </w:r>
      <w:r>
        <w:rPr>
          <w:w w:val="105"/>
        </w:rPr>
        <w:t>service</w:t>
      </w:r>
      <w:r>
        <w:rPr>
          <w:spacing w:val="-8"/>
          <w:w w:val="105"/>
        </w:rPr>
        <w:t> </w:t>
      </w:r>
      <w:r>
        <w:rPr>
          <w:w w:val="105"/>
        </w:rPr>
        <w:t>cost</w:t>
      </w:r>
      <w:r>
        <w:rPr>
          <w:spacing w:val="-8"/>
          <w:w w:val="105"/>
        </w:rPr>
        <w:t> </w:t>
      </w:r>
      <w:r>
        <w:rPr>
          <w:w w:val="105"/>
        </w:rPr>
        <w:t>component,</w:t>
      </w:r>
      <w:r>
        <w:rPr>
          <w:spacing w:val="-8"/>
          <w:w w:val="105"/>
        </w:rPr>
        <w:t> </w:t>
      </w:r>
      <w:r>
        <w:rPr>
          <w:w w:val="105"/>
        </w:rPr>
        <w:t>are</w:t>
      </w:r>
      <w:r>
        <w:rPr>
          <w:spacing w:val="-8"/>
          <w:w w:val="105"/>
        </w:rPr>
        <w:t> </w:t>
      </w:r>
      <w:r>
        <w:rPr>
          <w:w w:val="105"/>
        </w:rPr>
        <w:t>included</w:t>
      </w:r>
      <w:r>
        <w:rPr>
          <w:spacing w:val="-8"/>
          <w:w w:val="105"/>
        </w:rPr>
        <w:t> </w:t>
      </w:r>
      <w:r>
        <w:rPr>
          <w:w w:val="105"/>
        </w:rPr>
        <w:t>in</w:t>
      </w:r>
      <w:r>
        <w:rPr>
          <w:spacing w:val="-8"/>
          <w:w w:val="105"/>
        </w:rPr>
        <w:t> </w:t>
      </w:r>
      <w:r>
        <w:rPr>
          <w:w w:val="105"/>
        </w:rPr>
        <w:t>the</w:t>
      </w:r>
      <w:r>
        <w:rPr>
          <w:spacing w:val="-8"/>
          <w:w w:val="105"/>
        </w:rPr>
        <w:t> </w:t>
      </w:r>
      <w:r>
        <w:rPr>
          <w:w w:val="105"/>
        </w:rPr>
        <w:t>line</w:t>
      </w:r>
      <w:r>
        <w:rPr>
          <w:spacing w:val="-8"/>
          <w:w w:val="105"/>
        </w:rPr>
        <w:t> </w:t>
      </w:r>
      <w:r>
        <w:rPr>
          <w:w w:val="105"/>
        </w:rPr>
        <w:t>item</w:t>
      </w:r>
      <w:r>
        <w:rPr>
          <w:spacing w:val="-8"/>
          <w:w w:val="105"/>
        </w:rPr>
        <w:t> </w:t>
      </w:r>
      <w:r>
        <w:rPr>
          <w:w w:val="105"/>
        </w:rPr>
        <w:t>other</w:t>
      </w:r>
      <w:r>
        <w:rPr>
          <w:spacing w:val="-8"/>
          <w:w w:val="105"/>
        </w:rPr>
        <w:t> </w:t>
      </w:r>
      <w:r>
        <w:rPr>
          <w:w w:val="105"/>
        </w:rPr>
        <w:t>income</w:t>
      </w:r>
      <w:r>
        <w:rPr>
          <w:spacing w:val="-8"/>
          <w:w w:val="105"/>
        </w:rPr>
        <w:t> </w:t>
      </w:r>
      <w:r>
        <w:rPr>
          <w:w w:val="105"/>
        </w:rPr>
        <w:t>(expense),</w:t>
      </w:r>
      <w:r>
        <w:rPr>
          <w:spacing w:val="-8"/>
          <w:w w:val="105"/>
        </w:rPr>
        <w:t> </w:t>
      </w:r>
      <w:r>
        <w:rPr>
          <w:w w:val="105"/>
        </w:rPr>
        <w:t>net,</w:t>
      </w:r>
      <w:r>
        <w:rPr>
          <w:spacing w:val="-8"/>
          <w:w w:val="105"/>
        </w:rPr>
        <w:t> </w:t>
      </w:r>
      <w:r>
        <w:rPr>
          <w:w w:val="105"/>
        </w:rPr>
        <w:t>in</w:t>
      </w:r>
      <w:r>
        <w:rPr>
          <w:spacing w:val="-6"/>
          <w:w w:val="105"/>
        </w:rPr>
        <w:t> </w:t>
      </w:r>
      <w:r>
        <w:rPr>
          <w:w w:val="105"/>
        </w:rPr>
        <w:t>the consolidated statements of income.</w:t>
      </w:r>
    </w:p>
    <w:p>
      <w:pPr>
        <w:pStyle w:val="BodyText"/>
        <w:spacing w:before="203"/>
        <w:ind w:left="48"/>
        <w:jc w:val="center"/>
      </w:pPr>
      <w:r>
        <w:rPr>
          <w:spacing w:val="-5"/>
          <w:w w:val="105"/>
        </w:rPr>
        <w:t>96</w:t>
      </w:r>
    </w:p>
    <w:p>
      <w:pPr>
        <w:pStyle w:val="BodyText"/>
        <w:rPr>
          <w:sz w:val="6"/>
        </w:rPr>
      </w:pPr>
      <w:r>
        <w:rPr/>
        <mc:AlternateContent>
          <mc:Choice Requires="wps">
            <w:drawing>
              <wp:anchor distT="0" distB="0" distL="0" distR="0" allowOverlap="1" layoutInCell="1" locked="0" behindDoc="1" simplePos="0" relativeHeight="487698944">
                <wp:simplePos x="0" y="0"/>
                <wp:positionH relativeFrom="page">
                  <wp:posOffset>226488</wp:posOffset>
                </wp:positionH>
                <wp:positionV relativeFrom="paragraph">
                  <wp:posOffset>59113</wp:posOffset>
                </wp:positionV>
                <wp:extent cx="7312659" cy="16510"/>
                <wp:effectExtent l="0" t="0" r="0" b="0"/>
                <wp:wrapTopAndBottom/>
                <wp:docPr id="513" name="Graphic 513"/>
                <wp:cNvGraphicFramePr>
                  <a:graphicFrameLocks/>
                </wp:cNvGraphicFramePr>
                <a:graphic>
                  <a:graphicData uri="http://schemas.microsoft.com/office/word/2010/wordprocessingShape">
                    <wps:wsp>
                      <wps:cNvPr id="513" name="Graphic 513"/>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4632pt;width:575.775087pt;height:1.273839pt;mso-position-horizontal-relative:page;mso-position-vertical-relative:paragraph;z-index:-15617536;mso-wrap-distance-left:0;mso-wrap-distance-right:0" id="docshape512"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pPr>
      <w:r>
        <w:rPr>
          <w:w w:val="105"/>
        </w:rPr>
        <w:t>13.</w:t>
      </w:r>
      <w:r>
        <w:rPr>
          <w:spacing w:val="22"/>
          <w:w w:val="105"/>
        </w:rPr>
        <w:t> </w:t>
      </w:r>
      <w:r>
        <w:rPr>
          <w:w w:val="105"/>
        </w:rPr>
        <w:t>Employee</w:t>
      </w:r>
      <w:r>
        <w:rPr>
          <w:spacing w:val="-10"/>
          <w:w w:val="105"/>
        </w:rPr>
        <w:t> </w:t>
      </w:r>
      <w:r>
        <w:rPr>
          <w:w w:val="105"/>
        </w:rPr>
        <w:t>Retirement</w:t>
      </w:r>
      <w:r>
        <w:rPr>
          <w:spacing w:val="-10"/>
          <w:w w:val="105"/>
        </w:rPr>
        <w:t> </w:t>
      </w:r>
      <w:r>
        <w:rPr>
          <w:w w:val="105"/>
        </w:rPr>
        <w:t>Plans</w:t>
      </w:r>
      <w:r>
        <w:rPr>
          <w:spacing w:val="-10"/>
          <w:w w:val="105"/>
        </w:rPr>
        <w:t> </w:t>
      </w:r>
      <w:r>
        <w:rPr>
          <w:spacing w:val="-2"/>
          <w:w w:val="105"/>
        </w:rPr>
        <w:t>(Continued)</w:t>
      </w:r>
    </w:p>
    <w:p>
      <w:pPr>
        <w:pStyle w:val="BodyText"/>
        <w:spacing w:before="40"/>
        <w:rPr>
          <w:b/>
        </w:rPr>
      </w:pPr>
    </w:p>
    <w:p>
      <w:pPr>
        <w:pStyle w:val="BodyText"/>
        <w:spacing w:line="266" w:lineRule="auto"/>
        <w:ind w:left="156"/>
      </w:pPr>
      <w:r>
        <w:rPr>
          <w:w w:val="105"/>
        </w:rPr>
        <w:t>Corning</w:t>
      </w:r>
      <w:r>
        <w:rPr>
          <w:spacing w:val="-1"/>
          <w:w w:val="105"/>
        </w:rPr>
        <w:t> </w:t>
      </w:r>
      <w:r>
        <w:rPr>
          <w:w w:val="105"/>
        </w:rPr>
        <w:t>uses</w:t>
      </w:r>
      <w:r>
        <w:rPr>
          <w:spacing w:val="-1"/>
          <w:w w:val="105"/>
        </w:rPr>
        <w:t> </w:t>
      </w:r>
      <w:r>
        <w:rPr>
          <w:w w:val="105"/>
        </w:rPr>
        <w:t>a</w:t>
      </w:r>
      <w:r>
        <w:rPr>
          <w:spacing w:val="-1"/>
          <w:w w:val="105"/>
        </w:rPr>
        <w:t> </w:t>
      </w:r>
      <w:r>
        <w:rPr>
          <w:w w:val="105"/>
        </w:rPr>
        <w:t>hypothetical</w:t>
      </w:r>
      <w:r>
        <w:rPr>
          <w:spacing w:val="-1"/>
          <w:w w:val="105"/>
        </w:rPr>
        <w:t> </w:t>
      </w:r>
      <w:r>
        <w:rPr>
          <w:w w:val="105"/>
        </w:rPr>
        <w:t>yield</w:t>
      </w:r>
      <w:r>
        <w:rPr>
          <w:spacing w:val="-1"/>
          <w:w w:val="105"/>
        </w:rPr>
        <w:t> </w:t>
      </w:r>
      <w:r>
        <w:rPr>
          <w:w w:val="105"/>
        </w:rPr>
        <w:t>curve</w:t>
      </w:r>
      <w:r>
        <w:rPr>
          <w:spacing w:val="-1"/>
          <w:w w:val="105"/>
        </w:rPr>
        <w:t> </w:t>
      </w:r>
      <w:r>
        <w:rPr>
          <w:w w:val="105"/>
        </w:rPr>
        <w:t>and</w:t>
      </w:r>
      <w:r>
        <w:rPr>
          <w:spacing w:val="-1"/>
          <w:w w:val="105"/>
        </w:rPr>
        <w:t> </w:t>
      </w:r>
      <w:r>
        <w:rPr>
          <w:w w:val="105"/>
        </w:rPr>
        <w:t>associated</w:t>
      </w:r>
      <w:r>
        <w:rPr>
          <w:spacing w:val="-1"/>
          <w:w w:val="105"/>
        </w:rPr>
        <w:t> </w:t>
      </w:r>
      <w:r>
        <w:rPr>
          <w:w w:val="105"/>
        </w:rPr>
        <w:t>spot</w:t>
      </w:r>
      <w:r>
        <w:rPr>
          <w:spacing w:val="-1"/>
          <w:w w:val="105"/>
        </w:rPr>
        <w:t> </w:t>
      </w:r>
      <w:r>
        <w:rPr>
          <w:w w:val="105"/>
        </w:rPr>
        <w:t>rate</w:t>
      </w:r>
      <w:r>
        <w:rPr>
          <w:spacing w:val="-1"/>
          <w:w w:val="105"/>
        </w:rPr>
        <w:t> </w:t>
      </w:r>
      <w:r>
        <w:rPr>
          <w:w w:val="105"/>
        </w:rPr>
        <w:t>curve</w:t>
      </w:r>
      <w:r>
        <w:rPr>
          <w:spacing w:val="-1"/>
          <w:w w:val="105"/>
        </w:rPr>
        <w:t> </w:t>
      </w:r>
      <w:r>
        <w:rPr>
          <w:w w:val="105"/>
        </w:rPr>
        <w:t>to</w:t>
      </w:r>
      <w:r>
        <w:rPr>
          <w:spacing w:val="-1"/>
          <w:w w:val="105"/>
        </w:rPr>
        <w:t> </w:t>
      </w:r>
      <w:r>
        <w:rPr>
          <w:w w:val="105"/>
        </w:rPr>
        <w:t>discount</w:t>
      </w:r>
      <w:r>
        <w:rPr>
          <w:spacing w:val="-1"/>
          <w:w w:val="105"/>
        </w:rPr>
        <w:t> </w:t>
      </w:r>
      <w:r>
        <w:rPr>
          <w:w w:val="105"/>
        </w:rPr>
        <w:t>the</w:t>
      </w:r>
      <w:r>
        <w:rPr>
          <w:spacing w:val="-1"/>
          <w:w w:val="105"/>
        </w:rPr>
        <w:t> </w:t>
      </w:r>
      <w:r>
        <w:rPr>
          <w:w w:val="105"/>
        </w:rPr>
        <w:t>plan’s</w:t>
      </w:r>
      <w:r>
        <w:rPr>
          <w:spacing w:val="-1"/>
          <w:w w:val="105"/>
        </w:rPr>
        <w:t> </w:t>
      </w:r>
      <w:r>
        <w:rPr>
          <w:w w:val="105"/>
        </w:rPr>
        <w:t>projected</w:t>
      </w:r>
      <w:r>
        <w:rPr>
          <w:spacing w:val="-1"/>
          <w:w w:val="105"/>
        </w:rPr>
        <w:t> </w:t>
      </w:r>
      <w:r>
        <w:rPr>
          <w:w w:val="105"/>
        </w:rPr>
        <w:t>benefit</w:t>
      </w:r>
      <w:r>
        <w:rPr>
          <w:spacing w:val="-1"/>
          <w:w w:val="105"/>
        </w:rPr>
        <w:t> </w:t>
      </w:r>
      <w:r>
        <w:rPr>
          <w:w w:val="105"/>
        </w:rPr>
        <w:t>payments.</w:t>
      </w:r>
      <w:r>
        <w:rPr>
          <w:spacing w:val="-1"/>
          <w:w w:val="105"/>
        </w:rPr>
        <w:t> </w:t>
      </w:r>
      <w:r>
        <w:rPr>
          <w:w w:val="105"/>
        </w:rPr>
        <w:t>Once</w:t>
      </w:r>
      <w:r>
        <w:rPr>
          <w:spacing w:val="-1"/>
          <w:w w:val="105"/>
        </w:rPr>
        <w:t> </w:t>
      </w:r>
      <w:r>
        <w:rPr>
          <w:w w:val="105"/>
        </w:rPr>
        <w:t>the</w:t>
      </w:r>
      <w:r>
        <w:rPr>
          <w:spacing w:val="-1"/>
          <w:w w:val="105"/>
        </w:rPr>
        <w:t> </w:t>
      </w:r>
      <w:r>
        <w:rPr>
          <w:w w:val="105"/>
        </w:rPr>
        <w:t>present</w:t>
      </w:r>
      <w:r>
        <w:rPr>
          <w:spacing w:val="-1"/>
          <w:w w:val="105"/>
        </w:rPr>
        <w:t> </w:t>
      </w:r>
      <w:r>
        <w:rPr>
          <w:w w:val="105"/>
        </w:rPr>
        <w:t>value</w:t>
      </w:r>
      <w:r>
        <w:rPr>
          <w:spacing w:val="-1"/>
          <w:w w:val="105"/>
        </w:rPr>
        <w:t> </w:t>
      </w:r>
      <w:r>
        <w:rPr>
          <w:w w:val="105"/>
        </w:rPr>
        <w:t>of</w:t>
      </w:r>
      <w:r>
        <w:rPr>
          <w:spacing w:val="-1"/>
          <w:w w:val="105"/>
        </w:rPr>
        <w:t> </w:t>
      </w:r>
      <w:r>
        <w:rPr>
          <w:w w:val="105"/>
        </w:rPr>
        <w:t>projected</w:t>
      </w:r>
      <w:r>
        <w:rPr>
          <w:spacing w:val="-1"/>
          <w:w w:val="105"/>
        </w:rPr>
        <w:t> </w:t>
      </w:r>
      <w:r>
        <w:rPr>
          <w:w w:val="105"/>
        </w:rPr>
        <w:t>benefit payments</w:t>
      </w:r>
      <w:r>
        <w:rPr>
          <w:spacing w:val="-2"/>
          <w:w w:val="105"/>
        </w:rPr>
        <w:t> </w:t>
      </w:r>
      <w:r>
        <w:rPr>
          <w:w w:val="105"/>
        </w:rPr>
        <w:t>is</w:t>
      </w:r>
      <w:r>
        <w:rPr>
          <w:spacing w:val="-2"/>
          <w:w w:val="105"/>
        </w:rPr>
        <w:t> </w:t>
      </w:r>
      <w:r>
        <w:rPr>
          <w:w w:val="105"/>
        </w:rPr>
        <w:t>calculated,</w:t>
      </w:r>
      <w:r>
        <w:rPr>
          <w:spacing w:val="-2"/>
          <w:w w:val="105"/>
        </w:rPr>
        <w:t> </w:t>
      </w:r>
      <w:r>
        <w:rPr>
          <w:w w:val="105"/>
        </w:rPr>
        <w:t>the</w:t>
      </w:r>
      <w:r>
        <w:rPr>
          <w:spacing w:val="-2"/>
          <w:w w:val="105"/>
        </w:rPr>
        <w:t> </w:t>
      </w:r>
      <w:r>
        <w:rPr>
          <w:w w:val="105"/>
        </w:rPr>
        <w:t>suggested</w:t>
      </w:r>
      <w:r>
        <w:rPr>
          <w:spacing w:val="-2"/>
          <w:w w:val="105"/>
        </w:rPr>
        <w:t> </w:t>
      </w:r>
      <w:r>
        <w:rPr>
          <w:w w:val="105"/>
        </w:rPr>
        <w:t>discount</w:t>
      </w:r>
      <w:r>
        <w:rPr>
          <w:spacing w:val="-2"/>
          <w:w w:val="105"/>
        </w:rPr>
        <w:t> </w:t>
      </w:r>
      <w:r>
        <w:rPr>
          <w:w w:val="105"/>
        </w:rPr>
        <w:t>rate is</w:t>
      </w:r>
      <w:r>
        <w:rPr>
          <w:spacing w:val="-2"/>
          <w:w w:val="105"/>
        </w:rPr>
        <w:t> </w:t>
      </w:r>
      <w:r>
        <w:rPr>
          <w:w w:val="105"/>
        </w:rPr>
        <w:t>equal</w:t>
      </w:r>
      <w:r>
        <w:rPr>
          <w:spacing w:val="-2"/>
          <w:w w:val="105"/>
        </w:rPr>
        <w:t> </w:t>
      </w:r>
      <w:r>
        <w:rPr>
          <w:w w:val="105"/>
        </w:rPr>
        <w:t>to</w:t>
      </w:r>
      <w:r>
        <w:rPr>
          <w:spacing w:val="-2"/>
          <w:w w:val="105"/>
        </w:rPr>
        <w:t> </w:t>
      </w:r>
      <w:r>
        <w:rPr>
          <w:w w:val="105"/>
        </w:rPr>
        <w:t>the</w:t>
      </w:r>
      <w:r>
        <w:rPr>
          <w:spacing w:val="-2"/>
          <w:w w:val="105"/>
        </w:rPr>
        <w:t> </w:t>
      </w:r>
      <w:r>
        <w:rPr>
          <w:w w:val="105"/>
        </w:rPr>
        <w:t>level</w:t>
      </w:r>
      <w:r>
        <w:rPr>
          <w:spacing w:val="-2"/>
          <w:w w:val="105"/>
        </w:rPr>
        <w:t> </w:t>
      </w:r>
      <w:r>
        <w:rPr>
          <w:w w:val="105"/>
        </w:rPr>
        <w:t>rate</w:t>
      </w:r>
      <w:r>
        <w:rPr>
          <w:spacing w:val="-2"/>
          <w:w w:val="105"/>
        </w:rPr>
        <w:t> </w:t>
      </w:r>
      <w:r>
        <w:rPr>
          <w:w w:val="105"/>
        </w:rPr>
        <w:t>that</w:t>
      </w:r>
      <w:r>
        <w:rPr>
          <w:spacing w:val="-2"/>
          <w:w w:val="105"/>
        </w:rPr>
        <w:t> </w:t>
      </w:r>
      <w:r>
        <w:rPr>
          <w:w w:val="105"/>
        </w:rPr>
        <w:t>results</w:t>
      </w:r>
      <w:r>
        <w:rPr>
          <w:spacing w:val="-2"/>
          <w:w w:val="105"/>
        </w:rPr>
        <w:t> </w:t>
      </w:r>
      <w:r>
        <w:rPr>
          <w:w w:val="105"/>
        </w:rPr>
        <w:t>in</w:t>
      </w:r>
      <w:r>
        <w:rPr>
          <w:spacing w:val="-2"/>
          <w:w w:val="105"/>
        </w:rPr>
        <w:t> </w:t>
      </w:r>
      <w:r>
        <w:rPr>
          <w:w w:val="105"/>
        </w:rPr>
        <w:t>the</w:t>
      </w:r>
      <w:r>
        <w:rPr>
          <w:spacing w:val="-2"/>
          <w:w w:val="105"/>
        </w:rPr>
        <w:t> </w:t>
      </w:r>
      <w:r>
        <w:rPr>
          <w:w w:val="105"/>
        </w:rPr>
        <w:t>same</w:t>
      </w:r>
      <w:r>
        <w:rPr>
          <w:spacing w:val="-2"/>
          <w:w w:val="105"/>
        </w:rPr>
        <w:t> </w:t>
      </w:r>
      <w:r>
        <w:rPr>
          <w:w w:val="105"/>
        </w:rPr>
        <w:t>present</w:t>
      </w:r>
      <w:r>
        <w:rPr>
          <w:spacing w:val="-2"/>
          <w:w w:val="105"/>
        </w:rPr>
        <w:t> </w:t>
      </w:r>
      <w:r>
        <w:rPr>
          <w:w w:val="105"/>
        </w:rPr>
        <w:t>value.</w:t>
      </w:r>
      <w:r>
        <w:rPr>
          <w:spacing w:val="-2"/>
          <w:w w:val="105"/>
        </w:rPr>
        <w:t> </w:t>
      </w:r>
      <w:r>
        <w:rPr>
          <w:w w:val="105"/>
        </w:rPr>
        <w:t>The</w:t>
      </w:r>
      <w:r>
        <w:rPr>
          <w:spacing w:val="-2"/>
          <w:w w:val="105"/>
        </w:rPr>
        <w:t> </w:t>
      </w:r>
      <w:r>
        <w:rPr>
          <w:w w:val="105"/>
        </w:rPr>
        <w:t>yield curve</w:t>
      </w:r>
      <w:r>
        <w:rPr>
          <w:spacing w:val="-2"/>
          <w:w w:val="105"/>
        </w:rPr>
        <w:t> </w:t>
      </w:r>
      <w:r>
        <w:rPr>
          <w:w w:val="105"/>
        </w:rPr>
        <w:t>is</w:t>
      </w:r>
      <w:r>
        <w:rPr>
          <w:spacing w:val="-2"/>
          <w:w w:val="105"/>
        </w:rPr>
        <w:t> </w:t>
      </w:r>
      <w:r>
        <w:rPr>
          <w:w w:val="105"/>
        </w:rPr>
        <w:t>based</w:t>
      </w:r>
      <w:r>
        <w:rPr>
          <w:spacing w:val="-2"/>
          <w:w w:val="105"/>
        </w:rPr>
        <w:t> </w:t>
      </w:r>
      <w:r>
        <w:rPr>
          <w:w w:val="105"/>
        </w:rPr>
        <w:t>on</w:t>
      </w:r>
      <w:r>
        <w:rPr>
          <w:spacing w:val="-2"/>
          <w:w w:val="105"/>
        </w:rPr>
        <w:t> </w:t>
      </w:r>
      <w:r>
        <w:rPr>
          <w:w w:val="105"/>
        </w:rPr>
        <w:t>actual</w:t>
      </w:r>
      <w:r>
        <w:rPr>
          <w:spacing w:val="-2"/>
          <w:w w:val="105"/>
        </w:rPr>
        <w:t> </w:t>
      </w:r>
      <w:r>
        <w:rPr>
          <w:w w:val="105"/>
        </w:rPr>
        <w:t>high-quality</w:t>
      </w:r>
      <w:r>
        <w:rPr>
          <w:spacing w:val="-2"/>
          <w:w w:val="105"/>
        </w:rPr>
        <w:t> </w:t>
      </w:r>
      <w:r>
        <w:rPr>
          <w:w w:val="105"/>
        </w:rPr>
        <w:t>corporate bonds</w:t>
      </w:r>
      <w:r>
        <w:rPr>
          <w:spacing w:val="-8"/>
          <w:w w:val="105"/>
        </w:rPr>
        <w:t> </w:t>
      </w:r>
      <w:r>
        <w:rPr>
          <w:w w:val="105"/>
        </w:rPr>
        <w:t>across</w:t>
      </w:r>
      <w:r>
        <w:rPr>
          <w:spacing w:val="-8"/>
          <w:w w:val="105"/>
        </w:rPr>
        <w:t> </w:t>
      </w:r>
      <w:r>
        <w:rPr>
          <w:w w:val="105"/>
        </w:rPr>
        <w:t>the</w:t>
      </w:r>
      <w:r>
        <w:rPr>
          <w:spacing w:val="-8"/>
          <w:w w:val="105"/>
        </w:rPr>
        <w:t> </w:t>
      </w:r>
      <w:r>
        <w:rPr>
          <w:w w:val="105"/>
        </w:rPr>
        <w:t>full</w:t>
      </w:r>
      <w:r>
        <w:rPr>
          <w:spacing w:val="-8"/>
          <w:w w:val="105"/>
        </w:rPr>
        <w:t> </w:t>
      </w:r>
      <w:r>
        <w:rPr>
          <w:w w:val="105"/>
        </w:rPr>
        <w:t>maturity</w:t>
      </w:r>
      <w:r>
        <w:rPr>
          <w:spacing w:val="-8"/>
          <w:w w:val="105"/>
        </w:rPr>
        <w:t> </w:t>
      </w:r>
      <w:r>
        <w:rPr>
          <w:w w:val="105"/>
        </w:rPr>
        <w:t>spectrum,</w:t>
      </w:r>
      <w:r>
        <w:rPr>
          <w:spacing w:val="-8"/>
          <w:w w:val="105"/>
        </w:rPr>
        <w:t> </w:t>
      </w:r>
      <w:r>
        <w:rPr>
          <w:w w:val="105"/>
        </w:rPr>
        <w:t>which</w:t>
      </w:r>
      <w:r>
        <w:rPr>
          <w:spacing w:val="-8"/>
          <w:w w:val="105"/>
        </w:rPr>
        <w:t> </w:t>
      </w:r>
      <w:r>
        <w:rPr>
          <w:w w:val="105"/>
        </w:rPr>
        <w:t>also</w:t>
      </w:r>
      <w:r>
        <w:rPr>
          <w:spacing w:val="-8"/>
          <w:w w:val="105"/>
        </w:rPr>
        <w:t> </w:t>
      </w:r>
      <w:r>
        <w:rPr>
          <w:w w:val="105"/>
        </w:rPr>
        <w:t>includes</w:t>
      </w:r>
      <w:r>
        <w:rPr>
          <w:spacing w:val="-8"/>
          <w:w w:val="105"/>
        </w:rPr>
        <w:t> </w:t>
      </w:r>
      <w:r>
        <w:rPr>
          <w:w w:val="105"/>
        </w:rPr>
        <w:t>private</w:t>
      </w:r>
      <w:r>
        <w:rPr>
          <w:spacing w:val="-8"/>
          <w:w w:val="105"/>
        </w:rPr>
        <w:t> </w:t>
      </w:r>
      <w:r>
        <w:rPr>
          <w:w w:val="105"/>
        </w:rPr>
        <w:t>placements</w:t>
      </w:r>
      <w:r>
        <w:rPr>
          <w:spacing w:val="-7"/>
          <w:w w:val="105"/>
        </w:rPr>
        <w:t> </w:t>
      </w:r>
      <w:r>
        <w:rPr>
          <w:w w:val="105"/>
        </w:rPr>
        <w:t>and</w:t>
      </w:r>
      <w:r>
        <w:rPr>
          <w:spacing w:val="-8"/>
          <w:w w:val="105"/>
        </w:rPr>
        <w:t> </w:t>
      </w:r>
      <w:r>
        <w:rPr>
          <w:w w:val="105"/>
        </w:rPr>
        <w:t>eurobonds</w:t>
      </w:r>
      <w:r>
        <w:rPr>
          <w:spacing w:val="-8"/>
          <w:w w:val="105"/>
        </w:rPr>
        <w:t> </w:t>
      </w:r>
      <w:r>
        <w:rPr>
          <w:w w:val="105"/>
        </w:rPr>
        <w:t>that</w:t>
      </w:r>
      <w:r>
        <w:rPr>
          <w:spacing w:val="-8"/>
          <w:w w:val="105"/>
        </w:rPr>
        <w:t> </w:t>
      </w:r>
      <w:r>
        <w:rPr>
          <w:w w:val="105"/>
        </w:rPr>
        <w:t>are</w:t>
      </w:r>
      <w:r>
        <w:rPr>
          <w:spacing w:val="-8"/>
          <w:w w:val="105"/>
        </w:rPr>
        <w:t> </w:t>
      </w:r>
      <w:r>
        <w:rPr>
          <w:w w:val="105"/>
        </w:rPr>
        <w:t>denominated</w:t>
      </w:r>
      <w:r>
        <w:rPr>
          <w:spacing w:val="-8"/>
          <w:w w:val="105"/>
        </w:rPr>
        <w:t> </w:t>
      </w:r>
      <w:r>
        <w:rPr>
          <w:w w:val="105"/>
        </w:rPr>
        <w:t>in</w:t>
      </w:r>
      <w:r>
        <w:rPr>
          <w:spacing w:val="-8"/>
          <w:w w:val="105"/>
        </w:rPr>
        <w:t> </w:t>
      </w:r>
      <w:r>
        <w:rPr>
          <w:w w:val="105"/>
        </w:rPr>
        <w:t>U.S.</w:t>
      </w:r>
      <w:r>
        <w:rPr>
          <w:spacing w:val="-8"/>
          <w:w w:val="105"/>
        </w:rPr>
        <w:t> </w:t>
      </w:r>
      <w:r>
        <w:rPr>
          <w:w w:val="105"/>
        </w:rPr>
        <w:t>currency.</w:t>
      </w:r>
      <w:r>
        <w:rPr>
          <w:spacing w:val="-8"/>
          <w:w w:val="105"/>
        </w:rPr>
        <w:t> </w:t>
      </w:r>
      <w:r>
        <w:rPr>
          <w:w w:val="105"/>
        </w:rPr>
        <w:t>The</w:t>
      </w:r>
      <w:r>
        <w:rPr>
          <w:spacing w:val="-8"/>
          <w:w w:val="105"/>
        </w:rPr>
        <w:t> </w:t>
      </w:r>
      <w:r>
        <w:rPr>
          <w:w w:val="105"/>
        </w:rPr>
        <w:t>curve</w:t>
      </w:r>
      <w:r>
        <w:rPr>
          <w:spacing w:val="-8"/>
          <w:w w:val="105"/>
        </w:rPr>
        <w:t> </w:t>
      </w:r>
      <w:r>
        <w:rPr>
          <w:w w:val="105"/>
        </w:rPr>
        <w:t>is</w:t>
      </w:r>
      <w:r>
        <w:rPr>
          <w:spacing w:val="-8"/>
          <w:w w:val="105"/>
        </w:rPr>
        <w:t> </w:t>
      </w:r>
      <w:r>
        <w:rPr>
          <w:w w:val="105"/>
        </w:rPr>
        <w:t>developed</w:t>
      </w:r>
      <w:r>
        <w:rPr>
          <w:spacing w:val="-8"/>
          <w:w w:val="105"/>
        </w:rPr>
        <w:t> </w:t>
      </w:r>
      <w:r>
        <w:rPr>
          <w:w w:val="105"/>
        </w:rPr>
        <w:t>from</w:t>
      </w:r>
      <w:r>
        <w:rPr>
          <w:spacing w:val="-8"/>
          <w:w w:val="105"/>
        </w:rPr>
        <w:t> </w:t>
      </w:r>
      <w:r>
        <w:rPr>
          <w:w w:val="105"/>
        </w:rPr>
        <w:t>yields</w:t>
      </w:r>
      <w:r>
        <w:rPr>
          <w:spacing w:val="-8"/>
          <w:w w:val="105"/>
        </w:rPr>
        <w:t> </w:t>
      </w:r>
      <w:r>
        <w:rPr>
          <w:w w:val="105"/>
        </w:rPr>
        <w:t>on hundreds</w:t>
      </w:r>
      <w:r>
        <w:rPr>
          <w:spacing w:val="-5"/>
          <w:w w:val="105"/>
        </w:rPr>
        <w:t> </w:t>
      </w:r>
      <w:r>
        <w:rPr>
          <w:w w:val="105"/>
        </w:rPr>
        <w:t>of</w:t>
      </w:r>
      <w:r>
        <w:rPr>
          <w:spacing w:val="-5"/>
          <w:w w:val="105"/>
        </w:rPr>
        <w:t> </w:t>
      </w:r>
      <w:r>
        <w:rPr>
          <w:w w:val="105"/>
        </w:rPr>
        <w:t>bonds</w:t>
      </w:r>
      <w:r>
        <w:rPr>
          <w:spacing w:val="-5"/>
          <w:w w:val="105"/>
        </w:rPr>
        <w:t> </w:t>
      </w:r>
      <w:r>
        <w:rPr>
          <w:w w:val="105"/>
        </w:rPr>
        <w:t>from</w:t>
      </w:r>
      <w:r>
        <w:rPr>
          <w:spacing w:val="-4"/>
          <w:w w:val="105"/>
        </w:rPr>
        <w:t> </w:t>
      </w:r>
      <w:r>
        <w:rPr>
          <w:w w:val="105"/>
        </w:rPr>
        <w:t>four</w:t>
      </w:r>
      <w:r>
        <w:rPr>
          <w:spacing w:val="-5"/>
          <w:w w:val="105"/>
        </w:rPr>
        <w:t> </w:t>
      </w:r>
      <w:r>
        <w:rPr>
          <w:w w:val="105"/>
        </w:rPr>
        <w:t>grading</w:t>
      </w:r>
      <w:r>
        <w:rPr>
          <w:spacing w:val="-5"/>
          <w:w w:val="105"/>
        </w:rPr>
        <w:t> </w:t>
      </w:r>
      <w:r>
        <w:rPr>
          <w:w w:val="105"/>
        </w:rPr>
        <w:t>sources,</w:t>
      </w:r>
      <w:r>
        <w:rPr>
          <w:spacing w:val="-5"/>
          <w:w w:val="105"/>
        </w:rPr>
        <w:t> </w:t>
      </w:r>
      <w:r>
        <w:rPr>
          <w:w w:val="105"/>
        </w:rPr>
        <w:t>Moody’s,</w:t>
      </w:r>
      <w:r>
        <w:rPr>
          <w:spacing w:val="-5"/>
          <w:w w:val="105"/>
        </w:rPr>
        <w:t> </w:t>
      </w:r>
      <w:r>
        <w:rPr>
          <w:w w:val="105"/>
        </w:rPr>
        <w:t>S&amp;P,</w:t>
      </w:r>
      <w:r>
        <w:rPr>
          <w:spacing w:val="-5"/>
          <w:w w:val="105"/>
        </w:rPr>
        <w:t> </w:t>
      </w:r>
      <w:r>
        <w:rPr>
          <w:w w:val="105"/>
        </w:rPr>
        <w:t>Fitch</w:t>
      </w:r>
      <w:r>
        <w:rPr>
          <w:spacing w:val="-5"/>
          <w:w w:val="105"/>
        </w:rPr>
        <w:t> </w:t>
      </w:r>
      <w:r>
        <w:rPr>
          <w:w w:val="105"/>
        </w:rPr>
        <w:t>and</w:t>
      </w:r>
      <w:r>
        <w:rPr>
          <w:spacing w:val="-5"/>
          <w:w w:val="105"/>
        </w:rPr>
        <w:t> </w:t>
      </w:r>
      <w:r>
        <w:rPr>
          <w:w w:val="105"/>
        </w:rPr>
        <w:t>the</w:t>
      </w:r>
      <w:r>
        <w:rPr>
          <w:spacing w:val="-5"/>
          <w:w w:val="105"/>
        </w:rPr>
        <w:t> </w:t>
      </w:r>
      <w:r>
        <w:rPr>
          <w:w w:val="105"/>
        </w:rPr>
        <w:t>Dominion</w:t>
      </w:r>
      <w:r>
        <w:rPr>
          <w:spacing w:val="-5"/>
          <w:w w:val="105"/>
        </w:rPr>
        <w:t> </w:t>
      </w:r>
      <w:r>
        <w:rPr>
          <w:w w:val="105"/>
        </w:rPr>
        <w:t>Bond</w:t>
      </w:r>
      <w:r>
        <w:rPr>
          <w:spacing w:val="-5"/>
          <w:w w:val="105"/>
        </w:rPr>
        <w:t> </w:t>
      </w:r>
      <w:r>
        <w:rPr>
          <w:w w:val="105"/>
        </w:rPr>
        <w:t>Rating</w:t>
      </w:r>
      <w:r>
        <w:rPr>
          <w:spacing w:val="-5"/>
          <w:w w:val="105"/>
        </w:rPr>
        <w:t> </w:t>
      </w:r>
      <w:r>
        <w:rPr>
          <w:w w:val="105"/>
        </w:rPr>
        <w:t>Service.</w:t>
      </w:r>
      <w:r>
        <w:rPr>
          <w:spacing w:val="-5"/>
          <w:w w:val="105"/>
        </w:rPr>
        <w:t> </w:t>
      </w:r>
      <w:r>
        <w:rPr>
          <w:w w:val="105"/>
        </w:rPr>
        <w:t>A</w:t>
      </w:r>
      <w:r>
        <w:rPr>
          <w:spacing w:val="-5"/>
          <w:w w:val="105"/>
        </w:rPr>
        <w:t> </w:t>
      </w:r>
      <w:r>
        <w:rPr>
          <w:w w:val="105"/>
        </w:rPr>
        <w:t>bond</w:t>
      </w:r>
      <w:r>
        <w:rPr>
          <w:spacing w:val="-5"/>
          <w:w w:val="105"/>
        </w:rPr>
        <w:t> </w:t>
      </w:r>
      <w:r>
        <w:rPr>
          <w:w w:val="105"/>
        </w:rPr>
        <w:t>will</w:t>
      </w:r>
      <w:r>
        <w:rPr>
          <w:spacing w:val="-5"/>
          <w:w w:val="105"/>
        </w:rPr>
        <w:t> </w:t>
      </w:r>
      <w:r>
        <w:rPr>
          <w:w w:val="105"/>
        </w:rPr>
        <w:t>be</w:t>
      </w:r>
      <w:r>
        <w:rPr>
          <w:spacing w:val="-5"/>
          <w:w w:val="105"/>
        </w:rPr>
        <w:t> </w:t>
      </w:r>
      <w:r>
        <w:rPr>
          <w:w w:val="105"/>
        </w:rPr>
        <w:t>included</w:t>
      </w:r>
      <w:r>
        <w:rPr>
          <w:spacing w:val="-5"/>
          <w:w w:val="105"/>
        </w:rPr>
        <w:t> </w:t>
      </w:r>
      <w:r>
        <w:rPr>
          <w:w w:val="105"/>
        </w:rPr>
        <w:t>if</w:t>
      </w:r>
      <w:r>
        <w:rPr>
          <w:spacing w:val="-5"/>
          <w:w w:val="105"/>
        </w:rPr>
        <w:t> </w:t>
      </w:r>
      <w:r>
        <w:rPr>
          <w:w w:val="105"/>
        </w:rPr>
        <w:t>at</w:t>
      </w:r>
      <w:r>
        <w:rPr>
          <w:spacing w:val="-5"/>
          <w:w w:val="105"/>
        </w:rPr>
        <w:t> </w:t>
      </w:r>
      <w:r>
        <w:rPr>
          <w:w w:val="105"/>
        </w:rPr>
        <w:t>least</w:t>
      </w:r>
      <w:r>
        <w:rPr>
          <w:spacing w:val="-5"/>
          <w:w w:val="105"/>
        </w:rPr>
        <w:t> </w:t>
      </w:r>
      <w:r>
        <w:rPr>
          <w:w w:val="105"/>
        </w:rPr>
        <w:t>half</w:t>
      </w:r>
      <w:r>
        <w:rPr>
          <w:spacing w:val="-5"/>
          <w:w w:val="105"/>
        </w:rPr>
        <w:t> </w:t>
      </w:r>
      <w:r>
        <w:rPr>
          <w:w w:val="105"/>
        </w:rPr>
        <w:t>of</w:t>
      </w:r>
      <w:r>
        <w:rPr>
          <w:spacing w:val="-5"/>
          <w:w w:val="105"/>
        </w:rPr>
        <w:t> </w:t>
      </w:r>
      <w:r>
        <w:rPr>
          <w:w w:val="105"/>
        </w:rPr>
        <w:t>the</w:t>
      </w:r>
      <w:r>
        <w:rPr>
          <w:spacing w:val="-5"/>
          <w:w w:val="105"/>
        </w:rPr>
        <w:t> </w:t>
      </w:r>
      <w:r>
        <w:rPr>
          <w:w w:val="105"/>
        </w:rPr>
        <w:t>grades</w:t>
      </w:r>
      <w:r>
        <w:rPr>
          <w:spacing w:val="-5"/>
          <w:w w:val="105"/>
        </w:rPr>
        <w:t> </w:t>
      </w:r>
      <w:r>
        <w:rPr>
          <w:w w:val="105"/>
        </w:rPr>
        <w:t>from</w:t>
      </w:r>
      <w:r>
        <w:rPr>
          <w:spacing w:val="-5"/>
          <w:w w:val="105"/>
        </w:rPr>
        <w:t> </w:t>
      </w:r>
      <w:r>
        <w:rPr>
          <w:w w:val="105"/>
        </w:rPr>
        <w:t>these sources</w:t>
      </w:r>
      <w:r>
        <w:rPr>
          <w:spacing w:val="-2"/>
          <w:w w:val="105"/>
        </w:rPr>
        <w:t> </w:t>
      </w:r>
      <w:r>
        <w:rPr>
          <w:w w:val="105"/>
        </w:rPr>
        <w:t>are</w:t>
      </w:r>
      <w:r>
        <w:rPr>
          <w:spacing w:val="-2"/>
          <w:w w:val="105"/>
        </w:rPr>
        <w:t> </w:t>
      </w:r>
      <w:r>
        <w:rPr>
          <w:w w:val="105"/>
        </w:rPr>
        <w:t>Aa,</w:t>
      </w:r>
      <w:r>
        <w:rPr>
          <w:spacing w:val="-2"/>
          <w:w w:val="105"/>
        </w:rPr>
        <w:t> </w:t>
      </w:r>
      <w:r>
        <w:rPr>
          <w:w w:val="105"/>
        </w:rPr>
        <w:t>non-callable</w:t>
      </w:r>
      <w:r>
        <w:rPr>
          <w:spacing w:val="-2"/>
          <w:w w:val="105"/>
        </w:rPr>
        <w:t> </w:t>
      </w:r>
      <w:r>
        <w:rPr>
          <w:w w:val="105"/>
        </w:rPr>
        <w:t>bonds.</w:t>
      </w:r>
      <w:r>
        <w:rPr>
          <w:spacing w:val="-2"/>
          <w:w w:val="105"/>
        </w:rPr>
        <w:t> </w:t>
      </w:r>
      <w:r>
        <w:rPr>
          <w:w w:val="105"/>
        </w:rPr>
        <w:t>The</w:t>
      </w:r>
      <w:r>
        <w:rPr>
          <w:spacing w:val="-2"/>
          <w:w w:val="105"/>
        </w:rPr>
        <w:t> </w:t>
      </w:r>
      <w:r>
        <w:rPr>
          <w:w w:val="105"/>
        </w:rPr>
        <w:t>very</w:t>
      </w:r>
      <w:r>
        <w:rPr>
          <w:spacing w:val="-2"/>
          <w:w w:val="105"/>
        </w:rPr>
        <w:t> </w:t>
      </w:r>
      <w:r>
        <w:rPr>
          <w:w w:val="105"/>
        </w:rPr>
        <w:t>highest</w:t>
      </w:r>
      <w:r>
        <w:rPr>
          <w:spacing w:val="-2"/>
          <w:w w:val="105"/>
        </w:rPr>
        <w:t> </w:t>
      </w:r>
      <w:r>
        <w:rPr>
          <w:w w:val="105"/>
        </w:rPr>
        <w:t>10%</w:t>
      </w:r>
      <w:r>
        <w:rPr>
          <w:spacing w:val="-2"/>
          <w:w w:val="105"/>
        </w:rPr>
        <w:t> </w:t>
      </w:r>
      <w:r>
        <w:rPr>
          <w:w w:val="105"/>
        </w:rPr>
        <w:t>yields</w:t>
      </w:r>
      <w:r>
        <w:rPr>
          <w:spacing w:val="-2"/>
          <w:w w:val="105"/>
        </w:rPr>
        <w:t> </w:t>
      </w:r>
      <w:r>
        <w:rPr>
          <w:w w:val="105"/>
        </w:rPr>
        <w:t>and the</w:t>
      </w:r>
      <w:r>
        <w:rPr>
          <w:spacing w:val="-2"/>
          <w:w w:val="105"/>
        </w:rPr>
        <w:t> </w:t>
      </w:r>
      <w:r>
        <w:rPr>
          <w:w w:val="105"/>
        </w:rPr>
        <w:t>lowest</w:t>
      </w:r>
      <w:r>
        <w:rPr>
          <w:spacing w:val="-2"/>
          <w:w w:val="105"/>
        </w:rPr>
        <w:t> </w:t>
      </w:r>
      <w:r>
        <w:rPr>
          <w:w w:val="105"/>
        </w:rPr>
        <w:t>40%</w:t>
      </w:r>
      <w:r>
        <w:rPr>
          <w:spacing w:val="-2"/>
          <w:w w:val="105"/>
        </w:rPr>
        <w:t> </w:t>
      </w:r>
      <w:r>
        <w:rPr>
          <w:w w:val="105"/>
        </w:rPr>
        <w:t>yields</w:t>
      </w:r>
      <w:r>
        <w:rPr>
          <w:spacing w:val="-2"/>
          <w:w w:val="105"/>
        </w:rPr>
        <w:t> </w:t>
      </w:r>
      <w:r>
        <w:rPr>
          <w:w w:val="105"/>
        </w:rPr>
        <w:t>are</w:t>
      </w:r>
      <w:r>
        <w:rPr>
          <w:spacing w:val="-2"/>
          <w:w w:val="105"/>
        </w:rPr>
        <w:t> </w:t>
      </w:r>
      <w:r>
        <w:rPr>
          <w:w w:val="105"/>
        </w:rPr>
        <w:t>excluded</w:t>
      </w:r>
      <w:r>
        <w:rPr>
          <w:spacing w:val="-2"/>
          <w:w w:val="105"/>
        </w:rPr>
        <w:t> </w:t>
      </w:r>
      <w:r>
        <w:rPr>
          <w:w w:val="105"/>
        </w:rPr>
        <w:t>from</w:t>
      </w:r>
      <w:r>
        <w:rPr>
          <w:spacing w:val="-2"/>
          <w:w w:val="105"/>
        </w:rPr>
        <w:t> </w:t>
      </w:r>
      <w:r>
        <w:rPr>
          <w:w w:val="105"/>
        </w:rPr>
        <w:t>the</w:t>
      </w:r>
      <w:r>
        <w:rPr>
          <w:spacing w:val="-2"/>
          <w:w w:val="105"/>
        </w:rPr>
        <w:t> </w:t>
      </w:r>
      <w:r>
        <w:rPr>
          <w:w w:val="105"/>
        </w:rPr>
        <w:t>curve</w:t>
      </w:r>
      <w:r>
        <w:rPr>
          <w:spacing w:val="-2"/>
          <w:w w:val="105"/>
        </w:rPr>
        <w:t> </w:t>
      </w:r>
      <w:r>
        <w:rPr>
          <w:w w:val="105"/>
        </w:rPr>
        <w:t>to</w:t>
      </w:r>
      <w:r>
        <w:rPr>
          <w:spacing w:val="-2"/>
          <w:w w:val="105"/>
        </w:rPr>
        <w:t> </w:t>
      </w:r>
      <w:r>
        <w:rPr>
          <w:w w:val="105"/>
        </w:rPr>
        <w:t>eliminate</w:t>
      </w:r>
      <w:r>
        <w:rPr>
          <w:spacing w:val="-2"/>
          <w:w w:val="105"/>
        </w:rPr>
        <w:t> </w:t>
      </w:r>
      <w:r>
        <w:rPr>
          <w:w w:val="105"/>
        </w:rPr>
        <w:t>outliers</w:t>
      </w:r>
      <w:r>
        <w:rPr>
          <w:spacing w:val="-2"/>
          <w:w w:val="105"/>
        </w:rPr>
        <w:t> </w:t>
      </w:r>
      <w:r>
        <w:rPr>
          <w:w w:val="105"/>
        </w:rPr>
        <w:t>in</w:t>
      </w:r>
      <w:r>
        <w:rPr>
          <w:spacing w:val="-2"/>
          <w:w w:val="105"/>
        </w:rPr>
        <w:t> </w:t>
      </w:r>
      <w:r>
        <w:rPr>
          <w:w w:val="105"/>
        </w:rPr>
        <w:t>the</w:t>
      </w:r>
      <w:r>
        <w:rPr>
          <w:spacing w:val="-2"/>
          <w:w w:val="105"/>
        </w:rPr>
        <w:t> </w:t>
      </w:r>
      <w:r>
        <w:rPr>
          <w:w w:val="105"/>
        </w:rPr>
        <w:t>bond</w:t>
      </w:r>
      <w:r>
        <w:rPr>
          <w:spacing w:val="-2"/>
          <w:w w:val="105"/>
        </w:rPr>
        <w:t> </w:t>
      </w:r>
      <w:r>
        <w:rPr>
          <w:w w:val="105"/>
        </w:rPr>
        <w:t>population.</w:t>
      </w:r>
    </w:p>
    <w:p>
      <w:pPr>
        <w:pStyle w:val="BodyText"/>
        <w:spacing w:before="17"/>
      </w:pPr>
    </w:p>
    <w:p>
      <w:pPr>
        <w:pStyle w:val="BodyText"/>
        <w:spacing w:line="266" w:lineRule="auto" w:before="1"/>
        <w:ind w:left="156"/>
      </w:pPr>
      <w:r>
        <w:rPr>
          <w:w w:val="105"/>
        </w:rPr>
        <w:t>Mortality</w:t>
      </w:r>
      <w:r>
        <w:rPr>
          <w:spacing w:val="-2"/>
          <w:w w:val="105"/>
        </w:rPr>
        <w:t> </w:t>
      </w:r>
      <w:r>
        <w:rPr>
          <w:w w:val="105"/>
        </w:rPr>
        <w:t>is</w:t>
      </w:r>
      <w:r>
        <w:rPr>
          <w:spacing w:val="-1"/>
          <w:w w:val="105"/>
        </w:rPr>
        <w:t> </w:t>
      </w:r>
      <w:r>
        <w:rPr>
          <w:w w:val="105"/>
        </w:rPr>
        <w:t>one</w:t>
      </w:r>
      <w:r>
        <w:rPr>
          <w:spacing w:val="-2"/>
          <w:w w:val="105"/>
        </w:rPr>
        <w:t> </w:t>
      </w:r>
      <w:r>
        <w:rPr>
          <w:w w:val="105"/>
        </w:rPr>
        <w:t>of</w:t>
      </w:r>
      <w:r>
        <w:rPr>
          <w:spacing w:val="-2"/>
          <w:w w:val="105"/>
        </w:rPr>
        <w:t> </w:t>
      </w:r>
      <w:r>
        <w:rPr>
          <w:w w:val="105"/>
        </w:rPr>
        <w:t>the</w:t>
      </w:r>
      <w:r>
        <w:rPr>
          <w:spacing w:val="-2"/>
          <w:w w:val="105"/>
        </w:rPr>
        <w:t> </w:t>
      </w:r>
      <w:r>
        <w:rPr>
          <w:w w:val="105"/>
        </w:rPr>
        <w:t>key</w:t>
      </w:r>
      <w:r>
        <w:rPr>
          <w:spacing w:val="-2"/>
          <w:w w:val="105"/>
        </w:rPr>
        <w:t> </w:t>
      </w:r>
      <w:r>
        <w:rPr>
          <w:w w:val="105"/>
        </w:rPr>
        <w:t>assumptions</w:t>
      </w:r>
      <w:r>
        <w:rPr>
          <w:spacing w:val="-2"/>
          <w:w w:val="105"/>
        </w:rPr>
        <w:t> </w:t>
      </w:r>
      <w:r>
        <w:rPr>
          <w:w w:val="105"/>
        </w:rPr>
        <w:t>used</w:t>
      </w:r>
      <w:r>
        <w:rPr>
          <w:spacing w:val="-2"/>
          <w:w w:val="105"/>
        </w:rPr>
        <w:t> </w:t>
      </w:r>
      <w:r>
        <w:rPr>
          <w:w w:val="105"/>
        </w:rPr>
        <w:t>in</w:t>
      </w:r>
      <w:r>
        <w:rPr>
          <w:spacing w:val="-2"/>
          <w:w w:val="105"/>
        </w:rPr>
        <w:t> </w:t>
      </w:r>
      <w:r>
        <w:rPr>
          <w:w w:val="105"/>
        </w:rPr>
        <w:t>valuing</w:t>
      </w:r>
      <w:r>
        <w:rPr>
          <w:spacing w:val="-2"/>
          <w:w w:val="105"/>
        </w:rPr>
        <w:t> </w:t>
      </w:r>
      <w:r>
        <w:rPr>
          <w:w w:val="105"/>
        </w:rPr>
        <w:t>liabilities</w:t>
      </w:r>
      <w:r>
        <w:rPr>
          <w:spacing w:val="-2"/>
          <w:w w:val="105"/>
        </w:rPr>
        <w:t> </w:t>
      </w:r>
      <w:r>
        <w:rPr>
          <w:w w:val="105"/>
        </w:rPr>
        <w:t>of</w:t>
      </w:r>
      <w:r>
        <w:rPr>
          <w:spacing w:val="-2"/>
          <w:w w:val="105"/>
        </w:rPr>
        <w:t> </w:t>
      </w:r>
      <w:r>
        <w:rPr>
          <w:w w:val="105"/>
        </w:rPr>
        <w:t>retirement</w:t>
      </w:r>
      <w:r>
        <w:rPr>
          <w:spacing w:val="-2"/>
          <w:w w:val="105"/>
        </w:rPr>
        <w:t> </w:t>
      </w:r>
      <w:r>
        <w:rPr>
          <w:w w:val="105"/>
        </w:rPr>
        <w:t>plans.</w:t>
      </w:r>
      <w:r>
        <w:rPr>
          <w:spacing w:val="-2"/>
          <w:w w:val="105"/>
        </w:rPr>
        <w:t> </w:t>
      </w:r>
      <w:r>
        <w:rPr>
          <w:w w:val="105"/>
        </w:rPr>
        <w:t>It</w:t>
      </w:r>
      <w:r>
        <w:rPr>
          <w:spacing w:val="-2"/>
          <w:w w:val="105"/>
        </w:rPr>
        <w:t> </w:t>
      </w:r>
      <w:r>
        <w:rPr>
          <w:w w:val="105"/>
        </w:rPr>
        <w:t>is</w:t>
      </w:r>
      <w:r>
        <w:rPr>
          <w:spacing w:val="-2"/>
          <w:w w:val="105"/>
        </w:rPr>
        <w:t> </w:t>
      </w:r>
      <w:r>
        <w:rPr>
          <w:w w:val="105"/>
        </w:rPr>
        <w:t>used to</w:t>
      </w:r>
      <w:r>
        <w:rPr>
          <w:spacing w:val="-2"/>
          <w:w w:val="105"/>
        </w:rPr>
        <w:t> </w:t>
      </w:r>
      <w:r>
        <w:rPr>
          <w:w w:val="105"/>
        </w:rPr>
        <w:t>assign</w:t>
      </w:r>
      <w:r>
        <w:rPr>
          <w:spacing w:val="-2"/>
          <w:w w:val="105"/>
        </w:rPr>
        <w:t> </w:t>
      </w:r>
      <w:r>
        <w:rPr>
          <w:w w:val="105"/>
        </w:rPr>
        <w:t>a</w:t>
      </w:r>
      <w:r>
        <w:rPr>
          <w:spacing w:val="-2"/>
          <w:w w:val="105"/>
        </w:rPr>
        <w:t> </w:t>
      </w:r>
      <w:r>
        <w:rPr>
          <w:w w:val="105"/>
        </w:rPr>
        <w:t>probability</w:t>
      </w:r>
      <w:r>
        <w:rPr>
          <w:spacing w:val="-2"/>
          <w:w w:val="105"/>
        </w:rPr>
        <w:t> </w:t>
      </w:r>
      <w:r>
        <w:rPr>
          <w:w w:val="105"/>
        </w:rPr>
        <w:t>of</w:t>
      </w:r>
      <w:r>
        <w:rPr>
          <w:spacing w:val="-2"/>
          <w:w w:val="105"/>
        </w:rPr>
        <w:t> </w:t>
      </w:r>
      <w:r>
        <w:rPr>
          <w:w w:val="105"/>
        </w:rPr>
        <w:t>payment</w:t>
      </w:r>
      <w:r>
        <w:rPr>
          <w:spacing w:val="-2"/>
          <w:w w:val="105"/>
        </w:rPr>
        <w:t> </w:t>
      </w:r>
      <w:r>
        <w:rPr>
          <w:w w:val="105"/>
        </w:rPr>
        <w:t>for</w:t>
      </w:r>
      <w:r>
        <w:rPr>
          <w:spacing w:val="-2"/>
          <w:w w:val="105"/>
        </w:rPr>
        <w:t> </w:t>
      </w:r>
      <w:r>
        <w:rPr>
          <w:w w:val="105"/>
        </w:rPr>
        <w:t>benefits</w:t>
      </w:r>
      <w:r>
        <w:rPr>
          <w:spacing w:val="-2"/>
          <w:w w:val="105"/>
        </w:rPr>
        <w:t> </w:t>
      </w:r>
      <w:r>
        <w:rPr>
          <w:w w:val="105"/>
        </w:rPr>
        <w:t>that</w:t>
      </w:r>
      <w:r>
        <w:rPr>
          <w:spacing w:val="-2"/>
          <w:w w:val="105"/>
        </w:rPr>
        <w:t> </w:t>
      </w:r>
      <w:r>
        <w:rPr>
          <w:w w:val="105"/>
        </w:rPr>
        <w:t>are</w:t>
      </w:r>
      <w:r>
        <w:rPr>
          <w:spacing w:val="-2"/>
          <w:w w:val="105"/>
        </w:rPr>
        <w:t> </w:t>
      </w:r>
      <w:r>
        <w:rPr>
          <w:w w:val="105"/>
        </w:rPr>
        <w:t>contingent</w:t>
      </w:r>
      <w:r>
        <w:rPr>
          <w:spacing w:val="-2"/>
          <w:w w:val="105"/>
        </w:rPr>
        <w:t> </w:t>
      </w:r>
      <w:r>
        <w:rPr>
          <w:w w:val="105"/>
        </w:rPr>
        <w:t>upon participants’</w:t>
      </w:r>
      <w:r>
        <w:rPr>
          <w:spacing w:val="-8"/>
          <w:w w:val="105"/>
        </w:rPr>
        <w:t> </w:t>
      </w:r>
      <w:r>
        <w:rPr>
          <w:w w:val="105"/>
        </w:rPr>
        <w:t>survival.</w:t>
      </w:r>
      <w:r>
        <w:rPr>
          <w:spacing w:val="-8"/>
          <w:w w:val="105"/>
        </w:rPr>
        <w:t> </w:t>
      </w:r>
      <w:r>
        <w:rPr>
          <w:w w:val="105"/>
        </w:rPr>
        <w:t>To</w:t>
      </w:r>
      <w:r>
        <w:rPr>
          <w:spacing w:val="-8"/>
          <w:w w:val="105"/>
        </w:rPr>
        <w:t> </w:t>
      </w:r>
      <w:r>
        <w:rPr>
          <w:w w:val="105"/>
        </w:rPr>
        <w:t>make</w:t>
      </w:r>
      <w:r>
        <w:rPr>
          <w:spacing w:val="-8"/>
          <w:w w:val="105"/>
        </w:rPr>
        <w:t> </w:t>
      </w:r>
      <w:r>
        <w:rPr>
          <w:w w:val="105"/>
        </w:rPr>
        <w:t>this</w:t>
      </w:r>
      <w:r>
        <w:rPr>
          <w:spacing w:val="-8"/>
          <w:w w:val="105"/>
        </w:rPr>
        <w:t> </w:t>
      </w:r>
      <w:r>
        <w:rPr>
          <w:w w:val="105"/>
        </w:rPr>
        <w:t>assumption,</w:t>
      </w:r>
      <w:r>
        <w:rPr>
          <w:spacing w:val="-8"/>
          <w:w w:val="105"/>
        </w:rPr>
        <w:t> </w:t>
      </w:r>
      <w:r>
        <w:rPr>
          <w:w w:val="105"/>
        </w:rPr>
        <w:t>benefit</w:t>
      </w:r>
      <w:r>
        <w:rPr>
          <w:spacing w:val="-8"/>
          <w:w w:val="105"/>
        </w:rPr>
        <w:t> </w:t>
      </w:r>
      <w:r>
        <w:rPr>
          <w:w w:val="105"/>
        </w:rPr>
        <w:t>plan</w:t>
      </w:r>
      <w:r>
        <w:rPr>
          <w:spacing w:val="-8"/>
          <w:w w:val="105"/>
        </w:rPr>
        <w:t> </w:t>
      </w:r>
      <w:r>
        <w:rPr>
          <w:w w:val="105"/>
        </w:rPr>
        <w:t>sponsors</w:t>
      </w:r>
      <w:r>
        <w:rPr>
          <w:spacing w:val="-8"/>
          <w:w w:val="105"/>
        </w:rPr>
        <w:t> </w:t>
      </w:r>
      <w:r>
        <w:rPr>
          <w:w w:val="105"/>
        </w:rPr>
        <w:t>typically</w:t>
      </w:r>
      <w:r>
        <w:rPr>
          <w:spacing w:val="-8"/>
          <w:w w:val="105"/>
        </w:rPr>
        <w:t> </w:t>
      </w:r>
      <w:r>
        <w:rPr>
          <w:w w:val="105"/>
        </w:rPr>
        <w:t>use</w:t>
      </w:r>
      <w:r>
        <w:rPr>
          <w:spacing w:val="-8"/>
          <w:w w:val="105"/>
        </w:rPr>
        <w:t> </w:t>
      </w:r>
      <w:r>
        <w:rPr>
          <w:w w:val="105"/>
        </w:rPr>
        <w:t>a</w:t>
      </w:r>
      <w:r>
        <w:rPr>
          <w:spacing w:val="-8"/>
          <w:w w:val="105"/>
        </w:rPr>
        <w:t> </w:t>
      </w:r>
      <w:r>
        <w:rPr>
          <w:w w:val="105"/>
        </w:rPr>
        <w:t>base</w:t>
      </w:r>
      <w:r>
        <w:rPr>
          <w:spacing w:val="-8"/>
          <w:w w:val="105"/>
        </w:rPr>
        <w:t> </w:t>
      </w:r>
      <w:r>
        <w:rPr>
          <w:w w:val="105"/>
        </w:rPr>
        <w:t>mortality</w:t>
      </w:r>
      <w:r>
        <w:rPr>
          <w:spacing w:val="-8"/>
          <w:w w:val="105"/>
        </w:rPr>
        <w:t> </w:t>
      </w:r>
      <w:r>
        <w:rPr>
          <w:w w:val="105"/>
        </w:rPr>
        <w:t>table</w:t>
      </w:r>
      <w:r>
        <w:rPr>
          <w:spacing w:val="-7"/>
          <w:w w:val="105"/>
        </w:rPr>
        <w:t> </w:t>
      </w:r>
      <w:r>
        <w:rPr>
          <w:w w:val="105"/>
        </w:rPr>
        <w:t>and</w:t>
      </w:r>
      <w:r>
        <w:rPr>
          <w:spacing w:val="-8"/>
          <w:w w:val="105"/>
        </w:rPr>
        <w:t> </w:t>
      </w:r>
      <w:r>
        <w:rPr>
          <w:w w:val="105"/>
        </w:rPr>
        <w:t>an</w:t>
      </w:r>
      <w:r>
        <w:rPr>
          <w:spacing w:val="-8"/>
          <w:w w:val="105"/>
        </w:rPr>
        <w:t> </w:t>
      </w:r>
      <w:r>
        <w:rPr>
          <w:w w:val="105"/>
        </w:rPr>
        <w:t>improvement</w:t>
      </w:r>
      <w:r>
        <w:rPr>
          <w:spacing w:val="-8"/>
          <w:w w:val="105"/>
        </w:rPr>
        <w:t> </w:t>
      </w:r>
      <w:r>
        <w:rPr>
          <w:w w:val="105"/>
        </w:rPr>
        <w:t>scale</w:t>
      </w:r>
      <w:r>
        <w:rPr>
          <w:spacing w:val="-7"/>
          <w:w w:val="105"/>
        </w:rPr>
        <w:t> </w:t>
      </w:r>
      <w:r>
        <w:rPr>
          <w:w w:val="105"/>
        </w:rPr>
        <w:t>to</w:t>
      </w:r>
      <w:r>
        <w:rPr>
          <w:spacing w:val="-8"/>
          <w:w w:val="105"/>
        </w:rPr>
        <w:t> </w:t>
      </w:r>
      <w:r>
        <w:rPr>
          <w:w w:val="105"/>
        </w:rPr>
        <w:t>mortality</w:t>
      </w:r>
      <w:r>
        <w:rPr>
          <w:spacing w:val="-8"/>
          <w:w w:val="105"/>
        </w:rPr>
        <w:t> </w:t>
      </w:r>
      <w:r>
        <w:rPr>
          <w:w w:val="105"/>
        </w:rPr>
        <w:t>rates</w:t>
      </w:r>
      <w:r>
        <w:rPr>
          <w:spacing w:val="-8"/>
          <w:w w:val="105"/>
        </w:rPr>
        <w:t> </w:t>
      </w:r>
      <w:r>
        <w:rPr>
          <w:w w:val="105"/>
        </w:rPr>
        <w:t>for</w:t>
      </w:r>
      <w:r>
        <w:rPr>
          <w:spacing w:val="-8"/>
          <w:w w:val="105"/>
        </w:rPr>
        <w:t> </w:t>
      </w:r>
      <w:r>
        <w:rPr>
          <w:w w:val="105"/>
        </w:rPr>
        <w:t>future</w:t>
      </w:r>
      <w:r>
        <w:rPr>
          <w:spacing w:val="-8"/>
          <w:w w:val="105"/>
        </w:rPr>
        <w:t> </w:t>
      </w:r>
      <w:r>
        <w:rPr>
          <w:w w:val="105"/>
        </w:rPr>
        <w:t>anticipated changes to historical death rates.</w:t>
      </w:r>
    </w:p>
    <w:p>
      <w:pPr>
        <w:pStyle w:val="BodyText"/>
        <w:spacing w:before="18"/>
      </w:pPr>
    </w:p>
    <w:p>
      <w:pPr>
        <w:pStyle w:val="BodyText"/>
        <w:spacing w:line="266" w:lineRule="auto"/>
        <w:ind w:left="156" w:right="191"/>
      </w:pPr>
      <w:r>
        <w:rPr>
          <w:w w:val="105"/>
        </w:rPr>
        <w:t>As</w:t>
      </w:r>
      <w:r>
        <w:rPr>
          <w:spacing w:val="-4"/>
          <w:w w:val="105"/>
        </w:rPr>
        <w:t> </w:t>
      </w:r>
      <w:r>
        <w:rPr>
          <w:w w:val="105"/>
        </w:rPr>
        <w:t>of</w:t>
      </w:r>
      <w:r>
        <w:rPr>
          <w:spacing w:val="-3"/>
          <w:w w:val="105"/>
        </w:rPr>
        <w:t> </w:t>
      </w:r>
      <w:r>
        <w:rPr>
          <w:w w:val="105"/>
        </w:rPr>
        <w:t>December</w:t>
      </w:r>
      <w:r>
        <w:rPr>
          <w:spacing w:val="-4"/>
          <w:w w:val="105"/>
        </w:rPr>
        <w:t> </w:t>
      </w:r>
      <w:r>
        <w:rPr>
          <w:w w:val="105"/>
        </w:rPr>
        <w:t>31,</w:t>
      </w:r>
      <w:r>
        <w:rPr>
          <w:spacing w:val="-4"/>
          <w:w w:val="105"/>
        </w:rPr>
        <w:t> </w:t>
      </w:r>
      <w:r>
        <w:rPr>
          <w:w w:val="105"/>
        </w:rPr>
        <w:t>2021,</w:t>
      </w:r>
      <w:r>
        <w:rPr>
          <w:spacing w:val="-4"/>
          <w:w w:val="105"/>
        </w:rPr>
        <w:t> </w:t>
      </w:r>
      <w:r>
        <w:rPr>
          <w:w w:val="105"/>
        </w:rPr>
        <w:t>Corning</w:t>
      </w:r>
      <w:r>
        <w:rPr>
          <w:spacing w:val="-4"/>
          <w:w w:val="105"/>
        </w:rPr>
        <w:t> </w:t>
      </w:r>
      <w:r>
        <w:rPr>
          <w:w w:val="105"/>
        </w:rPr>
        <w:t>updated</w:t>
      </w:r>
      <w:r>
        <w:rPr>
          <w:spacing w:val="-4"/>
          <w:w w:val="105"/>
        </w:rPr>
        <w:t> </w:t>
      </w:r>
      <w:r>
        <w:rPr>
          <w:w w:val="105"/>
        </w:rPr>
        <w:t>the</w:t>
      </w:r>
      <w:r>
        <w:rPr>
          <w:spacing w:val="-4"/>
          <w:w w:val="105"/>
        </w:rPr>
        <w:t> </w:t>
      </w:r>
      <w:r>
        <w:rPr>
          <w:w w:val="105"/>
        </w:rPr>
        <w:t>adjustment</w:t>
      </w:r>
      <w:r>
        <w:rPr>
          <w:spacing w:val="-2"/>
          <w:w w:val="105"/>
        </w:rPr>
        <w:t> </w:t>
      </w:r>
      <w:r>
        <w:rPr>
          <w:w w:val="105"/>
        </w:rPr>
        <w:t>factors</w:t>
      </w:r>
      <w:r>
        <w:rPr>
          <w:spacing w:val="-4"/>
          <w:w w:val="105"/>
        </w:rPr>
        <w:t> </w:t>
      </w:r>
      <w:r>
        <w:rPr>
          <w:w w:val="105"/>
        </w:rPr>
        <w:t>applied</w:t>
      </w:r>
      <w:r>
        <w:rPr>
          <w:spacing w:val="-4"/>
          <w:w w:val="105"/>
        </w:rPr>
        <w:t> </w:t>
      </w:r>
      <w:r>
        <w:rPr>
          <w:w w:val="105"/>
        </w:rPr>
        <w:t>to</w:t>
      </w:r>
      <w:r>
        <w:rPr>
          <w:spacing w:val="-4"/>
          <w:w w:val="105"/>
        </w:rPr>
        <w:t> </w:t>
      </w:r>
      <w:r>
        <w:rPr>
          <w:w w:val="105"/>
        </w:rPr>
        <w:t>its</w:t>
      </w:r>
      <w:r>
        <w:rPr>
          <w:spacing w:val="-4"/>
          <w:w w:val="105"/>
        </w:rPr>
        <w:t> </w:t>
      </w:r>
      <w:r>
        <w:rPr>
          <w:w w:val="105"/>
        </w:rPr>
        <w:t>base</w:t>
      </w:r>
      <w:r>
        <w:rPr>
          <w:spacing w:val="-4"/>
          <w:w w:val="105"/>
        </w:rPr>
        <w:t> </w:t>
      </w:r>
      <w:r>
        <w:rPr>
          <w:w w:val="105"/>
        </w:rPr>
        <w:t>mortality</w:t>
      </w:r>
      <w:r>
        <w:rPr>
          <w:spacing w:val="-4"/>
          <w:w w:val="105"/>
        </w:rPr>
        <w:t> </w:t>
      </w:r>
      <w:r>
        <w:rPr>
          <w:w w:val="105"/>
        </w:rPr>
        <w:t>assumption</w:t>
      </w:r>
      <w:r>
        <w:rPr>
          <w:spacing w:val="-4"/>
          <w:w w:val="105"/>
        </w:rPr>
        <w:t> </w:t>
      </w:r>
      <w:r>
        <w:rPr>
          <w:w w:val="105"/>
        </w:rPr>
        <w:t>(PRI-2012</w:t>
      </w:r>
      <w:r>
        <w:rPr>
          <w:spacing w:val="-4"/>
          <w:w w:val="105"/>
        </w:rPr>
        <w:t> </w:t>
      </w:r>
      <w:r>
        <w:rPr>
          <w:w w:val="105"/>
        </w:rPr>
        <w:t>white</w:t>
      </w:r>
      <w:r>
        <w:rPr>
          <w:spacing w:val="-4"/>
          <w:w w:val="105"/>
        </w:rPr>
        <w:t> </w:t>
      </w:r>
      <w:r>
        <w:rPr>
          <w:w w:val="105"/>
        </w:rPr>
        <w:t>collar</w:t>
      </w:r>
      <w:r>
        <w:rPr>
          <w:spacing w:val="-4"/>
          <w:w w:val="105"/>
        </w:rPr>
        <w:t> </w:t>
      </w:r>
      <w:r>
        <w:rPr>
          <w:w w:val="105"/>
        </w:rPr>
        <w:t>table</w:t>
      </w:r>
      <w:r>
        <w:rPr>
          <w:spacing w:val="-4"/>
          <w:w w:val="105"/>
        </w:rPr>
        <w:t> </w:t>
      </w:r>
      <w:r>
        <w:rPr>
          <w:w w:val="105"/>
        </w:rPr>
        <w:t>and</w:t>
      </w:r>
      <w:r>
        <w:rPr>
          <w:spacing w:val="-4"/>
          <w:w w:val="105"/>
        </w:rPr>
        <w:t> </w:t>
      </w:r>
      <w:r>
        <w:rPr>
          <w:w w:val="105"/>
        </w:rPr>
        <w:t>PRI-2012</w:t>
      </w:r>
      <w:r>
        <w:rPr>
          <w:spacing w:val="-4"/>
          <w:w w:val="105"/>
        </w:rPr>
        <w:t> </w:t>
      </w:r>
      <w:r>
        <w:rPr>
          <w:w w:val="105"/>
        </w:rPr>
        <w:t>blue</w:t>
      </w:r>
      <w:r>
        <w:rPr>
          <w:spacing w:val="-4"/>
          <w:w w:val="105"/>
        </w:rPr>
        <w:t> </w:t>
      </w:r>
      <w:r>
        <w:rPr>
          <w:w w:val="105"/>
        </w:rPr>
        <w:t>collar</w:t>
      </w:r>
      <w:r>
        <w:rPr>
          <w:spacing w:val="-4"/>
          <w:w w:val="105"/>
        </w:rPr>
        <w:t> </w:t>
      </w:r>
      <w:r>
        <w:rPr>
          <w:w w:val="105"/>
        </w:rPr>
        <w:t>table</w:t>
      </w:r>
      <w:r>
        <w:rPr>
          <w:spacing w:val="-4"/>
          <w:w w:val="105"/>
        </w:rPr>
        <w:t> </w:t>
      </w:r>
      <w:r>
        <w:rPr>
          <w:w w:val="105"/>
        </w:rPr>
        <w:t>for non-union</w:t>
      </w:r>
      <w:r>
        <w:rPr>
          <w:spacing w:val="-9"/>
          <w:w w:val="105"/>
        </w:rPr>
        <w:t> </w:t>
      </w:r>
      <w:r>
        <w:rPr>
          <w:w w:val="105"/>
        </w:rPr>
        <w:t>and</w:t>
      </w:r>
      <w:r>
        <w:rPr>
          <w:spacing w:val="-9"/>
          <w:w w:val="105"/>
        </w:rPr>
        <w:t> </w:t>
      </w:r>
      <w:r>
        <w:rPr>
          <w:w w:val="105"/>
        </w:rPr>
        <w:t>union</w:t>
      </w:r>
      <w:r>
        <w:rPr>
          <w:spacing w:val="-9"/>
          <w:w w:val="105"/>
        </w:rPr>
        <w:t> </w:t>
      </w:r>
      <w:r>
        <w:rPr>
          <w:w w:val="105"/>
        </w:rPr>
        <w:t>participants,</w:t>
      </w:r>
      <w:r>
        <w:rPr>
          <w:spacing w:val="-7"/>
          <w:w w:val="105"/>
        </w:rPr>
        <w:t> </w:t>
      </w:r>
      <w:r>
        <w:rPr>
          <w:w w:val="105"/>
        </w:rPr>
        <w:t>respectively)</w:t>
      </w:r>
      <w:r>
        <w:rPr>
          <w:spacing w:val="-9"/>
          <w:w w:val="105"/>
        </w:rPr>
        <w:t> </w:t>
      </w:r>
      <w:r>
        <w:rPr>
          <w:w w:val="105"/>
        </w:rPr>
        <w:t>to</w:t>
      </w:r>
      <w:r>
        <w:rPr>
          <w:spacing w:val="-9"/>
          <w:w w:val="105"/>
        </w:rPr>
        <w:t> </w:t>
      </w:r>
      <w:r>
        <w:rPr>
          <w:w w:val="105"/>
        </w:rPr>
        <w:t>value</w:t>
      </w:r>
      <w:r>
        <w:rPr>
          <w:spacing w:val="-7"/>
          <w:w w:val="105"/>
        </w:rPr>
        <w:t> </w:t>
      </w:r>
      <w:r>
        <w:rPr>
          <w:w w:val="105"/>
        </w:rPr>
        <w:t>its</w:t>
      </w:r>
      <w:r>
        <w:rPr>
          <w:spacing w:val="-9"/>
          <w:w w:val="105"/>
        </w:rPr>
        <w:t> </w:t>
      </w:r>
      <w:r>
        <w:rPr>
          <w:w w:val="105"/>
        </w:rPr>
        <w:t>U.S.</w:t>
      </w:r>
      <w:r>
        <w:rPr>
          <w:spacing w:val="-9"/>
          <w:w w:val="105"/>
        </w:rPr>
        <w:t> </w:t>
      </w:r>
      <w:r>
        <w:rPr>
          <w:w w:val="105"/>
        </w:rPr>
        <w:t>benefit</w:t>
      </w:r>
      <w:r>
        <w:rPr>
          <w:spacing w:val="-9"/>
          <w:w w:val="105"/>
        </w:rPr>
        <w:t> </w:t>
      </w:r>
      <w:r>
        <w:rPr>
          <w:w w:val="105"/>
        </w:rPr>
        <w:t>plan</w:t>
      </w:r>
      <w:r>
        <w:rPr>
          <w:spacing w:val="-9"/>
          <w:w w:val="105"/>
        </w:rPr>
        <w:t> </w:t>
      </w:r>
      <w:r>
        <w:rPr>
          <w:w w:val="105"/>
        </w:rPr>
        <w:t>obligation.</w:t>
      </w:r>
      <w:r>
        <w:rPr>
          <w:spacing w:val="-9"/>
          <w:w w:val="105"/>
        </w:rPr>
        <w:t> </w:t>
      </w:r>
      <w:r>
        <w:rPr>
          <w:w w:val="105"/>
        </w:rPr>
        <w:t>In</w:t>
      </w:r>
      <w:r>
        <w:rPr>
          <w:spacing w:val="-7"/>
          <w:w w:val="105"/>
        </w:rPr>
        <w:t> </w:t>
      </w:r>
      <w:r>
        <w:rPr>
          <w:w w:val="105"/>
        </w:rPr>
        <w:t>addition,</w:t>
      </w:r>
      <w:r>
        <w:rPr>
          <w:spacing w:val="-9"/>
          <w:w w:val="105"/>
        </w:rPr>
        <w:t> </w:t>
      </w:r>
      <w:r>
        <w:rPr>
          <w:w w:val="105"/>
        </w:rPr>
        <w:t>Corning</w:t>
      </w:r>
      <w:r>
        <w:rPr>
          <w:spacing w:val="-9"/>
          <w:w w:val="105"/>
        </w:rPr>
        <w:t> </w:t>
      </w:r>
      <w:r>
        <w:rPr>
          <w:w w:val="105"/>
        </w:rPr>
        <w:t>also</w:t>
      </w:r>
      <w:r>
        <w:rPr>
          <w:spacing w:val="-9"/>
          <w:w w:val="105"/>
        </w:rPr>
        <w:t> </w:t>
      </w:r>
      <w:r>
        <w:rPr>
          <w:w w:val="105"/>
        </w:rPr>
        <w:t>updated</w:t>
      </w:r>
      <w:r>
        <w:rPr>
          <w:spacing w:val="-9"/>
          <w:w w:val="105"/>
        </w:rPr>
        <w:t> </w:t>
      </w:r>
      <w:r>
        <w:rPr>
          <w:w w:val="105"/>
        </w:rPr>
        <w:t>to</w:t>
      </w:r>
      <w:r>
        <w:rPr>
          <w:spacing w:val="-9"/>
          <w:w w:val="105"/>
        </w:rPr>
        <w:t> </w:t>
      </w:r>
      <w:r>
        <w:rPr>
          <w:w w:val="105"/>
        </w:rPr>
        <w:t>the</w:t>
      </w:r>
      <w:r>
        <w:rPr>
          <w:spacing w:val="-9"/>
          <w:w w:val="105"/>
        </w:rPr>
        <w:t> </w:t>
      </w:r>
      <w:r>
        <w:rPr>
          <w:w w:val="105"/>
        </w:rPr>
        <w:t>MP-2020</w:t>
      </w:r>
      <w:r>
        <w:rPr>
          <w:spacing w:val="-9"/>
          <w:w w:val="105"/>
        </w:rPr>
        <w:t> </w:t>
      </w:r>
      <w:r>
        <w:rPr>
          <w:w w:val="105"/>
        </w:rPr>
        <w:t>projection</w:t>
      </w:r>
      <w:r>
        <w:rPr>
          <w:spacing w:val="-9"/>
          <w:w w:val="105"/>
        </w:rPr>
        <w:t> </w:t>
      </w:r>
      <w:r>
        <w:rPr>
          <w:w w:val="105"/>
        </w:rPr>
        <w:t>scale</w:t>
      </w:r>
      <w:r>
        <w:rPr>
          <w:spacing w:val="-9"/>
          <w:w w:val="105"/>
        </w:rPr>
        <w:t> </w:t>
      </w:r>
      <w:r>
        <w:rPr>
          <w:w w:val="105"/>
        </w:rPr>
        <w:t>and</w:t>
      </w:r>
      <w:r>
        <w:rPr>
          <w:spacing w:val="-9"/>
          <w:w w:val="105"/>
        </w:rPr>
        <w:t> </w:t>
      </w:r>
      <w:r>
        <w:rPr>
          <w:w w:val="105"/>
        </w:rPr>
        <w:t>the</w:t>
      </w:r>
      <w:r>
        <w:rPr>
          <w:spacing w:val="-9"/>
          <w:w w:val="105"/>
        </w:rPr>
        <w:t> </w:t>
      </w:r>
      <w:r>
        <w:rPr>
          <w:w w:val="105"/>
        </w:rPr>
        <w:t>mortality assumption</w:t>
      </w:r>
      <w:r>
        <w:rPr>
          <w:spacing w:val="-8"/>
          <w:w w:val="105"/>
        </w:rPr>
        <w:t> </w:t>
      </w:r>
      <w:r>
        <w:rPr>
          <w:w w:val="105"/>
        </w:rPr>
        <w:t>applied</w:t>
      </w:r>
      <w:r>
        <w:rPr>
          <w:spacing w:val="-8"/>
          <w:w w:val="105"/>
        </w:rPr>
        <w:t> </w:t>
      </w:r>
      <w:r>
        <w:rPr>
          <w:w w:val="105"/>
        </w:rPr>
        <w:t>to</w:t>
      </w:r>
      <w:r>
        <w:rPr>
          <w:spacing w:val="-8"/>
          <w:w w:val="105"/>
        </w:rPr>
        <w:t> </w:t>
      </w:r>
      <w:r>
        <w:rPr>
          <w:w w:val="105"/>
        </w:rPr>
        <w:t>disabled</w:t>
      </w:r>
      <w:r>
        <w:rPr>
          <w:spacing w:val="-8"/>
          <w:w w:val="105"/>
        </w:rPr>
        <w:t> </w:t>
      </w:r>
      <w:r>
        <w:rPr>
          <w:w w:val="105"/>
        </w:rPr>
        <w:t>participants</w:t>
      </w:r>
      <w:r>
        <w:rPr>
          <w:spacing w:val="-8"/>
          <w:w w:val="105"/>
        </w:rPr>
        <w:t> </w:t>
      </w:r>
      <w:r>
        <w:rPr>
          <w:w w:val="105"/>
        </w:rPr>
        <w:t>(PRI-2012</w:t>
      </w:r>
      <w:r>
        <w:rPr>
          <w:spacing w:val="-8"/>
          <w:w w:val="105"/>
        </w:rPr>
        <w:t> </w:t>
      </w:r>
      <w:r>
        <w:rPr>
          <w:w w:val="105"/>
        </w:rPr>
        <w:t>disabled</w:t>
      </w:r>
      <w:r>
        <w:rPr>
          <w:spacing w:val="-8"/>
          <w:w w:val="105"/>
        </w:rPr>
        <w:t> </w:t>
      </w:r>
      <w:r>
        <w:rPr>
          <w:w w:val="105"/>
        </w:rPr>
        <w:t>mortality</w:t>
      </w:r>
      <w:r>
        <w:rPr>
          <w:spacing w:val="-8"/>
          <w:w w:val="105"/>
        </w:rPr>
        <w:t> </w:t>
      </w:r>
      <w:r>
        <w:rPr>
          <w:w w:val="105"/>
        </w:rPr>
        <w:t>base</w:t>
      </w:r>
      <w:r>
        <w:rPr>
          <w:spacing w:val="-8"/>
          <w:w w:val="105"/>
        </w:rPr>
        <w:t> </w:t>
      </w:r>
      <w:r>
        <w:rPr>
          <w:w w:val="105"/>
        </w:rPr>
        <w:t>table</w:t>
      </w:r>
      <w:r>
        <w:rPr>
          <w:spacing w:val="-8"/>
          <w:w w:val="105"/>
        </w:rPr>
        <w:t> </w:t>
      </w:r>
      <w:r>
        <w:rPr>
          <w:w w:val="105"/>
        </w:rPr>
        <w:t>with</w:t>
      </w:r>
      <w:r>
        <w:rPr>
          <w:spacing w:val="-8"/>
          <w:w w:val="105"/>
        </w:rPr>
        <w:t> </w:t>
      </w:r>
      <w:r>
        <w:rPr>
          <w:w w:val="105"/>
        </w:rPr>
        <w:t>future</w:t>
      </w:r>
      <w:r>
        <w:rPr>
          <w:spacing w:val="-8"/>
          <w:w w:val="105"/>
        </w:rPr>
        <w:t> </w:t>
      </w:r>
      <w:r>
        <w:rPr>
          <w:w w:val="105"/>
        </w:rPr>
        <w:t>improvements</w:t>
      </w:r>
      <w:r>
        <w:rPr>
          <w:spacing w:val="-8"/>
          <w:w w:val="105"/>
        </w:rPr>
        <w:t> </w:t>
      </w:r>
      <w:r>
        <w:rPr>
          <w:w w:val="105"/>
        </w:rPr>
        <w:t>using</w:t>
      </w:r>
      <w:r>
        <w:rPr>
          <w:spacing w:val="-8"/>
          <w:w w:val="105"/>
        </w:rPr>
        <w:t> </w:t>
      </w:r>
      <w:r>
        <w:rPr>
          <w:w w:val="105"/>
        </w:rPr>
        <w:t>MP-2020)</w:t>
      </w:r>
      <w:r>
        <w:rPr>
          <w:spacing w:val="-8"/>
          <w:w w:val="105"/>
        </w:rPr>
        <w:t> </w:t>
      </w:r>
      <w:r>
        <w:rPr>
          <w:w w:val="105"/>
        </w:rPr>
        <w:t>for</w:t>
      </w:r>
      <w:r>
        <w:rPr>
          <w:spacing w:val="-8"/>
          <w:w w:val="105"/>
        </w:rPr>
        <w:t> </w:t>
      </w:r>
      <w:r>
        <w:rPr>
          <w:w w:val="105"/>
        </w:rPr>
        <w:t>the</w:t>
      </w:r>
      <w:r>
        <w:rPr>
          <w:spacing w:val="-8"/>
          <w:w w:val="105"/>
        </w:rPr>
        <w:t> </w:t>
      </w:r>
      <w:r>
        <w:rPr>
          <w:w w:val="105"/>
        </w:rPr>
        <w:t>year</w:t>
      </w:r>
      <w:r>
        <w:rPr>
          <w:spacing w:val="-8"/>
          <w:w w:val="105"/>
        </w:rPr>
        <w:t> </w:t>
      </w:r>
      <w:r>
        <w:rPr>
          <w:w w:val="105"/>
        </w:rPr>
        <w:t>ended</w:t>
      </w:r>
      <w:r>
        <w:rPr>
          <w:spacing w:val="-7"/>
          <w:w w:val="105"/>
        </w:rPr>
        <w:t> </w:t>
      </w:r>
      <w:r>
        <w:rPr>
          <w:w w:val="105"/>
        </w:rPr>
        <w:t>December</w:t>
      </w:r>
      <w:r>
        <w:rPr>
          <w:spacing w:val="-8"/>
          <w:w w:val="105"/>
        </w:rPr>
        <w:t> </w:t>
      </w:r>
      <w:r>
        <w:rPr>
          <w:w w:val="105"/>
        </w:rPr>
        <w:t>31,</w:t>
      </w:r>
      <w:r>
        <w:rPr>
          <w:spacing w:val="-8"/>
          <w:w w:val="105"/>
        </w:rPr>
        <w:t> </w:t>
      </w:r>
      <w:r>
        <w:rPr>
          <w:w w:val="105"/>
        </w:rPr>
        <w:t>2020,</w:t>
      </w:r>
      <w:r>
        <w:rPr>
          <w:spacing w:val="-7"/>
          <w:w w:val="105"/>
        </w:rPr>
        <w:t> </w:t>
      </w:r>
      <w:r>
        <w:rPr>
          <w:w w:val="105"/>
        </w:rPr>
        <w:t>with no</w:t>
      </w:r>
      <w:r>
        <w:rPr>
          <w:spacing w:val="-3"/>
          <w:w w:val="105"/>
        </w:rPr>
        <w:t> </w:t>
      </w:r>
      <w:r>
        <w:rPr>
          <w:w w:val="105"/>
        </w:rPr>
        <w:t>change</w:t>
      </w:r>
      <w:r>
        <w:rPr>
          <w:spacing w:val="-3"/>
          <w:w w:val="105"/>
        </w:rPr>
        <w:t> </w:t>
      </w:r>
      <w:r>
        <w:rPr>
          <w:w w:val="105"/>
        </w:rPr>
        <w:t>in</w:t>
      </w:r>
      <w:r>
        <w:rPr>
          <w:spacing w:val="-3"/>
          <w:w w:val="105"/>
        </w:rPr>
        <w:t> </w:t>
      </w:r>
      <w:r>
        <w:rPr>
          <w:w w:val="105"/>
        </w:rPr>
        <w:t>2021.</w:t>
      </w:r>
      <w:r>
        <w:rPr>
          <w:spacing w:val="37"/>
          <w:w w:val="105"/>
        </w:rPr>
        <w:t> </w:t>
      </w:r>
      <w:r>
        <w:rPr>
          <w:w w:val="105"/>
        </w:rPr>
        <w:t>As</w:t>
      </w:r>
      <w:r>
        <w:rPr>
          <w:spacing w:val="-3"/>
          <w:w w:val="105"/>
        </w:rPr>
        <w:t> </w:t>
      </w:r>
      <w:r>
        <w:rPr>
          <w:w w:val="105"/>
        </w:rPr>
        <w:t>the</w:t>
      </w:r>
      <w:r>
        <w:rPr>
          <w:spacing w:val="-3"/>
          <w:w w:val="105"/>
        </w:rPr>
        <w:t> </w:t>
      </w:r>
      <w:r>
        <w:rPr>
          <w:w w:val="105"/>
        </w:rPr>
        <w:t>Society</w:t>
      </w:r>
      <w:r>
        <w:rPr>
          <w:spacing w:val="-3"/>
          <w:w w:val="105"/>
        </w:rPr>
        <w:t> </w:t>
      </w:r>
      <w:r>
        <w:rPr>
          <w:w w:val="105"/>
        </w:rPr>
        <w:t>of</w:t>
      </w:r>
      <w:r>
        <w:rPr>
          <w:spacing w:val="-3"/>
          <w:w w:val="105"/>
        </w:rPr>
        <w:t> </w:t>
      </w:r>
      <w:r>
        <w:rPr>
          <w:w w:val="105"/>
        </w:rPr>
        <w:t>Actuaries</w:t>
      </w:r>
      <w:r>
        <w:rPr>
          <w:spacing w:val="-3"/>
          <w:w w:val="105"/>
        </w:rPr>
        <w:t> </w:t>
      </w:r>
      <w:r>
        <w:rPr>
          <w:w w:val="105"/>
        </w:rPr>
        <w:t>publishes</w:t>
      </w:r>
      <w:r>
        <w:rPr>
          <w:spacing w:val="-3"/>
          <w:w w:val="105"/>
        </w:rPr>
        <w:t> </w:t>
      </w:r>
      <w:r>
        <w:rPr>
          <w:w w:val="105"/>
        </w:rPr>
        <w:t>additional</w:t>
      </w:r>
      <w:r>
        <w:rPr>
          <w:spacing w:val="-3"/>
          <w:w w:val="105"/>
        </w:rPr>
        <w:t> </w:t>
      </w:r>
      <w:r>
        <w:rPr>
          <w:w w:val="105"/>
        </w:rPr>
        <w:t>mortality</w:t>
      </w:r>
      <w:r>
        <w:rPr>
          <w:spacing w:val="-3"/>
          <w:w w:val="105"/>
        </w:rPr>
        <w:t> </w:t>
      </w:r>
      <w:r>
        <w:rPr>
          <w:w w:val="105"/>
        </w:rPr>
        <w:t>improvement</w:t>
      </w:r>
      <w:r>
        <w:rPr>
          <w:spacing w:val="-3"/>
          <w:w w:val="105"/>
        </w:rPr>
        <w:t> </w:t>
      </w:r>
      <w:r>
        <w:rPr>
          <w:w w:val="105"/>
        </w:rPr>
        <w:t>scales</w:t>
      </w:r>
      <w:r>
        <w:rPr>
          <w:spacing w:val="-3"/>
          <w:w w:val="105"/>
        </w:rPr>
        <w:t> </w:t>
      </w:r>
      <w:r>
        <w:rPr>
          <w:w w:val="105"/>
        </w:rPr>
        <w:t>and</w:t>
      </w:r>
      <w:r>
        <w:rPr>
          <w:spacing w:val="-3"/>
          <w:w w:val="105"/>
        </w:rPr>
        <w:t> </w:t>
      </w:r>
      <w:r>
        <w:rPr>
          <w:w w:val="105"/>
        </w:rPr>
        <w:t>base</w:t>
      </w:r>
      <w:r>
        <w:rPr>
          <w:spacing w:val="-3"/>
          <w:w w:val="105"/>
        </w:rPr>
        <w:t> </w:t>
      </w:r>
      <w:r>
        <w:rPr>
          <w:w w:val="105"/>
        </w:rPr>
        <w:t>mortality</w:t>
      </w:r>
      <w:r>
        <w:rPr>
          <w:spacing w:val="-3"/>
          <w:w w:val="105"/>
        </w:rPr>
        <w:t> </w:t>
      </w:r>
      <w:r>
        <w:rPr>
          <w:w w:val="105"/>
        </w:rPr>
        <w:t>tables,</w:t>
      </w:r>
      <w:r>
        <w:rPr>
          <w:spacing w:val="-3"/>
          <w:w w:val="105"/>
        </w:rPr>
        <w:t> </w:t>
      </w:r>
      <w:r>
        <w:rPr>
          <w:w w:val="105"/>
        </w:rPr>
        <w:t>Corning</w:t>
      </w:r>
      <w:r>
        <w:rPr>
          <w:spacing w:val="-3"/>
          <w:w w:val="105"/>
        </w:rPr>
        <w:t> </w:t>
      </w:r>
      <w:r>
        <w:rPr>
          <w:w w:val="105"/>
        </w:rPr>
        <w:t>considers</w:t>
      </w:r>
      <w:r>
        <w:rPr>
          <w:spacing w:val="-3"/>
          <w:w w:val="105"/>
        </w:rPr>
        <w:t> </w:t>
      </w:r>
      <w:r>
        <w:rPr>
          <w:w w:val="105"/>
        </w:rPr>
        <w:t>these</w:t>
      </w:r>
      <w:r>
        <w:rPr>
          <w:spacing w:val="-3"/>
          <w:w w:val="105"/>
        </w:rPr>
        <w:t> </w:t>
      </w:r>
      <w:r>
        <w:rPr>
          <w:w w:val="105"/>
        </w:rPr>
        <w:t>revised</w:t>
      </w:r>
      <w:r>
        <w:rPr>
          <w:spacing w:val="-3"/>
          <w:w w:val="105"/>
        </w:rPr>
        <w:t> </w:t>
      </w:r>
      <w:r>
        <w:rPr>
          <w:w w:val="105"/>
        </w:rPr>
        <w:t>schedules</w:t>
      </w:r>
      <w:r>
        <w:rPr>
          <w:spacing w:val="-3"/>
          <w:w w:val="105"/>
        </w:rPr>
        <w:t> </w:t>
      </w:r>
      <w:r>
        <w:rPr>
          <w:w w:val="105"/>
        </w:rPr>
        <w:t>in setting its mortality assumptions.</w:t>
      </w:r>
    </w:p>
    <w:p>
      <w:pPr>
        <w:pStyle w:val="BodyText"/>
        <w:spacing w:line="408" w:lineRule="exact" w:before="25"/>
        <w:ind w:left="156" w:right="1362"/>
      </w:pPr>
      <w:r>
        <w:rPr>
          <w:w w:val="105"/>
        </w:rPr>
        <w:t>Measurement</w:t>
      </w:r>
      <w:r>
        <w:rPr>
          <w:spacing w:val="-9"/>
          <w:w w:val="105"/>
        </w:rPr>
        <w:t> </w:t>
      </w:r>
      <w:r>
        <w:rPr>
          <w:w w:val="105"/>
        </w:rPr>
        <w:t>of</w:t>
      </w:r>
      <w:r>
        <w:rPr>
          <w:spacing w:val="-9"/>
          <w:w w:val="105"/>
        </w:rPr>
        <w:t> </w:t>
      </w:r>
      <w:r>
        <w:rPr>
          <w:w w:val="105"/>
        </w:rPr>
        <w:t>postretirement</w:t>
      </w:r>
      <w:r>
        <w:rPr>
          <w:spacing w:val="-9"/>
          <w:w w:val="105"/>
        </w:rPr>
        <w:t> </w:t>
      </w:r>
      <w:r>
        <w:rPr>
          <w:w w:val="105"/>
        </w:rPr>
        <w:t>benefit</w:t>
      </w:r>
      <w:r>
        <w:rPr>
          <w:spacing w:val="-9"/>
          <w:w w:val="105"/>
        </w:rPr>
        <w:t> </w:t>
      </w:r>
      <w:r>
        <w:rPr>
          <w:w w:val="105"/>
        </w:rPr>
        <w:t>expense</w:t>
      </w:r>
      <w:r>
        <w:rPr>
          <w:spacing w:val="-9"/>
          <w:w w:val="105"/>
        </w:rPr>
        <w:t> </w:t>
      </w:r>
      <w:r>
        <w:rPr>
          <w:w w:val="105"/>
        </w:rPr>
        <w:t>is</w:t>
      </w:r>
      <w:r>
        <w:rPr>
          <w:spacing w:val="-9"/>
          <w:w w:val="105"/>
        </w:rPr>
        <w:t> </w:t>
      </w:r>
      <w:r>
        <w:rPr>
          <w:w w:val="105"/>
        </w:rPr>
        <w:t>based</w:t>
      </w:r>
      <w:r>
        <w:rPr>
          <w:spacing w:val="-9"/>
          <w:w w:val="105"/>
        </w:rPr>
        <w:t> </w:t>
      </w:r>
      <w:r>
        <w:rPr>
          <w:w w:val="105"/>
        </w:rPr>
        <w:t>on</w:t>
      </w:r>
      <w:r>
        <w:rPr>
          <w:spacing w:val="-9"/>
          <w:w w:val="105"/>
        </w:rPr>
        <w:t> </w:t>
      </w:r>
      <w:r>
        <w:rPr>
          <w:w w:val="105"/>
        </w:rPr>
        <w:t>assumptions</w:t>
      </w:r>
      <w:r>
        <w:rPr>
          <w:spacing w:val="-9"/>
          <w:w w:val="105"/>
        </w:rPr>
        <w:t> </w:t>
      </w:r>
      <w:r>
        <w:rPr>
          <w:w w:val="105"/>
        </w:rPr>
        <w:t>used</w:t>
      </w:r>
      <w:r>
        <w:rPr>
          <w:spacing w:val="-9"/>
          <w:w w:val="105"/>
        </w:rPr>
        <w:t> </w:t>
      </w:r>
      <w:r>
        <w:rPr>
          <w:w w:val="105"/>
        </w:rPr>
        <w:t>to</w:t>
      </w:r>
      <w:r>
        <w:rPr>
          <w:spacing w:val="-9"/>
          <w:w w:val="105"/>
        </w:rPr>
        <w:t> </w:t>
      </w:r>
      <w:r>
        <w:rPr>
          <w:w w:val="105"/>
        </w:rPr>
        <w:t>value</w:t>
      </w:r>
      <w:r>
        <w:rPr>
          <w:spacing w:val="-7"/>
          <w:w w:val="105"/>
        </w:rPr>
        <w:t> </w:t>
      </w:r>
      <w:r>
        <w:rPr>
          <w:w w:val="105"/>
        </w:rPr>
        <w:t>the</w:t>
      </w:r>
      <w:r>
        <w:rPr>
          <w:spacing w:val="-9"/>
          <w:w w:val="105"/>
        </w:rPr>
        <w:t> </w:t>
      </w:r>
      <w:r>
        <w:rPr>
          <w:w w:val="105"/>
        </w:rPr>
        <w:t>postretirement</w:t>
      </w:r>
      <w:r>
        <w:rPr>
          <w:spacing w:val="-9"/>
          <w:w w:val="105"/>
        </w:rPr>
        <w:t> </w:t>
      </w:r>
      <w:r>
        <w:rPr>
          <w:w w:val="105"/>
        </w:rPr>
        <w:t>benefit</w:t>
      </w:r>
      <w:r>
        <w:rPr>
          <w:spacing w:val="-9"/>
          <w:w w:val="105"/>
        </w:rPr>
        <w:t> </w:t>
      </w:r>
      <w:r>
        <w:rPr>
          <w:w w:val="105"/>
        </w:rPr>
        <w:t>obligation</w:t>
      </w:r>
      <w:r>
        <w:rPr>
          <w:spacing w:val="-9"/>
          <w:w w:val="105"/>
        </w:rPr>
        <w:t> </w:t>
      </w:r>
      <w:r>
        <w:rPr>
          <w:w w:val="105"/>
        </w:rPr>
        <w:t>at</w:t>
      </w:r>
      <w:r>
        <w:rPr>
          <w:spacing w:val="-9"/>
          <w:w w:val="105"/>
        </w:rPr>
        <w:t> </w:t>
      </w:r>
      <w:r>
        <w:rPr>
          <w:w w:val="105"/>
        </w:rPr>
        <w:t>the</w:t>
      </w:r>
      <w:r>
        <w:rPr>
          <w:spacing w:val="-9"/>
          <w:w w:val="105"/>
        </w:rPr>
        <w:t> </w:t>
      </w:r>
      <w:r>
        <w:rPr>
          <w:w w:val="105"/>
        </w:rPr>
        <w:t>beginning</w:t>
      </w:r>
      <w:r>
        <w:rPr>
          <w:spacing w:val="-9"/>
          <w:w w:val="105"/>
        </w:rPr>
        <w:t> </w:t>
      </w:r>
      <w:r>
        <w:rPr>
          <w:w w:val="105"/>
        </w:rPr>
        <w:t>of</w:t>
      </w:r>
      <w:r>
        <w:rPr>
          <w:spacing w:val="-9"/>
          <w:w w:val="105"/>
        </w:rPr>
        <w:t> </w:t>
      </w:r>
      <w:r>
        <w:rPr>
          <w:w w:val="105"/>
        </w:rPr>
        <w:t>the</w:t>
      </w:r>
      <w:r>
        <w:rPr>
          <w:spacing w:val="-9"/>
          <w:w w:val="105"/>
        </w:rPr>
        <w:t> </w:t>
      </w:r>
      <w:r>
        <w:rPr>
          <w:w w:val="105"/>
        </w:rPr>
        <w:t>year. The weighted-average assumptions used to determine benefit obligations were as follows:</w:t>
      </w:r>
    </w:p>
    <w:p>
      <w:pPr>
        <w:pStyle w:val="BodyText"/>
        <w:spacing w:before="2"/>
        <w:rPr>
          <w:sz w:val="5"/>
        </w:rPr>
      </w:pPr>
      <w:r>
        <w:rPr/>
        <mc:AlternateContent>
          <mc:Choice Requires="wps">
            <w:drawing>
              <wp:anchor distT="0" distB="0" distL="0" distR="0" allowOverlap="1" layoutInCell="1" locked="0" behindDoc="1" simplePos="0" relativeHeight="487713280">
                <wp:simplePos x="0" y="0"/>
                <wp:positionH relativeFrom="page">
                  <wp:posOffset>226479</wp:posOffset>
                </wp:positionH>
                <wp:positionV relativeFrom="paragraph">
                  <wp:posOffset>53269</wp:posOffset>
                </wp:positionV>
                <wp:extent cx="7312659" cy="16510"/>
                <wp:effectExtent l="0" t="0" r="0" b="0"/>
                <wp:wrapTopAndBottom/>
                <wp:docPr id="514" name="Graphic 514"/>
                <wp:cNvGraphicFramePr>
                  <a:graphicFrameLocks/>
                </wp:cNvGraphicFramePr>
                <a:graphic>
                  <a:graphicData uri="http://schemas.microsoft.com/office/word/2010/wordprocessingShape">
                    <wps:wsp>
                      <wps:cNvPr id="514" name="Graphic 514"/>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4.194482pt;width:575.775027pt;height:1.274pt;mso-position-horizontal-relative:page;mso-position-vertical-relative:paragraph;z-index:-15603200;mso-wrap-distance-left:0;mso-wrap-distance-right:0" id="docshape513" filled="true" fillcolor="#000000" stroked="false">
                <v:fill type="solid"/>
                <w10:wrap type="topAndBottom"/>
              </v:rect>
            </w:pict>
          </mc:Fallback>
        </mc:AlternateContent>
      </w:r>
    </w:p>
    <w:p>
      <w:pPr>
        <w:spacing w:before="0" w:after="25"/>
        <w:ind w:left="316" w:right="0" w:firstLine="0"/>
        <w:jc w:val="center"/>
        <w:rPr>
          <w:sz w:val="15"/>
        </w:rPr>
      </w:pPr>
      <w:r>
        <w:rPr>
          <w:sz w:val="15"/>
        </w:rPr>
        <w:t>Pension</w:t>
      </w:r>
      <w:r>
        <w:rPr>
          <w:spacing w:val="4"/>
          <w:sz w:val="15"/>
        </w:rPr>
        <w:t> </w:t>
      </w:r>
      <w:r>
        <w:rPr>
          <w:spacing w:val="-2"/>
          <w:sz w:val="15"/>
        </w:rPr>
        <w:t>benefits</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0"/>
        <w:gridCol w:w="905"/>
        <w:gridCol w:w="994"/>
        <w:gridCol w:w="778"/>
        <w:gridCol w:w="116"/>
        <w:gridCol w:w="870"/>
        <w:gridCol w:w="1057"/>
        <w:gridCol w:w="779"/>
        <w:gridCol w:w="117"/>
        <w:gridCol w:w="541"/>
        <w:gridCol w:w="572"/>
        <w:gridCol w:w="929"/>
        <w:gridCol w:w="668"/>
      </w:tblGrid>
      <w:tr>
        <w:trPr>
          <w:trHeight w:val="188" w:hRule="atLeast"/>
        </w:trPr>
        <w:tc>
          <w:tcPr>
            <w:tcW w:w="4115" w:type="dxa"/>
            <w:gridSpan w:val="2"/>
            <w:tcBorders>
              <w:top w:val="single" w:sz="6" w:space="0" w:color="000000"/>
            </w:tcBorders>
          </w:tcPr>
          <w:p>
            <w:pPr>
              <w:pStyle w:val="TableParagraph"/>
              <w:rPr>
                <w:sz w:val="12"/>
              </w:rPr>
            </w:pPr>
          </w:p>
        </w:tc>
        <w:tc>
          <w:tcPr>
            <w:tcW w:w="994" w:type="dxa"/>
            <w:tcBorders>
              <w:top w:val="single" w:sz="6" w:space="0" w:color="000000"/>
              <w:bottom w:val="single" w:sz="6" w:space="0" w:color="000000"/>
            </w:tcBorders>
          </w:tcPr>
          <w:p>
            <w:pPr>
              <w:pStyle w:val="TableParagraph"/>
              <w:spacing w:line="169" w:lineRule="exact"/>
              <w:ind w:left="76"/>
              <w:rPr>
                <w:sz w:val="15"/>
              </w:rPr>
            </w:pPr>
            <w:r>
              <w:rPr>
                <w:spacing w:val="-2"/>
                <w:sz w:val="15"/>
              </w:rPr>
              <w:t>Domestic</w:t>
            </w:r>
          </w:p>
        </w:tc>
        <w:tc>
          <w:tcPr>
            <w:tcW w:w="778" w:type="dxa"/>
            <w:tcBorders>
              <w:top w:val="single" w:sz="6" w:space="0" w:color="000000"/>
              <w:bottom w:val="single" w:sz="6" w:space="0" w:color="000000"/>
            </w:tcBorders>
          </w:tcPr>
          <w:p>
            <w:pPr>
              <w:pStyle w:val="TableParagraph"/>
              <w:rPr>
                <w:sz w:val="12"/>
              </w:rPr>
            </w:pPr>
          </w:p>
        </w:tc>
        <w:tc>
          <w:tcPr>
            <w:tcW w:w="116" w:type="dxa"/>
            <w:tcBorders>
              <w:top w:val="single" w:sz="6" w:space="0" w:color="000000"/>
            </w:tcBorders>
          </w:tcPr>
          <w:p>
            <w:pPr>
              <w:pStyle w:val="TableParagraph"/>
              <w:rPr>
                <w:sz w:val="12"/>
              </w:rPr>
            </w:pPr>
          </w:p>
        </w:tc>
        <w:tc>
          <w:tcPr>
            <w:tcW w:w="870" w:type="dxa"/>
            <w:tcBorders>
              <w:top w:val="single" w:sz="6" w:space="0" w:color="000000"/>
              <w:bottom w:val="single" w:sz="6" w:space="0" w:color="000000"/>
            </w:tcBorders>
          </w:tcPr>
          <w:p>
            <w:pPr>
              <w:pStyle w:val="TableParagraph"/>
              <w:rPr>
                <w:sz w:val="12"/>
              </w:rPr>
            </w:pPr>
          </w:p>
        </w:tc>
        <w:tc>
          <w:tcPr>
            <w:tcW w:w="1057" w:type="dxa"/>
            <w:tcBorders>
              <w:top w:val="single" w:sz="6" w:space="0" w:color="000000"/>
              <w:bottom w:val="single" w:sz="6" w:space="0" w:color="000000"/>
            </w:tcBorders>
          </w:tcPr>
          <w:p>
            <w:pPr>
              <w:pStyle w:val="TableParagraph"/>
              <w:spacing w:line="169" w:lineRule="exact"/>
              <w:ind w:left="22"/>
              <w:rPr>
                <w:sz w:val="15"/>
              </w:rPr>
            </w:pPr>
            <w:r>
              <w:rPr>
                <w:spacing w:val="-2"/>
                <w:sz w:val="15"/>
              </w:rPr>
              <w:t>International</w:t>
            </w:r>
          </w:p>
        </w:tc>
        <w:tc>
          <w:tcPr>
            <w:tcW w:w="779" w:type="dxa"/>
            <w:tcBorders>
              <w:top w:val="single" w:sz="6" w:space="0" w:color="000000"/>
              <w:bottom w:val="single" w:sz="6" w:space="0" w:color="000000"/>
            </w:tcBorders>
          </w:tcPr>
          <w:p>
            <w:pPr>
              <w:pStyle w:val="TableParagraph"/>
              <w:rPr>
                <w:sz w:val="12"/>
              </w:rPr>
            </w:pPr>
          </w:p>
        </w:tc>
        <w:tc>
          <w:tcPr>
            <w:tcW w:w="117" w:type="dxa"/>
          </w:tcPr>
          <w:p>
            <w:pPr>
              <w:pStyle w:val="TableParagraph"/>
              <w:rPr>
                <w:sz w:val="12"/>
              </w:rPr>
            </w:pPr>
          </w:p>
        </w:tc>
        <w:tc>
          <w:tcPr>
            <w:tcW w:w="541" w:type="dxa"/>
            <w:tcBorders>
              <w:bottom w:val="single" w:sz="6" w:space="0" w:color="000000"/>
            </w:tcBorders>
          </w:tcPr>
          <w:p>
            <w:pPr>
              <w:pStyle w:val="TableParagraph"/>
              <w:rPr>
                <w:sz w:val="12"/>
              </w:rPr>
            </w:pPr>
          </w:p>
        </w:tc>
        <w:tc>
          <w:tcPr>
            <w:tcW w:w="1501" w:type="dxa"/>
            <w:gridSpan w:val="2"/>
            <w:tcBorders>
              <w:bottom w:val="single" w:sz="6" w:space="0" w:color="000000"/>
            </w:tcBorders>
          </w:tcPr>
          <w:p>
            <w:pPr>
              <w:pStyle w:val="TableParagraph"/>
              <w:spacing w:line="169" w:lineRule="exact"/>
              <w:ind w:left="27"/>
              <w:rPr>
                <w:sz w:val="15"/>
              </w:rPr>
            </w:pPr>
            <w:r>
              <w:rPr>
                <w:sz w:val="15"/>
              </w:rPr>
              <w:t>Postretirement</w:t>
            </w:r>
            <w:r>
              <w:rPr>
                <w:spacing w:val="8"/>
                <w:sz w:val="15"/>
              </w:rPr>
              <w:t> </w:t>
            </w:r>
            <w:r>
              <w:rPr>
                <w:spacing w:val="-2"/>
                <w:sz w:val="15"/>
              </w:rPr>
              <w:t>benefits</w:t>
            </w:r>
          </w:p>
        </w:tc>
        <w:tc>
          <w:tcPr>
            <w:tcW w:w="668" w:type="dxa"/>
            <w:tcBorders>
              <w:bottom w:val="single" w:sz="6" w:space="0" w:color="000000"/>
            </w:tcBorders>
          </w:tcPr>
          <w:p>
            <w:pPr>
              <w:pStyle w:val="TableParagraph"/>
              <w:rPr>
                <w:sz w:val="12"/>
              </w:rPr>
            </w:pPr>
          </w:p>
        </w:tc>
      </w:tr>
      <w:tr>
        <w:trPr>
          <w:trHeight w:val="199" w:hRule="atLeast"/>
        </w:trPr>
        <w:tc>
          <w:tcPr>
            <w:tcW w:w="4115" w:type="dxa"/>
            <w:gridSpan w:val="2"/>
            <w:tcBorders>
              <w:top w:val="single" w:sz="6" w:space="0" w:color="000000"/>
            </w:tcBorders>
          </w:tcPr>
          <w:p>
            <w:pPr>
              <w:pStyle w:val="TableParagraph"/>
              <w:spacing w:line="171" w:lineRule="exact"/>
              <w:ind w:right="412"/>
              <w:jc w:val="right"/>
              <w:rPr>
                <w:b/>
                <w:sz w:val="15"/>
              </w:rPr>
            </w:pPr>
            <w:r>
              <w:rPr>
                <w:b/>
                <w:spacing w:val="-4"/>
                <w:sz w:val="15"/>
              </w:rPr>
              <w:t>2021</w:t>
            </w:r>
          </w:p>
        </w:tc>
        <w:tc>
          <w:tcPr>
            <w:tcW w:w="994" w:type="dxa"/>
            <w:tcBorders>
              <w:top w:val="single" w:sz="6" w:space="0" w:color="000000"/>
            </w:tcBorders>
          </w:tcPr>
          <w:p>
            <w:pPr>
              <w:pStyle w:val="TableParagraph"/>
              <w:spacing w:line="171" w:lineRule="exact"/>
              <w:ind w:left="222"/>
              <w:rPr>
                <w:sz w:val="15"/>
              </w:rPr>
            </w:pPr>
            <w:r>
              <w:rPr>
                <w:spacing w:val="-4"/>
                <w:sz w:val="15"/>
              </w:rPr>
              <w:t>2020</w:t>
            </w:r>
          </w:p>
        </w:tc>
        <w:tc>
          <w:tcPr>
            <w:tcW w:w="778" w:type="dxa"/>
            <w:tcBorders>
              <w:top w:val="single" w:sz="6" w:space="0" w:color="000000"/>
            </w:tcBorders>
          </w:tcPr>
          <w:p>
            <w:pPr>
              <w:pStyle w:val="TableParagraph"/>
              <w:spacing w:line="171" w:lineRule="exact"/>
              <w:ind w:left="151"/>
              <w:rPr>
                <w:sz w:val="15"/>
              </w:rPr>
            </w:pPr>
            <w:r>
              <w:rPr>
                <w:spacing w:val="-4"/>
                <w:sz w:val="15"/>
              </w:rPr>
              <w:t>2019</w:t>
            </w:r>
          </w:p>
        </w:tc>
        <w:tc>
          <w:tcPr>
            <w:tcW w:w="116" w:type="dxa"/>
          </w:tcPr>
          <w:p>
            <w:pPr>
              <w:pStyle w:val="TableParagraph"/>
              <w:rPr>
                <w:sz w:val="12"/>
              </w:rPr>
            </w:pPr>
          </w:p>
        </w:tc>
        <w:tc>
          <w:tcPr>
            <w:tcW w:w="870" w:type="dxa"/>
            <w:tcBorders>
              <w:top w:val="single" w:sz="6" w:space="0" w:color="000000"/>
            </w:tcBorders>
          </w:tcPr>
          <w:p>
            <w:pPr>
              <w:pStyle w:val="TableParagraph"/>
              <w:spacing w:line="171" w:lineRule="exact"/>
              <w:ind w:left="187"/>
              <w:rPr>
                <w:b/>
                <w:sz w:val="15"/>
              </w:rPr>
            </w:pPr>
            <w:r>
              <w:rPr>
                <w:b/>
                <w:spacing w:val="-4"/>
                <w:sz w:val="15"/>
              </w:rPr>
              <w:t>2021</w:t>
            </w:r>
          </w:p>
        </w:tc>
        <w:tc>
          <w:tcPr>
            <w:tcW w:w="1057" w:type="dxa"/>
            <w:tcBorders>
              <w:top w:val="single" w:sz="6" w:space="0" w:color="000000"/>
            </w:tcBorders>
          </w:tcPr>
          <w:p>
            <w:pPr>
              <w:pStyle w:val="TableParagraph"/>
              <w:spacing w:line="171" w:lineRule="exact"/>
              <w:ind w:left="273"/>
              <w:rPr>
                <w:sz w:val="15"/>
              </w:rPr>
            </w:pPr>
            <w:r>
              <w:rPr>
                <w:spacing w:val="-4"/>
                <w:sz w:val="15"/>
              </w:rPr>
              <w:t>2020</w:t>
            </w:r>
          </w:p>
        </w:tc>
        <w:tc>
          <w:tcPr>
            <w:tcW w:w="779" w:type="dxa"/>
            <w:tcBorders>
              <w:top w:val="single" w:sz="6" w:space="0" w:color="000000"/>
            </w:tcBorders>
          </w:tcPr>
          <w:p>
            <w:pPr>
              <w:pStyle w:val="TableParagraph"/>
              <w:spacing w:line="171" w:lineRule="exact"/>
              <w:ind w:left="146"/>
              <w:rPr>
                <w:sz w:val="15"/>
              </w:rPr>
            </w:pPr>
            <w:r>
              <w:rPr>
                <w:spacing w:val="-4"/>
                <w:sz w:val="15"/>
              </w:rPr>
              <w:t>2019</w:t>
            </w:r>
          </w:p>
        </w:tc>
        <w:tc>
          <w:tcPr>
            <w:tcW w:w="117" w:type="dxa"/>
          </w:tcPr>
          <w:p>
            <w:pPr>
              <w:pStyle w:val="TableParagraph"/>
              <w:rPr>
                <w:sz w:val="12"/>
              </w:rPr>
            </w:pPr>
          </w:p>
        </w:tc>
        <w:tc>
          <w:tcPr>
            <w:tcW w:w="541" w:type="dxa"/>
            <w:tcBorders>
              <w:top w:val="single" w:sz="6" w:space="0" w:color="000000"/>
            </w:tcBorders>
          </w:tcPr>
          <w:p>
            <w:pPr>
              <w:pStyle w:val="TableParagraph"/>
              <w:spacing w:line="171" w:lineRule="exact"/>
              <w:ind w:left="180"/>
              <w:rPr>
                <w:b/>
                <w:sz w:val="15"/>
              </w:rPr>
            </w:pPr>
            <w:r>
              <w:rPr>
                <w:b/>
                <w:spacing w:val="-4"/>
                <w:sz w:val="15"/>
              </w:rPr>
              <w:t>2021</w:t>
            </w:r>
          </w:p>
        </w:tc>
        <w:tc>
          <w:tcPr>
            <w:tcW w:w="1501" w:type="dxa"/>
            <w:gridSpan w:val="2"/>
            <w:tcBorders>
              <w:top w:val="single" w:sz="6" w:space="0" w:color="000000"/>
            </w:tcBorders>
          </w:tcPr>
          <w:p>
            <w:pPr>
              <w:pStyle w:val="TableParagraph"/>
              <w:spacing w:line="171" w:lineRule="exact"/>
              <w:ind w:right="4"/>
              <w:jc w:val="center"/>
              <w:rPr>
                <w:sz w:val="15"/>
              </w:rPr>
            </w:pPr>
            <w:r>
              <w:rPr>
                <w:spacing w:val="-4"/>
                <w:sz w:val="15"/>
              </w:rPr>
              <w:t>2020</w:t>
            </w:r>
          </w:p>
        </w:tc>
        <w:tc>
          <w:tcPr>
            <w:tcW w:w="668" w:type="dxa"/>
            <w:tcBorders>
              <w:top w:val="single" w:sz="6" w:space="0" w:color="000000"/>
            </w:tcBorders>
          </w:tcPr>
          <w:p>
            <w:pPr>
              <w:pStyle w:val="TableParagraph"/>
              <w:spacing w:line="171" w:lineRule="exact"/>
              <w:ind w:left="23"/>
              <w:rPr>
                <w:sz w:val="15"/>
              </w:rPr>
            </w:pPr>
            <w:r>
              <w:rPr>
                <w:spacing w:val="-4"/>
                <w:sz w:val="15"/>
              </w:rPr>
              <w:t>2019</w:t>
            </w:r>
          </w:p>
        </w:tc>
      </w:tr>
      <w:tr>
        <w:trPr>
          <w:trHeight w:val="179" w:hRule="atLeast"/>
        </w:trPr>
        <w:tc>
          <w:tcPr>
            <w:tcW w:w="3210" w:type="dxa"/>
            <w:tcBorders>
              <w:top w:val="single" w:sz="6" w:space="0" w:color="000000"/>
            </w:tcBorders>
            <w:shd w:val="clear" w:color="auto" w:fill="CCEDFF"/>
          </w:tcPr>
          <w:p>
            <w:pPr>
              <w:pStyle w:val="TableParagraph"/>
              <w:spacing w:line="170" w:lineRule="exact"/>
              <w:rPr>
                <w:sz w:val="15"/>
              </w:rPr>
            </w:pPr>
            <w:r>
              <w:rPr>
                <w:sz w:val="15"/>
              </w:rPr>
              <w:t>Discount</w:t>
            </w:r>
            <w:r>
              <w:rPr>
                <w:spacing w:val="-2"/>
                <w:sz w:val="15"/>
              </w:rPr>
              <w:t> </w:t>
            </w:r>
            <w:r>
              <w:rPr>
                <w:spacing w:val="-4"/>
                <w:sz w:val="15"/>
              </w:rPr>
              <w:t>rate</w:t>
            </w:r>
          </w:p>
        </w:tc>
        <w:tc>
          <w:tcPr>
            <w:tcW w:w="905" w:type="dxa"/>
            <w:tcBorders>
              <w:top w:val="single" w:sz="6" w:space="0" w:color="000000"/>
            </w:tcBorders>
            <w:shd w:val="clear" w:color="auto" w:fill="CCEDFF"/>
          </w:tcPr>
          <w:p>
            <w:pPr>
              <w:pStyle w:val="TableParagraph"/>
              <w:spacing w:line="170" w:lineRule="exact"/>
              <w:ind w:right="74"/>
              <w:jc w:val="right"/>
              <w:rPr>
                <w:b/>
                <w:sz w:val="15"/>
              </w:rPr>
            </w:pPr>
            <w:r>
              <w:rPr>
                <w:b/>
                <w:spacing w:val="-2"/>
                <w:sz w:val="15"/>
              </w:rPr>
              <w:t>2.87%</w:t>
            </w:r>
          </w:p>
        </w:tc>
        <w:tc>
          <w:tcPr>
            <w:tcW w:w="994" w:type="dxa"/>
            <w:tcBorders>
              <w:top w:val="single" w:sz="6" w:space="0" w:color="000000"/>
            </w:tcBorders>
            <w:shd w:val="clear" w:color="auto" w:fill="CCEDFF"/>
          </w:tcPr>
          <w:p>
            <w:pPr>
              <w:pStyle w:val="TableParagraph"/>
              <w:spacing w:line="170" w:lineRule="exact"/>
              <w:ind w:right="151"/>
              <w:jc w:val="right"/>
              <w:rPr>
                <w:sz w:val="15"/>
              </w:rPr>
            </w:pPr>
            <w:r>
              <w:rPr>
                <w:spacing w:val="-2"/>
                <w:sz w:val="15"/>
              </w:rPr>
              <w:t>2.50%</w:t>
            </w:r>
          </w:p>
        </w:tc>
        <w:tc>
          <w:tcPr>
            <w:tcW w:w="778" w:type="dxa"/>
            <w:tcBorders>
              <w:top w:val="single" w:sz="6" w:space="0" w:color="000000"/>
            </w:tcBorders>
            <w:shd w:val="clear" w:color="auto" w:fill="CCEDFF"/>
          </w:tcPr>
          <w:p>
            <w:pPr>
              <w:pStyle w:val="TableParagraph"/>
              <w:spacing w:line="170" w:lineRule="exact"/>
              <w:ind w:right="1"/>
              <w:jc w:val="right"/>
              <w:rPr>
                <w:sz w:val="15"/>
              </w:rPr>
            </w:pPr>
            <w:r>
              <w:rPr>
                <w:spacing w:val="-2"/>
                <w:sz w:val="15"/>
              </w:rPr>
              <w:t>3.28%</w:t>
            </w:r>
          </w:p>
        </w:tc>
        <w:tc>
          <w:tcPr>
            <w:tcW w:w="986" w:type="dxa"/>
            <w:gridSpan w:val="2"/>
            <w:tcBorders>
              <w:top w:val="single" w:sz="6" w:space="0" w:color="000000"/>
            </w:tcBorders>
            <w:shd w:val="clear" w:color="auto" w:fill="CCEDFF"/>
          </w:tcPr>
          <w:p>
            <w:pPr>
              <w:pStyle w:val="TableParagraph"/>
              <w:spacing w:line="170" w:lineRule="exact"/>
              <w:ind w:left="533"/>
              <w:rPr>
                <w:b/>
                <w:sz w:val="15"/>
              </w:rPr>
            </w:pPr>
            <w:r>
              <w:rPr>
                <w:b/>
                <w:spacing w:val="-2"/>
                <w:sz w:val="15"/>
              </w:rPr>
              <w:t>1.20%</w:t>
            </w:r>
          </w:p>
        </w:tc>
        <w:tc>
          <w:tcPr>
            <w:tcW w:w="1057" w:type="dxa"/>
            <w:tcBorders>
              <w:top w:val="single" w:sz="6" w:space="0" w:color="000000"/>
            </w:tcBorders>
            <w:shd w:val="clear" w:color="auto" w:fill="CCEDFF"/>
          </w:tcPr>
          <w:p>
            <w:pPr>
              <w:pStyle w:val="TableParagraph"/>
              <w:spacing w:line="170" w:lineRule="exact"/>
              <w:ind w:right="157"/>
              <w:jc w:val="right"/>
              <w:rPr>
                <w:sz w:val="15"/>
              </w:rPr>
            </w:pPr>
            <w:r>
              <w:rPr>
                <w:spacing w:val="-2"/>
                <w:sz w:val="15"/>
              </w:rPr>
              <w:t>1.02%</w:t>
            </w:r>
          </w:p>
        </w:tc>
        <w:tc>
          <w:tcPr>
            <w:tcW w:w="779" w:type="dxa"/>
            <w:tcBorders>
              <w:top w:val="single" w:sz="6" w:space="0" w:color="000000"/>
            </w:tcBorders>
            <w:shd w:val="clear" w:color="auto" w:fill="CCEDFF"/>
          </w:tcPr>
          <w:p>
            <w:pPr>
              <w:pStyle w:val="TableParagraph"/>
              <w:spacing w:line="170" w:lineRule="exact"/>
              <w:ind w:right="6"/>
              <w:jc w:val="right"/>
              <w:rPr>
                <w:sz w:val="15"/>
              </w:rPr>
            </w:pPr>
            <w:r>
              <w:rPr>
                <w:spacing w:val="-2"/>
                <w:sz w:val="15"/>
              </w:rPr>
              <w:t>1.34%</w:t>
            </w:r>
          </w:p>
        </w:tc>
        <w:tc>
          <w:tcPr>
            <w:tcW w:w="1230" w:type="dxa"/>
            <w:gridSpan w:val="3"/>
            <w:tcBorders>
              <w:top w:val="single" w:sz="6" w:space="0" w:color="000000"/>
            </w:tcBorders>
            <w:shd w:val="clear" w:color="auto" w:fill="CCEDFF"/>
          </w:tcPr>
          <w:p>
            <w:pPr>
              <w:pStyle w:val="TableParagraph"/>
              <w:spacing w:line="170" w:lineRule="exact"/>
              <w:ind w:left="526"/>
              <w:rPr>
                <w:b/>
                <w:sz w:val="15"/>
              </w:rPr>
            </w:pPr>
            <w:r>
              <w:rPr>
                <w:b/>
                <w:spacing w:val="-2"/>
                <w:sz w:val="15"/>
              </w:rPr>
              <w:t>2.99%</w:t>
            </w:r>
          </w:p>
        </w:tc>
        <w:tc>
          <w:tcPr>
            <w:tcW w:w="929" w:type="dxa"/>
            <w:tcBorders>
              <w:top w:val="single" w:sz="6" w:space="0" w:color="000000"/>
            </w:tcBorders>
            <w:shd w:val="clear" w:color="auto" w:fill="CCEDFF"/>
          </w:tcPr>
          <w:p>
            <w:pPr>
              <w:pStyle w:val="TableParagraph"/>
              <w:spacing w:line="170" w:lineRule="exact"/>
              <w:ind w:left="251"/>
              <w:rPr>
                <w:sz w:val="15"/>
              </w:rPr>
            </w:pPr>
            <w:r>
              <w:rPr>
                <w:spacing w:val="-2"/>
                <w:sz w:val="15"/>
              </w:rPr>
              <w:t>2.69%</w:t>
            </w:r>
          </w:p>
        </w:tc>
        <w:tc>
          <w:tcPr>
            <w:tcW w:w="668" w:type="dxa"/>
            <w:tcBorders>
              <w:top w:val="single" w:sz="6" w:space="0" w:color="000000"/>
            </w:tcBorders>
            <w:shd w:val="clear" w:color="auto" w:fill="CCEDFF"/>
          </w:tcPr>
          <w:p>
            <w:pPr>
              <w:pStyle w:val="TableParagraph"/>
              <w:spacing w:line="170" w:lineRule="exact"/>
              <w:ind w:left="252"/>
              <w:rPr>
                <w:sz w:val="15"/>
              </w:rPr>
            </w:pPr>
            <w:r>
              <w:rPr>
                <w:spacing w:val="-2"/>
                <w:sz w:val="15"/>
              </w:rPr>
              <w:t>3.41%</w:t>
            </w:r>
          </w:p>
        </w:tc>
      </w:tr>
      <w:tr>
        <w:trPr>
          <w:trHeight w:val="191" w:hRule="atLeast"/>
        </w:trPr>
        <w:tc>
          <w:tcPr>
            <w:tcW w:w="3210" w:type="dxa"/>
          </w:tcPr>
          <w:p>
            <w:pPr>
              <w:pStyle w:val="TableParagraph"/>
              <w:spacing w:line="171" w:lineRule="exact"/>
              <w:rPr>
                <w:sz w:val="15"/>
              </w:rPr>
            </w:pPr>
            <w:r>
              <w:rPr>
                <w:sz w:val="15"/>
              </w:rPr>
              <w:t>Rate</w:t>
            </w:r>
            <w:r>
              <w:rPr>
                <w:spacing w:val="4"/>
                <w:sz w:val="15"/>
              </w:rPr>
              <w:t> </w:t>
            </w:r>
            <w:r>
              <w:rPr>
                <w:sz w:val="15"/>
              </w:rPr>
              <w:t>of</w:t>
            </w:r>
            <w:r>
              <w:rPr>
                <w:spacing w:val="4"/>
                <w:sz w:val="15"/>
              </w:rPr>
              <w:t> </w:t>
            </w:r>
            <w:r>
              <w:rPr>
                <w:sz w:val="15"/>
              </w:rPr>
              <w:t>compensation</w:t>
            </w:r>
            <w:r>
              <w:rPr>
                <w:spacing w:val="4"/>
                <w:sz w:val="15"/>
              </w:rPr>
              <w:t> </w:t>
            </w:r>
            <w:r>
              <w:rPr>
                <w:spacing w:val="-2"/>
                <w:sz w:val="15"/>
              </w:rPr>
              <w:t>increase</w:t>
            </w:r>
          </w:p>
        </w:tc>
        <w:tc>
          <w:tcPr>
            <w:tcW w:w="905" w:type="dxa"/>
          </w:tcPr>
          <w:p>
            <w:pPr>
              <w:pStyle w:val="TableParagraph"/>
              <w:spacing w:line="171" w:lineRule="exact"/>
              <w:ind w:right="74"/>
              <w:jc w:val="right"/>
              <w:rPr>
                <w:b/>
                <w:sz w:val="15"/>
              </w:rPr>
            </w:pPr>
            <w:r>
              <w:rPr>
                <w:b/>
                <w:spacing w:val="-2"/>
                <w:sz w:val="15"/>
              </w:rPr>
              <w:t>3.50%</w:t>
            </w:r>
          </w:p>
        </w:tc>
        <w:tc>
          <w:tcPr>
            <w:tcW w:w="994" w:type="dxa"/>
          </w:tcPr>
          <w:p>
            <w:pPr>
              <w:pStyle w:val="TableParagraph"/>
              <w:spacing w:line="171" w:lineRule="exact"/>
              <w:ind w:right="151"/>
              <w:jc w:val="right"/>
              <w:rPr>
                <w:sz w:val="15"/>
              </w:rPr>
            </w:pPr>
            <w:r>
              <w:rPr>
                <w:spacing w:val="-2"/>
                <w:sz w:val="15"/>
              </w:rPr>
              <w:t>4.16%</w:t>
            </w:r>
          </w:p>
        </w:tc>
        <w:tc>
          <w:tcPr>
            <w:tcW w:w="778" w:type="dxa"/>
          </w:tcPr>
          <w:p>
            <w:pPr>
              <w:pStyle w:val="TableParagraph"/>
              <w:spacing w:line="171" w:lineRule="exact"/>
              <w:ind w:right="1"/>
              <w:jc w:val="right"/>
              <w:rPr>
                <w:sz w:val="15"/>
              </w:rPr>
            </w:pPr>
            <w:r>
              <w:rPr>
                <w:spacing w:val="-2"/>
                <w:sz w:val="15"/>
              </w:rPr>
              <w:t>3.50%</w:t>
            </w:r>
          </w:p>
        </w:tc>
        <w:tc>
          <w:tcPr>
            <w:tcW w:w="986" w:type="dxa"/>
            <w:gridSpan w:val="2"/>
          </w:tcPr>
          <w:p>
            <w:pPr>
              <w:pStyle w:val="TableParagraph"/>
              <w:spacing w:line="171" w:lineRule="exact"/>
              <w:ind w:left="533"/>
              <w:rPr>
                <w:b/>
                <w:sz w:val="15"/>
              </w:rPr>
            </w:pPr>
            <w:r>
              <w:rPr>
                <w:b/>
                <w:spacing w:val="-2"/>
                <w:sz w:val="15"/>
              </w:rPr>
              <w:t>3.63%</w:t>
            </w:r>
          </w:p>
        </w:tc>
        <w:tc>
          <w:tcPr>
            <w:tcW w:w="1057" w:type="dxa"/>
          </w:tcPr>
          <w:p>
            <w:pPr>
              <w:pStyle w:val="TableParagraph"/>
              <w:spacing w:line="171" w:lineRule="exact"/>
              <w:ind w:right="157"/>
              <w:jc w:val="right"/>
              <w:rPr>
                <w:sz w:val="15"/>
              </w:rPr>
            </w:pPr>
            <w:r>
              <w:rPr>
                <w:spacing w:val="-2"/>
                <w:sz w:val="15"/>
              </w:rPr>
              <w:t>3.55%</w:t>
            </w:r>
          </w:p>
        </w:tc>
        <w:tc>
          <w:tcPr>
            <w:tcW w:w="779" w:type="dxa"/>
          </w:tcPr>
          <w:p>
            <w:pPr>
              <w:pStyle w:val="TableParagraph"/>
              <w:spacing w:line="171" w:lineRule="exact"/>
              <w:ind w:right="6"/>
              <w:jc w:val="right"/>
              <w:rPr>
                <w:sz w:val="15"/>
              </w:rPr>
            </w:pPr>
            <w:r>
              <w:rPr>
                <w:spacing w:val="-2"/>
                <w:sz w:val="15"/>
              </w:rPr>
              <w:t>2.96%</w:t>
            </w:r>
          </w:p>
        </w:tc>
        <w:tc>
          <w:tcPr>
            <w:tcW w:w="1230" w:type="dxa"/>
            <w:gridSpan w:val="3"/>
          </w:tcPr>
          <w:p>
            <w:pPr>
              <w:pStyle w:val="TableParagraph"/>
              <w:rPr>
                <w:sz w:val="12"/>
              </w:rPr>
            </w:pPr>
          </w:p>
        </w:tc>
        <w:tc>
          <w:tcPr>
            <w:tcW w:w="929" w:type="dxa"/>
          </w:tcPr>
          <w:p>
            <w:pPr>
              <w:pStyle w:val="TableParagraph"/>
              <w:rPr>
                <w:sz w:val="12"/>
              </w:rPr>
            </w:pPr>
          </w:p>
        </w:tc>
        <w:tc>
          <w:tcPr>
            <w:tcW w:w="668" w:type="dxa"/>
          </w:tcPr>
          <w:p>
            <w:pPr>
              <w:pStyle w:val="TableParagraph"/>
              <w:rPr>
                <w:sz w:val="12"/>
              </w:rPr>
            </w:pPr>
          </w:p>
        </w:tc>
      </w:tr>
      <w:tr>
        <w:trPr>
          <w:trHeight w:val="191" w:hRule="atLeast"/>
        </w:trPr>
        <w:tc>
          <w:tcPr>
            <w:tcW w:w="3210" w:type="dxa"/>
            <w:shd w:val="clear" w:color="auto" w:fill="CCEDFF"/>
          </w:tcPr>
          <w:p>
            <w:pPr>
              <w:pStyle w:val="TableParagraph"/>
              <w:spacing w:line="171" w:lineRule="exact"/>
              <w:rPr>
                <w:sz w:val="15"/>
              </w:rPr>
            </w:pPr>
            <w:r>
              <w:rPr>
                <w:sz w:val="15"/>
              </w:rPr>
              <w:t>Cash</w:t>
            </w:r>
            <w:r>
              <w:rPr>
                <w:spacing w:val="4"/>
                <w:sz w:val="15"/>
              </w:rPr>
              <w:t> </w:t>
            </w:r>
            <w:r>
              <w:rPr>
                <w:sz w:val="15"/>
              </w:rPr>
              <w:t>balance</w:t>
            </w:r>
            <w:r>
              <w:rPr>
                <w:spacing w:val="4"/>
                <w:sz w:val="15"/>
              </w:rPr>
              <w:t> </w:t>
            </w:r>
            <w:r>
              <w:rPr>
                <w:sz w:val="15"/>
              </w:rPr>
              <w:t>crediting</w:t>
            </w:r>
            <w:r>
              <w:rPr>
                <w:spacing w:val="4"/>
                <w:sz w:val="15"/>
              </w:rPr>
              <w:t> </w:t>
            </w:r>
            <w:r>
              <w:rPr>
                <w:spacing w:val="-4"/>
                <w:sz w:val="15"/>
              </w:rPr>
              <w:t>rate</w:t>
            </w:r>
          </w:p>
        </w:tc>
        <w:tc>
          <w:tcPr>
            <w:tcW w:w="905" w:type="dxa"/>
            <w:shd w:val="clear" w:color="auto" w:fill="CCEDFF"/>
          </w:tcPr>
          <w:p>
            <w:pPr>
              <w:pStyle w:val="TableParagraph"/>
              <w:spacing w:line="171" w:lineRule="exact"/>
              <w:ind w:right="74"/>
              <w:jc w:val="right"/>
              <w:rPr>
                <w:b/>
                <w:sz w:val="15"/>
              </w:rPr>
            </w:pPr>
            <w:r>
              <w:rPr>
                <w:b/>
                <w:spacing w:val="-2"/>
                <w:sz w:val="15"/>
              </w:rPr>
              <w:t>3.86%</w:t>
            </w:r>
          </w:p>
        </w:tc>
        <w:tc>
          <w:tcPr>
            <w:tcW w:w="994" w:type="dxa"/>
            <w:shd w:val="clear" w:color="auto" w:fill="CCEDFF"/>
          </w:tcPr>
          <w:p>
            <w:pPr>
              <w:pStyle w:val="TableParagraph"/>
              <w:spacing w:line="171" w:lineRule="exact"/>
              <w:ind w:right="151"/>
              <w:jc w:val="right"/>
              <w:rPr>
                <w:sz w:val="15"/>
              </w:rPr>
            </w:pPr>
            <w:r>
              <w:rPr>
                <w:spacing w:val="-2"/>
                <w:sz w:val="15"/>
              </w:rPr>
              <w:t>3.84%</w:t>
            </w:r>
          </w:p>
        </w:tc>
        <w:tc>
          <w:tcPr>
            <w:tcW w:w="778" w:type="dxa"/>
            <w:shd w:val="clear" w:color="auto" w:fill="CCEDFF"/>
          </w:tcPr>
          <w:p>
            <w:pPr>
              <w:pStyle w:val="TableParagraph"/>
              <w:spacing w:line="171" w:lineRule="exact"/>
              <w:ind w:right="1"/>
              <w:jc w:val="right"/>
              <w:rPr>
                <w:sz w:val="15"/>
              </w:rPr>
            </w:pPr>
            <w:r>
              <w:rPr>
                <w:spacing w:val="-2"/>
                <w:sz w:val="15"/>
              </w:rPr>
              <w:t>3.94%</w:t>
            </w:r>
          </w:p>
        </w:tc>
        <w:tc>
          <w:tcPr>
            <w:tcW w:w="986" w:type="dxa"/>
            <w:gridSpan w:val="2"/>
            <w:shd w:val="clear" w:color="auto" w:fill="CCEDFF"/>
          </w:tcPr>
          <w:p>
            <w:pPr>
              <w:pStyle w:val="TableParagraph"/>
              <w:spacing w:line="171" w:lineRule="exact"/>
              <w:ind w:left="533"/>
              <w:rPr>
                <w:b/>
                <w:sz w:val="15"/>
              </w:rPr>
            </w:pPr>
            <w:r>
              <w:rPr>
                <w:b/>
                <w:spacing w:val="-2"/>
                <w:sz w:val="15"/>
              </w:rPr>
              <w:t>0.91%</w:t>
            </w:r>
          </w:p>
        </w:tc>
        <w:tc>
          <w:tcPr>
            <w:tcW w:w="1057" w:type="dxa"/>
            <w:shd w:val="clear" w:color="auto" w:fill="CCEDFF"/>
          </w:tcPr>
          <w:p>
            <w:pPr>
              <w:pStyle w:val="TableParagraph"/>
              <w:spacing w:line="171" w:lineRule="exact"/>
              <w:ind w:right="157"/>
              <w:jc w:val="right"/>
              <w:rPr>
                <w:sz w:val="15"/>
              </w:rPr>
            </w:pPr>
            <w:r>
              <w:rPr>
                <w:spacing w:val="-2"/>
                <w:sz w:val="15"/>
              </w:rPr>
              <w:t>0.94%</w:t>
            </w:r>
          </w:p>
        </w:tc>
        <w:tc>
          <w:tcPr>
            <w:tcW w:w="779" w:type="dxa"/>
            <w:shd w:val="clear" w:color="auto" w:fill="CCEDFF"/>
          </w:tcPr>
          <w:p>
            <w:pPr>
              <w:pStyle w:val="TableParagraph"/>
              <w:spacing w:line="171" w:lineRule="exact"/>
              <w:ind w:right="6"/>
              <w:jc w:val="right"/>
              <w:rPr>
                <w:sz w:val="15"/>
              </w:rPr>
            </w:pPr>
            <w:r>
              <w:rPr>
                <w:spacing w:val="-2"/>
                <w:sz w:val="15"/>
              </w:rPr>
              <w:t>0.97%</w:t>
            </w:r>
          </w:p>
        </w:tc>
        <w:tc>
          <w:tcPr>
            <w:tcW w:w="1230" w:type="dxa"/>
            <w:gridSpan w:val="3"/>
            <w:shd w:val="clear" w:color="auto" w:fill="CCEDFF"/>
          </w:tcPr>
          <w:p>
            <w:pPr>
              <w:pStyle w:val="TableParagraph"/>
              <w:rPr>
                <w:sz w:val="12"/>
              </w:rPr>
            </w:pPr>
          </w:p>
        </w:tc>
        <w:tc>
          <w:tcPr>
            <w:tcW w:w="929" w:type="dxa"/>
            <w:shd w:val="clear" w:color="auto" w:fill="CCEDFF"/>
          </w:tcPr>
          <w:p>
            <w:pPr>
              <w:pStyle w:val="TableParagraph"/>
              <w:rPr>
                <w:sz w:val="12"/>
              </w:rPr>
            </w:pPr>
          </w:p>
        </w:tc>
        <w:tc>
          <w:tcPr>
            <w:tcW w:w="668" w:type="dxa"/>
            <w:shd w:val="clear" w:color="auto" w:fill="CCEDFF"/>
          </w:tcPr>
          <w:p>
            <w:pPr>
              <w:pStyle w:val="TableParagraph"/>
              <w:rPr>
                <w:sz w:val="12"/>
              </w:rPr>
            </w:pPr>
          </w:p>
        </w:tc>
      </w:tr>
      <w:tr>
        <w:trPr>
          <w:trHeight w:val="187" w:hRule="atLeast"/>
        </w:trPr>
        <w:tc>
          <w:tcPr>
            <w:tcW w:w="3210" w:type="dxa"/>
            <w:tcBorders>
              <w:bottom w:val="double" w:sz="6" w:space="0" w:color="000000"/>
            </w:tcBorders>
          </w:tcPr>
          <w:p>
            <w:pPr>
              <w:pStyle w:val="TableParagraph"/>
              <w:spacing w:line="168" w:lineRule="exact"/>
              <w:rPr>
                <w:sz w:val="15"/>
              </w:rPr>
            </w:pPr>
            <w:r>
              <w:rPr>
                <w:sz w:val="15"/>
              </w:rPr>
              <w:t>Employee</w:t>
            </w:r>
            <w:r>
              <w:rPr>
                <w:spacing w:val="2"/>
                <w:sz w:val="15"/>
              </w:rPr>
              <w:t> </w:t>
            </w:r>
            <w:r>
              <w:rPr>
                <w:sz w:val="15"/>
              </w:rPr>
              <w:t>contributions</w:t>
            </w:r>
            <w:r>
              <w:rPr>
                <w:spacing w:val="2"/>
                <w:sz w:val="15"/>
              </w:rPr>
              <w:t> </w:t>
            </w:r>
            <w:r>
              <w:rPr>
                <w:sz w:val="15"/>
              </w:rPr>
              <w:t>crediting</w:t>
            </w:r>
            <w:r>
              <w:rPr>
                <w:spacing w:val="3"/>
                <w:sz w:val="15"/>
              </w:rPr>
              <w:t> </w:t>
            </w:r>
            <w:r>
              <w:rPr>
                <w:spacing w:val="-4"/>
                <w:sz w:val="15"/>
              </w:rPr>
              <w:t>rate</w:t>
            </w:r>
          </w:p>
        </w:tc>
        <w:tc>
          <w:tcPr>
            <w:tcW w:w="905" w:type="dxa"/>
            <w:tcBorders>
              <w:bottom w:val="double" w:sz="6" w:space="0" w:color="000000"/>
            </w:tcBorders>
          </w:tcPr>
          <w:p>
            <w:pPr>
              <w:pStyle w:val="TableParagraph"/>
              <w:spacing w:line="168" w:lineRule="exact"/>
              <w:ind w:right="74"/>
              <w:jc w:val="right"/>
              <w:rPr>
                <w:b/>
                <w:sz w:val="15"/>
              </w:rPr>
            </w:pPr>
            <w:r>
              <w:rPr>
                <w:b/>
                <w:spacing w:val="-2"/>
                <w:sz w:val="15"/>
              </w:rPr>
              <w:t>1.57%</w:t>
            </w:r>
          </w:p>
        </w:tc>
        <w:tc>
          <w:tcPr>
            <w:tcW w:w="994" w:type="dxa"/>
            <w:tcBorders>
              <w:bottom w:val="double" w:sz="6" w:space="0" w:color="000000"/>
            </w:tcBorders>
          </w:tcPr>
          <w:p>
            <w:pPr>
              <w:pStyle w:val="TableParagraph"/>
              <w:spacing w:line="168" w:lineRule="exact"/>
              <w:ind w:right="151"/>
              <w:jc w:val="right"/>
              <w:rPr>
                <w:sz w:val="15"/>
              </w:rPr>
            </w:pPr>
            <w:r>
              <w:rPr>
                <w:spacing w:val="-2"/>
                <w:sz w:val="15"/>
              </w:rPr>
              <w:t>0.62%</w:t>
            </w:r>
          </w:p>
        </w:tc>
        <w:tc>
          <w:tcPr>
            <w:tcW w:w="778" w:type="dxa"/>
            <w:tcBorders>
              <w:bottom w:val="double" w:sz="6" w:space="0" w:color="000000"/>
            </w:tcBorders>
          </w:tcPr>
          <w:p>
            <w:pPr>
              <w:pStyle w:val="TableParagraph"/>
              <w:spacing w:line="168" w:lineRule="exact"/>
              <w:ind w:right="1"/>
              <w:jc w:val="right"/>
              <w:rPr>
                <w:sz w:val="15"/>
              </w:rPr>
            </w:pPr>
            <w:r>
              <w:rPr>
                <w:spacing w:val="-2"/>
                <w:sz w:val="15"/>
              </w:rPr>
              <w:t>2.03%</w:t>
            </w:r>
          </w:p>
        </w:tc>
        <w:tc>
          <w:tcPr>
            <w:tcW w:w="986" w:type="dxa"/>
            <w:gridSpan w:val="2"/>
            <w:tcBorders>
              <w:bottom w:val="double" w:sz="6" w:space="0" w:color="000000"/>
            </w:tcBorders>
          </w:tcPr>
          <w:p>
            <w:pPr>
              <w:pStyle w:val="TableParagraph"/>
              <w:rPr>
                <w:sz w:val="12"/>
              </w:rPr>
            </w:pPr>
          </w:p>
        </w:tc>
        <w:tc>
          <w:tcPr>
            <w:tcW w:w="1057" w:type="dxa"/>
            <w:tcBorders>
              <w:bottom w:val="double" w:sz="6" w:space="0" w:color="000000"/>
            </w:tcBorders>
          </w:tcPr>
          <w:p>
            <w:pPr>
              <w:pStyle w:val="TableParagraph"/>
              <w:rPr>
                <w:sz w:val="12"/>
              </w:rPr>
            </w:pPr>
          </w:p>
        </w:tc>
        <w:tc>
          <w:tcPr>
            <w:tcW w:w="779" w:type="dxa"/>
            <w:tcBorders>
              <w:bottom w:val="double" w:sz="6" w:space="0" w:color="000000"/>
            </w:tcBorders>
          </w:tcPr>
          <w:p>
            <w:pPr>
              <w:pStyle w:val="TableParagraph"/>
              <w:rPr>
                <w:sz w:val="12"/>
              </w:rPr>
            </w:pPr>
          </w:p>
        </w:tc>
        <w:tc>
          <w:tcPr>
            <w:tcW w:w="1230" w:type="dxa"/>
            <w:gridSpan w:val="3"/>
            <w:tcBorders>
              <w:bottom w:val="double" w:sz="6" w:space="0" w:color="000000"/>
            </w:tcBorders>
          </w:tcPr>
          <w:p>
            <w:pPr>
              <w:pStyle w:val="TableParagraph"/>
              <w:rPr>
                <w:sz w:val="12"/>
              </w:rPr>
            </w:pPr>
          </w:p>
        </w:tc>
        <w:tc>
          <w:tcPr>
            <w:tcW w:w="929" w:type="dxa"/>
            <w:tcBorders>
              <w:bottom w:val="double" w:sz="6" w:space="0" w:color="000000"/>
            </w:tcBorders>
          </w:tcPr>
          <w:p>
            <w:pPr>
              <w:pStyle w:val="TableParagraph"/>
              <w:rPr>
                <w:sz w:val="12"/>
              </w:rPr>
            </w:pPr>
          </w:p>
        </w:tc>
        <w:tc>
          <w:tcPr>
            <w:tcW w:w="668" w:type="dxa"/>
            <w:tcBorders>
              <w:bottom w:val="double" w:sz="6" w:space="0" w:color="000000"/>
            </w:tcBorders>
          </w:tcPr>
          <w:p>
            <w:pPr>
              <w:pStyle w:val="TableParagraph"/>
              <w:rPr>
                <w:sz w:val="12"/>
              </w:rPr>
            </w:pPr>
          </w:p>
        </w:tc>
      </w:tr>
    </w:tbl>
    <w:p>
      <w:pPr>
        <w:pStyle w:val="BodyText"/>
        <w:spacing w:before="26"/>
        <w:rPr>
          <w:sz w:val="15"/>
        </w:rPr>
      </w:pPr>
    </w:p>
    <w:p>
      <w:pPr>
        <w:pStyle w:val="BodyText"/>
        <w:ind w:left="156"/>
      </w:pPr>
      <w:r>
        <w:rPr>
          <w:w w:val="105"/>
        </w:rPr>
        <w:t>The</w:t>
      </w:r>
      <w:r>
        <w:rPr>
          <w:spacing w:val="-11"/>
          <w:w w:val="105"/>
        </w:rPr>
        <w:t> </w:t>
      </w:r>
      <w:r>
        <w:rPr>
          <w:w w:val="105"/>
        </w:rPr>
        <w:t>weighted-average</w:t>
      </w:r>
      <w:r>
        <w:rPr>
          <w:spacing w:val="-10"/>
          <w:w w:val="105"/>
        </w:rPr>
        <w:t> </w:t>
      </w:r>
      <w:r>
        <w:rPr>
          <w:w w:val="105"/>
        </w:rPr>
        <w:t>assumptions</w:t>
      </w:r>
      <w:r>
        <w:rPr>
          <w:spacing w:val="-10"/>
          <w:w w:val="105"/>
        </w:rPr>
        <w:t> </w:t>
      </w:r>
      <w:r>
        <w:rPr>
          <w:w w:val="105"/>
        </w:rPr>
        <w:t>used</w:t>
      </w:r>
      <w:r>
        <w:rPr>
          <w:spacing w:val="-10"/>
          <w:w w:val="105"/>
        </w:rPr>
        <w:t> </w:t>
      </w:r>
      <w:r>
        <w:rPr>
          <w:w w:val="105"/>
        </w:rPr>
        <w:t>to</w:t>
      </w:r>
      <w:r>
        <w:rPr>
          <w:spacing w:val="-10"/>
          <w:w w:val="105"/>
        </w:rPr>
        <w:t> </w:t>
      </w:r>
      <w:r>
        <w:rPr>
          <w:w w:val="105"/>
        </w:rPr>
        <w:t>determine</w:t>
      </w:r>
      <w:r>
        <w:rPr>
          <w:spacing w:val="-10"/>
          <w:w w:val="105"/>
        </w:rPr>
        <w:t> </w:t>
      </w:r>
      <w:r>
        <w:rPr>
          <w:w w:val="105"/>
        </w:rPr>
        <w:t>net</w:t>
      </w:r>
      <w:r>
        <w:rPr>
          <w:spacing w:val="-10"/>
          <w:w w:val="105"/>
        </w:rPr>
        <w:t> </w:t>
      </w:r>
      <w:r>
        <w:rPr>
          <w:w w:val="105"/>
        </w:rPr>
        <w:t>periodic</w:t>
      </w:r>
      <w:r>
        <w:rPr>
          <w:spacing w:val="-10"/>
          <w:w w:val="105"/>
        </w:rPr>
        <w:t> </w:t>
      </w:r>
      <w:r>
        <w:rPr>
          <w:w w:val="105"/>
        </w:rPr>
        <w:t>benefit</w:t>
      </w:r>
      <w:r>
        <w:rPr>
          <w:spacing w:val="-10"/>
          <w:w w:val="105"/>
        </w:rPr>
        <w:t> </w:t>
      </w:r>
      <w:r>
        <w:rPr>
          <w:w w:val="105"/>
        </w:rPr>
        <w:t>(income)</w:t>
      </w:r>
      <w:r>
        <w:rPr>
          <w:spacing w:val="-10"/>
          <w:w w:val="105"/>
        </w:rPr>
        <w:t> </w:t>
      </w:r>
      <w:r>
        <w:rPr>
          <w:w w:val="105"/>
        </w:rPr>
        <w:t>expense</w:t>
      </w:r>
      <w:r>
        <w:rPr>
          <w:spacing w:val="-10"/>
          <w:w w:val="105"/>
        </w:rPr>
        <w:t> </w:t>
      </w:r>
      <w:r>
        <w:rPr>
          <w:w w:val="105"/>
        </w:rPr>
        <w:t>were</w:t>
      </w:r>
      <w:r>
        <w:rPr>
          <w:spacing w:val="-10"/>
          <w:w w:val="105"/>
        </w:rPr>
        <w:t> </w:t>
      </w:r>
      <w:r>
        <w:rPr>
          <w:w w:val="105"/>
        </w:rPr>
        <w:t>as</w:t>
      </w:r>
      <w:r>
        <w:rPr>
          <w:spacing w:val="-10"/>
          <w:w w:val="105"/>
        </w:rPr>
        <w:t> </w:t>
      </w:r>
      <w:r>
        <w:rPr>
          <w:spacing w:val="-2"/>
          <w:w w:val="105"/>
        </w:rPr>
        <w:t>follows:</w:t>
      </w:r>
    </w:p>
    <w:p>
      <w:pPr>
        <w:pStyle w:val="BodyText"/>
        <w:spacing w:before="3"/>
        <w:rPr>
          <w:sz w:val="9"/>
        </w:rPr>
      </w:pPr>
      <w:r>
        <w:rPr/>
        <mc:AlternateContent>
          <mc:Choice Requires="wps">
            <w:drawing>
              <wp:anchor distT="0" distB="0" distL="0" distR="0" allowOverlap="1" layoutInCell="1" locked="0" behindDoc="1" simplePos="0" relativeHeight="487713792">
                <wp:simplePos x="0" y="0"/>
                <wp:positionH relativeFrom="page">
                  <wp:posOffset>226479</wp:posOffset>
                </wp:positionH>
                <wp:positionV relativeFrom="paragraph">
                  <wp:posOffset>83390</wp:posOffset>
                </wp:positionV>
                <wp:extent cx="7312659" cy="16510"/>
                <wp:effectExtent l="0" t="0" r="0" b="0"/>
                <wp:wrapTopAndBottom/>
                <wp:docPr id="515" name="Graphic 515"/>
                <wp:cNvGraphicFramePr>
                  <a:graphicFrameLocks/>
                </wp:cNvGraphicFramePr>
                <a:graphic>
                  <a:graphicData uri="http://schemas.microsoft.com/office/word/2010/wordprocessingShape">
                    <wps:wsp>
                      <wps:cNvPr id="515" name="Graphic 515"/>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66214pt;width:575.775027pt;height:1.274pt;mso-position-horizontal-relative:page;mso-position-vertical-relative:paragraph;z-index:-15602688;mso-wrap-distance-left:0;mso-wrap-distance-right:0" id="docshape514" filled="true" fillcolor="#000000" stroked="false">
                <v:fill type="solid"/>
                <w10:wrap type="topAndBottom"/>
              </v:rect>
            </w:pict>
          </mc:Fallback>
        </mc:AlternateContent>
      </w:r>
    </w:p>
    <w:p>
      <w:pPr>
        <w:spacing w:before="0" w:after="25"/>
        <w:ind w:left="316" w:right="0" w:firstLine="0"/>
        <w:jc w:val="center"/>
        <w:rPr>
          <w:sz w:val="15"/>
        </w:rPr>
      </w:pPr>
      <w:r>
        <w:rPr>
          <w:sz w:val="15"/>
        </w:rPr>
        <w:t>Pension</w:t>
      </w:r>
      <w:r>
        <w:rPr>
          <w:spacing w:val="4"/>
          <w:sz w:val="15"/>
        </w:rPr>
        <w:t> </w:t>
      </w:r>
      <w:r>
        <w:rPr>
          <w:spacing w:val="-2"/>
          <w:sz w:val="15"/>
        </w:rPr>
        <w:t>benefits</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6"/>
        <w:gridCol w:w="1073"/>
        <w:gridCol w:w="867"/>
        <w:gridCol w:w="115"/>
        <w:gridCol w:w="697"/>
        <w:gridCol w:w="1180"/>
        <w:gridCol w:w="825"/>
        <w:gridCol w:w="115"/>
        <w:gridCol w:w="539"/>
        <w:gridCol w:w="1497"/>
        <w:gridCol w:w="666"/>
      </w:tblGrid>
      <w:tr>
        <w:trPr>
          <w:trHeight w:val="188" w:hRule="atLeast"/>
        </w:trPr>
        <w:tc>
          <w:tcPr>
            <w:tcW w:w="3946" w:type="dxa"/>
          </w:tcPr>
          <w:p>
            <w:pPr>
              <w:pStyle w:val="TableParagraph"/>
              <w:rPr>
                <w:sz w:val="12"/>
              </w:rPr>
            </w:pPr>
          </w:p>
        </w:tc>
        <w:tc>
          <w:tcPr>
            <w:tcW w:w="1073" w:type="dxa"/>
            <w:tcBorders>
              <w:top w:val="single" w:sz="6" w:space="0" w:color="000000"/>
              <w:bottom w:val="single" w:sz="6" w:space="0" w:color="000000"/>
            </w:tcBorders>
          </w:tcPr>
          <w:p>
            <w:pPr>
              <w:pStyle w:val="TableParagraph"/>
              <w:spacing w:line="169" w:lineRule="exact"/>
              <w:ind w:left="15" w:right="13"/>
              <w:jc w:val="center"/>
              <w:rPr>
                <w:sz w:val="15"/>
              </w:rPr>
            </w:pPr>
            <w:r>
              <w:rPr>
                <w:spacing w:val="-2"/>
                <w:sz w:val="15"/>
              </w:rPr>
              <w:t>Domestic</w:t>
            </w:r>
          </w:p>
        </w:tc>
        <w:tc>
          <w:tcPr>
            <w:tcW w:w="867" w:type="dxa"/>
            <w:tcBorders>
              <w:top w:val="single" w:sz="6" w:space="0" w:color="000000"/>
              <w:bottom w:val="single" w:sz="6" w:space="0" w:color="000000"/>
            </w:tcBorders>
          </w:tcPr>
          <w:p>
            <w:pPr>
              <w:pStyle w:val="TableParagraph"/>
              <w:rPr>
                <w:sz w:val="12"/>
              </w:rPr>
            </w:pPr>
          </w:p>
        </w:tc>
        <w:tc>
          <w:tcPr>
            <w:tcW w:w="115" w:type="dxa"/>
            <w:tcBorders>
              <w:top w:val="single" w:sz="6" w:space="0" w:color="000000"/>
            </w:tcBorders>
          </w:tcPr>
          <w:p>
            <w:pPr>
              <w:pStyle w:val="TableParagraph"/>
              <w:rPr>
                <w:sz w:val="12"/>
              </w:rPr>
            </w:pPr>
          </w:p>
        </w:tc>
        <w:tc>
          <w:tcPr>
            <w:tcW w:w="697" w:type="dxa"/>
            <w:tcBorders>
              <w:top w:val="single" w:sz="6" w:space="0" w:color="000000"/>
              <w:bottom w:val="single" w:sz="6" w:space="0" w:color="000000"/>
            </w:tcBorders>
          </w:tcPr>
          <w:p>
            <w:pPr>
              <w:pStyle w:val="TableParagraph"/>
              <w:rPr>
                <w:sz w:val="12"/>
              </w:rPr>
            </w:pPr>
          </w:p>
        </w:tc>
        <w:tc>
          <w:tcPr>
            <w:tcW w:w="1180" w:type="dxa"/>
            <w:tcBorders>
              <w:top w:val="single" w:sz="6" w:space="0" w:color="000000"/>
              <w:bottom w:val="single" w:sz="6" w:space="0" w:color="000000"/>
            </w:tcBorders>
          </w:tcPr>
          <w:p>
            <w:pPr>
              <w:pStyle w:val="TableParagraph"/>
              <w:spacing w:line="169" w:lineRule="exact"/>
              <w:ind w:left="197"/>
              <w:rPr>
                <w:sz w:val="15"/>
              </w:rPr>
            </w:pPr>
            <w:r>
              <w:rPr>
                <w:spacing w:val="-2"/>
                <w:sz w:val="15"/>
              </w:rPr>
              <w:t>International</w:t>
            </w:r>
          </w:p>
        </w:tc>
        <w:tc>
          <w:tcPr>
            <w:tcW w:w="825" w:type="dxa"/>
            <w:tcBorders>
              <w:top w:val="single" w:sz="6" w:space="0" w:color="000000"/>
              <w:bottom w:val="single" w:sz="6" w:space="0" w:color="000000"/>
            </w:tcBorders>
          </w:tcPr>
          <w:p>
            <w:pPr>
              <w:pStyle w:val="TableParagraph"/>
              <w:rPr>
                <w:sz w:val="12"/>
              </w:rPr>
            </w:pPr>
          </w:p>
        </w:tc>
        <w:tc>
          <w:tcPr>
            <w:tcW w:w="115" w:type="dxa"/>
          </w:tcPr>
          <w:p>
            <w:pPr>
              <w:pStyle w:val="TableParagraph"/>
              <w:rPr>
                <w:sz w:val="12"/>
              </w:rPr>
            </w:pPr>
          </w:p>
        </w:tc>
        <w:tc>
          <w:tcPr>
            <w:tcW w:w="539" w:type="dxa"/>
            <w:tcBorders>
              <w:bottom w:val="single" w:sz="6" w:space="0" w:color="000000"/>
            </w:tcBorders>
          </w:tcPr>
          <w:p>
            <w:pPr>
              <w:pStyle w:val="TableParagraph"/>
              <w:rPr>
                <w:sz w:val="12"/>
              </w:rPr>
            </w:pPr>
          </w:p>
        </w:tc>
        <w:tc>
          <w:tcPr>
            <w:tcW w:w="1497" w:type="dxa"/>
            <w:tcBorders>
              <w:bottom w:val="single" w:sz="6" w:space="0" w:color="000000"/>
            </w:tcBorders>
          </w:tcPr>
          <w:p>
            <w:pPr>
              <w:pStyle w:val="TableParagraph"/>
              <w:spacing w:line="169" w:lineRule="exact"/>
              <w:ind w:left="17" w:right="22"/>
              <w:jc w:val="center"/>
              <w:rPr>
                <w:sz w:val="15"/>
              </w:rPr>
            </w:pPr>
            <w:r>
              <w:rPr>
                <w:sz w:val="15"/>
              </w:rPr>
              <w:t>Postretirement</w:t>
            </w:r>
            <w:r>
              <w:rPr>
                <w:spacing w:val="8"/>
                <w:sz w:val="15"/>
              </w:rPr>
              <w:t> </w:t>
            </w:r>
            <w:r>
              <w:rPr>
                <w:spacing w:val="-2"/>
                <w:sz w:val="15"/>
              </w:rPr>
              <w:t>benefits</w:t>
            </w:r>
          </w:p>
        </w:tc>
        <w:tc>
          <w:tcPr>
            <w:tcW w:w="666" w:type="dxa"/>
            <w:tcBorders>
              <w:bottom w:val="single" w:sz="6" w:space="0" w:color="000000"/>
            </w:tcBorders>
          </w:tcPr>
          <w:p>
            <w:pPr>
              <w:pStyle w:val="TableParagraph"/>
              <w:rPr>
                <w:sz w:val="12"/>
              </w:rPr>
            </w:pPr>
          </w:p>
        </w:tc>
      </w:tr>
      <w:tr>
        <w:trPr>
          <w:trHeight w:val="188" w:hRule="atLeast"/>
        </w:trPr>
        <w:tc>
          <w:tcPr>
            <w:tcW w:w="3946" w:type="dxa"/>
            <w:tcBorders>
              <w:bottom w:val="single" w:sz="6" w:space="0" w:color="000000"/>
            </w:tcBorders>
          </w:tcPr>
          <w:p>
            <w:pPr>
              <w:pStyle w:val="TableParagraph"/>
              <w:spacing w:line="169" w:lineRule="exact"/>
              <w:ind w:right="243"/>
              <w:jc w:val="right"/>
              <w:rPr>
                <w:b/>
                <w:sz w:val="15"/>
              </w:rPr>
            </w:pPr>
            <w:r>
              <w:rPr>
                <w:b/>
                <w:spacing w:val="-4"/>
                <w:sz w:val="15"/>
              </w:rPr>
              <w:t>2021</w:t>
            </w:r>
          </w:p>
        </w:tc>
        <w:tc>
          <w:tcPr>
            <w:tcW w:w="1073" w:type="dxa"/>
            <w:tcBorders>
              <w:top w:val="single" w:sz="6" w:space="0" w:color="000000"/>
              <w:bottom w:val="single" w:sz="6" w:space="0" w:color="000000"/>
            </w:tcBorders>
          </w:tcPr>
          <w:p>
            <w:pPr>
              <w:pStyle w:val="TableParagraph"/>
              <w:spacing w:line="169" w:lineRule="exact"/>
              <w:ind w:left="15"/>
              <w:jc w:val="center"/>
              <w:rPr>
                <w:sz w:val="15"/>
              </w:rPr>
            </w:pPr>
            <w:r>
              <w:rPr>
                <w:spacing w:val="-4"/>
                <w:sz w:val="15"/>
              </w:rPr>
              <w:t>2020</w:t>
            </w:r>
          </w:p>
        </w:tc>
        <w:tc>
          <w:tcPr>
            <w:tcW w:w="867" w:type="dxa"/>
            <w:tcBorders>
              <w:top w:val="single" w:sz="6" w:space="0" w:color="000000"/>
              <w:bottom w:val="single" w:sz="6" w:space="0" w:color="000000"/>
            </w:tcBorders>
          </w:tcPr>
          <w:p>
            <w:pPr>
              <w:pStyle w:val="TableParagraph"/>
              <w:spacing w:line="169" w:lineRule="exact"/>
              <w:ind w:left="241"/>
              <w:rPr>
                <w:sz w:val="15"/>
              </w:rPr>
            </w:pPr>
            <w:r>
              <w:rPr>
                <w:spacing w:val="-4"/>
                <w:sz w:val="15"/>
              </w:rPr>
              <w:t>2019</w:t>
            </w:r>
          </w:p>
        </w:tc>
        <w:tc>
          <w:tcPr>
            <w:tcW w:w="115" w:type="dxa"/>
            <w:tcBorders>
              <w:bottom w:val="single" w:sz="6" w:space="0" w:color="000000"/>
            </w:tcBorders>
          </w:tcPr>
          <w:p>
            <w:pPr>
              <w:pStyle w:val="TableParagraph"/>
              <w:rPr>
                <w:sz w:val="12"/>
              </w:rPr>
            </w:pPr>
          </w:p>
        </w:tc>
        <w:tc>
          <w:tcPr>
            <w:tcW w:w="697" w:type="dxa"/>
            <w:tcBorders>
              <w:top w:val="single" w:sz="6" w:space="0" w:color="000000"/>
              <w:bottom w:val="single" w:sz="6" w:space="0" w:color="000000"/>
            </w:tcBorders>
          </w:tcPr>
          <w:p>
            <w:pPr>
              <w:pStyle w:val="TableParagraph"/>
              <w:spacing w:line="169" w:lineRule="exact"/>
              <w:ind w:left="189"/>
              <w:rPr>
                <w:b/>
                <w:sz w:val="15"/>
              </w:rPr>
            </w:pPr>
            <w:r>
              <w:rPr>
                <w:b/>
                <w:spacing w:val="-4"/>
                <w:sz w:val="15"/>
              </w:rPr>
              <w:t>2021</w:t>
            </w:r>
          </w:p>
        </w:tc>
        <w:tc>
          <w:tcPr>
            <w:tcW w:w="1180" w:type="dxa"/>
            <w:tcBorders>
              <w:top w:val="single" w:sz="6" w:space="0" w:color="000000"/>
              <w:bottom w:val="single" w:sz="6" w:space="0" w:color="000000"/>
            </w:tcBorders>
          </w:tcPr>
          <w:p>
            <w:pPr>
              <w:pStyle w:val="TableParagraph"/>
              <w:spacing w:line="169" w:lineRule="exact"/>
              <w:ind w:left="22"/>
              <w:jc w:val="center"/>
              <w:rPr>
                <w:sz w:val="15"/>
              </w:rPr>
            </w:pPr>
            <w:r>
              <w:rPr>
                <w:spacing w:val="-4"/>
                <w:sz w:val="15"/>
              </w:rPr>
              <w:t>2020</w:t>
            </w:r>
          </w:p>
        </w:tc>
        <w:tc>
          <w:tcPr>
            <w:tcW w:w="825" w:type="dxa"/>
            <w:tcBorders>
              <w:top w:val="single" w:sz="6" w:space="0" w:color="000000"/>
              <w:bottom w:val="single" w:sz="6" w:space="0" w:color="000000"/>
            </w:tcBorders>
          </w:tcPr>
          <w:p>
            <w:pPr>
              <w:pStyle w:val="TableParagraph"/>
              <w:spacing w:line="169" w:lineRule="exact"/>
              <w:ind w:left="198"/>
              <w:rPr>
                <w:sz w:val="15"/>
              </w:rPr>
            </w:pPr>
            <w:r>
              <w:rPr>
                <w:spacing w:val="-4"/>
                <w:sz w:val="15"/>
              </w:rPr>
              <w:t>2019</w:t>
            </w:r>
          </w:p>
        </w:tc>
        <w:tc>
          <w:tcPr>
            <w:tcW w:w="115" w:type="dxa"/>
            <w:tcBorders>
              <w:bottom w:val="single" w:sz="6" w:space="0" w:color="000000"/>
            </w:tcBorders>
          </w:tcPr>
          <w:p>
            <w:pPr>
              <w:pStyle w:val="TableParagraph"/>
              <w:rPr>
                <w:sz w:val="12"/>
              </w:rPr>
            </w:pPr>
          </w:p>
        </w:tc>
        <w:tc>
          <w:tcPr>
            <w:tcW w:w="539" w:type="dxa"/>
            <w:tcBorders>
              <w:top w:val="single" w:sz="6" w:space="0" w:color="000000"/>
              <w:bottom w:val="single" w:sz="6" w:space="0" w:color="000000"/>
            </w:tcBorders>
          </w:tcPr>
          <w:p>
            <w:pPr>
              <w:pStyle w:val="TableParagraph"/>
              <w:spacing w:line="169" w:lineRule="exact"/>
              <w:ind w:left="188"/>
              <w:rPr>
                <w:b/>
                <w:sz w:val="15"/>
              </w:rPr>
            </w:pPr>
            <w:r>
              <w:rPr>
                <w:b/>
                <w:spacing w:val="-4"/>
                <w:sz w:val="15"/>
              </w:rPr>
              <w:t>2021</w:t>
            </w:r>
          </w:p>
        </w:tc>
        <w:tc>
          <w:tcPr>
            <w:tcW w:w="1497" w:type="dxa"/>
            <w:tcBorders>
              <w:top w:val="single" w:sz="6" w:space="0" w:color="000000"/>
              <w:bottom w:val="single" w:sz="6" w:space="0" w:color="000000"/>
            </w:tcBorders>
          </w:tcPr>
          <w:p>
            <w:pPr>
              <w:pStyle w:val="TableParagraph"/>
              <w:spacing w:line="169" w:lineRule="exact"/>
              <w:ind w:left="22" w:right="5"/>
              <w:jc w:val="center"/>
              <w:rPr>
                <w:sz w:val="15"/>
              </w:rPr>
            </w:pPr>
            <w:r>
              <w:rPr>
                <w:spacing w:val="-4"/>
                <w:sz w:val="15"/>
              </w:rPr>
              <w:t>2020</w:t>
            </w:r>
          </w:p>
        </w:tc>
        <w:tc>
          <w:tcPr>
            <w:tcW w:w="666" w:type="dxa"/>
            <w:tcBorders>
              <w:top w:val="single" w:sz="6" w:space="0" w:color="000000"/>
              <w:bottom w:val="single" w:sz="6" w:space="0" w:color="000000"/>
            </w:tcBorders>
          </w:tcPr>
          <w:p>
            <w:pPr>
              <w:pStyle w:val="TableParagraph"/>
              <w:spacing w:line="169" w:lineRule="exact"/>
              <w:ind w:left="37"/>
              <w:rPr>
                <w:sz w:val="15"/>
              </w:rPr>
            </w:pPr>
            <w:r>
              <w:rPr>
                <w:spacing w:val="-4"/>
                <w:sz w:val="15"/>
              </w:rPr>
              <w:t>2019</w:t>
            </w:r>
          </w:p>
        </w:tc>
      </w:tr>
      <w:tr>
        <w:trPr>
          <w:trHeight w:val="189" w:hRule="atLeast"/>
        </w:trPr>
        <w:tc>
          <w:tcPr>
            <w:tcW w:w="5019" w:type="dxa"/>
            <w:gridSpan w:val="2"/>
            <w:tcBorders>
              <w:top w:val="single" w:sz="6" w:space="0" w:color="000000"/>
            </w:tcBorders>
            <w:shd w:val="clear" w:color="auto" w:fill="CCEDFF"/>
          </w:tcPr>
          <w:p>
            <w:pPr>
              <w:pStyle w:val="TableParagraph"/>
              <w:tabs>
                <w:tab w:pos="3617" w:val="left" w:leader="none"/>
                <w:tab w:pos="4560" w:val="left" w:leader="none"/>
              </w:tabs>
              <w:spacing w:line="170" w:lineRule="exact"/>
              <w:rPr>
                <w:sz w:val="15"/>
              </w:rPr>
            </w:pPr>
            <w:r>
              <w:rPr>
                <w:sz w:val="15"/>
              </w:rPr>
              <w:t>Discount</w:t>
            </w:r>
            <w:r>
              <w:rPr>
                <w:spacing w:val="-2"/>
                <w:sz w:val="15"/>
              </w:rPr>
              <w:t> </w:t>
            </w:r>
            <w:r>
              <w:rPr>
                <w:spacing w:val="-4"/>
                <w:sz w:val="15"/>
              </w:rPr>
              <w:t>rate</w:t>
            </w:r>
            <w:r>
              <w:rPr>
                <w:sz w:val="15"/>
              </w:rPr>
              <w:tab/>
            </w:r>
            <w:r>
              <w:rPr>
                <w:b/>
                <w:spacing w:val="-2"/>
                <w:sz w:val="15"/>
              </w:rPr>
              <w:t>2.50%</w:t>
            </w:r>
            <w:r>
              <w:rPr>
                <w:b/>
                <w:sz w:val="15"/>
              </w:rPr>
              <w:tab/>
            </w:r>
            <w:r>
              <w:rPr>
                <w:spacing w:val="-2"/>
                <w:sz w:val="15"/>
              </w:rPr>
              <w:t>3.28%</w:t>
            </w:r>
          </w:p>
        </w:tc>
        <w:tc>
          <w:tcPr>
            <w:tcW w:w="867" w:type="dxa"/>
            <w:tcBorders>
              <w:top w:val="single" w:sz="6" w:space="0" w:color="000000"/>
            </w:tcBorders>
            <w:shd w:val="clear" w:color="auto" w:fill="CCEDFF"/>
          </w:tcPr>
          <w:p>
            <w:pPr>
              <w:pStyle w:val="TableParagraph"/>
              <w:spacing w:line="170" w:lineRule="exact"/>
              <w:ind w:left="471"/>
              <w:rPr>
                <w:sz w:val="15"/>
              </w:rPr>
            </w:pPr>
            <w:r>
              <w:rPr>
                <w:spacing w:val="-2"/>
                <w:sz w:val="15"/>
              </w:rPr>
              <w:t>4.28%</w:t>
            </w:r>
          </w:p>
        </w:tc>
        <w:tc>
          <w:tcPr>
            <w:tcW w:w="115" w:type="dxa"/>
            <w:tcBorders>
              <w:top w:val="single" w:sz="6" w:space="0" w:color="000000"/>
            </w:tcBorders>
            <w:shd w:val="clear" w:color="auto" w:fill="CCEDFF"/>
          </w:tcPr>
          <w:p>
            <w:pPr>
              <w:pStyle w:val="TableParagraph"/>
              <w:rPr>
                <w:sz w:val="12"/>
              </w:rPr>
            </w:pPr>
          </w:p>
        </w:tc>
        <w:tc>
          <w:tcPr>
            <w:tcW w:w="697" w:type="dxa"/>
            <w:tcBorders>
              <w:top w:val="single" w:sz="6" w:space="0" w:color="000000"/>
            </w:tcBorders>
            <w:shd w:val="clear" w:color="auto" w:fill="CCEDFF"/>
          </w:tcPr>
          <w:p>
            <w:pPr>
              <w:pStyle w:val="TableParagraph"/>
              <w:spacing w:line="170" w:lineRule="exact"/>
              <w:ind w:left="419"/>
              <w:rPr>
                <w:b/>
                <w:sz w:val="15"/>
              </w:rPr>
            </w:pPr>
            <w:r>
              <w:rPr>
                <w:b/>
                <w:spacing w:val="-4"/>
                <w:sz w:val="15"/>
              </w:rPr>
              <w:t>1.02</w:t>
            </w:r>
          </w:p>
        </w:tc>
        <w:tc>
          <w:tcPr>
            <w:tcW w:w="1180" w:type="dxa"/>
            <w:tcBorders>
              <w:top w:val="single" w:sz="6" w:space="0" w:color="000000"/>
            </w:tcBorders>
            <w:shd w:val="clear" w:color="auto" w:fill="CCEDFF"/>
          </w:tcPr>
          <w:p>
            <w:pPr>
              <w:pStyle w:val="TableParagraph"/>
              <w:tabs>
                <w:tab w:pos="677" w:val="left" w:leader="none"/>
              </w:tabs>
              <w:spacing w:line="170" w:lineRule="exact"/>
              <w:ind w:left="-11"/>
              <w:rPr>
                <w:sz w:val="15"/>
              </w:rPr>
            </w:pPr>
            <w:r>
              <w:rPr>
                <w:b/>
                <w:spacing w:val="-10"/>
                <w:sz w:val="15"/>
              </w:rPr>
              <w:t>%</w:t>
            </w:r>
            <w:r>
              <w:rPr>
                <w:b/>
                <w:sz w:val="15"/>
              </w:rPr>
              <w:tab/>
            </w:r>
            <w:r>
              <w:rPr>
                <w:spacing w:val="-2"/>
                <w:sz w:val="15"/>
              </w:rPr>
              <w:t>1.34%</w:t>
            </w:r>
          </w:p>
        </w:tc>
        <w:tc>
          <w:tcPr>
            <w:tcW w:w="825" w:type="dxa"/>
            <w:tcBorders>
              <w:top w:val="single" w:sz="6" w:space="0" w:color="000000"/>
            </w:tcBorders>
            <w:shd w:val="clear" w:color="auto" w:fill="CCEDFF"/>
          </w:tcPr>
          <w:p>
            <w:pPr>
              <w:pStyle w:val="TableParagraph"/>
              <w:spacing w:line="170" w:lineRule="exact"/>
              <w:ind w:left="427"/>
              <w:rPr>
                <w:sz w:val="15"/>
              </w:rPr>
            </w:pPr>
            <w:r>
              <w:rPr>
                <w:spacing w:val="-2"/>
                <w:sz w:val="15"/>
              </w:rPr>
              <w:t>1.96%</w:t>
            </w:r>
          </w:p>
        </w:tc>
        <w:tc>
          <w:tcPr>
            <w:tcW w:w="115" w:type="dxa"/>
            <w:tcBorders>
              <w:top w:val="single" w:sz="6" w:space="0" w:color="000000"/>
            </w:tcBorders>
            <w:shd w:val="clear" w:color="auto" w:fill="CCEDFF"/>
          </w:tcPr>
          <w:p>
            <w:pPr>
              <w:pStyle w:val="TableParagraph"/>
              <w:rPr>
                <w:sz w:val="12"/>
              </w:rPr>
            </w:pPr>
          </w:p>
        </w:tc>
        <w:tc>
          <w:tcPr>
            <w:tcW w:w="2036" w:type="dxa"/>
            <w:gridSpan w:val="2"/>
            <w:tcBorders>
              <w:top w:val="single" w:sz="6" w:space="0" w:color="000000"/>
            </w:tcBorders>
            <w:shd w:val="clear" w:color="auto" w:fill="CCEDFF"/>
          </w:tcPr>
          <w:p>
            <w:pPr>
              <w:pStyle w:val="TableParagraph"/>
              <w:tabs>
                <w:tab w:pos="1372" w:val="left" w:leader="none"/>
              </w:tabs>
              <w:spacing w:line="170" w:lineRule="exact"/>
              <w:ind w:left="417"/>
              <w:rPr>
                <w:sz w:val="15"/>
              </w:rPr>
            </w:pPr>
            <w:r>
              <w:rPr>
                <w:b/>
                <w:spacing w:val="-2"/>
                <w:sz w:val="15"/>
              </w:rPr>
              <w:t>2.69%</w:t>
            </w:r>
            <w:r>
              <w:rPr>
                <w:b/>
                <w:sz w:val="15"/>
              </w:rPr>
              <w:tab/>
            </w:r>
            <w:r>
              <w:rPr>
                <w:spacing w:val="-2"/>
                <w:sz w:val="15"/>
              </w:rPr>
              <w:t>3.41%</w:t>
            </w:r>
          </w:p>
        </w:tc>
        <w:tc>
          <w:tcPr>
            <w:tcW w:w="666" w:type="dxa"/>
            <w:tcBorders>
              <w:top w:val="single" w:sz="6" w:space="0" w:color="000000"/>
            </w:tcBorders>
            <w:shd w:val="clear" w:color="auto" w:fill="CCEDFF"/>
          </w:tcPr>
          <w:p>
            <w:pPr>
              <w:pStyle w:val="TableParagraph"/>
              <w:spacing w:line="170" w:lineRule="exact"/>
              <w:ind w:left="266"/>
              <w:rPr>
                <w:sz w:val="15"/>
              </w:rPr>
            </w:pPr>
            <w:r>
              <w:rPr>
                <w:spacing w:val="-2"/>
                <w:sz w:val="15"/>
              </w:rPr>
              <w:t>4.33%</w:t>
            </w:r>
          </w:p>
        </w:tc>
      </w:tr>
    </w:tbl>
    <w:p>
      <w:pPr>
        <w:tabs>
          <w:tab w:pos="3774" w:val="left" w:leader="none"/>
          <w:tab w:pos="4716" w:val="left" w:leader="none"/>
          <w:tab w:pos="5646" w:val="left" w:leader="none"/>
          <w:tab w:pos="6576" w:val="left" w:leader="none"/>
          <w:tab w:pos="7532" w:val="left" w:leader="none"/>
          <w:tab w:pos="8462" w:val="left" w:leader="none"/>
        </w:tabs>
        <w:spacing w:before="0"/>
        <w:ind w:left="156" w:right="0" w:firstLine="0"/>
        <w:jc w:val="left"/>
        <w:rPr>
          <w:sz w:val="15"/>
        </w:rPr>
      </w:pPr>
      <w:r>
        <w:rPr/>
        <mc:AlternateContent>
          <mc:Choice Requires="wps">
            <w:drawing>
              <wp:anchor distT="0" distB="0" distL="0" distR="0" allowOverlap="1" layoutInCell="1" locked="0" behindDoc="1" simplePos="0" relativeHeight="487714304">
                <wp:simplePos x="0" y="0"/>
                <wp:positionH relativeFrom="page">
                  <wp:posOffset>226488</wp:posOffset>
                </wp:positionH>
                <wp:positionV relativeFrom="paragraph">
                  <wp:posOffset>118204</wp:posOffset>
                </wp:positionV>
                <wp:extent cx="7312659" cy="121920"/>
                <wp:effectExtent l="0" t="0" r="0" b="0"/>
                <wp:wrapTopAndBottom/>
                <wp:docPr id="516" name="Textbox 516"/>
                <wp:cNvGraphicFramePr>
                  <a:graphicFrameLocks/>
                </wp:cNvGraphicFramePr>
                <a:graphic>
                  <a:graphicData uri="http://schemas.microsoft.com/office/word/2010/wordprocessingShape">
                    <wps:wsp>
                      <wps:cNvPr id="516" name="Textbox 516"/>
                      <wps:cNvSpPr txBox="1"/>
                      <wps:spPr>
                        <a:xfrm>
                          <a:off x="0" y="0"/>
                          <a:ext cx="7312659" cy="121920"/>
                        </a:xfrm>
                        <a:prstGeom prst="rect">
                          <a:avLst/>
                        </a:prstGeom>
                        <a:solidFill>
                          <a:srgbClr val="CCEDFF"/>
                        </a:solidFill>
                      </wps:spPr>
                      <wps:txbx>
                        <w:txbxContent>
                          <w:p>
                            <w:pPr>
                              <w:tabs>
                                <w:tab w:pos="3617" w:val="left" w:leader="none"/>
                                <w:tab w:pos="4560" w:val="left" w:leader="none"/>
                                <w:tab w:pos="5490" w:val="left" w:leader="none"/>
                                <w:tab w:pos="6420" w:val="left" w:leader="none"/>
                                <w:tab w:pos="7375" w:val="left" w:leader="none"/>
                                <w:tab w:pos="8305" w:val="left" w:leader="none"/>
                              </w:tabs>
                              <w:spacing w:before="0"/>
                              <w:ind w:left="0" w:right="0" w:firstLine="0"/>
                              <w:jc w:val="left"/>
                              <w:rPr>
                                <w:color w:val="000000"/>
                                <w:sz w:val="15"/>
                              </w:rPr>
                            </w:pPr>
                            <w:r>
                              <w:rPr>
                                <w:color w:val="000000"/>
                                <w:sz w:val="15"/>
                              </w:rPr>
                              <w:t>Rate</w:t>
                            </w:r>
                            <w:r>
                              <w:rPr>
                                <w:color w:val="000000"/>
                                <w:spacing w:val="4"/>
                                <w:sz w:val="15"/>
                              </w:rPr>
                              <w:t> </w:t>
                            </w:r>
                            <w:r>
                              <w:rPr>
                                <w:color w:val="000000"/>
                                <w:sz w:val="15"/>
                              </w:rPr>
                              <w:t>of</w:t>
                            </w:r>
                            <w:r>
                              <w:rPr>
                                <w:color w:val="000000"/>
                                <w:spacing w:val="4"/>
                                <w:sz w:val="15"/>
                              </w:rPr>
                              <w:t> </w:t>
                            </w:r>
                            <w:r>
                              <w:rPr>
                                <w:color w:val="000000"/>
                                <w:sz w:val="15"/>
                              </w:rPr>
                              <w:t>compensation</w:t>
                            </w:r>
                            <w:r>
                              <w:rPr>
                                <w:color w:val="000000"/>
                                <w:spacing w:val="4"/>
                                <w:sz w:val="15"/>
                              </w:rPr>
                              <w:t> </w:t>
                            </w:r>
                            <w:r>
                              <w:rPr>
                                <w:color w:val="000000"/>
                                <w:spacing w:val="-2"/>
                                <w:sz w:val="15"/>
                              </w:rPr>
                              <w:t>increase</w:t>
                            </w:r>
                            <w:r>
                              <w:rPr>
                                <w:color w:val="000000"/>
                                <w:sz w:val="15"/>
                              </w:rPr>
                              <w:tab/>
                            </w:r>
                            <w:r>
                              <w:rPr>
                                <w:b/>
                                <w:color w:val="000000"/>
                                <w:spacing w:val="-2"/>
                                <w:sz w:val="15"/>
                              </w:rPr>
                              <w:t>4.16%</w:t>
                            </w:r>
                            <w:r>
                              <w:rPr>
                                <w:b/>
                                <w:color w:val="000000"/>
                                <w:sz w:val="15"/>
                              </w:rPr>
                              <w:tab/>
                            </w:r>
                            <w:r>
                              <w:rPr>
                                <w:color w:val="000000"/>
                                <w:spacing w:val="-2"/>
                                <w:sz w:val="15"/>
                              </w:rPr>
                              <w:t>3.50%</w:t>
                            </w:r>
                            <w:r>
                              <w:rPr>
                                <w:color w:val="000000"/>
                                <w:sz w:val="15"/>
                              </w:rPr>
                              <w:tab/>
                            </w:r>
                            <w:r>
                              <w:rPr>
                                <w:color w:val="000000"/>
                                <w:spacing w:val="-2"/>
                                <w:sz w:val="15"/>
                              </w:rPr>
                              <w:t>3.50%</w:t>
                            </w:r>
                            <w:r>
                              <w:rPr>
                                <w:color w:val="000000"/>
                                <w:sz w:val="15"/>
                              </w:rPr>
                              <w:tab/>
                            </w:r>
                            <w:r>
                              <w:rPr>
                                <w:b/>
                                <w:color w:val="000000"/>
                                <w:spacing w:val="-2"/>
                                <w:sz w:val="15"/>
                              </w:rPr>
                              <w:t>3.55%</w:t>
                            </w:r>
                            <w:r>
                              <w:rPr>
                                <w:b/>
                                <w:color w:val="000000"/>
                                <w:sz w:val="15"/>
                              </w:rPr>
                              <w:tab/>
                            </w:r>
                            <w:r>
                              <w:rPr>
                                <w:color w:val="000000"/>
                                <w:spacing w:val="-2"/>
                                <w:sz w:val="15"/>
                              </w:rPr>
                              <w:t>2.96%</w:t>
                            </w:r>
                            <w:r>
                              <w:rPr>
                                <w:color w:val="000000"/>
                                <w:sz w:val="15"/>
                              </w:rPr>
                              <w:tab/>
                            </w:r>
                            <w:r>
                              <w:rPr>
                                <w:color w:val="000000"/>
                                <w:spacing w:val="-2"/>
                                <w:sz w:val="15"/>
                              </w:rPr>
                              <w:t>2.96%</w:t>
                            </w:r>
                          </w:p>
                        </w:txbxContent>
                      </wps:txbx>
                      <wps:bodyPr wrap="square" lIns="0" tIns="0" rIns="0" bIns="0" rtlCol="0">
                        <a:noAutofit/>
                      </wps:bodyPr>
                    </wps:wsp>
                  </a:graphicData>
                </a:graphic>
              </wp:anchor>
            </w:drawing>
          </mc:Choice>
          <mc:Fallback>
            <w:pict>
              <v:shape style="position:absolute;margin-left:17.833740pt;margin-top:9.307456pt;width:575.8pt;height:9.6pt;mso-position-horizontal-relative:page;mso-position-vertical-relative:paragraph;z-index:-15602176;mso-wrap-distance-left:0;mso-wrap-distance-right:0" type="#_x0000_t202" id="docshape515" filled="true" fillcolor="#ccedff" stroked="false">
                <v:textbox inset="0,0,0,0">
                  <w:txbxContent>
                    <w:p>
                      <w:pPr>
                        <w:tabs>
                          <w:tab w:pos="3617" w:val="left" w:leader="none"/>
                          <w:tab w:pos="4560" w:val="left" w:leader="none"/>
                          <w:tab w:pos="5490" w:val="left" w:leader="none"/>
                          <w:tab w:pos="6420" w:val="left" w:leader="none"/>
                          <w:tab w:pos="7375" w:val="left" w:leader="none"/>
                          <w:tab w:pos="8305" w:val="left" w:leader="none"/>
                        </w:tabs>
                        <w:spacing w:before="0"/>
                        <w:ind w:left="0" w:right="0" w:firstLine="0"/>
                        <w:jc w:val="left"/>
                        <w:rPr>
                          <w:color w:val="000000"/>
                          <w:sz w:val="15"/>
                        </w:rPr>
                      </w:pPr>
                      <w:r>
                        <w:rPr>
                          <w:color w:val="000000"/>
                          <w:sz w:val="15"/>
                        </w:rPr>
                        <w:t>Rate</w:t>
                      </w:r>
                      <w:r>
                        <w:rPr>
                          <w:color w:val="000000"/>
                          <w:spacing w:val="4"/>
                          <w:sz w:val="15"/>
                        </w:rPr>
                        <w:t> </w:t>
                      </w:r>
                      <w:r>
                        <w:rPr>
                          <w:color w:val="000000"/>
                          <w:sz w:val="15"/>
                        </w:rPr>
                        <w:t>of</w:t>
                      </w:r>
                      <w:r>
                        <w:rPr>
                          <w:color w:val="000000"/>
                          <w:spacing w:val="4"/>
                          <w:sz w:val="15"/>
                        </w:rPr>
                        <w:t> </w:t>
                      </w:r>
                      <w:r>
                        <w:rPr>
                          <w:color w:val="000000"/>
                          <w:sz w:val="15"/>
                        </w:rPr>
                        <w:t>compensation</w:t>
                      </w:r>
                      <w:r>
                        <w:rPr>
                          <w:color w:val="000000"/>
                          <w:spacing w:val="4"/>
                          <w:sz w:val="15"/>
                        </w:rPr>
                        <w:t> </w:t>
                      </w:r>
                      <w:r>
                        <w:rPr>
                          <w:color w:val="000000"/>
                          <w:spacing w:val="-2"/>
                          <w:sz w:val="15"/>
                        </w:rPr>
                        <w:t>increase</w:t>
                      </w:r>
                      <w:r>
                        <w:rPr>
                          <w:color w:val="000000"/>
                          <w:sz w:val="15"/>
                        </w:rPr>
                        <w:tab/>
                      </w:r>
                      <w:r>
                        <w:rPr>
                          <w:b/>
                          <w:color w:val="000000"/>
                          <w:spacing w:val="-2"/>
                          <w:sz w:val="15"/>
                        </w:rPr>
                        <w:t>4.16%</w:t>
                      </w:r>
                      <w:r>
                        <w:rPr>
                          <w:b/>
                          <w:color w:val="000000"/>
                          <w:sz w:val="15"/>
                        </w:rPr>
                        <w:tab/>
                      </w:r>
                      <w:r>
                        <w:rPr>
                          <w:color w:val="000000"/>
                          <w:spacing w:val="-2"/>
                          <w:sz w:val="15"/>
                        </w:rPr>
                        <w:t>3.50%</w:t>
                      </w:r>
                      <w:r>
                        <w:rPr>
                          <w:color w:val="000000"/>
                          <w:sz w:val="15"/>
                        </w:rPr>
                        <w:tab/>
                      </w:r>
                      <w:r>
                        <w:rPr>
                          <w:color w:val="000000"/>
                          <w:spacing w:val="-2"/>
                          <w:sz w:val="15"/>
                        </w:rPr>
                        <w:t>3.50%</w:t>
                      </w:r>
                      <w:r>
                        <w:rPr>
                          <w:color w:val="000000"/>
                          <w:sz w:val="15"/>
                        </w:rPr>
                        <w:tab/>
                      </w:r>
                      <w:r>
                        <w:rPr>
                          <w:b/>
                          <w:color w:val="000000"/>
                          <w:spacing w:val="-2"/>
                          <w:sz w:val="15"/>
                        </w:rPr>
                        <w:t>3.55%</w:t>
                      </w:r>
                      <w:r>
                        <w:rPr>
                          <w:b/>
                          <w:color w:val="000000"/>
                          <w:sz w:val="15"/>
                        </w:rPr>
                        <w:tab/>
                      </w:r>
                      <w:r>
                        <w:rPr>
                          <w:color w:val="000000"/>
                          <w:spacing w:val="-2"/>
                          <w:sz w:val="15"/>
                        </w:rPr>
                        <w:t>2.96%</w:t>
                      </w:r>
                      <w:r>
                        <w:rPr>
                          <w:color w:val="000000"/>
                          <w:sz w:val="15"/>
                        </w:rPr>
                        <w:tab/>
                      </w:r>
                      <w:r>
                        <w:rPr>
                          <w:color w:val="000000"/>
                          <w:spacing w:val="-2"/>
                          <w:sz w:val="15"/>
                        </w:rPr>
                        <w:t>2.96%</w:t>
                      </w:r>
                    </w:p>
                  </w:txbxContent>
                </v:textbox>
                <v:fill type="solid"/>
                <w10:wrap type="topAndBottom"/>
              </v:shape>
            </w:pict>
          </mc:Fallback>
        </mc:AlternateContent>
      </w:r>
      <w:r>
        <w:rPr>
          <w:sz w:val="15"/>
        </w:rPr>
        <w:t>Expected</w:t>
      </w:r>
      <w:r>
        <w:rPr>
          <w:spacing w:val="3"/>
          <w:sz w:val="15"/>
        </w:rPr>
        <w:t> </w:t>
      </w:r>
      <w:r>
        <w:rPr>
          <w:sz w:val="15"/>
        </w:rPr>
        <w:t>return</w:t>
      </w:r>
      <w:r>
        <w:rPr>
          <w:spacing w:val="3"/>
          <w:sz w:val="15"/>
        </w:rPr>
        <w:t> </w:t>
      </w:r>
      <w:r>
        <w:rPr>
          <w:sz w:val="15"/>
        </w:rPr>
        <w:t>on</w:t>
      </w:r>
      <w:r>
        <w:rPr>
          <w:spacing w:val="3"/>
          <w:sz w:val="15"/>
        </w:rPr>
        <w:t> </w:t>
      </w:r>
      <w:r>
        <w:rPr>
          <w:sz w:val="15"/>
        </w:rPr>
        <w:t>plan</w:t>
      </w:r>
      <w:r>
        <w:rPr>
          <w:spacing w:val="4"/>
          <w:sz w:val="15"/>
        </w:rPr>
        <w:t> </w:t>
      </w:r>
      <w:r>
        <w:rPr>
          <w:spacing w:val="-2"/>
          <w:sz w:val="15"/>
        </w:rPr>
        <w:t>assets</w:t>
      </w:r>
      <w:r>
        <w:rPr>
          <w:sz w:val="15"/>
        </w:rPr>
        <w:tab/>
      </w:r>
      <w:r>
        <w:rPr>
          <w:b/>
          <w:spacing w:val="-2"/>
          <w:sz w:val="15"/>
        </w:rPr>
        <w:t>6.00%</w:t>
      </w:r>
      <w:r>
        <w:rPr>
          <w:b/>
          <w:sz w:val="15"/>
        </w:rPr>
        <w:tab/>
      </w:r>
      <w:r>
        <w:rPr>
          <w:spacing w:val="-2"/>
          <w:sz w:val="15"/>
        </w:rPr>
        <w:t>6.00%</w:t>
      </w:r>
      <w:r>
        <w:rPr>
          <w:sz w:val="15"/>
        </w:rPr>
        <w:tab/>
      </w:r>
      <w:r>
        <w:rPr>
          <w:spacing w:val="-2"/>
          <w:sz w:val="15"/>
        </w:rPr>
        <w:t>6.00%</w:t>
      </w:r>
      <w:r>
        <w:rPr>
          <w:sz w:val="15"/>
        </w:rPr>
        <w:tab/>
      </w:r>
      <w:r>
        <w:rPr>
          <w:b/>
          <w:spacing w:val="-2"/>
          <w:sz w:val="15"/>
        </w:rPr>
        <w:t>1.26%</w:t>
      </w:r>
      <w:r>
        <w:rPr>
          <w:b/>
          <w:sz w:val="15"/>
        </w:rPr>
        <w:tab/>
      </w:r>
      <w:r>
        <w:rPr>
          <w:spacing w:val="-2"/>
          <w:sz w:val="15"/>
        </w:rPr>
        <w:t>1.71%</w:t>
      </w:r>
      <w:r>
        <w:rPr>
          <w:sz w:val="15"/>
        </w:rPr>
        <w:tab/>
      </w:r>
      <w:r>
        <w:rPr>
          <w:spacing w:val="-2"/>
          <w:sz w:val="15"/>
        </w:rPr>
        <w:t>2.01%</w:t>
      </w:r>
    </w:p>
    <w:p>
      <w:pPr>
        <w:tabs>
          <w:tab w:pos="3774" w:val="left" w:leader="none"/>
          <w:tab w:pos="4716" w:val="left" w:leader="none"/>
          <w:tab w:pos="5646" w:val="left" w:leader="none"/>
          <w:tab w:pos="6576" w:val="left" w:leader="none"/>
          <w:tab w:pos="7532" w:val="left" w:leader="none"/>
          <w:tab w:pos="8462" w:val="left" w:leader="none"/>
        </w:tabs>
        <w:spacing w:before="0" w:after="19"/>
        <w:ind w:left="156" w:right="0" w:firstLine="0"/>
        <w:jc w:val="left"/>
        <w:rPr>
          <w:sz w:val="15"/>
        </w:rPr>
      </w:pPr>
      <w:r>
        <w:rPr>
          <w:sz w:val="15"/>
        </w:rPr>
        <w:t>Cash</w:t>
      </w:r>
      <w:r>
        <w:rPr>
          <w:spacing w:val="4"/>
          <w:sz w:val="15"/>
        </w:rPr>
        <w:t> </w:t>
      </w:r>
      <w:r>
        <w:rPr>
          <w:sz w:val="15"/>
        </w:rPr>
        <w:t>balance</w:t>
      </w:r>
      <w:r>
        <w:rPr>
          <w:spacing w:val="4"/>
          <w:sz w:val="15"/>
        </w:rPr>
        <w:t> </w:t>
      </w:r>
      <w:r>
        <w:rPr>
          <w:sz w:val="15"/>
        </w:rPr>
        <w:t>crediting</w:t>
      </w:r>
      <w:r>
        <w:rPr>
          <w:spacing w:val="4"/>
          <w:sz w:val="15"/>
        </w:rPr>
        <w:t> </w:t>
      </w:r>
      <w:r>
        <w:rPr>
          <w:spacing w:val="-4"/>
          <w:sz w:val="15"/>
        </w:rPr>
        <w:t>rate</w:t>
      </w:r>
      <w:r>
        <w:rPr>
          <w:sz w:val="15"/>
        </w:rPr>
        <w:tab/>
      </w:r>
      <w:r>
        <w:rPr>
          <w:b/>
          <w:spacing w:val="-2"/>
          <w:sz w:val="15"/>
        </w:rPr>
        <w:t>3.84%</w:t>
      </w:r>
      <w:r>
        <w:rPr>
          <w:b/>
          <w:sz w:val="15"/>
        </w:rPr>
        <w:tab/>
      </w:r>
      <w:r>
        <w:rPr>
          <w:spacing w:val="-2"/>
          <w:sz w:val="15"/>
        </w:rPr>
        <w:t>3.94%</w:t>
      </w:r>
      <w:r>
        <w:rPr>
          <w:sz w:val="15"/>
        </w:rPr>
        <w:tab/>
      </w:r>
      <w:r>
        <w:rPr>
          <w:spacing w:val="-2"/>
          <w:sz w:val="15"/>
        </w:rPr>
        <w:t>3.94%</w:t>
      </w:r>
      <w:r>
        <w:rPr>
          <w:sz w:val="15"/>
        </w:rPr>
        <w:tab/>
      </w:r>
      <w:r>
        <w:rPr>
          <w:b/>
          <w:spacing w:val="-2"/>
          <w:sz w:val="15"/>
        </w:rPr>
        <w:t>0.94%</w:t>
      </w:r>
      <w:r>
        <w:rPr>
          <w:b/>
          <w:sz w:val="15"/>
        </w:rPr>
        <w:tab/>
      </w:r>
      <w:r>
        <w:rPr>
          <w:spacing w:val="-2"/>
          <w:sz w:val="15"/>
        </w:rPr>
        <w:t>0.97%</w:t>
      </w:r>
      <w:r>
        <w:rPr>
          <w:sz w:val="15"/>
        </w:rPr>
        <w:tab/>
      </w:r>
      <w:r>
        <w:rPr>
          <w:spacing w:val="-2"/>
          <w:sz w:val="15"/>
        </w:rPr>
        <w:t>0.97%</w:t>
      </w:r>
    </w:p>
    <w:p>
      <w:pPr>
        <w:pStyle w:val="BodyText"/>
        <w:spacing w:line="229" w:lineRule="exact"/>
        <w:ind w:left="156"/>
        <w:rPr>
          <w:sz w:val="20"/>
        </w:rPr>
      </w:pPr>
      <w:r>
        <w:rPr>
          <w:position w:val="-4"/>
          <w:sz w:val="20"/>
        </w:rPr>
        <mc:AlternateContent>
          <mc:Choice Requires="wps">
            <w:drawing>
              <wp:inline distT="0" distB="0" distL="0" distR="0">
                <wp:extent cx="7312659" cy="146050"/>
                <wp:effectExtent l="9525" t="0" r="0" b="6350"/>
                <wp:docPr id="517" name="Group 517"/>
                <wp:cNvGraphicFramePr>
                  <a:graphicFrameLocks/>
                </wp:cNvGraphicFramePr>
                <a:graphic>
                  <a:graphicData uri="http://schemas.microsoft.com/office/word/2010/wordprocessingGroup">
                    <wpg:wgp>
                      <wpg:cNvPr id="517" name="Group 517"/>
                      <wpg:cNvGrpSpPr/>
                      <wpg:grpSpPr>
                        <a:xfrm>
                          <a:off x="0" y="0"/>
                          <a:ext cx="7312659" cy="146050"/>
                          <a:chExt cx="7312659" cy="146050"/>
                        </a:xfrm>
                      </wpg:grpSpPr>
                      <wps:wsp>
                        <wps:cNvPr id="518" name="Graphic 518"/>
                        <wps:cNvSpPr/>
                        <wps:spPr>
                          <a:xfrm>
                            <a:off x="0" y="0"/>
                            <a:ext cx="1965960" cy="146050"/>
                          </a:xfrm>
                          <a:custGeom>
                            <a:avLst/>
                            <a:gdLst/>
                            <a:ahLst/>
                            <a:cxnLst/>
                            <a:rect l="l" t="t" r="r" b="b"/>
                            <a:pathLst>
                              <a:path w="1965960" h="146050">
                                <a:moveTo>
                                  <a:pt x="0" y="0"/>
                                </a:moveTo>
                                <a:lnTo>
                                  <a:pt x="1965596" y="0"/>
                                </a:lnTo>
                                <a:lnTo>
                                  <a:pt x="1965596" y="145599"/>
                                </a:lnTo>
                                <a:lnTo>
                                  <a:pt x="0" y="145599"/>
                                </a:lnTo>
                                <a:lnTo>
                                  <a:pt x="0" y="0"/>
                                </a:lnTo>
                                <a:close/>
                              </a:path>
                            </a:pathLst>
                          </a:custGeom>
                          <a:solidFill>
                            <a:srgbClr val="CCEDFF"/>
                          </a:solidFill>
                        </wps:spPr>
                        <wps:bodyPr wrap="square" lIns="0" tIns="0" rIns="0" bIns="0" rtlCol="0">
                          <a:prstTxWarp prst="textNoShape">
                            <a:avLst/>
                          </a:prstTxWarp>
                          <a:noAutofit/>
                        </wps:bodyPr>
                      </wps:wsp>
                      <wps:wsp>
                        <wps:cNvPr id="519" name="Graphic 519"/>
                        <wps:cNvSpPr/>
                        <wps:spPr>
                          <a:xfrm>
                            <a:off x="-9" y="121337"/>
                            <a:ext cx="1965960" cy="24765"/>
                          </a:xfrm>
                          <a:custGeom>
                            <a:avLst/>
                            <a:gdLst/>
                            <a:ahLst/>
                            <a:cxnLst/>
                            <a:rect l="l" t="t" r="r" b="b"/>
                            <a:pathLst>
                              <a:path w="1965960" h="24765">
                                <a:moveTo>
                                  <a:pt x="1965604" y="16179"/>
                                </a:moveTo>
                                <a:lnTo>
                                  <a:pt x="0" y="16179"/>
                                </a:lnTo>
                                <a:lnTo>
                                  <a:pt x="0" y="24269"/>
                                </a:lnTo>
                                <a:lnTo>
                                  <a:pt x="1965604" y="24269"/>
                                </a:lnTo>
                                <a:lnTo>
                                  <a:pt x="1965604" y="16179"/>
                                </a:lnTo>
                                <a:close/>
                              </a:path>
                              <a:path w="1965960" h="24765">
                                <a:moveTo>
                                  <a:pt x="1965604" y="0"/>
                                </a:moveTo>
                                <a:lnTo>
                                  <a:pt x="0" y="0"/>
                                </a:lnTo>
                                <a:lnTo>
                                  <a:pt x="0" y="8089"/>
                                </a:lnTo>
                                <a:lnTo>
                                  <a:pt x="1965604" y="8089"/>
                                </a:lnTo>
                                <a:lnTo>
                                  <a:pt x="1965604"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1965596" y="0"/>
                            <a:ext cx="73025" cy="146050"/>
                          </a:xfrm>
                          <a:custGeom>
                            <a:avLst/>
                            <a:gdLst/>
                            <a:ahLst/>
                            <a:cxnLst/>
                            <a:rect l="l" t="t" r="r" b="b"/>
                            <a:pathLst>
                              <a:path w="73025" h="146050">
                                <a:moveTo>
                                  <a:pt x="0" y="0"/>
                                </a:moveTo>
                                <a:lnTo>
                                  <a:pt x="72799" y="0"/>
                                </a:lnTo>
                                <a:lnTo>
                                  <a:pt x="72799" y="145599"/>
                                </a:lnTo>
                                <a:lnTo>
                                  <a:pt x="0" y="145599"/>
                                </a:lnTo>
                                <a:lnTo>
                                  <a:pt x="0" y="0"/>
                                </a:lnTo>
                                <a:close/>
                              </a:path>
                            </a:pathLst>
                          </a:custGeom>
                          <a:solidFill>
                            <a:srgbClr val="CCEDFF"/>
                          </a:solidFill>
                        </wps:spPr>
                        <wps:bodyPr wrap="square" lIns="0" tIns="0" rIns="0" bIns="0" rtlCol="0">
                          <a:prstTxWarp prst="textNoShape">
                            <a:avLst/>
                          </a:prstTxWarp>
                          <a:noAutofit/>
                        </wps:bodyPr>
                      </wps:wsp>
                      <wps:wsp>
                        <wps:cNvPr id="521" name="Graphic 521"/>
                        <wps:cNvSpPr/>
                        <wps:spPr>
                          <a:xfrm>
                            <a:off x="1965595" y="121337"/>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2038396" y="0"/>
                            <a:ext cx="73025" cy="146050"/>
                          </a:xfrm>
                          <a:custGeom>
                            <a:avLst/>
                            <a:gdLst/>
                            <a:ahLst/>
                            <a:cxnLst/>
                            <a:rect l="l" t="t" r="r" b="b"/>
                            <a:pathLst>
                              <a:path w="73025" h="146050">
                                <a:moveTo>
                                  <a:pt x="0" y="0"/>
                                </a:moveTo>
                                <a:lnTo>
                                  <a:pt x="72799" y="0"/>
                                </a:lnTo>
                                <a:lnTo>
                                  <a:pt x="72799" y="145599"/>
                                </a:lnTo>
                                <a:lnTo>
                                  <a:pt x="0" y="145599"/>
                                </a:lnTo>
                                <a:lnTo>
                                  <a:pt x="0" y="0"/>
                                </a:lnTo>
                                <a:close/>
                              </a:path>
                            </a:pathLst>
                          </a:custGeom>
                          <a:solidFill>
                            <a:srgbClr val="CCEDFF"/>
                          </a:solidFill>
                        </wps:spPr>
                        <wps:bodyPr wrap="square" lIns="0" tIns="0" rIns="0" bIns="0" rtlCol="0">
                          <a:prstTxWarp prst="textNoShape">
                            <a:avLst/>
                          </a:prstTxWarp>
                          <a:noAutofit/>
                        </wps:bodyPr>
                      </wps:wsp>
                      <wps:wsp>
                        <wps:cNvPr id="523" name="Graphic 523"/>
                        <wps:cNvSpPr/>
                        <wps:spPr>
                          <a:xfrm>
                            <a:off x="2038391" y="121337"/>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2111196" y="0"/>
                            <a:ext cx="356235" cy="146050"/>
                          </a:xfrm>
                          <a:custGeom>
                            <a:avLst/>
                            <a:gdLst/>
                            <a:ahLst/>
                            <a:cxnLst/>
                            <a:rect l="l" t="t" r="r" b="b"/>
                            <a:pathLst>
                              <a:path w="356235" h="146050">
                                <a:moveTo>
                                  <a:pt x="0" y="0"/>
                                </a:moveTo>
                                <a:lnTo>
                                  <a:pt x="355910" y="0"/>
                                </a:lnTo>
                                <a:lnTo>
                                  <a:pt x="355910" y="145599"/>
                                </a:lnTo>
                                <a:lnTo>
                                  <a:pt x="0" y="145599"/>
                                </a:lnTo>
                                <a:lnTo>
                                  <a:pt x="0" y="0"/>
                                </a:lnTo>
                                <a:close/>
                              </a:path>
                            </a:pathLst>
                          </a:custGeom>
                          <a:solidFill>
                            <a:srgbClr val="CCEDFF"/>
                          </a:solidFill>
                        </wps:spPr>
                        <wps:bodyPr wrap="square" lIns="0" tIns="0" rIns="0" bIns="0" rtlCol="0">
                          <a:prstTxWarp prst="textNoShape">
                            <a:avLst/>
                          </a:prstTxWarp>
                          <a:noAutofit/>
                        </wps:bodyPr>
                      </wps:wsp>
                      <wps:wsp>
                        <wps:cNvPr id="525" name="Graphic 525"/>
                        <wps:cNvSpPr/>
                        <wps:spPr>
                          <a:xfrm>
                            <a:off x="2111187" y="121337"/>
                            <a:ext cx="356235" cy="24765"/>
                          </a:xfrm>
                          <a:custGeom>
                            <a:avLst/>
                            <a:gdLst/>
                            <a:ahLst/>
                            <a:cxnLst/>
                            <a:rect l="l" t="t" r="r" b="b"/>
                            <a:pathLst>
                              <a:path w="356235" h="24765">
                                <a:moveTo>
                                  <a:pt x="355917" y="16179"/>
                                </a:moveTo>
                                <a:lnTo>
                                  <a:pt x="0" y="16179"/>
                                </a:lnTo>
                                <a:lnTo>
                                  <a:pt x="0" y="24269"/>
                                </a:lnTo>
                                <a:lnTo>
                                  <a:pt x="355917" y="24269"/>
                                </a:lnTo>
                                <a:lnTo>
                                  <a:pt x="355917" y="16179"/>
                                </a:lnTo>
                                <a:close/>
                              </a:path>
                              <a:path w="356235" h="24765">
                                <a:moveTo>
                                  <a:pt x="355917" y="0"/>
                                </a:moveTo>
                                <a:lnTo>
                                  <a:pt x="0" y="0"/>
                                </a:lnTo>
                                <a:lnTo>
                                  <a:pt x="0" y="8089"/>
                                </a:lnTo>
                                <a:lnTo>
                                  <a:pt x="355917" y="8089"/>
                                </a:lnTo>
                                <a:lnTo>
                                  <a:pt x="355917" y="0"/>
                                </a:lnTo>
                                <a:close/>
                              </a:path>
                            </a:pathLst>
                          </a:custGeom>
                          <a:solidFill>
                            <a:srgbClr val="000000"/>
                          </a:solidFill>
                        </wps:spPr>
                        <wps:bodyPr wrap="square" lIns="0" tIns="0" rIns="0" bIns="0" rtlCol="0">
                          <a:prstTxWarp prst="textNoShape">
                            <a:avLst/>
                          </a:prstTxWarp>
                          <a:noAutofit/>
                        </wps:bodyPr>
                      </wps:wsp>
                      <pic:pic>
                        <pic:nvPicPr>
                          <pic:cNvPr id="526" name="Image 526"/>
                          <pic:cNvPicPr/>
                        </pic:nvPicPr>
                        <pic:blipFill>
                          <a:blip r:embed="rId92" cstate="print"/>
                          <a:stretch>
                            <a:fillRect/>
                          </a:stretch>
                        </pic:blipFill>
                        <pic:spPr>
                          <a:xfrm>
                            <a:off x="2467107" y="0"/>
                            <a:ext cx="242666" cy="145599"/>
                          </a:xfrm>
                          <a:prstGeom prst="rect">
                            <a:avLst/>
                          </a:prstGeom>
                        </pic:spPr>
                      </pic:pic>
                      <wps:wsp>
                        <wps:cNvPr id="527" name="Graphic 527"/>
                        <wps:cNvSpPr/>
                        <wps:spPr>
                          <a:xfrm>
                            <a:off x="2709773" y="0"/>
                            <a:ext cx="356235" cy="146050"/>
                          </a:xfrm>
                          <a:custGeom>
                            <a:avLst/>
                            <a:gdLst/>
                            <a:ahLst/>
                            <a:cxnLst/>
                            <a:rect l="l" t="t" r="r" b="b"/>
                            <a:pathLst>
                              <a:path w="356235" h="146050">
                                <a:moveTo>
                                  <a:pt x="0" y="0"/>
                                </a:moveTo>
                                <a:lnTo>
                                  <a:pt x="355910" y="0"/>
                                </a:lnTo>
                                <a:lnTo>
                                  <a:pt x="355910" y="145599"/>
                                </a:lnTo>
                                <a:lnTo>
                                  <a:pt x="0" y="145599"/>
                                </a:lnTo>
                                <a:lnTo>
                                  <a:pt x="0" y="0"/>
                                </a:lnTo>
                                <a:close/>
                              </a:path>
                            </a:pathLst>
                          </a:custGeom>
                          <a:solidFill>
                            <a:srgbClr val="CCEDFF"/>
                          </a:solidFill>
                        </wps:spPr>
                        <wps:bodyPr wrap="square" lIns="0" tIns="0" rIns="0" bIns="0" rtlCol="0">
                          <a:prstTxWarp prst="textNoShape">
                            <a:avLst/>
                          </a:prstTxWarp>
                          <a:noAutofit/>
                        </wps:bodyPr>
                      </wps:wsp>
                      <wps:wsp>
                        <wps:cNvPr id="528" name="Graphic 528"/>
                        <wps:cNvSpPr/>
                        <wps:spPr>
                          <a:xfrm>
                            <a:off x="2709764" y="121337"/>
                            <a:ext cx="356235" cy="24765"/>
                          </a:xfrm>
                          <a:custGeom>
                            <a:avLst/>
                            <a:gdLst/>
                            <a:ahLst/>
                            <a:cxnLst/>
                            <a:rect l="l" t="t" r="r" b="b"/>
                            <a:pathLst>
                              <a:path w="356235" h="24765">
                                <a:moveTo>
                                  <a:pt x="355917" y="16179"/>
                                </a:moveTo>
                                <a:lnTo>
                                  <a:pt x="0" y="16179"/>
                                </a:lnTo>
                                <a:lnTo>
                                  <a:pt x="0" y="24269"/>
                                </a:lnTo>
                                <a:lnTo>
                                  <a:pt x="355917" y="24269"/>
                                </a:lnTo>
                                <a:lnTo>
                                  <a:pt x="355917" y="16179"/>
                                </a:lnTo>
                                <a:close/>
                              </a:path>
                              <a:path w="356235" h="24765">
                                <a:moveTo>
                                  <a:pt x="355917" y="0"/>
                                </a:moveTo>
                                <a:lnTo>
                                  <a:pt x="0" y="0"/>
                                </a:lnTo>
                                <a:lnTo>
                                  <a:pt x="0" y="8089"/>
                                </a:lnTo>
                                <a:lnTo>
                                  <a:pt x="355917" y="8089"/>
                                </a:lnTo>
                                <a:lnTo>
                                  <a:pt x="355917" y="0"/>
                                </a:lnTo>
                                <a:close/>
                              </a:path>
                            </a:pathLst>
                          </a:custGeom>
                          <a:solidFill>
                            <a:srgbClr val="000000"/>
                          </a:solidFill>
                        </wps:spPr>
                        <wps:bodyPr wrap="square" lIns="0" tIns="0" rIns="0" bIns="0" rtlCol="0">
                          <a:prstTxWarp prst="textNoShape">
                            <a:avLst/>
                          </a:prstTxWarp>
                          <a:noAutofit/>
                        </wps:bodyPr>
                      </wps:wsp>
                      <pic:pic>
                        <pic:nvPicPr>
                          <pic:cNvPr id="529" name="Image 529"/>
                          <pic:cNvPicPr/>
                        </pic:nvPicPr>
                        <pic:blipFill>
                          <a:blip r:embed="rId93" cstate="print"/>
                          <a:stretch>
                            <a:fillRect/>
                          </a:stretch>
                        </pic:blipFill>
                        <pic:spPr>
                          <a:xfrm>
                            <a:off x="3065683" y="0"/>
                            <a:ext cx="226488" cy="145599"/>
                          </a:xfrm>
                          <a:prstGeom prst="rect">
                            <a:avLst/>
                          </a:prstGeom>
                        </pic:spPr>
                      </pic:pic>
                      <wps:wsp>
                        <wps:cNvPr id="530" name="Graphic 530"/>
                        <wps:cNvSpPr/>
                        <wps:spPr>
                          <a:xfrm>
                            <a:off x="3292172" y="0"/>
                            <a:ext cx="364490" cy="146050"/>
                          </a:xfrm>
                          <a:custGeom>
                            <a:avLst/>
                            <a:gdLst/>
                            <a:ahLst/>
                            <a:cxnLst/>
                            <a:rect l="l" t="t" r="r" b="b"/>
                            <a:pathLst>
                              <a:path w="364490" h="146050">
                                <a:moveTo>
                                  <a:pt x="0" y="0"/>
                                </a:moveTo>
                                <a:lnTo>
                                  <a:pt x="363999" y="0"/>
                                </a:lnTo>
                                <a:lnTo>
                                  <a:pt x="363999" y="145599"/>
                                </a:lnTo>
                                <a:lnTo>
                                  <a:pt x="0" y="145599"/>
                                </a:lnTo>
                                <a:lnTo>
                                  <a:pt x="0" y="0"/>
                                </a:lnTo>
                                <a:close/>
                              </a:path>
                            </a:pathLst>
                          </a:custGeom>
                          <a:solidFill>
                            <a:srgbClr val="CCEDFF"/>
                          </a:solidFill>
                        </wps:spPr>
                        <wps:bodyPr wrap="square" lIns="0" tIns="0" rIns="0" bIns="0" rtlCol="0">
                          <a:prstTxWarp prst="textNoShape">
                            <a:avLst/>
                          </a:prstTxWarp>
                          <a:noAutofit/>
                        </wps:bodyPr>
                      </wps:wsp>
                      <wps:wsp>
                        <wps:cNvPr id="531" name="Graphic 531"/>
                        <wps:cNvSpPr/>
                        <wps:spPr>
                          <a:xfrm>
                            <a:off x="3292161" y="121337"/>
                            <a:ext cx="364490" cy="24765"/>
                          </a:xfrm>
                          <a:custGeom>
                            <a:avLst/>
                            <a:gdLst/>
                            <a:ahLst/>
                            <a:cxnLst/>
                            <a:rect l="l" t="t" r="r" b="b"/>
                            <a:pathLst>
                              <a:path w="364490" h="24765">
                                <a:moveTo>
                                  <a:pt x="364007" y="16179"/>
                                </a:moveTo>
                                <a:lnTo>
                                  <a:pt x="0" y="16179"/>
                                </a:lnTo>
                                <a:lnTo>
                                  <a:pt x="0" y="24269"/>
                                </a:lnTo>
                                <a:lnTo>
                                  <a:pt x="364007" y="24269"/>
                                </a:lnTo>
                                <a:lnTo>
                                  <a:pt x="364007" y="16179"/>
                                </a:lnTo>
                                <a:close/>
                              </a:path>
                              <a:path w="364490" h="24765">
                                <a:moveTo>
                                  <a:pt x="364007" y="0"/>
                                </a:moveTo>
                                <a:lnTo>
                                  <a:pt x="0" y="0"/>
                                </a:lnTo>
                                <a:lnTo>
                                  <a:pt x="0" y="8089"/>
                                </a:lnTo>
                                <a:lnTo>
                                  <a:pt x="364007" y="8089"/>
                                </a:lnTo>
                                <a:lnTo>
                                  <a:pt x="364007" y="0"/>
                                </a:lnTo>
                                <a:close/>
                              </a:path>
                            </a:pathLst>
                          </a:custGeom>
                          <a:solidFill>
                            <a:srgbClr val="000000"/>
                          </a:solidFill>
                        </wps:spPr>
                        <wps:bodyPr wrap="square" lIns="0" tIns="0" rIns="0" bIns="0" rtlCol="0">
                          <a:prstTxWarp prst="textNoShape">
                            <a:avLst/>
                          </a:prstTxWarp>
                          <a:noAutofit/>
                        </wps:bodyPr>
                      </wps:wsp>
                      <pic:pic>
                        <pic:nvPicPr>
                          <pic:cNvPr id="532" name="Image 532"/>
                          <pic:cNvPicPr/>
                        </pic:nvPicPr>
                        <pic:blipFill>
                          <a:blip r:embed="rId93" cstate="print"/>
                          <a:stretch>
                            <a:fillRect/>
                          </a:stretch>
                        </pic:blipFill>
                        <pic:spPr>
                          <a:xfrm>
                            <a:off x="3656171" y="0"/>
                            <a:ext cx="226488" cy="145599"/>
                          </a:xfrm>
                          <a:prstGeom prst="rect">
                            <a:avLst/>
                          </a:prstGeom>
                        </pic:spPr>
                      </pic:pic>
                      <wps:wsp>
                        <wps:cNvPr id="533" name="Graphic 533"/>
                        <wps:cNvSpPr/>
                        <wps:spPr>
                          <a:xfrm>
                            <a:off x="3882660" y="0"/>
                            <a:ext cx="364490" cy="146050"/>
                          </a:xfrm>
                          <a:custGeom>
                            <a:avLst/>
                            <a:gdLst/>
                            <a:ahLst/>
                            <a:cxnLst/>
                            <a:rect l="l" t="t" r="r" b="b"/>
                            <a:pathLst>
                              <a:path w="364490" h="146050">
                                <a:moveTo>
                                  <a:pt x="0" y="0"/>
                                </a:moveTo>
                                <a:lnTo>
                                  <a:pt x="363999" y="0"/>
                                </a:lnTo>
                                <a:lnTo>
                                  <a:pt x="363999" y="145599"/>
                                </a:lnTo>
                                <a:lnTo>
                                  <a:pt x="0" y="145599"/>
                                </a:lnTo>
                                <a:lnTo>
                                  <a:pt x="0" y="0"/>
                                </a:lnTo>
                                <a:close/>
                              </a:path>
                            </a:pathLst>
                          </a:custGeom>
                          <a:solidFill>
                            <a:srgbClr val="CCEDFF"/>
                          </a:solidFill>
                        </wps:spPr>
                        <wps:bodyPr wrap="square" lIns="0" tIns="0" rIns="0" bIns="0" rtlCol="0">
                          <a:prstTxWarp prst="textNoShape">
                            <a:avLst/>
                          </a:prstTxWarp>
                          <a:noAutofit/>
                        </wps:bodyPr>
                      </wps:wsp>
                      <wps:wsp>
                        <wps:cNvPr id="534" name="Graphic 534"/>
                        <wps:cNvSpPr/>
                        <wps:spPr>
                          <a:xfrm>
                            <a:off x="3882660" y="121337"/>
                            <a:ext cx="364490" cy="24765"/>
                          </a:xfrm>
                          <a:custGeom>
                            <a:avLst/>
                            <a:gdLst/>
                            <a:ahLst/>
                            <a:cxnLst/>
                            <a:rect l="l" t="t" r="r" b="b"/>
                            <a:pathLst>
                              <a:path w="364490" h="24765">
                                <a:moveTo>
                                  <a:pt x="363994" y="16179"/>
                                </a:moveTo>
                                <a:lnTo>
                                  <a:pt x="0" y="16179"/>
                                </a:lnTo>
                                <a:lnTo>
                                  <a:pt x="0" y="24269"/>
                                </a:lnTo>
                                <a:lnTo>
                                  <a:pt x="363994" y="24269"/>
                                </a:lnTo>
                                <a:lnTo>
                                  <a:pt x="363994" y="16179"/>
                                </a:lnTo>
                                <a:close/>
                              </a:path>
                              <a:path w="364490" h="24765">
                                <a:moveTo>
                                  <a:pt x="363994" y="0"/>
                                </a:moveTo>
                                <a:lnTo>
                                  <a:pt x="0" y="0"/>
                                </a:lnTo>
                                <a:lnTo>
                                  <a:pt x="0" y="8089"/>
                                </a:lnTo>
                                <a:lnTo>
                                  <a:pt x="363994" y="8089"/>
                                </a:lnTo>
                                <a:lnTo>
                                  <a:pt x="363994" y="0"/>
                                </a:lnTo>
                                <a:close/>
                              </a:path>
                            </a:pathLst>
                          </a:custGeom>
                          <a:solidFill>
                            <a:srgbClr val="000000"/>
                          </a:solidFill>
                        </wps:spPr>
                        <wps:bodyPr wrap="square" lIns="0" tIns="0" rIns="0" bIns="0" rtlCol="0">
                          <a:prstTxWarp prst="textNoShape">
                            <a:avLst/>
                          </a:prstTxWarp>
                          <a:noAutofit/>
                        </wps:bodyPr>
                      </wps:wsp>
                      <pic:pic>
                        <pic:nvPicPr>
                          <pic:cNvPr id="535" name="Image 535"/>
                          <pic:cNvPicPr/>
                        </pic:nvPicPr>
                        <pic:blipFill>
                          <a:blip r:embed="rId92" cstate="print"/>
                          <a:stretch>
                            <a:fillRect/>
                          </a:stretch>
                        </pic:blipFill>
                        <pic:spPr>
                          <a:xfrm>
                            <a:off x="4246659" y="0"/>
                            <a:ext cx="242666" cy="145599"/>
                          </a:xfrm>
                          <a:prstGeom prst="rect">
                            <a:avLst/>
                          </a:prstGeom>
                        </pic:spPr>
                      </pic:pic>
                      <wps:wsp>
                        <wps:cNvPr id="536" name="Graphic 536"/>
                        <wps:cNvSpPr/>
                        <wps:spPr>
                          <a:xfrm>
                            <a:off x="4489325" y="0"/>
                            <a:ext cx="364490" cy="146050"/>
                          </a:xfrm>
                          <a:custGeom>
                            <a:avLst/>
                            <a:gdLst/>
                            <a:ahLst/>
                            <a:cxnLst/>
                            <a:rect l="l" t="t" r="r" b="b"/>
                            <a:pathLst>
                              <a:path w="364490" h="146050">
                                <a:moveTo>
                                  <a:pt x="0" y="0"/>
                                </a:moveTo>
                                <a:lnTo>
                                  <a:pt x="363999" y="0"/>
                                </a:lnTo>
                                <a:lnTo>
                                  <a:pt x="363999" y="145599"/>
                                </a:lnTo>
                                <a:lnTo>
                                  <a:pt x="0" y="145599"/>
                                </a:lnTo>
                                <a:lnTo>
                                  <a:pt x="0" y="0"/>
                                </a:lnTo>
                                <a:close/>
                              </a:path>
                            </a:pathLst>
                          </a:custGeom>
                          <a:solidFill>
                            <a:srgbClr val="CCEDFF"/>
                          </a:solidFill>
                        </wps:spPr>
                        <wps:bodyPr wrap="square" lIns="0" tIns="0" rIns="0" bIns="0" rtlCol="0">
                          <a:prstTxWarp prst="textNoShape">
                            <a:avLst/>
                          </a:prstTxWarp>
                          <a:noAutofit/>
                        </wps:bodyPr>
                      </wps:wsp>
                      <wps:wsp>
                        <wps:cNvPr id="537" name="Graphic 537"/>
                        <wps:cNvSpPr/>
                        <wps:spPr>
                          <a:xfrm>
                            <a:off x="4489313" y="121337"/>
                            <a:ext cx="364490" cy="24765"/>
                          </a:xfrm>
                          <a:custGeom>
                            <a:avLst/>
                            <a:gdLst/>
                            <a:ahLst/>
                            <a:cxnLst/>
                            <a:rect l="l" t="t" r="r" b="b"/>
                            <a:pathLst>
                              <a:path w="364490" h="24765">
                                <a:moveTo>
                                  <a:pt x="364007" y="16179"/>
                                </a:moveTo>
                                <a:lnTo>
                                  <a:pt x="0" y="16179"/>
                                </a:lnTo>
                                <a:lnTo>
                                  <a:pt x="0" y="24269"/>
                                </a:lnTo>
                                <a:lnTo>
                                  <a:pt x="364007" y="24269"/>
                                </a:lnTo>
                                <a:lnTo>
                                  <a:pt x="364007" y="16179"/>
                                </a:lnTo>
                                <a:close/>
                              </a:path>
                              <a:path w="364490" h="24765">
                                <a:moveTo>
                                  <a:pt x="364007" y="0"/>
                                </a:moveTo>
                                <a:lnTo>
                                  <a:pt x="0" y="0"/>
                                </a:lnTo>
                                <a:lnTo>
                                  <a:pt x="0" y="8089"/>
                                </a:lnTo>
                                <a:lnTo>
                                  <a:pt x="364007" y="8089"/>
                                </a:lnTo>
                                <a:lnTo>
                                  <a:pt x="364007" y="0"/>
                                </a:lnTo>
                                <a:close/>
                              </a:path>
                            </a:pathLst>
                          </a:custGeom>
                          <a:solidFill>
                            <a:srgbClr val="000000"/>
                          </a:solidFill>
                        </wps:spPr>
                        <wps:bodyPr wrap="square" lIns="0" tIns="0" rIns="0" bIns="0" rtlCol="0">
                          <a:prstTxWarp prst="textNoShape">
                            <a:avLst/>
                          </a:prstTxWarp>
                          <a:noAutofit/>
                        </wps:bodyPr>
                      </wps:wsp>
                      <pic:pic>
                        <pic:nvPicPr>
                          <pic:cNvPr id="538" name="Image 538"/>
                          <pic:cNvPicPr/>
                        </pic:nvPicPr>
                        <pic:blipFill>
                          <a:blip r:embed="rId94" cstate="print"/>
                          <a:stretch>
                            <a:fillRect/>
                          </a:stretch>
                        </pic:blipFill>
                        <pic:spPr>
                          <a:xfrm>
                            <a:off x="4853325" y="0"/>
                            <a:ext cx="226488" cy="145599"/>
                          </a:xfrm>
                          <a:prstGeom prst="rect">
                            <a:avLst/>
                          </a:prstGeom>
                        </pic:spPr>
                      </pic:pic>
                      <wps:wsp>
                        <wps:cNvPr id="539" name="Graphic 539"/>
                        <wps:cNvSpPr/>
                        <wps:spPr>
                          <a:xfrm>
                            <a:off x="5079813" y="0"/>
                            <a:ext cx="364490" cy="146050"/>
                          </a:xfrm>
                          <a:custGeom>
                            <a:avLst/>
                            <a:gdLst/>
                            <a:ahLst/>
                            <a:cxnLst/>
                            <a:rect l="l" t="t" r="r" b="b"/>
                            <a:pathLst>
                              <a:path w="364490" h="146050">
                                <a:moveTo>
                                  <a:pt x="0" y="0"/>
                                </a:moveTo>
                                <a:lnTo>
                                  <a:pt x="363999" y="0"/>
                                </a:lnTo>
                                <a:lnTo>
                                  <a:pt x="363999" y="145599"/>
                                </a:lnTo>
                                <a:lnTo>
                                  <a:pt x="0" y="145599"/>
                                </a:lnTo>
                                <a:lnTo>
                                  <a:pt x="0" y="0"/>
                                </a:lnTo>
                                <a:close/>
                              </a:path>
                            </a:pathLst>
                          </a:custGeom>
                          <a:solidFill>
                            <a:srgbClr val="CCEDFF"/>
                          </a:solidFill>
                        </wps:spPr>
                        <wps:bodyPr wrap="square" lIns="0" tIns="0" rIns="0" bIns="0" rtlCol="0">
                          <a:prstTxWarp prst="textNoShape">
                            <a:avLst/>
                          </a:prstTxWarp>
                          <a:noAutofit/>
                        </wps:bodyPr>
                      </wps:wsp>
                      <wps:wsp>
                        <wps:cNvPr id="540" name="Graphic 540"/>
                        <wps:cNvSpPr/>
                        <wps:spPr>
                          <a:xfrm>
                            <a:off x="5079813" y="121337"/>
                            <a:ext cx="364490" cy="24765"/>
                          </a:xfrm>
                          <a:custGeom>
                            <a:avLst/>
                            <a:gdLst/>
                            <a:ahLst/>
                            <a:cxnLst/>
                            <a:rect l="l" t="t" r="r" b="b"/>
                            <a:pathLst>
                              <a:path w="364490" h="24765">
                                <a:moveTo>
                                  <a:pt x="363994" y="16179"/>
                                </a:moveTo>
                                <a:lnTo>
                                  <a:pt x="0" y="16179"/>
                                </a:lnTo>
                                <a:lnTo>
                                  <a:pt x="0" y="24269"/>
                                </a:lnTo>
                                <a:lnTo>
                                  <a:pt x="363994" y="24269"/>
                                </a:lnTo>
                                <a:lnTo>
                                  <a:pt x="363994" y="16179"/>
                                </a:lnTo>
                                <a:close/>
                              </a:path>
                              <a:path w="364490" h="24765">
                                <a:moveTo>
                                  <a:pt x="363994" y="0"/>
                                </a:moveTo>
                                <a:lnTo>
                                  <a:pt x="0" y="0"/>
                                </a:lnTo>
                                <a:lnTo>
                                  <a:pt x="0" y="8089"/>
                                </a:lnTo>
                                <a:lnTo>
                                  <a:pt x="363994" y="8089"/>
                                </a:lnTo>
                                <a:lnTo>
                                  <a:pt x="363994" y="0"/>
                                </a:lnTo>
                                <a:close/>
                              </a:path>
                            </a:pathLst>
                          </a:custGeom>
                          <a:solidFill>
                            <a:srgbClr val="000000"/>
                          </a:solidFill>
                        </wps:spPr>
                        <wps:bodyPr wrap="square" lIns="0" tIns="0" rIns="0" bIns="0" rtlCol="0">
                          <a:prstTxWarp prst="textNoShape">
                            <a:avLst/>
                          </a:prstTxWarp>
                          <a:noAutofit/>
                        </wps:bodyPr>
                      </wps:wsp>
                      <pic:pic>
                        <pic:nvPicPr>
                          <pic:cNvPr id="541" name="Image 541"/>
                          <pic:cNvPicPr/>
                        </pic:nvPicPr>
                        <pic:blipFill>
                          <a:blip r:embed="rId94" cstate="print"/>
                          <a:stretch>
                            <a:fillRect/>
                          </a:stretch>
                        </pic:blipFill>
                        <pic:spPr>
                          <a:xfrm>
                            <a:off x="5443813" y="0"/>
                            <a:ext cx="226488" cy="145599"/>
                          </a:xfrm>
                          <a:prstGeom prst="rect">
                            <a:avLst/>
                          </a:prstGeom>
                        </pic:spPr>
                      </pic:pic>
                      <wps:wsp>
                        <wps:cNvPr id="542" name="Graphic 542"/>
                        <wps:cNvSpPr/>
                        <wps:spPr>
                          <a:xfrm>
                            <a:off x="5670301" y="0"/>
                            <a:ext cx="364490" cy="146050"/>
                          </a:xfrm>
                          <a:custGeom>
                            <a:avLst/>
                            <a:gdLst/>
                            <a:ahLst/>
                            <a:cxnLst/>
                            <a:rect l="l" t="t" r="r" b="b"/>
                            <a:pathLst>
                              <a:path w="364490" h="146050">
                                <a:moveTo>
                                  <a:pt x="0" y="0"/>
                                </a:moveTo>
                                <a:lnTo>
                                  <a:pt x="363999" y="0"/>
                                </a:lnTo>
                                <a:lnTo>
                                  <a:pt x="363999" y="145599"/>
                                </a:lnTo>
                                <a:lnTo>
                                  <a:pt x="0" y="145599"/>
                                </a:lnTo>
                                <a:lnTo>
                                  <a:pt x="0" y="0"/>
                                </a:lnTo>
                                <a:close/>
                              </a:path>
                            </a:pathLst>
                          </a:custGeom>
                          <a:solidFill>
                            <a:srgbClr val="CCEDFF"/>
                          </a:solidFill>
                        </wps:spPr>
                        <wps:bodyPr wrap="square" lIns="0" tIns="0" rIns="0" bIns="0" rtlCol="0">
                          <a:prstTxWarp prst="textNoShape">
                            <a:avLst/>
                          </a:prstTxWarp>
                          <a:noAutofit/>
                        </wps:bodyPr>
                      </wps:wsp>
                      <wps:wsp>
                        <wps:cNvPr id="543" name="Graphic 543"/>
                        <wps:cNvSpPr/>
                        <wps:spPr>
                          <a:xfrm>
                            <a:off x="5670299" y="121337"/>
                            <a:ext cx="364490" cy="24765"/>
                          </a:xfrm>
                          <a:custGeom>
                            <a:avLst/>
                            <a:gdLst/>
                            <a:ahLst/>
                            <a:cxnLst/>
                            <a:rect l="l" t="t" r="r" b="b"/>
                            <a:pathLst>
                              <a:path w="364490" h="24765">
                                <a:moveTo>
                                  <a:pt x="363994" y="16179"/>
                                </a:moveTo>
                                <a:lnTo>
                                  <a:pt x="0" y="16179"/>
                                </a:lnTo>
                                <a:lnTo>
                                  <a:pt x="0" y="24269"/>
                                </a:lnTo>
                                <a:lnTo>
                                  <a:pt x="363994" y="24269"/>
                                </a:lnTo>
                                <a:lnTo>
                                  <a:pt x="363994" y="16179"/>
                                </a:lnTo>
                                <a:close/>
                              </a:path>
                              <a:path w="364490" h="24765">
                                <a:moveTo>
                                  <a:pt x="363994" y="0"/>
                                </a:moveTo>
                                <a:lnTo>
                                  <a:pt x="0" y="0"/>
                                </a:lnTo>
                                <a:lnTo>
                                  <a:pt x="0" y="8089"/>
                                </a:lnTo>
                                <a:lnTo>
                                  <a:pt x="363994" y="8089"/>
                                </a:lnTo>
                                <a:lnTo>
                                  <a:pt x="363994" y="0"/>
                                </a:lnTo>
                                <a:close/>
                              </a:path>
                            </a:pathLst>
                          </a:custGeom>
                          <a:solidFill>
                            <a:srgbClr val="000000"/>
                          </a:solidFill>
                        </wps:spPr>
                        <wps:bodyPr wrap="square" lIns="0" tIns="0" rIns="0" bIns="0" rtlCol="0">
                          <a:prstTxWarp prst="textNoShape">
                            <a:avLst/>
                          </a:prstTxWarp>
                          <a:noAutofit/>
                        </wps:bodyPr>
                      </wps:wsp>
                      <pic:pic>
                        <pic:nvPicPr>
                          <pic:cNvPr id="544" name="Image 544"/>
                          <pic:cNvPicPr/>
                        </pic:nvPicPr>
                        <pic:blipFill>
                          <a:blip r:embed="rId92" cstate="print"/>
                          <a:stretch>
                            <a:fillRect/>
                          </a:stretch>
                        </pic:blipFill>
                        <pic:spPr>
                          <a:xfrm>
                            <a:off x="6034301" y="0"/>
                            <a:ext cx="242666" cy="145599"/>
                          </a:xfrm>
                          <a:prstGeom prst="rect">
                            <a:avLst/>
                          </a:prstGeom>
                        </pic:spPr>
                      </pic:pic>
                      <wps:wsp>
                        <wps:cNvPr id="545" name="Graphic 545"/>
                        <wps:cNvSpPr/>
                        <wps:spPr>
                          <a:xfrm>
                            <a:off x="6276967" y="0"/>
                            <a:ext cx="364490" cy="146050"/>
                          </a:xfrm>
                          <a:custGeom>
                            <a:avLst/>
                            <a:gdLst/>
                            <a:ahLst/>
                            <a:cxnLst/>
                            <a:rect l="l" t="t" r="r" b="b"/>
                            <a:pathLst>
                              <a:path w="364490" h="146050">
                                <a:moveTo>
                                  <a:pt x="0" y="0"/>
                                </a:moveTo>
                                <a:lnTo>
                                  <a:pt x="363999" y="0"/>
                                </a:lnTo>
                                <a:lnTo>
                                  <a:pt x="363999" y="145599"/>
                                </a:lnTo>
                                <a:lnTo>
                                  <a:pt x="0" y="145599"/>
                                </a:lnTo>
                                <a:lnTo>
                                  <a:pt x="0" y="0"/>
                                </a:lnTo>
                                <a:close/>
                              </a:path>
                            </a:pathLst>
                          </a:custGeom>
                          <a:solidFill>
                            <a:srgbClr val="CCEDFF"/>
                          </a:solidFill>
                        </wps:spPr>
                        <wps:bodyPr wrap="square" lIns="0" tIns="0" rIns="0" bIns="0" rtlCol="0">
                          <a:prstTxWarp prst="textNoShape">
                            <a:avLst/>
                          </a:prstTxWarp>
                          <a:noAutofit/>
                        </wps:bodyPr>
                      </wps:wsp>
                      <wps:wsp>
                        <wps:cNvPr id="546" name="Graphic 546"/>
                        <wps:cNvSpPr/>
                        <wps:spPr>
                          <a:xfrm>
                            <a:off x="6276966" y="121337"/>
                            <a:ext cx="364490" cy="24765"/>
                          </a:xfrm>
                          <a:custGeom>
                            <a:avLst/>
                            <a:gdLst/>
                            <a:ahLst/>
                            <a:cxnLst/>
                            <a:rect l="l" t="t" r="r" b="b"/>
                            <a:pathLst>
                              <a:path w="364490" h="24765">
                                <a:moveTo>
                                  <a:pt x="363994" y="16179"/>
                                </a:moveTo>
                                <a:lnTo>
                                  <a:pt x="0" y="16179"/>
                                </a:lnTo>
                                <a:lnTo>
                                  <a:pt x="0" y="24269"/>
                                </a:lnTo>
                                <a:lnTo>
                                  <a:pt x="363994" y="24269"/>
                                </a:lnTo>
                                <a:lnTo>
                                  <a:pt x="363994" y="16179"/>
                                </a:lnTo>
                                <a:close/>
                              </a:path>
                              <a:path w="364490" h="24765">
                                <a:moveTo>
                                  <a:pt x="363994" y="0"/>
                                </a:moveTo>
                                <a:lnTo>
                                  <a:pt x="0" y="0"/>
                                </a:lnTo>
                                <a:lnTo>
                                  <a:pt x="0" y="8089"/>
                                </a:lnTo>
                                <a:lnTo>
                                  <a:pt x="363994" y="8089"/>
                                </a:lnTo>
                                <a:lnTo>
                                  <a:pt x="363994" y="0"/>
                                </a:lnTo>
                                <a:close/>
                              </a:path>
                            </a:pathLst>
                          </a:custGeom>
                          <a:solidFill>
                            <a:srgbClr val="000000"/>
                          </a:solidFill>
                        </wps:spPr>
                        <wps:bodyPr wrap="square" lIns="0" tIns="0" rIns="0" bIns="0" rtlCol="0">
                          <a:prstTxWarp prst="textNoShape">
                            <a:avLst/>
                          </a:prstTxWarp>
                          <a:noAutofit/>
                        </wps:bodyPr>
                      </wps:wsp>
                      <pic:pic>
                        <pic:nvPicPr>
                          <pic:cNvPr id="547" name="Image 547"/>
                          <pic:cNvPicPr/>
                        </pic:nvPicPr>
                        <pic:blipFill>
                          <a:blip r:embed="rId93" cstate="print"/>
                          <a:stretch>
                            <a:fillRect/>
                          </a:stretch>
                        </pic:blipFill>
                        <pic:spPr>
                          <a:xfrm>
                            <a:off x="6640966" y="0"/>
                            <a:ext cx="226488" cy="145599"/>
                          </a:xfrm>
                          <a:prstGeom prst="rect">
                            <a:avLst/>
                          </a:prstGeom>
                        </pic:spPr>
                      </pic:pic>
                      <wps:wsp>
                        <wps:cNvPr id="548" name="Graphic 548"/>
                        <wps:cNvSpPr/>
                        <wps:spPr>
                          <a:xfrm>
                            <a:off x="6867455" y="0"/>
                            <a:ext cx="364490" cy="146050"/>
                          </a:xfrm>
                          <a:custGeom>
                            <a:avLst/>
                            <a:gdLst/>
                            <a:ahLst/>
                            <a:cxnLst/>
                            <a:rect l="l" t="t" r="r" b="b"/>
                            <a:pathLst>
                              <a:path w="364490" h="146050">
                                <a:moveTo>
                                  <a:pt x="0" y="0"/>
                                </a:moveTo>
                                <a:lnTo>
                                  <a:pt x="363999" y="0"/>
                                </a:lnTo>
                                <a:lnTo>
                                  <a:pt x="363999" y="145599"/>
                                </a:lnTo>
                                <a:lnTo>
                                  <a:pt x="0" y="145599"/>
                                </a:lnTo>
                                <a:lnTo>
                                  <a:pt x="0" y="0"/>
                                </a:lnTo>
                                <a:close/>
                              </a:path>
                            </a:pathLst>
                          </a:custGeom>
                          <a:solidFill>
                            <a:srgbClr val="CCEDFF"/>
                          </a:solidFill>
                        </wps:spPr>
                        <wps:bodyPr wrap="square" lIns="0" tIns="0" rIns="0" bIns="0" rtlCol="0">
                          <a:prstTxWarp prst="textNoShape">
                            <a:avLst/>
                          </a:prstTxWarp>
                          <a:noAutofit/>
                        </wps:bodyPr>
                      </wps:wsp>
                      <wps:wsp>
                        <wps:cNvPr id="549" name="Graphic 549"/>
                        <wps:cNvSpPr/>
                        <wps:spPr>
                          <a:xfrm>
                            <a:off x="6867452" y="121337"/>
                            <a:ext cx="364490" cy="24765"/>
                          </a:xfrm>
                          <a:custGeom>
                            <a:avLst/>
                            <a:gdLst/>
                            <a:ahLst/>
                            <a:cxnLst/>
                            <a:rect l="l" t="t" r="r" b="b"/>
                            <a:pathLst>
                              <a:path w="364490" h="24765">
                                <a:moveTo>
                                  <a:pt x="363994" y="16179"/>
                                </a:moveTo>
                                <a:lnTo>
                                  <a:pt x="0" y="16179"/>
                                </a:lnTo>
                                <a:lnTo>
                                  <a:pt x="0" y="24269"/>
                                </a:lnTo>
                                <a:lnTo>
                                  <a:pt x="363994" y="24269"/>
                                </a:lnTo>
                                <a:lnTo>
                                  <a:pt x="363994" y="16179"/>
                                </a:lnTo>
                                <a:close/>
                              </a:path>
                              <a:path w="364490" h="24765">
                                <a:moveTo>
                                  <a:pt x="363994" y="0"/>
                                </a:moveTo>
                                <a:lnTo>
                                  <a:pt x="0" y="0"/>
                                </a:lnTo>
                                <a:lnTo>
                                  <a:pt x="0" y="8089"/>
                                </a:lnTo>
                                <a:lnTo>
                                  <a:pt x="363994" y="8089"/>
                                </a:lnTo>
                                <a:lnTo>
                                  <a:pt x="363994"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7231454" y="0"/>
                            <a:ext cx="81280" cy="146050"/>
                          </a:xfrm>
                          <a:custGeom>
                            <a:avLst/>
                            <a:gdLst/>
                            <a:ahLst/>
                            <a:cxnLst/>
                            <a:rect l="l" t="t" r="r" b="b"/>
                            <a:pathLst>
                              <a:path w="81280" h="146050">
                                <a:moveTo>
                                  <a:pt x="0" y="0"/>
                                </a:moveTo>
                                <a:lnTo>
                                  <a:pt x="80888" y="0"/>
                                </a:lnTo>
                                <a:lnTo>
                                  <a:pt x="80888" y="145599"/>
                                </a:lnTo>
                                <a:lnTo>
                                  <a:pt x="0" y="145599"/>
                                </a:lnTo>
                                <a:lnTo>
                                  <a:pt x="0" y="0"/>
                                </a:lnTo>
                                <a:close/>
                              </a:path>
                            </a:pathLst>
                          </a:custGeom>
                          <a:solidFill>
                            <a:srgbClr val="CCEDFF"/>
                          </a:solidFill>
                        </wps:spPr>
                        <wps:bodyPr wrap="square" lIns="0" tIns="0" rIns="0" bIns="0" rtlCol="0">
                          <a:prstTxWarp prst="textNoShape">
                            <a:avLst/>
                          </a:prstTxWarp>
                          <a:noAutofit/>
                        </wps:bodyPr>
                      </wps:wsp>
                      <wps:wsp>
                        <wps:cNvPr id="551" name="Graphic 551"/>
                        <wps:cNvSpPr/>
                        <wps:spPr>
                          <a:xfrm>
                            <a:off x="7231446" y="121337"/>
                            <a:ext cx="81280" cy="24765"/>
                          </a:xfrm>
                          <a:custGeom>
                            <a:avLst/>
                            <a:gdLst/>
                            <a:ahLst/>
                            <a:cxnLst/>
                            <a:rect l="l" t="t" r="r" b="b"/>
                            <a:pathLst>
                              <a:path w="81280" h="24765">
                                <a:moveTo>
                                  <a:pt x="80886" y="16179"/>
                                </a:moveTo>
                                <a:lnTo>
                                  <a:pt x="0" y="16179"/>
                                </a:lnTo>
                                <a:lnTo>
                                  <a:pt x="0" y="24269"/>
                                </a:lnTo>
                                <a:lnTo>
                                  <a:pt x="80886" y="24269"/>
                                </a:lnTo>
                                <a:lnTo>
                                  <a:pt x="80886" y="16179"/>
                                </a:lnTo>
                                <a:close/>
                              </a:path>
                              <a:path w="81280" h="24765">
                                <a:moveTo>
                                  <a:pt x="80886" y="0"/>
                                </a:moveTo>
                                <a:lnTo>
                                  <a:pt x="0" y="0"/>
                                </a:lnTo>
                                <a:lnTo>
                                  <a:pt x="0" y="8089"/>
                                </a:lnTo>
                                <a:lnTo>
                                  <a:pt x="80886" y="8089"/>
                                </a:lnTo>
                                <a:lnTo>
                                  <a:pt x="80886" y="0"/>
                                </a:lnTo>
                                <a:close/>
                              </a:path>
                            </a:pathLst>
                          </a:custGeom>
                          <a:solidFill>
                            <a:srgbClr val="000000"/>
                          </a:solidFill>
                        </wps:spPr>
                        <wps:bodyPr wrap="square" lIns="0" tIns="0" rIns="0" bIns="0" rtlCol="0">
                          <a:prstTxWarp prst="textNoShape">
                            <a:avLst/>
                          </a:prstTxWarp>
                          <a:noAutofit/>
                        </wps:bodyPr>
                      </wps:wsp>
                      <wps:wsp>
                        <wps:cNvPr id="552" name="Textbox 552"/>
                        <wps:cNvSpPr txBox="1"/>
                        <wps:spPr>
                          <a:xfrm>
                            <a:off x="0" y="2480"/>
                            <a:ext cx="1482090" cy="107950"/>
                          </a:xfrm>
                          <a:prstGeom prst="rect">
                            <a:avLst/>
                          </a:prstGeom>
                        </wps:spPr>
                        <wps:txbx>
                          <w:txbxContent>
                            <w:p>
                              <w:pPr>
                                <w:spacing w:line="169" w:lineRule="exact" w:before="0"/>
                                <w:ind w:left="0" w:right="0" w:firstLine="0"/>
                                <w:jc w:val="left"/>
                                <w:rPr>
                                  <w:sz w:val="15"/>
                                </w:rPr>
                              </w:pPr>
                              <w:r>
                                <w:rPr>
                                  <w:sz w:val="15"/>
                                </w:rPr>
                                <w:t>Employee</w:t>
                              </w:r>
                              <w:r>
                                <w:rPr>
                                  <w:spacing w:val="2"/>
                                  <w:sz w:val="15"/>
                                </w:rPr>
                                <w:t> </w:t>
                              </w:r>
                              <w:r>
                                <w:rPr>
                                  <w:sz w:val="15"/>
                                </w:rPr>
                                <w:t>contributions</w:t>
                              </w:r>
                              <w:r>
                                <w:rPr>
                                  <w:spacing w:val="2"/>
                                  <w:sz w:val="15"/>
                                </w:rPr>
                                <w:t> </w:t>
                              </w:r>
                              <w:r>
                                <w:rPr>
                                  <w:sz w:val="15"/>
                                </w:rPr>
                                <w:t>crediting</w:t>
                              </w:r>
                              <w:r>
                                <w:rPr>
                                  <w:spacing w:val="3"/>
                                  <w:sz w:val="15"/>
                                </w:rPr>
                                <w:t> </w:t>
                              </w:r>
                              <w:r>
                                <w:rPr>
                                  <w:spacing w:val="-4"/>
                                  <w:sz w:val="15"/>
                                </w:rPr>
                                <w:t>rate</w:t>
                              </w:r>
                            </w:p>
                          </w:txbxContent>
                        </wps:txbx>
                        <wps:bodyPr wrap="square" lIns="0" tIns="0" rIns="0" bIns="0" rtlCol="0">
                          <a:noAutofit/>
                        </wps:bodyPr>
                      </wps:wsp>
                      <wps:wsp>
                        <wps:cNvPr id="553" name="Textbox 553"/>
                        <wps:cNvSpPr txBox="1"/>
                        <wps:spPr>
                          <a:xfrm>
                            <a:off x="2297240" y="2480"/>
                            <a:ext cx="280035" cy="107950"/>
                          </a:xfrm>
                          <a:prstGeom prst="rect">
                            <a:avLst/>
                          </a:prstGeom>
                        </wps:spPr>
                        <wps:txbx>
                          <w:txbxContent>
                            <w:p>
                              <w:pPr>
                                <w:spacing w:line="169" w:lineRule="exact" w:before="0"/>
                                <w:ind w:left="0" w:right="0" w:firstLine="0"/>
                                <w:jc w:val="left"/>
                                <w:rPr>
                                  <w:b/>
                                  <w:sz w:val="15"/>
                                </w:rPr>
                              </w:pPr>
                              <w:r>
                                <w:rPr>
                                  <w:b/>
                                  <w:spacing w:val="-2"/>
                                  <w:sz w:val="15"/>
                                </w:rPr>
                                <w:t>0.62%</w:t>
                              </w:r>
                            </w:p>
                          </w:txbxContent>
                        </wps:txbx>
                        <wps:bodyPr wrap="square" lIns="0" tIns="0" rIns="0" bIns="0" rtlCol="0">
                          <a:noAutofit/>
                        </wps:bodyPr>
                      </wps:wsp>
                      <wps:wsp>
                        <wps:cNvPr id="554" name="Textbox 554"/>
                        <wps:cNvSpPr txBox="1"/>
                        <wps:spPr>
                          <a:xfrm>
                            <a:off x="2895817" y="2480"/>
                            <a:ext cx="263525" cy="107950"/>
                          </a:xfrm>
                          <a:prstGeom prst="rect">
                            <a:avLst/>
                          </a:prstGeom>
                        </wps:spPr>
                        <wps:txbx>
                          <w:txbxContent>
                            <w:p>
                              <w:pPr>
                                <w:spacing w:line="169" w:lineRule="exact" w:before="0"/>
                                <w:ind w:left="0" w:right="0" w:firstLine="0"/>
                                <w:jc w:val="left"/>
                                <w:rPr>
                                  <w:sz w:val="15"/>
                                </w:rPr>
                              </w:pPr>
                              <w:r>
                                <w:rPr>
                                  <w:spacing w:val="-2"/>
                                  <w:sz w:val="15"/>
                                </w:rPr>
                                <w:t>2.03%</w:t>
                              </w:r>
                            </w:p>
                          </w:txbxContent>
                        </wps:txbx>
                        <wps:bodyPr wrap="square" lIns="0" tIns="0" rIns="0" bIns="0" rtlCol="0">
                          <a:noAutofit/>
                        </wps:bodyPr>
                      </wps:wsp>
                      <wps:wsp>
                        <wps:cNvPr id="555" name="Textbox 555"/>
                        <wps:cNvSpPr txBox="1"/>
                        <wps:spPr>
                          <a:xfrm>
                            <a:off x="3486305" y="2480"/>
                            <a:ext cx="263525" cy="107950"/>
                          </a:xfrm>
                          <a:prstGeom prst="rect">
                            <a:avLst/>
                          </a:prstGeom>
                        </wps:spPr>
                        <wps:txbx>
                          <w:txbxContent>
                            <w:p>
                              <w:pPr>
                                <w:spacing w:line="169" w:lineRule="exact" w:before="0"/>
                                <w:ind w:left="0" w:right="0" w:firstLine="0"/>
                                <w:jc w:val="left"/>
                                <w:rPr>
                                  <w:sz w:val="15"/>
                                </w:rPr>
                              </w:pPr>
                              <w:r>
                                <w:rPr>
                                  <w:spacing w:val="-2"/>
                                  <w:sz w:val="15"/>
                                </w:rPr>
                                <w:t>3.47%</w:t>
                              </w:r>
                            </w:p>
                          </w:txbxContent>
                        </wps:txbx>
                        <wps:bodyPr wrap="square" lIns="0" tIns="0" rIns="0" bIns="0" rtlCol="0">
                          <a:noAutofit/>
                        </wps:bodyPr>
                      </wps:wsp>
                    </wpg:wgp>
                  </a:graphicData>
                </a:graphic>
              </wp:inline>
            </w:drawing>
          </mc:Choice>
          <mc:Fallback>
            <w:pict>
              <v:group style="width:575.8pt;height:11.5pt;mso-position-horizontal-relative:char;mso-position-vertical-relative:line" id="docshapegroup516" coordorigin="0,0" coordsize="11516,230">
                <v:rect style="position:absolute;left:0;top:0;width:3096;height:230" id="docshape517" filled="true" fillcolor="#ccedff" stroked="false">
                  <v:fill type="solid"/>
                </v:rect>
                <v:shape style="position:absolute;left:-1;top:191;width:3096;height:39" id="docshape518" coordorigin="0,191" coordsize="3096,39" path="m3095,217l0,217,0,229,3095,229,3095,217xm3095,191l0,191,0,204,3095,204,3095,191xe" filled="true" fillcolor="#000000" stroked="false">
                  <v:path arrowok="t"/>
                  <v:fill type="solid"/>
                </v:shape>
                <v:rect style="position:absolute;left:3095;top:0;width:115;height:230" id="docshape519" filled="true" fillcolor="#ccedff" stroked="false">
                  <v:fill type="solid"/>
                </v:rect>
                <v:shape style="position:absolute;left:3095;top:191;width:115;height:39" id="docshape520" coordorigin="3095,191" coordsize="115,39" path="m3210,217l3095,217,3095,229,3210,229,3210,217xm3210,191l3095,191,3095,204,3210,204,3210,191xe" filled="true" fillcolor="#000000" stroked="false">
                  <v:path arrowok="t"/>
                  <v:fill type="solid"/>
                </v:shape>
                <v:rect style="position:absolute;left:3210;top:0;width:115;height:230" id="docshape521" filled="true" fillcolor="#ccedff" stroked="false">
                  <v:fill type="solid"/>
                </v:rect>
                <v:shape style="position:absolute;left:3210;top:191;width:115;height:39" id="docshape522" coordorigin="3210,191" coordsize="115,39" path="m3325,217l3210,217,3210,229,3325,229,3325,217xm3325,191l3210,191,3210,204,3325,204,3325,191xe" filled="true" fillcolor="#000000" stroked="false">
                  <v:path arrowok="t"/>
                  <v:fill type="solid"/>
                </v:shape>
                <v:rect style="position:absolute;left:3324;top:0;width:561;height:230" id="docshape523" filled="true" fillcolor="#ccedff" stroked="false">
                  <v:fill type="solid"/>
                </v:rect>
                <v:shape style="position:absolute;left:3324;top:191;width:561;height:39" id="docshape524" coordorigin="3325,191" coordsize="561,39" path="m3885,217l3325,217,3325,229,3885,229,3885,217xm3885,191l3325,191,3325,204,3885,204,3885,191xe" filled="true" fillcolor="#000000" stroked="false">
                  <v:path arrowok="t"/>
                  <v:fill type="solid"/>
                </v:shape>
                <v:shape style="position:absolute;left:3885;top:0;width:383;height:230" type="#_x0000_t75" id="docshape525" stroked="false">
                  <v:imagedata r:id="rId92" o:title=""/>
                </v:shape>
                <v:rect style="position:absolute;left:4267;top:0;width:561;height:230" id="docshape526" filled="true" fillcolor="#ccedff" stroked="false">
                  <v:fill type="solid"/>
                </v:rect>
                <v:shape style="position:absolute;left:4267;top:191;width:561;height:39" id="docshape527" coordorigin="4267,191" coordsize="561,39" path="m4828,217l4267,217,4267,229,4828,229,4828,217xm4828,191l4267,191,4267,204,4828,204,4828,191xe" filled="true" fillcolor="#000000" stroked="false">
                  <v:path arrowok="t"/>
                  <v:fill type="solid"/>
                </v:shape>
                <v:shape style="position:absolute;left:4827;top:0;width:357;height:230" type="#_x0000_t75" id="docshape528" stroked="false">
                  <v:imagedata r:id="rId93" o:title=""/>
                </v:shape>
                <v:rect style="position:absolute;left:5184;top:0;width:574;height:230" id="docshape529" filled="true" fillcolor="#ccedff" stroked="false">
                  <v:fill type="solid"/>
                </v:rect>
                <v:shape style="position:absolute;left:5184;top:191;width:574;height:39" id="docshape530" coordorigin="5185,191" coordsize="574,39" path="m5758,217l5185,217,5185,229,5758,229,5758,217xm5758,191l5185,191,5185,204,5758,204,5758,191xe" filled="true" fillcolor="#000000" stroked="false">
                  <v:path arrowok="t"/>
                  <v:fill type="solid"/>
                </v:shape>
                <v:shape style="position:absolute;left:5757;top:0;width:357;height:230" type="#_x0000_t75" id="docshape531" stroked="false">
                  <v:imagedata r:id="rId93" o:title=""/>
                </v:shape>
                <v:rect style="position:absolute;left:6114;top:0;width:574;height:230" id="docshape532" filled="true" fillcolor="#ccedff" stroked="false">
                  <v:fill type="solid"/>
                </v:rect>
                <v:shape style="position:absolute;left:6114;top:191;width:574;height:39" id="docshape533" coordorigin="6114,191" coordsize="574,39" path="m6688,217l6114,217,6114,229,6688,229,6688,217xm6688,191l6114,191,6114,204,6688,204,6688,191xe" filled="true" fillcolor="#000000" stroked="false">
                  <v:path arrowok="t"/>
                  <v:fill type="solid"/>
                </v:shape>
                <v:shape style="position:absolute;left:6687;top:0;width:383;height:230" type="#_x0000_t75" id="docshape534" stroked="false">
                  <v:imagedata r:id="rId92" o:title=""/>
                </v:shape>
                <v:rect style="position:absolute;left:7069;top:0;width:574;height:230" id="docshape535" filled="true" fillcolor="#ccedff" stroked="false">
                  <v:fill type="solid"/>
                </v:rect>
                <v:shape style="position:absolute;left:7069;top:191;width:574;height:39" id="docshape536" coordorigin="7070,191" coordsize="574,39" path="m7643,217l7070,217,7070,229,7643,229,7643,217xm7643,191l7070,191,7070,204,7643,204,7643,191xe" filled="true" fillcolor="#000000" stroked="false">
                  <v:path arrowok="t"/>
                  <v:fill type="solid"/>
                </v:shape>
                <v:shape style="position:absolute;left:7643;top:0;width:357;height:230" type="#_x0000_t75" id="docshape537" stroked="false">
                  <v:imagedata r:id="rId94" o:title=""/>
                </v:shape>
                <v:rect style="position:absolute;left:7999;top:0;width:574;height:230" id="docshape538" filled="true" fillcolor="#ccedff" stroked="false">
                  <v:fill type="solid"/>
                </v:rect>
                <v:shape style="position:absolute;left:7999;top:191;width:574;height:39" id="docshape539" coordorigin="8000,191" coordsize="574,39" path="m8573,217l8000,217,8000,229,8573,229,8573,217xm8573,191l8000,191,8000,204,8573,204,8573,191xe" filled="true" fillcolor="#000000" stroked="false">
                  <v:path arrowok="t"/>
                  <v:fill type="solid"/>
                </v:shape>
                <v:shape style="position:absolute;left:8572;top:0;width:357;height:230" type="#_x0000_t75" id="docshape540" stroked="false">
                  <v:imagedata r:id="rId94" o:title=""/>
                </v:shape>
                <v:rect style="position:absolute;left:8929;top:0;width:574;height:230" id="docshape541" filled="true" fillcolor="#ccedff" stroked="false">
                  <v:fill type="solid"/>
                </v:rect>
                <v:shape style="position:absolute;left:8929;top:191;width:574;height:39" id="docshape542" coordorigin="8930,191" coordsize="574,39" path="m9503,217l8930,217,8930,229,9503,229,9503,217xm9503,191l8930,191,8930,204,9503,204,9503,191xe" filled="true" fillcolor="#000000" stroked="false">
                  <v:path arrowok="t"/>
                  <v:fill type="solid"/>
                </v:shape>
                <v:shape style="position:absolute;left:9502;top:0;width:383;height:230" type="#_x0000_t75" id="docshape543" stroked="false">
                  <v:imagedata r:id="rId92" o:title=""/>
                </v:shape>
                <v:rect style="position:absolute;left:9884;top:0;width:574;height:230" id="docshape544" filled="true" fillcolor="#ccedff" stroked="false">
                  <v:fill type="solid"/>
                </v:rect>
                <v:shape style="position:absolute;left:9884;top:191;width:574;height:39" id="docshape545" coordorigin="9885,191" coordsize="574,39" path="m10458,217l9885,217,9885,229,10458,229,10458,217xm10458,191l9885,191,9885,204,10458,204,10458,191xe" filled="true" fillcolor="#000000" stroked="false">
                  <v:path arrowok="t"/>
                  <v:fill type="solid"/>
                </v:shape>
                <v:shape style="position:absolute;left:10458;top:0;width:357;height:230" type="#_x0000_t75" id="docshape546" stroked="false">
                  <v:imagedata r:id="rId93" o:title=""/>
                </v:shape>
                <v:rect style="position:absolute;left:10814;top:0;width:574;height:230" id="docshape547" filled="true" fillcolor="#ccedff" stroked="false">
                  <v:fill type="solid"/>
                </v:rect>
                <v:shape style="position:absolute;left:10814;top:191;width:574;height:39" id="docshape548" coordorigin="10815,191" coordsize="574,39" path="m11388,217l10815,217,10815,229,11388,229,11388,217xm11388,191l10815,191,10815,204,11388,204,11388,191xe" filled="true" fillcolor="#000000" stroked="false">
                  <v:path arrowok="t"/>
                  <v:fill type="solid"/>
                </v:shape>
                <v:rect style="position:absolute;left:11388;top:0;width:128;height:230" id="docshape549" filled="true" fillcolor="#ccedff" stroked="false">
                  <v:fill type="solid"/>
                </v:rect>
                <v:shape style="position:absolute;left:11388;top:191;width:128;height:39" id="docshape550" coordorigin="11388,191" coordsize="128,39" path="m11515,217l11388,217,11388,229,11515,229,11515,217xm11515,191l11388,191,11388,204,11515,204,11515,191xe" filled="true" fillcolor="#000000" stroked="false">
                  <v:path arrowok="t"/>
                  <v:fill type="solid"/>
                </v:shape>
                <v:shape style="position:absolute;left:0;top:3;width:2334;height:170" type="#_x0000_t202" id="docshape551" filled="false" stroked="false">
                  <v:textbox inset="0,0,0,0">
                    <w:txbxContent>
                      <w:p>
                        <w:pPr>
                          <w:spacing w:line="169" w:lineRule="exact" w:before="0"/>
                          <w:ind w:left="0" w:right="0" w:firstLine="0"/>
                          <w:jc w:val="left"/>
                          <w:rPr>
                            <w:sz w:val="15"/>
                          </w:rPr>
                        </w:pPr>
                        <w:r>
                          <w:rPr>
                            <w:sz w:val="15"/>
                          </w:rPr>
                          <w:t>Employee</w:t>
                        </w:r>
                        <w:r>
                          <w:rPr>
                            <w:spacing w:val="2"/>
                            <w:sz w:val="15"/>
                          </w:rPr>
                          <w:t> </w:t>
                        </w:r>
                        <w:r>
                          <w:rPr>
                            <w:sz w:val="15"/>
                          </w:rPr>
                          <w:t>contributions</w:t>
                        </w:r>
                        <w:r>
                          <w:rPr>
                            <w:spacing w:val="2"/>
                            <w:sz w:val="15"/>
                          </w:rPr>
                          <w:t> </w:t>
                        </w:r>
                        <w:r>
                          <w:rPr>
                            <w:sz w:val="15"/>
                          </w:rPr>
                          <w:t>crediting</w:t>
                        </w:r>
                        <w:r>
                          <w:rPr>
                            <w:spacing w:val="3"/>
                            <w:sz w:val="15"/>
                          </w:rPr>
                          <w:t> </w:t>
                        </w:r>
                        <w:r>
                          <w:rPr>
                            <w:spacing w:val="-4"/>
                            <w:sz w:val="15"/>
                          </w:rPr>
                          <w:t>rate</w:t>
                        </w:r>
                      </w:p>
                    </w:txbxContent>
                  </v:textbox>
                  <w10:wrap type="none"/>
                </v:shape>
                <v:shape style="position:absolute;left:3617;top:3;width:441;height:170" type="#_x0000_t202" id="docshape552" filled="false" stroked="false">
                  <v:textbox inset="0,0,0,0">
                    <w:txbxContent>
                      <w:p>
                        <w:pPr>
                          <w:spacing w:line="169" w:lineRule="exact" w:before="0"/>
                          <w:ind w:left="0" w:right="0" w:firstLine="0"/>
                          <w:jc w:val="left"/>
                          <w:rPr>
                            <w:b/>
                            <w:sz w:val="15"/>
                          </w:rPr>
                        </w:pPr>
                        <w:r>
                          <w:rPr>
                            <w:b/>
                            <w:spacing w:val="-2"/>
                            <w:sz w:val="15"/>
                          </w:rPr>
                          <w:t>0.62%</w:t>
                        </w:r>
                      </w:p>
                    </w:txbxContent>
                  </v:textbox>
                  <w10:wrap type="none"/>
                </v:shape>
                <v:shape style="position:absolute;left:4560;top:3;width:415;height:170" type="#_x0000_t202" id="docshape553" filled="false" stroked="false">
                  <v:textbox inset="0,0,0,0">
                    <w:txbxContent>
                      <w:p>
                        <w:pPr>
                          <w:spacing w:line="169" w:lineRule="exact" w:before="0"/>
                          <w:ind w:left="0" w:right="0" w:firstLine="0"/>
                          <w:jc w:val="left"/>
                          <w:rPr>
                            <w:sz w:val="15"/>
                          </w:rPr>
                        </w:pPr>
                        <w:r>
                          <w:rPr>
                            <w:spacing w:val="-2"/>
                            <w:sz w:val="15"/>
                          </w:rPr>
                          <w:t>2.03%</w:t>
                        </w:r>
                      </w:p>
                    </w:txbxContent>
                  </v:textbox>
                  <w10:wrap type="none"/>
                </v:shape>
                <v:shape style="position:absolute;left:5490;top:3;width:415;height:170" type="#_x0000_t202" id="docshape554" filled="false" stroked="false">
                  <v:textbox inset="0,0,0,0">
                    <w:txbxContent>
                      <w:p>
                        <w:pPr>
                          <w:spacing w:line="169" w:lineRule="exact" w:before="0"/>
                          <w:ind w:left="0" w:right="0" w:firstLine="0"/>
                          <w:jc w:val="left"/>
                          <w:rPr>
                            <w:sz w:val="15"/>
                          </w:rPr>
                        </w:pPr>
                        <w:r>
                          <w:rPr>
                            <w:spacing w:val="-2"/>
                            <w:sz w:val="15"/>
                          </w:rPr>
                          <w:t>3.47%</w:t>
                        </w:r>
                      </w:p>
                    </w:txbxContent>
                  </v:textbox>
                  <w10:wrap type="none"/>
                </v:shape>
              </v:group>
            </w:pict>
          </mc:Fallback>
        </mc:AlternateContent>
      </w:r>
      <w:r>
        <w:rPr>
          <w:position w:val="-4"/>
          <w:sz w:val="20"/>
        </w:rPr>
      </w:r>
    </w:p>
    <w:p>
      <w:pPr>
        <w:pStyle w:val="BodyText"/>
        <w:spacing w:before="23"/>
      </w:pPr>
    </w:p>
    <w:p>
      <w:pPr>
        <w:pStyle w:val="BodyText"/>
        <w:ind w:left="156"/>
      </w:pPr>
      <w:r>
        <w:rPr>
          <w:w w:val="105"/>
        </w:rPr>
        <w:t>Assumed</w:t>
      </w:r>
      <w:r>
        <w:rPr>
          <w:spacing w:val="-8"/>
          <w:w w:val="105"/>
        </w:rPr>
        <w:t> </w:t>
      </w:r>
      <w:r>
        <w:rPr>
          <w:w w:val="105"/>
        </w:rPr>
        <w:t>health</w:t>
      </w:r>
      <w:r>
        <w:rPr>
          <w:spacing w:val="-8"/>
          <w:w w:val="105"/>
        </w:rPr>
        <w:t> </w:t>
      </w:r>
      <w:r>
        <w:rPr>
          <w:w w:val="105"/>
        </w:rPr>
        <w:t>care</w:t>
      </w:r>
      <w:r>
        <w:rPr>
          <w:spacing w:val="-8"/>
          <w:w w:val="105"/>
        </w:rPr>
        <w:t> </w:t>
      </w:r>
      <w:r>
        <w:rPr>
          <w:w w:val="105"/>
        </w:rPr>
        <w:t>trend</w:t>
      </w:r>
      <w:r>
        <w:rPr>
          <w:spacing w:val="-7"/>
          <w:w w:val="105"/>
        </w:rPr>
        <w:t> </w:t>
      </w:r>
      <w:r>
        <w:rPr>
          <w:w w:val="105"/>
        </w:rPr>
        <w:t>rates</w:t>
      </w:r>
      <w:r>
        <w:rPr>
          <w:spacing w:val="-8"/>
          <w:w w:val="105"/>
        </w:rPr>
        <w:t> </w:t>
      </w:r>
      <w:r>
        <w:rPr>
          <w:w w:val="105"/>
        </w:rPr>
        <w:t>are</w:t>
      </w:r>
      <w:r>
        <w:rPr>
          <w:spacing w:val="-8"/>
          <w:w w:val="105"/>
        </w:rPr>
        <w:t> </w:t>
      </w:r>
      <w:r>
        <w:rPr>
          <w:w w:val="105"/>
        </w:rPr>
        <w:t>as</w:t>
      </w:r>
      <w:r>
        <w:rPr>
          <w:spacing w:val="-8"/>
          <w:w w:val="105"/>
        </w:rPr>
        <w:t> </w:t>
      </w:r>
      <w:r>
        <w:rPr>
          <w:spacing w:val="-2"/>
          <w:w w:val="105"/>
        </w:rPr>
        <w:t>follows:</w:t>
      </w:r>
    </w:p>
    <w:p>
      <w:pPr>
        <w:pStyle w:val="Heading2"/>
        <w:tabs>
          <w:tab w:pos="8850" w:val="left" w:leader="none"/>
          <w:tab w:pos="10952" w:val="right" w:leader="none"/>
        </w:tabs>
        <w:spacing w:before="160"/>
        <w:rPr>
          <w:b w:val="0"/>
        </w:rPr>
      </w:pPr>
      <w:r>
        <w:rPr/>
        <mc:AlternateContent>
          <mc:Choice Requires="wps">
            <w:drawing>
              <wp:anchor distT="0" distB="0" distL="0" distR="0" allowOverlap="1" layoutInCell="1" locked="0" behindDoc="0" simplePos="0" relativeHeight="15856640">
                <wp:simplePos x="0" y="0"/>
                <wp:positionH relativeFrom="page">
                  <wp:posOffset>226479</wp:posOffset>
                </wp:positionH>
                <wp:positionV relativeFrom="paragraph">
                  <wp:posOffset>83574</wp:posOffset>
                </wp:positionV>
                <wp:extent cx="7312659" cy="16510"/>
                <wp:effectExtent l="0" t="0" r="0" b="0"/>
                <wp:wrapNone/>
                <wp:docPr id="556" name="Graphic 556"/>
                <wp:cNvGraphicFramePr>
                  <a:graphicFrameLocks/>
                </wp:cNvGraphicFramePr>
                <a:graphic>
                  <a:graphicData uri="http://schemas.microsoft.com/office/word/2010/wordprocessingShape">
                    <wps:wsp>
                      <wps:cNvPr id="556" name="Graphic 556"/>
                      <wps:cNvSpPr/>
                      <wps:spPr>
                        <a:xfrm>
                          <a:off x="0" y="0"/>
                          <a:ext cx="7312659" cy="16510"/>
                        </a:xfrm>
                        <a:custGeom>
                          <a:avLst/>
                          <a:gdLst/>
                          <a:ahLst/>
                          <a:cxnLst/>
                          <a:rect l="l" t="t" r="r" b="b"/>
                          <a:pathLst>
                            <a:path w="7312659" h="16510">
                              <a:moveTo>
                                <a:pt x="7312342" y="0"/>
                              </a:moveTo>
                              <a:lnTo>
                                <a:pt x="7312342" y="0"/>
                              </a:lnTo>
                              <a:lnTo>
                                <a:pt x="0" y="0"/>
                              </a:lnTo>
                              <a:lnTo>
                                <a:pt x="0"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8066pt;width:575.775027pt;height:1.273pt;mso-position-horizontal-relative:page;mso-position-vertical-relative:paragraph;z-index:15856640" id="docshape55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7152">
                <wp:simplePos x="0" y="0"/>
                <wp:positionH relativeFrom="page">
                  <wp:posOffset>226488</wp:posOffset>
                </wp:positionH>
                <wp:positionV relativeFrom="paragraph">
                  <wp:posOffset>229163</wp:posOffset>
                </wp:positionV>
                <wp:extent cx="7312659" cy="137795"/>
                <wp:effectExtent l="0" t="0" r="0" b="0"/>
                <wp:wrapNone/>
                <wp:docPr id="557" name="Group 557"/>
                <wp:cNvGraphicFramePr>
                  <a:graphicFrameLocks/>
                </wp:cNvGraphicFramePr>
                <a:graphic>
                  <a:graphicData uri="http://schemas.microsoft.com/office/word/2010/wordprocessingGroup">
                    <wpg:wgp>
                      <wpg:cNvPr id="557" name="Group 557"/>
                      <wpg:cNvGrpSpPr/>
                      <wpg:grpSpPr>
                        <a:xfrm>
                          <a:off x="0" y="0"/>
                          <a:ext cx="7312659" cy="137795"/>
                          <a:chExt cx="7312659" cy="137795"/>
                        </a:xfrm>
                      </wpg:grpSpPr>
                      <wps:wsp>
                        <wps:cNvPr id="558" name="Graphic 558"/>
                        <wps:cNvSpPr/>
                        <wps:spPr>
                          <a:xfrm>
                            <a:off x="-9" y="3"/>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9" y="8093"/>
                            <a:ext cx="7312659" cy="129539"/>
                          </a:xfrm>
                          <a:custGeom>
                            <a:avLst/>
                            <a:gdLst/>
                            <a:ahLst/>
                            <a:cxnLst/>
                            <a:rect l="l" t="t" r="r" b="b"/>
                            <a:pathLst>
                              <a:path w="7312659" h="129539">
                                <a:moveTo>
                                  <a:pt x="7312342" y="0"/>
                                </a:moveTo>
                                <a:lnTo>
                                  <a:pt x="7312342" y="0"/>
                                </a:lnTo>
                                <a:lnTo>
                                  <a:pt x="0" y="0"/>
                                </a:lnTo>
                                <a:lnTo>
                                  <a:pt x="0" y="129425"/>
                                </a:lnTo>
                                <a:lnTo>
                                  <a:pt x="7312342" y="129425"/>
                                </a:lnTo>
                                <a:lnTo>
                                  <a:pt x="7312342" y="0"/>
                                </a:lnTo>
                                <a:close/>
                              </a:path>
                            </a:pathLst>
                          </a:custGeom>
                          <a:solidFill>
                            <a:srgbClr val="CCEDFF"/>
                          </a:solidFill>
                        </wps:spPr>
                        <wps:bodyPr wrap="square" lIns="0" tIns="0" rIns="0" bIns="0" rtlCol="0">
                          <a:prstTxWarp prst="textNoShape">
                            <a:avLst/>
                          </a:prstTxWarp>
                          <a:noAutofit/>
                        </wps:bodyPr>
                      </wps:wsp>
                      <wps:wsp>
                        <wps:cNvPr id="560" name="Textbox 560"/>
                        <wps:cNvSpPr txBox="1"/>
                        <wps:spPr>
                          <a:xfrm>
                            <a:off x="0" y="8088"/>
                            <a:ext cx="7312659" cy="129539"/>
                          </a:xfrm>
                          <a:prstGeom prst="rect">
                            <a:avLst/>
                          </a:prstGeom>
                        </wps:spPr>
                        <wps:txbx>
                          <w:txbxContent>
                            <w:p>
                              <w:pPr>
                                <w:tabs>
                                  <w:tab w:pos="9314" w:val="left" w:leader="none"/>
                                  <w:tab w:pos="11085" w:val="left" w:leader="none"/>
                                </w:tabs>
                                <w:spacing w:before="3"/>
                                <w:ind w:left="0" w:right="0" w:firstLine="0"/>
                                <w:jc w:val="left"/>
                                <w:rPr>
                                  <w:sz w:val="16"/>
                                </w:rPr>
                              </w:pPr>
                              <w:r>
                                <w:rPr>
                                  <w:w w:val="105"/>
                                  <w:sz w:val="16"/>
                                </w:rPr>
                                <w:t>Health</w:t>
                              </w:r>
                              <w:r>
                                <w:rPr>
                                  <w:spacing w:val="-8"/>
                                  <w:w w:val="105"/>
                                  <w:sz w:val="16"/>
                                </w:rPr>
                                <w:t> </w:t>
                              </w:r>
                              <w:r>
                                <w:rPr>
                                  <w:w w:val="105"/>
                                  <w:sz w:val="16"/>
                                </w:rPr>
                                <w:t>care</w:t>
                              </w:r>
                              <w:r>
                                <w:rPr>
                                  <w:spacing w:val="-7"/>
                                  <w:w w:val="105"/>
                                  <w:sz w:val="16"/>
                                </w:rPr>
                                <w:t> </w:t>
                              </w:r>
                              <w:r>
                                <w:rPr>
                                  <w:w w:val="105"/>
                                  <w:sz w:val="16"/>
                                </w:rPr>
                                <w:t>cost</w:t>
                              </w:r>
                              <w:r>
                                <w:rPr>
                                  <w:spacing w:val="-7"/>
                                  <w:w w:val="105"/>
                                  <w:sz w:val="16"/>
                                </w:rPr>
                                <w:t> </w:t>
                              </w:r>
                              <w:r>
                                <w:rPr>
                                  <w:w w:val="105"/>
                                  <w:sz w:val="16"/>
                                </w:rPr>
                                <w:t>trend</w:t>
                              </w:r>
                              <w:r>
                                <w:rPr>
                                  <w:spacing w:val="-6"/>
                                  <w:w w:val="105"/>
                                  <w:sz w:val="16"/>
                                </w:rPr>
                                <w:t> </w:t>
                              </w:r>
                              <w:r>
                                <w:rPr>
                                  <w:w w:val="105"/>
                                  <w:sz w:val="16"/>
                                </w:rPr>
                                <w:t>rate</w:t>
                              </w:r>
                              <w:r>
                                <w:rPr>
                                  <w:spacing w:val="-7"/>
                                  <w:w w:val="105"/>
                                  <w:sz w:val="16"/>
                                </w:rPr>
                                <w:t> </w:t>
                              </w:r>
                              <w:r>
                                <w:rPr>
                                  <w:w w:val="105"/>
                                  <w:sz w:val="16"/>
                                </w:rPr>
                                <w:t>assumed</w:t>
                              </w:r>
                              <w:r>
                                <w:rPr>
                                  <w:spacing w:val="-8"/>
                                  <w:w w:val="105"/>
                                  <w:sz w:val="16"/>
                                </w:rPr>
                                <w:t> </w:t>
                              </w:r>
                              <w:r>
                                <w:rPr>
                                  <w:w w:val="105"/>
                                  <w:sz w:val="16"/>
                                </w:rPr>
                                <w:t>for</w:t>
                              </w:r>
                              <w:r>
                                <w:rPr>
                                  <w:spacing w:val="-7"/>
                                  <w:w w:val="105"/>
                                  <w:sz w:val="16"/>
                                </w:rPr>
                                <w:t> </w:t>
                              </w:r>
                              <w:r>
                                <w:rPr>
                                  <w:w w:val="105"/>
                                  <w:sz w:val="16"/>
                                </w:rPr>
                                <w:t>next</w:t>
                              </w:r>
                              <w:r>
                                <w:rPr>
                                  <w:spacing w:val="-7"/>
                                  <w:w w:val="105"/>
                                  <w:sz w:val="16"/>
                                </w:rPr>
                                <w:t> </w:t>
                              </w:r>
                              <w:r>
                                <w:rPr>
                                  <w:spacing w:val="-4"/>
                                  <w:w w:val="105"/>
                                  <w:sz w:val="16"/>
                                </w:rPr>
                                <w:t>year</w:t>
                              </w:r>
                              <w:r>
                                <w:rPr>
                                  <w:sz w:val="16"/>
                                </w:rPr>
                                <w:tab/>
                              </w:r>
                              <w:r>
                                <w:rPr>
                                  <w:b/>
                                  <w:spacing w:val="-4"/>
                                  <w:w w:val="105"/>
                                  <w:sz w:val="16"/>
                                </w:rPr>
                                <w:t>6.25%</w:t>
                              </w:r>
                              <w:r>
                                <w:rPr>
                                  <w:b/>
                                  <w:sz w:val="16"/>
                                </w:rPr>
                                <w:tab/>
                              </w:r>
                              <w:r>
                                <w:rPr>
                                  <w:spacing w:val="-4"/>
                                  <w:w w:val="105"/>
                                  <w:sz w:val="16"/>
                                </w:rPr>
                                <w:t>6.50%</w:t>
                              </w:r>
                            </w:p>
                          </w:txbxContent>
                        </wps:txbx>
                        <wps:bodyPr wrap="square" lIns="0" tIns="0" rIns="0" bIns="0" rtlCol="0">
                          <a:noAutofit/>
                        </wps:bodyPr>
                      </wps:wsp>
                    </wpg:wgp>
                  </a:graphicData>
                </a:graphic>
              </wp:anchor>
            </w:drawing>
          </mc:Choice>
          <mc:Fallback>
            <w:pict>
              <v:group style="position:absolute;margin-left:17.833740pt;margin-top:18.044348pt;width:575.8pt;height:10.85pt;mso-position-horizontal-relative:page;mso-position-vertical-relative:paragraph;z-index:15857152" id="docshapegroup556" coordorigin="357,361" coordsize="11516,217">
                <v:rect style="position:absolute;left:356;top:360;width:11516;height:13" id="docshape557" filled="true" fillcolor="#000000" stroked="false">
                  <v:fill type="solid"/>
                </v:rect>
                <v:rect style="position:absolute;left:356;top:373;width:11516;height:204" id="docshape558" filled="true" fillcolor="#ccedff" stroked="false">
                  <v:fill type="solid"/>
                </v:rect>
                <v:shape style="position:absolute;left:356;top:373;width:11516;height:204" type="#_x0000_t202" id="docshape559" filled="false" stroked="false">
                  <v:textbox inset="0,0,0,0">
                    <w:txbxContent>
                      <w:p>
                        <w:pPr>
                          <w:tabs>
                            <w:tab w:pos="9314" w:val="left" w:leader="none"/>
                            <w:tab w:pos="11085" w:val="left" w:leader="none"/>
                          </w:tabs>
                          <w:spacing w:before="3"/>
                          <w:ind w:left="0" w:right="0" w:firstLine="0"/>
                          <w:jc w:val="left"/>
                          <w:rPr>
                            <w:sz w:val="16"/>
                          </w:rPr>
                        </w:pPr>
                        <w:r>
                          <w:rPr>
                            <w:w w:val="105"/>
                            <w:sz w:val="16"/>
                          </w:rPr>
                          <w:t>Health</w:t>
                        </w:r>
                        <w:r>
                          <w:rPr>
                            <w:spacing w:val="-8"/>
                            <w:w w:val="105"/>
                            <w:sz w:val="16"/>
                          </w:rPr>
                          <w:t> </w:t>
                        </w:r>
                        <w:r>
                          <w:rPr>
                            <w:w w:val="105"/>
                            <w:sz w:val="16"/>
                          </w:rPr>
                          <w:t>care</w:t>
                        </w:r>
                        <w:r>
                          <w:rPr>
                            <w:spacing w:val="-7"/>
                            <w:w w:val="105"/>
                            <w:sz w:val="16"/>
                          </w:rPr>
                          <w:t> </w:t>
                        </w:r>
                        <w:r>
                          <w:rPr>
                            <w:w w:val="105"/>
                            <w:sz w:val="16"/>
                          </w:rPr>
                          <w:t>cost</w:t>
                        </w:r>
                        <w:r>
                          <w:rPr>
                            <w:spacing w:val="-7"/>
                            <w:w w:val="105"/>
                            <w:sz w:val="16"/>
                          </w:rPr>
                          <w:t> </w:t>
                        </w:r>
                        <w:r>
                          <w:rPr>
                            <w:w w:val="105"/>
                            <w:sz w:val="16"/>
                          </w:rPr>
                          <w:t>trend</w:t>
                        </w:r>
                        <w:r>
                          <w:rPr>
                            <w:spacing w:val="-6"/>
                            <w:w w:val="105"/>
                            <w:sz w:val="16"/>
                          </w:rPr>
                          <w:t> </w:t>
                        </w:r>
                        <w:r>
                          <w:rPr>
                            <w:w w:val="105"/>
                            <w:sz w:val="16"/>
                          </w:rPr>
                          <w:t>rate</w:t>
                        </w:r>
                        <w:r>
                          <w:rPr>
                            <w:spacing w:val="-7"/>
                            <w:w w:val="105"/>
                            <w:sz w:val="16"/>
                          </w:rPr>
                          <w:t> </w:t>
                        </w:r>
                        <w:r>
                          <w:rPr>
                            <w:w w:val="105"/>
                            <w:sz w:val="16"/>
                          </w:rPr>
                          <w:t>assumed</w:t>
                        </w:r>
                        <w:r>
                          <w:rPr>
                            <w:spacing w:val="-8"/>
                            <w:w w:val="105"/>
                            <w:sz w:val="16"/>
                          </w:rPr>
                          <w:t> </w:t>
                        </w:r>
                        <w:r>
                          <w:rPr>
                            <w:w w:val="105"/>
                            <w:sz w:val="16"/>
                          </w:rPr>
                          <w:t>for</w:t>
                        </w:r>
                        <w:r>
                          <w:rPr>
                            <w:spacing w:val="-7"/>
                            <w:w w:val="105"/>
                            <w:sz w:val="16"/>
                          </w:rPr>
                          <w:t> </w:t>
                        </w:r>
                        <w:r>
                          <w:rPr>
                            <w:w w:val="105"/>
                            <w:sz w:val="16"/>
                          </w:rPr>
                          <w:t>next</w:t>
                        </w:r>
                        <w:r>
                          <w:rPr>
                            <w:spacing w:val="-7"/>
                            <w:w w:val="105"/>
                            <w:sz w:val="16"/>
                          </w:rPr>
                          <w:t> </w:t>
                        </w:r>
                        <w:r>
                          <w:rPr>
                            <w:spacing w:val="-4"/>
                            <w:w w:val="105"/>
                            <w:sz w:val="16"/>
                          </w:rPr>
                          <w:t>year</w:t>
                        </w:r>
                        <w:r>
                          <w:rPr>
                            <w:sz w:val="16"/>
                          </w:rPr>
                          <w:tab/>
                        </w:r>
                        <w:r>
                          <w:rPr>
                            <w:b/>
                            <w:spacing w:val="-4"/>
                            <w:w w:val="105"/>
                            <w:sz w:val="16"/>
                          </w:rPr>
                          <w:t>6.25%</w:t>
                        </w:r>
                        <w:r>
                          <w:rPr>
                            <w:b/>
                            <w:sz w:val="16"/>
                          </w:rPr>
                          <w:tab/>
                        </w:r>
                        <w:r>
                          <w:rPr>
                            <w:spacing w:val="-4"/>
                            <w:w w:val="105"/>
                            <w:sz w:val="16"/>
                          </w:rPr>
                          <w:t>6.50%</w:t>
                        </w:r>
                      </w:p>
                    </w:txbxContent>
                  </v:textbox>
                  <w10:wrap type="none"/>
                </v:shape>
                <w10:wrap type="none"/>
              </v:group>
            </w:pict>
          </mc:Fallback>
        </mc:AlternateContent>
      </w:r>
      <w:r>
        <w:rPr/>
        <w:t>Assumed</w:t>
      </w:r>
      <w:r>
        <w:rPr>
          <w:spacing w:val="10"/>
        </w:rPr>
        <w:t> </w:t>
      </w:r>
      <w:r>
        <w:rPr/>
        <w:t>health</w:t>
      </w:r>
      <w:r>
        <w:rPr>
          <w:spacing w:val="11"/>
        </w:rPr>
        <w:t> </w:t>
      </w:r>
      <w:r>
        <w:rPr/>
        <w:t>care</w:t>
      </w:r>
      <w:r>
        <w:rPr>
          <w:spacing w:val="10"/>
        </w:rPr>
        <w:t> </w:t>
      </w:r>
      <w:r>
        <w:rPr/>
        <w:t>trend</w:t>
      </w:r>
      <w:r>
        <w:rPr>
          <w:spacing w:val="11"/>
        </w:rPr>
        <w:t> </w:t>
      </w:r>
      <w:r>
        <w:rPr/>
        <w:t>rates</w:t>
      </w:r>
      <w:r>
        <w:rPr>
          <w:spacing w:val="11"/>
        </w:rPr>
        <w:t> </w:t>
      </w:r>
      <w:r>
        <w:rPr/>
        <w:t>at</w:t>
      </w:r>
      <w:r>
        <w:rPr>
          <w:spacing w:val="10"/>
        </w:rPr>
        <w:t> </w:t>
      </w:r>
      <w:r>
        <w:rPr/>
        <w:t>December</w:t>
      </w:r>
      <w:r>
        <w:rPr>
          <w:spacing w:val="11"/>
        </w:rPr>
        <w:t> </w:t>
      </w:r>
      <w:r>
        <w:rPr>
          <w:spacing w:val="-5"/>
        </w:rPr>
        <w:t>31</w:t>
      </w:r>
      <w:r>
        <w:rPr/>
        <w:tab/>
      </w:r>
      <w:r>
        <w:rPr>
          <w:spacing w:val="-4"/>
        </w:rPr>
        <w:t>2021</w:t>
      </w:r>
      <w:r>
        <w:rPr>
          <w:b w:val="0"/>
        </w:rPr>
        <w:tab/>
      </w:r>
      <w:r>
        <w:rPr>
          <w:b w:val="0"/>
          <w:spacing w:val="-4"/>
        </w:rPr>
        <w:t>2020</w:t>
      </w:r>
    </w:p>
    <w:p>
      <w:pPr>
        <w:pStyle w:val="BodyText"/>
        <w:tabs>
          <w:tab w:pos="9678" w:val="left" w:leader="none"/>
          <w:tab w:pos="11449" w:val="left" w:leader="none"/>
        </w:tabs>
        <w:spacing w:before="237"/>
        <w:ind w:left="156"/>
      </w:pPr>
      <w:r>
        <w:rPr/>
        <mc:AlternateContent>
          <mc:Choice Requires="wps">
            <w:drawing>
              <wp:anchor distT="0" distB="0" distL="0" distR="0" allowOverlap="1" layoutInCell="1" locked="0" behindDoc="0" simplePos="0" relativeHeight="15857664">
                <wp:simplePos x="0" y="0"/>
                <wp:positionH relativeFrom="page">
                  <wp:posOffset>226488</wp:posOffset>
                </wp:positionH>
                <wp:positionV relativeFrom="paragraph">
                  <wp:posOffset>277666</wp:posOffset>
                </wp:positionV>
                <wp:extent cx="7312659" cy="154305"/>
                <wp:effectExtent l="0" t="0" r="0" b="0"/>
                <wp:wrapNone/>
                <wp:docPr id="561" name="Group 561"/>
                <wp:cNvGraphicFramePr>
                  <a:graphicFrameLocks/>
                </wp:cNvGraphicFramePr>
                <a:graphic>
                  <a:graphicData uri="http://schemas.microsoft.com/office/word/2010/wordprocessingGroup">
                    <wpg:wgp>
                      <wpg:cNvPr id="561" name="Group 561"/>
                      <wpg:cNvGrpSpPr/>
                      <wpg:grpSpPr>
                        <a:xfrm>
                          <a:off x="0" y="0"/>
                          <a:ext cx="7312659" cy="154305"/>
                          <a:chExt cx="7312659" cy="154305"/>
                        </a:xfrm>
                      </wpg:grpSpPr>
                      <wps:wsp>
                        <wps:cNvPr id="562" name="Graphic 562"/>
                        <wps:cNvSpPr/>
                        <wps:spPr>
                          <a:xfrm>
                            <a:off x="0" y="0"/>
                            <a:ext cx="5080000" cy="154305"/>
                          </a:xfrm>
                          <a:custGeom>
                            <a:avLst/>
                            <a:gdLst/>
                            <a:ahLst/>
                            <a:cxnLst/>
                            <a:rect l="l" t="t" r="r" b="b"/>
                            <a:pathLst>
                              <a:path w="5080000" h="154305">
                                <a:moveTo>
                                  <a:pt x="0" y="0"/>
                                </a:moveTo>
                                <a:lnTo>
                                  <a:pt x="5079813" y="0"/>
                                </a:lnTo>
                                <a:lnTo>
                                  <a:pt x="5079813"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563" name="Graphic 563"/>
                        <wps:cNvSpPr/>
                        <wps:spPr>
                          <a:xfrm>
                            <a:off x="-9" y="129425"/>
                            <a:ext cx="5080000" cy="24765"/>
                          </a:xfrm>
                          <a:custGeom>
                            <a:avLst/>
                            <a:gdLst/>
                            <a:ahLst/>
                            <a:cxnLst/>
                            <a:rect l="l" t="t" r="r" b="b"/>
                            <a:pathLst>
                              <a:path w="5080000" h="24765">
                                <a:moveTo>
                                  <a:pt x="5079822" y="16179"/>
                                </a:moveTo>
                                <a:lnTo>
                                  <a:pt x="0" y="16179"/>
                                </a:lnTo>
                                <a:lnTo>
                                  <a:pt x="0" y="24269"/>
                                </a:lnTo>
                                <a:lnTo>
                                  <a:pt x="5079822" y="24269"/>
                                </a:lnTo>
                                <a:lnTo>
                                  <a:pt x="5079822" y="16179"/>
                                </a:lnTo>
                                <a:close/>
                              </a:path>
                              <a:path w="5080000" h="24765">
                                <a:moveTo>
                                  <a:pt x="5079822" y="0"/>
                                </a:moveTo>
                                <a:lnTo>
                                  <a:pt x="0" y="0"/>
                                </a:lnTo>
                                <a:lnTo>
                                  <a:pt x="0" y="8089"/>
                                </a:lnTo>
                                <a:lnTo>
                                  <a:pt x="5079822" y="8089"/>
                                </a:lnTo>
                                <a:lnTo>
                                  <a:pt x="5079822"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5079813" y="0"/>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565" name="Graphic 565"/>
                        <wps:cNvSpPr/>
                        <wps:spPr>
                          <a:xfrm>
                            <a:off x="5079813" y="129425"/>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5152613" y="0"/>
                            <a:ext cx="946785" cy="154305"/>
                          </a:xfrm>
                          <a:custGeom>
                            <a:avLst/>
                            <a:gdLst/>
                            <a:ahLst/>
                            <a:cxnLst/>
                            <a:rect l="l" t="t" r="r" b="b"/>
                            <a:pathLst>
                              <a:path w="946785" h="154305">
                                <a:moveTo>
                                  <a:pt x="0" y="0"/>
                                </a:moveTo>
                                <a:lnTo>
                                  <a:pt x="946398" y="0"/>
                                </a:lnTo>
                                <a:lnTo>
                                  <a:pt x="946398"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567" name="Graphic 567"/>
                        <wps:cNvSpPr/>
                        <wps:spPr>
                          <a:xfrm>
                            <a:off x="5152609" y="129425"/>
                            <a:ext cx="946785" cy="24765"/>
                          </a:xfrm>
                          <a:custGeom>
                            <a:avLst/>
                            <a:gdLst/>
                            <a:ahLst/>
                            <a:cxnLst/>
                            <a:rect l="l" t="t" r="r" b="b"/>
                            <a:pathLst>
                              <a:path w="946785" h="24765">
                                <a:moveTo>
                                  <a:pt x="946391" y="16179"/>
                                </a:moveTo>
                                <a:lnTo>
                                  <a:pt x="0" y="16179"/>
                                </a:lnTo>
                                <a:lnTo>
                                  <a:pt x="0" y="24269"/>
                                </a:lnTo>
                                <a:lnTo>
                                  <a:pt x="946391" y="24269"/>
                                </a:lnTo>
                                <a:lnTo>
                                  <a:pt x="946391" y="16179"/>
                                </a:lnTo>
                                <a:close/>
                              </a:path>
                              <a:path w="946785" h="24765">
                                <a:moveTo>
                                  <a:pt x="946391" y="0"/>
                                </a:moveTo>
                                <a:lnTo>
                                  <a:pt x="0" y="0"/>
                                </a:lnTo>
                                <a:lnTo>
                                  <a:pt x="0" y="8089"/>
                                </a:lnTo>
                                <a:lnTo>
                                  <a:pt x="946391" y="8089"/>
                                </a:lnTo>
                                <a:lnTo>
                                  <a:pt x="946391" y="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6099012" y="0"/>
                            <a:ext cx="105410" cy="154305"/>
                          </a:xfrm>
                          <a:custGeom>
                            <a:avLst/>
                            <a:gdLst/>
                            <a:ahLst/>
                            <a:cxnLst/>
                            <a:rect l="l" t="t" r="r" b="b"/>
                            <a:pathLst>
                              <a:path w="105410" h="154305">
                                <a:moveTo>
                                  <a:pt x="0" y="0"/>
                                </a:moveTo>
                                <a:lnTo>
                                  <a:pt x="105155" y="0"/>
                                </a:lnTo>
                                <a:lnTo>
                                  <a:pt x="105155"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569" name="Graphic 569"/>
                        <wps:cNvSpPr/>
                        <wps:spPr>
                          <a:xfrm>
                            <a:off x="6099000" y="129425"/>
                            <a:ext cx="105410" cy="24765"/>
                          </a:xfrm>
                          <a:custGeom>
                            <a:avLst/>
                            <a:gdLst/>
                            <a:ahLst/>
                            <a:cxnLst/>
                            <a:rect l="l" t="t" r="r" b="b"/>
                            <a:pathLst>
                              <a:path w="105410" h="24765">
                                <a:moveTo>
                                  <a:pt x="105156" y="16179"/>
                                </a:moveTo>
                                <a:lnTo>
                                  <a:pt x="0" y="16179"/>
                                </a:lnTo>
                                <a:lnTo>
                                  <a:pt x="0" y="24269"/>
                                </a:lnTo>
                                <a:lnTo>
                                  <a:pt x="105156" y="24269"/>
                                </a:lnTo>
                                <a:lnTo>
                                  <a:pt x="105156" y="16179"/>
                                </a:lnTo>
                                <a:close/>
                              </a:path>
                              <a:path w="105410" h="24765">
                                <a:moveTo>
                                  <a:pt x="105156" y="0"/>
                                </a:moveTo>
                                <a:lnTo>
                                  <a:pt x="0" y="0"/>
                                </a:lnTo>
                                <a:lnTo>
                                  <a:pt x="0" y="8089"/>
                                </a:lnTo>
                                <a:lnTo>
                                  <a:pt x="105156" y="8089"/>
                                </a:lnTo>
                                <a:lnTo>
                                  <a:pt x="105156" y="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6204167" y="0"/>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571" name="Graphic 571"/>
                        <wps:cNvSpPr/>
                        <wps:spPr>
                          <a:xfrm>
                            <a:off x="6204156" y="129425"/>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6276967" y="0"/>
                            <a:ext cx="946785" cy="154305"/>
                          </a:xfrm>
                          <a:custGeom>
                            <a:avLst/>
                            <a:gdLst/>
                            <a:ahLst/>
                            <a:cxnLst/>
                            <a:rect l="l" t="t" r="r" b="b"/>
                            <a:pathLst>
                              <a:path w="946785" h="154305">
                                <a:moveTo>
                                  <a:pt x="0" y="0"/>
                                </a:moveTo>
                                <a:lnTo>
                                  <a:pt x="946398" y="0"/>
                                </a:lnTo>
                                <a:lnTo>
                                  <a:pt x="946398"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573" name="Graphic 573"/>
                        <wps:cNvSpPr/>
                        <wps:spPr>
                          <a:xfrm>
                            <a:off x="6276966" y="129425"/>
                            <a:ext cx="946785" cy="24765"/>
                          </a:xfrm>
                          <a:custGeom>
                            <a:avLst/>
                            <a:gdLst/>
                            <a:ahLst/>
                            <a:cxnLst/>
                            <a:rect l="l" t="t" r="r" b="b"/>
                            <a:pathLst>
                              <a:path w="946785" h="24765">
                                <a:moveTo>
                                  <a:pt x="946391" y="16179"/>
                                </a:moveTo>
                                <a:lnTo>
                                  <a:pt x="0" y="16179"/>
                                </a:lnTo>
                                <a:lnTo>
                                  <a:pt x="0" y="24269"/>
                                </a:lnTo>
                                <a:lnTo>
                                  <a:pt x="946391" y="24269"/>
                                </a:lnTo>
                                <a:lnTo>
                                  <a:pt x="946391" y="16179"/>
                                </a:lnTo>
                                <a:close/>
                              </a:path>
                              <a:path w="946785" h="24765">
                                <a:moveTo>
                                  <a:pt x="946391" y="0"/>
                                </a:moveTo>
                                <a:lnTo>
                                  <a:pt x="0" y="0"/>
                                </a:lnTo>
                                <a:lnTo>
                                  <a:pt x="0" y="8089"/>
                                </a:lnTo>
                                <a:lnTo>
                                  <a:pt x="946391" y="8089"/>
                                </a:lnTo>
                                <a:lnTo>
                                  <a:pt x="946391" y="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7223366" y="0"/>
                            <a:ext cx="89535" cy="154305"/>
                          </a:xfrm>
                          <a:custGeom>
                            <a:avLst/>
                            <a:gdLst/>
                            <a:ahLst/>
                            <a:cxnLst/>
                            <a:rect l="l" t="t" r="r" b="b"/>
                            <a:pathLst>
                              <a:path w="89535" h="154305">
                                <a:moveTo>
                                  <a:pt x="0" y="0"/>
                                </a:moveTo>
                                <a:lnTo>
                                  <a:pt x="88977" y="0"/>
                                </a:lnTo>
                                <a:lnTo>
                                  <a:pt x="88977"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575" name="Graphic 575"/>
                        <wps:cNvSpPr/>
                        <wps:spPr>
                          <a:xfrm>
                            <a:off x="7223357" y="129425"/>
                            <a:ext cx="89535" cy="24765"/>
                          </a:xfrm>
                          <a:custGeom>
                            <a:avLst/>
                            <a:gdLst/>
                            <a:ahLst/>
                            <a:cxnLst/>
                            <a:rect l="l" t="t" r="r" b="b"/>
                            <a:pathLst>
                              <a:path w="89535" h="24765">
                                <a:moveTo>
                                  <a:pt x="88976" y="16179"/>
                                </a:moveTo>
                                <a:lnTo>
                                  <a:pt x="0" y="16179"/>
                                </a:lnTo>
                                <a:lnTo>
                                  <a:pt x="0" y="24269"/>
                                </a:lnTo>
                                <a:lnTo>
                                  <a:pt x="88976" y="24269"/>
                                </a:lnTo>
                                <a:lnTo>
                                  <a:pt x="88976" y="16179"/>
                                </a:lnTo>
                                <a:close/>
                              </a:path>
                              <a:path w="89535" h="24765">
                                <a:moveTo>
                                  <a:pt x="88976" y="0"/>
                                </a:moveTo>
                                <a:lnTo>
                                  <a:pt x="0" y="0"/>
                                </a:lnTo>
                                <a:lnTo>
                                  <a:pt x="0" y="8089"/>
                                </a:lnTo>
                                <a:lnTo>
                                  <a:pt x="88976" y="8089"/>
                                </a:lnTo>
                                <a:lnTo>
                                  <a:pt x="88976" y="0"/>
                                </a:lnTo>
                                <a:close/>
                              </a:path>
                            </a:pathLst>
                          </a:custGeom>
                          <a:solidFill>
                            <a:srgbClr val="000000"/>
                          </a:solidFill>
                        </wps:spPr>
                        <wps:bodyPr wrap="square" lIns="0" tIns="0" rIns="0" bIns="0" rtlCol="0">
                          <a:prstTxWarp prst="textNoShape">
                            <a:avLst/>
                          </a:prstTxWarp>
                          <a:noAutofit/>
                        </wps:bodyPr>
                      </wps:wsp>
                      <wps:wsp>
                        <wps:cNvPr id="576" name="Textbox 576"/>
                        <wps:cNvSpPr txBox="1"/>
                        <wps:spPr>
                          <a:xfrm>
                            <a:off x="0" y="0"/>
                            <a:ext cx="7312659" cy="137795"/>
                          </a:xfrm>
                          <a:prstGeom prst="rect">
                            <a:avLst/>
                          </a:prstGeom>
                        </wps:spPr>
                        <wps:txbx>
                          <w:txbxContent>
                            <w:p>
                              <w:pPr>
                                <w:tabs>
                                  <w:tab w:pos="9273" w:val="left" w:leader="none"/>
                                  <w:tab w:pos="11375" w:val="right" w:leader="none"/>
                                </w:tabs>
                                <w:spacing w:before="3"/>
                                <w:ind w:left="0" w:right="0" w:firstLine="0"/>
                                <w:jc w:val="left"/>
                                <w:rPr>
                                  <w:sz w:val="16"/>
                                </w:rPr>
                              </w:pPr>
                              <w:r>
                                <w:rPr>
                                  <w:sz w:val="16"/>
                                </w:rPr>
                                <w:t>Year</w:t>
                              </w:r>
                              <w:r>
                                <w:rPr>
                                  <w:spacing w:val="10"/>
                                  <w:sz w:val="16"/>
                                </w:rPr>
                                <w:t> </w:t>
                              </w:r>
                              <w:r>
                                <w:rPr>
                                  <w:sz w:val="16"/>
                                </w:rPr>
                                <w:t>that</w:t>
                              </w:r>
                              <w:r>
                                <w:rPr>
                                  <w:spacing w:val="10"/>
                                  <w:sz w:val="16"/>
                                </w:rPr>
                                <w:t> </w:t>
                              </w:r>
                              <w:r>
                                <w:rPr>
                                  <w:sz w:val="16"/>
                                </w:rPr>
                                <w:t>the</w:t>
                              </w:r>
                              <w:r>
                                <w:rPr>
                                  <w:spacing w:val="11"/>
                                  <w:sz w:val="16"/>
                                </w:rPr>
                                <w:t> </w:t>
                              </w:r>
                              <w:r>
                                <w:rPr>
                                  <w:sz w:val="16"/>
                                </w:rPr>
                                <w:t>rate</w:t>
                              </w:r>
                              <w:r>
                                <w:rPr>
                                  <w:spacing w:val="10"/>
                                  <w:sz w:val="16"/>
                                </w:rPr>
                                <w:t> </w:t>
                              </w:r>
                              <w:r>
                                <w:rPr>
                                  <w:sz w:val="16"/>
                                </w:rPr>
                                <w:t>reaches</w:t>
                              </w:r>
                              <w:r>
                                <w:rPr>
                                  <w:spacing w:val="11"/>
                                  <w:sz w:val="16"/>
                                </w:rPr>
                                <w:t> </w:t>
                              </w:r>
                              <w:r>
                                <w:rPr>
                                  <w:sz w:val="16"/>
                                </w:rPr>
                                <w:t>the</w:t>
                              </w:r>
                              <w:r>
                                <w:rPr>
                                  <w:spacing w:val="8"/>
                                  <w:sz w:val="16"/>
                                </w:rPr>
                                <w:t> </w:t>
                              </w:r>
                              <w:r>
                                <w:rPr>
                                  <w:sz w:val="16"/>
                                </w:rPr>
                                <w:t>ultimate</w:t>
                              </w:r>
                              <w:r>
                                <w:rPr>
                                  <w:spacing w:val="10"/>
                                  <w:sz w:val="16"/>
                                </w:rPr>
                                <w:t> </w:t>
                              </w:r>
                              <w:r>
                                <w:rPr>
                                  <w:sz w:val="16"/>
                                </w:rPr>
                                <w:t>trend</w:t>
                              </w:r>
                              <w:r>
                                <w:rPr>
                                  <w:spacing w:val="11"/>
                                  <w:sz w:val="16"/>
                                </w:rPr>
                                <w:t> </w:t>
                              </w:r>
                              <w:r>
                                <w:rPr>
                                  <w:spacing w:val="-4"/>
                                  <w:sz w:val="16"/>
                                </w:rPr>
                                <w:t>rate</w:t>
                              </w:r>
                              <w:r>
                                <w:rPr>
                                  <w:sz w:val="16"/>
                                </w:rPr>
                                <w:tab/>
                              </w:r>
                              <w:r>
                                <w:rPr>
                                  <w:b/>
                                  <w:spacing w:val="-4"/>
                                  <w:sz w:val="16"/>
                                </w:rPr>
                                <w:t>2027</w:t>
                              </w:r>
                              <w:r>
                                <w:rPr>
                                  <w:sz w:val="16"/>
                                </w:rPr>
                                <w:tab/>
                              </w:r>
                              <w:r>
                                <w:rPr>
                                  <w:spacing w:val="-4"/>
                                  <w:sz w:val="16"/>
                                </w:rPr>
                                <w:t>2027</w:t>
                              </w:r>
                            </w:p>
                          </w:txbxContent>
                        </wps:txbx>
                        <wps:bodyPr wrap="square" lIns="0" tIns="0" rIns="0" bIns="0" rtlCol="0">
                          <a:noAutofit/>
                        </wps:bodyPr>
                      </wps:wsp>
                    </wpg:wgp>
                  </a:graphicData>
                </a:graphic>
              </wp:anchor>
            </w:drawing>
          </mc:Choice>
          <mc:Fallback>
            <w:pict>
              <v:group style="position:absolute;margin-left:17.833740pt;margin-top:21.863466pt;width:575.8pt;height:12.15pt;mso-position-horizontal-relative:page;mso-position-vertical-relative:paragraph;z-index:15857664" id="docshapegroup560" coordorigin="357,437" coordsize="11516,243">
                <v:rect style="position:absolute;left:356;top:437;width:8000;height:243" id="docshape561" filled="true" fillcolor="#ccedff" stroked="false">
                  <v:fill type="solid"/>
                </v:rect>
                <v:shape style="position:absolute;left:356;top:641;width:8000;height:39" id="docshape562" coordorigin="357,641" coordsize="8000,39" path="m8356,667l357,667,357,679,8356,679,8356,667xm8356,641l357,641,357,654,8356,654,8356,641xe" filled="true" fillcolor="#000000" stroked="false">
                  <v:path arrowok="t"/>
                  <v:fill type="solid"/>
                </v:shape>
                <v:rect style="position:absolute;left:8356;top:437;width:115;height:243" id="docshape563" filled="true" fillcolor="#ccedff" stroked="false">
                  <v:fill type="solid"/>
                </v:rect>
                <v:shape style="position:absolute;left:8356;top:641;width:115;height:39" id="docshape564" coordorigin="8356,641" coordsize="115,39" path="m8471,667l8356,667,8356,679,8471,679,8471,667xm8471,641l8356,641,8356,654,8471,654,8471,641xe" filled="true" fillcolor="#000000" stroked="false">
                  <v:path arrowok="t"/>
                  <v:fill type="solid"/>
                </v:shape>
                <v:rect style="position:absolute;left:8471;top:437;width:1491;height:243" id="docshape565" filled="true" fillcolor="#ccedff" stroked="false">
                  <v:fill type="solid"/>
                </v:rect>
                <v:shape style="position:absolute;left:8471;top:641;width:1491;height:39" id="docshape566" coordorigin="8471,641" coordsize="1491,39" path="m9961,667l8471,667,8471,679,9961,679,9961,667xm9961,641l8471,641,8471,654,9961,654,9961,641xe" filled="true" fillcolor="#000000" stroked="false">
                  <v:path arrowok="t"/>
                  <v:fill type="solid"/>
                </v:shape>
                <v:rect style="position:absolute;left:9961;top:437;width:166;height:243" id="docshape567" filled="true" fillcolor="#ccedff" stroked="false">
                  <v:fill type="solid"/>
                </v:rect>
                <v:shape style="position:absolute;left:9961;top:641;width:166;height:39" id="docshape568" coordorigin="9961,641" coordsize="166,39" path="m10127,667l9961,667,9961,679,10127,679,10127,667xm10127,641l9961,641,9961,654,10127,654,10127,641xe" filled="true" fillcolor="#000000" stroked="false">
                  <v:path arrowok="t"/>
                  <v:fill type="solid"/>
                </v:shape>
                <v:rect style="position:absolute;left:10127;top:437;width:115;height:243" id="docshape569" filled="true" fillcolor="#ccedff" stroked="false">
                  <v:fill type="solid"/>
                </v:rect>
                <v:shape style="position:absolute;left:10127;top:641;width:115;height:39" id="docshape570" coordorigin="10127,641" coordsize="115,39" path="m10242,667l10127,667,10127,679,10242,679,10242,667xm10242,641l10127,641,10127,654,10242,654,10242,641xe" filled="true" fillcolor="#000000" stroked="false">
                  <v:path arrowok="t"/>
                  <v:fill type="solid"/>
                </v:shape>
                <v:rect style="position:absolute;left:10241;top:437;width:1491;height:243" id="docshape571" filled="true" fillcolor="#ccedff" stroked="false">
                  <v:fill type="solid"/>
                </v:rect>
                <v:shape style="position:absolute;left:10241;top:641;width:1491;height:39" id="docshape572" coordorigin="10242,641" coordsize="1491,39" path="m11732,667l10242,667,10242,679,11732,679,11732,667xm11732,641l10242,641,10242,654,11732,654,11732,641xe" filled="true" fillcolor="#000000" stroked="false">
                  <v:path arrowok="t"/>
                  <v:fill type="solid"/>
                </v:shape>
                <v:rect style="position:absolute;left:11732;top:437;width:141;height:243" id="docshape573" filled="true" fillcolor="#ccedff" stroked="false">
                  <v:fill type="solid"/>
                </v:rect>
                <v:shape style="position:absolute;left:11732;top:641;width:141;height:39" id="docshape574" coordorigin="11732,641" coordsize="141,39" path="m11872,667l11732,667,11732,679,11872,679,11872,667xm11872,641l11732,641,11732,654,11872,654,11872,641xe" filled="true" fillcolor="#000000" stroked="false">
                  <v:path arrowok="t"/>
                  <v:fill type="solid"/>
                </v:shape>
                <v:shape style="position:absolute;left:356;top:437;width:11516;height:217" type="#_x0000_t202" id="docshape575" filled="false" stroked="false">
                  <v:textbox inset="0,0,0,0">
                    <w:txbxContent>
                      <w:p>
                        <w:pPr>
                          <w:tabs>
                            <w:tab w:pos="9273" w:val="left" w:leader="none"/>
                            <w:tab w:pos="11375" w:val="right" w:leader="none"/>
                          </w:tabs>
                          <w:spacing w:before="3"/>
                          <w:ind w:left="0" w:right="0" w:firstLine="0"/>
                          <w:jc w:val="left"/>
                          <w:rPr>
                            <w:sz w:val="16"/>
                          </w:rPr>
                        </w:pPr>
                        <w:r>
                          <w:rPr>
                            <w:sz w:val="16"/>
                          </w:rPr>
                          <w:t>Year</w:t>
                        </w:r>
                        <w:r>
                          <w:rPr>
                            <w:spacing w:val="10"/>
                            <w:sz w:val="16"/>
                          </w:rPr>
                          <w:t> </w:t>
                        </w:r>
                        <w:r>
                          <w:rPr>
                            <w:sz w:val="16"/>
                          </w:rPr>
                          <w:t>that</w:t>
                        </w:r>
                        <w:r>
                          <w:rPr>
                            <w:spacing w:val="10"/>
                            <w:sz w:val="16"/>
                          </w:rPr>
                          <w:t> </w:t>
                        </w:r>
                        <w:r>
                          <w:rPr>
                            <w:sz w:val="16"/>
                          </w:rPr>
                          <w:t>the</w:t>
                        </w:r>
                        <w:r>
                          <w:rPr>
                            <w:spacing w:val="11"/>
                            <w:sz w:val="16"/>
                          </w:rPr>
                          <w:t> </w:t>
                        </w:r>
                        <w:r>
                          <w:rPr>
                            <w:sz w:val="16"/>
                          </w:rPr>
                          <w:t>rate</w:t>
                        </w:r>
                        <w:r>
                          <w:rPr>
                            <w:spacing w:val="10"/>
                            <w:sz w:val="16"/>
                          </w:rPr>
                          <w:t> </w:t>
                        </w:r>
                        <w:r>
                          <w:rPr>
                            <w:sz w:val="16"/>
                          </w:rPr>
                          <w:t>reaches</w:t>
                        </w:r>
                        <w:r>
                          <w:rPr>
                            <w:spacing w:val="11"/>
                            <w:sz w:val="16"/>
                          </w:rPr>
                          <w:t> </w:t>
                        </w:r>
                        <w:r>
                          <w:rPr>
                            <w:sz w:val="16"/>
                          </w:rPr>
                          <w:t>the</w:t>
                        </w:r>
                        <w:r>
                          <w:rPr>
                            <w:spacing w:val="8"/>
                            <w:sz w:val="16"/>
                          </w:rPr>
                          <w:t> </w:t>
                        </w:r>
                        <w:r>
                          <w:rPr>
                            <w:sz w:val="16"/>
                          </w:rPr>
                          <w:t>ultimate</w:t>
                        </w:r>
                        <w:r>
                          <w:rPr>
                            <w:spacing w:val="10"/>
                            <w:sz w:val="16"/>
                          </w:rPr>
                          <w:t> </w:t>
                        </w:r>
                        <w:r>
                          <w:rPr>
                            <w:sz w:val="16"/>
                          </w:rPr>
                          <w:t>trend</w:t>
                        </w:r>
                        <w:r>
                          <w:rPr>
                            <w:spacing w:val="11"/>
                            <w:sz w:val="16"/>
                          </w:rPr>
                          <w:t> </w:t>
                        </w:r>
                        <w:r>
                          <w:rPr>
                            <w:spacing w:val="-4"/>
                            <w:sz w:val="16"/>
                          </w:rPr>
                          <w:t>rate</w:t>
                        </w:r>
                        <w:r>
                          <w:rPr>
                            <w:sz w:val="16"/>
                          </w:rPr>
                          <w:tab/>
                        </w:r>
                        <w:r>
                          <w:rPr>
                            <w:b/>
                            <w:spacing w:val="-4"/>
                            <w:sz w:val="16"/>
                          </w:rPr>
                          <w:t>2027</w:t>
                        </w:r>
                        <w:r>
                          <w:rPr>
                            <w:sz w:val="16"/>
                          </w:rPr>
                          <w:tab/>
                        </w:r>
                        <w:r>
                          <w:rPr>
                            <w:spacing w:val="-4"/>
                            <w:sz w:val="16"/>
                          </w:rPr>
                          <w:t>2027</w:t>
                        </w:r>
                      </w:p>
                    </w:txbxContent>
                  </v:textbox>
                  <w10:wrap type="none"/>
                </v:shape>
                <w10:wrap type="none"/>
              </v:group>
            </w:pict>
          </mc:Fallback>
        </mc:AlternateContent>
      </w:r>
      <w:r>
        <w:rPr>
          <w:w w:val="105"/>
        </w:rPr>
        <w:t>Rate</w:t>
      </w:r>
      <w:r>
        <w:rPr>
          <w:spacing w:val="-8"/>
          <w:w w:val="105"/>
        </w:rPr>
        <w:t> </w:t>
      </w:r>
      <w:r>
        <w:rPr>
          <w:w w:val="105"/>
        </w:rPr>
        <w:t>that</w:t>
      </w:r>
      <w:r>
        <w:rPr>
          <w:spacing w:val="-8"/>
          <w:w w:val="105"/>
        </w:rPr>
        <w:t> </w:t>
      </w:r>
      <w:r>
        <w:rPr>
          <w:w w:val="105"/>
        </w:rPr>
        <w:t>the</w:t>
      </w:r>
      <w:r>
        <w:rPr>
          <w:spacing w:val="-8"/>
          <w:w w:val="105"/>
        </w:rPr>
        <w:t> </w:t>
      </w:r>
      <w:r>
        <w:rPr>
          <w:w w:val="105"/>
        </w:rPr>
        <w:t>cost</w:t>
      </w:r>
      <w:r>
        <w:rPr>
          <w:spacing w:val="-7"/>
          <w:w w:val="105"/>
        </w:rPr>
        <w:t> </w:t>
      </w:r>
      <w:r>
        <w:rPr>
          <w:w w:val="105"/>
        </w:rPr>
        <w:t>trend</w:t>
      </w:r>
      <w:r>
        <w:rPr>
          <w:spacing w:val="-10"/>
          <w:w w:val="105"/>
        </w:rPr>
        <w:t> </w:t>
      </w:r>
      <w:r>
        <w:rPr>
          <w:w w:val="105"/>
        </w:rPr>
        <w:t>rate</w:t>
      </w:r>
      <w:r>
        <w:rPr>
          <w:spacing w:val="-8"/>
          <w:w w:val="105"/>
        </w:rPr>
        <w:t> </w:t>
      </w:r>
      <w:r>
        <w:rPr>
          <w:w w:val="105"/>
        </w:rPr>
        <w:t>gradually</w:t>
      </w:r>
      <w:r>
        <w:rPr>
          <w:spacing w:val="-7"/>
          <w:w w:val="105"/>
        </w:rPr>
        <w:t> </w:t>
      </w:r>
      <w:r>
        <w:rPr>
          <w:w w:val="105"/>
        </w:rPr>
        <w:t>declines</w:t>
      </w:r>
      <w:r>
        <w:rPr>
          <w:spacing w:val="-8"/>
          <w:w w:val="105"/>
        </w:rPr>
        <w:t> </w:t>
      </w:r>
      <w:r>
        <w:rPr>
          <w:spacing w:val="-5"/>
          <w:w w:val="105"/>
        </w:rPr>
        <w:t>to</w:t>
      </w:r>
      <w:r>
        <w:rPr/>
        <w:tab/>
      </w:r>
      <w:r>
        <w:rPr>
          <w:b/>
          <w:spacing w:val="-5"/>
          <w:w w:val="105"/>
        </w:rPr>
        <w:t>5%</w:t>
      </w:r>
      <w:r>
        <w:rPr>
          <w:b/>
        </w:rPr>
        <w:tab/>
      </w:r>
      <w:r>
        <w:rPr>
          <w:spacing w:val="-5"/>
          <w:w w:val="105"/>
        </w:rPr>
        <w:t>5%</w:t>
      </w:r>
    </w:p>
    <w:p>
      <w:pPr>
        <w:pStyle w:val="BodyText"/>
        <w:spacing w:before="465"/>
        <w:ind w:left="156"/>
      </w:pPr>
      <w:r>
        <w:rPr>
          <w:w w:val="105"/>
          <w:u w:val="single"/>
        </w:rPr>
        <w:t>Plan</w:t>
      </w:r>
      <w:r>
        <w:rPr>
          <w:spacing w:val="-10"/>
          <w:w w:val="105"/>
          <w:u w:val="single"/>
        </w:rPr>
        <w:t> </w:t>
      </w:r>
      <w:r>
        <w:rPr>
          <w:spacing w:val="-2"/>
          <w:w w:val="105"/>
          <w:u w:val="single"/>
        </w:rPr>
        <w:t>Assets</w:t>
      </w:r>
    </w:p>
    <w:p>
      <w:pPr>
        <w:pStyle w:val="BodyText"/>
        <w:spacing w:line="266" w:lineRule="auto" w:before="224"/>
        <w:ind w:left="156"/>
      </w:pPr>
      <w:r>
        <w:rPr>
          <w:w w:val="105"/>
        </w:rPr>
        <w:t>The</w:t>
      </w:r>
      <w:r>
        <w:rPr>
          <w:spacing w:val="-5"/>
          <w:w w:val="105"/>
        </w:rPr>
        <w:t> </w:t>
      </w:r>
      <w:r>
        <w:rPr>
          <w:w w:val="105"/>
        </w:rPr>
        <w:t>Company’s</w:t>
      </w:r>
      <w:r>
        <w:rPr>
          <w:spacing w:val="-5"/>
          <w:w w:val="105"/>
        </w:rPr>
        <w:t> </w:t>
      </w:r>
      <w:r>
        <w:rPr>
          <w:w w:val="105"/>
        </w:rPr>
        <w:t>primary</w:t>
      </w:r>
      <w:r>
        <w:rPr>
          <w:spacing w:val="-5"/>
          <w:w w:val="105"/>
        </w:rPr>
        <w:t> </w:t>
      </w:r>
      <w:r>
        <w:rPr>
          <w:w w:val="105"/>
        </w:rPr>
        <w:t>objective</w:t>
      </w:r>
      <w:r>
        <w:rPr>
          <w:spacing w:val="-5"/>
          <w:w w:val="105"/>
        </w:rPr>
        <w:t> </w:t>
      </w:r>
      <w:r>
        <w:rPr>
          <w:w w:val="105"/>
        </w:rPr>
        <w:t>is</w:t>
      </w:r>
      <w:r>
        <w:rPr>
          <w:spacing w:val="-5"/>
          <w:w w:val="105"/>
        </w:rPr>
        <w:t> </w:t>
      </w:r>
      <w:r>
        <w:rPr>
          <w:w w:val="105"/>
        </w:rPr>
        <w:t>to</w:t>
      </w:r>
      <w:r>
        <w:rPr>
          <w:spacing w:val="-5"/>
          <w:w w:val="105"/>
        </w:rPr>
        <w:t> </w:t>
      </w:r>
      <w:r>
        <w:rPr>
          <w:w w:val="105"/>
        </w:rPr>
        <w:t>ensure</w:t>
      </w:r>
      <w:r>
        <w:rPr>
          <w:spacing w:val="-5"/>
          <w:w w:val="105"/>
        </w:rPr>
        <w:t> </w:t>
      </w:r>
      <w:r>
        <w:rPr>
          <w:w w:val="105"/>
        </w:rPr>
        <w:t>the</w:t>
      </w:r>
      <w:r>
        <w:rPr>
          <w:spacing w:val="-5"/>
          <w:w w:val="105"/>
        </w:rPr>
        <w:t> </w:t>
      </w:r>
      <w:r>
        <w:rPr>
          <w:w w:val="105"/>
        </w:rPr>
        <w:t>plan</w:t>
      </w:r>
      <w:r>
        <w:rPr>
          <w:spacing w:val="-5"/>
          <w:w w:val="105"/>
        </w:rPr>
        <w:t> </w:t>
      </w:r>
      <w:r>
        <w:rPr>
          <w:w w:val="105"/>
        </w:rPr>
        <w:t>has</w:t>
      </w:r>
      <w:r>
        <w:rPr>
          <w:spacing w:val="-5"/>
          <w:w w:val="105"/>
        </w:rPr>
        <w:t> </w:t>
      </w:r>
      <w:r>
        <w:rPr>
          <w:w w:val="105"/>
        </w:rPr>
        <w:t>sufficient</w:t>
      </w:r>
      <w:r>
        <w:rPr>
          <w:spacing w:val="-5"/>
          <w:w w:val="105"/>
        </w:rPr>
        <w:t> </w:t>
      </w:r>
      <w:r>
        <w:rPr>
          <w:w w:val="105"/>
        </w:rPr>
        <w:t>return</w:t>
      </w:r>
      <w:r>
        <w:rPr>
          <w:spacing w:val="-5"/>
          <w:w w:val="105"/>
        </w:rPr>
        <w:t> </w:t>
      </w:r>
      <w:r>
        <w:rPr>
          <w:w w:val="105"/>
        </w:rPr>
        <w:t>on</w:t>
      </w:r>
      <w:r>
        <w:rPr>
          <w:spacing w:val="-5"/>
          <w:w w:val="105"/>
        </w:rPr>
        <w:t> </w:t>
      </w:r>
      <w:r>
        <w:rPr>
          <w:w w:val="105"/>
        </w:rPr>
        <w:t>assets</w:t>
      </w:r>
      <w:r>
        <w:rPr>
          <w:spacing w:val="-3"/>
          <w:w w:val="105"/>
        </w:rPr>
        <w:t> </w:t>
      </w:r>
      <w:r>
        <w:rPr>
          <w:w w:val="105"/>
        </w:rPr>
        <w:t>to</w:t>
      </w:r>
      <w:r>
        <w:rPr>
          <w:spacing w:val="-5"/>
          <w:w w:val="105"/>
        </w:rPr>
        <w:t> </w:t>
      </w:r>
      <w:r>
        <w:rPr>
          <w:w w:val="105"/>
        </w:rPr>
        <w:t>fund</w:t>
      </w:r>
      <w:r>
        <w:rPr>
          <w:spacing w:val="-5"/>
          <w:w w:val="105"/>
        </w:rPr>
        <w:t> </w:t>
      </w:r>
      <w:r>
        <w:rPr>
          <w:w w:val="105"/>
        </w:rPr>
        <w:t>the</w:t>
      </w:r>
      <w:r>
        <w:rPr>
          <w:spacing w:val="-5"/>
          <w:w w:val="105"/>
        </w:rPr>
        <w:t> </w:t>
      </w:r>
      <w:r>
        <w:rPr>
          <w:w w:val="105"/>
        </w:rPr>
        <w:t>plan’s</w:t>
      </w:r>
      <w:r>
        <w:rPr>
          <w:spacing w:val="-5"/>
          <w:w w:val="105"/>
        </w:rPr>
        <w:t> </w:t>
      </w:r>
      <w:r>
        <w:rPr>
          <w:w w:val="105"/>
        </w:rPr>
        <w:t>current</w:t>
      </w:r>
      <w:r>
        <w:rPr>
          <w:spacing w:val="-5"/>
          <w:w w:val="105"/>
        </w:rPr>
        <w:t> </w:t>
      </w:r>
      <w:r>
        <w:rPr>
          <w:w w:val="105"/>
        </w:rPr>
        <w:t>and</w:t>
      </w:r>
      <w:r>
        <w:rPr>
          <w:spacing w:val="-3"/>
          <w:w w:val="105"/>
        </w:rPr>
        <w:t> </w:t>
      </w:r>
      <w:r>
        <w:rPr>
          <w:w w:val="105"/>
        </w:rPr>
        <w:t>future</w:t>
      </w:r>
      <w:r>
        <w:rPr>
          <w:spacing w:val="-5"/>
          <w:w w:val="105"/>
        </w:rPr>
        <w:t> </w:t>
      </w:r>
      <w:r>
        <w:rPr>
          <w:w w:val="105"/>
        </w:rPr>
        <w:t>obligations</w:t>
      </w:r>
      <w:r>
        <w:rPr>
          <w:spacing w:val="-5"/>
          <w:w w:val="105"/>
        </w:rPr>
        <w:t> </w:t>
      </w:r>
      <w:r>
        <w:rPr>
          <w:w w:val="105"/>
        </w:rPr>
        <w:t>as</w:t>
      </w:r>
      <w:r>
        <w:rPr>
          <w:spacing w:val="-5"/>
          <w:w w:val="105"/>
        </w:rPr>
        <w:t> </w:t>
      </w:r>
      <w:r>
        <w:rPr>
          <w:w w:val="105"/>
        </w:rPr>
        <w:t>they</w:t>
      </w:r>
      <w:r>
        <w:rPr>
          <w:spacing w:val="-5"/>
          <w:w w:val="105"/>
        </w:rPr>
        <w:t> </w:t>
      </w:r>
      <w:r>
        <w:rPr>
          <w:w w:val="105"/>
        </w:rPr>
        <w:t>become</w:t>
      </w:r>
      <w:r>
        <w:rPr>
          <w:spacing w:val="-5"/>
          <w:w w:val="105"/>
        </w:rPr>
        <w:t> </w:t>
      </w:r>
      <w:r>
        <w:rPr>
          <w:w w:val="105"/>
        </w:rPr>
        <w:t>due.</w:t>
      </w:r>
      <w:r>
        <w:rPr>
          <w:spacing w:val="-5"/>
          <w:w w:val="105"/>
        </w:rPr>
        <w:t> </w:t>
      </w:r>
      <w:r>
        <w:rPr>
          <w:w w:val="105"/>
        </w:rPr>
        <w:t>Investments</w:t>
      </w:r>
      <w:r>
        <w:rPr>
          <w:spacing w:val="-5"/>
          <w:w w:val="105"/>
        </w:rPr>
        <w:t> </w:t>
      </w:r>
      <w:r>
        <w:rPr>
          <w:w w:val="105"/>
        </w:rPr>
        <w:t>are primarily</w:t>
      </w:r>
      <w:r>
        <w:rPr>
          <w:spacing w:val="-6"/>
          <w:w w:val="105"/>
        </w:rPr>
        <w:t> </w:t>
      </w:r>
      <w:r>
        <w:rPr>
          <w:w w:val="105"/>
        </w:rPr>
        <w:t>made</w:t>
      </w:r>
      <w:r>
        <w:rPr>
          <w:spacing w:val="-6"/>
          <w:w w:val="105"/>
        </w:rPr>
        <w:t> </w:t>
      </w:r>
      <w:r>
        <w:rPr>
          <w:w w:val="105"/>
        </w:rPr>
        <w:t>in</w:t>
      </w:r>
      <w:r>
        <w:rPr>
          <w:spacing w:val="-6"/>
          <w:w w:val="105"/>
        </w:rPr>
        <w:t> </w:t>
      </w:r>
      <w:r>
        <w:rPr>
          <w:w w:val="105"/>
        </w:rPr>
        <w:t>public</w:t>
      </w:r>
      <w:r>
        <w:rPr>
          <w:spacing w:val="-6"/>
          <w:w w:val="105"/>
        </w:rPr>
        <w:t> </w:t>
      </w:r>
      <w:r>
        <w:rPr>
          <w:w w:val="105"/>
        </w:rPr>
        <w:t>securities</w:t>
      </w:r>
      <w:r>
        <w:rPr>
          <w:spacing w:val="-6"/>
          <w:w w:val="105"/>
        </w:rPr>
        <w:t> </w:t>
      </w:r>
      <w:r>
        <w:rPr>
          <w:w w:val="105"/>
        </w:rPr>
        <w:t>to</w:t>
      </w:r>
      <w:r>
        <w:rPr>
          <w:spacing w:val="-6"/>
          <w:w w:val="105"/>
        </w:rPr>
        <w:t> </w:t>
      </w:r>
      <w:r>
        <w:rPr>
          <w:w w:val="105"/>
        </w:rPr>
        <w:t>ensure</w:t>
      </w:r>
      <w:r>
        <w:rPr>
          <w:spacing w:val="-5"/>
          <w:w w:val="105"/>
        </w:rPr>
        <w:t> </w:t>
      </w:r>
      <w:r>
        <w:rPr>
          <w:w w:val="105"/>
        </w:rPr>
        <w:t>adequate</w:t>
      </w:r>
      <w:r>
        <w:rPr>
          <w:spacing w:val="-6"/>
          <w:w w:val="105"/>
        </w:rPr>
        <w:t> </w:t>
      </w:r>
      <w:r>
        <w:rPr>
          <w:w w:val="105"/>
        </w:rPr>
        <w:t>liquidity</w:t>
      </w:r>
      <w:r>
        <w:rPr>
          <w:spacing w:val="-6"/>
          <w:w w:val="105"/>
        </w:rPr>
        <w:t> </w:t>
      </w:r>
      <w:r>
        <w:rPr>
          <w:w w:val="105"/>
        </w:rPr>
        <w:t>to</w:t>
      </w:r>
      <w:r>
        <w:rPr>
          <w:spacing w:val="-6"/>
          <w:w w:val="105"/>
        </w:rPr>
        <w:t> </w:t>
      </w:r>
      <w:r>
        <w:rPr>
          <w:w w:val="105"/>
        </w:rPr>
        <w:t>support</w:t>
      </w:r>
      <w:r>
        <w:rPr>
          <w:spacing w:val="-6"/>
          <w:w w:val="105"/>
        </w:rPr>
        <w:t> </w:t>
      </w:r>
      <w:r>
        <w:rPr>
          <w:w w:val="105"/>
        </w:rPr>
        <w:t>benefit</w:t>
      </w:r>
      <w:r>
        <w:rPr>
          <w:spacing w:val="-6"/>
          <w:w w:val="105"/>
        </w:rPr>
        <w:t> </w:t>
      </w:r>
      <w:r>
        <w:rPr>
          <w:w w:val="105"/>
        </w:rPr>
        <w:t>payments.</w:t>
      </w:r>
      <w:r>
        <w:rPr>
          <w:spacing w:val="-6"/>
          <w:w w:val="105"/>
        </w:rPr>
        <w:t> </w:t>
      </w:r>
      <w:r>
        <w:rPr>
          <w:w w:val="105"/>
        </w:rPr>
        <w:t>Domestic</w:t>
      </w:r>
      <w:r>
        <w:rPr>
          <w:spacing w:val="-5"/>
          <w:w w:val="105"/>
        </w:rPr>
        <w:t> </w:t>
      </w:r>
      <w:r>
        <w:rPr>
          <w:w w:val="105"/>
        </w:rPr>
        <w:t>and</w:t>
      </w:r>
      <w:r>
        <w:rPr>
          <w:spacing w:val="-6"/>
          <w:w w:val="105"/>
        </w:rPr>
        <w:t> </w:t>
      </w:r>
      <w:r>
        <w:rPr>
          <w:w w:val="105"/>
        </w:rPr>
        <w:t>international</w:t>
      </w:r>
      <w:r>
        <w:rPr>
          <w:spacing w:val="-6"/>
          <w:w w:val="105"/>
        </w:rPr>
        <w:t> </w:t>
      </w:r>
      <w:r>
        <w:rPr>
          <w:w w:val="105"/>
        </w:rPr>
        <w:t>stocks</w:t>
      </w:r>
      <w:r>
        <w:rPr>
          <w:spacing w:val="-6"/>
          <w:w w:val="105"/>
        </w:rPr>
        <w:t> </w:t>
      </w:r>
      <w:r>
        <w:rPr>
          <w:w w:val="105"/>
        </w:rPr>
        <w:t>provide</w:t>
      </w:r>
      <w:r>
        <w:rPr>
          <w:spacing w:val="-6"/>
          <w:w w:val="105"/>
        </w:rPr>
        <w:t> </w:t>
      </w:r>
      <w:r>
        <w:rPr>
          <w:w w:val="105"/>
        </w:rPr>
        <w:t>diversification</w:t>
      </w:r>
      <w:r>
        <w:rPr>
          <w:spacing w:val="-6"/>
          <w:w w:val="105"/>
        </w:rPr>
        <w:t> </w:t>
      </w:r>
      <w:r>
        <w:rPr>
          <w:w w:val="105"/>
        </w:rPr>
        <w:t>to</w:t>
      </w:r>
      <w:r>
        <w:rPr>
          <w:spacing w:val="-5"/>
          <w:w w:val="105"/>
        </w:rPr>
        <w:t> </w:t>
      </w:r>
      <w:r>
        <w:rPr>
          <w:w w:val="105"/>
        </w:rPr>
        <w:t>the</w:t>
      </w:r>
      <w:r>
        <w:rPr>
          <w:spacing w:val="-6"/>
          <w:w w:val="105"/>
        </w:rPr>
        <w:t> </w:t>
      </w:r>
      <w:r>
        <w:rPr>
          <w:w w:val="105"/>
        </w:rPr>
        <w:t>portfolio.</w:t>
      </w:r>
      <w:r>
        <w:rPr>
          <w:spacing w:val="-6"/>
          <w:w w:val="105"/>
        </w:rPr>
        <w:t> </w:t>
      </w:r>
      <w:r>
        <w:rPr>
          <w:w w:val="105"/>
        </w:rPr>
        <w:t>The target</w:t>
      </w:r>
      <w:r>
        <w:rPr>
          <w:spacing w:val="-4"/>
          <w:w w:val="105"/>
        </w:rPr>
        <w:t> </w:t>
      </w:r>
      <w:r>
        <w:rPr>
          <w:w w:val="105"/>
        </w:rPr>
        <w:t>allocation</w:t>
      </w:r>
      <w:r>
        <w:rPr>
          <w:spacing w:val="-2"/>
          <w:w w:val="105"/>
        </w:rPr>
        <w:t> </w:t>
      </w:r>
      <w:r>
        <w:rPr>
          <w:w w:val="105"/>
        </w:rPr>
        <w:t>range</w:t>
      </w:r>
      <w:r>
        <w:rPr>
          <w:spacing w:val="-4"/>
          <w:w w:val="105"/>
        </w:rPr>
        <w:t> </w:t>
      </w:r>
      <w:r>
        <w:rPr>
          <w:w w:val="105"/>
        </w:rPr>
        <w:t>equity</w:t>
      </w:r>
      <w:r>
        <w:rPr>
          <w:spacing w:val="-4"/>
          <w:w w:val="105"/>
        </w:rPr>
        <w:t> </w:t>
      </w:r>
      <w:r>
        <w:rPr>
          <w:w w:val="105"/>
        </w:rPr>
        <w:t>investment</w:t>
      </w:r>
      <w:r>
        <w:rPr>
          <w:spacing w:val="-4"/>
          <w:w w:val="105"/>
        </w:rPr>
        <w:t> </w:t>
      </w:r>
      <w:r>
        <w:rPr>
          <w:w w:val="105"/>
        </w:rPr>
        <w:t>is</w:t>
      </w:r>
      <w:r>
        <w:rPr>
          <w:spacing w:val="-4"/>
          <w:w w:val="105"/>
        </w:rPr>
        <w:t> </w:t>
      </w:r>
      <w:r>
        <w:rPr>
          <w:w w:val="105"/>
        </w:rPr>
        <w:t>40%</w:t>
      </w:r>
      <w:r>
        <w:rPr>
          <w:spacing w:val="-4"/>
          <w:w w:val="105"/>
        </w:rPr>
        <w:t> </w:t>
      </w:r>
      <w:r>
        <w:rPr>
          <w:w w:val="105"/>
        </w:rPr>
        <w:t>which</w:t>
      </w:r>
      <w:r>
        <w:rPr>
          <w:spacing w:val="-4"/>
          <w:w w:val="105"/>
        </w:rPr>
        <w:t> </w:t>
      </w:r>
      <w:r>
        <w:rPr>
          <w:w w:val="105"/>
        </w:rPr>
        <w:t>includes</w:t>
      </w:r>
      <w:r>
        <w:rPr>
          <w:spacing w:val="-4"/>
          <w:w w:val="105"/>
        </w:rPr>
        <w:t> </w:t>
      </w:r>
      <w:r>
        <w:rPr>
          <w:w w:val="105"/>
        </w:rPr>
        <w:t>large,</w:t>
      </w:r>
      <w:r>
        <w:rPr>
          <w:spacing w:val="-4"/>
          <w:w w:val="105"/>
        </w:rPr>
        <w:t> </w:t>
      </w:r>
      <w:r>
        <w:rPr>
          <w:w w:val="105"/>
        </w:rPr>
        <w:t>mid</w:t>
      </w:r>
      <w:r>
        <w:rPr>
          <w:spacing w:val="-4"/>
          <w:w w:val="105"/>
        </w:rPr>
        <w:t> </w:t>
      </w:r>
      <w:r>
        <w:rPr>
          <w:w w:val="105"/>
        </w:rPr>
        <w:t>and</w:t>
      </w:r>
      <w:r>
        <w:rPr>
          <w:spacing w:val="-4"/>
          <w:w w:val="105"/>
        </w:rPr>
        <w:t> </w:t>
      </w:r>
      <w:r>
        <w:rPr>
          <w:w w:val="105"/>
        </w:rPr>
        <w:t>small-cap</w:t>
      </w:r>
      <w:r>
        <w:rPr>
          <w:spacing w:val="-4"/>
          <w:w w:val="105"/>
        </w:rPr>
        <w:t> </w:t>
      </w:r>
      <w:r>
        <w:rPr>
          <w:w w:val="105"/>
        </w:rPr>
        <w:t>companies</w:t>
      </w:r>
      <w:r>
        <w:rPr>
          <w:spacing w:val="-4"/>
          <w:w w:val="105"/>
        </w:rPr>
        <w:t> </w:t>
      </w:r>
      <w:r>
        <w:rPr>
          <w:w w:val="105"/>
        </w:rPr>
        <w:t>and</w:t>
      </w:r>
      <w:r>
        <w:rPr>
          <w:spacing w:val="-2"/>
          <w:w w:val="105"/>
        </w:rPr>
        <w:t> </w:t>
      </w:r>
      <w:r>
        <w:rPr>
          <w:w w:val="105"/>
        </w:rPr>
        <w:t>investments</w:t>
      </w:r>
      <w:r>
        <w:rPr>
          <w:spacing w:val="-4"/>
          <w:w w:val="105"/>
        </w:rPr>
        <w:t> </w:t>
      </w:r>
      <w:r>
        <w:rPr>
          <w:w w:val="105"/>
        </w:rPr>
        <w:t>in</w:t>
      </w:r>
      <w:r>
        <w:rPr>
          <w:spacing w:val="-4"/>
          <w:w w:val="105"/>
        </w:rPr>
        <w:t> </w:t>
      </w:r>
      <w:r>
        <w:rPr>
          <w:w w:val="105"/>
        </w:rPr>
        <w:t>both</w:t>
      </w:r>
      <w:r>
        <w:rPr>
          <w:spacing w:val="-4"/>
          <w:w w:val="105"/>
        </w:rPr>
        <w:t> </w:t>
      </w:r>
      <w:r>
        <w:rPr>
          <w:w w:val="105"/>
        </w:rPr>
        <w:t>developed</w:t>
      </w:r>
      <w:r>
        <w:rPr>
          <w:spacing w:val="-4"/>
          <w:w w:val="105"/>
        </w:rPr>
        <w:t> </w:t>
      </w:r>
      <w:r>
        <w:rPr>
          <w:w w:val="105"/>
        </w:rPr>
        <w:t>and</w:t>
      </w:r>
      <w:r>
        <w:rPr>
          <w:spacing w:val="-2"/>
          <w:w w:val="105"/>
        </w:rPr>
        <w:t> </w:t>
      </w:r>
      <w:r>
        <w:rPr>
          <w:w w:val="105"/>
        </w:rPr>
        <w:t>emerging</w:t>
      </w:r>
      <w:r>
        <w:rPr>
          <w:spacing w:val="-4"/>
          <w:w w:val="105"/>
        </w:rPr>
        <w:t> </w:t>
      </w:r>
      <w:r>
        <w:rPr>
          <w:w w:val="105"/>
        </w:rPr>
        <w:t>markets.</w:t>
      </w:r>
      <w:r>
        <w:rPr>
          <w:spacing w:val="-4"/>
          <w:w w:val="105"/>
        </w:rPr>
        <w:t> </w:t>
      </w:r>
      <w:r>
        <w:rPr>
          <w:w w:val="105"/>
        </w:rPr>
        <w:t>The</w:t>
      </w:r>
      <w:r>
        <w:rPr>
          <w:spacing w:val="-4"/>
          <w:w w:val="105"/>
        </w:rPr>
        <w:t> </w:t>
      </w:r>
      <w:r>
        <w:rPr>
          <w:w w:val="105"/>
        </w:rPr>
        <w:t>target allocation</w:t>
      </w:r>
      <w:r>
        <w:rPr>
          <w:spacing w:val="-9"/>
          <w:w w:val="105"/>
        </w:rPr>
        <w:t> </w:t>
      </w:r>
      <w:r>
        <w:rPr>
          <w:w w:val="105"/>
        </w:rPr>
        <w:t>for</w:t>
      </w:r>
      <w:r>
        <w:rPr>
          <w:spacing w:val="-9"/>
          <w:w w:val="105"/>
        </w:rPr>
        <w:t> </w:t>
      </w:r>
      <w:r>
        <w:rPr>
          <w:w w:val="105"/>
        </w:rPr>
        <w:t>bond</w:t>
      </w:r>
      <w:r>
        <w:rPr>
          <w:spacing w:val="-9"/>
          <w:w w:val="105"/>
        </w:rPr>
        <w:t> </w:t>
      </w:r>
      <w:r>
        <w:rPr>
          <w:w w:val="105"/>
        </w:rPr>
        <w:t>investments</w:t>
      </w:r>
      <w:r>
        <w:rPr>
          <w:spacing w:val="-9"/>
          <w:w w:val="105"/>
        </w:rPr>
        <w:t> </w:t>
      </w:r>
      <w:r>
        <w:rPr>
          <w:w w:val="105"/>
        </w:rPr>
        <w:t>is</w:t>
      </w:r>
      <w:r>
        <w:rPr>
          <w:spacing w:val="-9"/>
          <w:w w:val="105"/>
        </w:rPr>
        <w:t> </w:t>
      </w:r>
      <w:r>
        <w:rPr>
          <w:w w:val="105"/>
        </w:rPr>
        <w:t>60%,</w:t>
      </w:r>
      <w:r>
        <w:rPr>
          <w:spacing w:val="-9"/>
          <w:w w:val="105"/>
        </w:rPr>
        <w:t> </w:t>
      </w:r>
      <w:r>
        <w:rPr>
          <w:w w:val="105"/>
        </w:rPr>
        <w:t>which</w:t>
      </w:r>
      <w:r>
        <w:rPr>
          <w:spacing w:val="-9"/>
          <w:w w:val="105"/>
        </w:rPr>
        <w:t> </w:t>
      </w:r>
      <w:r>
        <w:rPr>
          <w:w w:val="105"/>
        </w:rPr>
        <w:t>predominately</w:t>
      </w:r>
      <w:r>
        <w:rPr>
          <w:spacing w:val="-9"/>
          <w:w w:val="105"/>
        </w:rPr>
        <w:t> </w:t>
      </w:r>
      <w:r>
        <w:rPr>
          <w:w w:val="105"/>
        </w:rPr>
        <w:t>includes</w:t>
      </w:r>
      <w:r>
        <w:rPr>
          <w:spacing w:val="-9"/>
          <w:w w:val="105"/>
        </w:rPr>
        <w:t> </w:t>
      </w:r>
      <w:r>
        <w:rPr>
          <w:w w:val="105"/>
        </w:rPr>
        <w:t>corporate</w:t>
      </w:r>
      <w:r>
        <w:rPr>
          <w:spacing w:val="-9"/>
          <w:w w:val="105"/>
        </w:rPr>
        <w:t> </w:t>
      </w:r>
      <w:r>
        <w:rPr>
          <w:w w:val="105"/>
        </w:rPr>
        <w:t>bonds.</w:t>
      </w:r>
      <w:r>
        <w:rPr>
          <w:spacing w:val="-9"/>
          <w:w w:val="105"/>
        </w:rPr>
        <w:t> </w:t>
      </w:r>
      <w:r>
        <w:rPr>
          <w:w w:val="105"/>
        </w:rPr>
        <w:t>Long-duration</w:t>
      </w:r>
      <w:r>
        <w:rPr>
          <w:spacing w:val="-9"/>
          <w:w w:val="105"/>
        </w:rPr>
        <w:t> </w:t>
      </w:r>
      <w:r>
        <w:rPr>
          <w:w w:val="105"/>
        </w:rPr>
        <w:t>fixed</w:t>
      </w:r>
      <w:r>
        <w:rPr>
          <w:spacing w:val="-9"/>
          <w:w w:val="105"/>
        </w:rPr>
        <w:t> </w:t>
      </w:r>
      <w:r>
        <w:rPr>
          <w:w w:val="105"/>
        </w:rPr>
        <w:t>income</w:t>
      </w:r>
      <w:r>
        <w:rPr>
          <w:spacing w:val="-9"/>
          <w:w w:val="105"/>
        </w:rPr>
        <w:t> </w:t>
      </w:r>
      <w:r>
        <w:rPr>
          <w:w w:val="105"/>
        </w:rPr>
        <w:t>assets</w:t>
      </w:r>
      <w:r>
        <w:rPr>
          <w:spacing w:val="-8"/>
          <w:w w:val="105"/>
        </w:rPr>
        <w:t> </w:t>
      </w:r>
      <w:r>
        <w:rPr>
          <w:w w:val="105"/>
        </w:rPr>
        <w:t>are</w:t>
      </w:r>
      <w:r>
        <w:rPr>
          <w:spacing w:val="-9"/>
          <w:w w:val="105"/>
        </w:rPr>
        <w:t> </w:t>
      </w:r>
      <w:r>
        <w:rPr>
          <w:w w:val="105"/>
        </w:rPr>
        <w:t>utilized</w:t>
      </w:r>
      <w:r>
        <w:rPr>
          <w:spacing w:val="-9"/>
          <w:w w:val="105"/>
        </w:rPr>
        <w:t> </w:t>
      </w:r>
      <w:r>
        <w:rPr>
          <w:w w:val="105"/>
        </w:rPr>
        <w:t>to</w:t>
      </w:r>
      <w:r>
        <w:rPr>
          <w:spacing w:val="-9"/>
          <w:w w:val="105"/>
        </w:rPr>
        <w:t> </w:t>
      </w:r>
      <w:r>
        <w:rPr>
          <w:w w:val="105"/>
        </w:rPr>
        <w:t>mitigate</w:t>
      </w:r>
      <w:r>
        <w:rPr>
          <w:spacing w:val="-9"/>
          <w:w w:val="105"/>
        </w:rPr>
        <w:t> </w:t>
      </w:r>
      <w:r>
        <w:rPr>
          <w:w w:val="105"/>
        </w:rPr>
        <w:t>the</w:t>
      </w:r>
      <w:r>
        <w:rPr>
          <w:spacing w:val="-9"/>
          <w:w w:val="105"/>
        </w:rPr>
        <w:t> </w:t>
      </w:r>
      <w:r>
        <w:rPr>
          <w:w w:val="105"/>
        </w:rPr>
        <w:t>sensitivity</w:t>
      </w:r>
      <w:r>
        <w:rPr>
          <w:spacing w:val="-9"/>
          <w:w w:val="105"/>
        </w:rPr>
        <w:t> </w:t>
      </w:r>
      <w:r>
        <w:rPr>
          <w:w w:val="105"/>
        </w:rPr>
        <w:t>of</w:t>
      </w:r>
      <w:r>
        <w:rPr>
          <w:spacing w:val="-8"/>
          <w:w w:val="105"/>
        </w:rPr>
        <w:t> </w:t>
      </w:r>
      <w:r>
        <w:rPr>
          <w:w w:val="105"/>
        </w:rPr>
        <w:t>funding ratios to changes in interest rates.</w:t>
      </w:r>
    </w:p>
    <w:p>
      <w:pPr>
        <w:pStyle w:val="BodyText"/>
        <w:spacing w:before="202"/>
        <w:ind w:left="48"/>
        <w:jc w:val="center"/>
      </w:pPr>
      <w:r>
        <w:rPr>
          <w:spacing w:val="-5"/>
          <w:w w:val="105"/>
        </w:rPr>
        <w:t>97</w:t>
      </w:r>
    </w:p>
    <w:p>
      <w:pPr>
        <w:pStyle w:val="BodyText"/>
        <w:spacing w:before="11"/>
        <w:rPr>
          <w:sz w:val="5"/>
        </w:rPr>
      </w:pPr>
      <w:r>
        <w:rPr/>
        <mc:AlternateContent>
          <mc:Choice Requires="wps">
            <w:drawing>
              <wp:anchor distT="0" distB="0" distL="0" distR="0" allowOverlap="1" layoutInCell="1" locked="0" behindDoc="1" simplePos="0" relativeHeight="487715328">
                <wp:simplePos x="0" y="0"/>
                <wp:positionH relativeFrom="page">
                  <wp:posOffset>226488</wp:posOffset>
                </wp:positionH>
                <wp:positionV relativeFrom="paragraph">
                  <wp:posOffset>58734</wp:posOffset>
                </wp:positionV>
                <wp:extent cx="7312659" cy="16510"/>
                <wp:effectExtent l="0" t="0" r="0" b="0"/>
                <wp:wrapTopAndBottom/>
                <wp:docPr id="577" name="Graphic 577"/>
                <wp:cNvGraphicFramePr>
                  <a:graphicFrameLocks/>
                </wp:cNvGraphicFramePr>
                <a:graphic>
                  <a:graphicData uri="http://schemas.microsoft.com/office/word/2010/wordprocessingShape">
                    <wps:wsp>
                      <wps:cNvPr id="577" name="Graphic 57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601152;mso-wrap-distance-left:0;mso-wrap-distance-right:0" id="docshape576"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pPr>
      <w:r>
        <w:rPr>
          <w:w w:val="105"/>
        </w:rPr>
        <w:t>13.</w:t>
      </w:r>
      <w:r>
        <w:rPr>
          <w:spacing w:val="22"/>
          <w:w w:val="105"/>
        </w:rPr>
        <w:t> </w:t>
      </w:r>
      <w:r>
        <w:rPr>
          <w:w w:val="105"/>
        </w:rPr>
        <w:t>Employee</w:t>
      </w:r>
      <w:r>
        <w:rPr>
          <w:spacing w:val="-10"/>
          <w:w w:val="105"/>
        </w:rPr>
        <w:t> </w:t>
      </w:r>
      <w:r>
        <w:rPr>
          <w:w w:val="105"/>
        </w:rPr>
        <w:t>Retirement</w:t>
      </w:r>
      <w:r>
        <w:rPr>
          <w:spacing w:val="-10"/>
          <w:w w:val="105"/>
        </w:rPr>
        <w:t> </w:t>
      </w:r>
      <w:r>
        <w:rPr>
          <w:w w:val="105"/>
        </w:rPr>
        <w:t>Plans</w:t>
      </w:r>
      <w:r>
        <w:rPr>
          <w:spacing w:val="-10"/>
          <w:w w:val="105"/>
        </w:rPr>
        <w:t> </w:t>
      </w:r>
      <w:r>
        <w:rPr>
          <w:spacing w:val="-2"/>
          <w:w w:val="105"/>
        </w:rPr>
        <w:t>(Continued)</w:t>
      </w:r>
    </w:p>
    <w:p>
      <w:pPr>
        <w:pStyle w:val="BodyText"/>
        <w:spacing w:before="40"/>
        <w:rPr>
          <w:b/>
        </w:rPr>
      </w:pPr>
    </w:p>
    <w:p>
      <w:pPr>
        <w:pStyle w:val="BodyText"/>
        <w:spacing w:line="266" w:lineRule="auto"/>
        <w:ind w:left="156"/>
      </w:pPr>
      <w:r>
        <w:rPr>
          <w:w w:val="105"/>
        </w:rPr>
        <w:t>The</w:t>
      </w:r>
      <w:r>
        <w:rPr>
          <w:spacing w:val="-9"/>
          <w:w w:val="105"/>
        </w:rPr>
        <w:t> </w:t>
      </w:r>
      <w:r>
        <w:rPr>
          <w:w w:val="105"/>
        </w:rPr>
        <w:t>following</w:t>
      </w:r>
      <w:r>
        <w:rPr>
          <w:spacing w:val="-9"/>
          <w:w w:val="105"/>
        </w:rPr>
        <w:t> </w:t>
      </w:r>
      <w:r>
        <w:rPr>
          <w:w w:val="105"/>
        </w:rPr>
        <w:t>tables</w:t>
      </w:r>
      <w:r>
        <w:rPr>
          <w:spacing w:val="-10"/>
          <w:w w:val="105"/>
        </w:rPr>
        <w:t> </w:t>
      </w:r>
      <w:r>
        <w:rPr>
          <w:w w:val="105"/>
        </w:rPr>
        <w:t>provide</w:t>
      </w:r>
      <w:r>
        <w:rPr>
          <w:spacing w:val="-9"/>
          <w:w w:val="105"/>
        </w:rPr>
        <w:t> </w:t>
      </w:r>
      <w:r>
        <w:rPr>
          <w:w w:val="105"/>
        </w:rPr>
        <w:t>fair</w:t>
      </w:r>
      <w:r>
        <w:rPr>
          <w:spacing w:val="-9"/>
          <w:w w:val="105"/>
        </w:rPr>
        <w:t> </w:t>
      </w:r>
      <w:r>
        <w:rPr>
          <w:w w:val="105"/>
        </w:rPr>
        <w:t>value</w:t>
      </w:r>
      <w:r>
        <w:rPr>
          <w:spacing w:val="-9"/>
          <w:w w:val="105"/>
        </w:rPr>
        <w:t> </w:t>
      </w:r>
      <w:r>
        <w:rPr>
          <w:w w:val="105"/>
        </w:rPr>
        <w:t>measurement</w:t>
      </w:r>
      <w:r>
        <w:rPr>
          <w:spacing w:val="-10"/>
          <w:w w:val="105"/>
        </w:rPr>
        <w:t> </w:t>
      </w:r>
      <w:r>
        <w:rPr>
          <w:w w:val="105"/>
        </w:rPr>
        <w:t>information</w:t>
      </w:r>
      <w:r>
        <w:rPr>
          <w:spacing w:val="-9"/>
          <w:w w:val="105"/>
        </w:rPr>
        <w:t> </w:t>
      </w:r>
      <w:r>
        <w:rPr>
          <w:w w:val="105"/>
        </w:rPr>
        <w:t>for</w:t>
      </w:r>
      <w:r>
        <w:rPr>
          <w:spacing w:val="-9"/>
          <w:w w:val="105"/>
        </w:rPr>
        <w:t> </w:t>
      </w:r>
      <w:r>
        <w:rPr>
          <w:w w:val="105"/>
        </w:rPr>
        <w:t>the</w:t>
      </w:r>
      <w:r>
        <w:rPr>
          <w:spacing w:val="-9"/>
          <w:w w:val="105"/>
        </w:rPr>
        <w:t> </w:t>
      </w:r>
      <w:r>
        <w:rPr>
          <w:w w:val="105"/>
        </w:rPr>
        <w:t>Company’s</w:t>
      </w:r>
      <w:r>
        <w:rPr>
          <w:spacing w:val="-9"/>
          <w:w w:val="105"/>
        </w:rPr>
        <w:t> </w:t>
      </w:r>
      <w:r>
        <w:rPr>
          <w:w w:val="105"/>
        </w:rPr>
        <w:t>major</w:t>
      </w:r>
      <w:r>
        <w:rPr>
          <w:spacing w:val="-9"/>
          <w:w w:val="105"/>
        </w:rPr>
        <w:t> </w:t>
      </w:r>
      <w:r>
        <w:rPr>
          <w:w w:val="105"/>
        </w:rPr>
        <w:t>categories;</w:t>
      </w:r>
      <w:r>
        <w:rPr>
          <w:spacing w:val="-9"/>
          <w:w w:val="105"/>
        </w:rPr>
        <w:t> </w:t>
      </w:r>
      <w:r>
        <w:rPr>
          <w:w w:val="105"/>
        </w:rPr>
        <w:t>Level</w:t>
      </w:r>
      <w:r>
        <w:rPr>
          <w:spacing w:val="-11"/>
          <w:w w:val="105"/>
        </w:rPr>
        <w:t> </w:t>
      </w:r>
      <w:r>
        <w:rPr>
          <w:w w:val="105"/>
        </w:rPr>
        <w:t>1</w:t>
      </w:r>
      <w:r>
        <w:rPr>
          <w:spacing w:val="-8"/>
          <w:w w:val="105"/>
        </w:rPr>
        <w:t> </w:t>
      </w:r>
      <w:r>
        <w:rPr>
          <w:w w:val="105"/>
        </w:rPr>
        <w:t>(quoted</w:t>
      </w:r>
      <w:r>
        <w:rPr>
          <w:spacing w:val="-9"/>
          <w:w w:val="105"/>
        </w:rPr>
        <w:t> </w:t>
      </w:r>
      <w:r>
        <w:rPr>
          <w:w w:val="105"/>
        </w:rPr>
        <w:t>market</w:t>
      </w:r>
      <w:r>
        <w:rPr>
          <w:spacing w:val="-9"/>
          <w:w w:val="105"/>
        </w:rPr>
        <w:t> </w:t>
      </w:r>
      <w:r>
        <w:rPr>
          <w:w w:val="105"/>
        </w:rPr>
        <w:t>prices</w:t>
      </w:r>
      <w:r>
        <w:rPr>
          <w:spacing w:val="-7"/>
          <w:w w:val="105"/>
        </w:rPr>
        <w:t> </w:t>
      </w:r>
      <w:r>
        <w:rPr>
          <w:w w:val="105"/>
        </w:rPr>
        <w:t>in</w:t>
      </w:r>
      <w:r>
        <w:rPr>
          <w:spacing w:val="-9"/>
          <w:w w:val="105"/>
        </w:rPr>
        <w:t> </w:t>
      </w:r>
      <w:r>
        <w:rPr>
          <w:w w:val="105"/>
        </w:rPr>
        <w:t>active</w:t>
      </w:r>
      <w:r>
        <w:rPr>
          <w:spacing w:val="-9"/>
          <w:w w:val="105"/>
        </w:rPr>
        <w:t> </w:t>
      </w:r>
      <w:r>
        <w:rPr>
          <w:w w:val="105"/>
        </w:rPr>
        <w:t>markets</w:t>
      </w:r>
      <w:r>
        <w:rPr>
          <w:spacing w:val="-9"/>
          <w:w w:val="105"/>
        </w:rPr>
        <w:t> </w:t>
      </w:r>
      <w:r>
        <w:rPr>
          <w:w w:val="105"/>
        </w:rPr>
        <w:t>for</w:t>
      </w:r>
      <w:r>
        <w:rPr>
          <w:spacing w:val="-7"/>
          <w:w w:val="105"/>
        </w:rPr>
        <w:t> </w:t>
      </w:r>
      <w:r>
        <w:rPr>
          <w:w w:val="105"/>
        </w:rPr>
        <w:t>identical</w:t>
      </w:r>
      <w:r>
        <w:rPr>
          <w:spacing w:val="-9"/>
          <w:w w:val="105"/>
        </w:rPr>
        <w:t> </w:t>
      </w:r>
      <w:r>
        <w:rPr>
          <w:w w:val="105"/>
        </w:rPr>
        <w:t>assets), Level 2 (significant other observable inputs) and Level 3 (significant unobservable inputs) of domestic defined benefit plan assets:</w:t>
      </w:r>
    </w:p>
    <w:p>
      <w:pPr>
        <w:pStyle w:val="BodyText"/>
        <w:spacing w:before="5"/>
        <w:rPr>
          <w:sz w:val="7"/>
        </w:rPr>
      </w:pPr>
      <w:r>
        <w:rPr/>
        <mc:AlternateContent>
          <mc:Choice Requires="wps">
            <w:drawing>
              <wp:anchor distT="0" distB="0" distL="0" distR="0" allowOverlap="1" layoutInCell="1" locked="0" behindDoc="1" simplePos="0" relativeHeight="487717376">
                <wp:simplePos x="0" y="0"/>
                <wp:positionH relativeFrom="page">
                  <wp:posOffset>226479</wp:posOffset>
                </wp:positionH>
                <wp:positionV relativeFrom="paragraph">
                  <wp:posOffset>70146</wp:posOffset>
                </wp:positionV>
                <wp:extent cx="7312659" cy="16510"/>
                <wp:effectExtent l="0" t="0" r="0" b="0"/>
                <wp:wrapTopAndBottom/>
                <wp:docPr id="578" name="Graphic 578"/>
                <wp:cNvGraphicFramePr>
                  <a:graphicFrameLocks/>
                </wp:cNvGraphicFramePr>
                <a:graphic>
                  <a:graphicData uri="http://schemas.microsoft.com/office/word/2010/wordprocessingShape">
                    <wps:wsp>
                      <wps:cNvPr id="578" name="Graphic 578"/>
                      <wps:cNvSpPr/>
                      <wps:spPr>
                        <a:xfrm>
                          <a:off x="0" y="0"/>
                          <a:ext cx="7312659" cy="16510"/>
                        </a:xfrm>
                        <a:custGeom>
                          <a:avLst/>
                          <a:gdLst/>
                          <a:ahLst/>
                          <a:cxnLst/>
                          <a:rect l="l" t="t" r="r" b="b"/>
                          <a:pathLst>
                            <a:path w="7312659" h="16510">
                              <a:moveTo>
                                <a:pt x="7312342" y="0"/>
                              </a:moveTo>
                              <a:lnTo>
                                <a:pt x="7312342" y="0"/>
                              </a:lnTo>
                              <a:lnTo>
                                <a:pt x="0" y="0"/>
                              </a:lnTo>
                              <a:lnTo>
                                <a:pt x="0"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5.523373pt;width:575.775027pt;height:1.273pt;mso-position-horizontal-relative:page;mso-position-vertical-relative:paragraph;z-index:-15599104;mso-wrap-distance-left:0;mso-wrap-distance-right:0" id="docshape577" filled="true" fillcolor="#000000" stroked="false">
                <v:fill type="solid"/>
                <w10:wrap type="topAndBottom"/>
              </v:rect>
            </w:pict>
          </mc:Fallback>
        </mc:AlternateContent>
      </w:r>
    </w:p>
    <w:p>
      <w:pPr>
        <w:tabs>
          <w:tab w:pos="9237" w:val="left" w:leader="none"/>
        </w:tabs>
        <w:spacing w:before="0" w:after="25"/>
        <w:ind w:left="5545" w:right="0" w:firstLine="0"/>
        <w:jc w:val="left"/>
        <w:rPr>
          <w:sz w:val="15"/>
        </w:rPr>
      </w:pPr>
      <w:r>
        <w:rPr>
          <w:b/>
          <w:sz w:val="15"/>
        </w:rPr>
        <w:t>December</w:t>
      </w:r>
      <w:r>
        <w:rPr>
          <w:b/>
          <w:spacing w:val="-1"/>
          <w:sz w:val="15"/>
        </w:rPr>
        <w:t> </w:t>
      </w:r>
      <w:r>
        <w:rPr>
          <w:b/>
          <w:sz w:val="15"/>
        </w:rPr>
        <w:t>31, </w:t>
      </w:r>
      <w:r>
        <w:rPr>
          <w:b/>
          <w:spacing w:val="-4"/>
          <w:sz w:val="15"/>
        </w:rPr>
        <w:t>2021</w:t>
      </w:r>
      <w:r>
        <w:rPr>
          <w:b/>
          <w:sz w:val="15"/>
        </w:rPr>
        <w:tab/>
      </w:r>
      <w:r>
        <w:rPr>
          <w:sz w:val="15"/>
        </w:rPr>
        <w:t>December</w:t>
      </w:r>
      <w:r>
        <w:rPr>
          <w:spacing w:val="-1"/>
          <w:sz w:val="15"/>
        </w:rPr>
        <w:t> </w:t>
      </w:r>
      <w:r>
        <w:rPr>
          <w:sz w:val="15"/>
        </w:rPr>
        <w:t>31, </w:t>
      </w:r>
      <w:r>
        <w:rPr>
          <w:spacing w:val="-4"/>
          <w:sz w:val="15"/>
        </w:rPr>
        <w:t>2020</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0"/>
        <w:gridCol w:w="802"/>
        <w:gridCol w:w="917"/>
        <w:gridCol w:w="949"/>
        <w:gridCol w:w="898"/>
        <w:gridCol w:w="115"/>
        <w:gridCol w:w="803"/>
        <w:gridCol w:w="918"/>
        <w:gridCol w:w="1835"/>
      </w:tblGrid>
      <w:tr>
        <w:trPr>
          <w:trHeight w:val="188" w:hRule="atLeast"/>
        </w:trPr>
        <w:tc>
          <w:tcPr>
            <w:tcW w:w="4280" w:type="dxa"/>
            <w:tcBorders>
              <w:bottom w:val="single" w:sz="6" w:space="0" w:color="000000"/>
            </w:tcBorders>
          </w:tcPr>
          <w:p>
            <w:pPr>
              <w:pStyle w:val="TableParagraph"/>
              <w:spacing w:line="169" w:lineRule="exact"/>
              <w:rPr>
                <w:sz w:val="15"/>
              </w:rPr>
            </w:pPr>
            <w:r>
              <w:rPr>
                <w:sz w:val="15"/>
              </w:rPr>
              <w:t>(in</w:t>
            </w:r>
            <w:r>
              <w:rPr>
                <w:spacing w:val="1"/>
                <w:sz w:val="15"/>
              </w:rPr>
              <w:t> </w:t>
            </w:r>
            <w:r>
              <w:rPr>
                <w:spacing w:val="-2"/>
                <w:sz w:val="15"/>
              </w:rPr>
              <w:t>millions)</w:t>
            </w:r>
          </w:p>
        </w:tc>
        <w:tc>
          <w:tcPr>
            <w:tcW w:w="802" w:type="dxa"/>
            <w:tcBorders>
              <w:top w:val="single" w:sz="6" w:space="0" w:color="000000"/>
              <w:bottom w:val="single" w:sz="6" w:space="0" w:color="000000"/>
            </w:tcBorders>
          </w:tcPr>
          <w:p>
            <w:pPr>
              <w:pStyle w:val="TableParagraph"/>
              <w:spacing w:line="169" w:lineRule="exact"/>
              <w:ind w:left="170"/>
              <w:rPr>
                <w:b/>
                <w:sz w:val="15"/>
              </w:rPr>
            </w:pPr>
            <w:r>
              <w:rPr>
                <w:b/>
                <w:spacing w:val="-2"/>
                <w:sz w:val="15"/>
              </w:rPr>
              <w:t>Total</w:t>
            </w:r>
          </w:p>
        </w:tc>
        <w:tc>
          <w:tcPr>
            <w:tcW w:w="917" w:type="dxa"/>
            <w:tcBorders>
              <w:top w:val="single" w:sz="6" w:space="0" w:color="000000"/>
              <w:bottom w:val="single" w:sz="6" w:space="0" w:color="000000"/>
            </w:tcBorders>
          </w:tcPr>
          <w:p>
            <w:pPr>
              <w:pStyle w:val="TableParagraph"/>
              <w:spacing w:line="169" w:lineRule="exact"/>
              <w:jc w:val="center"/>
              <w:rPr>
                <w:b/>
                <w:sz w:val="15"/>
              </w:rPr>
            </w:pPr>
            <w:r>
              <w:rPr>
                <w:b/>
                <w:sz w:val="15"/>
              </w:rPr>
              <w:t>(Level</w:t>
            </w:r>
            <w:r>
              <w:rPr>
                <w:b/>
                <w:spacing w:val="-3"/>
                <w:sz w:val="15"/>
              </w:rPr>
              <w:t> </w:t>
            </w:r>
            <w:r>
              <w:rPr>
                <w:b/>
                <w:spacing w:val="-5"/>
                <w:sz w:val="15"/>
              </w:rPr>
              <w:t>1)</w:t>
            </w:r>
          </w:p>
        </w:tc>
        <w:tc>
          <w:tcPr>
            <w:tcW w:w="949" w:type="dxa"/>
            <w:tcBorders>
              <w:top w:val="single" w:sz="6" w:space="0" w:color="000000"/>
              <w:bottom w:val="single" w:sz="6" w:space="0" w:color="000000"/>
            </w:tcBorders>
          </w:tcPr>
          <w:p>
            <w:pPr>
              <w:pStyle w:val="TableParagraph"/>
              <w:spacing w:line="169" w:lineRule="exact"/>
              <w:ind w:right="202"/>
              <w:jc w:val="right"/>
              <w:rPr>
                <w:b/>
                <w:sz w:val="15"/>
              </w:rPr>
            </w:pPr>
            <w:r>
              <w:rPr>
                <w:b/>
                <w:sz w:val="15"/>
              </w:rPr>
              <w:t>(Level</w:t>
            </w:r>
            <w:r>
              <w:rPr>
                <w:b/>
                <w:spacing w:val="-3"/>
                <w:sz w:val="15"/>
              </w:rPr>
              <w:t> </w:t>
            </w:r>
            <w:r>
              <w:rPr>
                <w:b/>
                <w:spacing w:val="-5"/>
                <w:sz w:val="15"/>
              </w:rPr>
              <w:t>2)</w:t>
            </w:r>
          </w:p>
        </w:tc>
        <w:tc>
          <w:tcPr>
            <w:tcW w:w="898" w:type="dxa"/>
            <w:tcBorders>
              <w:top w:val="single" w:sz="6" w:space="0" w:color="000000"/>
              <w:bottom w:val="single" w:sz="6" w:space="0" w:color="000000"/>
            </w:tcBorders>
          </w:tcPr>
          <w:p>
            <w:pPr>
              <w:pStyle w:val="TableParagraph"/>
              <w:spacing w:line="169" w:lineRule="exact"/>
              <w:ind w:left="147"/>
              <w:rPr>
                <w:b/>
                <w:sz w:val="15"/>
              </w:rPr>
            </w:pPr>
            <w:r>
              <w:rPr>
                <w:b/>
                <w:sz w:val="15"/>
              </w:rPr>
              <w:t>(Level</w:t>
            </w:r>
            <w:r>
              <w:rPr>
                <w:b/>
                <w:spacing w:val="-3"/>
                <w:sz w:val="15"/>
              </w:rPr>
              <w:t> </w:t>
            </w:r>
            <w:r>
              <w:rPr>
                <w:b/>
                <w:spacing w:val="-5"/>
                <w:sz w:val="15"/>
              </w:rPr>
              <w:t>3)</w:t>
            </w:r>
          </w:p>
        </w:tc>
        <w:tc>
          <w:tcPr>
            <w:tcW w:w="115" w:type="dxa"/>
            <w:tcBorders>
              <w:bottom w:val="single" w:sz="6" w:space="0" w:color="000000"/>
            </w:tcBorders>
          </w:tcPr>
          <w:p>
            <w:pPr>
              <w:pStyle w:val="TableParagraph"/>
              <w:rPr>
                <w:sz w:val="12"/>
              </w:rPr>
            </w:pPr>
          </w:p>
        </w:tc>
        <w:tc>
          <w:tcPr>
            <w:tcW w:w="803" w:type="dxa"/>
            <w:tcBorders>
              <w:top w:val="single" w:sz="6" w:space="0" w:color="000000"/>
              <w:bottom w:val="single" w:sz="6" w:space="0" w:color="000000"/>
            </w:tcBorders>
          </w:tcPr>
          <w:p>
            <w:pPr>
              <w:pStyle w:val="TableParagraph"/>
              <w:spacing w:line="169" w:lineRule="exact"/>
              <w:ind w:left="183"/>
              <w:rPr>
                <w:sz w:val="15"/>
              </w:rPr>
            </w:pPr>
            <w:r>
              <w:rPr>
                <w:spacing w:val="-4"/>
                <w:sz w:val="15"/>
              </w:rPr>
              <w:t>Total</w:t>
            </w:r>
          </w:p>
        </w:tc>
        <w:tc>
          <w:tcPr>
            <w:tcW w:w="918" w:type="dxa"/>
            <w:tcBorders>
              <w:top w:val="single" w:sz="6" w:space="0" w:color="000000"/>
              <w:bottom w:val="single" w:sz="6" w:space="0" w:color="000000"/>
            </w:tcBorders>
          </w:tcPr>
          <w:p>
            <w:pPr>
              <w:pStyle w:val="TableParagraph"/>
              <w:spacing w:line="169" w:lineRule="exact"/>
              <w:jc w:val="center"/>
              <w:rPr>
                <w:sz w:val="15"/>
              </w:rPr>
            </w:pPr>
            <w:r>
              <w:rPr>
                <w:sz w:val="15"/>
              </w:rPr>
              <w:t>(Level</w:t>
            </w:r>
            <w:r>
              <w:rPr>
                <w:spacing w:val="-2"/>
                <w:sz w:val="15"/>
              </w:rPr>
              <w:t> </w:t>
            </w:r>
            <w:r>
              <w:rPr>
                <w:spacing w:val="-5"/>
                <w:sz w:val="15"/>
              </w:rPr>
              <w:t>1)</w:t>
            </w:r>
          </w:p>
        </w:tc>
        <w:tc>
          <w:tcPr>
            <w:tcW w:w="1835" w:type="dxa"/>
            <w:tcBorders>
              <w:top w:val="single" w:sz="6" w:space="0" w:color="000000"/>
              <w:bottom w:val="single" w:sz="6" w:space="0" w:color="000000"/>
            </w:tcBorders>
          </w:tcPr>
          <w:p>
            <w:pPr>
              <w:pStyle w:val="TableParagraph"/>
              <w:tabs>
                <w:tab w:pos="1092" w:val="left" w:leader="none"/>
              </w:tabs>
              <w:spacing w:line="169" w:lineRule="exact"/>
              <w:ind w:left="175"/>
              <w:rPr>
                <w:sz w:val="15"/>
              </w:rPr>
            </w:pPr>
            <w:r>
              <w:rPr>
                <w:sz w:val="15"/>
              </w:rPr>
              <w:t>(Level</w:t>
            </w:r>
            <w:r>
              <w:rPr>
                <w:spacing w:val="-2"/>
                <w:sz w:val="15"/>
              </w:rPr>
              <w:t> </w:t>
            </w:r>
            <w:r>
              <w:rPr>
                <w:spacing w:val="-5"/>
                <w:sz w:val="15"/>
              </w:rPr>
              <w:t>2)</w:t>
            </w:r>
            <w:r>
              <w:rPr>
                <w:sz w:val="15"/>
              </w:rPr>
              <w:tab/>
              <w:t>(Level</w:t>
            </w:r>
            <w:r>
              <w:rPr>
                <w:spacing w:val="-2"/>
                <w:sz w:val="15"/>
              </w:rPr>
              <w:t> </w:t>
            </w:r>
            <w:r>
              <w:rPr>
                <w:spacing w:val="-5"/>
                <w:sz w:val="15"/>
              </w:rPr>
              <w:t>3)</w:t>
            </w:r>
          </w:p>
        </w:tc>
      </w:tr>
      <w:tr>
        <w:trPr>
          <w:trHeight w:val="189" w:hRule="atLeast"/>
        </w:trPr>
        <w:tc>
          <w:tcPr>
            <w:tcW w:w="4280" w:type="dxa"/>
            <w:tcBorders>
              <w:top w:val="single" w:sz="6" w:space="0" w:color="000000"/>
            </w:tcBorders>
            <w:shd w:val="clear" w:color="auto" w:fill="CCEDFF"/>
          </w:tcPr>
          <w:p>
            <w:pPr>
              <w:pStyle w:val="TableParagraph"/>
              <w:spacing w:line="170" w:lineRule="exact"/>
              <w:rPr>
                <w:sz w:val="15"/>
              </w:rPr>
            </w:pPr>
            <w:r>
              <w:rPr>
                <w:sz w:val="15"/>
              </w:rPr>
              <w:t>Equity</w:t>
            </w:r>
            <w:r>
              <w:rPr>
                <w:spacing w:val="2"/>
                <w:sz w:val="15"/>
              </w:rPr>
              <w:t> </w:t>
            </w:r>
            <w:r>
              <w:rPr>
                <w:spacing w:val="-2"/>
                <w:sz w:val="15"/>
              </w:rPr>
              <w:t>securities:</w:t>
            </w:r>
          </w:p>
        </w:tc>
        <w:tc>
          <w:tcPr>
            <w:tcW w:w="802" w:type="dxa"/>
            <w:tcBorders>
              <w:top w:val="single" w:sz="6" w:space="0" w:color="000000"/>
            </w:tcBorders>
            <w:shd w:val="clear" w:color="auto" w:fill="CCEDFF"/>
          </w:tcPr>
          <w:p>
            <w:pPr>
              <w:pStyle w:val="TableParagraph"/>
              <w:rPr>
                <w:sz w:val="12"/>
              </w:rPr>
            </w:pPr>
          </w:p>
        </w:tc>
        <w:tc>
          <w:tcPr>
            <w:tcW w:w="917" w:type="dxa"/>
            <w:tcBorders>
              <w:top w:val="single" w:sz="6" w:space="0" w:color="000000"/>
            </w:tcBorders>
            <w:shd w:val="clear" w:color="auto" w:fill="CCEDFF"/>
          </w:tcPr>
          <w:p>
            <w:pPr>
              <w:pStyle w:val="TableParagraph"/>
              <w:rPr>
                <w:sz w:val="12"/>
              </w:rPr>
            </w:pPr>
          </w:p>
        </w:tc>
        <w:tc>
          <w:tcPr>
            <w:tcW w:w="949" w:type="dxa"/>
            <w:tcBorders>
              <w:top w:val="single" w:sz="6" w:space="0" w:color="000000"/>
            </w:tcBorders>
            <w:shd w:val="clear" w:color="auto" w:fill="CCEDFF"/>
          </w:tcPr>
          <w:p>
            <w:pPr>
              <w:pStyle w:val="TableParagraph"/>
              <w:rPr>
                <w:sz w:val="12"/>
              </w:rPr>
            </w:pPr>
          </w:p>
        </w:tc>
        <w:tc>
          <w:tcPr>
            <w:tcW w:w="898" w:type="dxa"/>
            <w:tcBorders>
              <w:top w:val="single" w:sz="6" w:space="0" w:color="000000"/>
            </w:tcBorders>
            <w:shd w:val="clear" w:color="auto" w:fill="CCEDFF"/>
          </w:tcPr>
          <w:p>
            <w:pPr>
              <w:pStyle w:val="TableParagraph"/>
              <w:rPr>
                <w:sz w:val="12"/>
              </w:rPr>
            </w:pPr>
          </w:p>
        </w:tc>
        <w:tc>
          <w:tcPr>
            <w:tcW w:w="115" w:type="dxa"/>
            <w:tcBorders>
              <w:top w:val="single" w:sz="6" w:space="0" w:color="000000"/>
            </w:tcBorders>
            <w:shd w:val="clear" w:color="auto" w:fill="CCEDFF"/>
          </w:tcPr>
          <w:p>
            <w:pPr>
              <w:pStyle w:val="TableParagraph"/>
              <w:rPr>
                <w:sz w:val="12"/>
              </w:rPr>
            </w:pPr>
          </w:p>
        </w:tc>
        <w:tc>
          <w:tcPr>
            <w:tcW w:w="803" w:type="dxa"/>
            <w:tcBorders>
              <w:top w:val="single" w:sz="6" w:space="0" w:color="000000"/>
            </w:tcBorders>
            <w:shd w:val="clear" w:color="auto" w:fill="CCEDFF"/>
          </w:tcPr>
          <w:p>
            <w:pPr>
              <w:pStyle w:val="TableParagraph"/>
              <w:rPr>
                <w:sz w:val="12"/>
              </w:rPr>
            </w:pPr>
          </w:p>
        </w:tc>
        <w:tc>
          <w:tcPr>
            <w:tcW w:w="918" w:type="dxa"/>
            <w:tcBorders>
              <w:top w:val="single" w:sz="6" w:space="0" w:color="000000"/>
            </w:tcBorders>
            <w:shd w:val="clear" w:color="auto" w:fill="CCEDFF"/>
          </w:tcPr>
          <w:p>
            <w:pPr>
              <w:pStyle w:val="TableParagraph"/>
              <w:rPr>
                <w:sz w:val="12"/>
              </w:rPr>
            </w:pPr>
          </w:p>
        </w:tc>
        <w:tc>
          <w:tcPr>
            <w:tcW w:w="1835" w:type="dxa"/>
            <w:tcBorders>
              <w:top w:val="single" w:sz="6" w:space="0" w:color="000000"/>
            </w:tcBorders>
            <w:shd w:val="clear" w:color="auto" w:fill="CCEDFF"/>
          </w:tcPr>
          <w:p>
            <w:pPr>
              <w:pStyle w:val="TableParagraph"/>
              <w:rPr>
                <w:sz w:val="12"/>
              </w:rPr>
            </w:pPr>
          </w:p>
        </w:tc>
      </w:tr>
      <w:tr>
        <w:trPr>
          <w:trHeight w:val="191" w:hRule="atLeast"/>
        </w:trPr>
        <w:tc>
          <w:tcPr>
            <w:tcW w:w="4280" w:type="dxa"/>
          </w:tcPr>
          <w:p>
            <w:pPr>
              <w:pStyle w:val="TableParagraph"/>
              <w:spacing w:line="171" w:lineRule="exact"/>
              <w:ind w:left="152"/>
              <w:rPr>
                <w:sz w:val="15"/>
              </w:rPr>
            </w:pPr>
            <w:r>
              <w:rPr>
                <w:sz w:val="15"/>
              </w:rPr>
              <w:t>U.S.</w:t>
            </w:r>
            <w:r>
              <w:rPr>
                <w:spacing w:val="-1"/>
                <w:sz w:val="15"/>
              </w:rPr>
              <w:t> </w:t>
            </w:r>
            <w:r>
              <w:rPr>
                <w:spacing w:val="-2"/>
                <w:sz w:val="15"/>
              </w:rPr>
              <w:t>companies</w:t>
            </w:r>
          </w:p>
        </w:tc>
        <w:tc>
          <w:tcPr>
            <w:tcW w:w="802" w:type="dxa"/>
          </w:tcPr>
          <w:p>
            <w:pPr>
              <w:pStyle w:val="TableParagraph"/>
              <w:tabs>
                <w:tab w:pos="458" w:val="left" w:leader="none"/>
              </w:tabs>
              <w:spacing w:line="171" w:lineRule="exact"/>
              <w:ind w:right="112"/>
              <w:jc w:val="right"/>
              <w:rPr>
                <w:b/>
                <w:sz w:val="15"/>
              </w:rPr>
            </w:pPr>
            <w:r>
              <w:rPr>
                <w:b/>
                <w:spacing w:val="-10"/>
                <w:sz w:val="15"/>
              </w:rPr>
              <w:t>$</w:t>
            </w:r>
            <w:r>
              <w:rPr>
                <w:b/>
                <w:sz w:val="15"/>
              </w:rPr>
              <w:tab/>
            </w:r>
            <w:r>
              <w:rPr>
                <w:b/>
                <w:spacing w:val="-5"/>
                <w:sz w:val="15"/>
              </w:rPr>
              <w:t>977</w:t>
            </w:r>
          </w:p>
        </w:tc>
        <w:tc>
          <w:tcPr>
            <w:tcW w:w="917" w:type="dxa"/>
          </w:tcPr>
          <w:p>
            <w:pPr>
              <w:pStyle w:val="TableParagraph"/>
              <w:tabs>
                <w:tab w:pos="536" w:val="left" w:leader="none"/>
              </w:tabs>
              <w:spacing w:line="171" w:lineRule="exact"/>
              <w:ind w:left="1"/>
              <w:jc w:val="center"/>
              <w:rPr>
                <w:b/>
                <w:sz w:val="15"/>
              </w:rPr>
            </w:pPr>
            <w:r>
              <w:rPr>
                <w:b/>
                <w:spacing w:val="-10"/>
                <w:sz w:val="15"/>
              </w:rPr>
              <w:t>$</w:t>
            </w:r>
            <w:r>
              <w:rPr>
                <w:b/>
                <w:sz w:val="15"/>
              </w:rPr>
              <w:tab/>
            </w:r>
            <w:r>
              <w:rPr>
                <w:b/>
                <w:spacing w:val="-5"/>
                <w:sz w:val="15"/>
              </w:rPr>
              <w:t>20</w:t>
            </w:r>
          </w:p>
        </w:tc>
        <w:tc>
          <w:tcPr>
            <w:tcW w:w="949" w:type="dxa"/>
          </w:tcPr>
          <w:p>
            <w:pPr>
              <w:pStyle w:val="TableParagraph"/>
              <w:tabs>
                <w:tab w:pos="458" w:val="left" w:leader="none"/>
              </w:tabs>
              <w:spacing w:line="171" w:lineRule="exact"/>
              <w:ind w:right="143"/>
              <w:jc w:val="right"/>
              <w:rPr>
                <w:b/>
                <w:sz w:val="15"/>
              </w:rPr>
            </w:pPr>
            <w:r>
              <w:rPr>
                <w:b/>
                <w:spacing w:val="-10"/>
                <w:sz w:val="15"/>
              </w:rPr>
              <w:t>$</w:t>
            </w:r>
            <w:r>
              <w:rPr>
                <w:b/>
                <w:sz w:val="15"/>
              </w:rPr>
              <w:tab/>
            </w:r>
            <w:r>
              <w:rPr>
                <w:b/>
                <w:spacing w:val="-5"/>
                <w:sz w:val="15"/>
              </w:rPr>
              <w:t>957</w:t>
            </w:r>
          </w:p>
        </w:tc>
        <w:tc>
          <w:tcPr>
            <w:tcW w:w="898" w:type="dxa"/>
          </w:tcPr>
          <w:p>
            <w:pPr>
              <w:pStyle w:val="TableParagraph"/>
              <w:rPr>
                <w:sz w:val="12"/>
              </w:rPr>
            </w:pPr>
          </w:p>
        </w:tc>
        <w:tc>
          <w:tcPr>
            <w:tcW w:w="115" w:type="dxa"/>
          </w:tcPr>
          <w:p>
            <w:pPr>
              <w:pStyle w:val="TableParagraph"/>
              <w:rPr>
                <w:sz w:val="12"/>
              </w:rPr>
            </w:pPr>
          </w:p>
        </w:tc>
        <w:tc>
          <w:tcPr>
            <w:tcW w:w="803" w:type="dxa"/>
          </w:tcPr>
          <w:p>
            <w:pPr>
              <w:pStyle w:val="TableParagraph"/>
              <w:tabs>
                <w:tab w:pos="458" w:val="left" w:leader="none"/>
              </w:tabs>
              <w:spacing w:line="171" w:lineRule="exact"/>
              <w:ind w:right="112"/>
              <w:jc w:val="right"/>
              <w:rPr>
                <w:sz w:val="15"/>
              </w:rPr>
            </w:pPr>
            <w:r>
              <w:rPr>
                <w:spacing w:val="-10"/>
                <w:sz w:val="15"/>
              </w:rPr>
              <w:t>$</w:t>
            </w:r>
            <w:r>
              <w:rPr>
                <w:sz w:val="15"/>
              </w:rPr>
              <w:tab/>
            </w:r>
            <w:r>
              <w:rPr>
                <w:spacing w:val="-5"/>
                <w:sz w:val="15"/>
              </w:rPr>
              <w:t>781</w:t>
            </w:r>
          </w:p>
        </w:tc>
        <w:tc>
          <w:tcPr>
            <w:tcW w:w="918" w:type="dxa"/>
          </w:tcPr>
          <w:p>
            <w:pPr>
              <w:pStyle w:val="TableParagraph"/>
              <w:tabs>
                <w:tab w:pos="611" w:val="left" w:leader="none"/>
              </w:tabs>
              <w:spacing w:line="171" w:lineRule="exact"/>
              <w:jc w:val="center"/>
              <w:rPr>
                <w:sz w:val="15"/>
              </w:rPr>
            </w:pPr>
            <w:r>
              <w:rPr>
                <w:spacing w:val="-10"/>
                <w:sz w:val="15"/>
              </w:rPr>
              <w:t>$</w:t>
            </w:r>
            <w:r>
              <w:rPr>
                <w:sz w:val="15"/>
              </w:rPr>
              <w:tab/>
            </w:r>
            <w:r>
              <w:rPr>
                <w:spacing w:val="-10"/>
                <w:sz w:val="15"/>
              </w:rPr>
              <w:t>1</w:t>
            </w:r>
          </w:p>
        </w:tc>
        <w:tc>
          <w:tcPr>
            <w:tcW w:w="1835" w:type="dxa"/>
          </w:tcPr>
          <w:p>
            <w:pPr>
              <w:pStyle w:val="TableParagraph"/>
              <w:tabs>
                <w:tab w:pos="572" w:val="left" w:leader="none"/>
              </w:tabs>
              <w:spacing w:line="171" w:lineRule="exact"/>
              <w:ind w:left="113"/>
              <w:rPr>
                <w:sz w:val="15"/>
              </w:rPr>
            </w:pPr>
            <w:r>
              <w:rPr>
                <w:spacing w:val="-10"/>
                <w:sz w:val="15"/>
              </w:rPr>
              <w:t>$</w:t>
            </w:r>
            <w:r>
              <w:rPr>
                <w:sz w:val="15"/>
              </w:rPr>
              <w:tab/>
            </w:r>
            <w:r>
              <w:rPr>
                <w:spacing w:val="-5"/>
                <w:sz w:val="15"/>
              </w:rPr>
              <w:t>780</w:t>
            </w:r>
          </w:p>
        </w:tc>
      </w:tr>
      <w:tr>
        <w:trPr>
          <w:trHeight w:val="191" w:hRule="atLeast"/>
        </w:trPr>
        <w:tc>
          <w:tcPr>
            <w:tcW w:w="4280" w:type="dxa"/>
            <w:shd w:val="clear" w:color="auto" w:fill="CCEDFF"/>
          </w:tcPr>
          <w:p>
            <w:pPr>
              <w:pStyle w:val="TableParagraph"/>
              <w:spacing w:line="171" w:lineRule="exact"/>
              <w:ind w:left="152"/>
              <w:rPr>
                <w:sz w:val="15"/>
              </w:rPr>
            </w:pPr>
            <w:r>
              <w:rPr>
                <w:sz w:val="15"/>
              </w:rPr>
              <w:t>International</w:t>
            </w:r>
            <w:r>
              <w:rPr>
                <w:spacing w:val="7"/>
                <w:sz w:val="15"/>
              </w:rPr>
              <w:t> </w:t>
            </w:r>
            <w:r>
              <w:rPr>
                <w:spacing w:val="-2"/>
                <w:sz w:val="15"/>
              </w:rPr>
              <w:t>companies</w:t>
            </w:r>
          </w:p>
        </w:tc>
        <w:tc>
          <w:tcPr>
            <w:tcW w:w="802" w:type="dxa"/>
            <w:shd w:val="clear" w:color="auto" w:fill="CCEDFF"/>
          </w:tcPr>
          <w:p>
            <w:pPr>
              <w:pStyle w:val="TableParagraph"/>
              <w:spacing w:line="171" w:lineRule="exact"/>
              <w:ind w:right="112"/>
              <w:jc w:val="right"/>
              <w:rPr>
                <w:b/>
                <w:sz w:val="15"/>
              </w:rPr>
            </w:pPr>
            <w:r>
              <w:rPr>
                <w:b/>
                <w:spacing w:val="-5"/>
                <w:sz w:val="15"/>
              </w:rPr>
              <w:t>234</w:t>
            </w:r>
          </w:p>
        </w:tc>
        <w:tc>
          <w:tcPr>
            <w:tcW w:w="917" w:type="dxa"/>
            <w:shd w:val="clear" w:color="auto" w:fill="CCEDFF"/>
          </w:tcPr>
          <w:p>
            <w:pPr>
              <w:pStyle w:val="TableParagraph"/>
              <w:rPr>
                <w:sz w:val="12"/>
              </w:rPr>
            </w:pPr>
          </w:p>
        </w:tc>
        <w:tc>
          <w:tcPr>
            <w:tcW w:w="949" w:type="dxa"/>
            <w:shd w:val="clear" w:color="auto" w:fill="CCEDFF"/>
          </w:tcPr>
          <w:p>
            <w:pPr>
              <w:pStyle w:val="TableParagraph"/>
              <w:spacing w:line="171" w:lineRule="exact"/>
              <w:ind w:right="143"/>
              <w:jc w:val="right"/>
              <w:rPr>
                <w:b/>
                <w:sz w:val="15"/>
              </w:rPr>
            </w:pPr>
            <w:r>
              <w:rPr>
                <w:b/>
                <w:spacing w:val="-5"/>
                <w:sz w:val="15"/>
              </w:rPr>
              <w:t>234</w:t>
            </w:r>
          </w:p>
        </w:tc>
        <w:tc>
          <w:tcPr>
            <w:tcW w:w="898" w:type="dxa"/>
            <w:shd w:val="clear" w:color="auto" w:fill="CCEDFF"/>
          </w:tcPr>
          <w:p>
            <w:pPr>
              <w:pStyle w:val="TableParagraph"/>
              <w:rPr>
                <w:sz w:val="12"/>
              </w:rPr>
            </w:pPr>
          </w:p>
        </w:tc>
        <w:tc>
          <w:tcPr>
            <w:tcW w:w="115" w:type="dxa"/>
            <w:shd w:val="clear" w:color="auto" w:fill="CCEDFF"/>
          </w:tcPr>
          <w:p>
            <w:pPr>
              <w:pStyle w:val="TableParagraph"/>
              <w:rPr>
                <w:sz w:val="12"/>
              </w:rPr>
            </w:pPr>
          </w:p>
        </w:tc>
        <w:tc>
          <w:tcPr>
            <w:tcW w:w="803" w:type="dxa"/>
            <w:shd w:val="clear" w:color="auto" w:fill="CCEDFF"/>
          </w:tcPr>
          <w:p>
            <w:pPr>
              <w:pStyle w:val="TableParagraph"/>
              <w:spacing w:line="171" w:lineRule="exact"/>
              <w:ind w:right="112"/>
              <w:jc w:val="right"/>
              <w:rPr>
                <w:sz w:val="15"/>
              </w:rPr>
            </w:pPr>
            <w:r>
              <w:rPr>
                <w:spacing w:val="-5"/>
                <w:sz w:val="15"/>
              </w:rPr>
              <w:t>441</w:t>
            </w:r>
          </w:p>
        </w:tc>
        <w:tc>
          <w:tcPr>
            <w:tcW w:w="918" w:type="dxa"/>
            <w:shd w:val="clear" w:color="auto" w:fill="CCEDFF"/>
          </w:tcPr>
          <w:p>
            <w:pPr>
              <w:pStyle w:val="TableParagraph"/>
              <w:rPr>
                <w:sz w:val="12"/>
              </w:rPr>
            </w:pPr>
          </w:p>
        </w:tc>
        <w:tc>
          <w:tcPr>
            <w:tcW w:w="1835" w:type="dxa"/>
            <w:shd w:val="clear" w:color="auto" w:fill="CCEDFF"/>
          </w:tcPr>
          <w:p>
            <w:pPr>
              <w:pStyle w:val="TableParagraph"/>
              <w:spacing w:line="171" w:lineRule="exact"/>
              <w:ind w:left="572"/>
              <w:rPr>
                <w:sz w:val="15"/>
              </w:rPr>
            </w:pPr>
            <w:r>
              <w:rPr>
                <w:spacing w:val="-5"/>
                <w:sz w:val="15"/>
              </w:rPr>
              <w:t>441</w:t>
            </w:r>
          </w:p>
        </w:tc>
      </w:tr>
    </w:tbl>
    <w:p>
      <w:pPr>
        <w:pStyle w:val="BodyText"/>
        <w:spacing w:before="1"/>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0"/>
        <w:gridCol w:w="802"/>
        <w:gridCol w:w="917"/>
        <w:gridCol w:w="917"/>
        <w:gridCol w:w="1848"/>
        <w:gridCol w:w="918"/>
        <w:gridCol w:w="1836"/>
      </w:tblGrid>
      <w:tr>
        <w:trPr>
          <w:trHeight w:val="191" w:hRule="atLeast"/>
        </w:trPr>
        <w:tc>
          <w:tcPr>
            <w:tcW w:w="4280" w:type="dxa"/>
            <w:shd w:val="clear" w:color="auto" w:fill="CCEDFF"/>
          </w:tcPr>
          <w:p>
            <w:pPr>
              <w:pStyle w:val="TableParagraph"/>
              <w:spacing w:line="171" w:lineRule="exact"/>
              <w:rPr>
                <w:sz w:val="15"/>
              </w:rPr>
            </w:pPr>
            <w:r>
              <w:rPr>
                <w:sz w:val="15"/>
              </w:rPr>
              <w:t>Fixed</w:t>
            </w:r>
            <w:r>
              <w:rPr>
                <w:spacing w:val="3"/>
                <w:sz w:val="15"/>
              </w:rPr>
              <w:t> </w:t>
            </w:r>
            <w:r>
              <w:rPr>
                <w:spacing w:val="-2"/>
                <w:sz w:val="15"/>
              </w:rPr>
              <w:t>income:</w:t>
            </w:r>
          </w:p>
        </w:tc>
        <w:tc>
          <w:tcPr>
            <w:tcW w:w="7238" w:type="dxa"/>
            <w:gridSpan w:val="6"/>
            <w:shd w:val="clear" w:color="auto" w:fill="CCEDFF"/>
          </w:tcPr>
          <w:p>
            <w:pPr>
              <w:pStyle w:val="TableParagraph"/>
              <w:rPr>
                <w:sz w:val="12"/>
              </w:rPr>
            </w:pPr>
          </w:p>
        </w:tc>
      </w:tr>
      <w:tr>
        <w:trPr>
          <w:trHeight w:val="191" w:hRule="atLeast"/>
        </w:trPr>
        <w:tc>
          <w:tcPr>
            <w:tcW w:w="4280" w:type="dxa"/>
          </w:tcPr>
          <w:p>
            <w:pPr>
              <w:pStyle w:val="TableParagraph"/>
              <w:spacing w:line="171" w:lineRule="exact"/>
              <w:ind w:left="152"/>
              <w:rPr>
                <w:sz w:val="15"/>
              </w:rPr>
            </w:pPr>
            <w:r>
              <w:rPr>
                <w:sz w:val="15"/>
              </w:rPr>
              <w:t>U.S.</w:t>
            </w:r>
            <w:r>
              <w:rPr>
                <w:spacing w:val="3"/>
                <w:sz w:val="15"/>
              </w:rPr>
              <w:t> </w:t>
            </w:r>
            <w:r>
              <w:rPr>
                <w:sz w:val="15"/>
              </w:rPr>
              <w:t>treasury</w:t>
            </w:r>
            <w:r>
              <w:rPr>
                <w:spacing w:val="4"/>
                <w:sz w:val="15"/>
              </w:rPr>
              <w:t> </w:t>
            </w:r>
            <w:r>
              <w:rPr>
                <w:spacing w:val="-2"/>
                <w:sz w:val="15"/>
              </w:rPr>
              <w:t>bonds</w:t>
            </w:r>
          </w:p>
        </w:tc>
        <w:tc>
          <w:tcPr>
            <w:tcW w:w="802" w:type="dxa"/>
          </w:tcPr>
          <w:p>
            <w:pPr>
              <w:pStyle w:val="TableParagraph"/>
              <w:spacing w:line="171" w:lineRule="exact"/>
              <w:ind w:right="112"/>
              <w:jc w:val="right"/>
              <w:rPr>
                <w:b/>
                <w:sz w:val="15"/>
              </w:rPr>
            </w:pPr>
            <w:r>
              <w:rPr>
                <w:b/>
                <w:spacing w:val="-5"/>
                <w:sz w:val="15"/>
              </w:rPr>
              <w:t>256</w:t>
            </w:r>
          </w:p>
        </w:tc>
        <w:tc>
          <w:tcPr>
            <w:tcW w:w="917" w:type="dxa"/>
          </w:tcPr>
          <w:p>
            <w:pPr>
              <w:pStyle w:val="TableParagraph"/>
              <w:spacing w:line="171" w:lineRule="exact"/>
              <w:ind w:left="573"/>
              <w:rPr>
                <w:b/>
                <w:sz w:val="15"/>
              </w:rPr>
            </w:pPr>
            <w:r>
              <w:rPr>
                <w:b/>
                <w:spacing w:val="-5"/>
                <w:sz w:val="15"/>
              </w:rPr>
              <w:t>256</w:t>
            </w:r>
          </w:p>
        </w:tc>
        <w:tc>
          <w:tcPr>
            <w:tcW w:w="917" w:type="dxa"/>
          </w:tcPr>
          <w:p>
            <w:pPr>
              <w:pStyle w:val="TableParagraph"/>
              <w:rPr>
                <w:sz w:val="12"/>
              </w:rPr>
            </w:pPr>
          </w:p>
        </w:tc>
        <w:tc>
          <w:tcPr>
            <w:tcW w:w="1848" w:type="dxa"/>
          </w:tcPr>
          <w:p>
            <w:pPr>
              <w:pStyle w:val="TableParagraph"/>
              <w:spacing w:line="171" w:lineRule="exact"/>
              <w:ind w:right="112"/>
              <w:jc w:val="right"/>
              <w:rPr>
                <w:sz w:val="15"/>
              </w:rPr>
            </w:pPr>
            <w:r>
              <w:rPr>
                <w:spacing w:val="-5"/>
                <w:sz w:val="15"/>
              </w:rPr>
              <w:t>147</w:t>
            </w:r>
          </w:p>
        </w:tc>
        <w:tc>
          <w:tcPr>
            <w:tcW w:w="918" w:type="dxa"/>
          </w:tcPr>
          <w:p>
            <w:pPr>
              <w:pStyle w:val="TableParagraph"/>
              <w:spacing w:line="171" w:lineRule="exact"/>
              <w:ind w:left="573"/>
              <w:rPr>
                <w:sz w:val="15"/>
              </w:rPr>
            </w:pPr>
            <w:r>
              <w:rPr>
                <w:spacing w:val="-5"/>
                <w:sz w:val="15"/>
              </w:rPr>
              <w:t>147</w:t>
            </w:r>
          </w:p>
        </w:tc>
        <w:tc>
          <w:tcPr>
            <w:tcW w:w="1836" w:type="dxa"/>
          </w:tcPr>
          <w:p>
            <w:pPr>
              <w:pStyle w:val="TableParagraph"/>
              <w:rPr>
                <w:sz w:val="12"/>
              </w:rPr>
            </w:pPr>
          </w:p>
        </w:tc>
      </w:tr>
      <w:tr>
        <w:trPr>
          <w:trHeight w:val="191" w:hRule="atLeast"/>
        </w:trPr>
        <w:tc>
          <w:tcPr>
            <w:tcW w:w="4280" w:type="dxa"/>
            <w:shd w:val="clear" w:color="auto" w:fill="CCEDFF"/>
          </w:tcPr>
          <w:p>
            <w:pPr>
              <w:pStyle w:val="TableParagraph"/>
              <w:spacing w:line="171" w:lineRule="exact"/>
              <w:ind w:left="152"/>
              <w:rPr>
                <w:sz w:val="15"/>
              </w:rPr>
            </w:pPr>
            <w:r>
              <w:rPr>
                <w:sz w:val="15"/>
              </w:rPr>
              <w:t>U.S.</w:t>
            </w:r>
            <w:r>
              <w:rPr>
                <w:spacing w:val="4"/>
                <w:sz w:val="15"/>
              </w:rPr>
              <w:t> </w:t>
            </w:r>
            <w:r>
              <w:rPr>
                <w:sz w:val="15"/>
              </w:rPr>
              <w:t>corporate</w:t>
            </w:r>
            <w:r>
              <w:rPr>
                <w:spacing w:val="4"/>
                <w:sz w:val="15"/>
              </w:rPr>
              <w:t> </w:t>
            </w:r>
            <w:r>
              <w:rPr>
                <w:spacing w:val="-2"/>
                <w:sz w:val="15"/>
              </w:rPr>
              <w:t>bonds</w:t>
            </w:r>
          </w:p>
        </w:tc>
        <w:tc>
          <w:tcPr>
            <w:tcW w:w="802" w:type="dxa"/>
            <w:shd w:val="clear" w:color="auto" w:fill="CCEDFF"/>
          </w:tcPr>
          <w:p>
            <w:pPr>
              <w:pStyle w:val="TableParagraph"/>
              <w:spacing w:line="171" w:lineRule="exact"/>
              <w:ind w:right="112"/>
              <w:jc w:val="right"/>
              <w:rPr>
                <w:b/>
                <w:sz w:val="15"/>
              </w:rPr>
            </w:pPr>
            <w:r>
              <w:rPr>
                <w:b/>
                <w:spacing w:val="-2"/>
                <w:sz w:val="15"/>
              </w:rPr>
              <w:t>1,770</w:t>
            </w:r>
          </w:p>
        </w:tc>
        <w:tc>
          <w:tcPr>
            <w:tcW w:w="917" w:type="dxa"/>
            <w:shd w:val="clear" w:color="auto" w:fill="CCEDFF"/>
          </w:tcPr>
          <w:p>
            <w:pPr>
              <w:pStyle w:val="TableParagraph"/>
              <w:rPr>
                <w:sz w:val="12"/>
              </w:rPr>
            </w:pPr>
          </w:p>
        </w:tc>
        <w:tc>
          <w:tcPr>
            <w:tcW w:w="917" w:type="dxa"/>
            <w:shd w:val="clear" w:color="auto" w:fill="CCEDFF"/>
          </w:tcPr>
          <w:p>
            <w:pPr>
              <w:pStyle w:val="TableParagraph"/>
              <w:spacing w:line="171" w:lineRule="exact"/>
              <w:ind w:left="459"/>
              <w:rPr>
                <w:b/>
                <w:sz w:val="15"/>
              </w:rPr>
            </w:pPr>
            <w:r>
              <w:rPr>
                <w:b/>
                <w:spacing w:val="-2"/>
                <w:sz w:val="15"/>
              </w:rPr>
              <w:t>1,770</w:t>
            </w:r>
          </w:p>
        </w:tc>
        <w:tc>
          <w:tcPr>
            <w:tcW w:w="1848" w:type="dxa"/>
            <w:shd w:val="clear" w:color="auto" w:fill="CCEDFF"/>
          </w:tcPr>
          <w:p>
            <w:pPr>
              <w:pStyle w:val="TableParagraph"/>
              <w:spacing w:line="171" w:lineRule="exact"/>
              <w:ind w:right="112"/>
              <w:jc w:val="right"/>
              <w:rPr>
                <w:sz w:val="15"/>
              </w:rPr>
            </w:pPr>
            <w:r>
              <w:rPr>
                <w:spacing w:val="-2"/>
                <w:sz w:val="15"/>
              </w:rPr>
              <w:t>1,951</w:t>
            </w:r>
          </w:p>
        </w:tc>
        <w:tc>
          <w:tcPr>
            <w:tcW w:w="918" w:type="dxa"/>
            <w:shd w:val="clear" w:color="auto" w:fill="CCEDFF"/>
          </w:tcPr>
          <w:p>
            <w:pPr>
              <w:pStyle w:val="TableParagraph"/>
              <w:rPr>
                <w:sz w:val="12"/>
              </w:rPr>
            </w:pPr>
          </w:p>
        </w:tc>
        <w:tc>
          <w:tcPr>
            <w:tcW w:w="1836" w:type="dxa"/>
            <w:shd w:val="clear" w:color="auto" w:fill="CCEDFF"/>
          </w:tcPr>
          <w:p>
            <w:pPr>
              <w:pStyle w:val="TableParagraph"/>
              <w:spacing w:line="171" w:lineRule="exact"/>
              <w:ind w:left="457"/>
              <w:rPr>
                <w:sz w:val="15"/>
              </w:rPr>
            </w:pPr>
            <w:r>
              <w:rPr>
                <w:spacing w:val="-2"/>
                <w:sz w:val="15"/>
              </w:rPr>
              <w:t>1,951</w:t>
            </w:r>
          </w:p>
        </w:tc>
      </w:tr>
    </w:tbl>
    <w:p>
      <w:pPr>
        <w:pStyle w:val="BodyText"/>
        <w:spacing w:before="7"/>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0"/>
        <w:gridCol w:w="802"/>
        <w:gridCol w:w="917"/>
        <w:gridCol w:w="917"/>
        <w:gridCol w:w="930"/>
        <w:gridCol w:w="918"/>
        <w:gridCol w:w="918"/>
        <w:gridCol w:w="918"/>
        <w:gridCol w:w="918"/>
      </w:tblGrid>
      <w:tr>
        <w:trPr>
          <w:trHeight w:val="191" w:hRule="atLeast"/>
        </w:trPr>
        <w:tc>
          <w:tcPr>
            <w:tcW w:w="4280" w:type="dxa"/>
            <w:shd w:val="clear" w:color="auto" w:fill="CCEDFF"/>
          </w:tcPr>
          <w:p>
            <w:pPr>
              <w:pStyle w:val="TableParagraph"/>
              <w:spacing w:line="171" w:lineRule="exact"/>
              <w:rPr>
                <w:sz w:val="15"/>
              </w:rPr>
            </w:pPr>
            <w:r>
              <w:rPr>
                <w:sz w:val="15"/>
              </w:rPr>
              <w:t>Preferred</w:t>
            </w:r>
            <w:r>
              <w:rPr>
                <w:spacing w:val="5"/>
                <w:sz w:val="15"/>
              </w:rPr>
              <w:t> </w:t>
            </w:r>
            <w:r>
              <w:rPr>
                <w:spacing w:val="-2"/>
                <w:sz w:val="15"/>
              </w:rPr>
              <w:t>securities</w:t>
            </w:r>
          </w:p>
        </w:tc>
        <w:tc>
          <w:tcPr>
            <w:tcW w:w="802" w:type="dxa"/>
            <w:shd w:val="clear" w:color="auto" w:fill="CCEDFF"/>
          </w:tcPr>
          <w:p>
            <w:pPr>
              <w:pStyle w:val="TableParagraph"/>
              <w:spacing w:line="171" w:lineRule="exact"/>
              <w:ind w:right="112"/>
              <w:jc w:val="right"/>
              <w:rPr>
                <w:b/>
                <w:sz w:val="15"/>
              </w:rPr>
            </w:pPr>
            <w:r>
              <w:rPr>
                <w:b/>
                <w:spacing w:val="-5"/>
                <w:sz w:val="15"/>
              </w:rPr>
              <w:t>11</w:t>
            </w:r>
          </w:p>
        </w:tc>
        <w:tc>
          <w:tcPr>
            <w:tcW w:w="917" w:type="dxa"/>
            <w:shd w:val="clear" w:color="auto" w:fill="CCEDFF"/>
          </w:tcPr>
          <w:p>
            <w:pPr>
              <w:pStyle w:val="TableParagraph"/>
              <w:rPr>
                <w:sz w:val="12"/>
              </w:rPr>
            </w:pPr>
          </w:p>
        </w:tc>
        <w:tc>
          <w:tcPr>
            <w:tcW w:w="917" w:type="dxa"/>
            <w:shd w:val="clear" w:color="auto" w:fill="CCEDFF"/>
          </w:tcPr>
          <w:p>
            <w:pPr>
              <w:pStyle w:val="TableParagraph"/>
              <w:spacing w:line="171" w:lineRule="exact"/>
              <w:ind w:right="111"/>
              <w:jc w:val="right"/>
              <w:rPr>
                <w:b/>
                <w:sz w:val="15"/>
              </w:rPr>
            </w:pPr>
            <w:r>
              <w:rPr>
                <w:b/>
                <w:spacing w:val="-5"/>
                <w:sz w:val="15"/>
              </w:rPr>
              <w:t>11</w:t>
            </w:r>
          </w:p>
        </w:tc>
        <w:tc>
          <w:tcPr>
            <w:tcW w:w="930" w:type="dxa"/>
            <w:shd w:val="clear" w:color="auto" w:fill="CCEDFF"/>
          </w:tcPr>
          <w:p>
            <w:pPr>
              <w:pStyle w:val="TableParagraph"/>
              <w:rPr>
                <w:sz w:val="12"/>
              </w:rPr>
            </w:pPr>
          </w:p>
        </w:tc>
        <w:tc>
          <w:tcPr>
            <w:tcW w:w="918" w:type="dxa"/>
            <w:shd w:val="clear" w:color="auto" w:fill="CCEDFF"/>
          </w:tcPr>
          <w:p>
            <w:pPr>
              <w:pStyle w:val="TableParagraph"/>
              <w:spacing w:line="171" w:lineRule="exact"/>
              <w:ind w:right="112"/>
              <w:jc w:val="right"/>
              <w:rPr>
                <w:sz w:val="15"/>
              </w:rPr>
            </w:pPr>
            <w:r>
              <w:rPr>
                <w:spacing w:val="-5"/>
                <w:sz w:val="15"/>
              </w:rPr>
              <w:t>11</w:t>
            </w:r>
          </w:p>
        </w:tc>
        <w:tc>
          <w:tcPr>
            <w:tcW w:w="918" w:type="dxa"/>
            <w:shd w:val="clear" w:color="auto" w:fill="CCEDFF"/>
          </w:tcPr>
          <w:p>
            <w:pPr>
              <w:pStyle w:val="TableParagraph"/>
              <w:rPr>
                <w:sz w:val="12"/>
              </w:rPr>
            </w:pPr>
          </w:p>
        </w:tc>
        <w:tc>
          <w:tcPr>
            <w:tcW w:w="918" w:type="dxa"/>
            <w:shd w:val="clear" w:color="auto" w:fill="CCEDFF"/>
          </w:tcPr>
          <w:p>
            <w:pPr>
              <w:pStyle w:val="TableParagraph"/>
              <w:spacing w:line="171" w:lineRule="exact"/>
              <w:ind w:right="114"/>
              <w:jc w:val="right"/>
              <w:rPr>
                <w:sz w:val="15"/>
              </w:rPr>
            </w:pPr>
            <w:r>
              <w:rPr>
                <w:spacing w:val="-5"/>
                <w:sz w:val="15"/>
              </w:rPr>
              <w:t>11</w:t>
            </w:r>
          </w:p>
        </w:tc>
        <w:tc>
          <w:tcPr>
            <w:tcW w:w="918" w:type="dxa"/>
            <w:shd w:val="clear" w:color="auto" w:fill="CCEDFF"/>
          </w:tcPr>
          <w:p>
            <w:pPr>
              <w:pStyle w:val="TableParagraph"/>
              <w:rPr>
                <w:sz w:val="12"/>
              </w:rPr>
            </w:pPr>
          </w:p>
        </w:tc>
      </w:tr>
      <w:tr>
        <w:trPr>
          <w:trHeight w:val="191" w:hRule="atLeast"/>
        </w:trPr>
        <w:tc>
          <w:tcPr>
            <w:tcW w:w="4280" w:type="dxa"/>
          </w:tcPr>
          <w:p>
            <w:pPr>
              <w:pStyle w:val="TableParagraph"/>
              <w:spacing w:line="171" w:lineRule="exact"/>
              <w:rPr>
                <w:sz w:val="12"/>
              </w:rPr>
            </w:pPr>
            <w:r>
              <w:rPr>
                <w:sz w:val="15"/>
              </w:rPr>
              <w:t>Private</w:t>
            </w:r>
            <w:r>
              <w:rPr>
                <w:spacing w:val="2"/>
                <w:sz w:val="15"/>
              </w:rPr>
              <w:t> </w:t>
            </w:r>
            <w:r>
              <w:rPr>
                <w:sz w:val="15"/>
              </w:rPr>
              <w:t>equity</w:t>
            </w:r>
            <w:r>
              <w:rPr>
                <w:spacing w:val="4"/>
                <w:sz w:val="15"/>
              </w:rPr>
              <w:t> </w:t>
            </w:r>
            <w:r>
              <w:rPr>
                <w:spacing w:val="-5"/>
                <w:position w:val="3"/>
                <w:sz w:val="12"/>
              </w:rPr>
              <w:t>(1)</w:t>
            </w:r>
          </w:p>
        </w:tc>
        <w:tc>
          <w:tcPr>
            <w:tcW w:w="802" w:type="dxa"/>
          </w:tcPr>
          <w:p>
            <w:pPr>
              <w:pStyle w:val="TableParagraph"/>
              <w:spacing w:line="171" w:lineRule="exact"/>
              <w:ind w:right="112"/>
              <w:jc w:val="right"/>
              <w:rPr>
                <w:b/>
                <w:sz w:val="15"/>
              </w:rPr>
            </w:pPr>
            <w:r>
              <w:rPr>
                <w:b/>
                <w:spacing w:val="-5"/>
                <w:sz w:val="15"/>
              </w:rPr>
              <w:t>41</w:t>
            </w:r>
          </w:p>
        </w:tc>
        <w:tc>
          <w:tcPr>
            <w:tcW w:w="917" w:type="dxa"/>
          </w:tcPr>
          <w:p>
            <w:pPr>
              <w:pStyle w:val="TableParagraph"/>
              <w:rPr>
                <w:sz w:val="12"/>
              </w:rPr>
            </w:pPr>
          </w:p>
        </w:tc>
        <w:tc>
          <w:tcPr>
            <w:tcW w:w="917" w:type="dxa"/>
          </w:tcPr>
          <w:p>
            <w:pPr>
              <w:pStyle w:val="TableParagraph"/>
              <w:rPr>
                <w:sz w:val="12"/>
              </w:rPr>
            </w:pPr>
          </w:p>
        </w:tc>
        <w:tc>
          <w:tcPr>
            <w:tcW w:w="930" w:type="dxa"/>
          </w:tcPr>
          <w:p>
            <w:pPr>
              <w:pStyle w:val="TableParagraph"/>
              <w:tabs>
                <w:tab w:pos="547" w:val="left" w:leader="none"/>
              </w:tabs>
              <w:spacing w:line="171" w:lineRule="exact"/>
              <w:ind w:right="111"/>
              <w:jc w:val="right"/>
              <w:rPr>
                <w:b/>
                <w:sz w:val="15"/>
              </w:rPr>
            </w:pPr>
            <w:r>
              <w:rPr>
                <w:b/>
                <w:spacing w:val="-10"/>
                <w:sz w:val="15"/>
              </w:rPr>
              <w:t>$</w:t>
            </w:r>
            <w:r>
              <w:rPr>
                <w:b/>
                <w:sz w:val="15"/>
              </w:rPr>
              <w:tab/>
            </w:r>
            <w:r>
              <w:rPr>
                <w:b/>
                <w:spacing w:val="-5"/>
                <w:sz w:val="15"/>
              </w:rPr>
              <w:t>41</w:t>
            </w:r>
          </w:p>
        </w:tc>
        <w:tc>
          <w:tcPr>
            <w:tcW w:w="918" w:type="dxa"/>
          </w:tcPr>
          <w:p>
            <w:pPr>
              <w:pStyle w:val="TableParagraph"/>
              <w:spacing w:line="171" w:lineRule="exact"/>
              <w:ind w:right="112"/>
              <w:jc w:val="right"/>
              <w:rPr>
                <w:sz w:val="15"/>
              </w:rPr>
            </w:pPr>
            <w:r>
              <w:rPr>
                <w:spacing w:val="-5"/>
                <w:sz w:val="15"/>
              </w:rPr>
              <w:t>51</w:t>
            </w:r>
          </w:p>
        </w:tc>
        <w:tc>
          <w:tcPr>
            <w:tcW w:w="918" w:type="dxa"/>
          </w:tcPr>
          <w:p>
            <w:pPr>
              <w:pStyle w:val="TableParagraph"/>
              <w:rPr>
                <w:sz w:val="12"/>
              </w:rPr>
            </w:pPr>
          </w:p>
        </w:tc>
        <w:tc>
          <w:tcPr>
            <w:tcW w:w="918" w:type="dxa"/>
          </w:tcPr>
          <w:p>
            <w:pPr>
              <w:pStyle w:val="TableParagraph"/>
              <w:rPr>
                <w:sz w:val="12"/>
              </w:rPr>
            </w:pPr>
          </w:p>
        </w:tc>
        <w:tc>
          <w:tcPr>
            <w:tcW w:w="918" w:type="dxa"/>
          </w:tcPr>
          <w:p>
            <w:pPr>
              <w:pStyle w:val="TableParagraph"/>
              <w:tabs>
                <w:tab w:pos="534" w:val="left" w:leader="none"/>
              </w:tabs>
              <w:spacing w:line="171" w:lineRule="exact"/>
              <w:ind w:right="115"/>
              <w:jc w:val="right"/>
              <w:rPr>
                <w:sz w:val="15"/>
              </w:rPr>
            </w:pPr>
            <w:r>
              <w:rPr>
                <w:spacing w:val="-10"/>
                <w:sz w:val="15"/>
              </w:rPr>
              <w:t>$</w:t>
            </w:r>
            <w:r>
              <w:rPr>
                <w:sz w:val="15"/>
              </w:rPr>
              <w:tab/>
            </w:r>
            <w:r>
              <w:rPr>
                <w:spacing w:val="-5"/>
                <w:sz w:val="15"/>
              </w:rPr>
              <w:t>51</w:t>
            </w:r>
          </w:p>
        </w:tc>
      </w:tr>
      <w:tr>
        <w:trPr>
          <w:trHeight w:val="191" w:hRule="atLeast"/>
        </w:trPr>
        <w:tc>
          <w:tcPr>
            <w:tcW w:w="4280" w:type="dxa"/>
            <w:shd w:val="clear" w:color="auto" w:fill="CCEDFF"/>
          </w:tcPr>
          <w:p>
            <w:pPr>
              <w:pStyle w:val="TableParagraph"/>
              <w:spacing w:line="171" w:lineRule="exact"/>
              <w:rPr>
                <w:sz w:val="12"/>
              </w:rPr>
            </w:pPr>
            <w:r>
              <w:rPr>
                <w:sz w:val="15"/>
              </w:rPr>
              <w:t>Real</w:t>
            </w:r>
            <w:r>
              <w:rPr>
                <w:spacing w:val="-1"/>
                <w:sz w:val="15"/>
              </w:rPr>
              <w:t> </w:t>
            </w:r>
            <w:r>
              <w:rPr>
                <w:sz w:val="15"/>
              </w:rPr>
              <w:t>estate </w:t>
            </w:r>
            <w:r>
              <w:rPr>
                <w:spacing w:val="-5"/>
                <w:position w:val="3"/>
                <w:sz w:val="12"/>
              </w:rPr>
              <w:t>(2)</w:t>
            </w:r>
          </w:p>
        </w:tc>
        <w:tc>
          <w:tcPr>
            <w:tcW w:w="802" w:type="dxa"/>
            <w:shd w:val="clear" w:color="auto" w:fill="CCEDFF"/>
          </w:tcPr>
          <w:p>
            <w:pPr>
              <w:pStyle w:val="TableParagraph"/>
              <w:spacing w:line="171" w:lineRule="exact"/>
              <w:ind w:right="112"/>
              <w:jc w:val="right"/>
              <w:rPr>
                <w:b/>
                <w:sz w:val="15"/>
              </w:rPr>
            </w:pPr>
            <w:r>
              <w:rPr>
                <w:b/>
                <w:spacing w:val="-5"/>
                <w:sz w:val="15"/>
              </w:rPr>
              <w:t>10</w:t>
            </w:r>
          </w:p>
        </w:tc>
        <w:tc>
          <w:tcPr>
            <w:tcW w:w="917" w:type="dxa"/>
            <w:shd w:val="clear" w:color="auto" w:fill="CCEDFF"/>
          </w:tcPr>
          <w:p>
            <w:pPr>
              <w:pStyle w:val="TableParagraph"/>
              <w:rPr>
                <w:sz w:val="12"/>
              </w:rPr>
            </w:pPr>
          </w:p>
        </w:tc>
        <w:tc>
          <w:tcPr>
            <w:tcW w:w="917" w:type="dxa"/>
            <w:shd w:val="clear" w:color="auto" w:fill="CCEDFF"/>
          </w:tcPr>
          <w:p>
            <w:pPr>
              <w:pStyle w:val="TableParagraph"/>
              <w:rPr>
                <w:sz w:val="12"/>
              </w:rPr>
            </w:pPr>
          </w:p>
        </w:tc>
        <w:tc>
          <w:tcPr>
            <w:tcW w:w="930" w:type="dxa"/>
            <w:shd w:val="clear" w:color="auto" w:fill="CCEDFF"/>
          </w:tcPr>
          <w:p>
            <w:pPr>
              <w:pStyle w:val="TableParagraph"/>
              <w:spacing w:line="171" w:lineRule="exact"/>
              <w:ind w:right="111"/>
              <w:jc w:val="right"/>
              <w:rPr>
                <w:b/>
                <w:sz w:val="15"/>
              </w:rPr>
            </w:pPr>
            <w:r>
              <w:rPr>
                <w:b/>
                <w:spacing w:val="-5"/>
                <w:sz w:val="15"/>
              </w:rPr>
              <w:t>10</w:t>
            </w:r>
          </w:p>
        </w:tc>
        <w:tc>
          <w:tcPr>
            <w:tcW w:w="918" w:type="dxa"/>
            <w:shd w:val="clear" w:color="auto" w:fill="CCEDFF"/>
          </w:tcPr>
          <w:p>
            <w:pPr>
              <w:pStyle w:val="TableParagraph"/>
              <w:spacing w:line="171" w:lineRule="exact"/>
              <w:ind w:left="574"/>
              <w:rPr>
                <w:sz w:val="15"/>
              </w:rPr>
            </w:pPr>
            <w:r>
              <w:rPr>
                <w:spacing w:val="-5"/>
                <w:sz w:val="15"/>
              </w:rPr>
              <w:t>140</w:t>
            </w:r>
          </w:p>
        </w:tc>
        <w:tc>
          <w:tcPr>
            <w:tcW w:w="918" w:type="dxa"/>
            <w:shd w:val="clear" w:color="auto" w:fill="CCEDFF"/>
          </w:tcPr>
          <w:p>
            <w:pPr>
              <w:pStyle w:val="TableParagraph"/>
              <w:rPr>
                <w:sz w:val="12"/>
              </w:rPr>
            </w:pPr>
          </w:p>
        </w:tc>
        <w:tc>
          <w:tcPr>
            <w:tcW w:w="918" w:type="dxa"/>
            <w:shd w:val="clear" w:color="auto" w:fill="CCEDFF"/>
          </w:tcPr>
          <w:p>
            <w:pPr>
              <w:pStyle w:val="TableParagraph"/>
              <w:rPr>
                <w:sz w:val="12"/>
              </w:rPr>
            </w:pPr>
          </w:p>
        </w:tc>
        <w:tc>
          <w:tcPr>
            <w:tcW w:w="918" w:type="dxa"/>
            <w:shd w:val="clear" w:color="auto" w:fill="CCEDFF"/>
          </w:tcPr>
          <w:p>
            <w:pPr>
              <w:pStyle w:val="TableParagraph"/>
              <w:spacing w:line="171" w:lineRule="exact"/>
              <w:ind w:right="115"/>
              <w:jc w:val="right"/>
              <w:rPr>
                <w:sz w:val="15"/>
              </w:rPr>
            </w:pPr>
            <w:r>
              <w:rPr>
                <w:spacing w:val="-5"/>
                <w:sz w:val="15"/>
              </w:rPr>
              <w:t>140</w:t>
            </w:r>
          </w:p>
        </w:tc>
      </w:tr>
      <w:tr>
        <w:trPr>
          <w:trHeight w:val="173" w:hRule="atLeast"/>
        </w:trPr>
        <w:tc>
          <w:tcPr>
            <w:tcW w:w="4280" w:type="dxa"/>
          </w:tcPr>
          <w:p>
            <w:pPr>
              <w:pStyle w:val="TableParagraph"/>
              <w:spacing w:line="153" w:lineRule="exact"/>
              <w:rPr>
                <w:sz w:val="15"/>
              </w:rPr>
            </w:pPr>
            <w:r>
              <w:rPr>
                <w:sz w:val="15"/>
              </w:rPr>
              <w:t>Cash</w:t>
            </w:r>
            <w:r>
              <w:rPr>
                <w:spacing w:val="3"/>
                <w:sz w:val="15"/>
              </w:rPr>
              <w:t> </w:t>
            </w:r>
            <w:r>
              <w:rPr>
                <w:spacing w:val="-2"/>
                <w:sz w:val="15"/>
              </w:rPr>
              <w:t>equivalents</w:t>
            </w:r>
          </w:p>
        </w:tc>
        <w:tc>
          <w:tcPr>
            <w:tcW w:w="802" w:type="dxa"/>
          </w:tcPr>
          <w:p>
            <w:pPr>
              <w:pStyle w:val="TableParagraph"/>
              <w:spacing w:line="153" w:lineRule="exact"/>
              <w:ind w:right="112"/>
              <w:jc w:val="right"/>
              <w:rPr>
                <w:b/>
                <w:sz w:val="15"/>
              </w:rPr>
            </w:pPr>
            <w:r>
              <w:rPr>
                <w:b/>
                <w:spacing w:val="-5"/>
                <w:sz w:val="15"/>
              </w:rPr>
              <w:t>308</w:t>
            </w:r>
          </w:p>
        </w:tc>
        <w:tc>
          <w:tcPr>
            <w:tcW w:w="917" w:type="dxa"/>
          </w:tcPr>
          <w:p>
            <w:pPr>
              <w:pStyle w:val="TableParagraph"/>
              <w:spacing w:line="153" w:lineRule="exact"/>
              <w:ind w:left="573"/>
              <w:rPr>
                <w:b/>
                <w:sz w:val="15"/>
              </w:rPr>
            </w:pPr>
            <w:r>
              <w:rPr>
                <w:b/>
                <w:spacing w:val="-5"/>
                <w:sz w:val="15"/>
              </w:rPr>
              <w:t>308</w:t>
            </w:r>
          </w:p>
        </w:tc>
        <w:tc>
          <w:tcPr>
            <w:tcW w:w="917" w:type="dxa"/>
          </w:tcPr>
          <w:p>
            <w:pPr>
              <w:pStyle w:val="TableParagraph"/>
              <w:rPr>
                <w:sz w:val="10"/>
              </w:rPr>
            </w:pPr>
          </w:p>
        </w:tc>
        <w:tc>
          <w:tcPr>
            <w:tcW w:w="930" w:type="dxa"/>
          </w:tcPr>
          <w:p>
            <w:pPr>
              <w:pStyle w:val="TableParagraph"/>
              <w:rPr>
                <w:sz w:val="10"/>
              </w:rPr>
            </w:pPr>
          </w:p>
        </w:tc>
        <w:tc>
          <w:tcPr>
            <w:tcW w:w="918" w:type="dxa"/>
          </w:tcPr>
          <w:p>
            <w:pPr>
              <w:pStyle w:val="TableParagraph"/>
              <w:spacing w:line="153" w:lineRule="exact"/>
              <w:ind w:right="112"/>
              <w:jc w:val="right"/>
              <w:rPr>
                <w:sz w:val="15"/>
              </w:rPr>
            </w:pPr>
            <w:r>
              <w:rPr>
                <w:spacing w:val="-5"/>
                <w:sz w:val="15"/>
              </w:rPr>
              <w:t>83</w:t>
            </w:r>
          </w:p>
        </w:tc>
        <w:tc>
          <w:tcPr>
            <w:tcW w:w="918" w:type="dxa"/>
          </w:tcPr>
          <w:p>
            <w:pPr>
              <w:pStyle w:val="TableParagraph"/>
              <w:spacing w:line="153" w:lineRule="exact"/>
              <w:ind w:right="113"/>
              <w:jc w:val="right"/>
              <w:rPr>
                <w:sz w:val="15"/>
              </w:rPr>
            </w:pPr>
            <w:r>
              <w:rPr>
                <w:spacing w:val="-5"/>
                <w:sz w:val="15"/>
              </w:rPr>
              <w:t>83</w:t>
            </w:r>
          </w:p>
        </w:tc>
        <w:tc>
          <w:tcPr>
            <w:tcW w:w="918" w:type="dxa"/>
          </w:tcPr>
          <w:p>
            <w:pPr>
              <w:pStyle w:val="TableParagraph"/>
              <w:rPr>
                <w:sz w:val="10"/>
              </w:rPr>
            </w:pPr>
          </w:p>
        </w:tc>
        <w:tc>
          <w:tcPr>
            <w:tcW w:w="918" w:type="dxa"/>
          </w:tcPr>
          <w:p>
            <w:pPr>
              <w:pStyle w:val="TableParagraph"/>
              <w:rPr>
                <w:sz w:val="10"/>
              </w:rPr>
            </w:pPr>
          </w:p>
        </w:tc>
      </w:tr>
    </w:tbl>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8"/>
        <w:gridCol w:w="344"/>
        <w:gridCol w:w="573"/>
        <w:gridCol w:w="344"/>
        <w:gridCol w:w="573"/>
        <w:gridCol w:w="356"/>
        <w:gridCol w:w="573"/>
        <w:gridCol w:w="344"/>
        <w:gridCol w:w="573"/>
        <w:gridCol w:w="344"/>
        <w:gridCol w:w="573"/>
        <w:gridCol w:w="344"/>
        <w:gridCol w:w="573"/>
        <w:gridCol w:w="344"/>
        <w:gridCol w:w="688"/>
      </w:tblGrid>
      <w:tr>
        <w:trPr>
          <w:trHeight w:val="186" w:hRule="atLeast"/>
        </w:trPr>
        <w:tc>
          <w:tcPr>
            <w:tcW w:w="4968" w:type="dxa"/>
            <w:tcBorders>
              <w:top w:val="single" w:sz="6" w:space="0" w:color="000000"/>
              <w:bottom w:val="double" w:sz="6" w:space="0" w:color="000000"/>
            </w:tcBorders>
            <w:shd w:val="clear" w:color="auto" w:fill="CCEDFF"/>
          </w:tcPr>
          <w:p>
            <w:pPr>
              <w:pStyle w:val="TableParagraph"/>
              <w:tabs>
                <w:tab w:pos="4280" w:val="left" w:leader="none"/>
                <w:tab w:pos="4623" w:val="left" w:leader="none"/>
              </w:tabs>
              <w:spacing w:line="167" w:lineRule="exact"/>
              <w:rPr>
                <w:b/>
                <w:sz w:val="15"/>
              </w:rPr>
            </w:pPr>
            <w:r>
              <w:rPr>
                <w:spacing w:val="-4"/>
                <w:sz w:val="15"/>
              </w:rPr>
              <w:t>Total</w:t>
            </w:r>
            <w:r>
              <w:rPr>
                <w:sz w:val="15"/>
              </w:rPr>
              <w:tab/>
            </w:r>
            <w:r>
              <w:rPr>
                <w:b/>
                <w:spacing w:val="-10"/>
                <w:sz w:val="15"/>
              </w:rPr>
              <w:t>$</w:t>
            </w:r>
            <w:r>
              <w:rPr>
                <w:b/>
                <w:sz w:val="15"/>
              </w:rPr>
              <w:tab/>
            </w:r>
            <w:r>
              <w:rPr>
                <w:b/>
                <w:spacing w:val="-2"/>
                <w:sz w:val="15"/>
              </w:rPr>
              <w:t>3,607</w:t>
            </w:r>
          </w:p>
        </w:tc>
        <w:tc>
          <w:tcPr>
            <w:tcW w:w="344" w:type="dxa"/>
            <w:tcBorders>
              <w:top w:val="single" w:sz="6" w:space="0" w:color="000000"/>
            </w:tcBorders>
          </w:tcPr>
          <w:p>
            <w:pPr>
              <w:pStyle w:val="TableParagraph"/>
              <w:spacing w:line="167" w:lineRule="exact"/>
              <w:ind w:left="229"/>
              <w:rPr>
                <w:b/>
                <w:sz w:val="15"/>
              </w:rPr>
            </w:pPr>
            <w:r>
              <w:rPr/>
              <mc:AlternateContent>
                <mc:Choice Requires="wps">
                  <w:drawing>
                    <wp:anchor distT="0" distB="0" distL="0" distR="0" allowOverlap="1" layoutInCell="1" locked="0" behindDoc="1" simplePos="0" relativeHeight="474150400">
                      <wp:simplePos x="0" y="0"/>
                      <wp:positionH relativeFrom="column">
                        <wp:posOffset>0</wp:posOffset>
                      </wp:positionH>
                      <wp:positionV relativeFrom="paragraph">
                        <wp:posOffset>-718</wp:posOffset>
                      </wp:positionV>
                      <wp:extent cx="218440" cy="146050"/>
                      <wp:effectExtent l="0" t="0" r="0" b="0"/>
                      <wp:wrapNone/>
                      <wp:docPr id="579" name="Group 579"/>
                      <wp:cNvGraphicFramePr>
                        <a:graphicFrameLocks/>
                      </wp:cNvGraphicFramePr>
                      <a:graphic>
                        <a:graphicData uri="http://schemas.microsoft.com/office/word/2010/wordprocessingGroup">
                          <wpg:wgp>
                            <wpg:cNvPr id="579" name="Group 579"/>
                            <wpg:cNvGrpSpPr/>
                            <wpg:grpSpPr>
                              <a:xfrm>
                                <a:off x="0" y="0"/>
                                <a:ext cx="218440" cy="146050"/>
                                <a:chExt cx="218440" cy="146050"/>
                              </a:xfrm>
                            </wpg:grpSpPr>
                            <pic:pic>
                              <pic:nvPicPr>
                                <pic:cNvPr id="580" name="Image 580"/>
                                <pic:cNvPicPr/>
                              </pic:nvPicPr>
                              <pic:blipFill>
                                <a:blip r:embed="rId95" cstate="print"/>
                                <a:stretch>
                                  <a:fillRect/>
                                </a:stretch>
                              </pic:blipFill>
                              <pic:spPr>
                                <a:xfrm>
                                  <a:off x="0" y="0"/>
                                  <a:ext cx="217027" cy="144684"/>
                                </a:xfrm>
                                <a:prstGeom prst="rect">
                                  <a:avLst/>
                                </a:prstGeom>
                              </pic:spPr>
                            </pic:pic>
                          </wpg:wgp>
                        </a:graphicData>
                      </a:graphic>
                    </wp:anchor>
                  </w:drawing>
                </mc:Choice>
                <mc:Fallback>
                  <w:pict>
                    <v:group style="position:absolute;margin-left:0pt;margin-top:-.05654pt;width:17.2pt;height:11.5pt;mso-position-horizontal-relative:column;mso-position-vertical-relative:paragraph;z-index:-29166080" id="docshapegroup578" coordorigin="0,-1" coordsize="344,230">
                      <v:shape style="position:absolute;left:0;top:-2;width:342;height:228" type="#_x0000_t75" id="docshape579" stroked="false">
                        <v:imagedata r:id="rId95" o:title=""/>
                      </v:shape>
                      <w10:wrap type="none"/>
                    </v:group>
                  </w:pict>
                </mc:Fallback>
              </mc:AlternateContent>
            </w:r>
            <w:r>
              <w:rPr>
                <w:b/>
                <w:spacing w:val="-10"/>
                <w:sz w:val="15"/>
              </w:rPr>
              <w:t>$</w:t>
            </w:r>
          </w:p>
        </w:tc>
        <w:tc>
          <w:tcPr>
            <w:tcW w:w="573" w:type="dxa"/>
            <w:tcBorders>
              <w:top w:val="single" w:sz="6" w:space="0" w:color="000000"/>
              <w:bottom w:val="double" w:sz="6" w:space="0" w:color="000000"/>
            </w:tcBorders>
            <w:shd w:val="clear" w:color="auto" w:fill="CCEDFF"/>
          </w:tcPr>
          <w:p>
            <w:pPr>
              <w:pStyle w:val="TableParagraph"/>
              <w:spacing w:line="167" w:lineRule="exact"/>
              <w:ind w:left="343" w:right="-15"/>
              <w:rPr>
                <w:b/>
                <w:sz w:val="15"/>
              </w:rPr>
            </w:pPr>
            <w:r>
              <w:rPr>
                <w:b/>
                <w:spacing w:val="-5"/>
                <w:sz w:val="15"/>
              </w:rPr>
              <w:t>584</w:t>
            </w:r>
          </w:p>
        </w:tc>
        <w:tc>
          <w:tcPr>
            <w:tcW w:w="344" w:type="dxa"/>
            <w:tcBorders>
              <w:top w:val="single" w:sz="6" w:space="0" w:color="000000"/>
            </w:tcBorders>
          </w:tcPr>
          <w:p>
            <w:pPr>
              <w:pStyle w:val="TableParagraph"/>
              <w:spacing w:line="167" w:lineRule="exact"/>
              <w:ind w:right="36"/>
              <w:jc w:val="right"/>
              <w:rPr>
                <w:b/>
                <w:sz w:val="15"/>
              </w:rPr>
            </w:pPr>
            <w:r>
              <w:rPr/>
              <mc:AlternateContent>
                <mc:Choice Requires="wps">
                  <w:drawing>
                    <wp:anchor distT="0" distB="0" distL="0" distR="0" allowOverlap="1" layoutInCell="1" locked="0" behindDoc="1" simplePos="0" relativeHeight="474150912">
                      <wp:simplePos x="0" y="0"/>
                      <wp:positionH relativeFrom="column">
                        <wp:posOffset>0</wp:posOffset>
                      </wp:positionH>
                      <wp:positionV relativeFrom="paragraph">
                        <wp:posOffset>-718</wp:posOffset>
                      </wp:positionV>
                      <wp:extent cx="218440" cy="146050"/>
                      <wp:effectExtent l="0" t="0" r="0" b="0"/>
                      <wp:wrapNone/>
                      <wp:docPr id="581" name="Group 581"/>
                      <wp:cNvGraphicFramePr>
                        <a:graphicFrameLocks/>
                      </wp:cNvGraphicFramePr>
                      <a:graphic>
                        <a:graphicData uri="http://schemas.microsoft.com/office/word/2010/wordprocessingGroup">
                          <wpg:wgp>
                            <wpg:cNvPr id="581" name="Group 581"/>
                            <wpg:cNvGrpSpPr/>
                            <wpg:grpSpPr>
                              <a:xfrm>
                                <a:off x="0" y="0"/>
                                <a:ext cx="218440" cy="146050"/>
                                <a:chExt cx="218440" cy="146050"/>
                              </a:xfrm>
                            </wpg:grpSpPr>
                            <pic:pic>
                              <pic:nvPicPr>
                                <pic:cNvPr id="582" name="Image 582"/>
                                <pic:cNvPicPr/>
                              </pic:nvPicPr>
                              <pic:blipFill>
                                <a:blip r:embed="rId95" cstate="print"/>
                                <a:stretch>
                                  <a:fillRect/>
                                </a:stretch>
                              </pic:blipFill>
                              <pic:spPr>
                                <a:xfrm>
                                  <a:off x="0" y="0"/>
                                  <a:ext cx="217027" cy="144684"/>
                                </a:xfrm>
                                <a:prstGeom prst="rect">
                                  <a:avLst/>
                                </a:prstGeom>
                              </pic:spPr>
                            </pic:pic>
                          </wpg:wgp>
                        </a:graphicData>
                      </a:graphic>
                    </wp:anchor>
                  </w:drawing>
                </mc:Choice>
                <mc:Fallback>
                  <w:pict>
                    <v:group style="position:absolute;margin-left:0pt;margin-top:-.05654pt;width:17.2pt;height:11.5pt;mso-position-horizontal-relative:column;mso-position-vertical-relative:paragraph;z-index:-29165568" id="docshapegroup580" coordorigin="0,-1" coordsize="344,230">
                      <v:shape style="position:absolute;left:0;top:-2;width:342;height:228" type="#_x0000_t75" id="docshape581" stroked="false">
                        <v:imagedata r:id="rId95" o:title=""/>
                      </v:shape>
                      <w10:wrap type="none"/>
                    </v:group>
                  </w:pict>
                </mc:Fallback>
              </mc:AlternateContent>
            </w:r>
            <w:r>
              <w:rPr>
                <w:b/>
                <w:spacing w:val="-10"/>
                <w:sz w:val="15"/>
              </w:rPr>
              <w:t>$</w:t>
            </w:r>
          </w:p>
        </w:tc>
        <w:tc>
          <w:tcPr>
            <w:tcW w:w="573" w:type="dxa"/>
            <w:tcBorders>
              <w:top w:val="single" w:sz="6" w:space="0" w:color="000000"/>
              <w:bottom w:val="double" w:sz="6" w:space="0" w:color="000000"/>
            </w:tcBorders>
            <w:shd w:val="clear" w:color="auto" w:fill="CCEDFF"/>
          </w:tcPr>
          <w:p>
            <w:pPr>
              <w:pStyle w:val="TableParagraph"/>
              <w:spacing w:line="167" w:lineRule="exact"/>
              <w:ind w:left="229" w:right="-15"/>
              <w:rPr>
                <w:b/>
                <w:sz w:val="15"/>
              </w:rPr>
            </w:pPr>
            <w:r>
              <w:rPr>
                <w:b/>
                <w:spacing w:val="-2"/>
                <w:sz w:val="15"/>
              </w:rPr>
              <w:t>2,972</w:t>
            </w:r>
          </w:p>
        </w:tc>
        <w:tc>
          <w:tcPr>
            <w:tcW w:w="356" w:type="dxa"/>
            <w:tcBorders>
              <w:top w:val="single" w:sz="6" w:space="0" w:color="000000"/>
            </w:tcBorders>
          </w:tcPr>
          <w:p>
            <w:pPr>
              <w:pStyle w:val="TableParagraph"/>
              <w:spacing w:line="167" w:lineRule="exact"/>
              <w:ind w:left="229"/>
              <w:rPr>
                <w:b/>
                <w:sz w:val="15"/>
              </w:rPr>
            </w:pPr>
            <w:r>
              <w:rPr/>
              <mc:AlternateContent>
                <mc:Choice Requires="wps">
                  <w:drawing>
                    <wp:anchor distT="0" distB="0" distL="0" distR="0" allowOverlap="1" layoutInCell="1" locked="0" behindDoc="1" simplePos="0" relativeHeight="474151424">
                      <wp:simplePos x="0" y="0"/>
                      <wp:positionH relativeFrom="column">
                        <wp:posOffset>0</wp:posOffset>
                      </wp:positionH>
                      <wp:positionV relativeFrom="paragraph">
                        <wp:posOffset>-718</wp:posOffset>
                      </wp:positionV>
                      <wp:extent cx="226695" cy="146050"/>
                      <wp:effectExtent l="0" t="0" r="0" b="0"/>
                      <wp:wrapNone/>
                      <wp:docPr id="583" name="Group 583"/>
                      <wp:cNvGraphicFramePr>
                        <a:graphicFrameLocks/>
                      </wp:cNvGraphicFramePr>
                      <a:graphic>
                        <a:graphicData uri="http://schemas.microsoft.com/office/word/2010/wordprocessingGroup">
                          <wpg:wgp>
                            <wpg:cNvPr id="583" name="Group 583"/>
                            <wpg:cNvGrpSpPr/>
                            <wpg:grpSpPr>
                              <a:xfrm>
                                <a:off x="0" y="0"/>
                                <a:ext cx="226695" cy="146050"/>
                                <a:chExt cx="226695" cy="146050"/>
                              </a:xfrm>
                            </wpg:grpSpPr>
                            <pic:pic>
                              <pic:nvPicPr>
                                <pic:cNvPr id="584" name="Image 584"/>
                                <pic:cNvPicPr/>
                              </pic:nvPicPr>
                              <pic:blipFill>
                                <a:blip r:embed="rId96" cstate="print"/>
                                <a:stretch>
                                  <a:fillRect/>
                                </a:stretch>
                              </pic:blipFill>
                              <pic:spPr>
                                <a:xfrm>
                                  <a:off x="0" y="0"/>
                                  <a:ext cx="225065" cy="144684"/>
                                </a:xfrm>
                                <a:prstGeom prst="rect">
                                  <a:avLst/>
                                </a:prstGeom>
                              </pic:spPr>
                            </pic:pic>
                          </wpg:wgp>
                        </a:graphicData>
                      </a:graphic>
                    </wp:anchor>
                  </w:drawing>
                </mc:Choice>
                <mc:Fallback>
                  <w:pict>
                    <v:group style="position:absolute;margin-left:0pt;margin-top:-.05654pt;width:17.850pt;height:11.5pt;mso-position-horizontal-relative:column;mso-position-vertical-relative:paragraph;z-index:-29165056" id="docshapegroup582" coordorigin="0,-1" coordsize="357,230">
                      <v:shape style="position:absolute;left:0;top:-2;width:355;height:228" type="#_x0000_t75" id="docshape583" stroked="false">
                        <v:imagedata r:id="rId96" o:title=""/>
                      </v:shape>
                      <w10:wrap type="none"/>
                    </v:group>
                  </w:pict>
                </mc:Fallback>
              </mc:AlternateContent>
            </w:r>
            <w:r>
              <w:rPr>
                <w:b/>
                <w:spacing w:val="-10"/>
                <w:sz w:val="15"/>
              </w:rPr>
              <w:t>$</w:t>
            </w:r>
          </w:p>
        </w:tc>
        <w:tc>
          <w:tcPr>
            <w:tcW w:w="573" w:type="dxa"/>
            <w:tcBorders>
              <w:top w:val="single" w:sz="6" w:space="0" w:color="000000"/>
              <w:bottom w:val="double" w:sz="6" w:space="0" w:color="000000"/>
            </w:tcBorders>
            <w:shd w:val="clear" w:color="auto" w:fill="CCEDFF"/>
          </w:tcPr>
          <w:p>
            <w:pPr>
              <w:pStyle w:val="TableParagraph"/>
              <w:spacing w:line="167" w:lineRule="exact"/>
              <w:ind w:right="-15"/>
              <w:jc w:val="right"/>
              <w:rPr>
                <w:b/>
                <w:sz w:val="15"/>
              </w:rPr>
            </w:pPr>
            <w:r>
              <w:rPr>
                <w:b/>
                <w:spacing w:val="-5"/>
                <w:sz w:val="15"/>
              </w:rPr>
              <w:t>51</w:t>
            </w:r>
          </w:p>
        </w:tc>
        <w:tc>
          <w:tcPr>
            <w:tcW w:w="344" w:type="dxa"/>
            <w:tcBorders>
              <w:top w:val="single" w:sz="6" w:space="0" w:color="000000"/>
            </w:tcBorders>
          </w:tcPr>
          <w:p>
            <w:pPr>
              <w:pStyle w:val="TableParagraph"/>
              <w:spacing w:line="167" w:lineRule="exact"/>
              <w:ind w:right="35"/>
              <w:jc w:val="right"/>
              <w:rPr>
                <w:sz w:val="15"/>
              </w:rPr>
            </w:pPr>
            <w:r>
              <w:rPr/>
              <mc:AlternateContent>
                <mc:Choice Requires="wps">
                  <w:drawing>
                    <wp:anchor distT="0" distB="0" distL="0" distR="0" allowOverlap="1" layoutInCell="1" locked="0" behindDoc="1" simplePos="0" relativeHeight="474151936">
                      <wp:simplePos x="0" y="0"/>
                      <wp:positionH relativeFrom="column">
                        <wp:posOffset>0</wp:posOffset>
                      </wp:positionH>
                      <wp:positionV relativeFrom="paragraph">
                        <wp:posOffset>-718</wp:posOffset>
                      </wp:positionV>
                      <wp:extent cx="218440" cy="146050"/>
                      <wp:effectExtent l="0" t="0" r="0" b="0"/>
                      <wp:wrapNone/>
                      <wp:docPr id="585" name="Group 585"/>
                      <wp:cNvGraphicFramePr>
                        <a:graphicFrameLocks/>
                      </wp:cNvGraphicFramePr>
                      <a:graphic>
                        <a:graphicData uri="http://schemas.microsoft.com/office/word/2010/wordprocessingGroup">
                          <wpg:wgp>
                            <wpg:cNvPr id="585" name="Group 585"/>
                            <wpg:cNvGrpSpPr/>
                            <wpg:grpSpPr>
                              <a:xfrm>
                                <a:off x="0" y="0"/>
                                <a:ext cx="218440" cy="146050"/>
                                <a:chExt cx="218440" cy="146050"/>
                              </a:xfrm>
                            </wpg:grpSpPr>
                            <pic:pic>
                              <pic:nvPicPr>
                                <pic:cNvPr id="586" name="Image 586"/>
                                <pic:cNvPicPr/>
                              </pic:nvPicPr>
                              <pic:blipFill>
                                <a:blip r:embed="rId97" cstate="print"/>
                                <a:stretch>
                                  <a:fillRect/>
                                </a:stretch>
                              </pic:blipFill>
                              <pic:spPr>
                                <a:xfrm>
                                  <a:off x="0" y="0"/>
                                  <a:ext cx="217027" cy="144684"/>
                                </a:xfrm>
                                <a:prstGeom prst="rect">
                                  <a:avLst/>
                                </a:prstGeom>
                              </pic:spPr>
                            </pic:pic>
                          </wpg:wgp>
                        </a:graphicData>
                      </a:graphic>
                    </wp:anchor>
                  </w:drawing>
                </mc:Choice>
                <mc:Fallback>
                  <w:pict>
                    <v:group style="position:absolute;margin-left:0pt;margin-top:-.05654pt;width:17.2pt;height:11.5pt;mso-position-horizontal-relative:column;mso-position-vertical-relative:paragraph;z-index:-29164544" id="docshapegroup584" coordorigin="0,-1" coordsize="344,230">
                      <v:shape style="position:absolute;left:0;top:-2;width:342;height:228" type="#_x0000_t75" id="docshape585" stroked="false">
                        <v:imagedata r:id="rId97" o:title=""/>
                      </v:shape>
                      <w10:wrap type="none"/>
                    </v:group>
                  </w:pict>
                </mc:Fallback>
              </mc:AlternateContent>
            </w:r>
            <w:r>
              <w:rPr>
                <w:spacing w:val="-10"/>
                <w:sz w:val="15"/>
              </w:rPr>
              <w:t>$</w:t>
            </w:r>
          </w:p>
        </w:tc>
        <w:tc>
          <w:tcPr>
            <w:tcW w:w="573" w:type="dxa"/>
            <w:tcBorders>
              <w:top w:val="single" w:sz="6" w:space="0" w:color="000000"/>
              <w:bottom w:val="double" w:sz="6" w:space="0" w:color="000000"/>
            </w:tcBorders>
            <w:shd w:val="clear" w:color="auto" w:fill="CCEDFF"/>
          </w:tcPr>
          <w:p>
            <w:pPr>
              <w:pStyle w:val="TableParagraph"/>
              <w:spacing w:line="167" w:lineRule="exact"/>
              <w:ind w:left="230" w:right="-15"/>
              <w:rPr>
                <w:sz w:val="15"/>
              </w:rPr>
            </w:pPr>
            <w:r>
              <w:rPr>
                <w:spacing w:val="-2"/>
                <w:sz w:val="15"/>
              </w:rPr>
              <w:t>3,605</w:t>
            </w:r>
          </w:p>
        </w:tc>
        <w:tc>
          <w:tcPr>
            <w:tcW w:w="344" w:type="dxa"/>
            <w:tcBorders>
              <w:top w:val="single" w:sz="6" w:space="0" w:color="000000"/>
            </w:tcBorders>
          </w:tcPr>
          <w:p>
            <w:pPr>
              <w:pStyle w:val="TableParagraph"/>
              <w:spacing w:line="167" w:lineRule="exact"/>
              <w:ind w:right="34"/>
              <w:jc w:val="right"/>
              <w:rPr>
                <w:sz w:val="15"/>
              </w:rPr>
            </w:pPr>
            <w:r>
              <w:rPr/>
              <mc:AlternateContent>
                <mc:Choice Requires="wps">
                  <w:drawing>
                    <wp:anchor distT="0" distB="0" distL="0" distR="0" allowOverlap="1" layoutInCell="1" locked="0" behindDoc="1" simplePos="0" relativeHeight="474152448">
                      <wp:simplePos x="0" y="0"/>
                      <wp:positionH relativeFrom="column">
                        <wp:posOffset>0</wp:posOffset>
                      </wp:positionH>
                      <wp:positionV relativeFrom="paragraph">
                        <wp:posOffset>-718</wp:posOffset>
                      </wp:positionV>
                      <wp:extent cx="218440" cy="146050"/>
                      <wp:effectExtent l="0" t="0" r="0" b="0"/>
                      <wp:wrapNone/>
                      <wp:docPr id="587" name="Group 587"/>
                      <wp:cNvGraphicFramePr>
                        <a:graphicFrameLocks/>
                      </wp:cNvGraphicFramePr>
                      <a:graphic>
                        <a:graphicData uri="http://schemas.microsoft.com/office/word/2010/wordprocessingGroup">
                          <wpg:wgp>
                            <wpg:cNvPr id="587" name="Group 587"/>
                            <wpg:cNvGrpSpPr/>
                            <wpg:grpSpPr>
                              <a:xfrm>
                                <a:off x="0" y="0"/>
                                <a:ext cx="218440" cy="146050"/>
                                <a:chExt cx="218440" cy="146050"/>
                              </a:xfrm>
                            </wpg:grpSpPr>
                            <pic:pic>
                              <pic:nvPicPr>
                                <pic:cNvPr id="588" name="Image 588"/>
                                <pic:cNvPicPr/>
                              </pic:nvPicPr>
                              <pic:blipFill>
                                <a:blip r:embed="rId95" cstate="print"/>
                                <a:stretch>
                                  <a:fillRect/>
                                </a:stretch>
                              </pic:blipFill>
                              <pic:spPr>
                                <a:xfrm>
                                  <a:off x="0" y="0"/>
                                  <a:ext cx="217027" cy="144684"/>
                                </a:xfrm>
                                <a:prstGeom prst="rect">
                                  <a:avLst/>
                                </a:prstGeom>
                              </pic:spPr>
                            </pic:pic>
                          </wpg:wgp>
                        </a:graphicData>
                      </a:graphic>
                    </wp:anchor>
                  </w:drawing>
                </mc:Choice>
                <mc:Fallback>
                  <w:pict>
                    <v:group style="position:absolute;margin-left:0pt;margin-top:-.05654pt;width:17.2pt;height:11.5pt;mso-position-horizontal-relative:column;mso-position-vertical-relative:paragraph;z-index:-29164032" id="docshapegroup586" coordorigin="0,-1" coordsize="344,230">
                      <v:shape style="position:absolute;left:0;top:-2;width:342;height:228" type="#_x0000_t75" id="docshape587" stroked="false">
                        <v:imagedata r:id="rId95" o:title=""/>
                      </v:shape>
                      <w10:wrap type="none"/>
                    </v:group>
                  </w:pict>
                </mc:Fallback>
              </mc:AlternateContent>
            </w:r>
            <w:r>
              <w:rPr>
                <w:spacing w:val="-10"/>
                <w:sz w:val="15"/>
              </w:rPr>
              <w:t>$</w:t>
            </w:r>
          </w:p>
        </w:tc>
        <w:tc>
          <w:tcPr>
            <w:tcW w:w="573" w:type="dxa"/>
            <w:tcBorders>
              <w:top w:val="single" w:sz="6" w:space="0" w:color="000000"/>
              <w:bottom w:val="double" w:sz="6" w:space="0" w:color="000000"/>
            </w:tcBorders>
            <w:shd w:val="clear" w:color="auto" w:fill="CCEDFF"/>
          </w:tcPr>
          <w:p>
            <w:pPr>
              <w:pStyle w:val="TableParagraph"/>
              <w:spacing w:line="167" w:lineRule="exact"/>
              <w:ind w:left="345" w:right="-15"/>
              <w:rPr>
                <w:sz w:val="15"/>
              </w:rPr>
            </w:pPr>
            <w:r>
              <w:rPr>
                <w:spacing w:val="-5"/>
                <w:sz w:val="15"/>
              </w:rPr>
              <w:t>231</w:t>
            </w:r>
          </w:p>
        </w:tc>
        <w:tc>
          <w:tcPr>
            <w:tcW w:w="344" w:type="dxa"/>
            <w:tcBorders>
              <w:top w:val="single" w:sz="6" w:space="0" w:color="000000"/>
            </w:tcBorders>
          </w:tcPr>
          <w:p>
            <w:pPr>
              <w:pStyle w:val="TableParagraph"/>
              <w:spacing w:line="167" w:lineRule="exact"/>
              <w:ind w:right="34"/>
              <w:jc w:val="right"/>
              <w:rPr>
                <w:sz w:val="15"/>
              </w:rPr>
            </w:pPr>
            <w:r>
              <w:rPr/>
              <mc:AlternateContent>
                <mc:Choice Requires="wps">
                  <w:drawing>
                    <wp:anchor distT="0" distB="0" distL="0" distR="0" allowOverlap="1" layoutInCell="1" locked="0" behindDoc="1" simplePos="0" relativeHeight="474152960">
                      <wp:simplePos x="0" y="0"/>
                      <wp:positionH relativeFrom="column">
                        <wp:posOffset>0</wp:posOffset>
                      </wp:positionH>
                      <wp:positionV relativeFrom="paragraph">
                        <wp:posOffset>-718</wp:posOffset>
                      </wp:positionV>
                      <wp:extent cx="218440" cy="146050"/>
                      <wp:effectExtent l="0" t="0" r="0" b="0"/>
                      <wp:wrapNone/>
                      <wp:docPr id="589" name="Group 589"/>
                      <wp:cNvGraphicFramePr>
                        <a:graphicFrameLocks/>
                      </wp:cNvGraphicFramePr>
                      <a:graphic>
                        <a:graphicData uri="http://schemas.microsoft.com/office/word/2010/wordprocessingGroup">
                          <wpg:wgp>
                            <wpg:cNvPr id="589" name="Group 589"/>
                            <wpg:cNvGrpSpPr/>
                            <wpg:grpSpPr>
                              <a:xfrm>
                                <a:off x="0" y="0"/>
                                <a:ext cx="218440" cy="146050"/>
                                <a:chExt cx="218440" cy="146050"/>
                              </a:xfrm>
                            </wpg:grpSpPr>
                            <pic:pic>
                              <pic:nvPicPr>
                                <pic:cNvPr id="590" name="Image 590"/>
                                <pic:cNvPicPr/>
                              </pic:nvPicPr>
                              <pic:blipFill>
                                <a:blip r:embed="rId95" cstate="print"/>
                                <a:stretch>
                                  <a:fillRect/>
                                </a:stretch>
                              </pic:blipFill>
                              <pic:spPr>
                                <a:xfrm>
                                  <a:off x="0" y="0"/>
                                  <a:ext cx="217027" cy="144684"/>
                                </a:xfrm>
                                <a:prstGeom prst="rect">
                                  <a:avLst/>
                                </a:prstGeom>
                              </pic:spPr>
                            </pic:pic>
                          </wpg:wgp>
                        </a:graphicData>
                      </a:graphic>
                    </wp:anchor>
                  </w:drawing>
                </mc:Choice>
                <mc:Fallback>
                  <w:pict>
                    <v:group style="position:absolute;margin-left:0pt;margin-top:-.05654pt;width:17.2pt;height:11.5pt;mso-position-horizontal-relative:column;mso-position-vertical-relative:paragraph;z-index:-29163520" id="docshapegroup588" coordorigin="0,-1" coordsize="344,230">
                      <v:shape style="position:absolute;left:0;top:-2;width:342;height:228" type="#_x0000_t75" id="docshape589" stroked="false">
                        <v:imagedata r:id="rId95" o:title=""/>
                      </v:shape>
                      <w10:wrap type="none"/>
                    </v:group>
                  </w:pict>
                </mc:Fallback>
              </mc:AlternateContent>
            </w:r>
            <w:r>
              <w:rPr>
                <w:spacing w:val="-10"/>
                <w:sz w:val="15"/>
              </w:rPr>
              <w:t>$</w:t>
            </w:r>
          </w:p>
        </w:tc>
        <w:tc>
          <w:tcPr>
            <w:tcW w:w="573" w:type="dxa"/>
            <w:tcBorders>
              <w:top w:val="single" w:sz="6" w:space="0" w:color="000000"/>
              <w:bottom w:val="double" w:sz="6" w:space="0" w:color="000000"/>
            </w:tcBorders>
            <w:shd w:val="clear" w:color="auto" w:fill="CCEDFF"/>
          </w:tcPr>
          <w:p>
            <w:pPr>
              <w:pStyle w:val="TableParagraph"/>
              <w:spacing w:line="167" w:lineRule="exact"/>
              <w:ind w:left="230" w:right="-15"/>
              <w:rPr>
                <w:sz w:val="15"/>
              </w:rPr>
            </w:pPr>
            <w:r>
              <w:rPr>
                <w:spacing w:val="-2"/>
                <w:sz w:val="15"/>
              </w:rPr>
              <w:t>3,183</w:t>
            </w:r>
          </w:p>
        </w:tc>
        <w:tc>
          <w:tcPr>
            <w:tcW w:w="344" w:type="dxa"/>
            <w:tcBorders>
              <w:top w:val="single" w:sz="6" w:space="0" w:color="000000"/>
            </w:tcBorders>
          </w:tcPr>
          <w:p>
            <w:pPr>
              <w:pStyle w:val="TableParagraph"/>
              <w:spacing w:line="167" w:lineRule="exact"/>
              <w:ind w:right="34"/>
              <w:jc w:val="right"/>
              <w:rPr>
                <w:sz w:val="15"/>
              </w:rPr>
            </w:pPr>
            <w:r>
              <w:rPr/>
              <mc:AlternateContent>
                <mc:Choice Requires="wps">
                  <w:drawing>
                    <wp:anchor distT="0" distB="0" distL="0" distR="0" allowOverlap="1" layoutInCell="1" locked="0" behindDoc="1" simplePos="0" relativeHeight="474153472">
                      <wp:simplePos x="0" y="0"/>
                      <wp:positionH relativeFrom="column">
                        <wp:posOffset>0</wp:posOffset>
                      </wp:positionH>
                      <wp:positionV relativeFrom="paragraph">
                        <wp:posOffset>-718</wp:posOffset>
                      </wp:positionV>
                      <wp:extent cx="218440" cy="146050"/>
                      <wp:effectExtent l="0" t="0" r="0" b="0"/>
                      <wp:wrapNone/>
                      <wp:docPr id="591" name="Group 591"/>
                      <wp:cNvGraphicFramePr>
                        <a:graphicFrameLocks/>
                      </wp:cNvGraphicFramePr>
                      <a:graphic>
                        <a:graphicData uri="http://schemas.microsoft.com/office/word/2010/wordprocessingGroup">
                          <wpg:wgp>
                            <wpg:cNvPr id="591" name="Group 591"/>
                            <wpg:cNvGrpSpPr/>
                            <wpg:grpSpPr>
                              <a:xfrm>
                                <a:off x="0" y="0"/>
                                <a:ext cx="218440" cy="146050"/>
                                <a:chExt cx="218440" cy="146050"/>
                              </a:xfrm>
                            </wpg:grpSpPr>
                            <pic:pic>
                              <pic:nvPicPr>
                                <pic:cNvPr id="592" name="Image 592"/>
                                <pic:cNvPicPr/>
                              </pic:nvPicPr>
                              <pic:blipFill>
                                <a:blip r:embed="rId95" cstate="print"/>
                                <a:stretch>
                                  <a:fillRect/>
                                </a:stretch>
                              </pic:blipFill>
                              <pic:spPr>
                                <a:xfrm>
                                  <a:off x="0" y="0"/>
                                  <a:ext cx="217027" cy="144684"/>
                                </a:xfrm>
                                <a:prstGeom prst="rect">
                                  <a:avLst/>
                                </a:prstGeom>
                              </pic:spPr>
                            </pic:pic>
                          </wpg:wgp>
                        </a:graphicData>
                      </a:graphic>
                    </wp:anchor>
                  </w:drawing>
                </mc:Choice>
                <mc:Fallback>
                  <w:pict>
                    <v:group style="position:absolute;margin-left:0pt;margin-top:-.05654pt;width:17.2pt;height:11.5pt;mso-position-horizontal-relative:column;mso-position-vertical-relative:paragraph;z-index:-29163008" id="docshapegroup590" coordorigin="0,-1" coordsize="344,230">
                      <v:shape style="position:absolute;left:0;top:-2;width:342;height:228" type="#_x0000_t75" id="docshape591" stroked="false">
                        <v:imagedata r:id="rId95" o:title=""/>
                      </v:shape>
                      <w10:wrap type="none"/>
                    </v:group>
                  </w:pict>
                </mc:Fallback>
              </mc:AlternateContent>
            </w:r>
            <w:r>
              <w:rPr>
                <w:spacing w:val="-10"/>
                <w:sz w:val="15"/>
              </w:rPr>
              <w:t>$</w:t>
            </w:r>
          </w:p>
        </w:tc>
        <w:tc>
          <w:tcPr>
            <w:tcW w:w="688" w:type="dxa"/>
            <w:tcBorders>
              <w:top w:val="single" w:sz="6" w:space="0" w:color="000000"/>
              <w:bottom w:val="double" w:sz="6" w:space="0" w:color="000000"/>
            </w:tcBorders>
            <w:shd w:val="clear" w:color="auto" w:fill="CCEDFF"/>
          </w:tcPr>
          <w:p>
            <w:pPr>
              <w:pStyle w:val="TableParagraph"/>
              <w:spacing w:line="167" w:lineRule="exact"/>
              <w:ind w:left="345"/>
              <w:rPr>
                <w:sz w:val="15"/>
              </w:rPr>
            </w:pPr>
            <w:r>
              <w:rPr>
                <w:spacing w:val="-5"/>
                <w:sz w:val="15"/>
              </w:rPr>
              <w:t>191</w:t>
            </w:r>
          </w:p>
        </w:tc>
      </w:tr>
    </w:tbl>
    <w:p>
      <w:pPr>
        <w:pStyle w:val="BodyText"/>
        <w:spacing w:before="48"/>
        <w:rPr>
          <w:sz w:val="15"/>
        </w:rPr>
      </w:pPr>
    </w:p>
    <w:p>
      <w:pPr>
        <w:pStyle w:val="ListParagraph"/>
        <w:numPr>
          <w:ilvl w:val="0"/>
          <w:numId w:val="47"/>
        </w:numPr>
        <w:tabs>
          <w:tab w:pos="460" w:val="left" w:leader="none"/>
          <w:tab w:pos="462" w:val="left" w:leader="none"/>
        </w:tabs>
        <w:spacing w:line="228" w:lineRule="auto" w:before="1" w:after="0"/>
        <w:ind w:left="462" w:right="387" w:hanging="306"/>
        <w:jc w:val="left"/>
        <w:rPr>
          <w:sz w:val="14"/>
        </w:rPr>
      </w:pPr>
      <w:r>
        <w:rPr>
          <w:sz w:val="14"/>
        </w:rPr>
        <w:t>This</w:t>
      </w:r>
      <w:r>
        <w:rPr>
          <w:spacing w:val="-1"/>
          <w:sz w:val="14"/>
        </w:rPr>
        <w:t> </w:t>
      </w:r>
      <w:r>
        <w:rPr>
          <w:sz w:val="14"/>
        </w:rPr>
        <w:t>category</w:t>
      </w:r>
      <w:r>
        <w:rPr>
          <w:spacing w:val="-1"/>
          <w:sz w:val="14"/>
        </w:rPr>
        <w:t> </w:t>
      </w:r>
      <w:r>
        <w:rPr>
          <w:sz w:val="14"/>
        </w:rPr>
        <w:t>includes</w:t>
      </w:r>
      <w:r>
        <w:rPr>
          <w:spacing w:val="-1"/>
          <w:sz w:val="14"/>
        </w:rPr>
        <w:t> </w:t>
      </w:r>
      <w:r>
        <w:rPr>
          <w:sz w:val="14"/>
        </w:rPr>
        <w:t>venture</w:t>
      </w:r>
      <w:r>
        <w:rPr>
          <w:spacing w:val="-1"/>
          <w:sz w:val="14"/>
        </w:rPr>
        <w:t> </w:t>
      </w:r>
      <w:r>
        <w:rPr>
          <w:sz w:val="14"/>
        </w:rPr>
        <w:t>capital,</w:t>
      </w:r>
      <w:r>
        <w:rPr>
          <w:spacing w:val="-1"/>
          <w:sz w:val="14"/>
        </w:rPr>
        <w:t> </w:t>
      </w:r>
      <w:r>
        <w:rPr>
          <w:sz w:val="14"/>
        </w:rPr>
        <w:t>leverage</w:t>
      </w:r>
      <w:r>
        <w:rPr>
          <w:spacing w:val="-1"/>
          <w:sz w:val="14"/>
        </w:rPr>
        <w:t> </w:t>
      </w:r>
      <w:r>
        <w:rPr>
          <w:sz w:val="14"/>
        </w:rPr>
        <w:t>buyouts</w:t>
      </w:r>
      <w:r>
        <w:rPr>
          <w:spacing w:val="-1"/>
          <w:sz w:val="14"/>
        </w:rPr>
        <w:t> </w:t>
      </w:r>
      <w:r>
        <w:rPr>
          <w:sz w:val="14"/>
        </w:rPr>
        <w:t>and</w:t>
      </w:r>
      <w:r>
        <w:rPr>
          <w:spacing w:val="-1"/>
          <w:sz w:val="14"/>
        </w:rPr>
        <w:t> </w:t>
      </w:r>
      <w:r>
        <w:rPr>
          <w:sz w:val="14"/>
        </w:rPr>
        <w:t>distressed</w:t>
      </w:r>
      <w:r>
        <w:rPr>
          <w:spacing w:val="-1"/>
          <w:sz w:val="14"/>
        </w:rPr>
        <w:t> </w:t>
      </w:r>
      <w:r>
        <w:rPr>
          <w:sz w:val="14"/>
        </w:rPr>
        <w:t>debt</w:t>
      </w:r>
      <w:r>
        <w:rPr>
          <w:spacing w:val="-1"/>
          <w:sz w:val="14"/>
        </w:rPr>
        <w:t> </w:t>
      </w:r>
      <w:r>
        <w:rPr>
          <w:sz w:val="14"/>
        </w:rPr>
        <w:t>limited</w:t>
      </w:r>
      <w:r>
        <w:rPr>
          <w:spacing w:val="-1"/>
          <w:sz w:val="14"/>
        </w:rPr>
        <w:t> </w:t>
      </w:r>
      <w:r>
        <w:rPr>
          <w:sz w:val="14"/>
        </w:rPr>
        <w:t>partnerships</w:t>
      </w:r>
      <w:r>
        <w:rPr>
          <w:spacing w:val="-1"/>
          <w:sz w:val="14"/>
        </w:rPr>
        <w:t> </w:t>
      </w:r>
      <w:r>
        <w:rPr>
          <w:sz w:val="14"/>
        </w:rPr>
        <w:t>invested</w:t>
      </w:r>
      <w:r>
        <w:rPr>
          <w:spacing w:val="-1"/>
          <w:sz w:val="14"/>
        </w:rPr>
        <w:t> </w:t>
      </w:r>
      <w:r>
        <w:rPr>
          <w:sz w:val="14"/>
        </w:rPr>
        <w:t>primarily</w:t>
      </w:r>
      <w:r>
        <w:rPr>
          <w:spacing w:val="-1"/>
          <w:sz w:val="14"/>
        </w:rPr>
        <w:t> </w:t>
      </w:r>
      <w:r>
        <w:rPr>
          <w:sz w:val="14"/>
        </w:rPr>
        <w:t>in</w:t>
      </w:r>
      <w:r>
        <w:rPr>
          <w:spacing w:val="-1"/>
          <w:sz w:val="14"/>
        </w:rPr>
        <w:t> </w:t>
      </w:r>
      <w:r>
        <w:rPr>
          <w:sz w:val="14"/>
        </w:rPr>
        <w:t>U.S.</w:t>
      </w:r>
      <w:r>
        <w:rPr>
          <w:spacing w:val="-1"/>
          <w:sz w:val="14"/>
        </w:rPr>
        <w:t> </w:t>
      </w:r>
      <w:r>
        <w:rPr>
          <w:sz w:val="14"/>
        </w:rPr>
        <w:t>companies.</w:t>
      </w:r>
      <w:r>
        <w:rPr>
          <w:spacing w:val="-1"/>
          <w:sz w:val="14"/>
        </w:rPr>
        <w:t> </w:t>
      </w:r>
      <w:r>
        <w:rPr>
          <w:sz w:val="14"/>
        </w:rPr>
        <w:t>The</w:t>
      </w:r>
      <w:r>
        <w:rPr>
          <w:spacing w:val="-1"/>
          <w:sz w:val="14"/>
        </w:rPr>
        <w:t> </w:t>
      </w:r>
      <w:r>
        <w:rPr>
          <w:sz w:val="14"/>
        </w:rPr>
        <w:t>inputs</w:t>
      </w:r>
      <w:r>
        <w:rPr>
          <w:spacing w:val="-1"/>
          <w:sz w:val="14"/>
        </w:rPr>
        <w:t> </w:t>
      </w:r>
      <w:r>
        <w:rPr>
          <w:sz w:val="14"/>
        </w:rPr>
        <w:t>are</w:t>
      </w:r>
      <w:r>
        <w:rPr>
          <w:spacing w:val="-1"/>
          <w:sz w:val="14"/>
        </w:rPr>
        <w:t> </w:t>
      </w:r>
      <w:r>
        <w:rPr>
          <w:sz w:val="14"/>
        </w:rPr>
        <w:t>valued</w:t>
      </w:r>
      <w:r>
        <w:rPr>
          <w:spacing w:val="-1"/>
          <w:sz w:val="14"/>
        </w:rPr>
        <w:t> </w:t>
      </w:r>
      <w:r>
        <w:rPr>
          <w:sz w:val="14"/>
        </w:rPr>
        <w:t>by</w:t>
      </w:r>
      <w:r>
        <w:rPr>
          <w:spacing w:val="-1"/>
          <w:sz w:val="14"/>
        </w:rPr>
        <w:t> </w:t>
      </w:r>
      <w:r>
        <w:rPr>
          <w:sz w:val="14"/>
        </w:rPr>
        <w:t>discounted</w:t>
      </w:r>
      <w:r>
        <w:rPr>
          <w:spacing w:val="-1"/>
          <w:sz w:val="14"/>
        </w:rPr>
        <w:t> </w:t>
      </w:r>
      <w:r>
        <w:rPr>
          <w:sz w:val="14"/>
        </w:rPr>
        <w:t>cash</w:t>
      </w:r>
      <w:r>
        <w:rPr>
          <w:spacing w:val="-1"/>
          <w:sz w:val="14"/>
        </w:rPr>
        <w:t> </w:t>
      </w:r>
      <w:r>
        <w:rPr>
          <w:sz w:val="14"/>
        </w:rPr>
        <w:t>flow</w:t>
      </w:r>
      <w:r>
        <w:rPr>
          <w:spacing w:val="-1"/>
          <w:sz w:val="14"/>
        </w:rPr>
        <w:t> </w:t>
      </w:r>
      <w:r>
        <w:rPr>
          <w:sz w:val="14"/>
        </w:rPr>
        <w:t>analysis</w:t>
      </w:r>
      <w:r>
        <w:rPr>
          <w:spacing w:val="-1"/>
          <w:sz w:val="14"/>
        </w:rPr>
        <w:t> </w:t>
      </w:r>
      <w:r>
        <w:rPr>
          <w:sz w:val="14"/>
        </w:rPr>
        <w:t>and</w:t>
      </w:r>
      <w:r>
        <w:rPr>
          <w:spacing w:val="40"/>
          <w:sz w:val="14"/>
        </w:rPr>
        <w:t> </w:t>
      </w:r>
      <w:r>
        <w:rPr>
          <w:sz w:val="14"/>
        </w:rPr>
        <w:t>comparable sale analysis.</w:t>
      </w:r>
    </w:p>
    <w:p>
      <w:pPr>
        <w:pStyle w:val="ListParagraph"/>
        <w:numPr>
          <w:ilvl w:val="0"/>
          <w:numId w:val="47"/>
        </w:numPr>
        <w:tabs>
          <w:tab w:pos="460" w:val="left" w:leader="none"/>
          <w:tab w:pos="462" w:val="left" w:leader="none"/>
        </w:tabs>
        <w:spacing w:line="228" w:lineRule="auto" w:before="0" w:after="0"/>
        <w:ind w:left="462" w:right="342" w:hanging="306"/>
        <w:jc w:val="left"/>
        <w:rPr>
          <w:sz w:val="14"/>
        </w:rPr>
      </w:pPr>
      <w:r>
        <w:rPr>
          <w:sz w:val="14"/>
        </w:rPr>
        <w:t>This</w:t>
      </w:r>
      <w:r>
        <w:rPr>
          <w:spacing w:val="-1"/>
          <w:sz w:val="14"/>
        </w:rPr>
        <w:t> </w:t>
      </w:r>
      <w:r>
        <w:rPr>
          <w:sz w:val="14"/>
        </w:rPr>
        <w:t>category</w:t>
      </w:r>
      <w:r>
        <w:rPr>
          <w:spacing w:val="-1"/>
          <w:sz w:val="14"/>
        </w:rPr>
        <w:t> </w:t>
      </w:r>
      <w:r>
        <w:rPr>
          <w:sz w:val="14"/>
        </w:rPr>
        <w:t>includes</w:t>
      </w:r>
      <w:r>
        <w:rPr>
          <w:spacing w:val="-1"/>
          <w:sz w:val="14"/>
        </w:rPr>
        <w:t> </w:t>
      </w:r>
      <w:r>
        <w:rPr>
          <w:sz w:val="14"/>
        </w:rPr>
        <w:t>industrial,</w:t>
      </w:r>
      <w:r>
        <w:rPr>
          <w:spacing w:val="-1"/>
          <w:sz w:val="14"/>
        </w:rPr>
        <w:t> </w:t>
      </w:r>
      <w:r>
        <w:rPr>
          <w:sz w:val="14"/>
        </w:rPr>
        <w:t>office,</w:t>
      </w:r>
      <w:r>
        <w:rPr>
          <w:spacing w:val="-1"/>
          <w:sz w:val="14"/>
        </w:rPr>
        <w:t> </w:t>
      </w:r>
      <w:r>
        <w:rPr>
          <w:sz w:val="14"/>
        </w:rPr>
        <w:t>apartments,</w:t>
      </w:r>
      <w:r>
        <w:rPr>
          <w:spacing w:val="-1"/>
          <w:sz w:val="14"/>
        </w:rPr>
        <w:t> </w:t>
      </w:r>
      <w:r>
        <w:rPr>
          <w:sz w:val="14"/>
        </w:rPr>
        <w:t>hotels,</w:t>
      </w:r>
      <w:r>
        <w:rPr>
          <w:spacing w:val="-1"/>
          <w:sz w:val="14"/>
        </w:rPr>
        <w:t> </w:t>
      </w:r>
      <w:r>
        <w:rPr>
          <w:sz w:val="14"/>
        </w:rPr>
        <w:t>infrastructure</w:t>
      </w:r>
      <w:r>
        <w:rPr>
          <w:spacing w:val="-1"/>
          <w:sz w:val="14"/>
        </w:rPr>
        <w:t> </w:t>
      </w:r>
      <w:r>
        <w:rPr>
          <w:sz w:val="14"/>
        </w:rPr>
        <w:t>and</w:t>
      </w:r>
      <w:r>
        <w:rPr>
          <w:spacing w:val="-1"/>
          <w:sz w:val="14"/>
        </w:rPr>
        <w:t> </w:t>
      </w:r>
      <w:r>
        <w:rPr>
          <w:sz w:val="14"/>
        </w:rPr>
        <w:t>retail</w:t>
      </w:r>
      <w:r>
        <w:rPr>
          <w:spacing w:val="-1"/>
          <w:sz w:val="14"/>
        </w:rPr>
        <w:t> </w:t>
      </w:r>
      <w:r>
        <w:rPr>
          <w:sz w:val="14"/>
        </w:rPr>
        <w:t>investments</w:t>
      </w:r>
      <w:r>
        <w:rPr>
          <w:spacing w:val="-1"/>
          <w:sz w:val="14"/>
        </w:rPr>
        <w:t> </w:t>
      </w:r>
      <w:r>
        <w:rPr>
          <w:sz w:val="14"/>
        </w:rPr>
        <w:t>which</w:t>
      </w:r>
      <w:r>
        <w:rPr>
          <w:spacing w:val="-1"/>
          <w:sz w:val="14"/>
        </w:rPr>
        <w:t> </w:t>
      </w:r>
      <w:r>
        <w:rPr>
          <w:sz w:val="14"/>
        </w:rPr>
        <w:t>are</w:t>
      </w:r>
      <w:r>
        <w:rPr>
          <w:spacing w:val="-1"/>
          <w:sz w:val="14"/>
        </w:rPr>
        <w:t> </w:t>
      </w:r>
      <w:r>
        <w:rPr>
          <w:sz w:val="14"/>
        </w:rPr>
        <w:t>limited</w:t>
      </w:r>
      <w:r>
        <w:rPr>
          <w:spacing w:val="-1"/>
          <w:sz w:val="14"/>
        </w:rPr>
        <w:t> </w:t>
      </w:r>
      <w:r>
        <w:rPr>
          <w:sz w:val="14"/>
        </w:rPr>
        <w:t>partnerships</w:t>
      </w:r>
      <w:r>
        <w:rPr>
          <w:spacing w:val="-1"/>
          <w:sz w:val="14"/>
        </w:rPr>
        <w:t> </w:t>
      </w:r>
      <w:r>
        <w:rPr>
          <w:sz w:val="14"/>
        </w:rPr>
        <w:t>predominately</w:t>
      </w:r>
      <w:r>
        <w:rPr>
          <w:spacing w:val="-1"/>
          <w:sz w:val="14"/>
        </w:rPr>
        <w:t> </w:t>
      </w:r>
      <w:r>
        <w:rPr>
          <w:sz w:val="14"/>
        </w:rPr>
        <w:t>in</w:t>
      </w:r>
      <w:r>
        <w:rPr>
          <w:spacing w:val="-1"/>
          <w:sz w:val="14"/>
        </w:rPr>
        <w:t> </w:t>
      </w:r>
      <w:r>
        <w:rPr>
          <w:sz w:val="14"/>
        </w:rPr>
        <w:t>the</w:t>
      </w:r>
      <w:r>
        <w:rPr>
          <w:spacing w:val="-1"/>
          <w:sz w:val="14"/>
        </w:rPr>
        <w:t> </w:t>
      </w:r>
      <w:r>
        <w:rPr>
          <w:sz w:val="14"/>
        </w:rPr>
        <w:t>U.S.</w:t>
      </w:r>
      <w:r>
        <w:rPr>
          <w:spacing w:val="-1"/>
          <w:sz w:val="14"/>
        </w:rPr>
        <w:t> </w:t>
      </w:r>
      <w:r>
        <w:rPr>
          <w:sz w:val="14"/>
        </w:rPr>
        <w:t>The</w:t>
      </w:r>
      <w:r>
        <w:rPr>
          <w:spacing w:val="-1"/>
          <w:sz w:val="14"/>
        </w:rPr>
        <w:t> </w:t>
      </w:r>
      <w:r>
        <w:rPr>
          <w:sz w:val="14"/>
        </w:rPr>
        <w:t>inputs</w:t>
      </w:r>
      <w:r>
        <w:rPr>
          <w:spacing w:val="-1"/>
          <w:sz w:val="14"/>
        </w:rPr>
        <w:t> </w:t>
      </w:r>
      <w:r>
        <w:rPr>
          <w:sz w:val="14"/>
        </w:rPr>
        <w:t>are</w:t>
      </w:r>
      <w:r>
        <w:rPr>
          <w:spacing w:val="-1"/>
          <w:sz w:val="14"/>
        </w:rPr>
        <w:t> </w:t>
      </w:r>
      <w:r>
        <w:rPr>
          <w:sz w:val="14"/>
        </w:rPr>
        <w:t>valued</w:t>
      </w:r>
      <w:r>
        <w:rPr>
          <w:spacing w:val="-1"/>
          <w:sz w:val="14"/>
        </w:rPr>
        <w:t> </w:t>
      </w:r>
      <w:r>
        <w:rPr>
          <w:sz w:val="14"/>
        </w:rPr>
        <w:t>by</w:t>
      </w:r>
      <w:r>
        <w:rPr>
          <w:spacing w:val="-1"/>
          <w:sz w:val="14"/>
        </w:rPr>
        <w:t> </w:t>
      </w:r>
      <w:r>
        <w:rPr>
          <w:sz w:val="14"/>
        </w:rPr>
        <w:t>discounted</w:t>
      </w:r>
      <w:r>
        <w:rPr>
          <w:spacing w:val="-1"/>
          <w:sz w:val="14"/>
        </w:rPr>
        <w:t> </w:t>
      </w:r>
      <w:r>
        <w:rPr>
          <w:sz w:val="14"/>
        </w:rPr>
        <w:t>cash</w:t>
      </w:r>
      <w:r>
        <w:rPr>
          <w:spacing w:val="40"/>
          <w:sz w:val="14"/>
        </w:rPr>
        <w:t> </w:t>
      </w:r>
      <w:r>
        <w:rPr>
          <w:sz w:val="14"/>
        </w:rPr>
        <w:t>flow analysis; comparable sale analysis and periodic external appraisals.</w:t>
      </w:r>
    </w:p>
    <w:p>
      <w:pPr>
        <w:pStyle w:val="BodyText"/>
        <w:spacing w:before="42"/>
        <w:rPr>
          <w:sz w:val="14"/>
        </w:rPr>
      </w:pPr>
    </w:p>
    <w:p>
      <w:pPr>
        <w:pStyle w:val="BodyText"/>
        <w:spacing w:line="266" w:lineRule="auto"/>
        <w:ind w:left="156"/>
      </w:pPr>
      <w:r>
        <w:rPr>
          <w:w w:val="105"/>
        </w:rPr>
        <w:t>The</w:t>
      </w:r>
      <w:r>
        <w:rPr>
          <w:spacing w:val="-9"/>
          <w:w w:val="105"/>
        </w:rPr>
        <w:t> </w:t>
      </w:r>
      <w:r>
        <w:rPr>
          <w:w w:val="105"/>
        </w:rPr>
        <w:t>following</w:t>
      </w:r>
      <w:r>
        <w:rPr>
          <w:spacing w:val="-9"/>
          <w:w w:val="105"/>
        </w:rPr>
        <w:t> </w:t>
      </w:r>
      <w:r>
        <w:rPr>
          <w:w w:val="105"/>
        </w:rPr>
        <w:t>tables</w:t>
      </w:r>
      <w:r>
        <w:rPr>
          <w:spacing w:val="-10"/>
          <w:w w:val="105"/>
        </w:rPr>
        <w:t> </w:t>
      </w:r>
      <w:r>
        <w:rPr>
          <w:w w:val="105"/>
        </w:rPr>
        <w:t>provide</w:t>
      </w:r>
      <w:r>
        <w:rPr>
          <w:spacing w:val="-9"/>
          <w:w w:val="105"/>
        </w:rPr>
        <w:t> </w:t>
      </w:r>
      <w:r>
        <w:rPr>
          <w:w w:val="105"/>
        </w:rPr>
        <w:t>fair</w:t>
      </w:r>
      <w:r>
        <w:rPr>
          <w:spacing w:val="-9"/>
          <w:w w:val="105"/>
        </w:rPr>
        <w:t> </w:t>
      </w:r>
      <w:r>
        <w:rPr>
          <w:w w:val="105"/>
        </w:rPr>
        <w:t>value</w:t>
      </w:r>
      <w:r>
        <w:rPr>
          <w:spacing w:val="-9"/>
          <w:w w:val="105"/>
        </w:rPr>
        <w:t> </w:t>
      </w:r>
      <w:r>
        <w:rPr>
          <w:w w:val="105"/>
        </w:rPr>
        <w:t>measurement</w:t>
      </w:r>
      <w:r>
        <w:rPr>
          <w:spacing w:val="-10"/>
          <w:w w:val="105"/>
        </w:rPr>
        <w:t> </w:t>
      </w:r>
      <w:r>
        <w:rPr>
          <w:w w:val="105"/>
        </w:rPr>
        <w:t>information</w:t>
      </w:r>
      <w:r>
        <w:rPr>
          <w:spacing w:val="-9"/>
          <w:w w:val="105"/>
        </w:rPr>
        <w:t> </w:t>
      </w:r>
      <w:r>
        <w:rPr>
          <w:w w:val="105"/>
        </w:rPr>
        <w:t>for</w:t>
      </w:r>
      <w:r>
        <w:rPr>
          <w:spacing w:val="-9"/>
          <w:w w:val="105"/>
        </w:rPr>
        <w:t> </w:t>
      </w:r>
      <w:r>
        <w:rPr>
          <w:w w:val="105"/>
        </w:rPr>
        <w:t>the</w:t>
      </w:r>
      <w:r>
        <w:rPr>
          <w:spacing w:val="-9"/>
          <w:w w:val="105"/>
        </w:rPr>
        <w:t> </w:t>
      </w:r>
      <w:r>
        <w:rPr>
          <w:w w:val="105"/>
        </w:rPr>
        <w:t>Company’s</w:t>
      </w:r>
      <w:r>
        <w:rPr>
          <w:spacing w:val="-9"/>
          <w:w w:val="105"/>
        </w:rPr>
        <w:t> </w:t>
      </w:r>
      <w:r>
        <w:rPr>
          <w:w w:val="105"/>
        </w:rPr>
        <w:t>major</w:t>
      </w:r>
      <w:r>
        <w:rPr>
          <w:spacing w:val="-9"/>
          <w:w w:val="105"/>
        </w:rPr>
        <w:t> </w:t>
      </w:r>
      <w:r>
        <w:rPr>
          <w:w w:val="105"/>
        </w:rPr>
        <w:t>categories;</w:t>
      </w:r>
      <w:r>
        <w:rPr>
          <w:spacing w:val="-9"/>
          <w:w w:val="105"/>
        </w:rPr>
        <w:t> </w:t>
      </w:r>
      <w:r>
        <w:rPr>
          <w:w w:val="105"/>
        </w:rPr>
        <w:t>Level</w:t>
      </w:r>
      <w:r>
        <w:rPr>
          <w:spacing w:val="-11"/>
          <w:w w:val="105"/>
        </w:rPr>
        <w:t> </w:t>
      </w:r>
      <w:r>
        <w:rPr>
          <w:w w:val="105"/>
        </w:rPr>
        <w:t>1</w:t>
      </w:r>
      <w:r>
        <w:rPr>
          <w:spacing w:val="-8"/>
          <w:w w:val="105"/>
        </w:rPr>
        <w:t> </w:t>
      </w:r>
      <w:r>
        <w:rPr>
          <w:w w:val="105"/>
        </w:rPr>
        <w:t>(quoted</w:t>
      </w:r>
      <w:r>
        <w:rPr>
          <w:spacing w:val="-9"/>
          <w:w w:val="105"/>
        </w:rPr>
        <w:t> </w:t>
      </w:r>
      <w:r>
        <w:rPr>
          <w:w w:val="105"/>
        </w:rPr>
        <w:t>market</w:t>
      </w:r>
      <w:r>
        <w:rPr>
          <w:spacing w:val="-9"/>
          <w:w w:val="105"/>
        </w:rPr>
        <w:t> </w:t>
      </w:r>
      <w:r>
        <w:rPr>
          <w:w w:val="105"/>
        </w:rPr>
        <w:t>prices</w:t>
      </w:r>
      <w:r>
        <w:rPr>
          <w:spacing w:val="-7"/>
          <w:w w:val="105"/>
        </w:rPr>
        <w:t> </w:t>
      </w:r>
      <w:r>
        <w:rPr>
          <w:w w:val="105"/>
        </w:rPr>
        <w:t>in</w:t>
      </w:r>
      <w:r>
        <w:rPr>
          <w:spacing w:val="-9"/>
          <w:w w:val="105"/>
        </w:rPr>
        <w:t> </w:t>
      </w:r>
      <w:r>
        <w:rPr>
          <w:w w:val="105"/>
        </w:rPr>
        <w:t>active</w:t>
      </w:r>
      <w:r>
        <w:rPr>
          <w:spacing w:val="-9"/>
          <w:w w:val="105"/>
        </w:rPr>
        <w:t> </w:t>
      </w:r>
      <w:r>
        <w:rPr>
          <w:w w:val="105"/>
        </w:rPr>
        <w:t>markets</w:t>
      </w:r>
      <w:r>
        <w:rPr>
          <w:spacing w:val="-9"/>
          <w:w w:val="105"/>
        </w:rPr>
        <w:t> </w:t>
      </w:r>
      <w:r>
        <w:rPr>
          <w:w w:val="105"/>
        </w:rPr>
        <w:t>for</w:t>
      </w:r>
      <w:r>
        <w:rPr>
          <w:spacing w:val="-7"/>
          <w:w w:val="105"/>
        </w:rPr>
        <w:t> </w:t>
      </w:r>
      <w:r>
        <w:rPr>
          <w:w w:val="105"/>
        </w:rPr>
        <w:t>identical</w:t>
      </w:r>
      <w:r>
        <w:rPr>
          <w:spacing w:val="-9"/>
          <w:w w:val="105"/>
        </w:rPr>
        <w:t> </w:t>
      </w:r>
      <w:r>
        <w:rPr>
          <w:w w:val="105"/>
        </w:rPr>
        <w:t>assets), Level 2 (significant other observable inputs) and Level 3 (significant unobservable inputs) of international defined benefit plan assets:</w:t>
      </w:r>
    </w:p>
    <w:p>
      <w:pPr>
        <w:pStyle w:val="BodyText"/>
        <w:spacing w:before="6"/>
        <w:rPr>
          <w:sz w:val="7"/>
        </w:rPr>
      </w:pPr>
      <w:r>
        <w:rPr/>
        <mc:AlternateContent>
          <mc:Choice Requires="wps">
            <w:drawing>
              <wp:anchor distT="0" distB="0" distL="0" distR="0" allowOverlap="1" layoutInCell="1" locked="0" behindDoc="1" simplePos="0" relativeHeight="487717888">
                <wp:simplePos x="0" y="0"/>
                <wp:positionH relativeFrom="page">
                  <wp:posOffset>226479</wp:posOffset>
                </wp:positionH>
                <wp:positionV relativeFrom="paragraph">
                  <wp:posOffset>70497</wp:posOffset>
                </wp:positionV>
                <wp:extent cx="7312659" cy="16510"/>
                <wp:effectExtent l="0" t="0" r="0" b="0"/>
                <wp:wrapTopAndBottom/>
                <wp:docPr id="593" name="Graphic 593"/>
                <wp:cNvGraphicFramePr>
                  <a:graphicFrameLocks/>
                </wp:cNvGraphicFramePr>
                <a:graphic>
                  <a:graphicData uri="http://schemas.microsoft.com/office/word/2010/wordprocessingShape">
                    <wps:wsp>
                      <wps:cNvPr id="593" name="Graphic 593"/>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5.551011pt;width:575.775027pt;height:1.274pt;mso-position-horizontal-relative:page;mso-position-vertical-relative:paragraph;z-index:-15598592;mso-wrap-distance-left:0;mso-wrap-distance-right:0" id="docshape592" filled="true" fillcolor="#000000" stroked="false">
                <v:fill type="solid"/>
                <w10:wrap type="topAndBottom"/>
              </v:rect>
            </w:pict>
          </mc:Fallback>
        </mc:AlternateContent>
      </w:r>
    </w:p>
    <w:p>
      <w:pPr>
        <w:tabs>
          <w:tab w:pos="9224" w:val="left" w:leader="none"/>
        </w:tabs>
        <w:spacing w:before="0" w:after="25"/>
        <w:ind w:left="5513" w:right="0" w:firstLine="0"/>
        <w:jc w:val="left"/>
        <w:rPr>
          <w:sz w:val="15"/>
        </w:rPr>
      </w:pPr>
      <w:r>
        <w:rPr>
          <w:b/>
          <w:sz w:val="15"/>
        </w:rPr>
        <w:t>December</w:t>
      </w:r>
      <w:r>
        <w:rPr>
          <w:b/>
          <w:spacing w:val="-1"/>
          <w:sz w:val="15"/>
        </w:rPr>
        <w:t> </w:t>
      </w:r>
      <w:r>
        <w:rPr>
          <w:b/>
          <w:sz w:val="15"/>
        </w:rPr>
        <w:t>31, </w:t>
      </w:r>
      <w:r>
        <w:rPr>
          <w:b/>
          <w:spacing w:val="-4"/>
          <w:sz w:val="15"/>
        </w:rPr>
        <w:t>2021</w:t>
      </w:r>
      <w:r>
        <w:rPr>
          <w:b/>
          <w:sz w:val="15"/>
        </w:rPr>
        <w:tab/>
      </w:r>
      <w:r>
        <w:rPr>
          <w:sz w:val="15"/>
        </w:rPr>
        <w:t>December</w:t>
      </w:r>
      <w:r>
        <w:rPr>
          <w:spacing w:val="-1"/>
          <w:sz w:val="15"/>
        </w:rPr>
        <w:t> </w:t>
      </w:r>
      <w:r>
        <w:rPr>
          <w:sz w:val="15"/>
        </w:rPr>
        <w:t>31, </w:t>
      </w:r>
      <w:r>
        <w:rPr>
          <w:spacing w:val="-4"/>
          <w:sz w:val="15"/>
        </w:rPr>
        <w:t>2020</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2"/>
        <w:gridCol w:w="688"/>
        <w:gridCol w:w="917"/>
        <w:gridCol w:w="930"/>
        <w:gridCol w:w="930"/>
        <w:gridCol w:w="917"/>
        <w:gridCol w:w="917"/>
        <w:gridCol w:w="930"/>
        <w:gridCol w:w="1045"/>
      </w:tblGrid>
      <w:tr>
        <w:trPr>
          <w:trHeight w:val="188" w:hRule="atLeast"/>
        </w:trPr>
        <w:tc>
          <w:tcPr>
            <w:tcW w:w="4242" w:type="dxa"/>
            <w:tcBorders>
              <w:bottom w:val="single" w:sz="6" w:space="0" w:color="000000"/>
            </w:tcBorders>
          </w:tcPr>
          <w:p>
            <w:pPr>
              <w:pStyle w:val="TableParagraph"/>
              <w:spacing w:line="169" w:lineRule="exact"/>
              <w:rPr>
                <w:sz w:val="15"/>
              </w:rPr>
            </w:pPr>
            <w:r>
              <w:rPr>
                <w:sz w:val="15"/>
              </w:rPr>
              <w:t>(in</w:t>
            </w:r>
            <w:r>
              <w:rPr>
                <w:spacing w:val="1"/>
                <w:sz w:val="15"/>
              </w:rPr>
              <w:t> </w:t>
            </w:r>
            <w:r>
              <w:rPr>
                <w:spacing w:val="-2"/>
                <w:sz w:val="15"/>
              </w:rPr>
              <w:t>millions)</w:t>
            </w:r>
          </w:p>
        </w:tc>
        <w:tc>
          <w:tcPr>
            <w:tcW w:w="688" w:type="dxa"/>
            <w:tcBorders>
              <w:top w:val="single" w:sz="6" w:space="0" w:color="000000"/>
              <w:bottom w:val="single" w:sz="6" w:space="0" w:color="000000"/>
            </w:tcBorders>
          </w:tcPr>
          <w:p>
            <w:pPr>
              <w:pStyle w:val="TableParagraph"/>
              <w:spacing w:line="169" w:lineRule="exact"/>
              <w:ind w:left="169"/>
              <w:rPr>
                <w:b/>
                <w:sz w:val="15"/>
              </w:rPr>
            </w:pPr>
            <w:r>
              <w:rPr>
                <w:b/>
                <w:spacing w:val="-2"/>
                <w:sz w:val="15"/>
              </w:rPr>
              <w:t>Total</w:t>
            </w:r>
          </w:p>
        </w:tc>
        <w:tc>
          <w:tcPr>
            <w:tcW w:w="917" w:type="dxa"/>
            <w:tcBorders>
              <w:top w:val="single" w:sz="6" w:space="0" w:color="000000"/>
              <w:bottom w:val="single" w:sz="6" w:space="0" w:color="000000"/>
            </w:tcBorders>
          </w:tcPr>
          <w:p>
            <w:pPr>
              <w:pStyle w:val="TableParagraph"/>
              <w:spacing w:line="169" w:lineRule="exact"/>
              <w:ind w:left="286"/>
              <w:rPr>
                <w:b/>
                <w:sz w:val="15"/>
              </w:rPr>
            </w:pPr>
            <w:r>
              <w:rPr>
                <w:b/>
                <w:sz w:val="15"/>
              </w:rPr>
              <w:t>(Level</w:t>
            </w:r>
            <w:r>
              <w:rPr>
                <w:b/>
                <w:spacing w:val="-3"/>
                <w:sz w:val="15"/>
              </w:rPr>
              <w:t> </w:t>
            </w:r>
            <w:r>
              <w:rPr>
                <w:b/>
                <w:spacing w:val="-5"/>
                <w:sz w:val="15"/>
              </w:rPr>
              <w:t>1)</w:t>
            </w:r>
          </w:p>
        </w:tc>
        <w:tc>
          <w:tcPr>
            <w:tcW w:w="930" w:type="dxa"/>
            <w:tcBorders>
              <w:top w:val="single" w:sz="6" w:space="0" w:color="000000"/>
              <w:bottom w:val="single" w:sz="6" w:space="0" w:color="000000"/>
            </w:tcBorders>
          </w:tcPr>
          <w:p>
            <w:pPr>
              <w:pStyle w:val="TableParagraph"/>
              <w:spacing w:line="169" w:lineRule="exact"/>
              <w:ind w:left="228"/>
              <w:jc w:val="center"/>
              <w:rPr>
                <w:b/>
                <w:sz w:val="15"/>
              </w:rPr>
            </w:pPr>
            <w:r>
              <w:rPr>
                <w:b/>
                <w:sz w:val="15"/>
              </w:rPr>
              <w:t>(Level</w:t>
            </w:r>
            <w:r>
              <w:rPr>
                <w:b/>
                <w:spacing w:val="-3"/>
                <w:sz w:val="15"/>
              </w:rPr>
              <w:t> </w:t>
            </w:r>
            <w:r>
              <w:rPr>
                <w:b/>
                <w:spacing w:val="-5"/>
                <w:sz w:val="15"/>
              </w:rPr>
              <w:t>2)</w:t>
            </w:r>
          </w:p>
        </w:tc>
        <w:tc>
          <w:tcPr>
            <w:tcW w:w="930" w:type="dxa"/>
            <w:tcBorders>
              <w:top w:val="single" w:sz="6" w:space="0" w:color="000000"/>
              <w:bottom w:val="single" w:sz="6" w:space="0" w:color="000000"/>
            </w:tcBorders>
          </w:tcPr>
          <w:p>
            <w:pPr>
              <w:pStyle w:val="TableParagraph"/>
              <w:spacing w:line="169" w:lineRule="exact"/>
              <w:ind w:left="293"/>
              <w:rPr>
                <w:b/>
                <w:sz w:val="15"/>
              </w:rPr>
            </w:pPr>
            <w:r>
              <w:rPr>
                <w:b/>
                <w:sz w:val="15"/>
              </w:rPr>
              <w:t>(Level</w:t>
            </w:r>
            <w:r>
              <w:rPr>
                <w:b/>
                <w:spacing w:val="-3"/>
                <w:sz w:val="15"/>
              </w:rPr>
              <w:t> </w:t>
            </w:r>
            <w:r>
              <w:rPr>
                <w:b/>
                <w:spacing w:val="-5"/>
                <w:sz w:val="15"/>
              </w:rPr>
              <w:t>3)</w:t>
            </w:r>
          </w:p>
        </w:tc>
        <w:tc>
          <w:tcPr>
            <w:tcW w:w="917" w:type="dxa"/>
            <w:tcBorders>
              <w:top w:val="single" w:sz="6" w:space="0" w:color="000000"/>
              <w:bottom w:val="single" w:sz="6" w:space="0" w:color="000000"/>
            </w:tcBorders>
          </w:tcPr>
          <w:p>
            <w:pPr>
              <w:pStyle w:val="TableParagraph"/>
              <w:spacing w:line="169" w:lineRule="exact"/>
              <w:ind w:left="411"/>
              <w:rPr>
                <w:sz w:val="15"/>
              </w:rPr>
            </w:pPr>
            <w:r>
              <w:rPr>
                <w:spacing w:val="-4"/>
                <w:sz w:val="15"/>
              </w:rPr>
              <w:t>Total</w:t>
            </w:r>
          </w:p>
        </w:tc>
        <w:tc>
          <w:tcPr>
            <w:tcW w:w="917" w:type="dxa"/>
            <w:tcBorders>
              <w:top w:val="single" w:sz="6" w:space="0" w:color="000000"/>
              <w:bottom w:val="single" w:sz="6" w:space="0" w:color="000000"/>
            </w:tcBorders>
          </w:tcPr>
          <w:p>
            <w:pPr>
              <w:pStyle w:val="TableParagraph"/>
              <w:spacing w:line="169" w:lineRule="exact"/>
              <w:ind w:left="290"/>
              <w:rPr>
                <w:sz w:val="15"/>
              </w:rPr>
            </w:pPr>
            <w:r>
              <w:rPr>
                <w:sz w:val="15"/>
              </w:rPr>
              <w:t>(Level</w:t>
            </w:r>
            <w:r>
              <w:rPr>
                <w:spacing w:val="-2"/>
                <w:sz w:val="15"/>
              </w:rPr>
              <w:t> </w:t>
            </w:r>
            <w:r>
              <w:rPr>
                <w:spacing w:val="-5"/>
                <w:sz w:val="15"/>
              </w:rPr>
              <w:t>1)</w:t>
            </w:r>
          </w:p>
        </w:tc>
        <w:tc>
          <w:tcPr>
            <w:tcW w:w="930" w:type="dxa"/>
            <w:tcBorders>
              <w:top w:val="single" w:sz="6" w:space="0" w:color="000000"/>
              <w:bottom w:val="single" w:sz="6" w:space="0" w:color="000000"/>
            </w:tcBorders>
          </w:tcPr>
          <w:p>
            <w:pPr>
              <w:pStyle w:val="TableParagraph"/>
              <w:spacing w:line="169" w:lineRule="exact"/>
              <w:ind w:left="297"/>
              <w:rPr>
                <w:sz w:val="15"/>
              </w:rPr>
            </w:pPr>
            <w:r>
              <w:rPr>
                <w:sz w:val="15"/>
              </w:rPr>
              <w:t>(Level</w:t>
            </w:r>
            <w:r>
              <w:rPr>
                <w:spacing w:val="-2"/>
                <w:sz w:val="15"/>
              </w:rPr>
              <w:t> </w:t>
            </w:r>
            <w:r>
              <w:rPr>
                <w:spacing w:val="-5"/>
                <w:sz w:val="15"/>
              </w:rPr>
              <w:t>2)</w:t>
            </w:r>
          </w:p>
        </w:tc>
        <w:tc>
          <w:tcPr>
            <w:tcW w:w="1045" w:type="dxa"/>
            <w:tcBorders>
              <w:top w:val="single" w:sz="6" w:space="0" w:color="000000"/>
              <w:bottom w:val="single" w:sz="6" w:space="0" w:color="000000"/>
            </w:tcBorders>
          </w:tcPr>
          <w:p>
            <w:pPr>
              <w:pStyle w:val="TableParagraph"/>
              <w:spacing w:line="169" w:lineRule="exact"/>
              <w:ind w:right="182"/>
              <w:jc w:val="right"/>
              <w:rPr>
                <w:sz w:val="15"/>
              </w:rPr>
            </w:pPr>
            <w:r>
              <w:rPr>
                <w:sz w:val="15"/>
              </w:rPr>
              <w:t>(Level</w:t>
            </w:r>
            <w:r>
              <w:rPr>
                <w:spacing w:val="-2"/>
                <w:sz w:val="15"/>
              </w:rPr>
              <w:t> </w:t>
            </w:r>
            <w:r>
              <w:rPr>
                <w:spacing w:val="-5"/>
                <w:sz w:val="15"/>
              </w:rPr>
              <w:t>3)</w:t>
            </w:r>
          </w:p>
        </w:tc>
      </w:tr>
      <w:tr>
        <w:trPr>
          <w:trHeight w:val="189" w:hRule="atLeast"/>
        </w:trPr>
        <w:tc>
          <w:tcPr>
            <w:tcW w:w="4242" w:type="dxa"/>
            <w:tcBorders>
              <w:top w:val="single" w:sz="6" w:space="0" w:color="000000"/>
            </w:tcBorders>
            <w:shd w:val="clear" w:color="auto" w:fill="CCEDFF"/>
          </w:tcPr>
          <w:p>
            <w:pPr>
              <w:pStyle w:val="TableParagraph"/>
              <w:spacing w:line="170" w:lineRule="exact"/>
              <w:rPr>
                <w:sz w:val="15"/>
              </w:rPr>
            </w:pPr>
            <w:r>
              <w:rPr>
                <w:sz w:val="15"/>
              </w:rPr>
              <w:t>Fixed</w:t>
            </w:r>
            <w:r>
              <w:rPr>
                <w:spacing w:val="3"/>
                <w:sz w:val="15"/>
              </w:rPr>
              <w:t> </w:t>
            </w:r>
            <w:r>
              <w:rPr>
                <w:spacing w:val="-2"/>
                <w:sz w:val="15"/>
              </w:rPr>
              <w:t>income:</w:t>
            </w:r>
          </w:p>
        </w:tc>
        <w:tc>
          <w:tcPr>
            <w:tcW w:w="688" w:type="dxa"/>
            <w:tcBorders>
              <w:top w:val="single" w:sz="6" w:space="0" w:color="000000"/>
            </w:tcBorders>
            <w:shd w:val="clear" w:color="auto" w:fill="CCEDFF"/>
          </w:tcPr>
          <w:p>
            <w:pPr>
              <w:pStyle w:val="TableParagraph"/>
              <w:rPr>
                <w:sz w:val="12"/>
              </w:rPr>
            </w:pPr>
          </w:p>
        </w:tc>
        <w:tc>
          <w:tcPr>
            <w:tcW w:w="917" w:type="dxa"/>
            <w:tcBorders>
              <w:top w:val="single" w:sz="6" w:space="0" w:color="000000"/>
            </w:tcBorders>
            <w:shd w:val="clear" w:color="auto" w:fill="CCEDFF"/>
          </w:tcPr>
          <w:p>
            <w:pPr>
              <w:pStyle w:val="TableParagraph"/>
              <w:rPr>
                <w:sz w:val="12"/>
              </w:rPr>
            </w:pPr>
          </w:p>
        </w:tc>
        <w:tc>
          <w:tcPr>
            <w:tcW w:w="930" w:type="dxa"/>
            <w:tcBorders>
              <w:top w:val="single" w:sz="6" w:space="0" w:color="000000"/>
            </w:tcBorders>
            <w:shd w:val="clear" w:color="auto" w:fill="CCEDFF"/>
          </w:tcPr>
          <w:p>
            <w:pPr>
              <w:pStyle w:val="TableParagraph"/>
              <w:rPr>
                <w:sz w:val="12"/>
              </w:rPr>
            </w:pPr>
          </w:p>
        </w:tc>
        <w:tc>
          <w:tcPr>
            <w:tcW w:w="930" w:type="dxa"/>
            <w:tcBorders>
              <w:top w:val="single" w:sz="6" w:space="0" w:color="000000"/>
            </w:tcBorders>
            <w:shd w:val="clear" w:color="auto" w:fill="CCEDFF"/>
          </w:tcPr>
          <w:p>
            <w:pPr>
              <w:pStyle w:val="TableParagraph"/>
              <w:rPr>
                <w:sz w:val="12"/>
              </w:rPr>
            </w:pPr>
          </w:p>
        </w:tc>
        <w:tc>
          <w:tcPr>
            <w:tcW w:w="917" w:type="dxa"/>
            <w:tcBorders>
              <w:top w:val="single" w:sz="6" w:space="0" w:color="000000"/>
            </w:tcBorders>
            <w:shd w:val="clear" w:color="auto" w:fill="CCEDFF"/>
          </w:tcPr>
          <w:p>
            <w:pPr>
              <w:pStyle w:val="TableParagraph"/>
              <w:rPr>
                <w:sz w:val="12"/>
              </w:rPr>
            </w:pPr>
          </w:p>
        </w:tc>
        <w:tc>
          <w:tcPr>
            <w:tcW w:w="917" w:type="dxa"/>
            <w:tcBorders>
              <w:top w:val="single" w:sz="6" w:space="0" w:color="000000"/>
            </w:tcBorders>
            <w:shd w:val="clear" w:color="auto" w:fill="CCEDFF"/>
          </w:tcPr>
          <w:p>
            <w:pPr>
              <w:pStyle w:val="TableParagraph"/>
              <w:rPr>
                <w:sz w:val="12"/>
              </w:rPr>
            </w:pPr>
          </w:p>
        </w:tc>
        <w:tc>
          <w:tcPr>
            <w:tcW w:w="930" w:type="dxa"/>
            <w:tcBorders>
              <w:top w:val="single" w:sz="6" w:space="0" w:color="000000"/>
            </w:tcBorders>
            <w:shd w:val="clear" w:color="auto" w:fill="CCEDFF"/>
          </w:tcPr>
          <w:p>
            <w:pPr>
              <w:pStyle w:val="TableParagraph"/>
              <w:rPr>
                <w:sz w:val="12"/>
              </w:rPr>
            </w:pPr>
          </w:p>
        </w:tc>
        <w:tc>
          <w:tcPr>
            <w:tcW w:w="1045" w:type="dxa"/>
            <w:tcBorders>
              <w:top w:val="single" w:sz="6" w:space="0" w:color="000000"/>
            </w:tcBorders>
            <w:shd w:val="clear" w:color="auto" w:fill="CCEDFF"/>
          </w:tcPr>
          <w:p>
            <w:pPr>
              <w:pStyle w:val="TableParagraph"/>
              <w:rPr>
                <w:sz w:val="12"/>
              </w:rPr>
            </w:pPr>
          </w:p>
        </w:tc>
      </w:tr>
      <w:tr>
        <w:trPr>
          <w:trHeight w:val="191" w:hRule="atLeast"/>
        </w:trPr>
        <w:tc>
          <w:tcPr>
            <w:tcW w:w="4242" w:type="dxa"/>
          </w:tcPr>
          <w:p>
            <w:pPr>
              <w:pStyle w:val="TableParagraph"/>
              <w:spacing w:line="171" w:lineRule="exact"/>
              <w:ind w:left="152"/>
              <w:rPr>
                <w:sz w:val="15"/>
              </w:rPr>
            </w:pPr>
            <w:r>
              <w:rPr>
                <w:sz w:val="15"/>
              </w:rPr>
              <w:t>International</w:t>
            </w:r>
            <w:r>
              <w:rPr>
                <w:spacing w:val="5"/>
                <w:sz w:val="15"/>
              </w:rPr>
              <w:t> </w:t>
            </w:r>
            <w:r>
              <w:rPr>
                <w:sz w:val="15"/>
              </w:rPr>
              <w:t>fixed</w:t>
            </w:r>
            <w:r>
              <w:rPr>
                <w:spacing w:val="5"/>
                <w:sz w:val="15"/>
              </w:rPr>
              <w:t> </w:t>
            </w:r>
            <w:r>
              <w:rPr>
                <w:spacing w:val="-2"/>
                <w:sz w:val="15"/>
              </w:rPr>
              <w:t>income</w:t>
            </w:r>
          </w:p>
        </w:tc>
        <w:tc>
          <w:tcPr>
            <w:tcW w:w="688" w:type="dxa"/>
          </w:tcPr>
          <w:p>
            <w:pPr>
              <w:pStyle w:val="TableParagraph"/>
              <w:tabs>
                <w:tab w:pos="458" w:val="left" w:leader="none"/>
              </w:tabs>
              <w:spacing w:line="171" w:lineRule="exact"/>
              <w:ind w:left="-1"/>
              <w:jc w:val="right"/>
              <w:rPr>
                <w:b/>
                <w:sz w:val="15"/>
              </w:rPr>
            </w:pPr>
            <w:r>
              <w:rPr>
                <w:b/>
                <w:spacing w:val="-10"/>
                <w:sz w:val="15"/>
              </w:rPr>
              <w:t>$</w:t>
            </w:r>
            <w:r>
              <w:rPr>
                <w:b/>
                <w:sz w:val="15"/>
              </w:rPr>
              <w:tab/>
            </w:r>
            <w:r>
              <w:rPr>
                <w:b/>
                <w:spacing w:val="-5"/>
                <w:sz w:val="15"/>
              </w:rPr>
              <w:t>500</w:t>
            </w:r>
          </w:p>
        </w:tc>
        <w:tc>
          <w:tcPr>
            <w:tcW w:w="917" w:type="dxa"/>
          </w:tcPr>
          <w:p>
            <w:pPr>
              <w:pStyle w:val="TableParagraph"/>
              <w:tabs>
                <w:tab w:pos="458" w:val="left" w:leader="none"/>
              </w:tabs>
              <w:spacing w:line="171" w:lineRule="exact"/>
              <w:jc w:val="right"/>
              <w:rPr>
                <w:b/>
                <w:sz w:val="15"/>
              </w:rPr>
            </w:pPr>
            <w:r>
              <w:rPr>
                <w:b/>
                <w:spacing w:val="-10"/>
                <w:sz w:val="15"/>
              </w:rPr>
              <w:t>$</w:t>
            </w:r>
            <w:r>
              <w:rPr>
                <w:b/>
                <w:sz w:val="15"/>
              </w:rPr>
              <w:tab/>
            </w:r>
            <w:r>
              <w:rPr>
                <w:b/>
                <w:spacing w:val="-5"/>
                <w:sz w:val="15"/>
              </w:rPr>
              <w:t>416</w:t>
            </w:r>
          </w:p>
        </w:tc>
        <w:tc>
          <w:tcPr>
            <w:tcW w:w="930" w:type="dxa"/>
          </w:tcPr>
          <w:p>
            <w:pPr>
              <w:pStyle w:val="TableParagraph"/>
              <w:tabs>
                <w:tab w:pos="776" w:val="left" w:leader="none"/>
              </w:tabs>
              <w:spacing w:line="171" w:lineRule="exact"/>
              <w:ind w:left="229"/>
              <w:jc w:val="center"/>
              <w:rPr>
                <w:b/>
                <w:sz w:val="15"/>
              </w:rPr>
            </w:pPr>
            <w:r>
              <w:rPr>
                <w:b/>
                <w:spacing w:val="-10"/>
                <w:sz w:val="15"/>
              </w:rPr>
              <w:t>$</w:t>
            </w:r>
            <w:r>
              <w:rPr>
                <w:b/>
                <w:sz w:val="15"/>
              </w:rPr>
              <w:tab/>
            </w:r>
            <w:r>
              <w:rPr>
                <w:b/>
                <w:spacing w:val="-5"/>
                <w:sz w:val="15"/>
              </w:rPr>
              <w:t>84</w:t>
            </w:r>
          </w:p>
        </w:tc>
        <w:tc>
          <w:tcPr>
            <w:tcW w:w="930" w:type="dxa"/>
          </w:tcPr>
          <w:p>
            <w:pPr>
              <w:pStyle w:val="TableParagraph"/>
              <w:rPr>
                <w:sz w:val="12"/>
              </w:rPr>
            </w:pPr>
          </w:p>
        </w:tc>
        <w:tc>
          <w:tcPr>
            <w:tcW w:w="917" w:type="dxa"/>
          </w:tcPr>
          <w:p>
            <w:pPr>
              <w:pStyle w:val="TableParagraph"/>
              <w:tabs>
                <w:tab w:pos="458" w:val="left" w:leader="none"/>
              </w:tabs>
              <w:spacing w:line="171" w:lineRule="exact"/>
              <w:jc w:val="right"/>
              <w:rPr>
                <w:sz w:val="15"/>
              </w:rPr>
            </w:pPr>
            <w:r>
              <w:rPr>
                <w:spacing w:val="-10"/>
                <w:sz w:val="15"/>
              </w:rPr>
              <w:t>$</w:t>
            </w:r>
            <w:r>
              <w:rPr>
                <w:sz w:val="15"/>
              </w:rPr>
              <w:tab/>
            </w:r>
            <w:r>
              <w:rPr>
                <w:spacing w:val="-5"/>
                <w:sz w:val="15"/>
              </w:rPr>
              <w:t>519</w:t>
            </w:r>
          </w:p>
        </w:tc>
        <w:tc>
          <w:tcPr>
            <w:tcW w:w="917" w:type="dxa"/>
          </w:tcPr>
          <w:p>
            <w:pPr>
              <w:pStyle w:val="TableParagraph"/>
              <w:tabs>
                <w:tab w:pos="458" w:val="left" w:leader="none"/>
              </w:tabs>
              <w:spacing w:line="171" w:lineRule="exact"/>
              <w:ind w:right="-15"/>
              <w:jc w:val="right"/>
              <w:rPr>
                <w:sz w:val="15"/>
              </w:rPr>
            </w:pPr>
            <w:r>
              <w:rPr>
                <w:spacing w:val="-10"/>
                <w:sz w:val="15"/>
              </w:rPr>
              <w:t>$</w:t>
            </w:r>
            <w:r>
              <w:rPr>
                <w:sz w:val="15"/>
              </w:rPr>
              <w:tab/>
            </w:r>
            <w:r>
              <w:rPr>
                <w:spacing w:val="-5"/>
                <w:sz w:val="15"/>
              </w:rPr>
              <w:t>426</w:t>
            </w:r>
          </w:p>
        </w:tc>
        <w:tc>
          <w:tcPr>
            <w:tcW w:w="930" w:type="dxa"/>
          </w:tcPr>
          <w:p>
            <w:pPr>
              <w:pStyle w:val="TableParagraph"/>
              <w:tabs>
                <w:tab w:pos="777" w:val="left" w:leader="none"/>
              </w:tabs>
              <w:spacing w:line="171" w:lineRule="exact"/>
              <w:ind w:left="229"/>
              <w:rPr>
                <w:sz w:val="15"/>
              </w:rPr>
            </w:pPr>
            <w:r>
              <w:rPr>
                <w:spacing w:val="-10"/>
                <w:sz w:val="15"/>
              </w:rPr>
              <w:t>$</w:t>
            </w:r>
            <w:r>
              <w:rPr>
                <w:sz w:val="15"/>
              </w:rPr>
              <w:tab/>
            </w:r>
            <w:r>
              <w:rPr>
                <w:spacing w:val="-5"/>
                <w:sz w:val="15"/>
              </w:rPr>
              <w:t>93</w:t>
            </w:r>
          </w:p>
        </w:tc>
        <w:tc>
          <w:tcPr>
            <w:tcW w:w="1045" w:type="dxa"/>
          </w:tcPr>
          <w:p>
            <w:pPr>
              <w:pStyle w:val="TableParagraph"/>
              <w:rPr>
                <w:sz w:val="12"/>
              </w:rPr>
            </w:pPr>
          </w:p>
        </w:tc>
      </w:tr>
      <w:tr>
        <w:trPr>
          <w:trHeight w:val="191" w:hRule="atLeast"/>
        </w:trPr>
        <w:tc>
          <w:tcPr>
            <w:tcW w:w="4242" w:type="dxa"/>
            <w:shd w:val="clear" w:color="auto" w:fill="CCEDFF"/>
          </w:tcPr>
          <w:p>
            <w:pPr>
              <w:pStyle w:val="TableParagraph"/>
              <w:spacing w:line="171" w:lineRule="exact"/>
              <w:ind w:left="152"/>
              <w:rPr>
                <w:sz w:val="15"/>
              </w:rPr>
            </w:pPr>
            <w:r>
              <w:rPr>
                <w:sz w:val="15"/>
              </w:rPr>
              <w:t>Insurance</w:t>
            </w:r>
            <w:r>
              <w:rPr>
                <w:spacing w:val="5"/>
                <w:sz w:val="15"/>
              </w:rPr>
              <w:t> </w:t>
            </w:r>
            <w:r>
              <w:rPr>
                <w:spacing w:val="-2"/>
                <w:sz w:val="15"/>
              </w:rPr>
              <w:t>contracts</w:t>
            </w:r>
          </w:p>
        </w:tc>
        <w:tc>
          <w:tcPr>
            <w:tcW w:w="688" w:type="dxa"/>
            <w:shd w:val="clear" w:color="auto" w:fill="CCEDFF"/>
          </w:tcPr>
          <w:p>
            <w:pPr>
              <w:pStyle w:val="TableParagraph"/>
              <w:spacing w:line="171" w:lineRule="exact"/>
              <w:ind w:left="-1"/>
              <w:jc w:val="right"/>
              <w:rPr>
                <w:b/>
                <w:sz w:val="15"/>
              </w:rPr>
            </w:pPr>
            <w:r>
              <w:rPr>
                <w:b/>
                <w:spacing w:val="-10"/>
                <w:sz w:val="15"/>
              </w:rPr>
              <w:t>2</w:t>
            </w:r>
          </w:p>
        </w:tc>
        <w:tc>
          <w:tcPr>
            <w:tcW w:w="917" w:type="dxa"/>
            <w:shd w:val="clear" w:color="auto" w:fill="CCEDFF"/>
          </w:tcPr>
          <w:p>
            <w:pPr>
              <w:pStyle w:val="TableParagraph"/>
              <w:rPr>
                <w:sz w:val="12"/>
              </w:rPr>
            </w:pPr>
          </w:p>
        </w:tc>
        <w:tc>
          <w:tcPr>
            <w:tcW w:w="930" w:type="dxa"/>
            <w:shd w:val="clear" w:color="auto" w:fill="CCEDFF"/>
          </w:tcPr>
          <w:p>
            <w:pPr>
              <w:pStyle w:val="TableParagraph"/>
              <w:rPr>
                <w:sz w:val="12"/>
              </w:rPr>
            </w:pPr>
          </w:p>
        </w:tc>
        <w:tc>
          <w:tcPr>
            <w:tcW w:w="930" w:type="dxa"/>
            <w:shd w:val="clear" w:color="auto" w:fill="CCEDFF"/>
          </w:tcPr>
          <w:p>
            <w:pPr>
              <w:pStyle w:val="TableParagraph"/>
              <w:tabs>
                <w:tab w:pos="624" w:val="left" w:leader="none"/>
              </w:tabs>
              <w:spacing w:line="171" w:lineRule="exact"/>
              <w:jc w:val="right"/>
              <w:rPr>
                <w:b/>
                <w:sz w:val="15"/>
              </w:rPr>
            </w:pPr>
            <w:r>
              <w:rPr>
                <w:b/>
                <w:spacing w:val="-10"/>
                <w:sz w:val="15"/>
              </w:rPr>
              <w:t>$</w:t>
            </w:r>
            <w:r>
              <w:rPr>
                <w:b/>
                <w:sz w:val="15"/>
              </w:rPr>
              <w:tab/>
            </w:r>
            <w:r>
              <w:rPr>
                <w:b/>
                <w:spacing w:val="-10"/>
                <w:sz w:val="15"/>
              </w:rPr>
              <w:t>2</w:t>
            </w:r>
          </w:p>
        </w:tc>
        <w:tc>
          <w:tcPr>
            <w:tcW w:w="917" w:type="dxa"/>
            <w:shd w:val="clear" w:color="auto" w:fill="CCEDFF"/>
          </w:tcPr>
          <w:p>
            <w:pPr>
              <w:pStyle w:val="TableParagraph"/>
              <w:spacing w:line="171" w:lineRule="exact"/>
              <w:jc w:val="right"/>
              <w:rPr>
                <w:sz w:val="15"/>
              </w:rPr>
            </w:pPr>
            <w:r>
              <w:rPr>
                <w:spacing w:val="-10"/>
                <w:sz w:val="15"/>
              </w:rPr>
              <w:t>3</w:t>
            </w:r>
          </w:p>
        </w:tc>
        <w:tc>
          <w:tcPr>
            <w:tcW w:w="917" w:type="dxa"/>
            <w:shd w:val="clear" w:color="auto" w:fill="CCEDFF"/>
          </w:tcPr>
          <w:p>
            <w:pPr>
              <w:pStyle w:val="TableParagraph"/>
              <w:rPr>
                <w:sz w:val="12"/>
              </w:rPr>
            </w:pPr>
          </w:p>
        </w:tc>
        <w:tc>
          <w:tcPr>
            <w:tcW w:w="930" w:type="dxa"/>
            <w:shd w:val="clear" w:color="auto" w:fill="CCEDFF"/>
          </w:tcPr>
          <w:p>
            <w:pPr>
              <w:pStyle w:val="TableParagraph"/>
              <w:rPr>
                <w:sz w:val="12"/>
              </w:rPr>
            </w:pPr>
          </w:p>
        </w:tc>
        <w:tc>
          <w:tcPr>
            <w:tcW w:w="1045" w:type="dxa"/>
            <w:shd w:val="clear" w:color="auto" w:fill="CCEDFF"/>
          </w:tcPr>
          <w:p>
            <w:pPr>
              <w:pStyle w:val="TableParagraph"/>
              <w:tabs>
                <w:tab w:pos="624" w:val="left" w:leader="none"/>
              </w:tabs>
              <w:spacing w:line="171" w:lineRule="exact"/>
              <w:ind w:right="113"/>
              <w:jc w:val="right"/>
              <w:rPr>
                <w:sz w:val="15"/>
              </w:rPr>
            </w:pPr>
            <w:r>
              <w:rPr>
                <w:spacing w:val="-10"/>
                <w:sz w:val="15"/>
              </w:rPr>
              <w:t>$</w:t>
            </w:r>
            <w:r>
              <w:rPr>
                <w:sz w:val="15"/>
              </w:rPr>
              <w:tab/>
            </w:r>
            <w:r>
              <w:rPr>
                <w:spacing w:val="-10"/>
                <w:sz w:val="15"/>
              </w:rPr>
              <w:t>3</w:t>
            </w:r>
          </w:p>
        </w:tc>
      </w:tr>
      <w:tr>
        <w:trPr>
          <w:trHeight w:val="191" w:hRule="atLeast"/>
        </w:trPr>
        <w:tc>
          <w:tcPr>
            <w:tcW w:w="4242" w:type="dxa"/>
          </w:tcPr>
          <w:p>
            <w:pPr>
              <w:pStyle w:val="TableParagraph"/>
              <w:spacing w:line="171" w:lineRule="exact"/>
              <w:ind w:left="152"/>
              <w:rPr>
                <w:sz w:val="15"/>
              </w:rPr>
            </w:pPr>
            <w:r>
              <w:rPr>
                <w:spacing w:val="-2"/>
                <w:sz w:val="15"/>
              </w:rPr>
              <w:t>Mortgages</w:t>
            </w:r>
          </w:p>
        </w:tc>
        <w:tc>
          <w:tcPr>
            <w:tcW w:w="688" w:type="dxa"/>
          </w:tcPr>
          <w:p>
            <w:pPr>
              <w:pStyle w:val="TableParagraph"/>
              <w:spacing w:line="171" w:lineRule="exact"/>
              <w:ind w:left="-1"/>
              <w:jc w:val="right"/>
              <w:rPr>
                <w:b/>
                <w:sz w:val="15"/>
              </w:rPr>
            </w:pPr>
            <w:r>
              <w:rPr>
                <w:b/>
                <w:spacing w:val="-5"/>
                <w:sz w:val="15"/>
              </w:rPr>
              <w:t>22</w:t>
            </w:r>
          </w:p>
        </w:tc>
        <w:tc>
          <w:tcPr>
            <w:tcW w:w="917" w:type="dxa"/>
          </w:tcPr>
          <w:p>
            <w:pPr>
              <w:pStyle w:val="TableParagraph"/>
              <w:rPr>
                <w:sz w:val="12"/>
              </w:rPr>
            </w:pPr>
          </w:p>
        </w:tc>
        <w:tc>
          <w:tcPr>
            <w:tcW w:w="930" w:type="dxa"/>
          </w:tcPr>
          <w:p>
            <w:pPr>
              <w:pStyle w:val="TableParagraph"/>
              <w:rPr>
                <w:sz w:val="12"/>
              </w:rPr>
            </w:pPr>
          </w:p>
        </w:tc>
        <w:tc>
          <w:tcPr>
            <w:tcW w:w="930" w:type="dxa"/>
          </w:tcPr>
          <w:p>
            <w:pPr>
              <w:pStyle w:val="TableParagraph"/>
              <w:spacing w:line="171" w:lineRule="exact"/>
              <w:jc w:val="right"/>
              <w:rPr>
                <w:b/>
                <w:sz w:val="15"/>
              </w:rPr>
            </w:pPr>
            <w:r>
              <w:rPr>
                <w:b/>
                <w:spacing w:val="-5"/>
                <w:sz w:val="15"/>
              </w:rPr>
              <w:t>22</w:t>
            </w:r>
          </w:p>
        </w:tc>
        <w:tc>
          <w:tcPr>
            <w:tcW w:w="917" w:type="dxa"/>
          </w:tcPr>
          <w:p>
            <w:pPr>
              <w:pStyle w:val="TableParagraph"/>
              <w:spacing w:line="171" w:lineRule="exact"/>
              <w:jc w:val="right"/>
              <w:rPr>
                <w:sz w:val="15"/>
              </w:rPr>
            </w:pPr>
            <w:r>
              <w:rPr>
                <w:spacing w:val="-5"/>
                <w:sz w:val="15"/>
              </w:rPr>
              <w:t>20</w:t>
            </w:r>
          </w:p>
        </w:tc>
        <w:tc>
          <w:tcPr>
            <w:tcW w:w="917" w:type="dxa"/>
          </w:tcPr>
          <w:p>
            <w:pPr>
              <w:pStyle w:val="TableParagraph"/>
              <w:rPr>
                <w:sz w:val="12"/>
              </w:rPr>
            </w:pPr>
          </w:p>
        </w:tc>
        <w:tc>
          <w:tcPr>
            <w:tcW w:w="930" w:type="dxa"/>
          </w:tcPr>
          <w:p>
            <w:pPr>
              <w:pStyle w:val="TableParagraph"/>
              <w:rPr>
                <w:sz w:val="12"/>
              </w:rPr>
            </w:pPr>
          </w:p>
        </w:tc>
        <w:tc>
          <w:tcPr>
            <w:tcW w:w="1045" w:type="dxa"/>
          </w:tcPr>
          <w:p>
            <w:pPr>
              <w:pStyle w:val="TableParagraph"/>
              <w:spacing w:line="171" w:lineRule="exact"/>
              <w:ind w:right="113"/>
              <w:jc w:val="right"/>
              <w:rPr>
                <w:sz w:val="15"/>
              </w:rPr>
            </w:pPr>
            <w:r>
              <w:rPr>
                <w:spacing w:val="-5"/>
                <w:sz w:val="15"/>
              </w:rPr>
              <w:t>20</w:t>
            </w:r>
          </w:p>
        </w:tc>
      </w:tr>
      <w:tr>
        <w:trPr>
          <w:trHeight w:val="189" w:hRule="atLeast"/>
        </w:trPr>
        <w:tc>
          <w:tcPr>
            <w:tcW w:w="4242" w:type="dxa"/>
            <w:tcBorders>
              <w:bottom w:val="single" w:sz="6" w:space="0" w:color="000000"/>
            </w:tcBorders>
            <w:shd w:val="clear" w:color="auto" w:fill="CCEDFF"/>
          </w:tcPr>
          <w:p>
            <w:pPr>
              <w:pStyle w:val="TableParagraph"/>
              <w:spacing w:line="170" w:lineRule="exact"/>
              <w:ind w:left="152"/>
              <w:rPr>
                <w:sz w:val="15"/>
              </w:rPr>
            </w:pPr>
            <w:r>
              <w:rPr>
                <w:sz w:val="15"/>
              </w:rPr>
              <w:t>Cash</w:t>
            </w:r>
            <w:r>
              <w:rPr>
                <w:spacing w:val="3"/>
                <w:sz w:val="15"/>
              </w:rPr>
              <w:t> </w:t>
            </w:r>
            <w:r>
              <w:rPr>
                <w:spacing w:val="-2"/>
                <w:sz w:val="15"/>
              </w:rPr>
              <w:t>equivalents</w:t>
            </w:r>
          </w:p>
        </w:tc>
        <w:tc>
          <w:tcPr>
            <w:tcW w:w="688" w:type="dxa"/>
            <w:tcBorders>
              <w:bottom w:val="single" w:sz="6" w:space="0" w:color="000000"/>
            </w:tcBorders>
            <w:shd w:val="clear" w:color="auto" w:fill="CCEDFF"/>
          </w:tcPr>
          <w:p>
            <w:pPr>
              <w:pStyle w:val="TableParagraph"/>
              <w:spacing w:line="170" w:lineRule="exact"/>
              <w:ind w:left="-1"/>
              <w:jc w:val="right"/>
              <w:rPr>
                <w:b/>
                <w:sz w:val="15"/>
              </w:rPr>
            </w:pPr>
            <w:r>
              <w:rPr>
                <w:b/>
                <w:spacing w:val="-5"/>
                <w:sz w:val="15"/>
              </w:rPr>
              <w:t>60</w:t>
            </w:r>
          </w:p>
        </w:tc>
        <w:tc>
          <w:tcPr>
            <w:tcW w:w="917" w:type="dxa"/>
          </w:tcPr>
          <w:p>
            <w:pPr>
              <w:pStyle w:val="TableParagraph"/>
              <w:spacing w:line="170" w:lineRule="exact"/>
              <w:jc w:val="right"/>
              <w:rPr>
                <w:b/>
                <w:sz w:val="15"/>
              </w:rPr>
            </w:pPr>
            <w:r>
              <w:rPr/>
              <mc:AlternateContent>
                <mc:Choice Requires="wps">
                  <w:drawing>
                    <wp:anchor distT="0" distB="0" distL="0" distR="0" allowOverlap="1" layoutInCell="1" locked="0" behindDoc="1" simplePos="0" relativeHeight="474153984">
                      <wp:simplePos x="0" y="0"/>
                      <wp:positionH relativeFrom="column">
                        <wp:posOffset>0</wp:posOffset>
                      </wp:positionH>
                      <wp:positionV relativeFrom="paragraph">
                        <wp:posOffset>-52</wp:posOffset>
                      </wp:positionV>
                      <wp:extent cx="582930" cy="129539"/>
                      <wp:effectExtent l="0" t="0" r="0" b="0"/>
                      <wp:wrapNone/>
                      <wp:docPr id="594" name="Group 594"/>
                      <wp:cNvGraphicFramePr>
                        <a:graphicFrameLocks/>
                      </wp:cNvGraphicFramePr>
                      <a:graphic>
                        <a:graphicData uri="http://schemas.microsoft.com/office/word/2010/wordprocessingGroup">
                          <wpg:wgp>
                            <wpg:cNvPr id="594" name="Group 594"/>
                            <wpg:cNvGrpSpPr/>
                            <wpg:grpSpPr>
                              <a:xfrm>
                                <a:off x="0" y="0"/>
                                <a:ext cx="582930" cy="129539"/>
                                <a:chExt cx="582930" cy="129539"/>
                              </a:xfrm>
                            </wpg:grpSpPr>
                            <pic:pic>
                              <pic:nvPicPr>
                                <pic:cNvPr id="595" name="Image 595"/>
                                <pic:cNvPicPr/>
                              </pic:nvPicPr>
                              <pic:blipFill>
                                <a:blip r:embed="rId98" cstate="print"/>
                                <a:stretch>
                                  <a:fillRect/>
                                </a:stretch>
                              </pic:blipFill>
                              <pic:spPr>
                                <a:xfrm>
                                  <a:off x="0" y="0"/>
                                  <a:ext cx="218399" cy="129422"/>
                                </a:xfrm>
                                <a:prstGeom prst="rect">
                                  <a:avLst/>
                                </a:prstGeom>
                              </pic:spPr>
                            </pic:pic>
                            <wps:wsp>
                              <wps:cNvPr id="596" name="Graphic 596"/>
                              <wps:cNvSpPr/>
                              <wps:spPr>
                                <a:xfrm>
                                  <a:off x="218399" y="0"/>
                                  <a:ext cx="364490" cy="129539"/>
                                </a:xfrm>
                                <a:custGeom>
                                  <a:avLst/>
                                  <a:gdLst/>
                                  <a:ahLst/>
                                  <a:cxnLst/>
                                  <a:rect l="l" t="t" r="r" b="b"/>
                                  <a:pathLst>
                                    <a:path w="364490" h="129539">
                                      <a:moveTo>
                                        <a:pt x="0" y="0"/>
                                      </a:moveTo>
                                      <a:lnTo>
                                        <a:pt x="363999" y="0"/>
                                      </a:lnTo>
                                      <a:lnTo>
                                        <a:pt x="363999" y="129422"/>
                                      </a:lnTo>
                                      <a:lnTo>
                                        <a:pt x="0" y="129422"/>
                                      </a:lnTo>
                                      <a:lnTo>
                                        <a:pt x="0" y="0"/>
                                      </a:lnTo>
                                      <a:close/>
                                    </a:path>
                                  </a:pathLst>
                                </a:custGeom>
                                <a:solidFill>
                                  <a:srgbClr val="CCEDFF"/>
                                </a:solidFill>
                              </wps:spPr>
                              <wps:bodyPr wrap="square" lIns="0" tIns="0" rIns="0" bIns="0" rtlCol="0">
                                <a:prstTxWarp prst="textNoShape">
                                  <a:avLst/>
                                </a:prstTxWarp>
                                <a:noAutofit/>
                              </wps:bodyPr>
                            </wps:wsp>
                            <wps:wsp>
                              <wps:cNvPr id="597" name="Graphic 597"/>
                              <wps:cNvSpPr/>
                              <wps:spPr>
                                <a:xfrm>
                                  <a:off x="218399" y="121333"/>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004161pt;width:45.9pt;height:10.2pt;mso-position-horizontal-relative:column;mso-position-vertical-relative:paragraph;z-index:-29162496" id="docshapegroup593" coordorigin="0,0" coordsize="918,204">
                      <v:shape style="position:absolute;left:0;top:-1;width:344;height:204" type="#_x0000_t75" id="docshape594" stroked="false">
                        <v:imagedata r:id="rId98" o:title=""/>
                      </v:shape>
                      <v:rect style="position:absolute;left:343;top:-1;width:574;height:204" id="docshape595" filled="true" fillcolor="#ccedff" stroked="false">
                        <v:fill type="solid"/>
                      </v:rect>
                      <v:rect style="position:absolute;left:343;top:191;width:574;height:13" id="docshape596" filled="true" fillcolor="#000000" stroked="false">
                        <v:fill type="solid"/>
                      </v:rect>
                      <w10:wrap type="none"/>
                    </v:group>
                  </w:pict>
                </mc:Fallback>
              </mc:AlternateContent>
            </w:r>
            <w:r>
              <w:rPr>
                <w:b/>
                <w:spacing w:val="-5"/>
                <w:sz w:val="15"/>
              </w:rPr>
              <w:t>60</w:t>
            </w:r>
          </w:p>
        </w:tc>
        <w:tc>
          <w:tcPr>
            <w:tcW w:w="930" w:type="dxa"/>
          </w:tcPr>
          <w:p>
            <w:pPr>
              <w:pStyle w:val="TableParagraph"/>
              <w:spacing w:line="203" w:lineRule="exact"/>
              <w:ind w:left="-1" w:right="-58"/>
              <w:rPr>
                <w:sz w:val="20"/>
              </w:rPr>
            </w:pPr>
            <w:r>
              <w:rPr>
                <w:position w:val="-3"/>
                <w:sz w:val="20"/>
              </w:rPr>
              <mc:AlternateContent>
                <mc:Choice Requires="wps">
                  <w:drawing>
                    <wp:inline distT="0" distB="0" distL="0" distR="0">
                      <wp:extent cx="590550" cy="129539"/>
                      <wp:effectExtent l="0" t="0" r="0" b="3810"/>
                      <wp:docPr id="598" name="Group 598"/>
                      <wp:cNvGraphicFramePr>
                        <a:graphicFrameLocks/>
                      </wp:cNvGraphicFramePr>
                      <a:graphic>
                        <a:graphicData uri="http://schemas.microsoft.com/office/word/2010/wordprocessingGroup">
                          <wpg:wgp>
                            <wpg:cNvPr id="598" name="Group 598"/>
                            <wpg:cNvGrpSpPr/>
                            <wpg:grpSpPr>
                              <a:xfrm>
                                <a:off x="0" y="0"/>
                                <a:ext cx="590550" cy="129539"/>
                                <a:chExt cx="590550" cy="129539"/>
                              </a:xfrm>
                            </wpg:grpSpPr>
                            <pic:pic>
                              <pic:nvPicPr>
                                <pic:cNvPr id="599" name="Image 599"/>
                                <pic:cNvPicPr/>
                              </pic:nvPicPr>
                              <pic:blipFill>
                                <a:blip r:embed="rId99" cstate="print"/>
                                <a:stretch>
                                  <a:fillRect/>
                                </a:stretch>
                              </pic:blipFill>
                              <pic:spPr>
                                <a:xfrm>
                                  <a:off x="0" y="0"/>
                                  <a:ext cx="226488" cy="129422"/>
                                </a:xfrm>
                                <a:prstGeom prst="rect">
                                  <a:avLst/>
                                </a:prstGeom>
                              </pic:spPr>
                            </pic:pic>
                            <wps:wsp>
                              <wps:cNvPr id="600" name="Graphic 600"/>
                              <wps:cNvSpPr/>
                              <wps:spPr>
                                <a:xfrm>
                                  <a:off x="226488" y="0"/>
                                  <a:ext cx="364490" cy="129539"/>
                                </a:xfrm>
                                <a:custGeom>
                                  <a:avLst/>
                                  <a:gdLst/>
                                  <a:ahLst/>
                                  <a:cxnLst/>
                                  <a:rect l="l" t="t" r="r" b="b"/>
                                  <a:pathLst>
                                    <a:path w="364490" h="129539">
                                      <a:moveTo>
                                        <a:pt x="0" y="0"/>
                                      </a:moveTo>
                                      <a:lnTo>
                                        <a:pt x="363999" y="0"/>
                                      </a:lnTo>
                                      <a:lnTo>
                                        <a:pt x="363999" y="129422"/>
                                      </a:lnTo>
                                      <a:lnTo>
                                        <a:pt x="0" y="129422"/>
                                      </a:lnTo>
                                      <a:lnTo>
                                        <a:pt x="0" y="0"/>
                                      </a:lnTo>
                                      <a:close/>
                                    </a:path>
                                  </a:pathLst>
                                </a:custGeom>
                                <a:solidFill>
                                  <a:srgbClr val="CCEDFF"/>
                                </a:solidFill>
                              </wps:spPr>
                              <wps:bodyPr wrap="square" lIns="0" tIns="0" rIns="0" bIns="0" rtlCol="0">
                                <a:prstTxWarp prst="textNoShape">
                                  <a:avLst/>
                                </a:prstTxWarp>
                                <a:noAutofit/>
                              </wps:bodyPr>
                            </wps:wsp>
                            <wps:wsp>
                              <wps:cNvPr id="601" name="Graphic 601"/>
                              <wps:cNvSpPr/>
                              <wps:spPr>
                                <a:xfrm>
                                  <a:off x="226488" y="121333"/>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5pt;height:10.2pt;mso-position-horizontal-relative:char;mso-position-vertical-relative:line" id="docshapegroup597" coordorigin="0,0" coordsize="930,204">
                      <v:shape style="position:absolute;left:0;top:0;width:357;height:204" type="#_x0000_t75" id="docshape598" stroked="false">
                        <v:imagedata r:id="rId99" o:title=""/>
                      </v:shape>
                      <v:rect style="position:absolute;left:356;top:0;width:574;height:204" id="docshape599" filled="true" fillcolor="#ccedff" stroked="false">
                        <v:fill type="solid"/>
                      </v:rect>
                      <v:rect style="position:absolute;left:356;top:191;width:574;height:13" id="docshape600" filled="true" fillcolor="#000000" stroked="false">
                        <v:fill type="solid"/>
                      </v:rect>
                    </v:group>
                  </w:pict>
                </mc:Fallback>
              </mc:AlternateContent>
            </w:r>
            <w:r>
              <w:rPr>
                <w:position w:val="-3"/>
                <w:sz w:val="20"/>
              </w:rPr>
            </w:r>
          </w:p>
        </w:tc>
        <w:tc>
          <w:tcPr>
            <w:tcW w:w="930" w:type="dxa"/>
          </w:tcPr>
          <w:p>
            <w:pPr>
              <w:pStyle w:val="TableParagraph"/>
              <w:spacing w:line="203" w:lineRule="exact"/>
              <w:ind w:left="-1" w:right="-58"/>
              <w:rPr>
                <w:sz w:val="20"/>
              </w:rPr>
            </w:pPr>
            <w:r>
              <w:rPr>
                <w:position w:val="-3"/>
                <w:sz w:val="20"/>
              </w:rPr>
              <mc:AlternateContent>
                <mc:Choice Requires="wps">
                  <w:drawing>
                    <wp:inline distT="0" distB="0" distL="0" distR="0">
                      <wp:extent cx="590550" cy="129539"/>
                      <wp:effectExtent l="0" t="0" r="0" b="3810"/>
                      <wp:docPr id="602" name="Group 602"/>
                      <wp:cNvGraphicFramePr>
                        <a:graphicFrameLocks/>
                      </wp:cNvGraphicFramePr>
                      <a:graphic>
                        <a:graphicData uri="http://schemas.microsoft.com/office/word/2010/wordprocessingGroup">
                          <wpg:wgp>
                            <wpg:cNvPr id="602" name="Group 602"/>
                            <wpg:cNvGrpSpPr/>
                            <wpg:grpSpPr>
                              <a:xfrm>
                                <a:off x="0" y="0"/>
                                <a:ext cx="590550" cy="129539"/>
                                <a:chExt cx="590550" cy="129539"/>
                              </a:xfrm>
                            </wpg:grpSpPr>
                            <pic:pic>
                              <pic:nvPicPr>
                                <pic:cNvPr id="603" name="Image 603"/>
                                <pic:cNvPicPr/>
                              </pic:nvPicPr>
                              <pic:blipFill>
                                <a:blip r:embed="rId99" cstate="print"/>
                                <a:stretch>
                                  <a:fillRect/>
                                </a:stretch>
                              </pic:blipFill>
                              <pic:spPr>
                                <a:xfrm>
                                  <a:off x="0" y="0"/>
                                  <a:ext cx="226488" cy="129422"/>
                                </a:xfrm>
                                <a:prstGeom prst="rect">
                                  <a:avLst/>
                                </a:prstGeom>
                              </pic:spPr>
                            </pic:pic>
                            <wps:wsp>
                              <wps:cNvPr id="604" name="Graphic 604"/>
                              <wps:cNvSpPr/>
                              <wps:spPr>
                                <a:xfrm>
                                  <a:off x="226488" y="0"/>
                                  <a:ext cx="364490" cy="129539"/>
                                </a:xfrm>
                                <a:custGeom>
                                  <a:avLst/>
                                  <a:gdLst/>
                                  <a:ahLst/>
                                  <a:cxnLst/>
                                  <a:rect l="l" t="t" r="r" b="b"/>
                                  <a:pathLst>
                                    <a:path w="364490" h="129539">
                                      <a:moveTo>
                                        <a:pt x="0" y="0"/>
                                      </a:moveTo>
                                      <a:lnTo>
                                        <a:pt x="363999" y="0"/>
                                      </a:lnTo>
                                      <a:lnTo>
                                        <a:pt x="363999" y="129422"/>
                                      </a:lnTo>
                                      <a:lnTo>
                                        <a:pt x="0" y="129422"/>
                                      </a:lnTo>
                                      <a:lnTo>
                                        <a:pt x="0" y="0"/>
                                      </a:lnTo>
                                      <a:close/>
                                    </a:path>
                                  </a:pathLst>
                                </a:custGeom>
                                <a:solidFill>
                                  <a:srgbClr val="CCEDFF"/>
                                </a:solidFill>
                              </wps:spPr>
                              <wps:bodyPr wrap="square" lIns="0" tIns="0" rIns="0" bIns="0" rtlCol="0">
                                <a:prstTxWarp prst="textNoShape">
                                  <a:avLst/>
                                </a:prstTxWarp>
                                <a:noAutofit/>
                              </wps:bodyPr>
                            </wps:wsp>
                            <wps:wsp>
                              <wps:cNvPr id="605" name="Graphic 605"/>
                              <wps:cNvSpPr/>
                              <wps:spPr>
                                <a:xfrm>
                                  <a:off x="226488" y="121333"/>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5pt;height:10.2pt;mso-position-horizontal-relative:char;mso-position-vertical-relative:line" id="docshapegroup601" coordorigin="0,0" coordsize="930,204">
                      <v:shape style="position:absolute;left:0;top:0;width:357;height:204" type="#_x0000_t75" id="docshape602" stroked="false">
                        <v:imagedata r:id="rId99" o:title=""/>
                      </v:shape>
                      <v:rect style="position:absolute;left:356;top:0;width:574;height:204" id="docshape603" filled="true" fillcolor="#ccedff" stroked="false">
                        <v:fill type="solid"/>
                      </v:rect>
                      <v:rect style="position:absolute;left:356;top:191;width:574;height:13" id="docshape604" filled="true" fillcolor="#000000" stroked="false">
                        <v:fill type="solid"/>
                      </v:rect>
                    </v:group>
                  </w:pict>
                </mc:Fallback>
              </mc:AlternateContent>
            </w:r>
            <w:r>
              <w:rPr>
                <w:position w:val="-3"/>
                <w:sz w:val="20"/>
              </w:rPr>
            </w:r>
          </w:p>
        </w:tc>
        <w:tc>
          <w:tcPr>
            <w:tcW w:w="917" w:type="dxa"/>
          </w:tcPr>
          <w:p>
            <w:pPr>
              <w:pStyle w:val="TableParagraph"/>
              <w:spacing w:line="170" w:lineRule="exact"/>
              <w:jc w:val="right"/>
              <w:rPr>
                <w:sz w:val="15"/>
              </w:rPr>
            </w:pPr>
            <w:r>
              <w:rPr/>
              <mc:AlternateContent>
                <mc:Choice Requires="wps">
                  <w:drawing>
                    <wp:anchor distT="0" distB="0" distL="0" distR="0" allowOverlap="1" layoutInCell="1" locked="0" behindDoc="1" simplePos="0" relativeHeight="474154496">
                      <wp:simplePos x="0" y="0"/>
                      <wp:positionH relativeFrom="column">
                        <wp:posOffset>0</wp:posOffset>
                      </wp:positionH>
                      <wp:positionV relativeFrom="paragraph">
                        <wp:posOffset>-52</wp:posOffset>
                      </wp:positionV>
                      <wp:extent cx="582930" cy="129539"/>
                      <wp:effectExtent l="0" t="0" r="0" b="0"/>
                      <wp:wrapNone/>
                      <wp:docPr id="606" name="Group 606"/>
                      <wp:cNvGraphicFramePr>
                        <a:graphicFrameLocks/>
                      </wp:cNvGraphicFramePr>
                      <a:graphic>
                        <a:graphicData uri="http://schemas.microsoft.com/office/word/2010/wordprocessingGroup">
                          <wpg:wgp>
                            <wpg:cNvPr id="606" name="Group 606"/>
                            <wpg:cNvGrpSpPr/>
                            <wpg:grpSpPr>
                              <a:xfrm>
                                <a:off x="0" y="0"/>
                                <a:ext cx="582930" cy="129539"/>
                                <a:chExt cx="582930" cy="129539"/>
                              </a:xfrm>
                            </wpg:grpSpPr>
                            <pic:pic>
                              <pic:nvPicPr>
                                <pic:cNvPr id="607" name="Image 607"/>
                                <pic:cNvPicPr/>
                              </pic:nvPicPr>
                              <pic:blipFill>
                                <a:blip r:embed="rId98" cstate="print"/>
                                <a:stretch>
                                  <a:fillRect/>
                                </a:stretch>
                              </pic:blipFill>
                              <pic:spPr>
                                <a:xfrm>
                                  <a:off x="0" y="0"/>
                                  <a:ext cx="218399" cy="129422"/>
                                </a:xfrm>
                                <a:prstGeom prst="rect">
                                  <a:avLst/>
                                </a:prstGeom>
                              </pic:spPr>
                            </pic:pic>
                            <wps:wsp>
                              <wps:cNvPr id="608" name="Graphic 608"/>
                              <wps:cNvSpPr/>
                              <wps:spPr>
                                <a:xfrm>
                                  <a:off x="218399" y="0"/>
                                  <a:ext cx="364490" cy="129539"/>
                                </a:xfrm>
                                <a:custGeom>
                                  <a:avLst/>
                                  <a:gdLst/>
                                  <a:ahLst/>
                                  <a:cxnLst/>
                                  <a:rect l="l" t="t" r="r" b="b"/>
                                  <a:pathLst>
                                    <a:path w="364490" h="129539">
                                      <a:moveTo>
                                        <a:pt x="0" y="0"/>
                                      </a:moveTo>
                                      <a:lnTo>
                                        <a:pt x="363999" y="0"/>
                                      </a:lnTo>
                                      <a:lnTo>
                                        <a:pt x="363999" y="129422"/>
                                      </a:lnTo>
                                      <a:lnTo>
                                        <a:pt x="0" y="129422"/>
                                      </a:lnTo>
                                      <a:lnTo>
                                        <a:pt x="0" y="0"/>
                                      </a:lnTo>
                                      <a:close/>
                                    </a:path>
                                  </a:pathLst>
                                </a:custGeom>
                                <a:solidFill>
                                  <a:srgbClr val="CCEDFF"/>
                                </a:solidFill>
                              </wps:spPr>
                              <wps:bodyPr wrap="square" lIns="0" tIns="0" rIns="0" bIns="0" rtlCol="0">
                                <a:prstTxWarp prst="textNoShape">
                                  <a:avLst/>
                                </a:prstTxWarp>
                                <a:noAutofit/>
                              </wps:bodyPr>
                            </wps:wsp>
                            <wps:wsp>
                              <wps:cNvPr id="609" name="Graphic 609"/>
                              <wps:cNvSpPr/>
                              <wps:spPr>
                                <a:xfrm>
                                  <a:off x="218399" y="121333"/>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004161pt;width:45.9pt;height:10.2pt;mso-position-horizontal-relative:column;mso-position-vertical-relative:paragraph;z-index:-29161984" id="docshapegroup605" coordorigin="0,0" coordsize="918,204">
                      <v:shape style="position:absolute;left:0;top:-1;width:344;height:204" type="#_x0000_t75" id="docshape606" stroked="false">
                        <v:imagedata r:id="rId98" o:title=""/>
                      </v:shape>
                      <v:rect style="position:absolute;left:343;top:-1;width:574;height:204" id="docshape607" filled="true" fillcolor="#ccedff" stroked="false">
                        <v:fill type="solid"/>
                      </v:rect>
                      <v:rect style="position:absolute;left:343;top:191;width:574;height:13" id="docshape608" filled="true" fillcolor="#000000" stroked="false">
                        <v:fill type="solid"/>
                      </v:rect>
                      <w10:wrap type="none"/>
                    </v:group>
                  </w:pict>
                </mc:Fallback>
              </mc:AlternateContent>
            </w:r>
            <w:r>
              <w:rPr>
                <w:spacing w:val="-5"/>
                <w:sz w:val="15"/>
              </w:rPr>
              <w:t>56</w:t>
            </w:r>
          </w:p>
        </w:tc>
        <w:tc>
          <w:tcPr>
            <w:tcW w:w="917" w:type="dxa"/>
          </w:tcPr>
          <w:p>
            <w:pPr>
              <w:pStyle w:val="TableParagraph"/>
              <w:spacing w:line="170" w:lineRule="exact"/>
              <w:ind w:right="-15"/>
              <w:jc w:val="right"/>
              <w:rPr>
                <w:sz w:val="15"/>
              </w:rPr>
            </w:pPr>
            <w:r>
              <w:rPr/>
              <mc:AlternateContent>
                <mc:Choice Requires="wps">
                  <w:drawing>
                    <wp:anchor distT="0" distB="0" distL="0" distR="0" allowOverlap="1" layoutInCell="1" locked="0" behindDoc="1" simplePos="0" relativeHeight="474155008">
                      <wp:simplePos x="0" y="0"/>
                      <wp:positionH relativeFrom="column">
                        <wp:posOffset>0</wp:posOffset>
                      </wp:positionH>
                      <wp:positionV relativeFrom="paragraph">
                        <wp:posOffset>-52</wp:posOffset>
                      </wp:positionV>
                      <wp:extent cx="582930" cy="129539"/>
                      <wp:effectExtent l="0" t="0" r="0" b="0"/>
                      <wp:wrapNone/>
                      <wp:docPr id="610" name="Group 610"/>
                      <wp:cNvGraphicFramePr>
                        <a:graphicFrameLocks/>
                      </wp:cNvGraphicFramePr>
                      <a:graphic>
                        <a:graphicData uri="http://schemas.microsoft.com/office/word/2010/wordprocessingGroup">
                          <wpg:wgp>
                            <wpg:cNvPr id="610" name="Group 610"/>
                            <wpg:cNvGrpSpPr/>
                            <wpg:grpSpPr>
                              <a:xfrm>
                                <a:off x="0" y="0"/>
                                <a:ext cx="582930" cy="129539"/>
                                <a:chExt cx="582930" cy="129539"/>
                              </a:xfrm>
                            </wpg:grpSpPr>
                            <pic:pic>
                              <pic:nvPicPr>
                                <pic:cNvPr id="611" name="Image 611"/>
                                <pic:cNvPicPr/>
                              </pic:nvPicPr>
                              <pic:blipFill>
                                <a:blip r:embed="rId98" cstate="print"/>
                                <a:stretch>
                                  <a:fillRect/>
                                </a:stretch>
                              </pic:blipFill>
                              <pic:spPr>
                                <a:xfrm>
                                  <a:off x="0" y="0"/>
                                  <a:ext cx="218399" cy="129422"/>
                                </a:xfrm>
                                <a:prstGeom prst="rect">
                                  <a:avLst/>
                                </a:prstGeom>
                              </pic:spPr>
                            </pic:pic>
                            <wps:wsp>
                              <wps:cNvPr id="612" name="Graphic 612"/>
                              <wps:cNvSpPr/>
                              <wps:spPr>
                                <a:xfrm>
                                  <a:off x="218399" y="0"/>
                                  <a:ext cx="364490" cy="129539"/>
                                </a:xfrm>
                                <a:custGeom>
                                  <a:avLst/>
                                  <a:gdLst/>
                                  <a:ahLst/>
                                  <a:cxnLst/>
                                  <a:rect l="l" t="t" r="r" b="b"/>
                                  <a:pathLst>
                                    <a:path w="364490" h="129539">
                                      <a:moveTo>
                                        <a:pt x="0" y="0"/>
                                      </a:moveTo>
                                      <a:lnTo>
                                        <a:pt x="363999" y="0"/>
                                      </a:lnTo>
                                      <a:lnTo>
                                        <a:pt x="363999" y="129422"/>
                                      </a:lnTo>
                                      <a:lnTo>
                                        <a:pt x="0" y="129422"/>
                                      </a:lnTo>
                                      <a:lnTo>
                                        <a:pt x="0" y="0"/>
                                      </a:lnTo>
                                      <a:close/>
                                    </a:path>
                                  </a:pathLst>
                                </a:custGeom>
                                <a:solidFill>
                                  <a:srgbClr val="CCEDFF"/>
                                </a:solidFill>
                              </wps:spPr>
                              <wps:bodyPr wrap="square" lIns="0" tIns="0" rIns="0" bIns="0" rtlCol="0">
                                <a:prstTxWarp prst="textNoShape">
                                  <a:avLst/>
                                </a:prstTxWarp>
                                <a:noAutofit/>
                              </wps:bodyPr>
                            </wps:wsp>
                            <wps:wsp>
                              <wps:cNvPr id="613" name="Graphic 613"/>
                              <wps:cNvSpPr/>
                              <wps:spPr>
                                <a:xfrm>
                                  <a:off x="218399" y="121333"/>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004161pt;width:45.9pt;height:10.2pt;mso-position-horizontal-relative:column;mso-position-vertical-relative:paragraph;z-index:-29161472" id="docshapegroup609" coordorigin="0,0" coordsize="918,204">
                      <v:shape style="position:absolute;left:0;top:-1;width:344;height:204" type="#_x0000_t75" id="docshape610" stroked="false">
                        <v:imagedata r:id="rId98" o:title=""/>
                      </v:shape>
                      <v:rect style="position:absolute;left:343;top:-1;width:574;height:204" id="docshape611" filled="true" fillcolor="#ccedff" stroked="false">
                        <v:fill type="solid"/>
                      </v:rect>
                      <v:rect style="position:absolute;left:343;top:191;width:574;height:13" id="docshape612" filled="true" fillcolor="#000000" stroked="false">
                        <v:fill type="solid"/>
                      </v:rect>
                      <w10:wrap type="none"/>
                    </v:group>
                  </w:pict>
                </mc:Fallback>
              </mc:AlternateContent>
            </w:r>
            <w:r>
              <w:rPr>
                <w:spacing w:val="-5"/>
                <w:sz w:val="15"/>
              </w:rPr>
              <w:t>56</w:t>
            </w:r>
          </w:p>
        </w:tc>
        <w:tc>
          <w:tcPr>
            <w:tcW w:w="930" w:type="dxa"/>
          </w:tcPr>
          <w:p>
            <w:pPr>
              <w:pStyle w:val="TableParagraph"/>
              <w:spacing w:line="203" w:lineRule="exact"/>
              <w:ind w:right="-58"/>
              <w:rPr>
                <w:sz w:val="20"/>
              </w:rPr>
            </w:pPr>
            <w:r>
              <w:rPr>
                <w:position w:val="-3"/>
                <w:sz w:val="20"/>
              </w:rPr>
              <mc:AlternateContent>
                <mc:Choice Requires="wps">
                  <w:drawing>
                    <wp:inline distT="0" distB="0" distL="0" distR="0">
                      <wp:extent cx="590550" cy="129539"/>
                      <wp:effectExtent l="0" t="0" r="0" b="3810"/>
                      <wp:docPr id="614" name="Group 614"/>
                      <wp:cNvGraphicFramePr>
                        <a:graphicFrameLocks/>
                      </wp:cNvGraphicFramePr>
                      <a:graphic>
                        <a:graphicData uri="http://schemas.microsoft.com/office/word/2010/wordprocessingGroup">
                          <wpg:wgp>
                            <wpg:cNvPr id="614" name="Group 614"/>
                            <wpg:cNvGrpSpPr/>
                            <wpg:grpSpPr>
                              <a:xfrm>
                                <a:off x="0" y="0"/>
                                <a:ext cx="590550" cy="129539"/>
                                <a:chExt cx="590550" cy="129539"/>
                              </a:xfrm>
                            </wpg:grpSpPr>
                            <pic:pic>
                              <pic:nvPicPr>
                                <pic:cNvPr id="615" name="Image 615"/>
                                <pic:cNvPicPr/>
                              </pic:nvPicPr>
                              <pic:blipFill>
                                <a:blip r:embed="rId100" cstate="print"/>
                                <a:stretch>
                                  <a:fillRect/>
                                </a:stretch>
                              </pic:blipFill>
                              <pic:spPr>
                                <a:xfrm>
                                  <a:off x="0" y="0"/>
                                  <a:ext cx="226488" cy="129422"/>
                                </a:xfrm>
                                <a:prstGeom prst="rect">
                                  <a:avLst/>
                                </a:prstGeom>
                              </pic:spPr>
                            </pic:pic>
                            <wps:wsp>
                              <wps:cNvPr id="616" name="Graphic 616"/>
                              <wps:cNvSpPr/>
                              <wps:spPr>
                                <a:xfrm>
                                  <a:off x="226488" y="0"/>
                                  <a:ext cx="364490" cy="129539"/>
                                </a:xfrm>
                                <a:custGeom>
                                  <a:avLst/>
                                  <a:gdLst/>
                                  <a:ahLst/>
                                  <a:cxnLst/>
                                  <a:rect l="l" t="t" r="r" b="b"/>
                                  <a:pathLst>
                                    <a:path w="364490" h="129539">
                                      <a:moveTo>
                                        <a:pt x="0" y="0"/>
                                      </a:moveTo>
                                      <a:lnTo>
                                        <a:pt x="363999" y="0"/>
                                      </a:lnTo>
                                      <a:lnTo>
                                        <a:pt x="363999" y="129422"/>
                                      </a:lnTo>
                                      <a:lnTo>
                                        <a:pt x="0" y="129422"/>
                                      </a:lnTo>
                                      <a:lnTo>
                                        <a:pt x="0" y="0"/>
                                      </a:lnTo>
                                      <a:close/>
                                    </a:path>
                                  </a:pathLst>
                                </a:custGeom>
                                <a:solidFill>
                                  <a:srgbClr val="CCEDFF"/>
                                </a:solidFill>
                              </wps:spPr>
                              <wps:bodyPr wrap="square" lIns="0" tIns="0" rIns="0" bIns="0" rtlCol="0">
                                <a:prstTxWarp prst="textNoShape">
                                  <a:avLst/>
                                </a:prstTxWarp>
                                <a:noAutofit/>
                              </wps:bodyPr>
                            </wps:wsp>
                            <wps:wsp>
                              <wps:cNvPr id="617" name="Graphic 617"/>
                              <wps:cNvSpPr/>
                              <wps:spPr>
                                <a:xfrm>
                                  <a:off x="226488" y="121333"/>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5pt;height:10.2pt;mso-position-horizontal-relative:char;mso-position-vertical-relative:line" id="docshapegroup613" coordorigin="0,0" coordsize="930,204">
                      <v:shape style="position:absolute;left:0;top:0;width:357;height:204" type="#_x0000_t75" id="docshape614" stroked="false">
                        <v:imagedata r:id="rId100" o:title=""/>
                      </v:shape>
                      <v:rect style="position:absolute;left:356;top:0;width:574;height:204" id="docshape615" filled="true" fillcolor="#ccedff" stroked="false">
                        <v:fill type="solid"/>
                      </v:rect>
                      <v:rect style="position:absolute;left:356;top:191;width:574;height:13" id="docshape616" filled="true" fillcolor="#000000" stroked="false">
                        <v:fill type="solid"/>
                      </v:rect>
                    </v:group>
                  </w:pict>
                </mc:Fallback>
              </mc:AlternateContent>
            </w:r>
            <w:r>
              <w:rPr>
                <w:position w:val="-3"/>
                <w:sz w:val="20"/>
              </w:rPr>
            </w:r>
          </w:p>
        </w:tc>
        <w:tc>
          <w:tcPr>
            <w:tcW w:w="1045" w:type="dxa"/>
          </w:tcPr>
          <w:p>
            <w:pPr>
              <w:pStyle w:val="TableParagraph"/>
              <w:spacing w:line="203" w:lineRule="exact"/>
              <w:ind w:left="-1" w:right="-58"/>
              <w:rPr>
                <w:sz w:val="20"/>
              </w:rPr>
            </w:pPr>
            <w:r>
              <w:rPr>
                <w:position w:val="-3"/>
                <w:sz w:val="20"/>
              </w:rPr>
              <mc:AlternateContent>
                <mc:Choice Requires="wps">
                  <w:drawing>
                    <wp:inline distT="0" distB="0" distL="0" distR="0">
                      <wp:extent cx="663575" cy="129539"/>
                      <wp:effectExtent l="0" t="0" r="0" b="3810"/>
                      <wp:docPr id="618" name="Group 618"/>
                      <wp:cNvGraphicFramePr>
                        <a:graphicFrameLocks/>
                      </wp:cNvGraphicFramePr>
                      <a:graphic>
                        <a:graphicData uri="http://schemas.microsoft.com/office/word/2010/wordprocessingGroup">
                          <wpg:wgp>
                            <wpg:cNvPr id="618" name="Group 618"/>
                            <wpg:cNvGrpSpPr/>
                            <wpg:grpSpPr>
                              <a:xfrm>
                                <a:off x="0" y="0"/>
                                <a:ext cx="663575" cy="129539"/>
                                <a:chExt cx="663575" cy="129539"/>
                              </a:xfrm>
                            </wpg:grpSpPr>
                            <pic:pic>
                              <pic:nvPicPr>
                                <pic:cNvPr id="619" name="Image 619"/>
                                <pic:cNvPicPr/>
                              </pic:nvPicPr>
                              <pic:blipFill>
                                <a:blip r:embed="rId100" cstate="print"/>
                                <a:stretch>
                                  <a:fillRect/>
                                </a:stretch>
                              </pic:blipFill>
                              <pic:spPr>
                                <a:xfrm>
                                  <a:off x="0" y="0"/>
                                  <a:ext cx="226488" cy="129422"/>
                                </a:xfrm>
                                <a:prstGeom prst="rect">
                                  <a:avLst/>
                                </a:prstGeom>
                              </pic:spPr>
                            </pic:pic>
                            <wps:wsp>
                              <wps:cNvPr id="620" name="Graphic 620"/>
                              <wps:cNvSpPr/>
                              <wps:spPr>
                                <a:xfrm>
                                  <a:off x="226488" y="0"/>
                                  <a:ext cx="364490" cy="129539"/>
                                </a:xfrm>
                                <a:custGeom>
                                  <a:avLst/>
                                  <a:gdLst/>
                                  <a:ahLst/>
                                  <a:cxnLst/>
                                  <a:rect l="l" t="t" r="r" b="b"/>
                                  <a:pathLst>
                                    <a:path w="364490" h="129539">
                                      <a:moveTo>
                                        <a:pt x="0" y="0"/>
                                      </a:moveTo>
                                      <a:lnTo>
                                        <a:pt x="363999" y="0"/>
                                      </a:lnTo>
                                      <a:lnTo>
                                        <a:pt x="363999" y="129422"/>
                                      </a:lnTo>
                                      <a:lnTo>
                                        <a:pt x="0" y="129422"/>
                                      </a:lnTo>
                                      <a:lnTo>
                                        <a:pt x="0" y="0"/>
                                      </a:lnTo>
                                      <a:close/>
                                    </a:path>
                                  </a:pathLst>
                                </a:custGeom>
                                <a:solidFill>
                                  <a:srgbClr val="CCEDFF"/>
                                </a:solidFill>
                              </wps:spPr>
                              <wps:bodyPr wrap="square" lIns="0" tIns="0" rIns="0" bIns="0" rtlCol="0">
                                <a:prstTxWarp prst="textNoShape">
                                  <a:avLst/>
                                </a:prstTxWarp>
                                <a:noAutofit/>
                              </wps:bodyPr>
                            </wps:wsp>
                            <wps:wsp>
                              <wps:cNvPr id="621" name="Graphic 621"/>
                              <wps:cNvSpPr/>
                              <wps:spPr>
                                <a:xfrm>
                                  <a:off x="226488" y="121333"/>
                                  <a:ext cx="364490" cy="8255"/>
                                </a:xfrm>
                                <a:custGeom>
                                  <a:avLst/>
                                  <a:gdLst/>
                                  <a:ahLst/>
                                  <a:cxnLst/>
                                  <a:rect l="l" t="t" r="r" b="b"/>
                                  <a:pathLst>
                                    <a:path w="364490" h="8255">
                                      <a:moveTo>
                                        <a:pt x="0" y="0"/>
                                      </a:moveTo>
                                      <a:lnTo>
                                        <a:pt x="363999" y="0"/>
                                      </a:lnTo>
                                      <a:lnTo>
                                        <a:pt x="3639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590487" y="0"/>
                                  <a:ext cx="73025" cy="129539"/>
                                </a:xfrm>
                                <a:custGeom>
                                  <a:avLst/>
                                  <a:gdLst/>
                                  <a:ahLst/>
                                  <a:cxnLst/>
                                  <a:rect l="l" t="t" r="r" b="b"/>
                                  <a:pathLst>
                                    <a:path w="73025" h="129539">
                                      <a:moveTo>
                                        <a:pt x="0" y="0"/>
                                      </a:moveTo>
                                      <a:lnTo>
                                        <a:pt x="72799" y="0"/>
                                      </a:lnTo>
                                      <a:lnTo>
                                        <a:pt x="72799" y="129422"/>
                                      </a:lnTo>
                                      <a:lnTo>
                                        <a:pt x="0" y="129422"/>
                                      </a:lnTo>
                                      <a:lnTo>
                                        <a:pt x="0" y="0"/>
                                      </a:lnTo>
                                      <a:close/>
                                    </a:path>
                                  </a:pathLst>
                                </a:custGeom>
                                <a:solidFill>
                                  <a:srgbClr val="CCEDFF"/>
                                </a:solidFill>
                              </wps:spPr>
                              <wps:bodyPr wrap="square" lIns="0" tIns="0" rIns="0" bIns="0" rtlCol="0">
                                <a:prstTxWarp prst="textNoShape">
                                  <a:avLst/>
                                </a:prstTxWarp>
                                <a:noAutofit/>
                              </wps:bodyPr>
                            </wps:wsp>
                            <wps:wsp>
                              <wps:cNvPr id="623" name="Graphic 623"/>
                              <wps:cNvSpPr/>
                              <wps:spPr>
                                <a:xfrm>
                                  <a:off x="590487" y="121333"/>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25pt;height:10.2pt;mso-position-horizontal-relative:char;mso-position-vertical-relative:line" id="docshapegroup617" coordorigin="0,0" coordsize="1045,204">
                      <v:shape style="position:absolute;left:0;top:0;width:357;height:204" type="#_x0000_t75" id="docshape618" stroked="false">
                        <v:imagedata r:id="rId100" o:title=""/>
                      </v:shape>
                      <v:rect style="position:absolute;left:356;top:0;width:574;height:204" id="docshape619" filled="true" fillcolor="#ccedff" stroked="false">
                        <v:fill type="solid"/>
                      </v:rect>
                      <v:rect style="position:absolute;left:356;top:191;width:574;height:13" id="docshape620" filled="true" fillcolor="#000000" stroked="false">
                        <v:fill type="solid"/>
                      </v:rect>
                      <v:rect style="position:absolute;left:929;top:0;width:115;height:204" id="docshape621" filled="true" fillcolor="#ccedff" stroked="false">
                        <v:fill type="solid"/>
                      </v:rect>
                      <v:rect style="position:absolute;left:929;top:191;width:115;height:13" id="docshape622" filled="true" fillcolor="#000000" stroked="false">
                        <v:fill type="solid"/>
                      </v:rect>
                    </v:group>
                  </w:pict>
                </mc:Fallback>
              </mc:AlternateContent>
            </w:r>
            <w:r>
              <w:rPr>
                <w:position w:val="-3"/>
                <w:sz w:val="20"/>
              </w:rPr>
            </w:r>
          </w:p>
        </w:tc>
      </w:tr>
      <w:tr>
        <w:trPr>
          <w:trHeight w:val="173" w:hRule="atLeast"/>
        </w:trPr>
        <w:tc>
          <w:tcPr>
            <w:tcW w:w="4242" w:type="dxa"/>
            <w:tcBorders>
              <w:top w:val="single" w:sz="6" w:space="0" w:color="000000"/>
              <w:bottom w:val="double" w:sz="6" w:space="0" w:color="000000"/>
            </w:tcBorders>
          </w:tcPr>
          <w:p>
            <w:pPr>
              <w:pStyle w:val="TableParagraph"/>
              <w:spacing w:line="153" w:lineRule="exact"/>
              <w:rPr>
                <w:sz w:val="15"/>
              </w:rPr>
            </w:pPr>
            <w:r>
              <w:rPr>
                <w:spacing w:val="-4"/>
                <w:sz w:val="15"/>
              </w:rPr>
              <w:t>Total</w:t>
            </w:r>
          </w:p>
        </w:tc>
        <w:tc>
          <w:tcPr>
            <w:tcW w:w="688" w:type="dxa"/>
            <w:tcBorders>
              <w:top w:val="single" w:sz="6" w:space="0" w:color="000000"/>
              <w:bottom w:val="double" w:sz="6" w:space="0" w:color="000000"/>
            </w:tcBorders>
          </w:tcPr>
          <w:p>
            <w:pPr>
              <w:pStyle w:val="TableParagraph"/>
              <w:tabs>
                <w:tab w:pos="458" w:val="left" w:leader="none"/>
              </w:tabs>
              <w:spacing w:line="153" w:lineRule="exact"/>
              <w:ind w:left="-1"/>
              <w:jc w:val="right"/>
              <w:rPr>
                <w:b/>
                <w:sz w:val="15"/>
              </w:rPr>
            </w:pPr>
            <w:r>
              <w:rPr>
                <w:b/>
                <w:spacing w:val="-10"/>
                <w:sz w:val="15"/>
              </w:rPr>
              <w:t>$</w:t>
            </w:r>
            <w:r>
              <w:rPr>
                <w:b/>
                <w:sz w:val="15"/>
              </w:rPr>
              <w:tab/>
            </w:r>
            <w:r>
              <w:rPr>
                <w:b/>
                <w:spacing w:val="-5"/>
                <w:sz w:val="15"/>
              </w:rPr>
              <w:t>584</w:t>
            </w:r>
          </w:p>
        </w:tc>
        <w:tc>
          <w:tcPr>
            <w:tcW w:w="917" w:type="dxa"/>
            <w:tcBorders>
              <w:bottom w:val="double" w:sz="6" w:space="0" w:color="000000"/>
            </w:tcBorders>
          </w:tcPr>
          <w:p>
            <w:pPr>
              <w:pStyle w:val="TableParagraph"/>
              <w:tabs>
                <w:tab w:pos="458" w:val="left" w:leader="none"/>
              </w:tabs>
              <w:spacing w:line="153" w:lineRule="exact"/>
              <w:jc w:val="right"/>
              <w:rPr>
                <w:b/>
                <w:sz w:val="15"/>
              </w:rPr>
            </w:pPr>
            <w:r>
              <w:rPr>
                <w:b/>
                <w:spacing w:val="-10"/>
                <w:sz w:val="15"/>
              </w:rPr>
              <w:t>$</w:t>
            </w:r>
            <w:r>
              <w:rPr>
                <w:b/>
                <w:sz w:val="15"/>
              </w:rPr>
              <w:tab/>
            </w:r>
            <w:r>
              <w:rPr>
                <w:b/>
                <w:spacing w:val="-5"/>
                <w:sz w:val="15"/>
              </w:rPr>
              <w:t>476</w:t>
            </w:r>
          </w:p>
        </w:tc>
        <w:tc>
          <w:tcPr>
            <w:tcW w:w="930" w:type="dxa"/>
            <w:tcBorders>
              <w:bottom w:val="double" w:sz="6" w:space="0" w:color="000000"/>
            </w:tcBorders>
          </w:tcPr>
          <w:p>
            <w:pPr>
              <w:pStyle w:val="TableParagraph"/>
              <w:tabs>
                <w:tab w:pos="776" w:val="left" w:leader="none"/>
              </w:tabs>
              <w:spacing w:line="153" w:lineRule="exact"/>
              <w:ind w:left="229"/>
              <w:jc w:val="center"/>
              <w:rPr>
                <w:b/>
                <w:sz w:val="15"/>
              </w:rPr>
            </w:pPr>
            <w:r>
              <w:rPr>
                <w:b/>
                <w:spacing w:val="-10"/>
                <w:sz w:val="15"/>
              </w:rPr>
              <w:t>$</w:t>
            </w:r>
            <w:r>
              <w:rPr>
                <w:b/>
                <w:sz w:val="15"/>
              </w:rPr>
              <w:tab/>
            </w:r>
            <w:r>
              <w:rPr>
                <w:b/>
                <w:spacing w:val="-5"/>
                <w:sz w:val="15"/>
              </w:rPr>
              <w:t>84</w:t>
            </w:r>
          </w:p>
        </w:tc>
        <w:tc>
          <w:tcPr>
            <w:tcW w:w="930" w:type="dxa"/>
            <w:tcBorders>
              <w:bottom w:val="double" w:sz="6" w:space="0" w:color="000000"/>
            </w:tcBorders>
          </w:tcPr>
          <w:p>
            <w:pPr>
              <w:pStyle w:val="TableParagraph"/>
              <w:tabs>
                <w:tab w:pos="547" w:val="left" w:leader="none"/>
              </w:tabs>
              <w:spacing w:line="153" w:lineRule="exact"/>
              <w:jc w:val="right"/>
              <w:rPr>
                <w:b/>
                <w:sz w:val="15"/>
              </w:rPr>
            </w:pPr>
            <w:r>
              <w:rPr>
                <w:b/>
                <w:spacing w:val="-10"/>
                <w:sz w:val="15"/>
              </w:rPr>
              <w:t>$</w:t>
            </w:r>
            <w:r>
              <w:rPr>
                <w:b/>
                <w:sz w:val="15"/>
              </w:rPr>
              <w:tab/>
            </w:r>
            <w:r>
              <w:rPr>
                <w:b/>
                <w:spacing w:val="-5"/>
                <w:sz w:val="15"/>
              </w:rPr>
              <w:t>24</w:t>
            </w:r>
          </w:p>
        </w:tc>
        <w:tc>
          <w:tcPr>
            <w:tcW w:w="917" w:type="dxa"/>
            <w:tcBorders>
              <w:bottom w:val="double" w:sz="6" w:space="0" w:color="000000"/>
            </w:tcBorders>
          </w:tcPr>
          <w:p>
            <w:pPr>
              <w:pStyle w:val="TableParagraph"/>
              <w:tabs>
                <w:tab w:pos="458" w:val="left" w:leader="none"/>
              </w:tabs>
              <w:spacing w:line="153" w:lineRule="exact"/>
              <w:jc w:val="right"/>
              <w:rPr>
                <w:sz w:val="15"/>
              </w:rPr>
            </w:pPr>
            <w:r>
              <w:rPr>
                <w:spacing w:val="-10"/>
                <w:sz w:val="15"/>
              </w:rPr>
              <w:t>$</w:t>
            </w:r>
            <w:r>
              <w:rPr>
                <w:sz w:val="15"/>
              </w:rPr>
              <w:tab/>
            </w:r>
            <w:r>
              <w:rPr>
                <w:spacing w:val="-5"/>
                <w:sz w:val="15"/>
              </w:rPr>
              <w:t>598</w:t>
            </w:r>
          </w:p>
        </w:tc>
        <w:tc>
          <w:tcPr>
            <w:tcW w:w="917" w:type="dxa"/>
            <w:tcBorders>
              <w:bottom w:val="double" w:sz="6" w:space="0" w:color="000000"/>
            </w:tcBorders>
          </w:tcPr>
          <w:p>
            <w:pPr>
              <w:pStyle w:val="TableParagraph"/>
              <w:tabs>
                <w:tab w:pos="458" w:val="left" w:leader="none"/>
              </w:tabs>
              <w:spacing w:line="153" w:lineRule="exact"/>
              <w:ind w:right="-15"/>
              <w:jc w:val="right"/>
              <w:rPr>
                <w:sz w:val="15"/>
              </w:rPr>
            </w:pPr>
            <w:r>
              <w:rPr>
                <w:spacing w:val="-10"/>
                <w:sz w:val="15"/>
              </w:rPr>
              <w:t>$</w:t>
            </w:r>
            <w:r>
              <w:rPr>
                <w:sz w:val="15"/>
              </w:rPr>
              <w:tab/>
            </w:r>
            <w:r>
              <w:rPr>
                <w:spacing w:val="-5"/>
                <w:sz w:val="15"/>
              </w:rPr>
              <w:t>482</w:t>
            </w:r>
          </w:p>
        </w:tc>
        <w:tc>
          <w:tcPr>
            <w:tcW w:w="930" w:type="dxa"/>
            <w:tcBorders>
              <w:bottom w:val="double" w:sz="6" w:space="0" w:color="000000"/>
            </w:tcBorders>
          </w:tcPr>
          <w:p>
            <w:pPr>
              <w:pStyle w:val="TableParagraph"/>
              <w:tabs>
                <w:tab w:pos="777" w:val="left" w:leader="none"/>
              </w:tabs>
              <w:spacing w:line="153" w:lineRule="exact"/>
              <w:ind w:left="229"/>
              <w:rPr>
                <w:sz w:val="15"/>
              </w:rPr>
            </w:pPr>
            <w:r>
              <w:rPr>
                <w:spacing w:val="-10"/>
                <w:sz w:val="15"/>
              </w:rPr>
              <w:t>$</w:t>
            </w:r>
            <w:r>
              <w:rPr>
                <w:sz w:val="15"/>
              </w:rPr>
              <w:tab/>
            </w:r>
            <w:r>
              <w:rPr>
                <w:spacing w:val="-5"/>
                <w:sz w:val="15"/>
              </w:rPr>
              <w:t>93</w:t>
            </w:r>
          </w:p>
        </w:tc>
        <w:tc>
          <w:tcPr>
            <w:tcW w:w="1045" w:type="dxa"/>
            <w:tcBorders>
              <w:bottom w:val="double" w:sz="6" w:space="0" w:color="000000"/>
            </w:tcBorders>
          </w:tcPr>
          <w:p>
            <w:pPr>
              <w:pStyle w:val="TableParagraph"/>
              <w:tabs>
                <w:tab w:pos="547" w:val="left" w:leader="none"/>
              </w:tabs>
              <w:spacing w:line="153" w:lineRule="exact"/>
              <w:ind w:right="113"/>
              <w:jc w:val="right"/>
              <w:rPr>
                <w:sz w:val="15"/>
              </w:rPr>
            </w:pPr>
            <w:r>
              <w:rPr>
                <w:spacing w:val="-10"/>
                <w:sz w:val="15"/>
              </w:rPr>
              <w:t>$</w:t>
            </w:r>
            <w:r>
              <w:rPr>
                <w:sz w:val="15"/>
              </w:rPr>
              <w:tab/>
            </w:r>
            <w:r>
              <w:rPr>
                <w:spacing w:val="-5"/>
                <w:sz w:val="15"/>
              </w:rPr>
              <w:t>23</w:t>
            </w:r>
          </w:p>
        </w:tc>
      </w:tr>
    </w:tbl>
    <w:p>
      <w:pPr>
        <w:pStyle w:val="BodyText"/>
        <w:spacing w:before="27"/>
        <w:rPr>
          <w:sz w:val="15"/>
        </w:rPr>
      </w:pPr>
    </w:p>
    <w:p>
      <w:pPr>
        <w:pStyle w:val="BodyText"/>
        <w:ind w:left="156"/>
      </w:pPr>
      <w:r>
        <w:rPr>
          <w:w w:val="105"/>
        </w:rPr>
        <w:t>The</w:t>
      </w:r>
      <w:r>
        <w:rPr>
          <w:spacing w:val="-8"/>
          <w:w w:val="105"/>
        </w:rPr>
        <w:t> </w:t>
      </w:r>
      <w:r>
        <w:rPr>
          <w:w w:val="105"/>
        </w:rPr>
        <w:t>following</w:t>
      </w:r>
      <w:r>
        <w:rPr>
          <w:spacing w:val="-7"/>
          <w:w w:val="105"/>
        </w:rPr>
        <w:t> </w:t>
      </w:r>
      <w:r>
        <w:rPr>
          <w:w w:val="105"/>
        </w:rPr>
        <w:t>table</w:t>
      </w:r>
      <w:r>
        <w:rPr>
          <w:spacing w:val="-8"/>
          <w:w w:val="105"/>
        </w:rPr>
        <w:t> </w:t>
      </w:r>
      <w:r>
        <w:rPr>
          <w:w w:val="105"/>
        </w:rPr>
        <w:t>sets</w:t>
      </w:r>
      <w:r>
        <w:rPr>
          <w:spacing w:val="-7"/>
          <w:w w:val="105"/>
        </w:rPr>
        <w:t> </w:t>
      </w:r>
      <w:r>
        <w:rPr>
          <w:w w:val="105"/>
        </w:rPr>
        <w:t>forth</w:t>
      </w:r>
      <w:r>
        <w:rPr>
          <w:spacing w:val="-7"/>
          <w:w w:val="105"/>
        </w:rPr>
        <w:t> </w:t>
      </w:r>
      <w:r>
        <w:rPr>
          <w:w w:val="105"/>
        </w:rPr>
        <w:t>a</w:t>
      </w:r>
      <w:r>
        <w:rPr>
          <w:spacing w:val="-8"/>
          <w:w w:val="105"/>
        </w:rPr>
        <w:t> </w:t>
      </w:r>
      <w:r>
        <w:rPr>
          <w:w w:val="105"/>
        </w:rPr>
        <w:t>summary</w:t>
      </w:r>
      <w:r>
        <w:rPr>
          <w:spacing w:val="-7"/>
          <w:w w:val="105"/>
        </w:rPr>
        <w:t> </w:t>
      </w:r>
      <w:r>
        <w:rPr>
          <w:w w:val="105"/>
        </w:rPr>
        <w:t>of</w:t>
      </w:r>
      <w:r>
        <w:rPr>
          <w:spacing w:val="-8"/>
          <w:w w:val="105"/>
        </w:rPr>
        <w:t> </w:t>
      </w:r>
      <w:r>
        <w:rPr>
          <w:w w:val="105"/>
        </w:rPr>
        <w:t>changes</w:t>
      </w:r>
      <w:r>
        <w:rPr>
          <w:spacing w:val="-7"/>
          <w:w w:val="105"/>
        </w:rPr>
        <w:t> </w:t>
      </w:r>
      <w:r>
        <w:rPr>
          <w:w w:val="105"/>
        </w:rPr>
        <w:t>in</w:t>
      </w:r>
      <w:r>
        <w:rPr>
          <w:spacing w:val="-7"/>
          <w:w w:val="105"/>
        </w:rPr>
        <w:t> </w:t>
      </w:r>
      <w:r>
        <w:rPr>
          <w:w w:val="105"/>
        </w:rPr>
        <w:t>the</w:t>
      </w:r>
      <w:r>
        <w:rPr>
          <w:spacing w:val="-6"/>
          <w:w w:val="105"/>
        </w:rPr>
        <w:t> </w:t>
      </w:r>
      <w:r>
        <w:rPr>
          <w:w w:val="105"/>
        </w:rPr>
        <w:t>fair</w:t>
      </w:r>
      <w:r>
        <w:rPr>
          <w:spacing w:val="-8"/>
          <w:w w:val="105"/>
        </w:rPr>
        <w:t> </w:t>
      </w:r>
      <w:r>
        <w:rPr>
          <w:w w:val="105"/>
        </w:rPr>
        <w:t>value</w:t>
      </w:r>
      <w:r>
        <w:rPr>
          <w:spacing w:val="-7"/>
          <w:w w:val="105"/>
        </w:rPr>
        <w:t> </w:t>
      </w:r>
      <w:r>
        <w:rPr>
          <w:w w:val="105"/>
        </w:rPr>
        <w:t>of</w:t>
      </w:r>
      <w:r>
        <w:rPr>
          <w:spacing w:val="-7"/>
          <w:w w:val="105"/>
        </w:rPr>
        <w:t> </w:t>
      </w:r>
      <w:r>
        <w:rPr>
          <w:w w:val="105"/>
        </w:rPr>
        <w:t>the</w:t>
      </w:r>
      <w:r>
        <w:rPr>
          <w:spacing w:val="-8"/>
          <w:w w:val="105"/>
        </w:rPr>
        <w:t> </w:t>
      </w:r>
      <w:r>
        <w:rPr>
          <w:w w:val="105"/>
        </w:rPr>
        <w:t>defined</w:t>
      </w:r>
      <w:r>
        <w:rPr>
          <w:spacing w:val="-7"/>
          <w:w w:val="105"/>
        </w:rPr>
        <w:t> </w:t>
      </w:r>
      <w:r>
        <w:rPr>
          <w:w w:val="105"/>
        </w:rPr>
        <w:t>benefit</w:t>
      </w:r>
      <w:r>
        <w:rPr>
          <w:spacing w:val="-8"/>
          <w:w w:val="105"/>
        </w:rPr>
        <w:t> </w:t>
      </w:r>
      <w:r>
        <w:rPr>
          <w:w w:val="105"/>
        </w:rPr>
        <w:t>plans</w:t>
      </w:r>
      <w:r>
        <w:rPr>
          <w:spacing w:val="-7"/>
          <w:w w:val="105"/>
        </w:rPr>
        <w:t> </w:t>
      </w:r>
      <w:r>
        <w:rPr>
          <w:w w:val="105"/>
        </w:rPr>
        <w:t>Level</w:t>
      </w:r>
      <w:r>
        <w:rPr>
          <w:spacing w:val="-7"/>
          <w:w w:val="105"/>
        </w:rPr>
        <w:t> </w:t>
      </w:r>
      <w:r>
        <w:rPr>
          <w:w w:val="105"/>
        </w:rPr>
        <w:t>3</w:t>
      </w:r>
      <w:r>
        <w:rPr>
          <w:spacing w:val="-7"/>
          <w:w w:val="105"/>
        </w:rPr>
        <w:t> </w:t>
      </w:r>
      <w:r>
        <w:rPr>
          <w:spacing w:val="-2"/>
          <w:w w:val="105"/>
        </w:rPr>
        <w:t>assets:</w:t>
      </w:r>
    </w:p>
    <w:p>
      <w:pPr>
        <w:pStyle w:val="BodyText"/>
        <w:spacing w:before="1"/>
        <w:rPr>
          <w:sz w:val="17"/>
        </w:rPr>
      </w:pPr>
      <w:r>
        <w:rPr/>
        <mc:AlternateContent>
          <mc:Choice Requires="wps">
            <w:drawing>
              <wp:anchor distT="0" distB="0" distL="0" distR="0" allowOverlap="1" layoutInCell="1" locked="0" behindDoc="1" simplePos="0" relativeHeight="487720448">
                <wp:simplePos x="0" y="0"/>
                <wp:positionH relativeFrom="page">
                  <wp:posOffset>226479</wp:posOffset>
                </wp:positionH>
                <wp:positionV relativeFrom="paragraph">
                  <wp:posOffset>140066</wp:posOffset>
                </wp:positionV>
                <wp:extent cx="7312659" cy="16510"/>
                <wp:effectExtent l="0" t="0" r="0" b="0"/>
                <wp:wrapTopAndBottom/>
                <wp:docPr id="624" name="Graphic 624"/>
                <wp:cNvGraphicFramePr>
                  <a:graphicFrameLocks/>
                </wp:cNvGraphicFramePr>
                <a:graphic>
                  <a:graphicData uri="http://schemas.microsoft.com/office/word/2010/wordprocessingShape">
                    <wps:wsp>
                      <wps:cNvPr id="624" name="Graphic 624"/>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11.028834pt;width:575.775027pt;height:1.274pt;mso-position-horizontal-relative:page;mso-position-vertical-relative:paragraph;z-index:-15596032;mso-wrap-distance-left:0;mso-wrap-distance-right:0" id="docshape623" filled="true" fillcolor="#000000" stroked="false">
                <v:fill type="solid"/>
                <w10:wrap type="topAndBottom"/>
              </v:rect>
            </w:pict>
          </mc:Fallback>
        </mc:AlternateContent>
      </w:r>
    </w:p>
    <w:p>
      <w:pPr>
        <w:pStyle w:val="BodyText"/>
        <w:tabs>
          <w:tab w:pos="9214" w:val="left" w:leader="none"/>
        </w:tabs>
        <w:spacing w:before="3" w:after="23"/>
        <w:ind w:left="6474"/>
      </w:pPr>
      <w:r>
        <w:rPr>
          <w:w w:val="105"/>
        </w:rPr>
        <w:t>Level</w:t>
      </w:r>
      <w:r>
        <w:rPr>
          <w:spacing w:val="-7"/>
          <w:w w:val="105"/>
        </w:rPr>
        <w:t> </w:t>
      </w:r>
      <w:r>
        <w:rPr>
          <w:w w:val="105"/>
        </w:rPr>
        <w:t>3</w:t>
      </w:r>
      <w:r>
        <w:rPr>
          <w:spacing w:val="-7"/>
          <w:w w:val="105"/>
        </w:rPr>
        <w:t> </w:t>
      </w:r>
      <w:r>
        <w:rPr>
          <w:w w:val="105"/>
        </w:rPr>
        <w:t>assets</w:t>
      </w:r>
      <w:r>
        <w:rPr>
          <w:spacing w:val="-7"/>
          <w:w w:val="105"/>
        </w:rPr>
        <w:t> </w:t>
      </w:r>
      <w:r>
        <w:rPr>
          <w:w w:val="105"/>
        </w:rPr>
        <w:t>–</w:t>
      </w:r>
      <w:r>
        <w:rPr>
          <w:spacing w:val="-6"/>
          <w:w w:val="105"/>
        </w:rPr>
        <w:t> </w:t>
      </w:r>
      <w:r>
        <w:rPr>
          <w:spacing w:val="-2"/>
          <w:w w:val="105"/>
        </w:rPr>
        <w:t>domestic</w:t>
      </w:r>
      <w:r>
        <w:rPr/>
        <w:tab/>
      </w:r>
      <w:r>
        <w:rPr>
          <w:w w:val="105"/>
        </w:rPr>
        <w:t>Level</w:t>
      </w:r>
      <w:r>
        <w:rPr>
          <w:spacing w:val="-7"/>
          <w:w w:val="105"/>
        </w:rPr>
        <w:t> </w:t>
      </w:r>
      <w:r>
        <w:rPr>
          <w:w w:val="105"/>
        </w:rPr>
        <w:t>3</w:t>
      </w:r>
      <w:r>
        <w:rPr>
          <w:spacing w:val="-7"/>
          <w:w w:val="105"/>
        </w:rPr>
        <w:t> </w:t>
      </w:r>
      <w:r>
        <w:rPr>
          <w:w w:val="105"/>
        </w:rPr>
        <w:t>assets</w:t>
      </w:r>
      <w:r>
        <w:rPr>
          <w:spacing w:val="-7"/>
          <w:w w:val="105"/>
        </w:rPr>
        <w:t> </w:t>
      </w:r>
      <w:r>
        <w:rPr>
          <w:w w:val="105"/>
        </w:rPr>
        <w:t>–</w:t>
      </w:r>
      <w:r>
        <w:rPr>
          <w:spacing w:val="-6"/>
          <w:w w:val="105"/>
        </w:rPr>
        <w:t> </w:t>
      </w:r>
      <w:r>
        <w:rPr>
          <w:spacing w:val="-2"/>
          <w:w w:val="105"/>
        </w:rPr>
        <w:t>international</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6"/>
        <w:gridCol w:w="505"/>
        <w:gridCol w:w="1289"/>
        <w:gridCol w:w="1336"/>
        <w:gridCol w:w="115"/>
        <w:gridCol w:w="1686"/>
        <w:gridCol w:w="842"/>
        <w:gridCol w:w="338"/>
      </w:tblGrid>
      <w:tr>
        <w:trPr>
          <w:trHeight w:val="405" w:hRule="atLeast"/>
        </w:trPr>
        <w:tc>
          <w:tcPr>
            <w:tcW w:w="5406" w:type="dxa"/>
            <w:tcBorders>
              <w:bottom w:val="single" w:sz="6" w:space="0" w:color="000000"/>
            </w:tcBorders>
          </w:tcPr>
          <w:p>
            <w:pPr>
              <w:pStyle w:val="TableParagraph"/>
              <w:spacing w:before="22"/>
              <w:rPr>
                <w:sz w:val="16"/>
              </w:rPr>
            </w:pPr>
          </w:p>
          <w:p>
            <w:pPr>
              <w:pStyle w:val="TableParagraph"/>
              <w:spacing w:line="179" w:lineRule="exact"/>
              <w:rPr>
                <w:sz w:val="16"/>
              </w:rPr>
            </w:pPr>
            <w:r>
              <w:rPr>
                <w:w w:val="105"/>
                <w:sz w:val="16"/>
              </w:rPr>
              <w:t>(in</w:t>
            </w:r>
            <w:r>
              <w:rPr>
                <w:spacing w:val="-5"/>
                <w:w w:val="105"/>
                <w:sz w:val="16"/>
              </w:rPr>
              <w:t> </w:t>
            </w:r>
            <w:r>
              <w:rPr>
                <w:spacing w:val="-2"/>
                <w:w w:val="105"/>
                <w:sz w:val="16"/>
              </w:rPr>
              <w:t>millions)</w:t>
            </w:r>
          </w:p>
        </w:tc>
        <w:tc>
          <w:tcPr>
            <w:tcW w:w="505" w:type="dxa"/>
            <w:tcBorders>
              <w:bottom w:val="single" w:sz="6" w:space="0" w:color="000000"/>
            </w:tcBorders>
          </w:tcPr>
          <w:p>
            <w:pPr>
              <w:pStyle w:val="TableParagraph"/>
              <w:rPr>
                <w:sz w:val="14"/>
              </w:rPr>
            </w:pPr>
          </w:p>
        </w:tc>
        <w:tc>
          <w:tcPr>
            <w:tcW w:w="1289" w:type="dxa"/>
            <w:tcBorders>
              <w:top w:val="single" w:sz="6" w:space="0" w:color="000000"/>
              <w:bottom w:val="single" w:sz="6" w:space="0" w:color="000000"/>
            </w:tcBorders>
          </w:tcPr>
          <w:p>
            <w:pPr>
              <w:pStyle w:val="TableParagraph"/>
              <w:spacing w:before="22"/>
              <w:rPr>
                <w:sz w:val="16"/>
              </w:rPr>
            </w:pPr>
          </w:p>
          <w:p>
            <w:pPr>
              <w:pStyle w:val="TableParagraph"/>
              <w:spacing w:line="179" w:lineRule="exact"/>
              <w:ind w:left="110"/>
              <w:rPr>
                <w:sz w:val="16"/>
              </w:rPr>
            </w:pPr>
            <w:r>
              <w:rPr>
                <w:w w:val="105"/>
                <w:sz w:val="16"/>
              </w:rPr>
              <w:t>Private</w:t>
            </w:r>
            <w:r>
              <w:rPr>
                <w:spacing w:val="-11"/>
                <w:w w:val="105"/>
                <w:sz w:val="16"/>
              </w:rPr>
              <w:t> </w:t>
            </w:r>
            <w:r>
              <w:rPr>
                <w:spacing w:val="-2"/>
                <w:w w:val="105"/>
                <w:sz w:val="16"/>
              </w:rPr>
              <w:t>equity</w:t>
            </w:r>
          </w:p>
        </w:tc>
        <w:tc>
          <w:tcPr>
            <w:tcW w:w="1336" w:type="dxa"/>
            <w:tcBorders>
              <w:top w:val="single" w:sz="6" w:space="0" w:color="000000"/>
              <w:bottom w:val="single" w:sz="6" w:space="0" w:color="000000"/>
            </w:tcBorders>
          </w:tcPr>
          <w:p>
            <w:pPr>
              <w:pStyle w:val="TableParagraph"/>
              <w:spacing w:before="22"/>
              <w:rPr>
                <w:sz w:val="16"/>
              </w:rPr>
            </w:pPr>
          </w:p>
          <w:p>
            <w:pPr>
              <w:pStyle w:val="TableParagraph"/>
              <w:spacing w:line="179" w:lineRule="exact"/>
              <w:ind w:left="291"/>
              <w:rPr>
                <w:sz w:val="16"/>
              </w:rPr>
            </w:pPr>
            <w:r>
              <w:rPr>
                <w:w w:val="105"/>
                <w:sz w:val="16"/>
              </w:rPr>
              <w:t>Real</w:t>
            </w:r>
            <w:r>
              <w:rPr>
                <w:spacing w:val="-7"/>
                <w:w w:val="105"/>
                <w:sz w:val="16"/>
              </w:rPr>
              <w:t> </w:t>
            </w:r>
            <w:r>
              <w:rPr>
                <w:spacing w:val="-2"/>
                <w:w w:val="105"/>
                <w:sz w:val="16"/>
              </w:rPr>
              <w:t>estate</w:t>
            </w:r>
          </w:p>
        </w:tc>
        <w:tc>
          <w:tcPr>
            <w:tcW w:w="115" w:type="dxa"/>
            <w:tcBorders>
              <w:bottom w:val="single" w:sz="6" w:space="0" w:color="000000"/>
            </w:tcBorders>
          </w:tcPr>
          <w:p>
            <w:pPr>
              <w:pStyle w:val="TableParagraph"/>
              <w:rPr>
                <w:sz w:val="14"/>
              </w:rPr>
            </w:pPr>
          </w:p>
        </w:tc>
        <w:tc>
          <w:tcPr>
            <w:tcW w:w="1686" w:type="dxa"/>
            <w:tcBorders>
              <w:top w:val="single" w:sz="6" w:space="0" w:color="000000"/>
              <w:bottom w:val="single" w:sz="6" w:space="0" w:color="000000"/>
            </w:tcBorders>
          </w:tcPr>
          <w:p>
            <w:pPr>
              <w:pStyle w:val="TableParagraph"/>
              <w:spacing w:before="22"/>
              <w:rPr>
                <w:sz w:val="16"/>
              </w:rPr>
            </w:pPr>
          </w:p>
          <w:p>
            <w:pPr>
              <w:pStyle w:val="TableParagraph"/>
              <w:spacing w:line="179" w:lineRule="exact"/>
              <w:ind w:left="274"/>
              <w:rPr>
                <w:sz w:val="16"/>
              </w:rPr>
            </w:pPr>
            <w:r>
              <w:rPr>
                <w:spacing w:val="-2"/>
                <w:w w:val="105"/>
                <w:sz w:val="16"/>
              </w:rPr>
              <w:t>Mortgages</w:t>
            </w:r>
          </w:p>
        </w:tc>
        <w:tc>
          <w:tcPr>
            <w:tcW w:w="842" w:type="dxa"/>
            <w:tcBorders>
              <w:top w:val="single" w:sz="6" w:space="0" w:color="000000"/>
              <w:bottom w:val="single" w:sz="6" w:space="0" w:color="000000"/>
            </w:tcBorders>
          </w:tcPr>
          <w:p>
            <w:pPr>
              <w:pStyle w:val="TableParagraph"/>
              <w:spacing w:before="2"/>
              <w:ind w:left="111"/>
              <w:rPr>
                <w:sz w:val="16"/>
              </w:rPr>
            </w:pPr>
            <w:r>
              <w:rPr>
                <w:spacing w:val="-2"/>
                <w:w w:val="105"/>
                <w:sz w:val="16"/>
              </w:rPr>
              <w:t>Insurance</w:t>
            </w:r>
          </w:p>
          <w:p>
            <w:pPr>
              <w:pStyle w:val="TableParagraph"/>
              <w:spacing w:line="179" w:lineRule="exact" w:before="20"/>
              <w:ind w:left="133"/>
              <w:rPr>
                <w:sz w:val="16"/>
              </w:rPr>
            </w:pPr>
            <w:r>
              <w:rPr>
                <w:spacing w:val="-2"/>
                <w:w w:val="105"/>
                <w:sz w:val="16"/>
              </w:rPr>
              <w:t>contracts</w:t>
            </w:r>
          </w:p>
        </w:tc>
        <w:tc>
          <w:tcPr>
            <w:tcW w:w="338" w:type="dxa"/>
            <w:tcBorders>
              <w:top w:val="single" w:sz="6" w:space="0" w:color="000000"/>
              <w:bottom w:val="single" w:sz="6" w:space="0" w:color="000000"/>
            </w:tcBorders>
          </w:tcPr>
          <w:p>
            <w:pPr>
              <w:pStyle w:val="TableParagraph"/>
              <w:rPr>
                <w:sz w:val="14"/>
              </w:rPr>
            </w:pPr>
          </w:p>
        </w:tc>
      </w:tr>
      <w:tr>
        <w:trPr>
          <w:trHeight w:val="202" w:hRule="atLeast"/>
        </w:trPr>
        <w:tc>
          <w:tcPr>
            <w:tcW w:w="5406" w:type="dxa"/>
            <w:tcBorders>
              <w:top w:val="single" w:sz="6" w:space="0" w:color="000000"/>
            </w:tcBorders>
            <w:shd w:val="clear" w:color="auto" w:fill="CCEDFF"/>
          </w:tcPr>
          <w:p>
            <w:pPr>
              <w:pStyle w:val="TableParagraph"/>
              <w:spacing w:line="180" w:lineRule="exact" w:before="2"/>
              <w:rPr>
                <w:sz w:val="16"/>
              </w:rPr>
            </w:pPr>
            <w:r>
              <w:rPr>
                <w:w w:val="105"/>
                <w:sz w:val="16"/>
              </w:rPr>
              <w:t>Balance</w:t>
            </w:r>
            <w:r>
              <w:rPr>
                <w:spacing w:val="-9"/>
                <w:w w:val="105"/>
                <w:sz w:val="16"/>
              </w:rPr>
              <w:t> </w:t>
            </w:r>
            <w:r>
              <w:rPr>
                <w:w w:val="105"/>
                <w:sz w:val="16"/>
              </w:rPr>
              <w:t>at</w:t>
            </w:r>
            <w:r>
              <w:rPr>
                <w:spacing w:val="-8"/>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2019</w:t>
            </w:r>
          </w:p>
        </w:tc>
        <w:tc>
          <w:tcPr>
            <w:tcW w:w="505" w:type="dxa"/>
            <w:tcBorders>
              <w:top w:val="single" w:sz="6" w:space="0" w:color="000000"/>
            </w:tcBorders>
            <w:shd w:val="clear" w:color="auto" w:fill="CCEDFF"/>
          </w:tcPr>
          <w:p>
            <w:pPr>
              <w:pStyle w:val="TableParagraph"/>
              <w:rPr>
                <w:sz w:val="14"/>
              </w:rPr>
            </w:pPr>
          </w:p>
        </w:tc>
        <w:tc>
          <w:tcPr>
            <w:tcW w:w="1289" w:type="dxa"/>
            <w:tcBorders>
              <w:top w:val="single" w:sz="6" w:space="0" w:color="000000"/>
            </w:tcBorders>
            <w:shd w:val="clear" w:color="auto" w:fill="CCEDFF"/>
          </w:tcPr>
          <w:p>
            <w:pPr>
              <w:pStyle w:val="TableParagraph"/>
              <w:tabs>
                <w:tab w:pos="980" w:val="left" w:leader="none"/>
              </w:tabs>
              <w:spacing w:line="180" w:lineRule="exact" w:before="2"/>
              <w:ind w:left="-1" w:right="140"/>
              <w:jc w:val="right"/>
              <w:rPr>
                <w:sz w:val="16"/>
              </w:rPr>
            </w:pPr>
            <w:r>
              <w:rPr>
                <w:spacing w:val="-10"/>
                <w:w w:val="105"/>
                <w:sz w:val="16"/>
              </w:rPr>
              <w:t>$</w:t>
            </w:r>
            <w:r>
              <w:rPr>
                <w:sz w:val="16"/>
              </w:rPr>
              <w:tab/>
            </w:r>
            <w:r>
              <w:rPr>
                <w:spacing w:val="-7"/>
                <w:w w:val="105"/>
                <w:sz w:val="16"/>
              </w:rPr>
              <w:t>64</w:t>
            </w:r>
          </w:p>
        </w:tc>
        <w:tc>
          <w:tcPr>
            <w:tcW w:w="1336" w:type="dxa"/>
            <w:tcBorders>
              <w:top w:val="single" w:sz="6" w:space="0" w:color="000000"/>
            </w:tcBorders>
            <w:shd w:val="clear" w:color="auto" w:fill="CCEDFF"/>
          </w:tcPr>
          <w:p>
            <w:pPr>
              <w:pStyle w:val="TableParagraph"/>
              <w:tabs>
                <w:tab w:pos="885" w:val="left" w:leader="none"/>
              </w:tabs>
              <w:spacing w:line="180" w:lineRule="exact" w:before="2"/>
              <w:ind w:right="113"/>
              <w:jc w:val="right"/>
              <w:rPr>
                <w:sz w:val="16"/>
              </w:rPr>
            </w:pPr>
            <w:r>
              <w:rPr>
                <w:spacing w:val="-10"/>
                <w:w w:val="105"/>
                <w:sz w:val="16"/>
              </w:rPr>
              <w:t>$</w:t>
            </w:r>
            <w:r>
              <w:rPr>
                <w:sz w:val="16"/>
              </w:rPr>
              <w:tab/>
            </w:r>
            <w:r>
              <w:rPr>
                <w:spacing w:val="-5"/>
                <w:w w:val="105"/>
                <w:sz w:val="16"/>
              </w:rPr>
              <w:t>145</w:t>
            </w:r>
          </w:p>
        </w:tc>
        <w:tc>
          <w:tcPr>
            <w:tcW w:w="115" w:type="dxa"/>
            <w:tcBorders>
              <w:top w:val="single" w:sz="6" w:space="0" w:color="000000"/>
            </w:tcBorders>
            <w:shd w:val="clear" w:color="auto" w:fill="CCEDFF"/>
          </w:tcPr>
          <w:p>
            <w:pPr>
              <w:pStyle w:val="TableParagraph"/>
              <w:rPr>
                <w:sz w:val="14"/>
              </w:rPr>
            </w:pPr>
          </w:p>
        </w:tc>
        <w:tc>
          <w:tcPr>
            <w:tcW w:w="1686" w:type="dxa"/>
            <w:tcBorders>
              <w:top w:val="single" w:sz="6" w:space="0" w:color="000000"/>
            </w:tcBorders>
            <w:shd w:val="clear" w:color="auto" w:fill="CCEDFF"/>
          </w:tcPr>
          <w:p>
            <w:pPr>
              <w:pStyle w:val="TableParagraph"/>
              <w:tabs>
                <w:tab w:pos="1093" w:val="left" w:leader="none"/>
                <w:tab w:pos="1488" w:val="left" w:leader="none"/>
              </w:tabs>
              <w:spacing w:line="180" w:lineRule="exact" w:before="2"/>
              <w:ind w:left="-2"/>
              <w:rPr>
                <w:sz w:val="16"/>
              </w:rPr>
            </w:pPr>
            <w:r>
              <w:rPr>
                <w:spacing w:val="-10"/>
                <w:w w:val="105"/>
                <w:sz w:val="16"/>
              </w:rPr>
              <w:t>$</w:t>
            </w:r>
            <w:r>
              <w:rPr>
                <w:sz w:val="16"/>
              </w:rPr>
              <w:tab/>
            </w:r>
            <w:r>
              <w:rPr>
                <w:spacing w:val="-5"/>
                <w:w w:val="105"/>
                <w:sz w:val="16"/>
              </w:rPr>
              <w:t>21</w:t>
            </w:r>
            <w:r>
              <w:rPr>
                <w:sz w:val="16"/>
              </w:rPr>
              <w:tab/>
            </w:r>
            <w:r>
              <w:rPr>
                <w:spacing w:val="-12"/>
                <w:w w:val="105"/>
                <w:sz w:val="16"/>
              </w:rPr>
              <w:t>$</w:t>
            </w:r>
          </w:p>
        </w:tc>
        <w:tc>
          <w:tcPr>
            <w:tcW w:w="842" w:type="dxa"/>
            <w:tcBorders>
              <w:top w:val="single" w:sz="6" w:space="0" w:color="000000"/>
            </w:tcBorders>
            <w:shd w:val="clear" w:color="auto" w:fill="CCEDFF"/>
          </w:tcPr>
          <w:p>
            <w:pPr>
              <w:pStyle w:val="TableParagraph"/>
              <w:rPr>
                <w:sz w:val="14"/>
              </w:rPr>
            </w:pPr>
          </w:p>
        </w:tc>
        <w:tc>
          <w:tcPr>
            <w:tcW w:w="338" w:type="dxa"/>
            <w:tcBorders>
              <w:top w:val="single" w:sz="6" w:space="0" w:color="000000"/>
            </w:tcBorders>
            <w:shd w:val="clear" w:color="auto" w:fill="CCEDFF"/>
          </w:tcPr>
          <w:p>
            <w:pPr>
              <w:pStyle w:val="TableParagraph"/>
              <w:spacing w:line="180" w:lineRule="exact" w:before="2"/>
              <w:ind w:left="22"/>
              <w:jc w:val="center"/>
              <w:rPr>
                <w:sz w:val="16"/>
              </w:rPr>
            </w:pPr>
            <w:r>
              <w:rPr>
                <w:spacing w:val="-10"/>
                <w:w w:val="105"/>
                <w:sz w:val="16"/>
              </w:rPr>
              <w:t>2</w:t>
            </w:r>
          </w:p>
        </w:tc>
      </w:tr>
      <w:tr>
        <w:trPr>
          <w:trHeight w:val="203" w:hRule="atLeast"/>
        </w:trPr>
        <w:tc>
          <w:tcPr>
            <w:tcW w:w="5406" w:type="dxa"/>
          </w:tcPr>
          <w:p>
            <w:pPr>
              <w:pStyle w:val="TableParagraph"/>
              <w:spacing w:line="180" w:lineRule="exact" w:before="3"/>
              <w:rPr>
                <w:sz w:val="16"/>
              </w:rPr>
            </w:pPr>
            <w:r>
              <w:rPr>
                <w:w w:val="105"/>
                <w:sz w:val="16"/>
              </w:rPr>
              <w:t>Actual</w:t>
            </w:r>
            <w:r>
              <w:rPr>
                <w:spacing w:val="-8"/>
                <w:w w:val="105"/>
                <w:sz w:val="16"/>
              </w:rPr>
              <w:t> </w:t>
            </w:r>
            <w:r>
              <w:rPr>
                <w:w w:val="105"/>
                <w:sz w:val="16"/>
              </w:rPr>
              <w:t>return</w:t>
            </w:r>
            <w:r>
              <w:rPr>
                <w:spacing w:val="-8"/>
                <w:w w:val="105"/>
                <w:sz w:val="16"/>
              </w:rPr>
              <w:t> </w:t>
            </w:r>
            <w:r>
              <w:rPr>
                <w:w w:val="105"/>
                <w:sz w:val="16"/>
              </w:rPr>
              <w:t>on</w:t>
            </w:r>
            <w:r>
              <w:rPr>
                <w:spacing w:val="-8"/>
                <w:w w:val="105"/>
                <w:sz w:val="16"/>
              </w:rPr>
              <w:t> </w:t>
            </w:r>
            <w:r>
              <w:rPr>
                <w:w w:val="105"/>
                <w:sz w:val="16"/>
              </w:rPr>
              <w:t>plan</w:t>
            </w:r>
            <w:r>
              <w:rPr>
                <w:spacing w:val="-8"/>
                <w:w w:val="105"/>
                <w:sz w:val="16"/>
              </w:rPr>
              <w:t> </w:t>
            </w:r>
            <w:r>
              <w:rPr>
                <w:w w:val="105"/>
                <w:sz w:val="16"/>
              </w:rPr>
              <w:t>assets</w:t>
            </w:r>
            <w:r>
              <w:rPr>
                <w:spacing w:val="-6"/>
                <w:w w:val="105"/>
                <w:sz w:val="16"/>
              </w:rPr>
              <w:t> </w:t>
            </w:r>
            <w:r>
              <w:rPr>
                <w:w w:val="105"/>
                <w:sz w:val="16"/>
              </w:rPr>
              <w:t>relating</w:t>
            </w:r>
            <w:r>
              <w:rPr>
                <w:spacing w:val="-7"/>
                <w:w w:val="105"/>
                <w:sz w:val="16"/>
              </w:rPr>
              <w:t> </w:t>
            </w:r>
            <w:r>
              <w:rPr>
                <w:w w:val="105"/>
                <w:sz w:val="16"/>
              </w:rPr>
              <w:t>to</w:t>
            </w:r>
            <w:r>
              <w:rPr>
                <w:spacing w:val="-8"/>
                <w:w w:val="105"/>
                <w:sz w:val="16"/>
              </w:rPr>
              <w:t> </w:t>
            </w:r>
            <w:r>
              <w:rPr>
                <w:w w:val="105"/>
                <w:sz w:val="16"/>
              </w:rPr>
              <w:t>assets</w:t>
            </w:r>
            <w:r>
              <w:rPr>
                <w:spacing w:val="-8"/>
                <w:w w:val="105"/>
                <w:sz w:val="16"/>
              </w:rPr>
              <w:t> </w:t>
            </w:r>
            <w:r>
              <w:rPr>
                <w:w w:val="105"/>
                <w:sz w:val="16"/>
              </w:rPr>
              <w:t>still</w:t>
            </w:r>
            <w:r>
              <w:rPr>
                <w:spacing w:val="-8"/>
                <w:w w:val="105"/>
                <w:sz w:val="16"/>
              </w:rPr>
              <w:t> </w:t>
            </w:r>
            <w:r>
              <w:rPr>
                <w:w w:val="105"/>
                <w:sz w:val="16"/>
              </w:rPr>
              <w:t>held</w:t>
            </w:r>
            <w:r>
              <w:rPr>
                <w:spacing w:val="-8"/>
                <w:w w:val="105"/>
                <w:sz w:val="16"/>
              </w:rPr>
              <w:t> </w:t>
            </w:r>
            <w:r>
              <w:rPr>
                <w:w w:val="105"/>
                <w:sz w:val="16"/>
              </w:rPr>
              <w:t>at</w:t>
            </w:r>
            <w:r>
              <w:rPr>
                <w:spacing w:val="-7"/>
                <w:w w:val="105"/>
                <w:sz w:val="16"/>
              </w:rPr>
              <w:t> </w:t>
            </w:r>
            <w:r>
              <w:rPr>
                <w:w w:val="105"/>
                <w:sz w:val="16"/>
              </w:rPr>
              <w:t>the</w:t>
            </w:r>
            <w:r>
              <w:rPr>
                <w:spacing w:val="-8"/>
                <w:w w:val="105"/>
                <w:sz w:val="16"/>
              </w:rPr>
              <w:t> </w:t>
            </w:r>
            <w:r>
              <w:rPr>
                <w:w w:val="105"/>
                <w:sz w:val="16"/>
              </w:rPr>
              <w:t>reporting</w:t>
            </w:r>
            <w:r>
              <w:rPr>
                <w:spacing w:val="-8"/>
                <w:w w:val="105"/>
                <w:sz w:val="16"/>
              </w:rPr>
              <w:t> </w:t>
            </w:r>
            <w:r>
              <w:rPr>
                <w:spacing w:val="-4"/>
                <w:w w:val="105"/>
                <w:sz w:val="16"/>
              </w:rPr>
              <w:t>date</w:t>
            </w:r>
          </w:p>
        </w:tc>
        <w:tc>
          <w:tcPr>
            <w:tcW w:w="505" w:type="dxa"/>
          </w:tcPr>
          <w:p>
            <w:pPr>
              <w:pStyle w:val="TableParagraph"/>
              <w:rPr>
                <w:sz w:val="14"/>
              </w:rPr>
            </w:pPr>
          </w:p>
        </w:tc>
        <w:tc>
          <w:tcPr>
            <w:tcW w:w="1289" w:type="dxa"/>
          </w:tcPr>
          <w:p>
            <w:pPr>
              <w:pStyle w:val="TableParagraph"/>
              <w:spacing w:line="180" w:lineRule="exact" w:before="3"/>
              <w:ind w:left="-1" w:right="140"/>
              <w:jc w:val="right"/>
              <w:rPr>
                <w:sz w:val="16"/>
              </w:rPr>
            </w:pPr>
            <w:r>
              <w:rPr>
                <w:spacing w:val="-10"/>
                <w:w w:val="105"/>
                <w:sz w:val="16"/>
              </w:rPr>
              <w:t>4</w:t>
            </w:r>
          </w:p>
        </w:tc>
        <w:tc>
          <w:tcPr>
            <w:tcW w:w="1336" w:type="dxa"/>
          </w:tcPr>
          <w:p>
            <w:pPr>
              <w:pStyle w:val="TableParagraph"/>
              <w:rPr>
                <w:sz w:val="14"/>
              </w:rPr>
            </w:pPr>
          </w:p>
        </w:tc>
        <w:tc>
          <w:tcPr>
            <w:tcW w:w="115" w:type="dxa"/>
          </w:tcPr>
          <w:p>
            <w:pPr>
              <w:pStyle w:val="TableParagraph"/>
              <w:rPr>
                <w:sz w:val="14"/>
              </w:rPr>
            </w:pPr>
          </w:p>
        </w:tc>
        <w:tc>
          <w:tcPr>
            <w:tcW w:w="1686" w:type="dxa"/>
          </w:tcPr>
          <w:p>
            <w:pPr>
              <w:pStyle w:val="TableParagraph"/>
              <w:rPr>
                <w:sz w:val="14"/>
              </w:rPr>
            </w:pPr>
          </w:p>
        </w:tc>
        <w:tc>
          <w:tcPr>
            <w:tcW w:w="842" w:type="dxa"/>
          </w:tcPr>
          <w:p>
            <w:pPr>
              <w:pStyle w:val="TableParagraph"/>
              <w:rPr>
                <w:sz w:val="14"/>
              </w:rPr>
            </w:pPr>
          </w:p>
        </w:tc>
        <w:tc>
          <w:tcPr>
            <w:tcW w:w="338" w:type="dxa"/>
          </w:tcPr>
          <w:p>
            <w:pPr>
              <w:pStyle w:val="TableParagraph"/>
              <w:rPr>
                <w:sz w:val="14"/>
              </w:rPr>
            </w:pPr>
          </w:p>
        </w:tc>
      </w:tr>
      <w:tr>
        <w:trPr>
          <w:trHeight w:val="202" w:hRule="atLeast"/>
        </w:trPr>
        <w:tc>
          <w:tcPr>
            <w:tcW w:w="5406" w:type="dxa"/>
            <w:tcBorders>
              <w:bottom w:val="single" w:sz="6" w:space="0" w:color="000000"/>
            </w:tcBorders>
            <w:shd w:val="clear" w:color="auto" w:fill="CCEDFF"/>
          </w:tcPr>
          <w:p>
            <w:pPr>
              <w:pStyle w:val="TableParagraph"/>
              <w:spacing w:line="179" w:lineRule="exact" w:before="3"/>
              <w:rPr>
                <w:sz w:val="16"/>
              </w:rPr>
            </w:pPr>
            <w:r>
              <w:rPr>
                <w:w w:val="105"/>
                <w:sz w:val="16"/>
              </w:rPr>
              <w:t>Asset</w:t>
            </w:r>
            <w:r>
              <w:rPr>
                <w:spacing w:val="-9"/>
                <w:w w:val="105"/>
                <w:sz w:val="16"/>
              </w:rPr>
              <w:t> </w:t>
            </w:r>
            <w:r>
              <w:rPr>
                <w:w w:val="105"/>
                <w:sz w:val="16"/>
              </w:rPr>
              <w:t>(sales)</w:t>
            </w:r>
            <w:r>
              <w:rPr>
                <w:spacing w:val="-9"/>
                <w:w w:val="105"/>
                <w:sz w:val="16"/>
              </w:rPr>
              <w:t> </w:t>
            </w:r>
            <w:r>
              <w:rPr>
                <w:spacing w:val="-2"/>
                <w:w w:val="105"/>
                <w:sz w:val="16"/>
              </w:rPr>
              <w:t>purchases</w:t>
            </w:r>
          </w:p>
        </w:tc>
        <w:tc>
          <w:tcPr>
            <w:tcW w:w="505" w:type="dxa"/>
            <w:tcBorders>
              <w:bottom w:val="single" w:sz="6" w:space="0" w:color="000000"/>
            </w:tcBorders>
            <w:shd w:val="clear" w:color="auto" w:fill="CCEDFF"/>
          </w:tcPr>
          <w:p>
            <w:pPr>
              <w:pStyle w:val="TableParagraph"/>
              <w:rPr>
                <w:sz w:val="14"/>
              </w:rPr>
            </w:pPr>
          </w:p>
        </w:tc>
        <w:tc>
          <w:tcPr>
            <w:tcW w:w="1289" w:type="dxa"/>
            <w:tcBorders>
              <w:bottom w:val="single" w:sz="6" w:space="0" w:color="000000"/>
            </w:tcBorders>
            <w:shd w:val="clear" w:color="auto" w:fill="CCEDFF"/>
          </w:tcPr>
          <w:p>
            <w:pPr>
              <w:pStyle w:val="TableParagraph"/>
              <w:spacing w:line="179" w:lineRule="exact" w:before="3"/>
              <w:ind w:left="-1" w:right="85"/>
              <w:jc w:val="right"/>
              <w:rPr>
                <w:sz w:val="16"/>
              </w:rPr>
            </w:pPr>
            <w:r>
              <w:rPr>
                <w:spacing w:val="-4"/>
                <w:w w:val="105"/>
                <w:sz w:val="16"/>
              </w:rPr>
              <w:t>(17)</w:t>
            </w:r>
          </w:p>
        </w:tc>
        <w:tc>
          <w:tcPr>
            <w:tcW w:w="1336" w:type="dxa"/>
            <w:tcBorders>
              <w:bottom w:val="single" w:sz="6" w:space="0" w:color="000000"/>
            </w:tcBorders>
            <w:shd w:val="clear" w:color="auto" w:fill="CCEDFF"/>
          </w:tcPr>
          <w:p>
            <w:pPr>
              <w:pStyle w:val="TableParagraph"/>
              <w:spacing w:line="179" w:lineRule="exact" w:before="3"/>
              <w:ind w:right="58"/>
              <w:jc w:val="right"/>
              <w:rPr>
                <w:sz w:val="16"/>
              </w:rPr>
            </w:pPr>
            <w:r>
              <w:rPr>
                <w:spacing w:val="-5"/>
                <w:w w:val="105"/>
                <w:sz w:val="16"/>
              </w:rPr>
              <w:t>(5)</w:t>
            </w:r>
          </w:p>
        </w:tc>
        <w:tc>
          <w:tcPr>
            <w:tcW w:w="115" w:type="dxa"/>
            <w:tcBorders>
              <w:bottom w:val="single" w:sz="6" w:space="0" w:color="000000"/>
            </w:tcBorders>
            <w:shd w:val="clear" w:color="auto" w:fill="CCEDFF"/>
          </w:tcPr>
          <w:p>
            <w:pPr>
              <w:pStyle w:val="TableParagraph"/>
              <w:rPr>
                <w:sz w:val="14"/>
              </w:rPr>
            </w:pPr>
          </w:p>
        </w:tc>
        <w:tc>
          <w:tcPr>
            <w:tcW w:w="1686" w:type="dxa"/>
            <w:tcBorders>
              <w:bottom w:val="single" w:sz="6" w:space="0" w:color="000000"/>
            </w:tcBorders>
            <w:shd w:val="clear" w:color="auto" w:fill="CCEDFF"/>
          </w:tcPr>
          <w:p>
            <w:pPr>
              <w:pStyle w:val="TableParagraph"/>
              <w:spacing w:line="179" w:lineRule="exact" w:before="3"/>
              <w:ind w:left="1121"/>
              <w:rPr>
                <w:sz w:val="16"/>
              </w:rPr>
            </w:pPr>
            <w:r>
              <w:rPr>
                <w:spacing w:val="-5"/>
                <w:w w:val="105"/>
                <w:sz w:val="16"/>
              </w:rPr>
              <w:t>(1)</w:t>
            </w:r>
          </w:p>
        </w:tc>
        <w:tc>
          <w:tcPr>
            <w:tcW w:w="842" w:type="dxa"/>
            <w:tcBorders>
              <w:bottom w:val="single" w:sz="6" w:space="0" w:color="000000"/>
            </w:tcBorders>
            <w:shd w:val="clear" w:color="auto" w:fill="CCEDFF"/>
          </w:tcPr>
          <w:p>
            <w:pPr>
              <w:pStyle w:val="TableParagraph"/>
              <w:rPr>
                <w:sz w:val="14"/>
              </w:rPr>
            </w:pPr>
          </w:p>
        </w:tc>
        <w:tc>
          <w:tcPr>
            <w:tcW w:w="338" w:type="dxa"/>
            <w:tcBorders>
              <w:bottom w:val="single" w:sz="6" w:space="0" w:color="000000"/>
            </w:tcBorders>
            <w:shd w:val="clear" w:color="auto" w:fill="CCEDFF"/>
          </w:tcPr>
          <w:p>
            <w:pPr>
              <w:pStyle w:val="TableParagraph"/>
              <w:spacing w:line="179" w:lineRule="exact" w:before="3"/>
              <w:ind w:left="22"/>
              <w:jc w:val="center"/>
              <w:rPr>
                <w:sz w:val="16"/>
              </w:rPr>
            </w:pPr>
            <w:r>
              <w:rPr>
                <w:spacing w:val="-10"/>
                <w:w w:val="105"/>
                <w:sz w:val="16"/>
              </w:rPr>
              <w:t>1</w:t>
            </w:r>
          </w:p>
        </w:tc>
      </w:tr>
      <w:tr>
        <w:trPr>
          <w:trHeight w:val="202" w:hRule="atLeast"/>
        </w:trPr>
        <w:tc>
          <w:tcPr>
            <w:tcW w:w="5406" w:type="dxa"/>
            <w:tcBorders>
              <w:top w:val="single" w:sz="6" w:space="0" w:color="000000"/>
            </w:tcBorders>
          </w:tcPr>
          <w:p>
            <w:pPr>
              <w:pStyle w:val="TableParagraph"/>
              <w:rPr>
                <w:sz w:val="14"/>
              </w:rPr>
            </w:pPr>
          </w:p>
        </w:tc>
        <w:tc>
          <w:tcPr>
            <w:tcW w:w="505" w:type="dxa"/>
            <w:tcBorders>
              <w:top w:val="single" w:sz="6" w:space="0" w:color="000000"/>
            </w:tcBorders>
          </w:tcPr>
          <w:p>
            <w:pPr>
              <w:pStyle w:val="TableParagraph"/>
              <w:rPr>
                <w:sz w:val="14"/>
              </w:rPr>
            </w:pPr>
          </w:p>
        </w:tc>
        <w:tc>
          <w:tcPr>
            <w:tcW w:w="1289" w:type="dxa"/>
            <w:tcBorders>
              <w:top w:val="single" w:sz="6" w:space="0" w:color="000000"/>
            </w:tcBorders>
          </w:tcPr>
          <w:p>
            <w:pPr>
              <w:pStyle w:val="TableParagraph"/>
              <w:rPr>
                <w:sz w:val="14"/>
              </w:rPr>
            </w:pPr>
          </w:p>
        </w:tc>
        <w:tc>
          <w:tcPr>
            <w:tcW w:w="1336" w:type="dxa"/>
            <w:tcBorders>
              <w:top w:val="single" w:sz="6" w:space="0" w:color="000000"/>
            </w:tcBorders>
          </w:tcPr>
          <w:p>
            <w:pPr>
              <w:pStyle w:val="TableParagraph"/>
              <w:rPr>
                <w:sz w:val="14"/>
              </w:rPr>
            </w:pPr>
          </w:p>
        </w:tc>
        <w:tc>
          <w:tcPr>
            <w:tcW w:w="115" w:type="dxa"/>
            <w:tcBorders>
              <w:top w:val="single" w:sz="6" w:space="0" w:color="000000"/>
            </w:tcBorders>
          </w:tcPr>
          <w:p>
            <w:pPr>
              <w:pStyle w:val="TableParagraph"/>
              <w:rPr>
                <w:sz w:val="14"/>
              </w:rPr>
            </w:pPr>
          </w:p>
        </w:tc>
        <w:tc>
          <w:tcPr>
            <w:tcW w:w="1686" w:type="dxa"/>
            <w:tcBorders>
              <w:top w:val="single" w:sz="6" w:space="0" w:color="000000"/>
            </w:tcBorders>
          </w:tcPr>
          <w:p>
            <w:pPr>
              <w:pStyle w:val="TableParagraph"/>
              <w:rPr>
                <w:sz w:val="14"/>
              </w:rPr>
            </w:pPr>
          </w:p>
        </w:tc>
        <w:tc>
          <w:tcPr>
            <w:tcW w:w="842" w:type="dxa"/>
            <w:tcBorders>
              <w:top w:val="single" w:sz="6" w:space="0" w:color="000000"/>
            </w:tcBorders>
          </w:tcPr>
          <w:p>
            <w:pPr>
              <w:pStyle w:val="TableParagraph"/>
              <w:rPr>
                <w:sz w:val="14"/>
              </w:rPr>
            </w:pPr>
          </w:p>
        </w:tc>
        <w:tc>
          <w:tcPr>
            <w:tcW w:w="338" w:type="dxa"/>
            <w:tcBorders>
              <w:top w:val="single" w:sz="6" w:space="0" w:color="000000"/>
            </w:tcBorders>
          </w:tcPr>
          <w:p>
            <w:pPr>
              <w:pStyle w:val="TableParagraph"/>
              <w:rPr>
                <w:sz w:val="14"/>
              </w:rPr>
            </w:pPr>
          </w:p>
        </w:tc>
      </w:tr>
      <w:tr>
        <w:trPr>
          <w:trHeight w:val="203" w:hRule="atLeast"/>
        </w:trPr>
        <w:tc>
          <w:tcPr>
            <w:tcW w:w="5406" w:type="dxa"/>
            <w:shd w:val="clear" w:color="auto" w:fill="CCEDFF"/>
          </w:tcPr>
          <w:p>
            <w:pPr>
              <w:pStyle w:val="TableParagraph"/>
              <w:spacing w:line="180" w:lineRule="exact" w:before="3"/>
              <w:rPr>
                <w:sz w:val="16"/>
              </w:rPr>
            </w:pPr>
            <w:r>
              <w:rPr>
                <w:w w:val="105"/>
                <w:sz w:val="16"/>
              </w:rPr>
              <w:t>Balance</w:t>
            </w:r>
            <w:r>
              <w:rPr>
                <w:spacing w:val="-9"/>
                <w:w w:val="105"/>
                <w:sz w:val="16"/>
              </w:rPr>
              <w:t> </w:t>
            </w:r>
            <w:r>
              <w:rPr>
                <w:w w:val="105"/>
                <w:sz w:val="16"/>
              </w:rPr>
              <w:t>at</w:t>
            </w:r>
            <w:r>
              <w:rPr>
                <w:spacing w:val="-8"/>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2020</w:t>
            </w:r>
          </w:p>
        </w:tc>
        <w:tc>
          <w:tcPr>
            <w:tcW w:w="505" w:type="dxa"/>
            <w:shd w:val="clear" w:color="auto" w:fill="CCEDFF"/>
          </w:tcPr>
          <w:p>
            <w:pPr>
              <w:pStyle w:val="TableParagraph"/>
              <w:rPr>
                <w:sz w:val="14"/>
              </w:rPr>
            </w:pPr>
          </w:p>
        </w:tc>
        <w:tc>
          <w:tcPr>
            <w:tcW w:w="1289" w:type="dxa"/>
            <w:shd w:val="clear" w:color="auto" w:fill="CCEDFF"/>
          </w:tcPr>
          <w:p>
            <w:pPr>
              <w:pStyle w:val="TableParagraph"/>
              <w:tabs>
                <w:tab w:pos="980" w:val="left" w:leader="none"/>
              </w:tabs>
              <w:spacing w:line="180" w:lineRule="exact" w:before="3"/>
              <w:ind w:left="-1" w:right="140"/>
              <w:jc w:val="right"/>
              <w:rPr>
                <w:sz w:val="16"/>
              </w:rPr>
            </w:pPr>
            <w:r>
              <w:rPr>
                <w:spacing w:val="-10"/>
                <w:w w:val="105"/>
                <w:sz w:val="16"/>
              </w:rPr>
              <w:t>$</w:t>
            </w:r>
            <w:r>
              <w:rPr>
                <w:sz w:val="16"/>
              </w:rPr>
              <w:tab/>
            </w:r>
            <w:r>
              <w:rPr>
                <w:spacing w:val="-7"/>
                <w:w w:val="105"/>
                <w:sz w:val="16"/>
              </w:rPr>
              <w:t>51</w:t>
            </w:r>
          </w:p>
        </w:tc>
        <w:tc>
          <w:tcPr>
            <w:tcW w:w="1336" w:type="dxa"/>
            <w:shd w:val="clear" w:color="auto" w:fill="CCEDFF"/>
          </w:tcPr>
          <w:p>
            <w:pPr>
              <w:pStyle w:val="TableParagraph"/>
              <w:tabs>
                <w:tab w:pos="885" w:val="left" w:leader="none"/>
              </w:tabs>
              <w:spacing w:line="180" w:lineRule="exact" w:before="3"/>
              <w:ind w:right="113"/>
              <w:jc w:val="right"/>
              <w:rPr>
                <w:sz w:val="16"/>
              </w:rPr>
            </w:pPr>
            <w:r>
              <w:rPr>
                <w:spacing w:val="-10"/>
                <w:w w:val="105"/>
                <w:sz w:val="16"/>
              </w:rPr>
              <w:t>$</w:t>
            </w:r>
            <w:r>
              <w:rPr>
                <w:sz w:val="16"/>
              </w:rPr>
              <w:tab/>
            </w:r>
            <w:r>
              <w:rPr>
                <w:spacing w:val="-5"/>
                <w:w w:val="105"/>
                <w:sz w:val="16"/>
              </w:rPr>
              <w:t>140</w:t>
            </w:r>
          </w:p>
        </w:tc>
        <w:tc>
          <w:tcPr>
            <w:tcW w:w="115" w:type="dxa"/>
            <w:shd w:val="clear" w:color="auto" w:fill="CCEDFF"/>
          </w:tcPr>
          <w:p>
            <w:pPr>
              <w:pStyle w:val="TableParagraph"/>
              <w:rPr>
                <w:sz w:val="14"/>
              </w:rPr>
            </w:pPr>
          </w:p>
        </w:tc>
        <w:tc>
          <w:tcPr>
            <w:tcW w:w="1686" w:type="dxa"/>
            <w:shd w:val="clear" w:color="auto" w:fill="CCEDFF"/>
          </w:tcPr>
          <w:p>
            <w:pPr>
              <w:pStyle w:val="TableParagraph"/>
              <w:tabs>
                <w:tab w:pos="1093" w:val="left" w:leader="none"/>
                <w:tab w:pos="1488" w:val="left" w:leader="none"/>
              </w:tabs>
              <w:spacing w:line="180" w:lineRule="exact" w:before="3"/>
              <w:ind w:left="-2"/>
              <w:rPr>
                <w:sz w:val="16"/>
              </w:rPr>
            </w:pPr>
            <w:r>
              <w:rPr>
                <w:spacing w:val="-10"/>
                <w:w w:val="105"/>
                <w:sz w:val="16"/>
              </w:rPr>
              <w:t>$</w:t>
            </w:r>
            <w:r>
              <w:rPr>
                <w:sz w:val="16"/>
              </w:rPr>
              <w:tab/>
            </w:r>
            <w:r>
              <w:rPr>
                <w:spacing w:val="-5"/>
                <w:w w:val="105"/>
                <w:sz w:val="16"/>
              </w:rPr>
              <w:t>20</w:t>
            </w:r>
            <w:r>
              <w:rPr>
                <w:sz w:val="16"/>
              </w:rPr>
              <w:tab/>
            </w:r>
            <w:r>
              <w:rPr>
                <w:spacing w:val="-12"/>
                <w:w w:val="105"/>
                <w:sz w:val="16"/>
              </w:rPr>
              <w:t>$</w:t>
            </w:r>
          </w:p>
        </w:tc>
        <w:tc>
          <w:tcPr>
            <w:tcW w:w="842" w:type="dxa"/>
            <w:shd w:val="clear" w:color="auto" w:fill="CCEDFF"/>
          </w:tcPr>
          <w:p>
            <w:pPr>
              <w:pStyle w:val="TableParagraph"/>
              <w:rPr>
                <w:sz w:val="14"/>
              </w:rPr>
            </w:pPr>
          </w:p>
        </w:tc>
        <w:tc>
          <w:tcPr>
            <w:tcW w:w="338" w:type="dxa"/>
            <w:shd w:val="clear" w:color="auto" w:fill="CCEDFF"/>
          </w:tcPr>
          <w:p>
            <w:pPr>
              <w:pStyle w:val="TableParagraph"/>
              <w:spacing w:line="180" w:lineRule="exact" w:before="3"/>
              <w:ind w:left="22"/>
              <w:jc w:val="center"/>
              <w:rPr>
                <w:sz w:val="16"/>
              </w:rPr>
            </w:pPr>
            <w:r>
              <w:rPr>
                <w:spacing w:val="-10"/>
                <w:w w:val="105"/>
                <w:sz w:val="16"/>
              </w:rPr>
              <w:t>3</w:t>
            </w:r>
          </w:p>
        </w:tc>
      </w:tr>
      <w:tr>
        <w:trPr>
          <w:trHeight w:val="203" w:hRule="atLeast"/>
        </w:trPr>
        <w:tc>
          <w:tcPr>
            <w:tcW w:w="5406" w:type="dxa"/>
          </w:tcPr>
          <w:p>
            <w:pPr>
              <w:pStyle w:val="TableParagraph"/>
              <w:spacing w:line="180" w:lineRule="exact" w:before="3"/>
              <w:rPr>
                <w:sz w:val="16"/>
              </w:rPr>
            </w:pPr>
            <w:r>
              <w:rPr>
                <w:w w:val="105"/>
                <w:sz w:val="16"/>
              </w:rPr>
              <w:t>Actual</w:t>
            </w:r>
            <w:r>
              <w:rPr>
                <w:spacing w:val="-8"/>
                <w:w w:val="105"/>
                <w:sz w:val="16"/>
              </w:rPr>
              <w:t> </w:t>
            </w:r>
            <w:r>
              <w:rPr>
                <w:w w:val="105"/>
                <w:sz w:val="16"/>
              </w:rPr>
              <w:t>return</w:t>
            </w:r>
            <w:r>
              <w:rPr>
                <w:spacing w:val="-8"/>
                <w:w w:val="105"/>
                <w:sz w:val="16"/>
              </w:rPr>
              <w:t> </w:t>
            </w:r>
            <w:r>
              <w:rPr>
                <w:w w:val="105"/>
                <w:sz w:val="16"/>
              </w:rPr>
              <w:t>on</w:t>
            </w:r>
            <w:r>
              <w:rPr>
                <w:spacing w:val="-8"/>
                <w:w w:val="105"/>
                <w:sz w:val="16"/>
              </w:rPr>
              <w:t> </w:t>
            </w:r>
            <w:r>
              <w:rPr>
                <w:w w:val="105"/>
                <w:sz w:val="16"/>
              </w:rPr>
              <w:t>plan</w:t>
            </w:r>
            <w:r>
              <w:rPr>
                <w:spacing w:val="-8"/>
                <w:w w:val="105"/>
                <w:sz w:val="16"/>
              </w:rPr>
              <w:t> </w:t>
            </w:r>
            <w:r>
              <w:rPr>
                <w:w w:val="105"/>
                <w:sz w:val="16"/>
              </w:rPr>
              <w:t>assets</w:t>
            </w:r>
            <w:r>
              <w:rPr>
                <w:spacing w:val="-6"/>
                <w:w w:val="105"/>
                <w:sz w:val="16"/>
              </w:rPr>
              <w:t> </w:t>
            </w:r>
            <w:r>
              <w:rPr>
                <w:w w:val="105"/>
                <w:sz w:val="16"/>
              </w:rPr>
              <w:t>relating</w:t>
            </w:r>
            <w:r>
              <w:rPr>
                <w:spacing w:val="-7"/>
                <w:w w:val="105"/>
                <w:sz w:val="16"/>
              </w:rPr>
              <w:t> </w:t>
            </w:r>
            <w:r>
              <w:rPr>
                <w:w w:val="105"/>
                <w:sz w:val="16"/>
              </w:rPr>
              <w:t>to</w:t>
            </w:r>
            <w:r>
              <w:rPr>
                <w:spacing w:val="-8"/>
                <w:w w:val="105"/>
                <w:sz w:val="16"/>
              </w:rPr>
              <w:t> </w:t>
            </w:r>
            <w:r>
              <w:rPr>
                <w:w w:val="105"/>
                <w:sz w:val="16"/>
              </w:rPr>
              <w:t>assets</w:t>
            </w:r>
            <w:r>
              <w:rPr>
                <w:spacing w:val="-8"/>
                <w:w w:val="105"/>
                <w:sz w:val="16"/>
              </w:rPr>
              <w:t> </w:t>
            </w:r>
            <w:r>
              <w:rPr>
                <w:w w:val="105"/>
                <w:sz w:val="16"/>
              </w:rPr>
              <w:t>still</w:t>
            </w:r>
            <w:r>
              <w:rPr>
                <w:spacing w:val="-8"/>
                <w:w w:val="105"/>
                <w:sz w:val="16"/>
              </w:rPr>
              <w:t> </w:t>
            </w:r>
            <w:r>
              <w:rPr>
                <w:w w:val="105"/>
                <w:sz w:val="16"/>
              </w:rPr>
              <w:t>held</w:t>
            </w:r>
            <w:r>
              <w:rPr>
                <w:spacing w:val="-8"/>
                <w:w w:val="105"/>
                <w:sz w:val="16"/>
              </w:rPr>
              <w:t> </w:t>
            </w:r>
            <w:r>
              <w:rPr>
                <w:w w:val="105"/>
                <w:sz w:val="16"/>
              </w:rPr>
              <w:t>at</w:t>
            </w:r>
            <w:r>
              <w:rPr>
                <w:spacing w:val="-7"/>
                <w:w w:val="105"/>
                <w:sz w:val="16"/>
              </w:rPr>
              <w:t> </w:t>
            </w:r>
            <w:r>
              <w:rPr>
                <w:w w:val="105"/>
                <w:sz w:val="16"/>
              </w:rPr>
              <w:t>the</w:t>
            </w:r>
            <w:r>
              <w:rPr>
                <w:spacing w:val="-8"/>
                <w:w w:val="105"/>
                <w:sz w:val="16"/>
              </w:rPr>
              <w:t> </w:t>
            </w:r>
            <w:r>
              <w:rPr>
                <w:w w:val="105"/>
                <w:sz w:val="16"/>
              </w:rPr>
              <w:t>reporting</w:t>
            </w:r>
            <w:r>
              <w:rPr>
                <w:spacing w:val="-8"/>
                <w:w w:val="105"/>
                <w:sz w:val="16"/>
              </w:rPr>
              <w:t> </w:t>
            </w:r>
            <w:r>
              <w:rPr>
                <w:spacing w:val="-4"/>
                <w:w w:val="105"/>
                <w:sz w:val="16"/>
              </w:rPr>
              <w:t>date</w:t>
            </w:r>
          </w:p>
        </w:tc>
        <w:tc>
          <w:tcPr>
            <w:tcW w:w="505" w:type="dxa"/>
          </w:tcPr>
          <w:p>
            <w:pPr>
              <w:pStyle w:val="TableParagraph"/>
              <w:rPr>
                <w:sz w:val="14"/>
              </w:rPr>
            </w:pPr>
          </w:p>
        </w:tc>
        <w:tc>
          <w:tcPr>
            <w:tcW w:w="1289" w:type="dxa"/>
          </w:tcPr>
          <w:p>
            <w:pPr>
              <w:pStyle w:val="TableParagraph"/>
              <w:spacing w:line="180" w:lineRule="exact" w:before="3"/>
              <w:ind w:left="-1" w:right="140"/>
              <w:jc w:val="right"/>
              <w:rPr>
                <w:sz w:val="16"/>
              </w:rPr>
            </w:pPr>
            <w:r>
              <w:rPr>
                <w:spacing w:val="-5"/>
                <w:w w:val="105"/>
                <w:sz w:val="16"/>
              </w:rPr>
              <w:t>21</w:t>
            </w:r>
          </w:p>
        </w:tc>
        <w:tc>
          <w:tcPr>
            <w:tcW w:w="1336" w:type="dxa"/>
          </w:tcPr>
          <w:p>
            <w:pPr>
              <w:pStyle w:val="TableParagraph"/>
              <w:spacing w:line="180" w:lineRule="exact" w:before="3"/>
              <w:ind w:right="113"/>
              <w:jc w:val="right"/>
              <w:rPr>
                <w:sz w:val="16"/>
              </w:rPr>
            </w:pPr>
            <w:r>
              <w:rPr>
                <w:spacing w:val="-10"/>
                <w:w w:val="105"/>
                <w:sz w:val="16"/>
              </w:rPr>
              <w:t>1</w:t>
            </w:r>
          </w:p>
        </w:tc>
        <w:tc>
          <w:tcPr>
            <w:tcW w:w="115" w:type="dxa"/>
          </w:tcPr>
          <w:p>
            <w:pPr>
              <w:pStyle w:val="TableParagraph"/>
              <w:rPr>
                <w:sz w:val="14"/>
              </w:rPr>
            </w:pPr>
          </w:p>
        </w:tc>
        <w:tc>
          <w:tcPr>
            <w:tcW w:w="1686" w:type="dxa"/>
          </w:tcPr>
          <w:p>
            <w:pPr>
              <w:pStyle w:val="TableParagraph"/>
              <w:spacing w:line="180" w:lineRule="exact" w:before="3"/>
              <w:ind w:right="424"/>
              <w:jc w:val="right"/>
              <w:rPr>
                <w:sz w:val="16"/>
              </w:rPr>
            </w:pPr>
            <w:r>
              <w:rPr>
                <w:spacing w:val="-10"/>
                <w:w w:val="105"/>
                <w:sz w:val="16"/>
              </w:rPr>
              <w:t>2</w:t>
            </w:r>
          </w:p>
        </w:tc>
        <w:tc>
          <w:tcPr>
            <w:tcW w:w="842" w:type="dxa"/>
          </w:tcPr>
          <w:p>
            <w:pPr>
              <w:pStyle w:val="TableParagraph"/>
              <w:rPr>
                <w:sz w:val="14"/>
              </w:rPr>
            </w:pPr>
          </w:p>
        </w:tc>
        <w:tc>
          <w:tcPr>
            <w:tcW w:w="338" w:type="dxa"/>
          </w:tcPr>
          <w:p>
            <w:pPr>
              <w:pStyle w:val="TableParagraph"/>
              <w:rPr>
                <w:sz w:val="14"/>
              </w:rPr>
            </w:pPr>
          </w:p>
        </w:tc>
      </w:tr>
      <w:tr>
        <w:trPr>
          <w:trHeight w:val="203" w:hRule="atLeast"/>
        </w:trPr>
        <w:tc>
          <w:tcPr>
            <w:tcW w:w="5406" w:type="dxa"/>
            <w:shd w:val="clear" w:color="auto" w:fill="CCEDFF"/>
          </w:tcPr>
          <w:p>
            <w:pPr>
              <w:pStyle w:val="TableParagraph"/>
              <w:spacing w:line="180" w:lineRule="exact" w:before="3"/>
              <w:rPr>
                <w:sz w:val="16"/>
              </w:rPr>
            </w:pPr>
            <w:r>
              <w:rPr>
                <w:w w:val="105"/>
                <w:sz w:val="16"/>
              </w:rPr>
              <w:t>Actual</w:t>
            </w:r>
            <w:r>
              <w:rPr>
                <w:spacing w:val="-9"/>
                <w:w w:val="105"/>
                <w:sz w:val="16"/>
              </w:rPr>
              <w:t> </w:t>
            </w:r>
            <w:r>
              <w:rPr>
                <w:w w:val="105"/>
                <w:sz w:val="16"/>
              </w:rPr>
              <w:t>return</w:t>
            </w:r>
            <w:r>
              <w:rPr>
                <w:spacing w:val="-9"/>
                <w:w w:val="105"/>
                <w:sz w:val="16"/>
              </w:rPr>
              <w:t> </w:t>
            </w:r>
            <w:r>
              <w:rPr>
                <w:w w:val="105"/>
                <w:sz w:val="16"/>
              </w:rPr>
              <w:t>on</w:t>
            </w:r>
            <w:r>
              <w:rPr>
                <w:spacing w:val="-8"/>
                <w:w w:val="105"/>
                <w:sz w:val="16"/>
              </w:rPr>
              <w:t> </w:t>
            </w:r>
            <w:r>
              <w:rPr>
                <w:w w:val="105"/>
                <w:sz w:val="16"/>
              </w:rPr>
              <w:t>plan</w:t>
            </w:r>
            <w:r>
              <w:rPr>
                <w:spacing w:val="-9"/>
                <w:w w:val="105"/>
                <w:sz w:val="16"/>
              </w:rPr>
              <w:t> </w:t>
            </w:r>
            <w:r>
              <w:rPr>
                <w:w w:val="105"/>
                <w:sz w:val="16"/>
              </w:rPr>
              <w:t>assets</w:t>
            </w:r>
            <w:r>
              <w:rPr>
                <w:spacing w:val="-7"/>
                <w:w w:val="105"/>
                <w:sz w:val="16"/>
              </w:rPr>
              <w:t> </w:t>
            </w:r>
            <w:r>
              <w:rPr>
                <w:w w:val="105"/>
                <w:sz w:val="16"/>
              </w:rPr>
              <w:t>relating</w:t>
            </w:r>
            <w:r>
              <w:rPr>
                <w:spacing w:val="-8"/>
                <w:w w:val="105"/>
                <w:sz w:val="16"/>
              </w:rPr>
              <w:t> </w:t>
            </w:r>
            <w:r>
              <w:rPr>
                <w:w w:val="105"/>
                <w:sz w:val="16"/>
              </w:rPr>
              <w:t>to</w:t>
            </w:r>
            <w:r>
              <w:rPr>
                <w:spacing w:val="-9"/>
                <w:w w:val="105"/>
                <w:sz w:val="16"/>
              </w:rPr>
              <w:t> </w:t>
            </w:r>
            <w:r>
              <w:rPr>
                <w:w w:val="105"/>
                <w:sz w:val="16"/>
              </w:rPr>
              <w:t>assets</w:t>
            </w:r>
            <w:r>
              <w:rPr>
                <w:spacing w:val="-8"/>
                <w:w w:val="105"/>
                <w:sz w:val="16"/>
              </w:rPr>
              <w:t> </w:t>
            </w:r>
            <w:r>
              <w:rPr>
                <w:w w:val="105"/>
                <w:sz w:val="16"/>
              </w:rPr>
              <w:t>sold</w:t>
            </w:r>
            <w:r>
              <w:rPr>
                <w:spacing w:val="-9"/>
                <w:w w:val="105"/>
                <w:sz w:val="16"/>
              </w:rPr>
              <w:t> </w:t>
            </w:r>
            <w:r>
              <w:rPr>
                <w:w w:val="105"/>
                <w:sz w:val="16"/>
              </w:rPr>
              <w:t>during</w:t>
            </w:r>
            <w:r>
              <w:rPr>
                <w:spacing w:val="-7"/>
                <w:w w:val="105"/>
                <w:sz w:val="16"/>
              </w:rPr>
              <w:t> </w:t>
            </w:r>
            <w:r>
              <w:rPr>
                <w:w w:val="105"/>
                <w:sz w:val="16"/>
              </w:rPr>
              <w:t>the</w:t>
            </w:r>
            <w:r>
              <w:rPr>
                <w:spacing w:val="-8"/>
                <w:w w:val="105"/>
                <w:sz w:val="16"/>
              </w:rPr>
              <w:t> </w:t>
            </w:r>
            <w:r>
              <w:rPr>
                <w:w w:val="105"/>
                <w:sz w:val="16"/>
              </w:rPr>
              <w:t>reporting</w:t>
            </w:r>
            <w:r>
              <w:rPr>
                <w:spacing w:val="-9"/>
                <w:w w:val="105"/>
                <w:sz w:val="16"/>
              </w:rPr>
              <w:t> </w:t>
            </w:r>
            <w:r>
              <w:rPr>
                <w:spacing w:val="-2"/>
                <w:w w:val="105"/>
                <w:sz w:val="16"/>
              </w:rPr>
              <w:t>period</w:t>
            </w:r>
          </w:p>
        </w:tc>
        <w:tc>
          <w:tcPr>
            <w:tcW w:w="505" w:type="dxa"/>
            <w:shd w:val="clear" w:color="auto" w:fill="CCEDFF"/>
          </w:tcPr>
          <w:p>
            <w:pPr>
              <w:pStyle w:val="TableParagraph"/>
              <w:rPr>
                <w:sz w:val="14"/>
              </w:rPr>
            </w:pPr>
          </w:p>
        </w:tc>
        <w:tc>
          <w:tcPr>
            <w:tcW w:w="1289" w:type="dxa"/>
            <w:shd w:val="clear" w:color="auto" w:fill="CCEDFF"/>
          </w:tcPr>
          <w:p>
            <w:pPr>
              <w:pStyle w:val="TableParagraph"/>
              <w:rPr>
                <w:sz w:val="14"/>
              </w:rPr>
            </w:pPr>
          </w:p>
        </w:tc>
        <w:tc>
          <w:tcPr>
            <w:tcW w:w="1336" w:type="dxa"/>
            <w:shd w:val="clear" w:color="auto" w:fill="CCEDFF"/>
          </w:tcPr>
          <w:p>
            <w:pPr>
              <w:pStyle w:val="TableParagraph"/>
              <w:spacing w:line="180" w:lineRule="exact" w:before="3"/>
              <w:ind w:right="113"/>
              <w:jc w:val="right"/>
              <w:rPr>
                <w:sz w:val="16"/>
              </w:rPr>
            </w:pPr>
            <w:r>
              <w:rPr>
                <w:spacing w:val="-10"/>
                <w:w w:val="105"/>
                <w:sz w:val="16"/>
              </w:rPr>
              <w:t>4</w:t>
            </w:r>
          </w:p>
        </w:tc>
        <w:tc>
          <w:tcPr>
            <w:tcW w:w="115" w:type="dxa"/>
            <w:shd w:val="clear" w:color="auto" w:fill="CCEDFF"/>
          </w:tcPr>
          <w:p>
            <w:pPr>
              <w:pStyle w:val="TableParagraph"/>
              <w:rPr>
                <w:sz w:val="14"/>
              </w:rPr>
            </w:pPr>
          </w:p>
        </w:tc>
        <w:tc>
          <w:tcPr>
            <w:tcW w:w="1686" w:type="dxa"/>
            <w:shd w:val="clear" w:color="auto" w:fill="CCEDFF"/>
          </w:tcPr>
          <w:p>
            <w:pPr>
              <w:pStyle w:val="TableParagraph"/>
              <w:rPr>
                <w:sz w:val="14"/>
              </w:rPr>
            </w:pPr>
          </w:p>
        </w:tc>
        <w:tc>
          <w:tcPr>
            <w:tcW w:w="842" w:type="dxa"/>
            <w:shd w:val="clear" w:color="auto" w:fill="CCEDFF"/>
          </w:tcPr>
          <w:p>
            <w:pPr>
              <w:pStyle w:val="TableParagraph"/>
              <w:rPr>
                <w:sz w:val="14"/>
              </w:rPr>
            </w:pPr>
          </w:p>
        </w:tc>
        <w:tc>
          <w:tcPr>
            <w:tcW w:w="338" w:type="dxa"/>
            <w:shd w:val="clear" w:color="auto" w:fill="CCEDFF"/>
          </w:tcPr>
          <w:p>
            <w:pPr>
              <w:pStyle w:val="TableParagraph"/>
              <w:rPr>
                <w:sz w:val="14"/>
              </w:rPr>
            </w:pPr>
          </w:p>
        </w:tc>
      </w:tr>
      <w:tr>
        <w:trPr>
          <w:trHeight w:val="202" w:hRule="atLeast"/>
        </w:trPr>
        <w:tc>
          <w:tcPr>
            <w:tcW w:w="5406" w:type="dxa"/>
            <w:tcBorders>
              <w:bottom w:val="single" w:sz="6" w:space="0" w:color="000000"/>
            </w:tcBorders>
          </w:tcPr>
          <w:p>
            <w:pPr>
              <w:pStyle w:val="TableParagraph"/>
              <w:spacing w:line="179" w:lineRule="exact" w:before="3"/>
              <w:rPr>
                <w:sz w:val="16"/>
              </w:rPr>
            </w:pPr>
            <w:r>
              <w:rPr>
                <w:w w:val="105"/>
                <w:sz w:val="16"/>
              </w:rPr>
              <w:t>Asset</w:t>
            </w:r>
            <w:r>
              <w:rPr>
                <w:spacing w:val="-9"/>
                <w:w w:val="105"/>
                <w:sz w:val="16"/>
              </w:rPr>
              <w:t> </w:t>
            </w:r>
            <w:r>
              <w:rPr>
                <w:spacing w:val="-2"/>
                <w:w w:val="105"/>
                <w:sz w:val="16"/>
              </w:rPr>
              <w:t>sales</w:t>
            </w:r>
          </w:p>
        </w:tc>
        <w:tc>
          <w:tcPr>
            <w:tcW w:w="505" w:type="dxa"/>
            <w:tcBorders>
              <w:bottom w:val="single" w:sz="6" w:space="0" w:color="000000"/>
            </w:tcBorders>
          </w:tcPr>
          <w:p>
            <w:pPr>
              <w:pStyle w:val="TableParagraph"/>
              <w:rPr>
                <w:sz w:val="14"/>
              </w:rPr>
            </w:pPr>
          </w:p>
        </w:tc>
        <w:tc>
          <w:tcPr>
            <w:tcW w:w="1289" w:type="dxa"/>
            <w:tcBorders>
              <w:bottom w:val="single" w:sz="6" w:space="0" w:color="000000"/>
            </w:tcBorders>
          </w:tcPr>
          <w:p>
            <w:pPr>
              <w:pStyle w:val="TableParagraph"/>
              <w:spacing w:line="179" w:lineRule="exact" w:before="3"/>
              <w:ind w:left="-1" w:right="85"/>
              <w:jc w:val="right"/>
              <w:rPr>
                <w:sz w:val="16"/>
              </w:rPr>
            </w:pPr>
            <w:r>
              <w:rPr>
                <w:spacing w:val="-4"/>
                <w:w w:val="105"/>
                <w:sz w:val="16"/>
              </w:rPr>
              <w:t>(31)</w:t>
            </w:r>
          </w:p>
        </w:tc>
        <w:tc>
          <w:tcPr>
            <w:tcW w:w="1336" w:type="dxa"/>
            <w:tcBorders>
              <w:bottom w:val="single" w:sz="6" w:space="0" w:color="000000"/>
            </w:tcBorders>
          </w:tcPr>
          <w:p>
            <w:pPr>
              <w:pStyle w:val="TableParagraph"/>
              <w:spacing w:line="179" w:lineRule="exact" w:before="3"/>
              <w:ind w:right="58"/>
              <w:jc w:val="right"/>
              <w:rPr>
                <w:sz w:val="16"/>
              </w:rPr>
            </w:pPr>
            <w:r>
              <w:rPr>
                <w:spacing w:val="-2"/>
                <w:w w:val="105"/>
                <w:sz w:val="16"/>
              </w:rPr>
              <w:t>(135)</w:t>
            </w:r>
          </w:p>
        </w:tc>
        <w:tc>
          <w:tcPr>
            <w:tcW w:w="115" w:type="dxa"/>
            <w:tcBorders>
              <w:bottom w:val="single" w:sz="6" w:space="0" w:color="000000"/>
            </w:tcBorders>
          </w:tcPr>
          <w:p>
            <w:pPr>
              <w:pStyle w:val="TableParagraph"/>
              <w:rPr>
                <w:sz w:val="14"/>
              </w:rPr>
            </w:pPr>
          </w:p>
        </w:tc>
        <w:tc>
          <w:tcPr>
            <w:tcW w:w="1686" w:type="dxa"/>
            <w:tcBorders>
              <w:bottom w:val="single" w:sz="6" w:space="0" w:color="000000"/>
            </w:tcBorders>
          </w:tcPr>
          <w:p>
            <w:pPr>
              <w:pStyle w:val="TableParagraph"/>
              <w:rPr>
                <w:sz w:val="14"/>
              </w:rPr>
            </w:pPr>
          </w:p>
        </w:tc>
        <w:tc>
          <w:tcPr>
            <w:tcW w:w="842" w:type="dxa"/>
            <w:tcBorders>
              <w:bottom w:val="single" w:sz="6" w:space="0" w:color="000000"/>
            </w:tcBorders>
          </w:tcPr>
          <w:p>
            <w:pPr>
              <w:pStyle w:val="TableParagraph"/>
              <w:rPr>
                <w:sz w:val="14"/>
              </w:rPr>
            </w:pPr>
          </w:p>
        </w:tc>
        <w:tc>
          <w:tcPr>
            <w:tcW w:w="338" w:type="dxa"/>
            <w:tcBorders>
              <w:bottom w:val="single" w:sz="6" w:space="0" w:color="000000"/>
            </w:tcBorders>
          </w:tcPr>
          <w:p>
            <w:pPr>
              <w:pStyle w:val="TableParagraph"/>
              <w:spacing w:line="179" w:lineRule="exact" w:before="3"/>
              <w:ind w:left="22"/>
              <w:jc w:val="center"/>
              <w:rPr>
                <w:sz w:val="16"/>
              </w:rPr>
            </w:pPr>
            <w:r>
              <w:rPr>
                <w:spacing w:val="-5"/>
                <w:w w:val="105"/>
                <w:sz w:val="16"/>
              </w:rPr>
              <w:t>(1)</w:t>
            </w:r>
          </w:p>
        </w:tc>
      </w:tr>
      <w:tr>
        <w:trPr>
          <w:trHeight w:val="199" w:hRule="atLeast"/>
        </w:trPr>
        <w:tc>
          <w:tcPr>
            <w:tcW w:w="5406" w:type="dxa"/>
            <w:tcBorders>
              <w:top w:val="single" w:sz="6" w:space="0" w:color="000000"/>
              <w:bottom w:val="double" w:sz="6" w:space="0" w:color="000000"/>
            </w:tcBorders>
            <w:shd w:val="clear" w:color="auto" w:fill="CCEDFF"/>
          </w:tcPr>
          <w:p>
            <w:pPr>
              <w:pStyle w:val="TableParagraph"/>
              <w:spacing w:line="177" w:lineRule="exact" w:before="2"/>
              <w:rPr>
                <w:b/>
                <w:sz w:val="16"/>
              </w:rPr>
            </w:pPr>
            <w:r>
              <w:rPr>
                <w:b/>
                <w:w w:val="105"/>
                <w:sz w:val="16"/>
              </w:rPr>
              <w:t>Balance</w:t>
            </w:r>
            <w:r>
              <w:rPr>
                <w:b/>
                <w:spacing w:val="-9"/>
                <w:w w:val="105"/>
                <w:sz w:val="16"/>
              </w:rPr>
              <w:t> </w:t>
            </w:r>
            <w:r>
              <w:rPr>
                <w:b/>
                <w:w w:val="105"/>
                <w:sz w:val="16"/>
              </w:rPr>
              <w:t>at</w:t>
            </w:r>
            <w:r>
              <w:rPr>
                <w:b/>
                <w:spacing w:val="-9"/>
                <w:w w:val="105"/>
                <w:sz w:val="16"/>
              </w:rPr>
              <w:t> </w:t>
            </w:r>
            <w:r>
              <w:rPr>
                <w:b/>
                <w:w w:val="105"/>
                <w:sz w:val="16"/>
              </w:rPr>
              <w:t>December</w:t>
            </w:r>
            <w:r>
              <w:rPr>
                <w:b/>
                <w:spacing w:val="-9"/>
                <w:w w:val="105"/>
                <w:sz w:val="16"/>
              </w:rPr>
              <w:t> </w:t>
            </w:r>
            <w:r>
              <w:rPr>
                <w:b/>
                <w:w w:val="105"/>
                <w:sz w:val="16"/>
              </w:rPr>
              <w:t>31,</w:t>
            </w:r>
            <w:r>
              <w:rPr>
                <w:b/>
                <w:spacing w:val="-9"/>
                <w:w w:val="105"/>
                <w:sz w:val="16"/>
              </w:rPr>
              <w:t> </w:t>
            </w:r>
            <w:r>
              <w:rPr>
                <w:b/>
                <w:spacing w:val="-4"/>
                <w:w w:val="105"/>
                <w:sz w:val="16"/>
              </w:rPr>
              <w:t>2021</w:t>
            </w:r>
          </w:p>
        </w:tc>
        <w:tc>
          <w:tcPr>
            <w:tcW w:w="505" w:type="dxa"/>
            <w:tcBorders>
              <w:top w:val="single" w:sz="6" w:space="0" w:color="000000"/>
              <w:bottom w:val="double" w:sz="6" w:space="0" w:color="000000"/>
            </w:tcBorders>
            <w:shd w:val="clear" w:color="auto" w:fill="CCEDFF"/>
          </w:tcPr>
          <w:p>
            <w:pPr>
              <w:pStyle w:val="TableParagraph"/>
              <w:rPr>
                <w:sz w:val="12"/>
              </w:rPr>
            </w:pPr>
          </w:p>
        </w:tc>
        <w:tc>
          <w:tcPr>
            <w:tcW w:w="1289" w:type="dxa"/>
            <w:tcBorders>
              <w:top w:val="single" w:sz="6" w:space="0" w:color="000000"/>
              <w:bottom w:val="double" w:sz="6" w:space="0" w:color="000000"/>
            </w:tcBorders>
            <w:shd w:val="clear" w:color="auto" w:fill="CCEDFF"/>
          </w:tcPr>
          <w:p>
            <w:pPr>
              <w:pStyle w:val="TableParagraph"/>
              <w:tabs>
                <w:tab w:pos="980" w:val="left" w:leader="none"/>
              </w:tabs>
              <w:spacing w:line="177" w:lineRule="exact" w:before="2"/>
              <w:ind w:left="-1" w:right="140"/>
              <w:jc w:val="right"/>
              <w:rPr>
                <w:b/>
                <w:sz w:val="16"/>
              </w:rPr>
            </w:pPr>
            <w:r>
              <w:rPr>
                <w:b/>
                <w:spacing w:val="-10"/>
                <w:w w:val="105"/>
                <w:sz w:val="16"/>
              </w:rPr>
              <w:t>$</w:t>
            </w:r>
            <w:r>
              <w:rPr>
                <w:b/>
                <w:sz w:val="16"/>
              </w:rPr>
              <w:tab/>
            </w:r>
            <w:r>
              <w:rPr>
                <w:b/>
                <w:spacing w:val="-7"/>
                <w:w w:val="105"/>
                <w:sz w:val="16"/>
              </w:rPr>
              <w:t>41</w:t>
            </w:r>
          </w:p>
        </w:tc>
        <w:tc>
          <w:tcPr>
            <w:tcW w:w="1336" w:type="dxa"/>
            <w:tcBorders>
              <w:top w:val="single" w:sz="6" w:space="0" w:color="000000"/>
              <w:bottom w:val="double" w:sz="6" w:space="0" w:color="000000"/>
            </w:tcBorders>
            <w:shd w:val="clear" w:color="auto" w:fill="CCEDFF"/>
          </w:tcPr>
          <w:p>
            <w:pPr>
              <w:pStyle w:val="TableParagraph"/>
              <w:tabs>
                <w:tab w:pos="968" w:val="left" w:leader="none"/>
              </w:tabs>
              <w:spacing w:line="177" w:lineRule="exact" w:before="2"/>
              <w:ind w:right="113"/>
              <w:jc w:val="right"/>
              <w:rPr>
                <w:b/>
                <w:sz w:val="16"/>
              </w:rPr>
            </w:pPr>
            <w:r>
              <w:rPr>
                <w:b/>
                <w:spacing w:val="-10"/>
                <w:w w:val="105"/>
                <w:sz w:val="16"/>
              </w:rPr>
              <w:t>$</w:t>
            </w:r>
            <w:r>
              <w:rPr>
                <w:b/>
                <w:sz w:val="16"/>
              </w:rPr>
              <w:tab/>
            </w:r>
            <w:r>
              <w:rPr>
                <w:b/>
                <w:spacing w:val="-5"/>
                <w:w w:val="105"/>
                <w:sz w:val="16"/>
              </w:rPr>
              <w:t>10</w:t>
            </w:r>
          </w:p>
        </w:tc>
        <w:tc>
          <w:tcPr>
            <w:tcW w:w="115" w:type="dxa"/>
            <w:tcBorders>
              <w:top w:val="single" w:sz="6" w:space="0" w:color="000000"/>
              <w:bottom w:val="double" w:sz="6" w:space="0" w:color="000000"/>
            </w:tcBorders>
            <w:shd w:val="clear" w:color="auto" w:fill="CCEDFF"/>
          </w:tcPr>
          <w:p>
            <w:pPr>
              <w:pStyle w:val="TableParagraph"/>
              <w:rPr>
                <w:sz w:val="12"/>
              </w:rPr>
            </w:pPr>
          </w:p>
        </w:tc>
        <w:tc>
          <w:tcPr>
            <w:tcW w:w="1686" w:type="dxa"/>
            <w:tcBorders>
              <w:top w:val="single" w:sz="6" w:space="0" w:color="000000"/>
              <w:bottom w:val="double" w:sz="6" w:space="0" w:color="000000"/>
            </w:tcBorders>
            <w:shd w:val="clear" w:color="auto" w:fill="CCEDFF"/>
          </w:tcPr>
          <w:p>
            <w:pPr>
              <w:pStyle w:val="TableParagraph"/>
              <w:tabs>
                <w:tab w:pos="1093" w:val="left" w:leader="none"/>
                <w:tab w:pos="1488" w:val="left" w:leader="none"/>
              </w:tabs>
              <w:spacing w:line="177" w:lineRule="exact" w:before="2"/>
              <w:ind w:left="-2"/>
              <w:rPr>
                <w:b/>
                <w:sz w:val="16"/>
              </w:rPr>
            </w:pPr>
            <w:r>
              <w:rPr>
                <w:b/>
                <w:spacing w:val="-10"/>
                <w:w w:val="105"/>
                <w:sz w:val="16"/>
              </w:rPr>
              <w:t>$</w:t>
            </w:r>
            <w:r>
              <w:rPr>
                <w:b/>
                <w:sz w:val="16"/>
              </w:rPr>
              <w:tab/>
            </w:r>
            <w:r>
              <w:rPr>
                <w:b/>
                <w:spacing w:val="-5"/>
                <w:w w:val="105"/>
                <w:sz w:val="16"/>
              </w:rPr>
              <w:t>22</w:t>
            </w:r>
            <w:r>
              <w:rPr>
                <w:b/>
                <w:sz w:val="16"/>
              </w:rPr>
              <w:tab/>
            </w:r>
            <w:r>
              <w:rPr>
                <w:b/>
                <w:spacing w:val="-12"/>
                <w:w w:val="105"/>
                <w:sz w:val="16"/>
              </w:rPr>
              <w:t>$</w:t>
            </w:r>
          </w:p>
        </w:tc>
        <w:tc>
          <w:tcPr>
            <w:tcW w:w="842" w:type="dxa"/>
            <w:tcBorders>
              <w:top w:val="single" w:sz="6" w:space="0" w:color="000000"/>
              <w:bottom w:val="double" w:sz="6" w:space="0" w:color="000000"/>
            </w:tcBorders>
            <w:shd w:val="clear" w:color="auto" w:fill="CCEDFF"/>
          </w:tcPr>
          <w:p>
            <w:pPr>
              <w:pStyle w:val="TableParagraph"/>
              <w:rPr>
                <w:sz w:val="12"/>
              </w:rPr>
            </w:pPr>
          </w:p>
        </w:tc>
        <w:tc>
          <w:tcPr>
            <w:tcW w:w="338" w:type="dxa"/>
            <w:tcBorders>
              <w:top w:val="single" w:sz="6" w:space="0" w:color="000000"/>
              <w:bottom w:val="double" w:sz="6" w:space="0" w:color="000000"/>
            </w:tcBorders>
            <w:shd w:val="clear" w:color="auto" w:fill="CCEDFF"/>
          </w:tcPr>
          <w:p>
            <w:pPr>
              <w:pStyle w:val="TableParagraph"/>
              <w:spacing w:line="177" w:lineRule="exact" w:before="2"/>
              <w:ind w:left="22"/>
              <w:jc w:val="center"/>
              <w:rPr>
                <w:b/>
                <w:sz w:val="16"/>
              </w:rPr>
            </w:pPr>
            <w:r>
              <w:rPr>
                <w:b/>
                <w:spacing w:val="-10"/>
                <w:w w:val="105"/>
                <w:sz w:val="16"/>
              </w:rPr>
              <w:t>2</w:t>
            </w:r>
          </w:p>
        </w:tc>
      </w:tr>
      <w:tr>
        <w:trPr>
          <w:trHeight w:val="478" w:hRule="atLeast"/>
        </w:trPr>
        <w:tc>
          <w:tcPr>
            <w:tcW w:w="5406" w:type="dxa"/>
            <w:tcBorders>
              <w:top w:val="double" w:sz="6" w:space="0" w:color="000000"/>
              <w:bottom w:val="single" w:sz="12" w:space="0" w:color="000000"/>
            </w:tcBorders>
          </w:tcPr>
          <w:p>
            <w:pPr>
              <w:pStyle w:val="TableParagraph"/>
              <w:rPr>
                <w:sz w:val="14"/>
              </w:rPr>
            </w:pPr>
          </w:p>
        </w:tc>
        <w:tc>
          <w:tcPr>
            <w:tcW w:w="505" w:type="dxa"/>
            <w:tcBorders>
              <w:top w:val="double" w:sz="6" w:space="0" w:color="000000"/>
              <w:bottom w:val="single" w:sz="12" w:space="0" w:color="000000"/>
            </w:tcBorders>
          </w:tcPr>
          <w:p>
            <w:pPr>
              <w:pStyle w:val="TableParagraph"/>
              <w:spacing w:before="19"/>
              <w:rPr>
                <w:sz w:val="16"/>
              </w:rPr>
            </w:pPr>
          </w:p>
          <w:p>
            <w:pPr>
              <w:pStyle w:val="TableParagraph"/>
              <w:spacing w:before="1"/>
              <w:ind w:left="268"/>
              <w:rPr>
                <w:sz w:val="16"/>
              </w:rPr>
            </w:pPr>
            <w:r>
              <w:rPr>
                <w:spacing w:val="-5"/>
                <w:w w:val="105"/>
                <w:sz w:val="16"/>
              </w:rPr>
              <w:t>98</w:t>
            </w:r>
          </w:p>
        </w:tc>
        <w:tc>
          <w:tcPr>
            <w:tcW w:w="1289" w:type="dxa"/>
            <w:tcBorders>
              <w:top w:val="double" w:sz="6" w:space="0" w:color="000000"/>
              <w:bottom w:val="single" w:sz="12" w:space="0" w:color="000000"/>
            </w:tcBorders>
          </w:tcPr>
          <w:p>
            <w:pPr>
              <w:pStyle w:val="TableParagraph"/>
              <w:rPr>
                <w:sz w:val="14"/>
              </w:rPr>
            </w:pPr>
          </w:p>
        </w:tc>
        <w:tc>
          <w:tcPr>
            <w:tcW w:w="1336" w:type="dxa"/>
            <w:tcBorders>
              <w:top w:val="double" w:sz="6" w:space="0" w:color="000000"/>
              <w:bottom w:val="single" w:sz="12" w:space="0" w:color="000000"/>
            </w:tcBorders>
          </w:tcPr>
          <w:p>
            <w:pPr>
              <w:pStyle w:val="TableParagraph"/>
              <w:rPr>
                <w:sz w:val="14"/>
              </w:rPr>
            </w:pPr>
          </w:p>
        </w:tc>
        <w:tc>
          <w:tcPr>
            <w:tcW w:w="115" w:type="dxa"/>
            <w:tcBorders>
              <w:top w:val="double" w:sz="6" w:space="0" w:color="000000"/>
              <w:bottom w:val="single" w:sz="12" w:space="0" w:color="000000"/>
            </w:tcBorders>
          </w:tcPr>
          <w:p>
            <w:pPr>
              <w:pStyle w:val="TableParagraph"/>
              <w:rPr>
                <w:sz w:val="14"/>
              </w:rPr>
            </w:pPr>
          </w:p>
        </w:tc>
        <w:tc>
          <w:tcPr>
            <w:tcW w:w="1686" w:type="dxa"/>
            <w:tcBorders>
              <w:top w:val="double" w:sz="6" w:space="0" w:color="000000"/>
              <w:bottom w:val="single" w:sz="12" w:space="0" w:color="000000"/>
            </w:tcBorders>
          </w:tcPr>
          <w:p>
            <w:pPr>
              <w:pStyle w:val="TableParagraph"/>
              <w:rPr>
                <w:sz w:val="14"/>
              </w:rPr>
            </w:pPr>
          </w:p>
        </w:tc>
        <w:tc>
          <w:tcPr>
            <w:tcW w:w="842" w:type="dxa"/>
            <w:tcBorders>
              <w:top w:val="double" w:sz="6" w:space="0" w:color="000000"/>
              <w:bottom w:val="single" w:sz="12" w:space="0" w:color="000000"/>
            </w:tcBorders>
          </w:tcPr>
          <w:p>
            <w:pPr>
              <w:pStyle w:val="TableParagraph"/>
              <w:rPr>
                <w:sz w:val="14"/>
              </w:rPr>
            </w:pPr>
          </w:p>
        </w:tc>
        <w:tc>
          <w:tcPr>
            <w:tcW w:w="338" w:type="dxa"/>
            <w:tcBorders>
              <w:top w:val="double" w:sz="6" w:space="0" w:color="000000"/>
              <w:bottom w:val="single" w:sz="12" w:space="0" w:color="000000"/>
            </w:tcBorders>
          </w:tcPr>
          <w:p>
            <w:pPr>
              <w:pStyle w:val="TableParagraph"/>
              <w:rPr>
                <w:sz w:val="14"/>
              </w:rPr>
            </w:pPr>
          </w:p>
        </w:tc>
      </w:tr>
    </w:tbl>
    <w:p>
      <w:pPr>
        <w:spacing w:after="0"/>
        <w:rPr>
          <w:sz w:val="14"/>
        </w:rPr>
        <w:sectPr>
          <w:pgSz w:w="12240" w:h="15840"/>
          <w:pgMar w:header="428" w:footer="0" w:top="620" w:bottom="280" w:left="200" w:right="260"/>
        </w:sectPr>
      </w:pPr>
    </w:p>
    <w:p>
      <w:pPr>
        <w:pStyle w:val="BodyText"/>
        <w:spacing w:before="38"/>
      </w:pPr>
    </w:p>
    <w:p>
      <w:pPr>
        <w:pStyle w:val="Heading2"/>
        <w:numPr>
          <w:ilvl w:val="0"/>
          <w:numId w:val="48"/>
        </w:numPr>
        <w:tabs>
          <w:tab w:pos="445" w:val="left" w:leader="none"/>
        </w:tabs>
        <w:spacing w:line="240" w:lineRule="auto" w:before="0" w:after="0"/>
        <w:ind w:left="445" w:right="0" w:hanging="289"/>
        <w:jc w:val="left"/>
      </w:pPr>
      <w:r>
        <w:rPr/>
        <w:t>Employee</w:t>
      </w:r>
      <w:r>
        <w:rPr>
          <w:spacing w:val="17"/>
        </w:rPr>
        <w:t> </w:t>
      </w:r>
      <w:r>
        <w:rPr/>
        <w:t>Retirement</w:t>
      </w:r>
      <w:r>
        <w:rPr>
          <w:spacing w:val="18"/>
        </w:rPr>
        <w:t> </w:t>
      </w:r>
      <w:r>
        <w:rPr/>
        <w:t>Plans</w:t>
      </w:r>
      <w:r>
        <w:rPr>
          <w:spacing w:val="18"/>
        </w:rPr>
        <w:t> </w:t>
      </w:r>
      <w:r>
        <w:rPr>
          <w:spacing w:val="-2"/>
        </w:rPr>
        <w:t>(Continued)</w:t>
      </w:r>
    </w:p>
    <w:p>
      <w:pPr>
        <w:pStyle w:val="BodyText"/>
        <w:spacing w:before="40"/>
        <w:rPr>
          <w:b/>
        </w:rPr>
      </w:pPr>
    </w:p>
    <w:p>
      <w:pPr>
        <w:pStyle w:val="BodyText"/>
        <w:ind w:left="156"/>
      </w:pPr>
      <w:r>
        <w:rPr>
          <w:w w:val="105"/>
          <w:u w:val="single"/>
        </w:rPr>
        <w:t>Credit</w:t>
      </w:r>
      <w:r>
        <w:rPr>
          <w:spacing w:val="-9"/>
          <w:w w:val="105"/>
          <w:u w:val="single"/>
        </w:rPr>
        <w:t> </w:t>
      </w:r>
      <w:r>
        <w:rPr>
          <w:spacing w:val="-4"/>
          <w:w w:val="105"/>
          <w:u w:val="single"/>
        </w:rPr>
        <w:t>Risk</w:t>
      </w:r>
    </w:p>
    <w:p>
      <w:pPr>
        <w:pStyle w:val="BodyText"/>
        <w:spacing w:before="39"/>
      </w:pPr>
    </w:p>
    <w:p>
      <w:pPr>
        <w:pStyle w:val="BodyText"/>
        <w:spacing w:line="266" w:lineRule="auto"/>
        <w:ind w:left="156" w:right="117"/>
      </w:pPr>
      <w:r>
        <w:rPr>
          <w:w w:val="105"/>
        </w:rPr>
        <w:t>56%</w:t>
      </w:r>
      <w:r>
        <w:rPr>
          <w:spacing w:val="-7"/>
          <w:w w:val="105"/>
        </w:rPr>
        <w:t> </w:t>
      </w:r>
      <w:r>
        <w:rPr>
          <w:w w:val="105"/>
        </w:rPr>
        <w:t>of</w:t>
      </w:r>
      <w:r>
        <w:rPr>
          <w:spacing w:val="-7"/>
          <w:w w:val="105"/>
        </w:rPr>
        <w:t> </w:t>
      </w:r>
      <w:r>
        <w:rPr>
          <w:w w:val="105"/>
        </w:rPr>
        <w:t>domestic</w:t>
      </w:r>
      <w:r>
        <w:rPr>
          <w:spacing w:val="-7"/>
          <w:w w:val="105"/>
        </w:rPr>
        <w:t> </w:t>
      </w:r>
      <w:r>
        <w:rPr>
          <w:w w:val="105"/>
        </w:rPr>
        <w:t>plan</w:t>
      </w:r>
      <w:r>
        <w:rPr>
          <w:spacing w:val="-7"/>
          <w:w w:val="105"/>
        </w:rPr>
        <w:t> </w:t>
      </w:r>
      <w:r>
        <w:rPr>
          <w:w w:val="105"/>
        </w:rPr>
        <w:t>assets</w:t>
      </w:r>
      <w:r>
        <w:rPr>
          <w:spacing w:val="-5"/>
          <w:w w:val="105"/>
        </w:rPr>
        <w:t> </w:t>
      </w:r>
      <w:r>
        <w:rPr>
          <w:w w:val="105"/>
        </w:rPr>
        <w:t>are</w:t>
      </w:r>
      <w:r>
        <w:rPr>
          <w:spacing w:val="-7"/>
          <w:w w:val="105"/>
        </w:rPr>
        <w:t> </w:t>
      </w:r>
      <w:r>
        <w:rPr>
          <w:w w:val="105"/>
        </w:rPr>
        <w:t>invested</w:t>
      </w:r>
      <w:r>
        <w:rPr>
          <w:spacing w:val="-7"/>
          <w:w w:val="105"/>
        </w:rPr>
        <w:t> </w:t>
      </w:r>
      <w:r>
        <w:rPr>
          <w:w w:val="105"/>
        </w:rPr>
        <w:t>in</w:t>
      </w:r>
      <w:r>
        <w:rPr>
          <w:spacing w:val="-7"/>
          <w:w w:val="105"/>
        </w:rPr>
        <w:t> </w:t>
      </w:r>
      <w:r>
        <w:rPr>
          <w:w w:val="105"/>
        </w:rPr>
        <w:t>long</w:t>
      </w:r>
      <w:r>
        <w:rPr>
          <w:spacing w:val="-7"/>
          <w:w w:val="105"/>
        </w:rPr>
        <w:t> </w:t>
      </w:r>
      <w:r>
        <w:rPr>
          <w:w w:val="105"/>
        </w:rPr>
        <w:t>duration</w:t>
      </w:r>
      <w:r>
        <w:rPr>
          <w:spacing w:val="-7"/>
          <w:w w:val="105"/>
        </w:rPr>
        <w:t> </w:t>
      </w:r>
      <w:r>
        <w:rPr>
          <w:w w:val="105"/>
        </w:rPr>
        <w:t>bonds.</w:t>
      </w:r>
      <w:r>
        <w:rPr>
          <w:spacing w:val="-7"/>
          <w:w w:val="105"/>
        </w:rPr>
        <w:t> </w:t>
      </w:r>
      <w:r>
        <w:rPr>
          <w:w w:val="105"/>
        </w:rPr>
        <w:t>The</w:t>
      </w:r>
      <w:r>
        <w:rPr>
          <w:spacing w:val="-7"/>
          <w:w w:val="105"/>
        </w:rPr>
        <w:t> </w:t>
      </w:r>
      <w:r>
        <w:rPr>
          <w:w w:val="105"/>
        </w:rPr>
        <w:t>average</w:t>
      </w:r>
      <w:r>
        <w:rPr>
          <w:spacing w:val="-7"/>
          <w:w w:val="105"/>
        </w:rPr>
        <w:t> </w:t>
      </w:r>
      <w:r>
        <w:rPr>
          <w:w w:val="105"/>
        </w:rPr>
        <w:t>rating</w:t>
      </w:r>
      <w:r>
        <w:rPr>
          <w:spacing w:val="-7"/>
          <w:w w:val="105"/>
        </w:rPr>
        <w:t> </w:t>
      </w:r>
      <w:r>
        <w:rPr>
          <w:w w:val="105"/>
        </w:rPr>
        <w:t>for</w:t>
      </w:r>
      <w:r>
        <w:rPr>
          <w:spacing w:val="-7"/>
          <w:w w:val="105"/>
        </w:rPr>
        <w:t> </w:t>
      </w:r>
      <w:r>
        <w:rPr>
          <w:w w:val="105"/>
        </w:rPr>
        <w:t>these</w:t>
      </w:r>
      <w:r>
        <w:rPr>
          <w:spacing w:val="-7"/>
          <w:w w:val="105"/>
        </w:rPr>
        <w:t> </w:t>
      </w:r>
      <w:r>
        <w:rPr>
          <w:w w:val="105"/>
        </w:rPr>
        <w:t>bonds</w:t>
      </w:r>
      <w:r>
        <w:rPr>
          <w:spacing w:val="-7"/>
          <w:w w:val="105"/>
        </w:rPr>
        <w:t> </w:t>
      </w:r>
      <w:r>
        <w:rPr>
          <w:w w:val="105"/>
        </w:rPr>
        <w:t>is</w:t>
      </w:r>
      <w:r>
        <w:rPr>
          <w:spacing w:val="-7"/>
          <w:w w:val="105"/>
        </w:rPr>
        <w:t> </w:t>
      </w:r>
      <w:r>
        <w:rPr>
          <w:w w:val="105"/>
        </w:rPr>
        <w:t>A.</w:t>
      </w:r>
      <w:r>
        <w:rPr>
          <w:spacing w:val="-7"/>
          <w:w w:val="105"/>
        </w:rPr>
        <w:t> </w:t>
      </w:r>
      <w:r>
        <w:rPr>
          <w:w w:val="105"/>
        </w:rPr>
        <w:t>These</w:t>
      </w:r>
      <w:r>
        <w:rPr>
          <w:spacing w:val="-7"/>
          <w:w w:val="105"/>
        </w:rPr>
        <w:t> </w:t>
      </w:r>
      <w:r>
        <w:rPr>
          <w:w w:val="105"/>
        </w:rPr>
        <w:t>bonds</w:t>
      </w:r>
      <w:r>
        <w:rPr>
          <w:spacing w:val="-7"/>
          <w:w w:val="105"/>
        </w:rPr>
        <w:t> </w:t>
      </w:r>
      <w:r>
        <w:rPr>
          <w:w w:val="105"/>
        </w:rPr>
        <w:t>are</w:t>
      </w:r>
      <w:r>
        <w:rPr>
          <w:spacing w:val="-7"/>
          <w:w w:val="105"/>
        </w:rPr>
        <w:t> </w:t>
      </w:r>
      <w:r>
        <w:rPr>
          <w:w w:val="105"/>
        </w:rPr>
        <w:t>subject</w:t>
      </w:r>
      <w:r>
        <w:rPr>
          <w:spacing w:val="-7"/>
          <w:w w:val="105"/>
        </w:rPr>
        <w:t> </w:t>
      </w:r>
      <w:r>
        <w:rPr>
          <w:w w:val="105"/>
        </w:rPr>
        <w:t>to</w:t>
      </w:r>
      <w:r>
        <w:rPr>
          <w:spacing w:val="-7"/>
          <w:w w:val="105"/>
        </w:rPr>
        <w:t> </w:t>
      </w:r>
      <w:r>
        <w:rPr>
          <w:w w:val="105"/>
        </w:rPr>
        <w:t>both</w:t>
      </w:r>
      <w:r>
        <w:rPr>
          <w:spacing w:val="-5"/>
          <w:w w:val="105"/>
        </w:rPr>
        <w:t> </w:t>
      </w:r>
      <w:r>
        <w:rPr>
          <w:w w:val="105"/>
        </w:rPr>
        <w:t>credit</w:t>
      </w:r>
      <w:r>
        <w:rPr>
          <w:spacing w:val="-7"/>
          <w:w w:val="105"/>
        </w:rPr>
        <w:t> </w:t>
      </w:r>
      <w:r>
        <w:rPr>
          <w:w w:val="105"/>
        </w:rPr>
        <w:t>and</w:t>
      </w:r>
      <w:r>
        <w:rPr>
          <w:spacing w:val="-7"/>
          <w:w w:val="105"/>
        </w:rPr>
        <w:t> </w:t>
      </w:r>
      <w:r>
        <w:rPr>
          <w:w w:val="105"/>
        </w:rPr>
        <w:t>default</w:t>
      </w:r>
      <w:r>
        <w:rPr>
          <w:spacing w:val="-7"/>
          <w:w w:val="105"/>
        </w:rPr>
        <w:t> </w:t>
      </w:r>
      <w:r>
        <w:rPr>
          <w:w w:val="105"/>
        </w:rPr>
        <w:t>risk</w:t>
      </w:r>
      <w:r>
        <w:rPr>
          <w:spacing w:val="-5"/>
          <w:w w:val="105"/>
        </w:rPr>
        <w:t> </w:t>
      </w:r>
      <w:r>
        <w:rPr>
          <w:w w:val="105"/>
        </w:rPr>
        <w:t>and</w:t>
      </w:r>
      <w:r>
        <w:rPr>
          <w:spacing w:val="-7"/>
          <w:w w:val="105"/>
        </w:rPr>
        <w:t> </w:t>
      </w:r>
      <w:r>
        <w:rPr>
          <w:w w:val="105"/>
        </w:rPr>
        <w:t>changes in the risk could lead to a decline in the value of these bonds.</w:t>
      </w:r>
    </w:p>
    <w:p>
      <w:pPr>
        <w:pStyle w:val="BodyText"/>
        <w:spacing w:before="19"/>
      </w:pPr>
    </w:p>
    <w:p>
      <w:pPr>
        <w:pStyle w:val="BodyText"/>
        <w:ind w:left="156"/>
      </w:pPr>
      <w:r>
        <w:rPr>
          <w:u w:val="single"/>
        </w:rPr>
        <w:t>Currency</w:t>
      </w:r>
      <w:r>
        <w:rPr>
          <w:spacing w:val="18"/>
          <w:u w:val="single"/>
        </w:rPr>
        <w:t> </w:t>
      </w:r>
      <w:r>
        <w:rPr>
          <w:spacing w:val="-4"/>
          <w:u w:val="single"/>
        </w:rPr>
        <w:t>Risk</w:t>
      </w:r>
    </w:p>
    <w:p>
      <w:pPr>
        <w:pStyle w:val="BodyText"/>
        <w:spacing w:before="40"/>
      </w:pPr>
    </w:p>
    <w:p>
      <w:pPr>
        <w:pStyle w:val="BodyText"/>
        <w:spacing w:line="266" w:lineRule="auto"/>
        <w:ind w:left="156"/>
      </w:pPr>
      <w:r>
        <w:rPr>
          <w:w w:val="105"/>
        </w:rPr>
        <w:t>6%</w:t>
      </w:r>
      <w:r>
        <w:rPr>
          <w:spacing w:val="-8"/>
          <w:w w:val="105"/>
        </w:rPr>
        <w:t> </w:t>
      </w:r>
      <w:r>
        <w:rPr>
          <w:w w:val="105"/>
        </w:rPr>
        <w:t>of</w:t>
      </w:r>
      <w:r>
        <w:rPr>
          <w:spacing w:val="-8"/>
          <w:w w:val="105"/>
        </w:rPr>
        <w:t> </w:t>
      </w:r>
      <w:r>
        <w:rPr>
          <w:w w:val="105"/>
        </w:rPr>
        <w:t>domestic</w:t>
      </w:r>
      <w:r>
        <w:rPr>
          <w:spacing w:val="-8"/>
          <w:w w:val="105"/>
        </w:rPr>
        <w:t> </w:t>
      </w:r>
      <w:r>
        <w:rPr>
          <w:w w:val="105"/>
        </w:rPr>
        <w:t>assets</w:t>
      </w:r>
      <w:r>
        <w:rPr>
          <w:spacing w:val="-8"/>
          <w:w w:val="105"/>
        </w:rPr>
        <w:t> </w:t>
      </w:r>
      <w:r>
        <w:rPr>
          <w:w w:val="105"/>
        </w:rPr>
        <w:t>are</w:t>
      </w:r>
      <w:r>
        <w:rPr>
          <w:spacing w:val="-8"/>
          <w:w w:val="105"/>
        </w:rPr>
        <w:t> </w:t>
      </w:r>
      <w:r>
        <w:rPr>
          <w:w w:val="105"/>
        </w:rPr>
        <w:t>valued</w:t>
      </w:r>
      <w:r>
        <w:rPr>
          <w:spacing w:val="-8"/>
          <w:w w:val="105"/>
        </w:rPr>
        <w:t> </w:t>
      </w:r>
      <w:r>
        <w:rPr>
          <w:w w:val="105"/>
        </w:rPr>
        <w:t>in</w:t>
      </w:r>
      <w:r>
        <w:rPr>
          <w:spacing w:val="-8"/>
          <w:w w:val="105"/>
        </w:rPr>
        <w:t> </w:t>
      </w:r>
      <w:r>
        <w:rPr>
          <w:w w:val="105"/>
        </w:rPr>
        <w:t>non-U.S.</w:t>
      </w:r>
      <w:r>
        <w:rPr>
          <w:spacing w:val="-8"/>
          <w:w w:val="105"/>
        </w:rPr>
        <w:t> </w:t>
      </w:r>
      <w:r>
        <w:rPr>
          <w:w w:val="105"/>
        </w:rPr>
        <w:t>dollar</w:t>
      </w:r>
      <w:r>
        <w:rPr>
          <w:spacing w:val="-8"/>
          <w:w w:val="105"/>
        </w:rPr>
        <w:t> </w:t>
      </w:r>
      <w:r>
        <w:rPr>
          <w:w w:val="105"/>
        </w:rPr>
        <w:t>denominated</w:t>
      </w:r>
      <w:r>
        <w:rPr>
          <w:spacing w:val="-8"/>
          <w:w w:val="105"/>
        </w:rPr>
        <w:t> </w:t>
      </w:r>
      <w:r>
        <w:rPr>
          <w:w w:val="105"/>
        </w:rPr>
        <w:t>investments</w:t>
      </w:r>
      <w:r>
        <w:rPr>
          <w:spacing w:val="-8"/>
          <w:w w:val="105"/>
        </w:rPr>
        <w:t> </w:t>
      </w:r>
      <w:r>
        <w:rPr>
          <w:w w:val="105"/>
        </w:rPr>
        <w:t>that</w:t>
      </w:r>
      <w:r>
        <w:rPr>
          <w:spacing w:val="-8"/>
          <w:w w:val="105"/>
        </w:rPr>
        <w:t> </w:t>
      </w:r>
      <w:r>
        <w:rPr>
          <w:w w:val="105"/>
        </w:rPr>
        <w:t>are</w:t>
      </w:r>
      <w:r>
        <w:rPr>
          <w:spacing w:val="-8"/>
          <w:w w:val="105"/>
        </w:rPr>
        <w:t> </w:t>
      </w:r>
      <w:r>
        <w:rPr>
          <w:w w:val="105"/>
        </w:rPr>
        <w:t>subject</w:t>
      </w:r>
      <w:r>
        <w:rPr>
          <w:spacing w:val="-8"/>
          <w:w w:val="105"/>
        </w:rPr>
        <w:t> </w:t>
      </w:r>
      <w:r>
        <w:rPr>
          <w:w w:val="105"/>
        </w:rPr>
        <w:t>to</w:t>
      </w:r>
      <w:r>
        <w:rPr>
          <w:spacing w:val="-8"/>
          <w:w w:val="105"/>
        </w:rPr>
        <w:t> </w:t>
      </w:r>
      <w:r>
        <w:rPr>
          <w:w w:val="105"/>
        </w:rPr>
        <w:t>currency</w:t>
      </w:r>
      <w:r>
        <w:rPr>
          <w:spacing w:val="-8"/>
          <w:w w:val="105"/>
        </w:rPr>
        <w:t> </w:t>
      </w:r>
      <w:r>
        <w:rPr>
          <w:w w:val="105"/>
        </w:rPr>
        <w:t>fluctuations.</w:t>
      </w:r>
      <w:r>
        <w:rPr>
          <w:spacing w:val="-8"/>
          <w:w w:val="105"/>
        </w:rPr>
        <w:t> </w:t>
      </w:r>
      <w:r>
        <w:rPr>
          <w:w w:val="105"/>
        </w:rPr>
        <w:t>The</w:t>
      </w:r>
      <w:r>
        <w:rPr>
          <w:spacing w:val="-8"/>
          <w:w w:val="105"/>
        </w:rPr>
        <w:t> </w:t>
      </w:r>
      <w:r>
        <w:rPr>
          <w:w w:val="105"/>
        </w:rPr>
        <w:t>value</w:t>
      </w:r>
      <w:r>
        <w:rPr>
          <w:spacing w:val="-8"/>
          <w:w w:val="105"/>
        </w:rPr>
        <w:t> </w:t>
      </w:r>
      <w:r>
        <w:rPr>
          <w:w w:val="105"/>
        </w:rPr>
        <w:t>of</w:t>
      </w:r>
      <w:r>
        <w:rPr>
          <w:spacing w:val="-8"/>
          <w:w w:val="105"/>
        </w:rPr>
        <w:t> </w:t>
      </w:r>
      <w:r>
        <w:rPr>
          <w:w w:val="105"/>
        </w:rPr>
        <w:t>these</w:t>
      </w:r>
      <w:r>
        <w:rPr>
          <w:spacing w:val="-8"/>
          <w:w w:val="105"/>
        </w:rPr>
        <w:t> </w:t>
      </w:r>
      <w:r>
        <w:rPr>
          <w:w w:val="105"/>
        </w:rPr>
        <w:t>securities</w:t>
      </w:r>
      <w:r>
        <w:rPr>
          <w:spacing w:val="-8"/>
          <w:w w:val="105"/>
        </w:rPr>
        <w:t> </w:t>
      </w:r>
      <w:r>
        <w:rPr>
          <w:w w:val="105"/>
        </w:rPr>
        <w:t>will</w:t>
      </w:r>
      <w:r>
        <w:rPr>
          <w:spacing w:val="-8"/>
          <w:w w:val="105"/>
        </w:rPr>
        <w:t> </w:t>
      </w:r>
      <w:r>
        <w:rPr>
          <w:w w:val="105"/>
        </w:rPr>
        <w:t>decline</w:t>
      </w:r>
      <w:r>
        <w:rPr>
          <w:spacing w:val="-6"/>
          <w:w w:val="105"/>
        </w:rPr>
        <w:t> </w:t>
      </w:r>
      <w:r>
        <w:rPr>
          <w:w w:val="105"/>
        </w:rPr>
        <w:t>if</w:t>
      </w:r>
      <w:r>
        <w:rPr>
          <w:spacing w:val="-8"/>
          <w:w w:val="105"/>
        </w:rPr>
        <w:t> </w:t>
      </w:r>
      <w:r>
        <w:rPr>
          <w:w w:val="105"/>
        </w:rPr>
        <w:t>the</w:t>
      </w:r>
      <w:r>
        <w:rPr>
          <w:spacing w:val="-8"/>
          <w:w w:val="105"/>
        </w:rPr>
        <w:t> </w:t>
      </w:r>
      <w:r>
        <w:rPr>
          <w:w w:val="105"/>
        </w:rPr>
        <w:t>U.S. dollar increases in value relative to the value of the currencies in which these</w:t>
      </w:r>
      <w:r>
        <w:rPr>
          <w:spacing w:val="-1"/>
          <w:w w:val="105"/>
        </w:rPr>
        <w:t> </w:t>
      </w:r>
      <w:r>
        <w:rPr>
          <w:w w:val="105"/>
        </w:rPr>
        <w:t>investments are denominated.</w:t>
      </w:r>
    </w:p>
    <w:p>
      <w:pPr>
        <w:pStyle w:val="BodyText"/>
        <w:spacing w:before="19"/>
      </w:pPr>
    </w:p>
    <w:p>
      <w:pPr>
        <w:pStyle w:val="BodyText"/>
        <w:ind w:left="156"/>
      </w:pPr>
      <w:r>
        <w:rPr>
          <w:u w:val="single"/>
        </w:rPr>
        <w:t>Liquidity</w:t>
      </w:r>
      <w:r>
        <w:rPr>
          <w:spacing w:val="18"/>
          <w:u w:val="single"/>
        </w:rPr>
        <w:t> </w:t>
      </w:r>
      <w:r>
        <w:rPr>
          <w:spacing w:val="-4"/>
          <w:u w:val="single"/>
        </w:rPr>
        <w:t>Risk</w:t>
      </w:r>
    </w:p>
    <w:p>
      <w:pPr>
        <w:pStyle w:val="BodyText"/>
        <w:spacing w:before="40"/>
      </w:pPr>
    </w:p>
    <w:p>
      <w:pPr>
        <w:pStyle w:val="BodyText"/>
        <w:spacing w:line="266" w:lineRule="auto"/>
        <w:ind w:left="156" w:right="117"/>
      </w:pPr>
      <w:r>
        <w:rPr>
          <w:w w:val="105"/>
        </w:rPr>
        <w:t>1%</w:t>
      </w:r>
      <w:r>
        <w:rPr>
          <w:spacing w:val="-7"/>
          <w:w w:val="105"/>
        </w:rPr>
        <w:t> </w:t>
      </w:r>
      <w:r>
        <w:rPr>
          <w:w w:val="105"/>
        </w:rPr>
        <w:t>of</w:t>
      </w:r>
      <w:r>
        <w:rPr>
          <w:spacing w:val="-7"/>
          <w:w w:val="105"/>
        </w:rPr>
        <w:t> </w:t>
      </w:r>
      <w:r>
        <w:rPr>
          <w:w w:val="105"/>
        </w:rPr>
        <w:t>the</w:t>
      </w:r>
      <w:r>
        <w:rPr>
          <w:spacing w:val="-7"/>
          <w:w w:val="105"/>
        </w:rPr>
        <w:t> </w:t>
      </w:r>
      <w:r>
        <w:rPr>
          <w:w w:val="105"/>
        </w:rPr>
        <w:t>domestic</w:t>
      </w:r>
      <w:r>
        <w:rPr>
          <w:spacing w:val="-7"/>
          <w:w w:val="105"/>
        </w:rPr>
        <w:t> </w:t>
      </w:r>
      <w:r>
        <w:rPr>
          <w:w w:val="105"/>
        </w:rPr>
        <w:t>securities</w:t>
      </w:r>
      <w:r>
        <w:rPr>
          <w:spacing w:val="-7"/>
          <w:w w:val="105"/>
        </w:rPr>
        <w:t> </w:t>
      </w:r>
      <w:r>
        <w:rPr>
          <w:w w:val="105"/>
        </w:rPr>
        <w:t>are</w:t>
      </w:r>
      <w:r>
        <w:rPr>
          <w:spacing w:val="-7"/>
          <w:w w:val="105"/>
        </w:rPr>
        <w:t> </w:t>
      </w:r>
      <w:r>
        <w:rPr>
          <w:w w:val="105"/>
        </w:rPr>
        <w:t>invested</w:t>
      </w:r>
      <w:r>
        <w:rPr>
          <w:spacing w:val="-7"/>
          <w:w w:val="105"/>
        </w:rPr>
        <w:t> </w:t>
      </w:r>
      <w:r>
        <w:rPr>
          <w:w w:val="105"/>
        </w:rPr>
        <w:t>in</w:t>
      </w:r>
      <w:r>
        <w:rPr>
          <w:spacing w:val="-7"/>
          <w:w w:val="105"/>
        </w:rPr>
        <w:t> </w:t>
      </w:r>
      <w:r>
        <w:rPr>
          <w:w w:val="105"/>
        </w:rPr>
        <w:t>Level</w:t>
      </w:r>
      <w:r>
        <w:rPr>
          <w:spacing w:val="-9"/>
          <w:w w:val="105"/>
        </w:rPr>
        <w:t> </w:t>
      </w:r>
      <w:r>
        <w:rPr>
          <w:w w:val="105"/>
        </w:rPr>
        <w:t>3</w:t>
      </w:r>
      <w:r>
        <w:rPr>
          <w:spacing w:val="-7"/>
          <w:w w:val="105"/>
        </w:rPr>
        <w:t> </w:t>
      </w:r>
      <w:r>
        <w:rPr>
          <w:w w:val="105"/>
        </w:rPr>
        <w:t>securities.</w:t>
      </w:r>
      <w:r>
        <w:rPr>
          <w:spacing w:val="-7"/>
          <w:w w:val="105"/>
        </w:rPr>
        <w:t> </w:t>
      </w:r>
      <w:r>
        <w:rPr>
          <w:w w:val="105"/>
        </w:rPr>
        <w:t>These</w:t>
      </w:r>
      <w:r>
        <w:rPr>
          <w:spacing w:val="-7"/>
          <w:w w:val="105"/>
        </w:rPr>
        <w:t> </w:t>
      </w:r>
      <w:r>
        <w:rPr>
          <w:w w:val="105"/>
        </w:rPr>
        <w:t>are</w:t>
      </w:r>
      <w:r>
        <w:rPr>
          <w:spacing w:val="-7"/>
          <w:w w:val="105"/>
        </w:rPr>
        <w:t> </w:t>
      </w:r>
      <w:r>
        <w:rPr>
          <w:w w:val="105"/>
        </w:rPr>
        <w:t>long-term</w:t>
      </w:r>
      <w:r>
        <w:rPr>
          <w:spacing w:val="-7"/>
          <w:w w:val="105"/>
        </w:rPr>
        <w:t> </w:t>
      </w:r>
      <w:r>
        <w:rPr>
          <w:w w:val="105"/>
        </w:rPr>
        <w:t>investments</w:t>
      </w:r>
      <w:r>
        <w:rPr>
          <w:spacing w:val="-7"/>
          <w:w w:val="105"/>
        </w:rPr>
        <w:t> </w:t>
      </w:r>
      <w:r>
        <w:rPr>
          <w:w w:val="105"/>
        </w:rPr>
        <w:t>in</w:t>
      </w:r>
      <w:r>
        <w:rPr>
          <w:spacing w:val="-7"/>
          <w:w w:val="105"/>
        </w:rPr>
        <w:t> </w:t>
      </w:r>
      <w:r>
        <w:rPr>
          <w:w w:val="105"/>
        </w:rPr>
        <w:t>private</w:t>
      </w:r>
      <w:r>
        <w:rPr>
          <w:spacing w:val="-9"/>
          <w:w w:val="105"/>
        </w:rPr>
        <w:t> </w:t>
      </w:r>
      <w:r>
        <w:rPr>
          <w:w w:val="105"/>
        </w:rPr>
        <w:t>equity</w:t>
      </w:r>
      <w:r>
        <w:rPr>
          <w:spacing w:val="-7"/>
          <w:w w:val="105"/>
        </w:rPr>
        <w:t> </w:t>
      </w:r>
      <w:r>
        <w:rPr>
          <w:w w:val="105"/>
        </w:rPr>
        <w:t>and</w:t>
      </w:r>
      <w:r>
        <w:rPr>
          <w:spacing w:val="-7"/>
          <w:w w:val="105"/>
        </w:rPr>
        <w:t> </w:t>
      </w:r>
      <w:r>
        <w:rPr>
          <w:w w:val="105"/>
        </w:rPr>
        <w:t>private</w:t>
      </w:r>
      <w:r>
        <w:rPr>
          <w:spacing w:val="-7"/>
          <w:w w:val="105"/>
        </w:rPr>
        <w:t> </w:t>
      </w:r>
      <w:r>
        <w:rPr>
          <w:w w:val="105"/>
        </w:rPr>
        <w:t>real</w:t>
      </w:r>
      <w:r>
        <w:rPr>
          <w:spacing w:val="-7"/>
          <w:w w:val="105"/>
        </w:rPr>
        <w:t> </w:t>
      </w:r>
      <w:r>
        <w:rPr>
          <w:w w:val="105"/>
        </w:rPr>
        <w:t>estate</w:t>
      </w:r>
      <w:r>
        <w:rPr>
          <w:spacing w:val="-9"/>
          <w:w w:val="105"/>
        </w:rPr>
        <w:t> </w:t>
      </w:r>
      <w:r>
        <w:rPr>
          <w:w w:val="105"/>
        </w:rPr>
        <w:t>investments</w:t>
      </w:r>
      <w:r>
        <w:rPr>
          <w:spacing w:val="-7"/>
          <w:w w:val="105"/>
        </w:rPr>
        <w:t> </w:t>
      </w:r>
      <w:r>
        <w:rPr>
          <w:w w:val="105"/>
        </w:rPr>
        <w:t>that</w:t>
      </w:r>
      <w:r>
        <w:rPr>
          <w:spacing w:val="-9"/>
          <w:w w:val="105"/>
        </w:rPr>
        <w:t> </w:t>
      </w:r>
      <w:r>
        <w:rPr>
          <w:w w:val="105"/>
        </w:rPr>
        <w:t>may</w:t>
      </w:r>
      <w:r>
        <w:rPr>
          <w:spacing w:val="-7"/>
          <w:w w:val="105"/>
        </w:rPr>
        <w:t> </w:t>
      </w:r>
      <w:r>
        <w:rPr>
          <w:w w:val="105"/>
        </w:rPr>
        <w:t>not</w:t>
      </w:r>
      <w:r>
        <w:rPr>
          <w:spacing w:val="-7"/>
          <w:w w:val="105"/>
        </w:rPr>
        <w:t> </w:t>
      </w:r>
      <w:r>
        <w:rPr>
          <w:w w:val="105"/>
        </w:rPr>
        <w:t>mature</w:t>
      </w:r>
      <w:r>
        <w:rPr>
          <w:spacing w:val="-7"/>
          <w:w w:val="105"/>
        </w:rPr>
        <w:t> </w:t>
      </w:r>
      <w:r>
        <w:rPr>
          <w:w w:val="105"/>
        </w:rPr>
        <w:t>or be sellable in the near-term without significant loss.</w:t>
      </w:r>
    </w:p>
    <w:p>
      <w:pPr>
        <w:pStyle w:val="BodyText"/>
        <w:spacing w:before="19"/>
      </w:pPr>
    </w:p>
    <w:p>
      <w:pPr>
        <w:pStyle w:val="BodyText"/>
        <w:spacing w:line="532" w:lineRule="auto"/>
        <w:ind w:left="156" w:right="3530"/>
      </w:pPr>
      <w:r>
        <w:rPr>
          <w:w w:val="105"/>
        </w:rPr>
        <w:t>At</w:t>
      </w:r>
      <w:r>
        <w:rPr>
          <w:spacing w:val="-9"/>
          <w:w w:val="105"/>
        </w:rPr>
        <w:t> </w:t>
      </w:r>
      <w:r>
        <w:rPr>
          <w:w w:val="105"/>
        </w:rPr>
        <w:t>December</w:t>
      </w:r>
      <w:r>
        <w:rPr>
          <w:spacing w:val="-9"/>
          <w:w w:val="105"/>
        </w:rPr>
        <w:t> </w:t>
      </w:r>
      <w:r>
        <w:rPr>
          <w:w w:val="105"/>
        </w:rPr>
        <w:t>31,</w:t>
      </w:r>
      <w:r>
        <w:rPr>
          <w:spacing w:val="-9"/>
          <w:w w:val="105"/>
        </w:rPr>
        <w:t> </w:t>
      </w:r>
      <w:r>
        <w:rPr>
          <w:w w:val="105"/>
        </w:rPr>
        <w:t>2021</w:t>
      </w:r>
      <w:r>
        <w:rPr>
          <w:spacing w:val="-8"/>
          <w:w w:val="105"/>
        </w:rPr>
        <w:t> </w:t>
      </w:r>
      <w:r>
        <w:rPr>
          <w:w w:val="105"/>
        </w:rPr>
        <w:t>and</w:t>
      </w:r>
      <w:r>
        <w:rPr>
          <w:spacing w:val="-9"/>
          <w:w w:val="105"/>
        </w:rPr>
        <w:t> </w:t>
      </w:r>
      <w:r>
        <w:rPr>
          <w:w w:val="105"/>
        </w:rPr>
        <w:t>2020,</w:t>
      </w:r>
      <w:r>
        <w:rPr>
          <w:spacing w:val="-9"/>
          <w:w w:val="105"/>
        </w:rPr>
        <w:t> </w:t>
      </w:r>
      <w:r>
        <w:rPr>
          <w:w w:val="105"/>
        </w:rPr>
        <w:t>the</w:t>
      </w:r>
      <w:r>
        <w:rPr>
          <w:spacing w:val="-9"/>
          <w:w w:val="105"/>
        </w:rPr>
        <w:t> </w:t>
      </w:r>
      <w:r>
        <w:rPr>
          <w:w w:val="105"/>
        </w:rPr>
        <w:t>amount</w:t>
      </w:r>
      <w:r>
        <w:rPr>
          <w:spacing w:val="-9"/>
          <w:w w:val="105"/>
        </w:rPr>
        <w:t> </w:t>
      </w:r>
      <w:r>
        <w:rPr>
          <w:w w:val="105"/>
        </w:rPr>
        <w:t>of</w:t>
      </w:r>
      <w:r>
        <w:rPr>
          <w:spacing w:val="-9"/>
          <w:w w:val="105"/>
        </w:rPr>
        <w:t> </w:t>
      </w:r>
      <w:r>
        <w:rPr>
          <w:w w:val="105"/>
        </w:rPr>
        <w:t>Corning</w:t>
      </w:r>
      <w:r>
        <w:rPr>
          <w:spacing w:val="-9"/>
          <w:w w:val="105"/>
        </w:rPr>
        <w:t> </w:t>
      </w:r>
      <w:r>
        <w:rPr>
          <w:w w:val="105"/>
        </w:rPr>
        <w:t>common</w:t>
      </w:r>
      <w:r>
        <w:rPr>
          <w:spacing w:val="-9"/>
          <w:w w:val="105"/>
        </w:rPr>
        <w:t> </w:t>
      </w:r>
      <w:r>
        <w:rPr>
          <w:w w:val="105"/>
        </w:rPr>
        <w:t>stock</w:t>
      </w:r>
      <w:r>
        <w:rPr>
          <w:spacing w:val="-7"/>
          <w:w w:val="105"/>
        </w:rPr>
        <w:t> </w:t>
      </w:r>
      <w:r>
        <w:rPr>
          <w:w w:val="105"/>
        </w:rPr>
        <w:t>included</w:t>
      </w:r>
      <w:r>
        <w:rPr>
          <w:spacing w:val="-9"/>
          <w:w w:val="105"/>
        </w:rPr>
        <w:t> </w:t>
      </w:r>
      <w:r>
        <w:rPr>
          <w:w w:val="105"/>
        </w:rPr>
        <w:t>in</w:t>
      </w:r>
      <w:r>
        <w:rPr>
          <w:spacing w:val="-9"/>
          <w:w w:val="105"/>
        </w:rPr>
        <w:t> </w:t>
      </w:r>
      <w:r>
        <w:rPr>
          <w:w w:val="105"/>
        </w:rPr>
        <w:t>equity</w:t>
      </w:r>
      <w:r>
        <w:rPr>
          <w:spacing w:val="-9"/>
          <w:w w:val="105"/>
        </w:rPr>
        <w:t> </w:t>
      </w:r>
      <w:r>
        <w:rPr>
          <w:w w:val="105"/>
        </w:rPr>
        <w:t>securities</w:t>
      </w:r>
      <w:r>
        <w:rPr>
          <w:spacing w:val="-9"/>
          <w:w w:val="105"/>
        </w:rPr>
        <w:t> </w:t>
      </w:r>
      <w:r>
        <w:rPr>
          <w:w w:val="105"/>
        </w:rPr>
        <w:t>was</w:t>
      </w:r>
      <w:r>
        <w:rPr>
          <w:spacing w:val="-9"/>
          <w:w w:val="105"/>
        </w:rPr>
        <w:t> </w:t>
      </w:r>
      <w:r>
        <w:rPr>
          <w:w w:val="105"/>
        </w:rPr>
        <w:t>not</w:t>
      </w:r>
      <w:r>
        <w:rPr>
          <w:spacing w:val="-9"/>
          <w:w w:val="105"/>
        </w:rPr>
        <w:t> </w:t>
      </w:r>
      <w:r>
        <w:rPr>
          <w:w w:val="105"/>
        </w:rPr>
        <w:t>significant. </w:t>
      </w:r>
      <w:r>
        <w:rPr>
          <w:w w:val="105"/>
          <w:u w:val="single"/>
        </w:rPr>
        <w:t>Cash Flow Data</w:t>
      </w:r>
    </w:p>
    <w:p>
      <w:pPr>
        <w:pStyle w:val="BodyText"/>
        <w:spacing w:line="266" w:lineRule="auto"/>
        <w:ind w:left="156" w:right="328"/>
      </w:pPr>
      <w:r>
        <w:rPr>
          <w:w w:val="105"/>
        </w:rPr>
        <w:t>The</w:t>
      </w:r>
      <w:r>
        <w:rPr>
          <w:spacing w:val="-8"/>
          <w:w w:val="105"/>
        </w:rPr>
        <w:t> </w:t>
      </w:r>
      <w:r>
        <w:rPr>
          <w:w w:val="105"/>
        </w:rPr>
        <w:t>following</w:t>
      </w:r>
      <w:r>
        <w:rPr>
          <w:spacing w:val="-8"/>
          <w:w w:val="105"/>
        </w:rPr>
        <w:t> </w:t>
      </w:r>
      <w:r>
        <w:rPr>
          <w:w w:val="105"/>
        </w:rPr>
        <w:t>reflects</w:t>
      </w:r>
      <w:r>
        <w:rPr>
          <w:spacing w:val="-8"/>
          <w:w w:val="105"/>
        </w:rPr>
        <w:t> </w:t>
      </w:r>
      <w:r>
        <w:rPr>
          <w:w w:val="105"/>
        </w:rPr>
        <w:t>the</w:t>
      </w:r>
      <w:r>
        <w:rPr>
          <w:spacing w:val="-8"/>
          <w:w w:val="105"/>
        </w:rPr>
        <w:t> </w:t>
      </w:r>
      <w:r>
        <w:rPr>
          <w:w w:val="105"/>
        </w:rPr>
        <w:t>gross</w:t>
      </w:r>
      <w:r>
        <w:rPr>
          <w:spacing w:val="-8"/>
          <w:w w:val="105"/>
        </w:rPr>
        <w:t> </w:t>
      </w:r>
      <w:r>
        <w:rPr>
          <w:w w:val="105"/>
        </w:rPr>
        <w:t>benefit</w:t>
      </w:r>
      <w:r>
        <w:rPr>
          <w:spacing w:val="-8"/>
          <w:w w:val="105"/>
        </w:rPr>
        <w:t> </w:t>
      </w:r>
      <w:r>
        <w:rPr>
          <w:w w:val="105"/>
        </w:rPr>
        <w:t>payments</w:t>
      </w:r>
      <w:r>
        <w:rPr>
          <w:spacing w:val="-8"/>
          <w:w w:val="105"/>
        </w:rPr>
        <w:t> </w:t>
      </w:r>
      <w:r>
        <w:rPr>
          <w:w w:val="105"/>
        </w:rPr>
        <w:t>that</w:t>
      </w:r>
      <w:r>
        <w:rPr>
          <w:spacing w:val="-8"/>
          <w:w w:val="105"/>
        </w:rPr>
        <w:t> </w:t>
      </w:r>
      <w:r>
        <w:rPr>
          <w:w w:val="105"/>
        </w:rPr>
        <w:t>are</w:t>
      </w:r>
      <w:r>
        <w:rPr>
          <w:spacing w:val="-8"/>
          <w:w w:val="105"/>
        </w:rPr>
        <w:t> </w:t>
      </w:r>
      <w:r>
        <w:rPr>
          <w:w w:val="105"/>
        </w:rPr>
        <w:t>expected</w:t>
      </w:r>
      <w:r>
        <w:rPr>
          <w:spacing w:val="-8"/>
          <w:w w:val="105"/>
        </w:rPr>
        <w:t> </w:t>
      </w:r>
      <w:r>
        <w:rPr>
          <w:w w:val="105"/>
        </w:rPr>
        <w:t>to</w:t>
      </w:r>
      <w:r>
        <w:rPr>
          <w:spacing w:val="-8"/>
          <w:w w:val="105"/>
        </w:rPr>
        <w:t> </w:t>
      </w:r>
      <w:r>
        <w:rPr>
          <w:w w:val="105"/>
        </w:rPr>
        <w:t>be</w:t>
      </w:r>
      <w:r>
        <w:rPr>
          <w:spacing w:val="-8"/>
          <w:w w:val="105"/>
        </w:rPr>
        <w:t> </w:t>
      </w:r>
      <w:r>
        <w:rPr>
          <w:w w:val="105"/>
        </w:rPr>
        <w:t>paid</w:t>
      </w:r>
      <w:r>
        <w:rPr>
          <w:spacing w:val="-7"/>
          <w:w w:val="105"/>
        </w:rPr>
        <w:t> </w:t>
      </w:r>
      <w:r>
        <w:rPr>
          <w:w w:val="105"/>
        </w:rPr>
        <w:t>for</w:t>
      </w:r>
      <w:r>
        <w:rPr>
          <w:spacing w:val="-8"/>
          <w:w w:val="105"/>
        </w:rPr>
        <w:t> </w:t>
      </w:r>
      <w:r>
        <w:rPr>
          <w:w w:val="105"/>
        </w:rPr>
        <w:t>domestic</w:t>
      </w:r>
      <w:r>
        <w:rPr>
          <w:spacing w:val="-8"/>
          <w:w w:val="105"/>
        </w:rPr>
        <w:t> </w:t>
      </w:r>
      <w:r>
        <w:rPr>
          <w:w w:val="105"/>
        </w:rPr>
        <w:t>and</w:t>
      </w:r>
      <w:r>
        <w:rPr>
          <w:spacing w:val="-8"/>
          <w:w w:val="105"/>
        </w:rPr>
        <w:t> </w:t>
      </w:r>
      <w:r>
        <w:rPr>
          <w:w w:val="105"/>
        </w:rPr>
        <w:t>international</w:t>
      </w:r>
      <w:r>
        <w:rPr>
          <w:spacing w:val="-8"/>
          <w:w w:val="105"/>
        </w:rPr>
        <w:t> </w:t>
      </w:r>
      <w:r>
        <w:rPr>
          <w:w w:val="105"/>
        </w:rPr>
        <w:t>defined</w:t>
      </w:r>
      <w:r>
        <w:rPr>
          <w:spacing w:val="-8"/>
          <w:w w:val="105"/>
        </w:rPr>
        <w:t> </w:t>
      </w:r>
      <w:r>
        <w:rPr>
          <w:w w:val="105"/>
        </w:rPr>
        <w:t>benefit</w:t>
      </w:r>
      <w:r>
        <w:rPr>
          <w:spacing w:val="-8"/>
          <w:w w:val="105"/>
        </w:rPr>
        <w:t> </w:t>
      </w:r>
      <w:r>
        <w:rPr>
          <w:w w:val="105"/>
        </w:rPr>
        <w:t>pension</w:t>
      </w:r>
      <w:r>
        <w:rPr>
          <w:spacing w:val="-8"/>
          <w:w w:val="105"/>
        </w:rPr>
        <w:t> </w:t>
      </w:r>
      <w:r>
        <w:rPr>
          <w:w w:val="105"/>
        </w:rPr>
        <w:t>plans</w:t>
      </w:r>
      <w:r>
        <w:rPr>
          <w:spacing w:val="-8"/>
          <w:w w:val="105"/>
        </w:rPr>
        <w:t> </w:t>
      </w:r>
      <w:r>
        <w:rPr>
          <w:w w:val="105"/>
        </w:rPr>
        <w:t>and</w:t>
      </w:r>
      <w:r>
        <w:rPr>
          <w:spacing w:val="-8"/>
          <w:w w:val="105"/>
        </w:rPr>
        <w:t> </w:t>
      </w:r>
      <w:r>
        <w:rPr>
          <w:w w:val="105"/>
        </w:rPr>
        <w:t>the</w:t>
      </w:r>
      <w:r>
        <w:rPr>
          <w:spacing w:val="-8"/>
          <w:w w:val="105"/>
        </w:rPr>
        <w:t> </w:t>
      </w:r>
      <w:r>
        <w:rPr>
          <w:w w:val="105"/>
        </w:rPr>
        <w:t>postretirement</w:t>
      </w:r>
      <w:r>
        <w:rPr>
          <w:spacing w:val="-8"/>
          <w:w w:val="105"/>
        </w:rPr>
        <w:t> </w:t>
      </w:r>
      <w:r>
        <w:rPr>
          <w:w w:val="105"/>
        </w:rPr>
        <w:t>medical and life plans (in millions):</w:t>
      </w:r>
    </w:p>
    <w:p>
      <w:pPr>
        <w:pStyle w:val="BodyText"/>
        <w:spacing w:before="6"/>
        <w:rPr>
          <w:sz w:val="1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0"/>
        <w:gridCol w:w="113"/>
        <w:gridCol w:w="1457"/>
        <w:gridCol w:w="1917"/>
        <w:gridCol w:w="1052"/>
        <w:gridCol w:w="694"/>
      </w:tblGrid>
      <w:tr>
        <w:trPr>
          <w:trHeight w:val="200" w:hRule="atLeast"/>
        </w:trPr>
        <w:tc>
          <w:tcPr>
            <w:tcW w:w="7850" w:type="dxa"/>
            <w:gridSpan w:val="3"/>
            <w:tcBorders>
              <w:top w:val="single" w:sz="12" w:space="0" w:color="000000"/>
            </w:tcBorders>
          </w:tcPr>
          <w:p>
            <w:pPr>
              <w:pStyle w:val="TableParagraph"/>
              <w:rPr>
                <w:sz w:val="12"/>
              </w:rPr>
            </w:pPr>
          </w:p>
        </w:tc>
        <w:tc>
          <w:tcPr>
            <w:tcW w:w="1917" w:type="dxa"/>
            <w:tcBorders>
              <w:top w:val="single" w:sz="12" w:space="0" w:color="000000"/>
              <w:bottom w:val="single" w:sz="6" w:space="0" w:color="000000"/>
            </w:tcBorders>
          </w:tcPr>
          <w:p>
            <w:pPr>
              <w:pStyle w:val="TableParagraph"/>
              <w:spacing w:line="179" w:lineRule="exact" w:before="1"/>
              <w:ind w:left="65"/>
              <w:jc w:val="center"/>
              <w:rPr>
                <w:sz w:val="16"/>
              </w:rPr>
            </w:pPr>
            <w:r>
              <w:rPr>
                <w:sz w:val="16"/>
              </w:rPr>
              <w:t>Expected</w:t>
            </w:r>
            <w:r>
              <w:rPr>
                <w:spacing w:val="16"/>
                <w:sz w:val="16"/>
              </w:rPr>
              <w:t> </w:t>
            </w:r>
            <w:r>
              <w:rPr>
                <w:sz w:val="16"/>
              </w:rPr>
              <w:t>benefit</w:t>
            </w:r>
            <w:r>
              <w:rPr>
                <w:spacing w:val="17"/>
                <w:sz w:val="16"/>
              </w:rPr>
              <w:t> </w:t>
            </w:r>
            <w:r>
              <w:rPr>
                <w:spacing w:val="-2"/>
                <w:sz w:val="16"/>
              </w:rPr>
              <w:t>payments</w:t>
            </w:r>
          </w:p>
        </w:tc>
        <w:tc>
          <w:tcPr>
            <w:tcW w:w="1746" w:type="dxa"/>
            <w:gridSpan w:val="2"/>
            <w:tcBorders>
              <w:top w:val="single" w:sz="12" w:space="0" w:color="000000"/>
              <w:bottom w:val="single" w:sz="6" w:space="0" w:color="000000"/>
            </w:tcBorders>
          </w:tcPr>
          <w:p>
            <w:pPr>
              <w:pStyle w:val="TableParagraph"/>
              <w:rPr>
                <w:sz w:val="12"/>
              </w:rPr>
            </w:pPr>
          </w:p>
        </w:tc>
      </w:tr>
      <w:tr>
        <w:trPr>
          <w:trHeight w:val="405" w:hRule="atLeast"/>
        </w:trPr>
        <w:tc>
          <w:tcPr>
            <w:tcW w:w="6280" w:type="dxa"/>
            <w:tcBorders>
              <w:bottom w:val="single" w:sz="6" w:space="0" w:color="000000"/>
            </w:tcBorders>
          </w:tcPr>
          <w:p>
            <w:pPr>
              <w:pStyle w:val="TableParagraph"/>
              <w:rPr>
                <w:sz w:val="16"/>
              </w:rPr>
            </w:pPr>
          </w:p>
        </w:tc>
        <w:tc>
          <w:tcPr>
            <w:tcW w:w="113" w:type="dxa"/>
            <w:tcBorders>
              <w:top w:val="single" w:sz="6" w:space="0" w:color="000000"/>
              <w:bottom w:val="single" w:sz="6" w:space="0" w:color="000000"/>
            </w:tcBorders>
          </w:tcPr>
          <w:p>
            <w:pPr>
              <w:pStyle w:val="TableParagraph"/>
              <w:rPr>
                <w:sz w:val="16"/>
              </w:rPr>
            </w:pPr>
          </w:p>
        </w:tc>
        <w:tc>
          <w:tcPr>
            <w:tcW w:w="1457" w:type="dxa"/>
            <w:tcBorders>
              <w:top w:val="single" w:sz="6" w:space="0" w:color="000000"/>
              <w:bottom w:val="single" w:sz="6" w:space="0" w:color="000000"/>
            </w:tcBorders>
          </w:tcPr>
          <w:p>
            <w:pPr>
              <w:pStyle w:val="TableParagraph"/>
              <w:spacing w:before="2"/>
              <w:ind w:right="203"/>
              <w:jc w:val="center"/>
              <w:rPr>
                <w:sz w:val="16"/>
              </w:rPr>
            </w:pPr>
            <w:r>
              <w:rPr>
                <w:sz w:val="16"/>
              </w:rPr>
              <w:t>Domestic</w:t>
            </w:r>
            <w:r>
              <w:rPr>
                <w:spacing w:val="19"/>
                <w:sz w:val="16"/>
              </w:rPr>
              <w:t> </w:t>
            </w:r>
            <w:r>
              <w:rPr>
                <w:spacing w:val="-2"/>
                <w:sz w:val="16"/>
              </w:rPr>
              <w:t>pension</w:t>
            </w:r>
          </w:p>
          <w:p>
            <w:pPr>
              <w:pStyle w:val="TableParagraph"/>
              <w:spacing w:line="179" w:lineRule="exact" w:before="20"/>
              <w:ind w:right="203"/>
              <w:jc w:val="center"/>
              <w:rPr>
                <w:sz w:val="16"/>
              </w:rPr>
            </w:pPr>
            <w:r>
              <w:rPr>
                <w:spacing w:val="-2"/>
                <w:w w:val="105"/>
                <w:sz w:val="16"/>
              </w:rPr>
              <w:t>benefits</w:t>
            </w:r>
          </w:p>
        </w:tc>
        <w:tc>
          <w:tcPr>
            <w:tcW w:w="1917" w:type="dxa"/>
            <w:tcBorders>
              <w:top w:val="single" w:sz="6" w:space="0" w:color="000000"/>
              <w:bottom w:val="single" w:sz="6" w:space="0" w:color="000000"/>
            </w:tcBorders>
          </w:tcPr>
          <w:p>
            <w:pPr>
              <w:pStyle w:val="TableParagraph"/>
              <w:spacing w:before="2"/>
              <w:ind w:left="65" w:right="127"/>
              <w:jc w:val="center"/>
              <w:rPr>
                <w:sz w:val="16"/>
              </w:rPr>
            </w:pPr>
            <w:r>
              <w:rPr>
                <w:sz w:val="16"/>
              </w:rPr>
              <w:t>International</w:t>
            </w:r>
            <w:r>
              <w:rPr>
                <w:spacing w:val="25"/>
                <w:sz w:val="16"/>
              </w:rPr>
              <w:t> </w:t>
            </w:r>
            <w:r>
              <w:rPr>
                <w:spacing w:val="-2"/>
                <w:sz w:val="16"/>
              </w:rPr>
              <w:t>pension</w:t>
            </w:r>
          </w:p>
          <w:p>
            <w:pPr>
              <w:pStyle w:val="TableParagraph"/>
              <w:spacing w:line="179" w:lineRule="exact" w:before="20"/>
              <w:ind w:left="65" w:right="127"/>
              <w:jc w:val="center"/>
              <w:rPr>
                <w:sz w:val="16"/>
              </w:rPr>
            </w:pPr>
            <w:r>
              <w:rPr>
                <w:spacing w:val="-2"/>
                <w:w w:val="105"/>
                <w:sz w:val="16"/>
              </w:rPr>
              <w:t>benefits</w:t>
            </w:r>
          </w:p>
        </w:tc>
        <w:tc>
          <w:tcPr>
            <w:tcW w:w="1052" w:type="dxa"/>
            <w:tcBorders>
              <w:top w:val="single" w:sz="6" w:space="0" w:color="000000"/>
              <w:bottom w:val="single" w:sz="6" w:space="0" w:color="000000"/>
            </w:tcBorders>
          </w:tcPr>
          <w:p>
            <w:pPr>
              <w:pStyle w:val="TableParagraph"/>
              <w:spacing w:before="22"/>
              <w:rPr>
                <w:sz w:val="16"/>
              </w:rPr>
            </w:pPr>
          </w:p>
          <w:p>
            <w:pPr>
              <w:pStyle w:val="TableParagraph"/>
              <w:spacing w:line="179" w:lineRule="exact"/>
              <w:ind w:left="64"/>
              <w:rPr>
                <w:sz w:val="16"/>
              </w:rPr>
            </w:pPr>
            <w:r>
              <w:rPr>
                <w:spacing w:val="-2"/>
                <w:w w:val="105"/>
                <w:sz w:val="16"/>
              </w:rPr>
              <w:t>Postretirement</w:t>
            </w:r>
          </w:p>
        </w:tc>
        <w:tc>
          <w:tcPr>
            <w:tcW w:w="694" w:type="dxa"/>
            <w:tcBorders>
              <w:top w:val="single" w:sz="6" w:space="0" w:color="000000"/>
              <w:bottom w:val="single" w:sz="6" w:space="0" w:color="000000"/>
            </w:tcBorders>
          </w:tcPr>
          <w:p>
            <w:pPr>
              <w:pStyle w:val="TableParagraph"/>
              <w:spacing w:before="22"/>
              <w:rPr>
                <w:sz w:val="16"/>
              </w:rPr>
            </w:pPr>
          </w:p>
          <w:p>
            <w:pPr>
              <w:pStyle w:val="TableParagraph"/>
              <w:spacing w:line="179" w:lineRule="exact"/>
              <w:ind w:right="143"/>
              <w:jc w:val="right"/>
              <w:rPr>
                <w:sz w:val="16"/>
              </w:rPr>
            </w:pPr>
            <w:r>
              <w:rPr>
                <w:spacing w:val="-2"/>
                <w:w w:val="105"/>
                <w:sz w:val="16"/>
              </w:rPr>
              <w:t>benefits</w:t>
            </w:r>
          </w:p>
        </w:tc>
      </w:tr>
      <w:tr>
        <w:trPr>
          <w:trHeight w:val="202" w:hRule="atLeast"/>
        </w:trPr>
        <w:tc>
          <w:tcPr>
            <w:tcW w:w="6280" w:type="dxa"/>
            <w:tcBorders>
              <w:top w:val="single" w:sz="6" w:space="0" w:color="000000"/>
            </w:tcBorders>
            <w:shd w:val="clear" w:color="auto" w:fill="CCEDFF"/>
          </w:tcPr>
          <w:p>
            <w:pPr>
              <w:pStyle w:val="TableParagraph"/>
              <w:spacing w:line="180" w:lineRule="exact" w:before="2"/>
              <w:rPr>
                <w:sz w:val="16"/>
              </w:rPr>
            </w:pPr>
            <w:r>
              <w:rPr>
                <w:spacing w:val="-4"/>
                <w:w w:val="105"/>
                <w:sz w:val="16"/>
              </w:rPr>
              <w:t>2022</w:t>
            </w:r>
          </w:p>
        </w:tc>
        <w:tc>
          <w:tcPr>
            <w:tcW w:w="113" w:type="dxa"/>
            <w:tcBorders>
              <w:top w:val="single" w:sz="6" w:space="0" w:color="000000"/>
            </w:tcBorders>
            <w:shd w:val="clear" w:color="auto" w:fill="CCEDFF"/>
          </w:tcPr>
          <w:p>
            <w:pPr>
              <w:pStyle w:val="TableParagraph"/>
              <w:spacing w:line="180" w:lineRule="exact" w:before="2"/>
              <w:ind w:right="28"/>
              <w:jc w:val="center"/>
              <w:rPr>
                <w:sz w:val="16"/>
              </w:rPr>
            </w:pPr>
            <w:r>
              <w:rPr>
                <w:spacing w:val="-10"/>
                <w:w w:val="105"/>
                <w:sz w:val="16"/>
              </w:rPr>
              <w:t>$</w:t>
            </w:r>
          </w:p>
        </w:tc>
        <w:tc>
          <w:tcPr>
            <w:tcW w:w="1457" w:type="dxa"/>
            <w:tcBorders>
              <w:top w:val="single" w:sz="6" w:space="0" w:color="000000"/>
            </w:tcBorders>
            <w:shd w:val="clear" w:color="auto" w:fill="CCEDFF"/>
          </w:tcPr>
          <w:p>
            <w:pPr>
              <w:pStyle w:val="TableParagraph"/>
              <w:spacing w:line="180" w:lineRule="exact" w:before="2"/>
              <w:ind w:right="90"/>
              <w:jc w:val="right"/>
              <w:rPr>
                <w:sz w:val="16"/>
              </w:rPr>
            </w:pPr>
            <w:r>
              <w:rPr>
                <w:spacing w:val="-5"/>
                <w:w w:val="105"/>
                <w:sz w:val="16"/>
              </w:rPr>
              <w:t>232</w:t>
            </w:r>
          </w:p>
        </w:tc>
        <w:tc>
          <w:tcPr>
            <w:tcW w:w="1917" w:type="dxa"/>
            <w:tcBorders>
              <w:top w:val="single" w:sz="6" w:space="0" w:color="000000"/>
            </w:tcBorders>
            <w:shd w:val="clear" w:color="auto" w:fill="CCEDFF"/>
          </w:tcPr>
          <w:p>
            <w:pPr>
              <w:pStyle w:val="TableParagraph"/>
              <w:tabs>
                <w:tab w:pos="1413" w:val="left" w:leader="none"/>
              </w:tabs>
              <w:spacing w:line="180" w:lineRule="exact" w:before="2"/>
              <w:ind w:right="61"/>
              <w:jc w:val="center"/>
              <w:rPr>
                <w:sz w:val="16"/>
              </w:rPr>
            </w:pPr>
            <w:r>
              <w:rPr>
                <w:spacing w:val="-10"/>
                <w:w w:val="105"/>
                <w:sz w:val="16"/>
              </w:rPr>
              <w:t>$</w:t>
            </w:r>
            <w:r>
              <w:rPr>
                <w:sz w:val="16"/>
              </w:rPr>
              <w:tab/>
            </w:r>
            <w:r>
              <w:rPr>
                <w:spacing w:val="-5"/>
                <w:w w:val="105"/>
                <w:sz w:val="16"/>
              </w:rPr>
              <w:t>28</w:t>
            </w:r>
          </w:p>
        </w:tc>
        <w:tc>
          <w:tcPr>
            <w:tcW w:w="1052" w:type="dxa"/>
            <w:tcBorders>
              <w:top w:val="single" w:sz="6" w:space="0" w:color="000000"/>
            </w:tcBorders>
            <w:shd w:val="clear" w:color="auto" w:fill="CCEDFF"/>
          </w:tcPr>
          <w:p>
            <w:pPr>
              <w:pStyle w:val="TableParagraph"/>
              <w:spacing w:line="180" w:lineRule="exact" w:before="2"/>
              <w:ind w:left="28"/>
              <w:rPr>
                <w:sz w:val="16"/>
              </w:rPr>
            </w:pPr>
            <w:r>
              <w:rPr>
                <w:spacing w:val="-10"/>
                <w:w w:val="105"/>
                <w:sz w:val="16"/>
              </w:rPr>
              <w:t>$</w:t>
            </w:r>
          </w:p>
        </w:tc>
        <w:tc>
          <w:tcPr>
            <w:tcW w:w="694" w:type="dxa"/>
            <w:tcBorders>
              <w:top w:val="single" w:sz="6" w:space="0" w:color="000000"/>
            </w:tcBorders>
            <w:shd w:val="clear" w:color="auto" w:fill="CCEDFF"/>
          </w:tcPr>
          <w:p>
            <w:pPr>
              <w:pStyle w:val="TableParagraph"/>
              <w:spacing w:line="180" w:lineRule="exact" w:before="2"/>
              <w:ind w:right="110"/>
              <w:jc w:val="right"/>
              <w:rPr>
                <w:sz w:val="16"/>
              </w:rPr>
            </w:pPr>
            <w:r>
              <w:rPr>
                <w:spacing w:val="-5"/>
                <w:w w:val="105"/>
                <w:sz w:val="16"/>
              </w:rPr>
              <w:t>33</w:t>
            </w:r>
          </w:p>
        </w:tc>
      </w:tr>
      <w:tr>
        <w:trPr>
          <w:trHeight w:val="203" w:hRule="atLeast"/>
        </w:trPr>
        <w:tc>
          <w:tcPr>
            <w:tcW w:w="6280" w:type="dxa"/>
          </w:tcPr>
          <w:p>
            <w:pPr>
              <w:pStyle w:val="TableParagraph"/>
              <w:spacing w:line="180" w:lineRule="exact" w:before="3"/>
              <w:rPr>
                <w:sz w:val="16"/>
              </w:rPr>
            </w:pPr>
            <w:r>
              <w:rPr>
                <w:spacing w:val="-4"/>
                <w:w w:val="105"/>
                <w:sz w:val="16"/>
              </w:rPr>
              <w:t>2023</w:t>
            </w:r>
          </w:p>
        </w:tc>
        <w:tc>
          <w:tcPr>
            <w:tcW w:w="113" w:type="dxa"/>
          </w:tcPr>
          <w:p>
            <w:pPr>
              <w:pStyle w:val="TableParagraph"/>
              <w:spacing w:line="180" w:lineRule="exact" w:before="3"/>
              <w:ind w:right="28"/>
              <w:jc w:val="center"/>
              <w:rPr>
                <w:sz w:val="16"/>
              </w:rPr>
            </w:pPr>
            <w:r>
              <w:rPr>
                <w:spacing w:val="-10"/>
                <w:w w:val="105"/>
                <w:sz w:val="16"/>
              </w:rPr>
              <w:t>$</w:t>
            </w:r>
          </w:p>
        </w:tc>
        <w:tc>
          <w:tcPr>
            <w:tcW w:w="1457" w:type="dxa"/>
          </w:tcPr>
          <w:p>
            <w:pPr>
              <w:pStyle w:val="TableParagraph"/>
              <w:spacing w:line="180" w:lineRule="exact" w:before="3"/>
              <w:ind w:right="90"/>
              <w:jc w:val="right"/>
              <w:rPr>
                <w:sz w:val="16"/>
              </w:rPr>
            </w:pPr>
            <w:r>
              <w:rPr>
                <w:spacing w:val="-5"/>
                <w:w w:val="105"/>
                <w:sz w:val="16"/>
              </w:rPr>
              <w:t>233</w:t>
            </w:r>
          </w:p>
        </w:tc>
        <w:tc>
          <w:tcPr>
            <w:tcW w:w="1917" w:type="dxa"/>
          </w:tcPr>
          <w:p>
            <w:pPr>
              <w:pStyle w:val="TableParagraph"/>
              <w:tabs>
                <w:tab w:pos="1413" w:val="left" w:leader="none"/>
              </w:tabs>
              <w:spacing w:line="180" w:lineRule="exact" w:before="3"/>
              <w:ind w:right="61"/>
              <w:jc w:val="center"/>
              <w:rPr>
                <w:sz w:val="16"/>
              </w:rPr>
            </w:pPr>
            <w:r>
              <w:rPr>
                <w:spacing w:val="-10"/>
                <w:w w:val="105"/>
                <w:sz w:val="16"/>
              </w:rPr>
              <w:t>$</w:t>
            </w:r>
            <w:r>
              <w:rPr>
                <w:sz w:val="16"/>
              </w:rPr>
              <w:tab/>
            </w:r>
            <w:r>
              <w:rPr>
                <w:spacing w:val="-5"/>
                <w:w w:val="105"/>
                <w:sz w:val="16"/>
              </w:rPr>
              <w:t>34</w:t>
            </w:r>
          </w:p>
        </w:tc>
        <w:tc>
          <w:tcPr>
            <w:tcW w:w="1052" w:type="dxa"/>
          </w:tcPr>
          <w:p>
            <w:pPr>
              <w:pStyle w:val="TableParagraph"/>
              <w:spacing w:line="180" w:lineRule="exact" w:before="3"/>
              <w:ind w:left="28"/>
              <w:rPr>
                <w:sz w:val="16"/>
              </w:rPr>
            </w:pPr>
            <w:r>
              <w:rPr>
                <w:spacing w:val="-10"/>
                <w:w w:val="105"/>
                <w:sz w:val="16"/>
              </w:rPr>
              <w:t>$</w:t>
            </w:r>
          </w:p>
        </w:tc>
        <w:tc>
          <w:tcPr>
            <w:tcW w:w="694" w:type="dxa"/>
          </w:tcPr>
          <w:p>
            <w:pPr>
              <w:pStyle w:val="TableParagraph"/>
              <w:spacing w:line="180" w:lineRule="exact" w:before="3"/>
              <w:ind w:right="110"/>
              <w:jc w:val="right"/>
              <w:rPr>
                <w:sz w:val="16"/>
              </w:rPr>
            </w:pPr>
            <w:r>
              <w:rPr>
                <w:spacing w:val="-5"/>
                <w:w w:val="105"/>
                <w:sz w:val="16"/>
              </w:rPr>
              <w:t>33</w:t>
            </w:r>
          </w:p>
        </w:tc>
      </w:tr>
      <w:tr>
        <w:trPr>
          <w:trHeight w:val="203" w:hRule="atLeast"/>
        </w:trPr>
        <w:tc>
          <w:tcPr>
            <w:tcW w:w="6280" w:type="dxa"/>
            <w:shd w:val="clear" w:color="auto" w:fill="CCEDFF"/>
          </w:tcPr>
          <w:p>
            <w:pPr>
              <w:pStyle w:val="TableParagraph"/>
              <w:spacing w:line="180" w:lineRule="exact" w:before="3"/>
              <w:rPr>
                <w:sz w:val="16"/>
              </w:rPr>
            </w:pPr>
            <w:r>
              <w:rPr>
                <w:spacing w:val="-4"/>
                <w:w w:val="105"/>
                <w:sz w:val="16"/>
              </w:rPr>
              <w:t>2024</w:t>
            </w:r>
          </w:p>
        </w:tc>
        <w:tc>
          <w:tcPr>
            <w:tcW w:w="113" w:type="dxa"/>
            <w:shd w:val="clear" w:color="auto" w:fill="CCEDFF"/>
          </w:tcPr>
          <w:p>
            <w:pPr>
              <w:pStyle w:val="TableParagraph"/>
              <w:spacing w:line="180" w:lineRule="exact" w:before="3"/>
              <w:ind w:right="28"/>
              <w:jc w:val="center"/>
              <w:rPr>
                <w:sz w:val="16"/>
              </w:rPr>
            </w:pPr>
            <w:r>
              <w:rPr>
                <w:spacing w:val="-10"/>
                <w:w w:val="105"/>
                <w:sz w:val="16"/>
              </w:rPr>
              <w:t>$</w:t>
            </w:r>
          </w:p>
        </w:tc>
        <w:tc>
          <w:tcPr>
            <w:tcW w:w="1457" w:type="dxa"/>
            <w:shd w:val="clear" w:color="auto" w:fill="CCEDFF"/>
          </w:tcPr>
          <w:p>
            <w:pPr>
              <w:pStyle w:val="TableParagraph"/>
              <w:spacing w:line="180" w:lineRule="exact" w:before="3"/>
              <w:ind w:right="90"/>
              <w:jc w:val="right"/>
              <w:rPr>
                <w:sz w:val="16"/>
              </w:rPr>
            </w:pPr>
            <w:r>
              <w:rPr>
                <w:spacing w:val="-5"/>
                <w:w w:val="105"/>
                <w:sz w:val="16"/>
              </w:rPr>
              <w:t>242</w:t>
            </w:r>
          </w:p>
        </w:tc>
        <w:tc>
          <w:tcPr>
            <w:tcW w:w="1917" w:type="dxa"/>
            <w:shd w:val="clear" w:color="auto" w:fill="CCEDFF"/>
          </w:tcPr>
          <w:p>
            <w:pPr>
              <w:pStyle w:val="TableParagraph"/>
              <w:tabs>
                <w:tab w:pos="1413" w:val="left" w:leader="none"/>
              </w:tabs>
              <w:spacing w:line="180" w:lineRule="exact" w:before="3"/>
              <w:ind w:right="61"/>
              <w:jc w:val="center"/>
              <w:rPr>
                <w:sz w:val="16"/>
              </w:rPr>
            </w:pPr>
            <w:r>
              <w:rPr>
                <w:spacing w:val="-10"/>
                <w:w w:val="105"/>
                <w:sz w:val="16"/>
              </w:rPr>
              <w:t>$</w:t>
            </w:r>
            <w:r>
              <w:rPr>
                <w:sz w:val="16"/>
              </w:rPr>
              <w:tab/>
            </w:r>
            <w:r>
              <w:rPr>
                <w:spacing w:val="-5"/>
                <w:w w:val="105"/>
                <w:sz w:val="16"/>
              </w:rPr>
              <w:t>33</w:t>
            </w:r>
          </w:p>
        </w:tc>
        <w:tc>
          <w:tcPr>
            <w:tcW w:w="1052" w:type="dxa"/>
            <w:shd w:val="clear" w:color="auto" w:fill="CCEDFF"/>
          </w:tcPr>
          <w:p>
            <w:pPr>
              <w:pStyle w:val="TableParagraph"/>
              <w:spacing w:line="180" w:lineRule="exact" w:before="3"/>
              <w:ind w:left="28"/>
              <w:rPr>
                <w:sz w:val="16"/>
              </w:rPr>
            </w:pPr>
            <w:r>
              <w:rPr>
                <w:spacing w:val="-10"/>
                <w:w w:val="105"/>
                <w:sz w:val="16"/>
              </w:rPr>
              <w:t>$</w:t>
            </w:r>
          </w:p>
        </w:tc>
        <w:tc>
          <w:tcPr>
            <w:tcW w:w="694" w:type="dxa"/>
            <w:shd w:val="clear" w:color="auto" w:fill="CCEDFF"/>
          </w:tcPr>
          <w:p>
            <w:pPr>
              <w:pStyle w:val="TableParagraph"/>
              <w:spacing w:line="180" w:lineRule="exact" w:before="3"/>
              <w:ind w:right="110"/>
              <w:jc w:val="right"/>
              <w:rPr>
                <w:sz w:val="16"/>
              </w:rPr>
            </w:pPr>
            <w:r>
              <w:rPr>
                <w:spacing w:val="-5"/>
                <w:w w:val="105"/>
                <w:sz w:val="16"/>
              </w:rPr>
              <w:t>33</w:t>
            </w:r>
          </w:p>
        </w:tc>
      </w:tr>
      <w:tr>
        <w:trPr>
          <w:trHeight w:val="203" w:hRule="atLeast"/>
        </w:trPr>
        <w:tc>
          <w:tcPr>
            <w:tcW w:w="6280" w:type="dxa"/>
          </w:tcPr>
          <w:p>
            <w:pPr>
              <w:pStyle w:val="TableParagraph"/>
              <w:spacing w:line="180" w:lineRule="exact" w:before="3"/>
              <w:rPr>
                <w:sz w:val="16"/>
              </w:rPr>
            </w:pPr>
            <w:r>
              <w:rPr>
                <w:spacing w:val="-4"/>
                <w:w w:val="105"/>
                <w:sz w:val="16"/>
              </w:rPr>
              <w:t>2025</w:t>
            </w:r>
          </w:p>
        </w:tc>
        <w:tc>
          <w:tcPr>
            <w:tcW w:w="113" w:type="dxa"/>
          </w:tcPr>
          <w:p>
            <w:pPr>
              <w:pStyle w:val="TableParagraph"/>
              <w:spacing w:line="180" w:lineRule="exact" w:before="3"/>
              <w:ind w:right="28"/>
              <w:jc w:val="center"/>
              <w:rPr>
                <w:sz w:val="16"/>
              </w:rPr>
            </w:pPr>
            <w:r>
              <w:rPr>
                <w:spacing w:val="-10"/>
                <w:w w:val="105"/>
                <w:sz w:val="16"/>
              </w:rPr>
              <w:t>$</w:t>
            </w:r>
          </w:p>
        </w:tc>
        <w:tc>
          <w:tcPr>
            <w:tcW w:w="1457" w:type="dxa"/>
          </w:tcPr>
          <w:p>
            <w:pPr>
              <w:pStyle w:val="TableParagraph"/>
              <w:spacing w:line="180" w:lineRule="exact" w:before="3"/>
              <w:ind w:right="90"/>
              <w:jc w:val="right"/>
              <w:rPr>
                <w:sz w:val="16"/>
              </w:rPr>
            </w:pPr>
            <w:r>
              <w:rPr>
                <w:spacing w:val="-5"/>
                <w:w w:val="105"/>
                <w:sz w:val="16"/>
              </w:rPr>
              <w:t>251</w:t>
            </w:r>
          </w:p>
        </w:tc>
        <w:tc>
          <w:tcPr>
            <w:tcW w:w="1917" w:type="dxa"/>
          </w:tcPr>
          <w:p>
            <w:pPr>
              <w:pStyle w:val="TableParagraph"/>
              <w:tabs>
                <w:tab w:pos="1413" w:val="left" w:leader="none"/>
              </w:tabs>
              <w:spacing w:line="180" w:lineRule="exact" w:before="3"/>
              <w:ind w:right="61"/>
              <w:jc w:val="center"/>
              <w:rPr>
                <w:sz w:val="16"/>
              </w:rPr>
            </w:pPr>
            <w:r>
              <w:rPr>
                <w:spacing w:val="-10"/>
                <w:w w:val="105"/>
                <w:sz w:val="16"/>
              </w:rPr>
              <w:t>$</w:t>
            </w:r>
            <w:r>
              <w:rPr>
                <w:sz w:val="16"/>
              </w:rPr>
              <w:tab/>
            </w:r>
            <w:r>
              <w:rPr>
                <w:spacing w:val="-5"/>
                <w:w w:val="105"/>
                <w:sz w:val="16"/>
              </w:rPr>
              <w:t>36</w:t>
            </w:r>
          </w:p>
        </w:tc>
        <w:tc>
          <w:tcPr>
            <w:tcW w:w="1052" w:type="dxa"/>
          </w:tcPr>
          <w:p>
            <w:pPr>
              <w:pStyle w:val="TableParagraph"/>
              <w:spacing w:line="180" w:lineRule="exact" w:before="3"/>
              <w:ind w:left="28"/>
              <w:rPr>
                <w:sz w:val="16"/>
              </w:rPr>
            </w:pPr>
            <w:r>
              <w:rPr>
                <w:spacing w:val="-10"/>
                <w:w w:val="105"/>
                <w:sz w:val="16"/>
              </w:rPr>
              <w:t>$</w:t>
            </w:r>
          </w:p>
        </w:tc>
        <w:tc>
          <w:tcPr>
            <w:tcW w:w="694" w:type="dxa"/>
          </w:tcPr>
          <w:p>
            <w:pPr>
              <w:pStyle w:val="TableParagraph"/>
              <w:spacing w:line="180" w:lineRule="exact" w:before="3"/>
              <w:ind w:right="110"/>
              <w:jc w:val="right"/>
              <w:rPr>
                <w:sz w:val="16"/>
              </w:rPr>
            </w:pPr>
            <w:r>
              <w:rPr>
                <w:spacing w:val="-5"/>
                <w:w w:val="105"/>
                <w:sz w:val="16"/>
              </w:rPr>
              <w:t>33</w:t>
            </w:r>
          </w:p>
        </w:tc>
      </w:tr>
      <w:tr>
        <w:trPr>
          <w:trHeight w:val="203" w:hRule="atLeast"/>
        </w:trPr>
        <w:tc>
          <w:tcPr>
            <w:tcW w:w="6280" w:type="dxa"/>
            <w:shd w:val="clear" w:color="auto" w:fill="CCEDFF"/>
          </w:tcPr>
          <w:p>
            <w:pPr>
              <w:pStyle w:val="TableParagraph"/>
              <w:spacing w:line="180" w:lineRule="exact" w:before="3"/>
              <w:rPr>
                <w:sz w:val="16"/>
              </w:rPr>
            </w:pPr>
            <w:r>
              <w:rPr>
                <w:spacing w:val="-4"/>
                <w:w w:val="105"/>
                <w:sz w:val="16"/>
              </w:rPr>
              <w:t>2026</w:t>
            </w:r>
          </w:p>
        </w:tc>
        <w:tc>
          <w:tcPr>
            <w:tcW w:w="113" w:type="dxa"/>
            <w:shd w:val="clear" w:color="auto" w:fill="CCEDFF"/>
          </w:tcPr>
          <w:p>
            <w:pPr>
              <w:pStyle w:val="TableParagraph"/>
              <w:spacing w:line="180" w:lineRule="exact" w:before="3"/>
              <w:ind w:right="28"/>
              <w:jc w:val="center"/>
              <w:rPr>
                <w:sz w:val="16"/>
              </w:rPr>
            </w:pPr>
            <w:r>
              <w:rPr>
                <w:spacing w:val="-10"/>
                <w:w w:val="105"/>
                <w:sz w:val="16"/>
              </w:rPr>
              <w:t>$</w:t>
            </w:r>
          </w:p>
        </w:tc>
        <w:tc>
          <w:tcPr>
            <w:tcW w:w="1457" w:type="dxa"/>
            <w:shd w:val="clear" w:color="auto" w:fill="CCEDFF"/>
          </w:tcPr>
          <w:p>
            <w:pPr>
              <w:pStyle w:val="TableParagraph"/>
              <w:spacing w:line="180" w:lineRule="exact" w:before="3"/>
              <w:ind w:right="90"/>
              <w:jc w:val="right"/>
              <w:rPr>
                <w:sz w:val="16"/>
              </w:rPr>
            </w:pPr>
            <w:r>
              <w:rPr>
                <w:spacing w:val="-5"/>
                <w:w w:val="105"/>
                <w:sz w:val="16"/>
              </w:rPr>
              <w:t>254</w:t>
            </w:r>
          </w:p>
        </w:tc>
        <w:tc>
          <w:tcPr>
            <w:tcW w:w="1917" w:type="dxa"/>
            <w:shd w:val="clear" w:color="auto" w:fill="CCEDFF"/>
          </w:tcPr>
          <w:p>
            <w:pPr>
              <w:pStyle w:val="TableParagraph"/>
              <w:tabs>
                <w:tab w:pos="1413" w:val="left" w:leader="none"/>
              </w:tabs>
              <w:spacing w:line="180" w:lineRule="exact" w:before="3"/>
              <w:ind w:right="61"/>
              <w:jc w:val="center"/>
              <w:rPr>
                <w:sz w:val="16"/>
              </w:rPr>
            </w:pPr>
            <w:r>
              <w:rPr>
                <w:spacing w:val="-10"/>
                <w:w w:val="105"/>
                <w:sz w:val="16"/>
              </w:rPr>
              <w:t>$</w:t>
            </w:r>
            <w:r>
              <w:rPr>
                <w:sz w:val="16"/>
              </w:rPr>
              <w:tab/>
            </w:r>
            <w:r>
              <w:rPr>
                <w:spacing w:val="-5"/>
                <w:w w:val="105"/>
                <w:sz w:val="16"/>
              </w:rPr>
              <w:t>40</w:t>
            </w:r>
          </w:p>
        </w:tc>
        <w:tc>
          <w:tcPr>
            <w:tcW w:w="1052" w:type="dxa"/>
            <w:shd w:val="clear" w:color="auto" w:fill="CCEDFF"/>
          </w:tcPr>
          <w:p>
            <w:pPr>
              <w:pStyle w:val="TableParagraph"/>
              <w:spacing w:line="180" w:lineRule="exact" w:before="3"/>
              <w:ind w:left="28"/>
              <w:rPr>
                <w:sz w:val="16"/>
              </w:rPr>
            </w:pPr>
            <w:r>
              <w:rPr>
                <w:spacing w:val="-10"/>
                <w:w w:val="105"/>
                <w:sz w:val="16"/>
              </w:rPr>
              <w:t>$</w:t>
            </w:r>
          </w:p>
        </w:tc>
        <w:tc>
          <w:tcPr>
            <w:tcW w:w="694" w:type="dxa"/>
            <w:shd w:val="clear" w:color="auto" w:fill="CCEDFF"/>
          </w:tcPr>
          <w:p>
            <w:pPr>
              <w:pStyle w:val="TableParagraph"/>
              <w:spacing w:line="180" w:lineRule="exact" w:before="3"/>
              <w:ind w:right="110"/>
              <w:jc w:val="right"/>
              <w:rPr>
                <w:sz w:val="16"/>
              </w:rPr>
            </w:pPr>
            <w:r>
              <w:rPr>
                <w:spacing w:val="-5"/>
                <w:w w:val="105"/>
                <w:sz w:val="16"/>
              </w:rPr>
              <w:t>33</w:t>
            </w:r>
          </w:p>
        </w:tc>
      </w:tr>
      <w:tr>
        <w:trPr>
          <w:trHeight w:val="200" w:hRule="atLeast"/>
        </w:trPr>
        <w:tc>
          <w:tcPr>
            <w:tcW w:w="6280" w:type="dxa"/>
            <w:tcBorders>
              <w:bottom w:val="double" w:sz="6" w:space="0" w:color="000000"/>
            </w:tcBorders>
          </w:tcPr>
          <w:p>
            <w:pPr>
              <w:pStyle w:val="TableParagraph"/>
              <w:spacing w:line="177" w:lineRule="exact" w:before="3"/>
              <w:rPr>
                <w:sz w:val="16"/>
              </w:rPr>
            </w:pPr>
            <w:r>
              <w:rPr>
                <w:sz w:val="16"/>
              </w:rPr>
              <w:t>2027-</w:t>
            </w:r>
            <w:r>
              <w:rPr>
                <w:spacing w:val="-4"/>
                <w:sz w:val="16"/>
              </w:rPr>
              <w:t>2031</w:t>
            </w:r>
          </w:p>
        </w:tc>
        <w:tc>
          <w:tcPr>
            <w:tcW w:w="113" w:type="dxa"/>
            <w:tcBorders>
              <w:bottom w:val="double" w:sz="6" w:space="0" w:color="000000"/>
            </w:tcBorders>
          </w:tcPr>
          <w:p>
            <w:pPr>
              <w:pStyle w:val="TableParagraph"/>
              <w:spacing w:line="177" w:lineRule="exact" w:before="3"/>
              <w:ind w:right="28"/>
              <w:jc w:val="center"/>
              <w:rPr>
                <w:sz w:val="16"/>
              </w:rPr>
            </w:pPr>
            <w:r>
              <w:rPr>
                <w:spacing w:val="-10"/>
                <w:w w:val="105"/>
                <w:sz w:val="16"/>
              </w:rPr>
              <w:t>$</w:t>
            </w:r>
          </w:p>
        </w:tc>
        <w:tc>
          <w:tcPr>
            <w:tcW w:w="1457" w:type="dxa"/>
            <w:tcBorders>
              <w:bottom w:val="double" w:sz="6" w:space="0" w:color="000000"/>
            </w:tcBorders>
          </w:tcPr>
          <w:p>
            <w:pPr>
              <w:pStyle w:val="TableParagraph"/>
              <w:spacing w:line="177" w:lineRule="exact" w:before="3"/>
              <w:ind w:right="90"/>
              <w:jc w:val="right"/>
              <w:rPr>
                <w:sz w:val="16"/>
              </w:rPr>
            </w:pPr>
            <w:r>
              <w:rPr>
                <w:spacing w:val="-4"/>
                <w:w w:val="105"/>
                <w:sz w:val="16"/>
              </w:rPr>
              <w:t>1,333</w:t>
            </w:r>
          </w:p>
        </w:tc>
        <w:tc>
          <w:tcPr>
            <w:tcW w:w="1917" w:type="dxa"/>
            <w:tcBorders>
              <w:bottom w:val="double" w:sz="6" w:space="0" w:color="000000"/>
            </w:tcBorders>
          </w:tcPr>
          <w:p>
            <w:pPr>
              <w:pStyle w:val="TableParagraph"/>
              <w:tabs>
                <w:tab w:pos="1331" w:val="left" w:leader="none"/>
              </w:tabs>
              <w:spacing w:line="177" w:lineRule="exact" w:before="3"/>
              <w:ind w:right="61"/>
              <w:jc w:val="center"/>
              <w:rPr>
                <w:sz w:val="16"/>
              </w:rPr>
            </w:pPr>
            <w:r>
              <w:rPr>
                <w:spacing w:val="-10"/>
                <w:w w:val="105"/>
                <w:sz w:val="16"/>
              </w:rPr>
              <w:t>$</w:t>
            </w:r>
            <w:r>
              <w:rPr>
                <w:sz w:val="16"/>
              </w:rPr>
              <w:tab/>
            </w:r>
            <w:r>
              <w:rPr>
                <w:spacing w:val="-5"/>
                <w:w w:val="105"/>
                <w:sz w:val="16"/>
              </w:rPr>
              <w:t>221</w:t>
            </w:r>
          </w:p>
        </w:tc>
        <w:tc>
          <w:tcPr>
            <w:tcW w:w="1052" w:type="dxa"/>
            <w:tcBorders>
              <w:bottom w:val="double" w:sz="6" w:space="0" w:color="000000"/>
            </w:tcBorders>
          </w:tcPr>
          <w:p>
            <w:pPr>
              <w:pStyle w:val="TableParagraph"/>
              <w:spacing w:line="177" w:lineRule="exact" w:before="3"/>
              <w:ind w:left="28"/>
              <w:rPr>
                <w:sz w:val="16"/>
              </w:rPr>
            </w:pPr>
            <w:r>
              <w:rPr>
                <w:spacing w:val="-10"/>
                <w:w w:val="105"/>
                <w:sz w:val="16"/>
              </w:rPr>
              <w:t>$</w:t>
            </w:r>
          </w:p>
        </w:tc>
        <w:tc>
          <w:tcPr>
            <w:tcW w:w="694" w:type="dxa"/>
            <w:tcBorders>
              <w:bottom w:val="double" w:sz="6" w:space="0" w:color="000000"/>
            </w:tcBorders>
          </w:tcPr>
          <w:p>
            <w:pPr>
              <w:pStyle w:val="TableParagraph"/>
              <w:spacing w:line="177" w:lineRule="exact" w:before="3"/>
              <w:ind w:right="110"/>
              <w:jc w:val="right"/>
              <w:rPr>
                <w:sz w:val="16"/>
              </w:rPr>
            </w:pPr>
            <w:r>
              <w:rPr>
                <w:spacing w:val="-5"/>
                <w:w w:val="105"/>
                <w:sz w:val="16"/>
              </w:rPr>
              <w:t>166</w:t>
            </w:r>
          </w:p>
        </w:tc>
      </w:tr>
      <w:tr>
        <w:trPr>
          <w:trHeight w:val="389" w:hRule="atLeast"/>
        </w:trPr>
        <w:tc>
          <w:tcPr>
            <w:tcW w:w="6280" w:type="dxa"/>
            <w:tcBorders>
              <w:top w:val="double" w:sz="6" w:space="0" w:color="000000"/>
            </w:tcBorders>
          </w:tcPr>
          <w:p>
            <w:pPr>
              <w:pStyle w:val="TableParagraph"/>
              <w:spacing w:before="19"/>
              <w:rPr>
                <w:sz w:val="16"/>
              </w:rPr>
            </w:pPr>
          </w:p>
          <w:p>
            <w:pPr>
              <w:pStyle w:val="TableParagraph"/>
              <w:spacing w:line="165" w:lineRule="exact" w:before="1"/>
              <w:rPr>
                <w:b/>
                <w:i/>
                <w:sz w:val="16"/>
              </w:rPr>
            </w:pPr>
            <w:r>
              <w:rPr>
                <w:b/>
                <w:i/>
                <w:spacing w:val="-2"/>
                <w:w w:val="105"/>
                <w:sz w:val="16"/>
              </w:rPr>
              <w:t>Other</w:t>
            </w:r>
            <w:r>
              <w:rPr>
                <w:b/>
                <w:i/>
                <w:w w:val="105"/>
                <w:sz w:val="16"/>
              </w:rPr>
              <w:t> </w:t>
            </w:r>
            <w:r>
              <w:rPr>
                <w:b/>
                <w:i/>
                <w:spacing w:val="-2"/>
                <w:w w:val="105"/>
                <w:sz w:val="16"/>
              </w:rPr>
              <w:t>Benefit</w:t>
            </w:r>
            <w:r>
              <w:rPr>
                <w:b/>
                <w:i/>
                <w:w w:val="105"/>
                <w:sz w:val="16"/>
              </w:rPr>
              <w:t> </w:t>
            </w:r>
            <w:r>
              <w:rPr>
                <w:b/>
                <w:i/>
                <w:spacing w:val="-2"/>
                <w:w w:val="105"/>
                <w:sz w:val="16"/>
              </w:rPr>
              <w:t>Plans</w:t>
            </w:r>
          </w:p>
        </w:tc>
        <w:tc>
          <w:tcPr>
            <w:tcW w:w="113" w:type="dxa"/>
            <w:tcBorders>
              <w:top w:val="double" w:sz="6" w:space="0" w:color="000000"/>
            </w:tcBorders>
          </w:tcPr>
          <w:p>
            <w:pPr>
              <w:pStyle w:val="TableParagraph"/>
              <w:rPr>
                <w:sz w:val="16"/>
              </w:rPr>
            </w:pPr>
          </w:p>
        </w:tc>
        <w:tc>
          <w:tcPr>
            <w:tcW w:w="1457" w:type="dxa"/>
            <w:tcBorders>
              <w:top w:val="double" w:sz="6" w:space="0" w:color="000000"/>
            </w:tcBorders>
          </w:tcPr>
          <w:p>
            <w:pPr>
              <w:pStyle w:val="TableParagraph"/>
              <w:rPr>
                <w:sz w:val="16"/>
              </w:rPr>
            </w:pPr>
          </w:p>
        </w:tc>
        <w:tc>
          <w:tcPr>
            <w:tcW w:w="1917" w:type="dxa"/>
            <w:tcBorders>
              <w:top w:val="double" w:sz="6" w:space="0" w:color="000000"/>
            </w:tcBorders>
          </w:tcPr>
          <w:p>
            <w:pPr>
              <w:pStyle w:val="TableParagraph"/>
              <w:rPr>
                <w:sz w:val="16"/>
              </w:rPr>
            </w:pPr>
          </w:p>
        </w:tc>
        <w:tc>
          <w:tcPr>
            <w:tcW w:w="1052" w:type="dxa"/>
            <w:tcBorders>
              <w:top w:val="double" w:sz="6" w:space="0" w:color="000000"/>
            </w:tcBorders>
          </w:tcPr>
          <w:p>
            <w:pPr>
              <w:pStyle w:val="TableParagraph"/>
              <w:rPr>
                <w:sz w:val="16"/>
              </w:rPr>
            </w:pPr>
          </w:p>
        </w:tc>
        <w:tc>
          <w:tcPr>
            <w:tcW w:w="694" w:type="dxa"/>
            <w:tcBorders>
              <w:top w:val="double" w:sz="6" w:space="0" w:color="000000"/>
            </w:tcBorders>
          </w:tcPr>
          <w:p>
            <w:pPr>
              <w:pStyle w:val="TableParagraph"/>
              <w:rPr>
                <w:sz w:val="16"/>
              </w:rPr>
            </w:pPr>
          </w:p>
        </w:tc>
      </w:tr>
    </w:tbl>
    <w:p>
      <w:pPr>
        <w:pStyle w:val="BodyText"/>
        <w:spacing w:before="28"/>
      </w:pPr>
    </w:p>
    <w:p>
      <w:pPr>
        <w:pStyle w:val="BodyText"/>
        <w:ind w:left="156"/>
      </w:pPr>
      <w:r>
        <w:rPr/>
        <w:t>Corning</w:t>
      </w:r>
      <w:r>
        <w:rPr>
          <w:spacing w:val="17"/>
        </w:rPr>
        <w:t> </w:t>
      </w:r>
      <w:r>
        <w:rPr/>
        <w:t>offers</w:t>
      </w:r>
      <w:r>
        <w:rPr>
          <w:spacing w:val="18"/>
        </w:rPr>
        <w:t> </w:t>
      </w:r>
      <w:r>
        <w:rPr/>
        <w:t>defined</w:t>
      </w:r>
      <w:r>
        <w:rPr>
          <w:spacing w:val="17"/>
        </w:rPr>
        <w:t> </w:t>
      </w:r>
      <w:r>
        <w:rPr/>
        <w:t>contribution</w:t>
      </w:r>
      <w:r>
        <w:rPr>
          <w:spacing w:val="18"/>
        </w:rPr>
        <w:t> </w:t>
      </w:r>
      <w:r>
        <w:rPr/>
        <w:t>plans</w:t>
      </w:r>
      <w:r>
        <w:rPr>
          <w:spacing w:val="17"/>
        </w:rPr>
        <w:t> </w:t>
      </w:r>
      <w:r>
        <w:rPr/>
        <w:t>covering</w:t>
      </w:r>
      <w:r>
        <w:rPr>
          <w:spacing w:val="18"/>
        </w:rPr>
        <w:t> </w:t>
      </w:r>
      <w:r>
        <w:rPr/>
        <w:t>employees</w:t>
      </w:r>
      <w:r>
        <w:rPr>
          <w:spacing w:val="17"/>
        </w:rPr>
        <w:t> </w:t>
      </w:r>
      <w:r>
        <w:rPr/>
        <w:t>meeting</w:t>
      </w:r>
      <w:r>
        <w:rPr>
          <w:spacing w:val="18"/>
        </w:rPr>
        <w:t> </w:t>
      </w:r>
      <w:r>
        <w:rPr/>
        <w:t>certain</w:t>
      </w:r>
      <w:r>
        <w:rPr>
          <w:spacing w:val="18"/>
        </w:rPr>
        <w:t> </w:t>
      </w:r>
      <w:r>
        <w:rPr/>
        <w:t>eligibility</w:t>
      </w:r>
      <w:r>
        <w:rPr>
          <w:spacing w:val="17"/>
        </w:rPr>
        <w:t> </w:t>
      </w:r>
      <w:r>
        <w:rPr/>
        <w:t>requirements.</w:t>
      </w:r>
      <w:r>
        <w:rPr>
          <w:spacing w:val="18"/>
        </w:rPr>
        <w:t> </w:t>
      </w:r>
      <w:r>
        <w:rPr/>
        <w:t>Total</w:t>
      </w:r>
      <w:r>
        <w:rPr>
          <w:spacing w:val="17"/>
        </w:rPr>
        <w:t> </w:t>
      </w:r>
      <w:r>
        <w:rPr/>
        <w:t>consolidated</w:t>
      </w:r>
      <w:r>
        <w:rPr>
          <w:spacing w:val="18"/>
        </w:rPr>
        <w:t> </w:t>
      </w:r>
      <w:r>
        <w:rPr/>
        <w:t>defined</w:t>
      </w:r>
      <w:r>
        <w:rPr>
          <w:spacing w:val="17"/>
        </w:rPr>
        <w:t> </w:t>
      </w:r>
      <w:r>
        <w:rPr/>
        <w:t>contribution</w:t>
      </w:r>
      <w:r>
        <w:rPr>
          <w:spacing w:val="18"/>
        </w:rPr>
        <w:t> </w:t>
      </w:r>
      <w:r>
        <w:rPr/>
        <w:t>plan</w:t>
      </w:r>
      <w:r>
        <w:rPr>
          <w:spacing w:val="18"/>
        </w:rPr>
        <w:t> </w:t>
      </w:r>
      <w:r>
        <w:rPr/>
        <w:t>expense</w:t>
      </w:r>
      <w:r>
        <w:rPr>
          <w:spacing w:val="17"/>
        </w:rPr>
        <w:t> </w:t>
      </w:r>
      <w:r>
        <w:rPr>
          <w:spacing w:val="-5"/>
        </w:rPr>
        <w:t>was</w:t>
      </w:r>
    </w:p>
    <w:p>
      <w:pPr>
        <w:pStyle w:val="BodyText"/>
        <w:spacing w:before="20"/>
        <w:ind w:left="156"/>
      </w:pPr>
      <w:r>
        <w:rPr>
          <w:w w:val="105"/>
        </w:rPr>
        <w:t>$98</w:t>
      </w:r>
      <w:r>
        <w:rPr>
          <w:spacing w:val="-8"/>
          <w:w w:val="105"/>
        </w:rPr>
        <w:t> </w:t>
      </w:r>
      <w:r>
        <w:rPr>
          <w:w w:val="105"/>
        </w:rPr>
        <w:t>million,</w:t>
      </w:r>
      <w:r>
        <w:rPr>
          <w:spacing w:val="-8"/>
          <w:w w:val="105"/>
        </w:rPr>
        <w:t> </w:t>
      </w:r>
      <w:r>
        <w:rPr>
          <w:w w:val="105"/>
        </w:rPr>
        <w:t>$76</w:t>
      </w:r>
      <w:r>
        <w:rPr>
          <w:spacing w:val="-8"/>
          <w:w w:val="105"/>
        </w:rPr>
        <w:t> </w:t>
      </w:r>
      <w:r>
        <w:rPr>
          <w:w w:val="105"/>
        </w:rPr>
        <w:t>million</w:t>
      </w:r>
      <w:r>
        <w:rPr>
          <w:spacing w:val="-8"/>
          <w:w w:val="105"/>
        </w:rPr>
        <w:t> </w:t>
      </w:r>
      <w:r>
        <w:rPr>
          <w:w w:val="105"/>
        </w:rPr>
        <w:t>and</w:t>
      </w:r>
      <w:r>
        <w:rPr>
          <w:spacing w:val="-7"/>
          <w:w w:val="105"/>
        </w:rPr>
        <w:t> </w:t>
      </w:r>
      <w:r>
        <w:rPr>
          <w:w w:val="105"/>
        </w:rPr>
        <w:t>$108</w:t>
      </w:r>
      <w:r>
        <w:rPr>
          <w:spacing w:val="-8"/>
          <w:w w:val="105"/>
        </w:rPr>
        <w:t> </w:t>
      </w:r>
      <w:r>
        <w:rPr>
          <w:w w:val="105"/>
        </w:rPr>
        <w:t>million</w:t>
      </w:r>
      <w:r>
        <w:rPr>
          <w:spacing w:val="-8"/>
          <w:w w:val="105"/>
        </w:rPr>
        <w:t> </w:t>
      </w:r>
      <w:r>
        <w:rPr>
          <w:w w:val="105"/>
        </w:rPr>
        <w:t>for</w:t>
      </w:r>
      <w:r>
        <w:rPr>
          <w:spacing w:val="-8"/>
          <w:w w:val="105"/>
        </w:rPr>
        <w:t> </w:t>
      </w:r>
      <w:r>
        <w:rPr>
          <w:w w:val="105"/>
        </w:rPr>
        <w:t>the</w:t>
      </w:r>
      <w:r>
        <w:rPr>
          <w:spacing w:val="-8"/>
          <w:w w:val="105"/>
        </w:rPr>
        <w:t> </w:t>
      </w:r>
      <w:r>
        <w:rPr>
          <w:w w:val="105"/>
        </w:rPr>
        <w:t>years</w:t>
      </w:r>
      <w:r>
        <w:rPr>
          <w:spacing w:val="-7"/>
          <w:w w:val="105"/>
        </w:rPr>
        <w:t> </w:t>
      </w:r>
      <w:r>
        <w:rPr>
          <w:w w:val="105"/>
        </w:rPr>
        <w:t>ended</w:t>
      </w:r>
      <w:r>
        <w:rPr>
          <w:spacing w:val="-6"/>
          <w:w w:val="105"/>
        </w:rPr>
        <w:t> </w:t>
      </w:r>
      <w:r>
        <w:rPr>
          <w:w w:val="105"/>
        </w:rPr>
        <w:t>December</w:t>
      </w:r>
      <w:r>
        <w:rPr>
          <w:spacing w:val="-8"/>
          <w:w w:val="105"/>
        </w:rPr>
        <w:t> </w:t>
      </w:r>
      <w:r>
        <w:rPr>
          <w:w w:val="105"/>
        </w:rPr>
        <w:t>31,</w:t>
      </w:r>
      <w:r>
        <w:rPr>
          <w:spacing w:val="-8"/>
          <w:w w:val="105"/>
        </w:rPr>
        <w:t> </w:t>
      </w:r>
      <w:r>
        <w:rPr>
          <w:w w:val="105"/>
        </w:rPr>
        <w:t>2021,</w:t>
      </w:r>
      <w:r>
        <w:rPr>
          <w:spacing w:val="-7"/>
          <w:w w:val="105"/>
        </w:rPr>
        <w:t> </w:t>
      </w:r>
      <w:r>
        <w:rPr>
          <w:w w:val="105"/>
        </w:rPr>
        <w:t>2020</w:t>
      </w:r>
      <w:r>
        <w:rPr>
          <w:spacing w:val="-8"/>
          <w:w w:val="105"/>
        </w:rPr>
        <w:t> </w:t>
      </w:r>
      <w:r>
        <w:rPr>
          <w:w w:val="105"/>
        </w:rPr>
        <w:t>and</w:t>
      </w:r>
      <w:r>
        <w:rPr>
          <w:spacing w:val="-7"/>
          <w:w w:val="105"/>
        </w:rPr>
        <w:t> </w:t>
      </w:r>
      <w:r>
        <w:rPr>
          <w:w w:val="105"/>
        </w:rPr>
        <w:t>2019,</w:t>
      </w:r>
      <w:r>
        <w:rPr>
          <w:spacing w:val="-8"/>
          <w:w w:val="105"/>
        </w:rPr>
        <w:t> </w:t>
      </w:r>
      <w:r>
        <w:rPr>
          <w:spacing w:val="-2"/>
          <w:w w:val="105"/>
        </w:rPr>
        <w:t>respectively.</w:t>
      </w:r>
    </w:p>
    <w:p>
      <w:pPr>
        <w:pStyle w:val="BodyText"/>
        <w:spacing w:before="40"/>
      </w:pPr>
    </w:p>
    <w:p>
      <w:pPr>
        <w:pStyle w:val="BodyText"/>
        <w:ind w:left="48"/>
        <w:jc w:val="center"/>
      </w:pPr>
      <w:r>
        <w:rPr>
          <w:spacing w:val="-5"/>
          <w:w w:val="105"/>
        </w:rPr>
        <w:t>99</w:t>
      </w:r>
    </w:p>
    <w:p>
      <w:pPr>
        <w:pStyle w:val="BodyText"/>
        <w:spacing w:before="11"/>
        <w:rPr>
          <w:sz w:val="5"/>
        </w:rPr>
      </w:pPr>
      <w:r>
        <w:rPr/>
        <mc:AlternateContent>
          <mc:Choice Requires="wps">
            <w:drawing>
              <wp:anchor distT="0" distB="0" distL="0" distR="0" allowOverlap="1" layoutInCell="1" locked="0" behindDoc="1" simplePos="0" relativeHeight="487726080">
                <wp:simplePos x="0" y="0"/>
                <wp:positionH relativeFrom="page">
                  <wp:posOffset>226488</wp:posOffset>
                </wp:positionH>
                <wp:positionV relativeFrom="paragraph">
                  <wp:posOffset>58734</wp:posOffset>
                </wp:positionV>
                <wp:extent cx="7312659" cy="16510"/>
                <wp:effectExtent l="0" t="0" r="0" b="0"/>
                <wp:wrapTopAndBottom/>
                <wp:docPr id="625" name="Graphic 625"/>
                <wp:cNvGraphicFramePr>
                  <a:graphicFrameLocks/>
                </wp:cNvGraphicFramePr>
                <a:graphic>
                  <a:graphicData uri="http://schemas.microsoft.com/office/word/2010/wordprocessingShape">
                    <wps:wsp>
                      <wps:cNvPr id="625" name="Graphic 625"/>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590400;mso-wrap-distance-left:0;mso-wrap-distance-right:0" id="docshape624"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pPr>
    </w:p>
    <w:p>
      <w:pPr>
        <w:pStyle w:val="BodyText"/>
        <w:spacing w:before="58"/>
      </w:pPr>
    </w:p>
    <w:p>
      <w:pPr>
        <w:pStyle w:val="Heading2"/>
        <w:numPr>
          <w:ilvl w:val="0"/>
          <w:numId w:val="48"/>
        </w:numPr>
        <w:tabs>
          <w:tab w:pos="445" w:val="left" w:leader="none"/>
        </w:tabs>
        <w:spacing w:line="240" w:lineRule="auto" w:before="0" w:after="0"/>
        <w:ind w:left="445" w:right="0" w:hanging="289"/>
        <w:jc w:val="left"/>
      </w:pPr>
      <w:bookmarkStart w:name="_bookmark22" w:id="23"/>
      <w:bookmarkEnd w:id="23"/>
      <w:r>
        <w:rPr>
          <w:b w:val="0"/>
        </w:rPr>
      </w:r>
      <w:r>
        <w:rPr/>
        <w:t>Commitments,</w:t>
      </w:r>
      <w:r>
        <w:rPr>
          <w:spacing w:val="18"/>
        </w:rPr>
        <w:t> </w:t>
      </w:r>
      <w:r>
        <w:rPr/>
        <w:t>Contingencies</w:t>
      </w:r>
      <w:r>
        <w:rPr>
          <w:spacing w:val="19"/>
        </w:rPr>
        <w:t> </w:t>
      </w:r>
      <w:r>
        <w:rPr/>
        <w:t>and</w:t>
      </w:r>
      <w:r>
        <w:rPr>
          <w:spacing w:val="18"/>
        </w:rPr>
        <w:t> </w:t>
      </w:r>
      <w:r>
        <w:rPr>
          <w:spacing w:val="-2"/>
        </w:rPr>
        <w:t>Guarantees</w:t>
      </w:r>
    </w:p>
    <w:p>
      <w:pPr>
        <w:pStyle w:val="BodyText"/>
        <w:spacing w:before="39"/>
        <w:rPr>
          <w:b/>
        </w:rPr>
      </w:pPr>
    </w:p>
    <w:p>
      <w:pPr>
        <w:pStyle w:val="BodyText"/>
        <w:spacing w:before="1"/>
        <w:ind w:left="156"/>
      </w:pPr>
      <w:r>
        <w:rPr>
          <w:w w:val="105"/>
        </w:rPr>
        <w:t>The</w:t>
      </w:r>
      <w:r>
        <w:rPr>
          <w:spacing w:val="-11"/>
          <w:w w:val="105"/>
        </w:rPr>
        <w:t> </w:t>
      </w:r>
      <w:r>
        <w:rPr>
          <w:w w:val="105"/>
        </w:rPr>
        <w:t>amounts</w:t>
      </w:r>
      <w:r>
        <w:rPr>
          <w:spacing w:val="-10"/>
          <w:w w:val="105"/>
        </w:rPr>
        <w:t> </w:t>
      </w:r>
      <w:r>
        <w:rPr>
          <w:w w:val="105"/>
        </w:rPr>
        <w:t>of</w:t>
      </w:r>
      <w:r>
        <w:rPr>
          <w:spacing w:val="-10"/>
          <w:w w:val="105"/>
        </w:rPr>
        <w:t> </w:t>
      </w:r>
      <w:r>
        <w:rPr>
          <w:w w:val="105"/>
        </w:rPr>
        <w:t>obligations</w:t>
      </w:r>
      <w:r>
        <w:rPr>
          <w:spacing w:val="-10"/>
          <w:w w:val="105"/>
        </w:rPr>
        <w:t> </w:t>
      </w:r>
      <w:r>
        <w:rPr>
          <w:w w:val="105"/>
        </w:rPr>
        <w:t>are</w:t>
      </w:r>
      <w:r>
        <w:rPr>
          <w:spacing w:val="-10"/>
          <w:w w:val="105"/>
        </w:rPr>
        <w:t> </w:t>
      </w:r>
      <w:r>
        <w:rPr>
          <w:w w:val="105"/>
        </w:rPr>
        <w:t>as</w:t>
      </w:r>
      <w:r>
        <w:rPr>
          <w:spacing w:val="-11"/>
          <w:w w:val="105"/>
        </w:rPr>
        <w:t> </w:t>
      </w:r>
      <w:r>
        <w:rPr>
          <w:w w:val="105"/>
        </w:rPr>
        <w:t>follows</w:t>
      </w:r>
      <w:r>
        <w:rPr>
          <w:spacing w:val="-10"/>
          <w:w w:val="105"/>
        </w:rPr>
        <w:t> </w:t>
      </w:r>
      <w:r>
        <w:rPr>
          <w:w w:val="105"/>
        </w:rPr>
        <w:t>(in</w:t>
      </w:r>
      <w:r>
        <w:rPr>
          <w:spacing w:val="-10"/>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726592">
                <wp:simplePos x="0" y="0"/>
                <wp:positionH relativeFrom="page">
                  <wp:posOffset>226479</wp:posOffset>
                </wp:positionH>
                <wp:positionV relativeFrom="paragraph">
                  <wp:posOffset>83149</wp:posOffset>
                </wp:positionV>
                <wp:extent cx="7312659" cy="16510"/>
                <wp:effectExtent l="0" t="0" r="0" b="0"/>
                <wp:wrapTopAndBottom/>
                <wp:docPr id="626" name="Graphic 626"/>
                <wp:cNvGraphicFramePr>
                  <a:graphicFrameLocks/>
                </wp:cNvGraphicFramePr>
                <a:graphic>
                  <a:graphicData uri="http://schemas.microsoft.com/office/word/2010/wordprocessingShape">
                    <wps:wsp>
                      <wps:cNvPr id="626" name="Graphic 626"/>
                      <wps:cNvSpPr/>
                      <wps:spPr>
                        <a:xfrm>
                          <a:off x="0" y="0"/>
                          <a:ext cx="7312659" cy="16510"/>
                        </a:xfrm>
                        <a:custGeom>
                          <a:avLst/>
                          <a:gdLst/>
                          <a:ahLst/>
                          <a:cxnLst/>
                          <a:rect l="l" t="t" r="r" b="b"/>
                          <a:pathLst>
                            <a:path w="7312659" h="16510">
                              <a:moveTo>
                                <a:pt x="7312342" y="0"/>
                              </a:moveTo>
                              <a:lnTo>
                                <a:pt x="7312342" y="0"/>
                              </a:lnTo>
                              <a:lnTo>
                                <a:pt x="0" y="0"/>
                              </a:lnTo>
                              <a:lnTo>
                                <a:pt x="0"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47201pt;width:575.775027pt;height:1.273pt;mso-position-horizontal-relative:page;mso-position-vertical-relative:paragraph;z-index:-15589888;mso-wrap-distance-left:0;mso-wrap-distance-right:0" id="docshape625" filled="true" fillcolor="#000000" stroked="false">
                <v:fill type="solid"/>
                <w10:wrap type="topAndBottom"/>
              </v:rect>
            </w:pict>
          </mc:Fallback>
        </mc:AlternateContent>
      </w:r>
    </w:p>
    <w:p>
      <w:pPr>
        <w:pStyle w:val="BodyText"/>
        <w:spacing w:before="3" w:after="23"/>
        <w:ind w:left="6837"/>
      </w:pPr>
      <w:r>
        <w:rPr/>
        <w:t>Amount</w:t>
      </w:r>
      <w:r>
        <w:rPr>
          <w:spacing w:val="15"/>
        </w:rPr>
        <w:t> </w:t>
      </w:r>
      <w:r>
        <w:rPr/>
        <w:t>of</w:t>
      </w:r>
      <w:r>
        <w:rPr>
          <w:spacing w:val="16"/>
        </w:rPr>
        <w:t> </w:t>
      </w:r>
      <w:r>
        <w:rPr/>
        <w:t>commitment</w:t>
      </w:r>
      <w:r>
        <w:rPr>
          <w:spacing w:val="15"/>
        </w:rPr>
        <w:t> </w:t>
      </w:r>
      <w:r>
        <w:rPr/>
        <w:t>and</w:t>
      </w:r>
      <w:r>
        <w:rPr>
          <w:spacing w:val="16"/>
        </w:rPr>
        <w:t> </w:t>
      </w:r>
      <w:r>
        <w:rPr/>
        <w:t>contingency</w:t>
      </w:r>
      <w:r>
        <w:rPr>
          <w:spacing w:val="15"/>
        </w:rPr>
        <w:t> </w:t>
      </w:r>
      <w:r>
        <w:rPr/>
        <w:t>expiration</w:t>
      </w:r>
      <w:r>
        <w:rPr>
          <w:spacing w:val="16"/>
        </w:rPr>
        <w:t> </w:t>
      </w:r>
      <w:r>
        <w:rPr/>
        <w:t>per</w:t>
      </w:r>
      <w:r>
        <w:rPr>
          <w:spacing w:val="15"/>
        </w:rPr>
        <w:t> </w:t>
      </w:r>
      <w:r>
        <w:rPr>
          <w:spacing w:val="-2"/>
        </w:rPr>
        <w:t>period</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0"/>
        <w:gridCol w:w="1766"/>
        <w:gridCol w:w="1260"/>
        <w:gridCol w:w="1375"/>
        <w:gridCol w:w="1375"/>
        <w:gridCol w:w="1375"/>
      </w:tblGrid>
      <w:tr>
        <w:trPr>
          <w:trHeight w:val="405" w:hRule="atLeast"/>
        </w:trPr>
        <w:tc>
          <w:tcPr>
            <w:tcW w:w="4360" w:type="dxa"/>
            <w:tcBorders>
              <w:bottom w:val="single" w:sz="6" w:space="0" w:color="000000"/>
            </w:tcBorders>
          </w:tcPr>
          <w:p>
            <w:pPr>
              <w:pStyle w:val="TableParagraph"/>
              <w:rPr>
                <w:sz w:val="14"/>
              </w:rPr>
            </w:pPr>
          </w:p>
        </w:tc>
        <w:tc>
          <w:tcPr>
            <w:tcW w:w="1766" w:type="dxa"/>
            <w:tcBorders>
              <w:bottom w:val="single" w:sz="6" w:space="0" w:color="000000"/>
            </w:tcBorders>
          </w:tcPr>
          <w:p>
            <w:pPr>
              <w:pStyle w:val="TableParagraph"/>
              <w:spacing w:before="22"/>
              <w:rPr>
                <w:sz w:val="16"/>
              </w:rPr>
            </w:pPr>
          </w:p>
          <w:p>
            <w:pPr>
              <w:pStyle w:val="TableParagraph"/>
              <w:spacing w:line="179" w:lineRule="exact"/>
              <w:ind w:left="150"/>
              <w:jc w:val="center"/>
              <w:rPr>
                <w:sz w:val="16"/>
              </w:rPr>
            </w:pPr>
            <w:r>
              <w:rPr>
                <w:spacing w:val="-4"/>
                <w:w w:val="105"/>
                <w:sz w:val="16"/>
              </w:rPr>
              <w:t>Total</w:t>
            </w:r>
          </w:p>
        </w:tc>
        <w:tc>
          <w:tcPr>
            <w:tcW w:w="1260" w:type="dxa"/>
            <w:tcBorders>
              <w:top w:val="single" w:sz="6" w:space="0" w:color="000000"/>
              <w:bottom w:val="single" w:sz="6" w:space="0" w:color="000000"/>
            </w:tcBorders>
          </w:tcPr>
          <w:p>
            <w:pPr>
              <w:pStyle w:val="TableParagraph"/>
              <w:spacing w:before="22"/>
              <w:rPr>
                <w:sz w:val="16"/>
              </w:rPr>
            </w:pPr>
          </w:p>
          <w:p>
            <w:pPr>
              <w:pStyle w:val="TableParagraph"/>
              <w:spacing w:line="179" w:lineRule="exact"/>
              <w:ind w:right="143"/>
              <w:jc w:val="right"/>
              <w:rPr>
                <w:sz w:val="16"/>
              </w:rPr>
            </w:pPr>
            <w:r>
              <w:rPr>
                <w:w w:val="105"/>
                <w:sz w:val="16"/>
              </w:rPr>
              <w:t>Less</w:t>
            </w:r>
            <w:r>
              <w:rPr>
                <w:spacing w:val="-7"/>
                <w:w w:val="105"/>
                <w:sz w:val="16"/>
              </w:rPr>
              <w:t> </w:t>
            </w:r>
            <w:r>
              <w:rPr>
                <w:w w:val="105"/>
                <w:sz w:val="16"/>
              </w:rPr>
              <w:t>than</w:t>
            </w:r>
            <w:r>
              <w:rPr>
                <w:spacing w:val="-6"/>
                <w:w w:val="105"/>
                <w:sz w:val="16"/>
              </w:rPr>
              <w:t> </w:t>
            </w:r>
            <w:r>
              <w:rPr>
                <w:w w:val="105"/>
                <w:sz w:val="16"/>
              </w:rPr>
              <w:t>1</w:t>
            </w:r>
            <w:r>
              <w:rPr>
                <w:spacing w:val="-6"/>
                <w:w w:val="105"/>
                <w:sz w:val="16"/>
              </w:rPr>
              <w:t> </w:t>
            </w:r>
            <w:r>
              <w:rPr>
                <w:spacing w:val="-4"/>
                <w:w w:val="105"/>
                <w:sz w:val="16"/>
              </w:rPr>
              <w:t>year</w:t>
            </w:r>
          </w:p>
        </w:tc>
        <w:tc>
          <w:tcPr>
            <w:tcW w:w="1375" w:type="dxa"/>
            <w:tcBorders>
              <w:top w:val="single" w:sz="6" w:space="0" w:color="000000"/>
              <w:bottom w:val="single" w:sz="6" w:space="0" w:color="000000"/>
            </w:tcBorders>
          </w:tcPr>
          <w:p>
            <w:pPr>
              <w:pStyle w:val="TableParagraph"/>
              <w:spacing w:before="22"/>
              <w:rPr>
                <w:sz w:val="16"/>
              </w:rPr>
            </w:pPr>
          </w:p>
          <w:p>
            <w:pPr>
              <w:pStyle w:val="TableParagraph"/>
              <w:spacing w:line="179" w:lineRule="exact"/>
              <w:ind w:left="305"/>
              <w:rPr>
                <w:sz w:val="16"/>
              </w:rPr>
            </w:pPr>
            <w:r>
              <w:rPr>
                <w:w w:val="105"/>
                <w:sz w:val="16"/>
              </w:rPr>
              <w:t>1</w:t>
            </w:r>
            <w:r>
              <w:rPr>
                <w:spacing w:val="-3"/>
                <w:w w:val="105"/>
                <w:sz w:val="16"/>
              </w:rPr>
              <w:t> </w:t>
            </w:r>
            <w:r>
              <w:rPr>
                <w:w w:val="105"/>
                <w:sz w:val="16"/>
              </w:rPr>
              <w:t>to</w:t>
            </w:r>
            <w:r>
              <w:rPr>
                <w:spacing w:val="-3"/>
                <w:w w:val="105"/>
                <w:sz w:val="16"/>
              </w:rPr>
              <w:t> </w:t>
            </w:r>
            <w:r>
              <w:rPr>
                <w:w w:val="105"/>
                <w:sz w:val="16"/>
              </w:rPr>
              <w:t>3</w:t>
            </w:r>
            <w:r>
              <w:rPr>
                <w:spacing w:val="-3"/>
                <w:w w:val="105"/>
                <w:sz w:val="16"/>
              </w:rPr>
              <w:t> </w:t>
            </w:r>
            <w:r>
              <w:rPr>
                <w:spacing w:val="-2"/>
                <w:w w:val="105"/>
                <w:sz w:val="16"/>
              </w:rPr>
              <w:t>years</w:t>
            </w:r>
          </w:p>
        </w:tc>
        <w:tc>
          <w:tcPr>
            <w:tcW w:w="1375" w:type="dxa"/>
            <w:tcBorders>
              <w:top w:val="single" w:sz="6" w:space="0" w:color="000000"/>
              <w:bottom w:val="single" w:sz="6" w:space="0" w:color="000000"/>
            </w:tcBorders>
          </w:tcPr>
          <w:p>
            <w:pPr>
              <w:pStyle w:val="TableParagraph"/>
              <w:spacing w:before="22"/>
              <w:rPr>
                <w:sz w:val="16"/>
              </w:rPr>
            </w:pPr>
          </w:p>
          <w:p>
            <w:pPr>
              <w:pStyle w:val="TableParagraph"/>
              <w:spacing w:line="179" w:lineRule="exact"/>
              <w:ind w:left="306"/>
              <w:rPr>
                <w:sz w:val="16"/>
              </w:rPr>
            </w:pPr>
            <w:r>
              <w:rPr>
                <w:w w:val="105"/>
                <w:sz w:val="16"/>
              </w:rPr>
              <w:t>3</w:t>
            </w:r>
            <w:r>
              <w:rPr>
                <w:spacing w:val="-3"/>
                <w:w w:val="105"/>
                <w:sz w:val="16"/>
              </w:rPr>
              <w:t> </w:t>
            </w:r>
            <w:r>
              <w:rPr>
                <w:w w:val="105"/>
                <w:sz w:val="16"/>
              </w:rPr>
              <w:t>to</w:t>
            </w:r>
            <w:r>
              <w:rPr>
                <w:spacing w:val="-3"/>
                <w:w w:val="105"/>
                <w:sz w:val="16"/>
              </w:rPr>
              <w:t> </w:t>
            </w:r>
            <w:r>
              <w:rPr>
                <w:w w:val="105"/>
                <w:sz w:val="16"/>
              </w:rPr>
              <w:t>5</w:t>
            </w:r>
            <w:r>
              <w:rPr>
                <w:spacing w:val="-3"/>
                <w:w w:val="105"/>
                <w:sz w:val="16"/>
              </w:rPr>
              <w:t> </w:t>
            </w:r>
            <w:r>
              <w:rPr>
                <w:spacing w:val="-2"/>
                <w:w w:val="105"/>
                <w:sz w:val="16"/>
              </w:rPr>
              <w:t>years</w:t>
            </w:r>
          </w:p>
        </w:tc>
        <w:tc>
          <w:tcPr>
            <w:tcW w:w="1375" w:type="dxa"/>
            <w:tcBorders>
              <w:top w:val="single" w:sz="6" w:space="0" w:color="000000"/>
              <w:bottom w:val="single" w:sz="6" w:space="0" w:color="000000"/>
            </w:tcBorders>
          </w:tcPr>
          <w:p>
            <w:pPr>
              <w:pStyle w:val="TableParagraph"/>
              <w:spacing w:before="2"/>
              <w:ind w:left="314"/>
              <w:rPr>
                <w:sz w:val="16"/>
              </w:rPr>
            </w:pPr>
            <w:r>
              <w:rPr>
                <w:w w:val="105"/>
                <w:sz w:val="16"/>
              </w:rPr>
              <w:t>5</w:t>
            </w:r>
            <w:r>
              <w:rPr>
                <w:spacing w:val="-8"/>
                <w:w w:val="105"/>
                <w:sz w:val="16"/>
              </w:rPr>
              <w:t> </w:t>
            </w:r>
            <w:r>
              <w:rPr>
                <w:w w:val="105"/>
                <w:sz w:val="16"/>
              </w:rPr>
              <w:t>years</w:t>
            </w:r>
            <w:r>
              <w:rPr>
                <w:spacing w:val="-7"/>
                <w:w w:val="105"/>
                <w:sz w:val="16"/>
              </w:rPr>
              <w:t> </w:t>
            </w:r>
            <w:r>
              <w:rPr>
                <w:spacing w:val="-5"/>
                <w:w w:val="105"/>
                <w:sz w:val="16"/>
              </w:rPr>
              <w:t>and</w:t>
            </w:r>
          </w:p>
          <w:p>
            <w:pPr>
              <w:pStyle w:val="TableParagraph"/>
              <w:spacing w:line="179" w:lineRule="exact" w:before="20"/>
              <w:ind w:left="373"/>
              <w:rPr>
                <w:sz w:val="16"/>
              </w:rPr>
            </w:pPr>
            <w:r>
              <w:rPr>
                <w:spacing w:val="-2"/>
                <w:w w:val="105"/>
                <w:sz w:val="16"/>
              </w:rPr>
              <w:t>thereafter</w:t>
            </w:r>
          </w:p>
        </w:tc>
      </w:tr>
      <w:tr>
        <w:trPr>
          <w:trHeight w:val="202" w:hRule="atLeast"/>
        </w:trPr>
        <w:tc>
          <w:tcPr>
            <w:tcW w:w="4360" w:type="dxa"/>
            <w:tcBorders>
              <w:top w:val="single" w:sz="6" w:space="0" w:color="000000"/>
            </w:tcBorders>
            <w:shd w:val="clear" w:color="auto" w:fill="CCEDFF"/>
          </w:tcPr>
          <w:p>
            <w:pPr>
              <w:pStyle w:val="TableParagraph"/>
              <w:spacing w:line="180" w:lineRule="exact" w:before="2"/>
              <w:rPr>
                <w:sz w:val="16"/>
              </w:rPr>
            </w:pPr>
            <w:r>
              <w:rPr>
                <w:sz w:val="16"/>
              </w:rPr>
              <w:t>Performance</w:t>
            </w:r>
            <w:r>
              <w:rPr>
                <w:spacing w:val="13"/>
                <w:sz w:val="16"/>
              </w:rPr>
              <w:t> </w:t>
            </w:r>
            <w:r>
              <w:rPr>
                <w:sz w:val="16"/>
              </w:rPr>
              <w:t>bonds</w:t>
            </w:r>
            <w:r>
              <w:rPr>
                <w:spacing w:val="14"/>
                <w:sz w:val="16"/>
              </w:rPr>
              <w:t> </w:t>
            </w:r>
            <w:r>
              <w:rPr>
                <w:sz w:val="16"/>
              </w:rPr>
              <w:t>and</w:t>
            </w:r>
            <w:r>
              <w:rPr>
                <w:spacing w:val="14"/>
                <w:sz w:val="16"/>
              </w:rPr>
              <w:t> </w:t>
            </w:r>
            <w:r>
              <w:rPr>
                <w:spacing w:val="-2"/>
                <w:sz w:val="16"/>
              </w:rPr>
              <w:t>guarantees</w:t>
            </w:r>
          </w:p>
        </w:tc>
        <w:tc>
          <w:tcPr>
            <w:tcW w:w="1766" w:type="dxa"/>
            <w:tcBorders>
              <w:top w:val="single" w:sz="6" w:space="0" w:color="000000"/>
            </w:tcBorders>
            <w:shd w:val="clear" w:color="auto" w:fill="CCEDFF"/>
          </w:tcPr>
          <w:p>
            <w:pPr>
              <w:pStyle w:val="TableParagraph"/>
              <w:tabs>
                <w:tab w:pos="910" w:val="left" w:leader="none"/>
              </w:tabs>
              <w:spacing w:line="180" w:lineRule="exact" w:before="2"/>
              <w:ind w:right="226"/>
              <w:jc w:val="right"/>
              <w:rPr>
                <w:sz w:val="16"/>
              </w:rPr>
            </w:pPr>
            <w:r>
              <w:rPr>
                <w:spacing w:val="-10"/>
                <w:w w:val="105"/>
                <w:sz w:val="16"/>
              </w:rPr>
              <w:t>$</w:t>
            </w:r>
            <w:r>
              <w:rPr>
                <w:sz w:val="16"/>
              </w:rPr>
              <w:tab/>
            </w:r>
            <w:r>
              <w:rPr>
                <w:spacing w:val="-5"/>
                <w:w w:val="105"/>
                <w:sz w:val="16"/>
              </w:rPr>
              <w:t>215</w:t>
            </w:r>
          </w:p>
        </w:tc>
        <w:tc>
          <w:tcPr>
            <w:tcW w:w="1260" w:type="dxa"/>
            <w:tcBorders>
              <w:top w:val="single" w:sz="6" w:space="0" w:color="000000"/>
            </w:tcBorders>
            <w:shd w:val="clear" w:color="auto" w:fill="CCEDFF"/>
          </w:tcPr>
          <w:p>
            <w:pPr>
              <w:pStyle w:val="TableParagraph"/>
              <w:tabs>
                <w:tab w:pos="980" w:val="left" w:leader="none"/>
              </w:tabs>
              <w:spacing w:line="180" w:lineRule="exact" w:before="2"/>
              <w:ind w:right="110"/>
              <w:jc w:val="right"/>
              <w:rPr>
                <w:sz w:val="16"/>
              </w:rPr>
            </w:pPr>
            <w:r>
              <w:rPr>
                <w:spacing w:val="-10"/>
                <w:w w:val="105"/>
                <w:sz w:val="16"/>
              </w:rPr>
              <w:t>$</w:t>
            </w:r>
            <w:r>
              <w:rPr>
                <w:sz w:val="16"/>
              </w:rPr>
              <w:tab/>
            </w:r>
            <w:r>
              <w:rPr>
                <w:spacing w:val="-7"/>
                <w:w w:val="105"/>
                <w:sz w:val="16"/>
              </w:rPr>
              <w:t>41</w:t>
            </w:r>
          </w:p>
        </w:tc>
        <w:tc>
          <w:tcPr>
            <w:tcW w:w="1375" w:type="dxa"/>
            <w:tcBorders>
              <w:top w:val="single" w:sz="6" w:space="0" w:color="000000"/>
            </w:tcBorders>
            <w:shd w:val="clear" w:color="auto" w:fill="CCEDFF"/>
          </w:tcPr>
          <w:p>
            <w:pPr>
              <w:pStyle w:val="TableParagraph"/>
              <w:tabs>
                <w:tab w:pos="980" w:val="left" w:leader="none"/>
              </w:tabs>
              <w:spacing w:line="180" w:lineRule="exact" w:before="2"/>
              <w:ind w:right="109"/>
              <w:jc w:val="right"/>
              <w:rPr>
                <w:sz w:val="16"/>
              </w:rPr>
            </w:pPr>
            <w:r>
              <w:rPr>
                <w:spacing w:val="-10"/>
                <w:w w:val="105"/>
                <w:sz w:val="16"/>
              </w:rPr>
              <w:t>$</w:t>
            </w:r>
            <w:r>
              <w:rPr>
                <w:sz w:val="16"/>
              </w:rPr>
              <w:tab/>
            </w:r>
            <w:r>
              <w:rPr>
                <w:spacing w:val="-5"/>
                <w:w w:val="105"/>
                <w:sz w:val="16"/>
              </w:rPr>
              <w:t>77</w:t>
            </w:r>
          </w:p>
        </w:tc>
        <w:tc>
          <w:tcPr>
            <w:tcW w:w="1375" w:type="dxa"/>
            <w:tcBorders>
              <w:top w:val="single" w:sz="6" w:space="0" w:color="000000"/>
            </w:tcBorders>
            <w:shd w:val="clear" w:color="auto" w:fill="CCEDFF"/>
          </w:tcPr>
          <w:p>
            <w:pPr>
              <w:pStyle w:val="TableParagraph"/>
              <w:tabs>
                <w:tab w:pos="1063" w:val="left" w:leader="none"/>
              </w:tabs>
              <w:spacing w:line="180" w:lineRule="exact" w:before="2"/>
              <w:ind w:right="108"/>
              <w:jc w:val="right"/>
              <w:rPr>
                <w:sz w:val="16"/>
              </w:rPr>
            </w:pPr>
            <w:r>
              <w:rPr>
                <w:spacing w:val="-10"/>
                <w:w w:val="105"/>
                <w:sz w:val="16"/>
              </w:rPr>
              <w:t>$</w:t>
            </w:r>
            <w:r>
              <w:rPr>
                <w:sz w:val="16"/>
              </w:rPr>
              <w:tab/>
            </w:r>
            <w:r>
              <w:rPr>
                <w:spacing w:val="-12"/>
                <w:w w:val="105"/>
                <w:sz w:val="16"/>
              </w:rPr>
              <w:t>3</w:t>
            </w:r>
          </w:p>
        </w:tc>
        <w:tc>
          <w:tcPr>
            <w:tcW w:w="1375" w:type="dxa"/>
            <w:tcBorders>
              <w:top w:val="single" w:sz="6" w:space="0" w:color="000000"/>
            </w:tcBorders>
            <w:shd w:val="clear" w:color="auto" w:fill="CCEDFF"/>
          </w:tcPr>
          <w:p>
            <w:pPr>
              <w:pStyle w:val="TableParagraph"/>
              <w:tabs>
                <w:tab w:pos="980" w:val="left" w:leader="none"/>
              </w:tabs>
              <w:spacing w:line="180" w:lineRule="exact" w:before="2"/>
              <w:ind w:right="108"/>
              <w:jc w:val="right"/>
              <w:rPr>
                <w:sz w:val="16"/>
              </w:rPr>
            </w:pPr>
            <w:r>
              <w:rPr>
                <w:spacing w:val="-10"/>
                <w:w w:val="105"/>
                <w:sz w:val="16"/>
              </w:rPr>
              <w:t>$</w:t>
            </w:r>
            <w:r>
              <w:rPr>
                <w:sz w:val="16"/>
              </w:rPr>
              <w:tab/>
            </w:r>
            <w:r>
              <w:rPr>
                <w:spacing w:val="-5"/>
                <w:w w:val="105"/>
                <w:sz w:val="16"/>
              </w:rPr>
              <w:t>94</w:t>
            </w:r>
          </w:p>
        </w:tc>
      </w:tr>
      <w:tr>
        <w:trPr>
          <w:trHeight w:val="202" w:hRule="atLeast"/>
        </w:trPr>
        <w:tc>
          <w:tcPr>
            <w:tcW w:w="4360" w:type="dxa"/>
            <w:tcBorders>
              <w:bottom w:val="single" w:sz="6" w:space="0" w:color="000000"/>
            </w:tcBorders>
          </w:tcPr>
          <w:p>
            <w:pPr>
              <w:pStyle w:val="TableParagraph"/>
              <w:spacing w:line="183" w:lineRule="exact"/>
              <w:rPr>
                <w:sz w:val="14"/>
              </w:rPr>
            </w:pPr>
            <w:r>
              <w:rPr>
                <w:w w:val="105"/>
                <w:sz w:val="16"/>
              </w:rPr>
              <w:t>Stand-by</w:t>
            </w:r>
            <w:r>
              <w:rPr>
                <w:spacing w:val="-9"/>
                <w:w w:val="105"/>
                <w:sz w:val="16"/>
              </w:rPr>
              <w:t> </w:t>
            </w:r>
            <w:r>
              <w:rPr>
                <w:w w:val="105"/>
                <w:sz w:val="16"/>
              </w:rPr>
              <w:t>letters</w:t>
            </w:r>
            <w:r>
              <w:rPr>
                <w:spacing w:val="-8"/>
                <w:w w:val="105"/>
                <w:sz w:val="16"/>
              </w:rPr>
              <w:t> </w:t>
            </w:r>
            <w:r>
              <w:rPr>
                <w:w w:val="105"/>
                <w:sz w:val="16"/>
              </w:rPr>
              <w:t>of</w:t>
            </w:r>
            <w:r>
              <w:rPr>
                <w:spacing w:val="-9"/>
                <w:w w:val="105"/>
                <w:sz w:val="16"/>
              </w:rPr>
              <w:t> </w:t>
            </w:r>
            <w:r>
              <w:rPr>
                <w:w w:val="105"/>
                <w:sz w:val="16"/>
              </w:rPr>
              <w:t>credit</w:t>
            </w:r>
            <w:r>
              <w:rPr>
                <w:spacing w:val="-10"/>
                <w:w w:val="105"/>
                <w:sz w:val="16"/>
              </w:rPr>
              <w:t> </w:t>
            </w:r>
            <w:r>
              <w:rPr>
                <w:spacing w:val="-5"/>
                <w:w w:val="105"/>
                <w:position w:val="3"/>
                <w:sz w:val="14"/>
              </w:rPr>
              <w:t>(1)</w:t>
            </w:r>
          </w:p>
        </w:tc>
        <w:tc>
          <w:tcPr>
            <w:tcW w:w="1766" w:type="dxa"/>
            <w:tcBorders>
              <w:bottom w:val="single" w:sz="6" w:space="0" w:color="000000"/>
            </w:tcBorders>
          </w:tcPr>
          <w:p>
            <w:pPr>
              <w:pStyle w:val="TableParagraph"/>
              <w:spacing w:line="179" w:lineRule="exact" w:before="3"/>
              <w:ind w:right="226"/>
              <w:jc w:val="right"/>
              <w:rPr>
                <w:sz w:val="16"/>
              </w:rPr>
            </w:pPr>
            <w:r>
              <w:rPr>
                <w:spacing w:val="-5"/>
                <w:w w:val="105"/>
                <w:sz w:val="16"/>
              </w:rPr>
              <w:t>69</w:t>
            </w:r>
          </w:p>
        </w:tc>
        <w:tc>
          <w:tcPr>
            <w:tcW w:w="1260" w:type="dxa"/>
            <w:tcBorders>
              <w:bottom w:val="single" w:sz="6" w:space="0" w:color="000000"/>
            </w:tcBorders>
          </w:tcPr>
          <w:p>
            <w:pPr>
              <w:pStyle w:val="TableParagraph"/>
              <w:spacing w:line="179" w:lineRule="exact" w:before="3"/>
              <w:ind w:right="110"/>
              <w:jc w:val="right"/>
              <w:rPr>
                <w:sz w:val="16"/>
              </w:rPr>
            </w:pPr>
            <w:r>
              <w:rPr>
                <w:spacing w:val="-5"/>
                <w:w w:val="105"/>
                <w:sz w:val="16"/>
              </w:rPr>
              <w:t>43</w:t>
            </w:r>
          </w:p>
        </w:tc>
        <w:tc>
          <w:tcPr>
            <w:tcW w:w="1375" w:type="dxa"/>
            <w:tcBorders>
              <w:bottom w:val="single" w:sz="6" w:space="0" w:color="000000"/>
            </w:tcBorders>
          </w:tcPr>
          <w:p>
            <w:pPr>
              <w:pStyle w:val="TableParagraph"/>
              <w:spacing w:line="179" w:lineRule="exact" w:before="3"/>
              <w:ind w:right="109"/>
              <w:jc w:val="right"/>
              <w:rPr>
                <w:sz w:val="16"/>
              </w:rPr>
            </w:pPr>
            <w:r>
              <w:rPr>
                <w:spacing w:val="-5"/>
                <w:w w:val="105"/>
                <w:sz w:val="16"/>
              </w:rPr>
              <w:t>17</w:t>
            </w:r>
          </w:p>
        </w:tc>
        <w:tc>
          <w:tcPr>
            <w:tcW w:w="1375" w:type="dxa"/>
            <w:tcBorders>
              <w:bottom w:val="single" w:sz="6" w:space="0" w:color="000000"/>
            </w:tcBorders>
          </w:tcPr>
          <w:p>
            <w:pPr>
              <w:pStyle w:val="TableParagraph"/>
              <w:rPr>
                <w:sz w:val="14"/>
              </w:rPr>
            </w:pPr>
          </w:p>
        </w:tc>
        <w:tc>
          <w:tcPr>
            <w:tcW w:w="1375" w:type="dxa"/>
            <w:tcBorders>
              <w:bottom w:val="single" w:sz="6" w:space="0" w:color="000000"/>
            </w:tcBorders>
          </w:tcPr>
          <w:p>
            <w:pPr>
              <w:pStyle w:val="TableParagraph"/>
              <w:spacing w:line="179" w:lineRule="exact" w:before="3"/>
              <w:ind w:right="108"/>
              <w:jc w:val="right"/>
              <w:rPr>
                <w:sz w:val="16"/>
              </w:rPr>
            </w:pPr>
            <w:r>
              <w:rPr>
                <w:spacing w:val="-10"/>
                <w:w w:val="105"/>
                <w:sz w:val="16"/>
              </w:rPr>
              <w:t>9</w:t>
            </w:r>
          </w:p>
        </w:tc>
      </w:tr>
      <w:tr>
        <w:trPr>
          <w:trHeight w:val="201" w:hRule="atLeast"/>
        </w:trPr>
        <w:tc>
          <w:tcPr>
            <w:tcW w:w="4360" w:type="dxa"/>
            <w:tcBorders>
              <w:top w:val="single" w:sz="6" w:space="0" w:color="000000"/>
              <w:bottom w:val="single" w:sz="6" w:space="0" w:color="000000"/>
            </w:tcBorders>
            <w:shd w:val="clear" w:color="auto" w:fill="CCEDFF"/>
          </w:tcPr>
          <w:p>
            <w:pPr>
              <w:pStyle w:val="TableParagraph"/>
              <w:spacing w:line="179" w:lineRule="exact" w:before="2"/>
              <w:rPr>
                <w:sz w:val="16"/>
              </w:rPr>
            </w:pPr>
            <w:r>
              <w:rPr>
                <w:spacing w:val="-2"/>
                <w:w w:val="105"/>
                <w:sz w:val="16"/>
              </w:rPr>
              <w:t>Subtotal</w:t>
            </w:r>
            <w:r>
              <w:rPr>
                <w:spacing w:val="1"/>
                <w:w w:val="105"/>
                <w:sz w:val="16"/>
              </w:rPr>
              <w:t> </w:t>
            </w:r>
            <w:r>
              <w:rPr>
                <w:spacing w:val="-2"/>
                <w:w w:val="105"/>
                <w:sz w:val="16"/>
              </w:rPr>
              <w:t>of</w:t>
            </w:r>
            <w:r>
              <w:rPr>
                <w:spacing w:val="1"/>
                <w:w w:val="105"/>
                <w:sz w:val="16"/>
              </w:rPr>
              <w:t> </w:t>
            </w:r>
            <w:r>
              <w:rPr>
                <w:spacing w:val="-2"/>
                <w:w w:val="105"/>
                <w:sz w:val="16"/>
              </w:rPr>
              <w:t>commitment</w:t>
            </w:r>
            <w:r>
              <w:rPr>
                <w:spacing w:val="3"/>
                <w:w w:val="105"/>
                <w:sz w:val="16"/>
              </w:rPr>
              <w:t> </w:t>
            </w:r>
            <w:r>
              <w:rPr>
                <w:spacing w:val="-2"/>
                <w:w w:val="105"/>
                <w:sz w:val="16"/>
              </w:rPr>
              <w:t>expirations</w:t>
            </w:r>
            <w:r>
              <w:rPr>
                <w:spacing w:val="1"/>
                <w:w w:val="105"/>
                <w:sz w:val="16"/>
              </w:rPr>
              <w:t> </w:t>
            </w:r>
            <w:r>
              <w:rPr>
                <w:spacing w:val="-2"/>
                <w:w w:val="105"/>
                <w:sz w:val="16"/>
              </w:rPr>
              <w:t>per</w:t>
            </w:r>
            <w:r>
              <w:rPr>
                <w:spacing w:val="1"/>
                <w:w w:val="105"/>
                <w:sz w:val="16"/>
              </w:rPr>
              <w:t> </w:t>
            </w:r>
            <w:r>
              <w:rPr>
                <w:spacing w:val="-2"/>
                <w:w w:val="105"/>
                <w:sz w:val="16"/>
              </w:rPr>
              <w:t>period</w:t>
            </w:r>
          </w:p>
        </w:tc>
        <w:tc>
          <w:tcPr>
            <w:tcW w:w="1766" w:type="dxa"/>
            <w:tcBorders>
              <w:top w:val="single" w:sz="6" w:space="0" w:color="000000"/>
              <w:bottom w:val="single" w:sz="6" w:space="0" w:color="000000"/>
            </w:tcBorders>
            <w:shd w:val="clear" w:color="auto" w:fill="CCEDFF"/>
          </w:tcPr>
          <w:p>
            <w:pPr>
              <w:pStyle w:val="TableParagraph"/>
              <w:tabs>
                <w:tab w:pos="910" w:val="left" w:leader="none"/>
              </w:tabs>
              <w:spacing w:line="179" w:lineRule="exact" w:before="2"/>
              <w:ind w:right="226"/>
              <w:jc w:val="right"/>
              <w:rPr>
                <w:sz w:val="16"/>
              </w:rPr>
            </w:pPr>
            <w:r>
              <w:rPr>
                <w:spacing w:val="-10"/>
                <w:w w:val="105"/>
                <w:sz w:val="16"/>
              </w:rPr>
              <w:t>$</w:t>
            </w:r>
            <w:r>
              <w:rPr>
                <w:sz w:val="16"/>
              </w:rPr>
              <w:tab/>
            </w:r>
            <w:r>
              <w:rPr>
                <w:spacing w:val="-5"/>
                <w:w w:val="105"/>
                <w:sz w:val="16"/>
              </w:rPr>
              <w:t>284</w:t>
            </w:r>
          </w:p>
        </w:tc>
        <w:tc>
          <w:tcPr>
            <w:tcW w:w="1260" w:type="dxa"/>
            <w:tcBorders>
              <w:top w:val="single" w:sz="6" w:space="0" w:color="000000"/>
              <w:bottom w:val="single" w:sz="6" w:space="0" w:color="000000"/>
            </w:tcBorders>
            <w:shd w:val="clear" w:color="auto" w:fill="CCEDFF"/>
          </w:tcPr>
          <w:p>
            <w:pPr>
              <w:pStyle w:val="TableParagraph"/>
              <w:tabs>
                <w:tab w:pos="980" w:val="left" w:leader="none"/>
              </w:tabs>
              <w:spacing w:line="179" w:lineRule="exact" w:before="2"/>
              <w:ind w:right="110"/>
              <w:jc w:val="right"/>
              <w:rPr>
                <w:sz w:val="16"/>
              </w:rPr>
            </w:pPr>
            <w:r>
              <w:rPr>
                <w:spacing w:val="-10"/>
                <w:w w:val="105"/>
                <w:sz w:val="16"/>
              </w:rPr>
              <w:t>$</w:t>
            </w:r>
            <w:r>
              <w:rPr>
                <w:sz w:val="16"/>
              </w:rPr>
              <w:tab/>
            </w:r>
            <w:r>
              <w:rPr>
                <w:spacing w:val="-7"/>
                <w:w w:val="105"/>
                <w:sz w:val="16"/>
              </w:rPr>
              <w:t>84</w:t>
            </w:r>
          </w:p>
        </w:tc>
        <w:tc>
          <w:tcPr>
            <w:tcW w:w="1375" w:type="dxa"/>
            <w:tcBorders>
              <w:top w:val="single" w:sz="6" w:space="0" w:color="000000"/>
              <w:bottom w:val="single" w:sz="6" w:space="0" w:color="000000"/>
            </w:tcBorders>
            <w:shd w:val="clear" w:color="auto" w:fill="CCEDFF"/>
          </w:tcPr>
          <w:p>
            <w:pPr>
              <w:pStyle w:val="TableParagraph"/>
              <w:tabs>
                <w:tab w:pos="980" w:val="left" w:leader="none"/>
              </w:tabs>
              <w:spacing w:line="179" w:lineRule="exact" w:before="2"/>
              <w:ind w:right="109"/>
              <w:jc w:val="right"/>
              <w:rPr>
                <w:sz w:val="16"/>
              </w:rPr>
            </w:pPr>
            <w:r>
              <w:rPr>
                <w:spacing w:val="-10"/>
                <w:w w:val="105"/>
                <w:sz w:val="16"/>
              </w:rPr>
              <w:t>$</w:t>
            </w:r>
            <w:r>
              <w:rPr>
                <w:sz w:val="16"/>
              </w:rPr>
              <w:tab/>
            </w:r>
            <w:r>
              <w:rPr>
                <w:spacing w:val="-5"/>
                <w:w w:val="105"/>
                <w:sz w:val="16"/>
              </w:rPr>
              <w:t>94</w:t>
            </w:r>
          </w:p>
        </w:tc>
        <w:tc>
          <w:tcPr>
            <w:tcW w:w="1375" w:type="dxa"/>
            <w:tcBorders>
              <w:top w:val="single" w:sz="6" w:space="0" w:color="000000"/>
              <w:bottom w:val="single" w:sz="6" w:space="0" w:color="000000"/>
            </w:tcBorders>
            <w:shd w:val="clear" w:color="auto" w:fill="CCEDFF"/>
          </w:tcPr>
          <w:p>
            <w:pPr>
              <w:pStyle w:val="TableParagraph"/>
              <w:tabs>
                <w:tab w:pos="1063" w:val="left" w:leader="none"/>
              </w:tabs>
              <w:spacing w:line="179" w:lineRule="exact" w:before="2"/>
              <w:ind w:right="108"/>
              <w:jc w:val="right"/>
              <w:rPr>
                <w:sz w:val="16"/>
              </w:rPr>
            </w:pPr>
            <w:r>
              <w:rPr>
                <w:spacing w:val="-10"/>
                <w:w w:val="105"/>
                <w:sz w:val="16"/>
              </w:rPr>
              <w:t>$</w:t>
            </w:r>
            <w:r>
              <w:rPr>
                <w:sz w:val="16"/>
              </w:rPr>
              <w:tab/>
            </w:r>
            <w:r>
              <w:rPr>
                <w:spacing w:val="-12"/>
                <w:w w:val="105"/>
                <w:sz w:val="16"/>
              </w:rPr>
              <w:t>3</w:t>
            </w:r>
          </w:p>
        </w:tc>
        <w:tc>
          <w:tcPr>
            <w:tcW w:w="1375" w:type="dxa"/>
            <w:tcBorders>
              <w:top w:val="single" w:sz="6" w:space="0" w:color="000000"/>
              <w:bottom w:val="single" w:sz="6" w:space="0" w:color="000000"/>
            </w:tcBorders>
            <w:shd w:val="clear" w:color="auto" w:fill="CCEDFF"/>
          </w:tcPr>
          <w:p>
            <w:pPr>
              <w:pStyle w:val="TableParagraph"/>
              <w:tabs>
                <w:tab w:pos="897" w:val="left" w:leader="none"/>
              </w:tabs>
              <w:spacing w:line="179" w:lineRule="exact" w:before="2"/>
              <w:ind w:right="108"/>
              <w:jc w:val="right"/>
              <w:rPr>
                <w:sz w:val="16"/>
              </w:rPr>
            </w:pPr>
            <w:r>
              <w:rPr>
                <w:spacing w:val="-10"/>
                <w:w w:val="105"/>
                <w:sz w:val="16"/>
              </w:rPr>
              <w:t>$</w:t>
            </w:r>
            <w:r>
              <w:rPr>
                <w:sz w:val="16"/>
              </w:rPr>
              <w:tab/>
            </w:r>
            <w:r>
              <w:rPr>
                <w:spacing w:val="-5"/>
                <w:w w:val="105"/>
                <w:sz w:val="16"/>
              </w:rPr>
              <w:t>103</w:t>
            </w:r>
          </w:p>
        </w:tc>
      </w:tr>
      <w:tr>
        <w:trPr>
          <w:trHeight w:val="202" w:hRule="atLeast"/>
        </w:trPr>
        <w:tc>
          <w:tcPr>
            <w:tcW w:w="4360" w:type="dxa"/>
            <w:tcBorders>
              <w:top w:val="single" w:sz="6" w:space="0" w:color="000000"/>
            </w:tcBorders>
          </w:tcPr>
          <w:p>
            <w:pPr>
              <w:pStyle w:val="TableParagraph"/>
              <w:rPr>
                <w:sz w:val="14"/>
              </w:rPr>
            </w:pPr>
          </w:p>
        </w:tc>
        <w:tc>
          <w:tcPr>
            <w:tcW w:w="1766" w:type="dxa"/>
            <w:tcBorders>
              <w:top w:val="single" w:sz="6" w:space="0" w:color="000000"/>
            </w:tcBorders>
          </w:tcPr>
          <w:p>
            <w:pPr>
              <w:pStyle w:val="TableParagraph"/>
              <w:rPr>
                <w:sz w:val="14"/>
              </w:rPr>
            </w:pPr>
          </w:p>
        </w:tc>
        <w:tc>
          <w:tcPr>
            <w:tcW w:w="1260" w:type="dxa"/>
            <w:tcBorders>
              <w:top w:val="single" w:sz="6" w:space="0" w:color="000000"/>
            </w:tcBorders>
          </w:tcPr>
          <w:p>
            <w:pPr>
              <w:pStyle w:val="TableParagraph"/>
              <w:rPr>
                <w:sz w:val="14"/>
              </w:rPr>
            </w:pPr>
          </w:p>
        </w:tc>
        <w:tc>
          <w:tcPr>
            <w:tcW w:w="1375" w:type="dxa"/>
            <w:tcBorders>
              <w:top w:val="single" w:sz="6" w:space="0" w:color="000000"/>
            </w:tcBorders>
          </w:tcPr>
          <w:p>
            <w:pPr>
              <w:pStyle w:val="TableParagraph"/>
              <w:rPr>
                <w:sz w:val="14"/>
              </w:rPr>
            </w:pPr>
          </w:p>
        </w:tc>
        <w:tc>
          <w:tcPr>
            <w:tcW w:w="1375" w:type="dxa"/>
            <w:tcBorders>
              <w:top w:val="single" w:sz="6" w:space="0" w:color="000000"/>
            </w:tcBorders>
          </w:tcPr>
          <w:p>
            <w:pPr>
              <w:pStyle w:val="TableParagraph"/>
              <w:rPr>
                <w:sz w:val="14"/>
              </w:rPr>
            </w:pPr>
          </w:p>
        </w:tc>
        <w:tc>
          <w:tcPr>
            <w:tcW w:w="1375" w:type="dxa"/>
            <w:tcBorders>
              <w:top w:val="single" w:sz="6" w:space="0" w:color="000000"/>
            </w:tcBorders>
          </w:tcPr>
          <w:p>
            <w:pPr>
              <w:pStyle w:val="TableParagraph"/>
              <w:rPr>
                <w:sz w:val="14"/>
              </w:rPr>
            </w:pPr>
          </w:p>
        </w:tc>
      </w:tr>
      <w:tr>
        <w:trPr>
          <w:trHeight w:val="203" w:hRule="atLeast"/>
        </w:trPr>
        <w:tc>
          <w:tcPr>
            <w:tcW w:w="4360" w:type="dxa"/>
            <w:shd w:val="clear" w:color="auto" w:fill="CCEDFF"/>
          </w:tcPr>
          <w:p>
            <w:pPr>
              <w:pStyle w:val="TableParagraph"/>
              <w:spacing w:line="184" w:lineRule="exact"/>
              <w:rPr>
                <w:sz w:val="14"/>
              </w:rPr>
            </w:pPr>
            <w:r>
              <w:rPr>
                <w:sz w:val="16"/>
              </w:rPr>
              <w:t>Purchase</w:t>
            </w:r>
            <w:r>
              <w:rPr>
                <w:spacing w:val="15"/>
                <w:sz w:val="16"/>
              </w:rPr>
              <w:t> </w:t>
            </w:r>
            <w:r>
              <w:rPr>
                <w:sz w:val="16"/>
              </w:rPr>
              <w:t>obligations</w:t>
            </w:r>
            <w:r>
              <w:rPr>
                <w:spacing w:val="16"/>
                <w:sz w:val="16"/>
              </w:rPr>
              <w:t> </w:t>
            </w:r>
            <w:r>
              <w:rPr>
                <w:spacing w:val="-5"/>
                <w:position w:val="3"/>
                <w:sz w:val="14"/>
              </w:rPr>
              <w:t>(2)</w:t>
            </w:r>
          </w:p>
        </w:tc>
        <w:tc>
          <w:tcPr>
            <w:tcW w:w="1766" w:type="dxa"/>
            <w:shd w:val="clear" w:color="auto" w:fill="CCEDFF"/>
          </w:tcPr>
          <w:p>
            <w:pPr>
              <w:pStyle w:val="TableParagraph"/>
              <w:tabs>
                <w:tab w:pos="910" w:val="left" w:leader="none"/>
              </w:tabs>
              <w:spacing w:line="180" w:lineRule="exact" w:before="3"/>
              <w:ind w:right="226"/>
              <w:jc w:val="right"/>
              <w:rPr>
                <w:sz w:val="16"/>
              </w:rPr>
            </w:pPr>
            <w:r>
              <w:rPr>
                <w:spacing w:val="-10"/>
                <w:w w:val="105"/>
                <w:sz w:val="16"/>
              </w:rPr>
              <w:t>$</w:t>
            </w:r>
            <w:r>
              <w:rPr>
                <w:sz w:val="16"/>
              </w:rPr>
              <w:tab/>
            </w:r>
            <w:r>
              <w:rPr>
                <w:spacing w:val="-5"/>
                <w:w w:val="105"/>
                <w:sz w:val="16"/>
              </w:rPr>
              <w:t>994</w:t>
            </w:r>
          </w:p>
        </w:tc>
        <w:tc>
          <w:tcPr>
            <w:tcW w:w="1260" w:type="dxa"/>
            <w:shd w:val="clear" w:color="auto" w:fill="CCEDFF"/>
          </w:tcPr>
          <w:p>
            <w:pPr>
              <w:pStyle w:val="TableParagraph"/>
              <w:tabs>
                <w:tab w:pos="897" w:val="left" w:leader="none"/>
              </w:tabs>
              <w:spacing w:line="180" w:lineRule="exact" w:before="3"/>
              <w:ind w:right="110"/>
              <w:jc w:val="right"/>
              <w:rPr>
                <w:sz w:val="16"/>
              </w:rPr>
            </w:pPr>
            <w:r>
              <w:rPr>
                <w:spacing w:val="-10"/>
                <w:w w:val="105"/>
                <w:sz w:val="16"/>
              </w:rPr>
              <w:t>$</w:t>
            </w:r>
            <w:r>
              <w:rPr>
                <w:sz w:val="16"/>
              </w:rPr>
              <w:tab/>
            </w:r>
            <w:r>
              <w:rPr>
                <w:spacing w:val="-5"/>
                <w:w w:val="105"/>
                <w:sz w:val="16"/>
              </w:rPr>
              <w:t>232</w:t>
            </w:r>
          </w:p>
        </w:tc>
        <w:tc>
          <w:tcPr>
            <w:tcW w:w="1375" w:type="dxa"/>
            <w:shd w:val="clear" w:color="auto" w:fill="CCEDFF"/>
          </w:tcPr>
          <w:p>
            <w:pPr>
              <w:pStyle w:val="TableParagraph"/>
              <w:tabs>
                <w:tab w:pos="897" w:val="left" w:leader="none"/>
              </w:tabs>
              <w:spacing w:line="180" w:lineRule="exact" w:before="3"/>
              <w:ind w:right="109"/>
              <w:jc w:val="right"/>
              <w:rPr>
                <w:sz w:val="16"/>
              </w:rPr>
            </w:pPr>
            <w:r>
              <w:rPr>
                <w:spacing w:val="-10"/>
                <w:w w:val="105"/>
                <w:sz w:val="16"/>
              </w:rPr>
              <w:t>$</w:t>
            </w:r>
            <w:r>
              <w:rPr>
                <w:sz w:val="16"/>
              </w:rPr>
              <w:tab/>
            </w:r>
            <w:r>
              <w:rPr>
                <w:spacing w:val="-5"/>
                <w:w w:val="105"/>
                <w:sz w:val="16"/>
              </w:rPr>
              <w:t>219</w:t>
            </w:r>
          </w:p>
        </w:tc>
        <w:tc>
          <w:tcPr>
            <w:tcW w:w="1375" w:type="dxa"/>
            <w:shd w:val="clear" w:color="auto" w:fill="CCEDFF"/>
          </w:tcPr>
          <w:p>
            <w:pPr>
              <w:pStyle w:val="TableParagraph"/>
              <w:tabs>
                <w:tab w:pos="897" w:val="left" w:leader="none"/>
              </w:tabs>
              <w:spacing w:line="180" w:lineRule="exact" w:before="3"/>
              <w:ind w:right="108"/>
              <w:jc w:val="right"/>
              <w:rPr>
                <w:sz w:val="16"/>
              </w:rPr>
            </w:pPr>
            <w:r>
              <w:rPr>
                <w:spacing w:val="-10"/>
                <w:w w:val="105"/>
                <w:sz w:val="16"/>
              </w:rPr>
              <w:t>$</w:t>
            </w:r>
            <w:r>
              <w:rPr>
                <w:sz w:val="16"/>
              </w:rPr>
              <w:tab/>
            </w:r>
            <w:r>
              <w:rPr>
                <w:spacing w:val="-5"/>
                <w:w w:val="105"/>
                <w:sz w:val="16"/>
              </w:rPr>
              <w:t>111</w:t>
            </w:r>
          </w:p>
        </w:tc>
        <w:tc>
          <w:tcPr>
            <w:tcW w:w="1375" w:type="dxa"/>
            <w:shd w:val="clear" w:color="auto" w:fill="CCEDFF"/>
          </w:tcPr>
          <w:p>
            <w:pPr>
              <w:pStyle w:val="TableParagraph"/>
              <w:tabs>
                <w:tab w:pos="897" w:val="left" w:leader="none"/>
              </w:tabs>
              <w:spacing w:line="180" w:lineRule="exact" w:before="3"/>
              <w:ind w:right="108"/>
              <w:jc w:val="right"/>
              <w:rPr>
                <w:sz w:val="16"/>
              </w:rPr>
            </w:pPr>
            <w:r>
              <w:rPr>
                <w:spacing w:val="-10"/>
                <w:w w:val="105"/>
                <w:sz w:val="16"/>
              </w:rPr>
              <w:t>$</w:t>
            </w:r>
            <w:r>
              <w:rPr>
                <w:sz w:val="16"/>
              </w:rPr>
              <w:tab/>
            </w:r>
            <w:r>
              <w:rPr>
                <w:spacing w:val="-5"/>
                <w:w w:val="105"/>
                <w:sz w:val="16"/>
              </w:rPr>
              <w:t>432</w:t>
            </w:r>
          </w:p>
        </w:tc>
      </w:tr>
      <w:tr>
        <w:trPr>
          <w:trHeight w:val="203" w:hRule="atLeast"/>
        </w:trPr>
        <w:tc>
          <w:tcPr>
            <w:tcW w:w="4360" w:type="dxa"/>
          </w:tcPr>
          <w:p>
            <w:pPr>
              <w:pStyle w:val="TableParagraph"/>
              <w:spacing w:line="184" w:lineRule="exact"/>
              <w:rPr>
                <w:sz w:val="14"/>
              </w:rPr>
            </w:pPr>
            <w:r>
              <w:rPr>
                <w:sz w:val="16"/>
              </w:rPr>
              <w:t>Capital</w:t>
            </w:r>
            <w:r>
              <w:rPr>
                <w:spacing w:val="19"/>
                <w:sz w:val="16"/>
              </w:rPr>
              <w:t> </w:t>
            </w:r>
            <w:r>
              <w:rPr>
                <w:sz w:val="16"/>
              </w:rPr>
              <w:t>expenditure</w:t>
            </w:r>
            <w:r>
              <w:rPr>
                <w:spacing w:val="19"/>
                <w:sz w:val="16"/>
              </w:rPr>
              <w:t> </w:t>
            </w:r>
            <w:r>
              <w:rPr>
                <w:sz w:val="16"/>
              </w:rPr>
              <w:t>obligations</w:t>
            </w:r>
            <w:r>
              <w:rPr>
                <w:spacing w:val="19"/>
                <w:sz w:val="16"/>
              </w:rPr>
              <w:t> </w:t>
            </w:r>
            <w:r>
              <w:rPr>
                <w:spacing w:val="-5"/>
                <w:position w:val="3"/>
                <w:sz w:val="14"/>
              </w:rPr>
              <w:t>(3)</w:t>
            </w:r>
          </w:p>
        </w:tc>
        <w:tc>
          <w:tcPr>
            <w:tcW w:w="1766" w:type="dxa"/>
          </w:tcPr>
          <w:p>
            <w:pPr>
              <w:pStyle w:val="TableParagraph"/>
              <w:spacing w:line="180" w:lineRule="exact" w:before="3"/>
              <w:ind w:right="226"/>
              <w:jc w:val="right"/>
              <w:rPr>
                <w:sz w:val="16"/>
              </w:rPr>
            </w:pPr>
            <w:r>
              <w:rPr>
                <w:spacing w:val="-5"/>
                <w:w w:val="105"/>
                <w:sz w:val="16"/>
              </w:rPr>
              <w:t>357</w:t>
            </w:r>
          </w:p>
        </w:tc>
        <w:tc>
          <w:tcPr>
            <w:tcW w:w="1260" w:type="dxa"/>
          </w:tcPr>
          <w:p>
            <w:pPr>
              <w:pStyle w:val="TableParagraph"/>
              <w:spacing w:line="180" w:lineRule="exact" w:before="3"/>
              <w:ind w:right="110"/>
              <w:jc w:val="right"/>
              <w:rPr>
                <w:sz w:val="16"/>
              </w:rPr>
            </w:pPr>
            <w:r>
              <w:rPr>
                <w:spacing w:val="-5"/>
                <w:w w:val="105"/>
                <w:sz w:val="16"/>
              </w:rPr>
              <w:t>357</w:t>
            </w:r>
          </w:p>
        </w:tc>
        <w:tc>
          <w:tcPr>
            <w:tcW w:w="1375" w:type="dxa"/>
          </w:tcPr>
          <w:p>
            <w:pPr>
              <w:pStyle w:val="TableParagraph"/>
              <w:rPr>
                <w:sz w:val="14"/>
              </w:rPr>
            </w:pPr>
          </w:p>
        </w:tc>
        <w:tc>
          <w:tcPr>
            <w:tcW w:w="1375" w:type="dxa"/>
          </w:tcPr>
          <w:p>
            <w:pPr>
              <w:pStyle w:val="TableParagraph"/>
              <w:rPr>
                <w:sz w:val="14"/>
              </w:rPr>
            </w:pPr>
          </w:p>
        </w:tc>
        <w:tc>
          <w:tcPr>
            <w:tcW w:w="1375" w:type="dxa"/>
          </w:tcPr>
          <w:p>
            <w:pPr>
              <w:pStyle w:val="TableParagraph"/>
              <w:rPr>
                <w:sz w:val="14"/>
              </w:rPr>
            </w:pPr>
          </w:p>
        </w:tc>
      </w:tr>
      <w:tr>
        <w:trPr>
          <w:trHeight w:val="203" w:hRule="atLeast"/>
        </w:trPr>
        <w:tc>
          <w:tcPr>
            <w:tcW w:w="4360" w:type="dxa"/>
            <w:shd w:val="clear" w:color="auto" w:fill="CCEDFF"/>
          </w:tcPr>
          <w:p>
            <w:pPr>
              <w:pStyle w:val="TableParagraph"/>
              <w:spacing w:line="184" w:lineRule="exact"/>
              <w:rPr>
                <w:sz w:val="14"/>
              </w:rPr>
            </w:pPr>
            <w:r>
              <w:rPr>
                <w:sz w:val="16"/>
              </w:rPr>
              <w:t>Debentures</w:t>
            </w:r>
            <w:r>
              <w:rPr>
                <w:spacing w:val="14"/>
                <w:sz w:val="16"/>
              </w:rPr>
              <w:t> </w:t>
            </w:r>
            <w:r>
              <w:rPr>
                <w:spacing w:val="-5"/>
                <w:position w:val="3"/>
                <w:sz w:val="14"/>
              </w:rPr>
              <w:t>(4)</w:t>
            </w:r>
          </w:p>
        </w:tc>
        <w:tc>
          <w:tcPr>
            <w:tcW w:w="1766" w:type="dxa"/>
            <w:shd w:val="clear" w:color="auto" w:fill="CCEDFF"/>
          </w:tcPr>
          <w:p>
            <w:pPr>
              <w:pStyle w:val="TableParagraph"/>
              <w:spacing w:line="180" w:lineRule="exact" w:before="3"/>
              <w:ind w:right="226"/>
              <w:jc w:val="right"/>
              <w:rPr>
                <w:sz w:val="16"/>
              </w:rPr>
            </w:pPr>
            <w:r>
              <w:rPr>
                <w:spacing w:val="-4"/>
                <w:w w:val="105"/>
                <w:sz w:val="16"/>
              </w:rPr>
              <w:t>6,315</w:t>
            </w:r>
          </w:p>
        </w:tc>
        <w:tc>
          <w:tcPr>
            <w:tcW w:w="1260" w:type="dxa"/>
            <w:shd w:val="clear" w:color="auto" w:fill="CCEDFF"/>
          </w:tcPr>
          <w:p>
            <w:pPr>
              <w:pStyle w:val="TableParagraph"/>
              <w:rPr>
                <w:sz w:val="14"/>
              </w:rPr>
            </w:pPr>
          </w:p>
        </w:tc>
        <w:tc>
          <w:tcPr>
            <w:tcW w:w="1375" w:type="dxa"/>
            <w:shd w:val="clear" w:color="auto" w:fill="CCEDFF"/>
          </w:tcPr>
          <w:p>
            <w:pPr>
              <w:pStyle w:val="TableParagraph"/>
              <w:spacing w:line="180" w:lineRule="exact" w:before="3"/>
              <w:ind w:right="109"/>
              <w:jc w:val="right"/>
              <w:rPr>
                <w:sz w:val="16"/>
              </w:rPr>
            </w:pPr>
            <w:r>
              <w:rPr>
                <w:spacing w:val="-5"/>
                <w:w w:val="105"/>
                <w:sz w:val="16"/>
              </w:rPr>
              <w:t>227</w:t>
            </w:r>
          </w:p>
        </w:tc>
        <w:tc>
          <w:tcPr>
            <w:tcW w:w="1375" w:type="dxa"/>
            <w:shd w:val="clear" w:color="auto" w:fill="CCEDFF"/>
          </w:tcPr>
          <w:p>
            <w:pPr>
              <w:pStyle w:val="TableParagraph"/>
              <w:spacing w:line="180" w:lineRule="exact" w:before="3"/>
              <w:ind w:right="108"/>
              <w:jc w:val="right"/>
              <w:rPr>
                <w:sz w:val="16"/>
              </w:rPr>
            </w:pPr>
            <w:r>
              <w:rPr>
                <w:spacing w:val="-5"/>
                <w:w w:val="105"/>
                <w:sz w:val="16"/>
              </w:rPr>
              <w:t>87</w:t>
            </w:r>
          </w:p>
        </w:tc>
        <w:tc>
          <w:tcPr>
            <w:tcW w:w="1375" w:type="dxa"/>
            <w:shd w:val="clear" w:color="auto" w:fill="CCEDFF"/>
          </w:tcPr>
          <w:p>
            <w:pPr>
              <w:pStyle w:val="TableParagraph"/>
              <w:spacing w:line="180" w:lineRule="exact" w:before="3"/>
              <w:ind w:right="108"/>
              <w:jc w:val="right"/>
              <w:rPr>
                <w:sz w:val="16"/>
              </w:rPr>
            </w:pPr>
            <w:r>
              <w:rPr>
                <w:spacing w:val="-4"/>
                <w:w w:val="105"/>
                <w:sz w:val="16"/>
              </w:rPr>
              <w:t>6,001</w:t>
            </w:r>
          </w:p>
        </w:tc>
      </w:tr>
      <w:tr>
        <w:trPr>
          <w:trHeight w:val="203" w:hRule="atLeast"/>
        </w:trPr>
        <w:tc>
          <w:tcPr>
            <w:tcW w:w="4360" w:type="dxa"/>
          </w:tcPr>
          <w:p>
            <w:pPr>
              <w:pStyle w:val="TableParagraph"/>
              <w:spacing w:line="180" w:lineRule="exact" w:before="3"/>
              <w:rPr>
                <w:sz w:val="16"/>
              </w:rPr>
            </w:pPr>
            <w:r>
              <w:rPr>
                <w:w w:val="105"/>
                <w:sz w:val="16"/>
              </w:rPr>
              <w:t>Finance</w:t>
            </w:r>
            <w:r>
              <w:rPr>
                <w:spacing w:val="-11"/>
                <w:w w:val="105"/>
                <w:sz w:val="16"/>
              </w:rPr>
              <w:t> </w:t>
            </w:r>
            <w:r>
              <w:rPr>
                <w:w w:val="105"/>
                <w:sz w:val="16"/>
              </w:rPr>
              <w:t>leases</w:t>
            </w:r>
            <w:r>
              <w:rPr>
                <w:spacing w:val="-10"/>
                <w:w w:val="105"/>
                <w:sz w:val="16"/>
              </w:rPr>
              <w:t> </w:t>
            </w:r>
            <w:r>
              <w:rPr>
                <w:w w:val="105"/>
                <w:sz w:val="16"/>
              </w:rPr>
              <w:t>and</w:t>
            </w:r>
            <w:r>
              <w:rPr>
                <w:spacing w:val="-11"/>
                <w:w w:val="105"/>
                <w:sz w:val="16"/>
              </w:rPr>
              <w:t> </w:t>
            </w:r>
            <w:r>
              <w:rPr>
                <w:w w:val="105"/>
                <w:sz w:val="16"/>
              </w:rPr>
              <w:t>financing</w:t>
            </w:r>
            <w:r>
              <w:rPr>
                <w:spacing w:val="-10"/>
                <w:w w:val="105"/>
                <w:sz w:val="16"/>
              </w:rPr>
              <w:t> </w:t>
            </w:r>
            <w:r>
              <w:rPr>
                <w:spacing w:val="-2"/>
                <w:w w:val="105"/>
                <w:sz w:val="16"/>
              </w:rPr>
              <w:t>obligations</w:t>
            </w:r>
          </w:p>
        </w:tc>
        <w:tc>
          <w:tcPr>
            <w:tcW w:w="1766" w:type="dxa"/>
          </w:tcPr>
          <w:p>
            <w:pPr>
              <w:pStyle w:val="TableParagraph"/>
              <w:spacing w:line="180" w:lineRule="exact" w:before="3"/>
              <w:ind w:right="226"/>
              <w:jc w:val="right"/>
              <w:rPr>
                <w:sz w:val="16"/>
              </w:rPr>
            </w:pPr>
            <w:r>
              <w:rPr>
                <w:spacing w:val="-5"/>
                <w:w w:val="105"/>
                <w:sz w:val="16"/>
              </w:rPr>
              <w:t>729</w:t>
            </w:r>
          </w:p>
        </w:tc>
        <w:tc>
          <w:tcPr>
            <w:tcW w:w="1260" w:type="dxa"/>
          </w:tcPr>
          <w:p>
            <w:pPr>
              <w:pStyle w:val="TableParagraph"/>
              <w:spacing w:line="180" w:lineRule="exact" w:before="3"/>
              <w:ind w:right="110"/>
              <w:jc w:val="right"/>
              <w:rPr>
                <w:sz w:val="16"/>
              </w:rPr>
            </w:pPr>
            <w:r>
              <w:rPr>
                <w:spacing w:val="-5"/>
                <w:w w:val="105"/>
                <w:sz w:val="16"/>
              </w:rPr>
              <w:t>55</w:t>
            </w:r>
          </w:p>
        </w:tc>
        <w:tc>
          <w:tcPr>
            <w:tcW w:w="1375" w:type="dxa"/>
          </w:tcPr>
          <w:p>
            <w:pPr>
              <w:pStyle w:val="TableParagraph"/>
              <w:spacing w:line="180" w:lineRule="exact" w:before="3"/>
              <w:ind w:right="109"/>
              <w:jc w:val="right"/>
              <w:rPr>
                <w:sz w:val="16"/>
              </w:rPr>
            </w:pPr>
            <w:r>
              <w:rPr>
                <w:spacing w:val="-5"/>
                <w:w w:val="105"/>
                <w:sz w:val="16"/>
              </w:rPr>
              <w:t>207</w:t>
            </w:r>
          </w:p>
        </w:tc>
        <w:tc>
          <w:tcPr>
            <w:tcW w:w="1375" w:type="dxa"/>
          </w:tcPr>
          <w:p>
            <w:pPr>
              <w:pStyle w:val="TableParagraph"/>
              <w:spacing w:line="180" w:lineRule="exact" w:before="3"/>
              <w:ind w:right="108"/>
              <w:jc w:val="right"/>
              <w:rPr>
                <w:sz w:val="16"/>
              </w:rPr>
            </w:pPr>
            <w:r>
              <w:rPr>
                <w:spacing w:val="-5"/>
                <w:w w:val="105"/>
                <w:sz w:val="16"/>
              </w:rPr>
              <w:t>115</w:t>
            </w:r>
          </w:p>
        </w:tc>
        <w:tc>
          <w:tcPr>
            <w:tcW w:w="1375" w:type="dxa"/>
          </w:tcPr>
          <w:p>
            <w:pPr>
              <w:pStyle w:val="TableParagraph"/>
              <w:spacing w:line="180" w:lineRule="exact" w:before="3"/>
              <w:ind w:right="108"/>
              <w:jc w:val="right"/>
              <w:rPr>
                <w:sz w:val="16"/>
              </w:rPr>
            </w:pPr>
            <w:r>
              <w:rPr>
                <w:spacing w:val="-5"/>
                <w:w w:val="105"/>
                <w:sz w:val="16"/>
              </w:rPr>
              <w:t>352</w:t>
            </w:r>
          </w:p>
        </w:tc>
      </w:tr>
      <w:tr>
        <w:trPr>
          <w:trHeight w:val="203" w:hRule="atLeast"/>
        </w:trPr>
        <w:tc>
          <w:tcPr>
            <w:tcW w:w="4360" w:type="dxa"/>
            <w:shd w:val="clear" w:color="auto" w:fill="CCEDFF"/>
          </w:tcPr>
          <w:p>
            <w:pPr>
              <w:pStyle w:val="TableParagraph"/>
              <w:spacing w:line="184" w:lineRule="exact"/>
              <w:rPr>
                <w:sz w:val="14"/>
              </w:rPr>
            </w:pPr>
            <w:r>
              <w:rPr>
                <w:sz w:val="16"/>
              </w:rPr>
              <w:t>Interest</w:t>
            </w:r>
            <w:r>
              <w:rPr>
                <w:spacing w:val="11"/>
                <w:sz w:val="16"/>
              </w:rPr>
              <w:t> </w:t>
            </w:r>
            <w:r>
              <w:rPr>
                <w:sz w:val="16"/>
              </w:rPr>
              <w:t>on</w:t>
            </w:r>
            <w:r>
              <w:rPr>
                <w:spacing w:val="11"/>
                <w:sz w:val="16"/>
              </w:rPr>
              <w:t> </w:t>
            </w:r>
            <w:r>
              <w:rPr>
                <w:sz w:val="16"/>
              </w:rPr>
              <w:t>debentures</w:t>
            </w:r>
            <w:r>
              <w:rPr>
                <w:spacing w:val="13"/>
                <w:sz w:val="16"/>
              </w:rPr>
              <w:t> </w:t>
            </w:r>
            <w:r>
              <w:rPr>
                <w:spacing w:val="-5"/>
                <w:position w:val="3"/>
                <w:sz w:val="14"/>
              </w:rPr>
              <w:t>(5)</w:t>
            </w:r>
          </w:p>
        </w:tc>
        <w:tc>
          <w:tcPr>
            <w:tcW w:w="1766" w:type="dxa"/>
            <w:shd w:val="clear" w:color="auto" w:fill="CCEDFF"/>
          </w:tcPr>
          <w:p>
            <w:pPr>
              <w:pStyle w:val="TableParagraph"/>
              <w:spacing w:line="180" w:lineRule="exact" w:before="3"/>
              <w:ind w:right="226"/>
              <w:jc w:val="right"/>
              <w:rPr>
                <w:sz w:val="16"/>
              </w:rPr>
            </w:pPr>
            <w:r>
              <w:rPr>
                <w:spacing w:val="-4"/>
                <w:w w:val="105"/>
                <w:sz w:val="16"/>
              </w:rPr>
              <w:t>8,306</w:t>
            </w:r>
          </w:p>
        </w:tc>
        <w:tc>
          <w:tcPr>
            <w:tcW w:w="1260" w:type="dxa"/>
            <w:shd w:val="clear" w:color="auto" w:fill="CCEDFF"/>
          </w:tcPr>
          <w:p>
            <w:pPr>
              <w:pStyle w:val="TableParagraph"/>
              <w:spacing w:line="180" w:lineRule="exact" w:before="3"/>
              <w:ind w:right="110"/>
              <w:jc w:val="right"/>
              <w:rPr>
                <w:sz w:val="16"/>
              </w:rPr>
            </w:pPr>
            <w:r>
              <w:rPr>
                <w:spacing w:val="-5"/>
                <w:w w:val="105"/>
                <w:sz w:val="16"/>
              </w:rPr>
              <w:t>265</w:t>
            </w:r>
          </w:p>
        </w:tc>
        <w:tc>
          <w:tcPr>
            <w:tcW w:w="1375" w:type="dxa"/>
            <w:shd w:val="clear" w:color="auto" w:fill="CCEDFF"/>
          </w:tcPr>
          <w:p>
            <w:pPr>
              <w:pStyle w:val="TableParagraph"/>
              <w:spacing w:line="180" w:lineRule="exact" w:before="3"/>
              <w:ind w:right="109"/>
              <w:jc w:val="right"/>
              <w:rPr>
                <w:sz w:val="16"/>
              </w:rPr>
            </w:pPr>
            <w:r>
              <w:rPr>
                <w:spacing w:val="-5"/>
                <w:w w:val="105"/>
                <w:sz w:val="16"/>
              </w:rPr>
              <w:t>523</w:t>
            </w:r>
          </w:p>
        </w:tc>
        <w:tc>
          <w:tcPr>
            <w:tcW w:w="1375" w:type="dxa"/>
            <w:shd w:val="clear" w:color="auto" w:fill="CCEDFF"/>
          </w:tcPr>
          <w:p>
            <w:pPr>
              <w:pStyle w:val="TableParagraph"/>
              <w:spacing w:line="180" w:lineRule="exact" w:before="3"/>
              <w:ind w:right="108"/>
              <w:jc w:val="right"/>
              <w:rPr>
                <w:sz w:val="16"/>
              </w:rPr>
            </w:pPr>
            <w:r>
              <w:rPr>
                <w:spacing w:val="-5"/>
                <w:w w:val="105"/>
                <w:sz w:val="16"/>
              </w:rPr>
              <w:t>519</w:t>
            </w:r>
          </w:p>
        </w:tc>
        <w:tc>
          <w:tcPr>
            <w:tcW w:w="1375" w:type="dxa"/>
            <w:shd w:val="clear" w:color="auto" w:fill="CCEDFF"/>
          </w:tcPr>
          <w:p>
            <w:pPr>
              <w:pStyle w:val="TableParagraph"/>
              <w:spacing w:line="180" w:lineRule="exact" w:before="3"/>
              <w:ind w:right="108"/>
              <w:jc w:val="right"/>
              <w:rPr>
                <w:sz w:val="16"/>
              </w:rPr>
            </w:pPr>
            <w:r>
              <w:rPr>
                <w:spacing w:val="-4"/>
                <w:w w:val="105"/>
                <w:sz w:val="16"/>
              </w:rPr>
              <w:t>6,999</w:t>
            </w:r>
          </w:p>
        </w:tc>
      </w:tr>
      <w:tr>
        <w:trPr>
          <w:trHeight w:val="203" w:hRule="atLeast"/>
        </w:trPr>
        <w:tc>
          <w:tcPr>
            <w:tcW w:w="4360" w:type="dxa"/>
          </w:tcPr>
          <w:p>
            <w:pPr>
              <w:pStyle w:val="TableParagraph"/>
              <w:spacing w:line="180" w:lineRule="exact" w:before="3"/>
              <w:rPr>
                <w:sz w:val="16"/>
              </w:rPr>
            </w:pPr>
            <w:r>
              <w:rPr>
                <w:w w:val="105"/>
                <w:sz w:val="16"/>
              </w:rPr>
              <w:t>Imputed</w:t>
            </w:r>
            <w:r>
              <w:rPr>
                <w:spacing w:val="-10"/>
                <w:w w:val="105"/>
                <w:sz w:val="16"/>
              </w:rPr>
              <w:t> </w:t>
            </w:r>
            <w:r>
              <w:rPr>
                <w:w w:val="105"/>
                <w:sz w:val="16"/>
              </w:rPr>
              <w:t>interest</w:t>
            </w:r>
            <w:r>
              <w:rPr>
                <w:spacing w:val="-10"/>
                <w:w w:val="105"/>
                <w:sz w:val="16"/>
              </w:rPr>
              <w:t> </w:t>
            </w:r>
            <w:r>
              <w:rPr>
                <w:w w:val="105"/>
                <w:sz w:val="16"/>
              </w:rPr>
              <w:t>on</w:t>
            </w:r>
            <w:r>
              <w:rPr>
                <w:spacing w:val="-9"/>
                <w:w w:val="105"/>
                <w:sz w:val="16"/>
              </w:rPr>
              <w:t> </w:t>
            </w:r>
            <w:r>
              <w:rPr>
                <w:w w:val="105"/>
                <w:sz w:val="16"/>
              </w:rPr>
              <w:t>finance</w:t>
            </w:r>
            <w:r>
              <w:rPr>
                <w:spacing w:val="-10"/>
                <w:w w:val="105"/>
                <w:sz w:val="16"/>
              </w:rPr>
              <w:t> </w:t>
            </w:r>
            <w:r>
              <w:rPr>
                <w:w w:val="105"/>
                <w:sz w:val="16"/>
              </w:rPr>
              <w:t>leases</w:t>
            </w:r>
            <w:r>
              <w:rPr>
                <w:spacing w:val="-9"/>
                <w:w w:val="105"/>
                <w:sz w:val="16"/>
              </w:rPr>
              <w:t> </w:t>
            </w:r>
            <w:r>
              <w:rPr>
                <w:w w:val="105"/>
                <w:sz w:val="16"/>
              </w:rPr>
              <w:t>and</w:t>
            </w:r>
            <w:r>
              <w:rPr>
                <w:spacing w:val="-10"/>
                <w:w w:val="105"/>
                <w:sz w:val="16"/>
              </w:rPr>
              <w:t> </w:t>
            </w:r>
            <w:r>
              <w:rPr>
                <w:w w:val="105"/>
                <w:sz w:val="16"/>
              </w:rPr>
              <w:t>financing</w:t>
            </w:r>
            <w:r>
              <w:rPr>
                <w:spacing w:val="-10"/>
                <w:w w:val="105"/>
                <w:sz w:val="16"/>
              </w:rPr>
              <w:t> </w:t>
            </w:r>
            <w:r>
              <w:rPr>
                <w:spacing w:val="-2"/>
                <w:w w:val="105"/>
                <w:sz w:val="16"/>
              </w:rPr>
              <w:t>obligations</w:t>
            </w:r>
          </w:p>
        </w:tc>
        <w:tc>
          <w:tcPr>
            <w:tcW w:w="1766" w:type="dxa"/>
          </w:tcPr>
          <w:p>
            <w:pPr>
              <w:pStyle w:val="TableParagraph"/>
              <w:spacing w:line="180" w:lineRule="exact" w:before="3"/>
              <w:ind w:right="226"/>
              <w:jc w:val="right"/>
              <w:rPr>
                <w:sz w:val="16"/>
              </w:rPr>
            </w:pPr>
            <w:r>
              <w:rPr>
                <w:spacing w:val="-5"/>
                <w:w w:val="105"/>
                <w:sz w:val="16"/>
              </w:rPr>
              <w:t>271</w:t>
            </w:r>
          </w:p>
        </w:tc>
        <w:tc>
          <w:tcPr>
            <w:tcW w:w="1260" w:type="dxa"/>
          </w:tcPr>
          <w:p>
            <w:pPr>
              <w:pStyle w:val="TableParagraph"/>
              <w:spacing w:line="180" w:lineRule="exact" w:before="3"/>
              <w:ind w:right="110"/>
              <w:jc w:val="right"/>
              <w:rPr>
                <w:sz w:val="16"/>
              </w:rPr>
            </w:pPr>
            <w:r>
              <w:rPr>
                <w:spacing w:val="-5"/>
                <w:w w:val="105"/>
                <w:sz w:val="16"/>
              </w:rPr>
              <w:t>32</w:t>
            </w:r>
          </w:p>
        </w:tc>
        <w:tc>
          <w:tcPr>
            <w:tcW w:w="1375" w:type="dxa"/>
          </w:tcPr>
          <w:p>
            <w:pPr>
              <w:pStyle w:val="TableParagraph"/>
              <w:spacing w:line="180" w:lineRule="exact" w:before="3"/>
              <w:ind w:right="109"/>
              <w:jc w:val="right"/>
              <w:rPr>
                <w:sz w:val="16"/>
              </w:rPr>
            </w:pPr>
            <w:r>
              <w:rPr>
                <w:spacing w:val="-5"/>
                <w:w w:val="105"/>
                <w:sz w:val="16"/>
              </w:rPr>
              <w:t>53</w:t>
            </w:r>
          </w:p>
        </w:tc>
        <w:tc>
          <w:tcPr>
            <w:tcW w:w="1375" w:type="dxa"/>
          </w:tcPr>
          <w:p>
            <w:pPr>
              <w:pStyle w:val="TableParagraph"/>
              <w:spacing w:line="180" w:lineRule="exact" w:before="3"/>
              <w:ind w:right="108"/>
              <w:jc w:val="right"/>
              <w:rPr>
                <w:sz w:val="16"/>
              </w:rPr>
            </w:pPr>
            <w:r>
              <w:rPr>
                <w:spacing w:val="-5"/>
                <w:w w:val="105"/>
                <w:sz w:val="16"/>
              </w:rPr>
              <w:t>39</w:t>
            </w:r>
          </w:p>
        </w:tc>
        <w:tc>
          <w:tcPr>
            <w:tcW w:w="1375" w:type="dxa"/>
          </w:tcPr>
          <w:p>
            <w:pPr>
              <w:pStyle w:val="TableParagraph"/>
              <w:spacing w:line="180" w:lineRule="exact" w:before="3"/>
              <w:ind w:right="108"/>
              <w:jc w:val="right"/>
              <w:rPr>
                <w:sz w:val="16"/>
              </w:rPr>
            </w:pPr>
            <w:r>
              <w:rPr>
                <w:spacing w:val="-5"/>
                <w:w w:val="105"/>
                <w:sz w:val="16"/>
              </w:rPr>
              <w:t>147</w:t>
            </w:r>
          </w:p>
        </w:tc>
      </w:tr>
      <w:tr>
        <w:trPr>
          <w:trHeight w:val="203" w:hRule="atLeast"/>
        </w:trPr>
        <w:tc>
          <w:tcPr>
            <w:tcW w:w="4360" w:type="dxa"/>
            <w:shd w:val="clear" w:color="auto" w:fill="CCEDFF"/>
          </w:tcPr>
          <w:p>
            <w:pPr>
              <w:pStyle w:val="TableParagraph"/>
              <w:spacing w:line="180" w:lineRule="exact" w:before="3"/>
              <w:rPr>
                <w:sz w:val="16"/>
              </w:rPr>
            </w:pPr>
            <w:r>
              <w:rPr>
                <w:sz w:val="16"/>
              </w:rPr>
              <w:t>Operating</w:t>
            </w:r>
            <w:r>
              <w:rPr>
                <w:spacing w:val="15"/>
                <w:sz w:val="16"/>
              </w:rPr>
              <w:t> </w:t>
            </w:r>
            <w:r>
              <w:rPr>
                <w:sz w:val="16"/>
              </w:rPr>
              <w:t>lease</w:t>
            </w:r>
            <w:r>
              <w:rPr>
                <w:spacing w:val="15"/>
                <w:sz w:val="16"/>
              </w:rPr>
              <w:t> </w:t>
            </w:r>
            <w:r>
              <w:rPr>
                <w:spacing w:val="-2"/>
                <w:sz w:val="16"/>
              </w:rPr>
              <w:t>obligations</w:t>
            </w:r>
          </w:p>
        </w:tc>
        <w:tc>
          <w:tcPr>
            <w:tcW w:w="1766" w:type="dxa"/>
            <w:shd w:val="clear" w:color="auto" w:fill="CCEDFF"/>
          </w:tcPr>
          <w:p>
            <w:pPr>
              <w:pStyle w:val="TableParagraph"/>
              <w:spacing w:line="180" w:lineRule="exact" w:before="3"/>
              <w:ind w:right="226"/>
              <w:jc w:val="right"/>
              <w:rPr>
                <w:sz w:val="16"/>
              </w:rPr>
            </w:pPr>
            <w:r>
              <w:rPr>
                <w:spacing w:val="-4"/>
                <w:w w:val="105"/>
                <w:sz w:val="16"/>
              </w:rPr>
              <w:t>1,026</w:t>
            </w:r>
          </w:p>
        </w:tc>
        <w:tc>
          <w:tcPr>
            <w:tcW w:w="1260" w:type="dxa"/>
            <w:shd w:val="clear" w:color="auto" w:fill="CCEDFF"/>
          </w:tcPr>
          <w:p>
            <w:pPr>
              <w:pStyle w:val="TableParagraph"/>
              <w:spacing w:line="180" w:lineRule="exact" w:before="3"/>
              <w:ind w:right="110"/>
              <w:jc w:val="right"/>
              <w:rPr>
                <w:sz w:val="16"/>
              </w:rPr>
            </w:pPr>
            <w:r>
              <w:rPr>
                <w:spacing w:val="-5"/>
                <w:w w:val="105"/>
                <w:sz w:val="16"/>
              </w:rPr>
              <w:t>103</w:t>
            </w:r>
          </w:p>
        </w:tc>
        <w:tc>
          <w:tcPr>
            <w:tcW w:w="1375" w:type="dxa"/>
            <w:shd w:val="clear" w:color="auto" w:fill="CCEDFF"/>
          </w:tcPr>
          <w:p>
            <w:pPr>
              <w:pStyle w:val="TableParagraph"/>
              <w:spacing w:line="180" w:lineRule="exact" w:before="3"/>
              <w:ind w:right="109"/>
              <w:jc w:val="right"/>
              <w:rPr>
                <w:sz w:val="16"/>
              </w:rPr>
            </w:pPr>
            <w:r>
              <w:rPr>
                <w:spacing w:val="-5"/>
                <w:w w:val="105"/>
                <w:sz w:val="16"/>
              </w:rPr>
              <w:t>207</w:t>
            </w:r>
          </w:p>
        </w:tc>
        <w:tc>
          <w:tcPr>
            <w:tcW w:w="1375" w:type="dxa"/>
            <w:shd w:val="clear" w:color="auto" w:fill="CCEDFF"/>
          </w:tcPr>
          <w:p>
            <w:pPr>
              <w:pStyle w:val="TableParagraph"/>
              <w:spacing w:line="180" w:lineRule="exact" w:before="3"/>
              <w:ind w:right="108"/>
              <w:jc w:val="right"/>
              <w:rPr>
                <w:sz w:val="16"/>
              </w:rPr>
            </w:pPr>
            <w:r>
              <w:rPr>
                <w:spacing w:val="-5"/>
                <w:w w:val="105"/>
                <w:sz w:val="16"/>
              </w:rPr>
              <w:t>163</w:t>
            </w:r>
          </w:p>
        </w:tc>
        <w:tc>
          <w:tcPr>
            <w:tcW w:w="1375" w:type="dxa"/>
            <w:shd w:val="clear" w:color="auto" w:fill="CCEDFF"/>
          </w:tcPr>
          <w:p>
            <w:pPr>
              <w:pStyle w:val="TableParagraph"/>
              <w:spacing w:line="180" w:lineRule="exact" w:before="3"/>
              <w:ind w:right="108"/>
              <w:jc w:val="right"/>
              <w:rPr>
                <w:sz w:val="16"/>
              </w:rPr>
            </w:pPr>
            <w:r>
              <w:rPr>
                <w:spacing w:val="-5"/>
                <w:w w:val="105"/>
                <w:sz w:val="16"/>
              </w:rPr>
              <w:t>553</w:t>
            </w:r>
          </w:p>
        </w:tc>
      </w:tr>
      <w:tr>
        <w:trPr>
          <w:trHeight w:val="202" w:hRule="atLeast"/>
        </w:trPr>
        <w:tc>
          <w:tcPr>
            <w:tcW w:w="4360" w:type="dxa"/>
            <w:tcBorders>
              <w:bottom w:val="single" w:sz="6" w:space="0" w:color="000000"/>
            </w:tcBorders>
          </w:tcPr>
          <w:p>
            <w:pPr>
              <w:pStyle w:val="TableParagraph"/>
              <w:spacing w:line="183" w:lineRule="exact"/>
              <w:rPr>
                <w:sz w:val="14"/>
              </w:rPr>
            </w:pPr>
            <w:r>
              <w:rPr>
                <w:sz w:val="16"/>
              </w:rPr>
              <w:t>Uncertain</w:t>
            </w:r>
            <w:r>
              <w:rPr>
                <w:spacing w:val="12"/>
                <w:sz w:val="16"/>
              </w:rPr>
              <w:t> </w:t>
            </w:r>
            <w:r>
              <w:rPr>
                <w:sz w:val="16"/>
              </w:rPr>
              <w:t>tax</w:t>
            </w:r>
            <w:r>
              <w:rPr>
                <w:spacing w:val="12"/>
                <w:sz w:val="16"/>
              </w:rPr>
              <w:t> </w:t>
            </w:r>
            <w:r>
              <w:rPr>
                <w:sz w:val="16"/>
              </w:rPr>
              <w:t>positions</w:t>
            </w:r>
            <w:r>
              <w:rPr>
                <w:spacing w:val="15"/>
                <w:sz w:val="16"/>
              </w:rPr>
              <w:t> </w:t>
            </w:r>
            <w:r>
              <w:rPr>
                <w:spacing w:val="-5"/>
                <w:position w:val="3"/>
                <w:sz w:val="14"/>
              </w:rPr>
              <w:t>(6)</w:t>
            </w:r>
          </w:p>
        </w:tc>
        <w:tc>
          <w:tcPr>
            <w:tcW w:w="1766" w:type="dxa"/>
            <w:tcBorders>
              <w:bottom w:val="single" w:sz="6" w:space="0" w:color="000000"/>
            </w:tcBorders>
          </w:tcPr>
          <w:p>
            <w:pPr>
              <w:pStyle w:val="TableParagraph"/>
              <w:spacing w:line="179" w:lineRule="exact" w:before="3"/>
              <w:ind w:right="226"/>
              <w:jc w:val="right"/>
              <w:rPr>
                <w:sz w:val="16"/>
              </w:rPr>
            </w:pPr>
            <w:r>
              <w:rPr>
                <w:spacing w:val="-5"/>
                <w:w w:val="105"/>
                <w:sz w:val="16"/>
              </w:rPr>
              <w:t>80</w:t>
            </w:r>
          </w:p>
        </w:tc>
        <w:tc>
          <w:tcPr>
            <w:tcW w:w="1260" w:type="dxa"/>
            <w:tcBorders>
              <w:bottom w:val="single" w:sz="6" w:space="0" w:color="000000"/>
            </w:tcBorders>
          </w:tcPr>
          <w:p>
            <w:pPr>
              <w:pStyle w:val="TableParagraph"/>
              <w:spacing w:line="179" w:lineRule="exact" w:before="3"/>
              <w:ind w:right="110"/>
              <w:jc w:val="right"/>
              <w:rPr>
                <w:sz w:val="16"/>
              </w:rPr>
            </w:pPr>
            <w:r>
              <w:rPr>
                <w:spacing w:val="-10"/>
                <w:w w:val="105"/>
                <w:sz w:val="16"/>
              </w:rPr>
              <w:t>9</w:t>
            </w:r>
          </w:p>
        </w:tc>
        <w:tc>
          <w:tcPr>
            <w:tcW w:w="1375" w:type="dxa"/>
            <w:tcBorders>
              <w:bottom w:val="single" w:sz="6" w:space="0" w:color="000000"/>
            </w:tcBorders>
          </w:tcPr>
          <w:p>
            <w:pPr>
              <w:pStyle w:val="TableParagraph"/>
              <w:spacing w:line="179" w:lineRule="exact" w:before="3"/>
              <w:ind w:right="109"/>
              <w:jc w:val="right"/>
              <w:rPr>
                <w:sz w:val="16"/>
              </w:rPr>
            </w:pPr>
            <w:r>
              <w:rPr>
                <w:spacing w:val="-5"/>
                <w:w w:val="105"/>
                <w:sz w:val="16"/>
              </w:rPr>
              <w:t>12</w:t>
            </w:r>
          </w:p>
        </w:tc>
        <w:tc>
          <w:tcPr>
            <w:tcW w:w="1375" w:type="dxa"/>
            <w:tcBorders>
              <w:bottom w:val="single" w:sz="6" w:space="0" w:color="000000"/>
            </w:tcBorders>
          </w:tcPr>
          <w:p>
            <w:pPr>
              <w:pStyle w:val="TableParagraph"/>
              <w:spacing w:line="179" w:lineRule="exact" w:before="3"/>
              <w:ind w:right="108"/>
              <w:jc w:val="right"/>
              <w:rPr>
                <w:sz w:val="16"/>
              </w:rPr>
            </w:pPr>
            <w:r>
              <w:rPr>
                <w:spacing w:val="-5"/>
                <w:w w:val="105"/>
                <w:sz w:val="16"/>
              </w:rPr>
              <w:t>51</w:t>
            </w:r>
          </w:p>
        </w:tc>
        <w:tc>
          <w:tcPr>
            <w:tcW w:w="1375" w:type="dxa"/>
            <w:tcBorders>
              <w:bottom w:val="single" w:sz="6" w:space="0" w:color="000000"/>
            </w:tcBorders>
          </w:tcPr>
          <w:p>
            <w:pPr>
              <w:pStyle w:val="TableParagraph"/>
              <w:spacing w:line="179" w:lineRule="exact" w:before="3"/>
              <w:ind w:right="108"/>
              <w:jc w:val="right"/>
              <w:rPr>
                <w:sz w:val="16"/>
              </w:rPr>
            </w:pPr>
            <w:r>
              <w:rPr>
                <w:spacing w:val="-10"/>
                <w:w w:val="105"/>
                <w:sz w:val="16"/>
              </w:rPr>
              <w:t>8</w:t>
            </w:r>
          </w:p>
        </w:tc>
      </w:tr>
      <w:tr>
        <w:trPr>
          <w:trHeight w:val="201" w:hRule="atLeast"/>
        </w:trPr>
        <w:tc>
          <w:tcPr>
            <w:tcW w:w="4360" w:type="dxa"/>
            <w:tcBorders>
              <w:top w:val="single" w:sz="6" w:space="0" w:color="000000"/>
              <w:bottom w:val="single" w:sz="6" w:space="0" w:color="000000"/>
            </w:tcBorders>
            <w:shd w:val="clear" w:color="auto" w:fill="CCEDFF"/>
          </w:tcPr>
          <w:p>
            <w:pPr>
              <w:pStyle w:val="TableParagraph"/>
              <w:spacing w:line="179" w:lineRule="exact" w:before="2"/>
              <w:rPr>
                <w:sz w:val="16"/>
              </w:rPr>
            </w:pPr>
            <w:r>
              <w:rPr>
                <w:w w:val="105"/>
                <w:sz w:val="16"/>
              </w:rPr>
              <w:t>Subtotal</w:t>
            </w:r>
            <w:r>
              <w:rPr>
                <w:spacing w:val="-11"/>
                <w:w w:val="105"/>
                <w:sz w:val="16"/>
              </w:rPr>
              <w:t> </w:t>
            </w:r>
            <w:r>
              <w:rPr>
                <w:w w:val="105"/>
                <w:sz w:val="16"/>
              </w:rPr>
              <w:t>of</w:t>
            </w:r>
            <w:r>
              <w:rPr>
                <w:spacing w:val="-10"/>
                <w:w w:val="105"/>
                <w:sz w:val="16"/>
              </w:rPr>
              <w:t> </w:t>
            </w:r>
            <w:r>
              <w:rPr>
                <w:w w:val="105"/>
                <w:sz w:val="16"/>
              </w:rPr>
              <w:t>contractual</w:t>
            </w:r>
            <w:r>
              <w:rPr>
                <w:spacing w:val="-11"/>
                <w:w w:val="105"/>
                <w:sz w:val="16"/>
              </w:rPr>
              <w:t> </w:t>
            </w:r>
            <w:r>
              <w:rPr>
                <w:w w:val="105"/>
                <w:sz w:val="16"/>
              </w:rPr>
              <w:t>obligation</w:t>
            </w:r>
            <w:r>
              <w:rPr>
                <w:spacing w:val="-10"/>
                <w:w w:val="105"/>
                <w:sz w:val="16"/>
              </w:rPr>
              <w:t> </w:t>
            </w:r>
            <w:r>
              <w:rPr>
                <w:w w:val="105"/>
                <w:sz w:val="16"/>
              </w:rPr>
              <w:t>payments</w:t>
            </w:r>
            <w:r>
              <w:rPr>
                <w:spacing w:val="-10"/>
                <w:w w:val="105"/>
                <w:sz w:val="16"/>
              </w:rPr>
              <w:t> </w:t>
            </w:r>
            <w:r>
              <w:rPr>
                <w:w w:val="105"/>
                <w:sz w:val="16"/>
              </w:rPr>
              <w:t>due</w:t>
            </w:r>
            <w:r>
              <w:rPr>
                <w:spacing w:val="-11"/>
                <w:w w:val="105"/>
                <w:sz w:val="16"/>
              </w:rPr>
              <w:t> </w:t>
            </w:r>
            <w:r>
              <w:rPr>
                <w:w w:val="105"/>
                <w:sz w:val="16"/>
              </w:rPr>
              <w:t>by</w:t>
            </w:r>
            <w:r>
              <w:rPr>
                <w:spacing w:val="-10"/>
                <w:w w:val="105"/>
                <w:sz w:val="16"/>
              </w:rPr>
              <w:t> </w:t>
            </w:r>
            <w:r>
              <w:rPr>
                <w:spacing w:val="-2"/>
                <w:w w:val="105"/>
                <w:sz w:val="16"/>
              </w:rPr>
              <w:t>period</w:t>
            </w:r>
          </w:p>
        </w:tc>
        <w:tc>
          <w:tcPr>
            <w:tcW w:w="1766" w:type="dxa"/>
            <w:tcBorders>
              <w:top w:val="single" w:sz="6" w:space="0" w:color="000000"/>
              <w:bottom w:val="single" w:sz="6" w:space="0" w:color="000000"/>
            </w:tcBorders>
            <w:shd w:val="clear" w:color="auto" w:fill="CCEDFF"/>
          </w:tcPr>
          <w:p>
            <w:pPr>
              <w:pStyle w:val="TableParagraph"/>
              <w:tabs>
                <w:tab w:pos="703" w:val="left" w:leader="none"/>
              </w:tabs>
              <w:spacing w:line="179" w:lineRule="exact" w:before="2"/>
              <w:ind w:right="226"/>
              <w:jc w:val="right"/>
              <w:rPr>
                <w:sz w:val="16"/>
              </w:rPr>
            </w:pPr>
            <w:r>
              <w:rPr>
                <w:spacing w:val="-10"/>
                <w:w w:val="105"/>
                <w:sz w:val="16"/>
              </w:rPr>
              <w:t>$</w:t>
            </w:r>
            <w:r>
              <w:rPr>
                <w:sz w:val="16"/>
              </w:rPr>
              <w:tab/>
            </w:r>
            <w:r>
              <w:rPr>
                <w:spacing w:val="-2"/>
                <w:w w:val="105"/>
                <w:sz w:val="16"/>
              </w:rPr>
              <w:t>18,078</w:t>
            </w:r>
          </w:p>
        </w:tc>
        <w:tc>
          <w:tcPr>
            <w:tcW w:w="1260" w:type="dxa"/>
            <w:tcBorders>
              <w:top w:val="single" w:sz="6" w:space="0" w:color="000000"/>
              <w:bottom w:val="single" w:sz="6" w:space="0" w:color="000000"/>
            </w:tcBorders>
            <w:shd w:val="clear" w:color="auto" w:fill="CCEDFF"/>
          </w:tcPr>
          <w:p>
            <w:pPr>
              <w:pStyle w:val="TableParagraph"/>
              <w:tabs>
                <w:tab w:pos="773" w:val="left" w:leader="none"/>
              </w:tabs>
              <w:spacing w:line="179" w:lineRule="exact" w:before="2"/>
              <w:ind w:right="110"/>
              <w:jc w:val="right"/>
              <w:rPr>
                <w:sz w:val="16"/>
              </w:rPr>
            </w:pPr>
            <w:r>
              <w:rPr>
                <w:spacing w:val="-10"/>
                <w:w w:val="105"/>
                <w:sz w:val="16"/>
              </w:rPr>
              <w:t>$</w:t>
            </w:r>
            <w:r>
              <w:rPr>
                <w:sz w:val="16"/>
              </w:rPr>
              <w:tab/>
            </w:r>
            <w:r>
              <w:rPr>
                <w:spacing w:val="-4"/>
                <w:w w:val="105"/>
                <w:sz w:val="16"/>
              </w:rPr>
              <w:t>1,053</w:t>
            </w:r>
          </w:p>
        </w:tc>
        <w:tc>
          <w:tcPr>
            <w:tcW w:w="1375" w:type="dxa"/>
            <w:tcBorders>
              <w:top w:val="single" w:sz="6" w:space="0" w:color="000000"/>
              <w:bottom w:val="single" w:sz="6" w:space="0" w:color="000000"/>
            </w:tcBorders>
            <w:shd w:val="clear" w:color="auto" w:fill="CCEDFF"/>
          </w:tcPr>
          <w:p>
            <w:pPr>
              <w:pStyle w:val="TableParagraph"/>
              <w:tabs>
                <w:tab w:pos="773" w:val="left" w:leader="none"/>
              </w:tabs>
              <w:spacing w:line="179" w:lineRule="exact" w:before="2"/>
              <w:ind w:right="109"/>
              <w:jc w:val="right"/>
              <w:rPr>
                <w:sz w:val="16"/>
              </w:rPr>
            </w:pPr>
            <w:r>
              <w:rPr>
                <w:spacing w:val="-10"/>
                <w:w w:val="105"/>
                <w:sz w:val="16"/>
              </w:rPr>
              <w:t>$</w:t>
            </w:r>
            <w:r>
              <w:rPr>
                <w:sz w:val="16"/>
              </w:rPr>
              <w:tab/>
            </w:r>
            <w:r>
              <w:rPr>
                <w:spacing w:val="-2"/>
                <w:w w:val="105"/>
                <w:sz w:val="16"/>
              </w:rPr>
              <w:t>1,448</w:t>
            </w:r>
          </w:p>
        </w:tc>
        <w:tc>
          <w:tcPr>
            <w:tcW w:w="1375" w:type="dxa"/>
            <w:tcBorders>
              <w:top w:val="single" w:sz="6" w:space="0" w:color="000000"/>
              <w:bottom w:val="single" w:sz="6" w:space="0" w:color="000000"/>
            </w:tcBorders>
            <w:shd w:val="clear" w:color="auto" w:fill="CCEDFF"/>
          </w:tcPr>
          <w:p>
            <w:pPr>
              <w:pStyle w:val="TableParagraph"/>
              <w:tabs>
                <w:tab w:pos="773" w:val="left" w:leader="none"/>
              </w:tabs>
              <w:spacing w:line="179" w:lineRule="exact" w:before="2"/>
              <w:ind w:right="108"/>
              <w:jc w:val="right"/>
              <w:rPr>
                <w:sz w:val="16"/>
              </w:rPr>
            </w:pPr>
            <w:r>
              <w:rPr>
                <w:spacing w:val="-10"/>
                <w:w w:val="105"/>
                <w:sz w:val="16"/>
              </w:rPr>
              <w:t>$</w:t>
            </w:r>
            <w:r>
              <w:rPr>
                <w:sz w:val="16"/>
              </w:rPr>
              <w:tab/>
            </w:r>
            <w:r>
              <w:rPr>
                <w:spacing w:val="-2"/>
                <w:w w:val="105"/>
                <w:sz w:val="16"/>
              </w:rPr>
              <w:t>1,085</w:t>
            </w:r>
          </w:p>
        </w:tc>
        <w:tc>
          <w:tcPr>
            <w:tcW w:w="1375" w:type="dxa"/>
            <w:tcBorders>
              <w:top w:val="single" w:sz="6" w:space="0" w:color="000000"/>
              <w:bottom w:val="single" w:sz="6" w:space="0" w:color="000000"/>
            </w:tcBorders>
            <w:shd w:val="clear" w:color="auto" w:fill="CCEDFF"/>
          </w:tcPr>
          <w:p>
            <w:pPr>
              <w:pStyle w:val="TableParagraph"/>
              <w:tabs>
                <w:tab w:pos="690" w:val="left" w:leader="none"/>
              </w:tabs>
              <w:spacing w:line="179" w:lineRule="exact" w:before="2"/>
              <w:ind w:right="108"/>
              <w:jc w:val="right"/>
              <w:rPr>
                <w:sz w:val="16"/>
              </w:rPr>
            </w:pPr>
            <w:r>
              <w:rPr>
                <w:spacing w:val="-10"/>
                <w:w w:val="105"/>
                <w:sz w:val="16"/>
              </w:rPr>
              <w:t>$</w:t>
            </w:r>
            <w:r>
              <w:rPr>
                <w:sz w:val="16"/>
              </w:rPr>
              <w:tab/>
            </w:r>
            <w:r>
              <w:rPr>
                <w:spacing w:val="-2"/>
                <w:w w:val="105"/>
                <w:sz w:val="16"/>
              </w:rPr>
              <w:t>14,492</w:t>
            </w:r>
          </w:p>
        </w:tc>
      </w:tr>
      <w:tr>
        <w:trPr>
          <w:trHeight w:val="199" w:hRule="atLeast"/>
        </w:trPr>
        <w:tc>
          <w:tcPr>
            <w:tcW w:w="4360" w:type="dxa"/>
            <w:tcBorders>
              <w:top w:val="single" w:sz="6" w:space="0" w:color="000000"/>
              <w:bottom w:val="double" w:sz="6" w:space="0" w:color="000000"/>
            </w:tcBorders>
          </w:tcPr>
          <w:p>
            <w:pPr>
              <w:pStyle w:val="TableParagraph"/>
              <w:spacing w:line="177" w:lineRule="exact" w:before="2"/>
              <w:rPr>
                <w:sz w:val="16"/>
              </w:rPr>
            </w:pPr>
            <w:r>
              <w:rPr>
                <w:spacing w:val="-2"/>
                <w:w w:val="105"/>
                <w:sz w:val="16"/>
              </w:rPr>
              <w:t>Total commitments</w:t>
            </w:r>
            <w:r>
              <w:rPr>
                <w:spacing w:val="-1"/>
                <w:w w:val="105"/>
                <w:sz w:val="16"/>
              </w:rPr>
              <w:t> </w:t>
            </w:r>
            <w:r>
              <w:rPr>
                <w:spacing w:val="-2"/>
                <w:w w:val="105"/>
                <w:sz w:val="16"/>
              </w:rPr>
              <w:t>and</w:t>
            </w:r>
            <w:r>
              <w:rPr>
                <w:spacing w:val="1"/>
                <w:w w:val="105"/>
                <w:sz w:val="16"/>
              </w:rPr>
              <w:t> </w:t>
            </w:r>
            <w:r>
              <w:rPr>
                <w:spacing w:val="-2"/>
                <w:w w:val="105"/>
                <w:sz w:val="16"/>
              </w:rPr>
              <w:t>contingencies</w:t>
            </w:r>
          </w:p>
        </w:tc>
        <w:tc>
          <w:tcPr>
            <w:tcW w:w="1766" w:type="dxa"/>
            <w:tcBorders>
              <w:top w:val="single" w:sz="6" w:space="0" w:color="000000"/>
              <w:bottom w:val="double" w:sz="6" w:space="0" w:color="000000"/>
            </w:tcBorders>
          </w:tcPr>
          <w:p>
            <w:pPr>
              <w:pStyle w:val="TableParagraph"/>
              <w:tabs>
                <w:tab w:pos="703" w:val="left" w:leader="none"/>
              </w:tabs>
              <w:spacing w:line="177" w:lineRule="exact" w:before="2"/>
              <w:ind w:right="226"/>
              <w:jc w:val="right"/>
              <w:rPr>
                <w:b/>
                <w:sz w:val="16"/>
              </w:rPr>
            </w:pPr>
            <w:r>
              <w:rPr>
                <w:b/>
                <w:spacing w:val="-10"/>
                <w:w w:val="105"/>
                <w:sz w:val="16"/>
              </w:rPr>
              <w:t>$</w:t>
            </w:r>
            <w:r>
              <w:rPr>
                <w:b/>
                <w:sz w:val="16"/>
              </w:rPr>
              <w:tab/>
            </w:r>
            <w:r>
              <w:rPr>
                <w:b/>
                <w:spacing w:val="-2"/>
                <w:w w:val="105"/>
                <w:sz w:val="16"/>
              </w:rPr>
              <w:t>18,362</w:t>
            </w:r>
          </w:p>
        </w:tc>
        <w:tc>
          <w:tcPr>
            <w:tcW w:w="1260" w:type="dxa"/>
            <w:tcBorders>
              <w:top w:val="single" w:sz="6" w:space="0" w:color="000000"/>
              <w:bottom w:val="double" w:sz="6" w:space="0" w:color="000000"/>
            </w:tcBorders>
          </w:tcPr>
          <w:p>
            <w:pPr>
              <w:pStyle w:val="TableParagraph"/>
              <w:tabs>
                <w:tab w:pos="773" w:val="left" w:leader="none"/>
              </w:tabs>
              <w:spacing w:line="177" w:lineRule="exact" w:before="2"/>
              <w:ind w:right="110"/>
              <w:jc w:val="right"/>
              <w:rPr>
                <w:b/>
                <w:sz w:val="16"/>
              </w:rPr>
            </w:pPr>
            <w:r>
              <w:rPr>
                <w:b/>
                <w:spacing w:val="-10"/>
                <w:w w:val="105"/>
                <w:sz w:val="16"/>
              </w:rPr>
              <w:t>$</w:t>
            </w:r>
            <w:r>
              <w:rPr>
                <w:b/>
                <w:sz w:val="16"/>
              </w:rPr>
              <w:tab/>
            </w:r>
            <w:r>
              <w:rPr>
                <w:b/>
                <w:spacing w:val="-4"/>
                <w:w w:val="105"/>
                <w:sz w:val="16"/>
              </w:rPr>
              <w:t>1,137</w:t>
            </w:r>
          </w:p>
        </w:tc>
        <w:tc>
          <w:tcPr>
            <w:tcW w:w="1375" w:type="dxa"/>
            <w:tcBorders>
              <w:top w:val="single" w:sz="6" w:space="0" w:color="000000"/>
              <w:bottom w:val="double" w:sz="6" w:space="0" w:color="000000"/>
            </w:tcBorders>
          </w:tcPr>
          <w:p>
            <w:pPr>
              <w:pStyle w:val="TableParagraph"/>
              <w:tabs>
                <w:tab w:pos="773" w:val="left" w:leader="none"/>
              </w:tabs>
              <w:spacing w:line="177" w:lineRule="exact" w:before="2"/>
              <w:ind w:right="109"/>
              <w:jc w:val="right"/>
              <w:rPr>
                <w:b/>
                <w:sz w:val="16"/>
              </w:rPr>
            </w:pPr>
            <w:r>
              <w:rPr>
                <w:b/>
                <w:spacing w:val="-10"/>
                <w:w w:val="105"/>
                <w:sz w:val="16"/>
              </w:rPr>
              <w:t>$</w:t>
            </w:r>
            <w:r>
              <w:rPr>
                <w:b/>
                <w:sz w:val="16"/>
              </w:rPr>
              <w:tab/>
            </w:r>
            <w:r>
              <w:rPr>
                <w:b/>
                <w:spacing w:val="-2"/>
                <w:w w:val="105"/>
                <w:sz w:val="16"/>
              </w:rPr>
              <w:t>1,542</w:t>
            </w:r>
          </w:p>
        </w:tc>
        <w:tc>
          <w:tcPr>
            <w:tcW w:w="1375" w:type="dxa"/>
            <w:tcBorders>
              <w:top w:val="single" w:sz="6" w:space="0" w:color="000000"/>
              <w:bottom w:val="double" w:sz="6" w:space="0" w:color="000000"/>
            </w:tcBorders>
          </w:tcPr>
          <w:p>
            <w:pPr>
              <w:pStyle w:val="TableParagraph"/>
              <w:tabs>
                <w:tab w:pos="773" w:val="left" w:leader="none"/>
              </w:tabs>
              <w:spacing w:line="177" w:lineRule="exact" w:before="2"/>
              <w:ind w:right="108"/>
              <w:jc w:val="right"/>
              <w:rPr>
                <w:b/>
                <w:sz w:val="16"/>
              </w:rPr>
            </w:pPr>
            <w:r>
              <w:rPr>
                <w:b/>
                <w:spacing w:val="-10"/>
                <w:w w:val="105"/>
                <w:sz w:val="16"/>
              </w:rPr>
              <w:t>$</w:t>
            </w:r>
            <w:r>
              <w:rPr>
                <w:b/>
                <w:sz w:val="16"/>
              </w:rPr>
              <w:tab/>
            </w:r>
            <w:r>
              <w:rPr>
                <w:b/>
                <w:spacing w:val="-2"/>
                <w:w w:val="105"/>
                <w:sz w:val="16"/>
              </w:rPr>
              <w:t>1,088</w:t>
            </w:r>
          </w:p>
        </w:tc>
        <w:tc>
          <w:tcPr>
            <w:tcW w:w="1375" w:type="dxa"/>
            <w:tcBorders>
              <w:top w:val="single" w:sz="6" w:space="0" w:color="000000"/>
              <w:bottom w:val="double" w:sz="6" w:space="0" w:color="000000"/>
            </w:tcBorders>
          </w:tcPr>
          <w:p>
            <w:pPr>
              <w:pStyle w:val="TableParagraph"/>
              <w:tabs>
                <w:tab w:pos="690" w:val="left" w:leader="none"/>
              </w:tabs>
              <w:spacing w:line="177" w:lineRule="exact" w:before="2"/>
              <w:ind w:right="108"/>
              <w:jc w:val="right"/>
              <w:rPr>
                <w:b/>
                <w:sz w:val="16"/>
              </w:rPr>
            </w:pPr>
            <w:r>
              <w:rPr>
                <w:b/>
                <w:spacing w:val="-10"/>
                <w:w w:val="105"/>
                <w:sz w:val="16"/>
              </w:rPr>
              <w:t>$</w:t>
            </w:r>
            <w:r>
              <w:rPr>
                <w:b/>
                <w:sz w:val="16"/>
              </w:rPr>
              <w:tab/>
            </w:r>
            <w:r>
              <w:rPr>
                <w:b/>
                <w:spacing w:val="-2"/>
                <w:w w:val="105"/>
                <w:sz w:val="16"/>
              </w:rPr>
              <w:t>14,595</w:t>
            </w:r>
          </w:p>
        </w:tc>
      </w:tr>
    </w:tbl>
    <w:p>
      <w:pPr>
        <w:pStyle w:val="BodyText"/>
        <w:spacing w:before="38"/>
        <w:rPr>
          <w:sz w:val="14"/>
        </w:rPr>
      </w:pPr>
    </w:p>
    <w:p>
      <w:pPr>
        <w:pStyle w:val="ListParagraph"/>
        <w:numPr>
          <w:ilvl w:val="0"/>
          <w:numId w:val="49"/>
        </w:numPr>
        <w:tabs>
          <w:tab w:pos="460" w:val="left" w:leader="none"/>
        </w:tabs>
        <w:spacing w:line="157" w:lineRule="exact" w:before="1" w:after="0"/>
        <w:ind w:left="460" w:right="0" w:hanging="304"/>
        <w:jc w:val="left"/>
        <w:rPr>
          <w:sz w:val="14"/>
        </w:rPr>
      </w:pPr>
      <w:r>
        <w:rPr>
          <w:sz w:val="14"/>
        </w:rPr>
        <w:t>At</w:t>
      </w:r>
      <w:r>
        <w:rPr>
          <w:spacing w:val="-1"/>
          <w:sz w:val="14"/>
        </w:rPr>
        <w:t> </w:t>
      </w:r>
      <w:r>
        <w:rPr>
          <w:sz w:val="14"/>
        </w:rPr>
        <w:t>December</w:t>
      </w:r>
      <w:r>
        <w:rPr>
          <w:spacing w:val="-1"/>
          <w:sz w:val="14"/>
        </w:rPr>
        <w:t> </w:t>
      </w:r>
      <w:r>
        <w:rPr>
          <w:sz w:val="14"/>
        </w:rPr>
        <w:t>31,</w:t>
      </w:r>
      <w:r>
        <w:rPr>
          <w:spacing w:val="-1"/>
          <w:sz w:val="14"/>
        </w:rPr>
        <w:t> </w:t>
      </w:r>
      <w:r>
        <w:rPr>
          <w:sz w:val="14"/>
        </w:rPr>
        <w:t>2021,</w:t>
      </w:r>
      <w:r>
        <w:rPr>
          <w:spacing w:val="-1"/>
          <w:sz w:val="14"/>
        </w:rPr>
        <w:t> </w:t>
      </w:r>
      <w:r>
        <w:rPr>
          <w:sz w:val="14"/>
        </w:rPr>
        <w:t>the</w:t>
      </w:r>
      <w:r>
        <w:rPr>
          <w:spacing w:val="-1"/>
          <w:sz w:val="14"/>
        </w:rPr>
        <w:t> </w:t>
      </w:r>
      <w:r>
        <w:rPr>
          <w:sz w:val="14"/>
        </w:rPr>
        <w:t>Company</w:t>
      </w:r>
      <w:r>
        <w:rPr>
          <w:spacing w:val="-1"/>
          <w:sz w:val="14"/>
        </w:rPr>
        <w:t> </w:t>
      </w:r>
      <w:r>
        <w:rPr>
          <w:sz w:val="14"/>
        </w:rPr>
        <w:t>had stand-by</w:t>
      </w:r>
      <w:r>
        <w:rPr>
          <w:spacing w:val="-1"/>
          <w:sz w:val="14"/>
        </w:rPr>
        <w:t> </w:t>
      </w:r>
      <w:r>
        <w:rPr>
          <w:sz w:val="14"/>
        </w:rPr>
        <w:t>letters</w:t>
      </w:r>
      <w:r>
        <w:rPr>
          <w:spacing w:val="-1"/>
          <w:sz w:val="14"/>
        </w:rPr>
        <w:t> </w:t>
      </w:r>
      <w:r>
        <w:rPr>
          <w:sz w:val="14"/>
        </w:rPr>
        <w:t>of</w:t>
      </w:r>
      <w:r>
        <w:rPr>
          <w:spacing w:val="-1"/>
          <w:sz w:val="14"/>
        </w:rPr>
        <w:t> </w:t>
      </w:r>
      <w:r>
        <w:rPr>
          <w:sz w:val="14"/>
        </w:rPr>
        <w:t>credit</w:t>
      </w:r>
      <w:r>
        <w:rPr>
          <w:spacing w:val="-1"/>
          <w:sz w:val="14"/>
        </w:rPr>
        <w:t> </w:t>
      </w:r>
      <w:r>
        <w:rPr>
          <w:sz w:val="14"/>
        </w:rPr>
        <w:t>commitments</w:t>
      </w:r>
      <w:r>
        <w:rPr>
          <w:spacing w:val="-1"/>
          <w:sz w:val="14"/>
        </w:rPr>
        <w:t> </w:t>
      </w:r>
      <w:r>
        <w:rPr>
          <w:sz w:val="14"/>
        </w:rPr>
        <w:t>of</w:t>
      </w:r>
      <w:r>
        <w:rPr>
          <w:spacing w:val="-1"/>
          <w:sz w:val="14"/>
        </w:rPr>
        <w:t> </w:t>
      </w:r>
      <w:r>
        <w:rPr>
          <w:sz w:val="14"/>
        </w:rPr>
        <w:t>$108 million;</w:t>
      </w:r>
      <w:r>
        <w:rPr>
          <w:spacing w:val="-1"/>
          <w:sz w:val="14"/>
        </w:rPr>
        <w:t> </w:t>
      </w:r>
      <w:r>
        <w:rPr>
          <w:sz w:val="14"/>
        </w:rPr>
        <w:t>$39</w:t>
      </w:r>
      <w:r>
        <w:rPr>
          <w:spacing w:val="-1"/>
          <w:sz w:val="14"/>
        </w:rPr>
        <w:t> </w:t>
      </w:r>
      <w:r>
        <w:rPr>
          <w:sz w:val="14"/>
        </w:rPr>
        <w:t>million</w:t>
      </w:r>
      <w:r>
        <w:rPr>
          <w:spacing w:val="-1"/>
          <w:sz w:val="14"/>
        </w:rPr>
        <w:t> </w:t>
      </w:r>
      <w:r>
        <w:rPr>
          <w:sz w:val="14"/>
        </w:rPr>
        <w:t>was</w:t>
      </w:r>
      <w:r>
        <w:rPr>
          <w:spacing w:val="-1"/>
          <w:sz w:val="14"/>
        </w:rPr>
        <w:t> </w:t>
      </w:r>
      <w:r>
        <w:rPr>
          <w:sz w:val="14"/>
        </w:rPr>
        <w:t>included</w:t>
      </w:r>
      <w:r>
        <w:rPr>
          <w:spacing w:val="-1"/>
          <w:sz w:val="14"/>
        </w:rPr>
        <w:t> </w:t>
      </w:r>
      <w:r>
        <w:rPr>
          <w:sz w:val="14"/>
        </w:rPr>
        <w:t>in</w:t>
      </w:r>
      <w:r>
        <w:rPr>
          <w:spacing w:val="-1"/>
          <w:sz w:val="14"/>
        </w:rPr>
        <w:t> </w:t>
      </w:r>
      <w:r>
        <w:rPr>
          <w:sz w:val="14"/>
        </w:rPr>
        <w:t>other accrued</w:t>
      </w:r>
      <w:r>
        <w:rPr>
          <w:spacing w:val="-1"/>
          <w:sz w:val="14"/>
        </w:rPr>
        <w:t> </w:t>
      </w:r>
      <w:r>
        <w:rPr>
          <w:sz w:val="14"/>
        </w:rPr>
        <w:t>liabilities</w:t>
      </w:r>
      <w:r>
        <w:rPr>
          <w:spacing w:val="-1"/>
          <w:sz w:val="14"/>
        </w:rPr>
        <w:t> </w:t>
      </w:r>
      <w:r>
        <w:rPr>
          <w:sz w:val="14"/>
        </w:rPr>
        <w:t>on</w:t>
      </w:r>
      <w:r>
        <w:rPr>
          <w:spacing w:val="-1"/>
          <w:sz w:val="14"/>
        </w:rPr>
        <w:t> </w:t>
      </w:r>
      <w:r>
        <w:rPr>
          <w:sz w:val="14"/>
        </w:rPr>
        <w:t>the</w:t>
      </w:r>
      <w:r>
        <w:rPr>
          <w:spacing w:val="-1"/>
          <w:sz w:val="14"/>
        </w:rPr>
        <w:t> </w:t>
      </w:r>
      <w:r>
        <w:rPr>
          <w:sz w:val="14"/>
        </w:rPr>
        <w:t>consolidated</w:t>
      </w:r>
      <w:r>
        <w:rPr>
          <w:spacing w:val="-1"/>
          <w:sz w:val="14"/>
        </w:rPr>
        <w:t> </w:t>
      </w:r>
      <w:r>
        <w:rPr>
          <w:sz w:val="14"/>
        </w:rPr>
        <w:t>balance </w:t>
      </w:r>
      <w:r>
        <w:rPr>
          <w:spacing w:val="-2"/>
          <w:sz w:val="14"/>
        </w:rPr>
        <w:t>sheets.</w:t>
      </w:r>
    </w:p>
    <w:p>
      <w:pPr>
        <w:pStyle w:val="ListParagraph"/>
        <w:numPr>
          <w:ilvl w:val="0"/>
          <w:numId w:val="49"/>
        </w:numPr>
        <w:tabs>
          <w:tab w:pos="460" w:val="left" w:leader="none"/>
        </w:tabs>
        <w:spacing w:line="153" w:lineRule="exact" w:before="0" w:after="0"/>
        <w:ind w:left="460" w:right="0" w:hanging="304"/>
        <w:jc w:val="left"/>
        <w:rPr>
          <w:sz w:val="14"/>
        </w:rPr>
      </w:pPr>
      <w:r>
        <w:rPr>
          <w:sz w:val="14"/>
        </w:rPr>
        <w:t>Purchase</w:t>
      </w:r>
      <w:r>
        <w:rPr>
          <w:spacing w:val="-2"/>
          <w:sz w:val="14"/>
        </w:rPr>
        <w:t> </w:t>
      </w:r>
      <w:r>
        <w:rPr>
          <w:sz w:val="14"/>
        </w:rPr>
        <w:t>obligations</w:t>
      </w:r>
      <w:r>
        <w:rPr>
          <w:spacing w:val="-1"/>
          <w:sz w:val="14"/>
        </w:rPr>
        <w:t> </w:t>
      </w:r>
      <w:r>
        <w:rPr>
          <w:sz w:val="14"/>
        </w:rPr>
        <w:t>are</w:t>
      </w:r>
      <w:r>
        <w:rPr>
          <w:spacing w:val="-2"/>
          <w:sz w:val="14"/>
        </w:rPr>
        <w:t> </w:t>
      </w:r>
      <w:r>
        <w:rPr>
          <w:sz w:val="14"/>
        </w:rPr>
        <w:t>enforceable</w:t>
      </w:r>
      <w:r>
        <w:rPr>
          <w:spacing w:val="-1"/>
          <w:sz w:val="14"/>
        </w:rPr>
        <w:t> </w:t>
      </w:r>
      <w:r>
        <w:rPr>
          <w:sz w:val="14"/>
        </w:rPr>
        <w:t>and</w:t>
      </w:r>
      <w:r>
        <w:rPr>
          <w:spacing w:val="-2"/>
          <w:sz w:val="14"/>
        </w:rPr>
        <w:t> </w:t>
      </w:r>
      <w:r>
        <w:rPr>
          <w:sz w:val="14"/>
        </w:rPr>
        <w:t>legally</w:t>
      </w:r>
      <w:r>
        <w:rPr>
          <w:spacing w:val="-1"/>
          <w:sz w:val="14"/>
        </w:rPr>
        <w:t> </w:t>
      </w:r>
      <w:r>
        <w:rPr>
          <w:sz w:val="14"/>
        </w:rPr>
        <w:t>binding</w:t>
      </w:r>
      <w:r>
        <w:rPr>
          <w:spacing w:val="-1"/>
          <w:sz w:val="14"/>
        </w:rPr>
        <w:t> </w:t>
      </w:r>
      <w:r>
        <w:rPr>
          <w:sz w:val="14"/>
        </w:rPr>
        <w:t>obligations</w:t>
      </w:r>
      <w:r>
        <w:rPr>
          <w:spacing w:val="-2"/>
          <w:sz w:val="14"/>
        </w:rPr>
        <w:t> </w:t>
      </w:r>
      <w:r>
        <w:rPr>
          <w:sz w:val="14"/>
        </w:rPr>
        <w:t>which</w:t>
      </w:r>
      <w:r>
        <w:rPr>
          <w:spacing w:val="-1"/>
          <w:sz w:val="14"/>
        </w:rPr>
        <w:t> </w:t>
      </w:r>
      <w:r>
        <w:rPr>
          <w:sz w:val="14"/>
        </w:rPr>
        <w:t>primarily</w:t>
      </w:r>
      <w:r>
        <w:rPr>
          <w:spacing w:val="-2"/>
          <w:sz w:val="14"/>
        </w:rPr>
        <w:t> </w:t>
      </w:r>
      <w:r>
        <w:rPr>
          <w:sz w:val="14"/>
        </w:rPr>
        <w:t>consist</w:t>
      </w:r>
      <w:r>
        <w:rPr>
          <w:spacing w:val="-1"/>
          <w:sz w:val="14"/>
        </w:rPr>
        <w:t> </w:t>
      </w:r>
      <w:r>
        <w:rPr>
          <w:sz w:val="14"/>
        </w:rPr>
        <w:t>of</w:t>
      </w:r>
      <w:r>
        <w:rPr>
          <w:spacing w:val="-1"/>
          <w:sz w:val="14"/>
        </w:rPr>
        <w:t> </w:t>
      </w:r>
      <w:r>
        <w:rPr>
          <w:sz w:val="14"/>
        </w:rPr>
        <w:t>raw</w:t>
      </w:r>
      <w:r>
        <w:rPr>
          <w:spacing w:val="-2"/>
          <w:sz w:val="14"/>
        </w:rPr>
        <w:t> </w:t>
      </w:r>
      <w:r>
        <w:rPr>
          <w:sz w:val="14"/>
        </w:rPr>
        <w:t>material</w:t>
      </w:r>
      <w:r>
        <w:rPr>
          <w:spacing w:val="-1"/>
          <w:sz w:val="14"/>
        </w:rPr>
        <w:t> </w:t>
      </w:r>
      <w:r>
        <w:rPr>
          <w:sz w:val="14"/>
        </w:rPr>
        <w:t>and</w:t>
      </w:r>
      <w:r>
        <w:rPr>
          <w:spacing w:val="-2"/>
          <w:sz w:val="14"/>
        </w:rPr>
        <w:t> </w:t>
      </w:r>
      <w:r>
        <w:rPr>
          <w:sz w:val="14"/>
        </w:rPr>
        <w:t>energy-related</w:t>
      </w:r>
      <w:r>
        <w:rPr>
          <w:spacing w:val="-1"/>
          <w:sz w:val="14"/>
        </w:rPr>
        <w:t> </w:t>
      </w:r>
      <w:r>
        <w:rPr>
          <w:sz w:val="14"/>
        </w:rPr>
        <w:t>take-or-pay</w:t>
      </w:r>
      <w:r>
        <w:rPr>
          <w:spacing w:val="-1"/>
          <w:sz w:val="14"/>
        </w:rPr>
        <w:t> </w:t>
      </w:r>
      <w:r>
        <w:rPr>
          <w:spacing w:val="-2"/>
          <w:sz w:val="14"/>
        </w:rPr>
        <w:t>contracts.</w:t>
      </w:r>
    </w:p>
    <w:p>
      <w:pPr>
        <w:pStyle w:val="ListParagraph"/>
        <w:numPr>
          <w:ilvl w:val="0"/>
          <w:numId w:val="49"/>
        </w:numPr>
        <w:tabs>
          <w:tab w:pos="460" w:val="left" w:leader="none"/>
        </w:tabs>
        <w:spacing w:line="153" w:lineRule="exact" w:before="0" w:after="0"/>
        <w:ind w:left="460" w:right="0" w:hanging="304"/>
        <w:jc w:val="left"/>
        <w:rPr>
          <w:sz w:val="14"/>
        </w:rPr>
      </w:pPr>
      <w:r>
        <w:rPr>
          <w:sz w:val="14"/>
        </w:rPr>
        <w:t>Capital</w:t>
      </w:r>
      <w:r>
        <w:rPr>
          <w:spacing w:val="-1"/>
          <w:sz w:val="14"/>
        </w:rPr>
        <w:t> </w:t>
      </w:r>
      <w:r>
        <w:rPr>
          <w:sz w:val="14"/>
        </w:rPr>
        <w:t>expenditure</w:t>
      </w:r>
      <w:r>
        <w:rPr>
          <w:spacing w:val="-1"/>
          <w:sz w:val="14"/>
        </w:rPr>
        <w:t> </w:t>
      </w:r>
      <w:r>
        <w:rPr>
          <w:sz w:val="14"/>
        </w:rPr>
        <w:t>obligations</w:t>
      </w:r>
      <w:r>
        <w:rPr>
          <w:spacing w:val="-1"/>
          <w:sz w:val="14"/>
        </w:rPr>
        <w:t> </w:t>
      </w:r>
      <w:r>
        <w:rPr>
          <w:sz w:val="14"/>
        </w:rPr>
        <w:t>primarily</w:t>
      </w:r>
      <w:r>
        <w:rPr>
          <w:spacing w:val="-1"/>
          <w:sz w:val="14"/>
        </w:rPr>
        <w:t> </w:t>
      </w:r>
      <w:r>
        <w:rPr>
          <w:sz w:val="14"/>
        </w:rPr>
        <w:t>reflect</w:t>
      </w:r>
      <w:r>
        <w:rPr>
          <w:spacing w:val="-1"/>
          <w:sz w:val="14"/>
        </w:rPr>
        <w:t> </w:t>
      </w:r>
      <w:r>
        <w:rPr>
          <w:sz w:val="14"/>
        </w:rPr>
        <w:t>amounts</w:t>
      </w:r>
      <w:r>
        <w:rPr>
          <w:spacing w:val="-1"/>
          <w:sz w:val="14"/>
        </w:rPr>
        <w:t> </w:t>
      </w:r>
      <w:r>
        <w:rPr>
          <w:sz w:val="14"/>
        </w:rPr>
        <w:t>associated</w:t>
      </w:r>
      <w:r>
        <w:rPr>
          <w:spacing w:val="-1"/>
          <w:sz w:val="14"/>
        </w:rPr>
        <w:t> </w:t>
      </w:r>
      <w:r>
        <w:rPr>
          <w:sz w:val="14"/>
        </w:rPr>
        <w:t>with</w:t>
      </w:r>
      <w:r>
        <w:rPr>
          <w:spacing w:val="-1"/>
          <w:sz w:val="14"/>
        </w:rPr>
        <w:t> </w:t>
      </w:r>
      <w:r>
        <w:rPr>
          <w:sz w:val="14"/>
        </w:rPr>
        <w:t>capital</w:t>
      </w:r>
      <w:r>
        <w:rPr>
          <w:spacing w:val="-1"/>
          <w:sz w:val="14"/>
        </w:rPr>
        <w:t> </w:t>
      </w:r>
      <w:r>
        <w:rPr>
          <w:sz w:val="14"/>
        </w:rPr>
        <w:t>expansion</w:t>
      </w:r>
      <w:r>
        <w:rPr>
          <w:spacing w:val="-1"/>
          <w:sz w:val="14"/>
        </w:rPr>
        <w:t> </w:t>
      </w:r>
      <w:r>
        <w:rPr>
          <w:spacing w:val="-2"/>
          <w:sz w:val="14"/>
        </w:rPr>
        <w:t>activities.</w:t>
      </w:r>
    </w:p>
    <w:p>
      <w:pPr>
        <w:pStyle w:val="ListParagraph"/>
        <w:numPr>
          <w:ilvl w:val="0"/>
          <w:numId w:val="49"/>
        </w:numPr>
        <w:tabs>
          <w:tab w:pos="460" w:val="left" w:leader="none"/>
        </w:tabs>
        <w:spacing w:line="153" w:lineRule="exact" w:before="0" w:after="0"/>
        <w:ind w:left="460" w:right="0" w:hanging="304"/>
        <w:jc w:val="left"/>
        <w:rPr>
          <w:sz w:val="14"/>
        </w:rPr>
      </w:pPr>
      <w:r>
        <w:rPr>
          <w:sz w:val="14"/>
        </w:rPr>
        <w:t>Debentures</w:t>
      </w:r>
      <w:r>
        <w:rPr>
          <w:spacing w:val="-2"/>
          <w:sz w:val="14"/>
        </w:rPr>
        <w:t> </w:t>
      </w:r>
      <w:r>
        <w:rPr>
          <w:sz w:val="14"/>
        </w:rPr>
        <w:t>are</w:t>
      </w:r>
      <w:r>
        <w:rPr>
          <w:spacing w:val="-2"/>
          <w:sz w:val="14"/>
        </w:rPr>
        <w:t> </w:t>
      </w:r>
      <w:r>
        <w:rPr>
          <w:sz w:val="14"/>
        </w:rPr>
        <w:t>stated</w:t>
      </w:r>
      <w:r>
        <w:rPr>
          <w:spacing w:val="-1"/>
          <w:sz w:val="14"/>
        </w:rPr>
        <w:t> </w:t>
      </w:r>
      <w:r>
        <w:rPr>
          <w:sz w:val="14"/>
        </w:rPr>
        <w:t>at</w:t>
      </w:r>
      <w:r>
        <w:rPr>
          <w:spacing w:val="-2"/>
          <w:sz w:val="14"/>
        </w:rPr>
        <w:t> </w:t>
      </w:r>
      <w:r>
        <w:rPr>
          <w:sz w:val="14"/>
        </w:rPr>
        <w:t>maturity</w:t>
      </w:r>
      <w:r>
        <w:rPr>
          <w:spacing w:val="-1"/>
          <w:sz w:val="14"/>
        </w:rPr>
        <w:t> </w:t>
      </w:r>
      <w:r>
        <w:rPr>
          <w:sz w:val="14"/>
        </w:rPr>
        <w:t>value</w:t>
      </w:r>
      <w:r>
        <w:rPr>
          <w:spacing w:val="-2"/>
          <w:sz w:val="14"/>
        </w:rPr>
        <w:t> </w:t>
      </w:r>
      <w:r>
        <w:rPr>
          <w:sz w:val="14"/>
        </w:rPr>
        <w:t>and</w:t>
      </w:r>
      <w:r>
        <w:rPr>
          <w:spacing w:val="-1"/>
          <w:sz w:val="14"/>
        </w:rPr>
        <w:t> </w:t>
      </w:r>
      <w:r>
        <w:rPr>
          <w:sz w:val="14"/>
        </w:rPr>
        <w:t>excludes</w:t>
      </w:r>
      <w:r>
        <w:rPr>
          <w:spacing w:val="-2"/>
          <w:sz w:val="14"/>
        </w:rPr>
        <w:t> </w:t>
      </w:r>
      <w:r>
        <w:rPr>
          <w:sz w:val="14"/>
        </w:rPr>
        <w:t>interest</w:t>
      </w:r>
      <w:r>
        <w:rPr>
          <w:spacing w:val="-2"/>
          <w:sz w:val="14"/>
        </w:rPr>
        <w:t> </w:t>
      </w:r>
      <w:r>
        <w:rPr>
          <w:sz w:val="14"/>
        </w:rPr>
        <w:t>rate</w:t>
      </w:r>
      <w:r>
        <w:rPr>
          <w:spacing w:val="-1"/>
          <w:sz w:val="14"/>
        </w:rPr>
        <w:t> </w:t>
      </w:r>
      <w:r>
        <w:rPr>
          <w:sz w:val="14"/>
        </w:rPr>
        <w:t>swap</w:t>
      </w:r>
      <w:r>
        <w:rPr>
          <w:spacing w:val="-2"/>
          <w:sz w:val="14"/>
        </w:rPr>
        <w:t> </w:t>
      </w:r>
      <w:r>
        <w:rPr>
          <w:sz w:val="14"/>
        </w:rPr>
        <w:t>gains</w:t>
      </w:r>
      <w:r>
        <w:rPr>
          <w:spacing w:val="-1"/>
          <w:sz w:val="14"/>
        </w:rPr>
        <w:t> </w:t>
      </w:r>
      <w:r>
        <w:rPr>
          <w:sz w:val="14"/>
        </w:rPr>
        <w:t>or</w:t>
      </w:r>
      <w:r>
        <w:rPr>
          <w:spacing w:val="-2"/>
          <w:sz w:val="14"/>
        </w:rPr>
        <w:t> </w:t>
      </w:r>
      <w:r>
        <w:rPr>
          <w:sz w:val="14"/>
        </w:rPr>
        <w:t>losses</w:t>
      </w:r>
      <w:r>
        <w:rPr>
          <w:spacing w:val="-1"/>
          <w:sz w:val="14"/>
        </w:rPr>
        <w:t> </w:t>
      </w:r>
      <w:r>
        <w:rPr>
          <w:sz w:val="14"/>
        </w:rPr>
        <w:t>and</w:t>
      </w:r>
      <w:r>
        <w:rPr>
          <w:spacing w:val="-2"/>
          <w:sz w:val="14"/>
        </w:rPr>
        <w:t> </w:t>
      </w:r>
      <w:r>
        <w:rPr>
          <w:sz w:val="14"/>
        </w:rPr>
        <w:t>bond</w:t>
      </w:r>
      <w:r>
        <w:rPr>
          <w:spacing w:val="-1"/>
          <w:sz w:val="14"/>
        </w:rPr>
        <w:t> </w:t>
      </w:r>
      <w:r>
        <w:rPr>
          <w:spacing w:val="-2"/>
          <w:sz w:val="14"/>
        </w:rPr>
        <w:t>discounts.</w:t>
      </w:r>
    </w:p>
    <w:p>
      <w:pPr>
        <w:pStyle w:val="ListParagraph"/>
        <w:numPr>
          <w:ilvl w:val="0"/>
          <w:numId w:val="49"/>
        </w:numPr>
        <w:tabs>
          <w:tab w:pos="460" w:val="left" w:leader="none"/>
        </w:tabs>
        <w:spacing w:line="153" w:lineRule="exact" w:before="0" w:after="0"/>
        <w:ind w:left="460" w:right="0" w:hanging="304"/>
        <w:jc w:val="left"/>
        <w:rPr>
          <w:sz w:val="14"/>
        </w:rPr>
      </w:pPr>
      <w:r>
        <w:rPr>
          <w:sz w:val="14"/>
        </w:rPr>
        <w:t>The</w:t>
      </w:r>
      <w:r>
        <w:rPr>
          <w:spacing w:val="-1"/>
          <w:sz w:val="14"/>
        </w:rPr>
        <w:t> </w:t>
      </w:r>
      <w:r>
        <w:rPr>
          <w:sz w:val="14"/>
        </w:rPr>
        <w:t>estimate</w:t>
      </w:r>
      <w:r>
        <w:rPr>
          <w:spacing w:val="-1"/>
          <w:sz w:val="14"/>
        </w:rPr>
        <w:t> </w:t>
      </w:r>
      <w:r>
        <w:rPr>
          <w:sz w:val="14"/>
        </w:rPr>
        <w:t>of interest</w:t>
      </w:r>
      <w:r>
        <w:rPr>
          <w:spacing w:val="-1"/>
          <w:sz w:val="14"/>
        </w:rPr>
        <w:t> </w:t>
      </w:r>
      <w:r>
        <w:rPr>
          <w:sz w:val="14"/>
        </w:rPr>
        <w:t>payments</w:t>
      </w:r>
      <w:r>
        <w:rPr>
          <w:spacing w:val="-1"/>
          <w:sz w:val="14"/>
        </w:rPr>
        <w:t> </w:t>
      </w:r>
      <w:r>
        <w:rPr>
          <w:sz w:val="14"/>
        </w:rPr>
        <w:t>assumes interest</w:t>
      </w:r>
      <w:r>
        <w:rPr>
          <w:spacing w:val="-1"/>
          <w:sz w:val="14"/>
        </w:rPr>
        <w:t> </w:t>
      </w:r>
      <w:r>
        <w:rPr>
          <w:sz w:val="14"/>
        </w:rPr>
        <w:t>is</w:t>
      </w:r>
      <w:r>
        <w:rPr>
          <w:spacing w:val="-1"/>
          <w:sz w:val="14"/>
        </w:rPr>
        <w:t> </w:t>
      </w:r>
      <w:r>
        <w:rPr>
          <w:sz w:val="14"/>
        </w:rPr>
        <w:t>paid</w:t>
      </w:r>
      <w:r>
        <w:rPr>
          <w:spacing w:val="1"/>
          <w:sz w:val="14"/>
        </w:rPr>
        <w:t> </w:t>
      </w:r>
      <w:r>
        <w:rPr>
          <w:sz w:val="14"/>
        </w:rPr>
        <w:t>through</w:t>
      </w:r>
      <w:r>
        <w:rPr>
          <w:spacing w:val="-1"/>
          <w:sz w:val="14"/>
        </w:rPr>
        <w:t> </w:t>
      </w:r>
      <w:r>
        <w:rPr>
          <w:sz w:val="14"/>
        </w:rPr>
        <w:t>the</w:t>
      </w:r>
      <w:r>
        <w:rPr>
          <w:spacing w:val="-1"/>
          <w:sz w:val="14"/>
        </w:rPr>
        <w:t> </w:t>
      </w:r>
      <w:r>
        <w:rPr>
          <w:sz w:val="14"/>
        </w:rPr>
        <w:t>date of</w:t>
      </w:r>
      <w:r>
        <w:rPr>
          <w:spacing w:val="-1"/>
          <w:sz w:val="14"/>
        </w:rPr>
        <w:t> </w:t>
      </w:r>
      <w:r>
        <w:rPr>
          <w:sz w:val="14"/>
        </w:rPr>
        <w:t>maturity or</w:t>
      </w:r>
      <w:r>
        <w:rPr>
          <w:spacing w:val="-1"/>
          <w:sz w:val="14"/>
        </w:rPr>
        <w:t> </w:t>
      </w:r>
      <w:r>
        <w:rPr>
          <w:sz w:val="14"/>
        </w:rPr>
        <w:t>expiration</w:t>
      </w:r>
      <w:r>
        <w:rPr>
          <w:spacing w:val="-1"/>
          <w:sz w:val="14"/>
        </w:rPr>
        <w:t> </w:t>
      </w:r>
      <w:r>
        <w:rPr>
          <w:sz w:val="14"/>
        </w:rPr>
        <w:t>of the</w:t>
      </w:r>
      <w:r>
        <w:rPr>
          <w:spacing w:val="-1"/>
          <w:sz w:val="14"/>
        </w:rPr>
        <w:t> </w:t>
      </w:r>
      <w:r>
        <w:rPr>
          <w:sz w:val="14"/>
        </w:rPr>
        <w:t>related</w:t>
      </w:r>
      <w:r>
        <w:rPr>
          <w:spacing w:val="-1"/>
          <w:sz w:val="14"/>
        </w:rPr>
        <w:t> </w:t>
      </w:r>
      <w:r>
        <w:rPr>
          <w:sz w:val="14"/>
        </w:rPr>
        <w:t>debt, based</w:t>
      </w:r>
      <w:r>
        <w:rPr>
          <w:spacing w:val="-1"/>
          <w:sz w:val="14"/>
        </w:rPr>
        <w:t> </w:t>
      </w:r>
      <w:r>
        <w:rPr>
          <w:sz w:val="14"/>
        </w:rPr>
        <w:t>upon</w:t>
      </w:r>
      <w:r>
        <w:rPr>
          <w:spacing w:val="-1"/>
          <w:sz w:val="14"/>
        </w:rPr>
        <w:t> </w:t>
      </w:r>
      <w:r>
        <w:rPr>
          <w:sz w:val="14"/>
        </w:rPr>
        <w:t>stated rates</w:t>
      </w:r>
      <w:r>
        <w:rPr>
          <w:spacing w:val="-1"/>
          <w:sz w:val="14"/>
        </w:rPr>
        <w:t> </w:t>
      </w:r>
      <w:r>
        <w:rPr>
          <w:sz w:val="14"/>
        </w:rPr>
        <w:t>in</w:t>
      </w:r>
      <w:r>
        <w:rPr>
          <w:spacing w:val="-1"/>
          <w:sz w:val="14"/>
        </w:rPr>
        <w:t> </w:t>
      </w:r>
      <w:r>
        <w:rPr>
          <w:sz w:val="14"/>
        </w:rPr>
        <w:t>the respective</w:t>
      </w:r>
      <w:r>
        <w:rPr>
          <w:spacing w:val="-1"/>
          <w:sz w:val="14"/>
        </w:rPr>
        <w:t> </w:t>
      </w:r>
      <w:r>
        <w:rPr>
          <w:sz w:val="14"/>
        </w:rPr>
        <w:t>debt</w:t>
      </w:r>
      <w:r>
        <w:rPr>
          <w:spacing w:val="1"/>
          <w:sz w:val="14"/>
        </w:rPr>
        <w:t> </w:t>
      </w:r>
      <w:r>
        <w:rPr>
          <w:spacing w:val="-2"/>
          <w:sz w:val="14"/>
        </w:rPr>
        <w:t>instruments.</w:t>
      </w:r>
    </w:p>
    <w:p>
      <w:pPr>
        <w:pStyle w:val="ListParagraph"/>
        <w:numPr>
          <w:ilvl w:val="0"/>
          <w:numId w:val="49"/>
        </w:numPr>
        <w:tabs>
          <w:tab w:pos="460" w:val="left" w:leader="none"/>
        </w:tabs>
        <w:spacing w:line="157" w:lineRule="exact" w:before="0" w:after="0"/>
        <w:ind w:left="460" w:right="0" w:hanging="304"/>
        <w:jc w:val="left"/>
        <w:rPr>
          <w:sz w:val="14"/>
        </w:rPr>
      </w:pPr>
      <w:r>
        <w:rPr>
          <w:sz w:val="14"/>
        </w:rPr>
        <w:t>At</w:t>
      </w:r>
      <w:r>
        <w:rPr>
          <w:spacing w:val="-1"/>
          <w:sz w:val="14"/>
        </w:rPr>
        <w:t> </w:t>
      </w:r>
      <w:r>
        <w:rPr>
          <w:sz w:val="14"/>
        </w:rPr>
        <w:t>December 31,</w:t>
      </w:r>
      <w:r>
        <w:rPr>
          <w:spacing w:val="-1"/>
          <w:sz w:val="14"/>
        </w:rPr>
        <w:t> </w:t>
      </w:r>
      <w:r>
        <w:rPr>
          <w:sz w:val="14"/>
        </w:rPr>
        <w:t>2021, $80</w:t>
      </w:r>
      <w:r>
        <w:rPr>
          <w:spacing w:val="-1"/>
          <w:sz w:val="14"/>
        </w:rPr>
        <w:t> </w:t>
      </w:r>
      <w:r>
        <w:rPr>
          <w:sz w:val="14"/>
        </w:rPr>
        <w:t>million was</w:t>
      </w:r>
      <w:r>
        <w:rPr>
          <w:spacing w:val="-1"/>
          <w:sz w:val="14"/>
        </w:rPr>
        <w:t> </w:t>
      </w:r>
      <w:r>
        <w:rPr>
          <w:sz w:val="14"/>
        </w:rPr>
        <w:t>included on</w:t>
      </w:r>
      <w:r>
        <w:rPr>
          <w:spacing w:val="-1"/>
          <w:sz w:val="14"/>
        </w:rPr>
        <w:t> </w:t>
      </w:r>
      <w:r>
        <w:rPr>
          <w:sz w:val="14"/>
        </w:rPr>
        <w:t>the consolidated</w:t>
      </w:r>
      <w:r>
        <w:rPr>
          <w:spacing w:val="-1"/>
          <w:sz w:val="14"/>
        </w:rPr>
        <w:t> </w:t>
      </w:r>
      <w:r>
        <w:rPr>
          <w:sz w:val="14"/>
        </w:rPr>
        <w:t>balance sheets</w:t>
      </w:r>
      <w:r>
        <w:rPr>
          <w:spacing w:val="-1"/>
          <w:sz w:val="14"/>
        </w:rPr>
        <w:t> </w:t>
      </w:r>
      <w:r>
        <w:rPr>
          <w:sz w:val="14"/>
        </w:rPr>
        <w:t>related to</w:t>
      </w:r>
      <w:r>
        <w:rPr>
          <w:spacing w:val="-1"/>
          <w:sz w:val="14"/>
        </w:rPr>
        <w:t> </w:t>
      </w:r>
      <w:r>
        <w:rPr>
          <w:sz w:val="14"/>
        </w:rPr>
        <w:t>uncertain tax </w:t>
      </w:r>
      <w:r>
        <w:rPr>
          <w:spacing w:val="-2"/>
          <w:sz w:val="14"/>
        </w:rPr>
        <w:t>positions.</w:t>
      </w:r>
    </w:p>
    <w:p>
      <w:pPr>
        <w:pStyle w:val="BodyText"/>
        <w:spacing w:before="41"/>
        <w:rPr>
          <w:sz w:val="14"/>
        </w:rPr>
      </w:pPr>
    </w:p>
    <w:p>
      <w:pPr>
        <w:pStyle w:val="BodyText"/>
        <w:spacing w:line="266" w:lineRule="auto"/>
        <w:ind w:left="156" w:right="328"/>
      </w:pPr>
      <w:r>
        <w:rPr>
          <w:w w:val="105"/>
        </w:rPr>
        <w:t>The</w:t>
      </w:r>
      <w:r>
        <w:rPr>
          <w:spacing w:val="-3"/>
          <w:w w:val="105"/>
        </w:rPr>
        <w:t> </w:t>
      </w:r>
      <w:r>
        <w:rPr>
          <w:w w:val="105"/>
        </w:rPr>
        <w:t>Company</w:t>
      </w:r>
      <w:r>
        <w:rPr>
          <w:spacing w:val="-3"/>
          <w:w w:val="105"/>
        </w:rPr>
        <w:t> </w:t>
      </w:r>
      <w:r>
        <w:rPr>
          <w:w w:val="105"/>
        </w:rPr>
        <w:t>is</w:t>
      </w:r>
      <w:r>
        <w:rPr>
          <w:spacing w:val="-3"/>
          <w:w w:val="105"/>
        </w:rPr>
        <w:t> </w:t>
      </w:r>
      <w:r>
        <w:rPr>
          <w:w w:val="105"/>
        </w:rPr>
        <w:t>required,</w:t>
      </w:r>
      <w:r>
        <w:rPr>
          <w:spacing w:val="-3"/>
          <w:w w:val="105"/>
        </w:rPr>
        <w:t> </w:t>
      </w:r>
      <w:r>
        <w:rPr>
          <w:w w:val="105"/>
        </w:rPr>
        <w:t>at</w:t>
      </w:r>
      <w:r>
        <w:rPr>
          <w:spacing w:val="-3"/>
          <w:w w:val="105"/>
        </w:rPr>
        <w:t> </w:t>
      </w:r>
      <w:r>
        <w:rPr>
          <w:w w:val="105"/>
        </w:rPr>
        <w:t>the</w:t>
      </w:r>
      <w:r>
        <w:rPr>
          <w:spacing w:val="-1"/>
          <w:w w:val="105"/>
        </w:rPr>
        <w:t> </w:t>
      </w:r>
      <w:r>
        <w:rPr>
          <w:w w:val="105"/>
        </w:rPr>
        <w:t>time</w:t>
      </w:r>
      <w:r>
        <w:rPr>
          <w:spacing w:val="-3"/>
          <w:w w:val="105"/>
        </w:rPr>
        <w:t> </w:t>
      </w:r>
      <w:r>
        <w:rPr>
          <w:w w:val="105"/>
        </w:rPr>
        <w:t>a</w:t>
      </w:r>
      <w:r>
        <w:rPr>
          <w:spacing w:val="-3"/>
          <w:w w:val="105"/>
        </w:rPr>
        <w:t> </w:t>
      </w:r>
      <w:r>
        <w:rPr>
          <w:w w:val="105"/>
        </w:rPr>
        <w:t>guarantee</w:t>
      </w:r>
      <w:r>
        <w:rPr>
          <w:spacing w:val="-3"/>
          <w:w w:val="105"/>
        </w:rPr>
        <w:t> </w:t>
      </w:r>
      <w:r>
        <w:rPr>
          <w:w w:val="105"/>
        </w:rPr>
        <w:t>is</w:t>
      </w:r>
      <w:r>
        <w:rPr>
          <w:spacing w:val="-3"/>
          <w:w w:val="105"/>
        </w:rPr>
        <w:t> </w:t>
      </w:r>
      <w:r>
        <w:rPr>
          <w:w w:val="105"/>
        </w:rPr>
        <w:t>issued,</w:t>
      </w:r>
      <w:r>
        <w:rPr>
          <w:spacing w:val="-3"/>
          <w:w w:val="105"/>
        </w:rPr>
        <w:t> </w:t>
      </w:r>
      <w:r>
        <w:rPr>
          <w:w w:val="105"/>
        </w:rPr>
        <w:t>to</w:t>
      </w:r>
      <w:r>
        <w:rPr>
          <w:spacing w:val="-3"/>
          <w:w w:val="105"/>
        </w:rPr>
        <w:t> </w:t>
      </w:r>
      <w:r>
        <w:rPr>
          <w:w w:val="105"/>
        </w:rPr>
        <w:t>recognize</w:t>
      </w:r>
      <w:r>
        <w:rPr>
          <w:spacing w:val="-3"/>
          <w:w w:val="105"/>
        </w:rPr>
        <w:t> </w:t>
      </w:r>
      <w:r>
        <w:rPr>
          <w:w w:val="105"/>
        </w:rPr>
        <w:t>a</w:t>
      </w:r>
      <w:r>
        <w:rPr>
          <w:spacing w:val="-3"/>
          <w:w w:val="105"/>
        </w:rPr>
        <w:t> </w:t>
      </w:r>
      <w:r>
        <w:rPr>
          <w:w w:val="105"/>
        </w:rPr>
        <w:t>liability</w:t>
      </w:r>
      <w:r>
        <w:rPr>
          <w:spacing w:val="-3"/>
          <w:w w:val="105"/>
        </w:rPr>
        <w:t> </w:t>
      </w:r>
      <w:r>
        <w:rPr>
          <w:w w:val="105"/>
        </w:rPr>
        <w:t>for</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or</w:t>
      </w:r>
      <w:r>
        <w:rPr>
          <w:spacing w:val="-3"/>
          <w:w w:val="105"/>
        </w:rPr>
        <w:t> </w:t>
      </w:r>
      <w:r>
        <w:rPr>
          <w:w w:val="105"/>
        </w:rPr>
        <w:t>market</w:t>
      </w:r>
      <w:r>
        <w:rPr>
          <w:spacing w:val="-3"/>
          <w:w w:val="105"/>
        </w:rPr>
        <w:t> </w:t>
      </w:r>
      <w:r>
        <w:rPr>
          <w:w w:val="105"/>
        </w:rPr>
        <w:t>value</w:t>
      </w:r>
      <w:r>
        <w:rPr>
          <w:spacing w:val="-3"/>
          <w:w w:val="105"/>
        </w:rPr>
        <w:t> </w:t>
      </w:r>
      <w:r>
        <w:rPr>
          <w:w w:val="105"/>
        </w:rPr>
        <w:t>of</w:t>
      </w:r>
      <w:r>
        <w:rPr>
          <w:spacing w:val="-3"/>
          <w:w w:val="105"/>
        </w:rPr>
        <w:t> </w:t>
      </w:r>
      <w:r>
        <w:rPr>
          <w:w w:val="105"/>
        </w:rPr>
        <w:t>the</w:t>
      </w:r>
      <w:r>
        <w:rPr>
          <w:spacing w:val="-3"/>
          <w:w w:val="105"/>
        </w:rPr>
        <w:t> </w:t>
      </w:r>
      <w:r>
        <w:rPr>
          <w:w w:val="105"/>
        </w:rPr>
        <w:t>obligation</w:t>
      </w:r>
      <w:r>
        <w:rPr>
          <w:spacing w:val="-3"/>
          <w:w w:val="105"/>
        </w:rPr>
        <w:t> </w:t>
      </w:r>
      <w:r>
        <w:rPr>
          <w:w w:val="105"/>
        </w:rPr>
        <w:t>it</w:t>
      </w:r>
      <w:r>
        <w:rPr>
          <w:spacing w:val="-3"/>
          <w:w w:val="105"/>
        </w:rPr>
        <w:t> </w:t>
      </w:r>
      <w:r>
        <w:rPr>
          <w:w w:val="105"/>
        </w:rPr>
        <w:t>assumes.</w:t>
      </w:r>
      <w:r>
        <w:rPr>
          <w:spacing w:val="-3"/>
          <w:w w:val="105"/>
        </w:rPr>
        <w:t> </w:t>
      </w:r>
      <w:r>
        <w:rPr>
          <w:w w:val="105"/>
        </w:rPr>
        <w:t>In</w:t>
      </w:r>
      <w:r>
        <w:rPr>
          <w:spacing w:val="-3"/>
          <w:w w:val="105"/>
        </w:rPr>
        <w:t> </w:t>
      </w:r>
      <w:r>
        <w:rPr>
          <w:w w:val="105"/>
        </w:rPr>
        <w:t>the</w:t>
      </w:r>
      <w:r>
        <w:rPr>
          <w:spacing w:val="-3"/>
          <w:w w:val="105"/>
        </w:rPr>
        <w:t> </w:t>
      </w:r>
      <w:r>
        <w:rPr>
          <w:w w:val="105"/>
        </w:rPr>
        <w:t>normal</w:t>
      </w:r>
      <w:r>
        <w:rPr>
          <w:spacing w:val="-3"/>
          <w:w w:val="105"/>
        </w:rPr>
        <w:t> </w:t>
      </w:r>
      <w:r>
        <w:rPr>
          <w:w w:val="105"/>
        </w:rPr>
        <w:t>course</w:t>
      </w:r>
      <w:r>
        <w:rPr>
          <w:spacing w:val="-3"/>
          <w:w w:val="105"/>
        </w:rPr>
        <w:t> </w:t>
      </w:r>
      <w:r>
        <w:rPr>
          <w:w w:val="105"/>
        </w:rPr>
        <w:t>of business,</w:t>
      </w:r>
      <w:r>
        <w:rPr>
          <w:spacing w:val="-10"/>
          <w:w w:val="105"/>
        </w:rPr>
        <w:t> </w:t>
      </w:r>
      <w:r>
        <w:rPr>
          <w:w w:val="105"/>
        </w:rPr>
        <w:t>the</w:t>
      </w:r>
      <w:r>
        <w:rPr>
          <w:spacing w:val="-10"/>
          <w:w w:val="105"/>
        </w:rPr>
        <w:t> </w:t>
      </w:r>
      <w:r>
        <w:rPr>
          <w:w w:val="105"/>
        </w:rPr>
        <w:t>Company</w:t>
      </w:r>
      <w:r>
        <w:rPr>
          <w:spacing w:val="-10"/>
          <w:w w:val="105"/>
        </w:rPr>
        <w:t> </w:t>
      </w:r>
      <w:r>
        <w:rPr>
          <w:w w:val="105"/>
        </w:rPr>
        <w:t>does</w:t>
      </w:r>
      <w:r>
        <w:rPr>
          <w:spacing w:val="-9"/>
          <w:w w:val="105"/>
        </w:rPr>
        <w:t> </w:t>
      </w:r>
      <w:r>
        <w:rPr>
          <w:w w:val="105"/>
        </w:rPr>
        <w:t>not</w:t>
      </w:r>
      <w:r>
        <w:rPr>
          <w:spacing w:val="-10"/>
          <w:w w:val="105"/>
        </w:rPr>
        <w:t> </w:t>
      </w:r>
      <w:r>
        <w:rPr>
          <w:w w:val="105"/>
        </w:rPr>
        <w:t>routinely</w:t>
      </w:r>
      <w:r>
        <w:rPr>
          <w:spacing w:val="-10"/>
          <w:w w:val="105"/>
        </w:rPr>
        <w:t> </w:t>
      </w:r>
      <w:r>
        <w:rPr>
          <w:w w:val="105"/>
        </w:rPr>
        <w:t>provide</w:t>
      </w:r>
      <w:r>
        <w:rPr>
          <w:spacing w:val="-10"/>
          <w:w w:val="105"/>
        </w:rPr>
        <w:t> </w:t>
      </w:r>
      <w:r>
        <w:rPr>
          <w:w w:val="105"/>
        </w:rPr>
        <w:t>significant</w:t>
      </w:r>
      <w:r>
        <w:rPr>
          <w:spacing w:val="-10"/>
          <w:w w:val="105"/>
        </w:rPr>
        <w:t> </w:t>
      </w:r>
      <w:r>
        <w:rPr>
          <w:w w:val="105"/>
        </w:rPr>
        <w:t>third-party</w:t>
      </w:r>
      <w:r>
        <w:rPr>
          <w:spacing w:val="-10"/>
          <w:w w:val="105"/>
        </w:rPr>
        <w:t> </w:t>
      </w:r>
      <w:r>
        <w:rPr>
          <w:w w:val="105"/>
        </w:rPr>
        <w:t>guarantees.</w:t>
      </w:r>
      <w:r>
        <w:rPr>
          <w:spacing w:val="-10"/>
          <w:w w:val="105"/>
        </w:rPr>
        <w:t> </w:t>
      </w:r>
      <w:r>
        <w:rPr>
          <w:w w:val="105"/>
        </w:rPr>
        <w:t>Generally,</w:t>
      </w:r>
      <w:r>
        <w:rPr>
          <w:spacing w:val="-10"/>
          <w:w w:val="105"/>
        </w:rPr>
        <w:t> </w:t>
      </w:r>
      <w:r>
        <w:rPr>
          <w:w w:val="105"/>
        </w:rPr>
        <w:t>third-party</w:t>
      </w:r>
      <w:r>
        <w:rPr>
          <w:spacing w:val="-10"/>
          <w:w w:val="105"/>
        </w:rPr>
        <w:t> </w:t>
      </w:r>
      <w:r>
        <w:rPr>
          <w:w w:val="105"/>
        </w:rPr>
        <w:t>guarantees</w:t>
      </w:r>
      <w:r>
        <w:rPr>
          <w:spacing w:val="-10"/>
          <w:w w:val="105"/>
        </w:rPr>
        <w:t> </w:t>
      </w:r>
      <w:r>
        <w:rPr>
          <w:w w:val="105"/>
        </w:rPr>
        <w:t>provided</w:t>
      </w:r>
      <w:r>
        <w:rPr>
          <w:spacing w:val="-10"/>
          <w:w w:val="105"/>
        </w:rPr>
        <w:t> </w:t>
      </w:r>
      <w:r>
        <w:rPr>
          <w:w w:val="105"/>
        </w:rPr>
        <w:t>by</w:t>
      </w:r>
      <w:r>
        <w:rPr>
          <w:spacing w:val="-10"/>
          <w:w w:val="105"/>
        </w:rPr>
        <w:t> </w:t>
      </w:r>
      <w:r>
        <w:rPr>
          <w:w w:val="105"/>
        </w:rPr>
        <w:t>Corning</w:t>
      </w:r>
      <w:r>
        <w:rPr>
          <w:spacing w:val="-10"/>
          <w:w w:val="105"/>
        </w:rPr>
        <w:t> </w:t>
      </w:r>
      <w:r>
        <w:rPr>
          <w:w w:val="105"/>
        </w:rPr>
        <w:t>are</w:t>
      </w:r>
      <w:r>
        <w:rPr>
          <w:spacing w:val="-10"/>
          <w:w w:val="105"/>
        </w:rPr>
        <w:t> </w:t>
      </w:r>
      <w:r>
        <w:rPr>
          <w:w w:val="105"/>
        </w:rPr>
        <w:t>limited</w:t>
      </w:r>
      <w:r>
        <w:rPr>
          <w:spacing w:val="-10"/>
          <w:w w:val="105"/>
        </w:rPr>
        <w:t> </w:t>
      </w:r>
      <w:r>
        <w:rPr>
          <w:w w:val="105"/>
        </w:rPr>
        <w:t>to</w:t>
      </w:r>
      <w:r>
        <w:rPr>
          <w:spacing w:val="-10"/>
          <w:w w:val="105"/>
        </w:rPr>
        <w:t> </w:t>
      </w:r>
      <w:r>
        <w:rPr>
          <w:w w:val="105"/>
        </w:rPr>
        <w:t>certain</w:t>
      </w:r>
      <w:r>
        <w:rPr>
          <w:spacing w:val="-10"/>
          <w:w w:val="105"/>
        </w:rPr>
        <w:t> </w:t>
      </w:r>
      <w:r>
        <w:rPr>
          <w:w w:val="105"/>
        </w:rPr>
        <w:t>financial guarantees,</w:t>
      </w:r>
      <w:r>
        <w:rPr>
          <w:spacing w:val="-2"/>
          <w:w w:val="105"/>
        </w:rPr>
        <w:t> </w:t>
      </w:r>
      <w:r>
        <w:rPr>
          <w:w w:val="105"/>
        </w:rPr>
        <w:t>including</w:t>
      </w:r>
      <w:r>
        <w:rPr>
          <w:spacing w:val="-2"/>
          <w:w w:val="105"/>
        </w:rPr>
        <w:t> </w:t>
      </w:r>
      <w:r>
        <w:rPr>
          <w:w w:val="105"/>
        </w:rPr>
        <w:t>stand-by</w:t>
      </w:r>
      <w:r>
        <w:rPr>
          <w:spacing w:val="-2"/>
          <w:w w:val="105"/>
        </w:rPr>
        <w:t> </w:t>
      </w:r>
      <w:r>
        <w:rPr>
          <w:w w:val="105"/>
        </w:rPr>
        <w:t>letters</w:t>
      </w:r>
      <w:r>
        <w:rPr>
          <w:spacing w:val="-2"/>
          <w:w w:val="105"/>
        </w:rPr>
        <w:t> </w:t>
      </w:r>
      <w:r>
        <w:rPr>
          <w:w w:val="105"/>
        </w:rPr>
        <w:t>of</w:t>
      </w:r>
      <w:r>
        <w:rPr>
          <w:spacing w:val="-2"/>
          <w:w w:val="105"/>
        </w:rPr>
        <w:t> </w:t>
      </w:r>
      <w:r>
        <w:rPr>
          <w:w w:val="105"/>
        </w:rPr>
        <w:t>credit and</w:t>
      </w:r>
      <w:r>
        <w:rPr>
          <w:spacing w:val="-2"/>
          <w:w w:val="105"/>
        </w:rPr>
        <w:t> </w:t>
      </w:r>
      <w:r>
        <w:rPr>
          <w:w w:val="105"/>
        </w:rPr>
        <w:t>performance</w:t>
      </w:r>
      <w:r>
        <w:rPr>
          <w:spacing w:val="-2"/>
          <w:w w:val="105"/>
        </w:rPr>
        <w:t> </w:t>
      </w:r>
      <w:r>
        <w:rPr>
          <w:w w:val="105"/>
        </w:rPr>
        <w:t>bonds,</w:t>
      </w:r>
      <w:r>
        <w:rPr>
          <w:spacing w:val="-2"/>
          <w:w w:val="105"/>
        </w:rPr>
        <w:t> </w:t>
      </w:r>
      <w:r>
        <w:rPr>
          <w:w w:val="105"/>
        </w:rPr>
        <w:t>and</w:t>
      </w:r>
      <w:r>
        <w:rPr>
          <w:spacing w:val="-2"/>
          <w:w w:val="105"/>
        </w:rPr>
        <w:t> </w:t>
      </w:r>
      <w:r>
        <w:rPr>
          <w:w w:val="105"/>
        </w:rPr>
        <w:t>the</w:t>
      </w:r>
      <w:r>
        <w:rPr>
          <w:spacing w:val="-2"/>
          <w:w w:val="105"/>
        </w:rPr>
        <w:t> </w:t>
      </w:r>
      <w:r>
        <w:rPr>
          <w:w w:val="105"/>
        </w:rPr>
        <w:t>incurrence</w:t>
      </w:r>
      <w:r>
        <w:rPr>
          <w:spacing w:val="-2"/>
          <w:w w:val="105"/>
        </w:rPr>
        <w:t> </w:t>
      </w:r>
      <w:r>
        <w:rPr>
          <w:w w:val="105"/>
        </w:rPr>
        <w:t>of</w:t>
      </w:r>
      <w:r>
        <w:rPr>
          <w:spacing w:val="-2"/>
          <w:w w:val="105"/>
        </w:rPr>
        <w:t> </w:t>
      </w:r>
      <w:r>
        <w:rPr>
          <w:w w:val="105"/>
        </w:rPr>
        <w:t>contingent</w:t>
      </w:r>
      <w:r>
        <w:rPr>
          <w:spacing w:val="-2"/>
          <w:w w:val="105"/>
        </w:rPr>
        <w:t> </w:t>
      </w:r>
      <w:r>
        <w:rPr>
          <w:w w:val="105"/>
        </w:rPr>
        <w:t>liabilities</w:t>
      </w:r>
      <w:r>
        <w:rPr>
          <w:spacing w:val="-2"/>
          <w:w w:val="105"/>
        </w:rPr>
        <w:t> </w:t>
      </w:r>
      <w:r>
        <w:rPr>
          <w:w w:val="105"/>
        </w:rPr>
        <w:t>in</w:t>
      </w:r>
      <w:r>
        <w:rPr>
          <w:spacing w:val="-2"/>
          <w:w w:val="105"/>
        </w:rPr>
        <w:t> </w:t>
      </w:r>
      <w:r>
        <w:rPr>
          <w:w w:val="105"/>
        </w:rPr>
        <w:t>the</w:t>
      </w:r>
      <w:r>
        <w:rPr>
          <w:spacing w:val="-2"/>
          <w:w w:val="105"/>
        </w:rPr>
        <w:t> </w:t>
      </w:r>
      <w:r>
        <w:rPr>
          <w:w w:val="105"/>
        </w:rPr>
        <w:t>form</w:t>
      </w:r>
      <w:r>
        <w:rPr>
          <w:spacing w:val="-2"/>
          <w:w w:val="105"/>
        </w:rPr>
        <w:t> </w:t>
      </w:r>
      <w:r>
        <w:rPr>
          <w:w w:val="105"/>
        </w:rPr>
        <w:t>of</w:t>
      </w:r>
      <w:r>
        <w:rPr>
          <w:spacing w:val="-2"/>
          <w:w w:val="105"/>
        </w:rPr>
        <w:t> </w:t>
      </w:r>
      <w:r>
        <w:rPr>
          <w:w w:val="105"/>
        </w:rPr>
        <w:t>purchase</w:t>
      </w:r>
      <w:r>
        <w:rPr>
          <w:spacing w:val="-2"/>
          <w:w w:val="105"/>
        </w:rPr>
        <w:t> </w:t>
      </w:r>
      <w:r>
        <w:rPr>
          <w:w w:val="105"/>
        </w:rPr>
        <w:t>price</w:t>
      </w:r>
      <w:r>
        <w:rPr>
          <w:spacing w:val="-2"/>
          <w:w w:val="105"/>
        </w:rPr>
        <w:t> </w:t>
      </w:r>
      <w:r>
        <w:rPr>
          <w:w w:val="105"/>
        </w:rPr>
        <w:t>adjustments</w:t>
      </w:r>
      <w:r>
        <w:rPr>
          <w:spacing w:val="-2"/>
          <w:w w:val="105"/>
        </w:rPr>
        <w:t> </w:t>
      </w:r>
      <w:r>
        <w:rPr>
          <w:w w:val="105"/>
        </w:rPr>
        <w:t>related</w:t>
      </w:r>
      <w:r>
        <w:rPr>
          <w:spacing w:val="-2"/>
          <w:w w:val="105"/>
        </w:rPr>
        <w:t> </w:t>
      </w:r>
      <w:r>
        <w:rPr>
          <w:w w:val="105"/>
        </w:rPr>
        <w:t>to attainment</w:t>
      </w:r>
      <w:r>
        <w:rPr>
          <w:spacing w:val="-6"/>
          <w:w w:val="105"/>
        </w:rPr>
        <w:t> </w:t>
      </w:r>
      <w:r>
        <w:rPr>
          <w:w w:val="105"/>
        </w:rPr>
        <w:t>of</w:t>
      </w:r>
      <w:r>
        <w:rPr>
          <w:spacing w:val="-6"/>
          <w:w w:val="105"/>
        </w:rPr>
        <w:t> </w:t>
      </w:r>
      <w:r>
        <w:rPr>
          <w:w w:val="105"/>
        </w:rPr>
        <w:t>milestones.</w:t>
      </w:r>
      <w:r>
        <w:rPr>
          <w:spacing w:val="-6"/>
          <w:w w:val="105"/>
        </w:rPr>
        <w:t> </w:t>
      </w:r>
      <w:r>
        <w:rPr>
          <w:w w:val="105"/>
        </w:rPr>
        <w:t>These</w:t>
      </w:r>
      <w:r>
        <w:rPr>
          <w:spacing w:val="-6"/>
          <w:w w:val="105"/>
        </w:rPr>
        <w:t> </w:t>
      </w:r>
      <w:r>
        <w:rPr>
          <w:w w:val="105"/>
        </w:rPr>
        <w:t>guarantees</w:t>
      </w:r>
      <w:r>
        <w:rPr>
          <w:spacing w:val="-6"/>
          <w:w w:val="105"/>
        </w:rPr>
        <w:t> </w:t>
      </w:r>
      <w:r>
        <w:rPr>
          <w:w w:val="105"/>
        </w:rPr>
        <w:t>have</w:t>
      </w:r>
      <w:r>
        <w:rPr>
          <w:spacing w:val="-6"/>
          <w:w w:val="105"/>
        </w:rPr>
        <w:t> </w:t>
      </w:r>
      <w:r>
        <w:rPr>
          <w:w w:val="105"/>
        </w:rPr>
        <w:t>various</w:t>
      </w:r>
      <w:r>
        <w:rPr>
          <w:spacing w:val="-6"/>
          <w:w w:val="105"/>
        </w:rPr>
        <w:t> </w:t>
      </w:r>
      <w:r>
        <w:rPr>
          <w:w w:val="105"/>
        </w:rPr>
        <w:t>terms,</w:t>
      </w:r>
      <w:r>
        <w:rPr>
          <w:spacing w:val="-6"/>
          <w:w w:val="105"/>
        </w:rPr>
        <w:t> </w:t>
      </w:r>
      <w:r>
        <w:rPr>
          <w:w w:val="105"/>
        </w:rPr>
        <w:t>and</w:t>
      </w:r>
      <w:r>
        <w:rPr>
          <w:spacing w:val="-5"/>
          <w:w w:val="105"/>
        </w:rPr>
        <w:t> </w:t>
      </w:r>
      <w:r>
        <w:rPr>
          <w:w w:val="105"/>
        </w:rPr>
        <w:t>none</w:t>
      </w:r>
      <w:r>
        <w:rPr>
          <w:spacing w:val="-6"/>
          <w:w w:val="105"/>
        </w:rPr>
        <w:t> </w:t>
      </w:r>
      <w:r>
        <w:rPr>
          <w:w w:val="105"/>
        </w:rPr>
        <w:t>of</w:t>
      </w:r>
      <w:r>
        <w:rPr>
          <w:spacing w:val="-6"/>
          <w:w w:val="105"/>
        </w:rPr>
        <w:t> </w:t>
      </w:r>
      <w:r>
        <w:rPr>
          <w:w w:val="105"/>
        </w:rPr>
        <w:t>these</w:t>
      </w:r>
      <w:r>
        <w:rPr>
          <w:spacing w:val="-6"/>
          <w:w w:val="105"/>
        </w:rPr>
        <w:t> </w:t>
      </w:r>
      <w:r>
        <w:rPr>
          <w:w w:val="105"/>
        </w:rPr>
        <w:t>guarantees</w:t>
      </w:r>
      <w:r>
        <w:rPr>
          <w:spacing w:val="-6"/>
          <w:w w:val="105"/>
        </w:rPr>
        <w:t> </w:t>
      </w:r>
      <w:r>
        <w:rPr>
          <w:w w:val="105"/>
        </w:rPr>
        <w:t>are</w:t>
      </w:r>
      <w:r>
        <w:rPr>
          <w:spacing w:val="-6"/>
          <w:w w:val="105"/>
        </w:rPr>
        <w:t> </w:t>
      </w:r>
      <w:r>
        <w:rPr>
          <w:w w:val="105"/>
        </w:rPr>
        <w:t>individually</w:t>
      </w:r>
      <w:r>
        <w:rPr>
          <w:spacing w:val="-6"/>
          <w:w w:val="105"/>
        </w:rPr>
        <w:t> </w:t>
      </w:r>
      <w:r>
        <w:rPr>
          <w:w w:val="105"/>
        </w:rPr>
        <w:t>significant.</w:t>
      </w:r>
      <w:r>
        <w:rPr>
          <w:spacing w:val="-6"/>
          <w:w w:val="105"/>
        </w:rPr>
        <w:t> </w:t>
      </w:r>
      <w:r>
        <w:rPr>
          <w:w w:val="105"/>
        </w:rPr>
        <w:t>The</w:t>
      </w:r>
      <w:r>
        <w:rPr>
          <w:spacing w:val="-6"/>
          <w:w w:val="105"/>
        </w:rPr>
        <w:t> </w:t>
      </w:r>
      <w:r>
        <w:rPr>
          <w:w w:val="105"/>
        </w:rPr>
        <w:t>Company</w:t>
      </w:r>
      <w:r>
        <w:rPr>
          <w:spacing w:val="-6"/>
          <w:w w:val="105"/>
        </w:rPr>
        <w:t> </w:t>
      </w:r>
      <w:r>
        <w:rPr>
          <w:w w:val="105"/>
        </w:rPr>
        <w:t>believes</w:t>
      </w:r>
      <w:r>
        <w:rPr>
          <w:spacing w:val="-6"/>
          <w:w w:val="105"/>
        </w:rPr>
        <w:t> </w:t>
      </w:r>
      <w:r>
        <w:rPr>
          <w:w w:val="105"/>
        </w:rPr>
        <w:t>a</w:t>
      </w:r>
      <w:r>
        <w:rPr>
          <w:spacing w:val="-6"/>
          <w:w w:val="105"/>
        </w:rPr>
        <w:t> </w:t>
      </w:r>
      <w:r>
        <w:rPr>
          <w:w w:val="105"/>
        </w:rPr>
        <w:t>significant</w:t>
      </w:r>
      <w:r>
        <w:rPr>
          <w:spacing w:val="-6"/>
          <w:w w:val="105"/>
        </w:rPr>
        <w:t> </w:t>
      </w:r>
      <w:r>
        <w:rPr>
          <w:w w:val="105"/>
        </w:rPr>
        <w:t>majority</w:t>
      </w:r>
      <w:r>
        <w:rPr>
          <w:spacing w:val="-6"/>
          <w:w w:val="105"/>
        </w:rPr>
        <w:t> </w:t>
      </w:r>
      <w:r>
        <w:rPr>
          <w:w w:val="105"/>
        </w:rPr>
        <w:t>of these guarantees and contingent liabilities will expire without being funded.</w:t>
      </w:r>
    </w:p>
    <w:p>
      <w:pPr>
        <w:pStyle w:val="BodyText"/>
        <w:spacing w:before="18"/>
      </w:pPr>
    </w:p>
    <w:p>
      <w:pPr>
        <w:pStyle w:val="BodyText"/>
        <w:ind w:left="156"/>
      </w:pPr>
      <w:r>
        <w:rPr>
          <w:w w:val="105"/>
        </w:rPr>
        <w:t>Product</w:t>
      </w:r>
      <w:r>
        <w:rPr>
          <w:spacing w:val="-9"/>
          <w:w w:val="105"/>
        </w:rPr>
        <w:t> </w:t>
      </w:r>
      <w:r>
        <w:rPr>
          <w:w w:val="105"/>
        </w:rPr>
        <w:t>warranty</w:t>
      </w:r>
      <w:r>
        <w:rPr>
          <w:spacing w:val="-8"/>
          <w:w w:val="105"/>
        </w:rPr>
        <w:t> </w:t>
      </w:r>
      <w:r>
        <w:rPr>
          <w:w w:val="105"/>
        </w:rPr>
        <w:t>liability</w:t>
      </w:r>
      <w:r>
        <w:rPr>
          <w:spacing w:val="-9"/>
          <w:w w:val="105"/>
        </w:rPr>
        <w:t> </w:t>
      </w:r>
      <w:r>
        <w:rPr>
          <w:w w:val="105"/>
        </w:rPr>
        <w:t>accruals</w:t>
      </w:r>
      <w:r>
        <w:rPr>
          <w:spacing w:val="-8"/>
          <w:w w:val="105"/>
        </w:rPr>
        <w:t> </w:t>
      </w:r>
      <w:r>
        <w:rPr>
          <w:w w:val="105"/>
        </w:rPr>
        <w:t>at</w:t>
      </w:r>
      <w:r>
        <w:rPr>
          <w:spacing w:val="26"/>
          <w:w w:val="105"/>
        </w:rPr>
        <w:t> </w:t>
      </w:r>
      <w:r>
        <w:rPr>
          <w:w w:val="105"/>
        </w:rPr>
        <w:t>December</w:t>
      </w:r>
      <w:r>
        <w:rPr>
          <w:spacing w:val="-9"/>
          <w:w w:val="105"/>
        </w:rPr>
        <w:t> </w:t>
      </w:r>
      <w:r>
        <w:rPr>
          <w:w w:val="105"/>
        </w:rPr>
        <w:t>31,</w:t>
      </w:r>
      <w:r>
        <w:rPr>
          <w:spacing w:val="-8"/>
          <w:w w:val="105"/>
        </w:rPr>
        <w:t> </w:t>
      </w:r>
      <w:r>
        <w:rPr>
          <w:w w:val="105"/>
        </w:rPr>
        <w:t>2021</w:t>
      </w:r>
      <w:r>
        <w:rPr>
          <w:spacing w:val="-8"/>
          <w:w w:val="105"/>
        </w:rPr>
        <w:t> </w:t>
      </w:r>
      <w:r>
        <w:rPr>
          <w:w w:val="105"/>
        </w:rPr>
        <w:t>and</w:t>
      </w:r>
      <w:r>
        <w:rPr>
          <w:spacing w:val="-8"/>
          <w:w w:val="105"/>
        </w:rPr>
        <w:t> </w:t>
      </w:r>
      <w:r>
        <w:rPr>
          <w:w w:val="105"/>
        </w:rPr>
        <w:t>2020</w:t>
      </w:r>
      <w:r>
        <w:rPr>
          <w:spacing w:val="-9"/>
          <w:w w:val="105"/>
        </w:rPr>
        <w:t> </w:t>
      </w:r>
      <w:r>
        <w:rPr>
          <w:w w:val="105"/>
        </w:rPr>
        <w:t>were</w:t>
      </w:r>
      <w:r>
        <w:rPr>
          <w:spacing w:val="-8"/>
          <w:w w:val="105"/>
        </w:rPr>
        <w:t> </w:t>
      </w:r>
      <w:r>
        <w:rPr>
          <w:spacing w:val="-2"/>
          <w:w w:val="105"/>
        </w:rPr>
        <w:t>insignificant.</w:t>
      </w:r>
    </w:p>
    <w:p>
      <w:pPr>
        <w:pStyle w:val="BodyText"/>
        <w:spacing w:before="39"/>
      </w:pPr>
    </w:p>
    <w:p>
      <w:pPr>
        <w:pStyle w:val="BodyText"/>
        <w:spacing w:line="266" w:lineRule="auto"/>
        <w:ind w:left="156"/>
      </w:pPr>
      <w:r>
        <w:rPr>
          <w:w w:val="105"/>
        </w:rPr>
        <w:t>The</w:t>
      </w:r>
      <w:r>
        <w:rPr>
          <w:spacing w:val="-8"/>
          <w:w w:val="105"/>
        </w:rPr>
        <w:t> </w:t>
      </w:r>
      <w:r>
        <w:rPr>
          <w:w w:val="105"/>
        </w:rPr>
        <w:t>ability</w:t>
      </w:r>
      <w:r>
        <w:rPr>
          <w:spacing w:val="-8"/>
          <w:w w:val="105"/>
        </w:rPr>
        <w:t> </w:t>
      </w:r>
      <w:r>
        <w:rPr>
          <w:w w:val="105"/>
        </w:rPr>
        <w:t>of</w:t>
      </w:r>
      <w:r>
        <w:rPr>
          <w:spacing w:val="-8"/>
          <w:w w:val="105"/>
        </w:rPr>
        <w:t> </w:t>
      </w:r>
      <w:r>
        <w:rPr>
          <w:w w:val="105"/>
        </w:rPr>
        <w:t>certain</w:t>
      </w:r>
      <w:r>
        <w:rPr>
          <w:spacing w:val="-8"/>
          <w:w w:val="105"/>
        </w:rPr>
        <w:t> </w:t>
      </w:r>
      <w:r>
        <w:rPr>
          <w:w w:val="105"/>
        </w:rPr>
        <w:t>subsidiaries</w:t>
      </w:r>
      <w:r>
        <w:rPr>
          <w:spacing w:val="-8"/>
          <w:w w:val="105"/>
        </w:rPr>
        <w:t> </w:t>
      </w:r>
      <w:r>
        <w:rPr>
          <w:w w:val="105"/>
        </w:rPr>
        <w:t>and</w:t>
      </w:r>
      <w:r>
        <w:rPr>
          <w:spacing w:val="-8"/>
          <w:w w:val="105"/>
        </w:rPr>
        <w:t> </w:t>
      </w:r>
      <w:r>
        <w:rPr>
          <w:w w:val="105"/>
        </w:rPr>
        <w:t>affiliated</w:t>
      </w:r>
      <w:r>
        <w:rPr>
          <w:spacing w:val="-8"/>
          <w:w w:val="105"/>
        </w:rPr>
        <w:t> </w:t>
      </w:r>
      <w:r>
        <w:rPr>
          <w:w w:val="105"/>
        </w:rPr>
        <w:t>companies</w:t>
      </w:r>
      <w:r>
        <w:rPr>
          <w:spacing w:val="-8"/>
          <w:w w:val="105"/>
        </w:rPr>
        <w:t> </w:t>
      </w:r>
      <w:r>
        <w:rPr>
          <w:w w:val="105"/>
        </w:rPr>
        <w:t>to</w:t>
      </w:r>
      <w:r>
        <w:rPr>
          <w:spacing w:val="-8"/>
          <w:w w:val="105"/>
        </w:rPr>
        <w:t> </w:t>
      </w:r>
      <w:r>
        <w:rPr>
          <w:w w:val="105"/>
        </w:rPr>
        <w:t>transfer</w:t>
      </w:r>
      <w:r>
        <w:rPr>
          <w:spacing w:val="-8"/>
          <w:w w:val="105"/>
        </w:rPr>
        <w:t> </w:t>
      </w:r>
      <w:r>
        <w:rPr>
          <w:w w:val="105"/>
        </w:rPr>
        <w:t>funds</w:t>
      </w:r>
      <w:r>
        <w:rPr>
          <w:spacing w:val="-8"/>
          <w:w w:val="105"/>
        </w:rPr>
        <w:t> </w:t>
      </w:r>
      <w:r>
        <w:rPr>
          <w:w w:val="105"/>
        </w:rPr>
        <w:t>is</w:t>
      </w:r>
      <w:r>
        <w:rPr>
          <w:spacing w:val="-10"/>
          <w:w w:val="105"/>
        </w:rPr>
        <w:t> </w:t>
      </w:r>
      <w:r>
        <w:rPr>
          <w:w w:val="105"/>
        </w:rPr>
        <w:t>limited</w:t>
      </w:r>
      <w:r>
        <w:rPr>
          <w:spacing w:val="-8"/>
          <w:w w:val="105"/>
        </w:rPr>
        <w:t> </w:t>
      </w:r>
      <w:r>
        <w:rPr>
          <w:w w:val="105"/>
        </w:rPr>
        <w:t>by</w:t>
      </w:r>
      <w:r>
        <w:rPr>
          <w:spacing w:val="-8"/>
          <w:w w:val="105"/>
        </w:rPr>
        <w:t> </w:t>
      </w:r>
      <w:r>
        <w:rPr>
          <w:w w:val="105"/>
        </w:rPr>
        <w:t>provisions</w:t>
      </w:r>
      <w:r>
        <w:rPr>
          <w:spacing w:val="-10"/>
          <w:w w:val="105"/>
        </w:rPr>
        <w:t> </w:t>
      </w:r>
      <w:r>
        <w:rPr>
          <w:w w:val="105"/>
        </w:rPr>
        <w:t>of</w:t>
      </w:r>
      <w:r>
        <w:rPr>
          <w:spacing w:val="-8"/>
          <w:w w:val="105"/>
        </w:rPr>
        <w:t> </w:t>
      </w:r>
      <w:r>
        <w:rPr>
          <w:w w:val="105"/>
        </w:rPr>
        <w:t>foreign</w:t>
      </w:r>
      <w:r>
        <w:rPr>
          <w:spacing w:val="-8"/>
          <w:w w:val="105"/>
        </w:rPr>
        <w:t> </w:t>
      </w:r>
      <w:r>
        <w:rPr>
          <w:w w:val="105"/>
        </w:rPr>
        <w:t>government</w:t>
      </w:r>
      <w:r>
        <w:rPr>
          <w:spacing w:val="-8"/>
          <w:w w:val="105"/>
        </w:rPr>
        <w:t> </w:t>
      </w:r>
      <w:r>
        <w:rPr>
          <w:w w:val="105"/>
        </w:rPr>
        <w:t>regulations,</w:t>
      </w:r>
      <w:r>
        <w:rPr>
          <w:spacing w:val="-8"/>
          <w:w w:val="105"/>
        </w:rPr>
        <w:t> </w:t>
      </w:r>
      <w:r>
        <w:rPr>
          <w:w w:val="105"/>
        </w:rPr>
        <w:t>affiliate</w:t>
      </w:r>
      <w:r>
        <w:rPr>
          <w:spacing w:val="-8"/>
          <w:w w:val="105"/>
        </w:rPr>
        <w:t> </w:t>
      </w:r>
      <w:r>
        <w:rPr>
          <w:w w:val="105"/>
        </w:rPr>
        <w:t>agreements</w:t>
      </w:r>
      <w:r>
        <w:rPr>
          <w:spacing w:val="-8"/>
          <w:w w:val="105"/>
        </w:rPr>
        <w:t> </w:t>
      </w:r>
      <w:r>
        <w:rPr>
          <w:w w:val="105"/>
        </w:rPr>
        <w:t>and</w:t>
      </w:r>
      <w:r>
        <w:rPr>
          <w:spacing w:val="-8"/>
          <w:w w:val="105"/>
        </w:rPr>
        <w:t> </w:t>
      </w:r>
      <w:r>
        <w:rPr>
          <w:w w:val="105"/>
        </w:rPr>
        <w:t>certain</w:t>
      </w:r>
      <w:r>
        <w:rPr>
          <w:spacing w:val="-8"/>
          <w:w w:val="105"/>
        </w:rPr>
        <w:t> </w:t>
      </w:r>
      <w:r>
        <w:rPr>
          <w:w w:val="105"/>
        </w:rPr>
        <w:t>loan agreements.</w:t>
      </w:r>
      <w:r>
        <w:rPr>
          <w:spacing w:val="-3"/>
          <w:w w:val="105"/>
        </w:rPr>
        <w:t> </w:t>
      </w:r>
      <w:r>
        <w:rPr>
          <w:w w:val="105"/>
        </w:rPr>
        <w:t>At</w:t>
      </w:r>
      <w:r>
        <w:rPr>
          <w:spacing w:val="-2"/>
          <w:w w:val="105"/>
        </w:rPr>
        <w:t> </w:t>
      </w:r>
      <w:r>
        <w:rPr>
          <w:w w:val="105"/>
        </w:rPr>
        <w:t>December</w:t>
      </w:r>
      <w:r>
        <w:rPr>
          <w:spacing w:val="-3"/>
          <w:w w:val="105"/>
        </w:rPr>
        <w:t> </w:t>
      </w:r>
      <w:r>
        <w:rPr>
          <w:w w:val="105"/>
        </w:rPr>
        <w:t>31,</w:t>
      </w:r>
      <w:r>
        <w:rPr>
          <w:spacing w:val="-3"/>
          <w:w w:val="105"/>
        </w:rPr>
        <w:t> </w:t>
      </w:r>
      <w:r>
        <w:rPr>
          <w:w w:val="105"/>
        </w:rPr>
        <w:t>2021,</w:t>
      </w:r>
      <w:r>
        <w:rPr>
          <w:spacing w:val="-3"/>
          <w:w w:val="105"/>
        </w:rPr>
        <w:t> </w:t>
      </w:r>
      <w:r>
        <w:rPr>
          <w:w w:val="105"/>
        </w:rPr>
        <w:t>the</w:t>
      </w:r>
      <w:r>
        <w:rPr>
          <w:spacing w:val="-3"/>
          <w:w w:val="105"/>
        </w:rPr>
        <w:t> </w:t>
      </w:r>
      <w:r>
        <w:rPr>
          <w:w w:val="105"/>
        </w:rPr>
        <w:t>amount</w:t>
      </w:r>
      <w:r>
        <w:rPr>
          <w:spacing w:val="-3"/>
          <w:w w:val="105"/>
        </w:rPr>
        <w:t> </w:t>
      </w:r>
      <w:r>
        <w:rPr>
          <w:w w:val="105"/>
        </w:rPr>
        <w:t>of</w:t>
      </w:r>
      <w:r>
        <w:rPr>
          <w:spacing w:val="-3"/>
          <w:w w:val="105"/>
        </w:rPr>
        <w:t> </w:t>
      </w:r>
      <w:r>
        <w:rPr>
          <w:w w:val="105"/>
        </w:rPr>
        <w:t>equity</w:t>
      </w:r>
      <w:r>
        <w:rPr>
          <w:spacing w:val="-3"/>
          <w:w w:val="105"/>
        </w:rPr>
        <w:t> </w:t>
      </w:r>
      <w:r>
        <w:rPr>
          <w:w w:val="105"/>
        </w:rPr>
        <w:t>subject</w:t>
      </w:r>
      <w:r>
        <w:rPr>
          <w:spacing w:val="-3"/>
          <w:w w:val="105"/>
        </w:rPr>
        <w:t> </w:t>
      </w:r>
      <w:r>
        <w:rPr>
          <w:w w:val="105"/>
        </w:rPr>
        <w:t>to</w:t>
      </w:r>
      <w:r>
        <w:rPr>
          <w:spacing w:val="-3"/>
          <w:w w:val="105"/>
        </w:rPr>
        <w:t> </w:t>
      </w:r>
      <w:r>
        <w:rPr>
          <w:w w:val="105"/>
        </w:rPr>
        <w:t>such</w:t>
      </w:r>
      <w:r>
        <w:rPr>
          <w:spacing w:val="-3"/>
          <w:w w:val="105"/>
        </w:rPr>
        <w:t> </w:t>
      </w:r>
      <w:r>
        <w:rPr>
          <w:w w:val="105"/>
        </w:rPr>
        <w:t>restrictions</w:t>
      </w:r>
      <w:r>
        <w:rPr>
          <w:spacing w:val="-3"/>
          <w:w w:val="105"/>
        </w:rPr>
        <w:t> </w:t>
      </w:r>
      <w:r>
        <w:rPr>
          <w:w w:val="105"/>
        </w:rPr>
        <w:t>for</w:t>
      </w:r>
      <w:r>
        <w:rPr>
          <w:spacing w:val="-1"/>
          <w:w w:val="105"/>
        </w:rPr>
        <w:t> </w:t>
      </w:r>
      <w:r>
        <w:rPr>
          <w:w w:val="105"/>
        </w:rPr>
        <w:t>consolidated</w:t>
      </w:r>
      <w:r>
        <w:rPr>
          <w:spacing w:val="-3"/>
          <w:w w:val="105"/>
        </w:rPr>
        <w:t> </w:t>
      </w:r>
      <w:r>
        <w:rPr>
          <w:w w:val="105"/>
        </w:rPr>
        <w:t>subsidiaries</w:t>
      </w:r>
      <w:r>
        <w:rPr>
          <w:spacing w:val="-3"/>
          <w:w w:val="105"/>
        </w:rPr>
        <w:t> </w:t>
      </w:r>
      <w:r>
        <w:rPr>
          <w:w w:val="105"/>
        </w:rPr>
        <w:t>and</w:t>
      </w:r>
      <w:r>
        <w:rPr>
          <w:spacing w:val="-1"/>
          <w:w w:val="105"/>
        </w:rPr>
        <w:t> </w:t>
      </w:r>
      <w:r>
        <w:rPr>
          <w:w w:val="105"/>
        </w:rPr>
        <w:t>affiliated</w:t>
      </w:r>
      <w:r>
        <w:rPr>
          <w:spacing w:val="-3"/>
          <w:w w:val="105"/>
        </w:rPr>
        <w:t> </w:t>
      </w:r>
      <w:r>
        <w:rPr>
          <w:w w:val="105"/>
        </w:rPr>
        <w:t>companies</w:t>
      </w:r>
      <w:r>
        <w:rPr>
          <w:spacing w:val="-3"/>
          <w:w w:val="105"/>
        </w:rPr>
        <w:t> </w:t>
      </w:r>
      <w:r>
        <w:rPr>
          <w:w w:val="105"/>
        </w:rPr>
        <w:t>was</w:t>
      </w:r>
      <w:r>
        <w:rPr>
          <w:spacing w:val="-3"/>
          <w:w w:val="105"/>
        </w:rPr>
        <w:t> </w:t>
      </w:r>
      <w:r>
        <w:rPr>
          <w:w w:val="105"/>
        </w:rPr>
        <w:t>not</w:t>
      </w:r>
      <w:r>
        <w:rPr>
          <w:spacing w:val="-3"/>
          <w:w w:val="105"/>
        </w:rPr>
        <w:t> </w:t>
      </w:r>
      <w:r>
        <w:rPr>
          <w:w w:val="105"/>
        </w:rPr>
        <w:t>significant.</w:t>
      </w:r>
      <w:r>
        <w:rPr>
          <w:spacing w:val="-3"/>
          <w:w w:val="105"/>
        </w:rPr>
        <w:t> </w:t>
      </w:r>
      <w:r>
        <w:rPr>
          <w:w w:val="105"/>
        </w:rPr>
        <w:t>While</w:t>
      </w:r>
      <w:r>
        <w:rPr>
          <w:spacing w:val="-3"/>
          <w:w w:val="105"/>
        </w:rPr>
        <w:t> </w:t>
      </w:r>
      <w:r>
        <w:rPr>
          <w:w w:val="105"/>
        </w:rPr>
        <w:t>this amount</w:t>
      </w:r>
      <w:r>
        <w:rPr>
          <w:spacing w:val="-2"/>
          <w:w w:val="105"/>
        </w:rPr>
        <w:t> </w:t>
      </w:r>
      <w:r>
        <w:rPr>
          <w:w w:val="105"/>
        </w:rPr>
        <w:t>is</w:t>
      </w:r>
      <w:r>
        <w:rPr>
          <w:spacing w:val="-2"/>
          <w:w w:val="105"/>
        </w:rPr>
        <w:t> </w:t>
      </w:r>
      <w:r>
        <w:rPr>
          <w:w w:val="105"/>
        </w:rPr>
        <w:t>legally</w:t>
      </w:r>
      <w:r>
        <w:rPr>
          <w:spacing w:val="-2"/>
          <w:w w:val="105"/>
        </w:rPr>
        <w:t> </w:t>
      </w:r>
      <w:r>
        <w:rPr>
          <w:w w:val="105"/>
        </w:rPr>
        <w:t>restricted,</w:t>
      </w:r>
      <w:r>
        <w:rPr>
          <w:spacing w:val="-2"/>
          <w:w w:val="105"/>
        </w:rPr>
        <w:t> </w:t>
      </w:r>
      <w:r>
        <w:rPr>
          <w:w w:val="105"/>
        </w:rPr>
        <w:t>it</w:t>
      </w:r>
      <w:r>
        <w:rPr>
          <w:spacing w:val="-2"/>
          <w:w w:val="105"/>
        </w:rPr>
        <w:t> </w:t>
      </w:r>
      <w:r>
        <w:rPr>
          <w:w w:val="105"/>
        </w:rPr>
        <w:t>does</w:t>
      </w:r>
      <w:r>
        <w:rPr>
          <w:spacing w:val="-1"/>
          <w:w w:val="105"/>
        </w:rPr>
        <w:t> </w:t>
      </w:r>
      <w:r>
        <w:rPr>
          <w:w w:val="105"/>
        </w:rPr>
        <w:t>not</w:t>
      </w:r>
      <w:r>
        <w:rPr>
          <w:spacing w:val="-2"/>
          <w:w w:val="105"/>
        </w:rPr>
        <w:t> </w:t>
      </w:r>
      <w:r>
        <w:rPr>
          <w:w w:val="105"/>
        </w:rPr>
        <w:t>result</w:t>
      </w:r>
      <w:r>
        <w:rPr>
          <w:spacing w:val="-2"/>
          <w:w w:val="105"/>
        </w:rPr>
        <w:t> </w:t>
      </w:r>
      <w:r>
        <w:rPr>
          <w:w w:val="105"/>
        </w:rPr>
        <w:t>in</w:t>
      </w:r>
      <w:r>
        <w:rPr>
          <w:spacing w:val="-2"/>
          <w:w w:val="105"/>
        </w:rPr>
        <w:t> </w:t>
      </w:r>
      <w:r>
        <w:rPr>
          <w:w w:val="105"/>
        </w:rPr>
        <w:t>operational</w:t>
      </w:r>
      <w:r>
        <w:rPr>
          <w:spacing w:val="-2"/>
          <w:w w:val="105"/>
        </w:rPr>
        <w:t> </w:t>
      </w:r>
      <w:r>
        <w:rPr>
          <w:w w:val="105"/>
        </w:rPr>
        <w:t>difficulties</w:t>
      </w:r>
      <w:r>
        <w:rPr>
          <w:spacing w:val="-2"/>
          <w:w w:val="105"/>
        </w:rPr>
        <w:t> </w:t>
      </w:r>
      <w:r>
        <w:rPr>
          <w:w w:val="105"/>
        </w:rPr>
        <w:t>since</w:t>
      </w:r>
      <w:r>
        <w:rPr>
          <w:spacing w:val="-2"/>
          <w:w w:val="105"/>
        </w:rPr>
        <w:t> </w:t>
      </w:r>
      <w:r>
        <w:rPr>
          <w:w w:val="105"/>
        </w:rPr>
        <w:t>the</w:t>
      </w:r>
      <w:r>
        <w:rPr>
          <w:spacing w:val="-2"/>
          <w:w w:val="105"/>
        </w:rPr>
        <w:t> </w:t>
      </w:r>
      <w:r>
        <w:rPr>
          <w:w w:val="105"/>
        </w:rPr>
        <w:t>Company</w:t>
      </w:r>
      <w:r>
        <w:rPr>
          <w:spacing w:val="-2"/>
          <w:w w:val="105"/>
        </w:rPr>
        <w:t> </w:t>
      </w:r>
      <w:r>
        <w:rPr>
          <w:w w:val="105"/>
        </w:rPr>
        <w:t>has</w:t>
      </w:r>
      <w:r>
        <w:rPr>
          <w:spacing w:val="-2"/>
          <w:w w:val="105"/>
        </w:rPr>
        <w:t> </w:t>
      </w:r>
      <w:r>
        <w:rPr>
          <w:w w:val="105"/>
        </w:rPr>
        <w:t>generally</w:t>
      </w:r>
      <w:r>
        <w:rPr>
          <w:spacing w:val="-2"/>
          <w:w w:val="105"/>
        </w:rPr>
        <w:t> </w:t>
      </w:r>
      <w:r>
        <w:rPr>
          <w:w w:val="105"/>
        </w:rPr>
        <w:t>permitted</w:t>
      </w:r>
      <w:r>
        <w:rPr>
          <w:spacing w:val="-2"/>
          <w:w w:val="105"/>
        </w:rPr>
        <w:t> </w:t>
      </w:r>
      <w:r>
        <w:rPr>
          <w:w w:val="105"/>
        </w:rPr>
        <w:t>subsidiaries</w:t>
      </w:r>
      <w:r>
        <w:rPr>
          <w:spacing w:val="-2"/>
          <w:w w:val="105"/>
        </w:rPr>
        <w:t> </w:t>
      </w:r>
      <w:r>
        <w:rPr>
          <w:w w:val="105"/>
        </w:rPr>
        <w:t>to</w:t>
      </w:r>
      <w:r>
        <w:rPr>
          <w:spacing w:val="-2"/>
          <w:w w:val="105"/>
        </w:rPr>
        <w:t> </w:t>
      </w:r>
      <w:r>
        <w:rPr>
          <w:w w:val="105"/>
        </w:rPr>
        <w:t>retain</w:t>
      </w:r>
      <w:r>
        <w:rPr>
          <w:spacing w:val="-2"/>
          <w:w w:val="105"/>
        </w:rPr>
        <w:t> </w:t>
      </w:r>
      <w:r>
        <w:rPr>
          <w:w w:val="105"/>
        </w:rPr>
        <w:t>a</w:t>
      </w:r>
      <w:r>
        <w:rPr>
          <w:spacing w:val="-2"/>
          <w:w w:val="105"/>
        </w:rPr>
        <w:t> </w:t>
      </w:r>
      <w:r>
        <w:rPr>
          <w:w w:val="105"/>
        </w:rPr>
        <w:t>majority</w:t>
      </w:r>
      <w:r>
        <w:rPr>
          <w:spacing w:val="-2"/>
          <w:w w:val="105"/>
        </w:rPr>
        <w:t> </w:t>
      </w:r>
      <w:r>
        <w:rPr>
          <w:w w:val="105"/>
        </w:rPr>
        <w:t>of</w:t>
      </w:r>
      <w:r>
        <w:rPr>
          <w:spacing w:val="-2"/>
          <w:w w:val="105"/>
        </w:rPr>
        <w:t> </w:t>
      </w:r>
      <w:r>
        <w:rPr>
          <w:w w:val="105"/>
        </w:rPr>
        <w:t>equity to</w:t>
      </w:r>
      <w:r>
        <w:rPr>
          <w:spacing w:val="-2"/>
          <w:w w:val="105"/>
        </w:rPr>
        <w:t> </w:t>
      </w:r>
      <w:r>
        <w:rPr>
          <w:w w:val="105"/>
        </w:rPr>
        <w:t>support growth</w:t>
      </w:r>
      <w:r>
        <w:rPr>
          <w:spacing w:val="-1"/>
          <w:w w:val="105"/>
        </w:rPr>
        <w:t> </w:t>
      </w:r>
      <w:r>
        <w:rPr>
          <w:w w:val="105"/>
        </w:rPr>
        <w:t>programs.</w:t>
      </w:r>
    </w:p>
    <w:p>
      <w:pPr>
        <w:pStyle w:val="BodyText"/>
        <w:spacing w:before="18"/>
      </w:pPr>
    </w:p>
    <w:p>
      <w:pPr>
        <w:pStyle w:val="BodyText"/>
        <w:spacing w:line="266" w:lineRule="auto" w:before="1"/>
        <w:ind w:left="156"/>
      </w:pPr>
      <w:r>
        <w:rPr>
          <w:w w:val="105"/>
        </w:rPr>
        <w:t>Corning</w:t>
      </w:r>
      <w:r>
        <w:rPr>
          <w:spacing w:val="-7"/>
          <w:w w:val="105"/>
        </w:rPr>
        <w:t> </w:t>
      </w:r>
      <w:r>
        <w:rPr>
          <w:w w:val="105"/>
        </w:rPr>
        <w:t>is</w:t>
      </w:r>
      <w:r>
        <w:rPr>
          <w:spacing w:val="-7"/>
          <w:w w:val="105"/>
        </w:rPr>
        <w:t> </w:t>
      </w:r>
      <w:r>
        <w:rPr>
          <w:w w:val="105"/>
        </w:rPr>
        <w:t>a</w:t>
      </w:r>
      <w:r>
        <w:rPr>
          <w:spacing w:val="-7"/>
          <w:w w:val="105"/>
        </w:rPr>
        <w:t> </w:t>
      </w:r>
      <w:r>
        <w:rPr>
          <w:w w:val="105"/>
        </w:rPr>
        <w:t>defendant</w:t>
      </w:r>
      <w:r>
        <w:rPr>
          <w:spacing w:val="-7"/>
          <w:w w:val="105"/>
        </w:rPr>
        <w:t> </w:t>
      </w:r>
      <w:r>
        <w:rPr>
          <w:w w:val="105"/>
        </w:rPr>
        <w:t>in</w:t>
      </w:r>
      <w:r>
        <w:rPr>
          <w:spacing w:val="-7"/>
          <w:w w:val="105"/>
        </w:rPr>
        <w:t> </w:t>
      </w:r>
      <w:r>
        <w:rPr>
          <w:w w:val="105"/>
        </w:rPr>
        <w:t>various</w:t>
      </w:r>
      <w:r>
        <w:rPr>
          <w:spacing w:val="-6"/>
          <w:w w:val="105"/>
        </w:rPr>
        <w:t> </w:t>
      </w:r>
      <w:r>
        <w:rPr>
          <w:w w:val="105"/>
        </w:rPr>
        <w:t>lawsuits</w:t>
      </w:r>
      <w:r>
        <w:rPr>
          <w:spacing w:val="-7"/>
          <w:w w:val="105"/>
        </w:rPr>
        <w:t> </w:t>
      </w:r>
      <w:r>
        <w:rPr>
          <w:w w:val="105"/>
        </w:rPr>
        <w:t>and</w:t>
      </w:r>
      <w:r>
        <w:rPr>
          <w:spacing w:val="-7"/>
          <w:w w:val="105"/>
        </w:rPr>
        <w:t> </w:t>
      </w:r>
      <w:r>
        <w:rPr>
          <w:w w:val="105"/>
        </w:rPr>
        <w:t>is</w:t>
      </w:r>
      <w:r>
        <w:rPr>
          <w:spacing w:val="-7"/>
          <w:w w:val="105"/>
        </w:rPr>
        <w:t> </w:t>
      </w:r>
      <w:r>
        <w:rPr>
          <w:w w:val="105"/>
        </w:rPr>
        <w:t>subject</w:t>
      </w:r>
      <w:r>
        <w:rPr>
          <w:spacing w:val="-7"/>
          <w:w w:val="105"/>
        </w:rPr>
        <w:t> </w:t>
      </w:r>
      <w:r>
        <w:rPr>
          <w:w w:val="105"/>
        </w:rPr>
        <w:t>to</w:t>
      </w:r>
      <w:r>
        <w:rPr>
          <w:spacing w:val="-7"/>
          <w:w w:val="105"/>
        </w:rPr>
        <w:t> </w:t>
      </w:r>
      <w:r>
        <w:rPr>
          <w:w w:val="105"/>
        </w:rPr>
        <w:t>various</w:t>
      </w:r>
      <w:r>
        <w:rPr>
          <w:spacing w:val="-6"/>
          <w:w w:val="105"/>
        </w:rPr>
        <w:t> </w:t>
      </w:r>
      <w:r>
        <w:rPr>
          <w:w w:val="105"/>
        </w:rPr>
        <w:t>claims</w:t>
      </w:r>
      <w:r>
        <w:rPr>
          <w:spacing w:val="-7"/>
          <w:w w:val="105"/>
        </w:rPr>
        <w:t> </w:t>
      </w:r>
      <w:r>
        <w:rPr>
          <w:w w:val="105"/>
        </w:rPr>
        <w:t>that</w:t>
      </w:r>
      <w:r>
        <w:rPr>
          <w:spacing w:val="-7"/>
          <w:w w:val="105"/>
        </w:rPr>
        <w:t> </w:t>
      </w:r>
      <w:r>
        <w:rPr>
          <w:w w:val="105"/>
        </w:rPr>
        <w:t>arise</w:t>
      </w:r>
      <w:r>
        <w:rPr>
          <w:spacing w:val="-7"/>
          <w:w w:val="105"/>
        </w:rPr>
        <w:t> </w:t>
      </w:r>
      <w:r>
        <w:rPr>
          <w:w w:val="105"/>
        </w:rPr>
        <w:t>in</w:t>
      </w:r>
      <w:r>
        <w:rPr>
          <w:spacing w:val="-6"/>
          <w:w w:val="105"/>
        </w:rPr>
        <w:t> </w:t>
      </w:r>
      <w:r>
        <w:rPr>
          <w:w w:val="105"/>
        </w:rPr>
        <w:t>the</w:t>
      </w:r>
      <w:r>
        <w:rPr>
          <w:spacing w:val="-7"/>
          <w:w w:val="105"/>
        </w:rPr>
        <w:t> </w:t>
      </w:r>
      <w:r>
        <w:rPr>
          <w:w w:val="105"/>
        </w:rPr>
        <w:t>normal</w:t>
      </w:r>
      <w:r>
        <w:rPr>
          <w:spacing w:val="-7"/>
          <w:w w:val="105"/>
        </w:rPr>
        <w:t> </w:t>
      </w:r>
      <w:r>
        <w:rPr>
          <w:w w:val="105"/>
        </w:rPr>
        <w:t>course</w:t>
      </w:r>
      <w:r>
        <w:rPr>
          <w:spacing w:val="-7"/>
          <w:w w:val="105"/>
        </w:rPr>
        <w:t> </w:t>
      </w:r>
      <w:r>
        <w:rPr>
          <w:w w:val="105"/>
        </w:rPr>
        <w:t>of</w:t>
      </w:r>
      <w:r>
        <w:rPr>
          <w:spacing w:val="-7"/>
          <w:w w:val="105"/>
        </w:rPr>
        <w:t> </w:t>
      </w:r>
      <w:r>
        <w:rPr>
          <w:w w:val="105"/>
        </w:rPr>
        <w:t>business,</w:t>
      </w:r>
      <w:r>
        <w:rPr>
          <w:spacing w:val="-7"/>
          <w:w w:val="105"/>
        </w:rPr>
        <w:t> </w:t>
      </w:r>
      <w:r>
        <w:rPr>
          <w:w w:val="105"/>
        </w:rPr>
        <w:t>the</w:t>
      </w:r>
      <w:r>
        <w:rPr>
          <w:spacing w:val="-7"/>
          <w:w w:val="105"/>
        </w:rPr>
        <w:t> </w:t>
      </w:r>
      <w:r>
        <w:rPr>
          <w:w w:val="105"/>
        </w:rPr>
        <w:t>most</w:t>
      </w:r>
      <w:r>
        <w:rPr>
          <w:spacing w:val="-7"/>
          <w:w w:val="105"/>
        </w:rPr>
        <w:t> </w:t>
      </w:r>
      <w:r>
        <w:rPr>
          <w:w w:val="105"/>
        </w:rPr>
        <w:t>significant</w:t>
      </w:r>
      <w:r>
        <w:rPr>
          <w:spacing w:val="-7"/>
          <w:w w:val="105"/>
        </w:rPr>
        <w:t> </w:t>
      </w:r>
      <w:r>
        <w:rPr>
          <w:w w:val="105"/>
        </w:rPr>
        <w:t>of</w:t>
      </w:r>
      <w:r>
        <w:rPr>
          <w:spacing w:val="-7"/>
          <w:w w:val="105"/>
        </w:rPr>
        <w:t> </w:t>
      </w:r>
      <w:r>
        <w:rPr>
          <w:w w:val="105"/>
        </w:rPr>
        <w:t>which</w:t>
      </w:r>
      <w:r>
        <w:rPr>
          <w:spacing w:val="-7"/>
          <w:w w:val="105"/>
        </w:rPr>
        <w:t> </w:t>
      </w:r>
      <w:r>
        <w:rPr>
          <w:w w:val="105"/>
        </w:rPr>
        <w:t>are</w:t>
      </w:r>
      <w:r>
        <w:rPr>
          <w:spacing w:val="-7"/>
          <w:w w:val="105"/>
        </w:rPr>
        <w:t> </w:t>
      </w:r>
      <w:r>
        <w:rPr>
          <w:w w:val="105"/>
        </w:rPr>
        <w:t>summarized</w:t>
      </w:r>
      <w:r>
        <w:rPr>
          <w:spacing w:val="-7"/>
          <w:w w:val="105"/>
        </w:rPr>
        <w:t> </w:t>
      </w:r>
      <w:r>
        <w:rPr>
          <w:w w:val="105"/>
        </w:rPr>
        <w:t>below.</w:t>
      </w:r>
      <w:r>
        <w:rPr>
          <w:spacing w:val="-7"/>
          <w:w w:val="105"/>
        </w:rPr>
        <w:t> </w:t>
      </w:r>
      <w:r>
        <w:rPr>
          <w:w w:val="105"/>
        </w:rPr>
        <w:t>In the</w:t>
      </w:r>
      <w:r>
        <w:rPr>
          <w:spacing w:val="-2"/>
          <w:w w:val="105"/>
        </w:rPr>
        <w:t> </w:t>
      </w:r>
      <w:r>
        <w:rPr>
          <w:w w:val="105"/>
        </w:rPr>
        <w:t>opinion</w:t>
      </w:r>
      <w:r>
        <w:rPr>
          <w:spacing w:val="-2"/>
          <w:w w:val="105"/>
        </w:rPr>
        <w:t> </w:t>
      </w:r>
      <w:r>
        <w:rPr>
          <w:w w:val="105"/>
        </w:rPr>
        <w:t>of</w:t>
      </w:r>
      <w:r>
        <w:rPr>
          <w:spacing w:val="-2"/>
          <w:w w:val="105"/>
        </w:rPr>
        <w:t> </w:t>
      </w:r>
      <w:r>
        <w:rPr>
          <w:w w:val="105"/>
        </w:rPr>
        <w:t>management, the</w:t>
      </w:r>
      <w:r>
        <w:rPr>
          <w:spacing w:val="-2"/>
          <w:w w:val="105"/>
        </w:rPr>
        <w:t> </w:t>
      </w:r>
      <w:r>
        <w:rPr>
          <w:w w:val="105"/>
        </w:rPr>
        <w:t>likelihood</w:t>
      </w:r>
      <w:r>
        <w:rPr>
          <w:spacing w:val="-2"/>
          <w:w w:val="105"/>
        </w:rPr>
        <w:t> </w:t>
      </w:r>
      <w:r>
        <w:rPr>
          <w:w w:val="105"/>
        </w:rPr>
        <w:t>that</w:t>
      </w:r>
      <w:r>
        <w:rPr>
          <w:spacing w:val="-2"/>
          <w:w w:val="105"/>
        </w:rPr>
        <w:t> </w:t>
      </w:r>
      <w:r>
        <w:rPr>
          <w:w w:val="105"/>
        </w:rPr>
        <w:t>the</w:t>
      </w:r>
      <w:r>
        <w:rPr>
          <w:spacing w:val="-2"/>
          <w:w w:val="105"/>
        </w:rPr>
        <w:t> </w:t>
      </w:r>
      <w:r>
        <w:rPr>
          <w:w w:val="105"/>
        </w:rPr>
        <w:t>ultimate</w:t>
      </w:r>
      <w:r>
        <w:rPr>
          <w:spacing w:val="-2"/>
          <w:w w:val="105"/>
        </w:rPr>
        <w:t> </w:t>
      </w:r>
      <w:r>
        <w:rPr>
          <w:w w:val="105"/>
        </w:rPr>
        <w:t>disposition</w:t>
      </w:r>
      <w:r>
        <w:rPr>
          <w:spacing w:val="-2"/>
          <w:w w:val="105"/>
        </w:rPr>
        <w:t> </w:t>
      </w:r>
      <w:r>
        <w:rPr>
          <w:w w:val="105"/>
        </w:rPr>
        <w:t>of</w:t>
      </w:r>
      <w:r>
        <w:rPr>
          <w:spacing w:val="-2"/>
          <w:w w:val="105"/>
        </w:rPr>
        <w:t> </w:t>
      </w:r>
      <w:r>
        <w:rPr>
          <w:w w:val="105"/>
        </w:rPr>
        <w:t>these</w:t>
      </w:r>
      <w:r>
        <w:rPr>
          <w:spacing w:val="-2"/>
          <w:w w:val="105"/>
        </w:rPr>
        <w:t> </w:t>
      </w:r>
      <w:r>
        <w:rPr>
          <w:w w:val="105"/>
        </w:rPr>
        <w:t>matters</w:t>
      </w:r>
      <w:r>
        <w:rPr>
          <w:spacing w:val="-2"/>
          <w:w w:val="105"/>
        </w:rPr>
        <w:t> </w:t>
      </w:r>
      <w:r>
        <w:rPr>
          <w:w w:val="105"/>
        </w:rPr>
        <w:t>will</w:t>
      </w:r>
      <w:r>
        <w:rPr>
          <w:spacing w:val="-2"/>
          <w:w w:val="105"/>
        </w:rPr>
        <w:t> </w:t>
      </w:r>
      <w:r>
        <w:rPr>
          <w:w w:val="105"/>
        </w:rPr>
        <w:t>have</w:t>
      </w:r>
      <w:r>
        <w:rPr>
          <w:spacing w:val="-2"/>
          <w:w w:val="105"/>
        </w:rPr>
        <w:t> </w:t>
      </w:r>
      <w:r>
        <w:rPr>
          <w:w w:val="105"/>
        </w:rPr>
        <w:t>a</w:t>
      </w:r>
      <w:r>
        <w:rPr>
          <w:spacing w:val="-2"/>
          <w:w w:val="105"/>
        </w:rPr>
        <w:t> </w:t>
      </w:r>
      <w:r>
        <w:rPr>
          <w:w w:val="105"/>
        </w:rPr>
        <w:t>material</w:t>
      </w:r>
      <w:r>
        <w:rPr>
          <w:spacing w:val="-2"/>
          <w:w w:val="105"/>
        </w:rPr>
        <w:t> </w:t>
      </w:r>
      <w:r>
        <w:rPr>
          <w:w w:val="105"/>
        </w:rPr>
        <w:t>adverse</w:t>
      </w:r>
      <w:r>
        <w:rPr>
          <w:spacing w:val="-2"/>
          <w:w w:val="105"/>
        </w:rPr>
        <w:t> </w:t>
      </w:r>
      <w:r>
        <w:rPr>
          <w:w w:val="105"/>
        </w:rPr>
        <w:t>effect</w:t>
      </w:r>
      <w:r>
        <w:rPr>
          <w:spacing w:val="-2"/>
          <w:w w:val="105"/>
        </w:rPr>
        <w:t> </w:t>
      </w:r>
      <w:r>
        <w:rPr>
          <w:w w:val="105"/>
        </w:rPr>
        <w:t>on</w:t>
      </w:r>
      <w:r>
        <w:rPr>
          <w:spacing w:val="-2"/>
          <w:w w:val="105"/>
        </w:rPr>
        <w:t> </w:t>
      </w:r>
      <w:r>
        <w:rPr>
          <w:w w:val="105"/>
        </w:rPr>
        <w:t>Corning’s</w:t>
      </w:r>
      <w:r>
        <w:rPr>
          <w:spacing w:val="-2"/>
          <w:w w:val="105"/>
        </w:rPr>
        <w:t> </w:t>
      </w:r>
      <w:r>
        <w:rPr>
          <w:w w:val="105"/>
        </w:rPr>
        <w:t>consolidated</w:t>
      </w:r>
      <w:r>
        <w:rPr>
          <w:spacing w:val="-2"/>
          <w:w w:val="105"/>
        </w:rPr>
        <w:t> </w:t>
      </w:r>
      <w:r>
        <w:rPr>
          <w:w w:val="105"/>
        </w:rPr>
        <w:t>financial</w:t>
      </w:r>
      <w:r>
        <w:rPr>
          <w:spacing w:val="-2"/>
          <w:w w:val="105"/>
        </w:rPr>
        <w:t> </w:t>
      </w:r>
      <w:r>
        <w:rPr>
          <w:w w:val="105"/>
        </w:rPr>
        <w:t>position, liquidity, or results of operations, is remote.</w:t>
      </w:r>
    </w:p>
    <w:p>
      <w:pPr>
        <w:pStyle w:val="BodyText"/>
        <w:spacing w:before="18"/>
      </w:pPr>
    </w:p>
    <w:p>
      <w:pPr>
        <w:pStyle w:val="BodyText"/>
        <w:ind w:left="48"/>
        <w:jc w:val="center"/>
      </w:pPr>
      <w:r>
        <w:rPr>
          <w:spacing w:val="-5"/>
          <w:w w:val="105"/>
        </w:rPr>
        <w:t>100</w:t>
      </w:r>
    </w:p>
    <w:p>
      <w:pPr>
        <w:pStyle w:val="BodyText"/>
        <w:rPr>
          <w:sz w:val="6"/>
        </w:rPr>
      </w:pPr>
      <w:r>
        <w:rPr/>
        <mc:AlternateContent>
          <mc:Choice Requires="wps">
            <w:drawing>
              <wp:anchor distT="0" distB="0" distL="0" distR="0" allowOverlap="1" layoutInCell="1" locked="0" behindDoc="1" simplePos="0" relativeHeight="487727104">
                <wp:simplePos x="0" y="0"/>
                <wp:positionH relativeFrom="page">
                  <wp:posOffset>226488</wp:posOffset>
                </wp:positionH>
                <wp:positionV relativeFrom="paragraph">
                  <wp:posOffset>59051</wp:posOffset>
                </wp:positionV>
                <wp:extent cx="7312659" cy="16510"/>
                <wp:effectExtent l="0" t="0" r="0" b="0"/>
                <wp:wrapTopAndBottom/>
                <wp:docPr id="627" name="Graphic 627"/>
                <wp:cNvGraphicFramePr>
                  <a:graphicFrameLocks/>
                </wp:cNvGraphicFramePr>
                <a:graphic>
                  <a:graphicData uri="http://schemas.microsoft.com/office/word/2010/wordprocessingShape">
                    <wps:wsp>
                      <wps:cNvPr id="627" name="Graphic 62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589376;mso-wrap-distance-left:0;mso-wrap-distance-right:0" id="docshape626"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numPr>
          <w:ilvl w:val="0"/>
          <w:numId w:val="50"/>
        </w:numPr>
        <w:tabs>
          <w:tab w:pos="445" w:val="left" w:leader="none"/>
        </w:tabs>
        <w:spacing w:line="240" w:lineRule="auto" w:before="0" w:after="0"/>
        <w:ind w:left="445" w:right="0" w:hanging="289"/>
        <w:jc w:val="left"/>
      </w:pPr>
      <w:r>
        <w:rPr/>
        <w:t>Commitments,</w:t>
      </w:r>
      <w:r>
        <w:rPr>
          <w:spacing w:val="17"/>
        </w:rPr>
        <w:t> </w:t>
      </w:r>
      <w:r>
        <w:rPr/>
        <w:t>Contingencies</w:t>
      </w:r>
      <w:r>
        <w:rPr>
          <w:spacing w:val="18"/>
        </w:rPr>
        <w:t> </w:t>
      </w:r>
      <w:r>
        <w:rPr/>
        <w:t>and</w:t>
      </w:r>
      <w:r>
        <w:rPr>
          <w:spacing w:val="18"/>
        </w:rPr>
        <w:t> </w:t>
      </w:r>
      <w:r>
        <w:rPr/>
        <w:t>Guarantees</w:t>
      </w:r>
      <w:r>
        <w:rPr>
          <w:spacing w:val="18"/>
        </w:rPr>
        <w:t> </w:t>
      </w:r>
      <w:r>
        <w:rPr>
          <w:spacing w:val="-2"/>
        </w:rPr>
        <w:t>(Continued)</w:t>
      </w:r>
    </w:p>
    <w:p>
      <w:pPr>
        <w:pStyle w:val="BodyText"/>
        <w:spacing w:before="40"/>
        <w:rPr>
          <w:b/>
        </w:rPr>
      </w:pPr>
    </w:p>
    <w:p>
      <w:pPr>
        <w:pStyle w:val="Heading3"/>
      </w:pPr>
      <w:r>
        <w:rPr>
          <w:spacing w:val="-2"/>
          <w:w w:val="105"/>
        </w:rPr>
        <w:t>Dow</w:t>
      </w:r>
      <w:r>
        <w:rPr>
          <w:w w:val="105"/>
        </w:rPr>
        <w:t> </w:t>
      </w:r>
      <w:r>
        <w:rPr>
          <w:spacing w:val="-2"/>
          <w:w w:val="105"/>
        </w:rPr>
        <w:t>Corning</w:t>
      </w:r>
      <w:r>
        <w:rPr>
          <w:w w:val="105"/>
        </w:rPr>
        <w:t> </w:t>
      </w:r>
      <w:r>
        <w:rPr>
          <w:spacing w:val="-2"/>
          <w:w w:val="105"/>
        </w:rPr>
        <w:t>Chapter</w:t>
      </w:r>
      <w:r>
        <w:rPr>
          <w:spacing w:val="-1"/>
          <w:w w:val="105"/>
        </w:rPr>
        <w:t> </w:t>
      </w:r>
      <w:r>
        <w:rPr>
          <w:spacing w:val="-2"/>
          <w:w w:val="105"/>
        </w:rPr>
        <w:t>11</w:t>
      </w:r>
      <w:r>
        <w:rPr>
          <w:w w:val="105"/>
        </w:rPr>
        <w:t> </w:t>
      </w:r>
      <w:r>
        <w:rPr>
          <w:spacing w:val="-2"/>
          <w:w w:val="105"/>
        </w:rPr>
        <w:t>Related</w:t>
      </w:r>
      <w:r>
        <w:rPr>
          <w:w w:val="105"/>
        </w:rPr>
        <w:t> </w:t>
      </w:r>
      <w:r>
        <w:rPr>
          <w:spacing w:val="-2"/>
          <w:w w:val="105"/>
        </w:rPr>
        <w:t>Matters</w:t>
      </w:r>
    </w:p>
    <w:p>
      <w:pPr>
        <w:pStyle w:val="BodyText"/>
        <w:spacing w:before="39"/>
        <w:rPr>
          <w:b/>
          <w:i/>
        </w:rPr>
      </w:pPr>
    </w:p>
    <w:p>
      <w:pPr>
        <w:pStyle w:val="BodyText"/>
        <w:spacing w:line="266" w:lineRule="auto"/>
        <w:ind w:left="156"/>
      </w:pPr>
      <w:r>
        <w:rPr>
          <w:w w:val="105"/>
        </w:rPr>
        <w:t>Until</w:t>
      </w:r>
      <w:r>
        <w:rPr>
          <w:spacing w:val="-7"/>
          <w:w w:val="105"/>
        </w:rPr>
        <w:t> </w:t>
      </w:r>
      <w:r>
        <w:rPr>
          <w:w w:val="105"/>
        </w:rPr>
        <w:t>June</w:t>
      </w:r>
      <w:r>
        <w:rPr>
          <w:spacing w:val="-8"/>
          <w:w w:val="105"/>
        </w:rPr>
        <w:t> </w:t>
      </w:r>
      <w:r>
        <w:rPr>
          <w:w w:val="105"/>
        </w:rPr>
        <w:t>1,</w:t>
      </w:r>
      <w:r>
        <w:rPr>
          <w:spacing w:val="-8"/>
          <w:w w:val="105"/>
        </w:rPr>
        <w:t> </w:t>
      </w:r>
      <w:r>
        <w:rPr>
          <w:w w:val="105"/>
        </w:rPr>
        <w:t>2016,</w:t>
      </w:r>
      <w:r>
        <w:rPr>
          <w:spacing w:val="-8"/>
          <w:w w:val="105"/>
        </w:rPr>
        <w:t> </w:t>
      </w:r>
      <w:r>
        <w:rPr>
          <w:w w:val="105"/>
        </w:rPr>
        <w:t>Corning</w:t>
      </w:r>
      <w:r>
        <w:rPr>
          <w:spacing w:val="-8"/>
          <w:w w:val="105"/>
        </w:rPr>
        <w:t> </w:t>
      </w:r>
      <w:r>
        <w:rPr>
          <w:w w:val="105"/>
        </w:rPr>
        <w:t>and</w:t>
      </w:r>
      <w:r>
        <w:rPr>
          <w:spacing w:val="-8"/>
          <w:w w:val="105"/>
        </w:rPr>
        <w:t> </w:t>
      </w:r>
      <w:r>
        <w:rPr>
          <w:w w:val="105"/>
        </w:rPr>
        <w:t>The</w:t>
      </w:r>
      <w:r>
        <w:rPr>
          <w:spacing w:val="-8"/>
          <w:w w:val="105"/>
        </w:rPr>
        <w:t> </w:t>
      </w:r>
      <w:r>
        <w:rPr>
          <w:w w:val="105"/>
        </w:rPr>
        <w:t>Dow</w:t>
      </w:r>
      <w:r>
        <w:rPr>
          <w:spacing w:val="-8"/>
          <w:w w:val="105"/>
        </w:rPr>
        <w:t> </w:t>
      </w:r>
      <w:r>
        <w:rPr>
          <w:w w:val="105"/>
        </w:rPr>
        <w:t>Chemical</w:t>
      </w:r>
      <w:r>
        <w:rPr>
          <w:spacing w:val="-8"/>
          <w:w w:val="105"/>
        </w:rPr>
        <w:t> </w:t>
      </w:r>
      <w:r>
        <w:rPr>
          <w:w w:val="105"/>
        </w:rPr>
        <w:t>Company</w:t>
      </w:r>
      <w:r>
        <w:rPr>
          <w:spacing w:val="-8"/>
          <w:w w:val="105"/>
        </w:rPr>
        <w:t> </w:t>
      </w:r>
      <w:r>
        <w:rPr>
          <w:w w:val="105"/>
        </w:rPr>
        <w:t>(“Dow”)</w:t>
      </w:r>
      <w:r>
        <w:rPr>
          <w:spacing w:val="-8"/>
          <w:w w:val="105"/>
        </w:rPr>
        <w:t> </w:t>
      </w:r>
      <w:r>
        <w:rPr>
          <w:w w:val="105"/>
        </w:rPr>
        <w:t>each</w:t>
      </w:r>
      <w:r>
        <w:rPr>
          <w:spacing w:val="-8"/>
          <w:w w:val="105"/>
        </w:rPr>
        <w:t> </w:t>
      </w:r>
      <w:r>
        <w:rPr>
          <w:w w:val="105"/>
        </w:rPr>
        <w:t>owned</w:t>
      </w:r>
      <w:r>
        <w:rPr>
          <w:spacing w:val="-8"/>
          <w:w w:val="105"/>
        </w:rPr>
        <w:t> </w:t>
      </w:r>
      <w:r>
        <w:rPr>
          <w:w w:val="105"/>
        </w:rPr>
        <w:t>50%</w:t>
      </w:r>
      <w:r>
        <w:rPr>
          <w:spacing w:val="-8"/>
          <w:w w:val="105"/>
        </w:rPr>
        <w:t> </w:t>
      </w:r>
      <w:r>
        <w:rPr>
          <w:w w:val="105"/>
        </w:rPr>
        <w:t>of</w:t>
      </w:r>
      <w:r>
        <w:rPr>
          <w:spacing w:val="-8"/>
          <w:w w:val="105"/>
        </w:rPr>
        <w:t> </w:t>
      </w:r>
      <w:r>
        <w:rPr>
          <w:w w:val="105"/>
        </w:rPr>
        <w:t>the</w:t>
      </w:r>
      <w:r>
        <w:rPr>
          <w:spacing w:val="-8"/>
          <w:w w:val="105"/>
        </w:rPr>
        <w:t> </w:t>
      </w:r>
      <w:r>
        <w:rPr>
          <w:w w:val="105"/>
        </w:rPr>
        <w:t>common</w:t>
      </w:r>
      <w:r>
        <w:rPr>
          <w:spacing w:val="-8"/>
          <w:w w:val="105"/>
        </w:rPr>
        <w:t> </w:t>
      </w:r>
      <w:r>
        <w:rPr>
          <w:w w:val="105"/>
        </w:rPr>
        <w:t>stock</w:t>
      </w:r>
      <w:r>
        <w:rPr>
          <w:spacing w:val="-8"/>
          <w:w w:val="105"/>
        </w:rPr>
        <w:t> </w:t>
      </w:r>
      <w:r>
        <w:rPr>
          <w:w w:val="105"/>
        </w:rPr>
        <w:t>of</w:t>
      </w:r>
      <w:r>
        <w:rPr>
          <w:spacing w:val="-8"/>
          <w:w w:val="105"/>
        </w:rPr>
        <w:t> </w:t>
      </w:r>
      <w:r>
        <w:rPr>
          <w:w w:val="105"/>
        </w:rPr>
        <w:t>Dow</w:t>
      </w:r>
      <w:r>
        <w:rPr>
          <w:spacing w:val="-8"/>
          <w:w w:val="105"/>
        </w:rPr>
        <w:t> </w:t>
      </w:r>
      <w:r>
        <w:rPr>
          <w:w w:val="105"/>
        </w:rPr>
        <w:t>Corning</w:t>
      </w:r>
      <w:r>
        <w:rPr>
          <w:spacing w:val="-8"/>
          <w:w w:val="105"/>
        </w:rPr>
        <w:t> </w:t>
      </w:r>
      <w:r>
        <w:rPr>
          <w:w w:val="105"/>
        </w:rPr>
        <w:t>Corporation</w:t>
      </w:r>
      <w:r>
        <w:rPr>
          <w:spacing w:val="-7"/>
          <w:w w:val="105"/>
        </w:rPr>
        <w:t> </w:t>
      </w:r>
      <w:r>
        <w:rPr>
          <w:w w:val="105"/>
        </w:rPr>
        <w:t>(“Dow</w:t>
      </w:r>
      <w:r>
        <w:rPr>
          <w:spacing w:val="-8"/>
          <w:w w:val="105"/>
        </w:rPr>
        <w:t> </w:t>
      </w:r>
      <w:r>
        <w:rPr>
          <w:w w:val="105"/>
        </w:rPr>
        <w:t>Corning”).</w:t>
      </w:r>
      <w:r>
        <w:rPr>
          <w:spacing w:val="-8"/>
          <w:w w:val="105"/>
        </w:rPr>
        <w:t> </w:t>
      </w:r>
      <w:r>
        <w:rPr>
          <w:w w:val="105"/>
        </w:rPr>
        <w:t>On</w:t>
      </w:r>
      <w:r>
        <w:rPr>
          <w:spacing w:val="-8"/>
          <w:w w:val="105"/>
        </w:rPr>
        <w:t> </w:t>
      </w:r>
      <w:r>
        <w:rPr>
          <w:w w:val="105"/>
        </w:rPr>
        <w:t>May</w:t>
      </w:r>
      <w:r>
        <w:rPr>
          <w:spacing w:val="-8"/>
          <w:w w:val="105"/>
        </w:rPr>
        <w:t> </w:t>
      </w:r>
      <w:r>
        <w:rPr>
          <w:w w:val="105"/>
        </w:rPr>
        <w:t>31, 2016,</w:t>
      </w:r>
      <w:r>
        <w:rPr>
          <w:spacing w:val="-2"/>
          <w:w w:val="105"/>
        </w:rPr>
        <w:t> </w:t>
      </w:r>
      <w:r>
        <w:rPr>
          <w:w w:val="105"/>
        </w:rPr>
        <w:t>Corning</w:t>
      </w:r>
      <w:r>
        <w:rPr>
          <w:spacing w:val="-2"/>
          <w:w w:val="105"/>
        </w:rPr>
        <w:t> </w:t>
      </w:r>
      <w:r>
        <w:rPr>
          <w:w w:val="105"/>
        </w:rPr>
        <w:t>and</w:t>
      </w:r>
      <w:r>
        <w:rPr>
          <w:spacing w:val="-2"/>
          <w:w w:val="105"/>
        </w:rPr>
        <w:t> </w:t>
      </w:r>
      <w:r>
        <w:rPr>
          <w:w w:val="105"/>
        </w:rPr>
        <w:t>Dow</w:t>
      </w:r>
      <w:r>
        <w:rPr>
          <w:spacing w:val="-2"/>
          <w:w w:val="105"/>
        </w:rPr>
        <w:t> </w:t>
      </w:r>
      <w:r>
        <w:rPr>
          <w:w w:val="105"/>
        </w:rPr>
        <w:t>realigned</w:t>
      </w:r>
      <w:r>
        <w:rPr>
          <w:spacing w:val="-2"/>
          <w:w w:val="105"/>
        </w:rPr>
        <w:t> </w:t>
      </w:r>
      <w:r>
        <w:rPr>
          <w:w w:val="105"/>
        </w:rPr>
        <w:t>their</w:t>
      </w:r>
      <w:r>
        <w:rPr>
          <w:spacing w:val="-2"/>
          <w:w w:val="105"/>
        </w:rPr>
        <w:t> </w:t>
      </w:r>
      <w:r>
        <w:rPr>
          <w:w w:val="105"/>
        </w:rPr>
        <w:t>ownership interest</w:t>
      </w:r>
      <w:r>
        <w:rPr>
          <w:spacing w:val="-2"/>
          <w:w w:val="105"/>
        </w:rPr>
        <w:t> </w:t>
      </w:r>
      <w:r>
        <w:rPr>
          <w:w w:val="105"/>
        </w:rPr>
        <w:t>in</w:t>
      </w:r>
      <w:r>
        <w:rPr>
          <w:spacing w:val="-2"/>
          <w:w w:val="105"/>
        </w:rPr>
        <w:t> </w:t>
      </w:r>
      <w:r>
        <w:rPr>
          <w:w w:val="105"/>
        </w:rPr>
        <w:t>Dow</w:t>
      </w:r>
      <w:r>
        <w:rPr>
          <w:spacing w:val="-2"/>
          <w:w w:val="105"/>
        </w:rPr>
        <w:t> </w:t>
      </w:r>
      <w:r>
        <w:rPr>
          <w:w w:val="105"/>
        </w:rPr>
        <w:t>Corning.</w:t>
      </w:r>
      <w:r>
        <w:rPr>
          <w:spacing w:val="-2"/>
          <w:w w:val="105"/>
        </w:rPr>
        <w:t> </w:t>
      </w:r>
      <w:r>
        <w:rPr>
          <w:w w:val="105"/>
        </w:rPr>
        <w:t>Following</w:t>
      </w:r>
      <w:r>
        <w:rPr>
          <w:spacing w:val="-2"/>
          <w:w w:val="105"/>
        </w:rPr>
        <w:t> </w:t>
      </w:r>
      <w:r>
        <w:rPr>
          <w:w w:val="105"/>
        </w:rPr>
        <w:t>the</w:t>
      </w:r>
      <w:r>
        <w:rPr>
          <w:spacing w:val="-2"/>
          <w:w w:val="105"/>
        </w:rPr>
        <w:t> </w:t>
      </w:r>
      <w:r>
        <w:rPr>
          <w:w w:val="105"/>
        </w:rPr>
        <w:t>realignment,</w:t>
      </w:r>
      <w:r>
        <w:rPr>
          <w:spacing w:val="-2"/>
          <w:w w:val="105"/>
        </w:rPr>
        <w:t> </w:t>
      </w:r>
      <w:r>
        <w:rPr>
          <w:w w:val="105"/>
        </w:rPr>
        <w:t>Corning</w:t>
      </w:r>
      <w:r>
        <w:rPr>
          <w:spacing w:val="-2"/>
          <w:w w:val="105"/>
        </w:rPr>
        <w:t> </w:t>
      </w:r>
      <w:r>
        <w:rPr>
          <w:w w:val="105"/>
        </w:rPr>
        <w:t>no</w:t>
      </w:r>
      <w:r>
        <w:rPr>
          <w:spacing w:val="-2"/>
          <w:w w:val="105"/>
        </w:rPr>
        <w:t> </w:t>
      </w:r>
      <w:r>
        <w:rPr>
          <w:w w:val="105"/>
        </w:rPr>
        <w:t>longer</w:t>
      </w:r>
      <w:r>
        <w:rPr>
          <w:spacing w:val="-2"/>
          <w:w w:val="105"/>
        </w:rPr>
        <w:t> </w:t>
      </w:r>
      <w:r>
        <w:rPr>
          <w:w w:val="105"/>
        </w:rPr>
        <w:t>owned</w:t>
      </w:r>
      <w:r>
        <w:rPr>
          <w:spacing w:val="-2"/>
          <w:w w:val="105"/>
        </w:rPr>
        <w:t> </w:t>
      </w:r>
      <w:r>
        <w:rPr>
          <w:w w:val="105"/>
        </w:rPr>
        <w:t>any</w:t>
      </w:r>
      <w:r>
        <w:rPr>
          <w:spacing w:val="-2"/>
          <w:w w:val="105"/>
        </w:rPr>
        <w:t> </w:t>
      </w:r>
      <w:r>
        <w:rPr>
          <w:w w:val="105"/>
        </w:rPr>
        <w:t>interest</w:t>
      </w:r>
      <w:r>
        <w:rPr>
          <w:spacing w:val="-2"/>
          <w:w w:val="105"/>
        </w:rPr>
        <w:t> </w:t>
      </w:r>
      <w:r>
        <w:rPr>
          <w:w w:val="105"/>
        </w:rPr>
        <w:t>in</w:t>
      </w:r>
      <w:r>
        <w:rPr>
          <w:spacing w:val="-2"/>
          <w:w w:val="105"/>
        </w:rPr>
        <w:t> </w:t>
      </w:r>
      <w:r>
        <w:rPr>
          <w:w w:val="105"/>
        </w:rPr>
        <w:t>Dow</w:t>
      </w:r>
      <w:r>
        <w:rPr>
          <w:spacing w:val="-2"/>
          <w:w w:val="105"/>
        </w:rPr>
        <w:t> </w:t>
      </w:r>
      <w:r>
        <w:rPr>
          <w:w w:val="105"/>
        </w:rPr>
        <w:t>Corning.</w:t>
      </w:r>
      <w:r>
        <w:rPr>
          <w:spacing w:val="-2"/>
          <w:w w:val="105"/>
        </w:rPr>
        <w:t> </w:t>
      </w:r>
      <w:r>
        <w:rPr>
          <w:w w:val="105"/>
        </w:rPr>
        <w:t>With</w:t>
      </w:r>
      <w:r>
        <w:rPr>
          <w:spacing w:val="-2"/>
          <w:w w:val="105"/>
        </w:rPr>
        <w:t> </w:t>
      </w:r>
      <w:r>
        <w:rPr>
          <w:w w:val="105"/>
        </w:rPr>
        <w:t>the realignment,</w:t>
      </w:r>
      <w:r>
        <w:rPr>
          <w:spacing w:val="-3"/>
          <w:w w:val="105"/>
        </w:rPr>
        <w:t> </w:t>
      </w:r>
      <w:r>
        <w:rPr>
          <w:w w:val="105"/>
        </w:rPr>
        <w:t>Corning</w:t>
      </w:r>
      <w:r>
        <w:rPr>
          <w:spacing w:val="-3"/>
          <w:w w:val="105"/>
        </w:rPr>
        <w:t> </w:t>
      </w:r>
      <w:r>
        <w:rPr>
          <w:w w:val="105"/>
        </w:rPr>
        <w:t>agreed</w:t>
      </w:r>
      <w:r>
        <w:rPr>
          <w:spacing w:val="-3"/>
          <w:w w:val="105"/>
        </w:rPr>
        <w:t> </w:t>
      </w:r>
      <w:r>
        <w:rPr>
          <w:w w:val="105"/>
        </w:rPr>
        <w:t>to</w:t>
      </w:r>
      <w:r>
        <w:rPr>
          <w:spacing w:val="-3"/>
          <w:w w:val="105"/>
        </w:rPr>
        <w:t> </w:t>
      </w:r>
      <w:r>
        <w:rPr>
          <w:w w:val="105"/>
        </w:rPr>
        <w:t>indemnify</w:t>
      </w:r>
      <w:r>
        <w:rPr>
          <w:spacing w:val="-3"/>
          <w:w w:val="105"/>
        </w:rPr>
        <w:t> </w:t>
      </w:r>
      <w:r>
        <w:rPr>
          <w:w w:val="105"/>
        </w:rPr>
        <w:t>Dow</w:t>
      </w:r>
      <w:r>
        <w:rPr>
          <w:spacing w:val="-3"/>
          <w:w w:val="105"/>
        </w:rPr>
        <w:t> </w:t>
      </w:r>
      <w:r>
        <w:rPr>
          <w:w w:val="105"/>
        </w:rPr>
        <w:t>for</w:t>
      </w:r>
      <w:r>
        <w:rPr>
          <w:spacing w:val="-3"/>
          <w:w w:val="105"/>
        </w:rPr>
        <w:t> </w:t>
      </w:r>
      <w:r>
        <w:rPr>
          <w:w w:val="105"/>
        </w:rPr>
        <w:t>50%</w:t>
      </w:r>
      <w:r>
        <w:rPr>
          <w:spacing w:val="-3"/>
          <w:w w:val="105"/>
        </w:rPr>
        <w:t> </w:t>
      </w:r>
      <w:r>
        <w:rPr>
          <w:w w:val="105"/>
        </w:rPr>
        <w:t>of</w:t>
      </w:r>
      <w:r>
        <w:rPr>
          <w:spacing w:val="-3"/>
          <w:w w:val="105"/>
        </w:rPr>
        <w:t> </w:t>
      </w:r>
      <w:r>
        <w:rPr>
          <w:w w:val="105"/>
        </w:rPr>
        <w:t>Dow</w:t>
      </w:r>
      <w:r>
        <w:rPr>
          <w:spacing w:val="-3"/>
          <w:w w:val="105"/>
        </w:rPr>
        <w:t> </w:t>
      </w:r>
      <w:r>
        <w:rPr>
          <w:w w:val="105"/>
        </w:rPr>
        <w:t>Corning’s</w:t>
      </w:r>
      <w:r>
        <w:rPr>
          <w:spacing w:val="-3"/>
          <w:w w:val="105"/>
        </w:rPr>
        <w:t> </w:t>
      </w:r>
      <w:r>
        <w:rPr>
          <w:w w:val="105"/>
        </w:rPr>
        <w:t>non-ordinary</w:t>
      </w:r>
      <w:r>
        <w:rPr>
          <w:spacing w:val="-3"/>
          <w:w w:val="105"/>
        </w:rPr>
        <w:t> </w:t>
      </w:r>
      <w:r>
        <w:rPr>
          <w:w w:val="105"/>
        </w:rPr>
        <w:t>course,</w:t>
      </w:r>
      <w:r>
        <w:rPr>
          <w:spacing w:val="-3"/>
          <w:w w:val="105"/>
        </w:rPr>
        <w:t> </w:t>
      </w:r>
      <w:r>
        <w:rPr>
          <w:w w:val="105"/>
        </w:rPr>
        <w:t>pre-closing</w:t>
      </w:r>
      <w:r>
        <w:rPr>
          <w:spacing w:val="-3"/>
          <w:w w:val="105"/>
        </w:rPr>
        <w:t> </w:t>
      </w:r>
      <w:r>
        <w:rPr>
          <w:w w:val="105"/>
        </w:rPr>
        <w:t>liabilities</w:t>
      </w:r>
      <w:r>
        <w:rPr>
          <w:spacing w:val="-3"/>
          <w:w w:val="105"/>
        </w:rPr>
        <w:t> </w:t>
      </w:r>
      <w:r>
        <w:rPr>
          <w:w w:val="105"/>
        </w:rPr>
        <w:t>to</w:t>
      </w:r>
      <w:r>
        <w:rPr>
          <w:spacing w:val="-3"/>
          <w:w w:val="105"/>
        </w:rPr>
        <w:t> </w:t>
      </w:r>
      <w:r>
        <w:rPr>
          <w:w w:val="105"/>
        </w:rPr>
        <w:t>the</w:t>
      </w:r>
      <w:r>
        <w:rPr>
          <w:spacing w:val="-3"/>
          <w:w w:val="105"/>
        </w:rPr>
        <w:t> </w:t>
      </w:r>
      <w:r>
        <w:rPr>
          <w:w w:val="105"/>
        </w:rPr>
        <w:t>extent</w:t>
      </w:r>
      <w:r>
        <w:rPr>
          <w:spacing w:val="-3"/>
          <w:w w:val="105"/>
        </w:rPr>
        <w:t> </w:t>
      </w:r>
      <w:r>
        <w:rPr>
          <w:w w:val="105"/>
        </w:rPr>
        <w:t>such</w:t>
      </w:r>
      <w:r>
        <w:rPr>
          <w:spacing w:val="-3"/>
          <w:w w:val="105"/>
        </w:rPr>
        <w:t> </w:t>
      </w:r>
      <w:r>
        <w:rPr>
          <w:w w:val="105"/>
        </w:rPr>
        <w:t>liabilities</w:t>
      </w:r>
      <w:r>
        <w:rPr>
          <w:spacing w:val="-3"/>
          <w:w w:val="105"/>
        </w:rPr>
        <w:t> </w:t>
      </w:r>
      <w:r>
        <w:rPr>
          <w:w w:val="105"/>
        </w:rPr>
        <w:t>exceed</w:t>
      </w:r>
      <w:r>
        <w:rPr>
          <w:spacing w:val="-3"/>
          <w:w w:val="105"/>
        </w:rPr>
        <w:t> </w:t>
      </w:r>
      <w:r>
        <w:rPr>
          <w:w w:val="105"/>
        </w:rPr>
        <w:t>the</w:t>
      </w:r>
      <w:r>
        <w:rPr>
          <w:spacing w:val="-3"/>
          <w:w w:val="105"/>
        </w:rPr>
        <w:t> </w:t>
      </w:r>
      <w:r>
        <w:rPr>
          <w:w w:val="105"/>
        </w:rPr>
        <w:t>amounts reserved for them by Dow Corning as of May 31, 2016, subject to certain conditions and limits.</w:t>
      </w:r>
    </w:p>
    <w:p>
      <w:pPr>
        <w:pStyle w:val="BodyText"/>
        <w:spacing w:before="18"/>
      </w:pPr>
    </w:p>
    <w:p>
      <w:pPr>
        <w:spacing w:before="1"/>
        <w:ind w:left="156" w:right="0" w:firstLine="0"/>
        <w:jc w:val="left"/>
        <w:rPr>
          <w:i/>
          <w:sz w:val="16"/>
        </w:rPr>
      </w:pPr>
      <w:r>
        <w:rPr>
          <w:i/>
          <w:w w:val="105"/>
          <w:sz w:val="16"/>
        </w:rPr>
        <w:t>Dow</w:t>
      </w:r>
      <w:r>
        <w:rPr>
          <w:i/>
          <w:spacing w:val="-10"/>
          <w:w w:val="105"/>
          <w:sz w:val="16"/>
        </w:rPr>
        <w:t> </w:t>
      </w:r>
      <w:r>
        <w:rPr>
          <w:i/>
          <w:w w:val="105"/>
          <w:sz w:val="16"/>
        </w:rPr>
        <w:t>Corning</w:t>
      </w:r>
      <w:r>
        <w:rPr>
          <w:i/>
          <w:spacing w:val="-10"/>
          <w:w w:val="105"/>
          <w:sz w:val="16"/>
        </w:rPr>
        <w:t> </w:t>
      </w:r>
      <w:r>
        <w:rPr>
          <w:i/>
          <w:w w:val="105"/>
          <w:sz w:val="16"/>
        </w:rPr>
        <w:t>Breast</w:t>
      </w:r>
      <w:r>
        <w:rPr>
          <w:i/>
          <w:spacing w:val="-10"/>
          <w:w w:val="105"/>
          <w:sz w:val="16"/>
        </w:rPr>
        <w:t> </w:t>
      </w:r>
      <w:r>
        <w:rPr>
          <w:i/>
          <w:w w:val="105"/>
          <w:sz w:val="16"/>
        </w:rPr>
        <w:t>Implant</w:t>
      </w:r>
      <w:r>
        <w:rPr>
          <w:i/>
          <w:spacing w:val="-10"/>
          <w:w w:val="105"/>
          <w:sz w:val="16"/>
        </w:rPr>
        <w:t> </w:t>
      </w:r>
      <w:r>
        <w:rPr>
          <w:i/>
          <w:spacing w:val="-2"/>
          <w:w w:val="105"/>
          <w:sz w:val="16"/>
        </w:rPr>
        <w:t>Litigation</w:t>
      </w:r>
    </w:p>
    <w:p>
      <w:pPr>
        <w:pStyle w:val="BodyText"/>
        <w:spacing w:before="39"/>
        <w:rPr>
          <w:i/>
        </w:rPr>
      </w:pPr>
    </w:p>
    <w:p>
      <w:pPr>
        <w:pStyle w:val="BodyText"/>
        <w:spacing w:line="266" w:lineRule="auto"/>
        <w:ind w:left="156" w:right="353"/>
        <w:jc w:val="both"/>
      </w:pPr>
      <w:r>
        <w:rPr>
          <w:w w:val="105"/>
        </w:rPr>
        <w:t>In</w:t>
      </w:r>
      <w:r>
        <w:rPr>
          <w:spacing w:val="-8"/>
          <w:w w:val="105"/>
        </w:rPr>
        <w:t> </w:t>
      </w:r>
      <w:r>
        <w:rPr>
          <w:w w:val="105"/>
        </w:rPr>
        <w:t>May</w:t>
      </w:r>
      <w:r>
        <w:rPr>
          <w:spacing w:val="-8"/>
          <w:w w:val="105"/>
        </w:rPr>
        <w:t> </w:t>
      </w:r>
      <w:r>
        <w:rPr>
          <w:w w:val="105"/>
        </w:rPr>
        <w:t>1995,</w:t>
      </w:r>
      <w:r>
        <w:rPr>
          <w:spacing w:val="-8"/>
          <w:w w:val="105"/>
        </w:rPr>
        <w:t> </w:t>
      </w:r>
      <w:r>
        <w:rPr>
          <w:w w:val="105"/>
        </w:rPr>
        <w:t>Dow</w:t>
      </w:r>
      <w:r>
        <w:rPr>
          <w:spacing w:val="-8"/>
          <w:w w:val="105"/>
        </w:rPr>
        <w:t> </w:t>
      </w:r>
      <w:r>
        <w:rPr>
          <w:w w:val="105"/>
        </w:rPr>
        <w:t>Corning</w:t>
      </w:r>
      <w:r>
        <w:rPr>
          <w:spacing w:val="-8"/>
          <w:w w:val="105"/>
        </w:rPr>
        <w:t> </w:t>
      </w:r>
      <w:r>
        <w:rPr>
          <w:w w:val="105"/>
        </w:rPr>
        <w:t>filed</w:t>
      </w:r>
      <w:r>
        <w:rPr>
          <w:spacing w:val="-8"/>
          <w:w w:val="105"/>
        </w:rPr>
        <w:t> </w:t>
      </w:r>
      <w:r>
        <w:rPr>
          <w:w w:val="105"/>
        </w:rPr>
        <w:t>for</w:t>
      </w:r>
      <w:r>
        <w:rPr>
          <w:spacing w:val="-8"/>
          <w:w w:val="105"/>
        </w:rPr>
        <w:t> </w:t>
      </w:r>
      <w:r>
        <w:rPr>
          <w:w w:val="105"/>
        </w:rPr>
        <w:t>bankruptcy</w:t>
      </w:r>
      <w:r>
        <w:rPr>
          <w:spacing w:val="-8"/>
          <w:w w:val="105"/>
        </w:rPr>
        <w:t> </w:t>
      </w:r>
      <w:r>
        <w:rPr>
          <w:w w:val="105"/>
        </w:rPr>
        <w:t>protection</w:t>
      </w:r>
      <w:r>
        <w:rPr>
          <w:spacing w:val="-8"/>
          <w:w w:val="105"/>
        </w:rPr>
        <w:t> </w:t>
      </w:r>
      <w:r>
        <w:rPr>
          <w:w w:val="105"/>
        </w:rPr>
        <w:t>to</w:t>
      </w:r>
      <w:r>
        <w:rPr>
          <w:spacing w:val="-8"/>
          <w:w w:val="105"/>
        </w:rPr>
        <w:t> </w:t>
      </w:r>
      <w:r>
        <w:rPr>
          <w:w w:val="105"/>
        </w:rPr>
        <w:t>address</w:t>
      </w:r>
      <w:r>
        <w:rPr>
          <w:spacing w:val="-8"/>
          <w:w w:val="105"/>
        </w:rPr>
        <w:t> </w:t>
      </w:r>
      <w:r>
        <w:rPr>
          <w:w w:val="105"/>
        </w:rPr>
        <w:t>pending</w:t>
      </w:r>
      <w:r>
        <w:rPr>
          <w:spacing w:val="-8"/>
          <w:w w:val="105"/>
        </w:rPr>
        <w:t> </w:t>
      </w:r>
      <w:r>
        <w:rPr>
          <w:w w:val="105"/>
        </w:rPr>
        <w:t>and</w:t>
      </w:r>
      <w:r>
        <w:rPr>
          <w:spacing w:val="-8"/>
          <w:w w:val="105"/>
        </w:rPr>
        <w:t> </w:t>
      </w:r>
      <w:r>
        <w:rPr>
          <w:w w:val="105"/>
        </w:rPr>
        <w:t>claimed</w:t>
      </w:r>
      <w:r>
        <w:rPr>
          <w:spacing w:val="-8"/>
          <w:w w:val="105"/>
        </w:rPr>
        <w:t> </w:t>
      </w:r>
      <w:r>
        <w:rPr>
          <w:w w:val="105"/>
        </w:rPr>
        <w:t>liabilities</w:t>
      </w:r>
      <w:r>
        <w:rPr>
          <w:spacing w:val="-8"/>
          <w:w w:val="105"/>
        </w:rPr>
        <w:t> </w:t>
      </w:r>
      <w:r>
        <w:rPr>
          <w:w w:val="105"/>
        </w:rPr>
        <w:t>arising</w:t>
      </w:r>
      <w:r>
        <w:rPr>
          <w:spacing w:val="-8"/>
          <w:w w:val="105"/>
        </w:rPr>
        <w:t> </w:t>
      </w:r>
      <w:r>
        <w:rPr>
          <w:w w:val="105"/>
        </w:rPr>
        <w:t>from</w:t>
      </w:r>
      <w:r>
        <w:rPr>
          <w:spacing w:val="-8"/>
          <w:w w:val="105"/>
        </w:rPr>
        <w:t> </w:t>
      </w:r>
      <w:r>
        <w:rPr>
          <w:w w:val="105"/>
        </w:rPr>
        <w:t>many</w:t>
      </w:r>
      <w:r>
        <w:rPr>
          <w:spacing w:val="-8"/>
          <w:w w:val="105"/>
        </w:rPr>
        <w:t> </w:t>
      </w:r>
      <w:r>
        <w:rPr>
          <w:w w:val="105"/>
        </w:rPr>
        <w:t>thousands</w:t>
      </w:r>
      <w:r>
        <w:rPr>
          <w:spacing w:val="-8"/>
          <w:w w:val="105"/>
        </w:rPr>
        <w:t> </w:t>
      </w:r>
      <w:r>
        <w:rPr>
          <w:w w:val="105"/>
        </w:rPr>
        <w:t>of</w:t>
      </w:r>
      <w:r>
        <w:rPr>
          <w:spacing w:val="-8"/>
          <w:w w:val="105"/>
        </w:rPr>
        <w:t> </w:t>
      </w:r>
      <w:r>
        <w:rPr>
          <w:w w:val="105"/>
        </w:rPr>
        <w:t>breast</w:t>
      </w:r>
      <w:r>
        <w:rPr>
          <w:spacing w:val="-8"/>
          <w:w w:val="105"/>
        </w:rPr>
        <w:t> </w:t>
      </w:r>
      <w:r>
        <w:rPr>
          <w:w w:val="105"/>
        </w:rPr>
        <w:t>implant</w:t>
      </w:r>
      <w:r>
        <w:rPr>
          <w:spacing w:val="-8"/>
          <w:w w:val="105"/>
        </w:rPr>
        <w:t> </w:t>
      </w:r>
      <w:r>
        <w:rPr>
          <w:w w:val="105"/>
        </w:rPr>
        <w:t>product</w:t>
      </w:r>
      <w:r>
        <w:rPr>
          <w:spacing w:val="-8"/>
          <w:w w:val="105"/>
        </w:rPr>
        <w:t> </w:t>
      </w:r>
      <w:r>
        <w:rPr>
          <w:w w:val="105"/>
        </w:rPr>
        <w:t>lawsuits.</w:t>
      </w:r>
      <w:r>
        <w:rPr>
          <w:spacing w:val="-8"/>
          <w:w w:val="105"/>
        </w:rPr>
        <w:t> </w:t>
      </w:r>
      <w:r>
        <w:rPr>
          <w:w w:val="105"/>
        </w:rPr>
        <w:t>On June</w:t>
      </w:r>
      <w:r>
        <w:rPr>
          <w:spacing w:val="-6"/>
          <w:w w:val="105"/>
        </w:rPr>
        <w:t> </w:t>
      </w:r>
      <w:r>
        <w:rPr>
          <w:w w:val="105"/>
        </w:rPr>
        <w:t>1,</w:t>
      </w:r>
      <w:r>
        <w:rPr>
          <w:spacing w:val="-6"/>
          <w:w w:val="105"/>
        </w:rPr>
        <w:t> </w:t>
      </w:r>
      <w:r>
        <w:rPr>
          <w:w w:val="105"/>
        </w:rPr>
        <w:t>2004,</w:t>
      </w:r>
      <w:r>
        <w:rPr>
          <w:spacing w:val="-6"/>
          <w:w w:val="105"/>
        </w:rPr>
        <w:t> </w:t>
      </w:r>
      <w:r>
        <w:rPr>
          <w:w w:val="105"/>
        </w:rPr>
        <w:t>Dow</w:t>
      </w:r>
      <w:r>
        <w:rPr>
          <w:spacing w:val="-6"/>
          <w:w w:val="105"/>
        </w:rPr>
        <w:t> </w:t>
      </w:r>
      <w:r>
        <w:rPr>
          <w:w w:val="105"/>
        </w:rPr>
        <w:t>Corning</w:t>
      </w:r>
      <w:r>
        <w:rPr>
          <w:spacing w:val="-6"/>
          <w:w w:val="105"/>
        </w:rPr>
        <w:t> </w:t>
      </w:r>
      <w:r>
        <w:rPr>
          <w:w w:val="105"/>
        </w:rPr>
        <w:t>emerged</w:t>
      </w:r>
      <w:r>
        <w:rPr>
          <w:spacing w:val="-6"/>
          <w:w w:val="105"/>
        </w:rPr>
        <w:t> </w:t>
      </w:r>
      <w:r>
        <w:rPr>
          <w:w w:val="105"/>
        </w:rPr>
        <w:t>from</w:t>
      </w:r>
      <w:r>
        <w:rPr>
          <w:spacing w:val="-6"/>
          <w:w w:val="105"/>
        </w:rPr>
        <w:t> </w:t>
      </w:r>
      <w:r>
        <w:rPr>
          <w:w w:val="105"/>
        </w:rPr>
        <w:t>Chapter</w:t>
      </w:r>
      <w:r>
        <w:rPr>
          <w:spacing w:val="-5"/>
          <w:w w:val="105"/>
        </w:rPr>
        <w:t> </w:t>
      </w:r>
      <w:r>
        <w:rPr>
          <w:w w:val="105"/>
        </w:rPr>
        <w:t>11</w:t>
      </w:r>
      <w:r>
        <w:rPr>
          <w:spacing w:val="-6"/>
          <w:w w:val="105"/>
        </w:rPr>
        <w:t> </w:t>
      </w:r>
      <w:r>
        <w:rPr>
          <w:w w:val="105"/>
        </w:rPr>
        <w:t>with</w:t>
      </w:r>
      <w:r>
        <w:rPr>
          <w:spacing w:val="-6"/>
          <w:w w:val="105"/>
        </w:rPr>
        <w:t> </w:t>
      </w:r>
      <w:r>
        <w:rPr>
          <w:w w:val="105"/>
        </w:rPr>
        <w:t>a</w:t>
      </w:r>
      <w:r>
        <w:rPr>
          <w:spacing w:val="-6"/>
          <w:w w:val="105"/>
        </w:rPr>
        <w:t> </w:t>
      </w:r>
      <w:r>
        <w:rPr>
          <w:w w:val="105"/>
        </w:rPr>
        <w:t>Plan</w:t>
      </w:r>
      <w:r>
        <w:rPr>
          <w:spacing w:val="-6"/>
          <w:w w:val="105"/>
        </w:rPr>
        <w:t> </w:t>
      </w:r>
      <w:r>
        <w:rPr>
          <w:w w:val="105"/>
        </w:rPr>
        <w:t>of</w:t>
      </w:r>
      <w:r>
        <w:rPr>
          <w:spacing w:val="-6"/>
          <w:w w:val="105"/>
        </w:rPr>
        <w:t> </w:t>
      </w:r>
      <w:r>
        <w:rPr>
          <w:w w:val="105"/>
        </w:rPr>
        <w:t>Reorganization</w:t>
      </w:r>
      <w:r>
        <w:rPr>
          <w:spacing w:val="-6"/>
          <w:w w:val="105"/>
        </w:rPr>
        <w:t> </w:t>
      </w:r>
      <w:r>
        <w:rPr>
          <w:w w:val="105"/>
        </w:rPr>
        <w:t>(the</w:t>
      </w:r>
      <w:r>
        <w:rPr>
          <w:spacing w:val="-6"/>
          <w:w w:val="105"/>
        </w:rPr>
        <w:t> </w:t>
      </w:r>
      <w:r>
        <w:rPr>
          <w:w w:val="105"/>
        </w:rPr>
        <w:t>“Plan”)</w:t>
      </w:r>
      <w:r>
        <w:rPr>
          <w:spacing w:val="-6"/>
          <w:w w:val="105"/>
        </w:rPr>
        <w:t> </w:t>
      </w:r>
      <w:r>
        <w:rPr>
          <w:w w:val="105"/>
        </w:rPr>
        <w:t>which</w:t>
      </w:r>
      <w:r>
        <w:rPr>
          <w:spacing w:val="-6"/>
          <w:w w:val="105"/>
        </w:rPr>
        <w:t> </w:t>
      </w:r>
      <w:r>
        <w:rPr>
          <w:w w:val="105"/>
        </w:rPr>
        <w:t>provided</w:t>
      </w:r>
      <w:r>
        <w:rPr>
          <w:spacing w:val="-6"/>
          <w:w w:val="105"/>
        </w:rPr>
        <w:t> </w:t>
      </w:r>
      <w:r>
        <w:rPr>
          <w:w w:val="105"/>
        </w:rPr>
        <w:t>for</w:t>
      </w:r>
      <w:r>
        <w:rPr>
          <w:spacing w:val="-6"/>
          <w:w w:val="105"/>
        </w:rPr>
        <w:t> </w:t>
      </w:r>
      <w:r>
        <w:rPr>
          <w:w w:val="105"/>
        </w:rPr>
        <w:t>the</w:t>
      </w:r>
      <w:r>
        <w:rPr>
          <w:spacing w:val="-6"/>
          <w:w w:val="105"/>
        </w:rPr>
        <w:t> </w:t>
      </w:r>
      <w:r>
        <w:rPr>
          <w:w w:val="105"/>
        </w:rPr>
        <w:t>settlement</w:t>
      </w:r>
      <w:r>
        <w:rPr>
          <w:spacing w:val="-6"/>
          <w:w w:val="105"/>
        </w:rPr>
        <w:t> </w:t>
      </w:r>
      <w:r>
        <w:rPr>
          <w:w w:val="105"/>
        </w:rPr>
        <w:t>or</w:t>
      </w:r>
      <w:r>
        <w:rPr>
          <w:spacing w:val="-6"/>
          <w:w w:val="105"/>
        </w:rPr>
        <w:t> </w:t>
      </w:r>
      <w:r>
        <w:rPr>
          <w:w w:val="105"/>
        </w:rPr>
        <w:t>other</w:t>
      </w:r>
      <w:r>
        <w:rPr>
          <w:spacing w:val="-5"/>
          <w:w w:val="105"/>
        </w:rPr>
        <w:t> </w:t>
      </w:r>
      <w:r>
        <w:rPr>
          <w:w w:val="105"/>
        </w:rPr>
        <w:t>resolution</w:t>
      </w:r>
      <w:r>
        <w:rPr>
          <w:spacing w:val="-6"/>
          <w:w w:val="105"/>
        </w:rPr>
        <w:t> </w:t>
      </w:r>
      <w:r>
        <w:rPr>
          <w:w w:val="105"/>
        </w:rPr>
        <w:t>of</w:t>
      </w:r>
      <w:r>
        <w:rPr>
          <w:spacing w:val="-6"/>
          <w:w w:val="105"/>
        </w:rPr>
        <w:t> </w:t>
      </w:r>
      <w:r>
        <w:rPr>
          <w:w w:val="105"/>
        </w:rPr>
        <w:t>implant</w:t>
      </w:r>
      <w:r>
        <w:rPr>
          <w:spacing w:val="-6"/>
          <w:w w:val="105"/>
        </w:rPr>
        <w:t> </w:t>
      </w:r>
      <w:r>
        <w:rPr>
          <w:w w:val="105"/>
        </w:rPr>
        <w:t>claims. The</w:t>
      </w:r>
      <w:r>
        <w:rPr>
          <w:spacing w:val="-1"/>
          <w:w w:val="105"/>
        </w:rPr>
        <w:t> </w:t>
      </w:r>
      <w:r>
        <w:rPr>
          <w:w w:val="105"/>
        </w:rPr>
        <w:t>Plan</w:t>
      </w:r>
      <w:r>
        <w:rPr>
          <w:spacing w:val="-1"/>
          <w:w w:val="105"/>
        </w:rPr>
        <w:t> </w:t>
      </w:r>
      <w:r>
        <w:rPr>
          <w:w w:val="105"/>
        </w:rPr>
        <w:t>includes</w:t>
      </w:r>
      <w:r>
        <w:rPr>
          <w:spacing w:val="-1"/>
          <w:w w:val="105"/>
        </w:rPr>
        <w:t> </w:t>
      </w:r>
      <w:r>
        <w:rPr>
          <w:w w:val="105"/>
        </w:rPr>
        <w:t>releases for</w:t>
      </w:r>
      <w:r>
        <w:rPr>
          <w:spacing w:val="-1"/>
          <w:w w:val="105"/>
        </w:rPr>
        <w:t> </w:t>
      </w:r>
      <w:r>
        <w:rPr>
          <w:w w:val="105"/>
        </w:rPr>
        <w:t>Corning</w:t>
      </w:r>
      <w:r>
        <w:rPr>
          <w:spacing w:val="-1"/>
          <w:w w:val="105"/>
        </w:rPr>
        <w:t> </w:t>
      </w:r>
      <w:r>
        <w:rPr>
          <w:w w:val="105"/>
        </w:rPr>
        <w:t>and</w:t>
      </w:r>
      <w:r>
        <w:rPr>
          <w:spacing w:val="-1"/>
          <w:w w:val="105"/>
        </w:rPr>
        <w:t> </w:t>
      </w:r>
      <w:r>
        <w:rPr>
          <w:w w:val="105"/>
        </w:rPr>
        <w:t>Dow</w:t>
      </w:r>
      <w:r>
        <w:rPr>
          <w:spacing w:val="-1"/>
          <w:w w:val="105"/>
        </w:rPr>
        <w:t> </w:t>
      </w:r>
      <w:r>
        <w:rPr>
          <w:w w:val="105"/>
        </w:rPr>
        <w:t>as</w:t>
      </w:r>
      <w:r>
        <w:rPr>
          <w:spacing w:val="-1"/>
          <w:w w:val="105"/>
        </w:rPr>
        <w:t> </w:t>
      </w:r>
      <w:r>
        <w:rPr>
          <w:w w:val="105"/>
        </w:rPr>
        <w:t>shareholders</w:t>
      </w:r>
      <w:r>
        <w:rPr>
          <w:spacing w:val="-1"/>
          <w:w w:val="105"/>
        </w:rPr>
        <w:t> </w:t>
      </w:r>
      <w:r>
        <w:rPr>
          <w:w w:val="105"/>
        </w:rPr>
        <w:t>in</w:t>
      </w:r>
      <w:r>
        <w:rPr>
          <w:spacing w:val="-1"/>
          <w:w w:val="105"/>
        </w:rPr>
        <w:t> </w:t>
      </w:r>
      <w:r>
        <w:rPr>
          <w:w w:val="105"/>
        </w:rPr>
        <w:t>exchange</w:t>
      </w:r>
      <w:r>
        <w:rPr>
          <w:spacing w:val="-1"/>
          <w:w w:val="105"/>
        </w:rPr>
        <w:t> </w:t>
      </w:r>
      <w:r>
        <w:rPr>
          <w:w w:val="105"/>
        </w:rPr>
        <w:t>for</w:t>
      </w:r>
      <w:r>
        <w:rPr>
          <w:spacing w:val="-1"/>
          <w:w w:val="105"/>
        </w:rPr>
        <w:t> </w:t>
      </w:r>
      <w:r>
        <w:rPr>
          <w:w w:val="105"/>
        </w:rPr>
        <w:t>contributions</w:t>
      </w:r>
      <w:r>
        <w:rPr>
          <w:spacing w:val="-1"/>
          <w:w w:val="105"/>
        </w:rPr>
        <w:t> </w:t>
      </w:r>
      <w:r>
        <w:rPr>
          <w:w w:val="105"/>
        </w:rPr>
        <w:t>to</w:t>
      </w:r>
      <w:r>
        <w:rPr>
          <w:spacing w:val="-1"/>
          <w:w w:val="105"/>
        </w:rPr>
        <w:t> </w:t>
      </w:r>
      <w:r>
        <w:rPr>
          <w:w w:val="105"/>
        </w:rPr>
        <w:t>the</w:t>
      </w:r>
      <w:r>
        <w:rPr>
          <w:spacing w:val="-1"/>
          <w:w w:val="105"/>
        </w:rPr>
        <w:t> </w:t>
      </w:r>
      <w:r>
        <w:rPr>
          <w:w w:val="105"/>
        </w:rPr>
        <w:t>Plan.</w:t>
      </w:r>
    </w:p>
    <w:p>
      <w:pPr>
        <w:pStyle w:val="BodyText"/>
        <w:spacing w:before="19"/>
      </w:pPr>
    </w:p>
    <w:p>
      <w:pPr>
        <w:pStyle w:val="BodyText"/>
        <w:spacing w:line="266" w:lineRule="auto"/>
        <w:ind w:left="156"/>
      </w:pPr>
      <w:r>
        <w:rPr>
          <w:w w:val="105"/>
        </w:rPr>
        <w:t>Under</w:t>
      </w:r>
      <w:r>
        <w:rPr>
          <w:spacing w:val="-5"/>
          <w:w w:val="105"/>
        </w:rPr>
        <w:t> </w:t>
      </w:r>
      <w:r>
        <w:rPr>
          <w:w w:val="105"/>
        </w:rPr>
        <w:t>the</w:t>
      </w:r>
      <w:r>
        <w:rPr>
          <w:spacing w:val="-5"/>
          <w:w w:val="105"/>
        </w:rPr>
        <w:t> </w:t>
      </w:r>
      <w:r>
        <w:rPr>
          <w:w w:val="105"/>
        </w:rPr>
        <w:t>terms</w:t>
      </w:r>
      <w:r>
        <w:rPr>
          <w:spacing w:val="-5"/>
          <w:w w:val="105"/>
        </w:rPr>
        <w:t> </w:t>
      </w:r>
      <w:r>
        <w:rPr>
          <w:w w:val="105"/>
        </w:rPr>
        <w:t>of</w:t>
      </w:r>
      <w:r>
        <w:rPr>
          <w:spacing w:val="-5"/>
          <w:w w:val="105"/>
        </w:rPr>
        <w:t> </w:t>
      </w:r>
      <w:r>
        <w:rPr>
          <w:w w:val="105"/>
        </w:rPr>
        <w:t>the</w:t>
      </w:r>
      <w:r>
        <w:rPr>
          <w:spacing w:val="-5"/>
          <w:w w:val="105"/>
        </w:rPr>
        <w:t> </w:t>
      </w:r>
      <w:r>
        <w:rPr>
          <w:w w:val="105"/>
        </w:rPr>
        <w:t>Plan,</w:t>
      </w:r>
      <w:r>
        <w:rPr>
          <w:spacing w:val="-5"/>
          <w:w w:val="105"/>
        </w:rPr>
        <w:t> </w:t>
      </w:r>
      <w:r>
        <w:rPr>
          <w:w w:val="105"/>
        </w:rPr>
        <w:t>Dow</w:t>
      </w:r>
      <w:r>
        <w:rPr>
          <w:spacing w:val="-5"/>
          <w:w w:val="105"/>
        </w:rPr>
        <w:t> </w:t>
      </w:r>
      <w:r>
        <w:rPr>
          <w:w w:val="105"/>
        </w:rPr>
        <w:t>Corning</w:t>
      </w:r>
      <w:r>
        <w:rPr>
          <w:spacing w:val="-5"/>
          <w:w w:val="105"/>
        </w:rPr>
        <w:t> </w:t>
      </w:r>
      <w:r>
        <w:rPr>
          <w:w w:val="105"/>
        </w:rPr>
        <w:t>has</w:t>
      </w:r>
      <w:r>
        <w:rPr>
          <w:spacing w:val="-5"/>
          <w:w w:val="105"/>
        </w:rPr>
        <w:t> </w:t>
      </w:r>
      <w:r>
        <w:rPr>
          <w:w w:val="105"/>
        </w:rPr>
        <w:t>established</w:t>
      </w:r>
      <w:r>
        <w:rPr>
          <w:spacing w:val="-5"/>
          <w:w w:val="105"/>
        </w:rPr>
        <w:t> </w:t>
      </w:r>
      <w:r>
        <w:rPr>
          <w:w w:val="105"/>
        </w:rPr>
        <w:t>and</w:t>
      </w:r>
      <w:r>
        <w:rPr>
          <w:spacing w:val="-5"/>
          <w:w w:val="105"/>
        </w:rPr>
        <w:t> </w:t>
      </w:r>
      <w:r>
        <w:rPr>
          <w:w w:val="105"/>
        </w:rPr>
        <w:t>funded</w:t>
      </w:r>
      <w:r>
        <w:rPr>
          <w:spacing w:val="-5"/>
          <w:w w:val="105"/>
        </w:rPr>
        <w:t> </w:t>
      </w:r>
      <w:r>
        <w:rPr>
          <w:w w:val="105"/>
        </w:rPr>
        <w:t>a</w:t>
      </w:r>
      <w:r>
        <w:rPr>
          <w:spacing w:val="-5"/>
          <w:w w:val="105"/>
        </w:rPr>
        <w:t> </w:t>
      </w:r>
      <w:r>
        <w:rPr>
          <w:w w:val="105"/>
        </w:rPr>
        <w:t>Settlement</w:t>
      </w:r>
      <w:r>
        <w:rPr>
          <w:spacing w:val="-5"/>
          <w:w w:val="105"/>
        </w:rPr>
        <w:t> </w:t>
      </w:r>
      <w:r>
        <w:rPr>
          <w:w w:val="105"/>
        </w:rPr>
        <w:t>Trust</w:t>
      </w:r>
      <w:r>
        <w:rPr>
          <w:spacing w:val="-5"/>
          <w:w w:val="105"/>
        </w:rPr>
        <w:t> </w:t>
      </w:r>
      <w:r>
        <w:rPr>
          <w:w w:val="105"/>
        </w:rPr>
        <w:t>and</w:t>
      </w:r>
      <w:r>
        <w:rPr>
          <w:spacing w:val="-5"/>
          <w:w w:val="105"/>
        </w:rPr>
        <w:t> </w:t>
      </w:r>
      <w:r>
        <w:rPr>
          <w:w w:val="105"/>
        </w:rPr>
        <w:t>a</w:t>
      </w:r>
      <w:r>
        <w:rPr>
          <w:spacing w:val="-5"/>
          <w:w w:val="105"/>
        </w:rPr>
        <w:t> </w:t>
      </w:r>
      <w:r>
        <w:rPr>
          <w:w w:val="105"/>
        </w:rPr>
        <w:t>Litigation</w:t>
      </w:r>
      <w:r>
        <w:rPr>
          <w:spacing w:val="-5"/>
          <w:w w:val="105"/>
        </w:rPr>
        <w:t> </w:t>
      </w:r>
      <w:r>
        <w:rPr>
          <w:w w:val="105"/>
        </w:rPr>
        <w:t>Facility,</w:t>
      </w:r>
      <w:r>
        <w:rPr>
          <w:spacing w:val="-5"/>
          <w:w w:val="105"/>
        </w:rPr>
        <w:t> </w:t>
      </w:r>
      <w:r>
        <w:rPr>
          <w:w w:val="105"/>
        </w:rPr>
        <w:t>referred</w:t>
      </w:r>
      <w:r>
        <w:rPr>
          <w:spacing w:val="-5"/>
          <w:w w:val="105"/>
        </w:rPr>
        <w:t> </w:t>
      </w:r>
      <w:r>
        <w:rPr>
          <w:w w:val="105"/>
        </w:rPr>
        <w:t>to</w:t>
      </w:r>
      <w:r>
        <w:rPr>
          <w:spacing w:val="-3"/>
          <w:w w:val="105"/>
        </w:rPr>
        <w:t> </w:t>
      </w:r>
      <w:r>
        <w:rPr>
          <w:w w:val="105"/>
        </w:rPr>
        <w:t>above,</w:t>
      </w:r>
      <w:r>
        <w:rPr>
          <w:spacing w:val="-5"/>
          <w:w w:val="105"/>
        </w:rPr>
        <w:t> </w:t>
      </w:r>
      <w:r>
        <w:rPr>
          <w:w w:val="105"/>
        </w:rPr>
        <w:t>to</w:t>
      </w:r>
      <w:r>
        <w:rPr>
          <w:spacing w:val="-5"/>
          <w:w w:val="105"/>
        </w:rPr>
        <w:t> </w:t>
      </w:r>
      <w:r>
        <w:rPr>
          <w:w w:val="105"/>
        </w:rPr>
        <w:t>provide</w:t>
      </w:r>
      <w:r>
        <w:rPr>
          <w:spacing w:val="-5"/>
          <w:w w:val="105"/>
        </w:rPr>
        <w:t> </w:t>
      </w:r>
      <w:r>
        <w:rPr>
          <w:w w:val="105"/>
        </w:rPr>
        <w:t>a</w:t>
      </w:r>
      <w:r>
        <w:rPr>
          <w:spacing w:val="-5"/>
          <w:w w:val="105"/>
        </w:rPr>
        <w:t> </w:t>
      </w:r>
      <w:r>
        <w:rPr>
          <w:w w:val="105"/>
        </w:rPr>
        <w:t>means</w:t>
      </w:r>
      <w:r>
        <w:rPr>
          <w:spacing w:val="-5"/>
          <w:w w:val="105"/>
        </w:rPr>
        <w:t> </w:t>
      </w:r>
      <w:r>
        <w:rPr>
          <w:w w:val="105"/>
        </w:rPr>
        <w:t>for</w:t>
      </w:r>
      <w:r>
        <w:rPr>
          <w:spacing w:val="-5"/>
          <w:w w:val="105"/>
        </w:rPr>
        <w:t> </w:t>
      </w:r>
      <w:r>
        <w:rPr>
          <w:w w:val="105"/>
        </w:rPr>
        <w:t>tort</w:t>
      </w:r>
      <w:r>
        <w:rPr>
          <w:spacing w:val="-5"/>
          <w:w w:val="105"/>
        </w:rPr>
        <w:t> </w:t>
      </w:r>
      <w:r>
        <w:rPr>
          <w:w w:val="105"/>
        </w:rPr>
        <w:t>claimants</w:t>
      </w:r>
      <w:r>
        <w:rPr>
          <w:spacing w:val="-5"/>
          <w:w w:val="105"/>
        </w:rPr>
        <w:t> </w:t>
      </w:r>
      <w:r>
        <w:rPr>
          <w:w w:val="105"/>
        </w:rPr>
        <w:t>to settle</w:t>
      </w:r>
      <w:r>
        <w:rPr>
          <w:spacing w:val="-2"/>
          <w:w w:val="105"/>
        </w:rPr>
        <w:t> </w:t>
      </w:r>
      <w:r>
        <w:rPr>
          <w:w w:val="105"/>
        </w:rPr>
        <w:t>or</w:t>
      </w:r>
      <w:r>
        <w:rPr>
          <w:spacing w:val="-2"/>
          <w:w w:val="105"/>
        </w:rPr>
        <w:t> </w:t>
      </w:r>
      <w:r>
        <w:rPr>
          <w:w w:val="105"/>
        </w:rPr>
        <w:t>litigate</w:t>
      </w:r>
      <w:r>
        <w:rPr>
          <w:spacing w:val="-2"/>
          <w:w w:val="105"/>
        </w:rPr>
        <w:t> </w:t>
      </w:r>
      <w:r>
        <w:rPr>
          <w:w w:val="105"/>
        </w:rPr>
        <w:t>their</w:t>
      </w:r>
      <w:r>
        <w:rPr>
          <w:spacing w:val="-2"/>
          <w:w w:val="105"/>
        </w:rPr>
        <w:t> </w:t>
      </w:r>
      <w:r>
        <w:rPr>
          <w:w w:val="105"/>
        </w:rPr>
        <w:t>claims.</w:t>
      </w:r>
      <w:r>
        <w:rPr>
          <w:spacing w:val="-2"/>
          <w:w w:val="105"/>
        </w:rPr>
        <w:t> </w:t>
      </w:r>
      <w:r>
        <w:rPr>
          <w:w w:val="105"/>
        </w:rPr>
        <w:t>Inclusive</w:t>
      </w:r>
      <w:r>
        <w:rPr>
          <w:spacing w:val="-2"/>
          <w:w w:val="105"/>
        </w:rPr>
        <w:t> </w:t>
      </w:r>
      <w:r>
        <w:rPr>
          <w:w w:val="105"/>
        </w:rPr>
        <w:t>of</w:t>
      </w:r>
      <w:r>
        <w:rPr>
          <w:spacing w:val="-2"/>
          <w:w w:val="105"/>
        </w:rPr>
        <w:t> </w:t>
      </w:r>
      <w:r>
        <w:rPr>
          <w:w w:val="105"/>
        </w:rPr>
        <w:t>insurance,</w:t>
      </w:r>
      <w:r>
        <w:rPr>
          <w:spacing w:val="-2"/>
          <w:w w:val="105"/>
        </w:rPr>
        <w:t> </w:t>
      </w:r>
      <w:r>
        <w:rPr>
          <w:w w:val="105"/>
        </w:rPr>
        <w:t>Dow</w:t>
      </w:r>
      <w:r>
        <w:rPr>
          <w:spacing w:val="-2"/>
          <w:w w:val="105"/>
        </w:rPr>
        <w:t> </w:t>
      </w:r>
      <w:r>
        <w:rPr>
          <w:w w:val="105"/>
        </w:rPr>
        <w:t>Corning</w:t>
      </w:r>
      <w:r>
        <w:rPr>
          <w:spacing w:val="-2"/>
          <w:w w:val="105"/>
        </w:rPr>
        <w:t> </w:t>
      </w:r>
      <w:r>
        <w:rPr>
          <w:w w:val="105"/>
        </w:rPr>
        <w:t>has</w:t>
      </w:r>
      <w:r>
        <w:rPr>
          <w:spacing w:val="-2"/>
          <w:w w:val="105"/>
        </w:rPr>
        <w:t> </w:t>
      </w:r>
      <w:r>
        <w:rPr>
          <w:w w:val="105"/>
        </w:rPr>
        <w:t>paid</w:t>
      </w:r>
      <w:r>
        <w:rPr>
          <w:spacing w:val="-2"/>
          <w:w w:val="105"/>
        </w:rPr>
        <w:t> </w:t>
      </w:r>
      <w:r>
        <w:rPr>
          <w:w w:val="105"/>
        </w:rPr>
        <w:t>approximately</w:t>
      </w:r>
      <w:r>
        <w:rPr>
          <w:spacing w:val="-2"/>
          <w:w w:val="105"/>
        </w:rPr>
        <w:t> </w:t>
      </w:r>
      <w:r>
        <w:rPr>
          <w:w w:val="105"/>
        </w:rPr>
        <w:t>$1.8</w:t>
      </w:r>
      <w:r>
        <w:rPr>
          <w:spacing w:val="-2"/>
          <w:w w:val="105"/>
        </w:rPr>
        <w:t> </w:t>
      </w:r>
      <w:r>
        <w:rPr>
          <w:w w:val="105"/>
        </w:rPr>
        <w:t>billion</w:t>
      </w:r>
      <w:r>
        <w:rPr>
          <w:spacing w:val="-2"/>
          <w:w w:val="105"/>
        </w:rPr>
        <w:t> </w:t>
      </w:r>
      <w:r>
        <w:rPr>
          <w:w w:val="105"/>
        </w:rPr>
        <w:t>to</w:t>
      </w:r>
      <w:r>
        <w:rPr>
          <w:spacing w:val="-2"/>
          <w:w w:val="105"/>
        </w:rPr>
        <w:t> </w:t>
      </w:r>
      <w:r>
        <w:rPr>
          <w:w w:val="105"/>
        </w:rPr>
        <w:t>the</w:t>
      </w:r>
      <w:r>
        <w:rPr>
          <w:spacing w:val="-2"/>
          <w:w w:val="105"/>
        </w:rPr>
        <w:t> </w:t>
      </w:r>
      <w:r>
        <w:rPr>
          <w:w w:val="105"/>
        </w:rPr>
        <w:t>Settlement</w:t>
      </w:r>
      <w:r>
        <w:rPr>
          <w:spacing w:val="-2"/>
          <w:w w:val="105"/>
        </w:rPr>
        <w:t> </w:t>
      </w:r>
      <w:r>
        <w:rPr>
          <w:w w:val="105"/>
        </w:rPr>
        <w:t>Trust.</w:t>
      </w:r>
      <w:r>
        <w:rPr>
          <w:spacing w:val="-2"/>
          <w:w w:val="105"/>
        </w:rPr>
        <w:t> </w:t>
      </w:r>
      <w:r>
        <w:rPr>
          <w:w w:val="105"/>
        </w:rPr>
        <w:t>As</w:t>
      </w:r>
      <w:r>
        <w:rPr>
          <w:spacing w:val="-2"/>
          <w:w w:val="105"/>
        </w:rPr>
        <w:t> </w:t>
      </w:r>
      <w:r>
        <w:rPr>
          <w:w w:val="105"/>
        </w:rPr>
        <w:t>of</w:t>
      </w:r>
      <w:r>
        <w:rPr>
          <w:spacing w:val="-1"/>
          <w:w w:val="105"/>
        </w:rPr>
        <w:t> </w:t>
      </w:r>
      <w:r>
        <w:rPr>
          <w:w w:val="105"/>
        </w:rPr>
        <w:t>May</w:t>
      </w:r>
      <w:r>
        <w:rPr>
          <w:spacing w:val="-2"/>
          <w:w w:val="105"/>
        </w:rPr>
        <w:t> </w:t>
      </w:r>
      <w:r>
        <w:rPr>
          <w:w w:val="105"/>
        </w:rPr>
        <w:t>31,</w:t>
      </w:r>
      <w:r>
        <w:rPr>
          <w:spacing w:val="-2"/>
          <w:w w:val="105"/>
        </w:rPr>
        <w:t> </w:t>
      </w:r>
      <w:r>
        <w:rPr>
          <w:w w:val="105"/>
        </w:rPr>
        <w:t>2016,</w:t>
      </w:r>
      <w:r>
        <w:rPr>
          <w:spacing w:val="-2"/>
          <w:w w:val="105"/>
        </w:rPr>
        <w:t> </w:t>
      </w:r>
      <w:r>
        <w:rPr>
          <w:w w:val="105"/>
        </w:rPr>
        <w:t>Dow</w:t>
      </w:r>
      <w:r>
        <w:rPr>
          <w:spacing w:val="-2"/>
          <w:w w:val="105"/>
        </w:rPr>
        <w:t> </w:t>
      </w:r>
      <w:r>
        <w:rPr>
          <w:w w:val="105"/>
        </w:rPr>
        <w:t>Corning</w:t>
      </w:r>
      <w:r>
        <w:rPr>
          <w:spacing w:val="-2"/>
          <w:w w:val="105"/>
        </w:rPr>
        <w:t> </w:t>
      </w:r>
      <w:r>
        <w:rPr>
          <w:w w:val="105"/>
        </w:rPr>
        <w:t>had recorded</w:t>
      </w:r>
      <w:r>
        <w:rPr>
          <w:spacing w:val="-5"/>
          <w:w w:val="105"/>
        </w:rPr>
        <w:t> </w:t>
      </w:r>
      <w:r>
        <w:rPr>
          <w:w w:val="105"/>
        </w:rPr>
        <w:t>a</w:t>
      </w:r>
      <w:r>
        <w:rPr>
          <w:spacing w:val="-5"/>
          <w:w w:val="105"/>
        </w:rPr>
        <w:t> </w:t>
      </w:r>
      <w:r>
        <w:rPr>
          <w:w w:val="105"/>
        </w:rPr>
        <w:t>reserve</w:t>
      </w:r>
      <w:r>
        <w:rPr>
          <w:spacing w:val="-5"/>
          <w:w w:val="105"/>
        </w:rPr>
        <w:t> </w:t>
      </w:r>
      <w:r>
        <w:rPr>
          <w:w w:val="105"/>
        </w:rPr>
        <w:t>for</w:t>
      </w:r>
      <w:r>
        <w:rPr>
          <w:spacing w:val="-5"/>
          <w:w w:val="105"/>
        </w:rPr>
        <w:t> </w:t>
      </w:r>
      <w:r>
        <w:rPr>
          <w:w w:val="105"/>
        </w:rPr>
        <w:t>breast</w:t>
      </w:r>
      <w:r>
        <w:rPr>
          <w:spacing w:val="-5"/>
          <w:w w:val="105"/>
        </w:rPr>
        <w:t> </w:t>
      </w:r>
      <w:r>
        <w:rPr>
          <w:w w:val="105"/>
        </w:rPr>
        <w:t>implant</w:t>
      </w:r>
      <w:r>
        <w:rPr>
          <w:spacing w:val="-5"/>
          <w:w w:val="105"/>
        </w:rPr>
        <w:t> </w:t>
      </w:r>
      <w:r>
        <w:rPr>
          <w:w w:val="105"/>
        </w:rPr>
        <w:t>litigation</w:t>
      </w:r>
      <w:r>
        <w:rPr>
          <w:spacing w:val="-5"/>
          <w:w w:val="105"/>
        </w:rPr>
        <w:t> </w:t>
      </w:r>
      <w:r>
        <w:rPr>
          <w:w w:val="105"/>
        </w:rPr>
        <w:t>of</w:t>
      </w:r>
      <w:r>
        <w:rPr>
          <w:spacing w:val="-5"/>
          <w:w w:val="105"/>
        </w:rPr>
        <w:t> </w:t>
      </w:r>
      <w:r>
        <w:rPr>
          <w:w w:val="105"/>
        </w:rPr>
        <w:t>$290</w:t>
      </w:r>
      <w:r>
        <w:rPr>
          <w:spacing w:val="-5"/>
          <w:w w:val="105"/>
        </w:rPr>
        <w:t> </w:t>
      </w:r>
      <w:r>
        <w:rPr>
          <w:w w:val="105"/>
        </w:rPr>
        <w:t>million.</w:t>
      </w:r>
      <w:r>
        <w:rPr>
          <w:spacing w:val="-5"/>
          <w:w w:val="105"/>
        </w:rPr>
        <w:t> </w:t>
      </w:r>
      <w:r>
        <w:rPr>
          <w:w w:val="105"/>
        </w:rPr>
        <w:t>In</w:t>
      </w:r>
      <w:r>
        <w:rPr>
          <w:spacing w:val="-5"/>
          <w:w w:val="105"/>
        </w:rPr>
        <w:t> </w:t>
      </w:r>
      <w:r>
        <w:rPr>
          <w:w w:val="105"/>
        </w:rPr>
        <w:t>the</w:t>
      </w:r>
      <w:r>
        <w:rPr>
          <w:spacing w:val="-3"/>
          <w:w w:val="105"/>
        </w:rPr>
        <w:t> </w:t>
      </w:r>
      <w:r>
        <w:rPr>
          <w:w w:val="105"/>
        </w:rPr>
        <w:t>event</w:t>
      </w:r>
      <w:r>
        <w:rPr>
          <w:spacing w:val="-5"/>
          <w:w w:val="105"/>
        </w:rPr>
        <w:t> </w:t>
      </w:r>
      <w:r>
        <w:rPr>
          <w:w w:val="105"/>
        </w:rPr>
        <w:t>Dow</w:t>
      </w:r>
      <w:r>
        <w:rPr>
          <w:spacing w:val="-5"/>
          <w:w w:val="105"/>
        </w:rPr>
        <w:t> </w:t>
      </w:r>
      <w:r>
        <w:rPr>
          <w:w w:val="105"/>
        </w:rPr>
        <w:t>Corning’s</w:t>
      </w:r>
      <w:r>
        <w:rPr>
          <w:spacing w:val="-5"/>
          <w:w w:val="105"/>
        </w:rPr>
        <w:t> </w:t>
      </w:r>
      <w:r>
        <w:rPr>
          <w:w w:val="105"/>
        </w:rPr>
        <w:t>total</w:t>
      </w:r>
      <w:r>
        <w:rPr>
          <w:spacing w:val="-5"/>
          <w:w w:val="105"/>
        </w:rPr>
        <w:t> </w:t>
      </w:r>
      <w:r>
        <w:rPr>
          <w:w w:val="105"/>
        </w:rPr>
        <w:t>liability</w:t>
      </w:r>
      <w:r>
        <w:rPr>
          <w:spacing w:val="-5"/>
          <w:w w:val="105"/>
        </w:rPr>
        <w:t> </w:t>
      </w:r>
      <w:r>
        <w:rPr>
          <w:w w:val="105"/>
        </w:rPr>
        <w:t>for</w:t>
      </w:r>
      <w:r>
        <w:rPr>
          <w:spacing w:val="-5"/>
          <w:w w:val="105"/>
        </w:rPr>
        <w:t> </w:t>
      </w:r>
      <w:r>
        <w:rPr>
          <w:w w:val="105"/>
        </w:rPr>
        <w:t>these</w:t>
      </w:r>
      <w:r>
        <w:rPr>
          <w:spacing w:val="-5"/>
          <w:w w:val="105"/>
        </w:rPr>
        <w:t> </w:t>
      </w:r>
      <w:r>
        <w:rPr>
          <w:w w:val="105"/>
        </w:rPr>
        <w:t>claims</w:t>
      </w:r>
      <w:r>
        <w:rPr>
          <w:spacing w:val="-5"/>
          <w:w w:val="105"/>
        </w:rPr>
        <w:t> </w:t>
      </w:r>
      <w:r>
        <w:rPr>
          <w:w w:val="105"/>
        </w:rPr>
        <w:t>exceeds</w:t>
      </w:r>
      <w:r>
        <w:rPr>
          <w:spacing w:val="-5"/>
          <w:w w:val="105"/>
        </w:rPr>
        <w:t> </w:t>
      </w:r>
      <w:r>
        <w:rPr>
          <w:w w:val="105"/>
        </w:rPr>
        <w:t>such</w:t>
      </w:r>
      <w:r>
        <w:rPr>
          <w:spacing w:val="-5"/>
          <w:w w:val="105"/>
        </w:rPr>
        <w:t> </w:t>
      </w:r>
      <w:r>
        <w:rPr>
          <w:w w:val="105"/>
        </w:rPr>
        <w:t>amount,</w:t>
      </w:r>
      <w:r>
        <w:rPr>
          <w:spacing w:val="-5"/>
          <w:w w:val="105"/>
        </w:rPr>
        <w:t> </w:t>
      </w:r>
      <w:r>
        <w:rPr>
          <w:w w:val="105"/>
        </w:rPr>
        <w:t>Corning</w:t>
      </w:r>
      <w:r>
        <w:rPr>
          <w:spacing w:val="-5"/>
          <w:w w:val="105"/>
        </w:rPr>
        <w:t> </w:t>
      </w:r>
      <w:r>
        <w:rPr>
          <w:w w:val="105"/>
        </w:rPr>
        <w:t>may</w:t>
      </w:r>
      <w:r>
        <w:rPr>
          <w:spacing w:val="-5"/>
          <w:w w:val="105"/>
        </w:rPr>
        <w:t> </w:t>
      </w:r>
      <w:r>
        <w:rPr>
          <w:w w:val="105"/>
        </w:rPr>
        <w:t>be</w:t>
      </w:r>
      <w:r>
        <w:rPr>
          <w:spacing w:val="-5"/>
          <w:w w:val="105"/>
        </w:rPr>
        <w:t> </w:t>
      </w:r>
      <w:r>
        <w:rPr>
          <w:w w:val="105"/>
        </w:rPr>
        <w:t>required</w:t>
      </w:r>
      <w:r>
        <w:rPr>
          <w:spacing w:val="-5"/>
          <w:w w:val="105"/>
        </w:rPr>
        <w:t> </w:t>
      </w:r>
      <w:r>
        <w:rPr>
          <w:w w:val="105"/>
        </w:rPr>
        <w:t>to indemnify</w:t>
      </w:r>
      <w:r>
        <w:rPr>
          <w:spacing w:val="-2"/>
          <w:w w:val="105"/>
        </w:rPr>
        <w:t> </w:t>
      </w:r>
      <w:r>
        <w:rPr>
          <w:w w:val="105"/>
        </w:rPr>
        <w:t>Dow</w:t>
      </w:r>
      <w:r>
        <w:rPr>
          <w:spacing w:val="-2"/>
          <w:w w:val="105"/>
        </w:rPr>
        <w:t> </w:t>
      </w:r>
      <w:r>
        <w:rPr>
          <w:w w:val="105"/>
        </w:rPr>
        <w:t>for</w:t>
      </w:r>
      <w:r>
        <w:rPr>
          <w:spacing w:val="-2"/>
          <w:w w:val="105"/>
        </w:rPr>
        <w:t> </w:t>
      </w:r>
      <w:r>
        <w:rPr>
          <w:w w:val="105"/>
        </w:rPr>
        <w:t>up</w:t>
      </w:r>
      <w:r>
        <w:rPr>
          <w:spacing w:val="-2"/>
          <w:w w:val="105"/>
        </w:rPr>
        <w:t> </w:t>
      </w:r>
      <w:r>
        <w:rPr>
          <w:w w:val="105"/>
        </w:rPr>
        <w:t>to</w:t>
      </w:r>
      <w:r>
        <w:rPr>
          <w:spacing w:val="-2"/>
          <w:w w:val="105"/>
        </w:rPr>
        <w:t> </w:t>
      </w:r>
      <w:r>
        <w:rPr>
          <w:w w:val="105"/>
        </w:rPr>
        <w:t>50%</w:t>
      </w:r>
      <w:r>
        <w:rPr>
          <w:spacing w:val="-2"/>
          <w:w w:val="105"/>
        </w:rPr>
        <w:t> </w:t>
      </w:r>
      <w:r>
        <w:rPr>
          <w:w w:val="105"/>
        </w:rPr>
        <w:t>of</w:t>
      </w:r>
      <w:r>
        <w:rPr>
          <w:spacing w:val="-2"/>
          <w:w w:val="105"/>
        </w:rPr>
        <w:t> </w:t>
      </w:r>
      <w:r>
        <w:rPr>
          <w:w w:val="105"/>
        </w:rPr>
        <w:t>the</w:t>
      </w:r>
      <w:r>
        <w:rPr>
          <w:spacing w:val="-2"/>
          <w:w w:val="105"/>
        </w:rPr>
        <w:t> </w:t>
      </w:r>
      <w:r>
        <w:rPr>
          <w:w w:val="105"/>
        </w:rPr>
        <w:t>excess</w:t>
      </w:r>
      <w:r>
        <w:rPr>
          <w:spacing w:val="-2"/>
          <w:w w:val="105"/>
        </w:rPr>
        <w:t> </w:t>
      </w:r>
      <w:r>
        <w:rPr>
          <w:w w:val="105"/>
        </w:rPr>
        <w:t>liability,</w:t>
      </w:r>
      <w:r>
        <w:rPr>
          <w:spacing w:val="-2"/>
          <w:w w:val="105"/>
        </w:rPr>
        <w:t> </w:t>
      </w:r>
      <w:r>
        <w:rPr>
          <w:w w:val="105"/>
        </w:rPr>
        <w:t>subject</w:t>
      </w:r>
      <w:r>
        <w:rPr>
          <w:spacing w:val="-2"/>
          <w:w w:val="105"/>
        </w:rPr>
        <w:t> </w:t>
      </w:r>
      <w:r>
        <w:rPr>
          <w:w w:val="105"/>
        </w:rPr>
        <w:t>to certain</w:t>
      </w:r>
      <w:r>
        <w:rPr>
          <w:spacing w:val="-2"/>
          <w:w w:val="105"/>
        </w:rPr>
        <w:t> </w:t>
      </w:r>
      <w:r>
        <w:rPr>
          <w:w w:val="105"/>
        </w:rPr>
        <w:t>conditions</w:t>
      </w:r>
      <w:r>
        <w:rPr>
          <w:spacing w:val="-2"/>
          <w:w w:val="105"/>
        </w:rPr>
        <w:t> </w:t>
      </w:r>
      <w:r>
        <w:rPr>
          <w:w w:val="105"/>
        </w:rPr>
        <w:t>and</w:t>
      </w:r>
      <w:r>
        <w:rPr>
          <w:spacing w:val="-2"/>
          <w:w w:val="105"/>
        </w:rPr>
        <w:t> </w:t>
      </w:r>
      <w:r>
        <w:rPr>
          <w:w w:val="105"/>
        </w:rPr>
        <w:t>limits.</w:t>
      </w:r>
      <w:r>
        <w:rPr>
          <w:spacing w:val="-2"/>
          <w:w w:val="105"/>
        </w:rPr>
        <w:t> </w:t>
      </w:r>
      <w:r>
        <w:rPr>
          <w:w w:val="105"/>
        </w:rPr>
        <w:t>As</w:t>
      </w:r>
      <w:r>
        <w:rPr>
          <w:spacing w:val="-2"/>
          <w:w w:val="105"/>
        </w:rPr>
        <w:t> </w:t>
      </w:r>
      <w:r>
        <w:rPr>
          <w:w w:val="105"/>
        </w:rPr>
        <w:t>of</w:t>
      </w:r>
      <w:r>
        <w:rPr>
          <w:spacing w:val="-2"/>
          <w:w w:val="105"/>
        </w:rPr>
        <w:t> </w:t>
      </w:r>
      <w:r>
        <w:rPr>
          <w:w w:val="105"/>
        </w:rPr>
        <w:t>December</w:t>
      </w:r>
      <w:r>
        <w:rPr>
          <w:spacing w:val="-2"/>
          <w:w w:val="105"/>
        </w:rPr>
        <w:t> </w:t>
      </w:r>
      <w:r>
        <w:rPr>
          <w:w w:val="105"/>
        </w:rPr>
        <w:t>31,</w:t>
      </w:r>
      <w:r>
        <w:rPr>
          <w:spacing w:val="-2"/>
          <w:w w:val="105"/>
        </w:rPr>
        <w:t> </w:t>
      </w:r>
      <w:r>
        <w:rPr>
          <w:w w:val="105"/>
        </w:rPr>
        <w:t>2021,</w:t>
      </w:r>
      <w:r>
        <w:rPr>
          <w:spacing w:val="-2"/>
          <w:w w:val="105"/>
        </w:rPr>
        <w:t> </w:t>
      </w:r>
      <w:r>
        <w:rPr>
          <w:w w:val="105"/>
        </w:rPr>
        <w:t>Dow</w:t>
      </w:r>
      <w:r>
        <w:rPr>
          <w:spacing w:val="-2"/>
          <w:w w:val="105"/>
        </w:rPr>
        <w:t> </w:t>
      </w:r>
      <w:r>
        <w:rPr>
          <w:w w:val="105"/>
        </w:rPr>
        <w:t>Corning</w:t>
      </w:r>
      <w:r>
        <w:rPr>
          <w:spacing w:val="-2"/>
          <w:w w:val="105"/>
        </w:rPr>
        <w:t> </w:t>
      </w:r>
      <w:r>
        <w:rPr>
          <w:w w:val="105"/>
        </w:rPr>
        <w:t>had</w:t>
      </w:r>
      <w:r>
        <w:rPr>
          <w:spacing w:val="-2"/>
          <w:w w:val="105"/>
        </w:rPr>
        <w:t> </w:t>
      </w:r>
      <w:r>
        <w:rPr>
          <w:w w:val="105"/>
        </w:rPr>
        <w:t>recorded</w:t>
      </w:r>
      <w:r>
        <w:rPr>
          <w:spacing w:val="-2"/>
          <w:w w:val="105"/>
        </w:rPr>
        <w:t> </w:t>
      </w:r>
      <w:r>
        <w:rPr>
          <w:w w:val="105"/>
        </w:rPr>
        <w:t>a</w:t>
      </w:r>
      <w:r>
        <w:rPr>
          <w:spacing w:val="-2"/>
          <w:w w:val="105"/>
        </w:rPr>
        <w:t> </w:t>
      </w:r>
      <w:r>
        <w:rPr>
          <w:w w:val="105"/>
        </w:rPr>
        <w:t>reserve</w:t>
      </w:r>
      <w:r>
        <w:rPr>
          <w:spacing w:val="-2"/>
          <w:w w:val="105"/>
        </w:rPr>
        <w:t> </w:t>
      </w:r>
      <w:r>
        <w:rPr>
          <w:w w:val="105"/>
        </w:rPr>
        <w:t>for</w:t>
      </w:r>
      <w:r>
        <w:rPr>
          <w:spacing w:val="-2"/>
          <w:w w:val="105"/>
        </w:rPr>
        <w:t> </w:t>
      </w:r>
      <w:r>
        <w:rPr>
          <w:w w:val="105"/>
        </w:rPr>
        <w:t>breast implant</w:t>
      </w:r>
      <w:r>
        <w:rPr>
          <w:spacing w:val="-8"/>
          <w:w w:val="105"/>
        </w:rPr>
        <w:t> </w:t>
      </w:r>
      <w:r>
        <w:rPr>
          <w:w w:val="105"/>
        </w:rPr>
        <w:t>litigation</w:t>
      </w:r>
      <w:r>
        <w:rPr>
          <w:spacing w:val="-8"/>
          <w:w w:val="105"/>
        </w:rPr>
        <w:t> </w:t>
      </w:r>
      <w:r>
        <w:rPr>
          <w:w w:val="105"/>
        </w:rPr>
        <w:t>of</w:t>
      </w:r>
      <w:r>
        <w:rPr>
          <w:spacing w:val="-8"/>
          <w:w w:val="105"/>
        </w:rPr>
        <w:t> </w:t>
      </w:r>
      <w:r>
        <w:rPr>
          <w:w w:val="105"/>
        </w:rPr>
        <w:t>$130</w:t>
      </w:r>
      <w:r>
        <w:rPr>
          <w:spacing w:val="-8"/>
          <w:w w:val="105"/>
        </w:rPr>
        <w:t> </w:t>
      </w:r>
      <w:r>
        <w:rPr>
          <w:w w:val="105"/>
        </w:rPr>
        <w:t>million.</w:t>
      </w:r>
      <w:r>
        <w:rPr>
          <w:spacing w:val="-8"/>
          <w:w w:val="105"/>
        </w:rPr>
        <w:t> </w:t>
      </w:r>
      <w:r>
        <w:rPr>
          <w:w w:val="105"/>
        </w:rPr>
        <w:t>As</w:t>
      </w:r>
      <w:r>
        <w:rPr>
          <w:spacing w:val="-8"/>
          <w:w w:val="105"/>
        </w:rPr>
        <w:t> </w:t>
      </w:r>
      <w:r>
        <w:rPr>
          <w:w w:val="105"/>
        </w:rPr>
        <w:t>a</w:t>
      </w:r>
      <w:r>
        <w:rPr>
          <w:spacing w:val="-8"/>
          <w:w w:val="105"/>
        </w:rPr>
        <w:t> </w:t>
      </w:r>
      <w:r>
        <w:rPr>
          <w:w w:val="105"/>
        </w:rPr>
        <w:t>result,</w:t>
      </w:r>
      <w:r>
        <w:rPr>
          <w:spacing w:val="-8"/>
          <w:w w:val="105"/>
        </w:rPr>
        <w:t> </w:t>
      </w:r>
      <w:r>
        <w:rPr>
          <w:w w:val="105"/>
        </w:rPr>
        <w:t>Corning</w:t>
      </w:r>
      <w:r>
        <w:rPr>
          <w:spacing w:val="-8"/>
          <w:w w:val="105"/>
        </w:rPr>
        <w:t> </w:t>
      </w:r>
      <w:r>
        <w:rPr>
          <w:w w:val="105"/>
        </w:rPr>
        <w:t>does</w:t>
      </w:r>
      <w:r>
        <w:rPr>
          <w:spacing w:val="-6"/>
          <w:w w:val="105"/>
        </w:rPr>
        <w:t> </w:t>
      </w:r>
      <w:r>
        <w:rPr>
          <w:w w:val="105"/>
        </w:rPr>
        <w:t>not</w:t>
      </w:r>
      <w:r>
        <w:rPr>
          <w:spacing w:val="-8"/>
          <w:w w:val="105"/>
        </w:rPr>
        <w:t> </w:t>
      </w:r>
      <w:r>
        <w:rPr>
          <w:w w:val="105"/>
        </w:rPr>
        <w:t>believe</w:t>
      </w:r>
      <w:r>
        <w:rPr>
          <w:spacing w:val="-8"/>
          <w:w w:val="105"/>
        </w:rPr>
        <w:t> </w:t>
      </w:r>
      <w:r>
        <w:rPr>
          <w:w w:val="105"/>
        </w:rPr>
        <w:t>its</w:t>
      </w:r>
      <w:r>
        <w:rPr>
          <w:spacing w:val="-8"/>
          <w:w w:val="105"/>
        </w:rPr>
        <w:t> </w:t>
      </w:r>
      <w:r>
        <w:rPr>
          <w:w w:val="105"/>
        </w:rPr>
        <w:t>indemnity</w:t>
      </w:r>
      <w:r>
        <w:rPr>
          <w:spacing w:val="-8"/>
          <w:w w:val="105"/>
        </w:rPr>
        <w:t> </w:t>
      </w:r>
      <w:r>
        <w:rPr>
          <w:w w:val="105"/>
        </w:rPr>
        <w:t>obligation</w:t>
      </w:r>
      <w:r>
        <w:rPr>
          <w:spacing w:val="-8"/>
          <w:w w:val="105"/>
        </w:rPr>
        <w:t> </w:t>
      </w:r>
      <w:r>
        <w:rPr>
          <w:w w:val="105"/>
        </w:rPr>
        <w:t>for</w:t>
      </w:r>
      <w:r>
        <w:rPr>
          <w:spacing w:val="-8"/>
          <w:w w:val="105"/>
        </w:rPr>
        <w:t> </w:t>
      </w:r>
      <w:r>
        <w:rPr>
          <w:w w:val="105"/>
        </w:rPr>
        <w:t>Dow</w:t>
      </w:r>
      <w:r>
        <w:rPr>
          <w:spacing w:val="-8"/>
          <w:w w:val="105"/>
        </w:rPr>
        <w:t> </w:t>
      </w:r>
      <w:r>
        <w:rPr>
          <w:w w:val="105"/>
        </w:rPr>
        <w:t>Corning’s</w:t>
      </w:r>
      <w:r>
        <w:rPr>
          <w:spacing w:val="-8"/>
          <w:w w:val="105"/>
        </w:rPr>
        <w:t> </w:t>
      </w:r>
      <w:r>
        <w:rPr>
          <w:w w:val="105"/>
        </w:rPr>
        <w:t>breast</w:t>
      </w:r>
      <w:r>
        <w:rPr>
          <w:spacing w:val="-8"/>
          <w:w w:val="105"/>
        </w:rPr>
        <w:t> </w:t>
      </w:r>
      <w:r>
        <w:rPr>
          <w:w w:val="105"/>
        </w:rPr>
        <w:t>implant</w:t>
      </w:r>
      <w:r>
        <w:rPr>
          <w:spacing w:val="-8"/>
          <w:w w:val="105"/>
        </w:rPr>
        <w:t> </w:t>
      </w:r>
      <w:r>
        <w:rPr>
          <w:w w:val="105"/>
        </w:rPr>
        <w:t>litigation</w:t>
      </w:r>
      <w:r>
        <w:rPr>
          <w:spacing w:val="-8"/>
          <w:w w:val="105"/>
        </w:rPr>
        <w:t> </w:t>
      </w:r>
      <w:r>
        <w:rPr>
          <w:w w:val="105"/>
        </w:rPr>
        <w:t>liability,</w:t>
      </w:r>
      <w:r>
        <w:rPr>
          <w:spacing w:val="-8"/>
          <w:w w:val="105"/>
        </w:rPr>
        <w:t> </w:t>
      </w:r>
      <w:r>
        <w:rPr>
          <w:w w:val="105"/>
        </w:rPr>
        <w:t>if</w:t>
      </w:r>
      <w:r>
        <w:rPr>
          <w:spacing w:val="-8"/>
          <w:w w:val="105"/>
        </w:rPr>
        <w:t> </w:t>
      </w:r>
      <w:r>
        <w:rPr>
          <w:w w:val="105"/>
        </w:rPr>
        <w:t>any,</w:t>
      </w:r>
      <w:r>
        <w:rPr>
          <w:spacing w:val="-8"/>
          <w:w w:val="105"/>
        </w:rPr>
        <w:t> </w:t>
      </w:r>
      <w:r>
        <w:rPr>
          <w:w w:val="105"/>
        </w:rPr>
        <w:t>will</w:t>
      </w:r>
      <w:r>
        <w:rPr>
          <w:spacing w:val="-8"/>
          <w:w w:val="105"/>
        </w:rPr>
        <w:t> </w:t>
      </w:r>
      <w:r>
        <w:rPr>
          <w:w w:val="105"/>
        </w:rPr>
        <w:t>be</w:t>
      </w:r>
      <w:r>
        <w:rPr>
          <w:spacing w:val="-8"/>
          <w:w w:val="105"/>
        </w:rPr>
        <w:t> </w:t>
      </w:r>
      <w:r>
        <w:rPr>
          <w:w w:val="105"/>
        </w:rPr>
        <w:t>material.</w:t>
      </w:r>
    </w:p>
    <w:p>
      <w:pPr>
        <w:pStyle w:val="BodyText"/>
        <w:spacing w:before="18"/>
      </w:pPr>
    </w:p>
    <w:p>
      <w:pPr>
        <w:spacing w:before="0"/>
        <w:ind w:left="156" w:right="0" w:firstLine="0"/>
        <w:jc w:val="left"/>
        <w:rPr>
          <w:i/>
          <w:sz w:val="16"/>
        </w:rPr>
      </w:pPr>
      <w:r>
        <w:rPr>
          <w:i/>
          <w:sz w:val="16"/>
        </w:rPr>
        <w:t>Dow</w:t>
      </w:r>
      <w:r>
        <w:rPr>
          <w:i/>
          <w:spacing w:val="17"/>
          <w:sz w:val="16"/>
        </w:rPr>
        <w:t> </w:t>
      </w:r>
      <w:r>
        <w:rPr>
          <w:i/>
          <w:sz w:val="16"/>
        </w:rPr>
        <w:t>Corning</w:t>
      </w:r>
      <w:r>
        <w:rPr>
          <w:i/>
          <w:spacing w:val="17"/>
          <w:sz w:val="16"/>
        </w:rPr>
        <w:t> </w:t>
      </w:r>
      <w:r>
        <w:rPr>
          <w:i/>
          <w:sz w:val="16"/>
        </w:rPr>
        <w:t>Bankruptcy</w:t>
      </w:r>
      <w:r>
        <w:rPr>
          <w:i/>
          <w:spacing w:val="17"/>
          <w:sz w:val="16"/>
        </w:rPr>
        <w:t> </w:t>
      </w:r>
      <w:r>
        <w:rPr>
          <w:i/>
          <w:sz w:val="16"/>
        </w:rPr>
        <w:t>Pendency</w:t>
      </w:r>
      <w:r>
        <w:rPr>
          <w:i/>
          <w:spacing w:val="17"/>
          <w:sz w:val="16"/>
        </w:rPr>
        <w:t> </w:t>
      </w:r>
      <w:r>
        <w:rPr>
          <w:i/>
          <w:sz w:val="16"/>
        </w:rPr>
        <w:t>Interest</w:t>
      </w:r>
      <w:r>
        <w:rPr>
          <w:i/>
          <w:spacing w:val="17"/>
          <w:sz w:val="16"/>
        </w:rPr>
        <w:t> </w:t>
      </w:r>
      <w:r>
        <w:rPr>
          <w:i/>
          <w:spacing w:val="-2"/>
          <w:sz w:val="16"/>
        </w:rPr>
        <w:t>Claims</w:t>
      </w:r>
    </w:p>
    <w:p>
      <w:pPr>
        <w:pStyle w:val="BodyText"/>
        <w:spacing w:before="39"/>
        <w:rPr>
          <w:i/>
        </w:rPr>
      </w:pPr>
    </w:p>
    <w:p>
      <w:pPr>
        <w:pStyle w:val="BodyText"/>
        <w:spacing w:line="266" w:lineRule="auto"/>
        <w:ind w:left="156" w:right="117"/>
      </w:pPr>
      <w:r>
        <w:rPr>
          <w:w w:val="105"/>
        </w:rPr>
        <w:t>As</w:t>
      </w:r>
      <w:r>
        <w:rPr>
          <w:spacing w:val="-2"/>
          <w:w w:val="105"/>
        </w:rPr>
        <w:t> </w:t>
      </w:r>
      <w:r>
        <w:rPr>
          <w:w w:val="105"/>
        </w:rPr>
        <w:t>a</w:t>
      </w:r>
      <w:r>
        <w:rPr>
          <w:spacing w:val="-2"/>
          <w:w w:val="105"/>
        </w:rPr>
        <w:t> </w:t>
      </w:r>
      <w:r>
        <w:rPr>
          <w:w w:val="105"/>
        </w:rPr>
        <w:t>separate</w:t>
      </w:r>
      <w:r>
        <w:rPr>
          <w:spacing w:val="-2"/>
          <w:w w:val="105"/>
        </w:rPr>
        <w:t> </w:t>
      </w:r>
      <w:r>
        <w:rPr>
          <w:w w:val="105"/>
        </w:rPr>
        <w:t>matter arising</w:t>
      </w:r>
      <w:r>
        <w:rPr>
          <w:spacing w:val="-2"/>
          <w:w w:val="105"/>
        </w:rPr>
        <w:t> </w:t>
      </w:r>
      <w:r>
        <w:rPr>
          <w:w w:val="105"/>
        </w:rPr>
        <w:t>from</w:t>
      </w:r>
      <w:r>
        <w:rPr>
          <w:spacing w:val="-2"/>
          <w:w w:val="105"/>
        </w:rPr>
        <w:t> </w:t>
      </w:r>
      <w:r>
        <w:rPr>
          <w:w w:val="105"/>
        </w:rPr>
        <w:t>the</w:t>
      </w:r>
      <w:r>
        <w:rPr>
          <w:spacing w:val="-2"/>
          <w:w w:val="105"/>
        </w:rPr>
        <w:t> </w:t>
      </w:r>
      <w:r>
        <w:rPr>
          <w:w w:val="105"/>
        </w:rPr>
        <w:t>bankruptcy</w:t>
      </w:r>
      <w:r>
        <w:rPr>
          <w:spacing w:val="-2"/>
          <w:w w:val="105"/>
        </w:rPr>
        <w:t> </w:t>
      </w:r>
      <w:r>
        <w:rPr>
          <w:w w:val="105"/>
        </w:rPr>
        <w:t>proceedings,</w:t>
      </w:r>
      <w:r>
        <w:rPr>
          <w:spacing w:val="-2"/>
          <w:w w:val="105"/>
        </w:rPr>
        <w:t> </w:t>
      </w:r>
      <w:r>
        <w:rPr>
          <w:w w:val="105"/>
        </w:rPr>
        <w:t>Dow</w:t>
      </w:r>
      <w:r>
        <w:rPr>
          <w:spacing w:val="-2"/>
          <w:w w:val="105"/>
        </w:rPr>
        <w:t> </w:t>
      </w:r>
      <w:r>
        <w:rPr>
          <w:w w:val="105"/>
        </w:rPr>
        <w:t>Corning</w:t>
      </w:r>
      <w:r>
        <w:rPr>
          <w:spacing w:val="-2"/>
          <w:w w:val="105"/>
        </w:rPr>
        <w:t> </w:t>
      </w:r>
      <w:r>
        <w:rPr>
          <w:w w:val="105"/>
        </w:rPr>
        <w:t>has</w:t>
      </w:r>
      <w:r>
        <w:rPr>
          <w:spacing w:val="-2"/>
          <w:w w:val="105"/>
        </w:rPr>
        <w:t> </w:t>
      </w:r>
      <w:r>
        <w:rPr>
          <w:w w:val="105"/>
        </w:rPr>
        <w:t>been</w:t>
      </w:r>
      <w:r>
        <w:rPr>
          <w:spacing w:val="-2"/>
          <w:w w:val="105"/>
        </w:rPr>
        <w:t> </w:t>
      </w:r>
      <w:r>
        <w:rPr>
          <w:w w:val="105"/>
        </w:rPr>
        <w:t>defending</w:t>
      </w:r>
      <w:r>
        <w:rPr>
          <w:spacing w:val="-2"/>
          <w:w w:val="105"/>
        </w:rPr>
        <w:t> </w:t>
      </w:r>
      <w:r>
        <w:rPr>
          <w:w w:val="105"/>
        </w:rPr>
        <w:t>claims</w:t>
      </w:r>
      <w:r>
        <w:rPr>
          <w:spacing w:val="-2"/>
          <w:w w:val="105"/>
        </w:rPr>
        <w:t> </w:t>
      </w:r>
      <w:r>
        <w:rPr>
          <w:w w:val="105"/>
        </w:rPr>
        <w:t>asserted</w:t>
      </w:r>
      <w:r>
        <w:rPr>
          <w:spacing w:val="-2"/>
          <w:w w:val="105"/>
        </w:rPr>
        <w:t> </w:t>
      </w:r>
      <w:r>
        <w:rPr>
          <w:w w:val="105"/>
        </w:rPr>
        <w:t>by</w:t>
      </w:r>
      <w:r>
        <w:rPr>
          <w:spacing w:val="-2"/>
          <w:w w:val="105"/>
        </w:rPr>
        <w:t> </w:t>
      </w:r>
      <w:r>
        <w:rPr>
          <w:w w:val="105"/>
        </w:rPr>
        <w:t>commercial</w:t>
      </w:r>
      <w:r>
        <w:rPr>
          <w:spacing w:val="-2"/>
          <w:w w:val="105"/>
        </w:rPr>
        <w:t> </w:t>
      </w:r>
      <w:r>
        <w:rPr>
          <w:w w:val="105"/>
        </w:rPr>
        <w:t>creditors</w:t>
      </w:r>
      <w:r>
        <w:rPr>
          <w:spacing w:val="-2"/>
          <w:w w:val="105"/>
        </w:rPr>
        <w:t> </w:t>
      </w:r>
      <w:r>
        <w:rPr>
          <w:w w:val="105"/>
        </w:rPr>
        <w:t>who</w:t>
      </w:r>
      <w:r>
        <w:rPr>
          <w:spacing w:val="-2"/>
          <w:w w:val="105"/>
        </w:rPr>
        <w:t> </w:t>
      </w:r>
      <w:r>
        <w:rPr>
          <w:w w:val="105"/>
        </w:rPr>
        <w:t>claimed</w:t>
      </w:r>
      <w:r>
        <w:rPr>
          <w:spacing w:val="-2"/>
          <w:w w:val="105"/>
        </w:rPr>
        <w:t> </w:t>
      </w:r>
      <w:r>
        <w:rPr>
          <w:w w:val="105"/>
        </w:rPr>
        <w:t>additional compounded</w:t>
      </w:r>
      <w:r>
        <w:rPr>
          <w:spacing w:val="-2"/>
          <w:w w:val="105"/>
        </w:rPr>
        <w:t> </w:t>
      </w:r>
      <w:r>
        <w:rPr>
          <w:w w:val="105"/>
        </w:rPr>
        <w:t>interest</w:t>
      </w:r>
      <w:r>
        <w:rPr>
          <w:spacing w:val="-2"/>
          <w:w w:val="105"/>
        </w:rPr>
        <w:t> </w:t>
      </w:r>
      <w:r>
        <w:rPr>
          <w:w w:val="105"/>
        </w:rPr>
        <w:t>at</w:t>
      </w:r>
      <w:r>
        <w:rPr>
          <w:spacing w:val="-2"/>
          <w:w w:val="105"/>
        </w:rPr>
        <w:t> </w:t>
      </w:r>
      <w:r>
        <w:rPr>
          <w:w w:val="105"/>
        </w:rPr>
        <w:t>default</w:t>
      </w:r>
      <w:r>
        <w:rPr>
          <w:spacing w:val="-2"/>
          <w:w w:val="105"/>
        </w:rPr>
        <w:t> </w:t>
      </w:r>
      <w:r>
        <w:rPr>
          <w:w w:val="105"/>
        </w:rPr>
        <w:t>and</w:t>
      </w:r>
      <w:r>
        <w:rPr>
          <w:spacing w:val="-2"/>
          <w:w w:val="105"/>
        </w:rPr>
        <w:t> </w:t>
      </w:r>
      <w:r>
        <w:rPr>
          <w:w w:val="105"/>
        </w:rPr>
        <w:t>state</w:t>
      </w:r>
      <w:r>
        <w:rPr>
          <w:spacing w:val="-2"/>
          <w:w w:val="105"/>
        </w:rPr>
        <w:t> </w:t>
      </w:r>
      <w:r>
        <w:rPr>
          <w:w w:val="105"/>
        </w:rPr>
        <w:t>statutory</w:t>
      </w:r>
      <w:r>
        <w:rPr>
          <w:spacing w:val="-2"/>
          <w:w w:val="105"/>
        </w:rPr>
        <w:t> </w:t>
      </w:r>
      <w:r>
        <w:rPr>
          <w:w w:val="105"/>
        </w:rPr>
        <w:t>judgment</w:t>
      </w:r>
      <w:r>
        <w:rPr>
          <w:spacing w:val="-2"/>
          <w:w w:val="105"/>
        </w:rPr>
        <w:t> </w:t>
      </w:r>
      <w:r>
        <w:rPr>
          <w:w w:val="105"/>
        </w:rPr>
        <w:t>rates</w:t>
      </w:r>
      <w:r>
        <w:rPr>
          <w:spacing w:val="-2"/>
          <w:w w:val="105"/>
        </w:rPr>
        <w:t> </w:t>
      </w:r>
      <w:r>
        <w:rPr>
          <w:w w:val="105"/>
        </w:rPr>
        <w:t>as</w:t>
      </w:r>
      <w:r>
        <w:rPr>
          <w:spacing w:val="-2"/>
          <w:w w:val="105"/>
        </w:rPr>
        <w:t> </w:t>
      </w:r>
      <w:r>
        <w:rPr>
          <w:w w:val="105"/>
        </w:rPr>
        <w:t>well</w:t>
      </w:r>
      <w:r>
        <w:rPr>
          <w:spacing w:val="-2"/>
          <w:w w:val="105"/>
        </w:rPr>
        <w:t> </w:t>
      </w:r>
      <w:r>
        <w:rPr>
          <w:w w:val="105"/>
        </w:rPr>
        <w:t>as attorneys’</w:t>
      </w:r>
      <w:r>
        <w:rPr>
          <w:spacing w:val="-2"/>
          <w:w w:val="105"/>
        </w:rPr>
        <w:t> </w:t>
      </w:r>
      <w:r>
        <w:rPr>
          <w:w w:val="105"/>
        </w:rPr>
        <w:t>fees</w:t>
      </w:r>
      <w:r>
        <w:rPr>
          <w:spacing w:val="-2"/>
          <w:w w:val="105"/>
        </w:rPr>
        <w:t> </w:t>
      </w:r>
      <w:r>
        <w:rPr>
          <w:w w:val="105"/>
        </w:rPr>
        <w:t>and</w:t>
      </w:r>
      <w:r>
        <w:rPr>
          <w:spacing w:val="-2"/>
          <w:w w:val="105"/>
        </w:rPr>
        <w:t> </w:t>
      </w:r>
      <w:r>
        <w:rPr>
          <w:w w:val="105"/>
        </w:rPr>
        <w:t>other enforcement</w:t>
      </w:r>
      <w:r>
        <w:rPr>
          <w:spacing w:val="-2"/>
          <w:w w:val="105"/>
        </w:rPr>
        <w:t> </w:t>
      </w:r>
      <w:r>
        <w:rPr>
          <w:w w:val="105"/>
        </w:rPr>
        <w:t>costs,</w:t>
      </w:r>
      <w:r>
        <w:rPr>
          <w:spacing w:val="-2"/>
          <w:w w:val="105"/>
        </w:rPr>
        <w:t> </w:t>
      </w:r>
      <w:r>
        <w:rPr>
          <w:w w:val="105"/>
        </w:rPr>
        <w:t>during</w:t>
      </w:r>
      <w:r>
        <w:rPr>
          <w:spacing w:val="-2"/>
          <w:w w:val="105"/>
        </w:rPr>
        <w:t> </w:t>
      </w:r>
      <w:r>
        <w:rPr>
          <w:w w:val="105"/>
        </w:rPr>
        <w:t>the</w:t>
      </w:r>
      <w:r>
        <w:rPr>
          <w:spacing w:val="-2"/>
          <w:w w:val="105"/>
        </w:rPr>
        <w:t> </w:t>
      </w:r>
      <w:r>
        <w:rPr>
          <w:w w:val="105"/>
        </w:rPr>
        <w:t>period</w:t>
      </w:r>
      <w:r>
        <w:rPr>
          <w:spacing w:val="-2"/>
          <w:w w:val="105"/>
        </w:rPr>
        <w:t> </w:t>
      </w:r>
      <w:r>
        <w:rPr>
          <w:w w:val="105"/>
        </w:rPr>
        <w:t>from</w:t>
      </w:r>
      <w:r>
        <w:rPr>
          <w:spacing w:val="-2"/>
          <w:w w:val="105"/>
        </w:rPr>
        <w:t> </w:t>
      </w:r>
      <w:r>
        <w:rPr>
          <w:w w:val="105"/>
        </w:rPr>
        <w:t>May</w:t>
      </w:r>
      <w:r>
        <w:rPr>
          <w:spacing w:val="-2"/>
          <w:w w:val="105"/>
        </w:rPr>
        <w:t> </w:t>
      </w:r>
      <w:r>
        <w:rPr>
          <w:w w:val="105"/>
        </w:rPr>
        <w:t>1995</w:t>
      </w:r>
      <w:r>
        <w:rPr>
          <w:spacing w:val="-2"/>
          <w:w w:val="105"/>
        </w:rPr>
        <w:t> </w:t>
      </w:r>
      <w:r>
        <w:rPr>
          <w:w w:val="105"/>
        </w:rPr>
        <w:t>through</w:t>
      </w:r>
      <w:r>
        <w:rPr>
          <w:spacing w:val="-2"/>
          <w:w w:val="105"/>
        </w:rPr>
        <w:t> </w:t>
      </w:r>
      <w:r>
        <w:rPr>
          <w:w w:val="105"/>
        </w:rPr>
        <w:t>June 2004.</w:t>
      </w:r>
      <w:r>
        <w:rPr>
          <w:spacing w:val="-7"/>
          <w:w w:val="105"/>
        </w:rPr>
        <w:t> </w:t>
      </w:r>
      <w:r>
        <w:rPr>
          <w:w w:val="105"/>
        </w:rPr>
        <w:t>As</w:t>
      </w:r>
      <w:r>
        <w:rPr>
          <w:spacing w:val="-7"/>
          <w:w w:val="105"/>
        </w:rPr>
        <w:t> </w:t>
      </w:r>
      <w:r>
        <w:rPr>
          <w:w w:val="105"/>
        </w:rPr>
        <w:t>of</w:t>
      </w:r>
      <w:r>
        <w:rPr>
          <w:spacing w:val="-6"/>
          <w:w w:val="105"/>
        </w:rPr>
        <w:t> </w:t>
      </w:r>
      <w:r>
        <w:rPr>
          <w:w w:val="105"/>
        </w:rPr>
        <w:t>May</w:t>
      </w:r>
      <w:r>
        <w:rPr>
          <w:spacing w:val="-7"/>
          <w:w w:val="105"/>
        </w:rPr>
        <w:t> </w:t>
      </w:r>
      <w:r>
        <w:rPr>
          <w:w w:val="105"/>
        </w:rPr>
        <w:t>31,</w:t>
      </w:r>
      <w:r>
        <w:rPr>
          <w:spacing w:val="-7"/>
          <w:w w:val="105"/>
        </w:rPr>
        <w:t> </w:t>
      </w:r>
      <w:r>
        <w:rPr>
          <w:w w:val="105"/>
        </w:rPr>
        <w:t>2016,</w:t>
      </w:r>
      <w:r>
        <w:rPr>
          <w:spacing w:val="-7"/>
          <w:w w:val="105"/>
        </w:rPr>
        <w:t> </w:t>
      </w:r>
      <w:r>
        <w:rPr>
          <w:w w:val="105"/>
        </w:rPr>
        <w:t>Dow</w:t>
      </w:r>
      <w:r>
        <w:rPr>
          <w:spacing w:val="-7"/>
          <w:w w:val="105"/>
        </w:rPr>
        <w:t> </w:t>
      </w:r>
      <w:r>
        <w:rPr>
          <w:w w:val="105"/>
        </w:rPr>
        <w:t>Corning</w:t>
      </w:r>
      <w:r>
        <w:rPr>
          <w:spacing w:val="-7"/>
          <w:w w:val="105"/>
        </w:rPr>
        <w:t> </w:t>
      </w:r>
      <w:r>
        <w:rPr>
          <w:w w:val="105"/>
        </w:rPr>
        <w:t>had</w:t>
      </w:r>
      <w:r>
        <w:rPr>
          <w:spacing w:val="-7"/>
          <w:w w:val="105"/>
        </w:rPr>
        <w:t> </w:t>
      </w:r>
      <w:r>
        <w:rPr>
          <w:w w:val="105"/>
        </w:rPr>
        <w:t>recorded</w:t>
      </w:r>
      <w:r>
        <w:rPr>
          <w:spacing w:val="-7"/>
          <w:w w:val="105"/>
        </w:rPr>
        <w:t> </w:t>
      </w:r>
      <w:r>
        <w:rPr>
          <w:w w:val="105"/>
        </w:rPr>
        <w:t>a</w:t>
      </w:r>
      <w:r>
        <w:rPr>
          <w:spacing w:val="-7"/>
          <w:w w:val="105"/>
        </w:rPr>
        <w:t> </w:t>
      </w:r>
      <w:r>
        <w:rPr>
          <w:w w:val="105"/>
        </w:rPr>
        <w:t>reserve</w:t>
      </w:r>
      <w:r>
        <w:rPr>
          <w:spacing w:val="-7"/>
          <w:w w:val="105"/>
        </w:rPr>
        <w:t> </w:t>
      </w:r>
      <w:r>
        <w:rPr>
          <w:w w:val="105"/>
        </w:rPr>
        <w:t>for</w:t>
      </w:r>
      <w:r>
        <w:rPr>
          <w:spacing w:val="-7"/>
          <w:w w:val="105"/>
        </w:rPr>
        <w:t> </w:t>
      </w:r>
      <w:r>
        <w:rPr>
          <w:w w:val="105"/>
        </w:rPr>
        <w:t>these</w:t>
      </w:r>
      <w:r>
        <w:rPr>
          <w:spacing w:val="-7"/>
          <w:w w:val="105"/>
        </w:rPr>
        <w:t> </w:t>
      </w:r>
      <w:r>
        <w:rPr>
          <w:w w:val="105"/>
        </w:rPr>
        <w:t>claims</w:t>
      </w:r>
      <w:r>
        <w:rPr>
          <w:spacing w:val="-7"/>
          <w:w w:val="105"/>
        </w:rPr>
        <w:t> </w:t>
      </w:r>
      <w:r>
        <w:rPr>
          <w:w w:val="105"/>
        </w:rPr>
        <w:t>of</w:t>
      </w:r>
      <w:r>
        <w:rPr>
          <w:spacing w:val="-7"/>
          <w:w w:val="105"/>
        </w:rPr>
        <w:t> </w:t>
      </w:r>
      <w:r>
        <w:rPr>
          <w:w w:val="105"/>
        </w:rPr>
        <w:t>$107</w:t>
      </w:r>
      <w:r>
        <w:rPr>
          <w:spacing w:val="-7"/>
          <w:w w:val="105"/>
        </w:rPr>
        <w:t> </w:t>
      </w:r>
      <w:r>
        <w:rPr>
          <w:w w:val="105"/>
        </w:rPr>
        <w:t>million.</w:t>
      </w:r>
      <w:r>
        <w:rPr>
          <w:spacing w:val="-7"/>
          <w:w w:val="105"/>
        </w:rPr>
        <w:t> </w:t>
      </w:r>
      <w:r>
        <w:rPr>
          <w:w w:val="105"/>
        </w:rPr>
        <w:t>Dow</w:t>
      </w:r>
      <w:r>
        <w:rPr>
          <w:spacing w:val="-7"/>
          <w:w w:val="105"/>
        </w:rPr>
        <w:t> </w:t>
      </w:r>
      <w:r>
        <w:rPr>
          <w:w w:val="105"/>
        </w:rPr>
        <w:t>Corning</w:t>
      </w:r>
      <w:r>
        <w:rPr>
          <w:spacing w:val="-7"/>
          <w:w w:val="105"/>
        </w:rPr>
        <w:t> </w:t>
      </w:r>
      <w:r>
        <w:rPr>
          <w:w w:val="105"/>
        </w:rPr>
        <w:t>settled</w:t>
      </w:r>
      <w:r>
        <w:rPr>
          <w:spacing w:val="-7"/>
          <w:w w:val="105"/>
        </w:rPr>
        <w:t> </w:t>
      </w:r>
      <w:r>
        <w:rPr>
          <w:w w:val="105"/>
        </w:rPr>
        <w:t>those</w:t>
      </w:r>
      <w:r>
        <w:rPr>
          <w:spacing w:val="-7"/>
          <w:w w:val="105"/>
        </w:rPr>
        <w:t> </w:t>
      </w:r>
      <w:r>
        <w:rPr>
          <w:w w:val="105"/>
        </w:rPr>
        <w:t>claims</w:t>
      </w:r>
      <w:r>
        <w:rPr>
          <w:spacing w:val="-6"/>
          <w:w w:val="105"/>
        </w:rPr>
        <w:t> </w:t>
      </w:r>
      <w:r>
        <w:rPr>
          <w:w w:val="105"/>
        </w:rPr>
        <w:t>as</w:t>
      </w:r>
      <w:r>
        <w:rPr>
          <w:spacing w:val="-7"/>
          <w:w w:val="105"/>
        </w:rPr>
        <w:t> </w:t>
      </w:r>
      <w:r>
        <w:rPr>
          <w:w w:val="105"/>
        </w:rPr>
        <w:t>of</w:t>
      </w:r>
      <w:r>
        <w:rPr>
          <w:spacing w:val="-7"/>
          <w:w w:val="105"/>
        </w:rPr>
        <w:t> </w:t>
      </w:r>
      <w:r>
        <w:rPr>
          <w:w w:val="105"/>
        </w:rPr>
        <w:t>September</w:t>
      </w:r>
      <w:r>
        <w:rPr>
          <w:spacing w:val="-7"/>
          <w:w w:val="105"/>
        </w:rPr>
        <w:t> </w:t>
      </w:r>
      <w:r>
        <w:rPr>
          <w:w w:val="105"/>
        </w:rPr>
        <w:t>30,</w:t>
      </w:r>
      <w:r>
        <w:rPr>
          <w:spacing w:val="-7"/>
          <w:w w:val="105"/>
        </w:rPr>
        <w:t> </w:t>
      </w:r>
      <w:r>
        <w:rPr>
          <w:w w:val="105"/>
        </w:rPr>
        <w:t>2019</w:t>
      </w:r>
      <w:r>
        <w:rPr>
          <w:spacing w:val="-6"/>
          <w:w w:val="105"/>
        </w:rPr>
        <w:t> </w:t>
      </w:r>
      <w:r>
        <w:rPr>
          <w:w w:val="105"/>
        </w:rPr>
        <w:t>and</w:t>
      </w:r>
      <w:r>
        <w:rPr>
          <w:spacing w:val="-7"/>
          <w:w w:val="105"/>
        </w:rPr>
        <w:t> </w:t>
      </w:r>
      <w:r>
        <w:rPr>
          <w:w w:val="105"/>
        </w:rPr>
        <w:t>received approval</w:t>
      </w:r>
      <w:r>
        <w:rPr>
          <w:spacing w:val="-1"/>
          <w:w w:val="105"/>
        </w:rPr>
        <w:t> </w:t>
      </w:r>
      <w:r>
        <w:rPr>
          <w:w w:val="105"/>
        </w:rPr>
        <w:t>of</w:t>
      </w:r>
      <w:r>
        <w:rPr>
          <w:spacing w:val="-1"/>
          <w:w w:val="105"/>
        </w:rPr>
        <w:t> </w:t>
      </w:r>
      <w:r>
        <w:rPr>
          <w:w w:val="105"/>
        </w:rPr>
        <w:t>the</w:t>
      </w:r>
      <w:r>
        <w:rPr>
          <w:spacing w:val="-1"/>
          <w:w w:val="105"/>
        </w:rPr>
        <w:t> </w:t>
      </w:r>
      <w:r>
        <w:rPr>
          <w:w w:val="105"/>
        </w:rPr>
        <w:t>settlement</w:t>
      </w:r>
      <w:r>
        <w:rPr>
          <w:spacing w:val="-1"/>
          <w:w w:val="105"/>
        </w:rPr>
        <w:t> </w:t>
      </w:r>
      <w:r>
        <w:rPr>
          <w:w w:val="105"/>
        </w:rPr>
        <w:t>from</w:t>
      </w:r>
      <w:r>
        <w:rPr>
          <w:spacing w:val="-1"/>
          <w:w w:val="105"/>
        </w:rPr>
        <w:t> </w:t>
      </w:r>
      <w:r>
        <w:rPr>
          <w:w w:val="105"/>
        </w:rPr>
        <w:t>the</w:t>
      </w:r>
      <w:r>
        <w:rPr>
          <w:spacing w:val="-1"/>
          <w:w w:val="105"/>
        </w:rPr>
        <w:t> </w:t>
      </w:r>
      <w:r>
        <w:rPr>
          <w:w w:val="105"/>
        </w:rPr>
        <w:t>bankruptcy</w:t>
      </w:r>
      <w:r>
        <w:rPr>
          <w:spacing w:val="-1"/>
          <w:w w:val="105"/>
        </w:rPr>
        <w:t> </w:t>
      </w:r>
      <w:r>
        <w:rPr>
          <w:w w:val="105"/>
        </w:rPr>
        <w:t>court.</w:t>
      </w:r>
      <w:r>
        <w:rPr>
          <w:spacing w:val="-1"/>
          <w:w w:val="105"/>
        </w:rPr>
        <w:t> </w:t>
      </w:r>
      <w:r>
        <w:rPr>
          <w:w w:val="105"/>
        </w:rPr>
        <w:t>Corning</w:t>
      </w:r>
      <w:r>
        <w:rPr>
          <w:spacing w:val="-1"/>
          <w:w w:val="105"/>
        </w:rPr>
        <w:t> </w:t>
      </w:r>
      <w:r>
        <w:rPr>
          <w:w w:val="105"/>
        </w:rPr>
        <w:t>does</w:t>
      </w:r>
      <w:r>
        <w:rPr>
          <w:spacing w:val="-1"/>
          <w:w w:val="105"/>
        </w:rPr>
        <w:t> </w:t>
      </w:r>
      <w:r>
        <w:rPr>
          <w:w w:val="105"/>
        </w:rPr>
        <w:t>not</w:t>
      </w:r>
      <w:r>
        <w:rPr>
          <w:spacing w:val="-1"/>
          <w:w w:val="105"/>
        </w:rPr>
        <w:t> </w:t>
      </w:r>
      <w:r>
        <w:rPr>
          <w:w w:val="105"/>
        </w:rPr>
        <w:t>believe</w:t>
      </w:r>
      <w:r>
        <w:rPr>
          <w:spacing w:val="-1"/>
          <w:w w:val="105"/>
        </w:rPr>
        <w:t> </w:t>
      </w:r>
      <w:r>
        <w:rPr>
          <w:w w:val="105"/>
        </w:rPr>
        <w:t>its</w:t>
      </w:r>
      <w:r>
        <w:rPr>
          <w:spacing w:val="-1"/>
          <w:w w:val="105"/>
        </w:rPr>
        <w:t> </w:t>
      </w:r>
      <w:r>
        <w:rPr>
          <w:w w:val="105"/>
        </w:rPr>
        <w:t>indemnity</w:t>
      </w:r>
      <w:r>
        <w:rPr>
          <w:spacing w:val="-1"/>
          <w:w w:val="105"/>
        </w:rPr>
        <w:t> </w:t>
      </w:r>
      <w:r>
        <w:rPr>
          <w:w w:val="105"/>
        </w:rPr>
        <w:t>obligation,</w:t>
      </w:r>
      <w:r>
        <w:rPr>
          <w:spacing w:val="-1"/>
          <w:w w:val="105"/>
        </w:rPr>
        <w:t> </w:t>
      </w:r>
      <w:r>
        <w:rPr>
          <w:w w:val="105"/>
        </w:rPr>
        <w:t>if</w:t>
      </w:r>
      <w:r>
        <w:rPr>
          <w:spacing w:val="-1"/>
          <w:w w:val="105"/>
        </w:rPr>
        <w:t> </w:t>
      </w:r>
      <w:r>
        <w:rPr>
          <w:w w:val="105"/>
        </w:rPr>
        <w:t>any,</w:t>
      </w:r>
      <w:r>
        <w:rPr>
          <w:spacing w:val="-1"/>
          <w:w w:val="105"/>
        </w:rPr>
        <w:t> </w:t>
      </w:r>
      <w:r>
        <w:rPr>
          <w:w w:val="105"/>
        </w:rPr>
        <w:t>for</w:t>
      </w:r>
      <w:r>
        <w:rPr>
          <w:spacing w:val="-1"/>
          <w:w w:val="105"/>
        </w:rPr>
        <w:t> </w:t>
      </w:r>
      <w:r>
        <w:rPr>
          <w:w w:val="105"/>
        </w:rPr>
        <w:t>Dow</w:t>
      </w:r>
      <w:r>
        <w:rPr>
          <w:spacing w:val="-1"/>
          <w:w w:val="105"/>
        </w:rPr>
        <w:t> </w:t>
      </w:r>
      <w:r>
        <w:rPr>
          <w:w w:val="105"/>
        </w:rPr>
        <w:t>Corning’s</w:t>
      </w:r>
      <w:r>
        <w:rPr>
          <w:spacing w:val="-1"/>
          <w:w w:val="105"/>
        </w:rPr>
        <w:t> </w:t>
      </w:r>
      <w:r>
        <w:rPr>
          <w:w w:val="105"/>
        </w:rPr>
        <w:t>liability</w:t>
      </w:r>
      <w:r>
        <w:rPr>
          <w:spacing w:val="-1"/>
          <w:w w:val="105"/>
        </w:rPr>
        <w:t> </w:t>
      </w:r>
      <w:r>
        <w:rPr>
          <w:w w:val="105"/>
        </w:rPr>
        <w:t>to</w:t>
      </w:r>
      <w:r>
        <w:rPr>
          <w:spacing w:val="-1"/>
          <w:w w:val="105"/>
        </w:rPr>
        <w:t> </w:t>
      </w:r>
      <w:r>
        <w:rPr>
          <w:w w:val="105"/>
        </w:rPr>
        <w:t>be</w:t>
      </w:r>
      <w:r>
        <w:rPr>
          <w:spacing w:val="-1"/>
          <w:w w:val="105"/>
        </w:rPr>
        <w:t> </w:t>
      </w:r>
      <w:r>
        <w:rPr>
          <w:w w:val="105"/>
        </w:rPr>
        <w:t>material.</w:t>
      </w:r>
    </w:p>
    <w:p>
      <w:pPr>
        <w:pStyle w:val="BodyText"/>
        <w:spacing w:before="18"/>
      </w:pPr>
    </w:p>
    <w:p>
      <w:pPr>
        <w:spacing w:before="1"/>
        <w:ind w:left="156" w:right="0" w:firstLine="0"/>
        <w:jc w:val="left"/>
        <w:rPr>
          <w:i/>
          <w:sz w:val="16"/>
        </w:rPr>
      </w:pPr>
      <w:r>
        <w:rPr>
          <w:i/>
          <w:sz w:val="16"/>
        </w:rPr>
        <w:t>Dow</w:t>
      </w:r>
      <w:r>
        <w:rPr>
          <w:i/>
          <w:spacing w:val="18"/>
          <w:sz w:val="16"/>
        </w:rPr>
        <w:t> </w:t>
      </w:r>
      <w:r>
        <w:rPr>
          <w:i/>
          <w:sz w:val="16"/>
        </w:rPr>
        <w:t>Corning</w:t>
      </w:r>
      <w:r>
        <w:rPr>
          <w:i/>
          <w:spacing w:val="19"/>
          <w:sz w:val="16"/>
        </w:rPr>
        <w:t> </w:t>
      </w:r>
      <w:r>
        <w:rPr>
          <w:i/>
          <w:sz w:val="16"/>
        </w:rPr>
        <w:t>Environmental</w:t>
      </w:r>
      <w:r>
        <w:rPr>
          <w:i/>
          <w:spacing w:val="19"/>
          <w:sz w:val="16"/>
        </w:rPr>
        <w:t> </w:t>
      </w:r>
      <w:r>
        <w:rPr>
          <w:i/>
          <w:spacing w:val="-2"/>
          <w:sz w:val="16"/>
        </w:rPr>
        <w:t>Claims</w:t>
      </w:r>
    </w:p>
    <w:p>
      <w:pPr>
        <w:pStyle w:val="BodyText"/>
        <w:spacing w:before="39"/>
        <w:rPr>
          <w:i/>
        </w:rPr>
      </w:pPr>
    </w:p>
    <w:p>
      <w:pPr>
        <w:pStyle w:val="BodyText"/>
        <w:spacing w:line="266" w:lineRule="auto"/>
        <w:ind w:left="156"/>
      </w:pPr>
      <w:r>
        <w:rPr>
          <w:w w:val="105"/>
        </w:rPr>
        <w:t>In</w:t>
      </w:r>
      <w:r>
        <w:rPr>
          <w:spacing w:val="-8"/>
          <w:w w:val="105"/>
        </w:rPr>
        <w:t> </w:t>
      </w:r>
      <w:r>
        <w:rPr>
          <w:w w:val="105"/>
        </w:rPr>
        <w:t>September</w:t>
      </w:r>
      <w:r>
        <w:rPr>
          <w:spacing w:val="-8"/>
          <w:w w:val="105"/>
        </w:rPr>
        <w:t> </w:t>
      </w:r>
      <w:r>
        <w:rPr>
          <w:w w:val="105"/>
        </w:rPr>
        <w:t>2019,</w:t>
      </w:r>
      <w:r>
        <w:rPr>
          <w:spacing w:val="-7"/>
          <w:w w:val="105"/>
        </w:rPr>
        <w:t> </w:t>
      </w:r>
      <w:r>
        <w:rPr>
          <w:w w:val="105"/>
        </w:rPr>
        <w:t>Dow</w:t>
      </w:r>
      <w:r>
        <w:rPr>
          <w:spacing w:val="-8"/>
          <w:w w:val="105"/>
        </w:rPr>
        <w:t> </w:t>
      </w:r>
      <w:r>
        <w:rPr>
          <w:w w:val="105"/>
        </w:rPr>
        <w:t>formally</w:t>
      </w:r>
      <w:r>
        <w:rPr>
          <w:spacing w:val="-8"/>
          <w:w w:val="105"/>
        </w:rPr>
        <w:t> </w:t>
      </w:r>
      <w:r>
        <w:rPr>
          <w:w w:val="105"/>
        </w:rPr>
        <w:t>notified</w:t>
      </w:r>
      <w:r>
        <w:rPr>
          <w:spacing w:val="-8"/>
          <w:w w:val="105"/>
        </w:rPr>
        <w:t> </w:t>
      </w:r>
      <w:r>
        <w:rPr>
          <w:w w:val="105"/>
        </w:rPr>
        <w:t>Corning</w:t>
      </w:r>
      <w:r>
        <w:rPr>
          <w:spacing w:val="-8"/>
          <w:w w:val="105"/>
        </w:rPr>
        <w:t> </w:t>
      </w:r>
      <w:r>
        <w:rPr>
          <w:w w:val="105"/>
        </w:rPr>
        <w:t>of</w:t>
      </w:r>
      <w:r>
        <w:rPr>
          <w:spacing w:val="-8"/>
          <w:w w:val="105"/>
        </w:rPr>
        <w:t> </w:t>
      </w:r>
      <w:r>
        <w:rPr>
          <w:w w:val="105"/>
        </w:rPr>
        <w:t>certain</w:t>
      </w:r>
      <w:r>
        <w:rPr>
          <w:spacing w:val="-8"/>
          <w:w w:val="105"/>
        </w:rPr>
        <w:t> </w:t>
      </w:r>
      <w:r>
        <w:rPr>
          <w:w w:val="105"/>
        </w:rPr>
        <w:t>environmental</w:t>
      </w:r>
      <w:r>
        <w:rPr>
          <w:spacing w:val="-7"/>
          <w:w w:val="105"/>
        </w:rPr>
        <w:t> </w:t>
      </w:r>
      <w:r>
        <w:rPr>
          <w:w w:val="105"/>
        </w:rPr>
        <w:t>matters</w:t>
      </w:r>
      <w:r>
        <w:rPr>
          <w:spacing w:val="-8"/>
          <w:w w:val="105"/>
        </w:rPr>
        <w:t> </w:t>
      </w:r>
      <w:r>
        <w:rPr>
          <w:w w:val="105"/>
        </w:rPr>
        <w:t>for</w:t>
      </w:r>
      <w:r>
        <w:rPr>
          <w:spacing w:val="-8"/>
          <w:w w:val="105"/>
        </w:rPr>
        <w:t> </w:t>
      </w:r>
      <w:r>
        <w:rPr>
          <w:w w:val="105"/>
        </w:rPr>
        <w:t>which</w:t>
      </w:r>
      <w:r>
        <w:rPr>
          <w:spacing w:val="-8"/>
          <w:w w:val="105"/>
        </w:rPr>
        <w:t> </w:t>
      </w:r>
      <w:r>
        <w:rPr>
          <w:w w:val="105"/>
        </w:rPr>
        <w:t>Dow</w:t>
      </w:r>
      <w:r>
        <w:rPr>
          <w:spacing w:val="-8"/>
          <w:w w:val="105"/>
        </w:rPr>
        <w:t> </w:t>
      </w:r>
      <w:r>
        <w:rPr>
          <w:w w:val="105"/>
        </w:rPr>
        <w:t>asserts</w:t>
      </w:r>
      <w:r>
        <w:rPr>
          <w:spacing w:val="-8"/>
          <w:w w:val="105"/>
        </w:rPr>
        <w:t> </w:t>
      </w:r>
      <w:r>
        <w:rPr>
          <w:w w:val="105"/>
        </w:rPr>
        <w:t>that</w:t>
      </w:r>
      <w:r>
        <w:rPr>
          <w:spacing w:val="-8"/>
          <w:w w:val="105"/>
        </w:rPr>
        <w:t> </w:t>
      </w:r>
      <w:r>
        <w:rPr>
          <w:w w:val="105"/>
        </w:rPr>
        <w:t>it</w:t>
      </w:r>
      <w:r>
        <w:rPr>
          <w:spacing w:val="-8"/>
          <w:w w:val="105"/>
        </w:rPr>
        <w:t> </w:t>
      </w:r>
      <w:r>
        <w:rPr>
          <w:w w:val="105"/>
        </w:rPr>
        <w:t>has</w:t>
      </w:r>
      <w:r>
        <w:rPr>
          <w:spacing w:val="-8"/>
          <w:w w:val="105"/>
        </w:rPr>
        <w:t> </w:t>
      </w:r>
      <w:r>
        <w:rPr>
          <w:w w:val="105"/>
        </w:rPr>
        <w:t>or</w:t>
      </w:r>
      <w:r>
        <w:rPr>
          <w:spacing w:val="-8"/>
          <w:w w:val="105"/>
        </w:rPr>
        <w:t> </w:t>
      </w:r>
      <w:r>
        <w:rPr>
          <w:w w:val="105"/>
        </w:rPr>
        <w:t>will</w:t>
      </w:r>
      <w:r>
        <w:rPr>
          <w:spacing w:val="-8"/>
          <w:w w:val="105"/>
        </w:rPr>
        <w:t> </w:t>
      </w:r>
      <w:r>
        <w:rPr>
          <w:w w:val="105"/>
        </w:rPr>
        <w:t>experience</w:t>
      </w:r>
      <w:r>
        <w:rPr>
          <w:spacing w:val="-8"/>
          <w:w w:val="105"/>
        </w:rPr>
        <w:t> </w:t>
      </w:r>
      <w:r>
        <w:rPr>
          <w:w w:val="105"/>
        </w:rPr>
        <w:t>losses</w:t>
      </w:r>
      <w:r>
        <w:rPr>
          <w:spacing w:val="-8"/>
          <w:w w:val="105"/>
        </w:rPr>
        <w:t> </w:t>
      </w:r>
      <w:r>
        <w:rPr>
          <w:w w:val="105"/>
        </w:rPr>
        <w:t>arising</w:t>
      </w:r>
      <w:r>
        <w:rPr>
          <w:spacing w:val="-8"/>
          <w:w w:val="105"/>
        </w:rPr>
        <w:t> </w:t>
      </w:r>
      <w:r>
        <w:rPr>
          <w:w w:val="105"/>
        </w:rPr>
        <w:t>from</w:t>
      </w:r>
      <w:r>
        <w:rPr>
          <w:spacing w:val="-8"/>
          <w:w w:val="105"/>
        </w:rPr>
        <w:t> </w:t>
      </w:r>
      <w:r>
        <w:rPr>
          <w:w w:val="105"/>
        </w:rPr>
        <w:t>remediation</w:t>
      </w:r>
      <w:r>
        <w:rPr>
          <w:spacing w:val="-8"/>
          <w:w w:val="105"/>
        </w:rPr>
        <w:t> </w:t>
      </w:r>
      <w:r>
        <w:rPr>
          <w:w w:val="105"/>
        </w:rPr>
        <w:t>and response</w:t>
      </w:r>
      <w:r>
        <w:rPr>
          <w:spacing w:val="-1"/>
          <w:w w:val="105"/>
        </w:rPr>
        <w:t> </w:t>
      </w:r>
      <w:r>
        <w:rPr>
          <w:w w:val="105"/>
        </w:rPr>
        <w:t>at</w:t>
      </w:r>
      <w:r>
        <w:rPr>
          <w:spacing w:val="-1"/>
          <w:w w:val="105"/>
        </w:rPr>
        <w:t> </w:t>
      </w:r>
      <w:r>
        <w:rPr>
          <w:w w:val="105"/>
        </w:rPr>
        <w:t>a</w:t>
      </w:r>
      <w:r>
        <w:rPr>
          <w:spacing w:val="-1"/>
          <w:w w:val="105"/>
        </w:rPr>
        <w:t> </w:t>
      </w:r>
      <w:r>
        <w:rPr>
          <w:w w:val="105"/>
        </w:rPr>
        <w:t>number</w:t>
      </w:r>
      <w:r>
        <w:rPr>
          <w:spacing w:val="-1"/>
          <w:w w:val="105"/>
        </w:rPr>
        <w:t> </w:t>
      </w:r>
      <w:r>
        <w:rPr>
          <w:w w:val="105"/>
        </w:rPr>
        <w:t>of</w:t>
      </w:r>
      <w:r>
        <w:rPr>
          <w:spacing w:val="-1"/>
          <w:w w:val="105"/>
        </w:rPr>
        <w:t> </w:t>
      </w:r>
      <w:r>
        <w:rPr>
          <w:w w:val="105"/>
        </w:rPr>
        <w:t>sites.</w:t>
      </w:r>
      <w:r>
        <w:rPr>
          <w:spacing w:val="-1"/>
          <w:w w:val="105"/>
        </w:rPr>
        <w:t> </w:t>
      </w:r>
      <w:r>
        <w:rPr>
          <w:w w:val="105"/>
        </w:rPr>
        <w:t>In</w:t>
      </w:r>
      <w:r>
        <w:rPr>
          <w:spacing w:val="-1"/>
          <w:w w:val="105"/>
        </w:rPr>
        <w:t> </w:t>
      </w:r>
      <w:r>
        <w:rPr>
          <w:w w:val="105"/>
        </w:rPr>
        <w:t>the</w:t>
      </w:r>
      <w:r>
        <w:rPr>
          <w:spacing w:val="-1"/>
          <w:w w:val="105"/>
        </w:rPr>
        <w:t> </w:t>
      </w:r>
      <w:r>
        <w:rPr>
          <w:w w:val="105"/>
        </w:rPr>
        <w:t>event</w:t>
      </w:r>
      <w:r>
        <w:rPr>
          <w:spacing w:val="-1"/>
          <w:w w:val="105"/>
        </w:rPr>
        <w:t> </w:t>
      </w:r>
      <w:r>
        <w:rPr>
          <w:w w:val="105"/>
        </w:rPr>
        <w:t>Dow</w:t>
      </w:r>
      <w:r>
        <w:rPr>
          <w:spacing w:val="-1"/>
          <w:w w:val="105"/>
        </w:rPr>
        <w:t> </w:t>
      </w:r>
      <w:r>
        <w:rPr>
          <w:w w:val="105"/>
        </w:rPr>
        <w:t>is</w:t>
      </w:r>
      <w:r>
        <w:rPr>
          <w:spacing w:val="-1"/>
          <w:w w:val="105"/>
        </w:rPr>
        <w:t> </w:t>
      </w:r>
      <w:r>
        <w:rPr>
          <w:w w:val="105"/>
        </w:rPr>
        <w:t>liable</w:t>
      </w:r>
      <w:r>
        <w:rPr>
          <w:spacing w:val="-1"/>
          <w:w w:val="105"/>
        </w:rPr>
        <w:t> </w:t>
      </w:r>
      <w:r>
        <w:rPr>
          <w:w w:val="105"/>
        </w:rPr>
        <w:t>for these</w:t>
      </w:r>
      <w:r>
        <w:rPr>
          <w:spacing w:val="-1"/>
          <w:w w:val="105"/>
        </w:rPr>
        <w:t> </w:t>
      </w:r>
      <w:r>
        <w:rPr>
          <w:w w:val="105"/>
        </w:rPr>
        <w:t>claims,</w:t>
      </w:r>
      <w:r>
        <w:rPr>
          <w:spacing w:val="-1"/>
          <w:w w:val="105"/>
        </w:rPr>
        <w:t> </w:t>
      </w:r>
      <w:r>
        <w:rPr>
          <w:w w:val="105"/>
        </w:rPr>
        <w:t>Corning may</w:t>
      </w:r>
      <w:r>
        <w:rPr>
          <w:spacing w:val="-1"/>
          <w:w w:val="105"/>
        </w:rPr>
        <w:t> </w:t>
      </w:r>
      <w:r>
        <w:rPr>
          <w:w w:val="105"/>
        </w:rPr>
        <w:t>be</w:t>
      </w:r>
      <w:r>
        <w:rPr>
          <w:spacing w:val="-1"/>
          <w:w w:val="105"/>
        </w:rPr>
        <w:t> </w:t>
      </w:r>
      <w:r>
        <w:rPr>
          <w:w w:val="105"/>
        </w:rPr>
        <w:t>required</w:t>
      </w:r>
      <w:r>
        <w:rPr>
          <w:spacing w:val="-1"/>
          <w:w w:val="105"/>
        </w:rPr>
        <w:t> </w:t>
      </w:r>
      <w:r>
        <w:rPr>
          <w:w w:val="105"/>
        </w:rPr>
        <w:t>to</w:t>
      </w:r>
      <w:r>
        <w:rPr>
          <w:spacing w:val="-1"/>
          <w:w w:val="105"/>
        </w:rPr>
        <w:t> </w:t>
      </w:r>
      <w:r>
        <w:rPr>
          <w:w w:val="105"/>
        </w:rPr>
        <w:t>indemnify</w:t>
      </w:r>
      <w:r>
        <w:rPr>
          <w:spacing w:val="-1"/>
          <w:w w:val="105"/>
        </w:rPr>
        <w:t> </w:t>
      </w:r>
      <w:r>
        <w:rPr>
          <w:w w:val="105"/>
        </w:rPr>
        <w:t>Dow</w:t>
      </w:r>
      <w:r>
        <w:rPr>
          <w:spacing w:val="-1"/>
          <w:w w:val="105"/>
        </w:rPr>
        <w:t> </w:t>
      </w:r>
      <w:r>
        <w:rPr>
          <w:w w:val="105"/>
        </w:rPr>
        <w:t>for</w:t>
      </w:r>
      <w:r>
        <w:rPr>
          <w:spacing w:val="-1"/>
          <w:w w:val="105"/>
        </w:rPr>
        <w:t> </w:t>
      </w:r>
      <w:r>
        <w:rPr>
          <w:w w:val="105"/>
        </w:rPr>
        <w:t>up to</w:t>
      </w:r>
      <w:r>
        <w:rPr>
          <w:spacing w:val="-1"/>
          <w:w w:val="105"/>
        </w:rPr>
        <w:t> </w:t>
      </w:r>
      <w:r>
        <w:rPr>
          <w:w w:val="105"/>
        </w:rPr>
        <w:t>50%</w:t>
      </w:r>
      <w:r>
        <w:rPr>
          <w:spacing w:val="-1"/>
          <w:w w:val="105"/>
        </w:rPr>
        <w:t> </w:t>
      </w:r>
      <w:r>
        <w:rPr>
          <w:w w:val="105"/>
        </w:rPr>
        <w:t>of</w:t>
      </w:r>
      <w:r>
        <w:rPr>
          <w:spacing w:val="-1"/>
          <w:w w:val="105"/>
        </w:rPr>
        <w:t> </w:t>
      </w:r>
      <w:r>
        <w:rPr>
          <w:w w:val="105"/>
        </w:rPr>
        <w:t>that</w:t>
      </w:r>
      <w:r>
        <w:rPr>
          <w:spacing w:val="-1"/>
          <w:w w:val="105"/>
        </w:rPr>
        <w:t> </w:t>
      </w:r>
      <w:r>
        <w:rPr>
          <w:w w:val="105"/>
        </w:rPr>
        <w:t>liability,</w:t>
      </w:r>
      <w:r>
        <w:rPr>
          <w:spacing w:val="-1"/>
          <w:w w:val="105"/>
        </w:rPr>
        <w:t> </w:t>
      </w:r>
      <w:r>
        <w:rPr>
          <w:w w:val="105"/>
        </w:rPr>
        <w:t>subject</w:t>
      </w:r>
      <w:r>
        <w:rPr>
          <w:spacing w:val="-1"/>
          <w:w w:val="105"/>
        </w:rPr>
        <w:t> </w:t>
      </w:r>
      <w:r>
        <w:rPr>
          <w:w w:val="105"/>
        </w:rPr>
        <w:t>to</w:t>
      </w:r>
      <w:r>
        <w:rPr>
          <w:spacing w:val="-1"/>
          <w:w w:val="105"/>
        </w:rPr>
        <w:t> </w:t>
      </w:r>
      <w:r>
        <w:rPr>
          <w:w w:val="105"/>
        </w:rPr>
        <w:t>certain conditions</w:t>
      </w:r>
      <w:r>
        <w:rPr>
          <w:spacing w:val="-2"/>
          <w:w w:val="105"/>
        </w:rPr>
        <w:t> </w:t>
      </w:r>
      <w:r>
        <w:rPr>
          <w:w w:val="105"/>
        </w:rPr>
        <w:t>and</w:t>
      </w:r>
      <w:r>
        <w:rPr>
          <w:spacing w:val="-2"/>
          <w:w w:val="105"/>
        </w:rPr>
        <w:t> </w:t>
      </w:r>
      <w:r>
        <w:rPr>
          <w:w w:val="105"/>
        </w:rPr>
        <w:t>limits.</w:t>
      </w:r>
      <w:r>
        <w:rPr>
          <w:spacing w:val="-2"/>
          <w:w w:val="105"/>
        </w:rPr>
        <w:t> </w:t>
      </w:r>
      <w:r>
        <w:rPr>
          <w:w w:val="105"/>
        </w:rPr>
        <w:t>As</w:t>
      </w:r>
      <w:r>
        <w:rPr>
          <w:spacing w:val="-2"/>
          <w:w w:val="105"/>
        </w:rPr>
        <w:t> </w:t>
      </w:r>
      <w:r>
        <w:rPr>
          <w:w w:val="105"/>
        </w:rPr>
        <w:t>of December</w:t>
      </w:r>
      <w:r>
        <w:rPr>
          <w:spacing w:val="-2"/>
          <w:w w:val="105"/>
        </w:rPr>
        <w:t> </w:t>
      </w:r>
      <w:r>
        <w:rPr>
          <w:w w:val="105"/>
        </w:rPr>
        <w:t>31,</w:t>
      </w:r>
      <w:r>
        <w:rPr>
          <w:spacing w:val="-2"/>
          <w:w w:val="105"/>
        </w:rPr>
        <w:t> </w:t>
      </w:r>
      <w:r>
        <w:rPr>
          <w:w w:val="105"/>
        </w:rPr>
        <w:t>2021,</w:t>
      </w:r>
      <w:r>
        <w:rPr>
          <w:spacing w:val="-2"/>
          <w:w w:val="105"/>
        </w:rPr>
        <w:t> </w:t>
      </w:r>
      <w:r>
        <w:rPr>
          <w:w w:val="105"/>
        </w:rPr>
        <w:t>Corning</w:t>
      </w:r>
      <w:r>
        <w:rPr>
          <w:spacing w:val="-2"/>
          <w:w w:val="105"/>
        </w:rPr>
        <w:t> </w:t>
      </w:r>
      <w:r>
        <w:rPr>
          <w:w w:val="105"/>
        </w:rPr>
        <w:t>has</w:t>
      </w:r>
      <w:r>
        <w:rPr>
          <w:spacing w:val="-2"/>
          <w:w w:val="105"/>
        </w:rPr>
        <w:t> </w:t>
      </w:r>
      <w:r>
        <w:rPr>
          <w:w w:val="105"/>
        </w:rPr>
        <w:t>determined</w:t>
      </w:r>
      <w:r>
        <w:rPr>
          <w:spacing w:val="-2"/>
          <w:w w:val="105"/>
        </w:rPr>
        <w:t> </w:t>
      </w:r>
      <w:r>
        <w:rPr>
          <w:w w:val="105"/>
        </w:rPr>
        <w:t>a</w:t>
      </w:r>
      <w:r>
        <w:rPr>
          <w:spacing w:val="-2"/>
          <w:w w:val="105"/>
        </w:rPr>
        <w:t> </w:t>
      </w:r>
      <w:r>
        <w:rPr>
          <w:w w:val="105"/>
        </w:rPr>
        <w:t>potential</w:t>
      </w:r>
      <w:r>
        <w:rPr>
          <w:spacing w:val="-2"/>
          <w:w w:val="105"/>
        </w:rPr>
        <w:t> </w:t>
      </w:r>
      <w:r>
        <w:rPr>
          <w:w w:val="105"/>
        </w:rPr>
        <w:t>liability</w:t>
      </w:r>
      <w:r>
        <w:rPr>
          <w:spacing w:val="-2"/>
          <w:w w:val="105"/>
        </w:rPr>
        <w:t> </w:t>
      </w:r>
      <w:r>
        <w:rPr>
          <w:w w:val="105"/>
        </w:rPr>
        <w:t>for these</w:t>
      </w:r>
      <w:r>
        <w:rPr>
          <w:spacing w:val="-2"/>
          <w:w w:val="105"/>
        </w:rPr>
        <w:t> </w:t>
      </w:r>
      <w:r>
        <w:rPr>
          <w:w w:val="105"/>
        </w:rPr>
        <w:t>environmental</w:t>
      </w:r>
      <w:r>
        <w:rPr>
          <w:spacing w:val="-2"/>
          <w:w w:val="105"/>
        </w:rPr>
        <w:t> </w:t>
      </w:r>
      <w:r>
        <w:rPr>
          <w:w w:val="105"/>
        </w:rPr>
        <w:t>matters</w:t>
      </w:r>
      <w:r>
        <w:rPr>
          <w:spacing w:val="-2"/>
          <w:w w:val="105"/>
        </w:rPr>
        <w:t> </w:t>
      </w:r>
      <w:r>
        <w:rPr>
          <w:w w:val="105"/>
        </w:rPr>
        <w:t>is</w:t>
      </w:r>
      <w:r>
        <w:rPr>
          <w:spacing w:val="-2"/>
          <w:w w:val="105"/>
        </w:rPr>
        <w:t> </w:t>
      </w:r>
      <w:r>
        <w:rPr>
          <w:w w:val="105"/>
        </w:rPr>
        <w:t>probable,</w:t>
      </w:r>
      <w:r>
        <w:rPr>
          <w:spacing w:val="-2"/>
          <w:w w:val="105"/>
        </w:rPr>
        <w:t> </w:t>
      </w:r>
      <w:r>
        <w:rPr>
          <w:w w:val="105"/>
        </w:rPr>
        <w:t>and</w:t>
      </w:r>
      <w:r>
        <w:rPr>
          <w:spacing w:val="-2"/>
          <w:w w:val="105"/>
        </w:rPr>
        <w:t> </w:t>
      </w:r>
      <w:r>
        <w:rPr>
          <w:w w:val="105"/>
        </w:rPr>
        <w:t>the</w:t>
      </w:r>
      <w:r>
        <w:rPr>
          <w:spacing w:val="-2"/>
          <w:w w:val="105"/>
        </w:rPr>
        <w:t> </w:t>
      </w:r>
      <w:r>
        <w:rPr>
          <w:w w:val="105"/>
        </w:rPr>
        <w:t>amount</w:t>
      </w:r>
      <w:r>
        <w:rPr>
          <w:spacing w:val="-2"/>
          <w:w w:val="105"/>
        </w:rPr>
        <w:t> </w:t>
      </w:r>
      <w:r>
        <w:rPr>
          <w:w w:val="105"/>
        </w:rPr>
        <w:t>reserved</w:t>
      </w:r>
      <w:r>
        <w:rPr>
          <w:spacing w:val="-2"/>
          <w:w w:val="105"/>
        </w:rPr>
        <w:t> </w:t>
      </w:r>
      <w:r>
        <w:rPr>
          <w:w w:val="105"/>
        </w:rPr>
        <w:t>was</w:t>
      </w:r>
      <w:r>
        <w:rPr>
          <w:spacing w:val="-2"/>
          <w:w w:val="105"/>
        </w:rPr>
        <w:t> </w:t>
      </w:r>
      <w:r>
        <w:rPr>
          <w:w w:val="105"/>
        </w:rPr>
        <w:t>not </w:t>
      </w:r>
      <w:r>
        <w:rPr>
          <w:spacing w:val="-2"/>
          <w:w w:val="105"/>
        </w:rPr>
        <w:t>material.</w:t>
      </w:r>
    </w:p>
    <w:p>
      <w:pPr>
        <w:pStyle w:val="BodyText"/>
        <w:spacing w:before="18"/>
      </w:pPr>
    </w:p>
    <w:p>
      <w:pPr>
        <w:pStyle w:val="Heading3"/>
      </w:pPr>
      <w:r>
        <w:rPr/>
        <w:t>Environmental</w:t>
      </w:r>
      <w:r>
        <w:rPr>
          <w:spacing w:val="30"/>
        </w:rPr>
        <w:t> </w:t>
      </w:r>
      <w:r>
        <w:rPr>
          <w:spacing w:val="-2"/>
        </w:rPr>
        <w:t>Litigation</w:t>
      </w:r>
    </w:p>
    <w:p>
      <w:pPr>
        <w:pStyle w:val="BodyText"/>
        <w:spacing w:before="40"/>
        <w:rPr>
          <w:b/>
          <w:i/>
        </w:rPr>
      </w:pPr>
    </w:p>
    <w:p>
      <w:pPr>
        <w:pStyle w:val="BodyText"/>
        <w:spacing w:line="266" w:lineRule="auto"/>
        <w:ind w:left="156"/>
      </w:pPr>
      <w:r>
        <w:rPr>
          <w:w w:val="105"/>
        </w:rPr>
        <w:t>Corning</w:t>
      </w:r>
      <w:r>
        <w:rPr>
          <w:spacing w:val="-8"/>
          <w:w w:val="105"/>
        </w:rPr>
        <w:t> </w:t>
      </w:r>
      <w:r>
        <w:rPr>
          <w:w w:val="105"/>
        </w:rPr>
        <w:t>has</w:t>
      </w:r>
      <w:r>
        <w:rPr>
          <w:spacing w:val="-8"/>
          <w:w w:val="105"/>
        </w:rPr>
        <w:t> </w:t>
      </w:r>
      <w:r>
        <w:rPr>
          <w:w w:val="105"/>
        </w:rPr>
        <w:t>been</w:t>
      </w:r>
      <w:r>
        <w:rPr>
          <w:spacing w:val="-8"/>
          <w:w w:val="105"/>
        </w:rPr>
        <w:t> </w:t>
      </w:r>
      <w:r>
        <w:rPr>
          <w:w w:val="105"/>
        </w:rPr>
        <w:t>named</w:t>
      </w:r>
      <w:r>
        <w:rPr>
          <w:spacing w:val="-8"/>
          <w:w w:val="105"/>
        </w:rPr>
        <w:t> </w:t>
      </w:r>
      <w:r>
        <w:rPr>
          <w:w w:val="105"/>
        </w:rPr>
        <w:t>by</w:t>
      </w:r>
      <w:r>
        <w:rPr>
          <w:spacing w:val="-8"/>
          <w:w w:val="105"/>
        </w:rPr>
        <w:t> </w:t>
      </w:r>
      <w:r>
        <w:rPr>
          <w:w w:val="105"/>
        </w:rPr>
        <w:t>the</w:t>
      </w:r>
      <w:r>
        <w:rPr>
          <w:spacing w:val="-8"/>
          <w:w w:val="105"/>
        </w:rPr>
        <w:t> </w:t>
      </w:r>
      <w:r>
        <w:rPr>
          <w:w w:val="105"/>
        </w:rPr>
        <w:t>Environmental</w:t>
      </w:r>
      <w:r>
        <w:rPr>
          <w:spacing w:val="-8"/>
          <w:w w:val="105"/>
        </w:rPr>
        <w:t> </w:t>
      </w:r>
      <w:r>
        <w:rPr>
          <w:w w:val="105"/>
        </w:rPr>
        <w:t>Protection</w:t>
      </w:r>
      <w:r>
        <w:rPr>
          <w:spacing w:val="-8"/>
          <w:w w:val="105"/>
        </w:rPr>
        <w:t> </w:t>
      </w:r>
      <w:r>
        <w:rPr>
          <w:w w:val="105"/>
        </w:rPr>
        <w:t>Agency</w:t>
      </w:r>
      <w:r>
        <w:rPr>
          <w:spacing w:val="-8"/>
          <w:w w:val="105"/>
        </w:rPr>
        <w:t> </w:t>
      </w:r>
      <w:r>
        <w:rPr>
          <w:w w:val="105"/>
        </w:rPr>
        <w:t>(the</w:t>
      </w:r>
      <w:r>
        <w:rPr>
          <w:spacing w:val="-8"/>
          <w:w w:val="105"/>
        </w:rPr>
        <w:t> </w:t>
      </w:r>
      <w:r>
        <w:rPr>
          <w:w w:val="105"/>
        </w:rPr>
        <w:t>"Agency")</w:t>
      </w:r>
      <w:r>
        <w:rPr>
          <w:spacing w:val="-8"/>
          <w:w w:val="105"/>
        </w:rPr>
        <w:t> </w:t>
      </w:r>
      <w:r>
        <w:rPr>
          <w:w w:val="105"/>
        </w:rPr>
        <w:t>under</w:t>
      </w:r>
      <w:r>
        <w:rPr>
          <w:spacing w:val="-8"/>
          <w:w w:val="105"/>
        </w:rPr>
        <w:t> </w:t>
      </w:r>
      <w:r>
        <w:rPr>
          <w:w w:val="105"/>
        </w:rPr>
        <w:t>the</w:t>
      </w:r>
      <w:r>
        <w:rPr>
          <w:spacing w:val="-8"/>
          <w:w w:val="105"/>
        </w:rPr>
        <w:t> </w:t>
      </w:r>
      <w:r>
        <w:rPr>
          <w:w w:val="105"/>
        </w:rPr>
        <w:t>Superfund</w:t>
      </w:r>
      <w:r>
        <w:rPr>
          <w:spacing w:val="-8"/>
          <w:w w:val="105"/>
        </w:rPr>
        <w:t> </w:t>
      </w:r>
      <w:r>
        <w:rPr>
          <w:w w:val="105"/>
        </w:rPr>
        <w:t>Act,</w:t>
      </w:r>
      <w:r>
        <w:rPr>
          <w:spacing w:val="-8"/>
          <w:w w:val="105"/>
        </w:rPr>
        <w:t> </w:t>
      </w:r>
      <w:r>
        <w:rPr>
          <w:w w:val="105"/>
        </w:rPr>
        <w:t>or</w:t>
      </w:r>
      <w:r>
        <w:rPr>
          <w:spacing w:val="-8"/>
          <w:w w:val="105"/>
        </w:rPr>
        <w:t> </w:t>
      </w:r>
      <w:r>
        <w:rPr>
          <w:w w:val="105"/>
        </w:rPr>
        <w:t>by</w:t>
      </w:r>
      <w:r>
        <w:rPr>
          <w:spacing w:val="-8"/>
          <w:w w:val="105"/>
        </w:rPr>
        <w:t> </w:t>
      </w:r>
      <w:r>
        <w:rPr>
          <w:w w:val="105"/>
        </w:rPr>
        <w:t>state</w:t>
      </w:r>
      <w:r>
        <w:rPr>
          <w:spacing w:val="-8"/>
          <w:w w:val="105"/>
        </w:rPr>
        <w:t> </w:t>
      </w:r>
      <w:r>
        <w:rPr>
          <w:w w:val="105"/>
        </w:rPr>
        <w:t>governments</w:t>
      </w:r>
      <w:r>
        <w:rPr>
          <w:spacing w:val="-8"/>
          <w:w w:val="105"/>
        </w:rPr>
        <w:t> </w:t>
      </w:r>
      <w:r>
        <w:rPr>
          <w:w w:val="105"/>
        </w:rPr>
        <w:t>under</w:t>
      </w:r>
      <w:r>
        <w:rPr>
          <w:spacing w:val="-8"/>
          <w:w w:val="105"/>
        </w:rPr>
        <w:t> </w:t>
      </w:r>
      <w:r>
        <w:rPr>
          <w:w w:val="105"/>
        </w:rPr>
        <w:t>similar</w:t>
      </w:r>
      <w:r>
        <w:rPr>
          <w:spacing w:val="-8"/>
          <w:w w:val="105"/>
        </w:rPr>
        <w:t> </w:t>
      </w:r>
      <w:r>
        <w:rPr>
          <w:w w:val="105"/>
        </w:rPr>
        <w:t>state</w:t>
      </w:r>
      <w:r>
        <w:rPr>
          <w:spacing w:val="-8"/>
          <w:w w:val="105"/>
        </w:rPr>
        <w:t> </w:t>
      </w:r>
      <w:r>
        <w:rPr>
          <w:w w:val="105"/>
        </w:rPr>
        <w:t>laws,</w:t>
      </w:r>
      <w:r>
        <w:rPr>
          <w:spacing w:val="-8"/>
          <w:w w:val="105"/>
        </w:rPr>
        <w:t> </w:t>
      </w:r>
      <w:r>
        <w:rPr>
          <w:w w:val="105"/>
        </w:rPr>
        <w:t>as</w:t>
      </w:r>
      <w:r>
        <w:rPr>
          <w:spacing w:val="-8"/>
          <w:w w:val="105"/>
        </w:rPr>
        <w:t> </w:t>
      </w:r>
      <w:r>
        <w:rPr>
          <w:w w:val="105"/>
        </w:rPr>
        <w:t>a</w:t>
      </w:r>
      <w:r>
        <w:rPr>
          <w:spacing w:val="-8"/>
          <w:w w:val="105"/>
        </w:rPr>
        <w:t> </w:t>
      </w:r>
      <w:r>
        <w:rPr>
          <w:w w:val="105"/>
        </w:rPr>
        <w:t>potentially responsible</w:t>
      </w:r>
      <w:r>
        <w:rPr>
          <w:spacing w:val="-2"/>
          <w:w w:val="105"/>
        </w:rPr>
        <w:t> </w:t>
      </w:r>
      <w:r>
        <w:rPr>
          <w:w w:val="105"/>
        </w:rPr>
        <w:t>party</w:t>
      </w:r>
      <w:r>
        <w:rPr>
          <w:spacing w:val="-2"/>
          <w:w w:val="105"/>
        </w:rPr>
        <w:t> </w:t>
      </w:r>
      <w:r>
        <w:rPr>
          <w:w w:val="105"/>
        </w:rPr>
        <w:t>for</w:t>
      </w:r>
      <w:r>
        <w:rPr>
          <w:spacing w:val="-2"/>
          <w:w w:val="105"/>
        </w:rPr>
        <w:t> </w:t>
      </w:r>
      <w:r>
        <w:rPr>
          <w:w w:val="105"/>
        </w:rPr>
        <w:t>15</w:t>
      </w:r>
      <w:r>
        <w:rPr>
          <w:spacing w:val="-2"/>
          <w:w w:val="105"/>
        </w:rPr>
        <w:t> </w:t>
      </w:r>
      <w:r>
        <w:rPr>
          <w:w w:val="105"/>
        </w:rPr>
        <w:t>active</w:t>
      </w:r>
      <w:r>
        <w:rPr>
          <w:spacing w:val="-2"/>
          <w:w w:val="105"/>
        </w:rPr>
        <w:t> </w:t>
      </w:r>
      <w:r>
        <w:rPr>
          <w:w w:val="105"/>
        </w:rPr>
        <w:t>hazardous</w:t>
      </w:r>
      <w:r>
        <w:rPr>
          <w:spacing w:val="-2"/>
          <w:w w:val="105"/>
        </w:rPr>
        <w:t> </w:t>
      </w:r>
      <w:r>
        <w:rPr>
          <w:w w:val="105"/>
        </w:rPr>
        <w:t>waste</w:t>
      </w:r>
      <w:r>
        <w:rPr>
          <w:spacing w:val="-2"/>
          <w:w w:val="105"/>
        </w:rPr>
        <w:t> </w:t>
      </w:r>
      <w:r>
        <w:rPr>
          <w:w w:val="105"/>
        </w:rPr>
        <w:t>sites.</w:t>
      </w:r>
      <w:r>
        <w:rPr>
          <w:spacing w:val="-2"/>
          <w:w w:val="105"/>
        </w:rPr>
        <w:t> </w:t>
      </w:r>
      <w:r>
        <w:rPr>
          <w:w w:val="105"/>
        </w:rPr>
        <w:t>Under the</w:t>
      </w:r>
      <w:r>
        <w:rPr>
          <w:spacing w:val="-2"/>
          <w:w w:val="105"/>
        </w:rPr>
        <w:t> </w:t>
      </w:r>
      <w:r>
        <w:rPr>
          <w:w w:val="105"/>
        </w:rPr>
        <w:t>Superfund</w:t>
      </w:r>
      <w:r>
        <w:rPr>
          <w:spacing w:val="-2"/>
          <w:w w:val="105"/>
        </w:rPr>
        <w:t> </w:t>
      </w:r>
      <w:r>
        <w:rPr>
          <w:w w:val="105"/>
        </w:rPr>
        <w:t>Act,</w:t>
      </w:r>
      <w:r>
        <w:rPr>
          <w:spacing w:val="-2"/>
          <w:w w:val="105"/>
        </w:rPr>
        <w:t> </w:t>
      </w:r>
      <w:r>
        <w:rPr>
          <w:w w:val="105"/>
        </w:rPr>
        <w:t>all</w:t>
      </w:r>
      <w:r>
        <w:rPr>
          <w:spacing w:val="-2"/>
          <w:w w:val="105"/>
        </w:rPr>
        <w:t> </w:t>
      </w:r>
      <w:r>
        <w:rPr>
          <w:w w:val="105"/>
        </w:rPr>
        <w:t>parties</w:t>
      </w:r>
      <w:r>
        <w:rPr>
          <w:spacing w:val="-2"/>
          <w:w w:val="105"/>
        </w:rPr>
        <w:t> </w:t>
      </w:r>
      <w:r>
        <w:rPr>
          <w:w w:val="105"/>
        </w:rPr>
        <w:t>who may</w:t>
      </w:r>
      <w:r>
        <w:rPr>
          <w:spacing w:val="-2"/>
          <w:w w:val="105"/>
        </w:rPr>
        <w:t> </w:t>
      </w:r>
      <w:r>
        <w:rPr>
          <w:w w:val="105"/>
        </w:rPr>
        <w:t>have</w:t>
      </w:r>
      <w:r>
        <w:rPr>
          <w:spacing w:val="-2"/>
          <w:w w:val="105"/>
        </w:rPr>
        <w:t> </w:t>
      </w:r>
      <w:r>
        <w:rPr>
          <w:w w:val="105"/>
        </w:rPr>
        <w:t>contributed</w:t>
      </w:r>
      <w:r>
        <w:rPr>
          <w:spacing w:val="-2"/>
          <w:w w:val="105"/>
        </w:rPr>
        <w:t> </w:t>
      </w:r>
      <w:r>
        <w:rPr>
          <w:w w:val="105"/>
        </w:rPr>
        <w:t>any</w:t>
      </w:r>
      <w:r>
        <w:rPr>
          <w:spacing w:val="-2"/>
          <w:w w:val="105"/>
        </w:rPr>
        <w:t> </w:t>
      </w:r>
      <w:r>
        <w:rPr>
          <w:w w:val="105"/>
        </w:rPr>
        <w:t>waste</w:t>
      </w:r>
      <w:r>
        <w:rPr>
          <w:spacing w:val="-2"/>
          <w:w w:val="105"/>
        </w:rPr>
        <w:t> </w:t>
      </w:r>
      <w:r>
        <w:rPr>
          <w:w w:val="105"/>
        </w:rPr>
        <w:t>to a</w:t>
      </w:r>
      <w:r>
        <w:rPr>
          <w:spacing w:val="-2"/>
          <w:w w:val="105"/>
        </w:rPr>
        <w:t> </w:t>
      </w:r>
      <w:r>
        <w:rPr>
          <w:w w:val="105"/>
        </w:rPr>
        <w:t>hazardous</w:t>
      </w:r>
      <w:r>
        <w:rPr>
          <w:spacing w:val="-2"/>
          <w:w w:val="105"/>
        </w:rPr>
        <w:t> </w:t>
      </w:r>
      <w:r>
        <w:rPr>
          <w:w w:val="105"/>
        </w:rPr>
        <w:t>waste</w:t>
      </w:r>
      <w:r>
        <w:rPr>
          <w:spacing w:val="-2"/>
          <w:w w:val="105"/>
        </w:rPr>
        <w:t> </w:t>
      </w:r>
      <w:r>
        <w:rPr>
          <w:w w:val="105"/>
        </w:rPr>
        <w:t>site,</w:t>
      </w:r>
      <w:r>
        <w:rPr>
          <w:spacing w:val="-2"/>
          <w:w w:val="105"/>
        </w:rPr>
        <w:t> </w:t>
      </w:r>
      <w:r>
        <w:rPr>
          <w:w w:val="105"/>
        </w:rPr>
        <w:t>identified</w:t>
      </w:r>
      <w:r>
        <w:rPr>
          <w:spacing w:val="-2"/>
          <w:w w:val="105"/>
        </w:rPr>
        <w:t> </w:t>
      </w:r>
      <w:r>
        <w:rPr>
          <w:w w:val="105"/>
        </w:rPr>
        <w:t>by</w:t>
      </w:r>
      <w:r>
        <w:rPr>
          <w:spacing w:val="-2"/>
          <w:w w:val="105"/>
        </w:rPr>
        <w:t> </w:t>
      </w:r>
      <w:r>
        <w:rPr>
          <w:w w:val="105"/>
        </w:rPr>
        <w:t>the Agency,</w:t>
      </w:r>
      <w:r>
        <w:rPr>
          <w:spacing w:val="-2"/>
          <w:w w:val="105"/>
        </w:rPr>
        <w:t> </w:t>
      </w:r>
      <w:r>
        <w:rPr>
          <w:w w:val="105"/>
        </w:rPr>
        <w:t>are</w:t>
      </w:r>
      <w:r>
        <w:rPr>
          <w:spacing w:val="-2"/>
          <w:w w:val="105"/>
        </w:rPr>
        <w:t> </w:t>
      </w:r>
      <w:r>
        <w:rPr>
          <w:w w:val="105"/>
        </w:rPr>
        <w:t>jointly</w:t>
      </w:r>
      <w:r>
        <w:rPr>
          <w:spacing w:val="-2"/>
          <w:w w:val="105"/>
        </w:rPr>
        <w:t> </w:t>
      </w:r>
      <w:r>
        <w:rPr>
          <w:w w:val="105"/>
        </w:rPr>
        <w:t>and</w:t>
      </w:r>
      <w:r>
        <w:rPr>
          <w:spacing w:val="-2"/>
          <w:w w:val="105"/>
        </w:rPr>
        <w:t> </w:t>
      </w:r>
      <w:r>
        <w:rPr>
          <w:w w:val="105"/>
        </w:rPr>
        <w:t>severally</w:t>
      </w:r>
      <w:r>
        <w:rPr>
          <w:spacing w:val="-2"/>
          <w:w w:val="105"/>
        </w:rPr>
        <w:t> </w:t>
      </w:r>
      <w:r>
        <w:rPr>
          <w:w w:val="105"/>
        </w:rPr>
        <w:t>liable</w:t>
      </w:r>
      <w:r>
        <w:rPr>
          <w:spacing w:val="-2"/>
          <w:w w:val="105"/>
        </w:rPr>
        <w:t> </w:t>
      </w:r>
      <w:r>
        <w:rPr>
          <w:w w:val="105"/>
        </w:rPr>
        <w:t>for</w:t>
      </w:r>
      <w:r>
        <w:rPr>
          <w:spacing w:val="-2"/>
          <w:w w:val="105"/>
        </w:rPr>
        <w:t> </w:t>
      </w:r>
      <w:r>
        <w:rPr>
          <w:w w:val="105"/>
        </w:rPr>
        <w:t>the</w:t>
      </w:r>
      <w:r>
        <w:rPr>
          <w:spacing w:val="-2"/>
          <w:w w:val="105"/>
        </w:rPr>
        <w:t> </w:t>
      </w:r>
      <w:r>
        <w:rPr>
          <w:w w:val="105"/>
        </w:rPr>
        <w:t>cost</w:t>
      </w:r>
      <w:r>
        <w:rPr>
          <w:spacing w:val="-2"/>
          <w:w w:val="105"/>
        </w:rPr>
        <w:t> </w:t>
      </w:r>
      <w:r>
        <w:rPr>
          <w:w w:val="105"/>
        </w:rPr>
        <w:t>of</w:t>
      </w:r>
      <w:r>
        <w:rPr>
          <w:spacing w:val="-2"/>
          <w:w w:val="105"/>
        </w:rPr>
        <w:t> </w:t>
      </w:r>
      <w:r>
        <w:rPr>
          <w:w w:val="105"/>
        </w:rPr>
        <w:t>cleanup</w:t>
      </w:r>
      <w:r>
        <w:rPr>
          <w:spacing w:val="-2"/>
          <w:w w:val="105"/>
        </w:rPr>
        <w:t> </w:t>
      </w:r>
      <w:r>
        <w:rPr>
          <w:w w:val="105"/>
        </w:rPr>
        <w:t>unless</w:t>
      </w:r>
      <w:r>
        <w:rPr>
          <w:spacing w:val="-2"/>
          <w:w w:val="105"/>
        </w:rPr>
        <w:t> </w:t>
      </w:r>
      <w:r>
        <w:rPr>
          <w:w w:val="105"/>
        </w:rPr>
        <w:t>the</w:t>
      </w:r>
      <w:r>
        <w:rPr>
          <w:spacing w:val="-2"/>
          <w:w w:val="105"/>
        </w:rPr>
        <w:t> </w:t>
      </w:r>
      <w:r>
        <w:rPr>
          <w:w w:val="105"/>
        </w:rPr>
        <w:t>Agency</w:t>
      </w:r>
      <w:r>
        <w:rPr>
          <w:spacing w:val="-2"/>
          <w:w w:val="105"/>
        </w:rPr>
        <w:t> </w:t>
      </w:r>
      <w:r>
        <w:rPr>
          <w:w w:val="105"/>
        </w:rPr>
        <w:t>agrees</w:t>
      </w:r>
      <w:r>
        <w:rPr>
          <w:spacing w:val="-2"/>
          <w:w w:val="105"/>
        </w:rPr>
        <w:t> </w:t>
      </w:r>
      <w:r>
        <w:rPr>
          <w:w w:val="105"/>
        </w:rPr>
        <w:t>otherwise.</w:t>
      </w:r>
      <w:r>
        <w:rPr>
          <w:spacing w:val="-2"/>
          <w:w w:val="105"/>
        </w:rPr>
        <w:t> </w:t>
      </w:r>
      <w:r>
        <w:rPr>
          <w:w w:val="105"/>
        </w:rPr>
        <w:t>It</w:t>
      </w:r>
      <w:r>
        <w:rPr>
          <w:spacing w:val="-2"/>
          <w:w w:val="105"/>
        </w:rPr>
        <w:t> </w:t>
      </w:r>
      <w:r>
        <w:rPr>
          <w:w w:val="105"/>
        </w:rPr>
        <w:t>is</w:t>
      </w:r>
      <w:r>
        <w:rPr>
          <w:spacing w:val="-2"/>
          <w:w w:val="105"/>
        </w:rPr>
        <w:t> </w:t>
      </w:r>
      <w:r>
        <w:rPr>
          <w:w w:val="105"/>
        </w:rPr>
        <w:t>Corning’s</w:t>
      </w:r>
      <w:r>
        <w:rPr>
          <w:spacing w:val="-2"/>
          <w:w w:val="105"/>
        </w:rPr>
        <w:t> </w:t>
      </w:r>
      <w:r>
        <w:rPr>
          <w:w w:val="105"/>
        </w:rPr>
        <w:t>policy</w:t>
      </w:r>
      <w:r>
        <w:rPr>
          <w:spacing w:val="-2"/>
          <w:w w:val="105"/>
        </w:rPr>
        <w:t> </w:t>
      </w:r>
      <w:r>
        <w:rPr>
          <w:w w:val="105"/>
        </w:rPr>
        <w:t>to</w:t>
      </w:r>
      <w:r>
        <w:rPr>
          <w:spacing w:val="-2"/>
          <w:w w:val="105"/>
        </w:rPr>
        <w:t> </w:t>
      </w:r>
      <w:r>
        <w:rPr>
          <w:w w:val="105"/>
        </w:rPr>
        <w:t>accrue</w:t>
      </w:r>
      <w:r>
        <w:rPr>
          <w:spacing w:val="-2"/>
          <w:w w:val="105"/>
        </w:rPr>
        <w:t> </w:t>
      </w:r>
      <w:r>
        <w:rPr>
          <w:w w:val="105"/>
        </w:rPr>
        <w:t>for</w:t>
      </w:r>
      <w:r>
        <w:rPr>
          <w:spacing w:val="-2"/>
          <w:w w:val="105"/>
        </w:rPr>
        <w:t> </w:t>
      </w:r>
      <w:r>
        <w:rPr>
          <w:w w:val="105"/>
        </w:rPr>
        <w:t>its</w:t>
      </w:r>
      <w:r>
        <w:rPr>
          <w:spacing w:val="-2"/>
          <w:w w:val="105"/>
        </w:rPr>
        <w:t> </w:t>
      </w:r>
      <w:r>
        <w:rPr>
          <w:w w:val="105"/>
        </w:rPr>
        <w:t>estimated</w:t>
      </w:r>
      <w:r>
        <w:rPr>
          <w:spacing w:val="-2"/>
          <w:w w:val="105"/>
        </w:rPr>
        <w:t> </w:t>
      </w:r>
      <w:r>
        <w:rPr>
          <w:w w:val="105"/>
        </w:rPr>
        <w:t>liability</w:t>
      </w:r>
      <w:r>
        <w:rPr>
          <w:spacing w:val="-2"/>
          <w:w w:val="105"/>
        </w:rPr>
        <w:t> </w:t>
      </w:r>
      <w:r>
        <w:rPr>
          <w:w w:val="105"/>
        </w:rPr>
        <w:t>related</w:t>
      </w:r>
      <w:r>
        <w:rPr>
          <w:spacing w:val="-2"/>
          <w:w w:val="105"/>
        </w:rPr>
        <w:t> </w:t>
      </w:r>
      <w:r>
        <w:rPr>
          <w:w w:val="105"/>
        </w:rPr>
        <w:t>to Superfund</w:t>
      </w:r>
      <w:r>
        <w:rPr>
          <w:spacing w:val="-2"/>
          <w:w w:val="105"/>
        </w:rPr>
        <w:t> </w:t>
      </w:r>
      <w:r>
        <w:rPr>
          <w:w w:val="105"/>
        </w:rPr>
        <w:t>sites</w:t>
      </w:r>
      <w:r>
        <w:rPr>
          <w:spacing w:val="-2"/>
          <w:w w:val="105"/>
        </w:rPr>
        <w:t> </w:t>
      </w:r>
      <w:r>
        <w:rPr>
          <w:w w:val="105"/>
        </w:rPr>
        <w:t>and</w:t>
      </w:r>
      <w:r>
        <w:rPr>
          <w:spacing w:val="-2"/>
          <w:w w:val="105"/>
        </w:rPr>
        <w:t> </w:t>
      </w:r>
      <w:r>
        <w:rPr>
          <w:w w:val="105"/>
        </w:rPr>
        <w:t>other</w:t>
      </w:r>
      <w:r>
        <w:rPr>
          <w:spacing w:val="-2"/>
          <w:w w:val="105"/>
        </w:rPr>
        <w:t> </w:t>
      </w:r>
      <w:r>
        <w:rPr>
          <w:w w:val="105"/>
        </w:rPr>
        <w:t>environmental</w:t>
      </w:r>
      <w:r>
        <w:rPr>
          <w:spacing w:val="-2"/>
          <w:w w:val="105"/>
        </w:rPr>
        <w:t> </w:t>
      </w:r>
      <w:r>
        <w:rPr>
          <w:w w:val="105"/>
        </w:rPr>
        <w:t>liabilities</w:t>
      </w:r>
      <w:r>
        <w:rPr>
          <w:spacing w:val="-2"/>
          <w:w w:val="105"/>
        </w:rPr>
        <w:t> </w:t>
      </w:r>
      <w:r>
        <w:rPr>
          <w:w w:val="105"/>
        </w:rPr>
        <w:t>related</w:t>
      </w:r>
      <w:r>
        <w:rPr>
          <w:spacing w:val="-2"/>
          <w:w w:val="105"/>
        </w:rPr>
        <w:t> </w:t>
      </w:r>
      <w:r>
        <w:rPr>
          <w:w w:val="105"/>
        </w:rPr>
        <w:t>to</w:t>
      </w:r>
      <w:r>
        <w:rPr>
          <w:spacing w:val="-2"/>
          <w:w w:val="105"/>
        </w:rPr>
        <w:t> </w:t>
      </w:r>
      <w:r>
        <w:rPr>
          <w:w w:val="105"/>
        </w:rPr>
        <w:t>property</w:t>
      </w:r>
      <w:r>
        <w:rPr>
          <w:spacing w:val="-2"/>
          <w:w w:val="105"/>
        </w:rPr>
        <w:t> </w:t>
      </w:r>
      <w:r>
        <w:rPr>
          <w:w w:val="105"/>
        </w:rPr>
        <w:t>owned</w:t>
      </w:r>
      <w:r>
        <w:rPr>
          <w:spacing w:val="-2"/>
          <w:w w:val="105"/>
        </w:rPr>
        <w:t> </w:t>
      </w:r>
      <w:r>
        <w:rPr>
          <w:w w:val="105"/>
        </w:rPr>
        <w:t>by</w:t>
      </w:r>
      <w:r>
        <w:rPr>
          <w:spacing w:val="-2"/>
          <w:w w:val="105"/>
        </w:rPr>
        <w:t> </w:t>
      </w:r>
      <w:r>
        <w:rPr>
          <w:w w:val="105"/>
        </w:rPr>
        <w:t>Corning</w:t>
      </w:r>
      <w:r>
        <w:rPr>
          <w:spacing w:val="-2"/>
          <w:w w:val="105"/>
        </w:rPr>
        <w:t> </w:t>
      </w:r>
      <w:r>
        <w:rPr>
          <w:w w:val="105"/>
        </w:rPr>
        <w:t>based</w:t>
      </w:r>
      <w:r>
        <w:rPr>
          <w:spacing w:val="-2"/>
          <w:w w:val="105"/>
        </w:rPr>
        <w:t> </w:t>
      </w:r>
      <w:r>
        <w:rPr>
          <w:w w:val="105"/>
        </w:rPr>
        <w:t>on</w:t>
      </w:r>
      <w:r>
        <w:rPr>
          <w:spacing w:val="-2"/>
          <w:w w:val="105"/>
        </w:rPr>
        <w:t> </w:t>
      </w:r>
      <w:r>
        <w:rPr>
          <w:w w:val="105"/>
        </w:rPr>
        <w:t>expert</w:t>
      </w:r>
      <w:r>
        <w:rPr>
          <w:spacing w:val="-2"/>
          <w:w w:val="105"/>
        </w:rPr>
        <w:t> </w:t>
      </w:r>
      <w:r>
        <w:rPr>
          <w:w w:val="105"/>
        </w:rPr>
        <w:t>analysis</w:t>
      </w:r>
      <w:r>
        <w:rPr>
          <w:spacing w:val="-2"/>
          <w:w w:val="105"/>
        </w:rPr>
        <w:t> </w:t>
      </w:r>
      <w:r>
        <w:rPr>
          <w:w w:val="105"/>
        </w:rPr>
        <w:t>and</w:t>
      </w:r>
      <w:r>
        <w:rPr>
          <w:spacing w:val="-2"/>
          <w:w w:val="105"/>
        </w:rPr>
        <w:t> </w:t>
      </w:r>
      <w:r>
        <w:rPr>
          <w:w w:val="105"/>
        </w:rPr>
        <w:t>continual</w:t>
      </w:r>
      <w:r>
        <w:rPr>
          <w:spacing w:val="-2"/>
          <w:w w:val="105"/>
        </w:rPr>
        <w:t> </w:t>
      </w:r>
      <w:r>
        <w:rPr>
          <w:w w:val="105"/>
        </w:rPr>
        <w:t>monitoring</w:t>
      </w:r>
      <w:r>
        <w:rPr>
          <w:spacing w:val="-2"/>
          <w:w w:val="105"/>
        </w:rPr>
        <w:t> </w:t>
      </w:r>
      <w:r>
        <w:rPr>
          <w:w w:val="105"/>
        </w:rPr>
        <w:t>by</w:t>
      </w:r>
      <w:r>
        <w:rPr>
          <w:spacing w:val="-2"/>
          <w:w w:val="105"/>
        </w:rPr>
        <w:t> </w:t>
      </w:r>
      <w:r>
        <w:rPr>
          <w:w w:val="105"/>
        </w:rPr>
        <w:t>both</w:t>
      </w:r>
      <w:r>
        <w:rPr>
          <w:spacing w:val="-2"/>
          <w:w w:val="105"/>
        </w:rPr>
        <w:t> </w:t>
      </w:r>
      <w:r>
        <w:rPr>
          <w:w w:val="105"/>
        </w:rPr>
        <w:t>internal</w:t>
      </w:r>
      <w:r>
        <w:rPr>
          <w:spacing w:val="-2"/>
          <w:w w:val="105"/>
        </w:rPr>
        <w:t> </w:t>
      </w:r>
      <w:r>
        <w:rPr>
          <w:w w:val="105"/>
        </w:rPr>
        <w:t>and</w:t>
      </w:r>
      <w:r>
        <w:rPr>
          <w:spacing w:val="-2"/>
          <w:w w:val="105"/>
        </w:rPr>
        <w:t> </w:t>
      </w:r>
      <w:r>
        <w:rPr>
          <w:w w:val="105"/>
        </w:rPr>
        <w:t>external consultants.</w:t>
      </w:r>
      <w:r>
        <w:rPr>
          <w:spacing w:val="-1"/>
          <w:w w:val="105"/>
        </w:rPr>
        <w:t> </w:t>
      </w:r>
      <w:r>
        <w:rPr>
          <w:w w:val="105"/>
        </w:rPr>
        <w:t>At December</w:t>
      </w:r>
      <w:r>
        <w:rPr>
          <w:spacing w:val="-1"/>
          <w:w w:val="105"/>
        </w:rPr>
        <w:t> </w:t>
      </w:r>
      <w:r>
        <w:rPr>
          <w:w w:val="105"/>
        </w:rPr>
        <w:t>31,</w:t>
      </w:r>
      <w:r>
        <w:rPr>
          <w:spacing w:val="-1"/>
          <w:w w:val="105"/>
        </w:rPr>
        <w:t> </w:t>
      </w:r>
      <w:r>
        <w:rPr>
          <w:w w:val="105"/>
        </w:rPr>
        <w:t>2021 and</w:t>
      </w:r>
      <w:r>
        <w:rPr>
          <w:spacing w:val="-1"/>
          <w:w w:val="105"/>
        </w:rPr>
        <w:t> </w:t>
      </w:r>
      <w:r>
        <w:rPr>
          <w:w w:val="105"/>
        </w:rPr>
        <w:t>2020,</w:t>
      </w:r>
      <w:r>
        <w:rPr>
          <w:spacing w:val="-1"/>
          <w:w w:val="105"/>
        </w:rPr>
        <w:t> </w:t>
      </w:r>
      <w:r>
        <w:rPr>
          <w:w w:val="105"/>
        </w:rPr>
        <w:t>Corning</w:t>
      </w:r>
      <w:r>
        <w:rPr>
          <w:spacing w:val="-1"/>
          <w:w w:val="105"/>
        </w:rPr>
        <w:t> </w:t>
      </w:r>
      <w:r>
        <w:rPr>
          <w:w w:val="105"/>
        </w:rPr>
        <w:t>had</w:t>
      </w:r>
      <w:r>
        <w:rPr>
          <w:spacing w:val="-1"/>
          <w:w w:val="105"/>
        </w:rPr>
        <w:t> </w:t>
      </w:r>
      <w:r>
        <w:rPr>
          <w:w w:val="105"/>
        </w:rPr>
        <w:t>accrued</w:t>
      </w:r>
      <w:r>
        <w:rPr>
          <w:spacing w:val="-1"/>
          <w:w w:val="105"/>
        </w:rPr>
        <w:t> </w:t>
      </w:r>
      <w:r>
        <w:rPr>
          <w:w w:val="105"/>
        </w:rPr>
        <w:t>approximately</w:t>
      </w:r>
      <w:r>
        <w:rPr>
          <w:spacing w:val="-1"/>
          <w:w w:val="105"/>
        </w:rPr>
        <w:t> </w:t>
      </w:r>
      <w:r>
        <w:rPr>
          <w:w w:val="105"/>
        </w:rPr>
        <w:t>$55</w:t>
      </w:r>
      <w:r>
        <w:rPr>
          <w:spacing w:val="-1"/>
          <w:w w:val="105"/>
        </w:rPr>
        <w:t> </w:t>
      </w:r>
      <w:r>
        <w:rPr>
          <w:w w:val="105"/>
        </w:rPr>
        <w:t>million</w:t>
      </w:r>
      <w:r>
        <w:rPr>
          <w:spacing w:val="-1"/>
          <w:w w:val="105"/>
        </w:rPr>
        <w:t> </w:t>
      </w:r>
      <w:r>
        <w:rPr>
          <w:w w:val="105"/>
        </w:rPr>
        <w:t>and</w:t>
      </w:r>
      <w:r>
        <w:rPr>
          <w:spacing w:val="-1"/>
          <w:w w:val="105"/>
        </w:rPr>
        <w:t> </w:t>
      </w:r>
      <w:r>
        <w:rPr>
          <w:w w:val="105"/>
        </w:rPr>
        <w:t>$68</w:t>
      </w:r>
      <w:r>
        <w:rPr>
          <w:spacing w:val="-1"/>
          <w:w w:val="105"/>
        </w:rPr>
        <w:t> </w:t>
      </w:r>
      <w:r>
        <w:rPr>
          <w:w w:val="105"/>
        </w:rPr>
        <w:t>million,</w:t>
      </w:r>
      <w:r>
        <w:rPr>
          <w:spacing w:val="-1"/>
          <w:w w:val="105"/>
        </w:rPr>
        <w:t> </w:t>
      </w:r>
      <w:r>
        <w:rPr>
          <w:w w:val="105"/>
        </w:rPr>
        <w:t>respectively,</w:t>
      </w:r>
      <w:r>
        <w:rPr>
          <w:spacing w:val="-1"/>
          <w:w w:val="105"/>
        </w:rPr>
        <w:t> </w:t>
      </w:r>
      <w:r>
        <w:rPr>
          <w:w w:val="105"/>
        </w:rPr>
        <w:t>for</w:t>
      </w:r>
      <w:r>
        <w:rPr>
          <w:spacing w:val="-1"/>
          <w:w w:val="105"/>
        </w:rPr>
        <w:t> </w:t>
      </w:r>
      <w:r>
        <w:rPr>
          <w:w w:val="105"/>
        </w:rPr>
        <w:t>the</w:t>
      </w:r>
      <w:r>
        <w:rPr>
          <w:spacing w:val="-1"/>
          <w:w w:val="105"/>
        </w:rPr>
        <w:t> </w:t>
      </w:r>
      <w:r>
        <w:rPr>
          <w:w w:val="105"/>
        </w:rPr>
        <w:t>undiscounted</w:t>
      </w:r>
      <w:r>
        <w:rPr>
          <w:spacing w:val="-1"/>
          <w:w w:val="105"/>
        </w:rPr>
        <w:t> </w:t>
      </w:r>
      <w:r>
        <w:rPr>
          <w:w w:val="105"/>
        </w:rPr>
        <w:t>estimated</w:t>
      </w:r>
      <w:r>
        <w:rPr>
          <w:spacing w:val="-1"/>
          <w:w w:val="105"/>
        </w:rPr>
        <w:t> </w:t>
      </w:r>
      <w:r>
        <w:rPr>
          <w:w w:val="105"/>
        </w:rPr>
        <w:t>liability</w:t>
      </w:r>
      <w:r>
        <w:rPr>
          <w:spacing w:val="-1"/>
          <w:w w:val="105"/>
        </w:rPr>
        <w:t> </w:t>
      </w:r>
      <w:r>
        <w:rPr>
          <w:w w:val="105"/>
        </w:rPr>
        <w:t>for environmental</w:t>
      </w:r>
      <w:r>
        <w:rPr>
          <w:spacing w:val="-2"/>
          <w:w w:val="105"/>
        </w:rPr>
        <w:t> </w:t>
      </w:r>
      <w:r>
        <w:rPr>
          <w:w w:val="105"/>
        </w:rPr>
        <w:t>cleanup and</w:t>
      </w:r>
      <w:r>
        <w:rPr>
          <w:spacing w:val="-2"/>
          <w:w w:val="105"/>
        </w:rPr>
        <w:t> </w:t>
      </w:r>
      <w:r>
        <w:rPr>
          <w:w w:val="105"/>
        </w:rPr>
        <w:t>related</w:t>
      </w:r>
      <w:r>
        <w:rPr>
          <w:spacing w:val="-2"/>
          <w:w w:val="105"/>
        </w:rPr>
        <w:t> </w:t>
      </w:r>
      <w:r>
        <w:rPr>
          <w:w w:val="105"/>
        </w:rPr>
        <w:t>litigation.</w:t>
      </w:r>
      <w:r>
        <w:rPr>
          <w:spacing w:val="-2"/>
          <w:w w:val="105"/>
        </w:rPr>
        <w:t> </w:t>
      </w:r>
      <w:r>
        <w:rPr>
          <w:w w:val="105"/>
        </w:rPr>
        <w:t>Based</w:t>
      </w:r>
      <w:r>
        <w:rPr>
          <w:spacing w:val="-2"/>
          <w:w w:val="105"/>
        </w:rPr>
        <w:t> </w:t>
      </w:r>
      <w:r>
        <w:rPr>
          <w:w w:val="105"/>
        </w:rPr>
        <w:t>upon</w:t>
      </w:r>
      <w:r>
        <w:rPr>
          <w:spacing w:val="-2"/>
          <w:w w:val="105"/>
        </w:rPr>
        <w:t> </w:t>
      </w:r>
      <w:r>
        <w:rPr>
          <w:w w:val="105"/>
        </w:rPr>
        <w:t>the</w:t>
      </w:r>
      <w:r>
        <w:rPr>
          <w:spacing w:val="-2"/>
          <w:w w:val="105"/>
        </w:rPr>
        <w:t> </w:t>
      </w:r>
      <w:r>
        <w:rPr>
          <w:w w:val="105"/>
        </w:rPr>
        <w:t>information</w:t>
      </w:r>
      <w:r>
        <w:rPr>
          <w:spacing w:val="-2"/>
          <w:w w:val="105"/>
        </w:rPr>
        <w:t> </w:t>
      </w:r>
      <w:r>
        <w:rPr>
          <w:w w:val="105"/>
        </w:rPr>
        <w:t>developed</w:t>
      </w:r>
      <w:r>
        <w:rPr>
          <w:spacing w:val="-2"/>
          <w:w w:val="105"/>
        </w:rPr>
        <w:t> </w:t>
      </w:r>
      <w:r>
        <w:rPr>
          <w:w w:val="105"/>
        </w:rPr>
        <w:t>to</w:t>
      </w:r>
      <w:r>
        <w:rPr>
          <w:spacing w:val="-2"/>
          <w:w w:val="105"/>
        </w:rPr>
        <w:t> </w:t>
      </w:r>
      <w:r>
        <w:rPr>
          <w:w w:val="105"/>
        </w:rPr>
        <w:t>date,</w:t>
      </w:r>
      <w:r>
        <w:rPr>
          <w:spacing w:val="-2"/>
          <w:w w:val="105"/>
        </w:rPr>
        <w:t> </w:t>
      </w:r>
      <w:r>
        <w:rPr>
          <w:w w:val="105"/>
        </w:rPr>
        <w:t>management</w:t>
      </w:r>
      <w:r>
        <w:rPr>
          <w:spacing w:val="-2"/>
          <w:w w:val="105"/>
        </w:rPr>
        <w:t> </w:t>
      </w:r>
      <w:r>
        <w:rPr>
          <w:w w:val="105"/>
        </w:rPr>
        <w:t>believes</w:t>
      </w:r>
      <w:r>
        <w:rPr>
          <w:spacing w:val="-2"/>
          <w:w w:val="105"/>
        </w:rPr>
        <w:t> </w:t>
      </w:r>
      <w:r>
        <w:rPr>
          <w:w w:val="105"/>
        </w:rPr>
        <w:t>that</w:t>
      </w:r>
      <w:r>
        <w:rPr>
          <w:spacing w:val="-2"/>
          <w:w w:val="105"/>
        </w:rPr>
        <w:t> </w:t>
      </w:r>
      <w:r>
        <w:rPr>
          <w:w w:val="105"/>
        </w:rPr>
        <w:t>the</w:t>
      </w:r>
      <w:r>
        <w:rPr>
          <w:spacing w:val="-2"/>
          <w:w w:val="105"/>
        </w:rPr>
        <w:t> </w:t>
      </w:r>
      <w:r>
        <w:rPr>
          <w:w w:val="105"/>
        </w:rPr>
        <w:t>accrued</w:t>
      </w:r>
      <w:r>
        <w:rPr>
          <w:spacing w:val="-2"/>
          <w:w w:val="105"/>
        </w:rPr>
        <w:t> </w:t>
      </w:r>
      <w:r>
        <w:rPr>
          <w:w w:val="105"/>
        </w:rPr>
        <w:t>reserve</w:t>
      </w:r>
      <w:r>
        <w:rPr>
          <w:spacing w:val="-2"/>
          <w:w w:val="105"/>
        </w:rPr>
        <w:t> </w:t>
      </w:r>
      <w:r>
        <w:rPr>
          <w:w w:val="105"/>
        </w:rPr>
        <w:t>is</w:t>
      </w:r>
      <w:r>
        <w:rPr>
          <w:spacing w:val="-2"/>
          <w:w w:val="105"/>
        </w:rPr>
        <w:t> </w:t>
      </w:r>
      <w:r>
        <w:rPr>
          <w:w w:val="105"/>
        </w:rPr>
        <w:t>a</w:t>
      </w:r>
      <w:r>
        <w:rPr>
          <w:spacing w:val="-2"/>
          <w:w w:val="105"/>
        </w:rPr>
        <w:t> </w:t>
      </w:r>
      <w:r>
        <w:rPr>
          <w:w w:val="105"/>
        </w:rPr>
        <w:t>reasonable</w:t>
      </w:r>
      <w:r>
        <w:rPr>
          <w:spacing w:val="-2"/>
          <w:w w:val="105"/>
        </w:rPr>
        <w:t> </w:t>
      </w:r>
      <w:r>
        <w:rPr>
          <w:w w:val="105"/>
        </w:rPr>
        <w:t>estimate</w:t>
      </w:r>
      <w:r>
        <w:rPr>
          <w:spacing w:val="-2"/>
          <w:w w:val="105"/>
        </w:rPr>
        <w:t> </w:t>
      </w:r>
      <w:r>
        <w:rPr>
          <w:w w:val="105"/>
        </w:rPr>
        <w:t>of</w:t>
      </w:r>
      <w:r>
        <w:rPr>
          <w:spacing w:val="-2"/>
          <w:w w:val="105"/>
        </w:rPr>
        <w:t> </w:t>
      </w:r>
      <w:r>
        <w:rPr>
          <w:w w:val="105"/>
        </w:rPr>
        <w:t>the Company’s liability and that the risk of an additional loss in an amount materially higher than accrued is remote.</w:t>
      </w:r>
    </w:p>
    <w:p>
      <w:pPr>
        <w:pStyle w:val="BodyText"/>
        <w:spacing w:before="17"/>
      </w:pPr>
    </w:p>
    <w:p>
      <w:pPr>
        <w:pStyle w:val="BodyText"/>
        <w:ind w:left="48"/>
        <w:jc w:val="center"/>
      </w:pPr>
      <w:r>
        <w:rPr>
          <w:spacing w:val="-5"/>
          <w:w w:val="105"/>
        </w:rPr>
        <w:t>101</w:t>
      </w:r>
    </w:p>
    <w:p>
      <w:pPr>
        <w:pStyle w:val="BodyText"/>
        <w:rPr>
          <w:sz w:val="6"/>
        </w:rPr>
      </w:pPr>
      <w:r>
        <w:rPr/>
        <mc:AlternateContent>
          <mc:Choice Requires="wps">
            <w:drawing>
              <wp:anchor distT="0" distB="0" distL="0" distR="0" allowOverlap="1" layoutInCell="1" locked="0" behindDoc="1" simplePos="0" relativeHeight="487727616">
                <wp:simplePos x="0" y="0"/>
                <wp:positionH relativeFrom="page">
                  <wp:posOffset>226488</wp:posOffset>
                </wp:positionH>
                <wp:positionV relativeFrom="paragraph">
                  <wp:posOffset>59137</wp:posOffset>
                </wp:positionV>
                <wp:extent cx="7312659" cy="16510"/>
                <wp:effectExtent l="0" t="0" r="0" b="0"/>
                <wp:wrapTopAndBottom/>
                <wp:docPr id="628" name="Graphic 628"/>
                <wp:cNvGraphicFramePr>
                  <a:graphicFrameLocks/>
                </wp:cNvGraphicFramePr>
                <a:graphic>
                  <a:graphicData uri="http://schemas.microsoft.com/office/word/2010/wordprocessingShape">
                    <wps:wsp>
                      <wps:cNvPr id="628" name="Graphic 628"/>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6521pt;width:575.775087pt;height:1.273839pt;mso-position-horizontal-relative:page;mso-position-vertical-relative:paragraph;z-index:-15588864;mso-wrap-distance-left:0;mso-wrap-distance-right:0" id="docshape627"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pPr>
    </w:p>
    <w:p>
      <w:pPr>
        <w:pStyle w:val="BodyText"/>
        <w:spacing w:before="58"/>
      </w:pPr>
    </w:p>
    <w:p>
      <w:pPr>
        <w:pStyle w:val="Heading2"/>
        <w:numPr>
          <w:ilvl w:val="0"/>
          <w:numId w:val="50"/>
        </w:numPr>
        <w:tabs>
          <w:tab w:pos="445" w:val="left" w:leader="none"/>
        </w:tabs>
        <w:spacing w:line="240" w:lineRule="auto" w:before="0" w:after="0"/>
        <w:ind w:left="445" w:right="0" w:hanging="289"/>
        <w:jc w:val="left"/>
      </w:pPr>
      <w:bookmarkStart w:name="_bookmark23" w:id="24"/>
      <w:bookmarkEnd w:id="24"/>
      <w:r>
        <w:rPr>
          <w:b w:val="0"/>
        </w:rPr>
      </w:r>
      <w:r>
        <w:rPr/>
        <w:t>Hedging</w:t>
      </w:r>
      <w:r>
        <w:rPr>
          <w:spacing w:val="18"/>
        </w:rPr>
        <w:t> </w:t>
      </w:r>
      <w:r>
        <w:rPr>
          <w:spacing w:val="-2"/>
        </w:rPr>
        <w:t>Activities</w:t>
      </w:r>
    </w:p>
    <w:p>
      <w:pPr>
        <w:pStyle w:val="BodyText"/>
        <w:spacing w:before="39"/>
        <w:rPr>
          <w:b/>
        </w:rPr>
      </w:pPr>
    </w:p>
    <w:p>
      <w:pPr>
        <w:pStyle w:val="BodyText"/>
        <w:spacing w:line="266" w:lineRule="auto" w:before="1"/>
        <w:ind w:left="156"/>
      </w:pPr>
      <w:r>
        <w:rPr>
          <w:w w:val="105"/>
        </w:rPr>
        <w:t>Corning</w:t>
      </w:r>
      <w:r>
        <w:rPr>
          <w:spacing w:val="-9"/>
          <w:w w:val="105"/>
        </w:rPr>
        <w:t> </w:t>
      </w:r>
      <w:r>
        <w:rPr>
          <w:w w:val="105"/>
        </w:rPr>
        <w:t>is</w:t>
      </w:r>
      <w:r>
        <w:rPr>
          <w:spacing w:val="-9"/>
          <w:w w:val="105"/>
        </w:rPr>
        <w:t> </w:t>
      </w:r>
      <w:r>
        <w:rPr>
          <w:w w:val="105"/>
        </w:rPr>
        <w:t>primarily</w:t>
      </w:r>
      <w:r>
        <w:rPr>
          <w:spacing w:val="-9"/>
          <w:w w:val="105"/>
        </w:rPr>
        <w:t> </w:t>
      </w:r>
      <w:r>
        <w:rPr>
          <w:w w:val="105"/>
        </w:rPr>
        <w:t>exposed</w:t>
      </w:r>
      <w:r>
        <w:rPr>
          <w:spacing w:val="-9"/>
          <w:w w:val="105"/>
        </w:rPr>
        <w:t> </w:t>
      </w:r>
      <w:r>
        <w:rPr>
          <w:w w:val="105"/>
        </w:rPr>
        <w:t>to</w:t>
      </w:r>
      <w:r>
        <w:rPr>
          <w:spacing w:val="-8"/>
          <w:w w:val="105"/>
        </w:rPr>
        <w:t> </w:t>
      </w:r>
      <w:r>
        <w:rPr>
          <w:w w:val="105"/>
        </w:rPr>
        <w:t>foreign</w:t>
      </w:r>
      <w:r>
        <w:rPr>
          <w:spacing w:val="-9"/>
          <w:w w:val="105"/>
        </w:rPr>
        <w:t> </w:t>
      </w:r>
      <w:r>
        <w:rPr>
          <w:w w:val="105"/>
        </w:rPr>
        <w:t>currency</w:t>
      </w:r>
      <w:r>
        <w:rPr>
          <w:spacing w:val="-9"/>
          <w:w w:val="105"/>
        </w:rPr>
        <w:t> </w:t>
      </w:r>
      <w:r>
        <w:rPr>
          <w:w w:val="105"/>
        </w:rPr>
        <w:t>risks</w:t>
      </w:r>
      <w:r>
        <w:rPr>
          <w:spacing w:val="-9"/>
          <w:w w:val="105"/>
        </w:rPr>
        <w:t> </w:t>
      </w:r>
      <w:r>
        <w:rPr>
          <w:w w:val="105"/>
        </w:rPr>
        <w:t>due</w:t>
      </w:r>
      <w:r>
        <w:rPr>
          <w:spacing w:val="-9"/>
          <w:w w:val="105"/>
        </w:rPr>
        <w:t> </w:t>
      </w:r>
      <w:r>
        <w:rPr>
          <w:w w:val="105"/>
        </w:rPr>
        <w:t>to</w:t>
      </w:r>
      <w:r>
        <w:rPr>
          <w:spacing w:val="-8"/>
          <w:w w:val="105"/>
        </w:rPr>
        <w:t> </w:t>
      </w:r>
      <w:r>
        <w:rPr>
          <w:w w:val="105"/>
        </w:rPr>
        <w:t>fluctuations</w:t>
      </w:r>
      <w:r>
        <w:rPr>
          <w:spacing w:val="-9"/>
          <w:w w:val="105"/>
        </w:rPr>
        <w:t> </w:t>
      </w:r>
      <w:r>
        <w:rPr>
          <w:w w:val="105"/>
        </w:rPr>
        <w:t>in</w:t>
      </w:r>
      <w:r>
        <w:rPr>
          <w:spacing w:val="-9"/>
          <w:w w:val="105"/>
        </w:rPr>
        <w:t> </w:t>
      </w:r>
      <w:r>
        <w:rPr>
          <w:w w:val="105"/>
        </w:rPr>
        <w:t>exchange</w:t>
      </w:r>
      <w:r>
        <w:rPr>
          <w:spacing w:val="-9"/>
          <w:w w:val="105"/>
        </w:rPr>
        <w:t> </w:t>
      </w:r>
      <w:r>
        <w:rPr>
          <w:w w:val="105"/>
        </w:rPr>
        <w:t>rates.</w:t>
      </w:r>
      <w:r>
        <w:rPr>
          <w:spacing w:val="-9"/>
          <w:w w:val="105"/>
        </w:rPr>
        <w:t> </w:t>
      </w:r>
      <w:r>
        <w:rPr>
          <w:w w:val="105"/>
        </w:rPr>
        <w:t>These</w:t>
      </w:r>
      <w:r>
        <w:rPr>
          <w:spacing w:val="-9"/>
          <w:w w:val="105"/>
        </w:rPr>
        <w:t> </w:t>
      </w:r>
      <w:r>
        <w:rPr>
          <w:w w:val="105"/>
        </w:rPr>
        <w:t>fluctuations</w:t>
      </w:r>
      <w:r>
        <w:rPr>
          <w:spacing w:val="-9"/>
          <w:w w:val="105"/>
        </w:rPr>
        <w:t> </w:t>
      </w:r>
      <w:r>
        <w:rPr>
          <w:w w:val="105"/>
        </w:rPr>
        <w:t>affect</w:t>
      </w:r>
      <w:r>
        <w:rPr>
          <w:spacing w:val="-9"/>
          <w:w w:val="105"/>
        </w:rPr>
        <w:t> </w:t>
      </w:r>
      <w:r>
        <w:rPr>
          <w:w w:val="105"/>
        </w:rPr>
        <w:t>the</w:t>
      </w:r>
      <w:r>
        <w:rPr>
          <w:spacing w:val="-9"/>
          <w:w w:val="105"/>
        </w:rPr>
        <w:t> </w:t>
      </w:r>
      <w:r>
        <w:rPr>
          <w:w w:val="105"/>
        </w:rPr>
        <w:t>Company's</w:t>
      </w:r>
      <w:r>
        <w:rPr>
          <w:spacing w:val="-9"/>
          <w:w w:val="105"/>
        </w:rPr>
        <w:t> </w:t>
      </w:r>
      <w:r>
        <w:rPr>
          <w:w w:val="105"/>
        </w:rPr>
        <w:t>financial</w:t>
      </w:r>
      <w:r>
        <w:rPr>
          <w:spacing w:val="-9"/>
          <w:w w:val="105"/>
        </w:rPr>
        <w:t> </w:t>
      </w:r>
      <w:r>
        <w:rPr>
          <w:w w:val="105"/>
        </w:rPr>
        <w:t>instruments</w:t>
      </w:r>
      <w:r>
        <w:rPr>
          <w:spacing w:val="-9"/>
          <w:w w:val="105"/>
        </w:rPr>
        <w:t> </w:t>
      </w:r>
      <w:r>
        <w:rPr>
          <w:w w:val="105"/>
        </w:rPr>
        <w:t>and</w:t>
      </w:r>
      <w:r>
        <w:rPr>
          <w:spacing w:val="-9"/>
          <w:w w:val="105"/>
        </w:rPr>
        <w:t> </w:t>
      </w:r>
      <w:r>
        <w:rPr>
          <w:w w:val="105"/>
        </w:rPr>
        <w:t>transactions denominated in foreign currencies, which impact earnings.</w:t>
      </w:r>
    </w:p>
    <w:p>
      <w:pPr>
        <w:pStyle w:val="BodyText"/>
        <w:spacing w:before="18"/>
      </w:pPr>
    </w:p>
    <w:p>
      <w:pPr>
        <w:pStyle w:val="BodyText"/>
        <w:spacing w:line="266" w:lineRule="auto" w:before="1"/>
        <w:ind w:left="156" w:right="117"/>
      </w:pPr>
      <w:r>
        <w:rPr>
          <w:w w:val="105"/>
        </w:rPr>
        <w:t>The</w:t>
      </w:r>
      <w:r>
        <w:rPr>
          <w:spacing w:val="-8"/>
          <w:w w:val="105"/>
        </w:rPr>
        <w:t> </w:t>
      </w:r>
      <w:r>
        <w:rPr>
          <w:w w:val="105"/>
        </w:rPr>
        <w:t>most</w:t>
      </w:r>
      <w:r>
        <w:rPr>
          <w:spacing w:val="-8"/>
          <w:w w:val="105"/>
        </w:rPr>
        <w:t> </w:t>
      </w:r>
      <w:r>
        <w:rPr>
          <w:w w:val="105"/>
        </w:rPr>
        <w:t>significant</w:t>
      </w:r>
      <w:r>
        <w:rPr>
          <w:spacing w:val="-8"/>
          <w:w w:val="105"/>
        </w:rPr>
        <w:t> </w:t>
      </w:r>
      <w:r>
        <w:rPr>
          <w:w w:val="105"/>
        </w:rPr>
        <w:t>foreign</w:t>
      </w:r>
      <w:r>
        <w:rPr>
          <w:spacing w:val="-8"/>
          <w:w w:val="105"/>
        </w:rPr>
        <w:t> </w:t>
      </w:r>
      <w:r>
        <w:rPr>
          <w:w w:val="105"/>
        </w:rPr>
        <w:t>currency</w:t>
      </w:r>
      <w:r>
        <w:rPr>
          <w:spacing w:val="-8"/>
          <w:w w:val="105"/>
        </w:rPr>
        <w:t> </w:t>
      </w:r>
      <w:r>
        <w:rPr>
          <w:w w:val="105"/>
        </w:rPr>
        <w:t>exposures</w:t>
      </w:r>
      <w:r>
        <w:rPr>
          <w:spacing w:val="-8"/>
          <w:w w:val="105"/>
        </w:rPr>
        <w:t> </w:t>
      </w:r>
      <w:r>
        <w:rPr>
          <w:w w:val="105"/>
        </w:rPr>
        <w:t>relate</w:t>
      </w:r>
      <w:r>
        <w:rPr>
          <w:spacing w:val="-8"/>
          <w:w w:val="105"/>
        </w:rPr>
        <w:t> </w:t>
      </w:r>
      <w:r>
        <w:rPr>
          <w:w w:val="105"/>
        </w:rPr>
        <w:t>to</w:t>
      </w:r>
      <w:r>
        <w:rPr>
          <w:spacing w:val="-8"/>
          <w:w w:val="105"/>
        </w:rPr>
        <w:t> </w:t>
      </w:r>
      <w:r>
        <w:rPr>
          <w:w w:val="105"/>
        </w:rPr>
        <w:t>the</w:t>
      </w:r>
      <w:r>
        <w:rPr>
          <w:spacing w:val="-8"/>
          <w:w w:val="105"/>
        </w:rPr>
        <w:t> </w:t>
      </w:r>
      <w:r>
        <w:rPr>
          <w:w w:val="105"/>
        </w:rPr>
        <w:t>Japanese</w:t>
      </w:r>
      <w:r>
        <w:rPr>
          <w:spacing w:val="-8"/>
          <w:w w:val="105"/>
        </w:rPr>
        <w:t> </w:t>
      </w:r>
      <w:r>
        <w:rPr>
          <w:w w:val="105"/>
        </w:rPr>
        <w:t>yen,</w:t>
      </w:r>
      <w:r>
        <w:rPr>
          <w:spacing w:val="-8"/>
          <w:w w:val="105"/>
        </w:rPr>
        <w:t> </w:t>
      </w:r>
      <w:r>
        <w:rPr>
          <w:w w:val="105"/>
        </w:rPr>
        <w:t>South</w:t>
      </w:r>
      <w:r>
        <w:rPr>
          <w:spacing w:val="-8"/>
          <w:w w:val="105"/>
        </w:rPr>
        <w:t> </w:t>
      </w:r>
      <w:r>
        <w:rPr>
          <w:w w:val="105"/>
        </w:rPr>
        <w:t>Korean</w:t>
      </w:r>
      <w:r>
        <w:rPr>
          <w:spacing w:val="-8"/>
          <w:w w:val="105"/>
        </w:rPr>
        <w:t> </w:t>
      </w:r>
      <w:r>
        <w:rPr>
          <w:w w:val="105"/>
        </w:rPr>
        <w:t>won,</w:t>
      </w:r>
      <w:r>
        <w:rPr>
          <w:spacing w:val="-8"/>
          <w:w w:val="105"/>
        </w:rPr>
        <w:t> </w:t>
      </w:r>
      <w:r>
        <w:rPr>
          <w:w w:val="105"/>
        </w:rPr>
        <w:t>new</w:t>
      </w:r>
      <w:r>
        <w:rPr>
          <w:spacing w:val="-8"/>
          <w:w w:val="105"/>
        </w:rPr>
        <w:t> </w:t>
      </w:r>
      <w:r>
        <w:rPr>
          <w:w w:val="105"/>
        </w:rPr>
        <w:t>Taiwan</w:t>
      </w:r>
      <w:r>
        <w:rPr>
          <w:spacing w:val="-8"/>
          <w:w w:val="105"/>
        </w:rPr>
        <w:t> </w:t>
      </w:r>
      <w:r>
        <w:rPr>
          <w:w w:val="105"/>
        </w:rPr>
        <w:t>dollar,</w:t>
      </w:r>
      <w:r>
        <w:rPr>
          <w:spacing w:val="-8"/>
          <w:w w:val="105"/>
        </w:rPr>
        <w:t> </w:t>
      </w:r>
      <w:r>
        <w:rPr>
          <w:w w:val="105"/>
        </w:rPr>
        <w:t>Chinese</w:t>
      </w:r>
      <w:r>
        <w:rPr>
          <w:spacing w:val="-8"/>
          <w:w w:val="105"/>
        </w:rPr>
        <w:t> </w:t>
      </w:r>
      <w:r>
        <w:rPr>
          <w:w w:val="105"/>
        </w:rPr>
        <w:t>yuan,</w:t>
      </w:r>
      <w:r>
        <w:rPr>
          <w:spacing w:val="-8"/>
          <w:w w:val="105"/>
        </w:rPr>
        <w:t> </w:t>
      </w:r>
      <w:r>
        <w:rPr>
          <w:w w:val="105"/>
        </w:rPr>
        <w:t>the</w:t>
      </w:r>
      <w:r>
        <w:rPr>
          <w:spacing w:val="-8"/>
          <w:w w:val="105"/>
        </w:rPr>
        <w:t> </w:t>
      </w:r>
      <w:r>
        <w:rPr>
          <w:w w:val="105"/>
        </w:rPr>
        <w:t>euro</w:t>
      </w:r>
      <w:r>
        <w:rPr>
          <w:spacing w:val="-8"/>
          <w:w w:val="105"/>
        </w:rPr>
        <w:t> </w:t>
      </w:r>
      <w:r>
        <w:rPr>
          <w:w w:val="105"/>
        </w:rPr>
        <w:t>and</w:t>
      </w:r>
      <w:r>
        <w:rPr>
          <w:spacing w:val="-8"/>
          <w:w w:val="105"/>
        </w:rPr>
        <w:t> </w:t>
      </w:r>
      <w:r>
        <w:rPr>
          <w:w w:val="105"/>
        </w:rPr>
        <w:t>British</w:t>
      </w:r>
      <w:r>
        <w:rPr>
          <w:spacing w:val="-8"/>
          <w:w w:val="105"/>
        </w:rPr>
        <w:t> </w:t>
      </w:r>
      <w:r>
        <w:rPr>
          <w:w w:val="105"/>
        </w:rPr>
        <w:t>pound.</w:t>
      </w:r>
      <w:r>
        <w:rPr>
          <w:spacing w:val="-8"/>
          <w:w w:val="105"/>
        </w:rPr>
        <w:t> </w:t>
      </w:r>
      <w:r>
        <w:rPr>
          <w:w w:val="105"/>
        </w:rPr>
        <w:t>Corning</w:t>
      </w:r>
      <w:r>
        <w:rPr>
          <w:spacing w:val="-8"/>
          <w:w w:val="105"/>
        </w:rPr>
        <w:t> </w:t>
      </w:r>
      <w:r>
        <w:rPr>
          <w:w w:val="105"/>
        </w:rPr>
        <w:t>seeks to</w:t>
      </w:r>
      <w:r>
        <w:rPr>
          <w:spacing w:val="-4"/>
          <w:w w:val="105"/>
        </w:rPr>
        <w:t> </w:t>
      </w:r>
      <w:r>
        <w:rPr>
          <w:w w:val="105"/>
        </w:rPr>
        <w:t>mitigate</w:t>
      </w:r>
      <w:r>
        <w:rPr>
          <w:spacing w:val="-4"/>
          <w:w w:val="105"/>
        </w:rPr>
        <w:t> </w:t>
      </w:r>
      <w:r>
        <w:rPr>
          <w:w w:val="105"/>
        </w:rPr>
        <w:t>the</w:t>
      </w:r>
      <w:r>
        <w:rPr>
          <w:spacing w:val="-4"/>
          <w:w w:val="105"/>
        </w:rPr>
        <w:t> </w:t>
      </w:r>
      <w:r>
        <w:rPr>
          <w:w w:val="105"/>
        </w:rPr>
        <w:t>impact</w:t>
      </w:r>
      <w:r>
        <w:rPr>
          <w:spacing w:val="-4"/>
          <w:w w:val="105"/>
        </w:rPr>
        <w:t> </w:t>
      </w:r>
      <w:r>
        <w:rPr>
          <w:w w:val="105"/>
        </w:rPr>
        <w:t>of</w:t>
      </w:r>
      <w:r>
        <w:rPr>
          <w:spacing w:val="-4"/>
          <w:w w:val="105"/>
        </w:rPr>
        <w:t> </w:t>
      </w:r>
      <w:r>
        <w:rPr>
          <w:w w:val="105"/>
        </w:rPr>
        <w:t>exchange</w:t>
      </w:r>
      <w:r>
        <w:rPr>
          <w:spacing w:val="-4"/>
          <w:w w:val="105"/>
        </w:rPr>
        <w:t> </w:t>
      </w:r>
      <w:r>
        <w:rPr>
          <w:w w:val="105"/>
        </w:rPr>
        <w:t>rate</w:t>
      </w:r>
      <w:r>
        <w:rPr>
          <w:spacing w:val="-4"/>
          <w:w w:val="105"/>
        </w:rPr>
        <w:t> </w:t>
      </w:r>
      <w:r>
        <w:rPr>
          <w:w w:val="105"/>
        </w:rPr>
        <w:t>movements</w:t>
      </w:r>
      <w:r>
        <w:rPr>
          <w:spacing w:val="-4"/>
          <w:w w:val="105"/>
        </w:rPr>
        <w:t> </w:t>
      </w:r>
      <w:r>
        <w:rPr>
          <w:w w:val="105"/>
        </w:rPr>
        <w:t>in</w:t>
      </w:r>
      <w:r>
        <w:rPr>
          <w:spacing w:val="-4"/>
          <w:w w:val="105"/>
        </w:rPr>
        <w:t> </w:t>
      </w:r>
      <w:r>
        <w:rPr>
          <w:w w:val="105"/>
        </w:rPr>
        <w:t>our</w:t>
      </w:r>
      <w:r>
        <w:rPr>
          <w:spacing w:val="-4"/>
          <w:w w:val="105"/>
        </w:rPr>
        <w:t> </w:t>
      </w:r>
      <w:r>
        <w:rPr>
          <w:w w:val="105"/>
        </w:rPr>
        <w:t>income</w:t>
      </w:r>
      <w:r>
        <w:rPr>
          <w:spacing w:val="-4"/>
          <w:w w:val="105"/>
        </w:rPr>
        <w:t> </w:t>
      </w:r>
      <w:r>
        <w:rPr>
          <w:w w:val="105"/>
        </w:rPr>
        <w:t>statement</w:t>
      </w:r>
      <w:r>
        <w:rPr>
          <w:spacing w:val="-4"/>
          <w:w w:val="105"/>
        </w:rPr>
        <w:t> </w:t>
      </w:r>
      <w:r>
        <w:rPr>
          <w:w w:val="105"/>
        </w:rPr>
        <w:t>by</w:t>
      </w:r>
      <w:r>
        <w:rPr>
          <w:spacing w:val="-4"/>
          <w:w w:val="105"/>
        </w:rPr>
        <w:t> </w:t>
      </w:r>
      <w:r>
        <w:rPr>
          <w:w w:val="105"/>
        </w:rPr>
        <w:t>using</w:t>
      </w:r>
      <w:r>
        <w:rPr>
          <w:spacing w:val="-4"/>
          <w:w w:val="105"/>
        </w:rPr>
        <w:t> </w:t>
      </w:r>
      <w:r>
        <w:rPr>
          <w:w w:val="105"/>
        </w:rPr>
        <w:t>over-the-counter</w:t>
      </w:r>
      <w:r>
        <w:rPr>
          <w:spacing w:val="-4"/>
          <w:w w:val="105"/>
        </w:rPr>
        <w:t> </w:t>
      </w:r>
      <w:r>
        <w:rPr>
          <w:w w:val="105"/>
        </w:rPr>
        <w:t>("OTC")</w:t>
      </w:r>
      <w:r>
        <w:rPr>
          <w:spacing w:val="-4"/>
          <w:w w:val="105"/>
        </w:rPr>
        <w:t> </w:t>
      </w:r>
      <w:r>
        <w:rPr>
          <w:w w:val="105"/>
        </w:rPr>
        <w:t>derivative</w:t>
      </w:r>
      <w:r>
        <w:rPr>
          <w:spacing w:val="-4"/>
          <w:w w:val="105"/>
        </w:rPr>
        <w:t> </w:t>
      </w:r>
      <w:r>
        <w:rPr>
          <w:w w:val="105"/>
        </w:rPr>
        <w:t>instruments</w:t>
      </w:r>
      <w:r>
        <w:rPr>
          <w:spacing w:val="-4"/>
          <w:w w:val="105"/>
        </w:rPr>
        <w:t> </w:t>
      </w:r>
      <w:r>
        <w:rPr>
          <w:w w:val="105"/>
        </w:rPr>
        <w:t>including</w:t>
      </w:r>
      <w:r>
        <w:rPr>
          <w:spacing w:val="-4"/>
          <w:w w:val="105"/>
        </w:rPr>
        <w:t> </w:t>
      </w:r>
      <w:r>
        <w:rPr>
          <w:w w:val="105"/>
        </w:rPr>
        <w:t>foreign</w:t>
      </w:r>
      <w:r>
        <w:rPr>
          <w:spacing w:val="-4"/>
          <w:w w:val="105"/>
        </w:rPr>
        <w:t> </w:t>
      </w:r>
      <w:r>
        <w:rPr>
          <w:w w:val="105"/>
        </w:rPr>
        <w:t>exchange</w:t>
      </w:r>
      <w:r>
        <w:rPr>
          <w:spacing w:val="-4"/>
          <w:w w:val="105"/>
        </w:rPr>
        <w:t> </w:t>
      </w:r>
      <w:r>
        <w:rPr>
          <w:w w:val="105"/>
        </w:rPr>
        <w:t>forward and</w:t>
      </w:r>
      <w:r>
        <w:rPr>
          <w:spacing w:val="-2"/>
          <w:w w:val="105"/>
        </w:rPr>
        <w:t> </w:t>
      </w:r>
      <w:r>
        <w:rPr>
          <w:w w:val="105"/>
        </w:rPr>
        <w:t>option</w:t>
      </w:r>
      <w:r>
        <w:rPr>
          <w:spacing w:val="-2"/>
          <w:w w:val="105"/>
        </w:rPr>
        <w:t> </w:t>
      </w:r>
      <w:r>
        <w:rPr>
          <w:w w:val="105"/>
        </w:rPr>
        <w:t>contracts.</w:t>
      </w:r>
      <w:r>
        <w:rPr>
          <w:spacing w:val="-2"/>
          <w:w w:val="105"/>
        </w:rPr>
        <w:t> </w:t>
      </w:r>
      <w:r>
        <w:rPr>
          <w:w w:val="105"/>
        </w:rPr>
        <w:t>In</w:t>
      </w:r>
      <w:r>
        <w:rPr>
          <w:spacing w:val="-2"/>
          <w:w w:val="105"/>
        </w:rPr>
        <w:t> </w:t>
      </w:r>
      <w:r>
        <w:rPr>
          <w:w w:val="105"/>
        </w:rPr>
        <w:t>general,</w:t>
      </w:r>
      <w:r>
        <w:rPr>
          <w:spacing w:val="-2"/>
          <w:w w:val="105"/>
        </w:rPr>
        <w:t> </w:t>
      </w:r>
      <w:r>
        <w:rPr>
          <w:w w:val="105"/>
        </w:rPr>
        <w:t>the</w:t>
      </w:r>
      <w:r>
        <w:rPr>
          <w:spacing w:val="-2"/>
          <w:w w:val="105"/>
        </w:rPr>
        <w:t> </w:t>
      </w:r>
      <w:r>
        <w:rPr>
          <w:w w:val="105"/>
        </w:rPr>
        <w:t>expirations</w:t>
      </w:r>
      <w:r>
        <w:rPr>
          <w:spacing w:val="-2"/>
          <w:w w:val="105"/>
        </w:rPr>
        <w:t> </w:t>
      </w:r>
      <w:r>
        <w:rPr>
          <w:w w:val="105"/>
        </w:rPr>
        <w:t>of</w:t>
      </w:r>
      <w:r>
        <w:rPr>
          <w:spacing w:val="-2"/>
          <w:w w:val="105"/>
        </w:rPr>
        <w:t> </w:t>
      </w:r>
      <w:r>
        <w:rPr>
          <w:w w:val="105"/>
        </w:rPr>
        <w:t>these</w:t>
      </w:r>
      <w:r>
        <w:rPr>
          <w:spacing w:val="-2"/>
          <w:w w:val="105"/>
        </w:rPr>
        <w:t> </w:t>
      </w:r>
      <w:r>
        <w:rPr>
          <w:w w:val="105"/>
        </w:rPr>
        <w:t>contracts</w:t>
      </w:r>
      <w:r>
        <w:rPr>
          <w:spacing w:val="-2"/>
          <w:w w:val="105"/>
        </w:rPr>
        <w:t> </w:t>
      </w:r>
      <w:r>
        <w:rPr>
          <w:w w:val="105"/>
        </w:rPr>
        <w:t>coincide</w:t>
      </w:r>
      <w:r>
        <w:rPr>
          <w:spacing w:val="-2"/>
          <w:w w:val="105"/>
        </w:rPr>
        <w:t> </w:t>
      </w:r>
      <w:r>
        <w:rPr>
          <w:w w:val="105"/>
        </w:rPr>
        <w:t>with</w:t>
      </w:r>
      <w:r>
        <w:rPr>
          <w:spacing w:val="-2"/>
          <w:w w:val="105"/>
        </w:rPr>
        <w:t> </w:t>
      </w:r>
      <w:r>
        <w:rPr>
          <w:w w:val="105"/>
        </w:rPr>
        <w:t>the</w:t>
      </w:r>
      <w:r>
        <w:rPr>
          <w:spacing w:val="-2"/>
          <w:w w:val="105"/>
        </w:rPr>
        <w:t> </w:t>
      </w:r>
      <w:r>
        <w:rPr>
          <w:w w:val="105"/>
        </w:rPr>
        <w:t>timing</w:t>
      </w:r>
      <w:r>
        <w:rPr>
          <w:spacing w:val="-2"/>
          <w:w w:val="105"/>
        </w:rPr>
        <w:t> </w:t>
      </w:r>
      <w:r>
        <w:rPr>
          <w:w w:val="105"/>
        </w:rPr>
        <w:t>of</w:t>
      </w:r>
      <w:r>
        <w:rPr>
          <w:spacing w:val="-2"/>
          <w:w w:val="105"/>
        </w:rPr>
        <w:t> </w:t>
      </w:r>
      <w:r>
        <w:rPr>
          <w:w w:val="105"/>
        </w:rPr>
        <w:t>the</w:t>
      </w:r>
      <w:r>
        <w:rPr>
          <w:spacing w:val="-2"/>
          <w:w w:val="105"/>
        </w:rPr>
        <w:t> </w:t>
      </w:r>
      <w:r>
        <w:rPr>
          <w:w w:val="105"/>
        </w:rPr>
        <w:t>underlying</w:t>
      </w:r>
      <w:r>
        <w:rPr>
          <w:spacing w:val="-2"/>
          <w:w w:val="105"/>
        </w:rPr>
        <w:t> </w:t>
      </w:r>
      <w:r>
        <w:rPr>
          <w:w w:val="105"/>
        </w:rPr>
        <w:t>foreign</w:t>
      </w:r>
      <w:r>
        <w:rPr>
          <w:spacing w:val="-2"/>
          <w:w w:val="105"/>
        </w:rPr>
        <w:t> </w:t>
      </w:r>
      <w:r>
        <w:rPr>
          <w:w w:val="105"/>
        </w:rPr>
        <w:t>currency</w:t>
      </w:r>
      <w:r>
        <w:rPr>
          <w:spacing w:val="-2"/>
          <w:w w:val="105"/>
        </w:rPr>
        <w:t> </w:t>
      </w:r>
      <w:r>
        <w:rPr>
          <w:w w:val="105"/>
        </w:rPr>
        <w:t>commitments</w:t>
      </w:r>
      <w:r>
        <w:rPr>
          <w:spacing w:val="-2"/>
          <w:w w:val="105"/>
        </w:rPr>
        <w:t> </w:t>
      </w:r>
      <w:r>
        <w:rPr>
          <w:w w:val="105"/>
        </w:rPr>
        <w:t>and</w:t>
      </w:r>
      <w:r>
        <w:rPr>
          <w:spacing w:val="-2"/>
          <w:w w:val="105"/>
        </w:rPr>
        <w:t> </w:t>
      </w:r>
      <w:r>
        <w:rPr>
          <w:w w:val="105"/>
        </w:rPr>
        <w:t>transactions.</w:t>
      </w:r>
    </w:p>
    <w:p>
      <w:pPr>
        <w:pStyle w:val="BodyText"/>
        <w:spacing w:before="18"/>
      </w:pPr>
    </w:p>
    <w:p>
      <w:pPr>
        <w:pStyle w:val="BodyText"/>
        <w:spacing w:line="266" w:lineRule="auto"/>
        <w:ind w:left="156"/>
      </w:pPr>
      <w:r>
        <w:rPr>
          <w:w w:val="105"/>
        </w:rPr>
        <w:t>Corning</w:t>
      </w:r>
      <w:r>
        <w:rPr>
          <w:spacing w:val="-2"/>
          <w:w w:val="105"/>
        </w:rPr>
        <w:t> </w:t>
      </w:r>
      <w:r>
        <w:rPr>
          <w:w w:val="105"/>
        </w:rPr>
        <w:t>is</w:t>
      </w:r>
      <w:r>
        <w:rPr>
          <w:spacing w:val="-2"/>
          <w:w w:val="105"/>
        </w:rPr>
        <w:t> </w:t>
      </w:r>
      <w:r>
        <w:rPr>
          <w:w w:val="105"/>
        </w:rPr>
        <w:t>exposed</w:t>
      </w:r>
      <w:r>
        <w:rPr>
          <w:spacing w:val="-2"/>
          <w:w w:val="105"/>
        </w:rPr>
        <w:t> </w:t>
      </w:r>
      <w:r>
        <w:rPr>
          <w:w w:val="105"/>
        </w:rPr>
        <w:t>to</w:t>
      </w:r>
      <w:r>
        <w:rPr>
          <w:spacing w:val="-2"/>
          <w:w w:val="105"/>
        </w:rPr>
        <w:t> </w:t>
      </w:r>
      <w:r>
        <w:rPr>
          <w:w w:val="105"/>
        </w:rPr>
        <w:t>potential</w:t>
      </w:r>
      <w:r>
        <w:rPr>
          <w:spacing w:val="-2"/>
          <w:w w:val="105"/>
        </w:rPr>
        <w:t> </w:t>
      </w:r>
      <w:r>
        <w:rPr>
          <w:w w:val="105"/>
        </w:rPr>
        <w:t>losses</w:t>
      </w:r>
      <w:r>
        <w:rPr>
          <w:spacing w:val="-2"/>
          <w:w w:val="105"/>
        </w:rPr>
        <w:t> </w:t>
      </w:r>
      <w:r>
        <w:rPr>
          <w:w w:val="105"/>
        </w:rPr>
        <w:t>in</w:t>
      </w:r>
      <w:r>
        <w:rPr>
          <w:spacing w:val="-2"/>
          <w:w w:val="105"/>
        </w:rPr>
        <w:t> </w:t>
      </w:r>
      <w:r>
        <w:rPr>
          <w:w w:val="105"/>
        </w:rPr>
        <w:t>the</w:t>
      </w:r>
      <w:r>
        <w:rPr>
          <w:spacing w:val="-2"/>
          <w:w w:val="105"/>
        </w:rPr>
        <w:t> </w:t>
      </w:r>
      <w:r>
        <w:rPr>
          <w:w w:val="105"/>
        </w:rPr>
        <w:t>event</w:t>
      </w:r>
      <w:r>
        <w:rPr>
          <w:spacing w:val="-2"/>
          <w:w w:val="105"/>
        </w:rPr>
        <w:t> </w:t>
      </w:r>
      <w:r>
        <w:rPr>
          <w:w w:val="105"/>
        </w:rPr>
        <w:t>of</w:t>
      </w:r>
      <w:r>
        <w:rPr>
          <w:spacing w:val="-2"/>
          <w:w w:val="105"/>
        </w:rPr>
        <w:t> </w:t>
      </w:r>
      <w:r>
        <w:rPr>
          <w:w w:val="105"/>
        </w:rPr>
        <w:t>non-performance</w:t>
      </w:r>
      <w:r>
        <w:rPr>
          <w:spacing w:val="-2"/>
          <w:w w:val="105"/>
        </w:rPr>
        <w:t> </w:t>
      </w:r>
      <w:r>
        <w:rPr>
          <w:w w:val="105"/>
        </w:rPr>
        <w:t>by</w:t>
      </w:r>
      <w:r>
        <w:rPr>
          <w:spacing w:val="-2"/>
          <w:w w:val="105"/>
        </w:rPr>
        <w:t> </w:t>
      </w:r>
      <w:r>
        <w:rPr>
          <w:w w:val="105"/>
        </w:rPr>
        <w:t>counterparties to</w:t>
      </w:r>
      <w:r>
        <w:rPr>
          <w:spacing w:val="-2"/>
          <w:w w:val="105"/>
        </w:rPr>
        <w:t> </w:t>
      </w:r>
      <w:r>
        <w:rPr>
          <w:w w:val="105"/>
        </w:rPr>
        <w:t>these</w:t>
      </w:r>
      <w:r>
        <w:rPr>
          <w:spacing w:val="-2"/>
          <w:w w:val="105"/>
        </w:rPr>
        <w:t> </w:t>
      </w:r>
      <w:r>
        <w:rPr>
          <w:w w:val="105"/>
        </w:rPr>
        <w:t>derivative</w:t>
      </w:r>
      <w:r>
        <w:rPr>
          <w:spacing w:val="-2"/>
          <w:w w:val="105"/>
        </w:rPr>
        <w:t> </w:t>
      </w:r>
      <w:r>
        <w:rPr>
          <w:w w:val="105"/>
        </w:rPr>
        <w:t>contracts.</w:t>
      </w:r>
      <w:r>
        <w:rPr>
          <w:spacing w:val="-2"/>
          <w:w w:val="105"/>
        </w:rPr>
        <w:t> </w:t>
      </w:r>
      <w:r>
        <w:rPr>
          <w:w w:val="105"/>
        </w:rPr>
        <w:t>However,</w:t>
      </w:r>
      <w:r>
        <w:rPr>
          <w:spacing w:val="-2"/>
          <w:w w:val="105"/>
        </w:rPr>
        <w:t> </w:t>
      </w:r>
      <w:r>
        <w:rPr>
          <w:w w:val="105"/>
        </w:rPr>
        <w:t>this</w:t>
      </w:r>
      <w:r>
        <w:rPr>
          <w:spacing w:val="-2"/>
          <w:w w:val="105"/>
        </w:rPr>
        <w:t> </w:t>
      </w:r>
      <w:r>
        <w:rPr>
          <w:w w:val="105"/>
        </w:rPr>
        <w:t>risk</w:t>
      </w:r>
      <w:r>
        <w:rPr>
          <w:spacing w:val="-2"/>
          <w:w w:val="105"/>
        </w:rPr>
        <w:t> </w:t>
      </w:r>
      <w:r>
        <w:rPr>
          <w:w w:val="105"/>
        </w:rPr>
        <w:t>is</w:t>
      </w:r>
      <w:r>
        <w:rPr>
          <w:spacing w:val="-2"/>
          <w:w w:val="105"/>
        </w:rPr>
        <w:t> </w:t>
      </w:r>
      <w:r>
        <w:rPr>
          <w:w w:val="105"/>
        </w:rPr>
        <w:t>minimized</w:t>
      </w:r>
      <w:r>
        <w:rPr>
          <w:spacing w:val="-2"/>
          <w:w w:val="105"/>
        </w:rPr>
        <w:t> </w:t>
      </w:r>
      <w:r>
        <w:rPr>
          <w:w w:val="105"/>
        </w:rPr>
        <w:t>by</w:t>
      </w:r>
      <w:r>
        <w:rPr>
          <w:spacing w:val="-2"/>
          <w:w w:val="105"/>
        </w:rPr>
        <w:t> </w:t>
      </w:r>
      <w:r>
        <w:rPr>
          <w:w w:val="105"/>
        </w:rPr>
        <w:t>maintaining</w:t>
      </w:r>
      <w:r>
        <w:rPr>
          <w:spacing w:val="-2"/>
          <w:w w:val="105"/>
        </w:rPr>
        <w:t> </w:t>
      </w:r>
      <w:r>
        <w:rPr>
          <w:w w:val="105"/>
        </w:rPr>
        <w:t>a portfolio</w:t>
      </w:r>
      <w:r>
        <w:rPr>
          <w:spacing w:val="-1"/>
          <w:w w:val="105"/>
        </w:rPr>
        <w:t> </w:t>
      </w:r>
      <w:r>
        <w:rPr>
          <w:w w:val="105"/>
        </w:rPr>
        <w:t>with</w:t>
      </w:r>
      <w:r>
        <w:rPr>
          <w:spacing w:val="-1"/>
          <w:w w:val="105"/>
        </w:rPr>
        <w:t> </w:t>
      </w:r>
      <w:r>
        <w:rPr>
          <w:w w:val="105"/>
        </w:rPr>
        <w:t>a</w:t>
      </w:r>
      <w:r>
        <w:rPr>
          <w:spacing w:val="-1"/>
          <w:w w:val="105"/>
        </w:rPr>
        <w:t> </w:t>
      </w:r>
      <w:r>
        <w:rPr>
          <w:w w:val="105"/>
        </w:rPr>
        <w:t>diverse</w:t>
      </w:r>
      <w:r>
        <w:rPr>
          <w:spacing w:val="-1"/>
          <w:w w:val="105"/>
        </w:rPr>
        <w:t> </w:t>
      </w:r>
      <w:r>
        <w:rPr>
          <w:w w:val="105"/>
        </w:rPr>
        <w:t>group</w:t>
      </w:r>
      <w:r>
        <w:rPr>
          <w:spacing w:val="-1"/>
          <w:w w:val="105"/>
        </w:rPr>
        <w:t> </w:t>
      </w:r>
      <w:r>
        <w:rPr>
          <w:w w:val="105"/>
        </w:rPr>
        <w:t>of</w:t>
      </w:r>
      <w:r>
        <w:rPr>
          <w:spacing w:val="-1"/>
          <w:w w:val="105"/>
        </w:rPr>
        <w:t> </w:t>
      </w:r>
      <w:r>
        <w:rPr>
          <w:w w:val="105"/>
        </w:rPr>
        <w:t>highly-rated</w:t>
      </w:r>
      <w:r>
        <w:rPr>
          <w:spacing w:val="-1"/>
          <w:w w:val="105"/>
        </w:rPr>
        <w:t> </w:t>
      </w:r>
      <w:r>
        <w:rPr>
          <w:w w:val="105"/>
        </w:rPr>
        <w:t>major</w:t>
      </w:r>
      <w:r>
        <w:rPr>
          <w:spacing w:val="-1"/>
          <w:w w:val="105"/>
        </w:rPr>
        <w:t> </w:t>
      </w:r>
      <w:r>
        <w:rPr>
          <w:w w:val="105"/>
        </w:rPr>
        <w:t>financial</w:t>
      </w:r>
      <w:r>
        <w:rPr>
          <w:spacing w:val="-1"/>
          <w:w w:val="105"/>
        </w:rPr>
        <w:t> </w:t>
      </w:r>
      <w:r>
        <w:rPr>
          <w:w w:val="105"/>
        </w:rPr>
        <w:t>institutions.</w:t>
      </w:r>
      <w:r>
        <w:rPr>
          <w:spacing w:val="-1"/>
          <w:w w:val="105"/>
        </w:rPr>
        <w:t> </w:t>
      </w:r>
      <w:r>
        <w:rPr>
          <w:w w:val="105"/>
        </w:rPr>
        <w:t>The</w:t>
      </w:r>
      <w:r>
        <w:rPr>
          <w:spacing w:val="-1"/>
          <w:w w:val="105"/>
        </w:rPr>
        <w:t> </w:t>
      </w:r>
      <w:r>
        <w:rPr>
          <w:w w:val="105"/>
        </w:rPr>
        <w:t>Company</w:t>
      </w:r>
      <w:r>
        <w:rPr>
          <w:spacing w:val="-1"/>
          <w:w w:val="105"/>
        </w:rPr>
        <w:t> </w:t>
      </w:r>
      <w:r>
        <w:rPr>
          <w:w w:val="105"/>
        </w:rPr>
        <w:t>does</w:t>
      </w:r>
      <w:r>
        <w:rPr>
          <w:spacing w:val="-1"/>
          <w:w w:val="105"/>
        </w:rPr>
        <w:t> </w:t>
      </w:r>
      <w:r>
        <w:rPr>
          <w:w w:val="105"/>
        </w:rPr>
        <w:t>not</w:t>
      </w:r>
      <w:r>
        <w:rPr>
          <w:spacing w:val="-1"/>
          <w:w w:val="105"/>
        </w:rPr>
        <w:t> </w:t>
      </w:r>
      <w:r>
        <w:rPr>
          <w:w w:val="105"/>
        </w:rPr>
        <w:t>expect</w:t>
      </w:r>
      <w:r>
        <w:rPr>
          <w:spacing w:val="-1"/>
          <w:w w:val="105"/>
        </w:rPr>
        <w:t> </w:t>
      </w:r>
      <w:r>
        <w:rPr>
          <w:w w:val="105"/>
        </w:rPr>
        <w:t>to</w:t>
      </w:r>
      <w:r>
        <w:rPr>
          <w:spacing w:val="-1"/>
          <w:w w:val="105"/>
        </w:rPr>
        <w:t> </w:t>
      </w:r>
      <w:r>
        <w:rPr>
          <w:w w:val="105"/>
        </w:rPr>
        <w:t>record</w:t>
      </w:r>
      <w:r>
        <w:rPr>
          <w:spacing w:val="-1"/>
          <w:w w:val="105"/>
        </w:rPr>
        <w:t> </w:t>
      </w:r>
      <w:r>
        <w:rPr>
          <w:w w:val="105"/>
        </w:rPr>
        <w:t>any</w:t>
      </w:r>
      <w:r>
        <w:rPr>
          <w:spacing w:val="-1"/>
          <w:w w:val="105"/>
        </w:rPr>
        <w:t> </w:t>
      </w:r>
      <w:r>
        <w:rPr>
          <w:w w:val="105"/>
        </w:rPr>
        <w:t>losses</w:t>
      </w:r>
      <w:r>
        <w:rPr>
          <w:spacing w:val="-1"/>
          <w:w w:val="105"/>
        </w:rPr>
        <w:t> </w:t>
      </w:r>
      <w:r>
        <w:rPr>
          <w:w w:val="105"/>
        </w:rPr>
        <w:t>due</w:t>
      </w:r>
      <w:r>
        <w:rPr>
          <w:spacing w:val="-1"/>
          <w:w w:val="105"/>
        </w:rPr>
        <w:t> </w:t>
      </w:r>
      <w:r>
        <w:rPr>
          <w:w w:val="105"/>
        </w:rPr>
        <w:t>to</w:t>
      </w:r>
      <w:r>
        <w:rPr>
          <w:spacing w:val="-1"/>
          <w:w w:val="105"/>
        </w:rPr>
        <w:t> </w:t>
      </w:r>
      <w:r>
        <w:rPr>
          <w:w w:val="105"/>
        </w:rPr>
        <w:t>counterparty</w:t>
      </w:r>
      <w:r>
        <w:rPr>
          <w:spacing w:val="-1"/>
          <w:w w:val="105"/>
        </w:rPr>
        <w:t> </w:t>
      </w:r>
      <w:r>
        <w:rPr>
          <w:w w:val="105"/>
        </w:rPr>
        <w:t>default.</w:t>
      </w:r>
      <w:r>
        <w:rPr>
          <w:spacing w:val="-1"/>
          <w:w w:val="105"/>
        </w:rPr>
        <w:t> </w:t>
      </w:r>
      <w:r>
        <w:rPr>
          <w:w w:val="105"/>
        </w:rPr>
        <w:t>Neither</w:t>
      </w:r>
      <w:r>
        <w:rPr>
          <w:spacing w:val="-1"/>
          <w:w w:val="105"/>
        </w:rPr>
        <w:t> </w:t>
      </w:r>
      <w:r>
        <w:rPr>
          <w:w w:val="105"/>
        </w:rPr>
        <w:t>the Company</w:t>
      </w:r>
      <w:r>
        <w:rPr>
          <w:spacing w:val="-8"/>
          <w:w w:val="105"/>
        </w:rPr>
        <w:t> </w:t>
      </w:r>
      <w:r>
        <w:rPr>
          <w:w w:val="105"/>
        </w:rPr>
        <w:t>nor</w:t>
      </w:r>
      <w:r>
        <w:rPr>
          <w:spacing w:val="-8"/>
          <w:w w:val="105"/>
        </w:rPr>
        <w:t> </w:t>
      </w:r>
      <w:r>
        <w:rPr>
          <w:w w:val="105"/>
        </w:rPr>
        <w:t>its</w:t>
      </w:r>
      <w:r>
        <w:rPr>
          <w:spacing w:val="-8"/>
          <w:w w:val="105"/>
        </w:rPr>
        <w:t> </w:t>
      </w:r>
      <w:r>
        <w:rPr>
          <w:w w:val="105"/>
        </w:rPr>
        <w:t>counterparties</w:t>
      </w:r>
      <w:r>
        <w:rPr>
          <w:spacing w:val="-8"/>
          <w:w w:val="105"/>
        </w:rPr>
        <w:t> </w:t>
      </w:r>
      <w:r>
        <w:rPr>
          <w:w w:val="105"/>
        </w:rPr>
        <w:t>are</w:t>
      </w:r>
      <w:r>
        <w:rPr>
          <w:spacing w:val="-8"/>
          <w:w w:val="105"/>
        </w:rPr>
        <w:t> </w:t>
      </w:r>
      <w:r>
        <w:rPr>
          <w:w w:val="105"/>
        </w:rPr>
        <w:t>required</w:t>
      </w:r>
      <w:r>
        <w:rPr>
          <w:spacing w:val="-8"/>
          <w:w w:val="105"/>
        </w:rPr>
        <w:t> </w:t>
      </w:r>
      <w:r>
        <w:rPr>
          <w:w w:val="105"/>
        </w:rPr>
        <w:t>to</w:t>
      </w:r>
      <w:r>
        <w:rPr>
          <w:spacing w:val="-8"/>
          <w:w w:val="105"/>
        </w:rPr>
        <w:t> </w:t>
      </w:r>
      <w:r>
        <w:rPr>
          <w:w w:val="105"/>
        </w:rPr>
        <w:t>post</w:t>
      </w:r>
      <w:r>
        <w:rPr>
          <w:spacing w:val="-8"/>
          <w:w w:val="105"/>
        </w:rPr>
        <w:t> </w:t>
      </w:r>
      <w:r>
        <w:rPr>
          <w:w w:val="105"/>
        </w:rPr>
        <w:t>collateral</w:t>
      </w:r>
      <w:r>
        <w:rPr>
          <w:spacing w:val="-8"/>
          <w:w w:val="105"/>
        </w:rPr>
        <w:t> </w:t>
      </w:r>
      <w:r>
        <w:rPr>
          <w:w w:val="105"/>
        </w:rPr>
        <w:t>for</w:t>
      </w:r>
      <w:r>
        <w:rPr>
          <w:spacing w:val="-8"/>
          <w:w w:val="105"/>
        </w:rPr>
        <w:t> </w:t>
      </w:r>
      <w:r>
        <w:rPr>
          <w:w w:val="105"/>
        </w:rPr>
        <w:t>these</w:t>
      </w:r>
      <w:r>
        <w:rPr>
          <w:spacing w:val="-8"/>
          <w:w w:val="105"/>
        </w:rPr>
        <w:t> </w:t>
      </w:r>
      <w:r>
        <w:rPr>
          <w:w w:val="105"/>
        </w:rPr>
        <w:t>financial</w:t>
      </w:r>
      <w:r>
        <w:rPr>
          <w:spacing w:val="-8"/>
          <w:w w:val="105"/>
        </w:rPr>
        <w:t> </w:t>
      </w:r>
      <w:r>
        <w:rPr>
          <w:w w:val="105"/>
        </w:rPr>
        <w:t>instruments.</w:t>
      </w:r>
      <w:r>
        <w:rPr>
          <w:spacing w:val="-8"/>
          <w:w w:val="105"/>
        </w:rPr>
        <w:t> </w:t>
      </w:r>
      <w:r>
        <w:rPr>
          <w:w w:val="105"/>
        </w:rPr>
        <w:t>The</w:t>
      </w:r>
      <w:r>
        <w:rPr>
          <w:spacing w:val="-8"/>
          <w:w w:val="105"/>
        </w:rPr>
        <w:t> </w:t>
      </w:r>
      <w:r>
        <w:rPr>
          <w:w w:val="105"/>
        </w:rPr>
        <w:t>Company</w:t>
      </w:r>
      <w:r>
        <w:rPr>
          <w:spacing w:val="-8"/>
          <w:w w:val="105"/>
        </w:rPr>
        <w:t> </w:t>
      </w:r>
      <w:r>
        <w:rPr>
          <w:w w:val="105"/>
        </w:rPr>
        <w:t>qualified</w:t>
      </w:r>
      <w:r>
        <w:rPr>
          <w:spacing w:val="-8"/>
          <w:w w:val="105"/>
        </w:rPr>
        <w:t> </w:t>
      </w:r>
      <w:r>
        <w:rPr>
          <w:w w:val="105"/>
        </w:rPr>
        <w:t>for</w:t>
      </w:r>
      <w:r>
        <w:rPr>
          <w:spacing w:val="-8"/>
          <w:w w:val="105"/>
        </w:rPr>
        <w:t> </w:t>
      </w:r>
      <w:r>
        <w:rPr>
          <w:w w:val="105"/>
        </w:rPr>
        <w:t>and</w:t>
      </w:r>
      <w:r>
        <w:rPr>
          <w:spacing w:val="-8"/>
          <w:w w:val="105"/>
        </w:rPr>
        <w:t> </w:t>
      </w:r>
      <w:r>
        <w:rPr>
          <w:w w:val="105"/>
        </w:rPr>
        <w:t>elected</w:t>
      </w:r>
      <w:r>
        <w:rPr>
          <w:spacing w:val="-8"/>
          <w:w w:val="105"/>
        </w:rPr>
        <w:t> </w:t>
      </w:r>
      <w:r>
        <w:rPr>
          <w:w w:val="105"/>
        </w:rPr>
        <w:t>the</w:t>
      </w:r>
      <w:r>
        <w:rPr>
          <w:spacing w:val="-8"/>
          <w:w w:val="105"/>
        </w:rPr>
        <w:t> </w:t>
      </w:r>
      <w:r>
        <w:rPr>
          <w:w w:val="105"/>
        </w:rPr>
        <w:t>end-user</w:t>
      </w:r>
      <w:r>
        <w:rPr>
          <w:spacing w:val="-8"/>
          <w:w w:val="105"/>
        </w:rPr>
        <w:t> </w:t>
      </w:r>
      <w:r>
        <w:rPr>
          <w:w w:val="105"/>
        </w:rPr>
        <w:t>exception</w:t>
      </w:r>
      <w:r>
        <w:rPr>
          <w:spacing w:val="-8"/>
          <w:w w:val="105"/>
        </w:rPr>
        <w:t> </w:t>
      </w:r>
      <w:r>
        <w:rPr>
          <w:w w:val="105"/>
        </w:rPr>
        <w:t>to</w:t>
      </w:r>
      <w:r>
        <w:rPr>
          <w:spacing w:val="-8"/>
          <w:w w:val="105"/>
        </w:rPr>
        <w:t> </w:t>
      </w:r>
      <w:r>
        <w:rPr>
          <w:w w:val="105"/>
        </w:rPr>
        <w:t>the</w:t>
      </w:r>
      <w:r>
        <w:rPr>
          <w:spacing w:val="-8"/>
          <w:w w:val="105"/>
        </w:rPr>
        <w:t> </w:t>
      </w:r>
      <w:r>
        <w:rPr>
          <w:w w:val="105"/>
        </w:rPr>
        <w:t>mandatory swap clearing requirement of the Dodd-Frank Act.</w:t>
      </w:r>
    </w:p>
    <w:p>
      <w:pPr>
        <w:pStyle w:val="BodyText"/>
        <w:spacing w:before="18"/>
      </w:pPr>
    </w:p>
    <w:p>
      <w:pPr>
        <w:pStyle w:val="Heading3"/>
      </w:pPr>
      <w:r>
        <w:rPr/>
        <w:t>Designated</w:t>
      </w:r>
      <w:r>
        <w:rPr>
          <w:spacing w:val="23"/>
        </w:rPr>
        <w:t> </w:t>
      </w:r>
      <w:r>
        <w:rPr>
          <w:spacing w:val="-2"/>
        </w:rPr>
        <w:t>Hedges</w:t>
      </w:r>
    </w:p>
    <w:p>
      <w:pPr>
        <w:pStyle w:val="BodyText"/>
        <w:spacing w:before="40"/>
        <w:rPr>
          <w:b/>
          <w:i/>
        </w:rPr>
      </w:pPr>
    </w:p>
    <w:p>
      <w:pPr>
        <w:pStyle w:val="BodyText"/>
        <w:spacing w:line="266" w:lineRule="auto"/>
        <w:ind w:left="156" w:right="178"/>
        <w:jc w:val="both"/>
      </w:pPr>
      <w:r>
        <w:rPr>
          <w:w w:val="105"/>
        </w:rPr>
        <w:t>Corning</w:t>
      </w:r>
      <w:r>
        <w:rPr>
          <w:spacing w:val="-8"/>
          <w:w w:val="105"/>
        </w:rPr>
        <w:t> </w:t>
      </w:r>
      <w:r>
        <w:rPr>
          <w:w w:val="105"/>
        </w:rPr>
        <w:t>uses</w:t>
      </w:r>
      <w:r>
        <w:rPr>
          <w:spacing w:val="-8"/>
          <w:w w:val="105"/>
        </w:rPr>
        <w:t> </w:t>
      </w:r>
      <w:r>
        <w:rPr>
          <w:w w:val="105"/>
        </w:rPr>
        <w:t>OTC</w:t>
      </w:r>
      <w:r>
        <w:rPr>
          <w:spacing w:val="-8"/>
          <w:w w:val="105"/>
        </w:rPr>
        <w:t> </w:t>
      </w:r>
      <w:r>
        <w:rPr>
          <w:w w:val="105"/>
        </w:rPr>
        <w:t>foreign</w:t>
      </w:r>
      <w:r>
        <w:rPr>
          <w:spacing w:val="-8"/>
          <w:w w:val="105"/>
        </w:rPr>
        <w:t> </w:t>
      </w:r>
      <w:r>
        <w:rPr>
          <w:w w:val="105"/>
        </w:rPr>
        <w:t>exchange</w:t>
      </w:r>
      <w:r>
        <w:rPr>
          <w:spacing w:val="-8"/>
          <w:w w:val="105"/>
        </w:rPr>
        <w:t> </w:t>
      </w:r>
      <w:r>
        <w:rPr>
          <w:w w:val="105"/>
        </w:rPr>
        <w:t>forward</w:t>
      </w:r>
      <w:r>
        <w:rPr>
          <w:spacing w:val="-8"/>
          <w:w w:val="105"/>
        </w:rPr>
        <w:t> </w:t>
      </w:r>
      <w:r>
        <w:rPr>
          <w:w w:val="105"/>
        </w:rPr>
        <w:t>contracts</w:t>
      </w:r>
      <w:r>
        <w:rPr>
          <w:spacing w:val="-8"/>
          <w:w w:val="105"/>
        </w:rPr>
        <w:t> </w:t>
      </w:r>
      <w:r>
        <w:rPr>
          <w:w w:val="105"/>
        </w:rPr>
        <w:t>designated</w:t>
      </w:r>
      <w:r>
        <w:rPr>
          <w:spacing w:val="-8"/>
          <w:w w:val="105"/>
        </w:rPr>
        <w:t> </w:t>
      </w:r>
      <w:r>
        <w:rPr>
          <w:w w:val="105"/>
        </w:rPr>
        <w:t>as</w:t>
      </w:r>
      <w:r>
        <w:rPr>
          <w:spacing w:val="-8"/>
          <w:w w:val="105"/>
        </w:rPr>
        <w:t> </w:t>
      </w:r>
      <w:r>
        <w:rPr>
          <w:w w:val="105"/>
        </w:rPr>
        <w:t>cash</w:t>
      </w:r>
      <w:r>
        <w:rPr>
          <w:spacing w:val="-6"/>
          <w:w w:val="105"/>
        </w:rPr>
        <w:t> </w:t>
      </w:r>
      <w:r>
        <w:rPr>
          <w:w w:val="105"/>
        </w:rPr>
        <w:t>flow</w:t>
      </w:r>
      <w:r>
        <w:rPr>
          <w:spacing w:val="-8"/>
          <w:w w:val="105"/>
        </w:rPr>
        <w:t> </w:t>
      </w:r>
      <w:r>
        <w:rPr>
          <w:w w:val="105"/>
        </w:rPr>
        <w:t>hedges</w:t>
      </w:r>
      <w:r>
        <w:rPr>
          <w:spacing w:val="-8"/>
          <w:w w:val="105"/>
        </w:rPr>
        <w:t> </w:t>
      </w:r>
      <w:r>
        <w:rPr>
          <w:w w:val="105"/>
        </w:rPr>
        <w:t>to</w:t>
      </w:r>
      <w:r>
        <w:rPr>
          <w:spacing w:val="-8"/>
          <w:w w:val="105"/>
        </w:rPr>
        <w:t> </w:t>
      </w:r>
      <w:r>
        <w:rPr>
          <w:w w:val="105"/>
        </w:rPr>
        <w:t>reduce</w:t>
      </w:r>
      <w:r>
        <w:rPr>
          <w:spacing w:val="-8"/>
          <w:w w:val="105"/>
        </w:rPr>
        <w:t> </w:t>
      </w:r>
      <w:r>
        <w:rPr>
          <w:w w:val="105"/>
        </w:rPr>
        <w:t>the</w:t>
      </w:r>
      <w:r>
        <w:rPr>
          <w:spacing w:val="-8"/>
          <w:w w:val="105"/>
        </w:rPr>
        <w:t> </w:t>
      </w:r>
      <w:r>
        <w:rPr>
          <w:w w:val="105"/>
        </w:rPr>
        <w:t>risk</w:t>
      </w:r>
      <w:r>
        <w:rPr>
          <w:spacing w:val="-8"/>
          <w:w w:val="105"/>
        </w:rPr>
        <w:t> </w:t>
      </w:r>
      <w:r>
        <w:rPr>
          <w:w w:val="105"/>
        </w:rPr>
        <w:t>that</w:t>
      </w:r>
      <w:r>
        <w:rPr>
          <w:spacing w:val="-8"/>
          <w:w w:val="105"/>
        </w:rPr>
        <w:t> </w:t>
      </w:r>
      <w:r>
        <w:rPr>
          <w:w w:val="105"/>
        </w:rPr>
        <w:t>movements</w:t>
      </w:r>
      <w:r>
        <w:rPr>
          <w:spacing w:val="-8"/>
          <w:w w:val="105"/>
        </w:rPr>
        <w:t> </w:t>
      </w:r>
      <w:r>
        <w:rPr>
          <w:w w:val="105"/>
        </w:rPr>
        <w:t>in</w:t>
      </w:r>
      <w:r>
        <w:rPr>
          <w:spacing w:val="-8"/>
          <w:w w:val="105"/>
        </w:rPr>
        <w:t> </w:t>
      </w:r>
      <w:r>
        <w:rPr>
          <w:w w:val="105"/>
        </w:rPr>
        <w:t>exchange</w:t>
      </w:r>
      <w:r>
        <w:rPr>
          <w:spacing w:val="-8"/>
          <w:w w:val="105"/>
        </w:rPr>
        <w:t> </w:t>
      </w:r>
      <w:r>
        <w:rPr>
          <w:w w:val="105"/>
        </w:rPr>
        <w:t>rates</w:t>
      </w:r>
      <w:r>
        <w:rPr>
          <w:spacing w:val="-8"/>
          <w:w w:val="105"/>
        </w:rPr>
        <w:t> </w:t>
      </w:r>
      <w:r>
        <w:rPr>
          <w:w w:val="105"/>
        </w:rPr>
        <w:t>will</w:t>
      </w:r>
      <w:r>
        <w:rPr>
          <w:spacing w:val="-8"/>
          <w:w w:val="105"/>
        </w:rPr>
        <w:t> </w:t>
      </w:r>
      <w:r>
        <w:rPr>
          <w:w w:val="105"/>
        </w:rPr>
        <w:t>adversely</w:t>
      </w:r>
      <w:r>
        <w:rPr>
          <w:spacing w:val="-8"/>
          <w:w w:val="105"/>
        </w:rPr>
        <w:t> </w:t>
      </w:r>
      <w:r>
        <w:rPr>
          <w:w w:val="105"/>
        </w:rPr>
        <w:t>affect</w:t>
      </w:r>
      <w:r>
        <w:rPr>
          <w:spacing w:val="-8"/>
          <w:w w:val="105"/>
        </w:rPr>
        <w:t> </w:t>
      </w:r>
      <w:r>
        <w:rPr>
          <w:w w:val="105"/>
        </w:rPr>
        <w:t>the</w:t>
      </w:r>
      <w:r>
        <w:rPr>
          <w:spacing w:val="-8"/>
          <w:w w:val="105"/>
        </w:rPr>
        <w:t> </w:t>
      </w:r>
      <w:r>
        <w:rPr>
          <w:w w:val="105"/>
        </w:rPr>
        <w:t>net</w:t>
      </w:r>
      <w:r>
        <w:rPr>
          <w:spacing w:val="-8"/>
          <w:w w:val="105"/>
        </w:rPr>
        <w:t> </w:t>
      </w:r>
      <w:r>
        <w:rPr>
          <w:w w:val="105"/>
        </w:rPr>
        <w:t>cash flows</w:t>
      </w:r>
      <w:r>
        <w:rPr>
          <w:spacing w:val="-3"/>
          <w:w w:val="105"/>
        </w:rPr>
        <w:t> </w:t>
      </w:r>
      <w:r>
        <w:rPr>
          <w:w w:val="105"/>
        </w:rPr>
        <w:t>resulting</w:t>
      </w:r>
      <w:r>
        <w:rPr>
          <w:spacing w:val="-3"/>
          <w:w w:val="105"/>
        </w:rPr>
        <w:t> </w:t>
      </w:r>
      <w:r>
        <w:rPr>
          <w:w w:val="105"/>
        </w:rPr>
        <w:t>from</w:t>
      </w:r>
      <w:r>
        <w:rPr>
          <w:spacing w:val="-3"/>
          <w:w w:val="105"/>
        </w:rPr>
        <w:t> </w:t>
      </w:r>
      <w:r>
        <w:rPr>
          <w:w w:val="105"/>
        </w:rPr>
        <w:t>the</w:t>
      </w:r>
      <w:r>
        <w:rPr>
          <w:spacing w:val="-3"/>
          <w:w w:val="105"/>
        </w:rPr>
        <w:t> </w:t>
      </w:r>
      <w:r>
        <w:rPr>
          <w:w w:val="105"/>
        </w:rPr>
        <w:t>sale</w:t>
      </w:r>
      <w:r>
        <w:rPr>
          <w:spacing w:val="-3"/>
          <w:w w:val="105"/>
        </w:rPr>
        <w:t> </w:t>
      </w:r>
      <w:r>
        <w:rPr>
          <w:w w:val="105"/>
        </w:rPr>
        <w:t>of</w:t>
      </w:r>
      <w:r>
        <w:rPr>
          <w:spacing w:val="-3"/>
          <w:w w:val="105"/>
        </w:rPr>
        <w:t> </w:t>
      </w:r>
      <w:r>
        <w:rPr>
          <w:w w:val="105"/>
        </w:rPr>
        <w:t>products</w:t>
      </w:r>
      <w:r>
        <w:rPr>
          <w:spacing w:val="-3"/>
          <w:w w:val="105"/>
        </w:rPr>
        <w:t> </w:t>
      </w:r>
      <w:r>
        <w:rPr>
          <w:w w:val="105"/>
        </w:rPr>
        <w:t>to</w:t>
      </w:r>
      <w:r>
        <w:rPr>
          <w:spacing w:val="-3"/>
          <w:w w:val="105"/>
        </w:rPr>
        <w:t> </w:t>
      </w:r>
      <w:r>
        <w:rPr>
          <w:w w:val="105"/>
        </w:rPr>
        <w:t>customers</w:t>
      </w:r>
      <w:r>
        <w:rPr>
          <w:spacing w:val="-3"/>
          <w:w w:val="105"/>
        </w:rPr>
        <w:t> </w:t>
      </w:r>
      <w:r>
        <w:rPr>
          <w:w w:val="105"/>
        </w:rPr>
        <w:t>and</w:t>
      </w:r>
      <w:r>
        <w:rPr>
          <w:spacing w:val="-3"/>
          <w:w w:val="105"/>
        </w:rPr>
        <w:t> </w:t>
      </w:r>
      <w:r>
        <w:rPr>
          <w:w w:val="105"/>
        </w:rPr>
        <w:t>purchases</w:t>
      </w:r>
      <w:r>
        <w:rPr>
          <w:spacing w:val="-3"/>
          <w:w w:val="105"/>
        </w:rPr>
        <w:t> </w:t>
      </w:r>
      <w:r>
        <w:rPr>
          <w:w w:val="105"/>
        </w:rPr>
        <w:t>from</w:t>
      </w:r>
      <w:r>
        <w:rPr>
          <w:spacing w:val="-3"/>
          <w:w w:val="105"/>
        </w:rPr>
        <w:t> </w:t>
      </w:r>
      <w:r>
        <w:rPr>
          <w:w w:val="105"/>
        </w:rPr>
        <w:t>suppliers.</w:t>
      </w:r>
      <w:r>
        <w:rPr>
          <w:spacing w:val="-3"/>
          <w:w w:val="105"/>
        </w:rPr>
        <w:t> </w:t>
      </w:r>
      <w:r>
        <w:rPr>
          <w:w w:val="105"/>
        </w:rPr>
        <w:t>The</w:t>
      </w:r>
      <w:r>
        <w:rPr>
          <w:spacing w:val="-3"/>
          <w:w w:val="105"/>
        </w:rPr>
        <w:t> </w:t>
      </w:r>
      <w:r>
        <w:rPr>
          <w:w w:val="105"/>
        </w:rPr>
        <w:t>total</w:t>
      </w:r>
      <w:r>
        <w:rPr>
          <w:spacing w:val="-3"/>
          <w:w w:val="105"/>
        </w:rPr>
        <w:t> </w:t>
      </w:r>
      <w:r>
        <w:rPr>
          <w:w w:val="105"/>
        </w:rPr>
        <w:t>gross</w:t>
      </w:r>
      <w:r>
        <w:rPr>
          <w:spacing w:val="-3"/>
          <w:w w:val="105"/>
        </w:rPr>
        <w:t> </w:t>
      </w:r>
      <w:r>
        <w:rPr>
          <w:w w:val="105"/>
        </w:rPr>
        <w:t>notional</w:t>
      </w:r>
      <w:r>
        <w:rPr>
          <w:spacing w:val="-3"/>
          <w:w w:val="105"/>
        </w:rPr>
        <w:t> </w:t>
      </w:r>
      <w:r>
        <w:rPr>
          <w:w w:val="105"/>
        </w:rPr>
        <w:t>values</w:t>
      </w:r>
      <w:r>
        <w:rPr>
          <w:spacing w:val="-3"/>
          <w:w w:val="105"/>
        </w:rPr>
        <w:t> </w:t>
      </w:r>
      <w:r>
        <w:rPr>
          <w:w w:val="105"/>
        </w:rPr>
        <w:t>for</w:t>
      </w:r>
      <w:r>
        <w:rPr>
          <w:spacing w:val="-1"/>
          <w:w w:val="105"/>
        </w:rPr>
        <w:t> </w:t>
      </w:r>
      <w:r>
        <w:rPr>
          <w:w w:val="105"/>
        </w:rPr>
        <w:t>foreign</w:t>
      </w:r>
      <w:r>
        <w:rPr>
          <w:spacing w:val="-3"/>
          <w:w w:val="105"/>
        </w:rPr>
        <w:t> </w:t>
      </w:r>
      <w:r>
        <w:rPr>
          <w:w w:val="105"/>
        </w:rPr>
        <w:t>currency</w:t>
      </w:r>
      <w:r>
        <w:rPr>
          <w:spacing w:val="-3"/>
          <w:w w:val="105"/>
        </w:rPr>
        <w:t> </w:t>
      </w:r>
      <w:r>
        <w:rPr>
          <w:w w:val="105"/>
        </w:rPr>
        <w:t>cash</w:t>
      </w:r>
      <w:r>
        <w:rPr>
          <w:spacing w:val="-3"/>
          <w:w w:val="105"/>
        </w:rPr>
        <w:t> </w:t>
      </w:r>
      <w:r>
        <w:rPr>
          <w:w w:val="105"/>
        </w:rPr>
        <w:t>flow</w:t>
      </w:r>
      <w:r>
        <w:rPr>
          <w:spacing w:val="-3"/>
          <w:w w:val="105"/>
        </w:rPr>
        <w:t> </w:t>
      </w:r>
      <w:r>
        <w:rPr>
          <w:w w:val="105"/>
        </w:rPr>
        <w:t>hedges</w:t>
      </w:r>
      <w:r>
        <w:rPr>
          <w:spacing w:val="-3"/>
          <w:w w:val="105"/>
        </w:rPr>
        <w:t> </w:t>
      </w:r>
      <w:r>
        <w:rPr>
          <w:w w:val="105"/>
        </w:rPr>
        <w:t>are</w:t>
      </w:r>
      <w:r>
        <w:rPr>
          <w:spacing w:val="-3"/>
          <w:w w:val="105"/>
        </w:rPr>
        <w:t> </w:t>
      </w:r>
      <w:r>
        <w:rPr>
          <w:w w:val="105"/>
        </w:rPr>
        <w:t>$780</w:t>
      </w:r>
    </w:p>
    <w:p>
      <w:pPr>
        <w:pStyle w:val="BodyText"/>
        <w:spacing w:line="266" w:lineRule="auto"/>
        <w:ind w:left="156" w:right="228"/>
        <w:jc w:val="both"/>
      </w:pPr>
      <w:r>
        <w:rPr>
          <w:w w:val="105"/>
        </w:rPr>
        <w:t>million</w:t>
      </w:r>
      <w:r>
        <w:rPr>
          <w:spacing w:val="-7"/>
          <w:w w:val="105"/>
        </w:rPr>
        <w:t> </w:t>
      </w:r>
      <w:r>
        <w:rPr>
          <w:w w:val="105"/>
        </w:rPr>
        <w:t>and</w:t>
      </w:r>
      <w:r>
        <w:rPr>
          <w:spacing w:val="-7"/>
          <w:w w:val="105"/>
        </w:rPr>
        <w:t> </w:t>
      </w:r>
      <w:r>
        <w:rPr>
          <w:w w:val="105"/>
        </w:rPr>
        <w:t>$1.1</w:t>
      </w:r>
      <w:r>
        <w:rPr>
          <w:spacing w:val="-7"/>
          <w:w w:val="105"/>
        </w:rPr>
        <w:t> </w:t>
      </w:r>
      <w:r>
        <w:rPr>
          <w:w w:val="105"/>
        </w:rPr>
        <w:t>billion</w:t>
      </w:r>
      <w:r>
        <w:rPr>
          <w:spacing w:val="-7"/>
          <w:w w:val="105"/>
        </w:rPr>
        <w:t> </w:t>
      </w:r>
      <w:r>
        <w:rPr>
          <w:w w:val="105"/>
        </w:rPr>
        <w:t>at</w:t>
      </w:r>
      <w:r>
        <w:rPr>
          <w:spacing w:val="-5"/>
          <w:w w:val="105"/>
        </w:rPr>
        <w:t> </w:t>
      </w:r>
      <w:r>
        <w:rPr>
          <w:w w:val="105"/>
        </w:rPr>
        <w:t>December</w:t>
      </w:r>
      <w:r>
        <w:rPr>
          <w:spacing w:val="-7"/>
          <w:w w:val="105"/>
        </w:rPr>
        <w:t> </w:t>
      </w:r>
      <w:r>
        <w:rPr>
          <w:w w:val="105"/>
        </w:rPr>
        <w:t>31,</w:t>
      </w:r>
      <w:r>
        <w:rPr>
          <w:spacing w:val="-7"/>
          <w:w w:val="105"/>
        </w:rPr>
        <w:t> </w:t>
      </w:r>
      <w:r>
        <w:rPr>
          <w:w w:val="105"/>
        </w:rPr>
        <w:t>2021</w:t>
      </w:r>
      <w:r>
        <w:rPr>
          <w:spacing w:val="-6"/>
          <w:w w:val="105"/>
        </w:rPr>
        <w:t> </w:t>
      </w:r>
      <w:r>
        <w:rPr>
          <w:w w:val="105"/>
        </w:rPr>
        <w:t>and</w:t>
      </w:r>
      <w:r>
        <w:rPr>
          <w:spacing w:val="-7"/>
          <w:w w:val="105"/>
        </w:rPr>
        <w:t> </w:t>
      </w:r>
      <w:r>
        <w:rPr>
          <w:w w:val="105"/>
        </w:rPr>
        <w:t>2020,</w:t>
      </w:r>
      <w:r>
        <w:rPr>
          <w:spacing w:val="-7"/>
          <w:w w:val="105"/>
        </w:rPr>
        <w:t> </w:t>
      </w:r>
      <w:r>
        <w:rPr>
          <w:w w:val="105"/>
        </w:rPr>
        <w:t>respectively,</w:t>
      </w:r>
      <w:r>
        <w:rPr>
          <w:spacing w:val="-7"/>
          <w:w w:val="105"/>
        </w:rPr>
        <w:t> </w:t>
      </w:r>
      <w:r>
        <w:rPr>
          <w:w w:val="105"/>
        </w:rPr>
        <w:t>with</w:t>
      </w:r>
      <w:r>
        <w:rPr>
          <w:spacing w:val="-7"/>
          <w:w w:val="105"/>
        </w:rPr>
        <w:t> </w:t>
      </w:r>
      <w:r>
        <w:rPr>
          <w:w w:val="105"/>
        </w:rPr>
        <w:t>maturities</w:t>
      </w:r>
      <w:r>
        <w:rPr>
          <w:spacing w:val="-7"/>
          <w:w w:val="105"/>
        </w:rPr>
        <w:t> </w:t>
      </w:r>
      <w:r>
        <w:rPr>
          <w:w w:val="105"/>
        </w:rPr>
        <w:t>spanning</w:t>
      </w:r>
      <w:r>
        <w:rPr>
          <w:spacing w:val="-7"/>
          <w:w w:val="105"/>
        </w:rPr>
        <w:t> </w:t>
      </w:r>
      <w:r>
        <w:rPr>
          <w:w w:val="105"/>
        </w:rPr>
        <w:t>the</w:t>
      </w:r>
      <w:r>
        <w:rPr>
          <w:spacing w:val="-7"/>
          <w:w w:val="105"/>
        </w:rPr>
        <w:t> </w:t>
      </w:r>
      <w:r>
        <w:rPr>
          <w:w w:val="105"/>
        </w:rPr>
        <w:t>years</w:t>
      </w:r>
      <w:r>
        <w:rPr>
          <w:spacing w:val="-5"/>
          <w:w w:val="105"/>
        </w:rPr>
        <w:t> </w:t>
      </w:r>
      <w:r>
        <w:rPr>
          <w:w w:val="105"/>
        </w:rPr>
        <w:t>2022</w:t>
      </w:r>
      <w:r>
        <w:rPr>
          <w:spacing w:val="-7"/>
          <w:w w:val="105"/>
        </w:rPr>
        <w:t> </w:t>
      </w:r>
      <w:r>
        <w:rPr>
          <w:w w:val="105"/>
        </w:rPr>
        <w:t>through</w:t>
      </w:r>
      <w:r>
        <w:rPr>
          <w:spacing w:val="-7"/>
          <w:w w:val="105"/>
        </w:rPr>
        <w:t> </w:t>
      </w:r>
      <w:r>
        <w:rPr>
          <w:w w:val="105"/>
        </w:rPr>
        <w:t>2023.</w:t>
      </w:r>
      <w:r>
        <w:rPr>
          <w:spacing w:val="-7"/>
          <w:w w:val="105"/>
        </w:rPr>
        <w:t> </w:t>
      </w:r>
      <w:r>
        <w:rPr>
          <w:w w:val="105"/>
        </w:rPr>
        <w:t>Corning</w:t>
      </w:r>
      <w:r>
        <w:rPr>
          <w:spacing w:val="-7"/>
          <w:w w:val="105"/>
        </w:rPr>
        <w:t> </w:t>
      </w:r>
      <w:r>
        <w:rPr>
          <w:w w:val="105"/>
        </w:rPr>
        <w:t>defers</w:t>
      </w:r>
      <w:r>
        <w:rPr>
          <w:spacing w:val="-7"/>
          <w:w w:val="105"/>
        </w:rPr>
        <w:t> </w:t>
      </w:r>
      <w:r>
        <w:rPr>
          <w:w w:val="105"/>
        </w:rPr>
        <w:t>gains</w:t>
      </w:r>
      <w:r>
        <w:rPr>
          <w:spacing w:val="-7"/>
          <w:w w:val="105"/>
        </w:rPr>
        <w:t> </w:t>
      </w:r>
      <w:r>
        <w:rPr>
          <w:w w:val="105"/>
        </w:rPr>
        <w:t>and</w:t>
      </w:r>
      <w:r>
        <w:rPr>
          <w:spacing w:val="-7"/>
          <w:w w:val="105"/>
        </w:rPr>
        <w:t> </w:t>
      </w:r>
      <w:r>
        <w:rPr>
          <w:w w:val="105"/>
        </w:rPr>
        <w:t>losses</w:t>
      </w:r>
      <w:r>
        <w:rPr>
          <w:spacing w:val="-7"/>
          <w:w w:val="105"/>
        </w:rPr>
        <w:t> </w:t>
      </w:r>
      <w:r>
        <w:rPr>
          <w:w w:val="105"/>
        </w:rPr>
        <w:t>related</w:t>
      </w:r>
      <w:r>
        <w:rPr>
          <w:spacing w:val="-7"/>
          <w:w w:val="105"/>
        </w:rPr>
        <w:t> </w:t>
      </w:r>
      <w:r>
        <w:rPr>
          <w:w w:val="105"/>
        </w:rPr>
        <w:t>to</w:t>
      </w:r>
      <w:r>
        <w:rPr>
          <w:spacing w:val="-7"/>
          <w:w w:val="105"/>
        </w:rPr>
        <w:t> </w:t>
      </w:r>
      <w:r>
        <w:rPr>
          <w:w w:val="105"/>
        </w:rPr>
        <w:t>the cash</w:t>
      </w:r>
      <w:r>
        <w:rPr>
          <w:spacing w:val="-9"/>
          <w:w w:val="105"/>
        </w:rPr>
        <w:t> </w:t>
      </w:r>
      <w:r>
        <w:rPr>
          <w:w w:val="105"/>
        </w:rPr>
        <w:t>flow</w:t>
      </w:r>
      <w:r>
        <w:rPr>
          <w:spacing w:val="-9"/>
          <w:w w:val="105"/>
        </w:rPr>
        <w:t> </w:t>
      </w:r>
      <w:r>
        <w:rPr>
          <w:w w:val="105"/>
        </w:rPr>
        <w:t>hedges</w:t>
      </w:r>
      <w:r>
        <w:rPr>
          <w:spacing w:val="-9"/>
          <w:w w:val="105"/>
        </w:rPr>
        <w:t> </w:t>
      </w:r>
      <w:r>
        <w:rPr>
          <w:w w:val="105"/>
        </w:rPr>
        <w:t>into</w:t>
      </w:r>
      <w:r>
        <w:rPr>
          <w:spacing w:val="-9"/>
          <w:w w:val="105"/>
        </w:rPr>
        <w:t> </w:t>
      </w:r>
      <w:r>
        <w:rPr>
          <w:w w:val="105"/>
        </w:rPr>
        <w:t>accumulated</w:t>
      </w:r>
      <w:r>
        <w:rPr>
          <w:spacing w:val="-9"/>
          <w:w w:val="105"/>
        </w:rPr>
        <w:t> </w:t>
      </w:r>
      <w:r>
        <w:rPr>
          <w:w w:val="105"/>
        </w:rPr>
        <w:t>other</w:t>
      </w:r>
      <w:r>
        <w:rPr>
          <w:spacing w:val="-9"/>
          <w:w w:val="105"/>
        </w:rPr>
        <w:t> </w:t>
      </w:r>
      <w:r>
        <w:rPr>
          <w:w w:val="105"/>
        </w:rPr>
        <w:t>comprehensive</w:t>
      </w:r>
      <w:r>
        <w:rPr>
          <w:spacing w:val="-7"/>
          <w:w w:val="105"/>
        </w:rPr>
        <w:t> </w:t>
      </w:r>
      <w:r>
        <w:rPr>
          <w:w w:val="105"/>
        </w:rPr>
        <w:t>loss</w:t>
      </w:r>
      <w:r>
        <w:rPr>
          <w:spacing w:val="-9"/>
          <w:w w:val="105"/>
        </w:rPr>
        <w:t> </w:t>
      </w:r>
      <w:r>
        <w:rPr>
          <w:w w:val="105"/>
        </w:rPr>
        <w:t>on</w:t>
      </w:r>
      <w:r>
        <w:rPr>
          <w:spacing w:val="-9"/>
          <w:w w:val="105"/>
        </w:rPr>
        <w:t> </w:t>
      </w:r>
      <w:r>
        <w:rPr>
          <w:w w:val="105"/>
        </w:rPr>
        <w:t>the</w:t>
      </w:r>
      <w:r>
        <w:rPr>
          <w:spacing w:val="-9"/>
          <w:w w:val="105"/>
        </w:rPr>
        <w:t> </w:t>
      </w:r>
      <w:r>
        <w:rPr>
          <w:w w:val="105"/>
        </w:rPr>
        <w:t>consolidated</w:t>
      </w:r>
      <w:r>
        <w:rPr>
          <w:spacing w:val="-9"/>
          <w:w w:val="105"/>
        </w:rPr>
        <w:t> </w:t>
      </w:r>
      <w:r>
        <w:rPr>
          <w:w w:val="105"/>
        </w:rPr>
        <w:t>balance</w:t>
      </w:r>
      <w:r>
        <w:rPr>
          <w:spacing w:val="-9"/>
          <w:w w:val="105"/>
        </w:rPr>
        <w:t> </w:t>
      </w:r>
      <w:r>
        <w:rPr>
          <w:w w:val="105"/>
        </w:rPr>
        <w:t>sheets</w:t>
      </w:r>
      <w:r>
        <w:rPr>
          <w:spacing w:val="-9"/>
          <w:w w:val="105"/>
        </w:rPr>
        <w:t> </w:t>
      </w:r>
      <w:r>
        <w:rPr>
          <w:w w:val="105"/>
        </w:rPr>
        <w:t>until</w:t>
      </w:r>
      <w:r>
        <w:rPr>
          <w:spacing w:val="-9"/>
          <w:w w:val="105"/>
        </w:rPr>
        <w:t> </w:t>
      </w:r>
      <w:r>
        <w:rPr>
          <w:w w:val="105"/>
        </w:rPr>
        <w:t>the</w:t>
      </w:r>
      <w:r>
        <w:rPr>
          <w:spacing w:val="-9"/>
          <w:w w:val="105"/>
        </w:rPr>
        <w:t> </w:t>
      </w:r>
      <w:r>
        <w:rPr>
          <w:w w:val="105"/>
        </w:rPr>
        <w:t>hedged</w:t>
      </w:r>
      <w:r>
        <w:rPr>
          <w:spacing w:val="-9"/>
          <w:w w:val="105"/>
        </w:rPr>
        <w:t> </w:t>
      </w:r>
      <w:r>
        <w:rPr>
          <w:w w:val="105"/>
        </w:rPr>
        <w:t>item</w:t>
      </w:r>
      <w:r>
        <w:rPr>
          <w:spacing w:val="-9"/>
          <w:w w:val="105"/>
        </w:rPr>
        <w:t> </w:t>
      </w:r>
      <w:r>
        <w:rPr>
          <w:w w:val="105"/>
        </w:rPr>
        <w:t>impacts</w:t>
      </w:r>
      <w:r>
        <w:rPr>
          <w:spacing w:val="-9"/>
          <w:w w:val="105"/>
        </w:rPr>
        <w:t> </w:t>
      </w:r>
      <w:r>
        <w:rPr>
          <w:w w:val="105"/>
        </w:rPr>
        <w:t>earnings.</w:t>
      </w:r>
      <w:r>
        <w:rPr>
          <w:spacing w:val="-9"/>
          <w:w w:val="105"/>
        </w:rPr>
        <w:t> </w:t>
      </w:r>
      <w:r>
        <w:rPr>
          <w:w w:val="105"/>
        </w:rPr>
        <w:t>At</w:t>
      </w:r>
      <w:r>
        <w:rPr>
          <w:spacing w:val="-8"/>
          <w:w w:val="105"/>
        </w:rPr>
        <w:t> </w:t>
      </w:r>
      <w:r>
        <w:rPr>
          <w:w w:val="105"/>
        </w:rPr>
        <w:t>December</w:t>
      </w:r>
      <w:r>
        <w:rPr>
          <w:spacing w:val="-9"/>
          <w:w w:val="105"/>
        </w:rPr>
        <w:t> </w:t>
      </w:r>
      <w:r>
        <w:rPr>
          <w:w w:val="105"/>
        </w:rPr>
        <w:t>31,</w:t>
      </w:r>
      <w:r>
        <w:rPr>
          <w:spacing w:val="-9"/>
          <w:w w:val="105"/>
        </w:rPr>
        <w:t> </w:t>
      </w:r>
      <w:r>
        <w:rPr>
          <w:w w:val="105"/>
        </w:rPr>
        <w:t>2021,</w:t>
      </w:r>
      <w:r>
        <w:rPr>
          <w:spacing w:val="-8"/>
          <w:w w:val="105"/>
        </w:rPr>
        <w:t> </w:t>
      </w:r>
      <w:r>
        <w:rPr>
          <w:w w:val="105"/>
        </w:rPr>
        <w:t>the</w:t>
      </w:r>
      <w:r>
        <w:rPr>
          <w:spacing w:val="-9"/>
          <w:w w:val="105"/>
        </w:rPr>
        <w:t> </w:t>
      </w:r>
      <w:r>
        <w:rPr>
          <w:w w:val="105"/>
        </w:rPr>
        <w:t>amount expected to be reclassified into earnings within the next 12 months is a pre-tax gain of $47 million.</w:t>
      </w:r>
    </w:p>
    <w:p>
      <w:pPr>
        <w:pStyle w:val="BodyText"/>
        <w:spacing w:before="18"/>
      </w:pPr>
    </w:p>
    <w:p>
      <w:pPr>
        <w:pStyle w:val="BodyText"/>
        <w:spacing w:line="266" w:lineRule="auto"/>
        <w:ind w:left="143"/>
      </w:pPr>
      <w:r>
        <w:rPr>
          <w:w w:val="105"/>
        </w:rPr>
        <w:t>In</w:t>
      </w:r>
      <w:r>
        <w:rPr>
          <w:spacing w:val="-2"/>
          <w:w w:val="105"/>
        </w:rPr>
        <w:t> </w:t>
      </w:r>
      <w:r>
        <w:rPr>
          <w:w w:val="105"/>
        </w:rPr>
        <w:t>2021,</w:t>
      </w:r>
      <w:r>
        <w:rPr>
          <w:spacing w:val="-2"/>
          <w:w w:val="105"/>
        </w:rPr>
        <w:t> </w:t>
      </w:r>
      <w:r>
        <w:rPr>
          <w:w w:val="105"/>
        </w:rPr>
        <w:t>Corning</w:t>
      </w:r>
      <w:r>
        <w:rPr>
          <w:spacing w:val="-2"/>
          <w:w w:val="105"/>
        </w:rPr>
        <w:t> </w:t>
      </w:r>
      <w:r>
        <w:rPr>
          <w:w w:val="105"/>
        </w:rPr>
        <w:t>entered</w:t>
      </w:r>
      <w:r>
        <w:rPr>
          <w:spacing w:val="-2"/>
          <w:w w:val="105"/>
        </w:rPr>
        <w:t> </w:t>
      </w:r>
      <w:r>
        <w:rPr>
          <w:w w:val="105"/>
        </w:rPr>
        <w:t>into</w:t>
      </w:r>
      <w:r>
        <w:rPr>
          <w:spacing w:val="-2"/>
          <w:w w:val="105"/>
        </w:rPr>
        <w:t> </w:t>
      </w:r>
      <w:r>
        <w:rPr>
          <w:w w:val="105"/>
        </w:rPr>
        <w:t>leases</w:t>
      </w:r>
      <w:r>
        <w:rPr>
          <w:spacing w:val="-2"/>
          <w:w w:val="105"/>
        </w:rPr>
        <w:t> </w:t>
      </w:r>
      <w:r>
        <w:rPr>
          <w:w w:val="105"/>
        </w:rPr>
        <w:t>of</w:t>
      </w:r>
      <w:r>
        <w:rPr>
          <w:spacing w:val="-2"/>
          <w:w w:val="105"/>
        </w:rPr>
        <w:t> </w:t>
      </w:r>
      <w:r>
        <w:rPr>
          <w:w w:val="105"/>
        </w:rPr>
        <w:t>precious</w:t>
      </w:r>
      <w:r>
        <w:rPr>
          <w:spacing w:val="-2"/>
          <w:w w:val="105"/>
        </w:rPr>
        <w:t> </w:t>
      </w:r>
      <w:r>
        <w:rPr>
          <w:w w:val="105"/>
        </w:rPr>
        <w:t>metals,</w:t>
      </w:r>
      <w:r>
        <w:rPr>
          <w:spacing w:val="-2"/>
          <w:w w:val="105"/>
        </w:rPr>
        <w:t> </w:t>
      </w:r>
      <w:r>
        <w:rPr>
          <w:w w:val="105"/>
        </w:rPr>
        <w:t>with</w:t>
      </w:r>
      <w:r>
        <w:rPr>
          <w:spacing w:val="-2"/>
          <w:w w:val="105"/>
        </w:rPr>
        <w:t> </w:t>
      </w:r>
      <w:r>
        <w:rPr>
          <w:w w:val="105"/>
        </w:rPr>
        <w:t>maturities</w:t>
      </w:r>
      <w:r>
        <w:rPr>
          <w:spacing w:val="-2"/>
          <w:w w:val="105"/>
        </w:rPr>
        <w:t> </w:t>
      </w:r>
      <w:r>
        <w:rPr>
          <w:w w:val="105"/>
        </w:rPr>
        <w:t>through</w:t>
      </w:r>
      <w:r>
        <w:rPr>
          <w:spacing w:val="-1"/>
          <w:w w:val="105"/>
        </w:rPr>
        <w:t> </w:t>
      </w:r>
      <w:r>
        <w:rPr>
          <w:w w:val="105"/>
        </w:rPr>
        <w:t>2025.</w:t>
      </w:r>
      <w:r>
        <w:rPr>
          <w:spacing w:val="-2"/>
          <w:w w:val="105"/>
        </w:rPr>
        <w:t> </w:t>
      </w:r>
      <w:r>
        <w:rPr>
          <w:w w:val="105"/>
        </w:rPr>
        <w:t>To</w:t>
      </w:r>
      <w:r>
        <w:rPr>
          <w:spacing w:val="-2"/>
          <w:w w:val="105"/>
        </w:rPr>
        <w:t> </w:t>
      </w:r>
      <w:r>
        <w:rPr>
          <w:w w:val="105"/>
        </w:rPr>
        <w:t>offset</w:t>
      </w:r>
      <w:r>
        <w:rPr>
          <w:spacing w:val="-2"/>
          <w:w w:val="105"/>
        </w:rPr>
        <w:t> </w:t>
      </w:r>
      <w:r>
        <w:rPr>
          <w:w w:val="105"/>
        </w:rPr>
        <w:t>the</w:t>
      </w:r>
      <w:r>
        <w:rPr>
          <w:spacing w:val="-2"/>
          <w:w w:val="105"/>
        </w:rPr>
        <w:t> </w:t>
      </w:r>
      <w:r>
        <w:rPr>
          <w:w w:val="105"/>
        </w:rPr>
        <w:t>risk</w:t>
      </w:r>
      <w:r>
        <w:rPr>
          <w:spacing w:val="-2"/>
          <w:w w:val="105"/>
        </w:rPr>
        <w:t> </w:t>
      </w:r>
      <w:r>
        <w:rPr>
          <w:w w:val="105"/>
        </w:rPr>
        <w:t>of</w:t>
      </w:r>
      <w:r>
        <w:rPr>
          <w:spacing w:val="-2"/>
          <w:w w:val="105"/>
        </w:rPr>
        <w:t> </w:t>
      </w:r>
      <w:r>
        <w:rPr>
          <w:w w:val="105"/>
        </w:rPr>
        <w:t>changes</w:t>
      </w:r>
      <w:r>
        <w:rPr>
          <w:spacing w:val="-1"/>
          <w:w w:val="105"/>
        </w:rPr>
        <w:t> </w:t>
      </w:r>
      <w:r>
        <w:rPr>
          <w:w w:val="105"/>
        </w:rPr>
        <w:t>in</w:t>
      </w:r>
      <w:r>
        <w:rPr>
          <w:spacing w:val="-2"/>
          <w:w w:val="105"/>
        </w:rPr>
        <w:t> </w:t>
      </w:r>
      <w:r>
        <w:rPr>
          <w:w w:val="105"/>
        </w:rPr>
        <w:t>the</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the</w:t>
      </w:r>
      <w:r>
        <w:rPr>
          <w:spacing w:val="-2"/>
          <w:w w:val="105"/>
        </w:rPr>
        <w:t> </w:t>
      </w:r>
      <w:r>
        <w:rPr>
          <w:w w:val="105"/>
        </w:rPr>
        <w:t>Company's</w:t>
      </w:r>
      <w:r>
        <w:rPr>
          <w:spacing w:val="-2"/>
          <w:w w:val="105"/>
        </w:rPr>
        <w:t> </w:t>
      </w:r>
      <w:r>
        <w:rPr>
          <w:w w:val="105"/>
        </w:rPr>
        <w:t>separate</w:t>
      </w:r>
      <w:r>
        <w:rPr>
          <w:spacing w:val="-2"/>
          <w:w w:val="105"/>
        </w:rPr>
        <w:t> </w:t>
      </w:r>
      <w:r>
        <w:rPr>
          <w:w w:val="105"/>
        </w:rPr>
        <w:t>accounting pool</w:t>
      </w:r>
      <w:r>
        <w:rPr>
          <w:spacing w:val="-8"/>
          <w:w w:val="105"/>
        </w:rPr>
        <w:t> </w:t>
      </w:r>
      <w:r>
        <w:rPr>
          <w:w w:val="105"/>
        </w:rPr>
        <w:t>of</w:t>
      </w:r>
      <w:r>
        <w:rPr>
          <w:spacing w:val="-8"/>
          <w:w w:val="105"/>
        </w:rPr>
        <w:t> </w:t>
      </w:r>
      <w:r>
        <w:rPr>
          <w:w w:val="105"/>
        </w:rPr>
        <w:t>leased</w:t>
      </w:r>
      <w:r>
        <w:rPr>
          <w:spacing w:val="-8"/>
          <w:w w:val="105"/>
        </w:rPr>
        <w:t> </w:t>
      </w:r>
      <w:r>
        <w:rPr>
          <w:w w:val="105"/>
        </w:rPr>
        <w:t>precious</w:t>
      </w:r>
      <w:r>
        <w:rPr>
          <w:spacing w:val="-8"/>
          <w:w w:val="105"/>
        </w:rPr>
        <w:t> </w:t>
      </w:r>
      <w:r>
        <w:rPr>
          <w:w w:val="105"/>
        </w:rPr>
        <w:t>metals</w:t>
      </w:r>
      <w:r>
        <w:rPr>
          <w:spacing w:val="-8"/>
          <w:w w:val="105"/>
        </w:rPr>
        <w:t> </w:t>
      </w:r>
      <w:r>
        <w:rPr>
          <w:w w:val="105"/>
        </w:rPr>
        <w:t>due</w:t>
      </w:r>
      <w:r>
        <w:rPr>
          <w:spacing w:val="-8"/>
          <w:w w:val="105"/>
        </w:rPr>
        <w:t> </w:t>
      </w:r>
      <w:r>
        <w:rPr>
          <w:w w:val="105"/>
        </w:rPr>
        <w:t>to</w:t>
      </w:r>
      <w:r>
        <w:rPr>
          <w:spacing w:val="-8"/>
          <w:w w:val="105"/>
        </w:rPr>
        <w:t> </w:t>
      </w:r>
      <w:r>
        <w:rPr>
          <w:w w:val="105"/>
        </w:rPr>
        <w:t>adverse</w:t>
      </w:r>
      <w:r>
        <w:rPr>
          <w:spacing w:val="-8"/>
          <w:w w:val="105"/>
        </w:rPr>
        <w:t> </w:t>
      </w:r>
      <w:r>
        <w:rPr>
          <w:w w:val="105"/>
        </w:rPr>
        <w:t>changes</w:t>
      </w:r>
      <w:r>
        <w:rPr>
          <w:spacing w:val="-8"/>
          <w:w w:val="105"/>
        </w:rPr>
        <w:t> </w:t>
      </w:r>
      <w:r>
        <w:rPr>
          <w:w w:val="105"/>
        </w:rPr>
        <w:t>in</w:t>
      </w:r>
      <w:r>
        <w:rPr>
          <w:spacing w:val="-7"/>
          <w:w w:val="105"/>
        </w:rPr>
        <w:t> </w:t>
      </w:r>
      <w:r>
        <w:rPr>
          <w:w w:val="105"/>
        </w:rPr>
        <w:t>the</w:t>
      </w:r>
      <w:r>
        <w:rPr>
          <w:spacing w:val="-8"/>
          <w:w w:val="105"/>
        </w:rPr>
        <w:t> </w:t>
      </w:r>
      <w:r>
        <w:rPr>
          <w:w w:val="105"/>
        </w:rPr>
        <w:t>respective</w:t>
      </w:r>
      <w:r>
        <w:rPr>
          <w:spacing w:val="-8"/>
          <w:w w:val="105"/>
        </w:rPr>
        <w:t> </w:t>
      </w:r>
      <w:r>
        <w:rPr>
          <w:w w:val="105"/>
        </w:rPr>
        <w:t>market</w:t>
      </w:r>
      <w:r>
        <w:rPr>
          <w:spacing w:val="-8"/>
          <w:w w:val="105"/>
        </w:rPr>
        <w:t> </w:t>
      </w:r>
      <w:r>
        <w:rPr>
          <w:w w:val="105"/>
        </w:rPr>
        <w:t>prices,</w:t>
      </w:r>
      <w:r>
        <w:rPr>
          <w:spacing w:val="-8"/>
          <w:w w:val="105"/>
        </w:rPr>
        <w:t> </w:t>
      </w:r>
      <w:r>
        <w:rPr>
          <w:w w:val="105"/>
        </w:rPr>
        <w:t>Corning</w:t>
      </w:r>
      <w:r>
        <w:rPr>
          <w:spacing w:val="-8"/>
          <w:w w:val="105"/>
        </w:rPr>
        <w:t> </w:t>
      </w:r>
      <w:r>
        <w:rPr>
          <w:w w:val="105"/>
        </w:rPr>
        <w:t>designated</w:t>
      </w:r>
      <w:r>
        <w:rPr>
          <w:spacing w:val="-8"/>
          <w:w w:val="105"/>
        </w:rPr>
        <w:t> </w:t>
      </w:r>
      <w:r>
        <w:rPr>
          <w:w w:val="105"/>
        </w:rPr>
        <w:t>the</w:t>
      </w:r>
      <w:r>
        <w:rPr>
          <w:spacing w:val="-8"/>
          <w:w w:val="105"/>
        </w:rPr>
        <w:t> </w:t>
      </w:r>
      <w:r>
        <w:rPr>
          <w:w w:val="105"/>
        </w:rPr>
        <w:t>bifurcated</w:t>
      </w:r>
      <w:r>
        <w:rPr>
          <w:spacing w:val="-8"/>
          <w:w w:val="105"/>
        </w:rPr>
        <w:t> </w:t>
      </w:r>
      <w:r>
        <w:rPr>
          <w:w w:val="105"/>
        </w:rPr>
        <w:t>embedded</w:t>
      </w:r>
      <w:r>
        <w:rPr>
          <w:spacing w:val="-8"/>
          <w:w w:val="105"/>
        </w:rPr>
        <w:t> </w:t>
      </w:r>
      <w:r>
        <w:rPr>
          <w:w w:val="105"/>
        </w:rPr>
        <w:t>derivatives</w:t>
      </w:r>
      <w:r>
        <w:rPr>
          <w:spacing w:val="-8"/>
          <w:w w:val="105"/>
        </w:rPr>
        <w:t> </w:t>
      </w:r>
      <w:r>
        <w:rPr>
          <w:w w:val="105"/>
        </w:rPr>
        <w:t>included</w:t>
      </w:r>
      <w:r>
        <w:rPr>
          <w:spacing w:val="-8"/>
          <w:w w:val="105"/>
        </w:rPr>
        <w:t> </w:t>
      </w:r>
      <w:r>
        <w:rPr>
          <w:w w:val="105"/>
        </w:rPr>
        <w:t>in</w:t>
      </w:r>
      <w:r>
        <w:rPr>
          <w:spacing w:val="-8"/>
          <w:w w:val="105"/>
        </w:rPr>
        <w:t> </w:t>
      </w:r>
      <w:r>
        <w:rPr>
          <w:w w:val="105"/>
        </w:rPr>
        <w:t>these</w:t>
      </w:r>
      <w:r>
        <w:rPr>
          <w:spacing w:val="-7"/>
          <w:w w:val="105"/>
        </w:rPr>
        <w:t> </w:t>
      </w:r>
      <w:r>
        <w:rPr>
          <w:w w:val="105"/>
        </w:rPr>
        <w:t>leases</w:t>
      </w:r>
      <w:r>
        <w:rPr>
          <w:spacing w:val="-8"/>
          <w:w w:val="105"/>
        </w:rPr>
        <w:t> </w:t>
      </w:r>
      <w:r>
        <w:rPr>
          <w:w w:val="105"/>
        </w:rPr>
        <w:t>as</w:t>
      </w:r>
      <w:r>
        <w:rPr>
          <w:spacing w:val="-8"/>
          <w:w w:val="105"/>
        </w:rPr>
        <w:t> </w:t>
      </w:r>
      <w:r>
        <w:rPr>
          <w:w w:val="105"/>
        </w:rPr>
        <w:t>fair value</w:t>
      </w:r>
      <w:r>
        <w:rPr>
          <w:spacing w:val="-2"/>
          <w:w w:val="105"/>
        </w:rPr>
        <w:t> </w:t>
      </w:r>
      <w:r>
        <w:rPr>
          <w:w w:val="105"/>
        </w:rPr>
        <w:t>hedges.</w:t>
      </w:r>
      <w:r>
        <w:rPr>
          <w:spacing w:val="-2"/>
          <w:w w:val="105"/>
        </w:rPr>
        <w:t> </w:t>
      </w:r>
      <w:r>
        <w:rPr>
          <w:w w:val="105"/>
        </w:rPr>
        <w:t>The</w:t>
      </w:r>
      <w:r>
        <w:rPr>
          <w:spacing w:val="-2"/>
          <w:w w:val="105"/>
        </w:rPr>
        <w:t> </w:t>
      </w:r>
      <w:r>
        <w:rPr>
          <w:w w:val="105"/>
        </w:rPr>
        <w:t>gain</w:t>
      </w:r>
      <w:r>
        <w:rPr>
          <w:spacing w:val="-2"/>
          <w:w w:val="105"/>
        </w:rPr>
        <w:t> </w:t>
      </w:r>
      <w:r>
        <w:rPr>
          <w:w w:val="105"/>
        </w:rPr>
        <w:t>or</w:t>
      </w:r>
      <w:r>
        <w:rPr>
          <w:spacing w:val="-2"/>
          <w:w w:val="105"/>
        </w:rPr>
        <w:t> </w:t>
      </w:r>
      <w:r>
        <w:rPr>
          <w:w w:val="105"/>
        </w:rPr>
        <w:t>loss</w:t>
      </w:r>
      <w:r>
        <w:rPr>
          <w:spacing w:val="-2"/>
          <w:w w:val="105"/>
        </w:rPr>
        <w:t> </w:t>
      </w:r>
      <w:r>
        <w:rPr>
          <w:w w:val="105"/>
        </w:rPr>
        <w:t>on</w:t>
      </w:r>
      <w:r>
        <w:rPr>
          <w:spacing w:val="-2"/>
          <w:w w:val="105"/>
        </w:rPr>
        <w:t> </w:t>
      </w:r>
      <w:r>
        <w:rPr>
          <w:w w:val="105"/>
        </w:rPr>
        <w:t>the</w:t>
      </w:r>
      <w:r>
        <w:rPr>
          <w:spacing w:val="-2"/>
          <w:w w:val="105"/>
        </w:rPr>
        <w:t> </w:t>
      </w:r>
      <w:r>
        <w:rPr>
          <w:w w:val="105"/>
        </w:rPr>
        <w:t>derivatives,</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the</w:t>
      </w:r>
      <w:r>
        <w:rPr>
          <w:spacing w:val="-2"/>
          <w:w w:val="105"/>
        </w:rPr>
        <w:t> </w:t>
      </w:r>
      <w:r>
        <w:rPr>
          <w:w w:val="105"/>
        </w:rPr>
        <w:t>offsetting</w:t>
      </w:r>
      <w:r>
        <w:rPr>
          <w:spacing w:val="-2"/>
          <w:w w:val="105"/>
        </w:rPr>
        <w:t> </w:t>
      </w:r>
      <w:r>
        <w:rPr>
          <w:w w:val="105"/>
        </w:rPr>
        <w:t>loss</w:t>
      </w:r>
      <w:r>
        <w:rPr>
          <w:spacing w:val="-2"/>
          <w:w w:val="105"/>
        </w:rPr>
        <w:t> </w:t>
      </w:r>
      <w:r>
        <w:rPr>
          <w:w w:val="105"/>
        </w:rPr>
        <w:t>or</w:t>
      </w:r>
      <w:r>
        <w:rPr>
          <w:spacing w:val="-2"/>
          <w:w w:val="105"/>
        </w:rPr>
        <w:t> </w:t>
      </w:r>
      <w:r>
        <w:rPr>
          <w:w w:val="105"/>
        </w:rPr>
        <w:t>gain</w:t>
      </w:r>
      <w:r>
        <w:rPr>
          <w:spacing w:val="-2"/>
          <w:w w:val="105"/>
        </w:rPr>
        <w:t> </w:t>
      </w:r>
      <w:r>
        <w:rPr>
          <w:w w:val="105"/>
        </w:rPr>
        <w:t>on</w:t>
      </w:r>
      <w:r>
        <w:rPr>
          <w:spacing w:val="-2"/>
          <w:w w:val="105"/>
        </w:rPr>
        <w:t> </w:t>
      </w:r>
      <w:r>
        <w:rPr>
          <w:w w:val="105"/>
        </w:rPr>
        <w:t>the</w:t>
      </w:r>
      <w:r>
        <w:rPr>
          <w:spacing w:val="-2"/>
          <w:w w:val="105"/>
        </w:rPr>
        <w:t> </w:t>
      </w:r>
      <w:r>
        <w:rPr>
          <w:w w:val="105"/>
        </w:rPr>
        <w:t>hedged</w:t>
      </w:r>
      <w:r>
        <w:rPr>
          <w:spacing w:val="-2"/>
          <w:w w:val="105"/>
        </w:rPr>
        <w:t> </w:t>
      </w:r>
      <w:r>
        <w:rPr>
          <w:w w:val="105"/>
        </w:rPr>
        <w:t>item</w:t>
      </w:r>
      <w:r>
        <w:rPr>
          <w:spacing w:val="-2"/>
          <w:w w:val="105"/>
        </w:rPr>
        <w:t> </w:t>
      </w:r>
      <w:r>
        <w:rPr>
          <w:w w:val="105"/>
        </w:rPr>
        <w:t>attributable</w:t>
      </w:r>
      <w:r>
        <w:rPr>
          <w:spacing w:val="-2"/>
          <w:w w:val="105"/>
        </w:rPr>
        <w:t> </w:t>
      </w:r>
      <w:r>
        <w:rPr>
          <w:w w:val="105"/>
        </w:rPr>
        <w:t>to</w:t>
      </w:r>
      <w:r>
        <w:rPr>
          <w:spacing w:val="-2"/>
          <w:w w:val="105"/>
        </w:rPr>
        <w:t> </w:t>
      </w:r>
      <w:r>
        <w:rPr>
          <w:w w:val="105"/>
        </w:rPr>
        <w:t>the</w:t>
      </w:r>
      <w:r>
        <w:rPr>
          <w:spacing w:val="-2"/>
          <w:w w:val="105"/>
        </w:rPr>
        <w:t> </w:t>
      </w:r>
      <w:r>
        <w:rPr>
          <w:w w:val="105"/>
        </w:rPr>
        <w:t>hedged</w:t>
      </w:r>
      <w:r>
        <w:rPr>
          <w:spacing w:val="-2"/>
          <w:w w:val="105"/>
        </w:rPr>
        <w:t> </w:t>
      </w:r>
      <w:r>
        <w:rPr>
          <w:w w:val="105"/>
        </w:rPr>
        <w:t>risk,</w:t>
      </w:r>
      <w:r>
        <w:rPr>
          <w:spacing w:val="-2"/>
          <w:w w:val="105"/>
        </w:rPr>
        <w:t> </w:t>
      </w:r>
      <w:r>
        <w:rPr>
          <w:w w:val="105"/>
        </w:rPr>
        <w:t>are</w:t>
      </w:r>
      <w:r>
        <w:rPr>
          <w:spacing w:val="-2"/>
          <w:w w:val="105"/>
        </w:rPr>
        <w:t> </w:t>
      </w:r>
      <w:r>
        <w:rPr>
          <w:w w:val="105"/>
        </w:rPr>
        <w:t>recognized</w:t>
      </w:r>
      <w:r>
        <w:rPr>
          <w:spacing w:val="-2"/>
          <w:w w:val="105"/>
        </w:rPr>
        <w:t> </w:t>
      </w:r>
      <w:r>
        <w:rPr>
          <w:w w:val="105"/>
        </w:rPr>
        <w:t>in</w:t>
      </w:r>
      <w:r>
        <w:rPr>
          <w:spacing w:val="-2"/>
          <w:w w:val="105"/>
        </w:rPr>
        <w:t> </w:t>
      </w:r>
      <w:r>
        <w:rPr>
          <w:w w:val="105"/>
        </w:rPr>
        <w:t>current</w:t>
      </w:r>
      <w:r>
        <w:rPr>
          <w:spacing w:val="-2"/>
          <w:w w:val="105"/>
        </w:rPr>
        <w:t> </w:t>
      </w:r>
      <w:r>
        <w:rPr>
          <w:w w:val="105"/>
        </w:rPr>
        <w:t>earnings. The</w:t>
      </w:r>
      <w:r>
        <w:rPr>
          <w:spacing w:val="-2"/>
          <w:w w:val="105"/>
        </w:rPr>
        <w:t> </w:t>
      </w:r>
      <w:r>
        <w:rPr>
          <w:w w:val="105"/>
        </w:rPr>
        <w:t>amounts</w:t>
      </w:r>
      <w:r>
        <w:rPr>
          <w:spacing w:val="-2"/>
          <w:w w:val="105"/>
        </w:rPr>
        <w:t> </w:t>
      </w:r>
      <w:r>
        <w:rPr>
          <w:w w:val="105"/>
        </w:rPr>
        <w:t>representing</w:t>
      </w:r>
      <w:r>
        <w:rPr>
          <w:spacing w:val="-2"/>
          <w:w w:val="105"/>
        </w:rPr>
        <w:t> </w:t>
      </w:r>
      <w:r>
        <w:rPr>
          <w:w w:val="105"/>
        </w:rPr>
        <w:t>the</w:t>
      </w:r>
      <w:r>
        <w:rPr>
          <w:spacing w:val="-2"/>
          <w:w w:val="105"/>
        </w:rPr>
        <w:t> </w:t>
      </w:r>
      <w:r>
        <w:rPr>
          <w:w w:val="105"/>
        </w:rPr>
        <w:t>time</w:t>
      </w:r>
      <w:r>
        <w:rPr>
          <w:spacing w:val="-2"/>
          <w:w w:val="105"/>
        </w:rPr>
        <w:t> </w:t>
      </w:r>
      <w:r>
        <w:rPr>
          <w:w w:val="105"/>
        </w:rPr>
        <w:t>value</w:t>
      </w:r>
      <w:r>
        <w:rPr>
          <w:spacing w:val="-2"/>
          <w:w w:val="105"/>
        </w:rPr>
        <w:t> </w:t>
      </w:r>
      <w:r>
        <w:rPr>
          <w:w w:val="105"/>
        </w:rPr>
        <w:t>component</w:t>
      </w:r>
      <w:r>
        <w:rPr>
          <w:spacing w:val="-2"/>
          <w:w w:val="105"/>
        </w:rPr>
        <w:t> </w:t>
      </w:r>
      <w:r>
        <w:rPr>
          <w:w w:val="105"/>
        </w:rPr>
        <w:t>of the</w:t>
      </w:r>
      <w:r>
        <w:rPr>
          <w:spacing w:val="-2"/>
          <w:w w:val="105"/>
        </w:rPr>
        <w:t> </w:t>
      </w:r>
      <w:r>
        <w:rPr>
          <w:w w:val="105"/>
        </w:rPr>
        <w:t>derivatives</w:t>
      </w:r>
      <w:r>
        <w:rPr>
          <w:spacing w:val="-2"/>
          <w:w w:val="105"/>
        </w:rPr>
        <w:t> </w:t>
      </w:r>
      <w:r>
        <w:rPr>
          <w:w w:val="105"/>
        </w:rPr>
        <w:t>are</w:t>
      </w:r>
      <w:r>
        <w:rPr>
          <w:spacing w:val="-2"/>
          <w:w w:val="105"/>
        </w:rPr>
        <w:t> </w:t>
      </w:r>
      <w:r>
        <w:rPr>
          <w:w w:val="105"/>
        </w:rPr>
        <w:t>excluded</w:t>
      </w:r>
      <w:r>
        <w:rPr>
          <w:spacing w:val="-2"/>
          <w:w w:val="105"/>
        </w:rPr>
        <w:t> </w:t>
      </w:r>
      <w:r>
        <w:rPr>
          <w:w w:val="105"/>
        </w:rPr>
        <w:t>from</w:t>
      </w:r>
      <w:r>
        <w:rPr>
          <w:spacing w:val="-2"/>
          <w:w w:val="105"/>
        </w:rPr>
        <w:t> </w:t>
      </w:r>
      <w:r>
        <w:rPr>
          <w:w w:val="105"/>
        </w:rPr>
        <w:t>the</w:t>
      </w:r>
      <w:r>
        <w:rPr>
          <w:spacing w:val="-2"/>
          <w:w w:val="105"/>
        </w:rPr>
        <w:t> </w:t>
      </w:r>
      <w:r>
        <w:rPr>
          <w:w w:val="105"/>
        </w:rPr>
        <w:t>assessment</w:t>
      </w:r>
      <w:r>
        <w:rPr>
          <w:spacing w:val="-2"/>
          <w:w w:val="105"/>
        </w:rPr>
        <w:t> </w:t>
      </w:r>
      <w:r>
        <w:rPr>
          <w:w w:val="105"/>
        </w:rPr>
        <w:t>of</w:t>
      </w:r>
      <w:r>
        <w:rPr>
          <w:spacing w:val="-2"/>
          <w:w w:val="105"/>
        </w:rPr>
        <w:t> </w:t>
      </w:r>
      <w:r>
        <w:rPr>
          <w:w w:val="105"/>
        </w:rPr>
        <w:t>effectiveness</w:t>
      </w:r>
      <w:r>
        <w:rPr>
          <w:spacing w:val="-2"/>
          <w:w w:val="105"/>
        </w:rPr>
        <w:t> </w:t>
      </w:r>
      <w:r>
        <w:rPr>
          <w:w w:val="105"/>
        </w:rPr>
        <w:t>and</w:t>
      </w:r>
      <w:r>
        <w:rPr>
          <w:spacing w:val="-2"/>
          <w:w w:val="105"/>
        </w:rPr>
        <w:t> </w:t>
      </w:r>
      <w:r>
        <w:rPr>
          <w:w w:val="105"/>
        </w:rPr>
        <w:t>amortized</w:t>
      </w:r>
      <w:r>
        <w:rPr>
          <w:spacing w:val="-2"/>
          <w:w w:val="105"/>
        </w:rPr>
        <w:t> </w:t>
      </w:r>
      <w:r>
        <w:rPr>
          <w:w w:val="105"/>
        </w:rPr>
        <w:t>in</w:t>
      </w:r>
      <w:r>
        <w:rPr>
          <w:spacing w:val="-2"/>
          <w:w w:val="105"/>
        </w:rPr>
        <w:t> </w:t>
      </w:r>
      <w:r>
        <w:rPr>
          <w:w w:val="105"/>
        </w:rPr>
        <w:t>earnings.</w:t>
      </w:r>
      <w:r>
        <w:rPr>
          <w:spacing w:val="-2"/>
          <w:w w:val="105"/>
        </w:rPr>
        <w:t> </w:t>
      </w:r>
      <w:r>
        <w:rPr>
          <w:w w:val="105"/>
        </w:rPr>
        <w:t>The</w:t>
      </w:r>
      <w:r>
        <w:rPr>
          <w:spacing w:val="-2"/>
          <w:w w:val="105"/>
        </w:rPr>
        <w:t> </w:t>
      </w:r>
      <w:r>
        <w:rPr>
          <w:w w:val="105"/>
        </w:rPr>
        <w:t>impact</w:t>
      </w:r>
      <w:r>
        <w:rPr>
          <w:spacing w:val="-2"/>
          <w:w w:val="105"/>
        </w:rPr>
        <w:t> </w:t>
      </w:r>
      <w:r>
        <w:rPr>
          <w:w w:val="105"/>
        </w:rPr>
        <w:t>of</w:t>
      </w:r>
      <w:r>
        <w:rPr>
          <w:spacing w:val="-2"/>
          <w:w w:val="105"/>
        </w:rPr>
        <w:t> </w:t>
      </w:r>
      <w:r>
        <w:rPr>
          <w:w w:val="105"/>
        </w:rPr>
        <w:t>the excluded</w:t>
      </w:r>
      <w:r>
        <w:rPr>
          <w:spacing w:val="-8"/>
          <w:w w:val="105"/>
        </w:rPr>
        <w:t> </w:t>
      </w:r>
      <w:r>
        <w:rPr>
          <w:w w:val="105"/>
        </w:rPr>
        <w:t>component</w:t>
      </w:r>
      <w:r>
        <w:rPr>
          <w:spacing w:val="-8"/>
          <w:w w:val="105"/>
        </w:rPr>
        <w:t> </w:t>
      </w:r>
      <w:r>
        <w:rPr>
          <w:w w:val="105"/>
        </w:rPr>
        <w:t>on</w:t>
      </w:r>
      <w:r>
        <w:rPr>
          <w:spacing w:val="-8"/>
          <w:w w:val="105"/>
        </w:rPr>
        <w:t> </w:t>
      </w:r>
      <w:r>
        <w:rPr>
          <w:w w:val="105"/>
        </w:rPr>
        <w:t>Corning's</w:t>
      </w:r>
      <w:r>
        <w:rPr>
          <w:spacing w:val="-8"/>
          <w:w w:val="105"/>
        </w:rPr>
        <w:t> </w:t>
      </w:r>
      <w:r>
        <w:rPr>
          <w:w w:val="105"/>
        </w:rPr>
        <w:t>other</w:t>
      </w:r>
      <w:r>
        <w:rPr>
          <w:spacing w:val="-6"/>
          <w:w w:val="105"/>
        </w:rPr>
        <w:t> </w:t>
      </w:r>
      <w:r>
        <w:rPr>
          <w:w w:val="105"/>
        </w:rPr>
        <w:t>comprehensive</w:t>
      </w:r>
      <w:r>
        <w:rPr>
          <w:spacing w:val="-8"/>
          <w:w w:val="105"/>
        </w:rPr>
        <w:t> </w:t>
      </w:r>
      <w:r>
        <w:rPr>
          <w:w w:val="105"/>
        </w:rPr>
        <w:t>income</w:t>
      </w:r>
      <w:r>
        <w:rPr>
          <w:spacing w:val="-8"/>
          <w:w w:val="105"/>
        </w:rPr>
        <w:t> </w:t>
      </w:r>
      <w:r>
        <w:rPr>
          <w:w w:val="105"/>
        </w:rPr>
        <w:t>and</w:t>
      </w:r>
      <w:r>
        <w:rPr>
          <w:spacing w:val="-8"/>
          <w:w w:val="105"/>
        </w:rPr>
        <w:t> </w:t>
      </w:r>
      <w:r>
        <w:rPr>
          <w:w w:val="105"/>
        </w:rPr>
        <w:t>earnings</w:t>
      </w:r>
      <w:r>
        <w:rPr>
          <w:spacing w:val="-8"/>
          <w:w w:val="105"/>
        </w:rPr>
        <w:t> </w:t>
      </w:r>
      <w:r>
        <w:rPr>
          <w:w w:val="105"/>
        </w:rPr>
        <w:t>is</w:t>
      </w:r>
      <w:r>
        <w:rPr>
          <w:spacing w:val="-8"/>
          <w:w w:val="105"/>
        </w:rPr>
        <w:t> </w:t>
      </w:r>
      <w:r>
        <w:rPr>
          <w:w w:val="105"/>
        </w:rPr>
        <w:t>not</w:t>
      </w:r>
      <w:r>
        <w:rPr>
          <w:spacing w:val="-8"/>
          <w:w w:val="105"/>
        </w:rPr>
        <w:t> </w:t>
      </w:r>
      <w:r>
        <w:rPr>
          <w:w w:val="105"/>
        </w:rPr>
        <w:t>material.</w:t>
      </w:r>
      <w:r>
        <w:rPr>
          <w:spacing w:val="-8"/>
          <w:w w:val="105"/>
        </w:rPr>
        <w:t> </w:t>
      </w:r>
      <w:r>
        <w:rPr>
          <w:w w:val="105"/>
        </w:rPr>
        <w:t>The</w:t>
      </w:r>
      <w:r>
        <w:rPr>
          <w:spacing w:val="-8"/>
          <w:w w:val="105"/>
        </w:rPr>
        <w:t> </w:t>
      </w:r>
      <w:r>
        <w:rPr>
          <w:w w:val="105"/>
        </w:rPr>
        <w:t>carrying</w:t>
      </w:r>
      <w:r>
        <w:rPr>
          <w:spacing w:val="-8"/>
          <w:w w:val="105"/>
        </w:rPr>
        <w:t> </w:t>
      </w:r>
      <w:r>
        <w:rPr>
          <w:w w:val="105"/>
        </w:rPr>
        <w:t>amount</w:t>
      </w:r>
      <w:r>
        <w:rPr>
          <w:spacing w:val="-8"/>
          <w:w w:val="105"/>
        </w:rPr>
        <w:t> </w:t>
      </w:r>
      <w:r>
        <w:rPr>
          <w:w w:val="105"/>
        </w:rPr>
        <w:t>of</w:t>
      </w:r>
      <w:r>
        <w:rPr>
          <w:spacing w:val="-8"/>
          <w:w w:val="105"/>
        </w:rPr>
        <w:t> </w:t>
      </w:r>
      <w:r>
        <w:rPr>
          <w:w w:val="105"/>
        </w:rPr>
        <w:t>the</w:t>
      </w:r>
      <w:r>
        <w:rPr>
          <w:spacing w:val="-8"/>
          <w:w w:val="105"/>
        </w:rPr>
        <w:t> </w:t>
      </w:r>
      <w:r>
        <w:rPr>
          <w:w w:val="105"/>
        </w:rPr>
        <w:t>leased</w:t>
      </w:r>
      <w:r>
        <w:rPr>
          <w:spacing w:val="-8"/>
          <w:w w:val="105"/>
        </w:rPr>
        <w:t> </w:t>
      </w:r>
      <w:r>
        <w:rPr>
          <w:w w:val="105"/>
        </w:rPr>
        <w:t>precious</w:t>
      </w:r>
      <w:r>
        <w:rPr>
          <w:spacing w:val="-8"/>
          <w:w w:val="105"/>
        </w:rPr>
        <w:t> </w:t>
      </w:r>
      <w:r>
        <w:rPr>
          <w:w w:val="105"/>
        </w:rPr>
        <w:t>metals</w:t>
      </w:r>
      <w:r>
        <w:rPr>
          <w:spacing w:val="-8"/>
          <w:w w:val="105"/>
        </w:rPr>
        <w:t> </w:t>
      </w:r>
      <w:r>
        <w:rPr>
          <w:w w:val="105"/>
        </w:rPr>
        <w:t>pool,</w:t>
      </w:r>
      <w:r>
        <w:rPr>
          <w:spacing w:val="-8"/>
          <w:w w:val="105"/>
        </w:rPr>
        <w:t> </w:t>
      </w:r>
      <w:r>
        <w:rPr>
          <w:w w:val="105"/>
        </w:rPr>
        <w:t>which</w:t>
      </w:r>
      <w:r>
        <w:rPr>
          <w:spacing w:val="-8"/>
          <w:w w:val="105"/>
        </w:rPr>
        <w:t> </w:t>
      </w:r>
      <w:r>
        <w:rPr>
          <w:w w:val="105"/>
        </w:rPr>
        <w:t>is</w:t>
      </w:r>
      <w:r>
        <w:rPr>
          <w:spacing w:val="-8"/>
          <w:w w:val="105"/>
        </w:rPr>
        <w:t> </w:t>
      </w:r>
      <w:r>
        <w:rPr>
          <w:w w:val="105"/>
        </w:rPr>
        <w:t>included</w:t>
      </w:r>
      <w:r>
        <w:rPr>
          <w:spacing w:val="-8"/>
          <w:w w:val="105"/>
        </w:rPr>
        <w:t> </w:t>
      </w:r>
      <w:r>
        <w:rPr>
          <w:w w:val="105"/>
        </w:rPr>
        <w:t>in</w:t>
      </w:r>
      <w:r>
        <w:rPr>
          <w:spacing w:val="-8"/>
          <w:w w:val="105"/>
        </w:rPr>
        <w:t> </w:t>
      </w:r>
      <w:r>
        <w:rPr>
          <w:w w:val="105"/>
        </w:rPr>
        <w:t>the property,</w:t>
      </w:r>
      <w:r>
        <w:rPr>
          <w:spacing w:val="-7"/>
          <w:w w:val="105"/>
        </w:rPr>
        <w:t> </w:t>
      </w:r>
      <w:r>
        <w:rPr>
          <w:w w:val="105"/>
        </w:rPr>
        <w:t>plant</w:t>
      </w:r>
      <w:r>
        <w:rPr>
          <w:spacing w:val="-7"/>
          <w:w w:val="105"/>
        </w:rPr>
        <w:t> </w:t>
      </w:r>
      <w:r>
        <w:rPr>
          <w:w w:val="105"/>
        </w:rPr>
        <w:t>and</w:t>
      </w:r>
      <w:r>
        <w:rPr>
          <w:spacing w:val="-7"/>
          <w:w w:val="105"/>
        </w:rPr>
        <w:t> </w:t>
      </w:r>
      <w:r>
        <w:rPr>
          <w:w w:val="105"/>
        </w:rPr>
        <w:t>equipment,</w:t>
      </w:r>
      <w:r>
        <w:rPr>
          <w:spacing w:val="-7"/>
          <w:w w:val="105"/>
        </w:rPr>
        <w:t> </w:t>
      </w:r>
      <w:r>
        <w:rPr>
          <w:w w:val="105"/>
        </w:rPr>
        <w:t>net</w:t>
      </w:r>
      <w:r>
        <w:rPr>
          <w:spacing w:val="-7"/>
          <w:w w:val="105"/>
        </w:rPr>
        <w:t> </w:t>
      </w:r>
      <w:r>
        <w:rPr>
          <w:w w:val="105"/>
        </w:rPr>
        <w:t>of</w:t>
      </w:r>
      <w:r>
        <w:rPr>
          <w:spacing w:val="-7"/>
          <w:w w:val="105"/>
        </w:rPr>
        <w:t> </w:t>
      </w:r>
      <w:r>
        <w:rPr>
          <w:w w:val="105"/>
        </w:rPr>
        <w:t>accumulated</w:t>
      </w:r>
      <w:r>
        <w:rPr>
          <w:spacing w:val="-7"/>
          <w:w w:val="105"/>
        </w:rPr>
        <w:t> </w:t>
      </w:r>
      <w:r>
        <w:rPr>
          <w:w w:val="105"/>
        </w:rPr>
        <w:t>depreciation</w:t>
      </w:r>
      <w:r>
        <w:rPr>
          <w:spacing w:val="-7"/>
          <w:w w:val="105"/>
        </w:rPr>
        <w:t> </w:t>
      </w:r>
      <w:r>
        <w:rPr>
          <w:w w:val="105"/>
        </w:rPr>
        <w:t>line</w:t>
      </w:r>
      <w:r>
        <w:rPr>
          <w:spacing w:val="-7"/>
          <w:w w:val="105"/>
        </w:rPr>
        <w:t> </w:t>
      </w:r>
      <w:r>
        <w:rPr>
          <w:w w:val="105"/>
        </w:rPr>
        <w:t>of</w:t>
      </w:r>
      <w:r>
        <w:rPr>
          <w:spacing w:val="-7"/>
          <w:w w:val="105"/>
        </w:rPr>
        <w:t> </w:t>
      </w:r>
      <w:r>
        <w:rPr>
          <w:w w:val="105"/>
        </w:rPr>
        <w:t>the</w:t>
      </w:r>
      <w:r>
        <w:rPr>
          <w:spacing w:val="-5"/>
          <w:w w:val="105"/>
        </w:rPr>
        <w:t> </w:t>
      </w:r>
      <w:r>
        <w:rPr>
          <w:w w:val="105"/>
        </w:rPr>
        <w:t>consolidated</w:t>
      </w:r>
      <w:r>
        <w:rPr>
          <w:spacing w:val="-7"/>
          <w:w w:val="105"/>
        </w:rPr>
        <w:t> </w:t>
      </w:r>
      <w:r>
        <w:rPr>
          <w:w w:val="105"/>
        </w:rPr>
        <w:t>balance</w:t>
      </w:r>
      <w:r>
        <w:rPr>
          <w:spacing w:val="-7"/>
          <w:w w:val="105"/>
        </w:rPr>
        <w:t> </w:t>
      </w:r>
      <w:r>
        <w:rPr>
          <w:w w:val="105"/>
        </w:rPr>
        <w:t>sheets,</w:t>
      </w:r>
      <w:r>
        <w:rPr>
          <w:spacing w:val="-7"/>
          <w:w w:val="105"/>
        </w:rPr>
        <w:t> </w:t>
      </w:r>
      <w:r>
        <w:rPr>
          <w:w w:val="105"/>
        </w:rPr>
        <w:t>is</w:t>
      </w:r>
      <w:r>
        <w:rPr>
          <w:spacing w:val="-7"/>
          <w:w w:val="105"/>
        </w:rPr>
        <w:t> </w:t>
      </w:r>
      <w:r>
        <w:rPr>
          <w:w w:val="105"/>
        </w:rPr>
        <w:t>$107</w:t>
      </w:r>
      <w:r>
        <w:rPr>
          <w:spacing w:val="-7"/>
          <w:w w:val="105"/>
        </w:rPr>
        <w:t> </w:t>
      </w:r>
      <w:r>
        <w:rPr>
          <w:w w:val="105"/>
        </w:rPr>
        <w:t>million</w:t>
      </w:r>
      <w:r>
        <w:rPr>
          <w:spacing w:val="-7"/>
          <w:w w:val="105"/>
        </w:rPr>
        <w:t> </w:t>
      </w:r>
      <w:r>
        <w:rPr>
          <w:w w:val="105"/>
        </w:rPr>
        <w:t>at</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6"/>
          <w:w w:val="105"/>
        </w:rPr>
        <w:t> </w:t>
      </w:r>
      <w:r>
        <w:rPr>
          <w:w w:val="105"/>
        </w:rPr>
        <w:t>The</w:t>
      </w:r>
      <w:r>
        <w:rPr>
          <w:spacing w:val="-7"/>
          <w:w w:val="105"/>
        </w:rPr>
        <w:t> </w:t>
      </w:r>
      <w:r>
        <w:rPr>
          <w:w w:val="105"/>
        </w:rPr>
        <w:t>cumulative</w:t>
      </w:r>
      <w:r>
        <w:rPr>
          <w:spacing w:val="-7"/>
          <w:w w:val="105"/>
        </w:rPr>
        <w:t> </w:t>
      </w:r>
      <w:r>
        <w:rPr>
          <w:w w:val="105"/>
        </w:rPr>
        <w:t>amount</w:t>
      </w:r>
      <w:r>
        <w:rPr>
          <w:spacing w:val="-7"/>
          <w:w w:val="105"/>
        </w:rPr>
        <w:t> </w:t>
      </w:r>
      <w:r>
        <w:rPr>
          <w:w w:val="105"/>
        </w:rPr>
        <w:t>of</w:t>
      </w:r>
      <w:r>
        <w:rPr>
          <w:spacing w:val="-5"/>
          <w:w w:val="105"/>
        </w:rPr>
        <w:t> </w:t>
      </w:r>
      <w:r>
        <w:rPr>
          <w:w w:val="105"/>
        </w:rPr>
        <w:t>fair value changes included in the carrying amount of the leased precious metals pool is not material.</w:t>
      </w:r>
    </w:p>
    <w:p>
      <w:pPr>
        <w:pStyle w:val="BodyText"/>
        <w:spacing w:before="17"/>
      </w:pPr>
    </w:p>
    <w:p>
      <w:pPr>
        <w:pStyle w:val="BodyText"/>
        <w:spacing w:line="266" w:lineRule="auto"/>
        <w:ind w:left="156" w:right="328"/>
      </w:pPr>
      <w:r>
        <w:rPr>
          <w:w w:val="105"/>
        </w:rPr>
        <w:t>Corning</w:t>
      </w:r>
      <w:r>
        <w:rPr>
          <w:spacing w:val="-9"/>
          <w:w w:val="105"/>
        </w:rPr>
        <w:t> </w:t>
      </w:r>
      <w:r>
        <w:rPr>
          <w:w w:val="105"/>
        </w:rPr>
        <w:t>uses</w:t>
      </w:r>
      <w:r>
        <w:rPr>
          <w:spacing w:val="-9"/>
          <w:w w:val="105"/>
        </w:rPr>
        <w:t> </w:t>
      </w:r>
      <w:r>
        <w:rPr>
          <w:w w:val="105"/>
        </w:rPr>
        <w:t>regression</w:t>
      </w:r>
      <w:r>
        <w:rPr>
          <w:spacing w:val="-9"/>
          <w:w w:val="105"/>
        </w:rPr>
        <w:t> </w:t>
      </w:r>
      <w:r>
        <w:rPr>
          <w:w w:val="105"/>
        </w:rPr>
        <w:t>analysis</w:t>
      </w:r>
      <w:r>
        <w:rPr>
          <w:spacing w:val="-9"/>
          <w:w w:val="105"/>
        </w:rPr>
        <w:t> </w:t>
      </w:r>
      <w:r>
        <w:rPr>
          <w:w w:val="105"/>
        </w:rPr>
        <w:t>or</w:t>
      </w:r>
      <w:r>
        <w:rPr>
          <w:spacing w:val="-7"/>
          <w:w w:val="105"/>
        </w:rPr>
        <w:t> </w:t>
      </w:r>
      <w:r>
        <w:rPr>
          <w:w w:val="105"/>
        </w:rPr>
        <w:t>the</w:t>
      </w:r>
      <w:r>
        <w:rPr>
          <w:spacing w:val="-9"/>
          <w:w w:val="105"/>
        </w:rPr>
        <w:t> </w:t>
      </w:r>
      <w:r>
        <w:rPr>
          <w:w w:val="105"/>
        </w:rPr>
        <w:t>critical</w:t>
      </w:r>
      <w:r>
        <w:rPr>
          <w:spacing w:val="-9"/>
          <w:w w:val="105"/>
        </w:rPr>
        <w:t> </w:t>
      </w:r>
      <w:r>
        <w:rPr>
          <w:w w:val="105"/>
        </w:rPr>
        <w:t>term</w:t>
      </w:r>
      <w:r>
        <w:rPr>
          <w:spacing w:val="-9"/>
          <w:w w:val="105"/>
        </w:rPr>
        <w:t> </w:t>
      </w:r>
      <w:r>
        <w:rPr>
          <w:w w:val="105"/>
        </w:rPr>
        <w:t>match</w:t>
      </w:r>
      <w:r>
        <w:rPr>
          <w:spacing w:val="-9"/>
          <w:w w:val="105"/>
        </w:rPr>
        <w:t> </w:t>
      </w:r>
      <w:r>
        <w:rPr>
          <w:w w:val="105"/>
        </w:rPr>
        <w:t>method</w:t>
      </w:r>
      <w:r>
        <w:rPr>
          <w:spacing w:val="-9"/>
          <w:w w:val="105"/>
        </w:rPr>
        <w:t> </w:t>
      </w:r>
      <w:r>
        <w:rPr>
          <w:w w:val="105"/>
        </w:rPr>
        <w:t>to</w:t>
      </w:r>
      <w:r>
        <w:rPr>
          <w:spacing w:val="-9"/>
          <w:w w:val="105"/>
        </w:rPr>
        <w:t> </w:t>
      </w:r>
      <w:r>
        <w:rPr>
          <w:w w:val="105"/>
        </w:rPr>
        <w:t>assess</w:t>
      </w:r>
      <w:r>
        <w:rPr>
          <w:spacing w:val="-9"/>
          <w:w w:val="105"/>
        </w:rPr>
        <w:t> </w:t>
      </w:r>
      <w:r>
        <w:rPr>
          <w:w w:val="105"/>
        </w:rPr>
        <w:t>initial</w:t>
      </w:r>
      <w:r>
        <w:rPr>
          <w:spacing w:val="-9"/>
          <w:w w:val="105"/>
        </w:rPr>
        <w:t> </w:t>
      </w:r>
      <w:r>
        <w:rPr>
          <w:w w:val="105"/>
        </w:rPr>
        <w:t>hedge</w:t>
      </w:r>
      <w:r>
        <w:rPr>
          <w:spacing w:val="-9"/>
          <w:w w:val="105"/>
        </w:rPr>
        <w:t> </w:t>
      </w:r>
      <w:r>
        <w:rPr>
          <w:w w:val="105"/>
        </w:rPr>
        <w:t>effectiveness.</w:t>
      </w:r>
      <w:r>
        <w:rPr>
          <w:spacing w:val="-9"/>
          <w:w w:val="105"/>
        </w:rPr>
        <w:t> </w:t>
      </w:r>
      <w:r>
        <w:rPr>
          <w:w w:val="105"/>
        </w:rPr>
        <w:t>Following</w:t>
      </w:r>
      <w:r>
        <w:rPr>
          <w:spacing w:val="-9"/>
          <w:w w:val="105"/>
        </w:rPr>
        <w:t> </w:t>
      </w:r>
      <w:r>
        <w:rPr>
          <w:w w:val="105"/>
        </w:rPr>
        <w:t>the</w:t>
      </w:r>
      <w:r>
        <w:rPr>
          <w:spacing w:val="-9"/>
          <w:w w:val="105"/>
        </w:rPr>
        <w:t> </w:t>
      </w:r>
      <w:r>
        <w:rPr>
          <w:w w:val="105"/>
        </w:rPr>
        <w:t>inception</w:t>
      </w:r>
      <w:r>
        <w:rPr>
          <w:spacing w:val="-9"/>
          <w:w w:val="105"/>
        </w:rPr>
        <w:t> </w:t>
      </w:r>
      <w:r>
        <w:rPr>
          <w:w w:val="105"/>
        </w:rPr>
        <w:t>of</w:t>
      </w:r>
      <w:r>
        <w:rPr>
          <w:spacing w:val="-9"/>
          <w:w w:val="105"/>
        </w:rPr>
        <w:t> </w:t>
      </w:r>
      <w:r>
        <w:rPr>
          <w:w w:val="105"/>
        </w:rPr>
        <w:t>a</w:t>
      </w:r>
      <w:r>
        <w:rPr>
          <w:spacing w:val="-9"/>
          <w:w w:val="105"/>
        </w:rPr>
        <w:t> </w:t>
      </w:r>
      <w:r>
        <w:rPr>
          <w:w w:val="105"/>
        </w:rPr>
        <w:t>hedging</w:t>
      </w:r>
      <w:r>
        <w:rPr>
          <w:spacing w:val="-9"/>
          <w:w w:val="105"/>
        </w:rPr>
        <w:t> </w:t>
      </w:r>
      <w:r>
        <w:rPr>
          <w:w w:val="105"/>
        </w:rPr>
        <w:t>relationship,</w:t>
      </w:r>
      <w:r>
        <w:rPr>
          <w:spacing w:val="-9"/>
          <w:w w:val="105"/>
        </w:rPr>
        <w:t> </w:t>
      </w:r>
      <w:r>
        <w:rPr>
          <w:w w:val="105"/>
        </w:rPr>
        <w:t>hedge effectiveness is assessed quarterly based on qualitative factors.</w:t>
      </w:r>
    </w:p>
    <w:p>
      <w:pPr>
        <w:pStyle w:val="BodyText"/>
        <w:spacing w:before="19"/>
      </w:pPr>
    </w:p>
    <w:p>
      <w:pPr>
        <w:pStyle w:val="Heading3"/>
        <w:jc w:val="both"/>
      </w:pPr>
      <w:r>
        <w:rPr/>
        <w:t>Undesignated</w:t>
      </w:r>
      <w:r>
        <w:rPr>
          <w:spacing w:val="28"/>
        </w:rPr>
        <w:t> </w:t>
      </w:r>
      <w:r>
        <w:rPr>
          <w:spacing w:val="-2"/>
        </w:rPr>
        <w:t>Hedges</w:t>
      </w:r>
    </w:p>
    <w:p>
      <w:pPr>
        <w:pStyle w:val="BodyText"/>
        <w:spacing w:before="39"/>
        <w:rPr>
          <w:b/>
          <w:i/>
        </w:rPr>
      </w:pPr>
    </w:p>
    <w:p>
      <w:pPr>
        <w:pStyle w:val="BodyText"/>
        <w:spacing w:line="266" w:lineRule="auto" w:before="1"/>
        <w:ind w:left="156" w:right="328"/>
      </w:pPr>
      <w:r>
        <w:rPr>
          <w:w w:val="105"/>
        </w:rPr>
        <w:t>Corning</w:t>
      </w:r>
      <w:r>
        <w:rPr>
          <w:spacing w:val="-9"/>
          <w:w w:val="105"/>
        </w:rPr>
        <w:t> </w:t>
      </w:r>
      <w:r>
        <w:rPr>
          <w:w w:val="105"/>
        </w:rPr>
        <w:t>uses</w:t>
      </w:r>
      <w:r>
        <w:rPr>
          <w:spacing w:val="-9"/>
          <w:w w:val="105"/>
        </w:rPr>
        <w:t> </w:t>
      </w:r>
      <w:r>
        <w:rPr>
          <w:w w:val="105"/>
        </w:rPr>
        <w:t>OTC</w:t>
      </w:r>
      <w:r>
        <w:rPr>
          <w:spacing w:val="-9"/>
          <w:w w:val="105"/>
        </w:rPr>
        <w:t> </w:t>
      </w:r>
      <w:r>
        <w:rPr>
          <w:w w:val="105"/>
        </w:rPr>
        <w:t>foreign</w:t>
      </w:r>
      <w:r>
        <w:rPr>
          <w:spacing w:val="-9"/>
          <w:w w:val="105"/>
        </w:rPr>
        <w:t> </w:t>
      </w:r>
      <w:r>
        <w:rPr>
          <w:w w:val="105"/>
        </w:rPr>
        <w:t>exchange</w:t>
      </w:r>
      <w:r>
        <w:rPr>
          <w:spacing w:val="-9"/>
          <w:w w:val="105"/>
        </w:rPr>
        <w:t> </w:t>
      </w:r>
      <w:r>
        <w:rPr>
          <w:w w:val="105"/>
        </w:rPr>
        <w:t>forward</w:t>
      </w:r>
      <w:r>
        <w:rPr>
          <w:spacing w:val="-9"/>
          <w:w w:val="105"/>
        </w:rPr>
        <w:t> </w:t>
      </w:r>
      <w:r>
        <w:rPr>
          <w:w w:val="105"/>
        </w:rPr>
        <w:t>and</w:t>
      </w:r>
      <w:r>
        <w:rPr>
          <w:spacing w:val="-9"/>
          <w:w w:val="105"/>
        </w:rPr>
        <w:t> </w:t>
      </w:r>
      <w:r>
        <w:rPr>
          <w:w w:val="105"/>
        </w:rPr>
        <w:t>option</w:t>
      </w:r>
      <w:r>
        <w:rPr>
          <w:spacing w:val="-9"/>
          <w:w w:val="105"/>
        </w:rPr>
        <w:t> </w:t>
      </w:r>
      <w:r>
        <w:rPr>
          <w:w w:val="105"/>
        </w:rPr>
        <w:t>contracts</w:t>
      </w:r>
      <w:r>
        <w:rPr>
          <w:spacing w:val="-8"/>
          <w:w w:val="105"/>
        </w:rPr>
        <w:t> </w:t>
      </w:r>
      <w:r>
        <w:rPr>
          <w:w w:val="105"/>
        </w:rPr>
        <w:t>not</w:t>
      </w:r>
      <w:r>
        <w:rPr>
          <w:spacing w:val="-9"/>
          <w:w w:val="105"/>
        </w:rPr>
        <w:t> </w:t>
      </w:r>
      <w:r>
        <w:rPr>
          <w:w w:val="105"/>
        </w:rPr>
        <w:t>designated</w:t>
      </w:r>
      <w:r>
        <w:rPr>
          <w:spacing w:val="-9"/>
          <w:w w:val="105"/>
        </w:rPr>
        <w:t> </w:t>
      </w:r>
      <w:r>
        <w:rPr>
          <w:w w:val="105"/>
        </w:rPr>
        <w:t>as</w:t>
      </w:r>
      <w:r>
        <w:rPr>
          <w:spacing w:val="-9"/>
          <w:w w:val="105"/>
        </w:rPr>
        <w:t> </w:t>
      </w:r>
      <w:r>
        <w:rPr>
          <w:w w:val="105"/>
        </w:rPr>
        <w:t>hedging</w:t>
      </w:r>
      <w:r>
        <w:rPr>
          <w:spacing w:val="-9"/>
          <w:w w:val="105"/>
        </w:rPr>
        <w:t> </w:t>
      </w:r>
      <w:r>
        <w:rPr>
          <w:w w:val="105"/>
        </w:rPr>
        <w:t>instruments</w:t>
      </w:r>
      <w:r>
        <w:rPr>
          <w:spacing w:val="-9"/>
          <w:w w:val="105"/>
        </w:rPr>
        <w:t> </w:t>
      </w:r>
      <w:r>
        <w:rPr>
          <w:w w:val="105"/>
        </w:rPr>
        <w:t>for</w:t>
      </w:r>
      <w:r>
        <w:rPr>
          <w:spacing w:val="-9"/>
          <w:w w:val="105"/>
        </w:rPr>
        <w:t> </w:t>
      </w:r>
      <w:r>
        <w:rPr>
          <w:w w:val="105"/>
        </w:rPr>
        <w:t>accounting</w:t>
      </w:r>
      <w:r>
        <w:rPr>
          <w:spacing w:val="-9"/>
          <w:w w:val="105"/>
        </w:rPr>
        <w:t> </w:t>
      </w:r>
      <w:r>
        <w:rPr>
          <w:w w:val="105"/>
        </w:rPr>
        <w:t>purposes</w:t>
      </w:r>
      <w:r>
        <w:rPr>
          <w:spacing w:val="-9"/>
          <w:w w:val="105"/>
        </w:rPr>
        <w:t> </w:t>
      </w:r>
      <w:r>
        <w:rPr>
          <w:w w:val="105"/>
        </w:rPr>
        <w:t>to</w:t>
      </w:r>
      <w:r>
        <w:rPr>
          <w:spacing w:val="-9"/>
          <w:w w:val="105"/>
        </w:rPr>
        <w:t> </w:t>
      </w:r>
      <w:r>
        <w:rPr>
          <w:w w:val="105"/>
        </w:rPr>
        <w:t>offset</w:t>
      </w:r>
      <w:r>
        <w:rPr>
          <w:spacing w:val="-9"/>
          <w:w w:val="105"/>
        </w:rPr>
        <w:t> </w:t>
      </w:r>
      <w:r>
        <w:rPr>
          <w:w w:val="105"/>
        </w:rPr>
        <w:t>economic</w:t>
      </w:r>
      <w:r>
        <w:rPr>
          <w:spacing w:val="-9"/>
          <w:w w:val="105"/>
        </w:rPr>
        <w:t> </w:t>
      </w:r>
      <w:r>
        <w:rPr>
          <w:w w:val="105"/>
        </w:rPr>
        <w:t>currency</w:t>
      </w:r>
      <w:r>
        <w:rPr>
          <w:spacing w:val="-8"/>
          <w:w w:val="105"/>
        </w:rPr>
        <w:t> </w:t>
      </w:r>
      <w:r>
        <w:rPr>
          <w:w w:val="105"/>
        </w:rPr>
        <w:t>risks.</w:t>
      </w:r>
      <w:r>
        <w:rPr>
          <w:spacing w:val="-9"/>
          <w:w w:val="105"/>
        </w:rPr>
        <w:t> </w:t>
      </w:r>
      <w:r>
        <w:rPr>
          <w:w w:val="105"/>
        </w:rPr>
        <w:t>The undesignated</w:t>
      </w:r>
      <w:r>
        <w:rPr>
          <w:spacing w:val="-3"/>
          <w:w w:val="105"/>
        </w:rPr>
        <w:t> </w:t>
      </w:r>
      <w:r>
        <w:rPr>
          <w:w w:val="105"/>
        </w:rPr>
        <w:t>hedges</w:t>
      </w:r>
      <w:r>
        <w:rPr>
          <w:spacing w:val="-3"/>
          <w:w w:val="105"/>
        </w:rPr>
        <w:t> </w:t>
      </w:r>
      <w:r>
        <w:rPr>
          <w:w w:val="105"/>
        </w:rPr>
        <w:t>limit</w:t>
      </w:r>
      <w:r>
        <w:rPr>
          <w:spacing w:val="-1"/>
          <w:w w:val="105"/>
        </w:rPr>
        <w:t> </w:t>
      </w:r>
      <w:r>
        <w:rPr>
          <w:w w:val="105"/>
        </w:rPr>
        <w:t>exposure</w:t>
      </w:r>
      <w:r>
        <w:rPr>
          <w:spacing w:val="-3"/>
          <w:w w:val="105"/>
        </w:rPr>
        <w:t> </w:t>
      </w:r>
      <w:r>
        <w:rPr>
          <w:w w:val="105"/>
        </w:rPr>
        <w:t>to</w:t>
      </w:r>
      <w:r>
        <w:rPr>
          <w:spacing w:val="-3"/>
          <w:w w:val="105"/>
        </w:rPr>
        <w:t> </w:t>
      </w:r>
      <w:r>
        <w:rPr>
          <w:w w:val="105"/>
        </w:rPr>
        <w:t>foreign</w:t>
      </w:r>
      <w:r>
        <w:rPr>
          <w:spacing w:val="-3"/>
          <w:w w:val="105"/>
        </w:rPr>
        <w:t> </w:t>
      </w:r>
      <w:r>
        <w:rPr>
          <w:w w:val="105"/>
        </w:rPr>
        <w:t>functional</w:t>
      </w:r>
      <w:r>
        <w:rPr>
          <w:spacing w:val="-3"/>
          <w:w w:val="105"/>
        </w:rPr>
        <w:t> </w:t>
      </w:r>
      <w:r>
        <w:rPr>
          <w:w w:val="105"/>
        </w:rPr>
        <w:t>currency</w:t>
      </w:r>
      <w:r>
        <w:rPr>
          <w:spacing w:val="-3"/>
          <w:w w:val="105"/>
        </w:rPr>
        <w:t> </w:t>
      </w:r>
      <w:r>
        <w:rPr>
          <w:w w:val="105"/>
        </w:rPr>
        <w:t>fluctuations</w:t>
      </w:r>
      <w:r>
        <w:rPr>
          <w:spacing w:val="-1"/>
          <w:w w:val="105"/>
        </w:rPr>
        <w:t> </w:t>
      </w:r>
      <w:r>
        <w:rPr>
          <w:w w:val="105"/>
        </w:rPr>
        <w:t>related</w:t>
      </w:r>
      <w:r>
        <w:rPr>
          <w:spacing w:val="-3"/>
          <w:w w:val="105"/>
        </w:rPr>
        <w:t> </w:t>
      </w:r>
      <w:r>
        <w:rPr>
          <w:w w:val="105"/>
        </w:rPr>
        <w:t>to</w:t>
      </w:r>
      <w:r>
        <w:rPr>
          <w:spacing w:val="-3"/>
          <w:w w:val="105"/>
        </w:rPr>
        <w:t> </w:t>
      </w:r>
      <w:r>
        <w:rPr>
          <w:w w:val="105"/>
        </w:rPr>
        <w:t>certain</w:t>
      </w:r>
      <w:r>
        <w:rPr>
          <w:spacing w:val="-3"/>
          <w:w w:val="105"/>
        </w:rPr>
        <w:t> </w:t>
      </w:r>
      <w:r>
        <w:rPr>
          <w:w w:val="105"/>
        </w:rPr>
        <w:t>subsidiaries’</w:t>
      </w:r>
      <w:r>
        <w:rPr>
          <w:spacing w:val="-3"/>
          <w:w w:val="105"/>
        </w:rPr>
        <w:t> </w:t>
      </w:r>
      <w:r>
        <w:rPr>
          <w:w w:val="105"/>
        </w:rPr>
        <w:t>monetary</w:t>
      </w:r>
      <w:r>
        <w:rPr>
          <w:spacing w:val="-3"/>
          <w:w w:val="105"/>
        </w:rPr>
        <w:t> </w:t>
      </w:r>
      <w:r>
        <w:rPr>
          <w:w w:val="105"/>
        </w:rPr>
        <w:t>assets,</w:t>
      </w:r>
      <w:r>
        <w:rPr>
          <w:spacing w:val="-3"/>
          <w:w w:val="105"/>
        </w:rPr>
        <w:t> </w:t>
      </w:r>
      <w:r>
        <w:rPr>
          <w:w w:val="105"/>
        </w:rPr>
        <w:t>monetary</w:t>
      </w:r>
      <w:r>
        <w:rPr>
          <w:spacing w:val="-3"/>
          <w:w w:val="105"/>
        </w:rPr>
        <w:t> </w:t>
      </w:r>
      <w:r>
        <w:rPr>
          <w:w w:val="105"/>
        </w:rPr>
        <w:t>liabilities</w:t>
      </w:r>
      <w:r>
        <w:rPr>
          <w:spacing w:val="-3"/>
          <w:w w:val="105"/>
        </w:rPr>
        <w:t> </w:t>
      </w:r>
      <w:r>
        <w:rPr>
          <w:w w:val="105"/>
        </w:rPr>
        <w:t>and</w:t>
      </w:r>
      <w:r>
        <w:rPr>
          <w:spacing w:val="-3"/>
          <w:w w:val="105"/>
        </w:rPr>
        <w:t> </w:t>
      </w:r>
      <w:r>
        <w:rPr>
          <w:w w:val="105"/>
        </w:rPr>
        <w:t>net</w:t>
      </w:r>
      <w:r>
        <w:rPr>
          <w:spacing w:val="-3"/>
          <w:w w:val="105"/>
        </w:rPr>
        <w:t> </w:t>
      </w:r>
      <w:r>
        <w:rPr>
          <w:w w:val="105"/>
        </w:rPr>
        <w:t>earnings</w:t>
      </w:r>
      <w:r>
        <w:rPr>
          <w:spacing w:val="-3"/>
          <w:w w:val="105"/>
        </w:rPr>
        <w:t> </w:t>
      </w:r>
      <w:r>
        <w:rPr>
          <w:w w:val="105"/>
        </w:rPr>
        <w:t>in foreign</w:t>
      </w:r>
      <w:r>
        <w:rPr>
          <w:spacing w:val="-1"/>
          <w:w w:val="105"/>
        </w:rPr>
        <w:t> </w:t>
      </w:r>
      <w:r>
        <w:rPr>
          <w:w w:val="105"/>
        </w:rPr>
        <w:t>currencies.</w:t>
      </w:r>
    </w:p>
    <w:p>
      <w:pPr>
        <w:pStyle w:val="BodyText"/>
        <w:spacing w:before="18"/>
      </w:pPr>
    </w:p>
    <w:p>
      <w:pPr>
        <w:pStyle w:val="BodyText"/>
        <w:spacing w:line="266" w:lineRule="auto"/>
        <w:ind w:left="156" w:right="328"/>
      </w:pPr>
      <w:r>
        <w:rPr>
          <w:w w:val="105"/>
        </w:rPr>
        <w:t>A</w:t>
      </w:r>
      <w:r>
        <w:rPr>
          <w:spacing w:val="-9"/>
          <w:w w:val="105"/>
        </w:rPr>
        <w:t> </w:t>
      </w:r>
      <w:r>
        <w:rPr>
          <w:w w:val="105"/>
        </w:rPr>
        <w:t>significant</w:t>
      </w:r>
      <w:r>
        <w:rPr>
          <w:spacing w:val="-9"/>
          <w:w w:val="105"/>
        </w:rPr>
        <w:t> </w:t>
      </w:r>
      <w:r>
        <w:rPr>
          <w:w w:val="105"/>
        </w:rPr>
        <w:t>portion</w:t>
      </w:r>
      <w:r>
        <w:rPr>
          <w:spacing w:val="-9"/>
          <w:w w:val="105"/>
        </w:rPr>
        <w:t> </w:t>
      </w:r>
      <w:r>
        <w:rPr>
          <w:w w:val="105"/>
        </w:rPr>
        <w:t>of</w:t>
      </w:r>
      <w:r>
        <w:rPr>
          <w:spacing w:val="-9"/>
          <w:w w:val="105"/>
        </w:rPr>
        <w:t> </w:t>
      </w:r>
      <w:r>
        <w:rPr>
          <w:w w:val="105"/>
        </w:rPr>
        <w:t>the</w:t>
      </w:r>
      <w:r>
        <w:rPr>
          <w:spacing w:val="-9"/>
          <w:w w:val="105"/>
        </w:rPr>
        <w:t> </w:t>
      </w:r>
      <w:r>
        <w:rPr>
          <w:w w:val="105"/>
        </w:rPr>
        <w:t>Company's</w:t>
      </w:r>
      <w:r>
        <w:rPr>
          <w:spacing w:val="-9"/>
          <w:w w:val="105"/>
        </w:rPr>
        <w:t> </w:t>
      </w:r>
      <w:r>
        <w:rPr>
          <w:w w:val="105"/>
        </w:rPr>
        <w:t>non-U.S.</w:t>
      </w:r>
      <w:r>
        <w:rPr>
          <w:spacing w:val="-9"/>
          <w:w w:val="105"/>
        </w:rPr>
        <w:t> </w:t>
      </w:r>
      <w:r>
        <w:rPr>
          <w:w w:val="105"/>
        </w:rPr>
        <w:t>revenue</w:t>
      </w:r>
      <w:r>
        <w:rPr>
          <w:spacing w:val="-9"/>
          <w:w w:val="105"/>
        </w:rPr>
        <w:t> </w:t>
      </w:r>
      <w:r>
        <w:rPr>
          <w:w w:val="105"/>
        </w:rPr>
        <w:t>and</w:t>
      </w:r>
      <w:r>
        <w:rPr>
          <w:spacing w:val="-9"/>
          <w:w w:val="105"/>
        </w:rPr>
        <w:t> </w:t>
      </w:r>
      <w:r>
        <w:rPr>
          <w:w w:val="105"/>
        </w:rPr>
        <w:t>expenses</w:t>
      </w:r>
      <w:r>
        <w:rPr>
          <w:spacing w:val="-9"/>
          <w:w w:val="105"/>
        </w:rPr>
        <w:t> </w:t>
      </w:r>
      <w:r>
        <w:rPr>
          <w:w w:val="105"/>
        </w:rPr>
        <w:t>are</w:t>
      </w:r>
      <w:r>
        <w:rPr>
          <w:spacing w:val="-9"/>
          <w:w w:val="105"/>
        </w:rPr>
        <w:t> </w:t>
      </w:r>
      <w:r>
        <w:rPr>
          <w:w w:val="105"/>
        </w:rPr>
        <w:t>denominated</w:t>
      </w:r>
      <w:r>
        <w:rPr>
          <w:spacing w:val="-9"/>
          <w:w w:val="105"/>
        </w:rPr>
        <w:t> </w:t>
      </w:r>
      <w:r>
        <w:rPr>
          <w:w w:val="105"/>
        </w:rPr>
        <w:t>in</w:t>
      </w:r>
      <w:r>
        <w:rPr>
          <w:spacing w:val="-9"/>
          <w:w w:val="105"/>
        </w:rPr>
        <w:t> </w:t>
      </w:r>
      <w:r>
        <w:rPr>
          <w:w w:val="105"/>
        </w:rPr>
        <w:t>Japanese</w:t>
      </w:r>
      <w:r>
        <w:rPr>
          <w:spacing w:val="-9"/>
          <w:w w:val="105"/>
        </w:rPr>
        <w:t> </w:t>
      </w:r>
      <w:r>
        <w:rPr>
          <w:w w:val="105"/>
        </w:rPr>
        <w:t>yen,</w:t>
      </w:r>
      <w:r>
        <w:rPr>
          <w:spacing w:val="-9"/>
          <w:w w:val="105"/>
        </w:rPr>
        <w:t> </w:t>
      </w:r>
      <w:r>
        <w:rPr>
          <w:w w:val="105"/>
        </w:rPr>
        <w:t>South</w:t>
      </w:r>
      <w:r>
        <w:rPr>
          <w:spacing w:val="-9"/>
          <w:w w:val="105"/>
        </w:rPr>
        <w:t> </w:t>
      </w:r>
      <w:r>
        <w:rPr>
          <w:w w:val="105"/>
        </w:rPr>
        <w:t>Korean</w:t>
      </w:r>
      <w:r>
        <w:rPr>
          <w:spacing w:val="-9"/>
          <w:w w:val="105"/>
        </w:rPr>
        <w:t> </w:t>
      </w:r>
      <w:r>
        <w:rPr>
          <w:w w:val="105"/>
        </w:rPr>
        <w:t>won,</w:t>
      </w:r>
      <w:r>
        <w:rPr>
          <w:spacing w:val="-9"/>
          <w:w w:val="105"/>
        </w:rPr>
        <w:t> </w:t>
      </w:r>
      <w:r>
        <w:rPr>
          <w:w w:val="105"/>
        </w:rPr>
        <w:t>new</w:t>
      </w:r>
      <w:r>
        <w:rPr>
          <w:spacing w:val="-9"/>
          <w:w w:val="105"/>
        </w:rPr>
        <w:t> </w:t>
      </w:r>
      <w:r>
        <w:rPr>
          <w:w w:val="105"/>
        </w:rPr>
        <w:t>Taiwan</w:t>
      </w:r>
      <w:r>
        <w:rPr>
          <w:spacing w:val="-9"/>
          <w:w w:val="105"/>
        </w:rPr>
        <w:t> </w:t>
      </w:r>
      <w:r>
        <w:rPr>
          <w:w w:val="105"/>
        </w:rPr>
        <w:t>dollar,</w:t>
      </w:r>
      <w:r>
        <w:rPr>
          <w:spacing w:val="-9"/>
          <w:w w:val="105"/>
        </w:rPr>
        <w:t> </w:t>
      </w:r>
      <w:r>
        <w:rPr>
          <w:w w:val="105"/>
        </w:rPr>
        <w:t>Chinese</w:t>
      </w:r>
      <w:r>
        <w:rPr>
          <w:spacing w:val="-9"/>
          <w:w w:val="105"/>
        </w:rPr>
        <w:t> </w:t>
      </w:r>
      <w:r>
        <w:rPr>
          <w:w w:val="105"/>
        </w:rPr>
        <w:t>yuan,</w:t>
      </w:r>
      <w:r>
        <w:rPr>
          <w:spacing w:val="-9"/>
          <w:w w:val="105"/>
        </w:rPr>
        <w:t> </w:t>
      </w:r>
      <w:r>
        <w:rPr>
          <w:w w:val="105"/>
        </w:rPr>
        <w:t>and</w:t>
      </w:r>
      <w:r>
        <w:rPr>
          <w:spacing w:val="-9"/>
          <w:w w:val="105"/>
        </w:rPr>
        <w:t> </w:t>
      </w:r>
      <w:r>
        <w:rPr>
          <w:w w:val="105"/>
        </w:rPr>
        <w:t>euro. When</w:t>
      </w:r>
      <w:r>
        <w:rPr>
          <w:spacing w:val="-2"/>
          <w:w w:val="105"/>
        </w:rPr>
        <w:t> </w:t>
      </w:r>
      <w:r>
        <w:rPr>
          <w:w w:val="105"/>
        </w:rPr>
        <w:t>this</w:t>
      </w:r>
      <w:r>
        <w:rPr>
          <w:spacing w:val="-2"/>
          <w:w w:val="105"/>
        </w:rPr>
        <w:t> </w:t>
      </w:r>
      <w:r>
        <w:rPr>
          <w:w w:val="105"/>
        </w:rPr>
        <w:t>revenue</w:t>
      </w:r>
      <w:r>
        <w:rPr>
          <w:spacing w:val="-2"/>
          <w:w w:val="105"/>
        </w:rPr>
        <w:t> </w:t>
      </w:r>
      <w:r>
        <w:rPr>
          <w:w w:val="105"/>
        </w:rPr>
        <w:t>and</w:t>
      </w:r>
      <w:r>
        <w:rPr>
          <w:spacing w:val="-2"/>
          <w:w w:val="105"/>
        </w:rPr>
        <w:t> </w:t>
      </w:r>
      <w:r>
        <w:rPr>
          <w:w w:val="105"/>
        </w:rPr>
        <w:t>these expenses</w:t>
      </w:r>
      <w:r>
        <w:rPr>
          <w:spacing w:val="-2"/>
          <w:w w:val="105"/>
        </w:rPr>
        <w:t> </w:t>
      </w:r>
      <w:r>
        <w:rPr>
          <w:w w:val="105"/>
        </w:rPr>
        <w:t>are</w:t>
      </w:r>
      <w:r>
        <w:rPr>
          <w:spacing w:val="-2"/>
          <w:w w:val="105"/>
        </w:rPr>
        <w:t> </w:t>
      </w:r>
      <w:r>
        <w:rPr>
          <w:w w:val="105"/>
        </w:rPr>
        <w:t>translated</w:t>
      </w:r>
      <w:r>
        <w:rPr>
          <w:spacing w:val="-2"/>
          <w:w w:val="105"/>
        </w:rPr>
        <w:t> </w:t>
      </w:r>
      <w:r>
        <w:rPr>
          <w:w w:val="105"/>
        </w:rPr>
        <w:t>back</w:t>
      </w:r>
      <w:r>
        <w:rPr>
          <w:spacing w:val="-2"/>
          <w:w w:val="105"/>
        </w:rPr>
        <w:t> </w:t>
      </w:r>
      <w:r>
        <w:rPr>
          <w:w w:val="105"/>
        </w:rPr>
        <w:t>to</w:t>
      </w:r>
      <w:r>
        <w:rPr>
          <w:spacing w:val="-2"/>
          <w:w w:val="105"/>
        </w:rPr>
        <w:t> </w:t>
      </w:r>
      <w:r>
        <w:rPr>
          <w:w w:val="105"/>
        </w:rPr>
        <w:t>U.S.</w:t>
      </w:r>
      <w:r>
        <w:rPr>
          <w:spacing w:val="-2"/>
          <w:w w:val="105"/>
        </w:rPr>
        <w:t> </w:t>
      </w:r>
      <w:r>
        <w:rPr>
          <w:w w:val="105"/>
        </w:rPr>
        <w:t>dollars,</w:t>
      </w:r>
      <w:r>
        <w:rPr>
          <w:spacing w:val="-2"/>
          <w:w w:val="105"/>
        </w:rPr>
        <w:t> </w:t>
      </w:r>
      <w:r>
        <w:rPr>
          <w:w w:val="105"/>
        </w:rPr>
        <w:t>the</w:t>
      </w:r>
      <w:r>
        <w:rPr>
          <w:spacing w:val="-2"/>
          <w:w w:val="105"/>
        </w:rPr>
        <w:t> </w:t>
      </w:r>
      <w:r>
        <w:rPr>
          <w:w w:val="105"/>
        </w:rPr>
        <w:t>Company</w:t>
      </w:r>
      <w:r>
        <w:rPr>
          <w:spacing w:val="-2"/>
          <w:w w:val="105"/>
        </w:rPr>
        <w:t> </w:t>
      </w:r>
      <w:r>
        <w:rPr>
          <w:w w:val="105"/>
        </w:rPr>
        <w:t>is</w:t>
      </w:r>
      <w:r>
        <w:rPr>
          <w:spacing w:val="-2"/>
          <w:w w:val="105"/>
        </w:rPr>
        <w:t> </w:t>
      </w:r>
      <w:r>
        <w:rPr>
          <w:w w:val="105"/>
        </w:rPr>
        <w:t>exposed</w:t>
      </w:r>
      <w:r>
        <w:rPr>
          <w:spacing w:val="-2"/>
          <w:w w:val="105"/>
        </w:rPr>
        <w:t> </w:t>
      </w:r>
      <w:r>
        <w:rPr>
          <w:w w:val="105"/>
        </w:rPr>
        <w:t>to</w:t>
      </w:r>
      <w:r>
        <w:rPr>
          <w:spacing w:val="-2"/>
          <w:w w:val="105"/>
        </w:rPr>
        <w:t> </w:t>
      </w:r>
      <w:r>
        <w:rPr>
          <w:w w:val="105"/>
        </w:rPr>
        <w:t>foreign</w:t>
      </w:r>
      <w:r>
        <w:rPr>
          <w:spacing w:val="-2"/>
          <w:w w:val="105"/>
        </w:rPr>
        <w:t> </w:t>
      </w:r>
      <w:r>
        <w:rPr>
          <w:w w:val="105"/>
        </w:rPr>
        <w:t>exchange</w:t>
      </w:r>
      <w:r>
        <w:rPr>
          <w:spacing w:val="-2"/>
          <w:w w:val="105"/>
        </w:rPr>
        <w:t> </w:t>
      </w:r>
      <w:r>
        <w:rPr>
          <w:w w:val="105"/>
        </w:rPr>
        <w:t>rate</w:t>
      </w:r>
      <w:r>
        <w:rPr>
          <w:spacing w:val="-2"/>
          <w:w w:val="105"/>
        </w:rPr>
        <w:t> </w:t>
      </w:r>
      <w:r>
        <w:rPr>
          <w:w w:val="105"/>
        </w:rPr>
        <w:t>movements.</w:t>
      </w:r>
      <w:r>
        <w:rPr>
          <w:spacing w:val="-2"/>
          <w:w w:val="105"/>
        </w:rPr>
        <w:t> </w:t>
      </w:r>
      <w:r>
        <w:rPr>
          <w:w w:val="105"/>
        </w:rPr>
        <w:t>To</w:t>
      </w:r>
      <w:r>
        <w:rPr>
          <w:spacing w:val="-2"/>
          <w:w w:val="105"/>
        </w:rPr>
        <w:t> </w:t>
      </w:r>
      <w:r>
        <w:rPr>
          <w:w w:val="105"/>
        </w:rPr>
        <w:t>protect</w:t>
      </w:r>
      <w:r>
        <w:rPr>
          <w:spacing w:val="-2"/>
          <w:w w:val="105"/>
        </w:rPr>
        <w:t> </w:t>
      </w:r>
      <w:r>
        <w:rPr>
          <w:w w:val="105"/>
        </w:rPr>
        <w:t>translated</w:t>
      </w:r>
      <w:r>
        <w:rPr>
          <w:spacing w:val="-2"/>
          <w:w w:val="105"/>
        </w:rPr>
        <w:t> </w:t>
      </w:r>
      <w:r>
        <w:rPr>
          <w:w w:val="105"/>
        </w:rPr>
        <w:t>earnings against</w:t>
      </w:r>
      <w:r>
        <w:rPr>
          <w:spacing w:val="-2"/>
          <w:w w:val="105"/>
        </w:rPr>
        <w:t> </w:t>
      </w:r>
      <w:r>
        <w:rPr>
          <w:w w:val="105"/>
        </w:rPr>
        <w:t>movements</w:t>
      </w:r>
      <w:r>
        <w:rPr>
          <w:spacing w:val="-2"/>
          <w:w w:val="105"/>
        </w:rPr>
        <w:t> </w:t>
      </w:r>
      <w:r>
        <w:rPr>
          <w:w w:val="105"/>
        </w:rPr>
        <w:t>in</w:t>
      </w:r>
      <w:r>
        <w:rPr>
          <w:spacing w:val="-2"/>
          <w:w w:val="105"/>
        </w:rPr>
        <w:t> </w:t>
      </w:r>
      <w:r>
        <w:rPr>
          <w:w w:val="105"/>
        </w:rPr>
        <w:t>these</w:t>
      </w:r>
      <w:r>
        <w:rPr>
          <w:spacing w:val="-2"/>
          <w:w w:val="105"/>
        </w:rPr>
        <w:t> </w:t>
      </w:r>
      <w:r>
        <w:rPr>
          <w:w w:val="105"/>
        </w:rPr>
        <w:t>currencies,</w:t>
      </w:r>
      <w:r>
        <w:rPr>
          <w:spacing w:val="-2"/>
          <w:w w:val="105"/>
        </w:rPr>
        <w:t> </w:t>
      </w:r>
      <w:r>
        <w:rPr>
          <w:w w:val="105"/>
        </w:rPr>
        <w:t>the</w:t>
      </w:r>
      <w:r>
        <w:rPr>
          <w:spacing w:val="-2"/>
          <w:w w:val="105"/>
        </w:rPr>
        <w:t> </w:t>
      </w:r>
      <w:r>
        <w:rPr>
          <w:w w:val="105"/>
        </w:rPr>
        <w:t>Company</w:t>
      </w:r>
      <w:r>
        <w:rPr>
          <w:spacing w:val="-2"/>
          <w:w w:val="105"/>
        </w:rPr>
        <w:t> </w:t>
      </w:r>
      <w:r>
        <w:rPr>
          <w:w w:val="105"/>
        </w:rPr>
        <w:t>has</w:t>
      </w:r>
      <w:r>
        <w:rPr>
          <w:spacing w:val="-2"/>
          <w:w w:val="105"/>
        </w:rPr>
        <w:t> </w:t>
      </w:r>
      <w:r>
        <w:rPr>
          <w:w w:val="105"/>
        </w:rPr>
        <w:t>entered</w:t>
      </w:r>
      <w:r>
        <w:rPr>
          <w:spacing w:val="-2"/>
          <w:w w:val="105"/>
        </w:rPr>
        <w:t> </w:t>
      </w:r>
      <w:r>
        <w:rPr>
          <w:w w:val="105"/>
        </w:rPr>
        <w:t>into</w:t>
      </w:r>
      <w:r>
        <w:rPr>
          <w:spacing w:val="-2"/>
          <w:w w:val="105"/>
        </w:rPr>
        <w:t> </w:t>
      </w:r>
      <w:r>
        <w:rPr>
          <w:w w:val="105"/>
        </w:rPr>
        <w:t>a</w:t>
      </w:r>
      <w:r>
        <w:rPr>
          <w:spacing w:val="-2"/>
          <w:w w:val="105"/>
        </w:rPr>
        <w:t> </w:t>
      </w:r>
      <w:r>
        <w:rPr>
          <w:w w:val="105"/>
        </w:rPr>
        <w:t>series</w:t>
      </w:r>
      <w:r>
        <w:rPr>
          <w:spacing w:val="-2"/>
          <w:w w:val="105"/>
        </w:rPr>
        <w:t> </w:t>
      </w:r>
      <w:r>
        <w:rPr>
          <w:w w:val="105"/>
        </w:rPr>
        <w:t>of</w:t>
      </w:r>
      <w:r>
        <w:rPr>
          <w:spacing w:val="-2"/>
          <w:w w:val="105"/>
        </w:rPr>
        <w:t> </w:t>
      </w:r>
      <w:r>
        <w:rPr>
          <w:w w:val="105"/>
        </w:rPr>
        <w:t>average</w:t>
      </w:r>
      <w:r>
        <w:rPr>
          <w:spacing w:val="-2"/>
          <w:w w:val="105"/>
        </w:rPr>
        <w:t> </w:t>
      </w:r>
      <w:r>
        <w:rPr>
          <w:w w:val="105"/>
        </w:rPr>
        <w:t>rate</w:t>
      </w:r>
      <w:r>
        <w:rPr>
          <w:spacing w:val="-2"/>
          <w:w w:val="105"/>
        </w:rPr>
        <w:t> </w:t>
      </w:r>
      <w:r>
        <w:rPr>
          <w:w w:val="105"/>
        </w:rPr>
        <w:t>forwards</w:t>
      </w:r>
      <w:r>
        <w:rPr>
          <w:spacing w:val="-2"/>
          <w:w w:val="105"/>
        </w:rPr>
        <w:t> </w:t>
      </w:r>
      <w:r>
        <w:rPr>
          <w:w w:val="105"/>
        </w:rPr>
        <w:t>and</w:t>
      </w:r>
      <w:r>
        <w:rPr>
          <w:spacing w:val="-2"/>
          <w:w w:val="105"/>
        </w:rPr>
        <w:t> </w:t>
      </w:r>
      <w:r>
        <w:rPr>
          <w:w w:val="105"/>
        </w:rPr>
        <w:t>option</w:t>
      </w:r>
      <w:r>
        <w:rPr>
          <w:spacing w:val="-2"/>
          <w:w w:val="105"/>
        </w:rPr>
        <w:t> </w:t>
      </w:r>
      <w:r>
        <w:rPr>
          <w:w w:val="105"/>
        </w:rPr>
        <w:t>contracts.</w:t>
      </w:r>
      <w:r>
        <w:rPr>
          <w:spacing w:val="-2"/>
          <w:w w:val="105"/>
        </w:rPr>
        <w:t> </w:t>
      </w:r>
      <w:r>
        <w:rPr>
          <w:w w:val="105"/>
        </w:rPr>
        <w:t>Most</w:t>
      </w:r>
      <w:r>
        <w:rPr>
          <w:spacing w:val="-2"/>
          <w:w w:val="105"/>
        </w:rPr>
        <w:t> </w:t>
      </w:r>
      <w:r>
        <w:rPr>
          <w:w w:val="105"/>
        </w:rPr>
        <w:t>of</w:t>
      </w:r>
      <w:r>
        <w:rPr>
          <w:spacing w:val="-2"/>
          <w:w w:val="105"/>
        </w:rPr>
        <w:t> </w:t>
      </w:r>
      <w:r>
        <w:rPr>
          <w:w w:val="105"/>
        </w:rPr>
        <w:t>these</w:t>
      </w:r>
      <w:r>
        <w:rPr>
          <w:spacing w:val="-2"/>
          <w:w w:val="105"/>
        </w:rPr>
        <w:t> </w:t>
      </w:r>
      <w:r>
        <w:rPr>
          <w:w w:val="105"/>
        </w:rPr>
        <w:t>contracts</w:t>
      </w:r>
      <w:r>
        <w:rPr>
          <w:spacing w:val="-2"/>
          <w:w w:val="105"/>
        </w:rPr>
        <w:t> </w:t>
      </w:r>
      <w:r>
        <w:rPr>
          <w:w w:val="105"/>
        </w:rPr>
        <w:t>hedge</w:t>
      </w:r>
      <w:r>
        <w:rPr>
          <w:spacing w:val="-2"/>
          <w:w w:val="105"/>
        </w:rPr>
        <w:t> </w:t>
      </w:r>
      <w:r>
        <w:rPr>
          <w:w w:val="105"/>
        </w:rPr>
        <w:t>a</w:t>
      </w:r>
      <w:r>
        <w:rPr>
          <w:spacing w:val="-2"/>
          <w:w w:val="105"/>
        </w:rPr>
        <w:t> </w:t>
      </w:r>
      <w:r>
        <w:rPr>
          <w:w w:val="105"/>
        </w:rPr>
        <w:t>significant portion of the Company’s exposure to the Japanese yen with maturities spanning years 2022 through 2024.</w:t>
      </w:r>
    </w:p>
    <w:p>
      <w:pPr>
        <w:pStyle w:val="BodyText"/>
        <w:spacing w:before="18"/>
      </w:pPr>
    </w:p>
    <w:p>
      <w:pPr>
        <w:pStyle w:val="BodyText"/>
        <w:ind w:left="48"/>
        <w:jc w:val="center"/>
      </w:pPr>
      <w:r>
        <w:rPr>
          <w:spacing w:val="-5"/>
          <w:w w:val="105"/>
        </w:rPr>
        <w:t>102</w:t>
      </w:r>
    </w:p>
    <w:p>
      <w:pPr>
        <w:pStyle w:val="BodyText"/>
        <w:rPr>
          <w:sz w:val="6"/>
        </w:rPr>
      </w:pPr>
      <w:r>
        <w:rPr/>
        <mc:AlternateContent>
          <mc:Choice Requires="wps">
            <w:drawing>
              <wp:anchor distT="0" distB="0" distL="0" distR="0" allowOverlap="1" layoutInCell="1" locked="0" behindDoc="1" simplePos="0" relativeHeight="487728128">
                <wp:simplePos x="0" y="0"/>
                <wp:positionH relativeFrom="page">
                  <wp:posOffset>226488</wp:posOffset>
                </wp:positionH>
                <wp:positionV relativeFrom="paragraph">
                  <wp:posOffset>59051</wp:posOffset>
                </wp:positionV>
                <wp:extent cx="7312659" cy="16510"/>
                <wp:effectExtent l="0" t="0" r="0" b="0"/>
                <wp:wrapTopAndBottom/>
                <wp:docPr id="629" name="Graphic 629"/>
                <wp:cNvGraphicFramePr>
                  <a:graphicFrameLocks/>
                </wp:cNvGraphicFramePr>
                <a:graphic>
                  <a:graphicData uri="http://schemas.microsoft.com/office/word/2010/wordprocessingShape">
                    <wps:wsp>
                      <wps:cNvPr id="629" name="Graphic 629"/>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588352;mso-wrap-distance-left:0;mso-wrap-distance-right:0" id="docshape628"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pPr>
      <w:r>
        <w:rPr>
          <w:w w:val="105"/>
        </w:rPr>
        <w:t>15.</w:t>
      </w:r>
      <w:r>
        <w:rPr>
          <w:spacing w:val="21"/>
          <w:w w:val="105"/>
        </w:rPr>
        <w:t> </w:t>
      </w:r>
      <w:r>
        <w:rPr>
          <w:w w:val="105"/>
        </w:rPr>
        <w:t>Hedging</w:t>
      </w:r>
      <w:r>
        <w:rPr>
          <w:spacing w:val="-11"/>
          <w:w w:val="105"/>
        </w:rPr>
        <w:t> </w:t>
      </w:r>
      <w:r>
        <w:rPr>
          <w:w w:val="105"/>
        </w:rPr>
        <w:t>Activities</w:t>
      </w:r>
      <w:r>
        <w:rPr>
          <w:spacing w:val="-10"/>
          <w:w w:val="105"/>
        </w:rPr>
        <w:t> </w:t>
      </w:r>
      <w:r>
        <w:rPr>
          <w:spacing w:val="-2"/>
          <w:w w:val="105"/>
        </w:rPr>
        <w:t>(Continued)</w:t>
      </w:r>
    </w:p>
    <w:p>
      <w:pPr>
        <w:pStyle w:val="BodyText"/>
        <w:spacing w:before="40"/>
        <w:rPr>
          <w:b/>
        </w:rPr>
      </w:pPr>
    </w:p>
    <w:p>
      <w:pPr>
        <w:pStyle w:val="BodyText"/>
        <w:ind w:left="156"/>
      </w:pPr>
      <w:r>
        <w:rPr>
          <w:w w:val="105"/>
        </w:rPr>
        <w:t>The</w:t>
      </w:r>
      <w:r>
        <w:rPr>
          <w:spacing w:val="-10"/>
          <w:w w:val="105"/>
        </w:rPr>
        <w:t> </w:t>
      </w:r>
      <w:r>
        <w:rPr>
          <w:w w:val="105"/>
        </w:rPr>
        <w:t>following</w:t>
      </w:r>
      <w:r>
        <w:rPr>
          <w:spacing w:val="-9"/>
          <w:w w:val="105"/>
        </w:rPr>
        <w:t> </w:t>
      </w:r>
      <w:r>
        <w:rPr>
          <w:w w:val="105"/>
        </w:rPr>
        <w:t>table</w:t>
      </w:r>
      <w:r>
        <w:rPr>
          <w:spacing w:val="-10"/>
          <w:w w:val="105"/>
        </w:rPr>
        <w:t> </w:t>
      </w:r>
      <w:r>
        <w:rPr>
          <w:w w:val="105"/>
        </w:rPr>
        <w:t>summarizes</w:t>
      </w:r>
      <w:r>
        <w:rPr>
          <w:spacing w:val="-9"/>
          <w:w w:val="105"/>
        </w:rPr>
        <w:t> </w:t>
      </w:r>
      <w:r>
        <w:rPr>
          <w:w w:val="105"/>
        </w:rPr>
        <w:t>the</w:t>
      </w:r>
      <w:r>
        <w:rPr>
          <w:spacing w:val="-10"/>
          <w:w w:val="105"/>
        </w:rPr>
        <w:t> </w:t>
      </w:r>
      <w:r>
        <w:rPr>
          <w:w w:val="105"/>
        </w:rPr>
        <w:t>total</w:t>
      </w:r>
      <w:r>
        <w:rPr>
          <w:spacing w:val="-9"/>
          <w:w w:val="105"/>
        </w:rPr>
        <w:t> </w:t>
      </w:r>
      <w:r>
        <w:rPr>
          <w:w w:val="105"/>
        </w:rPr>
        <w:t>gross</w:t>
      </w:r>
      <w:r>
        <w:rPr>
          <w:spacing w:val="-10"/>
          <w:w w:val="105"/>
        </w:rPr>
        <w:t> </w:t>
      </w:r>
      <w:r>
        <w:rPr>
          <w:w w:val="105"/>
        </w:rPr>
        <w:t>notional</w:t>
      </w:r>
      <w:r>
        <w:rPr>
          <w:spacing w:val="-9"/>
          <w:w w:val="105"/>
        </w:rPr>
        <w:t> </w:t>
      </w:r>
      <w:r>
        <w:rPr>
          <w:w w:val="105"/>
        </w:rPr>
        <w:t>value</w:t>
      </w:r>
      <w:r>
        <w:rPr>
          <w:spacing w:val="-9"/>
          <w:w w:val="105"/>
        </w:rPr>
        <w:t> </w:t>
      </w:r>
      <w:r>
        <w:rPr>
          <w:w w:val="105"/>
        </w:rPr>
        <w:t>for</w:t>
      </w:r>
      <w:r>
        <w:rPr>
          <w:spacing w:val="-10"/>
          <w:w w:val="105"/>
        </w:rPr>
        <w:t> </w:t>
      </w:r>
      <w:r>
        <w:rPr>
          <w:w w:val="105"/>
        </w:rPr>
        <w:t>translated</w:t>
      </w:r>
      <w:r>
        <w:rPr>
          <w:spacing w:val="-8"/>
          <w:w w:val="105"/>
        </w:rPr>
        <w:t> </w:t>
      </w:r>
      <w:r>
        <w:rPr>
          <w:w w:val="105"/>
        </w:rPr>
        <w:t>earnings</w:t>
      </w:r>
      <w:r>
        <w:rPr>
          <w:spacing w:val="-9"/>
          <w:w w:val="105"/>
        </w:rPr>
        <w:t> </w:t>
      </w:r>
      <w:r>
        <w:rPr>
          <w:w w:val="105"/>
        </w:rPr>
        <w:t>contracts</w:t>
      </w:r>
      <w:r>
        <w:rPr>
          <w:spacing w:val="-10"/>
          <w:w w:val="105"/>
        </w:rPr>
        <w:t> </w:t>
      </w:r>
      <w:r>
        <w:rPr>
          <w:w w:val="105"/>
        </w:rPr>
        <w:t>at</w:t>
      </w:r>
      <w:r>
        <w:rPr>
          <w:spacing w:val="-7"/>
          <w:w w:val="105"/>
        </w:rPr>
        <w:t> </w:t>
      </w:r>
      <w:r>
        <w:rPr>
          <w:w w:val="105"/>
        </w:rPr>
        <w:t>December</w:t>
      </w:r>
      <w:r>
        <w:rPr>
          <w:spacing w:val="-10"/>
          <w:w w:val="105"/>
        </w:rPr>
        <w:t> </w:t>
      </w:r>
      <w:r>
        <w:rPr>
          <w:w w:val="105"/>
        </w:rPr>
        <w:t>31,</w:t>
      </w:r>
      <w:r>
        <w:rPr>
          <w:spacing w:val="-9"/>
          <w:w w:val="105"/>
        </w:rPr>
        <w:t> </w:t>
      </w:r>
      <w:r>
        <w:rPr>
          <w:w w:val="105"/>
        </w:rPr>
        <w:t>2021</w:t>
      </w:r>
      <w:r>
        <w:rPr>
          <w:spacing w:val="-9"/>
          <w:w w:val="105"/>
        </w:rPr>
        <w:t> </w:t>
      </w:r>
      <w:r>
        <w:rPr>
          <w:w w:val="105"/>
        </w:rPr>
        <w:t>and</w:t>
      </w:r>
      <w:r>
        <w:rPr>
          <w:spacing w:val="-9"/>
          <w:w w:val="105"/>
        </w:rPr>
        <w:t> </w:t>
      </w:r>
      <w:r>
        <w:rPr>
          <w:w w:val="105"/>
        </w:rPr>
        <w:t>2020</w:t>
      </w:r>
      <w:r>
        <w:rPr>
          <w:spacing w:val="-10"/>
          <w:w w:val="105"/>
        </w:rPr>
        <w:t> </w:t>
      </w:r>
      <w:r>
        <w:rPr>
          <w:w w:val="105"/>
        </w:rPr>
        <w:t>(in</w:t>
      </w:r>
      <w:r>
        <w:rPr>
          <w:spacing w:val="-9"/>
          <w:w w:val="105"/>
        </w:rPr>
        <w:t> </w:t>
      </w:r>
      <w:r>
        <w:rPr>
          <w:spacing w:val="-2"/>
          <w:w w:val="105"/>
        </w:rPr>
        <w:t>billions):</w:t>
      </w:r>
    </w:p>
    <w:p>
      <w:pPr>
        <w:pStyle w:val="BodyText"/>
        <w:spacing w:before="206" w:after="1"/>
        <w:rPr>
          <w:sz w:val="2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98"/>
        <w:gridCol w:w="3191"/>
        <w:gridCol w:w="772"/>
        <w:gridCol w:w="511"/>
        <w:gridCol w:w="455"/>
        <w:gridCol w:w="785"/>
        <w:gridCol w:w="403"/>
      </w:tblGrid>
      <w:tr>
        <w:trPr>
          <w:trHeight w:val="200" w:hRule="atLeast"/>
        </w:trPr>
        <w:tc>
          <w:tcPr>
            <w:tcW w:w="11515" w:type="dxa"/>
            <w:gridSpan w:val="7"/>
            <w:tcBorders>
              <w:top w:val="single" w:sz="12" w:space="0" w:color="000000"/>
            </w:tcBorders>
            <w:shd w:val="clear" w:color="auto" w:fill="CCEDFF"/>
          </w:tcPr>
          <w:p>
            <w:pPr>
              <w:pStyle w:val="TableParagraph"/>
              <w:spacing w:line="179" w:lineRule="exact" w:before="1"/>
              <w:ind w:right="764"/>
              <w:jc w:val="right"/>
              <w:rPr>
                <w:sz w:val="16"/>
              </w:rPr>
            </w:pPr>
            <w:r>
              <w:rPr>
                <w:w w:val="105"/>
                <w:sz w:val="16"/>
              </w:rPr>
              <w:t>Year</w:t>
            </w:r>
            <w:r>
              <w:rPr>
                <w:spacing w:val="-12"/>
                <w:w w:val="105"/>
                <w:sz w:val="16"/>
              </w:rPr>
              <w:t> </w:t>
            </w:r>
            <w:r>
              <w:rPr>
                <w:w w:val="105"/>
                <w:sz w:val="16"/>
              </w:rPr>
              <w:t>ended</w:t>
            </w:r>
            <w:r>
              <w:rPr>
                <w:spacing w:val="-10"/>
                <w:w w:val="105"/>
                <w:sz w:val="16"/>
              </w:rPr>
              <w:t> </w:t>
            </w:r>
            <w:r>
              <w:rPr>
                <w:w w:val="105"/>
                <w:sz w:val="16"/>
              </w:rPr>
              <w:t>December</w:t>
            </w:r>
            <w:r>
              <w:rPr>
                <w:spacing w:val="-10"/>
                <w:w w:val="105"/>
                <w:sz w:val="16"/>
              </w:rPr>
              <w:t> </w:t>
            </w:r>
            <w:r>
              <w:rPr>
                <w:spacing w:val="-5"/>
                <w:w w:val="105"/>
                <w:sz w:val="16"/>
              </w:rPr>
              <w:t>31,</w:t>
            </w:r>
          </w:p>
        </w:tc>
      </w:tr>
      <w:tr>
        <w:trPr>
          <w:trHeight w:val="214" w:hRule="atLeast"/>
        </w:trPr>
        <w:tc>
          <w:tcPr>
            <w:tcW w:w="5398" w:type="dxa"/>
            <w:tcBorders>
              <w:bottom w:val="single" w:sz="6" w:space="0" w:color="000000"/>
            </w:tcBorders>
          </w:tcPr>
          <w:p>
            <w:pPr>
              <w:pStyle w:val="TableParagraph"/>
              <w:rPr>
                <w:sz w:val="14"/>
              </w:rPr>
            </w:pPr>
          </w:p>
        </w:tc>
        <w:tc>
          <w:tcPr>
            <w:tcW w:w="3191" w:type="dxa"/>
            <w:tcBorders>
              <w:bottom w:val="single" w:sz="6" w:space="0" w:color="000000"/>
            </w:tcBorders>
          </w:tcPr>
          <w:p>
            <w:pPr>
              <w:pStyle w:val="TableParagraph"/>
              <w:rPr>
                <w:sz w:val="14"/>
              </w:rPr>
            </w:pPr>
          </w:p>
        </w:tc>
        <w:tc>
          <w:tcPr>
            <w:tcW w:w="772" w:type="dxa"/>
            <w:tcBorders>
              <w:top w:val="single" w:sz="6" w:space="0" w:color="000000"/>
              <w:bottom w:val="single" w:sz="6" w:space="0" w:color="000000"/>
            </w:tcBorders>
          </w:tcPr>
          <w:p>
            <w:pPr>
              <w:pStyle w:val="TableParagraph"/>
              <w:spacing w:line="179" w:lineRule="exact" w:before="15"/>
              <w:ind w:left="251"/>
              <w:rPr>
                <w:b/>
                <w:sz w:val="16"/>
              </w:rPr>
            </w:pPr>
            <w:r>
              <w:rPr>
                <w:b/>
                <w:spacing w:val="-4"/>
                <w:w w:val="105"/>
                <w:sz w:val="16"/>
              </w:rPr>
              <w:t>2021</w:t>
            </w:r>
          </w:p>
        </w:tc>
        <w:tc>
          <w:tcPr>
            <w:tcW w:w="511" w:type="dxa"/>
            <w:tcBorders>
              <w:top w:val="single" w:sz="6" w:space="0" w:color="000000"/>
              <w:bottom w:val="single" w:sz="6" w:space="0" w:color="000000"/>
            </w:tcBorders>
          </w:tcPr>
          <w:p>
            <w:pPr>
              <w:pStyle w:val="TableParagraph"/>
              <w:rPr>
                <w:sz w:val="14"/>
              </w:rPr>
            </w:pPr>
          </w:p>
        </w:tc>
        <w:tc>
          <w:tcPr>
            <w:tcW w:w="455" w:type="dxa"/>
            <w:tcBorders>
              <w:top w:val="single" w:sz="6" w:space="0" w:color="000000"/>
              <w:bottom w:val="single" w:sz="6" w:space="0" w:color="000000"/>
            </w:tcBorders>
          </w:tcPr>
          <w:p>
            <w:pPr>
              <w:pStyle w:val="TableParagraph"/>
              <w:rPr>
                <w:sz w:val="14"/>
              </w:rPr>
            </w:pPr>
          </w:p>
        </w:tc>
        <w:tc>
          <w:tcPr>
            <w:tcW w:w="785" w:type="dxa"/>
            <w:tcBorders>
              <w:top w:val="single" w:sz="6" w:space="0" w:color="000000"/>
              <w:bottom w:val="single" w:sz="6" w:space="0" w:color="000000"/>
            </w:tcBorders>
          </w:tcPr>
          <w:p>
            <w:pPr>
              <w:pStyle w:val="TableParagraph"/>
              <w:spacing w:line="179" w:lineRule="exact" w:before="15"/>
              <w:ind w:left="258"/>
              <w:rPr>
                <w:sz w:val="16"/>
              </w:rPr>
            </w:pPr>
            <w:r>
              <w:rPr>
                <w:spacing w:val="-4"/>
                <w:w w:val="105"/>
                <w:sz w:val="16"/>
              </w:rPr>
              <w:t>2020</w:t>
            </w:r>
          </w:p>
        </w:tc>
        <w:tc>
          <w:tcPr>
            <w:tcW w:w="403" w:type="dxa"/>
            <w:tcBorders>
              <w:top w:val="single" w:sz="6" w:space="0" w:color="000000"/>
              <w:bottom w:val="single" w:sz="6" w:space="0" w:color="000000"/>
            </w:tcBorders>
          </w:tcPr>
          <w:p>
            <w:pPr>
              <w:pStyle w:val="TableParagraph"/>
              <w:rPr>
                <w:sz w:val="14"/>
              </w:rPr>
            </w:pPr>
          </w:p>
        </w:tc>
      </w:tr>
      <w:tr>
        <w:trPr>
          <w:trHeight w:val="202" w:hRule="atLeast"/>
        </w:trPr>
        <w:tc>
          <w:tcPr>
            <w:tcW w:w="5398" w:type="dxa"/>
            <w:tcBorders>
              <w:top w:val="single" w:sz="6" w:space="0" w:color="000000"/>
            </w:tcBorders>
            <w:shd w:val="clear" w:color="auto" w:fill="CCEDFF"/>
          </w:tcPr>
          <w:p>
            <w:pPr>
              <w:pStyle w:val="TableParagraph"/>
              <w:spacing w:line="180" w:lineRule="exact" w:before="2"/>
              <w:rPr>
                <w:sz w:val="16"/>
              </w:rPr>
            </w:pPr>
            <w:r>
              <w:rPr>
                <w:w w:val="105"/>
                <w:sz w:val="16"/>
              </w:rPr>
              <w:t>Average</w:t>
            </w:r>
            <w:r>
              <w:rPr>
                <w:spacing w:val="-10"/>
                <w:w w:val="105"/>
                <w:sz w:val="16"/>
              </w:rPr>
              <w:t> </w:t>
            </w:r>
            <w:r>
              <w:rPr>
                <w:w w:val="105"/>
                <w:sz w:val="16"/>
              </w:rPr>
              <w:t>rate</w:t>
            </w:r>
            <w:r>
              <w:rPr>
                <w:spacing w:val="-10"/>
                <w:w w:val="105"/>
                <w:sz w:val="16"/>
              </w:rPr>
              <w:t> </w:t>
            </w:r>
            <w:r>
              <w:rPr>
                <w:w w:val="105"/>
                <w:sz w:val="16"/>
              </w:rPr>
              <w:t>forward</w:t>
            </w:r>
            <w:r>
              <w:rPr>
                <w:spacing w:val="-9"/>
                <w:w w:val="105"/>
                <w:sz w:val="16"/>
              </w:rPr>
              <w:t> </w:t>
            </w:r>
            <w:r>
              <w:rPr>
                <w:spacing w:val="-2"/>
                <w:w w:val="105"/>
                <w:sz w:val="16"/>
              </w:rPr>
              <w:t>contracts:</w:t>
            </w:r>
          </w:p>
        </w:tc>
        <w:tc>
          <w:tcPr>
            <w:tcW w:w="3191" w:type="dxa"/>
            <w:tcBorders>
              <w:top w:val="single" w:sz="6" w:space="0" w:color="000000"/>
            </w:tcBorders>
            <w:shd w:val="clear" w:color="auto" w:fill="CCEDFF"/>
          </w:tcPr>
          <w:p>
            <w:pPr>
              <w:pStyle w:val="TableParagraph"/>
              <w:rPr>
                <w:sz w:val="14"/>
              </w:rPr>
            </w:pPr>
          </w:p>
        </w:tc>
        <w:tc>
          <w:tcPr>
            <w:tcW w:w="772" w:type="dxa"/>
            <w:tcBorders>
              <w:top w:val="single" w:sz="6" w:space="0" w:color="000000"/>
            </w:tcBorders>
            <w:shd w:val="clear" w:color="auto" w:fill="CCEDFF"/>
          </w:tcPr>
          <w:p>
            <w:pPr>
              <w:pStyle w:val="TableParagraph"/>
              <w:rPr>
                <w:sz w:val="14"/>
              </w:rPr>
            </w:pPr>
          </w:p>
        </w:tc>
        <w:tc>
          <w:tcPr>
            <w:tcW w:w="511" w:type="dxa"/>
            <w:tcBorders>
              <w:top w:val="single" w:sz="6" w:space="0" w:color="000000"/>
            </w:tcBorders>
            <w:shd w:val="clear" w:color="auto" w:fill="CCEDFF"/>
          </w:tcPr>
          <w:p>
            <w:pPr>
              <w:pStyle w:val="TableParagraph"/>
              <w:rPr>
                <w:sz w:val="14"/>
              </w:rPr>
            </w:pPr>
          </w:p>
        </w:tc>
        <w:tc>
          <w:tcPr>
            <w:tcW w:w="455" w:type="dxa"/>
            <w:tcBorders>
              <w:top w:val="single" w:sz="6" w:space="0" w:color="000000"/>
            </w:tcBorders>
            <w:shd w:val="clear" w:color="auto" w:fill="CCEDFF"/>
          </w:tcPr>
          <w:p>
            <w:pPr>
              <w:pStyle w:val="TableParagraph"/>
              <w:rPr>
                <w:sz w:val="14"/>
              </w:rPr>
            </w:pPr>
          </w:p>
        </w:tc>
        <w:tc>
          <w:tcPr>
            <w:tcW w:w="785" w:type="dxa"/>
            <w:tcBorders>
              <w:top w:val="single" w:sz="6" w:space="0" w:color="000000"/>
            </w:tcBorders>
            <w:shd w:val="clear" w:color="auto" w:fill="CCEDFF"/>
          </w:tcPr>
          <w:p>
            <w:pPr>
              <w:pStyle w:val="TableParagraph"/>
              <w:rPr>
                <w:sz w:val="14"/>
              </w:rPr>
            </w:pPr>
          </w:p>
        </w:tc>
        <w:tc>
          <w:tcPr>
            <w:tcW w:w="403" w:type="dxa"/>
            <w:tcBorders>
              <w:top w:val="single" w:sz="6" w:space="0" w:color="000000"/>
            </w:tcBorders>
            <w:shd w:val="clear" w:color="auto" w:fill="CCEDFF"/>
          </w:tcPr>
          <w:p>
            <w:pPr>
              <w:pStyle w:val="TableParagraph"/>
              <w:rPr>
                <w:sz w:val="14"/>
              </w:rPr>
            </w:pPr>
          </w:p>
        </w:tc>
      </w:tr>
      <w:tr>
        <w:trPr>
          <w:trHeight w:val="203" w:hRule="atLeast"/>
        </w:trPr>
        <w:tc>
          <w:tcPr>
            <w:tcW w:w="5398" w:type="dxa"/>
          </w:tcPr>
          <w:p>
            <w:pPr>
              <w:pStyle w:val="TableParagraph"/>
              <w:spacing w:line="180" w:lineRule="exact" w:before="3"/>
              <w:ind w:left="152"/>
              <w:rPr>
                <w:sz w:val="16"/>
              </w:rPr>
            </w:pPr>
            <w:r>
              <w:rPr>
                <w:sz w:val="16"/>
              </w:rPr>
              <w:t>Japanese</w:t>
            </w:r>
            <w:r>
              <w:rPr>
                <w:spacing w:val="26"/>
                <w:sz w:val="16"/>
              </w:rPr>
              <w:t> </w:t>
            </w:r>
            <w:r>
              <w:rPr>
                <w:sz w:val="16"/>
              </w:rPr>
              <w:t>yen-</w:t>
            </w:r>
            <w:r>
              <w:rPr>
                <w:spacing w:val="-2"/>
                <w:sz w:val="16"/>
              </w:rPr>
              <w:t>denominated</w:t>
            </w:r>
          </w:p>
        </w:tc>
        <w:tc>
          <w:tcPr>
            <w:tcW w:w="3191" w:type="dxa"/>
          </w:tcPr>
          <w:p>
            <w:pPr>
              <w:pStyle w:val="TableParagraph"/>
              <w:spacing w:line="180" w:lineRule="exact" w:before="3"/>
              <w:ind w:right="249"/>
              <w:jc w:val="right"/>
              <w:rPr>
                <w:b/>
                <w:sz w:val="16"/>
              </w:rPr>
            </w:pPr>
            <w:r>
              <w:rPr>
                <w:b/>
                <w:spacing w:val="-10"/>
                <w:w w:val="105"/>
                <w:sz w:val="16"/>
              </w:rPr>
              <w:t>$</w:t>
            </w:r>
          </w:p>
        </w:tc>
        <w:tc>
          <w:tcPr>
            <w:tcW w:w="772" w:type="dxa"/>
          </w:tcPr>
          <w:p>
            <w:pPr>
              <w:pStyle w:val="TableParagraph"/>
              <w:rPr>
                <w:sz w:val="14"/>
              </w:rPr>
            </w:pPr>
          </w:p>
        </w:tc>
        <w:tc>
          <w:tcPr>
            <w:tcW w:w="511" w:type="dxa"/>
          </w:tcPr>
          <w:p>
            <w:pPr>
              <w:pStyle w:val="TableParagraph"/>
              <w:spacing w:line="180" w:lineRule="exact" w:before="3"/>
              <w:ind w:left="75"/>
              <w:jc w:val="center"/>
              <w:rPr>
                <w:b/>
                <w:sz w:val="16"/>
              </w:rPr>
            </w:pPr>
            <w:r>
              <w:rPr>
                <w:b/>
                <w:spacing w:val="-5"/>
                <w:w w:val="105"/>
                <w:sz w:val="16"/>
              </w:rPr>
              <w:t>2.9</w:t>
            </w:r>
          </w:p>
        </w:tc>
        <w:tc>
          <w:tcPr>
            <w:tcW w:w="455" w:type="dxa"/>
          </w:tcPr>
          <w:p>
            <w:pPr>
              <w:pStyle w:val="TableParagraph"/>
              <w:spacing w:line="180" w:lineRule="exact" w:before="3"/>
              <w:ind w:left="114"/>
              <w:rPr>
                <w:sz w:val="16"/>
              </w:rPr>
            </w:pPr>
            <w:r>
              <w:rPr>
                <w:spacing w:val="-10"/>
                <w:w w:val="105"/>
                <w:sz w:val="16"/>
              </w:rPr>
              <w:t>$</w:t>
            </w:r>
          </w:p>
        </w:tc>
        <w:tc>
          <w:tcPr>
            <w:tcW w:w="785" w:type="dxa"/>
          </w:tcPr>
          <w:p>
            <w:pPr>
              <w:pStyle w:val="TableParagraph"/>
              <w:rPr>
                <w:sz w:val="14"/>
              </w:rPr>
            </w:pPr>
          </w:p>
        </w:tc>
        <w:tc>
          <w:tcPr>
            <w:tcW w:w="403" w:type="dxa"/>
          </w:tcPr>
          <w:p>
            <w:pPr>
              <w:pStyle w:val="TableParagraph"/>
              <w:spacing w:line="180" w:lineRule="exact" w:before="3"/>
              <w:ind w:right="-15"/>
              <w:jc w:val="right"/>
              <w:rPr>
                <w:sz w:val="16"/>
              </w:rPr>
            </w:pPr>
            <w:r>
              <w:rPr>
                <w:spacing w:val="-5"/>
                <w:w w:val="105"/>
                <w:sz w:val="16"/>
              </w:rPr>
              <w:t>4.5</w:t>
            </w:r>
          </w:p>
        </w:tc>
      </w:tr>
      <w:tr>
        <w:trPr>
          <w:trHeight w:val="203" w:hRule="atLeast"/>
        </w:trPr>
        <w:tc>
          <w:tcPr>
            <w:tcW w:w="5398" w:type="dxa"/>
            <w:shd w:val="clear" w:color="auto" w:fill="CCEDFF"/>
          </w:tcPr>
          <w:p>
            <w:pPr>
              <w:pStyle w:val="TableParagraph"/>
              <w:spacing w:line="180" w:lineRule="exact" w:before="3"/>
              <w:ind w:left="152"/>
              <w:rPr>
                <w:sz w:val="16"/>
              </w:rPr>
            </w:pPr>
            <w:r>
              <w:rPr>
                <w:sz w:val="16"/>
              </w:rPr>
              <w:t>South</w:t>
            </w:r>
            <w:r>
              <w:rPr>
                <w:spacing w:val="18"/>
                <w:sz w:val="16"/>
              </w:rPr>
              <w:t> </w:t>
            </w:r>
            <w:r>
              <w:rPr>
                <w:sz w:val="16"/>
              </w:rPr>
              <w:t>Korean</w:t>
            </w:r>
            <w:r>
              <w:rPr>
                <w:spacing w:val="19"/>
                <w:sz w:val="16"/>
              </w:rPr>
              <w:t> </w:t>
            </w:r>
            <w:r>
              <w:rPr>
                <w:sz w:val="16"/>
              </w:rPr>
              <w:t>won-</w:t>
            </w:r>
            <w:r>
              <w:rPr>
                <w:spacing w:val="-2"/>
                <w:sz w:val="16"/>
              </w:rPr>
              <w:t>denominated</w:t>
            </w:r>
          </w:p>
        </w:tc>
        <w:tc>
          <w:tcPr>
            <w:tcW w:w="3191" w:type="dxa"/>
            <w:shd w:val="clear" w:color="auto" w:fill="CCEDFF"/>
          </w:tcPr>
          <w:p>
            <w:pPr>
              <w:pStyle w:val="TableParagraph"/>
              <w:rPr>
                <w:sz w:val="14"/>
              </w:rPr>
            </w:pPr>
          </w:p>
        </w:tc>
        <w:tc>
          <w:tcPr>
            <w:tcW w:w="772" w:type="dxa"/>
            <w:shd w:val="clear" w:color="auto" w:fill="CCEDFF"/>
          </w:tcPr>
          <w:p>
            <w:pPr>
              <w:pStyle w:val="TableParagraph"/>
              <w:rPr>
                <w:sz w:val="14"/>
              </w:rPr>
            </w:pPr>
          </w:p>
        </w:tc>
        <w:tc>
          <w:tcPr>
            <w:tcW w:w="511" w:type="dxa"/>
            <w:shd w:val="clear" w:color="auto" w:fill="CCEDFF"/>
          </w:tcPr>
          <w:p>
            <w:pPr>
              <w:pStyle w:val="TableParagraph"/>
              <w:spacing w:line="180" w:lineRule="exact" w:before="3"/>
              <w:ind w:left="75"/>
              <w:jc w:val="center"/>
              <w:rPr>
                <w:b/>
                <w:sz w:val="16"/>
              </w:rPr>
            </w:pPr>
            <w:r>
              <w:rPr>
                <w:b/>
                <w:spacing w:val="-5"/>
                <w:w w:val="105"/>
                <w:sz w:val="16"/>
              </w:rPr>
              <w:t>1.2</w:t>
            </w:r>
          </w:p>
        </w:tc>
        <w:tc>
          <w:tcPr>
            <w:tcW w:w="455" w:type="dxa"/>
            <w:shd w:val="clear" w:color="auto" w:fill="CCEDFF"/>
          </w:tcPr>
          <w:p>
            <w:pPr>
              <w:pStyle w:val="TableParagraph"/>
              <w:rPr>
                <w:sz w:val="14"/>
              </w:rPr>
            </w:pPr>
          </w:p>
        </w:tc>
        <w:tc>
          <w:tcPr>
            <w:tcW w:w="785" w:type="dxa"/>
            <w:shd w:val="clear" w:color="auto" w:fill="CCEDFF"/>
          </w:tcPr>
          <w:p>
            <w:pPr>
              <w:pStyle w:val="TableParagraph"/>
              <w:rPr>
                <w:sz w:val="14"/>
              </w:rPr>
            </w:pPr>
          </w:p>
        </w:tc>
        <w:tc>
          <w:tcPr>
            <w:tcW w:w="403" w:type="dxa"/>
            <w:shd w:val="clear" w:color="auto" w:fill="CCEDFF"/>
          </w:tcPr>
          <w:p>
            <w:pPr>
              <w:pStyle w:val="TableParagraph"/>
              <w:spacing w:line="180" w:lineRule="exact" w:before="3"/>
              <w:ind w:right="-15"/>
              <w:jc w:val="right"/>
              <w:rPr>
                <w:sz w:val="16"/>
              </w:rPr>
            </w:pPr>
            <w:r>
              <w:rPr>
                <w:spacing w:val="-5"/>
                <w:w w:val="105"/>
                <w:sz w:val="16"/>
              </w:rPr>
              <w:t>0.4</w:t>
            </w:r>
          </w:p>
        </w:tc>
      </w:tr>
      <w:tr>
        <w:trPr>
          <w:trHeight w:val="203" w:hRule="atLeast"/>
        </w:trPr>
        <w:tc>
          <w:tcPr>
            <w:tcW w:w="5398" w:type="dxa"/>
          </w:tcPr>
          <w:p>
            <w:pPr>
              <w:pStyle w:val="TableParagraph"/>
              <w:spacing w:line="180" w:lineRule="exact" w:before="3"/>
              <w:ind w:left="152"/>
              <w:rPr>
                <w:sz w:val="16"/>
              </w:rPr>
            </w:pPr>
            <w:r>
              <w:rPr>
                <w:sz w:val="16"/>
              </w:rPr>
              <w:t>Euro-</w:t>
            </w:r>
            <w:r>
              <w:rPr>
                <w:spacing w:val="-2"/>
                <w:sz w:val="16"/>
              </w:rPr>
              <w:t>denominated</w:t>
            </w:r>
          </w:p>
        </w:tc>
        <w:tc>
          <w:tcPr>
            <w:tcW w:w="3191" w:type="dxa"/>
          </w:tcPr>
          <w:p>
            <w:pPr>
              <w:pStyle w:val="TableParagraph"/>
              <w:rPr>
                <w:sz w:val="14"/>
              </w:rPr>
            </w:pPr>
          </w:p>
        </w:tc>
        <w:tc>
          <w:tcPr>
            <w:tcW w:w="772" w:type="dxa"/>
          </w:tcPr>
          <w:p>
            <w:pPr>
              <w:pStyle w:val="TableParagraph"/>
              <w:rPr>
                <w:sz w:val="14"/>
              </w:rPr>
            </w:pPr>
          </w:p>
        </w:tc>
        <w:tc>
          <w:tcPr>
            <w:tcW w:w="511" w:type="dxa"/>
          </w:tcPr>
          <w:p>
            <w:pPr>
              <w:pStyle w:val="TableParagraph"/>
              <w:spacing w:line="180" w:lineRule="exact" w:before="3"/>
              <w:ind w:left="75"/>
              <w:jc w:val="center"/>
              <w:rPr>
                <w:b/>
                <w:sz w:val="16"/>
              </w:rPr>
            </w:pPr>
            <w:r>
              <w:rPr>
                <w:b/>
                <w:spacing w:val="-5"/>
                <w:w w:val="105"/>
                <w:sz w:val="16"/>
              </w:rPr>
              <w:t>0.2</w:t>
            </w:r>
          </w:p>
        </w:tc>
        <w:tc>
          <w:tcPr>
            <w:tcW w:w="455" w:type="dxa"/>
          </w:tcPr>
          <w:p>
            <w:pPr>
              <w:pStyle w:val="TableParagraph"/>
              <w:rPr>
                <w:sz w:val="14"/>
              </w:rPr>
            </w:pPr>
          </w:p>
        </w:tc>
        <w:tc>
          <w:tcPr>
            <w:tcW w:w="785" w:type="dxa"/>
          </w:tcPr>
          <w:p>
            <w:pPr>
              <w:pStyle w:val="TableParagraph"/>
              <w:rPr>
                <w:sz w:val="14"/>
              </w:rPr>
            </w:pPr>
          </w:p>
        </w:tc>
        <w:tc>
          <w:tcPr>
            <w:tcW w:w="403" w:type="dxa"/>
          </w:tcPr>
          <w:p>
            <w:pPr>
              <w:pStyle w:val="TableParagraph"/>
              <w:spacing w:line="180" w:lineRule="exact" w:before="3"/>
              <w:ind w:right="-15"/>
              <w:jc w:val="right"/>
              <w:rPr>
                <w:sz w:val="16"/>
              </w:rPr>
            </w:pPr>
            <w:r>
              <w:rPr>
                <w:spacing w:val="-5"/>
                <w:w w:val="105"/>
                <w:sz w:val="16"/>
              </w:rPr>
              <w:t>0.5</w:t>
            </w:r>
          </w:p>
        </w:tc>
      </w:tr>
      <w:tr>
        <w:trPr>
          <w:trHeight w:val="203" w:hRule="atLeast"/>
        </w:trPr>
        <w:tc>
          <w:tcPr>
            <w:tcW w:w="5398" w:type="dxa"/>
            <w:shd w:val="clear" w:color="auto" w:fill="CCEDFF"/>
          </w:tcPr>
          <w:p>
            <w:pPr>
              <w:pStyle w:val="TableParagraph"/>
              <w:spacing w:line="184" w:lineRule="exact"/>
              <w:ind w:left="152"/>
              <w:rPr>
                <w:sz w:val="14"/>
              </w:rPr>
            </w:pPr>
            <w:r>
              <w:rPr>
                <w:sz w:val="16"/>
              </w:rPr>
              <w:t>Other</w:t>
            </w:r>
            <w:r>
              <w:rPr>
                <w:spacing w:val="15"/>
                <w:sz w:val="16"/>
              </w:rPr>
              <w:t> </w:t>
            </w:r>
            <w:r>
              <w:rPr>
                <w:sz w:val="16"/>
              </w:rPr>
              <w:t>foreign</w:t>
            </w:r>
            <w:r>
              <w:rPr>
                <w:spacing w:val="16"/>
                <w:sz w:val="16"/>
              </w:rPr>
              <w:t> </w:t>
            </w:r>
            <w:r>
              <w:rPr>
                <w:sz w:val="16"/>
              </w:rPr>
              <w:t>currencies</w:t>
            </w:r>
            <w:r>
              <w:rPr>
                <w:spacing w:val="15"/>
                <w:sz w:val="16"/>
              </w:rPr>
              <w:t> </w:t>
            </w:r>
            <w:r>
              <w:rPr>
                <w:spacing w:val="-5"/>
                <w:position w:val="3"/>
                <w:sz w:val="14"/>
              </w:rPr>
              <w:t>(1)</w:t>
            </w:r>
          </w:p>
        </w:tc>
        <w:tc>
          <w:tcPr>
            <w:tcW w:w="3191" w:type="dxa"/>
            <w:shd w:val="clear" w:color="auto" w:fill="CCEDFF"/>
          </w:tcPr>
          <w:p>
            <w:pPr>
              <w:pStyle w:val="TableParagraph"/>
              <w:rPr>
                <w:sz w:val="14"/>
              </w:rPr>
            </w:pPr>
          </w:p>
        </w:tc>
        <w:tc>
          <w:tcPr>
            <w:tcW w:w="772" w:type="dxa"/>
            <w:shd w:val="clear" w:color="auto" w:fill="CCEDFF"/>
          </w:tcPr>
          <w:p>
            <w:pPr>
              <w:pStyle w:val="TableParagraph"/>
              <w:rPr>
                <w:sz w:val="14"/>
              </w:rPr>
            </w:pPr>
          </w:p>
        </w:tc>
        <w:tc>
          <w:tcPr>
            <w:tcW w:w="511" w:type="dxa"/>
            <w:shd w:val="clear" w:color="auto" w:fill="CCEDFF"/>
          </w:tcPr>
          <w:p>
            <w:pPr>
              <w:pStyle w:val="TableParagraph"/>
              <w:spacing w:line="180" w:lineRule="exact" w:before="3"/>
              <w:ind w:left="75"/>
              <w:jc w:val="center"/>
              <w:rPr>
                <w:b/>
                <w:sz w:val="16"/>
              </w:rPr>
            </w:pPr>
            <w:r>
              <w:rPr>
                <w:b/>
                <w:spacing w:val="-5"/>
                <w:w w:val="105"/>
                <w:sz w:val="16"/>
              </w:rPr>
              <w:t>0.1</w:t>
            </w:r>
          </w:p>
        </w:tc>
        <w:tc>
          <w:tcPr>
            <w:tcW w:w="455" w:type="dxa"/>
            <w:shd w:val="clear" w:color="auto" w:fill="CCEDFF"/>
          </w:tcPr>
          <w:p>
            <w:pPr>
              <w:pStyle w:val="TableParagraph"/>
              <w:rPr>
                <w:sz w:val="14"/>
              </w:rPr>
            </w:pPr>
          </w:p>
        </w:tc>
        <w:tc>
          <w:tcPr>
            <w:tcW w:w="785" w:type="dxa"/>
            <w:shd w:val="clear" w:color="auto" w:fill="CCEDFF"/>
          </w:tcPr>
          <w:p>
            <w:pPr>
              <w:pStyle w:val="TableParagraph"/>
              <w:rPr>
                <w:sz w:val="14"/>
              </w:rPr>
            </w:pPr>
          </w:p>
        </w:tc>
        <w:tc>
          <w:tcPr>
            <w:tcW w:w="403" w:type="dxa"/>
            <w:shd w:val="clear" w:color="auto" w:fill="CCEDFF"/>
          </w:tcPr>
          <w:p>
            <w:pPr>
              <w:pStyle w:val="TableParagraph"/>
              <w:spacing w:line="180" w:lineRule="exact" w:before="3"/>
              <w:ind w:right="-15"/>
              <w:jc w:val="right"/>
              <w:rPr>
                <w:sz w:val="16"/>
              </w:rPr>
            </w:pPr>
            <w:r>
              <w:rPr>
                <w:spacing w:val="-5"/>
                <w:w w:val="105"/>
                <w:sz w:val="16"/>
              </w:rPr>
              <w:t>0.1</w:t>
            </w:r>
          </w:p>
        </w:tc>
      </w:tr>
      <w:tr>
        <w:trPr>
          <w:trHeight w:val="203" w:hRule="atLeast"/>
        </w:trPr>
        <w:tc>
          <w:tcPr>
            <w:tcW w:w="5398" w:type="dxa"/>
          </w:tcPr>
          <w:p>
            <w:pPr>
              <w:pStyle w:val="TableParagraph"/>
              <w:spacing w:line="180" w:lineRule="exact" w:before="3"/>
              <w:rPr>
                <w:sz w:val="16"/>
              </w:rPr>
            </w:pPr>
            <w:r>
              <w:rPr>
                <w:w w:val="105"/>
                <w:sz w:val="16"/>
              </w:rPr>
              <w:t>Option</w:t>
            </w:r>
            <w:r>
              <w:rPr>
                <w:spacing w:val="-10"/>
                <w:w w:val="105"/>
                <w:sz w:val="16"/>
              </w:rPr>
              <w:t> </w:t>
            </w:r>
            <w:r>
              <w:rPr>
                <w:spacing w:val="-2"/>
                <w:w w:val="105"/>
                <w:sz w:val="16"/>
              </w:rPr>
              <w:t>contracts:</w:t>
            </w:r>
          </w:p>
        </w:tc>
        <w:tc>
          <w:tcPr>
            <w:tcW w:w="5714" w:type="dxa"/>
            <w:gridSpan w:val="5"/>
          </w:tcPr>
          <w:p>
            <w:pPr>
              <w:pStyle w:val="TableParagraph"/>
              <w:rPr>
                <w:sz w:val="14"/>
              </w:rPr>
            </w:pPr>
          </w:p>
        </w:tc>
        <w:tc>
          <w:tcPr>
            <w:tcW w:w="403" w:type="dxa"/>
          </w:tcPr>
          <w:p>
            <w:pPr>
              <w:pStyle w:val="TableParagraph"/>
              <w:rPr>
                <w:sz w:val="14"/>
              </w:rPr>
            </w:pPr>
          </w:p>
        </w:tc>
      </w:tr>
      <w:tr>
        <w:trPr>
          <w:trHeight w:val="203" w:hRule="atLeast"/>
        </w:trPr>
        <w:tc>
          <w:tcPr>
            <w:tcW w:w="5398" w:type="dxa"/>
            <w:shd w:val="clear" w:color="auto" w:fill="CCEDFF"/>
          </w:tcPr>
          <w:p>
            <w:pPr>
              <w:pStyle w:val="TableParagraph"/>
              <w:spacing w:line="184" w:lineRule="exact"/>
              <w:ind w:left="152"/>
              <w:rPr>
                <w:sz w:val="14"/>
              </w:rPr>
            </w:pPr>
            <w:r>
              <w:rPr>
                <w:sz w:val="16"/>
              </w:rPr>
              <w:t>Japanese</w:t>
            </w:r>
            <w:r>
              <w:rPr>
                <w:spacing w:val="25"/>
                <w:sz w:val="16"/>
              </w:rPr>
              <w:t> </w:t>
            </w:r>
            <w:r>
              <w:rPr>
                <w:sz w:val="16"/>
              </w:rPr>
              <w:t>yen-denominated</w:t>
            </w:r>
            <w:r>
              <w:rPr>
                <w:spacing w:val="29"/>
                <w:sz w:val="16"/>
              </w:rPr>
              <w:t> </w:t>
            </w:r>
            <w:r>
              <w:rPr>
                <w:spacing w:val="-5"/>
                <w:position w:val="3"/>
                <w:sz w:val="14"/>
              </w:rPr>
              <w:t>(2)</w:t>
            </w:r>
          </w:p>
        </w:tc>
        <w:tc>
          <w:tcPr>
            <w:tcW w:w="5714" w:type="dxa"/>
            <w:gridSpan w:val="5"/>
            <w:shd w:val="clear" w:color="auto" w:fill="CCEDFF"/>
          </w:tcPr>
          <w:p>
            <w:pPr>
              <w:pStyle w:val="TableParagraph"/>
              <w:spacing w:line="180" w:lineRule="exact" w:before="3"/>
              <w:ind w:right="1352"/>
              <w:jc w:val="right"/>
              <w:rPr>
                <w:b/>
                <w:sz w:val="16"/>
              </w:rPr>
            </w:pPr>
            <w:r>
              <w:rPr>
                <w:b/>
                <w:spacing w:val="-5"/>
                <w:w w:val="105"/>
                <w:sz w:val="16"/>
              </w:rPr>
              <w:t>3.6</w:t>
            </w:r>
          </w:p>
        </w:tc>
        <w:tc>
          <w:tcPr>
            <w:tcW w:w="403" w:type="dxa"/>
            <w:shd w:val="clear" w:color="auto" w:fill="CCEDFF"/>
          </w:tcPr>
          <w:p>
            <w:pPr>
              <w:pStyle w:val="TableParagraph"/>
              <w:spacing w:line="180" w:lineRule="exact" w:before="3"/>
              <w:ind w:right="-15"/>
              <w:jc w:val="right"/>
              <w:rPr>
                <w:sz w:val="16"/>
              </w:rPr>
            </w:pPr>
            <w:r>
              <w:rPr>
                <w:spacing w:val="-5"/>
                <w:w w:val="105"/>
                <w:sz w:val="16"/>
              </w:rPr>
              <w:t>2.0</w:t>
            </w:r>
          </w:p>
        </w:tc>
      </w:tr>
      <w:tr>
        <w:trPr>
          <w:trHeight w:val="215" w:hRule="atLeast"/>
        </w:trPr>
        <w:tc>
          <w:tcPr>
            <w:tcW w:w="5398" w:type="dxa"/>
            <w:tcBorders>
              <w:bottom w:val="single" w:sz="6" w:space="0" w:color="000000"/>
            </w:tcBorders>
          </w:tcPr>
          <w:p>
            <w:pPr>
              <w:pStyle w:val="TableParagraph"/>
              <w:spacing w:line="191" w:lineRule="exact" w:before="5"/>
              <w:ind w:left="152"/>
              <w:rPr>
                <w:sz w:val="14"/>
              </w:rPr>
            </w:pPr>
            <w:r>
              <w:rPr>
                <w:sz w:val="16"/>
              </w:rPr>
              <w:t>Other</w:t>
            </w:r>
            <w:r>
              <w:rPr>
                <w:spacing w:val="15"/>
                <w:sz w:val="16"/>
              </w:rPr>
              <w:t> </w:t>
            </w:r>
            <w:r>
              <w:rPr>
                <w:sz w:val="16"/>
              </w:rPr>
              <w:t>foreign</w:t>
            </w:r>
            <w:r>
              <w:rPr>
                <w:spacing w:val="16"/>
                <w:sz w:val="16"/>
              </w:rPr>
              <w:t> </w:t>
            </w:r>
            <w:r>
              <w:rPr>
                <w:sz w:val="16"/>
              </w:rPr>
              <w:t>currencies</w:t>
            </w:r>
            <w:r>
              <w:rPr>
                <w:spacing w:val="15"/>
                <w:sz w:val="16"/>
              </w:rPr>
              <w:t> </w:t>
            </w:r>
            <w:r>
              <w:rPr>
                <w:spacing w:val="-5"/>
                <w:position w:val="3"/>
                <w:sz w:val="14"/>
              </w:rPr>
              <w:t>(3)</w:t>
            </w:r>
          </w:p>
        </w:tc>
        <w:tc>
          <w:tcPr>
            <w:tcW w:w="5714" w:type="dxa"/>
            <w:gridSpan w:val="5"/>
            <w:tcBorders>
              <w:bottom w:val="single" w:sz="6" w:space="0" w:color="000000"/>
            </w:tcBorders>
          </w:tcPr>
          <w:p>
            <w:pPr>
              <w:pStyle w:val="TableParagraph"/>
              <w:spacing w:line="179" w:lineRule="exact" w:before="16"/>
              <w:ind w:right="1352"/>
              <w:jc w:val="right"/>
              <w:rPr>
                <w:b/>
                <w:sz w:val="16"/>
              </w:rPr>
            </w:pPr>
            <w:r>
              <w:rPr>
                <w:b/>
                <w:spacing w:val="-5"/>
                <w:w w:val="105"/>
                <w:sz w:val="16"/>
              </w:rPr>
              <w:t>0.9</w:t>
            </w:r>
          </w:p>
        </w:tc>
        <w:tc>
          <w:tcPr>
            <w:tcW w:w="403" w:type="dxa"/>
            <w:tcBorders>
              <w:bottom w:val="single" w:sz="6" w:space="0" w:color="000000"/>
            </w:tcBorders>
          </w:tcPr>
          <w:p>
            <w:pPr>
              <w:pStyle w:val="TableParagraph"/>
              <w:rPr>
                <w:sz w:val="14"/>
              </w:rPr>
            </w:pPr>
          </w:p>
        </w:tc>
      </w:tr>
      <w:tr>
        <w:trPr>
          <w:trHeight w:val="237" w:hRule="atLeast"/>
        </w:trPr>
        <w:tc>
          <w:tcPr>
            <w:tcW w:w="5398" w:type="dxa"/>
            <w:tcBorders>
              <w:top w:val="single" w:sz="6" w:space="0" w:color="000000"/>
              <w:bottom w:val="double" w:sz="6" w:space="0" w:color="000000"/>
            </w:tcBorders>
            <w:shd w:val="clear" w:color="auto" w:fill="CCEDFF"/>
          </w:tcPr>
          <w:p>
            <w:pPr>
              <w:pStyle w:val="TableParagraph"/>
              <w:spacing w:line="177" w:lineRule="exact" w:before="40"/>
              <w:rPr>
                <w:sz w:val="16"/>
              </w:rPr>
            </w:pPr>
            <w:r>
              <w:rPr>
                <w:w w:val="105"/>
                <w:sz w:val="16"/>
              </w:rPr>
              <w:t>Total</w:t>
            </w:r>
            <w:r>
              <w:rPr>
                <w:spacing w:val="-10"/>
                <w:w w:val="105"/>
                <w:sz w:val="16"/>
              </w:rPr>
              <w:t> </w:t>
            </w:r>
            <w:r>
              <w:rPr>
                <w:w w:val="105"/>
                <w:sz w:val="16"/>
              </w:rPr>
              <w:t>gross</w:t>
            </w:r>
            <w:r>
              <w:rPr>
                <w:spacing w:val="-10"/>
                <w:w w:val="105"/>
                <w:sz w:val="16"/>
              </w:rPr>
              <w:t> </w:t>
            </w:r>
            <w:r>
              <w:rPr>
                <w:w w:val="105"/>
                <w:sz w:val="16"/>
              </w:rPr>
              <w:t>notional</w:t>
            </w:r>
            <w:r>
              <w:rPr>
                <w:spacing w:val="-10"/>
                <w:w w:val="105"/>
                <w:sz w:val="16"/>
              </w:rPr>
              <w:t> </w:t>
            </w:r>
            <w:r>
              <w:rPr>
                <w:w w:val="105"/>
                <w:sz w:val="16"/>
              </w:rPr>
              <w:t>value</w:t>
            </w:r>
            <w:r>
              <w:rPr>
                <w:spacing w:val="-9"/>
                <w:w w:val="105"/>
                <w:sz w:val="16"/>
              </w:rPr>
              <w:t> </w:t>
            </w:r>
            <w:r>
              <w:rPr>
                <w:spacing w:val="-2"/>
                <w:w w:val="105"/>
                <w:sz w:val="16"/>
              </w:rPr>
              <w:t>outstanding</w:t>
            </w:r>
          </w:p>
        </w:tc>
        <w:tc>
          <w:tcPr>
            <w:tcW w:w="5714" w:type="dxa"/>
            <w:gridSpan w:val="5"/>
            <w:tcBorders>
              <w:top w:val="single" w:sz="6" w:space="0" w:color="000000"/>
              <w:bottom w:val="double" w:sz="6" w:space="0" w:color="000000"/>
            </w:tcBorders>
            <w:shd w:val="clear" w:color="auto" w:fill="CCEDFF"/>
          </w:tcPr>
          <w:p>
            <w:pPr>
              <w:pStyle w:val="TableParagraph"/>
              <w:tabs>
                <w:tab w:pos="4152" w:val="left" w:leader="none"/>
                <w:tab w:pos="4588" w:val="left" w:leader="none"/>
              </w:tabs>
              <w:spacing w:line="177" w:lineRule="exact" w:before="40"/>
              <w:ind w:left="2856"/>
              <w:rPr>
                <w:sz w:val="16"/>
              </w:rPr>
            </w:pPr>
            <w:r>
              <w:rPr>
                <w:b/>
                <w:spacing w:val="-10"/>
                <w:w w:val="105"/>
                <w:sz w:val="16"/>
              </w:rPr>
              <w:t>$</w:t>
            </w:r>
            <w:r>
              <w:rPr>
                <w:b/>
                <w:sz w:val="16"/>
              </w:rPr>
              <w:tab/>
            </w:r>
            <w:r>
              <w:rPr>
                <w:b/>
                <w:spacing w:val="-5"/>
                <w:w w:val="105"/>
                <w:sz w:val="16"/>
              </w:rPr>
              <w:t>8.9</w:t>
            </w:r>
            <w:r>
              <w:rPr>
                <w:b/>
                <w:sz w:val="16"/>
              </w:rPr>
              <w:tab/>
            </w:r>
            <w:r>
              <w:rPr>
                <w:spacing w:val="-10"/>
                <w:w w:val="105"/>
                <w:sz w:val="16"/>
              </w:rPr>
              <w:t>$</w:t>
            </w:r>
          </w:p>
        </w:tc>
        <w:tc>
          <w:tcPr>
            <w:tcW w:w="403" w:type="dxa"/>
            <w:tcBorders>
              <w:top w:val="single" w:sz="6" w:space="0" w:color="000000"/>
              <w:bottom w:val="double" w:sz="6" w:space="0" w:color="000000"/>
            </w:tcBorders>
            <w:shd w:val="clear" w:color="auto" w:fill="CCEDFF"/>
          </w:tcPr>
          <w:p>
            <w:pPr>
              <w:pStyle w:val="TableParagraph"/>
              <w:spacing w:line="177" w:lineRule="exact" w:before="40"/>
              <w:ind w:right="-15"/>
              <w:jc w:val="right"/>
              <w:rPr>
                <w:sz w:val="16"/>
              </w:rPr>
            </w:pPr>
            <w:r>
              <w:rPr>
                <w:spacing w:val="-5"/>
                <w:w w:val="105"/>
                <w:sz w:val="16"/>
              </w:rPr>
              <w:t>7.5</w:t>
            </w:r>
          </w:p>
        </w:tc>
      </w:tr>
    </w:tbl>
    <w:p>
      <w:pPr>
        <w:pStyle w:val="BodyText"/>
        <w:rPr>
          <w:sz w:val="14"/>
        </w:rPr>
      </w:pPr>
    </w:p>
    <w:p>
      <w:pPr>
        <w:pStyle w:val="BodyText"/>
        <w:spacing w:before="71"/>
        <w:rPr>
          <w:sz w:val="14"/>
        </w:rPr>
      </w:pPr>
    </w:p>
    <w:p>
      <w:pPr>
        <w:pStyle w:val="ListParagraph"/>
        <w:numPr>
          <w:ilvl w:val="0"/>
          <w:numId w:val="51"/>
        </w:numPr>
        <w:tabs>
          <w:tab w:pos="460" w:val="left" w:leader="none"/>
        </w:tabs>
        <w:spacing w:line="157" w:lineRule="exact" w:before="0" w:after="0"/>
        <w:ind w:left="460" w:right="0" w:hanging="304"/>
        <w:jc w:val="left"/>
        <w:rPr>
          <w:sz w:val="14"/>
        </w:rPr>
      </w:pPr>
      <w:r>
        <w:rPr>
          <w:sz w:val="14"/>
        </w:rPr>
        <w:t>Denominated</w:t>
      </w:r>
      <w:r>
        <w:rPr>
          <w:spacing w:val="-2"/>
          <w:sz w:val="14"/>
        </w:rPr>
        <w:t> </w:t>
      </w:r>
      <w:r>
        <w:rPr>
          <w:sz w:val="14"/>
        </w:rPr>
        <w:t>currencies</w:t>
      </w:r>
      <w:r>
        <w:rPr>
          <w:spacing w:val="-1"/>
          <w:sz w:val="14"/>
        </w:rPr>
        <w:t> </w:t>
      </w:r>
      <w:r>
        <w:rPr>
          <w:sz w:val="14"/>
        </w:rPr>
        <w:t>for</w:t>
      </w:r>
      <w:r>
        <w:rPr>
          <w:spacing w:val="-1"/>
          <w:sz w:val="14"/>
        </w:rPr>
        <w:t> </w:t>
      </w:r>
      <w:r>
        <w:rPr>
          <w:sz w:val="14"/>
        </w:rPr>
        <w:t>average</w:t>
      </w:r>
      <w:r>
        <w:rPr>
          <w:spacing w:val="-2"/>
          <w:sz w:val="14"/>
        </w:rPr>
        <w:t> </w:t>
      </w:r>
      <w:r>
        <w:rPr>
          <w:sz w:val="14"/>
        </w:rPr>
        <w:t>rate</w:t>
      </w:r>
      <w:r>
        <w:rPr>
          <w:spacing w:val="-1"/>
          <w:sz w:val="14"/>
        </w:rPr>
        <w:t> </w:t>
      </w:r>
      <w:r>
        <w:rPr>
          <w:sz w:val="14"/>
        </w:rPr>
        <w:t>forward</w:t>
      </w:r>
      <w:r>
        <w:rPr>
          <w:spacing w:val="-1"/>
          <w:sz w:val="14"/>
        </w:rPr>
        <w:t> </w:t>
      </w:r>
      <w:r>
        <w:rPr>
          <w:sz w:val="14"/>
        </w:rPr>
        <w:t>contracts</w:t>
      </w:r>
      <w:r>
        <w:rPr>
          <w:spacing w:val="-2"/>
          <w:sz w:val="14"/>
        </w:rPr>
        <w:t> </w:t>
      </w:r>
      <w:r>
        <w:rPr>
          <w:sz w:val="14"/>
        </w:rPr>
        <w:t>include</w:t>
      </w:r>
      <w:r>
        <w:rPr>
          <w:spacing w:val="-1"/>
          <w:sz w:val="14"/>
        </w:rPr>
        <w:t> </w:t>
      </w:r>
      <w:r>
        <w:rPr>
          <w:sz w:val="14"/>
        </w:rPr>
        <w:t>the</w:t>
      </w:r>
      <w:r>
        <w:rPr>
          <w:spacing w:val="-1"/>
          <w:sz w:val="14"/>
        </w:rPr>
        <w:t> </w:t>
      </w:r>
      <w:r>
        <w:rPr>
          <w:sz w:val="14"/>
        </w:rPr>
        <w:t>Chinese</w:t>
      </w:r>
      <w:r>
        <w:rPr>
          <w:spacing w:val="-2"/>
          <w:sz w:val="14"/>
        </w:rPr>
        <w:t> </w:t>
      </w:r>
      <w:r>
        <w:rPr>
          <w:sz w:val="14"/>
        </w:rPr>
        <w:t>yuan</w:t>
      </w:r>
      <w:r>
        <w:rPr>
          <w:spacing w:val="-1"/>
          <w:sz w:val="14"/>
        </w:rPr>
        <w:t> </w:t>
      </w:r>
      <w:r>
        <w:rPr>
          <w:sz w:val="14"/>
        </w:rPr>
        <w:t>and</w:t>
      </w:r>
      <w:r>
        <w:rPr>
          <w:spacing w:val="-1"/>
          <w:sz w:val="14"/>
        </w:rPr>
        <w:t> </w:t>
      </w:r>
      <w:r>
        <w:rPr>
          <w:sz w:val="14"/>
        </w:rPr>
        <w:t>British</w:t>
      </w:r>
      <w:r>
        <w:rPr>
          <w:spacing w:val="-1"/>
          <w:sz w:val="14"/>
        </w:rPr>
        <w:t> </w:t>
      </w:r>
      <w:r>
        <w:rPr>
          <w:spacing w:val="-2"/>
          <w:sz w:val="14"/>
        </w:rPr>
        <w:t>pound.</w:t>
      </w:r>
    </w:p>
    <w:p>
      <w:pPr>
        <w:pStyle w:val="ListParagraph"/>
        <w:numPr>
          <w:ilvl w:val="0"/>
          <w:numId w:val="51"/>
        </w:numPr>
        <w:tabs>
          <w:tab w:pos="460" w:val="left" w:leader="none"/>
          <w:tab w:pos="462" w:val="left" w:leader="none"/>
        </w:tabs>
        <w:spacing w:line="228" w:lineRule="auto" w:before="2" w:after="0"/>
        <w:ind w:left="462" w:right="200" w:hanging="306"/>
        <w:jc w:val="left"/>
        <w:rPr>
          <w:sz w:val="14"/>
        </w:rPr>
      </w:pPr>
      <w:r>
        <w:rPr>
          <w:sz w:val="14"/>
        </w:rPr>
        <w:t>Japanese</w:t>
      </w:r>
      <w:r>
        <w:rPr>
          <w:spacing w:val="-1"/>
          <w:sz w:val="14"/>
        </w:rPr>
        <w:t> </w:t>
      </w:r>
      <w:r>
        <w:rPr>
          <w:sz w:val="14"/>
        </w:rPr>
        <w:t>yen-denominated</w:t>
      </w:r>
      <w:r>
        <w:rPr>
          <w:spacing w:val="-1"/>
          <w:sz w:val="14"/>
        </w:rPr>
        <w:t> </w:t>
      </w:r>
      <w:r>
        <w:rPr>
          <w:sz w:val="14"/>
        </w:rPr>
        <w:t>option</w:t>
      </w:r>
      <w:r>
        <w:rPr>
          <w:spacing w:val="-1"/>
          <w:sz w:val="14"/>
        </w:rPr>
        <w:t> </w:t>
      </w:r>
      <w:r>
        <w:rPr>
          <w:sz w:val="14"/>
        </w:rPr>
        <w:t>contracts</w:t>
      </w:r>
      <w:r>
        <w:rPr>
          <w:spacing w:val="-1"/>
          <w:sz w:val="14"/>
        </w:rPr>
        <w:t> </w:t>
      </w:r>
      <w:r>
        <w:rPr>
          <w:sz w:val="14"/>
        </w:rPr>
        <w:t>include</w:t>
      </w:r>
      <w:r>
        <w:rPr>
          <w:spacing w:val="-2"/>
          <w:sz w:val="14"/>
        </w:rPr>
        <w:t> </w:t>
      </w:r>
      <w:r>
        <w:rPr>
          <w:sz w:val="14"/>
        </w:rPr>
        <w:t>zero-cost</w:t>
      </w:r>
      <w:r>
        <w:rPr>
          <w:spacing w:val="-1"/>
          <w:sz w:val="14"/>
        </w:rPr>
        <w:t> </w:t>
      </w:r>
      <w:r>
        <w:rPr>
          <w:sz w:val="14"/>
        </w:rPr>
        <w:t>collars,</w:t>
      </w:r>
      <w:r>
        <w:rPr>
          <w:spacing w:val="-1"/>
          <w:sz w:val="14"/>
        </w:rPr>
        <w:t> </w:t>
      </w:r>
      <w:r>
        <w:rPr>
          <w:sz w:val="14"/>
        </w:rPr>
        <w:t>purchased</w:t>
      </w:r>
      <w:r>
        <w:rPr>
          <w:spacing w:val="-1"/>
          <w:sz w:val="14"/>
        </w:rPr>
        <w:t> </w:t>
      </w:r>
      <w:r>
        <w:rPr>
          <w:sz w:val="14"/>
        </w:rPr>
        <w:t>put</w:t>
      </w:r>
      <w:r>
        <w:rPr>
          <w:spacing w:val="-1"/>
          <w:sz w:val="14"/>
        </w:rPr>
        <w:t> </w:t>
      </w:r>
      <w:r>
        <w:rPr>
          <w:sz w:val="14"/>
        </w:rPr>
        <w:t>and</w:t>
      </w:r>
      <w:r>
        <w:rPr>
          <w:spacing w:val="-1"/>
          <w:sz w:val="14"/>
        </w:rPr>
        <w:t> </w:t>
      </w:r>
      <w:r>
        <w:rPr>
          <w:sz w:val="14"/>
        </w:rPr>
        <w:t>call</w:t>
      </w:r>
      <w:r>
        <w:rPr>
          <w:spacing w:val="-1"/>
          <w:sz w:val="14"/>
        </w:rPr>
        <w:t> </w:t>
      </w:r>
      <w:r>
        <w:rPr>
          <w:sz w:val="14"/>
        </w:rPr>
        <w:t>options.</w:t>
      </w:r>
      <w:r>
        <w:rPr>
          <w:spacing w:val="-1"/>
          <w:sz w:val="14"/>
        </w:rPr>
        <w:t> </w:t>
      </w:r>
      <w:r>
        <w:rPr>
          <w:sz w:val="14"/>
        </w:rPr>
        <w:t>With</w:t>
      </w:r>
      <w:r>
        <w:rPr>
          <w:spacing w:val="-1"/>
          <w:sz w:val="14"/>
        </w:rPr>
        <w:t> </w:t>
      </w:r>
      <w:r>
        <w:rPr>
          <w:sz w:val="14"/>
        </w:rPr>
        <w:t>respect</w:t>
      </w:r>
      <w:r>
        <w:rPr>
          <w:spacing w:val="-1"/>
          <w:sz w:val="14"/>
        </w:rPr>
        <w:t> </w:t>
      </w:r>
      <w:r>
        <w:rPr>
          <w:sz w:val="14"/>
        </w:rPr>
        <w:t>to</w:t>
      </w:r>
      <w:r>
        <w:rPr>
          <w:spacing w:val="-2"/>
          <w:sz w:val="14"/>
        </w:rPr>
        <w:t> </w:t>
      </w:r>
      <w:r>
        <w:rPr>
          <w:sz w:val="14"/>
        </w:rPr>
        <w:t>zero-cost</w:t>
      </w:r>
      <w:r>
        <w:rPr>
          <w:spacing w:val="-1"/>
          <w:sz w:val="14"/>
        </w:rPr>
        <w:t> </w:t>
      </w:r>
      <w:r>
        <w:rPr>
          <w:sz w:val="14"/>
        </w:rPr>
        <w:t>collars,</w:t>
      </w:r>
      <w:r>
        <w:rPr>
          <w:spacing w:val="-1"/>
          <w:sz w:val="14"/>
        </w:rPr>
        <w:t> </w:t>
      </w:r>
      <w:r>
        <w:rPr>
          <w:sz w:val="14"/>
        </w:rPr>
        <w:t>the</w:t>
      </w:r>
      <w:r>
        <w:rPr>
          <w:spacing w:val="-1"/>
          <w:sz w:val="14"/>
        </w:rPr>
        <w:t> </w:t>
      </w:r>
      <w:r>
        <w:rPr>
          <w:sz w:val="14"/>
        </w:rPr>
        <w:t>gross</w:t>
      </w:r>
      <w:r>
        <w:rPr>
          <w:spacing w:val="-1"/>
          <w:sz w:val="14"/>
        </w:rPr>
        <w:t> </w:t>
      </w:r>
      <w:r>
        <w:rPr>
          <w:sz w:val="14"/>
        </w:rPr>
        <w:t>notional</w:t>
      </w:r>
      <w:r>
        <w:rPr>
          <w:spacing w:val="-1"/>
          <w:sz w:val="14"/>
        </w:rPr>
        <w:t> </w:t>
      </w:r>
      <w:r>
        <w:rPr>
          <w:sz w:val="14"/>
        </w:rPr>
        <w:t>amount</w:t>
      </w:r>
      <w:r>
        <w:rPr>
          <w:spacing w:val="-1"/>
          <w:sz w:val="14"/>
        </w:rPr>
        <w:t> </w:t>
      </w:r>
      <w:r>
        <w:rPr>
          <w:sz w:val="14"/>
        </w:rPr>
        <w:t>includes</w:t>
      </w:r>
      <w:r>
        <w:rPr>
          <w:spacing w:val="-1"/>
          <w:sz w:val="14"/>
        </w:rPr>
        <w:t> </w:t>
      </w:r>
      <w:r>
        <w:rPr>
          <w:sz w:val="14"/>
        </w:rPr>
        <w:t>the</w:t>
      </w:r>
      <w:r>
        <w:rPr>
          <w:spacing w:val="-1"/>
          <w:sz w:val="14"/>
        </w:rPr>
        <w:t> </w:t>
      </w:r>
      <w:r>
        <w:rPr>
          <w:sz w:val="14"/>
        </w:rPr>
        <w:t>value</w:t>
      </w:r>
      <w:r>
        <w:rPr>
          <w:spacing w:val="-1"/>
          <w:sz w:val="14"/>
        </w:rPr>
        <w:t> </w:t>
      </w:r>
      <w:r>
        <w:rPr>
          <w:sz w:val="14"/>
        </w:rPr>
        <w:t>of</w:t>
      </w:r>
      <w:r>
        <w:rPr>
          <w:spacing w:val="-1"/>
          <w:sz w:val="14"/>
        </w:rPr>
        <w:t> </w:t>
      </w:r>
      <w:r>
        <w:rPr>
          <w:sz w:val="14"/>
        </w:rPr>
        <w:t>the</w:t>
      </w:r>
      <w:r>
        <w:rPr>
          <w:spacing w:val="-1"/>
          <w:sz w:val="14"/>
        </w:rPr>
        <w:t> </w:t>
      </w:r>
      <w:r>
        <w:rPr>
          <w:sz w:val="14"/>
        </w:rPr>
        <w:t>put</w:t>
      </w:r>
      <w:r>
        <w:rPr>
          <w:spacing w:val="-1"/>
          <w:sz w:val="14"/>
        </w:rPr>
        <w:t> </w:t>
      </w:r>
      <w:r>
        <w:rPr>
          <w:sz w:val="14"/>
        </w:rPr>
        <w:t>and</w:t>
      </w:r>
      <w:r>
        <w:rPr>
          <w:spacing w:val="-1"/>
          <w:sz w:val="14"/>
        </w:rPr>
        <w:t> </w:t>
      </w:r>
      <w:r>
        <w:rPr>
          <w:sz w:val="14"/>
        </w:rPr>
        <w:t>call</w:t>
      </w:r>
      <w:r>
        <w:rPr>
          <w:spacing w:val="40"/>
          <w:sz w:val="14"/>
        </w:rPr>
        <w:t> </w:t>
      </w:r>
      <w:r>
        <w:rPr>
          <w:sz w:val="14"/>
        </w:rPr>
        <w:t>options. However, due to the nature of zero-cost collars, only the put or the call option can be exercised at maturity.</w:t>
      </w:r>
    </w:p>
    <w:p>
      <w:pPr>
        <w:pStyle w:val="ListParagraph"/>
        <w:numPr>
          <w:ilvl w:val="0"/>
          <w:numId w:val="51"/>
        </w:numPr>
        <w:tabs>
          <w:tab w:pos="460" w:val="left" w:leader="none"/>
          <w:tab w:pos="462" w:val="left" w:leader="none"/>
        </w:tabs>
        <w:spacing w:line="228" w:lineRule="auto" w:before="0" w:after="0"/>
        <w:ind w:left="462" w:right="241" w:hanging="306"/>
        <w:jc w:val="left"/>
        <w:rPr>
          <w:sz w:val="14"/>
        </w:rPr>
      </w:pPr>
      <w:r>
        <w:rPr>
          <w:sz w:val="14"/>
        </w:rPr>
        <w:t>Other</w:t>
      </w:r>
      <w:r>
        <w:rPr>
          <w:spacing w:val="-1"/>
          <w:sz w:val="14"/>
        </w:rPr>
        <w:t> </w:t>
      </w:r>
      <w:r>
        <w:rPr>
          <w:sz w:val="14"/>
        </w:rPr>
        <w:t>foreign</w:t>
      </w:r>
      <w:r>
        <w:rPr>
          <w:spacing w:val="-1"/>
          <w:sz w:val="14"/>
        </w:rPr>
        <w:t> </w:t>
      </w:r>
      <w:r>
        <w:rPr>
          <w:sz w:val="14"/>
        </w:rPr>
        <w:t>currencies</w:t>
      </w:r>
      <w:r>
        <w:rPr>
          <w:spacing w:val="-1"/>
          <w:sz w:val="14"/>
        </w:rPr>
        <w:t> </w:t>
      </w:r>
      <w:r>
        <w:rPr>
          <w:sz w:val="14"/>
        </w:rPr>
        <w:t>option</w:t>
      </w:r>
      <w:r>
        <w:rPr>
          <w:spacing w:val="-1"/>
          <w:sz w:val="14"/>
        </w:rPr>
        <w:t> </w:t>
      </w:r>
      <w:r>
        <w:rPr>
          <w:sz w:val="14"/>
        </w:rPr>
        <w:t>contracts</w:t>
      </w:r>
      <w:r>
        <w:rPr>
          <w:spacing w:val="-1"/>
          <w:sz w:val="14"/>
        </w:rPr>
        <w:t> </w:t>
      </w:r>
      <w:r>
        <w:rPr>
          <w:sz w:val="14"/>
        </w:rPr>
        <w:t>are</w:t>
      </w:r>
      <w:r>
        <w:rPr>
          <w:spacing w:val="-1"/>
          <w:sz w:val="14"/>
        </w:rPr>
        <w:t> </w:t>
      </w:r>
      <w:r>
        <w:rPr>
          <w:sz w:val="14"/>
        </w:rPr>
        <w:t>purchased</w:t>
      </w:r>
      <w:r>
        <w:rPr>
          <w:spacing w:val="-1"/>
          <w:sz w:val="14"/>
        </w:rPr>
        <w:t> </w:t>
      </w:r>
      <w:r>
        <w:rPr>
          <w:sz w:val="14"/>
        </w:rPr>
        <w:t>basket</w:t>
      </w:r>
      <w:r>
        <w:rPr>
          <w:spacing w:val="-1"/>
          <w:sz w:val="14"/>
        </w:rPr>
        <w:t> </w:t>
      </w:r>
      <w:r>
        <w:rPr>
          <w:sz w:val="14"/>
        </w:rPr>
        <w:t>options</w:t>
      </w:r>
      <w:r>
        <w:rPr>
          <w:spacing w:val="-1"/>
          <w:sz w:val="14"/>
        </w:rPr>
        <w:t> </w:t>
      </w:r>
      <w:r>
        <w:rPr>
          <w:sz w:val="14"/>
        </w:rPr>
        <w:t>that</w:t>
      </w:r>
      <w:r>
        <w:rPr>
          <w:spacing w:val="-1"/>
          <w:sz w:val="14"/>
        </w:rPr>
        <w:t> </w:t>
      </w:r>
      <w:r>
        <w:rPr>
          <w:sz w:val="14"/>
        </w:rPr>
        <w:t>include</w:t>
      </w:r>
      <w:r>
        <w:rPr>
          <w:spacing w:val="-1"/>
          <w:sz w:val="14"/>
        </w:rPr>
        <w:t> </w:t>
      </w:r>
      <w:r>
        <w:rPr>
          <w:sz w:val="14"/>
        </w:rPr>
        <w:t>a</w:t>
      </w:r>
      <w:r>
        <w:rPr>
          <w:spacing w:val="-1"/>
          <w:sz w:val="14"/>
        </w:rPr>
        <w:t> </w:t>
      </w:r>
      <w:r>
        <w:rPr>
          <w:sz w:val="14"/>
        </w:rPr>
        <w:t>basket</w:t>
      </w:r>
      <w:r>
        <w:rPr>
          <w:spacing w:val="-1"/>
          <w:sz w:val="14"/>
        </w:rPr>
        <w:t> </w:t>
      </w:r>
      <w:r>
        <w:rPr>
          <w:sz w:val="14"/>
        </w:rPr>
        <w:t>of</w:t>
      </w:r>
      <w:r>
        <w:rPr>
          <w:spacing w:val="-1"/>
          <w:sz w:val="14"/>
        </w:rPr>
        <w:t> </w:t>
      </w:r>
      <w:r>
        <w:rPr>
          <w:sz w:val="14"/>
        </w:rPr>
        <w:t>underlying</w:t>
      </w:r>
      <w:r>
        <w:rPr>
          <w:spacing w:val="-1"/>
          <w:sz w:val="14"/>
        </w:rPr>
        <w:t> </w:t>
      </w:r>
      <w:r>
        <w:rPr>
          <w:sz w:val="14"/>
        </w:rPr>
        <w:t>currencies,</w:t>
      </w:r>
      <w:r>
        <w:rPr>
          <w:spacing w:val="-1"/>
          <w:sz w:val="14"/>
        </w:rPr>
        <w:t> </w:t>
      </w:r>
      <w:r>
        <w:rPr>
          <w:sz w:val="14"/>
        </w:rPr>
        <w:t>including</w:t>
      </w:r>
      <w:r>
        <w:rPr>
          <w:spacing w:val="-1"/>
          <w:sz w:val="14"/>
        </w:rPr>
        <w:t> </w:t>
      </w:r>
      <w:r>
        <w:rPr>
          <w:sz w:val="14"/>
        </w:rPr>
        <w:t>the</w:t>
      </w:r>
      <w:r>
        <w:rPr>
          <w:spacing w:val="-1"/>
          <w:sz w:val="14"/>
        </w:rPr>
        <w:t> </w:t>
      </w:r>
      <w:r>
        <w:rPr>
          <w:sz w:val="14"/>
        </w:rPr>
        <w:t>Japanese</w:t>
      </w:r>
      <w:r>
        <w:rPr>
          <w:spacing w:val="-1"/>
          <w:sz w:val="14"/>
        </w:rPr>
        <w:t> </w:t>
      </w:r>
      <w:r>
        <w:rPr>
          <w:sz w:val="14"/>
        </w:rPr>
        <w:t>yen,</w:t>
      </w:r>
      <w:r>
        <w:rPr>
          <w:spacing w:val="-1"/>
          <w:sz w:val="14"/>
        </w:rPr>
        <w:t> </w:t>
      </w:r>
      <w:r>
        <w:rPr>
          <w:sz w:val="14"/>
        </w:rPr>
        <w:t>South</w:t>
      </w:r>
      <w:r>
        <w:rPr>
          <w:spacing w:val="-1"/>
          <w:sz w:val="14"/>
        </w:rPr>
        <w:t> </w:t>
      </w:r>
      <w:r>
        <w:rPr>
          <w:sz w:val="14"/>
        </w:rPr>
        <w:t>Korean</w:t>
      </w:r>
      <w:r>
        <w:rPr>
          <w:spacing w:val="-1"/>
          <w:sz w:val="14"/>
        </w:rPr>
        <w:t> </w:t>
      </w:r>
      <w:r>
        <w:rPr>
          <w:sz w:val="14"/>
        </w:rPr>
        <w:t>won,</w:t>
      </w:r>
      <w:r>
        <w:rPr>
          <w:spacing w:val="-1"/>
          <w:sz w:val="14"/>
        </w:rPr>
        <w:t> </w:t>
      </w:r>
      <w:r>
        <w:rPr>
          <w:sz w:val="14"/>
        </w:rPr>
        <w:t>Chinese</w:t>
      </w:r>
      <w:r>
        <w:rPr>
          <w:spacing w:val="-1"/>
          <w:sz w:val="14"/>
        </w:rPr>
        <w:t> </w:t>
      </w:r>
      <w:r>
        <w:rPr>
          <w:sz w:val="14"/>
        </w:rPr>
        <w:t>yuan,</w:t>
      </w:r>
      <w:r>
        <w:rPr>
          <w:spacing w:val="-1"/>
          <w:sz w:val="14"/>
        </w:rPr>
        <w:t> </w:t>
      </w:r>
      <w:r>
        <w:rPr>
          <w:sz w:val="14"/>
        </w:rPr>
        <w:t>euro,</w:t>
      </w:r>
      <w:r>
        <w:rPr>
          <w:spacing w:val="-1"/>
          <w:sz w:val="14"/>
        </w:rPr>
        <w:t> </w:t>
      </w:r>
      <w:r>
        <w:rPr>
          <w:sz w:val="14"/>
        </w:rPr>
        <w:t>and</w:t>
      </w:r>
      <w:r>
        <w:rPr>
          <w:spacing w:val="-1"/>
          <w:sz w:val="14"/>
        </w:rPr>
        <w:t> </w:t>
      </w:r>
      <w:r>
        <w:rPr>
          <w:sz w:val="14"/>
        </w:rPr>
        <w:t>British</w:t>
      </w:r>
      <w:r>
        <w:rPr>
          <w:spacing w:val="40"/>
          <w:sz w:val="14"/>
        </w:rPr>
        <w:t> </w:t>
      </w:r>
      <w:r>
        <w:rPr>
          <w:sz w:val="14"/>
        </w:rPr>
        <w:t>pound, and each basket option will be settled against USD.</w:t>
      </w:r>
    </w:p>
    <w:p>
      <w:pPr>
        <w:pStyle w:val="BodyText"/>
        <w:spacing w:before="43"/>
        <w:rPr>
          <w:sz w:val="14"/>
        </w:rPr>
      </w:pPr>
    </w:p>
    <w:p>
      <w:pPr>
        <w:pStyle w:val="BodyText"/>
        <w:spacing w:line="266" w:lineRule="auto"/>
        <w:ind w:left="156" w:right="328"/>
      </w:pPr>
      <w:r>
        <w:rPr>
          <w:w w:val="105"/>
        </w:rPr>
        <w:t>The</w:t>
      </w:r>
      <w:r>
        <w:rPr>
          <w:spacing w:val="-8"/>
          <w:w w:val="105"/>
        </w:rPr>
        <w:t> </w:t>
      </w:r>
      <w:r>
        <w:rPr>
          <w:w w:val="105"/>
        </w:rPr>
        <w:t>fair</w:t>
      </w:r>
      <w:r>
        <w:rPr>
          <w:spacing w:val="-8"/>
          <w:w w:val="105"/>
        </w:rPr>
        <w:t> </w:t>
      </w:r>
      <w:r>
        <w:rPr>
          <w:w w:val="105"/>
        </w:rPr>
        <w:t>values</w:t>
      </w:r>
      <w:r>
        <w:rPr>
          <w:spacing w:val="-8"/>
          <w:w w:val="105"/>
        </w:rPr>
        <w:t> </w:t>
      </w:r>
      <w:r>
        <w:rPr>
          <w:w w:val="105"/>
        </w:rPr>
        <w:t>of</w:t>
      </w:r>
      <w:r>
        <w:rPr>
          <w:spacing w:val="-8"/>
          <w:w w:val="105"/>
        </w:rPr>
        <w:t> </w:t>
      </w:r>
      <w:r>
        <w:rPr>
          <w:w w:val="105"/>
        </w:rPr>
        <w:t>these</w:t>
      </w:r>
      <w:r>
        <w:rPr>
          <w:spacing w:val="-8"/>
          <w:w w:val="105"/>
        </w:rPr>
        <w:t> </w:t>
      </w:r>
      <w:r>
        <w:rPr>
          <w:w w:val="105"/>
        </w:rPr>
        <w:t>derivative</w:t>
      </w:r>
      <w:r>
        <w:rPr>
          <w:spacing w:val="-8"/>
          <w:w w:val="105"/>
        </w:rPr>
        <w:t> </w:t>
      </w:r>
      <w:r>
        <w:rPr>
          <w:w w:val="105"/>
        </w:rPr>
        <w:t>contracts</w:t>
      </w:r>
      <w:r>
        <w:rPr>
          <w:spacing w:val="-6"/>
          <w:w w:val="105"/>
        </w:rPr>
        <w:t> </w:t>
      </w:r>
      <w:r>
        <w:rPr>
          <w:w w:val="105"/>
        </w:rPr>
        <w:t>are</w:t>
      </w:r>
      <w:r>
        <w:rPr>
          <w:spacing w:val="-8"/>
          <w:w w:val="105"/>
        </w:rPr>
        <w:t> </w:t>
      </w:r>
      <w:r>
        <w:rPr>
          <w:w w:val="105"/>
        </w:rPr>
        <w:t>recorded</w:t>
      </w:r>
      <w:r>
        <w:rPr>
          <w:spacing w:val="-8"/>
          <w:w w:val="105"/>
        </w:rPr>
        <w:t> </w:t>
      </w:r>
      <w:r>
        <w:rPr>
          <w:w w:val="105"/>
        </w:rPr>
        <w:t>as</w:t>
      </w:r>
      <w:r>
        <w:rPr>
          <w:spacing w:val="-8"/>
          <w:w w:val="105"/>
        </w:rPr>
        <w:t> </w:t>
      </w:r>
      <w:r>
        <w:rPr>
          <w:w w:val="105"/>
        </w:rPr>
        <w:t>either</w:t>
      </w:r>
      <w:r>
        <w:rPr>
          <w:spacing w:val="-8"/>
          <w:w w:val="105"/>
        </w:rPr>
        <w:t> </w:t>
      </w:r>
      <w:r>
        <w:rPr>
          <w:w w:val="105"/>
        </w:rPr>
        <w:t>assets</w:t>
      </w:r>
      <w:r>
        <w:rPr>
          <w:spacing w:val="-8"/>
          <w:w w:val="105"/>
        </w:rPr>
        <w:t> </w:t>
      </w:r>
      <w:r>
        <w:rPr>
          <w:w w:val="105"/>
        </w:rPr>
        <w:t>(gain</w:t>
      </w:r>
      <w:r>
        <w:rPr>
          <w:spacing w:val="-8"/>
          <w:w w:val="105"/>
        </w:rPr>
        <w:t> </w:t>
      </w:r>
      <w:r>
        <w:rPr>
          <w:w w:val="105"/>
        </w:rPr>
        <w:t>position)</w:t>
      </w:r>
      <w:r>
        <w:rPr>
          <w:spacing w:val="-8"/>
          <w:w w:val="105"/>
        </w:rPr>
        <w:t> </w:t>
      </w:r>
      <w:r>
        <w:rPr>
          <w:w w:val="105"/>
        </w:rPr>
        <w:t>or</w:t>
      </w:r>
      <w:r>
        <w:rPr>
          <w:spacing w:val="-8"/>
          <w:w w:val="105"/>
        </w:rPr>
        <w:t> </w:t>
      </w:r>
      <w:r>
        <w:rPr>
          <w:w w:val="105"/>
        </w:rPr>
        <w:t>liabilities</w:t>
      </w:r>
      <w:r>
        <w:rPr>
          <w:spacing w:val="-8"/>
          <w:w w:val="105"/>
        </w:rPr>
        <w:t> </w:t>
      </w:r>
      <w:r>
        <w:rPr>
          <w:w w:val="105"/>
        </w:rPr>
        <w:t>(loss</w:t>
      </w:r>
      <w:r>
        <w:rPr>
          <w:spacing w:val="-8"/>
          <w:w w:val="105"/>
        </w:rPr>
        <w:t> </w:t>
      </w:r>
      <w:r>
        <w:rPr>
          <w:w w:val="105"/>
        </w:rPr>
        <w:t>position)</w:t>
      </w:r>
      <w:r>
        <w:rPr>
          <w:spacing w:val="-8"/>
          <w:w w:val="105"/>
        </w:rPr>
        <w:t> </w:t>
      </w:r>
      <w:r>
        <w:rPr>
          <w:w w:val="105"/>
        </w:rPr>
        <w:t>on</w:t>
      </w:r>
      <w:r>
        <w:rPr>
          <w:spacing w:val="-8"/>
          <w:w w:val="105"/>
        </w:rPr>
        <w:t> </w:t>
      </w:r>
      <w:r>
        <w:rPr>
          <w:w w:val="105"/>
        </w:rPr>
        <w:t>the</w:t>
      </w:r>
      <w:r>
        <w:rPr>
          <w:spacing w:val="-8"/>
          <w:w w:val="105"/>
        </w:rPr>
        <w:t> </w:t>
      </w:r>
      <w:r>
        <w:rPr>
          <w:w w:val="105"/>
        </w:rPr>
        <w:t>consolidated</w:t>
      </w:r>
      <w:r>
        <w:rPr>
          <w:spacing w:val="-8"/>
          <w:w w:val="105"/>
        </w:rPr>
        <w:t> </w:t>
      </w:r>
      <w:r>
        <w:rPr>
          <w:w w:val="105"/>
        </w:rPr>
        <w:t>balance</w:t>
      </w:r>
      <w:r>
        <w:rPr>
          <w:spacing w:val="-8"/>
          <w:w w:val="105"/>
        </w:rPr>
        <w:t> </w:t>
      </w:r>
      <w:r>
        <w:rPr>
          <w:w w:val="105"/>
        </w:rPr>
        <w:t>sheets.</w:t>
      </w:r>
      <w:r>
        <w:rPr>
          <w:spacing w:val="-8"/>
          <w:w w:val="105"/>
        </w:rPr>
        <w:t> </w:t>
      </w:r>
      <w:r>
        <w:rPr>
          <w:w w:val="105"/>
        </w:rPr>
        <w:t>Changes</w:t>
      </w:r>
      <w:r>
        <w:rPr>
          <w:spacing w:val="-8"/>
          <w:w w:val="105"/>
        </w:rPr>
        <w:t> </w:t>
      </w:r>
      <w:r>
        <w:rPr>
          <w:w w:val="105"/>
        </w:rPr>
        <w:t>in</w:t>
      </w:r>
      <w:r>
        <w:rPr>
          <w:spacing w:val="-8"/>
          <w:w w:val="105"/>
        </w:rPr>
        <w:t> </w:t>
      </w:r>
      <w:r>
        <w:rPr>
          <w:w w:val="105"/>
        </w:rPr>
        <w:t>the</w:t>
      </w:r>
      <w:r>
        <w:rPr>
          <w:spacing w:val="-8"/>
          <w:w w:val="105"/>
        </w:rPr>
        <w:t> </w:t>
      </w:r>
      <w:r>
        <w:rPr>
          <w:w w:val="105"/>
        </w:rPr>
        <w:t>fair value</w:t>
      </w:r>
      <w:r>
        <w:rPr>
          <w:spacing w:val="-2"/>
          <w:w w:val="105"/>
        </w:rPr>
        <w:t> </w:t>
      </w:r>
      <w:r>
        <w:rPr>
          <w:w w:val="105"/>
        </w:rPr>
        <w:t>of</w:t>
      </w:r>
      <w:r>
        <w:rPr>
          <w:spacing w:val="-2"/>
          <w:w w:val="105"/>
        </w:rPr>
        <w:t> </w:t>
      </w:r>
      <w:r>
        <w:rPr>
          <w:w w:val="105"/>
        </w:rPr>
        <w:t>the</w:t>
      </w:r>
      <w:r>
        <w:rPr>
          <w:spacing w:val="-2"/>
          <w:w w:val="105"/>
        </w:rPr>
        <w:t> </w:t>
      </w:r>
      <w:r>
        <w:rPr>
          <w:w w:val="105"/>
        </w:rPr>
        <w:t>derivative</w:t>
      </w:r>
      <w:r>
        <w:rPr>
          <w:spacing w:val="-2"/>
          <w:w w:val="105"/>
        </w:rPr>
        <w:t> </w:t>
      </w:r>
      <w:r>
        <w:rPr>
          <w:w w:val="105"/>
        </w:rPr>
        <w:t>contracts</w:t>
      </w:r>
      <w:r>
        <w:rPr>
          <w:spacing w:val="-2"/>
          <w:w w:val="105"/>
        </w:rPr>
        <w:t> </w:t>
      </w:r>
      <w:r>
        <w:rPr>
          <w:w w:val="105"/>
        </w:rPr>
        <w:t>are</w:t>
      </w:r>
      <w:r>
        <w:rPr>
          <w:spacing w:val="-2"/>
          <w:w w:val="105"/>
        </w:rPr>
        <w:t> </w:t>
      </w:r>
      <w:r>
        <w:rPr>
          <w:w w:val="105"/>
        </w:rPr>
        <w:t>recorded</w:t>
      </w:r>
      <w:r>
        <w:rPr>
          <w:spacing w:val="-2"/>
          <w:w w:val="105"/>
        </w:rPr>
        <w:t> </w:t>
      </w:r>
      <w:r>
        <w:rPr>
          <w:w w:val="105"/>
        </w:rPr>
        <w:t>currently</w:t>
      </w:r>
      <w:r>
        <w:rPr>
          <w:spacing w:val="-2"/>
          <w:w w:val="105"/>
        </w:rPr>
        <w:t> </w:t>
      </w:r>
      <w:r>
        <w:rPr>
          <w:w w:val="105"/>
        </w:rPr>
        <w:t>in</w:t>
      </w:r>
      <w:r>
        <w:rPr>
          <w:spacing w:val="-2"/>
          <w:w w:val="105"/>
        </w:rPr>
        <w:t> </w:t>
      </w:r>
      <w:r>
        <w:rPr>
          <w:w w:val="105"/>
        </w:rPr>
        <w:t>earnings in</w:t>
      </w:r>
      <w:r>
        <w:rPr>
          <w:spacing w:val="-2"/>
          <w:w w:val="105"/>
        </w:rPr>
        <w:t> </w:t>
      </w:r>
      <w:r>
        <w:rPr>
          <w:w w:val="105"/>
        </w:rPr>
        <w:t>the</w:t>
      </w:r>
      <w:r>
        <w:rPr>
          <w:spacing w:val="-2"/>
          <w:w w:val="105"/>
        </w:rPr>
        <w:t> </w:t>
      </w:r>
      <w:r>
        <w:rPr>
          <w:w w:val="105"/>
        </w:rPr>
        <w:t>translated</w:t>
      </w:r>
      <w:r>
        <w:rPr>
          <w:spacing w:val="-2"/>
          <w:w w:val="105"/>
        </w:rPr>
        <w:t> </w:t>
      </w:r>
      <w:r>
        <w:rPr>
          <w:w w:val="105"/>
        </w:rPr>
        <w:t>earnings</w:t>
      </w:r>
      <w:r>
        <w:rPr>
          <w:spacing w:val="-2"/>
          <w:w w:val="105"/>
        </w:rPr>
        <w:t> </w:t>
      </w:r>
      <w:r>
        <w:rPr>
          <w:w w:val="105"/>
        </w:rPr>
        <w:t>contract</w:t>
      </w:r>
      <w:r>
        <w:rPr>
          <w:spacing w:val="-2"/>
          <w:w w:val="105"/>
        </w:rPr>
        <w:t> </w:t>
      </w:r>
      <w:r>
        <w:rPr>
          <w:w w:val="105"/>
        </w:rPr>
        <w:t>gain</w:t>
      </w:r>
      <w:r>
        <w:rPr>
          <w:spacing w:val="-2"/>
          <w:w w:val="105"/>
        </w:rPr>
        <w:t> </w:t>
      </w:r>
      <w:r>
        <w:rPr>
          <w:w w:val="105"/>
        </w:rPr>
        <w:t>(loss),</w:t>
      </w:r>
      <w:r>
        <w:rPr>
          <w:spacing w:val="-2"/>
          <w:w w:val="105"/>
        </w:rPr>
        <w:t> </w:t>
      </w:r>
      <w:r>
        <w:rPr>
          <w:w w:val="105"/>
        </w:rPr>
        <w:t>net</w:t>
      </w:r>
      <w:r>
        <w:rPr>
          <w:spacing w:val="-2"/>
          <w:w w:val="105"/>
        </w:rPr>
        <w:t> </w:t>
      </w:r>
      <w:r>
        <w:rPr>
          <w:w w:val="105"/>
        </w:rPr>
        <w:t>line</w:t>
      </w:r>
      <w:r>
        <w:rPr>
          <w:spacing w:val="-2"/>
          <w:w w:val="105"/>
        </w:rPr>
        <w:t> </w:t>
      </w:r>
      <w:r>
        <w:rPr>
          <w:w w:val="105"/>
        </w:rPr>
        <w:t>of</w:t>
      </w:r>
      <w:r>
        <w:rPr>
          <w:spacing w:val="-2"/>
          <w:w w:val="105"/>
        </w:rPr>
        <w:t> </w:t>
      </w:r>
      <w:r>
        <w:rPr>
          <w:w w:val="105"/>
        </w:rPr>
        <w:t>the</w:t>
      </w:r>
      <w:r>
        <w:rPr>
          <w:spacing w:val="-2"/>
          <w:w w:val="105"/>
        </w:rPr>
        <w:t> </w:t>
      </w:r>
      <w:r>
        <w:rPr>
          <w:w w:val="105"/>
        </w:rPr>
        <w:t>consolidated</w:t>
      </w:r>
      <w:r>
        <w:rPr>
          <w:spacing w:val="-2"/>
          <w:w w:val="105"/>
        </w:rPr>
        <w:t> </w:t>
      </w:r>
      <w:r>
        <w:rPr>
          <w:w w:val="105"/>
        </w:rPr>
        <w:t>statements</w:t>
      </w:r>
      <w:r>
        <w:rPr>
          <w:spacing w:val="-2"/>
          <w:w w:val="105"/>
        </w:rPr>
        <w:t> </w:t>
      </w:r>
      <w:r>
        <w:rPr>
          <w:w w:val="105"/>
        </w:rPr>
        <w:t>of</w:t>
      </w:r>
      <w:r>
        <w:rPr>
          <w:spacing w:val="-2"/>
          <w:w w:val="105"/>
        </w:rPr>
        <w:t> </w:t>
      </w:r>
      <w:r>
        <w:rPr>
          <w:w w:val="105"/>
        </w:rPr>
        <w:t>income.</w:t>
      </w:r>
    </w:p>
    <w:p>
      <w:pPr>
        <w:pStyle w:val="BodyText"/>
        <w:spacing w:before="19"/>
      </w:pPr>
    </w:p>
    <w:p>
      <w:pPr>
        <w:pStyle w:val="BodyText"/>
        <w:spacing w:line="266" w:lineRule="auto"/>
        <w:ind w:left="156" w:right="117"/>
      </w:pPr>
      <w:r>
        <w:rPr>
          <w:w w:val="105"/>
        </w:rPr>
        <w:t>The</w:t>
      </w:r>
      <w:r>
        <w:rPr>
          <w:spacing w:val="-8"/>
          <w:w w:val="105"/>
        </w:rPr>
        <w:t> </w:t>
      </w:r>
      <w:r>
        <w:rPr>
          <w:w w:val="105"/>
        </w:rPr>
        <w:t>following</w:t>
      </w:r>
      <w:r>
        <w:rPr>
          <w:spacing w:val="-8"/>
          <w:w w:val="105"/>
        </w:rPr>
        <w:t> </w:t>
      </w:r>
      <w:r>
        <w:rPr>
          <w:w w:val="105"/>
        </w:rPr>
        <w:t>table</w:t>
      </w:r>
      <w:r>
        <w:rPr>
          <w:spacing w:val="-8"/>
          <w:w w:val="105"/>
        </w:rPr>
        <w:t> </w:t>
      </w:r>
      <w:r>
        <w:rPr>
          <w:w w:val="105"/>
        </w:rPr>
        <w:t>summarizes</w:t>
      </w:r>
      <w:r>
        <w:rPr>
          <w:spacing w:val="-8"/>
          <w:w w:val="105"/>
        </w:rPr>
        <w:t> </w:t>
      </w:r>
      <w:r>
        <w:rPr>
          <w:w w:val="105"/>
        </w:rPr>
        <w:t>the</w:t>
      </w:r>
      <w:r>
        <w:rPr>
          <w:spacing w:val="-8"/>
          <w:w w:val="105"/>
        </w:rPr>
        <w:t> </w:t>
      </w:r>
      <w:r>
        <w:rPr>
          <w:w w:val="105"/>
        </w:rPr>
        <w:t>notional</w:t>
      </w:r>
      <w:r>
        <w:rPr>
          <w:spacing w:val="-8"/>
          <w:w w:val="105"/>
        </w:rPr>
        <w:t> </w:t>
      </w:r>
      <w:r>
        <w:rPr>
          <w:w w:val="105"/>
        </w:rPr>
        <w:t>amounts</w:t>
      </w:r>
      <w:r>
        <w:rPr>
          <w:spacing w:val="-8"/>
          <w:w w:val="105"/>
        </w:rPr>
        <w:t> </w:t>
      </w:r>
      <w:r>
        <w:rPr>
          <w:w w:val="105"/>
        </w:rPr>
        <w:t>and</w:t>
      </w:r>
      <w:r>
        <w:rPr>
          <w:spacing w:val="-7"/>
          <w:w w:val="105"/>
        </w:rPr>
        <w:t> </w:t>
      </w:r>
      <w:r>
        <w:rPr>
          <w:w w:val="105"/>
        </w:rPr>
        <w:t>respective</w:t>
      </w:r>
      <w:r>
        <w:rPr>
          <w:spacing w:val="-8"/>
          <w:w w:val="105"/>
        </w:rPr>
        <w:t> </w:t>
      </w:r>
      <w:r>
        <w:rPr>
          <w:w w:val="105"/>
        </w:rPr>
        <w:t>fair</w:t>
      </w:r>
      <w:r>
        <w:rPr>
          <w:spacing w:val="-8"/>
          <w:w w:val="105"/>
        </w:rPr>
        <w:t> </w:t>
      </w:r>
      <w:r>
        <w:rPr>
          <w:w w:val="105"/>
        </w:rPr>
        <w:t>values</w:t>
      </w:r>
      <w:r>
        <w:rPr>
          <w:spacing w:val="-8"/>
          <w:w w:val="105"/>
        </w:rPr>
        <w:t> </w:t>
      </w:r>
      <w:r>
        <w:rPr>
          <w:w w:val="105"/>
        </w:rPr>
        <w:t>of</w:t>
      </w:r>
      <w:r>
        <w:rPr>
          <w:spacing w:val="-8"/>
          <w:w w:val="105"/>
        </w:rPr>
        <w:t> </w:t>
      </w:r>
      <w:r>
        <w:rPr>
          <w:w w:val="105"/>
        </w:rPr>
        <w:t>Corning’s</w:t>
      </w:r>
      <w:r>
        <w:rPr>
          <w:spacing w:val="-8"/>
          <w:w w:val="105"/>
        </w:rPr>
        <w:t> </w:t>
      </w:r>
      <w:r>
        <w:rPr>
          <w:w w:val="105"/>
        </w:rPr>
        <w:t>derivative</w:t>
      </w:r>
      <w:r>
        <w:rPr>
          <w:spacing w:val="-8"/>
          <w:w w:val="105"/>
        </w:rPr>
        <w:t> </w:t>
      </w:r>
      <w:r>
        <w:rPr>
          <w:w w:val="105"/>
        </w:rPr>
        <w:t>financial</w:t>
      </w:r>
      <w:r>
        <w:rPr>
          <w:spacing w:val="-8"/>
          <w:w w:val="105"/>
        </w:rPr>
        <w:t> </w:t>
      </w:r>
      <w:r>
        <w:rPr>
          <w:w w:val="105"/>
        </w:rPr>
        <w:t>instruments</w:t>
      </w:r>
      <w:r>
        <w:rPr>
          <w:spacing w:val="-8"/>
          <w:w w:val="105"/>
        </w:rPr>
        <w:t> </w:t>
      </w:r>
      <w:r>
        <w:rPr>
          <w:w w:val="105"/>
        </w:rPr>
        <w:t>on</w:t>
      </w:r>
      <w:r>
        <w:rPr>
          <w:spacing w:val="-8"/>
          <w:w w:val="105"/>
        </w:rPr>
        <w:t> </w:t>
      </w:r>
      <w:r>
        <w:rPr>
          <w:w w:val="105"/>
        </w:rPr>
        <w:t>a</w:t>
      </w:r>
      <w:r>
        <w:rPr>
          <w:spacing w:val="-8"/>
          <w:w w:val="105"/>
        </w:rPr>
        <w:t> </w:t>
      </w:r>
      <w:r>
        <w:rPr>
          <w:w w:val="105"/>
        </w:rPr>
        <w:t>gross</w:t>
      </w:r>
      <w:r>
        <w:rPr>
          <w:spacing w:val="-8"/>
          <w:w w:val="105"/>
        </w:rPr>
        <w:t> </w:t>
      </w:r>
      <w:r>
        <w:rPr>
          <w:w w:val="105"/>
        </w:rPr>
        <w:t>basis</w:t>
      </w:r>
      <w:r>
        <w:rPr>
          <w:spacing w:val="-8"/>
          <w:w w:val="105"/>
        </w:rPr>
        <w:t> </w:t>
      </w:r>
      <w:r>
        <w:rPr>
          <w:w w:val="105"/>
        </w:rPr>
        <w:t>for</w:t>
      </w:r>
      <w:r>
        <w:rPr>
          <w:spacing w:val="27"/>
          <w:w w:val="105"/>
        </w:rPr>
        <w:t> </w:t>
      </w:r>
      <w:r>
        <w:rPr>
          <w:w w:val="105"/>
        </w:rPr>
        <w:t>December</w:t>
      </w:r>
      <w:r>
        <w:rPr>
          <w:spacing w:val="-8"/>
          <w:w w:val="105"/>
        </w:rPr>
        <w:t> </w:t>
      </w:r>
      <w:r>
        <w:rPr>
          <w:w w:val="105"/>
        </w:rPr>
        <w:t>31,</w:t>
      </w:r>
      <w:r>
        <w:rPr>
          <w:spacing w:val="-8"/>
          <w:w w:val="105"/>
        </w:rPr>
        <w:t> </w:t>
      </w:r>
      <w:r>
        <w:rPr>
          <w:w w:val="105"/>
        </w:rPr>
        <w:t>2021</w:t>
      </w:r>
      <w:r>
        <w:rPr>
          <w:spacing w:val="-7"/>
          <w:w w:val="105"/>
        </w:rPr>
        <w:t> </w:t>
      </w:r>
      <w:r>
        <w:rPr>
          <w:w w:val="105"/>
        </w:rPr>
        <w:t>and 2020 (in millions):</w:t>
      </w:r>
    </w:p>
    <w:p>
      <w:pPr>
        <w:pStyle w:val="BodyText"/>
        <w:spacing w:before="6"/>
        <w:rPr>
          <w:sz w:val="7"/>
        </w:rPr>
      </w:pPr>
      <w:r>
        <w:rPr/>
        <mc:AlternateContent>
          <mc:Choice Requires="wps">
            <w:drawing>
              <wp:anchor distT="0" distB="0" distL="0" distR="0" allowOverlap="1" layoutInCell="1" locked="0" behindDoc="1" simplePos="0" relativeHeight="487728640">
                <wp:simplePos x="0" y="0"/>
                <wp:positionH relativeFrom="page">
                  <wp:posOffset>226479</wp:posOffset>
                </wp:positionH>
                <wp:positionV relativeFrom="paragraph">
                  <wp:posOffset>70347</wp:posOffset>
                </wp:positionV>
                <wp:extent cx="7312659" cy="16510"/>
                <wp:effectExtent l="0" t="0" r="0" b="0"/>
                <wp:wrapTopAndBottom/>
                <wp:docPr id="630" name="Graphic 630"/>
                <wp:cNvGraphicFramePr>
                  <a:graphicFrameLocks/>
                </wp:cNvGraphicFramePr>
                <a:graphic>
                  <a:graphicData uri="http://schemas.microsoft.com/office/word/2010/wordprocessingShape">
                    <wps:wsp>
                      <wps:cNvPr id="630" name="Graphic 630"/>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5.539189pt;width:575.775027pt;height:1.274pt;mso-position-horizontal-relative:page;mso-position-vertical-relative:paragraph;z-index:-15587840;mso-wrap-distance-left:0;mso-wrap-distance-right:0" id="docshape629" filled="true" fillcolor="#000000" stroked="false">
                <v:fill type="solid"/>
                <w10:wrap type="topAndBottom"/>
              </v:rect>
            </w:pict>
          </mc:Fallback>
        </mc:AlternateContent>
      </w:r>
    </w:p>
    <w:p>
      <w:pPr>
        <w:tabs>
          <w:tab w:pos="1181" w:val="left" w:leader="none"/>
          <w:tab w:pos="3324" w:val="left" w:leader="none"/>
          <w:tab w:pos="4535" w:val="left" w:leader="none"/>
          <w:tab w:pos="6878" w:val="left" w:leader="none"/>
        </w:tabs>
        <w:spacing w:before="0"/>
        <w:ind w:left="0" w:right="105" w:firstLine="0"/>
        <w:jc w:val="right"/>
        <w:rPr>
          <w:sz w:val="14"/>
        </w:rPr>
      </w:pPr>
      <w:r>
        <w:rPr>
          <w:sz w:val="14"/>
          <w:u w:val="single"/>
        </w:rPr>
        <w:tab/>
        <w:t>Asset </w:t>
      </w:r>
      <w:r>
        <w:rPr>
          <w:spacing w:val="-2"/>
          <w:sz w:val="14"/>
          <w:u w:val="single"/>
        </w:rPr>
        <w:t>derivatives</w:t>
      </w:r>
      <w:r>
        <w:rPr>
          <w:sz w:val="14"/>
          <w:u w:val="single"/>
        </w:rPr>
        <w:tab/>
      </w:r>
      <w:r>
        <w:rPr>
          <w:spacing w:val="79"/>
          <w:sz w:val="14"/>
        </w:rPr>
        <w:t> </w:t>
      </w:r>
      <w:r>
        <w:rPr>
          <w:sz w:val="14"/>
          <w:u w:val="single"/>
        </w:rPr>
        <w:tab/>
        <w:t>Liability</w:t>
      </w:r>
      <w:r>
        <w:rPr>
          <w:spacing w:val="-2"/>
          <w:sz w:val="14"/>
          <w:u w:val="single"/>
        </w:rPr>
        <w:t> derivatives</w:t>
      </w:r>
      <w:r>
        <w:rPr>
          <w:sz w:val="14"/>
          <w:u w:val="single"/>
        </w:rPr>
        <w:tab/>
      </w:r>
    </w:p>
    <w:p>
      <w:pPr>
        <w:tabs>
          <w:tab w:pos="456" w:val="left" w:leader="none"/>
          <w:tab w:pos="1859" w:val="left" w:leader="none"/>
          <w:tab w:pos="3464" w:val="left" w:leader="none"/>
          <w:tab w:pos="4100" w:val="left" w:leader="none"/>
          <w:tab w:pos="5299" w:val="left" w:leader="none"/>
          <w:tab w:pos="6904" w:val="left" w:leader="none"/>
          <w:tab w:pos="7539" w:val="left" w:leader="none"/>
          <w:tab w:pos="8853" w:val="left" w:leader="none"/>
        </w:tabs>
        <w:spacing w:before="14"/>
        <w:ind w:left="0" w:right="105" w:firstLine="0"/>
        <w:jc w:val="right"/>
        <w:rPr>
          <w:sz w:val="14"/>
        </w:rPr>
      </w:pPr>
      <w:r>
        <w:rPr>
          <w:sz w:val="14"/>
          <w:u w:val="single"/>
        </w:rPr>
        <w:tab/>
        <w:t>Notional</w:t>
      </w:r>
      <w:r>
        <w:rPr>
          <w:spacing w:val="-2"/>
          <w:sz w:val="14"/>
          <w:u w:val="single"/>
        </w:rPr>
        <w:t> amount</w:t>
      </w:r>
      <w:r>
        <w:rPr>
          <w:sz w:val="14"/>
          <w:u w:val="single"/>
        </w:rPr>
        <w:tab/>
      </w:r>
      <w:r>
        <w:rPr>
          <w:sz w:val="14"/>
        </w:rPr>
        <w:tab/>
      </w:r>
      <w:r>
        <w:rPr>
          <w:sz w:val="14"/>
          <w:u w:val="single"/>
        </w:rPr>
        <w:tab/>
        <w:t>Fair</w:t>
      </w:r>
      <w:r>
        <w:rPr>
          <w:spacing w:val="-6"/>
          <w:sz w:val="14"/>
          <w:u w:val="single"/>
        </w:rPr>
        <w:t> </w:t>
      </w:r>
      <w:r>
        <w:rPr>
          <w:spacing w:val="-2"/>
          <w:sz w:val="14"/>
          <w:u w:val="single"/>
        </w:rPr>
        <w:t>value</w:t>
      </w:r>
      <w:r>
        <w:rPr>
          <w:sz w:val="14"/>
          <w:u w:val="single"/>
        </w:rPr>
        <w:tab/>
      </w:r>
      <w:r>
        <w:rPr>
          <w:sz w:val="14"/>
        </w:rPr>
        <w:tab/>
      </w:r>
      <w:r>
        <w:rPr>
          <w:sz w:val="14"/>
          <w:u w:val="single"/>
        </w:rPr>
        <w:tab/>
        <w:t>Fair</w:t>
      </w:r>
      <w:r>
        <w:rPr>
          <w:spacing w:val="-4"/>
          <w:sz w:val="14"/>
          <w:u w:val="single"/>
        </w:rPr>
        <w:t> </w:t>
      </w:r>
      <w:r>
        <w:rPr>
          <w:spacing w:val="-2"/>
          <w:sz w:val="14"/>
          <w:u w:val="single"/>
        </w:rPr>
        <w:t>value</w:t>
      </w:r>
      <w:r>
        <w:rPr>
          <w:sz w:val="14"/>
          <w:u w:val="single"/>
        </w:rPr>
        <w:tab/>
      </w:r>
    </w:p>
    <w:p>
      <w:pPr>
        <w:tabs>
          <w:tab w:pos="4137" w:val="left" w:leader="none"/>
          <w:tab w:pos="4851" w:val="left" w:leader="none"/>
          <w:tab w:pos="6544" w:val="left" w:leader="none"/>
          <w:tab w:pos="7576" w:val="left" w:leader="none"/>
          <w:tab w:pos="8290" w:val="left" w:leader="none"/>
          <w:tab w:pos="9984" w:val="left" w:leader="none"/>
          <w:tab w:pos="11296" w:val="right" w:leader="none"/>
        </w:tabs>
        <w:spacing w:before="17"/>
        <w:ind w:left="3092" w:right="0" w:firstLine="0"/>
        <w:jc w:val="left"/>
        <w:rPr>
          <w:sz w:val="14"/>
        </w:rPr>
      </w:pPr>
      <w:r>
        <w:rPr>
          <w:b/>
          <w:spacing w:val="-4"/>
          <w:sz w:val="14"/>
        </w:rPr>
        <w:t>2021</w:t>
      </w:r>
      <w:r>
        <w:rPr>
          <w:b/>
          <w:sz w:val="14"/>
        </w:rPr>
        <w:tab/>
      </w:r>
      <w:r>
        <w:rPr>
          <w:spacing w:val="-4"/>
          <w:sz w:val="14"/>
        </w:rPr>
        <w:t>2020</w:t>
      </w:r>
      <w:r>
        <w:rPr>
          <w:sz w:val="14"/>
        </w:rPr>
        <w:tab/>
        <w:t>Balance</w:t>
      </w:r>
      <w:r>
        <w:rPr>
          <w:spacing w:val="-2"/>
          <w:sz w:val="14"/>
        </w:rPr>
        <w:t> </w:t>
      </w:r>
      <w:r>
        <w:rPr>
          <w:sz w:val="14"/>
        </w:rPr>
        <w:t>sheet </w:t>
      </w:r>
      <w:r>
        <w:rPr>
          <w:spacing w:val="-2"/>
          <w:sz w:val="14"/>
        </w:rPr>
        <w:t>location</w:t>
      </w:r>
      <w:r>
        <w:rPr>
          <w:sz w:val="14"/>
        </w:rPr>
        <w:tab/>
      </w:r>
      <w:r>
        <w:rPr>
          <w:b/>
          <w:spacing w:val="-4"/>
          <w:sz w:val="14"/>
        </w:rPr>
        <w:t>2021</w:t>
      </w:r>
      <w:r>
        <w:rPr>
          <w:b/>
          <w:sz w:val="14"/>
        </w:rPr>
        <w:tab/>
      </w:r>
      <w:r>
        <w:rPr>
          <w:spacing w:val="-4"/>
          <w:sz w:val="14"/>
        </w:rPr>
        <w:t>2020</w:t>
      </w:r>
      <w:r>
        <w:rPr>
          <w:sz w:val="14"/>
        </w:rPr>
        <w:tab/>
        <w:t>Balance</w:t>
      </w:r>
      <w:r>
        <w:rPr>
          <w:spacing w:val="-2"/>
          <w:sz w:val="14"/>
        </w:rPr>
        <w:t> </w:t>
      </w:r>
      <w:r>
        <w:rPr>
          <w:sz w:val="14"/>
        </w:rPr>
        <w:t>sheet </w:t>
      </w:r>
      <w:r>
        <w:rPr>
          <w:spacing w:val="-2"/>
          <w:sz w:val="14"/>
        </w:rPr>
        <w:t>location</w:t>
      </w:r>
      <w:r>
        <w:rPr>
          <w:sz w:val="14"/>
        </w:rPr>
        <w:tab/>
      </w:r>
      <w:r>
        <w:rPr>
          <w:b/>
          <w:spacing w:val="-4"/>
          <w:sz w:val="14"/>
        </w:rPr>
        <w:t>2021</w:t>
      </w:r>
      <w:r>
        <w:rPr>
          <w:sz w:val="14"/>
        </w:rPr>
        <w:tab/>
      </w:r>
      <w:r>
        <w:rPr>
          <w:spacing w:val="-4"/>
          <w:sz w:val="14"/>
        </w:rPr>
        <w:t>2020</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7"/>
        <w:gridCol w:w="1093"/>
        <w:gridCol w:w="1155"/>
        <w:gridCol w:w="1359"/>
        <w:gridCol w:w="926"/>
        <w:gridCol w:w="1097"/>
        <w:gridCol w:w="1476"/>
        <w:gridCol w:w="882"/>
        <w:gridCol w:w="1132"/>
      </w:tblGrid>
      <w:tr>
        <w:trPr>
          <w:trHeight w:val="304" w:hRule="atLeast"/>
        </w:trPr>
        <w:tc>
          <w:tcPr>
            <w:tcW w:w="11517" w:type="dxa"/>
            <w:gridSpan w:val="9"/>
            <w:tcBorders>
              <w:top w:val="single" w:sz="6" w:space="0" w:color="000000"/>
            </w:tcBorders>
            <w:shd w:val="clear" w:color="auto" w:fill="CCEDFF"/>
          </w:tcPr>
          <w:p>
            <w:pPr>
              <w:pStyle w:val="TableParagraph"/>
              <w:spacing w:line="152" w:lineRule="exact"/>
              <w:ind w:left="152" w:right="9596" w:hanging="153"/>
              <w:rPr>
                <w:sz w:val="11"/>
              </w:rPr>
            </w:pPr>
            <w:r>
              <w:rPr>
                <w:sz w:val="14"/>
              </w:rPr>
              <w:t>Derivatives</w:t>
            </w:r>
            <w:r>
              <w:rPr>
                <w:spacing w:val="-9"/>
                <w:sz w:val="14"/>
              </w:rPr>
              <w:t> </w:t>
            </w:r>
            <w:r>
              <w:rPr>
                <w:sz w:val="14"/>
              </w:rPr>
              <w:t>designated</w:t>
            </w:r>
            <w:r>
              <w:rPr>
                <w:spacing w:val="-9"/>
                <w:sz w:val="14"/>
              </w:rPr>
              <w:t> </w:t>
            </w:r>
            <w:r>
              <w:rPr>
                <w:sz w:val="14"/>
              </w:rPr>
              <w:t>as</w:t>
            </w:r>
            <w:r>
              <w:rPr>
                <w:spacing w:val="-9"/>
                <w:sz w:val="14"/>
              </w:rPr>
              <w:t> </w:t>
            </w:r>
            <w:r>
              <w:rPr>
                <w:sz w:val="14"/>
              </w:rPr>
              <w:t>hedging</w:t>
            </w:r>
            <w:r>
              <w:rPr>
                <w:spacing w:val="40"/>
                <w:sz w:val="14"/>
              </w:rPr>
              <w:t> </w:t>
            </w:r>
            <w:r>
              <w:rPr>
                <w:sz w:val="14"/>
              </w:rPr>
              <w:t>instruments</w:t>
            </w:r>
            <w:r>
              <w:rPr>
                <w:spacing w:val="-6"/>
                <w:sz w:val="14"/>
              </w:rPr>
              <w:t> </w:t>
            </w:r>
            <w:r>
              <w:rPr>
                <w:position w:val="3"/>
                <w:sz w:val="11"/>
              </w:rPr>
              <w:t>(1)</w:t>
            </w:r>
          </w:p>
        </w:tc>
      </w:tr>
      <w:tr>
        <w:trPr>
          <w:trHeight w:val="152" w:hRule="atLeast"/>
        </w:trPr>
        <w:tc>
          <w:tcPr>
            <w:tcW w:w="2397" w:type="dxa"/>
          </w:tcPr>
          <w:p>
            <w:pPr>
              <w:pStyle w:val="TableParagraph"/>
              <w:spacing w:line="133" w:lineRule="exact"/>
              <w:rPr>
                <w:sz w:val="14"/>
              </w:rPr>
            </w:pPr>
            <w:r>
              <w:rPr>
                <w:sz w:val="14"/>
              </w:rPr>
              <w:t>Foreign</w:t>
            </w:r>
            <w:r>
              <w:rPr>
                <w:spacing w:val="-4"/>
                <w:sz w:val="14"/>
              </w:rPr>
              <w:t> </w:t>
            </w:r>
            <w:r>
              <w:rPr>
                <w:sz w:val="14"/>
              </w:rPr>
              <w:t>exchange</w:t>
            </w:r>
            <w:r>
              <w:rPr>
                <w:spacing w:val="-2"/>
                <w:sz w:val="14"/>
              </w:rPr>
              <w:t> </w:t>
            </w:r>
            <w:r>
              <w:rPr>
                <w:sz w:val="14"/>
              </w:rPr>
              <w:t>contracts</w:t>
            </w:r>
            <w:r>
              <w:rPr>
                <w:spacing w:val="-2"/>
                <w:sz w:val="14"/>
              </w:rPr>
              <w:t> </w:t>
            </w:r>
            <w:r>
              <w:rPr>
                <w:sz w:val="14"/>
              </w:rPr>
              <w:t>and</w:t>
            </w:r>
            <w:r>
              <w:rPr>
                <w:spacing w:val="-2"/>
                <w:sz w:val="14"/>
              </w:rPr>
              <w:t> other</w:t>
            </w:r>
          </w:p>
        </w:tc>
        <w:tc>
          <w:tcPr>
            <w:tcW w:w="1093" w:type="dxa"/>
          </w:tcPr>
          <w:p>
            <w:pPr>
              <w:pStyle w:val="TableParagraph"/>
              <w:tabs>
                <w:tab w:pos="617" w:val="left" w:leader="none"/>
              </w:tabs>
              <w:spacing w:line="133" w:lineRule="exact"/>
              <w:ind w:right="-15"/>
              <w:jc w:val="right"/>
              <w:rPr>
                <w:b/>
                <w:sz w:val="14"/>
              </w:rPr>
            </w:pPr>
            <w:r>
              <w:rPr>
                <w:b/>
                <w:spacing w:val="-10"/>
                <w:sz w:val="14"/>
              </w:rPr>
              <w:t>$</w:t>
            </w:r>
            <w:r>
              <w:rPr>
                <w:b/>
                <w:sz w:val="14"/>
              </w:rPr>
              <w:tab/>
            </w:r>
            <w:r>
              <w:rPr>
                <w:b/>
                <w:spacing w:val="-5"/>
                <w:sz w:val="14"/>
              </w:rPr>
              <w:t>780</w:t>
            </w:r>
          </w:p>
        </w:tc>
        <w:tc>
          <w:tcPr>
            <w:tcW w:w="1155" w:type="dxa"/>
          </w:tcPr>
          <w:p>
            <w:pPr>
              <w:pStyle w:val="TableParagraph"/>
              <w:tabs>
                <w:tab w:pos="487" w:val="left" w:leader="none"/>
              </w:tabs>
              <w:spacing w:line="133" w:lineRule="exact"/>
              <w:ind w:right="120"/>
              <w:jc w:val="right"/>
              <w:rPr>
                <w:sz w:val="14"/>
              </w:rPr>
            </w:pPr>
            <w:r>
              <w:rPr>
                <w:spacing w:val="-10"/>
                <w:sz w:val="14"/>
              </w:rPr>
              <w:t>$</w:t>
            </w:r>
            <w:r>
              <w:rPr>
                <w:sz w:val="14"/>
              </w:rPr>
              <w:tab/>
            </w:r>
            <w:r>
              <w:rPr>
                <w:spacing w:val="-2"/>
                <w:sz w:val="14"/>
              </w:rPr>
              <w:t>1,143</w:t>
            </w:r>
          </w:p>
        </w:tc>
        <w:tc>
          <w:tcPr>
            <w:tcW w:w="1359" w:type="dxa"/>
          </w:tcPr>
          <w:p>
            <w:pPr>
              <w:pStyle w:val="TableParagraph"/>
              <w:spacing w:line="133" w:lineRule="exact"/>
              <w:ind w:left="1" w:right="1"/>
              <w:jc w:val="center"/>
              <w:rPr>
                <w:sz w:val="14"/>
              </w:rPr>
            </w:pPr>
            <w:r>
              <w:rPr>
                <w:sz w:val="14"/>
              </w:rPr>
              <w:t>Other current </w:t>
            </w:r>
            <w:r>
              <w:rPr>
                <w:spacing w:val="-2"/>
                <w:sz w:val="14"/>
              </w:rPr>
              <w:t>assets</w:t>
            </w:r>
          </w:p>
        </w:tc>
        <w:tc>
          <w:tcPr>
            <w:tcW w:w="926" w:type="dxa"/>
          </w:tcPr>
          <w:p>
            <w:pPr>
              <w:pStyle w:val="TableParagraph"/>
              <w:tabs>
                <w:tab w:pos="662" w:val="left" w:leader="none"/>
              </w:tabs>
              <w:spacing w:line="133" w:lineRule="exact"/>
              <w:jc w:val="right"/>
              <w:rPr>
                <w:b/>
                <w:sz w:val="14"/>
              </w:rPr>
            </w:pPr>
            <w:r>
              <w:rPr>
                <w:b/>
                <w:spacing w:val="-10"/>
                <w:sz w:val="14"/>
              </w:rPr>
              <w:t>$</w:t>
            </w:r>
            <w:r>
              <w:rPr>
                <w:b/>
                <w:sz w:val="14"/>
              </w:rPr>
              <w:tab/>
            </w:r>
            <w:r>
              <w:rPr>
                <w:b/>
                <w:spacing w:val="-5"/>
                <w:sz w:val="14"/>
              </w:rPr>
              <w:t>49</w:t>
            </w:r>
          </w:p>
        </w:tc>
        <w:tc>
          <w:tcPr>
            <w:tcW w:w="1097" w:type="dxa"/>
          </w:tcPr>
          <w:p>
            <w:pPr>
              <w:pStyle w:val="TableParagraph"/>
              <w:tabs>
                <w:tab w:pos="662" w:val="left" w:leader="none"/>
              </w:tabs>
              <w:spacing w:line="133" w:lineRule="exact"/>
              <w:ind w:right="63"/>
              <w:jc w:val="right"/>
              <w:rPr>
                <w:sz w:val="14"/>
              </w:rPr>
            </w:pPr>
            <w:r>
              <w:rPr>
                <w:spacing w:val="-10"/>
                <w:sz w:val="14"/>
              </w:rPr>
              <w:t>$</w:t>
            </w:r>
            <w:r>
              <w:rPr>
                <w:sz w:val="14"/>
              </w:rPr>
              <w:tab/>
            </w:r>
            <w:r>
              <w:rPr>
                <w:spacing w:val="-5"/>
                <w:sz w:val="14"/>
              </w:rPr>
              <w:t>37</w:t>
            </w:r>
          </w:p>
        </w:tc>
        <w:tc>
          <w:tcPr>
            <w:tcW w:w="1476" w:type="dxa"/>
          </w:tcPr>
          <w:p>
            <w:pPr>
              <w:pStyle w:val="TableParagraph"/>
              <w:spacing w:line="133" w:lineRule="exact"/>
              <w:ind w:right="1"/>
              <w:jc w:val="center"/>
              <w:rPr>
                <w:sz w:val="14"/>
              </w:rPr>
            </w:pPr>
            <w:r>
              <w:rPr>
                <w:sz w:val="14"/>
              </w:rPr>
              <w:t>Other accrued </w:t>
            </w:r>
            <w:r>
              <w:rPr>
                <w:spacing w:val="-2"/>
                <w:sz w:val="14"/>
              </w:rPr>
              <w:t>liabilities</w:t>
            </w:r>
          </w:p>
        </w:tc>
        <w:tc>
          <w:tcPr>
            <w:tcW w:w="882" w:type="dxa"/>
          </w:tcPr>
          <w:p>
            <w:pPr>
              <w:pStyle w:val="TableParagraph"/>
              <w:tabs>
                <w:tab w:pos="685" w:val="left" w:leader="none"/>
              </w:tabs>
              <w:spacing w:line="133" w:lineRule="exact"/>
              <w:ind w:right="14"/>
              <w:jc w:val="right"/>
              <w:rPr>
                <w:b/>
                <w:sz w:val="14"/>
              </w:rPr>
            </w:pPr>
            <w:r>
              <w:rPr>
                <w:b/>
                <w:spacing w:val="-10"/>
                <w:sz w:val="14"/>
              </w:rPr>
              <w:t>$</w:t>
            </w:r>
            <w:r>
              <w:rPr>
                <w:b/>
                <w:sz w:val="14"/>
              </w:rPr>
              <w:tab/>
            </w:r>
            <w:r>
              <w:rPr>
                <w:b/>
                <w:spacing w:val="-5"/>
                <w:sz w:val="14"/>
              </w:rPr>
              <w:t>(2</w:t>
            </w:r>
          </w:p>
        </w:tc>
        <w:tc>
          <w:tcPr>
            <w:tcW w:w="1132" w:type="dxa"/>
          </w:tcPr>
          <w:p>
            <w:pPr>
              <w:pStyle w:val="TableParagraph"/>
              <w:tabs>
                <w:tab w:pos="899" w:val="left" w:leader="none"/>
              </w:tabs>
              <w:spacing w:line="133" w:lineRule="exact"/>
              <w:ind w:left="-16" w:right="67"/>
              <w:jc w:val="right"/>
              <w:rPr>
                <w:sz w:val="14"/>
              </w:rPr>
            </w:pPr>
            <w:r>
              <w:rPr>
                <w:b/>
                <w:sz w:val="14"/>
              </w:rPr>
              <w:t>)</w:t>
            </w:r>
            <w:r>
              <w:rPr>
                <w:b/>
                <w:spacing w:val="56"/>
                <w:sz w:val="14"/>
              </w:rPr>
              <w:t>  </w:t>
            </w:r>
            <w:r>
              <w:rPr>
                <w:spacing w:val="-10"/>
                <w:sz w:val="14"/>
              </w:rPr>
              <w:t>$</w:t>
            </w:r>
            <w:r>
              <w:rPr>
                <w:sz w:val="14"/>
              </w:rPr>
              <w:tab/>
            </w:r>
            <w:r>
              <w:rPr>
                <w:spacing w:val="-5"/>
                <w:sz w:val="14"/>
              </w:rPr>
              <w:t>(3)</w:t>
            </w:r>
          </w:p>
        </w:tc>
      </w:tr>
      <w:tr>
        <w:trPr>
          <w:trHeight w:val="152" w:hRule="atLeast"/>
        </w:trPr>
        <w:tc>
          <w:tcPr>
            <w:tcW w:w="2397" w:type="dxa"/>
            <w:shd w:val="clear" w:color="auto" w:fill="CCEDFF"/>
          </w:tcPr>
          <w:p>
            <w:pPr>
              <w:pStyle w:val="TableParagraph"/>
              <w:rPr>
                <w:sz w:val="8"/>
              </w:rPr>
            </w:pPr>
          </w:p>
        </w:tc>
        <w:tc>
          <w:tcPr>
            <w:tcW w:w="1093" w:type="dxa"/>
            <w:shd w:val="clear" w:color="auto" w:fill="CCEDFF"/>
          </w:tcPr>
          <w:p>
            <w:pPr>
              <w:pStyle w:val="TableParagraph"/>
              <w:rPr>
                <w:sz w:val="8"/>
              </w:rPr>
            </w:pPr>
          </w:p>
        </w:tc>
        <w:tc>
          <w:tcPr>
            <w:tcW w:w="1155" w:type="dxa"/>
            <w:shd w:val="clear" w:color="auto" w:fill="CCEDFF"/>
          </w:tcPr>
          <w:p>
            <w:pPr>
              <w:pStyle w:val="TableParagraph"/>
              <w:rPr>
                <w:sz w:val="8"/>
              </w:rPr>
            </w:pPr>
          </w:p>
        </w:tc>
        <w:tc>
          <w:tcPr>
            <w:tcW w:w="1359" w:type="dxa"/>
            <w:shd w:val="clear" w:color="auto" w:fill="CCEDFF"/>
          </w:tcPr>
          <w:p>
            <w:pPr>
              <w:pStyle w:val="TableParagraph"/>
              <w:spacing w:line="133" w:lineRule="exact"/>
              <w:ind w:right="1"/>
              <w:jc w:val="center"/>
              <w:rPr>
                <w:sz w:val="14"/>
              </w:rPr>
            </w:pPr>
            <w:r>
              <w:rPr>
                <w:sz w:val="14"/>
              </w:rPr>
              <w:t>Other</w:t>
            </w:r>
            <w:r>
              <w:rPr>
                <w:spacing w:val="-5"/>
                <w:sz w:val="14"/>
              </w:rPr>
              <w:t> </w:t>
            </w:r>
            <w:r>
              <w:rPr>
                <w:spacing w:val="-2"/>
                <w:sz w:val="14"/>
              </w:rPr>
              <w:t>assets</w:t>
            </w:r>
          </w:p>
        </w:tc>
        <w:tc>
          <w:tcPr>
            <w:tcW w:w="926" w:type="dxa"/>
            <w:shd w:val="clear" w:color="auto" w:fill="CCEDFF"/>
          </w:tcPr>
          <w:p>
            <w:pPr>
              <w:pStyle w:val="TableParagraph"/>
              <w:spacing w:line="133" w:lineRule="exact"/>
              <w:jc w:val="right"/>
              <w:rPr>
                <w:b/>
                <w:sz w:val="14"/>
              </w:rPr>
            </w:pPr>
            <w:r>
              <w:rPr>
                <w:b/>
                <w:spacing w:val="-5"/>
                <w:sz w:val="14"/>
              </w:rPr>
              <w:t>10</w:t>
            </w:r>
          </w:p>
        </w:tc>
        <w:tc>
          <w:tcPr>
            <w:tcW w:w="1097" w:type="dxa"/>
            <w:shd w:val="clear" w:color="auto" w:fill="CCEDFF"/>
          </w:tcPr>
          <w:p>
            <w:pPr>
              <w:pStyle w:val="TableParagraph"/>
              <w:spacing w:line="133" w:lineRule="exact"/>
              <w:ind w:right="63"/>
              <w:jc w:val="right"/>
              <w:rPr>
                <w:sz w:val="14"/>
              </w:rPr>
            </w:pPr>
            <w:r>
              <w:rPr>
                <w:spacing w:val="-5"/>
                <w:sz w:val="14"/>
              </w:rPr>
              <w:t>21</w:t>
            </w:r>
          </w:p>
        </w:tc>
        <w:tc>
          <w:tcPr>
            <w:tcW w:w="1476" w:type="dxa"/>
            <w:shd w:val="clear" w:color="auto" w:fill="CCEDFF"/>
          </w:tcPr>
          <w:p>
            <w:pPr>
              <w:pStyle w:val="TableParagraph"/>
              <w:spacing w:line="133" w:lineRule="exact"/>
              <w:ind w:left="1" w:right="1"/>
              <w:jc w:val="center"/>
              <w:rPr>
                <w:sz w:val="14"/>
              </w:rPr>
            </w:pPr>
            <w:r>
              <w:rPr>
                <w:sz w:val="14"/>
              </w:rPr>
              <w:t>Other </w:t>
            </w:r>
            <w:r>
              <w:rPr>
                <w:spacing w:val="-2"/>
                <w:sz w:val="14"/>
              </w:rPr>
              <w:t>liabilities</w:t>
            </w:r>
          </w:p>
        </w:tc>
        <w:tc>
          <w:tcPr>
            <w:tcW w:w="882" w:type="dxa"/>
            <w:shd w:val="clear" w:color="auto" w:fill="CCEDFF"/>
          </w:tcPr>
          <w:p>
            <w:pPr>
              <w:pStyle w:val="TableParagraph"/>
              <w:spacing w:line="133" w:lineRule="exact"/>
              <w:ind w:right="14"/>
              <w:jc w:val="right"/>
              <w:rPr>
                <w:b/>
                <w:sz w:val="14"/>
              </w:rPr>
            </w:pPr>
            <w:r>
              <w:rPr>
                <w:b/>
                <w:spacing w:val="-5"/>
                <w:sz w:val="14"/>
              </w:rPr>
              <w:t>(9</w:t>
            </w:r>
          </w:p>
        </w:tc>
        <w:tc>
          <w:tcPr>
            <w:tcW w:w="1132" w:type="dxa"/>
            <w:shd w:val="clear" w:color="auto" w:fill="CCEDFF"/>
          </w:tcPr>
          <w:p>
            <w:pPr>
              <w:pStyle w:val="TableParagraph"/>
              <w:tabs>
                <w:tab w:pos="899" w:val="left" w:leader="none"/>
              </w:tabs>
              <w:spacing w:line="133" w:lineRule="exact"/>
              <w:ind w:left="-16" w:right="67"/>
              <w:jc w:val="right"/>
              <w:rPr>
                <w:sz w:val="14"/>
              </w:rPr>
            </w:pPr>
            <w:r>
              <w:rPr>
                <w:b/>
                <w:spacing w:val="-10"/>
                <w:sz w:val="14"/>
              </w:rPr>
              <w:t>)</w:t>
            </w:r>
            <w:r>
              <w:rPr>
                <w:b/>
                <w:sz w:val="14"/>
              </w:rPr>
              <w:tab/>
            </w:r>
            <w:r>
              <w:rPr>
                <w:spacing w:val="-5"/>
                <w:sz w:val="14"/>
              </w:rPr>
              <w:t>(1)</w:t>
            </w:r>
          </w:p>
        </w:tc>
      </w:tr>
      <w:tr>
        <w:trPr>
          <w:trHeight w:val="152" w:hRule="atLeast"/>
        </w:trPr>
        <w:tc>
          <w:tcPr>
            <w:tcW w:w="2397" w:type="dxa"/>
          </w:tcPr>
          <w:p>
            <w:pPr>
              <w:pStyle w:val="TableParagraph"/>
              <w:rPr>
                <w:sz w:val="8"/>
              </w:rPr>
            </w:pPr>
          </w:p>
        </w:tc>
        <w:tc>
          <w:tcPr>
            <w:tcW w:w="1093" w:type="dxa"/>
          </w:tcPr>
          <w:p>
            <w:pPr>
              <w:pStyle w:val="TableParagraph"/>
              <w:rPr>
                <w:sz w:val="8"/>
              </w:rPr>
            </w:pPr>
          </w:p>
        </w:tc>
        <w:tc>
          <w:tcPr>
            <w:tcW w:w="1155" w:type="dxa"/>
          </w:tcPr>
          <w:p>
            <w:pPr>
              <w:pStyle w:val="TableParagraph"/>
              <w:rPr>
                <w:sz w:val="8"/>
              </w:rPr>
            </w:pPr>
          </w:p>
        </w:tc>
        <w:tc>
          <w:tcPr>
            <w:tcW w:w="1359" w:type="dxa"/>
          </w:tcPr>
          <w:p>
            <w:pPr>
              <w:pStyle w:val="TableParagraph"/>
              <w:rPr>
                <w:sz w:val="8"/>
              </w:rPr>
            </w:pPr>
          </w:p>
        </w:tc>
        <w:tc>
          <w:tcPr>
            <w:tcW w:w="926" w:type="dxa"/>
          </w:tcPr>
          <w:p>
            <w:pPr>
              <w:pStyle w:val="TableParagraph"/>
              <w:rPr>
                <w:sz w:val="8"/>
              </w:rPr>
            </w:pPr>
          </w:p>
        </w:tc>
        <w:tc>
          <w:tcPr>
            <w:tcW w:w="1097" w:type="dxa"/>
          </w:tcPr>
          <w:p>
            <w:pPr>
              <w:pStyle w:val="TableParagraph"/>
              <w:rPr>
                <w:sz w:val="8"/>
              </w:rPr>
            </w:pPr>
          </w:p>
        </w:tc>
        <w:tc>
          <w:tcPr>
            <w:tcW w:w="1476" w:type="dxa"/>
          </w:tcPr>
          <w:p>
            <w:pPr>
              <w:pStyle w:val="TableParagraph"/>
              <w:rPr>
                <w:sz w:val="8"/>
              </w:rPr>
            </w:pPr>
          </w:p>
        </w:tc>
        <w:tc>
          <w:tcPr>
            <w:tcW w:w="882" w:type="dxa"/>
          </w:tcPr>
          <w:p>
            <w:pPr>
              <w:pStyle w:val="TableParagraph"/>
              <w:rPr>
                <w:sz w:val="8"/>
              </w:rPr>
            </w:pPr>
          </w:p>
        </w:tc>
        <w:tc>
          <w:tcPr>
            <w:tcW w:w="1132" w:type="dxa"/>
          </w:tcPr>
          <w:p>
            <w:pPr>
              <w:pStyle w:val="TableParagraph"/>
              <w:rPr>
                <w:sz w:val="8"/>
              </w:rPr>
            </w:pPr>
          </w:p>
        </w:tc>
      </w:tr>
      <w:tr>
        <w:trPr>
          <w:trHeight w:val="305" w:hRule="atLeast"/>
        </w:trPr>
        <w:tc>
          <w:tcPr>
            <w:tcW w:w="2397" w:type="dxa"/>
            <w:shd w:val="clear" w:color="auto" w:fill="CCEDFF"/>
          </w:tcPr>
          <w:p>
            <w:pPr>
              <w:pStyle w:val="TableParagraph"/>
              <w:spacing w:line="152" w:lineRule="exact"/>
              <w:ind w:left="152" w:right="262" w:hanging="153"/>
              <w:rPr>
                <w:sz w:val="14"/>
              </w:rPr>
            </w:pPr>
            <w:r>
              <w:rPr>
                <w:sz w:val="14"/>
              </w:rPr>
              <w:t>Derivatives</w:t>
            </w:r>
            <w:r>
              <w:rPr>
                <w:spacing w:val="-9"/>
                <w:sz w:val="14"/>
              </w:rPr>
              <w:t> </w:t>
            </w:r>
            <w:r>
              <w:rPr>
                <w:sz w:val="14"/>
              </w:rPr>
              <w:t>not</w:t>
            </w:r>
            <w:r>
              <w:rPr>
                <w:spacing w:val="-9"/>
                <w:sz w:val="14"/>
              </w:rPr>
              <w:t> </w:t>
            </w:r>
            <w:r>
              <w:rPr>
                <w:sz w:val="14"/>
              </w:rPr>
              <w:t>designated</w:t>
            </w:r>
            <w:r>
              <w:rPr>
                <w:spacing w:val="-9"/>
                <w:sz w:val="14"/>
              </w:rPr>
              <w:t> </w:t>
            </w:r>
            <w:r>
              <w:rPr>
                <w:sz w:val="14"/>
              </w:rPr>
              <w:t>as</w:t>
            </w:r>
            <w:r>
              <w:rPr>
                <w:spacing w:val="-8"/>
                <w:sz w:val="14"/>
              </w:rPr>
              <w:t> </w:t>
            </w:r>
            <w:r>
              <w:rPr>
                <w:sz w:val="14"/>
              </w:rPr>
              <w:t>hedging</w:t>
            </w:r>
            <w:r>
              <w:rPr>
                <w:spacing w:val="40"/>
                <w:sz w:val="14"/>
              </w:rPr>
              <w:t> </w:t>
            </w:r>
            <w:r>
              <w:rPr>
                <w:spacing w:val="-2"/>
                <w:sz w:val="14"/>
              </w:rPr>
              <w:t>instruments</w:t>
            </w:r>
          </w:p>
        </w:tc>
        <w:tc>
          <w:tcPr>
            <w:tcW w:w="1093" w:type="dxa"/>
            <w:shd w:val="clear" w:color="auto" w:fill="CCEDFF"/>
          </w:tcPr>
          <w:p>
            <w:pPr>
              <w:pStyle w:val="TableParagraph"/>
              <w:rPr>
                <w:sz w:val="14"/>
              </w:rPr>
            </w:pPr>
          </w:p>
        </w:tc>
        <w:tc>
          <w:tcPr>
            <w:tcW w:w="1155" w:type="dxa"/>
            <w:shd w:val="clear" w:color="auto" w:fill="CCEDFF"/>
          </w:tcPr>
          <w:p>
            <w:pPr>
              <w:pStyle w:val="TableParagraph"/>
              <w:rPr>
                <w:sz w:val="14"/>
              </w:rPr>
            </w:pPr>
          </w:p>
        </w:tc>
        <w:tc>
          <w:tcPr>
            <w:tcW w:w="1359" w:type="dxa"/>
            <w:shd w:val="clear" w:color="auto" w:fill="CCEDFF"/>
          </w:tcPr>
          <w:p>
            <w:pPr>
              <w:pStyle w:val="TableParagraph"/>
              <w:rPr>
                <w:sz w:val="14"/>
              </w:rPr>
            </w:pPr>
          </w:p>
        </w:tc>
        <w:tc>
          <w:tcPr>
            <w:tcW w:w="926" w:type="dxa"/>
            <w:shd w:val="clear" w:color="auto" w:fill="CCEDFF"/>
          </w:tcPr>
          <w:p>
            <w:pPr>
              <w:pStyle w:val="TableParagraph"/>
              <w:rPr>
                <w:sz w:val="14"/>
              </w:rPr>
            </w:pPr>
          </w:p>
        </w:tc>
        <w:tc>
          <w:tcPr>
            <w:tcW w:w="1097" w:type="dxa"/>
            <w:shd w:val="clear" w:color="auto" w:fill="CCEDFF"/>
          </w:tcPr>
          <w:p>
            <w:pPr>
              <w:pStyle w:val="TableParagraph"/>
              <w:rPr>
                <w:sz w:val="14"/>
              </w:rPr>
            </w:pPr>
          </w:p>
        </w:tc>
        <w:tc>
          <w:tcPr>
            <w:tcW w:w="1476" w:type="dxa"/>
            <w:shd w:val="clear" w:color="auto" w:fill="CCEDFF"/>
          </w:tcPr>
          <w:p>
            <w:pPr>
              <w:pStyle w:val="TableParagraph"/>
              <w:rPr>
                <w:sz w:val="14"/>
              </w:rPr>
            </w:pPr>
          </w:p>
        </w:tc>
        <w:tc>
          <w:tcPr>
            <w:tcW w:w="882" w:type="dxa"/>
            <w:shd w:val="clear" w:color="auto" w:fill="CCEDFF"/>
          </w:tcPr>
          <w:p>
            <w:pPr>
              <w:pStyle w:val="TableParagraph"/>
              <w:rPr>
                <w:sz w:val="14"/>
              </w:rPr>
            </w:pPr>
          </w:p>
        </w:tc>
        <w:tc>
          <w:tcPr>
            <w:tcW w:w="1132" w:type="dxa"/>
            <w:shd w:val="clear" w:color="auto" w:fill="CCEDFF"/>
          </w:tcPr>
          <w:p>
            <w:pPr>
              <w:pStyle w:val="TableParagraph"/>
              <w:rPr>
                <w:sz w:val="14"/>
              </w:rPr>
            </w:pPr>
          </w:p>
        </w:tc>
      </w:tr>
      <w:tr>
        <w:trPr>
          <w:trHeight w:val="152" w:hRule="atLeast"/>
        </w:trPr>
        <w:tc>
          <w:tcPr>
            <w:tcW w:w="2397" w:type="dxa"/>
          </w:tcPr>
          <w:p>
            <w:pPr>
              <w:pStyle w:val="TableParagraph"/>
              <w:spacing w:line="133" w:lineRule="exact"/>
              <w:rPr>
                <w:sz w:val="14"/>
              </w:rPr>
            </w:pPr>
            <w:r>
              <w:rPr>
                <w:sz w:val="14"/>
              </w:rPr>
              <w:t>Foreign exchange </w:t>
            </w:r>
            <w:r>
              <w:rPr>
                <w:spacing w:val="-2"/>
                <w:sz w:val="14"/>
              </w:rPr>
              <w:t>contracts</w:t>
            </w:r>
          </w:p>
        </w:tc>
        <w:tc>
          <w:tcPr>
            <w:tcW w:w="1093" w:type="dxa"/>
          </w:tcPr>
          <w:p>
            <w:pPr>
              <w:pStyle w:val="TableParagraph"/>
              <w:spacing w:line="133" w:lineRule="exact"/>
              <w:ind w:right="-15"/>
              <w:jc w:val="right"/>
              <w:rPr>
                <w:b/>
                <w:sz w:val="14"/>
              </w:rPr>
            </w:pPr>
            <w:r>
              <w:rPr>
                <w:b/>
                <w:spacing w:val="-2"/>
                <w:sz w:val="14"/>
              </w:rPr>
              <w:t>3,864</w:t>
            </w:r>
          </w:p>
        </w:tc>
        <w:tc>
          <w:tcPr>
            <w:tcW w:w="1155" w:type="dxa"/>
          </w:tcPr>
          <w:p>
            <w:pPr>
              <w:pStyle w:val="TableParagraph"/>
              <w:spacing w:line="133" w:lineRule="exact"/>
              <w:ind w:right="120"/>
              <w:jc w:val="right"/>
              <w:rPr>
                <w:sz w:val="14"/>
              </w:rPr>
            </w:pPr>
            <w:r>
              <w:rPr>
                <w:spacing w:val="-2"/>
                <w:sz w:val="14"/>
              </w:rPr>
              <w:t>6,144</w:t>
            </w:r>
          </w:p>
        </w:tc>
        <w:tc>
          <w:tcPr>
            <w:tcW w:w="1359" w:type="dxa"/>
          </w:tcPr>
          <w:p>
            <w:pPr>
              <w:pStyle w:val="TableParagraph"/>
              <w:spacing w:line="133" w:lineRule="exact"/>
              <w:ind w:left="1" w:right="1"/>
              <w:jc w:val="center"/>
              <w:rPr>
                <w:sz w:val="14"/>
              </w:rPr>
            </w:pPr>
            <w:r>
              <w:rPr>
                <w:sz w:val="14"/>
              </w:rPr>
              <w:t>Other current </w:t>
            </w:r>
            <w:r>
              <w:rPr>
                <w:spacing w:val="-2"/>
                <w:sz w:val="14"/>
              </w:rPr>
              <w:t>assets</w:t>
            </w:r>
          </w:p>
        </w:tc>
        <w:tc>
          <w:tcPr>
            <w:tcW w:w="926" w:type="dxa"/>
          </w:tcPr>
          <w:p>
            <w:pPr>
              <w:pStyle w:val="TableParagraph"/>
              <w:spacing w:line="133" w:lineRule="exact"/>
              <w:jc w:val="right"/>
              <w:rPr>
                <w:b/>
                <w:sz w:val="14"/>
              </w:rPr>
            </w:pPr>
            <w:r>
              <w:rPr>
                <w:b/>
                <w:spacing w:val="-5"/>
                <w:sz w:val="14"/>
              </w:rPr>
              <w:t>91</w:t>
            </w:r>
          </w:p>
        </w:tc>
        <w:tc>
          <w:tcPr>
            <w:tcW w:w="1097" w:type="dxa"/>
          </w:tcPr>
          <w:p>
            <w:pPr>
              <w:pStyle w:val="TableParagraph"/>
              <w:spacing w:line="133" w:lineRule="exact"/>
              <w:ind w:right="63"/>
              <w:jc w:val="right"/>
              <w:rPr>
                <w:sz w:val="14"/>
              </w:rPr>
            </w:pPr>
            <w:r>
              <w:rPr>
                <w:spacing w:val="-5"/>
                <w:sz w:val="14"/>
              </w:rPr>
              <w:t>45</w:t>
            </w:r>
          </w:p>
        </w:tc>
        <w:tc>
          <w:tcPr>
            <w:tcW w:w="1476" w:type="dxa"/>
          </w:tcPr>
          <w:p>
            <w:pPr>
              <w:pStyle w:val="TableParagraph"/>
              <w:spacing w:line="133" w:lineRule="exact"/>
              <w:ind w:right="1"/>
              <w:jc w:val="center"/>
              <w:rPr>
                <w:sz w:val="14"/>
              </w:rPr>
            </w:pPr>
            <w:r>
              <w:rPr>
                <w:sz w:val="14"/>
              </w:rPr>
              <w:t>Other accrued </w:t>
            </w:r>
            <w:r>
              <w:rPr>
                <w:spacing w:val="-2"/>
                <w:sz w:val="14"/>
              </w:rPr>
              <w:t>liabilities</w:t>
            </w:r>
          </w:p>
        </w:tc>
        <w:tc>
          <w:tcPr>
            <w:tcW w:w="882" w:type="dxa"/>
          </w:tcPr>
          <w:p>
            <w:pPr>
              <w:pStyle w:val="TableParagraph"/>
              <w:spacing w:line="133" w:lineRule="exact"/>
              <w:ind w:right="14"/>
              <w:jc w:val="right"/>
              <w:rPr>
                <w:b/>
                <w:sz w:val="14"/>
              </w:rPr>
            </w:pPr>
            <w:r>
              <w:rPr>
                <w:b/>
                <w:spacing w:val="-5"/>
                <w:sz w:val="14"/>
              </w:rPr>
              <w:t>(95</w:t>
            </w:r>
          </w:p>
        </w:tc>
        <w:tc>
          <w:tcPr>
            <w:tcW w:w="1132" w:type="dxa"/>
          </w:tcPr>
          <w:p>
            <w:pPr>
              <w:pStyle w:val="TableParagraph"/>
              <w:tabs>
                <w:tab w:pos="829" w:val="left" w:leader="none"/>
              </w:tabs>
              <w:spacing w:line="133" w:lineRule="exact"/>
              <w:ind w:left="-16" w:right="67"/>
              <w:jc w:val="right"/>
              <w:rPr>
                <w:sz w:val="14"/>
              </w:rPr>
            </w:pPr>
            <w:r>
              <w:rPr>
                <w:b/>
                <w:spacing w:val="-10"/>
                <w:sz w:val="14"/>
              </w:rPr>
              <w:t>)</w:t>
            </w:r>
            <w:r>
              <w:rPr>
                <w:b/>
                <w:sz w:val="14"/>
              </w:rPr>
              <w:tab/>
            </w:r>
            <w:r>
              <w:rPr>
                <w:spacing w:val="-4"/>
                <w:sz w:val="14"/>
              </w:rPr>
              <w:t>(76)</w:t>
            </w:r>
          </w:p>
        </w:tc>
      </w:tr>
      <w:tr>
        <w:trPr>
          <w:trHeight w:val="152" w:hRule="atLeast"/>
        </w:trPr>
        <w:tc>
          <w:tcPr>
            <w:tcW w:w="2397" w:type="dxa"/>
            <w:shd w:val="clear" w:color="auto" w:fill="CCEDFF"/>
          </w:tcPr>
          <w:p>
            <w:pPr>
              <w:pStyle w:val="TableParagraph"/>
              <w:rPr>
                <w:sz w:val="8"/>
              </w:rPr>
            </w:pPr>
          </w:p>
        </w:tc>
        <w:tc>
          <w:tcPr>
            <w:tcW w:w="1093" w:type="dxa"/>
            <w:shd w:val="clear" w:color="auto" w:fill="CCEDFF"/>
          </w:tcPr>
          <w:p>
            <w:pPr>
              <w:pStyle w:val="TableParagraph"/>
              <w:rPr>
                <w:sz w:val="8"/>
              </w:rPr>
            </w:pPr>
          </w:p>
        </w:tc>
        <w:tc>
          <w:tcPr>
            <w:tcW w:w="1155" w:type="dxa"/>
            <w:shd w:val="clear" w:color="auto" w:fill="CCEDFF"/>
          </w:tcPr>
          <w:p>
            <w:pPr>
              <w:pStyle w:val="TableParagraph"/>
              <w:rPr>
                <w:sz w:val="8"/>
              </w:rPr>
            </w:pPr>
          </w:p>
        </w:tc>
        <w:tc>
          <w:tcPr>
            <w:tcW w:w="1359" w:type="dxa"/>
            <w:shd w:val="clear" w:color="auto" w:fill="CCEDFF"/>
          </w:tcPr>
          <w:p>
            <w:pPr>
              <w:pStyle w:val="TableParagraph"/>
              <w:spacing w:line="133" w:lineRule="exact"/>
              <w:ind w:right="1"/>
              <w:jc w:val="center"/>
              <w:rPr>
                <w:sz w:val="14"/>
              </w:rPr>
            </w:pPr>
            <w:r>
              <w:rPr>
                <w:sz w:val="14"/>
              </w:rPr>
              <w:t>Other</w:t>
            </w:r>
            <w:r>
              <w:rPr>
                <w:spacing w:val="-5"/>
                <w:sz w:val="14"/>
              </w:rPr>
              <w:t> </w:t>
            </w:r>
            <w:r>
              <w:rPr>
                <w:spacing w:val="-2"/>
                <w:sz w:val="14"/>
              </w:rPr>
              <w:t>assets</w:t>
            </w:r>
          </w:p>
        </w:tc>
        <w:tc>
          <w:tcPr>
            <w:tcW w:w="926" w:type="dxa"/>
            <w:shd w:val="clear" w:color="auto" w:fill="CCEDFF"/>
          </w:tcPr>
          <w:p>
            <w:pPr>
              <w:pStyle w:val="TableParagraph"/>
              <w:rPr>
                <w:sz w:val="8"/>
              </w:rPr>
            </w:pPr>
          </w:p>
        </w:tc>
        <w:tc>
          <w:tcPr>
            <w:tcW w:w="1097" w:type="dxa"/>
            <w:shd w:val="clear" w:color="auto" w:fill="CCEDFF"/>
          </w:tcPr>
          <w:p>
            <w:pPr>
              <w:pStyle w:val="TableParagraph"/>
              <w:spacing w:line="133" w:lineRule="exact"/>
              <w:ind w:right="63"/>
              <w:jc w:val="right"/>
              <w:rPr>
                <w:sz w:val="14"/>
              </w:rPr>
            </w:pPr>
            <w:r>
              <w:rPr>
                <w:spacing w:val="-5"/>
                <w:sz w:val="14"/>
              </w:rPr>
              <w:t>41</w:t>
            </w:r>
          </w:p>
        </w:tc>
        <w:tc>
          <w:tcPr>
            <w:tcW w:w="1476" w:type="dxa"/>
            <w:shd w:val="clear" w:color="auto" w:fill="CCEDFF"/>
          </w:tcPr>
          <w:p>
            <w:pPr>
              <w:pStyle w:val="TableParagraph"/>
              <w:spacing w:line="133" w:lineRule="exact"/>
              <w:ind w:left="1" w:right="1"/>
              <w:jc w:val="center"/>
              <w:rPr>
                <w:sz w:val="14"/>
              </w:rPr>
            </w:pPr>
            <w:r>
              <w:rPr>
                <w:sz w:val="14"/>
              </w:rPr>
              <w:t>Other </w:t>
            </w:r>
            <w:r>
              <w:rPr>
                <w:spacing w:val="-2"/>
                <w:sz w:val="14"/>
              </w:rPr>
              <w:t>liabilities</w:t>
            </w:r>
          </w:p>
        </w:tc>
        <w:tc>
          <w:tcPr>
            <w:tcW w:w="882" w:type="dxa"/>
            <w:shd w:val="clear" w:color="auto" w:fill="CCEDFF"/>
          </w:tcPr>
          <w:p>
            <w:pPr>
              <w:pStyle w:val="TableParagraph"/>
              <w:rPr>
                <w:sz w:val="8"/>
              </w:rPr>
            </w:pPr>
          </w:p>
        </w:tc>
        <w:tc>
          <w:tcPr>
            <w:tcW w:w="1132" w:type="dxa"/>
            <w:shd w:val="clear" w:color="auto" w:fill="CCEDFF"/>
          </w:tcPr>
          <w:p>
            <w:pPr>
              <w:pStyle w:val="TableParagraph"/>
              <w:spacing w:line="133" w:lineRule="exact"/>
              <w:ind w:left="-16" w:right="67"/>
              <w:jc w:val="right"/>
              <w:rPr>
                <w:sz w:val="14"/>
              </w:rPr>
            </w:pPr>
            <w:r>
              <w:rPr>
                <w:spacing w:val="-4"/>
                <w:sz w:val="14"/>
              </w:rPr>
              <w:t>(59)</w:t>
            </w:r>
          </w:p>
        </w:tc>
      </w:tr>
      <w:tr>
        <w:trPr>
          <w:trHeight w:val="157" w:hRule="atLeast"/>
        </w:trPr>
        <w:tc>
          <w:tcPr>
            <w:tcW w:w="2397" w:type="dxa"/>
          </w:tcPr>
          <w:p>
            <w:pPr>
              <w:pStyle w:val="TableParagraph"/>
              <w:spacing w:line="133" w:lineRule="exact"/>
              <w:rPr>
                <w:sz w:val="14"/>
              </w:rPr>
            </w:pPr>
            <w:r>
              <w:rPr>
                <w:sz w:val="14"/>
              </w:rPr>
              <w:t>Translated</w:t>
            </w:r>
            <w:r>
              <w:rPr>
                <w:spacing w:val="-4"/>
                <w:sz w:val="14"/>
              </w:rPr>
              <w:t> </w:t>
            </w:r>
            <w:r>
              <w:rPr>
                <w:sz w:val="14"/>
              </w:rPr>
              <w:t>earnings</w:t>
            </w:r>
            <w:r>
              <w:rPr>
                <w:spacing w:val="-3"/>
                <w:sz w:val="14"/>
              </w:rPr>
              <w:t> </w:t>
            </w:r>
            <w:r>
              <w:rPr>
                <w:spacing w:val="-2"/>
                <w:sz w:val="14"/>
              </w:rPr>
              <w:t>contracts</w:t>
            </w:r>
          </w:p>
        </w:tc>
        <w:tc>
          <w:tcPr>
            <w:tcW w:w="1093" w:type="dxa"/>
          </w:tcPr>
          <w:p>
            <w:pPr>
              <w:pStyle w:val="TableParagraph"/>
              <w:spacing w:line="133" w:lineRule="exact"/>
              <w:ind w:right="-15"/>
              <w:jc w:val="right"/>
              <w:rPr>
                <w:b/>
                <w:sz w:val="14"/>
              </w:rPr>
            </w:pPr>
            <w:r>
              <w:rPr>
                <w:b/>
                <w:spacing w:val="-2"/>
                <w:sz w:val="14"/>
              </w:rPr>
              <w:t>8,899</w:t>
            </w:r>
          </w:p>
        </w:tc>
        <w:tc>
          <w:tcPr>
            <w:tcW w:w="1155" w:type="dxa"/>
          </w:tcPr>
          <w:p>
            <w:pPr>
              <w:pStyle w:val="TableParagraph"/>
              <w:spacing w:line="138" w:lineRule="exact"/>
              <w:ind w:right="120"/>
              <w:jc w:val="right"/>
              <w:rPr>
                <w:sz w:val="14"/>
              </w:rPr>
            </w:pPr>
            <w:r>
              <w:rPr>
                <w:spacing w:val="-2"/>
                <w:sz w:val="14"/>
              </w:rPr>
              <w:t>7,453</w:t>
            </w:r>
          </w:p>
        </w:tc>
        <w:tc>
          <w:tcPr>
            <w:tcW w:w="1359" w:type="dxa"/>
          </w:tcPr>
          <w:p>
            <w:pPr>
              <w:pStyle w:val="TableParagraph"/>
              <w:spacing w:line="138" w:lineRule="exact"/>
              <w:ind w:left="1" w:right="1"/>
              <w:jc w:val="center"/>
              <w:rPr>
                <w:sz w:val="14"/>
              </w:rPr>
            </w:pPr>
            <w:r>
              <w:rPr>
                <w:sz w:val="14"/>
              </w:rPr>
              <w:t>Other current </w:t>
            </w:r>
            <w:r>
              <w:rPr>
                <w:spacing w:val="-2"/>
                <w:sz w:val="14"/>
              </w:rPr>
              <w:t>assets</w:t>
            </w:r>
          </w:p>
        </w:tc>
        <w:tc>
          <w:tcPr>
            <w:tcW w:w="926" w:type="dxa"/>
          </w:tcPr>
          <w:p>
            <w:pPr>
              <w:pStyle w:val="TableParagraph"/>
              <w:spacing w:line="138" w:lineRule="exact"/>
              <w:jc w:val="right"/>
              <w:rPr>
                <w:b/>
                <w:sz w:val="14"/>
              </w:rPr>
            </w:pPr>
            <w:r>
              <w:rPr>
                <w:b/>
                <w:spacing w:val="-5"/>
                <w:sz w:val="14"/>
              </w:rPr>
              <w:t>196</w:t>
            </w:r>
          </w:p>
        </w:tc>
        <w:tc>
          <w:tcPr>
            <w:tcW w:w="1097" w:type="dxa"/>
          </w:tcPr>
          <w:p>
            <w:pPr>
              <w:pStyle w:val="TableParagraph"/>
              <w:spacing w:line="138" w:lineRule="exact"/>
              <w:ind w:right="63"/>
              <w:jc w:val="right"/>
              <w:rPr>
                <w:sz w:val="14"/>
              </w:rPr>
            </w:pPr>
            <w:r>
              <w:rPr>
                <w:spacing w:val="-5"/>
                <w:sz w:val="14"/>
              </w:rPr>
              <w:t>66</w:t>
            </w:r>
          </w:p>
        </w:tc>
        <w:tc>
          <w:tcPr>
            <w:tcW w:w="1476" w:type="dxa"/>
          </w:tcPr>
          <w:p>
            <w:pPr>
              <w:pStyle w:val="TableParagraph"/>
              <w:spacing w:line="138" w:lineRule="exact"/>
              <w:ind w:right="1"/>
              <w:jc w:val="center"/>
              <w:rPr>
                <w:sz w:val="14"/>
              </w:rPr>
            </w:pPr>
            <w:r>
              <w:rPr>
                <w:sz w:val="14"/>
              </w:rPr>
              <w:t>Other accrued </w:t>
            </w:r>
            <w:r>
              <w:rPr>
                <w:spacing w:val="-2"/>
                <w:sz w:val="14"/>
              </w:rPr>
              <w:t>liabilities</w:t>
            </w:r>
          </w:p>
        </w:tc>
        <w:tc>
          <w:tcPr>
            <w:tcW w:w="882" w:type="dxa"/>
          </w:tcPr>
          <w:p>
            <w:pPr>
              <w:pStyle w:val="TableParagraph"/>
              <w:spacing w:line="138" w:lineRule="exact"/>
              <w:ind w:right="14"/>
              <w:jc w:val="right"/>
              <w:rPr>
                <w:b/>
                <w:sz w:val="14"/>
              </w:rPr>
            </w:pPr>
            <w:r>
              <w:rPr>
                <w:b/>
                <w:spacing w:val="-5"/>
                <w:sz w:val="14"/>
              </w:rPr>
              <w:t>(47</w:t>
            </w:r>
          </w:p>
        </w:tc>
        <w:tc>
          <w:tcPr>
            <w:tcW w:w="1132" w:type="dxa"/>
          </w:tcPr>
          <w:p>
            <w:pPr>
              <w:pStyle w:val="TableParagraph"/>
              <w:tabs>
                <w:tab w:pos="759" w:val="left" w:leader="none"/>
              </w:tabs>
              <w:spacing w:line="138" w:lineRule="exact"/>
              <w:ind w:left="-16" w:right="67"/>
              <w:jc w:val="right"/>
              <w:rPr>
                <w:sz w:val="14"/>
              </w:rPr>
            </w:pPr>
            <w:r>
              <w:rPr>
                <w:b/>
                <w:spacing w:val="-10"/>
                <w:sz w:val="14"/>
              </w:rPr>
              <w:t>)</w:t>
            </w:r>
            <w:r>
              <w:rPr>
                <w:b/>
                <w:sz w:val="14"/>
              </w:rPr>
              <w:tab/>
            </w:r>
            <w:r>
              <w:rPr>
                <w:spacing w:val="-2"/>
                <w:sz w:val="14"/>
              </w:rPr>
              <w:t>(110)</w:t>
            </w:r>
          </w:p>
        </w:tc>
      </w:tr>
      <w:tr>
        <w:trPr>
          <w:trHeight w:val="158" w:hRule="atLeast"/>
        </w:trPr>
        <w:tc>
          <w:tcPr>
            <w:tcW w:w="2397" w:type="dxa"/>
            <w:shd w:val="clear" w:color="auto" w:fill="CCEDFF"/>
          </w:tcPr>
          <w:p>
            <w:pPr>
              <w:pStyle w:val="TableParagraph"/>
              <w:rPr>
                <w:sz w:val="8"/>
              </w:rPr>
            </w:pPr>
          </w:p>
        </w:tc>
        <w:tc>
          <w:tcPr>
            <w:tcW w:w="1093" w:type="dxa"/>
            <w:tcBorders>
              <w:bottom w:val="single" w:sz="6" w:space="0" w:color="000000"/>
            </w:tcBorders>
            <w:shd w:val="clear" w:color="auto" w:fill="CCEDFF"/>
          </w:tcPr>
          <w:p>
            <w:pPr>
              <w:pStyle w:val="TableParagraph"/>
              <w:rPr>
                <w:sz w:val="8"/>
              </w:rPr>
            </w:pPr>
          </w:p>
        </w:tc>
        <w:tc>
          <w:tcPr>
            <w:tcW w:w="1155" w:type="dxa"/>
          </w:tcPr>
          <w:p>
            <w:pPr>
              <w:pStyle w:val="TableParagraph"/>
              <w:rPr>
                <w:sz w:val="10"/>
              </w:rPr>
            </w:pPr>
          </w:p>
        </w:tc>
        <w:tc>
          <w:tcPr>
            <w:tcW w:w="1359" w:type="dxa"/>
            <w:shd w:val="clear" w:color="auto" w:fill="CCEDFF"/>
          </w:tcPr>
          <w:p>
            <w:pPr>
              <w:pStyle w:val="TableParagraph"/>
              <w:spacing w:line="134" w:lineRule="exact" w:before="4"/>
              <w:ind w:right="1"/>
              <w:jc w:val="center"/>
              <w:rPr>
                <w:sz w:val="14"/>
              </w:rPr>
            </w:pPr>
            <w:r>
              <w:rPr>
                <w:sz w:val="14"/>
              </w:rPr>
              <w:t>Other</w:t>
            </w:r>
            <w:r>
              <w:rPr>
                <w:spacing w:val="-5"/>
                <w:sz w:val="14"/>
              </w:rPr>
              <w:t> </w:t>
            </w:r>
            <w:r>
              <w:rPr>
                <w:spacing w:val="-2"/>
                <w:sz w:val="14"/>
              </w:rPr>
              <w:t>assets</w:t>
            </w:r>
          </w:p>
        </w:tc>
        <w:tc>
          <w:tcPr>
            <w:tcW w:w="926" w:type="dxa"/>
            <w:shd w:val="clear" w:color="auto" w:fill="CCEDFF"/>
          </w:tcPr>
          <w:p>
            <w:pPr>
              <w:pStyle w:val="TableParagraph"/>
              <w:spacing w:line="138" w:lineRule="exact"/>
              <w:jc w:val="right"/>
              <w:rPr>
                <w:b/>
                <w:sz w:val="14"/>
              </w:rPr>
            </w:pPr>
            <w:r>
              <w:rPr/>
              <mc:AlternateContent>
                <mc:Choice Requires="wps">
                  <w:drawing>
                    <wp:anchor distT="0" distB="0" distL="0" distR="0" allowOverlap="1" layoutInCell="1" locked="0" behindDoc="0" simplePos="0" relativeHeight="15870976">
                      <wp:simplePos x="0" y="0"/>
                      <wp:positionH relativeFrom="column">
                        <wp:posOffset>78053</wp:posOffset>
                      </wp:positionH>
                      <wp:positionV relativeFrom="paragraph">
                        <wp:posOffset>93997</wp:posOffset>
                      </wp:positionV>
                      <wp:extent cx="509905" cy="8255"/>
                      <wp:effectExtent l="0" t="0" r="0" b="0"/>
                      <wp:wrapNone/>
                      <wp:docPr id="631" name="Group 631"/>
                      <wp:cNvGraphicFramePr>
                        <a:graphicFrameLocks/>
                      </wp:cNvGraphicFramePr>
                      <a:graphic>
                        <a:graphicData uri="http://schemas.microsoft.com/office/word/2010/wordprocessingGroup">
                          <wpg:wgp>
                            <wpg:cNvPr id="631" name="Group 631"/>
                            <wpg:cNvGrpSpPr/>
                            <wpg:grpSpPr>
                              <a:xfrm>
                                <a:off x="0" y="0"/>
                                <a:ext cx="509905" cy="8255"/>
                                <a:chExt cx="509905" cy="8255"/>
                              </a:xfrm>
                            </wpg:grpSpPr>
                            <wps:wsp>
                              <wps:cNvPr id="632" name="Graphic 632"/>
                              <wps:cNvSpPr/>
                              <wps:spPr>
                                <a:xfrm>
                                  <a:off x="-11" y="8"/>
                                  <a:ext cx="509905" cy="8255"/>
                                </a:xfrm>
                                <a:custGeom>
                                  <a:avLst/>
                                  <a:gdLst/>
                                  <a:ahLst/>
                                  <a:cxnLst/>
                                  <a:rect l="l" t="t" r="r" b="b"/>
                                  <a:pathLst>
                                    <a:path w="509905" h="8255">
                                      <a:moveTo>
                                        <a:pt x="509600" y="0"/>
                                      </a:moveTo>
                                      <a:lnTo>
                                        <a:pt x="72809" y="0"/>
                                      </a:lnTo>
                                      <a:lnTo>
                                        <a:pt x="0" y="0"/>
                                      </a:lnTo>
                                      <a:lnTo>
                                        <a:pt x="0" y="8089"/>
                                      </a:lnTo>
                                      <a:lnTo>
                                        <a:pt x="72809" y="8089"/>
                                      </a:lnTo>
                                      <a:lnTo>
                                        <a:pt x="509600" y="8089"/>
                                      </a:lnTo>
                                      <a:lnTo>
                                        <a:pt x="5096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45924pt;margin-top:7.401388pt;width:40.15pt;height:.65pt;mso-position-horizontal-relative:column;mso-position-vertical-relative:paragraph;z-index:15870976" id="docshapegroup630" coordorigin="123,148" coordsize="803,13">
                      <v:shape style="position:absolute;left:122;top:148;width:803;height:13" id="docshape631" coordorigin="123,148" coordsize="803,13" path="m925,148l238,148,123,148,123,161,238,161,925,161,925,148xe" filled="true" fillcolor="#000000" stroked="false">
                        <v:path arrowok="t"/>
                        <v:fill type="solid"/>
                      </v:shape>
                      <w10:wrap type="none"/>
                    </v:group>
                  </w:pict>
                </mc:Fallback>
              </mc:AlternateContent>
            </w:r>
            <w:r>
              <w:rPr>
                <w:b/>
                <w:spacing w:val="-5"/>
                <w:sz w:val="14"/>
              </w:rPr>
              <w:t>154</w:t>
            </w:r>
          </w:p>
        </w:tc>
        <w:tc>
          <w:tcPr>
            <w:tcW w:w="1097" w:type="dxa"/>
          </w:tcPr>
          <w:p>
            <w:pPr>
              <w:pStyle w:val="TableParagraph"/>
              <w:tabs>
                <w:tab w:pos="547" w:val="left" w:leader="none"/>
              </w:tabs>
              <w:spacing w:line="138" w:lineRule="exact"/>
              <w:ind w:right="63"/>
              <w:jc w:val="right"/>
              <w:rPr>
                <w:sz w:val="14"/>
              </w:rPr>
            </w:pPr>
            <w:r>
              <w:rPr>
                <w:sz w:val="14"/>
                <w:u w:val="single"/>
              </w:rPr>
              <w:tab/>
            </w:r>
            <w:r>
              <w:rPr>
                <w:spacing w:val="-5"/>
                <w:sz w:val="14"/>
                <w:u w:val="single"/>
              </w:rPr>
              <w:t>61</w:t>
            </w:r>
          </w:p>
        </w:tc>
        <w:tc>
          <w:tcPr>
            <w:tcW w:w="1476" w:type="dxa"/>
            <w:shd w:val="clear" w:color="auto" w:fill="CCEDFF"/>
          </w:tcPr>
          <w:p>
            <w:pPr>
              <w:pStyle w:val="TableParagraph"/>
              <w:spacing w:line="134" w:lineRule="exact" w:before="4"/>
              <w:ind w:left="1" w:right="1"/>
              <w:jc w:val="center"/>
              <w:rPr>
                <w:sz w:val="14"/>
              </w:rPr>
            </w:pPr>
            <w:r>
              <w:rPr>
                <w:sz w:val="14"/>
              </w:rPr>
              <w:t>Other </w:t>
            </w:r>
            <w:r>
              <w:rPr>
                <w:spacing w:val="-2"/>
                <w:sz w:val="14"/>
              </w:rPr>
              <w:t>liabilities</w:t>
            </w:r>
          </w:p>
        </w:tc>
        <w:tc>
          <w:tcPr>
            <w:tcW w:w="882" w:type="dxa"/>
            <w:shd w:val="clear" w:color="auto" w:fill="CCEDFF"/>
          </w:tcPr>
          <w:p>
            <w:pPr>
              <w:pStyle w:val="TableParagraph"/>
              <w:spacing w:line="138" w:lineRule="exact"/>
              <w:ind w:right="14"/>
              <w:jc w:val="right"/>
              <w:rPr>
                <w:b/>
                <w:sz w:val="14"/>
              </w:rPr>
            </w:pPr>
            <w:r>
              <w:rPr/>
              <mc:AlternateContent>
                <mc:Choice Requires="wps">
                  <w:drawing>
                    <wp:anchor distT="0" distB="0" distL="0" distR="0" allowOverlap="1" layoutInCell="1" locked="0" behindDoc="0" simplePos="0" relativeHeight="15871488">
                      <wp:simplePos x="0" y="0"/>
                      <wp:positionH relativeFrom="column">
                        <wp:posOffset>41075</wp:posOffset>
                      </wp:positionH>
                      <wp:positionV relativeFrom="paragraph">
                        <wp:posOffset>93997</wp:posOffset>
                      </wp:positionV>
                      <wp:extent cx="509905" cy="8255"/>
                      <wp:effectExtent l="0" t="0" r="0" b="0"/>
                      <wp:wrapNone/>
                      <wp:docPr id="633" name="Group 633"/>
                      <wp:cNvGraphicFramePr>
                        <a:graphicFrameLocks/>
                      </wp:cNvGraphicFramePr>
                      <a:graphic>
                        <a:graphicData uri="http://schemas.microsoft.com/office/word/2010/wordprocessingGroup">
                          <wpg:wgp>
                            <wpg:cNvPr id="633" name="Group 633"/>
                            <wpg:cNvGrpSpPr/>
                            <wpg:grpSpPr>
                              <a:xfrm>
                                <a:off x="0" y="0"/>
                                <a:ext cx="509905" cy="8255"/>
                                <a:chExt cx="509905" cy="8255"/>
                              </a:xfrm>
                            </wpg:grpSpPr>
                            <wps:wsp>
                              <wps:cNvPr id="634" name="Graphic 634"/>
                              <wps:cNvSpPr/>
                              <wps:spPr>
                                <a:xfrm>
                                  <a:off x="-1" y="8"/>
                                  <a:ext cx="509905" cy="8255"/>
                                </a:xfrm>
                                <a:custGeom>
                                  <a:avLst/>
                                  <a:gdLst/>
                                  <a:ahLst/>
                                  <a:cxnLst/>
                                  <a:rect l="l" t="t" r="r" b="b"/>
                                  <a:pathLst>
                                    <a:path w="509905" h="8255">
                                      <a:moveTo>
                                        <a:pt x="509600" y="0"/>
                                      </a:moveTo>
                                      <a:lnTo>
                                        <a:pt x="72796" y="0"/>
                                      </a:lnTo>
                                      <a:lnTo>
                                        <a:pt x="0" y="0"/>
                                      </a:lnTo>
                                      <a:lnTo>
                                        <a:pt x="0" y="8089"/>
                                      </a:lnTo>
                                      <a:lnTo>
                                        <a:pt x="72796" y="8089"/>
                                      </a:lnTo>
                                      <a:lnTo>
                                        <a:pt x="509600" y="8089"/>
                                      </a:lnTo>
                                      <a:lnTo>
                                        <a:pt x="5096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34319pt;margin-top:7.401388pt;width:40.15pt;height:.65pt;mso-position-horizontal-relative:column;mso-position-vertical-relative:paragraph;z-index:15871488" id="docshapegroup632" coordorigin="65,148" coordsize="803,13">
                      <v:shape style="position:absolute;left:64;top:148;width:803;height:13" id="docshape633" coordorigin="65,148" coordsize="803,13" path="m867,148l179,148,65,148,65,161,179,161,867,161,867,148xe" filled="true" fillcolor="#000000" stroked="false">
                        <v:path arrowok="t"/>
                        <v:fill type="solid"/>
                      </v:shape>
                      <w10:wrap type="none"/>
                    </v:group>
                  </w:pict>
                </mc:Fallback>
              </mc:AlternateContent>
            </w:r>
            <w:r>
              <w:rPr>
                <w:b/>
                <w:spacing w:val="-5"/>
                <w:sz w:val="14"/>
              </w:rPr>
              <w:t>(40</w:t>
            </w:r>
          </w:p>
        </w:tc>
        <w:tc>
          <w:tcPr>
            <w:tcW w:w="1132" w:type="dxa"/>
          </w:tcPr>
          <w:p>
            <w:pPr>
              <w:pStyle w:val="TableParagraph"/>
              <w:tabs>
                <w:tab w:pos="327" w:val="left" w:leader="none"/>
                <w:tab w:pos="829" w:val="left" w:leader="none"/>
              </w:tabs>
              <w:spacing w:line="138" w:lineRule="exact"/>
              <w:ind w:left="-16" w:right="1"/>
              <w:jc w:val="right"/>
              <w:rPr>
                <w:sz w:val="14"/>
              </w:rPr>
            </w:pPr>
            <w:r>
              <w:rPr>
                <w:b/>
                <w:spacing w:val="-10"/>
                <w:sz w:val="14"/>
              </w:rPr>
              <w:t>)</w:t>
            </w:r>
            <w:r>
              <w:rPr>
                <w:b/>
                <w:sz w:val="14"/>
              </w:rPr>
              <w:tab/>
            </w:r>
            <w:r>
              <w:rPr>
                <w:color w:val="000000"/>
                <w:sz w:val="14"/>
                <w:u w:val="single"/>
                <w:shd w:fill="CCEDFF" w:color="auto" w:val="clear"/>
              </w:rPr>
              <w:tab/>
            </w:r>
            <w:r>
              <w:rPr>
                <w:color w:val="000000"/>
                <w:spacing w:val="-4"/>
                <w:sz w:val="14"/>
                <w:u w:val="single"/>
                <w:shd w:fill="CCEDFF" w:color="auto" w:val="clear"/>
              </w:rPr>
              <w:t>(95</w:t>
            </w:r>
            <w:r>
              <w:rPr>
                <w:color w:val="000000"/>
                <w:spacing w:val="-4"/>
                <w:sz w:val="14"/>
                <w:shd w:fill="CCEDFF" w:color="auto" w:val="clear"/>
              </w:rPr>
              <w:t>)</w:t>
            </w:r>
            <w:r>
              <w:rPr>
                <w:color w:val="000000"/>
                <w:spacing w:val="80"/>
                <w:sz w:val="14"/>
                <w:shd w:fill="CCEDFF" w:color="auto" w:val="clear"/>
              </w:rPr>
              <w:t> </w:t>
            </w:r>
          </w:p>
        </w:tc>
      </w:tr>
      <w:tr>
        <w:trPr>
          <w:trHeight w:val="137" w:hRule="atLeast"/>
        </w:trPr>
        <w:tc>
          <w:tcPr>
            <w:tcW w:w="2397" w:type="dxa"/>
            <w:tcBorders>
              <w:bottom w:val="double" w:sz="6" w:space="0" w:color="000000"/>
            </w:tcBorders>
          </w:tcPr>
          <w:p>
            <w:pPr>
              <w:pStyle w:val="TableParagraph"/>
              <w:spacing w:line="128" w:lineRule="exact"/>
              <w:rPr>
                <w:sz w:val="14"/>
              </w:rPr>
            </w:pPr>
            <w:r>
              <w:rPr>
                <w:sz w:val="14"/>
              </w:rPr>
              <w:t>Total </w:t>
            </w:r>
            <w:r>
              <w:rPr>
                <w:spacing w:val="-2"/>
                <w:sz w:val="14"/>
              </w:rPr>
              <w:t>derivatives</w:t>
            </w:r>
          </w:p>
        </w:tc>
        <w:tc>
          <w:tcPr>
            <w:tcW w:w="1093" w:type="dxa"/>
            <w:tcBorders>
              <w:top w:val="single" w:sz="6" w:space="0" w:color="000000"/>
              <w:bottom w:val="double" w:sz="6" w:space="0" w:color="000000"/>
            </w:tcBorders>
          </w:tcPr>
          <w:p>
            <w:pPr>
              <w:pStyle w:val="TableParagraph"/>
              <w:tabs>
                <w:tab w:pos="442" w:val="left" w:leader="none"/>
              </w:tabs>
              <w:spacing w:line="128" w:lineRule="exact"/>
              <w:ind w:right="-15"/>
              <w:jc w:val="right"/>
              <w:rPr>
                <w:b/>
                <w:sz w:val="14"/>
              </w:rPr>
            </w:pPr>
            <w:r>
              <w:rPr>
                <w:b/>
                <w:spacing w:val="-10"/>
                <w:sz w:val="14"/>
              </w:rPr>
              <w:t>$</w:t>
            </w:r>
            <w:r>
              <w:rPr>
                <w:b/>
                <w:sz w:val="14"/>
              </w:rPr>
              <w:tab/>
            </w:r>
            <w:r>
              <w:rPr>
                <w:b/>
                <w:spacing w:val="-2"/>
                <w:sz w:val="14"/>
              </w:rPr>
              <w:t>13,543</w:t>
            </w:r>
          </w:p>
        </w:tc>
        <w:tc>
          <w:tcPr>
            <w:tcW w:w="1155" w:type="dxa"/>
            <w:tcBorders>
              <w:bottom w:val="double" w:sz="6" w:space="0" w:color="000000"/>
            </w:tcBorders>
          </w:tcPr>
          <w:p>
            <w:pPr>
              <w:pStyle w:val="TableParagraph"/>
              <w:tabs>
                <w:tab w:pos="417" w:val="left" w:leader="none"/>
              </w:tabs>
              <w:spacing w:line="117" w:lineRule="exact"/>
              <w:ind w:right="120"/>
              <w:jc w:val="right"/>
              <w:rPr>
                <w:sz w:val="14"/>
              </w:rPr>
            </w:pPr>
            <w:r>
              <w:rPr/>
              <mc:AlternateContent>
                <mc:Choice Requires="wps">
                  <w:drawing>
                    <wp:anchor distT="0" distB="0" distL="0" distR="0" allowOverlap="1" layoutInCell="1" locked="0" behindDoc="1" simplePos="0" relativeHeight="474159104">
                      <wp:simplePos x="0" y="0"/>
                      <wp:positionH relativeFrom="column">
                        <wp:posOffset>0</wp:posOffset>
                      </wp:positionH>
                      <wp:positionV relativeFrom="paragraph">
                        <wp:posOffset>-112986</wp:posOffset>
                      </wp:positionV>
                      <wp:extent cx="4586605" cy="105410"/>
                      <wp:effectExtent l="0" t="0" r="0" b="0"/>
                      <wp:wrapNone/>
                      <wp:docPr id="635" name="Group 635"/>
                      <wp:cNvGraphicFramePr>
                        <a:graphicFrameLocks/>
                      </wp:cNvGraphicFramePr>
                      <a:graphic>
                        <a:graphicData uri="http://schemas.microsoft.com/office/word/2010/wordprocessingGroup">
                          <wpg:wgp>
                            <wpg:cNvPr id="635" name="Group 635"/>
                            <wpg:cNvGrpSpPr/>
                            <wpg:grpSpPr>
                              <a:xfrm>
                                <a:off x="0" y="0"/>
                                <a:ext cx="4586605" cy="105410"/>
                                <a:chExt cx="4586605" cy="105410"/>
                              </a:xfrm>
                            </wpg:grpSpPr>
                            <pic:pic>
                              <pic:nvPicPr>
                                <pic:cNvPr id="636" name="Image 636"/>
                                <pic:cNvPicPr/>
                              </pic:nvPicPr>
                              <pic:blipFill>
                                <a:blip r:embed="rId101" cstate="print"/>
                                <a:stretch>
                                  <a:fillRect/>
                                </a:stretch>
                              </pic:blipFill>
                              <pic:spPr>
                                <a:xfrm>
                                  <a:off x="0" y="0"/>
                                  <a:ext cx="218399" cy="105155"/>
                                </a:xfrm>
                                <a:prstGeom prst="rect">
                                  <a:avLst/>
                                </a:prstGeom>
                              </pic:spPr>
                            </pic:pic>
                            <wps:wsp>
                              <wps:cNvPr id="637" name="Graphic 637"/>
                              <wps:cNvSpPr/>
                              <wps:spPr>
                                <a:xfrm>
                                  <a:off x="218399" y="0"/>
                                  <a:ext cx="436880" cy="105410"/>
                                </a:xfrm>
                                <a:custGeom>
                                  <a:avLst/>
                                  <a:gdLst/>
                                  <a:ahLst/>
                                  <a:cxnLst/>
                                  <a:rect l="l" t="t" r="r" b="b"/>
                                  <a:pathLst>
                                    <a:path w="436880" h="105410">
                                      <a:moveTo>
                                        <a:pt x="0" y="0"/>
                                      </a:moveTo>
                                      <a:lnTo>
                                        <a:pt x="436799" y="0"/>
                                      </a:lnTo>
                                      <a:lnTo>
                                        <a:pt x="436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638" name="Graphic 638"/>
                              <wps:cNvSpPr/>
                              <wps:spPr>
                                <a:xfrm>
                                  <a:off x="218399" y="97066"/>
                                  <a:ext cx="436880" cy="8255"/>
                                </a:xfrm>
                                <a:custGeom>
                                  <a:avLst/>
                                  <a:gdLst/>
                                  <a:ahLst/>
                                  <a:cxnLst/>
                                  <a:rect l="l" t="t" r="r" b="b"/>
                                  <a:pathLst>
                                    <a:path w="436880" h="8255">
                                      <a:moveTo>
                                        <a:pt x="0" y="0"/>
                                      </a:moveTo>
                                      <a:lnTo>
                                        <a:pt x="436799" y="0"/>
                                      </a:lnTo>
                                      <a:lnTo>
                                        <a:pt x="436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639" name="Graphic 639"/>
                              <wps:cNvSpPr/>
                              <wps:spPr>
                                <a:xfrm>
                                  <a:off x="655197" y="9"/>
                                  <a:ext cx="1529080" cy="105410"/>
                                </a:xfrm>
                                <a:custGeom>
                                  <a:avLst/>
                                  <a:gdLst/>
                                  <a:ahLst/>
                                  <a:cxnLst/>
                                  <a:rect l="l" t="t" r="r" b="b"/>
                                  <a:pathLst>
                                    <a:path w="1529080" h="105410">
                                      <a:moveTo>
                                        <a:pt x="1528787" y="0"/>
                                      </a:moveTo>
                                      <a:lnTo>
                                        <a:pt x="1528787" y="0"/>
                                      </a:lnTo>
                                      <a:lnTo>
                                        <a:pt x="0" y="0"/>
                                      </a:lnTo>
                                      <a:lnTo>
                                        <a:pt x="0" y="105156"/>
                                      </a:lnTo>
                                      <a:lnTo>
                                        <a:pt x="1528787" y="105156"/>
                                      </a:lnTo>
                                      <a:lnTo>
                                        <a:pt x="1528787" y="0"/>
                                      </a:lnTo>
                                      <a:close/>
                                    </a:path>
                                  </a:pathLst>
                                </a:custGeom>
                                <a:solidFill>
                                  <a:srgbClr val="CCEDFF"/>
                                </a:solidFill>
                              </wps:spPr>
                              <wps:bodyPr wrap="square" lIns="0" tIns="0" rIns="0" bIns="0" rtlCol="0">
                                <a:prstTxWarp prst="textNoShape">
                                  <a:avLst/>
                                </a:prstTxWarp>
                                <a:noAutofit/>
                              </wps:bodyPr>
                            </wps:wsp>
                            <pic:pic>
                              <pic:nvPicPr>
                                <pic:cNvPr id="640" name="Image 640"/>
                                <pic:cNvPicPr/>
                              </pic:nvPicPr>
                              <pic:blipFill>
                                <a:blip r:embed="rId102" cstate="print"/>
                                <a:stretch>
                                  <a:fillRect/>
                                </a:stretch>
                              </pic:blipFill>
                              <pic:spPr>
                                <a:xfrm>
                                  <a:off x="2183996" y="0"/>
                                  <a:ext cx="218399" cy="105155"/>
                                </a:xfrm>
                                <a:prstGeom prst="rect">
                                  <a:avLst/>
                                </a:prstGeom>
                              </pic:spPr>
                            </pic:pic>
                            <wps:wsp>
                              <wps:cNvPr id="641" name="Graphic 641"/>
                              <wps:cNvSpPr/>
                              <wps:spPr>
                                <a:xfrm>
                                  <a:off x="2402387" y="9"/>
                                  <a:ext cx="1965960" cy="105410"/>
                                </a:xfrm>
                                <a:custGeom>
                                  <a:avLst/>
                                  <a:gdLst/>
                                  <a:ahLst/>
                                  <a:cxnLst/>
                                  <a:rect l="l" t="t" r="r" b="b"/>
                                  <a:pathLst>
                                    <a:path w="1965960" h="105410">
                                      <a:moveTo>
                                        <a:pt x="1965604" y="0"/>
                                      </a:moveTo>
                                      <a:lnTo>
                                        <a:pt x="1965604" y="0"/>
                                      </a:lnTo>
                                      <a:lnTo>
                                        <a:pt x="0" y="0"/>
                                      </a:lnTo>
                                      <a:lnTo>
                                        <a:pt x="0" y="105156"/>
                                      </a:lnTo>
                                      <a:lnTo>
                                        <a:pt x="1965604" y="105156"/>
                                      </a:lnTo>
                                      <a:lnTo>
                                        <a:pt x="1965604" y="0"/>
                                      </a:lnTo>
                                      <a:close/>
                                    </a:path>
                                  </a:pathLst>
                                </a:custGeom>
                                <a:solidFill>
                                  <a:srgbClr val="CCEDFF"/>
                                </a:solidFill>
                              </wps:spPr>
                              <wps:bodyPr wrap="square" lIns="0" tIns="0" rIns="0" bIns="0" rtlCol="0">
                                <a:prstTxWarp prst="textNoShape">
                                  <a:avLst/>
                                </a:prstTxWarp>
                                <a:noAutofit/>
                              </wps:bodyPr>
                            </wps:wsp>
                            <pic:pic>
                              <pic:nvPicPr>
                                <pic:cNvPr id="642" name="Image 642"/>
                                <pic:cNvPicPr/>
                              </pic:nvPicPr>
                              <pic:blipFill>
                                <a:blip r:embed="rId101" cstate="print"/>
                                <a:stretch>
                                  <a:fillRect/>
                                </a:stretch>
                              </pic:blipFill>
                              <pic:spPr>
                                <a:xfrm>
                                  <a:off x="4367992" y="0"/>
                                  <a:ext cx="218399" cy="105155"/>
                                </a:xfrm>
                                <a:prstGeom prst="rect">
                                  <a:avLst/>
                                </a:prstGeom>
                              </pic:spPr>
                            </pic:pic>
                          </wpg:wgp>
                        </a:graphicData>
                      </a:graphic>
                    </wp:anchor>
                  </w:drawing>
                </mc:Choice>
                <mc:Fallback>
                  <w:pict>
                    <v:group style="position:absolute;margin-left:0pt;margin-top:-8.896595pt;width:361.15pt;height:8.3pt;mso-position-horizontal-relative:column;mso-position-vertical-relative:paragraph;z-index:-29157376" id="docshapegroup634" coordorigin="0,-178" coordsize="7223,166">
                      <v:shape style="position:absolute;left:0;top:-178;width:344;height:166" type="#_x0000_t75" id="docshape635" stroked="false">
                        <v:imagedata r:id="rId101" o:title=""/>
                      </v:shape>
                      <v:rect style="position:absolute;left:343;top:-178;width:688;height:166" id="docshape636" filled="true" fillcolor="#ccedff" stroked="false">
                        <v:fill type="solid"/>
                      </v:rect>
                      <v:rect style="position:absolute;left:343;top:-26;width:688;height:13" id="docshape637" filled="true" fillcolor="#000000" stroked="false">
                        <v:fill type="solid"/>
                      </v:rect>
                      <v:rect style="position:absolute;left:1031;top:-178;width:2408;height:166" id="docshape638" filled="true" fillcolor="#ccedff" stroked="false">
                        <v:fill type="solid"/>
                      </v:rect>
                      <v:shape style="position:absolute;left:3439;top:-178;width:344;height:166" type="#_x0000_t75" id="docshape639" stroked="false">
                        <v:imagedata r:id="rId102" o:title=""/>
                      </v:shape>
                      <v:rect style="position:absolute;left:3783;top:-178;width:3096;height:166" id="docshape640" filled="true" fillcolor="#ccedff" stroked="false">
                        <v:fill type="solid"/>
                      </v:rect>
                      <v:shape style="position:absolute;left:6878;top:-178;width:344;height:166" type="#_x0000_t75" id="docshape641" stroked="false">
                        <v:imagedata r:id="rId101" o:title=""/>
                      </v:shape>
                      <w10:wrap type="none"/>
                    </v:group>
                  </w:pict>
                </mc:Fallback>
              </mc:AlternateContent>
            </w:r>
            <w:r>
              <w:rPr>
                <w:spacing w:val="-10"/>
                <w:sz w:val="14"/>
              </w:rPr>
              <w:t>$</w:t>
            </w:r>
            <w:r>
              <w:rPr>
                <w:sz w:val="14"/>
              </w:rPr>
              <w:tab/>
            </w:r>
            <w:r>
              <w:rPr>
                <w:spacing w:val="-2"/>
                <w:sz w:val="14"/>
              </w:rPr>
              <w:t>14,740</w:t>
            </w:r>
          </w:p>
        </w:tc>
        <w:tc>
          <w:tcPr>
            <w:tcW w:w="1359" w:type="dxa"/>
            <w:tcBorders>
              <w:bottom w:val="double" w:sz="6" w:space="0" w:color="000000"/>
            </w:tcBorders>
          </w:tcPr>
          <w:p>
            <w:pPr>
              <w:pStyle w:val="TableParagraph"/>
              <w:rPr>
                <w:sz w:val="8"/>
              </w:rPr>
            </w:pPr>
          </w:p>
        </w:tc>
        <w:tc>
          <w:tcPr>
            <w:tcW w:w="926" w:type="dxa"/>
            <w:tcBorders>
              <w:bottom w:val="double" w:sz="6" w:space="0" w:color="000000"/>
            </w:tcBorders>
          </w:tcPr>
          <w:p>
            <w:pPr>
              <w:pStyle w:val="TableParagraph"/>
              <w:tabs>
                <w:tab w:pos="592" w:val="left" w:leader="none"/>
              </w:tabs>
              <w:spacing w:line="117" w:lineRule="exact"/>
              <w:jc w:val="right"/>
              <w:rPr>
                <w:b/>
                <w:sz w:val="14"/>
              </w:rPr>
            </w:pPr>
            <w:r>
              <w:rPr>
                <w:b/>
                <w:spacing w:val="-10"/>
                <w:sz w:val="14"/>
              </w:rPr>
              <w:t>$</w:t>
            </w:r>
            <w:r>
              <w:rPr>
                <w:b/>
                <w:sz w:val="14"/>
              </w:rPr>
              <w:tab/>
            </w:r>
            <w:r>
              <w:rPr>
                <w:b/>
                <w:spacing w:val="-5"/>
                <w:sz w:val="14"/>
              </w:rPr>
              <w:t>500</w:t>
            </w:r>
          </w:p>
        </w:tc>
        <w:tc>
          <w:tcPr>
            <w:tcW w:w="1097" w:type="dxa"/>
            <w:tcBorders>
              <w:bottom w:val="double" w:sz="6" w:space="0" w:color="000000"/>
            </w:tcBorders>
          </w:tcPr>
          <w:p>
            <w:pPr>
              <w:pStyle w:val="TableParagraph"/>
              <w:tabs>
                <w:tab w:pos="592" w:val="left" w:leader="none"/>
              </w:tabs>
              <w:spacing w:line="117" w:lineRule="exact"/>
              <w:ind w:right="63"/>
              <w:jc w:val="right"/>
              <w:rPr>
                <w:sz w:val="14"/>
              </w:rPr>
            </w:pPr>
            <w:r>
              <w:rPr>
                <w:spacing w:val="-10"/>
                <w:sz w:val="14"/>
              </w:rPr>
              <w:t>$</w:t>
            </w:r>
            <w:r>
              <w:rPr>
                <w:sz w:val="14"/>
              </w:rPr>
              <w:tab/>
            </w:r>
            <w:r>
              <w:rPr>
                <w:spacing w:val="-5"/>
                <w:sz w:val="14"/>
              </w:rPr>
              <w:t>271</w:t>
            </w:r>
          </w:p>
        </w:tc>
        <w:tc>
          <w:tcPr>
            <w:tcW w:w="1476" w:type="dxa"/>
            <w:tcBorders>
              <w:bottom w:val="double" w:sz="6" w:space="0" w:color="000000"/>
            </w:tcBorders>
          </w:tcPr>
          <w:p>
            <w:pPr>
              <w:pStyle w:val="TableParagraph"/>
              <w:rPr>
                <w:sz w:val="8"/>
              </w:rPr>
            </w:pPr>
          </w:p>
        </w:tc>
        <w:tc>
          <w:tcPr>
            <w:tcW w:w="882" w:type="dxa"/>
            <w:tcBorders>
              <w:bottom w:val="double" w:sz="6" w:space="0" w:color="000000"/>
            </w:tcBorders>
          </w:tcPr>
          <w:p>
            <w:pPr>
              <w:pStyle w:val="TableParagraph"/>
              <w:tabs>
                <w:tab w:pos="545" w:val="left" w:leader="none"/>
              </w:tabs>
              <w:spacing w:line="117" w:lineRule="exact"/>
              <w:ind w:right="14"/>
              <w:jc w:val="right"/>
              <w:rPr>
                <w:b/>
                <w:sz w:val="14"/>
              </w:rPr>
            </w:pPr>
            <w:r>
              <w:rPr>
                <w:b/>
                <w:spacing w:val="-10"/>
                <w:sz w:val="14"/>
              </w:rPr>
              <w:t>$</w:t>
            </w:r>
            <w:r>
              <w:rPr>
                <w:b/>
                <w:sz w:val="14"/>
              </w:rPr>
              <w:tab/>
            </w:r>
            <w:r>
              <w:rPr>
                <w:b/>
                <w:spacing w:val="-4"/>
                <w:sz w:val="14"/>
              </w:rPr>
              <w:t>(193</w:t>
            </w:r>
          </w:p>
        </w:tc>
        <w:tc>
          <w:tcPr>
            <w:tcW w:w="1132" w:type="dxa"/>
            <w:tcBorders>
              <w:bottom w:val="double" w:sz="6" w:space="0" w:color="000000"/>
            </w:tcBorders>
          </w:tcPr>
          <w:p>
            <w:pPr>
              <w:pStyle w:val="TableParagraph"/>
              <w:tabs>
                <w:tab w:pos="759" w:val="left" w:leader="none"/>
              </w:tabs>
              <w:spacing w:line="117" w:lineRule="exact"/>
              <w:ind w:left="-16" w:right="67"/>
              <w:jc w:val="right"/>
              <w:rPr>
                <w:sz w:val="14"/>
              </w:rPr>
            </w:pPr>
            <w:r>
              <w:rPr>
                <w:b/>
                <w:sz w:val="14"/>
              </w:rPr>
              <w:t>)</w:t>
            </w:r>
            <w:r>
              <w:rPr>
                <w:b/>
                <w:spacing w:val="56"/>
                <w:sz w:val="14"/>
              </w:rPr>
              <w:t>  </w:t>
            </w:r>
            <w:r>
              <w:rPr>
                <w:spacing w:val="-10"/>
                <w:sz w:val="14"/>
              </w:rPr>
              <w:t>$</w:t>
            </w:r>
            <w:r>
              <w:rPr>
                <w:sz w:val="14"/>
              </w:rPr>
              <w:tab/>
            </w:r>
            <w:r>
              <w:rPr>
                <w:spacing w:val="-2"/>
                <w:sz w:val="14"/>
              </w:rPr>
              <w:t>(344)</w:t>
            </w:r>
          </w:p>
        </w:tc>
      </w:tr>
    </w:tbl>
    <w:p>
      <w:pPr>
        <w:pStyle w:val="BodyText"/>
        <w:spacing w:before="41"/>
        <w:rPr>
          <w:sz w:val="14"/>
        </w:rPr>
      </w:pPr>
    </w:p>
    <w:p>
      <w:pPr>
        <w:pStyle w:val="ListParagraph"/>
        <w:numPr>
          <w:ilvl w:val="0"/>
          <w:numId w:val="52"/>
        </w:numPr>
        <w:tabs>
          <w:tab w:pos="460" w:val="left" w:leader="none"/>
          <w:tab w:pos="462" w:val="left" w:leader="none"/>
        </w:tabs>
        <w:spacing w:line="228" w:lineRule="auto" w:before="0" w:after="0"/>
        <w:ind w:left="462" w:right="139" w:hanging="306"/>
        <w:jc w:val="left"/>
        <w:rPr>
          <w:sz w:val="14"/>
        </w:rPr>
      </w:pPr>
      <w:r>
        <w:rPr>
          <w:sz w:val="14"/>
        </w:rPr>
        <w:t>At</w:t>
      </w:r>
      <w:r>
        <w:rPr>
          <w:spacing w:val="-1"/>
          <w:sz w:val="14"/>
        </w:rPr>
        <w:t> </w:t>
      </w:r>
      <w:r>
        <w:rPr>
          <w:sz w:val="14"/>
        </w:rPr>
        <w:t>December</w:t>
      </w:r>
      <w:r>
        <w:rPr>
          <w:spacing w:val="-1"/>
          <w:sz w:val="14"/>
        </w:rPr>
        <w:t> </w:t>
      </w:r>
      <w:r>
        <w:rPr>
          <w:sz w:val="14"/>
        </w:rPr>
        <w:t>31,</w:t>
      </w:r>
      <w:r>
        <w:rPr>
          <w:spacing w:val="-1"/>
          <w:sz w:val="14"/>
        </w:rPr>
        <w:t> </w:t>
      </w:r>
      <w:r>
        <w:rPr>
          <w:sz w:val="14"/>
        </w:rPr>
        <w:t>2021,</w:t>
      </w:r>
      <w:r>
        <w:rPr>
          <w:spacing w:val="-2"/>
          <w:sz w:val="14"/>
        </w:rPr>
        <w:t> </w:t>
      </w:r>
      <w:r>
        <w:rPr>
          <w:sz w:val="14"/>
        </w:rPr>
        <w:t>derivatives</w:t>
      </w:r>
      <w:r>
        <w:rPr>
          <w:spacing w:val="-1"/>
          <w:sz w:val="14"/>
        </w:rPr>
        <w:t> </w:t>
      </w:r>
      <w:r>
        <w:rPr>
          <w:sz w:val="14"/>
        </w:rPr>
        <w:t>designated</w:t>
      </w:r>
      <w:r>
        <w:rPr>
          <w:spacing w:val="-1"/>
          <w:sz w:val="14"/>
        </w:rPr>
        <w:t> </w:t>
      </w:r>
      <w:r>
        <w:rPr>
          <w:sz w:val="14"/>
        </w:rPr>
        <w:t>as</w:t>
      </w:r>
      <w:r>
        <w:rPr>
          <w:spacing w:val="-1"/>
          <w:sz w:val="14"/>
        </w:rPr>
        <w:t> </w:t>
      </w:r>
      <w:r>
        <w:rPr>
          <w:sz w:val="14"/>
        </w:rPr>
        <w:t>hedging</w:t>
      </w:r>
      <w:r>
        <w:rPr>
          <w:spacing w:val="-1"/>
          <w:sz w:val="14"/>
        </w:rPr>
        <w:t> </w:t>
      </w:r>
      <w:r>
        <w:rPr>
          <w:sz w:val="14"/>
        </w:rPr>
        <w:t>instruments</w:t>
      </w:r>
      <w:r>
        <w:rPr>
          <w:spacing w:val="-1"/>
          <w:sz w:val="14"/>
        </w:rPr>
        <w:t> </w:t>
      </w:r>
      <w:r>
        <w:rPr>
          <w:sz w:val="14"/>
        </w:rPr>
        <w:t>include</w:t>
      </w:r>
      <w:r>
        <w:rPr>
          <w:spacing w:val="-1"/>
          <w:sz w:val="14"/>
        </w:rPr>
        <w:t> </w:t>
      </w:r>
      <w:r>
        <w:rPr>
          <w:sz w:val="14"/>
        </w:rPr>
        <w:t>foreign</w:t>
      </w:r>
      <w:r>
        <w:rPr>
          <w:spacing w:val="-1"/>
          <w:sz w:val="14"/>
        </w:rPr>
        <w:t> </w:t>
      </w:r>
      <w:r>
        <w:rPr>
          <w:sz w:val="14"/>
        </w:rPr>
        <w:t>exchange</w:t>
      </w:r>
      <w:r>
        <w:rPr>
          <w:spacing w:val="-1"/>
          <w:sz w:val="14"/>
        </w:rPr>
        <w:t> </w:t>
      </w:r>
      <w:r>
        <w:rPr>
          <w:sz w:val="14"/>
        </w:rPr>
        <w:t>cash</w:t>
      </w:r>
      <w:r>
        <w:rPr>
          <w:spacing w:val="-1"/>
          <w:sz w:val="14"/>
        </w:rPr>
        <w:t> </w:t>
      </w:r>
      <w:r>
        <w:rPr>
          <w:sz w:val="14"/>
        </w:rPr>
        <w:t>flow</w:t>
      </w:r>
      <w:r>
        <w:rPr>
          <w:spacing w:val="-1"/>
          <w:sz w:val="14"/>
        </w:rPr>
        <w:t> </w:t>
      </w:r>
      <w:r>
        <w:rPr>
          <w:sz w:val="14"/>
        </w:rPr>
        <w:t>hedges</w:t>
      </w:r>
      <w:r>
        <w:rPr>
          <w:spacing w:val="-1"/>
          <w:sz w:val="14"/>
        </w:rPr>
        <w:t> </w:t>
      </w:r>
      <w:r>
        <w:rPr>
          <w:sz w:val="14"/>
        </w:rPr>
        <w:t>with</w:t>
      </w:r>
      <w:r>
        <w:rPr>
          <w:spacing w:val="-1"/>
          <w:sz w:val="14"/>
        </w:rPr>
        <w:t> </w:t>
      </w:r>
      <w:r>
        <w:rPr>
          <w:sz w:val="14"/>
        </w:rPr>
        <w:t>gross</w:t>
      </w:r>
      <w:r>
        <w:rPr>
          <w:spacing w:val="-1"/>
          <w:sz w:val="14"/>
        </w:rPr>
        <w:t> </w:t>
      </w:r>
      <w:r>
        <w:rPr>
          <w:sz w:val="14"/>
        </w:rPr>
        <w:t>notional</w:t>
      </w:r>
      <w:r>
        <w:rPr>
          <w:spacing w:val="-1"/>
          <w:sz w:val="14"/>
        </w:rPr>
        <w:t> </w:t>
      </w:r>
      <w:r>
        <w:rPr>
          <w:sz w:val="14"/>
        </w:rPr>
        <w:t>amounts</w:t>
      </w:r>
      <w:r>
        <w:rPr>
          <w:spacing w:val="-1"/>
          <w:sz w:val="14"/>
        </w:rPr>
        <w:t> </w:t>
      </w:r>
      <w:r>
        <w:rPr>
          <w:sz w:val="14"/>
        </w:rPr>
        <w:t>of</w:t>
      </w:r>
      <w:r>
        <w:rPr>
          <w:spacing w:val="-1"/>
          <w:sz w:val="14"/>
        </w:rPr>
        <w:t> </w:t>
      </w:r>
      <w:r>
        <w:rPr>
          <w:sz w:val="14"/>
        </w:rPr>
        <w:t>$780</w:t>
      </w:r>
      <w:r>
        <w:rPr>
          <w:spacing w:val="-1"/>
          <w:sz w:val="14"/>
        </w:rPr>
        <w:t> </w:t>
      </w:r>
      <w:r>
        <w:rPr>
          <w:sz w:val="14"/>
        </w:rPr>
        <w:t>million</w:t>
      </w:r>
      <w:r>
        <w:rPr>
          <w:spacing w:val="-1"/>
          <w:sz w:val="14"/>
        </w:rPr>
        <w:t> </w:t>
      </w:r>
      <w:r>
        <w:rPr>
          <w:sz w:val="14"/>
        </w:rPr>
        <w:t>and</w:t>
      </w:r>
      <w:r>
        <w:rPr>
          <w:spacing w:val="-1"/>
          <w:sz w:val="14"/>
        </w:rPr>
        <w:t> </w:t>
      </w:r>
      <w:r>
        <w:rPr>
          <w:sz w:val="14"/>
        </w:rPr>
        <w:t>fair</w:t>
      </w:r>
      <w:r>
        <w:rPr>
          <w:spacing w:val="-1"/>
          <w:sz w:val="14"/>
        </w:rPr>
        <w:t> </w:t>
      </w:r>
      <w:r>
        <w:rPr>
          <w:sz w:val="14"/>
        </w:rPr>
        <w:t>value</w:t>
      </w:r>
      <w:r>
        <w:rPr>
          <w:spacing w:val="-1"/>
          <w:sz w:val="14"/>
        </w:rPr>
        <w:t> </w:t>
      </w:r>
      <w:r>
        <w:rPr>
          <w:sz w:val="14"/>
        </w:rPr>
        <w:t>hedges</w:t>
      </w:r>
      <w:r>
        <w:rPr>
          <w:spacing w:val="-1"/>
          <w:sz w:val="14"/>
        </w:rPr>
        <w:t> </w:t>
      </w:r>
      <w:r>
        <w:rPr>
          <w:sz w:val="14"/>
        </w:rPr>
        <w:t>of</w:t>
      </w:r>
      <w:r>
        <w:rPr>
          <w:spacing w:val="-1"/>
          <w:sz w:val="14"/>
        </w:rPr>
        <w:t> </w:t>
      </w:r>
      <w:r>
        <w:rPr>
          <w:sz w:val="14"/>
        </w:rPr>
        <w:t>leased</w:t>
      </w:r>
      <w:r>
        <w:rPr>
          <w:spacing w:val="-1"/>
          <w:sz w:val="14"/>
        </w:rPr>
        <w:t> </w:t>
      </w:r>
      <w:r>
        <w:rPr>
          <w:sz w:val="14"/>
        </w:rPr>
        <w:t>precious</w:t>
      </w:r>
      <w:r>
        <w:rPr>
          <w:spacing w:val="40"/>
          <w:sz w:val="14"/>
        </w:rPr>
        <w:t> </w:t>
      </w:r>
      <w:r>
        <w:rPr>
          <w:sz w:val="14"/>
        </w:rPr>
        <w:t>metals with a gross notional amount of 7,559 troy ounces. At December 31, 2020, derivatives designated as hedging instruments include foreign currency contracts with notional amounts of $892</w:t>
      </w:r>
      <w:r>
        <w:rPr>
          <w:spacing w:val="40"/>
          <w:sz w:val="14"/>
        </w:rPr>
        <w:t> </w:t>
      </w:r>
      <w:r>
        <w:rPr>
          <w:sz w:val="14"/>
        </w:rPr>
        <w:t>million and $251 million, respectively, for cash flow hedges and net investment hedges.</w:t>
      </w:r>
    </w:p>
    <w:p>
      <w:pPr>
        <w:pStyle w:val="BodyText"/>
        <w:spacing w:before="43"/>
        <w:rPr>
          <w:sz w:val="14"/>
        </w:rPr>
      </w:pPr>
    </w:p>
    <w:p>
      <w:pPr>
        <w:pStyle w:val="BodyText"/>
        <w:ind w:left="48"/>
        <w:jc w:val="center"/>
      </w:pPr>
      <w:r>
        <w:rPr>
          <w:spacing w:val="-5"/>
          <w:w w:val="105"/>
        </w:rPr>
        <w:t>103</w:t>
      </w:r>
    </w:p>
    <w:p>
      <w:pPr>
        <w:pStyle w:val="BodyText"/>
        <w:rPr>
          <w:sz w:val="6"/>
        </w:rPr>
      </w:pPr>
      <w:r>
        <w:rPr/>
        <mc:AlternateContent>
          <mc:Choice Requires="wps">
            <w:drawing>
              <wp:anchor distT="0" distB="0" distL="0" distR="0" allowOverlap="1" layoutInCell="1" locked="0" behindDoc="1" simplePos="0" relativeHeight="487729152">
                <wp:simplePos x="0" y="0"/>
                <wp:positionH relativeFrom="page">
                  <wp:posOffset>226488</wp:posOffset>
                </wp:positionH>
                <wp:positionV relativeFrom="paragraph">
                  <wp:posOffset>59051</wp:posOffset>
                </wp:positionV>
                <wp:extent cx="7312659" cy="16510"/>
                <wp:effectExtent l="0" t="0" r="0" b="0"/>
                <wp:wrapTopAndBottom/>
                <wp:docPr id="643" name="Graphic 643"/>
                <wp:cNvGraphicFramePr>
                  <a:graphicFrameLocks/>
                </wp:cNvGraphicFramePr>
                <a:graphic>
                  <a:graphicData uri="http://schemas.microsoft.com/office/word/2010/wordprocessingShape">
                    <wps:wsp>
                      <wps:cNvPr id="643" name="Graphic 643"/>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587328;mso-wrap-distance-left:0;mso-wrap-distance-right:0" id="docshape642"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numPr>
          <w:ilvl w:val="0"/>
          <w:numId w:val="53"/>
        </w:numPr>
        <w:tabs>
          <w:tab w:pos="445" w:val="left" w:leader="none"/>
        </w:tabs>
        <w:spacing w:line="240" w:lineRule="auto" w:before="0" w:after="0"/>
        <w:ind w:left="445" w:right="0" w:hanging="289"/>
        <w:jc w:val="left"/>
      </w:pPr>
      <w:r>
        <w:rPr/>
        <w:t>Hedging</w:t>
      </w:r>
      <w:r>
        <w:rPr>
          <w:spacing w:val="14"/>
        </w:rPr>
        <w:t> </w:t>
      </w:r>
      <w:r>
        <w:rPr/>
        <w:t>Activities</w:t>
      </w:r>
      <w:r>
        <w:rPr>
          <w:spacing w:val="15"/>
        </w:rPr>
        <w:t> </w:t>
      </w:r>
      <w:r>
        <w:rPr>
          <w:spacing w:val="-2"/>
        </w:rPr>
        <w:t>(Continued)</w:t>
      </w:r>
    </w:p>
    <w:p>
      <w:pPr>
        <w:pStyle w:val="BodyText"/>
        <w:spacing w:before="40"/>
        <w:rPr>
          <w:b/>
        </w:rPr>
      </w:pPr>
    </w:p>
    <w:p>
      <w:pPr>
        <w:pStyle w:val="BodyText"/>
        <w:spacing w:line="266" w:lineRule="auto"/>
        <w:ind w:left="156"/>
      </w:pPr>
      <w:r>
        <w:rPr/>
        <mc:AlternateContent>
          <mc:Choice Requires="wps">
            <w:drawing>
              <wp:anchor distT="0" distB="0" distL="0" distR="0" allowOverlap="1" layoutInCell="1" locked="0" behindDoc="0" simplePos="0" relativeHeight="15872512">
                <wp:simplePos x="0" y="0"/>
                <wp:positionH relativeFrom="page">
                  <wp:posOffset>226479</wp:posOffset>
                </wp:positionH>
                <wp:positionV relativeFrom="paragraph">
                  <wp:posOffset>458922</wp:posOffset>
                </wp:positionV>
                <wp:extent cx="7312659" cy="16510"/>
                <wp:effectExtent l="0" t="0" r="0" b="0"/>
                <wp:wrapNone/>
                <wp:docPr id="644" name="Graphic 644"/>
                <wp:cNvGraphicFramePr>
                  <a:graphicFrameLocks/>
                </wp:cNvGraphicFramePr>
                <a:graphic>
                  <a:graphicData uri="http://schemas.microsoft.com/office/word/2010/wordprocessingShape">
                    <wps:wsp>
                      <wps:cNvPr id="644" name="Graphic 644"/>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36.135639pt;width:575.775027pt;height:1.274pt;mso-position-horizontal-relative:page;mso-position-vertical-relative:paragraph;z-index:15872512" id="docshape643" filled="true" fillcolor="#000000" stroked="false">
                <v:fill type="solid"/>
                <w10:wrap type="none"/>
              </v:rect>
            </w:pict>
          </mc:Fallback>
        </mc:AlternateContent>
      </w:r>
      <w:r>
        <w:rPr>
          <w:w w:val="105"/>
        </w:rPr>
        <w:t>The</w:t>
      </w:r>
      <w:r>
        <w:rPr>
          <w:spacing w:val="-9"/>
          <w:w w:val="105"/>
        </w:rPr>
        <w:t> </w:t>
      </w:r>
      <w:r>
        <w:rPr>
          <w:w w:val="105"/>
        </w:rPr>
        <w:t>following</w:t>
      </w:r>
      <w:r>
        <w:rPr>
          <w:spacing w:val="-9"/>
          <w:w w:val="105"/>
        </w:rPr>
        <w:t> </w:t>
      </w:r>
      <w:r>
        <w:rPr>
          <w:w w:val="105"/>
        </w:rPr>
        <w:t>tables</w:t>
      </w:r>
      <w:r>
        <w:rPr>
          <w:spacing w:val="-9"/>
          <w:w w:val="105"/>
        </w:rPr>
        <w:t> </w:t>
      </w:r>
      <w:r>
        <w:rPr>
          <w:w w:val="105"/>
        </w:rPr>
        <w:t>summarize</w:t>
      </w:r>
      <w:r>
        <w:rPr>
          <w:spacing w:val="-9"/>
          <w:w w:val="105"/>
        </w:rPr>
        <w:t> </w:t>
      </w:r>
      <w:r>
        <w:rPr>
          <w:w w:val="105"/>
        </w:rPr>
        <w:t>the</w:t>
      </w:r>
      <w:r>
        <w:rPr>
          <w:spacing w:val="-9"/>
          <w:w w:val="105"/>
        </w:rPr>
        <w:t> </w:t>
      </w:r>
      <w:r>
        <w:rPr>
          <w:w w:val="105"/>
        </w:rPr>
        <w:t>effect</w:t>
      </w:r>
      <w:r>
        <w:rPr>
          <w:spacing w:val="-9"/>
          <w:w w:val="105"/>
        </w:rPr>
        <w:t> </w:t>
      </w:r>
      <w:r>
        <w:rPr>
          <w:w w:val="105"/>
        </w:rPr>
        <w:t>on</w:t>
      </w:r>
      <w:r>
        <w:rPr>
          <w:spacing w:val="-9"/>
          <w:w w:val="105"/>
        </w:rPr>
        <w:t> </w:t>
      </w:r>
      <w:r>
        <w:rPr>
          <w:w w:val="105"/>
        </w:rPr>
        <w:t>the</w:t>
      </w:r>
      <w:r>
        <w:rPr>
          <w:spacing w:val="-8"/>
          <w:w w:val="105"/>
        </w:rPr>
        <w:t> </w:t>
      </w:r>
      <w:r>
        <w:rPr>
          <w:w w:val="105"/>
        </w:rPr>
        <w:t>consolidated</w:t>
      </w:r>
      <w:r>
        <w:rPr>
          <w:spacing w:val="-9"/>
          <w:w w:val="105"/>
        </w:rPr>
        <w:t> </w:t>
      </w:r>
      <w:r>
        <w:rPr>
          <w:w w:val="105"/>
        </w:rPr>
        <w:t>statements</w:t>
      </w:r>
      <w:r>
        <w:rPr>
          <w:spacing w:val="-9"/>
          <w:w w:val="105"/>
        </w:rPr>
        <w:t> </w:t>
      </w:r>
      <w:r>
        <w:rPr>
          <w:w w:val="105"/>
        </w:rPr>
        <w:t>of</w:t>
      </w:r>
      <w:r>
        <w:rPr>
          <w:spacing w:val="-9"/>
          <w:w w:val="105"/>
        </w:rPr>
        <w:t> </w:t>
      </w:r>
      <w:r>
        <w:rPr>
          <w:w w:val="105"/>
        </w:rPr>
        <w:t>income</w:t>
      </w:r>
      <w:r>
        <w:rPr>
          <w:spacing w:val="-9"/>
          <w:w w:val="105"/>
        </w:rPr>
        <w:t> </w:t>
      </w:r>
      <w:r>
        <w:rPr>
          <w:w w:val="105"/>
        </w:rPr>
        <w:t>relating</w:t>
      </w:r>
      <w:r>
        <w:rPr>
          <w:spacing w:val="-9"/>
          <w:w w:val="105"/>
        </w:rPr>
        <w:t> </w:t>
      </w:r>
      <w:r>
        <w:rPr>
          <w:w w:val="105"/>
        </w:rPr>
        <w:t>to</w:t>
      </w:r>
      <w:r>
        <w:rPr>
          <w:spacing w:val="-9"/>
          <w:w w:val="105"/>
        </w:rPr>
        <w:t> </w:t>
      </w:r>
      <w:r>
        <w:rPr>
          <w:w w:val="105"/>
        </w:rPr>
        <w:t>Corning’s</w:t>
      </w:r>
      <w:r>
        <w:rPr>
          <w:spacing w:val="-9"/>
          <w:w w:val="105"/>
        </w:rPr>
        <w:t> </w:t>
      </w:r>
      <w:r>
        <w:rPr>
          <w:w w:val="105"/>
        </w:rPr>
        <w:t>derivative</w:t>
      </w:r>
      <w:r>
        <w:rPr>
          <w:spacing w:val="-9"/>
          <w:w w:val="105"/>
        </w:rPr>
        <w:t> </w:t>
      </w:r>
      <w:r>
        <w:rPr>
          <w:w w:val="105"/>
        </w:rPr>
        <w:t>financial</w:t>
      </w:r>
      <w:r>
        <w:rPr>
          <w:spacing w:val="-9"/>
          <w:w w:val="105"/>
        </w:rPr>
        <w:t> </w:t>
      </w:r>
      <w:r>
        <w:rPr>
          <w:w w:val="105"/>
        </w:rPr>
        <w:t>instruments</w:t>
      </w:r>
      <w:r>
        <w:rPr>
          <w:spacing w:val="-9"/>
          <w:w w:val="105"/>
        </w:rPr>
        <w:t> </w:t>
      </w:r>
      <w:r>
        <w:rPr>
          <w:w w:val="105"/>
        </w:rPr>
        <w:t>(in</w:t>
      </w:r>
      <w:r>
        <w:rPr>
          <w:spacing w:val="-9"/>
          <w:w w:val="105"/>
        </w:rPr>
        <w:t> </w:t>
      </w:r>
      <w:r>
        <w:rPr>
          <w:w w:val="105"/>
        </w:rPr>
        <w:t>millions).</w:t>
      </w:r>
      <w:r>
        <w:rPr>
          <w:spacing w:val="-9"/>
          <w:w w:val="105"/>
        </w:rPr>
        <w:t> </w:t>
      </w:r>
      <w:r>
        <w:rPr>
          <w:w w:val="105"/>
        </w:rPr>
        <w:t>The</w:t>
      </w:r>
      <w:r>
        <w:rPr>
          <w:spacing w:val="-9"/>
          <w:w w:val="105"/>
        </w:rPr>
        <w:t> </w:t>
      </w:r>
      <w:r>
        <w:rPr>
          <w:w w:val="105"/>
        </w:rPr>
        <w:t>accumulated derivative</w:t>
      </w:r>
      <w:r>
        <w:rPr>
          <w:spacing w:val="-2"/>
          <w:w w:val="105"/>
        </w:rPr>
        <w:t> </w:t>
      </w:r>
      <w:r>
        <w:rPr>
          <w:w w:val="105"/>
        </w:rPr>
        <w:t>gain</w:t>
      </w:r>
      <w:r>
        <w:rPr>
          <w:spacing w:val="-2"/>
          <w:w w:val="105"/>
        </w:rPr>
        <w:t> </w:t>
      </w:r>
      <w:r>
        <w:rPr>
          <w:w w:val="105"/>
        </w:rPr>
        <w:t>included</w:t>
      </w:r>
      <w:r>
        <w:rPr>
          <w:spacing w:val="-2"/>
          <w:w w:val="105"/>
        </w:rPr>
        <w:t> </w:t>
      </w:r>
      <w:r>
        <w:rPr>
          <w:w w:val="105"/>
        </w:rPr>
        <w:t>in</w:t>
      </w:r>
      <w:r>
        <w:rPr>
          <w:spacing w:val="-2"/>
          <w:w w:val="105"/>
        </w:rPr>
        <w:t> </w:t>
      </w:r>
      <w:r>
        <w:rPr>
          <w:w w:val="105"/>
        </w:rPr>
        <w:t>accumulated</w:t>
      </w:r>
      <w:r>
        <w:rPr>
          <w:spacing w:val="-2"/>
          <w:w w:val="105"/>
        </w:rPr>
        <w:t> </w:t>
      </w:r>
      <w:r>
        <w:rPr>
          <w:w w:val="105"/>
        </w:rPr>
        <w:t>other comprehensive</w:t>
      </w:r>
      <w:r>
        <w:rPr>
          <w:spacing w:val="-2"/>
          <w:w w:val="105"/>
        </w:rPr>
        <w:t> </w:t>
      </w:r>
      <w:r>
        <w:rPr>
          <w:w w:val="105"/>
        </w:rPr>
        <w:t>loss</w:t>
      </w:r>
      <w:r>
        <w:rPr>
          <w:spacing w:val="-2"/>
          <w:w w:val="105"/>
        </w:rPr>
        <w:t> </w:t>
      </w:r>
      <w:r>
        <w:rPr>
          <w:w w:val="105"/>
        </w:rPr>
        <w:t>on</w:t>
      </w:r>
      <w:r>
        <w:rPr>
          <w:spacing w:val="-2"/>
          <w:w w:val="105"/>
        </w:rPr>
        <w:t> </w:t>
      </w:r>
      <w:r>
        <w:rPr>
          <w:w w:val="105"/>
        </w:rPr>
        <w:t>the</w:t>
      </w:r>
      <w:r>
        <w:rPr>
          <w:spacing w:val="-2"/>
          <w:w w:val="105"/>
        </w:rPr>
        <w:t> </w:t>
      </w:r>
      <w:r>
        <w:rPr>
          <w:w w:val="105"/>
        </w:rPr>
        <w:t>consolidated</w:t>
      </w:r>
      <w:r>
        <w:rPr>
          <w:spacing w:val="-2"/>
          <w:w w:val="105"/>
        </w:rPr>
        <w:t> </w:t>
      </w:r>
      <w:r>
        <w:rPr>
          <w:w w:val="105"/>
        </w:rPr>
        <w:t>balance</w:t>
      </w:r>
      <w:r>
        <w:rPr>
          <w:spacing w:val="-2"/>
          <w:w w:val="105"/>
        </w:rPr>
        <w:t> </w:t>
      </w:r>
      <w:r>
        <w:rPr>
          <w:w w:val="105"/>
        </w:rPr>
        <w:t>sheets</w:t>
      </w:r>
      <w:r>
        <w:rPr>
          <w:spacing w:val="-2"/>
          <w:w w:val="105"/>
        </w:rPr>
        <w:t> </w:t>
      </w:r>
      <w:r>
        <w:rPr>
          <w:w w:val="105"/>
        </w:rPr>
        <w:t>at</w:t>
      </w:r>
      <w:r>
        <w:rPr>
          <w:spacing w:val="40"/>
          <w:w w:val="105"/>
        </w:rPr>
        <w:t> </w:t>
      </w:r>
      <w:r>
        <w:rPr>
          <w:w w:val="105"/>
        </w:rPr>
        <w:t>December</w:t>
      </w:r>
      <w:r>
        <w:rPr>
          <w:spacing w:val="-2"/>
          <w:w w:val="105"/>
        </w:rPr>
        <w:t> </w:t>
      </w:r>
      <w:r>
        <w:rPr>
          <w:w w:val="105"/>
        </w:rPr>
        <w:t>31,</w:t>
      </w:r>
      <w:r>
        <w:rPr>
          <w:spacing w:val="-2"/>
          <w:w w:val="105"/>
        </w:rPr>
        <w:t> </w:t>
      </w:r>
      <w:r>
        <w:rPr>
          <w:w w:val="105"/>
        </w:rPr>
        <w:t>2021</w:t>
      </w:r>
      <w:r>
        <w:rPr>
          <w:spacing w:val="-1"/>
          <w:w w:val="105"/>
        </w:rPr>
        <w:t> </w:t>
      </w:r>
      <w:r>
        <w:rPr>
          <w:w w:val="105"/>
        </w:rPr>
        <w:t>and</w:t>
      </w:r>
      <w:r>
        <w:rPr>
          <w:spacing w:val="-2"/>
          <w:w w:val="105"/>
        </w:rPr>
        <w:t> </w:t>
      </w:r>
      <w:r>
        <w:rPr>
          <w:w w:val="105"/>
        </w:rPr>
        <w:t>2020</w:t>
      </w:r>
      <w:r>
        <w:rPr>
          <w:spacing w:val="-2"/>
          <w:w w:val="105"/>
        </w:rPr>
        <w:t> </w:t>
      </w:r>
      <w:r>
        <w:rPr>
          <w:w w:val="105"/>
        </w:rPr>
        <w:t>is</w:t>
      </w:r>
      <w:r>
        <w:rPr>
          <w:spacing w:val="-2"/>
          <w:w w:val="105"/>
        </w:rPr>
        <w:t> </w:t>
      </w:r>
      <w:r>
        <w:rPr>
          <w:w w:val="105"/>
        </w:rPr>
        <w:t>$52</w:t>
      </w:r>
      <w:r>
        <w:rPr>
          <w:spacing w:val="-2"/>
          <w:w w:val="105"/>
        </w:rPr>
        <w:t> </w:t>
      </w:r>
      <w:r>
        <w:rPr>
          <w:w w:val="105"/>
        </w:rPr>
        <w:t>million</w:t>
      </w:r>
      <w:r>
        <w:rPr>
          <w:spacing w:val="-2"/>
          <w:w w:val="105"/>
        </w:rPr>
        <w:t> </w:t>
      </w:r>
      <w:r>
        <w:rPr>
          <w:w w:val="105"/>
        </w:rPr>
        <w:t>and</w:t>
      </w:r>
      <w:r>
        <w:rPr>
          <w:spacing w:val="-2"/>
          <w:w w:val="105"/>
        </w:rPr>
        <w:t> </w:t>
      </w:r>
      <w:r>
        <w:rPr>
          <w:w w:val="105"/>
        </w:rPr>
        <w:t>$60</w:t>
      </w:r>
      <w:r>
        <w:rPr>
          <w:spacing w:val="-2"/>
          <w:w w:val="105"/>
        </w:rPr>
        <w:t> </w:t>
      </w:r>
      <w:r>
        <w:rPr>
          <w:w w:val="105"/>
        </w:rPr>
        <w:t>million, </w:t>
      </w:r>
      <w:r>
        <w:rPr>
          <w:spacing w:val="-2"/>
          <w:w w:val="105"/>
        </w:rPr>
        <w:t>respectively.</w:t>
      </w:r>
    </w:p>
    <w:p>
      <w:pPr>
        <w:spacing w:after="0" w:line="266" w:lineRule="auto"/>
        <w:sectPr>
          <w:pgSz w:w="12240" w:h="15840"/>
          <w:pgMar w:header="428" w:footer="0" w:top="620" w:bottom="280" w:left="200" w:right="260"/>
        </w:sectPr>
      </w:pPr>
    </w:p>
    <w:p>
      <w:pPr>
        <w:pStyle w:val="BodyText"/>
        <w:spacing w:before="136"/>
        <w:rPr>
          <w:sz w:val="14"/>
        </w:rPr>
      </w:pPr>
    </w:p>
    <w:p>
      <w:pPr>
        <w:spacing w:before="1"/>
        <w:ind w:left="156" w:right="0" w:firstLine="0"/>
        <w:jc w:val="left"/>
        <w:rPr>
          <w:sz w:val="14"/>
        </w:rPr>
      </w:pPr>
      <w:r>
        <w:rPr>
          <w:sz w:val="14"/>
        </w:rPr>
        <w:t>Derivatives</w:t>
      </w:r>
      <w:r>
        <w:rPr>
          <w:spacing w:val="-4"/>
          <w:sz w:val="14"/>
        </w:rPr>
        <w:t> </w:t>
      </w:r>
      <w:r>
        <w:rPr>
          <w:sz w:val="14"/>
        </w:rPr>
        <w:t>in</w:t>
      </w:r>
      <w:r>
        <w:rPr>
          <w:spacing w:val="-3"/>
          <w:sz w:val="14"/>
        </w:rPr>
        <w:t> </w:t>
      </w:r>
      <w:r>
        <w:rPr>
          <w:sz w:val="14"/>
        </w:rPr>
        <w:t>hedging</w:t>
      </w:r>
      <w:r>
        <w:rPr>
          <w:spacing w:val="-3"/>
          <w:sz w:val="14"/>
        </w:rPr>
        <w:t> </w:t>
      </w:r>
      <w:r>
        <w:rPr>
          <w:spacing w:val="-2"/>
          <w:sz w:val="14"/>
        </w:rPr>
        <w:t>relationships</w:t>
      </w:r>
    </w:p>
    <w:p>
      <w:pPr>
        <w:spacing w:line="157" w:lineRule="exact" w:before="132"/>
        <w:ind w:left="550" w:right="0" w:firstLine="0"/>
        <w:jc w:val="left"/>
        <w:rPr>
          <w:sz w:val="14"/>
        </w:rPr>
      </w:pPr>
      <w:r>
        <w:rPr/>
        <w:br w:type="column"/>
      </w:r>
      <w:r>
        <w:rPr>
          <w:sz w:val="14"/>
        </w:rPr>
        <w:t>Gain (loss) recognized in </w:t>
      </w:r>
      <w:r>
        <w:rPr>
          <w:spacing w:val="-2"/>
          <w:sz w:val="14"/>
        </w:rPr>
        <w:t>other</w:t>
      </w:r>
    </w:p>
    <w:p>
      <w:pPr>
        <w:tabs>
          <w:tab w:pos="585" w:val="left" w:leader="none"/>
          <w:tab w:pos="2793" w:val="left" w:leader="none"/>
        </w:tabs>
        <w:spacing w:line="157" w:lineRule="exact" w:before="0"/>
        <w:ind w:left="156" w:right="0" w:firstLine="0"/>
        <w:jc w:val="left"/>
        <w:rPr>
          <w:sz w:val="14"/>
        </w:rPr>
      </w:pPr>
      <w:r>
        <w:rPr>
          <w:sz w:val="14"/>
          <w:u w:val="single"/>
        </w:rPr>
        <w:tab/>
        <w:t>comprehensive income </w:t>
      </w:r>
      <w:r>
        <w:rPr>
          <w:spacing w:val="-2"/>
          <w:sz w:val="14"/>
          <w:u w:val="single"/>
        </w:rPr>
        <w:t>(OCI)</w:t>
      </w:r>
      <w:r>
        <w:rPr>
          <w:sz w:val="14"/>
          <w:u w:val="single"/>
        </w:rPr>
        <w:tab/>
      </w:r>
    </w:p>
    <w:p>
      <w:pPr>
        <w:spacing w:line="228" w:lineRule="auto" w:before="151"/>
        <w:ind w:left="440" w:right="38" w:hanging="284"/>
        <w:jc w:val="left"/>
        <w:rPr>
          <w:sz w:val="14"/>
        </w:rPr>
      </w:pPr>
      <w:r>
        <w:rPr/>
        <w:br w:type="column"/>
      </w:r>
      <w:r>
        <w:rPr>
          <w:sz w:val="14"/>
        </w:rPr>
        <w:t>Location</w:t>
      </w:r>
      <w:r>
        <w:rPr>
          <w:spacing w:val="-8"/>
          <w:sz w:val="14"/>
        </w:rPr>
        <w:t> </w:t>
      </w:r>
      <w:r>
        <w:rPr>
          <w:sz w:val="14"/>
        </w:rPr>
        <w:t>of</w:t>
      </w:r>
      <w:r>
        <w:rPr>
          <w:spacing w:val="-8"/>
          <w:sz w:val="14"/>
        </w:rPr>
        <w:t> </w:t>
      </w:r>
      <w:r>
        <w:rPr>
          <w:sz w:val="14"/>
        </w:rPr>
        <w:t>gain</w:t>
      </w:r>
      <w:r>
        <w:rPr>
          <w:spacing w:val="-8"/>
          <w:sz w:val="14"/>
        </w:rPr>
        <w:t> </w:t>
      </w:r>
      <w:r>
        <w:rPr>
          <w:sz w:val="14"/>
        </w:rPr>
        <w:t>(loss)</w:t>
      </w:r>
      <w:r>
        <w:rPr>
          <w:spacing w:val="-8"/>
          <w:sz w:val="14"/>
        </w:rPr>
        <w:t> </w:t>
      </w:r>
      <w:r>
        <w:rPr>
          <w:sz w:val="14"/>
        </w:rPr>
        <w:t>reclassified</w:t>
      </w:r>
      <w:r>
        <w:rPr>
          <w:spacing w:val="-8"/>
          <w:sz w:val="14"/>
        </w:rPr>
        <w:t> </w:t>
      </w:r>
      <w:r>
        <w:rPr>
          <w:sz w:val="14"/>
        </w:rPr>
        <w:t>from</w:t>
      </w:r>
      <w:r>
        <w:rPr>
          <w:spacing w:val="40"/>
          <w:sz w:val="14"/>
        </w:rPr>
        <w:t> </w:t>
      </w:r>
      <w:r>
        <w:rPr>
          <w:sz w:val="14"/>
        </w:rPr>
        <w:t>accumulated OCI into income</w:t>
      </w:r>
    </w:p>
    <w:p>
      <w:pPr>
        <w:spacing w:line="157" w:lineRule="exact" w:before="132"/>
        <w:ind w:left="247" w:right="0" w:firstLine="0"/>
        <w:jc w:val="left"/>
        <w:rPr>
          <w:sz w:val="14"/>
        </w:rPr>
      </w:pPr>
      <w:r>
        <w:rPr/>
        <w:br w:type="column"/>
      </w:r>
      <w:r>
        <w:rPr>
          <w:sz w:val="14"/>
        </w:rPr>
        <w:t>Gain (loss) reclassified from </w:t>
      </w:r>
      <w:r>
        <w:rPr>
          <w:spacing w:val="-2"/>
          <w:sz w:val="14"/>
        </w:rPr>
        <w:t>accumulated</w:t>
      </w:r>
    </w:p>
    <w:p>
      <w:pPr>
        <w:tabs>
          <w:tab w:pos="946" w:val="left" w:leader="none"/>
          <w:tab w:pos="2793" w:val="left" w:leader="none"/>
        </w:tabs>
        <w:spacing w:line="157" w:lineRule="exact" w:before="0"/>
        <w:ind w:left="156" w:right="0" w:firstLine="0"/>
        <w:jc w:val="left"/>
        <w:rPr>
          <w:sz w:val="14"/>
        </w:rPr>
      </w:pPr>
      <w:r>
        <w:rPr>
          <w:sz w:val="14"/>
          <w:u w:val="single"/>
        </w:rPr>
        <w:tab/>
        <w:t>OCI into </w:t>
      </w:r>
      <w:r>
        <w:rPr>
          <w:spacing w:val="-2"/>
          <w:sz w:val="14"/>
          <w:u w:val="single"/>
        </w:rPr>
        <w:t>income</w:t>
      </w:r>
      <w:r>
        <w:rPr>
          <w:sz w:val="14"/>
          <w:u w:val="single"/>
        </w:rPr>
        <w:tab/>
      </w:r>
    </w:p>
    <w:p>
      <w:pPr>
        <w:spacing w:after="0" w:line="157" w:lineRule="exact"/>
        <w:jc w:val="left"/>
        <w:rPr>
          <w:sz w:val="14"/>
        </w:rPr>
        <w:sectPr>
          <w:type w:val="continuous"/>
          <w:pgSz w:w="12240" w:h="15840"/>
          <w:pgMar w:header="428" w:footer="0" w:top="700" w:bottom="280" w:left="200" w:right="260"/>
          <w:cols w:num="4" w:equalWidth="0">
            <w:col w:w="2224" w:space="1024"/>
            <w:col w:w="2834" w:space="116"/>
            <w:col w:w="2450" w:space="230"/>
            <w:col w:w="2902"/>
          </w:cols>
        </w:sectPr>
      </w:pPr>
    </w:p>
    <w:p>
      <w:pPr>
        <w:tabs>
          <w:tab w:pos="3608" w:val="left" w:leader="none"/>
          <w:tab w:pos="4525" w:val="left" w:leader="none"/>
          <w:tab w:pos="5443" w:val="left" w:leader="none"/>
          <w:tab w:pos="6872" w:val="left" w:leader="none"/>
          <w:tab w:pos="9239" w:val="left" w:leader="none"/>
          <w:tab w:pos="10156" w:val="left" w:leader="none"/>
          <w:tab w:pos="11353" w:val="right" w:leader="none"/>
        </w:tabs>
        <w:spacing w:before="4"/>
        <w:ind w:left="156" w:right="0" w:firstLine="0"/>
        <w:jc w:val="left"/>
        <w:rPr>
          <w:sz w:val="14"/>
        </w:rPr>
      </w:pPr>
      <w:r>
        <w:rPr/>
        <mc:AlternateContent>
          <mc:Choice Requires="wps">
            <w:drawing>
              <wp:anchor distT="0" distB="0" distL="0" distR="0" allowOverlap="1" layoutInCell="1" locked="0" behindDoc="0" simplePos="0" relativeHeight="15873024">
                <wp:simplePos x="0" y="0"/>
                <wp:positionH relativeFrom="page">
                  <wp:posOffset>226479</wp:posOffset>
                </wp:positionH>
                <wp:positionV relativeFrom="paragraph">
                  <wp:posOffset>101988</wp:posOffset>
                </wp:positionV>
                <wp:extent cx="7312659" cy="8255"/>
                <wp:effectExtent l="0" t="0" r="0" b="0"/>
                <wp:wrapNone/>
                <wp:docPr id="645" name="Graphic 645"/>
                <wp:cNvGraphicFramePr>
                  <a:graphicFrameLocks/>
                </wp:cNvGraphicFramePr>
                <a:graphic>
                  <a:graphicData uri="http://schemas.microsoft.com/office/word/2010/wordprocessingShape">
                    <wps:wsp>
                      <wps:cNvPr id="645" name="Graphic 645"/>
                      <wps:cNvSpPr/>
                      <wps:spPr>
                        <a:xfrm>
                          <a:off x="0"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8.030609pt;width:575.775027pt;height:.637pt;mso-position-horizontal-relative:page;mso-position-vertical-relative:paragraph;z-index:15873024" id="docshape644" filled="true" fillcolor="#000000" stroked="false">
                <v:fill type="solid"/>
                <w10:wrap type="none"/>
              </v:rect>
            </w:pict>
          </mc:Fallback>
        </mc:AlternateContent>
      </w:r>
      <w:r>
        <w:rPr>
          <w:sz w:val="14"/>
        </w:rPr>
        <w:t>for</w:t>
      </w:r>
      <w:r>
        <w:rPr>
          <w:spacing w:val="-1"/>
          <w:sz w:val="14"/>
        </w:rPr>
        <w:t> </w:t>
      </w:r>
      <w:r>
        <w:rPr>
          <w:sz w:val="14"/>
        </w:rPr>
        <w:t>cash flow</w:t>
      </w:r>
      <w:r>
        <w:rPr>
          <w:spacing w:val="-1"/>
          <w:sz w:val="14"/>
        </w:rPr>
        <w:t> </w:t>
      </w:r>
      <w:r>
        <w:rPr>
          <w:sz w:val="14"/>
        </w:rPr>
        <w:t>and fair</w:t>
      </w:r>
      <w:r>
        <w:rPr>
          <w:spacing w:val="-1"/>
          <w:sz w:val="14"/>
        </w:rPr>
        <w:t> </w:t>
      </w:r>
      <w:r>
        <w:rPr>
          <w:sz w:val="14"/>
        </w:rPr>
        <w:t>value </w:t>
      </w:r>
      <w:r>
        <w:rPr>
          <w:spacing w:val="-2"/>
          <w:sz w:val="14"/>
        </w:rPr>
        <w:t>hedges</w:t>
      </w:r>
      <w:r>
        <w:rPr>
          <w:sz w:val="14"/>
        </w:rPr>
        <w:tab/>
      </w:r>
      <w:r>
        <w:rPr>
          <w:b/>
          <w:spacing w:val="-4"/>
          <w:sz w:val="14"/>
        </w:rPr>
        <w:t>2021</w:t>
      </w:r>
      <w:r>
        <w:rPr>
          <w:b/>
          <w:sz w:val="14"/>
        </w:rPr>
        <w:tab/>
      </w:r>
      <w:r>
        <w:rPr>
          <w:spacing w:val="-4"/>
          <w:sz w:val="14"/>
        </w:rPr>
        <w:t>2020</w:t>
      </w:r>
      <w:r>
        <w:rPr>
          <w:sz w:val="14"/>
        </w:rPr>
        <w:tab/>
      </w:r>
      <w:r>
        <w:rPr>
          <w:spacing w:val="-4"/>
          <w:sz w:val="14"/>
        </w:rPr>
        <w:t>2019</w:t>
      </w:r>
      <w:r>
        <w:rPr>
          <w:sz w:val="14"/>
        </w:rPr>
        <w:tab/>
        <w:t>effective</w:t>
      </w:r>
      <w:r>
        <w:rPr>
          <w:spacing w:val="-2"/>
          <w:sz w:val="14"/>
        </w:rPr>
        <w:t> (ineffective)</w:t>
      </w:r>
      <w:r>
        <w:rPr>
          <w:sz w:val="14"/>
        </w:rPr>
        <w:tab/>
      </w:r>
      <w:r>
        <w:rPr>
          <w:b/>
          <w:spacing w:val="-4"/>
          <w:sz w:val="14"/>
        </w:rPr>
        <w:t>2021</w:t>
      </w:r>
      <w:r>
        <w:rPr>
          <w:b/>
          <w:sz w:val="14"/>
        </w:rPr>
        <w:tab/>
      </w:r>
      <w:r>
        <w:rPr>
          <w:spacing w:val="-4"/>
          <w:sz w:val="14"/>
        </w:rPr>
        <w:t>2020</w:t>
      </w:r>
      <w:r>
        <w:rPr>
          <w:sz w:val="14"/>
        </w:rPr>
        <w:tab/>
      </w:r>
      <w:r>
        <w:rPr>
          <w:spacing w:val="-4"/>
          <w:sz w:val="14"/>
        </w:rPr>
        <w:t>2019</w:t>
      </w:r>
    </w:p>
    <w:p>
      <w:pPr>
        <w:tabs>
          <w:tab w:pos="9035" w:val="left" w:leader="none"/>
          <w:tab w:pos="9582" w:val="left" w:leader="none"/>
          <w:tab w:pos="9952" w:val="left" w:leader="none"/>
          <w:tab w:pos="10523" w:val="left" w:leader="none"/>
        </w:tabs>
        <w:spacing w:line="157" w:lineRule="exact" w:before="158"/>
        <w:ind w:left="7226" w:right="0" w:firstLine="0"/>
        <w:jc w:val="left"/>
        <w:rPr>
          <w:sz w:val="14"/>
        </w:rPr>
      </w:pPr>
      <w:r>
        <w:rPr/>
        <mc:AlternateContent>
          <mc:Choice Requires="wps">
            <w:drawing>
              <wp:anchor distT="0" distB="0" distL="0" distR="0" allowOverlap="1" layoutInCell="1" locked="0" behindDoc="1" simplePos="0" relativeHeight="474162176">
                <wp:simplePos x="0" y="0"/>
                <wp:positionH relativeFrom="page">
                  <wp:posOffset>226479</wp:posOffset>
                </wp:positionH>
                <wp:positionV relativeFrom="paragraph">
                  <wp:posOffset>199444</wp:posOffset>
                </wp:positionV>
                <wp:extent cx="7312659" cy="97155"/>
                <wp:effectExtent l="0" t="0" r="0" b="0"/>
                <wp:wrapNone/>
                <wp:docPr id="646" name="Graphic 646"/>
                <wp:cNvGraphicFramePr>
                  <a:graphicFrameLocks/>
                </wp:cNvGraphicFramePr>
                <a:graphic>
                  <a:graphicData uri="http://schemas.microsoft.com/office/word/2010/wordprocessingShape">
                    <wps:wsp>
                      <wps:cNvPr id="646" name="Graphic 646"/>
                      <wps:cNvSpPr/>
                      <wps:spPr>
                        <a:xfrm>
                          <a:off x="0" y="0"/>
                          <a:ext cx="7312659" cy="97155"/>
                        </a:xfrm>
                        <a:custGeom>
                          <a:avLst/>
                          <a:gdLst/>
                          <a:ahLst/>
                          <a:cxnLst/>
                          <a:rect l="l" t="t" r="r" b="b"/>
                          <a:pathLst>
                            <a:path w="7312659" h="97155">
                              <a:moveTo>
                                <a:pt x="7312342" y="0"/>
                              </a:moveTo>
                              <a:lnTo>
                                <a:pt x="7312342" y="0"/>
                              </a:lnTo>
                              <a:lnTo>
                                <a:pt x="0" y="0"/>
                              </a:lnTo>
                              <a:lnTo>
                                <a:pt x="0" y="97066"/>
                              </a:lnTo>
                              <a:lnTo>
                                <a:pt x="7312342" y="97066"/>
                              </a:lnTo>
                              <a:lnTo>
                                <a:pt x="7312342"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17.833pt;margin-top:15.704293pt;width:575.775027pt;height:7.643pt;mso-position-horizontal-relative:page;mso-position-vertical-relative:paragraph;z-index:-29154304" id="docshape645" filled="true" fillcolor="#ccedff" stroked="false">
                <v:fill type="solid"/>
                <w10:wrap type="none"/>
              </v:rect>
            </w:pict>
          </mc:Fallback>
        </mc:AlternateContent>
      </w:r>
      <w:r>
        <w:rPr>
          <w:sz w:val="14"/>
        </w:rPr>
        <w:t>Net</w:t>
      </w:r>
      <w:r>
        <w:rPr>
          <w:spacing w:val="-3"/>
          <w:sz w:val="14"/>
        </w:rPr>
        <w:t> </w:t>
      </w:r>
      <w:r>
        <w:rPr>
          <w:spacing w:val="-4"/>
          <w:sz w:val="14"/>
        </w:rPr>
        <w:t>sales</w:t>
      </w:r>
      <w:r>
        <w:rPr>
          <w:sz w:val="14"/>
        </w:rPr>
        <w:tab/>
      </w:r>
      <w:r>
        <w:rPr>
          <w:b/>
          <w:spacing w:val="-10"/>
          <w:sz w:val="14"/>
        </w:rPr>
        <w:t>$</w:t>
      </w:r>
      <w:r>
        <w:rPr>
          <w:b/>
          <w:sz w:val="14"/>
        </w:rPr>
        <w:tab/>
      </w:r>
      <w:r>
        <w:rPr>
          <w:b/>
          <w:spacing w:val="-5"/>
          <w:sz w:val="14"/>
        </w:rPr>
        <w:t>14</w:t>
      </w:r>
      <w:r>
        <w:rPr>
          <w:b/>
          <w:sz w:val="14"/>
        </w:rPr>
        <w:tab/>
      </w:r>
      <w:r>
        <w:rPr>
          <w:spacing w:val="-10"/>
          <w:sz w:val="14"/>
        </w:rPr>
        <w:t>$</w:t>
      </w:r>
      <w:r>
        <w:rPr>
          <w:sz w:val="14"/>
        </w:rPr>
        <w:tab/>
      </w:r>
      <w:r>
        <w:rPr>
          <w:spacing w:val="-5"/>
          <w:sz w:val="14"/>
        </w:rPr>
        <w:t>(6)</w:t>
      </w:r>
    </w:p>
    <w:p>
      <w:pPr>
        <w:tabs>
          <w:tab w:pos="9582" w:val="left" w:leader="none"/>
          <w:tab w:pos="10500" w:val="left" w:leader="none"/>
          <w:tab w:pos="10869" w:val="left" w:leader="none"/>
          <w:tab w:pos="11557" w:val="right" w:leader="none"/>
        </w:tabs>
        <w:spacing w:line="154" w:lineRule="exact" w:before="0"/>
        <w:ind w:left="7123" w:right="0" w:firstLine="0"/>
        <w:jc w:val="left"/>
        <w:rPr>
          <w:sz w:val="14"/>
        </w:rPr>
      </w:pPr>
      <w:r>
        <w:rPr>
          <w:sz w:val="14"/>
        </w:rPr>
        <w:t>Cost of </w:t>
      </w:r>
      <w:r>
        <w:rPr>
          <w:spacing w:val="-2"/>
          <w:sz w:val="14"/>
        </w:rPr>
        <w:t>sales</w:t>
      </w:r>
      <w:r>
        <w:rPr>
          <w:sz w:val="14"/>
        </w:rPr>
        <w:tab/>
      </w:r>
      <w:r>
        <w:rPr>
          <w:b/>
          <w:spacing w:val="-5"/>
          <w:sz w:val="14"/>
        </w:rPr>
        <w:t>39</w:t>
      </w:r>
      <w:r>
        <w:rPr>
          <w:b/>
          <w:sz w:val="14"/>
        </w:rPr>
        <w:tab/>
      </w:r>
      <w:r>
        <w:rPr>
          <w:spacing w:val="-5"/>
          <w:sz w:val="14"/>
        </w:rPr>
        <w:t>13</w:t>
      </w:r>
      <w:r>
        <w:rPr>
          <w:sz w:val="14"/>
        </w:rPr>
        <w:tab/>
      </w:r>
      <w:r>
        <w:rPr>
          <w:spacing w:val="-10"/>
          <w:sz w:val="14"/>
        </w:rPr>
        <w:t>$</w:t>
      </w:r>
      <w:r>
        <w:rPr>
          <w:sz w:val="14"/>
        </w:rPr>
        <w:tab/>
      </w:r>
      <w:r>
        <w:rPr>
          <w:spacing w:val="-5"/>
          <w:sz w:val="14"/>
        </w:rPr>
        <w:t>11</w:t>
      </w:r>
    </w:p>
    <w:p>
      <w:pPr>
        <w:tabs>
          <w:tab w:pos="3404" w:val="left" w:leader="none"/>
          <w:tab w:pos="3952" w:val="left" w:leader="none"/>
          <w:tab w:pos="4322" w:val="left" w:leader="none"/>
          <w:tab w:pos="4823" w:val="left" w:leader="none"/>
          <w:tab w:pos="5786" w:val="left" w:leader="none"/>
          <w:tab w:pos="6873" w:val="left" w:leader="none"/>
          <w:tab w:pos="10453" w:val="left" w:leader="none"/>
        </w:tabs>
        <w:spacing w:line="164" w:lineRule="exact" w:before="0"/>
        <w:ind w:left="156" w:right="0" w:firstLine="0"/>
        <w:jc w:val="left"/>
        <w:rPr>
          <w:sz w:val="14"/>
        </w:rPr>
      </w:pPr>
      <w:r>
        <w:rPr/>
        <mc:AlternateContent>
          <mc:Choice Requires="wps">
            <w:drawing>
              <wp:anchor distT="0" distB="0" distL="0" distR="0" allowOverlap="1" layoutInCell="1" locked="0" behindDoc="1" simplePos="0" relativeHeight="474162688">
                <wp:simplePos x="0" y="0"/>
                <wp:positionH relativeFrom="page">
                  <wp:posOffset>226488</wp:posOffset>
                </wp:positionH>
                <wp:positionV relativeFrom="paragraph">
                  <wp:posOffset>95660</wp:posOffset>
                </wp:positionV>
                <wp:extent cx="7312659" cy="129539"/>
                <wp:effectExtent l="0" t="0" r="0" b="0"/>
                <wp:wrapNone/>
                <wp:docPr id="647" name="Group 647"/>
                <wp:cNvGraphicFramePr>
                  <a:graphicFrameLocks/>
                </wp:cNvGraphicFramePr>
                <a:graphic>
                  <a:graphicData uri="http://schemas.microsoft.com/office/word/2010/wordprocessingGroup">
                    <wpg:wgp>
                      <wpg:cNvPr id="647" name="Group 647"/>
                      <wpg:cNvGrpSpPr/>
                      <wpg:grpSpPr>
                        <a:xfrm>
                          <a:off x="0" y="0"/>
                          <a:ext cx="7312659" cy="129539"/>
                          <a:chExt cx="7312659" cy="129539"/>
                        </a:xfrm>
                      </wpg:grpSpPr>
                      <wps:wsp>
                        <wps:cNvPr id="648" name="Graphic 648"/>
                        <wps:cNvSpPr/>
                        <wps:spPr>
                          <a:xfrm>
                            <a:off x="2062661" y="3"/>
                            <a:ext cx="5250180" cy="8255"/>
                          </a:xfrm>
                          <a:custGeom>
                            <a:avLst/>
                            <a:gdLst/>
                            <a:ahLst/>
                            <a:cxnLst/>
                            <a:rect l="l" t="t" r="r" b="b"/>
                            <a:pathLst>
                              <a:path w="5250180" h="8255">
                                <a:moveTo>
                                  <a:pt x="509600" y="0"/>
                                </a:moveTo>
                                <a:lnTo>
                                  <a:pt x="436791" y="0"/>
                                </a:lnTo>
                                <a:lnTo>
                                  <a:pt x="72796" y="0"/>
                                </a:lnTo>
                                <a:lnTo>
                                  <a:pt x="0" y="0"/>
                                </a:lnTo>
                                <a:lnTo>
                                  <a:pt x="0" y="8089"/>
                                </a:lnTo>
                                <a:lnTo>
                                  <a:pt x="72796" y="8089"/>
                                </a:lnTo>
                                <a:lnTo>
                                  <a:pt x="436791" y="8089"/>
                                </a:lnTo>
                                <a:lnTo>
                                  <a:pt x="509600" y="8089"/>
                                </a:lnTo>
                                <a:lnTo>
                                  <a:pt x="509600" y="0"/>
                                </a:lnTo>
                                <a:close/>
                              </a:path>
                              <a:path w="5250180" h="8255">
                                <a:moveTo>
                                  <a:pt x="1091996" y="0"/>
                                </a:moveTo>
                                <a:lnTo>
                                  <a:pt x="1019200" y="0"/>
                                </a:lnTo>
                                <a:lnTo>
                                  <a:pt x="655193" y="0"/>
                                </a:lnTo>
                                <a:lnTo>
                                  <a:pt x="582396" y="0"/>
                                </a:lnTo>
                                <a:lnTo>
                                  <a:pt x="582396" y="8089"/>
                                </a:lnTo>
                                <a:lnTo>
                                  <a:pt x="655193" y="8089"/>
                                </a:lnTo>
                                <a:lnTo>
                                  <a:pt x="1019200" y="8089"/>
                                </a:lnTo>
                                <a:lnTo>
                                  <a:pt x="1091996" y="8089"/>
                                </a:lnTo>
                                <a:lnTo>
                                  <a:pt x="1091996" y="0"/>
                                </a:lnTo>
                                <a:close/>
                              </a:path>
                              <a:path w="5250180" h="8255">
                                <a:moveTo>
                                  <a:pt x="1674393" y="0"/>
                                </a:moveTo>
                                <a:lnTo>
                                  <a:pt x="1601597" y="0"/>
                                </a:lnTo>
                                <a:lnTo>
                                  <a:pt x="1237589" y="0"/>
                                </a:lnTo>
                                <a:lnTo>
                                  <a:pt x="1164793" y="0"/>
                                </a:lnTo>
                                <a:lnTo>
                                  <a:pt x="1164793" y="8089"/>
                                </a:lnTo>
                                <a:lnTo>
                                  <a:pt x="1237589" y="8089"/>
                                </a:lnTo>
                                <a:lnTo>
                                  <a:pt x="1601597" y="8089"/>
                                </a:lnTo>
                                <a:lnTo>
                                  <a:pt x="1674393" y="8089"/>
                                </a:lnTo>
                                <a:lnTo>
                                  <a:pt x="1674393" y="0"/>
                                </a:lnTo>
                                <a:close/>
                              </a:path>
                              <a:path w="5250180" h="8255">
                                <a:moveTo>
                                  <a:pt x="4084878" y="0"/>
                                </a:moveTo>
                                <a:lnTo>
                                  <a:pt x="4012082" y="0"/>
                                </a:lnTo>
                                <a:lnTo>
                                  <a:pt x="3648075" y="0"/>
                                </a:lnTo>
                                <a:lnTo>
                                  <a:pt x="3575278" y="0"/>
                                </a:lnTo>
                                <a:lnTo>
                                  <a:pt x="3575278" y="8089"/>
                                </a:lnTo>
                                <a:lnTo>
                                  <a:pt x="3648075" y="8089"/>
                                </a:lnTo>
                                <a:lnTo>
                                  <a:pt x="4012082" y="8089"/>
                                </a:lnTo>
                                <a:lnTo>
                                  <a:pt x="4084878" y="8089"/>
                                </a:lnTo>
                                <a:lnTo>
                                  <a:pt x="4084878" y="0"/>
                                </a:lnTo>
                                <a:close/>
                              </a:path>
                              <a:path w="5250180" h="8255">
                                <a:moveTo>
                                  <a:pt x="4667275" y="0"/>
                                </a:moveTo>
                                <a:lnTo>
                                  <a:pt x="4594479" y="0"/>
                                </a:lnTo>
                                <a:lnTo>
                                  <a:pt x="4230471" y="0"/>
                                </a:lnTo>
                                <a:lnTo>
                                  <a:pt x="4157675" y="0"/>
                                </a:lnTo>
                                <a:lnTo>
                                  <a:pt x="4157675" y="8089"/>
                                </a:lnTo>
                                <a:lnTo>
                                  <a:pt x="4230471" y="8089"/>
                                </a:lnTo>
                                <a:lnTo>
                                  <a:pt x="4594479" y="8089"/>
                                </a:lnTo>
                                <a:lnTo>
                                  <a:pt x="4667275" y="8089"/>
                                </a:lnTo>
                                <a:lnTo>
                                  <a:pt x="4667275" y="0"/>
                                </a:lnTo>
                                <a:close/>
                              </a:path>
                              <a:path w="5250180" h="8255">
                                <a:moveTo>
                                  <a:pt x="5249672" y="0"/>
                                </a:moveTo>
                                <a:lnTo>
                                  <a:pt x="5176875" y="0"/>
                                </a:lnTo>
                                <a:lnTo>
                                  <a:pt x="4812881" y="0"/>
                                </a:lnTo>
                                <a:lnTo>
                                  <a:pt x="4740072" y="0"/>
                                </a:lnTo>
                                <a:lnTo>
                                  <a:pt x="4740072" y="8089"/>
                                </a:lnTo>
                                <a:lnTo>
                                  <a:pt x="4812881" y="8089"/>
                                </a:lnTo>
                                <a:lnTo>
                                  <a:pt x="5176875" y="8089"/>
                                </a:lnTo>
                                <a:lnTo>
                                  <a:pt x="5249672" y="8089"/>
                                </a:lnTo>
                                <a:lnTo>
                                  <a:pt x="5249672" y="0"/>
                                </a:lnTo>
                                <a:close/>
                              </a:path>
                            </a:pathLst>
                          </a:custGeom>
                          <a:solidFill>
                            <a:srgbClr val="000000"/>
                          </a:solidFill>
                        </wps:spPr>
                        <wps:bodyPr wrap="square" lIns="0" tIns="0" rIns="0" bIns="0" rtlCol="0">
                          <a:prstTxWarp prst="textNoShape">
                            <a:avLst/>
                          </a:prstTxWarp>
                          <a:noAutofit/>
                        </wps:bodyPr>
                      </wps:wsp>
                      <wps:wsp>
                        <wps:cNvPr id="649" name="Graphic 649"/>
                        <wps:cNvSpPr/>
                        <wps:spPr>
                          <a:xfrm>
                            <a:off x="0" y="8088"/>
                            <a:ext cx="1981835" cy="121920"/>
                          </a:xfrm>
                          <a:custGeom>
                            <a:avLst/>
                            <a:gdLst/>
                            <a:ahLst/>
                            <a:cxnLst/>
                            <a:rect l="l" t="t" r="r" b="b"/>
                            <a:pathLst>
                              <a:path w="1981835" h="121920">
                                <a:moveTo>
                                  <a:pt x="0" y="0"/>
                                </a:moveTo>
                                <a:lnTo>
                                  <a:pt x="1981774" y="0"/>
                                </a:lnTo>
                                <a:lnTo>
                                  <a:pt x="1981774"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50" name="Graphic 650"/>
                        <wps:cNvSpPr/>
                        <wps:spPr>
                          <a:xfrm>
                            <a:off x="-9" y="105159"/>
                            <a:ext cx="1981835" cy="24765"/>
                          </a:xfrm>
                          <a:custGeom>
                            <a:avLst/>
                            <a:gdLst/>
                            <a:ahLst/>
                            <a:cxnLst/>
                            <a:rect l="l" t="t" r="r" b="b"/>
                            <a:pathLst>
                              <a:path w="1981835" h="24765">
                                <a:moveTo>
                                  <a:pt x="1981771" y="16179"/>
                                </a:moveTo>
                                <a:lnTo>
                                  <a:pt x="0" y="16179"/>
                                </a:lnTo>
                                <a:lnTo>
                                  <a:pt x="0" y="24269"/>
                                </a:lnTo>
                                <a:lnTo>
                                  <a:pt x="1981771" y="24269"/>
                                </a:lnTo>
                                <a:lnTo>
                                  <a:pt x="1981771" y="16179"/>
                                </a:lnTo>
                                <a:close/>
                              </a:path>
                              <a:path w="1981835" h="24765">
                                <a:moveTo>
                                  <a:pt x="1981771" y="0"/>
                                </a:moveTo>
                                <a:lnTo>
                                  <a:pt x="0" y="0"/>
                                </a:lnTo>
                                <a:lnTo>
                                  <a:pt x="0" y="8089"/>
                                </a:lnTo>
                                <a:lnTo>
                                  <a:pt x="1981771" y="8089"/>
                                </a:lnTo>
                                <a:lnTo>
                                  <a:pt x="1981771" y="0"/>
                                </a:lnTo>
                                <a:close/>
                              </a:path>
                            </a:pathLst>
                          </a:custGeom>
                          <a:solidFill>
                            <a:srgbClr val="000000"/>
                          </a:solidFill>
                        </wps:spPr>
                        <wps:bodyPr wrap="square" lIns="0" tIns="0" rIns="0" bIns="0" rtlCol="0">
                          <a:prstTxWarp prst="textNoShape">
                            <a:avLst/>
                          </a:prstTxWarp>
                          <a:noAutofit/>
                        </wps:bodyPr>
                      </wps:wsp>
                      <wps:wsp>
                        <wps:cNvPr id="651" name="Graphic 651"/>
                        <wps:cNvSpPr/>
                        <wps:spPr>
                          <a:xfrm>
                            <a:off x="1981774" y="8088"/>
                            <a:ext cx="81280" cy="121920"/>
                          </a:xfrm>
                          <a:custGeom>
                            <a:avLst/>
                            <a:gdLst/>
                            <a:ahLst/>
                            <a:cxnLst/>
                            <a:rect l="l" t="t" r="r" b="b"/>
                            <a:pathLst>
                              <a:path w="81280" h="121920">
                                <a:moveTo>
                                  <a:pt x="0" y="0"/>
                                </a:moveTo>
                                <a:lnTo>
                                  <a:pt x="80888" y="0"/>
                                </a:lnTo>
                                <a:lnTo>
                                  <a:pt x="80888"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52" name="Graphic 652"/>
                        <wps:cNvSpPr/>
                        <wps:spPr>
                          <a:xfrm>
                            <a:off x="1981762" y="105159"/>
                            <a:ext cx="81280" cy="24765"/>
                          </a:xfrm>
                          <a:custGeom>
                            <a:avLst/>
                            <a:gdLst/>
                            <a:ahLst/>
                            <a:cxnLst/>
                            <a:rect l="l" t="t" r="r" b="b"/>
                            <a:pathLst>
                              <a:path w="81280" h="24765">
                                <a:moveTo>
                                  <a:pt x="80899" y="16179"/>
                                </a:moveTo>
                                <a:lnTo>
                                  <a:pt x="0" y="16179"/>
                                </a:lnTo>
                                <a:lnTo>
                                  <a:pt x="0" y="24269"/>
                                </a:lnTo>
                                <a:lnTo>
                                  <a:pt x="80899" y="24269"/>
                                </a:lnTo>
                                <a:lnTo>
                                  <a:pt x="80899" y="16179"/>
                                </a:lnTo>
                                <a:close/>
                              </a:path>
                              <a:path w="81280" h="24765">
                                <a:moveTo>
                                  <a:pt x="80899" y="0"/>
                                </a:moveTo>
                                <a:lnTo>
                                  <a:pt x="0" y="0"/>
                                </a:lnTo>
                                <a:lnTo>
                                  <a:pt x="0" y="8089"/>
                                </a:lnTo>
                                <a:lnTo>
                                  <a:pt x="80899" y="8089"/>
                                </a:lnTo>
                                <a:lnTo>
                                  <a:pt x="80899" y="0"/>
                                </a:lnTo>
                                <a:close/>
                              </a:path>
                            </a:pathLst>
                          </a:custGeom>
                          <a:solidFill>
                            <a:srgbClr val="000000"/>
                          </a:solidFill>
                        </wps:spPr>
                        <wps:bodyPr wrap="square" lIns="0" tIns="0" rIns="0" bIns="0" rtlCol="0">
                          <a:prstTxWarp prst="textNoShape">
                            <a:avLst/>
                          </a:prstTxWarp>
                          <a:noAutofit/>
                        </wps:bodyPr>
                      </wps:wsp>
                      <wps:wsp>
                        <wps:cNvPr id="653" name="Graphic 653"/>
                        <wps:cNvSpPr/>
                        <wps:spPr>
                          <a:xfrm>
                            <a:off x="206266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54" name="Graphic 654"/>
                        <wps:cNvSpPr/>
                        <wps:spPr>
                          <a:xfrm>
                            <a:off x="2062661" y="105159"/>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655" name="Graphic 655"/>
                        <wps:cNvSpPr/>
                        <wps:spPr>
                          <a:xfrm>
                            <a:off x="2135463" y="8088"/>
                            <a:ext cx="364490" cy="121920"/>
                          </a:xfrm>
                          <a:custGeom>
                            <a:avLst/>
                            <a:gdLst/>
                            <a:ahLst/>
                            <a:cxnLst/>
                            <a:rect l="l" t="t" r="r" b="b"/>
                            <a:pathLst>
                              <a:path w="364490" h="121920">
                                <a:moveTo>
                                  <a:pt x="0" y="0"/>
                                </a:moveTo>
                                <a:lnTo>
                                  <a:pt x="363999" y="0"/>
                                </a:lnTo>
                                <a:lnTo>
                                  <a:pt x="3639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56" name="Graphic 656"/>
                        <wps:cNvSpPr/>
                        <wps:spPr>
                          <a:xfrm>
                            <a:off x="2135457" y="105159"/>
                            <a:ext cx="364490" cy="24765"/>
                          </a:xfrm>
                          <a:custGeom>
                            <a:avLst/>
                            <a:gdLst/>
                            <a:ahLst/>
                            <a:cxnLst/>
                            <a:rect l="l" t="t" r="r" b="b"/>
                            <a:pathLst>
                              <a:path w="364490" h="24765">
                                <a:moveTo>
                                  <a:pt x="363994" y="16179"/>
                                </a:moveTo>
                                <a:lnTo>
                                  <a:pt x="0" y="16179"/>
                                </a:lnTo>
                                <a:lnTo>
                                  <a:pt x="0" y="24269"/>
                                </a:lnTo>
                                <a:lnTo>
                                  <a:pt x="363994" y="24269"/>
                                </a:lnTo>
                                <a:lnTo>
                                  <a:pt x="363994" y="16179"/>
                                </a:lnTo>
                                <a:close/>
                              </a:path>
                              <a:path w="364490" h="24765">
                                <a:moveTo>
                                  <a:pt x="363994" y="0"/>
                                </a:moveTo>
                                <a:lnTo>
                                  <a:pt x="0" y="0"/>
                                </a:lnTo>
                                <a:lnTo>
                                  <a:pt x="0" y="8089"/>
                                </a:lnTo>
                                <a:lnTo>
                                  <a:pt x="363994" y="8089"/>
                                </a:lnTo>
                                <a:lnTo>
                                  <a:pt x="363994" y="0"/>
                                </a:lnTo>
                                <a:close/>
                              </a:path>
                            </a:pathLst>
                          </a:custGeom>
                          <a:solidFill>
                            <a:srgbClr val="000000"/>
                          </a:solidFill>
                        </wps:spPr>
                        <wps:bodyPr wrap="square" lIns="0" tIns="0" rIns="0" bIns="0" rtlCol="0">
                          <a:prstTxWarp prst="textNoShape">
                            <a:avLst/>
                          </a:prstTxWarp>
                          <a:noAutofit/>
                        </wps:bodyPr>
                      </wps:wsp>
                      <pic:pic>
                        <pic:nvPicPr>
                          <pic:cNvPr id="657" name="Image 657"/>
                          <pic:cNvPicPr/>
                        </pic:nvPicPr>
                        <pic:blipFill>
                          <a:blip r:embed="rId87" cstate="print"/>
                          <a:stretch>
                            <a:fillRect/>
                          </a:stretch>
                        </pic:blipFill>
                        <pic:spPr>
                          <a:xfrm>
                            <a:off x="2499462" y="8088"/>
                            <a:ext cx="218399" cy="121333"/>
                          </a:xfrm>
                          <a:prstGeom prst="rect">
                            <a:avLst/>
                          </a:prstGeom>
                        </pic:spPr>
                      </pic:pic>
                      <wps:wsp>
                        <wps:cNvPr id="658" name="Graphic 658"/>
                        <wps:cNvSpPr/>
                        <wps:spPr>
                          <a:xfrm>
                            <a:off x="2717862" y="8088"/>
                            <a:ext cx="364490" cy="121920"/>
                          </a:xfrm>
                          <a:custGeom>
                            <a:avLst/>
                            <a:gdLst/>
                            <a:ahLst/>
                            <a:cxnLst/>
                            <a:rect l="l" t="t" r="r" b="b"/>
                            <a:pathLst>
                              <a:path w="364490" h="121920">
                                <a:moveTo>
                                  <a:pt x="0" y="0"/>
                                </a:moveTo>
                                <a:lnTo>
                                  <a:pt x="363999" y="0"/>
                                </a:lnTo>
                                <a:lnTo>
                                  <a:pt x="3639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59" name="Graphic 659"/>
                        <wps:cNvSpPr/>
                        <wps:spPr>
                          <a:xfrm>
                            <a:off x="2717854" y="105159"/>
                            <a:ext cx="364490" cy="24765"/>
                          </a:xfrm>
                          <a:custGeom>
                            <a:avLst/>
                            <a:gdLst/>
                            <a:ahLst/>
                            <a:cxnLst/>
                            <a:rect l="l" t="t" r="r" b="b"/>
                            <a:pathLst>
                              <a:path w="364490" h="24765">
                                <a:moveTo>
                                  <a:pt x="364007" y="16179"/>
                                </a:moveTo>
                                <a:lnTo>
                                  <a:pt x="0" y="16179"/>
                                </a:lnTo>
                                <a:lnTo>
                                  <a:pt x="0" y="24269"/>
                                </a:lnTo>
                                <a:lnTo>
                                  <a:pt x="364007" y="24269"/>
                                </a:lnTo>
                                <a:lnTo>
                                  <a:pt x="364007" y="16179"/>
                                </a:lnTo>
                                <a:close/>
                              </a:path>
                              <a:path w="364490" h="24765">
                                <a:moveTo>
                                  <a:pt x="364007" y="0"/>
                                </a:moveTo>
                                <a:lnTo>
                                  <a:pt x="0" y="0"/>
                                </a:lnTo>
                                <a:lnTo>
                                  <a:pt x="0" y="8089"/>
                                </a:lnTo>
                                <a:lnTo>
                                  <a:pt x="364007" y="8089"/>
                                </a:lnTo>
                                <a:lnTo>
                                  <a:pt x="364007" y="0"/>
                                </a:lnTo>
                                <a:close/>
                              </a:path>
                            </a:pathLst>
                          </a:custGeom>
                          <a:solidFill>
                            <a:srgbClr val="000000"/>
                          </a:solidFill>
                        </wps:spPr>
                        <wps:bodyPr wrap="square" lIns="0" tIns="0" rIns="0" bIns="0" rtlCol="0">
                          <a:prstTxWarp prst="textNoShape">
                            <a:avLst/>
                          </a:prstTxWarp>
                          <a:noAutofit/>
                        </wps:bodyPr>
                      </wps:wsp>
                      <pic:pic>
                        <pic:nvPicPr>
                          <pic:cNvPr id="660" name="Image 660"/>
                          <pic:cNvPicPr/>
                        </pic:nvPicPr>
                        <pic:blipFill>
                          <a:blip r:embed="rId87" cstate="print"/>
                          <a:stretch>
                            <a:fillRect/>
                          </a:stretch>
                        </pic:blipFill>
                        <pic:spPr>
                          <a:xfrm>
                            <a:off x="3081861" y="8088"/>
                            <a:ext cx="218399" cy="121333"/>
                          </a:xfrm>
                          <a:prstGeom prst="rect">
                            <a:avLst/>
                          </a:prstGeom>
                        </pic:spPr>
                      </pic:pic>
                      <wps:wsp>
                        <wps:cNvPr id="661" name="Graphic 661"/>
                        <wps:cNvSpPr/>
                        <wps:spPr>
                          <a:xfrm>
                            <a:off x="3300261" y="8088"/>
                            <a:ext cx="364490" cy="121920"/>
                          </a:xfrm>
                          <a:custGeom>
                            <a:avLst/>
                            <a:gdLst/>
                            <a:ahLst/>
                            <a:cxnLst/>
                            <a:rect l="l" t="t" r="r" b="b"/>
                            <a:pathLst>
                              <a:path w="364490" h="121920">
                                <a:moveTo>
                                  <a:pt x="0" y="0"/>
                                </a:moveTo>
                                <a:lnTo>
                                  <a:pt x="363999" y="0"/>
                                </a:lnTo>
                                <a:lnTo>
                                  <a:pt x="3639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62" name="Graphic 662"/>
                        <wps:cNvSpPr/>
                        <wps:spPr>
                          <a:xfrm>
                            <a:off x="3300250" y="105159"/>
                            <a:ext cx="364490" cy="24765"/>
                          </a:xfrm>
                          <a:custGeom>
                            <a:avLst/>
                            <a:gdLst/>
                            <a:ahLst/>
                            <a:cxnLst/>
                            <a:rect l="l" t="t" r="r" b="b"/>
                            <a:pathLst>
                              <a:path w="364490" h="24765">
                                <a:moveTo>
                                  <a:pt x="364007" y="16179"/>
                                </a:moveTo>
                                <a:lnTo>
                                  <a:pt x="0" y="16179"/>
                                </a:lnTo>
                                <a:lnTo>
                                  <a:pt x="0" y="24269"/>
                                </a:lnTo>
                                <a:lnTo>
                                  <a:pt x="364007" y="24269"/>
                                </a:lnTo>
                                <a:lnTo>
                                  <a:pt x="364007" y="16179"/>
                                </a:lnTo>
                                <a:close/>
                              </a:path>
                              <a:path w="364490" h="24765">
                                <a:moveTo>
                                  <a:pt x="364007" y="0"/>
                                </a:moveTo>
                                <a:lnTo>
                                  <a:pt x="0" y="0"/>
                                </a:lnTo>
                                <a:lnTo>
                                  <a:pt x="0" y="8089"/>
                                </a:lnTo>
                                <a:lnTo>
                                  <a:pt x="364007" y="8089"/>
                                </a:lnTo>
                                <a:lnTo>
                                  <a:pt x="364007" y="0"/>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3664260"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64" name="Graphic 664"/>
                        <wps:cNvSpPr/>
                        <wps:spPr>
                          <a:xfrm>
                            <a:off x="3664258" y="105159"/>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3737060" y="8088"/>
                            <a:ext cx="1828164" cy="121920"/>
                          </a:xfrm>
                          <a:custGeom>
                            <a:avLst/>
                            <a:gdLst/>
                            <a:ahLst/>
                            <a:cxnLst/>
                            <a:rect l="l" t="t" r="r" b="b"/>
                            <a:pathLst>
                              <a:path w="1828164" h="121920">
                                <a:moveTo>
                                  <a:pt x="0" y="0"/>
                                </a:moveTo>
                                <a:lnTo>
                                  <a:pt x="1828085" y="0"/>
                                </a:lnTo>
                                <a:lnTo>
                                  <a:pt x="1828085"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66" name="Graphic 666"/>
                        <wps:cNvSpPr/>
                        <wps:spPr>
                          <a:xfrm>
                            <a:off x="3737054" y="105159"/>
                            <a:ext cx="1828164" cy="24765"/>
                          </a:xfrm>
                          <a:custGeom>
                            <a:avLst/>
                            <a:gdLst/>
                            <a:ahLst/>
                            <a:cxnLst/>
                            <a:rect l="l" t="t" r="r" b="b"/>
                            <a:pathLst>
                              <a:path w="1828164" h="24765">
                                <a:moveTo>
                                  <a:pt x="1828088" y="16179"/>
                                </a:moveTo>
                                <a:lnTo>
                                  <a:pt x="0" y="16179"/>
                                </a:lnTo>
                                <a:lnTo>
                                  <a:pt x="0" y="24269"/>
                                </a:lnTo>
                                <a:lnTo>
                                  <a:pt x="1828088" y="24269"/>
                                </a:lnTo>
                                <a:lnTo>
                                  <a:pt x="1828088" y="16179"/>
                                </a:lnTo>
                                <a:close/>
                              </a:path>
                              <a:path w="1828164" h="24765">
                                <a:moveTo>
                                  <a:pt x="1828088" y="0"/>
                                </a:moveTo>
                                <a:lnTo>
                                  <a:pt x="0" y="0"/>
                                </a:lnTo>
                                <a:lnTo>
                                  <a:pt x="0" y="8089"/>
                                </a:lnTo>
                                <a:lnTo>
                                  <a:pt x="1828088" y="8089"/>
                                </a:lnTo>
                                <a:lnTo>
                                  <a:pt x="1828088" y="0"/>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5565146"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68" name="Graphic 668"/>
                        <wps:cNvSpPr/>
                        <wps:spPr>
                          <a:xfrm>
                            <a:off x="5565143" y="105159"/>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5637946"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70" name="Graphic 670"/>
                        <wps:cNvSpPr/>
                        <wps:spPr>
                          <a:xfrm>
                            <a:off x="5637939" y="105159"/>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5710746" y="8088"/>
                            <a:ext cx="364490" cy="121920"/>
                          </a:xfrm>
                          <a:custGeom>
                            <a:avLst/>
                            <a:gdLst/>
                            <a:ahLst/>
                            <a:cxnLst/>
                            <a:rect l="l" t="t" r="r" b="b"/>
                            <a:pathLst>
                              <a:path w="364490" h="121920">
                                <a:moveTo>
                                  <a:pt x="0" y="0"/>
                                </a:moveTo>
                                <a:lnTo>
                                  <a:pt x="363999" y="0"/>
                                </a:lnTo>
                                <a:lnTo>
                                  <a:pt x="3639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72" name="Graphic 672"/>
                        <wps:cNvSpPr/>
                        <wps:spPr>
                          <a:xfrm>
                            <a:off x="5710736" y="105159"/>
                            <a:ext cx="364490" cy="24765"/>
                          </a:xfrm>
                          <a:custGeom>
                            <a:avLst/>
                            <a:gdLst/>
                            <a:ahLst/>
                            <a:cxnLst/>
                            <a:rect l="l" t="t" r="r" b="b"/>
                            <a:pathLst>
                              <a:path w="364490" h="24765">
                                <a:moveTo>
                                  <a:pt x="364007" y="16179"/>
                                </a:moveTo>
                                <a:lnTo>
                                  <a:pt x="0" y="16179"/>
                                </a:lnTo>
                                <a:lnTo>
                                  <a:pt x="0" y="24269"/>
                                </a:lnTo>
                                <a:lnTo>
                                  <a:pt x="364007" y="24269"/>
                                </a:lnTo>
                                <a:lnTo>
                                  <a:pt x="364007" y="16179"/>
                                </a:lnTo>
                                <a:close/>
                              </a:path>
                              <a:path w="364490" h="24765">
                                <a:moveTo>
                                  <a:pt x="364007" y="0"/>
                                </a:moveTo>
                                <a:lnTo>
                                  <a:pt x="0" y="0"/>
                                </a:lnTo>
                                <a:lnTo>
                                  <a:pt x="0" y="8089"/>
                                </a:lnTo>
                                <a:lnTo>
                                  <a:pt x="364007" y="8089"/>
                                </a:lnTo>
                                <a:lnTo>
                                  <a:pt x="364007" y="0"/>
                                </a:lnTo>
                                <a:close/>
                              </a:path>
                            </a:pathLst>
                          </a:custGeom>
                          <a:solidFill>
                            <a:srgbClr val="000000"/>
                          </a:solidFill>
                        </wps:spPr>
                        <wps:bodyPr wrap="square" lIns="0" tIns="0" rIns="0" bIns="0" rtlCol="0">
                          <a:prstTxWarp prst="textNoShape">
                            <a:avLst/>
                          </a:prstTxWarp>
                          <a:noAutofit/>
                        </wps:bodyPr>
                      </wps:wsp>
                      <pic:pic>
                        <pic:nvPicPr>
                          <pic:cNvPr id="673" name="Image 673"/>
                          <pic:cNvPicPr/>
                        </pic:nvPicPr>
                        <pic:blipFill>
                          <a:blip r:embed="rId87" cstate="print"/>
                          <a:stretch>
                            <a:fillRect/>
                          </a:stretch>
                        </pic:blipFill>
                        <pic:spPr>
                          <a:xfrm>
                            <a:off x="6074745" y="8088"/>
                            <a:ext cx="218399" cy="121333"/>
                          </a:xfrm>
                          <a:prstGeom prst="rect">
                            <a:avLst/>
                          </a:prstGeom>
                        </pic:spPr>
                      </pic:pic>
                      <wps:wsp>
                        <wps:cNvPr id="674" name="Graphic 674"/>
                        <wps:cNvSpPr/>
                        <wps:spPr>
                          <a:xfrm>
                            <a:off x="6293145" y="8088"/>
                            <a:ext cx="364490" cy="121920"/>
                          </a:xfrm>
                          <a:custGeom>
                            <a:avLst/>
                            <a:gdLst/>
                            <a:ahLst/>
                            <a:cxnLst/>
                            <a:rect l="l" t="t" r="r" b="b"/>
                            <a:pathLst>
                              <a:path w="364490" h="121920">
                                <a:moveTo>
                                  <a:pt x="0" y="0"/>
                                </a:moveTo>
                                <a:lnTo>
                                  <a:pt x="363999" y="0"/>
                                </a:lnTo>
                                <a:lnTo>
                                  <a:pt x="3639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75" name="Graphic 675"/>
                        <wps:cNvSpPr/>
                        <wps:spPr>
                          <a:xfrm>
                            <a:off x="6293132" y="105159"/>
                            <a:ext cx="364490" cy="24765"/>
                          </a:xfrm>
                          <a:custGeom>
                            <a:avLst/>
                            <a:gdLst/>
                            <a:ahLst/>
                            <a:cxnLst/>
                            <a:rect l="l" t="t" r="r" b="b"/>
                            <a:pathLst>
                              <a:path w="364490" h="24765">
                                <a:moveTo>
                                  <a:pt x="364007" y="16179"/>
                                </a:moveTo>
                                <a:lnTo>
                                  <a:pt x="0" y="16179"/>
                                </a:lnTo>
                                <a:lnTo>
                                  <a:pt x="0" y="24269"/>
                                </a:lnTo>
                                <a:lnTo>
                                  <a:pt x="364007" y="24269"/>
                                </a:lnTo>
                                <a:lnTo>
                                  <a:pt x="364007" y="16179"/>
                                </a:lnTo>
                                <a:close/>
                              </a:path>
                              <a:path w="364490" h="24765">
                                <a:moveTo>
                                  <a:pt x="364007" y="0"/>
                                </a:moveTo>
                                <a:lnTo>
                                  <a:pt x="0" y="0"/>
                                </a:lnTo>
                                <a:lnTo>
                                  <a:pt x="0" y="8089"/>
                                </a:lnTo>
                                <a:lnTo>
                                  <a:pt x="364007" y="8089"/>
                                </a:lnTo>
                                <a:lnTo>
                                  <a:pt x="364007" y="0"/>
                                </a:lnTo>
                                <a:close/>
                              </a:path>
                            </a:pathLst>
                          </a:custGeom>
                          <a:solidFill>
                            <a:srgbClr val="000000"/>
                          </a:solidFill>
                        </wps:spPr>
                        <wps:bodyPr wrap="square" lIns="0" tIns="0" rIns="0" bIns="0" rtlCol="0">
                          <a:prstTxWarp prst="textNoShape">
                            <a:avLst/>
                          </a:prstTxWarp>
                          <a:noAutofit/>
                        </wps:bodyPr>
                      </wps:wsp>
                      <pic:pic>
                        <pic:nvPicPr>
                          <pic:cNvPr id="676" name="Image 676"/>
                          <pic:cNvPicPr/>
                        </pic:nvPicPr>
                        <pic:blipFill>
                          <a:blip r:embed="rId87" cstate="print"/>
                          <a:stretch>
                            <a:fillRect/>
                          </a:stretch>
                        </pic:blipFill>
                        <pic:spPr>
                          <a:xfrm>
                            <a:off x="6657144" y="8088"/>
                            <a:ext cx="218399" cy="121333"/>
                          </a:xfrm>
                          <a:prstGeom prst="rect">
                            <a:avLst/>
                          </a:prstGeom>
                        </pic:spPr>
                      </pic:pic>
                      <wps:wsp>
                        <wps:cNvPr id="677" name="Graphic 677"/>
                        <wps:cNvSpPr/>
                        <wps:spPr>
                          <a:xfrm>
                            <a:off x="6875542" y="8093"/>
                            <a:ext cx="436880" cy="121920"/>
                          </a:xfrm>
                          <a:custGeom>
                            <a:avLst/>
                            <a:gdLst/>
                            <a:ahLst/>
                            <a:cxnLst/>
                            <a:rect l="l" t="t" r="r" b="b"/>
                            <a:pathLst>
                              <a:path w="436880" h="121920">
                                <a:moveTo>
                                  <a:pt x="436791" y="0"/>
                                </a:moveTo>
                                <a:lnTo>
                                  <a:pt x="363994" y="0"/>
                                </a:lnTo>
                                <a:lnTo>
                                  <a:pt x="0" y="0"/>
                                </a:lnTo>
                                <a:lnTo>
                                  <a:pt x="0" y="121335"/>
                                </a:lnTo>
                                <a:lnTo>
                                  <a:pt x="363994" y="121335"/>
                                </a:lnTo>
                                <a:lnTo>
                                  <a:pt x="436791" y="121335"/>
                                </a:lnTo>
                                <a:lnTo>
                                  <a:pt x="436791"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17.833740pt;margin-top:7.532345pt;width:575.8pt;height:10.2pt;mso-position-horizontal-relative:page;mso-position-vertical-relative:paragraph;z-index:-29153792" id="docshapegroup646" coordorigin="357,151" coordsize="11516,204">
                <v:shape style="position:absolute;left:3604;top:150;width:8268;height:13" id="docshape647" coordorigin="3605,151" coordsize="8268,13" path="m4407,151l4293,151,3720,151,3605,151,3605,163,3720,163,4293,163,4407,163,4407,151xm5325,151l5210,151,4637,151,4522,151,4522,163,4637,163,5210,163,5325,163,5325,151xm6242,151l6127,151,5554,151,5439,151,5439,163,5554,163,6127,163,6242,163,6242,151xm10038,151l9923,151,9350,151,9235,151,9235,163,9350,163,9923,163,10038,163,10038,151xm10955,151l10840,151,10267,151,10152,151,10152,163,10267,163,10840,163,10955,163,10955,151xm11872,151l11758,151,11184,151,11070,151,11070,163,11184,163,11758,163,11872,163,11872,151xe" filled="true" fillcolor="#000000" stroked="false">
                  <v:path arrowok="t"/>
                  <v:fill type="solid"/>
                </v:shape>
                <v:rect style="position:absolute;left:356;top:163;width:3121;height:192" id="docshape648" filled="true" fillcolor="#ccedff" stroked="false">
                  <v:fill type="solid"/>
                </v:rect>
                <v:shape style="position:absolute;left:356;top:316;width:3121;height:39" id="docshape649" coordorigin="357,316" coordsize="3121,39" path="m3478,342l357,342,357,354,3478,354,3478,342xm3478,316l357,316,357,329,3478,329,3478,316xe" filled="true" fillcolor="#000000" stroked="false">
                  <v:path arrowok="t"/>
                  <v:fill type="solid"/>
                </v:shape>
                <v:rect style="position:absolute;left:3477;top:163;width:128;height:192" id="docshape650" filled="true" fillcolor="#ccedff" stroked="false">
                  <v:fill type="solid"/>
                </v:rect>
                <v:shape style="position:absolute;left:3477;top:316;width:128;height:39" id="docshape651" coordorigin="3478,316" coordsize="128,39" path="m3605,342l3478,342,3478,354,3605,354,3605,342xm3605,316l3478,316,3478,329,3605,329,3605,316xe" filled="true" fillcolor="#000000" stroked="false">
                  <v:path arrowok="t"/>
                  <v:fill type="solid"/>
                </v:shape>
                <v:rect style="position:absolute;left:3604;top:163;width:115;height:192" id="docshape652" filled="true" fillcolor="#ccedff" stroked="false">
                  <v:fill type="solid"/>
                </v:rect>
                <v:shape style="position:absolute;left:3604;top:316;width:115;height:39" id="docshape653" coordorigin="3605,316" coordsize="115,39" path="m3720,342l3605,342,3605,354,3720,354,3720,342xm3720,316l3605,316,3605,329,3720,329,3720,316xe" filled="true" fillcolor="#000000" stroked="false">
                  <v:path arrowok="t"/>
                  <v:fill type="solid"/>
                </v:shape>
                <v:rect style="position:absolute;left:3719;top:163;width:574;height:192" id="docshape654" filled="true" fillcolor="#ccedff" stroked="false">
                  <v:fill type="solid"/>
                </v:rect>
                <v:shape style="position:absolute;left:3719;top:316;width:574;height:39" id="docshape655" coordorigin="3720,316" coordsize="574,39" path="m4293,342l3720,342,3720,354,4293,354,4293,342xm4293,316l3720,316,3720,329,4293,329,4293,316xe" filled="true" fillcolor="#000000" stroked="false">
                  <v:path arrowok="t"/>
                  <v:fill type="solid"/>
                </v:shape>
                <v:shape style="position:absolute;left:4292;top:163;width:344;height:192" type="#_x0000_t75" id="docshape656" stroked="false">
                  <v:imagedata r:id="rId87" o:title=""/>
                </v:shape>
                <v:rect style="position:absolute;left:4636;top:163;width:574;height:192" id="docshape657" filled="true" fillcolor="#ccedff" stroked="false">
                  <v:fill type="solid"/>
                </v:rect>
                <v:shape style="position:absolute;left:4636;top:316;width:574;height:39" id="docshape658" coordorigin="4637,316" coordsize="574,39" path="m5210,342l4637,342,4637,354,5210,354,5210,342xm5210,316l4637,316,4637,329,5210,329,5210,316xe" filled="true" fillcolor="#000000" stroked="false">
                  <v:path arrowok="t"/>
                  <v:fill type="solid"/>
                </v:shape>
                <v:shape style="position:absolute;left:5210;top:163;width:344;height:192" type="#_x0000_t75" id="docshape659" stroked="false">
                  <v:imagedata r:id="rId87" o:title=""/>
                </v:shape>
                <v:rect style="position:absolute;left:5553;top:163;width:574;height:192" id="docshape660" filled="true" fillcolor="#ccedff" stroked="false">
                  <v:fill type="solid"/>
                </v:rect>
                <v:shape style="position:absolute;left:5553;top:316;width:574;height:39" id="docshape661" coordorigin="5554,316" coordsize="574,39" path="m6127,342l5554,342,5554,354,6127,354,6127,342xm6127,316l5554,316,5554,329,6127,329,6127,316xe" filled="true" fillcolor="#000000" stroked="false">
                  <v:path arrowok="t"/>
                  <v:fill type="solid"/>
                </v:shape>
                <v:rect style="position:absolute;left:6127;top:163;width:115;height:192" id="docshape662" filled="true" fillcolor="#ccedff" stroked="false">
                  <v:fill type="solid"/>
                </v:rect>
                <v:shape style="position:absolute;left:6127;top:316;width:115;height:39" id="docshape663" coordorigin="6127,316" coordsize="115,39" path="m6242,342l6127,342,6127,354,6242,354,6242,342xm6242,316l6127,316,6127,329,6242,329,6242,316xe" filled="true" fillcolor="#000000" stroked="false">
                  <v:path arrowok="t"/>
                  <v:fill type="solid"/>
                </v:shape>
                <v:rect style="position:absolute;left:6241;top:163;width:2879;height:192" id="docshape664" filled="true" fillcolor="#ccedff" stroked="false">
                  <v:fill type="solid"/>
                </v:rect>
                <v:shape style="position:absolute;left:6241;top:316;width:2879;height:39" id="docshape665" coordorigin="6242,316" coordsize="2879,39" path="m9121,342l6242,342,6242,354,9121,354,9121,342xm9121,316l6242,316,6242,329,9121,329,9121,316xe" filled="true" fillcolor="#000000" stroked="false">
                  <v:path arrowok="t"/>
                  <v:fill type="solid"/>
                </v:shape>
                <v:rect style="position:absolute;left:9120;top:163;width:115;height:192" id="docshape666" filled="true" fillcolor="#ccedff" stroked="false">
                  <v:fill type="solid"/>
                </v:rect>
                <v:shape style="position:absolute;left:9120;top:316;width:115;height:39" id="docshape667" coordorigin="9121,316" coordsize="115,39" path="m9235,342l9121,342,9121,354,9235,354,9235,342xm9235,316l9121,316,9121,329,9235,329,9235,316xe" filled="true" fillcolor="#000000" stroked="false">
                  <v:path arrowok="t"/>
                  <v:fill type="solid"/>
                </v:shape>
                <v:rect style="position:absolute;left:9235;top:163;width:115;height:192" id="docshape668" filled="true" fillcolor="#ccedff" stroked="false">
                  <v:fill type="solid"/>
                </v:rect>
                <v:shape style="position:absolute;left:9235;top:316;width:115;height:39" id="docshape669" coordorigin="9235,316" coordsize="115,39" path="m9350,342l9235,342,9235,354,9350,354,9350,342xm9350,316l9235,316,9235,329,9350,329,9350,316xe" filled="true" fillcolor="#000000" stroked="false">
                  <v:path arrowok="t"/>
                  <v:fill type="solid"/>
                </v:shape>
                <v:rect style="position:absolute;left:9349;top:163;width:574;height:192" id="docshape670" filled="true" fillcolor="#ccedff" stroked="false">
                  <v:fill type="solid"/>
                </v:rect>
                <v:shape style="position:absolute;left:9349;top:316;width:574;height:39" id="docshape671" coordorigin="9350,316" coordsize="574,39" path="m9923,342l9350,342,9350,354,9923,354,9923,342xm9923,316l9350,316,9350,329,9923,329,9923,316xe" filled="true" fillcolor="#000000" stroked="false">
                  <v:path arrowok="t"/>
                  <v:fill type="solid"/>
                </v:shape>
                <v:shape style="position:absolute;left:9923;top:163;width:344;height:192" type="#_x0000_t75" id="docshape672" stroked="false">
                  <v:imagedata r:id="rId87" o:title=""/>
                </v:shape>
                <v:rect style="position:absolute;left:10267;top:163;width:574;height:192" id="docshape673" filled="true" fillcolor="#ccedff" stroked="false">
                  <v:fill type="solid"/>
                </v:rect>
                <v:shape style="position:absolute;left:10267;top:316;width:574;height:39" id="docshape674" coordorigin="10267,316" coordsize="574,39" path="m10840,342l10267,342,10267,354,10840,354,10840,342xm10840,316l10267,316,10267,329,10840,329,10840,316xe" filled="true" fillcolor="#000000" stroked="false">
                  <v:path arrowok="t"/>
                  <v:fill type="solid"/>
                </v:shape>
                <v:shape style="position:absolute;left:10840;top:163;width:344;height:192" type="#_x0000_t75" id="docshape675" stroked="false">
                  <v:imagedata r:id="rId87" o:title=""/>
                </v:shape>
                <v:shape style="position:absolute;left:11184;top:163;width:688;height:192" id="docshape676" coordorigin="11184,163" coordsize="688,192" path="m11872,163l11758,163,11184,163,11184,354,11758,354,11872,354,11872,163xe" filled="true" fillcolor="#ccedff" stroked="false">
                  <v:path arrowok="t"/>
                  <v:fill type="solid"/>
                </v:shape>
                <w10:wrap type="none"/>
              </v:group>
            </w:pict>
          </mc:Fallback>
        </mc:AlternateContent>
      </w:r>
      <w:r>
        <w:rPr>
          <w:sz w:val="14"/>
        </w:rPr>
        <w:t>Foreign</w:t>
      </w:r>
      <w:r>
        <w:rPr>
          <w:spacing w:val="-4"/>
          <w:sz w:val="14"/>
        </w:rPr>
        <w:t> </w:t>
      </w:r>
      <w:r>
        <w:rPr>
          <w:sz w:val="14"/>
        </w:rPr>
        <w:t>exchange</w:t>
      </w:r>
      <w:r>
        <w:rPr>
          <w:spacing w:val="-2"/>
          <w:sz w:val="14"/>
        </w:rPr>
        <w:t> </w:t>
      </w:r>
      <w:r>
        <w:rPr>
          <w:sz w:val="14"/>
        </w:rPr>
        <w:t>contracts</w:t>
      </w:r>
      <w:r>
        <w:rPr>
          <w:spacing w:val="-2"/>
          <w:sz w:val="14"/>
        </w:rPr>
        <w:t> </w:t>
      </w:r>
      <w:r>
        <w:rPr>
          <w:sz w:val="14"/>
        </w:rPr>
        <w:t>and</w:t>
      </w:r>
      <w:r>
        <w:rPr>
          <w:spacing w:val="-2"/>
          <w:sz w:val="14"/>
        </w:rPr>
        <w:t> other</w:t>
      </w:r>
      <w:r>
        <w:rPr>
          <w:sz w:val="14"/>
        </w:rPr>
        <w:tab/>
      </w:r>
      <w:r>
        <w:rPr>
          <w:b/>
          <w:spacing w:val="-10"/>
          <w:position w:val="1"/>
          <w:sz w:val="14"/>
        </w:rPr>
        <w:t>$</w:t>
      </w:r>
      <w:r>
        <w:rPr>
          <w:b/>
          <w:position w:val="1"/>
          <w:sz w:val="14"/>
        </w:rPr>
        <w:tab/>
      </w:r>
      <w:r>
        <w:rPr>
          <w:b/>
          <w:spacing w:val="-5"/>
          <w:position w:val="1"/>
          <w:sz w:val="14"/>
        </w:rPr>
        <w:t>47</w:t>
      </w:r>
      <w:r>
        <w:rPr>
          <w:b/>
          <w:position w:val="1"/>
          <w:sz w:val="14"/>
        </w:rPr>
        <w:tab/>
      </w:r>
      <w:r>
        <w:rPr>
          <w:spacing w:val="-10"/>
          <w:position w:val="1"/>
          <w:sz w:val="14"/>
        </w:rPr>
        <w:t>$</w:t>
      </w:r>
      <w:r>
        <w:rPr>
          <w:position w:val="1"/>
          <w:sz w:val="14"/>
        </w:rPr>
        <w:tab/>
      </w:r>
      <w:r>
        <w:rPr>
          <w:spacing w:val="-4"/>
          <w:position w:val="1"/>
          <w:sz w:val="14"/>
        </w:rPr>
        <w:t>(19)</w:t>
      </w:r>
      <w:r>
        <w:rPr>
          <w:position w:val="1"/>
          <w:sz w:val="14"/>
        </w:rPr>
        <w:tab/>
      </w:r>
      <w:r>
        <w:rPr>
          <w:spacing w:val="-5"/>
          <w:position w:val="1"/>
          <w:sz w:val="14"/>
        </w:rPr>
        <w:t>72</w:t>
      </w:r>
      <w:r>
        <w:rPr>
          <w:position w:val="1"/>
          <w:sz w:val="14"/>
        </w:rPr>
        <w:tab/>
      </w:r>
      <w:r>
        <w:rPr>
          <w:sz w:val="14"/>
        </w:rPr>
        <w:t>Other</w:t>
      </w:r>
      <w:r>
        <w:rPr>
          <w:spacing w:val="-2"/>
          <w:sz w:val="14"/>
        </w:rPr>
        <w:t> </w:t>
      </w:r>
      <w:r>
        <w:rPr>
          <w:sz w:val="14"/>
        </w:rPr>
        <w:t>expense, net</w:t>
      </w:r>
      <w:r>
        <w:rPr>
          <w:spacing w:val="-1"/>
          <w:sz w:val="14"/>
        </w:rPr>
        <w:t> </w:t>
      </w:r>
      <w:r>
        <w:rPr>
          <w:spacing w:val="-5"/>
          <w:position w:val="3"/>
          <w:sz w:val="11"/>
        </w:rPr>
        <w:t>(1)</w:t>
      </w:r>
      <w:r>
        <w:rPr>
          <w:position w:val="3"/>
          <w:sz w:val="11"/>
        </w:rPr>
        <w:tab/>
      </w:r>
      <w:r>
        <w:rPr>
          <w:spacing w:val="-4"/>
          <w:position w:val="1"/>
          <w:sz w:val="14"/>
        </w:rPr>
        <w:t>(14)</w:t>
      </w:r>
    </w:p>
    <w:p>
      <w:pPr>
        <w:tabs>
          <w:tab w:pos="3404" w:val="left" w:leader="none"/>
          <w:tab w:pos="3952" w:val="left" w:leader="none"/>
          <w:tab w:pos="4322" w:val="left" w:leader="none"/>
          <w:tab w:pos="4823" w:val="left" w:leader="none"/>
          <w:tab w:pos="5786" w:val="left" w:leader="none"/>
          <w:tab w:pos="9035" w:val="left" w:leader="none"/>
          <w:tab w:pos="9582" w:val="left" w:leader="none"/>
          <w:tab w:pos="9952" w:val="left" w:leader="none"/>
          <w:tab w:pos="10523" w:val="left" w:leader="none"/>
          <w:tab w:pos="11417" w:val="left" w:leader="none"/>
        </w:tabs>
        <w:spacing w:line="157" w:lineRule="exact" w:before="0"/>
        <w:ind w:left="156" w:right="0" w:firstLine="0"/>
        <w:jc w:val="left"/>
        <w:rPr>
          <w:sz w:val="14"/>
        </w:rPr>
      </w:pPr>
      <w:r>
        <w:rPr>
          <w:sz w:val="14"/>
        </w:rPr>
        <w:t>Total</w:t>
      </w:r>
      <w:r>
        <w:rPr>
          <w:spacing w:val="-1"/>
          <w:sz w:val="14"/>
        </w:rPr>
        <w:t> </w:t>
      </w:r>
      <w:r>
        <w:rPr>
          <w:sz w:val="14"/>
        </w:rPr>
        <w:t>cash flow</w:t>
      </w:r>
      <w:r>
        <w:rPr>
          <w:spacing w:val="-1"/>
          <w:sz w:val="14"/>
        </w:rPr>
        <w:t> </w:t>
      </w:r>
      <w:r>
        <w:rPr>
          <w:sz w:val="14"/>
        </w:rPr>
        <w:t>and fair</w:t>
      </w:r>
      <w:r>
        <w:rPr>
          <w:spacing w:val="-1"/>
          <w:sz w:val="14"/>
        </w:rPr>
        <w:t> </w:t>
      </w:r>
      <w:r>
        <w:rPr>
          <w:sz w:val="14"/>
        </w:rPr>
        <w:t>value </w:t>
      </w:r>
      <w:r>
        <w:rPr>
          <w:spacing w:val="-2"/>
          <w:sz w:val="14"/>
        </w:rPr>
        <w:t>hedges</w:t>
      </w:r>
      <w:r>
        <w:rPr>
          <w:sz w:val="14"/>
        </w:rPr>
        <w:tab/>
      </w:r>
      <w:r>
        <w:rPr>
          <w:b/>
          <w:spacing w:val="-10"/>
          <w:sz w:val="14"/>
        </w:rPr>
        <w:t>$</w:t>
      </w:r>
      <w:r>
        <w:rPr>
          <w:b/>
          <w:sz w:val="14"/>
        </w:rPr>
        <w:tab/>
      </w:r>
      <w:r>
        <w:rPr>
          <w:b/>
          <w:spacing w:val="-5"/>
          <w:sz w:val="14"/>
        </w:rPr>
        <w:t>47</w:t>
      </w:r>
      <w:r>
        <w:rPr>
          <w:b/>
          <w:sz w:val="14"/>
        </w:rPr>
        <w:tab/>
      </w:r>
      <w:r>
        <w:rPr>
          <w:spacing w:val="-10"/>
          <w:sz w:val="14"/>
        </w:rPr>
        <w:t>$</w:t>
      </w:r>
      <w:r>
        <w:rPr>
          <w:sz w:val="14"/>
        </w:rPr>
        <w:tab/>
        <w:t>(19)</w:t>
      </w:r>
      <w:r>
        <w:rPr>
          <w:spacing w:val="55"/>
          <w:sz w:val="14"/>
        </w:rPr>
        <w:t>  </w:t>
      </w:r>
      <w:r>
        <w:rPr>
          <w:spacing w:val="-10"/>
          <w:sz w:val="14"/>
        </w:rPr>
        <w:t>$</w:t>
      </w:r>
      <w:r>
        <w:rPr>
          <w:sz w:val="14"/>
        </w:rPr>
        <w:tab/>
      </w:r>
      <w:r>
        <w:rPr>
          <w:spacing w:val="-5"/>
          <w:sz w:val="14"/>
        </w:rPr>
        <w:t>72</w:t>
      </w:r>
      <w:r>
        <w:rPr>
          <w:sz w:val="14"/>
        </w:rPr>
        <w:tab/>
      </w:r>
      <w:r>
        <w:rPr>
          <w:b/>
          <w:spacing w:val="-10"/>
          <w:sz w:val="14"/>
        </w:rPr>
        <w:t>$</w:t>
      </w:r>
      <w:r>
        <w:rPr>
          <w:b/>
          <w:sz w:val="14"/>
        </w:rPr>
        <w:tab/>
      </w:r>
      <w:r>
        <w:rPr>
          <w:b/>
          <w:spacing w:val="-5"/>
          <w:sz w:val="14"/>
        </w:rPr>
        <w:t>53</w:t>
      </w:r>
      <w:r>
        <w:rPr>
          <w:b/>
          <w:sz w:val="14"/>
        </w:rPr>
        <w:tab/>
      </w:r>
      <w:r>
        <w:rPr>
          <w:spacing w:val="-10"/>
          <w:sz w:val="14"/>
        </w:rPr>
        <w:t>$</w:t>
      </w:r>
      <w:r>
        <w:rPr>
          <w:sz w:val="14"/>
        </w:rPr>
        <w:tab/>
        <w:t>(7)</w:t>
      </w:r>
      <w:r>
        <w:rPr>
          <w:spacing w:val="57"/>
          <w:sz w:val="14"/>
        </w:rPr>
        <w:t>  </w:t>
      </w:r>
      <w:r>
        <w:rPr>
          <w:sz w:val="14"/>
        </w:rPr>
        <w:t>$</w:t>
      </w:r>
      <w:r>
        <w:rPr>
          <w:spacing w:val="9"/>
          <w:sz w:val="14"/>
        </w:rPr>
        <w:t> </w:t>
      </w:r>
      <w:r>
        <w:rPr>
          <w:sz w:val="14"/>
          <w:u w:val="double"/>
        </w:rPr>
        <w:tab/>
      </w:r>
      <w:r>
        <w:rPr>
          <w:spacing w:val="-5"/>
          <w:sz w:val="14"/>
          <w:u w:val="double"/>
        </w:rPr>
        <w:t>11</w:t>
      </w:r>
      <w:r>
        <w:rPr>
          <w:spacing w:val="40"/>
          <w:sz w:val="14"/>
          <w:u w:val="double"/>
        </w:rPr>
        <w:t> </w:t>
      </w:r>
    </w:p>
    <w:p>
      <w:pPr>
        <w:tabs>
          <w:tab w:pos="8678" w:val="left" w:leader="none"/>
          <w:tab w:pos="11672" w:val="left" w:leader="none"/>
        </w:tabs>
        <w:spacing w:before="259"/>
        <w:ind w:left="7659" w:right="0" w:firstLine="0"/>
        <w:jc w:val="left"/>
        <w:rPr>
          <w:sz w:val="14"/>
        </w:rPr>
      </w:pPr>
      <w:r>
        <w:rPr/>
        <mc:AlternateContent>
          <mc:Choice Requires="wps">
            <w:drawing>
              <wp:anchor distT="0" distB="0" distL="0" distR="0" allowOverlap="1" layoutInCell="1" locked="0" behindDoc="0" simplePos="0" relativeHeight="15874560">
                <wp:simplePos x="0" y="0"/>
                <wp:positionH relativeFrom="page">
                  <wp:posOffset>226479</wp:posOffset>
                </wp:positionH>
                <wp:positionV relativeFrom="paragraph">
                  <wp:posOffset>150583</wp:posOffset>
                </wp:positionV>
                <wp:extent cx="7312659" cy="16510"/>
                <wp:effectExtent l="0" t="0" r="0" b="0"/>
                <wp:wrapNone/>
                <wp:docPr id="678" name="Graphic 678"/>
                <wp:cNvGraphicFramePr>
                  <a:graphicFrameLocks/>
                </wp:cNvGraphicFramePr>
                <a:graphic>
                  <a:graphicData uri="http://schemas.microsoft.com/office/word/2010/wordprocessingShape">
                    <wps:wsp>
                      <wps:cNvPr id="678" name="Graphic 678"/>
                      <wps:cNvSpPr/>
                      <wps:spPr>
                        <a:xfrm>
                          <a:off x="0" y="0"/>
                          <a:ext cx="7312659" cy="16510"/>
                        </a:xfrm>
                        <a:custGeom>
                          <a:avLst/>
                          <a:gdLst/>
                          <a:ahLst/>
                          <a:cxnLst/>
                          <a:rect l="l" t="t" r="r" b="b"/>
                          <a:pathLst>
                            <a:path w="7312659" h="16510">
                              <a:moveTo>
                                <a:pt x="7312342" y="0"/>
                              </a:moveTo>
                              <a:lnTo>
                                <a:pt x="7312342" y="0"/>
                              </a:lnTo>
                              <a:lnTo>
                                <a:pt x="0" y="0"/>
                              </a:lnTo>
                              <a:lnTo>
                                <a:pt x="0" y="16167"/>
                              </a:lnTo>
                              <a:lnTo>
                                <a:pt x="7312342" y="16167"/>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11.856999pt;width:575.775027pt;height:1.273pt;mso-position-horizontal-relative:page;mso-position-vertical-relative:paragraph;z-index:15874560" id="docshape677" filled="true" fillcolor="#000000" stroked="false">
                <v:fill type="solid"/>
                <w10:wrap type="none"/>
              </v:rect>
            </w:pict>
          </mc:Fallback>
        </mc:AlternateContent>
      </w:r>
      <w:r>
        <w:rPr>
          <w:sz w:val="14"/>
          <w:u w:val="single"/>
        </w:rPr>
        <w:tab/>
        <w:t>Gain (loss) recognized in </w:t>
      </w:r>
      <w:r>
        <w:rPr>
          <w:spacing w:val="-2"/>
          <w:sz w:val="14"/>
          <w:u w:val="single"/>
        </w:rPr>
        <w:t>income</w:t>
      </w:r>
      <w:r>
        <w:rPr>
          <w:sz w:val="14"/>
          <w:u w:val="single"/>
        </w:rPr>
        <w:tab/>
      </w:r>
    </w:p>
    <w:p>
      <w:pPr>
        <w:tabs>
          <w:tab w:pos="4670" w:val="left" w:leader="none"/>
          <w:tab w:pos="8092" w:val="left" w:leader="none"/>
          <w:tab w:pos="9468" w:val="left" w:leader="none"/>
          <w:tab w:pos="11124" w:val="right" w:leader="none"/>
        </w:tabs>
        <w:spacing w:before="5"/>
        <w:ind w:left="156" w:right="0" w:firstLine="0"/>
        <w:jc w:val="left"/>
        <w:rPr>
          <w:sz w:val="14"/>
        </w:rPr>
      </w:pPr>
      <w:r>
        <w:rPr/>
        <mc:AlternateContent>
          <mc:Choice Requires="wps">
            <w:drawing>
              <wp:anchor distT="0" distB="0" distL="0" distR="0" allowOverlap="1" layoutInCell="1" locked="0" behindDoc="0" simplePos="0" relativeHeight="15875072">
                <wp:simplePos x="0" y="0"/>
                <wp:positionH relativeFrom="page">
                  <wp:posOffset>226488</wp:posOffset>
                </wp:positionH>
                <wp:positionV relativeFrom="paragraph">
                  <wp:posOffset>102280</wp:posOffset>
                </wp:positionV>
                <wp:extent cx="7312659" cy="105410"/>
                <wp:effectExtent l="0" t="0" r="0" b="0"/>
                <wp:wrapNone/>
                <wp:docPr id="679" name="Group 679"/>
                <wp:cNvGraphicFramePr>
                  <a:graphicFrameLocks/>
                </wp:cNvGraphicFramePr>
                <a:graphic>
                  <a:graphicData uri="http://schemas.microsoft.com/office/word/2010/wordprocessingGroup">
                    <wpg:wgp>
                      <wpg:cNvPr id="679" name="Group 679"/>
                      <wpg:cNvGrpSpPr/>
                      <wpg:grpSpPr>
                        <a:xfrm>
                          <a:off x="0" y="0"/>
                          <a:ext cx="7312659" cy="105410"/>
                          <a:chExt cx="7312659" cy="105410"/>
                        </a:xfrm>
                      </wpg:grpSpPr>
                      <wps:wsp>
                        <wps:cNvPr id="680" name="Graphic 680"/>
                        <wps:cNvSpPr/>
                        <wps:spPr>
                          <a:xfrm>
                            <a:off x="-9"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681" name="Graphic 681"/>
                        <wps:cNvSpPr/>
                        <wps:spPr>
                          <a:xfrm>
                            <a:off x="-9" y="8090"/>
                            <a:ext cx="7312659" cy="97155"/>
                          </a:xfrm>
                          <a:custGeom>
                            <a:avLst/>
                            <a:gdLst/>
                            <a:ahLst/>
                            <a:cxnLst/>
                            <a:rect l="l" t="t" r="r" b="b"/>
                            <a:pathLst>
                              <a:path w="7312659" h="97155">
                                <a:moveTo>
                                  <a:pt x="7312342" y="0"/>
                                </a:moveTo>
                                <a:lnTo>
                                  <a:pt x="7312342" y="0"/>
                                </a:lnTo>
                                <a:lnTo>
                                  <a:pt x="0" y="0"/>
                                </a:lnTo>
                                <a:lnTo>
                                  <a:pt x="0" y="97066"/>
                                </a:lnTo>
                                <a:lnTo>
                                  <a:pt x="7312342" y="97066"/>
                                </a:lnTo>
                                <a:lnTo>
                                  <a:pt x="7312342" y="0"/>
                                </a:lnTo>
                                <a:close/>
                              </a:path>
                            </a:pathLst>
                          </a:custGeom>
                          <a:solidFill>
                            <a:srgbClr val="CCEDFF"/>
                          </a:solidFill>
                        </wps:spPr>
                        <wps:bodyPr wrap="square" lIns="0" tIns="0" rIns="0" bIns="0" rtlCol="0">
                          <a:prstTxWarp prst="textNoShape">
                            <a:avLst/>
                          </a:prstTxWarp>
                          <a:noAutofit/>
                        </wps:bodyPr>
                      </wps:wsp>
                      <wps:wsp>
                        <wps:cNvPr id="682" name="Textbox 682"/>
                        <wps:cNvSpPr txBox="1"/>
                        <wps:spPr>
                          <a:xfrm>
                            <a:off x="0" y="8088"/>
                            <a:ext cx="7312659" cy="97155"/>
                          </a:xfrm>
                          <a:prstGeom prst="rect">
                            <a:avLst/>
                          </a:prstGeom>
                        </wps:spPr>
                        <wps:txbx>
                          <w:txbxContent>
                            <w:p>
                              <w:pPr>
                                <w:tabs>
                                  <w:tab w:pos="4152" w:val="left" w:leader="none"/>
                                  <w:tab w:pos="7502" w:val="left" w:leader="none"/>
                                  <w:tab w:pos="8509" w:val="left" w:leader="none"/>
                                  <w:tab w:pos="8878" w:val="left" w:leader="none"/>
                                  <w:tab w:pos="9838" w:val="left" w:leader="none"/>
                                  <w:tab w:pos="11400" w:val="right" w:leader="none"/>
                                </w:tabs>
                                <w:spacing w:line="153" w:lineRule="exact" w:before="0"/>
                                <w:ind w:left="0" w:right="0" w:firstLine="0"/>
                                <w:jc w:val="left"/>
                                <w:rPr>
                                  <w:sz w:val="14"/>
                                </w:rPr>
                              </w:pPr>
                              <w:r>
                                <w:rPr>
                                  <w:sz w:val="14"/>
                                </w:rPr>
                                <w:t>Foreign exchange </w:t>
                              </w:r>
                              <w:r>
                                <w:rPr>
                                  <w:spacing w:val="-2"/>
                                  <w:sz w:val="14"/>
                                </w:rPr>
                                <w:t>contracts</w:t>
                              </w:r>
                              <w:r>
                                <w:rPr>
                                  <w:sz w:val="14"/>
                                </w:rPr>
                                <w:tab/>
                                <w:t>Other income (expense), net</w:t>
                              </w:r>
                              <w:r>
                                <w:rPr>
                                  <w:spacing w:val="-1"/>
                                  <w:sz w:val="14"/>
                                </w:rPr>
                                <w:t> </w:t>
                              </w:r>
                              <w:r>
                                <w:rPr>
                                  <w:spacing w:val="-5"/>
                                  <w:position w:val="3"/>
                                  <w:sz w:val="11"/>
                                </w:rPr>
                                <w:t>(1)</w:t>
                              </w:r>
                              <w:r>
                                <w:rPr>
                                  <w:position w:val="3"/>
                                  <w:sz w:val="11"/>
                                </w:rPr>
                                <w:tab/>
                              </w:r>
                              <w:r>
                                <w:rPr>
                                  <w:b/>
                                  <w:spacing w:val="-10"/>
                                  <w:sz w:val="14"/>
                                </w:rPr>
                                <w:t>$</w:t>
                              </w:r>
                              <w:r>
                                <w:rPr>
                                  <w:b/>
                                  <w:sz w:val="14"/>
                                </w:rPr>
                                <w:tab/>
                              </w:r>
                              <w:r>
                                <w:rPr>
                                  <w:b/>
                                  <w:spacing w:val="-5"/>
                                  <w:sz w:val="14"/>
                                </w:rPr>
                                <w:t>38</w:t>
                              </w:r>
                              <w:r>
                                <w:rPr>
                                  <w:b/>
                                  <w:sz w:val="14"/>
                                </w:rPr>
                                <w:tab/>
                              </w:r>
                              <w:r>
                                <w:rPr>
                                  <w:spacing w:val="-10"/>
                                  <w:sz w:val="14"/>
                                </w:rPr>
                                <w:t>$</w:t>
                              </w:r>
                              <w:r>
                                <w:rPr>
                                  <w:sz w:val="14"/>
                                </w:rPr>
                                <w:tab/>
                                <w:t>(93)</w:t>
                              </w:r>
                              <w:r>
                                <w:rPr>
                                  <w:spacing w:val="53"/>
                                  <w:sz w:val="14"/>
                                </w:rPr>
                                <w:t>  </w:t>
                              </w:r>
                              <w:r>
                                <w:rPr>
                                  <w:spacing w:val="-12"/>
                                  <w:sz w:val="14"/>
                                </w:rPr>
                                <w:t>$</w:t>
                              </w:r>
                              <w:r>
                                <w:rPr>
                                  <w:sz w:val="14"/>
                                </w:rPr>
                                <w:tab/>
                              </w:r>
                              <w:r>
                                <w:rPr>
                                  <w:spacing w:val="-5"/>
                                  <w:sz w:val="14"/>
                                </w:rPr>
                                <w:t>21</w:t>
                              </w:r>
                            </w:p>
                          </w:txbxContent>
                        </wps:txbx>
                        <wps:bodyPr wrap="square" lIns="0" tIns="0" rIns="0" bIns="0" rtlCol="0">
                          <a:noAutofit/>
                        </wps:bodyPr>
                      </wps:wsp>
                    </wpg:wgp>
                  </a:graphicData>
                </a:graphic>
              </wp:anchor>
            </w:drawing>
          </mc:Choice>
          <mc:Fallback>
            <w:pict>
              <v:group style="position:absolute;margin-left:17.833740pt;margin-top:8.053619pt;width:575.8pt;height:8.3pt;mso-position-horizontal-relative:page;mso-position-vertical-relative:paragraph;z-index:15875072" id="docshapegroup678" coordorigin="357,161" coordsize="11516,166">
                <v:rect style="position:absolute;left:356;top:161;width:11516;height:13" id="docshape679" filled="true" fillcolor="#000000" stroked="false">
                  <v:fill type="solid"/>
                </v:rect>
                <v:rect style="position:absolute;left:356;top:173;width:11516;height:153" id="docshape680" filled="true" fillcolor="#ccedff" stroked="false">
                  <v:fill type="solid"/>
                </v:rect>
                <v:shape style="position:absolute;left:356;top:173;width:11516;height:153" type="#_x0000_t202" id="docshape681" filled="false" stroked="false">
                  <v:textbox inset="0,0,0,0">
                    <w:txbxContent>
                      <w:p>
                        <w:pPr>
                          <w:tabs>
                            <w:tab w:pos="4152" w:val="left" w:leader="none"/>
                            <w:tab w:pos="7502" w:val="left" w:leader="none"/>
                            <w:tab w:pos="8509" w:val="left" w:leader="none"/>
                            <w:tab w:pos="8878" w:val="left" w:leader="none"/>
                            <w:tab w:pos="9838" w:val="left" w:leader="none"/>
                            <w:tab w:pos="11400" w:val="right" w:leader="none"/>
                          </w:tabs>
                          <w:spacing w:line="153" w:lineRule="exact" w:before="0"/>
                          <w:ind w:left="0" w:right="0" w:firstLine="0"/>
                          <w:jc w:val="left"/>
                          <w:rPr>
                            <w:sz w:val="14"/>
                          </w:rPr>
                        </w:pPr>
                        <w:r>
                          <w:rPr>
                            <w:sz w:val="14"/>
                          </w:rPr>
                          <w:t>Foreign exchange </w:t>
                        </w:r>
                        <w:r>
                          <w:rPr>
                            <w:spacing w:val="-2"/>
                            <w:sz w:val="14"/>
                          </w:rPr>
                          <w:t>contracts</w:t>
                        </w:r>
                        <w:r>
                          <w:rPr>
                            <w:sz w:val="14"/>
                          </w:rPr>
                          <w:tab/>
                          <w:t>Other income (expense), net</w:t>
                        </w:r>
                        <w:r>
                          <w:rPr>
                            <w:spacing w:val="-1"/>
                            <w:sz w:val="14"/>
                          </w:rPr>
                          <w:t> </w:t>
                        </w:r>
                        <w:r>
                          <w:rPr>
                            <w:spacing w:val="-5"/>
                            <w:position w:val="3"/>
                            <w:sz w:val="11"/>
                          </w:rPr>
                          <w:t>(1)</w:t>
                        </w:r>
                        <w:r>
                          <w:rPr>
                            <w:position w:val="3"/>
                            <w:sz w:val="11"/>
                          </w:rPr>
                          <w:tab/>
                        </w:r>
                        <w:r>
                          <w:rPr>
                            <w:b/>
                            <w:spacing w:val="-10"/>
                            <w:sz w:val="14"/>
                          </w:rPr>
                          <w:t>$</w:t>
                        </w:r>
                        <w:r>
                          <w:rPr>
                            <w:b/>
                            <w:sz w:val="14"/>
                          </w:rPr>
                          <w:tab/>
                        </w:r>
                        <w:r>
                          <w:rPr>
                            <w:b/>
                            <w:spacing w:val="-5"/>
                            <w:sz w:val="14"/>
                          </w:rPr>
                          <w:t>38</w:t>
                        </w:r>
                        <w:r>
                          <w:rPr>
                            <w:b/>
                            <w:sz w:val="14"/>
                          </w:rPr>
                          <w:tab/>
                        </w:r>
                        <w:r>
                          <w:rPr>
                            <w:spacing w:val="-10"/>
                            <w:sz w:val="14"/>
                          </w:rPr>
                          <w:t>$</w:t>
                        </w:r>
                        <w:r>
                          <w:rPr>
                            <w:sz w:val="14"/>
                          </w:rPr>
                          <w:tab/>
                          <w:t>(93)</w:t>
                        </w:r>
                        <w:r>
                          <w:rPr>
                            <w:spacing w:val="53"/>
                            <w:sz w:val="14"/>
                          </w:rPr>
                          <w:t>  </w:t>
                        </w:r>
                        <w:r>
                          <w:rPr>
                            <w:spacing w:val="-12"/>
                            <w:sz w:val="14"/>
                          </w:rPr>
                          <w:t>$</w:t>
                        </w:r>
                        <w:r>
                          <w:rPr>
                            <w:sz w:val="14"/>
                          </w:rPr>
                          <w:tab/>
                        </w:r>
                        <w:r>
                          <w:rPr>
                            <w:spacing w:val="-5"/>
                            <w:sz w:val="14"/>
                          </w:rPr>
                          <w:t>21</w:t>
                        </w:r>
                      </w:p>
                    </w:txbxContent>
                  </v:textbox>
                  <w10:wrap type="none"/>
                </v:shape>
                <w10:wrap type="none"/>
              </v:group>
            </w:pict>
          </mc:Fallback>
        </mc:AlternateContent>
      </w:r>
      <w:r>
        <w:rPr>
          <w:sz w:val="14"/>
        </w:rPr>
        <w:t>Undesignated </w:t>
      </w:r>
      <w:r>
        <w:rPr>
          <w:spacing w:val="-2"/>
          <w:sz w:val="14"/>
        </w:rPr>
        <w:t>derivatives</w:t>
      </w:r>
      <w:r>
        <w:rPr>
          <w:sz w:val="14"/>
        </w:rPr>
        <w:tab/>
        <w:t>Location</w:t>
      </w:r>
      <w:r>
        <w:rPr>
          <w:spacing w:val="-2"/>
          <w:sz w:val="14"/>
        </w:rPr>
        <w:t> </w:t>
      </w:r>
      <w:r>
        <w:rPr>
          <w:sz w:val="14"/>
        </w:rPr>
        <w:t>of gain (loss) recognized in </w:t>
      </w:r>
      <w:r>
        <w:rPr>
          <w:spacing w:val="-2"/>
          <w:sz w:val="14"/>
        </w:rPr>
        <w:t>income</w:t>
      </w:r>
      <w:r>
        <w:rPr>
          <w:sz w:val="14"/>
        </w:rPr>
        <w:tab/>
      </w:r>
      <w:r>
        <w:rPr>
          <w:b/>
          <w:spacing w:val="-4"/>
          <w:sz w:val="14"/>
        </w:rPr>
        <w:t>2021</w:t>
      </w:r>
      <w:r>
        <w:rPr>
          <w:b/>
          <w:sz w:val="14"/>
        </w:rPr>
        <w:tab/>
      </w:r>
      <w:r>
        <w:rPr>
          <w:spacing w:val="-4"/>
          <w:sz w:val="14"/>
        </w:rPr>
        <w:t>2020</w:t>
      </w:r>
      <w:r>
        <w:rPr>
          <w:sz w:val="14"/>
        </w:rPr>
        <w:tab/>
      </w:r>
      <w:r>
        <w:rPr>
          <w:spacing w:val="-4"/>
          <w:sz w:val="14"/>
        </w:rPr>
        <w:t>2019</w:t>
      </w:r>
    </w:p>
    <w:p>
      <w:pPr>
        <w:tabs>
          <w:tab w:pos="4309" w:val="left" w:leader="none"/>
          <w:tab w:pos="8595" w:val="left" w:leader="none"/>
          <w:tab w:pos="9994" w:val="left" w:leader="none"/>
          <w:tab w:pos="11347" w:val="left" w:leader="none"/>
        </w:tabs>
        <w:spacing w:before="160"/>
        <w:ind w:left="156" w:right="0" w:firstLine="0"/>
        <w:jc w:val="left"/>
        <w:rPr>
          <w:sz w:val="14"/>
        </w:rPr>
      </w:pPr>
      <w:r>
        <w:rPr/>
        <mc:AlternateContent>
          <mc:Choice Requires="wps">
            <w:drawing>
              <wp:anchor distT="0" distB="0" distL="0" distR="0" allowOverlap="1" layoutInCell="1" locked="0" behindDoc="0" simplePos="0" relativeHeight="15875584">
                <wp:simplePos x="0" y="0"/>
                <wp:positionH relativeFrom="page">
                  <wp:posOffset>226488</wp:posOffset>
                </wp:positionH>
                <wp:positionV relativeFrom="paragraph">
                  <wp:posOffset>199101</wp:posOffset>
                </wp:positionV>
                <wp:extent cx="7312659" cy="129539"/>
                <wp:effectExtent l="0" t="0" r="0" b="0"/>
                <wp:wrapNone/>
                <wp:docPr id="683" name="Group 683"/>
                <wp:cNvGraphicFramePr>
                  <a:graphicFrameLocks/>
                </wp:cNvGraphicFramePr>
                <a:graphic>
                  <a:graphicData uri="http://schemas.microsoft.com/office/word/2010/wordprocessingGroup">
                    <wpg:wgp>
                      <wpg:cNvPr id="683" name="Group 683"/>
                      <wpg:cNvGrpSpPr/>
                      <wpg:grpSpPr>
                        <a:xfrm>
                          <a:off x="0" y="0"/>
                          <a:ext cx="7312659" cy="129539"/>
                          <a:chExt cx="7312659" cy="129539"/>
                        </a:xfrm>
                      </wpg:grpSpPr>
                      <wps:wsp>
                        <wps:cNvPr id="684" name="Graphic 684"/>
                        <wps:cNvSpPr/>
                        <wps:spPr>
                          <a:xfrm>
                            <a:off x="4764344" y="1"/>
                            <a:ext cx="1674495" cy="8255"/>
                          </a:xfrm>
                          <a:custGeom>
                            <a:avLst/>
                            <a:gdLst/>
                            <a:ahLst/>
                            <a:cxnLst/>
                            <a:rect l="l" t="t" r="r" b="b"/>
                            <a:pathLst>
                              <a:path w="1674495" h="8255">
                                <a:moveTo>
                                  <a:pt x="800798" y="0"/>
                                </a:moveTo>
                                <a:lnTo>
                                  <a:pt x="727989" y="0"/>
                                </a:lnTo>
                                <a:lnTo>
                                  <a:pt x="72796" y="0"/>
                                </a:lnTo>
                                <a:lnTo>
                                  <a:pt x="0" y="0"/>
                                </a:lnTo>
                                <a:lnTo>
                                  <a:pt x="0" y="8089"/>
                                </a:lnTo>
                                <a:lnTo>
                                  <a:pt x="72796" y="8089"/>
                                </a:lnTo>
                                <a:lnTo>
                                  <a:pt x="727989" y="8089"/>
                                </a:lnTo>
                                <a:lnTo>
                                  <a:pt x="800798" y="8089"/>
                                </a:lnTo>
                                <a:lnTo>
                                  <a:pt x="800798" y="0"/>
                                </a:lnTo>
                                <a:close/>
                              </a:path>
                              <a:path w="1674495" h="8255">
                                <a:moveTo>
                                  <a:pt x="1674393" y="0"/>
                                </a:moveTo>
                                <a:lnTo>
                                  <a:pt x="1601597" y="0"/>
                                </a:lnTo>
                                <a:lnTo>
                                  <a:pt x="946391" y="0"/>
                                </a:lnTo>
                                <a:lnTo>
                                  <a:pt x="873594" y="0"/>
                                </a:lnTo>
                                <a:lnTo>
                                  <a:pt x="873594" y="8089"/>
                                </a:lnTo>
                                <a:lnTo>
                                  <a:pt x="946391" y="8089"/>
                                </a:lnTo>
                                <a:lnTo>
                                  <a:pt x="1601597" y="8089"/>
                                </a:lnTo>
                                <a:lnTo>
                                  <a:pt x="1674393" y="8089"/>
                                </a:lnTo>
                                <a:lnTo>
                                  <a:pt x="1674393" y="0"/>
                                </a:lnTo>
                                <a:close/>
                              </a:path>
                            </a:pathLst>
                          </a:custGeom>
                          <a:solidFill>
                            <a:srgbClr val="000000"/>
                          </a:solidFill>
                        </wps:spPr>
                        <wps:bodyPr wrap="square" lIns="0" tIns="0" rIns="0" bIns="0" rtlCol="0">
                          <a:prstTxWarp prst="textNoShape">
                            <a:avLst/>
                          </a:prstTxWarp>
                          <a:noAutofit/>
                        </wps:bodyPr>
                      </wps:wsp>
                      <wps:wsp>
                        <wps:cNvPr id="685" name="Graphic 685"/>
                        <wps:cNvSpPr/>
                        <wps:spPr>
                          <a:xfrm>
                            <a:off x="0" y="8088"/>
                            <a:ext cx="2637155" cy="121920"/>
                          </a:xfrm>
                          <a:custGeom>
                            <a:avLst/>
                            <a:gdLst/>
                            <a:ahLst/>
                            <a:cxnLst/>
                            <a:rect l="l" t="t" r="r" b="b"/>
                            <a:pathLst>
                              <a:path w="2637155" h="121920">
                                <a:moveTo>
                                  <a:pt x="0" y="0"/>
                                </a:moveTo>
                                <a:lnTo>
                                  <a:pt x="2636973" y="0"/>
                                </a:lnTo>
                                <a:lnTo>
                                  <a:pt x="2636973"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86" name="Graphic 686"/>
                        <wps:cNvSpPr/>
                        <wps:spPr>
                          <a:xfrm>
                            <a:off x="-9" y="105157"/>
                            <a:ext cx="2637155" cy="24765"/>
                          </a:xfrm>
                          <a:custGeom>
                            <a:avLst/>
                            <a:gdLst/>
                            <a:ahLst/>
                            <a:cxnLst/>
                            <a:rect l="l" t="t" r="r" b="b"/>
                            <a:pathLst>
                              <a:path w="2637155" h="24765">
                                <a:moveTo>
                                  <a:pt x="2636977" y="16179"/>
                                </a:moveTo>
                                <a:lnTo>
                                  <a:pt x="0" y="16179"/>
                                </a:lnTo>
                                <a:lnTo>
                                  <a:pt x="0" y="24269"/>
                                </a:lnTo>
                                <a:lnTo>
                                  <a:pt x="2636977" y="24269"/>
                                </a:lnTo>
                                <a:lnTo>
                                  <a:pt x="2636977" y="16179"/>
                                </a:lnTo>
                                <a:close/>
                              </a:path>
                              <a:path w="2637155" h="24765">
                                <a:moveTo>
                                  <a:pt x="2636977" y="0"/>
                                </a:moveTo>
                                <a:lnTo>
                                  <a:pt x="0" y="0"/>
                                </a:lnTo>
                                <a:lnTo>
                                  <a:pt x="0" y="8089"/>
                                </a:lnTo>
                                <a:lnTo>
                                  <a:pt x="2636977" y="8089"/>
                                </a:lnTo>
                                <a:lnTo>
                                  <a:pt x="2636977" y="0"/>
                                </a:lnTo>
                                <a:close/>
                              </a:path>
                            </a:pathLst>
                          </a:custGeom>
                          <a:solidFill>
                            <a:srgbClr val="000000"/>
                          </a:solidFill>
                        </wps:spPr>
                        <wps:bodyPr wrap="square" lIns="0" tIns="0" rIns="0" bIns="0" rtlCol="0">
                          <a:prstTxWarp prst="textNoShape">
                            <a:avLst/>
                          </a:prstTxWarp>
                          <a:noAutofit/>
                        </wps:bodyPr>
                      </wps:wsp>
                      <wps:wsp>
                        <wps:cNvPr id="687" name="Graphic 687"/>
                        <wps:cNvSpPr/>
                        <wps:spPr>
                          <a:xfrm>
                            <a:off x="2636973" y="8088"/>
                            <a:ext cx="2054860" cy="121920"/>
                          </a:xfrm>
                          <a:custGeom>
                            <a:avLst/>
                            <a:gdLst/>
                            <a:ahLst/>
                            <a:cxnLst/>
                            <a:rect l="l" t="t" r="r" b="b"/>
                            <a:pathLst>
                              <a:path w="2054860" h="121920">
                                <a:moveTo>
                                  <a:pt x="0" y="0"/>
                                </a:moveTo>
                                <a:lnTo>
                                  <a:pt x="2054574" y="0"/>
                                </a:lnTo>
                                <a:lnTo>
                                  <a:pt x="2054574"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88" name="Graphic 688"/>
                        <wps:cNvSpPr/>
                        <wps:spPr>
                          <a:xfrm>
                            <a:off x="2636967" y="105157"/>
                            <a:ext cx="2054860" cy="24765"/>
                          </a:xfrm>
                          <a:custGeom>
                            <a:avLst/>
                            <a:gdLst/>
                            <a:ahLst/>
                            <a:cxnLst/>
                            <a:rect l="l" t="t" r="r" b="b"/>
                            <a:pathLst>
                              <a:path w="2054860" h="24765">
                                <a:moveTo>
                                  <a:pt x="2054567" y="16179"/>
                                </a:moveTo>
                                <a:lnTo>
                                  <a:pt x="0" y="16179"/>
                                </a:lnTo>
                                <a:lnTo>
                                  <a:pt x="0" y="24269"/>
                                </a:lnTo>
                                <a:lnTo>
                                  <a:pt x="2054567" y="24269"/>
                                </a:lnTo>
                                <a:lnTo>
                                  <a:pt x="2054567" y="16179"/>
                                </a:lnTo>
                                <a:close/>
                              </a:path>
                              <a:path w="2054860" h="24765">
                                <a:moveTo>
                                  <a:pt x="2054567" y="0"/>
                                </a:moveTo>
                                <a:lnTo>
                                  <a:pt x="0" y="0"/>
                                </a:lnTo>
                                <a:lnTo>
                                  <a:pt x="0" y="8089"/>
                                </a:lnTo>
                                <a:lnTo>
                                  <a:pt x="2054567" y="8089"/>
                                </a:lnTo>
                                <a:lnTo>
                                  <a:pt x="2054567" y="0"/>
                                </a:lnTo>
                                <a:close/>
                              </a:path>
                            </a:pathLst>
                          </a:custGeom>
                          <a:solidFill>
                            <a:srgbClr val="000000"/>
                          </a:solidFill>
                        </wps:spPr>
                        <wps:bodyPr wrap="square" lIns="0" tIns="0" rIns="0" bIns="0" rtlCol="0">
                          <a:prstTxWarp prst="textNoShape">
                            <a:avLst/>
                          </a:prstTxWarp>
                          <a:noAutofit/>
                        </wps:bodyPr>
                      </wps:wsp>
                      <wps:wsp>
                        <wps:cNvPr id="689" name="Graphic 689"/>
                        <wps:cNvSpPr/>
                        <wps:spPr>
                          <a:xfrm>
                            <a:off x="469154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90" name="Graphic 690"/>
                        <wps:cNvSpPr/>
                        <wps:spPr>
                          <a:xfrm>
                            <a:off x="4691536" y="105157"/>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691" name="Graphic 691"/>
                        <wps:cNvSpPr/>
                        <wps:spPr>
                          <a:xfrm>
                            <a:off x="476434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92" name="Graphic 692"/>
                        <wps:cNvSpPr/>
                        <wps:spPr>
                          <a:xfrm>
                            <a:off x="4764344" y="105157"/>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693" name="Graphic 693"/>
                        <wps:cNvSpPr/>
                        <wps:spPr>
                          <a:xfrm>
                            <a:off x="4837147" y="8088"/>
                            <a:ext cx="655320" cy="121920"/>
                          </a:xfrm>
                          <a:custGeom>
                            <a:avLst/>
                            <a:gdLst/>
                            <a:ahLst/>
                            <a:cxnLst/>
                            <a:rect l="l" t="t" r="r" b="b"/>
                            <a:pathLst>
                              <a:path w="655320" h="121920">
                                <a:moveTo>
                                  <a:pt x="0" y="0"/>
                                </a:moveTo>
                                <a:lnTo>
                                  <a:pt x="655198" y="0"/>
                                </a:lnTo>
                                <a:lnTo>
                                  <a:pt x="655198"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94" name="Graphic 694"/>
                        <wps:cNvSpPr/>
                        <wps:spPr>
                          <a:xfrm>
                            <a:off x="4837141" y="105157"/>
                            <a:ext cx="655320" cy="24765"/>
                          </a:xfrm>
                          <a:custGeom>
                            <a:avLst/>
                            <a:gdLst/>
                            <a:ahLst/>
                            <a:cxnLst/>
                            <a:rect l="l" t="t" r="r" b="b"/>
                            <a:pathLst>
                              <a:path w="655320" h="24765">
                                <a:moveTo>
                                  <a:pt x="655193" y="16179"/>
                                </a:moveTo>
                                <a:lnTo>
                                  <a:pt x="0" y="16179"/>
                                </a:lnTo>
                                <a:lnTo>
                                  <a:pt x="0" y="24269"/>
                                </a:lnTo>
                                <a:lnTo>
                                  <a:pt x="655193" y="24269"/>
                                </a:lnTo>
                                <a:lnTo>
                                  <a:pt x="655193" y="16179"/>
                                </a:lnTo>
                                <a:close/>
                              </a:path>
                              <a:path w="655320" h="24765">
                                <a:moveTo>
                                  <a:pt x="655193" y="0"/>
                                </a:moveTo>
                                <a:lnTo>
                                  <a:pt x="0" y="0"/>
                                </a:lnTo>
                                <a:lnTo>
                                  <a:pt x="0" y="8089"/>
                                </a:lnTo>
                                <a:lnTo>
                                  <a:pt x="655193" y="8089"/>
                                </a:lnTo>
                                <a:lnTo>
                                  <a:pt x="655193" y="0"/>
                                </a:lnTo>
                                <a:close/>
                              </a:path>
                            </a:pathLst>
                          </a:custGeom>
                          <a:solidFill>
                            <a:srgbClr val="000000"/>
                          </a:solidFill>
                        </wps:spPr>
                        <wps:bodyPr wrap="square" lIns="0" tIns="0" rIns="0" bIns="0" rtlCol="0">
                          <a:prstTxWarp prst="textNoShape">
                            <a:avLst/>
                          </a:prstTxWarp>
                          <a:noAutofit/>
                        </wps:bodyPr>
                      </wps:wsp>
                      <wps:wsp>
                        <wps:cNvPr id="695" name="Graphic 695"/>
                        <wps:cNvSpPr/>
                        <wps:spPr>
                          <a:xfrm>
                            <a:off x="5492346"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96" name="Graphic 696"/>
                        <wps:cNvSpPr/>
                        <wps:spPr>
                          <a:xfrm>
                            <a:off x="5492334" y="105157"/>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697" name="Graphic 697"/>
                        <wps:cNvSpPr/>
                        <wps:spPr>
                          <a:xfrm>
                            <a:off x="5565146"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698" name="Graphic 698"/>
                        <wps:cNvSpPr/>
                        <wps:spPr>
                          <a:xfrm>
                            <a:off x="5565143" y="105157"/>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699" name="Graphic 699"/>
                        <wps:cNvSpPr/>
                        <wps:spPr>
                          <a:xfrm>
                            <a:off x="5637946"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00" name="Graphic 700"/>
                        <wps:cNvSpPr/>
                        <wps:spPr>
                          <a:xfrm>
                            <a:off x="5637939" y="105157"/>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701" name="Graphic 701"/>
                        <wps:cNvSpPr/>
                        <wps:spPr>
                          <a:xfrm>
                            <a:off x="5710746" y="8088"/>
                            <a:ext cx="655320" cy="121920"/>
                          </a:xfrm>
                          <a:custGeom>
                            <a:avLst/>
                            <a:gdLst/>
                            <a:ahLst/>
                            <a:cxnLst/>
                            <a:rect l="l" t="t" r="r" b="b"/>
                            <a:pathLst>
                              <a:path w="655320" h="121920">
                                <a:moveTo>
                                  <a:pt x="0" y="0"/>
                                </a:moveTo>
                                <a:lnTo>
                                  <a:pt x="655198" y="0"/>
                                </a:lnTo>
                                <a:lnTo>
                                  <a:pt x="655198"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02" name="Graphic 702"/>
                        <wps:cNvSpPr/>
                        <wps:spPr>
                          <a:xfrm>
                            <a:off x="5710736" y="105157"/>
                            <a:ext cx="655320" cy="24765"/>
                          </a:xfrm>
                          <a:custGeom>
                            <a:avLst/>
                            <a:gdLst/>
                            <a:ahLst/>
                            <a:cxnLst/>
                            <a:rect l="l" t="t" r="r" b="b"/>
                            <a:pathLst>
                              <a:path w="655320" h="24765">
                                <a:moveTo>
                                  <a:pt x="655205" y="16179"/>
                                </a:moveTo>
                                <a:lnTo>
                                  <a:pt x="0" y="16179"/>
                                </a:lnTo>
                                <a:lnTo>
                                  <a:pt x="0" y="24269"/>
                                </a:lnTo>
                                <a:lnTo>
                                  <a:pt x="655205" y="24269"/>
                                </a:lnTo>
                                <a:lnTo>
                                  <a:pt x="655205" y="16179"/>
                                </a:lnTo>
                                <a:close/>
                              </a:path>
                              <a:path w="655320" h="24765">
                                <a:moveTo>
                                  <a:pt x="655205" y="0"/>
                                </a:moveTo>
                                <a:lnTo>
                                  <a:pt x="0" y="0"/>
                                </a:lnTo>
                                <a:lnTo>
                                  <a:pt x="0" y="8089"/>
                                </a:lnTo>
                                <a:lnTo>
                                  <a:pt x="655205" y="8089"/>
                                </a:lnTo>
                                <a:lnTo>
                                  <a:pt x="655205" y="0"/>
                                </a:lnTo>
                                <a:close/>
                              </a:path>
                            </a:pathLst>
                          </a:custGeom>
                          <a:solidFill>
                            <a:srgbClr val="000000"/>
                          </a:solidFill>
                        </wps:spPr>
                        <wps:bodyPr wrap="square" lIns="0" tIns="0" rIns="0" bIns="0" rtlCol="0">
                          <a:prstTxWarp prst="textNoShape">
                            <a:avLst/>
                          </a:prstTxWarp>
                          <a:noAutofit/>
                        </wps:bodyPr>
                      </wps:wsp>
                      <wps:wsp>
                        <wps:cNvPr id="703" name="Graphic 703"/>
                        <wps:cNvSpPr/>
                        <wps:spPr>
                          <a:xfrm>
                            <a:off x="6365945"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04" name="Graphic 704"/>
                        <wps:cNvSpPr/>
                        <wps:spPr>
                          <a:xfrm>
                            <a:off x="6365942" y="105157"/>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705" name="Graphic 705"/>
                        <wps:cNvSpPr/>
                        <wps:spPr>
                          <a:xfrm>
                            <a:off x="6438744"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06" name="Graphic 706"/>
                        <wps:cNvSpPr/>
                        <wps:spPr>
                          <a:xfrm>
                            <a:off x="6438738" y="105157"/>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707" name="Graphic 707"/>
                        <wps:cNvSpPr/>
                        <wps:spPr>
                          <a:xfrm>
                            <a:off x="6511545"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08" name="Graphic 708"/>
                        <wps:cNvSpPr/>
                        <wps:spPr>
                          <a:xfrm>
                            <a:off x="6511535" y="105157"/>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709" name="Graphic 709"/>
                        <wps:cNvSpPr/>
                        <wps:spPr>
                          <a:xfrm>
                            <a:off x="6584344" y="8088"/>
                            <a:ext cx="655320" cy="121920"/>
                          </a:xfrm>
                          <a:custGeom>
                            <a:avLst/>
                            <a:gdLst/>
                            <a:ahLst/>
                            <a:cxnLst/>
                            <a:rect l="l" t="t" r="r" b="b"/>
                            <a:pathLst>
                              <a:path w="655320" h="121920">
                                <a:moveTo>
                                  <a:pt x="0" y="0"/>
                                </a:moveTo>
                                <a:lnTo>
                                  <a:pt x="655198" y="0"/>
                                </a:lnTo>
                                <a:lnTo>
                                  <a:pt x="655198"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10" name="Graphic 710"/>
                        <wps:cNvSpPr/>
                        <wps:spPr>
                          <a:xfrm>
                            <a:off x="6584343" y="105157"/>
                            <a:ext cx="655320" cy="24765"/>
                          </a:xfrm>
                          <a:custGeom>
                            <a:avLst/>
                            <a:gdLst/>
                            <a:ahLst/>
                            <a:cxnLst/>
                            <a:rect l="l" t="t" r="r" b="b"/>
                            <a:pathLst>
                              <a:path w="655320" h="24765">
                                <a:moveTo>
                                  <a:pt x="655193" y="16179"/>
                                </a:moveTo>
                                <a:lnTo>
                                  <a:pt x="0" y="16179"/>
                                </a:lnTo>
                                <a:lnTo>
                                  <a:pt x="0" y="24269"/>
                                </a:lnTo>
                                <a:lnTo>
                                  <a:pt x="655193" y="24269"/>
                                </a:lnTo>
                                <a:lnTo>
                                  <a:pt x="655193" y="16179"/>
                                </a:lnTo>
                                <a:close/>
                              </a:path>
                              <a:path w="655320" h="24765">
                                <a:moveTo>
                                  <a:pt x="655193" y="0"/>
                                </a:moveTo>
                                <a:lnTo>
                                  <a:pt x="0" y="0"/>
                                </a:lnTo>
                                <a:lnTo>
                                  <a:pt x="0" y="8089"/>
                                </a:lnTo>
                                <a:lnTo>
                                  <a:pt x="655193" y="8089"/>
                                </a:lnTo>
                                <a:lnTo>
                                  <a:pt x="655193" y="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723954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12" name="Graphic 712"/>
                        <wps:cNvSpPr/>
                        <wps:spPr>
                          <a:xfrm>
                            <a:off x="7239537" y="105157"/>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713" name="Textbox 713"/>
                        <wps:cNvSpPr txBox="1"/>
                        <wps:spPr>
                          <a:xfrm>
                            <a:off x="0" y="4044"/>
                            <a:ext cx="7312659" cy="109220"/>
                          </a:xfrm>
                          <a:prstGeom prst="rect">
                            <a:avLst/>
                          </a:prstGeom>
                        </wps:spPr>
                        <wps:txbx>
                          <w:txbxContent>
                            <w:p>
                              <w:pPr>
                                <w:tabs>
                                  <w:tab w:pos="7502" w:val="left" w:leader="none"/>
                                  <w:tab w:pos="8439" w:val="left" w:leader="none"/>
                                  <w:tab w:pos="8878" w:val="left" w:leader="none"/>
                                  <w:tab w:pos="9768" w:val="left" w:leader="none"/>
                                  <w:tab w:pos="11400" w:val="right" w:leader="none"/>
                                </w:tabs>
                                <w:spacing w:before="3"/>
                                <w:ind w:left="0" w:right="0" w:firstLine="0"/>
                                <w:jc w:val="left"/>
                                <w:rPr>
                                  <w:sz w:val="14"/>
                                </w:rPr>
                              </w:pPr>
                              <w:r>
                                <w:rPr>
                                  <w:sz w:val="14"/>
                                </w:rPr>
                                <w:t>Total </w:t>
                              </w:r>
                              <w:r>
                                <w:rPr>
                                  <w:spacing w:val="-2"/>
                                  <w:sz w:val="14"/>
                                </w:rPr>
                                <w:t>undesignated</w:t>
                              </w:r>
                              <w:r>
                                <w:rPr>
                                  <w:sz w:val="14"/>
                                </w:rPr>
                                <w:tab/>
                              </w:r>
                              <w:r>
                                <w:rPr>
                                  <w:b/>
                                  <w:spacing w:val="-10"/>
                                  <w:sz w:val="14"/>
                                </w:rPr>
                                <w:t>$</w:t>
                              </w:r>
                              <w:r>
                                <w:rPr>
                                  <w:b/>
                                  <w:sz w:val="14"/>
                                </w:rPr>
                                <w:tab/>
                              </w:r>
                              <w:r>
                                <w:rPr>
                                  <w:b/>
                                  <w:spacing w:val="-5"/>
                                  <w:sz w:val="14"/>
                                </w:rPr>
                                <w:t>392</w:t>
                              </w:r>
                              <w:r>
                                <w:rPr>
                                  <w:b/>
                                  <w:sz w:val="14"/>
                                </w:rPr>
                                <w:tab/>
                              </w:r>
                              <w:r>
                                <w:rPr>
                                  <w:spacing w:val="-10"/>
                                  <w:sz w:val="14"/>
                                </w:rPr>
                                <w:t>$</w:t>
                              </w:r>
                              <w:r>
                                <w:rPr>
                                  <w:sz w:val="14"/>
                                </w:rPr>
                                <w:tab/>
                                <w:t>(131)</w:t>
                              </w:r>
                              <w:r>
                                <w:rPr>
                                  <w:spacing w:val="54"/>
                                  <w:sz w:val="14"/>
                                </w:rPr>
                                <w:t>  </w:t>
                              </w:r>
                              <w:r>
                                <w:rPr>
                                  <w:spacing w:val="-12"/>
                                  <w:sz w:val="14"/>
                                </w:rPr>
                                <w:t>$</w:t>
                              </w:r>
                              <w:r>
                                <w:rPr>
                                  <w:sz w:val="14"/>
                                </w:rPr>
                                <w:tab/>
                              </w:r>
                              <w:r>
                                <w:rPr>
                                  <w:spacing w:val="-5"/>
                                  <w:sz w:val="14"/>
                                </w:rPr>
                                <w:t>269</w:t>
                              </w:r>
                            </w:p>
                          </w:txbxContent>
                        </wps:txbx>
                        <wps:bodyPr wrap="square" lIns="0" tIns="0" rIns="0" bIns="0" rtlCol="0">
                          <a:noAutofit/>
                        </wps:bodyPr>
                      </wps:wsp>
                    </wpg:wgp>
                  </a:graphicData>
                </a:graphic>
              </wp:anchor>
            </w:drawing>
          </mc:Choice>
          <mc:Fallback>
            <w:pict>
              <v:group style="position:absolute;margin-left:17.833740pt;margin-top:15.677286pt;width:575.8pt;height:10.2pt;mso-position-horizontal-relative:page;mso-position-vertical-relative:paragraph;z-index:15875584" id="docshapegroup682" coordorigin="357,314" coordsize="11516,204">
                <v:shape style="position:absolute;left:7859;top:313;width:2637;height:13" id="docshape683" coordorigin="7860,314" coordsize="2637,13" path="m9121,314l9006,314,7974,314,7860,314,7860,326,7974,326,9006,326,9121,326,9121,314xm10496,314l10382,314,9350,314,9235,314,9235,326,9350,326,10382,326,10496,326,10496,314xe" filled="true" fillcolor="#000000" stroked="false">
                  <v:path arrowok="t"/>
                  <v:fill type="solid"/>
                </v:shape>
                <v:rect style="position:absolute;left:356;top:326;width:4153;height:192" id="docshape684" filled="true" fillcolor="#ccedff" stroked="false">
                  <v:fill type="solid"/>
                </v:rect>
                <v:shape style="position:absolute;left:356;top:479;width:4153;height:39" id="docshape685" coordorigin="357,479" coordsize="4153,39" path="m4509,505l357,505,357,517,4509,517,4509,505xm4509,479l357,479,357,492,4509,492,4509,479xe" filled="true" fillcolor="#000000" stroked="false">
                  <v:path arrowok="t"/>
                  <v:fill type="solid"/>
                </v:shape>
                <v:rect style="position:absolute;left:4509;top:326;width:3236;height:192" id="docshape686" filled="true" fillcolor="#ccedff" stroked="false">
                  <v:fill type="solid"/>
                </v:rect>
                <v:shape style="position:absolute;left:4509;top:479;width:3236;height:39" id="docshape687" coordorigin="4509,479" coordsize="3236,39" path="m7745,505l4509,505,4509,517,7745,517,7745,505xm7745,479l4509,479,4509,492,7745,492,7745,479xe" filled="true" fillcolor="#000000" stroked="false">
                  <v:path arrowok="t"/>
                  <v:fill type="solid"/>
                </v:shape>
                <v:rect style="position:absolute;left:7744;top:326;width:115;height:192" id="docshape688" filled="true" fillcolor="#ccedff" stroked="false">
                  <v:fill type="solid"/>
                </v:rect>
                <v:shape style="position:absolute;left:7744;top:479;width:115;height:39" id="docshape689" coordorigin="7745,479" coordsize="115,39" path="m7860,505l7745,505,7745,517,7860,517,7860,505xm7860,479l7745,479,7745,492,7860,492,7860,479xe" filled="true" fillcolor="#000000" stroked="false">
                  <v:path arrowok="t"/>
                  <v:fill type="solid"/>
                </v:shape>
                <v:rect style="position:absolute;left:7859;top:326;width:115;height:192" id="docshape690" filled="true" fillcolor="#ccedff" stroked="false">
                  <v:fill type="solid"/>
                </v:rect>
                <v:shape style="position:absolute;left:7859;top:479;width:115;height:39" id="docshape691" coordorigin="7860,479" coordsize="115,39" path="m7974,505l7860,505,7860,517,7974,517,7974,505xm7974,479l7860,479,7860,492,7974,492,7974,479xe" filled="true" fillcolor="#000000" stroked="false">
                  <v:path arrowok="t"/>
                  <v:fill type="solid"/>
                </v:shape>
                <v:rect style="position:absolute;left:7974;top:326;width:1032;height:192" id="docshape692" filled="true" fillcolor="#ccedff" stroked="false">
                  <v:fill type="solid"/>
                </v:rect>
                <v:shape style="position:absolute;left:7974;top:479;width:1032;height:39" id="docshape693" coordorigin="7974,479" coordsize="1032,39" path="m9006,505l7974,505,7974,517,9006,517,9006,505xm9006,479l7974,479,7974,492,9006,492,9006,479xe" filled="true" fillcolor="#000000" stroked="false">
                  <v:path arrowok="t"/>
                  <v:fill type="solid"/>
                </v:shape>
                <v:rect style="position:absolute;left:9006;top:326;width:115;height:192" id="docshape694" filled="true" fillcolor="#ccedff" stroked="false">
                  <v:fill type="solid"/>
                </v:rect>
                <v:shape style="position:absolute;left:9006;top:479;width:115;height:39" id="docshape695" coordorigin="9006,479" coordsize="115,39" path="m9121,505l9006,505,9006,517,9121,517,9121,505xm9121,479l9006,479,9006,492,9121,492,9121,479xe" filled="true" fillcolor="#000000" stroked="false">
                  <v:path arrowok="t"/>
                  <v:fill type="solid"/>
                </v:shape>
                <v:rect style="position:absolute;left:9120;top:326;width:115;height:192" id="docshape696" filled="true" fillcolor="#ccedff" stroked="false">
                  <v:fill type="solid"/>
                </v:rect>
                <v:shape style="position:absolute;left:9120;top:479;width:115;height:39" id="docshape697" coordorigin="9121,479" coordsize="115,39" path="m9235,505l9121,505,9121,517,9235,517,9235,505xm9235,479l9121,479,9121,492,9235,492,9235,479xe" filled="true" fillcolor="#000000" stroked="false">
                  <v:path arrowok="t"/>
                  <v:fill type="solid"/>
                </v:shape>
                <v:rect style="position:absolute;left:9235;top:326;width:115;height:192" id="docshape698" filled="true" fillcolor="#ccedff" stroked="false">
                  <v:fill type="solid"/>
                </v:rect>
                <v:shape style="position:absolute;left:9235;top:479;width:115;height:39" id="docshape699" coordorigin="9235,479" coordsize="115,39" path="m9350,505l9235,505,9235,517,9350,517,9350,505xm9350,479l9235,479,9235,492,9350,492,9350,479xe" filled="true" fillcolor="#000000" stroked="false">
                  <v:path arrowok="t"/>
                  <v:fill type="solid"/>
                </v:shape>
                <v:rect style="position:absolute;left:9349;top:326;width:1032;height:192" id="docshape700" filled="true" fillcolor="#ccedff" stroked="false">
                  <v:fill type="solid"/>
                </v:rect>
                <v:shape style="position:absolute;left:9349;top:479;width:1032;height:39" id="docshape701" coordorigin="9350,479" coordsize="1032,39" path="m10382,505l9350,505,9350,517,10382,517,10382,505xm10382,479l9350,479,9350,492,10382,492,10382,479xe" filled="true" fillcolor="#000000" stroked="false">
                  <v:path arrowok="t"/>
                  <v:fill type="solid"/>
                </v:shape>
                <v:rect style="position:absolute;left:10381;top:326;width:115;height:192" id="docshape702" filled="true" fillcolor="#ccedff" stroked="false">
                  <v:fill type="solid"/>
                </v:rect>
                <v:shape style="position:absolute;left:10381;top:479;width:115;height:39" id="docshape703" coordorigin="10382,479" coordsize="115,39" path="m10496,505l10382,505,10382,517,10496,517,10496,505xm10496,479l10382,479,10382,492,10496,492,10496,479xe" filled="true" fillcolor="#000000" stroked="false">
                  <v:path arrowok="t"/>
                  <v:fill type="solid"/>
                </v:shape>
                <v:rect style="position:absolute;left:10496;top:326;width:115;height:192" id="docshape704" filled="true" fillcolor="#ccedff" stroked="false">
                  <v:fill type="solid"/>
                </v:rect>
                <v:shape style="position:absolute;left:10496;top:479;width:115;height:39" id="docshape705" coordorigin="10496,479" coordsize="115,39" path="m10611,505l10496,505,10496,517,10611,517,10611,505xm10611,479l10496,479,10496,492,10611,492,10611,479xe" filled="true" fillcolor="#000000" stroked="false">
                  <v:path arrowok="t"/>
                  <v:fill type="solid"/>
                </v:shape>
                <v:rect style="position:absolute;left:10611;top:326;width:115;height:192" id="docshape706" filled="true" fillcolor="#ccedff" stroked="false">
                  <v:fill type="solid"/>
                </v:rect>
                <v:shape style="position:absolute;left:10611;top:479;width:115;height:39" id="docshape707" coordorigin="10611,479" coordsize="115,39" path="m10726,505l10611,505,10611,517,10726,517,10726,505xm10726,479l10611,479,10611,492,10726,492,10726,479xe" filled="true" fillcolor="#000000" stroked="false">
                  <v:path arrowok="t"/>
                  <v:fill type="solid"/>
                </v:shape>
                <v:rect style="position:absolute;left:10725;top:326;width:1032;height:192" id="docshape708" filled="true" fillcolor="#ccedff" stroked="false">
                  <v:fill type="solid"/>
                </v:rect>
                <v:shape style="position:absolute;left:10725;top:479;width:1032;height:39" id="docshape709" coordorigin="10726,479" coordsize="1032,39" path="m11758,505l10726,505,10726,517,11758,517,11758,505xm11758,479l10726,479,10726,492,11758,492,11758,479xe" filled="true" fillcolor="#000000" stroked="false">
                  <v:path arrowok="t"/>
                  <v:fill type="solid"/>
                </v:shape>
                <v:rect style="position:absolute;left:11757;top:326;width:115;height:192" id="docshape710" filled="true" fillcolor="#ccedff" stroked="false">
                  <v:fill type="solid"/>
                </v:rect>
                <v:shape style="position:absolute;left:11757;top:479;width:115;height:39" id="docshape711" coordorigin="11758,479" coordsize="115,39" path="m11872,505l11758,505,11758,517,11872,517,11872,505xm11872,479l11758,479,11758,492,11872,492,11872,479xe" filled="true" fillcolor="#000000" stroked="false">
                  <v:path arrowok="t"/>
                  <v:fill type="solid"/>
                </v:shape>
                <v:shape style="position:absolute;left:356;top:319;width:11516;height:172" type="#_x0000_t202" id="docshape712" filled="false" stroked="false">
                  <v:textbox inset="0,0,0,0">
                    <w:txbxContent>
                      <w:p>
                        <w:pPr>
                          <w:tabs>
                            <w:tab w:pos="7502" w:val="left" w:leader="none"/>
                            <w:tab w:pos="8439" w:val="left" w:leader="none"/>
                            <w:tab w:pos="8878" w:val="left" w:leader="none"/>
                            <w:tab w:pos="9768" w:val="left" w:leader="none"/>
                            <w:tab w:pos="11400" w:val="right" w:leader="none"/>
                          </w:tabs>
                          <w:spacing w:before="3"/>
                          <w:ind w:left="0" w:right="0" w:firstLine="0"/>
                          <w:jc w:val="left"/>
                          <w:rPr>
                            <w:sz w:val="14"/>
                          </w:rPr>
                        </w:pPr>
                        <w:r>
                          <w:rPr>
                            <w:sz w:val="14"/>
                          </w:rPr>
                          <w:t>Total </w:t>
                        </w:r>
                        <w:r>
                          <w:rPr>
                            <w:spacing w:val="-2"/>
                            <w:sz w:val="14"/>
                          </w:rPr>
                          <w:t>undesignated</w:t>
                        </w:r>
                        <w:r>
                          <w:rPr>
                            <w:sz w:val="14"/>
                          </w:rPr>
                          <w:tab/>
                        </w:r>
                        <w:r>
                          <w:rPr>
                            <w:b/>
                            <w:spacing w:val="-10"/>
                            <w:sz w:val="14"/>
                          </w:rPr>
                          <w:t>$</w:t>
                        </w:r>
                        <w:r>
                          <w:rPr>
                            <w:b/>
                            <w:sz w:val="14"/>
                          </w:rPr>
                          <w:tab/>
                        </w:r>
                        <w:r>
                          <w:rPr>
                            <w:b/>
                            <w:spacing w:val="-5"/>
                            <w:sz w:val="14"/>
                          </w:rPr>
                          <w:t>392</w:t>
                        </w:r>
                        <w:r>
                          <w:rPr>
                            <w:b/>
                            <w:sz w:val="14"/>
                          </w:rPr>
                          <w:tab/>
                        </w:r>
                        <w:r>
                          <w:rPr>
                            <w:spacing w:val="-10"/>
                            <w:sz w:val="14"/>
                          </w:rPr>
                          <w:t>$</w:t>
                        </w:r>
                        <w:r>
                          <w:rPr>
                            <w:sz w:val="14"/>
                          </w:rPr>
                          <w:tab/>
                          <w:t>(131)</w:t>
                        </w:r>
                        <w:r>
                          <w:rPr>
                            <w:spacing w:val="54"/>
                            <w:sz w:val="14"/>
                          </w:rPr>
                          <w:t>  </w:t>
                        </w:r>
                        <w:r>
                          <w:rPr>
                            <w:spacing w:val="-12"/>
                            <w:sz w:val="14"/>
                          </w:rPr>
                          <w:t>$</w:t>
                        </w:r>
                        <w:r>
                          <w:rPr>
                            <w:sz w:val="14"/>
                          </w:rPr>
                          <w:tab/>
                        </w:r>
                        <w:r>
                          <w:rPr>
                            <w:spacing w:val="-5"/>
                            <w:sz w:val="14"/>
                          </w:rPr>
                          <w:t>269</w:t>
                        </w:r>
                      </w:p>
                    </w:txbxContent>
                  </v:textbox>
                  <w10:wrap type="none"/>
                </v:shape>
                <w10:wrap type="none"/>
              </v:group>
            </w:pict>
          </mc:Fallback>
        </mc:AlternateContent>
      </w:r>
      <w:r>
        <w:rPr>
          <w:sz w:val="14"/>
        </w:rPr>
        <w:t>Translated</w:t>
      </w:r>
      <w:r>
        <w:rPr>
          <w:spacing w:val="-4"/>
          <w:sz w:val="14"/>
        </w:rPr>
        <w:t> </w:t>
      </w:r>
      <w:r>
        <w:rPr>
          <w:sz w:val="14"/>
        </w:rPr>
        <w:t>earnings</w:t>
      </w:r>
      <w:r>
        <w:rPr>
          <w:spacing w:val="-3"/>
          <w:sz w:val="14"/>
        </w:rPr>
        <w:t> </w:t>
      </w:r>
      <w:r>
        <w:rPr>
          <w:spacing w:val="-2"/>
          <w:sz w:val="14"/>
        </w:rPr>
        <w:t>contracts</w:t>
      </w:r>
      <w:r>
        <w:rPr>
          <w:sz w:val="14"/>
        </w:rPr>
        <w:tab/>
        <w:t>Translated</w:t>
      </w:r>
      <w:r>
        <w:rPr>
          <w:spacing w:val="-4"/>
          <w:sz w:val="14"/>
        </w:rPr>
        <w:t> </w:t>
      </w:r>
      <w:r>
        <w:rPr>
          <w:sz w:val="14"/>
        </w:rPr>
        <w:t>earnings</w:t>
      </w:r>
      <w:r>
        <w:rPr>
          <w:spacing w:val="-1"/>
          <w:sz w:val="14"/>
        </w:rPr>
        <w:t> </w:t>
      </w:r>
      <w:r>
        <w:rPr>
          <w:sz w:val="14"/>
        </w:rPr>
        <w:t>contract</w:t>
      </w:r>
      <w:r>
        <w:rPr>
          <w:spacing w:val="-2"/>
          <w:sz w:val="14"/>
        </w:rPr>
        <w:t> </w:t>
      </w:r>
      <w:r>
        <w:rPr>
          <w:sz w:val="14"/>
        </w:rPr>
        <w:t>gain</w:t>
      </w:r>
      <w:r>
        <w:rPr>
          <w:spacing w:val="-1"/>
          <w:sz w:val="14"/>
        </w:rPr>
        <w:t> </w:t>
      </w:r>
      <w:r>
        <w:rPr>
          <w:sz w:val="14"/>
        </w:rPr>
        <w:t>(loss),</w:t>
      </w:r>
      <w:r>
        <w:rPr>
          <w:spacing w:val="-1"/>
          <w:sz w:val="14"/>
        </w:rPr>
        <w:t> </w:t>
      </w:r>
      <w:r>
        <w:rPr>
          <w:spacing w:val="-5"/>
          <w:sz w:val="14"/>
        </w:rPr>
        <w:t>net</w:t>
      </w:r>
      <w:r>
        <w:rPr>
          <w:sz w:val="14"/>
        </w:rPr>
        <w:tab/>
      </w:r>
      <w:r>
        <w:rPr>
          <w:b/>
          <w:spacing w:val="-5"/>
          <w:position w:val="1"/>
          <w:sz w:val="14"/>
        </w:rPr>
        <w:t>354</w:t>
      </w:r>
      <w:r>
        <w:rPr>
          <w:b/>
          <w:position w:val="1"/>
          <w:sz w:val="14"/>
        </w:rPr>
        <w:tab/>
      </w:r>
      <w:r>
        <w:rPr>
          <w:position w:val="1"/>
          <w:sz w:val="14"/>
        </w:rPr>
        <w:t>(38)</w:t>
      </w:r>
      <w:r>
        <w:rPr>
          <w:spacing w:val="147"/>
          <w:position w:val="1"/>
          <w:sz w:val="14"/>
        </w:rPr>
        <w:t> </w:t>
      </w:r>
      <w:r>
        <w:rPr>
          <w:position w:val="1"/>
          <w:sz w:val="14"/>
          <w:u w:val="single"/>
        </w:rPr>
        <w:tab/>
      </w:r>
      <w:r>
        <w:rPr>
          <w:spacing w:val="-5"/>
          <w:position w:val="1"/>
          <w:sz w:val="14"/>
          <w:u w:val="single"/>
        </w:rPr>
        <w:t>248</w:t>
      </w:r>
      <w:r>
        <w:rPr>
          <w:spacing w:val="40"/>
          <w:position w:val="1"/>
          <w:sz w:val="14"/>
          <w:u w:val="single"/>
        </w:rPr>
        <w:t> </w:t>
      </w:r>
    </w:p>
    <w:p>
      <w:pPr>
        <w:spacing w:line="228" w:lineRule="auto" w:before="393"/>
        <w:ind w:left="462" w:right="328" w:hanging="306"/>
        <w:jc w:val="left"/>
        <w:rPr>
          <w:sz w:val="14"/>
        </w:rPr>
      </w:pPr>
      <w:r>
        <w:rPr>
          <w:sz w:val="14"/>
        </w:rPr>
        <w:t>(1)</w:t>
      </w:r>
      <w:r>
        <w:rPr>
          <w:spacing w:val="80"/>
          <w:sz w:val="14"/>
        </w:rPr>
        <w:t> </w:t>
      </w:r>
      <w:r>
        <w:rPr>
          <w:sz w:val="14"/>
        </w:rPr>
        <w:t>A</w:t>
      </w:r>
      <w:r>
        <w:rPr>
          <w:spacing w:val="-1"/>
          <w:sz w:val="14"/>
        </w:rPr>
        <w:t> </w:t>
      </w:r>
      <w:r>
        <w:rPr>
          <w:sz w:val="14"/>
        </w:rPr>
        <w:t>loss</w:t>
      </w:r>
      <w:r>
        <w:rPr>
          <w:spacing w:val="-1"/>
          <w:sz w:val="14"/>
        </w:rPr>
        <w:t> </w:t>
      </w:r>
      <w:r>
        <w:rPr>
          <w:sz w:val="14"/>
        </w:rPr>
        <w:t>of</w:t>
      </w:r>
      <w:r>
        <w:rPr>
          <w:spacing w:val="-1"/>
          <w:sz w:val="14"/>
        </w:rPr>
        <w:t> </w:t>
      </w:r>
      <w:r>
        <w:rPr>
          <w:sz w:val="14"/>
        </w:rPr>
        <w:t>$14</w:t>
      </w:r>
      <w:r>
        <w:rPr>
          <w:spacing w:val="-1"/>
          <w:sz w:val="14"/>
        </w:rPr>
        <w:t> </w:t>
      </w:r>
      <w:r>
        <w:rPr>
          <w:sz w:val="14"/>
        </w:rPr>
        <w:t>million</w:t>
      </w:r>
      <w:r>
        <w:rPr>
          <w:spacing w:val="-1"/>
          <w:sz w:val="14"/>
        </w:rPr>
        <w:t> </w:t>
      </w:r>
      <w:r>
        <w:rPr>
          <w:sz w:val="14"/>
        </w:rPr>
        <w:t>was</w:t>
      </w:r>
      <w:r>
        <w:rPr>
          <w:spacing w:val="-1"/>
          <w:sz w:val="14"/>
        </w:rPr>
        <w:t> </w:t>
      </w:r>
      <w:r>
        <w:rPr>
          <w:sz w:val="14"/>
        </w:rPr>
        <w:t>reclassified</w:t>
      </w:r>
      <w:r>
        <w:rPr>
          <w:spacing w:val="-1"/>
          <w:sz w:val="14"/>
        </w:rPr>
        <w:t> </w:t>
      </w:r>
      <w:r>
        <w:rPr>
          <w:sz w:val="14"/>
        </w:rPr>
        <w:t>from</w:t>
      </w:r>
      <w:r>
        <w:rPr>
          <w:spacing w:val="-1"/>
          <w:sz w:val="14"/>
        </w:rPr>
        <w:t> </w:t>
      </w:r>
      <w:r>
        <w:rPr>
          <w:sz w:val="14"/>
        </w:rPr>
        <w:t>accumulated</w:t>
      </w:r>
      <w:r>
        <w:rPr>
          <w:spacing w:val="-1"/>
          <w:sz w:val="14"/>
        </w:rPr>
        <w:t> </w:t>
      </w:r>
      <w:r>
        <w:rPr>
          <w:sz w:val="14"/>
        </w:rPr>
        <w:t>other</w:t>
      </w:r>
      <w:r>
        <w:rPr>
          <w:spacing w:val="-1"/>
          <w:sz w:val="14"/>
        </w:rPr>
        <w:t> </w:t>
      </w:r>
      <w:r>
        <w:rPr>
          <w:sz w:val="14"/>
        </w:rPr>
        <w:t>comprehensive</w:t>
      </w:r>
      <w:r>
        <w:rPr>
          <w:spacing w:val="-1"/>
          <w:sz w:val="14"/>
        </w:rPr>
        <w:t> </w:t>
      </w:r>
      <w:r>
        <w:rPr>
          <w:sz w:val="14"/>
        </w:rPr>
        <w:t>loss</w:t>
      </w:r>
      <w:r>
        <w:rPr>
          <w:spacing w:val="-1"/>
          <w:sz w:val="14"/>
        </w:rPr>
        <w:t> </w:t>
      </w:r>
      <w:r>
        <w:rPr>
          <w:sz w:val="14"/>
        </w:rPr>
        <w:t>into</w:t>
      </w:r>
      <w:r>
        <w:rPr>
          <w:spacing w:val="-1"/>
          <w:sz w:val="14"/>
        </w:rPr>
        <w:t> </w:t>
      </w:r>
      <w:r>
        <w:rPr>
          <w:sz w:val="14"/>
        </w:rPr>
        <w:t>other</w:t>
      </w:r>
      <w:r>
        <w:rPr>
          <w:spacing w:val="-1"/>
          <w:sz w:val="14"/>
        </w:rPr>
        <w:t> </w:t>
      </w:r>
      <w:r>
        <w:rPr>
          <w:sz w:val="14"/>
        </w:rPr>
        <w:t>expense,</w:t>
      </w:r>
      <w:r>
        <w:rPr>
          <w:spacing w:val="-1"/>
          <w:sz w:val="14"/>
        </w:rPr>
        <w:t> </w:t>
      </w:r>
      <w:r>
        <w:rPr>
          <w:sz w:val="14"/>
        </w:rPr>
        <w:t>net,</w:t>
      </w:r>
      <w:r>
        <w:rPr>
          <w:spacing w:val="-1"/>
          <w:sz w:val="14"/>
        </w:rPr>
        <w:t> </w:t>
      </w:r>
      <w:r>
        <w:rPr>
          <w:sz w:val="14"/>
        </w:rPr>
        <w:t>resulting</w:t>
      </w:r>
      <w:r>
        <w:rPr>
          <w:spacing w:val="-1"/>
          <w:sz w:val="14"/>
        </w:rPr>
        <w:t> </w:t>
      </w:r>
      <w:r>
        <w:rPr>
          <w:sz w:val="14"/>
        </w:rPr>
        <w:t>from</w:t>
      </w:r>
      <w:r>
        <w:rPr>
          <w:spacing w:val="-1"/>
          <w:sz w:val="14"/>
        </w:rPr>
        <w:t> </w:t>
      </w:r>
      <w:r>
        <w:rPr>
          <w:sz w:val="14"/>
        </w:rPr>
        <w:t>the</w:t>
      </w:r>
      <w:r>
        <w:rPr>
          <w:spacing w:val="-1"/>
          <w:sz w:val="14"/>
        </w:rPr>
        <w:t> </w:t>
      </w:r>
      <w:r>
        <w:rPr>
          <w:sz w:val="14"/>
        </w:rPr>
        <w:t>de-designation</w:t>
      </w:r>
      <w:r>
        <w:rPr>
          <w:spacing w:val="-1"/>
          <w:sz w:val="14"/>
        </w:rPr>
        <w:t> </w:t>
      </w:r>
      <w:r>
        <w:rPr>
          <w:sz w:val="14"/>
        </w:rPr>
        <w:t>of</w:t>
      </w:r>
      <w:r>
        <w:rPr>
          <w:spacing w:val="-1"/>
          <w:sz w:val="14"/>
        </w:rPr>
        <w:t> </w:t>
      </w:r>
      <w:r>
        <w:rPr>
          <w:sz w:val="14"/>
        </w:rPr>
        <w:t>certain</w:t>
      </w:r>
      <w:r>
        <w:rPr>
          <w:spacing w:val="-1"/>
          <w:sz w:val="14"/>
        </w:rPr>
        <w:t> </w:t>
      </w:r>
      <w:r>
        <w:rPr>
          <w:sz w:val="14"/>
        </w:rPr>
        <w:t>cash</w:t>
      </w:r>
      <w:r>
        <w:rPr>
          <w:spacing w:val="-1"/>
          <w:sz w:val="14"/>
        </w:rPr>
        <w:t> </w:t>
      </w:r>
      <w:r>
        <w:rPr>
          <w:sz w:val="14"/>
        </w:rPr>
        <w:t>flow</w:t>
      </w:r>
      <w:r>
        <w:rPr>
          <w:spacing w:val="-1"/>
          <w:sz w:val="14"/>
        </w:rPr>
        <w:t> </w:t>
      </w:r>
      <w:r>
        <w:rPr>
          <w:sz w:val="14"/>
        </w:rPr>
        <w:t>hedges</w:t>
      </w:r>
      <w:r>
        <w:rPr>
          <w:spacing w:val="-1"/>
          <w:sz w:val="14"/>
        </w:rPr>
        <w:t> </w:t>
      </w:r>
      <w:r>
        <w:rPr>
          <w:sz w:val="14"/>
        </w:rPr>
        <w:t>during</w:t>
      </w:r>
      <w:r>
        <w:rPr>
          <w:spacing w:val="-1"/>
          <w:sz w:val="14"/>
        </w:rPr>
        <w:t> </w:t>
      </w:r>
      <w:r>
        <w:rPr>
          <w:sz w:val="14"/>
        </w:rPr>
        <w:t>the</w:t>
      </w:r>
      <w:r>
        <w:rPr>
          <w:spacing w:val="-1"/>
          <w:sz w:val="14"/>
        </w:rPr>
        <w:t> </w:t>
      </w:r>
      <w:r>
        <w:rPr>
          <w:sz w:val="14"/>
        </w:rPr>
        <w:t>year</w:t>
      </w:r>
      <w:r>
        <w:rPr>
          <w:spacing w:val="-1"/>
          <w:sz w:val="14"/>
        </w:rPr>
        <w:t> </w:t>
      </w:r>
      <w:r>
        <w:rPr>
          <w:sz w:val="14"/>
        </w:rPr>
        <w:t>ended</w:t>
      </w:r>
      <w:r>
        <w:rPr>
          <w:spacing w:val="40"/>
          <w:sz w:val="14"/>
        </w:rPr>
        <w:t> </w:t>
      </w:r>
      <w:r>
        <w:rPr>
          <w:sz w:val="14"/>
        </w:rPr>
        <w:t>December 31, 2020.</w:t>
      </w:r>
    </w:p>
    <w:p>
      <w:pPr>
        <w:pStyle w:val="BodyText"/>
        <w:spacing w:before="204"/>
        <w:ind w:left="48"/>
        <w:jc w:val="center"/>
      </w:pPr>
      <w:r>
        <w:rPr>
          <w:spacing w:val="-5"/>
          <w:w w:val="105"/>
        </w:rPr>
        <w:t>104</w:t>
      </w:r>
    </w:p>
    <w:p>
      <w:pPr>
        <w:pStyle w:val="BodyText"/>
        <w:rPr>
          <w:sz w:val="6"/>
        </w:rPr>
      </w:pPr>
      <w:r>
        <w:rPr/>
        <mc:AlternateContent>
          <mc:Choice Requires="wps">
            <w:drawing>
              <wp:anchor distT="0" distB="0" distL="0" distR="0" allowOverlap="1" layoutInCell="1" locked="0" behindDoc="1" simplePos="0" relativeHeight="487731200">
                <wp:simplePos x="0" y="0"/>
                <wp:positionH relativeFrom="page">
                  <wp:posOffset>226488</wp:posOffset>
                </wp:positionH>
                <wp:positionV relativeFrom="paragraph">
                  <wp:posOffset>59124</wp:posOffset>
                </wp:positionV>
                <wp:extent cx="7312659" cy="16510"/>
                <wp:effectExtent l="0" t="0" r="0" b="0"/>
                <wp:wrapTopAndBottom/>
                <wp:docPr id="714" name="Graphic 714"/>
                <wp:cNvGraphicFramePr>
                  <a:graphicFrameLocks/>
                </wp:cNvGraphicFramePr>
                <a:graphic>
                  <a:graphicData uri="http://schemas.microsoft.com/office/word/2010/wordprocessingShape">
                    <wps:wsp>
                      <wps:cNvPr id="714" name="Graphic 71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5464pt;width:575.775087pt;height:1.273839pt;mso-position-horizontal-relative:page;mso-position-vertical-relative:paragraph;z-index:-15585280;mso-wrap-distance-left:0;mso-wrap-distance-right:0" id="docshape713" filled="true" fillcolor="#000000" stroked="false">
                <v:fill type="solid"/>
                <w10:wrap type="topAndBottom"/>
              </v:rect>
            </w:pict>
          </mc:Fallback>
        </mc:AlternateContent>
      </w:r>
    </w:p>
    <w:p>
      <w:pPr>
        <w:spacing w:after="0"/>
        <w:rPr>
          <w:sz w:val="6"/>
        </w:rPr>
        <w:sectPr>
          <w:type w:val="continuous"/>
          <w:pgSz w:w="12240" w:h="15840"/>
          <w:pgMar w:header="428" w:footer="0" w:top="700" w:bottom="280" w:left="200" w:right="260"/>
        </w:sectPr>
      </w:pPr>
    </w:p>
    <w:p>
      <w:pPr>
        <w:pStyle w:val="BodyText"/>
      </w:pPr>
    </w:p>
    <w:p>
      <w:pPr>
        <w:pStyle w:val="BodyText"/>
        <w:spacing w:before="58"/>
      </w:pPr>
    </w:p>
    <w:p>
      <w:pPr>
        <w:pStyle w:val="Heading2"/>
        <w:numPr>
          <w:ilvl w:val="0"/>
          <w:numId w:val="53"/>
        </w:numPr>
        <w:tabs>
          <w:tab w:pos="445" w:val="left" w:leader="none"/>
        </w:tabs>
        <w:spacing w:line="240" w:lineRule="auto" w:before="0" w:after="0"/>
        <w:ind w:left="445" w:right="0" w:hanging="289"/>
        <w:jc w:val="left"/>
      </w:pPr>
      <w:bookmarkStart w:name="_bookmark24" w:id="25"/>
      <w:bookmarkEnd w:id="25"/>
      <w:r>
        <w:rPr>
          <w:b w:val="0"/>
        </w:rPr>
      </w:r>
      <w:r>
        <w:rPr>
          <w:w w:val="105"/>
        </w:rPr>
        <w:t>Fair</w:t>
      </w:r>
      <w:r>
        <w:rPr>
          <w:spacing w:val="-8"/>
          <w:w w:val="105"/>
        </w:rPr>
        <w:t> </w:t>
      </w:r>
      <w:r>
        <w:rPr>
          <w:w w:val="105"/>
        </w:rPr>
        <w:t>Value</w:t>
      </w:r>
      <w:r>
        <w:rPr>
          <w:spacing w:val="-8"/>
          <w:w w:val="105"/>
        </w:rPr>
        <w:t> </w:t>
      </w:r>
      <w:r>
        <w:rPr>
          <w:spacing w:val="-2"/>
          <w:w w:val="105"/>
        </w:rPr>
        <w:t>Measurements</w:t>
      </w:r>
    </w:p>
    <w:p>
      <w:pPr>
        <w:pStyle w:val="BodyText"/>
        <w:spacing w:before="39"/>
        <w:rPr>
          <w:b/>
        </w:rPr>
      </w:pPr>
    </w:p>
    <w:p>
      <w:pPr>
        <w:pStyle w:val="BodyText"/>
        <w:spacing w:line="266" w:lineRule="auto" w:before="1"/>
        <w:ind w:left="156" w:right="117"/>
      </w:pPr>
      <w:r>
        <w:rPr>
          <w:w w:val="105"/>
        </w:rPr>
        <w:t>Fair</w:t>
      </w:r>
      <w:r>
        <w:rPr>
          <w:spacing w:val="-6"/>
          <w:w w:val="105"/>
        </w:rPr>
        <w:t> </w:t>
      </w:r>
      <w:r>
        <w:rPr>
          <w:w w:val="105"/>
        </w:rPr>
        <w:t>value</w:t>
      </w:r>
      <w:r>
        <w:rPr>
          <w:spacing w:val="-6"/>
          <w:w w:val="105"/>
        </w:rPr>
        <w:t> </w:t>
      </w:r>
      <w:r>
        <w:rPr>
          <w:w w:val="105"/>
        </w:rPr>
        <w:t>standards</w:t>
      </w:r>
      <w:r>
        <w:rPr>
          <w:spacing w:val="-6"/>
          <w:w w:val="105"/>
        </w:rPr>
        <w:t> </w:t>
      </w:r>
      <w:r>
        <w:rPr>
          <w:w w:val="105"/>
        </w:rPr>
        <w:t>under</w:t>
      </w:r>
      <w:r>
        <w:rPr>
          <w:spacing w:val="-6"/>
          <w:w w:val="105"/>
        </w:rPr>
        <w:t> </w:t>
      </w:r>
      <w:r>
        <w:rPr>
          <w:w w:val="105"/>
        </w:rPr>
        <w:t>U.S.</w:t>
      </w:r>
      <w:r>
        <w:rPr>
          <w:spacing w:val="-6"/>
          <w:w w:val="105"/>
        </w:rPr>
        <w:t> </w:t>
      </w:r>
      <w:r>
        <w:rPr>
          <w:w w:val="105"/>
        </w:rPr>
        <w:t>GAAP</w:t>
      </w:r>
      <w:r>
        <w:rPr>
          <w:spacing w:val="-6"/>
          <w:w w:val="105"/>
        </w:rPr>
        <w:t> </w:t>
      </w:r>
      <w:r>
        <w:rPr>
          <w:w w:val="105"/>
        </w:rPr>
        <w:t>define</w:t>
      </w:r>
      <w:r>
        <w:rPr>
          <w:spacing w:val="-6"/>
          <w:w w:val="105"/>
        </w:rPr>
        <w:t> </w:t>
      </w:r>
      <w:r>
        <w:rPr>
          <w:w w:val="105"/>
        </w:rPr>
        <w:t>fair</w:t>
      </w:r>
      <w:r>
        <w:rPr>
          <w:spacing w:val="-6"/>
          <w:w w:val="105"/>
        </w:rPr>
        <w:t> </w:t>
      </w:r>
      <w:r>
        <w:rPr>
          <w:w w:val="105"/>
        </w:rPr>
        <w:t>value,</w:t>
      </w:r>
      <w:r>
        <w:rPr>
          <w:spacing w:val="-6"/>
          <w:w w:val="105"/>
        </w:rPr>
        <w:t> </w:t>
      </w:r>
      <w:r>
        <w:rPr>
          <w:w w:val="105"/>
        </w:rPr>
        <w:t>establish</w:t>
      </w:r>
      <w:r>
        <w:rPr>
          <w:spacing w:val="-6"/>
          <w:w w:val="105"/>
        </w:rPr>
        <w:t> </w:t>
      </w:r>
      <w:r>
        <w:rPr>
          <w:w w:val="105"/>
        </w:rPr>
        <w:t>a</w:t>
      </w:r>
      <w:r>
        <w:rPr>
          <w:spacing w:val="-6"/>
          <w:w w:val="105"/>
        </w:rPr>
        <w:t> </w:t>
      </w:r>
      <w:r>
        <w:rPr>
          <w:w w:val="105"/>
        </w:rPr>
        <w:t>framework</w:t>
      </w:r>
      <w:r>
        <w:rPr>
          <w:spacing w:val="-6"/>
          <w:w w:val="105"/>
        </w:rPr>
        <w:t> </w:t>
      </w:r>
      <w:r>
        <w:rPr>
          <w:w w:val="105"/>
        </w:rPr>
        <w:t>for</w:t>
      </w:r>
      <w:r>
        <w:rPr>
          <w:spacing w:val="-6"/>
          <w:w w:val="105"/>
        </w:rPr>
        <w:t> </w:t>
      </w:r>
      <w:r>
        <w:rPr>
          <w:w w:val="105"/>
        </w:rPr>
        <w:t>measuring</w:t>
      </w:r>
      <w:r>
        <w:rPr>
          <w:spacing w:val="-6"/>
          <w:w w:val="105"/>
        </w:rPr>
        <w:t> </w:t>
      </w:r>
      <w:r>
        <w:rPr>
          <w:w w:val="105"/>
        </w:rPr>
        <w:t>fair</w:t>
      </w:r>
      <w:r>
        <w:rPr>
          <w:spacing w:val="-6"/>
          <w:w w:val="105"/>
        </w:rPr>
        <w:t> </w:t>
      </w:r>
      <w:r>
        <w:rPr>
          <w:w w:val="105"/>
        </w:rPr>
        <w:t>value</w:t>
      </w:r>
      <w:r>
        <w:rPr>
          <w:spacing w:val="-6"/>
          <w:w w:val="105"/>
        </w:rPr>
        <w:t> </w:t>
      </w:r>
      <w:r>
        <w:rPr>
          <w:w w:val="105"/>
        </w:rPr>
        <w:t>in</w:t>
      </w:r>
      <w:r>
        <w:rPr>
          <w:spacing w:val="-6"/>
          <w:w w:val="105"/>
        </w:rPr>
        <w:t> </w:t>
      </w:r>
      <w:r>
        <w:rPr>
          <w:w w:val="105"/>
        </w:rPr>
        <w:t>applying</w:t>
      </w:r>
      <w:r>
        <w:rPr>
          <w:spacing w:val="-6"/>
          <w:w w:val="105"/>
        </w:rPr>
        <w:t> </w:t>
      </w:r>
      <w:r>
        <w:rPr>
          <w:w w:val="105"/>
        </w:rPr>
        <w:t>generally</w:t>
      </w:r>
      <w:r>
        <w:rPr>
          <w:spacing w:val="-5"/>
          <w:w w:val="105"/>
        </w:rPr>
        <w:t> </w:t>
      </w:r>
      <w:r>
        <w:rPr>
          <w:w w:val="105"/>
        </w:rPr>
        <w:t>accepted</w:t>
      </w:r>
      <w:r>
        <w:rPr>
          <w:spacing w:val="-6"/>
          <w:w w:val="105"/>
        </w:rPr>
        <w:t> </w:t>
      </w:r>
      <w:r>
        <w:rPr>
          <w:w w:val="105"/>
        </w:rPr>
        <w:t>accounting</w:t>
      </w:r>
      <w:r>
        <w:rPr>
          <w:spacing w:val="-6"/>
          <w:w w:val="105"/>
        </w:rPr>
        <w:t> </w:t>
      </w:r>
      <w:r>
        <w:rPr>
          <w:w w:val="105"/>
        </w:rPr>
        <w:t>principles,</w:t>
      </w:r>
      <w:r>
        <w:rPr>
          <w:spacing w:val="-6"/>
          <w:w w:val="105"/>
        </w:rPr>
        <w:t> </w:t>
      </w:r>
      <w:r>
        <w:rPr>
          <w:w w:val="105"/>
        </w:rPr>
        <w:t>and</w:t>
      </w:r>
      <w:r>
        <w:rPr>
          <w:spacing w:val="-6"/>
          <w:w w:val="105"/>
        </w:rPr>
        <w:t> </w:t>
      </w:r>
      <w:r>
        <w:rPr>
          <w:w w:val="105"/>
        </w:rPr>
        <w:t>require disclosures</w:t>
      </w:r>
      <w:r>
        <w:rPr>
          <w:spacing w:val="-7"/>
          <w:w w:val="105"/>
        </w:rPr>
        <w:t> </w:t>
      </w:r>
      <w:r>
        <w:rPr>
          <w:w w:val="105"/>
        </w:rPr>
        <w:t>about</w:t>
      </w:r>
      <w:r>
        <w:rPr>
          <w:spacing w:val="-7"/>
          <w:w w:val="105"/>
        </w:rPr>
        <w:t> </w:t>
      </w:r>
      <w:r>
        <w:rPr>
          <w:w w:val="105"/>
        </w:rPr>
        <w:t>fair</w:t>
      </w:r>
      <w:r>
        <w:rPr>
          <w:spacing w:val="-7"/>
          <w:w w:val="105"/>
        </w:rPr>
        <w:t> </w:t>
      </w:r>
      <w:r>
        <w:rPr>
          <w:w w:val="105"/>
        </w:rPr>
        <w:t>value</w:t>
      </w:r>
      <w:r>
        <w:rPr>
          <w:spacing w:val="-7"/>
          <w:w w:val="105"/>
        </w:rPr>
        <w:t> </w:t>
      </w:r>
      <w:r>
        <w:rPr>
          <w:w w:val="105"/>
        </w:rPr>
        <w:t>measurements.</w:t>
      </w:r>
      <w:r>
        <w:rPr>
          <w:spacing w:val="-7"/>
          <w:w w:val="105"/>
        </w:rPr>
        <w:t> </w:t>
      </w:r>
      <w:r>
        <w:rPr>
          <w:w w:val="105"/>
        </w:rPr>
        <w:t>The</w:t>
      </w:r>
      <w:r>
        <w:rPr>
          <w:spacing w:val="-7"/>
          <w:w w:val="105"/>
        </w:rPr>
        <w:t> </w:t>
      </w:r>
      <w:r>
        <w:rPr>
          <w:w w:val="105"/>
        </w:rPr>
        <w:t>standards</w:t>
      </w:r>
      <w:r>
        <w:rPr>
          <w:spacing w:val="-7"/>
          <w:w w:val="105"/>
        </w:rPr>
        <w:t> </w:t>
      </w:r>
      <w:r>
        <w:rPr>
          <w:w w:val="105"/>
        </w:rPr>
        <w:t>also</w:t>
      </w:r>
      <w:r>
        <w:rPr>
          <w:spacing w:val="-7"/>
          <w:w w:val="105"/>
        </w:rPr>
        <w:t> </w:t>
      </w:r>
      <w:r>
        <w:rPr>
          <w:w w:val="105"/>
        </w:rPr>
        <w:t>identify</w:t>
      </w:r>
      <w:r>
        <w:rPr>
          <w:spacing w:val="-6"/>
          <w:w w:val="105"/>
        </w:rPr>
        <w:t> </w:t>
      </w:r>
      <w:r>
        <w:rPr>
          <w:w w:val="105"/>
        </w:rPr>
        <w:t>two</w:t>
      </w:r>
      <w:r>
        <w:rPr>
          <w:spacing w:val="-7"/>
          <w:w w:val="105"/>
        </w:rPr>
        <w:t> </w:t>
      </w:r>
      <w:r>
        <w:rPr>
          <w:w w:val="105"/>
        </w:rPr>
        <w:t>kinds</w:t>
      </w:r>
      <w:r>
        <w:rPr>
          <w:spacing w:val="-7"/>
          <w:w w:val="105"/>
        </w:rPr>
        <w:t> </w:t>
      </w:r>
      <w:r>
        <w:rPr>
          <w:w w:val="105"/>
        </w:rPr>
        <w:t>of</w:t>
      </w:r>
      <w:r>
        <w:rPr>
          <w:spacing w:val="-7"/>
          <w:w w:val="105"/>
        </w:rPr>
        <w:t> </w:t>
      </w:r>
      <w:r>
        <w:rPr>
          <w:w w:val="105"/>
        </w:rPr>
        <w:t>inputs</w:t>
      </w:r>
      <w:r>
        <w:rPr>
          <w:spacing w:val="-7"/>
          <w:w w:val="105"/>
        </w:rPr>
        <w:t> </w:t>
      </w:r>
      <w:r>
        <w:rPr>
          <w:w w:val="105"/>
        </w:rPr>
        <w:t>that</w:t>
      </w:r>
      <w:r>
        <w:rPr>
          <w:spacing w:val="-7"/>
          <w:w w:val="105"/>
        </w:rPr>
        <w:t> </w:t>
      </w:r>
      <w:r>
        <w:rPr>
          <w:w w:val="105"/>
        </w:rPr>
        <w:t>are</w:t>
      </w:r>
      <w:r>
        <w:rPr>
          <w:spacing w:val="-7"/>
          <w:w w:val="105"/>
        </w:rPr>
        <w:t> </w:t>
      </w:r>
      <w:r>
        <w:rPr>
          <w:w w:val="105"/>
        </w:rPr>
        <w:t>used</w:t>
      </w:r>
      <w:r>
        <w:rPr>
          <w:spacing w:val="-7"/>
          <w:w w:val="105"/>
        </w:rPr>
        <w:t> </w:t>
      </w:r>
      <w:r>
        <w:rPr>
          <w:w w:val="105"/>
        </w:rPr>
        <w:t>to</w:t>
      </w:r>
      <w:r>
        <w:rPr>
          <w:spacing w:val="-7"/>
          <w:w w:val="105"/>
        </w:rPr>
        <w:t> </w:t>
      </w:r>
      <w:r>
        <w:rPr>
          <w:w w:val="105"/>
        </w:rPr>
        <w:t>determine</w:t>
      </w:r>
      <w:r>
        <w:rPr>
          <w:spacing w:val="-7"/>
          <w:w w:val="105"/>
        </w:rPr>
        <w:t> </w:t>
      </w: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assets</w:t>
      </w:r>
      <w:r>
        <w:rPr>
          <w:spacing w:val="-7"/>
          <w:w w:val="105"/>
        </w:rPr>
        <w:t> </w:t>
      </w:r>
      <w:r>
        <w:rPr>
          <w:w w:val="105"/>
        </w:rPr>
        <w:t>and</w:t>
      </w:r>
      <w:r>
        <w:rPr>
          <w:spacing w:val="-7"/>
          <w:w w:val="105"/>
        </w:rPr>
        <w:t> </w:t>
      </w:r>
      <w:r>
        <w:rPr>
          <w:w w:val="105"/>
        </w:rPr>
        <w:t>liabilities:</w:t>
      </w:r>
      <w:r>
        <w:rPr>
          <w:spacing w:val="-7"/>
          <w:w w:val="105"/>
        </w:rPr>
        <w:t> </w:t>
      </w:r>
      <w:r>
        <w:rPr>
          <w:w w:val="105"/>
        </w:rPr>
        <w:t>observable</w:t>
      </w:r>
      <w:r>
        <w:rPr>
          <w:spacing w:val="-7"/>
          <w:w w:val="105"/>
        </w:rPr>
        <w:t> </w:t>
      </w:r>
      <w:r>
        <w:rPr>
          <w:w w:val="105"/>
        </w:rPr>
        <w:t>and unobservable.</w:t>
      </w:r>
      <w:r>
        <w:rPr>
          <w:spacing w:val="-6"/>
          <w:w w:val="105"/>
        </w:rPr>
        <w:t> </w:t>
      </w:r>
      <w:r>
        <w:rPr>
          <w:w w:val="105"/>
        </w:rPr>
        <w:t>Observable</w:t>
      </w:r>
      <w:r>
        <w:rPr>
          <w:spacing w:val="-6"/>
          <w:w w:val="105"/>
        </w:rPr>
        <w:t> </w:t>
      </w:r>
      <w:r>
        <w:rPr>
          <w:w w:val="105"/>
        </w:rPr>
        <w:t>inputs</w:t>
      </w:r>
      <w:r>
        <w:rPr>
          <w:spacing w:val="-6"/>
          <w:w w:val="105"/>
        </w:rPr>
        <w:t> </w:t>
      </w:r>
      <w:r>
        <w:rPr>
          <w:w w:val="105"/>
        </w:rPr>
        <w:t>are</w:t>
      </w:r>
      <w:r>
        <w:rPr>
          <w:spacing w:val="-6"/>
          <w:w w:val="105"/>
        </w:rPr>
        <w:t> </w:t>
      </w:r>
      <w:r>
        <w:rPr>
          <w:w w:val="105"/>
        </w:rPr>
        <w:t>based</w:t>
      </w:r>
      <w:r>
        <w:rPr>
          <w:spacing w:val="-6"/>
          <w:w w:val="105"/>
        </w:rPr>
        <w:t> </w:t>
      </w:r>
      <w:r>
        <w:rPr>
          <w:w w:val="105"/>
        </w:rPr>
        <w:t>on</w:t>
      </w:r>
      <w:r>
        <w:rPr>
          <w:spacing w:val="-6"/>
          <w:w w:val="105"/>
        </w:rPr>
        <w:t> </w:t>
      </w:r>
      <w:r>
        <w:rPr>
          <w:w w:val="105"/>
        </w:rPr>
        <w:t>market</w:t>
      </w:r>
      <w:r>
        <w:rPr>
          <w:spacing w:val="-6"/>
          <w:w w:val="105"/>
        </w:rPr>
        <w:t> </w:t>
      </w:r>
      <w:r>
        <w:rPr>
          <w:w w:val="105"/>
        </w:rPr>
        <w:t>data</w:t>
      </w:r>
      <w:r>
        <w:rPr>
          <w:spacing w:val="-6"/>
          <w:w w:val="105"/>
        </w:rPr>
        <w:t> </w:t>
      </w:r>
      <w:r>
        <w:rPr>
          <w:w w:val="105"/>
        </w:rPr>
        <w:t>or</w:t>
      </w:r>
      <w:r>
        <w:rPr>
          <w:spacing w:val="-4"/>
          <w:w w:val="105"/>
        </w:rPr>
        <w:t> </w:t>
      </w:r>
      <w:r>
        <w:rPr>
          <w:w w:val="105"/>
        </w:rPr>
        <w:t>independent</w:t>
      </w:r>
      <w:r>
        <w:rPr>
          <w:spacing w:val="-6"/>
          <w:w w:val="105"/>
        </w:rPr>
        <w:t> </w:t>
      </w:r>
      <w:r>
        <w:rPr>
          <w:w w:val="105"/>
        </w:rPr>
        <w:t>sources</w:t>
      </w:r>
      <w:r>
        <w:rPr>
          <w:spacing w:val="-6"/>
          <w:w w:val="105"/>
        </w:rPr>
        <w:t> </w:t>
      </w:r>
      <w:r>
        <w:rPr>
          <w:w w:val="105"/>
        </w:rPr>
        <w:t>while</w:t>
      </w:r>
      <w:r>
        <w:rPr>
          <w:spacing w:val="-6"/>
          <w:w w:val="105"/>
        </w:rPr>
        <w:t> </w:t>
      </w:r>
      <w:r>
        <w:rPr>
          <w:w w:val="105"/>
        </w:rPr>
        <w:t>unobservable</w:t>
      </w:r>
      <w:r>
        <w:rPr>
          <w:spacing w:val="-6"/>
          <w:w w:val="105"/>
        </w:rPr>
        <w:t> </w:t>
      </w:r>
      <w:r>
        <w:rPr>
          <w:w w:val="105"/>
        </w:rPr>
        <w:t>inputs</w:t>
      </w:r>
      <w:r>
        <w:rPr>
          <w:spacing w:val="-6"/>
          <w:w w:val="105"/>
        </w:rPr>
        <w:t> </w:t>
      </w:r>
      <w:r>
        <w:rPr>
          <w:w w:val="105"/>
        </w:rPr>
        <w:t>are</w:t>
      </w:r>
      <w:r>
        <w:rPr>
          <w:spacing w:val="-6"/>
          <w:w w:val="105"/>
        </w:rPr>
        <w:t> </w:t>
      </w:r>
      <w:r>
        <w:rPr>
          <w:w w:val="105"/>
        </w:rPr>
        <w:t>based</w:t>
      </w:r>
      <w:r>
        <w:rPr>
          <w:spacing w:val="-6"/>
          <w:w w:val="105"/>
        </w:rPr>
        <w:t> </w:t>
      </w:r>
      <w:r>
        <w:rPr>
          <w:w w:val="105"/>
        </w:rPr>
        <w:t>on</w:t>
      </w:r>
      <w:r>
        <w:rPr>
          <w:spacing w:val="-6"/>
          <w:w w:val="105"/>
        </w:rPr>
        <w:t> </w:t>
      </w:r>
      <w:r>
        <w:rPr>
          <w:w w:val="105"/>
        </w:rPr>
        <w:t>the</w:t>
      </w:r>
      <w:r>
        <w:rPr>
          <w:spacing w:val="-6"/>
          <w:w w:val="105"/>
        </w:rPr>
        <w:t> </w:t>
      </w:r>
      <w:r>
        <w:rPr>
          <w:w w:val="105"/>
        </w:rPr>
        <w:t>Company’s</w:t>
      </w:r>
      <w:r>
        <w:rPr>
          <w:spacing w:val="-6"/>
          <w:w w:val="105"/>
        </w:rPr>
        <w:t> </w:t>
      </w:r>
      <w:r>
        <w:rPr>
          <w:w w:val="105"/>
        </w:rPr>
        <w:t>own</w:t>
      </w:r>
      <w:r>
        <w:rPr>
          <w:spacing w:val="-6"/>
          <w:w w:val="105"/>
        </w:rPr>
        <w:t> </w:t>
      </w:r>
      <w:r>
        <w:rPr>
          <w:w w:val="105"/>
        </w:rPr>
        <w:t>market</w:t>
      </w:r>
      <w:r>
        <w:rPr>
          <w:spacing w:val="-6"/>
          <w:w w:val="105"/>
        </w:rPr>
        <w:t> </w:t>
      </w:r>
      <w:r>
        <w:rPr>
          <w:w w:val="105"/>
        </w:rPr>
        <w:t>assumptions.</w:t>
      </w:r>
      <w:r>
        <w:rPr>
          <w:spacing w:val="-6"/>
          <w:w w:val="105"/>
        </w:rPr>
        <w:t> </w:t>
      </w:r>
      <w:r>
        <w:rPr>
          <w:w w:val="105"/>
        </w:rPr>
        <w:t>Once inputs</w:t>
      </w:r>
      <w:r>
        <w:rPr>
          <w:spacing w:val="-7"/>
          <w:w w:val="105"/>
        </w:rPr>
        <w:t> </w:t>
      </w:r>
      <w:r>
        <w:rPr>
          <w:w w:val="105"/>
        </w:rPr>
        <w:t>have</w:t>
      </w:r>
      <w:r>
        <w:rPr>
          <w:spacing w:val="-7"/>
          <w:w w:val="105"/>
        </w:rPr>
        <w:t> </w:t>
      </w:r>
      <w:r>
        <w:rPr>
          <w:w w:val="105"/>
        </w:rPr>
        <w:t>been</w:t>
      </w:r>
      <w:r>
        <w:rPr>
          <w:spacing w:val="-7"/>
          <w:w w:val="105"/>
        </w:rPr>
        <w:t> </w:t>
      </w:r>
      <w:r>
        <w:rPr>
          <w:w w:val="105"/>
        </w:rPr>
        <w:t>characterized,</w:t>
      </w:r>
      <w:r>
        <w:rPr>
          <w:spacing w:val="-7"/>
          <w:w w:val="105"/>
        </w:rPr>
        <w:t> </w:t>
      </w:r>
      <w:r>
        <w:rPr>
          <w:w w:val="105"/>
        </w:rPr>
        <w:t>the</w:t>
      </w:r>
      <w:r>
        <w:rPr>
          <w:spacing w:val="-7"/>
          <w:w w:val="105"/>
        </w:rPr>
        <w:t> </w:t>
      </w:r>
      <w:r>
        <w:rPr>
          <w:w w:val="105"/>
        </w:rPr>
        <w:t>inputs</w:t>
      </w:r>
      <w:r>
        <w:rPr>
          <w:spacing w:val="-7"/>
          <w:w w:val="105"/>
        </w:rPr>
        <w:t> </w:t>
      </w:r>
      <w:r>
        <w:rPr>
          <w:w w:val="105"/>
        </w:rPr>
        <w:t>are</w:t>
      </w:r>
      <w:r>
        <w:rPr>
          <w:spacing w:val="-7"/>
          <w:w w:val="105"/>
        </w:rPr>
        <w:t> </w:t>
      </w:r>
      <w:r>
        <w:rPr>
          <w:w w:val="105"/>
        </w:rPr>
        <w:t>prioritized</w:t>
      </w:r>
      <w:r>
        <w:rPr>
          <w:spacing w:val="-7"/>
          <w:w w:val="105"/>
        </w:rPr>
        <w:t> </w:t>
      </w:r>
      <w:r>
        <w:rPr>
          <w:w w:val="105"/>
        </w:rPr>
        <w:t>into</w:t>
      </w:r>
      <w:r>
        <w:rPr>
          <w:spacing w:val="-6"/>
          <w:w w:val="105"/>
        </w:rPr>
        <w:t> </w:t>
      </w:r>
      <w:r>
        <w:rPr>
          <w:w w:val="105"/>
        </w:rPr>
        <w:t>one</w:t>
      </w:r>
      <w:r>
        <w:rPr>
          <w:spacing w:val="-7"/>
          <w:w w:val="105"/>
        </w:rPr>
        <w:t> </w:t>
      </w:r>
      <w:r>
        <w:rPr>
          <w:w w:val="105"/>
        </w:rPr>
        <w:t>of</w:t>
      </w:r>
      <w:r>
        <w:rPr>
          <w:spacing w:val="-7"/>
          <w:w w:val="105"/>
        </w:rPr>
        <w:t> </w:t>
      </w:r>
      <w:r>
        <w:rPr>
          <w:w w:val="105"/>
        </w:rPr>
        <w:t>three</w:t>
      </w:r>
      <w:r>
        <w:rPr>
          <w:spacing w:val="-7"/>
          <w:w w:val="105"/>
        </w:rPr>
        <w:t> </w:t>
      </w:r>
      <w:r>
        <w:rPr>
          <w:w w:val="105"/>
        </w:rPr>
        <w:t>broad</w:t>
      </w:r>
      <w:r>
        <w:rPr>
          <w:spacing w:val="-7"/>
          <w:w w:val="105"/>
        </w:rPr>
        <w:t> </w:t>
      </w:r>
      <w:r>
        <w:rPr>
          <w:w w:val="105"/>
        </w:rPr>
        <w:t>levels</w:t>
      </w:r>
      <w:r>
        <w:rPr>
          <w:spacing w:val="-7"/>
          <w:w w:val="105"/>
        </w:rPr>
        <w:t> </w:t>
      </w:r>
      <w:r>
        <w:rPr>
          <w:w w:val="105"/>
        </w:rPr>
        <w:t>(provided</w:t>
      </w:r>
      <w:r>
        <w:rPr>
          <w:spacing w:val="-7"/>
          <w:w w:val="105"/>
        </w:rPr>
        <w:t> </w:t>
      </w:r>
      <w:r>
        <w:rPr>
          <w:w w:val="105"/>
        </w:rPr>
        <w:t>in</w:t>
      </w:r>
      <w:r>
        <w:rPr>
          <w:spacing w:val="-7"/>
          <w:w w:val="105"/>
        </w:rPr>
        <w:t> </w:t>
      </w:r>
      <w:r>
        <w:rPr>
          <w:w w:val="105"/>
        </w:rPr>
        <w:t>the</w:t>
      </w:r>
      <w:r>
        <w:rPr>
          <w:spacing w:val="-7"/>
          <w:w w:val="105"/>
        </w:rPr>
        <w:t> </w:t>
      </w:r>
      <w:r>
        <w:rPr>
          <w:w w:val="105"/>
        </w:rPr>
        <w:t>table</w:t>
      </w:r>
      <w:r>
        <w:rPr>
          <w:spacing w:val="-7"/>
          <w:w w:val="105"/>
        </w:rPr>
        <w:t> </w:t>
      </w:r>
      <w:r>
        <w:rPr>
          <w:w w:val="105"/>
        </w:rPr>
        <w:t>below)</w:t>
      </w:r>
      <w:r>
        <w:rPr>
          <w:spacing w:val="-7"/>
          <w:w w:val="105"/>
        </w:rPr>
        <w:t> </w:t>
      </w:r>
      <w:r>
        <w:rPr>
          <w:w w:val="105"/>
        </w:rPr>
        <w:t>used</w:t>
      </w:r>
      <w:r>
        <w:rPr>
          <w:spacing w:val="-7"/>
          <w:w w:val="105"/>
        </w:rPr>
        <w:t> </w:t>
      </w:r>
      <w:r>
        <w:rPr>
          <w:w w:val="105"/>
        </w:rPr>
        <w:t>to</w:t>
      </w:r>
      <w:r>
        <w:rPr>
          <w:spacing w:val="-7"/>
          <w:w w:val="105"/>
        </w:rPr>
        <w:t> </w:t>
      </w:r>
      <w:r>
        <w:rPr>
          <w:w w:val="105"/>
        </w:rPr>
        <w:t>measure</w:t>
      </w:r>
      <w:r>
        <w:rPr>
          <w:spacing w:val="-7"/>
          <w:w w:val="105"/>
        </w:rPr>
        <w:t> </w:t>
      </w:r>
      <w:r>
        <w:rPr>
          <w:w w:val="105"/>
        </w:rPr>
        <w:t>fair</w:t>
      </w:r>
      <w:r>
        <w:rPr>
          <w:spacing w:val="-7"/>
          <w:w w:val="105"/>
        </w:rPr>
        <w:t> </w:t>
      </w:r>
      <w:r>
        <w:rPr>
          <w:w w:val="105"/>
        </w:rPr>
        <w:t>value.</w:t>
      </w:r>
      <w:r>
        <w:rPr>
          <w:spacing w:val="-7"/>
          <w:w w:val="105"/>
        </w:rPr>
        <w:t> </w:t>
      </w:r>
      <w:r>
        <w:rPr>
          <w:w w:val="105"/>
        </w:rPr>
        <w:t>Fair</w:t>
      </w:r>
      <w:r>
        <w:rPr>
          <w:spacing w:val="-7"/>
          <w:w w:val="105"/>
        </w:rPr>
        <w:t> </w:t>
      </w:r>
      <w:r>
        <w:rPr>
          <w:w w:val="105"/>
        </w:rPr>
        <w:t>value</w:t>
      </w:r>
      <w:r>
        <w:rPr>
          <w:spacing w:val="-7"/>
          <w:w w:val="105"/>
        </w:rPr>
        <w:t> </w:t>
      </w:r>
      <w:r>
        <w:rPr>
          <w:w w:val="105"/>
        </w:rPr>
        <w:t>standards</w:t>
      </w:r>
      <w:r>
        <w:rPr>
          <w:spacing w:val="-7"/>
          <w:w w:val="105"/>
        </w:rPr>
        <w:t> </w:t>
      </w:r>
      <w:r>
        <w:rPr>
          <w:w w:val="105"/>
        </w:rPr>
        <w:t>apply whenever</w:t>
      </w:r>
      <w:r>
        <w:rPr>
          <w:spacing w:val="-8"/>
          <w:w w:val="105"/>
        </w:rPr>
        <w:t> </w:t>
      </w:r>
      <w:r>
        <w:rPr>
          <w:w w:val="105"/>
        </w:rPr>
        <w:t>an</w:t>
      </w:r>
      <w:r>
        <w:rPr>
          <w:spacing w:val="-8"/>
          <w:w w:val="105"/>
        </w:rPr>
        <w:t> </w:t>
      </w:r>
      <w:r>
        <w:rPr>
          <w:w w:val="105"/>
        </w:rPr>
        <w:t>entity</w:t>
      </w:r>
      <w:r>
        <w:rPr>
          <w:spacing w:val="-8"/>
          <w:w w:val="105"/>
        </w:rPr>
        <w:t> </w:t>
      </w:r>
      <w:r>
        <w:rPr>
          <w:w w:val="105"/>
        </w:rPr>
        <w:t>is</w:t>
      </w:r>
      <w:r>
        <w:rPr>
          <w:spacing w:val="-8"/>
          <w:w w:val="105"/>
        </w:rPr>
        <w:t> </w:t>
      </w:r>
      <w:r>
        <w:rPr>
          <w:w w:val="105"/>
        </w:rPr>
        <w:t>measuring</w:t>
      </w:r>
      <w:r>
        <w:rPr>
          <w:spacing w:val="-8"/>
          <w:w w:val="105"/>
        </w:rPr>
        <w:t> </w:t>
      </w:r>
      <w:r>
        <w:rPr>
          <w:w w:val="105"/>
        </w:rPr>
        <w:t>fair</w:t>
      </w:r>
      <w:r>
        <w:rPr>
          <w:spacing w:val="-8"/>
          <w:w w:val="105"/>
        </w:rPr>
        <w:t> </w:t>
      </w:r>
      <w:r>
        <w:rPr>
          <w:w w:val="105"/>
        </w:rPr>
        <w:t>value</w:t>
      </w:r>
      <w:r>
        <w:rPr>
          <w:spacing w:val="-8"/>
          <w:w w:val="105"/>
        </w:rPr>
        <w:t> </w:t>
      </w:r>
      <w:r>
        <w:rPr>
          <w:w w:val="105"/>
        </w:rPr>
        <w:t>under</w:t>
      </w:r>
      <w:r>
        <w:rPr>
          <w:spacing w:val="-8"/>
          <w:w w:val="105"/>
        </w:rPr>
        <w:t> </w:t>
      </w:r>
      <w:r>
        <w:rPr>
          <w:w w:val="105"/>
        </w:rPr>
        <w:t>other</w:t>
      </w:r>
      <w:r>
        <w:rPr>
          <w:spacing w:val="-8"/>
          <w:w w:val="105"/>
        </w:rPr>
        <w:t> </w:t>
      </w:r>
      <w:r>
        <w:rPr>
          <w:w w:val="105"/>
        </w:rPr>
        <w:t>accounting</w:t>
      </w:r>
      <w:r>
        <w:rPr>
          <w:spacing w:val="-8"/>
          <w:w w:val="105"/>
        </w:rPr>
        <w:t> </w:t>
      </w:r>
      <w:r>
        <w:rPr>
          <w:w w:val="105"/>
        </w:rPr>
        <w:t>pronouncements</w:t>
      </w:r>
      <w:r>
        <w:rPr>
          <w:spacing w:val="-8"/>
          <w:w w:val="105"/>
        </w:rPr>
        <w:t> </w:t>
      </w:r>
      <w:r>
        <w:rPr>
          <w:w w:val="105"/>
        </w:rPr>
        <w:t>that</w:t>
      </w:r>
      <w:r>
        <w:rPr>
          <w:spacing w:val="-8"/>
          <w:w w:val="105"/>
        </w:rPr>
        <w:t> </w:t>
      </w:r>
      <w:r>
        <w:rPr>
          <w:w w:val="105"/>
        </w:rPr>
        <w:t>require</w:t>
      </w:r>
      <w:r>
        <w:rPr>
          <w:spacing w:val="-8"/>
          <w:w w:val="105"/>
        </w:rPr>
        <w:t> </w:t>
      </w:r>
      <w:r>
        <w:rPr>
          <w:w w:val="105"/>
        </w:rPr>
        <w:t>or</w:t>
      </w:r>
      <w:r>
        <w:rPr>
          <w:spacing w:val="-8"/>
          <w:w w:val="105"/>
        </w:rPr>
        <w:t> </w:t>
      </w:r>
      <w:r>
        <w:rPr>
          <w:w w:val="105"/>
        </w:rPr>
        <w:t>permit</w:t>
      </w:r>
      <w:r>
        <w:rPr>
          <w:spacing w:val="-7"/>
          <w:w w:val="105"/>
        </w:rPr>
        <w:t> </w:t>
      </w:r>
      <w:r>
        <w:rPr>
          <w:w w:val="105"/>
        </w:rPr>
        <w:t>fair</w:t>
      </w:r>
      <w:r>
        <w:rPr>
          <w:spacing w:val="-8"/>
          <w:w w:val="105"/>
        </w:rPr>
        <w:t> </w:t>
      </w:r>
      <w:r>
        <w:rPr>
          <w:w w:val="105"/>
        </w:rPr>
        <w:t>value</w:t>
      </w:r>
      <w:r>
        <w:rPr>
          <w:spacing w:val="-8"/>
          <w:w w:val="105"/>
        </w:rPr>
        <w:t> </w:t>
      </w:r>
      <w:r>
        <w:rPr>
          <w:w w:val="105"/>
        </w:rPr>
        <w:t>measurement</w:t>
      </w:r>
      <w:r>
        <w:rPr>
          <w:spacing w:val="-8"/>
          <w:w w:val="105"/>
        </w:rPr>
        <w:t> </w:t>
      </w:r>
      <w:r>
        <w:rPr>
          <w:w w:val="105"/>
        </w:rPr>
        <w:t>and</w:t>
      </w:r>
      <w:r>
        <w:rPr>
          <w:spacing w:val="-8"/>
          <w:w w:val="105"/>
        </w:rPr>
        <w:t> </w:t>
      </w:r>
      <w:r>
        <w:rPr>
          <w:w w:val="105"/>
        </w:rPr>
        <w:t>require</w:t>
      </w:r>
      <w:r>
        <w:rPr>
          <w:spacing w:val="-8"/>
          <w:w w:val="105"/>
        </w:rPr>
        <w:t> </w:t>
      </w:r>
      <w:r>
        <w:rPr>
          <w:w w:val="105"/>
        </w:rPr>
        <w:t>the</w:t>
      </w:r>
      <w:r>
        <w:rPr>
          <w:spacing w:val="-8"/>
          <w:w w:val="105"/>
        </w:rPr>
        <w:t> </w:t>
      </w:r>
      <w:r>
        <w:rPr>
          <w:w w:val="105"/>
        </w:rPr>
        <w:t>use</w:t>
      </w:r>
      <w:r>
        <w:rPr>
          <w:spacing w:val="-8"/>
          <w:w w:val="105"/>
        </w:rPr>
        <w:t> </w:t>
      </w:r>
      <w:r>
        <w:rPr>
          <w:w w:val="105"/>
        </w:rPr>
        <w:t>of</w:t>
      </w:r>
      <w:r>
        <w:rPr>
          <w:spacing w:val="-8"/>
          <w:w w:val="105"/>
        </w:rPr>
        <w:t> </w:t>
      </w:r>
      <w:r>
        <w:rPr>
          <w:w w:val="105"/>
        </w:rPr>
        <w:t>observable</w:t>
      </w:r>
      <w:r>
        <w:rPr>
          <w:spacing w:val="-8"/>
          <w:w w:val="105"/>
        </w:rPr>
        <w:t> </w:t>
      </w:r>
      <w:r>
        <w:rPr>
          <w:w w:val="105"/>
        </w:rPr>
        <w:t>market data when available.</w:t>
      </w:r>
    </w:p>
    <w:p>
      <w:pPr>
        <w:pStyle w:val="BodyText"/>
        <w:spacing w:before="17"/>
      </w:pPr>
    </w:p>
    <w:p>
      <w:pPr>
        <w:pStyle w:val="BodyText"/>
        <w:spacing w:line="266" w:lineRule="auto"/>
        <w:ind w:left="156" w:right="200"/>
      </w:pPr>
      <w:r>
        <w:rPr>
          <w:w w:val="105"/>
        </w:rPr>
        <w:t>The</w:t>
      </w:r>
      <w:r>
        <w:rPr>
          <w:spacing w:val="-9"/>
          <w:w w:val="105"/>
        </w:rPr>
        <w:t> </w:t>
      </w:r>
      <w:r>
        <w:rPr>
          <w:w w:val="105"/>
        </w:rPr>
        <w:t>following</w:t>
      </w:r>
      <w:r>
        <w:rPr>
          <w:spacing w:val="-9"/>
          <w:w w:val="105"/>
        </w:rPr>
        <w:t> </w:t>
      </w:r>
      <w:r>
        <w:rPr>
          <w:w w:val="105"/>
        </w:rPr>
        <w:t>tables</w:t>
      </w:r>
      <w:r>
        <w:rPr>
          <w:spacing w:val="-9"/>
          <w:w w:val="105"/>
        </w:rPr>
        <w:t> </w:t>
      </w:r>
      <w:r>
        <w:rPr>
          <w:w w:val="105"/>
        </w:rPr>
        <w:t>provide</w:t>
      </w:r>
      <w:r>
        <w:rPr>
          <w:spacing w:val="-9"/>
          <w:w w:val="105"/>
        </w:rPr>
        <w:t> </w:t>
      </w:r>
      <w:r>
        <w:rPr>
          <w:w w:val="105"/>
        </w:rPr>
        <w:t>fair</w:t>
      </w:r>
      <w:r>
        <w:rPr>
          <w:spacing w:val="-9"/>
          <w:w w:val="105"/>
        </w:rPr>
        <w:t> </w:t>
      </w:r>
      <w:r>
        <w:rPr>
          <w:w w:val="105"/>
        </w:rPr>
        <w:t>value</w:t>
      </w:r>
      <w:r>
        <w:rPr>
          <w:spacing w:val="-9"/>
          <w:w w:val="105"/>
        </w:rPr>
        <w:t> </w:t>
      </w:r>
      <w:r>
        <w:rPr>
          <w:w w:val="105"/>
        </w:rPr>
        <w:t>measurement</w:t>
      </w:r>
      <w:r>
        <w:rPr>
          <w:spacing w:val="-9"/>
          <w:w w:val="105"/>
        </w:rPr>
        <w:t> </w:t>
      </w:r>
      <w:r>
        <w:rPr>
          <w:w w:val="105"/>
        </w:rPr>
        <w:t>information</w:t>
      </w:r>
      <w:r>
        <w:rPr>
          <w:spacing w:val="-9"/>
          <w:w w:val="105"/>
        </w:rPr>
        <w:t> </w:t>
      </w:r>
      <w:r>
        <w:rPr>
          <w:w w:val="105"/>
        </w:rPr>
        <w:t>for</w:t>
      </w:r>
      <w:r>
        <w:rPr>
          <w:spacing w:val="-9"/>
          <w:w w:val="105"/>
        </w:rPr>
        <w:t> </w:t>
      </w:r>
      <w:r>
        <w:rPr>
          <w:w w:val="105"/>
        </w:rPr>
        <w:t>the</w:t>
      </w:r>
      <w:r>
        <w:rPr>
          <w:spacing w:val="-9"/>
          <w:w w:val="105"/>
        </w:rPr>
        <w:t> </w:t>
      </w:r>
      <w:r>
        <w:rPr>
          <w:w w:val="105"/>
        </w:rPr>
        <w:t>Company’s</w:t>
      </w:r>
      <w:r>
        <w:rPr>
          <w:spacing w:val="-9"/>
          <w:w w:val="105"/>
        </w:rPr>
        <w:t> </w:t>
      </w:r>
      <w:r>
        <w:rPr>
          <w:w w:val="105"/>
        </w:rPr>
        <w:t>major</w:t>
      </w:r>
      <w:r>
        <w:rPr>
          <w:spacing w:val="-9"/>
          <w:w w:val="105"/>
        </w:rPr>
        <w:t> </w:t>
      </w:r>
      <w:r>
        <w:rPr>
          <w:w w:val="105"/>
        </w:rPr>
        <w:t>categories</w:t>
      </w:r>
      <w:r>
        <w:rPr>
          <w:spacing w:val="-9"/>
          <w:w w:val="105"/>
        </w:rPr>
        <w:t> </w:t>
      </w:r>
      <w:r>
        <w:rPr>
          <w:w w:val="105"/>
        </w:rPr>
        <w:t>of</w:t>
      </w:r>
      <w:r>
        <w:rPr>
          <w:spacing w:val="-7"/>
          <w:w w:val="105"/>
        </w:rPr>
        <w:t> </w:t>
      </w:r>
      <w:r>
        <w:rPr>
          <w:w w:val="105"/>
        </w:rPr>
        <w:t>financial</w:t>
      </w:r>
      <w:r>
        <w:rPr>
          <w:spacing w:val="-9"/>
          <w:w w:val="105"/>
        </w:rPr>
        <w:t> </w:t>
      </w:r>
      <w:r>
        <w:rPr>
          <w:w w:val="105"/>
        </w:rPr>
        <w:t>assets</w:t>
      </w:r>
      <w:r>
        <w:rPr>
          <w:spacing w:val="-9"/>
          <w:w w:val="105"/>
        </w:rPr>
        <w:t> </w:t>
      </w:r>
      <w:r>
        <w:rPr>
          <w:w w:val="105"/>
        </w:rPr>
        <w:t>and</w:t>
      </w:r>
      <w:r>
        <w:rPr>
          <w:spacing w:val="-9"/>
          <w:w w:val="105"/>
        </w:rPr>
        <w:t> </w:t>
      </w:r>
      <w:r>
        <w:rPr>
          <w:w w:val="105"/>
        </w:rPr>
        <w:t>liabilities</w:t>
      </w:r>
      <w:r>
        <w:rPr>
          <w:spacing w:val="-9"/>
          <w:w w:val="105"/>
        </w:rPr>
        <w:t> </w:t>
      </w:r>
      <w:r>
        <w:rPr>
          <w:w w:val="105"/>
        </w:rPr>
        <w:t>measured</w:t>
      </w:r>
      <w:r>
        <w:rPr>
          <w:spacing w:val="-9"/>
          <w:w w:val="105"/>
        </w:rPr>
        <w:t> </w:t>
      </w:r>
      <w:r>
        <w:rPr>
          <w:w w:val="105"/>
        </w:rPr>
        <w:t>on</w:t>
      </w:r>
      <w:r>
        <w:rPr>
          <w:spacing w:val="-9"/>
          <w:w w:val="105"/>
        </w:rPr>
        <w:t> </w:t>
      </w:r>
      <w:r>
        <w:rPr>
          <w:w w:val="105"/>
        </w:rPr>
        <w:t>a</w:t>
      </w:r>
      <w:r>
        <w:rPr>
          <w:spacing w:val="-7"/>
          <w:w w:val="105"/>
        </w:rPr>
        <w:t> </w:t>
      </w:r>
      <w:r>
        <w:rPr>
          <w:w w:val="105"/>
        </w:rPr>
        <w:t>recurring</w:t>
      </w:r>
      <w:r>
        <w:rPr>
          <w:spacing w:val="-9"/>
          <w:w w:val="105"/>
        </w:rPr>
        <w:t> </w:t>
      </w:r>
      <w:r>
        <w:rPr>
          <w:w w:val="105"/>
        </w:rPr>
        <w:t>basis;</w:t>
      </w:r>
      <w:r>
        <w:rPr>
          <w:spacing w:val="-9"/>
          <w:w w:val="105"/>
        </w:rPr>
        <w:t> </w:t>
      </w:r>
      <w:r>
        <w:rPr>
          <w:w w:val="105"/>
        </w:rPr>
        <w:t>Level 1,</w:t>
      </w:r>
      <w:r>
        <w:rPr>
          <w:spacing w:val="-2"/>
          <w:w w:val="105"/>
        </w:rPr>
        <w:t> </w:t>
      </w:r>
      <w:r>
        <w:rPr>
          <w:w w:val="105"/>
        </w:rPr>
        <w:t>quoted</w:t>
      </w:r>
      <w:r>
        <w:rPr>
          <w:spacing w:val="-2"/>
          <w:w w:val="105"/>
        </w:rPr>
        <w:t> </w:t>
      </w:r>
      <w:r>
        <w:rPr>
          <w:w w:val="105"/>
        </w:rPr>
        <w:t>market</w:t>
      </w:r>
      <w:r>
        <w:rPr>
          <w:spacing w:val="-2"/>
          <w:w w:val="105"/>
        </w:rPr>
        <w:t> </w:t>
      </w:r>
      <w:r>
        <w:rPr>
          <w:w w:val="105"/>
        </w:rPr>
        <w:t>prices</w:t>
      </w:r>
      <w:r>
        <w:rPr>
          <w:spacing w:val="-2"/>
          <w:w w:val="105"/>
        </w:rPr>
        <w:t> </w:t>
      </w:r>
      <w:r>
        <w:rPr>
          <w:w w:val="105"/>
        </w:rPr>
        <w:t>in active</w:t>
      </w:r>
      <w:r>
        <w:rPr>
          <w:spacing w:val="-2"/>
          <w:w w:val="105"/>
        </w:rPr>
        <w:t> </w:t>
      </w:r>
      <w:r>
        <w:rPr>
          <w:w w:val="105"/>
        </w:rPr>
        <w:t>markets</w:t>
      </w:r>
      <w:r>
        <w:rPr>
          <w:spacing w:val="-2"/>
          <w:w w:val="105"/>
        </w:rPr>
        <w:t> </w:t>
      </w:r>
      <w:r>
        <w:rPr>
          <w:w w:val="105"/>
        </w:rPr>
        <w:t>for</w:t>
      </w:r>
      <w:r>
        <w:rPr>
          <w:spacing w:val="-2"/>
          <w:w w:val="105"/>
        </w:rPr>
        <w:t> </w:t>
      </w:r>
      <w:r>
        <w:rPr>
          <w:w w:val="105"/>
        </w:rPr>
        <w:t>identical</w:t>
      </w:r>
      <w:r>
        <w:rPr>
          <w:spacing w:val="-2"/>
          <w:w w:val="105"/>
        </w:rPr>
        <w:t> </w:t>
      </w:r>
      <w:r>
        <w:rPr>
          <w:w w:val="105"/>
        </w:rPr>
        <w:t>assets,</w:t>
      </w:r>
      <w:r>
        <w:rPr>
          <w:spacing w:val="-2"/>
          <w:w w:val="105"/>
        </w:rPr>
        <w:t> </w:t>
      </w:r>
      <w:r>
        <w:rPr>
          <w:w w:val="105"/>
        </w:rPr>
        <w:t>Level</w:t>
      </w:r>
      <w:r>
        <w:rPr>
          <w:spacing w:val="-1"/>
          <w:w w:val="105"/>
        </w:rPr>
        <w:t> </w:t>
      </w:r>
      <w:r>
        <w:rPr>
          <w:w w:val="105"/>
        </w:rPr>
        <w:t>2,</w:t>
      </w:r>
      <w:r>
        <w:rPr>
          <w:spacing w:val="-2"/>
          <w:w w:val="105"/>
        </w:rPr>
        <w:t> </w:t>
      </w:r>
      <w:r>
        <w:rPr>
          <w:w w:val="105"/>
        </w:rPr>
        <w:t>significant</w:t>
      </w:r>
      <w:r>
        <w:rPr>
          <w:spacing w:val="-2"/>
          <w:w w:val="105"/>
        </w:rPr>
        <w:t> </w:t>
      </w:r>
      <w:r>
        <w:rPr>
          <w:w w:val="105"/>
        </w:rPr>
        <w:t>other</w:t>
      </w:r>
      <w:r>
        <w:rPr>
          <w:spacing w:val="-2"/>
          <w:w w:val="105"/>
        </w:rPr>
        <w:t> </w:t>
      </w:r>
      <w:r>
        <w:rPr>
          <w:w w:val="105"/>
        </w:rPr>
        <w:t>observable</w:t>
      </w:r>
      <w:r>
        <w:rPr>
          <w:spacing w:val="-2"/>
          <w:w w:val="105"/>
        </w:rPr>
        <w:t> </w:t>
      </w:r>
      <w:r>
        <w:rPr>
          <w:w w:val="105"/>
        </w:rPr>
        <w:t>inputs,</w:t>
      </w:r>
      <w:r>
        <w:rPr>
          <w:spacing w:val="-2"/>
          <w:w w:val="105"/>
        </w:rPr>
        <w:t> </w:t>
      </w:r>
      <w:r>
        <w:rPr>
          <w:w w:val="105"/>
        </w:rPr>
        <w:t>and</w:t>
      </w:r>
      <w:r>
        <w:rPr>
          <w:spacing w:val="-2"/>
          <w:w w:val="105"/>
        </w:rPr>
        <w:t> </w:t>
      </w:r>
      <w:r>
        <w:rPr>
          <w:w w:val="105"/>
        </w:rPr>
        <w:t>Level</w:t>
      </w:r>
      <w:r>
        <w:rPr>
          <w:spacing w:val="-1"/>
          <w:w w:val="105"/>
        </w:rPr>
        <w:t> </w:t>
      </w:r>
      <w:r>
        <w:rPr>
          <w:w w:val="105"/>
        </w:rPr>
        <w:t>3,</w:t>
      </w:r>
      <w:r>
        <w:rPr>
          <w:spacing w:val="-2"/>
          <w:w w:val="105"/>
        </w:rPr>
        <w:t> </w:t>
      </w:r>
      <w:r>
        <w:rPr>
          <w:w w:val="105"/>
        </w:rPr>
        <w:t>significant</w:t>
      </w:r>
      <w:r>
        <w:rPr>
          <w:spacing w:val="-2"/>
          <w:w w:val="105"/>
        </w:rPr>
        <w:t> </w:t>
      </w:r>
      <w:r>
        <w:rPr>
          <w:w w:val="105"/>
        </w:rPr>
        <w:t>unobservable inputs</w:t>
      </w:r>
      <w:r>
        <w:rPr>
          <w:spacing w:val="-2"/>
          <w:w w:val="105"/>
        </w:rPr>
        <w:t> </w:t>
      </w:r>
      <w:r>
        <w:rPr>
          <w:w w:val="105"/>
        </w:rPr>
        <w:t>(in</w:t>
      </w:r>
      <w:r>
        <w:rPr>
          <w:spacing w:val="-2"/>
          <w:w w:val="105"/>
        </w:rPr>
        <w:t> </w:t>
      </w:r>
      <w:r>
        <w:rPr>
          <w:w w:val="105"/>
        </w:rPr>
        <w:t>millions):</w:t>
      </w:r>
    </w:p>
    <w:p>
      <w:pPr>
        <w:pStyle w:val="BodyText"/>
        <w:spacing w:before="3"/>
        <w:rPr>
          <w:sz w:val="15"/>
        </w:rPr>
      </w:pPr>
      <w:r>
        <w:rPr/>
        <mc:AlternateContent>
          <mc:Choice Requires="wps">
            <w:drawing>
              <wp:anchor distT="0" distB="0" distL="0" distR="0" allowOverlap="1" layoutInCell="1" locked="0" behindDoc="1" simplePos="0" relativeHeight="487735296">
                <wp:simplePos x="0" y="0"/>
                <wp:positionH relativeFrom="page">
                  <wp:posOffset>226479</wp:posOffset>
                </wp:positionH>
                <wp:positionV relativeFrom="paragraph">
                  <wp:posOffset>126900</wp:posOffset>
                </wp:positionV>
                <wp:extent cx="7312659" cy="16510"/>
                <wp:effectExtent l="0" t="0" r="0" b="0"/>
                <wp:wrapTopAndBottom/>
                <wp:docPr id="715" name="Graphic 715"/>
                <wp:cNvGraphicFramePr>
                  <a:graphicFrameLocks/>
                </wp:cNvGraphicFramePr>
                <a:graphic>
                  <a:graphicData uri="http://schemas.microsoft.com/office/word/2010/wordprocessingShape">
                    <wps:wsp>
                      <wps:cNvPr id="715" name="Graphic 715"/>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9.992143pt;width:575.775027pt;height:1.274pt;mso-position-horizontal-relative:page;mso-position-vertical-relative:paragraph;z-index:-15581184;mso-wrap-distance-left:0;mso-wrap-distance-right:0" id="docshape714" filled="true" fillcolor="#000000" stroked="false">
                <v:fill type="solid"/>
                <w10:wrap type="topAndBottom"/>
              </v:rect>
            </w:pict>
          </mc:Fallback>
        </mc:AlternateContent>
      </w:r>
    </w:p>
    <w:p>
      <w:pPr>
        <w:tabs>
          <w:tab w:pos="4132" w:val="left" w:leader="none"/>
          <w:tab w:pos="7035" w:val="left" w:leader="none"/>
          <w:tab w:pos="8334" w:val="left" w:leader="none"/>
          <w:tab w:pos="8769" w:val="left" w:leader="none"/>
          <w:tab w:pos="11672" w:val="left" w:leader="none"/>
        </w:tabs>
        <w:spacing w:before="0"/>
        <w:ind w:left="3697" w:right="0" w:firstLine="0"/>
        <w:jc w:val="left"/>
        <w:rPr>
          <w:sz w:val="14"/>
        </w:rPr>
      </w:pPr>
      <w:r>
        <w:rPr>
          <w:sz w:val="14"/>
          <w:u w:val="single"/>
        </w:rPr>
        <w:tab/>
        <w:t>Fair</w:t>
      </w:r>
      <w:r>
        <w:rPr>
          <w:spacing w:val="-5"/>
          <w:sz w:val="14"/>
          <w:u w:val="single"/>
        </w:rPr>
        <w:t> </w:t>
      </w:r>
      <w:r>
        <w:rPr>
          <w:sz w:val="14"/>
          <w:u w:val="single"/>
        </w:rPr>
        <w:t>value</w:t>
      </w:r>
      <w:r>
        <w:rPr>
          <w:spacing w:val="-2"/>
          <w:sz w:val="14"/>
          <w:u w:val="single"/>
        </w:rPr>
        <w:t> </w:t>
      </w:r>
      <w:r>
        <w:rPr>
          <w:sz w:val="14"/>
          <w:u w:val="single"/>
        </w:rPr>
        <w:t>measurements</w:t>
      </w:r>
      <w:r>
        <w:rPr>
          <w:spacing w:val="-2"/>
          <w:sz w:val="14"/>
          <w:u w:val="single"/>
        </w:rPr>
        <w:t> </w:t>
      </w:r>
      <w:r>
        <w:rPr>
          <w:sz w:val="14"/>
          <w:u w:val="single"/>
        </w:rPr>
        <w:t>at</w:t>
      </w:r>
      <w:r>
        <w:rPr>
          <w:spacing w:val="-2"/>
          <w:sz w:val="14"/>
          <w:u w:val="single"/>
        </w:rPr>
        <w:t> </w:t>
      </w:r>
      <w:r>
        <w:rPr>
          <w:sz w:val="14"/>
          <w:u w:val="single"/>
        </w:rPr>
        <w:t>reporting</w:t>
      </w:r>
      <w:r>
        <w:rPr>
          <w:spacing w:val="-2"/>
          <w:sz w:val="14"/>
          <w:u w:val="single"/>
        </w:rPr>
        <w:t> </w:t>
      </w:r>
      <w:r>
        <w:rPr>
          <w:spacing w:val="-4"/>
          <w:sz w:val="14"/>
          <w:u w:val="single"/>
        </w:rPr>
        <w:t>date</w:t>
      </w:r>
      <w:r>
        <w:rPr>
          <w:sz w:val="14"/>
          <w:u w:val="single"/>
        </w:rPr>
        <w:tab/>
      </w:r>
      <w:r>
        <w:rPr>
          <w:sz w:val="14"/>
        </w:rPr>
        <w:tab/>
      </w:r>
      <w:r>
        <w:rPr>
          <w:sz w:val="14"/>
          <w:u w:val="single"/>
        </w:rPr>
        <w:tab/>
        <w:t>Fair</w:t>
      </w:r>
      <w:r>
        <w:rPr>
          <w:spacing w:val="-5"/>
          <w:sz w:val="14"/>
          <w:u w:val="single"/>
        </w:rPr>
        <w:t> </w:t>
      </w:r>
      <w:r>
        <w:rPr>
          <w:sz w:val="14"/>
          <w:u w:val="single"/>
        </w:rPr>
        <w:t>value</w:t>
      </w:r>
      <w:r>
        <w:rPr>
          <w:spacing w:val="-2"/>
          <w:sz w:val="14"/>
          <w:u w:val="single"/>
        </w:rPr>
        <w:t> </w:t>
      </w:r>
      <w:r>
        <w:rPr>
          <w:sz w:val="14"/>
          <w:u w:val="single"/>
        </w:rPr>
        <w:t>measurements</w:t>
      </w:r>
      <w:r>
        <w:rPr>
          <w:spacing w:val="-2"/>
          <w:sz w:val="14"/>
          <w:u w:val="single"/>
        </w:rPr>
        <w:t> </w:t>
      </w:r>
      <w:r>
        <w:rPr>
          <w:sz w:val="14"/>
          <w:u w:val="single"/>
        </w:rPr>
        <w:t>at</w:t>
      </w:r>
      <w:r>
        <w:rPr>
          <w:spacing w:val="-2"/>
          <w:sz w:val="14"/>
          <w:u w:val="single"/>
        </w:rPr>
        <w:t> </w:t>
      </w:r>
      <w:r>
        <w:rPr>
          <w:sz w:val="14"/>
          <w:u w:val="single"/>
        </w:rPr>
        <w:t>reporting</w:t>
      </w:r>
      <w:r>
        <w:rPr>
          <w:spacing w:val="-2"/>
          <w:sz w:val="14"/>
          <w:u w:val="single"/>
        </w:rPr>
        <w:t> </w:t>
      </w:r>
      <w:r>
        <w:rPr>
          <w:spacing w:val="-4"/>
          <w:sz w:val="14"/>
          <w:u w:val="single"/>
        </w:rPr>
        <w:t>date</w:t>
      </w:r>
      <w:r>
        <w:rPr>
          <w:sz w:val="14"/>
          <w:u w:val="single"/>
        </w:rPr>
        <w:tab/>
      </w:r>
    </w:p>
    <w:p>
      <w:pPr>
        <w:tabs>
          <w:tab w:pos="7235" w:val="left" w:leader="none"/>
        </w:tabs>
        <w:spacing w:before="1"/>
        <w:ind w:left="2582" w:right="0" w:firstLine="0"/>
        <w:jc w:val="left"/>
        <w:rPr>
          <w:sz w:val="14"/>
        </w:rPr>
      </w:pPr>
      <w:r>
        <w:rPr>
          <w:b/>
          <w:sz w:val="14"/>
        </w:rPr>
        <w:t>December</w:t>
      </w:r>
      <w:r>
        <w:rPr>
          <w:b/>
          <w:spacing w:val="-7"/>
          <w:sz w:val="14"/>
        </w:rPr>
        <w:t> </w:t>
      </w:r>
      <w:r>
        <w:rPr>
          <w:b/>
          <w:spacing w:val="-5"/>
          <w:sz w:val="14"/>
        </w:rPr>
        <w:t>31,</w:t>
      </w:r>
      <w:r>
        <w:rPr>
          <w:b/>
          <w:sz w:val="14"/>
        </w:rPr>
        <w:tab/>
      </w:r>
      <w:r>
        <w:rPr>
          <w:sz w:val="14"/>
        </w:rPr>
        <w:t>December</w:t>
      </w:r>
      <w:r>
        <w:rPr>
          <w:spacing w:val="-10"/>
          <w:sz w:val="14"/>
        </w:rPr>
        <w:t> </w:t>
      </w:r>
      <w:r>
        <w:rPr>
          <w:spacing w:val="-5"/>
          <w:sz w:val="14"/>
        </w:rPr>
        <w:t>31,</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1491"/>
        <w:gridCol w:w="1146"/>
        <w:gridCol w:w="1146"/>
        <w:gridCol w:w="1159"/>
        <w:gridCol w:w="1184"/>
        <w:gridCol w:w="1146"/>
        <w:gridCol w:w="1146"/>
        <w:gridCol w:w="1159"/>
      </w:tblGrid>
      <w:tr>
        <w:trPr>
          <w:trHeight w:val="149" w:hRule="atLeast"/>
        </w:trPr>
        <w:tc>
          <w:tcPr>
            <w:tcW w:w="1936" w:type="dxa"/>
            <w:tcBorders>
              <w:bottom w:val="single" w:sz="6" w:space="0" w:color="000000"/>
            </w:tcBorders>
          </w:tcPr>
          <w:p>
            <w:pPr>
              <w:pStyle w:val="TableParagraph"/>
              <w:spacing w:line="129" w:lineRule="exact"/>
              <w:rPr>
                <w:sz w:val="14"/>
              </w:rPr>
            </w:pPr>
            <w:r>
              <w:rPr>
                <w:sz w:val="14"/>
              </w:rPr>
              <w:t>(in </w:t>
            </w:r>
            <w:r>
              <w:rPr>
                <w:spacing w:val="-2"/>
                <w:sz w:val="14"/>
              </w:rPr>
              <w:t>millions)</w:t>
            </w:r>
          </w:p>
        </w:tc>
        <w:tc>
          <w:tcPr>
            <w:tcW w:w="1491" w:type="dxa"/>
            <w:tcBorders>
              <w:bottom w:val="single" w:sz="6" w:space="0" w:color="000000"/>
            </w:tcBorders>
          </w:tcPr>
          <w:p>
            <w:pPr>
              <w:pStyle w:val="TableParagraph"/>
              <w:spacing w:line="129" w:lineRule="exact"/>
              <w:ind w:left="305"/>
              <w:jc w:val="center"/>
              <w:rPr>
                <w:b/>
                <w:sz w:val="14"/>
              </w:rPr>
            </w:pPr>
            <w:r>
              <w:rPr>
                <w:b/>
                <w:spacing w:val="-4"/>
                <w:sz w:val="14"/>
              </w:rPr>
              <w:t>2021</w:t>
            </w:r>
          </w:p>
        </w:tc>
        <w:tc>
          <w:tcPr>
            <w:tcW w:w="1146" w:type="dxa"/>
            <w:tcBorders>
              <w:bottom w:val="single" w:sz="6" w:space="0" w:color="000000"/>
            </w:tcBorders>
          </w:tcPr>
          <w:p>
            <w:pPr>
              <w:pStyle w:val="TableParagraph"/>
              <w:spacing w:line="129" w:lineRule="exact"/>
              <w:jc w:val="center"/>
              <w:rPr>
                <w:sz w:val="14"/>
              </w:rPr>
            </w:pPr>
            <w:r>
              <w:rPr>
                <w:sz w:val="14"/>
              </w:rPr>
              <w:t>(Level</w:t>
            </w:r>
            <w:r>
              <w:rPr>
                <w:spacing w:val="-6"/>
                <w:sz w:val="14"/>
              </w:rPr>
              <w:t> </w:t>
            </w:r>
            <w:r>
              <w:rPr>
                <w:spacing w:val="-5"/>
                <w:sz w:val="14"/>
              </w:rPr>
              <w:t>1)</w:t>
            </w:r>
          </w:p>
        </w:tc>
        <w:tc>
          <w:tcPr>
            <w:tcW w:w="1146" w:type="dxa"/>
            <w:tcBorders>
              <w:bottom w:val="single" w:sz="6" w:space="0" w:color="000000"/>
            </w:tcBorders>
          </w:tcPr>
          <w:p>
            <w:pPr>
              <w:pStyle w:val="TableParagraph"/>
              <w:spacing w:line="129" w:lineRule="exact"/>
              <w:jc w:val="center"/>
              <w:rPr>
                <w:sz w:val="14"/>
              </w:rPr>
            </w:pPr>
            <w:r>
              <w:rPr>
                <w:sz w:val="14"/>
              </w:rPr>
              <w:t>(Level</w:t>
            </w:r>
            <w:r>
              <w:rPr>
                <w:spacing w:val="-6"/>
                <w:sz w:val="14"/>
              </w:rPr>
              <w:t> </w:t>
            </w:r>
            <w:r>
              <w:rPr>
                <w:spacing w:val="-5"/>
                <w:sz w:val="14"/>
              </w:rPr>
              <w:t>2)</w:t>
            </w:r>
          </w:p>
        </w:tc>
        <w:tc>
          <w:tcPr>
            <w:tcW w:w="1159" w:type="dxa"/>
            <w:tcBorders>
              <w:bottom w:val="single" w:sz="6" w:space="0" w:color="000000"/>
            </w:tcBorders>
          </w:tcPr>
          <w:p>
            <w:pPr>
              <w:pStyle w:val="TableParagraph"/>
              <w:spacing w:line="129" w:lineRule="exact"/>
              <w:jc w:val="center"/>
              <w:rPr>
                <w:sz w:val="14"/>
              </w:rPr>
            </w:pPr>
            <w:r>
              <w:rPr>
                <w:sz w:val="14"/>
              </w:rPr>
              <w:t>(Level</w:t>
            </w:r>
            <w:r>
              <w:rPr>
                <w:spacing w:val="-6"/>
                <w:sz w:val="14"/>
              </w:rPr>
              <w:t> </w:t>
            </w:r>
            <w:r>
              <w:rPr>
                <w:spacing w:val="-5"/>
                <w:sz w:val="14"/>
              </w:rPr>
              <w:t>3)</w:t>
            </w:r>
          </w:p>
        </w:tc>
        <w:tc>
          <w:tcPr>
            <w:tcW w:w="1184" w:type="dxa"/>
            <w:tcBorders>
              <w:bottom w:val="single" w:sz="6" w:space="0" w:color="000000"/>
            </w:tcBorders>
          </w:tcPr>
          <w:p>
            <w:pPr>
              <w:pStyle w:val="TableParagraph"/>
              <w:spacing w:line="129" w:lineRule="exact"/>
              <w:ind w:left="2"/>
              <w:jc w:val="center"/>
              <w:rPr>
                <w:sz w:val="14"/>
              </w:rPr>
            </w:pPr>
            <w:r>
              <w:rPr>
                <w:spacing w:val="-4"/>
                <w:sz w:val="14"/>
              </w:rPr>
              <w:t>2020</w:t>
            </w:r>
          </w:p>
        </w:tc>
        <w:tc>
          <w:tcPr>
            <w:tcW w:w="1146" w:type="dxa"/>
            <w:tcBorders>
              <w:bottom w:val="single" w:sz="6" w:space="0" w:color="000000"/>
            </w:tcBorders>
          </w:tcPr>
          <w:p>
            <w:pPr>
              <w:pStyle w:val="TableParagraph"/>
              <w:spacing w:line="129" w:lineRule="exact"/>
              <w:ind w:left="2"/>
              <w:jc w:val="center"/>
              <w:rPr>
                <w:sz w:val="14"/>
              </w:rPr>
            </w:pPr>
            <w:r>
              <w:rPr>
                <w:sz w:val="14"/>
              </w:rPr>
              <w:t>(Level</w:t>
            </w:r>
            <w:r>
              <w:rPr>
                <w:spacing w:val="-6"/>
                <w:sz w:val="14"/>
              </w:rPr>
              <w:t> </w:t>
            </w:r>
            <w:r>
              <w:rPr>
                <w:spacing w:val="-5"/>
                <w:sz w:val="14"/>
              </w:rPr>
              <w:t>1)</w:t>
            </w:r>
          </w:p>
        </w:tc>
        <w:tc>
          <w:tcPr>
            <w:tcW w:w="1146" w:type="dxa"/>
            <w:tcBorders>
              <w:bottom w:val="single" w:sz="6" w:space="0" w:color="000000"/>
            </w:tcBorders>
          </w:tcPr>
          <w:p>
            <w:pPr>
              <w:pStyle w:val="TableParagraph"/>
              <w:spacing w:line="129" w:lineRule="exact"/>
              <w:ind w:left="3"/>
              <w:jc w:val="center"/>
              <w:rPr>
                <w:sz w:val="14"/>
              </w:rPr>
            </w:pPr>
            <w:r>
              <w:rPr>
                <w:sz w:val="14"/>
              </w:rPr>
              <w:t>(Level</w:t>
            </w:r>
            <w:r>
              <w:rPr>
                <w:spacing w:val="-6"/>
                <w:sz w:val="14"/>
              </w:rPr>
              <w:t> </w:t>
            </w:r>
            <w:r>
              <w:rPr>
                <w:spacing w:val="-5"/>
                <w:sz w:val="14"/>
              </w:rPr>
              <w:t>2)</w:t>
            </w:r>
          </w:p>
        </w:tc>
        <w:tc>
          <w:tcPr>
            <w:tcW w:w="1159" w:type="dxa"/>
            <w:tcBorders>
              <w:bottom w:val="single" w:sz="6" w:space="0" w:color="000000"/>
            </w:tcBorders>
          </w:tcPr>
          <w:p>
            <w:pPr>
              <w:pStyle w:val="TableParagraph"/>
              <w:spacing w:line="129" w:lineRule="exact"/>
              <w:ind w:left="4"/>
              <w:jc w:val="center"/>
              <w:rPr>
                <w:sz w:val="14"/>
              </w:rPr>
            </w:pPr>
            <w:r>
              <w:rPr>
                <w:sz w:val="14"/>
              </w:rPr>
              <w:t>(Level</w:t>
            </w:r>
            <w:r>
              <w:rPr>
                <w:spacing w:val="-6"/>
                <w:sz w:val="14"/>
              </w:rPr>
              <w:t> </w:t>
            </w:r>
            <w:r>
              <w:rPr>
                <w:spacing w:val="-5"/>
                <w:sz w:val="14"/>
              </w:rPr>
              <w:t>3)</w:t>
            </w:r>
          </w:p>
        </w:tc>
      </w:tr>
      <w:tr>
        <w:trPr>
          <w:trHeight w:val="156" w:hRule="atLeast"/>
        </w:trPr>
        <w:tc>
          <w:tcPr>
            <w:tcW w:w="1936" w:type="dxa"/>
            <w:tcBorders>
              <w:top w:val="single" w:sz="6" w:space="0" w:color="000000"/>
            </w:tcBorders>
            <w:shd w:val="clear" w:color="auto" w:fill="CCEDFF"/>
          </w:tcPr>
          <w:p>
            <w:pPr>
              <w:pStyle w:val="TableParagraph"/>
              <w:spacing w:line="132" w:lineRule="exact"/>
              <w:rPr>
                <w:sz w:val="14"/>
              </w:rPr>
            </w:pPr>
            <w:r>
              <w:rPr>
                <w:sz w:val="14"/>
              </w:rPr>
              <w:t>Current </w:t>
            </w:r>
            <w:r>
              <w:rPr>
                <w:spacing w:val="-2"/>
                <w:sz w:val="14"/>
              </w:rPr>
              <w:t>assets:</w:t>
            </w:r>
          </w:p>
        </w:tc>
        <w:tc>
          <w:tcPr>
            <w:tcW w:w="1491" w:type="dxa"/>
            <w:tcBorders>
              <w:top w:val="single" w:sz="6" w:space="0" w:color="000000"/>
            </w:tcBorders>
            <w:shd w:val="clear" w:color="auto" w:fill="CCEDFF"/>
          </w:tcPr>
          <w:p>
            <w:pPr>
              <w:pStyle w:val="TableParagraph"/>
              <w:rPr>
                <w:sz w:val="8"/>
              </w:rPr>
            </w:pPr>
          </w:p>
        </w:tc>
        <w:tc>
          <w:tcPr>
            <w:tcW w:w="1146" w:type="dxa"/>
            <w:tcBorders>
              <w:top w:val="single" w:sz="6" w:space="0" w:color="000000"/>
            </w:tcBorders>
            <w:shd w:val="clear" w:color="auto" w:fill="CCEDFF"/>
          </w:tcPr>
          <w:p>
            <w:pPr>
              <w:pStyle w:val="TableParagraph"/>
              <w:rPr>
                <w:sz w:val="8"/>
              </w:rPr>
            </w:pPr>
          </w:p>
        </w:tc>
        <w:tc>
          <w:tcPr>
            <w:tcW w:w="1146" w:type="dxa"/>
            <w:tcBorders>
              <w:top w:val="single" w:sz="6" w:space="0" w:color="000000"/>
            </w:tcBorders>
            <w:shd w:val="clear" w:color="auto" w:fill="CCEDFF"/>
          </w:tcPr>
          <w:p>
            <w:pPr>
              <w:pStyle w:val="TableParagraph"/>
              <w:rPr>
                <w:sz w:val="8"/>
              </w:rPr>
            </w:pPr>
          </w:p>
        </w:tc>
        <w:tc>
          <w:tcPr>
            <w:tcW w:w="1159" w:type="dxa"/>
            <w:tcBorders>
              <w:top w:val="single" w:sz="6" w:space="0" w:color="000000"/>
            </w:tcBorders>
            <w:shd w:val="clear" w:color="auto" w:fill="CCEDFF"/>
          </w:tcPr>
          <w:p>
            <w:pPr>
              <w:pStyle w:val="TableParagraph"/>
              <w:rPr>
                <w:sz w:val="8"/>
              </w:rPr>
            </w:pPr>
          </w:p>
        </w:tc>
        <w:tc>
          <w:tcPr>
            <w:tcW w:w="1184" w:type="dxa"/>
            <w:tcBorders>
              <w:top w:val="single" w:sz="6" w:space="0" w:color="000000"/>
            </w:tcBorders>
            <w:shd w:val="clear" w:color="auto" w:fill="CCEDFF"/>
          </w:tcPr>
          <w:p>
            <w:pPr>
              <w:pStyle w:val="TableParagraph"/>
              <w:rPr>
                <w:sz w:val="8"/>
              </w:rPr>
            </w:pPr>
          </w:p>
        </w:tc>
        <w:tc>
          <w:tcPr>
            <w:tcW w:w="1146" w:type="dxa"/>
            <w:tcBorders>
              <w:top w:val="single" w:sz="6" w:space="0" w:color="000000"/>
            </w:tcBorders>
            <w:shd w:val="clear" w:color="auto" w:fill="CCEDFF"/>
          </w:tcPr>
          <w:p>
            <w:pPr>
              <w:pStyle w:val="TableParagraph"/>
              <w:rPr>
                <w:sz w:val="8"/>
              </w:rPr>
            </w:pPr>
          </w:p>
        </w:tc>
        <w:tc>
          <w:tcPr>
            <w:tcW w:w="1146" w:type="dxa"/>
            <w:tcBorders>
              <w:top w:val="single" w:sz="6" w:space="0" w:color="000000"/>
            </w:tcBorders>
            <w:shd w:val="clear" w:color="auto" w:fill="CCEDFF"/>
          </w:tcPr>
          <w:p>
            <w:pPr>
              <w:pStyle w:val="TableParagraph"/>
              <w:rPr>
                <w:sz w:val="8"/>
              </w:rPr>
            </w:pPr>
          </w:p>
        </w:tc>
        <w:tc>
          <w:tcPr>
            <w:tcW w:w="1159" w:type="dxa"/>
            <w:tcBorders>
              <w:top w:val="single" w:sz="6" w:space="0" w:color="000000"/>
            </w:tcBorders>
            <w:shd w:val="clear" w:color="auto" w:fill="CCEDFF"/>
          </w:tcPr>
          <w:p>
            <w:pPr>
              <w:pStyle w:val="TableParagraph"/>
              <w:rPr>
                <w:sz w:val="8"/>
              </w:rPr>
            </w:pPr>
          </w:p>
        </w:tc>
      </w:tr>
      <w:tr>
        <w:trPr>
          <w:trHeight w:val="152" w:hRule="atLeast"/>
        </w:trPr>
        <w:tc>
          <w:tcPr>
            <w:tcW w:w="1936" w:type="dxa"/>
          </w:tcPr>
          <w:p>
            <w:pPr>
              <w:pStyle w:val="TableParagraph"/>
              <w:spacing w:line="133" w:lineRule="exact"/>
              <w:rPr>
                <w:sz w:val="11"/>
              </w:rPr>
            </w:pPr>
            <w:r>
              <w:rPr>
                <w:sz w:val="14"/>
              </w:rPr>
              <w:t>Other</w:t>
            </w:r>
            <w:r>
              <w:rPr>
                <w:spacing w:val="-2"/>
                <w:sz w:val="14"/>
              </w:rPr>
              <w:t> </w:t>
            </w:r>
            <w:r>
              <w:rPr>
                <w:sz w:val="14"/>
              </w:rPr>
              <w:t>current</w:t>
            </w:r>
            <w:r>
              <w:rPr>
                <w:spacing w:val="-2"/>
                <w:sz w:val="14"/>
              </w:rPr>
              <w:t> </w:t>
            </w:r>
            <w:r>
              <w:rPr>
                <w:sz w:val="14"/>
              </w:rPr>
              <w:t>assets</w:t>
            </w:r>
            <w:r>
              <w:rPr>
                <w:spacing w:val="-2"/>
                <w:sz w:val="14"/>
              </w:rPr>
              <w:t> </w:t>
            </w:r>
            <w:r>
              <w:rPr>
                <w:spacing w:val="-2"/>
                <w:position w:val="3"/>
                <w:sz w:val="11"/>
              </w:rPr>
              <w:t>(1)(2)</w:t>
            </w:r>
          </w:p>
        </w:tc>
        <w:tc>
          <w:tcPr>
            <w:tcW w:w="1491" w:type="dxa"/>
          </w:tcPr>
          <w:p>
            <w:pPr>
              <w:pStyle w:val="TableParagraph"/>
              <w:tabs>
                <w:tab w:pos="1050" w:val="left" w:leader="none"/>
              </w:tabs>
              <w:spacing w:line="133" w:lineRule="exact"/>
              <w:ind w:left="305"/>
              <w:jc w:val="center"/>
              <w:rPr>
                <w:b/>
                <w:sz w:val="14"/>
              </w:rPr>
            </w:pPr>
            <w:r>
              <w:rPr>
                <w:b/>
                <w:spacing w:val="-10"/>
                <w:sz w:val="14"/>
              </w:rPr>
              <w:t>$</w:t>
            </w:r>
            <w:r>
              <w:rPr>
                <w:b/>
                <w:sz w:val="14"/>
              </w:rPr>
              <w:tab/>
            </w:r>
            <w:r>
              <w:rPr>
                <w:b/>
                <w:spacing w:val="-5"/>
                <w:sz w:val="14"/>
              </w:rPr>
              <w:t>352</w:t>
            </w:r>
          </w:p>
        </w:tc>
        <w:tc>
          <w:tcPr>
            <w:tcW w:w="1146" w:type="dxa"/>
          </w:tcPr>
          <w:p>
            <w:pPr>
              <w:pStyle w:val="TableParagraph"/>
              <w:tabs>
                <w:tab w:pos="776" w:val="left" w:leader="none"/>
              </w:tabs>
              <w:spacing w:line="133" w:lineRule="exact"/>
              <w:jc w:val="center"/>
              <w:rPr>
                <w:sz w:val="14"/>
              </w:rPr>
            </w:pPr>
            <w:r>
              <w:rPr>
                <w:spacing w:val="-10"/>
                <w:sz w:val="14"/>
              </w:rPr>
              <w:t>$</w:t>
            </w:r>
            <w:r>
              <w:rPr>
                <w:sz w:val="14"/>
              </w:rPr>
              <w:tab/>
            </w:r>
            <w:r>
              <w:rPr>
                <w:spacing w:val="-5"/>
                <w:sz w:val="14"/>
              </w:rPr>
              <w:t>10</w:t>
            </w:r>
          </w:p>
        </w:tc>
        <w:tc>
          <w:tcPr>
            <w:tcW w:w="1146" w:type="dxa"/>
          </w:tcPr>
          <w:p>
            <w:pPr>
              <w:pStyle w:val="TableParagraph"/>
              <w:tabs>
                <w:tab w:pos="707" w:val="left" w:leader="none"/>
              </w:tabs>
              <w:spacing w:line="133" w:lineRule="exact"/>
              <w:jc w:val="center"/>
              <w:rPr>
                <w:sz w:val="14"/>
              </w:rPr>
            </w:pPr>
            <w:r>
              <w:rPr>
                <w:spacing w:val="-10"/>
                <w:sz w:val="14"/>
              </w:rPr>
              <w:t>$</w:t>
            </w:r>
            <w:r>
              <w:rPr>
                <w:sz w:val="14"/>
              </w:rPr>
              <w:tab/>
            </w:r>
            <w:r>
              <w:rPr>
                <w:spacing w:val="-5"/>
                <w:sz w:val="14"/>
              </w:rPr>
              <w:t>336</w:t>
            </w:r>
          </w:p>
        </w:tc>
        <w:tc>
          <w:tcPr>
            <w:tcW w:w="1159" w:type="dxa"/>
          </w:tcPr>
          <w:p>
            <w:pPr>
              <w:pStyle w:val="TableParagraph"/>
              <w:tabs>
                <w:tab w:pos="861" w:val="left" w:leader="none"/>
              </w:tabs>
              <w:spacing w:line="133" w:lineRule="exact"/>
              <w:ind w:left="1"/>
              <w:jc w:val="center"/>
              <w:rPr>
                <w:sz w:val="14"/>
              </w:rPr>
            </w:pPr>
            <w:r>
              <w:rPr>
                <w:spacing w:val="-10"/>
                <w:sz w:val="14"/>
              </w:rPr>
              <w:t>$</w:t>
            </w:r>
            <w:r>
              <w:rPr>
                <w:sz w:val="14"/>
              </w:rPr>
              <w:tab/>
            </w:r>
            <w:r>
              <w:rPr>
                <w:spacing w:val="-10"/>
                <w:sz w:val="14"/>
              </w:rPr>
              <w:t>6</w:t>
            </w:r>
          </w:p>
        </w:tc>
        <w:tc>
          <w:tcPr>
            <w:tcW w:w="1184" w:type="dxa"/>
          </w:tcPr>
          <w:p>
            <w:pPr>
              <w:pStyle w:val="TableParagraph"/>
              <w:tabs>
                <w:tab w:pos="747" w:val="left" w:leader="none"/>
              </w:tabs>
              <w:spacing w:line="133" w:lineRule="exact"/>
              <w:ind w:left="2"/>
              <w:jc w:val="center"/>
              <w:rPr>
                <w:sz w:val="14"/>
              </w:rPr>
            </w:pPr>
            <w:r>
              <w:rPr>
                <w:spacing w:val="-10"/>
                <w:sz w:val="14"/>
              </w:rPr>
              <w:t>$</w:t>
            </w:r>
            <w:r>
              <w:rPr>
                <w:sz w:val="14"/>
              </w:rPr>
              <w:tab/>
            </w:r>
            <w:r>
              <w:rPr>
                <w:spacing w:val="-5"/>
                <w:sz w:val="14"/>
              </w:rPr>
              <w:t>152</w:t>
            </w:r>
          </w:p>
        </w:tc>
        <w:tc>
          <w:tcPr>
            <w:tcW w:w="1146" w:type="dxa"/>
          </w:tcPr>
          <w:p>
            <w:pPr>
              <w:pStyle w:val="TableParagraph"/>
              <w:rPr>
                <w:sz w:val="8"/>
              </w:rPr>
            </w:pPr>
          </w:p>
        </w:tc>
        <w:tc>
          <w:tcPr>
            <w:tcW w:w="1146" w:type="dxa"/>
          </w:tcPr>
          <w:p>
            <w:pPr>
              <w:pStyle w:val="TableParagraph"/>
              <w:tabs>
                <w:tab w:pos="711" w:val="left" w:leader="none"/>
              </w:tabs>
              <w:spacing w:line="133" w:lineRule="exact"/>
              <w:ind w:left="4"/>
              <w:jc w:val="center"/>
              <w:rPr>
                <w:sz w:val="14"/>
              </w:rPr>
            </w:pPr>
            <w:r>
              <w:rPr>
                <w:spacing w:val="-10"/>
                <w:sz w:val="14"/>
              </w:rPr>
              <w:t>$</w:t>
            </w:r>
            <w:r>
              <w:rPr>
                <w:sz w:val="14"/>
              </w:rPr>
              <w:tab/>
            </w:r>
            <w:r>
              <w:rPr>
                <w:spacing w:val="-5"/>
                <w:sz w:val="14"/>
              </w:rPr>
              <w:t>148</w:t>
            </w:r>
          </w:p>
        </w:tc>
        <w:tc>
          <w:tcPr>
            <w:tcW w:w="1159" w:type="dxa"/>
          </w:tcPr>
          <w:p>
            <w:pPr>
              <w:pStyle w:val="TableParagraph"/>
              <w:tabs>
                <w:tab w:pos="864" w:val="left" w:leader="none"/>
              </w:tabs>
              <w:spacing w:line="133" w:lineRule="exact"/>
              <w:ind w:left="4"/>
              <w:jc w:val="center"/>
              <w:rPr>
                <w:sz w:val="14"/>
              </w:rPr>
            </w:pPr>
            <w:r>
              <w:rPr>
                <w:spacing w:val="-10"/>
                <w:sz w:val="14"/>
              </w:rPr>
              <w:t>$</w:t>
            </w:r>
            <w:r>
              <w:rPr>
                <w:sz w:val="14"/>
              </w:rPr>
              <w:tab/>
            </w:r>
            <w:r>
              <w:rPr>
                <w:spacing w:val="-10"/>
                <w:sz w:val="14"/>
              </w:rPr>
              <w:t>4</w:t>
            </w:r>
          </w:p>
        </w:tc>
      </w:tr>
      <w:tr>
        <w:trPr>
          <w:trHeight w:val="152" w:hRule="atLeast"/>
        </w:trPr>
        <w:tc>
          <w:tcPr>
            <w:tcW w:w="1936" w:type="dxa"/>
            <w:shd w:val="clear" w:color="auto" w:fill="CCEDFF"/>
          </w:tcPr>
          <w:p>
            <w:pPr>
              <w:pStyle w:val="TableParagraph"/>
              <w:spacing w:line="133" w:lineRule="exact"/>
              <w:rPr>
                <w:sz w:val="14"/>
              </w:rPr>
            </w:pPr>
            <w:r>
              <w:rPr>
                <w:sz w:val="14"/>
              </w:rPr>
              <w:t>Non-current </w:t>
            </w:r>
            <w:r>
              <w:rPr>
                <w:spacing w:val="-2"/>
                <w:sz w:val="14"/>
              </w:rPr>
              <w:t>assets:</w:t>
            </w:r>
          </w:p>
        </w:tc>
        <w:tc>
          <w:tcPr>
            <w:tcW w:w="1491" w:type="dxa"/>
            <w:shd w:val="clear" w:color="auto" w:fill="CCEDFF"/>
          </w:tcPr>
          <w:p>
            <w:pPr>
              <w:pStyle w:val="TableParagraph"/>
              <w:rPr>
                <w:sz w:val="8"/>
              </w:rPr>
            </w:pPr>
          </w:p>
        </w:tc>
        <w:tc>
          <w:tcPr>
            <w:tcW w:w="1146" w:type="dxa"/>
            <w:shd w:val="clear" w:color="auto" w:fill="CCEDFF"/>
          </w:tcPr>
          <w:p>
            <w:pPr>
              <w:pStyle w:val="TableParagraph"/>
              <w:rPr>
                <w:sz w:val="8"/>
              </w:rPr>
            </w:pPr>
          </w:p>
        </w:tc>
        <w:tc>
          <w:tcPr>
            <w:tcW w:w="1146" w:type="dxa"/>
            <w:shd w:val="clear" w:color="auto" w:fill="CCEDFF"/>
          </w:tcPr>
          <w:p>
            <w:pPr>
              <w:pStyle w:val="TableParagraph"/>
              <w:rPr>
                <w:sz w:val="8"/>
              </w:rPr>
            </w:pPr>
          </w:p>
        </w:tc>
        <w:tc>
          <w:tcPr>
            <w:tcW w:w="1159" w:type="dxa"/>
            <w:shd w:val="clear" w:color="auto" w:fill="CCEDFF"/>
          </w:tcPr>
          <w:p>
            <w:pPr>
              <w:pStyle w:val="TableParagraph"/>
              <w:rPr>
                <w:sz w:val="8"/>
              </w:rPr>
            </w:pPr>
          </w:p>
        </w:tc>
        <w:tc>
          <w:tcPr>
            <w:tcW w:w="1184" w:type="dxa"/>
            <w:shd w:val="clear" w:color="auto" w:fill="CCEDFF"/>
          </w:tcPr>
          <w:p>
            <w:pPr>
              <w:pStyle w:val="TableParagraph"/>
              <w:rPr>
                <w:sz w:val="8"/>
              </w:rPr>
            </w:pPr>
          </w:p>
        </w:tc>
        <w:tc>
          <w:tcPr>
            <w:tcW w:w="1146" w:type="dxa"/>
            <w:shd w:val="clear" w:color="auto" w:fill="CCEDFF"/>
          </w:tcPr>
          <w:p>
            <w:pPr>
              <w:pStyle w:val="TableParagraph"/>
              <w:rPr>
                <w:sz w:val="8"/>
              </w:rPr>
            </w:pPr>
          </w:p>
        </w:tc>
        <w:tc>
          <w:tcPr>
            <w:tcW w:w="1146" w:type="dxa"/>
            <w:shd w:val="clear" w:color="auto" w:fill="CCEDFF"/>
          </w:tcPr>
          <w:p>
            <w:pPr>
              <w:pStyle w:val="TableParagraph"/>
              <w:rPr>
                <w:sz w:val="8"/>
              </w:rPr>
            </w:pPr>
          </w:p>
        </w:tc>
        <w:tc>
          <w:tcPr>
            <w:tcW w:w="1159" w:type="dxa"/>
            <w:shd w:val="clear" w:color="auto" w:fill="CCEDFF"/>
          </w:tcPr>
          <w:p>
            <w:pPr>
              <w:pStyle w:val="TableParagraph"/>
              <w:rPr>
                <w:sz w:val="8"/>
              </w:rPr>
            </w:pPr>
          </w:p>
        </w:tc>
      </w:tr>
      <w:tr>
        <w:trPr>
          <w:trHeight w:val="152" w:hRule="atLeast"/>
        </w:trPr>
        <w:tc>
          <w:tcPr>
            <w:tcW w:w="1936" w:type="dxa"/>
          </w:tcPr>
          <w:p>
            <w:pPr>
              <w:pStyle w:val="TableParagraph"/>
              <w:spacing w:line="133" w:lineRule="exact"/>
              <w:rPr>
                <w:sz w:val="11"/>
              </w:rPr>
            </w:pPr>
            <w:r>
              <w:rPr>
                <w:spacing w:val="-2"/>
                <w:sz w:val="14"/>
              </w:rPr>
              <w:t>Investments</w:t>
            </w:r>
            <w:r>
              <w:rPr>
                <w:spacing w:val="12"/>
                <w:sz w:val="14"/>
              </w:rPr>
              <w:t> </w:t>
            </w:r>
            <w:r>
              <w:rPr>
                <w:spacing w:val="-5"/>
                <w:position w:val="3"/>
                <w:sz w:val="11"/>
              </w:rPr>
              <w:t>(3)</w:t>
            </w:r>
          </w:p>
        </w:tc>
        <w:tc>
          <w:tcPr>
            <w:tcW w:w="1491" w:type="dxa"/>
          </w:tcPr>
          <w:p>
            <w:pPr>
              <w:pStyle w:val="TableParagraph"/>
              <w:rPr>
                <w:sz w:val="8"/>
              </w:rPr>
            </w:pPr>
          </w:p>
        </w:tc>
        <w:tc>
          <w:tcPr>
            <w:tcW w:w="1146" w:type="dxa"/>
          </w:tcPr>
          <w:p>
            <w:pPr>
              <w:pStyle w:val="TableParagraph"/>
              <w:rPr>
                <w:sz w:val="8"/>
              </w:rPr>
            </w:pPr>
          </w:p>
        </w:tc>
        <w:tc>
          <w:tcPr>
            <w:tcW w:w="1146" w:type="dxa"/>
          </w:tcPr>
          <w:p>
            <w:pPr>
              <w:pStyle w:val="TableParagraph"/>
              <w:rPr>
                <w:sz w:val="8"/>
              </w:rPr>
            </w:pPr>
          </w:p>
        </w:tc>
        <w:tc>
          <w:tcPr>
            <w:tcW w:w="1159" w:type="dxa"/>
          </w:tcPr>
          <w:p>
            <w:pPr>
              <w:pStyle w:val="TableParagraph"/>
              <w:rPr>
                <w:sz w:val="8"/>
              </w:rPr>
            </w:pPr>
          </w:p>
        </w:tc>
        <w:tc>
          <w:tcPr>
            <w:tcW w:w="1184" w:type="dxa"/>
          </w:tcPr>
          <w:p>
            <w:pPr>
              <w:pStyle w:val="TableParagraph"/>
              <w:tabs>
                <w:tab w:pos="747" w:val="left" w:leader="none"/>
              </w:tabs>
              <w:spacing w:line="133" w:lineRule="exact"/>
              <w:ind w:left="2"/>
              <w:jc w:val="center"/>
              <w:rPr>
                <w:sz w:val="14"/>
              </w:rPr>
            </w:pPr>
            <w:r>
              <w:rPr>
                <w:spacing w:val="-10"/>
                <w:sz w:val="14"/>
              </w:rPr>
              <w:t>$</w:t>
            </w:r>
            <w:r>
              <w:rPr>
                <w:sz w:val="14"/>
              </w:rPr>
              <w:tab/>
            </w:r>
            <w:r>
              <w:rPr>
                <w:spacing w:val="-5"/>
                <w:sz w:val="14"/>
              </w:rPr>
              <w:t>137</w:t>
            </w:r>
          </w:p>
        </w:tc>
        <w:tc>
          <w:tcPr>
            <w:tcW w:w="1146" w:type="dxa"/>
          </w:tcPr>
          <w:p>
            <w:pPr>
              <w:pStyle w:val="TableParagraph"/>
              <w:tabs>
                <w:tab w:pos="710" w:val="left" w:leader="none"/>
              </w:tabs>
              <w:spacing w:line="133" w:lineRule="exact"/>
              <w:ind w:left="3"/>
              <w:jc w:val="center"/>
              <w:rPr>
                <w:sz w:val="14"/>
              </w:rPr>
            </w:pPr>
            <w:r>
              <w:rPr>
                <w:spacing w:val="-10"/>
                <w:sz w:val="14"/>
              </w:rPr>
              <w:t>$</w:t>
            </w:r>
            <w:r>
              <w:rPr>
                <w:sz w:val="14"/>
              </w:rPr>
              <w:tab/>
            </w:r>
            <w:r>
              <w:rPr>
                <w:spacing w:val="-5"/>
                <w:sz w:val="14"/>
              </w:rPr>
              <w:t>137</w:t>
            </w:r>
          </w:p>
        </w:tc>
        <w:tc>
          <w:tcPr>
            <w:tcW w:w="1146" w:type="dxa"/>
          </w:tcPr>
          <w:p>
            <w:pPr>
              <w:pStyle w:val="TableParagraph"/>
              <w:rPr>
                <w:sz w:val="8"/>
              </w:rPr>
            </w:pPr>
          </w:p>
        </w:tc>
        <w:tc>
          <w:tcPr>
            <w:tcW w:w="1159" w:type="dxa"/>
          </w:tcPr>
          <w:p>
            <w:pPr>
              <w:pStyle w:val="TableParagraph"/>
              <w:rPr>
                <w:sz w:val="8"/>
              </w:rPr>
            </w:pPr>
          </w:p>
        </w:tc>
      </w:tr>
      <w:tr>
        <w:trPr>
          <w:trHeight w:val="152" w:hRule="atLeast"/>
        </w:trPr>
        <w:tc>
          <w:tcPr>
            <w:tcW w:w="1936" w:type="dxa"/>
            <w:shd w:val="clear" w:color="auto" w:fill="CCEDFF"/>
          </w:tcPr>
          <w:p>
            <w:pPr>
              <w:pStyle w:val="TableParagraph"/>
              <w:spacing w:line="133" w:lineRule="exact"/>
              <w:rPr>
                <w:sz w:val="11"/>
              </w:rPr>
            </w:pPr>
            <w:r>
              <w:rPr>
                <w:sz w:val="14"/>
              </w:rPr>
              <w:t>Other</w:t>
            </w:r>
            <w:r>
              <w:rPr>
                <w:spacing w:val="-8"/>
                <w:sz w:val="14"/>
              </w:rPr>
              <w:t> </w:t>
            </w:r>
            <w:r>
              <w:rPr>
                <w:sz w:val="14"/>
              </w:rPr>
              <w:t>assets</w:t>
            </w:r>
            <w:r>
              <w:rPr>
                <w:spacing w:val="-3"/>
                <w:sz w:val="14"/>
              </w:rPr>
              <w:t> </w:t>
            </w:r>
            <w:r>
              <w:rPr>
                <w:spacing w:val="-5"/>
                <w:position w:val="3"/>
                <w:sz w:val="11"/>
              </w:rPr>
              <w:t>(1)</w:t>
            </w:r>
          </w:p>
        </w:tc>
        <w:tc>
          <w:tcPr>
            <w:tcW w:w="1491" w:type="dxa"/>
            <w:shd w:val="clear" w:color="auto" w:fill="CCEDFF"/>
          </w:tcPr>
          <w:p>
            <w:pPr>
              <w:pStyle w:val="TableParagraph"/>
              <w:tabs>
                <w:tab w:pos="1050" w:val="left" w:leader="none"/>
              </w:tabs>
              <w:spacing w:line="133" w:lineRule="exact"/>
              <w:ind w:left="305"/>
              <w:jc w:val="center"/>
              <w:rPr>
                <w:b/>
                <w:sz w:val="14"/>
              </w:rPr>
            </w:pPr>
            <w:r>
              <w:rPr>
                <w:b/>
                <w:spacing w:val="-10"/>
                <w:sz w:val="14"/>
              </w:rPr>
              <w:t>$</w:t>
            </w:r>
            <w:r>
              <w:rPr>
                <w:b/>
                <w:sz w:val="14"/>
              </w:rPr>
              <w:tab/>
            </w:r>
            <w:r>
              <w:rPr>
                <w:b/>
                <w:spacing w:val="-5"/>
                <w:sz w:val="14"/>
              </w:rPr>
              <w:t>175</w:t>
            </w:r>
          </w:p>
        </w:tc>
        <w:tc>
          <w:tcPr>
            <w:tcW w:w="1146" w:type="dxa"/>
            <w:shd w:val="clear" w:color="auto" w:fill="CCEDFF"/>
          </w:tcPr>
          <w:p>
            <w:pPr>
              <w:pStyle w:val="TableParagraph"/>
              <w:rPr>
                <w:sz w:val="8"/>
              </w:rPr>
            </w:pPr>
          </w:p>
        </w:tc>
        <w:tc>
          <w:tcPr>
            <w:tcW w:w="1146" w:type="dxa"/>
            <w:shd w:val="clear" w:color="auto" w:fill="CCEDFF"/>
          </w:tcPr>
          <w:p>
            <w:pPr>
              <w:pStyle w:val="TableParagraph"/>
              <w:tabs>
                <w:tab w:pos="707" w:val="left" w:leader="none"/>
              </w:tabs>
              <w:spacing w:line="133" w:lineRule="exact"/>
              <w:jc w:val="center"/>
              <w:rPr>
                <w:sz w:val="14"/>
              </w:rPr>
            </w:pPr>
            <w:r>
              <w:rPr>
                <w:spacing w:val="-10"/>
                <w:sz w:val="14"/>
              </w:rPr>
              <w:t>$</w:t>
            </w:r>
            <w:r>
              <w:rPr>
                <w:sz w:val="14"/>
              </w:rPr>
              <w:tab/>
            </w:r>
            <w:r>
              <w:rPr>
                <w:spacing w:val="-5"/>
                <w:sz w:val="14"/>
              </w:rPr>
              <w:t>164</w:t>
            </w:r>
          </w:p>
        </w:tc>
        <w:tc>
          <w:tcPr>
            <w:tcW w:w="1159" w:type="dxa"/>
            <w:shd w:val="clear" w:color="auto" w:fill="CCEDFF"/>
          </w:tcPr>
          <w:p>
            <w:pPr>
              <w:pStyle w:val="TableParagraph"/>
              <w:tabs>
                <w:tab w:pos="790" w:val="left" w:leader="none"/>
              </w:tabs>
              <w:spacing w:line="133" w:lineRule="exact"/>
              <w:ind w:left="1"/>
              <w:jc w:val="center"/>
              <w:rPr>
                <w:sz w:val="14"/>
              </w:rPr>
            </w:pPr>
            <w:r>
              <w:rPr>
                <w:spacing w:val="-10"/>
                <w:sz w:val="14"/>
              </w:rPr>
              <w:t>$</w:t>
            </w:r>
            <w:r>
              <w:rPr>
                <w:sz w:val="14"/>
              </w:rPr>
              <w:tab/>
            </w:r>
            <w:r>
              <w:rPr>
                <w:spacing w:val="-5"/>
                <w:sz w:val="14"/>
              </w:rPr>
              <w:t>11</w:t>
            </w:r>
          </w:p>
        </w:tc>
        <w:tc>
          <w:tcPr>
            <w:tcW w:w="1184" w:type="dxa"/>
            <w:shd w:val="clear" w:color="auto" w:fill="CCEDFF"/>
          </w:tcPr>
          <w:p>
            <w:pPr>
              <w:pStyle w:val="TableParagraph"/>
              <w:tabs>
                <w:tab w:pos="747" w:val="left" w:leader="none"/>
              </w:tabs>
              <w:spacing w:line="133" w:lineRule="exact"/>
              <w:ind w:left="2"/>
              <w:jc w:val="center"/>
              <w:rPr>
                <w:sz w:val="14"/>
              </w:rPr>
            </w:pPr>
            <w:r>
              <w:rPr>
                <w:spacing w:val="-10"/>
                <w:sz w:val="14"/>
              </w:rPr>
              <w:t>$</w:t>
            </w:r>
            <w:r>
              <w:rPr>
                <w:sz w:val="14"/>
              </w:rPr>
              <w:tab/>
            </w:r>
            <w:r>
              <w:rPr>
                <w:spacing w:val="-5"/>
                <w:sz w:val="14"/>
              </w:rPr>
              <w:t>139</w:t>
            </w:r>
          </w:p>
        </w:tc>
        <w:tc>
          <w:tcPr>
            <w:tcW w:w="1146" w:type="dxa"/>
            <w:shd w:val="clear" w:color="auto" w:fill="CCEDFF"/>
          </w:tcPr>
          <w:p>
            <w:pPr>
              <w:pStyle w:val="TableParagraph"/>
              <w:rPr>
                <w:sz w:val="8"/>
              </w:rPr>
            </w:pPr>
          </w:p>
        </w:tc>
        <w:tc>
          <w:tcPr>
            <w:tcW w:w="1146" w:type="dxa"/>
            <w:shd w:val="clear" w:color="auto" w:fill="CCEDFF"/>
          </w:tcPr>
          <w:p>
            <w:pPr>
              <w:pStyle w:val="TableParagraph"/>
              <w:tabs>
                <w:tab w:pos="711" w:val="left" w:leader="none"/>
              </w:tabs>
              <w:spacing w:line="133" w:lineRule="exact"/>
              <w:ind w:left="4"/>
              <w:jc w:val="center"/>
              <w:rPr>
                <w:sz w:val="14"/>
              </w:rPr>
            </w:pPr>
            <w:r>
              <w:rPr>
                <w:spacing w:val="-10"/>
                <w:sz w:val="14"/>
              </w:rPr>
              <w:t>$</w:t>
            </w:r>
            <w:r>
              <w:rPr>
                <w:sz w:val="14"/>
              </w:rPr>
              <w:tab/>
            </w:r>
            <w:r>
              <w:rPr>
                <w:spacing w:val="-5"/>
                <w:sz w:val="14"/>
              </w:rPr>
              <w:t>123</w:t>
            </w:r>
          </w:p>
        </w:tc>
        <w:tc>
          <w:tcPr>
            <w:tcW w:w="1159" w:type="dxa"/>
            <w:shd w:val="clear" w:color="auto" w:fill="CCEDFF"/>
          </w:tcPr>
          <w:p>
            <w:pPr>
              <w:pStyle w:val="TableParagraph"/>
              <w:tabs>
                <w:tab w:pos="794" w:val="left" w:leader="none"/>
              </w:tabs>
              <w:spacing w:line="133" w:lineRule="exact"/>
              <w:ind w:left="4"/>
              <w:jc w:val="center"/>
              <w:rPr>
                <w:sz w:val="14"/>
              </w:rPr>
            </w:pPr>
            <w:r>
              <w:rPr>
                <w:spacing w:val="-10"/>
                <w:sz w:val="14"/>
              </w:rPr>
              <w:t>$</w:t>
            </w:r>
            <w:r>
              <w:rPr>
                <w:sz w:val="14"/>
              </w:rPr>
              <w:tab/>
            </w:r>
            <w:r>
              <w:rPr>
                <w:spacing w:val="-5"/>
                <w:sz w:val="14"/>
              </w:rPr>
              <w:t>16</w:t>
            </w:r>
          </w:p>
        </w:tc>
      </w:tr>
      <w:tr>
        <w:trPr>
          <w:trHeight w:val="152" w:hRule="atLeast"/>
        </w:trPr>
        <w:tc>
          <w:tcPr>
            <w:tcW w:w="1936" w:type="dxa"/>
          </w:tcPr>
          <w:p>
            <w:pPr>
              <w:pStyle w:val="TableParagraph"/>
              <w:spacing w:line="133" w:lineRule="exact"/>
              <w:rPr>
                <w:sz w:val="14"/>
              </w:rPr>
            </w:pPr>
            <w:r>
              <w:rPr>
                <w:sz w:val="14"/>
              </w:rPr>
              <w:t>Current </w:t>
            </w:r>
            <w:r>
              <w:rPr>
                <w:spacing w:val="-2"/>
                <w:sz w:val="14"/>
              </w:rPr>
              <w:t>liabilities:</w:t>
            </w:r>
          </w:p>
        </w:tc>
        <w:tc>
          <w:tcPr>
            <w:tcW w:w="1491" w:type="dxa"/>
          </w:tcPr>
          <w:p>
            <w:pPr>
              <w:pStyle w:val="TableParagraph"/>
              <w:rPr>
                <w:sz w:val="8"/>
              </w:rPr>
            </w:pPr>
          </w:p>
        </w:tc>
        <w:tc>
          <w:tcPr>
            <w:tcW w:w="1146" w:type="dxa"/>
          </w:tcPr>
          <w:p>
            <w:pPr>
              <w:pStyle w:val="TableParagraph"/>
              <w:rPr>
                <w:sz w:val="8"/>
              </w:rPr>
            </w:pPr>
          </w:p>
        </w:tc>
        <w:tc>
          <w:tcPr>
            <w:tcW w:w="1146" w:type="dxa"/>
          </w:tcPr>
          <w:p>
            <w:pPr>
              <w:pStyle w:val="TableParagraph"/>
              <w:rPr>
                <w:sz w:val="8"/>
              </w:rPr>
            </w:pPr>
          </w:p>
        </w:tc>
        <w:tc>
          <w:tcPr>
            <w:tcW w:w="1159" w:type="dxa"/>
          </w:tcPr>
          <w:p>
            <w:pPr>
              <w:pStyle w:val="TableParagraph"/>
              <w:rPr>
                <w:sz w:val="8"/>
              </w:rPr>
            </w:pPr>
          </w:p>
        </w:tc>
        <w:tc>
          <w:tcPr>
            <w:tcW w:w="1184" w:type="dxa"/>
          </w:tcPr>
          <w:p>
            <w:pPr>
              <w:pStyle w:val="TableParagraph"/>
              <w:rPr>
                <w:sz w:val="8"/>
              </w:rPr>
            </w:pPr>
          </w:p>
        </w:tc>
        <w:tc>
          <w:tcPr>
            <w:tcW w:w="1146" w:type="dxa"/>
          </w:tcPr>
          <w:p>
            <w:pPr>
              <w:pStyle w:val="TableParagraph"/>
              <w:rPr>
                <w:sz w:val="8"/>
              </w:rPr>
            </w:pPr>
          </w:p>
        </w:tc>
        <w:tc>
          <w:tcPr>
            <w:tcW w:w="1146" w:type="dxa"/>
          </w:tcPr>
          <w:p>
            <w:pPr>
              <w:pStyle w:val="TableParagraph"/>
              <w:rPr>
                <w:sz w:val="8"/>
              </w:rPr>
            </w:pPr>
          </w:p>
        </w:tc>
        <w:tc>
          <w:tcPr>
            <w:tcW w:w="1159" w:type="dxa"/>
          </w:tcPr>
          <w:p>
            <w:pPr>
              <w:pStyle w:val="TableParagraph"/>
              <w:rPr>
                <w:sz w:val="8"/>
              </w:rPr>
            </w:pPr>
          </w:p>
        </w:tc>
      </w:tr>
      <w:tr>
        <w:trPr>
          <w:trHeight w:val="152" w:hRule="atLeast"/>
        </w:trPr>
        <w:tc>
          <w:tcPr>
            <w:tcW w:w="1936" w:type="dxa"/>
            <w:shd w:val="clear" w:color="auto" w:fill="CCEDFF"/>
          </w:tcPr>
          <w:p>
            <w:pPr>
              <w:pStyle w:val="TableParagraph"/>
              <w:spacing w:line="133" w:lineRule="exact"/>
              <w:rPr>
                <w:sz w:val="11"/>
              </w:rPr>
            </w:pPr>
            <w:r>
              <w:rPr>
                <w:sz w:val="14"/>
              </w:rPr>
              <w:t>Other</w:t>
            </w:r>
            <w:r>
              <w:rPr>
                <w:spacing w:val="-4"/>
                <w:sz w:val="14"/>
              </w:rPr>
              <w:t> </w:t>
            </w:r>
            <w:r>
              <w:rPr>
                <w:sz w:val="14"/>
              </w:rPr>
              <w:t>accrued</w:t>
            </w:r>
            <w:r>
              <w:rPr>
                <w:spacing w:val="-3"/>
                <w:sz w:val="14"/>
              </w:rPr>
              <w:t> </w:t>
            </w:r>
            <w:r>
              <w:rPr>
                <w:sz w:val="14"/>
              </w:rPr>
              <w:t>liabilities</w:t>
            </w:r>
            <w:r>
              <w:rPr>
                <w:spacing w:val="-3"/>
                <w:sz w:val="14"/>
              </w:rPr>
              <w:t> </w:t>
            </w:r>
            <w:r>
              <w:rPr>
                <w:spacing w:val="-5"/>
                <w:position w:val="3"/>
                <w:sz w:val="11"/>
              </w:rPr>
              <w:t>(1)</w:t>
            </w:r>
          </w:p>
        </w:tc>
        <w:tc>
          <w:tcPr>
            <w:tcW w:w="1491" w:type="dxa"/>
            <w:shd w:val="clear" w:color="auto" w:fill="CCEDFF"/>
          </w:tcPr>
          <w:p>
            <w:pPr>
              <w:pStyle w:val="TableParagraph"/>
              <w:tabs>
                <w:tab w:pos="1050" w:val="left" w:leader="none"/>
              </w:tabs>
              <w:spacing w:line="133" w:lineRule="exact"/>
              <w:ind w:left="305"/>
              <w:jc w:val="center"/>
              <w:rPr>
                <w:b/>
                <w:sz w:val="14"/>
              </w:rPr>
            </w:pPr>
            <w:r>
              <w:rPr>
                <w:b/>
                <w:spacing w:val="-10"/>
                <w:sz w:val="14"/>
              </w:rPr>
              <w:t>$</w:t>
            </w:r>
            <w:r>
              <w:rPr>
                <w:b/>
                <w:sz w:val="14"/>
              </w:rPr>
              <w:tab/>
            </w:r>
            <w:r>
              <w:rPr>
                <w:b/>
                <w:spacing w:val="-5"/>
                <w:sz w:val="14"/>
              </w:rPr>
              <w:t>144</w:t>
            </w:r>
          </w:p>
        </w:tc>
        <w:tc>
          <w:tcPr>
            <w:tcW w:w="1146" w:type="dxa"/>
            <w:shd w:val="clear" w:color="auto" w:fill="CCEDFF"/>
          </w:tcPr>
          <w:p>
            <w:pPr>
              <w:pStyle w:val="TableParagraph"/>
              <w:rPr>
                <w:sz w:val="8"/>
              </w:rPr>
            </w:pPr>
          </w:p>
        </w:tc>
        <w:tc>
          <w:tcPr>
            <w:tcW w:w="1146" w:type="dxa"/>
            <w:shd w:val="clear" w:color="auto" w:fill="CCEDFF"/>
          </w:tcPr>
          <w:p>
            <w:pPr>
              <w:pStyle w:val="TableParagraph"/>
              <w:tabs>
                <w:tab w:pos="707" w:val="left" w:leader="none"/>
              </w:tabs>
              <w:spacing w:line="133" w:lineRule="exact"/>
              <w:jc w:val="center"/>
              <w:rPr>
                <w:sz w:val="14"/>
              </w:rPr>
            </w:pPr>
            <w:r>
              <w:rPr>
                <w:spacing w:val="-10"/>
                <w:sz w:val="14"/>
              </w:rPr>
              <w:t>$</w:t>
            </w:r>
            <w:r>
              <w:rPr>
                <w:sz w:val="14"/>
              </w:rPr>
              <w:tab/>
            </w:r>
            <w:r>
              <w:rPr>
                <w:spacing w:val="-5"/>
                <w:sz w:val="14"/>
              </w:rPr>
              <w:t>144</w:t>
            </w:r>
          </w:p>
        </w:tc>
        <w:tc>
          <w:tcPr>
            <w:tcW w:w="1159" w:type="dxa"/>
            <w:shd w:val="clear" w:color="auto" w:fill="CCEDFF"/>
          </w:tcPr>
          <w:p>
            <w:pPr>
              <w:pStyle w:val="TableParagraph"/>
              <w:rPr>
                <w:sz w:val="8"/>
              </w:rPr>
            </w:pPr>
          </w:p>
        </w:tc>
        <w:tc>
          <w:tcPr>
            <w:tcW w:w="1184" w:type="dxa"/>
            <w:shd w:val="clear" w:color="auto" w:fill="CCEDFF"/>
          </w:tcPr>
          <w:p>
            <w:pPr>
              <w:pStyle w:val="TableParagraph"/>
              <w:tabs>
                <w:tab w:pos="747" w:val="left" w:leader="none"/>
              </w:tabs>
              <w:spacing w:line="133" w:lineRule="exact"/>
              <w:ind w:left="2"/>
              <w:jc w:val="center"/>
              <w:rPr>
                <w:sz w:val="14"/>
              </w:rPr>
            </w:pPr>
            <w:r>
              <w:rPr>
                <w:spacing w:val="-10"/>
                <w:sz w:val="14"/>
              </w:rPr>
              <w:t>$</w:t>
            </w:r>
            <w:r>
              <w:rPr>
                <w:sz w:val="14"/>
              </w:rPr>
              <w:tab/>
            </w:r>
            <w:r>
              <w:rPr>
                <w:spacing w:val="-5"/>
                <w:sz w:val="14"/>
              </w:rPr>
              <w:t>189</w:t>
            </w:r>
          </w:p>
        </w:tc>
        <w:tc>
          <w:tcPr>
            <w:tcW w:w="1146" w:type="dxa"/>
            <w:shd w:val="clear" w:color="auto" w:fill="CCEDFF"/>
          </w:tcPr>
          <w:p>
            <w:pPr>
              <w:pStyle w:val="TableParagraph"/>
              <w:rPr>
                <w:sz w:val="8"/>
              </w:rPr>
            </w:pPr>
          </w:p>
        </w:tc>
        <w:tc>
          <w:tcPr>
            <w:tcW w:w="1146" w:type="dxa"/>
            <w:shd w:val="clear" w:color="auto" w:fill="CCEDFF"/>
          </w:tcPr>
          <w:p>
            <w:pPr>
              <w:pStyle w:val="TableParagraph"/>
              <w:tabs>
                <w:tab w:pos="711" w:val="left" w:leader="none"/>
              </w:tabs>
              <w:spacing w:line="133" w:lineRule="exact"/>
              <w:ind w:left="4"/>
              <w:jc w:val="center"/>
              <w:rPr>
                <w:sz w:val="14"/>
              </w:rPr>
            </w:pPr>
            <w:r>
              <w:rPr>
                <w:spacing w:val="-10"/>
                <w:sz w:val="14"/>
              </w:rPr>
              <w:t>$</w:t>
            </w:r>
            <w:r>
              <w:rPr>
                <w:sz w:val="14"/>
              </w:rPr>
              <w:tab/>
            </w:r>
            <w:r>
              <w:rPr>
                <w:spacing w:val="-5"/>
                <w:sz w:val="14"/>
              </w:rPr>
              <w:t>189</w:t>
            </w:r>
          </w:p>
        </w:tc>
        <w:tc>
          <w:tcPr>
            <w:tcW w:w="1159" w:type="dxa"/>
            <w:shd w:val="clear" w:color="auto" w:fill="CCEDFF"/>
          </w:tcPr>
          <w:p>
            <w:pPr>
              <w:pStyle w:val="TableParagraph"/>
              <w:rPr>
                <w:sz w:val="8"/>
              </w:rPr>
            </w:pPr>
          </w:p>
        </w:tc>
      </w:tr>
      <w:tr>
        <w:trPr>
          <w:trHeight w:val="152" w:hRule="atLeast"/>
        </w:trPr>
        <w:tc>
          <w:tcPr>
            <w:tcW w:w="1936" w:type="dxa"/>
          </w:tcPr>
          <w:p>
            <w:pPr>
              <w:pStyle w:val="TableParagraph"/>
              <w:spacing w:line="133" w:lineRule="exact"/>
              <w:rPr>
                <w:sz w:val="14"/>
              </w:rPr>
            </w:pPr>
            <w:r>
              <w:rPr>
                <w:sz w:val="14"/>
              </w:rPr>
              <w:t>Non-current </w:t>
            </w:r>
            <w:r>
              <w:rPr>
                <w:spacing w:val="-2"/>
                <w:sz w:val="14"/>
              </w:rPr>
              <w:t>liabilities:</w:t>
            </w:r>
          </w:p>
        </w:tc>
        <w:tc>
          <w:tcPr>
            <w:tcW w:w="1491" w:type="dxa"/>
          </w:tcPr>
          <w:p>
            <w:pPr>
              <w:pStyle w:val="TableParagraph"/>
              <w:rPr>
                <w:sz w:val="8"/>
              </w:rPr>
            </w:pPr>
          </w:p>
        </w:tc>
        <w:tc>
          <w:tcPr>
            <w:tcW w:w="1146" w:type="dxa"/>
          </w:tcPr>
          <w:p>
            <w:pPr>
              <w:pStyle w:val="TableParagraph"/>
              <w:rPr>
                <w:sz w:val="8"/>
              </w:rPr>
            </w:pPr>
          </w:p>
        </w:tc>
        <w:tc>
          <w:tcPr>
            <w:tcW w:w="1146" w:type="dxa"/>
          </w:tcPr>
          <w:p>
            <w:pPr>
              <w:pStyle w:val="TableParagraph"/>
              <w:rPr>
                <w:sz w:val="8"/>
              </w:rPr>
            </w:pPr>
          </w:p>
        </w:tc>
        <w:tc>
          <w:tcPr>
            <w:tcW w:w="1159" w:type="dxa"/>
          </w:tcPr>
          <w:p>
            <w:pPr>
              <w:pStyle w:val="TableParagraph"/>
              <w:rPr>
                <w:sz w:val="8"/>
              </w:rPr>
            </w:pPr>
          </w:p>
        </w:tc>
        <w:tc>
          <w:tcPr>
            <w:tcW w:w="1184" w:type="dxa"/>
          </w:tcPr>
          <w:p>
            <w:pPr>
              <w:pStyle w:val="TableParagraph"/>
              <w:rPr>
                <w:sz w:val="8"/>
              </w:rPr>
            </w:pPr>
          </w:p>
        </w:tc>
        <w:tc>
          <w:tcPr>
            <w:tcW w:w="1146" w:type="dxa"/>
          </w:tcPr>
          <w:p>
            <w:pPr>
              <w:pStyle w:val="TableParagraph"/>
              <w:rPr>
                <w:sz w:val="8"/>
              </w:rPr>
            </w:pPr>
          </w:p>
        </w:tc>
        <w:tc>
          <w:tcPr>
            <w:tcW w:w="1146" w:type="dxa"/>
          </w:tcPr>
          <w:p>
            <w:pPr>
              <w:pStyle w:val="TableParagraph"/>
              <w:rPr>
                <w:sz w:val="8"/>
              </w:rPr>
            </w:pPr>
          </w:p>
        </w:tc>
        <w:tc>
          <w:tcPr>
            <w:tcW w:w="1159" w:type="dxa"/>
          </w:tcPr>
          <w:p>
            <w:pPr>
              <w:pStyle w:val="TableParagraph"/>
              <w:rPr>
                <w:sz w:val="8"/>
              </w:rPr>
            </w:pPr>
          </w:p>
        </w:tc>
      </w:tr>
      <w:tr>
        <w:trPr>
          <w:trHeight w:val="144" w:hRule="atLeast"/>
        </w:trPr>
        <w:tc>
          <w:tcPr>
            <w:tcW w:w="1936" w:type="dxa"/>
            <w:tcBorders>
              <w:bottom w:val="double" w:sz="6" w:space="0" w:color="000000"/>
            </w:tcBorders>
            <w:shd w:val="clear" w:color="auto" w:fill="CCEDFF"/>
          </w:tcPr>
          <w:p>
            <w:pPr>
              <w:pStyle w:val="TableParagraph"/>
              <w:spacing w:line="129" w:lineRule="exact"/>
              <w:rPr>
                <w:sz w:val="11"/>
              </w:rPr>
            </w:pPr>
            <w:r>
              <w:rPr>
                <w:sz w:val="14"/>
              </w:rPr>
              <w:t>Other</w:t>
            </w:r>
            <w:r>
              <w:rPr>
                <w:spacing w:val="-5"/>
                <w:sz w:val="14"/>
              </w:rPr>
              <w:t> </w:t>
            </w:r>
            <w:r>
              <w:rPr>
                <w:sz w:val="14"/>
              </w:rPr>
              <w:t>liabilities</w:t>
            </w:r>
            <w:r>
              <w:rPr>
                <w:spacing w:val="-5"/>
                <w:sz w:val="14"/>
              </w:rPr>
              <w:t> </w:t>
            </w:r>
            <w:r>
              <w:rPr>
                <w:spacing w:val="-2"/>
                <w:position w:val="3"/>
                <w:sz w:val="11"/>
              </w:rPr>
              <w:t>(1)(4)</w:t>
            </w:r>
          </w:p>
        </w:tc>
        <w:tc>
          <w:tcPr>
            <w:tcW w:w="1491" w:type="dxa"/>
            <w:tcBorders>
              <w:bottom w:val="double" w:sz="6" w:space="0" w:color="000000"/>
            </w:tcBorders>
            <w:shd w:val="clear" w:color="auto" w:fill="CCEDFF"/>
          </w:tcPr>
          <w:p>
            <w:pPr>
              <w:pStyle w:val="TableParagraph"/>
              <w:tabs>
                <w:tab w:pos="1120" w:val="left" w:leader="none"/>
              </w:tabs>
              <w:spacing w:line="129" w:lineRule="exact"/>
              <w:ind w:left="305"/>
              <w:jc w:val="center"/>
              <w:rPr>
                <w:b/>
                <w:sz w:val="14"/>
              </w:rPr>
            </w:pPr>
            <w:r>
              <w:rPr>
                <w:b/>
                <w:spacing w:val="-10"/>
                <w:sz w:val="14"/>
              </w:rPr>
              <w:t>$</w:t>
            </w:r>
            <w:r>
              <w:rPr>
                <w:b/>
                <w:sz w:val="14"/>
              </w:rPr>
              <w:tab/>
            </w:r>
            <w:r>
              <w:rPr>
                <w:b/>
                <w:spacing w:val="-5"/>
                <w:sz w:val="14"/>
              </w:rPr>
              <w:t>66</w:t>
            </w:r>
          </w:p>
        </w:tc>
        <w:tc>
          <w:tcPr>
            <w:tcW w:w="1146" w:type="dxa"/>
            <w:tcBorders>
              <w:bottom w:val="double" w:sz="6" w:space="0" w:color="000000"/>
            </w:tcBorders>
            <w:shd w:val="clear" w:color="auto" w:fill="CCEDFF"/>
          </w:tcPr>
          <w:p>
            <w:pPr>
              <w:pStyle w:val="TableParagraph"/>
              <w:rPr>
                <w:sz w:val="8"/>
              </w:rPr>
            </w:pPr>
          </w:p>
        </w:tc>
        <w:tc>
          <w:tcPr>
            <w:tcW w:w="1146" w:type="dxa"/>
            <w:tcBorders>
              <w:bottom w:val="double" w:sz="6" w:space="0" w:color="000000"/>
            </w:tcBorders>
            <w:shd w:val="clear" w:color="auto" w:fill="CCEDFF"/>
          </w:tcPr>
          <w:p>
            <w:pPr>
              <w:pStyle w:val="TableParagraph"/>
              <w:tabs>
                <w:tab w:pos="777" w:val="left" w:leader="none"/>
              </w:tabs>
              <w:spacing w:line="129" w:lineRule="exact"/>
              <w:jc w:val="center"/>
              <w:rPr>
                <w:sz w:val="14"/>
              </w:rPr>
            </w:pPr>
            <w:r>
              <w:rPr>
                <w:spacing w:val="-10"/>
                <w:sz w:val="14"/>
              </w:rPr>
              <w:t>$</w:t>
            </w:r>
            <w:r>
              <w:rPr>
                <w:sz w:val="14"/>
              </w:rPr>
              <w:tab/>
            </w:r>
            <w:r>
              <w:rPr>
                <w:spacing w:val="-5"/>
                <w:sz w:val="14"/>
              </w:rPr>
              <w:t>66</w:t>
            </w:r>
          </w:p>
        </w:tc>
        <w:tc>
          <w:tcPr>
            <w:tcW w:w="1159" w:type="dxa"/>
            <w:tcBorders>
              <w:bottom w:val="double" w:sz="6" w:space="0" w:color="000000"/>
            </w:tcBorders>
            <w:shd w:val="clear" w:color="auto" w:fill="CCEDFF"/>
          </w:tcPr>
          <w:p>
            <w:pPr>
              <w:pStyle w:val="TableParagraph"/>
              <w:rPr>
                <w:sz w:val="8"/>
              </w:rPr>
            </w:pPr>
          </w:p>
        </w:tc>
        <w:tc>
          <w:tcPr>
            <w:tcW w:w="1184" w:type="dxa"/>
            <w:tcBorders>
              <w:bottom w:val="double" w:sz="6" w:space="0" w:color="000000"/>
            </w:tcBorders>
            <w:shd w:val="clear" w:color="auto" w:fill="CCEDFF"/>
          </w:tcPr>
          <w:p>
            <w:pPr>
              <w:pStyle w:val="TableParagraph"/>
              <w:tabs>
                <w:tab w:pos="747" w:val="left" w:leader="none"/>
              </w:tabs>
              <w:spacing w:line="129" w:lineRule="exact"/>
              <w:ind w:left="2"/>
              <w:jc w:val="center"/>
              <w:rPr>
                <w:sz w:val="14"/>
              </w:rPr>
            </w:pPr>
            <w:r>
              <w:rPr>
                <w:spacing w:val="-10"/>
                <w:sz w:val="14"/>
              </w:rPr>
              <w:t>$</w:t>
            </w:r>
            <w:r>
              <w:rPr>
                <w:sz w:val="14"/>
              </w:rPr>
              <w:tab/>
            </w:r>
            <w:r>
              <w:rPr>
                <w:spacing w:val="-5"/>
                <w:sz w:val="14"/>
              </w:rPr>
              <w:t>155</w:t>
            </w:r>
          </w:p>
        </w:tc>
        <w:tc>
          <w:tcPr>
            <w:tcW w:w="1146" w:type="dxa"/>
            <w:tcBorders>
              <w:bottom w:val="double" w:sz="6" w:space="0" w:color="000000"/>
            </w:tcBorders>
            <w:shd w:val="clear" w:color="auto" w:fill="CCEDFF"/>
          </w:tcPr>
          <w:p>
            <w:pPr>
              <w:pStyle w:val="TableParagraph"/>
              <w:rPr>
                <w:sz w:val="8"/>
              </w:rPr>
            </w:pPr>
          </w:p>
        </w:tc>
        <w:tc>
          <w:tcPr>
            <w:tcW w:w="1146" w:type="dxa"/>
            <w:tcBorders>
              <w:bottom w:val="double" w:sz="6" w:space="0" w:color="000000"/>
            </w:tcBorders>
            <w:shd w:val="clear" w:color="auto" w:fill="CCEDFF"/>
          </w:tcPr>
          <w:p>
            <w:pPr>
              <w:pStyle w:val="TableParagraph"/>
              <w:tabs>
                <w:tab w:pos="711" w:val="left" w:leader="none"/>
              </w:tabs>
              <w:spacing w:line="129" w:lineRule="exact"/>
              <w:ind w:left="4"/>
              <w:jc w:val="center"/>
              <w:rPr>
                <w:sz w:val="14"/>
              </w:rPr>
            </w:pPr>
            <w:r>
              <w:rPr>
                <w:spacing w:val="-10"/>
                <w:sz w:val="14"/>
              </w:rPr>
              <w:t>$</w:t>
            </w:r>
            <w:r>
              <w:rPr>
                <w:sz w:val="14"/>
              </w:rPr>
              <w:tab/>
            </w:r>
            <w:r>
              <w:rPr>
                <w:spacing w:val="-5"/>
                <w:sz w:val="14"/>
              </w:rPr>
              <w:t>155</w:t>
            </w:r>
          </w:p>
        </w:tc>
        <w:tc>
          <w:tcPr>
            <w:tcW w:w="1159" w:type="dxa"/>
            <w:tcBorders>
              <w:bottom w:val="double" w:sz="6" w:space="0" w:color="000000"/>
            </w:tcBorders>
            <w:shd w:val="clear" w:color="auto" w:fill="CCEDFF"/>
          </w:tcPr>
          <w:p>
            <w:pPr>
              <w:pStyle w:val="TableParagraph"/>
              <w:rPr>
                <w:sz w:val="8"/>
              </w:rPr>
            </w:pPr>
          </w:p>
        </w:tc>
      </w:tr>
    </w:tbl>
    <w:p>
      <w:pPr>
        <w:pStyle w:val="BodyText"/>
        <w:spacing w:before="41"/>
        <w:rPr>
          <w:sz w:val="14"/>
        </w:rPr>
      </w:pPr>
    </w:p>
    <w:p>
      <w:pPr>
        <w:pStyle w:val="ListParagraph"/>
        <w:numPr>
          <w:ilvl w:val="0"/>
          <w:numId w:val="54"/>
        </w:numPr>
        <w:tabs>
          <w:tab w:pos="460" w:val="left" w:leader="none"/>
        </w:tabs>
        <w:spacing w:line="157" w:lineRule="exact" w:before="0" w:after="0"/>
        <w:ind w:left="460" w:right="0" w:hanging="304"/>
        <w:jc w:val="left"/>
        <w:rPr>
          <w:sz w:val="14"/>
        </w:rPr>
      </w:pPr>
      <w:r>
        <w:rPr>
          <w:sz w:val="14"/>
        </w:rPr>
        <w:t>Derivative</w:t>
      </w:r>
      <w:r>
        <w:rPr>
          <w:spacing w:val="-2"/>
          <w:sz w:val="14"/>
        </w:rPr>
        <w:t> </w:t>
      </w:r>
      <w:r>
        <w:rPr>
          <w:sz w:val="14"/>
        </w:rPr>
        <w:t>assets</w:t>
      </w:r>
      <w:r>
        <w:rPr>
          <w:spacing w:val="-2"/>
          <w:sz w:val="14"/>
        </w:rPr>
        <w:t> </w:t>
      </w:r>
      <w:r>
        <w:rPr>
          <w:sz w:val="14"/>
        </w:rPr>
        <w:t>and</w:t>
      </w:r>
      <w:r>
        <w:rPr>
          <w:spacing w:val="-1"/>
          <w:sz w:val="14"/>
        </w:rPr>
        <w:t> </w:t>
      </w:r>
      <w:r>
        <w:rPr>
          <w:sz w:val="14"/>
        </w:rPr>
        <w:t>liabilities</w:t>
      </w:r>
      <w:r>
        <w:rPr>
          <w:spacing w:val="-2"/>
          <w:sz w:val="14"/>
        </w:rPr>
        <w:t> </w:t>
      </w:r>
      <w:r>
        <w:rPr>
          <w:sz w:val="14"/>
        </w:rPr>
        <w:t>include</w:t>
      </w:r>
      <w:r>
        <w:rPr>
          <w:spacing w:val="-1"/>
          <w:sz w:val="14"/>
        </w:rPr>
        <w:t> </w:t>
      </w:r>
      <w:r>
        <w:rPr>
          <w:sz w:val="14"/>
        </w:rPr>
        <w:t>foreign</w:t>
      </w:r>
      <w:r>
        <w:rPr>
          <w:spacing w:val="-2"/>
          <w:sz w:val="14"/>
        </w:rPr>
        <w:t> </w:t>
      </w:r>
      <w:r>
        <w:rPr>
          <w:sz w:val="14"/>
        </w:rPr>
        <w:t>exchange</w:t>
      </w:r>
      <w:r>
        <w:rPr>
          <w:spacing w:val="-1"/>
          <w:sz w:val="14"/>
        </w:rPr>
        <w:t> </w:t>
      </w:r>
      <w:r>
        <w:rPr>
          <w:sz w:val="14"/>
        </w:rPr>
        <w:t>contracts</w:t>
      </w:r>
      <w:r>
        <w:rPr>
          <w:spacing w:val="-2"/>
          <w:sz w:val="14"/>
        </w:rPr>
        <w:t> </w:t>
      </w:r>
      <w:r>
        <w:rPr>
          <w:sz w:val="14"/>
        </w:rPr>
        <w:t>which</w:t>
      </w:r>
      <w:r>
        <w:rPr>
          <w:spacing w:val="-1"/>
          <w:sz w:val="14"/>
        </w:rPr>
        <w:t> </w:t>
      </w:r>
      <w:r>
        <w:rPr>
          <w:sz w:val="14"/>
        </w:rPr>
        <w:t>are</w:t>
      </w:r>
      <w:r>
        <w:rPr>
          <w:spacing w:val="-2"/>
          <w:sz w:val="14"/>
        </w:rPr>
        <w:t> </w:t>
      </w:r>
      <w:r>
        <w:rPr>
          <w:sz w:val="14"/>
        </w:rPr>
        <w:t>measured</w:t>
      </w:r>
      <w:r>
        <w:rPr>
          <w:spacing w:val="-2"/>
          <w:sz w:val="14"/>
        </w:rPr>
        <w:t> </w:t>
      </w:r>
      <w:r>
        <w:rPr>
          <w:sz w:val="14"/>
        </w:rPr>
        <w:t>using</w:t>
      </w:r>
      <w:r>
        <w:rPr>
          <w:spacing w:val="-1"/>
          <w:sz w:val="14"/>
        </w:rPr>
        <w:t> </w:t>
      </w:r>
      <w:r>
        <w:rPr>
          <w:sz w:val="14"/>
        </w:rPr>
        <w:t>observable</w:t>
      </w:r>
      <w:r>
        <w:rPr>
          <w:spacing w:val="-2"/>
          <w:sz w:val="14"/>
        </w:rPr>
        <w:t> </w:t>
      </w:r>
      <w:r>
        <w:rPr>
          <w:sz w:val="14"/>
        </w:rPr>
        <w:t>inputs</w:t>
      </w:r>
      <w:r>
        <w:rPr>
          <w:spacing w:val="-1"/>
          <w:sz w:val="14"/>
        </w:rPr>
        <w:t> </w:t>
      </w:r>
      <w:r>
        <w:rPr>
          <w:sz w:val="14"/>
        </w:rPr>
        <w:t>for</w:t>
      </w:r>
      <w:r>
        <w:rPr>
          <w:spacing w:val="-2"/>
          <w:sz w:val="14"/>
        </w:rPr>
        <w:t> </w:t>
      </w:r>
      <w:r>
        <w:rPr>
          <w:sz w:val="14"/>
        </w:rPr>
        <w:t>similar</w:t>
      </w:r>
      <w:r>
        <w:rPr>
          <w:spacing w:val="-1"/>
          <w:sz w:val="14"/>
        </w:rPr>
        <w:t> </w:t>
      </w:r>
      <w:r>
        <w:rPr>
          <w:sz w:val="14"/>
        </w:rPr>
        <w:t>assets</w:t>
      </w:r>
      <w:r>
        <w:rPr>
          <w:spacing w:val="-2"/>
          <w:sz w:val="14"/>
        </w:rPr>
        <w:t> </w:t>
      </w:r>
      <w:r>
        <w:rPr>
          <w:sz w:val="14"/>
        </w:rPr>
        <w:t>and</w:t>
      </w:r>
      <w:r>
        <w:rPr>
          <w:spacing w:val="-1"/>
          <w:sz w:val="14"/>
        </w:rPr>
        <w:t> </w:t>
      </w:r>
      <w:r>
        <w:rPr>
          <w:spacing w:val="-2"/>
          <w:sz w:val="14"/>
        </w:rPr>
        <w:t>liabilities.</w:t>
      </w:r>
    </w:p>
    <w:p>
      <w:pPr>
        <w:pStyle w:val="ListParagraph"/>
        <w:numPr>
          <w:ilvl w:val="0"/>
          <w:numId w:val="54"/>
        </w:numPr>
        <w:tabs>
          <w:tab w:pos="460" w:val="left" w:leader="none"/>
          <w:tab w:pos="462" w:val="left" w:leader="none"/>
        </w:tabs>
        <w:spacing w:line="228" w:lineRule="auto" w:before="3" w:after="0"/>
        <w:ind w:left="462" w:right="192" w:hanging="306"/>
        <w:jc w:val="left"/>
        <w:rPr>
          <w:sz w:val="14"/>
        </w:rPr>
      </w:pPr>
      <w:r>
        <w:rPr>
          <w:sz w:val="14"/>
        </w:rPr>
        <w:t>Equity</w:t>
      </w:r>
      <w:r>
        <w:rPr>
          <w:spacing w:val="-1"/>
          <w:sz w:val="14"/>
        </w:rPr>
        <w:t> </w:t>
      </w:r>
      <w:r>
        <w:rPr>
          <w:sz w:val="14"/>
        </w:rPr>
        <w:t>securities</w:t>
      </w:r>
      <w:r>
        <w:rPr>
          <w:spacing w:val="-1"/>
          <w:sz w:val="14"/>
        </w:rPr>
        <w:t> </w:t>
      </w:r>
      <w:r>
        <w:rPr>
          <w:sz w:val="14"/>
        </w:rPr>
        <w:t>with</w:t>
      </w:r>
      <w:r>
        <w:rPr>
          <w:spacing w:val="-1"/>
          <w:sz w:val="14"/>
        </w:rPr>
        <w:t> </w:t>
      </w:r>
      <w:r>
        <w:rPr>
          <w:sz w:val="14"/>
        </w:rPr>
        <w:t>readily</w:t>
      </w:r>
      <w:r>
        <w:rPr>
          <w:spacing w:val="-1"/>
          <w:sz w:val="14"/>
        </w:rPr>
        <w:t> </w:t>
      </w:r>
      <w:r>
        <w:rPr>
          <w:sz w:val="14"/>
        </w:rPr>
        <w:t>available</w:t>
      </w:r>
      <w:r>
        <w:rPr>
          <w:spacing w:val="-1"/>
          <w:sz w:val="14"/>
        </w:rPr>
        <w:t> </w:t>
      </w:r>
      <w:r>
        <w:rPr>
          <w:sz w:val="14"/>
        </w:rPr>
        <w:t>fair</w:t>
      </w:r>
      <w:r>
        <w:rPr>
          <w:spacing w:val="-1"/>
          <w:sz w:val="14"/>
        </w:rPr>
        <w:t> </w:t>
      </w:r>
      <w:r>
        <w:rPr>
          <w:sz w:val="14"/>
        </w:rPr>
        <w:t>values</w:t>
      </w:r>
      <w:r>
        <w:rPr>
          <w:spacing w:val="-1"/>
          <w:sz w:val="14"/>
        </w:rPr>
        <w:t> </w:t>
      </w:r>
      <w:r>
        <w:rPr>
          <w:sz w:val="14"/>
        </w:rPr>
        <w:t>that</w:t>
      </w:r>
      <w:r>
        <w:rPr>
          <w:spacing w:val="-1"/>
          <w:sz w:val="14"/>
        </w:rPr>
        <w:t> </w:t>
      </w:r>
      <w:r>
        <w:rPr>
          <w:sz w:val="14"/>
        </w:rPr>
        <w:t>were</w:t>
      </w:r>
      <w:r>
        <w:rPr>
          <w:spacing w:val="-1"/>
          <w:sz w:val="14"/>
        </w:rPr>
        <w:t> </w:t>
      </w:r>
      <w:r>
        <w:rPr>
          <w:sz w:val="14"/>
        </w:rPr>
        <w:t>measured</w:t>
      </w:r>
      <w:r>
        <w:rPr>
          <w:spacing w:val="-1"/>
          <w:sz w:val="14"/>
        </w:rPr>
        <w:t> </w:t>
      </w:r>
      <w:r>
        <w:rPr>
          <w:sz w:val="14"/>
        </w:rPr>
        <w:t>using</w:t>
      </w:r>
      <w:r>
        <w:rPr>
          <w:spacing w:val="-1"/>
          <w:sz w:val="14"/>
        </w:rPr>
        <w:t> </w:t>
      </w:r>
      <w:r>
        <w:rPr>
          <w:sz w:val="14"/>
        </w:rPr>
        <w:t>Level</w:t>
      </w:r>
      <w:r>
        <w:rPr>
          <w:spacing w:val="-3"/>
          <w:sz w:val="14"/>
        </w:rPr>
        <w:t> </w:t>
      </w:r>
      <w:r>
        <w:rPr>
          <w:sz w:val="14"/>
        </w:rPr>
        <w:t>1</w:t>
      </w:r>
      <w:r>
        <w:rPr>
          <w:spacing w:val="-1"/>
          <w:sz w:val="14"/>
        </w:rPr>
        <w:t> </w:t>
      </w:r>
      <w:r>
        <w:rPr>
          <w:sz w:val="14"/>
        </w:rPr>
        <w:t>inputs</w:t>
      </w:r>
      <w:r>
        <w:rPr>
          <w:spacing w:val="-1"/>
          <w:sz w:val="14"/>
        </w:rPr>
        <w:t> </w:t>
      </w:r>
      <w:r>
        <w:rPr>
          <w:sz w:val="14"/>
        </w:rPr>
        <w:t>were</w:t>
      </w:r>
      <w:r>
        <w:rPr>
          <w:spacing w:val="-1"/>
          <w:sz w:val="14"/>
        </w:rPr>
        <w:t> </w:t>
      </w:r>
      <w:r>
        <w:rPr>
          <w:sz w:val="14"/>
        </w:rPr>
        <w:t>reclassified</w:t>
      </w:r>
      <w:r>
        <w:rPr>
          <w:spacing w:val="-1"/>
          <w:sz w:val="14"/>
        </w:rPr>
        <w:t> </w:t>
      </w:r>
      <w:r>
        <w:rPr>
          <w:sz w:val="14"/>
        </w:rPr>
        <w:t>from</w:t>
      </w:r>
      <w:r>
        <w:rPr>
          <w:spacing w:val="-1"/>
          <w:sz w:val="14"/>
        </w:rPr>
        <w:t> </w:t>
      </w:r>
      <w:r>
        <w:rPr>
          <w:sz w:val="14"/>
        </w:rPr>
        <w:t>investments</w:t>
      </w:r>
      <w:r>
        <w:rPr>
          <w:spacing w:val="-1"/>
          <w:sz w:val="14"/>
        </w:rPr>
        <w:t> </w:t>
      </w:r>
      <w:r>
        <w:rPr>
          <w:sz w:val="14"/>
        </w:rPr>
        <w:t>to</w:t>
      </w:r>
      <w:r>
        <w:rPr>
          <w:spacing w:val="-1"/>
          <w:sz w:val="14"/>
        </w:rPr>
        <w:t> </w:t>
      </w:r>
      <w:r>
        <w:rPr>
          <w:sz w:val="14"/>
        </w:rPr>
        <w:t>other</w:t>
      </w:r>
      <w:r>
        <w:rPr>
          <w:spacing w:val="-1"/>
          <w:sz w:val="14"/>
        </w:rPr>
        <w:t> </w:t>
      </w:r>
      <w:r>
        <w:rPr>
          <w:sz w:val="14"/>
        </w:rPr>
        <w:t>current</w:t>
      </w:r>
      <w:r>
        <w:rPr>
          <w:spacing w:val="-1"/>
          <w:sz w:val="14"/>
        </w:rPr>
        <w:t> </w:t>
      </w:r>
      <w:r>
        <w:rPr>
          <w:sz w:val="14"/>
        </w:rPr>
        <w:t>assets</w:t>
      </w:r>
      <w:r>
        <w:rPr>
          <w:spacing w:val="-1"/>
          <w:sz w:val="14"/>
        </w:rPr>
        <w:t> </w:t>
      </w:r>
      <w:r>
        <w:rPr>
          <w:sz w:val="14"/>
        </w:rPr>
        <w:t>and</w:t>
      </w:r>
      <w:r>
        <w:rPr>
          <w:spacing w:val="-1"/>
          <w:sz w:val="14"/>
        </w:rPr>
        <w:t> </w:t>
      </w:r>
      <w:r>
        <w:rPr>
          <w:sz w:val="14"/>
        </w:rPr>
        <w:t>subsequently</w:t>
      </w:r>
      <w:r>
        <w:rPr>
          <w:spacing w:val="-1"/>
          <w:sz w:val="14"/>
        </w:rPr>
        <w:t> </w:t>
      </w:r>
      <w:r>
        <w:rPr>
          <w:sz w:val="14"/>
        </w:rPr>
        <w:t>sold</w:t>
      </w:r>
      <w:r>
        <w:rPr>
          <w:spacing w:val="-1"/>
          <w:sz w:val="14"/>
        </w:rPr>
        <w:t> </w:t>
      </w:r>
      <w:r>
        <w:rPr>
          <w:sz w:val="14"/>
        </w:rPr>
        <w:t>for</w:t>
      </w:r>
      <w:r>
        <w:rPr>
          <w:spacing w:val="-2"/>
          <w:sz w:val="14"/>
        </w:rPr>
        <w:t> </w:t>
      </w:r>
      <w:r>
        <w:rPr>
          <w:sz w:val="14"/>
        </w:rPr>
        <w:t>$84</w:t>
      </w:r>
      <w:r>
        <w:rPr>
          <w:spacing w:val="-1"/>
          <w:sz w:val="14"/>
        </w:rPr>
        <w:t> </w:t>
      </w:r>
      <w:r>
        <w:rPr>
          <w:sz w:val="14"/>
        </w:rPr>
        <w:t>million</w:t>
      </w:r>
      <w:r>
        <w:rPr>
          <w:spacing w:val="-1"/>
          <w:sz w:val="14"/>
        </w:rPr>
        <w:t> </w:t>
      </w:r>
      <w:r>
        <w:rPr>
          <w:sz w:val="14"/>
        </w:rPr>
        <w:t>during</w:t>
      </w:r>
      <w:r>
        <w:rPr>
          <w:spacing w:val="-1"/>
          <w:sz w:val="14"/>
        </w:rPr>
        <w:t> </w:t>
      </w:r>
      <w:r>
        <w:rPr>
          <w:sz w:val="14"/>
        </w:rPr>
        <w:t>the</w:t>
      </w:r>
      <w:r>
        <w:rPr>
          <w:spacing w:val="40"/>
          <w:sz w:val="14"/>
        </w:rPr>
        <w:t> </w:t>
      </w:r>
      <w:r>
        <w:rPr>
          <w:sz w:val="14"/>
        </w:rPr>
        <w:t>year ended December 31, 2021.</w:t>
      </w:r>
    </w:p>
    <w:p>
      <w:pPr>
        <w:pStyle w:val="ListParagraph"/>
        <w:numPr>
          <w:ilvl w:val="0"/>
          <w:numId w:val="54"/>
        </w:numPr>
        <w:tabs>
          <w:tab w:pos="460" w:val="left" w:leader="none"/>
          <w:tab w:pos="462" w:val="left" w:leader="none"/>
        </w:tabs>
        <w:spacing w:line="228" w:lineRule="auto" w:before="0" w:after="0"/>
        <w:ind w:left="462" w:right="240" w:hanging="306"/>
        <w:jc w:val="left"/>
        <w:rPr>
          <w:sz w:val="14"/>
        </w:rPr>
      </w:pPr>
      <w:r>
        <w:rPr>
          <w:sz w:val="14"/>
        </w:rPr>
        <w:t>Included</w:t>
      </w:r>
      <w:r>
        <w:rPr>
          <w:spacing w:val="-1"/>
          <w:sz w:val="14"/>
        </w:rPr>
        <w:t> </w:t>
      </w:r>
      <w:r>
        <w:rPr>
          <w:sz w:val="14"/>
        </w:rPr>
        <w:t>in</w:t>
      </w:r>
      <w:r>
        <w:rPr>
          <w:spacing w:val="-1"/>
          <w:sz w:val="14"/>
        </w:rPr>
        <w:t> </w:t>
      </w:r>
      <w:r>
        <w:rPr>
          <w:sz w:val="14"/>
        </w:rPr>
        <w:t>investments</w:t>
      </w:r>
      <w:r>
        <w:rPr>
          <w:spacing w:val="-1"/>
          <w:sz w:val="14"/>
        </w:rPr>
        <w:t> </w:t>
      </w:r>
      <w:r>
        <w:rPr>
          <w:sz w:val="14"/>
        </w:rPr>
        <w:t>as</w:t>
      </w:r>
      <w:r>
        <w:rPr>
          <w:spacing w:val="-1"/>
          <w:sz w:val="14"/>
        </w:rPr>
        <w:t> </w:t>
      </w:r>
      <w:r>
        <w:rPr>
          <w:sz w:val="14"/>
        </w:rPr>
        <w:t>of</w:t>
      </w:r>
      <w:r>
        <w:rPr>
          <w:spacing w:val="-1"/>
          <w:sz w:val="14"/>
        </w:rPr>
        <w:t> </w:t>
      </w:r>
      <w:r>
        <w:rPr>
          <w:sz w:val="14"/>
        </w:rPr>
        <w:t>December</w:t>
      </w:r>
      <w:r>
        <w:rPr>
          <w:spacing w:val="-1"/>
          <w:sz w:val="14"/>
        </w:rPr>
        <w:t> </w:t>
      </w:r>
      <w:r>
        <w:rPr>
          <w:sz w:val="14"/>
        </w:rPr>
        <w:t>31,</w:t>
      </w:r>
      <w:r>
        <w:rPr>
          <w:spacing w:val="-1"/>
          <w:sz w:val="14"/>
        </w:rPr>
        <w:t> </w:t>
      </w:r>
      <w:r>
        <w:rPr>
          <w:sz w:val="14"/>
        </w:rPr>
        <w:t>2020</w:t>
      </w:r>
      <w:r>
        <w:rPr>
          <w:spacing w:val="-2"/>
          <w:sz w:val="14"/>
        </w:rPr>
        <w:t> </w:t>
      </w:r>
      <w:r>
        <w:rPr>
          <w:sz w:val="14"/>
        </w:rPr>
        <w:t>were</w:t>
      </w:r>
      <w:r>
        <w:rPr>
          <w:spacing w:val="-1"/>
          <w:sz w:val="14"/>
        </w:rPr>
        <w:t> </w:t>
      </w:r>
      <w:r>
        <w:rPr>
          <w:sz w:val="14"/>
        </w:rPr>
        <w:t>equity</w:t>
      </w:r>
      <w:r>
        <w:rPr>
          <w:spacing w:val="-1"/>
          <w:sz w:val="14"/>
        </w:rPr>
        <w:t> </w:t>
      </w:r>
      <w:r>
        <w:rPr>
          <w:sz w:val="14"/>
        </w:rPr>
        <w:t>securities</w:t>
      </w:r>
      <w:r>
        <w:rPr>
          <w:spacing w:val="-1"/>
          <w:sz w:val="14"/>
        </w:rPr>
        <w:t> </w:t>
      </w:r>
      <w:r>
        <w:rPr>
          <w:sz w:val="14"/>
        </w:rPr>
        <w:t>with</w:t>
      </w:r>
      <w:r>
        <w:rPr>
          <w:spacing w:val="-1"/>
          <w:sz w:val="14"/>
        </w:rPr>
        <w:t> </w:t>
      </w:r>
      <w:r>
        <w:rPr>
          <w:sz w:val="14"/>
        </w:rPr>
        <w:t>readily</w:t>
      </w:r>
      <w:r>
        <w:rPr>
          <w:spacing w:val="-1"/>
          <w:sz w:val="14"/>
        </w:rPr>
        <w:t> </w:t>
      </w:r>
      <w:r>
        <w:rPr>
          <w:sz w:val="14"/>
        </w:rPr>
        <w:t>available</w:t>
      </w:r>
      <w:r>
        <w:rPr>
          <w:spacing w:val="-1"/>
          <w:sz w:val="14"/>
        </w:rPr>
        <w:t> </w:t>
      </w:r>
      <w:r>
        <w:rPr>
          <w:sz w:val="14"/>
        </w:rPr>
        <w:t>fair</w:t>
      </w:r>
      <w:r>
        <w:rPr>
          <w:spacing w:val="-1"/>
          <w:sz w:val="14"/>
        </w:rPr>
        <w:t> </w:t>
      </w:r>
      <w:r>
        <w:rPr>
          <w:sz w:val="14"/>
        </w:rPr>
        <w:t>values</w:t>
      </w:r>
      <w:r>
        <w:rPr>
          <w:spacing w:val="-1"/>
          <w:sz w:val="14"/>
        </w:rPr>
        <w:t> </w:t>
      </w:r>
      <w:r>
        <w:rPr>
          <w:sz w:val="14"/>
        </w:rPr>
        <w:t>that</w:t>
      </w:r>
      <w:r>
        <w:rPr>
          <w:spacing w:val="-1"/>
          <w:sz w:val="14"/>
        </w:rPr>
        <w:t> </w:t>
      </w:r>
      <w:r>
        <w:rPr>
          <w:sz w:val="14"/>
        </w:rPr>
        <w:t>were</w:t>
      </w:r>
      <w:r>
        <w:rPr>
          <w:spacing w:val="-1"/>
          <w:sz w:val="14"/>
        </w:rPr>
        <w:t> </w:t>
      </w:r>
      <w:r>
        <w:rPr>
          <w:sz w:val="14"/>
        </w:rPr>
        <w:t>measured</w:t>
      </w:r>
      <w:r>
        <w:rPr>
          <w:spacing w:val="-1"/>
          <w:sz w:val="14"/>
        </w:rPr>
        <w:t> </w:t>
      </w:r>
      <w:r>
        <w:rPr>
          <w:sz w:val="14"/>
        </w:rPr>
        <w:t>using</w:t>
      </w:r>
      <w:r>
        <w:rPr>
          <w:spacing w:val="-1"/>
          <w:sz w:val="14"/>
        </w:rPr>
        <w:t> </w:t>
      </w:r>
      <w:r>
        <w:rPr>
          <w:sz w:val="14"/>
        </w:rPr>
        <w:t>Level</w:t>
      </w:r>
      <w:r>
        <w:rPr>
          <w:spacing w:val="-3"/>
          <w:sz w:val="14"/>
        </w:rPr>
        <w:t> </w:t>
      </w:r>
      <w:r>
        <w:rPr>
          <w:sz w:val="14"/>
        </w:rPr>
        <w:t>1</w:t>
      </w:r>
      <w:r>
        <w:rPr>
          <w:spacing w:val="-1"/>
          <w:sz w:val="14"/>
        </w:rPr>
        <w:t> </w:t>
      </w:r>
      <w:r>
        <w:rPr>
          <w:sz w:val="14"/>
        </w:rPr>
        <w:t>inputs.</w:t>
      </w:r>
      <w:r>
        <w:rPr>
          <w:spacing w:val="-1"/>
          <w:sz w:val="14"/>
        </w:rPr>
        <w:t> </w:t>
      </w:r>
      <w:r>
        <w:rPr>
          <w:sz w:val="14"/>
        </w:rPr>
        <w:t>A</w:t>
      </w:r>
      <w:r>
        <w:rPr>
          <w:spacing w:val="-1"/>
          <w:sz w:val="14"/>
        </w:rPr>
        <w:t> </w:t>
      </w:r>
      <w:r>
        <w:rPr>
          <w:sz w:val="14"/>
        </w:rPr>
        <w:t>pre-tax</w:t>
      </w:r>
      <w:r>
        <w:rPr>
          <w:spacing w:val="-1"/>
          <w:sz w:val="14"/>
        </w:rPr>
        <w:t> </w:t>
      </w:r>
      <w:r>
        <w:rPr>
          <w:sz w:val="14"/>
        </w:rPr>
        <w:t>gain</w:t>
      </w:r>
      <w:r>
        <w:rPr>
          <w:spacing w:val="-1"/>
          <w:sz w:val="14"/>
        </w:rPr>
        <w:t> </w:t>
      </w:r>
      <w:r>
        <w:rPr>
          <w:sz w:val="14"/>
        </w:rPr>
        <w:t>of</w:t>
      </w:r>
      <w:r>
        <w:rPr>
          <w:spacing w:val="-2"/>
          <w:sz w:val="14"/>
        </w:rPr>
        <w:t> </w:t>
      </w:r>
      <w:r>
        <w:rPr>
          <w:sz w:val="14"/>
        </w:rPr>
        <w:t>$107</w:t>
      </w:r>
      <w:r>
        <w:rPr>
          <w:spacing w:val="-1"/>
          <w:sz w:val="14"/>
        </w:rPr>
        <w:t> </w:t>
      </w:r>
      <w:r>
        <w:rPr>
          <w:sz w:val="14"/>
        </w:rPr>
        <w:t>million</w:t>
      </w:r>
      <w:r>
        <w:rPr>
          <w:spacing w:val="-1"/>
          <w:sz w:val="14"/>
        </w:rPr>
        <w:t> </w:t>
      </w:r>
      <w:r>
        <w:rPr>
          <w:sz w:val="14"/>
        </w:rPr>
        <w:t>was</w:t>
      </w:r>
      <w:r>
        <w:rPr>
          <w:spacing w:val="-1"/>
          <w:sz w:val="14"/>
        </w:rPr>
        <w:t> </w:t>
      </w:r>
      <w:r>
        <w:rPr>
          <w:sz w:val="14"/>
        </w:rPr>
        <w:t>recorded</w:t>
      </w:r>
      <w:r>
        <w:rPr>
          <w:spacing w:val="-1"/>
          <w:sz w:val="14"/>
        </w:rPr>
        <w:t> </w:t>
      </w:r>
      <w:r>
        <w:rPr>
          <w:sz w:val="14"/>
        </w:rPr>
        <w:t>from</w:t>
      </w:r>
      <w:r>
        <w:rPr>
          <w:spacing w:val="40"/>
          <w:sz w:val="14"/>
        </w:rPr>
        <w:t> </w:t>
      </w:r>
      <w:r>
        <w:rPr>
          <w:sz w:val="14"/>
        </w:rPr>
        <w:t>the initial public offering of an investment for the year ended December 31, 2020.</w:t>
      </w:r>
    </w:p>
    <w:p>
      <w:pPr>
        <w:pStyle w:val="ListParagraph"/>
        <w:numPr>
          <w:ilvl w:val="0"/>
          <w:numId w:val="54"/>
        </w:numPr>
        <w:tabs>
          <w:tab w:pos="460" w:val="left" w:leader="none"/>
          <w:tab w:pos="462" w:val="left" w:leader="none"/>
        </w:tabs>
        <w:spacing w:line="228" w:lineRule="auto" w:before="0" w:after="0"/>
        <w:ind w:left="462" w:right="285" w:hanging="306"/>
        <w:jc w:val="left"/>
        <w:rPr>
          <w:sz w:val="14"/>
        </w:rPr>
      </w:pPr>
      <w:r>
        <w:rPr>
          <w:sz w:val="14"/>
        </w:rPr>
        <w:t>Other</w:t>
      </w:r>
      <w:r>
        <w:rPr>
          <w:spacing w:val="-1"/>
          <w:sz w:val="14"/>
        </w:rPr>
        <w:t> </w:t>
      </w:r>
      <w:r>
        <w:rPr>
          <w:sz w:val="14"/>
        </w:rPr>
        <w:t>liabilities</w:t>
      </w:r>
      <w:r>
        <w:rPr>
          <w:spacing w:val="-1"/>
          <w:sz w:val="14"/>
        </w:rPr>
        <w:t> </w:t>
      </w:r>
      <w:r>
        <w:rPr>
          <w:sz w:val="14"/>
        </w:rPr>
        <w:t>as</w:t>
      </w:r>
      <w:r>
        <w:rPr>
          <w:spacing w:val="-1"/>
          <w:sz w:val="14"/>
        </w:rPr>
        <w:t> </w:t>
      </w:r>
      <w:r>
        <w:rPr>
          <w:sz w:val="14"/>
        </w:rPr>
        <w:t>of</w:t>
      </w:r>
      <w:r>
        <w:rPr>
          <w:spacing w:val="-1"/>
          <w:sz w:val="14"/>
        </w:rPr>
        <w:t> </w:t>
      </w:r>
      <w:r>
        <w:rPr>
          <w:sz w:val="14"/>
        </w:rPr>
        <w:t>December</w:t>
      </w:r>
      <w:r>
        <w:rPr>
          <w:spacing w:val="-1"/>
          <w:sz w:val="14"/>
        </w:rPr>
        <w:t> </w:t>
      </w:r>
      <w:r>
        <w:rPr>
          <w:sz w:val="14"/>
        </w:rPr>
        <w:t>31,</w:t>
      </w:r>
      <w:r>
        <w:rPr>
          <w:spacing w:val="-1"/>
          <w:sz w:val="14"/>
        </w:rPr>
        <w:t> </w:t>
      </w:r>
      <w:r>
        <w:rPr>
          <w:sz w:val="14"/>
        </w:rPr>
        <w:t>2021</w:t>
      </w:r>
      <w:r>
        <w:rPr>
          <w:spacing w:val="-2"/>
          <w:sz w:val="14"/>
        </w:rPr>
        <w:t> </w:t>
      </w:r>
      <w:r>
        <w:rPr>
          <w:sz w:val="14"/>
        </w:rPr>
        <w:t>include</w:t>
      </w:r>
      <w:r>
        <w:rPr>
          <w:spacing w:val="-1"/>
          <w:sz w:val="14"/>
        </w:rPr>
        <w:t> </w:t>
      </w:r>
      <w:r>
        <w:rPr>
          <w:sz w:val="14"/>
        </w:rPr>
        <w:t>a</w:t>
      </w:r>
      <w:r>
        <w:rPr>
          <w:spacing w:val="-2"/>
          <w:sz w:val="14"/>
        </w:rPr>
        <w:t> </w:t>
      </w:r>
      <w:r>
        <w:rPr>
          <w:sz w:val="14"/>
        </w:rPr>
        <w:t>$17</w:t>
      </w:r>
      <w:r>
        <w:rPr>
          <w:spacing w:val="-1"/>
          <w:sz w:val="14"/>
        </w:rPr>
        <w:t> </w:t>
      </w:r>
      <w:r>
        <w:rPr>
          <w:sz w:val="14"/>
        </w:rPr>
        <w:t>million</w:t>
      </w:r>
      <w:r>
        <w:rPr>
          <w:spacing w:val="-1"/>
          <w:sz w:val="14"/>
        </w:rPr>
        <w:t> </w:t>
      </w:r>
      <w:r>
        <w:rPr>
          <w:sz w:val="14"/>
        </w:rPr>
        <w:t>put</w:t>
      </w:r>
      <w:r>
        <w:rPr>
          <w:spacing w:val="-1"/>
          <w:sz w:val="14"/>
        </w:rPr>
        <w:t> </w:t>
      </w:r>
      <w:r>
        <w:rPr>
          <w:sz w:val="14"/>
        </w:rPr>
        <w:t>option</w:t>
      </w:r>
      <w:r>
        <w:rPr>
          <w:spacing w:val="-1"/>
          <w:sz w:val="14"/>
        </w:rPr>
        <w:t> </w:t>
      </w:r>
      <w:r>
        <w:rPr>
          <w:sz w:val="14"/>
        </w:rPr>
        <w:t>pursuant</w:t>
      </w:r>
      <w:r>
        <w:rPr>
          <w:spacing w:val="-1"/>
          <w:sz w:val="14"/>
        </w:rPr>
        <w:t> </w:t>
      </w:r>
      <w:r>
        <w:rPr>
          <w:sz w:val="14"/>
        </w:rPr>
        <w:t>to</w:t>
      </w:r>
      <w:r>
        <w:rPr>
          <w:spacing w:val="-1"/>
          <w:sz w:val="14"/>
        </w:rPr>
        <w:t> </w:t>
      </w:r>
      <w:r>
        <w:rPr>
          <w:sz w:val="14"/>
        </w:rPr>
        <w:t>the</w:t>
      </w:r>
      <w:r>
        <w:rPr>
          <w:spacing w:val="-1"/>
          <w:sz w:val="14"/>
        </w:rPr>
        <w:t> </w:t>
      </w:r>
      <w:r>
        <w:rPr>
          <w:sz w:val="14"/>
        </w:rPr>
        <w:t>Share</w:t>
      </w:r>
      <w:r>
        <w:rPr>
          <w:spacing w:val="-1"/>
          <w:sz w:val="14"/>
        </w:rPr>
        <w:t> </w:t>
      </w:r>
      <w:r>
        <w:rPr>
          <w:sz w:val="14"/>
        </w:rPr>
        <w:t>Repurchase</w:t>
      </w:r>
      <w:r>
        <w:rPr>
          <w:spacing w:val="-1"/>
          <w:sz w:val="14"/>
        </w:rPr>
        <w:t> </w:t>
      </w:r>
      <w:r>
        <w:rPr>
          <w:sz w:val="14"/>
        </w:rPr>
        <w:t>Agreement</w:t>
      </w:r>
      <w:r>
        <w:rPr>
          <w:spacing w:val="-1"/>
          <w:sz w:val="14"/>
        </w:rPr>
        <w:t> </w:t>
      </w:r>
      <w:r>
        <w:rPr>
          <w:sz w:val="14"/>
        </w:rPr>
        <w:t>with</w:t>
      </w:r>
      <w:r>
        <w:rPr>
          <w:spacing w:val="-1"/>
          <w:sz w:val="14"/>
        </w:rPr>
        <w:t> </w:t>
      </w:r>
      <w:r>
        <w:rPr>
          <w:sz w:val="14"/>
        </w:rPr>
        <w:t>SDC,</w:t>
      </w:r>
      <w:r>
        <w:rPr>
          <w:spacing w:val="-1"/>
          <w:sz w:val="14"/>
        </w:rPr>
        <w:t> </w:t>
      </w:r>
      <w:r>
        <w:rPr>
          <w:sz w:val="14"/>
        </w:rPr>
        <w:t>which</w:t>
      </w:r>
      <w:r>
        <w:rPr>
          <w:spacing w:val="-1"/>
          <w:sz w:val="14"/>
        </w:rPr>
        <w:t> </w:t>
      </w:r>
      <w:r>
        <w:rPr>
          <w:sz w:val="14"/>
        </w:rPr>
        <w:t>was</w:t>
      </w:r>
      <w:r>
        <w:rPr>
          <w:spacing w:val="-1"/>
          <w:sz w:val="14"/>
        </w:rPr>
        <w:t> </w:t>
      </w:r>
      <w:r>
        <w:rPr>
          <w:sz w:val="14"/>
        </w:rPr>
        <w:t>measured</w:t>
      </w:r>
      <w:r>
        <w:rPr>
          <w:spacing w:val="-1"/>
          <w:sz w:val="14"/>
        </w:rPr>
        <w:t> </w:t>
      </w:r>
      <w:r>
        <w:rPr>
          <w:sz w:val="14"/>
        </w:rPr>
        <w:t>using</w:t>
      </w:r>
      <w:r>
        <w:rPr>
          <w:spacing w:val="-1"/>
          <w:sz w:val="14"/>
        </w:rPr>
        <w:t> </w:t>
      </w:r>
      <w:r>
        <w:rPr>
          <w:sz w:val="14"/>
        </w:rPr>
        <w:t>significant</w:t>
      </w:r>
      <w:r>
        <w:rPr>
          <w:spacing w:val="-1"/>
          <w:sz w:val="14"/>
        </w:rPr>
        <w:t> </w:t>
      </w:r>
      <w:r>
        <w:rPr>
          <w:sz w:val="14"/>
        </w:rPr>
        <w:t>other</w:t>
      </w:r>
      <w:r>
        <w:rPr>
          <w:spacing w:val="-1"/>
          <w:sz w:val="14"/>
        </w:rPr>
        <w:t> </w:t>
      </w:r>
      <w:r>
        <w:rPr>
          <w:sz w:val="14"/>
        </w:rPr>
        <w:t>observable</w:t>
      </w:r>
      <w:r>
        <w:rPr>
          <w:spacing w:val="-1"/>
          <w:sz w:val="14"/>
        </w:rPr>
        <w:t> </w:t>
      </w:r>
      <w:r>
        <w:rPr>
          <w:sz w:val="14"/>
        </w:rPr>
        <w:t>(Level</w:t>
      </w:r>
      <w:r>
        <w:rPr>
          <w:spacing w:val="-5"/>
          <w:sz w:val="14"/>
        </w:rPr>
        <w:t> </w:t>
      </w:r>
      <w:r>
        <w:rPr>
          <w:sz w:val="14"/>
        </w:rPr>
        <w:t>2)</w:t>
      </w:r>
      <w:r>
        <w:rPr>
          <w:spacing w:val="40"/>
          <w:sz w:val="14"/>
        </w:rPr>
        <w:t> </w:t>
      </w:r>
      <w:r>
        <w:rPr>
          <w:sz w:val="14"/>
        </w:rPr>
        <w:t>inputs. Refer to Note 17 (Shareholders' Equity) to the consolidated financial statements for additional information</w:t>
      </w:r>
    </w:p>
    <w:p>
      <w:pPr>
        <w:pStyle w:val="BodyText"/>
        <w:spacing w:before="42"/>
        <w:rPr>
          <w:sz w:val="14"/>
        </w:rPr>
      </w:pPr>
    </w:p>
    <w:p>
      <w:pPr>
        <w:pStyle w:val="Heading3"/>
      </w:pPr>
      <w:r>
        <w:rPr/>
        <w:t>Assets</w:t>
      </w:r>
      <w:r>
        <w:rPr>
          <w:spacing w:val="12"/>
        </w:rPr>
        <w:t> </w:t>
      </w:r>
      <w:r>
        <w:rPr/>
        <w:t>and</w:t>
      </w:r>
      <w:r>
        <w:rPr>
          <w:spacing w:val="13"/>
        </w:rPr>
        <w:t> </w:t>
      </w:r>
      <w:r>
        <w:rPr/>
        <w:t>Liabilities</w:t>
      </w:r>
      <w:r>
        <w:rPr>
          <w:spacing w:val="12"/>
        </w:rPr>
        <w:t> </w:t>
      </w:r>
      <w:r>
        <w:rPr/>
        <w:t>Measured</w:t>
      </w:r>
      <w:r>
        <w:rPr>
          <w:spacing w:val="13"/>
        </w:rPr>
        <w:t> </w:t>
      </w:r>
      <w:r>
        <w:rPr/>
        <w:t>on</w:t>
      </w:r>
      <w:r>
        <w:rPr>
          <w:spacing w:val="12"/>
        </w:rPr>
        <w:t> </w:t>
      </w:r>
      <w:r>
        <w:rPr/>
        <w:t>a</w:t>
      </w:r>
      <w:r>
        <w:rPr>
          <w:spacing w:val="13"/>
        </w:rPr>
        <w:t> </w:t>
      </w:r>
      <w:r>
        <w:rPr/>
        <w:t>Non-Recurring</w:t>
      </w:r>
      <w:r>
        <w:rPr>
          <w:spacing w:val="13"/>
        </w:rPr>
        <w:t> </w:t>
      </w:r>
      <w:r>
        <w:rPr>
          <w:spacing w:val="-2"/>
        </w:rPr>
        <w:t>Basis</w:t>
      </w:r>
    </w:p>
    <w:p>
      <w:pPr>
        <w:pStyle w:val="BodyText"/>
        <w:spacing w:before="40"/>
        <w:rPr>
          <w:b/>
          <w:i/>
        </w:rPr>
      </w:pPr>
    </w:p>
    <w:p>
      <w:pPr>
        <w:pStyle w:val="BodyText"/>
        <w:spacing w:line="266" w:lineRule="auto"/>
        <w:ind w:left="156"/>
      </w:pPr>
      <w:r>
        <w:rPr>
          <w:w w:val="105"/>
        </w:rPr>
        <w:t>For</w:t>
      </w:r>
      <w:r>
        <w:rPr>
          <w:spacing w:val="-2"/>
          <w:w w:val="105"/>
        </w:rPr>
        <w:t> </w:t>
      </w:r>
      <w:r>
        <w:rPr>
          <w:w w:val="105"/>
        </w:rPr>
        <w:t>the</w:t>
      </w:r>
      <w:r>
        <w:rPr>
          <w:spacing w:val="-2"/>
          <w:w w:val="105"/>
        </w:rPr>
        <w:t> </w:t>
      </w:r>
      <w:r>
        <w:rPr>
          <w:w w:val="105"/>
        </w:rPr>
        <w:t>year</w:t>
      </w:r>
      <w:r>
        <w:rPr>
          <w:spacing w:val="-2"/>
          <w:w w:val="105"/>
        </w:rPr>
        <w:t> </w:t>
      </w:r>
      <w:r>
        <w:rPr>
          <w:w w:val="105"/>
        </w:rPr>
        <w:t>ended</w:t>
      </w:r>
      <w:r>
        <w:rPr>
          <w:spacing w:val="-1"/>
          <w:w w:val="105"/>
        </w:rPr>
        <w:t> </w:t>
      </w:r>
      <w:r>
        <w:rPr>
          <w:w w:val="105"/>
        </w:rPr>
        <w:t>December</w:t>
      </w:r>
      <w:r>
        <w:rPr>
          <w:spacing w:val="-2"/>
          <w:w w:val="105"/>
        </w:rPr>
        <w:t> </w:t>
      </w:r>
      <w:r>
        <w:rPr>
          <w:w w:val="105"/>
        </w:rPr>
        <w:t>31,</w:t>
      </w:r>
      <w:r>
        <w:rPr>
          <w:spacing w:val="-2"/>
          <w:w w:val="105"/>
        </w:rPr>
        <w:t> </w:t>
      </w:r>
      <w:r>
        <w:rPr>
          <w:w w:val="105"/>
        </w:rPr>
        <w:t>2020,</w:t>
      </w:r>
      <w:r>
        <w:rPr>
          <w:spacing w:val="-1"/>
          <w:w w:val="105"/>
        </w:rPr>
        <w:t> </w:t>
      </w:r>
      <w:r>
        <w:rPr>
          <w:w w:val="105"/>
        </w:rPr>
        <w:t>Corning</w:t>
      </w:r>
      <w:r>
        <w:rPr>
          <w:spacing w:val="-2"/>
          <w:w w:val="105"/>
        </w:rPr>
        <w:t> </w:t>
      </w:r>
      <w:r>
        <w:rPr>
          <w:w w:val="105"/>
        </w:rPr>
        <w:t>incurred</w:t>
      </w:r>
      <w:r>
        <w:rPr>
          <w:spacing w:val="-2"/>
          <w:w w:val="105"/>
        </w:rPr>
        <w:t> </w:t>
      </w:r>
      <w:r>
        <w:rPr>
          <w:w w:val="105"/>
        </w:rPr>
        <w:t>a</w:t>
      </w:r>
      <w:r>
        <w:rPr>
          <w:spacing w:val="-2"/>
          <w:w w:val="105"/>
        </w:rPr>
        <w:t> </w:t>
      </w:r>
      <w:r>
        <w:rPr>
          <w:w w:val="105"/>
        </w:rPr>
        <w:t>long-lived asset</w:t>
      </w:r>
      <w:r>
        <w:rPr>
          <w:spacing w:val="-2"/>
          <w:w w:val="105"/>
        </w:rPr>
        <w:t> </w:t>
      </w:r>
      <w:r>
        <w:rPr>
          <w:w w:val="105"/>
        </w:rPr>
        <w:t>impairment</w:t>
      </w:r>
      <w:r>
        <w:rPr>
          <w:spacing w:val="-2"/>
          <w:w w:val="105"/>
        </w:rPr>
        <w:t> </w:t>
      </w:r>
      <w:r>
        <w:rPr>
          <w:w w:val="105"/>
        </w:rPr>
        <w:t>and</w:t>
      </w:r>
      <w:r>
        <w:rPr>
          <w:spacing w:val="-2"/>
          <w:w w:val="105"/>
        </w:rPr>
        <w:t> </w:t>
      </w:r>
      <w:r>
        <w:rPr>
          <w:w w:val="105"/>
        </w:rPr>
        <w:t>disposal</w:t>
      </w:r>
      <w:r>
        <w:rPr>
          <w:spacing w:val="-2"/>
          <w:w w:val="105"/>
        </w:rPr>
        <w:t> </w:t>
      </w:r>
      <w:r>
        <w:rPr>
          <w:w w:val="105"/>
        </w:rPr>
        <w:t>loss</w:t>
      </w:r>
      <w:r>
        <w:rPr>
          <w:spacing w:val="-2"/>
          <w:w w:val="105"/>
        </w:rPr>
        <w:t> </w:t>
      </w:r>
      <w:r>
        <w:rPr>
          <w:w w:val="105"/>
        </w:rPr>
        <w:t>for</w:t>
      </w:r>
      <w:r>
        <w:rPr>
          <w:spacing w:val="-2"/>
          <w:w w:val="105"/>
        </w:rPr>
        <w:t> </w:t>
      </w:r>
      <w:r>
        <w:rPr>
          <w:w w:val="105"/>
        </w:rPr>
        <w:t>an</w:t>
      </w:r>
      <w:r>
        <w:rPr>
          <w:spacing w:val="-2"/>
          <w:w w:val="105"/>
        </w:rPr>
        <w:t> </w:t>
      </w:r>
      <w:r>
        <w:rPr>
          <w:w w:val="105"/>
        </w:rPr>
        <w:t>asset</w:t>
      </w:r>
      <w:r>
        <w:rPr>
          <w:spacing w:val="-2"/>
          <w:w w:val="105"/>
        </w:rPr>
        <w:t> </w:t>
      </w:r>
      <w:r>
        <w:rPr>
          <w:w w:val="105"/>
        </w:rPr>
        <w:t>group</w:t>
      </w:r>
      <w:r>
        <w:rPr>
          <w:spacing w:val="-2"/>
          <w:w w:val="105"/>
        </w:rPr>
        <w:t> </w:t>
      </w:r>
      <w:r>
        <w:rPr>
          <w:w w:val="105"/>
        </w:rPr>
        <w:t>related</w:t>
      </w:r>
      <w:r>
        <w:rPr>
          <w:spacing w:val="-2"/>
          <w:w w:val="105"/>
        </w:rPr>
        <w:t> </w:t>
      </w:r>
      <w:r>
        <w:rPr>
          <w:w w:val="105"/>
        </w:rPr>
        <w:t>to</w:t>
      </w:r>
      <w:r>
        <w:rPr>
          <w:spacing w:val="-2"/>
          <w:w w:val="105"/>
        </w:rPr>
        <w:t> </w:t>
      </w:r>
      <w:r>
        <w:rPr>
          <w:w w:val="105"/>
        </w:rPr>
        <w:t>the</w:t>
      </w:r>
      <w:r>
        <w:rPr>
          <w:spacing w:val="-2"/>
          <w:w w:val="105"/>
        </w:rPr>
        <w:t> </w:t>
      </w:r>
      <w:r>
        <w:rPr>
          <w:w w:val="105"/>
        </w:rPr>
        <w:t>reassessment</w:t>
      </w:r>
      <w:r>
        <w:rPr>
          <w:spacing w:val="-2"/>
          <w:w w:val="105"/>
        </w:rPr>
        <w:t> </w:t>
      </w:r>
      <w:r>
        <w:rPr>
          <w:w w:val="105"/>
        </w:rPr>
        <w:t>of</w:t>
      </w:r>
      <w:r>
        <w:rPr>
          <w:spacing w:val="-2"/>
          <w:w w:val="105"/>
        </w:rPr>
        <w:t> </w:t>
      </w:r>
      <w:r>
        <w:rPr>
          <w:w w:val="105"/>
        </w:rPr>
        <w:t>research</w:t>
      </w:r>
      <w:r>
        <w:rPr>
          <w:spacing w:val="-2"/>
          <w:w w:val="105"/>
        </w:rPr>
        <w:t> </w:t>
      </w:r>
      <w:r>
        <w:rPr>
          <w:w w:val="105"/>
        </w:rPr>
        <w:t>and development</w:t>
      </w:r>
      <w:r>
        <w:rPr>
          <w:spacing w:val="-2"/>
          <w:w w:val="105"/>
        </w:rPr>
        <w:t> </w:t>
      </w:r>
      <w:r>
        <w:rPr>
          <w:w w:val="105"/>
        </w:rPr>
        <w:t>programs</w:t>
      </w:r>
      <w:r>
        <w:rPr>
          <w:spacing w:val="-2"/>
          <w:w w:val="105"/>
        </w:rPr>
        <w:t> </w:t>
      </w:r>
      <w:r>
        <w:rPr>
          <w:w w:val="105"/>
        </w:rPr>
        <w:t>within “All</w:t>
      </w:r>
      <w:r>
        <w:rPr>
          <w:spacing w:val="-2"/>
          <w:w w:val="105"/>
        </w:rPr>
        <w:t> </w:t>
      </w:r>
      <w:r>
        <w:rPr>
          <w:w w:val="105"/>
        </w:rPr>
        <w:t>Other”.</w:t>
      </w:r>
      <w:r>
        <w:rPr>
          <w:spacing w:val="-2"/>
          <w:w w:val="105"/>
        </w:rPr>
        <w:t> </w:t>
      </w:r>
      <w:r>
        <w:rPr>
          <w:w w:val="105"/>
        </w:rPr>
        <w:t>Given</w:t>
      </w:r>
      <w:r>
        <w:rPr>
          <w:spacing w:val="-2"/>
          <w:w w:val="105"/>
        </w:rPr>
        <w:t> </w:t>
      </w:r>
      <w:r>
        <w:rPr>
          <w:w w:val="105"/>
        </w:rPr>
        <w:t>the</w:t>
      </w:r>
      <w:r>
        <w:rPr>
          <w:spacing w:val="-2"/>
          <w:w w:val="105"/>
        </w:rPr>
        <w:t> </w:t>
      </w:r>
      <w:r>
        <w:rPr>
          <w:w w:val="105"/>
        </w:rPr>
        <w:t>economic environment</w:t>
      </w:r>
      <w:r>
        <w:rPr>
          <w:spacing w:val="-2"/>
          <w:w w:val="105"/>
        </w:rPr>
        <w:t> </w:t>
      </w:r>
      <w:r>
        <w:rPr>
          <w:w w:val="105"/>
        </w:rPr>
        <w:t>and</w:t>
      </w:r>
      <w:r>
        <w:rPr>
          <w:spacing w:val="-2"/>
          <w:w w:val="105"/>
        </w:rPr>
        <w:t> </w:t>
      </w:r>
      <w:r>
        <w:rPr>
          <w:w w:val="105"/>
        </w:rPr>
        <w:t>market</w:t>
      </w:r>
      <w:r>
        <w:rPr>
          <w:spacing w:val="-2"/>
          <w:w w:val="105"/>
        </w:rPr>
        <w:t> </w:t>
      </w:r>
      <w:r>
        <w:rPr>
          <w:w w:val="105"/>
        </w:rPr>
        <w:t>opportunities,</w:t>
      </w:r>
      <w:r>
        <w:rPr>
          <w:spacing w:val="-2"/>
          <w:w w:val="105"/>
        </w:rPr>
        <w:t> </w:t>
      </w:r>
      <w:r>
        <w:rPr>
          <w:w w:val="105"/>
        </w:rPr>
        <w:t>Corning</w:t>
      </w:r>
      <w:r>
        <w:rPr>
          <w:spacing w:val="-2"/>
          <w:w w:val="105"/>
        </w:rPr>
        <w:t> </w:t>
      </w:r>
      <w:r>
        <w:rPr>
          <w:w w:val="105"/>
        </w:rPr>
        <w:t>discontinued</w:t>
      </w:r>
      <w:r>
        <w:rPr>
          <w:spacing w:val="-2"/>
          <w:w w:val="105"/>
        </w:rPr>
        <w:t> </w:t>
      </w:r>
      <w:r>
        <w:rPr>
          <w:w w:val="105"/>
        </w:rPr>
        <w:t>its investment</w:t>
      </w:r>
      <w:r>
        <w:rPr>
          <w:spacing w:val="-2"/>
          <w:w w:val="105"/>
        </w:rPr>
        <w:t> </w:t>
      </w:r>
      <w:r>
        <w:rPr>
          <w:w w:val="105"/>
        </w:rPr>
        <w:t>in</w:t>
      </w:r>
      <w:r>
        <w:rPr>
          <w:spacing w:val="-2"/>
          <w:w w:val="105"/>
        </w:rPr>
        <w:t> </w:t>
      </w:r>
      <w:r>
        <w:rPr>
          <w:w w:val="105"/>
        </w:rPr>
        <w:t>these</w:t>
      </w:r>
      <w:r>
        <w:rPr>
          <w:spacing w:val="-2"/>
          <w:w w:val="105"/>
        </w:rPr>
        <w:t> </w:t>
      </w:r>
      <w:r>
        <w:rPr>
          <w:w w:val="105"/>
        </w:rPr>
        <w:t>research</w:t>
      </w:r>
      <w:r>
        <w:rPr>
          <w:spacing w:val="-2"/>
          <w:w w:val="105"/>
        </w:rPr>
        <w:t> </w:t>
      </w:r>
      <w:r>
        <w:rPr>
          <w:w w:val="105"/>
        </w:rPr>
        <w:t>and development</w:t>
      </w:r>
      <w:r>
        <w:rPr>
          <w:spacing w:val="-8"/>
          <w:w w:val="105"/>
        </w:rPr>
        <w:t> </w:t>
      </w:r>
      <w:r>
        <w:rPr>
          <w:w w:val="105"/>
        </w:rPr>
        <w:t>programs.</w:t>
      </w:r>
      <w:r>
        <w:rPr>
          <w:spacing w:val="-8"/>
          <w:w w:val="105"/>
        </w:rPr>
        <w:t> </w:t>
      </w:r>
      <w:r>
        <w:rPr>
          <w:w w:val="105"/>
        </w:rPr>
        <w:t>The</w:t>
      </w:r>
      <w:r>
        <w:rPr>
          <w:spacing w:val="-8"/>
          <w:w w:val="105"/>
        </w:rPr>
        <w:t> </w:t>
      </w:r>
      <w:r>
        <w:rPr>
          <w:w w:val="105"/>
        </w:rPr>
        <w:t>impairment</w:t>
      </w:r>
      <w:r>
        <w:rPr>
          <w:spacing w:val="-8"/>
          <w:w w:val="105"/>
        </w:rPr>
        <w:t> </w:t>
      </w:r>
      <w:r>
        <w:rPr>
          <w:w w:val="105"/>
        </w:rPr>
        <w:t>analysis</w:t>
      </w:r>
      <w:r>
        <w:rPr>
          <w:spacing w:val="-8"/>
          <w:w w:val="105"/>
        </w:rPr>
        <w:t> </w:t>
      </w:r>
      <w:r>
        <w:rPr>
          <w:w w:val="105"/>
        </w:rPr>
        <w:t>and</w:t>
      </w:r>
      <w:r>
        <w:rPr>
          <w:spacing w:val="-8"/>
          <w:w w:val="105"/>
        </w:rPr>
        <w:t> </w:t>
      </w:r>
      <w:r>
        <w:rPr>
          <w:w w:val="105"/>
        </w:rPr>
        <w:t>disposition</w:t>
      </w:r>
      <w:r>
        <w:rPr>
          <w:spacing w:val="-8"/>
          <w:w w:val="105"/>
        </w:rPr>
        <w:t> </w:t>
      </w:r>
      <w:r>
        <w:rPr>
          <w:w w:val="105"/>
        </w:rPr>
        <w:t>of</w:t>
      </w:r>
      <w:r>
        <w:rPr>
          <w:spacing w:val="-8"/>
          <w:w w:val="105"/>
        </w:rPr>
        <w:t> </w:t>
      </w:r>
      <w:r>
        <w:rPr>
          <w:w w:val="105"/>
        </w:rPr>
        <w:t>certain</w:t>
      </w:r>
      <w:r>
        <w:rPr>
          <w:spacing w:val="-8"/>
          <w:w w:val="105"/>
        </w:rPr>
        <w:t> </w:t>
      </w:r>
      <w:r>
        <w:rPr>
          <w:w w:val="105"/>
        </w:rPr>
        <w:t>assets</w:t>
      </w:r>
      <w:r>
        <w:rPr>
          <w:spacing w:val="-7"/>
          <w:w w:val="105"/>
        </w:rPr>
        <w:t> </w:t>
      </w:r>
      <w:r>
        <w:rPr>
          <w:w w:val="105"/>
        </w:rPr>
        <w:t>resulted</w:t>
      </w:r>
      <w:r>
        <w:rPr>
          <w:spacing w:val="-8"/>
          <w:w w:val="105"/>
        </w:rPr>
        <w:t> </w:t>
      </w:r>
      <w:r>
        <w:rPr>
          <w:w w:val="105"/>
        </w:rPr>
        <w:t>in</w:t>
      </w:r>
      <w:r>
        <w:rPr>
          <w:spacing w:val="-8"/>
          <w:w w:val="105"/>
        </w:rPr>
        <w:t> </w:t>
      </w:r>
      <w:r>
        <w:rPr>
          <w:w w:val="105"/>
        </w:rPr>
        <w:t>a</w:t>
      </w:r>
      <w:r>
        <w:rPr>
          <w:spacing w:val="-8"/>
          <w:w w:val="105"/>
        </w:rPr>
        <w:t> </w:t>
      </w:r>
      <w:r>
        <w:rPr>
          <w:w w:val="105"/>
        </w:rPr>
        <w:t>total</w:t>
      </w:r>
      <w:r>
        <w:rPr>
          <w:spacing w:val="-8"/>
          <w:w w:val="105"/>
        </w:rPr>
        <w:t> </w:t>
      </w:r>
      <w:r>
        <w:rPr>
          <w:w w:val="105"/>
        </w:rPr>
        <w:t>pre-tax</w:t>
      </w:r>
      <w:r>
        <w:rPr>
          <w:spacing w:val="-8"/>
          <w:w w:val="105"/>
        </w:rPr>
        <w:t> </w:t>
      </w:r>
      <w:r>
        <w:rPr>
          <w:w w:val="105"/>
        </w:rPr>
        <w:t>charge</w:t>
      </w:r>
      <w:r>
        <w:rPr>
          <w:spacing w:val="-8"/>
          <w:w w:val="105"/>
        </w:rPr>
        <w:t> </w:t>
      </w:r>
      <w:r>
        <w:rPr>
          <w:w w:val="105"/>
        </w:rPr>
        <w:t>of</w:t>
      </w:r>
      <w:r>
        <w:rPr>
          <w:spacing w:val="-8"/>
          <w:w w:val="105"/>
        </w:rPr>
        <w:t> </w:t>
      </w:r>
      <w:r>
        <w:rPr>
          <w:w w:val="105"/>
        </w:rPr>
        <w:t>$217</w:t>
      </w:r>
      <w:r>
        <w:rPr>
          <w:spacing w:val="-8"/>
          <w:w w:val="105"/>
        </w:rPr>
        <w:t> </w:t>
      </w:r>
      <w:r>
        <w:rPr>
          <w:w w:val="105"/>
        </w:rPr>
        <w:t>million,</w:t>
      </w:r>
      <w:r>
        <w:rPr>
          <w:spacing w:val="-8"/>
          <w:w w:val="105"/>
        </w:rPr>
        <w:t> </w:t>
      </w:r>
      <w:r>
        <w:rPr>
          <w:w w:val="105"/>
        </w:rPr>
        <w:t>which</w:t>
      </w:r>
      <w:r>
        <w:rPr>
          <w:spacing w:val="-8"/>
          <w:w w:val="105"/>
        </w:rPr>
        <w:t> </w:t>
      </w:r>
      <w:r>
        <w:rPr>
          <w:w w:val="105"/>
        </w:rPr>
        <w:t>was</w:t>
      </w:r>
      <w:r>
        <w:rPr>
          <w:spacing w:val="-8"/>
          <w:w w:val="105"/>
        </w:rPr>
        <w:t> </w:t>
      </w:r>
      <w:r>
        <w:rPr>
          <w:w w:val="105"/>
        </w:rPr>
        <w:t>substantially</w:t>
      </w:r>
      <w:r>
        <w:rPr>
          <w:spacing w:val="-8"/>
          <w:w w:val="105"/>
        </w:rPr>
        <w:t> </w:t>
      </w:r>
      <w:r>
        <w:rPr>
          <w:w w:val="105"/>
        </w:rPr>
        <w:t>all</w:t>
      </w:r>
      <w:r>
        <w:rPr>
          <w:spacing w:val="-8"/>
          <w:w w:val="105"/>
        </w:rPr>
        <w:t> </w:t>
      </w:r>
      <w:r>
        <w:rPr>
          <w:w w:val="105"/>
        </w:rPr>
        <w:t>the</w:t>
      </w:r>
      <w:r>
        <w:rPr>
          <w:spacing w:val="-8"/>
          <w:w w:val="105"/>
        </w:rPr>
        <w:t> </w:t>
      </w:r>
      <w:r>
        <w:rPr>
          <w:w w:val="105"/>
        </w:rPr>
        <w:t>carrying value,</w:t>
      </w:r>
      <w:r>
        <w:rPr>
          <w:spacing w:val="-2"/>
          <w:w w:val="105"/>
        </w:rPr>
        <w:t> </w:t>
      </w:r>
      <w:r>
        <w:rPr>
          <w:w w:val="105"/>
        </w:rPr>
        <w:t>inclusive</w:t>
      </w:r>
      <w:r>
        <w:rPr>
          <w:spacing w:val="-2"/>
          <w:w w:val="105"/>
        </w:rPr>
        <w:t> </w:t>
      </w:r>
      <w:r>
        <w:rPr>
          <w:w w:val="105"/>
        </w:rPr>
        <w:t>of</w:t>
      </w:r>
      <w:r>
        <w:rPr>
          <w:spacing w:val="-2"/>
          <w:w w:val="105"/>
        </w:rPr>
        <w:t> </w:t>
      </w:r>
      <w:r>
        <w:rPr>
          <w:w w:val="105"/>
        </w:rPr>
        <w:t>an</w:t>
      </w:r>
      <w:r>
        <w:rPr>
          <w:spacing w:val="-2"/>
          <w:w w:val="105"/>
        </w:rPr>
        <w:t> </w:t>
      </w:r>
      <w:r>
        <w:rPr>
          <w:w w:val="105"/>
        </w:rPr>
        <w:t>insignificant</w:t>
      </w:r>
      <w:r>
        <w:rPr>
          <w:spacing w:val="-2"/>
          <w:w w:val="105"/>
        </w:rPr>
        <w:t> </w:t>
      </w:r>
      <w:r>
        <w:rPr>
          <w:w w:val="105"/>
        </w:rPr>
        <w:t>amount</w:t>
      </w:r>
      <w:r>
        <w:rPr>
          <w:spacing w:val="-2"/>
          <w:w w:val="105"/>
        </w:rPr>
        <w:t> </w:t>
      </w:r>
      <w:r>
        <w:rPr>
          <w:w w:val="105"/>
        </w:rPr>
        <w:t>of</w:t>
      </w:r>
      <w:r>
        <w:rPr>
          <w:spacing w:val="-2"/>
          <w:w w:val="105"/>
        </w:rPr>
        <w:t> </w:t>
      </w:r>
      <w:r>
        <w:rPr>
          <w:w w:val="105"/>
        </w:rPr>
        <w:t>goodwill.</w:t>
      </w:r>
      <w:r>
        <w:rPr>
          <w:spacing w:val="-2"/>
          <w:w w:val="105"/>
        </w:rPr>
        <w:t> </w:t>
      </w:r>
      <w:r>
        <w:rPr>
          <w:w w:val="105"/>
        </w:rPr>
        <w:t>The fair</w:t>
      </w:r>
      <w:r>
        <w:rPr>
          <w:spacing w:val="-2"/>
          <w:w w:val="105"/>
        </w:rPr>
        <w:t> </w:t>
      </w:r>
      <w:r>
        <w:rPr>
          <w:w w:val="105"/>
        </w:rPr>
        <w:t>value</w:t>
      </w:r>
      <w:r>
        <w:rPr>
          <w:spacing w:val="-2"/>
          <w:w w:val="105"/>
        </w:rPr>
        <w:t> </w:t>
      </w:r>
      <w:r>
        <w:rPr>
          <w:w w:val="105"/>
        </w:rPr>
        <w:t>of</w:t>
      </w:r>
      <w:r>
        <w:rPr>
          <w:spacing w:val="-2"/>
          <w:w w:val="105"/>
        </w:rPr>
        <w:t> </w:t>
      </w:r>
      <w:r>
        <w:rPr>
          <w:w w:val="105"/>
        </w:rPr>
        <w:t>the</w:t>
      </w:r>
      <w:r>
        <w:rPr>
          <w:spacing w:val="-2"/>
          <w:w w:val="105"/>
        </w:rPr>
        <w:t> </w:t>
      </w:r>
      <w:r>
        <w:rPr>
          <w:w w:val="105"/>
        </w:rPr>
        <w:t>asset</w:t>
      </w:r>
      <w:r>
        <w:rPr>
          <w:spacing w:val="-2"/>
          <w:w w:val="105"/>
        </w:rPr>
        <w:t> </w:t>
      </w:r>
      <w:r>
        <w:rPr>
          <w:w w:val="105"/>
        </w:rPr>
        <w:t>group</w:t>
      </w:r>
      <w:r>
        <w:rPr>
          <w:spacing w:val="-2"/>
          <w:w w:val="105"/>
        </w:rPr>
        <w:t> </w:t>
      </w:r>
      <w:r>
        <w:rPr>
          <w:w w:val="105"/>
        </w:rPr>
        <w:t>for</w:t>
      </w:r>
      <w:r>
        <w:rPr>
          <w:spacing w:val="-2"/>
          <w:w w:val="105"/>
        </w:rPr>
        <w:t> </w:t>
      </w:r>
      <w:r>
        <w:rPr>
          <w:w w:val="105"/>
        </w:rPr>
        <w:t>the</w:t>
      </w:r>
      <w:r>
        <w:rPr>
          <w:spacing w:val="-2"/>
          <w:w w:val="105"/>
        </w:rPr>
        <w:t> </w:t>
      </w:r>
      <w:r>
        <w:rPr>
          <w:w w:val="105"/>
        </w:rPr>
        <w:t>impairment analysis</w:t>
      </w:r>
      <w:r>
        <w:rPr>
          <w:spacing w:val="-2"/>
          <w:w w:val="105"/>
        </w:rPr>
        <w:t> </w:t>
      </w:r>
      <w:r>
        <w:rPr>
          <w:w w:val="105"/>
        </w:rPr>
        <w:t>was</w:t>
      </w:r>
      <w:r>
        <w:rPr>
          <w:spacing w:val="-2"/>
          <w:w w:val="105"/>
        </w:rPr>
        <w:t> </w:t>
      </w:r>
      <w:r>
        <w:rPr>
          <w:w w:val="105"/>
        </w:rPr>
        <w:t>measured</w:t>
      </w:r>
      <w:r>
        <w:rPr>
          <w:spacing w:val="-2"/>
          <w:w w:val="105"/>
        </w:rPr>
        <w:t> </w:t>
      </w:r>
      <w:r>
        <w:rPr>
          <w:w w:val="105"/>
        </w:rPr>
        <w:t>using</w:t>
      </w:r>
      <w:r>
        <w:rPr>
          <w:spacing w:val="-2"/>
          <w:w w:val="105"/>
        </w:rPr>
        <w:t> </w:t>
      </w:r>
      <w:r>
        <w:rPr>
          <w:w w:val="105"/>
        </w:rPr>
        <w:t>unobservable</w:t>
      </w:r>
      <w:r>
        <w:rPr>
          <w:spacing w:val="-2"/>
          <w:w w:val="105"/>
        </w:rPr>
        <w:t> </w:t>
      </w:r>
      <w:r>
        <w:rPr>
          <w:w w:val="105"/>
        </w:rPr>
        <w:t>(Level</w:t>
      </w:r>
      <w:r>
        <w:rPr>
          <w:spacing w:val="-2"/>
          <w:w w:val="105"/>
        </w:rPr>
        <w:t> </w:t>
      </w:r>
      <w:r>
        <w:rPr>
          <w:w w:val="105"/>
        </w:rPr>
        <w:t>3)</w:t>
      </w:r>
      <w:r>
        <w:rPr>
          <w:spacing w:val="-2"/>
          <w:w w:val="105"/>
        </w:rPr>
        <w:t> </w:t>
      </w:r>
      <w:r>
        <w:rPr>
          <w:w w:val="105"/>
        </w:rPr>
        <w:t>inputs.</w:t>
      </w:r>
    </w:p>
    <w:p>
      <w:pPr>
        <w:pStyle w:val="BodyText"/>
        <w:spacing w:before="18"/>
      </w:pPr>
    </w:p>
    <w:p>
      <w:pPr>
        <w:pStyle w:val="BodyText"/>
        <w:ind w:left="156"/>
      </w:pPr>
      <w:r>
        <w:rPr>
          <w:w w:val="105"/>
        </w:rPr>
        <w:t>Refer</w:t>
      </w:r>
      <w:r>
        <w:rPr>
          <w:spacing w:val="-10"/>
          <w:w w:val="105"/>
        </w:rPr>
        <w:t> </w:t>
      </w:r>
      <w:r>
        <w:rPr>
          <w:w w:val="105"/>
        </w:rPr>
        <w:t>to</w:t>
      </w:r>
      <w:r>
        <w:rPr>
          <w:spacing w:val="-10"/>
          <w:w w:val="105"/>
        </w:rPr>
        <w:t> </w:t>
      </w:r>
      <w:r>
        <w:rPr>
          <w:w w:val="105"/>
        </w:rPr>
        <w:t>Note</w:t>
      </w:r>
      <w:r>
        <w:rPr>
          <w:spacing w:val="-10"/>
          <w:w w:val="105"/>
        </w:rPr>
        <w:t> </w:t>
      </w:r>
      <w:r>
        <w:rPr>
          <w:w w:val="105"/>
        </w:rPr>
        <w:t>2</w:t>
      </w:r>
      <w:r>
        <w:rPr>
          <w:spacing w:val="-10"/>
          <w:w w:val="105"/>
        </w:rPr>
        <w:t> </w:t>
      </w:r>
      <w:r>
        <w:rPr>
          <w:w w:val="105"/>
        </w:rPr>
        <w:t>(Restructuring,</w:t>
      </w:r>
      <w:r>
        <w:rPr>
          <w:spacing w:val="-10"/>
          <w:w w:val="105"/>
        </w:rPr>
        <w:t> </w:t>
      </w:r>
      <w:r>
        <w:rPr>
          <w:w w:val="105"/>
        </w:rPr>
        <w:t>Impairment</w:t>
      </w:r>
      <w:r>
        <w:rPr>
          <w:spacing w:val="-10"/>
          <w:w w:val="105"/>
        </w:rPr>
        <w:t> </w:t>
      </w:r>
      <w:r>
        <w:rPr>
          <w:w w:val="105"/>
        </w:rPr>
        <w:t>and</w:t>
      </w:r>
      <w:r>
        <w:rPr>
          <w:spacing w:val="-10"/>
          <w:w w:val="105"/>
        </w:rPr>
        <w:t> </w:t>
      </w:r>
      <w:r>
        <w:rPr>
          <w:w w:val="105"/>
        </w:rPr>
        <w:t>Other</w:t>
      </w:r>
      <w:r>
        <w:rPr>
          <w:spacing w:val="-10"/>
          <w:w w:val="105"/>
        </w:rPr>
        <w:t> </w:t>
      </w:r>
      <w:r>
        <w:rPr>
          <w:w w:val="105"/>
        </w:rPr>
        <w:t>Charges</w:t>
      </w:r>
      <w:r>
        <w:rPr>
          <w:spacing w:val="-10"/>
          <w:w w:val="105"/>
        </w:rPr>
        <w:t> </w:t>
      </w:r>
      <w:r>
        <w:rPr>
          <w:w w:val="105"/>
        </w:rPr>
        <w:t>and</w:t>
      </w:r>
      <w:r>
        <w:rPr>
          <w:spacing w:val="-10"/>
          <w:w w:val="105"/>
        </w:rPr>
        <w:t> </w:t>
      </w:r>
      <w:r>
        <w:rPr>
          <w:w w:val="105"/>
        </w:rPr>
        <w:t>Credits)</w:t>
      </w:r>
      <w:r>
        <w:rPr>
          <w:spacing w:val="-8"/>
          <w:w w:val="105"/>
        </w:rPr>
        <w:t> </w:t>
      </w:r>
      <w:r>
        <w:rPr>
          <w:w w:val="105"/>
        </w:rPr>
        <w:t>to</w:t>
      </w:r>
      <w:r>
        <w:rPr>
          <w:spacing w:val="-10"/>
          <w:w w:val="105"/>
        </w:rPr>
        <w:t> </w:t>
      </w:r>
      <w:r>
        <w:rPr>
          <w:w w:val="105"/>
        </w:rPr>
        <w:t>the</w:t>
      </w:r>
      <w:r>
        <w:rPr>
          <w:spacing w:val="-10"/>
          <w:w w:val="105"/>
        </w:rPr>
        <w:t> </w:t>
      </w:r>
      <w:r>
        <w:rPr>
          <w:w w:val="105"/>
        </w:rPr>
        <w:t>consolidated</w:t>
      </w:r>
      <w:r>
        <w:rPr>
          <w:spacing w:val="-10"/>
          <w:w w:val="105"/>
        </w:rPr>
        <w:t> </w:t>
      </w:r>
      <w:r>
        <w:rPr>
          <w:w w:val="105"/>
        </w:rPr>
        <w:t>financial</w:t>
      </w:r>
      <w:r>
        <w:rPr>
          <w:spacing w:val="-10"/>
          <w:w w:val="105"/>
        </w:rPr>
        <w:t> </w:t>
      </w:r>
      <w:r>
        <w:rPr>
          <w:w w:val="105"/>
        </w:rPr>
        <w:t>statements</w:t>
      </w:r>
      <w:r>
        <w:rPr>
          <w:spacing w:val="-10"/>
          <w:w w:val="105"/>
        </w:rPr>
        <w:t> </w:t>
      </w:r>
      <w:r>
        <w:rPr>
          <w:w w:val="105"/>
        </w:rPr>
        <w:t>for</w:t>
      </w:r>
      <w:r>
        <w:rPr>
          <w:spacing w:val="-10"/>
          <w:w w:val="105"/>
        </w:rPr>
        <w:t> </w:t>
      </w:r>
      <w:r>
        <w:rPr>
          <w:w w:val="105"/>
        </w:rPr>
        <w:t>additional</w:t>
      </w:r>
      <w:r>
        <w:rPr>
          <w:spacing w:val="-10"/>
          <w:w w:val="105"/>
        </w:rPr>
        <w:t> </w:t>
      </w:r>
      <w:r>
        <w:rPr>
          <w:w w:val="105"/>
        </w:rPr>
        <w:t>information</w:t>
      </w:r>
      <w:r>
        <w:rPr>
          <w:spacing w:val="-10"/>
          <w:w w:val="105"/>
        </w:rPr>
        <w:t> </w:t>
      </w:r>
      <w:r>
        <w:rPr>
          <w:w w:val="105"/>
        </w:rPr>
        <w:t>about</w:t>
      </w:r>
      <w:r>
        <w:rPr>
          <w:spacing w:val="-10"/>
          <w:w w:val="105"/>
        </w:rPr>
        <w:t> </w:t>
      </w:r>
      <w:r>
        <w:rPr>
          <w:w w:val="105"/>
        </w:rPr>
        <w:t>this</w:t>
      </w:r>
      <w:r>
        <w:rPr>
          <w:spacing w:val="-10"/>
          <w:w w:val="105"/>
        </w:rPr>
        <w:t> </w:t>
      </w:r>
      <w:r>
        <w:rPr>
          <w:spacing w:val="-2"/>
          <w:w w:val="105"/>
        </w:rPr>
        <w:t>impairment.</w:t>
      </w:r>
    </w:p>
    <w:p>
      <w:pPr>
        <w:pStyle w:val="BodyText"/>
        <w:spacing w:before="40"/>
      </w:pPr>
    </w:p>
    <w:p>
      <w:pPr>
        <w:pStyle w:val="BodyText"/>
        <w:spacing w:line="266" w:lineRule="auto"/>
        <w:ind w:left="156" w:right="328"/>
      </w:pPr>
      <w:r>
        <w:rPr>
          <w:w w:val="105"/>
        </w:rPr>
        <w:t>Fair</w:t>
      </w:r>
      <w:r>
        <w:rPr>
          <w:spacing w:val="-9"/>
          <w:w w:val="105"/>
        </w:rPr>
        <w:t> </w:t>
      </w:r>
      <w:r>
        <w:rPr>
          <w:w w:val="105"/>
        </w:rPr>
        <w:t>value</w:t>
      </w:r>
      <w:r>
        <w:rPr>
          <w:spacing w:val="-9"/>
          <w:w w:val="105"/>
        </w:rPr>
        <w:t> </w:t>
      </w:r>
      <w:r>
        <w:rPr>
          <w:w w:val="105"/>
        </w:rPr>
        <w:t>measurements</w:t>
      </w:r>
      <w:r>
        <w:rPr>
          <w:spacing w:val="-9"/>
          <w:w w:val="105"/>
        </w:rPr>
        <w:t> </w:t>
      </w:r>
      <w:r>
        <w:rPr>
          <w:w w:val="105"/>
        </w:rPr>
        <w:t>(Level</w:t>
      </w:r>
      <w:r>
        <w:rPr>
          <w:spacing w:val="-9"/>
          <w:w w:val="105"/>
        </w:rPr>
        <w:t> </w:t>
      </w:r>
      <w:r>
        <w:rPr>
          <w:w w:val="105"/>
        </w:rPr>
        <w:t>3)</w:t>
      </w:r>
      <w:r>
        <w:rPr>
          <w:spacing w:val="-9"/>
          <w:w w:val="105"/>
        </w:rPr>
        <w:t> </w:t>
      </w:r>
      <w:r>
        <w:rPr>
          <w:w w:val="105"/>
        </w:rPr>
        <w:t>related</w:t>
      </w:r>
      <w:r>
        <w:rPr>
          <w:spacing w:val="-9"/>
          <w:w w:val="105"/>
        </w:rPr>
        <w:t> </w:t>
      </w:r>
      <w:r>
        <w:rPr>
          <w:w w:val="105"/>
        </w:rPr>
        <w:t>to</w:t>
      </w:r>
      <w:r>
        <w:rPr>
          <w:spacing w:val="-9"/>
          <w:w w:val="105"/>
        </w:rPr>
        <w:t> </w:t>
      </w:r>
      <w:r>
        <w:rPr>
          <w:w w:val="105"/>
        </w:rPr>
        <w:t>the</w:t>
      </w:r>
      <w:r>
        <w:rPr>
          <w:spacing w:val="-9"/>
          <w:w w:val="105"/>
        </w:rPr>
        <w:t> </w:t>
      </w:r>
      <w:r>
        <w:rPr>
          <w:w w:val="105"/>
        </w:rPr>
        <w:t>Redemption</w:t>
      </w:r>
      <w:r>
        <w:rPr>
          <w:spacing w:val="-9"/>
          <w:w w:val="105"/>
        </w:rPr>
        <w:t> </w:t>
      </w:r>
      <w:r>
        <w:rPr>
          <w:w w:val="105"/>
        </w:rPr>
        <w:t>are</w:t>
      </w:r>
      <w:r>
        <w:rPr>
          <w:spacing w:val="-9"/>
          <w:w w:val="105"/>
        </w:rPr>
        <w:t> </w:t>
      </w:r>
      <w:r>
        <w:rPr>
          <w:w w:val="105"/>
        </w:rPr>
        <w:t>disclosed</w:t>
      </w:r>
      <w:r>
        <w:rPr>
          <w:spacing w:val="-9"/>
          <w:w w:val="105"/>
        </w:rPr>
        <w:t> </w:t>
      </w:r>
      <w:r>
        <w:rPr>
          <w:w w:val="105"/>
        </w:rPr>
        <w:t>in</w:t>
      </w:r>
      <w:r>
        <w:rPr>
          <w:spacing w:val="-9"/>
          <w:w w:val="105"/>
        </w:rPr>
        <w:t> </w:t>
      </w:r>
      <w:r>
        <w:rPr>
          <w:w w:val="105"/>
        </w:rPr>
        <w:t>Note</w:t>
      </w:r>
      <w:r>
        <w:rPr>
          <w:spacing w:val="-8"/>
          <w:w w:val="105"/>
        </w:rPr>
        <w:t> </w:t>
      </w:r>
      <w:r>
        <w:rPr>
          <w:w w:val="105"/>
        </w:rPr>
        <w:t>4</w:t>
      </w:r>
      <w:r>
        <w:rPr>
          <w:spacing w:val="-9"/>
          <w:w w:val="105"/>
        </w:rPr>
        <w:t> </w:t>
      </w:r>
      <w:r>
        <w:rPr>
          <w:w w:val="105"/>
        </w:rPr>
        <w:t>(HSG</w:t>
      </w:r>
      <w:r>
        <w:rPr>
          <w:spacing w:val="-9"/>
          <w:w w:val="105"/>
        </w:rPr>
        <w:t> </w:t>
      </w:r>
      <w:r>
        <w:rPr>
          <w:w w:val="105"/>
        </w:rPr>
        <w:t>Transactions</w:t>
      </w:r>
      <w:r>
        <w:rPr>
          <w:spacing w:val="-9"/>
          <w:w w:val="105"/>
        </w:rPr>
        <w:t> </w:t>
      </w:r>
      <w:r>
        <w:rPr>
          <w:w w:val="105"/>
        </w:rPr>
        <w:t>and</w:t>
      </w:r>
      <w:r>
        <w:rPr>
          <w:spacing w:val="-9"/>
          <w:w w:val="105"/>
        </w:rPr>
        <w:t> </w:t>
      </w:r>
      <w:r>
        <w:rPr>
          <w:w w:val="105"/>
        </w:rPr>
        <w:t>Acquisitions)</w:t>
      </w:r>
      <w:r>
        <w:rPr>
          <w:spacing w:val="-9"/>
          <w:w w:val="105"/>
        </w:rPr>
        <w:t> </w:t>
      </w:r>
      <w:r>
        <w:rPr>
          <w:w w:val="105"/>
        </w:rPr>
        <w:t>to</w:t>
      </w:r>
      <w:r>
        <w:rPr>
          <w:spacing w:val="-9"/>
          <w:w w:val="105"/>
        </w:rPr>
        <w:t> </w:t>
      </w:r>
      <w:r>
        <w:rPr>
          <w:w w:val="105"/>
        </w:rPr>
        <w:t>the</w:t>
      </w:r>
      <w:r>
        <w:rPr>
          <w:spacing w:val="-9"/>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There were no other significant financial assets and liabilities measured on a nonrecurring basis as of December 31, 2021 and 2020.</w:t>
      </w:r>
    </w:p>
    <w:p>
      <w:pPr>
        <w:pStyle w:val="BodyText"/>
        <w:spacing w:before="19"/>
      </w:pPr>
    </w:p>
    <w:p>
      <w:pPr>
        <w:pStyle w:val="BodyText"/>
        <w:ind w:left="48"/>
        <w:jc w:val="center"/>
      </w:pPr>
      <w:r>
        <w:rPr>
          <w:spacing w:val="-5"/>
          <w:w w:val="105"/>
        </w:rPr>
        <w:t>105</w:t>
      </w:r>
    </w:p>
    <w:p>
      <w:pPr>
        <w:pStyle w:val="BodyText"/>
        <w:spacing w:before="11"/>
        <w:rPr>
          <w:sz w:val="5"/>
        </w:rPr>
      </w:pPr>
      <w:r>
        <w:rPr/>
        <mc:AlternateContent>
          <mc:Choice Requires="wps">
            <w:drawing>
              <wp:anchor distT="0" distB="0" distL="0" distR="0" allowOverlap="1" layoutInCell="1" locked="0" behindDoc="1" simplePos="0" relativeHeight="487735808">
                <wp:simplePos x="0" y="0"/>
                <wp:positionH relativeFrom="page">
                  <wp:posOffset>226488</wp:posOffset>
                </wp:positionH>
                <wp:positionV relativeFrom="paragraph">
                  <wp:posOffset>58734</wp:posOffset>
                </wp:positionV>
                <wp:extent cx="7312659" cy="16510"/>
                <wp:effectExtent l="0" t="0" r="0" b="0"/>
                <wp:wrapTopAndBottom/>
                <wp:docPr id="716" name="Graphic 716"/>
                <wp:cNvGraphicFramePr>
                  <a:graphicFrameLocks/>
                </wp:cNvGraphicFramePr>
                <a:graphic>
                  <a:graphicData uri="http://schemas.microsoft.com/office/word/2010/wordprocessingShape">
                    <wps:wsp>
                      <wps:cNvPr id="716" name="Graphic 716"/>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580672;mso-wrap-distance-left:0;mso-wrap-distance-right:0" id="docshape715"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pPr>
    </w:p>
    <w:p>
      <w:pPr>
        <w:pStyle w:val="BodyText"/>
        <w:spacing w:before="58"/>
      </w:pPr>
    </w:p>
    <w:p>
      <w:pPr>
        <w:pStyle w:val="Heading2"/>
        <w:numPr>
          <w:ilvl w:val="0"/>
          <w:numId w:val="53"/>
        </w:numPr>
        <w:tabs>
          <w:tab w:pos="445" w:val="left" w:leader="none"/>
        </w:tabs>
        <w:spacing w:line="240" w:lineRule="auto" w:before="0" w:after="0"/>
        <w:ind w:left="445" w:right="0" w:hanging="289"/>
        <w:jc w:val="left"/>
      </w:pPr>
      <w:bookmarkStart w:name="_bookmark25" w:id="26"/>
      <w:bookmarkEnd w:id="26"/>
      <w:r>
        <w:rPr>
          <w:b w:val="0"/>
        </w:rPr>
      </w:r>
      <w:r>
        <w:rPr/>
        <w:t>Shareholders</w:t>
      </w:r>
      <w:r>
        <w:rPr>
          <w:b w:val="0"/>
        </w:rPr>
        <w:t>’</w:t>
      </w:r>
      <w:r>
        <w:rPr>
          <w:b w:val="0"/>
          <w:spacing w:val="18"/>
        </w:rPr>
        <w:t> </w:t>
      </w:r>
      <w:r>
        <w:rPr>
          <w:spacing w:val="-2"/>
        </w:rPr>
        <w:t>Equity</w:t>
      </w:r>
    </w:p>
    <w:p>
      <w:pPr>
        <w:pStyle w:val="BodyText"/>
        <w:spacing w:before="39"/>
        <w:rPr>
          <w:b/>
        </w:rPr>
      </w:pPr>
    </w:p>
    <w:p>
      <w:pPr>
        <w:pStyle w:val="Heading3"/>
        <w:spacing w:before="1"/>
      </w:pPr>
      <w:r>
        <w:rPr/>
        <w:t>Common</w:t>
      </w:r>
      <w:r>
        <w:rPr>
          <w:spacing w:val="13"/>
        </w:rPr>
        <w:t> </w:t>
      </w:r>
      <w:r>
        <w:rPr/>
        <w:t>Stock</w:t>
      </w:r>
      <w:r>
        <w:rPr>
          <w:spacing w:val="13"/>
        </w:rPr>
        <w:t> </w:t>
      </w:r>
      <w:r>
        <w:rPr>
          <w:spacing w:val="-2"/>
        </w:rPr>
        <w:t>Dividends</w:t>
      </w:r>
    </w:p>
    <w:p>
      <w:pPr>
        <w:pStyle w:val="BodyText"/>
        <w:spacing w:before="39"/>
        <w:rPr>
          <w:b/>
          <w:i/>
        </w:rPr>
      </w:pPr>
    </w:p>
    <w:p>
      <w:pPr>
        <w:pStyle w:val="BodyText"/>
        <w:spacing w:line="266" w:lineRule="auto"/>
        <w:ind w:left="156" w:right="328"/>
      </w:pPr>
      <w:r>
        <w:rPr>
          <w:w w:val="105"/>
        </w:rPr>
        <w:t>On</w:t>
      </w:r>
      <w:r>
        <w:rPr>
          <w:spacing w:val="-9"/>
          <w:w w:val="105"/>
        </w:rPr>
        <w:t> </w:t>
      </w:r>
      <w:r>
        <w:rPr>
          <w:w w:val="105"/>
        </w:rPr>
        <w:t>February</w:t>
      </w:r>
      <w:r>
        <w:rPr>
          <w:spacing w:val="-9"/>
          <w:w w:val="105"/>
        </w:rPr>
        <w:t> </w:t>
      </w:r>
      <w:r>
        <w:rPr>
          <w:w w:val="105"/>
        </w:rPr>
        <w:t>2,</w:t>
      </w:r>
      <w:r>
        <w:rPr>
          <w:spacing w:val="-9"/>
          <w:w w:val="105"/>
        </w:rPr>
        <w:t> </w:t>
      </w:r>
      <w:r>
        <w:rPr>
          <w:w w:val="105"/>
        </w:rPr>
        <w:t>2022,</w:t>
      </w:r>
      <w:r>
        <w:rPr>
          <w:spacing w:val="-9"/>
          <w:w w:val="105"/>
        </w:rPr>
        <w:t> </w:t>
      </w:r>
      <w:r>
        <w:rPr>
          <w:w w:val="105"/>
        </w:rPr>
        <w:t>Corning’s</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declared</w:t>
      </w:r>
      <w:r>
        <w:rPr>
          <w:spacing w:val="-9"/>
          <w:w w:val="105"/>
        </w:rPr>
        <w:t> </w:t>
      </w:r>
      <w:r>
        <w:rPr>
          <w:w w:val="105"/>
        </w:rPr>
        <w:t>a</w:t>
      </w:r>
      <w:r>
        <w:rPr>
          <w:spacing w:val="-9"/>
          <w:w w:val="105"/>
        </w:rPr>
        <w:t> </w:t>
      </w:r>
      <w:r>
        <w:rPr>
          <w:w w:val="105"/>
        </w:rPr>
        <w:t>13%</w:t>
      </w:r>
      <w:r>
        <w:rPr>
          <w:spacing w:val="-9"/>
          <w:w w:val="105"/>
        </w:rPr>
        <w:t> </w:t>
      </w:r>
      <w:r>
        <w:rPr>
          <w:w w:val="105"/>
        </w:rPr>
        <w:t>increase</w:t>
      </w:r>
      <w:r>
        <w:rPr>
          <w:spacing w:val="-9"/>
          <w:w w:val="105"/>
        </w:rPr>
        <w:t> </w:t>
      </w:r>
      <w:r>
        <w:rPr>
          <w:w w:val="105"/>
        </w:rPr>
        <w:t>in</w:t>
      </w:r>
      <w:r>
        <w:rPr>
          <w:spacing w:val="-9"/>
          <w:w w:val="105"/>
        </w:rPr>
        <w:t> </w:t>
      </w:r>
      <w:r>
        <w:rPr>
          <w:w w:val="105"/>
        </w:rPr>
        <w:t>the</w:t>
      </w:r>
      <w:r>
        <w:rPr>
          <w:spacing w:val="-9"/>
          <w:w w:val="105"/>
        </w:rPr>
        <w:t> </w:t>
      </w:r>
      <w:r>
        <w:rPr>
          <w:w w:val="105"/>
        </w:rPr>
        <w:t>Company’s</w:t>
      </w:r>
      <w:r>
        <w:rPr>
          <w:spacing w:val="-9"/>
          <w:w w:val="105"/>
        </w:rPr>
        <w:t> </w:t>
      </w:r>
      <w:r>
        <w:rPr>
          <w:w w:val="105"/>
        </w:rPr>
        <w:t>quarterly</w:t>
      </w:r>
      <w:r>
        <w:rPr>
          <w:spacing w:val="-9"/>
          <w:w w:val="105"/>
        </w:rPr>
        <w:t> </w:t>
      </w:r>
      <w:r>
        <w:rPr>
          <w:w w:val="105"/>
        </w:rPr>
        <w:t>common</w:t>
      </w:r>
      <w:r>
        <w:rPr>
          <w:spacing w:val="-9"/>
          <w:w w:val="105"/>
        </w:rPr>
        <w:t> </w:t>
      </w:r>
      <w:r>
        <w:rPr>
          <w:w w:val="105"/>
        </w:rPr>
        <w:t>stock</w:t>
      </w:r>
      <w:r>
        <w:rPr>
          <w:spacing w:val="-9"/>
          <w:w w:val="105"/>
        </w:rPr>
        <w:t> </w:t>
      </w:r>
      <w:r>
        <w:rPr>
          <w:w w:val="105"/>
        </w:rPr>
        <w:t>dividend,</w:t>
      </w:r>
      <w:r>
        <w:rPr>
          <w:spacing w:val="-9"/>
          <w:w w:val="105"/>
        </w:rPr>
        <w:t> </w:t>
      </w:r>
      <w:r>
        <w:rPr>
          <w:w w:val="105"/>
        </w:rPr>
        <w:t>which</w:t>
      </w:r>
      <w:r>
        <w:rPr>
          <w:spacing w:val="-9"/>
          <w:w w:val="105"/>
        </w:rPr>
        <w:t> </w:t>
      </w:r>
      <w:r>
        <w:rPr>
          <w:w w:val="105"/>
        </w:rPr>
        <w:t>increased</w:t>
      </w:r>
      <w:r>
        <w:rPr>
          <w:spacing w:val="-9"/>
          <w:w w:val="105"/>
        </w:rPr>
        <w:t> </w:t>
      </w:r>
      <w:r>
        <w:rPr>
          <w:w w:val="105"/>
        </w:rPr>
        <w:t>the</w:t>
      </w:r>
      <w:r>
        <w:rPr>
          <w:spacing w:val="-9"/>
          <w:w w:val="105"/>
        </w:rPr>
        <w:t> </w:t>
      </w:r>
      <w:r>
        <w:rPr>
          <w:w w:val="105"/>
        </w:rPr>
        <w:t>quarterly</w:t>
      </w:r>
      <w:r>
        <w:rPr>
          <w:spacing w:val="-9"/>
          <w:w w:val="105"/>
        </w:rPr>
        <w:t> </w:t>
      </w:r>
      <w:r>
        <w:rPr>
          <w:w w:val="105"/>
        </w:rPr>
        <w:t>dividend from</w:t>
      </w:r>
      <w:r>
        <w:rPr>
          <w:spacing w:val="-2"/>
          <w:w w:val="105"/>
        </w:rPr>
        <w:t> </w:t>
      </w:r>
      <w:r>
        <w:rPr>
          <w:w w:val="105"/>
        </w:rPr>
        <w:t>$0.24</w:t>
      </w:r>
      <w:r>
        <w:rPr>
          <w:spacing w:val="-2"/>
          <w:w w:val="105"/>
        </w:rPr>
        <w:t> </w:t>
      </w:r>
      <w:r>
        <w:rPr>
          <w:w w:val="105"/>
        </w:rPr>
        <w:t>to</w:t>
      </w:r>
      <w:r>
        <w:rPr>
          <w:spacing w:val="-2"/>
          <w:w w:val="105"/>
        </w:rPr>
        <w:t> </w:t>
      </w:r>
      <w:r>
        <w:rPr>
          <w:w w:val="105"/>
        </w:rPr>
        <w:t>$0.27</w:t>
      </w:r>
      <w:r>
        <w:rPr>
          <w:spacing w:val="-2"/>
          <w:w w:val="105"/>
        </w:rPr>
        <w:t> </w:t>
      </w:r>
      <w:r>
        <w:rPr>
          <w:w w:val="105"/>
        </w:rPr>
        <w:t>per</w:t>
      </w:r>
      <w:r>
        <w:rPr>
          <w:spacing w:val="-2"/>
          <w:w w:val="105"/>
        </w:rPr>
        <w:t> </w:t>
      </w:r>
      <w:r>
        <w:rPr>
          <w:w w:val="105"/>
        </w:rPr>
        <w:t>share</w:t>
      </w:r>
      <w:r>
        <w:rPr>
          <w:spacing w:val="-2"/>
          <w:w w:val="105"/>
        </w:rPr>
        <w:t> </w:t>
      </w:r>
      <w:r>
        <w:rPr>
          <w:w w:val="105"/>
        </w:rPr>
        <w:t>of</w:t>
      </w:r>
      <w:r>
        <w:rPr>
          <w:spacing w:val="-2"/>
          <w:w w:val="105"/>
        </w:rPr>
        <w:t> </w:t>
      </w:r>
      <w:r>
        <w:rPr>
          <w:w w:val="105"/>
        </w:rPr>
        <w:t>common</w:t>
      </w:r>
      <w:r>
        <w:rPr>
          <w:spacing w:val="-2"/>
          <w:w w:val="105"/>
        </w:rPr>
        <w:t> </w:t>
      </w:r>
      <w:r>
        <w:rPr>
          <w:w w:val="105"/>
        </w:rPr>
        <w:t>stock,</w:t>
      </w:r>
      <w:r>
        <w:rPr>
          <w:spacing w:val="-2"/>
          <w:w w:val="105"/>
        </w:rPr>
        <w:t> </w:t>
      </w:r>
      <w:r>
        <w:rPr>
          <w:w w:val="105"/>
        </w:rPr>
        <w:t>beginning</w:t>
      </w:r>
      <w:r>
        <w:rPr>
          <w:spacing w:val="-2"/>
          <w:w w:val="105"/>
        </w:rPr>
        <w:t> </w:t>
      </w:r>
      <w:r>
        <w:rPr>
          <w:w w:val="105"/>
        </w:rPr>
        <w:t>with</w:t>
      </w:r>
      <w:r>
        <w:rPr>
          <w:spacing w:val="-2"/>
          <w:w w:val="105"/>
        </w:rPr>
        <w:t> </w:t>
      </w:r>
      <w:r>
        <w:rPr>
          <w:w w:val="105"/>
        </w:rPr>
        <w:t>the</w:t>
      </w:r>
      <w:r>
        <w:rPr>
          <w:spacing w:val="-2"/>
          <w:w w:val="105"/>
        </w:rPr>
        <w:t> </w:t>
      </w:r>
      <w:r>
        <w:rPr>
          <w:w w:val="105"/>
        </w:rPr>
        <w:t>dividend</w:t>
      </w:r>
      <w:r>
        <w:rPr>
          <w:spacing w:val="-2"/>
          <w:w w:val="105"/>
        </w:rPr>
        <w:t> </w:t>
      </w:r>
      <w:r>
        <w:rPr>
          <w:w w:val="105"/>
        </w:rPr>
        <w:t>paid</w:t>
      </w:r>
      <w:r>
        <w:rPr>
          <w:spacing w:val="-2"/>
          <w:w w:val="105"/>
        </w:rPr>
        <w:t> </w:t>
      </w:r>
      <w:r>
        <w:rPr>
          <w:w w:val="105"/>
        </w:rPr>
        <w:t>in</w:t>
      </w:r>
      <w:r>
        <w:rPr>
          <w:spacing w:val="-2"/>
          <w:w w:val="105"/>
        </w:rPr>
        <w:t> </w:t>
      </w:r>
      <w:r>
        <w:rPr>
          <w:w w:val="105"/>
        </w:rPr>
        <w:t>the</w:t>
      </w:r>
      <w:r>
        <w:rPr>
          <w:spacing w:val="-2"/>
          <w:w w:val="105"/>
        </w:rPr>
        <w:t> </w:t>
      </w:r>
      <w:r>
        <w:rPr>
          <w:w w:val="105"/>
        </w:rPr>
        <w:t>first</w:t>
      </w:r>
      <w:r>
        <w:rPr>
          <w:spacing w:val="-1"/>
          <w:w w:val="105"/>
        </w:rPr>
        <w:t> </w:t>
      </w:r>
      <w:r>
        <w:rPr>
          <w:w w:val="105"/>
        </w:rPr>
        <w:t>quarter</w:t>
      </w:r>
      <w:r>
        <w:rPr>
          <w:spacing w:val="-2"/>
          <w:w w:val="105"/>
        </w:rPr>
        <w:t> </w:t>
      </w:r>
      <w:r>
        <w:rPr>
          <w:w w:val="105"/>
        </w:rPr>
        <w:t>of</w:t>
      </w:r>
      <w:r>
        <w:rPr>
          <w:spacing w:val="-1"/>
          <w:w w:val="105"/>
        </w:rPr>
        <w:t> </w:t>
      </w:r>
      <w:r>
        <w:rPr>
          <w:w w:val="105"/>
        </w:rPr>
        <w:t>2022.</w:t>
      </w:r>
      <w:r>
        <w:rPr>
          <w:spacing w:val="-2"/>
          <w:w w:val="105"/>
        </w:rPr>
        <w:t> </w:t>
      </w:r>
      <w:r>
        <w:rPr>
          <w:w w:val="105"/>
        </w:rPr>
        <w:t>This</w:t>
      </w:r>
      <w:r>
        <w:rPr>
          <w:spacing w:val="-2"/>
          <w:w w:val="105"/>
        </w:rPr>
        <w:t> </w:t>
      </w:r>
      <w:r>
        <w:rPr>
          <w:w w:val="105"/>
        </w:rPr>
        <w:t>increase</w:t>
      </w:r>
      <w:r>
        <w:rPr>
          <w:spacing w:val="-2"/>
          <w:w w:val="105"/>
        </w:rPr>
        <w:t> </w:t>
      </w:r>
      <w:r>
        <w:rPr>
          <w:w w:val="105"/>
        </w:rPr>
        <w:t>marks</w:t>
      </w:r>
      <w:r>
        <w:rPr>
          <w:spacing w:val="-2"/>
          <w:w w:val="105"/>
        </w:rPr>
        <w:t> </w:t>
      </w:r>
      <w:r>
        <w:rPr>
          <w:w w:val="105"/>
        </w:rPr>
        <w:t>the eleventh</w:t>
      </w:r>
      <w:r>
        <w:rPr>
          <w:spacing w:val="-1"/>
          <w:w w:val="105"/>
        </w:rPr>
        <w:t> </w:t>
      </w:r>
      <w:r>
        <w:rPr>
          <w:w w:val="105"/>
        </w:rPr>
        <w:t>dividend</w:t>
      </w:r>
      <w:r>
        <w:rPr>
          <w:spacing w:val="-2"/>
          <w:w w:val="105"/>
        </w:rPr>
        <w:t> </w:t>
      </w:r>
      <w:r>
        <w:rPr>
          <w:w w:val="105"/>
        </w:rPr>
        <w:t>increase</w:t>
      </w:r>
      <w:r>
        <w:rPr>
          <w:spacing w:val="-2"/>
          <w:w w:val="105"/>
        </w:rPr>
        <w:t> </w:t>
      </w:r>
      <w:r>
        <w:rPr>
          <w:w w:val="105"/>
        </w:rPr>
        <w:t>since October</w:t>
      </w:r>
      <w:r>
        <w:rPr>
          <w:spacing w:val="-1"/>
          <w:w w:val="105"/>
        </w:rPr>
        <w:t> </w:t>
      </w:r>
      <w:r>
        <w:rPr>
          <w:w w:val="105"/>
        </w:rPr>
        <w:t>2011.</w:t>
      </w:r>
    </w:p>
    <w:p>
      <w:pPr>
        <w:pStyle w:val="BodyText"/>
        <w:spacing w:before="19"/>
      </w:pPr>
    </w:p>
    <w:p>
      <w:pPr>
        <w:pStyle w:val="BodyText"/>
        <w:ind w:left="156"/>
      </w:pPr>
      <w:r>
        <w:rPr>
          <w:w w:val="105"/>
        </w:rPr>
        <w:t>On</w:t>
      </w:r>
      <w:r>
        <w:rPr>
          <w:spacing w:val="-10"/>
          <w:w w:val="105"/>
        </w:rPr>
        <w:t> </w:t>
      </w:r>
      <w:r>
        <w:rPr>
          <w:w w:val="105"/>
        </w:rPr>
        <w:t>February</w:t>
      </w:r>
      <w:r>
        <w:rPr>
          <w:spacing w:val="-10"/>
          <w:w w:val="105"/>
        </w:rPr>
        <w:t> </w:t>
      </w:r>
      <w:r>
        <w:rPr>
          <w:w w:val="105"/>
        </w:rPr>
        <w:t>3,</w:t>
      </w:r>
      <w:r>
        <w:rPr>
          <w:spacing w:val="-10"/>
          <w:w w:val="105"/>
        </w:rPr>
        <w:t> </w:t>
      </w:r>
      <w:r>
        <w:rPr>
          <w:w w:val="105"/>
        </w:rPr>
        <w:t>2021,</w:t>
      </w:r>
      <w:r>
        <w:rPr>
          <w:spacing w:val="-10"/>
          <w:w w:val="105"/>
        </w:rPr>
        <w:t> </w:t>
      </w:r>
      <w:r>
        <w:rPr>
          <w:w w:val="105"/>
        </w:rPr>
        <w:t>Corning’s</w:t>
      </w:r>
      <w:r>
        <w:rPr>
          <w:spacing w:val="-10"/>
          <w:w w:val="105"/>
        </w:rPr>
        <w:t> </w:t>
      </w:r>
      <w:r>
        <w:rPr>
          <w:w w:val="105"/>
        </w:rPr>
        <w:t>Board</w:t>
      </w:r>
      <w:r>
        <w:rPr>
          <w:spacing w:val="-10"/>
          <w:w w:val="105"/>
        </w:rPr>
        <w:t> </w:t>
      </w:r>
      <w:r>
        <w:rPr>
          <w:w w:val="105"/>
        </w:rPr>
        <w:t>of</w:t>
      </w:r>
      <w:r>
        <w:rPr>
          <w:spacing w:val="-10"/>
          <w:w w:val="105"/>
        </w:rPr>
        <w:t> </w:t>
      </w:r>
      <w:r>
        <w:rPr>
          <w:w w:val="105"/>
        </w:rPr>
        <w:t>Directors</w:t>
      </w:r>
      <w:r>
        <w:rPr>
          <w:spacing w:val="-10"/>
          <w:w w:val="105"/>
        </w:rPr>
        <w:t> </w:t>
      </w:r>
      <w:r>
        <w:rPr>
          <w:w w:val="105"/>
        </w:rPr>
        <w:t>declared</w:t>
      </w:r>
      <w:r>
        <w:rPr>
          <w:spacing w:val="-10"/>
          <w:w w:val="105"/>
        </w:rPr>
        <w:t> </w:t>
      </w:r>
      <w:r>
        <w:rPr>
          <w:w w:val="105"/>
        </w:rPr>
        <w:t>a</w:t>
      </w:r>
      <w:r>
        <w:rPr>
          <w:spacing w:val="-9"/>
          <w:w w:val="105"/>
        </w:rPr>
        <w:t> </w:t>
      </w:r>
      <w:r>
        <w:rPr>
          <w:w w:val="105"/>
        </w:rPr>
        <w:t>9%</w:t>
      </w:r>
      <w:r>
        <w:rPr>
          <w:spacing w:val="-10"/>
          <w:w w:val="105"/>
        </w:rPr>
        <w:t> </w:t>
      </w:r>
      <w:r>
        <w:rPr>
          <w:w w:val="105"/>
        </w:rPr>
        <w:t>increase</w:t>
      </w:r>
      <w:r>
        <w:rPr>
          <w:spacing w:val="-10"/>
          <w:w w:val="105"/>
        </w:rPr>
        <w:t> </w:t>
      </w:r>
      <w:r>
        <w:rPr>
          <w:w w:val="105"/>
        </w:rPr>
        <w:t>in</w:t>
      </w:r>
      <w:r>
        <w:rPr>
          <w:spacing w:val="-10"/>
          <w:w w:val="105"/>
        </w:rPr>
        <w:t> </w:t>
      </w:r>
      <w:r>
        <w:rPr>
          <w:w w:val="105"/>
        </w:rPr>
        <w:t>the</w:t>
      </w:r>
      <w:r>
        <w:rPr>
          <w:spacing w:val="-10"/>
          <w:w w:val="105"/>
        </w:rPr>
        <w:t> </w:t>
      </w:r>
      <w:r>
        <w:rPr>
          <w:w w:val="105"/>
        </w:rPr>
        <w:t>Company’s</w:t>
      </w:r>
      <w:r>
        <w:rPr>
          <w:spacing w:val="-10"/>
          <w:w w:val="105"/>
        </w:rPr>
        <w:t> </w:t>
      </w:r>
      <w:r>
        <w:rPr>
          <w:w w:val="105"/>
        </w:rPr>
        <w:t>quarterly</w:t>
      </w:r>
      <w:r>
        <w:rPr>
          <w:spacing w:val="-10"/>
          <w:w w:val="105"/>
        </w:rPr>
        <w:t> </w:t>
      </w:r>
      <w:r>
        <w:rPr>
          <w:w w:val="105"/>
        </w:rPr>
        <w:t>common</w:t>
      </w:r>
      <w:r>
        <w:rPr>
          <w:spacing w:val="-10"/>
          <w:w w:val="105"/>
        </w:rPr>
        <w:t> </w:t>
      </w:r>
      <w:r>
        <w:rPr>
          <w:w w:val="105"/>
        </w:rPr>
        <w:t>stock</w:t>
      </w:r>
      <w:r>
        <w:rPr>
          <w:spacing w:val="-10"/>
          <w:w w:val="105"/>
        </w:rPr>
        <w:t> </w:t>
      </w:r>
      <w:r>
        <w:rPr>
          <w:w w:val="105"/>
        </w:rPr>
        <w:t>dividend,</w:t>
      </w:r>
      <w:r>
        <w:rPr>
          <w:spacing w:val="-9"/>
          <w:w w:val="105"/>
        </w:rPr>
        <w:t> </w:t>
      </w:r>
      <w:r>
        <w:rPr>
          <w:w w:val="105"/>
        </w:rPr>
        <w:t>which</w:t>
      </w:r>
      <w:r>
        <w:rPr>
          <w:spacing w:val="-10"/>
          <w:w w:val="105"/>
        </w:rPr>
        <w:t> </w:t>
      </w:r>
      <w:r>
        <w:rPr>
          <w:w w:val="105"/>
        </w:rPr>
        <w:t>increased</w:t>
      </w:r>
      <w:r>
        <w:rPr>
          <w:spacing w:val="-10"/>
          <w:w w:val="105"/>
        </w:rPr>
        <w:t> </w:t>
      </w:r>
      <w:r>
        <w:rPr>
          <w:w w:val="105"/>
        </w:rPr>
        <w:t>the</w:t>
      </w:r>
      <w:r>
        <w:rPr>
          <w:spacing w:val="-10"/>
          <w:w w:val="105"/>
        </w:rPr>
        <w:t> </w:t>
      </w:r>
      <w:r>
        <w:rPr>
          <w:w w:val="105"/>
        </w:rPr>
        <w:t>quarterly</w:t>
      </w:r>
      <w:r>
        <w:rPr>
          <w:spacing w:val="-10"/>
          <w:w w:val="105"/>
        </w:rPr>
        <w:t> </w:t>
      </w:r>
      <w:r>
        <w:rPr>
          <w:w w:val="105"/>
        </w:rPr>
        <w:t>dividend</w:t>
      </w:r>
      <w:r>
        <w:rPr>
          <w:spacing w:val="-10"/>
          <w:w w:val="105"/>
        </w:rPr>
        <w:t> </w:t>
      </w:r>
      <w:r>
        <w:rPr>
          <w:spacing w:val="-4"/>
          <w:w w:val="105"/>
        </w:rPr>
        <w:t>from</w:t>
      </w:r>
    </w:p>
    <w:p>
      <w:pPr>
        <w:pStyle w:val="BodyText"/>
        <w:spacing w:before="20"/>
        <w:ind w:left="156"/>
      </w:pPr>
      <w:r>
        <w:rPr>
          <w:w w:val="105"/>
        </w:rPr>
        <w:t>$0.22</w:t>
      </w:r>
      <w:r>
        <w:rPr>
          <w:spacing w:val="-7"/>
          <w:w w:val="105"/>
        </w:rPr>
        <w:t> </w:t>
      </w:r>
      <w:r>
        <w:rPr>
          <w:w w:val="105"/>
        </w:rPr>
        <w:t>to</w:t>
      </w:r>
      <w:r>
        <w:rPr>
          <w:spacing w:val="-7"/>
          <w:w w:val="105"/>
        </w:rPr>
        <w:t> </w:t>
      </w:r>
      <w:r>
        <w:rPr>
          <w:w w:val="105"/>
        </w:rPr>
        <w:t>$0.24</w:t>
      </w:r>
      <w:r>
        <w:rPr>
          <w:spacing w:val="-7"/>
          <w:w w:val="105"/>
        </w:rPr>
        <w:t> </w:t>
      </w:r>
      <w:r>
        <w:rPr>
          <w:w w:val="105"/>
        </w:rPr>
        <w:t>per</w:t>
      </w:r>
      <w:r>
        <w:rPr>
          <w:spacing w:val="-7"/>
          <w:w w:val="105"/>
        </w:rPr>
        <w:t> </w:t>
      </w:r>
      <w:r>
        <w:rPr>
          <w:w w:val="105"/>
        </w:rPr>
        <w:t>share</w:t>
      </w:r>
      <w:r>
        <w:rPr>
          <w:spacing w:val="-7"/>
          <w:w w:val="105"/>
        </w:rPr>
        <w:t> </w:t>
      </w:r>
      <w:r>
        <w:rPr>
          <w:w w:val="105"/>
        </w:rPr>
        <w:t>of</w:t>
      </w:r>
      <w:r>
        <w:rPr>
          <w:spacing w:val="-7"/>
          <w:w w:val="105"/>
        </w:rPr>
        <w:t> </w:t>
      </w:r>
      <w:r>
        <w:rPr>
          <w:w w:val="105"/>
        </w:rPr>
        <w:t>common</w:t>
      </w:r>
      <w:r>
        <w:rPr>
          <w:spacing w:val="-7"/>
          <w:w w:val="105"/>
        </w:rPr>
        <w:t> </w:t>
      </w:r>
      <w:r>
        <w:rPr>
          <w:w w:val="105"/>
        </w:rPr>
        <w:t>stock,</w:t>
      </w:r>
      <w:r>
        <w:rPr>
          <w:spacing w:val="-7"/>
          <w:w w:val="105"/>
        </w:rPr>
        <w:t> </w:t>
      </w:r>
      <w:r>
        <w:rPr>
          <w:w w:val="105"/>
        </w:rPr>
        <w:t>beginning</w:t>
      </w:r>
      <w:r>
        <w:rPr>
          <w:spacing w:val="-7"/>
          <w:w w:val="105"/>
        </w:rPr>
        <w:t> </w:t>
      </w:r>
      <w:r>
        <w:rPr>
          <w:w w:val="105"/>
        </w:rPr>
        <w:t>with</w:t>
      </w:r>
      <w:r>
        <w:rPr>
          <w:spacing w:val="-7"/>
          <w:w w:val="105"/>
        </w:rPr>
        <w:t> </w:t>
      </w:r>
      <w:r>
        <w:rPr>
          <w:w w:val="105"/>
        </w:rPr>
        <w:t>the</w:t>
      </w:r>
      <w:r>
        <w:rPr>
          <w:spacing w:val="-7"/>
          <w:w w:val="105"/>
        </w:rPr>
        <w:t> </w:t>
      </w:r>
      <w:r>
        <w:rPr>
          <w:w w:val="105"/>
        </w:rPr>
        <w:t>dividend</w:t>
      </w:r>
      <w:r>
        <w:rPr>
          <w:spacing w:val="-7"/>
          <w:w w:val="105"/>
        </w:rPr>
        <w:t> </w:t>
      </w:r>
      <w:r>
        <w:rPr>
          <w:w w:val="105"/>
        </w:rPr>
        <w:t>paid</w:t>
      </w:r>
      <w:r>
        <w:rPr>
          <w:spacing w:val="-7"/>
          <w:w w:val="105"/>
        </w:rPr>
        <w:t> </w:t>
      </w:r>
      <w:r>
        <w:rPr>
          <w:w w:val="105"/>
        </w:rPr>
        <w:t>in</w:t>
      </w:r>
      <w:r>
        <w:rPr>
          <w:spacing w:val="-7"/>
          <w:w w:val="105"/>
        </w:rPr>
        <w:t> </w:t>
      </w:r>
      <w:r>
        <w:rPr>
          <w:w w:val="105"/>
        </w:rPr>
        <w:t>the</w:t>
      </w:r>
      <w:r>
        <w:rPr>
          <w:spacing w:val="-7"/>
          <w:w w:val="105"/>
        </w:rPr>
        <w:t> </w:t>
      </w:r>
      <w:r>
        <w:rPr>
          <w:w w:val="105"/>
        </w:rPr>
        <w:t>first</w:t>
      </w:r>
      <w:r>
        <w:rPr>
          <w:spacing w:val="-6"/>
          <w:w w:val="105"/>
        </w:rPr>
        <w:t> </w:t>
      </w:r>
      <w:r>
        <w:rPr>
          <w:w w:val="105"/>
        </w:rPr>
        <w:t>quarter</w:t>
      </w:r>
      <w:r>
        <w:rPr>
          <w:spacing w:val="-7"/>
          <w:w w:val="105"/>
        </w:rPr>
        <w:t> </w:t>
      </w:r>
      <w:r>
        <w:rPr>
          <w:w w:val="105"/>
        </w:rPr>
        <w:t>of</w:t>
      </w:r>
      <w:r>
        <w:rPr>
          <w:spacing w:val="-6"/>
          <w:w w:val="105"/>
        </w:rPr>
        <w:t> </w:t>
      </w:r>
      <w:r>
        <w:rPr>
          <w:spacing w:val="-2"/>
          <w:w w:val="105"/>
        </w:rPr>
        <w:t>2021.</w:t>
      </w:r>
    </w:p>
    <w:p>
      <w:pPr>
        <w:pStyle w:val="BodyText"/>
        <w:spacing w:before="39"/>
      </w:pPr>
    </w:p>
    <w:p>
      <w:pPr>
        <w:pStyle w:val="BodyText"/>
        <w:spacing w:line="266" w:lineRule="auto"/>
        <w:ind w:left="156" w:right="328"/>
      </w:pPr>
      <w:r>
        <w:rPr>
          <w:w w:val="105"/>
        </w:rPr>
        <w:t>On</w:t>
      </w:r>
      <w:r>
        <w:rPr>
          <w:spacing w:val="-9"/>
          <w:w w:val="105"/>
        </w:rPr>
        <w:t> </w:t>
      </w:r>
      <w:r>
        <w:rPr>
          <w:w w:val="105"/>
        </w:rPr>
        <w:t>February</w:t>
      </w:r>
      <w:r>
        <w:rPr>
          <w:spacing w:val="-9"/>
          <w:w w:val="105"/>
        </w:rPr>
        <w:t> </w:t>
      </w:r>
      <w:r>
        <w:rPr>
          <w:w w:val="105"/>
        </w:rPr>
        <w:t>5,</w:t>
      </w:r>
      <w:r>
        <w:rPr>
          <w:spacing w:val="-9"/>
          <w:w w:val="105"/>
        </w:rPr>
        <w:t> </w:t>
      </w:r>
      <w:r>
        <w:rPr>
          <w:w w:val="105"/>
        </w:rPr>
        <w:t>2020,</w:t>
      </w:r>
      <w:r>
        <w:rPr>
          <w:spacing w:val="-9"/>
          <w:w w:val="105"/>
        </w:rPr>
        <w:t> </w:t>
      </w:r>
      <w:r>
        <w:rPr>
          <w:w w:val="105"/>
        </w:rPr>
        <w:t>Corning’s</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declared</w:t>
      </w:r>
      <w:r>
        <w:rPr>
          <w:spacing w:val="-9"/>
          <w:w w:val="105"/>
        </w:rPr>
        <w:t> </w:t>
      </w:r>
      <w:r>
        <w:rPr>
          <w:w w:val="105"/>
        </w:rPr>
        <w:t>a</w:t>
      </w:r>
      <w:r>
        <w:rPr>
          <w:spacing w:val="-9"/>
          <w:w w:val="105"/>
        </w:rPr>
        <w:t> </w:t>
      </w:r>
      <w:r>
        <w:rPr>
          <w:w w:val="105"/>
        </w:rPr>
        <w:t>10%</w:t>
      </w:r>
      <w:r>
        <w:rPr>
          <w:spacing w:val="-9"/>
          <w:w w:val="105"/>
        </w:rPr>
        <w:t> </w:t>
      </w:r>
      <w:r>
        <w:rPr>
          <w:w w:val="105"/>
        </w:rPr>
        <w:t>increase</w:t>
      </w:r>
      <w:r>
        <w:rPr>
          <w:spacing w:val="-9"/>
          <w:w w:val="105"/>
        </w:rPr>
        <w:t> </w:t>
      </w:r>
      <w:r>
        <w:rPr>
          <w:w w:val="105"/>
        </w:rPr>
        <w:t>in</w:t>
      </w:r>
      <w:r>
        <w:rPr>
          <w:spacing w:val="-9"/>
          <w:w w:val="105"/>
        </w:rPr>
        <w:t> </w:t>
      </w:r>
      <w:r>
        <w:rPr>
          <w:w w:val="105"/>
        </w:rPr>
        <w:t>the</w:t>
      </w:r>
      <w:r>
        <w:rPr>
          <w:spacing w:val="-9"/>
          <w:w w:val="105"/>
        </w:rPr>
        <w:t> </w:t>
      </w:r>
      <w:r>
        <w:rPr>
          <w:w w:val="105"/>
        </w:rPr>
        <w:t>Company’s</w:t>
      </w:r>
      <w:r>
        <w:rPr>
          <w:spacing w:val="-9"/>
          <w:w w:val="105"/>
        </w:rPr>
        <w:t> </w:t>
      </w:r>
      <w:r>
        <w:rPr>
          <w:w w:val="105"/>
        </w:rPr>
        <w:t>quarterly</w:t>
      </w:r>
      <w:r>
        <w:rPr>
          <w:spacing w:val="-9"/>
          <w:w w:val="105"/>
        </w:rPr>
        <w:t> </w:t>
      </w:r>
      <w:r>
        <w:rPr>
          <w:w w:val="105"/>
        </w:rPr>
        <w:t>common</w:t>
      </w:r>
      <w:r>
        <w:rPr>
          <w:spacing w:val="-9"/>
          <w:w w:val="105"/>
        </w:rPr>
        <w:t> </w:t>
      </w:r>
      <w:r>
        <w:rPr>
          <w:w w:val="105"/>
        </w:rPr>
        <w:t>stock</w:t>
      </w:r>
      <w:r>
        <w:rPr>
          <w:spacing w:val="-9"/>
          <w:w w:val="105"/>
        </w:rPr>
        <w:t> </w:t>
      </w:r>
      <w:r>
        <w:rPr>
          <w:w w:val="105"/>
        </w:rPr>
        <w:t>dividend,</w:t>
      </w:r>
      <w:r>
        <w:rPr>
          <w:spacing w:val="-9"/>
          <w:w w:val="105"/>
        </w:rPr>
        <w:t> </w:t>
      </w:r>
      <w:r>
        <w:rPr>
          <w:w w:val="105"/>
        </w:rPr>
        <w:t>which</w:t>
      </w:r>
      <w:r>
        <w:rPr>
          <w:spacing w:val="-9"/>
          <w:w w:val="105"/>
        </w:rPr>
        <w:t> </w:t>
      </w:r>
      <w:r>
        <w:rPr>
          <w:w w:val="105"/>
        </w:rPr>
        <w:t>increased</w:t>
      </w:r>
      <w:r>
        <w:rPr>
          <w:spacing w:val="-9"/>
          <w:w w:val="105"/>
        </w:rPr>
        <w:t> </w:t>
      </w:r>
      <w:r>
        <w:rPr>
          <w:w w:val="105"/>
        </w:rPr>
        <w:t>the</w:t>
      </w:r>
      <w:r>
        <w:rPr>
          <w:spacing w:val="-9"/>
          <w:w w:val="105"/>
        </w:rPr>
        <w:t> </w:t>
      </w:r>
      <w:r>
        <w:rPr>
          <w:w w:val="105"/>
        </w:rPr>
        <w:t>quarterly</w:t>
      </w:r>
      <w:r>
        <w:rPr>
          <w:spacing w:val="-9"/>
          <w:w w:val="105"/>
        </w:rPr>
        <w:t> </w:t>
      </w:r>
      <w:r>
        <w:rPr>
          <w:w w:val="105"/>
        </w:rPr>
        <w:t>dividend from $0.20 to $0.22 per share of common stock, beginning with the dividend paid in the first quarter of 2020.</w:t>
      </w:r>
    </w:p>
    <w:p>
      <w:pPr>
        <w:pStyle w:val="BodyText"/>
        <w:spacing w:before="19"/>
      </w:pPr>
    </w:p>
    <w:p>
      <w:pPr>
        <w:pStyle w:val="Heading3"/>
      </w:pPr>
      <w:r>
        <w:rPr/>
        <w:t>Fixed</w:t>
      </w:r>
      <w:r>
        <w:rPr>
          <w:spacing w:val="15"/>
        </w:rPr>
        <w:t> </w:t>
      </w:r>
      <w:r>
        <w:rPr/>
        <w:t>Rate</w:t>
      </w:r>
      <w:r>
        <w:rPr>
          <w:spacing w:val="15"/>
        </w:rPr>
        <w:t> </w:t>
      </w:r>
      <w:r>
        <w:rPr/>
        <w:t>Cumulative</w:t>
      </w:r>
      <w:r>
        <w:rPr>
          <w:spacing w:val="16"/>
        </w:rPr>
        <w:t> </w:t>
      </w:r>
      <w:r>
        <w:rPr/>
        <w:t>Convertible</w:t>
      </w:r>
      <w:r>
        <w:rPr>
          <w:spacing w:val="15"/>
        </w:rPr>
        <w:t> </w:t>
      </w:r>
      <w:r>
        <w:rPr/>
        <w:t>Preferred</w:t>
      </w:r>
      <w:r>
        <w:rPr>
          <w:spacing w:val="15"/>
        </w:rPr>
        <w:t> </w:t>
      </w:r>
      <w:r>
        <w:rPr/>
        <w:t>Stock,</w:t>
      </w:r>
      <w:r>
        <w:rPr>
          <w:spacing w:val="16"/>
        </w:rPr>
        <w:t> </w:t>
      </w:r>
      <w:r>
        <w:rPr/>
        <w:t>Series</w:t>
      </w:r>
      <w:r>
        <w:rPr>
          <w:spacing w:val="15"/>
        </w:rPr>
        <w:t> </w:t>
      </w:r>
      <w:r>
        <w:rPr>
          <w:spacing w:val="-10"/>
        </w:rPr>
        <w:t>A</w:t>
      </w:r>
    </w:p>
    <w:p>
      <w:pPr>
        <w:pStyle w:val="BodyText"/>
        <w:spacing w:before="40"/>
        <w:rPr>
          <w:b/>
          <w:i/>
        </w:rPr>
      </w:pPr>
    </w:p>
    <w:p>
      <w:pPr>
        <w:pStyle w:val="BodyText"/>
        <w:ind w:left="156"/>
      </w:pPr>
      <w:r>
        <w:rPr>
          <w:w w:val="105"/>
        </w:rPr>
        <w:t>As</w:t>
      </w:r>
      <w:r>
        <w:rPr>
          <w:spacing w:val="-9"/>
          <w:w w:val="105"/>
        </w:rPr>
        <w:t> </w:t>
      </w:r>
      <w:r>
        <w:rPr>
          <w:w w:val="105"/>
        </w:rPr>
        <w:t>of</w:t>
      </w:r>
      <w:r>
        <w:rPr>
          <w:spacing w:val="-9"/>
          <w:w w:val="105"/>
        </w:rPr>
        <w:t> </w:t>
      </w:r>
      <w:r>
        <w:rPr>
          <w:w w:val="105"/>
        </w:rPr>
        <w:t>December</w:t>
      </w:r>
      <w:r>
        <w:rPr>
          <w:spacing w:val="-8"/>
          <w:w w:val="105"/>
        </w:rPr>
        <w:t> </w:t>
      </w:r>
      <w:r>
        <w:rPr>
          <w:w w:val="105"/>
        </w:rPr>
        <w:t>31,</w:t>
      </w:r>
      <w:r>
        <w:rPr>
          <w:spacing w:val="-9"/>
          <w:w w:val="105"/>
        </w:rPr>
        <w:t> </w:t>
      </w:r>
      <w:r>
        <w:rPr>
          <w:w w:val="105"/>
        </w:rPr>
        <w:t>2020,</w:t>
      </w:r>
      <w:r>
        <w:rPr>
          <w:spacing w:val="-8"/>
          <w:w w:val="105"/>
        </w:rPr>
        <w:t> </w:t>
      </w:r>
      <w:r>
        <w:rPr>
          <w:w w:val="105"/>
        </w:rPr>
        <w:t>Corning</w:t>
      </w:r>
      <w:r>
        <w:rPr>
          <w:spacing w:val="-9"/>
          <w:w w:val="105"/>
        </w:rPr>
        <w:t> </w:t>
      </w:r>
      <w:r>
        <w:rPr>
          <w:w w:val="105"/>
        </w:rPr>
        <w:t>had</w:t>
      </w:r>
      <w:r>
        <w:rPr>
          <w:spacing w:val="-9"/>
          <w:w w:val="105"/>
        </w:rPr>
        <w:t> </w:t>
      </w:r>
      <w:r>
        <w:rPr>
          <w:w w:val="105"/>
        </w:rPr>
        <w:t>2,300</w:t>
      </w:r>
      <w:r>
        <w:rPr>
          <w:spacing w:val="-9"/>
          <w:w w:val="105"/>
        </w:rPr>
        <w:t> </w:t>
      </w:r>
      <w:r>
        <w:rPr>
          <w:w w:val="105"/>
        </w:rPr>
        <w:t>outstanding</w:t>
      </w:r>
      <w:r>
        <w:rPr>
          <w:spacing w:val="-9"/>
          <w:w w:val="105"/>
        </w:rPr>
        <w:t> </w:t>
      </w:r>
      <w:r>
        <w:rPr>
          <w:w w:val="105"/>
        </w:rPr>
        <w:t>shares</w:t>
      </w:r>
      <w:r>
        <w:rPr>
          <w:spacing w:val="-9"/>
          <w:w w:val="105"/>
        </w:rPr>
        <w:t> </w:t>
      </w:r>
      <w:r>
        <w:rPr>
          <w:w w:val="105"/>
        </w:rPr>
        <w:t>of</w:t>
      </w:r>
      <w:r>
        <w:rPr>
          <w:spacing w:val="-9"/>
          <w:w w:val="105"/>
        </w:rPr>
        <w:t> </w:t>
      </w:r>
      <w:r>
        <w:rPr>
          <w:w w:val="105"/>
        </w:rPr>
        <w:t>Preferred</w:t>
      </w:r>
      <w:r>
        <w:rPr>
          <w:spacing w:val="-9"/>
          <w:w w:val="105"/>
        </w:rPr>
        <w:t> </w:t>
      </w:r>
      <w:r>
        <w:rPr>
          <w:spacing w:val="-2"/>
          <w:w w:val="105"/>
        </w:rPr>
        <w:t>Stock.</w:t>
      </w:r>
    </w:p>
    <w:p>
      <w:pPr>
        <w:pStyle w:val="BodyText"/>
        <w:spacing w:before="40"/>
      </w:pPr>
    </w:p>
    <w:p>
      <w:pPr>
        <w:pStyle w:val="BodyText"/>
        <w:spacing w:line="266" w:lineRule="auto"/>
        <w:ind w:left="156"/>
      </w:pPr>
      <w:r>
        <w:rPr>
          <w:w w:val="105"/>
        </w:rPr>
        <w:t>On</w:t>
      </w:r>
      <w:r>
        <w:rPr>
          <w:spacing w:val="-7"/>
          <w:w w:val="105"/>
        </w:rPr>
        <w:t> </w:t>
      </w:r>
      <w:r>
        <w:rPr>
          <w:w w:val="105"/>
        </w:rPr>
        <w:t>January</w:t>
      </w:r>
      <w:r>
        <w:rPr>
          <w:spacing w:val="-7"/>
          <w:w w:val="105"/>
        </w:rPr>
        <w:t> </w:t>
      </w:r>
      <w:r>
        <w:rPr>
          <w:w w:val="105"/>
        </w:rPr>
        <w:t>16,</w:t>
      </w:r>
      <w:r>
        <w:rPr>
          <w:spacing w:val="-7"/>
          <w:w w:val="105"/>
        </w:rPr>
        <w:t> </w:t>
      </w:r>
      <w:r>
        <w:rPr>
          <w:w w:val="105"/>
        </w:rPr>
        <w:t>2021,</w:t>
      </w:r>
      <w:r>
        <w:rPr>
          <w:spacing w:val="-7"/>
          <w:w w:val="105"/>
        </w:rPr>
        <w:t> </w:t>
      </w:r>
      <w:r>
        <w:rPr>
          <w:w w:val="105"/>
        </w:rPr>
        <w:t>the</w:t>
      </w:r>
      <w:r>
        <w:rPr>
          <w:spacing w:val="-7"/>
          <w:w w:val="105"/>
        </w:rPr>
        <w:t> </w:t>
      </w:r>
      <w:r>
        <w:rPr>
          <w:w w:val="105"/>
        </w:rPr>
        <w:t>Preferred</w:t>
      </w:r>
      <w:r>
        <w:rPr>
          <w:spacing w:val="-7"/>
          <w:w w:val="105"/>
        </w:rPr>
        <w:t> </w:t>
      </w:r>
      <w:r>
        <w:rPr>
          <w:w w:val="105"/>
        </w:rPr>
        <w:t>Stock</w:t>
      </w:r>
      <w:r>
        <w:rPr>
          <w:spacing w:val="-7"/>
          <w:w w:val="105"/>
        </w:rPr>
        <w:t> </w:t>
      </w:r>
      <w:r>
        <w:rPr>
          <w:w w:val="105"/>
        </w:rPr>
        <w:t>became</w:t>
      </w:r>
      <w:r>
        <w:rPr>
          <w:spacing w:val="-7"/>
          <w:w w:val="105"/>
        </w:rPr>
        <w:t> </w:t>
      </w:r>
      <w:r>
        <w:rPr>
          <w:w w:val="105"/>
        </w:rPr>
        <w:t>convertible</w:t>
      </w:r>
      <w:r>
        <w:rPr>
          <w:spacing w:val="-7"/>
          <w:w w:val="105"/>
        </w:rPr>
        <w:t> </w:t>
      </w:r>
      <w:r>
        <w:rPr>
          <w:w w:val="105"/>
        </w:rPr>
        <w:t>into</w:t>
      </w:r>
      <w:r>
        <w:rPr>
          <w:spacing w:val="-7"/>
          <w:w w:val="105"/>
        </w:rPr>
        <w:t> </w:t>
      </w:r>
      <w:r>
        <w:rPr>
          <w:w w:val="105"/>
        </w:rPr>
        <w:t>115</w:t>
      </w:r>
      <w:r>
        <w:rPr>
          <w:spacing w:val="-7"/>
          <w:w w:val="105"/>
        </w:rPr>
        <w:t> </w:t>
      </w:r>
      <w:r>
        <w:rPr>
          <w:w w:val="105"/>
        </w:rPr>
        <w:t>million</w:t>
      </w:r>
      <w:r>
        <w:rPr>
          <w:spacing w:val="-7"/>
          <w:w w:val="105"/>
        </w:rPr>
        <w:t> </w:t>
      </w:r>
      <w:r>
        <w:rPr>
          <w:w w:val="105"/>
        </w:rPr>
        <w:t>Common</w:t>
      </w:r>
      <w:r>
        <w:rPr>
          <w:spacing w:val="-7"/>
          <w:w w:val="105"/>
        </w:rPr>
        <w:t> </w:t>
      </w:r>
      <w:r>
        <w:rPr>
          <w:w w:val="105"/>
        </w:rPr>
        <w:t>Shares,</w:t>
      </w:r>
      <w:r>
        <w:rPr>
          <w:spacing w:val="-7"/>
          <w:w w:val="105"/>
        </w:rPr>
        <w:t> </w:t>
      </w:r>
      <w:r>
        <w:rPr>
          <w:w w:val="105"/>
        </w:rPr>
        <w:t>in</w:t>
      </w:r>
      <w:r>
        <w:rPr>
          <w:spacing w:val="-7"/>
          <w:w w:val="105"/>
        </w:rPr>
        <w:t> </w:t>
      </w:r>
      <w:r>
        <w:rPr>
          <w:w w:val="105"/>
        </w:rPr>
        <w:t>whole</w:t>
      </w:r>
      <w:r>
        <w:rPr>
          <w:spacing w:val="-7"/>
          <w:w w:val="105"/>
        </w:rPr>
        <w:t> </w:t>
      </w:r>
      <w:r>
        <w:rPr>
          <w:w w:val="105"/>
        </w:rPr>
        <w:t>or</w:t>
      </w:r>
      <w:r>
        <w:rPr>
          <w:spacing w:val="-7"/>
          <w:w w:val="105"/>
        </w:rPr>
        <w:t> </w:t>
      </w:r>
      <w:r>
        <w:rPr>
          <w:w w:val="105"/>
        </w:rPr>
        <w:t>in</w:t>
      </w:r>
      <w:r>
        <w:rPr>
          <w:spacing w:val="-7"/>
          <w:w w:val="105"/>
        </w:rPr>
        <w:t> </w:t>
      </w:r>
      <w:r>
        <w:rPr>
          <w:w w:val="105"/>
        </w:rPr>
        <w:t>part,</w:t>
      </w:r>
      <w:r>
        <w:rPr>
          <w:spacing w:val="-6"/>
          <w:w w:val="105"/>
        </w:rPr>
        <w:t> </w:t>
      </w:r>
      <w:r>
        <w:rPr>
          <w:w w:val="105"/>
        </w:rPr>
        <w:t>at</w:t>
      </w:r>
      <w:r>
        <w:rPr>
          <w:spacing w:val="-7"/>
          <w:w w:val="105"/>
        </w:rPr>
        <w:t> </w:t>
      </w:r>
      <w:r>
        <w:rPr>
          <w:w w:val="105"/>
        </w:rPr>
        <w:t>the</w:t>
      </w:r>
      <w:r>
        <w:rPr>
          <w:spacing w:val="-7"/>
          <w:w w:val="105"/>
        </w:rPr>
        <w:t> </w:t>
      </w:r>
      <w:r>
        <w:rPr>
          <w:w w:val="105"/>
        </w:rPr>
        <w:t>option</w:t>
      </w:r>
      <w:r>
        <w:rPr>
          <w:spacing w:val="-7"/>
          <w:w w:val="105"/>
        </w:rPr>
        <w:t> </w:t>
      </w:r>
      <w:r>
        <w:rPr>
          <w:w w:val="105"/>
        </w:rPr>
        <w:t>of</w:t>
      </w:r>
      <w:r>
        <w:rPr>
          <w:spacing w:val="-7"/>
          <w:w w:val="105"/>
        </w:rPr>
        <w:t> </w:t>
      </w:r>
      <w:r>
        <w:rPr>
          <w:w w:val="105"/>
        </w:rPr>
        <w:t>Samsung</w:t>
      </w:r>
      <w:r>
        <w:rPr>
          <w:spacing w:val="-7"/>
          <w:w w:val="105"/>
        </w:rPr>
        <w:t> </w:t>
      </w:r>
      <w:r>
        <w:rPr>
          <w:w w:val="105"/>
        </w:rPr>
        <w:t>Display</w:t>
      </w:r>
      <w:r>
        <w:rPr>
          <w:spacing w:val="-7"/>
          <w:w w:val="105"/>
        </w:rPr>
        <w:t> </w:t>
      </w:r>
      <w:r>
        <w:rPr>
          <w:w w:val="105"/>
        </w:rPr>
        <w:t>Co.,</w:t>
      </w:r>
      <w:r>
        <w:rPr>
          <w:spacing w:val="-7"/>
          <w:w w:val="105"/>
        </w:rPr>
        <w:t> </w:t>
      </w:r>
      <w:r>
        <w:rPr>
          <w:w w:val="105"/>
        </w:rPr>
        <w:t>Ltd.</w:t>
      </w:r>
      <w:r>
        <w:rPr>
          <w:spacing w:val="-7"/>
          <w:w w:val="105"/>
        </w:rPr>
        <w:t> </w:t>
      </w:r>
      <w:r>
        <w:rPr>
          <w:w w:val="105"/>
        </w:rPr>
        <w:t>("SDC").</w:t>
      </w:r>
      <w:r>
        <w:rPr>
          <w:spacing w:val="28"/>
          <w:w w:val="105"/>
        </w:rPr>
        <w:t> </w:t>
      </w:r>
      <w:r>
        <w:rPr>
          <w:w w:val="105"/>
        </w:rPr>
        <w:t>On April 5, 2021, Corning and SDC executed the Share Repurchase Agreement ("SRA").</w:t>
      </w:r>
    </w:p>
    <w:p>
      <w:pPr>
        <w:pStyle w:val="BodyText"/>
        <w:spacing w:before="19"/>
      </w:pPr>
    </w:p>
    <w:p>
      <w:pPr>
        <w:pStyle w:val="BodyText"/>
        <w:spacing w:line="266" w:lineRule="auto"/>
        <w:ind w:left="156" w:right="328"/>
      </w:pPr>
      <w:r>
        <w:rPr>
          <w:w w:val="105"/>
        </w:rPr>
        <w:t>Pursuant</w:t>
      </w:r>
      <w:r>
        <w:rPr>
          <w:spacing w:val="-3"/>
          <w:w w:val="105"/>
        </w:rPr>
        <w:t> </w:t>
      </w:r>
      <w:r>
        <w:rPr>
          <w:w w:val="105"/>
        </w:rPr>
        <w:t>to</w:t>
      </w:r>
      <w:r>
        <w:rPr>
          <w:spacing w:val="-3"/>
          <w:w w:val="105"/>
        </w:rPr>
        <w:t> </w:t>
      </w:r>
      <w:r>
        <w:rPr>
          <w:w w:val="105"/>
        </w:rPr>
        <w:t>the</w:t>
      </w:r>
      <w:r>
        <w:rPr>
          <w:spacing w:val="-3"/>
          <w:w w:val="105"/>
        </w:rPr>
        <w:t> </w:t>
      </w:r>
      <w:r>
        <w:rPr>
          <w:w w:val="105"/>
        </w:rPr>
        <w:t>SRA,</w:t>
      </w:r>
      <w:r>
        <w:rPr>
          <w:spacing w:val="-3"/>
          <w:w w:val="105"/>
        </w:rPr>
        <w:t> </w:t>
      </w:r>
      <w:r>
        <w:rPr>
          <w:w w:val="105"/>
        </w:rPr>
        <w:t>on</w:t>
      </w:r>
      <w:r>
        <w:rPr>
          <w:spacing w:val="-3"/>
          <w:w w:val="105"/>
        </w:rPr>
        <w:t> </w:t>
      </w:r>
      <w:r>
        <w:rPr>
          <w:w w:val="105"/>
        </w:rPr>
        <w:t>the</w:t>
      </w:r>
      <w:r>
        <w:rPr>
          <w:spacing w:val="-3"/>
          <w:w w:val="105"/>
        </w:rPr>
        <w:t> </w:t>
      </w:r>
      <w:r>
        <w:rPr>
          <w:w w:val="105"/>
        </w:rPr>
        <w:t>Initial</w:t>
      </w:r>
      <w:r>
        <w:rPr>
          <w:spacing w:val="-3"/>
          <w:w w:val="105"/>
        </w:rPr>
        <w:t> </w:t>
      </w:r>
      <w:r>
        <w:rPr>
          <w:w w:val="105"/>
        </w:rPr>
        <w:t>Closing</w:t>
      </w:r>
      <w:r>
        <w:rPr>
          <w:spacing w:val="-3"/>
          <w:w w:val="105"/>
        </w:rPr>
        <w:t> </w:t>
      </w:r>
      <w:r>
        <w:rPr>
          <w:w w:val="105"/>
        </w:rPr>
        <w:t>Date,</w:t>
      </w:r>
      <w:r>
        <w:rPr>
          <w:spacing w:val="-3"/>
          <w:w w:val="105"/>
        </w:rPr>
        <w:t> </w:t>
      </w:r>
      <w:r>
        <w:rPr>
          <w:w w:val="105"/>
        </w:rPr>
        <w:t>the</w:t>
      </w:r>
      <w:r>
        <w:rPr>
          <w:spacing w:val="-3"/>
          <w:w w:val="105"/>
        </w:rPr>
        <w:t> </w:t>
      </w:r>
      <w:r>
        <w:rPr>
          <w:w w:val="105"/>
        </w:rPr>
        <w:t>Preferred</w:t>
      </w:r>
      <w:r>
        <w:rPr>
          <w:spacing w:val="-3"/>
          <w:w w:val="105"/>
        </w:rPr>
        <w:t> </w:t>
      </w:r>
      <w:r>
        <w:rPr>
          <w:w w:val="105"/>
        </w:rPr>
        <w:t>Stock</w:t>
      </w:r>
      <w:r>
        <w:rPr>
          <w:spacing w:val="-3"/>
          <w:w w:val="105"/>
        </w:rPr>
        <w:t> </w:t>
      </w:r>
      <w:r>
        <w:rPr>
          <w:w w:val="105"/>
        </w:rPr>
        <w:t>was</w:t>
      </w:r>
      <w:r>
        <w:rPr>
          <w:spacing w:val="-3"/>
          <w:w w:val="105"/>
        </w:rPr>
        <w:t> </w:t>
      </w:r>
      <w:r>
        <w:rPr>
          <w:w w:val="105"/>
        </w:rPr>
        <w:t>fully</w:t>
      </w:r>
      <w:r>
        <w:rPr>
          <w:spacing w:val="-1"/>
          <w:w w:val="105"/>
        </w:rPr>
        <w:t> </w:t>
      </w:r>
      <w:r>
        <w:rPr>
          <w:w w:val="105"/>
        </w:rPr>
        <w:t>converted.</w:t>
      </w:r>
      <w:r>
        <w:rPr>
          <w:spacing w:val="36"/>
          <w:w w:val="105"/>
        </w:rPr>
        <w:t> </w:t>
      </w:r>
      <w:r>
        <w:rPr>
          <w:w w:val="105"/>
        </w:rPr>
        <w:t>Immediately</w:t>
      </w:r>
      <w:r>
        <w:rPr>
          <w:spacing w:val="-3"/>
          <w:w w:val="105"/>
        </w:rPr>
        <w:t> </w:t>
      </w:r>
      <w:r>
        <w:rPr>
          <w:w w:val="105"/>
        </w:rPr>
        <w:t>following</w:t>
      </w:r>
      <w:r>
        <w:rPr>
          <w:spacing w:val="-3"/>
          <w:w w:val="105"/>
        </w:rPr>
        <w:t> </w:t>
      </w:r>
      <w:r>
        <w:rPr>
          <w:w w:val="105"/>
        </w:rPr>
        <w:t>the</w:t>
      </w:r>
      <w:r>
        <w:rPr>
          <w:spacing w:val="-3"/>
          <w:w w:val="105"/>
        </w:rPr>
        <w:t> </w:t>
      </w:r>
      <w:r>
        <w:rPr>
          <w:w w:val="105"/>
        </w:rPr>
        <w:t>conversion,</w:t>
      </w:r>
      <w:r>
        <w:rPr>
          <w:spacing w:val="-3"/>
          <w:w w:val="105"/>
        </w:rPr>
        <w:t> </w:t>
      </w:r>
      <w:r>
        <w:rPr>
          <w:w w:val="105"/>
        </w:rPr>
        <w:t>Corning</w:t>
      </w:r>
      <w:r>
        <w:rPr>
          <w:spacing w:val="-3"/>
          <w:w w:val="105"/>
        </w:rPr>
        <w:t> </w:t>
      </w:r>
      <w:r>
        <w:rPr>
          <w:w w:val="105"/>
        </w:rPr>
        <w:t>repurchased</w:t>
      </w:r>
      <w:r>
        <w:rPr>
          <w:spacing w:val="-3"/>
          <w:w w:val="105"/>
        </w:rPr>
        <w:t> </w:t>
      </w:r>
      <w:r>
        <w:rPr>
          <w:w w:val="105"/>
        </w:rPr>
        <w:t>and</w:t>
      </w:r>
      <w:r>
        <w:rPr>
          <w:spacing w:val="-3"/>
          <w:w w:val="105"/>
        </w:rPr>
        <w:t> </w:t>
      </w:r>
      <w:r>
        <w:rPr>
          <w:w w:val="105"/>
        </w:rPr>
        <w:t>retired</w:t>
      </w:r>
      <w:r>
        <w:rPr>
          <w:spacing w:val="-3"/>
          <w:w w:val="105"/>
        </w:rPr>
        <w:t> </w:t>
      </w:r>
      <w:r>
        <w:rPr>
          <w:w w:val="105"/>
        </w:rPr>
        <w:t>35 million</w:t>
      </w:r>
      <w:r>
        <w:rPr>
          <w:spacing w:val="-8"/>
          <w:w w:val="105"/>
        </w:rPr>
        <w:t> </w:t>
      </w:r>
      <w:r>
        <w:rPr>
          <w:w w:val="105"/>
        </w:rPr>
        <w:t>of</w:t>
      </w:r>
      <w:r>
        <w:rPr>
          <w:spacing w:val="-8"/>
          <w:w w:val="105"/>
        </w:rPr>
        <w:t> </w:t>
      </w:r>
      <w:r>
        <w:rPr>
          <w:w w:val="105"/>
        </w:rPr>
        <w:t>the</w:t>
      </w:r>
      <w:r>
        <w:rPr>
          <w:spacing w:val="-8"/>
          <w:w w:val="105"/>
        </w:rPr>
        <w:t> </w:t>
      </w:r>
      <w:r>
        <w:rPr>
          <w:w w:val="105"/>
        </w:rPr>
        <w:t>Common</w:t>
      </w:r>
      <w:r>
        <w:rPr>
          <w:spacing w:val="-8"/>
          <w:w w:val="105"/>
        </w:rPr>
        <w:t> </w:t>
      </w:r>
      <w:r>
        <w:rPr>
          <w:w w:val="105"/>
        </w:rPr>
        <w:t>Shares</w:t>
      </w:r>
      <w:r>
        <w:rPr>
          <w:spacing w:val="-8"/>
          <w:w w:val="105"/>
        </w:rPr>
        <w:t> </w:t>
      </w:r>
      <w:r>
        <w:rPr>
          <w:w w:val="105"/>
        </w:rPr>
        <w:t>held</w:t>
      </w:r>
      <w:r>
        <w:rPr>
          <w:spacing w:val="-8"/>
          <w:w w:val="105"/>
        </w:rPr>
        <w:t> </w:t>
      </w:r>
      <w:r>
        <w:rPr>
          <w:w w:val="105"/>
        </w:rPr>
        <w:t>by</w:t>
      </w:r>
      <w:r>
        <w:rPr>
          <w:spacing w:val="-8"/>
          <w:w w:val="105"/>
        </w:rPr>
        <w:t> </w:t>
      </w:r>
      <w:r>
        <w:rPr>
          <w:w w:val="105"/>
        </w:rPr>
        <w:t>SDC</w:t>
      </w:r>
      <w:r>
        <w:rPr>
          <w:spacing w:val="-8"/>
          <w:w w:val="105"/>
        </w:rPr>
        <w:t> </w:t>
      </w:r>
      <w:r>
        <w:rPr>
          <w:w w:val="105"/>
        </w:rPr>
        <w:t>for</w:t>
      </w:r>
      <w:r>
        <w:rPr>
          <w:spacing w:val="-8"/>
          <w:w w:val="105"/>
        </w:rPr>
        <w:t> </w:t>
      </w:r>
      <w:r>
        <w:rPr>
          <w:w w:val="105"/>
        </w:rPr>
        <w:t>an</w:t>
      </w:r>
      <w:r>
        <w:rPr>
          <w:spacing w:val="-8"/>
          <w:w w:val="105"/>
        </w:rPr>
        <w:t> </w:t>
      </w:r>
      <w:r>
        <w:rPr>
          <w:w w:val="105"/>
        </w:rPr>
        <w:t>aggregate</w:t>
      </w:r>
      <w:r>
        <w:rPr>
          <w:spacing w:val="-8"/>
          <w:w w:val="105"/>
        </w:rPr>
        <w:t> </w:t>
      </w:r>
      <w:r>
        <w:rPr>
          <w:w w:val="105"/>
        </w:rPr>
        <w:t>purchase</w:t>
      </w:r>
      <w:r>
        <w:rPr>
          <w:spacing w:val="-8"/>
          <w:w w:val="105"/>
        </w:rPr>
        <w:t> </w:t>
      </w:r>
      <w:r>
        <w:rPr>
          <w:w w:val="105"/>
        </w:rPr>
        <w:t>price</w:t>
      </w:r>
      <w:r>
        <w:rPr>
          <w:spacing w:val="-8"/>
          <w:w w:val="105"/>
        </w:rPr>
        <w:t> </w:t>
      </w:r>
      <w:r>
        <w:rPr>
          <w:w w:val="105"/>
        </w:rPr>
        <w:t>of</w:t>
      </w:r>
      <w:r>
        <w:rPr>
          <w:spacing w:val="-8"/>
          <w:w w:val="105"/>
        </w:rPr>
        <w:t> </w:t>
      </w:r>
      <w:r>
        <w:rPr>
          <w:w w:val="105"/>
        </w:rPr>
        <w:t>approximately</w:t>
      </w:r>
      <w:r>
        <w:rPr>
          <w:spacing w:val="-8"/>
          <w:w w:val="105"/>
        </w:rPr>
        <w:t> </w:t>
      </w:r>
      <w:r>
        <w:rPr>
          <w:w w:val="105"/>
        </w:rPr>
        <w:t>$1.5</w:t>
      </w:r>
      <w:r>
        <w:rPr>
          <w:spacing w:val="-8"/>
          <w:w w:val="105"/>
        </w:rPr>
        <w:t> </w:t>
      </w:r>
      <w:r>
        <w:rPr>
          <w:w w:val="105"/>
        </w:rPr>
        <w:t>billion,</w:t>
      </w:r>
      <w:r>
        <w:rPr>
          <w:spacing w:val="-8"/>
          <w:w w:val="105"/>
        </w:rPr>
        <w:t> </w:t>
      </w:r>
      <w:r>
        <w:rPr>
          <w:w w:val="105"/>
        </w:rPr>
        <w:t>of</w:t>
      </w:r>
      <w:r>
        <w:rPr>
          <w:spacing w:val="-8"/>
          <w:w w:val="105"/>
        </w:rPr>
        <w:t> </w:t>
      </w:r>
      <w:r>
        <w:rPr>
          <w:w w:val="105"/>
        </w:rPr>
        <w:t>which</w:t>
      </w:r>
      <w:r>
        <w:rPr>
          <w:spacing w:val="-8"/>
          <w:w w:val="105"/>
        </w:rPr>
        <w:t> </w:t>
      </w:r>
      <w:r>
        <w:rPr>
          <w:w w:val="105"/>
        </w:rPr>
        <w:t>approximately</w:t>
      </w:r>
      <w:r>
        <w:rPr>
          <w:spacing w:val="-8"/>
          <w:w w:val="105"/>
        </w:rPr>
        <w:t> </w:t>
      </w:r>
      <w:r>
        <w:rPr>
          <w:w w:val="105"/>
        </w:rPr>
        <w:t>$507</w:t>
      </w:r>
      <w:r>
        <w:rPr>
          <w:spacing w:val="-8"/>
          <w:w w:val="105"/>
        </w:rPr>
        <w:t> </w:t>
      </w:r>
      <w:r>
        <w:rPr>
          <w:w w:val="105"/>
        </w:rPr>
        <w:t>million</w:t>
      </w:r>
      <w:r>
        <w:rPr>
          <w:spacing w:val="-8"/>
          <w:w w:val="105"/>
        </w:rPr>
        <w:t> </w:t>
      </w:r>
      <w:r>
        <w:rPr>
          <w:w w:val="105"/>
        </w:rPr>
        <w:t>was</w:t>
      </w:r>
      <w:r>
        <w:rPr>
          <w:spacing w:val="-8"/>
          <w:w w:val="105"/>
        </w:rPr>
        <w:t> </w:t>
      </w:r>
      <w:r>
        <w:rPr>
          <w:w w:val="105"/>
        </w:rPr>
        <w:t>paid</w:t>
      </w:r>
      <w:r>
        <w:rPr>
          <w:spacing w:val="-8"/>
          <w:w w:val="105"/>
        </w:rPr>
        <w:t> </w:t>
      </w:r>
      <w:r>
        <w:rPr>
          <w:w w:val="105"/>
        </w:rPr>
        <w:t>on</w:t>
      </w:r>
      <w:r>
        <w:rPr>
          <w:spacing w:val="-8"/>
          <w:w w:val="105"/>
        </w:rPr>
        <w:t> </w:t>
      </w:r>
      <w:r>
        <w:rPr>
          <w:w w:val="105"/>
        </w:rPr>
        <w:t>the</w:t>
      </w:r>
      <w:r>
        <w:rPr>
          <w:spacing w:val="-8"/>
          <w:w w:val="105"/>
        </w:rPr>
        <w:t> </w:t>
      </w:r>
      <w:r>
        <w:rPr>
          <w:w w:val="105"/>
        </w:rPr>
        <w:t>Initial Closing</w:t>
      </w:r>
      <w:r>
        <w:rPr>
          <w:spacing w:val="-2"/>
          <w:w w:val="105"/>
        </w:rPr>
        <w:t> </w:t>
      </w:r>
      <w:r>
        <w:rPr>
          <w:w w:val="105"/>
        </w:rPr>
        <w:t>Date.</w:t>
      </w:r>
      <w:r>
        <w:rPr>
          <w:spacing w:val="-2"/>
          <w:w w:val="105"/>
        </w:rPr>
        <w:t> </w:t>
      </w:r>
      <w:r>
        <w:rPr>
          <w:w w:val="105"/>
        </w:rPr>
        <w:t>Subsequent</w:t>
      </w:r>
      <w:r>
        <w:rPr>
          <w:spacing w:val="-2"/>
          <w:w w:val="105"/>
        </w:rPr>
        <w:t> </w:t>
      </w:r>
      <w:r>
        <w:rPr>
          <w:w w:val="105"/>
        </w:rPr>
        <w:t>payments</w:t>
      </w:r>
      <w:r>
        <w:rPr>
          <w:spacing w:val="-2"/>
          <w:w w:val="105"/>
        </w:rPr>
        <w:t> </w:t>
      </w:r>
      <w:r>
        <w:rPr>
          <w:w w:val="105"/>
        </w:rPr>
        <w:t>of</w:t>
      </w:r>
      <w:r>
        <w:rPr>
          <w:spacing w:val="-2"/>
          <w:w w:val="105"/>
        </w:rPr>
        <w:t> </w:t>
      </w:r>
      <w:r>
        <w:rPr>
          <w:w w:val="105"/>
        </w:rPr>
        <w:t>approximately</w:t>
      </w:r>
      <w:r>
        <w:rPr>
          <w:spacing w:val="-2"/>
          <w:w w:val="105"/>
        </w:rPr>
        <w:t> </w:t>
      </w:r>
      <w:r>
        <w:rPr>
          <w:w w:val="105"/>
        </w:rPr>
        <w:t>$507</w:t>
      </w:r>
      <w:r>
        <w:rPr>
          <w:spacing w:val="-2"/>
          <w:w w:val="105"/>
        </w:rPr>
        <w:t> </w:t>
      </w:r>
      <w:r>
        <w:rPr>
          <w:w w:val="105"/>
        </w:rPr>
        <w:t>million</w:t>
      </w:r>
      <w:r>
        <w:rPr>
          <w:spacing w:val="-2"/>
          <w:w w:val="105"/>
        </w:rPr>
        <w:t> </w:t>
      </w:r>
      <w:r>
        <w:rPr>
          <w:w w:val="105"/>
        </w:rPr>
        <w:t>will</w:t>
      </w:r>
      <w:r>
        <w:rPr>
          <w:spacing w:val="-2"/>
          <w:w w:val="105"/>
        </w:rPr>
        <w:t> </w:t>
      </w:r>
      <w:r>
        <w:rPr>
          <w:w w:val="105"/>
        </w:rPr>
        <w:t>be</w:t>
      </w:r>
      <w:r>
        <w:rPr>
          <w:spacing w:val="-2"/>
          <w:w w:val="105"/>
        </w:rPr>
        <w:t> </w:t>
      </w:r>
      <w:r>
        <w:rPr>
          <w:w w:val="105"/>
        </w:rPr>
        <w:t>paid</w:t>
      </w:r>
      <w:r>
        <w:rPr>
          <w:spacing w:val="-2"/>
          <w:w w:val="105"/>
        </w:rPr>
        <w:t> </w:t>
      </w:r>
      <w:r>
        <w:rPr>
          <w:w w:val="105"/>
        </w:rPr>
        <w:t>on</w:t>
      </w:r>
      <w:r>
        <w:rPr>
          <w:spacing w:val="-2"/>
          <w:w w:val="105"/>
        </w:rPr>
        <w:t> </w:t>
      </w:r>
      <w:r>
        <w:rPr>
          <w:w w:val="105"/>
        </w:rPr>
        <w:t>each</w:t>
      </w:r>
      <w:r>
        <w:rPr>
          <w:spacing w:val="-2"/>
          <w:w w:val="105"/>
        </w:rPr>
        <w:t> </w:t>
      </w:r>
      <w:r>
        <w:rPr>
          <w:w w:val="105"/>
        </w:rPr>
        <w:t>of</w:t>
      </w:r>
      <w:r>
        <w:rPr>
          <w:spacing w:val="-2"/>
          <w:w w:val="105"/>
        </w:rPr>
        <w:t> </w:t>
      </w:r>
      <w:r>
        <w:rPr>
          <w:w w:val="105"/>
        </w:rPr>
        <w:t>the</w:t>
      </w:r>
      <w:r>
        <w:rPr>
          <w:spacing w:val="-1"/>
          <w:w w:val="105"/>
        </w:rPr>
        <w:t> </w:t>
      </w:r>
      <w:r>
        <w:rPr>
          <w:w w:val="105"/>
        </w:rPr>
        <w:t>first</w:t>
      </w:r>
      <w:r>
        <w:rPr>
          <w:spacing w:val="-1"/>
          <w:w w:val="105"/>
        </w:rPr>
        <w:t> </w:t>
      </w:r>
      <w:r>
        <w:rPr>
          <w:w w:val="105"/>
        </w:rPr>
        <w:t>and</w:t>
      </w:r>
      <w:r>
        <w:rPr>
          <w:spacing w:val="-2"/>
          <w:w w:val="105"/>
        </w:rPr>
        <w:t> </w:t>
      </w:r>
      <w:r>
        <w:rPr>
          <w:w w:val="105"/>
        </w:rPr>
        <w:t>second</w:t>
      </w:r>
      <w:r>
        <w:rPr>
          <w:spacing w:val="-2"/>
          <w:w w:val="105"/>
        </w:rPr>
        <w:t> </w:t>
      </w:r>
      <w:r>
        <w:rPr>
          <w:w w:val="105"/>
        </w:rPr>
        <w:t>anniversaries</w:t>
      </w:r>
      <w:r>
        <w:rPr>
          <w:spacing w:val="-2"/>
          <w:w w:val="105"/>
        </w:rPr>
        <w:t> </w:t>
      </w:r>
      <w:r>
        <w:rPr>
          <w:w w:val="105"/>
        </w:rPr>
        <w:t>of</w:t>
      </w:r>
      <w:r>
        <w:rPr>
          <w:spacing w:val="-2"/>
          <w:w w:val="105"/>
        </w:rPr>
        <w:t> </w:t>
      </w:r>
      <w:r>
        <w:rPr>
          <w:w w:val="105"/>
        </w:rPr>
        <w:t>the</w:t>
      </w:r>
      <w:r>
        <w:rPr>
          <w:spacing w:val="-2"/>
          <w:w w:val="105"/>
        </w:rPr>
        <w:t> </w:t>
      </w:r>
      <w:r>
        <w:rPr>
          <w:w w:val="105"/>
        </w:rPr>
        <w:t>Initial</w:t>
      </w:r>
      <w:r>
        <w:rPr>
          <w:spacing w:val="-2"/>
          <w:w w:val="105"/>
        </w:rPr>
        <w:t> </w:t>
      </w:r>
      <w:r>
        <w:rPr>
          <w:w w:val="105"/>
        </w:rPr>
        <w:t>Closing</w:t>
      </w:r>
      <w:r>
        <w:rPr>
          <w:spacing w:val="-2"/>
          <w:w w:val="105"/>
        </w:rPr>
        <w:t> </w:t>
      </w:r>
      <w:r>
        <w:rPr>
          <w:w w:val="105"/>
        </w:rPr>
        <w:t>Date.</w:t>
      </w:r>
    </w:p>
    <w:p>
      <w:pPr>
        <w:pStyle w:val="BodyText"/>
        <w:spacing w:before="18"/>
      </w:pPr>
    </w:p>
    <w:p>
      <w:pPr>
        <w:pStyle w:val="ListParagraph"/>
        <w:numPr>
          <w:ilvl w:val="0"/>
          <w:numId w:val="55"/>
        </w:numPr>
        <w:tabs>
          <w:tab w:pos="462" w:val="left" w:leader="none"/>
        </w:tabs>
        <w:spacing w:line="266" w:lineRule="auto" w:before="0" w:after="0"/>
        <w:ind w:left="462" w:right="357" w:hanging="306"/>
        <w:jc w:val="left"/>
        <w:rPr>
          <w:sz w:val="16"/>
        </w:rPr>
      </w:pPr>
      <w:r>
        <w:rPr>
          <w:w w:val="105"/>
          <w:sz w:val="16"/>
        </w:rPr>
        <w:t>The</w:t>
      </w:r>
      <w:r>
        <w:rPr>
          <w:spacing w:val="-9"/>
          <w:w w:val="105"/>
          <w:sz w:val="16"/>
        </w:rPr>
        <w:t> </w:t>
      </w:r>
      <w:r>
        <w:rPr>
          <w:w w:val="105"/>
          <w:sz w:val="16"/>
        </w:rPr>
        <w:t>35</w:t>
      </w:r>
      <w:r>
        <w:rPr>
          <w:spacing w:val="-9"/>
          <w:w w:val="105"/>
          <w:sz w:val="16"/>
        </w:rPr>
        <w:t> </w:t>
      </w:r>
      <w:r>
        <w:rPr>
          <w:w w:val="105"/>
          <w:sz w:val="16"/>
        </w:rPr>
        <w:t>million</w:t>
      </w:r>
      <w:r>
        <w:rPr>
          <w:spacing w:val="-10"/>
          <w:w w:val="105"/>
          <w:sz w:val="16"/>
        </w:rPr>
        <w:t> </w:t>
      </w:r>
      <w:r>
        <w:rPr>
          <w:w w:val="105"/>
          <w:sz w:val="16"/>
        </w:rPr>
        <w:t>Common</w:t>
      </w:r>
      <w:r>
        <w:rPr>
          <w:spacing w:val="-9"/>
          <w:w w:val="105"/>
          <w:sz w:val="16"/>
        </w:rPr>
        <w:t> </w:t>
      </w:r>
      <w:r>
        <w:rPr>
          <w:w w:val="105"/>
          <w:sz w:val="16"/>
        </w:rPr>
        <w:t>Shares</w:t>
      </w:r>
      <w:r>
        <w:rPr>
          <w:spacing w:val="-9"/>
          <w:w w:val="105"/>
          <w:sz w:val="16"/>
        </w:rPr>
        <w:t> </w:t>
      </w:r>
      <w:r>
        <w:rPr>
          <w:w w:val="105"/>
          <w:sz w:val="16"/>
        </w:rPr>
        <w:t>repurchased</w:t>
      </w:r>
      <w:r>
        <w:rPr>
          <w:spacing w:val="-10"/>
          <w:w w:val="105"/>
          <w:sz w:val="16"/>
        </w:rPr>
        <w:t> </w:t>
      </w:r>
      <w:r>
        <w:rPr>
          <w:w w:val="105"/>
          <w:sz w:val="16"/>
        </w:rPr>
        <w:t>by</w:t>
      </w:r>
      <w:r>
        <w:rPr>
          <w:spacing w:val="-9"/>
          <w:w w:val="105"/>
          <w:sz w:val="16"/>
        </w:rPr>
        <w:t> </w:t>
      </w:r>
      <w:r>
        <w:rPr>
          <w:w w:val="105"/>
          <w:sz w:val="16"/>
        </w:rPr>
        <w:t>Corning</w:t>
      </w:r>
      <w:r>
        <w:rPr>
          <w:spacing w:val="-9"/>
          <w:w w:val="105"/>
          <w:sz w:val="16"/>
        </w:rPr>
        <w:t> </w:t>
      </w:r>
      <w:r>
        <w:rPr>
          <w:w w:val="105"/>
          <w:sz w:val="16"/>
        </w:rPr>
        <w:t>were</w:t>
      </w:r>
      <w:r>
        <w:rPr>
          <w:spacing w:val="-10"/>
          <w:w w:val="105"/>
          <w:sz w:val="16"/>
        </w:rPr>
        <w:t> </w:t>
      </w:r>
      <w:r>
        <w:rPr>
          <w:w w:val="105"/>
          <w:sz w:val="16"/>
        </w:rPr>
        <w:t>excluded</w:t>
      </w:r>
      <w:r>
        <w:rPr>
          <w:spacing w:val="-9"/>
          <w:w w:val="105"/>
          <w:sz w:val="16"/>
        </w:rPr>
        <w:t> </w:t>
      </w:r>
      <w:r>
        <w:rPr>
          <w:w w:val="105"/>
          <w:sz w:val="16"/>
        </w:rPr>
        <w:t>from</w:t>
      </w:r>
      <w:r>
        <w:rPr>
          <w:spacing w:val="-8"/>
          <w:w w:val="105"/>
          <w:sz w:val="16"/>
        </w:rPr>
        <w:t> </w:t>
      </w:r>
      <w:r>
        <w:rPr>
          <w:w w:val="105"/>
          <w:sz w:val="16"/>
        </w:rPr>
        <w:t>the</w:t>
      </w:r>
      <w:r>
        <w:rPr>
          <w:spacing w:val="-9"/>
          <w:w w:val="105"/>
          <w:sz w:val="16"/>
        </w:rPr>
        <w:t> </w:t>
      </w:r>
      <w:r>
        <w:rPr>
          <w:w w:val="105"/>
          <w:sz w:val="16"/>
        </w:rPr>
        <w:t>weighted-average</w:t>
      </w:r>
      <w:r>
        <w:rPr>
          <w:spacing w:val="-9"/>
          <w:w w:val="105"/>
          <w:sz w:val="16"/>
        </w:rPr>
        <w:t> </w:t>
      </w:r>
      <w:r>
        <w:rPr>
          <w:w w:val="105"/>
          <w:sz w:val="16"/>
        </w:rPr>
        <w:t>common</w:t>
      </w:r>
      <w:r>
        <w:rPr>
          <w:spacing w:val="-10"/>
          <w:w w:val="105"/>
          <w:sz w:val="16"/>
        </w:rPr>
        <w:t> </w:t>
      </w:r>
      <w:r>
        <w:rPr>
          <w:w w:val="105"/>
          <w:sz w:val="16"/>
        </w:rPr>
        <w:t>shares</w:t>
      </w:r>
      <w:r>
        <w:rPr>
          <w:spacing w:val="-9"/>
          <w:w w:val="105"/>
          <w:sz w:val="16"/>
        </w:rPr>
        <w:t> </w:t>
      </w:r>
      <w:r>
        <w:rPr>
          <w:w w:val="105"/>
          <w:sz w:val="16"/>
        </w:rPr>
        <w:t>outstanding</w:t>
      </w:r>
      <w:r>
        <w:rPr>
          <w:spacing w:val="-9"/>
          <w:w w:val="105"/>
          <w:sz w:val="16"/>
        </w:rPr>
        <w:t> </w:t>
      </w:r>
      <w:r>
        <w:rPr>
          <w:w w:val="105"/>
          <w:sz w:val="16"/>
        </w:rPr>
        <w:t>for</w:t>
      </w:r>
      <w:r>
        <w:rPr>
          <w:spacing w:val="-10"/>
          <w:w w:val="105"/>
          <w:sz w:val="16"/>
        </w:rPr>
        <w:t> </w:t>
      </w:r>
      <w:r>
        <w:rPr>
          <w:w w:val="105"/>
          <w:sz w:val="16"/>
        </w:rPr>
        <w:t>the</w:t>
      </w:r>
      <w:r>
        <w:rPr>
          <w:spacing w:val="-9"/>
          <w:w w:val="105"/>
          <w:sz w:val="16"/>
        </w:rPr>
        <w:t> </w:t>
      </w:r>
      <w:r>
        <w:rPr>
          <w:w w:val="105"/>
          <w:sz w:val="16"/>
        </w:rPr>
        <w:t>calculation</w:t>
      </w:r>
      <w:r>
        <w:rPr>
          <w:spacing w:val="-9"/>
          <w:w w:val="105"/>
          <w:sz w:val="16"/>
        </w:rPr>
        <w:t> </w:t>
      </w:r>
      <w:r>
        <w:rPr>
          <w:w w:val="105"/>
          <w:sz w:val="16"/>
        </w:rPr>
        <w:t>of</w:t>
      </w:r>
      <w:r>
        <w:rPr>
          <w:spacing w:val="-10"/>
          <w:w w:val="105"/>
          <w:sz w:val="16"/>
        </w:rPr>
        <w:t> </w:t>
      </w:r>
      <w:r>
        <w:rPr>
          <w:w w:val="105"/>
          <w:sz w:val="16"/>
        </w:rPr>
        <w:t>the</w:t>
      </w:r>
      <w:r>
        <w:rPr>
          <w:spacing w:val="-9"/>
          <w:w w:val="105"/>
          <w:sz w:val="16"/>
        </w:rPr>
        <w:t> </w:t>
      </w:r>
      <w:r>
        <w:rPr>
          <w:w w:val="105"/>
          <w:sz w:val="16"/>
        </w:rPr>
        <w:t>Company’s basic and diluted earnings per share starting on the Initial Closing Date.</w:t>
      </w:r>
    </w:p>
    <w:p>
      <w:pPr>
        <w:pStyle w:val="ListParagraph"/>
        <w:numPr>
          <w:ilvl w:val="0"/>
          <w:numId w:val="55"/>
        </w:numPr>
        <w:tabs>
          <w:tab w:pos="462" w:val="left" w:leader="none"/>
        </w:tabs>
        <w:spacing w:line="266" w:lineRule="auto" w:before="0" w:after="0"/>
        <w:ind w:left="462" w:right="111" w:hanging="306"/>
        <w:jc w:val="left"/>
        <w:rPr>
          <w:sz w:val="16"/>
        </w:rPr>
      </w:pPr>
      <w:r>
        <w:rPr>
          <w:w w:val="105"/>
          <w:sz w:val="16"/>
        </w:rPr>
        <w:t>The</w:t>
      </w:r>
      <w:r>
        <w:rPr>
          <w:spacing w:val="-8"/>
          <w:w w:val="105"/>
          <w:sz w:val="16"/>
        </w:rPr>
        <w:t> </w:t>
      </w:r>
      <w:r>
        <w:rPr>
          <w:w w:val="105"/>
          <w:sz w:val="16"/>
        </w:rPr>
        <w:t>Common</w:t>
      </w:r>
      <w:r>
        <w:rPr>
          <w:spacing w:val="-8"/>
          <w:w w:val="105"/>
          <w:sz w:val="16"/>
        </w:rPr>
        <w:t> </w:t>
      </w:r>
      <w:r>
        <w:rPr>
          <w:w w:val="105"/>
          <w:sz w:val="16"/>
        </w:rPr>
        <w:t>Shares</w:t>
      </w:r>
      <w:r>
        <w:rPr>
          <w:spacing w:val="-8"/>
          <w:w w:val="105"/>
          <w:sz w:val="16"/>
        </w:rPr>
        <w:t> </w:t>
      </w:r>
      <w:r>
        <w:rPr>
          <w:w w:val="105"/>
          <w:sz w:val="16"/>
        </w:rPr>
        <w:t>repurchased</w:t>
      </w:r>
      <w:r>
        <w:rPr>
          <w:spacing w:val="-8"/>
          <w:w w:val="105"/>
          <w:sz w:val="16"/>
        </w:rPr>
        <w:t> </w:t>
      </w:r>
      <w:r>
        <w:rPr>
          <w:w w:val="105"/>
          <w:sz w:val="16"/>
        </w:rPr>
        <w:t>were</w:t>
      </w:r>
      <w:r>
        <w:rPr>
          <w:spacing w:val="-6"/>
          <w:w w:val="105"/>
          <w:sz w:val="16"/>
        </w:rPr>
        <w:t> </w:t>
      </w:r>
      <w:r>
        <w:rPr>
          <w:w w:val="105"/>
          <w:sz w:val="16"/>
        </w:rPr>
        <w:t>accounted</w:t>
      </w:r>
      <w:r>
        <w:rPr>
          <w:spacing w:val="-8"/>
          <w:w w:val="105"/>
          <w:sz w:val="16"/>
        </w:rPr>
        <w:t> </w:t>
      </w:r>
      <w:r>
        <w:rPr>
          <w:w w:val="105"/>
          <w:sz w:val="16"/>
        </w:rPr>
        <w:t>for</w:t>
      </w:r>
      <w:r>
        <w:rPr>
          <w:spacing w:val="-8"/>
          <w:w w:val="105"/>
          <w:sz w:val="16"/>
        </w:rPr>
        <w:t> </w:t>
      </w:r>
      <w:r>
        <w:rPr>
          <w:w w:val="105"/>
          <w:sz w:val="16"/>
        </w:rPr>
        <w:t>as</w:t>
      </w:r>
      <w:r>
        <w:rPr>
          <w:spacing w:val="-8"/>
          <w:w w:val="105"/>
          <w:sz w:val="16"/>
        </w:rPr>
        <w:t> </w:t>
      </w:r>
      <w:r>
        <w:rPr>
          <w:w w:val="105"/>
          <w:sz w:val="16"/>
        </w:rPr>
        <w:t>a</w:t>
      </w:r>
      <w:r>
        <w:rPr>
          <w:spacing w:val="-8"/>
          <w:w w:val="105"/>
          <w:sz w:val="16"/>
        </w:rPr>
        <w:t> </w:t>
      </w:r>
      <w:r>
        <w:rPr>
          <w:w w:val="105"/>
          <w:sz w:val="16"/>
        </w:rPr>
        <w:t>redemption</w:t>
      </w:r>
      <w:r>
        <w:rPr>
          <w:spacing w:val="-8"/>
          <w:w w:val="105"/>
          <w:sz w:val="16"/>
        </w:rPr>
        <w:t> </w:t>
      </w:r>
      <w:r>
        <w:rPr>
          <w:w w:val="105"/>
          <w:sz w:val="16"/>
        </w:rPr>
        <w:t>of</w:t>
      </w:r>
      <w:r>
        <w:rPr>
          <w:spacing w:val="-8"/>
          <w:w w:val="105"/>
          <w:sz w:val="16"/>
        </w:rPr>
        <w:t> </w:t>
      </w:r>
      <w:r>
        <w:rPr>
          <w:w w:val="105"/>
          <w:sz w:val="16"/>
        </w:rPr>
        <w:t>Preferred</w:t>
      </w:r>
      <w:r>
        <w:rPr>
          <w:spacing w:val="-8"/>
          <w:w w:val="105"/>
          <w:sz w:val="16"/>
        </w:rPr>
        <w:t> </w:t>
      </w:r>
      <w:r>
        <w:rPr>
          <w:w w:val="105"/>
          <w:sz w:val="16"/>
        </w:rPr>
        <w:t>Stock.</w:t>
      </w:r>
      <w:r>
        <w:rPr>
          <w:spacing w:val="-8"/>
          <w:w w:val="105"/>
          <w:sz w:val="16"/>
        </w:rPr>
        <w:t> </w:t>
      </w:r>
      <w:r>
        <w:rPr>
          <w:w w:val="105"/>
          <w:sz w:val="16"/>
        </w:rPr>
        <w:t>The</w:t>
      </w:r>
      <w:r>
        <w:rPr>
          <w:spacing w:val="-8"/>
          <w:w w:val="105"/>
          <w:sz w:val="16"/>
        </w:rPr>
        <w:t> </w:t>
      </w:r>
      <w:r>
        <w:rPr>
          <w:w w:val="105"/>
          <w:sz w:val="16"/>
        </w:rPr>
        <w:t>excess</w:t>
      </w:r>
      <w:r>
        <w:rPr>
          <w:spacing w:val="-8"/>
          <w:w w:val="105"/>
          <w:sz w:val="16"/>
        </w:rPr>
        <w:t> </w:t>
      </w:r>
      <w:r>
        <w:rPr>
          <w:w w:val="105"/>
          <w:sz w:val="16"/>
        </w:rPr>
        <w:t>of</w:t>
      </w:r>
      <w:r>
        <w:rPr>
          <w:spacing w:val="-8"/>
          <w:w w:val="105"/>
          <w:sz w:val="16"/>
        </w:rPr>
        <w:t> </w:t>
      </w:r>
      <w:r>
        <w:rPr>
          <w:w w:val="105"/>
          <w:sz w:val="16"/>
        </w:rPr>
        <w:t>the</w:t>
      </w:r>
      <w:r>
        <w:rPr>
          <w:spacing w:val="-8"/>
          <w:w w:val="105"/>
          <w:sz w:val="16"/>
        </w:rPr>
        <w:t> </w:t>
      </w:r>
      <w:r>
        <w:rPr>
          <w:w w:val="105"/>
          <w:sz w:val="16"/>
        </w:rPr>
        <w:t>$1.5</w:t>
      </w:r>
      <w:r>
        <w:rPr>
          <w:spacing w:val="-8"/>
          <w:w w:val="105"/>
          <w:sz w:val="16"/>
        </w:rPr>
        <w:t> </w:t>
      </w:r>
      <w:r>
        <w:rPr>
          <w:w w:val="105"/>
          <w:sz w:val="16"/>
        </w:rPr>
        <w:t>billion</w:t>
      </w:r>
      <w:r>
        <w:rPr>
          <w:spacing w:val="-8"/>
          <w:w w:val="105"/>
          <w:sz w:val="16"/>
        </w:rPr>
        <w:t> </w:t>
      </w:r>
      <w:r>
        <w:rPr>
          <w:w w:val="105"/>
          <w:sz w:val="16"/>
        </w:rPr>
        <w:t>consideration</w:t>
      </w:r>
      <w:r>
        <w:rPr>
          <w:spacing w:val="-8"/>
          <w:w w:val="105"/>
          <w:sz w:val="16"/>
        </w:rPr>
        <w:t> </w:t>
      </w:r>
      <w:r>
        <w:rPr>
          <w:w w:val="105"/>
          <w:sz w:val="16"/>
        </w:rPr>
        <w:t>paid</w:t>
      </w:r>
      <w:r>
        <w:rPr>
          <w:spacing w:val="-8"/>
          <w:w w:val="105"/>
          <w:sz w:val="16"/>
        </w:rPr>
        <w:t> </w:t>
      </w:r>
      <w:r>
        <w:rPr>
          <w:w w:val="105"/>
          <w:sz w:val="16"/>
        </w:rPr>
        <w:t>over</w:t>
      </w:r>
      <w:r>
        <w:rPr>
          <w:spacing w:val="-8"/>
          <w:w w:val="105"/>
          <w:sz w:val="16"/>
        </w:rPr>
        <w:t> </w:t>
      </w:r>
      <w:r>
        <w:rPr>
          <w:w w:val="105"/>
          <w:sz w:val="16"/>
        </w:rPr>
        <w:t>the</w:t>
      </w:r>
      <w:r>
        <w:rPr>
          <w:spacing w:val="-8"/>
          <w:w w:val="105"/>
          <w:sz w:val="16"/>
        </w:rPr>
        <w:t> </w:t>
      </w:r>
      <w:r>
        <w:rPr>
          <w:w w:val="105"/>
          <w:sz w:val="16"/>
        </w:rPr>
        <w:t>carrying</w:t>
      </w:r>
      <w:r>
        <w:rPr>
          <w:spacing w:val="-8"/>
          <w:w w:val="105"/>
          <w:sz w:val="16"/>
        </w:rPr>
        <w:t> </w:t>
      </w:r>
      <w:r>
        <w:rPr>
          <w:w w:val="105"/>
          <w:sz w:val="16"/>
        </w:rPr>
        <w:t>value</w:t>
      </w:r>
      <w:r>
        <w:rPr>
          <w:spacing w:val="-8"/>
          <w:w w:val="105"/>
          <w:sz w:val="16"/>
        </w:rPr>
        <w:t> </w:t>
      </w:r>
      <w:r>
        <w:rPr>
          <w:w w:val="105"/>
          <w:sz w:val="16"/>
        </w:rPr>
        <w:t>of</w:t>
      </w:r>
      <w:r>
        <w:rPr>
          <w:spacing w:val="-8"/>
          <w:w w:val="105"/>
          <w:sz w:val="16"/>
        </w:rPr>
        <w:t> </w:t>
      </w:r>
      <w:r>
        <w:rPr>
          <w:w w:val="105"/>
          <w:sz w:val="16"/>
        </w:rPr>
        <w:t>the Preferred Stock reduced the net income available to common shareholders by $803 million.</w:t>
      </w:r>
    </w:p>
    <w:p>
      <w:pPr>
        <w:pStyle w:val="BodyText"/>
        <w:spacing w:before="18"/>
      </w:pPr>
    </w:p>
    <w:p>
      <w:pPr>
        <w:pStyle w:val="BodyText"/>
        <w:spacing w:line="266" w:lineRule="auto" w:before="1"/>
        <w:ind w:left="156"/>
      </w:pPr>
      <w:r>
        <w:rPr>
          <w:w w:val="105"/>
        </w:rPr>
        <w:t>The</w:t>
      </w:r>
      <w:r>
        <w:rPr>
          <w:spacing w:val="-8"/>
          <w:w w:val="105"/>
        </w:rPr>
        <w:t> </w:t>
      </w:r>
      <w:r>
        <w:rPr>
          <w:w w:val="105"/>
        </w:rPr>
        <w:t>remaining</w:t>
      </w:r>
      <w:r>
        <w:rPr>
          <w:spacing w:val="-8"/>
          <w:w w:val="105"/>
        </w:rPr>
        <w:t> </w:t>
      </w:r>
      <w:r>
        <w:rPr>
          <w:w w:val="105"/>
        </w:rPr>
        <w:t>80</w:t>
      </w:r>
      <w:r>
        <w:rPr>
          <w:spacing w:val="-8"/>
          <w:w w:val="105"/>
        </w:rPr>
        <w:t> </w:t>
      </w:r>
      <w:r>
        <w:rPr>
          <w:w w:val="105"/>
        </w:rPr>
        <w:t>million</w:t>
      </w:r>
      <w:r>
        <w:rPr>
          <w:spacing w:val="-8"/>
          <w:w w:val="105"/>
        </w:rPr>
        <w:t> </w:t>
      </w:r>
      <w:r>
        <w:rPr>
          <w:w w:val="105"/>
        </w:rPr>
        <w:t>Common</w:t>
      </w:r>
      <w:r>
        <w:rPr>
          <w:spacing w:val="-8"/>
          <w:w w:val="105"/>
        </w:rPr>
        <w:t> </w:t>
      </w:r>
      <w:r>
        <w:rPr>
          <w:w w:val="105"/>
        </w:rPr>
        <w:t>Shares</w:t>
      </w:r>
      <w:r>
        <w:rPr>
          <w:spacing w:val="-8"/>
          <w:w w:val="105"/>
        </w:rPr>
        <w:t> </w:t>
      </w:r>
      <w:r>
        <w:rPr>
          <w:w w:val="105"/>
        </w:rPr>
        <w:t>were</w:t>
      </w:r>
      <w:r>
        <w:rPr>
          <w:spacing w:val="-8"/>
          <w:w w:val="105"/>
        </w:rPr>
        <w:t> </w:t>
      </w:r>
      <w:r>
        <w:rPr>
          <w:w w:val="105"/>
        </w:rPr>
        <w:t>accounted</w:t>
      </w:r>
      <w:r>
        <w:rPr>
          <w:spacing w:val="-8"/>
          <w:w w:val="105"/>
        </w:rPr>
        <w:t> </w:t>
      </w:r>
      <w:r>
        <w:rPr>
          <w:w w:val="105"/>
        </w:rPr>
        <w:t>for</w:t>
      </w:r>
      <w:r>
        <w:rPr>
          <w:spacing w:val="-8"/>
          <w:w w:val="105"/>
        </w:rPr>
        <w:t> </w:t>
      </w:r>
      <w:r>
        <w:rPr>
          <w:w w:val="105"/>
        </w:rPr>
        <w:t>as</w:t>
      </w:r>
      <w:r>
        <w:rPr>
          <w:spacing w:val="-7"/>
          <w:w w:val="105"/>
        </w:rPr>
        <w:t> </w:t>
      </w:r>
      <w:r>
        <w:rPr>
          <w:w w:val="105"/>
        </w:rPr>
        <w:t>a</w:t>
      </w:r>
      <w:r>
        <w:rPr>
          <w:spacing w:val="-8"/>
          <w:w w:val="105"/>
        </w:rPr>
        <w:t> </w:t>
      </w:r>
      <w:r>
        <w:rPr>
          <w:w w:val="105"/>
        </w:rPr>
        <w:t>conversion</w:t>
      </w:r>
      <w:r>
        <w:rPr>
          <w:spacing w:val="-8"/>
          <w:w w:val="105"/>
        </w:rPr>
        <w:t> </w:t>
      </w:r>
      <w:r>
        <w:rPr>
          <w:w w:val="105"/>
        </w:rPr>
        <w:t>of</w:t>
      </w:r>
      <w:r>
        <w:rPr>
          <w:spacing w:val="-8"/>
          <w:w w:val="105"/>
        </w:rPr>
        <w:t> </w:t>
      </w:r>
      <w:r>
        <w:rPr>
          <w:w w:val="105"/>
        </w:rPr>
        <w:t>Preferred</w:t>
      </w:r>
      <w:r>
        <w:rPr>
          <w:spacing w:val="-8"/>
          <w:w w:val="105"/>
        </w:rPr>
        <w:t> </w:t>
      </w:r>
      <w:r>
        <w:rPr>
          <w:w w:val="105"/>
        </w:rPr>
        <w:t>Stock</w:t>
      </w:r>
      <w:r>
        <w:rPr>
          <w:spacing w:val="-7"/>
          <w:w w:val="105"/>
        </w:rPr>
        <w:t> </w:t>
      </w:r>
      <w:r>
        <w:rPr>
          <w:w w:val="105"/>
        </w:rPr>
        <w:t>and</w:t>
      </w:r>
      <w:r>
        <w:rPr>
          <w:spacing w:val="-8"/>
          <w:w w:val="105"/>
        </w:rPr>
        <w:t> </w:t>
      </w:r>
      <w:r>
        <w:rPr>
          <w:w w:val="105"/>
        </w:rPr>
        <w:t>resulted</w:t>
      </w:r>
      <w:r>
        <w:rPr>
          <w:spacing w:val="-8"/>
          <w:w w:val="105"/>
        </w:rPr>
        <w:t> </w:t>
      </w:r>
      <w:r>
        <w:rPr>
          <w:w w:val="105"/>
        </w:rPr>
        <w:t>in</w:t>
      </w:r>
      <w:r>
        <w:rPr>
          <w:spacing w:val="-8"/>
          <w:w w:val="105"/>
        </w:rPr>
        <w:t> </w:t>
      </w:r>
      <w:r>
        <w:rPr>
          <w:w w:val="105"/>
        </w:rPr>
        <w:t>an</w:t>
      </w:r>
      <w:r>
        <w:rPr>
          <w:spacing w:val="-8"/>
          <w:w w:val="105"/>
        </w:rPr>
        <w:t> </w:t>
      </w:r>
      <w:r>
        <w:rPr>
          <w:w w:val="105"/>
        </w:rPr>
        <w:t>increase</w:t>
      </w:r>
      <w:r>
        <w:rPr>
          <w:spacing w:val="-8"/>
          <w:w w:val="105"/>
        </w:rPr>
        <w:t> </w:t>
      </w:r>
      <w:r>
        <w:rPr>
          <w:w w:val="105"/>
        </w:rPr>
        <w:t>of</w:t>
      </w:r>
      <w:r>
        <w:rPr>
          <w:spacing w:val="-8"/>
          <w:w w:val="105"/>
        </w:rPr>
        <w:t> </w:t>
      </w:r>
      <w:r>
        <w:rPr>
          <w:w w:val="105"/>
        </w:rPr>
        <w:t>common</w:t>
      </w:r>
      <w:r>
        <w:rPr>
          <w:spacing w:val="-8"/>
          <w:w w:val="105"/>
        </w:rPr>
        <w:t> </w:t>
      </w:r>
      <w:r>
        <w:rPr>
          <w:w w:val="105"/>
        </w:rPr>
        <w:t>stock</w:t>
      </w:r>
      <w:r>
        <w:rPr>
          <w:spacing w:val="-8"/>
          <w:w w:val="105"/>
        </w:rPr>
        <w:t> </w:t>
      </w:r>
      <w:r>
        <w:rPr>
          <w:w w:val="105"/>
        </w:rPr>
        <w:t>and</w:t>
      </w:r>
      <w:r>
        <w:rPr>
          <w:spacing w:val="-8"/>
          <w:w w:val="105"/>
        </w:rPr>
        <w:t> </w:t>
      </w:r>
      <w:r>
        <w:rPr>
          <w:w w:val="105"/>
        </w:rPr>
        <w:t>additional</w:t>
      </w:r>
      <w:r>
        <w:rPr>
          <w:spacing w:val="-8"/>
          <w:w w:val="105"/>
        </w:rPr>
        <w:t> </w:t>
      </w:r>
      <w:r>
        <w:rPr>
          <w:w w:val="105"/>
        </w:rPr>
        <w:t>paid-in-capital based</w:t>
      </w:r>
      <w:r>
        <w:rPr>
          <w:spacing w:val="-2"/>
          <w:w w:val="105"/>
        </w:rPr>
        <w:t> </w:t>
      </w:r>
      <w:r>
        <w:rPr>
          <w:w w:val="105"/>
        </w:rPr>
        <w:t>on</w:t>
      </w:r>
      <w:r>
        <w:rPr>
          <w:spacing w:val="-2"/>
          <w:w w:val="105"/>
        </w:rPr>
        <w:t> </w:t>
      </w:r>
      <w:r>
        <w:rPr>
          <w:w w:val="105"/>
        </w:rPr>
        <w:t>the</w:t>
      </w:r>
      <w:r>
        <w:rPr>
          <w:spacing w:val="-2"/>
          <w:w w:val="105"/>
        </w:rPr>
        <w:t> </w:t>
      </w:r>
      <w:r>
        <w:rPr>
          <w:w w:val="105"/>
        </w:rPr>
        <w:t>carrying</w:t>
      </w:r>
      <w:r>
        <w:rPr>
          <w:spacing w:val="-2"/>
          <w:w w:val="105"/>
        </w:rPr>
        <w:t> </w:t>
      </w:r>
      <w:r>
        <w:rPr>
          <w:w w:val="105"/>
        </w:rPr>
        <w:t>value</w:t>
      </w:r>
      <w:r>
        <w:rPr>
          <w:spacing w:val="-2"/>
          <w:w w:val="105"/>
        </w:rPr>
        <w:t> </w:t>
      </w:r>
      <w:r>
        <w:rPr>
          <w:w w:val="105"/>
        </w:rPr>
        <w:t>of</w:t>
      </w:r>
      <w:r>
        <w:rPr>
          <w:spacing w:val="-2"/>
          <w:w w:val="105"/>
        </w:rPr>
        <w:t> </w:t>
      </w:r>
      <w:r>
        <w:rPr>
          <w:w w:val="105"/>
        </w:rPr>
        <w:t>the</w:t>
      </w:r>
      <w:r>
        <w:rPr>
          <w:spacing w:val="-2"/>
          <w:w w:val="105"/>
        </w:rPr>
        <w:t> </w:t>
      </w:r>
      <w:r>
        <w:rPr>
          <w:w w:val="105"/>
        </w:rPr>
        <w:t>Preferred</w:t>
      </w:r>
      <w:r>
        <w:rPr>
          <w:spacing w:val="-2"/>
          <w:w w:val="105"/>
        </w:rPr>
        <w:t> </w:t>
      </w:r>
      <w:r>
        <w:rPr>
          <w:w w:val="105"/>
        </w:rPr>
        <w:t>Stock</w:t>
      </w:r>
      <w:r>
        <w:rPr>
          <w:spacing w:val="-2"/>
          <w:w w:val="105"/>
        </w:rPr>
        <w:t> </w:t>
      </w:r>
      <w:r>
        <w:rPr>
          <w:w w:val="105"/>
        </w:rPr>
        <w:t>and</w:t>
      </w:r>
      <w:r>
        <w:rPr>
          <w:spacing w:val="-2"/>
          <w:w w:val="105"/>
        </w:rPr>
        <w:t> </w:t>
      </w:r>
      <w:r>
        <w:rPr>
          <w:w w:val="105"/>
        </w:rPr>
        <w:t>were included</w:t>
      </w:r>
      <w:r>
        <w:rPr>
          <w:spacing w:val="-2"/>
          <w:w w:val="105"/>
        </w:rPr>
        <w:t> </w:t>
      </w:r>
      <w:r>
        <w:rPr>
          <w:w w:val="105"/>
        </w:rPr>
        <w:t>in</w:t>
      </w:r>
      <w:r>
        <w:rPr>
          <w:spacing w:val="-2"/>
          <w:w w:val="105"/>
        </w:rPr>
        <w:t> </w:t>
      </w:r>
      <w:r>
        <w:rPr>
          <w:w w:val="105"/>
        </w:rPr>
        <w:t>the</w:t>
      </w:r>
      <w:r>
        <w:rPr>
          <w:spacing w:val="-2"/>
          <w:w w:val="105"/>
        </w:rPr>
        <w:t> </w:t>
      </w:r>
      <w:r>
        <w:rPr>
          <w:w w:val="105"/>
        </w:rPr>
        <w:t>weighted-average</w:t>
      </w:r>
      <w:r>
        <w:rPr>
          <w:spacing w:val="-2"/>
          <w:w w:val="105"/>
        </w:rPr>
        <w:t> </w:t>
      </w:r>
      <w:r>
        <w:rPr>
          <w:w w:val="105"/>
        </w:rPr>
        <w:t>common</w:t>
      </w:r>
      <w:r>
        <w:rPr>
          <w:spacing w:val="-2"/>
          <w:w w:val="105"/>
        </w:rPr>
        <w:t> </w:t>
      </w:r>
      <w:r>
        <w:rPr>
          <w:w w:val="105"/>
        </w:rPr>
        <w:t>shares</w:t>
      </w:r>
      <w:r>
        <w:rPr>
          <w:spacing w:val="-2"/>
          <w:w w:val="105"/>
        </w:rPr>
        <w:t> </w:t>
      </w:r>
      <w:r>
        <w:rPr>
          <w:w w:val="105"/>
        </w:rPr>
        <w:t>outstanding for</w:t>
      </w:r>
      <w:r>
        <w:rPr>
          <w:spacing w:val="-2"/>
          <w:w w:val="105"/>
        </w:rPr>
        <w:t> </w:t>
      </w:r>
      <w:r>
        <w:rPr>
          <w:w w:val="105"/>
        </w:rPr>
        <w:t>the</w:t>
      </w:r>
      <w:r>
        <w:rPr>
          <w:spacing w:val="-2"/>
          <w:w w:val="105"/>
        </w:rPr>
        <w:t> </w:t>
      </w:r>
      <w:r>
        <w:rPr>
          <w:w w:val="105"/>
        </w:rPr>
        <w:t>calculation</w:t>
      </w:r>
      <w:r>
        <w:rPr>
          <w:spacing w:val="-2"/>
          <w:w w:val="105"/>
        </w:rPr>
        <w:t> </w:t>
      </w:r>
      <w:r>
        <w:rPr>
          <w:w w:val="105"/>
        </w:rPr>
        <w:t>of the</w:t>
      </w:r>
      <w:r>
        <w:rPr>
          <w:spacing w:val="-2"/>
          <w:w w:val="105"/>
        </w:rPr>
        <w:t> </w:t>
      </w:r>
      <w:r>
        <w:rPr>
          <w:w w:val="105"/>
        </w:rPr>
        <w:t>Company’s</w:t>
      </w:r>
      <w:r>
        <w:rPr>
          <w:spacing w:val="-2"/>
          <w:w w:val="105"/>
        </w:rPr>
        <w:t> </w:t>
      </w:r>
      <w:r>
        <w:rPr>
          <w:w w:val="105"/>
        </w:rPr>
        <w:t>basic</w:t>
      </w:r>
      <w:r>
        <w:rPr>
          <w:spacing w:val="-2"/>
          <w:w w:val="105"/>
        </w:rPr>
        <w:t> </w:t>
      </w:r>
      <w:r>
        <w:rPr>
          <w:w w:val="105"/>
        </w:rPr>
        <w:t>and diluted earnings per share.</w:t>
      </w:r>
    </w:p>
    <w:p>
      <w:pPr>
        <w:pStyle w:val="BodyText"/>
        <w:spacing w:before="18"/>
      </w:pPr>
    </w:p>
    <w:p>
      <w:pPr>
        <w:pStyle w:val="BodyText"/>
        <w:ind w:left="156"/>
      </w:pPr>
      <w:r>
        <w:rPr>
          <w:w w:val="105"/>
        </w:rPr>
        <w:t>Pursuant</w:t>
      </w:r>
      <w:r>
        <w:rPr>
          <w:spacing w:val="-9"/>
          <w:w w:val="105"/>
        </w:rPr>
        <w:t> </w:t>
      </w:r>
      <w:r>
        <w:rPr>
          <w:w w:val="105"/>
        </w:rPr>
        <w:t>to</w:t>
      </w:r>
      <w:r>
        <w:rPr>
          <w:spacing w:val="-8"/>
          <w:w w:val="105"/>
        </w:rPr>
        <w:t> </w:t>
      </w:r>
      <w:r>
        <w:rPr>
          <w:w w:val="105"/>
        </w:rPr>
        <w:t>the</w:t>
      </w:r>
      <w:r>
        <w:rPr>
          <w:spacing w:val="-8"/>
          <w:w w:val="105"/>
        </w:rPr>
        <w:t> </w:t>
      </w:r>
      <w:r>
        <w:rPr>
          <w:w w:val="105"/>
        </w:rPr>
        <w:t>SRA,</w:t>
      </w:r>
      <w:r>
        <w:rPr>
          <w:spacing w:val="-8"/>
          <w:w w:val="105"/>
        </w:rPr>
        <w:t> </w:t>
      </w:r>
      <w:r>
        <w:rPr>
          <w:w w:val="105"/>
        </w:rPr>
        <w:t>with</w:t>
      </w:r>
      <w:r>
        <w:rPr>
          <w:spacing w:val="-8"/>
          <w:w w:val="105"/>
        </w:rPr>
        <w:t> </w:t>
      </w:r>
      <w:r>
        <w:rPr>
          <w:w w:val="105"/>
        </w:rPr>
        <w:t>respect</w:t>
      </w:r>
      <w:r>
        <w:rPr>
          <w:spacing w:val="-8"/>
          <w:w w:val="105"/>
        </w:rPr>
        <w:t> </w:t>
      </w:r>
      <w:r>
        <w:rPr>
          <w:w w:val="105"/>
        </w:rPr>
        <w:t>to</w:t>
      </w:r>
      <w:r>
        <w:rPr>
          <w:spacing w:val="-8"/>
          <w:w w:val="105"/>
        </w:rPr>
        <w:t> </w:t>
      </w:r>
      <w:r>
        <w:rPr>
          <w:w w:val="105"/>
        </w:rPr>
        <w:t>the</w:t>
      </w:r>
      <w:r>
        <w:rPr>
          <w:spacing w:val="-8"/>
          <w:w w:val="105"/>
        </w:rPr>
        <w:t> </w:t>
      </w:r>
      <w:r>
        <w:rPr>
          <w:w w:val="105"/>
        </w:rPr>
        <w:t>80</w:t>
      </w:r>
      <w:r>
        <w:rPr>
          <w:spacing w:val="-8"/>
          <w:w w:val="105"/>
        </w:rPr>
        <w:t> </w:t>
      </w:r>
      <w:r>
        <w:rPr>
          <w:w w:val="105"/>
        </w:rPr>
        <w:t>million</w:t>
      </w:r>
      <w:r>
        <w:rPr>
          <w:spacing w:val="-8"/>
          <w:w w:val="105"/>
        </w:rPr>
        <w:t> </w:t>
      </w:r>
      <w:r>
        <w:rPr>
          <w:w w:val="105"/>
        </w:rPr>
        <w:t>Common</w:t>
      </w:r>
      <w:r>
        <w:rPr>
          <w:spacing w:val="-8"/>
          <w:w w:val="105"/>
        </w:rPr>
        <w:t> </w:t>
      </w:r>
      <w:r>
        <w:rPr>
          <w:w w:val="105"/>
        </w:rPr>
        <w:t>Shares</w:t>
      </w:r>
      <w:r>
        <w:rPr>
          <w:spacing w:val="-8"/>
          <w:w w:val="105"/>
        </w:rPr>
        <w:t> </w:t>
      </w:r>
      <w:r>
        <w:rPr>
          <w:w w:val="105"/>
        </w:rPr>
        <w:t>outstanding</w:t>
      </w:r>
      <w:r>
        <w:rPr>
          <w:spacing w:val="-8"/>
          <w:w w:val="105"/>
        </w:rPr>
        <w:t> </w:t>
      </w:r>
      <w:r>
        <w:rPr>
          <w:w w:val="105"/>
        </w:rPr>
        <w:t>held</w:t>
      </w:r>
      <w:r>
        <w:rPr>
          <w:spacing w:val="-8"/>
          <w:w w:val="105"/>
        </w:rPr>
        <w:t> </w:t>
      </w:r>
      <w:r>
        <w:rPr>
          <w:w w:val="105"/>
        </w:rPr>
        <w:t>by</w:t>
      </w:r>
      <w:r>
        <w:rPr>
          <w:spacing w:val="-8"/>
          <w:w w:val="105"/>
        </w:rPr>
        <w:t> </w:t>
      </w:r>
      <w:r>
        <w:rPr>
          <w:spacing w:val="-4"/>
          <w:w w:val="105"/>
        </w:rPr>
        <w:t>SDC:</w:t>
      </w:r>
    </w:p>
    <w:p>
      <w:pPr>
        <w:pStyle w:val="BodyText"/>
        <w:spacing w:before="40"/>
      </w:pPr>
    </w:p>
    <w:p>
      <w:pPr>
        <w:pStyle w:val="ListParagraph"/>
        <w:numPr>
          <w:ilvl w:val="0"/>
          <w:numId w:val="55"/>
        </w:numPr>
        <w:tabs>
          <w:tab w:pos="462" w:val="left" w:leader="none"/>
        </w:tabs>
        <w:spacing w:line="266" w:lineRule="auto" w:before="0" w:after="0"/>
        <w:ind w:left="462" w:right="232" w:hanging="306"/>
        <w:jc w:val="left"/>
        <w:rPr>
          <w:sz w:val="16"/>
        </w:rPr>
      </w:pPr>
      <w:r>
        <w:rPr>
          <w:w w:val="105"/>
          <w:sz w:val="16"/>
        </w:rPr>
        <w:t>SDC</w:t>
      </w:r>
      <w:r>
        <w:rPr>
          <w:spacing w:val="-5"/>
          <w:w w:val="105"/>
          <w:sz w:val="16"/>
        </w:rPr>
        <w:t> </w:t>
      </w:r>
      <w:r>
        <w:rPr>
          <w:w w:val="105"/>
          <w:sz w:val="16"/>
        </w:rPr>
        <w:t>has</w:t>
      </w:r>
      <w:r>
        <w:rPr>
          <w:spacing w:val="-5"/>
          <w:w w:val="105"/>
          <w:sz w:val="16"/>
        </w:rPr>
        <w:t> </w:t>
      </w:r>
      <w:r>
        <w:rPr>
          <w:w w:val="105"/>
          <w:sz w:val="16"/>
        </w:rPr>
        <w:t>the</w:t>
      </w:r>
      <w:r>
        <w:rPr>
          <w:spacing w:val="-5"/>
          <w:w w:val="105"/>
          <w:sz w:val="16"/>
        </w:rPr>
        <w:t> </w:t>
      </w:r>
      <w:r>
        <w:rPr>
          <w:w w:val="105"/>
          <w:sz w:val="16"/>
        </w:rPr>
        <w:t>option</w:t>
      </w:r>
      <w:r>
        <w:rPr>
          <w:spacing w:val="-5"/>
          <w:w w:val="105"/>
          <w:sz w:val="16"/>
        </w:rPr>
        <w:t> </w:t>
      </w:r>
      <w:r>
        <w:rPr>
          <w:w w:val="105"/>
          <w:sz w:val="16"/>
        </w:rPr>
        <w:t>to</w:t>
      </w:r>
      <w:r>
        <w:rPr>
          <w:spacing w:val="-5"/>
          <w:w w:val="105"/>
          <w:sz w:val="16"/>
        </w:rPr>
        <w:t> </w:t>
      </w:r>
      <w:r>
        <w:rPr>
          <w:w w:val="105"/>
          <w:sz w:val="16"/>
        </w:rPr>
        <w:t>sell</w:t>
      </w:r>
      <w:r>
        <w:rPr>
          <w:spacing w:val="-5"/>
          <w:w w:val="105"/>
          <w:sz w:val="16"/>
        </w:rPr>
        <w:t> </w:t>
      </w:r>
      <w:r>
        <w:rPr>
          <w:w w:val="105"/>
          <w:sz w:val="16"/>
        </w:rPr>
        <w:t>an</w:t>
      </w:r>
      <w:r>
        <w:rPr>
          <w:spacing w:val="-5"/>
          <w:w w:val="105"/>
          <w:sz w:val="16"/>
        </w:rPr>
        <w:t> </w:t>
      </w:r>
      <w:r>
        <w:rPr>
          <w:w w:val="105"/>
          <w:sz w:val="16"/>
        </w:rPr>
        <w:t>additional</w:t>
      </w:r>
      <w:r>
        <w:rPr>
          <w:spacing w:val="-5"/>
          <w:w w:val="105"/>
          <w:sz w:val="16"/>
        </w:rPr>
        <w:t> </w:t>
      </w:r>
      <w:r>
        <w:rPr>
          <w:w w:val="105"/>
          <w:sz w:val="16"/>
        </w:rPr>
        <w:t>22</w:t>
      </w:r>
      <w:r>
        <w:rPr>
          <w:spacing w:val="-5"/>
          <w:w w:val="105"/>
          <w:sz w:val="16"/>
        </w:rPr>
        <w:t> </w:t>
      </w:r>
      <w:r>
        <w:rPr>
          <w:w w:val="105"/>
          <w:sz w:val="16"/>
        </w:rPr>
        <w:t>million</w:t>
      </w:r>
      <w:r>
        <w:rPr>
          <w:spacing w:val="-5"/>
          <w:w w:val="105"/>
          <w:sz w:val="16"/>
        </w:rPr>
        <w:t> </w:t>
      </w:r>
      <w:r>
        <w:rPr>
          <w:w w:val="105"/>
          <w:sz w:val="16"/>
        </w:rPr>
        <w:t>Common</w:t>
      </w:r>
      <w:r>
        <w:rPr>
          <w:spacing w:val="-5"/>
          <w:w w:val="105"/>
          <w:sz w:val="16"/>
        </w:rPr>
        <w:t> </w:t>
      </w:r>
      <w:r>
        <w:rPr>
          <w:w w:val="105"/>
          <w:sz w:val="16"/>
        </w:rPr>
        <w:t>Shares</w:t>
      </w:r>
      <w:r>
        <w:rPr>
          <w:spacing w:val="-5"/>
          <w:w w:val="105"/>
          <w:sz w:val="16"/>
        </w:rPr>
        <w:t> </w:t>
      </w:r>
      <w:r>
        <w:rPr>
          <w:w w:val="105"/>
          <w:sz w:val="16"/>
        </w:rPr>
        <w:t>to</w:t>
      </w:r>
      <w:r>
        <w:rPr>
          <w:spacing w:val="-5"/>
          <w:w w:val="105"/>
          <w:sz w:val="16"/>
        </w:rPr>
        <w:t> </w:t>
      </w:r>
      <w:r>
        <w:rPr>
          <w:w w:val="105"/>
          <w:sz w:val="16"/>
        </w:rPr>
        <w:t>Corning</w:t>
      </w:r>
      <w:r>
        <w:rPr>
          <w:spacing w:val="-5"/>
          <w:w w:val="105"/>
          <w:sz w:val="16"/>
        </w:rPr>
        <w:t> </w:t>
      </w:r>
      <w:r>
        <w:rPr>
          <w:w w:val="105"/>
          <w:sz w:val="16"/>
        </w:rPr>
        <w:t>in</w:t>
      </w:r>
      <w:r>
        <w:rPr>
          <w:spacing w:val="-5"/>
          <w:w w:val="105"/>
          <w:sz w:val="16"/>
        </w:rPr>
        <w:t> </w:t>
      </w:r>
      <w:r>
        <w:rPr>
          <w:w w:val="105"/>
          <w:sz w:val="16"/>
        </w:rPr>
        <w:t>specified</w:t>
      </w:r>
      <w:r>
        <w:rPr>
          <w:spacing w:val="-5"/>
          <w:w w:val="105"/>
          <w:sz w:val="16"/>
        </w:rPr>
        <w:t> </w:t>
      </w:r>
      <w:r>
        <w:rPr>
          <w:w w:val="105"/>
          <w:sz w:val="16"/>
        </w:rPr>
        <w:t>tranches</w:t>
      </w:r>
      <w:r>
        <w:rPr>
          <w:spacing w:val="-5"/>
          <w:w w:val="105"/>
          <w:sz w:val="16"/>
        </w:rPr>
        <w:t> </w:t>
      </w:r>
      <w:r>
        <w:rPr>
          <w:w w:val="105"/>
          <w:sz w:val="16"/>
        </w:rPr>
        <w:t>from</w:t>
      </w:r>
      <w:r>
        <w:rPr>
          <w:spacing w:val="-3"/>
          <w:w w:val="105"/>
          <w:sz w:val="16"/>
        </w:rPr>
        <w:t> </w:t>
      </w:r>
      <w:r>
        <w:rPr>
          <w:w w:val="105"/>
          <w:sz w:val="16"/>
        </w:rPr>
        <w:t>time</w:t>
      </w:r>
      <w:r>
        <w:rPr>
          <w:spacing w:val="-5"/>
          <w:w w:val="105"/>
          <w:sz w:val="16"/>
        </w:rPr>
        <w:t> </w:t>
      </w:r>
      <w:r>
        <w:rPr>
          <w:w w:val="105"/>
          <w:sz w:val="16"/>
        </w:rPr>
        <w:t>to</w:t>
      </w:r>
      <w:r>
        <w:rPr>
          <w:spacing w:val="-5"/>
          <w:w w:val="105"/>
          <w:sz w:val="16"/>
        </w:rPr>
        <w:t> </w:t>
      </w:r>
      <w:r>
        <w:rPr>
          <w:w w:val="105"/>
          <w:sz w:val="16"/>
        </w:rPr>
        <w:t>time</w:t>
      </w:r>
      <w:r>
        <w:rPr>
          <w:spacing w:val="-5"/>
          <w:w w:val="105"/>
          <w:sz w:val="16"/>
        </w:rPr>
        <w:t> </w:t>
      </w:r>
      <w:r>
        <w:rPr>
          <w:w w:val="105"/>
          <w:sz w:val="16"/>
        </w:rPr>
        <w:t>in</w:t>
      </w:r>
      <w:r>
        <w:rPr>
          <w:spacing w:val="-5"/>
          <w:w w:val="105"/>
          <w:sz w:val="16"/>
        </w:rPr>
        <w:t> </w:t>
      </w:r>
      <w:r>
        <w:rPr>
          <w:w w:val="105"/>
          <w:sz w:val="16"/>
        </w:rPr>
        <w:t>calendar</w:t>
      </w:r>
      <w:r>
        <w:rPr>
          <w:spacing w:val="-5"/>
          <w:w w:val="105"/>
          <w:sz w:val="16"/>
        </w:rPr>
        <w:t> </w:t>
      </w:r>
      <w:r>
        <w:rPr>
          <w:w w:val="105"/>
          <w:sz w:val="16"/>
        </w:rPr>
        <w:t>years</w:t>
      </w:r>
      <w:r>
        <w:rPr>
          <w:spacing w:val="-5"/>
          <w:w w:val="105"/>
          <w:sz w:val="16"/>
        </w:rPr>
        <w:t> </w:t>
      </w:r>
      <w:r>
        <w:rPr>
          <w:w w:val="105"/>
          <w:sz w:val="16"/>
        </w:rPr>
        <w:t>2024</w:t>
      </w:r>
      <w:r>
        <w:rPr>
          <w:spacing w:val="-5"/>
          <w:w w:val="105"/>
          <w:sz w:val="16"/>
        </w:rPr>
        <w:t> </w:t>
      </w:r>
      <w:r>
        <w:rPr>
          <w:w w:val="105"/>
          <w:sz w:val="16"/>
        </w:rPr>
        <w:t>through</w:t>
      </w:r>
      <w:r>
        <w:rPr>
          <w:spacing w:val="-5"/>
          <w:w w:val="105"/>
          <w:sz w:val="16"/>
        </w:rPr>
        <w:t> </w:t>
      </w:r>
      <w:r>
        <w:rPr>
          <w:w w:val="105"/>
          <w:sz w:val="16"/>
        </w:rPr>
        <w:t>2027.</w:t>
      </w:r>
      <w:r>
        <w:rPr>
          <w:spacing w:val="33"/>
          <w:w w:val="105"/>
          <w:sz w:val="16"/>
        </w:rPr>
        <w:t> </w:t>
      </w:r>
      <w:r>
        <w:rPr>
          <w:w w:val="105"/>
          <w:sz w:val="16"/>
        </w:rPr>
        <w:t>Corning may,</w:t>
      </w:r>
      <w:r>
        <w:rPr>
          <w:spacing w:val="-8"/>
          <w:w w:val="105"/>
          <w:sz w:val="16"/>
        </w:rPr>
        <w:t> </w:t>
      </w:r>
      <w:r>
        <w:rPr>
          <w:w w:val="105"/>
          <w:sz w:val="16"/>
        </w:rPr>
        <w:t>at</w:t>
      </w:r>
      <w:r>
        <w:rPr>
          <w:spacing w:val="-8"/>
          <w:w w:val="105"/>
          <w:sz w:val="16"/>
        </w:rPr>
        <w:t> </w:t>
      </w:r>
      <w:r>
        <w:rPr>
          <w:w w:val="105"/>
          <w:sz w:val="16"/>
        </w:rPr>
        <w:t>its</w:t>
      </w:r>
      <w:r>
        <w:rPr>
          <w:spacing w:val="-8"/>
          <w:w w:val="105"/>
          <w:sz w:val="16"/>
        </w:rPr>
        <w:t> </w:t>
      </w:r>
      <w:r>
        <w:rPr>
          <w:w w:val="105"/>
          <w:sz w:val="16"/>
        </w:rPr>
        <w:t>sole</w:t>
      </w:r>
      <w:r>
        <w:rPr>
          <w:spacing w:val="-8"/>
          <w:w w:val="105"/>
          <w:sz w:val="16"/>
        </w:rPr>
        <w:t> </w:t>
      </w:r>
      <w:r>
        <w:rPr>
          <w:w w:val="105"/>
          <w:sz w:val="16"/>
        </w:rPr>
        <w:t>discretion,</w:t>
      </w:r>
      <w:r>
        <w:rPr>
          <w:spacing w:val="-6"/>
          <w:w w:val="105"/>
          <w:sz w:val="16"/>
        </w:rPr>
        <w:t> </w:t>
      </w:r>
      <w:r>
        <w:rPr>
          <w:w w:val="105"/>
          <w:sz w:val="16"/>
        </w:rPr>
        <w:t>elect</w:t>
      </w:r>
      <w:r>
        <w:rPr>
          <w:spacing w:val="-8"/>
          <w:w w:val="105"/>
          <w:sz w:val="16"/>
        </w:rPr>
        <w:t> </w:t>
      </w:r>
      <w:r>
        <w:rPr>
          <w:w w:val="105"/>
          <w:sz w:val="16"/>
        </w:rPr>
        <w:t>to</w:t>
      </w:r>
      <w:r>
        <w:rPr>
          <w:spacing w:val="-8"/>
          <w:w w:val="105"/>
          <w:sz w:val="16"/>
        </w:rPr>
        <w:t> </w:t>
      </w:r>
      <w:r>
        <w:rPr>
          <w:w w:val="105"/>
          <w:sz w:val="16"/>
        </w:rPr>
        <w:t>repurchase</w:t>
      </w:r>
      <w:r>
        <w:rPr>
          <w:spacing w:val="-8"/>
          <w:w w:val="105"/>
          <w:sz w:val="16"/>
        </w:rPr>
        <w:t> </w:t>
      </w:r>
      <w:r>
        <w:rPr>
          <w:w w:val="105"/>
          <w:sz w:val="16"/>
        </w:rPr>
        <w:t>such</w:t>
      </w:r>
      <w:r>
        <w:rPr>
          <w:spacing w:val="-8"/>
          <w:w w:val="105"/>
          <w:sz w:val="16"/>
        </w:rPr>
        <w:t> </w:t>
      </w:r>
      <w:r>
        <w:rPr>
          <w:w w:val="105"/>
          <w:sz w:val="16"/>
        </w:rPr>
        <w:t>Common</w:t>
      </w:r>
      <w:r>
        <w:rPr>
          <w:spacing w:val="-8"/>
          <w:w w:val="105"/>
          <w:sz w:val="16"/>
        </w:rPr>
        <w:t> </w:t>
      </w:r>
      <w:r>
        <w:rPr>
          <w:w w:val="105"/>
          <w:sz w:val="16"/>
        </w:rPr>
        <w:t>Shares.</w:t>
      </w:r>
      <w:r>
        <w:rPr>
          <w:spacing w:val="-8"/>
          <w:w w:val="105"/>
          <w:sz w:val="16"/>
        </w:rPr>
        <w:t> </w:t>
      </w:r>
      <w:r>
        <w:rPr>
          <w:w w:val="105"/>
          <w:sz w:val="16"/>
        </w:rPr>
        <w:t>If</w:t>
      </w:r>
      <w:r>
        <w:rPr>
          <w:spacing w:val="-8"/>
          <w:w w:val="105"/>
          <w:sz w:val="16"/>
        </w:rPr>
        <w:t> </w:t>
      </w:r>
      <w:r>
        <w:rPr>
          <w:w w:val="105"/>
          <w:sz w:val="16"/>
        </w:rPr>
        <w:t>Corning</w:t>
      </w:r>
      <w:r>
        <w:rPr>
          <w:spacing w:val="-8"/>
          <w:w w:val="105"/>
          <w:sz w:val="16"/>
        </w:rPr>
        <w:t> </w:t>
      </w:r>
      <w:r>
        <w:rPr>
          <w:w w:val="105"/>
          <w:sz w:val="16"/>
        </w:rPr>
        <w:t>elects</w:t>
      </w:r>
      <w:r>
        <w:rPr>
          <w:spacing w:val="-7"/>
          <w:w w:val="105"/>
          <w:sz w:val="16"/>
        </w:rPr>
        <w:t> </w:t>
      </w:r>
      <w:r>
        <w:rPr>
          <w:w w:val="105"/>
          <w:sz w:val="16"/>
        </w:rPr>
        <w:t>not</w:t>
      </w:r>
      <w:r>
        <w:rPr>
          <w:spacing w:val="-8"/>
          <w:w w:val="105"/>
          <w:sz w:val="16"/>
        </w:rPr>
        <w:t> </w:t>
      </w:r>
      <w:r>
        <w:rPr>
          <w:w w:val="105"/>
          <w:sz w:val="16"/>
        </w:rPr>
        <w:t>to</w:t>
      </w:r>
      <w:r>
        <w:rPr>
          <w:spacing w:val="-8"/>
          <w:w w:val="105"/>
          <w:sz w:val="16"/>
        </w:rPr>
        <w:t> </w:t>
      </w:r>
      <w:r>
        <w:rPr>
          <w:w w:val="105"/>
          <w:sz w:val="16"/>
        </w:rPr>
        <w:t>repurchase</w:t>
      </w:r>
      <w:r>
        <w:rPr>
          <w:spacing w:val="-8"/>
          <w:w w:val="105"/>
          <w:sz w:val="16"/>
        </w:rPr>
        <w:t> </w:t>
      </w:r>
      <w:r>
        <w:rPr>
          <w:w w:val="105"/>
          <w:sz w:val="16"/>
        </w:rPr>
        <w:t>the</w:t>
      </w:r>
      <w:r>
        <w:rPr>
          <w:spacing w:val="-8"/>
          <w:w w:val="105"/>
          <w:sz w:val="16"/>
        </w:rPr>
        <w:t> </w:t>
      </w:r>
      <w:r>
        <w:rPr>
          <w:w w:val="105"/>
          <w:sz w:val="16"/>
        </w:rPr>
        <w:t>Common</w:t>
      </w:r>
      <w:r>
        <w:rPr>
          <w:spacing w:val="-8"/>
          <w:w w:val="105"/>
          <w:sz w:val="16"/>
        </w:rPr>
        <w:t> </w:t>
      </w:r>
      <w:r>
        <w:rPr>
          <w:w w:val="105"/>
          <w:sz w:val="16"/>
        </w:rPr>
        <w:t>Shares</w:t>
      </w:r>
      <w:r>
        <w:rPr>
          <w:spacing w:val="-6"/>
          <w:w w:val="105"/>
          <w:sz w:val="16"/>
        </w:rPr>
        <w:t> </w:t>
      </w:r>
      <w:r>
        <w:rPr>
          <w:w w:val="105"/>
          <w:sz w:val="16"/>
        </w:rPr>
        <w:t>and</w:t>
      </w:r>
      <w:r>
        <w:rPr>
          <w:spacing w:val="-8"/>
          <w:w w:val="105"/>
          <w:sz w:val="16"/>
        </w:rPr>
        <w:t> </w:t>
      </w:r>
      <w:r>
        <w:rPr>
          <w:w w:val="105"/>
          <w:sz w:val="16"/>
        </w:rPr>
        <w:t>SDC</w:t>
      </w:r>
      <w:r>
        <w:rPr>
          <w:spacing w:val="-8"/>
          <w:w w:val="105"/>
          <w:sz w:val="16"/>
        </w:rPr>
        <w:t> </w:t>
      </w:r>
      <w:r>
        <w:rPr>
          <w:w w:val="105"/>
          <w:sz w:val="16"/>
        </w:rPr>
        <w:t>sells</w:t>
      </w:r>
      <w:r>
        <w:rPr>
          <w:spacing w:val="-8"/>
          <w:w w:val="105"/>
          <w:sz w:val="16"/>
        </w:rPr>
        <w:t> </w:t>
      </w:r>
      <w:r>
        <w:rPr>
          <w:w w:val="105"/>
          <w:sz w:val="16"/>
        </w:rPr>
        <w:t>the</w:t>
      </w:r>
      <w:r>
        <w:rPr>
          <w:spacing w:val="-8"/>
          <w:w w:val="105"/>
          <w:sz w:val="16"/>
        </w:rPr>
        <w:t> </w:t>
      </w:r>
      <w:r>
        <w:rPr>
          <w:w w:val="105"/>
          <w:sz w:val="16"/>
        </w:rPr>
        <w:t>Common</w:t>
      </w:r>
      <w:r>
        <w:rPr>
          <w:spacing w:val="-8"/>
          <w:w w:val="105"/>
          <w:sz w:val="16"/>
        </w:rPr>
        <w:t> </w:t>
      </w:r>
      <w:r>
        <w:rPr>
          <w:w w:val="105"/>
          <w:sz w:val="16"/>
        </w:rPr>
        <w:t>Shares</w:t>
      </w:r>
      <w:r>
        <w:rPr>
          <w:spacing w:val="-8"/>
          <w:w w:val="105"/>
          <w:sz w:val="16"/>
        </w:rPr>
        <w:t> </w:t>
      </w:r>
      <w:r>
        <w:rPr>
          <w:w w:val="105"/>
          <w:sz w:val="16"/>
        </w:rPr>
        <w:t>on</w:t>
      </w:r>
      <w:r>
        <w:rPr>
          <w:spacing w:val="-8"/>
          <w:w w:val="105"/>
          <w:sz w:val="16"/>
        </w:rPr>
        <w:t> </w:t>
      </w:r>
      <w:r>
        <w:rPr>
          <w:w w:val="105"/>
          <w:sz w:val="16"/>
        </w:rPr>
        <w:t>the open</w:t>
      </w:r>
      <w:r>
        <w:rPr>
          <w:spacing w:val="-1"/>
          <w:w w:val="105"/>
          <w:sz w:val="16"/>
        </w:rPr>
        <w:t> </w:t>
      </w:r>
      <w:r>
        <w:rPr>
          <w:w w:val="105"/>
          <w:sz w:val="16"/>
        </w:rPr>
        <w:t>market,</w:t>
      </w:r>
      <w:r>
        <w:rPr>
          <w:spacing w:val="-1"/>
          <w:w w:val="105"/>
          <w:sz w:val="16"/>
        </w:rPr>
        <w:t> </w:t>
      </w:r>
      <w:r>
        <w:rPr>
          <w:w w:val="105"/>
          <w:sz w:val="16"/>
        </w:rPr>
        <w:t>Corning</w:t>
      </w:r>
      <w:r>
        <w:rPr>
          <w:spacing w:val="-1"/>
          <w:w w:val="105"/>
          <w:sz w:val="16"/>
        </w:rPr>
        <w:t> </w:t>
      </w:r>
      <w:r>
        <w:rPr>
          <w:w w:val="105"/>
          <w:sz w:val="16"/>
        </w:rPr>
        <w:t>will</w:t>
      </w:r>
      <w:r>
        <w:rPr>
          <w:spacing w:val="-1"/>
          <w:w w:val="105"/>
          <w:sz w:val="16"/>
        </w:rPr>
        <w:t> </w:t>
      </w:r>
      <w:r>
        <w:rPr>
          <w:w w:val="105"/>
          <w:sz w:val="16"/>
        </w:rPr>
        <w:t>be</w:t>
      </w:r>
      <w:r>
        <w:rPr>
          <w:spacing w:val="-1"/>
          <w:w w:val="105"/>
          <w:sz w:val="16"/>
        </w:rPr>
        <w:t> </w:t>
      </w:r>
      <w:r>
        <w:rPr>
          <w:w w:val="105"/>
          <w:sz w:val="16"/>
        </w:rPr>
        <w:t>required</w:t>
      </w:r>
      <w:r>
        <w:rPr>
          <w:spacing w:val="-1"/>
          <w:w w:val="105"/>
          <w:sz w:val="16"/>
        </w:rPr>
        <w:t> </w:t>
      </w:r>
      <w:r>
        <w:rPr>
          <w:w w:val="105"/>
          <w:sz w:val="16"/>
        </w:rPr>
        <w:t>to</w:t>
      </w:r>
      <w:r>
        <w:rPr>
          <w:spacing w:val="-1"/>
          <w:w w:val="105"/>
          <w:sz w:val="16"/>
        </w:rPr>
        <w:t> </w:t>
      </w:r>
      <w:r>
        <w:rPr>
          <w:w w:val="105"/>
          <w:sz w:val="16"/>
        </w:rPr>
        <w:t>pay</w:t>
      </w:r>
      <w:r>
        <w:rPr>
          <w:spacing w:val="-1"/>
          <w:w w:val="105"/>
          <w:sz w:val="16"/>
        </w:rPr>
        <w:t> </w:t>
      </w:r>
      <w:r>
        <w:rPr>
          <w:w w:val="105"/>
          <w:sz w:val="16"/>
        </w:rPr>
        <w:t>SDC</w:t>
      </w:r>
      <w:r>
        <w:rPr>
          <w:spacing w:val="-1"/>
          <w:w w:val="105"/>
          <w:sz w:val="16"/>
        </w:rPr>
        <w:t> </w:t>
      </w:r>
      <w:r>
        <w:rPr>
          <w:w w:val="105"/>
          <w:sz w:val="16"/>
        </w:rPr>
        <w:t>a</w:t>
      </w:r>
      <w:r>
        <w:rPr>
          <w:spacing w:val="-1"/>
          <w:w w:val="105"/>
          <w:sz w:val="16"/>
        </w:rPr>
        <w:t> </w:t>
      </w:r>
      <w:r>
        <w:rPr>
          <w:w w:val="105"/>
          <w:sz w:val="16"/>
        </w:rPr>
        <w:t>make-whole</w:t>
      </w:r>
      <w:r>
        <w:rPr>
          <w:spacing w:val="-1"/>
          <w:w w:val="105"/>
          <w:sz w:val="16"/>
        </w:rPr>
        <w:t> </w:t>
      </w:r>
      <w:r>
        <w:rPr>
          <w:w w:val="105"/>
          <w:sz w:val="16"/>
        </w:rPr>
        <w:t>payment,</w:t>
      </w:r>
      <w:r>
        <w:rPr>
          <w:spacing w:val="-1"/>
          <w:w w:val="105"/>
          <w:sz w:val="16"/>
        </w:rPr>
        <w:t> </w:t>
      </w:r>
      <w:r>
        <w:rPr>
          <w:w w:val="105"/>
          <w:sz w:val="16"/>
        </w:rPr>
        <w:t>subject</w:t>
      </w:r>
      <w:r>
        <w:rPr>
          <w:spacing w:val="-1"/>
          <w:w w:val="105"/>
          <w:sz w:val="16"/>
        </w:rPr>
        <w:t> </w:t>
      </w:r>
      <w:r>
        <w:rPr>
          <w:w w:val="105"/>
          <w:sz w:val="16"/>
        </w:rPr>
        <w:t>to</w:t>
      </w:r>
      <w:r>
        <w:rPr>
          <w:spacing w:val="-1"/>
          <w:w w:val="105"/>
          <w:sz w:val="16"/>
        </w:rPr>
        <w:t> </w:t>
      </w:r>
      <w:r>
        <w:rPr>
          <w:w w:val="105"/>
          <w:sz w:val="16"/>
        </w:rPr>
        <w:t>a</w:t>
      </w:r>
      <w:r>
        <w:rPr>
          <w:spacing w:val="-1"/>
          <w:w w:val="105"/>
          <w:sz w:val="16"/>
        </w:rPr>
        <w:t> </w:t>
      </w:r>
      <w:r>
        <w:rPr>
          <w:w w:val="105"/>
          <w:sz w:val="16"/>
        </w:rPr>
        <w:t>5%</w:t>
      </w:r>
      <w:r>
        <w:rPr>
          <w:spacing w:val="-1"/>
          <w:w w:val="105"/>
          <w:sz w:val="16"/>
        </w:rPr>
        <w:t> </w:t>
      </w:r>
      <w:r>
        <w:rPr>
          <w:w w:val="105"/>
          <w:sz w:val="16"/>
        </w:rPr>
        <w:t>cap</w:t>
      </w:r>
      <w:r>
        <w:rPr>
          <w:spacing w:val="-1"/>
          <w:w w:val="105"/>
          <w:sz w:val="16"/>
        </w:rPr>
        <w:t> </w:t>
      </w:r>
      <w:r>
        <w:rPr>
          <w:w w:val="105"/>
          <w:sz w:val="16"/>
        </w:rPr>
        <w:t>of</w:t>
      </w:r>
      <w:r>
        <w:rPr>
          <w:spacing w:val="-1"/>
          <w:w w:val="105"/>
          <w:sz w:val="16"/>
        </w:rPr>
        <w:t> </w:t>
      </w:r>
      <w:r>
        <w:rPr>
          <w:w w:val="105"/>
          <w:sz w:val="16"/>
        </w:rPr>
        <w:t>the</w:t>
      </w:r>
      <w:r>
        <w:rPr>
          <w:spacing w:val="-1"/>
          <w:w w:val="105"/>
          <w:sz w:val="16"/>
        </w:rPr>
        <w:t> </w:t>
      </w:r>
      <w:r>
        <w:rPr>
          <w:w w:val="105"/>
          <w:sz w:val="16"/>
        </w:rPr>
        <w:t>repurchase</w:t>
      </w:r>
      <w:r>
        <w:rPr>
          <w:spacing w:val="-1"/>
          <w:w w:val="105"/>
          <w:sz w:val="16"/>
        </w:rPr>
        <w:t> </w:t>
      </w:r>
      <w:r>
        <w:rPr>
          <w:w w:val="105"/>
          <w:sz w:val="16"/>
        </w:rPr>
        <w:t>proceeds</w:t>
      </w:r>
      <w:r>
        <w:rPr>
          <w:spacing w:val="-1"/>
          <w:w w:val="105"/>
          <w:sz w:val="16"/>
        </w:rPr>
        <w:t> </w:t>
      </w:r>
      <w:r>
        <w:rPr>
          <w:w w:val="105"/>
          <w:sz w:val="16"/>
        </w:rPr>
        <w:t>that</w:t>
      </w:r>
      <w:r>
        <w:rPr>
          <w:spacing w:val="-1"/>
          <w:w w:val="105"/>
          <w:sz w:val="16"/>
        </w:rPr>
        <w:t> </w:t>
      </w:r>
      <w:r>
        <w:rPr>
          <w:w w:val="105"/>
          <w:sz w:val="16"/>
        </w:rPr>
        <w:t>otherwise</w:t>
      </w:r>
      <w:r>
        <w:rPr>
          <w:spacing w:val="-1"/>
          <w:w w:val="105"/>
          <w:sz w:val="16"/>
        </w:rPr>
        <w:t> </w:t>
      </w:r>
      <w:r>
        <w:rPr>
          <w:w w:val="105"/>
          <w:sz w:val="16"/>
        </w:rPr>
        <w:t>would</w:t>
      </w:r>
      <w:r>
        <w:rPr>
          <w:spacing w:val="-1"/>
          <w:w w:val="105"/>
          <w:sz w:val="16"/>
        </w:rPr>
        <w:t> </w:t>
      </w:r>
      <w:r>
        <w:rPr>
          <w:w w:val="105"/>
          <w:sz w:val="16"/>
        </w:rPr>
        <w:t>have</w:t>
      </w:r>
      <w:r>
        <w:rPr>
          <w:spacing w:val="-1"/>
          <w:w w:val="105"/>
          <w:sz w:val="16"/>
        </w:rPr>
        <w:t> </w:t>
      </w:r>
      <w:r>
        <w:rPr>
          <w:w w:val="105"/>
          <w:sz w:val="16"/>
        </w:rPr>
        <w:t>been</w:t>
      </w:r>
      <w:r>
        <w:rPr>
          <w:spacing w:val="-1"/>
          <w:w w:val="105"/>
          <w:sz w:val="16"/>
        </w:rPr>
        <w:t> </w:t>
      </w:r>
      <w:r>
        <w:rPr>
          <w:w w:val="105"/>
          <w:sz w:val="16"/>
        </w:rPr>
        <w:t>paid</w:t>
      </w:r>
      <w:r>
        <w:rPr>
          <w:spacing w:val="-1"/>
          <w:w w:val="105"/>
          <w:sz w:val="16"/>
        </w:rPr>
        <w:t> </w:t>
      </w:r>
      <w:r>
        <w:rPr>
          <w:w w:val="105"/>
          <w:sz w:val="16"/>
        </w:rPr>
        <w:t>by Corning. As of December 31, 2021, the fair value of the option was $17 million when measured using significant other observable inputs.</w:t>
      </w:r>
    </w:p>
    <w:p>
      <w:pPr>
        <w:pStyle w:val="ListParagraph"/>
        <w:numPr>
          <w:ilvl w:val="0"/>
          <w:numId w:val="55"/>
        </w:numPr>
        <w:tabs>
          <w:tab w:pos="462" w:val="left" w:leader="none"/>
        </w:tabs>
        <w:spacing w:line="182" w:lineRule="exact" w:before="0" w:after="0"/>
        <w:ind w:left="462" w:right="0" w:hanging="306"/>
        <w:jc w:val="left"/>
        <w:rPr>
          <w:sz w:val="16"/>
        </w:rPr>
      </w:pPr>
      <w:r>
        <w:rPr>
          <w:w w:val="105"/>
          <w:sz w:val="16"/>
        </w:rPr>
        <w:t>The</w:t>
      </w:r>
      <w:r>
        <w:rPr>
          <w:spacing w:val="-9"/>
          <w:w w:val="105"/>
          <w:sz w:val="16"/>
        </w:rPr>
        <w:t> </w:t>
      </w:r>
      <w:r>
        <w:rPr>
          <w:w w:val="105"/>
          <w:sz w:val="16"/>
        </w:rPr>
        <w:t>remaining</w:t>
      </w:r>
      <w:r>
        <w:rPr>
          <w:spacing w:val="-8"/>
          <w:w w:val="105"/>
          <w:sz w:val="16"/>
        </w:rPr>
        <w:t> </w:t>
      </w:r>
      <w:r>
        <w:rPr>
          <w:w w:val="105"/>
          <w:sz w:val="16"/>
        </w:rPr>
        <w:t>58</w:t>
      </w:r>
      <w:r>
        <w:rPr>
          <w:spacing w:val="-9"/>
          <w:w w:val="105"/>
          <w:sz w:val="16"/>
        </w:rPr>
        <w:t> </w:t>
      </w:r>
      <w:r>
        <w:rPr>
          <w:w w:val="105"/>
          <w:sz w:val="16"/>
        </w:rPr>
        <w:t>million</w:t>
      </w:r>
      <w:r>
        <w:rPr>
          <w:spacing w:val="-8"/>
          <w:w w:val="105"/>
          <w:sz w:val="16"/>
        </w:rPr>
        <w:t> </w:t>
      </w:r>
      <w:r>
        <w:rPr>
          <w:w w:val="105"/>
          <w:sz w:val="16"/>
        </w:rPr>
        <w:t>shares</w:t>
      </w:r>
      <w:r>
        <w:rPr>
          <w:spacing w:val="-8"/>
          <w:w w:val="105"/>
          <w:sz w:val="16"/>
        </w:rPr>
        <w:t> </w:t>
      </w:r>
      <w:r>
        <w:rPr>
          <w:w w:val="105"/>
          <w:sz w:val="16"/>
        </w:rPr>
        <w:t>of</w:t>
      </w:r>
      <w:r>
        <w:rPr>
          <w:spacing w:val="-9"/>
          <w:w w:val="105"/>
          <w:sz w:val="16"/>
        </w:rPr>
        <w:t> </w:t>
      </w:r>
      <w:r>
        <w:rPr>
          <w:w w:val="105"/>
          <w:sz w:val="16"/>
        </w:rPr>
        <w:t>Common</w:t>
      </w:r>
      <w:r>
        <w:rPr>
          <w:spacing w:val="-8"/>
          <w:w w:val="105"/>
          <w:sz w:val="16"/>
        </w:rPr>
        <w:t> </w:t>
      </w:r>
      <w:r>
        <w:rPr>
          <w:w w:val="105"/>
          <w:sz w:val="16"/>
        </w:rPr>
        <w:t>Shares</w:t>
      </w:r>
      <w:r>
        <w:rPr>
          <w:spacing w:val="-8"/>
          <w:w w:val="105"/>
          <w:sz w:val="16"/>
        </w:rPr>
        <w:t> </w:t>
      </w:r>
      <w:r>
        <w:rPr>
          <w:w w:val="105"/>
          <w:sz w:val="16"/>
        </w:rPr>
        <w:t>are</w:t>
      </w:r>
      <w:r>
        <w:rPr>
          <w:spacing w:val="-9"/>
          <w:w w:val="105"/>
          <w:sz w:val="16"/>
        </w:rPr>
        <w:t> </w:t>
      </w:r>
      <w:r>
        <w:rPr>
          <w:w w:val="105"/>
          <w:sz w:val="16"/>
        </w:rPr>
        <w:t>subject</w:t>
      </w:r>
      <w:r>
        <w:rPr>
          <w:spacing w:val="-8"/>
          <w:w w:val="105"/>
          <w:sz w:val="16"/>
        </w:rPr>
        <w:t> </w:t>
      </w:r>
      <w:r>
        <w:rPr>
          <w:w w:val="105"/>
          <w:sz w:val="16"/>
        </w:rPr>
        <w:t>to</w:t>
      </w:r>
      <w:r>
        <w:rPr>
          <w:spacing w:val="-9"/>
          <w:w w:val="105"/>
          <w:sz w:val="16"/>
        </w:rPr>
        <w:t> </w:t>
      </w:r>
      <w:r>
        <w:rPr>
          <w:w w:val="105"/>
          <w:sz w:val="16"/>
        </w:rPr>
        <w:t>a</w:t>
      </w:r>
      <w:r>
        <w:rPr>
          <w:spacing w:val="-8"/>
          <w:w w:val="105"/>
          <w:sz w:val="16"/>
        </w:rPr>
        <w:t> </w:t>
      </w:r>
      <w:r>
        <w:rPr>
          <w:w w:val="105"/>
          <w:sz w:val="16"/>
        </w:rPr>
        <w:t>seven-year</w:t>
      </w:r>
      <w:r>
        <w:rPr>
          <w:spacing w:val="-8"/>
          <w:w w:val="105"/>
          <w:sz w:val="16"/>
        </w:rPr>
        <w:t> </w:t>
      </w:r>
      <w:r>
        <w:rPr>
          <w:w w:val="105"/>
          <w:sz w:val="16"/>
        </w:rPr>
        <w:t>lock-up</w:t>
      </w:r>
      <w:r>
        <w:rPr>
          <w:spacing w:val="-9"/>
          <w:w w:val="105"/>
          <w:sz w:val="16"/>
        </w:rPr>
        <w:t> </w:t>
      </w:r>
      <w:r>
        <w:rPr>
          <w:w w:val="105"/>
          <w:sz w:val="16"/>
        </w:rPr>
        <w:t>period</w:t>
      </w:r>
      <w:r>
        <w:rPr>
          <w:spacing w:val="-8"/>
          <w:w w:val="105"/>
          <w:sz w:val="16"/>
        </w:rPr>
        <w:t> </w:t>
      </w:r>
      <w:r>
        <w:rPr>
          <w:w w:val="105"/>
          <w:sz w:val="16"/>
        </w:rPr>
        <w:t>expiring</w:t>
      </w:r>
      <w:r>
        <w:rPr>
          <w:spacing w:val="-8"/>
          <w:w w:val="105"/>
          <w:sz w:val="16"/>
        </w:rPr>
        <w:t> </w:t>
      </w:r>
      <w:r>
        <w:rPr>
          <w:w w:val="105"/>
          <w:sz w:val="16"/>
        </w:rPr>
        <w:t>in</w:t>
      </w:r>
      <w:r>
        <w:rPr>
          <w:spacing w:val="-9"/>
          <w:w w:val="105"/>
          <w:sz w:val="16"/>
        </w:rPr>
        <w:t> </w:t>
      </w:r>
      <w:r>
        <w:rPr>
          <w:spacing w:val="-2"/>
          <w:w w:val="105"/>
          <w:sz w:val="16"/>
        </w:rPr>
        <w:t>2027.</w:t>
      </w:r>
    </w:p>
    <w:p>
      <w:pPr>
        <w:pStyle w:val="BodyText"/>
        <w:spacing w:before="39"/>
      </w:pPr>
    </w:p>
    <w:p>
      <w:pPr>
        <w:pStyle w:val="BodyText"/>
        <w:ind w:left="156"/>
      </w:pPr>
      <w:r>
        <w:rPr>
          <w:w w:val="105"/>
        </w:rPr>
        <w:t>Refer</w:t>
      </w:r>
      <w:r>
        <w:rPr>
          <w:spacing w:val="-11"/>
          <w:w w:val="105"/>
        </w:rPr>
        <w:t> </w:t>
      </w:r>
      <w:r>
        <w:rPr>
          <w:w w:val="105"/>
        </w:rPr>
        <w:t>to</w:t>
      </w:r>
      <w:r>
        <w:rPr>
          <w:spacing w:val="-10"/>
          <w:w w:val="105"/>
        </w:rPr>
        <w:t> </w:t>
      </w:r>
      <w:r>
        <w:rPr>
          <w:w w:val="105"/>
        </w:rPr>
        <w:t>Note</w:t>
      </w:r>
      <w:r>
        <w:rPr>
          <w:spacing w:val="-10"/>
          <w:w w:val="105"/>
        </w:rPr>
        <w:t> </w:t>
      </w:r>
      <w:r>
        <w:rPr>
          <w:w w:val="105"/>
        </w:rPr>
        <w:t>16</w:t>
      </w:r>
      <w:r>
        <w:rPr>
          <w:spacing w:val="-10"/>
          <w:w w:val="105"/>
        </w:rPr>
        <w:t> </w:t>
      </w:r>
      <w:r>
        <w:rPr>
          <w:w w:val="105"/>
        </w:rPr>
        <w:t>(Fair</w:t>
      </w:r>
      <w:r>
        <w:rPr>
          <w:spacing w:val="-11"/>
          <w:w w:val="105"/>
        </w:rPr>
        <w:t> </w:t>
      </w:r>
      <w:r>
        <w:rPr>
          <w:w w:val="105"/>
        </w:rPr>
        <w:t>Value</w:t>
      </w:r>
      <w:r>
        <w:rPr>
          <w:spacing w:val="-10"/>
          <w:w w:val="105"/>
        </w:rPr>
        <w:t> </w:t>
      </w:r>
      <w:r>
        <w:rPr>
          <w:w w:val="105"/>
        </w:rPr>
        <w:t>Measurements)</w:t>
      </w:r>
      <w:r>
        <w:rPr>
          <w:spacing w:val="-11"/>
          <w:w w:val="105"/>
        </w:rPr>
        <w:t> </w:t>
      </w:r>
      <w:r>
        <w:rPr>
          <w:w w:val="105"/>
        </w:rPr>
        <w:t>to</w:t>
      </w:r>
      <w:r>
        <w:rPr>
          <w:spacing w:val="-10"/>
          <w:w w:val="105"/>
        </w:rPr>
        <w:t> </w:t>
      </w:r>
      <w:r>
        <w:rPr>
          <w:w w:val="105"/>
        </w:rPr>
        <w:t>the</w:t>
      </w:r>
      <w:r>
        <w:rPr>
          <w:spacing w:val="-10"/>
          <w:w w:val="105"/>
        </w:rPr>
        <w:t> </w:t>
      </w:r>
      <w:r>
        <w:rPr>
          <w:w w:val="105"/>
        </w:rPr>
        <w:t>consolidated</w:t>
      </w:r>
      <w:r>
        <w:rPr>
          <w:spacing w:val="-11"/>
          <w:w w:val="105"/>
        </w:rPr>
        <w:t> </w:t>
      </w:r>
      <w:r>
        <w:rPr>
          <w:w w:val="105"/>
        </w:rPr>
        <w:t>financial</w:t>
      </w:r>
      <w:r>
        <w:rPr>
          <w:spacing w:val="-10"/>
          <w:w w:val="105"/>
        </w:rPr>
        <w:t> </w:t>
      </w:r>
      <w:r>
        <w:rPr>
          <w:w w:val="105"/>
        </w:rPr>
        <w:t>statements</w:t>
      </w:r>
      <w:r>
        <w:rPr>
          <w:spacing w:val="-11"/>
          <w:w w:val="105"/>
        </w:rPr>
        <w:t> </w:t>
      </w:r>
      <w:r>
        <w:rPr>
          <w:w w:val="105"/>
        </w:rPr>
        <w:t>for</w:t>
      </w:r>
      <w:r>
        <w:rPr>
          <w:spacing w:val="-8"/>
          <w:w w:val="105"/>
        </w:rPr>
        <w:t> </w:t>
      </w:r>
      <w:r>
        <w:rPr>
          <w:w w:val="105"/>
        </w:rPr>
        <w:t>additional</w:t>
      </w:r>
      <w:r>
        <w:rPr>
          <w:spacing w:val="-11"/>
          <w:w w:val="105"/>
        </w:rPr>
        <w:t> </w:t>
      </w:r>
      <w:r>
        <w:rPr>
          <w:spacing w:val="-2"/>
          <w:w w:val="105"/>
        </w:rPr>
        <w:t>information</w:t>
      </w:r>
    </w:p>
    <w:p>
      <w:pPr>
        <w:pStyle w:val="BodyText"/>
        <w:spacing w:before="40"/>
      </w:pPr>
    </w:p>
    <w:p>
      <w:pPr>
        <w:pStyle w:val="BodyText"/>
        <w:ind w:left="48"/>
        <w:jc w:val="center"/>
      </w:pPr>
      <w:r>
        <w:rPr>
          <w:spacing w:val="-5"/>
          <w:w w:val="105"/>
        </w:rPr>
        <w:t>106</w:t>
      </w:r>
    </w:p>
    <w:p>
      <w:pPr>
        <w:pStyle w:val="BodyText"/>
        <w:rPr>
          <w:sz w:val="6"/>
        </w:rPr>
      </w:pPr>
      <w:r>
        <w:rPr/>
        <mc:AlternateContent>
          <mc:Choice Requires="wps">
            <w:drawing>
              <wp:anchor distT="0" distB="0" distL="0" distR="0" allowOverlap="1" layoutInCell="1" locked="0" behindDoc="1" simplePos="0" relativeHeight="487736320">
                <wp:simplePos x="0" y="0"/>
                <wp:positionH relativeFrom="page">
                  <wp:posOffset>226488</wp:posOffset>
                </wp:positionH>
                <wp:positionV relativeFrom="paragraph">
                  <wp:posOffset>59178</wp:posOffset>
                </wp:positionV>
                <wp:extent cx="7312659" cy="16510"/>
                <wp:effectExtent l="0" t="0" r="0" b="0"/>
                <wp:wrapTopAndBottom/>
                <wp:docPr id="717" name="Graphic 717"/>
                <wp:cNvGraphicFramePr>
                  <a:graphicFrameLocks/>
                </wp:cNvGraphicFramePr>
                <a:graphic>
                  <a:graphicData uri="http://schemas.microsoft.com/office/word/2010/wordprocessingShape">
                    <wps:wsp>
                      <wps:cNvPr id="717" name="Graphic 71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9689pt;width:575.775087pt;height:1.273839pt;mso-position-horizontal-relative:page;mso-position-vertical-relative:paragraph;z-index:-15580160;mso-wrap-distance-left:0;mso-wrap-distance-right:0" id="docshape716"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pPr>
      <w:r>
        <w:rPr>
          <w:w w:val="105"/>
        </w:rPr>
        <w:t>17.</w:t>
      </w:r>
      <w:r>
        <w:rPr>
          <w:spacing w:val="15"/>
          <w:w w:val="105"/>
        </w:rPr>
        <w:t> </w:t>
      </w:r>
      <w:r>
        <w:rPr>
          <w:w w:val="105"/>
        </w:rPr>
        <w:t>Shareholders</w:t>
      </w:r>
      <w:r>
        <w:rPr>
          <w:b w:val="0"/>
          <w:w w:val="105"/>
        </w:rPr>
        <w:t>’</w:t>
      </w:r>
      <w:r>
        <w:rPr>
          <w:b w:val="0"/>
          <w:spacing w:val="-10"/>
          <w:w w:val="105"/>
        </w:rPr>
        <w:t> </w:t>
      </w:r>
      <w:r>
        <w:rPr>
          <w:w w:val="105"/>
        </w:rPr>
        <w:t>Equity</w:t>
      </w:r>
      <w:r>
        <w:rPr>
          <w:spacing w:val="-11"/>
          <w:w w:val="105"/>
        </w:rPr>
        <w:t> </w:t>
      </w:r>
      <w:r>
        <w:rPr>
          <w:spacing w:val="-2"/>
          <w:w w:val="105"/>
        </w:rPr>
        <w:t>(Continued)</w:t>
      </w:r>
    </w:p>
    <w:p>
      <w:pPr>
        <w:pStyle w:val="BodyText"/>
        <w:spacing w:before="40"/>
        <w:rPr>
          <w:b/>
        </w:rPr>
      </w:pPr>
    </w:p>
    <w:p>
      <w:pPr>
        <w:spacing w:before="0"/>
        <w:ind w:left="156" w:right="0" w:firstLine="0"/>
        <w:jc w:val="left"/>
        <w:rPr>
          <w:b/>
          <w:i/>
          <w:sz w:val="16"/>
        </w:rPr>
      </w:pPr>
      <w:r>
        <w:rPr>
          <w:b/>
          <w:i/>
          <w:w w:val="105"/>
          <w:sz w:val="16"/>
        </w:rPr>
        <w:t>Share</w:t>
      </w:r>
      <w:r>
        <w:rPr>
          <w:b/>
          <w:i/>
          <w:spacing w:val="-9"/>
          <w:w w:val="105"/>
          <w:sz w:val="16"/>
        </w:rPr>
        <w:t> </w:t>
      </w:r>
      <w:r>
        <w:rPr>
          <w:b/>
          <w:i/>
          <w:spacing w:val="-2"/>
          <w:w w:val="105"/>
          <w:sz w:val="16"/>
        </w:rPr>
        <w:t>Repurchases</w:t>
      </w:r>
    </w:p>
    <w:p>
      <w:pPr>
        <w:pStyle w:val="BodyText"/>
        <w:spacing w:before="39"/>
        <w:rPr>
          <w:b/>
          <w:i/>
        </w:rPr>
      </w:pPr>
    </w:p>
    <w:p>
      <w:pPr>
        <w:pStyle w:val="Heading2"/>
      </w:pPr>
      <w:r>
        <w:rPr>
          <w:w w:val="105"/>
        </w:rPr>
        <w:t>2021</w:t>
      </w:r>
      <w:r>
        <w:rPr>
          <w:spacing w:val="-9"/>
          <w:w w:val="105"/>
        </w:rPr>
        <w:t> </w:t>
      </w:r>
      <w:r>
        <w:rPr>
          <w:w w:val="105"/>
        </w:rPr>
        <w:t>Share</w:t>
      </w:r>
      <w:r>
        <w:rPr>
          <w:spacing w:val="-8"/>
          <w:w w:val="105"/>
        </w:rPr>
        <w:t> </w:t>
      </w:r>
      <w:r>
        <w:rPr>
          <w:spacing w:val="-2"/>
          <w:w w:val="105"/>
        </w:rPr>
        <w:t>Repurchases</w:t>
      </w:r>
    </w:p>
    <w:p>
      <w:pPr>
        <w:pStyle w:val="BodyText"/>
        <w:spacing w:line="266" w:lineRule="auto" w:before="20"/>
        <w:ind w:left="156" w:right="328"/>
      </w:pPr>
      <w:r>
        <w:rPr>
          <w:w w:val="105"/>
        </w:rPr>
        <w:t>For</w:t>
      </w:r>
      <w:r>
        <w:rPr>
          <w:spacing w:val="-8"/>
          <w:w w:val="105"/>
        </w:rPr>
        <w:t> </w:t>
      </w:r>
      <w:r>
        <w:rPr>
          <w:w w:val="105"/>
        </w:rPr>
        <w:t>the</w:t>
      </w:r>
      <w:r>
        <w:rPr>
          <w:spacing w:val="-8"/>
          <w:w w:val="105"/>
        </w:rPr>
        <w:t> </w:t>
      </w:r>
      <w:r>
        <w:rPr>
          <w:w w:val="105"/>
        </w:rPr>
        <w:t>year</w:t>
      </w:r>
      <w:r>
        <w:rPr>
          <w:spacing w:val="-8"/>
          <w:w w:val="105"/>
        </w:rPr>
        <w:t> </w:t>
      </w:r>
      <w:r>
        <w:rPr>
          <w:w w:val="105"/>
        </w:rPr>
        <w:t>ended</w:t>
      </w:r>
      <w:r>
        <w:rPr>
          <w:spacing w:val="-7"/>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the</w:t>
      </w:r>
      <w:r>
        <w:rPr>
          <w:spacing w:val="-8"/>
          <w:w w:val="105"/>
        </w:rPr>
        <w:t> </w:t>
      </w:r>
      <w:r>
        <w:rPr>
          <w:w w:val="105"/>
        </w:rPr>
        <w:t>Company</w:t>
      </w:r>
      <w:r>
        <w:rPr>
          <w:spacing w:val="-8"/>
          <w:w w:val="105"/>
        </w:rPr>
        <w:t> </w:t>
      </w:r>
      <w:r>
        <w:rPr>
          <w:w w:val="105"/>
        </w:rPr>
        <w:t>repurchased</w:t>
      </w:r>
      <w:r>
        <w:rPr>
          <w:spacing w:val="-8"/>
          <w:w w:val="105"/>
        </w:rPr>
        <w:t> </w:t>
      </w:r>
      <w:r>
        <w:rPr>
          <w:w w:val="105"/>
        </w:rPr>
        <w:t>7.3</w:t>
      </w:r>
      <w:r>
        <w:rPr>
          <w:spacing w:val="-8"/>
          <w:w w:val="105"/>
        </w:rPr>
        <w:t> </w:t>
      </w:r>
      <w:r>
        <w:rPr>
          <w:w w:val="105"/>
        </w:rPr>
        <w:t>million</w:t>
      </w:r>
      <w:r>
        <w:rPr>
          <w:spacing w:val="-8"/>
          <w:w w:val="105"/>
        </w:rPr>
        <w:t> </w:t>
      </w:r>
      <w:r>
        <w:rPr>
          <w:w w:val="105"/>
        </w:rPr>
        <w:t>shares</w:t>
      </w:r>
      <w:r>
        <w:rPr>
          <w:spacing w:val="-8"/>
          <w:w w:val="105"/>
        </w:rPr>
        <w:t> </w:t>
      </w:r>
      <w:r>
        <w:rPr>
          <w:w w:val="105"/>
        </w:rPr>
        <w:t>of</w:t>
      </w:r>
      <w:r>
        <w:rPr>
          <w:spacing w:val="-8"/>
          <w:w w:val="105"/>
        </w:rPr>
        <w:t> </w:t>
      </w:r>
      <w:r>
        <w:rPr>
          <w:w w:val="105"/>
        </w:rPr>
        <w:t>common</w:t>
      </w:r>
      <w:r>
        <w:rPr>
          <w:spacing w:val="-8"/>
          <w:w w:val="105"/>
        </w:rPr>
        <w:t> </w:t>
      </w:r>
      <w:r>
        <w:rPr>
          <w:w w:val="105"/>
        </w:rPr>
        <w:t>stock</w:t>
      </w:r>
      <w:r>
        <w:rPr>
          <w:spacing w:val="-8"/>
          <w:w w:val="105"/>
        </w:rPr>
        <w:t> </w:t>
      </w:r>
      <w:r>
        <w:rPr>
          <w:w w:val="105"/>
        </w:rPr>
        <w:t>on</w:t>
      </w:r>
      <w:r>
        <w:rPr>
          <w:spacing w:val="-8"/>
          <w:w w:val="105"/>
        </w:rPr>
        <w:t> </w:t>
      </w:r>
      <w:r>
        <w:rPr>
          <w:w w:val="105"/>
        </w:rPr>
        <w:t>the</w:t>
      </w:r>
      <w:r>
        <w:rPr>
          <w:spacing w:val="-8"/>
          <w:w w:val="105"/>
        </w:rPr>
        <w:t> </w:t>
      </w:r>
      <w:r>
        <w:rPr>
          <w:w w:val="105"/>
        </w:rPr>
        <w:t>open</w:t>
      </w:r>
      <w:r>
        <w:rPr>
          <w:spacing w:val="-8"/>
          <w:w w:val="105"/>
        </w:rPr>
        <w:t> </w:t>
      </w:r>
      <w:r>
        <w:rPr>
          <w:w w:val="105"/>
        </w:rPr>
        <w:t>market</w:t>
      </w:r>
      <w:r>
        <w:rPr>
          <w:spacing w:val="-8"/>
          <w:w w:val="105"/>
        </w:rPr>
        <w:t> </w:t>
      </w:r>
      <w:r>
        <w:rPr>
          <w:w w:val="105"/>
        </w:rPr>
        <w:t>for</w:t>
      </w:r>
      <w:r>
        <w:rPr>
          <w:spacing w:val="-8"/>
          <w:w w:val="105"/>
        </w:rPr>
        <w:t> </w:t>
      </w:r>
      <w:r>
        <w:rPr>
          <w:w w:val="105"/>
        </w:rPr>
        <w:t>approximately</w:t>
      </w:r>
      <w:r>
        <w:rPr>
          <w:spacing w:val="-8"/>
          <w:w w:val="105"/>
        </w:rPr>
        <w:t> </w:t>
      </w:r>
      <w:r>
        <w:rPr>
          <w:w w:val="105"/>
        </w:rPr>
        <w:t>$274</w:t>
      </w:r>
      <w:r>
        <w:rPr>
          <w:spacing w:val="-8"/>
          <w:w w:val="105"/>
        </w:rPr>
        <w:t> </w:t>
      </w:r>
      <w:r>
        <w:rPr>
          <w:w w:val="105"/>
        </w:rPr>
        <w:t>million,</w:t>
      </w:r>
      <w:r>
        <w:rPr>
          <w:spacing w:val="-8"/>
          <w:w w:val="105"/>
        </w:rPr>
        <w:t> </w:t>
      </w:r>
      <w:r>
        <w:rPr>
          <w:w w:val="105"/>
        </w:rPr>
        <w:t>as</w:t>
      </w:r>
      <w:r>
        <w:rPr>
          <w:spacing w:val="-8"/>
          <w:w w:val="105"/>
        </w:rPr>
        <w:t> </w:t>
      </w:r>
      <w:r>
        <w:rPr>
          <w:w w:val="105"/>
        </w:rPr>
        <w:t>part</w:t>
      </w:r>
      <w:r>
        <w:rPr>
          <w:spacing w:val="-8"/>
          <w:w w:val="105"/>
        </w:rPr>
        <w:t> </w:t>
      </w:r>
      <w:r>
        <w:rPr>
          <w:w w:val="105"/>
        </w:rPr>
        <w:t>of</w:t>
      </w:r>
      <w:r>
        <w:rPr>
          <w:spacing w:val="-6"/>
          <w:w w:val="105"/>
        </w:rPr>
        <w:t> </w:t>
      </w:r>
      <w:r>
        <w:rPr>
          <w:w w:val="105"/>
        </w:rPr>
        <w:t>its 2019 Repurchase Program.</w:t>
      </w:r>
    </w:p>
    <w:p>
      <w:pPr>
        <w:pStyle w:val="BodyText"/>
        <w:spacing w:before="19"/>
      </w:pPr>
    </w:p>
    <w:p>
      <w:pPr>
        <w:pStyle w:val="BodyText"/>
        <w:spacing w:line="266" w:lineRule="auto"/>
        <w:ind w:left="156"/>
      </w:pPr>
      <w:r>
        <w:rPr>
          <w:w w:val="105"/>
        </w:rPr>
        <w:t>On</w:t>
      </w:r>
      <w:r>
        <w:rPr>
          <w:spacing w:val="-2"/>
          <w:w w:val="105"/>
        </w:rPr>
        <w:t> </w:t>
      </w:r>
      <w:r>
        <w:rPr>
          <w:w w:val="105"/>
        </w:rPr>
        <w:t>April</w:t>
      </w:r>
      <w:r>
        <w:rPr>
          <w:spacing w:val="-2"/>
          <w:w w:val="105"/>
        </w:rPr>
        <w:t> </w:t>
      </w:r>
      <w:r>
        <w:rPr>
          <w:w w:val="105"/>
        </w:rPr>
        <w:t>8,</w:t>
      </w:r>
      <w:r>
        <w:rPr>
          <w:spacing w:val="-2"/>
          <w:w w:val="105"/>
        </w:rPr>
        <w:t> </w:t>
      </w:r>
      <w:r>
        <w:rPr>
          <w:w w:val="105"/>
        </w:rPr>
        <w:t>2021,</w:t>
      </w:r>
      <w:r>
        <w:rPr>
          <w:spacing w:val="-2"/>
          <w:w w:val="105"/>
        </w:rPr>
        <w:t> </w:t>
      </w:r>
      <w:r>
        <w:rPr>
          <w:w w:val="105"/>
        </w:rPr>
        <w:t>the</w:t>
      </w:r>
      <w:r>
        <w:rPr>
          <w:spacing w:val="-2"/>
          <w:w w:val="105"/>
        </w:rPr>
        <w:t> </w:t>
      </w:r>
      <w:r>
        <w:rPr>
          <w:w w:val="105"/>
        </w:rPr>
        <w:t>Company</w:t>
      </w:r>
      <w:r>
        <w:rPr>
          <w:spacing w:val="-2"/>
          <w:w w:val="105"/>
        </w:rPr>
        <w:t> </w:t>
      </w:r>
      <w:r>
        <w:rPr>
          <w:w w:val="105"/>
        </w:rPr>
        <w:t>repurchased</w:t>
      </w:r>
      <w:r>
        <w:rPr>
          <w:spacing w:val="-2"/>
          <w:w w:val="105"/>
        </w:rPr>
        <w:t> </w:t>
      </w:r>
      <w:r>
        <w:rPr>
          <w:w w:val="105"/>
        </w:rPr>
        <w:t>35</w:t>
      </w:r>
      <w:r>
        <w:rPr>
          <w:spacing w:val="-2"/>
          <w:w w:val="105"/>
        </w:rPr>
        <w:t> </w:t>
      </w:r>
      <w:r>
        <w:rPr>
          <w:w w:val="105"/>
        </w:rPr>
        <w:t>million</w:t>
      </w:r>
      <w:r>
        <w:rPr>
          <w:spacing w:val="-2"/>
          <w:w w:val="105"/>
        </w:rPr>
        <w:t> </w:t>
      </w:r>
      <w:r>
        <w:rPr>
          <w:w w:val="105"/>
        </w:rPr>
        <w:t>shares</w:t>
      </w:r>
      <w:r>
        <w:rPr>
          <w:spacing w:val="-2"/>
          <w:w w:val="105"/>
        </w:rPr>
        <w:t> </w:t>
      </w:r>
      <w:r>
        <w:rPr>
          <w:w w:val="105"/>
        </w:rPr>
        <w:t>of</w:t>
      </w:r>
      <w:r>
        <w:rPr>
          <w:spacing w:val="-2"/>
          <w:w w:val="105"/>
        </w:rPr>
        <w:t> </w:t>
      </w:r>
      <w:r>
        <w:rPr>
          <w:w w:val="105"/>
        </w:rPr>
        <w:t>common</w:t>
      </w:r>
      <w:r>
        <w:rPr>
          <w:spacing w:val="-2"/>
          <w:w w:val="105"/>
        </w:rPr>
        <w:t> </w:t>
      </w:r>
      <w:r>
        <w:rPr>
          <w:w w:val="105"/>
        </w:rPr>
        <w:t>stock,</w:t>
      </w:r>
      <w:r>
        <w:rPr>
          <w:spacing w:val="-2"/>
          <w:w w:val="105"/>
        </w:rPr>
        <w:t> </w:t>
      </w:r>
      <w:r>
        <w:rPr>
          <w:w w:val="105"/>
        </w:rPr>
        <w:t>under the</w:t>
      </w:r>
      <w:r>
        <w:rPr>
          <w:spacing w:val="-2"/>
          <w:w w:val="105"/>
        </w:rPr>
        <w:t> </w:t>
      </w:r>
      <w:r>
        <w:rPr>
          <w:w w:val="105"/>
        </w:rPr>
        <w:t>2018</w:t>
      </w:r>
      <w:r>
        <w:rPr>
          <w:spacing w:val="-2"/>
          <w:w w:val="105"/>
        </w:rPr>
        <w:t> </w:t>
      </w:r>
      <w:r>
        <w:rPr>
          <w:w w:val="105"/>
        </w:rPr>
        <w:t>and</w:t>
      </w:r>
      <w:r>
        <w:rPr>
          <w:spacing w:val="-2"/>
          <w:w w:val="105"/>
        </w:rPr>
        <w:t> </w:t>
      </w:r>
      <w:r>
        <w:rPr>
          <w:w w:val="105"/>
        </w:rPr>
        <w:t>2019</w:t>
      </w:r>
      <w:r>
        <w:rPr>
          <w:spacing w:val="-2"/>
          <w:w w:val="105"/>
        </w:rPr>
        <w:t> </w:t>
      </w:r>
      <w:r>
        <w:rPr>
          <w:w w:val="105"/>
        </w:rPr>
        <w:t>Repurchase</w:t>
      </w:r>
      <w:r>
        <w:rPr>
          <w:spacing w:val="-2"/>
          <w:w w:val="105"/>
        </w:rPr>
        <w:t> </w:t>
      </w:r>
      <w:r>
        <w:rPr>
          <w:w w:val="105"/>
        </w:rPr>
        <w:t>Programs,</w:t>
      </w:r>
      <w:r>
        <w:rPr>
          <w:spacing w:val="-2"/>
          <w:w w:val="105"/>
        </w:rPr>
        <w:t> </w:t>
      </w:r>
      <w:r>
        <w:rPr>
          <w:w w:val="105"/>
        </w:rPr>
        <w:t>for</w:t>
      </w:r>
      <w:r>
        <w:rPr>
          <w:spacing w:val="-2"/>
          <w:w w:val="105"/>
        </w:rPr>
        <w:t> </w:t>
      </w:r>
      <w:r>
        <w:rPr>
          <w:w w:val="105"/>
        </w:rPr>
        <w:t>an</w:t>
      </w:r>
      <w:r>
        <w:rPr>
          <w:spacing w:val="-2"/>
          <w:w w:val="105"/>
        </w:rPr>
        <w:t> </w:t>
      </w:r>
      <w:r>
        <w:rPr>
          <w:w w:val="105"/>
        </w:rPr>
        <w:t>aggregate</w:t>
      </w:r>
      <w:r>
        <w:rPr>
          <w:spacing w:val="-2"/>
          <w:w w:val="105"/>
        </w:rPr>
        <w:t> </w:t>
      </w:r>
      <w:r>
        <w:rPr>
          <w:w w:val="105"/>
        </w:rPr>
        <w:t>purchase</w:t>
      </w:r>
      <w:r>
        <w:rPr>
          <w:spacing w:val="-2"/>
          <w:w w:val="105"/>
        </w:rPr>
        <w:t> </w:t>
      </w:r>
      <w:r>
        <w:rPr>
          <w:w w:val="105"/>
        </w:rPr>
        <w:t>price</w:t>
      </w:r>
      <w:r>
        <w:rPr>
          <w:spacing w:val="-2"/>
          <w:w w:val="105"/>
        </w:rPr>
        <w:t> </w:t>
      </w:r>
      <w:r>
        <w:rPr>
          <w:w w:val="105"/>
        </w:rPr>
        <w:t>of approximately</w:t>
      </w:r>
      <w:r>
        <w:rPr>
          <w:spacing w:val="-8"/>
          <w:w w:val="105"/>
        </w:rPr>
        <w:t> </w:t>
      </w:r>
      <w:r>
        <w:rPr>
          <w:w w:val="105"/>
        </w:rPr>
        <w:t>$1.5</w:t>
      </w:r>
      <w:r>
        <w:rPr>
          <w:spacing w:val="-8"/>
          <w:w w:val="105"/>
        </w:rPr>
        <w:t> </w:t>
      </w:r>
      <w:r>
        <w:rPr>
          <w:w w:val="105"/>
        </w:rPr>
        <w:t>billion,</w:t>
      </w:r>
      <w:r>
        <w:rPr>
          <w:spacing w:val="-8"/>
          <w:w w:val="105"/>
        </w:rPr>
        <w:t> </w:t>
      </w:r>
      <w:r>
        <w:rPr>
          <w:w w:val="105"/>
        </w:rPr>
        <w:t>of</w:t>
      </w:r>
      <w:r>
        <w:rPr>
          <w:spacing w:val="-8"/>
          <w:w w:val="105"/>
        </w:rPr>
        <w:t> </w:t>
      </w:r>
      <w:r>
        <w:rPr>
          <w:w w:val="105"/>
        </w:rPr>
        <w:t>which</w:t>
      </w:r>
      <w:r>
        <w:rPr>
          <w:spacing w:val="-8"/>
          <w:w w:val="105"/>
        </w:rPr>
        <w:t> </w:t>
      </w:r>
      <w:r>
        <w:rPr>
          <w:w w:val="105"/>
        </w:rPr>
        <w:t>approximately</w:t>
      </w:r>
      <w:r>
        <w:rPr>
          <w:spacing w:val="-8"/>
          <w:w w:val="105"/>
        </w:rPr>
        <w:t> </w:t>
      </w:r>
      <w:r>
        <w:rPr>
          <w:w w:val="105"/>
        </w:rPr>
        <w:t>$507</w:t>
      </w:r>
      <w:r>
        <w:rPr>
          <w:spacing w:val="-8"/>
          <w:w w:val="105"/>
        </w:rPr>
        <w:t> </w:t>
      </w:r>
      <w:r>
        <w:rPr>
          <w:w w:val="105"/>
        </w:rPr>
        <w:t>million</w:t>
      </w:r>
      <w:r>
        <w:rPr>
          <w:spacing w:val="-8"/>
          <w:w w:val="105"/>
        </w:rPr>
        <w:t> </w:t>
      </w:r>
      <w:r>
        <w:rPr>
          <w:w w:val="105"/>
        </w:rPr>
        <w:t>was</w:t>
      </w:r>
      <w:r>
        <w:rPr>
          <w:spacing w:val="-8"/>
          <w:w w:val="105"/>
        </w:rPr>
        <w:t> </w:t>
      </w:r>
      <w:r>
        <w:rPr>
          <w:w w:val="105"/>
        </w:rPr>
        <w:t>paid</w:t>
      </w:r>
      <w:r>
        <w:rPr>
          <w:spacing w:val="-8"/>
          <w:w w:val="105"/>
        </w:rPr>
        <w:t> </w:t>
      </w:r>
      <w:r>
        <w:rPr>
          <w:w w:val="105"/>
        </w:rPr>
        <w:t>on</w:t>
      </w:r>
      <w:r>
        <w:rPr>
          <w:spacing w:val="-8"/>
          <w:w w:val="105"/>
        </w:rPr>
        <w:t> </w:t>
      </w:r>
      <w:r>
        <w:rPr>
          <w:w w:val="105"/>
        </w:rPr>
        <w:t>the</w:t>
      </w:r>
      <w:r>
        <w:rPr>
          <w:spacing w:val="-8"/>
          <w:w w:val="105"/>
        </w:rPr>
        <w:t> </w:t>
      </w:r>
      <w:r>
        <w:rPr>
          <w:w w:val="105"/>
        </w:rPr>
        <w:t>Initial</w:t>
      </w:r>
      <w:r>
        <w:rPr>
          <w:spacing w:val="-8"/>
          <w:w w:val="105"/>
        </w:rPr>
        <w:t> </w:t>
      </w:r>
      <w:r>
        <w:rPr>
          <w:w w:val="105"/>
        </w:rPr>
        <w:t>Closing</w:t>
      </w:r>
      <w:r>
        <w:rPr>
          <w:spacing w:val="-8"/>
          <w:w w:val="105"/>
        </w:rPr>
        <w:t> </w:t>
      </w:r>
      <w:r>
        <w:rPr>
          <w:w w:val="105"/>
        </w:rPr>
        <w:t>Date.</w:t>
      </w:r>
      <w:r>
        <w:rPr>
          <w:spacing w:val="-8"/>
          <w:w w:val="105"/>
        </w:rPr>
        <w:t> </w:t>
      </w:r>
      <w:r>
        <w:rPr>
          <w:w w:val="105"/>
        </w:rPr>
        <w:t>Subsequent</w:t>
      </w:r>
      <w:r>
        <w:rPr>
          <w:spacing w:val="-8"/>
          <w:w w:val="105"/>
        </w:rPr>
        <w:t> </w:t>
      </w:r>
      <w:r>
        <w:rPr>
          <w:w w:val="105"/>
        </w:rPr>
        <w:t>payments</w:t>
      </w:r>
      <w:r>
        <w:rPr>
          <w:spacing w:val="-8"/>
          <w:w w:val="105"/>
        </w:rPr>
        <w:t> </w:t>
      </w:r>
      <w:r>
        <w:rPr>
          <w:w w:val="105"/>
        </w:rPr>
        <w:t>of</w:t>
      </w:r>
      <w:r>
        <w:rPr>
          <w:spacing w:val="-8"/>
          <w:w w:val="105"/>
        </w:rPr>
        <w:t> </w:t>
      </w:r>
      <w:r>
        <w:rPr>
          <w:w w:val="105"/>
        </w:rPr>
        <w:t>approximately</w:t>
      </w:r>
      <w:r>
        <w:rPr>
          <w:spacing w:val="-8"/>
          <w:w w:val="105"/>
        </w:rPr>
        <w:t> </w:t>
      </w:r>
      <w:r>
        <w:rPr>
          <w:w w:val="105"/>
        </w:rPr>
        <w:t>$507</w:t>
      </w:r>
      <w:r>
        <w:rPr>
          <w:spacing w:val="-8"/>
          <w:w w:val="105"/>
        </w:rPr>
        <w:t> </w:t>
      </w:r>
      <w:r>
        <w:rPr>
          <w:w w:val="105"/>
        </w:rPr>
        <w:t>million</w:t>
      </w:r>
      <w:r>
        <w:rPr>
          <w:spacing w:val="-8"/>
          <w:w w:val="105"/>
        </w:rPr>
        <w:t> </w:t>
      </w:r>
      <w:r>
        <w:rPr>
          <w:w w:val="105"/>
        </w:rPr>
        <w:t>will</w:t>
      </w:r>
      <w:r>
        <w:rPr>
          <w:spacing w:val="-8"/>
          <w:w w:val="105"/>
        </w:rPr>
        <w:t> </w:t>
      </w:r>
      <w:r>
        <w:rPr>
          <w:w w:val="105"/>
        </w:rPr>
        <w:t>be</w:t>
      </w:r>
      <w:r>
        <w:rPr>
          <w:spacing w:val="-8"/>
          <w:w w:val="105"/>
        </w:rPr>
        <w:t> </w:t>
      </w:r>
      <w:r>
        <w:rPr>
          <w:w w:val="105"/>
        </w:rPr>
        <w:t>paid</w:t>
      </w:r>
      <w:r>
        <w:rPr>
          <w:spacing w:val="-8"/>
          <w:w w:val="105"/>
        </w:rPr>
        <w:t> </w:t>
      </w:r>
      <w:r>
        <w:rPr>
          <w:w w:val="105"/>
        </w:rPr>
        <w:t>on each</w:t>
      </w:r>
      <w:r>
        <w:rPr>
          <w:spacing w:val="-2"/>
          <w:w w:val="105"/>
        </w:rPr>
        <w:t> </w:t>
      </w:r>
      <w:r>
        <w:rPr>
          <w:w w:val="105"/>
        </w:rPr>
        <w:t>of</w:t>
      </w:r>
      <w:r>
        <w:rPr>
          <w:spacing w:val="-2"/>
          <w:w w:val="105"/>
        </w:rPr>
        <w:t> </w:t>
      </w:r>
      <w:r>
        <w:rPr>
          <w:w w:val="105"/>
        </w:rPr>
        <w:t>the</w:t>
      </w:r>
      <w:r>
        <w:rPr>
          <w:spacing w:val="-1"/>
          <w:w w:val="105"/>
        </w:rPr>
        <w:t> </w:t>
      </w:r>
      <w:r>
        <w:rPr>
          <w:w w:val="105"/>
        </w:rPr>
        <w:t>first</w:t>
      </w:r>
      <w:r>
        <w:rPr>
          <w:spacing w:val="-1"/>
          <w:w w:val="105"/>
        </w:rPr>
        <w:t> </w:t>
      </w:r>
      <w:r>
        <w:rPr>
          <w:w w:val="105"/>
        </w:rPr>
        <w:t>and</w:t>
      </w:r>
      <w:r>
        <w:rPr>
          <w:spacing w:val="-2"/>
          <w:w w:val="105"/>
        </w:rPr>
        <w:t> </w:t>
      </w:r>
      <w:r>
        <w:rPr>
          <w:w w:val="105"/>
        </w:rPr>
        <w:t>second</w:t>
      </w:r>
      <w:r>
        <w:rPr>
          <w:spacing w:val="-2"/>
          <w:w w:val="105"/>
        </w:rPr>
        <w:t> </w:t>
      </w:r>
      <w:r>
        <w:rPr>
          <w:w w:val="105"/>
        </w:rPr>
        <w:t>anniversaries</w:t>
      </w:r>
      <w:r>
        <w:rPr>
          <w:spacing w:val="-2"/>
          <w:w w:val="105"/>
        </w:rPr>
        <w:t> </w:t>
      </w:r>
      <w:r>
        <w:rPr>
          <w:w w:val="105"/>
        </w:rPr>
        <w:t>of</w:t>
      </w:r>
      <w:r>
        <w:rPr>
          <w:spacing w:val="-2"/>
          <w:w w:val="105"/>
        </w:rPr>
        <w:t> </w:t>
      </w:r>
      <w:r>
        <w:rPr>
          <w:w w:val="105"/>
        </w:rPr>
        <w:t>the</w:t>
      </w:r>
      <w:r>
        <w:rPr>
          <w:spacing w:val="-2"/>
          <w:w w:val="105"/>
        </w:rPr>
        <w:t> </w:t>
      </w:r>
      <w:r>
        <w:rPr>
          <w:w w:val="105"/>
        </w:rPr>
        <w:t>Initial</w:t>
      </w:r>
      <w:r>
        <w:rPr>
          <w:spacing w:val="-2"/>
          <w:w w:val="105"/>
        </w:rPr>
        <w:t> </w:t>
      </w:r>
      <w:r>
        <w:rPr>
          <w:w w:val="105"/>
        </w:rPr>
        <w:t>Closing</w:t>
      </w:r>
      <w:r>
        <w:rPr>
          <w:spacing w:val="-2"/>
          <w:w w:val="105"/>
        </w:rPr>
        <w:t> </w:t>
      </w:r>
      <w:r>
        <w:rPr>
          <w:w w:val="105"/>
        </w:rPr>
        <w:t>Date.</w:t>
      </w:r>
      <w:r>
        <w:rPr>
          <w:spacing w:val="39"/>
          <w:w w:val="105"/>
        </w:rPr>
        <w:t> </w:t>
      </w:r>
      <w:r>
        <w:rPr>
          <w:w w:val="105"/>
        </w:rPr>
        <w:t>These</w:t>
      </w:r>
      <w:r>
        <w:rPr>
          <w:spacing w:val="-2"/>
          <w:w w:val="105"/>
        </w:rPr>
        <w:t> </w:t>
      </w:r>
      <w:r>
        <w:rPr>
          <w:w w:val="105"/>
        </w:rPr>
        <w:t>shares</w:t>
      </w:r>
      <w:r>
        <w:rPr>
          <w:spacing w:val="-2"/>
          <w:w w:val="105"/>
        </w:rPr>
        <w:t> </w:t>
      </w:r>
      <w:r>
        <w:rPr>
          <w:w w:val="105"/>
        </w:rPr>
        <w:t>were</w:t>
      </w:r>
      <w:r>
        <w:rPr>
          <w:spacing w:val="-2"/>
          <w:w w:val="105"/>
        </w:rPr>
        <w:t> </w:t>
      </w:r>
      <w:r>
        <w:rPr>
          <w:w w:val="105"/>
        </w:rPr>
        <w:t>repurchased</w:t>
      </w:r>
      <w:r>
        <w:rPr>
          <w:spacing w:val="-2"/>
          <w:w w:val="105"/>
        </w:rPr>
        <w:t> </w:t>
      </w:r>
      <w:r>
        <w:rPr>
          <w:w w:val="105"/>
        </w:rPr>
        <w:t>immediately</w:t>
      </w:r>
      <w:r>
        <w:rPr>
          <w:spacing w:val="-2"/>
          <w:w w:val="105"/>
        </w:rPr>
        <w:t> </w:t>
      </w:r>
      <w:r>
        <w:rPr>
          <w:w w:val="105"/>
        </w:rPr>
        <w:t>following</w:t>
      </w:r>
      <w:r>
        <w:rPr>
          <w:spacing w:val="-2"/>
          <w:w w:val="105"/>
        </w:rPr>
        <w:t> </w:t>
      </w:r>
      <w:r>
        <w:rPr>
          <w:w w:val="105"/>
        </w:rPr>
        <w:t>the</w:t>
      </w:r>
      <w:r>
        <w:rPr>
          <w:spacing w:val="-2"/>
          <w:w w:val="105"/>
        </w:rPr>
        <w:t> </w:t>
      </w:r>
      <w:r>
        <w:rPr>
          <w:w w:val="105"/>
        </w:rPr>
        <w:t>conversion</w:t>
      </w:r>
      <w:r>
        <w:rPr>
          <w:spacing w:val="-2"/>
          <w:w w:val="105"/>
        </w:rPr>
        <w:t> </w:t>
      </w:r>
      <w:r>
        <w:rPr>
          <w:w w:val="105"/>
        </w:rPr>
        <w:t>of</w:t>
      </w:r>
      <w:r>
        <w:rPr>
          <w:spacing w:val="-2"/>
          <w:w w:val="105"/>
        </w:rPr>
        <w:t> </w:t>
      </w:r>
      <w:r>
        <w:rPr>
          <w:w w:val="105"/>
        </w:rPr>
        <w:t>the</w:t>
      </w:r>
      <w:r>
        <w:rPr>
          <w:spacing w:val="-2"/>
          <w:w w:val="105"/>
        </w:rPr>
        <w:t> </w:t>
      </w:r>
      <w:r>
        <w:rPr>
          <w:w w:val="105"/>
        </w:rPr>
        <w:t>Preferred</w:t>
      </w:r>
      <w:r>
        <w:rPr>
          <w:spacing w:val="-2"/>
          <w:w w:val="105"/>
        </w:rPr>
        <w:t> </w:t>
      </w:r>
      <w:r>
        <w:rPr>
          <w:w w:val="105"/>
        </w:rPr>
        <w:t>Stock,</w:t>
      </w:r>
      <w:r>
        <w:rPr>
          <w:spacing w:val="-2"/>
          <w:w w:val="105"/>
        </w:rPr>
        <w:t> </w:t>
      </w:r>
      <w:r>
        <w:rPr>
          <w:w w:val="105"/>
        </w:rPr>
        <w:t>as discussed</w:t>
      </w:r>
      <w:r>
        <w:rPr>
          <w:spacing w:val="-1"/>
          <w:w w:val="105"/>
        </w:rPr>
        <w:t> </w:t>
      </w:r>
      <w:r>
        <w:rPr>
          <w:w w:val="105"/>
        </w:rPr>
        <w:t>above.</w:t>
      </w:r>
    </w:p>
    <w:p>
      <w:pPr>
        <w:pStyle w:val="BodyText"/>
        <w:spacing w:before="18"/>
      </w:pPr>
    </w:p>
    <w:p>
      <w:pPr>
        <w:pStyle w:val="Heading2"/>
        <w:spacing w:before="1"/>
      </w:pPr>
      <w:r>
        <w:rPr>
          <w:w w:val="105"/>
        </w:rPr>
        <w:t>2020</w:t>
      </w:r>
      <w:r>
        <w:rPr>
          <w:spacing w:val="-9"/>
          <w:w w:val="105"/>
        </w:rPr>
        <w:t> </w:t>
      </w:r>
      <w:r>
        <w:rPr>
          <w:w w:val="105"/>
        </w:rPr>
        <w:t>Share</w:t>
      </w:r>
      <w:r>
        <w:rPr>
          <w:spacing w:val="-8"/>
          <w:w w:val="105"/>
        </w:rPr>
        <w:t> </w:t>
      </w:r>
      <w:r>
        <w:rPr>
          <w:spacing w:val="-2"/>
          <w:w w:val="105"/>
        </w:rPr>
        <w:t>Repurchases</w:t>
      </w:r>
    </w:p>
    <w:p>
      <w:pPr>
        <w:pStyle w:val="BodyText"/>
        <w:spacing w:line="266" w:lineRule="auto" w:before="19"/>
        <w:ind w:left="156" w:right="328"/>
      </w:pPr>
      <w:r>
        <w:rPr>
          <w:w w:val="105"/>
        </w:rPr>
        <w:t>For</w:t>
      </w:r>
      <w:r>
        <w:rPr>
          <w:spacing w:val="-8"/>
          <w:w w:val="105"/>
        </w:rPr>
        <w:t> </w:t>
      </w:r>
      <w:r>
        <w:rPr>
          <w:w w:val="105"/>
        </w:rPr>
        <w:t>the</w:t>
      </w:r>
      <w:r>
        <w:rPr>
          <w:spacing w:val="-8"/>
          <w:w w:val="105"/>
        </w:rPr>
        <w:t> </w:t>
      </w:r>
      <w:r>
        <w:rPr>
          <w:w w:val="105"/>
        </w:rPr>
        <w:t>year</w:t>
      </w:r>
      <w:r>
        <w:rPr>
          <w:spacing w:val="-8"/>
          <w:w w:val="105"/>
        </w:rPr>
        <w:t> </w:t>
      </w:r>
      <w:r>
        <w:rPr>
          <w:w w:val="105"/>
        </w:rPr>
        <w:t>ended</w:t>
      </w:r>
      <w:r>
        <w:rPr>
          <w:spacing w:val="-7"/>
          <w:w w:val="105"/>
        </w:rPr>
        <w:t> </w:t>
      </w:r>
      <w:r>
        <w:rPr>
          <w:w w:val="105"/>
        </w:rPr>
        <w:t>December</w:t>
      </w:r>
      <w:r>
        <w:rPr>
          <w:spacing w:val="-8"/>
          <w:w w:val="105"/>
        </w:rPr>
        <w:t> </w:t>
      </w:r>
      <w:r>
        <w:rPr>
          <w:w w:val="105"/>
        </w:rPr>
        <w:t>31,</w:t>
      </w:r>
      <w:r>
        <w:rPr>
          <w:spacing w:val="-8"/>
          <w:w w:val="105"/>
        </w:rPr>
        <w:t> </w:t>
      </w:r>
      <w:r>
        <w:rPr>
          <w:w w:val="105"/>
        </w:rPr>
        <w:t>2020,</w:t>
      </w:r>
      <w:r>
        <w:rPr>
          <w:spacing w:val="-8"/>
          <w:w w:val="105"/>
        </w:rPr>
        <w:t> </w:t>
      </w:r>
      <w:r>
        <w:rPr>
          <w:w w:val="105"/>
        </w:rPr>
        <w:t>the</w:t>
      </w:r>
      <w:r>
        <w:rPr>
          <w:spacing w:val="-8"/>
          <w:w w:val="105"/>
        </w:rPr>
        <w:t> </w:t>
      </w:r>
      <w:r>
        <w:rPr>
          <w:w w:val="105"/>
        </w:rPr>
        <w:t>Company</w:t>
      </w:r>
      <w:r>
        <w:rPr>
          <w:spacing w:val="-8"/>
          <w:w w:val="105"/>
        </w:rPr>
        <w:t> </w:t>
      </w:r>
      <w:r>
        <w:rPr>
          <w:w w:val="105"/>
        </w:rPr>
        <w:t>repurchased</w:t>
      </w:r>
      <w:r>
        <w:rPr>
          <w:spacing w:val="-8"/>
          <w:w w:val="105"/>
        </w:rPr>
        <w:t> </w:t>
      </w:r>
      <w:r>
        <w:rPr>
          <w:w w:val="105"/>
        </w:rPr>
        <w:t>4.1</w:t>
      </w:r>
      <w:r>
        <w:rPr>
          <w:spacing w:val="-8"/>
          <w:w w:val="105"/>
        </w:rPr>
        <w:t> </w:t>
      </w:r>
      <w:r>
        <w:rPr>
          <w:w w:val="105"/>
        </w:rPr>
        <w:t>million</w:t>
      </w:r>
      <w:r>
        <w:rPr>
          <w:spacing w:val="-8"/>
          <w:w w:val="105"/>
        </w:rPr>
        <w:t> </w:t>
      </w:r>
      <w:r>
        <w:rPr>
          <w:w w:val="105"/>
        </w:rPr>
        <w:t>shares</w:t>
      </w:r>
      <w:r>
        <w:rPr>
          <w:spacing w:val="-8"/>
          <w:w w:val="105"/>
        </w:rPr>
        <w:t> </w:t>
      </w:r>
      <w:r>
        <w:rPr>
          <w:w w:val="105"/>
        </w:rPr>
        <w:t>of</w:t>
      </w:r>
      <w:r>
        <w:rPr>
          <w:spacing w:val="-8"/>
          <w:w w:val="105"/>
        </w:rPr>
        <w:t> </w:t>
      </w:r>
      <w:r>
        <w:rPr>
          <w:w w:val="105"/>
        </w:rPr>
        <w:t>common</w:t>
      </w:r>
      <w:r>
        <w:rPr>
          <w:spacing w:val="-8"/>
          <w:w w:val="105"/>
        </w:rPr>
        <w:t> </w:t>
      </w:r>
      <w:r>
        <w:rPr>
          <w:w w:val="105"/>
        </w:rPr>
        <w:t>stock</w:t>
      </w:r>
      <w:r>
        <w:rPr>
          <w:spacing w:val="-8"/>
          <w:w w:val="105"/>
        </w:rPr>
        <w:t> </w:t>
      </w:r>
      <w:r>
        <w:rPr>
          <w:w w:val="105"/>
        </w:rPr>
        <w:t>on</w:t>
      </w:r>
      <w:r>
        <w:rPr>
          <w:spacing w:val="-8"/>
          <w:w w:val="105"/>
        </w:rPr>
        <w:t> </w:t>
      </w:r>
      <w:r>
        <w:rPr>
          <w:w w:val="105"/>
        </w:rPr>
        <w:t>the</w:t>
      </w:r>
      <w:r>
        <w:rPr>
          <w:spacing w:val="-8"/>
          <w:w w:val="105"/>
        </w:rPr>
        <w:t> </w:t>
      </w:r>
      <w:r>
        <w:rPr>
          <w:w w:val="105"/>
        </w:rPr>
        <w:t>open</w:t>
      </w:r>
      <w:r>
        <w:rPr>
          <w:spacing w:val="-8"/>
          <w:w w:val="105"/>
        </w:rPr>
        <w:t> </w:t>
      </w:r>
      <w:r>
        <w:rPr>
          <w:w w:val="105"/>
        </w:rPr>
        <w:t>market</w:t>
      </w:r>
      <w:r>
        <w:rPr>
          <w:spacing w:val="-8"/>
          <w:w w:val="105"/>
        </w:rPr>
        <w:t> </w:t>
      </w:r>
      <w:r>
        <w:rPr>
          <w:w w:val="105"/>
        </w:rPr>
        <w:t>for</w:t>
      </w:r>
      <w:r>
        <w:rPr>
          <w:spacing w:val="-8"/>
          <w:w w:val="105"/>
        </w:rPr>
        <w:t> </w:t>
      </w:r>
      <w:r>
        <w:rPr>
          <w:w w:val="105"/>
        </w:rPr>
        <w:t>approximately</w:t>
      </w:r>
      <w:r>
        <w:rPr>
          <w:spacing w:val="-8"/>
          <w:w w:val="105"/>
        </w:rPr>
        <w:t> </w:t>
      </w:r>
      <w:r>
        <w:rPr>
          <w:w w:val="105"/>
        </w:rPr>
        <w:t>$105</w:t>
      </w:r>
      <w:r>
        <w:rPr>
          <w:spacing w:val="-8"/>
          <w:w w:val="105"/>
        </w:rPr>
        <w:t> </w:t>
      </w:r>
      <w:r>
        <w:rPr>
          <w:w w:val="105"/>
        </w:rPr>
        <w:t>million,</w:t>
      </w:r>
      <w:r>
        <w:rPr>
          <w:spacing w:val="-8"/>
          <w:w w:val="105"/>
        </w:rPr>
        <w:t> </w:t>
      </w:r>
      <w:r>
        <w:rPr>
          <w:w w:val="105"/>
        </w:rPr>
        <w:t>as</w:t>
      </w:r>
      <w:r>
        <w:rPr>
          <w:spacing w:val="-8"/>
          <w:w w:val="105"/>
        </w:rPr>
        <w:t> </w:t>
      </w:r>
      <w:r>
        <w:rPr>
          <w:w w:val="105"/>
        </w:rPr>
        <w:t>part</w:t>
      </w:r>
      <w:r>
        <w:rPr>
          <w:spacing w:val="-8"/>
          <w:w w:val="105"/>
        </w:rPr>
        <w:t> </w:t>
      </w:r>
      <w:r>
        <w:rPr>
          <w:w w:val="105"/>
        </w:rPr>
        <w:t>of</w:t>
      </w:r>
      <w:r>
        <w:rPr>
          <w:spacing w:val="-6"/>
          <w:w w:val="105"/>
        </w:rPr>
        <w:t> </w:t>
      </w:r>
      <w:r>
        <w:rPr>
          <w:w w:val="105"/>
        </w:rPr>
        <w:t>its 2018 Repurchase Program.</w:t>
      </w:r>
    </w:p>
    <w:p>
      <w:pPr>
        <w:pStyle w:val="BodyText"/>
        <w:spacing w:before="19"/>
      </w:pPr>
    </w:p>
    <w:p>
      <w:pPr>
        <w:pStyle w:val="Heading2"/>
      </w:pPr>
      <w:r>
        <w:rPr>
          <w:w w:val="105"/>
        </w:rPr>
        <w:t>2019</w:t>
      </w:r>
      <w:r>
        <w:rPr>
          <w:spacing w:val="-9"/>
          <w:w w:val="105"/>
        </w:rPr>
        <w:t> </w:t>
      </w:r>
      <w:r>
        <w:rPr>
          <w:w w:val="105"/>
        </w:rPr>
        <w:t>Share</w:t>
      </w:r>
      <w:r>
        <w:rPr>
          <w:spacing w:val="-8"/>
          <w:w w:val="105"/>
        </w:rPr>
        <w:t> </w:t>
      </w:r>
      <w:r>
        <w:rPr>
          <w:spacing w:val="-2"/>
          <w:w w:val="105"/>
        </w:rPr>
        <w:t>Repurchases</w:t>
      </w:r>
    </w:p>
    <w:p>
      <w:pPr>
        <w:pStyle w:val="BodyText"/>
        <w:spacing w:line="266" w:lineRule="auto" w:before="20"/>
        <w:ind w:left="156" w:right="228"/>
      </w:pPr>
      <w:r>
        <w:rPr>
          <w:w w:val="105"/>
        </w:rPr>
        <w:t>On</w:t>
      </w:r>
      <w:r>
        <w:rPr>
          <w:spacing w:val="-3"/>
          <w:w w:val="105"/>
        </w:rPr>
        <w:t> </w:t>
      </w:r>
      <w:r>
        <w:rPr>
          <w:w w:val="105"/>
        </w:rPr>
        <w:t>April</w:t>
      </w:r>
      <w:r>
        <w:rPr>
          <w:spacing w:val="-3"/>
          <w:w w:val="105"/>
        </w:rPr>
        <w:t> </w:t>
      </w:r>
      <w:r>
        <w:rPr>
          <w:w w:val="105"/>
        </w:rPr>
        <w:t>26,</w:t>
      </w:r>
      <w:r>
        <w:rPr>
          <w:spacing w:val="-3"/>
          <w:w w:val="105"/>
        </w:rPr>
        <w:t> </w:t>
      </w:r>
      <w:r>
        <w:rPr>
          <w:w w:val="105"/>
        </w:rPr>
        <w:t>2018,</w:t>
      </w:r>
      <w:r>
        <w:rPr>
          <w:spacing w:val="-3"/>
          <w:w w:val="105"/>
        </w:rPr>
        <w:t> </w:t>
      </w:r>
      <w:r>
        <w:rPr>
          <w:w w:val="105"/>
        </w:rPr>
        <w:t>Corning’s</w:t>
      </w:r>
      <w:r>
        <w:rPr>
          <w:spacing w:val="-3"/>
          <w:w w:val="105"/>
        </w:rPr>
        <w:t> </w:t>
      </w:r>
      <w:r>
        <w:rPr>
          <w:w w:val="105"/>
        </w:rPr>
        <w:t>Board</w:t>
      </w:r>
      <w:r>
        <w:rPr>
          <w:spacing w:val="-3"/>
          <w:w w:val="105"/>
        </w:rPr>
        <w:t> </w:t>
      </w:r>
      <w:r>
        <w:rPr>
          <w:w w:val="105"/>
        </w:rPr>
        <w:t>of</w:t>
      </w:r>
      <w:r>
        <w:rPr>
          <w:spacing w:val="-3"/>
          <w:w w:val="105"/>
        </w:rPr>
        <w:t> </w:t>
      </w:r>
      <w:r>
        <w:rPr>
          <w:w w:val="105"/>
        </w:rPr>
        <w:t>Directors</w:t>
      </w:r>
      <w:r>
        <w:rPr>
          <w:spacing w:val="-3"/>
          <w:w w:val="105"/>
        </w:rPr>
        <w:t> </w:t>
      </w:r>
      <w:r>
        <w:rPr>
          <w:w w:val="105"/>
        </w:rPr>
        <w:t>approved</w:t>
      </w:r>
      <w:r>
        <w:rPr>
          <w:spacing w:val="-1"/>
          <w:w w:val="105"/>
        </w:rPr>
        <w:t> </w:t>
      </w:r>
      <w:r>
        <w:rPr>
          <w:w w:val="105"/>
        </w:rPr>
        <w:t>a</w:t>
      </w:r>
      <w:r>
        <w:rPr>
          <w:spacing w:val="-3"/>
          <w:w w:val="105"/>
        </w:rPr>
        <w:t> </w:t>
      </w:r>
      <w:r>
        <w:rPr>
          <w:w w:val="105"/>
        </w:rPr>
        <w:t>$2</w:t>
      </w:r>
      <w:r>
        <w:rPr>
          <w:spacing w:val="-3"/>
          <w:w w:val="105"/>
        </w:rPr>
        <w:t> </w:t>
      </w:r>
      <w:r>
        <w:rPr>
          <w:w w:val="105"/>
        </w:rPr>
        <w:t>billion</w:t>
      </w:r>
      <w:r>
        <w:rPr>
          <w:spacing w:val="-3"/>
          <w:w w:val="105"/>
        </w:rPr>
        <w:t> </w:t>
      </w:r>
      <w:r>
        <w:rPr>
          <w:w w:val="105"/>
        </w:rPr>
        <w:t>share</w:t>
      </w:r>
      <w:r>
        <w:rPr>
          <w:spacing w:val="-3"/>
          <w:w w:val="105"/>
        </w:rPr>
        <w:t> </w:t>
      </w:r>
      <w:r>
        <w:rPr>
          <w:w w:val="105"/>
        </w:rPr>
        <w:t>repurchase</w:t>
      </w:r>
      <w:r>
        <w:rPr>
          <w:spacing w:val="-3"/>
          <w:w w:val="105"/>
        </w:rPr>
        <w:t> </w:t>
      </w:r>
      <w:r>
        <w:rPr>
          <w:w w:val="105"/>
        </w:rPr>
        <w:t>program</w:t>
      </w:r>
      <w:r>
        <w:rPr>
          <w:spacing w:val="-3"/>
          <w:w w:val="105"/>
        </w:rPr>
        <w:t> </w:t>
      </w:r>
      <w:r>
        <w:rPr>
          <w:w w:val="105"/>
        </w:rPr>
        <w:t>with</w:t>
      </w:r>
      <w:r>
        <w:rPr>
          <w:spacing w:val="-2"/>
          <w:w w:val="105"/>
        </w:rPr>
        <w:t> </w:t>
      </w:r>
      <w:r>
        <w:rPr>
          <w:w w:val="105"/>
        </w:rPr>
        <w:t>no</w:t>
      </w:r>
      <w:r>
        <w:rPr>
          <w:spacing w:val="-3"/>
          <w:w w:val="105"/>
        </w:rPr>
        <w:t> </w:t>
      </w:r>
      <w:r>
        <w:rPr>
          <w:w w:val="105"/>
        </w:rPr>
        <w:t>expiration</w:t>
      </w:r>
      <w:r>
        <w:rPr>
          <w:spacing w:val="-3"/>
          <w:w w:val="105"/>
        </w:rPr>
        <w:t> </w:t>
      </w:r>
      <w:r>
        <w:rPr>
          <w:w w:val="105"/>
        </w:rPr>
        <w:t>date</w:t>
      </w:r>
      <w:r>
        <w:rPr>
          <w:spacing w:val="-3"/>
          <w:w w:val="105"/>
        </w:rPr>
        <w:t> </w:t>
      </w:r>
      <w:r>
        <w:rPr>
          <w:w w:val="105"/>
        </w:rPr>
        <w:t>(the</w:t>
      </w:r>
      <w:r>
        <w:rPr>
          <w:spacing w:val="-1"/>
          <w:w w:val="105"/>
        </w:rPr>
        <w:t> </w:t>
      </w:r>
      <w:r>
        <w:rPr>
          <w:w w:val="105"/>
        </w:rPr>
        <w:t>“2018</w:t>
      </w:r>
      <w:r>
        <w:rPr>
          <w:spacing w:val="-3"/>
          <w:w w:val="105"/>
        </w:rPr>
        <w:t> </w:t>
      </w:r>
      <w:r>
        <w:rPr>
          <w:w w:val="105"/>
        </w:rPr>
        <w:t>Repurchase</w:t>
      </w:r>
      <w:r>
        <w:rPr>
          <w:spacing w:val="-3"/>
          <w:w w:val="105"/>
        </w:rPr>
        <w:t> </w:t>
      </w:r>
      <w:r>
        <w:rPr>
          <w:w w:val="105"/>
        </w:rPr>
        <w:t>Program”).</w:t>
      </w:r>
      <w:r>
        <w:rPr>
          <w:spacing w:val="-3"/>
          <w:w w:val="105"/>
        </w:rPr>
        <w:t> </w:t>
      </w:r>
      <w:r>
        <w:rPr>
          <w:w w:val="105"/>
        </w:rPr>
        <w:t>On</w:t>
      </w:r>
      <w:r>
        <w:rPr>
          <w:spacing w:val="-2"/>
          <w:w w:val="105"/>
        </w:rPr>
        <w:t> </w:t>
      </w:r>
      <w:r>
        <w:rPr>
          <w:w w:val="105"/>
        </w:rPr>
        <w:t>July</w:t>
      </w:r>
      <w:r>
        <w:rPr>
          <w:spacing w:val="-3"/>
          <w:w w:val="105"/>
        </w:rPr>
        <w:t> </w:t>
      </w:r>
      <w:r>
        <w:rPr>
          <w:w w:val="105"/>
        </w:rPr>
        <w:t>17, 2019,</w:t>
      </w:r>
      <w:r>
        <w:rPr>
          <w:spacing w:val="-9"/>
          <w:w w:val="105"/>
        </w:rPr>
        <w:t> </w:t>
      </w:r>
      <w:r>
        <w:rPr>
          <w:w w:val="105"/>
        </w:rPr>
        <w:t>Corning’s</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authorized</w:t>
      </w:r>
      <w:r>
        <w:rPr>
          <w:spacing w:val="-9"/>
          <w:w w:val="105"/>
        </w:rPr>
        <w:t> </w:t>
      </w:r>
      <w:r>
        <w:rPr>
          <w:w w:val="105"/>
        </w:rPr>
        <w:t>$5</w:t>
      </w:r>
      <w:r>
        <w:rPr>
          <w:spacing w:val="-9"/>
          <w:w w:val="105"/>
        </w:rPr>
        <w:t> </w:t>
      </w:r>
      <w:r>
        <w:rPr>
          <w:w w:val="105"/>
        </w:rPr>
        <w:t>billion</w:t>
      </w:r>
      <w:r>
        <w:rPr>
          <w:spacing w:val="-9"/>
          <w:w w:val="105"/>
        </w:rPr>
        <w:t> </w:t>
      </w:r>
      <w:r>
        <w:rPr>
          <w:w w:val="105"/>
        </w:rPr>
        <w:t>in</w:t>
      </w:r>
      <w:r>
        <w:rPr>
          <w:spacing w:val="-9"/>
          <w:w w:val="105"/>
        </w:rPr>
        <w:t> </w:t>
      </w:r>
      <w:r>
        <w:rPr>
          <w:w w:val="105"/>
        </w:rPr>
        <w:t>share</w:t>
      </w:r>
      <w:r>
        <w:rPr>
          <w:spacing w:val="-9"/>
          <w:w w:val="105"/>
        </w:rPr>
        <w:t> </w:t>
      </w:r>
      <w:r>
        <w:rPr>
          <w:w w:val="105"/>
        </w:rPr>
        <w:t>repurchases</w:t>
      </w:r>
      <w:r>
        <w:rPr>
          <w:spacing w:val="-9"/>
          <w:w w:val="105"/>
        </w:rPr>
        <w:t> </w:t>
      </w:r>
      <w:r>
        <w:rPr>
          <w:w w:val="105"/>
        </w:rPr>
        <w:t>with</w:t>
      </w:r>
      <w:r>
        <w:rPr>
          <w:spacing w:val="-8"/>
          <w:w w:val="105"/>
        </w:rPr>
        <w:t> </w:t>
      </w:r>
      <w:r>
        <w:rPr>
          <w:w w:val="105"/>
        </w:rPr>
        <w:t>no</w:t>
      </w:r>
      <w:r>
        <w:rPr>
          <w:spacing w:val="-9"/>
          <w:w w:val="105"/>
        </w:rPr>
        <w:t> </w:t>
      </w:r>
      <w:r>
        <w:rPr>
          <w:w w:val="105"/>
        </w:rPr>
        <w:t>expiration</w:t>
      </w:r>
      <w:r>
        <w:rPr>
          <w:spacing w:val="-9"/>
          <w:w w:val="105"/>
        </w:rPr>
        <w:t> </w:t>
      </w:r>
      <w:r>
        <w:rPr>
          <w:w w:val="105"/>
        </w:rPr>
        <w:t>date</w:t>
      </w:r>
      <w:r>
        <w:rPr>
          <w:spacing w:val="-9"/>
          <w:w w:val="105"/>
        </w:rPr>
        <w:t> </w:t>
      </w:r>
      <w:r>
        <w:rPr>
          <w:w w:val="105"/>
        </w:rPr>
        <w:t>(the</w:t>
      </w:r>
      <w:r>
        <w:rPr>
          <w:spacing w:val="-7"/>
          <w:w w:val="105"/>
        </w:rPr>
        <w:t> </w:t>
      </w:r>
      <w:r>
        <w:rPr>
          <w:w w:val="105"/>
        </w:rPr>
        <w:t>“2019</w:t>
      </w:r>
      <w:r>
        <w:rPr>
          <w:spacing w:val="-9"/>
          <w:w w:val="105"/>
        </w:rPr>
        <w:t> </w:t>
      </w:r>
      <w:r>
        <w:rPr>
          <w:w w:val="105"/>
        </w:rPr>
        <w:t>Repurchase</w:t>
      </w:r>
      <w:r>
        <w:rPr>
          <w:spacing w:val="-9"/>
          <w:w w:val="105"/>
        </w:rPr>
        <w:t> </w:t>
      </w:r>
      <w:r>
        <w:rPr>
          <w:w w:val="105"/>
        </w:rPr>
        <w:t>Program”).</w:t>
      </w:r>
      <w:r>
        <w:rPr>
          <w:spacing w:val="-9"/>
          <w:w w:val="105"/>
        </w:rPr>
        <w:t> </w:t>
      </w:r>
      <w:r>
        <w:rPr>
          <w:w w:val="105"/>
        </w:rPr>
        <w:t>During</w:t>
      </w:r>
      <w:r>
        <w:rPr>
          <w:spacing w:val="-9"/>
          <w:w w:val="105"/>
        </w:rPr>
        <w:t> </w:t>
      </w:r>
      <w:r>
        <w:rPr>
          <w:w w:val="105"/>
        </w:rPr>
        <w:t>the</w:t>
      </w:r>
      <w:r>
        <w:rPr>
          <w:spacing w:val="-9"/>
          <w:w w:val="105"/>
        </w:rPr>
        <w:t> </w:t>
      </w:r>
      <w:r>
        <w:rPr>
          <w:w w:val="105"/>
        </w:rPr>
        <w:t>year</w:t>
      </w:r>
      <w:r>
        <w:rPr>
          <w:spacing w:val="-9"/>
          <w:w w:val="105"/>
        </w:rPr>
        <w:t> </w:t>
      </w:r>
      <w:r>
        <w:rPr>
          <w:w w:val="105"/>
        </w:rPr>
        <w:t>ended</w:t>
      </w:r>
      <w:r>
        <w:rPr>
          <w:spacing w:val="-9"/>
          <w:w w:val="105"/>
        </w:rPr>
        <w:t> </w:t>
      </w:r>
      <w:r>
        <w:rPr>
          <w:w w:val="105"/>
        </w:rPr>
        <w:t>December 31,</w:t>
      </w:r>
      <w:r>
        <w:rPr>
          <w:spacing w:val="-2"/>
          <w:w w:val="105"/>
        </w:rPr>
        <w:t> </w:t>
      </w:r>
      <w:r>
        <w:rPr>
          <w:w w:val="105"/>
        </w:rPr>
        <w:t>2019,</w:t>
      </w:r>
      <w:r>
        <w:rPr>
          <w:spacing w:val="-2"/>
          <w:w w:val="105"/>
        </w:rPr>
        <w:t> </w:t>
      </w:r>
      <w:r>
        <w:rPr>
          <w:w w:val="105"/>
        </w:rPr>
        <w:t>the</w:t>
      </w:r>
      <w:r>
        <w:rPr>
          <w:spacing w:val="-2"/>
          <w:w w:val="105"/>
        </w:rPr>
        <w:t> </w:t>
      </w:r>
      <w:r>
        <w:rPr>
          <w:w w:val="105"/>
        </w:rPr>
        <w:t>Company</w:t>
      </w:r>
      <w:r>
        <w:rPr>
          <w:spacing w:val="-2"/>
          <w:w w:val="105"/>
        </w:rPr>
        <w:t> </w:t>
      </w:r>
      <w:r>
        <w:rPr>
          <w:w w:val="105"/>
        </w:rPr>
        <w:t>repurchased</w:t>
      </w:r>
      <w:r>
        <w:rPr>
          <w:spacing w:val="-2"/>
          <w:w w:val="105"/>
        </w:rPr>
        <w:t> </w:t>
      </w:r>
      <w:r>
        <w:rPr>
          <w:w w:val="105"/>
        </w:rPr>
        <w:t>31.0</w:t>
      </w:r>
      <w:r>
        <w:rPr>
          <w:spacing w:val="-2"/>
          <w:w w:val="105"/>
        </w:rPr>
        <w:t> </w:t>
      </w:r>
      <w:r>
        <w:rPr>
          <w:w w:val="105"/>
        </w:rPr>
        <w:t>million</w:t>
      </w:r>
      <w:r>
        <w:rPr>
          <w:spacing w:val="-2"/>
          <w:w w:val="105"/>
        </w:rPr>
        <w:t> </w:t>
      </w:r>
      <w:r>
        <w:rPr>
          <w:w w:val="105"/>
        </w:rPr>
        <w:t>shares</w:t>
      </w:r>
      <w:r>
        <w:rPr>
          <w:spacing w:val="-2"/>
          <w:w w:val="105"/>
        </w:rPr>
        <w:t> </w:t>
      </w:r>
      <w:r>
        <w:rPr>
          <w:w w:val="105"/>
        </w:rPr>
        <w:t>of</w:t>
      </w:r>
      <w:r>
        <w:rPr>
          <w:spacing w:val="-2"/>
          <w:w w:val="105"/>
        </w:rPr>
        <w:t> </w:t>
      </w:r>
      <w:r>
        <w:rPr>
          <w:w w:val="105"/>
        </w:rPr>
        <w:t>common</w:t>
      </w:r>
      <w:r>
        <w:rPr>
          <w:spacing w:val="-2"/>
          <w:w w:val="105"/>
        </w:rPr>
        <w:t> </w:t>
      </w:r>
      <w:r>
        <w:rPr>
          <w:w w:val="105"/>
        </w:rPr>
        <w:t>stock</w:t>
      </w:r>
      <w:r>
        <w:rPr>
          <w:spacing w:val="-2"/>
          <w:w w:val="105"/>
        </w:rPr>
        <w:t> </w:t>
      </w:r>
      <w:r>
        <w:rPr>
          <w:w w:val="105"/>
        </w:rPr>
        <w:t>on</w:t>
      </w:r>
      <w:r>
        <w:rPr>
          <w:spacing w:val="-2"/>
          <w:w w:val="105"/>
        </w:rPr>
        <w:t> </w:t>
      </w:r>
      <w:r>
        <w:rPr>
          <w:w w:val="105"/>
        </w:rPr>
        <w:t>the</w:t>
      </w:r>
      <w:r>
        <w:rPr>
          <w:spacing w:val="-2"/>
          <w:w w:val="105"/>
        </w:rPr>
        <w:t> </w:t>
      </w:r>
      <w:r>
        <w:rPr>
          <w:w w:val="105"/>
        </w:rPr>
        <w:t>open</w:t>
      </w:r>
      <w:r>
        <w:rPr>
          <w:spacing w:val="-2"/>
          <w:w w:val="105"/>
        </w:rPr>
        <w:t> </w:t>
      </w:r>
      <w:r>
        <w:rPr>
          <w:w w:val="105"/>
        </w:rPr>
        <w:t>market</w:t>
      </w:r>
      <w:r>
        <w:rPr>
          <w:spacing w:val="-2"/>
          <w:w w:val="105"/>
        </w:rPr>
        <w:t> </w:t>
      </w:r>
      <w:r>
        <w:rPr>
          <w:w w:val="105"/>
        </w:rPr>
        <w:t>for</w:t>
      </w:r>
      <w:r>
        <w:rPr>
          <w:spacing w:val="-2"/>
          <w:w w:val="105"/>
        </w:rPr>
        <w:t> </w:t>
      </w:r>
      <w:r>
        <w:rPr>
          <w:w w:val="105"/>
        </w:rPr>
        <w:t>approximately</w:t>
      </w:r>
      <w:r>
        <w:rPr>
          <w:spacing w:val="-2"/>
          <w:w w:val="105"/>
        </w:rPr>
        <w:t> </w:t>
      </w:r>
      <w:r>
        <w:rPr>
          <w:w w:val="105"/>
        </w:rPr>
        <w:t>$925</w:t>
      </w:r>
      <w:r>
        <w:rPr>
          <w:spacing w:val="-2"/>
          <w:w w:val="105"/>
        </w:rPr>
        <w:t> </w:t>
      </w:r>
      <w:r>
        <w:rPr>
          <w:w w:val="105"/>
        </w:rPr>
        <w:t>million</w:t>
      </w:r>
      <w:r>
        <w:rPr>
          <w:spacing w:val="-2"/>
          <w:w w:val="105"/>
        </w:rPr>
        <w:t> </w:t>
      </w:r>
      <w:r>
        <w:rPr>
          <w:w w:val="105"/>
        </w:rPr>
        <w:t>as</w:t>
      </w:r>
      <w:r>
        <w:rPr>
          <w:spacing w:val="-2"/>
          <w:w w:val="105"/>
        </w:rPr>
        <w:t> </w:t>
      </w:r>
      <w:r>
        <w:rPr>
          <w:w w:val="105"/>
        </w:rPr>
        <w:t>part</w:t>
      </w:r>
      <w:r>
        <w:rPr>
          <w:spacing w:val="-2"/>
          <w:w w:val="105"/>
        </w:rPr>
        <w:t> </w:t>
      </w:r>
      <w:r>
        <w:rPr>
          <w:w w:val="105"/>
        </w:rPr>
        <w:t>of its</w:t>
      </w:r>
      <w:r>
        <w:rPr>
          <w:spacing w:val="-2"/>
          <w:w w:val="105"/>
        </w:rPr>
        <w:t> </w:t>
      </w:r>
      <w:r>
        <w:rPr>
          <w:w w:val="105"/>
        </w:rPr>
        <w:t>2018</w:t>
      </w:r>
      <w:r>
        <w:rPr>
          <w:spacing w:val="-2"/>
          <w:w w:val="105"/>
        </w:rPr>
        <w:t> </w:t>
      </w:r>
      <w:r>
        <w:rPr>
          <w:w w:val="105"/>
        </w:rPr>
        <w:t>Repurchase</w:t>
      </w:r>
      <w:r>
        <w:rPr>
          <w:spacing w:val="-2"/>
          <w:w w:val="105"/>
        </w:rPr>
        <w:t> </w:t>
      </w:r>
      <w:r>
        <w:rPr>
          <w:w w:val="105"/>
        </w:rPr>
        <w:t>Program.</w:t>
      </w:r>
    </w:p>
    <w:p>
      <w:pPr>
        <w:pStyle w:val="BodyText"/>
        <w:spacing w:before="19"/>
      </w:pPr>
    </w:p>
    <w:p>
      <w:pPr>
        <w:pStyle w:val="BodyText"/>
        <w:ind w:left="156"/>
      </w:pPr>
      <w:r>
        <w:rPr>
          <w:w w:val="105"/>
        </w:rPr>
        <w:t>The</w:t>
      </w:r>
      <w:r>
        <w:rPr>
          <w:spacing w:val="-10"/>
          <w:w w:val="105"/>
        </w:rPr>
        <w:t> </w:t>
      </w:r>
      <w:r>
        <w:rPr>
          <w:w w:val="105"/>
        </w:rPr>
        <w:t>following</w:t>
      </w:r>
      <w:r>
        <w:rPr>
          <w:spacing w:val="-9"/>
          <w:w w:val="105"/>
        </w:rPr>
        <w:t> </w:t>
      </w:r>
      <w:r>
        <w:rPr>
          <w:w w:val="105"/>
        </w:rPr>
        <w:t>table</w:t>
      </w:r>
      <w:r>
        <w:rPr>
          <w:spacing w:val="-10"/>
          <w:w w:val="105"/>
        </w:rPr>
        <w:t> </w:t>
      </w:r>
      <w:r>
        <w:rPr>
          <w:w w:val="105"/>
        </w:rPr>
        <w:t>presents</w:t>
      </w:r>
      <w:r>
        <w:rPr>
          <w:spacing w:val="-8"/>
          <w:w w:val="105"/>
        </w:rPr>
        <w:t> </w:t>
      </w:r>
      <w:r>
        <w:rPr>
          <w:w w:val="105"/>
        </w:rPr>
        <w:t>changes</w:t>
      </w:r>
      <w:r>
        <w:rPr>
          <w:spacing w:val="-9"/>
          <w:w w:val="105"/>
        </w:rPr>
        <w:t> </w:t>
      </w:r>
      <w:r>
        <w:rPr>
          <w:w w:val="105"/>
        </w:rPr>
        <w:t>in</w:t>
      </w:r>
      <w:r>
        <w:rPr>
          <w:spacing w:val="-10"/>
          <w:w w:val="105"/>
        </w:rPr>
        <w:t> </w:t>
      </w:r>
      <w:r>
        <w:rPr>
          <w:w w:val="105"/>
        </w:rPr>
        <w:t>capital</w:t>
      </w:r>
      <w:r>
        <w:rPr>
          <w:spacing w:val="-9"/>
          <w:w w:val="105"/>
        </w:rPr>
        <w:t> </w:t>
      </w:r>
      <w:r>
        <w:rPr>
          <w:w w:val="105"/>
        </w:rPr>
        <w:t>stock</w:t>
      </w:r>
      <w:r>
        <w:rPr>
          <w:spacing w:val="-10"/>
          <w:w w:val="105"/>
        </w:rPr>
        <w:t> </w:t>
      </w:r>
      <w:r>
        <w:rPr>
          <w:w w:val="105"/>
        </w:rPr>
        <w:t>(in</w:t>
      </w:r>
      <w:r>
        <w:rPr>
          <w:spacing w:val="-9"/>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736832">
                <wp:simplePos x="0" y="0"/>
                <wp:positionH relativeFrom="page">
                  <wp:posOffset>226479</wp:posOffset>
                </wp:positionH>
                <wp:positionV relativeFrom="paragraph">
                  <wp:posOffset>83235</wp:posOffset>
                </wp:positionV>
                <wp:extent cx="7312659" cy="16510"/>
                <wp:effectExtent l="0" t="0" r="0" b="0"/>
                <wp:wrapTopAndBottom/>
                <wp:docPr id="718" name="Graphic 718"/>
                <wp:cNvGraphicFramePr>
                  <a:graphicFrameLocks/>
                </wp:cNvGraphicFramePr>
                <a:graphic>
                  <a:graphicData uri="http://schemas.microsoft.com/office/word/2010/wordprocessingShape">
                    <wps:wsp>
                      <wps:cNvPr id="718" name="Graphic 718"/>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53999pt;width:575.775027pt;height:1.274pt;mso-position-horizontal-relative:page;mso-position-vertical-relative:paragraph;z-index:-15579648;mso-wrap-distance-left:0;mso-wrap-distance-right:0" id="docshape717" filled="true" fillcolor="#000000" stroked="false">
                <v:fill type="solid"/>
                <w10:wrap type="topAndBottom"/>
              </v:rect>
            </w:pict>
          </mc:Fallback>
        </mc:AlternateContent>
      </w:r>
    </w:p>
    <w:p>
      <w:pPr>
        <w:pStyle w:val="BodyText"/>
        <w:tabs>
          <w:tab w:pos="9806" w:val="left" w:leader="none"/>
        </w:tabs>
        <w:spacing w:before="3" w:after="23"/>
        <w:ind w:left="7040"/>
      </w:pPr>
      <w:r>
        <w:rPr/>
        <w:t>Common</w:t>
      </w:r>
      <w:r>
        <w:rPr>
          <w:spacing w:val="18"/>
        </w:rPr>
        <w:t> </w:t>
      </w:r>
      <w:r>
        <w:rPr>
          <w:spacing w:val="-2"/>
        </w:rPr>
        <w:t>stock</w:t>
      </w:r>
      <w:r>
        <w:rPr/>
        <w:tab/>
        <w:t>Treasury</w:t>
      </w:r>
      <w:r>
        <w:rPr>
          <w:spacing w:val="18"/>
        </w:rPr>
        <w:t> </w:t>
      </w:r>
      <w:r>
        <w:rPr>
          <w:spacing w:val="-2"/>
        </w:rPr>
        <w:t>stock</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1"/>
        <w:gridCol w:w="1516"/>
        <w:gridCol w:w="1289"/>
        <w:gridCol w:w="1552"/>
        <w:gridCol w:w="1200"/>
        <w:gridCol w:w="1349"/>
      </w:tblGrid>
      <w:tr>
        <w:trPr>
          <w:trHeight w:val="201" w:hRule="atLeast"/>
        </w:trPr>
        <w:tc>
          <w:tcPr>
            <w:tcW w:w="6127" w:type="dxa"/>
            <w:gridSpan w:val="2"/>
            <w:tcBorders>
              <w:bottom w:val="single" w:sz="6" w:space="0" w:color="000000"/>
            </w:tcBorders>
          </w:tcPr>
          <w:p>
            <w:pPr>
              <w:pStyle w:val="TableParagraph"/>
              <w:rPr>
                <w:sz w:val="14"/>
              </w:rPr>
            </w:pPr>
          </w:p>
        </w:tc>
        <w:tc>
          <w:tcPr>
            <w:tcW w:w="1289" w:type="dxa"/>
            <w:tcBorders>
              <w:top w:val="single" w:sz="6" w:space="0" w:color="000000"/>
              <w:bottom w:val="single" w:sz="6" w:space="0" w:color="000000"/>
            </w:tcBorders>
          </w:tcPr>
          <w:p>
            <w:pPr>
              <w:pStyle w:val="TableParagraph"/>
              <w:spacing w:line="179" w:lineRule="exact" w:before="2"/>
              <w:ind w:left="352"/>
              <w:rPr>
                <w:sz w:val="16"/>
              </w:rPr>
            </w:pPr>
            <w:r>
              <w:rPr>
                <w:spacing w:val="-2"/>
                <w:w w:val="105"/>
                <w:sz w:val="16"/>
              </w:rPr>
              <w:t>Shares</w:t>
            </w:r>
          </w:p>
        </w:tc>
        <w:tc>
          <w:tcPr>
            <w:tcW w:w="1552" w:type="dxa"/>
            <w:tcBorders>
              <w:top w:val="single" w:sz="6" w:space="0" w:color="000000"/>
              <w:bottom w:val="single" w:sz="6" w:space="0" w:color="000000"/>
            </w:tcBorders>
          </w:tcPr>
          <w:p>
            <w:pPr>
              <w:pStyle w:val="TableParagraph"/>
              <w:spacing w:line="179" w:lineRule="exact" w:before="2"/>
              <w:ind w:left="349"/>
              <w:rPr>
                <w:sz w:val="16"/>
              </w:rPr>
            </w:pPr>
            <w:r>
              <w:rPr>
                <w:w w:val="105"/>
                <w:sz w:val="16"/>
              </w:rPr>
              <w:t>Par</w:t>
            </w:r>
            <w:r>
              <w:rPr>
                <w:spacing w:val="-8"/>
                <w:w w:val="105"/>
                <w:sz w:val="16"/>
              </w:rPr>
              <w:t> </w:t>
            </w:r>
            <w:r>
              <w:rPr>
                <w:spacing w:val="-4"/>
                <w:w w:val="105"/>
                <w:sz w:val="16"/>
              </w:rPr>
              <w:t>value</w:t>
            </w:r>
          </w:p>
        </w:tc>
        <w:tc>
          <w:tcPr>
            <w:tcW w:w="1200" w:type="dxa"/>
            <w:tcBorders>
              <w:top w:val="single" w:sz="6" w:space="0" w:color="000000"/>
              <w:bottom w:val="single" w:sz="6" w:space="0" w:color="000000"/>
            </w:tcBorders>
          </w:tcPr>
          <w:p>
            <w:pPr>
              <w:pStyle w:val="TableParagraph"/>
              <w:spacing w:line="179" w:lineRule="exact" w:before="2"/>
              <w:ind w:left="262"/>
              <w:rPr>
                <w:sz w:val="16"/>
              </w:rPr>
            </w:pPr>
            <w:r>
              <w:rPr>
                <w:spacing w:val="-2"/>
                <w:w w:val="105"/>
                <w:sz w:val="16"/>
              </w:rPr>
              <w:t>Shares</w:t>
            </w:r>
          </w:p>
        </w:tc>
        <w:tc>
          <w:tcPr>
            <w:tcW w:w="1349" w:type="dxa"/>
            <w:tcBorders>
              <w:top w:val="single" w:sz="6" w:space="0" w:color="000000"/>
              <w:bottom w:val="single" w:sz="6" w:space="0" w:color="000000"/>
            </w:tcBorders>
          </w:tcPr>
          <w:p>
            <w:pPr>
              <w:pStyle w:val="TableParagraph"/>
              <w:spacing w:line="179" w:lineRule="exact" w:before="2"/>
              <w:ind w:right="27"/>
              <w:jc w:val="center"/>
              <w:rPr>
                <w:sz w:val="16"/>
              </w:rPr>
            </w:pPr>
            <w:r>
              <w:rPr>
                <w:spacing w:val="-4"/>
                <w:w w:val="105"/>
                <w:sz w:val="16"/>
              </w:rPr>
              <w:t>Cost</w:t>
            </w:r>
          </w:p>
        </w:tc>
      </w:tr>
      <w:tr>
        <w:trPr>
          <w:trHeight w:val="199" w:hRule="atLeast"/>
        </w:trPr>
        <w:tc>
          <w:tcPr>
            <w:tcW w:w="4611"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Balance</w:t>
            </w:r>
            <w:r>
              <w:rPr>
                <w:spacing w:val="-9"/>
                <w:w w:val="105"/>
                <w:sz w:val="16"/>
              </w:rPr>
              <w:t> </w:t>
            </w:r>
            <w:r>
              <w:rPr>
                <w:w w:val="105"/>
                <w:sz w:val="16"/>
              </w:rPr>
              <w:t>at</w:t>
            </w:r>
            <w:r>
              <w:rPr>
                <w:spacing w:val="-8"/>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2018</w:t>
            </w:r>
          </w:p>
        </w:tc>
        <w:tc>
          <w:tcPr>
            <w:tcW w:w="1516" w:type="dxa"/>
            <w:tcBorders>
              <w:top w:val="single" w:sz="6" w:space="0" w:color="000000"/>
              <w:bottom w:val="double" w:sz="6" w:space="0" w:color="000000"/>
            </w:tcBorders>
            <w:shd w:val="clear" w:color="auto" w:fill="CCEDFF"/>
          </w:tcPr>
          <w:p>
            <w:pPr>
              <w:pStyle w:val="TableParagraph"/>
              <w:rPr>
                <w:sz w:val="12"/>
              </w:rPr>
            </w:pPr>
          </w:p>
        </w:tc>
        <w:tc>
          <w:tcPr>
            <w:tcW w:w="1289" w:type="dxa"/>
            <w:tcBorders>
              <w:top w:val="single" w:sz="6" w:space="0" w:color="000000"/>
              <w:bottom w:val="double" w:sz="6" w:space="0" w:color="000000"/>
            </w:tcBorders>
            <w:shd w:val="clear" w:color="auto" w:fill="CCEDFF"/>
          </w:tcPr>
          <w:p>
            <w:pPr>
              <w:pStyle w:val="TableParagraph"/>
              <w:spacing w:line="177" w:lineRule="exact" w:before="2"/>
              <w:ind w:left="-1" w:right="140"/>
              <w:jc w:val="right"/>
              <w:rPr>
                <w:sz w:val="16"/>
              </w:rPr>
            </w:pPr>
            <w:r>
              <w:rPr>
                <w:spacing w:val="-4"/>
                <w:w w:val="105"/>
                <w:sz w:val="16"/>
              </w:rPr>
              <w:t>1,713</w:t>
            </w:r>
          </w:p>
        </w:tc>
        <w:tc>
          <w:tcPr>
            <w:tcW w:w="1552" w:type="dxa"/>
            <w:tcBorders>
              <w:top w:val="single" w:sz="6" w:space="0" w:color="000000"/>
              <w:bottom w:val="double" w:sz="6" w:space="0" w:color="000000"/>
            </w:tcBorders>
            <w:shd w:val="clear" w:color="auto" w:fill="CCEDFF"/>
          </w:tcPr>
          <w:p>
            <w:pPr>
              <w:pStyle w:val="TableParagraph"/>
              <w:tabs>
                <w:tab w:pos="897" w:val="left" w:leader="none"/>
              </w:tabs>
              <w:spacing w:line="177" w:lineRule="exact" w:before="2"/>
              <w:ind w:right="316"/>
              <w:jc w:val="right"/>
              <w:rPr>
                <w:sz w:val="16"/>
              </w:rPr>
            </w:pPr>
            <w:r>
              <w:rPr>
                <w:spacing w:val="-10"/>
                <w:w w:val="105"/>
                <w:sz w:val="16"/>
              </w:rPr>
              <w:t>$</w:t>
            </w:r>
            <w:r>
              <w:rPr>
                <w:sz w:val="16"/>
              </w:rPr>
              <w:tab/>
            </w:r>
            <w:r>
              <w:rPr>
                <w:spacing w:val="-5"/>
                <w:w w:val="105"/>
                <w:sz w:val="16"/>
              </w:rPr>
              <w:t>857</w:t>
            </w:r>
          </w:p>
        </w:tc>
        <w:tc>
          <w:tcPr>
            <w:tcW w:w="1200" w:type="dxa"/>
            <w:tcBorders>
              <w:top w:val="single" w:sz="6" w:space="0" w:color="000000"/>
              <w:bottom w:val="double" w:sz="6" w:space="0" w:color="000000"/>
            </w:tcBorders>
            <w:shd w:val="clear" w:color="auto" w:fill="CCEDFF"/>
          </w:tcPr>
          <w:p>
            <w:pPr>
              <w:pStyle w:val="TableParagraph"/>
              <w:spacing w:line="177" w:lineRule="exact" w:before="2"/>
              <w:ind w:right="85"/>
              <w:jc w:val="right"/>
              <w:rPr>
                <w:sz w:val="16"/>
              </w:rPr>
            </w:pPr>
            <w:r>
              <w:rPr>
                <w:spacing w:val="-2"/>
                <w:w w:val="105"/>
                <w:sz w:val="16"/>
              </w:rPr>
              <w:t>(925)</w:t>
            </w:r>
          </w:p>
        </w:tc>
        <w:tc>
          <w:tcPr>
            <w:tcW w:w="1349" w:type="dxa"/>
            <w:tcBorders>
              <w:top w:val="single" w:sz="6" w:space="0" w:color="000000"/>
              <w:bottom w:val="double" w:sz="6" w:space="0" w:color="000000"/>
            </w:tcBorders>
            <w:shd w:val="clear" w:color="auto" w:fill="CCEDFF"/>
          </w:tcPr>
          <w:p>
            <w:pPr>
              <w:pStyle w:val="TableParagraph"/>
              <w:tabs>
                <w:tab w:pos="635" w:val="left" w:leader="none"/>
              </w:tabs>
              <w:spacing w:line="177" w:lineRule="exact" w:before="2"/>
              <w:ind w:right="60"/>
              <w:jc w:val="right"/>
              <w:rPr>
                <w:sz w:val="16"/>
              </w:rPr>
            </w:pPr>
            <w:r>
              <w:rPr>
                <w:spacing w:val="-10"/>
                <w:w w:val="105"/>
                <w:sz w:val="16"/>
              </w:rPr>
              <w:t>$</w:t>
            </w:r>
            <w:r>
              <w:rPr>
                <w:sz w:val="16"/>
              </w:rPr>
              <w:tab/>
            </w:r>
            <w:r>
              <w:rPr>
                <w:spacing w:val="-2"/>
                <w:w w:val="105"/>
                <w:sz w:val="16"/>
              </w:rPr>
              <w:t>(18,870)</w:t>
            </w:r>
          </w:p>
        </w:tc>
      </w:tr>
      <w:tr>
        <w:trPr>
          <w:trHeight w:val="200" w:hRule="atLeast"/>
        </w:trPr>
        <w:tc>
          <w:tcPr>
            <w:tcW w:w="4611" w:type="dxa"/>
            <w:tcBorders>
              <w:top w:val="double" w:sz="6" w:space="0" w:color="000000"/>
            </w:tcBorders>
          </w:tcPr>
          <w:p>
            <w:pPr>
              <w:pStyle w:val="TableParagraph"/>
              <w:rPr>
                <w:sz w:val="12"/>
              </w:rPr>
            </w:pPr>
          </w:p>
        </w:tc>
        <w:tc>
          <w:tcPr>
            <w:tcW w:w="1516" w:type="dxa"/>
            <w:tcBorders>
              <w:top w:val="double" w:sz="6" w:space="0" w:color="000000"/>
            </w:tcBorders>
          </w:tcPr>
          <w:p>
            <w:pPr>
              <w:pStyle w:val="TableParagraph"/>
              <w:rPr>
                <w:sz w:val="12"/>
              </w:rPr>
            </w:pPr>
          </w:p>
        </w:tc>
        <w:tc>
          <w:tcPr>
            <w:tcW w:w="1289" w:type="dxa"/>
            <w:tcBorders>
              <w:top w:val="double" w:sz="6" w:space="0" w:color="000000"/>
            </w:tcBorders>
          </w:tcPr>
          <w:p>
            <w:pPr>
              <w:pStyle w:val="TableParagraph"/>
              <w:rPr>
                <w:sz w:val="12"/>
              </w:rPr>
            </w:pPr>
          </w:p>
        </w:tc>
        <w:tc>
          <w:tcPr>
            <w:tcW w:w="1552" w:type="dxa"/>
            <w:tcBorders>
              <w:top w:val="double" w:sz="6" w:space="0" w:color="000000"/>
            </w:tcBorders>
          </w:tcPr>
          <w:p>
            <w:pPr>
              <w:pStyle w:val="TableParagraph"/>
              <w:rPr>
                <w:sz w:val="12"/>
              </w:rPr>
            </w:pPr>
          </w:p>
        </w:tc>
        <w:tc>
          <w:tcPr>
            <w:tcW w:w="1200" w:type="dxa"/>
            <w:tcBorders>
              <w:top w:val="double" w:sz="6" w:space="0" w:color="000000"/>
            </w:tcBorders>
          </w:tcPr>
          <w:p>
            <w:pPr>
              <w:pStyle w:val="TableParagraph"/>
              <w:rPr>
                <w:sz w:val="12"/>
              </w:rPr>
            </w:pPr>
          </w:p>
        </w:tc>
        <w:tc>
          <w:tcPr>
            <w:tcW w:w="1349" w:type="dxa"/>
            <w:tcBorders>
              <w:top w:val="double" w:sz="6" w:space="0" w:color="000000"/>
            </w:tcBorders>
          </w:tcPr>
          <w:p>
            <w:pPr>
              <w:pStyle w:val="TableParagraph"/>
              <w:rPr>
                <w:sz w:val="12"/>
              </w:rPr>
            </w:pPr>
          </w:p>
        </w:tc>
      </w:tr>
      <w:tr>
        <w:trPr>
          <w:trHeight w:val="203" w:hRule="atLeast"/>
        </w:trPr>
        <w:tc>
          <w:tcPr>
            <w:tcW w:w="4611" w:type="dxa"/>
            <w:shd w:val="clear" w:color="auto" w:fill="CCEDFF"/>
          </w:tcPr>
          <w:p>
            <w:pPr>
              <w:pStyle w:val="TableParagraph"/>
              <w:spacing w:line="180" w:lineRule="exact" w:before="3"/>
              <w:rPr>
                <w:sz w:val="16"/>
              </w:rPr>
            </w:pPr>
            <w:r>
              <w:rPr>
                <w:w w:val="105"/>
                <w:sz w:val="16"/>
              </w:rPr>
              <w:t>Shares</w:t>
            </w:r>
            <w:r>
              <w:rPr>
                <w:spacing w:val="-9"/>
                <w:w w:val="105"/>
                <w:sz w:val="16"/>
              </w:rPr>
              <w:t> </w:t>
            </w:r>
            <w:r>
              <w:rPr>
                <w:w w:val="105"/>
                <w:sz w:val="16"/>
              </w:rPr>
              <w:t>issued</w:t>
            </w:r>
            <w:r>
              <w:rPr>
                <w:spacing w:val="-8"/>
                <w:w w:val="105"/>
                <w:sz w:val="16"/>
              </w:rPr>
              <w:t> </w:t>
            </w:r>
            <w:r>
              <w:rPr>
                <w:w w:val="105"/>
                <w:sz w:val="16"/>
              </w:rPr>
              <w:t>to</w:t>
            </w:r>
            <w:r>
              <w:rPr>
                <w:spacing w:val="-9"/>
                <w:w w:val="105"/>
                <w:sz w:val="16"/>
              </w:rPr>
              <w:t> </w:t>
            </w:r>
            <w:r>
              <w:rPr>
                <w:w w:val="105"/>
                <w:sz w:val="16"/>
              </w:rPr>
              <w:t>benefit</w:t>
            </w:r>
            <w:r>
              <w:rPr>
                <w:spacing w:val="-8"/>
                <w:w w:val="105"/>
                <w:sz w:val="16"/>
              </w:rPr>
              <w:t> </w:t>
            </w:r>
            <w:r>
              <w:rPr>
                <w:w w:val="105"/>
                <w:sz w:val="16"/>
              </w:rPr>
              <w:t>plans</w:t>
            </w:r>
            <w:r>
              <w:rPr>
                <w:spacing w:val="-7"/>
                <w:w w:val="105"/>
                <w:sz w:val="16"/>
              </w:rPr>
              <w:t> </w:t>
            </w:r>
            <w:r>
              <w:rPr>
                <w:w w:val="105"/>
                <w:sz w:val="16"/>
              </w:rPr>
              <w:t>and</w:t>
            </w:r>
            <w:r>
              <w:rPr>
                <w:spacing w:val="-9"/>
                <w:w w:val="105"/>
                <w:sz w:val="16"/>
              </w:rPr>
              <w:t> </w:t>
            </w:r>
            <w:r>
              <w:rPr>
                <w:w w:val="105"/>
                <w:sz w:val="16"/>
              </w:rPr>
              <w:t>for</w:t>
            </w:r>
            <w:r>
              <w:rPr>
                <w:spacing w:val="-8"/>
                <w:w w:val="105"/>
                <w:sz w:val="16"/>
              </w:rPr>
              <w:t> </w:t>
            </w:r>
            <w:r>
              <w:rPr>
                <w:w w:val="105"/>
                <w:sz w:val="16"/>
              </w:rPr>
              <w:t>option</w:t>
            </w:r>
            <w:r>
              <w:rPr>
                <w:spacing w:val="-9"/>
                <w:w w:val="105"/>
                <w:sz w:val="16"/>
              </w:rPr>
              <w:t> </w:t>
            </w:r>
            <w:r>
              <w:rPr>
                <w:spacing w:val="-2"/>
                <w:w w:val="105"/>
                <w:sz w:val="16"/>
              </w:rPr>
              <w:t>exercises</w:t>
            </w:r>
          </w:p>
        </w:tc>
        <w:tc>
          <w:tcPr>
            <w:tcW w:w="1516" w:type="dxa"/>
            <w:shd w:val="clear" w:color="auto" w:fill="CCEDFF"/>
          </w:tcPr>
          <w:p>
            <w:pPr>
              <w:pStyle w:val="TableParagraph"/>
              <w:rPr>
                <w:sz w:val="14"/>
              </w:rPr>
            </w:pPr>
          </w:p>
        </w:tc>
        <w:tc>
          <w:tcPr>
            <w:tcW w:w="1289" w:type="dxa"/>
            <w:shd w:val="clear" w:color="auto" w:fill="CCEDFF"/>
          </w:tcPr>
          <w:p>
            <w:pPr>
              <w:pStyle w:val="TableParagraph"/>
              <w:spacing w:line="180" w:lineRule="exact" w:before="3"/>
              <w:ind w:left="-1" w:right="140"/>
              <w:jc w:val="right"/>
              <w:rPr>
                <w:sz w:val="16"/>
              </w:rPr>
            </w:pPr>
            <w:r>
              <w:rPr>
                <w:spacing w:val="-10"/>
                <w:w w:val="105"/>
                <w:sz w:val="16"/>
              </w:rPr>
              <w:t>5</w:t>
            </w:r>
          </w:p>
        </w:tc>
        <w:tc>
          <w:tcPr>
            <w:tcW w:w="1552" w:type="dxa"/>
            <w:shd w:val="clear" w:color="auto" w:fill="CCEDFF"/>
          </w:tcPr>
          <w:p>
            <w:pPr>
              <w:pStyle w:val="TableParagraph"/>
              <w:spacing w:line="180" w:lineRule="exact" w:before="3"/>
              <w:ind w:right="316"/>
              <w:jc w:val="right"/>
              <w:rPr>
                <w:sz w:val="16"/>
              </w:rPr>
            </w:pPr>
            <w:r>
              <w:rPr>
                <w:spacing w:val="-10"/>
                <w:w w:val="105"/>
                <w:sz w:val="16"/>
              </w:rPr>
              <w:t>2</w:t>
            </w:r>
          </w:p>
        </w:tc>
        <w:tc>
          <w:tcPr>
            <w:tcW w:w="1200" w:type="dxa"/>
            <w:shd w:val="clear" w:color="auto" w:fill="CCEDFF"/>
          </w:tcPr>
          <w:p>
            <w:pPr>
              <w:pStyle w:val="TableParagraph"/>
              <w:rPr>
                <w:sz w:val="14"/>
              </w:rPr>
            </w:pPr>
          </w:p>
        </w:tc>
        <w:tc>
          <w:tcPr>
            <w:tcW w:w="1349" w:type="dxa"/>
            <w:shd w:val="clear" w:color="auto" w:fill="CCEDFF"/>
          </w:tcPr>
          <w:p>
            <w:pPr>
              <w:pStyle w:val="TableParagraph"/>
              <w:rPr>
                <w:sz w:val="14"/>
              </w:rPr>
            </w:pPr>
          </w:p>
        </w:tc>
      </w:tr>
      <w:tr>
        <w:trPr>
          <w:trHeight w:val="203" w:hRule="atLeast"/>
        </w:trPr>
        <w:tc>
          <w:tcPr>
            <w:tcW w:w="4611" w:type="dxa"/>
          </w:tcPr>
          <w:p>
            <w:pPr>
              <w:pStyle w:val="TableParagraph"/>
              <w:spacing w:line="180" w:lineRule="exact" w:before="3"/>
              <w:rPr>
                <w:sz w:val="16"/>
              </w:rPr>
            </w:pPr>
            <w:r>
              <w:rPr>
                <w:spacing w:val="-2"/>
                <w:w w:val="105"/>
                <w:sz w:val="16"/>
              </w:rPr>
              <w:t>Shares</w:t>
            </w:r>
            <w:r>
              <w:rPr>
                <w:w w:val="105"/>
                <w:sz w:val="16"/>
              </w:rPr>
              <w:t> </w:t>
            </w:r>
            <w:r>
              <w:rPr>
                <w:spacing w:val="-2"/>
                <w:w w:val="105"/>
                <w:sz w:val="16"/>
              </w:rPr>
              <w:t>purchased</w:t>
            </w:r>
            <w:r>
              <w:rPr>
                <w:spacing w:val="1"/>
                <w:w w:val="105"/>
                <w:sz w:val="16"/>
              </w:rPr>
              <w:t> </w:t>
            </w:r>
            <w:r>
              <w:rPr>
                <w:spacing w:val="-2"/>
                <w:w w:val="105"/>
                <w:sz w:val="16"/>
              </w:rPr>
              <w:t>for</w:t>
            </w:r>
            <w:r>
              <w:rPr>
                <w:spacing w:val="1"/>
                <w:w w:val="105"/>
                <w:sz w:val="16"/>
              </w:rPr>
              <w:t> </w:t>
            </w:r>
            <w:r>
              <w:rPr>
                <w:spacing w:val="-2"/>
                <w:w w:val="105"/>
                <w:sz w:val="16"/>
              </w:rPr>
              <w:t>treasury</w:t>
            </w:r>
          </w:p>
        </w:tc>
        <w:tc>
          <w:tcPr>
            <w:tcW w:w="1516" w:type="dxa"/>
          </w:tcPr>
          <w:p>
            <w:pPr>
              <w:pStyle w:val="TableParagraph"/>
              <w:rPr>
                <w:sz w:val="14"/>
              </w:rPr>
            </w:pPr>
          </w:p>
        </w:tc>
        <w:tc>
          <w:tcPr>
            <w:tcW w:w="1289" w:type="dxa"/>
          </w:tcPr>
          <w:p>
            <w:pPr>
              <w:pStyle w:val="TableParagraph"/>
              <w:rPr>
                <w:sz w:val="14"/>
              </w:rPr>
            </w:pPr>
          </w:p>
        </w:tc>
        <w:tc>
          <w:tcPr>
            <w:tcW w:w="1552" w:type="dxa"/>
          </w:tcPr>
          <w:p>
            <w:pPr>
              <w:pStyle w:val="TableParagraph"/>
              <w:rPr>
                <w:sz w:val="14"/>
              </w:rPr>
            </w:pPr>
          </w:p>
        </w:tc>
        <w:tc>
          <w:tcPr>
            <w:tcW w:w="1200" w:type="dxa"/>
          </w:tcPr>
          <w:p>
            <w:pPr>
              <w:pStyle w:val="TableParagraph"/>
              <w:spacing w:line="180" w:lineRule="exact" w:before="3"/>
              <w:ind w:right="85"/>
              <w:jc w:val="right"/>
              <w:rPr>
                <w:sz w:val="16"/>
              </w:rPr>
            </w:pPr>
            <w:r>
              <w:rPr>
                <w:spacing w:val="-4"/>
                <w:w w:val="105"/>
                <w:sz w:val="16"/>
              </w:rPr>
              <w:t>(31)</w:t>
            </w:r>
          </w:p>
        </w:tc>
        <w:tc>
          <w:tcPr>
            <w:tcW w:w="1349" w:type="dxa"/>
          </w:tcPr>
          <w:p>
            <w:pPr>
              <w:pStyle w:val="TableParagraph"/>
              <w:spacing w:line="180" w:lineRule="exact" w:before="3"/>
              <w:ind w:right="60"/>
              <w:jc w:val="right"/>
              <w:rPr>
                <w:sz w:val="16"/>
              </w:rPr>
            </w:pPr>
            <w:r>
              <w:rPr>
                <w:spacing w:val="-2"/>
                <w:w w:val="105"/>
                <w:sz w:val="16"/>
              </w:rPr>
              <w:t>(925)</w:t>
            </w:r>
          </w:p>
        </w:tc>
      </w:tr>
      <w:tr>
        <w:trPr>
          <w:trHeight w:val="202" w:hRule="atLeast"/>
        </w:trPr>
        <w:tc>
          <w:tcPr>
            <w:tcW w:w="4611" w:type="dxa"/>
            <w:tcBorders>
              <w:bottom w:val="single" w:sz="6" w:space="0" w:color="000000"/>
            </w:tcBorders>
            <w:shd w:val="clear" w:color="auto" w:fill="CCEDFF"/>
          </w:tcPr>
          <w:p>
            <w:pPr>
              <w:pStyle w:val="TableParagraph"/>
              <w:spacing w:line="183" w:lineRule="exact"/>
              <w:rPr>
                <w:sz w:val="14"/>
              </w:rPr>
            </w:pPr>
            <w:r>
              <w:rPr>
                <w:sz w:val="16"/>
              </w:rPr>
              <w:t>Other,</w:t>
            </w:r>
            <w:r>
              <w:rPr>
                <w:spacing w:val="8"/>
                <w:sz w:val="16"/>
              </w:rPr>
              <w:t> </w:t>
            </w:r>
            <w:r>
              <w:rPr>
                <w:sz w:val="16"/>
              </w:rPr>
              <w:t>net</w:t>
            </w:r>
            <w:r>
              <w:rPr>
                <w:spacing w:val="10"/>
                <w:sz w:val="16"/>
              </w:rPr>
              <w:t> </w:t>
            </w:r>
            <w:r>
              <w:rPr>
                <w:spacing w:val="-5"/>
                <w:position w:val="3"/>
                <w:sz w:val="14"/>
              </w:rPr>
              <w:t>(1)</w:t>
            </w:r>
          </w:p>
        </w:tc>
        <w:tc>
          <w:tcPr>
            <w:tcW w:w="1516" w:type="dxa"/>
            <w:tcBorders>
              <w:bottom w:val="single" w:sz="6" w:space="0" w:color="000000"/>
            </w:tcBorders>
            <w:shd w:val="clear" w:color="auto" w:fill="CCEDFF"/>
          </w:tcPr>
          <w:p>
            <w:pPr>
              <w:pStyle w:val="TableParagraph"/>
              <w:rPr>
                <w:sz w:val="14"/>
              </w:rPr>
            </w:pPr>
          </w:p>
        </w:tc>
        <w:tc>
          <w:tcPr>
            <w:tcW w:w="1289" w:type="dxa"/>
            <w:tcBorders>
              <w:bottom w:val="single" w:sz="6" w:space="0" w:color="000000"/>
            </w:tcBorders>
            <w:shd w:val="clear" w:color="auto" w:fill="CCEDFF"/>
          </w:tcPr>
          <w:p>
            <w:pPr>
              <w:pStyle w:val="TableParagraph"/>
              <w:rPr>
                <w:sz w:val="14"/>
              </w:rPr>
            </w:pPr>
          </w:p>
        </w:tc>
        <w:tc>
          <w:tcPr>
            <w:tcW w:w="1552" w:type="dxa"/>
            <w:tcBorders>
              <w:bottom w:val="single" w:sz="6" w:space="0" w:color="000000"/>
            </w:tcBorders>
            <w:shd w:val="clear" w:color="auto" w:fill="CCEDFF"/>
          </w:tcPr>
          <w:p>
            <w:pPr>
              <w:pStyle w:val="TableParagraph"/>
              <w:rPr>
                <w:sz w:val="14"/>
              </w:rPr>
            </w:pPr>
          </w:p>
        </w:tc>
        <w:tc>
          <w:tcPr>
            <w:tcW w:w="1200" w:type="dxa"/>
            <w:tcBorders>
              <w:bottom w:val="single" w:sz="6" w:space="0" w:color="000000"/>
            </w:tcBorders>
            <w:shd w:val="clear" w:color="auto" w:fill="CCEDFF"/>
          </w:tcPr>
          <w:p>
            <w:pPr>
              <w:pStyle w:val="TableParagraph"/>
              <w:rPr>
                <w:sz w:val="14"/>
              </w:rPr>
            </w:pPr>
          </w:p>
        </w:tc>
        <w:tc>
          <w:tcPr>
            <w:tcW w:w="1349" w:type="dxa"/>
            <w:tcBorders>
              <w:bottom w:val="single" w:sz="6" w:space="0" w:color="000000"/>
            </w:tcBorders>
            <w:shd w:val="clear" w:color="auto" w:fill="CCEDFF"/>
          </w:tcPr>
          <w:p>
            <w:pPr>
              <w:pStyle w:val="TableParagraph"/>
              <w:spacing w:line="179" w:lineRule="exact" w:before="3"/>
              <w:ind w:right="60"/>
              <w:jc w:val="right"/>
              <w:rPr>
                <w:sz w:val="16"/>
              </w:rPr>
            </w:pPr>
            <w:r>
              <w:rPr>
                <w:spacing w:val="-4"/>
                <w:w w:val="105"/>
                <w:sz w:val="16"/>
              </w:rPr>
              <w:t>(17)</w:t>
            </w:r>
          </w:p>
        </w:tc>
      </w:tr>
      <w:tr>
        <w:trPr>
          <w:trHeight w:val="199" w:hRule="atLeast"/>
        </w:trPr>
        <w:tc>
          <w:tcPr>
            <w:tcW w:w="4611" w:type="dxa"/>
            <w:tcBorders>
              <w:top w:val="single" w:sz="6" w:space="0" w:color="000000"/>
              <w:bottom w:val="double" w:sz="6" w:space="0" w:color="000000"/>
            </w:tcBorders>
          </w:tcPr>
          <w:p>
            <w:pPr>
              <w:pStyle w:val="TableParagraph"/>
              <w:spacing w:line="177" w:lineRule="exact" w:before="2"/>
              <w:rPr>
                <w:sz w:val="16"/>
              </w:rPr>
            </w:pPr>
            <w:r>
              <w:rPr>
                <w:w w:val="105"/>
                <w:sz w:val="16"/>
              </w:rPr>
              <w:t>Balance</w:t>
            </w:r>
            <w:r>
              <w:rPr>
                <w:spacing w:val="-9"/>
                <w:w w:val="105"/>
                <w:sz w:val="16"/>
              </w:rPr>
              <w:t> </w:t>
            </w:r>
            <w:r>
              <w:rPr>
                <w:w w:val="105"/>
                <w:sz w:val="16"/>
              </w:rPr>
              <w:t>at</w:t>
            </w:r>
            <w:r>
              <w:rPr>
                <w:spacing w:val="-8"/>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2019</w:t>
            </w:r>
          </w:p>
        </w:tc>
        <w:tc>
          <w:tcPr>
            <w:tcW w:w="1516" w:type="dxa"/>
            <w:tcBorders>
              <w:top w:val="single" w:sz="6" w:space="0" w:color="000000"/>
              <w:bottom w:val="double" w:sz="6" w:space="0" w:color="000000"/>
            </w:tcBorders>
          </w:tcPr>
          <w:p>
            <w:pPr>
              <w:pStyle w:val="TableParagraph"/>
              <w:rPr>
                <w:sz w:val="12"/>
              </w:rPr>
            </w:pPr>
          </w:p>
        </w:tc>
        <w:tc>
          <w:tcPr>
            <w:tcW w:w="1289" w:type="dxa"/>
            <w:tcBorders>
              <w:top w:val="single" w:sz="6" w:space="0" w:color="000000"/>
              <w:bottom w:val="double" w:sz="6" w:space="0" w:color="000000"/>
            </w:tcBorders>
          </w:tcPr>
          <w:p>
            <w:pPr>
              <w:pStyle w:val="TableParagraph"/>
              <w:spacing w:line="177" w:lineRule="exact" w:before="2"/>
              <w:ind w:left="-1" w:right="140"/>
              <w:jc w:val="right"/>
              <w:rPr>
                <w:sz w:val="16"/>
              </w:rPr>
            </w:pPr>
            <w:r>
              <w:rPr>
                <w:spacing w:val="-4"/>
                <w:w w:val="105"/>
                <w:sz w:val="16"/>
              </w:rPr>
              <w:t>1,718</w:t>
            </w:r>
          </w:p>
        </w:tc>
        <w:tc>
          <w:tcPr>
            <w:tcW w:w="1552" w:type="dxa"/>
            <w:tcBorders>
              <w:top w:val="single" w:sz="6" w:space="0" w:color="000000"/>
              <w:bottom w:val="double" w:sz="6" w:space="0" w:color="000000"/>
            </w:tcBorders>
          </w:tcPr>
          <w:p>
            <w:pPr>
              <w:pStyle w:val="TableParagraph"/>
              <w:tabs>
                <w:tab w:pos="897" w:val="left" w:leader="none"/>
              </w:tabs>
              <w:spacing w:line="177" w:lineRule="exact" w:before="2"/>
              <w:ind w:right="316"/>
              <w:jc w:val="right"/>
              <w:rPr>
                <w:sz w:val="16"/>
              </w:rPr>
            </w:pPr>
            <w:r>
              <w:rPr>
                <w:spacing w:val="-10"/>
                <w:w w:val="105"/>
                <w:sz w:val="16"/>
              </w:rPr>
              <w:t>$</w:t>
            </w:r>
            <w:r>
              <w:rPr>
                <w:sz w:val="16"/>
              </w:rPr>
              <w:tab/>
            </w:r>
            <w:r>
              <w:rPr>
                <w:spacing w:val="-5"/>
                <w:w w:val="105"/>
                <w:sz w:val="16"/>
              </w:rPr>
              <w:t>859</w:t>
            </w:r>
          </w:p>
        </w:tc>
        <w:tc>
          <w:tcPr>
            <w:tcW w:w="1200" w:type="dxa"/>
            <w:tcBorders>
              <w:top w:val="single" w:sz="6" w:space="0" w:color="000000"/>
              <w:bottom w:val="double" w:sz="6" w:space="0" w:color="000000"/>
            </w:tcBorders>
          </w:tcPr>
          <w:p>
            <w:pPr>
              <w:pStyle w:val="TableParagraph"/>
              <w:spacing w:line="177" w:lineRule="exact" w:before="2"/>
              <w:ind w:right="85"/>
              <w:jc w:val="right"/>
              <w:rPr>
                <w:sz w:val="16"/>
              </w:rPr>
            </w:pPr>
            <w:r>
              <w:rPr>
                <w:spacing w:val="-2"/>
                <w:w w:val="105"/>
                <w:sz w:val="16"/>
              </w:rPr>
              <w:t>(956)</w:t>
            </w:r>
          </w:p>
        </w:tc>
        <w:tc>
          <w:tcPr>
            <w:tcW w:w="1349" w:type="dxa"/>
            <w:tcBorders>
              <w:top w:val="single" w:sz="6" w:space="0" w:color="000000"/>
              <w:bottom w:val="double" w:sz="6" w:space="0" w:color="000000"/>
            </w:tcBorders>
          </w:tcPr>
          <w:p>
            <w:pPr>
              <w:pStyle w:val="TableParagraph"/>
              <w:tabs>
                <w:tab w:pos="635" w:val="left" w:leader="none"/>
              </w:tabs>
              <w:spacing w:line="177" w:lineRule="exact" w:before="2"/>
              <w:ind w:right="60"/>
              <w:jc w:val="right"/>
              <w:rPr>
                <w:sz w:val="16"/>
              </w:rPr>
            </w:pPr>
            <w:r>
              <w:rPr>
                <w:spacing w:val="-10"/>
                <w:w w:val="105"/>
                <w:sz w:val="16"/>
              </w:rPr>
              <w:t>$</w:t>
            </w:r>
            <w:r>
              <w:rPr>
                <w:sz w:val="16"/>
              </w:rPr>
              <w:tab/>
            </w:r>
            <w:r>
              <w:rPr>
                <w:spacing w:val="-2"/>
                <w:w w:val="105"/>
                <w:sz w:val="16"/>
              </w:rPr>
              <w:t>(19,812)</w:t>
            </w:r>
          </w:p>
        </w:tc>
      </w:tr>
      <w:tr>
        <w:trPr>
          <w:trHeight w:val="200" w:hRule="atLeast"/>
        </w:trPr>
        <w:tc>
          <w:tcPr>
            <w:tcW w:w="4611" w:type="dxa"/>
            <w:tcBorders>
              <w:top w:val="double" w:sz="6" w:space="0" w:color="000000"/>
            </w:tcBorders>
            <w:shd w:val="clear" w:color="auto" w:fill="CCEDFF"/>
          </w:tcPr>
          <w:p>
            <w:pPr>
              <w:pStyle w:val="TableParagraph"/>
              <w:rPr>
                <w:sz w:val="12"/>
              </w:rPr>
            </w:pPr>
          </w:p>
        </w:tc>
        <w:tc>
          <w:tcPr>
            <w:tcW w:w="1516" w:type="dxa"/>
            <w:tcBorders>
              <w:top w:val="double" w:sz="6" w:space="0" w:color="000000"/>
            </w:tcBorders>
            <w:shd w:val="clear" w:color="auto" w:fill="CCEDFF"/>
          </w:tcPr>
          <w:p>
            <w:pPr>
              <w:pStyle w:val="TableParagraph"/>
              <w:rPr>
                <w:sz w:val="12"/>
              </w:rPr>
            </w:pPr>
          </w:p>
        </w:tc>
        <w:tc>
          <w:tcPr>
            <w:tcW w:w="1289" w:type="dxa"/>
            <w:tcBorders>
              <w:top w:val="double" w:sz="6" w:space="0" w:color="000000"/>
            </w:tcBorders>
            <w:shd w:val="clear" w:color="auto" w:fill="CCEDFF"/>
          </w:tcPr>
          <w:p>
            <w:pPr>
              <w:pStyle w:val="TableParagraph"/>
              <w:rPr>
                <w:sz w:val="12"/>
              </w:rPr>
            </w:pPr>
          </w:p>
        </w:tc>
        <w:tc>
          <w:tcPr>
            <w:tcW w:w="1552" w:type="dxa"/>
            <w:tcBorders>
              <w:top w:val="double" w:sz="6" w:space="0" w:color="000000"/>
            </w:tcBorders>
            <w:shd w:val="clear" w:color="auto" w:fill="CCEDFF"/>
          </w:tcPr>
          <w:p>
            <w:pPr>
              <w:pStyle w:val="TableParagraph"/>
              <w:rPr>
                <w:sz w:val="12"/>
              </w:rPr>
            </w:pPr>
          </w:p>
        </w:tc>
        <w:tc>
          <w:tcPr>
            <w:tcW w:w="1200" w:type="dxa"/>
            <w:tcBorders>
              <w:top w:val="double" w:sz="6" w:space="0" w:color="000000"/>
            </w:tcBorders>
            <w:shd w:val="clear" w:color="auto" w:fill="CCEDFF"/>
          </w:tcPr>
          <w:p>
            <w:pPr>
              <w:pStyle w:val="TableParagraph"/>
              <w:rPr>
                <w:sz w:val="12"/>
              </w:rPr>
            </w:pPr>
          </w:p>
        </w:tc>
        <w:tc>
          <w:tcPr>
            <w:tcW w:w="1349" w:type="dxa"/>
            <w:tcBorders>
              <w:top w:val="double" w:sz="6" w:space="0" w:color="000000"/>
            </w:tcBorders>
            <w:shd w:val="clear" w:color="auto" w:fill="CCEDFF"/>
          </w:tcPr>
          <w:p>
            <w:pPr>
              <w:pStyle w:val="TableParagraph"/>
              <w:rPr>
                <w:sz w:val="12"/>
              </w:rPr>
            </w:pPr>
          </w:p>
        </w:tc>
      </w:tr>
      <w:tr>
        <w:trPr>
          <w:trHeight w:val="203" w:hRule="atLeast"/>
        </w:trPr>
        <w:tc>
          <w:tcPr>
            <w:tcW w:w="4611" w:type="dxa"/>
          </w:tcPr>
          <w:p>
            <w:pPr>
              <w:pStyle w:val="TableParagraph"/>
              <w:spacing w:line="180" w:lineRule="exact" w:before="3"/>
              <w:rPr>
                <w:sz w:val="16"/>
              </w:rPr>
            </w:pPr>
            <w:r>
              <w:rPr>
                <w:w w:val="105"/>
                <w:sz w:val="16"/>
              </w:rPr>
              <w:t>Shares</w:t>
            </w:r>
            <w:r>
              <w:rPr>
                <w:spacing w:val="-9"/>
                <w:w w:val="105"/>
                <w:sz w:val="16"/>
              </w:rPr>
              <w:t> </w:t>
            </w:r>
            <w:r>
              <w:rPr>
                <w:w w:val="105"/>
                <w:sz w:val="16"/>
              </w:rPr>
              <w:t>issued</w:t>
            </w:r>
            <w:r>
              <w:rPr>
                <w:spacing w:val="-8"/>
                <w:w w:val="105"/>
                <w:sz w:val="16"/>
              </w:rPr>
              <w:t> </w:t>
            </w:r>
            <w:r>
              <w:rPr>
                <w:w w:val="105"/>
                <w:sz w:val="16"/>
              </w:rPr>
              <w:t>to</w:t>
            </w:r>
            <w:r>
              <w:rPr>
                <w:spacing w:val="-9"/>
                <w:w w:val="105"/>
                <w:sz w:val="16"/>
              </w:rPr>
              <w:t> </w:t>
            </w:r>
            <w:r>
              <w:rPr>
                <w:w w:val="105"/>
                <w:sz w:val="16"/>
              </w:rPr>
              <w:t>benefit</w:t>
            </w:r>
            <w:r>
              <w:rPr>
                <w:spacing w:val="-8"/>
                <w:w w:val="105"/>
                <w:sz w:val="16"/>
              </w:rPr>
              <w:t> </w:t>
            </w:r>
            <w:r>
              <w:rPr>
                <w:w w:val="105"/>
                <w:sz w:val="16"/>
              </w:rPr>
              <w:t>plans</w:t>
            </w:r>
            <w:r>
              <w:rPr>
                <w:spacing w:val="-7"/>
                <w:w w:val="105"/>
                <w:sz w:val="16"/>
              </w:rPr>
              <w:t> </w:t>
            </w:r>
            <w:r>
              <w:rPr>
                <w:w w:val="105"/>
                <w:sz w:val="16"/>
              </w:rPr>
              <w:t>and</w:t>
            </w:r>
            <w:r>
              <w:rPr>
                <w:spacing w:val="-9"/>
                <w:w w:val="105"/>
                <w:sz w:val="16"/>
              </w:rPr>
              <w:t> </w:t>
            </w:r>
            <w:r>
              <w:rPr>
                <w:w w:val="105"/>
                <w:sz w:val="16"/>
              </w:rPr>
              <w:t>for</w:t>
            </w:r>
            <w:r>
              <w:rPr>
                <w:spacing w:val="-8"/>
                <w:w w:val="105"/>
                <w:sz w:val="16"/>
              </w:rPr>
              <w:t> </w:t>
            </w:r>
            <w:r>
              <w:rPr>
                <w:w w:val="105"/>
                <w:sz w:val="16"/>
              </w:rPr>
              <w:t>option</w:t>
            </w:r>
            <w:r>
              <w:rPr>
                <w:spacing w:val="-9"/>
                <w:w w:val="105"/>
                <w:sz w:val="16"/>
              </w:rPr>
              <w:t> </w:t>
            </w:r>
            <w:r>
              <w:rPr>
                <w:spacing w:val="-2"/>
                <w:w w:val="105"/>
                <w:sz w:val="16"/>
              </w:rPr>
              <w:t>exercises</w:t>
            </w:r>
          </w:p>
        </w:tc>
        <w:tc>
          <w:tcPr>
            <w:tcW w:w="1516" w:type="dxa"/>
          </w:tcPr>
          <w:p>
            <w:pPr>
              <w:pStyle w:val="TableParagraph"/>
              <w:rPr>
                <w:sz w:val="14"/>
              </w:rPr>
            </w:pPr>
          </w:p>
        </w:tc>
        <w:tc>
          <w:tcPr>
            <w:tcW w:w="1289" w:type="dxa"/>
          </w:tcPr>
          <w:p>
            <w:pPr>
              <w:pStyle w:val="TableParagraph"/>
              <w:spacing w:line="180" w:lineRule="exact" w:before="3"/>
              <w:ind w:left="-1" w:right="140"/>
              <w:jc w:val="right"/>
              <w:rPr>
                <w:sz w:val="16"/>
              </w:rPr>
            </w:pPr>
            <w:r>
              <w:rPr>
                <w:spacing w:val="-10"/>
                <w:w w:val="105"/>
                <w:sz w:val="16"/>
              </w:rPr>
              <w:t>8</w:t>
            </w:r>
          </w:p>
        </w:tc>
        <w:tc>
          <w:tcPr>
            <w:tcW w:w="1552" w:type="dxa"/>
          </w:tcPr>
          <w:p>
            <w:pPr>
              <w:pStyle w:val="TableParagraph"/>
              <w:spacing w:line="180" w:lineRule="exact" w:before="3"/>
              <w:ind w:right="316"/>
              <w:jc w:val="right"/>
              <w:rPr>
                <w:sz w:val="16"/>
              </w:rPr>
            </w:pPr>
            <w:r>
              <w:rPr>
                <w:spacing w:val="-10"/>
                <w:w w:val="105"/>
                <w:sz w:val="16"/>
              </w:rPr>
              <w:t>4</w:t>
            </w:r>
          </w:p>
        </w:tc>
        <w:tc>
          <w:tcPr>
            <w:tcW w:w="1200" w:type="dxa"/>
          </w:tcPr>
          <w:p>
            <w:pPr>
              <w:pStyle w:val="TableParagraph"/>
              <w:rPr>
                <w:sz w:val="14"/>
              </w:rPr>
            </w:pPr>
          </w:p>
        </w:tc>
        <w:tc>
          <w:tcPr>
            <w:tcW w:w="1349" w:type="dxa"/>
          </w:tcPr>
          <w:p>
            <w:pPr>
              <w:pStyle w:val="TableParagraph"/>
              <w:rPr>
                <w:sz w:val="14"/>
              </w:rPr>
            </w:pPr>
          </w:p>
        </w:tc>
      </w:tr>
      <w:tr>
        <w:trPr>
          <w:trHeight w:val="203" w:hRule="atLeast"/>
        </w:trPr>
        <w:tc>
          <w:tcPr>
            <w:tcW w:w="4611" w:type="dxa"/>
            <w:shd w:val="clear" w:color="auto" w:fill="CCEDFF"/>
          </w:tcPr>
          <w:p>
            <w:pPr>
              <w:pStyle w:val="TableParagraph"/>
              <w:spacing w:line="180" w:lineRule="exact" w:before="3"/>
              <w:rPr>
                <w:sz w:val="16"/>
              </w:rPr>
            </w:pPr>
            <w:r>
              <w:rPr>
                <w:spacing w:val="-2"/>
                <w:w w:val="105"/>
                <w:sz w:val="16"/>
              </w:rPr>
              <w:t>Shares</w:t>
            </w:r>
            <w:r>
              <w:rPr>
                <w:w w:val="105"/>
                <w:sz w:val="16"/>
              </w:rPr>
              <w:t> </w:t>
            </w:r>
            <w:r>
              <w:rPr>
                <w:spacing w:val="-2"/>
                <w:w w:val="105"/>
                <w:sz w:val="16"/>
              </w:rPr>
              <w:t>purchased</w:t>
            </w:r>
            <w:r>
              <w:rPr>
                <w:spacing w:val="1"/>
                <w:w w:val="105"/>
                <w:sz w:val="16"/>
              </w:rPr>
              <w:t> </w:t>
            </w:r>
            <w:r>
              <w:rPr>
                <w:spacing w:val="-2"/>
                <w:w w:val="105"/>
                <w:sz w:val="16"/>
              </w:rPr>
              <w:t>for</w:t>
            </w:r>
            <w:r>
              <w:rPr>
                <w:spacing w:val="1"/>
                <w:w w:val="105"/>
                <w:sz w:val="16"/>
              </w:rPr>
              <w:t> </w:t>
            </w:r>
            <w:r>
              <w:rPr>
                <w:spacing w:val="-2"/>
                <w:w w:val="105"/>
                <w:sz w:val="16"/>
              </w:rPr>
              <w:t>treasury</w:t>
            </w:r>
          </w:p>
        </w:tc>
        <w:tc>
          <w:tcPr>
            <w:tcW w:w="1516" w:type="dxa"/>
            <w:shd w:val="clear" w:color="auto" w:fill="CCEDFF"/>
          </w:tcPr>
          <w:p>
            <w:pPr>
              <w:pStyle w:val="TableParagraph"/>
              <w:rPr>
                <w:sz w:val="14"/>
              </w:rPr>
            </w:pPr>
          </w:p>
        </w:tc>
        <w:tc>
          <w:tcPr>
            <w:tcW w:w="1289" w:type="dxa"/>
            <w:shd w:val="clear" w:color="auto" w:fill="CCEDFF"/>
          </w:tcPr>
          <w:p>
            <w:pPr>
              <w:pStyle w:val="TableParagraph"/>
              <w:rPr>
                <w:sz w:val="14"/>
              </w:rPr>
            </w:pPr>
          </w:p>
        </w:tc>
        <w:tc>
          <w:tcPr>
            <w:tcW w:w="1552" w:type="dxa"/>
            <w:shd w:val="clear" w:color="auto" w:fill="CCEDFF"/>
          </w:tcPr>
          <w:p>
            <w:pPr>
              <w:pStyle w:val="TableParagraph"/>
              <w:rPr>
                <w:sz w:val="14"/>
              </w:rPr>
            </w:pPr>
          </w:p>
        </w:tc>
        <w:tc>
          <w:tcPr>
            <w:tcW w:w="1200" w:type="dxa"/>
            <w:shd w:val="clear" w:color="auto" w:fill="CCEDFF"/>
          </w:tcPr>
          <w:p>
            <w:pPr>
              <w:pStyle w:val="TableParagraph"/>
              <w:spacing w:line="180" w:lineRule="exact" w:before="3"/>
              <w:ind w:right="85"/>
              <w:jc w:val="right"/>
              <w:rPr>
                <w:sz w:val="16"/>
              </w:rPr>
            </w:pPr>
            <w:r>
              <w:rPr>
                <w:spacing w:val="-5"/>
                <w:w w:val="105"/>
                <w:sz w:val="16"/>
              </w:rPr>
              <w:t>(4)</w:t>
            </w:r>
          </w:p>
        </w:tc>
        <w:tc>
          <w:tcPr>
            <w:tcW w:w="1349" w:type="dxa"/>
            <w:shd w:val="clear" w:color="auto" w:fill="CCEDFF"/>
          </w:tcPr>
          <w:p>
            <w:pPr>
              <w:pStyle w:val="TableParagraph"/>
              <w:spacing w:line="180" w:lineRule="exact" w:before="3"/>
              <w:ind w:right="60"/>
              <w:jc w:val="right"/>
              <w:rPr>
                <w:sz w:val="16"/>
              </w:rPr>
            </w:pPr>
            <w:r>
              <w:rPr>
                <w:spacing w:val="-2"/>
                <w:w w:val="105"/>
                <w:sz w:val="16"/>
              </w:rPr>
              <w:t>(105)</w:t>
            </w:r>
          </w:p>
        </w:tc>
      </w:tr>
      <w:tr>
        <w:trPr>
          <w:trHeight w:val="202" w:hRule="atLeast"/>
        </w:trPr>
        <w:tc>
          <w:tcPr>
            <w:tcW w:w="4611" w:type="dxa"/>
            <w:tcBorders>
              <w:bottom w:val="single" w:sz="6" w:space="0" w:color="000000"/>
            </w:tcBorders>
          </w:tcPr>
          <w:p>
            <w:pPr>
              <w:pStyle w:val="TableParagraph"/>
              <w:spacing w:line="183" w:lineRule="exact"/>
              <w:rPr>
                <w:sz w:val="14"/>
              </w:rPr>
            </w:pPr>
            <w:r>
              <w:rPr>
                <w:sz w:val="16"/>
              </w:rPr>
              <w:t>Other,</w:t>
            </w:r>
            <w:r>
              <w:rPr>
                <w:spacing w:val="8"/>
                <w:sz w:val="16"/>
              </w:rPr>
              <w:t> </w:t>
            </w:r>
            <w:r>
              <w:rPr>
                <w:sz w:val="16"/>
              </w:rPr>
              <w:t>net</w:t>
            </w:r>
            <w:r>
              <w:rPr>
                <w:spacing w:val="10"/>
                <w:sz w:val="16"/>
              </w:rPr>
              <w:t> </w:t>
            </w:r>
            <w:r>
              <w:rPr>
                <w:spacing w:val="-5"/>
                <w:position w:val="3"/>
                <w:sz w:val="14"/>
              </w:rPr>
              <w:t>(1)</w:t>
            </w:r>
          </w:p>
        </w:tc>
        <w:tc>
          <w:tcPr>
            <w:tcW w:w="1516" w:type="dxa"/>
            <w:tcBorders>
              <w:bottom w:val="single" w:sz="6" w:space="0" w:color="000000"/>
            </w:tcBorders>
          </w:tcPr>
          <w:p>
            <w:pPr>
              <w:pStyle w:val="TableParagraph"/>
              <w:rPr>
                <w:sz w:val="14"/>
              </w:rPr>
            </w:pPr>
          </w:p>
        </w:tc>
        <w:tc>
          <w:tcPr>
            <w:tcW w:w="1289" w:type="dxa"/>
            <w:tcBorders>
              <w:bottom w:val="single" w:sz="6" w:space="0" w:color="000000"/>
            </w:tcBorders>
          </w:tcPr>
          <w:p>
            <w:pPr>
              <w:pStyle w:val="TableParagraph"/>
              <w:rPr>
                <w:sz w:val="14"/>
              </w:rPr>
            </w:pPr>
          </w:p>
        </w:tc>
        <w:tc>
          <w:tcPr>
            <w:tcW w:w="1552" w:type="dxa"/>
            <w:tcBorders>
              <w:bottom w:val="single" w:sz="6" w:space="0" w:color="000000"/>
            </w:tcBorders>
          </w:tcPr>
          <w:p>
            <w:pPr>
              <w:pStyle w:val="TableParagraph"/>
              <w:rPr>
                <w:sz w:val="14"/>
              </w:rPr>
            </w:pPr>
          </w:p>
        </w:tc>
        <w:tc>
          <w:tcPr>
            <w:tcW w:w="1200" w:type="dxa"/>
            <w:tcBorders>
              <w:bottom w:val="single" w:sz="6" w:space="0" w:color="000000"/>
            </w:tcBorders>
          </w:tcPr>
          <w:p>
            <w:pPr>
              <w:pStyle w:val="TableParagraph"/>
              <w:spacing w:line="179" w:lineRule="exact" w:before="3"/>
              <w:ind w:right="85"/>
              <w:jc w:val="right"/>
              <w:rPr>
                <w:sz w:val="16"/>
              </w:rPr>
            </w:pPr>
            <w:r>
              <w:rPr>
                <w:spacing w:val="-5"/>
                <w:w w:val="105"/>
                <w:sz w:val="16"/>
              </w:rPr>
              <w:t>(1)</w:t>
            </w:r>
          </w:p>
        </w:tc>
        <w:tc>
          <w:tcPr>
            <w:tcW w:w="1349" w:type="dxa"/>
            <w:tcBorders>
              <w:bottom w:val="single" w:sz="6" w:space="0" w:color="000000"/>
            </w:tcBorders>
          </w:tcPr>
          <w:p>
            <w:pPr>
              <w:pStyle w:val="TableParagraph"/>
              <w:spacing w:line="179" w:lineRule="exact" w:before="3"/>
              <w:ind w:right="60"/>
              <w:jc w:val="right"/>
              <w:rPr>
                <w:sz w:val="16"/>
              </w:rPr>
            </w:pPr>
            <w:r>
              <w:rPr>
                <w:spacing w:val="-4"/>
                <w:w w:val="105"/>
                <w:sz w:val="16"/>
              </w:rPr>
              <w:t>(11)</w:t>
            </w:r>
          </w:p>
        </w:tc>
      </w:tr>
      <w:tr>
        <w:trPr>
          <w:trHeight w:val="199" w:hRule="atLeast"/>
        </w:trPr>
        <w:tc>
          <w:tcPr>
            <w:tcW w:w="4611"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Balance</w:t>
            </w:r>
            <w:r>
              <w:rPr>
                <w:spacing w:val="-9"/>
                <w:w w:val="105"/>
                <w:sz w:val="16"/>
              </w:rPr>
              <w:t> </w:t>
            </w:r>
            <w:r>
              <w:rPr>
                <w:w w:val="105"/>
                <w:sz w:val="16"/>
              </w:rPr>
              <w:t>at</w:t>
            </w:r>
            <w:r>
              <w:rPr>
                <w:spacing w:val="-8"/>
                <w:w w:val="105"/>
                <w:sz w:val="16"/>
              </w:rPr>
              <w:t> </w:t>
            </w:r>
            <w:r>
              <w:rPr>
                <w:w w:val="105"/>
                <w:sz w:val="16"/>
              </w:rPr>
              <w:t>December</w:t>
            </w:r>
            <w:r>
              <w:rPr>
                <w:spacing w:val="-9"/>
                <w:w w:val="105"/>
                <w:sz w:val="16"/>
              </w:rPr>
              <w:t> </w:t>
            </w:r>
            <w:r>
              <w:rPr>
                <w:w w:val="105"/>
                <w:sz w:val="16"/>
              </w:rPr>
              <w:t>31,</w:t>
            </w:r>
            <w:r>
              <w:rPr>
                <w:spacing w:val="-8"/>
                <w:w w:val="105"/>
                <w:sz w:val="16"/>
              </w:rPr>
              <w:t> </w:t>
            </w:r>
            <w:r>
              <w:rPr>
                <w:spacing w:val="-4"/>
                <w:w w:val="105"/>
                <w:sz w:val="16"/>
              </w:rPr>
              <w:t>2020</w:t>
            </w:r>
          </w:p>
        </w:tc>
        <w:tc>
          <w:tcPr>
            <w:tcW w:w="1516" w:type="dxa"/>
            <w:tcBorders>
              <w:top w:val="single" w:sz="6" w:space="0" w:color="000000"/>
              <w:bottom w:val="double" w:sz="6" w:space="0" w:color="000000"/>
            </w:tcBorders>
            <w:shd w:val="clear" w:color="auto" w:fill="CCEDFF"/>
          </w:tcPr>
          <w:p>
            <w:pPr>
              <w:pStyle w:val="TableParagraph"/>
              <w:rPr>
                <w:sz w:val="12"/>
              </w:rPr>
            </w:pPr>
          </w:p>
        </w:tc>
        <w:tc>
          <w:tcPr>
            <w:tcW w:w="1289" w:type="dxa"/>
            <w:tcBorders>
              <w:top w:val="single" w:sz="6" w:space="0" w:color="000000"/>
              <w:bottom w:val="double" w:sz="6" w:space="0" w:color="000000"/>
            </w:tcBorders>
            <w:shd w:val="clear" w:color="auto" w:fill="CCEDFF"/>
          </w:tcPr>
          <w:p>
            <w:pPr>
              <w:pStyle w:val="TableParagraph"/>
              <w:spacing w:line="177" w:lineRule="exact" w:before="2"/>
              <w:ind w:left="-1" w:right="140"/>
              <w:jc w:val="right"/>
              <w:rPr>
                <w:sz w:val="16"/>
              </w:rPr>
            </w:pPr>
            <w:r>
              <w:rPr>
                <w:spacing w:val="-4"/>
                <w:w w:val="105"/>
                <w:sz w:val="16"/>
              </w:rPr>
              <w:t>1,726</w:t>
            </w:r>
          </w:p>
        </w:tc>
        <w:tc>
          <w:tcPr>
            <w:tcW w:w="1552" w:type="dxa"/>
            <w:tcBorders>
              <w:top w:val="single" w:sz="6" w:space="0" w:color="000000"/>
              <w:bottom w:val="double" w:sz="6" w:space="0" w:color="000000"/>
            </w:tcBorders>
            <w:shd w:val="clear" w:color="auto" w:fill="CCEDFF"/>
          </w:tcPr>
          <w:p>
            <w:pPr>
              <w:pStyle w:val="TableParagraph"/>
              <w:tabs>
                <w:tab w:pos="897" w:val="left" w:leader="none"/>
              </w:tabs>
              <w:spacing w:line="177" w:lineRule="exact" w:before="2"/>
              <w:ind w:right="316"/>
              <w:jc w:val="right"/>
              <w:rPr>
                <w:sz w:val="16"/>
              </w:rPr>
            </w:pPr>
            <w:r>
              <w:rPr>
                <w:spacing w:val="-10"/>
                <w:w w:val="105"/>
                <w:sz w:val="16"/>
              </w:rPr>
              <w:t>$</w:t>
            </w:r>
            <w:r>
              <w:rPr>
                <w:sz w:val="16"/>
              </w:rPr>
              <w:tab/>
            </w:r>
            <w:r>
              <w:rPr>
                <w:spacing w:val="-5"/>
                <w:w w:val="105"/>
                <w:sz w:val="16"/>
              </w:rPr>
              <w:t>863</w:t>
            </w:r>
          </w:p>
        </w:tc>
        <w:tc>
          <w:tcPr>
            <w:tcW w:w="1200" w:type="dxa"/>
            <w:tcBorders>
              <w:top w:val="single" w:sz="6" w:space="0" w:color="000000"/>
              <w:bottom w:val="double" w:sz="6" w:space="0" w:color="000000"/>
            </w:tcBorders>
            <w:shd w:val="clear" w:color="auto" w:fill="CCEDFF"/>
          </w:tcPr>
          <w:p>
            <w:pPr>
              <w:pStyle w:val="TableParagraph"/>
              <w:spacing w:line="177" w:lineRule="exact" w:before="2"/>
              <w:ind w:right="85"/>
              <w:jc w:val="right"/>
              <w:rPr>
                <w:sz w:val="16"/>
              </w:rPr>
            </w:pPr>
            <w:r>
              <w:rPr>
                <w:spacing w:val="-2"/>
                <w:w w:val="105"/>
                <w:sz w:val="16"/>
              </w:rPr>
              <w:t>(961)</w:t>
            </w:r>
          </w:p>
        </w:tc>
        <w:tc>
          <w:tcPr>
            <w:tcW w:w="1349" w:type="dxa"/>
            <w:tcBorders>
              <w:top w:val="single" w:sz="6" w:space="0" w:color="000000"/>
              <w:bottom w:val="double" w:sz="6" w:space="0" w:color="000000"/>
            </w:tcBorders>
            <w:shd w:val="clear" w:color="auto" w:fill="CCEDFF"/>
          </w:tcPr>
          <w:p>
            <w:pPr>
              <w:pStyle w:val="TableParagraph"/>
              <w:tabs>
                <w:tab w:pos="635" w:val="left" w:leader="none"/>
              </w:tabs>
              <w:spacing w:line="177" w:lineRule="exact" w:before="2"/>
              <w:ind w:right="60"/>
              <w:jc w:val="right"/>
              <w:rPr>
                <w:sz w:val="16"/>
              </w:rPr>
            </w:pPr>
            <w:r>
              <w:rPr>
                <w:spacing w:val="-10"/>
                <w:w w:val="105"/>
                <w:sz w:val="16"/>
              </w:rPr>
              <w:t>$</w:t>
            </w:r>
            <w:r>
              <w:rPr>
                <w:sz w:val="16"/>
              </w:rPr>
              <w:tab/>
            </w:r>
            <w:r>
              <w:rPr>
                <w:spacing w:val="-2"/>
                <w:w w:val="105"/>
                <w:sz w:val="16"/>
              </w:rPr>
              <w:t>(19,928)</w:t>
            </w:r>
          </w:p>
        </w:tc>
      </w:tr>
      <w:tr>
        <w:trPr>
          <w:trHeight w:val="200" w:hRule="atLeast"/>
        </w:trPr>
        <w:tc>
          <w:tcPr>
            <w:tcW w:w="4611" w:type="dxa"/>
            <w:tcBorders>
              <w:top w:val="double" w:sz="6" w:space="0" w:color="000000"/>
            </w:tcBorders>
          </w:tcPr>
          <w:p>
            <w:pPr>
              <w:pStyle w:val="TableParagraph"/>
              <w:rPr>
                <w:sz w:val="12"/>
              </w:rPr>
            </w:pPr>
          </w:p>
        </w:tc>
        <w:tc>
          <w:tcPr>
            <w:tcW w:w="1516" w:type="dxa"/>
            <w:tcBorders>
              <w:top w:val="double" w:sz="6" w:space="0" w:color="000000"/>
            </w:tcBorders>
          </w:tcPr>
          <w:p>
            <w:pPr>
              <w:pStyle w:val="TableParagraph"/>
              <w:rPr>
                <w:sz w:val="12"/>
              </w:rPr>
            </w:pPr>
          </w:p>
        </w:tc>
        <w:tc>
          <w:tcPr>
            <w:tcW w:w="1289" w:type="dxa"/>
            <w:tcBorders>
              <w:top w:val="double" w:sz="6" w:space="0" w:color="000000"/>
            </w:tcBorders>
          </w:tcPr>
          <w:p>
            <w:pPr>
              <w:pStyle w:val="TableParagraph"/>
              <w:rPr>
                <w:sz w:val="12"/>
              </w:rPr>
            </w:pPr>
          </w:p>
        </w:tc>
        <w:tc>
          <w:tcPr>
            <w:tcW w:w="1552" w:type="dxa"/>
            <w:tcBorders>
              <w:top w:val="double" w:sz="6" w:space="0" w:color="000000"/>
            </w:tcBorders>
          </w:tcPr>
          <w:p>
            <w:pPr>
              <w:pStyle w:val="TableParagraph"/>
              <w:rPr>
                <w:sz w:val="12"/>
              </w:rPr>
            </w:pPr>
          </w:p>
        </w:tc>
        <w:tc>
          <w:tcPr>
            <w:tcW w:w="1200" w:type="dxa"/>
            <w:tcBorders>
              <w:top w:val="double" w:sz="6" w:space="0" w:color="000000"/>
            </w:tcBorders>
          </w:tcPr>
          <w:p>
            <w:pPr>
              <w:pStyle w:val="TableParagraph"/>
              <w:rPr>
                <w:sz w:val="12"/>
              </w:rPr>
            </w:pPr>
          </w:p>
        </w:tc>
        <w:tc>
          <w:tcPr>
            <w:tcW w:w="1349" w:type="dxa"/>
            <w:tcBorders>
              <w:top w:val="double" w:sz="6" w:space="0" w:color="000000"/>
            </w:tcBorders>
          </w:tcPr>
          <w:p>
            <w:pPr>
              <w:pStyle w:val="TableParagraph"/>
              <w:rPr>
                <w:sz w:val="12"/>
              </w:rPr>
            </w:pPr>
          </w:p>
        </w:tc>
      </w:tr>
      <w:tr>
        <w:trPr>
          <w:trHeight w:val="203" w:hRule="atLeast"/>
        </w:trPr>
        <w:tc>
          <w:tcPr>
            <w:tcW w:w="4611" w:type="dxa"/>
            <w:shd w:val="clear" w:color="auto" w:fill="CCEDFF"/>
          </w:tcPr>
          <w:p>
            <w:pPr>
              <w:pStyle w:val="TableParagraph"/>
              <w:spacing w:line="180" w:lineRule="exact" w:before="3"/>
              <w:rPr>
                <w:sz w:val="16"/>
              </w:rPr>
            </w:pPr>
            <w:r>
              <w:rPr>
                <w:w w:val="105"/>
                <w:sz w:val="16"/>
              </w:rPr>
              <w:t>Shares</w:t>
            </w:r>
            <w:r>
              <w:rPr>
                <w:spacing w:val="-9"/>
                <w:w w:val="105"/>
                <w:sz w:val="16"/>
              </w:rPr>
              <w:t> </w:t>
            </w:r>
            <w:r>
              <w:rPr>
                <w:w w:val="105"/>
                <w:sz w:val="16"/>
              </w:rPr>
              <w:t>issued</w:t>
            </w:r>
            <w:r>
              <w:rPr>
                <w:spacing w:val="-8"/>
                <w:w w:val="105"/>
                <w:sz w:val="16"/>
              </w:rPr>
              <w:t> </w:t>
            </w:r>
            <w:r>
              <w:rPr>
                <w:w w:val="105"/>
                <w:sz w:val="16"/>
              </w:rPr>
              <w:t>to</w:t>
            </w:r>
            <w:r>
              <w:rPr>
                <w:spacing w:val="-9"/>
                <w:w w:val="105"/>
                <w:sz w:val="16"/>
              </w:rPr>
              <w:t> </w:t>
            </w:r>
            <w:r>
              <w:rPr>
                <w:w w:val="105"/>
                <w:sz w:val="16"/>
              </w:rPr>
              <w:t>benefit</w:t>
            </w:r>
            <w:r>
              <w:rPr>
                <w:spacing w:val="-8"/>
                <w:w w:val="105"/>
                <w:sz w:val="16"/>
              </w:rPr>
              <w:t> </w:t>
            </w:r>
            <w:r>
              <w:rPr>
                <w:w w:val="105"/>
                <w:sz w:val="16"/>
              </w:rPr>
              <w:t>plans</w:t>
            </w:r>
            <w:r>
              <w:rPr>
                <w:spacing w:val="-7"/>
                <w:w w:val="105"/>
                <w:sz w:val="16"/>
              </w:rPr>
              <w:t> </w:t>
            </w:r>
            <w:r>
              <w:rPr>
                <w:w w:val="105"/>
                <w:sz w:val="16"/>
              </w:rPr>
              <w:t>and</w:t>
            </w:r>
            <w:r>
              <w:rPr>
                <w:spacing w:val="-9"/>
                <w:w w:val="105"/>
                <w:sz w:val="16"/>
              </w:rPr>
              <w:t> </w:t>
            </w:r>
            <w:r>
              <w:rPr>
                <w:w w:val="105"/>
                <w:sz w:val="16"/>
              </w:rPr>
              <w:t>for</w:t>
            </w:r>
            <w:r>
              <w:rPr>
                <w:spacing w:val="-8"/>
                <w:w w:val="105"/>
                <w:sz w:val="16"/>
              </w:rPr>
              <w:t> </w:t>
            </w:r>
            <w:r>
              <w:rPr>
                <w:w w:val="105"/>
                <w:sz w:val="16"/>
              </w:rPr>
              <w:t>option</w:t>
            </w:r>
            <w:r>
              <w:rPr>
                <w:spacing w:val="-9"/>
                <w:w w:val="105"/>
                <w:sz w:val="16"/>
              </w:rPr>
              <w:t> </w:t>
            </w:r>
            <w:r>
              <w:rPr>
                <w:spacing w:val="-2"/>
                <w:w w:val="105"/>
                <w:sz w:val="16"/>
              </w:rPr>
              <w:t>exercises</w:t>
            </w:r>
          </w:p>
        </w:tc>
        <w:tc>
          <w:tcPr>
            <w:tcW w:w="1516" w:type="dxa"/>
            <w:shd w:val="clear" w:color="auto" w:fill="CCEDFF"/>
          </w:tcPr>
          <w:p>
            <w:pPr>
              <w:pStyle w:val="TableParagraph"/>
              <w:rPr>
                <w:sz w:val="14"/>
              </w:rPr>
            </w:pPr>
          </w:p>
        </w:tc>
        <w:tc>
          <w:tcPr>
            <w:tcW w:w="1289" w:type="dxa"/>
            <w:shd w:val="clear" w:color="auto" w:fill="CCEDFF"/>
          </w:tcPr>
          <w:p>
            <w:pPr>
              <w:pStyle w:val="TableParagraph"/>
              <w:spacing w:line="180" w:lineRule="exact" w:before="3"/>
              <w:ind w:left="-1" w:right="140"/>
              <w:jc w:val="right"/>
              <w:rPr>
                <w:sz w:val="16"/>
              </w:rPr>
            </w:pPr>
            <w:r>
              <w:rPr>
                <w:spacing w:val="-10"/>
                <w:w w:val="105"/>
                <w:sz w:val="16"/>
              </w:rPr>
              <w:t>9</w:t>
            </w:r>
          </w:p>
        </w:tc>
        <w:tc>
          <w:tcPr>
            <w:tcW w:w="1552" w:type="dxa"/>
            <w:shd w:val="clear" w:color="auto" w:fill="CCEDFF"/>
          </w:tcPr>
          <w:p>
            <w:pPr>
              <w:pStyle w:val="TableParagraph"/>
              <w:spacing w:line="180" w:lineRule="exact" w:before="3"/>
              <w:ind w:right="316"/>
              <w:jc w:val="right"/>
              <w:rPr>
                <w:sz w:val="16"/>
              </w:rPr>
            </w:pPr>
            <w:r>
              <w:rPr>
                <w:spacing w:val="-10"/>
                <w:w w:val="105"/>
                <w:sz w:val="16"/>
              </w:rPr>
              <w:t>4</w:t>
            </w:r>
          </w:p>
        </w:tc>
        <w:tc>
          <w:tcPr>
            <w:tcW w:w="1200" w:type="dxa"/>
            <w:shd w:val="clear" w:color="auto" w:fill="CCEDFF"/>
          </w:tcPr>
          <w:p>
            <w:pPr>
              <w:pStyle w:val="TableParagraph"/>
              <w:rPr>
                <w:sz w:val="14"/>
              </w:rPr>
            </w:pPr>
          </w:p>
        </w:tc>
        <w:tc>
          <w:tcPr>
            <w:tcW w:w="1349" w:type="dxa"/>
            <w:shd w:val="clear" w:color="auto" w:fill="CCEDFF"/>
          </w:tcPr>
          <w:p>
            <w:pPr>
              <w:pStyle w:val="TableParagraph"/>
              <w:rPr>
                <w:sz w:val="14"/>
              </w:rPr>
            </w:pPr>
          </w:p>
        </w:tc>
      </w:tr>
      <w:tr>
        <w:trPr>
          <w:trHeight w:val="203" w:hRule="atLeast"/>
        </w:trPr>
        <w:tc>
          <w:tcPr>
            <w:tcW w:w="4611" w:type="dxa"/>
          </w:tcPr>
          <w:p>
            <w:pPr>
              <w:pStyle w:val="TableParagraph"/>
              <w:spacing w:line="180" w:lineRule="exact" w:before="3"/>
              <w:rPr>
                <w:sz w:val="16"/>
              </w:rPr>
            </w:pPr>
            <w:r>
              <w:rPr>
                <w:spacing w:val="-2"/>
                <w:w w:val="105"/>
                <w:sz w:val="16"/>
              </w:rPr>
              <w:t>Shares</w:t>
            </w:r>
            <w:r>
              <w:rPr>
                <w:w w:val="105"/>
                <w:sz w:val="16"/>
              </w:rPr>
              <w:t> </w:t>
            </w:r>
            <w:r>
              <w:rPr>
                <w:spacing w:val="-2"/>
                <w:w w:val="105"/>
                <w:sz w:val="16"/>
              </w:rPr>
              <w:t>purchased</w:t>
            </w:r>
            <w:r>
              <w:rPr>
                <w:spacing w:val="1"/>
                <w:w w:val="105"/>
                <w:sz w:val="16"/>
              </w:rPr>
              <w:t> </w:t>
            </w:r>
            <w:r>
              <w:rPr>
                <w:spacing w:val="-2"/>
                <w:w w:val="105"/>
                <w:sz w:val="16"/>
              </w:rPr>
              <w:t>for</w:t>
            </w:r>
            <w:r>
              <w:rPr>
                <w:spacing w:val="1"/>
                <w:w w:val="105"/>
                <w:sz w:val="16"/>
              </w:rPr>
              <w:t> </w:t>
            </w:r>
            <w:r>
              <w:rPr>
                <w:spacing w:val="-2"/>
                <w:w w:val="105"/>
                <w:sz w:val="16"/>
              </w:rPr>
              <w:t>treasury</w:t>
            </w:r>
          </w:p>
        </w:tc>
        <w:tc>
          <w:tcPr>
            <w:tcW w:w="1516" w:type="dxa"/>
          </w:tcPr>
          <w:p>
            <w:pPr>
              <w:pStyle w:val="TableParagraph"/>
              <w:rPr>
                <w:sz w:val="14"/>
              </w:rPr>
            </w:pPr>
          </w:p>
        </w:tc>
        <w:tc>
          <w:tcPr>
            <w:tcW w:w="1289" w:type="dxa"/>
          </w:tcPr>
          <w:p>
            <w:pPr>
              <w:pStyle w:val="TableParagraph"/>
              <w:rPr>
                <w:sz w:val="14"/>
              </w:rPr>
            </w:pPr>
          </w:p>
        </w:tc>
        <w:tc>
          <w:tcPr>
            <w:tcW w:w="1552" w:type="dxa"/>
          </w:tcPr>
          <w:p>
            <w:pPr>
              <w:pStyle w:val="TableParagraph"/>
              <w:rPr>
                <w:sz w:val="14"/>
              </w:rPr>
            </w:pPr>
          </w:p>
        </w:tc>
        <w:tc>
          <w:tcPr>
            <w:tcW w:w="1200" w:type="dxa"/>
          </w:tcPr>
          <w:p>
            <w:pPr>
              <w:pStyle w:val="TableParagraph"/>
              <w:spacing w:line="180" w:lineRule="exact" w:before="3"/>
              <w:ind w:right="85"/>
              <w:jc w:val="right"/>
              <w:rPr>
                <w:sz w:val="16"/>
              </w:rPr>
            </w:pPr>
            <w:r>
              <w:rPr>
                <w:spacing w:val="-5"/>
                <w:w w:val="105"/>
                <w:sz w:val="16"/>
              </w:rPr>
              <w:t>(7)</w:t>
            </w:r>
          </w:p>
        </w:tc>
        <w:tc>
          <w:tcPr>
            <w:tcW w:w="1349" w:type="dxa"/>
          </w:tcPr>
          <w:p>
            <w:pPr>
              <w:pStyle w:val="TableParagraph"/>
              <w:spacing w:line="180" w:lineRule="exact" w:before="3"/>
              <w:ind w:right="60"/>
              <w:jc w:val="right"/>
              <w:rPr>
                <w:sz w:val="16"/>
              </w:rPr>
            </w:pPr>
            <w:r>
              <w:rPr>
                <w:spacing w:val="-2"/>
                <w:w w:val="105"/>
                <w:sz w:val="16"/>
              </w:rPr>
              <w:t>(274)</w:t>
            </w:r>
          </w:p>
        </w:tc>
      </w:tr>
      <w:tr>
        <w:trPr>
          <w:trHeight w:val="203" w:hRule="atLeast"/>
        </w:trPr>
        <w:tc>
          <w:tcPr>
            <w:tcW w:w="4611" w:type="dxa"/>
            <w:shd w:val="clear" w:color="auto" w:fill="CCEDFF"/>
          </w:tcPr>
          <w:p>
            <w:pPr>
              <w:pStyle w:val="TableParagraph"/>
              <w:spacing w:line="180" w:lineRule="exact" w:before="3"/>
              <w:rPr>
                <w:sz w:val="16"/>
              </w:rPr>
            </w:pPr>
            <w:r>
              <w:rPr>
                <w:w w:val="105"/>
                <w:sz w:val="16"/>
              </w:rPr>
              <w:t>Conversion</w:t>
            </w:r>
            <w:r>
              <w:rPr>
                <w:spacing w:val="-10"/>
                <w:w w:val="105"/>
                <w:sz w:val="16"/>
              </w:rPr>
              <w:t> </w:t>
            </w:r>
            <w:r>
              <w:rPr>
                <w:w w:val="105"/>
                <w:sz w:val="16"/>
              </w:rPr>
              <w:t>of</w:t>
            </w:r>
            <w:r>
              <w:rPr>
                <w:spacing w:val="-9"/>
                <w:w w:val="105"/>
                <w:sz w:val="16"/>
              </w:rPr>
              <w:t> </w:t>
            </w:r>
            <w:r>
              <w:rPr>
                <w:w w:val="105"/>
                <w:sz w:val="16"/>
              </w:rPr>
              <w:t>preferred</w:t>
            </w:r>
            <w:r>
              <w:rPr>
                <w:spacing w:val="-9"/>
                <w:w w:val="105"/>
                <w:sz w:val="16"/>
              </w:rPr>
              <w:t> </w:t>
            </w:r>
            <w:r>
              <w:rPr>
                <w:w w:val="105"/>
                <w:sz w:val="16"/>
              </w:rPr>
              <w:t>stock</w:t>
            </w:r>
            <w:r>
              <w:rPr>
                <w:spacing w:val="-8"/>
                <w:w w:val="105"/>
                <w:sz w:val="16"/>
              </w:rPr>
              <w:t> </w:t>
            </w:r>
            <w:r>
              <w:rPr>
                <w:w w:val="105"/>
                <w:sz w:val="16"/>
              </w:rPr>
              <w:t>to</w:t>
            </w:r>
            <w:r>
              <w:rPr>
                <w:spacing w:val="-9"/>
                <w:w w:val="105"/>
                <w:sz w:val="16"/>
              </w:rPr>
              <w:t> </w:t>
            </w:r>
            <w:r>
              <w:rPr>
                <w:w w:val="105"/>
                <w:sz w:val="16"/>
              </w:rPr>
              <w:t>common</w:t>
            </w:r>
            <w:r>
              <w:rPr>
                <w:spacing w:val="-9"/>
                <w:w w:val="105"/>
                <w:sz w:val="16"/>
              </w:rPr>
              <w:t> </w:t>
            </w:r>
            <w:r>
              <w:rPr>
                <w:spacing w:val="-2"/>
                <w:w w:val="105"/>
                <w:sz w:val="16"/>
              </w:rPr>
              <w:t>stock</w:t>
            </w:r>
          </w:p>
        </w:tc>
        <w:tc>
          <w:tcPr>
            <w:tcW w:w="1516" w:type="dxa"/>
            <w:shd w:val="clear" w:color="auto" w:fill="CCEDFF"/>
          </w:tcPr>
          <w:p>
            <w:pPr>
              <w:pStyle w:val="TableParagraph"/>
              <w:rPr>
                <w:sz w:val="14"/>
              </w:rPr>
            </w:pPr>
          </w:p>
        </w:tc>
        <w:tc>
          <w:tcPr>
            <w:tcW w:w="1289" w:type="dxa"/>
            <w:shd w:val="clear" w:color="auto" w:fill="CCEDFF"/>
          </w:tcPr>
          <w:p>
            <w:pPr>
              <w:pStyle w:val="TableParagraph"/>
              <w:spacing w:line="180" w:lineRule="exact" w:before="3"/>
              <w:ind w:left="-1" w:right="140"/>
              <w:jc w:val="right"/>
              <w:rPr>
                <w:sz w:val="16"/>
              </w:rPr>
            </w:pPr>
            <w:r>
              <w:rPr>
                <w:spacing w:val="-5"/>
                <w:w w:val="105"/>
                <w:sz w:val="16"/>
              </w:rPr>
              <w:t>115</w:t>
            </w:r>
          </w:p>
        </w:tc>
        <w:tc>
          <w:tcPr>
            <w:tcW w:w="1552" w:type="dxa"/>
            <w:shd w:val="clear" w:color="auto" w:fill="CCEDFF"/>
          </w:tcPr>
          <w:p>
            <w:pPr>
              <w:pStyle w:val="TableParagraph"/>
              <w:spacing w:line="180" w:lineRule="exact" w:before="3"/>
              <w:ind w:right="316"/>
              <w:jc w:val="right"/>
              <w:rPr>
                <w:sz w:val="16"/>
              </w:rPr>
            </w:pPr>
            <w:r>
              <w:rPr>
                <w:spacing w:val="-5"/>
                <w:w w:val="105"/>
                <w:sz w:val="16"/>
              </w:rPr>
              <w:t>58</w:t>
            </w:r>
          </w:p>
        </w:tc>
        <w:tc>
          <w:tcPr>
            <w:tcW w:w="1200" w:type="dxa"/>
            <w:shd w:val="clear" w:color="auto" w:fill="CCEDFF"/>
          </w:tcPr>
          <w:p>
            <w:pPr>
              <w:pStyle w:val="TableParagraph"/>
              <w:rPr>
                <w:sz w:val="14"/>
              </w:rPr>
            </w:pPr>
          </w:p>
        </w:tc>
        <w:tc>
          <w:tcPr>
            <w:tcW w:w="1349" w:type="dxa"/>
            <w:shd w:val="clear" w:color="auto" w:fill="CCEDFF"/>
          </w:tcPr>
          <w:p>
            <w:pPr>
              <w:pStyle w:val="TableParagraph"/>
              <w:rPr>
                <w:sz w:val="14"/>
              </w:rPr>
            </w:pPr>
          </w:p>
        </w:tc>
      </w:tr>
      <w:tr>
        <w:trPr>
          <w:trHeight w:val="203" w:hRule="atLeast"/>
        </w:trPr>
        <w:tc>
          <w:tcPr>
            <w:tcW w:w="4611" w:type="dxa"/>
          </w:tcPr>
          <w:p>
            <w:pPr>
              <w:pStyle w:val="TableParagraph"/>
              <w:spacing w:line="180" w:lineRule="exact" w:before="3"/>
              <w:rPr>
                <w:sz w:val="16"/>
              </w:rPr>
            </w:pPr>
            <w:r>
              <w:rPr>
                <w:sz w:val="16"/>
              </w:rPr>
              <w:t>Repurchase</w:t>
            </w:r>
            <w:r>
              <w:rPr>
                <w:spacing w:val="17"/>
                <w:sz w:val="16"/>
              </w:rPr>
              <w:t> </w:t>
            </w:r>
            <w:r>
              <w:rPr>
                <w:sz w:val="16"/>
              </w:rPr>
              <w:t>of</w:t>
            </w:r>
            <w:r>
              <w:rPr>
                <w:spacing w:val="17"/>
                <w:sz w:val="16"/>
              </w:rPr>
              <w:t> </w:t>
            </w:r>
            <w:r>
              <w:rPr>
                <w:sz w:val="16"/>
              </w:rPr>
              <w:t>converted</w:t>
            </w:r>
            <w:r>
              <w:rPr>
                <w:spacing w:val="17"/>
                <w:sz w:val="16"/>
              </w:rPr>
              <w:t> </w:t>
            </w:r>
            <w:r>
              <w:rPr>
                <w:sz w:val="16"/>
              </w:rPr>
              <w:t>common</w:t>
            </w:r>
            <w:r>
              <w:rPr>
                <w:spacing w:val="17"/>
                <w:sz w:val="16"/>
              </w:rPr>
              <w:t> </w:t>
            </w:r>
            <w:r>
              <w:rPr>
                <w:spacing w:val="-4"/>
                <w:sz w:val="16"/>
              </w:rPr>
              <w:t>stock</w:t>
            </w:r>
          </w:p>
        </w:tc>
        <w:tc>
          <w:tcPr>
            <w:tcW w:w="1516" w:type="dxa"/>
          </w:tcPr>
          <w:p>
            <w:pPr>
              <w:pStyle w:val="TableParagraph"/>
              <w:rPr>
                <w:sz w:val="14"/>
              </w:rPr>
            </w:pPr>
          </w:p>
        </w:tc>
        <w:tc>
          <w:tcPr>
            <w:tcW w:w="1289" w:type="dxa"/>
          </w:tcPr>
          <w:p>
            <w:pPr>
              <w:pStyle w:val="TableParagraph"/>
              <w:spacing w:line="180" w:lineRule="exact" w:before="3"/>
              <w:ind w:left="-1" w:right="85"/>
              <w:jc w:val="right"/>
              <w:rPr>
                <w:sz w:val="16"/>
              </w:rPr>
            </w:pPr>
            <w:r>
              <w:rPr>
                <w:spacing w:val="-4"/>
                <w:w w:val="105"/>
                <w:sz w:val="16"/>
              </w:rPr>
              <w:t>(35)</w:t>
            </w:r>
          </w:p>
        </w:tc>
        <w:tc>
          <w:tcPr>
            <w:tcW w:w="1552" w:type="dxa"/>
          </w:tcPr>
          <w:p>
            <w:pPr>
              <w:pStyle w:val="TableParagraph"/>
              <w:spacing w:line="180" w:lineRule="exact" w:before="3"/>
              <w:ind w:right="261"/>
              <w:jc w:val="right"/>
              <w:rPr>
                <w:sz w:val="16"/>
              </w:rPr>
            </w:pPr>
            <w:r>
              <w:rPr>
                <w:spacing w:val="-4"/>
                <w:w w:val="105"/>
                <w:sz w:val="16"/>
              </w:rPr>
              <w:t>(18)</w:t>
            </w:r>
          </w:p>
        </w:tc>
        <w:tc>
          <w:tcPr>
            <w:tcW w:w="1200" w:type="dxa"/>
          </w:tcPr>
          <w:p>
            <w:pPr>
              <w:pStyle w:val="TableParagraph"/>
              <w:rPr>
                <w:sz w:val="14"/>
              </w:rPr>
            </w:pPr>
          </w:p>
        </w:tc>
        <w:tc>
          <w:tcPr>
            <w:tcW w:w="1349" w:type="dxa"/>
          </w:tcPr>
          <w:p>
            <w:pPr>
              <w:pStyle w:val="TableParagraph"/>
              <w:rPr>
                <w:sz w:val="14"/>
              </w:rPr>
            </w:pPr>
          </w:p>
        </w:tc>
      </w:tr>
      <w:tr>
        <w:trPr>
          <w:trHeight w:val="202" w:hRule="atLeast"/>
        </w:trPr>
        <w:tc>
          <w:tcPr>
            <w:tcW w:w="4611" w:type="dxa"/>
            <w:tcBorders>
              <w:bottom w:val="single" w:sz="6" w:space="0" w:color="000000"/>
            </w:tcBorders>
            <w:shd w:val="clear" w:color="auto" w:fill="CCEDFF"/>
          </w:tcPr>
          <w:p>
            <w:pPr>
              <w:pStyle w:val="TableParagraph"/>
              <w:spacing w:line="183" w:lineRule="exact"/>
              <w:rPr>
                <w:sz w:val="14"/>
              </w:rPr>
            </w:pPr>
            <w:r>
              <w:rPr>
                <w:sz w:val="16"/>
              </w:rPr>
              <w:t>Other,</w:t>
            </w:r>
            <w:r>
              <w:rPr>
                <w:spacing w:val="8"/>
                <w:sz w:val="16"/>
              </w:rPr>
              <w:t> </w:t>
            </w:r>
            <w:r>
              <w:rPr>
                <w:sz w:val="16"/>
              </w:rPr>
              <w:t>net</w:t>
            </w:r>
            <w:r>
              <w:rPr>
                <w:spacing w:val="10"/>
                <w:sz w:val="16"/>
              </w:rPr>
              <w:t> </w:t>
            </w:r>
            <w:r>
              <w:rPr>
                <w:spacing w:val="-5"/>
                <w:position w:val="3"/>
                <w:sz w:val="14"/>
              </w:rPr>
              <w:t>(1)</w:t>
            </w:r>
          </w:p>
        </w:tc>
        <w:tc>
          <w:tcPr>
            <w:tcW w:w="1516" w:type="dxa"/>
            <w:tcBorders>
              <w:bottom w:val="single" w:sz="6" w:space="0" w:color="000000"/>
            </w:tcBorders>
            <w:shd w:val="clear" w:color="auto" w:fill="CCEDFF"/>
          </w:tcPr>
          <w:p>
            <w:pPr>
              <w:pStyle w:val="TableParagraph"/>
              <w:rPr>
                <w:sz w:val="14"/>
              </w:rPr>
            </w:pPr>
          </w:p>
        </w:tc>
        <w:tc>
          <w:tcPr>
            <w:tcW w:w="1289" w:type="dxa"/>
            <w:tcBorders>
              <w:bottom w:val="single" w:sz="6" w:space="0" w:color="000000"/>
            </w:tcBorders>
            <w:shd w:val="clear" w:color="auto" w:fill="CCEDFF"/>
          </w:tcPr>
          <w:p>
            <w:pPr>
              <w:pStyle w:val="TableParagraph"/>
              <w:rPr>
                <w:sz w:val="14"/>
              </w:rPr>
            </w:pPr>
          </w:p>
        </w:tc>
        <w:tc>
          <w:tcPr>
            <w:tcW w:w="1552" w:type="dxa"/>
            <w:tcBorders>
              <w:bottom w:val="single" w:sz="6" w:space="0" w:color="000000"/>
            </w:tcBorders>
            <w:shd w:val="clear" w:color="auto" w:fill="CCEDFF"/>
          </w:tcPr>
          <w:p>
            <w:pPr>
              <w:pStyle w:val="TableParagraph"/>
              <w:rPr>
                <w:sz w:val="14"/>
              </w:rPr>
            </w:pPr>
          </w:p>
        </w:tc>
        <w:tc>
          <w:tcPr>
            <w:tcW w:w="1200" w:type="dxa"/>
            <w:tcBorders>
              <w:bottom w:val="single" w:sz="6" w:space="0" w:color="000000"/>
            </w:tcBorders>
            <w:shd w:val="clear" w:color="auto" w:fill="CCEDFF"/>
          </w:tcPr>
          <w:p>
            <w:pPr>
              <w:pStyle w:val="TableParagraph"/>
              <w:spacing w:line="179" w:lineRule="exact" w:before="3"/>
              <w:ind w:right="85"/>
              <w:jc w:val="right"/>
              <w:rPr>
                <w:sz w:val="16"/>
              </w:rPr>
            </w:pPr>
            <w:r>
              <w:rPr>
                <w:spacing w:val="-5"/>
                <w:w w:val="105"/>
                <w:sz w:val="16"/>
              </w:rPr>
              <w:t>(2)</w:t>
            </w:r>
          </w:p>
        </w:tc>
        <w:tc>
          <w:tcPr>
            <w:tcW w:w="1349" w:type="dxa"/>
            <w:tcBorders>
              <w:bottom w:val="single" w:sz="6" w:space="0" w:color="000000"/>
            </w:tcBorders>
            <w:shd w:val="clear" w:color="auto" w:fill="CCEDFF"/>
          </w:tcPr>
          <w:p>
            <w:pPr>
              <w:pStyle w:val="TableParagraph"/>
              <w:spacing w:line="179" w:lineRule="exact" w:before="3"/>
              <w:ind w:right="60"/>
              <w:jc w:val="right"/>
              <w:rPr>
                <w:sz w:val="16"/>
              </w:rPr>
            </w:pPr>
            <w:r>
              <w:rPr>
                <w:spacing w:val="-4"/>
                <w:w w:val="105"/>
                <w:sz w:val="16"/>
              </w:rPr>
              <w:t>(61)</w:t>
            </w:r>
          </w:p>
        </w:tc>
      </w:tr>
      <w:tr>
        <w:trPr>
          <w:trHeight w:val="199" w:hRule="atLeast"/>
        </w:trPr>
        <w:tc>
          <w:tcPr>
            <w:tcW w:w="4611" w:type="dxa"/>
            <w:tcBorders>
              <w:top w:val="single" w:sz="6" w:space="0" w:color="000000"/>
              <w:bottom w:val="double" w:sz="6" w:space="0" w:color="000000"/>
            </w:tcBorders>
          </w:tcPr>
          <w:p>
            <w:pPr>
              <w:pStyle w:val="TableParagraph"/>
              <w:spacing w:line="177" w:lineRule="exact" w:before="2"/>
              <w:rPr>
                <w:b/>
                <w:sz w:val="16"/>
              </w:rPr>
            </w:pPr>
            <w:r>
              <w:rPr>
                <w:b/>
                <w:w w:val="105"/>
                <w:sz w:val="16"/>
              </w:rPr>
              <w:t>Balance</w:t>
            </w:r>
            <w:r>
              <w:rPr>
                <w:b/>
                <w:spacing w:val="-9"/>
                <w:w w:val="105"/>
                <w:sz w:val="16"/>
              </w:rPr>
              <w:t> </w:t>
            </w:r>
            <w:r>
              <w:rPr>
                <w:b/>
                <w:w w:val="105"/>
                <w:sz w:val="16"/>
              </w:rPr>
              <w:t>at</w:t>
            </w:r>
            <w:r>
              <w:rPr>
                <w:b/>
                <w:spacing w:val="-9"/>
                <w:w w:val="105"/>
                <w:sz w:val="16"/>
              </w:rPr>
              <w:t> </w:t>
            </w:r>
            <w:r>
              <w:rPr>
                <w:b/>
                <w:w w:val="105"/>
                <w:sz w:val="16"/>
              </w:rPr>
              <w:t>December</w:t>
            </w:r>
            <w:r>
              <w:rPr>
                <w:b/>
                <w:spacing w:val="-9"/>
                <w:w w:val="105"/>
                <w:sz w:val="16"/>
              </w:rPr>
              <w:t> </w:t>
            </w:r>
            <w:r>
              <w:rPr>
                <w:b/>
                <w:w w:val="105"/>
                <w:sz w:val="16"/>
              </w:rPr>
              <w:t>31,</w:t>
            </w:r>
            <w:r>
              <w:rPr>
                <w:b/>
                <w:spacing w:val="-9"/>
                <w:w w:val="105"/>
                <w:sz w:val="16"/>
              </w:rPr>
              <w:t> </w:t>
            </w:r>
            <w:r>
              <w:rPr>
                <w:b/>
                <w:spacing w:val="-4"/>
                <w:w w:val="105"/>
                <w:sz w:val="16"/>
              </w:rPr>
              <w:t>2021</w:t>
            </w:r>
          </w:p>
        </w:tc>
        <w:tc>
          <w:tcPr>
            <w:tcW w:w="1516" w:type="dxa"/>
            <w:tcBorders>
              <w:top w:val="single" w:sz="6" w:space="0" w:color="000000"/>
              <w:bottom w:val="double" w:sz="6" w:space="0" w:color="000000"/>
            </w:tcBorders>
          </w:tcPr>
          <w:p>
            <w:pPr>
              <w:pStyle w:val="TableParagraph"/>
              <w:rPr>
                <w:sz w:val="12"/>
              </w:rPr>
            </w:pPr>
          </w:p>
        </w:tc>
        <w:tc>
          <w:tcPr>
            <w:tcW w:w="1289" w:type="dxa"/>
            <w:tcBorders>
              <w:top w:val="single" w:sz="6" w:space="0" w:color="000000"/>
              <w:bottom w:val="double" w:sz="6" w:space="0" w:color="000000"/>
            </w:tcBorders>
          </w:tcPr>
          <w:p>
            <w:pPr>
              <w:pStyle w:val="TableParagraph"/>
              <w:spacing w:line="177" w:lineRule="exact" w:before="2"/>
              <w:ind w:left="-1" w:right="140"/>
              <w:jc w:val="right"/>
              <w:rPr>
                <w:b/>
                <w:sz w:val="16"/>
              </w:rPr>
            </w:pPr>
            <w:r>
              <w:rPr>
                <w:b/>
                <w:spacing w:val="-4"/>
                <w:w w:val="105"/>
                <w:sz w:val="16"/>
              </w:rPr>
              <w:t>1,815</w:t>
            </w:r>
          </w:p>
        </w:tc>
        <w:tc>
          <w:tcPr>
            <w:tcW w:w="1552" w:type="dxa"/>
            <w:tcBorders>
              <w:top w:val="single" w:sz="6" w:space="0" w:color="000000"/>
              <w:bottom w:val="double" w:sz="6" w:space="0" w:color="000000"/>
            </w:tcBorders>
          </w:tcPr>
          <w:p>
            <w:pPr>
              <w:pStyle w:val="TableParagraph"/>
              <w:tabs>
                <w:tab w:pos="897" w:val="left" w:leader="none"/>
              </w:tabs>
              <w:spacing w:line="177" w:lineRule="exact" w:before="2"/>
              <w:ind w:right="316"/>
              <w:jc w:val="right"/>
              <w:rPr>
                <w:b/>
                <w:sz w:val="16"/>
              </w:rPr>
            </w:pPr>
            <w:r>
              <w:rPr>
                <w:b/>
                <w:spacing w:val="-10"/>
                <w:w w:val="105"/>
                <w:sz w:val="16"/>
              </w:rPr>
              <w:t>$</w:t>
            </w:r>
            <w:r>
              <w:rPr>
                <w:b/>
                <w:sz w:val="16"/>
              </w:rPr>
              <w:tab/>
            </w:r>
            <w:r>
              <w:rPr>
                <w:b/>
                <w:spacing w:val="-5"/>
                <w:w w:val="105"/>
                <w:sz w:val="16"/>
              </w:rPr>
              <w:t>907</w:t>
            </w:r>
          </w:p>
        </w:tc>
        <w:tc>
          <w:tcPr>
            <w:tcW w:w="1200" w:type="dxa"/>
            <w:tcBorders>
              <w:top w:val="single" w:sz="6" w:space="0" w:color="000000"/>
              <w:bottom w:val="double" w:sz="6" w:space="0" w:color="000000"/>
            </w:tcBorders>
          </w:tcPr>
          <w:p>
            <w:pPr>
              <w:pStyle w:val="TableParagraph"/>
              <w:spacing w:line="177" w:lineRule="exact" w:before="2"/>
              <w:ind w:right="85"/>
              <w:jc w:val="right"/>
              <w:rPr>
                <w:b/>
                <w:sz w:val="16"/>
              </w:rPr>
            </w:pPr>
            <w:r>
              <w:rPr>
                <w:b/>
                <w:spacing w:val="-2"/>
                <w:w w:val="105"/>
                <w:sz w:val="16"/>
              </w:rPr>
              <w:t>(970)</w:t>
            </w:r>
          </w:p>
        </w:tc>
        <w:tc>
          <w:tcPr>
            <w:tcW w:w="1349" w:type="dxa"/>
            <w:tcBorders>
              <w:top w:val="single" w:sz="6" w:space="0" w:color="000000"/>
              <w:bottom w:val="double" w:sz="6" w:space="0" w:color="000000"/>
            </w:tcBorders>
          </w:tcPr>
          <w:p>
            <w:pPr>
              <w:pStyle w:val="TableParagraph"/>
              <w:tabs>
                <w:tab w:pos="635" w:val="left" w:leader="none"/>
              </w:tabs>
              <w:spacing w:line="177" w:lineRule="exact" w:before="2"/>
              <w:ind w:right="60"/>
              <w:jc w:val="right"/>
              <w:rPr>
                <w:b/>
                <w:sz w:val="16"/>
              </w:rPr>
            </w:pPr>
            <w:r>
              <w:rPr>
                <w:b/>
                <w:spacing w:val="-10"/>
                <w:w w:val="105"/>
                <w:sz w:val="16"/>
              </w:rPr>
              <w:t>$</w:t>
            </w:r>
            <w:r>
              <w:rPr>
                <w:b/>
                <w:sz w:val="16"/>
              </w:rPr>
              <w:tab/>
            </w:r>
            <w:r>
              <w:rPr>
                <w:b/>
                <w:spacing w:val="-2"/>
                <w:w w:val="105"/>
                <w:sz w:val="16"/>
              </w:rPr>
              <w:t>(20,263)</w:t>
            </w:r>
          </w:p>
        </w:tc>
      </w:tr>
      <w:tr>
        <w:trPr>
          <w:trHeight w:val="835" w:hRule="atLeast"/>
        </w:trPr>
        <w:tc>
          <w:tcPr>
            <w:tcW w:w="4611" w:type="dxa"/>
            <w:tcBorders>
              <w:top w:val="double" w:sz="6" w:space="0" w:color="000000"/>
              <w:bottom w:val="single" w:sz="12" w:space="0" w:color="000000"/>
            </w:tcBorders>
          </w:tcPr>
          <w:p>
            <w:pPr>
              <w:pStyle w:val="TableParagraph"/>
              <w:spacing w:before="36"/>
              <w:rPr>
                <w:sz w:val="14"/>
              </w:rPr>
            </w:pPr>
          </w:p>
          <w:p>
            <w:pPr>
              <w:pStyle w:val="TableParagraph"/>
              <w:rPr>
                <w:sz w:val="14"/>
              </w:rPr>
            </w:pPr>
            <w:r>
              <w:rPr>
                <w:sz w:val="14"/>
              </w:rPr>
              <w:t>(1)</w:t>
            </w:r>
            <w:r>
              <w:rPr>
                <w:spacing w:val="30"/>
                <w:sz w:val="14"/>
              </w:rPr>
              <w:t>  </w:t>
            </w:r>
            <w:r>
              <w:rPr>
                <w:sz w:val="14"/>
              </w:rPr>
              <w:t>Consists</w:t>
            </w:r>
            <w:r>
              <w:rPr>
                <w:spacing w:val="-2"/>
                <w:sz w:val="14"/>
              </w:rPr>
              <w:t> </w:t>
            </w:r>
            <w:r>
              <w:rPr>
                <w:sz w:val="14"/>
              </w:rPr>
              <w:t>of</w:t>
            </w:r>
            <w:r>
              <w:rPr>
                <w:spacing w:val="-2"/>
                <w:sz w:val="14"/>
              </w:rPr>
              <w:t> </w:t>
            </w:r>
            <w:r>
              <w:rPr>
                <w:sz w:val="14"/>
              </w:rPr>
              <w:t>tax</w:t>
            </w:r>
            <w:r>
              <w:rPr>
                <w:spacing w:val="-2"/>
                <w:sz w:val="14"/>
              </w:rPr>
              <w:t> </w:t>
            </w:r>
            <w:r>
              <w:rPr>
                <w:sz w:val="14"/>
              </w:rPr>
              <w:t>withholdings</w:t>
            </w:r>
            <w:r>
              <w:rPr>
                <w:spacing w:val="-2"/>
                <w:sz w:val="14"/>
              </w:rPr>
              <w:t> </w:t>
            </w:r>
            <w:r>
              <w:rPr>
                <w:sz w:val="14"/>
              </w:rPr>
              <w:t>on</w:t>
            </w:r>
            <w:r>
              <w:rPr>
                <w:spacing w:val="-2"/>
                <w:sz w:val="14"/>
              </w:rPr>
              <w:t> </w:t>
            </w:r>
            <w:r>
              <w:rPr>
                <w:sz w:val="14"/>
              </w:rPr>
              <w:t>share</w:t>
            </w:r>
            <w:r>
              <w:rPr>
                <w:spacing w:val="-1"/>
                <w:sz w:val="14"/>
              </w:rPr>
              <w:t> </w:t>
            </w:r>
            <w:r>
              <w:rPr>
                <w:spacing w:val="-2"/>
                <w:sz w:val="14"/>
              </w:rPr>
              <w:t>repurchases.</w:t>
            </w:r>
          </w:p>
        </w:tc>
        <w:tc>
          <w:tcPr>
            <w:tcW w:w="1516" w:type="dxa"/>
            <w:tcBorders>
              <w:top w:val="double" w:sz="6" w:space="0" w:color="000000"/>
              <w:bottom w:val="single" w:sz="12" w:space="0" w:color="000000"/>
            </w:tcBorders>
          </w:tcPr>
          <w:p>
            <w:pPr>
              <w:pStyle w:val="TableParagraph"/>
              <w:rPr>
                <w:sz w:val="16"/>
              </w:rPr>
            </w:pPr>
          </w:p>
          <w:p>
            <w:pPr>
              <w:pStyle w:val="TableParagraph"/>
              <w:rPr>
                <w:sz w:val="16"/>
              </w:rPr>
            </w:pPr>
          </w:p>
          <w:p>
            <w:pPr>
              <w:pStyle w:val="TableParagraph"/>
              <w:spacing w:before="8"/>
              <w:rPr>
                <w:sz w:val="16"/>
              </w:rPr>
            </w:pPr>
          </w:p>
          <w:p>
            <w:pPr>
              <w:pStyle w:val="TableParagraph"/>
              <w:ind w:right="243"/>
              <w:jc w:val="right"/>
              <w:rPr>
                <w:sz w:val="16"/>
              </w:rPr>
            </w:pPr>
            <w:r>
              <w:rPr>
                <w:spacing w:val="-5"/>
                <w:w w:val="105"/>
                <w:sz w:val="16"/>
              </w:rPr>
              <w:t>107</w:t>
            </w:r>
          </w:p>
        </w:tc>
        <w:tc>
          <w:tcPr>
            <w:tcW w:w="1289" w:type="dxa"/>
            <w:tcBorders>
              <w:top w:val="double" w:sz="6" w:space="0" w:color="000000"/>
              <w:bottom w:val="single" w:sz="12" w:space="0" w:color="000000"/>
            </w:tcBorders>
          </w:tcPr>
          <w:p>
            <w:pPr>
              <w:pStyle w:val="TableParagraph"/>
              <w:rPr>
                <w:sz w:val="16"/>
              </w:rPr>
            </w:pPr>
          </w:p>
        </w:tc>
        <w:tc>
          <w:tcPr>
            <w:tcW w:w="1552" w:type="dxa"/>
            <w:tcBorders>
              <w:top w:val="double" w:sz="6" w:space="0" w:color="000000"/>
              <w:bottom w:val="single" w:sz="12" w:space="0" w:color="000000"/>
            </w:tcBorders>
          </w:tcPr>
          <w:p>
            <w:pPr>
              <w:pStyle w:val="TableParagraph"/>
              <w:rPr>
                <w:sz w:val="16"/>
              </w:rPr>
            </w:pPr>
          </w:p>
        </w:tc>
        <w:tc>
          <w:tcPr>
            <w:tcW w:w="1200" w:type="dxa"/>
            <w:tcBorders>
              <w:top w:val="double" w:sz="6" w:space="0" w:color="000000"/>
              <w:bottom w:val="single" w:sz="12" w:space="0" w:color="000000"/>
            </w:tcBorders>
          </w:tcPr>
          <w:p>
            <w:pPr>
              <w:pStyle w:val="TableParagraph"/>
              <w:rPr>
                <w:sz w:val="16"/>
              </w:rPr>
            </w:pPr>
          </w:p>
        </w:tc>
        <w:tc>
          <w:tcPr>
            <w:tcW w:w="1349" w:type="dxa"/>
            <w:tcBorders>
              <w:top w:val="double" w:sz="6" w:space="0" w:color="000000"/>
              <w:bottom w:val="single" w:sz="12" w:space="0" w:color="000000"/>
            </w:tcBorders>
          </w:tcPr>
          <w:p>
            <w:pPr>
              <w:pStyle w:val="TableParagraph"/>
              <w:rPr>
                <w:sz w:val="16"/>
              </w:rPr>
            </w:pPr>
          </w:p>
        </w:tc>
      </w:tr>
    </w:tbl>
    <w:p>
      <w:pPr>
        <w:spacing w:after="0"/>
        <w:rPr>
          <w:sz w:val="16"/>
        </w:rPr>
        <w:sectPr>
          <w:pgSz w:w="12240" w:h="15840"/>
          <w:pgMar w:header="428" w:footer="0" w:top="620" w:bottom="280" w:left="200" w:right="260"/>
        </w:sectPr>
      </w:pPr>
    </w:p>
    <w:p>
      <w:pPr>
        <w:pStyle w:val="BodyText"/>
        <w:spacing w:before="38"/>
      </w:pPr>
    </w:p>
    <w:p>
      <w:pPr>
        <w:pStyle w:val="Heading2"/>
      </w:pPr>
      <w:r>
        <w:rPr>
          <w:w w:val="105"/>
        </w:rPr>
        <w:t>17.</w:t>
      </w:r>
      <w:r>
        <w:rPr>
          <w:spacing w:val="15"/>
          <w:w w:val="105"/>
        </w:rPr>
        <w:t> </w:t>
      </w:r>
      <w:r>
        <w:rPr>
          <w:w w:val="105"/>
        </w:rPr>
        <w:t>Shareholders</w:t>
      </w:r>
      <w:r>
        <w:rPr>
          <w:b w:val="0"/>
          <w:w w:val="105"/>
        </w:rPr>
        <w:t>’</w:t>
      </w:r>
      <w:r>
        <w:rPr>
          <w:b w:val="0"/>
          <w:spacing w:val="-10"/>
          <w:w w:val="105"/>
        </w:rPr>
        <w:t> </w:t>
      </w:r>
      <w:r>
        <w:rPr>
          <w:w w:val="105"/>
        </w:rPr>
        <w:t>Equity</w:t>
      </w:r>
      <w:r>
        <w:rPr>
          <w:spacing w:val="-11"/>
          <w:w w:val="105"/>
        </w:rPr>
        <w:t> </w:t>
      </w:r>
      <w:r>
        <w:rPr>
          <w:spacing w:val="-2"/>
          <w:w w:val="105"/>
        </w:rPr>
        <w:t>(Continued)</w:t>
      </w:r>
    </w:p>
    <w:p>
      <w:pPr>
        <w:pStyle w:val="BodyText"/>
        <w:spacing w:before="40"/>
        <w:rPr>
          <w:b/>
        </w:rPr>
      </w:pPr>
    </w:p>
    <w:p>
      <w:pPr>
        <w:pStyle w:val="Heading3"/>
      </w:pPr>
      <w:r>
        <w:rPr/>
        <w:t>Accumulated</w:t>
      </w:r>
      <w:r>
        <w:rPr>
          <w:spacing w:val="22"/>
        </w:rPr>
        <w:t> </w:t>
      </w:r>
      <w:r>
        <w:rPr/>
        <w:t>Other</w:t>
      </w:r>
      <w:r>
        <w:rPr>
          <w:spacing w:val="22"/>
        </w:rPr>
        <w:t> </w:t>
      </w:r>
      <w:r>
        <w:rPr/>
        <w:t>Comprehensive</w:t>
      </w:r>
      <w:r>
        <w:rPr>
          <w:spacing w:val="23"/>
        </w:rPr>
        <w:t> </w:t>
      </w:r>
      <w:r>
        <w:rPr>
          <w:spacing w:val="-4"/>
        </w:rPr>
        <w:t>Loss</w:t>
      </w:r>
    </w:p>
    <w:p>
      <w:pPr>
        <w:pStyle w:val="BodyText"/>
        <w:spacing w:before="39"/>
        <w:rPr>
          <w:b/>
          <w:i/>
        </w:rPr>
      </w:pPr>
    </w:p>
    <w:p>
      <w:pPr>
        <w:pStyle w:val="BodyText"/>
        <w:spacing w:line="252" w:lineRule="auto"/>
        <w:ind w:left="156"/>
      </w:pPr>
      <w:r>
        <w:rPr/>
        <mc:AlternateContent>
          <mc:Choice Requires="wps">
            <w:drawing>
              <wp:anchor distT="0" distB="0" distL="0" distR="0" allowOverlap="1" layoutInCell="1" locked="0" behindDoc="0" simplePos="0" relativeHeight="15880704">
                <wp:simplePos x="0" y="0"/>
                <wp:positionH relativeFrom="page">
                  <wp:posOffset>226479</wp:posOffset>
                </wp:positionH>
                <wp:positionV relativeFrom="paragraph">
                  <wp:posOffset>329923</wp:posOffset>
                </wp:positionV>
                <wp:extent cx="7312659" cy="16510"/>
                <wp:effectExtent l="0" t="0" r="0" b="0"/>
                <wp:wrapNone/>
                <wp:docPr id="719" name="Graphic 719"/>
                <wp:cNvGraphicFramePr>
                  <a:graphicFrameLocks/>
                </wp:cNvGraphicFramePr>
                <a:graphic>
                  <a:graphicData uri="http://schemas.microsoft.com/office/word/2010/wordprocessingShape">
                    <wps:wsp>
                      <wps:cNvPr id="719" name="Graphic 719"/>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25.978201pt;width:575.775027pt;height:1.274pt;mso-position-horizontal-relative:page;mso-position-vertical-relative:paragraph;z-index:15880704" id="docshape718" filled="true" fillcolor="#000000" stroked="false">
                <v:fill type="solid"/>
                <w10:wrap type="none"/>
              </v:rect>
            </w:pict>
          </mc:Fallback>
        </mc:AlternateContent>
      </w:r>
      <w:r>
        <w:rPr>
          <w:w w:val="105"/>
        </w:rPr>
        <w:t>A</w:t>
      </w:r>
      <w:r>
        <w:rPr>
          <w:spacing w:val="-9"/>
          <w:w w:val="105"/>
        </w:rPr>
        <w:t> </w:t>
      </w:r>
      <w:r>
        <w:rPr>
          <w:w w:val="105"/>
        </w:rPr>
        <w:t>summary</w:t>
      </w:r>
      <w:r>
        <w:rPr>
          <w:spacing w:val="-9"/>
          <w:w w:val="105"/>
        </w:rPr>
        <w:t> </w:t>
      </w:r>
      <w:r>
        <w:rPr>
          <w:w w:val="105"/>
        </w:rPr>
        <w:t>of</w:t>
      </w:r>
      <w:r>
        <w:rPr>
          <w:spacing w:val="-9"/>
          <w:w w:val="105"/>
        </w:rPr>
        <w:t> </w:t>
      </w:r>
      <w:r>
        <w:rPr>
          <w:w w:val="105"/>
        </w:rPr>
        <w:t>changes</w:t>
      </w:r>
      <w:r>
        <w:rPr>
          <w:spacing w:val="-9"/>
          <w:w w:val="105"/>
        </w:rPr>
        <w:t> </w:t>
      </w:r>
      <w:r>
        <w:rPr>
          <w:w w:val="105"/>
        </w:rPr>
        <w:t>in</w:t>
      </w:r>
      <w:r>
        <w:rPr>
          <w:spacing w:val="-9"/>
          <w:w w:val="105"/>
        </w:rPr>
        <w:t> </w:t>
      </w:r>
      <w:r>
        <w:rPr>
          <w:w w:val="105"/>
        </w:rPr>
        <w:t>the</w:t>
      </w:r>
      <w:r>
        <w:rPr>
          <w:spacing w:val="-9"/>
          <w:w w:val="105"/>
        </w:rPr>
        <w:t> </w:t>
      </w:r>
      <w:r>
        <w:rPr>
          <w:w w:val="105"/>
        </w:rPr>
        <w:t>components</w:t>
      </w:r>
      <w:r>
        <w:rPr>
          <w:spacing w:val="-9"/>
          <w:w w:val="105"/>
        </w:rPr>
        <w:t> </w:t>
      </w:r>
      <w:r>
        <w:rPr>
          <w:w w:val="105"/>
        </w:rPr>
        <w:t>of</w:t>
      </w:r>
      <w:r>
        <w:rPr>
          <w:spacing w:val="-9"/>
          <w:w w:val="105"/>
        </w:rPr>
        <w:t> </w:t>
      </w:r>
      <w:r>
        <w:rPr>
          <w:w w:val="105"/>
        </w:rPr>
        <w:t>accumulated</w:t>
      </w:r>
      <w:r>
        <w:rPr>
          <w:spacing w:val="-9"/>
          <w:w w:val="105"/>
        </w:rPr>
        <w:t> </w:t>
      </w:r>
      <w:r>
        <w:rPr>
          <w:w w:val="105"/>
        </w:rPr>
        <w:t>other</w:t>
      </w:r>
      <w:r>
        <w:rPr>
          <w:spacing w:val="-9"/>
          <w:w w:val="105"/>
        </w:rPr>
        <w:t> </w:t>
      </w:r>
      <w:r>
        <w:rPr>
          <w:w w:val="105"/>
        </w:rPr>
        <w:t>comprehensive</w:t>
      </w:r>
      <w:r>
        <w:rPr>
          <w:spacing w:val="-9"/>
          <w:w w:val="105"/>
        </w:rPr>
        <w:t> </w:t>
      </w:r>
      <w:r>
        <w:rPr>
          <w:w w:val="105"/>
        </w:rPr>
        <w:t>loss,</w:t>
      </w:r>
      <w:r>
        <w:rPr>
          <w:spacing w:val="-9"/>
          <w:w w:val="105"/>
        </w:rPr>
        <w:t> </w:t>
      </w:r>
      <w:r>
        <w:rPr>
          <w:w w:val="105"/>
        </w:rPr>
        <w:t>including</w:t>
      </w:r>
      <w:r>
        <w:rPr>
          <w:spacing w:val="-8"/>
          <w:w w:val="105"/>
        </w:rPr>
        <w:t> </w:t>
      </w:r>
      <w:r>
        <w:rPr>
          <w:w w:val="105"/>
        </w:rPr>
        <w:t>the</w:t>
      </w:r>
      <w:r>
        <w:rPr>
          <w:spacing w:val="-9"/>
          <w:w w:val="105"/>
        </w:rPr>
        <w:t> </w:t>
      </w:r>
      <w:r>
        <w:rPr>
          <w:w w:val="105"/>
        </w:rPr>
        <w:t>proportionate</w:t>
      </w:r>
      <w:r>
        <w:rPr>
          <w:spacing w:val="-9"/>
          <w:w w:val="105"/>
        </w:rPr>
        <w:t> </w:t>
      </w:r>
      <w:r>
        <w:rPr>
          <w:w w:val="105"/>
        </w:rPr>
        <w:t>share</w:t>
      </w:r>
      <w:r>
        <w:rPr>
          <w:spacing w:val="-9"/>
          <w:w w:val="105"/>
        </w:rPr>
        <w:t> </w:t>
      </w:r>
      <w:r>
        <w:rPr>
          <w:w w:val="105"/>
        </w:rPr>
        <w:t>of</w:t>
      </w:r>
      <w:r>
        <w:rPr>
          <w:spacing w:val="-8"/>
          <w:w w:val="105"/>
        </w:rPr>
        <w:t> </w:t>
      </w:r>
      <w:r>
        <w:rPr>
          <w:w w:val="105"/>
        </w:rPr>
        <w:t>equity</w:t>
      </w:r>
      <w:r>
        <w:rPr>
          <w:spacing w:val="-9"/>
          <w:w w:val="105"/>
        </w:rPr>
        <w:t> </w:t>
      </w:r>
      <w:r>
        <w:rPr>
          <w:w w:val="105"/>
        </w:rPr>
        <w:t>method</w:t>
      </w:r>
      <w:r>
        <w:rPr>
          <w:spacing w:val="-9"/>
          <w:w w:val="105"/>
        </w:rPr>
        <w:t> </w:t>
      </w:r>
      <w:r>
        <w:rPr>
          <w:w w:val="105"/>
        </w:rPr>
        <w:t>investee’s</w:t>
      </w:r>
      <w:r>
        <w:rPr>
          <w:spacing w:val="-9"/>
          <w:w w:val="105"/>
        </w:rPr>
        <w:t> </w:t>
      </w:r>
      <w:r>
        <w:rPr>
          <w:w w:val="105"/>
        </w:rPr>
        <w:t>accumulated</w:t>
      </w:r>
      <w:r>
        <w:rPr>
          <w:spacing w:val="-9"/>
          <w:w w:val="105"/>
        </w:rPr>
        <w:t> </w:t>
      </w:r>
      <w:r>
        <w:rPr>
          <w:w w:val="105"/>
        </w:rPr>
        <w:t>other comprehensive loss, is as follows (in millions) </w:t>
      </w:r>
      <w:r>
        <w:rPr>
          <w:w w:val="105"/>
          <w:position w:val="3"/>
          <w:sz w:val="14"/>
        </w:rPr>
        <w:t>(</w:t>
      </w:r>
      <w:r>
        <w:rPr>
          <w:w w:val="105"/>
          <w:sz w:val="14"/>
        </w:rPr>
        <w:t>1</w:t>
      </w:r>
      <w:r>
        <w:rPr>
          <w:w w:val="105"/>
          <w:position w:val="3"/>
          <w:sz w:val="14"/>
        </w:rPr>
        <w:t>)</w:t>
      </w:r>
      <w:r>
        <w:rPr>
          <w:w w:val="105"/>
        </w:rPr>
        <w:t>:</w:t>
      </w:r>
    </w:p>
    <w:p>
      <w:pPr>
        <w:spacing w:after="0" w:line="252" w:lineRule="auto"/>
        <w:sectPr>
          <w:pgSz w:w="12240" w:h="15840"/>
          <w:pgMar w:header="428" w:footer="0" w:top="620" w:bottom="280" w:left="200" w:right="260"/>
        </w:sectPr>
      </w:pPr>
    </w:p>
    <w:p>
      <w:pPr>
        <w:pStyle w:val="BodyText"/>
        <w:spacing w:before="142"/>
        <w:rPr>
          <w:sz w:val="14"/>
        </w:rPr>
      </w:pPr>
    </w:p>
    <w:p>
      <w:pPr>
        <w:spacing w:line="228" w:lineRule="auto" w:before="0"/>
        <w:ind w:left="4791" w:right="0" w:firstLine="0"/>
        <w:jc w:val="center"/>
        <w:rPr>
          <w:sz w:val="14"/>
        </w:rPr>
      </w:pPr>
      <w:r>
        <w:rPr>
          <w:sz w:val="14"/>
        </w:rPr>
        <w:t>Foreign</w:t>
      </w:r>
      <w:r>
        <w:rPr>
          <w:spacing w:val="-9"/>
          <w:sz w:val="14"/>
        </w:rPr>
        <w:t> </w:t>
      </w:r>
      <w:r>
        <w:rPr>
          <w:sz w:val="14"/>
        </w:rPr>
        <w:t>currency</w:t>
      </w:r>
      <w:r>
        <w:rPr>
          <w:spacing w:val="40"/>
          <w:sz w:val="14"/>
        </w:rPr>
        <w:t> </w:t>
      </w:r>
      <w:r>
        <w:rPr>
          <w:spacing w:val="-2"/>
          <w:sz w:val="14"/>
        </w:rPr>
        <w:t>translation</w:t>
      </w:r>
      <w:r>
        <w:rPr>
          <w:spacing w:val="40"/>
          <w:sz w:val="14"/>
        </w:rPr>
        <w:t> </w:t>
      </w:r>
      <w:r>
        <w:rPr>
          <w:sz w:val="14"/>
        </w:rPr>
        <w:t>adjustments</w:t>
      </w:r>
      <w:r>
        <w:rPr>
          <w:spacing w:val="-6"/>
          <w:sz w:val="14"/>
        </w:rPr>
        <w:t> </w:t>
      </w:r>
      <w:r>
        <w:rPr>
          <w:sz w:val="14"/>
        </w:rPr>
        <w:t>and</w:t>
      </w:r>
      <w:r>
        <w:rPr>
          <w:spacing w:val="40"/>
          <w:sz w:val="14"/>
        </w:rPr>
        <w:t> </w:t>
      </w:r>
      <w:r>
        <w:rPr>
          <w:spacing w:val="-2"/>
          <w:sz w:val="14"/>
        </w:rPr>
        <w:t>other</w:t>
      </w:r>
    </w:p>
    <w:p>
      <w:pPr>
        <w:spacing w:line="228" w:lineRule="auto" w:before="150"/>
        <w:ind w:left="387" w:right="0" w:hanging="2"/>
        <w:jc w:val="center"/>
        <w:rPr>
          <w:sz w:val="14"/>
        </w:rPr>
      </w:pPr>
      <w:r>
        <w:rPr/>
        <w:br w:type="column"/>
      </w:r>
      <w:r>
        <w:rPr>
          <w:spacing w:val="-2"/>
          <w:sz w:val="14"/>
        </w:rPr>
        <w:t>Unamortized</w:t>
      </w:r>
      <w:r>
        <w:rPr>
          <w:spacing w:val="40"/>
          <w:sz w:val="14"/>
        </w:rPr>
        <w:t> </w:t>
      </w:r>
      <w:r>
        <w:rPr>
          <w:sz w:val="14"/>
        </w:rPr>
        <w:t>actuarial</w:t>
      </w:r>
      <w:r>
        <w:rPr>
          <w:spacing w:val="-6"/>
          <w:sz w:val="14"/>
        </w:rPr>
        <w:t> </w:t>
      </w:r>
      <w:r>
        <w:rPr>
          <w:sz w:val="14"/>
        </w:rPr>
        <w:t>gains</w:t>
      </w:r>
      <w:r>
        <w:rPr>
          <w:spacing w:val="40"/>
          <w:sz w:val="14"/>
        </w:rPr>
        <w:t> </w:t>
      </w:r>
      <w:r>
        <w:rPr>
          <w:sz w:val="14"/>
        </w:rPr>
        <w:t>(losses)</w:t>
      </w:r>
      <w:r>
        <w:rPr>
          <w:spacing w:val="-9"/>
          <w:sz w:val="14"/>
        </w:rPr>
        <w:t> </w:t>
      </w:r>
      <w:r>
        <w:rPr>
          <w:sz w:val="14"/>
        </w:rPr>
        <w:t>and</w:t>
      </w:r>
      <w:r>
        <w:rPr>
          <w:spacing w:val="-9"/>
          <w:sz w:val="14"/>
        </w:rPr>
        <w:t> </w:t>
      </w:r>
      <w:r>
        <w:rPr>
          <w:sz w:val="14"/>
        </w:rPr>
        <w:t>prior</w:t>
      </w:r>
      <w:r>
        <w:rPr>
          <w:spacing w:val="40"/>
          <w:sz w:val="14"/>
        </w:rPr>
        <w:t> </w:t>
      </w:r>
      <w:r>
        <w:rPr>
          <w:sz w:val="14"/>
        </w:rPr>
        <w:t>service</w:t>
      </w:r>
      <w:r>
        <w:rPr>
          <w:spacing w:val="-6"/>
          <w:sz w:val="14"/>
        </w:rPr>
        <w:t> </w:t>
      </w:r>
      <w:r>
        <w:rPr>
          <w:sz w:val="14"/>
        </w:rPr>
        <w:t>(costs)</w:t>
      </w:r>
      <w:r>
        <w:rPr>
          <w:spacing w:val="40"/>
          <w:sz w:val="14"/>
        </w:rPr>
        <w:t> </w:t>
      </w:r>
      <w:r>
        <w:rPr>
          <w:spacing w:val="-2"/>
          <w:sz w:val="14"/>
        </w:rPr>
        <w:t>credits</w:t>
      </w:r>
    </w:p>
    <w:p>
      <w:pPr>
        <w:spacing w:line="240" w:lineRule="auto" w:before="0"/>
        <w:rPr>
          <w:sz w:val="14"/>
        </w:rPr>
      </w:pPr>
      <w:r>
        <w:rPr/>
        <w:br w:type="column"/>
      </w:r>
      <w:r>
        <w:rPr>
          <w:sz w:val="14"/>
        </w:rPr>
      </w:r>
    </w:p>
    <w:p>
      <w:pPr>
        <w:pStyle w:val="BodyText"/>
        <w:spacing w:before="134"/>
        <w:rPr>
          <w:sz w:val="14"/>
        </w:rPr>
      </w:pPr>
    </w:p>
    <w:p>
      <w:pPr>
        <w:spacing w:line="228" w:lineRule="auto" w:before="0"/>
        <w:ind w:left="343" w:right="0" w:firstLine="0"/>
        <w:jc w:val="center"/>
        <w:rPr>
          <w:sz w:val="14"/>
        </w:rPr>
      </w:pPr>
      <w:r>
        <w:rPr>
          <w:sz w:val="14"/>
        </w:rPr>
        <w:t>Net</w:t>
      </w:r>
      <w:r>
        <w:rPr>
          <w:spacing w:val="-9"/>
          <w:sz w:val="14"/>
        </w:rPr>
        <w:t> </w:t>
      </w:r>
      <w:r>
        <w:rPr>
          <w:sz w:val="14"/>
        </w:rPr>
        <w:t>unrealized</w:t>
      </w:r>
      <w:r>
        <w:rPr>
          <w:spacing w:val="-9"/>
          <w:sz w:val="14"/>
        </w:rPr>
        <w:t> </w:t>
      </w:r>
      <w:r>
        <w:rPr>
          <w:sz w:val="14"/>
        </w:rPr>
        <w:t>gains</w:t>
      </w:r>
      <w:r>
        <w:rPr>
          <w:spacing w:val="40"/>
          <w:sz w:val="14"/>
        </w:rPr>
        <w:t> </w:t>
      </w:r>
      <w:r>
        <w:rPr>
          <w:sz w:val="14"/>
        </w:rPr>
        <w:t>(losses)</w:t>
      </w:r>
      <w:r>
        <w:rPr>
          <w:spacing w:val="-8"/>
          <w:sz w:val="14"/>
        </w:rPr>
        <w:t> </w:t>
      </w:r>
      <w:r>
        <w:rPr>
          <w:sz w:val="14"/>
        </w:rPr>
        <w:t>on</w:t>
      </w:r>
      <w:r>
        <w:rPr>
          <w:spacing w:val="40"/>
          <w:sz w:val="14"/>
        </w:rPr>
        <w:t> </w:t>
      </w:r>
      <w:r>
        <w:rPr>
          <w:spacing w:val="-2"/>
          <w:sz w:val="14"/>
        </w:rPr>
        <w:t>investments</w:t>
      </w:r>
    </w:p>
    <w:p>
      <w:pPr>
        <w:spacing w:line="240" w:lineRule="auto" w:before="0"/>
        <w:rPr>
          <w:sz w:val="14"/>
        </w:rPr>
      </w:pPr>
      <w:r>
        <w:rPr/>
        <w:br w:type="column"/>
      </w:r>
      <w:r>
        <w:rPr>
          <w:sz w:val="14"/>
        </w:rPr>
      </w:r>
    </w:p>
    <w:p>
      <w:pPr>
        <w:pStyle w:val="BodyText"/>
        <w:spacing w:before="134"/>
        <w:rPr>
          <w:sz w:val="14"/>
        </w:rPr>
      </w:pPr>
    </w:p>
    <w:p>
      <w:pPr>
        <w:spacing w:line="228" w:lineRule="auto" w:before="0"/>
        <w:ind w:left="260" w:right="0" w:firstLine="0"/>
        <w:jc w:val="center"/>
        <w:rPr>
          <w:sz w:val="14"/>
        </w:rPr>
      </w:pPr>
      <w:r>
        <w:rPr>
          <w:sz w:val="14"/>
        </w:rPr>
        <w:t>Net</w:t>
      </w:r>
      <w:r>
        <w:rPr>
          <w:spacing w:val="-9"/>
          <w:sz w:val="14"/>
        </w:rPr>
        <w:t> </w:t>
      </w:r>
      <w:r>
        <w:rPr>
          <w:sz w:val="14"/>
        </w:rPr>
        <w:t>unrealized</w:t>
      </w:r>
      <w:r>
        <w:rPr>
          <w:spacing w:val="-9"/>
          <w:sz w:val="14"/>
        </w:rPr>
        <w:t> </w:t>
      </w:r>
      <w:r>
        <w:rPr>
          <w:sz w:val="14"/>
        </w:rPr>
        <w:t>gains</w:t>
      </w:r>
      <w:r>
        <w:rPr>
          <w:spacing w:val="40"/>
          <w:sz w:val="14"/>
        </w:rPr>
        <w:t> </w:t>
      </w:r>
      <w:r>
        <w:rPr>
          <w:sz w:val="14"/>
        </w:rPr>
        <w:t>(losses)</w:t>
      </w:r>
      <w:r>
        <w:rPr>
          <w:spacing w:val="-8"/>
          <w:sz w:val="14"/>
        </w:rPr>
        <w:t> </w:t>
      </w:r>
      <w:r>
        <w:rPr>
          <w:sz w:val="14"/>
        </w:rPr>
        <w:t>on</w:t>
      </w:r>
      <w:r>
        <w:rPr>
          <w:spacing w:val="40"/>
          <w:sz w:val="14"/>
        </w:rPr>
        <w:t> </w:t>
      </w:r>
      <w:r>
        <w:rPr>
          <w:sz w:val="14"/>
        </w:rPr>
        <w:t>designated</w:t>
      </w:r>
      <w:r>
        <w:rPr>
          <w:spacing w:val="-6"/>
          <w:sz w:val="14"/>
        </w:rPr>
        <w:t> </w:t>
      </w:r>
      <w:r>
        <w:rPr>
          <w:sz w:val="14"/>
        </w:rPr>
        <w:t>hedges</w:t>
      </w:r>
    </w:p>
    <w:p>
      <w:pPr>
        <w:spacing w:line="240" w:lineRule="auto" w:before="0"/>
        <w:rPr>
          <w:sz w:val="14"/>
        </w:rPr>
      </w:pPr>
      <w:r>
        <w:rPr/>
        <w:br w:type="column"/>
      </w:r>
      <w:r>
        <w:rPr>
          <w:sz w:val="14"/>
        </w:rPr>
      </w:r>
    </w:p>
    <w:p>
      <w:pPr>
        <w:pStyle w:val="BodyText"/>
        <w:rPr>
          <w:sz w:val="14"/>
        </w:rPr>
      </w:pPr>
    </w:p>
    <w:p>
      <w:pPr>
        <w:pStyle w:val="BodyText"/>
        <w:spacing w:before="126"/>
        <w:rPr>
          <w:sz w:val="14"/>
        </w:rPr>
      </w:pPr>
    </w:p>
    <w:p>
      <w:pPr>
        <w:spacing w:line="228" w:lineRule="auto" w:before="0"/>
        <w:ind w:left="241" w:right="255" w:firstLine="15"/>
        <w:jc w:val="left"/>
        <w:rPr>
          <w:sz w:val="14"/>
        </w:rPr>
      </w:pPr>
      <w:r>
        <w:rPr>
          <w:sz w:val="14"/>
        </w:rPr>
        <w:t>Accumulated</w:t>
      </w:r>
      <w:r>
        <w:rPr>
          <w:spacing w:val="-9"/>
          <w:sz w:val="14"/>
        </w:rPr>
        <w:t> </w:t>
      </w:r>
      <w:r>
        <w:rPr>
          <w:sz w:val="14"/>
        </w:rPr>
        <w:t>other</w:t>
      </w:r>
      <w:r>
        <w:rPr>
          <w:spacing w:val="40"/>
          <w:sz w:val="14"/>
        </w:rPr>
        <w:t> </w:t>
      </w:r>
      <w:r>
        <w:rPr>
          <w:sz w:val="14"/>
        </w:rPr>
        <w:t>comprehensive</w:t>
      </w:r>
      <w:r>
        <w:rPr>
          <w:spacing w:val="-2"/>
          <w:sz w:val="14"/>
        </w:rPr>
        <w:t> </w:t>
      </w:r>
      <w:r>
        <w:rPr>
          <w:spacing w:val="-4"/>
          <w:sz w:val="14"/>
        </w:rPr>
        <w:t>loss</w:t>
      </w:r>
    </w:p>
    <w:p>
      <w:pPr>
        <w:spacing w:after="0" w:line="228" w:lineRule="auto"/>
        <w:jc w:val="left"/>
        <w:rPr>
          <w:sz w:val="14"/>
        </w:rPr>
        <w:sectPr>
          <w:type w:val="continuous"/>
          <w:pgSz w:w="12240" w:h="15840"/>
          <w:pgMar w:header="428" w:footer="0" w:top="700" w:bottom="280" w:left="200" w:right="260"/>
          <w:cols w:num="5" w:equalWidth="0">
            <w:col w:w="5753" w:space="40"/>
            <w:col w:w="1361" w:space="39"/>
            <w:col w:w="1495" w:space="39"/>
            <w:col w:w="1413" w:space="40"/>
            <w:col w:w="1600"/>
          </w:cols>
        </w:sectPr>
      </w:pPr>
    </w:p>
    <w:p>
      <w:pPr>
        <w:tabs>
          <w:tab w:pos="4691" w:val="left" w:leader="none"/>
          <w:tab w:pos="5593" w:val="left" w:leader="none"/>
          <w:tab w:pos="6995" w:val="left" w:leader="none"/>
          <w:tab w:pos="8625" w:val="left" w:leader="none"/>
          <w:tab w:pos="10086" w:val="left" w:leader="none"/>
          <w:tab w:pos="10385" w:val="left" w:leader="none"/>
          <w:tab w:pos="11195" w:val="left" w:leader="none"/>
        </w:tabs>
        <w:spacing w:before="6"/>
        <w:ind w:left="156" w:right="0" w:firstLine="0"/>
        <w:jc w:val="left"/>
        <w:rPr>
          <w:sz w:val="14"/>
        </w:rPr>
      </w:pPr>
      <w:r>
        <w:rPr>
          <w:sz w:val="14"/>
        </w:rPr>
        <w:t>Balance at December 31, </w:t>
      </w:r>
      <w:r>
        <w:rPr>
          <w:spacing w:val="-4"/>
          <w:sz w:val="14"/>
        </w:rPr>
        <w:t>2018</w:t>
      </w:r>
      <w:r>
        <w:rPr>
          <w:sz w:val="14"/>
        </w:rPr>
        <w:tab/>
      </w:r>
      <w:r>
        <w:rPr>
          <w:spacing w:val="-10"/>
          <w:sz w:val="14"/>
        </w:rPr>
        <w:t>$</w:t>
      </w:r>
      <w:r>
        <w:rPr>
          <w:sz w:val="14"/>
        </w:rPr>
        <w:tab/>
        <w:t>(714)</w:t>
      </w:r>
      <w:r>
        <w:rPr>
          <w:spacing w:val="54"/>
          <w:sz w:val="14"/>
        </w:rPr>
        <w:t>  </w:t>
      </w:r>
      <w:r>
        <w:rPr>
          <w:spacing w:val="-10"/>
          <w:sz w:val="14"/>
        </w:rPr>
        <w:t>$</w:t>
      </w:r>
      <w:r>
        <w:rPr>
          <w:sz w:val="14"/>
        </w:rPr>
        <w:tab/>
        <w:t>(298)</w:t>
      </w:r>
      <w:r>
        <w:rPr>
          <w:spacing w:val="54"/>
          <w:sz w:val="14"/>
        </w:rPr>
        <w:t>  </w:t>
      </w:r>
      <w:r>
        <w:rPr>
          <w:spacing w:val="-10"/>
          <w:sz w:val="14"/>
        </w:rPr>
        <w:t>$</w:t>
      </w:r>
      <w:r>
        <w:rPr>
          <w:sz w:val="14"/>
        </w:rPr>
        <w:tab/>
        <w:t>(4)</w:t>
      </w:r>
      <w:r>
        <w:rPr>
          <w:spacing w:val="55"/>
          <w:sz w:val="14"/>
        </w:rPr>
        <w:t>  </w:t>
      </w:r>
      <w:r>
        <w:rPr>
          <w:spacing w:val="-10"/>
          <w:sz w:val="14"/>
        </w:rPr>
        <w:t>$</w:t>
      </w:r>
      <w:r>
        <w:rPr>
          <w:sz w:val="14"/>
        </w:rPr>
        <w:tab/>
      </w:r>
      <w:r>
        <w:rPr>
          <w:spacing w:val="-10"/>
          <w:sz w:val="14"/>
        </w:rPr>
        <w:t>6</w:t>
      </w:r>
      <w:r>
        <w:rPr>
          <w:sz w:val="14"/>
        </w:rPr>
        <w:tab/>
      </w:r>
      <w:r>
        <w:rPr>
          <w:spacing w:val="-10"/>
          <w:sz w:val="14"/>
        </w:rPr>
        <w:t>$</w:t>
      </w:r>
      <w:r>
        <w:rPr>
          <w:sz w:val="14"/>
        </w:rPr>
        <w:tab/>
      </w:r>
      <w:r>
        <w:rPr>
          <w:spacing w:val="-2"/>
          <w:sz w:val="14"/>
        </w:rPr>
        <w:t>(1,010)</w:t>
      </w:r>
    </w:p>
    <w:p>
      <w:pPr>
        <w:pStyle w:val="BodyText"/>
        <w:spacing w:before="1"/>
        <w:rPr>
          <w:sz w:val="14"/>
        </w:rPr>
      </w:pPr>
      <w:r>
        <w:rPr/>
        <mc:AlternateContent>
          <mc:Choice Requires="wps">
            <w:drawing>
              <wp:anchor distT="0" distB="0" distL="0" distR="0" allowOverlap="1" layoutInCell="1" locked="0" behindDoc="1" simplePos="0" relativeHeight="487737344">
                <wp:simplePos x="0" y="0"/>
                <wp:positionH relativeFrom="page">
                  <wp:posOffset>226488</wp:posOffset>
                </wp:positionH>
                <wp:positionV relativeFrom="paragraph">
                  <wp:posOffset>118424</wp:posOffset>
                </wp:positionV>
                <wp:extent cx="7312659" cy="97155"/>
                <wp:effectExtent l="0" t="0" r="0" b="0"/>
                <wp:wrapTopAndBottom/>
                <wp:docPr id="720" name="Textbox 720"/>
                <wp:cNvGraphicFramePr>
                  <a:graphicFrameLocks/>
                </wp:cNvGraphicFramePr>
                <a:graphic>
                  <a:graphicData uri="http://schemas.microsoft.com/office/word/2010/wordprocessingShape">
                    <wps:wsp>
                      <wps:cNvPr id="720" name="Textbox 720"/>
                      <wps:cNvSpPr txBox="1"/>
                      <wps:spPr>
                        <a:xfrm>
                          <a:off x="0" y="0"/>
                          <a:ext cx="7312659" cy="97155"/>
                        </a:xfrm>
                        <a:prstGeom prst="rect">
                          <a:avLst/>
                        </a:prstGeom>
                        <a:solidFill>
                          <a:srgbClr val="CCEDFF"/>
                        </a:solidFill>
                      </wps:spPr>
                      <wps:txbx>
                        <w:txbxContent>
                          <w:p>
                            <w:pPr>
                              <w:tabs>
                                <w:tab w:pos="4534" w:val="left" w:leader="none"/>
                                <w:tab w:pos="5437" w:val="left" w:leader="none"/>
                                <w:tab w:pos="6908" w:val="left" w:leader="none"/>
                                <w:tab w:pos="8515" w:val="left" w:leader="none"/>
                                <w:tab w:pos="8814" w:val="left" w:leader="none"/>
                                <w:tab w:pos="9859" w:val="left" w:leader="none"/>
                                <w:tab w:pos="10228" w:val="left" w:leader="none"/>
                                <w:tab w:pos="11144" w:val="left" w:leader="none"/>
                              </w:tabs>
                              <w:spacing w:line="153" w:lineRule="exact" w:before="0"/>
                              <w:ind w:left="305" w:right="0" w:firstLine="0"/>
                              <w:jc w:val="left"/>
                              <w:rPr>
                                <w:color w:val="000000"/>
                                <w:sz w:val="14"/>
                              </w:rPr>
                            </w:pPr>
                            <w:r>
                              <w:rPr>
                                <w:color w:val="000000"/>
                                <w:sz w:val="14"/>
                              </w:rPr>
                              <w:t>Other</w:t>
                            </w:r>
                            <w:r>
                              <w:rPr>
                                <w:color w:val="000000"/>
                                <w:spacing w:val="-5"/>
                                <w:sz w:val="14"/>
                              </w:rPr>
                              <w:t> </w:t>
                            </w:r>
                            <w:r>
                              <w:rPr>
                                <w:color w:val="000000"/>
                                <w:sz w:val="14"/>
                              </w:rPr>
                              <w:t>comprehensive</w:t>
                            </w:r>
                            <w:r>
                              <w:rPr>
                                <w:color w:val="000000"/>
                                <w:spacing w:val="-3"/>
                                <w:sz w:val="14"/>
                              </w:rPr>
                              <w:t> </w:t>
                            </w:r>
                            <w:r>
                              <w:rPr>
                                <w:color w:val="000000"/>
                                <w:sz w:val="14"/>
                              </w:rPr>
                              <w:t>(loss)</w:t>
                            </w:r>
                            <w:r>
                              <w:rPr>
                                <w:color w:val="000000"/>
                                <w:spacing w:val="-3"/>
                                <w:sz w:val="14"/>
                              </w:rPr>
                              <w:t> </w:t>
                            </w:r>
                            <w:r>
                              <w:rPr>
                                <w:color w:val="000000"/>
                                <w:sz w:val="14"/>
                              </w:rPr>
                              <w:t>income</w:t>
                            </w:r>
                            <w:r>
                              <w:rPr>
                                <w:color w:val="000000"/>
                                <w:spacing w:val="-2"/>
                                <w:sz w:val="14"/>
                              </w:rPr>
                              <w:t> </w:t>
                            </w:r>
                            <w:r>
                              <w:rPr>
                                <w:color w:val="000000"/>
                                <w:sz w:val="14"/>
                              </w:rPr>
                              <w:t>before</w:t>
                            </w:r>
                            <w:r>
                              <w:rPr>
                                <w:color w:val="000000"/>
                                <w:spacing w:val="-3"/>
                                <w:sz w:val="14"/>
                              </w:rPr>
                              <w:t> </w:t>
                            </w:r>
                            <w:r>
                              <w:rPr>
                                <w:color w:val="000000"/>
                                <w:sz w:val="14"/>
                              </w:rPr>
                              <w:t>reclassifications</w:t>
                            </w:r>
                            <w:r>
                              <w:rPr>
                                <w:color w:val="000000"/>
                                <w:spacing w:val="-4"/>
                                <w:sz w:val="14"/>
                              </w:rPr>
                              <w:t> </w:t>
                            </w:r>
                            <w:r>
                              <w:rPr>
                                <w:color w:val="000000"/>
                                <w:spacing w:val="-5"/>
                                <w:position w:val="3"/>
                                <w:sz w:val="11"/>
                              </w:rPr>
                              <w:t>(2)</w:t>
                            </w:r>
                            <w:r>
                              <w:rPr>
                                <w:color w:val="000000"/>
                                <w:position w:val="3"/>
                                <w:sz w:val="11"/>
                              </w:rPr>
                              <w:tab/>
                            </w:r>
                            <w:r>
                              <w:rPr>
                                <w:color w:val="000000"/>
                                <w:spacing w:val="-10"/>
                                <w:sz w:val="14"/>
                              </w:rPr>
                              <w:t>$</w:t>
                            </w:r>
                            <w:r>
                              <w:rPr>
                                <w:color w:val="000000"/>
                                <w:sz w:val="14"/>
                              </w:rPr>
                              <w:tab/>
                              <w:t>(129)</w:t>
                            </w:r>
                            <w:r>
                              <w:rPr>
                                <w:color w:val="000000"/>
                                <w:spacing w:val="54"/>
                                <w:sz w:val="14"/>
                              </w:rPr>
                              <w:t>  </w:t>
                            </w:r>
                            <w:r>
                              <w:rPr>
                                <w:color w:val="000000"/>
                                <w:spacing w:val="-10"/>
                                <w:sz w:val="14"/>
                              </w:rPr>
                              <w:t>$</w:t>
                            </w:r>
                            <w:r>
                              <w:rPr>
                                <w:color w:val="000000"/>
                                <w:sz w:val="14"/>
                              </w:rPr>
                              <w:tab/>
                              <w:t>(79)</w:t>
                            </w:r>
                            <w:r>
                              <w:rPr>
                                <w:color w:val="000000"/>
                                <w:spacing w:val="55"/>
                                <w:sz w:val="14"/>
                              </w:rPr>
                              <w:t>  </w:t>
                            </w:r>
                            <w:r>
                              <w:rPr>
                                <w:color w:val="000000"/>
                                <w:spacing w:val="-10"/>
                                <w:sz w:val="14"/>
                              </w:rPr>
                              <w:t>$</w:t>
                            </w:r>
                            <w:r>
                              <w:rPr>
                                <w:color w:val="000000"/>
                                <w:sz w:val="14"/>
                              </w:rPr>
                              <w:tab/>
                            </w:r>
                            <w:r>
                              <w:rPr>
                                <w:color w:val="000000"/>
                                <w:spacing w:val="-10"/>
                                <w:sz w:val="14"/>
                              </w:rPr>
                              <w:t>1</w:t>
                            </w:r>
                            <w:r>
                              <w:rPr>
                                <w:color w:val="000000"/>
                                <w:sz w:val="14"/>
                              </w:rPr>
                              <w:tab/>
                            </w:r>
                            <w:r>
                              <w:rPr>
                                <w:color w:val="000000"/>
                                <w:spacing w:val="-10"/>
                                <w:sz w:val="14"/>
                              </w:rPr>
                              <w:t>$</w:t>
                            </w:r>
                            <w:r>
                              <w:rPr>
                                <w:color w:val="000000"/>
                                <w:sz w:val="14"/>
                              </w:rPr>
                              <w:tab/>
                            </w:r>
                            <w:r>
                              <w:rPr>
                                <w:color w:val="000000"/>
                                <w:spacing w:val="-5"/>
                                <w:sz w:val="14"/>
                              </w:rPr>
                              <w:t>54</w:t>
                            </w:r>
                            <w:r>
                              <w:rPr>
                                <w:color w:val="000000"/>
                                <w:sz w:val="14"/>
                              </w:rPr>
                              <w:tab/>
                            </w:r>
                            <w:r>
                              <w:rPr>
                                <w:color w:val="000000"/>
                                <w:spacing w:val="-10"/>
                                <w:sz w:val="14"/>
                              </w:rPr>
                              <w:t>$</w:t>
                            </w:r>
                            <w:r>
                              <w:rPr>
                                <w:color w:val="000000"/>
                                <w:sz w:val="14"/>
                              </w:rPr>
                              <w:tab/>
                            </w:r>
                            <w:r>
                              <w:rPr>
                                <w:color w:val="000000"/>
                                <w:spacing w:val="-2"/>
                                <w:sz w:val="14"/>
                              </w:rPr>
                              <w:t>(153)</w:t>
                            </w:r>
                          </w:p>
                        </w:txbxContent>
                      </wps:txbx>
                      <wps:bodyPr wrap="square" lIns="0" tIns="0" rIns="0" bIns="0" rtlCol="0">
                        <a:noAutofit/>
                      </wps:bodyPr>
                    </wps:wsp>
                  </a:graphicData>
                </a:graphic>
              </wp:anchor>
            </w:drawing>
          </mc:Choice>
          <mc:Fallback>
            <w:pict>
              <v:shape style="position:absolute;margin-left:17.833740pt;margin-top:9.324799pt;width:575.8pt;height:7.65pt;mso-position-horizontal-relative:page;mso-position-vertical-relative:paragraph;z-index:-15579136;mso-wrap-distance-left:0;mso-wrap-distance-right:0" type="#_x0000_t202" id="docshape719" filled="true" fillcolor="#ccedff" stroked="false">
                <v:textbox inset="0,0,0,0">
                  <w:txbxContent>
                    <w:p>
                      <w:pPr>
                        <w:tabs>
                          <w:tab w:pos="4534" w:val="left" w:leader="none"/>
                          <w:tab w:pos="5437" w:val="left" w:leader="none"/>
                          <w:tab w:pos="6908" w:val="left" w:leader="none"/>
                          <w:tab w:pos="8515" w:val="left" w:leader="none"/>
                          <w:tab w:pos="8814" w:val="left" w:leader="none"/>
                          <w:tab w:pos="9859" w:val="left" w:leader="none"/>
                          <w:tab w:pos="10228" w:val="left" w:leader="none"/>
                          <w:tab w:pos="11144" w:val="left" w:leader="none"/>
                        </w:tabs>
                        <w:spacing w:line="153" w:lineRule="exact" w:before="0"/>
                        <w:ind w:left="305" w:right="0" w:firstLine="0"/>
                        <w:jc w:val="left"/>
                        <w:rPr>
                          <w:color w:val="000000"/>
                          <w:sz w:val="14"/>
                        </w:rPr>
                      </w:pPr>
                      <w:r>
                        <w:rPr>
                          <w:color w:val="000000"/>
                          <w:sz w:val="14"/>
                        </w:rPr>
                        <w:t>Other</w:t>
                      </w:r>
                      <w:r>
                        <w:rPr>
                          <w:color w:val="000000"/>
                          <w:spacing w:val="-5"/>
                          <w:sz w:val="14"/>
                        </w:rPr>
                        <w:t> </w:t>
                      </w:r>
                      <w:r>
                        <w:rPr>
                          <w:color w:val="000000"/>
                          <w:sz w:val="14"/>
                        </w:rPr>
                        <w:t>comprehensive</w:t>
                      </w:r>
                      <w:r>
                        <w:rPr>
                          <w:color w:val="000000"/>
                          <w:spacing w:val="-3"/>
                          <w:sz w:val="14"/>
                        </w:rPr>
                        <w:t> </w:t>
                      </w:r>
                      <w:r>
                        <w:rPr>
                          <w:color w:val="000000"/>
                          <w:sz w:val="14"/>
                        </w:rPr>
                        <w:t>(loss)</w:t>
                      </w:r>
                      <w:r>
                        <w:rPr>
                          <w:color w:val="000000"/>
                          <w:spacing w:val="-3"/>
                          <w:sz w:val="14"/>
                        </w:rPr>
                        <w:t> </w:t>
                      </w:r>
                      <w:r>
                        <w:rPr>
                          <w:color w:val="000000"/>
                          <w:sz w:val="14"/>
                        </w:rPr>
                        <w:t>income</w:t>
                      </w:r>
                      <w:r>
                        <w:rPr>
                          <w:color w:val="000000"/>
                          <w:spacing w:val="-2"/>
                          <w:sz w:val="14"/>
                        </w:rPr>
                        <w:t> </w:t>
                      </w:r>
                      <w:r>
                        <w:rPr>
                          <w:color w:val="000000"/>
                          <w:sz w:val="14"/>
                        </w:rPr>
                        <w:t>before</w:t>
                      </w:r>
                      <w:r>
                        <w:rPr>
                          <w:color w:val="000000"/>
                          <w:spacing w:val="-3"/>
                          <w:sz w:val="14"/>
                        </w:rPr>
                        <w:t> </w:t>
                      </w:r>
                      <w:r>
                        <w:rPr>
                          <w:color w:val="000000"/>
                          <w:sz w:val="14"/>
                        </w:rPr>
                        <w:t>reclassifications</w:t>
                      </w:r>
                      <w:r>
                        <w:rPr>
                          <w:color w:val="000000"/>
                          <w:spacing w:val="-4"/>
                          <w:sz w:val="14"/>
                        </w:rPr>
                        <w:t> </w:t>
                      </w:r>
                      <w:r>
                        <w:rPr>
                          <w:color w:val="000000"/>
                          <w:spacing w:val="-5"/>
                          <w:position w:val="3"/>
                          <w:sz w:val="11"/>
                        </w:rPr>
                        <w:t>(2)</w:t>
                      </w:r>
                      <w:r>
                        <w:rPr>
                          <w:color w:val="000000"/>
                          <w:position w:val="3"/>
                          <w:sz w:val="11"/>
                        </w:rPr>
                        <w:tab/>
                      </w:r>
                      <w:r>
                        <w:rPr>
                          <w:color w:val="000000"/>
                          <w:spacing w:val="-10"/>
                          <w:sz w:val="14"/>
                        </w:rPr>
                        <w:t>$</w:t>
                      </w:r>
                      <w:r>
                        <w:rPr>
                          <w:color w:val="000000"/>
                          <w:sz w:val="14"/>
                        </w:rPr>
                        <w:tab/>
                        <w:t>(129)</w:t>
                      </w:r>
                      <w:r>
                        <w:rPr>
                          <w:color w:val="000000"/>
                          <w:spacing w:val="54"/>
                          <w:sz w:val="14"/>
                        </w:rPr>
                        <w:t>  </w:t>
                      </w:r>
                      <w:r>
                        <w:rPr>
                          <w:color w:val="000000"/>
                          <w:spacing w:val="-10"/>
                          <w:sz w:val="14"/>
                        </w:rPr>
                        <w:t>$</w:t>
                      </w:r>
                      <w:r>
                        <w:rPr>
                          <w:color w:val="000000"/>
                          <w:sz w:val="14"/>
                        </w:rPr>
                        <w:tab/>
                        <w:t>(79)</w:t>
                      </w:r>
                      <w:r>
                        <w:rPr>
                          <w:color w:val="000000"/>
                          <w:spacing w:val="55"/>
                          <w:sz w:val="14"/>
                        </w:rPr>
                        <w:t>  </w:t>
                      </w:r>
                      <w:r>
                        <w:rPr>
                          <w:color w:val="000000"/>
                          <w:spacing w:val="-10"/>
                          <w:sz w:val="14"/>
                        </w:rPr>
                        <w:t>$</w:t>
                      </w:r>
                      <w:r>
                        <w:rPr>
                          <w:color w:val="000000"/>
                          <w:sz w:val="14"/>
                        </w:rPr>
                        <w:tab/>
                      </w:r>
                      <w:r>
                        <w:rPr>
                          <w:color w:val="000000"/>
                          <w:spacing w:val="-10"/>
                          <w:sz w:val="14"/>
                        </w:rPr>
                        <w:t>1</w:t>
                      </w:r>
                      <w:r>
                        <w:rPr>
                          <w:color w:val="000000"/>
                          <w:sz w:val="14"/>
                        </w:rPr>
                        <w:tab/>
                      </w:r>
                      <w:r>
                        <w:rPr>
                          <w:color w:val="000000"/>
                          <w:spacing w:val="-10"/>
                          <w:sz w:val="14"/>
                        </w:rPr>
                        <w:t>$</w:t>
                      </w:r>
                      <w:r>
                        <w:rPr>
                          <w:color w:val="000000"/>
                          <w:sz w:val="14"/>
                        </w:rPr>
                        <w:tab/>
                      </w:r>
                      <w:r>
                        <w:rPr>
                          <w:color w:val="000000"/>
                          <w:spacing w:val="-5"/>
                          <w:sz w:val="14"/>
                        </w:rPr>
                        <w:t>54</w:t>
                      </w:r>
                      <w:r>
                        <w:rPr>
                          <w:color w:val="000000"/>
                          <w:sz w:val="14"/>
                        </w:rPr>
                        <w:tab/>
                      </w:r>
                      <w:r>
                        <w:rPr>
                          <w:color w:val="000000"/>
                          <w:spacing w:val="-10"/>
                          <w:sz w:val="14"/>
                        </w:rPr>
                        <w:t>$</w:t>
                      </w:r>
                      <w:r>
                        <w:rPr>
                          <w:color w:val="000000"/>
                          <w:sz w:val="14"/>
                        </w:rPr>
                        <w:tab/>
                      </w:r>
                      <w:r>
                        <w:rPr>
                          <w:color w:val="000000"/>
                          <w:spacing w:val="-2"/>
                          <w:sz w:val="14"/>
                        </w:rPr>
                        <w:t>(153)</w:t>
                      </w:r>
                    </w:p>
                  </w:txbxContent>
                </v:textbox>
                <v:fill type="solid"/>
                <w10:wrap type="topAndBottom"/>
              </v:shape>
            </w:pict>
          </mc:Fallback>
        </mc:AlternateContent>
      </w:r>
    </w:p>
    <w:p>
      <w:pPr>
        <w:spacing w:line="152" w:lineRule="exact" w:before="0"/>
        <w:ind w:left="462" w:right="0" w:firstLine="0"/>
        <w:jc w:val="left"/>
        <w:rPr>
          <w:sz w:val="14"/>
        </w:rPr>
      </w:pPr>
      <w:r>
        <w:rPr>
          <w:sz w:val="14"/>
        </w:rPr>
        <w:t>Amounts</w:t>
      </w:r>
      <w:r>
        <w:rPr>
          <w:spacing w:val="-1"/>
          <w:sz w:val="14"/>
        </w:rPr>
        <w:t> </w:t>
      </w:r>
      <w:r>
        <w:rPr>
          <w:sz w:val="14"/>
        </w:rPr>
        <w:t>reclassified</w:t>
      </w:r>
      <w:r>
        <w:rPr>
          <w:spacing w:val="-1"/>
          <w:sz w:val="14"/>
        </w:rPr>
        <w:t> </w:t>
      </w:r>
      <w:r>
        <w:rPr>
          <w:sz w:val="14"/>
        </w:rPr>
        <w:t>from</w:t>
      </w:r>
      <w:r>
        <w:rPr>
          <w:spacing w:val="-1"/>
          <w:sz w:val="14"/>
        </w:rPr>
        <w:t> </w:t>
      </w:r>
      <w:r>
        <w:rPr>
          <w:sz w:val="14"/>
        </w:rPr>
        <w:t>accumulated</w:t>
      </w:r>
      <w:r>
        <w:rPr>
          <w:spacing w:val="-1"/>
          <w:sz w:val="14"/>
        </w:rPr>
        <w:t> </w:t>
      </w:r>
      <w:r>
        <w:rPr>
          <w:sz w:val="14"/>
        </w:rPr>
        <w:t>other</w:t>
      </w:r>
      <w:r>
        <w:rPr>
          <w:spacing w:val="-1"/>
          <w:sz w:val="14"/>
        </w:rPr>
        <w:t> </w:t>
      </w:r>
      <w:r>
        <w:rPr>
          <w:sz w:val="14"/>
        </w:rPr>
        <w:t>comprehensive</w:t>
      </w:r>
      <w:r>
        <w:rPr>
          <w:spacing w:val="-1"/>
          <w:sz w:val="14"/>
        </w:rPr>
        <w:t> </w:t>
      </w:r>
      <w:r>
        <w:rPr>
          <w:spacing w:val="-2"/>
          <w:sz w:val="14"/>
        </w:rPr>
        <w:t>income</w:t>
      </w:r>
    </w:p>
    <w:p>
      <w:pPr>
        <w:tabs>
          <w:tab w:pos="7111" w:val="left" w:leader="none"/>
          <w:tab w:pos="10039" w:val="left" w:leader="none"/>
          <w:tab w:pos="11487" w:val="left" w:leader="none"/>
        </w:tabs>
        <w:spacing w:line="153" w:lineRule="exact" w:before="0"/>
        <w:ind w:left="615" w:right="0" w:firstLine="0"/>
        <w:jc w:val="left"/>
        <w:rPr>
          <w:sz w:val="14"/>
        </w:rPr>
      </w:pPr>
      <w:r>
        <w:rPr/>
        <mc:AlternateContent>
          <mc:Choice Requires="wps">
            <w:drawing>
              <wp:anchor distT="0" distB="0" distL="0" distR="0" allowOverlap="1" layoutInCell="1" locked="0" behindDoc="1" simplePos="0" relativeHeight="474169856">
                <wp:simplePos x="0" y="0"/>
                <wp:positionH relativeFrom="page">
                  <wp:posOffset>226488</wp:posOffset>
                </wp:positionH>
                <wp:positionV relativeFrom="paragraph">
                  <wp:posOffset>-420461</wp:posOffset>
                </wp:positionV>
                <wp:extent cx="7312659" cy="129539"/>
                <wp:effectExtent l="0" t="0" r="0" b="0"/>
                <wp:wrapNone/>
                <wp:docPr id="721" name="Group 721"/>
                <wp:cNvGraphicFramePr>
                  <a:graphicFrameLocks/>
                </wp:cNvGraphicFramePr>
                <a:graphic>
                  <a:graphicData uri="http://schemas.microsoft.com/office/word/2010/wordprocessingGroup">
                    <wpg:wgp>
                      <wpg:cNvPr id="721" name="Group 721"/>
                      <wpg:cNvGrpSpPr/>
                      <wpg:grpSpPr>
                        <a:xfrm>
                          <a:off x="0" y="0"/>
                          <a:ext cx="7312659" cy="129539"/>
                          <a:chExt cx="7312659" cy="129539"/>
                        </a:xfrm>
                      </wpg:grpSpPr>
                      <wps:wsp>
                        <wps:cNvPr id="722" name="Graphic 722"/>
                        <wps:cNvSpPr/>
                        <wps:spPr>
                          <a:xfrm>
                            <a:off x="-9" y="5"/>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0" y="8088"/>
                            <a:ext cx="2807335" cy="121920"/>
                          </a:xfrm>
                          <a:custGeom>
                            <a:avLst/>
                            <a:gdLst/>
                            <a:ahLst/>
                            <a:cxnLst/>
                            <a:rect l="l" t="t" r="r" b="b"/>
                            <a:pathLst>
                              <a:path w="2807335" h="121920">
                                <a:moveTo>
                                  <a:pt x="0" y="0"/>
                                </a:moveTo>
                                <a:lnTo>
                                  <a:pt x="2806839" y="0"/>
                                </a:lnTo>
                                <a:lnTo>
                                  <a:pt x="280683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24" name="Graphic 724"/>
                        <wps:cNvSpPr/>
                        <wps:spPr>
                          <a:xfrm>
                            <a:off x="-9" y="105161"/>
                            <a:ext cx="2807335" cy="24765"/>
                          </a:xfrm>
                          <a:custGeom>
                            <a:avLst/>
                            <a:gdLst/>
                            <a:ahLst/>
                            <a:cxnLst/>
                            <a:rect l="l" t="t" r="r" b="b"/>
                            <a:pathLst>
                              <a:path w="2807335" h="24765">
                                <a:moveTo>
                                  <a:pt x="2806839" y="16179"/>
                                </a:moveTo>
                                <a:lnTo>
                                  <a:pt x="0" y="16179"/>
                                </a:lnTo>
                                <a:lnTo>
                                  <a:pt x="0" y="24269"/>
                                </a:lnTo>
                                <a:lnTo>
                                  <a:pt x="2806839" y="24269"/>
                                </a:lnTo>
                                <a:lnTo>
                                  <a:pt x="2806839" y="16179"/>
                                </a:lnTo>
                                <a:close/>
                              </a:path>
                              <a:path w="2807335" h="24765">
                                <a:moveTo>
                                  <a:pt x="2806839" y="0"/>
                                </a:moveTo>
                                <a:lnTo>
                                  <a:pt x="0" y="0"/>
                                </a:lnTo>
                                <a:lnTo>
                                  <a:pt x="0" y="8089"/>
                                </a:lnTo>
                                <a:lnTo>
                                  <a:pt x="2806839" y="8089"/>
                                </a:lnTo>
                                <a:lnTo>
                                  <a:pt x="2806839" y="0"/>
                                </a:lnTo>
                                <a:close/>
                              </a:path>
                            </a:pathLst>
                          </a:custGeom>
                          <a:solidFill>
                            <a:srgbClr val="000000"/>
                          </a:solidFill>
                        </wps:spPr>
                        <wps:bodyPr wrap="square" lIns="0" tIns="0" rIns="0" bIns="0" rtlCol="0">
                          <a:prstTxWarp prst="textNoShape">
                            <a:avLst/>
                          </a:prstTxWarp>
                          <a:noAutofit/>
                        </wps:bodyPr>
                      </wps:wsp>
                      <wps:wsp>
                        <wps:cNvPr id="725" name="Graphic 725"/>
                        <wps:cNvSpPr/>
                        <wps:spPr>
                          <a:xfrm>
                            <a:off x="2806839"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26" name="Graphic 726"/>
                        <wps:cNvSpPr/>
                        <wps:spPr>
                          <a:xfrm>
                            <a:off x="2806830" y="105161"/>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727" name="Graphic 727"/>
                        <wps:cNvSpPr/>
                        <wps:spPr>
                          <a:xfrm>
                            <a:off x="2879639" y="8088"/>
                            <a:ext cx="89535" cy="121920"/>
                          </a:xfrm>
                          <a:custGeom>
                            <a:avLst/>
                            <a:gdLst/>
                            <a:ahLst/>
                            <a:cxnLst/>
                            <a:rect l="l" t="t" r="r" b="b"/>
                            <a:pathLst>
                              <a:path w="89535" h="121920">
                                <a:moveTo>
                                  <a:pt x="0" y="0"/>
                                </a:moveTo>
                                <a:lnTo>
                                  <a:pt x="88977" y="0"/>
                                </a:lnTo>
                                <a:lnTo>
                                  <a:pt x="88977"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28" name="Graphic 728"/>
                        <wps:cNvSpPr/>
                        <wps:spPr>
                          <a:xfrm>
                            <a:off x="2879639" y="105161"/>
                            <a:ext cx="89535" cy="24765"/>
                          </a:xfrm>
                          <a:custGeom>
                            <a:avLst/>
                            <a:gdLst/>
                            <a:ahLst/>
                            <a:cxnLst/>
                            <a:rect l="l" t="t" r="r" b="b"/>
                            <a:pathLst>
                              <a:path w="89535" h="24765">
                                <a:moveTo>
                                  <a:pt x="88976" y="16179"/>
                                </a:moveTo>
                                <a:lnTo>
                                  <a:pt x="0" y="16179"/>
                                </a:lnTo>
                                <a:lnTo>
                                  <a:pt x="0" y="24269"/>
                                </a:lnTo>
                                <a:lnTo>
                                  <a:pt x="88976" y="24269"/>
                                </a:lnTo>
                                <a:lnTo>
                                  <a:pt x="88976" y="16179"/>
                                </a:lnTo>
                                <a:close/>
                              </a:path>
                              <a:path w="89535" h="24765">
                                <a:moveTo>
                                  <a:pt x="88976" y="0"/>
                                </a:moveTo>
                                <a:lnTo>
                                  <a:pt x="0" y="0"/>
                                </a:lnTo>
                                <a:lnTo>
                                  <a:pt x="0" y="8089"/>
                                </a:lnTo>
                                <a:lnTo>
                                  <a:pt x="88976" y="8089"/>
                                </a:lnTo>
                                <a:lnTo>
                                  <a:pt x="88976" y="0"/>
                                </a:lnTo>
                                <a:close/>
                              </a:path>
                            </a:pathLst>
                          </a:custGeom>
                          <a:solidFill>
                            <a:srgbClr val="000000"/>
                          </a:solidFill>
                        </wps:spPr>
                        <wps:bodyPr wrap="square" lIns="0" tIns="0" rIns="0" bIns="0" rtlCol="0">
                          <a:prstTxWarp prst="textNoShape">
                            <a:avLst/>
                          </a:prstTxWarp>
                          <a:noAutofit/>
                        </wps:bodyPr>
                      </wps:wsp>
                      <wps:wsp>
                        <wps:cNvPr id="729" name="Graphic 729"/>
                        <wps:cNvSpPr/>
                        <wps:spPr>
                          <a:xfrm>
                            <a:off x="2968617"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30" name="Graphic 730"/>
                        <wps:cNvSpPr/>
                        <wps:spPr>
                          <a:xfrm>
                            <a:off x="2968615" y="105161"/>
                            <a:ext cx="647700" cy="24765"/>
                          </a:xfrm>
                          <a:custGeom>
                            <a:avLst/>
                            <a:gdLst/>
                            <a:ahLst/>
                            <a:cxnLst/>
                            <a:rect l="l" t="t" r="r" b="b"/>
                            <a:pathLst>
                              <a:path w="647700" h="24765">
                                <a:moveTo>
                                  <a:pt x="647103" y="16179"/>
                                </a:moveTo>
                                <a:lnTo>
                                  <a:pt x="0" y="16179"/>
                                </a:lnTo>
                                <a:lnTo>
                                  <a:pt x="0" y="24269"/>
                                </a:lnTo>
                                <a:lnTo>
                                  <a:pt x="647103" y="24269"/>
                                </a:lnTo>
                                <a:lnTo>
                                  <a:pt x="647103" y="16179"/>
                                </a:lnTo>
                                <a:close/>
                              </a:path>
                              <a:path w="647700" h="24765">
                                <a:moveTo>
                                  <a:pt x="647103" y="0"/>
                                </a:moveTo>
                                <a:lnTo>
                                  <a:pt x="0" y="0"/>
                                </a:lnTo>
                                <a:lnTo>
                                  <a:pt x="0" y="8089"/>
                                </a:lnTo>
                                <a:lnTo>
                                  <a:pt x="647103" y="8089"/>
                                </a:lnTo>
                                <a:lnTo>
                                  <a:pt x="647103" y="0"/>
                                </a:lnTo>
                                <a:close/>
                              </a:path>
                            </a:pathLst>
                          </a:custGeom>
                          <a:solidFill>
                            <a:srgbClr val="000000"/>
                          </a:solidFill>
                        </wps:spPr>
                        <wps:bodyPr wrap="square" lIns="0" tIns="0" rIns="0" bIns="0" rtlCol="0">
                          <a:prstTxWarp prst="textNoShape">
                            <a:avLst/>
                          </a:prstTxWarp>
                          <a:noAutofit/>
                        </wps:bodyPr>
                      </wps:wsp>
                      <wps:wsp>
                        <wps:cNvPr id="731" name="Graphic 731"/>
                        <wps:cNvSpPr/>
                        <wps:spPr>
                          <a:xfrm>
                            <a:off x="361572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32" name="Graphic 732"/>
                        <wps:cNvSpPr/>
                        <wps:spPr>
                          <a:xfrm>
                            <a:off x="3615718" y="105161"/>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733" name="Graphic 733"/>
                        <wps:cNvSpPr/>
                        <wps:spPr>
                          <a:xfrm>
                            <a:off x="368852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34" name="Graphic 734"/>
                        <wps:cNvSpPr/>
                        <wps:spPr>
                          <a:xfrm>
                            <a:off x="3688515" y="105161"/>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735" name="Graphic 735"/>
                        <wps:cNvSpPr/>
                        <wps:spPr>
                          <a:xfrm>
                            <a:off x="3761327" y="8088"/>
                            <a:ext cx="97155" cy="121920"/>
                          </a:xfrm>
                          <a:custGeom>
                            <a:avLst/>
                            <a:gdLst/>
                            <a:ahLst/>
                            <a:cxnLst/>
                            <a:rect l="l" t="t" r="r" b="b"/>
                            <a:pathLst>
                              <a:path w="97155" h="121920">
                                <a:moveTo>
                                  <a:pt x="0" y="0"/>
                                </a:moveTo>
                                <a:lnTo>
                                  <a:pt x="97066" y="0"/>
                                </a:lnTo>
                                <a:lnTo>
                                  <a:pt x="97066"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36" name="Graphic 736"/>
                        <wps:cNvSpPr/>
                        <wps:spPr>
                          <a:xfrm>
                            <a:off x="3761324" y="105161"/>
                            <a:ext cx="97155" cy="24765"/>
                          </a:xfrm>
                          <a:custGeom>
                            <a:avLst/>
                            <a:gdLst/>
                            <a:ahLst/>
                            <a:cxnLst/>
                            <a:rect l="l" t="t" r="r" b="b"/>
                            <a:pathLst>
                              <a:path w="97155" h="24765">
                                <a:moveTo>
                                  <a:pt x="97066" y="16179"/>
                                </a:moveTo>
                                <a:lnTo>
                                  <a:pt x="0" y="16179"/>
                                </a:lnTo>
                                <a:lnTo>
                                  <a:pt x="0" y="24269"/>
                                </a:lnTo>
                                <a:lnTo>
                                  <a:pt x="97066" y="24269"/>
                                </a:lnTo>
                                <a:lnTo>
                                  <a:pt x="97066" y="16179"/>
                                </a:lnTo>
                                <a:close/>
                              </a:path>
                              <a:path w="97155" h="24765">
                                <a:moveTo>
                                  <a:pt x="97066" y="0"/>
                                </a:moveTo>
                                <a:lnTo>
                                  <a:pt x="0" y="0"/>
                                </a:lnTo>
                                <a:lnTo>
                                  <a:pt x="0" y="8089"/>
                                </a:lnTo>
                                <a:lnTo>
                                  <a:pt x="97066" y="8089"/>
                                </a:lnTo>
                                <a:lnTo>
                                  <a:pt x="97066" y="0"/>
                                </a:lnTo>
                                <a:close/>
                              </a:path>
                            </a:pathLst>
                          </a:custGeom>
                          <a:solidFill>
                            <a:srgbClr val="000000"/>
                          </a:solidFill>
                        </wps:spPr>
                        <wps:bodyPr wrap="square" lIns="0" tIns="0" rIns="0" bIns="0" rtlCol="0">
                          <a:prstTxWarp prst="textNoShape">
                            <a:avLst/>
                          </a:prstTxWarp>
                          <a:noAutofit/>
                        </wps:bodyPr>
                      </wps:wsp>
                      <wps:wsp>
                        <wps:cNvPr id="737" name="Graphic 737"/>
                        <wps:cNvSpPr/>
                        <wps:spPr>
                          <a:xfrm>
                            <a:off x="3858393"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38" name="Graphic 738"/>
                        <wps:cNvSpPr/>
                        <wps:spPr>
                          <a:xfrm>
                            <a:off x="3858390" y="105161"/>
                            <a:ext cx="647700" cy="24765"/>
                          </a:xfrm>
                          <a:custGeom>
                            <a:avLst/>
                            <a:gdLst/>
                            <a:ahLst/>
                            <a:cxnLst/>
                            <a:rect l="l" t="t" r="r" b="b"/>
                            <a:pathLst>
                              <a:path w="647700" h="24765">
                                <a:moveTo>
                                  <a:pt x="647103" y="16179"/>
                                </a:moveTo>
                                <a:lnTo>
                                  <a:pt x="0" y="16179"/>
                                </a:lnTo>
                                <a:lnTo>
                                  <a:pt x="0" y="24269"/>
                                </a:lnTo>
                                <a:lnTo>
                                  <a:pt x="647103" y="24269"/>
                                </a:lnTo>
                                <a:lnTo>
                                  <a:pt x="647103" y="16179"/>
                                </a:lnTo>
                                <a:close/>
                              </a:path>
                              <a:path w="647700" h="24765">
                                <a:moveTo>
                                  <a:pt x="647103" y="0"/>
                                </a:moveTo>
                                <a:lnTo>
                                  <a:pt x="0" y="0"/>
                                </a:lnTo>
                                <a:lnTo>
                                  <a:pt x="0" y="8089"/>
                                </a:lnTo>
                                <a:lnTo>
                                  <a:pt x="647103" y="8089"/>
                                </a:lnTo>
                                <a:lnTo>
                                  <a:pt x="647103" y="0"/>
                                </a:lnTo>
                                <a:close/>
                              </a:path>
                            </a:pathLst>
                          </a:custGeom>
                          <a:solidFill>
                            <a:srgbClr val="000000"/>
                          </a:solidFill>
                        </wps:spPr>
                        <wps:bodyPr wrap="square" lIns="0" tIns="0" rIns="0" bIns="0" rtlCol="0">
                          <a:prstTxWarp prst="textNoShape">
                            <a:avLst/>
                          </a:prstTxWarp>
                          <a:noAutofit/>
                        </wps:bodyPr>
                      </wps:wsp>
                      <wps:wsp>
                        <wps:cNvPr id="739" name="Graphic 739"/>
                        <wps:cNvSpPr/>
                        <wps:spPr>
                          <a:xfrm>
                            <a:off x="450550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40" name="Graphic 740"/>
                        <wps:cNvSpPr/>
                        <wps:spPr>
                          <a:xfrm>
                            <a:off x="4505493" y="105161"/>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741" name="Graphic 741"/>
                        <wps:cNvSpPr/>
                        <wps:spPr>
                          <a:xfrm>
                            <a:off x="457830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42" name="Graphic 742"/>
                        <wps:cNvSpPr/>
                        <wps:spPr>
                          <a:xfrm>
                            <a:off x="4578302" y="105161"/>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743" name="Graphic 743"/>
                        <wps:cNvSpPr/>
                        <wps:spPr>
                          <a:xfrm>
                            <a:off x="4651103" y="8088"/>
                            <a:ext cx="154305" cy="121920"/>
                          </a:xfrm>
                          <a:custGeom>
                            <a:avLst/>
                            <a:gdLst/>
                            <a:ahLst/>
                            <a:cxnLst/>
                            <a:rect l="l" t="t" r="r" b="b"/>
                            <a:pathLst>
                              <a:path w="154305" h="121920">
                                <a:moveTo>
                                  <a:pt x="0" y="0"/>
                                </a:moveTo>
                                <a:lnTo>
                                  <a:pt x="153688" y="0"/>
                                </a:lnTo>
                                <a:lnTo>
                                  <a:pt x="153688"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44" name="Graphic 744"/>
                        <wps:cNvSpPr/>
                        <wps:spPr>
                          <a:xfrm>
                            <a:off x="4651099" y="105161"/>
                            <a:ext cx="154305" cy="24765"/>
                          </a:xfrm>
                          <a:custGeom>
                            <a:avLst/>
                            <a:gdLst/>
                            <a:ahLst/>
                            <a:cxnLst/>
                            <a:rect l="l" t="t" r="r" b="b"/>
                            <a:pathLst>
                              <a:path w="154305" h="24765">
                                <a:moveTo>
                                  <a:pt x="153682" y="16179"/>
                                </a:moveTo>
                                <a:lnTo>
                                  <a:pt x="0" y="16179"/>
                                </a:lnTo>
                                <a:lnTo>
                                  <a:pt x="0" y="24269"/>
                                </a:lnTo>
                                <a:lnTo>
                                  <a:pt x="153682" y="24269"/>
                                </a:lnTo>
                                <a:lnTo>
                                  <a:pt x="153682" y="16179"/>
                                </a:lnTo>
                                <a:close/>
                              </a:path>
                              <a:path w="154305" h="24765">
                                <a:moveTo>
                                  <a:pt x="153682" y="0"/>
                                </a:moveTo>
                                <a:lnTo>
                                  <a:pt x="0" y="0"/>
                                </a:lnTo>
                                <a:lnTo>
                                  <a:pt x="0" y="8089"/>
                                </a:lnTo>
                                <a:lnTo>
                                  <a:pt x="153682" y="8089"/>
                                </a:lnTo>
                                <a:lnTo>
                                  <a:pt x="153682" y="0"/>
                                </a:lnTo>
                                <a:close/>
                              </a:path>
                            </a:pathLst>
                          </a:custGeom>
                          <a:solidFill>
                            <a:srgbClr val="000000"/>
                          </a:solidFill>
                        </wps:spPr>
                        <wps:bodyPr wrap="square" lIns="0" tIns="0" rIns="0" bIns="0" rtlCol="0">
                          <a:prstTxWarp prst="textNoShape">
                            <a:avLst/>
                          </a:prstTxWarp>
                          <a:noAutofit/>
                        </wps:bodyPr>
                      </wps:wsp>
                      <wps:wsp>
                        <wps:cNvPr id="745" name="Graphic 745"/>
                        <wps:cNvSpPr/>
                        <wps:spPr>
                          <a:xfrm>
                            <a:off x="4804791"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46" name="Graphic 746"/>
                        <wps:cNvSpPr/>
                        <wps:spPr>
                          <a:xfrm>
                            <a:off x="4804781" y="105161"/>
                            <a:ext cx="647700" cy="24765"/>
                          </a:xfrm>
                          <a:custGeom>
                            <a:avLst/>
                            <a:gdLst/>
                            <a:ahLst/>
                            <a:cxnLst/>
                            <a:rect l="l" t="t" r="r" b="b"/>
                            <a:pathLst>
                              <a:path w="647700" h="24765">
                                <a:moveTo>
                                  <a:pt x="647115" y="16179"/>
                                </a:moveTo>
                                <a:lnTo>
                                  <a:pt x="0" y="16179"/>
                                </a:lnTo>
                                <a:lnTo>
                                  <a:pt x="0" y="24269"/>
                                </a:lnTo>
                                <a:lnTo>
                                  <a:pt x="647115" y="24269"/>
                                </a:lnTo>
                                <a:lnTo>
                                  <a:pt x="647115" y="16179"/>
                                </a:lnTo>
                                <a:close/>
                              </a:path>
                              <a:path w="647700" h="24765">
                                <a:moveTo>
                                  <a:pt x="647115" y="0"/>
                                </a:moveTo>
                                <a:lnTo>
                                  <a:pt x="0" y="0"/>
                                </a:lnTo>
                                <a:lnTo>
                                  <a:pt x="0" y="8089"/>
                                </a:lnTo>
                                <a:lnTo>
                                  <a:pt x="647115" y="8089"/>
                                </a:lnTo>
                                <a:lnTo>
                                  <a:pt x="647115" y="0"/>
                                </a:lnTo>
                                <a:close/>
                              </a:path>
                            </a:pathLst>
                          </a:custGeom>
                          <a:solidFill>
                            <a:srgbClr val="000000"/>
                          </a:solidFill>
                        </wps:spPr>
                        <wps:bodyPr wrap="square" lIns="0" tIns="0" rIns="0" bIns="0" rtlCol="0">
                          <a:prstTxWarp prst="textNoShape">
                            <a:avLst/>
                          </a:prstTxWarp>
                          <a:noAutofit/>
                        </wps:bodyPr>
                      </wps:wsp>
                      <wps:wsp>
                        <wps:cNvPr id="747" name="Graphic 747"/>
                        <wps:cNvSpPr/>
                        <wps:spPr>
                          <a:xfrm>
                            <a:off x="5451902"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48" name="Graphic 748"/>
                        <wps:cNvSpPr/>
                        <wps:spPr>
                          <a:xfrm>
                            <a:off x="5451897" y="105161"/>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749" name="Graphic 749"/>
                        <wps:cNvSpPr/>
                        <wps:spPr>
                          <a:xfrm>
                            <a:off x="5524701"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50" name="Graphic 750"/>
                        <wps:cNvSpPr/>
                        <wps:spPr>
                          <a:xfrm>
                            <a:off x="5524694" y="105161"/>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751" name="Graphic 751"/>
                        <wps:cNvSpPr/>
                        <wps:spPr>
                          <a:xfrm>
                            <a:off x="5597502" y="8088"/>
                            <a:ext cx="105410" cy="121920"/>
                          </a:xfrm>
                          <a:custGeom>
                            <a:avLst/>
                            <a:gdLst/>
                            <a:ahLst/>
                            <a:cxnLst/>
                            <a:rect l="l" t="t" r="r" b="b"/>
                            <a:pathLst>
                              <a:path w="105410" h="121920">
                                <a:moveTo>
                                  <a:pt x="0" y="0"/>
                                </a:moveTo>
                                <a:lnTo>
                                  <a:pt x="105155" y="0"/>
                                </a:lnTo>
                                <a:lnTo>
                                  <a:pt x="105155"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52" name="Graphic 752"/>
                        <wps:cNvSpPr/>
                        <wps:spPr>
                          <a:xfrm>
                            <a:off x="5597490" y="105161"/>
                            <a:ext cx="105410" cy="24765"/>
                          </a:xfrm>
                          <a:custGeom>
                            <a:avLst/>
                            <a:gdLst/>
                            <a:ahLst/>
                            <a:cxnLst/>
                            <a:rect l="l" t="t" r="r" b="b"/>
                            <a:pathLst>
                              <a:path w="105410" h="24765">
                                <a:moveTo>
                                  <a:pt x="105156" y="16179"/>
                                </a:moveTo>
                                <a:lnTo>
                                  <a:pt x="0" y="16179"/>
                                </a:lnTo>
                                <a:lnTo>
                                  <a:pt x="0" y="24269"/>
                                </a:lnTo>
                                <a:lnTo>
                                  <a:pt x="105156" y="24269"/>
                                </a:lnTo>
                                <a:lnTo>
                                  <a:pt x="105156" y="16179"/>
                                </a:lnTo>
                                <a:close/>
                              </a:path>
                              <a:path w="105410" h="24765">
                                <a:moveTo>
                                  <a:pt x="105156" y="0"/>
                                </a:moveTo>
                                <a:lnTo>
                                  <a:pt x="0" y="0"/>
                                </a:lnTo>
                                <a:lnTo>
                                  <a:pt x="0" y="8089"/>
                                </a:lnTo>
                                <a:lnTo>
                                  <a:pt x="105156" y="8089"/>
                                </a:lnTo>
                                <a:lnTo>
                                  <a:pt x="105156" y="0"/>
                                </a:lnTo>
                                <a:close/>
                              </a:path>
                            </a:pathLst>
                          </a:custGeom>
                          <a:solidFill>
                            <a:srgbClr val="000000"/>
                          </a:solidFill>
                        </wps:spPr>
                        <wps:bodyPr wrap="square" lIns="0" tIns="0" rIns="0" bIns="0" rtlCol="0">
                          <a:prstTxWarp prst="textNoShape">
                            <a:avLst/>
                          </a:prstTxWarp>
                          <a:noAutofit/>
                        </wps:bodyPr>
                      </wps:wsp>
                      <wps:wsp>
                        <wps:cNvPr id="753" name="Graphic 753"/>
                        <wps:cNvSpPr/>
                        <wps:spPr>
                          <a:xfrm>
                            <a:off x="5702657"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54" name="Graphic 754"/>
                        <wps:cNvSpPr/>
                        <wps:spPr>
                          <a:xfrm>
                            <a:off x="5702646" y="105161"/>
                            <a:ext cx="647700" cy="24765"/>
                          </a:xfrm>
                          <a:custGeom>
                            <a:avLst/>
                            <a:gdLst/>
                            <a:ahLst/>
                            <a:cxnLst/>
                            <a:rect l="l" t="t" r="r" b="b"/>
                            <a:pathLst>
                              <a:path w="647700" h="24765">
                                <a:moveTo>
                                  <a:pt x="647115" y="16179"/>
                                </a:moveTo>
                                <a:lnTo>
                                  <a:pt x="0" y="16179"/>
                                </a:lnTo>
                                <a:lnTo>
                                  <a:pt x="0" y="24269"/>
                                </a:lnTo>
                                <a:lnTo>
                                  <a:pt x="647115" y="24269"/>
                                </a:lnTo>
                                <a:lnTo>
                                  <a:pt x="647115" y="16179"/>
                                </a:lnTo>
                                <a:close/>
                              </a:path>
                              <a:path w="647700" h="24765">
                                <a:moveTo>
                                  <a:pt x="647115" y="0"/>
                                </a:moveTo>
                                <a:lnTo>
                                  <a:pt x="0" y="0"/>
                                </a:lnTo>
                                <a:lnTo>
                                  <a:pt x="0" y="8089"/>
                                </a:lnTo>
                                <a:lnTo>
                                  <a:pt x="647115" y="8089"/>
                                </a:lnTo>
                                <a:lnTo>
                                  <a:pt x="647115" y="0"/>
                                </a:lnTo>
                                <a:close/>
                              </a:path>
                            </a:pathLst>
                          </a:custGeom>
                          <a:solidFill>
                            <a:srgbClr val="000000"/>
                          </a:solidFill>
                        </wps:spPr>
                        <wps:bodyPr wrap="square" lIns="0" tIns="0" rIns="0" bIns="0" rtlCol="0">
                          <a:prstTxWarp prst="textNoShape">
                            <a:avLst/>
                          </a:prstTxWarp>
                          <a:noAutofit/>
                        </wps:bodyPr>
                      </wps:wsp>
                      <wps:wsp>
                        <wps:cNvPr id="755" name="Graphic 755"/>
                        <wps:cNvSpPr/>
                        <wps:spPr>
                          <a:xfrm>
                            <a:off x="634976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56" name="Graphic 756"/>
                        <wps:cNvSpPr/>
                        <wps:spPr>
                          <a:xfrm>
                            <a:off x="6349762" y="105161"/>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757" name="Graphic 757"/>
                        <wps:cNvSpPr/>
                        <wps:spPr>
                          <a:xfrm>
                            <a:off x="642256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58" name="Graphic 758"/>
                        <wps:cNvSpPr/>
                        <wps:spPr>
                          <a:xfrm>
                            <a:off x="6422558" y="105161"/>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6495367" y="8088"/>
                            <a:ext cx="89535" cy="121920"/>
                          </a:xfrm>
                          <a:custGeom>
                            <a:avLst/>
                            <a:gdLst/>
                            <a:ahLst/>
                            <a:cxnLst/>
                            <a:rect l="l" t="t" r="r" b="b"/>
                            <a:pathLst>
                              <a:path w="89535" h="121920">
                                <a:moveTo>
                                  <a:pt x="0" y="0"/>
                                </a:moveTo>
                                <a:lnTo>
                                  <a:pt x="88977" y="0"/>
                                </a:lnTo>
                                <a:lnTo>
                                  <a:pt x="88977"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60" name="Graphic 760"/>
                        <wps:cNvSpPr/>
                        <wps:spPr>
                          <a:xfrm>
                            <a:off x="6495355" y="105161"/>
                            <a:ext cx="89535" cy="24765"/>
                          </a:xfrm>
                          <a:custGeom>
                            <a:avLst/>
                            <a:gdLst/>
                            <a:ahLst/>
                            <a:cxnLst/>
                            <a:rect l="l" t="t" r="r" b="b"/>
                            <a:pathLst>
                              <a:path w="89535" h="24765">
                                <a:moveTo>
                                  <a:pt x="88988" y="16179"/>
                                </a:moveTo>
                                <a:lnTo>
                                  <a:pt x="0" y="16179"/>
                                </a:lnTo>
                                <a:lnTo>
                                  <a:pt x="0" y="24269"/>
                                </a:lnTo>
                                <a:lnTo>
                                  <a:pt x="88988" y="24269"/>
                                </a:lnTo>
                                <a:lnTo>
                                  <a:pt x="88988" y="16179"/>
                                </a:lnTo>
                                <a:close/>
                              </a:path>
                              <a:path w="89535" h="24765">
                                <a:moveTo>
                                  <a:pt x="88988" y="0"/>
                                </a:moveTo>
                                <a:lnTo>
                                  <a:pt x="0" y="0"/>
                                </a:lnTo>
                                <a:lnTo>
                                  <a:pt x="0" y="8089"/>
                                </a:lnTo>
                                <a:lnTo>
                                  <a:pt x="88988" y="8089"/>
                                </a:lnTo>
                                <a:lnTo>
                                  <a:pt x="88988" y="0"/>
                                </a:lnTo>
                                <a:close/>
                              </a:path>
                            </a:pathLst>
                          </a:custGeom>
                          <a:solidFill>
                            <a:srgbClr val="000000"/>
                          </a:solidFill>
                        </wps:spPr>
                        <wps:bodyPr wrap="square" lIns="0" tIns="0" rIns="0" bIns="0" rtlCol="0">
                          <a:prstTxWarp prst="textNoShape">
                            <a:avLst/>
                          </a:prstTxWarp>
                          <a:noAutofit/>
                        </wps:bodyPr>
                      </wps:wsp>
                      <wps:wsp>
                        <wps:cNvPr id="761" name="Graphic 761"/>
                        <wps:cNvSpPr/>
                        <wps:spPr>
                          <a:xfrm>
                            <a:off x="6584344" y="8088"/>
                            <a:ext cx="655320" cy="121920"/>
                          </a:xfrm>
                          <a:custGeom>
                            <a:avLst/>
                            <a:gdLst/>
                            <a:ahLst/>
                            <a:cxnLst/>
                            <a:rect l="l" t="t" r="r" b="b"/>
                            <a:pathLst>
                              <a:path w="655320" h="121920">
                                <a:moveTo>
                                  <a:pt x="0" y="0"/>
                                </a:moveTo>
                                <a:lnTo>
                                  <a:pt x="655198" y="0"/>
                                </a:lnTo>
                                <a:lnTo>
                                  <a:pt x="655198"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62" name="Graphic 762"/>
                        <wps:cNvSpPr/>
                        <wps:spPr>
                          <a:xfrm>
                            <a:off x="6584343" y="105161"/>
                            <a:ext cx="655320" cy="24765"/>
                          </a:xfrm>
                          <a:custGeom>
                            <a:avLst/>
                            <a:gdLst/>
                            <a:ahLst/>
                            <a:cxnLst/>
                            <a:rect l="l" t="t" r="r" b="b"/>
                            <a:pathLst>
                              <a:path w="655320" h="24765">
                                <a:moveTo>
                                  <a:pt x="655193" y="16179"/>
                                </a:moveTo>
                                <a:lnTo>
                                  <a:pt x="0" y="16179"/>
                                </a:lnTo>
                                <a:lnTo>
                                  <a:pt x="0" y="24269"/>
                                </a:lnTo>
                                <a:lnTo>
                                  <a:pt x="655193" y="24269"/>
                                </a:lnTo>
                                <a:lnTo>
                                  <a:pt x="655193" y="16179"/>
                                </a:lnTo>
                                <a:close/>
                              </a:path>
                              <a:path w="655320" h="24765">
                                <a:moveTo>
                                  <a:pt x="655193" y="0"/>
                                </a:moveTo>
                                <a:lnTo>
                                  <a:pt x="0" y="0"/>
                                </a:lnTo>
                                <a:lnTo>
                                  <a:pt x="0" y="8089"/>
                                </a:lnTo>
                                <a:lnTo>
                                  <a:pt x="655193" y="8089"/>
                                </a:lnTo>
                                <a:lnTo>
                                  <a:pt x="655193" y="0"/>
                                </a:lnTo>
                                <a:close/>
                              </a:path>
                            </a:pathLst>
                          </a:custGeom>
                          <a:solidFill>
                            <a:srgbClr val="000000"/>
                          </a:solidFill>
                        </wps:spPr>
                        <wps:bodyPr wrap="square" lIns="0" tIns="0" rIns="0" bIns="0" rtlCol="0">
                          <a:prstTxWarp prst="textNoShape">
                            <a:avLst/>
                          </a:prstTxWarp>
                          <a:noAutofit/>
                        </wps:bodyPr>
                      </wps:wsp>
                      <wps:wsp>
                        <wps:cNvPr id="763" name="Graphic 763"/>
                        <wps:cNvSpPr/>
                        <wps:spPr>
                          <a:xfrm>
                            <a:off x="723954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764" name="Graphic 764"/>
                        <wps:cNvSpPr/>
                        <wps:spPr>
                          <a:xfrm>
                            <a:off x="7239537" y="105161"/>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833740pt;margin-top:-33.107170pt;width:575.8pt;height:10.2pt;mso-position-horizontal-relative:page;mso-position-vertical-relative:paragraph;z-index:-29146624" id="docshapegroup720" coordorigin="357,-662" coordsize="11516,204">
                <v:rect style="position:absolute;left:356;top:-663;width:11516;height:13" id="docshape721" filled="true" fillcolor="#000000" stroked="false">
                  <v:fill type="solid"/>
                </v:rect>
                <v:rect style="position:absolute;left:356;top:-650;width:4421;height:192" id="docshape722" filled="true" fillcolor="#ccedff" stroked="false">
                  <v:fill type="solid"/>
                </v:rect>
                <v:shape style="position:absolute;left:356;top:-497;width:4421;height:39" id="docshape723" coordorigin="357,-497" coordsize="4421,39" path="m4777,-471l357,-471,357,-458,4777,-458,4777,-471xm4777,-497l357,-497,357,-484,4777,-484,4777,-497xe" filled="true" fillcolor="#000000" stroked="false">
                  <v:path arrowok="t"/>
                  <v:fill type="solid"/>
                </v:shape>
                <v:rect style="position:absolute;left:4776;top:-650;width:115;height:192" id="docshape724" filled="true" fillcolor="#ccedff" stroked="false">
                  <v:fill type="solid"/>
                </v:rect>
                <v:shape style="position:absolute;left:4776;top:-497;width:115;height:39" id="docshape725" coordorigin="4777,-497" coordsize="115,39" path="m4892,-471l4777,-471,4777,-458,4892,-458,4892,-471xm4892,-497l4777,-497,4777,-484,4892,-484,4892,-497xe" filled="true" fillcolor="#000000" stroked="false">
                  <v:path arrowok="t"/>
                  <v:fill type="solid"/>
                </v:shape>
                <v:rect style="position:absolute;left:4891;top:-650;width:141;height:192" id="docshape726" filled="true" fillcolor="#ccedff" stroked="false">
                  <v:fill type="solid"/>
                </v:rect>
                <v:shape style="position:absolute;left:4891;top:-497;width:141;height:39" id="docshape727" coordorigin="4892,-497" coordsize="141,39" path="m5032,-471l4892,-471,4892,-458,5032,-458,5032,-471xm5032,-497l4892,-497,4892,-484,5032,-484,5032,-497xe" filled="true" fillcolor="#000000" stroked="false">
                  <v:path arrowok="t"/>
                  <v:fill type="solid"/>
                </v:shape>
                <v:rect style="position:absolute;left:5031;top:-650;width:1020;height:192" id="docshape728" filled="true" fillcolor="#ccedff" stroked="false">
                  <v:fill type="solid"/>
                </v:rect>
                <v:shape style="position:absolute;left:5031;top:-497;width:1020;height:39" id="docshape729" coordorigin="5032,-497" coordsize="1020,39" path="m6051,-471l5032,-471,5032,-458,6051,-458,6051,-471xm6051,-497l5032,-497,5032,-484,6051,-484,6051,-497xe" filled="true" fillcolor="#000000" stroked="false">
                  <v:path arrowok="t"/>
                  <v:fill type="solid"/>
                </v:shape>
                <v:rect style="position:absolute;left:6050;top:-650;width:115;height:192" id="docshape730" filled="true" fillcolor="#ccedff" stroked="false">
                  <v:fill type="solid"/>
                </v:rect>
                <v:shape style="position:absolute;left:6050;top:-497;width:115;height:39" id="docshape731" coordorigin="6051,-497" coordsize="115,39" path="m6165,-471l6051,-471,6051,-458,6165,-458,6165,-471xm6165,-497l6051,-497,6051,-484,6165,-484,6165,-497xe" filled="true" fillcolor="#000000" stroked="false">
                  <v:path arrowok="t"/>
                  <v:fill type="solid"/>
                </v:shape>
                <v:rect style="position:absolute;left:6165;top:-650;width:115;height:192" id="docshape732" filled="true" fillcolor="#ccedff" stroked="false">
                  <v:fill type="solid"/>
                </v:rect>
                <v:shape style="position:absolute;left:6165;top:-497;width:115;height:39" id="docshape733" coordorigin="6165,-497" coordsize="115,39" path="m6280,-471l6165,-471,6165,-458,6280,-458,6280,-471xm6280,-497l6165,-497,6165,-484,6280,-484,6280,-497xe" filled="true" fillcolor="#000000" stroked="false">
                  <v:path arrowok="t"/>
                  <v:fill type="solid"/>
                </v:shape>
                <v:rect style="position:absolute;left:6280;top:-650;width:153;height:192" id="docshape734" filled="true" fillcolor="#ccedff" stroked="false">
                  <v:fill type="solid"/>
                </v:rect>
                <v:shape style="position:absolute;left:6280;top:-497;width:153;height:39" id="docshape735" coordorigin="6280,-497" coordsize="153,39" path="m6433,-471l6280,-471,6280,-458,6433,-458,6433,-471xm6433,-497l6280,-497,6280,-484,6433,-484,6433,-497xe" filled="true" fillcolor="#000000" stroked="false">
                  <v:path arrowok="t"/>
                  <v:fill type="solid"/>
                </v:shape>
                <v:rect style="position:absolute;left:6432;top:-650;width:1020;height:192" id="docshape736" filled="true" fillcolor="#ccedff" stroked="false">
                  <v:fill type="solid"/>
                </v:rect>
                <v:shape style="position:absolute;left:6432;top:-497;width:1020;height:39" id="docshape737" coordorigin="6433,-497" coordsize="1020,39" path="m7452,-471l6433,-471,6433,-458,7452,-458,7452,-471xm7452,-497l6433,-497,6433,-484,7452,-484,7452,-497xe" filled="true" fillcolor="#000000" stroked="false">
                  <v:path arrowok="t"/>
                  <v:fill type="solid"/>
                </v:shape>
                <v:rect style="position:absolute;left:7451;top:-650;width:115;height:192" id="docshape738" filled="true" fillcolor="#ccedff" stroked="false">
                  <v:fill type="solid"/>
                </v:rect>
                <v:shape style="position:absolute;left:7451;top:-497;width:115;height:39" id="docshape739" coordorigin="7452,-497" coordsize="115,39" path="m7567,-471l7452,-471,7452,-458,7567,-458,7567,-471xm7567,-497l7452,-497,7452,-484,7567,-484,7567,-497xe" filled="true" fillcolor="#000000" stroked="false">
                  <v:path arrowok="t"/>
                  <v:fill type="solid"/>
                </v:shape>
                <v:rect style="position:absolute;left:7566;top:-650;width:115;height:192" id="docshape740" filled="true" fillcolor="#ccedff" stroked="false">
                  <v:fill type="solid"/>
                </v:rect>
                <v:shape style="position:absolute;left:7566;top:-497;width:115;height:39" id="docshape741" coordorigin="7567,-497" coordsize="115,39" path="m7681,-471l7567,-471,7567,-458,7681,-458,7681,-471xm7681,-497l7567,-497,7567,-484,7681,-484,7681,-497xe" filled="true" fillcolor="#000000" stroked="false">
                  <v:path arrowok="t"/>
                  <v:fill type="solid"/>
                </v:shape>
                <v:rect style="position:absolute;left:7681;top:-650;width:243;height:192" id="docshape742" filled="true" fillcolor="#ccedff" stroked="false">
                  <v:fill type="solid"/>
                </v:rect>
                <v:shape style="position:absolute;left:7681;top:-497;width:243;height:39" id="docshape743" coordorigin="7681,-497" coordsize="243,39" path="m7923,-471l7681,-471,7681,-458,7923,-458,7923,-471xm7923,-497l7681,-497,7681,-484,7923,-484,7923,-497xe" filled="true" fillcolor="#000000" stroked="false">
                  <v:path arrowok="t"/>
                  <v:fill type="solid"/>
                </v:shape>
                <v:rect style="position:absolute;left:7923;top:-650;width:1020;height:192" id="docshape744" filled="true" fillcolor="#ccedff" stroked="false">
                  <v:fill type="solid"/>
                </v:rect>
                <v:shape style="position:absolute;left:7923;top:-497;width:1020;height:39" id="docshape745" coordorigin="7923,-497" coordsize="1020,39" path="m8942,-471l7923,-471,7923,-458,8942,-458,8942,-471xm8942,-497l7923,-497,7923,-484,8942,-484,8942,-497xe" filled="true" fillcolor="#000000" stroked="false">
                  <v:path arrowok="t"/>
                  <v:fill type="solid"/>
                </v:shape>
                <v:rect style="position:absolute;left:8942;top:-650;width:115;height:192" id="docshape746" filled="true" fillcolor="#ccedff" stroked="false">
                  <v:fill type="solid"/>
                </v:rect>
                <v:shape style="position:absolute;left:8942;top:-497;width:115;height:39" id="docshape747" coordorigin="8942,-497" coordsize="115,39" path="m9057,-471l8942,-471,8942,-458,9057,-458,9057,-471xm9057,-497l8942,-497,8942,-484,9057,-484,9057,-497xe" filled="true" fillcolor="#000000" stroked="false">
                  <v:path arrowok="t"/>
                  <v:fill type="solid"/>
                </v:shape>
                <v:rect style="position:absolute;left:9057;top:-650;width:115;height:192" id="docshape748" filled="true" fillcolor="#ccedff" stroked="false">
                  <v:fill type="solid"/>
                </v:rect>
                <v:shape style="position:absolute;left:9056;top:-497;width:115;height:39" id="docshape749" coordorigin="9057,-497" coordsize="115,39" path="m9172,-471l9057,-471,9057,-458,9172,-458,9172,-471xm9172,-497l9057,-497,9057,-484,9172,-484,9172,-497xe" filled="true" fillcolor="#000000" stroked="false">
                  <v:path arrowok="t"/>
                  <v:fill type="solid"/>
                </v:shape>
                <v:rect style="position:absolute;left:9171;top:-650;width:166;height:192" id="docshape750" filled="true" fillcolor="#ccedff" stroked="false">
                  <v:fill type="solid"/>
                </v:rect>
                <v:shape style="position:absolute;left:9171;top:-497;width:166;height:39" id="docshape751" coordorigin="9172,-497" coordsize="166,39" path="m9337,-471l9172,-471,9172,-458,9337,-458,9337,-471xm9337,-497l9172,-497,9172,-484,9337,-484,9337,-497xe" filled="true" fillcolor="#000000" stroked="false">
                  <v:path arrowok="t"/>
                  <v:fill type="solid"/>
                </v:shape>
                <v:rect style="position:absolute;left:9337;top:-650;width:1020;height:192" id="docshape752" filled="true" fillcolor="#ccedff" stroked="false">
                  <v:fill type="solid"/>
                </v:rect>
                <v:shape style="position:absolute;left:9337;top:-497;width:1020;height:39" id="docshape753" coordorigin="9337,-497" coordsize="1020,39" path="m10356,-471l9337,-471,9337,-458,10356,-458,10356,-471xm10356,-497l9337,-497,9337,-484,10356,-484,10356,-497xe" filled="true" fillcolor="#000000" stroked="false">
                  <v:path arrowok="t"/>
                  <v:fill type="solid"/>
                </v:shape>
                <v:rect style="position:absolute;left:10356;top:-650;width:115;height:192" id="docshape754" filled="true" fillcolor="#ccedff" stroked="false">
                  <v:fill type="solid"/>
                </v:rect>
                <v:shape style="position:absolute;left:10356;top:-497;width:115;height:39" id="docshape755" coordorigin="10356,-497" coordsize="115,39" path="m10471,-471l10356,-471,10356,-458,10471,-458,10471,-471xm10471,-497l10356,-497,10356,-484,10471,-484,10471,-497xe" filled="true" fillcolor="#000000" stroked="false">
                  <v:path arrowok="t"/>
                  <v:fill type="solid"/>
                </v:shape>
                <v:rect style="position:absolute;left:10470;top:-650;width:115;height:192" id="docshape756" filled="true" fillcolor="#ccedff" stroked="false">
                  <v:fill type="solid"/>
                </v:rect>
                <v:shape style="position:absolute;left:10470;top:-497;width:115;height:39" id="docshape757" coordorigin="10471,-497" coordsize="115,39" path="m10586,-471l10471,-471,10471,-458,10586,-458,10586,-471xm10586,-497l10471,-497,10471,-484,10586,-484,10586,-497xe" filled="true" fillcolor="#000000" stroked="false">
                  <v:path arrowok="t"/>
                  <v:fill type="solid"/>
                </v:shape>
                <v:rect style="position:absolute;left:10585;top:-650;width:141;height:192" id="docshape758" filled="true" fillcolor="#ccedff" stroked="false">
                  <v:fill type="solid"/>
                </v:rect>
                <v:shape style="position:absolute;left:10585;top:-497;width:141;height:39" id="docshape759" coordorigin="10586,-497" coordsize="141,39" path="m10726,-471l10586,-471,10586,-458,10726,-458,10726,-471xm10726,-497l10586,-497,10586,-484,10726,-484,10726,-497xe" filled="true" fillcolor="#000000" stroked="false">
                  <v:path arrowok="t"/>
                  <v:fill type="solid"/>
                </v:shape>
                <v:rect style="position:absolute;left:10725;top:-650;width:1032;height:192" id="docshape760" filled="true" fillcolor="#ccedff" stroked="false">
                  <v:fill type="solid"/>
                </v:rect>
                <v:shape style="position:absolute;left:10725;top:-497;width:1032;height:39" id="docshape761" coordorigin="10726,-497" coordsize="1032,39" path="m11758,-471l10726,-471,10726,-458,11758,-458,11758,-471xm11758,-497l10726,-497,10726,-484,11758,-484,11758,-497xe" filled="true" fillcolor="#000000" stroked="false">
                  <v:path arrowok="t"/>
                  <v:fill type="solid"/>
                </v:shape>
                <v:rect style="position:absolute;left:11757;top:-650;width:115;height:192" id="docshape762" filled="true" fillcolor="#ccedff" stroked="false">
                  <v:fill type="solid"/>
                </v:rect>
                <v:shape style="position:absolute;left:11757;top:-497;width:115;height:39" id="docshape763" coordorigin="11758,-497" coordsize="115,39" path="m11872,-471l11758,-471,11758,-458,11872,-458,11872,-471xm11872,-497l11758,-497,11758,-484,11872,-484,11872,-497xe" filled="true" fillcolor="#000000" stroked="false">
                  <v:path arrowok="t"/>
                  <v:fill type="solid"/>
                </v:shape>
                <w10:wrap type="none"/>
              </v:group>
            </w:pict>
          </mc:Fallback>
        </mc:AlternateContent>
      </w:r>
      <w:r>
        <w:rPr>
          <w:sz w:val="14"/>
        </w:rPr>
        <w:t>(loss)</w:t>
      </w:r>
      <w:r>
        <w:rPr>
          <w:spacing w:val="-5"/>
          <w:sz w:val="14"/>
        </w:rPr>
        <w:t> </w:t>
      </w:r>
      <w:r>
        <w:rPr>
          <w:spacing w:val="-5"/>
          <w:position w:val="3"/>
          <w:sz w:val="11"/>
        </w:rPr>
        <w:t>(5)</w:t>
      </w:r>
      <w:r>
        <w:rPr>
          <w:position w:val="3"/>
          <w:sz w:val="11"/>
        </w:rPr>
        <w:tab/>
      </w:r>
      <w:r>
        <w:rPr>
          <w:spacing w:val="-5"/>
          <w:sz w:val="14"/>
        </w:rPr>
        <w:t>15</w:t>
      </w:r>
      <w:r>
        <w:rPr>
          <w:sz w:val="14"/>
        </w:rPr>
        <w:tab/>
      </w:r>
      <w:r>
        <w:rPr>
          <w:spacing w:val="-5"/>
          <w:sz w:val="14"/>
        </w:rPr>
        <w:t>(9)</w:t>
      </w:r>
      <w:r>
        <w:rPr>
          <w:sz w:val="14"/>
        </w:rPr>
        <w:tab/>
      </w:r>
      <w:r>
        <w:rPr>
          <w:spacing w:val="-10"/>
          <w:sz w:val="14"/>
        </w:rPr>
        <w:t>6</w:t>
      </w:r>
    </w:p>
    <w:p>
      <w:pPr>
        <w:tabs>
          <w:tab w:pos="5201" w:val="left" w:leader="none"/>
          <w:tab w:pos="10908" w:val="left" w:leader="none"/>
        </w:tabs>
        <w:spacing w:line="158" w:lineRule="exact" w:before="0"/>
        <w:ind w:left="0" w:right="173" w:firstLine="0"/>
        <w:jc w:val="right"/>
        <w:rPr>
          <w:sz w:val="14"/>
        </w:rPr>
      </w:pPr>
      <w:r>
        <w:rPr/>
        <mc:AlternateContent>
          <mc:Choice Requires="wps">
            <w:drawing>
              <wp:anchor distT="0" distB="0" distL="0" distR="0" allowOverlap="1" layoutInCell="1" locked="0" behindDoc="1" simplePos="0" relativeHeight="474170368">
                <wp:simplePos x="0" y="0"/>
                <wp:positionH relativeFrom="page">
                  <wp:posOffset>226488</wp:posOffset>
                </wp:positionH>
                <wp:positionV relativeFrom="paragraph">
                  <wp:posOffset>160</wp:posOffset>
                </wp:positionV>
                <wp:extent cx="7312659" cy="105410"/>
                <wp:effectExtent l="0" t="0" r="0" b="0"/>
                <wp:wrapNone/>
                <wp:docPr id="765" name="Group 765"/>
                <wp:cNvGraphicFramePr>
                  <a:graphicFrameLocks/>
                </wp:cNvGraphicFramePr>
                <a:graphic>
                  <a:graphicData uri="http://schemas.microsoft.com/office/word/2010/wordprocessingGroup">
                    <wpg:wgp>
                      <wpg:cNvPr id="765" name="Group 765"/>
                      <wpg:cNvGrpSpPr/>
                      <wpg:grpSpPr>
                        <a:xfrm>
                          <a:off x="0" y="0"/>
                          <a:ext cx="7312659" cy="105410"/>
                          <a:chExt cx="7312659" cy="105410"/>
                        </a:xfrm>
                      </wpg:grpSpPr>
                      <wps:wsp>
                        <wps:cNvPr id="766" name="Graphic 766"/>
                        <wps:cNvSpPr/>
                        <wps:spPr>
                          <a:xfrm>
                            <a:off x="0" y="0"/>
                            <a:ext cx="2807335" cy="105410"/>
                          </a:xfrm>
                          <a:custGeom>
                            <a:avLst/>
                            <a:gdLst/>
                            <a:ahLst/>
                            <a:cxnLst/>
                            <a:rect l="l" t="t" r="r" b="b"/>
                            <a:pathLst>
                              <a:path w="2807335" h="105410">
                                <a:moveTo>
                                  <a:pt x="0" y="0"/>
                                </a:moveTo>
                                <a:lnTo>
                                  <a:pt x="2806839" y="0"/>
                                </a:lnTo>
                                <a:lnTo>
                                  <a:pt x="280683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67" name="Graphic 767"/>
                        <wps:cNvSpPr/>
                        <wps:spPr>
                          <a:xfrm>
                            <a:off x="0" y="97066"/>
                            <a:ext cx="2807335" cy="8255"/>
                          </a:xfrm>
                          <a:custGeom>
                            <a:avLst/>
                            <a:gdLst/>
                            <a:ahLst/>
                            <a:cxnLst/>
                            <a:rect l="l" t="t" r="r" b="b"/>
                            <a:pathLst>
                              <a:path w="2807335" h="8255">
                                <a:moveTo>
                                  <a:pt x="0" y="0"/>
                                </a:moveTo>
                                <a:lnTo>
                                  <a:pt x="2806839" y="0"/>
                                </a:lnTo>
                                <a:lnTo>
                                  <a:pt x="280683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2806839"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69" name="Graphic 769"/>
                        <wps:cNvSpPr/>
                        <wps:spPr>
                          <a:xfrm>
                            <a:off x="2806839"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2879639" y="0"/>
                            <a:ext cx="89535" cy="105410"/>
                          </a:xfrm>
                          <a:custGeom>
                            <a:avLst/>
                            <a:gdLst/>
                            <a:ahLst/>
                            <a:cxnLst/>
                            <a:rect l="l" t="t" r="r" b="b"/>
                            <a:pathLst>
                              <a:path w="89535" h="105410">
                                <a:moveTo>
                                  <a:pt x="0" y="0"/>
                                </a:moveTo>
                                <a:lnTo>
                                  <a:pt x="88977" y="0"/>
                                </a:lnTo>
                                <a:lnTo>
                                  <a:pt x="88977"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71" name="Graphic 771"/>
                        <wps:cNvSpPr/>
                        <wps:spPr>
                          <a:xfrm>
                            <a:off x="2879639" y="97066"/>
                            <a:ext cx="89535" cy="8255"/>
                          </a:xfrm>
                          <a:custGeom>
                            <a:avLst/>
                            <a:gdLst/>
                            <a:ahLst/>
                            <a:cxnLst/>
                            <a:rect l="l" t="t" r="r" b="b"/>
                            <a:pathLst>
                              <a:path w="89535" h="8255">
                                <a:moveTo>
                                  <a:pt x="0" y="0"/>
                                </a:moveTo>
                                <a:lnTo>
                                  <a:pt x="88977" y="0"/>
                                </a:lnTo>
                                <a:lnTo>
                                  <a:pt x="88977"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2968617" y="0"/>
                            <a:ext cx="647700" cy="105410"/>
                          </a:xfrm>
                          <a:custGeom>
                            <a:avLst/>
                            <a:gdLst/>
                            <a:ahLst/>
                            <a:cxnLst/>
                            <a:rect l="l" t="t" r="r" b="b"/>
                            <a:pathLst>
                              <a:path w="647700" h="105410">
                                <a:moveTo>
                                  <a:pt x="0" y="0"/>
                                </a:moveTo>
                                <a:lnTo>
                                  <a:pt x="647110" y="0"/>
                                </a:lnTo>
                                <a:lnTo>
                                  <a:pt x="6471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73" name="Graphic 773"/>
                        <wps:cNvSpPr/>
                        <wps:spPr>
                          <a:xfrm>
                            <a:off x="2968617" y="97066"/>
                            <a:ext cx="647700" cy="8255"/>
                          </a:xfrm>
                          <a:custGeom>
                            <a:avLst/>
                            <a:gdLst/>
                            <a:ahLst/>
                            <a:cxnLst/>
                            <a:rect l="l" t="t" r="r" b="b"/>
                            <a:pathLst>
                              <a:path w="647700" h="8255">
                                <a:moveTo>
                                  <a:pt x="0" y="0"/>
                                </a:moveTo>
                                <a:lnTo>
                                  <a:pt x="647110" y="0"/>
                                </a:lnTo>
                                <a:lnTo>
                                  <a:pt x="647110"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3615727"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75" name="Graphic 775"/>
                        <wps:cNvSpPr/>
                        <wps:spPr>
                          <a:xfrm>
                            <a:off x="3615727"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3688527"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77" name="Graphic 777"/>
                        <wps:cNvSpPr/>
                        <wps:spPr>
                          <a:xfrm>
                            <a:off x="3688527"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78" name="Graphic 778"/>
                        <wps:cNvSpPr/>
                        <wps:spPr>
                          <a:xfrm>
                            <a:off x="3761327" y="0"/>
                            <a:ext cx="97155" cy="105410"/>
                          </a:xfrm>
                          <a:custGeom>
                            <a:avLst/>
                            <a:gdLst/>
                            <a:ahLst/>
                            <a:cxnLst/>
                            <a:rect l="l" t="t" r="r" b="b"/>
                            <a:pathLst>
                              <a:path w="97155" h="105410">
                                <a:moveTo>
                                  <a:pt x="0" y="0"/>
                                </a:moveTo>
                                <a:lnTo>
                                  <a:pt x="97066" y="0"/>
                                </a:lnTo>
                                <a:lnTo>
                                  <a:pt x="97066"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79" name="Graphic 779"/>
                        <wps:cNvSpPr/>
                        <wps:spPr>
                          <a:xfrm>
                            <a:off x="3761327" y="97066"/>
                            <a:ext cx="97155" cy="8255"/>
                          </a:xfrm>
                          <a:custGeom>
                            <a:avLst/>
                            <a:gdLst/>
                            <a:ahLst/>
                            <a:cxnLst/>
                            <a:rect l="l" t="t" r="r" b="b"/>
                            <a:pathLst>
                              <a:path w="97155" h="8255">
                                <a:moveTo>
                                  <a:pt x="0" y="0"/>
                                </a:moveTo>
                                <a:lnTo>
                                  <a:pt x="97066" y="0"/>
                                </a:lnTo>
                                <a:lnTo>
                                  <a:pt x="97066"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80" name="Graphic 780"/>
                        <wps:cNvSpPr/>
                        <wps:spPr>
                          <a:xfrm>
                            <a:off x="3858393" y="0"/>
                            <a:ext cx="647700" cy="105410"/>
                          </a:xfrm>
                          <a:custGeom>
                            <a:avLst/>
                            <a:gdLst/>
                            <a:ahLst/>
                            <a:cxnLst/>
                            <a:rect l="l" t="t" r="r" b="b"/>
                            <a:pathLst>
                              <a:path w="647700" h="105410">
                                <a:moveTo>
                                  <a:pt x="0" y="0"/>
                                </a:moveTo>
                                <a:lnTo>
                                  <a:pt x="647110" y="0"/>
                                </a:lnTo>
                                <a:lnTo>
                                  <a:pt x="6471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81" name="Graphic 781"/>
                        <wps:cNvSpPr/>
                        <wps:spPr>
                          <a:xfrm>
                            <a:off x="3858393" y="97066"/>
                            <a:ext cx="647700" cy="8255"/>
                          </a:xfrm>
                          <a:custGeom>
                            <a:avLst/>
                            <a:gdLst/>
                            <a:ahLst/>
                            <a:cxnLst/>
                            <a:rect l="l" t="t" r="r" b="b"/>
                            <a:pathLst>
                              <a:path w="647700" h="8255">
                                <a:moveTo>
                                  <a:pt x="0" y="0"/>
                                </a:moveTo>
                                <a:lnTo>
                                  <a:pt x="647110" y="0"/>
                                </a:lnTo>
                                <a:lnTo>
                                  <a:pt x="647110"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82" name="Graphic 782"/>
                        <wps:cNvSpPr/>
                        <wps:spPr>
                          <a:xfrm>
                            <a:off x="4505503"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83" name="Graphic 783"/>
                        <wps:cNvSpPr/>
                        <wps:spPr>
                          <a:xfrm>
                            <a:off x="4505503"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84" name="Graphic 784"/>
                        <wps:cNvSpPr/>
                        <wps:spPr>
                          <a:xfrm>
                            <a:off x="4578303"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85" name="Graphic 785"/>
                        <wps:cNvSpPr/>
                        <wps:spPr>
                          <a:xfrm>
                            <a:off x="4578303"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86" name="Graphic 786"/>
                        <wps:cNvSpPr/>
                        <wps:spPr>
                          <a:xfrm>
                            <a:off x="4651103" y="0"/>
                            <a:ext cx="154305" cy="105410"/>
                          </a:xfrm>
                          <a:custGeom>
                            <a:avLst/>
                            <a:gdLst/>
                            <a:ahLst/>
                            <a:cxnLst/>
                            <a:rect l="l" t="t" r="r" b="b"/>
                            <a:pathLst>
                              <a:path w="154305" h="105410">
                                <a:moveTo>
                                  <a:pt x="0" y="0"/>
                                </a:moveTo>
                                <a:lnTo>
                                  <a:pt x="153688" y="0"/>
                                </a:lnTo>
                                <a:lnTo>
                                  <a:pt x="153688"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87" name="Graphic 787"/>
                        <wps:cNvSpPr/>
                        <wps:spPr>
                          <a:xfrm>
                            <a:off x="4651103" y="97066"/>
                            <a:ext cx="154305" cy="8255"/>
                          </a:xfrm>
                          <a:custGeom>
                            <a:avLst/>
                            <a:gdLst/>
                            <a:ahLst/>
                            <a:cxnLst/>
                            <a:rect l="l" t="t" r="r" b="b"/>
                            <a:pathLst>
                              <a:path w="154305" h="8255">
                                <a:moveTo>
                                  <a:pt x="0" y="0"/>
                                </a:moveTo>
                                <a:lnTo>
                                  <a:pt x="153688" y="0"/>
                                </a:lnTo>
                                <a:lnTo>
                                  <a:pt x="153688"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88" name="Graphic 788"/>
                        <wps:cNvSpPr/>
                        <wps:spPr>
                          <a:xfrm>
                            <a:off x="4804791" y="0"/>
                            <a:ext cx="647700" cy="105410"/>
                          </a:xfrm>
                          <a:custGeom>
                            <a:avLst/>
                            <a:gdLst/>
                            <a:ahLst/>
                            <a:cxnLst/>
                            <a:rect l="l" t="t" r="r" b="b"/>
                            <a:pathLst>
                              <a:path w="647700" h="105410">
                                <a:moveTo>
                                  <a:pt x="0" y="0"/>
                                </a:moveTo>
                                <a:lnTo>
                                  <a:pt x="647110" y="0"/>
                                </a:lnTo>
                                <a:lnTo>
                                  <a:pt x="6471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89" name="Graphic 789"/>
                        <wps:cNvSpPr/>
                        <wps:spPr>
                          <a:xfrm>
                            <a:off x="4804791" y="97066"/>
                            <a:ext cx="647700" cy="8255"/>
                          </a:xfrm>
                          <a:custGeom>
                            <a:avLst/>
                            <a:gdLst/>
                            <a:ahLst/>
                            <a:cxnLst/>
                            <a:rect l="l" t="t" r="r" b="b"/>
                            <a:pathLst>
                              <a:path w="647700" h="8255">
                                <a:moveTo>
                                  <a:pt x="0" y="0"/>
                                </a:moveTo>
                                <a:lnTo>
                                  <a:pt x="647110" y="0"/>
                                </a:lnTo>
                                <a:lnTo>
                                  <a:pt x="647110"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90" name="Graphic 790"/>
                        <wps:cNvSpPr/>
                        <wps:spPr>
                          <a:xfrm>
                            <a:off x="5451902"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91" name="Graphic 791"/>
                        <wps:cNvSpPr/>
                        <wps:spPr>
                          <a:xfrm>
                            <a:off x="5451902"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92" name="Graphic 792"/>
                        <wps:cNvSpPr/>
                        <wps:spPr>
                          <a:xfrm>
                            <a:off x="5524701"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93" name="Graphic 793"/>
                        <wps:cNvSpPr/>
                        <wps:spPr>
                          <a:xfrm>
                            <a:off x="5524701"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94" name="Graphic 794"/>
                        <wps:cNvSpPr/>
                        <wps:spPr>
                          <a:xfrm>
                            <a:off x="5597502" y="0"/>
                            <a:ext cx="105410" cy="105410"/>
                          </a:xfrm>
                          <a:custGeom>
                            <a:avLst/>
                            <a:gdLst/>
                            <a:ahLst/>
                            <a:cxnLst/>
                            <a:rect l="l" t="t" r="r" b="b"/>
                            <a:pathLst>
                              <a:path w="105410" h="105410">
                                <a:moveTo>
                                  <a:pt x="0" y="0"/>
                                </a:moveTo>
                                <a:lnTo>
                                  <a:pt x="105155" y="0"/>
                                </a:lnTo>
                                <a:lnTo>
                                  <a:pt x="105155"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95" name="Graphic 795"/>
                        <wps:cNvSpPr/>
                        <wps:spPr>
                          <a:xfrm>
                            <a:off x="5597502" y="97066"/>
                            <a:ext cx="105410" cy="8255"/>
                          </a:xfrm>
                          <a:custGeom>
                            <a:avLst/>
                            <a:gdLst/>
                            <a:ahLst/>
                            <a:cxnLst/>
                            <a:rect l="l" t="t" r="r" b="b"/>
                            <a:pathLst>
                              <a:path w="105410" h="8255">
                                <a:moveTo>
                                  <a:pt x="0" y="0"/>
                                </a:moveTo>
                                <a:lnTo>
                                  <a:pt x="105155" y="0"/>
                                </a:lnTo>
                                <a:lnTo>
                                  <a:pt x="105155"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96" name="Graphic 796"/>
                        <wps:cNvSpPr/>
                        <wps:spPr>
                          <a:xfrm>
                            <a:off x="5702657" y="0"/>
                            <a:ext cx="647700" cy="105410"/>
                          </a:xfrm>
                          <a:custGeom>
                            <a:avLst/>
                            <a:gdLst/>
                            <a:ahLst/>
                            <a:cxnLst/>
                            <a:rect l="l" t="t" r="r" b="b"/>
                            <a:pathLst>
                              <a:path w="647700" h="105410">
                                <a:moveTo>
                                  <a:pt x="0" y="0"/>
                                </a:moveTo>
                                <a:lnTo>
                                  <a:pt x="647110" y="0"/>
                                </a:lnTo>
                                <a:lnTo>
                                  <a:pt x="6471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97" name="Graphic 797"/>
                        <wps:cNvSpPr/>
                        <wps:spPr>
                          <a:xfrm>
                            <a:off x="5702657" y="97066"/>
                            <a:ext cx="647700" cy="8255"/>
                          </a:xfrm>
                          <a:custGeom>
                            <a:avLst/>
                            <a:gdLst/>
                            <a:ahLst/>
                            <a:cxnLst/>
                            <a:rect l="l" t="t" r="r" b="b"/>
                            <a:pathLst>
                              <a:path w="647700" h="8255">
                                <a:moveTo>
                                  <a:pt x="0" y="0"/>
                                </a:moveTo>
                                <a:lnTo>
                                  <a:pt x="647110" y="0"/>
                                </a:lnTo>
                                <a:lnTo>
                                  <a:pt x="647110"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798" name="Graphic 798"/>
                        <wps:cNvSpPr/>
                        <wps:spPr>
                          <a:xfrm>
                            <a:off x="6349767"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799" name="Graphic 799"/>
                        <wps:cNvSpPr/>
                        <wps:spPr>
                          <a:xfrm>
                            <a:off x="6349767"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00" name="Graphic 800"/>
                        <wps:cNvSpPr/>
                        <wps:spPr>
                          <a:xfrm>
                            <a:off x="6422567"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01" name="Graphic 801"/>
                        <wps:cNvSpPr/>
                        <wps:spPr>
                          <a:xfrm>
                            <a:off x="6422567"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02" name="Graphic 802"/>
                        <wps:cNvSpPr/>
                        <wps:spPr>
                          <a:xfrm>
                            <a:off x="6495367" y="0"/>
                            <a:ext cx="89535" cy="105410"/>
                          </a:xfrm>
                          <a:custGeom>
                            <a:avLst/>
                            <a:gdLst/>
                            <a:ahLst/>
                            <a:cxnLst/>
                            <a:rect l="l" t="t" r="r" b="b"/>
                            <a:pathLst>
                              <a:path w="89535" h="105410">
                                <a:moveTo>
                                  <a:pt x="0" y="0"/>
                                </a:moveTo>
                                <a:lnTo>
                                  <a:pt x="88977" y="0"/>
                                </a:lnTo>
                                <a:lnTo>
                                  <a:pt x="88977"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03" name="Graphic 803"/>
                        <wps:cNvSpPr/>
                        <wps:spPr>
                          <a:xfrm>
                            <a:off x="6495367" y="97066"/>
                            <a:ext cx="89535" cy="8255"/>
                          </a:xfrm>
                          <a:custGeom>
                            <a:avLst/>
                            <a:gdLst/>
                            <a:ahLst/>
                            <a:cxnLst/>
                            <a:rect l="l" t="t" r="r" b="b"/>
                            <a:pathLst>
                              <a:path w="89535" h="8255">
                                <a:moveTo>
                                  <a:pt x="0" y="0"/>
                                </a:moveTo>
                                <a:lnTo>
                                  <a:pt x="88977" y="0"/>
                                </a:lnTo>
                                <a:lnTo>
                                  <a:pt x="88977"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04" name="Graphic 804"/>
                        <wps:cNvSpPr/>
                        <wps:spPr>
                          <a:xfrm>
                            <a:off x="6584344" y="0"/>
                            <a:ext cx="655320" cy="105410"/>
                          </a:xfrm>
                          <a:custGeom>
                            <a:avLst/>
                            <a:gdLst/>
                            <a:ahLst/>
                            <a:cxnLst/>
                            <a:rect l="l" t="t" r="r" b="b"/>
                            <a:pathLst>
                              <a:path w="655320" h="105410">
                                <a:moveTo>
                                  <a:pt x="0" y="0"/>
                                </a:moveTo>
                                <a:lnTo>
                                  <a:pt x="655198" y="0"/>
                                </a:lnTo>
                                <a:lnTo>
                                  <a:pt x="655198"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05" name="Graphic 805"/>
                        <wps:cNvSpPr/>
                        <wps:spPr>
                          <a:xfrm>
                            <a:off x="6584344" y="97066"/>
                            <a:ext cx="655320" cy="8255"/>
                          </a:xfrm>
                          <a:custGeom>
                            <a:avLst/>
                            <a:gdLst/>
                            <a:ahLst/>
                            <a:cxnLst/>
                            <a:rect l="l" t="t" r="r" b="b"/>
                            <a:pathLst>
                              <a:path w="655320" h="8255">
                                <a:moveTo>
                                  <a:pt x="0" y="0"/>
                                </a:moveTo>
                                <a:lnTo>
                                  <a:pt x="655198" y="0"/>
                                </a:lnTo>
                                <a:lnTo>
                                  <a:pt x="655198"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06" name="Graphic 806"/>
                        <wps:cNvSpPr/>
                        <wps:spPr>
                          <a:xfrm>
                            <a:off x="7239543"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07" name="Graphic 807"/>
                        <wps:cNvSpPr/>
                        <wps:spPr>
                          <a:xfrm>
                            <a:off x="7239543"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833740pt;margin-top:.01263pt;width:575.8pt;height:8.3pt;mso-position-horizontal-relative:page;mso-position-vertical-relative:paragraph;z-index:-29146112" id="docshapegroup764" coordorigin="357,0" coordsize="11516,166">
                <v:rect style="position:absolute;left:356;top:0;width:4421;height:166" id="docshape765" filled="true" fillcolor="#ccedff" stroked="false">
                  <v:fill type="solid"/>
                </v:rect>
                <v:rect style="position:absolute;left:356;top:153;width:4421;height:13" id="docshape766" filled="true" fillcolor="#000000" stroked="false">
                  <v:fill type="solid"/>
                </v:rect>
                <v:rect style="position:absolute;left:4776;top:0;width:115;height:166" id="docshape767" filled="true" fillcolor="#ccedff" stroked="false">
                  <v:fill type="solid"/>
                </v:rect>
                <v:rect style="position:absolute;left:4776;top:153;width:115;height:13" id="docshape768" filled="true" fillcolor="#000000" stroked="false">
                  <v:fill type="solid"/>
                </v:rect>
                <v:rect style="position:absolute;left:4891;top:0;width:141;height:166" id="docshape769" filled="true" fillcolor="#ccedff" stroked="false">
                  <v:fill type="solid"/>
                </v:rect>
                <v:rect style="position:absolute;left:4891;top:153;width:141;height:13" id="docshape770" filled="true" fillcolor="#000000" stroked="false">
                  <v:fill type="solid"/>
                </v:rect>
                <v:rect style="position:absolute;left:5031;top:0;width:1020;height:166" id="docshape771" filled="true" fillcolor="#ccedff" stroked="false">
                  <v:fill type="solid"/>
                </v:rect>
                <v:rect style="position:absolute;left:5031;top:153;width:1020;height:13" id="docshape772" filled="true" fillcolor="#000000" stroked="false">
                  <v:fill type="solid"/>
                </v:rect>
                <v:rect style="position:absolute;left:6050;top:0;width:115;height:166" id="docshape773" filled="true" fillcolor="#ccedff" stroked="false">
                  <v:fill type="solid"/>
                </v:rect>
                <v:rect style="position:absolute;left:6050;top:153;width:115;height:13" id="docshape774" filled="true" fillcolor="#000000" stroked="false">
                  <v:fill type="solid"/>
                </v:rect>
                <v:rect style="position:absolute;left:6165;top:0;width:115;height:166" id="docshape775" filled="true" fillcolor="#ccedff" stroked="false">
                  <v:fill type="solid"/>
                </v:rect>
                <v:rect style="position:absolute;left:6165;top:153;width:115;height:13" id="docshape776" filled="true" fillcolor="#000000" stroked="false">
                  <v:fill type="solid"/>
                </v:rect>
                <v:rect style="position:absolute;left:6280;top:0;width:153;height:166" id="docshape777" filled="true" fillcolor="#ccedff" stroked="false">
                  <v:fill type="solid"/>
                </v:rect>
                <v:rect style="position:absolute;left:6280;top:153;width:153;height:13" id="docshape778" filled="true" fillcolor="#000000" stroked="false">
                  <v:fill type="solid"/>
                </v:rect>
                <v:rect style="position:absolute;left:6432;top:0;width:1020;height:166" id="docshape779" filled="true" fillcolor="#ccedff" stroked="false">
                  <v:fill type="solid"/>
                </v:rect>
                <v:rect style="position:absolute;left:6432;top:153;width:1020;height:13" id="docshape780" filled="true" fillcolor="#000000" stroked="false">
                  <v:fill type="solid"/>
                </v:rect>
                <v:rect style="position:absolute;left:7451;top:0;width:115;height:166" id="docshape781" filled="true" fillcolor="#ccedff" stroked="false">
                  <v:fill type="solid"/>
                </v:rect>
                <v:rect style="position:absolute;left:7451;top:153;width:115;height:13" id="docshape782" filled="true" fillcolor="#000000" stroked="false">
                  <v:fill type="solid"/>
                </v:rect>
                <v:rect style="position:absolute;left:7566;top:0;width:115;height:166" id="docshape783" filled="true" fillcolor="#ccedff" stroked="false">
                  <v:fill type="solid"/>
                </v:rect>
                <v:rect style="position:absolute;left:7566;top:153;width:115;height:13" id="docshape784" filled="true" fillcolor="#000000" stroked="false">
                  <v:fill type="solid"/>
                </v:rect>
                <v:rect style="position:absolute;left:7681;top:0;width:243;height:166" id="docshape785" filled="true" fillcolor="#ccedff" stroked="false">
                  <v:fill type="solid"/>
                </v:rect>
                <v:rect style="position:absolute;left:7681;top:153;width:243;height:13" id="docshape786" filled="true" fillcolor="#000000" stroked="false">
                  <v:fill type="solid"/>
                </v:rect>
                <v:rect style="position:absolute;left:7923;top:0;width:1020;height:166" id="docshape787" filled="true" fillcolor="#ccedff" stroked="false">
                  <v:fill type="solid"/>
                </v:rect>
                <v:rect style="position:absolute;left:7923;top:153;width:1020;height:13" id="docshape788" filled="true" fillcolor="#000000" stroked="false">
                  <v:fill type="solid"/>
                </v:rect>
                <v:rect style="position:absolute;left:8942;top:0;width:115;height:166" id="docshape789" filled="true" fillcolor="#ccedff" stroked="false">
                  <v:fill type="solid"/>
                </v:rect>
                <v:rect style="position:absolute;left:8942;top:153;width:115;height:13" id="docshape790" filled="true" fillcolor="#000000" stroked="false">
                  <v:fill type="solid"/>
                </v:rect>
                <v:rect style="position:absolute;left:9057;top:0;width:115;height:166" id="docshape791" filled="true" fillcolor="#ccedff" stroked="false">
                  <v:fill type="solid"/>
                </v:rect>
                <v:rect style="position:absolute;left:9057;top:153;width:115;height:13" id="docshape792" filled="true" fillcolor="#000000" stroked="false">
                  <v:fill type="solid"/>
                </v:rect>
                <v:rect style="position:absolute;left:9171;top:0;width:166;height:166" id="docshape793" filled="true" fillcolor="#ccedff" stroked="false">
                  <v:fill type="solid"/>
                </v:rect>
                <v:rect style="position:absolute;left:9171;top:153;width:166;height:13" id="docshape794" filled="true" fillcolor="#000000" stroked="false">
                  <v:fill type="solid"/>
                </v:rect>
                <v:rect style="position:absolute;left:9337;top:0;width:1020;height:166" id="docshape795" filled="true" fillcolor="#ccedff" stroked="false">
                  <v:fill type="solid"/>
                </v:rect>
                <v:rect style="position:absolute;left:9337;top:153;width:1020;height:13" id="docshape796" filled="true" fillcolor="#000000" stroked="false">
                  <v:fill type="solid"/>
                </v:rect>
                <v:rect style="position:absolute;left:10356;top:0;width:115;height:166" id="docshape797" filled="true" fillcolor="#ccedff" stroked="false">
                  <v:fill type="solid"/>
                </v:rect>
                <v:rect style="position:absolute;left:10356;top:153;width:115;height:13" id="docshape798" filled="true" fillcolor="#000000" stroked="false">
                  <v:fill type="solid"/>
                </v:rect>
                <v:rect style="position:absolute;left:10470;top:0;width:115;height:166" id="docshape799" filled="true" fillcolor="#ccedff" stroked="false">
                  <v:fill type="solid"/>
                </v:rect>
                <v:rect style="position:absolute;left:10470;top:153;width:115;height:13" id="docshape800" filled="true" fillcolor="#000000" stroked="false">
                  <v:fill type="solid"/>
                </v:rect>
                <v:rect style="position:absolute;left:10585;top:0;width:141;height:166" id="docshape801" filled="true" fillcolor="#ccedff" stroked="false">
                  <v:fill type="solid"/>
                </v:rect>
                <v:rect style="position:absolute;left:10585;top:153;width:141;height:13" id="docshape802" filled="true" fillcolor="#000000" stroked="false">
                  <v:fill type="solid"/>
                </v:rect>
                <v:rect style="position:absolute;left:10725;top:0;width:1032;height:166" id="docshape803" filled="true" fillcolor="#ccedff" stroked="false">
                  <v:fill type="solid"/>
                </v:rect>
                <v:rect style="position:absolute;left:10725;top:153;width:1032;height:13" id="docshape804" filled="true" fillcolor="#000000" stroked="false">
                  <v:fill type="solid"/>
                </v:rect>
                <v:rect style="position:absolute;left:11757;top:0;width:115;height:166" id="docshape805" filled="true" fillcolor="#ccedff" stroked="false">
                  <v:fill type="solid"/>
                </v:rect>
                <v:rect style="position:absolute;left:11757;top:153;width:115;height:13" id="docshape806" filled="true" fillcolor="#000000" stroked="false">
                  <v:fill type="solid"/>
                </v:rect>
                <w10:wrap type="none"/>
              </v:group>
            </w:pict>
          </mc:Fallback>
        </mc:AlternateContent>
      </w:r>
      <w:r>
        <w:rPr>
          <w:sz w:val="14"/>
        </w:rPr>
        <w:t>Equity</w:t>
      </w:r>
      <w:r>
        <w:rPr>
          <w:spacing w:val="-3"/>
          <w:sz w:val="14"/>
        </w:rPr>
        <w:t> </w:t>
      </w:r>
      <w:r>
        <w:rPr>
          <w:sz w:val="14"/>
        </w:rPr>
        <w:t>method</w:t>
      </w:r>
      <w:r>
        <w:rPr>
          <w:spacing w:val="-3"/>
          <w:sz w:val="14"/>
        </w:rPr>
        <w:t> </w:t>
      </w:r>
      <w:r>
        <w:rPr>
          <w:sz w:val="14"/>
        </w:rPr>
        <w:t>affiliates</w:t>
      </w:r>
      <w:r>
        <w:rPr>
          <w:spacing w:val="-3"/>
          <w:sz w:val="14"/>
        </w:rPr>
        <w:t> </w:t>
      </w:r>
      <w:r>
        <w:rPr>
          <w:spacing w:val="-5"/>
          <w:position w:val="3"/>
          <w:sz w:val="11"/>
        </w:rPr>
        <w:t>(6)</w:t>
      </w:r>
      <w:r>
        <w:rPr>
          <w:position w:val="3"/>
          <w:sz w:val="11"/>
        </w:rPr>
        <w:tab/>
      </w:r>
      <w:r>
        <w:rPr>
          <w:spacing w:val="-4"/>
          <w:sz w:val="14"/>
        </w:rPr>
        <w:t>(14)</w:t>
      </w:r>
      <w:r>
        <w:rPr>
          <w:sz w:val="14"/>
        </w:rPr>
        <w:tab/>
      </w:r>
      <w:r>
        <w:rPr>
          <w:spacing w:val="-4"/>
          <w:sz w:val="14"/>
        </w:rPr>
        <w:t>(14)</w:t>
      </w:r>
    </w:p>
    <w:p>
      <w:pPr>
        <w:tabs>
          <w:tab w:pos="5284" w:val="left" w:leader="none"/>
          <w:tab w:pos="6755" w:val="left" w:leader="none"/>
          <w:tab w:pos="8362" w:val="left" w:leader="none"/>
          <w:tab w:pos="9706" w:val="left" w:leader="none"/>
          <w:tab w:pos="10991" w:val="left" w:leader="none"/>
        </w:tabs>
        <w:spacing w:before="4"/>
        <w:ind w:left="0" w:right="173" w:firstLine="0"/>
        <w:jc w:val="right"/>
        <w:rPr>
          <w:sz w:val="14"/>
        </w:rPr>
      </w:pPr>
      <w:r>
        <w:rPr/>
        <mc:AlternateContent>
          <mc:Choice Requires="wps">
            <w:drawing>
              <wp:anchor distT="0" distB="0" distL="0" distR="0" allowOverlap="1" layoutInCell="1" locked="0" behindDoc="1" simplePos="0" relativeHeight="474170880">
                <wp:simplePos x="0" y="0"/>
                <wp:positionH relativeFrom="page">
                  <wp:posOffset>226488</wp:posOffset>
                </wp:positionH>
                <wp:positionV relativeFrom="paragraph">
                  <wp:posOffset>102103</wp:posOffset>
                </wp:positionV>
                <wp:extent cx="7312659" cy="129539"/>
                <wp:effectExtent l="0" t="0" r="0" b="0"/>
                <wp:wrapNone/>
                <wp:docPr id="808" name="Group 808"/>
                <wp:cNvGraphicFramePr>
                  <a:graphicFrameLocks/>
                </wp:cNvGraphicFramePr>
                <a:graphic>
                  <a:graphicData uri="http://schemas.microsoft.com/office/word/2010/wordprocessingGroup">
                    <wpg:wgp>
                      <wpg:cNvPr id="808" name="Group 808"/>
                      <wpg:cNvGrpSpPr/>
                      <wpg:grpSpPr>
                        <a:xfrm>
                          <a:off x="0" y="0"/>
                          <a:ext cx="7312659" cy="129539"/>
                          <a:chExt cx="7312659" cy="129539"/>
                        </a:xfrm>
                      </wpg:grpSpPr>
                      <wps:wsp>
                        <wps:cNvPr id="809" name="Graphic 809"/>
                        <wps:cNvSpPr/>
                        <wps:spPr>
                          <a:xfrm>
                            <a:off x="-9" y="7"/>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810" name="Graphic 810"/>
                        <wps:cNvSpPr/>
                        <wps:spPr>
                          <a:xfrm>
                            <a:off x="0" y="8088"/>
                            <a:ext cx="2807335" cy="121920"/>
                          </a:xfrm>
                          <a:custGeom>
                            <a:avLst/>
                            <a:gdLst/>
                            <a:ahLst/>
                            <a:cxnLst/>
                            <a:rect l="l" t="t" r="r" b="b"/>
                            <a:pathLst>
                              <a:path w="2807335" h="121920">
                                <a:moveTo>
                                  <a:pt x="0" y="0"/>
                                </a:moveTo>
                                <a:lnTo>
                                  <a:pt x="2806839" y="0"/>
                                </a:lnTo>
                                <a:lnTo>
                                  <a:pt x="280683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11" name="Graphic 811"/>
                        <wps:cNvSpPr/>
                        <wps:spPr>
                          <a:xfrm>
                            <a:off x="-9" y="105163"/>
                            <a:ext cx="2807335" cy="24765"/>
                          </a:xfrm>
                          <a:custGeom>
                            <a:avLst/>
                            <a:gdLst/>
                            <a:ahLst/>
                            <a:cxnLst/>
                            <a:rect l="l" t="t" r="r" b="b"/>
                            <a:pathLst>
                              <a:path w="2807335" h="24765">
                                <a:moveTo>
                                  <a:pt x="2806839" y="16179"/>
                                </a:moveTo>
                                <a:lnTo>
                                  <a:pt x="0" y="16179"/>
                                </a:lnTo>
                                <a:lnTo>
                                  <a:pt x="0" y="24269"/>
                                </a:lnTo>
                                <a:lnTo>
                                  <a:pt x="2806839" y="24269"/>
                                </a:lnTo>
                                <a:lnTo>
                                  <a:pt x="2806839" y="16179"/>
                                </a:lnTo>
                                <a:close/>
                              </a:path>
                              <a:path w="2807335" h="24765">
                                <a:moveTo>
                                  <a:pt x="2806839" y="0"/>
                                </a:moveTo>
                                <a:lnTo>
                                  <a:pt x="0" y="0"/>
                                </a:lnTo>
                                <a:lnTo>
                                  <a:pt x="0" y="8089"/>
                                </a:lnTo>
                                <a:lnTo>
                                  <a:pt x="2806839" y="8089"/>
                                </a:lnTo>
                                <a:lnTo>
                                  <a:pt x="2806839" y="0"/>
                                </a:lnTo>
                                <a:close/>
                              </a:path>
                            </a:pathLst>
                          </a:custGeom>
                          <a:solidFill>
                            <a:srgbClr val="000000"/>
                          </a:solidFill>
                        </wps:spPr>
                        <wps:bodyPr wrap="square" lIns="0" tIns="0" rIns="0" bIns="0" rtlCol="0">
                          <a:prstTxWarp prst="textNoShape">
                            <a:avLst/>
                          </a:prstTxWarp>
                          <a:noAutofit/>
                        </wps:bodyPr>
                      </wps:wsp>
                      <wps:wsp>
                        <wps:cNvPr id="812" name="Graphic 812"/>
                        <wps:cNvSpPr/>
                        <wps:spPr>
                          <a:xfrm>
                            <a:off x="2806839"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13" name="Graphic 813"/>
                        <wps:cNvSpPr/>
                        <wps:spPr>
                          <a:xfrm>
                            <a:off x="2806830" y="105163"/>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814" name="Graphic 814"/>
                        <wps:cNvSpPr/>
                        <wps:spPr>
                          <a:xfrm>
                            <a:off x="2879639" y="8088"/>
                            <a:ext cx="89535" cy="121920"/>
                          </a:xfrm>
                          <a:custGeom>
                            <a:avLst/>
                            <a:gdLst/>
                            <a:ahLst/>
                            <a:cxnLst/>
                            <a:rect l="l" t="t" r="r" b="b"/>
                            <a:pathLst>
                              <a:path w="89535" h="121920">
                                <a:moveTo>
                                  <a:pt x="0" y="0"/>
                                </a:moveTo>
                                <a:lnTo>
                                  <a:pt x="88977" y="0"/>
                                </a:lnTo>
                                <a:lnTo>
                                  <a:pt x="88977"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15" name="Graphic 815"/>
                        <wps:cNvSpPr/>
                        <wps:spPr>
                          <a:xfrm>
                            <a:off x="2879639" y="105163"/>
                            <a:ext cx="89535" cy="24765"/>
                          </a:xfrm>
                          <a:custGeom>
                            <a:avLst/>
                            <a:gdLst/>
                            <a:ahLst/>
                            <a:cxnLst/>
                            <a:rect l="l" t="t" r="r" b="b"/>
                            <a:pathLst>
                              <a:path w="89535" h="24765">
                                <a:moveTo>
                                  <a:pt x="88976" y="16179"/>
                                </a:moveTo>
                                <a:lnTo>
                                  <a:pt x="0" y="16179"/>
                                </a:lnTo>
                                <a:lnTo>
                                  <a:pt x="0" y="24269"/>
                                </a:lnTo>
                                <a:lnTo>
                                  <a:pt x="88976" y="24269"/>
                                </a:lnTo>
                                <a:lnTo>
                                  <a:pt x="88976" y="16179"/>
                                </a:lnTo>
                                <a:close/>
                              </a:path>
                              <a:path w="89535" h="24765">
                                <a:moveTo>
                                  <a:pt x="88976" y="0"/>
                                </a:moveTo>
                                <a:lnTo>
                                  <a:pt x="0" y="0"/>
                                </a:lnTo>
                                <a:lnTo>
                                  <a:pt x="0" y="8089"/>
                                </a:lnTo>
                                <a:lnTo>
                                  <a:pt x="88976" y="8089"/>
                                </a:lnTo>
                                <a:lnTo>
                                  <a:pt x="88976" y="0"/>
                                </a:lnTo>
                                <a:close/>
                              </a:path>
                            </a:pathLst>
                          </a:custGeom>
                          <a:solidFill>
                            <a:srgbClr val="000000"/>
                          </a:solidFill>
                        </wps:spPr>
                        <wps:bodyPr wrap="square" lIns="0" tIns="0" rIns="0" bIns="0" rtlCol="0">
                          <a:prstTxWarp prst="textNoShape">
                            <a:avLst/>
                          </a:prstTxWarp>
                          <a:noAutofit/>
                        </wps:bodyPr>
                      </wps:wsp>
                      <wps:wsp>
                        <wps:cNvPr id="816" name="Graphic 816"/>
                        <wps:cNvSpPr/>
                        <wps:spPr>
                          <a:xfrm>
                            <a:off x="2968617"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17" name="Graphic 817"/>
                        <wps:cNvSpPr/>
                        <wps:spPr>
                          <a:xfrm>
                            <a:off x="2968615" y="105163"/>
                            <a:ext cx="647700" cy="24765"/>
                          </a:xfrm>
                          <a:custGeom>
                            <a:avLst/>
                            <a:gdLst/>
                            <a:ahLst/>
                            <a:cxnLst/>
                            <a:rect l="l" t="t" r="r" b="b"/>
                            <a:pathLst>
                              <a:path w="647700" h="24765">
                                <a:moveTo>
                                  <a:pt x="647103" y="16179"/>
                                </a:moveTo>
                                <a:lnTo>
                                  <a:pt x="0" y="16179"/>
                                </a:lnTo>
                                <a:lnTo>
                                  <a:pt x="0" y="24269"/>
                                </a:lnTo>
                                <a:lnTo>
                                  <a:pt x="647103" y="24269"/>
                                </a:lnTo>
                                <a:lnTo>
                                  <a:pt x="647103" y="16179"/>
                                </a:lnTo>
                                <a:close/>
                              </a:path>
                              <a:path w="647700" h="24765">
                                <a:moveTo>
                                  <a:pt x="647103" y="0"/>
                                </a:moveTo>
                                <a:lnTo>
                                  <a:pt x="0" y="0"/>
                                </a:lnTo>
                                <a:lnTo>
                                  <a:pt x="0" y="8089"/>
                                </a:lnTo>
                                <a:lnTo>
                                  <a:pt x="647103" y="8089"/>
                                </a:lnTo>
                                <a:lnTo>
                                  <a:pt x="647103" y="0"/>
                                </a:lnTo>
                                <a:close/>
                              </a:path>
                            </a:pathLst>
                          </a:custGeom>
                          <a:solidFill>
                            <a:srgbClr val="000000"/>
                          </a:solidFill>
                        </wps:spPr>
                        <wps:bodyPr wrap="square" lIns="0" tIns="0" rIns="0" bIns="0" rtlCol="0">
                          <a:prstTxWarp prst="textNoShape">
                            <a:avLst/>
                          </a:prstTxWarp>
                          <a:noAutofit/>
                        </wps:bodyPr>
                      </wps:wsp>
                      <wps:wsp>
                        <wps:cNvPr id="818" name="Graphic 818"/>
                        <wps:cNvSpPr/>
                        <wps:spPr>
                          <a:xfrm>
                            <a:off x="361572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19" name="Graphic 819"/>
                        <wps:cNvSpPr/>
                        <wps:spPr>
                          <a:xfrm>
                            <a:off x="3615718" y="105163"/>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820" name="Graphic 820"/>
                        <wps:cNvSpPr/>
                        <wps:spPr>
                          <a:xfrm>
                            <a:off x="368852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21" name="Graphic 821"/>
                        <wps:cNvSpPr/>
                        <wps:spPr>
                          <a:xfrm>
                            <a:off x="3688515" y="105163"/>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822" name="Graphic 822"/>
                        <wps:cNvSpPr/>
                        <wps:spPr>
                          <a:xfrm>
                            <a:off x="3761327" y="8088"/>
                            <a:ext cx="97155" cy="121920"/>
                          </a:xfrm>
                          <a:custGeom>
                            <a:avLst/>
                            <a:gdLst/>
                            <a:ahLst/>
                            <a:cxnLst/>
                            <a:rect l="l" t="t" r="r" b="b"/>
                            <a:pathLst>
                              <a:path w="97155" h="121920">
                                <a:moveTo>
                                  <a:pt x="0" y="0"/>
                                </a:moveTo>
                                <a:lnTo>
                                  <a:pt x="97066" y="0"/>
                                </a:lnTo>
                                <a:lnTo>
                                  <a:pt x="97066"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23" name="Graphic 823"/>
                        <wps:cNvSpPr/>
                        <wps:spPr>
                          <a:xfrm>
                            <a:off x="3761324" y="105163"/>
                            <a:ext cx="97155" cy="24765"/>
                          </a:xfrm>
                          <a:custGeom>
                            <a:avLst/>
                            <a:gdLst/>
                            <a:ahLst/>
                            <a:cxnLst/>
                            <a:rect l="l" t="t" r="r" b="b"/>
                            <a:pathLst>
                              <a:path w="97155" h="24765">
                                <a:moveTo>
                                  <a:pt x="97066" y="16179"/>
                                </a:moveTo>
                                <a:lnTo>
                                  <a:pt x="0" y="16179"/>
                                </a:lnTo>
                                <a:lnTo>
                                  <a:pt x="0" y="24269"/>
                                </a:lnTo>
                                <a:lnTo>
                                  <a:pt x="97066" y="24269"/>
                                </a:lnTo>
                                <a:lnTo>
                                  <a:pt x="97066" y="16179"/>
                                </a:lnTo>
                                <a:close/>
                              </a:path>
                              <a:path w="97155" h="24765">
                                <a:moveTo>
                                  <a:pt x="97066" y="0"/>
                                </a:moveTo>
                                <a:lnTo>
                                  <a:pt x="0" y="0"/>
                                </a:lnTo>
                                <a:lnTo>
                                  <a:pt x="0" y="8089"/>
                                </a:lnTo>
                                <a:lnTo>
                                  <a:pt x="97066" y="8089"/>
                                </a:lnTo>
                                <a:lnTo>
                                  <a:pt x="97066" y="0"/>
                                </a:lnTo>
                                <a:close/>
                              </a:path>
                            </a:pathLst>
                          </a:custGeom>
                          <a:solidFill>
                            <a:srgbClr val="000000"/>
                          </a:solidFill>
                        </wps:spPr>
                        <wps:bodyPr wrap="square" lIns="0" tIns="0" rIns="0" bIns="0" rtlCol="0">
                          <a:prstTxWarp prst="textNoShape">
                            <a:avLst/>
                          </a:prstTxWarp>
                          <a:noAutofit/>
                        </wps:bodyPr>
                      </wps:wsp>
                      <wps:wsp>
                        <wps:cNvPr id="824" name="Graphic 824"/>
                        <wps:cNvSpPr/>
                        <wps:spPr>
                          <a:xfrm>
                            <a:off x="3858393"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25" name="Graphic 825"/>
                        <wps:cNvSpPr/>
                        <wps:spPr>
                          <a:xfrm>
                            <a:off x="3858390" y="105163"/>
                            <a:ext cx="647700" cy="24765"/>
                          </a:xfrm>
                          <a:custGeom>
                            <a:avLst/>
                            <a:gdLst/>
                            <a:ahLst/>
                            <a:cxnLst/>
                            <a:rect l="l" t="t" r="r" b="b"/>
                            <a:pathLst>
                              <a:path w="647700" h="24765">
                                <a:moveTo>
                                  <a:pt x="647103" y="16179"/>
                                </a:moveTo>
                                <a:lnTo>
                                  <a:pt x="0" y="16179"/>
                                </a:lnTo>
                                <a:lnTo>
                                  <a:pt x="0" y="24269"/>
                                </a:lnTo>
                                <a:lnTo>
                                  <a:pt x="647103" y="24269"/>
                                </a:lnTo>
                                <a:lnTo>
                                  <a:pt x="647103" y="16179"/>
                                </a:lnTo>
                                <a:close/>
                              </a:path>
                              <a:path w="647700" h="24765">
                                <a:moveTo>
                                  <a:pt x="647103" y="0"/>
                                </a:moveTo>
                                <a:lnTo>
                                  <a:pt x="0" y="0"/>
                                </a:lnTo>
                                <a:lnTo>
                                  <a:pt x="0" y="8089"/>
                                </a:lnTo>
                                <a:lnTo>
                                  <a:pt x="647103" y="8089"/>
                                </a:lnTo>
                                <a:lnTo>
                                  <a:pt x="647103" y="0"/>
                                </a:lnTo>
                                <a:close/>
                              </a:path>
                            </a:pathLst>
                          </a:custGeom>
                          <a:solidFill>
                            <a:srgbClr val="000000"/>
                          </a:solidFill>
                        </wps:spPr>
                        <wps:bodyPr wrap="square" lIns="0" tIns="0" rIns="0" bIns="0" rtlCol="0">
                          <a:prstTxWarp prst="textNoShape">
                            <a:avLst/>
                          </a:prstTxWarp>
                          <a:noAutofit/>
                        </wps:bodyPr>
                      </wps:wsp>
                      <wps:wsp>
                        <wps:cNvPr id="826" name="Graphic 826"/>
                        <wps:cNvSpPr/>
                        <wps:spPr>
                          <a:xfrm>
                            <a:off x="450550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27" name="Graphic 827"/>
                        <wps:cNvSpPr/>
                        <wps:spPr>
                          <a:xfrm>
                            <a:off x="4505493" y="105163"/>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828" name="Graphic 828"/>
                        <wps:cNvSpPr/>
                        <wps:spPr>
                          <a:xfrm>
                            <a:off x="457830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29" name="Graphic 829"/>
                        <wps:cNvSpPr/>
                        <wps:spPr>
                          <a:xfrm>
                            <a:off x="4578302" y="105163"/>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830" name="Graphic 830"/>
                        <wps:cNvSpPr/>
                        <wps:spPr>
                          <a:xfrm>
                            <a:off x="4651103" y="8088"/>
                            <a:ext cx="154305" cy="121920"/>
                          </a:xfrm>
                          <a:custGeom>
                            <a:avLst/>
                            <a:gdLst/>
                            <a:ahLst/>
                            <a:cxnLst/>
                            <a:rect l="l" t="t" r="r" b="b"/>
                            <a:pathLst>
                              <a:path w="154305" h="121920">
                                <a:moveTo>
                                  <a:pt x="0" y="0"/>
                                </a:moveTo>
                                <a:lnTo>
                                  <a:pt x="153688" y="0"/>
                                </a:lnTo>
                                <a:lnTo>
                                  <a:pt x="153688"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31" name="Graphic 831"/>
                        <wps:cNvSpPr/>
                        <wps:spPr>
                          <a:xfrm>
                            <a:off x="4651099" y="105163"/>
                            <a:ext cx="154305" cy="24765"/>
                          </a:xfrm>
                          <a:custGeom>
                            <a:avLst/>
                            <a:gdLst/>
                            <a:ahLst/>
                            <a:cxnLst/>
                            <a:rect l="l" t="t" r="r" b="b"/>
                            <a:pathLst>
                              <a:path w="154305" h="24765">
                                <a:moveTo>
                                  <a:pt x="153682" y="16179"/>
                                </a:moveTo>
                                <a:lnTo>
                                  <a:pt x="0" y="16179"/>
                                </a:lnTo>
                                <a:lnTo>
                                  <a:pt x="0" y="24269"/>
                                </a:lnTo>
                                <a:lnTo>
                                  <a:pt x="153682" y="24269"/>
                                </a:lnTo>
                                <a:lnTo>
                                  <a:pt x="153682" y="16179"/>
                                </a:lnTo>
                                <a:close/>
                              </a:path>
                              <a:path w="154305" h="24765">
                                <a:moveTo>
                                  <a:pt x="153682" y="0"/>
                                </a:moveTo>
                                <a:lnTo>
                                  <a:pt x="0" y="0"/>
                                </a:lnTo>
                                <a:lnTo>
                                  <a:pt x="0" y="8089"/>
                                </a:lnTo>
                                <a:lnTo>
                                  <a:pt x="153682" y="8089"/>
                                </a:lnTo>
                                <a:lnTo>
                                  <a:pt x="153682" y="0"/>
                                </a:lnTo>
                                <a:close/>
                              </a:path>
                            </a:pathLst>
                          </a:custGeom>
                          <a:solidFill>
                            <a:srgbClr val="000000"/>
                          </a:solidFill>
                        </wps:spPr>
                        <wps:bodyPr wrap="square" lIns="0" tIns="0" rIns="0" bIns="0" rtlCol="0">
                          <a:prstTxWarp prst="textNoShape">
                            <a:avLst/>
                          </a:prstTxWarp>
                          <a:noAutofit/>
                        </wps:bodyPr>
                      </wps:wsp>
                      <wps:wsp>
                        <wps:cNvPr id="832" name="Graphic 832"/>
                        <wps:cNvSpPr/>
                        <wps:spPr>
                          <a:xfrm>
                            <a:off x="4804791"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33" name="Graphic 833"/>
                        <wps:cNvSpPr/>
                        <wps:spPr>
                          <a:xfrm>
                            <a:off x="4804781" y="105163"/>
                            <a:ext cx="647700" cy="24765"/>
                          </a:xfrm>
                          <a:custGeom>
                            <a:avLst/>
                            <a:gdLst/>
                            <a:ahLst/>
                            <a:cxnLst/>
                            <a:rect l="l" t="t" r="r" b="b"/>
                            <a:pathLst>
                              <a:path w="647700" h="24765">
                                <a:moveTo>
                                  <a:pt x="647115" y="16179"/>
                                </a:moveTo>
                                <a:lnTo>
                                  <a:pt x="0" y="16179"/>
                                </a:lnTo>
                                <a:lnTo>
                                  <a:pt x="0" y="24269"/>
                                </a:lnTo>
                                <a:lnTo>
                                  <a:pt x="647115" y="24269"/>
                                </a:lnTo>
                                <a:lnTo>
                                  <a:pt x="647115" y="16179"/>
                                </a:lnTo>
                                <a:close/>
                              </a:path>
                              <a:path w="647700" h="24765">
                                <a:moveTo>
                                  <a:pt x="647115" y="0"/>
                                </a:moveTo>
                                <a:lnTo>
                                  <a:pt x="0" y="0"/>
                                </a:lnTo>
                                <a:lnTo>
                                  <a:pt x="0" y="8089"/>
                                </a:lnTo>
                                <a:lnTo>
                                  <a:pt x="647115" y="8089"/>
                                </a:lnTo>
                                <a:lnTo>
                                  <a:pt x="647115" y="0"/>
                                </a:lnTo>
                                <a:close/>
                              </a:path>
                            </a:pathLst>
                          </a:custGeom>
                          <a:solidFill>
                            <a:srgbClr val="000000"/>
                          </a:solidFill>
                        </wps:spPr>
                        <wps:bodyPr wrap="square" lIns="0" tIns="0" rIns="0" bIns="0" rtlCol="0">
                          <a:prstTxWarp prst="textNoShape">
                            <a:avLst/>
                          </a:prstTxWarp>
                          <a:noAutofit/>
                        </wps:bodyPr>
                      </wps:wsp>
                      <wps:wsp>
                        <wps:cNvPr id="834" name="Graphic 834"/>
                        <wps:cNvSpPr/>
                        <wps:spPr>
                          <a:xfrm>
                            <a:off x="5451902"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35" name="Graphic 835"/>
                        <wps:cNvSpPr/>
                        <wps:spPr>
                          <a:xfrm>
                            <a:off x="5451897" y="105163"/>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836" name="Graphic 836"/>
                        <wps:cNvSpPr/>
                        <wps:spPr>
                          <a:xfrm>
                            <a:off x="5524701"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37" name="Graphic 837"/>
                        <wps:cNvSpPr/>
                        <wps:spPr>
                          <a:xfrm>
                            <a:off x="5524694" y="105163"/>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838" name="Graphic 838"/>
                        <wps:cNvSpPr/>
                        <wps:spPr>
                          <a:xfrm>
                            <a:off x="5597502" y="8088"/>
                            <a:ext cx="105410" cy="121920"/>
                          </a:xfrm>
                          <a:custGeom>
                            <a:avLst/>
                            <a:gdLst/>
                            <a:ahLst/>
                            <a:cxnLst/>
                            <a:rect l="l" t="t" r="r" b="b"/>
                            <a:pathLst>
                              <a:path w="105410" h="121920">
                                <a:moveTo>
                                  <a:pt x="0" y="0"/>
                                </a:moveTo>
                                <a:lnTo>
                                  <a:pt x="105155" y="0"/>
                                </a:lnTo>
                                <a:lnTo>
                                  <a:pt x="105155"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39" name="Graphic 839"/>
                        <wps:cNvSpPr/>
                        <wps:spPr>
                          <a:xfrm>
                            <a:off x="5597490" y="105163"/>
                            <a:ext cx="105410" cy="24765"/>
                          </a:xfrm>
                          <a:custGeom>
                            <a:avLst/>
                            <a:gdLst/>
                            <a:ahLst/>
                            <a:cxnLst/>
                            <a:rect l="l" t="t" r="r" b="b"/>
                            <a:pathLst>
                              <a:path w="105410" h="24765">
                                <a:moveTo>
                                  <a:pt x="105156" y="16179"/>
                                </a:moveTo>
                                <a:lnTo>
                                  <a:pt x="0" y="16179"/>
                                </a:lnTo>
                                <a:lnTo>
                                  <a:pt x="0" y="24269"/>
                                </a:lnTo>
                                <a:lnTo>
                                  <a:pt x="105156" y="24269"/>
                                </a:lnTo>
                                <a:lnTo>
                                  <a:pt x="105156" y="16179"/>
                                </a:lnTo>
                                <a:close/>
                              </a:path>
                              <a:path w="105410" h="24765">
                                <a:moveTo>
                                  <a:pt x="105156" y="0"/>
                                </a:moveTo>
                                <a:lnTo>
                                  <a:pt x="0" y="0"/>
                                </a:lnTo>
                                <a:lnTo>
                                  <a:pt x="0" y="8089"/>
                                </a:lnTo>
                                <a:lnTo>
                                  <a:pt x="105156" y="8089"/>
                                </a:lnTo>
                                <a:lnTo>
                                  <a:pt x="105156" y="0"/>
                                </a:lnTo>
                                <a:close/>
                              </a:path>
                            </a:pathLst>
                          </a:custGeom>
                          <a:solidFill>
                            <a:srgbClr val="000000"/>
                          </a:solidFill>
                        </wps:spPr>
                        <wps:bodyPr wrap="square" lIns="0" tIns="0" rIns="0" bIns="0" rtlCol="0">
                          <a:prstTxWarp prst="textNoShape">
                            <a:avLst/>
                          </a:prstTxWarp>
                          <a:noAutofit/>
                        </wps:bodyPr>
                      </wps:wsp>
                      <wps:wsp>
                        <wps:cNvPr id="840" name="Graphic 840"/>
                        <wps:cNvSpPr/>
                        <wps:spPr>
                          <a:xfrm>
                            <a:off x="5702657"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41" name="Graphic 841"/>
                        <wps:cNvSpPr/>
                        <wps:spPr>
                          <a:xfrm>
                            <a:off x="5702646" y="105163"/>
                            <a:ext cx="647700" cy="24765"/>
                          </a:xfrm>
                          <a:custGeom>
                            <a:avLst/>
                            <a:gdLst/>
                            <a:ahLst/>
                            <a:cxnLst/>
                            <a:rect l="l" t="t" r="r" b="b"/>
                            <a:pathLst>
                              <a:path w="647700" h="24765">
                                <a:moveTo>
                                  <a:pt x="647115" y="16179"/>
                                </a:moveTo>
                                <a:lnTo>
                                  <a:pt x="0" y="16179"/>
                                </a:lnTo>
                                <a:lnTo>
                                  <a:pt x="0" y="24269"/>
                                </a:lnTo>
                                <a:lnTo>
                                  <a:pt x="647115" y="24269"/>
                                </a:lnTo>
                                <a:lnTo>
                                  <a:pt x="647115" y="16179"/>
                                </a:lnTo>
                                <a:close/>
                              </a:path>
                              <a:path w="647700" h="24765">
                                <a:moveTo>
                                  <a:pt x="647115" y="0"/>
                                </a:moveTo>
                                <a:lnTo>
                                  <a:pt x="0" y="0"/>
                                </a:lnTo>
                                <a:lnTo>
                                  <a:pt x="0" y="8089"/>
                                </a:lnTo>
                                <a:lnTo>
                                  <a:pt x="647115" y="8089"/>
                                </a:lnTo>
                                <a:lnTo>
                                  <a:pt x="647115" y="0"/>
                                </a:lnTo>
                                <a:close/>
                              </a:path>
                            </a:pathLst>
                          </a:custGeom>
                          <a:solidFill>
                            <a:srgbClr val="000000"/>
                          </a:solidFill>
                        </wps:spPr>
                        <wps:bodyPr wrap="square" lIns="0" tIns="0" rIns="0" bIns="0" rtlCol="0">
                          <a:prstTxWarp prst="textNoShape">
                            <a:avLst/>
                          </a:prstTxWarp>
                          <a:noAutofit/>
                        </wps:bodyPr>
                      </wps:wsp>
                      <wps:wsp>
                        <wps:cNvPr id="842" name="Graphic 842"/>
                        <wps:cNvSpPr/>
                        <wps:spPr>
                          <a:xfrm>
                            <a:off x="634976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43" name="Graphic 843"/>
                        <wps:cNvSpPr/>
                        <wps:spPr>
                          <a:xfrm>
                            <a:off x="6349762" y="105163"/>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844" name="Graphic 844"/>
                        <wps:cNvSpPr/>
                        <wps:spPr>
                          <a:xfrm>
                            <a:off x="642256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45" name="Graphic 845"/>
                        <wps:cNvSpPr/>
                        <wps:spPr>
                          <a:xfrm>
                            <a:off x="6422558" y="105163"/>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846" name="Graphic 846"/>
                        <wps:cNvSpPr/>
                        <wps:spPr>
                          <a:xfrm>
                            <a:off x="6495367" y="8088"/>
                            <a:ext cx="89535" cy="121920"/>
                          </a:xfrm>
                          <a:custGeom>
                            <a:avLst/>
                            <a:gdLst/>
                            <a:ahLst/>
                            <a:cxnLst/>
                            <a:rect l="l" t="t" r="r" b="b"/>
                            <a:pathLst>
                              <a:path w="89535" h="121920">
                                <a:moveTo>
                                  <a:pt x="0" y="0"/>
                                </a:moveTo>
                                <a:lnTo>
                                  <a:pt x="88977" y="0"/>
                                </a:lnTo>
                                <a:lnTo>
                                  <a:pt x="88977"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47" name="Graphic 847"/>
                        <wps:cNvSpPr/>
                        <wps:spPr>
                          <a:xfrm>
                            <a:off x="6495355" y="105163"/>
                            <a:ext cx="89535" cy="24765"/>
                          </a:xfrm>
                          <a:custGeom>
                            <a:avLst/>
                            <a:gdLst/>
                            <a:ahLst/>
                            <a:cxnLst/>
                            <a:rect l="l" t="t" r="r" b="b"/>
                            <a:pathLst>
                              <a:path w="89535" h="24765">
                                <a:moveTo>
                                  <a:pt x="88988" y="16179"/>
                                </a:moveTo>
                                <a:lnTo>
                                  <a:pt x="0" y="16179"/>
                                </a:lnTo>
                                <a:lnTo>
                                  <a:pt x="0" y="24269"/>
                                </a:lnTo>
                                <a:lnTo>
                                  <a:pt x="88988" y="24269"/>
                                </a:lnTo>
                                <a:lnTo>
                                  <a:pt x="88988" y="16179"/>
                                </a:lnTo>
                                <a:close/>
                              </a:path>
                              <a:path w="89535" h="24765">
                                <a:moveTo>
                                  <a:pt x="88988" y="0"/>
                                </a:moveTo>
                                <a:lnTo>
                                  <a:pt x="0" y="0"/>
                                </a:lnTo>
                                <a:lnTo>
                                  <a:pt x="0" y="8089"/>
                                </a:lnTo>
                                <a:lnTo>
                                  <a:pt x="88988" y="8089"/>
                                </a:lnTo>
                                <a:lnTo>
                                  <a:pt x="88988" y="0"/>
                                </a:lnTo>
                                <a:close/>
                              </a:path>
                            </a:pathLst>
                          </a:custGeom>
                          <a:solidFill>
                            <a:srgbClr val="000000"/>
                          </a:solidFill>
                        </wps:spPr>
                        <wps:bodyPr wrap="square" lIns="0" tIns="0" rIns="0" bIns="0" rtlCol="0">
                          <a:prstTxWarp prst="textNoShape">
                            <a:avLst/>
                          </a:prstTxWarp>
                          <a:noAutofit/>
                        </wps:bodyPr>
                      </wps:wsp>
                      <wps:wsp>
                        <wps:cNvPr id="848" name="Graphic 848"/>
                        <wps:cNvSpPr/>
                        <wps:spPr>
                          <a:xfrm>
                            <a:off x="6584344" y="8088"/>
                            <a:ext cx="655320" cy="121920"/>
                          </a:xfrm>
                          <a:custGeom>
                            <a:avLst/>
                            <a:gdLst/>
                            <a:ahLst/>
                            <a:cxnLst/>
                            <a:rect l="l" t="t" r="r" b="b"/>
                            <a:pathLst>
                              <a:path w="655320" h="121920">
                                <a:moveTo>
                                  <a:pt x="0" y="0"/>
                                </a:moveTo>
                                <a:lnTo>
                                  <a:pt x="655198" y="0"/>
                                </a:lnTo>
                                <a:lnTo>
                                  <a:pt x="655198"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49" name="Graphic 849"/>
                        <wps:cNvSpPr/>
                        <wps:spPr>
                          <a:xfrm>
                            <a:off x="6584343" y="105163"/>
                            <a:ext cx="655320" cy="24765"/>
                          </a:xfrm>
                          <a:custGeom>
                            <a:avLst/>
                            <a:gdLst/>
                            <a:ahLst/>
                            <a:cxnLst/>
                            <a:rect l="l" t="t" r="r" b="b"/>
                            <a:pathLst>
                              <a:path w="655320" h="24765">
                                <a:moveTo>
                                  <a:pt x="655193" y="16179"/>
                                </a:moveTo>
                                <a:lnTo>
                                  <a:pt x="0" y="16179"/>
                                </a:lnTo>
                                <a:lnTo>
                                  <a:pt x="0" y="24269"/>
                                </a:lnTo>
                                <a:lnTo>
                                  <a:pt x="655193" y="24269"/>
                                </a:lnTo>
                                <a:lnTo>
                                  <a:pt x="655193" y="16179"/>
                                </a:lnTo>
                                <a:close/>
                              </a:path>
                              <a:path w="655320" h="24765">
                                <a:moveTo>
                                  <a:pt x="655193" y="0"/>
                                </a:moveTo>
                                <a:lnTo>
                                  <a:pt x="0" y="0"/>
                                </a:lnTo>
                                <a:lnTo>
                                  <a:pt x="0" y="8089"/>
                                </a:lnTo>
                                <a:lnTo>
                                  <a:pt x="655193" y="8089"/>
                                </a:lnTo>
                                <a:lnTo>
                                  <a:pt x="655193" y="0"/>
                                </a:lnTo>
                                <a:close/>
                              </a:path>
                            </a:pathLst>
                          </a:custGeom>
                          <a:solidFill>
                            <a:srgbClr val="000000"/>
                          </a:solidFill>
                        </wps:spPr>
                        <wps:bodyPr wrap="square" lIns="0" tIns="0" rIns="0" bIns="0" rtlCol="0">
                          <a:prstTxWarp prst="textNoShape">
                            <a:avLst/>
                          </a:prstTxWarp>
                          <a:noAutofit/>
                        </wps:bodyPr>
                      </wps:wsp>
                      <wps:wsp>
                        <wps:cNvPr id="850" name="Graphic 850"/>
                        <wps:cNvSpPr/>
                        <wps:spPr>
                          <a:xfrm>
                            <a:off x="723954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51" name="Graphic 851"/>
                        <wps:cNvSpPr/>
                        <wps:spPr>
                          <a:xfrm>
                            <a:off x="7239537" y="105163"/>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833740pt;margin-top:8.039647pt;width:575.8pt;height:10.2pt;mso-position-horizontal-relative:page;mso-position-vertical-relative:paragraph;z-index:-29145600" id="docshapegroup807" coordorigin="357,161" coordsize="11516,204">
                <v:rect style="position:absolute;left:356;top:160;width:11516;height:13" id="docshape808" filled="true" fillcolor="#000000" stroked="false">
                  <v:fill type="solid"/>
                </v:rect>
                <v:rect style="position:absolute;left:356;top:173;width:4421;height:192" id="docshape809" filled="true" fillcolor="#ccedff" stroked="false">
                  <v:fill type="solid"/>
                </v:rect>
                <v:shape style="position:absolute;left:356;top:326;width:4421;height:39" id="docshape810" coordorigin="357,326" coordsize="4421,39" path="m4777,352l357,352,357,365,4777,365,4777,352xm4777,326l357,326,357,339,4777,339,4777,326xe" filled="true" fillcolor="#000000" stroked="false">
                  <v:path arrowok="t"/>
                  <v:fill type="solid"/>
                </v:shape>
                <v:rect style="position:absolute;left:4776;top:173;width:115;height:192" id="docshape811" filled="true" fillcolor="#ccedff" stroked="false">
                  <v:fill type="solid"/>
                </v:rect>
                <v:shape style="position:absolute;left:4776;top:326;width:115;height:39" id="docshape812" coordorigin="4777,326" coordsize="115,39" path="m4892,352l4777,352,4777,365,4892,365,4892,352xm4892,326l4777,326,4777,339,4892,339,4892,326xe" filled="true" fillcolor="#000000" stroked="false">
                  <v:path arrowok="t"/>
                  <v:fill type="solid"/>
                </v:shape>
                <v:rect style="position:absolute;left:4891;top:173;width:141;height:192" id="docshape813" filled="true" fillcolor="#ccedff" stroked="false">
                  <v:fill type="solid"/>
                </v:rect>
                <v:shape style="position:absolute;left:4891;top:326;width:141;height:39" id="docshape814" coordorigin="4892,326" coordsize="141,39" path="m5032,352l4892,352,4892,365,5032,365,5032,352xm5032,326l4892,326,4892,339,5032,339,5032,326xe" filled="true" fillcolor="#000000" stroked="false">
                  <v:path arrowok="t"/>
                  <v:fill type="solid"/>
                </v:shape>
                <v:rect style="position:absolute;left:5031;top:173;width:1020;height:192" id="docshape815" filled="true" fillcolor="#ccedff" stroked="false">
                  <v:fill type="solid"/>
                </v:rect>
                <v:shape style="position:absolute;left:5031;top:326;width:1020;height:39" id="docshape816" coordorigin="5032,326" coordsize="1020,39" path="m6051,352l5032,352,5032,365,6051,365,6051,352xm6051,326l5032,326,5032,339,6051,339,6051,326xe" filled="true" fillcolor="#000000" stroked="false">
                  <v:path arrowok="t"/>
                  <v:fill type="solid"/>
                </v:shape>
                <v:rect style="position:absolute;left:6050;top:173;width:115;height:192" id="docshape817" filled="true" fillcolor="#ccedff" stroked="false">
                  <v:fill type="solid"/>
                </v:rect>
                <v:shape style="position:absolute;left:6050;top:326;width:115;height:39" id="docshape818" coordorigin="6051,326" coordsize="115,39" path="m6165,352l6051,352,6051,365,6165,365,6165,352xm6165,326l6051,326,6051,339,6165,339,6165,326xe" filled="true" fillcolor="#000000" stroked="false">
                  <v:path arrowok="t"/>
                  <v:fill type="solid"/>
                </v:shape>
                <v:rect style="position:absolute;left:6165;top:173;width:115;height:192" id="docshape819" filled="true" fillcolor="#ccedff" stroked="false">
                  <v:fill type="solid"/>
                </v:rect>
                <v:shape style="position:absolute;left:6165;top:326;width:115;height:39" id="docshape820" coordorigin="6165,326" coordsize="115,39" path="m6280,352l6165,352,6165,365,6280,365,6280,352xm6280,326l6165,326,6165,339,6280,339,6280,326xe" filled="true" fillcolor="#000000" stroked="false">
                  <v:path arrowok="t"/>
                  <v:fill type="solid"/>
                </v:shape>
                <v:rect style="position:absolute;left:6280;top:173;width:153;height:192" id="docshape821" filled="true" fillcolor="#ccedff" stroked="false">
                  <v:fill type="solid"/>
                </v:rect>
                <v:shape style="position:absolute;left:6280;top:326;width:153;height:39" id="docshape822" coordorigin="6280,326" coordsize="153,39" path="m6433,352l6280,352,6280,365,6433,365,6433,352xm6433,326l6280,326,6280,339,6433,339,6433,326xe" filled="true" fillcolor="#000000" stroked="false">
                  <v:path arrowok="t"/>
                  <v:fill type="solid"/>
                </v:shape>
                <v:rect style="position:absolute;left:6432;top:173;width:1020;height:192" id="docshape823" filled="true" fillcolor="#ccedff" stroked="false">
                  <v:fill type="solid"/>
                </v:rect>
                <v:shape style="position:absolute;left:6432;top:326;width:1020;height:39" id="docshape824" coordorigin="6433,326" coordsize="1020,39" path="m7452,352l6433,352,6433,365,7452,365,7452,352xm7452,326l6433,326,6433,339,7452,339,7452,326xe" filled="true" fillcolor="#000000" stroked="false">
                  <v:path arrowok="t"/>
                  <v:fill type="solid"/>
                </v:shape>
                <v:rect style="position:absolute;left:7451;top:173;width:115;height:192" id="docshape825" filled="true" fillcolor="#ccedff" stroked="false">
                  <v:fill type="solid"/>
                </v:rect>
                <v:shape style="position:absolute;left:7451;top:326;width:115;height:39" id="docshape826" coordorigin="7452,326" coordsize="115,39" path="m7567,352l7452,352,7452,365,7567,365,7567,352xm7567,326l7452,326,7452,339,7567,339,7567,326xe" filled="true" fillcolor="#000000" stroked="false">
                  <v:path arrowok="t"/>
                  <v:fill type="solid"/>
                </v:shape>
                <v:rect style="position:absolute;left:7566;top:173;width:115;height:192" id="docshape827" filled="true" fillcolor="#ccedff" stroked="false">
                  <v:fill type="solid"/>
                </v:rect>
                <v:shape style="position:absolute;left:7566;top:326;width:115;height:39" id="docshape828" coordorigin="7567,326" coordsize="115,39" path="m7681,352l7567,352,7567,365,7681,365,7681,352xm7681,326l7567,326,7567,339,7681,339,7681,326xe" filled="true" fillcolor="#000000" stroked="false">
                  <v:path arrowok="t"/>
                  <v:fill type="solid"/>
                </v:shape>
                <v:rect style="position:absolute;left:7681;top:173;width:243;height:192" id="docshape829" filled="true" fillcolor="#ccedff" stroked="false">
                  <v:fill type="solid"/>
                </v:rect>
                <v:shape style="position:absolute;left:7681;top:326;width:243;height:39" id="docshape830" coordorigin="7681,326" coordsize="243,39" path="m7923,352l7681,352,7681,365,7923,365,7923,352xm7923,326l7681,326,7681,339,7923,339,7923,326xe" filled="true" fillcolor="#000000" stroked="false">
                  <v:path arrowok="t"/>
                  <v:fill type="solid"/>
                </v:shape>
                <v:rect style="position:absolute;left:7923;top:173;width:1020;height:192" id="docshape831" filled="true" fillcolor="#ccedff" stroked="false">
                  <v:fill type="solid"/>
                </v:rect>
                <v:shape style="position:absolute;left:7923;top:326;width:1020;height:39" id="docshape832" coordorigin="7923,326" coordsize="1020,39" path="m8942,352l7923,352,7923,365,8942,365,8942,352xm8942,326l7923,326,7923,339,8942,339,8942,326xe" filled="true" fillcolor="#000000" stroked="false">
                  <v:path arrowok="t"/>
                  <v:fill type="solid"/>
                </v:shape>
                <v:rect style="position:absolute;left:8942;top:173;width:115;height:192" id="docshape833" filled="true" fillcolor="#ccedff" stroked="false">
                  <v:fill type="solid"/>
                </v:rect>
                <v:shape style="position:absolute;left:8942;top:326;width:115;height:39" id="docshape834" coordorigin="8942,326" coordsize="115,39" path="m9057,352l8942,352,8942,365,9057,365,9057,352xm9057,326l8942,326,8942,339,9057,339,9057,326xe" filled="true" fillcolor="#000000" stroked="false">
                  <v:path arrowok="t"/>
                  <v:fill type="solid"/>
                </v:shape>
                <v:rect style="position:absolute;left:9057;top:173;width:115;height:192" id="docshape835" filled="true" fillcolor="#ccedff" stroked="false">
                  <v:fill type="solid"/>
                </v:rect>
                <v:shape style="position:absolute;left:9056;top:326;width:115;height:39" id="docshape836" coordorigin="9057,326" coordsize="115,39" path="m9172,352l9057,352,9057,365,9172,365,9172,352xm9172,326l9057,326,9057,339,9172,339,9172,326xe" filled="true" fillcolor="#000000" stroked="false">
                  <v:path arrowok="t"/>
                  <v:fill type="solid"/>
                </v:shape>
                <v:rect style="position:absolute;left:9171;top:173;width:166;height:192" id="docshape837" filled="true" fillcolor="#ccedff" stroked="false">
                  <v:fill type="solid"/>
                </v:rect>
                <v:shape style="position:absolute;left:9171;top:326;width:166;height:39" id="docshape838" coordorigin="9172,326" coordsize="166,39" path="m9337,352l9172,352,9172,365,9337,365,9337,352xm9337,326l9172,326,9172,339,9337,339,9337,326xe" filled="true" fillcolor="#000000" stroked="false">
                  <v:path arrowok="t"/>
                  <v:fill type="solid"/>
                </v:shape>
                <v:rect style="position:absolute;left:9337;top:173;width:1020;height:192" id="docshape839" filled="true" fillcolor="#ccedff" stroked="false">
                  <v:fill type="solid"/>
                </v:rect>
                <v:shape style="position:absolute;left:9337;top:326;width:1020;height:39" id="docshape840" coordorigin="9337,326" coordsize="1020,39" path="m10356,352l9337,352,9337,365,10356,365,10356,352xm10356,326l9337,326,9337,339,10356,339,10356,326xe" filled="true" fillcolor="#000000" stroked="false">
                  <v:path arrowok="t"/>
                  <v:fill type="solid"/>
                </v:shape>
                <v:rect style="position:absolute;left:10356;top:173;width:115;height:192" id="docshape841" filled="true" fillcolor="#ccedff" stroked="false">
                  <v:fill type="solid"/>
                </v:rect>
                <v:shape style="position:absolute;left:10356;top:326;width:115;height:39" id="docshape842" coordorigin="10356,326" coordsize="115,39" path="m10471,352l10356,352,10356,365,10471,365,10471,352xm10471,326l10356,326,10356,339,10471,339,10471,326xe" filled="true" fillcolor="#000000" stroked="false">
                  <v:path arrowok="t"/>
                  <v:fill type="solid"/>
                </v:shape>
                <v:rect style="position:absolute;left:10470;top:173;width:115;height:192" id="docshape843" filled="true" fillcolor="#ccedff" stroked="false">
                  <v:fill type="solid"/>
                </v:rect>
                <v:shape style="position:absolute;left:10470;top:326;width:115;height:39" id="docshape844" coordorigin="10471,326" coordsize="115,39" path="m10586,352l10471,352,10471,365,10586,365,10586,352xm10586,326l10471,326,10471,339,10586,339,10586,326xe" filled="true" fillcolor="#000000" stroked="false">
                  <v:path arrowok="t"/>
                  <v:fill type="solid"/>
                </v:shape>
                <v:rect style="position:absolute;left:10585;top:173;width:141;height:192" id="docshape845" filled="true" fillcolor="#ccedff" stroked="false">
                  <v:fill type="solid"/>
                </v:rect>
                <v:shape style="position:absolute;left:10585;top:326;width:141;height:39" id="docshape846" coordorigin="10586,326" coordsize="141,39" path="m10726,352l10586,352,10586,365,10726,365,10726,352xm10726,326l10586,326,10586,339,10726,339,10726,326xe" filled="true" fillcolor="#000000" stroked="false">
                  <v:path arrowok="t"/>
                  <v:fill type="solid"/>
                </v:shape>
                <v:rect style="position:absolute;left:10725;top:173;width:1032;height:192" id="docshape847" filled="true" fillcolor="#ccedff" stroked="false">
                  <v:fill type="solid"/>
                </v:rect>
                <v:shape style="position:absolute;left:10725;top:326;width:1032;height:39" id="docshape848" coordorigin="10726,326" coordsize="1032,39" path="m11758,352l10726,352,10726,365,11758,365,11758,352xm11758,326l10726,326,10726,339,11758,339,11758,326xe" filled="true" fillcolor="#000000" stroked="false">
                  <v:path arrowok="t"/>
                  <v:fill type="solid"/>
                </v:shape>
                <v:rect style="position:absolute;left:11757;top:173;width:115;height:192" id="docshape849" filled="true" fillcolor="#ccedff" stroked="false">
                  <v:fill type="solid"/>
                </v:rect>
                <v:shape style="position:absolute;left:11757;top:326;width:115;height:39" id="docshape850" coordorigin="11758,326" coordsize="115,39" path="m11872,352l11758,352,11758,365,11872,365,11872,352xm11872,326l11758,326,11758,339,11872,339,11872,326xe" filled="true" fillcolor="#000000" stroked="false">
                  <v:path arrowok="t"/>
                  <v:fill type="solid"/>
                </v:shape>
                <w10:wrap type="none"/>
              </v:group>
            </w:pict>
          </mc:Fallback>
        </mc:AlternateContent>
      </w:r>
      <w:r>
        <w:rPr>
          <w:sz w:val="14"/>
        </w:rPr>
        <w:t>Net current-period other comprehensive (loss) </w:t>
      </w:r>
      <w:r>
        <w:rPr>
          <w:spacing w:val="-2"/>
          <w:sz w:val="14"/>
        </w:rPr>
        <w:t>income</w:t>
      </w:r>
      <w:r>
        <w:rPr>
          <w:sz w:val="14"/>
        </w:rPr>
        <w:tab/>
      </w:r>
      <w:r>
        <w:rPr>
          <w:spacing w:val="-2"/>
          <w:sz w:val="14"/>
        </w:rPr>
        <w:t>(143)</w:t>
      </w:r>
      <w:r>
        <w:rPr>
          <w:sz w:val="14"/>
        </w:rPr>
        <w:tab/>
      </w:r>
      <w:r>
        <w:rPr>
          <w:spacing w:val="-4"/>
          <w:sz w:val="14"/>
        </w:rPr>
        <w:t>(64)</w:t>
      </w:r>
      <w:r>
        <w:rPr>
          <w:sz w:val="14"/>
        </w:rPr>
        <w:tab/>
      </w:r>
      <w:r>
        <w:rPr>
          <w:spacing w:val="-10"/>
          <w:sz w:val="14"/>
        </w:rPr>
        <w:t>1</w:t>
      </w:r>
      <w:r>
        <w:rPr>
          <w:sz w:val="14"/>
        </w:rPr>
        <w:tab/>
      </w:r>
      <w:r>
        <w:rPr>
          <w:spacing w:val="-5"/>
          <w:sz w:val="14"/>
        </w:rPr>
        <w:t>45</w:t>
      </w:r>
      <w:r>
        <w:rPr>
          <w:sz w:val="14"/>
        </w:rPr>
        <w:tab/>
      </w:r>
      <w:r>
        <w:rPr>
          <w:spacing w:val="-2"/>
          <w:sz w:val="14"/>
        </w:rPr>
        <w:t>(161)</w:t>
      </w:r>
    </w:p>
    <w:p>
      <w:pPr>
        <w:tabs>
          <w:tab w:pos="4534" w:val="left" w:leader="none"/>
          <w:tab w:pos="5437" w:val="left" w:leader="none"/>
          <w:tab w:pos="6838" w:val="left" w:leader="none"/>
          <w:tab w:pos="8468" w:val="left" w:leader="none"/>
          <w:tab w:pos="9859" w:val="left" w:leader="none"/>
          <w:tab w:pos="10228" w:val="left" w:leader="none"/>
          <w:tab w:pos="11038" w:val="left" w:leader="none"/>
        </w:tabs>
        <w:spacing w:before="5"/>
        <w:ind w:left="0" w:right="173" w:firstLine="0"/>
        <w:jc w:val="right"/>
        <w:rPr>
          <w:sz w:val="14"/>
        </w:rPr>
      </w:pPr>
      <w:r>
        <w:rPr>
          <w:sz w:val="14"/>
        </w:rPr>
        <w:t>Balance at December 31, </w:t>
      </w:r>
      <w:r>
        <w:rPr>
          <w:spacing w:val="-4"/>
          <w:sz w:val="14"/>
        </w:rPr>
        <w:t>2019</w:t>
      </w:r>
      <w:r>
        <w:rPr>
          <w:sz w:val="14"/>
        </w:rPr>
        <w:tab/>
      </w:r>
      <w:r>
        <w:rPr>
          <w:spacing w:val="-10"/>
          <w:sz w:val="14"/>
        </w:rPr>
        <w:t>$</w:t>
      </w:r>
      <w:r>
        <w:rPr>
          <w:sz w:val="14"/>
        </w:rPr>
        <w:tab/>
        <w:t>(857)</w:t>
      </w:r>
      <w:r>
        <w:rPr>
          <w:spacing w:val="54"/>
          <w:sz w:val="14"/>
        </w:rPr>
        <w:t>  </w:t>
      </w:r>
      <w:r>
        <w:rPr>
          <w:spacing w:val="-10"/>
          <w:sz w:val="14"/>
        </w:rPr>
        <w:t>$</w:t>
      </w:r>
      <w:r>
        <w:rPr>
          <w:sz w:val="14"/>
        </w:rPr>
        <w:tab/>
        <w:t>(362)</w:t>
      </w:r>
      <w:r>
        <w:rPr>
          <w:spacing w:val="54"/>
          <w:sz w:val="14"/>
        </w:rPr>
        <w:t>  </w:t>
      </w:r>
      <w:r>
        <w:rPr>
          <w:spacing w:val="-10"/>
          <w:sz w:val="14"/>
        </w:rPr>
        <w:t>$</w:t>
      </w:r>
      <w:r>
        <w:rPr>
          <w:sz w:val="14"/>
        </w:rPr>
        <w:tab/>
        <w:t>(3)</w:t>
      </w:r>
      <w:r>
        <w:rPr>
          <w:spacing w:val="55"/>
          <w:sz w:val="14"/>
        </w:rPr>
        <w:t>  </w:t>
      </w:r>
      <w:r>
        <w:rPr>
          <w:spacing w:val="-10"/>
          <w:sz w:val="14"/>
        </w:rPr>
        <w:t>$</w:t>
      </w:r>
      <w:r>
        <w:rPr>
          <w:sz w:val="14"/>
        </w:rPr>
        <w:tab/>
      </w:r>
      <w:r>
        <w:rPr>
          <w:spacing w:val="-5"/>
          <w:sz w:val="14"/>
        </w:rPr>
        <w:t>51</w:t>
      </w:r>
      <w:r>
        <w:rPr>
          <w:sz w:val="14"/>
        </w:rPr>
        <w:tab/>
      </w:r>
      <w:r>
        <w:rPr>
          <w:spacing w:val="-10"/>
          <w:sz w:val="14"/>
        </w:rPr>
        <w:t>$</w:t>
      </w:r>
      <w:r>
        <w:rPr>
          <w:sz w:val="14"/>
        </w:rPr>
        <w:tab/>
      </w:r>
      <w:r>
        <w:rPr>
          <w:spacing w:val="-2"/>
          <w:sz w:val="14"/>
        </w:rPr>
        <w:t>(1,171)</w:t>
      </w:r>
    </w:p>
    <w:p>
      <w:pPr>
        <w:pStyle w:val="BodyText"/>
        <w:spacing w:before="1"/>
        <w:rPr>
          <w:sz w:val="14"/>
        </w:rPr>
      </w:pPr>
      <w:r>
        <w:rPr/>
        <mc:AlternateContent>
          <mc:Choice Requires="wps">
            <w:drawing>
              <wp:anchor distT="0" distB="0" distL="0" distR="0" allowOverlap="1" layoutInCell="1" locked="0" behindDoc="1" simplePos="0" relativeHeight="487737856">
                <wp:simplePos x="0" y="0"/>
                <wp:positionH relativeFrom="page">
                  <wp:posOffset>226488</wp:posOffset>
                </wp:positionH>
                <wp:positionV relativeFrom="paragraph">
                  <wp:posOffset>118424</wp:posOffset>
                </wp:positionV>
                <wp:extent cx="7312659" cy="97155"/>
                <wp:effectExtent l="0" t="0" r="0" b="0"/>
                <wp:wrapTopAndBottom/>
                <wp:docPr id="852" name="Textbox 852"/>
                <wp:cNvGraphicFramePr>
                  <a:graphicFrameLocks/>
                </wp:cNvGraphicFramePr>
                <a:graphic>
                  <a:graphicData uri="http://schemas.microsoft.com/office/word/2010/wordprocessingShape">
                    <wps:wsp>
                      <wps:cNvPr id="852" name="Textbox 852"/>
                      <wps:cNvSpPr txBox="1"/>
                      <wps:spPr>
                        <a:xfrm>
                          <a:off x="0" y="0"/>
                          <a:ext cx="7312659" cy="97155"/>
                        </a:xfrm>
                        <a:prstGeom prst="rect">
                          <a:avLst/>
                        </a:prstGeom>
                        <a:solidFill>
                          <a:srgbClr val="CCEDFF"/>
                        </a:solidFill>
                      </wps:spPr>
                      <wps:txbx>
                        <w:txbxContent>
                          <w:p>
                            <w:pPr>
                              <w:tabs>
                                <w:tab w:pos="4534" w:val="left" w:leader="none"/>
                                <w:tab w:pos="5483" w:val="left" w:leader="none"/>
                                <w:tab w:pos="5923" w:val="left" w:leader="none"/>
                                <w:tab w:pos="6838" w:val="left" w:leader="none"/>
                                <w:tab w:pos="8814" w:val="left" w:leader="none"/>
                                <w:tab w:pos="9812" w:val="left" w:leader="none"/>
                                <w:tab w:pos="11400" w:val="right" w:leader="none"/>
                              </w:tabs>
                              <w:spacing w:line="153" w:lineRule="exact" w:before="0"/>
                              <w:ind w:left="305" w:right="0" w:firstLine="0"/>
                              <w:jc w:val="left"/>
                              <w:rPr>
                                <w:color w:val="000000"/>
                                <w:sz w:val="14"/>
                              </w:rPr>
                            </w:pPr>
                            <w:r>
                              <w:rPr>
                                <w:color w:val="000000"/>
                                <w:sz w:val="14"/>
                              </w:rPr>
                              <w:t>Other</w:t>
                            </w:r>
                            <w:r>
                              <w:rPr>
                                <w:color w:val="000000"/>
                                <w:spacing w:val="-5"/>
                                <w:sz w:val="14"/>
                              </w:rPr>
                              <w:t> </w:t>
                            </w:r>
                            <w:r>
                              <w:rPr>
                                <w:color w:val="000000"/>
                                <w:sz w:val="14"/>
                              </w:rPr>
                              <w:t>comprehensive</w:t>
                            </w:r>
                            <w:r>
                              <w:rPr>
                                <w:color w:val="000000"/>
                                <w:spacing w:val="-3"/>
                                <w:sz w:val="14"/>
                              </w:rPr>
                              <w:t> </w:t>
                            </w:r>
                            <w:r>
                              <w:rPr>
                                <w:color w:val="000000"/>
                                <w:sz w:val="14"/>
                              </w:rPr>
                              <w:t>income</w:t>
                            </w:r>
                            <w:r>
                              <w:rPr>
                                <w:color w:val="000000"/>
                                <w:spacing w:val="-3"/>
                                <w:sz w:val="14"/>
                              </w:rPr>
                              <w:t> </w:t>
                            </w:r>
                            <w:r>
                              <w:rPr>
                                <w:color w:val="000000"/>
                                <w:sz w:val="14"/>
                              </w:rPr>
                              <w:t>(loss)</w:t>
                            </w:r>
                            <w:r>
                              <w:rPr>
                                <w:color w:val="000000"/>
                                <w:spacing w:val="-2"/>
                                <w:sz w:val="14"/>
                              </w:rPr>
                              <w:t> </w:t>
                            </w:r>
                            <w:r>
                              <w:rPr>
                                <w:color w:val="000000"/>
                                <w:sz w:val="14"/>
                              </w:rPr>
                              <w:t>before</w:t>
                            </w:r>
                            <w:r>
                              <w:rPr>
                                <w:color w:val="000000"/>
                                <w:spacing w:val="-3"/>
                                <w:sz w:val="14"/>
                              </w:rPr>
                              <w:t> </w:t>
                            </w:r>
                            <w:r>
                              <w:rPr>
                                <w:color w:val="000000"/>
                                <w:sz w:val="14"/>
                              </w:rPr>
                              <w:t>reclassifications</w:t>
                            </w:r>
                            <w:r>
                              <w:rPr>
                                <w:color w:val="000000"/>
                                <w:spacing w:val="-4"/>
                                <w:sz w:val="14"/>
                              </w:rPr>
                              <w:t> </w:t>
                            </w:r>
                            <w:r>
                              <w:rPr>
                                <w:color w:val="000000"/>
                                <w:spacing w:val="-5"/>
                                <w:position w:val="3"/>
                                <w:sz w:val="11"/>
                              </w:rPr>
                              <w:t>(3)</w:t>
                            </w:r>
                            <w:r>
                              <w:rPr>
                                <w:color w:val="000000"/>
                                <w:position w:val="3"/>
                                <w:sz w:val="11"/>
                              </w:rPr>
                              <w:tab/>
                            </w:r>
                            <w:r>
                              <w:rPr>
                                <w:color w:val="000000"/>
                                <w:spacing w:val="-10"/>
                                <w:sz w:val="14"/>
                              </w:rPr>
                              <w:t>$</w:t>
                            </w:r>
                            <w:r>
                              <w:rPr>
                                <w:color w:val="000000"/>
                                <w:sz w:val="14"/>
                              </w:rPr>
                              <w:tab/>
                            </w:r>
                            <w:r>
                              <w:rPr>
                                <w:color w:val="000000"/>
                                <w:spacing w:val="-5"/>
                                <w:sz w:val="14"/>
                              </w:rPr>
                              <w:t>511</w:t>
                            </w:r>
                            <w:r>
                              <w:rPr>
                                <w:color w:val="000000"/>
                                <w:sz w:val="14"/>
                              </w:rPr>
                              <w:tab/>
                            </w:r>
                            <w:r>
                              <w:rPr>
                                <w:color w:val="000000"/>
                                <w:spacing w:val="-10"/>
                                <w:sz w:val="14"/>
                              </w:rPr>
                              <w:t>$</w:t>
                            </w:r>
                            <w:r>
                              <w:rPr>
                                <w:color w:val="000000"/>
                                <w:sz w:val="14"/>
                              </w:rPr>
                              <w:tab/>
                            </w:r>
                            <w:r>
                              <w:rPr>
                                <w:color w:val="000000"/>
                                <w:spacing w:val="-2"/>
                                <w:sz w:val="14"/>
                              </w:rPr>
                              <w:t>(106)</w:t>
                            </w:r>
                            <w:r>
                              <w:rPr>
                                <w:color w:val="000000"/>
                                <w:sz w:val="14"/>
                              </w:rPr>
                              <w:tab/>
                            </w:r>
                            <w:r>
                              <w:rPr>
                                <w:color w:val="000000"/>
                                <w:spacing w:val="-10"/>
                                <w:sz w:val="14"/>
                              </w:rPr>
                              <w:t>$</w:t>
                            </w:r>
                            <w:r>
                              <w:rPr>
                                <w:color w:val="000000"/>
                                <w:sz w:val="14"/>
                              </w:rPr>
                              <w:tab/>
                              <w:t>(14)</w:t>
                            </w:r>
                            <w:r>
                              <w:rPr>
                                <w:color w:val="000000"/>
                                <w:spacing w:val="55"/>
                                <w:sz w:val="14"/>
                              </w:rPr>
                              <w:t>  </w:t>
                            </w:r>
                            <w:r>
                              <w:rPr>
                                <w:color w:val="000000"/>
                                <w:spacing w:val="-10"/>
                                <w:sz w:val="14"/>
                              </w:rPr>
                              <w:t>$</w:t>
                            </w:r>
                            <w:r>
                              <w:rPr>
                                <w:color w:val="000000"/>
                                <w:sz w:val="14"/>
                              </w:rPr>
                              <w:tab/>
                            </w:r>
                            <w:r>
                              <w:rPr>
                                <w:color w:val="000000"/>
                                <w:spacing w:val="-5"/>
                                <w:sz w:val="14"/>
                              </w:rPr>
                              <w:t>391</w:t>
                            </w:r>
                          </w:p>
                        </w:txbxContent>
                      </wps:txbx>
                      <wps:bodyPr wrap="square" lIns="0" tIns="0" rIns="0" bIns="0" rtlCol="0">
                        <a:noAutofit/>
                      </wps:bodyPr>
                    </wps:wsp>
                  </a:graphicData>
                </a:graphic>
              </wp:anchor>
            </w:drawing>
          </mc:Choice>
          <mc:Fallback>
            <w:pict>
              <v:shape style="position:absolute;margin-left:17.833740pt;margin-top:9.324755pt;width:575.8pt;height:7.65pt;mso-position-horizontal-relative:page;mso-position-vertical-relative:paragraph;z-index:-15578624;mso-wrap-distance-left:0;mso-wrap-distance-right:0" type="#_x0000_t202" id="docshape851" filled="true" fillcolor="#ccedff" stroked="false">
                <v:textbox inset="0,0,0,0">
                  <w:txbxContent>
                    <w:p>
                      <w:pPr>
                        <w:tabs>
                          <w:tab w:pos="4534" w:val="left" w:leader="none"/>
                          <w:tab w:pos="5483" w:val="left" w:leader="none"/>
                          <w:tab w:pos="5923" w:val="left" w:leader="none"/>
                          <w:tab w:pos="6838" w:val="left" w:leader="none"/>
                          <w:tab w:pos="8814" w:val="left" w:leader="none"/>
                          <w:tab w:pos="9812" w:val="left" w:leader="none"/>
                          <w:tab w:pos="11400" w:val="right" w:leader="none"/>
                        </w:tabs>
                        <w:spacing w:line="153" w:lineRule="exact" w:before="0"/>
                        <w:ind w:left="305" w:right="0" w:firstLine="0"/>
                        <w:jc w:val="left"/>
                        <w:rPr>
                          <w:color w:val="000000"/>
                          <w:sz w:val="14"/>
                        </w:rPr>
                      </w:pPr>
                      <w:r>
                        <w:rPr>
                          <w:color w:val="000000"/>
                          <w:sz w:val="14"/>
                        </w:rPr>
                        <w:t>Other</w:t>
                      </w:r>
                      <w:r>
                        <w:rPr>
                          <w:color w:val="000000"/>
                          <w:spacing w:val="-5"/>
                          <w:sz w:val="14"/>
                        </w:rPr>
                        <w:t> </w:t>
                      </w:r>
                      <w:r>
                        <w:rPr>
                          <w:color w:val="000000"/>
                          <w:sz w:val="14"/>
                        </w:rPr>
                        <w:t>comprehensive</w:t>
                      </w:r>
                      <w:r>
                        <w:rPr>
                          <w:color w:val="000000"/>
                          <w:spacing w:val="-3"/>
                          <w:sz w:val="14"/>
                        </w:rPr>
                        <w:t> </w:t>
                      </w:r>
                      <w:r>
                        <w:rPr>
                          <w:color w:val="000000"/>
                          <w:sz w:val="14"/>
                        </w:rPr>
                        <w:t>income</w:t>
                      </w:r>
                      <w:r>
                        <w:rPr>
                          <w:color w:val="000000"/>
                          <w:spacing w:val="-3"/>
                          <w:sz w:val="14"/>
                        </w:rPr>
                        <w:t> </w:t>
                      </w:r>
                      <w:r>
                        <w:rPr>
                          <w:color w:val="000000"/>
                          <w:sz w:val="14"/>
                        </w:rPr>
                        <w:t>(loss)</w:t>
                      </w:r>
                      <w:r>
                        <w:rPr>
                          <w:color w:val="000000"/>
                          <w:spacing w:val="-2"/>
                          <w:sz w:val="14"/>
                        </w:rPr>
                        <w:t> </w:t>
                      </w:r>
                      <w:r>
                        <w:rPr>
                          <w:color w:val="000000"/>
                          <w:sz w:val="14"/>
                        </w:rPr>
                        <w:t>before</w:t>
                      </w:r>
                      <w:r>
                        <w:rPr>
                          <w:color w:val="000000"/>
                          <w:spacing w:val="-3"/>
                          <w:sz w:val="14"/>
                        </w:rPr>
                        <w:t> </w:t>
                      </w:r>
                      <w:r>
                        <w:rPr>
                          <w:color w:val="000000"/>
                          <w:sz w:val="14"/>
                        </w:rPr>
                        <w:t>reclassifications</w:t>
                      </w:r>
                      <w:r>
                        <w:rPr>
                          <w:color w:val="000000"/>
                          <w:spacing w:val="-4"/>
                          <w:sz w:val="14"/>
                        </w:rPr>
                        <w:t> </w:t>
                      </w:r>
                      <w:r>
                        <w:rPr>
                          <w:color w:val="000000"/>
                          <w:spacing w:val="-5"/>
                          <w:position w:val="3"/>
                          <w:sz w:val="11"/>
                        </w:rPr>
                        <w:t>(3)</w:t>
                      </w:r>
                      <w:r>
                        <w:rPr>
                          <w:color w:val="000000"/>
                          <w:position w:val="3"/>
                          <w:sz w:val="11"/>
                        </w:rPr>
                        <w:tab/>
                      </w:r>
                      <w:r>
                        <w:rPr>
                          <w:color w:val="000000"/>
                          <w:spacing w:val="-10"/>
                          <w:sz w:val="14"/>
                        </w:rPr>
                        <w:t>$</w:t>
                      </w:r>
                      <w:r>
                        <w:rPr>
                          <w:color w:val="000000"/>
                          <w:sz w:val="14"/>
                        </w:rPr>
                        <w:tab/>
                      </w:r>
                      <w:r>
                        <w:rPr>
                          <w:color w:val="000000"/>
                          <w:spacing w:val="-5"/>
                          <w:sz w:val="14"/>
                        </w:rPr>
                        <w:t>511</w:t>
                      </w:r>
                      <w:r>
                        <w:rPr>
                          <w:color w:val="000000"/>
                          <w:sz w:val="14"/>
                        </w:rPr>
                        <w:tab/>
                      </w:r>
                      <w:r>
                        <w:rPr>
                          <w:color w:val="000000"/>
                          <w:spacing w:val="-10"/>
                          <w:sz w:val="14"/>
                        </w:rPr>
                        <w:t>$</w:t>
                      </w:r>
                      <w:r>
                        <w:rPr>
                          <w:color w:val="000000"/>
                          <w:sz w:val="14"/>
                        </w:rPr>
                        <w:tab/>
                      </w:r>
                      <w:r>
                        <w:rPr>
                          <w:color w:val="000000"/>
                          <w:spacing w:val="-2"/>
                          <w:sz w:val="14"/>
                        </w:rPr>
                        <w:t>(106)</w:t>
                      </w:r>
                      <w:r>
                        <w:rPr>
                          <w:color w:val="000000"/>
                          <w:sz w:val="14"/>
                        </w:rPr>
                        <w:tab/>
                      </w:r>
                      <w:r>
                        <w:rPr>
                          <w:color w:val="000000"/>
                          <w:spacing w:val="-10"/>
                          <w:sz w:val="14"/>
                        </w:rPr>
                        <w:t>$</w:t>
                      </w:r>
                      <w:r>
                        <w:rPr>
                          <w:color w:val="000000"/>
                          <w:sz w:val="14"/>
                        </w:rPr>
                        <w:tab/>
                        <w:t>(14)</w:t>
                      </w:r>
                      <w:r>
                        <w:rPr>
                          <w:color w:val="000000"/>
                          <w:spacing w:val="55"/>
                          <w:sz w:val="14"/>
                        </w:rPr>
                        <w:t>  </w:t>
                      </w:r>
                      <w:r>
                        <w:rPr>
                          <w:color w:val="000000"/>
                          <w:spacing w:val="-10"/>
                          <w:sz w:val="14"/>
                        </w:rPr>
                        <w:t>$</w:t>
                      </w:r>
                      <w:r>
                        <w:rPr>
                          <w:color w:val="000000"/>
                          <w:sz w:val="14"/>
                        </w:rPr>
                        <w:tab/>
                      </w:r>
                      <w:r>
                        <w:rPr>
                          <w:color w:val="000000"/>
                          <w:spacing w:val="-5"/>
                          <w:sz w:val="14"/>
                        </w:rPr>
                        <w:t>391</w:t>
                      </w:r>
                    </w:p>
                  </w:txbxContent>
                </v:textbox>
                <v:fill type="solid"/>
                <w10:wrap type="topAndBottom"/>
              </v:shape>
            </w:pict>
          </mc:Fallback>
        </mc:AlternateContent>
      </w:r>
    </w:p>
    <w:p>
      <w:pPr>
        <w:spacing w:line="152" w:lineRule="exact" w:before="0"/>
        <w:ind w:left="462" w:right="0" w:firstLine="0"/>
        <w:jc w:val="left"/>
        <w:rPr>
          <w:sz w:val="14"/>
        </w:rPr>
      </w:pPr>
      <w:r>
        <w:rPr>
          <w:sz w:val="14"/>
        </w:rPr>
        <w:t>Amounts</w:t>
      </w:r>
      <w:r>
        <w:rPr>
          <w:spacing w:val="-1"/>
          <w:sz w:val="14"/>
        </w:rPr>
        <w:t> </w:t>
      </w:r>
      <w:r>
        <w:rPr>
          <w:sz w:val="14"/>
        </w:rPr>
        <w:t>reclassified</w:t>
      </w:r>
      <w:r>
        <w:rPr>
          <w:spacing w:val="-1"/>
          <w:sz w:val="14"/>
        </w:rPr>
        <w:t> </w:t>
      </w:r>
      <w:r>
        <w:rPr>
          <w:sz w:val="14"/>
        </w:rPr>
        <w:t>from</w:t>
      </w:r>
      <w:r>
        <w:rPr>
          <w:spacing w:val="-1"/>
          <w:sz w:val="14"/>
        </w:rPr>
        <w:t> </w:t>
      </w:r>
      <w:r>
        <w:rPr>
          <w:sz w:val="14"/>
        </w:rPr>
        <w:t>accumulated</w:t>
      </w:r>
      <w:r>
        <w:rPr>
          <w:spacing w:val="-1"/>
          <w:sz w:val="14"/>
        </w:rPr>
        <w:t> </w:t>
      </w:r>
      <w:r>
        <w:rPr>
          <w:sz w:val="14"/>
        </w:rPr>
        <w:t>other</w:t>
      </w:r>
      <w:r>
        <w:rPr>
          <w:spacing w:val="-1"/>
          <w:sz w:val="14"/>
        </w:rPr>
        <w:t> </w:t>
      </w:r>
      <w:r>
        <w:rPr>
          <w:sz w:val="14"/>
        </w:rPr>
        <w:t>comprehensive</w:t>
      </w:r>
      <w:r>
        <w:rPr>
          <w:spacing w:val="-1"/>
          <w:sz w:val="14"/>
        </w:rPr>
        <w:t> </w:t>
      </w:r>
      <w:r>
        <w:rPr>
          <w:spacing w:val="-2"/>
          <w:sz w:val="14"/>
        </w:rPr>
        <w:t>income</w:t>
      </w:r>
    </w:p>
    <w:p>
      <w:pPr>
        <w:tabs>
          <w:tab w:pos="7111" w:val="left" w:leader="none"/>
          <w:tab w:pos="10086" w:val="left" w:leader="none"/>
          <w:tab w:pos="11557" w:val="right" w:leader="none"/>
        </w:tabs>
        <w:spacing w:line="153" w:lineRule="exact" w:before="0"/>
        <w:ind w:left="615" w:right="0" w:firstLine="0"/>
        <w:jc w:val="left"/>
        <w:rPr>
          <w:sz w:val="14"/>
        </w:rPr>
      </w:pPr>
      <w:r>
        <w:rPr>
          <w:sz w:val="14"/>
        </w:rPr>
        <w:t>(loss)</w:t>
      </w:r>
      <w:r>
        <w:rPr>
          <w:spacing w:val="-5"/>
          <w:sz w:val="14"/>
        </w:rPr>
        <w:t> </w:t>
      </w:r>
      <w:r>
        <w:rPr>
          <w:spacing w:val="-5"/>
          <w:position w:val="3"/>
          <w:sz w:val="11"/>
        </w:rPr>
        <w:t>(5)</w:t>
      </w:r>
      <w:r>
        <w:rPr>
          <w:position w:val="3"/>
          <w:sz w:val="11"/>
        </w:rPr>
        <w:tab/>
      </w:r>
      <w:r>
        <w:rPr>
          <w:spacing w:val="-5"/>
          <w:sz w:val="14"/>
        </w:rPr>
        <w:t>18</w:t>
      </w:r>
      <w:r>
        <w:rPr>
          <w:sz w:val="14"/>
        </w:rPr>
        <w:tab/>
      </w:r>
      <w:r>
        <w:rPr>
          <w:spacing w:val="-10"/>
          <w:sz w:val="14"/>
        </w:rPr>
        <w:t>5</w:t>
      </w:r>
      <w:r>
        <w:rPr>
          <w:sz w:val="14"/>
        </w:rPr>
        <w:tab/>
      </w:r>
      <w:r>
        <w:rPr>
          <w:spacing w:val="-5"/>
          <w:sz w:val="14"/>
        </w:rPr>
        <w:t>23</w:t>
      </w:r>
    </w:p>
    <w:p>
      <w:pPr>
        <w:tabs>
          <w:tab w:pos="5710" w:val="left" w:leader="none"/>
          <w:tab w:pos="11557" w:val="right" w:leader="none"/>
        </w:tabs>
        <w:spacing w:line="158" w:lineRule="exact" w:before="0"/>
        <w:ind w:left="462" w:right="0" w:firstLine="0"/>
        <w:jc w:val="left"/>
        <w:rPr>
          <w:sz w:val="14"/>
        </w:rPr>
      </w:pPr>
      <w:r>
        <w:rPr/>
        <mc:AlternateContent>
          <mc:Choice Requires="wps">
            <w:drawing>
              <wp:anchor distT="0" distB="0" distL="0" distR="0" allowOverlap="1" layoutInCell="1" locked="0" behindDoc="1" simplePos="0" relativeHeight="474171392">
                <wp:simplePos x="0" y="0"/>
                <wp:positionH relativeFrom="page">
                  <wp:posOffset>226488</wp:posOffset>
                </wp:positionH>
                <wp:positionV relativeFrom="paragraph">
                  <wp:posOffset>160</wp:posOffset>
                </wp:positionV>
                <wp:extent cx="7312659" cy="105410"/>
                <wp:effectExtent l="0" t="0" r="0" b="0"/>
                <wp:wrapNone/>
                <wp:docPr id="853" name="Group 853"/>
                <wp:cNvGraphicFramePr>
                  <a:graphicFrameLocks/>
                </wp:cNvGraphicFramePr>
                <a:graphic>
                  <a:graphicData uri="http://schemas.microsoft.com/office/word/2010/wordprocessingGroup">
                    <wpg:wgp>
                      <wpg:cNvPr id="853" name="Group 853"/>
                      <wpg:cNvGrpSpPr/>
                      <wpg:grpSpPr>
                        <a:xfrm>
                          <a:off x="0" y="0"/>
                          <a:ext cx="7312659" cy="105410"/>
                          <a:chExt cx="7312659" cy="105410"/>
                        </a:xfrm>
                      </wpg:grpSpPr>
                      <wps:wsp>
                        <wps:cNvPr id="854" name="Graphic 854"/>
                        <wps:cNvSpPr/>
                        <wps:spPr>
                          <a:xfrm>
                            <a:off x="0" y="0"/>
                            <a:ext cx="2807335" cy="105410"/>
                          </a:xfrm>
                          <a:custGeom>
                            <a:avLst/>
                            <a:gdLst/>
                            <a:ahLst/>
                            <a:cxnLst/>
                            <a:rect l="l" t="t" r="r" b="b"/>
                            <a:pathLst>
                              <a:path w="2807335" h="105410">
                                <a:moveTo>
                                  <a:pt x="0" y="0"/>
                                </a:moveTo>
                                <a:lnTo>
                                  <a:pt x="2806839" y="0"/>
                                </a:lnTo>
                                <a:lnTo>
                                  <a:pt x="280683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55" name="Graphic 855"/>
                        <wps:cNvSpPr/>
                        <wps:spPr>
                          <a:xfrm>
                            <a:off x="0" y="97066"/>
                            <a:ext cx="2807335" cy="8255"/>
                          </a:xfrm>
                          <a:custGeom>
                            <a:avLst/>
                            <a:gdLst/>
                            <a:ahLst/>
                            <a:cxnLst/>
                            <a:rect l="l" t="t" r="r" b="b"/>
                            <a:pathLst>
                              <a:path w="2807335" h="8255">
                                <a:moveTo>
                                  <a:pt x="0" y="0"/>
                                </a:moveTo>
                                <a:lnTo>
                                  <a:pt x="2806839" y="0"/>
                                </a:lnTo>
                                <a:lnTo>
                                  <a:pt x="280683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56" name="Graphic 856"/>
                        <wps:cNvSpPr/>
                        <wps:spPr>
                          <a:xfrm>
                            <a:off x="2806839"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57" name="Graphic 857"/>
                        <wps:cNvSpPr/>
                        <wps:spPr>
                          <a:xfrm>
                            <a:off x="2806839"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58" name="Graphic 858"/>
                        <wps:cNvSpPr/>
                        <wps:spPr>
                          <a:xfrm>
                            <a:off x="2879639" y="0"/>
                            <a:ext cx="89535" cy="105410"/>
                          </a:xfrm>
                          <a:custGeom>
                            <a:avLst/>
                            <a:gdLst/>
                            <a:ahLst/>
                            <a:cxnLst/>
                            <a:rect l="l" t="t" r="r" b="b"/>
                            <a:pathLst>
                              <a:path w="89535" h="105410">
                                <a:moveTo>
                                  <a:pt x="0" y="0"/>
                                </a:moveTo>
                                <a:lnTo>
                                  <a:pt x="88977" y="0"/>
                                </a:lnTo>
                                <a:lnTo>
                                  <a:pt x="88977"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59" name="Graphic 859"/>
                        <wps:cNvSpPr/>
                        <wps:spPr>
                          <a:xfrm>
                            <a:off x="2879639" y="97066"/>
                            <a:ext cx="89535" cy="8255"/>
                          </a:xfrm>
                          <a:custGeom>
                            <a:avLst/>
                            <a:gdLst/>
                            <a:ahLst/>
                            <a:cxnLst/>
                            <a:rect l="l" t="t" r="r" b="b"/>
                            <a:pathLst>
                              <a:path w="89535" h="8255">
                                <a:moveTo>
                                  <a:pt x="0" y="0"/>
                                </a:moveTo>
                                <a:lnTo>
                                  <a:pt x="88977" y="0"/>
                                </a:lnTo>
                                <a:lnTo>
                                  <a:pt x="88977"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60" name="Graphic 860"/>
                        <wps:cNvSpPr/>
                        <wps:spPr>
                          <a:xfrm>
                            <a:off x="2968617" y="0"/>
                            <a:ext cx="647700" cy="105410"/>
                          </a:xfrm>
                          <a:custGeom>
                            <a:avLst/>
                            <a:gdLst/>
                            <a:ahLst/>
                            <a:cxnLst/>
                            <a:rect l="l" t="t" r="r" b="b"/>
                            <a:pathLst>
                              <a:path w="647700" h="105410">
                                <a:moveTo>
                                  <a:pt x="0" y="0"/>
                                </a:moveTo>
                                <a:lnTo>
                                  <a:pt x="647110" y="0"/>
                                </a:lnTo>
                                <a:lnTo>
                                  <a:pt x="6471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61" name="Graphic 861"/>
                        <wps:cNvSpPr/>
                        <wps:spPr>
                          <a:xfrm>
                            <a:off x="2968617" y="97066"/>
                            <a:ext cx="647700" cy="8255"/>
                          </a:xfrm>
                          <a:custGeom>
                            <a:avLst/>
                            <a:gdLst/>
                            <a:ahLst/>
                            <a:cxnLst/>
                            <a:rect l="l" t="t" r="r" b="b"/>
                            <a:pathLst>
                              <a:path w="647700" h="8255">
                                <a:moveTo>
                                  <a:pt x="0" y="0"/>
                                </a:moveTo>
                                <a:lnTo>
                                  <a:pt x="647110" y="0"/>
                                </a:lnTo>
                                <a:lnTo>
                                  <a:pt x="647110"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62" name="Graphic 862"/>
                        <wps:cNvSpPr/>
                        <wps:spPr>
                          <a:xfrm>
                            <a:off x="3615727"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63" name="Graphic 863"/>
                        <wps:cNvSpPr/>
                        <wps:spPr>
                          <a:xfrm>
                            <a:off x="3615727"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64" name="Graphic 864"/>
                        <wps:cNvSpPr/>
                        <wps:spPr>
                          <a:xfrm>
                            <a:off x="3688527"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65" name="Graphic 865"/>
                        <wps:cNvSpPr/>
                        <wps:spPr>
                          <a:xfrm>
                            <a:off x="3688527"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66" name="Graphic 866"/>
                        <wps:cNvSpPr/>
                        <wps:spPr>
                          <a:xfrm>
                            <a:off x="3761327" y="0"/>
                            <a:ext cx="97155" cy="105410"/>
                          </a:xfrm>
                          <a:custGeom>
                            <a:avLst/>
                            <a:gdLst/>
                            <a:ahLst/>
                            <a:cxnLst/>
                            <a:rect l="l" t="t" r="r" b="b"/>
                            <a:pathLst>
                              <a:path w="97155" h="105410">
                                <a:moveTo>
                                  <a:pt x="0" y="0"/>
                                </a:moveTo>
                                <a:lnTo>
                                  <a:pt x="97066" y="0"/>
                                </a:lnTo>
                                <a:lnTo>
                                  <a:pt x="97066"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67" name="Graphic 867"/>
                        <wps:cNvSpPr/>
                        <wps:spPr>
                          <a:xfrm>
                            <a:off x="3761327" y="97066"/>
                            <a:ext cx="97155" cy="8255"/>
                          </a:xfrm>
                          <a:custGeom>
                            <a:avLst/>
                            <a:gdLst/>
                            <a:ahLst/>
                            <a:cxnLst/>
                            <a:rect l="l" t="t" r="r" b="b"/>
                            <a:pathLst>
                              <a:path w="97155" h="8255">
                                <a:moveTo>
                                  <a:pt x="0" y="0"/>
                                </a:moveTo>
                                <a:lnTo>
                                  <a:pt x="97066" y="0"/>
                                </a:lnTo>
                                <a:lnTo>
                                  <a:pt x="97066"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68" name="Graphic 868"/>
                        <wps:cNvSpPr/>
                        <wps:spPr>
                          <a:xfrm>
                            <a:off x="3858393" y="0"/>
                            <a:ext cx="647700" cy="105410"/>
                          </a:xfrm>
                          <a:custGeom>
                            <a:avLst/>
                            <a:gdLst/>
                            <a:ahLst/>
                            <a:cxnLst/>
                            <a:rect l="l" t="t" r="r" b="b"/>
                            <a:pathLst>
                              <a:path w="647700" h="105410">
                                <a:moveTo>
                                  <a:pt x="0" y="0"/>
                                </a:moveTo>
                                <a:lnTo>
                                  <a:pt x="647110" y="0"/>
                                </a:lnTo>
                                <a:lnTo>
                                  <a:pt x="6471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69" name="Graphic 869"/>
                        <wps:cNvSpPr/>
                        <wps:spPr>
                          <a:xfrm>
                            <a:off x="3858393" y="97066"/>
                            <a:ext cx="647700" cy="8255"/>
                          </a:xfrm>
                          <a:custGeom>
                            <a:avLst/>
                            <a:gdLst/>
                            <a:ahLst/>
                            <a:cxnLst/>
                            <a:rect l="l" t="t" r="r" b="b"/>
                            <a:pathLst>
                              <a:path w="647700" h="8255">
                                <a:moveTo>
                                  <a:pt x="0" y="0"/>
                                </a:moveTo>
                                <a:lnTo>
                                  <a:pt x="647110" y="0"/>
                                </a:lnTo>
                                <a:lnTo>
                                  <a:pt x="647110"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70" name="Graphic 870"/>
                        <wps:cNvSpPr/>
                        <wps:spPr>
                          <a:xfrm>
                            <a:off x="4505503"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71" name="Graphic 871"/>
                        <wps:cNvSpPr/>
                        <wps:spPr>
                          <a:xfrm>
                            <a:off x="4505503"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72" name="Graphic 872"/>
                        <wps:cNvSpPr/>
                        <wps:spPr>
                          <a:xfrm>
                            <a:off x="4578303"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73" name="Graphic 873"/>
                        <wps:cNvSpPr/>
                        <wps:spPr>
                          <a:xfrm>
                            <a:off x="4578303"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74" name="Graphic 874"/>
                        <wps:cNvSpPr/>
                        <wps:spPr>
                          <a:xfrm>
                            <a:off x="4651103" y="0"/>
                            <a:ext cx="154305" cy="105410"/>
                          </a:xfrm>
                          <a:custGeom>
                            <a:avLst/>
                            <a:gdLst/>
                            <a:ahLst/>
                            <a:cxnLst/>
                            <a:rect l="l" t="t" r="r" b="b"/>
                            <a:pathLst>
                              <a:path w="154305" h="105410">
                                <a:moveTo>
                                  <a:pt x="0" y="0"/>
                                </a:moveTo>
                                <a:lnTo>
                                  <a:pt x="153688" y="0"/>
                                </a:lnTo>
                                <a:lnTo>
                                  <a:pt x="153688"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75" name="Graphic 875"/>
                        <wps:cNvSpPr/>
                        <wps:spPr>
                          <a:xfrm>
                            <a:off x="4651103" y="97066"/>
                            <a:ext cx="154305" cy="8255"/>
                          </a:xfrm>
                          <a:custGeom>
                            <a:avLst/>
                            <a:gdLst/>
                            <a:ahLst/>
                            <a:cxnLst/>
                            <a:rect l="l" t="t" r="r" b="b"/>
                            <a:pathLst>
                              <a:path w="154305" h="8255">
                                <a:moveTo>
                                  <a:pt x="0" y="0"/>
                                </a:moveTo>
                                <a:lnTo>
                                  <a:pt x="153688" y="0"/>
                                </a:lnTo>
                                <a:lnTo>
                                  <a:pt x="153688"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76" name="Graphic 876"/>
                        <wps:cNvSpPr/>
                        <wps:spPr>
                          <a:xfrm>
                            <a:off x="4804791" y="0"/>
                            <a:ext cx="647700" cy="105410"/>
                          </a:xfrm>
                          <a:custGeom>
                            <a:avLst/>
                            <a:gdLst/>
                            <a:ahLst/>
                            <a:cxnLst/>
                            <a:rect l="l" t="t" r="r" b="b"/>
                            <a:pathLst>
                              <a:path w="647700" h="105410">
                                <a:moveTo>
                                  <a:pt x="0" y="0"/>
                                </a:moveTo>
                                <a:lnTo>
                                  <a:pt x="647110" y="0"/>
                                </a:lnTo>
                                <a:lnTo>
                                  <a:pt x="6471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77" name="Graphic 877"/>
                        <wps:cNvSpPr/>
                        <wps:spPr>
                          <a:xfrm>
                            <a:off x="4804791" y="97066"/>
                            <a:ext cx="647700" cy="8255"/>
                          </a:xfrm>
                          <a:custGeom>
                            <a:avLst/>
                            <a:gdLst/>
                            <a:ahLst/>
                            <a:cxnLst/>
                            <a:rect l="l" t="t" r="r" b="b"/>
                            <a:pathLst>
                              <a:path w="647700" h="8255">
                                <a:moveTo>
                                  <a:pt x="0" y="0"/>
                                </a:moveTo>
                                <a:lnTo>
                                  <a:pt x="647110" y="0"/>
                                </a:lnTo>
                                <a:lnTo>
                                  <a:pt x="647110"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78" name="Graphic 878"/>
                        <wps:cNvSpPr/>
                        <wps:spPr>
                          <a:xfrm>
                            <a:off x="5451902"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79" name="Graphic 879"/>
                        <wps:cNvSpPr/>
                        <wps:spPr>
                          <a:xfrm>
                            <a:off x="5451902"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80" name="Graphic 880"/>
                        <wps:cNvSpPr/>
                        <wps:spPr>
                          <a:xfrm>
                            <a:off x="5524701"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81" name="Graphic 881"/>
                        <wps:cNvSpPr/>
                        <wps:spPr>
                          <a:xfrm>
                            <a:off x="5524701"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82" name="Graphic 882"/>
                        <wps:cNvSpPr/>
                        <wps:spPr>
                          <a:xfrm>
                            <a:off x="5597502" y="0"/>
                            <a:ext cx="105410" cy="105410"/>
                          </a:xfrm>
                          <a:custGeom>
                            <a:avLst/>
                            <a:gdLst/>
                            <a:ahLst/>
                            <a:cxnLst/>
                            <a:rect l="l" t="t" r="r" b="b"/>
                            <a:pathLst>
                              <a:path w="105410" h="105410">
                                <a:moveTo>
                                  <a:pt x="0" y="0"/>
                                </a:moveTo>
                                <a:lnTo>
                                  <a:pt x="105155" y="0"/>
                                </a:lnTo>
                                <a:lnTo>
                                  <a:pt x="105155"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83" name="Graphic 883"/>
                        <wps:cNvSpPr/>
                        <wps:spPr>
                          <a:xfrm>
                            <a:off x="5597502" y="97066"/>
                            <a:ext cx="105410" cy="8255"/>
                          </a:xfrm>
                          <a:custGeom>
                            <a:avLst/>
                            <a:gdLst/>
                            <a:ahLst/>
                            <a:cxnLst/>
                            <a:rect l="l" t="t" r="r" b="b"/>
                            <a:pathLst>
                              <a:path w="105410" h="8255">
                                <a:moveTo>
                                  <a:pt x="0" y="0"/>
                                </a:moveTo>
                                <a:lnTo>
                                  <a:pt x="105155" y="0"/>
                                </a:lnTo>
                                <a:lnTo>
                                  <a:pt x="105155"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84" name="Graphic 884"/>
                        <wps:cNvSpPr/>
                        <wps:spPr>
                          <a:xfrm>
                            <a:off x="5702657" y="0"/>
                            <a:ext cx="647700" cy="105410"/>
                          </a:xfrm>
                          <a:custGeom>
                            <a:avLst/>
                            <a:gdLst/>
                            <a:ahLst/>
                            <a:cxnLst/>
                            <a:rect l="l" t="t" r="r" b="b"/>
                            <a:pathLst>
                              <a:path w="647700" h="105410">
                                <a:moveTo>
                                  <a:pt x="0" y="0"/>
                                </a:moveTo>
                                <a:lnTo>
                                  <a:pt x="647110" y="0"/>
                                </a:lnTo>
                                <a:lnTo>
                                  <a:pt x="6471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85" name="Graphic 885"/>
                        <wps:cNvSpPr/>
                        <wps:spPr>
                          <a:xfrm>
                            <a:off x="5702657" y="97066"/>
                            <a:ext cx="647700" cy="8255"/>
                          </a:xfrm>
                          <a:custGeom>
                            <a:avLst/>
                            <a:gdLst/>
                            <a:ahLst/>
                            <a:cxnLst/>
                            <a:rect l="l" t="t" r="r" b="b"/>
                            <a:pathLst>
                              <a:path w="647700" h="8255">
                                <a:moveTo>
                                  <a:pt x="0" y="0"/>
                                </a:moveTo>
                                <a:lnTo>
                                  <a:pt x="647110" y="0"/>
                                </a:lnTo>
                                <a:lnTo>
                                  <a:pt x="647110"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86" name="Graphic 886"/>
                        <wps:cNvSpPr/>
                        <wps:spPr>
                          <a:xfrm>
                            <a:off x="6349767"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87" name="Graphic 887"/>
                        <wps:cNvSpPr/>
                        <wps:spPr>
                          <a:xfrm>
                            <a:off x="6349767"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88" name="Graphic 888"/>
                        <wps:cNvSpPr/>
                        <wps:spPr>
                          <a:xfrm>
                            <a:off x="6422567"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89" name="Graphic 889"/>
                        <wps:cNvSpPr/>
                        <wps:spPr>
                          <a:xfrm>
                            <a:off x="6422567"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90" name="Graphic 890"/>
                        <wps:cNvSpPr/>
                        <wps:spPr>
                          <a:xfrm>
                            <a:off x="6495367" y="0"/>
                            <a:ext cx="89535" cy="105410"/>
                          </a:xfrm>
                          <a:custGeom>
                            <a:avLst/>
                            <a:gdLst/>
                            <a:ahLst/>
                            <a:cxnLst/>
                            <a:rect l="l" t="t" r="r" b="b"/>
                            <a:pathLst>
                              <a:path w="89535" h="105410">
                                <a:moveTo>
                                  <a:pt x="0" y="0"/>
                                </a:moveTo>
                                <a:lnTo>
                                  <a:pt x="88977" y="0"/>
                                </a:lnTo>
                                <a:lnTo>
                                  <a:pt x="88977"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91" name="Graphic 891"/>
                        <wps:cNvSpPr/>
                        <wps:spPr>
                          <a:xfrm>
                            <a:off x="6495367" y="97066"/>
                            <a:ext cx="89535" cy="8255"/>
                          </a:xfrm>
                          <a:custGeom>
                            <a:avLst/>
                            <a:gdLst/>
                            <a:ahLst/>
                            <a:cxnLst/>
                            <a:rect l="l" t="t" r="r" b="b"/>
                            <a:pathLst>
                              <a:path w="89535" h="8255">
                                <a:moveTo>
                                  <a:pt x="0" y="0"/>
                                </a:moveTo>
                                <a:lnTo>
                                  <a:pt x="88977" y="0"/>
                                </a:lnTo>
                                <a:lnTo>
                                  <a:pt x="88977"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92" name="Graphic 892"/>
                        <wps:cNvSpPr/>
                        <wps:spPr>
                          <a:xfrm>
                            <a:off x="6584344" y="0"/>
                            <a:ext cx="655320" cy="105410"/>
                          </a:xfrm>
                          <a:custGeom>
                            <a:avLst/>
                            <a:gdLst/>
                            <a:ahLst/>
                            <a:cxnLst/>
                            <a:rect l="l" t="t" r="r" b="b"/>
                            <a:pathLst>
                              <a:path w="655320" h="105410">
                                <a:moveTo>
                                  <a:pt x="0" y="0"/>
                                </a:moveTo>
                                <a:lnTo>
                                  <a:pt x="655198" y="0"/>
                                </a:lnTo>
                                <a:lnTo>
                                  <a:pt x="655198"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93" name="Graphic 893"/>
                        <wps:cNvSpPr/>
                        <wps:spPr>
                          <a:xfrm>
                            <a:off x="6584344" y="97066"/>
                            <a:ext cx="655320" cy="8255"/>
                          </a:xfrm>
                          <a:custGeom>
                            <a:avLst/>
                            <a:gdLst/>
                            <a:ahLst/>
                            <a:cxnLst/>
                            <a:rect l="l" t="t" r="r" b="b"/>
                            <a:pathLst>
                              <a:path w="655320" h="8255">
                                <a:moveTo>
                                  <a:pt x="0" y="0"/>
                                </a:moveTo>
                                <a:lnTo>
                                  <a:pt x="655198" y="0"/>
                                </a:lnTo>
                                <a:lnTo>
                                  <a:pt x="655198"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894" name="Graphic 894"/>
                        <wps:cNvSpPr/>
                        <wps:spPr>
                          <a:xfrm>
                            <a:off x="7239543"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895" name="Graphic 895"/>
                        <wps:cNvSpPr/>
                        <wps:spPr>
                          <a:xfrm>
                            <a:off x="7239543"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833740pt;margin-top:.012626pt;width:575.8pt;height:8.3pt;mso-position-horizontal-relative:page;mso-position-vertical-relative:paragraph;z-index:-29145088" id="docshapegroup852" coordorigin="357,0" coordsize="11516,166">
                <v:rect style="position:absolute;left:356;top:0;width:4421;height:166" id="docshape853" filled="true" fillcolor="#ccedff" stroked="false">
                  <v:fill type="solid"/>
                </v:rect>
                <v:rect style="position:absolute;left:356;top:153;width:4421;height:13" id="docshape854" filled="true" fillcolor="#000000" stroked="false">
                  <v:fill type="solid"/>
                </v:rect>
                <v:rect style="position:absolute;left:4776;top:0;width:115;height:166" id="docshape855" filled="true" fillcolor="#ccedff" stroked="false">
                  <v:fill type="solid"/>
                </v:rect>
                <v:rect style="position:absolute;left:4776;top:153;width:115;height:13" id="docshape856" filled="true" fillcolor="#000000" stroked="false">
                  <v:fill type="solid"/>
                </v:rect>
                <v:rect style="position:absolute;left:4891;top:0;width:141;height:166" id="docshape857" filled="true" fillcolor="#ccedff" stroked="false">
                  <v:fill type="solid"/>
                </v:rect>
                <v:rect style="position:absolute;left:4891;top:153;width:141;height:13" id="docshape858" filled="true" fillcolor="#000000" stroked="false">
                  <v:fill type="solid"/>
                </v:rect>
                <v:rect style="position:absolute;left:5031;top:0;width:1020;height:166" id="docshape859" filled="true" fillcolor="#ccedff" stroked="false">
                  <v:fill type="solid"/>
                </v:rect>
                <v:rect style="position:absolute;left:5031;top:153;width:1020;height:13" id="docshape860" filled="true" fillcolor="#000000" stroked="false">
                  <v:fill type="solid"/>
                </v:rect>
                <v:rect style="position:absolute;left:6050;top:0;width:115;height:166" id="docshape861" filled="true" fillcolor="#ccedff" stroked="false">
                  <v:fill type="solid"/>
                </v:rect>
                <v:rect style="position:absolute;left:6050;top:153;width:115;height:13" id="docshape862" filled="true" fillcolor="#000000" stroked="false">
                  <v:fill type="solid"/>
                </v:rect>
                <v:rect style="position:absolute;left:6165;top:0;width:115;height:166" id="docshape863" filled="true" fillcolor="#ccedff" stroked="false">
                  <v:fill type="solid"/>
                </v:rect>
                <v:rect style="position:absolute;left:6165;top:153;width:115;height:13" id="docshape864" filled="true" fillcolor="#000000" stroked="false">
                  <v:fill type="solid"/>
                </v:rect>
                <v:rect style="position:absolute;left:6280;top:0;width:153;height:166" id="docshape865" filled="true" fillcolor="#ccedff" stroked="false">
                  <v:fill type="solid"/>
                </v:rect>
                <v:rect style="position:absolute;left:6280;top:153;width:153;height:13" id="docshape866" filled="true" fillcolor="#000000" stroked="false">
                  <v:fill type="solid"/>
                </v:rect>
                <v:rect style="position:absolute;left:6432;top:0;width:1020;height:166" id="docshape867" filled="true" fillcolor="#ccedff" stroked="false">
                  <v:fill type="solid"/>
                </v:rect>
                <v:rect style="position:absolute;left:6432;top:153;width:1020;height:13" id="docshape868" filled="true" fillcolor="#000000" stroked="false">
                  <v:fill type="solid"/>
                </v:rect>
                <v:rect style="position:absolute;left:7451;top:0;width:115;height:166" id="docshape869" filled="true" fillcolor="#ccedff" stroked="false">
                  <v:fill type="solid"/>
                </v:rect>
                <v:rect style="position:absolute;left:7451;top:153;width:115;height:13" id="docshape870" filled="true" fillcolor="#000000" stroked="false">
                  <v:fill type="solid"/>
                </v:rect>
                <v:rect style="position:absolute;left:7566;top:0;width:115;height:166" id="docshape871" filled="true" fillcolor="#ccedff" stroked="false">
                  <v:fill type="solid"/>
                </v:rect>
                <v:rect style="position:absolute;left:7566;top:153;width:115;height:13" id="docshape872" filled="true" fillcolor="#000000" stroked="false">
                  <v:fill type="solid"/>
                </v:rect>
                <v:rect style="position:absolute;left:7681;top:0;width:243;height:166" id="docshape873" filled="true" fillcolor="#ccedff" stroked="false">
                  <v:fill type="solid"/>
                </v:rect>
                <v:rect style="position:absolute;left:7681;top:153;width:243;height:13" id="docshape874" filled="true" fillcolor="#000000" stroked="false">
                  <v:fill type="solid"/>
                </v:rect>
                <v:rect style="position:absolute;left:7923;top:0;width:1020;height:166" id="docshape875" filled="true" fillcolor="#ccedff" stroked="false">
                  <v:fill type="solid"/>
                </v:rect>
                <v:rect style="position:absolute;left:7923;top:153;width:1020;height:13" id="docshape876" filled="true" fillcolor="#000000" stroked="false">
                  <v:fill type="solid"/>
                </v:rect>
                <v:rect style="position:absolute;left:8942;top:0;width:115;height:166" id="docshape877" filled="true" fillcolor="#ccedff" stroked="false">
                  <v:fill type="solid"/>
                </v:rect>
                <v:rect style="position:absolute;left:8942;top:153;width:115;height:13" id="docshape878" filled="true" fillcolor="#000000" stroked="false">
                  <v:fill type="solid"/>
                </v:rect>
                <v:rect style="position:absolute;left:9057;top:0;width:115;height:166" id="docshape879" filled="true" fillcolor="#ccedff" stroked="false">
                  <v:fill type="solid"/>
                </v:rect>
                <v:rect style="position:absolute;left:9057;top:153;width:115;height:13" id="docshape880" filled="true" fillcolor="#000000" stroked="false">
                  <v:fill type="solid"/>
                </v:rect>
                <v:rect style="position:absolute;left:9171;top:0;width:166;height:166" id="docshape881" filled="true" fillcolor="#ccedff" stroked="false">
                  <v:fill type="solid"/>
                </v:rect>
                <v:rect style="position:absolute;left:9171;top:153;width:166;height:13" id="docshape882" filled="true" fillcolor="#000000" stroked="false">
                  <v:fill type="solid"/>
                </v:rect>
                <v:rect style="position:absolute;left:9337;top:0;width:1020;height:166" id="docshape883" filled="true" fillcolor="#ccedff" stroked="false">
                  <v:fill type="solid"/>
                </v:rect>
                <v:rect style="position:absolute;left:9337;top:153;width:1020;height:13" id="docshape884" filled="true" fillcolor="#000000" stroked="false">
                  <v:fill type="solid"/>
                </v:rect>
                <v:rect style="position:absolute;left:10356;top:0;width:115;height:166" id="docshape885" filled="true" fillcolor="#ccedff" stroked="false">
                  <v:fill type="solid"/>
                </v:rect>
                <v:rect style="position:absolute;left:10356;top:153;width:115;height:13" id="docshape886" filled="true" fillcolor="#000000" stroked="false">
                  <v:fill type="solid"/>
                </v:rect>
                <v:rect style="position:absolute;left:10470;top:0;width:115;height:166" id="docshape887" filled="true" fillcolor="#ccedff" stroked="false">
                  <v:fill type="solid"/>
                </v:rect>
                <v:rect style="position:absolute;left:10470;top:153;width:115;height:13" id="docshape888" filled="true" fillcolor="#000000" stroked="false">
                  <v:fill type="solid"/>
                </v:rect>
                <v:rect style="position:absolute;left:10585;top:0;width:141;height:166" id="docshape889" filled="true" fillcolor="#ccedff" stroked="false">
                  <v:fill type="solid"/>
                </v:rect>
                <v:rect style="position:absolute;left:10585;top:153;width:141;height:13" id="docshape890" filled="true" fillcolor="#000000" stroked="false">
                  <v:fill type="solid"/>
                </v:rect>
                <v:rect style="position:absolute;left:10725;top:0;width:1032;height:166" id="docshape891" filled="true" fillcolor="#ccedff" stroked="false">
                  <v:fill type="solid"/>
                </v:rect>
                <v:rect style="position:absolute;left:10725;top:153;width:1032;height:13" id="docshape892" filled="true" fillcolor="#000000" stroked="false">
                  <v:fill type="solid"/>
                </v:rect>
                <v:rect style="position:absolute;left:11757;top:0;width:115;height:166" id="docshape893" filled="true" fillcolor="#ccedff" stroked="false">
                  <v:fill type="solid"/>
                </v:rect>
                <v:rect style="position:absolute;left:11757;top:153;width:115;height:13" id="docshape894" filled="true" fillcolor="#000000" stroked="false">
                  <v:fill type="solid"/>
                </v:rect>
                <w10:wrap type="none"/>
              </v:group>
            </w:pict>
          </mc:Fallback>
        </mc:AlternateContent>
      </w:r>
      <w:r>
        <w:rPr>
          <w:sz w:val="14"/>
        </w:rPr>
        <w:t>Equity</w:t>
      </w:r>
      <w:r>
        <w:rPr>
          <w:spacing w:val="-3"/>
          <w:sz w:val="14"/>
        </w:rPr>
        <w:t> </w:t>
      </w:r>
      <w:r>
        <w:rPr>
          <w:sz w:val="14"/>
        </w:rPr>
        <w:t>method</w:t>
      </w:r>
      <w:r>
        <w:rPr>
          <w:spacing w:val="-3"/>
          <w:sz w:val="14"/>
        </w:rPr>
        <w:t> </w:t>
      </w:r>
      <w:r>
        <w:rPr>
          <w:sz w:val="14"/>
        </w:rPr>
        <w:t>affiliates</w:t>
      </w:r>
      <w:r>
        <w:rPr>
          <w:spacing w:val="-3"/>
          <w:sz w:val="14"/>
        </w:rPr>
        <w:t> </w:t>
      </w:r>
      <w:r>
        <w:rPr>
          <w:spacing w:val="-5"/>
          <w:position w:val="3"/>
          <w:sz w:val="11"/>
        </w:rPr>
        <w:t>(6)</w:t>
      </w:r>
      <w:r>
        <w:rPr>
          <w:position w:val="3"/>
          <w:sz w:val="11"/>
        </w:rPr>
        <w:tab/>
      </w:r>
      <w:r>
        <w:rPr>
          <w:spacing w:val="-5"/>
          <w:sz w:val="14"/>
        </w:rPr>
        <w:t>17</w:t>
      </w:r>
      <w:r>
        <w:rPr>
          <w:sz w:val="14"/>
        </w:rPr>
        <w:tab/>
      </w:r>
      <w:r>
        <w:rPr>
          <w:spacing w:val="-5"/>
          <w:sz w:val="14"/>
        </w:rPr>
        <w:t>17</w:t>
      </w:r>
    </w:p>
    <w:p>
      <w:pPr>
        <w:tabs>
          <w:tab w:pos="5640" w:val="left" w:leader="none"/>
          <w:tab w:pos="7065" w:val="left" w:leader="none"/>
          <w:tab w:pos="10039" w:val="left" w:leader="none"/>
          <w:tab w:pos="11557" w:val="right" w:leader="none"/>
        </w:tabs>
        <w:spacing w:before="4"/>
        <w:ind w:left="309" w:right="0" w:firstLine="0"/>
        <w:jc w:val="left"/>
        <w:rPr>
          <w:sz w:val="14"/>
        </w:rPr>
      </w:pPr>
      <w:r>
        <w:rPr/>
        <mc:AlternateContent>
          <mc:Choice Requires="wps">
            <w:drawing>
              <wp:anchor distT="0" distB="0" distL="0" distR="0" allowOverlap="1" layoutInCell="1" locked="0" behindDoc="1" simplePos="0" relativeHeight="474171904">
                <wp:simplePos x="0" y="0"/>
                <wp:positionH relativeFrom="page">
                  <wp:posOffset>226488</wp:posOffset>
                </wp:positionH>
                <wp:positionV relativeFrom="paragraph">
                  <wp:posOffset>102103</wp:posOffset>
                </wp:positionV>
                <wp:extent cx="7312659" cy="129539"/>
                <wp:effectExtent l="0" t="0" r="0" b="0"/>
                <wp:wrapNone/>
                <wp:docPr id="896" name="Group 896"/>
                <wp:cNvGraphicFramePr>
                  <a:graphicFrameLocks/>
                </wp:cNvGraphicFramePr>
                <a:graphic>
                  <a:graphicData uri="http://schemas.microsoft.com/office/word/2010/wordprocessingGroup">
                    <wpg:wgp>
                      <wpg:cNvPr id="896" name="Group 896"/>
                      <wpg:cNvGrpSpPr/>
                      <wpg:grpSpPr>
                        <a:xfrm>
                          <a:off x="0" y="0"/>
                          <a:ext cx="7312659" cy="129539"/>
                          <a:chExt cx="7312659" cy="129539"/>
                        </a:xfrm>
                      </wpg:grpSpPr>
                      <wps:wsp>
                        <wps:cNvPr id="897" name="Graphic 897"/>
                        <wps:cNvSpPr/>
                        <wps:spPr>
                          <a:xfrm>
                            <a:off x="-9" y="9"/>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s:wsp>
                        <wps:cNvPr id="898" name="Graphic 898"/>
                        <wps:cNvSpPr/>
                        <wps:spPr>
                          <a:xfrm>
                            <a:off x="0" y="8088"/>
                            <a:ext cx="2807335" cy="121920"/>
                          </a:xfrm>
                          <a:custGeom>
                            <a:avLst/>
                            <a:gdLst/>
                            <a:ahLst/>
                            <a:cxnLst/>
                            <a:rect l="l" t="t" r="r" b="b"/>
                            <a:pathLst>
                              <a:path w="2807335" h="121920">
                                <a:moveTo>
                                  <a:pt x="0" y="0"/>
                                </a:moveTo>
                                <a:lnTo>
                                  <a:pt x="2806839" y="0"/>
                                </a:lnTo>
                                <a:lnTo>
                                  <a:pt x="280683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899" name="Graphic 899"/>
                        <wps:cNvSpPr/>
                        <wps:spPr>
                          <a:xfrm>
                            <a:off x="-9" y="105165"/>
                            <a:ext cx="2807335" cy="24765"/>
                          </a:xfrm>
                          <a:custGeom>
                            <a:avLst/>
                            <a:gdLst/>
                            <a:ahLst/>
                            <a:cxnLst/>
                            <a:rect l="l" t="t" r="r" b="b"/>
                            <a:pathLst>
                              <a:path w="2807335" h="24765">
                                <a:moveTo>
                                  <a:pt x="2806839" y="16167"/>
                                </a:moveTo>
                                <a:lnTo>
                                  <a:pt x="0" y="16167"/>
                                </a:lnTo>
                                <a:lnTo>
                                  <a:pt x="0" y="24257"/>
                                </a:lnTo>
                                <a:lnTo>
                                  <a:pt x="2806839" y="24257"/>
                                </a:lnTo>
                                <a:lnTo>
                                  <a:pt x="2806839" y="16167"/>
                                </a:lnTo>
                                <a:close/>
                              </a:path>
                              <a:path w="2807335" h="24765">
                                <a:moveTo>
                                  <a:pt x="2806839" y="0"/>
                                </a:moveTo>
                                <a:lnTo>
                                  <a:pt x="0" y="0"/>
                                </a:lnTo>
                                <a:lnTo>
                                  <a:pt x="0" y="8089"/>
                                </a:lnTo>
                                <a:lnTo>
                                  <a:pt x="2806839" y="8089"/>
                                </a:lnTo>
                                <a:lnTo>
                                  <a:pt x="2806839" y="0"/>
                                </a:lnTo>
                                <a:close/>
                              </a:path>
                            </a:pathLst>
                          </a:custGeom>
                          <a:solidFill>
                            <a:srgbClr val="000000"/>
                          </a:solidFill>
                        </wps:spPr>
                        <wps:bodyPr wrap="square" lIns="0" tIns="0" rIns="0" bIns="0" rtlCol="0">
                          <a:prstTxWarp prst="textNoShape">
                            <a:avLst/>
                          </a:prstTxWarp>
                          <a:noAutofit/>
                        </wps:bodyPr>
                      </wps:wsp>
                      <wps:wsp>
                        <wps:cNvPr id="900" name="Graphic 900"/>
                        <wps:cNvSpPr/>
                        <wps:spPr>
                          <a:xfrm>
                            <a:off x="2806839"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01" name="Graphic 901"/>
                        <wps:cNvSpPr/>
                        <wps:spPr>
                          <a:xfrm>
                            <a:off x="2806830" y="105165"/>
                            <a:ext cx="73025" cy="24765"/>
                          </a:xfrm>
                          <a:custGeom>
                            <a:avLst/>
                            <a:gdLst/>
                            <a:ahLst/>
                            <a:cxnLst/>
                            <a:rect l="l" t="t" r="r" b="b"/>
                            <a:pathLst>
                              <a:path w="73025" h="24765">
                                <a:moveTo>
                                  <a:pt x="72809" y="16167"/>
                                </a:moveTo>
                                <a:lnTo>
                                  <a:pt x="0" y="16167"/>
                                </a:lnTo>
                                <a:lnTo>
                                  <a:pt x="0" y="24257"/>
                                </a:lnTo>
                                <a:lnTo>
                                  <a:pt x="72809" y="24257"/>
                                </a:lnTo>
                                <a:lnTo>
                                  <a:pt x="72809" y="16167"/>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902" name="Graphic 902"/>
                        <wps:cNvSpPr/>
                        <wps:spPr>
                          <a:xfrm>
                            <a:off x="2879639" y="8088"/>
                            <a:ext cx="89535" cy="121920"/>
                          </a:xfrm>
                          <a:custGeom>
                            <a:avLst/>
                            <a:gdLst/>
                            <a:ahLst/>
                            <a:cxnLst/>
                            <a:rect l="l" t="t" r="r" b="b"/>
                            <a:pathLst>
                              <a:path w="89535" h="121920">
                                <a:moveTo>
                                  <a:pt x="0" y="0"/>
                                </a:moveTo>
                                <a:lnTo>
                                  <a:pt x="88977" y="0"/>
                                </a:lnTo>
                                <a:lnTo>
                                  <a:pt x="88977"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03" name="Graphic 903"/>
                        <wps:cNvSpPr/>
                        <wps:spPr>
                          <a:xfrm>
                            <a:off x="2879639" y="105165"/>
                            <a:ext cx="89535" cy="24765"/>
                          </a:xfrm>
                          <a:custGeom>
                            <a:avLst/>
                            <a:gdLst/>
                            <a:ahLst/>
                            <a:cxnLst/>
                            <a:rect l="l" t="t" r="r" b="b"/>
                            <a:pathLst>
                              <a:path w="89535" h="24765">
                                <a:moveTo>
                                  <a:pt x="88976" y="16167"/>
                                </a:moveTo>
                                <a:lnTo>
                                  <a:pt x="0" y="16167"/>
                                </a:lnTo>
                                <a:lnTo>
                                  <a:pt x="0" y="24257"/>
                                </a:lnTo>
                                <a:lnTo>
                                  <a:pt x="88976" y="24257"/>
                                </a:lnTo>
                                <a:lnTo>
                                  <a:pt x="88976" y="16167"/>
                                </a:lnTo>
                                <a:close/>
                              </a:path>
                              <a:path w="89535" h="24765">
                                <a:moveTo>
                                  <a:pt x="88976" y="0"/>
                                </a:moveTo>
                                <a:lnTo>
                                  <a:pt x="0" y="0"/>
                                </a:lnTo>
                                <a:lnTo>
                                  <a:pt x="0" y="8089"/>
                                </a:lnTo>
                                <a:lnTo>
                                  <a:pt x="88976" y="8089"/>
                                </a:lnTo>
                                <a:lnTo>
                                  <a:pt x="88976" y="0"/>
                                </a:lnTo>
                                <a:close/>
                              </a:path>
                            </a:pathLst>
                          </a:custGeom>
                          <a:solidFill>
                            <a:srgbClr val="000000"/>
                          </a:solidFill>
                        </wps:spPr>
                        <wps:bodyPr wrap="square" lIns="0" tIns="0" rIns="0" bIns="0" rtlCol="0">
                          <a:prstTxWarp prst="textNoShape">
                            <a:avLst/>
                          </a:prstTxWarp>
                          <a:noAutofit/>
                        </wps:bodyPr>
                      </wps:wsp>
                      <wps:wsp>
                        <wps:cNvPr id="904" name="Graphic 904"/>
                        <wps:cNvSpPr/>
                        <wps:spPr>
                          <a:xfrm>
                            <a:off x="2968617"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05" name="Graphic 905"/>
                        <wps:cNvSpPr/>
                        <wps:spPr>
                          <a:xfrm>
                            <a:off x="2968615" y="105165"/>
                            <a:ext cx="647700" cy="24765"/>
                          </a:xfrm>
                          <a:custGeom>
                            <a:avLst/>
                            <a:gdLst/>
                            <a:ahLst/>
                            <a:cxnLst/>
                            <a:rect l="l" t="t" r="r" b="b"/>
                            <a:pathLst>
                              <a:path w="647700" h="24765">
                                <a:moveTo>
                                  <a:pt x="647103" y="16167"/>
                                </a:moveTo>
                                <a:lnTo>
                                  <a:pt x="0" y="16167"/>
                                </a:lnTo>
                                <a:lnTo>
                                  <a:pt x="0" y="24257"/>
                                </a:lnTo>
                                <a:lnTo>
                                  <a:pt x="647103" y="24257"/>
                                </a:lnTo>
                                <a:lnTo>
                                  <a:pt x="647103" y="16167"/>
                                </a:lnTo>
                                <a:close/>
                              </a:path>
                              <a:path w="647700" h="24765">
                                <a:moveTo>
                                  <a:pt x="647103" y="0"/>
                                </a:moveTo>
                                <a:lnTo>
                                  <a:pt x="0" y="0"/>
                                </a:lnTo>
                                <a:lnTo>
                                  <a:pt x="0" y="8089"/>
                                </a:lnTo>
                                <a:lnTo>
                                  <a:pt x="647103" y="8089"/>
                                </a:lnTo>
                                <a:lnTo>
                                  <a:pt x="647103" y="0"/>
                                </a:lnTo>
                                <a:close/>
                              </a:path>
                            </a:pathLst>
                          </a:custGeom>
                          <a:solidFill>
                            <a:srgbClr val="000000"/>
                          </a:solidFill>
                        </wps:spPr>
                        <wps:bodyPr wrap="square" lIns="0" tIns="0" rIns="0" bIns="0" rtlCol="0">
                          <a:prstTxWarp prst="textNoShape">
                            <a:avLst/>
                          </a:prstTxWarp>
                          <a:noAutofit/>
                        </wps:bodyPr>
                      </wps:wsp>
                      <wps:wsp>
                        <wps:cNvPr id="906" name="Graphic 906"/>
                        <wps:cNvSpPr/>
                        <wps:spPr>
                          <a:xfrm>
                            <a:off x="361572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07" name="Graphic 907"/>
                        <wps:cNvSpPr/>
                        <wps:spPr>
                          <a:xfrm>
                            <a:off x="3615718" y="105165"/>
                            <a:ext cx="73025" cy="24765"/>
                          </a:xfrm>
                          <a:custGeom>
                            <a:avLst/>
                            <a:gdLst/>
                            <a:ahLst/>
                            <a:cxnLst/>
                            <a:rect l="l" t="t" r="r" b="b"/>
                            <a:pathLst>
                              <a:path w="73025" h="24765">
                                <a:moveTo>
                                  <a:pt x="72796" y="16167"/>
                                </a:moveTo>
                                <a:lnTo>
                                  <a:pt x="0" y="16167"/>
                                </a:lnTo>
                                <a:lnTo>
                                  <a:pt x="0" y="24257"/>
                                </a:lnTo>
                                <a:lnTo>
                                  <a:pt x="72796" y="24257"/>
                                </a:lnTo>
                                <a:lnTo>
                                  <a:pt x="72796" y="16167"/>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908" name="Graphic 908"/>
                        <wps:cNvSpPr/>
                        <wps:spPr>
                          <a:xfrm>
                            <a:off x="368852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09" name="Graphic 909"/>
                        <wps:cNvSpPr/>
                        <wps:spPr>
                          <a:xfrm>
                            <a:off x="3688515" y="105165"/>
                            <a:ext cx="73025" cy="24765"/>
                          </a:xfrm>
                          <a:custGeom>
                            <a:avLst/>
                            <a:gdLst/>
                            <a:ahLst/>
                            <a:cxnLst/>
                            <a:rect l="l" t="t" r="r" b="b"/>
                            <a:pathLst>
                              <a:path w="73025" h="24765">
                                <a:moveTo>
                                  <a:pt x="72809" y="16167"/>
                                </a:moveTo>
                                <a:lnTo>
                                  <a:pt x="0" y="16167"/>
                                </a:lnTo>
                                <a:lnTo>
                                  <a:pt x="0" y="24257"/>
                                </a:lnTo>
                                <a:lnTo>
                                  <a:pt x="72809" y="24257"/>
                                </a:lnTo>
                                <a:lnTo>
                                  <a:pt x="72809" y="16167"/>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910" name="Graphic 910"/>
                        <wps:cNvSpPr/>
                        <wps:spPr>
                          <a:xfrm>
                            <a:off x="3761327" y="8088"/>
                            <a:ext cx="97155" cy="121920"/>
                          </a:xfrm>
                          <a:custGeom>
                            <a:avLst/>
                            <a:gdLst/>
                            <a:ahLst/>
                            <a:cxnLst/>
                            <a:rect l="l" t="t" r="r" b="b"/>
                            <a:pathLst>
                              <a:path w="97155" h="121920">
                                <a:moveTo>
                                  <a:pt x="0" y="0"/>
                                </a:moveTo>
                                <a:lnTo>
                                  <a:pt x="97066" y="0"/>
                                </a:lnTo>
                                <a:lnTo>
                                  <a:pt x="97066"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11" name="Graphic 911"/>
                        <wps:cNvSpPr/>
                        <wps:spPr>
                          <a:xfrm>
                            <a:off x="3761324" y="105165"/>
                            <a:ext cx="97155" cy="24765"/>
                          </a:xfrm>
                          <a:custGeom>
                            <a:avLst/>
                            <a:gdLst/>
                            <a:ahLst/>
                            <a:cxnLst/>
                            <a:rect l="l" t="t" r="r" b="b"/>
                            <a:pathLst>
                              <a:path w="97155" h="24765">
                                <a:moveTo>
                                  <a:pt x="97066" y="16167"/>
                                </a:moveTo>
                                <a:lnTo>
                                  <a:pt x="0" y="16167"/>
                                </a:lnTo>
                                <a:lnTo>
                                  <a:pt x="0" y="24257"/>
                                </a:lnTo>
                                <a:lnTo>
                                  <a:pt x="97066" y="24257"/>
                                </a:lnTo>
                                <a:lnTo>
                                  <a:pt x="97066" y="16167"/>
                                </a:lnTo>
                                <a:close/>
                              </a:path>
                              <a:path w="97155" h="24765">
                                <a:moveTo>
                                  <a:pt x="97066" y="0"/>
                                </a:moveTo>
                                <a:lnTo>
                                  <a:pt x="0" y="0"/>
                                </a:lnTo>
                                <a:lnTo>
                                  <a:pt x="0" y="8089"/>
                                </a:lnTo>
                                <a:lnTo>
                                  <a:pt x="97066" y="8089"/>
                                </a:lnTo>
                                <a:lnTo>
                                  <a:pt x="97066" y="0"/>
                                </a:lnTo>
                                <a:close/>
                              </a:path>
                            </a:pathLst>
                          </a:custGeom>
                          <a:solidFill>
                            <a:srgbClr val="000000"/>
                          </a:solidFill>
                        </wps:spPr>
                        <wps:bodyPr wrap="square" lIns="0" tIns="0" rIns="0" bIns="0" rtlCol="0">
                          <a:prstTxWarp prst="textNoShape">
                            <a:avLst/>
                          </a:prstTxWarp>
                          <a:noAutofit/>
                        </wps:bodyPr>
                      </wps:wsp>
                      <wps:wsp>
                        <wps:cNvPr id="912" name="Graphic 912"/>
                        <wps:cNvSpPr/>
                        <wps:spPr>
                          <a:xfrm>
                            <a:off x="3858393"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13" name="Graphic 913"/>
                        <wps:cNvSpPr/>
                        <wps:spPr>
                          <a:xfrm>
                            <a:off x="3858390" y="105165"/>
                            <a:ext cx="647700" cy="24765"/>
                          </a:xfrm>
                          <a:custGeom>
                            <a:avLst/>
                            <a:gdLst/>
                            <a:ahLst/>
                            <a:cxnLst/>
                            <a:rect l="l" t="t" r="r" b="b"/>
                            <a:pathLst>
                              <a:path w="647700" h="24765">
                                <a:moveTo>
                                  <a:pt x="647103" y="16167"/>
                                </a:moveTo>
                                <a:lnTo>
                                  <a:pt x="0" y="16167"/>
                                </a:lnTo>
                                <a:lnTo>
                                  <a:pt x="0" y="24257"/>
                                </a:lnTo>
                                <a:lnTo>
                                  <a:pt x="647103" y="24257"/>
                                </a:lnTo>
                                <a:lnTo>
                                  <a:pt x="647103" y="16167"/>
                                </a:lnTo>
                                <a:close/>
                              </a:path>
                              <a:path w="647700" h="24765">
                                <a:moveTo>
                                  <a:pt x="647103" y="0"/>
                                </a:moveTo>
                                <a:lnTo>
                                  <a:pt x="0" y="0"/>
                                </a:lnTo>
                                <a:lnTo>
                                  <a:pt x="0" y="8089"/>
                                </a:lnTo>
                                <a:lnTo>
                                  <a:pt x="647103" y="8089"/>
                                </a:lnTo>
                                <a:lnTo>
                                  <a:pt x="647103" y="0"/>
                                </a:lnTo>
                                <a:close/>
                              </a:path>
                            </a:pathLst>
                          </a:custGeom>
                          <a:solidFill>
                            <a:srgbClr val="000000"/>
                          </a:solidFill>
                        </wps:spPr>
                        <wps:bodyPr wrap="square" lIns="0" tIns="0" rIns="0" bIns="0" rtlCol="0">
                          <a:prstTxWarp prst="textNoShape">
                            <a:avLst/>
                          </a:prstTxWarp>
                          <a:noAutofit/>
                        </wps:bodyPr>
                      </wps:wsp>
                      <wps:wsp>
                        <wps:cNvPr id="914" name="Graphic 914"/>
                        <wps:cNvSpPr/>
                        <wps:spPr>
                          <a:xfrm>
                            <a:off x="450550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15" name="Graphic 915"/>
                        <wps:cNvSpPr/>
                        <wps:spPr>
                          <a:xfrm>
                            <a:off x="4505493" y="105165"/>
                            <a:ext cx="73025" cy="24765"/>
                          </a:xfrm>
                          <a:custGeom>
                            <a:avLst/>
                            <a:gdLst/>
                            <a:ahLst/>
                            <a:cxnLst/>
                            <a:rect l="l" t="t" r="r" b="b"/>
                            <a:pathLst>
                              <a:path w="73025" h="24765">
                                <a:moveTo>
                                  <a:pt x="72809" y="16167"/>
                                </a:moveTo>
                                <a:lnTo>
                                  <a:pt x="0" y="16167"/>
                                </a:lnTo>
                                <a:lnTo>
                                  <a:pt x="0" y="24257"/>
                                </a:lnTo>
                                <a:lnTo>
                                  <a:pt x="72809" y="24257"/>
                                </a:lnTo>
                                <a:lnTo>
                                  <a:pt x="72809" y="16167"/>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916" name="Graphic 916"/>
                        <wps:cNvSpPr/>
                        <wps:spPr>
                          <a:xfrm>
                            <a:off x="457830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17" name="Graphic 917"/>
                        <wps:cNvSpPr/>
                        <wps:spPr>
                          <a:xfrm>
                            <a:off x="4578302" y="105165"/>
                            <a:ext cx="73025" cy="24765"/>
                          </a:xfrm>
                          <a:custGeom>
                            <a:avLst/>
                            <a:gdLst/>
                            <a:ahLst/>
                            <a:cxnLst/>
                            <a:rect l="l" t="t" r="r" b="b"/>
                            <a:pathLst>
                              <a:path w="73025" h="24765">
                                <a:moveTo>
                                  <a:pt x="72796" y="16167"/>
                                </a:moveTo>
                                <a:lnTo>
                                  <a:pt x="0" y="16167"/>
                                </a:lnTo>
                                <a:lnTo>
                                  <a:pt x="0" y="24257"/>
                                </a:lnTo>
                                <a:lnTo>
                                  <a:pt x="72796" y="24257"/>
                                </a:lnTo>
                                <a:lnTo>
                                  <a:pt x="72796" y="16167"/>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918" name="Graphic 918"/>
                        <wps:cNvSpPr/>
                        <wps:spPr>
                          <a:xfrm>
                            <a:off x="4651103" y="8088"/>
                            <a:ext cx="154305" cy="121920"/>
                          </a:xfrm>
                          <a:custGeom>
                            <a:avLst/>
                            <a:gdLst/>
                            <a:ahLst/>
                            <a:cxnLst/>
                            <a:rect l="l" t="t" r="r" b="b"/>
                            <a:pathLst>
                              <a:path w="154305" h="121920">
                                <a:moveTo>
                                  <a:pt x="0" y="0"/>
                                </a:moveTo>
                                <a:lnTo>
                                  <a:pt x="153688" y="0"/>
                                </a:lnTo>
                                <a:lnTo>
                                  <a:pt x="153688"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19" name="Graphic 919"/>
                        <wps:cNvSpPr/>
                        <wps:spPr>
                          <a:xfrm>
                            <a:off x="4651099" y="105165"/>
                            <a:ext cx="154305" cy="24765"/>
                          </a:xfrm>
                          <a:custGeom>
                            <a:avLst/>
                            <a:gdLst/>
                            <a:ahLst/>
                            <a:cxnLst/>
                            <a:rect l="l" t="t" r="r" b="b"/>
                            <a:pathLst>
                              <a:path w="154305" h="24765">
                                <a:moveTo>
                                  <a:pt x="153682" y="16167"/>
                                </a:moveTo>
                                <a:lnTo>
                                  <a:pt x="0" y="16167"/>
                                </a:lnTo>
                                <a:lnTo>
                                  <a:pt x="0" y="24257"/>
                                </a:lnTo>
                                <a:lnTo>
                                  <a:pt x="153682" y="24257"/>
                                </a:lnTo>
                                <a:lnTo>
                                  <a:pt x="153682" y="16167"/>
                                </a:lnTo>
                                <a:close/>
                              </a:path>
                              <a:path w="154305" h="24765">
                                <a:moveTo>
                                  <a:pt x="153682" y="0"/>
                                </a:moveTo>
                                <a:lnTo>
                                  <a:pt x="0" y="0"/>
                                </a:lnTo>
                                <a:lnTo>
                                  <a:pt x="0" y="8089"/>
                                </a:lnTo>
                                <a:lnTo>
                                  <a:pt x="153682" y="8089"/>
                                </a:lnTo>
                                <a:lnTo>
                                  <a:pt x="153682" y="0"/>
                                </a:lnTo>
                                <a:close/>
                              </a:path>
                            </a:pathLst>
                          </a:custGeom>
                          <a:solidFill>
                            <a:srgbClr val="000000"/>
                          </a:solidFill>
                        </wps:spPr>
                        <wps:bodyPr wrap="square" lIns="0" tIns="0" rIns="0" bIns="0" rtlCol="0">
                          <a:prstTxWarp prst="textNoShape">
                            <a:avLst/>
                          </a:prstTxWarp>
                          <a:noAutofit/>
                        </wps:bodyPr>
                      </wps:wsp>
                      <wps:wsp>
                        <wps:cNvPr id="920" name="Graphic 920"/>
                        <wps:cNvSpPr/>
                        <wps:spPr>
                          <a:xfrm>
                            <a:off x="4804791"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21" name="Graphic 921"/>
                        <wps:cNvSpPr/>
                        <wps:spPr>
                          <a:xfrm>
                            <a:off x="4804781" y="105165"/>
                            <a:ext cx="647700" cy="24765"/>
                          </a:xfrm>
                          <a:custGeom>
                            <a:avLst/>
                            <a:gdLst/>
                            <a:ahLst/>
                            <a:cxnLst/>
                            <a:rect l="l" t="t" r="r" b="b"/>
                            <a:pathLst>
                              <a:path w="647700" h="24765">
                                <a:moveTo>
                                  <a:pt x="647115" y="16167"/>
                                </a:moveTo>
                                <a:lnTo>
                                  <a:pt x="0" y="16167"/>
                                </a:lnTo>
                                <a:lnTo>
                                  <a:pt x="0" y="24257"/>
                                </a:lnTo>
                                <a:lnTo>
                                  <a:pt x="647115" y="24257"/>
                                </a:lnTo>
                                <a:lnTo>
                                  <a:pt x="647115" y="16167"/>
                                </a:lnTo>
                                <a:close/>
                              </a:path>
                              <a:path w="647700" h="24765">
                                <a:moveTo>
                                  <a:pt x="647115" y="0"/>
                                </a:moveTo>
                                <a:lnTo>
                                  <a:pt x="0" y="0"/>
                                </a:lnTo>
                                <a:lnTo>
                                  <a:pt x="0" y="8089"/>
                                </a:lnTo>
                                <a:lnTo>
                                  <a:pt x="647115" y="8089"/>
                                </a:lnTo>
                                <a:lnTo>
                                  <a:pt x="647115" y="0"/>
                                </a:lnTo>
                                <a:close/>
                              </a:path>
                            </a:pathLst>
                          </a:custGeom>
                          <a:solidFill>
                            <a:srgbClr val="000000"/>
                          </a:solidFill>
                        </wps:spPr>
                        <wps:bodyPr wrap="square" lIns="0" tIns="0" rIns="0" bIns="0" rtlCol="0">
                          <a:prstTxWarp prst="textNoShape">
                            <a:avLst/>
                          </a:prstTxWarp>
                          <a:noAutofit/>
                        </wps:bodyPr>
                      </wps:wsp>
                      <wps:wsp>
                        <wps:cNvPr id="922" name="Graphic 922"/>
                        <wps:cNvSpPr/>
                        <wps:spPr>
                          <a:xfrm>
                            <a:off x="5451902"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23" name="Graphic 923"/>
                        <wps:cNvSpPr/>
                        <wps:spPr>
                          <a:xfrm>
                            <a:off x="5451897" y="105165"/>
                            <a:ext cx="73025" cy="24765"/>
                          </a:xfrm>
                          <a:custGeom>
                            <a:avLst/>
                            <a:gdLst/>
                            <a:ahLst/>
                            <a:cxnLst/>
                            <a:rect l="l" t="t" r="r" b="b"/>
                            <a:pathLst>
                              <a:path w="73025" h="24765">
                                <a:moveTo>
                                  <a:pt x="72796" y="16167"/>
                                </a:moveTo>
                                <a:lnTo>
                                  <a:pt x="0" y="16167"/>
                                </a:lnTo>
                                <a:lnTo>
                                  <a:pt x="0" y="24257"/>
                                </a:lnTo>
                                <a:lnTo>
                                  <a:pt x="72796" y="24257"/>
                                </a:lnTo>
                                <a:lnTo>
                                  <a:pt x="72796" y="16167"/>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924" name="Graphic 924"/>
                        <wps:cNvSpPr/>
                        <wps:spPr>
                          <a:xfrm>
                            <a:off x="5524701"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25" name="Graphic 925"/>
                        <wps:cNvSpPr/>
                        <wps:spPr>
                          <a:xfrm>
                            <a:off x="5524694" y="105165"/>
                            <a:ext cx="73025" cy="24765"/>
                          </a:xfrm>
                          <a:custGeom>
                            <a:avLst/>
                            <a:gdLst/>
                            <a:ahLst/>
                            <a:cxnLst/>
                            <a:rect l="l" t="t" r="r" b="b"/>
                            <a:pathLst>
                              <a:path w="73025" h="24765">
                                <a:moveTo>
                                  <a:pt x="72796" y="16167"/>
                                </a:moveTo>
                                <a:lnTo>
                                  <a:pt x="0" y="16167"/>
                                </a:lnTo>
                                <a:lnTo>
                                  <a:pt x="0" y="24257"/>
                                </a:lnTo>
                                <a:lnTo>
                                  <a:pt x="72796" y="24257"/>
                                </a:lnTo>
                                <a:lnTo>
                                  <a:pt x="72796" y="16167"/>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926" name="Graphic 926"/>
                        <wps:cNvSpPr/>
                        <wps:spPr>
                          <a:xfrm>
                            <a:off x="5597502" y="8088"/>
                            <a:ext cx="105410" cy="121920"/>
                          </a:xfrm>
                          <a:custGeom>
                            <a:avLst/>
                            <a:gdLst/>
                            <a:ahLst/>
                            <a:cxnLst/>
                            <a:rect l="l" t="t" r="r" b="b"/>
                            <a:pathLst>
                              <a:path w="105410" h="121920">
                                <a:moveTo>
                                  <a:pt x="0" y="0"/>
                                </a:moveTo>
                                <a:lnTo>
                                  <a:pt x="105155" y="0"/>
                                </a:lnTo>
                                <a:lnTo>
                                  <a:pt x="105155"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27" name="Graphic 927"/>
                        <wps:cNvSpPr/>
                        <wps:spPr>
                          <a:xfrm>
                            <a:off x="5597490" y="105165"/>
                            <a:ext cx="105410" cy="24765"/>
                          </a:xfrm>
                          <a:custGeom>
                            <a:avLst/>
                            <a:gdLst/>
                            <a:ahLst/>
                            <a:cxnLst/>
                            <a:rect l="l" t="t" r="r" b="b"/>
                            <a:pathLst>
                              <a:path w="105410" h="24765">
                                <a:moveTo>
                                  <a:pt x="105156" y="16167"/>
                                </a:moveTo>
                                <a:lnTo>
                                  <a:pt x="0" y="16167"/>
                                </a:lnTo>
                                <a:lnTo>
                                  <a:pt x="0" y="24257"/>
                                </a:lnTo>
                                <a:lnTo>
                                  <a:pt x="105156" y="24257"/>
                                </a:lnTo>
                                <a:lnTo>
                                  <a:pt x="105156" y="16167"/>
                                </a:lnTo>
                                <a:close/>
                              </a:path>
                              <a:path w="105410" h="24765">
                                <a:moveTo>
                                  <a:pt x="105156" y="0"/>
                                </a:moveTo>
                                <a:lnTo>
                                  <a:pt x="0" y="0"/>
                                </a:lnTo>
                                <a:lnTo>
                                  <a:pt x="0" y="8089"/>
                                </a:lnTo>
                                <a:lnTo>
                                  <a:pt x="105156" y="8089"/>
                                </a:lnTo>
                                <a:lnTo>
                                  <a:pt x="105156" y="0"/>
                                </a:lnTo>
                                <a:close/>
                              </a:path>
                            </a:pathLst>
                          </a:custGeom>
                          <a:solidFill>
                            <a:srgbClr val="000000"/>
                          </a:solidFill>
                        </wps:spPr>
                        <wps:bodyPr wrap="square" lIns="0" tIns="0" rIns="0" bIns="0" rtlCol="0">
                          <a:prstTxWarp prst="textNoShape">
                            <a:avLst/>
                          </a:prstTxWarp>
                          <a:noAutofit/>
                        </wps:bodyPr>
                      </wps:wsp>
                      <wps:wsp>
                        <wps:cNvPr id="928" name="Graphic 928"/>
                        <wps:cNvSpPr/>
                        <wps:spPr>
                          <a:xfrm>
                            <a:off x="5702657"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29" name="Graphic 929"/>
                        <wps:cNvSpPr/>
                        <wps:spPr>
                          <a:xfrm>
                            <a:off x="5702646" y="105165"/>
                            <a:ext cx="647700" cy="24765"/>
                          </a:xfrm>
                          <a:custGeom>
                            <a:avLst/>
                            <a:gdLst/>
                            <a:ahLst/>
                            <a:cxnLst/>
                            <a:rect l="l" t="t" r="r" b="b"/>
                            <a:pathLst>
                              <a:path w="647700" h="24765">
                                <a:moveTo>
                                  <a:pt x="647115" y="16167"/>
                                </a:moveTo>
                                <a:lnTo>
                                  <a:pt x="0" y="16167"/>
                                </a:lnTo>
                                <a:lnTo>
                                  <a:pt x="0" y="24257"/>
                                </a:lnTo>
                                <a:lnTo>
                                  <a:pt x="647115" y="24257"/>
                                </a:lnTo>
                                <a:lnTo>
                                  <a:pt x="647115" y="16167"/>
                                </a:lnTo>
                                <a:close/>
                              </a:path>
                              <a:path w="647700" h="24765">
                                <a:moveTo>
                                  <a:pt x="647115" y="0"/>
                                </a:moveTo>
                                <a:lnTo>
                                  <a:pt x="0" y="0"/>
                                </a:lnTo>
                                <a:lnTo>
                                  <a:pt x="0" y="8089"/>
                                </a:lnTo>
                                <a:lnTo>
                                  <a:pt x="647115" y="8089"/>
                                </a:lnTo>
                                <a:lnTo>
                                  <a:pt x="647115" y="0"/>
                                </a:lnTo>
                                <a:close/>
                              </a:path>
                            </a:pathLst>
                          </a:custGeom>
                          <a:solidFill>
                            <a:srgbClr val="000000"/>
                          </a:solidFill>
                        </wps:spPr>
                        <wps:bodyPr wrap="square" lIns="0" tIns="0" rIns="0" bIns="0" rtlCol="0">
                          <a:prstTxWarp prst="textNoShape">
                            <a:avLst/>
                          </a:prstTxWarp>
                          <a:noAutofit/>
                        </wps:bodyPr>
                      </wps:wsp>
                      <wps:wsp>
                        <wps:cNvPr id="930" name="Graphic 930"/>
                        <wps:cNvSpPr/>
                        <wps:spPr>
                          <a:xfrm>
                            <a:off x="634976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31" name="Graphic 931"/>
                        <wps:cNvSpPr/>
                        <wps:spPr>
                          <a:xfrm>
                            <a:off x="6349762" y="105165"/>
                            <a:ext cx="73025" cy="24765"/>
                          </a:xfrm>
                          <a:custGeom>
                            <a:avLst/>
                            <a:gdLst/>
                            <a:ahLst/>
                            <a:cxnLst/>
                            <a:rect l="l" t="t" r="r" b="b"/>
                            <a:pathLst>
                              <a:path w="73025" h="24765">
                                <a:moveTo>
                                  <a:pt x="72796" y="16167"/>
                                </a:moveTo>
                                <a:lnTo>
                                  <a:pt x="0" y="16167"/>
                                </a:lnTo>
                                <a:lnTo>
                                  <a:pt x="0" y="24257"/>
                                </a:lnTo>
                                <a:lnTo>
                                  <a:pt x="72796" y="24257"/>
                                </a:lnTo>
                                <a:lnTo>
                                  <a:pt x="72796" y="16167"/>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932" name="Graphic 932"/>
                        <wps:cNvSpPr/>
                        <wps:spPr>
                          <a:xfrm>
                            <a:off x="642256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33" name="Graphic 933"/>
                        <wps:cNvSpPr/>
                        <wps:spPr>
                          <a:xfrm>
                            <a:off x="6422558" y="105165"/>
                            <a:ext cx="73025" cy="24765"/>
                          </a:xfrm>
                          <a:custGeom>
                            <a:avLst/>
                            <a:gdLst/>
                            <a:ahLst/>
                            <a:cxnLst/>
                            <a:rect l="l" t="t" r="r" b="b"/>
                            <a:pathLst>
                              <a:path w="73025" h="24765">
                                <a:moveTo>
                                  <a:pt x="72796" y="16167"/>
                                </a:moveTo>
                                <a:lnTo>
                                  <a:pt x="0" y="16167"/>
                                </a:lnTo>
                                <a:lnTo>
                                  <a:pt x="0" y="24257"/>
                                </a:lnTo>
                                <a:lnTo>
                                  <a:pt x="72796" y="24257"/>
                                </a:lnTo>
                                <a:lnTo>
                                  <a:pt x="72796" y="16167"/>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934" name="Graphic 934"/>
                        <wps:cNvSpPr/>
                        <wps:spPr>
                          <a:xfrm>
                            <a:off x="6495367" y="8088"/>
                            <a:ext cx="89535" cy="121920"/>
                          </a:xfrm>
                          <a:custGeom>
                            <a:avLst/>
                            <a:gdLst/>
                            <a:ahLst/>
                            <a:cxnLst/>
                            <a:rect l="l" t="t" r="r" b="b"/>
                            <a:pathLst>
                              <a:path w="89535" h="121920">
                                <a:moveTo>
                                  <a:pt x="0" y="0"/>
                                </a:moveTo>
                                <a:lnTo>
                                  <a:pt x="88977" y="0"/>
                                </a:lnTo>
                                <a:lnTo>
                                  <a:pt x="88977"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35" name="Graphic 935"/>
                        <wps:cNvSpPr/>
                        <wps:spPr>
                          <a:xfrm>
                            <a:off x="6495355" y="105165"/>
                            <a:ext cx="89535" cy="24765"/>
                          </a:xfrm>
                          <a:custGeom>
                            <a:avLst/>
                            <a:gdLst/>
                            <a:ahLst/>
                            <a:cxnLst/>
                            <a:rect l="l" t="t" r="r" b="b"/>
                            <a:pathLst>
                              <a:path w="89535" h="24765">
                                <a:moveTo>
                                  <a:pt x="88988" y="16167"/>
                                </a:moveTo>
                                <a:lnTo>
                                  <a:pt x="0" y="16167"/>
                                </a:lnTo>
                                <a:lnTo>
                                  <a:pt x="0" y="24257"/>
                                </a:lnTo>
                                <a:lnTo>
                                  <a:pt x="88988" y="24257"/>
                                </a:lnTo>
                                <a:lnTo>
                                  <a:pt x="88988" y="16167"/>
                                </a:lnTo>
                                <a:close/>
                              </a:path>
                              <a:path w="89535" h="24765">
                                <a:moveTo>
                                  <a:pt x="88988" y="0"/>
                                </a:moveTo>
                                <a:lnTo>
                                  <a:pt x="0" y="0"/>
                                </a:lnTo>
                                <a:lnTo>
                                  <a:pt x="0" y="8089"/>
                                </a:lnTo>
                                <a:lnTo>
                                  <a:pt x="88988" y="8089"/>
                                </a:lnTo>
                                <a:lnTo>
                                  <a:pt x="88988" y="0"/>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6584344" y="8088"/>
                            <a:ext cx="655320" cy="121920"/>
                          </a:xfrm>
                          <a:custGeom>
                            <a:avLst/>
                            <a:gdLst/>
                            <a:ahLst/>
                            <a:cxnLst/>
                            <a:rect l="l" t="t" r="r" b="b"/>
                            <a:pathLst>
                              <a:path w="655320" h="121920">
                                <a:moveTo>
                                  <a:pt x="0" y="0"/>
                                </a:moveTo>
                                <a:lnTo>
                                  <a:pt x="655198" y="0"/>
                                </a:lnTo>
                                <a:lnTo>
                                  <a:pt x="655198"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37" name="Graphic 937"/>
                        <wps:cNvSpPr/>
                        <wps:spPr>
                          <a:xfrm>
                            <a:off x="6584343" y="105165"/>
                            <a:ext cx="655320" cy="24765"/>
                          </a:xfrm>
                          <a:custGeom>
                            <a:avLst/>
                            <a:gdLst/>
                            <a:ahLst/>
                            <a:cxnLst/>
                            <a:rect l="l" t="t" r="r" b="b"/>
                            <a:pathLst>
                              <a:path w="655320" h="24765">
                                <a:moveTo>
                                  <a:pt x="655193" y="16167"/>
                                </a:moveTo>
                                <a:lnTo>
                                  <a:pt x="0" y="16167"/>
                                </a:lnTo>
                                <a:lnTo>
                                  <a:pt x="0" y="24257"/>
                                </a:lnTo>
                                <a:lnTo>
                                  <a:pt x="655193" y="24257"/>
                                </a:lnTo>
                                <a:lnTo>
                                  <a:pt x="655193" y="16167"/>
                                </a:lnTo>
                                <a:close/>
                              </a:path>
                              <a:path w="655320" h="24765">
                                <a:moveTo>
                                  <a:pt x="655193" y="0"/>
                                </a:moveTo>
                                <a:lnTo>
                                  <a:pt x="0" y="0"/>
                                </a:lnTo>
                                <a:lnTo>
                                  <a:pt x="0" y="8089"/>
                                </a:lnTo>
                                <a:lnTo>
                                  <a:pt x="655193" y="8089"/>
                                </a:lnTo>
                                <a:lnTo>
                                  <a:pt x="655193" y="0"/>
                                </a:lnTo>
                                <a:close/>
                              </a:path>
                            </a:pathLst>
                          </a:custGeom>
                          <a:solidFill>
                            <a:srgbClr val="000000"/>
                          </a:solidFill>
                        </wps:spPr>
                        <wps:bodyPr wrap="square" lIns="0" tIns="0" rIns="0" bIns="0" rtlCol="0">
                          <a:prstTxWarp prst="textNoShape">
                            <a:avLst/>
                          </a:prstTxWarp>
                          <a:noAutofit/>
                        </wps:bodyPr>
                      </wps:wsp>
                      <wps:wsp>
                        <wps:cNvPr id="938" name="Graphic 938"/>
                        <wps:cNvSpPr/>
                        <wps:spPr>
                          <a:xfrm>
                            <a:off x="723954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39" name="Graphic 939"/>
                        <wps:cNvSpPr/>
                        <wps:spPr>
                          <a:xfrm>
                            <a:off x="7239537" y="105165"/>
                            <a:ext cx="73025" cy="24765"/>
                          </a:xfrm>
                          <a:custGeom>
                            <a:avLst/>
                            <a:gdLst/>
                            <a:ahLst/>
                            <a:cxnLst/>
                            <a:rect l="l" t="t" r="r" b="b"/>
                            <a:pathLst>
                              <a:path w="73025" h="24765">
                                <a:moveTo>
                                  <a:pt x="72796" y="16167"/>
                                </a:moveTo>
                                <a:lnTo>
                                  <a:pt x="0" y="16167"/>
                                </a:lnTo>
                                <a:lnTo>
                                  <a:pt x="0" y="24257"/>
                                </a:lnTo>
                                <a:lnTo>
                                  <a:pt x="72796" y="24257"/>
                                </a:lnTo>
                                <a:lnTo>
                                  <a:pt x="72796" y="16167"/>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833740pt;margin-top:8.039613pt;width:575.8pt;height:10.2pt;mso-position-horizontal-relative:page;mso-position-vertical-relative:paragraph;z-index:-29144576" id="docshapegroup895" coordorigin="357,161" coordsize="11516,204">
                <v:rect style="position:absolute;left:356;top:160;width:11516;height:13" id="docshape896" filled="true" fillcolor="#000000" stroked="false">
                  <v:fill type="solid"/>
                </v:rect>
                <v:rect style="position:absolute;left:356;top:173;width:4421;height:192" id="docshape897" filled="true" fillcolor="#ccedff" stroked="false">
                  <v:fill type="solid"/>
                </v:rect>
                <v:shape style="position:absolute;left:356;top:326;width:4421;height:39" id="docshape898" coordorigin="357,326" coordsize="4421,39" path="m4777,352l357,352,357,365,4777,365,4777,352xm4777,326l357,326,357,339,4777,339,4777,326xe" filled="true" fillcolor="#000000" stroked="false">
                  <v:path arrowok="t"/>
                  <v:fill type="solid"/>
                </v:shape>
                <v:rect style="position:absolute;left:4776;top:173;width:115;height:192" id="docshape899" filled="true" fillcolor="#ccedff" stroked="false">
                  <v:fill type="solid"/>
                </v:rect>
                <v:shape style="position:absolute;left:4776;top:326;width:115;height:39" id="docshape900" coordorigin="4777,326" coordsize="115,39" path="m4892,352l4777,352,4777,365,4892,365,4892,352xm4892,326l4777,326,4777,339,4892,339,4892,326xe" filled="true" fillcolor="#000000" stroked="false">
                  <v:path arrowok="t"/>
                  <v:fill type="solid"/>
                </v:shape>
                <v:rect style="position:absolute;left:4891;top:173;width:141;height:192" id="docshape901" filled="true" fillcolor="#ccedff" stroked="false">
                  <v:fill type="solid"/>
                </v:rect>
                <v:shape style="position:absolute;left:4891;top:326;width:141;height:39" id="docshape902" coordorigin="4892,326" coordsize="141,39" path="m5032,352l4892,352,4892,365,5032,365,5032,352xm5032,326l4892,326,4892,339,5032,339,5032,326xe" filled="true" fillcolor="#000000" stroked="false">
                  <v:path arrowok="t"/>
                  <v:fill type="solid"/>
                </v:shape>
                <v:rect style="position:absolute;left:5031;top:173;width:1020;height:192" id="docshape903" filled="true" fillcolor="#ccedff" stroked="false">
                  <v:fill type="solid"/>
                </v:rect>
                <v:shape style="position:absolute;left:5031;top:326;width:1020;height:39" id="docshape904" coordorigin="5032,326" coordsize="1020,39" path="m6051,352l5032,352,5032,365,6051,365,6051,352xm6051,326l5032,326,5032,339,6051,339,6051,326xe" filled="true" fillcolor="#000000" stroked="false">
                  <v:path arrowok="t"/>
                  <v:fill type="solid"/>
                </v:shape>
                <v:rect style="position:absolute;left:6050;top:173;width:115;height:192" id="docshape905" filled="true" fillcolor="#ccedff" stroked="false">
                  <v:fill type="solid"/>
                </v:rect>
                <v:shape style="position:absolute;left:6050;top:326;width:115;height:39" id="docshape906" coordorigin="6051,326" coordsize="115,39" path="m6165,352l6051,352,6051,365,6165,365,6165,352xm6165,326l6051,326,6051,339,6165,339,6165,326xe" filled="true" fillcolor="#000000" stroked="false">
                  <v:path arrowok="t"/>
                  <v:fill type="solid"/>
                </v:shape>
                <v:rect style="position:absolute;left:6165;top:173;width:115;height:192" id="docshape907" filled="true" fillcolor="#ccedff" stroked="false">
                  <v:fill type="solid"/>
                </v:rect>
                <v:shape style="position:absolute;left:6165;top:326;width:115;height:39" id="docshape908" coordorigin="6165,326" coordsize="115,39" path="m6280,352l6165,352,6165,365,6280,365,6280,352xm6280,326l6165,326,6165,339,6280,339,6280,326xe" filled="true" fillcolor="#000000" stroked="false">
                  <v:path arrowok="t"/>
                  <v:fill type="solid"/>
                </v:shape>
                <v:rect style="position:absolute;left:6280;top:173;width:153;height:192" id="docshape909" filled="true" fillcolor="#ccedff" stroked="false">
                  <v:fill type="solid"/>
                </v:rect>
                <v:shape style="position:absolute;left:6280;top:326;width:153;height:39" id="docshape910" coordorigin="6280,326" coordsize="153,39" path="m6433,352l6280,352,6280,365,6433,365,6433,352xm6433,326l6280,326,6280,339,6433,339,6433,326xe" filled="true" fillcolor="#000000" stroked="false">
                  <v:path arrowok="t"/>
                  <v:fill type="solid"/>
                </v:shape>
                <v:rect style="position:absolute;left:6432;top:173;width:1020;height:192" id="docshape911" filled="true" fillcolor="#ccedff" stroked="false">
                  <v:fill type="solid"/>
                </v:rect>
                <v:shape style="position:absolute;left:6432;top:326;width:1020;height:39" id="docshape912" coordorigin="6433,326" coordsize="1020,39" path="m7452,352l6433,352,6433,365,7452,365,7452,352xm7452,326l6433,326,6433,339,7452,339,7452,326xe" filled="true" fillcolor="#000000" stroked="false">
                  <v:path arrowok="t"/>
                  <v:fill type="solid"/>
                </v:shape>
                <v:rect style="position:absolute;left:7451;top:173;width:115;height:192" id="docshape913" filled="true" fillcolor="#ccedff" stroked="false">
                  <v:fill type="solid"/>
                </v:rect>
                <v:shape style="position:absolute;left:7451;top:326;width:115;height:39" id="docshape914" coordorigin="7452,326" coordsize="115,39" path="m7567,352l7452,352,7452,365,7567,365,7567,352xm7567,326l7452,326,7452,339,7567,339,7567,326xe" filled="true" fillcolor="#000000" stroked="false">
                  <v:path arrowok="t"/>
                  <v:fill type="solid"/>
                </v:shape>
                <v:rect style="position:absolute;left:7566;top:173;width:115;height:192" id="docshape915" filled="true" fillcolor="#ccedff" stroked="false">
                  <v:fill type="solid"/>
                </v:rect>
                <v:shape style="position:absolute;left:7566;top:326;width:115;height:39" id="docshape916" coordorigin="7567,326" coordsize="115,39" path="m7681,352l7567,352,7567,365,7681,365,7681,352xm7681,326l7567,326,7567,339,7681,339,7681,326xe" filled="true" fillcolor="#000000" stroked="false">
                  <v:path arrowok="t"/>
                  <v:fill type="solid"/>
                </v:shape>
                <v:rect style="position:absolute;left:7681;top:173;width:243;height:192" id="docshape917" filled="true" fillcolor="#ccedff" stroked="false">
                  <v:fill type="solid"/>
                </v:rect>
                <v:shape style="position:absolute;left:7681;top:326;width:243;height:39" id="docshape918" coordorigin="7681,326" coordsize="243,39" path="m7923,352l7681,352,7681,365,7923,365,7923,352xm7923,326l7681,326,7681,339,7923,339,7923,326xe" filled="true" fillcolor="#000000" stroked="false">
                  <v:path arrowok="t"/>
                  <v:fill type="solid"/>
                </v:shape>
                <v:rect style="position:absolute;left:7923;top:173;width:1020;height:192" id="docshape919" filled="true" fillcolor="#ccedff" stroked="false">
                  <v:fill type="solid"/>
                </v:rect>
                <v:shape style="position:absolute;left:7923;top:326;width:1020;height:39" id="docshape920" coordorigin="7923,326" coordsize="1020,39" path="m8942,352l7923,352,7923,365,8942,365,8942,352xm8942,326l7923,326,7923,339,8942,339,8942,326xe" filled="true" fillcolor="#000000" stroked="false">
                  <v:path arrowok="t"/>
                  <v:fill type="solid"/>
                </v:shape>
                <v:rect style="position:absolute;left:8942;top:173;width:115;height:192" id="docshape921" filled="true" fillcolor="#ccedff" stroked="false">
                  <v:fill type="solid"/>
                </v:rect>
                <v:shape style="position:absolute;left:8942;top:326;width:115;height:39" id="docshape922" coordorigin="8942,326" coordsize="115,39" path="m9057,352l8942,352,8942,365,9057,365,9057,352xm9057,326l8942,326,8942,339,9057,339,9057,326xe" filled="true" fillcolor="#000000" stroked="false">
                  <v:path arrowok="t"/>
                  <v:fill type="solid"/>
                </v:shape>
                <v:rect style="position:absolute;left:9057;top:173;width:115;height:192" id="docshape923" filled="true" fillcolor="#ccedff" stroked="false">
                  <v:fill type="solid"/>
                </v:rect>
                <v:shape style="position:absolute;left:9056;top:326;width:115;height:39" id="docshape924" coordorigin="9057,326" coordsize="115,39" path="m9172,352l9057,352,9057,365,9172,365,9172,352xm9172,326l9057,326,9057,339,9172,339,9172,326xe" filled="true" fillcolor="#000000" stroked="false">
                  <v:path arrowok="t"/>
                  <v:fill type="solid"/>
                </v:shape>
                <v:rect style="position:absolute;left:9171;top:173;width:166;height:192" id="docshape925" filled="true" fillcolor="#ccedff" stroked="false">
                  <v:fill type="solid"/>
                </v:rect>
                <v:shape style="position:absolute;left:9171;top:326;width:166;height:39" id="docshape926" coordorigin="9172,326" coordsize="166,39" path="m9337,352l9172,352,9172,365,9337,365,9337,352xm9337,326l9172,326,9172,339,9337,339,9337,326xe" filled="true" fillcolor="#000000" stroked="false">
                  <v:path arrowok="t"/>
                  <v:fill type="solid"/>
                </v:shape>
                <v:rect style="position:absolute;left:9337;top:173;width:1020;height:192" id="docshape927" filled="true" fillcolor="#ccedff" stroked="false">
                  <v:fill type="solid"/>
                </v:rect>
                <v:shape style="position:absolute;left:9337;top:326;width:1020;height:39" id="docshape928" coordorigin="9337,326" coordsize="1020,39" path="m10356,352l9337,352,9337,365,10356,365,10356,352xm10356,326l9337,326,9337,339,10356,339,10356,326xe" filled="true" fillcolor="#000000" stroked="false">
                  <v:path arrowok="t"/>
                  <v:fill type="solid"/>
                </v:shape>
                <v:rect style="position:absolute;left:10356;top:173;width:115;height:192" id="docshape929" filled="true" fillcolor="#ccedff" stroked="false">
                  <v:fill type="solid"/>
                </v:rect>
                <v:shape style="position:absolute;left:10356;top:326;width:115;height:39" id="docshape930" coordorigin="10356,326" coordsize="115,39" path="m10471,352l10356,352,10356,365,10471,365,10471,352xm10471,326l10356,326,10356,339,10471,339,10471,326xe" filled="true" fillcolor="#000000" stroked="false">
                  <v:path arrowok="t"/>
                  <v:fill type="solid"/>
                </v:shape>
                <v:rect style="position:absolute;left:10470;top:173;width:115;height:192" id="docshape931" filled="true" fillcolor="#ccedff" stroked="false">
                  <v:fill type="solid"/>
                </v:rect>
                <v:shape style="position:absolute;left:10470;top:326;width:115;height:39" id="docshape932" coordorigin="10471,326" coordsize="115,39" path="m10586,352l10471,352,10471,365,10586,365,10586,352xm10586,326l10471,326,10471,339,10586,339,10586,326xe" filled="true" fillcolor="#000000" stroked="false">
                  <v:path arrowok="t"/>
                  <v:fill type="solid"/>
                </v:shape>
                <v:rect style="position:absolute;left:10585;top:173;width:141;height:192" id="docshape933" filled="true" fillcolor="#ccedff" stroked="false">
                  <v:fill type="solid"/>
                </v:rect>
                <v:shape style="position:absolute;left:10585;top:326;width:141;height:39" id="docshape934" coordorigin="10586,326" coordsize="141,39" path="m10726,352l10586,352,10586,365,10726,365,10726,352xm10726,326l10586,326,10586,339,10726,339,10726,326xe" filled="true" fillcolor="#000000" stroked="false">
                  <v:path arrowok="t"/>
                  <v:fill type="solid"/>
                </v:shape>
                <v:rect style="position:absolute;left:10725;top:173;width:1032;height:192" id="docshape935" filled="true" fillcolor="#ccedff" stroked="false">
                  <v:fill type="solid"/>
                </v:rect>
                <v:shape style="position:absolute;left:10725;top:326;width:1032;height:39" id="docshape936" coordorigin="10726,326" coordsize="1032,39" path="m11758,352l10726,352,10726,365,11758,365,11758,352xm11758,326l10726,326,10726,339,11758,339,11758,326xe" filled="true" fillcolor="#000000" stroked="false">
                  <v:path arrowok="t"/>
                  <v:fill type="solid"/>
                </v:shape>
                <v:rect style="position:absolute;left:11757;top:173;width:115;height:192" id="docshape937" filled="true" fillcolor="#ccedff" stroked="false">
                  <v:fill type="solid"/>
                </v:rect>
                <v:shape style="position:absolute;left:11757;top:326;width:115;height:39" id="docshape938" coordorigin="11758,326" coordsize="115,39" path="m11872,352l11758,352,11758,365,11872,365,11872,352xm11872,326l11758,326,11758,339,11872,339,11872,326xe" filled="true" fillcolor="#000000" stroked="false">
                  <v:path arrowok="t"/>
                  <v:fill type="solid"/>
                </v:shape>
                <w10:wrap type="none"/>
              </v:group>
            </w:pict>
          </mc:Fallback>
        </mc:AlternateContent>
      </w:r>
      <w:r>
        <w:rPr>
          <w:sz w:val="14"/>
        </w:rPr>
        <w:t>Net current-period other comprehensive income </w:t>
      </w:r>
      <w:r>
        <w:rPr>
          <w:spacing w:val="-2"/>
          <w:sz w:val="14"/>
        </w:rPr>
        <w:t>(loss)</w:t>
      </w:r>
      <w:r>
        <w:rPr>
          <w:sz w:val="14"/>
        </w:rPr>
        <w:tab/>
      </w:r>
      <w:r>
        <w:rPr>
          <w:spacing w:val="-5"/>
          <w:sz w:val="14"/>
        </w:rPr>
        <w:t>528</w:t>
      </w:r>
      <w:r>
        <w:rPr>
          <w:sz w:val="14"/>
        </w:rPr>
        <w:tab/>
      </w:r>
      <w:r>
        <w:rPr>
          <w:spacing w:val="-4"/>
          <w:sz w:val="14"/>
        </w:rPr>
        <w:t>(88)</w:t>
      </w:r>
      <w:r>
        <w:rPr>
          <w:sz w:val="14"/>
        </w:rPr>
        <w:tab/>
      </w:r>
      <w:r>
        <w:rPr>
          <w:spacing w:val="-5"/>
          <w:sz w:val="14"/>
        </w:rPr>
        <w:t>(9)</w:t>
      </w:r>
      <w:r>
        <w:rPr>
          <w:sz w:val="14"/>
        </w:rPr>
        <w:tab/>
      </w:r>
      <w:r>
        <w:rPr>
          <w:spacing w:val="-5"/>
          <w:sz w:val="14"/>
        </w:rPr>
        <w:t>431</w:t>
      </w:r>
    </w:p>
    <w:p>
      <w:pPr>
        <w:tabs>
          <w:tab w:pos="4691" w:val="left" w:leader="none"/>
          <w:tab w:pos="5593" w:val="left" w:leader="none"/>
          <w:tab w:pos="6995" w:val="left" w:leader="none"/>
          <w:tab w:pos="8625" w:val="left" w:leader="none"/>
          <w:tab w:pos="10016" w:val="left" w:leader="none"/>
          <w:tab w:pos="10385" w:val="left" w:leader="none"/>
          <w:tab w:pos="11300" w:val="left" w:leader="none"/>
        </w:tabs>
        <w:spacing w:before="5"/>
        <w:ind w:left="156" w:right="0" w:firstLine="0"/>
        <w:jc w:val="left"/>
        <w:rPr>
          <w:sz w:val="14"/>
        </w:rPr>
      </w:pPr>
      <w:r>
        <w:rPr>
          <w:sz w:val="14"/>
        </w:rPr>
        <w:t>Balance at December 31, </w:t>
      </w:r>
      <w:r>
        <w:rPr>
          <w:spacing w:val="-4"/>
          <w:sz w:val="14"/>
        </w:rPr>
        <w:t>2020</w:t>
      </w:r>
      <w:r>
        <w:rPr>
          <w:sz w:val="14"/>
        </w:rPr>
        <w:tab/>
      </w:r>
      <w:r>
        <w:rPr>
          <w:spacing w:val="-10"/>
          <w:sz w:val="14"/>
        </w:rPr>
        <w:t>$</w:t>
      </w:r>
      <w:r>
        <w:rPr>
          <w:sz w:val="14"/>
        </w:rPr>
        <w:tab/>
        <w:t>(329)</w:t>
      </w:r>
      <w:r>
        <w:rPr>
          <w:spacing w:val="54"/>
          <w:sz w:val="14"/>
        </w:rPr>
        <w:t>  </w:t>
      </w:r>
      <w:r>
        <w:rPr>
          <w:spacing w:val="-10"/>
          <w:sz w:val="14"/>
        </w:rPr>
        <w:t>$</w:t>
      </w:r>
      <w:r>
        <w:rPr>
          <w:sz w:val="14"/>
        </w:rPr>
        <w:tab/>
        <w:t>(450)</w:t>
      </w:r>
      <w:r>
        <w:rPr>
          <w:spacing w:val="54"/>
          <w:sz w:val="14"/>
        </w:rPr>
        <w:t>  </w:t>
      </w:r>
      <w:r>
        <w:rPr>
          <w:spacing w:val="-10"/>
          <w:sz w:val="14"/>
        </w:rPr>
        <w:t>$</w:t>
      </w:r>
      <w:r>
        <w:rPr>
          <w:sz w:val="14"/>
        </w:rPr>
        <w:tab/>
        <w:t>(3)</w:t>
      </w:r>
      <w:r>
        <w:rPr>
          <w:spacing w:val="55"/>
          <w:sz w:val="14"/>
        </w:rPr>
        <w:t>  </w:t>
      </w:r>
      <w:r>
        <w:rPr>
          <w:spacing w:val="-10"/>
          <w:sz w:val="14"/>
        </w:rPr>
        <w:t>$</w:t>
      </w:r>
      <w:r>
        <w:rPr>
          <w:sz w:val="14"/>
        </w:rPr>
        <w:tab/>
      </w:r>
      <w:r>
        <w:rPr>
          <w:spacing w:val="-5"/>
          <w:sz w:val="14"/>
        </w:rPr>
        <w:t>42</w:t>
      </w:r>
      <w:r>
        <w:rPr>
          <w:sz w:val="14"/>
        </w:rPr>
        <w:tab/>
      </w:r>
      <w:r>
        <w:rPr>
          <w:spacing w:val="-10"/>
          <w:sz w:val="14"/>
        </w:rPr>
        <w:t>$</w:t>
      </w:r>
      <w:r>
        <w:rPr>
          <w:sz w:val="14"/>
        </w:rPr>
        <w:tab/>
      </w:r>
      <w:r>
        <w:rPr>
          <w:spacing w:val="-2"/>
          <w:sz w:val="14"/>
        </w:rPr>
        <w:t>(740)</w:t>
      </w:r>
    </w:p>
    <w:p>
      <w:pPr>
        <w:pStyle w:val="BodyText"/>
        <w:spacing w:before="1"/>
        <w:rPr>
          <w:sz w:val="14"/>
        </w:rPr>
      </w:pPr>
      <w:r>
        <w:rPr/>
        <mc:AlternateContent>
          <mc:Choice Requires="wps">
            <w:drawing>
              <wp:anchor distT="0" distB="0" distL="0" distR="0" allowOverlap="1" layoutInCell="1" locked="0" behindDoc="1" simplePos="0" relativeHeight="487738368">
                <wp:simplePos x="0" y="0"/>
                <wp:positionH relativeFrom="page">
                  <wp:posOffset>226488</wp:posOffset>
                </wp:positionH>
                <wp:positionV relativeFrom="paragraph">
                  <wp:posOffset>118423</wp:posOffset>
                </wp:positionV>
                <wp:extent cx="7312659" cy="97155"/>
                <wp:effectExtent l="0" t="0" r="0" b="0"/>
                <wp:wrapTopAndBottom/>
                <wp:docPr id="940" name="Textbox 940"/>
                <wp:cNvGraphicFramePr>
                  <a:graphicFrameLocks/>
                </wp:cNvGraphicFramePr>
                <a:graphic>
                  <a:graphicData uri="http://schemas.microsoft.com/office/word/2010/wordprocessingShape">
                    <wps:wsp>
                      <wps:cNvPr id="940" name="Textbox 940"/>
                      <wps:cNvSpPr txBox="1"/>
                      <wps:spPr>
                        <a:xfrm>
                          <a:off x="0" y="0"/>
                          <a:ext cx="7312659" cy="97155"/>
                        </a:xfrm>
                        <a:prstGeom prst="rect">
                          <a:avLst/>
                        </a:prstGeom>
                        <a:solidFill>
                          <a:srgbClr val="CCEDFF"/>
                        </a:solidFill>
                      </wps:spPr>
                      <wps:txbx>
                        <w:txbxContent>
                          <w:p>
                            <w:pPr>
                              <w:tabs>
                                <w:tab w:pos="4534" w:val="left" w:leader="none"/>
                                <w:tab w:pos="5437" w:val="left" w:leader="none"/>
                                <w:tab w:pos="6885" w:val="left" w:leader="none"/>
                                <w:tab w:pos="8814" w:val="left" w:leader="none"/>
                                <w:tab w:pos="9859" w:val="left" w:leader="none"/>
                                <w:tab w:pos="10228" w:val="left" w:leader="none"/>
                                <w:tab w:pos="11144" w:val="left" w:leader="none"/>
                              </w:tabs>
                              <w:spacing w:line="153" w:lineRule="exact" w:before="0"/>
                              <w:ind w:left="305" w:right="0" w:firstLine="0"/>
                              <w:jc w:val="left"/>
                              <w:rPr>
                                <w:color w:val="000000"/>
                                <w:sz w:val="14"/>
                              </w:rPr>
                            </w:pPr>
                            <w:r>
                              <w:rPr>
                                <w:color w:val="000000"/>
                                <w:sz w:val="14"/>
                              </w:rPr>
                              <w:t>Other</w:t>
                            </w:r>
                            <w:r>
                              <w:rPr>
                                <w:color w:val="000000"/>
                                <w:spacing w:val="-5"/>
                                <w:sz w:val="14"/>
                              </w:rPr>
                              <w:t> </w:t>
                            </w:r>
                            <w:r>
                              <w:rPr>
                                <w:color w:val="000000"/>
                                <w:sz w:val="14"/>
                              </w:rPr>
                              <w:t>comprehensive</w:t>
                            </w:r>
                            <w:r>
                              <w:rPr>
                                <w:color w:val="000000"/>
                                <w:spacing w:val="-3"/>
                                <w:sz w:val="14"/>
                              </w:rPr>
                              <w:t> </w:t>
                            </w:r>
                            <w:r>
                              <w:rPr>
                                <w:color w:val="000000"/>
                                <w:sz w:val="14"/>
                              </w:rPr>
                              <w:t>(loss)</w:t>
                            </w:r>
                            <w:r>
                              <w:rPr>
                                <w:color w:val="000000"/>
                                <w:spacing w:val="-3"/>
                                <w:sz w:val="14"/>
                              </w:rPr>
                              <w:t> </w:t>
                            </w:r>
                            <w:r>
                              <w:rPr>
                                <w:color w:val="000000"/>
                                <w:sz w:val="14"/>
                              </w:rPr>
                              <w:t>income</w:t>
                            </w:r>
                            <w:r>
                              <w:rPr>
                                <w:color w:val="000000"/>
                                <w:spacing w:val="-2"/>
                                <w:sz w:val="14"/>
                              </w:rPr>
                              <w:t> </w:t>
                            </w:r>
                            <w:r>
                              <w:rPr>
                                <w:color w:val="000000"/>
                                <w:sz w:val="14"/>
                              </w:rPr>
                              <w:t>before</w:t>
                            </w:r>
                            <w:r>
                              <w:rPr>
                                <w:color w:val="000000"/>
                                <w:spacing w:val="-3"/>
                                <w:sz w:val="14"/>
                              </w:rPr>
                              <w:t> </w:t>
                            </w:r>
                            <w:r>
                              <w:rPr>
                                <w:color w:val="000000"/>
                                <w:sz w:val="14"/>
                              </w:rPr>
                              <w:t>reclassifications</w:t>
                            </w:r>
                            <w:r>
                              <w:rPr>
                                <w:color w:val="000000"/>
                                <w:spacing w:val="-4"/>
                                <w:sz w:val="14"/>
                              </w:rPr>
                              <w:t> </w:t>
                            </w:r>
                            <w:r>
                              <w:rPr>
                                <w:color w:val="000000"/>
                                <w:spacing w:val="-5"/>
                                <w:position w:val="3"/>
                                <w:sz w:val="11"/>
                              </w:rPr>
                              <w:t>(4)</w:t>
                            </w:r>
                            <w:r>
                              <w:rPr>
                                <w:color w:val="000000"/>
                                <w:position w:val="3"/>
                                <w:sz w:val="11"/>
                              </w:rPr>
                              <w:tab/>
                            </w:r>
                            <w:r>
                              <w:rPr>
                                <w:color w:val="000000"/>
                                <w:spacing w:val="-10"/>
                                <w:sz w:val="14"/>
                              </w:rPr>
                              <w:t>$</w:t>
                            </w:r>
                            <w:r>
                              <w:rPr>
                                <w:color w:val="000000"/>
                                <w:sz w:val="14"/>
                              </w:rPr>
                              <w:tab/>
                              <w:t>(582)</w:t>
                            </w:r>
                            <w:r>
                              <w:rPr>
                                <w:color w:val="000000"/>
                                <w:spacing w:val="54"/>
                                <w:sz w:val="14"/>
                              </w:rPr>
                              <w:t>  </w:t>
                            </w:r>
                            <w:r>
                              <w:rPr>
                                <w:color w:val="000000"/>
                                <w:spacing w:val="-10"/>
                                <w:sz w:val="14"/>
                              </w:rPr>
                              <w:t>$</w:t>
                            </w:r>
                            <w:r>
                              <w:rPr>
                                <w:color w:val="000000"/>
                                <w:sz w:val="14"/>
                              </w:rPr>
                              <w:tab/>
                            </w:r>
                            <w:r>
                              <w:rPr>
                                <w:color w:val="000000"/>
                                <w:spacing w:val="-5"/>
                                <w:sz w:val="14"/>
                              </w:rPr>
                              <w:t>178</w:t>
                            </w:r>
                            <w:r>
                              <w:rPr>
                                <w:color w:val="000000"/>
                                <w:sz w:val="14"/>
                              </w:rPr>
                              <w:tab/>
                            </w:r>
                            <w:r>
                              <w:rPr>
                                <w:color w:val="000000"/>
                                <w:spacing w:val="-10"/>
                                <w:sz w:val="14"/>
                              </w:rPr>
                              <w:t>$</w:t>
                            </w:r>
                            <w:r>
                              <w:rPr>
                                <w:color w:val="000000"/>
                                <w:sz w:val="14"/>
                              </w:rPr>
                              <w:tab/>
                            </w:r>
                            <w:r>
                              <w:rPr>
                                <w:color w:val="000000"/>
                                <w:spacing w:val="-5"/>
                                <w:sz w:val="14"/>
                              </w:rPr>
                              <w:t>43</w:t>
                            </w:r>
                            <w:r>
                              <w:rPr>
                                <w:color w:val="000000"/>
                                <w:sz w:val="14"/>
                              </w:rPr>
                              <w:tab/>
                            </w:r>
                            <w:r>
                              <w:rPr>
                                <w:color w:val="000000"/>
                                <w:spacing w:val="-10"/>
                                <w:sz w:val="14"/>
                              </w:rPr>
                              <w:t>$</w:t>
                            </w:r>
                            <w:r>
                              <w:rPr>
                                <w:color w:val="000000"/>
                                <w:sz w:val="14"/>
                              </w:rPr>
                              <w:tab/>
                            </w:r>
                            <w:r>
                              <w:rPr>
                                <w:color w:val="000000"/>
                                <w:spacing w:val="-2"/>
                                <w:sz w:val="14"/>
                              </w:rPr>
                              <w:t>(361)</w:t>
                            </w:r>
                          </w:p>
                        </w:txbxContent>
                      </wps:txbx>
                      <wps:bodyPr wrap="square" lIns="0" tIns="0" rIns="0" bIns="0" rtlCol="0">
                        <a:noAutofit/>
                      </wps:bodyPr>
                    </wps:wsp>
                  </a:graphicData>
                </a:graphic>
              </wp:anchor>
            </w:drawing>
          </mc:Choice>
          <mc:Fallback>
            <w:pict>
              <v:shape style="position:absolute;margin-left:17.833740pt;margin-top:9.324720pt;width:575.8pt;height:7.65pt;mso-position-horizontal-relative:page;mso-position-vertical-relative:paragraph;z-index:-15578112;mso-wrap-distance-left:0;mso-wrap-distance-right:0" type="#_x0000_t202" id="docshape939" filled="true" fillcolor="#ccedff" stroked="false">
                <v:textbox inset="0,0,0,0">
                  <w:txbxContent>
                    <w:p>
                      <w:pPr>
                        <w:tabs>
                          <w:tab w:pos="4534" w:val="left" w:leader="none"/>
                          <w:tab w:pos="5437" w:val="left" w:leader="none"/>
                          <w:tab w:pos="6885" w:val="left" w:leader="none"/>
                          <w:tab w:pos="8814" w:val="left" w:leader="none"/>
                          <w:tab w:pos="9859" w:val="left" w:leader="none"/>
                          <w:tab w:pos="10228" w:val="left" w:leader="none"/>
                          <w:tab w:pos="11144" w:val="left" w:leader="none"/>
                        </w:tabs>
                        <w:spacing w:line="153" w:lineRule="exact" w:before="0"/>
                        <w:ind w:left="305" w:right="0" w:firstLine="0"/>
                        <w:jc w:val="left"/>
                        <w:rPr>
                          <w:color w:val="000000"/>
                          <w:sz w:val="14"/>
                        </w:rPr>
                      </w:pPr>
                      <w:r>
                        <w:rPr>
                          <w:color w:val="000000"/>
                          <w:sz w:val="14"/>
                        </w:rPr>
                        <w:t>Other</w:t>
                      </w:r>
                      <w:r>
                        <w:rPr>
                          <w:color w:val="000000"/>
                          <w:spacing w:val="-5"/>
                          <w:sz w:val="14"/>
                        </w:rPr>
                        <w:t> </w:t>
                      </w:r>
                      <w:r>
                        <w:rPr>
                          <w:color w:val="000000"/>
                          <w:sz w:val="14"/>
                        </w:rPr>
                        <w:t>comprehensive</w:t>
                      </w:r>
                      <w:r>
                        <w:rPr>
                          <w:color w:val="000000"/>
                          <w:spacing w:val="-3"/>
                          <w:sz w:val="14"/>
                        </w:rPr>
                        <w:t> </w:t>
                      </w:r>
                      <w:r>
                        <w:rPr>
                          <w:color w:val="000000"/>
                          <w:sz w:val="14"/>
                        </w:rPr>
                        <w:t>(loss)</w:t>
                      </w:r>
                      <w:r>
                        <w:rPr>
                          <w:color w:val="000000"/>
                          <w:spacing w:val="-3"/>
                          <w:sz w:val="14"/>
                        </w:rPr>
                        <w:t> </w:t>
                      </w:r>
                      <w:r>
                        <w:rPr>
                          <w:color w:val="000000"/>
                          <w:sz w:val="14"/>
                        </w:rPr>
                        <w:t>income</w:t>
                      </w:r>
                      <w:r>
                        <w:rPr>
                          <w:color w:val="000000"/>
                          <w:spacing w:val="-2"/>
                          <w:sz w:val="14"/>
                        </w:rPr>
                        <w:t> </w:t>
                      </w:r>
                      <w:r>
                        <w:rPr>
                          <w:color w:val="000000"/>
                          <w:sz w:val="14"/>
                        </w:rPr>
                        <w:t>before</w:t>
                      </w:r>
                      <w:r>
                        <w:rPr>
                          <w:color w:val="000000"/>
                          <w:spacing w:val="-3"/>
                          <w:sz w:val="14"/>
                        </w:rPr>
                        <w:t> </w:t>
                      </w:r>
                      <w:r>
                        <w:rPr>
                          <w:color w:val="000000"/>
                          <w:sz w:val="14"/>
                        </w:rPr>
                        <w:t>reclassifications</w:t>
                      </w:r>
                      <w:r>
                        <w:rPr>
                          <w:color w:val="000000"/>
                          <w:spacing w:val="-4"/>
                          <w:sz w:val="14"/>
                        </w:rPr>
                        <w:t> </w:t>
                      </w:r>
                      <w:r>
                        <w:rPr>
                          <w:color w:val="000000"/>
                          <w:spacing w:val="-5"/>
                          <w:position w:val="3"/>
                          <w:sz w:val="11"/>
                        </w:rPr>
                        <w:t>(4)</w:t>
                      </w:r>
                      <w:r>
                        <w:rPr>
                          <w:color w:val="000000"/>
                          <w:position w:val="3"/>
                          <w:sz w:val="11"/>
                        </w:rPr>
                        <w:tab/>
                      </w:r>
                      <w:r>
                        <w:rPr>
                          <w:color w:val="000000"/>
                          <w:spacing w:val="-10"/>
                          <w:sz w:val="14"/>
                        </w:rPr>
                        <w:t>$</w:t>
                      </w:r>
                      <w:r>
                        <w:rPr>
                          <w:color w:val="000000"/>
                          <w:sz w:val="14"/>
                        </w:rPr>
                        <w:tab/>
                        <w:t>(582)</w:t>
                      </w:r>
                      <w:r>
                        <w:rPr>
                          <w:color w:val="000000"/>
                          <w:spacing w:val="54"/>
                          <w:sz w:val="14"/>
                        </w:rPr>
                        <w:t>  </w:t>
                      </w:r>
                      <w:r>
                        <w:rPr>
                          <w:color w:val="000000"/>
                          <w:spacing w:val="-10"/>
                          <w:sz w:val="14"/>
                        </w:rPr>
                        <w:t>$</w:t>
                      </w:r>
                      <w:r>
                        <w:rPr>
                          <w:color w:val="000000"/>
                          <w:sz w:val="14"/>
                        </w:rPr>
                        <w:tab/>
                      </w:r>
                      <w:r>
                        <w:rPr>
                          <w:color w:val="000000"/>
                          <w:spacing w:val="-5"/>
                          <w:sz w:val="14"/>
                        </w:rPr>
                        <w:t>178</w:t>
                      </w:r>
                      <w:r>
                        <w:rPr>
                          <w:color w:val="000000"/>
                          <w:sz w:val="14"/>
                        </w:rPr>
                        <w:tab/>
                      </w:r>
                      <w:r>
                        <w:rPr>
                          <w:color w:val="000000"/>
                          <w:spacing w:val="-10"/>
                          <w:sz w:val="14"/>
                        </w:rPr>
                        <w:t>$</w:t>
                      </w:r>
                      <w:r>
                        <w:rPr>
                          <w:color w:val="000000"/>
                          <w:sz w:val="14"/>
                        </w:rPr>
                        <w:tab/>
                      </w:r>
                      <w:r>
                        <w:rPr>
                          <w:color w:val="000000"/>
                          <w:spacing w:val="-5"/>
                          <w:sz w:val="14"/>
                        </w:rPr>
                        <w:t>43</w:t>
                      </w:r>
                      <w:r>
                        <w:rPr>
                          <w:color w:val="000000"/>
                          <w:sz w:val="14"/>
                        </w:rPr>
                        <w:tab/>
                      </w:r>
                      <w:r>
                        <w:rPr>
                          <w:color w:val="000000"/>
                          <w:spacing w:val="-10"/>
                          <w:sz w:val="14"/>
                        </w:rPr>
                        <w:t>$</w:t>
                      </w:r>
                      <w:r>
                        <w:rPr>
                          <w:color w:val="000000"/>
                          <w:sz w:val="14"/>
                        </w:rPr>
                        <w:tab/>
                      </w:r>
                      <w:r>
                        <w:rPr>
                          <w:color w:val="000000"/>
                          <w:spacing w:val="-2"/>
                          <w:sz w:val="14"/>
                        </w:rPr>
                        <w:t>(361)</w:t>
                      </w:r>
                    </w:p>
                  </w:txbxContent>
                </v:textbox>
                <v:fill type="solid"/>
                <w10:wrap type="topAndBottom"/>
              </v:shape>
            </w:pict>
          </mc:Fallback>
        </mc:AlternateContent>
      </w:r>
    </w:p>
    <w:p>
      <w:pPr>
        <w:spacing w:line="152" w:lineRule="exact" w:before="0"/>
        <w:ind w:left="462" w:right="0" w:firstLine="0"/>
        <w:jc w:val="left"/>
        <w:rPr>
          <w:sz w:val="14"/>
        </w:rPr>
      </w:pPr>
      <w:r>
        <w:rPr>
          <w:sz w:val="14"/>
        </w:rPr>
        <w:t>Amounts</w:t>
      </w:r>
      <w:r>
        <w:rPr>
          <w:spacing w:val="-1"/>
          <w:sz w:val="14"/>
        </w:rPr>
        <w:t> </w:t>
      </w:r>
      <w:r>
        <w:rPr>
          <w:sz w:val="14"/>
        </w:rPr>
        <w:t>reclassified</w:t>
      </w:r>
      <w:r>
        <w:rPr>
          <w:spacing w:val="-1"/>
          <w:sz w:val="14"/>
        </w:rPr>
        <w:t> </w:t>
      </w:r>
      <w:r>
        <w:rPr>
          <w:sz w:val="14"/>
        </w:rPr>
        <w:t>from</w:t>
      </w:r>
      <w:r>
        <w:rPr>
          <w:spacing w:val="-1"/>
          <w:sz w:val="14"/>
        </w:rPr>
        <w:t> </w:t>
      </w:r>
      <w:r>
        <w:rPr>
          <w:sz w:val="14"/>
        </w:rPr>
        <w:t>accumulated</w:t>
      </w:r>
      <w:r>
        <w:rPr>
          <w:spacing w:val="-1"/>
          <w:sz w:val="14"/>
        </w:rPr>
        <w:t> </w:t>
      </w:r>
      <w:r>
        <w:rPr>
          <w:sz w:val="14"/>
        </w:rPr>
        <w:t>other</w:t>
      </w:r>
      <w:r>
        <w:rPr>
          <w:spacing w:val="-1"/>
          <w:sz w:val="14"/>
        </w:rPr>
        <w:t> </w:t>
      </w:r>
      <w:r>
        <w:rPr>
          <w:sz w:val="14"/>
        </w:rPr>
        <w:t>comprehensive</w:t>
      </w:r>
      <w:r>
        <w:rPr>
          <w:spacing w:val="-1"/>
          <w:sz w:val="14"/>
        </w:rPr>
        <w:t> </w:t>
      </w:r>
      <w:r>
        <w:rPr>
          <w:spacing w:val="-2"/>
          <w:sz w:val="14"/>
        </w:rPr>
        <w:t>(loss)</w:t>
      </w:r>
    </w:p>
    <w:p>
      <w:pPr>
        <w:tabs>
          <w:tab w:pos="9354" w:val="left" w:leader="none"/>
          <w:tab w:pos="10755" w:val="left" w:leader="none"/>
        </w:tabs>
        <w:spacing w:line="153" w:lineRule="exact" w:before="0"/>
        <w:ind w:left="0" w:right="173" w:firstLine="0"/>
        <w:jc w:val="right"/>
        <w:rPr>
          <w:sz w:val="14"/>
        </w:rPr>
      </w:pPr>
      <w:r>
        <w:rPr>
          <w:sz w:val="14"/>
        </w:rPr>
        <w:t>income</w:t>
      </w:r>
      <w:r>
        <w:rPr>
          <w:spacing w:val="-1"/>
          <w:sz w:val="14"/>
        </w:rPr>
        <w:t> </w:t>
      </w:r>
      <w:r>
        <w:rPr>
          <w:spacing w:val="-5"/>
          <w:position w:val="3"/>
          <w:sz w:val="11"/>
        </w:rPr>
        <w:t>(5)</w:t>
      </w:r>
      <w:r>
        <w:rPr>
          <w:position w:val="3"/>
          <w:sz w:val="11"/>
        </w:rPr>
        <w:tab/>
      </w:r>
      <w:r>
        <w:rPr>
          <w:spacing w:val="-4"/>
          <w:sz w:val="14"/>
        </w:rPr>
        <w:t>(52)</w:t>
      </w:r>
      <w:r>
        <w:rPr>
          <w:sz w:val="14"/>
        </w:rPr>
        <w:tab/>
      </w:r>
      <w:r>
        <w:rPr>
          <w:spacing w:val="-4"/>
          <w:sz w:val="14"/>
        </w:rPr>
        <w:t>(52)</w:t>
      </w:r>
    </w:p>
    <w:p>
      <w:pPr>
        <w:tabs>
          <w:tab w:pos="5201" w:val="left" w:leader="none"/>
          <w:tab w:pos="10908" w:val="left" w:leader="none"/>
        </w:tabs>
        <w:spacing w:line="158" w:lineRule="exact" w:before="0"/>
        <w:ind w:left="0" w:right="173" w:firstLine="0"/>
        <w:jc w:val="right"/>
        <w:rPr>
          <w:sz w:val="14"/>
        </w:rPr>
      </w:pPr>
      <w:r>
        <w:rPr/>
        <mc:AlternateContent>
          <mc:Choice Requires="wps">
            <w:drawing>
              <wp:anchor distT="0" distB="0" distL="0" distR="0" allowOverlap="1" layoutInCell="1" locked="0" behindDoc="1" simplePos="0" relativeHeight="474172416">
                <wp:simplePos x="0" y="0"/>
                <wp:positionH relativeFrom="page">
                  <wp:posOffset>226488</wp:posOffset>
                </wp:positionH>
                <wp:positionV relativeFrom="paragraph">
                  <wp:posOffset>160</wp:posOffset>
                </wp:positionV>
                <wp:extent cx="7312659" cy="105410"/>
                <wp:effectExtent l="0" t="0" r="0" b="0"/>
                <wp:wrapNone/>
                <wp:docPr id="941" name="Group 941"/>
                <wp:cNvGraphicFramePr>
                  <a:graphicFrameLocks/>
                </wp:cNvGraphicFramePr>
                <a:graphic>
                  <a:graphicData uri="http://schemas.microsoft.com/office/word/2010/wordprocessingGroup">
                    <wpg:wgp>
                      <wpg:cNvPr id="941" name="Group 941"/>
                      <wpg:cNvGrpSpPr/>
                      <wpg:grpSpPr>
                        <a:xfrm>
                          <a:off x="0" y="0"/>
                          <a:ext cx="7312659" cy="105410"/>
                          <a:chExt cx="7312659" cy="105410"/>
                        </a:xfrm>
                      </wpg:grpSpPr>
                      <wps:wsp>
                        <wps:cNvPr id="942" name="Graphic 942"/>
                        <wps:cNvSpPr/>
                        <wps:spPr>
                          <a:xfrm>
                            <a:off x="0" y="0"/>
                            <a:ext cx="2807335" cy="105410"/>
                          </a:xfrm>
                          <a:custGeom>
                            <a:avLst/>
                            <a:gdLst/>
                            <a:ahLst/>
                            <a:cxnLst/>
                            <a:rect l="l" t="t" r="r" b="b"/>
                            <a:pathLst>
                              <a:path w="2807335" h="105410">
                                <a:moveTo>
                                  <a:pt x="0" y="0"/>
                                </a:moveTo>
                                <a:lnTo>
                                  <a:pt x="2806839" y="0"/>
                                </a:lnTo>
                                <a:lnTo>
                                  <a:pt x="280683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43" name="Graphic 943"/>
                        <wps:cNvSpPr/>
                        <wps:spPr>
                          <a:xfrm>
                            <a:off x="0" y="97066"/>
                            <a:ext cx="2807335" cy="8255"/>
                          </a:xfrm>
                          <a:custGeom>
                            <a:avLst/>
                            <a:gdLst/>
                            <a:ahLst/>
                            <a:cxnLst/>
                            <a:rect l="l" t="t" r="r" b="b"/>
                            <a:pathLst>
                              <a:path w="2807335" h="8255">
                                <a:moveTo>
                                  <a:pt x="0" y="0"/>
                                </a:moveTo>
                                <a:lnTo>
                                  <a:pt x="2806839" y="0"/>
                                </a:lnTo>
                                <a:lnTo>
                                  <a:pt x="280683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44" name="Graphic 944"/>
                        <wps:cNvSpPr/>
                        <wps:spPr>
                          <a:xfrm>
                            <a:off x="2806839"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45" name="Graphic 945"/>
                        <wps:cNvSpPr/>
                        <wps:spPr>
                          <a:xfrm>
                            <a:off x="2806839"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46" name="Graphic 946"/>
                        <wps:cNvSpPr/>
                        <wps:spPr>
                          <a:xfrm>
                            <a:off x="2879639" y="0"/>
                            <a:ext cx="89535" cy="105410"/>
                          </a:xfrm>
                          <a:custGeom>
                            <a:avLst/>
                            <a:gdLst/>
                            <a:ahLst/>
                            <a:cxnLst/>
                            <a:rect l="l" t="t" r="r" b="b"/>
                            <a:pathLst>
                              <a:path w="89535" h="105410">
                                <a:moveTo>
                                  <a:pt x="0" y="0"/>
                                </a:moveTo>
                                <a:lnTo>
                                  <a:pt x="88977" y="0"/>
                                </a:lnTo>
                                <a:lnTo>
                                  <a:pt x="88977"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47" name="Graphic 947"/>
                        <wps:cNvSpPr/>
                        <wps:spPr>
                          <a:xfrm>
                            <a:off x="2879639" y="97066"/>
                            <a:ext cx="89535" cy="8255"/>
                          </a:xfrm>
                          <a:custGeom>
                            <a:avLst/>
                            <a:gdLst/>
                            <a:ahLst/>
                            <a:cxnLst/>
                            <a:rect l="l" t="t" r="r" b="b"/>
                            <a:pathLst>
                              <a:path w="89535" h="8255">
                                <a:moveTo>
                                  <a:pt x="0" y="0"/>
                                </a:moveTo>
                                <a:lnTo>
                                  <a:pt x="88977" y="0"/>
                                </a:lnTo>
                                <a:lnTo>
                                  <a:pt x="88977"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48" name="Graphic 948"/>
                        <wps:cNvSpPr/>
                        <wps:spPr>
                          <a:xfrm>
                            <a:off x="2968617" y="0"/>
                            <a:ext cx="647700" cy="105410"/>
                          </a:xfrm>
                          <a:custGeom>
                            <a:avLst/>
                            <a:gdLst/>
                            <a:ahLst/>
                            <a:cxnLst/>
                            <a:rect l="l" t="t" r="r" b="b"/>
                            <a:pathLst>
                              <a:path w="647700" h="105410">
                                <a:moveTo>
                                  <a:pt x="0" y="0"/>
                                </a:moveTo>
                                <a:lnTo>
                                  <a:pt x="647110" y="0"/>
                                </a:lnTo>
                                <a:lnTo>
                                  <a:pt x="6471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49" name="Graphic 949"/>
                        <wps:cNvSpPr/>
                        <wps:spPr>
                          <a:xfrm>
                            <a:off x="2968617" y="97066"/>
                            <a:ext cx="647700" cy="8255"/>
                          </a:xfrm>
                          <a:custGeom>
                            <a:avLst/>
                            <a:gdLst/>
                            <a:ahLst/>
                            <a:cxnLst/>
                            <a:rect l="l" t="t" r="r" b="b"/>
                            <a:pathLst>
                              <a:path w="647700" h="8255">
                                <a:moveTo>
                                  <a:pt x="0" y="0"/>
                                </a:moveTo>
                                <a:lnTo>
                                  <a:pt x="647110" y="0"/>
                                </a:lnTo>
                                <a:lnTo>
                                  <a:pt x="647110"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50" name="Graphic 950"/>
                        <wps:cNvSpPr/>
                        <wps:spPr>
                          <a:xfrm>
                            <a:off x="3615727"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51" name="Graphic 951"/>
                        <wps:cNvSpPr/>
                        <wps:spPr>
                          <a:xfrm>
                            <a:off x="3615727"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52" name="Graphic 952"/>
                        <wps:cNvSpPr/>
                        <wps:spPr>
                          <a:xfrm>
                            <a:off x="3688527"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53" name="Graphic 953"/>
                        <wps:cNvSpPr/>
                        <wps:spPr>
                          <a:xfrm>
                            <a:off x="3688527"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54" name="Graphic 954"/>
                        <wps:cNvSpPr/>
                        <wps:spPr>
                          <a:xfrm>
                            <a:off x="3761327" y="0"/>
                            <a:ext cx="97155" cy="105410"/>
                          </a:xfrm>
                          <a:custGeom>
                            <a:avLst/>
                            <a:gdLst/>
                            <a:ahLst/>
                            <a:cxnLst/>
                            <a:rect l="l" t="t" r="r" b="b"/>
                            <a:pathLst>
                              <a:path w="97155" h="105410">
                                <a:moveTo>
                                  <a:pt x="0" y="0"/>
                                </a:moveTo>
                                <a:lnTo>
                                  <a:pt x="97066" y="0"/>
                                </a:lnTo>
                                <a:lnTo>
                                  <a:pt x="97066"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55" name="Graphic 955"/>
                        <wps:cNvSpPr/>
                        <wps:spPr>
                          <a:xfrm>
                            <a:off x="3761327" y="97066"/>
                            <a:ext cx="97155" cy="8255"/>
                          </a:xfrm>
                          <a:custGeom>
                            <a:avLst/>
                            <a:gdLst/>
                            <a:ahLst/>
                            <a:cxnLst/>
                            <a:rect l="l" t="t" r="r" b="b"/>
                            <a:pathLst>
                              <a:path w="97155" h="8255">
                                <a:moveTo>
                                  <a:pt x="0" y="0"/>
                                </a:moveTo>
                                <a:lnTo>
                                  <a:pt x="97066" y="0"/>
                                </a:lnTo>
                                <a:lnTo>
                                  <a:pt x="97066"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56" name="Graphic 956"/>
                        <wps:cNvSpPr/>
                        <wps:spPr>
                          <a:xfrm>
                            <a:off x="3858393" y="0"/>
                            <a:ext cx="647700" cy="105410"/>
                          </a:xfrm>
                          <a:custGeom>
                            <a:avLst/>
                            <a:gdLst/>
                            <a:ahLst/>
                            <a:cxnLst/>
                            <a:rect l="l" t="t" r="r" b="b"/>
                            <a:pathLst>
                              <a:path w="647700" h="105410">
                                <a:moveTo>
                                  <a:pt x="0" y="0"/>
                                </a:moveTo>
                                <a:lnTo>
                                  <a:pt x="647110" y="0"/>
                                </a:lnTo>
                                <a:lnTo>
                                  <a:pt x="6471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57" name="Graphic 957"/>
                        <wps:cNvSpPr/>
                        <wps:spPr>
                          <a:xfrm>
                            <a:off x="3858393" y="97066"/>
                            <a:ext cx="647700" cy="8255"/>
                          </a:xfrm>
                          <a:custGeom>
                            <a:avLst/>
                            <a:gdLst/>
                            <a:ahLst/>
                            <a:cxnLst/>
                            <a:rect l="l" t="t" r="r" b="b"/>
                            <a:pathLst>
                              <a:path w="647700" h="8255">
                                <a:moveTo>
                                  <a:pt x="0" y="0"/>
                                </a:moveTo>
                                <a:lnTo>
                                  <a:pt x="647110" y="0"/>
                                </a:lnTo>
                                <a:lnTo>
                                  <a:pt x="647110"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58" name="Graphic 958"/>
                        <wps:cNvSpPr/>
                        <wps:spPr>
                          <a:xfrm>
                            <a:off x="4505503"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59" name="Graphic 959"/>
                        <wps:cNvSpPr/>
                        <wps:spPr>
                          <a:xfrm>
                            <a:off x="4505503"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60" name="Graphic 960"/>
                        <wps:cNvSpPr/>
                        <wps:spPr>
                          <a:xfrm>
                            <a:off x="4578303"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61" name="Graphic 961"/>
                        <wps:cNvSpPr/>
                        <wps:spPr>
                          <a:xfrm>
                            <a:off x="4578303"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62" name="Graphic 962"/>
                        <wps:cNvSpPr/>
                        <wps:spPr>
                          <a:xfrm>
                            <a:off x="4651103" y="0"/>
                            <a:ext cx="154305" cy="105410"/>
                          </a:xfrm>
                          <a:custGeom>
                            <a:avLst/>
                            <a:gdLst/>
                            <a:ahLst/>
                            <a:cxnLst/>
                            <a:rect l="l" t="t" r="r" b="b"/>
                            <a:pathLst>
                              <a:path w="154305" h="105410">
                                <a:moveTo>
                                  <a:pt x="0" y="0"/>
                                </a:moveTo>
                                <a:lnTo>
                                  <a:pt x="153688" y="0"/>
                                </a:lnTo>
                                <a:lnTo>
                                  <a:pt x="153688"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63" name="Graphic 963"/>
                        <wps:cNvSpPr/>
                        <wps:spPr>
                          <a:xfrm>
                            <a:off x="4651103" y="97066"/>
                            <a:ext cx="154305" cy="8255"/>
                          </a:xfrm>
                          <a:custGeom>
                            <a:avLst/>
                            <a:gdLst/>
                            <a:ahLst/>
                            <a:cxnLst/>
                            <a:rect l="l" t="t" r="r" b="b"/>
                            <a:pathLst>
                              <a:path w="154305" h="8255">
                                <a:moveTo>
                                  <a:pt x="0" y="0"/>
                                </a:moveTo>
                                <a:lnTo>
                                  <a:pt x="153688" y="0"/>
                                </a:lnTo>
                                <a:lnTo>
                                  <a:pt x="153688"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64" name="Graphic 964"/>
                        <wps:cNvSpPr/>
                        <wps:spPr>
                          <a:xfrm>
                            <a:off x="4804791" y="0"/>
                            <a:ext cx="647700" cy="105410"/>
                          </a:xfrm>
                          <a:custGeom>
                            <a:avLst/>
                            <a:gdLst/>
                            <a:ahLst/>
                            <a:cxnLst/>
                            <a:rect l="l" t="t" r="r" b="b"/>
                            <a:pathLst>
                              <a:path w="647700" h="105410">
                                <a:moveTo>
                                  <a:pt x="0" y="0"/>
                                </a:moveTo>
                                <a:lnTo>
                                  <a:pt x="647110" y="0"/>
                                </a:lnTo>
                                <a:lnTo>
                                  <a:pt x="6471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65" name="Graphic 965"/>
                        <wps:cNvSpPr/>
                        <wps:spPr>
                          <a:xfrm>
                            <a:off x="4804791" y="97066"/>
                            <a:ext cx="647700" cy="8255"/>
                          </a:xfrm>
                          <a:custGeom>
                            <a:avLst/>
                            <a:gdLst/>
                            <a:ahLst/>
                            <a:cxnLst/>
                            <a:rect l="l" t="t" r="r" b="b"/>
                            <a:pathLst>
                              <a:path w="647700" h="8255">
                                <a:moveTo>
                                  <a:pt x="0" y="0"/>
                                </a:moveTo>
                                <a:lnTo>
                                  <a:pt x="647110" y="0"/>
                                </a:lnTo>
                                <a:lnTo>
                                  <a:pt x="647110"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66" name="Graphic 966"/>
                        <wps:cNvSpPr/>
                        <wps:spPr>
                          <a:xfrm>
                            <a:off x="5451902"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67" name="Graphic 967"/>
                        <wps:cNvSpPr/>
                        <wps:spPr>
                          <a:xfrm>
                            <a:off x="5451902"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68" name="Graphic 968"/>
                        <wps:cNvSpPr/>
                        <wps:spPr>
                          <a:xfrm>
                            <a:off x="5524701"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69" name="Graphic 969"/>
                        <wps:cNvSpPr/>
                        <wps:spPr>
                          <a:xfrm>
                            <a:off x="5524701"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70" name="Graphic 970"/>
                        <wps:cNvSpPr/>
                        <wps:spPr>
                          <a:xfrm>
                            <a:off x="5597502" y="0"/>
                            <a:ext cx="105410" cy="105410"/>
                          </a:xfrm>
                          <a:custGeom>
                            <a:avLst/>
                            <a:gdLst/>
                            <a:ahLst/>
                            <a:cxnLst/>
                            <a:rect l="l" t="t" r="r" b="b"/>
                            <a:pathLst>
                              <a:path w="105410" h="105410">
                                <a:moveTo>
                                  <a:pt x="0" y="0"/>
                                </a:moveTo>
                                <a:lnTo>
                                  <a:pt x="105155" y="0"/>
                                </a:lnTo>
                                <a:lnTo>
                                  <a:pt x="105155"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71" name="Graphic 971"/>
                        <wps:cNvSpPr/>
                        <wps:spPr>
                          <a:xfrm>
                            <a:off x="5597502" y="97066"/>
                            <a:ext cx="105410" cy="8255"/>
                          </a:xfrm>
                          <a:custGeom>
                            <a:avLst/>
                            <a:gdLst/>
                            <a:ahLst/>
                            <a:cxnLst/>
                            <a:rect l="l" t="t" r="r" b="b"/>
                            <a:pathLst>
                              <a:path w="105410" h="8255">
                                <a:moveTo>
                                  <a:pt x="0" y="0"/>
                                </a:moveTo>
                                <a:lnTo>
                                  <a:pt x="105155" y="0"/>
                                </a:lnTo>
                                <a:lnTo>
                                  <a:pt x="105155"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72" name="Graphic 972"/>
                        <wps:cNvSpPr/>
                        <wps:spPr>
                          <a:xfrm>
                            <a:off x="5702657" y="0"/>
                            <a:ext cx="647700" cy="105410"/>
                          </a:xfrm>
                          <a:custGeom>
                            <a:avLst/>
                            <a:gdLst/>
                            <a:ahLst/>
                            <a:cxnLst/>
                            <a:rect l="l" t="t" r="r" b="b"/>
                            <a:pathLst>
                              <a:path w="647700" h="105410">
                                <a:moveTo>
                                  <a:pt x="0" y="0"/>
                                </a:moveTo>
                                <a:lnTo>
                                  <a:pt x="647110" y="0"/>
                                </a:lnTo>
                                <a:lnTo>
                                  <a:pt x="647110"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73" name="Graphic 973"/>
                        <wps:cNvSpPr/>
                        <wps:spPr>
                          <a:xfrm>
                            <a:off x="5702657" y="97066"/>
                            <a:ext cx="647700" cy="8255"/>
                          </a:xfrm>
                          <a:custGeom>
                            <a:avLst/>
                            <a:gdLst/>
                            <a:ahLst/>
                            <a:cxnLst/>
                            <a:rect l="l" t="t" r="r" b="b"/>
                            <a:pathLst>
                              <a:path w="647700" h="8255">
                                <a:moveTo>
                                  <a:pt x="0" y="0"/>
                                </a:moveTo>
                                <a:lnTo>
                                  <a:pt x="647110" y="0"/>
                                </a:lnTo>
                                <a:lnTo>
                                  <a:pt x="647110"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74" name="Graphic 974"/>
                        <wps:cNvSpPr/>
                        <wps:spPr>
                          <a:xfrm>
                            <a:off x="6349767"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75" name="Graphic 975"/>
                        <wps:cNvSpPr/>
                        <wps:spPr>
                          <a:xfrm>
                            <a:off x="6349767"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76" name="Graphic 976"/>
                        <wps:cNvSpPr/>
                        <wps:spPr>
                          <a:xfrm>
                            <a:off x="6422567"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77" name="Graphic 977"/>
                        <wps:cNvSpPr/>
                        <wps:spPr>
                          <a:xfrm>
                            <a:off x="6422567"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78" name="Graphic 978"/>
                        <wps:cNvSpPr/>
                        <wps:spPr>
                          <a:xfrm>
                            <a:off x="6495367" y="0"/>
                            <a:ext cx="89535" cy="105410"/>
                          </a:xfrm>
                          <a:custGeom>
                            <a:avLst/>
                            <a:gdLst/>
                            <a:ahLst/>
                            <a:cxnLst/>
                            <a:rect l="l" t="t" r="r" b="b"/>
                            <a:pathLst>
                              <a:path w="89535" h="105410">
                                <a:moveTo>
                                  <a:pt x="0" y="0"/>
                                </a:moveTo>
                                <a:lnTo>
                                  <a:pt x="88977" y="0"/>
                                </a:lnTo>
                                <a:lnTo>
                                  <a:pt x="88977"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79" name="Graphic 979"/>
                        <wps:cNvSpPr/>
                        <wps:spPr>
                          <a:xfrm>
                            <a:off x="6495367" y="97066"/>
                            <a:ext cx="89535" cy="8255"/>
                          </a:xfrm>
                          <a:custGeom>
                            <a:avLst/>
                            <a:gdLst/>
                            <a:ahLst/>
                            <a:cxnLst/>
                            <a:rect l="l" t="t" r="r" b="b"/>
                            <a:pathLst>
                              <a:path w="89535" h="8255">
                                <a:moveTo>
                                  <a:pt x="0" y="0"/>
                                </a:moveTo>
                                <a:lnTo>
                                  <a:pt x="88977" y="0"/>
                                </a:lnTo>
                                <a:lnTo>
                                  <a:pt x="88977"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80" name="Graphic 980"/>
                        <wps:cNvSpPr/>
                        <wps:spPr>
                          <a:xfrm>
                            <a:off x="6584344" y="0"/>
                            <a:ext cx="655320" cy="105410"/>
                          </a:xfrm>
                          <a:custGeom>
                            <a:avLst/>
                            <a:gdLst/>
                            <a:ahLst/>
                            <a:cxnLst/>
                            <a:rect l="l" t="t" r="r" b="b"/>
                            <a:pathLst>
                              <a:path w="655320" h="105410">
                                <a:moveTo>
                                  <a:pt x="0" y="0"/>
                                </a:moveTo>
                                <a:lnTo>
                                  <a:pt x="655198" y="0"/>
                                </a:lnTo>
                                <a:lnTo>
                                  <a:pt x="655198"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81" name="Graphic 981"/>
                        <wps:cNvSpPr/>
                        <wps:spPr>
                          <a:xfrm>
                            <a:off x="6584344" y="97066"/>
                            <a:ext cx="655320" cy="8255"/>
                          </a:xfrm>
                          <a:custGeom>
                            <a:avLst/>
                            <a:gdLst/>
                            <a:ahLst/>
                            <a:cxnLst/>
                            <a:rect l="l" t="t" r="r" b="b"/>
                            <a:pathLst>
                              <a:path w="655320" h="8255">
                                <a:moveTo>
                                  <a:pt x="0" y="0"/>
                                </a:moveTo>
                                <a:lnTo>
                                  <a:pt x="655198" y="0"/>
                                </a:lnTo>
                                <a:lnTo>
                                  <a:pt x="655198" y="8088"/>
                                </a:lnTo>
                                <a:lnTo>
                                  <a:pt x="0" y="8088"/>
                                </a:lnTo>
                                <a:lnTo>
                                  <a:pt x="0" y="0"/>
                                </a:lnTo>
                                <a:close/>
                              </a:path>
                            </a:pathLst>
                          </a:custGeom>
                          <a:solidFill>
                            <a:srgbClr val="000000"/>
                          </a:solidFill>
                        </wps:spPr>
                        <wps:bodyPr wrap="square" lIns="0" tIns="0" rIns="0" bIns="0" rtlCol="0">
                          <a:prstTxWarp prst="textNoShape">
                            <a:avLst/>
                          </a:prstTxWarp>
                          <a:noAutofit/>
                        </wps:bodyPr>
                      </wps:wsp>
                      <wps:wsp>
                        <wps:cNvPr id="982" name="Graphic 982"/>
                        <wps:cNvSpPr/>
                        <wps:spPr>
                          <a:xfrm>
                            <a:off x="7239543" y="0"/>
                            <a:ext cx="73025" cy="105410"/>
                          </a:xfrm>
                          <a:custGeom>
                            <a:avLst/>
                            <a:gdLst/>
                            <a:ahLst/>
                            <a:cxnLst/>
                            <a:rect l="l" t="t" r="r" b="b"/>
                            <a:pathLst>
                              <a:path w="73025" h="105410">
                                <a:moveTo>
                                  <a:pt x="0" y="0"/>
                                </a:moveTo>
                                <a:lnTo>
                                  <a:pt x="72799" y="0"/>
                                </a:lnTo>
                                <a:lnTo>
                                  <a:pt x="72799" y="105155"/>
                                </a:lnTo>
                                <a:lnTo>
                                  <a:pt x="0" y="105155"/>
                                </a:lnTo>
                                <a:lnTo>
                                  <a:pt x="0" y="0"/>
                                </a:lnTo>
                                <a:close/>
                              </a:path>
                            </a:pathLst>
                          </a:custGeom>
                          <a:solidFill>
                            <a:srgbClr val="CCEDFF"/>
                          </a:solidFill>
                        </wps:spPr>
                        <wps:bodyPr wrap="square" lIns="0" tIns="0" rIns="0" bIns="0" rtlCol="0">
                          <a:prstTxWarp prst="textNoShape">
                            <a:avLst/>
                          </a:prstTxWarp>
                          <a:noAutofit/>
                        </wps:bodyPr>
                      </wps:wsp>
                      <wps:wsp>
                        <wps:cNvPr id="983" name="Graphic 983"/>
                        <wps:cNvSpPr/>
                        <wps:spPr>
                          <a:xfrm>
                            <a:off x="7239543" y="97066"/>
                            <a:ext cx="73025" cy="8255"/>
                          </a:xfrm>
                          <a:custGeom>
                            <a:avLst/>
                            <a:gdLst/>
                            <a:ahLst/>
                            <a:cxnLst/>
                            <a:rect l="l" t="t" r="r" b="b"/>
                            <a:pathLst>
                              <a:path w="73025" h="8255">
                                <a:moveTo>
                                  <a:pt x="0" y="0"/>
                                </a:moveTo>
                                <a:lnTo>
                                  <a:pt x="72799" y="0"/>
                                </a:lnTo>
                                <a:lnTo>
                                  <a:pt x="72799" y="8088"/>
                                </a:lnTo>
                                <a:lnTo>
                                  <a:pt x="0" y="808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833740pt;margin-top:.012638pt;width:575.8pt;height:8.3pt;mso-position-horizontal-relative:page;mso-position-vertical-relative:paragraph;z-index:-29144064" id="docshapegroup940" coordorigin="357,0" coordsize="11516,166">
                <v:rect style="position:absolute;left:356;top:0;width:4421;height:166" id="docshape941" filled="true" fillcolor="#ccedff" stroked="false">
                  <v:fill type="solid"/>
                </v:rect>
                <v:rect style="position:absolute;left:356;top:153;width:4421;height:13" id="docshape942" filled="true" fillcolor="#000000" stroked="false">
                  <v:fill type="solid"/>
                </v:rect>
                <v:rect style="position:absolute;left:4776;top:0;width:115;height:166" id="docshape943" filled="true" fillcolor="#ccedff" stroked="false">
                  <v:fill type="solid"/>
                </v:rect>
                <v:rect style="position:absolute;left:4776;top:153;width:115;height:13" id="docshape944" filled="true" fillcolor="#000000" stroked="false">
                  <v:fill type="solid"/>
                </v:rect>
                <v:rect style="position:absolute;left:4891;top:0;width:141;height:166" id="docshape945" filled="true" fillcolor="#ccedff" stroked="false">
                  <v:fill type="solid"/>
                </v:rect>
                <v:rect style="position:absolute;left:4891;top:153;width:141;height:13" id="docshape946" filled="true" fillcolor="#000000" stroked="false">
                  <v:fill type="solid"/>
                </v:rect>
                <v:rect style="position:absolute;left:5031;top:0;width:1020;height:166" id="docshape947" filled="true" fillcolor="#ccedff" stroked="false">
                  <v:fill type="solid"/>
                </v:rect>
                <v:rect style="position:absolute;left:5031;top:153;width:1020;height:13" id="docshape948" filled="true" fillcolor="#000000" stroked="false">
                  <v:fill type="solid"/>
                </v:rect>
                <v:rect style="position:absolute;left:6050;top:0;width:115;height:166" id="docshape949" filled="true" fillcolor="#ccedff" stroked="false">
                  <v:fill type="solid"/>
                </v:rect>
                <v:rect style="position:absolute;left:6050;top:153;width:115;height:13" id="docshape950" filled="true" fillcolor="#000000" stroked="false">
                  <v:fill type="solid"/>
                </v:rect>
                <v:rect style="position:absolute;left:6165;top:0;width:115;height:166" id="docshape951" filled="true" fillcolor="#ccedff" stroked="false">
                  <v:fill type="solid"/>
                </v:rect>
                <v:rect style="position:absolute;left:6165;top:153;width:115;height:13" id="docshape952" filled="true" fillcolor="#000000" stroked="false">
                  <v:fill type="solid"/>
                </v:rect>
                <v:rect style="position:absolute;left:6280;top:0;width:153;height:166" id="docshape953" filled="true" fillcolor="#ccedff" stroked="false">
                  <v:fill type="solid"/>
                </v:rect>
                <v:rect style="position:absolute;left:6280;top:153;width:153;height:13" id="docshape954" filled="true" fillcolor="#000000" stroked="false">
                  <v:fill type="solid"/>
                </v:rect>
                <v:rect style="position:absolute;left:6432;top:0;width:1020;height:166" id="docshape955" filled="true" fillcolor="#ccedff" stroked="false">
                  <v:fill type="solid"/>
                </v:rect>
                <v:rect style="position:absolute;left:6432;top:153;width:1020;height:13" id="docshape956" filled="true" fillcolor="#000000" stroked="false">
                  <v:fill type="solid"/>
                </v:rect>
                <v:rect style="position:absolute;left:7451;top:0;width:115;height:166" id="docshape957" filled="true" fillcolor="#ccedff" stroked="false">
                  <v:fill type="solid"/>
                </v:rect>
                <v:rect style="position:absolute;left:7451;top:153;width:115;height:13" id="docshape958" filled="true" fillcolor="#000000" stroked="false">
                  <v:fill type="solid"/>
                </v:rect>
                <v:rect style="position:absolute;left:7566;top:0;width:115;height:166" id="docshape959" filled="true" fillcolor="#ccedff" stroked="false">
                  <v:fill type="solid"/>
                </v:rect>
                <v:rect style="position:absolute;left:7566;top:153;width:115;height:13" id="docshape960" filled="true" fillcolor="#000000" stroked="false">
                  <v:fill type="solid"/>
                </v:rect>
                <v:rect style="position:absolute;left:7681;top:0;width:243;height:166" id="docshape961" filled="true" fillcolor="#ccedff" stroked="false">
                  <v:fill type="solid"/>
                </v:rect>
                <v:rect style="position:absolute;left:7681;top:153;width:243;height:13" id="docshape962" filled="true" fillcolor="#000000" stroked="false">
                  <v:fill type="solid"/>
                </v:rect>
                <v:rect style="position:absolute;left:7923;top:0;width:1020;height:166" id="docshape963" filled="true" fillcolor="#ccedff" stroked="false">
                  <v:fill type="solid"/>
                </v:rect>
                <v:rect style="position:absolute;left:7923;top:153;width:1020;height:13" id="docshape964" filled="true" fillcolor="#000000" stroked="false">
                  <v:fill type="solid"/>
                </v:rect>
                <v:rect style="position:absolute;left:8942;top:0;width:115;height:166" id="docshape965" filled="true" fillcolor="#ccedff" stroked="false">
                  <v:fill type="solid"/>
                </v:rect>
                <v:rect style="position:absolute;left:8942;top:153;width:115;height:13" id="docshape966" filled="true" fillcolor="#000000" stroked="false">
                  <v:fill type="solid"/>
                </v:rect>
                <v:rect style="position:absolute;left:9057;top:0;width:115;height:166" id="docshape967" filled="true" fillcolor="#ccedff" stroked="false">
                  <v:fill type="solid"/>
                </v:rect>
                <v:rect style="position:absolute;left:9057;top:153;width:115;height:13" id="docshape968" filled="true" fillcolor="#000000" stroked="false">
                  <v:fill type="solid"/>
                </v:rect>
                <v:rect style="position:absolute;left:9171;top:0;width:166;height:166" id="docshape969" filled="true" fillcolor="#ccedff" stroked="false">
                  <v:fill type="solid"/>
                </v:rect>
                <v:rect style="position:absolute;left:9171;top:153;width:166;height:13" id="docshape970" filled="true" fillcolor="#000000" stroked="false">
                  <v:fill type="solid"/>
                </v:rect>
                <v:rect style="position:absolute;left:9337;top:0;width:1020;height:166" id="docshape971" filled="true" fillcolor="#ccedff" stroked="false">
                  <v:fill type="solid"/>
                </v:rect>
                <v:rect style="position:absolute;left:9337;top:153;width:1020;height:13" id="docshape972" filled="true" fillcolor="#000000" stroked="false">
                  <v:fill type="solid"/>
                </v:rect>
                <v:rect style="position:absolute;left:10356;top:0;width:115;height:166" id="docshape973" filled="true" fillcolor="#ccedff" stroked="false">
                  <v:fill type="solid"/>
                </v:rect>
                <v:rect style="position:absolute;left:10356;top:153;width:115;height:13" id="docshape974" filled="true" fillcolor="#000000" stroked="false">
                  <v:fill type="solid"/>
                </v:rect>
                <v:rect style="position:absolute;left:10470;top:0;width:115;height:166" id="docshape975" filled="true" fillcolor="#ccedff" stroked="false">
                  <v:fill type="solid"/>
                </v:rect>
                <v:rect style="position:absolute;left:10470;top:153;width:115;height:13" id="docshape976" filled="true" fillcolor="#000000" stroked="false">
                  <v:fill type="solid"/>
                </v:rect>
                <v:rect style="position:absolute;left:10585;top:0;width:141;height:166" id="docshape977" filled="true" fillcolor="#ccedff" stroked="false">
                  <v:fill type="solid"/>
                </v:rect>
                <v:rect style="position:absolute;left:10585;top:153;width:141;height:13" id="docshape978" filled="true" fillcolor="#000000" stroked="false">
                  <v:fill type="solid"/>
                </v:rect>
                <v:rect style="position:absolute;left:10725;top:0;width:1032;height:166" id="docshape979" filled="true" fillcolor="#ccedff" stroked="false">
                  <v:fill type="solid"/>
                </v:rect>
                <v:rect style="position:absolute;left:10725;top:153;width:1032;height:13" id="docshape980" filled="true" fillcolor="#000000" stroked="false">
                  <v:fill type="solid"/>
                </v:rect>
                <v:rect style="position:absolute;left:11757;top:0;width:115;height:166" id="docshape981" filled="true" fillcolor="#ccedff" stroked="false">
                  <v:fill type="solid"/>
                </v:rect>
                <v:rect style="position:absolute;left:11757;top:153;width:115;height:13" id="docshape982" filled="true" fillcolor="#000000" stroked="false">
                  <v:fill type="solid"/>
                </v:rect>
                <w10:wrap type="none"/>
              </v:group>
            </w:pict>
          </mc:Fallback>
        </mc:AlternateContent>
      </w:r>
      <w:r>
        <w:rPr>
          <w:sz w:val="14"/>
        </w:rPr>
        <w:t>Equity</w:t>
      </w:r>
      <w:r>
        <w:rPr>
          <w:spacing w:val="-3"/>
          <w:sz w:val="14"/>
        </w:rPr>
        <w:t> </w:t>
      </w:r>
      <w:r>
        <w:rPr>
          <w:sz w:val="14"/>
        </w:rPr>
        <w:t>method</w:t>
      </w:r>
      <w:r>
        <w:rPr>
          <w:spacing w:val="-3"/>
          <w:sz w:val="14"/>
        </w:rPr>
        <w:t> </w:t>
      </w:r>
      <w:r>
        <w:rPr>
          <w:sz w:val="14"/>
        </w:rPr>
        <w:t>affiliates</w:t>
      </w:r>
      <w:r>
        <w:rPr>
          <w:spacing w:val="-3"/>
          <w:sz w:val="14"/>
        </w:rPr>
        <w:t> </w:t>
      </w:r>
      <w:r>
        <w:rPr>
          <w:spacing w:val="-5"/>
          <w:position w:val="3"/>
          <w:sz w:val="11"/>
        </w:rPr>
        <w:t>(6)</w:t>
      </w:r>
      <w:r>
        <w:rPr>
          <w:position w:val="3"/>
          <w:sz w:val="11"/>
        </w:rPr>
        <w:tab/>
      </w:r>
      <w:r>
        <w:rPr>
          <w:spacing w:val="-4"/>
          <w:sz w:val="14"/>
        </w:rPr>
        <w:t>(22)</w:t>
      </w:r>
      <w:r>
        <w:rPr>
          <w:sz w:val="14"/>
        </w:rPr>
        <w:tab/>
      </w:r>
      <w:r>
        <w:rPr>
          <w:spacing w:val="-4"/>
          <w:sz w:val="14"/>
        </w:rPr>
        <w:t>(22)</w:t>
      </w:r>
    </w:p>
    <w:p>
      <w:pPr>
        <w:tabs>
          <w:tab w:pos="5284" w:val="left" w:leader="none"/>
          <w:tab w:pos="6732" w:val="left" w:leader="none"/>
          <w:tab w:pos="9730" w:val="left" w:leader="none"/>
          <w:tab w:pos="10991" w:val="left" w:leader="none"/>
        </w:tabs>
        <w:spacing w:before="4"/>
        <w:ind w:left="0" w:right="173" w:firstLine="0"/>
        <w:jc w:val="right"/>
        <w:rPr>
          <w:sz w:val="14"/>
        </w:rPr>
      </w:pPr>
      <w:r>
        <w:rPr>
          <w:sz w:val="14"/>
        </w:rPr>
        <w:t>Net current-period other comprehensive (loss) </w:t>
      </w:r>
      <w:r>
        <w:rPr>
          <w:spacing w:val="-2"/>
          <w:sz w:val="14"/>
        </w:rPr>
        <w:t>income</w:t>
      </w:r>
      <w:r>
        <w:rPr>
          <w:sz w:val="14"/>
        </w:rPr>
        <w:tab/>
      </w:r>
      <w:r>
        <w:rPr>
          <w:spacing w:val="-2"/>
          <w:sz w:val="14"/>
        </w:rPr>
        <w:t>(604)</w:t>
      </w:r>
      <w:r>
        <w:rPr>
          <w:sz w:val="14"/>
        </w:rPr>
        <w:tab/>
      </w:r>
      <w:r>
        <w:rPr>
          <w:spacing w:val="-5"/>
          <w:sz w:val="14"/>
        </w:rPr>
        <w:t>178</w:t>
      </w:r>
      <w:r>
        <w:rPr>
          <w:sz w:val="14"/>
        </w:rPr>
        <w:tab/>
      </w:r>
      <w:r>
        <w:rPr>
          <w:spacing w:val="-5"/>
          <w:sz w:val="14"/>
        </w:rPr>
        <w:t>(9)</w:t>
      </w:r>
      <w:r>
        <w:rPr>
          <w:sz w:val="14"/>
        </w:rPr>
        <w:tab/>
      </w:r>
      <w:r>
        <w:rPr>
          <w:spacing w:val="-2"/>
          <w:sz w:val="14"/>
        </w:rPr>
        <w:t>(435)</w:t>
      </w:r>
    </w:p>
    <w:p>
      <w:pPr>
        <w:pStyle w:val="BodyText"/>
        <w:spacing w:line="203" w:lineRule="exact"/>
        <w:ind w:left="156"/>
        <w:rPr>
          <w:sz w:val="20"/>
        </w:rPr>
      </w:pPr>
      <w:r>
        <w:rPr>
          <w:position w:val="-3"/>
          <w:sz w:val="20"/>
        </w:rPr>
        <mc:AlternateContent>
          <mc:Choice Requires="wps">
            <w:drawing>
              <wp:inline distT="0" distB="0" distL="0" distR="0">
                <wp:extent cx="7312659" cy="129539"/>
                <wp:effectExtent l="9525" t="0" r="0" b="3810"/>
                <wp:docPr id="984" name="Group 984"/>
                <wp:cNvGraphicFramePr>
                  <a:graphicFrameLocks/>
                </wp:cNvGraphicFramePr>
                <a:graphic>
                  <a:graphicData uri="http://schemas.microsoft.com/office/word/2010/wordprocessingGroup">
                    <wpg:wgp>
                      <wpg:cNvPr id="984" name="Group 984"/>
                      <wpg:cNvGrpSpPr/>
                      <wpg:grpSpPr>
                        <a:xfrm>
                          <a:off x="0" y="0"/>
                          <a:ext cx="7312659" cy="129539"/>
                          <a:chExt cx="7312659" cy="129539"/>
                        </a:xfrm>
                      </wpg:grpSpPr>
                      <wps:wsp>
                        <wps:cNvPr id="985" name="Graphic 985"/>
                        <wps:cNvSpPr/>
                        <wps:spPr>
                          <a:xfrm>
                            <a:off x="-9" y="12"/>
                            <a:ext cx="7312659" cy="8255"/>
                          </a:xfrm>
                          <a:custGeom>
                            <a:avLst/>
                            <a:gdLst/>
                            <a:ahLst/>
                            <a:cxnLst/>
                            <a:rect l="l" t="t" r="r" b="b"/>
                            <a:pathLst>
                              <a:path w="7312659" h="8255">
                                <a:moveTo>
                                  <a:pt x="7312342" y="0"/>
                                </a:moveTo>
                                <a:lnTo>
                                  <a:pt x="7312342" y="0"/>
                                </a:lnTo>
                                <a:lnTo>
                                  <a:pt x="0" y="0"/>
                                </a:lnTo>
                                <a:lnTo>
                                  <a:pt x="0" y="8077"/>
                                </a:lnTo>
                                <a:lnTo>
                                  <a:pt x="7312342" y="8077"/>
                                </a:lnTo>
                                <a:lnTo>
                                  <a:pt x="7312342" y="0"/>
                                </a:lnTo>
                                <a:close/>
                              </a:path>
                            </a:pathLst>
                          </a:custGeom>
                          <a:solidFill>
                            <a:srgbClr val="000000"/>
                          </a:solidFill>
                        </wps:spPr>
                        <wps:bodyPr wrap="square" lIns="0" tIns="0" rIns="0" bIns="0" rtlCol="0">
                          <a:prstTxWarp prst="textNoShape">
                            <a:avLst/>
                          </a:prstTxWarp>
                          <a:noAutofit/>
                        </wps:bodyPr>
                      </wps:wsp>
                      <wps:wsp>
                        <wps:cNvPr id="986" name="Graphic 986"/>
                        <wps:cNvSpPr/>
                        <wps:spPr>
                          <a:xfrm>
                            <a:off x="0" y="8088"/>
                            <a:ext cx="2807335" cy="121920"/>
                          </a:xfrm>
                          <a:custGeom>
                            <a:avLst/>
                            <a:gdLst/>
                            <a:ahLst/>
                            <a:cxnLst/>
                            <a:rect l="l" t="t" r="r" b="b"/>
                            <a:pathLst>
                              <a:path w="2807335" h="121920">
                                <a:moveTo>
                                  <a:pt x="0" y="0"/>
                                </a:moveTo>
                                <a:lnTo>
                                  <a:pt x="2806839" y="0"/>
                                </a:lnTo>
                                <a:lnTo>
                                  <a:pt x="280683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87" name="Graphic 987"/>
                        <wps:cNvSpPr/>
                        <wps:spPr>
                          <a:xfrm>
                            <a:off x="-9" y="105155"/>
                            <a:ext cx="2807335" cy="24765"/>
                          </a:xfrm>
                          <a:custGeom>
                            <a:avLst/>
                            <a:gdLst/>
                            <a:ahLst/>
                            <a:cxnLst/>
                            <a:rect l="l" t="t" r="r" b="b"/>
                            <a:pathLst>
                              <a:path w="2807335" h="24765">
                                <a:moveTo>
                                  <a:pt x="2806839" y="16179"/>
                                </a:moveTo>
                                <a:lnTo>
                                  <a:pt x="0" y="16179"/>
                                </a:lnTo>
                                <a:lnTo>
                                  <a:pt x="0" y="24269"/>
                                </a:lnTo>
                                <a:lnTo>
                                  <a:pt x="2806839" y="24269"/>
                                </a:lnTo>
                                <a:lnTo>
                                  <a:pt x="2806839" y="16179"/>
                                </a:lnTo>
                                <a:close/>
                              </a:path>
                              <a:path w="2807335" h="24765">
                                <a:moveTo>
                                  <a:pt x="2806839" y="0"/>
                                </a:moveTo>
                                <a:lnTo>
                                  <a:pt x="0" y="0"/>
                                </a:lnTo>
                                <a:lnTo>
                                  <a:pt x="0" y="8089"/>
                                </a:lnTo>
                                <a:lnTo>
                                  <a:pt x="2806839" y="8089"/>
                                </a:lnTo>
                                <a:lnTo>
                                  <a:pt x="2806839" y="0"/>
                                </a:lnTo>
                                <a:close/>
                              </a:path>
                            </a:pathLst>
                          </a:custGeom>
                          <a:solidFill>
                            <a:srgbClr val="000000"/>
                          </a:solidFill>
                        </wps:spPr>
                        <wps:bodyPr wrap="square" lIns="0" tIns="0" rIns="0" bIns="0" rtlCol="0">
                          <a:prstTxWarp prst="textNoShape">
                            <a:avLst/>
                          </a:prstTxWarp>
                          <a:noAutofit/>
                        </wps:bodyPr>
                      </wps:wsp>
                      <wps:wsp>
                        <wps:cNvPr id="988" name="Graphic 988"/>
                        <wps:cNvSpPr/>
                        <wps:spPr>
                          <a:xfrm>
                            <a:off x="2806839"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89" name="Graphic 989"/>
                        <wps:cNvSpPr/>
                        <wps:spPr>
                          <a:xfrm>
                            <a:off x="2806830" y="105155"/>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990" name="Graphic 990"/>
                        <wps:cNvSpPr/>
                        <wps:spPr>
                          <a:xfrm>
                            <a:off x="2879639" y="8088"/>
                            <a:ext cx="89535" cy="121920"/>
                          </a:xfrm>
                          <a:custGeom>
                            <a:avLst/>
                            <a:gdLst/>
                            <a:ahLst/>
                            <a:cxnLst/>
                            <a:rect l="l" t="t" r="r" b="b"/>
                            <a:pathLst>
                              <a:path w="89535" h="121920">
                                <a:moveTo>
                                  <a:pt x="0" y="0"/>
                                </a:moveTo>
                                <a:lnTo>
                                  <a:pt x="88977" y="0"/>
                                </a:lnTo>
                                <a:lnTo>
                                  <a:pt x="88977"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91" name="Graphic 991"/>
                        <wps:cNvSpPr/>
                        <wps:spPr>
                          <a:xfrm>
                            <a:off x="2879639" y="105155"/>
                            <a:ext cx="89535" cy="24765"/>
                          </a:xfrm>
                          <a:custGeom>
                            <a:avLst/>
                            <a:gdLst/>
                            <a:ahLst/>
                            <a:cxnLst/>
                            <a:rect l="l" t="t" r="r" b="b"/>
                            <a:pathLst>
                              <a:path w="89535" h="24765">
                                <a:moveTo>
                                  <a:pt x="88976" y="16179"/>
                                </a:moveTo>
                                <a:lnTo>
                                  <a:pt x="0" y="16179"/>
                                </a:lnTo>
                                <a:lnTo>
                                  <a:pt x="0" y="24269"/>
                                </a:lnTo>
                                <a:lnTo>
                                  <a:pt x="88976" y="24269"/>
                                </a:lnTo>
                                <a:lnTo>
                                  <a:pt x="88976" y="16179"/>
                                </a:lnTo>
                                <a:close/>
                              </a:path>
                              <a:path w="89535" h="24765">
                                <a:moveTo>
                                  <a:pt x="88976" y="0"/>
                                </a:moveTo>
                                <a:lnTo>
                                  <a:pt x="0" y="0"/>
                                </a:lnTo>
                                <a:lnTo>
                                  <a:pt x="0" y="8089"/>
                                </a:lnTo>
                                <a:lnTo>
                                  <a:pt x="88976" y="8089"/>
                                </a:lnTo>
                                <a:lnTo>
                                  <a:pt x="88976" y="0"/>
                                </a:lnTo>
                                <a:close/>
                              </a:path>
                            </a:pathLst>
                          </a:custGeom>
                          <a:solidFill>
                            <a:srgbClr val="000000"/>
                          </a:solidFill>
                        </wps:spPr>
                        <wps:bodyPr wrap="square" lIns="0" tIns="0" rIns="0" bIns="0" rtlCol="0">
                          <a:prstTxWarp prst="textNoShape">
                            <a:avLst/>
                          </a:prstTxWarp>
                          <a:noAutofit/>
                        </wps:bodyPr>
                      </wps:wsp>
                      <wps:wsp>
                        <wps:cNvPr id="992" name="Graphic 992"/>
                        <wps:cNvSpPr/>
                        <wps:spPr>
                          <a:xfrm>
                            <a:off x="2968617"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93" name="Graphic 993"/>
                        <wps:cNvSpPr/>
                        <wps:spPr>
                          <a:xfrm>
                            <a:off x="2968615" y="105155"/>
                            <a:ext cx="647700" cy="24765"/>
                          </a:xfrm>
                          <a:custGeom>
                            <a:avLst/>
                            <a:gdLst/>
                            <a:ahLst/>
                            <a:cxnLst/>
                            <a:rect l="l" t="t" r="r" b="b"/>
                            <a:pathLst>
                              <a:path w="647700" h="24765">
                                <a:moveTo>
                                  <a:pt x="647103" y="16179"/>
                                </a:moveTo>
                                <a:lnTo>
                                  <a:pt x="0" y="16179"/>
                                </a:lnTo>
                                <a:lnTo>
                                  <a:pt x="0" y="24269"/>
                                </a:lnTo>
                                <a:lnTo>
                                  <a:pt x="647103" y="24269"/>
                                </a:lnTo>
                                <a:lnTo>
                                  <a:pt x="647103" y="16179"/>
                                </a:lnTo>
                                <a:close/>
                              </a:path>
                              <a:path w="647700" h="24765">
                                <a:moveTo>
                                  <a:pt x="647103" y="0"/>
                                </a:moveTo>
                                <a:lnTo>
                                  <a:pt x="0" y="0"/>
                                </a:lnTo>
                                <a:lnTo>
                                  <a:pt x="0" y="8089"/>
                                </a:lnTo>
                                <a:lnTo>
                                  <a:pt x="647103" y="8089"/>
                                </a:lnTo>
                                <a:lnTo>
                                  <a:pt x="647103" y="0"/>
                                </a:lnTo>
                                <a:close/>
                              </a:path>
                            </a:pathLst>
                          </a:custGeom>
                          <a:solidFill>
                            <a:srgbClr val="000000"/>
                          </a:solidFill>
                        </wps:spPr>
                        <wps:bodyPr wrap="square" lIns="0" tIns="0" rIns="0" bIns="0" rtlCol="0">
                          <a:prstTxWarp prst="textNoShape">
                            <a:avLst/>
                          </a:prstTxWarp>
                          <a:noAutofit/>
                        </wps:bodyPr>
                      </wps:wsp>
                      <wps:wsp>
                        <wps:cNvPr id="994" name="Graphic 994"/>
                        <wps:cNvSpPr/>
                        <wps:spPr>
                          <a:xfrm>
                            <a:off x="361572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95" name="Graphic 995"/>
                        <wps:cNvSpPr/>
                        <wps:spPr>
                          <a:xfrm>
                            <a:off x="3615718" y="105155"/>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996" name="Graphic 996"/>
                        <wps:cNvSpPr/>
                        <wps:spPr>
                          <a:xfrm>
                            <a:off x="368852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97" name="Graphic 997"/>
                        <wps:cNvSpPr/>
                        <wps:spPr>
                          <a:xfrm>
                            <a:off x="3688515" y="105155"/>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998" name="Graphic 998"/>
                        <wps:cNvSpPr/>
                        <wps:spPr>
                          <a:xfrm>
                            <a:off x="3761327" y="8088"/>
                            <a:ext cx="97155" cy="121920"/>
                          </a:xfrm>
                          <a:custGeom>
                            <a:avLst/>
                            <a:gdLst/>
                            <a:ahLst/>
                            <a:cxnLst/>
                            <a:rect l="l" t="t" r="r" b="b"/>
                            <a:pathLst>
                              <a:path w="97155" h="121920">
                                <a:moveTo>
                                  <a:pt x="0" y="0"/>
                                </a:moveTo>
                                <a:lnTo>
                                  <a:pt x="97066" y="0"/>
                                </a:lnTo>
                                <a:lnTo>
                                  <a:pt x="97066"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999" name="Graphic 999"/>
                        <wps:cNvSpPr/>
                        <wps:spPr>
                          <a:xfrm>
                            <a:off x="3761324" y="105155"/>
                            <a:ext cx="97155" cy="24765"/>
                          </a:xfrm>
                          <a:custGeom>
                            <a:avLst/>
                            <a:gdLst/>
                            <a:ahLst/>
                            <a:cxnLst/>
                            <a:rect l="l" t="t" r="r" b="b"/>
                            <a:pathLst>
                              <a:path w="97155" h="24765">
                                <a:moveTo>
                                  <a:pt x="97066" y="16179"/>
                                </a:moveTo>
                                <a:lnTo>
                                  <a:pt x="0" y="16179"/>
                                </a:lnTo>
                                <a:lnTo>
                                  <a:pt x="0" y="24269"/>
                                </a:lnTo>
                                <a:lnTo>
                                  <a:pt x="97066" y="24269"/>
                                </a:lnTo>
                                <a:lnTo>
                                  <a:pt x="97066" y="16179"/>
                                </a:lnTo>
                                <a:close/>
                              </a:path>
                              <a:path w="97155" h="24765">
                                <a:moveTo>
                                  <a:pt x="97066" y="0"/>
                                </a:moveTo>
                                <a:lnTo>
                                  <a:pt x="0" y="0"/>
                                </a:lnTo>
                                <a:lnTo>
                                  <a:pt x="0" y="8089"/>
                                </a:lnTo>
                                <a:lnTo>
                                  <a:pt x="97066" y="8089"/>
                                </a:lnTo>
                                <a:lnTo>
                                  <a:pt x="97066" y="0"/>
                                </a:lnTo>
                                <a:close/>
                              </a:path>
                            </a:pathLst>
                          </a:custGeom>
                          <a:solidFill>
                            <a:srgbClr val="000000"/>
                          </a:solidFill>
                        </wps:spPr>
                        <wps:bodyPr wrap="square" lIns="0" tIns="0" rIns="0" bIns="0" rtlCol="0">
                          <a:prstTxWarp prst="textNoShape">
                            <a:avLst/>
                          </a:prstTxWarp>
                          <a:noAutofit/>
                        </wps:bodyPr>
                      </wps:wsp>
                      <wps:wsp>
                        <wps:cNvPr id="1000" name="Graphic 1000"/>
                        <wps:cNvSpPr/>
                        <wps:spPr>
                          <a:xfrm>
                            <a:off x="3858393"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01" name="Graphic 1001"/>
                        <wps:cNvSpPr/>
                        <wps:spPr>
                          <a:xfrm>
                            <a:off x="3858390" y="105155"/>
                            <a:ext cx="647700" cy="24765"/>
                          </a:xfrm>
                          <a:custGeom>
                            <a:avLst/>
                            <a:gdLst/>
                            <a:ahLst/>
                            <a:cxnLst/>
                            <a:rect l="l" t="t" r="r" b="b"/>
                            <a:pathLst>
                              <a:path w="647700" h="24765">
                                <a:moveTo>
                                  <a:pt x="647103" y="16179"/>
                                </a:moveTo>
                                <a:lnTo>
                                  <a:pt x="0" y="16179"/>
                                </a:lnTo>
                                <a:lnTo>
                                  <a:pt x="0" y="24269"/>
                                </a:lnTo>
                                <a:lnTo>
                                  <a:pt x="647103" y="24269"/>
                                </a:lnTo>
                                <a:lnTo>
                                  <a:pt x="647103" y="16179"/>
                                </a:lnTo>
                                <a:close/>
                              </a:path>
                              <a:path w="647700" h="24765">
                                <a:moveTo>
                                  <a:pt x="647103" y="0"/>
                                </a:moveTo>
                                <a:lnTo>
                                  <a:pt x="0" y="0"/>
                                </a:lnTo>
                                <a:lnTo>
                                  <a:pt x="0" y="8089"/>
                                </a:lnTo>
                                <a:lnTo>
                                  <a:pt x="647103" y="8089"/>
                                </a:lnTo>
                                <a:lnTo>
                                  <a:pt x="647103" y="0"/>
                                </a:lnTo>
                                <a:close/>
                              </a:path>
                            </a:pathLst>
                          </a:custGeom>
                          <a:solidFill>
                            <a:srgbClr val="000000"/>
                          </a:solidFill>
                        </wps:spPr>
                        <wps:bodyPr wrap="square" lIns="0" tIns="0" rIns="0" bIns="0" rtlCol="0">
                          <a:prstTxWarp prst="textNoShape">
                            <a:avLst/>
                          </a:prstTxWarp>
                          <a:noAutofit/>
                        </wps:bodyPr>
                      </wps:wsp>
                      <wps:wsp>
                        <wps:cNvPr id="1002" name="Graphic 1002"/>
                        <wps:cNvSpPr/>
                        <wps:spPr>
                          <a:xfrm>
                            <a:off x="450550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03" name="Graphic 1003"/>
                        <wps:cNvSpPr/>
                        <wps:spPr>
                          <a:xfrm>
                            <a:off x="4505493" y="105155"/>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1004" name="Graphic 1004"/>
                        <wps:cNvSpPr/>
                        <wps:spPr>
                          <a:xfrm>
                            <a:off x="457830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05" name="Graphic 1005"/>
                        <wps:cNvSpPr/>
                        <wps:spPr>
                          <a:xfrm>
                            <a:off x="4578302" y="105155"/>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1006" name="Graphic 1006"/>
                        <wps:cNvSpPr/>
                        <wps:spPr>
                          <a:xfrm>
                            <a:off x="4651103" y="8088"/>
                            <a:ext cx="154305" cy="121920"/>
                          </a:xfrm>
                          <a:custGeom>
                            <a:avLst/>
                            <a:gdLst/>
                            <a:ahLst/>
                            <a:cxnLst/>
                            <a:rect l="l" t="t" r="r" b="b"/>
                            <a:pathLst>
                              <a:path w="154305" h="121920">
                                <a:moveTo>
                                  <a:pt x="0" y="0"/>
                                </a:moveTo>
                                <a:lnTo>
                                  <a:pt x="153688" y="0"/>
                                </a:lnTo>
                                <a:lnTo>
                                  <a:pt x="153688"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07" name="Graphic 1007"/>
                        <wps:cNvSpPr/>
                        <wps:spPr>
                          <a:xfrm>
                            <a:off x="4651099" y="105155"/>
                            <a:ext cx="154305" cy="24765"/>
                          </a:xfrm>
                          <a:custGeom>
                            <a:avLst/>
                            <a:gdLst/>
                            <a:ahLst/>
                            <a:cxnLst/>
                            <a:rect l="l" t="t" r="r" b="b"/>
                            <a:pathLst>
                              <a:path w="154305" h="24765">
                                <a:moveTo>
                                  <a:pt x="153682" y="16179"/>
                                </a:moveTo>
                                <a:lnTo>
                                  <a:pt x="0" y="16179"/>
                                </a:lnTo>
                                <a:lnTo>
                                  <a:pt x="0" y="24269"/>
                                </a:lnTo>
                                <a:lnTo>
                                  <a:pt x="153682" y="24269"/>
                                </a:lnTo>
                                <a:lnTo>
                                  <a:pt x="153682" y="16179"/>
                                </a:lnTo>
                                <a:close/>
                              </a:path>
                              <a:path w="154305" h="24765">
                                <a:moveTo>
                                  <a:pt x="153682" y="0"/>
                                </a:moveTo>
                                <a:lnTo>
                                  <a:pt x="0" y="0"/>
                                </a:lnTo>
                                <a:lnTo>
                                  <a:pt x="0" y="8089"/>
                                </a:lnTo>
                                <a:lnTo>
                                  <a:pt x="153682" y="8089"/>
                                </a:lnTo>
                                <a:lnTo>
                                  <a:pt x="153682" y="0"/>
                                </a:lnTo>
                                <a:close/>
                              </a:path>
                            </a:pathLst>
                          </a:custGeom>
                          <a:solidFill>
                            <a:srgbClr val="000000"/>
                          </a:solidFill>
                        </wps:spPr>
                        <wps:bodyPr wrap="square" lIns="0" tIns="0" rIns="0" bIns="0" rtlCol="0">
                          <a:prstTxWarp prst="textNoShape">
                            <a:avLst/>
                          </a:prstTxWarp>
                          <a:noAutofit/>
                        </wps:bodyPr>
                      </wps:wsp>
                      <wps:wsp>
                        <wps:cNvPr id="1008" name="Graphic 1008"/>
                        <wps:cNvSpPr/>
                        <wps:spPr>
                          <a:xfrm>
                            <a:off x="4804791"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09" name="Graphic 1009"/>
                        <wps:cNvSpPr/>
                        <wps:spPr>
                          <a:xfrm>
                            <a:off x="4804781" y="105155"/>
                            <a:ext cx="647700" cy="24765"/>
                          </a:xfrm>
                          <a:custGeom>
                            <a:avLst/>
                            <a:gdLst/>
                            <a:ahLst/>
                            <a:cxnLst/>
                            <a:rect l="l" t="t" r="r" b="b"/>
                            <a:pathLst>
                              <a:path w="647700" h="24765">
                                <a:moveTo>
                                  <a:pt x="647115" y="16179"/>
                                </a:moveTo>
                                <a:lnTo>
                                  <a:pt x="0" y="16179"/>
                                </a:lnTo>
                                <a:lnTo>
                                  <a:pt x="0" y="24269"/>
                                </a:lnTo>
                                <a:lnTo>
                                  <a:pt x="647115" y="24269"/>
                                </a:lnTo>
                                <a:lnTo>
                                  <a:pt x="647115" y="16179"/>
                                </a:lnTo>
                                <a:close/>
                              </a:path>
                              <a:path w="647700" h="24765">
                                <a:moveTo>
                                  <a:pt x="647115" y="0"/>
                                </a:moveTo>
                                <a:lnTo>
                                  <a:pt x="0" y="0"/>
                                </a:lnTo>
                                <a:lnTo>
                                  <a:pt x="0" y="8089"/>
                                </a:lnTo>
                                <a:lnTo>
                                  <a:pt x="647115" y="8089"/>
                                </a:lnTo>
                                <a:lnTo>
                                  <a:pt x="647115" y="0"/>
                                </a:lnTo>
                                <a:close/>
                              </a:path>
                            </a:pathLst>
                          </a:custGeom>
                          <a:solidFill>
                            <a:srgbClr val="000000"/>
                          </a:solidFill>
                        </wps:spPr>
                        <wps:bodyPr wrap="square" lIns="0" tIns="0" rIns="0" bIns="0" rtlCol="0">
                          <a:prstTxWarp prst="textNoShape">
                            <a:avLst/>
                          </a:prstTxWarp>
                          <a:noAutofit/>
                        </wps:bodyPr>
                      </wps:wsp>
                      <wps:wsp>
                        <wps:cNvPr id="1010" name="Graphic 1010"/>
                        <wps:cNvSpPr/>
                        <wps:spPr>
                          <a:xfrm>
                            <a:off x="5451902"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11" name="Graphic 1011"/>
                        <wps:cNvSpPr/>
                        <wps:spPr>
                          <a:xfrm>
                            <a:off x="5451897" y="105155"/>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1012" name="Graphic 1012"/>
                        <wps:cNvSpPr/>
                        <wps:spPr>
                          <a:xfrm>
                            <a:off x="5524701"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13" name="Graphic 1013"/>
                        <wps:cNvSpPr/>
                        <wps:spPr>
                          <a:xfrm>
                            <a:off x="5524694" y="105155"/>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1014" name="Graphic 1014"/>
                        <wps:cNvSpPr/>
                        <wps:spPr>
                          <a:xfrm>
                            <a:off x="5597502" y="8088"/>
                            <a:ext cx="105410" cy="121920"/>
                          </a:xfrm>
                          <a:custGeom>
                            <a:avLst/>
                            <a:gdLst/>
                            <a:ahLst/>
                            <a:cxnLst/>
                            <a:rect l="l" t="t" r="r" b="b"/>
                            <a:pathLst>
                              <a:path w="105410" h="121920">
                                <a:moveTo>
                                  <a:pt x="0" y="0"/>
                                </a:moveTo>
                                <a:lnTo>
                                  <a:pt x="105155" y="0"/>
                                </a:lnTo>
                                <a:lnTo>
                                  <a:pt x="105155"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15" name="Graphic 1015"/>
                        <wps:cNvSpPr/>
                        <wps:spPr>
                          <a:xfrm>
                            <a:off x="5597490" y="105155"/>
                            <a:ext cx="105410" cy="24765"/>
                          </a:xfrm>
                          <a:custGeom>
                            <a:avLst/>
                            <a:gdLst/>
                            <a:ahLst/>
                            <a:cxnLst/>
                            <a:rect l="l" t="t" r="r" b="b"/>
                            <a:pathLst>
                              <a:path w="105410" h="24765">
                                <a:moveTo>
                                  <a:pt x="105156" y="16179"/>
                                </a:moveTo>
                                <a:lnTo>
                                  <a:pt x="0" y="16179"/>
                                </a:lnTo>
                                <a:lnTo>
                                  <a:pt x="0" y="24269"/>
                                </a:lnTo>
                                <a:lnTo>
                                  <a:pt x="105156" y="24269"/>
                                </a:lnTo>
                                <a:lnTo>
                                  <a:pt x="105156" y="16179"/>
                                </a:lnTo>
                                <a:close/>
                              </a:path>
                              <a:path w="105410" h="24765">
                                <a:moveTo>
                                  <a:pt x="105156" y="0"/>
                                </a:moveTo>
                                <a:lnTo>
                                  <a:pt x="0" y="0"/>
                                </a:lnTo>
                                <a:lnTo>
                                  <a:pt x="0" y="8089"/>
                                </a:lnTo>
                                <a:lnTo>
                                  <a:pt x="105156" y="8089"/>
                                </a:lnTo>
                                <a:lnTo>
                                  <a:pt x="105156" y="0"/>
                                </a:lnTo>
                                <a:close/>
                              </a:path>
                            </a:pathLst>
                          </a:custGeom>
                          <a:solidFill>
                            <a:srgbClr val="000000"/>
                          </a:solidFill>
                        </wps:spPr>
                        <wps:bodyPr wrap="square" lIns="0" tIns="0" rIns="0" bIns="0" rtlCol="0">
                          <a:prstTxWarp prst="textNoShape">
                            <a:avLst/>
                          </a:prstTxWarp>
                          <a:noAutofit/>
                        </wps:bodyPr>
                      </wps:wsp>
                      <wps:wsp>
                        <wps:cNvPr id="1016" name="Graphic 1016"/>
                        <wps:cNvSpPr/>
                        <wps:spPr>
                          <a:xfrm>
                            <a:off x="5702657" y="8088"/>
                            <a:ext cx="647700" cy="121920"/>
                          </a:xfrm>
                          <a:custGeom>
                            <a:avLst/>
                            <a:gdLst/>
                            <a:ahLst/>
                            <a:cxnLst/>
                            <a:rect l="l" t="t" r="r" b="b"/>
                            <a:pathLst>
                              <a:path w="647700" h="121920">
                                <a:moveTo>
                                  <a:pt x="0" y="0"/>
                                </a:moveTo>
                                <a:lnTo>
                                  <a:pt x="647110" y="0"/>
                                </a:lnTo>
                                <a:lnTo>
                                  <a:pt x="647110"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17" name="Graphic 1017"/>
                        <wps:cNvSpPr/>
                        <wps:spPr>
                          <a:xfrm>
                            <a:off x="5702646" y="105155"/>
                            <a:ext cx="647700" cy="24765"/>
                          </a:xfrm>
                          <a:custGeom>
                            <a:avLst/>
                            <a:gdLst/>
                            <a:ahLst/>
                            <a:cxnLst/>
                            <a:rect l="l" t="t" r="r" b="b"/>
                            <a:pathLst>
                              <a:path w="647700" h="24765">
                                <a:moveTo>
                                  <a:pt x="647115" y="16179"/>
                                </a:moveTo>
                                <a:lnTo>
                                  <a:pt x="0" y="16179"/>
                                </a:lnTo>
                                <a:lnTo>
                                  <a:pt x="0" y="24269"/>
                                </a:lnTo>
                                <a:lnTo>
                                  <a:pt x="647115" y="24269"/>
                                </a:lnTo>
                                <a:lnTo>
                                  <a:pt x="647115" y="16179"/>
                                </a:lnTo>
                                <a:close/>
                              </a:path>
                              <a:path w="647700" h="24765">
                                <a:moveTo>
                                  <a:pt x="647115" y="0"/>
                                </a:moveTo>
                                <a:lnTo>
                                  <a:pt x="0" y="0"/>
                                </a:lnTo>
                                <a:lnTo>
                                  <a:pt x="0" y="8089"/>
                                </a:lnTo>
                                <a:lnTo>
                                  <a:pt x="647115" y="8089"/>
                                </a:lnTo>
                                <a:lnTo>
                                  <a:pt x="647115" y="0"/>
                                </a:lnTo>
                                <a:close/>
                              </a:path>
                            </a:pathLst>
                          </a:custGeom>
                          <a:solidFill>
                            <a:srgbClr val="000000"/>
                          </a:solidFill>
                        </wps:spPr>
                        <wps:bodyPr wrap="square" lIns="0" tIns="0" rIns="0" bIns="0" rtlCol="0">
                          <a:prstTxWarp prst="textNoShape">
                            <a:avLst/>
                          </a:prstTxWarp>
                          <a:noAutofit/>
                        </wps:bodyPr>
                      </wps:wsp>
                      <wps:wsp>
                        <wps:cNvPr id="1018" name="Graphic 1018"/>
                        <wps:cNvSpPr/>
                        <wps:spPr>
                          <a:xfrm>
                            <a:off x="634976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19" name="Graphic 1019"/>
                        <wps:cNvSpPr/>
                        <wps:spPr>
                          <a:xfrm>
                            <a:off x="6349762" y="105155"/>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1020" name="Graphic 1020"/>
                        <wps:cNvSpPr/>
                        <wps:spPr>
                          <a:xfrm>
                            <a:off x="6422567"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21" name="Graphic 1021"/>
                        <wps:cNvSpPr/>
                        <wps:spPr>
                          <a:xfrm>
                            <a:off x="6422558" y="105155"/>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1022" name="Graphic 1022"/>
                        <wps:cNvSpPr/>
                        <wps:spPr>
                          <a:xfrm>
                            <a:off x="6495367" y="8088"/>
                            <a:ext cx="89535" cy="121920"/>
                          </a:xfrm>
                          <a:custGeom>
                            <a:avLst/>
                            <a:gdLst/>
                            <a:ahLst/>
                            <a:cxnLst/>
                            <a:rect l="l" t="t" r="r" b="b"/>
                            <a:pathLst>
                              <a:path w="89535" h="121920">
                                <a:moveTo>
                                  <a:pt x="0" y="0"/>
                                </a:moveTo>
                                <a:lnTo>
                                  <a:pt x="88977" y="0"/>
                                </a:lnTo>
                                <a:lnTo>
                                  <a:pt x="88977"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23" name="Graphic 1023"/>
                        <wps:cNvSpPr/>
                        <wps:spPr>
                          <a:xfrm>
                            <a:off x="6495355" y="105155"/>
                            <a:ext cx="89535" cy="24765"/>
                          </a:xfrm>
                          <a:custGeom>
                            <a:avLst/>
                            <a:gdLst/>
                            <a:ahLst/>
                            <a:cxnLst/>
                            <a:rect l="l" t="t" r="r" b="b"/>
                            <a:pathLst>
                              <a:path w="89535" h="24765">
                                <a:moveTo>
                                  <a:pt x="88988" y="16179"/>
                                </a:moveTo>
                                <a:lnTo>
                                  <a:pt x="0" y="16179"/>
                                </a:lnTo>
                                <a:lnTo>
                                  <a:pt x="0" y="24269"/>
                                </a:lnTo>
                                <a:lnTo>
                                  <a:pt x="88988" y="24269"/>
                                </a:lnTo>
                                <a:lnTo>
                                  <a:pt x="88988" y="16179"/>
                                </a:lnTo>
                                <a:close/>
                              </a:path>
                              <a:path w="89535" h="24765">
                                <a:moveTo>
                                  <a:pt x="88988" y="0"/>
                                </a:moveTo>
                                <a:lnTo>
                                  <a:pt x="0" y="0"/>
                                </a:lnTo>
                                <a:lnTo>
                                  <a:pt x="0" y="8089"/>
                                </a:lnTo>
                                <a:lnTo>
                                  <a:pt x="88988" y="8089"/>
                                </a:lnTo>
                                <a:lnTo>
                                  <a:pt x="88988" y="0"/>
                                </a:lnTo>
                                <a:close/>
                              </a:path>
                            </a:pathLst>
                          </a:custGeom>
                          <a:solidFill>
                            <a:srgbClr val="000000"/>
                          </a:solidFill>
                        </wps:spPr>
                        <wps:bodyPr wrap="square" lIns="0" tIns="0" rIns="0" bIns="0" rtlCol="0">
                          <a:prstTxWarp prst="textNoShape">
                            <a:avLst/>
                          </a:prstTxWarp>
                          <a:noAutofit/>
                        </wps:bodyPr>
                      </wps:wsp>
                      <wps:wsp>
                        <wps:cNvPr id="1024" name="Graphic 1024"/>
                        <wps:cNvSpPr/>
                        <wps:spPr>
                          <a:xfrm>
                            <a:off x="6584344" y="8088"/>
                            <a:ext cx="655320" cy="121920"/>
                          </a:xfrm>
                          <a:custGeom>
                            <a:avLst/>
                            <a:gdLst/>
                            <a:ahLst/>
                            <a:cxnLst/>
                            <a:rect l="l" t="t" r="r" b="b"/>
                            <a:pathLst>
                              <a:path w="655320" h="121920">
                                <a:moveTo>
                                  <a:pt x="0" y="0"/>
                                </a:moveTo>
                                <a:lnTo>
                                  <a:pt x="655198" y="0"/>
                                </a:lnTo>
                                <a:lnTo>
                                  <a:pt x="655198"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25" name="Graphic 1025"/>
                        <wps:cNvSpPr/>
                        <wps:spPr>
                          <a:xfrm>
                            <a:off x="6584343" y="105155"/>
                            <a:ext cx="655320" cy="24765"/>
                          </a:xfrm>
                          <a:custGeom>
                            <a:avLst/>
                            <a:gdLst/>
                            <a:ahLst/>
                            <a:cxnLst/>
                            <a:rect l="l" t="t" r="r" b="b"/>
                            <a:pathLst>
                              <a:path w="655320" h="24765">
                                <a:moveTo>
                                  <a:pt x="655193" y="16179"/>
                                </a:moveTo>
                                <a:lnTo>
                                  <a:pt x="0" y="16179"/>
                                </a:lnTo>
                                <a:lnTo>
                                  <a:pt x="0" y="24269"/>
                                </a:lnTo>
                                <a:lnTo>
                                  <a:pt x="655193" y="24269"/>
                                </a:lnTo>
                                <a:lnTo>
                                  <a:pt x="655193" y="16179"/>
                                </a:lnTo>
                                <a:close/>
                              </a:path>
                              <a:path w="655320" h="24765">
                                <a:moveTo>
                                  <a:pt x="655193" y="0"/>
                                </a:moveTo>
                                <a:lnTo>
                                  <a:pt x="0" y="0"/>
                                </a:lnTo>
                                <a:lnTo>
                                  <a:pt x="0" y="8089"/>
                                </a:lnTo>
                                <a:lnTo>
                                  <a:pt x="655193" y="8089"/>
                                </a:lnTo>
                                <a:lnTo>
                                  <a:pt x="655193" y="0"/>
                                </a:lnTo>
                                <a:close/>
                              </a:path>
                            </a:pathLst>
                          </a:custGeom>
                          <a:solidFill>
                            <a:srgbClr val="000000"/>
                          </a:solidFill>
                        </wps:spPr>
                        <wps:bodyPr wrap="square" lIns="0" tIns="0" rIns="0" bIns="0" rtlCol="0">
                          <a:prstTxWarp prst="textNoShape">
                            <a:avLst/>
                          </a:prstTxWarp>
                          <a:noAutofit/>
                        </wps:bodyPr>
                      </wps:wsp>
                      <wps:wsp>
                        <wps:cNvPr id="1026" name="Graphic 1026"/>
                        <wps:cNvSpPr/>
                        <wps:spPr>
                          <a:xfrm>
                            <a:off x="7239543" y="8088"/>
                            <a:ext cx="73025" cy="121920"/>
                          </a:xfrm>
                          <a:custGeom>
                            <a:avLst/>
                            <a:gdLst/>
                            <a:ahLst/>
                            <a:cxnLst/>
                            <a:rect l="l" t="t" r="r" b="b"/>
                            <a:pathLst>
                              <a:path w="73025" h="121920">
                                <a:moveTo>
                                  <a:pt x="0" y="0"/>
                                </a:moveTo>
                                <a:lnTo>
                                  <a:pt x="72799" y="0"/>
                                </a:lnTo>
                                <a:lnTo>
                                  <a:pt x="72799" y="121333"/>
                                </a:lnTo>
                                <a:lnTo>
                                  <a:pt x="0" y="121333"/>
                                </a:lnTo>
                                <a:lnTo>
                                  <a:pt x="0" y="0"/>
                                </a:lnTo>
                                <a:close/>
                              </a:path>
                            </a:pathLst>
                          </a:custGeom>
                          <a:solidFill>
                            <a:srgbClr val="CCEDFF"/>
                          </a:solidFill>
                        </wps:spPr>
                        <wps:bodyPr wrap="square" lIns="0" tIns="0" rIns="0" bIns="0" rtlCol="0">
                          <a:prstTxWarp prst="textNoShape">
                            <a:avLst/>
                          </a:prstTxWarp>
                          <a:noAutofit/>
                        </wps:bodyPr>
                      </wps:wsp>
                      <wps:wsp>
                        <wps:cNvPr id="1027" name="Graphic 1027"/>
                        <wps:cNvSpPr/>
                        <wps:spPr>
                          <a:xfrm>
                            <a:off x="7239537" y="105155"/>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1028" name="Textbox 1028"/>
                        <wps:cNvSpPr txBox="1"/>
                        <wps:spPr>
                          <a:xfrm>
                            <a:off x="0" y="9688"/>
                            <a:ext cx="1152525" cy="99060"/>
                          </a:xfrm>
                          <a:prstGeom prst="rect">
                            <a:avLst/>
                          </a:prstGeom>
                        </wps:spPr>
                        <wps:txbx>
                          <w:txbxContent>
                            <w:p>
                              <w:pPr>
                                <w:spacing w:line="155" w:lineRule="exact" w:before="0"/>
                                <w:ind w:left="0" w:right="0" w:firstLine="0"/>
                                <w:jc w:val="left"/>
                                <w:rPr>
                                  <w:b/>
                                  <w:sz w:val="14"/>
                                </w:rPr>
                              </w:pPr>
                              <w:r>
                                <w:rPr>
                                  <w:b/>
                                  <w:sz w:val="14"/>
                                </w:rPr>
                                <w:t>Balance at December 31, </w:t>
                              </w:r>
                              <w:r>
                                <w:rPr>
                                  <w:b/>
                                  <w:spacing w:val="-4"/>
                                  <w:sz w:val="14"/>
                                </w:rPr>
                                <w:t>2021</w:t>
                              </w:r>
                            </w:p>
                          </w:txbxContent>
                        </wps:txbx>
                        <wps:bodyPr wrap="square" lIns="0" tIns="0" rIns="0" bIns="0" rtlCol="0">
                          <a:noAutofit/>
                        </wps:bodyPr>
                      </wps:wsp>
                      <wps:wsp>
                        <wps:cNvPr id="1029" name="Textbox 1029"/>
                        <wps:cNvSpPr txBox="1"/>
                        <wps:spPr>
                          <a:xfrm>
                            <a:off x="2879639" y="9688"/>
                            <a:ext cx="57785" cy="99060"/>
                          </a:xfrm>
                          <a:prstGeom prst="rect">
                            <a:avLst/>
                          </a:prstGeom>
                        </wps:spPr>
                        <wps:txbx>
                          <w:txbxContent>
                            <w:p>
                              <w:pPr>
                                <w:spacing w:line="155" w:lineRule="exact" w:before="0"/>
                                <w:ind w:left="0" w:right="0" w:firstLine="0"/>
                                <w:jc w:val="left"/>
                                <w:rPr>
                                  <w:b/>
                                  <w:sz w:val="14"/>
                                </w:rPr>
                              </w:pPr>
                              <w:r>
                                <w:rPr>
                                  <w:b/>
                                  <w:spacing w:val="-10"/>
                                  <w:sz w:val="14"/>
                                </w:rPr>
                                <w:t>$</w:t>
                              </w:r>
                            </w:p>
                          </w:txbxContent>
                        </wps:txbx>
                        <wps:bodyPr wrap="square" lIns="0" tIns="0" rIns="0" bIns="0" rtlCol="0">
                          <a:noAutofit/>
                        </wps:bodyPr>
                      </wps:wsp>
                      <wps:wsp>
                        <wps:cNvPr id="1030" name="Textbox 1030"/>
                        <wps:cNvSpPr txBox="1"/>
                        <wps:spPr>
                          <a:xfrm>
                            <a:off x="3452685" y="9688"/>
                            <a:ext cx="366395" cy="99060"/>
                          </a:xfrm>
                          <a:prstGeom prst="rect">
                            <a:avLst/>
                          </a:prstGeom>
                        </wps:spPr>
                        <wps:txbx>
                          <w:txbxContent>
                            <w:p>
                              <w:pPr>
                                <w:spacing w:line="155" w:lineRule="exact" w:before="0"/>
                                <w:ind w:left="0" w:right="0" w:firstLine="0"/>
                                <w:jc w:val="left"/>
                                <w:rPr>
                                  <w:b/>
                                  <w:sz w:val="14"/>
                                </w:rPr>
                              </w:pPr>
                              <w:r>
                                <w:rPr>
                                  <w:b/>
                                  <w:sz w:val="14"/>
                                </w:rPr>
                                <w:t>(933)</w:t>
                              </w:r>
                              <w:r>
                                <w:rPr>
                                  <w:b/>
                                  <w:spacing w:val="54"/>
                                  <w:sz w:val="14"/>
                                </w:rPr>
                                <w:t>  </w:t>
                              </w:r>
                              <w:r>
                                <w:rPr>
                                  <w:b/>
                                  <w:spacing w:val="-10"/>
                                  <w:sz w:val="14"/>
                                </w:rPr>
                                <w:t>$</w:t>
                              </w:r>
                            </w:p>
                          </w:txbxContent>
                        </wps:txbx>
                        <wps:bodyPr wrap="square" lIns="0" tIns="0" rIns="0" bIns="0" rtlCol="0">
                          <a:noAutofit/>
                        </wps:bodyPr>
                      </wps:wsp>
                      <wps:wsp>
                        <wps:cNvPr id="1031" name="Textbox 1031"/>
                        <wps:cNvSpPr txBox="1"/>
                        <wps:spPr>
                          <a:xfrm>
                            <a:off x="4342462" y="9688"/>
                            <a:ext cx="366395" cy="99060"/>
                          </a:xfrm>
                          <a:prstGeom prst="rect">
                            <a:avLst/>
                          </a:prstGeom>
                        </wps:spPr>
                        <wps:txbx>
                          <w:txbxContent>
                            <w:p>
                              <w:pPr>
                                <w:spacing w:line="155" w:lineRule="exact" w:before="0"/>
                                <w:ind w:left="0" w:right="0" w:firstLine="0"/>
                                <w:jc w:val="left"/>
                                <w:rPr>
                                  <w:b/>
                                  <w:sz w:val="14"/>
                                </w:rPr>
                              </w:pPr>
                              <w:r>
                                <w:rPr>
                                  <w:b/>
                                  <w:sz w:val="14"/>
                                </w:rPr>
                                <w:t>(272)</w:t>
                              </w:r>
                              <w:r>
                                <w:rPr>
                                  <w:b/>
                                  <w:spacing w:val="54"/>
                                  <w:sz w:val="14"/>
                                </w:rPr>
                                <w:t>  </w:t>
                              </w:r>
                              <w:r>
                                <w:rPr>
                                  <w:b/>
                                  <w:spacing w:val="-10"/>
                                  <w:sz w:val="14"/>
                                </w:rPr>
                                <w:t>$</w:t>
                              </w:r>
                            </w:p>
                          </w:txbxContent>
                        </wps:txbx>
                        <wps:bodyPr wrap="square" lIns="0" tIns="0" rIns="0" bIns="0" rtlCol="0">
                          <a:noAutofit/>
                        </wps:bodyPr>
                      </wps:wsp>
                      <wps:wsp>
                        <wps:cNvPr id="1032" name="Textbox 1032"/>
                        <wps:cNvSpPr txBox="1"/>
                        <wps:spPr>
                          <a:xfrm>
                            <a:off x="5377838" y="9688"/>
                            <a:ext cx="276860" cy="99060"/>
                          </a:xfrm>
                          <a:prstGeom prst="rect">
                            <a:avLst/>
                          </a:prstGeom>
                        </wps:spPr>
                        <wps:txbx>
                          <w:txbxContent>
                            <w:p>
                              <w:pPr>
                                <w:spacing w:line="155" w:lineRule="exact" w:before="0"/>
                                <w:ind w:left="0" w:right="0" w:firstLine="0"/>
                                <w:jc w:val="left"/>
                                <w:rPr>
                                  <w:b/>
                                  <w:sz w:val="14"/>
                                </w:rPr>
                              </w:pPr>
                              <w:r>
                                <w:rPr>
                                  <w:b/>
                                  <w:sz w:val="14"/>
                                </w:rPr>
                                <w:t>(3)</w:t>
                              </w:r>
                              <w:r>
                                <w:rPr>
                                  <w:b/>
                                  <w:spacing w:val="55"/>
                                  <w:sz w:val="14"/>
                                </w:rPr>
                                <w:t>  </w:t>
                              </w:r>
                              <w:r>
                                <w:rPr>
                                  <w:b/>
                                  <w:spacing w:val="-10"/>
                                  <w:sz w:val="14"/>
                                </w:rPr>
                                <w:t>$</w:t>
                              </w:r>
                            </w:p>
                          </w:txbxContent>
                        </wps:txbx>
                        <wps:bodyPr wrap="square" lIns="0" tIns="0" rIns="0" bIns="0" rtlCol="0">
                          <a:noAutofit/>
                        </wps:bodyPr>
                      </wps:wsp>
                      <wps:wsp>
                        <wps:cNvPr id="1033" name="Textbox 1033"/>
                        <wps:cNvSpPr txBox="1"/>
                        <wps:spPr>
                          <a:xfrm>
                            <a:off x="6260789" y="9688"/>
                            <a:ext cx="292100" cy="99060"/>
                          </a:xfrm>
                          <a:prstGeom prst="rect">
                            <a:avLst/>
                          </a:prstGeom>
                        </wps:spPr>
                        <wps:txbx>
                          <w:txbxContent>
                            <w:p>
                              <w:pPr>
                                <w:tabs>
                                  <w:tab w:pos="369" w:val="left" w:leader="none"/>
                                </w:tabs>
                                <w:spacing w:line="155" w:lineRule="exact" w:before="0"/>
                                <w:ind w:left="0" w:right="0" w:firstLine="0"/>
                                <w:jc w:val="left"/>
                                <w:rPr>
                                  <w:b/>
                                  <w:sz w:val="14"/>
                                </w:rPr>
                              </w:pPr>
                              <w:r>
                                <w:rPr>
                                  <w:b/>
                                  <w:spacing w:val="-5"/>
                                  <w:sz w:val="14"/>
                                </w:rPr>
                                <w:t>33</w:t>
                              </w:r>
                              <w:r>
                                <w:rPr>
                                  <w:b/>
                                  <w:sz w:val="14"/>
                                </w:rPr>
                                <w:tab/>
                              </w:r>
                              <w:r>
                                <w:rPr>
                                  <w:b/>
                                  <w:spacing w:val="-10"/>
                                  <w:sz w:val="14"/>
                                </w:rPr>
                                <w:t>$</w:t>
                              </w:r>
                            </w:p>
                          </w:txbxContent>
                        </wps:txbx>
                        <wps:bodyPr wrap="square" lIns="0" tIns="0" rIns="0" bIns="0" rtlCol="0">
                          <a:noAutofit/>
                        </wps:bodyPr>
                      </wps:wsp>
                      <wps:wsp>
                        <wps:cNvPr id="1034" name="Textbox 1034"/>
                        <wps:cNvSpPr txBox="1"/>
                        <wps:spPr>
                          <a:xfrm>
                            <a:off x="7009768" y="9688"/>
                            <a:ext cx="272415" cy="99060"/>
                          </a:xfrm>
                          <a:prstGeom prst="rect">
                            <a:avLst/>
                          </a:prstGeom>
                        </wps:spPr>
                        <wps:txbx>
                          <w:txbxContent>
                            <w:p>
                              <w:pPr>
                                <w:spacing w:line="155" w:lineRule="exact" w:before="0"/>
                                <w:ind w:left="0" w:right="0" w:firstLine="0"/>
                                <w:jc w:val="left"/>
                                <w:rPr>
                                  <w:b/>
                                  <w:sz w:val="14"/>
                                </w:rPr>
                              </w:pPr>
                              <w:r>
                                <w:rPr>
                                  <w:b/>
                                  <w:spacing w:val="-2"/>
                                  <w:sz w:val="14"/>
                                </w:rPr>
                                <w:t>(1,175)</w:t>
                              </w:r>
                            </w:p>
                          </w:txbxContent>
                        </wps:txbx>
                        <wps:bodyPr wrap="square" lIns="0" tIns="0" rIns="0" bIns="0" rtlCol="0">
                          <a:noAutofit/>
                        </wps:bodyPr>
                      </wps:wsp>
                    </wpg:wgp>
                  </a:graphicData>
                </a:graphic>
              </wp:inline>
            </w:drawing>
          </mc:Choice>
          <mc:Fallback>
            <w:pict>
              <v:group style="width:575.8pt;height:10.2pt;mso-position-horizontal-relative:char;mso-position-vertical-relative:line" id="docshapegroup983" coordorigin="0,0" coordsize="11516,204">
                <v:rect style="position:absolute;left:-1;top:0;width:11516;height:13" id="docshape984" filled="true" fillcolor="#000000" stroked="false">
                  <v:fill type="solid"/>
                </v:rect>
                <v:rect style="position:absolute;left:0;top:12;width:4421;height:192" id="docshape985" filled="true" fillcolor="#ccedff" stroked="false">
                  <v:fill type="solid"/>
                </v:rect>
                <v:shape style="position:absolute;left:-1;top:165;width:4421;height:39" id="docshape986" coordorigin="0,166" coordsize="4421,39" path="m4420,191l0,191,0,204,4420,204,4420,191xm4420,166l0,166,0,178,4420,178,4420,166xe" filled="true" fillcolor="#000000" stroked="false">
                  <v:path arrowok="t"/>
                  <v:fill type="solid"/>
                </v:shape>
                <v:rect style="position:absolute;left:4420;top:12;width:115;height:192" id="docshape987" filled="true" fillcolor="#ccedff" stroked="false">
                  <v:fill type="solid"/>
                </v:rect>
                <v:shape style="position:absolute;left:4420;top:165;width:115;height:39" id="docshape988" coordorigin="4420,166" coordsize="115,39" path="m4535,191l4420,191,4420,204,4535,204,4535,191xm4535,166l4420,166,4420,178,4535,178,4535,166xe" filled="true" fillcolor="#000000" stroked="false">
                  <v:path arrowok="t"/>
                  <v:fill type="solid"/>
                </v:shape>
                <v:rect style="position:absolute;left:4534;top:12;width:141;height:192" id="docshape989" filled="true" fillcolor="#ccedff" stroked="false">
                  <v:fill type="solid"/>
                </v:rect>
                <v:shape style="position:absolute;left:4534;top:165;width:141;height:39" id="docshape990" coordorigin="4535,166" coordsize="141,39" path="m4675,191l4535,191,4535,204,4675,204,4675,191xm4675,166l4535,166,4535,178,4675,178,4675,166xe" filled="true" fillcolor="#000000" stroked="false">
                  <v:path arrowok="t"/>
                  <v:fill type="solid"/>
                </v:shape>
                <v:rect style="position:absolute;left:4674;top:12;width:1020;height:192" id="docshape991" filled="true" fillcolor="#ccedff" stroked="false">
                  <v:fill type="solid"/>
                </v:rect>
                <v:shape style="position:absolute;left:4674;top:165;width:1020;height:39" id="docshape992" coordorigin="4675,166" coordsize="1020,39" path="m5694,191l4675,191,4675,204,5694,204,5694,191xm5694,166l4675,166,4675,178,5694,178,5694,166xe" filled="true" fillcolor="#000000" stroked="false">
                  <v:path arrowok="t"/>
                  <v:fill type="solid"/>
                </v:shape>
                <v:rect style="position:absolute;left:5694;top:12;width:115;height:192" id="docshape993" filled="true" fillcolor="#ccedff" stroked="false">
                  <v:fill type="solid"/>
                </v:rect>
                <v:shape style="position:absolute;left:5694;top:165;width:115;height:39" id="docshape994" coordorigin="5694,166" coordsize="115,39" path="m5809,191l5694,191,5694,204,5809,204,5809,191xm5809,166l5694,166,5694,178,5809,178,5809,166xe" filled="true" fillcolor="#000000" stroked="false">
                  <v:path arrowok="t"/>
                  <v:fill type="solid"/>
                </v:shape>
                <v:rect style="position:absolute;left:5808;top:12;width:115;height:192" id="docshape995" filled="true" fillcolor="#ccedff" stroked="false">
                  <v:fill type="solid"/>
                </v:rect>
                <v:shape style="position:absolute;left:5808;top:165;width:115;height:39" id="docshape996" coordorigin="5809,166" coordsize="115,39" path="m5923,191l5809,191,5809,204,5923,204,5923,191xm5923,166l5809,166,5809,178,5923,178,5923,166xe" filled="true" fillcolor="#000000" stroked="false">
                  <v:path arrowok="t"/>
                  <v:fill type="solid"/>
                </v:shape>
                <v:rect style="position:absolute;left:5923;top:12;width:153;height:192" id="docshape997" filled="true" fillcolor="#ccedff" stroked="false">
                  <v:fill type="solid"/>
                </v:rect>
                <v:shape style="position:absolute;left:5923;top:165;width:153;height:39" id="docshape998" coordorigin="5923,166" coordsize="153,39" path="m6076,191l5923,191,5923,204,6076,204,6076,191xm6076,166l5923,166,5923,178,6076,178,6076,166xe" filled="true" fillcolor="#000000" stroked="false">
                  <v:path arrowok="t"/>
                  <v:fill type="solid"/>
                </v:shape>
                <v:rect style="position:absolute;left:6076;top:12;width:1020;height:192" id="docshape999" filled="true" fillcolor="#ccedff" stroked="false">
                  <v:fill type="solid"/>
                </v:rect>
                <v:shape style="position:absolute;left:6076;top:165;width:1020;height:39" id="docshape1000" coordorigin="6076,166" coordsize="1020,39" path="m7095,191l6076,191,6076,204,7095,204,7095,191xm7095,166l6076,166,6076,178,7095,178,7095,166xe" filled="true" fillcolor="#000000" stroked="false">
                  <v:path arrowok="t"/>
                  <v:fill type="solid"/>
                </v:shape>
                <v:rect style="position:absolute;left:7095;top:12;width:115;height:192" id="docshape1001" filled="true" fillcolor="#ccedff" stroked="false">
                  <v:fill type="solid"/>
                </v:rect>
                <v:shape style="position:absolute;left:7095;top:165;width:115;height:39" id="docshape1002" coordorigin="7095,166" coordsize="115,39" path="m7210,191l7095,191,7095,204,7210,204,7210,191xm7210,166l7095,166,7095,178,7210,178,7210,166xe" filled="true" fillcolor="#000000" stroked="false">
                  <v:path arrowok="t"/>
                  <v:fill type="solid"/>
                </v:shape>
                <v:rect style="position:absolute;left:7209;top:12;width:115;height:192" id="docshape1003" filled="true" fillcolor="#ccedff" stroked="false">
                  <v:fill type="solid"/>
                </v:rect>
                <v:shape style="position:absolute;left:7209;top:165;width:115;height:39" id="docshape1004" coordorigin="7210,166" coordsize="115,39" path="m7325,191l7210,191,7210,204,7325,204,7325,191xm7325,166l7210,166,7210,178,7325,178,7325,166xe" filled="true" fillcolor="#000000" stroked="false">
                  <v:path arrowok="t"/>
                  <v:fill type="solid"/>
                </v:shape>
                <v:rect style="position:absolute;left:7324;top:12;width:243;height:192" id="docshape1005" filled="true" fillcolor="#ccedff" stroked="false">
                  <v:fill type="solid"/>
                </v:rect>
                <v:shape style="position:absolute;left:7324;top:165;width:243;height:39" id="docshape1006" coordorigin="7325,166" coordsize="243,39" path="m7567,191l7325,191,7325,204,7567,204,7567,191xm7567,166l7325,166,7325,178,7567,178,7567,166xe" filled="true" fillcolor="#000000" stroked="false">
                  <v:path arrowok="t"/>
                  <v:fill type="solid"/>
                </v:shape>
                <v:rect style="position:absolute;left:7566;top:12;width:1020;height:192" id="docshape1007" filled="true" fillcolor="#ccedff" stroked="false">
                  <v:fill type="solid"/>
                </v:rect>
                <v:shape style="position:absolute;left:7566;top:165;width:1020;height:39" id="docshape1008" coordorigin="7567,166" coordsize="1020,39" path="m8586,191l7567,191,7567,204,8586,204,8586,191xm8586,166l7567,166,7567,178,8586,178,8586,166xe" filled="true" fillcolor="#000000" stroked="false">
                  <v:path arrowok="t"/>
                  <v:fill type="solid"/>
                </v:shape>
                <v:rect style="position:absolute;left:8585;top:12;width:115;height:192" id="docshape1009" filled="true" fillcolor="#ccedff" stroked="false">
                  <v:fill type="solid"/>
                </v:rect>
                <v:shape style="position:absolute;left:8585;top:165;width:115;height:39" id="docshape1010" coordorigin="8586,166" coordsize="115,39" path="m8700,191l8586,191,8586,204,8700,204,8700,191xm8700,166l8586,166,8586,178,8700,178,8700,166xe" filled="true" fillcolor="#000000" stroked="false">
                  <v:path arrowok="t"/>
                  <v:fill type="solid"/>
                </v:shape>
                <v:rect style="position:absolute;left:8700;top:12;width:115;height:192" id="docshape1011" filled="true" fillcolor="#ccedff" stroked="false">
                  <v:fill type="solid"/>
                </v:rect>
                <v:shape style="position:absolute;left:8700;top:165;width:115;height:39" id="docshape1012" coordorigin="8700,166" coordsize="115,39" path="m8815,191l8700,191,8700,204,8815,204,8815,191xm8815,166l8700,166,8700,178,8815,178,8815,166xe" filled="true" fillcolor="#000000" stroked="false">
                  <v:path arrowok="t"/>
                  <v:fill type="solid"/>
                </v:shape>
                <v:rect style="position:absolute;left:8814;top:12;width:166;height:192" id="docshape1013" filled="true" fillcolor="#ccedff" stroked="false">
                  <v:fill type="solid"/>
                </v:rect>
                <v:shape style="position:absolute;left:8814;top:165;width:166;height:39" id="docshape1014" coordorigin="8815,166" coordsize="166,39" path="m8981,191l8815,191,8815,204,8981,204,8981,191xm8981,166l8815,166,8815,178,8981,178,8981,166xe" filled="true" fillcolor="#000000" stroked="false">
                  <v:path arrowok="t"/>
                  <v:fill type="solid"/>
                </v:shape>
                <v:rect style="position:absolute;left:8980;top:12;width:1020;height:192" id="docshape1015" filled="true" fillcolor="#ccedff" stroked="false">
                  <v:fill type="solid"/>
                </v:rect>
                <v:shape style="position:absolute;left:8980;top:165;width:1020;height:39" id="docshape1016" coordorigin="8981,166" coordsize="1020,39" path="m10000,191l8981,191,8981,204,10000,204,10000,191xm10000,166l8981,166,8981,178,10000,178,10000,166xe" filled="true" fillcolor="#000000" stroked="false">
                  <v:path arrowok="t"/>
                  <v:fill type="solid"/>
                </v:shape>
                <v:rect style="position:absolute;left:9999;top:12;width:115;height:192" id="docshape1017" filled="true" fillcolor="#ccedff" stroked="false">
                  <v:fill type="solid"/>
                </v:rect>
                <v:shape style="position:absolute;left:9999;top:165;width:115;height:39" id="docshape1018" coordorigin="10000,166" coordsize="115,39" path="m10114,191l10000,191,10000,204,10114,204,10114,191xm10114,166l10000,166,10000,178,10114,178,10114,166xe" filled="true" fillcolor="#000000" stroked="false">
                  <v:path arrowok="t"/>
                  <v:fill type="solid"/>
                </v:shape>
                <v:rect style="position:absolute;left:10114;top:12;width:115;height:192" id="docshape1019" filled="true" fillcolor="#ccedff" stroked="false">
                  <v:fill type="solid"/>
                </v:rect>
                <v:shape style="position:absolute;left:10114;top:165;width:115;height:39" id="docshape1020" coordorigin="10114,166" coordsize="115,39" path="m10229,191l10114,191,10114,204,10229,204,10229,191xm10229,166l10114,166,10114,178,10229,178,10229,166xe" filled="true" fillcolor="#000000" stroked="false">
                  <v:path arrowok="t"/>
                  <v:fill type="solid"/>
                </v:shape>
                <v:rect style="position:absolute;left:10228;top:12;width:141;height:192" id="docshape1021" filled="true" fillcolor="#ccedff" stroked="false">
                  <v:fill type="solid"/>
                </v:rect>
                <v:shape style="position:absolute;left:10228;top:165;width:141;height:39" id="docshape1022" coordorigin="10229,166" coordsize="141,39" path="m10369,191l10229,191,10229,204,10369,204,10369,191xm10369,166l10229,166,10229,178,10369,178,10369,166xe" filled="true" fillcolor="#000000" stroked="false">
                  <v:path arrowok="t"/>
                  <v:fill type="solid"/>
                </v:shape>
                <v:rect style="position:absolute;left:10369;top:12;width:1032;height:192" id="docshape1023" filled="true" fillcolor="#ccedff" stroked="false">
                  <v:fill type="solid"/>
                </v:rect>
                <v:shape style="position:absolute;left:10369;top:165;width:1032;height:39" id="docshape1024" coordorigin="10369,166" coordsize="1032,39" path="m11401,191l10369,191,10369,204,11401,204,11401,191xm11401,166l10369,166,10369,178,11401,178,11401,166xe" filled="true" fillcolor="#000000" stroked="false">
                  <v:path arrowok="t"/>
                  <v:fill type="solid"/>
                </v:shape>
                <v:rect style="position:absolute;left:11400;top:12;width:115;height:192" id="docshape1025" filled="true" fillcolor="#ccedff" stroked="false">
                  <v:fill type="solid"/>
                </v:rect>
                <v:shape style="position:absolute;left:11400;top:165;width:115;height:39" id="docshape1026" coordorigin="11401,166" coordsize="115,39" path="m11515,191l11401,191,11401,204,11515,204,11515,191xm11515,166l11401,166,11401,178,11515,178,11515,166xe" filled="true" fillcolor="#000000" stroked="false">
                  <v:path arrowok="t"/>
                  <v:fill type="solid"/>
                </v:shape>
                <v:shape style="position:absolute;left:0;top:15;width:1815;height:156" type="#_x0000_t202" id="docshape1027" filled="false" stroked="false">
                  <v:textbox inset="0,0,0,0">
                    <w:txbxContent>
                      <w:p>
                        <w:pPr>
                          <w:spacing w:line="155" w:lineRule="exact" w:before="0"/>
                          <w:ind w:left="0" w:right="0" w:firstLine="0"/>
                          <w:jc w:val="left"/>
                          <w:rPr>
                            <w:b/>
                            <w:sz w:val="14"/>
                          </w:rPr>
                        </w:pPr>
                        <w:r>
                          <w:rPr>
                            <w:b/>
                            <w:sz w:val="14"/>
                          </w:rPr>
                          <w:t>Balance at December 31, </w:t>
                        </w:r>
                        <w:r>
                          <w:rPr>
                            <w:b/>
                            <w:spacing w:val="-4"/>
                            <w:sz w:val="14"/>
                          </w:rPr>
                          <w:t>2021</w:t>
                        </w:r>
                      </w:p>
                    </w:txbxContent>
                  </v:textbox>
                  <w10:wrap type="none"/>
                </v:shape>
                <v:shape style="position:absolute;left:4534;top:15;width:91;height:156" type="#_x0000_t202" id="docshape1028" filled="false" stroked="false">
                  <v:textbox inset="0,0,0,0">
                    <w:txbxContent>
                      <w:p>
                        <w:pPr>
                          <w:spacing w:line="155" w:lineRule="exact" w:before="0"/>
                          <w:ind w:left="0" w:right="0" w:firstLine="0"/>
                          <w:jc w:val="left"/>
                          <w:rPr>
                            <w:b/>
                            <w:sz w:val="14"/>
                          </w:rPr>
                        </w:pPr>
                        <w:r>
                          <w:rPr>
                            <w:b/>
                            <w:spacing w:val="-10"/>
                            <w:sz w:val="14"/>
                          </w:rPr>
                          <w:t>$</w:t>
                        </w:r>
                      </w:p>
                    </w:txbxContent>
                  </v:textbox>
                  <w10:wrap type="none"/>
                </v:shape>
                <v:shape style="position:absolute;left:5437;top:15;width:577;height:156" type="#_x0000_t202" id="docshape1029" filled="false" stroked="false">
                  <v:textbox inset="0,0,0,0">
                    <w:txbxContent>
                      <w:p>
                        <w:pPr>
                          <w:spacing w:line="155" w:lineRule="exact" w:before="0"/>
                          <w:ind w:left="0" w:right="0" w:firstLine="0"/>
                          <w:jc w:val="left"/>
                          <w:rPr>
                            <w:b/>
                            <w:sz w:val="14"/>
                          </w:rPr>
                        </w:pPr>
                        <w:r>
                          <w:rPr>
                            <w:b/>
                            <w:sz w:val="14"/>
                          </w:rPr>
                          <w:t>(933)</w:t>
                        </w:r>
                        <w:r>
                          <w:rPr>
                            <w:b/>
                            <w:spacing w:val="54"/>
                            <w:sz w:val="14"/>
                          </w:rPr>
                          <w:t>  </w:t>
                        </w:r>
                        <w:r>
                          <w:rPr>
                            <w:b/>
                            <w:spacing w:val="-10"/>
                            <w:sz w:val="14"/>
                          </w:rPr>
                          <w:t>$</w:t>
                        </w:r>
                      </w:p>
                    </w:txbxContent>
                  </v:textbox>
                  <w10:wrap type="none"/>
                </v:shape>
                <v:shape style="position:absolute;left:6838;top:15;width:577;height:156" type="#_x0000_t202" id="docshape1030" filled="false" stroked="false">
                  <v:textbox inset="0,0,0,0">
                    <w:txbxContent>
                      <w:p>
                        <w:pPr>
                          <w:spacing w:line="155" w:lineRule="exact" w:before="0"/>
                          <w:ind w:left="0" w:right="0" w:firstLine="0"/>
                          <w:jc w:val="left"/>
                          <w:rPr>
                            <w:b/>
                            <w:sz w:val="14"/>
                          </w:rPr>
                        </w:pPr>
                        <w:r>
                          <w:rPr>
                            <w:b/>
                            <w:sz w:val="14"/>
                          </w:rPr>
                          <w:t>(272)</w:t>
                        </w:r>
                        <w:r>
                          <w:rPr>
                            <w:b/>
                            <w:spacing w:val="54"/>
                            <w:sz w:val="14"/>
                          </w:rPr>
                          <w:t>  </w:t>
                        </w:r>
                        <w:r>
                          <w:rPr>
                            <w:b/>
                            <w:spacing w:val="-10"/>
                            <w:sz w:val="14"/>
                          </w:rPr>
                          <w:t>$</w:t>
                        </w:r>
                      </w:p>
                    </w:txbxContent>
                  </v:textbox>
                  <w10:wrap type="none"/>
                </v:shape>
                <v:shape style="position:absolute;left:8469;top:15;width:436;height:156" type="#_x0000_t202" id="docshape1031" filled="false" stroked="false">
                  <v:textbox inset="0,0,0,0">
                    <w:txbxContent>
                      <w:p>
                        <w:pPr>
                          <w:spacing w:line="155" w:lineRule="exact" w:before="0"/>
                          <w:ind w:left="0" w:right="0" w:firstLine="0"/>
                          <w:jc w:val="left"/>
                          <w:rPr>
                            <w:b/>
                            <w:sz w:val="14"/>
                          </w:rPr>
                        </w:pPr>
                        <w:r>
                          <w:rPr>
                            <w:b/>
                            <w:sz w:val="14"/>
                          </w:rPr>
                          <w:t>(3)</w:t>
                        </w:r>
                        <w:r>
                          <w:rPr>
                            <w:b/>
                            <w:spacing w:val="55"/>
                            <w:sz w:val="14"/>
                          </w:rPr>
                          <w:t>  </w:t>
                        </w:r>
                        <w:r>
                          <w:rPr>
                            <w:b/>
                            <w:spacing w:val="-10"/>
                            <w:sz w:val="14"/>
                          </w:rPr>
                          <w:t>$</w:t>
                        </w:r>
                      </w:p>
                    </w:txbxContent>
                  </v:textbox>
                  <w10:wrap type="none"/>
                </v:shape>
                <v:shape style="position:absolute;left:9859;top:15;width:460;height:156" type="#_x0000_t202" id="docshape1032" filled="false" stroked="false">
                  <v:textbox inset="0,0,0,0">
                    <w:txbxContent>
                      <w:p>
                        <w:pPr>
                          <w:tabs>
                            <w:tab w:pos="369" w:val="left" w:leader="none"/>
                          </w:tabs>
                          <w:spacing w:line="155" w:lineRule="exact" w:before="0"/>
                          <w:ind w:left="0" w:right="0" w:firstLine="0"/>
                          <w:jc w:val="left"/>
                          <w:rPr>
                            <w:b/>
                            <w:sz w:val="14"/>
                          </w:rPr>
                        </w:pPr>
                        <w:r>
                          <w:rPr>
                            <w:b/>
                            <w:spacing w:val="-5"/>
                            <w:sz w:val="14"/>
                          </w:rPr>
                          <w:t>33</w:t>
                        </w:r>
                        <w:r>
                          <w:rPr>
                            <w:b/>
                            <w:sz w:val="14"/>
                          </w:rPr>
                          <w:tab/>
                        </w:r>
                        <w:r>
                          <w:rPr>
                            <w:b/>
                            <w:spacing w:val="-10"/>
                            <w:sz w:val="14"/>
                          </w:rPr>
                          <w:t>$</w:t>
                        </w:r>
                      </w:p>
                    </w:txbxContent>
                  </v:textbox>
                  <w10:wrap type="none"/>
                </v:shape>
                <v:shape style="position:absolute;left:11039;top:15;width:429;height:156" type="#_x0000_t202" id="docshape1033" filled="false" stroked="false">
                  <v:textbox inset="0,0,0,0">
                    <w:txbxContent>
                      <w:p>
                        <w:pPr>
                          <w:spacing w:line="155" w:lineRule="exact" w:before="0"/>
                          <w:ind w:left="0" w:right="0" w:firstLine="0"/>
                          <w:jc w:val="left"/>
                          <w:rPr>
                            <w:b/>
                            <w:sz w:val="14"/>
                          </w:rPr>
                        </w:pPr>
                        <w:r>
                          <w:rPr>
                            <w:b/>
                            <w:spacing w:val="-2"/>
                            <w:sz w:val="14"/>
                          </w:rPr>
                          <w:t>(1,175)</w:t>
                        </w:r>
                      </w:p>
                    </w:txbxContent>
                  </v:textbox>
                  <w10:wrap type="none"/>
                </v:shape>
              </v:group>
            </w:pict>
          </mc:Fallback>
        </mc:AlternateContent>
      </w:r>
      <w:r>
        <w:rPr>
          <w:position w:val="-3"/>
          <w:sz w:val="20"/>
        </w:rPr>
      </w:r>
    </w:p>
    <w:p>
      <w:pPr>
        <w:pStyle w:val="BodyText"/>
        <w:spacing w:before="36"/>
        <w:rPr>
          <w:sz w:val="14"/>
        </w:rPr>
      </w:pPr>
    </w:p>
    <w:p>
      <w:pPr>
        <w:pStyle w:val="ListParagraph"/>
        <w:numPr>
          <w:ilvl w:val="0"/>
          <w:numId w:val="56"/>
        </w:numPr>
        <w:tabs>
          <w:tab w:pos="460" w:val="left" w:leader="none"/>
        </w:tabs>
        <w:spacing w:line="157" w:lineRule="exact" w:before="0" w:after="0"/>
        <w:ind w:left="460" w:right="0" w:hanging="304"/>
        <w:jc w:val="left"/>
        <w:rPr>
          <w:sz w:val="14"/>
        </w:rPr>
      </w:pPr>
      <w:r>
        <w:rPr>
          <w:sz w:val="14"/>
        </w:rPr>
        <w:t>All</w:t>
      </w:r>
      <w:r>
        <w:rPr>
          <w:spacing w:val="-2"/>
          <w:sz w:val="14"/>
        </w:rPr>
        <w:t> </w:t>
      </w:r>
      <w:r>
        <w:rPr>
          <w:sz w:val="14"/>
        </w:rPr>
        <w:t>amounts</w:t>
      </w:r>
      <w:r>
        <w:rPr>
          <w:spacing w:val="-2"/>
          <w:sz w:val="14"/>
        </w:rPr>
        <w:t> </w:t>
      </w:r>
      <w:r>
        <w:rPr>
          <w:sz w:val="14"/>
        </w:rPr>
        <w:t>are</w:t>
      </w:r>
      <w:r>
        <w:rPr>
          <w:spacing w:val="-2"/>
          <w:sz w:val="14"/>
        </w:rPr>
        <w:t> </w:t>
      </w:r>
      <w:r>
        <w:rPr>
          <w:sz w:val="14"/>
        </w:rPr>
        <w:t>after</w:t>
      </w:r>
      <w:r>
        <w:rPr>
          <w:spacing w:val="-2"/>
          <w:sz w:val="14"/>
        </w:rPr>
        <w:t> </w:t>
      </w:r>
      <w:r>
        <w:rPr>
          <w:sz w:val="14"/>
        </w:rPr>
        <w:t>tax.</w:t>
      </w:r>
      <w:r>
        <w:rPr>
          <w:spacing w:val="-2"/>
          <w:sz w:val="14"/>
        </w:rPr>
        <w:t> </w:t>
      </w:r>
      <w:r>
        <w:rPr>
          <w:sz w:val="14"/>
        </w:rPr>
        <w:t>Amounts</w:t>
      </w:r>
      <w:r>
        <w:rPr>
          <w:spacing w:val="-2"/>
          <w:sz w:val="14"/>
        </w:rPr>
        <w:t> </w:t>
      </w:r>
      <w:r>
        <w:rPr>
          <w:sz w:val="14"/>
        </w:rPr>
        <w:t>in</w:t>
      </w:r>
      <w:r>
        <w:rPr>
          <w:spacing w:val="-1"/>
          <w:sz w:val="14"/>
        </w:rPr>
        <w:t> </w:t>
      </w:r>
      <w:r>
        <w:rPr>
          <w:sz w:val="14"/>
        </w:rPr>
        <w:t>parentheses</w:t>
      </w:r>
      <w:r>
        <w:rPr>
          <w:spacing w:val="-2"/>
          <w:sz w:val="14"/>
        </w:rPr>
        <w:t> </w:t>
      </w:r>
      <w:r>
        <w:rPr>
          <w:sz w:val="14"/>
        </w:rPr>
        <w:t>indicate</w:t>
      </w:r>
      <w:r>
        <w:rPr>
          <w:spacing w:val="-2"/>
          <w:sz w:val="14"/>
        </w:rPr>
        <w:t> </w:t>
      </w:r>
      <w:r>
        <w:rPr>
          <w:sz w:val="14"/>
        </w:rPr>
        <w:t>debits</w:t>
      </w:r>
      <w:r>
        <w:rPr>
          <w:spacing w:val="-2"/>
          <w:sz w:val="14"/>
        </w:rPr>
        <w:t> </w:t>
      </w:r>
      <w:r>
        <w:rPr>
          <w:sz w:val="14"/>
        </w:rPr>
        <w:t>to</w:t>
      </w:r>
      <w:r>
        <w:rPr>
          <w:spacing w:val="-2"/>
          <w:sz w:val="14"/>
        </w:rPr>
        <w:t> </w:t>
      </w:r>
      <w:r>
        <w:rPr>
          <w:sz w:val="14"/>
        </w:rPr>
        <w:t>accumulated</w:t>
      </w:r>
      <w:r>
        <w:rPr>
          <w:spacing w:val="-2"/>
          <w:sz w:val="14"/>
        </w:rPr>
        <w:t> </w:t>
      </w:r>
      <w:r>
        <w:rPr>
          <w:sz w:val="14"/>
        </w:rPr>
        <w:t>other</w:t>
      </w:r>
      <w:r>
        <w:rPr>
          <w:spacing w:val="-2"/>
          <w:sz w:val="14"/>
        </w:rPr>
        <w:t> </w:t>
      </w:r>
      <w:r>
        <w:rPr>
          <w:sz w:val="14"/>
        </w:rPr>
        <w:t>comprehensive</w:t>
      </w:r>
      <w:r>
        <w:rPr>
          <w:spacing w:val="-1"/>
          <w:sz w:val="14"/>
        </w:rPr>
        <w:t> </w:t>
      </w:r>
      <w:r>
        <w:rPr>
          <w:spacing w:val="-2"/>
          <w:sz w:val="14"/>
        </w:rPr>
        <w:t>loss.</w:t>
      </w:r>
    </w:p>
    <w:p>
      <w:pPr>
        <w:pStyle w:val="ListParagraph"/>
        <w:numPr>
          <w:ilvl w:val="0"/>
          <w:numId w:val="56"/>
        </w:numPr>
        <w:tabs>
          <w:tab w:pos="460" w:val="left" w:leader="none"/>
          <w:tab w:pos="462" w:val="left" w:leader="none"/>
        </w:tabs>
        <w:spacing w:line="228" w:lineRule="auto" w:before="2" w:after="0"/>
        <w:ind w:left="462" w:right="329" w:hanging="306"/>
        <w:jc w:val="left"/>
        <w:rPr>
          <w:sz w:val="14"/>
        </w:rPr>
      </w:pPr>
      <w:r>
        <w:rPr>
          <w:sz w:val="14"/>
        </w:rPr>
        <w:t>Amounts</w:t>
      </w:r>
      <w:r>
        <w:rPr>
          <w:spacing w:val="-1"/>
          <w:sz w:val="14"/>
        </w:rPr>
        <w:t> </w:t>
      </w:r>
      <w:r>
        <w:rPr>
          <w:sz w:val="14"/>
        </w:rPr>
        <w:t>are</w:t>
      </w:r>
      <w:r>
        <w:rPr>
          <w:spacing w:val="-1"/>
          <w:sz w:val="14"/>
        </w:rPr>
        <w:t> </w:t>
      </w:r>
      <w:r>
        <w:rPr>
          <w:sz w:val="14"/>
        </w:rPr>
        <w:t>net</w:t>
      </w:r>
      <w:r>
        <w:rPr>
          <w:spacing w:val="-1"/>
          <w:sz w:val="14"/>
        </w:rPr>
        <w:t> </w:t>
      </w:r>
      <w:r>
        <w:rPr>
          <w:sz w:val="14"/>
        </w:rPr>
        <w:t>of</w:t>
      </w:r>
      <w:r>
        <w:rPr>
          <w:spacing w:val="-1"/>
          <w:sz w:val="14"/>
        </w:rPr>
        <w:t> </w:t>
      </w:r>
      <w:r>
        <w:rPr>
          <w:sz w:val="14"/>
        </w:rPr>
        <w:t>total</w:t>
      </w:r>
      <w:r>
        <w:rPr>
          <w:spacing w:val="-1"/>
          <w:sz w:val="14"/>
        </w:rPr>
        <w:t> </w:t>
      </w:r>
      <w:r>
        <w:rPr>
          <w:sz w:val="14"/>
        </w:rPr>
        <w:t>tax</w:t>
      </w:r>
      <w:r>
        <w:rPr>
          <w:spacing w:val="-1"/>
          <w:sz w:val="14"/>
        </w:rPr>
        <w:t> </w:t>
      </w:r>
      <w:r>
        <w:rPr>
          <w:sz w:val="14"/>
        </w:rPr>
        <w:t>benefit</w:t>
      </w:r>
      <w:r>
        <w:rPr>
          <w:spacing w:val="-1"/>
          <w:sz w:val="14"/>
        </w:rPr>
        <w:t> </w:t>
      </w:r>
      <w:r>
        <w:rPr>
          <w:sz w:val="14"/>
        </w:rPr>
        <w:t>of</w:t>
      </w:r>
      <w:r>
        <w:rPr>
          <w:spacing w:val="-1"/>
          <w:sz w:val="14"/>
        </w:rPr>
        <w:t> </w:t>
      </w:r>
      <w:r>
        <w:rPr>
          <w:sz w:val="14"/>
        </w:rPr>
        <w:t>$8</w:t>
      </w:r>
      <w:r>
        <w:rPr>
          <w:spacing w:val="-1"/>
          <w:sz w:val="14"/>
        </w:rPr>
        <w:t> </w:t>
      </w:r>
      <w:r>
        <w:rPr>
          <w:sz w:val="14"/>
        </w:rPr>
        <w:t>million,</w:t>
      </w:r>
      <w:r>
        <w:rPr>
          <w:spacing w:val="-1"/>
          <w:sz w:val="14"/>
        </w:rPr>
        <w:t> </w:t>
      </w:r>
      <w:r>
        <w:rPr>
          <w:sz w:val="14"/>
        </w:rPr>
        <w:t>primarily</w:t>
      </w:r>
      <w:r>
        <w:rPr>
          <w:spacing w:val="-1"/>
          <w:sz w:val="14"/>
        </w:rPr>
        <w:t> </w:t>
      </w:r>
      <w:r>
        <w:rPr>
          <w:sz w:val="14"/>
        </w:rPr>
        <w:t>driven</w:t>
      </w:r>
      <w:r>
        <w:rPr>
          <w:spacing w:val="-1"/>
          <w:sz w:val="14"/>
        </w:rPr>
        <w:t> </w:t>
      </w:r>
      <w:r>
        <w:rPr>
          <w:sz w:val="14"/>
        </w:rPr>
        <w:t>by</w:t>
      </w:r>
      <w:r>
        <w:rPr>
          <w:spacing w:val="-1"/>
          <w:sz w:val="14"/>
        </w:rPr>
        <w:t> </w:t>
      </w:r>
      <w:r>
        <w:rPr>
          <w:sz w:val="14"/>
        </w:rPr>
        <w:t>$7</w:t>
      </w:r>
      <w:r>
        <w:rPr>
          <w:spacing w:val="-1"/>
          <w:sz w:val="14"/>
        </w:rPr>
        <w:t> </w:t>
      </w:r>
      <w:r>
        <w:rPr>
          <w:sz w:val="14"/>
        </w:rPr>
        <w:t>million</w:t>
      </w:r>
      <w:r>
        <w:rPr>
          <w:spacing w:val="-1"/>
          <w:sz w:val="14"/>
        </w:rPr>
        <w:t> </w:t>
      </w:r>
      <w:r>
        <w:rPr>
          <w:sz w:val="14"/>
        </w:rPr>
        <w:t>related</w:t>
      </w:r>
      <w:r>
        <w:rPr>
          <w:spacing w:val="-1"/>
          <w:sz w:val="14"/>
        </w:rPr>
        <w:t> </w:t>
      </w:r>
      <w:r>
        <w:rPr>
          <w:sz w:val="14"/>
        </w:rPr>
        <w:t>to</w:t>
      </w:r>
      <w:r>
        <w:rPr>
          <w:spacing w:val="-1"/>
          <w:sz w:val="14"/>
        </w:rPr>
        <w:t> </w:t>
      </w:r>
      <w:r>
        <w:rPr>
          <w:sz w:val="14"/>
        </w:rPr>
        <w:t>foreign</w:t>
      </w:r>
      <w:r>
        <w:rPr>
          <w:spacing w:val="-1"/>
          <w:sz w:val="14"/>
        </w:rPr>
        <w:t> </w:t>
      </w:r>
      <w:r>
        <w:rPr>
          <w:sz w:val="14"/>
        </w:rPr>
        <w:t>currency</w:t>
      </w:r>
      <w:r>
        <w:rPr>
          <w:spacing w:val="-1"/>
          <w:sz w:val="14"/>
        </w:rPr>
        <w:t> </w:t>
      </w:r>
      <w:r>
        <w:rPr>
          <w:sz w:val="14"/>
        </w:rPr>
        <w:t>translation</w:t>
      </w:r>
      <w:r>
        <w:rPr>
          <w:spacing w:val="-1"/>
          <w:sz w:val="14"/>
        </w:rPr>
        <w:t> </w:t>
      </w:r>
      <w:r>
        <w:rPr>
          <w:sz w:val="14"/>
        </w:rPr>
        <w:t>adjustments;</w:t>
      </w:r>
      <w:r>
        <w:rPr>
          <w:spacing w:val="-1"/>
          <w:sz w:val="14"/>
        </w:rPr>
        <w:t> </w:t>
      </w:r>
      <w:r>
        <w:rPr>
          <w:sz w:val="14"/>
        </w:rPr>
        <w:t>embedded</w:t>
      </w:r>
      <w:r>
        <w:rPr>
          <w:spacing w:val="-1"/>
          <w:sz w:val="14"/>
        </w:rPr>
        <w:t> </w:t>
      </w:r>
      <w:r>
        <w:rPr>
          <w:sz w:val="14"/>
        </w:rPr>
        <w:t>in this</w:t>
      </w:r>
      <w:r>
        <w:rPr>
          <w:spacing w:val="-1"/>
          <w:sz w:val="14"/>
        </w:rPr>
        <w:t> </w:t>
      </w:r>
      <w:r>
        <w:rPr>
          <w:sz w:val="14"/>
        </w:rPr>
        <w:t>number</w:t>
      </w:r>
      <w:r>
        <w:rPr>
          <w:spacing w:val="-1"/>
          <w:sz w:val="14"/>
        </w:rPr>
        <w:t> </w:t>
      </w:r>
      <w:r>
        <w:rPr>
          <w:sz w:val="14"/>
        </w:rPr>
        <w:t>is</w:t>
      </w:r>
      <w:r>
        <w:rPr>
          <w:spacing w:val="-1"/>
          <w:sz w:val="14"/>
        </w:rPr>
        <w:t> </w:t>
      </w:r>
      <w:r>
        <w:rPr>
          <w:sz w:val="14"/>
        </w:rPr>
        <w:t>the</w:t>
      </w:r>
      <w:r>
        <w:rPr>
          <w:spacing w:val="-1"/>
          <w:sz w:val="14"/>
        </w:rPr>
        <w:t> </w:t>
      </w:r>
      <w:r>
        <w:rPr>
          <w:sz w:val="14"/>
        </w:rPr>
        <w:t>negative</w:t>
      </w:r>
      <w:r>
        <w:rPr>
          <w:spacing w:val="-1"/>
          <w:sz w:val="14"/>
        </w:rPr>
        <w:t> </w:t>
      </w:r>
      <w:r>
        <w:rPr>
          <w:sz w:val="14"/>
        </w:rPr>
        <w:t>impact</w:t>
      </w:r>
      <w:r>
        <w:rPr>
          <w:spacing w:val="-1"/>
          <w:sz w:val="14"/>
        </w:rPr>
        <w:t> </w:t>
      </w:r>
      <w:r>
        <w:rPr>
          <w:sz w:val="14"/>
        </w:rPr>
        <w:t>of</w:t>
      </w:r>
      <w:r>
        <w:rPr>
          <w:spacing w:val="-1"/>
          <w:sz w:val="14"/>
        </w:rPr>
        <w:t> </w:t>
      </w:r>
      <w:r>
        <w:rPr>
          <w:sz w:val="14"/>
        </w:rPr>
        <w:t>$18</w:t>
      </w:r>
      <w:r>
        <w:rPr>
          <w:spacing w:val="-1"/>
          <w:sz w:val="14"/>
        </w:rPr>
        <w:t> </w:t>
      </w:r>
      <w:r>
        <w:rPr>
          <w:sz w:val="14"/>
        </w:rPr>
        <w:t>million</w:t>
      </w:r>
      <w:r>
        <w:rPr>
          <w:spacing w:val="40"/>
          <w:sz w:val="14"/>
        </w:rPr>
        <w:t> </w:t>
      </w:r>
      <w:r>
        <w:rPr>
          <w:sz w:val="14"/>
        </w:rPr>
        <w:t>related to the hedging component, offset by the positive impact of $19 million related to retirement plans.</w:t>
      </w:r>
    </w:p>
    <w:p>
      <w:pPr>
        <w:pStyle w:val="ListParagraph"/>
        <w:numPr>
          <w:ilvl w:val="0"/>
          <w:numId w:val="56"/>
        </w:numPr>
        <w:tabs>
          <w:tab w:pos="460" w:val="left" w:leader="none"/>
          <w:tab w:pos="462" w:val="left" w:leader="none"/>
        </w:tabs>
        <w:spacing w:line="228" w:lineRule="auto" w:before="0" w:after="0"/>
        <w:ind w:left="462" w:right="302" w:hanging="306"/>
        <w:jc w:val="left"/>
        <w:rPr>
          <w:sz w:val="14"/>
        </w:rPr>
      </w:pPr>
      <w:r>
        <w:rPr>
          <w:sz w:val="14"/>
        </w:rPr>
        <w:t>Amounts</w:t>
      </w:r>
      <w:r>
        <w:rPr>
          <w:spacing w:val="-1"/>
          <w:sz w:val="14"/>
        </w:rPr>
        <w:t> </w:t>
      </w:r>
      <w:r>
        <w:rPr>
          <w:sz w:val="14"/>
        </w:rPr>
        <w:t>are</w:t>
      </w:r>
      <w:r>
        <w:rPr>
          <w:spacing w:val="-1"/>
          <w:sz w:val="14"/>
        </w:rPr>
        <w:t> </w:t>
      </w:r>
      <w:r>
        <w:rPr>
          <w:sz w:val="14"/>
        </w:rPr>
        <w:t>net</w:t>
      </w:r>
      <w:r>
        <w:rPr>
          <w:spacing w:val="-1"/>
          <w:sz w:val="14"/>
        </w:rPr>
        <w:t> </w:t>
      </w:r>
      <w:r>
        <w:rPr>
          <w:sz w:val="14"/>
        </w:rPr>
        <w:t>of</w:t>
      </w:r>
      <w:r>
        <w:rPr>
          <w:spacing w:val="-1"/>
          <w:sz w:val="14"/>
        </w:rPr>
        <w:t> </w:t>
      </w:r>
      <w:r>
        <w:rPr>
          <w:sz w:val="14"/>
        </w:rPr>
        <w:t>total</w:t>
      </w:r>
      <w:r>
        <w:rPr>
          <w:spacing w:val="-1"/>
          <w:sz w:val="14"/>
        </w:rPr>
        <w:t> </w:t>
      </w:r>
      <w:r>
        <w:rPr>
          <w:sz w:val="14"/>
        </w:rPr>
        <w:t>tax</w:t>
      </w:r>
      <w:r>
        <w:rPr>
          <w:spacing w:val="-1"/>
          <w:sz w:val="14"/>
        </w:rPr>
        <w:t> </w:t>
      </w:r>
      <w:r>
        <w:rPr>
          <w:sz w:val="14"/>
        </w:rPr>
        <w:t>expense</w:t>
      </w:r>
      <w:r>
        <w:rPr>
          <w:spacing w:val="-1"/>
          <w:sz w:val="14"/>
        </w:rPr>
        <w:t> </w:t>
      </w:r>
      <w:r>
        <w:rPr>
          <w:sz w:val="14"/>
        </w:rPr>
        <w:t>of</w:t>
      </w:r>
      <w:r>
        <w:rPr>
          <w:spacing w:val="-1"/>
          <w:sz w:val="14"/>
        </w:rPr>
        <w:t> </w:t>
      </w:r>
      <w:r>
        <w:rPr>
          <w:sz w:val="14"/>
        </w:rPr>
        <w:t>$22</w:t>
      </w:r>
      <w:r>
        <w:rPr>
          <w:spacing w:val="-1"/>
          <w:sz w:val="14"/>
        </w:rPr>
        <w:t> </w:t>
      </w:r>
      <w:r>
        <w:rPr>
          <w:sz w:val="14"/>
        </w:rPr>
        <w:t>million,</w:t>
      </w:r>
      <w:r>
        <w:rPr>
          <w:spacing w:val="-1"/>
          <w:sz w:val="14"/>
        </w:rPr>
        <w:t> </w:t>
      </w:r>
      <w:r>
        <w:rPr>
          <w:sz w:val="14"/>
        </w:rPr>
        <w:t>primarily</w:t>
      </w:r>
      <w:r>
        <w:rPr>
          <w:spacing w:val="-1"/>
          <w:sz w:val="14"/>
        </w:rPr>
        <w:t> </w:t>
      </w:r>
      <w:r>
        <w:rPr>
          <w:sz w:val="14"/>
        </w:rPr>
        <w:t>driven</w:t>
      </w:r>
      <w:r>
        <w:rPr>
          <w:spacing w:val="-1"/>
          <w:sz w:val="14"/>
        </w:rPr>
        <w:t> </w:t>
      </w:r>
      <w:r>
        <w:rPr>
          <w:sz w:val="14"/>
        </w:rPr>
        <w:t>by</w:t>
      </w:r>
      <w:r>
        <w:rPr>
          <w:spacing w:val="-1"/>
          <w:sz w:val="14"/>
        </w:rPr>
        <w:t> </w:t>
      </w:r>
      <w:r>
        <w:rPr>
          <w:sz w:val="14"/>
        </w:rPr>
        <w:t>$55</w:t>
      </w:r>
      <w:r>
        <w:rPr>
          <w:spacing w:val="-1"/>
          <w:sz w:val="14"/>
        </w:rPr>
        <w:t> </w:t>
      </w:r>
      <w:r>
        <w:rPr>
          <w:sz w:val="14"/>
        </w:rPr>
        <w:t>million</w:t>
      </w:r>
      <w:r>
        <w:rPr>
          <w:spacing w:val="-1"/>
          <w:sz w:val="14"/>
        </w:rPr>
        <w:t> </w:t>
      </w:r>
      <w:r>
        <w:rPr>
          <w:sz w:val="14"/>
        </w:rPr>
        <w:t>related</w:t>
      </w:r>
      <w:r>
        <w:rPr>
          <w:spacing w:val="-1"/>
          <w:sz w:val="14"/>
        </w:rPr>
        <w:t> </w:t>
      </w:r>
      <w:r>
        <w:rPr>
          <w:sz w:val="14"/>
        </w:rPr>
        <w:t>to</w:t>
      </w:r>
      <w:r>
        <w:rPr>
          <w:spacing w:val="-1"/>
          <w:sz w:val="14"/>
        </w:rPr>
        <w:t> </w:t>
      </w:r>
      <w:r>
        <w:rPr>
          <w:sz w:val="14"/>
        </w:rPr>
        <w:t>foreign</w:t>
      </w:r>
      <w:r>
        <w:rPr>
          <w:spacing w:val="-1"/>
          <w:sz w:val="14"/>
        </w:rPr>
        <w:t> </w:t>
      </w:r>
      <w:r>
        <w:rPr>
          <w:sz w:val="14"/>
        </w:rPr>
        <w:t>currency</w:t>
      </w:r>
      <w:r>
        <w:rPr>
          <w:spacing w:val="-1"/>
          <w:sz w:val="14"/>
        </w:rPr>
        <w:t> </w:t>
      </w:r>
      <w:r>
        <w:rPr>
          <w:sz w:val="14"/>
        </w:rPr>
        <w:t>translation</w:t>
      </w:r>
      <w:r>
        <w:rPr>
          <w:spacing w:val="-1"/>
          <w:sz w:val="14"/>
        </w:rPr>
        <w:t> </w:t>
      </w:r>
      <w:r>
        <w:rPr>
          <w:sz w:val="14"/>
        </w:rPr>
        <w:t>adjustments;</w:t>
      </w:r>
      <w:r>
        <w:rPr>
          <w:spacing w:val="-1"/>
          <w:sz w:val="14"/>
        </w:rPr>
        <w:t> </w:t>
      </w:r>
      <w:r>
        <w:rPr>
          <w:sz w:val="14"/>
        </w:rPr>
        <w:t>embedded</w:t>
      </w:r>
      <w:r>
        <w:rPr>
          <w:spacing w:val="-1"/>
          <w:sz w:val="14"/>
        </w:rPr>
        <w:t> </w:t>
      </w:r>
      <w:r>
        <w:rPr>
          <w:sz w:val="14"/>
        </w:rPr>
        <w:t>in</w:t>
      </w:r>
      <w:r>
        <w:rPr>
          <w:spacing w:val="-1"/>
          <w:sz w:val="14"/>
        </w:rPr>
        <w:t> </w:t>
      </w:r>
      <w:r>
        <w:rPr>
          <w:sz w:val="14"/>
        </w:rPr>
        <w:t>this</w:t>
      </w:r>
      <w:r>
        <w:rPr>
          <w:spacing w:val="-1"/>
          <w:sz w:val="14"/>
        </w:rPr>
        <w:t> </w:t>
      </w:r>
      <w:r>
        <w:rPr>
          <w:sz w:val="14"/>
        </w:rPr>
        <w:t>number</w:t>
      </w:r>
      <w:r>
        <w:rPr>
          <w:spacing w:val="-1"/>
          <w:sz w:val="14"/>
        </w:rPr>
        <w:t> </w:t>
      </w:r>
      <w:r>
        <w:rPr>
          <w:sz w:val="14"/>
        </w:rPr>
        <w:t>are</w:t>
      </w:r>
      <w:r>
        <w:rPr>
          <w:spacing w:val="-1"/>
          <w:sz w:val="14"/>
        </w:rPr>
        <w:t> </w:t>
      </w:r>
      <w:r>
        <w:rPr>
          <w:sz w:val="14"/>
        </w:rPr>
        <w:t>positive</w:t>
      </w:r>
      <w:r>
        <w:rPr>
          <w:spacing w:val="-1"/>
          <w:sz w:val="14"/>
        </w:rPr>
        <w:t> </w:t>
      </w:r>
      <w:r>
        <w:rPr>
          <w:sz w:val="14"/>
        </w:rPr>
        <w:t>impacts</w:t>
      </w:r>
      <w:r>
        <w:rPr>
          <w:spacing w:val="-1"/>
          <w:sz w:val="14"/>
        </w:rPr>
        <w:t> </w:t>
      </w:r>
      <w:r>
        <w:rPr>
          <w:sz w:val="14"/>
        </w:rPr>
        <w:t>of</w:t>
      </w:r>
      <w:r>
        <w:rPr>
          <w:spacing w:val="-1"/>
          <w:sz w:val="14"/>
        </w:rPr>
        <w:t> </w:t>
      </w:r>
      <w:r>
        <w:rPr>
          <w:sz w:val="14"/>
        </w:rPr>
        <w:t>$5</w:t>
      </w:r>
      <w:r>
        <w:rPr>
          <w:spacing w:val="-1"/>
          <w:sz w:val="14"/>
        </w:rPr>
        <w:t> </w:t>
      </w:r>
      <w:r>
        <w:rPr>
          <w:sz w:val="14"/>
        </w:rPr>
        <w:t>million</w:t>
      </w:r>
      <w:r>
        <w:rPr>
          <w:spacing w:val="40"/>
          <w:sz w:val="14"/>
        </w:rPr>
        <w:t> </w:t>
      </w:r>
      <w:r>
        <w:rPr>
          <w:sz w:val="14"/>
        </w:rPr>
        <w:t>related to the hedging component and $28 million related to retirement plans.</w:t>
      </w:r>
    </w:p>
    <w:p>
      <w:pPr>
        <w:pStyle w:val="ListParagraph"/>
        <w:numPr>
          <w:ilvl w:val="0"/>
          <w:numId w:val="56"/>
        </w:numPr>
        <w:tabs>
          <w:tab w:pos="460" w:val="left" w:leader="none"/>
          <w:tab w:pos="462" w:val="left" w:leader="none"/>
        </w:tabs>
        <w:spacing w:line="228" w:lineRule="auto" w:before="0" w:after="0"/>
        <w:ind w:left="462" w:right="415" w:hanging="306"/>
        <w:jc w:val="left"/>
        <w:rPr>
          <w:sz w:val="14"/>
        </w:rPr>
      </w:pPr>
      <w:r>
        <w:rPr>
          <w:sz w:val="14"/>
        </w:rPr>
        <w:t>Amounts</w:t>
      </w:r>
      <w:r>
        <w:rPr>
          <w:spacing w:val="-1"/>
          <w:sz w:val="14"/>
        </w:rPr>
        <w:t> </w:t>
      </w:r>
      <w:r>
        <w:rPr>
          <w:sz w:val="14"/>
        </w:rPr>
        <w:t>are</w:t>
      </w:r>
      <w:r>
        <w:rPr>
          <w:spacing w:val="-1"/>
          <w:sz w:val="14"/>
        </w:rPr>
        <w:t> </w:t>
      </w:r>
      <w:r>
        <w:rPr>
          <w:sz w:val="14"/>
        </w:rPr>
        <w:t>net</w:t>
      </w:r>
      <w:r>
        <w:rPr>
          <w:spacing w:val="-1"/>
          <w:sz w:val="14"/>
        </w:rPr>
        <w:t> </w:t>
      </w:r>
      <w:r>
        <w:rPr>
          <w:sz w:val="14"/>
        </w:rPr>
        <w:t>of</w:t>
      </w:r>
      <w:r>
        <w:rPr>
          <w:spacing w:val="-1"/>
          <w:sz w:val="14"/>
        </w:rPr>
        <w:t> </w:t>
      </w:r>
      <w:r>
        <w:rPr>
          <w:sz w:val="14"/>
        </w:rPr>
        <w:t>total</w:t>
      </w:r>
      <w:r>
        <w:rPr>
          <w:spacing w:val="-1"/>
          <w:sz w:val="14"/>
        </w:rPr>
        <w:t> </w:t>
      </w:r>
      <w:r>
        <w:rPr>
          <w:sz w:val="14"/>
        </w:rPr>
        <w:t>tax</w:t>
      </w:r>
      <w:r>
        <w:rPr>
          <w:spacing w:val="-1"/>
          <w:sz w:val="14"/>
        </w:rPr>
        <w:t> </w:t>
      </w:r>
      <w:r>
        <w:rPr>
          <w:sz w:val="14"/>
        </w:rPr>
        <w:t>expense</w:t>
      </w:r>
      <w:r>
        <w:rPr>
          <w:spacing w:val="-1"/>
          <w:sz w:val="14"/>
        </w:rPr>
        <w:t> </w:t>
      </w:r>
      <w:r>
        <w:rPr>
          <w:sz w:val="14"/>
        </w:rPr>
        <w:t>of</w:t>
      </w:r>
      <w:r>
        <w:rPr>
          <w:spacing w:val="-1"/>
          <w:sz w:val="14"/>
        </w:rPr>
        <w:t> </w:t>
      </w:r>
      <w:r>
        <w:rPr>
          <w:sz w:val="14"/>
        </w:rPr>
        <w:t>$4</w:t>
      </w:r>
      <w:r>
        <w:rPr>
          <w:spacing w:val="-1"/>
          <w:sz w:val="14"/>
        </w:rPr>
        <w:t> </w:t>
      </w:r>
      <w:r>
        <w:rPr>
          <w:sz w:val="14"/>
        </w:rPr>
        <w:t>million,</w:t>
      </w:r>
      <w:r>
        <w:rPr>
          <w:spacing w:val="-1"/>
          <w:sz w:val="14"/>
        </w:rPr>
        <w:t> </w:t>
      </w:r>
      <w:r>
        <w:rPr>
          <w:sz w:val="14"/>
        </w:rPr>
        <w:t>primarily</w:t>
      </w:r>
      <w:r>
        <w:rPr>
          <w:spacing w:val="-1"/>
          <w:sz w:val="14"/>
        </w:rPr>
        <w:t> </w:t>
      </w:r>
      <w:r>
        <w:rPr>
          <w:sz w:val="14"/>
        </w:rPr>
        <w:t>driven</w:t>
      </w:r>
      <w:r>
        <w:rPr>
          <w:spacing w:val="-1"/>
          <w:sz w:val="14"/>
        </w:rPr>
        <w:t> </w:t>
      </w:r>
      <w:r>
        <w:rPr>
          <w:sz w:val="14"/>
        </w:rPr>
        <w:t>by</w:t>
      </w:r>
      <w:r>
        <w:rPr>
          <w:spacing w:val="-1"/>
          <w:sz w:val="14"/>
        </w:rPr>
        <w:t> </w:t>
      </w:r>
      <w:r>
        <w:rPr>
          <w:sz w:val="14"/>
        </w:rPr>
        <w:t>$51</w:t>
      </w:r>
      <w:r>
        <w:rPr>
          <w:spacing w:val="-1"/>
          <w:sz w:val="14"/>
        </w:rPr>
        <w:t> </w:t>
      </w:r>
      <w:r>
        <w:rPr>
          <w:sz w:val="14"/>
        </w:rPr>
        <w:t>million</w:t>
      </w:r>
      <w:r>
        <w:rPr>
          <w:spacing w:val="-1"/>
          <w:sz w:val="14"/>
        </w:rPr>
        <w:t> </w:t>
      </w:r>
      <w:r>
        <w:rPr>
          <w:sz w:val="14"/>
        </w:rPr>
        <w:t>related</w:t>
      </w:r>
      <w:r>
        <w:rPr>
          <w:spacing w:val="-1"/>
          <w:sz w:val="14"/>
        </w:rPr>
        <w:t> </w:t>
      </w:r>
      <w:r>
        <w:rPr>
          <w:sz w:val="14"/>
        </w:rPr>
        <w:t>to</w:t>
      </w:r>
      <w:r>
        <w:rPr>
          <w:spacing w:val="-1"/>
          <w:sz w:val="14"/>
        </w:rPr>
        <w:t> </w:t>
      </w:r>
      <w:r>
        <w:rPr>
          <w:sz w:val="14"/>
        </w:rPr>
        <w:t>retirement</w:t>
      </w:r>
      <w:r>
        <w:rPr>
          <w:spacing w:val="-1"/>
          <w:sz w:val="14"/>
        </w:rPr>
        <w:t> </w:t>
      </w:r>
      <w:r>
        <w:rPr>
          <w:sz w:val="14"/>
        </w:rPr>
        <w:t>plans,</w:t>
      </w:r>
      <w:r>
        <w:rPr>
          <w:spacing w:val="-1"/>
          <w:sz w:val="14"/>
        </w:rPr>
        <w:t> </w:t>
      </w:r>
      <w:r>
        <w:rPr>
          <w:sz w:val="14"/>
        </w:rPr>
        <w:t>offset</w:t>
      </w:r>
      <w:r>
        <w:rPr>
          <w:spacing w:val="-1"/>
          <w:sz w:val="14"/>
        </w:rPr>
        <w:t> </w:t>
      </w:r>
      <w:r>
        <w:rPr>
          <w:sz w:val="14"/>
        </w:rPr>
        <w:t>by</w:t>
      </w:r>
      <w:r>
        <w:rPr>
          <w:spacing w:val="-1"/>
          <w:sz w:val="14"/>
        </w:rPr>
        <w:t> </w:t>
      </w:r>
      <w:r>
        <w:rPr>
          <w:sz w:val="14"/>
        </w:rPr>
        <w:t>positive</w:t>
      </w:r>
      <w:r>
        <w:rPr>
          <w:spacing w:val="-1"/>
          <w:sz w:val="14"/>
        </w:rPr>
        <w:t> </w:t>
      </w:r>
      <w:r>
        <w:rPr>
          <w:sz w:val="14"/>
        </w:rPr>
        <w:t>impacts</w:t>
      </w:r>
      <w:r>
        <w:rPr>
          <w:spacing w:val="-1"/>
          <w:sz w:val="14"/>
        </w:rPr>
        <w:t> </w:t>
      </w:r>
      <w:r>
        <w:rPr>
          <w:sz w:val="14"/>
        </w:rPr>
        <w:t>of</w:t>
      </w:r>
      <w:r>
        <w:rPr>
          <w:spacing w:val="-1"/>
          <w:sz w:val="14"/>
        </w:rPr>
        <w:t> </w:t>
      </w:r>
      <w:r>
        <w:rPr>
          <w:sz w:val="14"/>
        </w:rPr>
        <w:t>$44</w:t>
      </w:r>
      <w:r>
        <w:rPr>
          <w:spacing w:val="-1"/>
          <w:sz w:val="14"/>
        </w:rPr>
        <w:t> </w:t>
      </w:r>
      <w:r>
        <w:rPr>
          <w:sz w:val="14"/>
        </w:rPr>
        <w:t>million</w:t>
      </w:r>
      <w:r>
        <w:rPr>
          <w:spacing w:val="-1"/>
          <w:sz w:val="14"/>
        </w:rPr>
        <w:t> </w:t>
      </w:r>
      <w:r>
        <w:rPr>
          <w:sz w:val="14"/>
        </w:rPr>
        <w:t>and</w:t>
      </w:r>
      <w:r>
        <w:rPr>
          <w:spacing w:val="-1"/>
          <w:sz w:val="14"/>
        </w:rPr>
        <w:t> </w:t>
      </w:r>
      <w:r>
        <w:rPr>
          <w:sz w:val="14"/>
        </w:rPr>
        <w:t>$3</w:t>
      </w:r>
      <w:r>
        <w:rPr>
          <w:spacing w:val="-1"/>
          <w:sz w:val="14"/>
        </w:rPr>
        <w:t> </w:t>
      </w:r>
      <w:r>
        <w:rPr>
          <w:sz w:val="14"/>
        </w:rPr>
        <w:t>million</w:t>
      </w:r>
      <w:r>
        <w:rPr>
          <w:spacing w:val="-1"/>
          <w:sz w:val="14"/>
        </w:rPr>
        <w:t> </w:t>
      </w:r>
      <w:r>
        <w:rPr>
          <w:sz w:val="14"/>
        </w:rPr>
        <w:t>related</w:t>
      </w:r>
      <w:r>
        <w:rPr>
          <w:spacing w:val="-1"/>
          <w:sz w:val="14"/>
        </w:rPr>
        <w:t> </w:t>
      </w:r>
      <w:r>
        <w:rPr>
          <w:sz w:val="14"/>
        </w:rPr>
        <w:t>to</w:t>
      </w:r>
      <w:r>
        <w:rPr>
          <w:spacing w:val="-1"/>
          <w:sz w:val="14"/>
        </w:rPr>
        <w:t> </w:t>
      </w:r>
      <w:r>
        <w:rPr>
          <w:sz w:val="14"/>
        </w:rPr>
        <w:t>foreign</w:t>
      </w:r>
      <w:r>
        <w:rPr>
          <w:spacing w:val="-1"/>
          <w:sz w:val="14"/>
        </w:rPr>
        <w:t> </w:t>
      </w:r>
      <w:r>
        <w:rPr>
          <w:sz w:val="14"/>
        </w:rPr>
        <w:t>currency</w:t>
      </w:r>
      <w:r>
        <w:rPr>
          <w:spacing w:val="40"/>
          <w:sz w:val="14"/>
        </w:rPr>
        <w:t> </w:t>
      </w:r>
      <w:r>
        <w:rPr>
          <w:sz w:val="14"/>
        </w:rPr>
        <w:t>translation adjustments and the hedging component, respectively.</w:t>
      </w:r>
    </w:p>
    <w:p>
      <w:pPr>
        <w:pStyle w:val="ListParagraph"/>
        <w:numPr>
          <w:ilvl w:val="0"/>
          <w:numId w:val="56"/>
        </w:numPr>
        <w:tabs>
          <w:tab w:pos="460" w:val="left" w:leader="none"/>
        </w:tabs>
        <w:spacing w:line="150" w:lineRule="exact" w:before="0" w:after="0"/>
        <w:ind w:left="460" w:right="0" w:hanging="304"/>
        <w:jc w:val="left"/>
        <w:rPr>
          <w:sz w:val="14"/>
        </w:rPr>
      </w:pPr>
      <w:r>
        <w:rPr>
          <w:sz w:val="14"/>
        </w:rPr>
        <w:t>Tax</w:t>
      </w:r>
      <w:r>
        <w:rPr>
          <w:spacing w:val="-2"/>
          <w:sz w:val="14"/>
        </w:rPr>
        <w:t> </w:t>
      </w:r>
      <w:r>
        <w:rPr>
          <w:sz w:val="14"/>
        </w:rPr>
        <w:t>effect</w:t>
      </w:r>
      <w:r>
        <w:rPr>
          <w:spacing w:val="-2"/>
          <w:sz w:val="14"/>
        </w:rPr>
        <w:t> </w:t>
      </w:r>
      <w:r>
        <w:rPr>
          <w:sz w:val="14"/>
        </w:rPr>
        <w:t>of</w:t>
      </w:r>
      <w:r>
        <w:rPr>
          <w:spacing w:val="-2"/>
          <w:sz w:val="14"/>
        </w:rPr>
        <w:t> </w:t>
      </w:r>
      <w:r>
        <w:rPr>
          <w:sz w:val="14"/>
        </w:rPr>
        <w:t>reclassifications</w:t>
      </w:r>
      <w:r>
        <w:rPr>
          <w:spacing w:val="-2"/>
          <w:sz w:val="14"/>
        </w:rPr>
        <w:t> </w:t>
      </w:r>
      <w:r>
        <w:rPr>
          <w:sz w:val="14"/>
        </w:rPr>
        <w:t>are</w:t>
      </w:r>
      <w:r>
        <w:rPr>
          <w:spacing w:val="-1"/>
          <w:sz w:val="14"/>
        </w:rPr>
        <w:t> </w:t>
      </w:r>
      <w:r>
        <w:rPr>
          <w:sz w:val="14"/>
        </w:rPr>
        <w:t>disclosed</w:t>
      </w:r>
      <w:r>
        <w:rPr>
          <w:spacing w:val="-2"/>
          <w:sz w:val="14"/>
        </w:rPr>
        <w:t> </w:t>
      </w:r>
      <w:r>
        <w:rPr>
          <w:sz w:val="14"/>
        </w:rPr>
        <w:t>separately</w:t>
      </w:r>
      <w:r>
        <w:rPr>
          <w:spacing w:val="-2"/>
          <w:sz w:val="14"/>
        </w:rPr>
        <w:t> </w:t>
      </w:r>
      <w:r>
        <w:rPr>
          <w:sz w:val="14"/>
        </w:rPr>
        <w:t>within</w:t>
      </w:r>
      <w:r>
        <w:rPr>
          <w:spacing w:val="-2"/>
          <w:sz w:val="14"/>
        </w:rPr>
        <w:t> </w:t>
      </w:r>
      <w:r>
        <w:rPr>
          <w:sz w:val="14"/>
        </w:rPr>
        <w:t>the</w:t>
      </w:r>
      <w:r>
        <w:rPr>
          <w:spacing w:val="-1"/>
          <w:sz w:val="14"/>
        </w:rPr>
        <w:t> </w:t>
      </w:r>
      <w:r>
        <w:rPr>
          <w:spacing w:val="-2"/>
          <w:sz w:val="14"/>
        </w:rPr>
        <w:t>footnote.</w:t>
      </w:r>
    </w:p>
    <w:p>
      <w:pPr>
        <w:pStyle w:val="ListParagraph"/>
        <w:numPr>
          <w:ilvl w:val="0"/>
          <w:numId w:val="56"/>
        </w:numPr>
        <w:tabs>
          <w:tab w:pos="460" w:val="left" w:leader="none"/>
        </w:tabs>
        <w:spacing w:line="157" w:lineRule="exact" w:before="0" w:after="0"/>
        <w:ind w:left="460" w:right="0" w:hanging="304"/>
        <w:jc w:val="left"/>
        <w:rPr>
          <w:sz w:val="14"/>
        </w:rPr>
      </w:pPr>
      <w:r>
        <w:rPr>
          <w:sz w:val="14"/>
        </w:rPr>
        <w:t>Tax</w:t>
      </w:r>
      <w:r>
        <w:rPr>
          <w:spacing w:val="-2"/>
          <w:sz w:val="14"/>
        </w:rPr>
        <w:t> </w:t>
      </w:r>
      <w:r>
        <w:rPr>
          <w:sz w:val="14"/>
        </w:rPr>
        <w:t>effects</w:t>
      </w:r>
      <w:r>
        <w:rPr>
          <w:spacing w:val="-1"/>
          <w:sz w:val="14"/>
        </w:rPr>
        <w:t> </w:t>
      </w:r>
      <w:r>
        <w:rPr>
          <w:sz w:val="14"/>
        </w:rPr>
        <w:t>related</w:t>
      </w:r>
      <w:r>
        <w:rPr>
          <w:spacing w:val="-1"/>
          <w:sz w:val="14"/>
        </w:rPr>
        <w:t> </w:t>
      </w:r>
      <w:r>
        <w:rPr>
          <w:sz w:val="14"/>
        </w:rPr>
        <w:t>to</w:t>
      </w:r>
      <w:r>
        <w:rPr>
          <w:spacing w:val="-1"/>
          <w:sz w:val="14"/>
        </w:rPr>
        <w:t> </w:t>
      </w:r>
      <w:r>
        <w:rPr>
          <w:sz w:val="14"/>
        </w:rPr>
        <w:t>equity</w:t>
      </w:r>
      <w:r>
        <w:rPr>
          <w:spacing w:val="-1"/>
          <w:sz w:val="14"/>
        </w:rPr>
        <w:t> </w:t>
      </w:r>
      <w:r>
        <w:rPr>
          <w:sz w:val="14"/>
        </w:rPr>
        <w:t>method</w:t>
      </w:r>
      <w:r>
        <w:rPr>
          <w:spacing w:val="-1"/>
          <w:sz w:val="14"/>
        </w:rPr>
        <w:t> </w:t>
      </w:r>
      <w:r>
        <w:rPr>
          <w:sz w:val="14"/>
        </w:rPr>
        <w:t>affiliates</w:t>
      </w:r>
      <w:r>
        <w:rPr>
          <w:spacing w:val="-2"/>
          <w:sz w:val="14"/>
        </w:rPr>
        <w:t> </w:t>
      </w:r>
      <w:r>
        <w:rPr>
          <w:sz w:val="14"/>
        </w:rPr>
        <w:t>are</w:t>
      </w:r>
      <w:r>
        <w:rPr>
          <w:spacing w:val="-2"/>
          <w:sz w:val="14"/>
        </w:rPr>
        <w:t> </w:t>
      </w:r>
      <w:r>
        <w:rPr>
          <w:sz w:val="14"/>
        </w:rPr>
        <w:t>not</w:t>
      </w:r>
      <w:r>
        <w:rPr>
          <w:spacing w:val="-1"/>
          <w:sz w:val="14"/>
        </w:rPr>
        <w:t> </w:t>
      </w:r>
      <w:r>
        <w:rPr>
          <w:sz w:val="14"/>
        </w:rPr>
        <w:t>significant</w:t>
      </w:r>
      <w:r>
        <w:rPr>
          <w:spacing w:val="-1"/>
          <w:sz w:val="14"/>
        </w:rPr>
        <w:t> </w:t>
      </w:r>
      <w:r>
        <w:rPr>
          <w:sz w:val="14"/>
        </w:rPr>
        <w:t>in</w:t>
      </w:r>
      <w:r>
        <w:rPr>
          <w:spacing w:val="-1"/>
          <w:sz w:val="14"/>
        </w:rPr>
        <w:t> </w:t>
      </w:r>
      <w:r>
        <w:rPr>
          <w:sz w:val="14"/>
        </w:rPr>
        <w:t>the</w:t>
      </w:r>
      <w:r>
        <w:rPr>
          <w:spacing w:val="-1"/>
          <w:sz w:val="14"/>
        </w:rPr>
        <w:t> </w:t>
      </w:r>
      <w:r>
        <w:rPr>
          <w:sz w:val="14"/>
        </w:rPr>
        <w:t>reported</w:t>
      </w:r>
      <w:r>
        <w:rPr>
          <w:spacing w:val="-1"/>
          <w:sz w:val="14"/>
        </w:rPr>
        <w:t> </w:t>
      </w:r>
      <w:r>
        <w:rPr>
          <w:spacing w:val="-2"/>
          <w:sz w:val="14"/>
        </w:rPr>
        <w:t>periods.</w:t>
      </w:r>
    </w:p>
    <w:p>
      <w:pPr>
        <w:pStyle w:val="BodyText"/>
        <w:spacing w:before="41"/>
        <w:rPr>
          <w:sz w:val="14"/>
        </w:rPr>
      </w:pPr>
    </w:p>
    <w:p>
      <w:pPr>
        <w:pStyle w:val="BodyText"/>
        <w:spacing w:before="1"/>
        <w:ind w:left="48"/>
        <w:jc w:val="center"/>
      </w:pPr>
      <w:r>
        <w:rPr>
          <w:spacing w:val="-5"/>
          <w:w w:val="105"/>
        </w:rPr>
        <w:t>108</w:t>
      </w:r>
    </w:p>
    <w:p>
      <w:pPr>
        <w:pStyle w:val="BodyText"/>
        <w:spacing w:before="11"/>
        <w:rPr>
          <w:sz w:val="5"/>
        </w:rPr>
      </w:pPr>
      <w:r>
        <w:rPr/>
        <mc:AlternateContent>
          <mc:Choice Requires="wps">
            <w:drawing>
              <wp:anchor distT="0" distB="0" distL="0" distR="0" allowOverlap="1" layoutInCell="1" locked="0" behindDoc="1" simplePos="0" relativeHeight="487739392">
                <wp:simplePos x="0" y="0"/>
                <wp:positionH relativeFrom="page">
                  <wp:posOffset>226488</wp:posOffset>
                </wp:positionH>
                <wp:positionV relativeFrom="paragraph">
                  <wp:posOffset>58786</wp:posOffset>
                </wp:positionV>
                <wp:extent cx="7312659" cy="16510"/>
                <wp:effectExtent l="0" t="0" r="0" b="0"/>
                <wp:wrapTopAndBottom/>
                <wp:docPr id="1035" name="Graphic 1035"/>
                <wp:cNvGraphicFramePr>
                  <a:graphicFrameLocks/>
                </wp:cNvGraphicFramePr>
                <a:graphic>
                  <a:graphicData uri="http://schemas.microsoft.com/office/word/2010/wordprocessingShape">
                    <wps:wsp>
                      <wps:cNvPr id="1035" name="Graphic 1035"/>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8862pt;width:575.775087pt;height:1.273839pt;mso-position-horizontal-relative:page;mso-position-vertical-relative:paragraph;z-index:-15577088;mso-wrap-distance-left:0;mso-wrap-distance-right:0" id="docshape1034" filled="true" fillcolor="#000000" stroked="false">
                <v:fill type="solid"/>
                <w10:wrap type="topAndBottom"/>
              </v:rect>
            </w:pict>
          </mc:Fallback>
        </mc:AlternateContent>
      </w:r>
    </w:p>
    <w:p>
      <w:pPr>
        <w:spacing w:after="0"/>
        <w:rPr>
          <w:sz w:val="5"/>
        </w:rPr>
        <w:sectPr>
          <w:type w:val="continuous"/>
          <w:pgSz w:w="12240" w:h="15840"/>
          <w:pgMar w:header="428" w:footer="0" w:top="700" w:bottom="280" w:left="200" w:right="260"/>
        </w:sectPr>
      </w:pPr>
    </w:p>
    <w:p>
      <w:pPr>
        <w:pStyle w:val="BodyText"/>
        <w:spacing w:before="38"/>
      </w:pPr>
    </w:p>
    <w:p>
      <w:pPr>
        <w:pStyle w:val="Heading2"/>
        <w:numPr>
          <w:ilvl w:val="0"/>
          <w:numId w:val="57"/>
        </w:numPr>
        <w:tabs>
          <w:tab w:pos="445" w:val="left" w:leader="none"/>
        </w:tabs>
        <w:spacing w:line="240" w:lineRule="auto" w:before="0" w:after="0"/>
        <w:ind w:left="445" w:right="0" w:hanging="289"/>
        <w:jc w:val="left"/>
      </w:pPr>
      <w:r>
        <w:rPr/>
        <w:t>Shareholders</w:t>
      </w:r>
      <w:r>
        <w:rPr>
          <w:b w:val="0"/>
        </w:rPr>
        <w:t>’</w:t>
      </w:r>
      <w:r>
        <w:rPr>
          <w:b w:val="0"/>
          <w:spacing w:val="16"/>
        </w:rPr>
        <w:t> </w:t>
      </w:r>
      <w:r>
        <w:rPr/>
        <w:t>Equity</w:t>
      </w:r>
      <w:r>
        <w:rPr>
          <w:spacing w:val="17"/>
        </w:rPr>
        <w:t> </w:t>
      </w:r>
      <w:r>
        <w:rPr>
          <w:spacing w:val="-2"/>
        </w:rPr>
        <w:t>(Continued)</w:t>
      </w:r>
    </w:p>
    <w:p>
      <w:pPr>
        <w:pStyle w:val="BodyText"/>
        <w:spacing w:before="40"/>
        <w:rPr>
          <w:b/>
        </w:rPr>
      </w:pPr>
    </w:p>
    <w:p>
      <w:pPr>
        <w:pStyle w:val="BodyText"/>
        <w:ind w:left="156"/>
      </w:pPr>
      <w:r>
        <w:rPr>
          <w:w w:val="105"/>
        </w:rPr>
        <w:t>(In</w:t>
      </w:r>
      <w:r>
        <w:rPr>
          <w:spacing w:val="-5"/>
          <w:w w:val="105"/>
        </w:rPr>
        <w:t> </w:t>
      </w:r>
      <w:r>
        <w:rPr>
          <w:spacing w:val="-2"/>
          <w:w w:val="105"/>
        </w:rPr>
        <w:t>millions)</w:t>
      </w:r>
    </w:p>
    <w:p>
      <w:pPr>
        <w:pStyle w:val="BodyText"/>
        <w:rPr>
          <w:sz w:val="17"/>
        </w:rPr>
      </w:pPr>
      <w:r>
        <w:rPr/>
        <mc:AlternateContent>
          <mc:Choice Requires="wps">
            <w:drawing>
              <wp:anchor distT="0" distB="0" distL="0" distR="0" allowOverlap="1" layoutInCell="1" locked="0" behindDoc="1" simplePos="0" relativeHeight="487743488">
                <wp:simplePos x="0" y="0"/>
                <wp:positionH relativeFrom="page">
                  <wp:posOffset>226479</wp:posOffset>
                </wp:positionH>
                <wp:positionV relativeFrom="paragraph">
                  <wp:posOffset>139870</wp:posOffset>
                </wp:positionV>
                <wp:extent cx="7312659" cy="16510"/>
                <wp:effectExtent l="0" t="0" r="0" b="0"/>
                <wp:wrapTopAndBottom/>
                <wp:docPr id="1036" name="Graphic 1036"/>
                <wp:cNvGraphicFramePr>
                  <a:graphicFrameLocks/>
                </wp:cNvGraphicFramePr>
                <a:graphic>
                  <a:graphicData uri="http://schemas.microsoft.com/office/word/2010/wordprocessingShape">
                    <wps:wsp>
                      <wps:cNvPr id="1036" name="Graphic 1036"/>
                      <wps:cNvSpPr/>
                      <wps:spPr>
                        <a:xfrm>
                          <a:off x="0" y="0"/>
                          <a:ext cx="7312659" cy="16510"/>
                        </a:xfrm>
                        <a:custGeom>
                          <a:avLst/>
                          <a:gdLst/>
                          <a:ahLst/>
                          <a:cxnLst/>
                          <a:rect l="l" t="t" r="r" b="b"/>
                          <a:pathLst>
                            <a:path w="7312659" h="16510">
                              <a:moveTo>
                                <a:pt x="7312342" y="0"/>
                              </a:moveTo>
                              <a:lnTo>
                                <a:pt x="7239546" y="0"/>
                              </a:lnTo>
                              <a:lnTo>
                                <a:pt x="0" y="0"/>
                              </a:lnTo>
                              <a:lnTo>
                                <a:pt x="0"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11.013419pt;width:575.8pt;height:1.3pt;mso-position-horizontal-relative:page;mso-position-vertical-relative:paragraph;z-index:-15572992;mso-wrap-distance-left:0;mso-wrap-distance-right:0" id="docshape1035" coordorigin="357,220" coordsize="11516,26" path="m11872,220l11758,220,357,220,357,246,11758,246,11872,246,11872,220xe" filled="true" fillcolor="#000000" stroked="false">
                <v:path arrowok="t"/>
                <v:fill type="solid"/>
                <w10:wrap type="topAndBottom"/>
              </v:shape>
            </w:pict>
          </mc:Fallback>
        </mc:AlternateContent>
      </w:r>
    </w:p>
    <w:p>
      <w:pPr>
        <w:pStyle w:val="BodyText"/>
        <w:spacing w:after="9"/>
        <w:ind w:left="156"/>
        <w:rPr>
          <w:sz w:val="14"/>
        </w:rPr>
      </w:pPr>
      <w:r>
        <w:rPr/>
        <w:t>Reclassifications</w:t>
      </w:r>
      <w:r>
        <w:rPr>
          <w:spacing w:val="16"/>
        </w:rPr>
        <w:t> </w:t>
      </w:r>
      <w:r>
        <w:rPr/>
        <w:t>Out</w:t>
      </w:r>
      <w:r>
        <w:rPr>
          <w:spacing w:val="17"/>
        </w:rPr>
        <w:t> </w:t>
      </w:r>
      <w:r>
        <w:rPr/>
        <w:t>of</w:t>
      </w:r>
      <w:r>
        <w:rPr>
          <w:spacing w:val="17"/>
        </w:rPr>
        <w:t> </w:t>
      </w:r>
      <w:r>
        <w:rPr/>
        <w:t>Accumulated</w:t>
      </w:r>
      <w:r>
        <w:rPr>
          <w:spacing w:val="17"/>
        </w:rPr>
        <w:t> </w:t>
      </w:r>
      <w:r>
        <w:rPr/>
        <w:t>Other</w:t>
      </w:r>
      <w:r>
        <w:rPr>
          <w:spacing w:val="17"/>
        </w:rPr>
        <w:t> </w:t>
      </w:r>
      <w:r>
        <w:rPr/>
        <w:t>Comprehensive</w:t>
      </w:r>
      <w:r>
        <w:rPr>
          <w:spacing w:val="17"/>
        </w:rPr>
        <w:t> </w:t>
      </w:r>
      <w:r>
        <w:rPr/>
        <w:t>Income</w:t>
      </w:r>
      <w:r>
        <w:rPr>
          <w:spacing w:val="17"/>
        </w:rPr>
        <w:t> </w:t>
      </w:r>
      <w:r>
        <w:rPr/>
        <w:t>("AOCI")</w:t>
      </w:r>
      <w:r>
        <w:rPr>
          <w:spacing w:val="17"/>
        </w:rPr>
        <w:t> </w:t>
      </w:r>
      <w:r>
        <w:rPr/>
        <w:t>by</w:t>
      </w:r>
      <w:r>
        <w:rPr>
          <w:spacing w:val="16"/>
        </w:rPr>
        <w:t> </w:t>
      </w:r>
      <w:r>
        <w:rPr/>
        <w:t>Component</w:t>
      </w:r>
      <w:r>
        <w:rPr>
          <w:spacing w:val="17"/>
        </w:rPr>
        <w:t> </w:t>
      </w:r>
      <w:r>
        <w:rPr>
          <w:spacing w:val="-5"/>
          <w:position w:val="3"/>
          <w:sz w:val="14"/>
        </w:rPr>
        <w:t>(1)</w:t>
      </w:r>
    </w:p>
    <w:p>
      <w:pPr>
        <w:pStyle w:val="BodyText"/>
        <w:spacing w:line="20" w:lineRule="exact"/>
        <w:ind w:left="156"/>
        <w:rPr>
          <w:sz w:val="2"/>
        </w:rPr>
      </w:pPr>
      <w:r>
        <w:rPr>
          <w:sz w:val="2"/>
        </w:rPr>
        <mc:AlternateContent>
          <mc:Choice Requires="wps">
            <w:drawing>
              <wp:inline distT="0" distB="0" distL="0" distR="0">
                <wp:extent cx="7312659" cy="8255"/>
                <wp:effectExtent l="0" t="0" r="0" b="0"/>
                <wp:docPr id="1037" name="Group 1037"/>
                <wp:cNvGraphicFramePr>
                  <a:graphicFrameLocks/>
                </wp:cNvGraphicFramePr>
                <a:graphic>
                  <a:graphicData uri="http://schemas.microsoft.com/office/word/2010/wordprocessingGroup">
                    <wpg:wgp>
                      <wpg:cNvPr id="1037" name="Group 1037"/>
                      <wpg:cNvGrpSpPr/>
                      <wpg:grpSpPr>
                        <a:xfrm>
                          <a:off x="0" y="0"/>
                          <a:ext cx="7312659" cy="8255"/>
                          <a:chExt cx="7312659" cy="8255"/>
                        </a:xfrm>
                      </wpg:grpSpPr>
                      <wps:wsp>
                        <wps:cNvPr id="1038" name="Graphic 1038"/>
                        <wps:cNvSpPr/>
                        <wps:spPr>
                          <a:xfrm>
                            <a:off x="-9" y="6"/>
                            <a:ext cx="7312659" cy="8255"/>
                          </a:xfrm>
                          <a:custGeom>
                            <a:avLst/>
                            <a:gdLst/>
                            <a:ahLst/>
                            <a:cxnLst/>
                            <a:rect l="l" t="t" r="r" b="b"/>
                            <a:pathLst>
                              <a:path w="7312659" h="8255">
                                <a:moveTo>
                                  <a:pt x="7312342" y="0"/>
                                </a:moveTo>
                                <a:lnTo>
                                  <a:pt x="7239546" y="0"/>
                                </a:lnTo>
                                <a:lnTo>
                                  <a:pt x="0" y="0"/>
                                </a:lnTo>
                                <a:lnTo>
                                  <a:pt x="0" y="8089"/>
                                </a:lnTo>
                                <a:lnTo>
                                  <a:pt x="7239546"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65pt;mso-position-horizontal-relative:char;mso-position-vertical-relative:line" id="docshapegroup1036" coordorigin="0,0" coordsize="11516,13">
                <v:shape style="position:absolute;left:-1;top:0;width:11516;height:13" id="docshape1037" coordorigin="0,0" coordsize="11516,13" path="m11515,0l11401,0,0,0,0,13,11401,13,11515,13,11515,0xe" filled="true" fillcolor="#000000" stroked="false">
                  <v:path arrowok="t"/>
                  <v:fill type="solid"/>
                </v:shape>
              </v:group>
            </w:pict>
          </mc:Fallback>
        </mc:AlternateContent>
      </w:r>
      <w:r>
        <w:rPr>
          <w:sz w:val="2"/>
        </w:rPr>
      </w:r>
    </w:p>
    <w:p>
      <w:pPr>
        <w:pStyle w:val="BodyText"/>
        <w:tabs>
          <w:tab w:pos="9612" w:val="left" w:leader="none"/>
        </w:tabs>
        <w:spacing w:line="268" w:lineRule="auto"/>
        <w:ind w:left="5909" w:right="914" w:hanging="210"/>
        <w:jc w:val="right"/>
      </w:pPr>
      <w:r>
        <w:rPr/>
        <mc:AlternateContent>
          <mc:Choice Requires="wps">
            <w:drawing>
              <wp:anchor distT="0" distB="0" distL="0" distR="0" allowOverlap="1" layoutInCell="1" locked="0" behindDoc="0" simplePos="0" relativeHeight="15888384">
                <wp:simplePos x="0" y="0"/>
                <wp:positionH relativeFrom="page">
                  <wp:posOffset>3211271</wp:posOffset>
                </wp:positionH>
                <wp:positionV relativeFrom="paragraph">
                  <wp:posOffset>124822</wp:posOffset>
                </wp:positionV>
                <wp:extent cx="2507615" cy="8255"/>
                <wp:effectExtent l="0" t="0" r="0" b="0"/>
                <wp:wrapNone/>
                <wp:docPr id="1039" name="Graphic 1039"/>
                <wp:cNvGraphicFramePr>
                  <a:graphicFrameLocks/>
                </wp:cNvGraphicFramePr>
                <a:graphic>
                  <a:graphicData uri="http://schemas.microsoft.com/office/word/2010/wordprocessingShape">
                    <wps:wsp>
                      <wps:cNvPr id="1039" name="Graphic 1039"/>
                      <wps:cNvSpPr/>
                      <wps:spPr>
                        <a:xfrm>
                          <a:off x="0" y="0"/>
                          <a:ext cx="2507615" cy="8255"/>
                        </a:xfrm>
                        <a:custGeom>
                          <a:avLst/>
                          <a:gdLst/>
                          <a:ahLst/>
                          <a:cxnLst/>
                          <a:rect l="l" t="t" r="r" b="b"/>
                          <a:pathLst>
                            <a:path w="2507615" h="8255">
                              <a:moveTo>
                                <a:pt x="2507551" y="0"/>
                              </a:moveTo>
                              <a:lnTo>
                                <a:pt x="2434755" y="0"/>
                              </a:lnTo>
                              <a:lnTo>
                                <a:pt x="0" y="0"/>
                              </a:lnTo>
                              <a:lnTo>
                                <a:pt x="0" y="8077"/>
                              </a:lnTo>
                              <a:lnTo>
                                <a:pt x="2434755" y="8077"/>
                              </a:lnTo>
                              <a:lnTo>
                                <a:pt x="2507551" y="8077"/>
                              </a:lnTo>
                              <a:lnTo>
                                <a:pt x="25075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2.856018pt;margin-top:9.828551pt;width:197.45pt;height:.65pt;mso-position-horizontal-relative:page;mso-position-vertical-relative:paragraph;z-index:15888384" id="docshape1038" coordorigin="5057,197" coordsize="3949,13" path="m9006,197l8891,197,5057,197,5057,209,8891,209,9006,209,9006,1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88896">
                <wp:simplePos x="0" y="0"/>
                <wp:positionH relativeFrom="page">
                  <wp:posOffset>3211271</wp:posOffset>
                </wp:positionH>
                <wp:positionV relativeFrom="paragraph">
                  <wp:posOffset>262325</wp:posOffset>
                </wp:positionV>
                <wp:extent cx="2507615" cy="8255"/>
                <wp:effectExtent l="0" t="0" r="0" b="0"/>
                <wp:wrapNone/>
                <wp:docPr id="1040" name="Graphic 1040"/>
                <wp:cNvGraphicFramePr>
                  <a:graphicFrameLocks/>
                </wp:cNvGraphicFramePr>
                <a:graphic>
                  <a:graphicData uri="http://schemas.microsoft.com/office/word/2010/wordprocessingShape">
                    <wps:wsp>
                      <wps:cNvPr id="1040" name="Graphic 1040"/>
                      <wps:cNvSpPr/>
                      <wps:spPr>
                        <a:xfrm>
                          <a:off x="0" y="0"/>
                          <a:ext cx="2507615" cy="8255"/>
                        </a:xfrm>
                        <a:custGeom>
                          <a:avLst/>
                          <a:gdLst/>
                          <a:ahLst/>
                          <a:cxnLst/>
                          <a:rect l="l" t="t" r="r" b="b"/>
                          <a:pathLst>
                            <a:path w="2507615" h="8255">
                              <a:moveTo>
                                <a:pt x="2507551" y="0"/>
                              </a:moveTo>
                              <a:lnTo>
                                <a:pt x="2434755" y="0"/>
                              </a:lnTo>
                              <a:lnTo>
                                <a:pt x="0" y="0"/>
                              </a:lnTo>
                              <a:lnTo>
                                <a:pt x="0" y="8089"/>
                              </a:lnTo>
                              <a:lnTo>
                                <a:pt x="2434755" y="8089"/>
                              </a:lnTo>
                              <a:lnTo>
                                <a:pt x="2507551" y="8089"/>
                              </a:lnTo>
                              <a:lnTo>
                                <a:pt x="25075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2.856018pt;margin-top:20.655552pt;width:197.45pt;height:.65pt;mso-position-horizontal-relative:page;mso-position-vertical-relative:paragraph;z-index:15888896" id="docshape1039" coordorigin="5057,413" coordsize="3949,13" path="m9006,413l8891,413,5057,413,5057,426,8891,426,9006,426,9006,413xe" filled="true" fillcolor="#000000" stroked="false">
                <v:path arrowok="t"/>
                <v:fill type="solid"/>
                <w10:wrap type="none"/>
              </v:shape>
            </w:pict>
          </mc:Fallback>
        </mc:AlternateContent>
      </w:r>
      <w:r>
        <w:rPr>
          <w:w w:val="105"/>
          <w:position w:val="1"/>
        </w:rPr>
        <w:t>Amount reclassified from AOCI</w:t>
      </w:r>
      <w:r>
        <w:rPr>
          <w:position w:val="1"/>
        </w:rPr>
        <w:tab/>
      </w:r>
      <w:r>
        <w:rPr>
          <w:spacing w:val="-18"/>
          <w:position w:val="1"/>
        </w:rPr>
        <w:t> </w:t>
      </w:r>
      <w:r>
        <w:rPr>
          <w:w w:val="105"/>
        </w:rPr>
        <w:t>Affected</w:t>
      </w:r>
      <w:r>
        <w:rPr>
          <w:spacing w:val="-10"/>
          <w:w w:val="105"/>
        </w:rPr>
        <w:t> </w:t>
      </w:r>
      <w:r>
        <w:rPr>
          <w:w w:val="105"/>
        </w:rPr>
        <w:t>line</w:t>
      </w:r>
      <w:r>
        <w:rPr>
          <w:spacing w:val="-11"/>
          <w:w w:val="105"/>
        </w:rPr>
        <w:t> </w:t>
      </w:r>
      <w:r>
        <w:rPr>
          <w:w w:val="105"/>
        </w:rPr>
        <w:t>item </w:t>
      </w:r>
      <w:r>
        <w:rPr>
          <w:w w:val="105"/>
          <w:position w:val="1"/>
        </w:rPr>
        <w:t>Year</w:t>
      </w:r>
      <w:r>
        <w:rPr>
          <w:spacing w:val="-12"/>
          <w:w w:val="105"/>
          <w:position w:val="1"/>
        </w:rPr>
        <w:t> </w:t>
      </w:r>
      <w:r>
        <w:rPr>
          <w:w w:val="105"/>
          <w:position w:val="1"/>
        </w:rPr>
        <w:t>ended</w:t>
      </w:r>
      <w:r>
        <w:rPr>
          <w:spacing w:val="-10"/>
          <w:w w:val="105"/>
          <w:position w:val="1"/>
        </w:rPr>
        <w:t> </w:t>
      </w:r>
      <w:r>
        <w:rPr>
          <w:w w:val="105"/>
          <w:position w:val="1"/>
        </w:rPr>
        <w:t>December</w:t>
      </w:r>
      <w:r>
        <w:rPr>
          <w:spacing w:val="-10"/>
          <w:w w:val="105"/>
          <w:position w:val="1"/>
        </w:rPr>
        <w:t> </w:t>
      </w:r>
      <w:r>
        <w:rPr>
          <w:spacing w:val="-5"/>
          <w:w w:val="105"/>
          <w:position w:val="1"/>
        </w:rPr>
        <w:t>31,</w:t>
      </w:r>
      <w:r>
        <w:rPr>
          <w:position w:val="1"/>
        </w:rPr>
        <w:tab/>
      </w:r>
      <w:r>
        <w:rPr>
          <w:w w:val="105"/>
        </w:rPr>
        <w:t>in</w:t>
      </w:r>
      <w:r>
        <w:rPr>
          <w:spacing w:val="-5"/>
          <w:w w:val="105"/>
        </w:rPr>
        <w:t> </w:t>
      </w:r>
      <w:r>
        <w:rPr>
          <w:w w:val="105"/>
        </w:rPr>
        <w:t>the</w:t>
      </w:r>
      <w:r>
        <w:rPr>
          <w:spacing w:val="-4"/>
          <w:w w:val="105"/>
        </w:rPr>
        <w:t> </w:t>
      </w:r>
      <w:r>
        <w:rPr>
          <w:spacing w:val="-2"/>
          <w:w w:val="105"/>
        </w:rPr>
        <w:t>consolidated</w:t>
      </w:r>
    </w:p>
    <w:p>
      <w:pPr>
        <w:pStyle w:val="BodyText"/>
        <w:tabs>
          <w:tab w:pos="5095" w:val="left" w:leader="none"/>
          <w:tab w:pos="6445" w:val="left" w:leader="none"/>
          <w:tab w:pos="7802" w:val="left" w:leader="none"/>
          <w:tab w:pos="9377" w:val="left" w:leader="none"/>
        </w:tabs>
        <w:spacing w:line="182" w:lineRule="exact"/>
        <w:ind w:right="836"/>
        <w:jc w:val="right"/>
      </w:pPr>
      <w:r>
        <w:rPr/>
        <mc:AlternateContent>
          <mc:Choice Requires="wps">
            <w:drawing>
              <wp:anchor distT="0" distB="0" distL="0" distR="0" allowOverlap="1" layoutInCell="1" locked="0" behindDoc="1" simplePos="0" relativeHeight="487744512">
                <wp:simplePos x="0" y="0"/>
                <wp:positionH relativeFrom="page">
                  <wp:posOffset>226479</wp:posOffset>
                </wp:positionH>
                <wp:positionV relativeFrom="paragraph">
                  <wp:posOffset>125441</wp:posOffset>
                </wp:positionV>
                <wp:extent cx="7312659" cy="8255"/>
                <wp:effectExtent l="0" t="0" r="0" b="0"/>
                <wp:wrapTopAndBottom/>
                <wp:docPr id="1041" name="Graphic 1041"/>
                <wp:cNvGraphicFramePr>
                  <a:graphicFrameLocks/>
                </wp:cNvGraphicFramePr>
                <a:graphic>
                  <a:graphicData uri="http://schemas.microsoft.com/office/word/2010/wordprocessingShape">
                    <wps:wsp>
                      <wps:cNvPr id="1041" name="Graphic 1041"/>
                      <wps:cNvSpPr/>
                      <wps:spPr>
                        <a:xfrm>
                          <a:off x="0"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9.877302pt;width:575.775027pt;height:.637pt;mso-position-horizontal-relative:page;mso-position-vertical-relative:paragraph;z-index:-15571968;mso-wrap-distance-left:0;mso-wrap-distance-right:0" id="docshape104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5024">
                <wp:simplePos x="0" y="0"/>
                <wp:positionH relativeFrom="page">
                  <wp:posOffset>226488</wp:posOffset>
                </wp:positionH>
                <wp:positionV relativeFrom="paragraph">
                  <wp:posOffset>262944</wp:posOffset>
                </wp:positionV>
                <wp:extent cx="7312659" cy="129539"/>
                <wp:effectExtent l="0" t="0" r="0" b="0"/>
                <wp:wrapTopAndBottom/>
                <wp:docPr id="1042" name="Textbox 1042"/>
                <wp:cNvGraphicFramePr>
                  <a:graphicFrameLocks/>
                </wp:cNvGraphicFramePr>
                <a:graphic>
                  <a:graphicData uri="http://schemas.microsoft.com/office/word/2010/wordprocessingShape">
                    <wps:wsp>
                      <wps:cNvPr id="1042" name="Textbox 1042"/>
                      <wps:cNvSpPr txBox="1"/>
                      <wps:spPr>
                        <a:xfrm>
                          <a:off x="0" y="0"/>
                          <a:ext cx="7312659" cy="129539"/>
                        </a:xfrm>
                        <a:prstGeom prst="rect">
                          <a:avLst/>
                        </a:prstGeom>
                        <a:solidFill>
                          <a:srgbClr val="CCEDFF"/>
                        </a:solidFill>
                      </wps:spPr>
                      <wps:txbx>
                        <w:txbxContent>
                          <w:p>
                            <w:pPr>
                              <w:pStyle w:val="BodyText"/>
                              <w:tabs>
                                <w:tab w:pos="4700" w:val="left" w:leader="none"/>
                                <w:tab w:pos="5683" w:val="left" w:leader="none"/>
                                <w:tab w:pos="6950" w:val="left" w:leader="none"/>
                                <w:tab w:pos="8313" w:val="left" w:leader="none"/>
                              </w:tabs>
                              <w:spacing w:before="3"/>
                              <w:rPr>
                                <w:color w:val="000000"/>
                              </w:rPr>
                            </w:pPr>
                            <w:r>
                              <w:rPr>
                                <w:color w:val="000000"/>
                                <w:w w:val="105"/>
                              </w:rPr>
                              <w:t>Amortization</w:t>
                            </w:r>
                            <w:r>
                              <w:rPr>
                                <w:color w:val="000000"/>
                                <w:spacing w:val="-10"/>
                                <w:w w:val="105"/>
                              </w:rPr>
                              <w:t> </w:t>
                            </w:r>
                            <w:r>
                              <w:rPr>
                                <w:color w:val="000000"/>
                                <w:w w:val="105"/>
                              </w:rPr>
                              <w:t>of</w:t>
                            </w:r>
                            <w:r>
                              <w:rPr>
                                <w:color w:val="000000"/>
                                <w:spacing w:val="-9"/>
                                <w:w w:val="105"/>
                              </w:rPr>
                              <w:t> </w:t>
                            </w:r>
                            <w:r>
                              <w:rPr>
                                <w:color w:val="000000"/>
                                <w:w w:val="105"/>
                              </w:rPr>
                              <w:t>net</w:t>
                            </w:r>
                            <w:r>
                              <w:rPr>
                                <w:color w:val="000000"/>
                                <w:spacing w:val="-9"/>
                                <w:w w:val="105"/>
                              </w:rPr>
                              <w:t> </w:t>
                            </w:r>
                            <w:r>
                              <w:rPr>
                                <w:color w:val="000000"/>
                                <w:w w:val="105"/>
                              </w:rPr>
                              <w:t>actuarial</w:t>
                            </w:r>
                            <w:r>
                              <w:rPr>
                                <w:color w:val="000000"/>
                                <w:spacing w:val="-9"/>
                                <w:w w:val="105"/>
                              </w:rPr>
                              <w:t> </w:t>
                            </w:r>
                            <w:r>
                              <w:rPr>
                                <w:color w:val="000000"/>
                                <w:spacing w:val="-4"/>
                                <w:w w:val="105"/>
                              </w:rPr>
                              <w:t>loss</w:t>
                            </w:r>
                            <w:r>
                              <w:rPr>
                                <w:color w:val="000000"/>
                              </w:rPr>
                              <w:tab/>
                            </w:r>
                            <w:r>
                              <w:rPr>
                                <w:b/>
                                <w:color w:val="000000"/>
                                <w:spacing w:val="-10"/>
                                <w:w w:val="105"/>
                              </w:rPr>
                              <w:t>$</w:t>
                            </w:r>
                            <w:r>
                              <w:rPr>
                                <w:b/>
                                <w:color w:val="000000"/>
                              </w:rPr>
                              <w:tab/>
                            </w:r>
                            <w:r>
                              <w:rPr>
                                <w:b/>
                                <w:color w:val="000000"/>
                                <w:w w:val="105"/>
                              </w:rPr>
                              <w:t>(3)</w:t>
                            </w:r>
                            <w:r>
                              <w:rPr>
                                <w:b/>
                                <w:color w:val="000000"/>
                                <w:spacing w:val="43"/>
                                <w:w w:val="105"/>
                              </w:rPr>
                              <w:t>  </w:t>
                            </w:r>
                            <w:r>
                              <w:rPr>
                                <w:color w:val="000000"/>
                                <w:spacing w:val="-10"/>
                                <w:w w:val="105"/>
                              </w:rPr>
                              <w:t>$</w:t>
                            </w:r>
                            <w:r>
                              <w:rPr>
                                <w:color w:val="000000"/>
                              </w:rPr>
                              <w:tab/>
                            </w:r>
                            <w:r>
                              <w:rPr>
                                <w:color w:val="000000"/>
                                <w:w w:val="105"/>
                              </w:rPr>
                              <w:t>(23)</w:t>
                            </w:r>
                            <w:r>
                              <w:rPr>
                                <w:color w:val="000000"/>
                                <w:spacing w:val="42"/>
                                <w:w w:val="105"/>
                              </w:rPr>
                              <w:t>  </w:t>
                            </w:r>
                            <w:r>
                              <w:rPr>
                                <w:color w:val="000000"/>
                                <w:spacing w:val="-10"/>
                                <w:w w:val="105"/>
                              </w:rPr>
                              <w:t>$</w:t>
                            </w:r>
                            <w:r>
                              <w:rPr>
                                <w:color w:val="000000"/>
                              </w:rPr>
                              <w:tab/>
                            </w:r>
                            <w:r>
                              <w:rPr>
                                <w:color w:val="000000"/>
                                <w:w w:val="105"/>
                              </w:rPr>
                              <w:t>(89)</w:t>
                            </w:r>
                            <w:r>
                              <w:rPr>
                                <w:color w:val="000000"/>
                                <w:spacing w:val="42"/>
                                <w:w w:val="105"/>
                              </w:rPr>
                              <w:t>  </w:t>
                            </w:r>
                            <w:r>
                              <w:rPr>
                                <w:color w:val="000000"/>
                                <w:spacing w:val="-5"/>
                                <w:w w:val="105"/>
                              </w:rPr>
                              <w:t>(2)</w:t>
                            </w:r>
                          </w:p>
                        </w:txbxContent>
                      </wps:txbx>
                      <wps:bodyPr wrap="square" lIns="0" tIns="0" rIns="0" bIns="0" rtlCol="0">
                        <a:noAutofit/>
                      </wps:bodyPr>
                    </wps:wsp>
                  </a:graphicData>
                </a:graphic>
              </wp:anchor>
            </w:drawing>
          </mc:Choice>
          <mc:Fallback>
            <w:pict>
              <v:shape style="position:absolute;margin-left:17.833740pt;margin-top:20.704262pt;width:575.8pt;height:10.2pt;mso-position-horizontal-relative:page;mso-position-vertical-relative:paragraph;z-index:-15571456;mso-wrap-distance-left:0;mso-wrap-distance-right:0" type="#_x0000_t202" id="docshape1041" filled="true" fillcolor="#ccedff" stroked="false">
                <v:textbox inset="0,0,0,0">
                  <w:txbxContent>
                    <w:p>
                      <w:pPr>
                        <w:pStyle w:val="BodyText"/>
                        <w:tabs>
                          <w:tab w:pos="4700" w:val="left" w:leader="none"/>
                          <w:tab w:pos="5683" w:val="left" w:leader="none"/>
                          <w:tab w:pos="6950" w:val="left" w:leader="none"/>
                          <w:tab w:pos="8313" w:val="left" w:leader="none"/>
                        </w:tabs>
                        <w:spacing w:before="3"/>
                        <w:rPr>
                          <w:color w:val="000000"/>
                        </w:rPr>
                      </w:pPr>
                      <w:r>
                        <w:rPr>
                          <w:color w:val="000000"/>
                          <w:w w:val="105"/>
                        </w:rPr>
                        <w:t>Amortization</w:t>
                      </w:r>
                      <w:r>
                        <w:rPr>
                          <w:color w:val="000000"/>
                          <w:spacing w:val="-10"/>
                          <w:w w:val="105"/>
                        </w:rPr>
                        <w:t> </w:t>
                      </w:r>
                      <w:r>
                        <w:rPr>
                          <w:color w:val="000000"/>
                          <w:w w:val="105"/>
                        </w:rPr>
                        <w:t>of</w:t>
                      </w:r>
                      <w:r>
                        <w:rPr>
                          <w:color w:val="000000"/>
                          <w:spacing w:val="-9"/>
                          <w:w w:val="105"/>
                        </w:rPr>
                        <w:t> </w:t>
                      </w:r>
                      <w:r>
                        <w:rPr>
                          <w:color w:val="000000"/>
                          <w:w w:val="105"/>
                        </w:rPr>
                        <w:t>net</w:t>
                      </w:r>
                      <w:r>
                        <w:rPr>
                          <w:color w:val="000000"/>
                          <w:spacing w:val="-9"/>
                          <w:w w:val="105"/>
                        </w:rPr>
                        <w:t> </w:t>
                      </w:r>
                      <w:r>
                        <w:rPr>
                          <w:color w:val="000000"/>
                          <w:w w:val="105"/>
                        </w:rPr>
                        <w:t>actuarial</w:t>
                      </w:r>
                      <w:r>
                        <w:rPr>
                          <w:color w:val="000000"/>
                          <w:spacing w:val="-9"/>
                          <w:w w:val="105"/>
                        </w:rPr>
                        <w:t> </w:t>
                      </w:r>
                      <w:r>
                        <w:rPr>
                          <w:color w:val="000000"/>
                          <w:spacing w:val="-4"/>
                          <w:w w:val="105"/>
                        </w:rPr>
                        <w:t>loss</w:t>
                      </w:r>
                      <w:r>
                        <w:rPr>
                          <w:color w:val="000000"/>
                        </w:rPr>
                        <w:tab/>
                      </w:r>
                      <w:r>
                        <w:rPr>
                          <w:b/>
                          <w:color w:val="000000"/>
                          <w:spacing w:val="-10"/>
                          <w:w w:val="105"/>
                        </w:rPr>
                        <w:t>$</w:t>
                      </w:r>
                      <w:r>
                        <w:rPr>
                          <w:b/>
                          <w:color w:val="000000"/>
                        </w:rPr>
                        <w:tab/>
                      </w:r>
                      <w:r>
                        <w:rPr>
                          <w:b/>
                          <w:color w:val="000000"/>
                          <w:w w:val="105"/>
                        </w:rPr>
                        <w:t>(3)</w:t>
                      </w:r>
                      <w:r>
                        <w:rPr>
                          <w:b/>
                          <w:color w:val="000000"/>
                          <w:spacing w:val="43"/>
                          <w:w w:val="105"/>
                        </w:rPr>
                        <w:t>  </w:t>
                      </w:r>
                      <w:r>
                        <w:rPr>
                          <w:color w:val="000000"/>
                          <w:spacing w:val="-10"/>
                          <w:w w:val="105"/>
                        </w:rPr>
                        <w:t>$</w:t>
                      </w:r>
                      <w:r>
                        <w:rPr>
                          <w:color w:val="000000"/>
                        </w:rPr>
                        <w:tab/>
                      </w:r>
                      <w:r>
                        <w:rPr>
                          <w:color w:val="000000"/>
                          <w:w w:val="105"/>
                        </w:rPr>
                        <w:t>(23)</w:t>
                      </w:r>
                      <w:r>
                        <w:rPr>
                          <w:color w:val="000000"/>
                          <w:spacing w:val="42"/>
                          <w:w w:val="105"/>
                        </w:rPr>
                        <w:t>  </w:t>
                      </w:r>
                      <w:r>
                        <w:rPr>
                          <w:color w:val="000000"/>
                          <w:spacing w:val="-10"/>
                          <w:w w:val="105"/>
                        </w:rPr>
                        <w:t>$</w:t>
                      </w:r>
                      <w:r>
                        <w:rPr>
                          <w:color w:val="000000"/>
                        </w:rPr>
                        <w:tab/>
                      </w:r>
                      <w:r>
                        <w:rPr>
                          <w:color w:val="000000"/>
                          <w:w w:val="105"/>
                        </w:rPr>
                        <w:t>(89)</w:t>
                      </w:r>
                      <w:r>
                        <w:rPr>
                          <w:color w:val="000000"/>
                          <w:spacing w:val="42"/>
                          <w:w w:val="105"/>
                        </w:rPr>
                        <w:t>  </w:t>
                      </w:r>
                      <w:r>
                        <w:rPr>
                          <w:color w:val="000000"/>
                          <w:spacing w:val="-5"/>
                          <w:w w:val="105"/>
                        </w:rPr>
                        <w:t>(2)</w:t>
                      </w:r>
                    </w:p>
                  </w:txbxContent>
                </v:textbox>
                <v:fill type="solid"/>
                <w10:wrap type="topAndBottom"/>
              </v:shape>
            </w:pict>
          </mc:Fallback>
        </mc:AlternateContent>
      </w:r>
      <w:r>
        <w:rPr>
          <w:spacing w:val="-2"/>
          <w:w w:val="105"/>
        </w:rPr>
        <w:t>Details</w:t>
      </w:r>
      <w:r>
        <w:rPr>
          <w:spacing w:val="-1"/>
          <w:w w:val="105"/>
        </w:rPr>
        <w:t> </w:t>
      </w:r>
      <w:r>
        <w:rPr>
          <w:spacing w:val="-2"/>
          <w:w w:val="105"/>
        </w:rPr>
        <w:t>about</w:t>
      </w:r>
      <w:r>
        <w:rPr>
          <w:w w:val="105"/>
        </w:rPr>
        <w:t> </w:t>
      </w:r>
      <w:r>
        <w:rPr>
          <w:spacing w:val="-2"/>
          <w:w w:val="105"/>
        </w:rPr>
        <w:t>AOCI</w:t>
      </w:r>
      <w:r>
        <w:rPr>
          <w:w w:val="105"/>
        </w:rPr>
        <w:t> </w:t>
      </w:r>
      <w:r>
        <w:rPr>
          <w:spacing w:val="-2"/>
          <w:w w:val="105"/>
        </w:rPr>
        <w:t>Components</w:t>
      </w:r>
      <w:r>
        <w:rPr/>
        <w:tab/>
      </w:r>
      <w:r>
        <w:rPr>
          <w:b/>
          <w:spacing w:val="-4"/>
          <w:w w:val="105"/>
        </w:rPr>
        <w:t>2021</w:t>
      </w:r>
      <w:r>
        <w:rPr>
          <w:b/>
        </w:rPr>
        <w:tab/>
      </w:r>
      <w:r>
        <w:rPr>
          <w:spacing w:val="-4"/>
          <w:w w:val="105"/>
        </w:rPr>
        <w:t>2020</w:t>
      </w:r>
      <w:r>
        <w:rPr/>
        <w:tab/>
      </w:r>
      <w:r>
        <w:rPr>
          <w:spacing w:val="-4"/>
          <w:w w:val="105"/>
        </w:rPr>
        <w:t>2019</w:t>
      </w:r>
      <w:r>
        <w:rPr/>
        <w:tab/>
      </w:r>
      <w:r>
        <w:rPr>
          <w:spacing w:val="-2"/>
          <w:w w:val="105"/>
        </w:rPr>
        <w:t>statements of income</w:t>
      </w:r>
    </w:p>
    <w:p>
      <w:pPr>
        <w:pStyle w:val="BodyText"/>
        <w:spacing w:before="7"/>
        <w:rPr>
          <w:sz w:val="15"/>
        </w:rPr>
      </w:pPr>
    </w:p>
    <w:p>
      <w:pPr>
        <w:pStyle w:val="BodyText"/>
        <w:tabs>
          <w:tab w:pos="5895" w:val="left" w:leader="none"/>
          <w:tab w:pos="8608" w:val="left" w:leader="none"/>
          <w:tab w:pos="8920" w:val="left" w:leader="none"/>
        </w:tabs>
        <w:spacing w:before="6" w:after="4"/>
        <w:ind w:left="156"/>
      </w:pPr>
      <w:r>
        <w:rPr>
          <w:w w:val="105"/>
        </w:rPr>
        <w:t>Amortization</w:t>
      </w:r>
      <w:r>
        <w:rPr>
          <w:spacing w:val="-10"/>
          <w:w w:val="105"/>
        </w:rPr>
        <w:t> </w:t>
      </w:r>
      <w:r>
        <w:rPr>
          <w:w w:val="105"/>
        </w:rPr>
        <w:t>of</w:t>
      </w:r>
      <w:r>
        <w:rPr>
          <w:spacing w:val="-9"/>
          <w:w w:val="105"/>
        </w:rPr>
        <w:t> </w:t>
      </w:r>
      <w:r>
        <w:rPr>
          <w:w w:val="105"/>
        </w:rPr>
        <w:t>prior</w:t>
      </w:r>
      <w:r>
        <w:rPr>
          <w:spacing w:val="-9"/>
          <w:w w:val="105"/>
        </w:rPr>
        <w:t> </w:t>
      </w:r>
      <w:r>
        <w:rPr>
          <w:w w:val="105"/>
        </w:rPr>
        <w:t>service</w:t>
      </w:r>
      <w:r>
        <w:rPr>
          <w:spacing w:val="-9"/>
          <w:w w:val="105"/>
        </w:rPr>
        <w:t> </w:t>
      </w:r>
      <w:r>
        <w:rPr>
          <w:w w:val="105"/>
        </w:rPr>
        <w:t>credit</w:t>
      </w:r>
      <w:r>
        <w:rPr>
          <w:spacing w:val="-9"/>
          <w:w w:val="105"/>
        </w:rPr>
        <w:t> </w:t>
      </w:r>
      <w:r>
        <w:rPr>
          <w:spacing w:val="-2"/>
          <w:w w:val="105"/>
        </w:rPr>
        <w:t>(cost)</w:t>
      </w:r>
      <w:r>
        <w:rPr/>
        <w:tab/>
      </w:r>
      <w:r>
        <w:rPr>
          <w:b/>
          <w:spacing w:val="-10"/>
          <w:w w:val="105"/>
          <w:position w:val="1"/>
        </w:rPr>
        <w:t>3</w:t>
      </w:r>
      <w:r>
        <w:rPr>
          <w:b/>
          <w:position w:val="1"/>
        </w:rPr>
        <w:tab/>
      </w:r>
      <w:r>
        <w:rPr>
          <w:spacing w:val="-10"/>
          <w:w w:val="105"/>
          <w:position w:val="1"/>
        </w:rPr>
        <w:t>1</w:t>
      </w:r>
      <w:r>
        <w:rPr>
          <w:position w:val="1"/>
        </w:rPr>
        <w:tab/>
      </w:r>
      <w:r>
        <w:rPr>
          <w:spacing w:val="-5"/>
          <w:w w:val="105"/>
        </w:rPr>
        <w:t>(2)</w:t>
      </w:r>
    </w:p>
    <w:p>
      <w:pPr>
        <w:pStyle w:val="BodyText"/>
        <w:spacing w:line="216" w:lineRule="exact"/>
        <w:ind w:left="156"/>
        <w:rPr>
          <w:sz w:val="20"/>
        </w:rPr>
      </w:pPr>
      <w:r>
        <w:rPr>
          <w:position w:val="-3"/>
          <w:sz w:val="20"/>
        </w:rPr>
        <mc:AlternateContent>
          <mc:Choice Requires="wps">
            <w:drawing>
              <wp:inline distT="0" distB="0" distL="0" distR="0">
                <wp:extent cx="7312659" cy="137795"/>
                <wp:effectExtent l="9525" t="0" r="0" b="5080"/>
                <wp:docPr id="1043" name="Group 1043"/>
                <wp:cNvGraphicFramePr>
                  <a:graphicFrameLocks/>
                </wp:cNvGraphicFramePr>
                <a:graphic>
                  <a:graphicData uri="http://schemas.microsoft.com/office/word/2010/wordprocessingGroup">
                    <wpg:wgp>
                      <wpg:cNvPr id="1043" name="Group 1043"/>
                      <wpg:cNvGrpSpPr/>
                      <wpg:grpSpPr>
                        <a:xfrm>
                          <a:off x="0" y="0"/>
                          <a:ext cx="7312659" cy="137795"/>
                          <a:chExt cx="7312659" cy="137795"/>
                        </a:xfrm>
                      </wpg:grpSpPr>
                      <wps:wsp>
                        <wps:cNvPr id="1044" name="Graphic 1044"/>
                        <wps:cNvSpPr/>
                        <wps:spPr>
                          <a:xfrm>
                            <a:off x="2984782" y="7"/>
                            <a:ext cx="2507615" cy="8255"/>
                          </a:xfrm>
                          <a:custGeom>
                            <a:avLst/>
                            <a:gdLst/>
                            <a:ahLst/>
                            <a:cxnLst/>
                            <a:rect l="l" t="t" r="r" b="b"/>
                            <a:pathLst>
                              <a:path w="2507615" h="8255">
                                <a:moveTo>
                                  <a:pt x="784631" y="0"/>
                                </a:moveTo>
                                <a:lnTo>
                                  <a:pt x="711822" y="0"/>
                                </a:lnTo>
                                <a:lnTo>
                                  <a:pt x="72809" y="0"/>
                                </a:lnTo>
                                <a:lnTo>
                                  <a:pt x="0" y="0"/>
                                </a:lnTo>
                                <a:lnTo>
                                  <a:pt x="0" y="8089"/>
                                </a:lnTo>
                                <a:lnTo>
                                  <a:pt x="72809" y="8089"/>
                                </a:lnTo>
                                <a:lnTo>
                                  <a:pt x="711822" y="8089"/>
                                </a:lnTo>
                                <a:lnTo>
                                  <a:pt x="784631" y="8089"/>
                                </a:lnTo>
                                <a:lnTo>
                                  <a:pt x="784631" y="0"/>
                                </a:lnTo>
                                <a:close/>
                              </a:path>
                              <a:path w="2507615" h="8255">
                                <a:moveTo>
                                  <a:pt x="1642046" y="0"/>
                                </a:moveTo>
                                <a:lnTo>
                                  <a:pt x="1569250" y="0"/>
                                </a:lnTo>
                                <a:lnTo>
                                  <a:pt x="930224" y="0"/>
                                </a:lnTo>
                                <a:lnTo>
                                  <a:pt x="857427" y="0"/>
                                </a:lnTo>
                                <a:lnTo>
                                  <a:pt x="857427" y="8089"/>
                                </a:lnTo>
                                <a:lnTo>
                                  <a:pt x="930224" y="8089"/>
                                </a:lnTo>
                                <a:lnTo>
                                  <a:pt x="1569250" y="8089"/>
                                </a:lnTo>
                                <a:lnTo>
                                  <a:pt x="1642046" y="8089"/>
                                </a:lnTo>
                                <a:lnTo>
                                  <a:pt x="1642046" y="0"/>
                                </a:lnTo>
                                <a:close/>
                              </a:path>
                              <a:path w="2507615" h="8255">
                                <a:moveTo>
                                  <a:pt x="2507551" y="0"/>
                                </a:moveTo>
                                <a:lnTo>
                                  <a:pt x="2434755" y="0"/>
                                </a:lnTo>
                                <a:lnTo>
                                  <a:pt x="1787652" y="0"/>
                                </a:lnTo>
                                <a:lnTo>
                                  <a:pt x="1714842" y="0"/>
                                </a:lnTo>
                                <a:lnTo>
                                  <a:pt x="1714842" y="8089"/>
                                </a:lnTo>
                                <a:lnTo>
                                  <a:pt x="1787652" y="8089"/>
                                </a:lnTo>
                                <a:lnTo>
                                  <a:pt x="2434755" y="8089"/>
                                </a:lnTo>
                                <a:lnTo>
                                  <a:pt x="2507551" y="8089"/>
                                </a:lnTo>
                                <a:lnTo>
                                  <a:pt x="2507551" y="0"/>
                                </a:lnTo>
                                <a:close/>
                              </a:path>
                            </a:pathLst>
                          </a:custGeom>
                          <a:solidFill>
                            <a:srgbClr val="000000"/>
                          </a:solidFill>
                        </wps:spPr>
                        <wps:bodyPr wrap="square" lIns="0" tIns="0" rIns="0" bIns="0" rtlCol="0">
                          <a:prstTxWarp prst="textNoShape">
                            <a:avLst/>
                          </a:prstTxWarp>
                          <a:noAutofit/>
                        </wps:bodyPr>
                      </wps:wsp>
                      <wps:wsp>
                        <wps:cNvPr id="1045" name="Graphic 1045"/>
                        <wps:cNvSpPr/>
                        <wps:spPr>
                          <a:xfrm>
                            <a:off x="-9" y="8097"/>
                            <a:ext cx="7312659" cy="129539"/>
                          </a:xfrm>
                          <a:custGeom>
                            <a:avLst/>
                            <a:gdLst/>
                            <a:ahLst/>
                            <a:cxnLst/>
                            <a:rect l="l" t="t" r="r" b="b"/>
                            <a:pathLst>
                              <a:path w="7312659" h="129539">
                                <a:moveTo>
                                  <a:pt x="7312342" y="0"/>
                                </a:moveTo>
                                <a:lnTo>
                                  <a:pt x="7312342" y="0"/>
                                </a:lnTo>
                                <a:lnTo>
                                  <a:pt x="0" y="0"/>
                                </a:lnTo>
                                <a:lnTo>
                                  <a:pt x="0" y="129413"/>
                                </a:lnTo>
                                <a:lnTo>
                                  <a:pt x="7312342" y="129413"/>
                                </a:lnTo>
                                <a:lnTo>
                                  <a:pt x="7312342" y="0"/>
                                </a:lnTo>
                                <a:close/>
                              </a:path>
                            </a:pathLst>
                          </a:custGeom>
                          <a:solidFill>
                            <a:srgbClr val="CCEDFF"/>
                          </a:solidFill>
                        </wps:spPr>
                        <wps:bodyPr wrap="square" lIns="0" tIns="0" rIns="0" bIns="0" rtlCol="0">
                          <a:prstTxWarp prst="textNoShape">
                            <a:avLst/>
                          </a:prstTxWarp>
                          <a:noAutofit/>
                        </wps:bodyPr>
                      </wps:wsp>
                      <wps:wsp>
                        <wps:cNvPr id="1046" name="Textbox 1046"/>
                        <wps:cNvSpPr txBox="1"/>
                        <wps:spPr>
                          <a:xfrm>
                            <a:off x="0" y="8088"/>
                            <a:ext cx="7312659" cy="129539"/>
                          </a:xfrm>
                          <a:prstGeom prst="rect">
                            <a:avLst/>
                          </a:prstGeom>
                        </wps:spPr>
                        <wps:txbx>
                          <w:txbxContent>
                            <w:p>
                              <w:pPr>
                                <w:tabs>
                                  <w:tab w:pos="8313" w:val="left" w:leader="none"/>
                                </w:tabs>
                                <w:spacing w:before="3"/>
                                <w:ind w:left="6950" w:right="0" w:firstLine="0"/>
                                <w:jc w:val="left"/>
                                <w:rPr>
                                  <w:sz w:val="16"/>
                                </w:rPr>
                              </w:pPr>
                              <w:r>
                                <w:rPr>
                                  <w:spacing w:val="-4"/>
                                  <w:w w:val="105"/>
                                  <w:sz w:val="16"/>
                                </w:rPr>
                                <w:t>(23)</w:t>
                              </w:r>
                              <w:r>
                                <w:rPr>
                                  <w:sz w:val="16"/>
                                </w:rPr>
                                <w:tab/>
                              </w:r>
                              <w:r>
                                <w:rPr>
                                  <w:w w:val="105"/>
                                  <w:sz w:val="16"/>
                                </w:rPr>
                                <w:t>(88)</w:t>
                              </w:r>
                              <w:r>
                                <w:rPr>
                                  <w:spacing w:val="36"/>
                                  <w:w w:val="105"/>
                                  <w:sz w:val="16"/>
                                </w:rPr>
                                <w:t>  </w:t>
                              </w:r>
                              <w:r>
                                <w:rPr>
                                  <w:w w:val="105"/>
                                  <w:sz w:val="16"/>
                                </w:rPr>
                                <w:t>Total</w:t>
                              </w:r>
                              <w:r>
                                <w:rPr>
                                  <w:spacing w:val="-5"/>
                                  <w:w w:val="105"/>
                                  <w:sz w:val="16"/>
                                </w:rPr>
                                <w:t> </w:t>
                              </w:r>
                              <w:r>
                                <w:rPr>
                                  <w:w w:val="105"/>
                                  <w:sz w:val="16"/>
                                </w:rPr>
                                <w:t>before</w:t>
                              </w:r>
                              <w:r>
                                <w:rPr>
                                  <w:spacing w:val="-4"/>
                                  <w:w w:val="105"/>
                                  <w:sz w:val="16"/>
                                </w:rPr>
                                <w:t> </w:t>
                              </w:r>
                              <w:r>
                                <w:rPr>
                                  <w:spacing w:val="-5"/>
                                  <w:w w:val="105"/>
                                  <w:sz w:val="16"/>
                                </w:rPr>
                                <w:t>tax</w:t>
                              </w:r>
                            </w:p>
                          </w:txbxContent>
                        </wps:txbx>
                        <wps:bodyPr wrap="square" lIns="0" tIns="0" rIns="0" bIns="0" rtlCol="0">
                          <a:noAutofit/>
                        </wps:bodyPr>
                      </wps:wsp>
                    </wpg:wgp>
                  </a:graphicData>
                </a:graphic>
              </wp:inline>
            </w:drawing>
          </mc:Choice>
          <mc:Fallback>
            <w:pict>
              <v:group style="width:575.8pt;height:10.85pt;mso-position-horizontal-relative:char;mso-position-vertical-relative:line" id="docshapegroup1042" coordorigin="0,0" coordsize="11516,217">
                <v:shape style="position:absolute;left:4700;top:0;width:3949;height:13" id="docshape1043" coordorigin="4700,0" coordsize="3949,13" path="m5936,0l5821,0,4815,0,4700,0,4700,13,4815,13,5821,13,5936,13,5936,0xm7286,0l7172,0,6165,0,6051,0,6051,13,6165,13,7172,13,7286,13,7286,0xm8649,0l8535,0,7516,0,7401,0,7401,13,7516,13,8535,13,8649,13,8649,0xe" filled="true" fillcolor="#000000" stroked="false">
                  <v:path arrowok="t"/>
                  <v:fill type="solid"/>
                </v:shape>
                <v:rect style="position:absolute;left:-1;top:12;width:11516;height:204" id="docshape1044" filled="true" fillcolor="#ccedff" stroked="false">
                  <v:fill type="solid"/>
                </v:rect>
                <v:shape style="position:absolute;left:0;top:12;width:11516;height:204" type="#_x0000_t202" id="docshape1045" filled="false" stroked="false">
                  <v:textbox inset="0,0,0,0">
                    <w:txbxContent>
                      <w:p>
                        <w:pPr>
                          <w:tabs>
                            <w:tab w:pos="8313" w:val="left" w:leader="none"/>
                          </w:tabs>
                          <w:spacing w:before="3"/>
                          <w:ind w:left="6950" w:right="0" w:firstLine="0"/>
                          <w:jc w:val="left"/>
                          <w:rPr>
                            <w:sz w:val="16"/>
                          </w:rPr>
                        </w:pPr>
                        <w:r>
                          <w:rPr>
                            <w:spacing w:val="-4"/>
                            <w:w w:val="105"/>
                            <w:sz w:val="16"/>
                          </w:rPr>
                          <w:t>(23)</w:t>
                        </w:r>
                        <w:r>
                          <w:rPr>
                            <w:sz w:val="16"/>
                          </w:rPr>
                          <w:tab/>
                        </w:r>
                        <w:r>
                          <w:rPr>
                            <w:w w:val="105"/>
                            <w:sz w:val="16"/>
                          </w:rPr>
                          <w:t>(88)</w:t>
                        </w:r>
                        <w:r>
                          <w:rPr>
                            <w:spacing w:val="36"/>
                            <w:w w:val="105"/>
                            <w:sz w:val="16"/>
                          </w:rPr>
                          <w:t>  </w:t>
                        </w:r>
                        <w:r>
                          <w:rPr>
                            <w:w w:val="105"/>
                            <w:sz w:val="16"/>
                          </w:rPr>
                          <w:t>Total</w:t>
                        </w:r>
                        <w:r>
                          <w:rPr>
                            <w:spacing w:val="-5"/>
                            <w:w w:val="105"/>
                            <w:sz w:val="16"/>
                          </w:rPr>
                          <w:t> </w:t>
                        </w:r>
                        <w:r>
                          <w:rPr>
                            <w:w w:val="105"/>
                            <w:sz w:val="16"/>
                          </w:rPr>
                          <w:t>before</w:t>
                        </w:r>
                        <w:r>
                          <w:rPr>
                            <w:spacing w:val="-4"/>
                            <w:w w:val="105"/>
                            <w:sz w:val="16"/>
                          </w:rPr>
                          <w:t> </w:t>
                        </w:r>
                        <w:r>
                          <w:rPr>
                            <w:spacing w:val="-5"/>
                            <w:w w:val="105"/>
                            <w:sz w:val="16"/>
                          </w:rPr>
                          <w:t>tax</w:t>
                        </w:r>
                      </w:p>
                    </w:txbxContent>
                  </v:textbox>
                  <w10:wrap type="none"/>
                </v:shape>
              </v:group>
            </w:pict>
          </mc:Fallback>
        </mc:AlternateContent>
      </w:r>
      <w:r>
        <w:rPr>
          <w:position w:val="-3"/>
          <w:sz w:val="20"/>
        </w:rPr>
      </w:r>
    </w:p>
    <w:p>
      <w:pPr>
        <w:pStyle w:val="BodyText"/>
        <w:tabs>
          <w:tab w:pos="8525" w:val="left" w:leader="none"/>
          <w:tab w:pos="8920" w:val="left" w:leader="none"/>
        </w:tabs>
        <w:spacing w:before="6" w:after="4"/>
        <w:ind w:left="7245"/>
      </w:pPr>
      <w:r>
        <w:rPr>
          <w:spacing w:val="-10"/>
          <w:w w:val="105"/>
          <w:position w:val="1"/>
        </w:rPr>
        <w:t>5</w:t>
      </w:r>
      <w:r>
        <w:rPr>
          <w:position w:val="1"/>
        </w:rPr>
        <w:tab/>
      </w:r>
      <w:r>
        <w:rPr>
          <w:spacing w:val="-5"/>
          <w:w w:val="105"/>
          <w:position w:val="1"/>
        </w:rPr>
        <w:t>73</w:t>
      </w:r>
      <w:r>
        <w:rPr>
          <w:position w:val="1"/>
        </w:rPr>
        <w:tab/>
      </w:r>
      <w:r>
        <w:rPr>
          <w:w w:val="105"/>
        </w:rPr>
        <w:t>Tax</w:t>
      </w:r>
      <w:r>
        <w:rPr>
          <w:spacing w:val="-8"/>
          <w:w w:val="105"/>
        </w:rPr>
        <w:t> </w:t>
      </w:r>
      <w:r>
        <w:rPr>
          <w:w w:val="105"/>
        </w:rPr>
        <w:t>benefit</w:t>
      </w:r>
      <w:r>
        <w:rPr>
          <w:spacing w:val="-8"/>
          <w:w w:val="105"/>
        </w:rPr>
        <w:t> </w:t>
      </w:r>
      <w:r>
        <w:rPr>
          <w:spacing w:val="-5"/>
          <w:w w:val="105"/>
        </w:rPr>
        <w:t>(3)</w:t>
      </w:r>
    </w:p>
    <w:p>
      <w:pPr>
        <w:pStyle w:val="BodyText"/>
        <w:ind w:left="156"/>
        <w:rPr>
          <w:sz w:val="20"/>
        </w:rPr>
      </w:pPr>
      <w:r>
        <w:rPr>
          <w:sz w:val="20"/>
        </w:rPr>
        <mc:AlternateContent>
          <mc:Choice Requires="wps">
            <w:drawing>
              <wp:inline distT="0" distB="0" distL="0" distR="0">
                <wp:extent cx="7312659" cy="161925"/>
                <wp:effectExtent l="9525" t="0" r="0" b="9525"/>
                <wp:docPr id="1047" name="Group 1047"/>
                <wp:cNvGraphicFramePr>
                  <a:graphicFrameLocks/>
                </wp:cNvGraphicFramePr>
                <a:graphic>
                  <a:graphicData uri="http://schemas.microsoft.com/office/word/2010/wordprocessingGroup">
                    <wpg:wgp>
                      <wpg:cNvPr id="1047" name="Group 1047"/>
                      <wpg:cNvGrpSpPr/>
                      <wpg:grpSpPr>
                        <a:xfrm>
                          <a:off x="0" y="0"/>
                          <a:ext cx="7312659" cy="161925"/>
                          <a:chExt cx="7312659" cy="161925"/>
                        </a:xfrm>
                      </wpg:grpSpPr>
                      <wps:wsp>
                        <wps:cNvPr id="1048" name="Graphic 1048"/>
                        <wps:cNvSpPr/>
                        <wps:spPr>
                          <a:xfrm>
                            <a:off x="2984782" y="3"/>
                            <a:ext cx="2507615" cy="8255"/>
                          </a:xfrm>
                          <a:custGeom>
                            <a:avLst/>
                            <a:gdLst/>
                            <a:ahLst/>
                            <a:cxnLst/>
                            <a:rect l="l" t="t" r="r" b="b"/>
                            <a:pathLst>
                              <a:path w="2507615" h="8255">
                                <a:moveTo>
                                  <a:pt x="784631" y="0"/>
                                </a:moveTo>
                                <a:lnTo>
                                  <a:pt x="711822" y="0"/>
                                </a:lnTo>
                                <a:lnTo>
                                  <a:pt x="72809" y="0"/>
                                </a:lnTo>
                                <a:lnTo>
                                  <a:pt x="0" y="0"/>
                                </a:lnTo>
                                <a:lnTo>
                                  <a:pt x="0" y="8089"/>
                                </a:lnTo>
                                <a:lnTo>
                                  <a:pt x="72809" y="8089"/>
                                </a:lnTo>
                                <a:lnTo>
                                  <a:pt x="711822" y="8089"/>
                                </a:lnTo>
                                <a:lnTo>
                                  <a:pt x="784631" y="8089"/>
                                </a:lnTo>
                                <a:lnTo>
                                  <a:pt x="784631" y="0"/>
                                </a:lnTo>
                                <a:close/>
                              </a:path>
                              <a:path w="2507615" h="8255">
                                <a:moveTo>
                                  <a:pt x="1642046" y="0"/>
                                </a:moveTo>
                                <a:lnTo>
                                  <a:pt x="1569250" y="0"/>
                                </a:lnTo>
                                <a:lnTo>
                                  <a:pt x="930224" y="0"/>
                                </a:lnTo>
                                <a:lnTo>
                                  <a:pt x="857427" y="0"/>
                                </a:lnTo>
                                <a:lnTo>
                                  <a:pt x="857427" y="8089"/>
                                </a:lnTo>
                                <a:lnTo>
                                  <a:pt x="930224" y="8089"/>
                                </a:lnTo>
                                <a:lnTo>
                                  <a:pt x="1569250" y="8089"/>
                                </a:lnTo>
                                <a:lnTo>
                                  <a:pt x="1642046" y="8089"/>
                                </a:lnTo>
                                <a:lnTo>
                                  <a:pt x="1642046" y="0"/>
                                </a:lnTo>
                                <a:close/>
                              </a:path>
                              <a:path w="2507615" h="8255">
                                <a:moveTo>
                                  <a:pt x="2507551" y="0"/>
                                </a:moveTo>
                                <a:lnTo>
                                  <a:pt x="2434755" y="0"/>
                                </a:lnTo>
                                <a:lnTo>
                                  <a:pt x="1787652" y="0"/>
                                </a:lnTo>
                                <a:lnTo>
                                  <a:pt x="1714842" y="0"/>
                                </a:lnTo>
                                <a:lnTo>
                                  <a:pt x="1714842" y="8089"/>
                                </a:lnTo>
                                <a:lnTo>
                                  <a:pt x="1787652" y="8089"/>
                                </a:lnTo>
                                <a:lnTo>
                                  <a:pt x="2434755" y="8089"/>
                                </a:lnTo>
                                <a:lnTo>
                                  <a:pt x="2507551" y="8089"/>
                                </a:lnTo>
                                <a:lnTo>
                                  <a:pt x="2507551" y="0"/>
                                </a:lnTo>
                                <a:close/>
                              </a:path>
                            </a:pathLst>
                          </a:custGeom>
                          <a:solidFill>
                            <a:srgbClr val="000000"/>
                          </a:solidFill>
                        </wps:spPr>
                        <wps:bodyPr wrap="square" lIns="0" tIns="0" rIns="0" bIns="0" rtlCol="0">
                          <a:prstTxWarp prst="textNoShape">
                            <a:avLst/>
                          </a:prstTxWarp>
                          <a:noAutofit/>
                        </wps:bodyPr>
                      </wps:wsp>
                      <wps:wsp>
                        <wps:cNvPr id="1049" name="Graphic 1049"/>
                        <wps:cNvSpPr/>
                        <wps:spPr>
                          <a:xfrm>
                            <a:off x="-9" y="8093"/>
                            <a:ext cx="3058160" cy="154305"/>
                          </a:xfrm>
                          <a:custGeom>
                            <a:avLst/>
                            <a:gdLst/>
                            <a:ahLst/>
                            <a:cxnLst/>
                            <a:rect l="l" t="t" r="r" b="b"/>
                            <a:pathLst>
                              <a:path w="3058160" h="154305">
                                <a:moveTo>
                                  <a:pt x="3057601" y="0"/>
                                </a:moveTo>
                                <a:lnTo>
                                  <a:pt x="2984792" y="0"/>
                                </a:lnTo>
                                <a:lnTo>
                                  <a:pt x="2911995" y="0"/>
                                </a:lnTo>
                                <a:lnTo>
                                  <a:pt x="0" y="0"/>
                                </a:lnTo>
                                <a:lnTo>
                                  <a:pt x="0" y="153695"/>
                                </a:lnTo>
                                <a:lnTo>
                                  <a:pt x="2911995" y="153695"/>
                                </a:lnTo>
                                <a:lnTo>
                                  <a:pt x="2984792" y="153695"/>
                                </a:lnTo>
                                <a:lnTo>
                                  <a:pt x="3057601" y="153695"/>
                                </a:lnTo>
                                <a:lnTo>
                                  <a:pt x="3057601" y="0"/>
                                </a:lnTo>
                                <a:close/>
                              </a:path>
                            </a:pathLst>
                          </a:custGeom>
                          <a:solidFill>
                            <a:srgbClr val="CCEDFF"/>
                          </a:solidFill>
                        </wps:spPr>
                        <wps:bodyPr wrap="square" lIns="0" tIns="0" rIns="0" bIns="0" rtlCol="0">
                          <a:prstTxWarp prst="textNoShape">
                            <a:avLst/>
                          </a:prstTxWarp>
                          <a:noAutofit/>
                        </wps:bodyPr>
                      </wps:wsp>
                      <wps:wsp>
                        <wps:cNvPr id="1050" name="Graphic 1050"/>
                        <wps:cNvSpPr/>
                        <wps:spPr>
                          <a:xfrm>
                            <a:off x="2984782" y="137519"/>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1051" name="Graphic 1051"/>
                        <wps:cNvSpPr/>
                        <wps:spPr>
                          <a:xfrm>
                            <a:off x="3057594" y="8088"/>
                            <a:ext cx="639445" cy="154305"/>
                          </a:xfrm>
                          <a:custGeom>
                            <a:avLst/>
                            <a:gdLst/>
                            <a:ahLst/>
                            <a:cxnLst/>
                            <a:rect l="l" t="t" r="r" b="b"/>
                            <a:pathLst>
                              <a:path w="639445" h="154305">
                                <a:moveTo>
                                  <a:pt x="0" y="0"/>
                                </a:moveTo>
                                <a:lnTo>
                                  <a:pt x="639021" y="0"/>
                                </a:lnTo>
                                <a:lnTo>
                                  <a:pt x="639021"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052" name="Graphic 1052"/>
                        <wps:cNvSpPr/>
                        <wps:spPr>
                          <a:xfrm>
                            <a:off x="3057592" y="137519"/>
                            <a:ext cx="639445" cy="24765"/>
                          </a:xfrm>
                          <a:custGeom>
                            <a:avLst/>
                            <a:gdLst/>
                            <a:ahLst/>
                            <a:cxnLst/>
                            <a:rect l="l" t="t" r="r" b="b"/>
                            <a:pathLst>
                              <a:path w="639445" h="24765">
                                <a:moveTo>
                                  <a:pt x="639013" y="16179"/>
                                </a:moveTo>
                                <a:lnTo>
                                  <a:pt x="0" y="16179"/>
                                </a:lnTo>
                                <a:lnTo>
                                  <a:pt x="0" y="24269"/>
                                </a:lnTo>
                                <a:lnTo>
                                  <a:pt x="639013" y="24269"/>
                                </a:lnTo>
                                <a:lnTo>
                                  <a:pt x="639013" y="16179"/>
                                </a:lnTo>
                                <a:close/>
                              </a:path>
                              <a:path w="639445" h="24765">
                                <a:moveTo>
                                  <a:pt x="639013" y="0"/>
                                </a:moveTo>
                                <a:lnTo>
                                  <a:pt x="0" y="0"/>
                                </a:lnTo>
                                <a:lnTo>
                                  <a:pt x="0" y="8089"/>
                                </a:lnTo>
                                <a:lnTo>
                                  <a:pt x="639013" y="8089"/>
                                </a:lnTo>
                                <a:lnTo>
                                  <a:pt x="639013" y="0"/>
                                </a:lnTo>
                                <a:close/>
                              </a:path>
                            </a:pathLst>
                          </a:custGeom>
                          <a:solidFill>
                            <a:srgbClr val="000000"/>
                          </a:solidFill>
                        </wps:spPr>
                        <wps:bodyPr wrap="square" lIns="0" tIns="0" rIns="0" bIns="0" rtlCol="0">
                          <a:prstTxWarp prst="textNoShape">
                            <a:avLst/>
                          </a:prstTxWarp>
                          <a:noAutofit/>
                        </wps:bodyPr>
                      </wps:wsp>
                      <wps:wsp>
                        <wps:cNvPr id="1053" name="Graphic 1053"/>
                        <wps:cNvSpPr/>
                        <wps:spPr>
                          <a:xfrm>
                            <a:off x="3696616"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054" name="Graphic 1054"/>
                        <wps:cNvSpPr/>
                        <wps:spPr>
                          <a:xfrm>
                            <a:off x="3696605" y="137519"/>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1055" name="Graphic 1055"/>
                        <wps:cNvSpPr/>
                        <wps:spPr>
                          <a:xfrm>
                            <a:off x="3769414" y="8093"/>
                            <a:ext cx="146050" cy="154305"/>
                          </a:xfrm>
                          <a:custGeom>
                            <a:avLst/>
                            <a:gdLst/>
                            <a:ahLst/>
                            <a:cxnLst/>
                            <a:rect l="l" t="t" r="r" b="b"/>
                            <a:pathLst>
                              <a:path w="146050" h="154305">
                                <a:moveTo>
                                  <a:pt x="145592" y="0"/>
                                </a:moveTo>
                                <a:lnTo>
                                  <a:pt x="72796" y="0"/>
                                </a:lnTo>
                                <a:lnTo>
                                  <a:pt x="0" y="0"/>
                                </a:lnTo>
                                <a:lnTo>
                                  <a:pt x="0" y="153695"/>
                                </a:lnTo>
                                <a:lnTo>
                                  <a:pt x="72796" y="153695"/>
                                </a:lnTo>
                                <a:lnTo>
                                  <a:pt x="145592" y="153695"/>
                                </a:lnTo>
                                <a:lnTo>
                                  <a:pt x="145592" y="0"/>
                                </a:lnTo>
                                <a:close/>
                              </a:path>
                            </a:pathLst>
                          </a:custGeom>
                          <a:solidFill>
                            <a:srgbClr val="CCEDFF"/>
                          </a:solidFill>
                        </wps:spPr>
                        <wps:bodyPr wrap="square" lIns="0" tIns="0" rIns="0" bIns="0" rtlCol="0">
                          <a:prstTxWarp prst="textNoShape">
                            <a:avLst/>
                          </a:prstTxWarp>
                          <a:noAutofit/>
                        </wps:bodyPr>
                      </wps:wsp>
                      <wps:wsp>
                        <wps:cNvPr id="1056" name="Graphic 1056"/>
                        <wps:cNvSpPr/>
                        <wps:spPr>
                          <a:xfrm>
                            <a:off x="3842210" y="137519"/>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1057" name="Graphic 1057"/>
                        <wps:cNvSpPr/>
                        <wps:spPr>
                          <a:xfrm>
                            <a:off x="3915015" y="8088"/>
                            <a:ext cx="639445" cy="154305"/>
                          </a:xfrm>
                          <a:custGeom>
                            <a:avLst/>
                            <a:gdLst/>
                            <a:ahLst/>
                            <a:cxnLst/>
                            <a:rect l="l" t="t" r="r" b="b"/>
                            <a:pathLst>
                              <a:path w="639445" h="154305">
                                <a:moveTo>
                                  <a:pt x="0" y="0"/>
                                </a:moveTo>
                                <a:lnTo>
                                  <a:pt x="639021" y="0"/>
                                </a:lnTo>
                                <a:lnTo>
                                  <a:pt x="639021"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058" name="Graphic 1058"/>
                        <wps:cNvSpPr/>
                        <wps:spPr>
                          <a:xfrm>
                            <a:off x="3915007" y="137519"/>
                            <a:ext cx="639445" cy="24765"/>
                          </a:xfrm>
                          <a:custGeom>
                            <a:avLst/>
                            <a:gdLst/>
                            <a:ahLst/>
                            <a:cxnLst/>
                            <a:rect l="l" t="t" r="r" b="b"/>
                            <a:pathLst>
                              <a:path w="639445" h="24765">
                                <a:moveTo>
                                  <a:pt x="639025" y="16179"/>
                                </a:moveTo>
                                <a:lnTo>
                                  <a:pt x="0" y="16179"/>
                                </a:lnTo>
                                <a:lnTo>
                                  <a:pt x="0" y="24269"/>
                                </a:lnTo>
                                <a:lnTo>
                                  <a:pt x="639025" y="24269"/>
                                </a:lnTo>
                                <a:lnTo>
                                  <a:pt x="639025" y="16179"/>
                                </a:lnTo>
                                <a:close/>
                              </a:path>
                              <a:path w="639445" h="24765">
                                <a:moveTo>
                                  <a:pt x="639025" y="0"/>
                                </a:moveTo>
                                <a:lnTo>
                                  <a:pt x="0" y="0"/>
                                </a:lnTo>
                                <a:lnTo>
                                  <a:pt x="0" y="8089"/>
                                </a:lnTo>
                                <a:lnTo>
                                  <a:pt x="639025" y="8089"/>
                                </a:lnTo>
                                <a:lnTo>
                                  <a:pt x="639025" y="0"/>
                                </a:lnTo>
                                <a:close/>
                              </a:path>
                            </a:pathLst>
                          </a:custGeom>
                          <a:solidFill>
                            <a:srgbClr val="000000"/>
                          </a:solidFill>
                        </wps:spPr>
                        <wps:bodyPr wrap="square" lIns="0" tIns="0" rIns="0" bIns="0" rtlCol="0">
                          <a:prstTxWarp prst="textNoShape">
                            <a:avLst/>
                          </a:prstTxWarp>
                          <a:noAutofit/>
                        </wps:bodyPr>
                      </wps:wsp>
                      <wps:wsp>
                        <wps:cNvPr id="1059" name="Graphic 1059"/>
                        <wps:cNvSpPr/>
                        <wps:spPr>
                          <a:xfrm>
                            <a:off x="4554037"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060" name="Graphic 1060"/>
                        <wps:cNvSpPr/>
                        <wps:spPr>
                          <a:xfrm>
                            <a:off x="4554032" y="137519"/>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1061" name="Graphic 1061"/>
                        <wps:cNvSpPr/>
                        <wps:spPr>
                          <a:xfrm>
                            <a:off x="4626829" y="8093"/>
                            <a:ext cx="146050" cy="154305"/>
                          </a:xfrm>
                          <a:custGeom>
                            <a:avLst/>
                            <a:gdLst/>
                            <a:ahLst/>
                            <a:cxnLst/>
                            <a:rect l="l" t="t" r="r" b="b"/>
                            <a:pathLst>
                              <a:path w="146050" h="154305">
                                <a:moveTo>
                                  <a:pt x="145605" y="0"/>
                                </a:moveTo>
                                <a:lnTo>
                                  <a:pt x="72796" y="0"/>
                                </a:lnTo>
                                <a:lnTo>
                                  <a:pt x="0" y="0"/>
                                </a:lnTo>
                                <a:lnTo>
                                  <a:pt x="0" y="153695"/>
                                </a:lnTo>
                                <a:lnTo>
                                  <a:pt x="72796" y="153695"/>
                                </a:lnTo>
                                <a:lnTo>
                                  <a:pt x="145605" y="153695"/>
                                </a:lnTo>
                                <a:lnTo>
                                  <a:pt x="145605" y="0"/>
                                </a:lnTo>
                                <a:close/>
                              </a:path>
                            </a:pathLst>
                          </a:custGeom>
                          <a:solidFill>
                            <a:srgbClr val="CCEDFF"/>
                          </a:solidFill>
                        </wps:spPr>
                        <wps:bodyPr wrap="square" lIns="0" tIns="0" rIns="0" bIns="0" rtlCol="0">
                          <a:prstTxWarp prst="textNoShape">
                            <a:avLst/>
                          </a:prstTxWarp>
                          <a:noAutofit/>
                        </wps:bodyPr>
                      </wps:wsp>
                      <wps:wsp>
                        <wps:cNvPr id="1062" name="Graphic 1062"/>
                        <wps:cNvSpPr/>
                        <wps:spPr>
                          <a:xfrm>
                            <a:off x="4699625" y="137519"/>
                            <a:ext cx="73025" cy="24765"/>
                          </a:xfrm>
                          <a:custGeom>
                            <a:avLst/>
                            <a:gdLst/>
                            <a:ahLst/>
                            <a:cxnLst/>
                            <a:rect l="l" t="t" r="r" b="b"/>
                            <a:pathLst>
                              <a:path w="73025" h="24765">
                                <a:moveTo>
                                  <a:pt x="72809" y="16179"/>
                                </a:moveTo>
                                <a:lnTo>
                                  <a:pt x="0" y="16179"/>
                                </a:lnTo>
                                <a:lnTo>
                                  <a:pt x="0" y="24269"/>
                                </a:lnTo>
                                <a:lnTo>
                                  <a:pt x="72809" y="24269"/>
                                </a:lnTo>
                                <a:lnTo>
                                  <a:pt x="72809" y="16179"/>
                                </a:lnTo>
                                <a:close/>
                              </a:path>
                              <a:path w="73025" h="24765">
                                <a:moveTo>
                                  <a:pt x="72809" y="0"/>
                                </a:moveTo>
                                <a:lnTo>
                                  <a:pt x="0" y="0"/>
                                </a:lnTo>
                                <a:lnTo>
                                  <a:pt x="0" y="8089"/>
                                </a:lnTo>
                                <a:lnTo>
                                  <a:pt x="72809" y="8089"/>
                                </a:lnTo>
                                <a:lnTo>
                                  <a:pt x="72809" y="0"/>
                                </a:lnTo>
                                <a:close/>
                              </a:path>
                            </a:pathLst>
                          </a:custGeom>
                          <a:solidFill>
                            <a:srgbClr val="000000"/>
                          </a:solidFill>
                        </wps:spPr>
                        <wps:bodyPr wrap="square" lIns="0" tIns="0" rIns="0" bIns="0" rtlCol="0">
                          <a:prstTxWarp prst="textNoShape">
                            <a:avLst/>
                          </a:prstTxWarp>
                          <a:noAutofit/>
                        </wps:bodyPr>
                      </wps:wsp>
                      <wps:wsp>
                        <wps:cNvPr id="1063" name="Graphic 1063"/>
                        <wps:cNvSpPr/>
                        <wps:spPr>
                          <a:xfrm>
                            <a:off x="4772436" y="8088"/>
                            <a:ext cx="647700" cy="154305"/>
                          </a:xfrm>
                          <a:custGeom>
                            <a:avLst/>
                            <a:gdLst/>
                            <a:ahLst/>
                            <a:cxnLst/>
                            <a:rect l="l" t="t" r="r" b="b"/>
                            <a:pathLst>
                              <a:path w="647700" h="154305">
                                <a:moveTo>
                                  <a:pt x="0" y="0"/>
                                </a:moveTo>
                                <a:lnTo>
                                  <a:pt x="647110" y="0"/>
                                </a:lnTo>
                                <a:lnTo>
                                  <a:pt x="647110"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064" name="Graphic 1064"/>
                        <wps:cNvSpPr/>
                        <wps:spPr>
                          <a:xfrm>
                            <a:off x="4772435" y="137519"/>
                            <a:ext cx="647700" cy="24765"/>
                          </a:xfrm>
                          <a:custGeom>
                            <a:avLst/>
                            <a:gdLst/>
                            <a:ahLst/>
                            <a:cxnLst/>
                            <a:rect l="l" t="t" r="r" b="b"/>
                            <a:pathLst>
                              <a:path w="647700" h="24765">
                                <a:moveTo>
                                  <a:pt x="647103" y="16179"/>
                                </a:moveTo>
                                <a:lnTo>
                                  <a:pt x="0" y="16179"/>
                                </a:lnTo>
                                <a:lnTo>
                                  <a:pt x="0" y="24269"/>
                                </a:lnTo>
                                <a:lnTo>
                                  <a:pt x="647103" y="24269"/>
                                </a:lnTo>
                                <a:lnTo>
                                  <a:pt x="647103" y="16179"/>
                                </a:lnTo>
                                <a:close/>
                              </a:path>
                              <a:path w="647700" h="24765">
                                <a:moveTo>
                                  <a:pt x="647103" y="0"/>
                                </a:moveTo>
                                <a:lnTo>
                                  <a:pt x="0" y="0"/>
                                </a:lnTo>
                                <a:lnTo>
                                  <a:pt x="0" y="8089"/>
                                </a:lnTo>
                                <a:lnTo>
                                  <a:pt x="647103" y="8089"/>
                                </a:lnTo>
                                <a:lnTo>
                                  <a:pt x="647103" y="0"/>
                                </a:lnTo>
                                <a:close/>
                              </a:path>
                            </a:pathLst>
                          </a:custGeom>
                          <a:solidFill>
                            <a:srgbClr val="000000"/>
                          </a:solidFill>
                        </wps:spPr>
                        <wps:bodyPr wrap="square" lIns="0" tIns="0" rIns="0" bIns="0" rtlCol="0">
                          <a:prstTxWarp prst="textNoShape">
                            <a:avLst/>
                          </a:prstTxWarp>
                          <a:noAutofit/>
                        </wps:bodyPr>
                      </wps:wsp>
                      <wps:wsp>
                        <wps:cNvPr id="1065" name="Graphic 1065"/>
                        <wps:cNvSpPr/>
                        <wps:spPr>
                          <a:xfrm>
                            <a:off x="5419546" y="8088"/>
                            <a:ext cx="73025" cy="154305"/>
                          </a:xfrm>
                          <a:custGeom>
                            <a:avLst/>
                            <a:gdLst/>
                            <a:ahLst/>
                            <a:cxnLst/>
                            <a:rect l="l" t="t" r="r" b="b"/>
                            <a:pathLst>
                              <a:path w="73025" h="154305">
                                <a:moveTo>
                                  <a:pt x="0" y="0"/>
                                </a:moveTo>
                                <a:lnTo>
                                  <a:pt x="72799" y="0"/>
                                </a:lnTo>
                                <a:lnTo>
                                  <a:pt x="72799" y="153688"/>
                                </a:lnTo>
                                <a:lnTo>
                                  <a:pt x="0" y="153688"/>
                                </a:lnTo>
                                <a:lnTo>
                                  <a:pt x="0" y="0"/>
                                </a:lnTo>
                                <a:close/>
                              </a:path>
                            </a:pathLst>
                          </a:custGeom>
                          <a:solidFill>
                            <a:srgbClr val="CCEDFF"/>
                          </a:solidFill>
                        </wps:spPr>
                        <wps:bodyPr wrap="square" lIns="0" tIns="0" rIns="0" bIns="0" rtlCol="0">
                          <a:prstTxWarp prst="textNoShape">
                            <a:avLst/>
                          </a:prstTxWarp>
                          <a:noAutofit/>
                        </wps:bodyPr>
                      </wps:wsp>
                      <wps:wsp>
                        <wps:cNvPr id="1066" name="Graphic 1066"/>
                        <wps:cNvSpPr/>
                        <wps:spPr>
                          <a:xfrm>
                            <a:off x="5419538" y="137519"/>
                            <a:ext cx="73025" cy="24765"/>
                          </a:xfrm>
                          <a:custGeom>
                            <a:avLst/>
                            <a:gdLst/>
                            <a:ahLst/>
                            <a:cxnLst/>
                            <a:rect l="l" t="t" r="r" b="b"/>
                            <a:pathLst>
                              <a:path w="73025" h="24765">
                                <a:moveTo>
                                  <a:pt x="72796" y="16179"/>
                                </a:moveTo>
                                <a:lnTo>
                                  <a:pt x="0" y="16179"/>
                                </a:lnTo>
                                <a:lnTo>
                                  <a:pt x="0" y="24269"/>
                                </a:lnTo>
                                <a:lnTo>
                                  <a:pt x="72796" y="24269"/>
                                </a:lnTo>
                                <a:lnTo>
                                  <a:pt x="72796" y="16179"/>
                                </a:lnTo>
                                <a:close/>
                              </a:path>
                              <a:path w="73025" h="24765">
                                <a:moveTo>
                                  <a:pt x="72796" y="0"/>
                                </a:moveTo>
                                <a:lnTo>
                                  <a:pt x="0" y="0"/>
                                </a:lnTo>
                                <a:lnTo>
                                  <a:pt x="0" y="8089"/>
                                </a:lnTo>
                                <a:lnTo>
                                  <a:pt x="72796" y="8089"/>
                                </a:lnTo>
                                <a:lnTo>
                                  <a:pt x="72796" y="0"/>
                                </a:lnTo>
                                <a:close/>
                              </a:path>
                            </a:pathLst>
                          </a:custGeom>
                          <a:solidFill>
                            <a:srgbClr val="000000"/>
                          </a:solidFill>
                        </wps:spPr>
                        <wps:bodyPr wrap="square" lIns="0" tIns="0" rIns="0" bIns="0" rtlCol="0">
                          <a:prstTxWarp prst="textNoShape">
                            <a:avLst/>
                          </a:prstTxWarp>
                          <a:noAutofit/>
                        </wps:bodyPr>
                      </wps:wsp>
                      <wps:wsp>
                        <wps:cNvPr id="1067" name="Graphic 1067"/>
                        <wps:cNvSpPr/>
                        <wps:spPr>
                          <a:xfrm>
                            <a:off x="5492334" y="8093"/>
                            <a:ext cx="1820545" cy="154305"/>
                          </a:xfrm>
                          <a:custGeom>
                            <a:avLst/>
                            <a:gdLst/>
                            <a:ahLst/>
                            <a:cxnLst/>
                            <a:rect l="l" t="t" r="r" b="b"/>
                            <a:pathLst>
                              <a:path w="1820545" h="154305">
                                <a:moveTo>
                                  <a:pt x="1819998" y="0"/>
                                </a:moveTo>
                                <a:lnTo>
                                  <a:pt x="1747202" y="0"/>
                                </a:lnTo>
                                <a:lnTo>
                                  <a:pt x="72809" y="0"/>
                                </a:lnTo>
                                <a:lnTo>
                                  <a:pt x="0" y="0"/>
                                </a:lnTo>
                                <a:lnTo>
                                  <a:pt x="0" y="153695"/>
                                </a:lnTo>
                                <a:lnTo>
                                  <a:pt x="72809" y="153695"/>
                                </a:lnTo>
                                <a:lnTo>
                                  <a:pt x="1747202" y="153695"/>
                                </a:lnTo>
                                <a:lnTo>
                                  <a:pt x="1819998" y="153695"/>
                                </a:lnTo>
                                <a:lnTo>
                                  <a:pt x="1819998" y="0"/>
                                </a:lnTo>
                                <a:close/>
                              </a:path>
                            </a:pathLst>
                          </a:custGeom>
                          <a:solidFill>
                            <a:srgbClr val="CCEDFF"/>
                          </a:solidFill>
                        </wps:spPr>
                        <wps:bodyPr wrap="square" lIns="0" tIns="0" rIns="0" bIns="0" rtlCol="0">
                          <a:prstTxWarp prst="textNoShape">
                            <a:avLst/>
                          </a:prstTxWarp>
                          <a:noAutofit/>
                        </wps:bodyPr>
                      </wps:wsp>
                      <wps:wsp>
                        <wps:cNvPr id="1068" name="Textbox 1068"/>
                        <wps:cNvSpPr txBox="1"/>
                        <wps:spPr>
                          <a:xfrm>
                            <a:off x="2984794" y="11450"/>
                            <a:ext cx="65405" cy="116839"/>
                          </a:xfrm>
                          <a:prstGeom prst="rect">
                            <a:avLst/>
                          </a:prstGeom>
                        </wps:spPr>
                        <wps:txbx>
                          <w:txbxContent>
                            <w:p>
                              <w:pPr>
                                <w:spacing w:line="182" w:lineRule="exact" w:before="0"/>
                                <w:ind w:left="0" w:right="0" w:firstLine="0"/>
                                <w:jc w:val="left"/>
                                <w:rPr>
                                  <w:b/>
                                  <w:sz w:val="16"/>
                                </w:rPr>
                              </w:pPr>
                              <w:r>
                                <w:rPr>
                                  <w:b/>
                                  <w:spacing w:val="-10"/>
                                  <w:w w:val="105"/>
                                  <w:sz w:val="16"/>
                                </w:rPr>
                                <w:t>$</w:t>
                              </w:r>
                            </w:p>
                          </w:txbxContent>
                        </wps:txbx>
                        <wps:bodyPr wrap="square" lIns="0" tIns="0" rIns="0" bIns="0" rtlCol="0">
                          <a:noAutofit/>
                        </wps:bodyPr>
                      </wps:wsp>
                      <wps:wsp>
                        <wps:cNvPr id="1069" name="Textbox 1069"/>
                        <wps:cNvSpPr txBox="1"/>
                        <wps:spPr>
                          <a:xfrm>
                            <a:off x="3591460" y="11450"/>
                            <a:ext cx="316230" cy="116839"/>
                          </a:xfrm>
                          <a:prstGeom prst="rect">
                            <a:avLst/>
                          </a:prstGeom>
                        </wps:spPr>
                        <wps:txbx>
                          <w:txbxContent>
                            <w:p>
                              <w:pPr>
                                <w:tabs>
                                  <w:tab w:pos="394" w:val="left" w:leader="none"/>
                                </w:tabs>
                                <w:spacing w:line="182" w:lineRule="exact" w:before="0"/>
                                <w:ind w:left="0" w:right="0" w:firstLine="0"/>
                                <w:jc w:val="left"/>
                                <w:rPr>
                                  <w:sz w:val="16"/>
                                </w:rPr>
                              </w:pPr>
                              <w:r>
                                <w:rPr>
                                  <w:spacing w:val="-10"/>
                                  <w:w w:val="105"/>
                                  <w:sz w:val="16"/>
                                </w:rPr>
                                <w:t>—</w:t>
                              </w:r>
                              <w:r>
                                <w:rPr>
                                  <w:sz w:val="16"/>
                                </w:rPr>
                                <w:tab/>
                              </w:r>
                              <w:r>
                                <w:rPr>
                                  <w:spacing w:val="-10"/>
                                  <w:w w:val="105"/>
                                  <w:sz w:val="16"/>
                                </w:rPr>
                                <w:t>$</w:t>
                              </w:r>
                            </w:p>
                          </w:txbxContent>
                        </wps:txbx>
                        <wps:bodyPr wrap="square" lIns="0" tIns="0" rIns="0" bIns="0" rtlCol="0">
                          <a:noAutofit/>
                        </wps:bodyPr>
                      </wps:wsp>
                      <wps:wsp>
                        <wps:cNvPr id="1070" name="Textbox 1070"/>
                        <wps:cNvSpPr txBox="1"/>
                        <wps:spPr>
                          <a:xfrm>
                            <a:off x="4413745" y="11450"/>
                            <a:ext cx="351790" cy="116839"/>
                          </a:xfrm>
                          <a:prstGeom prst="rect">
                            <a:avLst/>
                          </a:prstGeom>
                        </wps:spPr>
                        <wps:txbx>
                          <w:txbxContent>
                            <w:p>
                              <w:pPr>
                                <w:spacing w:line="182" w:lineRule="exact" w:before="0"/>
                                <w:ind w:left="0" w:right="0" w:firstLine="0"/>
                                <w:jc w:val="left"/>
                                <w:rPr>
                                  <w:sz w:val="16"/>
                                </w:rPr>
                              </w:pPr>
                              <w:r>
                                <w:rPr>
                                  <w:w w:val="105"/>
                                  <w:sz w:val="16"/>
                                </w:rPr>
                                <w:t>(18)</w:t>
                              </w:r>
                              <w:r>
                                <w:rPr>
                                  <w:spacing w:val="42"/>
                                  <w:w w:val="105"/>
                                  <w:sz w:val="16"/>
                                </w:rPr>
                                <w:t>  </w:t>
                              </w:r>
                              <w:r>
                                <w:rPr>
                                  <w:spacing w:val="-10"/>
                                  <w:w w:val="105"/>
                                  <w:sz w:val="16"/>
                                </w:rPr>
                                <w:t>$</w:t>
                              </w:r>
                            </w:p>
                          </w:txbxContent>
                        </wps:txbx>
                        <wps:bodyPr wrap="square" lIns="0" tIns="0" rIns="0" bIns="0" rtlCol="0">
                          <a:noAutofit/>
                        </wps:bodyPr>
                      </wps:wsp>
                      <wps:wsp>
                        <wps:cNvPr id="1071" name="Textbox 1071"/>
                        <wps:cNvSpPr txBox="1"/>
                        <wps:spPr>
                          <a:xfrm>
                            <a:off x="5279254" y="11450"/>
                            <a:ext cx="188595" cy="116839"/>
                          </a:xfrm>
                          <a:prstGeom prst="rect">
                            <a:avLst/>
                          </a:prstGeom>
                        </wps:spPr>
                        <wps:txbx>
                          <w:txbxContent>
                            <w:p>
                              <w:pPr>
                                <w:spacing w:line="182" w:lineRule="exact" w:before="0"/>
                                <w:ind w:left="0" w:right="0" w:firstLine="0"/>
                                <w:jc w:val="left"/>
                                <w:rPr>
                                  <w:sz w:val="16"/>
                                </w:rPr>
                              </w:pPr>
                              <w:r>
                                <w:rPr>
                                  <w:spacing w:val="-4"/>
                                  <w:w w:val="105"/>
                                  <w:sz w:val="16"/>
                                </w:rPr>
                                <w:t>(15)</w:t>
                              </w:r>
                            </w:p>
                          </w:txbxContent>
                        </wps:txbx>
                        <wps:bodyPr wrap="square" lIns="0" tIns="0" rIns="0" bIns="0" rtlCol="0">
                          <a:noAutofit/>
                        </wps:bodyPr>
                      </wps:wsp>
                      <wps:wsp>
                        <wps:cNvPr id="1072" name="Textbox 1072"/>
                        <wps:cNvSpPr txBox="1"/>
                        <wps:spPr>
                          <a:xfrm>
                            <a:off x="5565145" y="35716"/>
                            <a:ext cx="433705" cy="116839"/>
                          </a:xfrm>
                          <a:prstGeom prst="rect">
                            <a:avLst/>
                          </a:prstGeom>
                        </wps:spPr>
                        <wps:txbx>
                          <w:txbxContent>
                            <w:p>
                              <w:pPr>
                                <w:spacing w:line="182" w:lineRule="exact" w:before="0"/>
                                <w:ind w:left="0" w:right="0" w:firstLine="0"/>
                                <w:jc w:val="left"/>
                                <w:rPr>
                                  <w:sz w:val="16"/>
                                </w:rPr>
                              </w:pPr>
                              <w:r>
                                <w:rPr>
                                  <w:w w:val="105"/>
                                  <w:sz w:val="16"/>
                                </w:rPr>
                                <w:t>Net</w:t>
                              </w:r>
                              <w:r>
                                <w:rPr>
                                  <w:spacing w:val="-5"/>
                                  <w:w w:val="105"/>
                                  <w:sz w:val="16"/>
                                </w:rPr>
                                <w:t> </w:t>
                              </w:r>
                              <w:r>
                                <w:rPr>
                                  <w:w w:val="105"/>
                                  <w:sz w:val="16"/>
                                </w:rPr>
                                <w:t>of</w:t>
                              </w:r>
                              <w:r>
                                <w:rPr>
                                  <w:spacing w:val="-5"/>
                                  <w:w w:val="105"/>
                                  <w:sz w:val="16"/>
                                </w:rPr>
                                <w:t> tax</w:t>
                              </w:r>
                            </w:p>
                          </w:txbxContent>
                        </wps:txbx>
                        <wps:bodyPr wrap="square" lIns="0" tIns="0" rIns="0" bIns="0" rtlCol="0">
                          <a:noAutofit/>
                        </wps:bodyPr>
                      </wps:wsp>
                    </wpg:wgp>
                  </a:graphicData>
                </a:graphic>
              </wp:inline>
            </w:drawing>
          </mc:Choice>
          <mc:Fallback>
            <w:pict>
              <v:group style="width:575.8pt;height:12.75pt;mso-position-horizontal-relative:char;mso-position-vertical-relative:line" id="docshapegroup1046" coordorigin="0,0" coordsize="11516,255">
                <v:shape style="position:absolute;left:4700;top:0;width:3949;height:13" id="docshape1047" coordorigin="4700,0" coordsize="3949,13" path="m5936,0l5821,0,4815,0,4700,0,4700,13,4815,13,5821,13,5936,13,5936,0xm7286,0l7172,0,6165,0,6051,0,6051,13,6165,13,7172,13,7286,13,7286,0xm8649,0l8535,0,7516,0,7401,0,7401,13,7516,13,8535,13,8649,13,8649,0xe" filled="true" fillcolor="#000000" stroked="false">
                  <v:path arrowok="t"/>
                  <v:fill type="solid"/>
                </v:shape>
                <v:shape style="position:absolute;left:-1;top:12;width:4816;height:243" id="docshape1048" coordorigin="0,13" coordsize="4816,243" path="m4815,13l4700,13,4586,13,0,13,0,255,4586,255,4700,255,4815,255,4815,13xe" filled="true" fillcolor="#ccedff" stroked="false">
                  <v:path arrowok="t"/>
                  <v:fill type="solid"/>
                </v:shape>
                <v:shape style="position:absolute;left:4700;top:216;width:115;height:39" id="docshape1049" coordorigin="4700,217" coordsize="115,39" path="m4815,242l4700,242,4700,255,4815,255,4815,242xm4815,217l4700,217,4700,229,4815,229,4815,217xe" filled="true" fillcolor="#000000" stroked="false">
                  <v:path arrowok="t"/>
                  <v:fill type="solid"/>
                </v:shape>
                <v:rect style="position:absolute;left:4815;top:12;width:1007;height:243" id="docshape1050" filled="true" fillcolor="#ccedff" stroked="false">
                  <v:fill type="solid"/>
                </v:rect>
                <v:shape style="position:absolute;left:4815;top:216;width:1007;height:39" id="docshape1051" coordorigin="4815,217" coordsize="1007,39" path="m5821,242l4815,242,4815,255,5821,255,5821,242xm5821,217l4815,217,4815,229,5821,229,5821,217xe" filled="true" fillcolor="#000000" stroked="false">
                  <v:path arrowok="t"/>
                  <v:fill type="solid"/>
                </v:shape>
                <v:rect style="position:absolute;left:5821;top:12;width:115;height:243" id="docshape1052" filled="true" fillcolor="#ccedff" stroked="false">
                  <v:fill type="solid"/>
                </v:rect>
                <v:shape style="position:absolute;left:5821;top:216;width:115;height:39" id="docshape1053" coordorigin="5821,217" coordsize="115,39" path="m5936,242l5821,242,5821,255,5936,255,5936,242xm5936,217l5821,217,5821,229,5936,229,5936,217xe" filled="true" fillcolor="#000000" stroked="false">
                  <v:path arrowok="t"/>
                  <v:fill type="solid"/>
                </v:shape>
                <v:shape style="position:absolute;left:5936;top:12;width:230;height:243" id="docshape1054" coordorigin="5936,13" coordsize="230,243" path="m6165,13l6051,13,5936,13,5936,255,6051,255,6165,255,6165,13xe" filled="true" fillcolor="#ccedff" stroked="false">
                  <v:path arrowok="t"/>
                  <v:fill type="solid"/>
                </v:shape>
                <v:shape style="position:absolute;left:6050;top:216;width:115;height:39" id="docshape1055" coordorigin="6051,217" coordsize="115,39" path="m6165,242l6051,242,6051,255,6165,255,6165,242xm6165,217l6051,217,6051,229,6165,229,6165,217xe" filled="true" fillcolor="#000000" stroked="false">
                  <v:path arrowok="t"/>
                  <v:fill type="solid"/>
                </v:shape>
                <v:rect style="position:absolute;left:6165;top:12;width:1007;height:243" id="docshape1056" filled="true" fillcolor="#ccedff" stroked="false">
                  <v:fill type="solid"/>
                </v:rect>
                <v:shape style="position:absolute;left:6165;top:216;width:1007;height:39" id="docshape1057" coordorigin="6165,217" coordsize="1007,39" path="m7172,242l6165,242,6165,255,7172,255,7172,242xm7172,217l6165,217,6165,229,7172,229,7172,217xe" filled="true" fillcolor="#000000" stroked="false">
                  <v:path arrowok="t"/>
                  <v:fill type="solid"/>
                </v:shape>
                <v:rect style="position:absolute;left:7171;top:12;width:115;height:243" id="docshape1058" filled="true" fillcolor="#ccedff" stroked="false">
                  <v:fill type="solid"/>
                </v:rect>
                <v:shape style="position:absolute;left:7171;top:216;width:115;height:39" id="docshape1059" coordorigin="7172,217" coordsize="115,39" path="m7286,242l7172,242,7172,255,7286,255,7286,242xm7286,217l7172,217,7172,229,7286,229,7286,217xe" filled="true" fillcolor="#000000" stroked="false">
                  <v:path arrowok="t"/>
                  <v:fill type="solid"/>
                </v:shape>
                <v:shape style="position:absolute;left:7286;top:12;width:230;height:243" id="docshape1060" coordorigin="7286,13" coordsize="230,243" path="m7516,13l7401,13,7286,13,7286,255,7401,255,7516,255,7516,13xe" filled="true" fillcolor="#ccedff" stroked="false">
                  <v:path arrowok="t"/>
                  <v:fill type="solid"/>
                </v:shape>
                <v:shape style="position:absolute;left:7400;top:216;width:115;height:39" id="docshape1061" coordorigin="7401,217" coordsize="115,39" path="m7516,242l7401,242,7401,255,7516,255,7516,242xm7516,217l7401,217,7401,229,7516,229,7516,217xe" filled="true" fillcolor="#000000" stroked="false">
                  <v:path arrowok="t"/>
                  <v:fill type="solid"/>
                </v:shape>
                <v:rect style="position:absolute;left:7515;top:12;width:1020;height:243" id="docshape1062" filled="true" fillcolor="#ccedff" stroked="false">
                  <v:fill type="solid"/>
                </v:rect>
                <v:shape style="position:absolute;left:7515;top:216;width:1020;height:39" id="docshape1063" coordorigin="7516,217" coordsize="1020,39" path="m8535,242l7516,242,7516,255,8535,255,8535,242xm8535,217l7516,217,7516,229,8535,229,8535,217xe" filled="true" fillcolor="#000000" stroked="false">
                  <v:path arrowok="t"/>
                  <v:fill type="solid"/>
                </v:shape>
                <v:rect style="position:absolute;left:8534;top:12;width:115;height:243" id="docshape1064" filled="true" fillcolor="#ccedff" stroked="false">
                  <v:fill type="solid"/>
                </v:rect>
                <v:shape style="position:absolute;left:8534;top:216;width:115;height:39" id="docshape1065" coordorigin="8535,217" coordsize="115,39" path="m8649,242l8535,242,8535,255,8649,255,8649,242xm8649,217l8535,217,8535,229,8649,229,8649,217xe" filled="true" fillcolor="#000000" stroked="false">
                  <v:path arrowok="t"/>
                  <v:fill type="solid"/>
                </v:shape>
                <v:shape style="position:absolute;left:8649;top:12;width:2867;height:243" id="docshape1066" coordorigin="8649,13" coordsize="2867,243" path="m11515,13l11401,13,8764,13,8649,13,8649,255,8764,255,11401,255,11515,255,11515,13xe" filled="true" fillcolor="#ccedff" stroked="false">
                  <v:path arrowok="t"/>
                  <v:fill type="solid"/>
                </v:shape>
                <v:shape style="position:absolute;left:4700;top:18;width:103;height:184" type="#_x0000_t202" id="docshape1067" filled="false" stroked="false">
                  <v:textbox inset="0,0,0,0">
                    <w:txbxContent>
                      <w:p>
                        <w:pPr>
                          <w:spacing w:line="182" w:lineRule="exact" w:before="0"/>
                          <w:ind w:left="0" w:right="0" w:firstLine="0"/>
                          <w:jc w:val="left"/>
                          <w:rPr>
                            <w:b/>
                            <w:sz w:val="16"/>
                          </w:rPr>
                        </w:pPr>
                        <w:r>
                          <w:rPr>
                            <w:b/>
                            <w:spacing w:val="-10"/>
                            <w:w w:val="105"/>
                            <w:sz w:val="16"/>
                          </w:rPr>
                          <w:t>$</w:t>
                        </w:r>
                      </w:p>
                    </w:txbxContent>
                  </v:textbox>
                  <w10:wrap type="none"/>
                </v:shape>
                <v:shape style="position:absolute;left:5655;top:18;width:498;height:184" type="#_x0000_t202" id="docshape1068" filled="false" stroked="false">
                  <v:textbox inset="0,0,0,0">
                    <w:txbxContent>
                      <w:p>
                        <w:pPr>
                          <w:tabs>
                            <w:tab w:pos="394" w:val="left" w:leader="none"/>
                          </w:tabs>
                          <w:spacing w:line="182" w:lineRule="exact" w:before="0"/>
                          <w:ind w:left="0" w:right="0" w:firstLine="0"/>
                          <w:jc w:val="left"/>
                          <w:rPr>
                            <w:sz w:val="16"/>
                          </w:rPr>
                        </w:pPr>
                        <w:r>
                          <w:rPr>
                            <w:spacing w:val="-10"/>
                            <w:w w:val="105"/>
                            <w:sz w:val="16"/>
                          </w:rPr>
                          <w:t>—</w:t>
                        </w:r>
                        <w:r>
                          <w:rPr>
                            <w:sz w:val="16"/>
                          </w:rPr>
                          <w:tab/>
                        </w:r>
                        <w:r>
                          <w:rPr>
                            <w:spacing w:val="-10"/>
                            <w:w w:val="105"/>
                            <w:sz w:val="16"/>
                          </w:rPr>
                          <w:t>$</w:t>
                        </w:r>
                      </w:p>
                    </w:txbxContent>
                  </v:textbox>
                  <w10:wrap type="none"/>
                </v:shape>
                <v:shape style="position:absolute;left:6950;top:18;width:554;height:184" type="#_x0000_t202" id="docshape1069" filled="false" stroked="false">
                  <v:textbox inset="0,0,0,0">
                    <w:txbxContent>
                      <w:p>
                        <w:pPr>
                          <w:spacing w:line="182" w:lineRule="exact" w:before="0"/>
                          <w:ind w:left="0" w:right="0" w:firstLine="0"/>
                          <w:jc w:val="left"/>
                          <w:rPr>
                            <w:sz w:val="16"/>
                          </w:rPr>
                        </w:pPr>
                        <w:r>
                          <w:rPr>
                            <w:w w:val="105"/>
                            <w:sz w:val="16"/>
                          </w:rPr>
                          <w:t>(18)</w:t>
                        </w:r>
                        <w:r>
                          <w:rPr>
                            <w:spacing w:val="42"/>
                            <w:w w:val="105"/>
                            <w:sz w:val="16"/>
                          </w:rPr>
                          <w:t>  </w:t>
                        </w:r>
                        <w:r>
                          <w:rPr>
                            <w:spacing w:val="-10"/>
                            <w:w w:val="105"/>
                            <w:sz w:val="16"/>
                          </w:rPr>
                          <w:t>$</w:t>
                        </w:r>
                      </w:p>
                    </w:txbxContent>
                  </v:textbox>
                  <w10:wrap type="none"/>
                </v:shape>
                <v:shape style="position:absolute;left:8313;top:18;width:297;height:184" type="#_x0000_t202" id="docshape1070" filled="false" stroked="false">
                  <v:textbox inset="0,0,0,0">
                    <w:txbxContent>
                      <w:p>
                        <w:pPr>
                          <w:spacing w:line="182" w:lineRule="exact" w:before="0"/>
                          <w:ind w:left="0" w:right="0" w:firstLine="0"/>
                          <w:jc w:val="left"/>
                          <w:rPr>
                            <w:sz w:val="16"/>
                          </w:rPr>
                        </w:pPr>
                        <w:r>
                          <w:rPr>
                            <w:spacing w:val="-4"/>
                            <w:w w:val="105"/>
                            <w:sz w:val="16"/>
                          </w:rPr>
                          <w:t>(15)</w:t>
                        </w:r>
                      </w:p>
                    </w:txbxContent>
                  </v:textbox>
                  <w10:wrap type="none"/>
                </v:shape>
                <v:shape style="position:absolute;left:8764;top:56;width:683;height:184" type="#_x0000_t202" id="docshape1071" filled="false" stroked="false">
                  <v:textbox inset="0,0,0,0">
                    <w:txbxContent>
                      <w:p>
                        <w:pPr>
                          <w:spacing w:line="182" w:lineRule="exact" w:before="0"/>
                          <w:ind w:left="0" w:right="0" w:firstLine="0"/>
                          <w:jc w:val="left"/>
                          <w:rPr>
                            <w:sz w:val="16"/>
                          </w:rPr>
                        </w:pPr>
                        <w:r>
                          <w:rPr>
                            <w:w w:val="105"/>
                            <w:sz w:val="16"/>
                          </w:rPr>
                          <w:t>Net</w:t>
                        </w:r>
                        <w:r>
                          <w:rPr>
                            <w:spacing w:val="-5"/>
                            <w:w w:val="105"/>
                            <w:sz w:val="16"/>
                          </w:rPr>
                          <w:t> </w:t>
                        </w:r>
                        <w:r>
                          <w:rPr>
                            <w:w w:val="105"/>
                            <w:sz w:val="16"/>
                          </w:rPr>
                          <w:t>of</w:t>
                        </w:r>
                        <w:r>
                          <w:rPr>
                            <w:spacing w:val="-5"/>
                            <w:w w:val="105"/>
                            <w:sz w:val="16"/>
                          </w:rPr>
                          <w:t> tax</w:t>
                        </w:r>
                      </w:p>
                    </w:txbxContent>
                  </v:textbox>
                  <w10:wrap type="none"/>
                </v:shape>
              </v:group>
            </w:pict>
          </mc:Fallback>
        </mc:AlternateContent>
      </w:r>
      <w:r>
        <w:rPr>
          <w:sz w:val="20"/>
        </w:rPr>
      </w:r>
    </w:p>
    <w:p>
      <w:pPr>
        <w:pStyle w:val="BodyText"/>
        <w:spacing w:before="5"/>
        <w:rPr>
          <w:sz w:val="13"/>
        </w:rPr>
      </w:pPr>
      <w:r>
        <w:rPr/>
        <mc:AlternateContent>
          <mc:Choice Requires="wps">
            <w:drawing>
              <wp:anchor distT="0" distB="0" distL="0" distR="0" allowOverlap="1" layoutInCell="1" locked="0" behindDoc="1" simplePos="0" relativeHeight="487746560">
                <wp:simplePos x="0" y="0"/>
                <wp:positionH relativeFrom="page">
                  <wp:posOffset>226488</wp:posOffset>
                </wp:positionH>
                <wp:positionV relativeFrom="paragraph">
                  <wp:posOffset>113399</wp:posOffset>
                </wp:positionV>
                <wp:extent cx="7312659" cy="129539"/>
                <wp:effectExtent l="0" t="0" r="0" b="0"/>
                <wp:wrapTopAndBottom/>
                <wp:docPr id="1073" name="Textbox 1073"/>
                <wp:cNvGraphicFramePr>
                  <a:graphicFrameLocks/>
                </wp:cNvGraphicFramePr>
                <a:graphic>
                  <a:graphicData uri="http://schemas.microsoft.com/office/word/2010/wordprocessingShape">
                    <wps:wsp>
                      <wps:cNvPr id="1073" name="Textbox 1073"/>
                      <wps:cNvSpPr txBox="1"/>
                      <wps:spPr>
                        <a:xfrm>
                          <a:off x="0" y="0"/>
                          <a:ext cx="7312659" cy="129539"/>
                        </a:xfrm>
                        <a:prstGeom prst="rect">
                          <a:avLst/>
                        </a:prstGeom>
                        <a:solidFill>
                          <a:srgbClr val="CCEDFF"/>
                        </a:solidFill>
                      </wps:spPr>
                      <wps:txbx>
                        <w:txbxContent>
                          <w:p>
                            <w:pPr>
                              <w:pStyle w:val="BodyText"/>
                              <w:tabs>
                                <w:tab w:pos="4700" w:val="left" w:leader="none"/>
                                <w:tab w:pos="5655" w:val="left" w:leader="none"/>
                                <w:tab w:pos="6050" w:val="left" w:leader="none"/>
                                <w:tab w:pos="7033" w:val="left" w:leader="none"/>
                                <w:tab w:pos="8763" w:val="left" w:leader="none"/>
                              </w:tabs>
                              <w:spacing w:before="3"/>
                              <w:rPr>
                                <w:color w:val="000000"/>
                              </w:rPr>
                            </w:pPr>
                            <w:r>
                              <w:rPr>
                                <w:color w:val="000000"/>
                                <w:spacing w:val="-2"/>
                                <w:w w:val="105"/>
                              </w:rPr>
                              <w:t>Realized</w:t>
                            </w:r>
                            <w:r>
                              <w:rPr>
                                <w:color w:val="000000"/>
                                <w:spacing w:val="2"/>
                                <w:w w:val="105"/>
                              </w:rPr>
                              <w:t> </w:t>
                            </w:r>
                            <w:r>
                              <w:rPr>
                                <w:color w:val="000000"/>
                                <w:spacing w:val="-2"/>
                                <w:w w:val="105"/>
                              </w:rPr>
                              <w:t>gains</w:t>
                            </w:r>
                            <w:r>
                              <w:rPr>
                                <w:color w:val="000000"/>
                                <w:spacing w:val="2"/>
                                <w:w w:val="105"/>
                              </w:rPr>
                              <w:t> </w:t>
                            </w:r>
                            <w:r>
                              <w:rPr>
                                <w:color w:val="000000"/>
                                <w:spacing w:val="-2"/>
                                <w:w w:val="105"/>
                              </w:rPr>
                              <w:t>(losses)</w:t>
                            </w:r>
                            <w:r>
                              <w:rPr>
                                <w:color w:val="000000"/>
                                <w:spacing w:val="3"/>
                                <w:w w:val="105"/>
                              </w:rPr>
                              <w:t> </w:t>
                            </w:r>
                            <w:r>
                              <w:rPr>
                                <w:color w:val="000000"/>
                                <w:spacing w:val="-2"/>
                                <w:w w:val="105"/>
                              </w:rPr>
                              <w:t>on</w:t>
                            </w:r>
                            <w:r>
                              <w:rPr>
                                <w:color w:val="000000"/>
                                <w:spacing w:val="2"/>
                                <w:w w:val="105"/>
                              </w:rPr>
                              <w:t> </w:t>
                            </w:r>
                            <w:r>
                              <w:rPr>
                                <w:color w:val="000000"/>
                                <w:spacing w:val="-2"/>
                                <w:w w:val="105"/>
                              </w:rPr>
                              <w:t>designated</w:t>
                            </w:r>
                            <w:r>
                              <w:rPr>
                                <w:color w:val="000000"/>
                                <w:spacing w:val="3"/>
                                <w:w w:val="105"/>
                              </w:rPr>
                              <w:t> </w:t>
                            </w:r>
                            <w:r>
                              <w:rPr>
                                <w:color w:val="000000"/>
                                <w:spacing w:val="-2"/>
                                <w:w w:val="105"/>
                              </w:rPr>
                              <w:t>hedges</w:t>
                            </w:r>
                            <w:r>
                              <w:rPr>
                                <w:color w:val="000000"/>
                              </w:rPr>
                              <w:tab/>
                            </w:r>
                            <w:r>
                              <w:rPr>
                                <w:b/>
                                <w:color w:val="000000"/>
                                <w:spacing w:val="-10"/>
                                <w:w w:val="105"/>
                              </w:rPr>
                              <w:t>$</w:t>
                            </w:r>
                            <w:r>
                              <w:rPr>
                                <w:b/>
                                <w:color w:val="000000"/>
                              </w:rPr>
                              <w:tab/>
                            </w:r>
                            <w:r>
                              <w:rPr>
                                <w:b/>
                                <w:color w:val="000000"/>
                                <w:spacing w:val="-5"/>
                                <w:w w:val="105"/>
                              </w:rPr>
                              <w:t>14</w:t>
                            </w:r>
                            <w:r>
                              <w:rPr>
                                <w:b/>
                                <w:color w:val="000000"/>
                              </w:rPr>
                              <w:tab/>
                            </w:r>
                            <w:r>
                              <w:rPr>
                                <w:color w:val="000000"/>
                                <w:spacing w:val="-10"/>
                                <w:w w:val="105"/>
                              </w:rPr>
                              <w:t>$</w:t>
                            </w:r>
                            <w:r>
                              <w:rPr>
                                <w:color w:val="000000"/>
                              </w:rPr>
                              <w:tab/>
                            </w:r>
                            <w:r>
                              <w:rPr>
                                <w:color w:val="000000"/>
                                <w:spacing w:val="-5"/>
                                <w:w w:val="105"/>
                              </w:rPr>
                              <w:t>(6)</w:t>
                            </w:r>
                            <w:r>
                              <w:rPr>
                                <w:color w:val="000000"/>
                              </w:rPr>
                              <w:tab/>
                            </w:r>
                            <w:r>
                              <w:rPr>
                                <w:color w:val="000000"/>
                                <w:spacing w:val="-2"/>
                                <w:w w:val="105"/>
                              </w:rPr>
                              <w:t>Sales</w:t>
                            </w:r>
                          </w:p>
                        </w:txbxContent>
                      </wps:txbx>
                      <wps:bodyPr wrap="square" lIns="0" tIns="0" rIns="0" bIns="0" rtlCol="0">
                        <a:noAutofit/>
                      </wps:bodyPr>
                    </wps:wsp>
                  </a:graphicData>
                </a:graphic>
              </wp:anchor>
            </w:drawing>
          </mc:Choice>
          <mc:Fallback>
            <w:pict>
              <v:shape style="position:absolute;margin-left:17.833740pt;margin-top:8.929095pt;width:575.8pt;height:10.2pt;mso-position-horizontal-relative:page;mso-position-vertical-relative:paragraph;z-index:-15569920;mso-wrap-distance-left:0;mso-wrap-distance-right:0" type="#_x0000_t202" id="docshape1072" filled="true" fillcolor="#ccedff" stroked="false">
                <v:textbox inset="0,0,0,0">
                  <w:txbxContent>
                    <w:p>
                      <w:pPr>
                        <w:pStyle w:val="BodyText"/>
                        <w:tabs>
                          <w:tab w:pos="4700" w:val="left" w:leader="none"/>
                          <w:tab w:pos="5655" w:val="left" w:leader="none"/>
                          <w:tab w:pos="6050" w:val="left" w:leader="none"/>
                          <w:tab w:pos="7033" w:val="left" w:leader="none"/>
                          <w:tab w:pos="8763" w:val="left" w:leader="none"/>
                        </w:tabs>
                        <w:spacing w:before="3"/>
                        <w:rPr>
                          <w:color w:val="000000"/>
                        </w:rPr>
                      </w:pPr>
                      <w:r>
                        <w:rPr>
                          <w:color w:val="000000"/>
                          <w:spacing w:val="-2"/>
                          <w:w w:val="105"/>
                        </w:rPr>
                        <w:t>Realized</w:t>
                      </w:r>
                      <w:r>
                        <w:rPr>
                          <w:color w:val="000000"/>
                          <w:spacing w:val="2"/>
                          <w:w w:val="105"/>
                        </w:rPr>
                        <w:t> </w:t>
                      </w:r>
                      <w:r>
                        <w:rPr>
                          <w:color w:val="000000"/>
                          <w:spacing w:val="-2"/>
                          <w:w w:val="105"/>
                        </w:rPr>
                        <w:t>gains</w:t>
                      </w:r>
                      <w:r>
                        <w:rPr>
                          <w:color w:val="000000"/>
                          <w:spacing w:val="2"/>
                          <w:w w:val="105"/>
                        </w:rPr>
                        <w:t> </w:t>
                      </w:r>
                      <w:r>
                        <w:rPr>
                          <w:color w:val="000000"/>
                          <w:spacing w:val="-2"/>
                          <w:w w:val="105"/>
                        </w:rPr>
                        <w:t>(losses)</w:t>
                      </w:r>
                      <w:r>
                        <w:rPr>
                          <w:color w:val="000000"/>
                          <w:spacing w:val="3"/>
                          <w:w w:val="105"/>
                        </w:rPr>
                        <w:t> </w:t>
                      </w:r>
                      <w:r>
                        <w:rPr>
                          <w:color w:val="000000"/>
                          <w:spacing w:val="-2"/>
                          <w:w w:val="105"/>
                        </w:rPr>
                        <w:t>on</w:t>
                      </w:r>
                      <w:r>
                        <w:rPr>
                          <w:color w:val="000000"/>
                          <w:spacing w:val="2"/>
                          <w:w w:val="105"/>
                        </w:rPr>
                        <w:t> </w:t>
                      </w:r>
                      <w:r>
                        <w:rPr>
                          <w:color w:val="000000"/>
                          <w:spacing w:val="-2"/>
                          <w:w w:val="105"/>
                        </w:rPr>
                        <w:t>designated</w:t>
                      </w:r>
                      <w:r>
                        <w:rPr>
                          <w:color w:val="000000"/>
                          <w:spacing w:val="3"/>
                          <w:w w:val="105"/>
                        </w:rPr>
                        <w:t> </w:t>
                      </w:r>
                      <w:r>
                        <w:rPr>
                          <w:color w:val="000000"/>
                          <w:spacing w:val="-2"/>
                          <w:w w:val="105"/>
                        </w:rPr>
                        <w:t>hedges</w:t>
                      </w:r>
                      <w:r>
                        <w:rPr>
                          <w:color w:val="000000"/>
                        </w:rPr>
                        <w:tab/>
                      </w:r>
                      <w:r>
                        <w:rPr>
                          <w:b/>
                          <w:color w:val="000000"/>
                          <w:spacing w:val="-10"/>
                          <w:w w:val="105"/>
                        </w:rPr>
                        <w:t>$</w:t>
                      </w:r>
                      <w:r>
                        <w:rPr>
                          <w:b/>
                          <w:color w:val="000000"/>
                        </w:rPr>
                        <w:tab/>
                      </w:r>
                      <w:r>
                        <w:rPr>
                          <w:b/>
                          <w:color w:val="000000"/>
                          <w:spacing w:val="-5"/>
                          <w:w w:val="105"/>
                        </w:rPr>
                        <w:t>14</w:t>
                      </w:r>
                      <w:r>
                        <w:rPr>
                          <w:b/>
                          <w:color w:val="000000"/>
                        </w:rPr>
                        <w:tab/>
                      </w:r>
                      <w:r>
                        <w:rPr>
                          <w:color w:val="000000"/>
                          <w:spacing w:val="-10"/>
                          <w:w w:val="105"/>
                        </w:rPr>
                        <w:t>$</w:t>
                      </w:r>
                      <w:r>
                        <w:rPr>
                          <w:color w:val="000000"/>
                        </w:rPr>
                        <w:tab/>
                      </w:r>
                      <w:r>
                        <w:rPr>
                          <w:color w:val="000000"/>
                          <w:spacing w:val="-5"/>
                          <w:w w:val="105"/>
                        </w:rPr>
                        <w:t>(6)</w:t>
                      </w:r>
                      <w:r>
                        <w:rPr>
                          <w:color w:val="000000"/>
                        </w:rPr>
                        <w:tab/>
                      </w:r>
                      <w:r>
                        <w:rPr>
                          <w:color w:val="000000"/>
                          <w:spacing w:val="-2"/>
                          <w:w w:val="105"/>
                        </w:rPr>
                        <w:t>Sales</w:t>
                      </w:r>
                    </w:p>
                  </w:txbxContent>
                </v:textbox>
                <v:fill type="solid"/>
                <w10:wrap type="topAndBottom"/>
              </v:shape>
            </w:pict>
          </mc:Fallback>
        </mc:AlternateContent>
      </w:r>
    </w:p>
    <w:p>
      <w:pPr>
        <w:pStyle w:val="BodyText"/>
        <w:tabs>
          <w:tab w:pos="7162" w:val="left" w:leader="none"/>
          <w:tab w:pos="7557" w:val="left" w:leader="none"/>
          <w:tab w:pos="8525" w:val="left" w:leader="none"/>
          <w:tab w:pos="8920" w:val="left" w:leader="none"/>
        </w:tabs>
        <w:spacing w:before="3" w:after="17"/>
        <w:ind w:left="5812"/>
      </w:pPr>
      <w:r>
        <w:rPr>
          <w:b/>
          <w:spacing w:val="-5"/>
          <w:w w:val="105"/>
        </w:rPr>
        <w:t>39</w:t>
      </w:r>
      <w:r>
        <w:rPr>
          <w:b/>
        </w:rPr>
        <w:tab/>
      </w:r>
      <w:r>
        <w:rPr>
          <w:spacing w:val="-5"/>
          <w:w w:val="105"/>
        </w:rPr>
        <w:t>13</w:t>
      </w:r>
      <w:r>
        <w:rPr/>
        <w:tab/>
      </w:r>
      <w:r>
        <w:rPr>
          <w:spacing w:val="-10"/>
          <w:w w:val="105"/>
        </w:rPr>
        <w:t>$</w:t>
      </w:r>
      <w:r>
        <w:rPr/>
        <w:tab/>
      </w:r>
      <w:r>
        <w:rPr>
          <w:spacing w:val="-5"/>
          <w:w w:val="105"/>
        </w:rPr>
        <w:t>11</w:t>
      </w:r>
      <w:r>
        <w:rPr/>
        <w:tab/>
      </w:r>
      <w:r>
        <w:rPr>
          <w:w w:val="105"/>
        </w:rPr>
        <w:t>Cost</w:t>
      </w:r>
      <w:r>
        <w:rPr>
          <w:spacing w:val="-6"/>
          <w:w w:val="105"/>
        </w:rPr>
        <w:t> </w:t>
      </w:r>
      <w:r>
        <w:rPr>
          <w:w w:val="105"/>
        </w:rPr>
        <w:t>of</w:t>
      </w:r>
      <w:r>
        <w:rPr>
          <w:spacing w:val="-5"/>
          <w:w w:val="105"/>
        </w:rPr>
        <w:t> </w:t>
      </w:r>
      <w:r>
        <w:rPr>
          <w:spacing w:val="-2"/>
          <w:w w:val="105"/>
        </w:rPr>
        <w:t>sales</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2"/>
        <w:gridCol w:w="2463"/>
        <w:gridCol w:w="1300"/>
        <w:gridCol w:w="1414"/>
        <w:gridCol w:w="2789"/>
      </w:tblGrid>
      <w:tr>
        <w:trPr>
          <w:trHeight w:val="216" w:hRule="atLeast"/>
        </w:trPr>
        <w:tc>
          <w:tcPr>
            <w:tcW w:w="3552" w:type="dxa"/>
            <w:shd w:val="clear" w:color="auto" w:fill="CCEDFF"/>
          </w:tcPr>
          <w:p>
            <w:pPr>
              <w:pStyle w:val="TableParagraph"/>
              <w:rPr>
                <w:sz w:val="14"/>
              </w:rPr>
            </w:pPr>
          </w:p>
        </w:tc>
        <w:tc>
          <w:tcPr>
            <w:tcW w:w="2463" w:type="dxa"/>
            <w:shd w:val="clear" w:color="auto" w:fill="CCEDFF"/>
          </w:tcPr>
          <w:p>
            <w:pPr>
              <w:pStyle w:val="TableParagraph"/>
              <w:tabs>
                <w:tab w:pos="2425" w:val="left" w:leader="none"/>
              </w:tabs>
              <w:spacing w:before="3"/>
              <w:ind w:left="1148"/>
              <w:rPr>
                <w:sz w:val="16"/>
              </w:rPr>
            </w:pPr>
            <w:r>
              <w:rPr>
                <w:w w:val="103"/>
                <w:sz w:val="16"/>
                <w:u w:val="single"/>
              </w:rPr>
              <w:t> </w:t>
            </w:r>
            <w:r>
              <w:rPr>
                <w:sz w:val="16"/>
                <w:u w:val="single"/>
              </w:rPr>
              <w:tab/>
            </w:r>
          </w:p>
        </w:tc>
        <w:tc>
          <w:tcPr>
            <w:tcW w:w="1300" w:type="dxa"/>
            <w:shd w:val="clear" w:color="auto" w:fill="CCEDFF"/>
          </w:tcPr>
          <w:p>
            <w:pPr>
              <w:pStyle w:val="TableParagraph"/>
              <w:tabs>
                <w:tab w:pos="899" w:val="left" w:leader="none"/>
              </w:tabs>
              <w:spacing w:before="3"/>
              <w:ind w:right="86"/>
              <w:jc w:val="right"/>
              <w:rPr>
                <w:sz w:val="16"/>
              </w:rPr>
            </w:pPr>
            <w:r>
              <w:rPr>
                <w:sz w:val="16"/>
                <w:u w:val="single"/>
              </w:rPr>
              <w:tab/>
            </w:r>
            <w:r>
              <w:rPr>
                <w:spacing w:val="-4"/>
                <w:w w:val="105"/>
                <w:sz w:val="16"/>
                <w:u w:val="single"/>
              </w:rPr>
              <w:t>(14)</w:t>
            </w:r>
          </w:p>
        </w:tc>
        <w:tc>
          <w:tcPr>
            <w:tcW w:w="1414" w:type="dxa"/>
            <w:shd w:val="clear" w:color="auto" w:fill="CCEDFF"/>
          </w:tcPr>
          <w:p>
            <w:pPr>
              <w:pStyle w:val="TableParagraph"/>
              <w:tabs>
                <w:tab w:pos="1375" w:val="left" w:leader="none"/>
              </w:tabs>
              <w:spacing w:before="3"/>
              <w:ind w:left="86"/>
              <w:rPr>
                <w:sz w:val="16"/>
              </w:rPr>
            </w:pPr>
            <w:r>
              <w:rPr>
                <w:w w:val="103"/>
                <w:sz w:val="16"/>
                <w:u w:val="single"/>
              </w:rPr>
              <w:t> </w:t>
            </w:r>
            <w:r>
              <w:rPr>
                <w:sz w:val="16"/>
                <w:u w:val="single"/>
              </w:rPr>
              <w:tab/>
            </w:r>
          </w:p>
        </w:tc>
        <w:tc>
          <w:tcPr>
            <w:tcW w:w="2789" w:type="dxa"/>
            <w:shd w:val="clear" w:color="auto" w:fill="CCEDFF"/>
          </w:tcPr>
          <w:p>
            <w:pPr>
              <w:pStyle w:val="TableParagraph"/>
              <w:spacing w:line="180" w:lineRule="exact" w:before="16"/>
              <w:ind w:left="35"/>
              <w:rPr>
                <w:sz w:val="16"/>
              </w:rPr>
            </w:pPr>
            <w:r>
              <w:rPr>
                <w:w w:val="105"/>
                <w:sz w:val="16"/>
              </w:rPr>
              <w:t>Other</w:t>
            </w:r>
            <w:r>
              <w:rPr>
                <w:spacing w:val="-11"/>
                <w:w w:val="105"/>
                <w:sz w:val="16"/>
              </w:rPr>
              <w:t> </w:t>
            </w:r>
            <w:r>
              <w:rPr>
                <w:w w:val="105"/>
                <w:sz w:val="16"/>
              </w:rPr>
              <w:t>expense,</w:t>
            </w:r>
            <w:r>
              <w:rPr>
                <w:spacing w:val="-10"/>
                <w:w w:val="105"/>
                <w:sz w:val="16"/>
              </w:rPr>
              <w:t> </w:t>
            </w:r>
            <w:r>
              <w:rPr>
                <w:spacing w:val="-5"/>
                <w:w w:val="105"/>
                <w:sz w:val="16"/>
              </w:rPr>
              <w:t>net</w:t>
            </w:r>
          </w:p>
        </w:tc>
      </w:tr>
      <w:tr>
        <w:trPr>
          <w:trHeight w:val="203" w:hRule="atLeast"/>
        </w:trPr>
        <w:tc>
          <w:tcPr>
            <w:tcW w:w="3552" w:type="dxa"/>
          </w:tcPr>
          <w:p>
            <w:pPr>
              <w:pStyle w:val="TableParagraph"/>
              <w:rPr>
                <w:sz w:val="14"/>
              </w:rPr>
            </w:pPr>
          </w:p>
        </w:tc>
        <w:tc>
          <w:tcPr>
            <w:tcW w:w="2463" w:type="dxa"/>
          </w:tcPr>
          <w:p>
            <w:pPr>
              <w:pStyle w:val="TableParagraph"/>
              <w:spacing w:line="180" w:lineRule="exact" w:before="3"/>
              <w:ind w:right="191"/>
              <w:jc w:val="right"/>
              <w:rPr>
                <w:b/>
                <w:sz w:val="16"/>
              </w:rPr>
            </w:pPr>
            <w:r>
              <w:rPr>
                <w:b/>
                <w:spacing w:val="-5"/>
                <w:w w:val="105"/>
                <w:sz w:val="16"/>
              </w:rPr>
              <w:t>53</w:t>
            </w:r>
          </w:p>
        </w:tc>
        <w:tc>
          <w:tcPr>
            <w:tcW w:w="1300" w:type="dxa"/>
          </w:tcPr>
          <w:p>
            <w:pPr>
              <w:pStyle w:val="TableParagraph"/>
              <w:spacing w:line="180" w:lineRule="exact" w:before="3"/>
              <w:ind w:right="86"/>
              <w:jc w:val="right"/>
              <w:rPr>
                <w:sz w:val="16"/>
              </w:rPr>
            </w:pPr>
            <w:r>
              <w:rPr>
                <w:spacing w:val="-5"/>
                <w:w w:val="105"/>
                <w:sz w:val="16"/>
              </w:rPr>
              <w:t>(7)</w:t>
            </w:r>
          </w:p>
        </w:tc>
        <w:tc>
          <w:tcPr>
            <w:tcW w:w="1414" w:type="dxa"/>
          </w:tcPr>
          <w:p>
            <w:pPr>
              <w:pStyle w:val="TableParagraph"/>
              <w:spacing w:line="180" w:lineRule="exact" w:before="3"/>
              <w:ind w:right="192"/>
              <w:jc w:val="right"/>
              <w:rPr>
                <w:sz w:val="16"/>
              </w:rPr>
            </w:pPr>
            <w:r>
              <w:rPr>
                <w:spacing w:val="-5"/>
                <w:w w:val="105"/>
                <w:sz w:val="16"/>
              </w:rPr>
              <w:t>11</w:t>
            </w:r>
          </w:p>
        </w:tc>
        <w:tc>
          <w:tcPr>
            <w:tcW w:w="2789" w:type="dxa"/>
          </w:tcPr>
          <w:p>
            <w:pPr>
              <w:pStyle w:val="TableParagraph"/>
              <w:spacing w:line="180" w:lineRule="exact" w:before="3"/>
              <w:ind w:left="35"/>
              <w:rPr>
                <w:sz w:val="16"/>
              </w:rPr>
            </w:pPr>
            <w:r>
              <w:rPr>
                <w:w w:val="105"/>
                <w:sz w:val="16"/>
              </w:rPr>
              <w:t>Total</w:t>
            </w:r>
            <w:r>
              <w:rPr>
                <w:spacing w:val="-9"/>
                <w:w w:val="105"/>
                <w:sz w:val="16"/>
              </w:rPr>
              <w:t> </w:t>
            </w:r>
            <w:r>
              <w:rPr>
                <w:w w:val="105"/>
                <w:sz w:val="16"/>
              </w:rPr>
              <w:t>before</w:t>
            </w:r>
            <w:r>
              <w:rPr>
                <w:spacing w:val="-8"/>
                <w:w w:val="105"/>
                <w:sz w:val="16"/>
              </w:rPr>
              <w:t> </w:t>
            </w:r>
            <w:r>
              <w:rPr>
                <w:spacing w:val="-5"/>
                <w:w w:val="105"/>
                <w:sz w:val="16"/>
              </w:rPr>
              <w:t>tax</w:t>
            </w:r>
          </w:p>
        </w:tc>
      </w:tr>
      <w:tr>
        <w:trPr>
          <w:trHeight w:val="202" w:hRule="atLeast"/>
        </w:trPr>
        <w:tc>
          <w:tcPr>
            <w:tcW w:w="3552" w:type="dxa"/>
            <w:shd w:val="clear" w:color="auto" w:fill="CCEDFF"/>
          </w:tcPr>
          <w:p>
            <w:pPr>
              <w:pStyle w:val="TableParagraph"/>
              <w:rPr>
                <w:sz w:val="14"/>
              </w:rPr>
            </w:pPr>
          </w:p>
        </w:tc>
        <w:tc>
          <w:tcPr>
            <w:tcW w:w="2463" w:type="dxa"/>
            <w:tcBorders>
              <w:bottom w:val="single" w:sz="6" w:space="0" w:color="000000"/>
            </w:tcBorders>
            <w:shd w:val="clear" w:color="auto" w:fill="CCEDFF"/>
          </w:tcPr>
          <w:p>
            <w:pPr>
              <w:pStyle w:val="TableParagraph"/>
              <w:spacing w:line="179" w:lineRule="exact" w:before="3"/>
              <w:ind w:right="136"/>
              <w:jc w:val="right"/>
              <w:rPr>
                <w:b/>
                <w:sz w:val="16"/>
              </w:rPr>
            </w:pPr>
            <w:r>
              <w:rPr>
                <w:b/>
                <w:spacing w:val="-5"/>
                <w:w w:val="105"/>
                <w:sz w:val="16"/>
              </w:rPr>
              <w:t>(1)</w:t>
            </w:r>
          </w:p>
        </w:tc>
        <w:tc>
          <w:tcPr>
            <w:tcW w:w="1300" w:type="dxa"/>
            <w:tcBorders>
              <w:bottom w:val="single" w:sz="6" w:space="0" w:color="000000"/>
            </w:tcBorders>
            <w:shd w:val="clear" w:color="auto" w:fill="CCEDFF"/>
          </w:tcPr>
          <w:p>
            <w:pPr>
              <w:pStyle w:val="TableParagraph"/>
              <w:spacing w:line="179" w:lineRule="exact" w:before="3"/>
              <w:ind w:right="141"/>
              <w:jc w:val="right"/>
              <w:rPr>
                <w:sz w:val="16"/>
              </w:rPr>
            </w:pPr>
            <w:r>
              <w:rPr>
                <w:spacing w:val="-10"/>
                <w:w w:val="105"/>
                <w:sz w:val="16"/>
              </w:rPr>
              <w:t>2</w:t>
            </w:r>
          </w:p>
        </w:tc>
        <w:tc>
          <w:tcPr>
            <w:tcW w:w="1414" w:type="dxa"/>
            <w:tcBorders>
              <w:bottom w:val="single" w:sz="6" w:space="0" w:color="000000"/>
            </w:tcBorders>
            <w:shd w:val="clear" w:color="auto" w:fill="CCEDFF"/>
          </w:tcPr>
          <w:p>
            <w:pPr>
              <w:pStyle w:val="TableParagraph"/>
              <w:spacing w:line="179" w:lineRule="exact" w:before="3"/>
              <w:ind w:right="137"/>
              <w:jc w:val="right"/>
              <w:rPr>
                <w:sz w:val="16"/>
              </w:rPr>
            </w:pPr>
            <w:r>
              <w:rPr>
                <w:spacing w:val="-5"/>
                <w:w w:val="105"/>
                <w:sz w:val="16"/>
              </w:rPr>
              <w:t>(2)</w:t>
            </w:r>
          </w:p>
        </w:tc>
        <w:tc>
          <w:tcPr>
            <w:tcW w:w="2789" w:type="dxa"/>
            <w:shd w:val="clear" w:color="auto" w:fill="CCEDFF"/>
          </w:tcPr>
          <w:p>
            <w:pPr>
              <w:pStyle w:val="TableParagraph"/>
              <w:spacing w:line="166" w:lineRule="exact" w:before="16"/>
              <w:ind w:left="35"/>
              <w:rPr>
                <w:sz w:val="16"/>
              </w:rPr>
            </w:pPr>
            <w:r>
              <w:rPr>
                <w:w w:val="105"/>
                <w:sz w:val="16"/>
              </w:rPr>
              <w:t>Tax</w:t>
            </w:r>
            <w:r>
              <w:rPr>
                <w:spacing w:val="-8"/>
                <w:w w:val="105"/>
                <w:sz w:val="16"/>
              </w:rPr>
              <w:t> </w:t>
            </w:r>
            <w:r>
              <w:rPr>
                <w:w w:val="105"/>
                <w:sz w:val="16"/>
              </w:rPr>
              <w:t>benefit</w:t>
            </w:r>
            <w:r>
              <w:rPr>
                <w:spacing w:val="-8"/>
                <w:w w:val="105"/>
                <w:sz w:val="16"/>
              </w:rPr>
              <w:t> </w:t>
            </w:r>
            <w:r>
              <w:rPr>
                <w:spacing w:val="-2"/>
                <w:w w:val="105"/>
                <w:sz w:val="16"/>
              </w:rPr>
              <w:t>(expense)</w:t>
            </w:r>
          </w:p>
        </w:tc>
      </w:tr>
      <w:tr>
        <w:trPr>
          <w:trHeight w:val="199" w:hRule="atLeast"/>
        </w:trPr>
        <w:tc>
          <w:tcPr>
            <w:tcW w:w="3552" w:type="dxa"/>
          </w:tcPr>
          <w:p>
            <w:pPr>
              <w:pStyle w:val="TableParagraph"/>
              <w:rPr>
                <w:sz w:val="12"/>
              </w:rPr>
            </w:pPr>
          </w:p>
        </w:tc>
        <w:tc>
          <w:tcPr>
            <w:tcW w:w="2463" w:type="dxa"/>
            <w:tcBorders>
              <w:top w:val="single" w:sz="6" w:space="0" w:color="000000"/>
              <w:bottom w:val="double" w:sz="6" w:space="0" w:color="000000"/>
            </w:tcBorders>
          </w:tcPr>
          <w:p>
            <w:pPr>
              <w:pStyle w:val="TableParagraph"/>
              <w:tabs>
                <w:tab w:pos="2103" w:val="left" w:leader="none"/>
              </w:tabs>
              <w:spacing w:line="177" w:lineRule="exact" w:before="2"/>
              <w:ind w:left="1148"/>
              <w:rPr>
                <w:b/>
                <w:sz w:val="16"/>
              </w:rPr>
            </w:pPr>
            <w:r>
              <w:rPr>
                <w:b/>
                <w:spacing w:val="-10"/>
                <w:w w:val="105"/>
                <w:sz w:val="16"/>
              </w:rPr>
              <w:t>$</w:t>
            </w:r>
            <w:r>
              <w:rPr>
                <w:b/>
                <w:sz w:val="16"/>
              </w:rPr>
              <w:tab/>
            </w:r>
            <w:r>
              <w:rPr>
                <w:b/>
                <w:spacing w:val="-5"/>
                <w:w w:val="105"/>
                <w:sz w:val="16"/>
              </w:rPr>
              <w:t>52</w:t>
            </w:r>
          </w:p>
        </w:tc>
        <w:tc>
          <w:tcPr>
            <w:tcW w:w="1300" w:type="dxa"/>
            <w:tcBorders>
              <w:top w:val="single" w:sz="6" w:space="0" w:color="000000"/>
              <w:bottom w:val="double" w:sz="6" w:space="0" w:color="000000"/>
            </w:tcBorders>
          </w:tcPr>
          <w:p>
            <w:pPr>
              <w:pStyle w:val="TableParagraph"/>
              <w:tabs>
                <w:tab w:pos="982" w:val="left" w:leader="none"/>
              </w:tabs>
              <w:spacing w:line="177" w:lineRule="exact" w:before="2"/>
              <w:ind w:right="86"/>
              <w:jc w:val="right"/>
              <w:rPr>
                <w:sz w:val="16"/>
              </w:rPr>
            </w:pPr>
            <w:r>
              <w:rPr>
                <w:spacing w:val="-10"/>
                <w:w w:val="105"/>
                <w:sz w:val="16"/>
              </w:rPr>
              <w:t>$</w:t>
            </w:r>
            <w:r>
              <w:rPr>
                <w:sz w:val="16"/>
              </w:rPr>
              <w:tab/>
            </w:r>
            <w:r>
              <w:rPr>
                <w:spacing w:val="-5"/>
                <w:w w:val="105"/>
                <w:sz w:val="16"/>
              </w:rPr>
              <w:t>(5)</w:t>
            </w:r>
          </w:p>
        </w:tc>
        <w:tc>
          <w:tcPr>
            <w:tcW w:w="1414" w:type="dxa"/>
            <w:tcBorders>
              <w:top w:val="single" w:sz="6" w:space="0" w:color="000000"/>
              <w:bottom w:val="double" w:sz="6" w:space="0" w:color="000000"/>
            </w:tcBorders>
          </w:tcPr>
          <w:p>
            <w:pPr>
              <w:pStyle w:val="TableParagraph"/>
              <w:tabs>
                <w:tab w:pos="1136" w:val="left" w:leader="none"/>
              </w:tabs>
              <w:spacing w:line="177" w:lineRule="exact" w:before="2"/>
              <w:ind w:left="86"/>
              <w:rPr>
                <w:sz w:val="16"/>
              </w:rPr>
            </w:pPr>
            <w:r>
              <w:rPr>
                <w:spacing w:val="-10"/>
                <w:w w:val="105"/>
                <w:sz w:val="16"/>
              </w:rPr>
              <w:t>$</w:t>
            </w:r>
            <w:r>
              <w:rPr>
                <w:sz w:val="16"/>
              </w:rPr>
              <w:tab/>
            </w:r>
            <w:r>
              <w:rPr>
                <w:spacing w:val="-12"/>
                <w:w w:val="105"/>
                <w:sz w:val="16"/>
              </w:rPr>
              <w:t>9</w:t>
            </w:r>
          </w:p>
        </w:tc>
        <w:tc>
          <w:tcPr>
            <w:tcW w:w="2789" w:type="dxa"/>
          </w:tcPr>
          <w:p>
            <w:pPr>
              <w:pStyle w:val="TableParagraph"/>
              <w:spacing w:line="139" w:lineRule="exact" w:before="40"/>
              <w:ind w:left="35"/>
              <w:rPr>
                <w:sz w:val="16"/>
              </w:rPr>
            </w:pPr>
            <w:r>
              <w:rPr>
                <w:w w:val="105"/>
                <w:sz w:val="16"/>
              </w:rPr>
              <w:t>Net</w:t>
            </w:r>
            <w:r>
              <w:rPr>
                <w:spacing w:val="-5"/>
                <w:w w:val="105"/>
                <w:sz w:val="16"/>
              </w:rPr>
              <w:t> </w:t>
            </w:r>
            <w:r>
              <w:rPr>
                <w:w w:val="105"/>
                <w:sz w:val="16"/>
              </w:rPr>
              <w:t>of</w:t>
            </w:r>
            <w:r>
              <w:rPr>
                <w:spacing w:val="-5"/>
                <w:w w:val="105"/>
                <w:sz w:val="16"/>
              </w:rPr>
              <w:t> tax</w:t>
            </w:r>
          </w:p>
        </w:tc>
      </w:tr>
      <w:tr>
        <w:trPr>
          <w:trHeight w:val="200" w:hRule="atLeast"/>
        </w:trPr>
        <w:tc>
          <w:tcPr>
            <w:tcW w:w="3552" w:type="dxa"/>
            <w:shd w:val="clear" w:color="auto" w:fill="CCEDFF"/>
          </w:tcPr>
          <w:p>
            <w:pPr>
              <w:pStyle w:val="TableParagraph"/>
              <w:rPr>
                <w:sz w:val="12"/>
              </w:rPr>
            </w:pPr>
          </w:p>
        </w:tc>
        <w:tc>
          <w:tcPr>
            <w:tcW w:w="2463" w:type="dxa"/>
            <w:tcBorders>
              <w:top w:val="double" w:sz="6" w:space="0" w:color="000000"/>
            </w:tcBorders>
            <w:shd w:val="clear" w:color="auto" w:fill="CCEDFF"/>
          </w:tcPr>
          <w:p>
            <w:pPr>
              <w:pStyle w:val="TableParagraph"/>
              <w:rPr>
                <w:sz w:val="12"/>
              </w:rPr>
            </w:pPr>
          </w:p>
        </w:tc>
        <w:tc>
          <w:tcPr>
            <w:tcW w:w="1300" w:type="dxa"/>
            <w:tcBorders>
              <w:top w:val="double" w:sz="6" w:space="0" w:color="000000"/>
            </w:tcBorders>
            <w:shd w:val="clear" w:color="auto" w:fill="CCEDFF"/>
          </w:tcPr>
          <w:p>
            <w:pPr>
              <w:pStyle w:val="TableParagraph"/>
              <w:rPr>
                <w:sz w:val="12"/>
              </w:rPr>
            </w:pPr>
          </w:p>
        </w:tc>
        <w:tc>
          <w:tcPr>
            <w:tcW w:w="1414" w:type="dxa"/>
            <w:tcBorders>
              <w:top w:val="double" w:sz="6" w:space="0" w:color="000000"/>
            </w:tcBorders>
            <w:shd w:val="clear" w:color="auto" w:fill="CCEDFF"/>
          </w:tcPr>
          <w:p>
            <w:pPr>
              <w:pStyle w:val="TableParagraph"/>
              <w:rPr>
                <w:sz w:val="12"/>
              </w:rPr>
            </w:pPr>
          </w:p>
        </w:tc>
        <w:tc>
          <w:tcPr>
            <w:tcW w:w="2789" w:type="dxa"/>
            <w:shd w:val="clear" w:color="auto" w:fill="CCEDFF"/>
          </w:tcPr>
          <w:p>
            <w:pPr>
              <w:pStyle w:val="TableParagraph"/>
              <w:rPr>
                <w:sz w:val="12"/>
              </w:rPr>
            </w:pPr>
          </w:p>
        </w:tc>
      </w:tr>
      <w:tr>
        <w:trPr>
          <w:trHeight w:val="200" w:hRule="atLeast"/>
        </w:trPr>
        <w:tc>
          <w:tcPr>
            <w:tcW w:w="3552" w:type="dxa"/>
            <w:tcBorders>
              <w:bottom w:val="double" w:sz="6" w:space="0" w:color="000000"/>
            </w:tcBorders>
          </w:tcPr>
          <w:p>
            <w:pPr>
              <w:pStyle w:val="TableParagraph"/>
              <w:spacing w:line="177" w:lineRule="exact" w:before="3"/>
              <w:rPr>
                <w:sz w:val="16"/>
              </w:rPr>
            </w:pPr>
            <w:r>
              <w:rPr>
                <w:spacing w:val="-2"/>
                <w:w w:val="105"/>
                <w:sz w:val="16"/>
              </w:rPr>
              <w:t>Total</w:t>
            </w:r>
            <w:r>
              <w:rPr>
                <w:spacing w:val="1"/>
                <w:w w:val="105"/>
                <w:sz w:val="16"/>
              </w:rPr>
              <w:t> </w:t>
            </w:r>
            <w:r>
              <w:rPr>
                <w:spacing w:val="-2"/>
                <w:w w:val="105"/>
                <w:sz w:val="16"/>
              </w:rPr>
              <w:t>reclassifications</w:t>
            </w:r>
            <w:r>
              <w:rPr>
                <w:spacing w:val="4"/>
                <w:w w:val="105"/>
                <w:sz w:val="16"/>
              </w:rPr>
              <w:t> </w:t>
            </w:r>
            <w:r>
              <w:rPr>
                <w:spacing w:val="-2"/>
                <w:w w:val="105"/>
                <w:sz w:val="16"/>
              </w:rPr>
              <w:t>for</w:t>
            </w:r>
            <w:r>
              <w:rPr>
                <w:spacing w:val="3"/>
                <w:w w:val="105"/>
                <w:sz w:val="16"/>
              </w:rPr>
              <w:t> </w:t>
            </w:r>
            <w:r>
              <w:rPr>
                <w:spacing w:val="-2"/>
                <w:w w:val="105"/>
                <w:sz w:val="16"/>
              </w:rPr>
              <w:t>the</w:t>
            </w:r>
            <w:r>
              <w:rPr>
                <w:spacing w:val="4"/>
                <w:w w:val="105"/>
                <w:sz w:val="16"/>
              </w:rPr>
              <w:t> </w:t>
            </w:r>
            <w:r>
              <w:rPr>
                <w:spacing w:val="-2"/>
                <w:w w:val="105"/>
                <w:sz w:val="16"/>
              </w:rPr>
              <w:t>period</w:t>
            </w:r>
          </w:p>
        </w:tc>
        <w:tc>
          <w:tcPr>
            <w:tcW w:w="2463" w:type="dxa"/>
            <w:tcBorders>
              <w:bottom w:val="double" w:sz="6" w:space="0" w:color="000000"/>
            </w:tcBorders>
          </w:tcPr>
          <w:p>
            <w:pPr>
              <w:pStyle w:val="TableParagraph"/>
              <w:tabs>
                <w:tab w:pos="2103" w:val="left" w:leader="none"/>
              </w:tabs>
              <w:spacing w:line="177" w:lineRule="exact" w:before="3"/>
              <w:ind w:left="1148"/>
              <w:rPr>
                <w:b/>
                <w:sz w:val="16"/>
              </w:rPr>
            </w:pPr>
            <w:r>
              <w:rPr>
                <w:b/>
                <w:spacing w:val="-10"/>
                <w:w w:val="105"/>
                <w:sz w:val="16"/>
              </w:rPr>
              <w:t>$</w:t>
            </w:r>
            <w:r>
              <w:rPr>
                <w:b/>
                <w:sz w:val="16"/>
              </w:rPr>
              <w:tab/>
            </w:r>
            <w:r>
              <w:rPr>
                <w:b/>
                <w:spacing w:val="-5"/>
                <w:w w:val="105"/>
                <w:sz w:val="16"/>
              </w:rPr>
              <w:t>52</w:t>
            </w:r>
          </w:p>
        </w:tc>
        <w:tc>
          <w:tcPr>
            <w:tcW w:w="1300" w:type="dxa"/>
            <w:tcBorders>
              <w:bottom w:val="double" w:sz="6" w:space="0" w:color="000000"/>
            </w:tcBorders>
          </w:tcPr>
          <w:p>
            <w:pPr>
              <w:pStyle w:val="TableParagraph"/>
              <w:tabs>
                <w:tab w:pos="899" w:val="left" w:leader="none"/>
              </w:tabs>
              <w:spacing w:line="177" w:lineRule="exact" w:before="3"/>
              <w:ind w:right="86"/>
              <w:jc w:val="right"/>
              <w:rPr>
                <w:sz w:val="16"/>
              </w:rPr>
            </w:pPr>
            <w:r>
              <w:rPr>
                <w:spacing w:val="-10"/>
                <w:w w:val="105"/>
                <w:sz w:val="16"/>
              </w:rPr>
              <w:t>$</w:t>
            </w:r>
            <w:r>
              <w:rPr>
                <w:sz w:val="16"/>
              </w:rPr>
              <w:tab/>
            </w:r>
            <w:r>
              <w:rPr>
                <w:spacing w:val="-4"/>
                <w:w w:val="105"/>
                <w:sz w:val="16"/>
              </w:rPr>
              <w:t>(23)</w:t>
            </w:r>
          </w:p>
        </w:tc>
        <w:tc>
          <w:tcPr>
            <w:tcW w:w="1414" w:type="dxa"/>
            <w:tcBorders>
              <w:bottom w:val="double" w:sz="6" w:space="0" w:color="000000"/>
            </w:tcBorders>
          </w:tcPr>
          <w:p>
            <w:pPr>
              <w:pStyle w:val="TableParagraph"/>
              <w:tabs>
                <w:tab w:pos="1081" w:val="left" w:leader="none"/>
              </w:tabs>
              <w:spacing w:line="177" w:lineRule="exact" w:before="3"/>
              <w:ind w:left="86"/>
              <w:rPr>
                <w:sz w:val="16"/>
              </w:rPr>
            </w:pPr>
            <w:r>
              <w:rPr>
                <w:spacing w:val="-10"/>
                <w:w w:val="105"/>
                <w:sz w:val="16"/>
              </w:rPr>
              <w:t>$</w:t>
            </w:r>
            <w:r>
              <w:rPr>
                <w:sz w:val="16"/>
              </w:rPr>
              <w:tab/>
            </w:r>
            <w:r>
              <w:rPr>
                <w:spacing w:val="-5"/>
                <w:w w:val="105"/>
                <w:sz w:val="16"/>
              </w:rPr>
              <w:t>(6)</w:t>
            </w:r>
          </w:p>
        </w:tc>
        <w:tc>
          <w:tcPr>
            <w:tcW w:w="2789" w:type="dxa"/>
            <w:tcBorders>
              <w:bottom w:val="double" w:sz="6" w:space="0" w:color="000000"/>
            </w:tcBorders>
          </w:tcPr>
          <w:p>
            <w:pPr>
              <w:pStyle w:val="TableParagraph"/>
              <w:spacing w:line="177" w:lineRule="exact" w:before="3"/>
              <w:ind w:left="35"/>
              <w:rPr>
                <w:sz w:val="16"/>
              </w:rPr>
            </w:pPr>
            <w:r>
              <w:rPr>
                <w:w w:val="105"/>
                <w:sz w:val="16"/>
              </w:rPr>
              <w:t>Net</w:t>
            </w:r>
            <w:r>
              <w:rPr>
                <w:spacing w:val="-5"/>
                <w:w w:val="105"/>
                <w:sz w:val="16"/>
              </w:rPr>
              <w:t> </w:t>
            </w:r>
            <w:r>
              <w:rPr>
                <w:w w:val="105"/>
                <w:sz w:val="16"/>
              </w:rPr>
              <w:t>of</w:t>
            </w:r>
            <w:r>
              <w:rPr>
                <w:spacing w:val="-5"/>
                <w:w w:val="105"/>
                <w:sz w:val="16"/>
              </w:rPr>
              <w:t> tax</w:t>
            </w:r>
          </w:p>
        </w:tc>
      </w:tr>
    </w:tbl>
    <w:p>
      <w:pPr>
        <w:pStyle w:val="BodyText"/>
        <w:spacing w:before="16"/>
      </w:pPr>
    </w:p>
    <w:p>
      <w:pPr>
        <w:pStyle w:val="ListParagraph"/>
        <w:numPr>
          <w:ilvl w:val="0"/>
          <w:numId w:val="58"/>
        </w:numPr>
        <w:tabs>
          <w:tab w:pos="460" w:val="left" w:leader="none"/>
        </w:tabs>
        <w:spacing w:line="157" w:lineRule="exact" w:before="0" w:after="0"/>
        <w:ind w:left="460" w:right="0" w:hanging="304"/>
        <w:jc w:val="left"/>
        <w:rPr>
          <w:sz w:val="14"/>
        </w:rPr>
      </w:pPr>
      <w:r>
        <w:rPr>
          <w:sz w:val="14"/>
        </w:rPr>
        <w:t>Amounts</w:t>
      </w:r>
      <w:r>
        <w:rPr>
          <w:spacing w:val="-3"/>
          <w:sz w:val="14"/>
        </w:rPr>
        <w:t> </w:t>
      </w:r>
      <w:r>
        <w:rPr>
          <w:sz w:val="14"/>
        </w:rPr>
        <w:t>in</w:t>
      </w:r>
      <w:r>
        <w:rPr>
          <w:spacing w:val="-2"/>
          <w:sz w:val="14"/>
        </w:rPr>
        <w:t> </w:t>
      </w:r>
      <w:r>
        <w:rPr>
          <w:sz w:val="14"/>
        </w:rPr>
        <w:t>parentheses</w:t>
      </w:r>
      <w:r>
        <w:rPr>
          <w:spacing w:val="-2"/>
          <w:sz w:val="14"/>
        </w:rPr>
        <w:t> </w:t>
      </w:r>
      <w:r>
        <w:rPr>
          <w:sz w:val="14"/>
        </w:rPr>
        <w:t>indicate</w:t>
      </w:r>
      <w:r>
        <w:rPr>
          <w:spacing w:val="-2"/>
          <w:sz w:val="14"/>
        </w:rPr>
        <w:t> </w:t>
      </w:r>
      <w:r>
        <w:rPr>
          <w:sz w:val="14"/>
        </w:rPr>
        <w:t>debits</w:t>
      </w:r>
      <w:r>
        <w:rPr>
          <w:spacing w:val="-3"/>
          <w:sz w:val="14"/>
        </w:rPr>
        <w:t> </w:t>
      </w:r>
      <w:r>
        <w:rPr>
          <w:sz w:val="14"/>
        </w:rPr>
        <w:t>to</w:t>
      </w:r>
      <w:r>
        <w:rPr>
          <w:spacing w:val="-2"/>
          <w:sz w:val="14"/>
        </w:rPr>
        <w:t> </w:t>
      </w:r>
      <w:r>
        <w:rPr>
          <w:sz w:val="14"/>
        </w:rPr>
        <w:t>the</w:t>
      </w:r>
      <w:r>
        <w:rPr>
          <w:spacing w:val="-2"/>
          <w:sz w:val="14"/>
        </w:rPr>
        <w:t> </w:t>
      </w:r>
      <w:r>
        <w:rPr>
          <w:sz w:val="14"/>
        </w:rPr>
        <w:t>statement</w:t>
      </w:r>
      <w:r>
        <w:rPr>
          <w:spacing w:val="-2"/>
          <w:sz w:val="14"/>
        </w:rPr>
        <w:t> </w:t>
      </w:r>
      <w:r>
        <w:rPr>
          <w:sz w:val="14"/>
        </w:rPr>
        <w:t>of</w:t>
      </w:r>
      <w:r>
        <w:rPr>
          <w:spacing w:val="-2"/>
          <w:sz w:val="14"/>
        </w:rPr>
        <w:t> income.</w:t>
      </w:r>
    </w:p>
    <w:p>
      <w:pPr>
        <w:pStyle w:val="ListParagraph"/>
        <w:numPr>
          <w:ilvl w:val="0"/>
          <w:numId w:val="58"/>
        </w:numPr>
        <w:tabs>
          <w:tab w:pos="460" w:val="left" w:leader="none"/>
          <w:tab w:pos="462" w:val="left" w:leader="none"/>
        </w:tabs>
        <w:spacing w:line="228" w:lineRule="auto" w:before="2" w:after="0"/>
        <w:ind w:left="462" w:right="621" w:hanging="306"/>
        <w:jc w:val="left"/>
        <w:rPr>
          <w:sz w:val="14"/>
        </w:rPr>
      </w:pPr>
      <w:r>
        <w:rPr>
          <w:sz w:val="14"/>
        </w:rPr>
        <w:t>These</w:t>
      </w:r>
      <w:r>
        <w:rPr>
          <w:spacing w:val="-1"/>
          <w:sz w:val="14"/>
        </w:rPr>
        <w:t> </w:t>
      </w:r>
      <w:r>
        <w:rPr>
          <w:sz w:val="14"/>
        </w:rPr>
        <w:t>accumulated</w:t>
      </w:r>
      <w:r>
        <w:rPr>
          <w:spacing w:val="-1"/>
          <w:sz w:val="14"/>
        </w:rPr>
        <w:t> </w:t>
      </w:r>
      <w:r>
        <w:rPr>
          <w:sz w:val="14"/>
        </w:rPr>
        <w:t>other</w:t>
      </w:r>
      <w:r>
        <w:rPr>
          <w:spacing w:val="-1"/>
          <w:sz w:val="14"/>
        </w:rPr>
        <w:t> </w:t>
      </w:r>
      <w:r>
        <w:rPr>
          <w:sz w:val="14"/>
        </w:rPr>
        <w:t>comprehensive</w:t>
      </w:r>
      <w:r>
        <w:rPr>
          <w:spacing w:val="-1"/>
          <w:sz w:val="14"/>
        </w:rPr>
        <w:t> </w:t>
      </w:r>
      <w:r>
        <w:rPr>
          <w:sz w:val="14"/>
        </w:rPr>
        <w:t>loss</w:t>
      </w:r>
      <w:r>
        <w:rPr>
          <w:spacing w:val="-1"/>
          <w:sz w:val="14"/>
        </w:rPr>
        <w:t> </w:t>
      </w:r>
      <w:r>
        <w:rPr>
          <w:sz w:val="14"/>
        </w:rPr>
        <w:t>components</w:t>
      </w:r>
      <w:r>
        <w:rPr>
          <w:spacing w:val="-1"/>
          <w:sz w:val="14"/>
        </w:rPr>
        <w:t> </w:t>
      </w:r>
      <w:r>
        <w:rPr>
          <w:sz w:val="14"/>
        </w:rPr>
        <w:t>are</w:t>
      </w:r>
      <w:r>
        <w:rPr>
          <w:spacing w:val="-1"/>
          <w:sz w:val="14"/>
        </w:rPr>
        <w:t> </w:t>
      </w:r>
      <w:r>
        <w:rPr>
          <w:sz w:val="14"/>
        </w:rPr>
        <w:t>included</w:t>
      </w:r>
      <w:r>
        <w:rPr>
          <w:spacing w:val="-1"/>
          <w:sz w:val="14"/>
        </w:rPr>
        <w:t> </w:t>
      </w:r>
      <w:r>
        <w:rPr>
          <w:sz w:val="14"/>
        </w:rPr>
        <w:t>in</w:t>
      </w:r>
      <w:r>
        <w:rPr>
          <w:spacing w:val="-1"/>
          <w:sz w:val="14"/>
        </w:rPr>
        <w:t> </w:t>
      </w:r>
      <w:r>
        <w:rPr>
          <w:sz w:val="14"/>
        </w:rPr>
        <w:t>net</w:t>
      </w:r>
      <w:r>
        <w:rPr>
          <w:spacing w:val="-1"/>
          <w:sz w:val="14"/>
        </w:rPr>
        <w:t> </w:t>
      </w:r>
      <w:r>
        <w:rPr>
          <w:sz w:val="14"/>
        </w:rPr>
        <w:t>periodic</w:t>
      </w:r>
      <w:r>
        <w:rPr>
          <w:spacing w:val="-1"/>
          <w:sz w:val="14"/>
        </w:rPr>
        <w:t> </w:t>
      </w:r>
      <w:r>
        <w:rPr>
          <w:sz w:val="14"/>
        </w:rPr>
        <w:t>pension</w:t>
      </w:r>
      <w:r>
        <w:rPr>
          <w:spacing w:val="-1"/>
          <w:sz w:val="14"/>
        </w:rPr>
        <w:t> </w:t>
      </w:r>
      <w:r>
        <w:rPr>
          <w:sz w:val="14"/>
        </w:rPr>
        <w:t>cost.</w:t>
      </w:r>
      <w:r>
        <w:rPr>
          <w:spacing w:val="-1"/>
          <w:sz w:val="14"/>
        </w:rPr>
        <w:t> </w:t>
      </w:r>
      <w:r>
        <w:rPr>
          <w:sz w:val="14"/>
        </w:rPr>
        <w:t>Refer</w:t>
      </w:r>
      <w:r>
        <w:rPr>
          <w:spacing w:val="-1"/>
          <w:sz w:val="14"/>
        </w:rPr>
        <w:t> </w:t>
      </w:r>
      <w:r>
        <w:rPr>
          <w:sz w:val="14"/>
        </w:rPr>
        <w:t>to</w:t>
      </w:r>
      <w:r>
        <w:rPr>
          <w:spacing w:val="-1"/>
          <w:sz w:val="14"/>
        </w:rPr>
        <w:t> </w:t>
      </w:r>
      <w:r>
        <w:rPr>
          <w:sz w:val="14"/>
        </w:rPr>
        <w:t>Note</w:t>
      </w:r>
      <w:r>
        <w:rPr>
          <w:spacing w:val="-5"/>
          <w:sz w:val="14"/>
        </w:rPr>
        <w:t> </w:t>
      </w:r>
      <w:r>
        <w:rPr>
          <w:sz w:val="14"/>
        </w:rPr>
        <w:t>13</w:t>
      </w:r>
      <w:r>
        <w:rPr>
          <w:spacing w:val="-1"/>
          <w:sz w:val="14"/>
        </w:rPr>
        <w:t> </w:t>
      </w:r>
      <w:r>
        <w:rPr>
          <w:sz w:val="14"/>
        </w:rPr>
        <w:t>(Employee</w:t>
      </w:r>
      <w:r>
        <w:rPr>
          <w:spacing w:val="-1"/>
          <w:sz w:val="14"/>
        </w:rPr>
        <w:t> </w:t>
      </w:r>
      <w:r>
        <w:rPr>
          <w:sz w:val="14"/>
        </w:rPr>
        <w:t>Retirement</w:t>
      </w:r>
      <w:r>
        <w:rPr>
          <w:spacing w:val="-1"/>
          <w:sz w:val="14"/>
        </w:rPr>
        <w:t> </w:t>
      </w:r>
      <w:r>
        <w:rPr>
          <w:sz w:val="14"/>
        </w:rPr>
        <w:t>Plans)</w:t>
      </w:r>
      <w:r>
        <w:rPr>
          <w:spacing w:val="-1"/>
          <w:sz w:val="14"/>
        </w:rPr>
        <w:t> </w:t>
      </w:r>
      <w:r>
        <w:rPr>
          <w:sz w:val="14"/>
        </w:rPr>
        <w:t>to</w:t>
      </w:r>
      <w:r>
        <w:rPr>
          <w:spacing w:val="-1"/>
          <w:sz w:val="14"/>
        </w:rPr>
        <w:t> </w:t>
      </w:r>
      <w:r>
        <w:rPr>
          <w:sz w:val="14"/>
        </w:rPr>
        <w:t>the</w:t>
      </w:r>
      <w:r>
        <w:rPr>
          <w:spacing w:val="-1"/>
          <w:sz w:val="14"/>
        </w:rPr>
        <w:t> </w:t>
      </w:r>
      <w:r>
        <w:rPr>
          <w:sz w:val="14"/>
        </w:rPr>
        <w:t>consolidated</w:t>
      </w:r>
      <w:r>
        <w:rPr>
          <w:spacing w:val="-1"/>
          <w:sz w:val="14"/>
        </w:rPr>
        <w:t> </w:t>
      </w:r>
      <w:r>
        <w:rPr>
          <w:sz w:val="14"/>
        </w:rPr>
        <w:t>financial</w:t>
      </w:r>
      <w:r>
        <w:rPr>
          <w:spacing w:val="-1"/>
          <w:sz w:val="14"/>
        </w:rPr>
        <w:t> </w:t>
      </w:r>
      <w:r>
        <w:rPr>
          <w:sz w:val="14"/>
        </w:rPr>
        <w:t>statements</w:t>
      </w:r>
      <w:r>
        <w:rPr>
          <w:spacing w:val="-1"/>
          <w:sz w:val="14"/>
        </w:rPr>
        <w:t> </w:t>
      </w:r>
      <w:r>
        <w:rPr>
          <w:sz w:val="14"/>
        </w:rPr>
        <w:t>for</w:t>
      </w:r>
      <w:r>
        <w:rPr>
          <w:spacing w:val="40"/>
          <w:sz w:val="14"/>
        </w:rPr>
        <w:t> </w:t>
      </w:r>
      <w:r>
        <w:rPr>
          <w:sz w:val="14"/>
        </w:rPr>
        <w:t>additional</w:t>
      </w:r>
      <w:r>
        <w:rPr>
          <w:spacing w:val="-6"/>
          <w:sz w:val="14"/>
        </w:rPr>
        <w:t> </w:t>
      </w:r>
      <w:r>
        <w:rPr>
          <w:sz w:val="14"/>
        </w:rPr>
        <w:t>details.</w:t>
      </w:r>
    </w:p>
    <w:p>
      <w:pPr>
        <w:pStyle w:val="ListParagraph"/>
        <w:numPr>
          <w:ilvl w:val="0"/>
          <w:numId w:val="58"/>
        </w:numPr>
        <w:tabs>
          <w:tab w:pos="460" w:val="left" w:leader="none"/>
          <w:tab w:pos="462" w:val="left" w:leader="none"/>
        </w:tabs>
        <w:spacing w:line="228" w:lineRule="auto" w:before="0" w:after="0"/>
        <w:ind w:left="462" w:right="527" w:hanging="306"/>
        <w:jc w:val="left"/>
        <w:rPr>
          <w:sz w:val="14"/>
        </w:rPr>
      </w:pPr>
      <w:r>
        <w:rPr>
          <w:sz w:val="14"/>
        </w:rPr>
        <w:t>Includes</w:t>
      </w:r>
      <w:r>
        <w:rPr>
          <w:spacing w:val="-1"/>
          <w:sz w:val="14"/>
        </w:rPr>
        <w:t> </w:t>
      </w:r>
      <w:r>
        <w:rPr>
          <w:sz w:val="14"/>
        </w:rPr>
        <w:t>$52</w:t>
      </w:r>
      <w:r>
        <w:rPr>
          <w:spacing w:val="-1"/>
          <w:sz w:val="14"/>
        </w:rPr>
        <w:t> </w:t>
      </w:r>
      <w:r>
        <w:rPr>
          <w:sz w:val="14"/>
        </w:rPr>
        <w:t>million</w:t>
      </w:r>
      <w:r>
        <w:rPr>
          <w:spacing w:val="-1"/>
          <w:sz w:val="14"/>
        </w:rPr>
        <w:t> </w:t>
      </w:r>
      <w:r>
        <w:rPr>
          <w:sz w:val="14"/>
        </w:rPr>
        <w:t>that</w:t>
      </w:r>
      <w:r>
        <w:rPr>
          <w:spacing w:val="-1"/>
          <w:sz w:val="14"/>
        </w:rPr>
        <w:t> </w:t>
      </w:r>
      <w:r>
        <w:rPr>
          <w:sz w:val="14"/>
        </w:rPr>
        <w:t>was</w:t>
      </w:r>
      <w:r>
        <w:rPr>
          <w:spacing w:val="-1"/>
          <w:sz w:val="14"/>
        </w:rPr>
        <w:t> </w:t>
      </w:r>
      <w:r>
        <w:rPr>
          <w:sz w:val="14"/>
        </w:rPr>
        <w:t>recognized</w:t>
      </w:r>
      <w:r>
        <w:rPr>
          <w:spacing w:val="-1"/>
          <w:sz w:val="14"/>
        </w:rPr>
        <w:t> </w:t>
      </w:r>
      <w:r>
        <w:rPr>
          <w:sz w:val="14"/>
        </w:rPr>
        <w:t>during</w:t>
      </w:r>
      <w:r>
        <w:rPr>
          <w:spacing w:val="-1"/>
          <w:sz w:val="14"/>
        </w:rPr>
        <w:t> </w:t>
      </w:r>
      <w:r>
        <w:rPr>
          <w:sz w:val="14"/>
        </w:rPr>
        <w:t>the</w:t>
      </w:r>
      <w:r>
        <w:rPr>
          <w:spacing w:val="-2"/>
          <w:sz w:val="14"/>
        </w:rPr>
        <w:t> </w:t>
      </w:r>
      <w:r>
        <w:rPr>
          <w:sz w:val="14"/>
        </w:rPr>
        <w:t>first</w:t>
      </w:r>
      <w:r>
        <w:rPr>
          <w:spacing w:val="-1"/>
          <w:sz w:val="14"/>
        </w:rPr>
        <w:t> </w:t>
      </w:r>
      <w:r>
        <w:rPr>
          <w:sz w:val="14"/>
        </w:rPr>
        <w:t>quarter</w:t>
      </w:r>
      <w:r>
        <w:rPr>
          <w:spacing w:val="-2"/>
          <w:sz w:val="14"/>
        </w:rPr>
        <w:t> </w:t>
      </w:r>
      <w:r>
        <w:rPr>
          <w:sz w:val="14"/>
        </w:rPr>
        <w:t>of 2019</w:t>
      </w:r>
      <w:r>
        <w:rPr>
          <w:spacing w:val="-1"/>
          <w:sz w:val="14"/>
        </w:rPr>
        <w:t> </w:t>
      </w:r>
      <w:r>
        <w:rPr>
          <w:sz w:val="14"/>
        </w:rPr>
        <w:t>due</w:t>
      </w:r>
      <w:r>
        <w:rPr>
          <w:spacing w:val="-1"/>
          <w:sz w:val="14"/>
        </w:rPr>
        <w:t> </w:t>
      </w:r>
      <w:r>
        <w:rPr>
          <w:sz w:val="14"/>
        </w:rPr>
        <w:t>to</w:t>
      </w:r>
      <w:r>
        <w:rPr>
          <w:spacing w:val="-1"/>
          <w:sz w:val="14"/>
        </w:rPr>
        <w:t> </w:t>
      </w:r>
      <w:r>
        <w:rPr>
          <w:sz w:val="14"/>
        </w:rPr>
        <w:t>adoption</w:t>
      </w:r>
      <w:r>
        <w:rPr>
          <w:spacing w:val="-1"/>
          <w:sz w:val="14"/>
        </w:rPr>
        <w:t> </w:t>
      </w:r>
      <w:r>
        <w:rPr>
          <w:sz w:val="14"/>
        </w:rPr>
        <w:t>of</w:t>
      </w:r>
      <w:r>
        <w:rPr>
          <w:spacing w:val="-1"/>
          <w:sz w:val="14"/>
        </w:rPr>
        <w:t> </w:t>
      </w:r>
      <w:r>
        <w:rPr>
          <w:sz w:val="14"/>
        </w:rPr>
        <w:t>the</w:t>
      </w:r>
      <w:r>
        <w:rPr>
          <w:spacing w:val="-1"/>
          <w:sz w:val="14"/>
        </w:rPr>
        <w:t> </w:t>
      </w:r>
      <w:r>
        <w:rPr>
          <w:sz w:val="14"/>
        </w:rPr>
        <w:t>new</w:t>
      </w:r>
      <w:r>
        <w:rPr>
          <w:spacing w:val="-1"/>
          <w:sz w:val="14"/>
        </w:rPr>
        <w:t> </w:t>
      </w:r>
      <w:r>
        <w:rPr>
          <w:sz w:val="14"/>
        </w:rPr>
        <w:t>standard</w:t>
      </w:r>
      <w:r>
        <w:rPr>
          <w:spacing w:val="-1"/>
          <w:sz w:val="14"/>
        </w:rPr>
        <w:t> </w:t>
      </w:r>
      <w:r>
        <w:rPr>
          <w:sz w:val="14"/>
        </w:rPr>
        <w:t>related</w:t>
      </w:r>
      <w:r>
        <w:rPr>
          <w:spacing w:val="-1"/>
          <w:sz w:val="14"/>
        </w:rPr>
        <w:t> </w:t>
      </w:r>
      <w:r>
        <w:rPr>
          <w:sz w:val="14"/>
        </w:rPr>
        <w:t>to</w:t>
      </w:r>
      <w:r>
        <w:rPr>
          <w:spacing w:val="-1"/>
          <w:sz w:val="14"/>
        </w:rPr>
        <w:t> </w:t>
      </w:r>
      <w:r>
        <w:rPr>
          <w:sz w:val="14"/>
        </w:rPr>
        <w:t>Income</w:t>
      </w:r>
      <w:r>
        <w:rPr>
          <w:spacing w:val="-1"/>
          <w:sz w:val="14"/>
        </w:rPr>
        <w:t> </w:t>
      </w:r>
      <w:r>
        <w:rPr>
          <w:sz w:val="14"/>
        </w:rPr>
        <w:t>Statement</w:t>
      </w:r>
      <w:r>
        <w:rPr>
          <w:spacing w:val="-1"/>
          <w:sz w:val="14"/>
        </w:rPr>
        <w:t> </w:t>
      </w:r>
      <w:r>
        <w:rPr>
          <w:sz w:val="14"/>
        </w:rPr>
        <w:t>-</w:t>
      </w:r>
      <w:r>
        <w:rPr>
          <w:spacing w:val="-1"/>
          <w:sz w:val="14"/>
        </w:rPr>
        <w:t> </w:t>
      </w:r>
      <w:r>
        <w:rPr>
          <w:sz w:val="14"/>
        </w:rPr>
        <w:t>Reporting</w:t>
      </w:r>
      <w:r>
        <w:rPr>
          <w:spacing w:val="-1"/>
          <w:sz w:val="14"/>
        </w:rPr>
        <w:t> </w:t>
      </w:r>
      <w:r>
        <w:rPr>
          <w:sz w:val="14"/>
        </w:rPr>
        <w:t>Comprehensive</w:t>
      </w:r>
      <w:r>
        <w:rPr>
          <w:spacing w:val="-1"/>
          <w:sz w:val="14"/>
        </w:rPr>
        <w:t> </w:t>
      </w:r>
      <w:r>
        <w:rPr>
          <w:sz w:val="14"/>
        </w:rPr>
        <w:t>Income,</w:t>
      </w:r>
      <w:r>
        <w:rPr>
          <w:spacing w:val="-1"/>
          <w:sz w:val="14"/>
        </w:rPr>
        <w:t> </w:t>
      </w:r>
      <w:r>
        <w:rPr>
          <w:sz w:val="14"/>
        </w:rPr>
        <w:t>which</w:t>
      </w:r>
      <w:r>
        <w:rPr>
          <w:spacing w:val="-1"/>
          <w:sz w:val="14"/>
        </w:rPr>
        <w:t> </w:t>
      </w:r>
      <w:r>
        <w:rPr>
          <w:sz w:val="14"/>
        </w:rPr>
        <w:t>allows</w:t>
      </w:r>
      <w:r>
        <w:rPr>
          <w:spacing w:val="-1"/>
          <w:sz w:val="14"/>
        </w:rPr>
        <w:t> </w:t>
      </w:r>
      <w:r>
        <w:rPr>
          <w:sz w:val="14"/>
        </w:rPr>
        <w:t>for</w:t>
      </w:r>
      <w:r>
        <w:rPr>
          <w:spacing w:val="40"/>
          <w:sz w:val="14"/>
        </w:rPr>
        <w:t> </w:t>
      </w:r>
      <w:r>
        <w:rPr>
          <w:sz w:val="14"/>
        </w:rPr>
        <w:t>reclassification from accumulated other comprehensive loss to retained earnings for stranded tax effects.</w:t>
      </w:r>
    </w:p>
    <w:p>
      <w:pPr>
        <w:pStyle w:val="BodyText"/>
        <w:spacing w:before="43"/>
        <w:rPr>
          <w:sz w:val="14"/>
        </w:rPr>
      </w:pPr>
    </w:p>
    <w:p>
      <w:pPr>
        <w:pStyle w:val="BodyText"/>
        <w:ind w:left="48"/>
        <w:jc w:val="center"/>
      </w:pPr>
      <w:r>
        <w:rPr>
          <w:spacing w:val="-5"/>
          <w:w w:val="105"/>
        </w:rPr>
        <w:t>109</w:t>
      </w:r>
    </w:p>
    <w:p>
      <w:pPr>
        <w:pStyle w:val="BodyText"/>
        <w:rPr>
          <w:sz w:val="6"/>
        </w:rPr>
      </w:pPr>
      <w:r>
        <w:rPr/>
        <mc:AlternateContent>
          <mc:Choice Requires="wps">
            <w:drawing>
              <wp:anchor distT="0" distB="0" distL="0" distR="0" allowOverlap="1" layoutInCell="1" locked="0" behindDoc="1" simplePos="0" relativeHeight="487747072">
                <wp:simplePos x="0" y="0"/>
                <wp:positionH relativeFrom="page">
                  <wp:posOffset>226488</wp:posOffset>
                </wp:positionH>
                <wp:positionV relativeFrom="paragraph">
                  <wp:posOffset>59051</wp:posOffset>
                </wp:positionV>
                <wp:extent cx="7312659" cy="16510"/>
                <wp:effectExtent l="0" t="0" r="0" b="0"/>
                <wp:wrapTopAndBottom/>
                <wp:docPr id="1074" name="Graphic 1074"/>
                <wp:cNvGraphicFramePr>
                  <a:graphicFrameLocks/>
                </wp:cNvGraphicFramePr>
                <a:graphic>
                  <a:graphicData uri="http://schemas.microsoft.com/office/word/2010/wordprocessingShape">
                    <wps:wsp>
                      <wps:cNvPr id="1074" name="Graphic 107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569408;mso-wrap-distance-left:0;mso-wrap-distance-right:0" id="docshape1073"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pPr>
    </w:p>
    <w:p>
      <w:pPr>
        <w:pStyle w:val="BodyText"/>
        <w:spacing w:before="58"/>
      </w:pPr>
    </w:p>
    <w:p>
      <w:pPr>
        <w:pStyle w:val="Heading2"/>
        <w:numPr>
          <w:ilvl w:val="0"/>
          <w:numId w:val="57"/>
        </w:numPr>
        <w:tabs>
          <w:tab w:pos="445" w:val="left" w:leader="none"/>
        </w:tabs>
        <w:spacing w:line="240" w:lineRule="auto" w:before="0" w:after="0"/>
        <w:ind w:left="445" w:right="0" w:hanging="289"/>
        <w:jc w:val="left"/>
      </w:pPr>
      <w:bookmarkStart w:name="_bookmark26" w:id="27"/>
      <w:bookmarkEnd w:id="27"/>
      <w:r>
        <w:rPr>
          <w:b w:val="0"/>
        </w:rPr>
      </w:r>
      <w:r>
        <w:rPr/>
        <w:t>Earnings</w:t>
      </w:r>
      <w:r>
        <w:rPr>
          <w:spacing w:val="11"/>
        </w:rPr>
        <w:t> </w:t>
      </w:r>
      <w:r>
        <w:rPr/>
        <w:t>Per</w:t>
      </w:r>
      <w:r>
        <w:rPr>
          <w:spacing w:val="12"/>
        </w:rPr>
        <w:t> </w:t>
      </w:r>
      <w:r>
        <w:rPr/>
        <w:t>Common</w:t>
      </w:r>
      <w:r>
        <w:rPr>
          <w:spacing w:val="12"/>
        </w:rPr>
        <w:t> </w:t>
      </w:r>
      <w:r>
        <w:rPr>
          <w:spacing w:val="-2"/>
        </w:rPr>
        <w:t>Share</w:t>
      </w:r>
    </w:p>
    <w:p>
      <w:pPr>
        <w:pStyle w:val="BodyText"/>
        <w:spacing w:before="39"/>
        <w:rPr>
          <w:b/>
        </w:rPr>
      </w:pPr>
    </w:p>
    <w:p>
      <w:pPr>
        <w:pStyle w:val="BodyText"/>
        <w:spacing w:line="266" w:lineRule="auto" w:before="1"/>
        <w:ind w:left="156" w:right="228"/>
      </w:pPr>
      <w:r>
        <w:rPr>
          <w:w w:val="105"/>
        </w:rPr>
        <w:t>Basic</w:t>
      </w:r>
      <w:r>
        <w:rPr>
          <w:spacing w:val="-9"/>
          <w:w w:val="105"/>
        </w:rPr>
        <w:t> </w:t>
      </w:r>
      <w:r>
        <w:rPr>
          <w:w w:val="105"/>
        </w:rPr>
        <w:t>earnings</w:t>
      </w:r>
      <w:r>
        <w:rPr>
          <w:spacing w:val="-9"/>
          <w:w w:val="105"/>
        </w:rPr>
        <w:t> </w:t>
      </w:r>
      <w:r>
        <w:rPr>
          <w:w w:val="105"/>
        </w:rPr>
        <w:t>per</w:t>
      </w:r>
      <w:r>
        <w:rPr>
          <w:spacing w:val="-9"/>
          <w:w w:val="105"/>
        </w:rPr>
        <w:t> </w:t>
      </w:r>
      <w:r>
        <w:rPr>
          <w:w w:val="105"/>
        </w:rPr>
        <w:t>common</w:t>
      </w:r>
      <w:r>
        <w:rPr>
          <w:spacing w:val="-9"/>
          <w:w w:val="105"/>
        </w:rPr>
        <w:t> </w:t>
      </w:r>
      <w:r>
        <w:rPr>
          <w:w w:val="105"/>
        </w:rPr>
        <w:t>share</w:t>
      </w:r>
      <w:r>
        <w:rPr>
          <w:spacing w:val="-9"/>
          <w:w w:val="105"/>
        </w:rPr>
        <w:t> </w:t>
      </w:r>
      <w:r>
        <w:rPr>
          <w:w w:val="105"/>
        </w:rPr>
        <w:t>are</w:t>
      </w:r>
      <w:r>
        <w:rPr>
          <w:spacing w:val="-9"/>
          <w:w w:val="105"/>
        </w:rPr>
        <w:t> </w:t>
      </w:r>
      <w:r>
        <w:rPr>
          <w:w w:val="105"/>
        </w:rPr>
        <w:t>computed</w:t>
      </w:r>
      <w:r>
        <w:rPr>
          <w:spacing w:val="-9"/>
          <w:w w:val="105"/>
        </w:rPr>
        <w:t> </w:t>
      </w:r>
      <w:r>
        <w:rPr>
          <w:w w:val="105"/>
        </w:rPr>
        <w:t>by</w:t>
      </w:r>
      <w:r>
        <w:rPr>
          <w:spacing w:val="-9"/>
          <w:w w:val="105"/>
        </w:rPr>
        <w:t> </w:t>
      </w:r>
      <w:r>
        <w:rPr>
          <w:w w:val="105"/>
        </w:rPr>
        <w:t>dividing</w:t>
      </w:r>
      <w:r>
        <w:rPr>
          <w:spacing w:val="-9"/>
          <w:w w:val="105"/>
        </w:rPr>
        <w:t> </w:t>
      </w:r>
      <w:r>
        <w:rPr>
          <w:w w:val="105"/>
        </w:rPr>
        <w:t>income</w:t>
      </w:r>
      <w:r>
        <w:rPr>
          <w:spacing w:val="-9"/>
          <w:w w:val="105"/>
        </w:rPr>
        <w:t> </w:t>
      </w:r>
      <w:r>
        <w:rPr>
          <w:w w:val="105"/>
        </w:rPr>
        <w:t>available</w:t>
      </w:r>
      <w:r>
        <w:rPr>
          <w:spacing w:val="-9"/>
          <w:w w:val="105"/>
        </w:rPr>
        <w:t> </w:t>
      </w:r>
      <w:r>
        <w:rPr>
          <w:w w:val="105"/>
        </w:rPr>
        <w:t>to</w:t>
      </w:r>
      <w:r>
        <w:rPr>
          <w:spacing w:val="-9"/>
          <w:w w:val="105"/>
        </w:rPr>
        <w:t> </w:t>
      </w:r>
      <w:r>
        <w:rPr>
          <w:w w:val="105"/>
        </w:rPr>
        <w:t>common</w:t>
      </w:r>
      <w:r>
        <w:rPr>
          <w:spacing w:val="-9"/>
          <w:w w:val="105"/>
        </w:rPr>
        <w:t> </w:t>
      </w:r>
      <w:r>
        <w:rPr>
          <w:w w:val="105"/>
        </w:rPr>
        <w:t>shareholders</w:t>
      </w:r>
      <w:r>
        <w:rPr>
          <w:spacing w:val="-9"/>
          <w:w w:val="105"/>
        </w:rPr>
        <w:t> </w:t>
      </w:r>
      <w:r>
        <w:rPr>
          <w:w w:val="105"/>
        </w:rPr>
        <w:t>by</w:t>
      </w:r>
      <w:r>
        <w:rPr>
          <w:spacing w:val="-9"/>
          <w:w w:val="105"/>
        </w:rPr>
        <w:t> </w:t>
      </w:r>
      <w:r>
        <w:rPr>
          <w:w w:val="105"/>
        </w:rPr>
        <w:t>the</w:t>
      </w:r>
      <w:r>
        <w:rPr>
          <w:spacing w:val="-9"/>
          <w:w w:val="105"/>
        </w:rPr>
        <w:t> </w:t>
      </w:r>
      <w:r>
        <w:rPr>
          <w:w w:val="105"/>
        </w:rPr>
        <w:t>weighted-average</w:t>
      </w:r>
      <w:r>
        <w:rPr>
          <w:spacing w:val="-9"/>
          <w:w w:val="105"/>
        </w:rPr>
        <w:t> </w:t>
      </w:r>
      <w:r>
        <w:rPr>
          <w:w w:val="105"/>
        </w:rPr>
        <w:t>number</w:t>
      </w:r>
      <w:r>
        <w:rPr>
          <w:spacing w:val="-9"/>
          <w:w w:val="105"/>
        </w:rPr>
        <w:t> </w:t>
      </w:r>
      <w:r>
        <w:rPr>
          <w:w w:val="105"/>
        </w:rPr>
        <w:t>of</w:t>
      </w:r>
      <w:r>
        <w:rPr>
          <w:spacing w:val="-9"/>
          <w:w w:val="105"/>
        </w:rPr>
        <w:t> </w:t>
      </w:r>
      <w:r>
        <w:rPr>
          <w:w w:val="105"/>
        </w:rPr>
        <w:t>common</w:t>
      </w:r>
      <w:r>
        <w:rPr>
          <w:spacing w:val="-9"/>
          <w:w w:val="105"/>
        </w:rPr>
        <w:t> </w:t>
      </w:r>
      <w:r>
        <w:rPr>
          <w:w w:val="105"/>
        </w:rPr>
        <w:t>shares</w:t>
      </w:r>
      <w:r>
        <w:rPr>
          <w:spacing w:val="-9"/>
          <w:w w:val="105"/>
        </w:rPr>
        <w:t> </w:t>
      </w:r>
      <w:r>
        <w:rPr>
          <w:w w:val="105"/>
        </w:rPr>
        <w:t>outstanding</w:t>
      </w:r>
      <w:r>
        <w:rPr>
          <w:spacing w:val="-9"/>
          <w:w w:val="105"/>
        </w:rPr>
        <w:t> </w:t>
      </w:r>
      <w:r>
        <w:rPr>
          <w:w w:val="105"/>
        </w:rPr>
        <w:t>for the</w:t>
      </w:r>
      <w:r>
        <w:rPr>
          <w:spacing w:val="-1"/>
          <w:w w:val="105"/>
        </w:rPr>
        <w:t> </w:t>
      </w:r>
      <w:r>
        <w:rPr>
          <w:w w:val="105"/>
        </w:rPr>
        <w:t>period.</w:t>
      </w:r>
      <w:r>
        <w:rPr>
          <w:spacing w:val="-1"/>
          <w:w w:val="105"/>
        </w:rPr>
        <w:t> </w:t>
      </w:r>
      <w:r>
        <w:rPr>
          <w:w w:val="105"/>
        </w:rPr>
        <w:t>Diluted</w:t>
      </w:r>
      <w:r>
        <w:rPr>
          <w:spacing w:val="-1"/>
          <w:w w:val="105"/>
        </w:rPr>
        <w:t> </w:t>
      </w:r>
      <w:r>
        <w:rPr>
          <w:w w:val="105"/>
        </w:rPr>
        <w:t>earnings</w:t>
      </w:r>
      <w:r>
        <w:rPr>
          <w:spacing w:val="-1"/>
          <w:w w:val="105"/>
        </w:rPr>
        <w:t> </w:t>
      </w:r>
      <w:r>
        <w:rPr>
          <w:w w:val="105"/>
        </w:rPr>
        <w:t>per</w:t>
      </w:r>
      <w:r>
        <w:rPr>
          <w:spacing w:val="-1"/>
          <w:w w:val="105"/>
        </w:rPr>
        <w:t> </w:t>
      </w:r>
      <w:r>
        <w:rPr>
          <w:w w:val="105"/>
        </w:rPr>
        <w:t>common</w:t>
      </w:r>
      <w:r>
        <w:rPr>
          <w:spacing w:val="-1"/>
          <w:w w:val="105"/>
        </w:rPr>
        <w:t> </w:t>
      </w:r>
      <w:r>
        <w:rPr>
          <w:w w:val="105"/>
        </w:rPr>
        <w:t>share</w:t>
      </w:r>
      <w:r>
        <w:rPr>
          <w:spacing w:val="-1"/>
          <w:w w:val="105"/>
        </w:rPr>
        <w:t> </w:t>
      </w:r>
      <w:r>
        <w:rPr>
          <w:w w:val="105"/>
        </w:rPr>
        <w:t>assumes</w:t>
      </w:r>
      <w:r>
        <w:rPr>
          <w:spacing w:val="-1"/>
          <w:w w:val="105"/>
        </w:rPr>
        <w:t> </w:t>
      </w:r>
      <w:r>
        <w:rPr>
          <w:w w:val="105"/>
        </w:rPr>
        <w:t>the issuance</w:t>
      </w:r>
      <w:r>
        <w:rPr>
          <w:spacing w:val="-1"/>
          <w:w w:val="105"/>
        </w:rPr>
        <w:t> </w:t>
      </w:r>
      <w:r>
        <w:rPr>
          <w:w w:val="105"/>
        </w:rPr>
        <w:t>of</w:t>
      </w:r>
      <w:r>
        <w:rPr>
          <w:spacing w:val="-1"/>
          <w:w w:val="105"/>
        </w:rPr>
        <w:t> </w:t>
      </w:r>
      <w:r>
        <w:rPr>
          <w:w w:val="105"/>
        </w:rPr>
        <w:t>common</w:t>
      </w:r>
      <w:r>
        <w:rPr>
          <w:spacing w:val="-1"/>
          <w:w w:val="105"/>
        </w:rPr>
        <w:t> </w:t>
      </w:r>
      <w:r>
        <w:rPr>
          <w:w w:val="105"/>
        </w:rPr>
        <w:t>shares</w:t>
      </w:r>
      <w:r>
        <w:rPr>
          <w:spacing w:val="-1"/>
          <w:w w:val="105"/>
        </w:rPr>
        <w:t> </w:t>
      </w:r>
      <w:r>
        <w:rPr>
          <w:w w:val="105"/>
        </w:rPr>
        <w:t>for all</w:t>
      </w:r>
      <w:r>
        <w:rPr>
          <w:spacing w:val="-1"/>
          <w:w w:val="105"/>
        </w:rPr>
        <w:t> </w:t>
      </w:r>
      <w:r>
        <w:rPr>
          <w:w w:val="105"/>
        </w:rPr>
        <w:t>potentially</w:t>
      </w:r>
      <w:r>
        <w:rPr>
          <w:spacing w:val="-1"/>
          <w:w w:val="105"/>
        </w:rPr>
        <w:t> </w:t>
      </w:r>
      <w:r>
        <w:rPr>
          <w:w w:val="105"/>
        </w:rPr>
        <w:t>dilutive</w:t>
      </w:r>
      <w:r>
        <w:rPr>
          <w:spacing w:val="-1"/>
          <w:w w:val="105"/>
        </w:rPr>
        <w:t> </w:t>
      </w:r>
      <w:r>
        <w:rPr>
          <w:w w:val="105"/>
        </w:rPr>
        <w:t>securities</w:t>
      </w:r>
      <w:r>
        <w:rPr>
          <w:spacing w:val="-1"/>
          <w:w w:val="105"/>
        </w:rPr>
        <w:t> </w:t>
      </w:r>
      <w:r>
        <w:rPr>
          <w:w w:val="105"/>
        </w:rPr>
        <w:t>outstanding.</w:t>
      </w:r>
    </w:p>
    <w:p>
      <w:pPr>
        <w:pStyle w:val="BodyText"/>
        <w:spacing w:before="18"/>
      </w:pPr>
    </w:p>
    <w:p>
      <w:pPr>
        <w:pStyle w:val="BodyText"/>
        <w:spacing w:before="1"/>
        <w:ind w:left="156"/>
      </w:pPr>
      <w:r>
        <w:rPr>
          <w:w w:val="105"/>
        </w:rPr>
        <w:t>The</w:t>
      </w:r>
      <w:r>
        <w:rPr>
          <w:spacing w:val="-10"/>
          <w:w w:val="105"/>
        </w:rPr>
        <w:t> </w:t>
      </w:r>
      <w:r>
        <w:rPr>
          <w:w w:val="105"/>
        </w:rPr>
        <w:t>reconciliation</w:t>
      </w:r>
      <w:r>
        <w:rPr>
          <w:spacing w:val="-9"/>
          <w:w w:val="105"/>
        </w:rPr>
        <w:t> </w:t>
      </w:r>
      <w:r>
        <w:rPr>
          <w:w w:val="105"/>
        </w:rPr>
        <w:t>of</w:t>
      </w:r>
      <w:r>
        <w:rPr>
          <w:spacing w:val="-7"/>
          <w:w w:val="105"/>
        </w:rPr>
        <w:t> </w:t>
      </w:r>
      <w:r>
        <w:rPr>
          <w:w w:val="105"/>
        </w:rPr>
        <w:t>the</w:t>
      </w:r>
      <w:r>
        <w:rPr>
          <w:spacing w:val="-9"/>
          <w:w w:val="105"/>
        </w:rPr>
        <w:t> </w:t>
      </w:r>
      <w:r>
        <w:rPr>
          <w:w w:val="105"/>
        </w:rPr>
        <w:t>amounts</w:t>
      </w:r>
      <w:r>
        <w:rPr>
          <w:spacing w:val="-10"/>
          <w:w w:val="105"/>
        </w:rPr>
        <w:t> </w:t>
      </w:r>
      <w:r>
        <w:rPr>
          <w:w w:val="105"/>
        </w:rPr>
        <w:t>used</w:t>
      </w:r>
      <w:r>
        <w:rPr>
          <w:spacing w:val="-9"/>
          <w:w w:val="105"/>
        </w:rPr>
        <w:t> </w:t>
      </w:r>
      <w:r>
        <w:rPr>
          <w:w w:val="105"/>
        </w:rPr>
        <w:t>to</w:t>
      </w:r>
      <w:r>
        <w:rPr>
          <w:spacing w:val="-9"/>
          <w:w w:val="105"/>
        </w:rPr>
        <w:t> </w:t>
      </w:r>
      <w:r>
        <w:rPr>
          <w:w w:val="105"/>
        </w:rPr>
        <w:t>compute</w:t>
      </w:r>
      <w:r>
        <w:rPr>
          <w:spacing w:val="-9"/>
          <w:w w:val="105"/>
        </w:rPr>
        <w:t> </w:t>
      </w:r>
      <w:r>
        <w:rPr>
          <w:w w:val="105"/>
        </w:rPr>
        <w:t>basic</w:t>
      </w:r>
      <w:r>
        <w:rPr>
          <w:spacing w:val="-9"/>
          <w:w w:val="105"/>
        </w:rPr>
        <w:t> </w:t>
      </w:r>
      <w:r>
        <w:rPr>
          <w:w w:val="105"/>
        </w:rPr>
        <w:t>and</w:t>
      </w:r>
      <w:r>
        <w:rPr>
          <w:spacing w:val="-9"/>
          <w:w w:val="105"/>
        </w:rPr>
        <w:t> </w:t>
      </w:r>
      <w:r>
        <w:rPr>
          <w:w w:val="105"/>
        </w:rPr>
        <w:t>diluted</w:t>
      </w:r>
      <w:r>
        <w:rPr>
          <w:spacing w:val="-9"/>
          <w:w w:val="105"/>
        </w:rPr>
        <w:t> </w:t>
      </w:r>
      <w:r>
        <w:rPr>
          <w:w w:val="105"/>
        </w:rPr>
        <w:t>earnings</w:t>
      </w:r>
      <w:r>
        <w:rPr>
          <w:spacing w:val="-10"/>
          <w:w w:val="105"/>
        </w:rPr>
        <w:t> </w:t>
      </w:r>
      <w:r>
        <w:rPr>
          <w:w w:val="105"/>
        </w:rPr>
        <w:t>per</w:t>
      </w:r>
      <w:r>
        <w:rPr>
          <w:spacing w:val="-9"/>
          <w:w w:val="105"/>
        </w:rPr>
        <w:t> </w:t>
      </w:r>
      <w:r>
        <w:rPr>
          <w:w w:val="105"/>
        </w:rPr>
        <w:t>common</w:t>
      </w:r>
      <w:r>
        <w:rPr>
          <w:spacing w:val="-9"/>
          <w:w w:val="105"/>
        </w:rPr>
        <w:t> </w:t>
      </w:r>
      <w:r>
        <w:rPr>
          <w:w w:val="105"/>
        </w:rPr>
        <w:t>share</w:t>
      </w:r>
      <w:r>
        <w:rPr>
          <w:spacing w:val="-9"/>
          <w:w w:val="105"/>
        </w:rPr>
        <w:t> </w:t>
      </w:r>
      <w:r>
        <w:rPr>
          <w:w w:val="105"/>
        </w:rPr>
        <w:t>from</w:t>
      </w:r>
      <w:r>
        <w:rPr>
          <w:spacing w:val="-9"/>
          <w:w w:val="105"/>
        </w:rPr>
        <w:t> </w:t>
      </w:r>
      <w:r>
        <w:rPr>
          <w:w w:val="105"/>
        </w:rPr>
        <w:t>operations</w:t>
      </w:r>
      <w:r>
        <w:rPr>
          <w:spacing w:val="-8"/>
          <w:w w:val="105"/>
        </w:rPr>
        <w:t> </w:t>
      </w:r>
      <w:r>
        <w:rPr>
          <w:w w:val="105"/>
        </w:rPr>
        <w:t>is</w:t>
      </w:r>
      <w:r>
        <w:rPr>
          <w:spacing w:val="-9"/>
          <w:w w:val="105"/>
        </w:rPr>
        <w:t> </w:t>
      </w:r>
      <w:r>
        <w:rPr>
          <w:w w:val="105"/>
        </w:rPr>
        <w:t>as</w:t>
      </w:r>
      <w:r>
        <w:rPr>
          <w:spacing w:val="-9"/>
          <w:w w:val="105"/>
        </w:rPr>
        <w:t> </w:t>
      </w:r>
      <w:r>
        <w:rPr>
          <w:w w:val="105"/>
        </w:rPr>
        <w:t>follows</w:t>
      </w:r>
      <w:r>
        <w:rPr>
          <w:spacing w:val="-9"/>
          <w:w w:val="105"/>
        </w:rPr>
        <w:t> </w:t>
      </w:r>
      <w:r>
        <w:rPr>
          <w:w w:val="105"/>
        </w:rPr>
        <w:t>(in</w:t>
      </w:r>
      <w:r>
        <w:rPr>
          <w:spacing w:val="-9"/>
          <w:w w:val="105"/>
        </w:rPr>
        <w:t> </w:t>
      </w:r>
      <w:r>
        <w:rPr>
          <w:w w:val="105"/>
        </w:rPr>
        <w:t>millions,</w:t>
      </w:r>
      <w:r>
        <w:rPr>
          <w:spacing w:val="-9"/>
          <w:w w:val="105"/>
        </w:rPr>
        <w:t> </w:t>
      </w:r>
      <w:r>
        <w:rPr>
          <w:w w:val="105"/>
        </w:rPr>
        <w:t>except</w:t>
      </w:r>
      <w:r>
        <w:rPr>
          <w:spacing w:val="-10"/>
          <w:w w:val="105"/>
        </w:rPr>
        <w:t> </w:t>
      </w:r>
      <w:r>
        <w:rPr>
          <w:w w:val="105"/>
        </w:rPr>
        <w:t>per</w:t>
      </w:r>
      <w:r>
        <w:rPr>
          <w:spacing w:val="-9"/>
          <w:w w:val="105"/>
        </w:rPr>
        <w:t> </w:t>
      </w:r>
      <w:r>
        <w:rPr>
          <w:w w:val="105"/>
        </w:rPr>
        <w:t>share</w:t>
      </w:r>
      <w:r>
        <w:rPr>
          <w:spacing w:val="-9"/>
          <w:w w:val="105"/>
        </w:rPr>
        <w:t> </w:t>
      </w:r>
      <w:r>
        <w:rPr>
          <w:spacing w:val="-2"/>
          <w:w w:val="105"/>
        </w:rPr>
        <w:t>amounts):</w:t>
      </w:r>
    </w:p>
    <w:p>
      <w:pPr>
        <w:pStyle w:val="BodyText"/>
        <w:spacing w:before="2" w:after="1"/>
        <w:rPr>
          <w:sz w:val="2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1"/>
        <w:gridCol w:w="1014"/>
        <w:gridCol w:w="531"/>
        <w:gridCol w:w="1839"/>
        <w:gridCol w:w="1111"/>
        <w:gridCol w:w="549"/>
      </w:tblGrid>
      <w:tr>
        <w:trPr>
          <w:trHeight w:val="200" w:hRule="atLeast"/>
        </w:trPr>
        <w:tc>
          <w:tcPr>
            <w:tcW w:w="8016" w:type="dxa"/>
            <w:gridSpan w:val="3"/>
            <w:tcBorders>
              <w:top w:val="single" w:sz="12" w:space="0" w:color="000000"/>
            </w:tcBorders>
          </w:tcPr>
          <w:p>
            <w:pPr>
              <w:pStyle w:val="TableParagraph"/>
              <w:rPr>
                <w:sz w:val="12"/>
              </w:rPr>
            </w:pPr>
          </w:p>
        </w:tc>
        <w:tc>
          <w:tcPr>
            <w:tcW w:w="1839" w:type="dxa"/>
            <w:tcBorders>
              <w:top w:val="single" w:sz="12" w:space="0" w:color="000000"/>
              <w:bottom w:val="single" w:sz="6" w:space="0" w:color="000000"/>
            </w:tcBorders>
          </w:tcPr>
          <w:p>
            <w:pPr>
              <w:pStyle w:val="TableParagraph"/>
              <w:spacing w:line="179" w:lineRule="exact" w:before="1"/>
              <w:ind w:left="54"/>
              <w:rPr>
                <w:sz w:val="16"/>
              </w:rPr>
            </w:pPr>
            <w:r>
              <w:rPr>
                <w:w w:val="105"/>
                <w:sz w:val="16"/>
              </w:rPr>
              <w:t>Year</w:t>
            </w:r>
            <w:r>
              <w:rPr>
                <w:spacing w:val="-12"/>
                <w:w w:val="105"/>
                <w:sz w:val="16"/>
              </w:rPr>
              <w:t> </w:t>
            </w:r>
            <w:r>
              <w:rPr>
                <w:w w:val="105"/>
                <w:sz w:val="16"/>
              </w:rPr>
              <w:t>ended</w:t>
            </w:r>
            <w:r>
              <w:rPr>
                <w:spacing w:val="-10"/>
                <w:w w:val="105"/>
                <w:sz w:val="16"/>
              </w:rPr>
              <w:t> </w:t>
            </w:r>
            <w:r>
              <w:rPr>
                <w:w w:val="105"/>
                <w:sz w:val="16"/>
              </w:rPr>
              <w:t>December</w:t>
            </w:r>
            <w:r>
              <w:rPr>
                <w:spacing w:val="-10"/>
                <w:w w:val="105"/>
                <w:sz w:val="16"/>
              </w:rPr>
              <w:t> </w:t>
            </w:r>
            <w:r>
              <w:rPr>
                <w:spacing w:val="-5"/>
                <w:w w:val="105"/>
                <w:sz w:val="16"/>
              </w:rPr>
              <w:t>31,</w:t>
            </w:r>
          </w:p>
        </w:tc>
        <w:tc>
          <w:tcPr>
            <w:tcW w:w="1660" w:type="dxa"/>
            <w:gridSpan w:val="2"/>
            <w:tcBorders>
              <w:top w:val="single" w:sz="12" w:space="0" w:color="000000"/>
              <w:bottom w:val="single" w:sz="6" w:space="0" w:color="000000"/>
            </w:tcBorders>
          </w:tcPr>
          <w:p>
            <w:pPr>
              <w:pStyle w:val="TableParagraph"/>
              <w:rPr>
                <w:sz w:val="12"/>
              </w:rPr>
            </w:pPr>
          </w:p>
        </w:tc>
      </w:tr>
      <w:tr>
        <w:trPr>
          <w:trHeight w:val="201" w:hRule="atLeast"/>
        </w:trPr>
        <w:tc>
          <w:tcPr>
            <w:tcW w:w="6471" w:type="dxa"/>
            <w:tcBorders>
              <w:bottom w:val="single" w:sz="6" w:space="0" w:color="000000"/>
            </w:tcBorders>
          </w:tcPr>
          <w:p>
            <w:pPr>
              <w:pStyle w:val="TableParagraph"/>
              <w:rPr>
                <w:sz w:val="14"/>
              </w:rPr>
            </w:pPr>
          </w:p>
        </w:tc>
        <w:tc>
          <w:tcPr>
            <w:tcW w:w="1014" w:type="dxa"/>
            <w:tcBorders>
              <w:top w:val="single" w:sz="6" w:space="0" w:color="000000"/>
              <w:bottom w:val="single" w:sz="6" w:space="0" w:color="000000"/>
            </w:tcBorders>
          </w:tcPr>
          <w:p>
            <w:pPr>
              <w:pStyle w:val="TableParagraph"/>
              <w:spacing w:line="179" w:lineRule="exact" w:before="2"/>
              <w:ind w:left="579"/>
              <w:rPr>
                <w:b/>
                <w:sz w:val="16"/>
              </w:rPr>
            </w:pPr>
            <w:r>
              <w:rPr>
                <w:b/>
                <w:spacing w:val="-4"/>
                <w:w w:val="105"/>
                <w:sz w:val="16"/>
              </w:rPr>
              <w:t>2021</w:t>
            </w:r>
          </w:p>
        </w:tc>
        <w:tc>
          <w:tcPr>
            <w:tcW w:w="531" w:type="dxa"/>
            <w:tcBorders>
              <w:top w:val="single" w:sz="6" w:space="0" w:color="000000"/>
              <w:bottom w:val="single" w:sz="6" w:space="0" w:color="000000"/>
            </w:tcBorders>
          </w:tcPr>
          <w:p>
            <w:pPr>
              <w:pStyle w:val="TableParagraph"/>
              <w:rPr>
                <w:sz w:val="14"/>
              </w:rPr>
            </w:pPr>
          </w:p>
        </w:tc>
        <w:tc>
          <w:tcPr>
            <w:tcW w:w="1839" w:type="dxa"/>
            <w:tcBorders>
              <w:top w:val="single" w:sz="6" w:space="0" w:color="000000"/>
              <w:bottom w:val="single" w:sz="6" w:space="0" w:color="000000"/>
            </w:tcBorders>
          </w:tcPr>
          <w:p>
            <w:pPr>
              <w:pStyle w:val="TableParagraph"/>
              <w:spacing w:line="179" w:lineRule="exact" w:before="2"/>
              <w:jc w:val="center"/>
              <w:rPr>
                <w:sz w:val="16"/>
              </w:rPr>
            </w:pPr>
            <w:r>
              <w:rPr>
                <w:spacing w:val="-4"/>
                <w:w w:val="105"/>
                <w:sz w:val="16"/>
              </w:rPr>
              <w:t>2020</w:t>
            </w:r>
          </w:p>
        </w:tc>
        <w:tc>
          <w:tcPr>
            <w:tcW w:w="1111" w:type="dxa"/>
            <w:tcBorders>
              <w:top w:val="single" w:sz="6" w:space="0" w:color="000000"/>
              <w:bottom w:val="single" w:sz="6" w:space="0" w:color="000000"/>
            </w:tcBorders>
          </w:tcPr>
          <w:p>
            <w:pPr>
              <w:pStyle w:val="TableParagraph"/>
              <w:spacing w:line="179" w:lineRule="exact" w:before="2"/>
              <w:ind w:left="635"/>
              <w:rPr>
                <w:sz w:val="16"/>
              </w:rPr>
            </w:pPr>
            <w:r>
              <w:rPr>
                <w:spacing w:val="-4"/>
                <w:w w:val="105"/>
                <w:sz w:val="16"/>
              </w:rPr>
              <w:t>2019</w:t>
            </w:r>
          </w:p>
        </w:tc>
        <w:tc>
          <w:tcPr>
            <w:tcW w:w="549" w:type="dxa"/>
            <w:tcBorders>
              <w:top w:val="single" w:sz="6" w:space="0" w:color="000000"/>
              <w:bottom w:val="single" w:sz="6" w:space="0" w:color="000000"/>
            </w:tcBorders>
          </w:tcPr>
          <w:p>
            <w:pPr>
              <w:pStyle w:val="TableParagraph"/>
              <w:rPr>
                <w:sz w:val="14"/>
              </w:rPr>
            </w:pPr>
          </w:p>
        </w:tc>
      </w:tr>
      <w:tr>
        <w:trPr>
          <w:trHeight w:val="202" w:hRule="atLeast"/>
        </w:trPr>
        <w:tc>
          <w:tcPr>
            <w:tcW w:w="6471" w:type="dxa"/>
            <w:tcBorders>
              <w:top w:val="single" w:sz="6" w:space="0" w:color="000000"/>
            </w:tcBorders>
            <w:shd w:val="clear" w:color="auto" w:fill="CCEDFF"/>
          </w:tcPr>
          <w:p>
            <w:pPr>
              <w:pStyle w:val="TableParagraph"/>
              <w:spacing w:line="180" w:lineRule="exact" w:before="2"/>
              <w:rPr>
                <w:sz w:val="16"/>
              </w:rPr>
            </w:pPr>
            <w:r>
              <w:rPr>
                <w:w w:val="105"/>
                <w:sz w:val="16"/>
              </w:rPr>
              <w:t>Net</w:t>
            </w:r>
            <w:r>
              <w:rPr>
                <w:spacing w:val="-9"/>
                <w:w w:val="105"/>
                <w:sz w:val="16"/>
              </w:rPr>
              <w:t> </w:t>
            </w:r>
            <w:r>
              <w:rPr>
                <w:w w:val="105"/>
                <w:sz w:val="16"/>
              </w:rPr>
              <w:t>income</w:t>
            </w:r>
            <w:r>
              <w:rPr>
                <w:spacing w:val="-9"/>
                <w:w w:val="105"/>
                <w:sz w:val="16"/>
              </w:rPr>
              <w:t> </w:t>
            </w:r>
            <w:r>
              <w:rPr>
                <w:w w:val="105"/>
                <w:sz w:val="16"/>
              </w:rPr>
              <w:t>attributable</w:t>
            </w:r>
            <w:r>
              <w:rPr>
                <w:spacing w:val="-9"/>
                <w:w w:val="105"/>
                <w:sz w:val="16"/>
              </w:rPr>
              <w:t> </w:t>
            </w:r>
            <w:r>
              <w:rPr>
                <w:w w:val="105"/>
                <w:sz w:val="16"/>
              </w:rPr>
              <w:t>to</w:t>
            </w:r>
            <w:r>
              <w:rPr>
                <w:spacing w:val="-9"/>
                <w:w w:val="105"/>
                <w:sz w:val="16"/>
              </w:rPr>
              <w:t> </w:t>
            </w:r>
            <w:r>
              <w:rPr>
                <w:w w:val="105"/>
                <w:sz w:val="16"/>
              </w:rPr>
              <w:t>Corning</w:t>
            </w:r>
            <w:r>
              <w:rPr>
                <w:spacing w:val="-9"/>
                <w:w w:val="105"/>
                <w:sz w:val="16"/>
              </w:rPr>
              <w:t> </w:t>
            </w:r>
            <w:r>
              <w:rPr>
                <w:spacing w:val="-2"/>
                <w:w w:val="105"/>
                <w:sz w:val="16"/>
              </w:rPr>
              <w:t>Incorporated</w:t>
            </w:r>
          </w:p>
        </w:tc>
        <w:tc>
          <w:tcPr>
            <w:tcW w:w="1014"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531" w:type="dxa"/>
            <w:tcBorders>
              <w:top w:val="single" w:sz="6" w:space="0" w:color="000000"/>
            </w:tcBorders>
            <w:shd w:val="clear" w:color="auto" w:fill="CCEDFF"/>
          </w:tcPr>
          <w:p>
            <w:pPr>
              <w:pStyle w:val="TableParagraph"/>
              <w:spacing w:line="180" w:lineRule="exact" w:before="2"/>
              <w:ind w:left="49"/>
              <w:jc w:val="center"/>
              <w:rPr>
                <w:b/>
                <w:sz w:val="16"/>
              </w:rPr>
            </w:pPr>
            <w:r>
              <w:rPr>
                <w:b/>
                <w:spacing w:val="-4"/>
                <w:w w:val="105"/>
                <w:sz w:val="16"/>
              </w:rPr>
              <w:t>1,906</w:t>
            </w:r>
          </w:p>
        </w:tc>
        <w:tc>
          <w:tcPr>
            <w:tcW w:w="1839" w:type="dxa"/>
            <w:tcBorders>
              <w:top w:val="single" w:sz="6" w:space="0" w:color="000000"/>
            </w:tcBorders>
            <w:shd w:val="clear" w:color="auto" w:fill="CCEDFF"/>
          </w:tcPr>
          <w:p>
            <w:pPr>
              <w:pStyle w:val="TableParagraph"/>
              <w:tabs>
                <w:tab w:pos="1416" w:val="left" w:leader="none"/>
              </w:tabs>
              <w:spacing w:line="180" w:lineRule="exact" w:before="2"/>
              <w:ind w:left="174"/>
              <w:rPr>
                <w:sz w:val="16"/>
              </w:rPr>
            </w:pPr>
            <w:r>
              <w:rPr>
                <w:spacing w:val="-10"/>
                <w:w w:val="105"/>
                <w:sz w:val="16"/>
              </w:rPr>
              <w:t>$</w:t>
            </w:r>
            <w:r>
              <w:rPr>
                <w:sz w:val="16"/>
              </w:rPr>
              <w:tab/>
            </w:r>
            <w:r>
              <w:rPr>
                <w:spacing w:val="-5"/>
                <w:w w:val="105"/>
                <w:sz w:val="16"/>
              </w:rPr>
              <w:t>512</w:t>
            </w:r>
          </w:p>
        </w:tc>
        <w:tc>
          <w:tcPr>
            <w:tcW w:w="1111" w:type="dxa"/>
            <w:tcBorders>
              <w:top w:val="single" w:sz="6" w:space="0" w:color="000000"/>
            </w:tcBorders>
            <w:shd w:val="clear" w:color="auto" w:fill="CCEDFF"/>
          </w:tcPr>
          <w:p>
            <w:pPr>
              <w:pStyle w:val="TableParagraph"/>
              <w:spacing w:line="180" w:lineRule="exact" w:before="2"/>
              <w:ind w:left="55"/>
              <w:rPr>
                <w:sz w:val="16"/>
              </w:rPr>
            </w:pPr>
            <w:r>
              <w:rPr>
                <w:spacing w:val="-10"/>
                <w:w w:val="105"/>
                <w:sz w:val="16"/>
              </w:rPr>
              <w:t>$</w:t>
            </w:r>
          </w:p>
        </w:tc>
        <w:tc>
          <w:tcPr>
            <w:tcW w:w="549" w:type="dxa"/>
            <w:tcBorders>
              <w:top w:val="single" w:sz="6" w:space="0" w:color="000000"/>
            </w:tcBorders>
            <w:shd w:val="clear" w:color="auto" w:fill="CCEDFF"/>
          </w:tcPr>
          <w:p>
            <w:pPr>
              <w:pStyle w:val="TableParagraph"/>
              <w:spacing w:line="180" w:lineRule="exact" w:before="2"/>
              <w:ind w:right="112"/>
              <w:jc w:val="right"/>
              <w:rPr>
                <w:sz w:val="16"/>
              </w:rPr>
            </w:pPr>
            <w:r>
              <w:rPr>
                <w:spacing w:val="-5"/>
                <w:w w:val="105"/>
                <w:sz w:val="16"/>
              </w:rPr>
              <w:t>960</w:t>
            </w:r>
          </w:p>
        </w:tc>
      </w:tr>
      <w:tr>
        <w:trPr>
          <w:trHeight w:val="203" w:hRule="atLeast"/>
        </w:trPr>
        <w:tc>
          <w:tcPr>
            <w:tcW w:w="6471" w:type="dxa"/>
          </w:tcPr>
          <w:p>
            <w:pPr>
              <w:pStyle w:val="TableParagraph"/>
              <w:spacing w:line="180" w:lineRule="exact" w:before="3"/>
              <w:rPr>
                <w:sz w:val="16"/>
              </w:rPr>
            </w:pPr>
            <w:r>
              <w:rPr>
                <w:w w:val="105"/>
                <w:sz w:val="16"/>
              </w:rPr>
              <w:t>Less:</w:t>
            </w:r>
            <w:r>
              <w:rPr>
                <w:spacing w:val="-10"/>
                <w:w w:val="105"/>
                <w:sz w:val="16"/>
              </w:rPr>
              <w:t> </w:t>
            </w:r>
            <w:r>
              <w:rPr>
                <w:w w:val="105"/>
                <w:sz w:val="16"/>
              </w:rPr>
              <w:t>Series</w:t>
            </w:r>
            <w:r>
              <w:rPr>
                <w:spacing w:val="-10"/>
                <w:w w:val="105"/>
                <w:sz w:val="16"/>
              </w:rPr>
              <w:t> </w:t>
            </w:r>
            <w:r>
              <w:rPr>
                <w:w w:val="105"/>
                <w:sz w:val="16"/>
              </w:rPr>
              <w:t>A</w:t>
            </w:r>
            <w:r>
              <w:rPr>
                <w:spacing w:val="-10"/>
                <w:w w:val="105"/>
                <w:sz w:val="16"/>
              </w:rPr>
              <w:t> </w:t>
            </w:r>
            <w:r>
              <w:rPr>
                <w:w w:val="105"/>
                <w:sz w:val="16"/>
              </w:rPr>
              <w:t>convertible</w:t>
            </w:r>
            <w:r>
              <w:rPr>
                <w:spacing w:val="-10"/>
                <w:w w:val="105"/>
                <w:sz w:val="16"/>
              </w:rPr>
              <w:t> </w:t>
            </w:r>
            <w:r>
              <w:rPr>
                <w:w w:val="105"/>
                <w:sz w:val="16"/>
              </w:rPr>
              <w:t>preferred</w:t>
            </w:r>
            <w:r>
              <w:rPr>
                <w:spacing w:val="-9"/>
                <w:w w:val="105"/>
                <w:sz w:val="16"/>
              </w:rPr>
              <w:t> </w:t>
            </w:r>
            <w:r>
              <w:rPr>
                <w:w w:val="105"/>
                <w:sz w:val="16"/>
              </w:rPr>
              <w:t>stock</w:t>
            </w:r>
            <w:r>
              <w:rPr>
                <w:spacing w:val="-10"/>
                <w:w w:val="105"/>
                <w:sz w:val="16"/>
              </w:rPr>
              <w:t> </w:t>
            </w:r>
            <w:r>
              <w:rPr>
                <w:spacing w:val="-2"/>
                <w:w w:val="105"/>
                <w:sz w:val="16"/>
              </w:rPr>
              <w:t>dividend</w:t>
            </w:r>
          </w:p>
        </w:tc>
        <w:tc>
          <w:tcPr>
            <w:tcW w:w="1014" w:type="dxa"/>
          </w:tcPr>
          <w:p>
            <w:pPr>
              <w:pStyle w:val="TableParagraph"/>
              <w:rPr>
                <w:sz w:val="14"/>
              </w:rPr>
            </w:pPr>
          </w:p>
        </w:tc>
        <w:tc>
          <w:tcPr>
            <w:tcW w:w="531" w:type="dxa"/>
          </w:tcPr>
          <w:p>
            <w:pPr>
              <w:pStyle w:val="TableParagraph"/>
              <w:spacing w:line="180" w:lineRule="exact" w:before="3"/>
              <w:ind w:left="256"/>
              <w:jc w:val="center"/>
              <w:rPr>
                <w:b/>
                <w:sz w:val="16"/>
              </w:rPr>
            </w:pPr>
            <w:r>
              <w:rPr>
                <w:b/>
                <w:spacing w:val="-5"/>
                <w:w w:val="105"/>
                <w:sz w:val="16"/>
              </w:rPr>
              <w:t>24</w:t>
            </w:r>
          </w:p>
        </w:tc>
        <w:tc>
          <w:tcPr>
            <w:tcW w:w="1839" w:type="dxa"/>
          </w:tcPr>
          <w:p>
            <w:pPr>
              <w:pStyle w:val="TableParagraph"/>
              <w:spacing w:line="180" w:lineRule="exact" w:before="3"/>
              <w:ind w:right="171"/>
              <w:jc w:val="right"/>
              <w:rPr>
                <w:sz w:val="16"/>
              </w:rPr>
            </w:pPr>
            <w:r>
              <w:rPr>
                <w:spacing w:val="-5"/>
                <w:w w:val="105"/>
                <w:sz w:val="16"/>
              </w:rPr>
              <w:t>98</w:t>
            </w:r>
          </w:p>
        </w:tc>
        <w:tc>
          <w:tcPr>
            <w:tcW w:w="1111" w:type="dxa"/>
          </w:tcPr>
          <w:p>
            <w:pPr>
              <w:pStyle w:val="TableParagraph"/>
              <w:rPr>
                <w:sz w:val="14"/>
              </w:rPr>
            </w:pPr>
          </w:p>
        </w:tc>
        <w:tc>
          <w:tcPr>
            <w:tcW w:w="549" w:type="dxa"/>
          </w:tcPr>
          <w:p>
            <w:pPr>
              <w:pStyle w:val="TableParagraph"/>
              <w:spacing w:line="180" w:lineRule="exact" w:before="3"/>
              <w:ind w:right="112"/>
              <w:jc w:val="right"/>
              <w:rPr>
                <w:sz w:val="16"/>
              </w:rPr>
            </w:pPr>
            <w:r>
              <w:rPr>
                <w:spacing w:val="-5"/>
                <w:w w:val="105"/>
                <w:sz w:val="16"/>
              </w:rPr>
              <w:t>98</w:t>
            </w:r>
          </w:p>
        </w:tc>
      </w:tr>
      <w:tr>
        <w:trPr>
          <w:trHeight w:val="202" w:hRule="atLeast"/>
        </w:trPr>
        <w:tc>
          <w:tcPr>
            <w:tcW w:w="6471" w:type="dxa"/>
            <w:tcBorders>
              <w:bottom w:val="single" w:sz="6" w:space="0" w:color="000000"/>
            </w:tcBorders>
            <w:shd w:val="clear" w:color="auto" w:fill="CCEDFF"/>
          </w:tcPr>
          <w:p>
            <w:pPr>
              <w:pStyle w:val="TableParagraph"/>
              <w:spacing w:line="179" w:lineRule="exact" w:before="3"/>
              <w:rPr>
                <w:sz w:val="16"/>
              </w:rPr>
            </w:pPr>
            <w:r>
              <w:rPr>
                <w:w w:val="105"/>
                <w:sz w:val="16"/>
              </w:rPr>
              <w:t>Less:</w:t>
            </w:r>
            <w:r>
              <w:rPr>
                <w:spacing w:val="-11"/>
                <w:w w:val="105"/>
                <w:sz w:val="16"/>
              </w:rPr>
              <w:t> </w:t>
            </w:r>
            <w:r>
              <w:rPr>
                <w:w w:val="105"/>
                <w:sz w:val="16"/>
              </w:rPr>
              <w:t>Excess</w:t>
            </w:r>
            <w:r>
              <w:rPr>
                <w:spacing w:val="-10"/>
                <w:w w:val="105"/>
                <w:sz w:val="16"/>
              </w:rPr>
              <w:t> </w:t>
            </w:r>
            <w:r>
              <w:rPr>
                <w:w w:val="105"/>
                <w:sz w:val="16"/>
              </w:rPr>
              <w:t>consideration</w:t>
            </w:r>
            <w:r>
              <w:rPr>
                <w:spacing w:val="-10"/>
                <w:w w:val="105"/>
                <w:sz w:val="16"/>
              </w:rPr>
              <w:t> </w:t>
            </w:r>
            <w:r>
              <w:rPr>
                <w:w w:val="105"/>
                <w:sz w:val="16"/>
              </w:rPr>
              <w:t>paid</w:t>
            </w:r>
            <w:r>
              <w:rPr>
                <w:spacing w:val="-10"/>
                <w:w w:val="105"/>
                <w:sz w:val="16"/>
              </w:rPr>
              <w:t> </w:t>
            </w:r>
            <w:r>
              <w:rPr>
                <w:w w:val="105"/>
                <w:sz w:val="16"/>
              </w:rPr>
              <w:t>for</w:t>
            </w:r>
            <w:r>
              <w:rPr>
                <w:spacing w:val="-10"/>
                <w:w w:val="105"/>
                <w:sz w:val="16"/>
              </w:rPr>
              <w:t> </w:t>
            </w:r>
            <w:r>
              <w:rPr>
                <w:w w:val="105"/>
                <w:sz w:val="16"/>
              </w:rPr>
              <w:t>redemption</w:t>
            </w:r>
            <w:r>
              <w:rPr>
                <w:spacing w:val="-10"/>
                <w:w w:val="105"/>
                <w:sz w:val="16"/>
              </w:rPr>
              <w:t> </w:t>
            </w:r>
            <w:r>
              <w:rPr>
                <w:w w:val="105"/>
                <w:sz w:val="16"/>
              </w:rPr>
              <w:t>of</w:t>
            </w:r>
            <w:r>
              <w:rPr>
                <w:spacing w:val="-10"/>
                <w:w w:val="105"/>
                <w:sz w:val="16"/>
              </w:rPr>
              <w:t> </w:t>
            </w:r>
            <w:r>
              <w:rPr>
                <w:w w:val="105"/>
                <w:sz w:val="16"/>
              </w:rPr>
              <w:t>preferred</w:t>
            </w:r>
            <w:r>
              <w:rPr>
                <w:spacing w:val="-10"/>
                <w:w w:val="105"/>
                <w:sz w:val="16"/>
              </w:rPr>
              <w:t> </w:t>
            </w:r>
            <w:r>
              <w:rPr>
                <w:spacing w:val="-2"/>
                <w:w w:val="105"/>
                <w:sz w:val="16"/>
              </w:rPr>
              <w:t>stock</w:t>
            </w:r>
          </w:p>
        </w:tc>
        <w:tc>
          <w:tcPr>
            <w:tcW w:w="1014" w:type="dxa"/>
            <w:tcBorders>
              <w:bottom w:val="single" w:sz="6" w:space="0" w:color="000000"/>
            </w:tcBorders>
            <w:shd w:val="clear" w:color="auto" w:fill="CCEDFF"/>
          </w:tcPr>
          <w:p>
            <w:pPr>
              <w:pStyle w:val="TableParagraph"/>
              <w:rPr>
                <w:sz w:val="14"/>
              </w:rPr>
            </w:pPr>
          </w:p>
        </w:tc>
        <w:tc>
          <w:tcPr>
            <w:tcW w:w="531" w:type="dxa"/>
            <w:tcBorders>
              <w:bottom w:val="single" w:sz="6" w:space="0" w:color="000000"/>
            </w:tcBorders>
            <w:shd w:val="clear" w:color="auto" w:fill="CCEDFF"/>
          </w:tcPr>
          <w:p>
            <w:pPr>
              <w:pStyle w:val="TableParagraph"/>
              <w:spacing w:line="179" w:lineRule="exact" w:before="3"/>
              <w:ind w:left="173"/>
              <w:jc w:val="center"/>
              <w:rPr>
                <w:b/>
                <w:sz w:val="16"/>
              </w:rPr>
            </w:pPr>
            <w:r>
              <w:rPr>
                <w:b/>
                <w:spacing w:val="-5"/>
                <w:w w:val="105"/>
                <w:sz w:val="16"/>
              </w:rPr>
              <w:t>803</w:t>
            </w:r>
          </w:p>
        </w:tc>
        <w:tc>
          <w:tcPr>
            <w:tcW w:w="1839" w:type="dxa"/>
            <w:tcBorders>
              <w:bottom w:val="single" w:sz="6" w:space="0" w:color="000000"/>
            </w:tcBorders>
            <w:shd w:val="clear" w:color="auto" w:fill="CCEDFF"/>
          </w:tcPr>
          <w:p>
            <w:pPr>
              <w:pStyle w:val="TableParagraph"/>
              <w:rPr>
                <w:sz w:val="14"/>
              </w:rPr>
            </w:pPr>
          </w:p>
        </w:tc>
        <w:tc>
          <w:tcPr>
            <w:tcW w:w="1111" w:type="dxa"/>
            <w:tcBorders>
              <w:bottom w:val="single" w:sz="6" w:space="0" w:color="000000"/>
            </w:tcBorders>
            <w:shd w:val="clear" w:color="auto" w:fill="CCEDFF"/>
          </w:tcPr>
          <w:p>
            <w:pPr>
              <w:pStyle w:val="TableParagraph"/>
              <w:rPr>
                <w:sz w:val="14"/>
              </w:rPr>
            </w:pPr>
          </w:p>
        </w:tc>
        <w:tc>
          <w:tcPr>
            <w:tcW w:w="549" w:type="dxa"/>
            <w:tcBorders>
              <w:bottom w:val="single" w:sz="6" w:space="0" w:color="000000"/>
            </w:tcBorders>
            <w:shd w:val="clear" w:color="auto" w:fill="CCEDFF"/>
          </w:tcPr>
          <w:p>
            <w:pPr>
              <w:pStyle w:val="TableParagraph"/>
              <w:rPr>
                <w:sz w:val="14"/>
              </w:rPr>
            </w:pPr>
          </w:p>
        </w:tc>
      </w:tr>
      <w:tr>
        <w:trPr>
          <w:trHeight w:val="202" w:hRule="atLeast"/>
        </w:trPr>
        <w:tc>
          <w:tcPr>
            <w:tcW w:w="6471" w:type="dxa"/>
            <w:tcBorders>
              <w:top w:val="single" w:sz="6" w:space="0" w:color="000000"/>
            </w:tcBorders>
          </w:tcPr>
          <w:p>
            <w:pPr>
              <w:pStyle w:val="TableParagraph"/>
              <w:spacing w:line="180" w:lineRule="exact" w:before="2"/>
              <w:rPr>
                <w:sz w:val="16"/>
              </w:rPr>
            </w:pPr>
            <w:r>
              <w:rPr>
                <w:w w:val="105"/>
                <w:sz w:val="16"/>
              </w:rPr>
              <w:t>Net</w:t>
            </w:r>
            <w:r>
              <w:rPr>
                <w:spacing w:val="-11"/>
                <w:w w:val="105"/>
                <w:sz w:val="16"/>
              </w:rPr>
              <w:t> </w:t>
            </w:r>
            <w:r>
              <w:rPr>
                <w:w w:val="105"/>
                <w:sz w:val="16"/>
              </w:rPr>
              <w:t>income</w:t>
            </w:r>
            <w:r>
              <w:rPr>
                <w:spacing w:val="-10"/>
                <w:w w:val="105"/>
                <w:sz w:val="16"/>
              </w:rPr>
              <w:t> </w:t>
            </w:r>
            <w:r>
              <w:rPr>
                <w:w w:val="105"/>
                <w:sz w:val="16"/>
              </w:rPr>
              <w:t>available</w:t>
            </w:r>
            <w:r>
              <w:rPr>
                <w:spacing w:val="-10"/>
                <w:w w:val="105"/>
                <w:sz w:val="16"/>
              </w:rPr>
              <w:t> </w:t>
            </w:r>
            <w:r>
              <w:rPr>
                <w:w w:val="105"/>
                <w:sz w:val="16"/>
              </w:rPr>
              <w:t>to</w:t>
            </w:r>
            <w:r>
              <w:rPr>
                <w:spacing w:val="-11"/>
                <w:w w:val="105"/>
                <w:sz w:val="16"/>
              </w:rPr>
              <w:t> </w:t>
            </w:r>
            <w:r>
              <w:rPr>
                <w:w w:val="105"/>
                <w:sz w:val="16"/>
              </w:rPr>
              <w:t>common</w:t>
            </w:r>
            <w:r>
              <w:rPr>
                <w:spacing w:val="-10"/>
                <w:w w:val="105"/>
                <w:sz w:val="16"/>
              </w:rPr>
              <w:t> </w:t>
            </w:r>
            <w:r>
              <w:rPr>
                <w:w w:val="105"/>
                <w:sz w:val="16"/>
              </w:rPr>
              <w:t>shareholders</w:t>
            </w:r>
            <w:r>
              <w:rPr>
                <w:spacing w:val="-11"/>
                <w:w w:val="105"/>
                <w:sz w:val="16"/>
              </w:rPr>
              <w:t> </w:t>
            </w:r>
            <w:r>
              <w:rPr>
                <w:w w:val="105"/>
                <w:sz w:val="16"/>
              </w:rPr>
              <w:t>-</w:t>
            </w:r>
            <w:r>
              <w:rPr>
                <w:spacing w:val="-10"/>
                <w:w w:val="105"/>
                <w:sz w:val="16"/>
              </w:rPr>
              <w:t> </w:t>
            </w:r>
            <w:r>
              <w:rPr>
                <w:spacing w:val="-2"/>
                <w:w w:val="105"/>
                <w:sz w:val="16"/>
              </w:rPr>
              <w:t>basic</w:t>
            </w:r>
          </w:p>
        </w:tc>
        <w:tc>
          <w:tcPr>
            <w:tcW w:w="1014" w:type="dxa"/>
            <w:tcBorders>
              <w:top w:val="single" w:sz="6" w:space="0" w:color="000000"/>
            </w:tcBorders>
          </w:tcPr>
          <w:p>
            <w:pPr>
              <w:pStyle w:val="TableParagraph"/>
              <w:rPr>
                <w:sz w:val="14"/>
              </w:rPr>
            </w:pPr>
          </w:p>
        </w:tc>
        <w:tc>
          <w:tcPr>
            <w:tcW w:w="531" w:type="dxa"/>
            <w:tcBorders>
              <w:top w:val="single" w:sz="6" w:space="0" w:color="000000"/>
            </w:tcBorders>
          </w:tcPr>
          <w:p>
            <w:pPr>
              <w:pStyle w:val="TableParagraph"/>
              <w:spacing w:line="180" w:lineRule="exact" w:before="2"/>
              <w:ind w:left="49"/>
              <w:jc w:val="center"/>
              <w:rPr>
                <w:b/>
                <w:sz w:val="16"/>
              </w:rPr>
            </w:pPr>
            <w:r>
              <w:rPr>
                <w:b/>
                <w:spacing w:val="-4"/>
                <w:w w:val="105"/>
                <w:sz w:val="16"/>
              </w:rPr>
              <w:t>1,079</w:t>
            </w:r>
          </w:p>
        </w:tc>
        <w:tc>
          <w:tcPr>
            <w:tcW w:w="1839" w:type="dxa"/>
            <w:tcBorders>
              <w:top w:val="single" w:sz="6" w:space="0" w:color="000000"/>
            </w:tcBorders>
          </w:tcPr>
          <w:p>
            <w:pPr>
              <w:pStyle w:val="TableParagraph"/>
              <w:spacing w:line="180" w:lineRule="exact" w:before="2"/>
              <w:ind w:right="171"/>
              <w:jc w:val="right"/>
              <w:rPr>
                <w:sz w:val="16"/>
              </w:rPr>
            </w:pPr>
            <w:r>
              <w:rPr>
                <w:spacing w:val="-5"/>
                <w:w w:val="105"/>
                <w:sz w:val="16"/>
              </w:rPr>
              <w:t>414</w:t>
            </w:r>
          </w:p>
        </w:tc>
        <w:tc>
          <w:tcPr>
            <w:tcW w:w="1111" w:type="dxa"/>
            <w:tcBorders>
              <w:top w:val="single" w:sz="6" w:space="0" w:color="000000"/>
            </w:tcBorders>
          </w:tcPr>
          <w:p>
            <w:pPr>
              <w:pStyle w:val="TableParagraph"/>
              <w:rPr>
                <w:sz w:val="14"/>
              </w:rPr>
            </w:pPr>
          </w:p>
        </w:tc>
        <w:tc>
          <w:tcPr>
            <w:tcW w:w="549" w:type="dxa"/>
            <w:tcBorders>
              <w:top w:val="single" w:sz="6" w:space="0" w:color="000000"/>
            </w:tcBorders>
          </w:tcPr>
          <w:p>
            <w:pPr>
              <w:pStyle w:val="TableParagraph"/>
              <w:spacing w:line="180" w:lineRule="exact" w:before="2"/>
              <w:ind w:right="112"/>
              <w:jc w:val="right"/>
              <w:rPr>
                <w:sz w:val="16"/>
              </w:rPr>
            </w:pPr>
            <w:r>
              <w:rPr>
                <w:spacing w:val="-5"/>
                <w:w w:val="105"/>
                <w:sz w:val="16"/>
              </w:rPr>
              <w:t>862</w:t>
            </w:r>
          </w:p>
        </w:tc>
      </w:tr>
      <w:tr>
        <w:trPr>
          <w:trHeight w:val="202" w:hRule="atLeast"/>
        </w:trPr>
        <w:tc>
          <w:tcPr>
            <w:tcW w:w="6471" w:type="dxa"/>
            <w:tcBorders>
              <w:bottom w:val="single" w:sz="6" w:space="0" w:color="000000"/>
            </w:tcBorders>
            <w:shd w:val="clear" w:color="auto" w:fill="CCEDFF"/>
          </w:tcPr>
          <w:p>
            <w:pPr>
              <w:pStyle w:val="TableParagraph"/>
              <w:spacing w:line="179" w:lineRule="exact" w:before="3"/>
              <w:rPr>
                <w:sz w:val="16"/>
              </w:rPr>
            </w:pPr>
            <w:r>
              <w:rPr>
                <w:w w:val="105"/>
                <w:sz w:val="16"/>
              </w:rPr>
              <w:t>Plus:</w:t>
            </w:r>
            <w:r>
              <w:rPr>
                <w:spacing w:val="-10"/>
                <w:w w:val="105"/>
                <w:sz w:val="16"/>
              </w:rPr>
              <w:t> </w:t>
            </w:r>
            <w:r>
              <w:rPr>
                <w:w w:val="105"/>
                <w:sz w:val="16"/>
              </w:rPr>
              <w:t>Series</w:t>
            </w:r>
            <w:r>
              <w:rPr>
                <w:spacing w:val="-10"/>
                <w:w w:val="105"/>
                <w:sz w:val="16"/>
              </w:rPr>
              <w:t> </w:t>
            </w:r>
            <w:r>
              <w:rPr>
                <w:w w:val="105"/>
                <w:sz w:val="16"/>
              </w:rPr>
              <w:t>A</w:t>
            </w:r>
            <w:r>
              <w:rPr>
                <w:spacing w:val="-10"/>
                <w:w w:val="105"/>
                <w:sz w:val="16"/>
              </w:rPr>
              <w:t> </w:t>
            </w:r>
            <w:r>
              <w:rPr>
                <w:w w:val="105"/>
                <w:sz w:val="16"/>
              </w:rPr>
              <w:t>convertible</w:t>
            </w:r>
            <w:r>
              <w:rPr>
                <w:spacing w:val="-9"/>
                <w:w w:val="105"/>
                <w:sz w:val="16"/>
              </w:rPr>
              <w:t> </w:t>
            </w:r>
            <w:r>
              <w:rPr>
                <w:w w:val="105"/>
                <w:sz w:val="16"/>
              </w:rPr>
              <w:t>preferred</w:t>
            </w:r>
            <w:r>
              <w:rPr>
                <w:spacing w:val="-10"/>
                <w:w w:val="105"/>
                <w:sz w:val="16"/>
              </w:rPr>
              <w:t> </w:t>
            </w:r>
            <w:r>
              <w:rPr>
                <w:w w:val="105"/>
                <w:sz w:val="16"/>
              </w:rPr>
              <w:t>stock</w:t>
            </w:r>
            <w:r>
              <w:rPr>
                <w:spacing w:val="-10"/>
                <w:w w:val="105"/>
                <w:sz w:val="16"/>
              </w:rPr>
              <w:t> </w:t>
            </w:r>
            <w:r>
              <w:rPr>
                <w:spacing w:val="-2"/>
                <w:w w:val="105"/>
                <w:sz w:val="16"/>
              </w:rPr>
              <w:t>dividend</w:t>
            </w:r>
          </w:p>
        </w:tc>
        <w:tc>
          <w:tcPr>
            <w:tcW w:w="1014" w:type="dxa"/>
            <w:tcBorders>
              <w:bottom w:val="single" w:sz="6" w:space="0" w:color="000000"/>
            </w:tcBorders>
            <w:shd w:val="clear" w:color="auto" w:fill="CCEDFF"/>
          </w:tcPr>
          <w:p>
            <w:pPr>
              <w:pStyle w:val="TableParagraph"/>
              <w:rPr>
                <w:sz w:val="14"/>
              </w:rPr>
            </w:pPr>
          </w:p>
        </w:tc>
        <w:tc>
          <w:tcPr>
            <w:tcW w:w="531" w:type="dxa"/>
            <w:tcBorders>
              <w:bottom w:val="single" w:sz="6" w:space="0" w:color="000000"/>
            </w:tcBorders>
            <w:shd w:val="clear" w:color="auto" w:fill="CCEDFF"/>
          </w:tcPr>
          <w:p>
            <w:pPr>
              <w:pStyle w:val="TableParagraph"/>
              <w:rPr>
                <w:sz w:val="14"/>
              </w:rPr>
            </w:pPr>
          </w:p>
        </w:tc>
        <w:tc>
          <w:tcPr>
            <w:tcW w:w="1839" w:type="dxa"/>
            <w:tcBorders>
              <w:bottom w:val="single" w:sz="6" w:space="0" w:color="000000"/>
            </w:tcBorders>
            <w:shd w:val="clear" w:color="auto" w:fill="CCEDFF"/>
          </w:tcPr>
          <w:p>
            <w:pPr>
              <w:pStyle w:val="TableParagraph"/>
              <w:rPr>
                <w:sz w:val="14"/>
              </w:rPr>
            </w:pPr>
          </w:p>
        </w:tc>
        <w:tc>
          <w:tcPr>
            <w:tcW w:w="1111" w:type="dxa"/>
            <w:tcBorders>
              <w:bottom w:val="single" w:sz="6" w:space="0" w:color="000000"/>
            </w:tcBorders>
            <w:shd w:val="clear" w:color="auto" w:fill="CCEDFF"/>
          </w:tcPr>
          <w:p>
            <w:pPr>
              <w:pStyle w:val="TableParagraph"/>
              <w:rPr>
                <w:sz w:val="14"/>
              </w:rPr>
            </w:pPr>
          </w:p>
        </w:tc>
        <w:tc>
          <w:tcPr>
            <w:tcW w:w="549" w:type="dxa"/>
            <w:tcBorders>
              <w:bottom w:val="single" w:sz="6" w:space="0" w:color="000000"/>
            </w:tcBorders>
            <w:shd w:val="clear" w:color="auto" w:fill="CCEDFF"/>
          </w:tcPr>
          <w:p>
            <w:pPr>
              <w:pStyle w:val="TableParagraph"/>
              <w:spacing w:line="179" w:lineRule="exact" w:before="3"/>
              <w:ind w:right="112"/>
              <w:jc w:val="right"/>
              <w:rPr>
                <w:sz w:val="16"/>
              </w:rPr>
            </w:pPr>
            <w:r>
              <w:rPr>
                <w:spacing w:val="-5"/>
                <w:w w:val="105"/>
                <w:sz w:val="16"/>
              </w:rPr>
              <w:t>98</w:t>
            </w:r>
          </w:p>
        </w:tc>
      </w:tr>
      <w:tr>
        <w:trPr>
          <w:trHeight w:val="199" w:hRule="atLeast"/>
        </w:trPr>
        <w:tc>
          <w:tcPr>
            <w:tcW w:w="6471" w:type="dxa"/>
            <w:tcBorders>
              <w:top w:val="single" w:sz="6" w:space="0" w:color="000000"/>
              <w:bottom w:val="double" w:sz="6" w:space="0" w:color="000000"/>
            </w:tcBorders>
          </w:tcPr>
          <w:p>
            <w:pPr>
              <w:pStyle w:val="TableParagraph"/>
              <w:spacing w:line="177" w:lineRule="exact" w:before="2"/>
              <w:rPr>
                <w:sz w:val="16"/>
              </w:rPr>
            </w:pPr>
            <w:r>
              <w:rPr>
                <w:w w:val="105"/>
                <w:sz w:val="16"/>
              </w:rPr>
              <w:t>Net</w:t>
            </w:r>
            <w:r>
              <w:rPr>
                <w:spacing w:val="-10"/>
                <w:w w:val="105"/>
                <w:sz w:val="16"/>
              </w:rPr>
              <w:t> </w:t>
            </w:r>
            <w:r>
              <w:rPr>
                <w:w w:val="105"/>
                <w:sz w:val="16"/>
              </w:rPr>
              <w:t>income</w:t>
            </w:r>
            <w:r>
              <w:rPr>
                <w:spacing w:val="-9"/>
                <w:w w:val="105"/>
                <w:sz w:val="16"/>
              </w:rPr>
              <w:t> </w:t>
            </w:r>
            <w:r>
              <w:rPr>
                <w:w w:val="105"/>
                <w:sz w:val="16"/>
              </w:rPr>
              <w:t>available</w:t>
            </w:r>
            <w:r>
              <w:rPr>
                <w:spacing w:val="-10"/>
                <w:w w:val="105"/>
                <w:sz w:val="16"/>
              </w:rPr>
              <w:t> </w:t>
            </w:r>
            <w:r>
              <w:rPr>
                <w:w w:val="105"/>
                <w:sz w:val="16"/>
              </w:rPr>
              <w:t>to</w:t>
            </w:r>
            <w:r>
              <w:rPr>
                <w:spacing w:val="-9"/>
                <w:w w:val="105"/>
                <w:sz w:val="16"/>
              </w:rPr>
              <w:t> </w:t>
            </w:r>
            <w:r>
              <w:rPr>
                <w:w w:val="105"/>
                <w:sz w:val="16"/>
              </w:rPr>
              <w:t>common</w:t>
            </w:r>
            <w:r>
              <w:rPr>
                <w:spacing w:val="-9"/>
                <w:w w:val="105"/>
                <w:sz w:val="16"/>
              </w:rPr>
              <w:t> </w:t>
            </w:r>
            <w:r>
              <w:rPr>
                <w:w w:val="105"/>
                <w:sz w:val="16"/>
              </w:rPr>
              <w:t>shareholders</w:t>
            </w:r>
            <w:r>
              <w:rPr>
                <w:spacing w:val="-10"/>
                <w:w w:val="105"/>
                <w:sz w:val="16"/>
              </w:rPr>
              <w:t> </w:t>
            </w:r>
            <w:r>
              <w:rPr>
                <w:w w:val="105"/>
                <w:sz w:val="16"/>
              </w:rPr>
              <w:t>-</w:t>
            </w:r>
            <w:r>
              <w:rPr>
                <w:spacing w:val="-9"/>
                <w:w w:val="105"/>
                <w:sz w:val="16"/>
              </w:rPr>
              <w:t> </w:t>
            </w:r>
            <w:r>
              <w:rPr>
                <w:spacing w:val="-2"/>
                <w:w w:val="105"/>
                <w:sz w:val="16"/>
              </w:rPr>
              <w:t>diluted</w:t>
            </w:r>
          </w:p>
        </w:tc>
        <w:tc>
          <w:tcPr>
            <w:tcW w:w="1014" w:type="dxa"/>
            <w:tcBorders>
              <w:top w:val="single" w:sz="6" w:space="0" w:color="000000"/>
              <w:bottom w:val="double" w:sz="6" w:space="0" w:color="000000"/>
            </w:tcBorders>
          </w:tcPr>
          <w:p>
            <w:pPr>
              <w:pStyle w:val="TableParagraph"/>
              <w:spacing w:line="177" w:lineRule="exact" w:before="2"/>
              <w:rPr>
                <w:b/>
                <w:sz w:val="16"/>
              </w:rPr>
            </w:pPr>
            <w:r>
              <w:rPr>
                <w:b/>
                <w:spacing w:val="-10"/>
                <w:w w:val="105"/>
                <w:sz w:val="16"/>
              </w:rPr>
              <w:t>$</w:t>
            </w:r>
          </w:p>
        </w:tc>
        <w:tc>
          <w:tcPr>
            <w:tcW w:w="531" w:type="dxa"/>
            <w:tcBorders>
              <w:top w:val="single" w:sz="6" w:space="0" w:color="000000"/>
              <w:bottom w:val="double" w:sz="6" w:space="0" w:color="000000"/>
            </w:tcBorders>
          </w:tcPr>
          <w:p>
            <w:pPr>
              <w:pStyle w:val="TableParagraph"/>
              <w:spacing w:line="177" w:lineRule="exact" w:before="2"/>
              <w:ind w:left="49"/>
              <w:jc w:val="center"/>
              <w:rPr>
                <w:b/>
                <w:sz w:val="16"/>
              </w:rPr>
            </w:pPr>
            <w:r>
              <w:rPr>
                <w:b/>
                <w:spacing w:val="-4"/>
                <w:w w:val="105"/>
                <w:sz w:val="16"/>
              </w:rPr>
              <w:t>1,079</w:t>
            </w:r>
          </w:p>
        </w:tc>
        <w:tc>
          <w:tcPr>
            <w:tcW w:w="1839" w:type="dxa"/>
            <w:tcBorders>
              <w:top w:val="single" w:sz="6" w:space="0" w:color="000000"/>
              <w:bottom w:val="double" w:sz="6" w:space="0" w:color="000000"/>
            </w:tcBorders>
          </w:tcPr>
          <w:p>
            <w:pPr>
              <w:pStyle w:val="TableParagraph"/>
              <w:tabs>
                <w:tab w:pos="1416" w:val="left" w:leader="none"/>
              </w:tabs>
              <w:spacing w:line="177" w:lineRule="exact" w:before="2"/>
              <w:ind w:left="174"/>
              <w:rPr>
                <w:sz w:val="16"/>
              </w:rPr>
            </w:pPr>
            <w:r>
              <w:rPr>
                <w:spacing w:val="-10"/>
                <w:w w:val="105"/>
                <w:sz w:val="16"/>
              </w:rPr>
              <w:t>$</w:t>
            </w:r>
            <w:r>
              <w:rPr>
                <w:sz w:val="16"/>
              </w:rPr>
              <w:tab/>
            </w:r>
            <w:r>
              <w:rPr>
                <w:spacing w:val="-5"/>
                <w:w w:val="105"/>
                <w:sz w:val="16"/>
              </w:rPr>
              <w:t>414</w:t>
            </w:r>
          </w:p>
        </w:tc>
        <w:tc>
          <w:tcPr>
            <w:tcW w:w="1111" w:type="dxa"/>
            <w:tcBorders>
              <w:top w:val="single" w:sz="6" w:space="0" w:color="000000"/>
              <w:bottom w:val="double" w:sz="6" w:space="0" w:color="000000"/>
            </w:tcBorders>
          </w:tcPr>
          <w:p>
            <w:pPr>
              <w:pStyle w:val="TableParagraph"/>
              <w:spacing w:line="177" w:lineRule="exact" w:before="2"/>
              <w:ind w:left="55"/>
              <w:rPr>
                <w:sz w:val="16"/>
              </w:rPr>
            </w:pPr>
            <w:r>
              <w:rPr>
                <w:spacing w:val="-10"/>
                <w:w w:val="105"/>
                <w:sz w:val="16"/>
              </w:rPr>
              <w:t>$</w:t>
            </w:r>
          </w:p>
        </w:tc>
        <w:tc>
          <w:tcPr>
            <w:tcW w:w="549" w:type="dxa"/>
            <w:tcBorders>
              <w:top w:val="single" w:sz="6" w:space="0" w:color="000000"/>
              <w:bottom w:val="double" w:sz="6" w:space="0" w:color="000000"/>
            </w:tcBorders>
          </w:tcPr>
          <w:p>
            <w:pPr>
              <w:pStyle w:val="TableParagraph"/>
              <w:spacing w:line="177" w:lineRule="exact" w:before="2"/>
              <w:ind w:right="112"/>
              <w:jc w:val="right"/>
              <w:rPr>
                <w:sz w:val="16"/>
              </w:rPr>
            </w:pPr>
            <w:r>
              <w:rPr>
                <w:spacing w:val="-5"/>
                <w:w w:val="105"/>
                <w:sz w:val="16"/>
              </w:rPr>
              <w:t>960</w:t>
            </w:r>
          </w:p>
        </w:tc>
      </w:tr>
      <w:tr>
        <w:trPr>
          <w:trHeight w:val="200" w:hRule="atLeast"/>
        </w:trPr>
        <w:tc>
          <w:tcPr>
            <w:tcW w:w="6471" w:type="dxa"/>
            <w:tcBorders>
              <w:top w:val="double" w:sz="6" w:space="0" w:color="000000"/>
            </w:tcBorders>
            <w:shd w:val="clear" w:color="auto" w:fill="CCEDFF"/>
          </w:tcPr>
          <w:p>
            <w:pPr>
              <w:pStyle w:val="TableParagraph"/>
              <w:rPr>
                <w:sz w:val="12"/>
              </w:rPr>
            </w:pPr>
          </w:p>
        </w:tc>
        <w:tc>
          <w:tcPr>
            <w:tcW w:w="1014" w:type="dxa"/>
            <w:tcBorders>
              <w:top w:val="double" w:sz="6" w:space="0" w:color="000000"/>
            </w:tcBorders>
            <w:shd w:val="clear" w:color="auto" w:fill="CCEDFF"/>
          </w:tcPr>
          <w:p>
            <w:pPr>
              <w:pStyle w:val="TableParagraph"/>
              <w:rPr>
                <w:sz w:val="12"/>
              </w:rPr>
            </w:pPr>
          </w:p>
        </w:tc>
        <w:tc>
          <w:tcPr>
            <w:tcW w:w="531" w:type="dxa"/>
            <w:tcBorders>
              <w:top w:val="double" w:sz="6" w:space="0" w:color="000000"/>
            </w:tcBorders>
            <w:shd w:val="clear" w:color="auto" w:fill="CCEDFF"/>
          </w:tcPr>
          <w:p>
            <w:pPr>
              <w:pStyle w:val="TableParagraph"/>
              <w:rPr>
                <w:sz w:val="12"/>
              </w:rPr>
            </w:pPr>
          </w:p>
        </w:tc>
        <w:tc>
          <w:tcPr>
            <w:tcW w:w="1839" w:type="dxa"/>
            <w:tcBorders>
              <w:top w:val="double" w:sz="6" w:space="0" w:color="000000"/>
            </w:tcBorders>
            <w:shd w:val="clear" w:color="auto" w:fill="CCEDFF"/>
          </w:tcPr>
          <w:p>
            <w:pPr>
              <w:pStyle w:val="TableParagraph"/>
              <w:rPr>
                <w:sz w:val="12"/>
              </w:rPr>
            </w:pPr>
          </w:p>
        </w:tc>
        <w:tc>
          <w:tcPr>
            <w:tcW w:w="1111" w:type="dxa"/>
            <w:tcBorders>
              <w:top w:val="double" w:sz="6" w:space="0" w:color="000000"/>
            </w:tcBorders>
            <w:shd w:val="clear" w:color="auto" w:fill="CCEDFF"/>
          </w:tcPr>
          <w:p>
            <w:pPr>
              <w:pStyle w:val="TableParagraph"/>
              <w:rPr>
                <w:sz w:val="12"/>
              </w:rPr>
            </w:pPr>
          </w:p>
        </w:tc>
        <w:tc>
          <w:tcPr>
            <w:tcW w:w="549" w:type="dxa"/>
            <w:tcBorders>
              <w:top w:val="double" w:sz="6" w:space="0" w:color="000000"/>
            </w:tcBorders>
            <w:shd w:val="clear" w:color="auto" w:fill="CCEDFF"/>
          </w:tcPr>
          <w:p>
            <w:pPr>
              <w:pStyle w:val="TableParagraph"/>
              <w:rPr>
                <w:sz w:val="12"/>
              </w:rPr>
            </w:pPr>
          </w:p>
        </w:tc>
      </w:tr>
      <w:tr>
        <w:trPr>
          <w:trHeight w:val="203" w:hRule="atLeast"/>
        </w:trPr>
        <w:tc>
          <w:tcPr>
            <w:tcW w:w="6471" w:type="dxa"/>
          </w:tcPr>
          <w:p>
            <w:pPr>
              <w:pStyle w:val="TableParagraph"/>
              <w:spacing w:line="180" w:lineRule="exact" w:before="3"/>
              <w:rPr>
                <w:sz w:val="16"/>
              </w:rPr>
            </w:pPr>
            <w:r>
              <w:rPr>
                <w:sz w:val="16"/>
              </w:rPr>
              <w:t>Weighted-average</w:t>
            </w:r>
            <w:r>
              <w:rPr>
                <w:spacing w:val="18"/>
                <w:sz w:val="16"/>
              </w:rPr>
              <w:t> </w:t>
            </w:r>
            <w:r>
              <w:rPr>
                <w:sz w:val="16"/>
              </w:rPr>
              <w:t>common</w:t>
            </w:r>
            <w:r>
              <w:rPr>
                <w:spacing w:val="17"/>
                <w:sz w:val="16"/>
              </w:rPr>
              <w:t> </w:t>
            </w:r>
            <w:r>
              <w:rPr>
                <w:sz w:val="16"/>
              </w:rPr>
              <w:t>shares</w:t>
            </w:r>
            <w:r>
              <w:rPr>
                <w:spacing w:val="18"/>
                <w:sz w:val="16"/>
              </w:rPr>
              <w:t> </w:t>
            </w:r>
            <w:r>
              <w:rPr>
                <w:sz w:val="16"/>
              </w:rPr>
              <w:t>outstanding</w:t>
            </w:r>
            <w:r>
              <w:rPr>
                <w:spacing w:val="18"/>
                <w:sz w:val="16"/>
              </w:rPr>
              <w:t> </w:t>
            </w:r>
            <w:r>
              <w:rPr>
                <w:sz w:val="16"/>
              </w:rPr>
              <w:t>-</w:t>
            </w:r>
            <w:r>
              <w:rPr>
                <w:spacing w:val="18"/>
                <w:sz w:val="16"/>
              </w:rPr>
              <w:t> </w:t>
            </w:r>
            <w:r>
              <w:rPr>
                <w:spacing w:val="-2"/>
                <w:sz w:val="16"/>
              </w:rPr>
              <w:t>basic</w:t>
            </w:r>
          </w:p>
        </w:tc>
        <w:tc>
          <w:tcPr>
            <w:tcW w:w="1014" w:type="dxa"/>
          </w:tcPr>
          <w:p>
            <w:pPr>
              <w:pStyle w:val="TableParagraph"/>
              <w:rPr>
                <w:sz w:val="14"/>
              </w:rPr>
            </w:pPr>
          </w:p>
        </w:tc>
        <w:tc>
          <w:tcPr>
            <w:tcW w:w="531" w:type="dxa"/>
          </w:tcPr>
          <w:p>
            <w:pPr>
              <w:pStyle w:val="TableParagraph"/>
              <w:spacing w:line="180" w:lineRule="exact" w:before="3"/>
              <w:ind w:left="173"/>
              <w:jc w:val="center"/>
              <w:rPr>
                <w:b/>
                <w:sz w:val="16"/>
              </w:rPr>
            </w:pPr>
            <w:r>
              <w:rPr>
                <w:b/>
                <w:spacing w:val="-5"/>
                <w:w w:val="105"/>
                <w:sz w:val="16"/>
              </w:rPr>
              <w:t>828</w:t>
            </w:r>
          </w:p>
        </w:tc>
        <w:tc>
          <w:tcPr>
            <w:tcW w:w="1839" w:type="dxa"/>
          </w:tcPr>
          <w:p>
            <w:pPr>
              <w:pStyle w:val="TableParagraph"/>
              <w:spacing w:line="180" w:lineRule="exact" w:before="3"/>
              <w:ind w:right="171"/>
              <w:jc w:val="right"/>
              <w:rPr>
                <w:sz w:val="16"/>
              </w:rPr>
            </w:pPr>
            <w:r>
              <w:rPr>
                <w:spacing w:val="-5"/>
                <w:w w:val="105"/>
                <w:sz w:val="16"/>
              </w:rPr>
              <w:t>761</w:t>
            </w:r>
          </w:p>
        </w:tc>
        <w:tc>
          <w:tcPr>
            <w:tcW w:w="1111" w:type="dxa"/>
          </w:tcPr>
          <w:p>
            <w:pPr>
              <w:pStyle w:val="TableParagraph"/>
              <w:rPr>
                <w:sz w:val="14"/>
              </w:rPr>
            </w:pPr>
          </w:p>
        </w:tc>
        <w:tc>
          <w:tcPr>
            <w:tcW w:w="549" w:type="dxa"/>
          </w:tcPr>
          <w:p>
            <w:pPr>
              <w:pStyle w:val="TableParagraph"/>
              <w:spacing w:line="180" w:lineRule="exact" w:before="3"/>
              <w:ind w:right="112"/>
              <w:jc w:val="right"/>
              <w:rPr>
                <w:sz w:val="16"/>
              </w:rPr>
            </w:pPr>
            <w:r>
              <w:rPr>
                <w:spacing w:val="-5"/>
                <w:w w:val="105"/>
                <w:sz w:val="16"/>
              </w:rPr>
              <w:t>776</w:t>
            </w:r>
          </w:p>
        </w:tc>
      </w:tr>
      <w:tr>
        <w:trPr>
          <w:trHeight w:val="203" w:hRule="atLeast"/>
        </w:trPr>
        <w:tc>
          <w:tcPr>
            <w:tcW w:w="6471" w:type="dxa"/>
            <w:shd w:val="clear" w:color="auto" w:fill="CCEDFF"/>
          </w:tcPr>
          <w:p>
            <w:pPr>
              <w:pStyle w:val="TableParagraph"/>
              <w:spacing w:line="180" w:lineRule="exact" w:before="3"/>
              <w:rPr>
                <w:sz w:val="16"/>
              </w:rPr>
            </w:pPr>
            <w:r>
              <w:rPr>
                <w:w w:val="105"/>
                <w:sz w:val="16"/>
              </w:rPr>
              <w:t>Effect</w:t>
            </w:r>
            <w:r>
              <w:rPr>
                <w:spacing w:val="-8"/>
                <w:w w:val="105"/>
                <w:sz w:val="16"/>
              </w:rPr>
              <w:t> </w:t>
            </w:r>
            <w:r>
              <w:rPr>
                <w:w w:val="105"/>
                <w:sz w:val="16"/>
              </w:rPr>
              <w:t>of</w:t>
            </w:r>
            <w:r>
              <w:rPr>
                <w:spacing w:val="-8"/>
                <w:w w:val="105"/>
                <w:sz w:val="16"/>
              </w:rPr>
              <w:t> </w:t>
            </w:r>
            <w:r>
              <w:rPr>
                <w:w w:val="105"/>
                <w:sz w:val="16"/>
              </w:rPr>
              <w:t>dilutive</w:t>
            </w:r>
            <w:r>
              <w:rPr>
                <w:spacing w:val="-8"/>
                <w:w w:val="105"/>
                <w:sz w:val="16"/>
              </w:rPr>
              <w:t> </w:t>
            </w:r>
            <w:r>
              <w:rPr>
                <w:spacing w:val="-2"/>
                <w:w w:val="105"/>
                <w:sz w:val="16"/>
              </w:rPr>
              <w:t>securities:</w:t>
            </w:r>
          </w:p>
        </w:tc>
        <w:tc>
          <w:tcPr>
            <w:tcW w:w="1014" w:type="dxa"/>
            <w:shd w:val="clear" w:color="auto" w:fill="CCEDFF"/>
          </w:tcPr>
          <w:p>
            <w:pPr>
              <w:pStyle w:val="TableParagraph"/>
              <w:rPr>
                <w:sz w:val="14"/>
              </w:rPr>
            </w:pPr>
          </w:p>
        </w:tc>
        <w:tc>
          <w:tcPr>
            <w:tcW w:w="531" w:type="dxa"/>
            <w:shd w:val="clear" w:color="auto" w:fill="CCEDFF"/>
          </w:tcPr>
          <w:p>
            <w:pPr>
              <w:pStyle w:val="TableParagraph"/>
              <w:rPr>
                <w:sz w:val="14"/>
              </w:rPr>
            </w:pPr>
          </w:p>
        </w:tc>
        <w:tc>
          <w:tcPr>
            <w:tcW w:w="1839" w:type="dxa"/>
            <w:shd w:val="clear" w:color="auto" w:fill="CCEDFF"/>
          </w:tcPr>
          <w:p>
            <w:pPr>
              <w:pStyle w:val="TableParagraph"/>
              <w:rPr>
                <w:sz w:val="14"/>
              </w:rPr>
            </w:pPr>
          </w:p>
        </w:tc>
        <w:tc>
          <w:tcPr>
            <w:tcW w:w="1111" w:type="dxa"/>
            <w:shd w:val="clear" w:color="auto" w:fill="CCEDFF"/>
          </w:tcPr>
          <w:p>
            <w:pPr>
              <w:pStyle w:val="TableParagraph"/>
              <w:rPr>
                <w:sz w:val="14"/>
              </w:rPr>
            </w:pPr>
          </w:p>
        </w:tc>
        <w:tc>
          <w:tcPr>
            <w:tcW w:w="549" w:type="dxa"/>
            <w:shd w:val="clear" w:color="auto" w:fill="CCEDFF"/>
          </w:tcPr>
          <w:p>
            <w:pPr>
              <w:pStyle w:val="TableParagraph"/>
              <w:rPr>
                <w:sz w:val="14"/>
              </w:rPr>
            </w:pPr>
          </w:p>
        </w:tc>
      </w:tr>
      <w:tr>
        <w:trPr>
          <w:trHeight w:val="203" w:hRule="atLeast"/>
        </w:trPr>
        <w:tc>
          <w:tcPr>
            <w:tcW w:w="6471" w:type="dxa"/>
          </w:tcPr>
          <w:p>
            <w:pPr>
              <w:pStyle w:val="TableParagraph"/>
              <w:spacing w:line="180" w:lineRule="exact" w:before="3"/>
              <w:ind w:left="152"/>
              <w:rPr>
                <w:sz w:val="16"/>
              </w:rPr>
            </w:pPr>
            <w:r>
              <w:rPr>
                <w:w w:val="105"/>
                <w:sz w:val="16"/>
              </w:rPr>
              <w:t>Stock</w:t>
            </w:r>
            <w:r>
              <w:rPr>
                <w:spacing w:val="-10"/>
                <w:w w:val="105"/>
                <w:sz w:val="16"/>
              </w:rPr>
              <w:t> </w:t>
            </w:r>
            <w:r>
              <w:rPr>
                <w:w w:val="105"/>
                <w:sz w:val="16"/>
              </w:rPr>
              <w:t>options</w:t>
            </w:r>
            <w:r>
              <w:rPr>
                <w:spacing w:val="-10"/>
                <w:w w:val="105"/>
                <w:sz w:val="16"/>
              </w:rPr>
              <w:t> </w:t>
            </w:r>
            <w:r>
              <w:rPr>
                <w:w w:val="105"/>
                <w:sz w:val="16"/>
              </w:rPr>
              <w:t>and</w:t>
            </w:r>
            <w:r>
              <w:rPr>
                <w:spacing w:val="-10"/>
                <w:w w:val="105"/>
                <w:sz w:val="16"/>
              </w:rPr>
              <w:t> </w:t>
            </w:r>
            <w:r>
              <w:rPr>
                <w:w w:val="105"/>
                <w:sz w:val="16"/>
              </w:rPr>
              <w:t>other</w:t>
            </w:r>
            <w:r>
              <w:rPr>
                <w:spacing w:val="-9"/>
                <w:w w:val="105"/>
                <w:sz w:val="16"/>
              </w:rPr>
              <w:t> </w:t>
            </w:r>
            <w:r>
              <w:rPr>
                <w:w w:val="105"/>
                <w:sz w:val="16"/>
              </w:rPr>
              <w:t>dilutive</w:t>
            </w:r>
            <w:r>
              <w:rPr>
                <w:spacing w:val="-10"/>
                <w:w w:val="105"/>
                <w:sz w:val="16"/>
              </w:rPr>
              <w:t> </w:t>
            </w:r>
            <w:r>
              <w:rPr>
                <w:spacing w:val="-2"/>
                <w:w w:val="105"/>
                <w:sz w:val="16"/>
              </w:rPr>
              <w:t>securities</w:t>
            </w:r>
          </w:p>
        </w:tc>
        <w:tc>
          <w:tcPr>
            <w:tcW w:w="1014" w:type="dxa"/>
          </w:tcPr>
          <w:p>
            <w:pPr>
              <w:pStyle w:val="TableParagraph"/>
              <w:rPr>
                <w:sz w:val="14"/>
              </w:rPr>
            </w:pPr>
          </w:p>
        </w:tc>
        <w:tc>
          <w:tcPr>
            <w:tcW w:w="531" w:type="dxa"/>
          </w:tcPr>
          <w:p>
            <w:pPr>
              <w:pStyle w:val="TableParagraph"/>
              <w:spacing w:line="180" w:lineRule="exact" w:before="3"/>
              <w:ind w:left="256"/>
              <w:jc w:val="center"/>
              <w:rPr>
                <w:b/>
                <w:sz w:val="16"/>
              </w:rPr>
            </w:pPr>
            <w:r>
              <w:rPr>
                <w:b/>
                <w:spacing w:val="-5"/>
                <w:w w:val="105"/>
                <w:sz w:val="16"/>
              </w:rPr>
              <w:t>16</w:t>
            </w:r>
          </w:p>
        </w:tc>
        <w:tc>
          <w:tcPr>
            <w:tcW w:w="1839" w:type="dxa"/>
          </w:tcPr>
          <w:p>
            <w:pPr>
              <w:pStyle w:val="TableParagraph"/>
              <w:spacing w:line="180" w:lineRule="exact" w:before="3"/>
              <w:ind w:right="171"/>
              <w:jc w:val="right"/>
              <w:rPr>
                <w:sz w:val="16"/>
              </w:rPr>
            </w:pPr>
            <w:r>
              <w:rPr>
                <w:spacing w:val="-5"/>
                <w:w w:val="105"/>
                <w:sz w:val="16"/>
              </w:rPr>
              <w:t>11</w:t>
            </w:r>
          </w:p>
        </w:tc>
        <w:tc>
          <w:tcPr>
            <w:tcW w:w="1111" w:type="dxa"/>
          </w:tcPr>
          <w:p>
            <w:pPr>
              <w:pStyle w:val="TableParagraph"/>
              <w:rPr>
                <w:sz w:val="14"/>
              </w:rPr>
            </w:pPr>
          </w:p>
        </w:tc>
        <w:tc>
          <w:tcPr>
            <w:tcW w:w="549" w:type="dxa"/>
          </w:tcPr>
          <w:p>
            <w:pPr>
              <w:pStyle w:val="TableParagraph"/>
              <w:spacing w:line="180" w:lineRule="exact" w:before="3"/>
              <w:ind w:right="112"/>
              <w:jc w:val="right"/>
              <w:rPr>
                <w:sz w:val="16"/>
              </w:rPr>
            </w:pPr>
            <w:r>
              <w:rPr>
                <w:spacing w:val="-10"/>
                <w:w w:val="105"/>
                <w:sz w:val="16"/>
              </w:rPr>
              <w:t>8</w:t>
            </w:r>
          </w:p>
        </w:tc>
      </w:tr>
      <w:tr>
        <w:trPr>
          <w:trHeight w:val="202" w:hRule="atLeast"/>
        </w:trPr>
        <w:tc>
          <w:tcPr>
            <w:tcW w:w="6471" w:type="dxa"/>
            <w:tcBorders>
              <w:bottom w:val="single" w:sz="6" w:space="0" w:color="000000"/>
            </w:tcBorders>
            <w:shd w:val="clear" w:color="auto" w:fill="CCEDFF"/>
          </w:tcPr>
          <w:p>
            <w:pPr>
              <w:pStyle w:val="TableParagraph"/>
              <w:spacing w:line="183" w:lineRule="exact"/>
              <w:ind w:left="152"/>
              <w:rPr>
                <w:sz w:val="14"/>
              </w:rPr>
            </w:pPr>
            <w:r>
              <w:rPr>
                <w:w w:val="105"/>
                <w:sz w:val="16"/>
              </w:rPr>
              <w:t>Series</w:t>
            </w:r>
            <w:r>
              <w:rPr>
                <w:spacing w:val="-13"/>
                <w:w w:val="105"/>
                <w:sz w:val="16"/>
              </w:rPr>
              <w:t> </w:t>
            </w:r>
            <w:r>
              <w:rPr>
                <w:w w:val="105"/>
                <w:sz w:val="16"/>
              </w:rPr>
              <w:t>A</w:t>
            </w:r>
            <w:r>
              <w:rPr>
                <w:spacing w:val="-10"/>
                <w:w w:val="105"/>
                <w:sz w:val="16"/>
              </w:rPr>
              <w:t> </w:t>
            </w:r>
            <w:r>
              <w:rPr>
                <w:w w:val="105"/>
                <w:sz w:val="16"/>
              </w:rPr>
              <w:t>convertible</w:t>
            </w:r>
            <w:r>
              <w:rPr>
                <w:spacing w:val="-10"/>
                <w:w w:val="105"/>
                <w:sz w:val="16"/>
              </w:rPr>
              <w:t> </w:t>
            </w:r>
            <w:r>
              <w:rPr>
                <w:w w:val="105"/>
                <w:sz w:val="16"/>
              </w:rPr>
              <w:t>preferred</w:t>
            </w:r>
            <w:r>
              <w:rPr>
                <w:spacing w:val="-10"/>
                <w:w w:val="105"/>
                <w:sz w:val="16"/>
              </w:rPr>
              <w:t> </w:t>
            </w:r>
            <w:r>
              <w:rPr>
                <w:w w:val="105"/>
                <w:sz w:val="16"/>
              </w:rPr>
              <w:t>stock</w:t>
            </w:r>
            <w:r>
              <w:rPr>
                <w:spacing w:val="-9"/>
                <w:w w:val="105"/>
                <w:sz w:val="16"/>
              </w:rPr>
              <w:t> </w:t>
            </w:r>
            <w:r>
              <w:rPr>
                <w:spacing w:val="-5"/>
                <w:w w:val="105"/>
                <w:position w:val="3"/>
                <w:sz w:val="14"/>
              </w:rPr>
              <w:t>(1)</w:t>
            </w:r>
          </w:p>
        </w:tc>
        <w:tc>
          <w:tcPr>
            <w:tcW w:w="1014" w:type="dxa"/>
            <w:tcBorders>
              <w:bottom w:val="single" w:sz="6" w:space="0" w:color="000000"/>
            </w:tcBorders>
            <w:shd w:val="clear" w:color="auto" w:fill="CCEDFF"/>
          </w:tcPr>
          <w:p>
            <w:pPr>
              <w:pStyle w:val="TableParagraph"/>
              <w:rPr>
                <w:sz w:val="14"/>
              </w:rPr>
            </w:pPr>
          </w:p>
        </w:tc>
        <w:tc>
          <w:tcPr>
            <w:tcW w:w="531" w:type="dxa"/>
            <w:tcBorders>
              <w:bottom w:val="single" w:sz="6" w:space="0" w:color="000000"/>
            </w:tcBorders>
            <w:shd w:val="clear" w:color="auto" w:fill="CCEDFF"/>
          </w:tcPr>
          <w:p>
            <w:pPr>
              <w:pStyle w:val="TableParagraph"/>
              <w:rPr>
                <w:sz w:val="14"/>
              </w:rPr>
            </w:pPr>
          </w:p>
        </w:tc>
        <w:tc>
          <w:tcPr>
            <w:tcW w:w="1839" w:type="dxa"/>
            <w:tcBorders>
              <w:bottom w:val="single" w:sz="6" w:space="0" w:color="000000"/>
            </w:tcBorders>
            <w:shd w:val="clear" w:color="auto" w:fill="CCEDFF"/>
          </w:tcPr>
          <w:p>
            <w:pPr>
              <w:pStyle w:val="TableParagraph"/>
              <w:rPr>
                <w:sz w:val="14"/>
              </w:rPr>
            </w:pPr>
          </w:p>
        </w:tc>
        <w:tc>
          <w:tcPr>
            <w:tcW w:w="1111" w:type="dxa"/>
            <w:tcBorders>
              <w:bottom w:val="single" w:sz="6" w:space="0" w:color="000000"/>
            </w:tcBorders>
            <w:shd w:val="clear" w:color="auto" w:fill="CCEDFF"/>
          </w:tcPr>
          <w:p>
            <w:pPr>
              <w:pStyle w:val="TableParagraph"/>
              <w:rPr>
                <w:sz w:val="14"/>
              </w:rPr>
            </w:pPr>
          </w:p>
        </w:tc>
        <w:tc>
          <w:tcPr>
            <w:tcW w:w="549" w:type="dxa"/>
            <w:tcBorders>
              <w:bottom w:val="single" w:sz="6" w:space="0" w:color="000000"/>
            </w:tcBorders>
            <w:shd w:val="clear" w:color="auto" w:fill="CCEDFF"/>
          </w:tcPr>
          <w:p>
            <w:pPr>
              <w:pStyle w:val="TableParagraph"/>
              <w:spacing w:line="179" w:lineRule="exact" w:before="3"/>
              <w:ind w:right="112"/>
              <w:jc w:val="right"/>
              <w:rPr>
                <w:sz w:val="16"/>
              </w:rPr>
            </w:pPr>
            <w:r>
              <w:rPr>
                <w:spacing w:val="-5"/>
                <w:w w:val="105"/>
                <w:sz w:val="16"/>
              </w:rPr>
              <w:t>115</w:t>
            </w:r>
          </w:p>
        </w:tc>
      </w:tr>
      <w:tr>
        <w:trPr>
          <w:trHeight w:val="199" w:hRule="atLeast"/>
        </w:trPr>
        <w:tc>
          <w:tcPr>
            <w:tcW w:w="6471" w:type="dxa"/>
            <w:tcBorders>
              <w:top w:val="single" w:sz="6" w:space="0" w:color="000000"/>
              <w:bottom w:val="double" w:sz="6" w:space="0" w:color="000000"/>
            </w:tcBorders>
          </w:tcPr>
          <w:p>
            <w:pPr>
              <w:pStyle w:val="TableParagraph"/>
              <w:spacing w:line="177" w:lineRule="exact" w:before="2"/>
              <w:rPr>
                <w:sz w:val="16"/>
              </w:rPr>
            </w:pPr>
            <w:r>
              <w:rPr>
                <w:sz w:val="16"/>
              </w:rPr>
              <w:t>Weighted-average</w:t>
            </w:r>
            <w:r>
              <w:rPr>
                <w:spacing w:val="18"/>
                <w:sz w:val="16"/>
              </w:rPr>
              <w:t> </w:t>
            </w:r>
            <w:r>
              <w:rPr>
                <w:sz w:val="16"/>
              </w:rPr>
              <w:t>common</w:t>
            </w:r>
            <w:r>
              <w:rPr>
                <w:spacing w:val="18"/>
                <w:sz w:val="16"/>
              </w:rPr>
              <w:t> </w:t>
            </w:r>
            <w:r>
              <w:rPr>
                <w:sz w:val="16"/>
              </w:rPr>
              <w:t>shares</w:t>
            </w:r>
            <w:r>
              <w:rPr>
                <w:spacing w:val="18"/>
                <w:sz w:val="16"/>
              </w:rPr>
              <w:t> </w:t>
            </w:r>
            <w:r>
              <w:rPr>
                <w:sz w:val="16"/>
              </w:rPr>
              <w:t>outstanding</w:t>
            </w:r>
            <w:r>
              <w:rPr>
                <w:spacing w:val="18"/>
                <w:sz w:val="16"/>
              </w:rPr>
              <w:t> </w:t>
            </w:r>
            <w:r>
              <w:rPr>
                <w:sz w:val="16"/>
              </w:rPr>
              <w:t>-</w:t>
            </w:r>
            <w:r>
              <w:rPr>
                <w:spacing w:val="18"/>
                <w:sz w:val="16"/>
              </w:rPr>
              <w:t> </w:t>
            </w:r>
            <w:r>
              <w:rPr>
                <w:spacing w:val="-2"/>
                <w:sz w:val="16"/>
              </w:rPr>
              <w:t>diluted</w:t>
            </w:r>
          </w:p>
        </w:tc>
        <w:tc>
          <w:tcPr>
            <w:tcW w:w="1014" w:type="dxa"/>
            <w:tcBorders>
              <w:top w:val="single" w:sz="6" w:space="0" w:color="000000"/>
              <w:bottom w:val="double" w:sz="6" w:space="0" w:color="000000"/>
            </w:tcBorders>
          </w:tcPr>
          <w:p>
            <w:pPr>
              <w:pStyle w:val="TableParagraph"/>
              <w:rPr>
                <w:sz w:val="12"/>
              </w:rPr>
            </w:pPr>
          </w:p>
        </w:tc>
        <w:tc>
          <w:tcPr>
            <w:tcW w:w="531" w:type="dxa"/>
            <w:tcBorders>
              <w:top w:val="single" w:sz="6" w:space="0" w:color="000000"/>
              <w:bottom w:val="double" w:sz="6" w:space="0" w:color="000000"/>
            </w:tcBorders>
          </w:tcPr>
          <w:p>
            <w:pPr>
              <w:pStyle w:val="TableParagraph"/>
              <w:spacing w:line="177" w:lineRule="exact" w:before="2"/>
              <w:ind w:left="173"/>
              <w:jc w:val="center"/>
              <w:rPr>
                <w:b/>
                <w:sz w:val="16"/>
              </w:rPr>
            </w:pPr>
            <w:r>
              <w:rPr>
                <w:b/>
                <w:spacing w:val="-5"/>
                <w:w w:val="105"/>
                <w:sz w:val="16"/>
              </w:rPr>
              <w:t>844</w:t>
            </w:r>
          </w:p>
        </w:tc>
        <w:tc>
          <w:tcPr>
            <w:tcW w:w="1839" w:type="dxa"/>
            <w:tcBorders>
              <w:top w:val="single" w:sz="6" w:space="0" w:color="000000"/>
              <w:bottom w:val="double" w:sz="6" w:space="0" w:color="000000"/>
            </w:tcBorders>
          </w:tcPr>
          <w:p>
            <w:pPr>
              <w:pStyle w:val="TableParagraph"/>
              <w:spacing w:line="177" w:lineRule="exact" w:before="2"/>
              <w:ind w:right="171"/>
              <w:jc w:val="right"/>
              <w:rPr>
                <w:sz w:val="16"/>
              </w:rPr>
            </w:pPr>
            <w:r>
              <w:rPr>
                <w:spacing w:val="-5"/>
                <w:w w:val="105"/>
                <w:sz w:val="16"/>
              </w:rPr>
              <w:t>772</w:t>
            </w:r>
          </w:p>
        </w:tc>
        <w:tc>
          <w:tcPr>
            <w:tcW w:w="1111" w:type="dxa"/>
            <w:tcBorders>
              <w:top w:val="single" w:sz="6" w:space="0" w:color="000000"/>
              <w:bottom w:val="double" w:sz="6" w:space="0" w:color="000000"/>
            </w:tcBorders>
          </w:tcPr>
          <w:p>
            <w:pPr>
              <w:pStyle w:val="TableParagraph"/>
              <w:rPr>
                <w:sz w:val="12"/>
              </w:rPr>
            </w:pPr>
          </w:p>
        </w:tc>
        <w:tc>
          <w:tcPr>
            <w:tcW w:w="549" w:type="dxa"/>
            <w:tcBorders>
              <w:top w:val="single" w:sz="6" w:space="0" w:color="000000"/>
              <w:bottom w:val="double" w:sz="6" w:space="0" w:color="000000"/>
            </w:tcBorders>
          </w:tcPr>
          <w:p>
            <w:pPr>
              <w:pStyle w:val="TableParagraph"/>
              <w:spacing w:line="177" w:lineRule="exact" w:before="2"/>
              <w:ind w:right="112"/>
              <w:jc w:val="right"/>
              <w:rPr>
                <w:sz w:val="16"/>
              </w:rPr>
            </w:pPr>
            <w:r>
              <w:rPr>
                <w:spacing w:val="-5"/>
                <w:w w:val="105"/>
                <w:sz w:val="16"/>
              </w:rPr>
              <w:t>899</w:t>
            </w:r>
          </w:p>
        </w:tc>
      </w:tr>
      <w:tr>
        <w:trPr>
          <w:trHeight w:val="200" w:hRule="atLeast"/>
        </w:trPr>
        <w:tc>
          <w:tcPr>
            <w:tcW w:w="6471" w:type="dxa"/>
            <w:tcBorders>
              <w:top w:val="double" w:sz="6" w:space="0" w:color="000000"/>
            </w:tcBorders>
            <w:shd w:val="clear" w:color="auto" w:fill="CCEDFF"/>
          </w:tcPr>
          <w:p>
            <w:pPr>
              <w:pStyle w:val="TableParagraph"/>
              <w:spacing w:line="180" w:lineRule="exact"/>
              <w:rPr>
                <w:sz w:val="16"/>
              </w:rPr>
            </w:pPr>
            <w:r>
              <w:rPr>
                <w:spacing w:val="-2"/>
                <w:w w:val="105"/>
                <w:sz w:val="16"/>
              </w:rPr>
              <w:t>Basic</w:t>
            </w:r>
            <w:r>
              <w:rPr>
                <w:spacing w:val="-1"/>
                <w:w w:val="105"/>
                <w:sz w:val="16"/>
              </w:rPr>
              <w:t> </w:t>
            </w:r>
            <w:r>
              <w:rPr>
                <w:spacing w:val="-2"/>
                <w:w w:val="105"/>
                <w:sz w:val="16"/>
              </w:rPr>
              <w:t>earnings</w:t>
            </w:r>
            <w:r>
              <w:rPr>
                <w:w w:val="105"/>
                <w:sz w:val="16"/>
              </w:rPr>
              <w:t> </w:t>
            </w:r>
            <w:r>
              <w:rPr>
                <w:spacing w:val="-2"/>
                <w:w w:val="105"/>
                <w:sz w:val="16"/>
              </w:rPr>
              <w:t>per</w:t>
            </w:r>
            <w:r>
              <w:rPr>
                <w:w w:val="105"/>
                <w:sz w:val="16"/>
              </w:rPr>
              <w:t> </w:t>
            </w:r>
            <w:r>
              <w:rPr>
                <w:spacing w:val="-2"/>
                <w:w w:val="105"/>
                <w:sz w:val="16"/>
              </w:rPr>
              <w:t>common</w:t>
            </w:r>
            <w:r>
              <w:rPr>
                <w:w w:val="105"/>
                <w:sz w:val="16"/>
              </w:rPr>
              <w:t> </w:t>
            </w:r>
            <w:r>
              <w:rPr>
                <w:spacing w:val="-2"/>
                <w:w w:val="105"/>
                <w:sz w:val="16"/>
              </w:rPr>
              <w:t>share</w:t>
            </w:r>
          </w:p>
        </w:tc>
        <w:tc>
          <w:tcPr>
            <w:tcW w:w="1014" w:type="dxa"/>
            <w:tcBorders>
              <w:top w:val="double" w:sz="6" w:space="0" w:color="000000"/>
            </w:tcBorders>
            <w:shd w:val="clear" w:color="auto" w:fill="CCEDFF"/>
          </w:tcPr>
          <w:p>
            <w:pPr>
              <w:pStyle w:val="TableParagraph"/>
              <w:spacing w:line="180" w:lineRule="exact"/>
              <w:rPr>
                <w:b/>
                <w:sz w:val="16"/>
              </w:rPr>
            </w:pPr>
            <w:r>
              <w:rPr>
                <w:b/>
                <w:spacing w:val="-10"/>
                <w:w w:val="105"/>
                <w:sz w:val="16"/>
              </w:rPr>
              <w:t>$</w:t>
            </w:r>
          </w:p>
        </w:tc>
        <w:tc>
          <w:tcPr>
            <w:tcW w:w="531" w:type="dxa"/>
            <w:tcBorders>
              <w:top w:val="double" w:sz="6" w:space="0" w:color="000000"/>
            </w:tcBorders>
            <w:shd w:val="clear" w:color="auto" w:fill="CCEDFF"/>
          </w:tcPr>
          <w:p>
            <w:pPr>
              <w:pStyle w:val="TableParagraph"/>
              <w:spacing w:line="180" w:lineRule="exact"/>
              <w:ind w:left="132"/>
              <w:jc w:val="center"/>
              <w:rPr>
                <w:b/>
                <w:sz w:val="16"/>
              </w:rPr>
            </w:pPr>
            <w:r>
              <w:rPr>
                <w:b/>
                <w:spacing w:val="-4"/>
                <w:w w:val="105"/>
                <w:sz w:val="16"/>
              </w:rPr>
              <w:t>1.30</w:t>
            </w:r>
          </w:p>
        </w:tc>
        <w:tc>
          <w:tcPr>
            <w:tcW w:w="1839" w:type="dxa"/>
            <w:tcBorders>
              <w:top w:val="double" w:sz="6" w:space="0" w:color="000000"/>
            </w:tcBorders>
            <w:shd w:val="clear" w:color="auto" w:fill="CCEDFF"/>
          </w:tcPr>
          <w:p>
            <w:pPr>
              <w:pStyle w:val="TableParagraph"/>
              <w:tabs>
                <w:tab w:pos="1375" w:val="left" w:leader="none"/>
              </w:tabs>
              <w:spacing w:line="180" w:lineRule="exact"/>
              <w:ind w:left="174"/>
              <w:rPr>
                <w:sz w:val="16"/>
              </w:rPr>
            </w:pPr>
            <w:r>
              <w:rPr>
                <w:spacing w:val="-10"/>
                <w:w w:val="105"/>
                <w:sz w:val="16"/>
              </w:rPr>
              <w:t>$</w:t>
            </w:r>
            <w:r>
              <w:rPr>
                <w:sz w:val="16"/>
              </w:rPr>
              <w:tab/>
            </w:r>
            <w:r>
              <w:rPr>
                <w:spacing w:val="-4"/>
                <w:w w:val="105"/>
                <w:sz w:val="16"/>
              </w:rPr>
              <w:t>0.54</w:t>
            </w:r>
          </w:p>
        </w:tc>
        <w:tc>
          <w:tcPr>
            <w:tcW w:w="1111" w:type="dxa"/>
            <w:tcBorders>
              <w:top w:val="double" w:sz="6" w:space="0" w:color="000000"/>
            </w:tcBorders>
            <w:shd w:val="clear" w:color="auto" w:fill="CCEDFF"/>
          </w:tcPr>
          <w:p>
            <w:pPr>
              <w:pStyle w:val="TableParagraph"/>
              <w:spacing w:line="180" w:lineRule="exact"/>
              <w:ind w:left="55"/>
              <w:rPr>
                <w:sz w:val="16"/>
              </w:rPr>
            </w:pPr>
            <w:r>
              <w:rPr>
                <w:spacing w:val="-10"/>
                <w:w w:val="105"/>
                <w:sz w:val="16"/>
              </w:rPr>
              <w:t>$</w:t>
            </w:r>
          </w:p>
        </w:tc>
        <w:tc>
          <w:tcPr>
            <w:tcW w:w="549" w:type="dxa"/>
            <w:tcBorders>
              <w:top w:val="double" w:sz="6" w:space="0" w:color="000000"/>
            </w:tcBorders>
            <w:shd w:val="clear" w:color="auto" w:fill="CCEDFF"/>
          </w:tcPr>
          <w:p>
            <w:pPr>
              <w:pStyle w:val="TableParagraph"/>
              <w:spacing w:line="180" w:lineRule="exact"/>
              <w:ind w:right="112"/>
              <w:jc w:val="right"/>
              <w:rPr>
                <w:sz w:val="16"/>
              </w:rPr>
            </w:pPr>
            <w:r>
              <w:rPr>
                <w:spacing w:val="-4"/>
                <w:w w:val="105"/>
                <w:sz w:val="16"/>
              </w:rPr>
              <w:t>1.11</w:t>
            </w:r>
          </w:p>
        </w:tc>
      </w:tr>
      <w:tr>
        <w:trPr>
          <w:trHeight w:val="203" w:hRule="atLeast"/>
        </w:trPr>
        <w:tc>
          <w:tcPr>
            <w:tcW w:w="6471" w:type="dxa"/>
          </w:tcPr>
          <w:p>
            <w:pPr>
              <w:pStyle w:val="TableParagraph"/>
              <w:spacing w:line="180" w:lineRule="exact" w:before="3"/>
              <w:rPr>
                <w:sz w:val="16"/>
              </w:rPr>
            </w:pPr>
            <w:r>
              <w:rPr>
                <w:spacing w:val="-2"/>
                <w:w w:val="105"/>
                <w:sz w:val="16"/>
              </w:rPr>
              <w:t>Diluted</w:t>
            </w:r>
            <w:r>
              <w:rPr>
                <w:w w:val="105"/>
                <w:sz w:val="16"/>
              </w:rPr>
              <w:t> </w:t>
            </w:r>
            <w:r>
              <w:rPr>
                <w:spacing w:val="-2"/>
                <w:w w:val="105"/>
                <w:sz w:val="16"/>
              </w:rPr>
              <w:t>earnings</w:t>
            </w:r>
            <w:r>
              <w:rPr>
                <w:w w:val="105"/>
                <w:sz w:val="16"/>
              </w:rPr>
              <w:t> </w:t>
            </w:r>
            <w:r>
              <w:rPr>
                <w:spacing w:val="-2"/>
                <w:w w:val="105"/>
                <w:sz w:val="16"/>
              </w:rPr>
              <w:t>per</w:t>
            </w:r>
            <w:r>
              <w:rPr>
                <w:w w:val="105"/>
                <w:sz w:val="16"/>
              </w:rPr>
              <w:t> </w:t>
            </w:r>
            <w:r>
              <w:rPr>
                <w:spacing w:val="-2"/>
                <w:w w:val="105"/>
                <w:sz w:val="16"/>
              </w:rPr>
              <w:t>common</w:t>
            </w:r>
            <w:r>
              <w:rPr>
                <w:spacing w:val="1"/>
                <w:w w:val="105"/>
                <w:sz w:val="16"/>
              </w:rPr>
              <w:t> </w:t>
            </w:r>
            <w:r>
              <w:rPr>
                <w:spacing w:val="-2"/>
                <w:w w:val="105"/>
                <w:sz w:val="16"/>
              </w:rPr>
              <w:t>share</w:t>
            </w:r>
          </w:p>
        </w:tc>
        <w:tc>
          <w:tcPr>
            <w:tcW w:w="1014" w:type="dxa"/>
          </w:tcPr>
          <w:p>
            <w:pPr>
              <w:pStyle w:val="TableParagraph"/>
              <w:spacing w:line="180" w:lineRule="exact" w:before="3"/>
              <w:rPr>
                <w:b/>
                <w:sz w:val="16"/>
              </w:rPr>
            </w:pPr>
            <w:r>
              <w:rPr>
                <w:b/>
                <w:spacing w:val="-10"/>
                <w:w w:val="105"/>
                <w:sz w:val="16"/>
              </w:rPr>
              <w:t>$</w:t>
            </w:r>
          </w:p>
        </w:tc>
        <w:tc>
          <w:tcPr>
            <w:tcW w:w="531" w:type="dxa"/>
          </w:tcPr>
          <w:p>
            <w:pPr>
              <w:pStyle w:val="TableParagraph"/>
              <w:spacing w:line="180" w:lineRule="exact" w:before="3"/>
              <w:ind w:left="132"/>
              <w:jc w:val="center"/>
              <w:rPr>
                <w:b/>
                <w:sz w:val="16"/>
              </w:rPr>
            </w:pPr>
            <w:r>
              <w:rPr>
                <w:b/>
                <w:spacing w:val="-4"/>
                <w:w w:val="105"/>
                <w:sz w:val="16"/>
              </w:rPr>
              <w:t>1.28</w:t>
            </w:r>
          </w:p>
        </w:tc>
        <w:tc>
          <w:tcPr>
            <w:tcW w:w="1839" w:type="dxa"/>
          </w:tcPr>
          <w:p>
            <w:pPr>
              <w:pStyle w:val="TableParagraph"/>
              <w:tabs>
                <w:tab w:pos="1375" w:val="left" w:leader="none"/>
              </w:tabs>
              <w:spacing w:line="180" w:lineRule="exact" w:before="3"/>
              <w:ind w:left="174"/>
              <w:rPr>
                <w:sz w:val="16"/>
              </w:rPr>
            </w:pPr>
            <w:r>
              <w:rPr>
                <w:spacing w:val="-10"/>
                <w:w w:val="105"/>
                <w:sz w:val="16"/>
              </w:rPr>
              <w:t>$</w:t>
            </w:r>
            <w:r>
              <w:rPr>
                <w:sz w:val="16"/>
              </w:rPr>
              <w:tab/>
            </w:r>
            <w:r>
              <w:rPr>
                <w:spacing w:val="-4"/>
                <w:w w:val="105"/>
                <w:sz w:val="16"/>
              </w:rPr>
              <w:t>0.54</w:t>
            </w:r>
          </w:p>
        </w:tc>
        <w:tc>
          <w:tcPr>
            <w:tcW w:w="1111" w:type="dxa"/>
          </w:tcPr>
          <w:p>
            <w:pPr>
              <w:pStyle w:val="TableParagraph"/>
              <w:spacing w:line="180" w:lineRule="exact" w:before="3"/>
              <w:ind w:left="55"/>
              <w:rPr>
                <w:sz w:val="16"/>
              </w:rPr>
            </w:pPr>
            <w:r>
              <w:rPr>
                <w:spacing w:val="-10"/>
                <w:w w:val="105"/>
                <w:sz w:val="16"/>
              </w:rPr>
              <w:t>$</w:t>
            </w:r>
          </w:p>
        </w:tc>
        <w:tc>
          <w:tcPr>
            <w:tcW w:w="549" w:type="dxa"/>
          </w:tcPr>
          <w:p>
            <w:pPr>
              <w:pStyle w:val="TableParagraph"/>
              <w:spacing w:line="180" w:lineRule="exact" w:before="3"/>
              <w:ind w:right="112"/>
              <w:jc w:val="right"/>
              <w:rPr>
                <w:sz w:val="16"/>
              </w:rPr>
            </w:pPr>
            <w:r>
              <w:rPr>
                <w:spacing w:val="-4"/>
                <w:w w:val="105"/>
                <w:sz w:val="16"/>
              </w:rPr>
              <w:t>1.07</w:t>
            </w:r>
          </w:p>
        </w:tc>
      </w:tr>
      <w:tr>
        <w:trPr>
          <w:trHeight w:val="203" w:hRule="atLeast"/>
        </w:trPr>
        <w:tc>
          <w:tcPr>
            <w:tcW w:w="6471" w:type="dxa"/>
            <w:shd w:val="clear" w:color="auto" w:fill="CCEDFF"/>
          </w:tcPr>
          <w:p>
            <w:pPr>
              <w:pStyle w:val="TableParagraph"/>
              <w:rPr>
                <w:sz w:val="14"/>
              </w:rPr>
            </w:pPr>
          </w:p>
        </w:tc>
        <w:tc>
          <w:tcPr>
            <w:tcW w:w="1014" w:type="dxa"/>
            <w:shd w:val="clear" w:color="auto" w:fill="CCEDFF"/>
          </w:tcPr>
          <w:p>
            <w:pPr>
              <w:pStyle w:val="TableParagraph"/>
              <w:rPr>
                <w:sz w:val="14"/>
              </w:rPr>
            </w:pPr>
          </w:p>
        </w:tc>
        <w:tc>
          <w:tcPr>
            <w:tcW w:w="531" w:type="dxa"/>
            <w:shd w:val="clear" w:color="auto" w:fill="CCEDFF"/>
          </w:tcPr>
          <w:p>
            <w:pPr>
              <w:pStyle w:val="TableParagraph"/>
              <w:rPr>
                <w:sz w:val="14"/>
              </w:rPr>
            </w:pPr>
          </w:p>
        </w:tc>
        <w:tc>
          <w:tcPr>
            <w:tcW w:w="1839" w:type="dxa"/>
            <w:shd w:val="clear" w:color="auto" w:fill="CCEDFF"/>
          </w:tcPr>
          <w:p>
            <w:pPr>
              <w:pStyle w:val="TableParagraph"/>
              <w:rPr>
                <w:sz w:val="14"/>
              </w:rPr>
            </w:pPr>
          </w:p>
        </w:tc>
        <w:tc>
          <w:tcPr>
            <w:tcW w:w="1111" w:type="dxa"/>
            <w:shd w:val="clear" w:color="auto" w:fill="CCEDFF"/>
          </w:tcPr>
          <w:p>
            <w:pPr>
              <w:pStyle w:val="TableParagraph"/>
              <w:rPr>
                <w:sz w:val="14"/>
              </w:rPr>
            </w:pPr>
          </w:p>
        </w:tc>
        <w:tc>
          <w:tcPr>
            <w:tcW w:w="549" w:type="dxa"/>
            <w:shd w:val="clear" w:color="auto" w:fill="CCEDFF"/>
          </w:tcPr>
          <w:p>
            <w:pPr>
              <w:pStyle w:val="TableParagraph"/>
              <w:rPr>
                <w:sz w:val="14"/>
              </w:rPr>
            </w:pPr>
          </w:p>
        </w:tc>
      </w:tr>
      <w:tr>
        <w:trPr>
          <w:trHeight w:val="203" w:hRule="atLeast"/>
        </w:trPr>
        <w:tc>
          <w:tcPr>
            <w:tcW w:w="6471" w:type="dxa"/>
          </w:tcPr>
          <w:p>
            <w:pPr>
              <w:pStyle w:val="TableParagraph"/>
              <w:spacing w:line="180" w:lineRule="exact" w:before="3"/>
              <w:rPr>
                <w:sz w:val="16"/>
              </w:rPr>
            </w:pPr>
            <w:r>
              <w:rPr>
                <w:sz w:val="16"/>
              </w:rPr>
              <w:t>Anti-dilutive</w:t>
            </w:r>
            <w:r>
              <w:rPr>
                <w:spacing w:val="14"/>
                <w:sz w:val="16"/>
              </w:rPr>
              <w:t> </w:t>
            </w:r>
            <w:r>
              <w:rPr>
                <w:sz w:val="16"/>
              </w:rPr>
              <w:t>potential</w:t>
            </w:r>
            <w:r>
              <w:rPr>
                <w:spacing w:val="15"/>
                <w:sz w:val="16"/>
              </w:rPr>
              <w:t> </w:t>
            </w:r>
            <w:r>
              <w:rPr>
                <w:sz w:val="16"/>
              </w:rPr>
              <w:t>shares</w:t>
            </w:r>
            <w:r>
              <w:rPr>
                <w:spacing w:val="15"/>
                <w:sz w:val="16"/>
              </w:rPr>
              <w:t> </w:t>
            </w:r>
            <w:r>
              <w:rPr>
                <w:sz w:val="16"/>
              </w:rPr>
              <w:t>excluded</w:t>
            </w:r>
            <w:r>
              <w:rPr>
                <w:spacing w:val="15"/>
                <w:sz w:val="16"/>
              </w:rPr>
              <w:t> </w:t>
            </w:r>
            <w:r>
              <w:rPr>
                <w:sz w:val="16"/>
              </w:rPr>
              <w:t>from</w:t>
            </w:r>
            <w:r>
              <w:rPr>
                <w:spacing w:val="15"/>
                <w:sz w:val="16"/>
              </w:rPr>
              <w:t> </w:t>
            </w:r>
            <w:r>
              <w:rPr>
                <w:sz w:val="16"/>
              </w:rPr>
              <w:t>diluted</w:t>
            </w:r>
            <w:r>
              <w:rPr>
                <w:spacing w:val="15"/>
                <w:sz w:val="16"/>
              </w:rPr>
              <w:t> </w:t>
            </w:r>
            <w:r>
              <w:rPr>
                <w:sz w:val="16"/>
              </w:rPr>
              <w:t>earnings</w:t>
            </w:r>
            <w:r>
              <w:rPr>
                <w:spacing w:val="15"/>
                <w:sz w:val="16"/>
              </w:rPr>
              <w:t> </w:t>
            </w:r>
            <w:r>
              <w:rPr>
                <w:sz w:val="16"/>
              </w:rPr>
              <w:t>per</w:t>
            </w:r>
            <w:r>
              <w:rPr>
                <w:spacing w:val="14"/>
                <w:sz w:val="16"/>
              </w:rPr>
              <w:t> </w:t>
            </w:r>
            <w:r>
              <w:rPr>
                <w:sz w:val="16"/>
              </w:rPr>
              <w:t>common</w:t>
            </w:r>
            <w:r>
              <w:rPr>
                <w:spacing w:val="15"/>
                <w:sz w:val="16"/>
              </w:rPr>
              <w:t> </w:t>
            </w:r>
            <w:r>
              <w:rPr>
                <w:spacing w:val="-2"/>
                <w:sz w:val="16"/>
              </w:rPr>
              <w:t>share:</w:t>
            </w:r>
          </w:p>
        </w:tc>
        <w:tc>
          <w:tcPr>
            <w:tcW w:w="1014" w:type="dxa"/>
          </w:tcPr>
          <w:p>
            <w:pPr>
              <w:pStyle w:val="TableParagraph"/>
              <w:rPr>
                <w:sz w:val="14"/>
              </w:rPr>
            </w:pPr>
          </w:p>
        </w:tc>
        <w:tc>
          <w:tcPr>
            <w:tcW w:w="531" w:type="dxa"/>
          </w:tcPr>
          <w:p>
            <w:pPr>
              <w:pStyle w:val="TableParagraph"/>
              <w:rPr>
                <w:sz w:val="14"/>
              </w:rPr>
            </w:pPr>
          </w:p>
        </w:tc>
        <w:tc>
          <w:tcPr>
            <w:tcW w:w="1839" w:type="dxa"/>
          </w:tcPr>
          <w:p>
            <w:pPr>
              <w:pStyle w:val="TableParagraph"/>
              <w:rPr>
                <w:sz w:val="14"/>
              </w:rPr>
            </w:pPr>
          </w:p>
        </w:tc>
        <w:tc>
          <w:tcPr>
            <w:tcW w:w="1111" w:type="dxa"/>
          </w:tcPr>
          <w:p>
            <w:pPr>
              <w:pStyle w:val="TableParagraph"/>
              <w:rPr>
                <w:sz w:val="14"/>
              </w:rPr>
            </w:pPr>
          </w:p>
        </w:tc>
        <w:tc>
          <w:tcPr>
            <w:tcW w:w="549" w:type="dxa"/>
          </w:tcPr>
          <w:p>
            <w:pPr>
              <w:pStyle w:val="TableParagraph"/>
              <w:rPr>
                <w:sz w:val="14"/>
              </w:rPr>
            </w:pPr>
          </w:p>
        </w:tc>
      </w:tr>
      <w:tr>
        <w:trPr>
          <w:trHeight w:val="203" w:hRule="atLeast"/>
        </w:trPr>
        <w:tc>
          <w:tcPr>
            <w:tcW w:w="6471" w:type="dxa"/>
            <w:shd w:val="clear" w:color="auto" w:fill="CCEDFF"/>
          </w:tcPr>
          <w:p>
            <w:pPr>
              <w:pStyle w:val="TableParagraph"/>
              <w:spacing w:line="184" w:lineRule="exact"/>
              <w:ind w:left="152"/>
              <w:rPr>
                <w:sz w:val="14"/>
              </w:rPr>
            </w:pPr>
            <w:r>
              <w:rPr>
                <w:w w:val="105"/>
                <w:sz w:val="16"/>
              </w:rPr>
              <w:t>Series</w:t>
            </w:r>
            <w:r>
              <w:rPr>
                <w:spacing w:val="-11"/>
                <w:w w:val="105"/>
                <w:sz w:val="16"/>
              </w:rPr>
              <w:t> </w:t>
            </w:r>
            <w:r>
              <w:rPr>
                <w:w w:val="105"/>
                <w:sz w:val="16"/>
              </w:rPr>
              <w:t>A</w:t>
            </w:r>
            <w:r>
              <w:rPr>
                <w:spacing w:val="-10"/>
                <w:w w:val="105"/>
                <w:sz w:val="16"/>
              </w:rPr>
              <w:t> </w:t>
            </w:r>
            <w:r>
              <w:rPr>
                <w:w w:val="105"/>
                <w:sz w:val="16"/>
              </w:rPr>
              <w:t>convertible</w:t>
            </w:r>
            <w:r>
              <w:rPr>
                <w:spacing w:val="-11"/>
                <w:w w:val="105"/>
                <w:sz w:val="16"/>
              </w:rPr>
              <w:t> </w:t>
            </w:r>
            <w:r>
              <w:rPr>
                <w:w w:val="105"/>
                <w:sz w:val="16"/>
              </w:rPr>
              <w:t>preferred</w:t>
            </w:r>
            <w:r>
              <w:rPr>
                <w:spacing w:val="-10"/>
                <w:w w:val="105"/>
                <w:sz w:val="16"/>
              </w:rPr>
              <w:t> </w:t>
            </w:r>
            <w:r>
              <w:rPr>
                <w:w w:val="105"/>
                <w:sz w:val="16"/>
              </w:rPr>
              <w:t>stock</w:t>
            </w:r>
            <w:r>
              <w:rPr>
                <w:spacing w:val="-11"/>
                <w:w w:val="105"/>
                <w:sz w:val="16"/>
              </w:rPr>
              <w:t> </w:t>
            </w:r>
            <w:r>
              <w:rPr>
                <w:w w:val="105"/>
                <w:sz w:val="16"/>
              </w:rPr>
              <w:t>dividend</w:t>
            </w:r>
            <w:r>
              <w:rPr>
                <w:spacing w:val="-10"/>
                <w:w w:val="105"/>
                <w:sz w:val="16"/>
              </w:rPr>
              <w:t> </w:t>
            </w:r>
            <w:r>
              <w:rPr>
                <w:spacing w:val="-5"/>
                <w:w w:val="105"/>
                <w:position w:val="3"/>
                <w:sz w:val="14"/>
              </w:rPr>
              <w:t>(1)</w:t>
            </w:r>
          </w:p>
        </w:tc>
        <w:tc>
          <w:tcPr>
            <w:tcW w:w="1014" w:type="dxa"/>
            <w:shd w:val="clear" w:color="auto" w:fill="CCEDFF"/>
          </w:tcPr>
          <w:p>
            <w:pPr>
              <w:pStyle w:val="TableParagraph"/>
              <w:rPr>
                <w:sz w:val="14"/>
              </w:rPr>
            </w:pPr>
          </w:p>
        </w:tc>
        <w:tc>
          <w:tcPr>
            <w:tcW w:w="531" w:type="dxa"/>
            <w:shd w:val="clear" w:color="auto" w:fill="CCEDFF"/>
          </w:tcPr>
          <w:p>
            <w:pPr>
              <w:pStyle w:val="TableParagraph"/>
              <w:spacing w:line="180" w:lineRule="exact" w:before="3"/>
              <w:ind w:left="256"/>
              <w:jc w:val="center"/>
              <w:rPr>
                <w:b/>
                <w:sz w:val="16"/>
              </w:rPr>
            </w:pPr>
            <w:r>
              <w:rPr>
                <w:b/>
                <w:spacing w:val="-5"/>
                <w:w w:val="105"/>
                <w:sz w:val="16"/>
              </w:rPr>
              <w:t>31</w:t>
            </w:r>
          </w:p>
        </w:tc>
        <w:tc>
          <w:tcPr>
            <w:tcW w:w="1839" w:type="dxa"/>
            <w:shd w:val="clear" w:color="auto" w:fill="CCEDFF"/>
          </w:tcPr>
          <w:p>
            <w:pPr>
              <w:pStyle w:val="TableParagraph"/>
              <w:spacing w:line="180" w:lineRule="exact" w:before="3"/>
              <w:ind w:right="171"/>
              <w:jc w:val="right"/>
              <w:rPr>
                <w:sz w:val="16"/>
              </w:rPr>
            </w:pPr>
            <w:r>
              <w:rPr>
                <w:spacing w:val="-5"/>
                <w:w w:val="105"/>
                <w:sz w:val="16"/>
              </w:rPr>
              <w:t>115</w:t>
            </w:r>
          </w:p>
        </w:tc>
        <w:tc>
          <w:tcPr>
            <w:tcW w:w="1111" w:type="dxa"/>
            <w:shd w:val="clear" w:color="auto" w:fill="CCEDFF"/>
          </w:tcPr>
          <w:p>
            <w:pPr>
              <w:pStyle w:val="TableParagraph"/>
              <w:rPr>
                <w:sz w:val="14"/>
              </w:rPr>
            </w:pPr>
          </w:p>
        </w:tc>
        <w:tc>
          <w:tcPr>
            <w:tcW w:w="549" w:type="dxa"/>
            <w:shd w:val="clear" w:color="auto" w:fill="CCEDFF"/>
          </w:tcPr>
          <w:p>
            <w:pPr>
              <w:pStyle w:val="TableParagraph"/>
              <w:rPr>
                <w:sz w:val="14"/>
              </w:rPr>
            </w:pPr>
          </w:p>
        </w:tc>
      </w:tr>
      <w:tr>
        <w:trPr>
          <w:trHeight w:val="202" w:hRule="atLeast"/>
        </w:trPr>
        <w:tc>
          <w:tcPr>
            <w:tcW w:w="6471" w:type="dxa"/>
            <w:tcBorders>
              <w:bottom w:val="single" w:sz="6" w:space="0" w:color="000000"/>
            </w:tcBorders>
          </w:tcPr>
          <w:p>
            <w:pPr>
              <w:pStyle w:val="TableParagraph"/>
              <w:spacing w:line="179" w:lineRule="exact" w:before="3"/>
              <w:ind w:left="152"/>
              <w:rPr>
                <w:sz w:val="16"/>
              </w:rPr>
            </w:pPr>
            <w:r>
              <w:rPr>
                <w:spacing w:val="-2"/>
                <w:w w:val="105"/>
                <w:sz w:val="16"/>
              </w:rPr>
              <w:t>Employee</w:t>
            </w:r>
            <w:r>
              <w:rPr>
                <w:w w:val="105"/>
                <w:sz w:val="16"/>
              </w:rPr>
              <w:t> </w:t>
            </w:r>
            <w:r>
              <w:rPr>
                <w:spacing w:val="-2"/>
                <w:w w:val="105"/>
                <w:sz w:val="16"/>
              </w:rPr>
              <w:t>stock</w:t>
            </w:r>
            <w:r>
              <w:rPr>
                <w:spacing w:val="1"/>
                <w:w w:val="105"/>
                <w:sz w:val="16"/>
              </w:rPr>
              <w:t> </w:t>
            </w:r>
            <w:r>
              <w:rPr>
                <w:spacing w:val="-2"/>
                <w:w w:val="105"/>
                <w:sz w:val="16"/>
              </w:rPr>
              <w:t>options</w:t>
            </w:r>
            <w:r>
              <w:rPr>
                <w:w w:val="105"/>
                <w:sz w:val="16"/>
              </w:rPr>
              <w:t> </w:t>
            </w:r>
            <w:r>
              <w:rPr>
                <w:spacing w:val="-2"/>
                <w:w w:val="105"/>
                <w:sz w:val="16"/>
              </w:rPr>
              <w:t>and</w:t>
            </w:r>
            <w:r>
              <w:rPr>
                <w:spacing w:val="1"/>
                <w:w w:val="105"/>
                <w:sz w:val="16"/>
              </w:rPr>
              <w:t> </w:t>
            </w:r>
            <w:r>
              <w:rPr>
                <w:spacing w:val="-2"/>
                <w:w w:val="105"/>
                <w:sz w:val="16"/>
              </w:rPr>
              <w:t>awards</w:t>
            </w:r>
          </w:p>
        </w:tc>
        <w:tc>
          <w:tcPr>
            <w:tcW w:w="1014" w:type="dxa"/>
            <w:tcBorders>
              <w:bottom w:val="single" w:sz="6" w:space="0" w:color="000000"/>
            </w:tcBorders>
          </w:tcPr>
          <w:p>
            <w:pPr>
              <w:pStyle w:val="TableParagraph"/>
              <w:rPr>
                <w:sz w:val="14"/>
              </w:rPr>
            </w:pPr>
          </w:p>
        </w:tc>
        <w:tc>
          <w:tcPr>
            <w:tcW w:w="531" w:type="dxa"/>
            <w:tcBorders>
              <w:bottom w:val="single" w:sz="6" w:space="0" w:color="000000"/>
            </w:tcBorders>
          </w:tcPr>
          <w:p>
            <w:pPr>
              <w:pStyle w:val="TableParagraph"/>
              <w:rPr>
                <w:sz w:val="14"/>
              </w:rPr>
            </w:pPr>
          </w:p>
        </w:tc>
        <w:tc>
          <w:tcPr>
            <w:tcW w:w="1839" w:type="dxa"/>
            <w:tcBorders>
              <w:bottom w:val="single" w:sz="6" w:space="0" w:color="000000"/>
            </w:tcBorders>
          </w:tcPr>
          <w:p>
            <w:pPr>
              <w:pStyle w:val="TableParagraph"/>
              <w:spacing w:line="179" w:lineRule="exact" w:before="3"/>
              <w:ind w:right="171"/>
              <w:jc w:val="right"/>
              <w:rPr>
                <w:sz w:val="16"/>
              </w:rPr>
            </w:pPr>
            <w:r>
              <w:rPr>
                <w:spacing w:val="-10"/>
                <w:w w:val="105"/>
                <w:sz w:val="16"/>
              </w:rPr>
              <w:t>2</w:t>
            </w:r>
          </w:p>
        </w:tc>
        <w:tc>
          <w:tcPr>
            <w:tcW w:w="1111" w:type="dxa"/>
            <w:tcBorders>
              <w:bottom w:val="single" w:sz="6" w:space="0" w:color="000000"/>
            </w:tcBorders>
          </w:tcPr>
          <w:p>
            <w:pPr>
              <w:pStyle w:val="TableParagraph"/>
              <w:rPr>
                <w:sz w:val="14"/>
              </w:rPr>
            </w:pPr>
          </w:p>
        </w:tc>
        <w:tc>
          <w:tcPr>
            <w:tcW w:w="549" w:type="dxa"/>
            <w:tcBorders>
              <w:bottom w:val="single" w:sz="6" w:space="0" w:color="000000"/>
            </w:tcBorders>
          </w:tcPr>
          <w:p>
            <w:pPr>
              <w:pStyle w:val="TableParagraph"/>
              <w:spacing w:line="179" w:lineRule="exact" w:before="3"/>
              <w:ind w:right="112"/>
              <w:jc w:val="right"/>
              <w:rPr>
                <w:sz w:val="16"/>
              </w:rPr>
            </w:pPr>
            <w:r>
              <w:rPr>
                <w:spacing w:val="-10"/>
                <w:w w:val="105"/>
                <w:sz w:val="16"/>
              </w:rPr>
              <w:t>2</w:t>
            </w:r>
          </w:p>
        </w:tc>
      </w:tr>
      <w:tr>
        <w:trPr>
          <w:trHeight w:val="199" w:hRule="atLeast"/>
        </w:trPr>
        <w:tc>
          <w:tcPr>
            <w:tcW w:w="6471" w:type="dxa"/>
            <w:tcBorders>
              <w:top w:val="single" w:sz="6" w:space="0" w:color="000000"/>
              <w:bottom w:val="double" w:sz="6" w:space="0" w:color="000000"/>
            </w:tcBorders>
            <w:shd w:val="clear" w:color="auto" w:fill="CCEDFF"/>
          </w:tcPr>
          <w:p>
            <w:pPr>
              <w:pStyle w:val="TableParagraph"/>
              <w:spacing w:line="177" w:lineRule="exact" w:before="2"/>
              <w:rPr>
                <w:sz w:val="16"/>
              </w:rPr>
            </w:pPr>
            <w:r>
              <w:rPr>
                <w:spacing w:val="-4"/>
                <w:w w:val="105"/>
                <w:sz w:val="16"/>
              </w:rPr>
              <w:t>Total</w:t>
            </w:r>
          </w:p>
        </w:tc>
        <w:tc>
          <w:tcPr>
            <w:tcW w:w="1014" w:type="dxa"/>
            <w:tcBorders>
              <w:top w:val="single" w:sz="6" w:space="0" w:color="000000"/>
              <w:bottom w:val="double" w:sz="6" w:space="0" w:color="000000"/>
            </w:tcBorders>
            <w:shd w:val="clear" w:color="auto" w:fill="CCEDFF"/>
          </w:tcPr>
          <w:p>
            <w:pPr>
              <w:pStyle w:val="TableParagraph"/>
              <w:rPr>
                <w:sz w:val="12"/>
              </w:rPr>
            </w:pPr>
          </w:p>
        </w:tc>
        <w:tc>
          <w:tcPr>
            <w:tcW w:w="531" w:type="dxa"/>
            <w:tcBorders>
              <w:top w:val="single" w:sz="6" w:space="0" w:color="000000"/>
              <w:bottom w:val="double" w:sz="6" w:space="0" w:color="000000"/>
            </w:tcBorders>
            <w:shd w:val="clear" w:color="auto" w:fill="CCEDFF"/>
          </w:tcPr>
          <w:p>
            <w:pPr>
              <w:pStyle w:val="TableParagraph"/>
              <w:spacing w:line="177" w:lineRule="exact" w:before="2"/>
              <w:ind w:left="256"/>
              <w:jc w:val="center"/>
              <w:rPr>
                <w:b/>
                <w:sz w:val="16"/>
              </w:rPr>
            </w:pPr>
            <w:r>
              <w:rPr>
                <w:b/>
                <w:spacing w:val="-5"/>
                <w:w w:val="105"/>
                <w:sz w:val="16"/>
              </w:rPr>
              <w:t>31</w:t>
            </w:r>
          </w:p>
        </w:tc>
        <w:tc>
          <w:tcPr>
            <w:tcW w:w="1839" w:type="dxa"/>
            <w:tcBorders>
              <w:top w:val="single" w:sz="6" w:space="0" w:color="000000"/>
              <w:bottom w:val="double" w:sz="6" w:space="0" w:color="000000"/>
            </w:tcBorders>
            <w:shd w:val="clear" w:color="auto" w:fill="CCEDFF"/>
          </w:tcPr>
          <w:p>
            <w:pPr>
              <w:pStyle w:val="TableParagraph"/>
              <w:spacing w:line="177" w:lineRule="exact" w:before="2"/>
              <w:ind w:right="171"/>
              <w:jc w:val="right"/>
              <w:rPr>
                <w:sz w:val="16"/>
              </w:rPr>
            </w:pPr>
            <w:r>
              <w:rPr>
                <w:spacing w:val="-5"/>
                <w:w w:val="105"/>
                <w:sz w:val="16"/>
              </w:rPr>
              <w:t>117</w:t>
            </w:r>
          </w:p>
        </w:tc>
        <w:tc>
          <w:tcPr>
            <w:tcW w:w="1111" w:type="dxa"/>
            <w:tcBorders>
              <w:top w:val="single" w:sz="6" w:space="0" w:color="000000"/>
              <w:bottom w:val="double" w:sz="6" w:space="0" w:color="000000"/>
            </w:tcBorders>
            <w:shd w:val="clear" w:color="auto" w:fill="CCEDFF"/>
          </w:tcPr>
          <w:p>
            <w:pPr>
              <w:pStyle w:val="TableParagraph"/>
              <w:rPr>
                <w:sz w:val="12"/>
              </w:rPr>
            </w:pPr>
          </w:p>
        </w:tc>
        <w:tc>
          <w:tcPr>
            <w:tcW w:w="549" w:type="dxa"/>
            <w:tcBorders>
              <w:top w:val="single" w:sz="6" w:space="0" w:color="000000"/>
              <w:bottom w:val="double" w:sz="6" w:space="0" w:color="000000"/>
            </w:tcBorders>
            <w:shd w:val="clear" w:color="auto" w:fill="CCEDFF"/>
          </w:tcPr>
          <w:p>
            <w:pPr>
              <w:pStyle w:val="TableParagraph"/>
              <w:spacing w:line="177" w:lineRule="exact" w:before="2"/>
              <w:ind w:right="112"/>
              <w:jc w:val="right"/>
              <w:rPr>
                <w:sz w:val="16"/>
              </w:rPr>
            </w:pPr>
            <w:r>
              <w:rPr>
                <w:spacing w:val="-10"/>
                <w:w w:val="105"/>
                <w:sz w:val="16"/>
              </w:rPr>
              <w:t>2</w:t>
            </w:r>
          </w:p>
        </w:tc>
      </w:tr>
    </w:tbl>
    <w:p>
      <w:pPr>
        <w:spacing w:before="106"/>
        <w:ind w:left="156" w:right="0" w:firstLine="0"/>
        <w:jc w:val="left"/>
        <w:rPr>
          <w:sz w:val="14"/>
        </w:rPr>
      </w:pPr>
      <w:r>
        <w:rPr>
          <w:sz w:val="14"/>
        </w:rPr>
        <w:t>(1)</w:t>
      </w:r>
      <w:r>
        <w:rPr>
          <w:spacing w:val="34"/>
          <w:sz w:val="14"/>
        </w:rPr>
        <w:t>  </w:t>
      </w:r>
      <w:r>
        <w:rPr>
          <w:sz w:val="14"/>
        </w:rPr>
        <w:t>For</w:t>
      </w:r>
      <w:r>
        <w:rPr>
          <w:spacing w:val="1"/>
          <w:sz w:val="14"/>
        </w:rPr>
        <w:t> </w:t>
      </w:r>
      <w:r>
        <w:rPr>
          <w:sz w:val="14"/>
        </w:rPr>
        <w:t>the</w:t>
      </w:r>
      <w:r>
        <w:rPr>
          <w:spacing w:val="-1"/>
          <w:sz w:val="14"/>
        </w:rPr>
        <w:t> </w:t>
      </w:r>
      <w:r>
        <w:rPr>
          <w:sz w:val="14"/>
        </w:rPr>
        <w:t>years ended</w:t>
      </w:r>
      <w:r>
        <w:rPr>
          <w:spacing w:val="-2"/>
          <w:sz w:val="14"/>
        </w:rPr>
        <w:t> </w:t>
      </w:r>
      <w:r>
        <w:rPr>
          <w:sz w:val="14"/>
        </w:rPr>
        <w:t>December 31,</w:t>
      </w:r>
      <w:r>
        <w:rPr>
          <w:spacing w:val="-1"/>
          <w:sz w:val="14"/>
        </w:rPr>
        <w:t> </w:t>
      </w:r>
      <w:r>
        <w:rPr>
          <w:sz w:val="14"/>
        </w:rPr>
        <w:t>2021</w:t>
      </w:r>
      <w:r>
        <w:rPr>
          <w:spacing w:val="-1"/>
          <w:sz w:val="14"/>
        </w:rPr>
        <w:t> </w:t>
      </w:r>
      <w:r>
        <w:rPr>
          <w:sz w:val="14"/>
        </w:rPr>
        <w:t>and</w:t>
      </w:r>
      <w:r>
        <w:rPr>
          <w:spacing w:val="-1"/>
          <w:sz w:val="14"/>
        </w:rPr>
        <w:t> </w:t>
      </w:r>
      <w:r>
        <w:rPr>
          <w:sz w:val="14"/>
        </w:rPr>
        <w:t>2020,</w:t>
      </w:r>
      <w:r>
        <w:rPr>
          <w:spacing w:val="-1"/>
          <w:sz w:val="14"/>
        </w:rPr>
        <w:t> </w:t>
      </w:r>
      <w:r>
        <w:rPr>
          <w:sz w:val="14"/>
        </w:rPr>
        <w:t>the Preferred</w:t>
      </w:r>
      <w:r>
        <w:rPr>
          <w:spacing w:val="-1"/>
          <w:sz w:val="14"/>
        </w:rPr>
        <w:t> </w:t>
      </w:r>
      <w:r>
        <w:rPr>
          <w:sz w:val="14"/>
        </w:rPr>
        <w:t>Stock was</w:t>
      </w:r>
      <w:r>
        <w:rPr>
          <w:spacing w:val="-1"/>
          <w:sz w:val="14"/>
        </w:rPr>
        <w:t> </w:t>
      </w:r>
      <w:r>
        <w:rPr>
          <w:sz w:val="14"/>
        </w:rPr>
        <w:t>anti-dilutive and</w:t>
      </w:r>
      <w:r>
        <w:rPr>
          <w:spacing w:val="-1"/>
          <w:sz w:val="14"/>
        </w:rPr>
        <w:t> </w:t>
      </w:r>
      <w:r>
        <w:rPr>
          <w:sz w:val="14"/>
        </w:rPr>
        <w:t>therefore excluded</w:t>
      </w:r>
      <w:r>
        <w:rPr>
          <w:spacing w:val="-1"/>
          <w:sz w:val="14"/>
        </w:rPr>
        <w:t> </w:t>
      </w:r>
      <w:r>
        <w:rPr>
          <w:sz w:val="14"/>
        </w:rPr>
        <w:t>from the</w:t>
      </w:r>
      <w:r>
        <w:rPr>
          <w:spacing w:val="-1"/>
          <w:sz w:val="14"/>
        </w:rPr>
        <w:t> </w:t>
      </w:r>
      <w:r>
        <w:rPr>
          <w:sz w:val="14"/>
        </w:rPr>
        <w:t>calculation of</w:t>
      </w:r>
      <w:r>
        <w:rPr>
          <w:spacing w:val="-1"/>
          <w:sz w:val="14"/>
        </w:rPr>
        <w:t> </w:t>
      </w:r>
      <w:r>
        <w:rPr>
          <w:sz w:val="14"/>
        </w:rPr>
        <w:t>diluted earnings</w:t>
      </w:r>
      <w:r>
        <w:rPr>
          <w:spacing w:val="-1"/>
          <w:sz w:val="14"/>
        </w:rPr>
        <w:t> </w:t>
      </w:r>
      <w:r>
        <w:rPr>
          <w:sz w:val="14"/>
        </w:rPr>
        <w:t>per </w:t>
      </w:r>
      <w:r>
        <w:rPr>
          <w:spacing w:val="-2"/>
          <w:sz w:val="14"/>
        </w:rPr>
        <w:t>share.</w:t>
      </w:r>
    </w:p>
    <w:p>
      <w:pPr>
        <w:pStyle w:val="BodyText"/>
        <w:spacing w:before="41"/>
        <w:rPr>
          <w:sz w:val="14"/>
        </w:rPr>
      </w:pPr>
    </w:p>
    <w:p>
      <w:pPr>
        <w:pStyle w:val="Heading3"/>
      </w:pPr>
      <w:r>
        <w:rPr/>
        <w:t>Fixed</w:t>
      </w:r>
      <w:r>
        <w:rPr>
          <w:spacing w:val="15"/>
        </w:rPr>
        <w:t> </w:t>
      </w:r>
      <w:r>
        <w:rPr/>
        <w:t>Rate</w:t>
      </w:r>
      <w:r>
        <w:rPr>
          <w:spacing w:val="15"/>
        </w:rPr>
        <w:t> </w:t>
      </w:r>
      <w:r>
        <w:rPr/>
        <w:t>Cumulative</w:t>
      </w:r>
      <w:r>
        <w:rPr>
          <w:spacing w:val="16"/>
        </w:rPr>
        <w:t> </w:t>
      </w:r>
      <w:r>
        <w:rPr/>
        <w:t>Convertible</w:t>
      </w:r>
      <w:r>
        <w:rPr>
          <w:spacing w:val="15"/>
        </w:rPr>
        <w:t> </w:t>
      </w:r>
      <w:r>
        <w:rPr/>
        <w:t>Preferred</w:t>
      </w:r>
      <w:r>
        <w:rPr>
          <w:spacing w:val="15"/>
        </w:rPr>
        <w:t> </w:t>
      </w:r>
      <w:r>
        <w:rPr/>
        <w:t>Stock,</w:t>
      </w:r>
      <w:r>
        <w:rPr>
          <w:spacing w:val="16"/>
        </w:rPr>
        <w:t> </w:t>
      </w:r>
      <w:r>
        <w:rPr/>
        <w:t>Series</w:t>
      </w:r>
      <w:r>
        <w:rPr>
          <w:spacing w:val="15"/>
        </w:rPr>
        <w:t> </w:t>
      </w:r>
      <w:r>
        <w:rPr>
          <w:spacing w:val="-10"/>
        </w:rPr>
        <w:t>A</w:t>
      </w:r>
    </w:p>
    <w:p>
      <w:pPr>
        <w:pStyle w:val="BodyText"/>
        <w:spacing w:before="40"/>
        <w:rPr>
          <w:b/>
          <w:i/>
        </w:rPr>
      </w:pPr>
    </w:p>
    <w:p>
      <w:pPr>
        <w:pStyle w:val="BodyText"/>
        <w:ind w:left="156"/>
      </w:pPr>
      <w:r>
        <w:rPr>
          <w:w w:val="105"/>
        </w:rPr>
        <w:t>As</w:t>
      </w:r>
      <w:r>
        <w:rPr>
          <w:spacing w:val="-10"/>
          <w:w w:val="105"/>
        </w:rPr>
        <w:t> </w:t>
      </w:r>
      <w:r>
        <w:rPr>
          <w:w w:val="105"/>
        </w:rPr>
        <w:t>of</w:t>
      </w:r>
      <w:r>
        <w:rPr>
          <w:spacing w:val="-9"/>
          <w:w w:val="105"/>
        </w:rPr>
        <w:t> </w:t>
      </w:r>
      <w:r>
        <w:rPr>
          <w:w w:val="105"/>
        </w:rPr>
        <w:t>December</w:t>
      </w:r>
      <w:r>
        <w:rPr>
          <w:spacing w:val="-10"/>
          <w:w w:val="105"/>
        </w:rPr>
        <w:t> </w:t>
      </w:r>
      <w:r>
        <w:rPr>
          <w:w w:val="105"/>
        </w:rPr>
        <w:t>31,</w:t>
      </w:r>
      <w:r>
        <w:rPr>
          <w:spacing w:val="-10"/>
          <w:w w:val="105"/>
        </w:rPr>
        <w:t> </w:t>
      </w:r>
      <w:r>
        <w:rPr>
          <w:w w:val="105"/>
        </w:rPr>
        <w:t>2020,</w:t>
      </w:r>
      <w:r>
        <w:rPr>
          <w:spacing w:val="-9"/>
          <w:w w:val="105"/>
        </w:rPr>
        <w:t> </w:t>
      </w:r>
      <w:r>
        <w:rPr>
          <w:w w:val="105"/>
        </w:rPr>
        <w:t>Corning</w:t>
      </w:r>
      <w:r>
        <w:rPr>
          <w:spacing w:val="-9"/>
          <w:w w:val="105"/>
        </w:rPr>
        <w:t> </w:t>
      </w:r>
      <w:r>
        <w:rPr>
          <w:w w:val="105"/>
        </w:rPr>
        <w:t>had</w:t>
      </w:r>
      <w:r>
        <w:rPr>
          <w:spacing w:val="-10"/>
          <w:w w:val="105"/>
        </w:rPr>
        <w:t> </w:t>
      </w:r>
      <w:r>
        <w:rPr>
          <w:w w:val="105"/>
        </w:rPr>
        <w:t>2,300</w:t>
      </w:r>
      <w:r>
        <w:rPr>
          <w:spacing w:val="-10"/>
          <w:w w:val="105"/>
        </w:rPr>
        <w:t> </w:t>
      </w:r>
      <w:r>
        <w:rPr>
          <w:w w:val="105"/>
        </w:rPr>
        <w:t>outstanding</w:t>
      </w:r>
      <w:r>
        <w:rPr>
          <w:spacing w:val="-9"/>
          <w:w w:val="105"/>
        </w:rPr>
        <w:t> </w:t>
      </w:r>
      <w:r>
        <w:rPr>
          <w:w w:val="105"/>
        </w:rPr>
        <w:t>shares</w:t>
      </w:r>
      <w:r>
        <w:rPr>
          <w:spacing w:val="-10"/>
          <w:w w:val="105"/>
        </w:rPr>
        <w:t> </w:t>
      </w:r>
      <w:r>
        <w:rPr>
          <w:w w:val="105"/>
        </w:rPr>
        <w:t>of</w:t>
      </w:r>
      <w:r>
        <w:rPr>
          <w:spacing w:val="-10"/>
          <w:w w:val="105"/>
        </w:rPr>
        <w:t> </w:t>
      </w:r>
      <w:r>
        <w:rPr>
          <w:w w:val="105"/>
        </w:rPr>
        <w:t>Fixed</w:t>
      </w:r>
      <w:r>
        <w:rPr>
          <w:spacing w:val="-10"/>
          <w:w w:val="105"/>
        </w:rPr>
        <w:t> </w:t>
      </w:r>
      <w:r>
        <w:rPr>
          <w:w w:val="105"/>
        </w:rPr>
        <w:t>Rate</w:t>
      </w:r>
      <w:r>
        <w:rPr>
          <w:spacing w:val="-9"/>
          <w:w w:val="105"/>
        </w:rPr>
        <w:t> </w:t>
      </w:r>
      <w:r>
        <w:rPr>
          <w:w w:val="105"/>
        </w:rPr>
        <w:t>Cumulative</w:t>
      </w:r>
      <w:r>
        <w:rPr>
          <w:spacing w:val="-10"/>
          <w:w w:val="105"/>
        </w:rPr>
        <w:t> </w:t>
      </w:r>
      <w:r>
        <w:rPr>
          <w:w w:val="105"/>
        </w:rPr>
        <w:t>Convertible</w:t>
      </w:r>
      <w:r>
        <w:rPr>
          <w:spacing w:val="-10"/>
          <w:w w:val="105"/>
        </w:rPr>
        <w:t> </w:t>
      </w:r>
      <w:r>
        <w:rPr>
          <w:w w:val="105"/>
        </w:rPr>
        <w:t>Preferred</w:t>
      </w:r>
      <w:r>
        <w:rPr>
          <w:spacing w:val="-10"/>
          <w:w w:val="105"/>
        </w:rPr>
        <w:t> </w:t>
      </w:r>
      <w:r>
        <w:rPr>
          <w:w w:val="105"/>
        </w:rPr>
        <w:t>Stock,</w:t>
      </w:r>
      <w:r>
        <w:rPr>
          <w:spacing w:val="-9"/>
          <w:w w:val="105"/>
        </w:rPr>
        <w:t> </w:t>
      </w:r>
      <w:r>
        <w:rPr>
          <w:w w:val="105"/>
        </w:rPr>
        <w:t>Series</w:t>
      </w:r>
      <w:r>
        <w:rPr>
          <w:spacing w:val="-10"/>
          <w:w w:val="105"/>
        </w:rPr>
        <w:t> </w:t>
      </w:r>
      <w:r>
        <w:rPr>
          <w:spacing w:val="-5"/>
          <w:w w:val="105"/>
        </w:rPr>
        <w:t>A.</w:t>
      </w:r>
    </w:p>
    <w:p>
      <w:pPr>
        <w:pStyle w:val="BodyText"/>
        <w:spacing w:before="40"/>
      </w:pPr>
    </w:p>
    <w:p>
      <w:pPr>
        <w:pStyle w:val="BodyText"/>
        <w:spacing w:line="266" w:lineRule="auto"/>
        <w:ind w:left="156" w:right="328"/>
      </w:pPr>
      <w:r>
        <w:rPr>
          <w:w w:val="105"/>
        </w:rPr>
        <w:t>On</w:t>
      </w:r>
      <w:r>
        <w:rPr>
          <w:spacing w:val="-7"/>
          <w:w w:val="105"/>
        </w:rPr>
        <w:t> </w:t>
      </w:r>
      <w:r>
        <w:rPr>
          <w:w w:val="105"/>
        </w:rPr>
        <w:t>January</w:t>
      </w:r>
      <w:r>
        <w:rPr>
          <w:spacing w:val="-7"/>
          <w:w w:val="105"/>
        </w:rPr>
        <w:t> </w:t>
      </w:r>
      <w:r>
        <w:rPr>
          <w:w w:val="105"/>
        </w:rPr>
        <w:t>16,</w:t>
      </w:r>
      <w:r>
        <w:rPr>
          <w:spacing w:val="-7"/>
          <w:w w:val="105"/>
        </w:rPr>
        <w:t> </w:t>
      </w:r>
      <w:r>
        <w:rPr>
          <w:w w:val="105"/>
        </w:rPr>
        <w:t>2021,</w:t>
      </w:r>
      <w:r>
        <w:rPr>
          <w:spacing w:val="-7"/>
          <w:w w:val="105"/>
        </w:rPr>
        <w:t> </w:t>
      </w:r>
      <w:r>
        <w:rPr>
          <w:w w:val="105"/>
        </w:rPr>
        <w:t>the</w:t>
      </w:r>
      <w:r>
        <w:rPr>
          <w:spacing w:val="-7"/>
          <w:w w:val="105"/>
        </w:rPr>
        <w:t> </w:t>
      </w:r>
      <w:r>
        <w:rPr>
          <w:w w:val="105"/>
        </w:rPr>
        <w:t>Preferred</w:t>
      </w:r>
      <w:r>
        <w:rPr>
          <w:spacing w:val="-7"/>
          <w:w w:val="105"/>
        </w:rPr>
        <w:t> </w:t>
      </w:r>
      <w:r>
        <w:rPr>
          <w:w w:val="105"/>
        </w:rPr>
        <w:t>Stock</w:t>
      </w:r>
      <w:r>
        <w:rPr>
          <w:spacing w:val="-7"/>
          <w:w w:val="105"/>
        </w:rPr>
        <w:t> </w:t>
      </w:r>
      <w:r>
        <w:rPr>
          <w:w w:val="105"/>
        </w:rPr>
        <w:t>became</w:t>
      </w:r>
      <w:r>
        <w:rPr>
          <w:spacing w:val="-7"/>
          <w:w w:val="105"/>
        </w:rPr>
        <w:t> </w:t>
      </w:r>
      <w:r>
        <w:rPr>
          <w:w w:val="105"/>
        </w:rPr>
        <w:t>convertible</w:t>
      </w:r>
      <w:r>
        <w:rPr>
          <w:spacing w:val="-7"/>
          <w:w w:val="105"/>
        </w:rPr>
        <w:t> </w:t>
      </w:r>
      <w:r>
        <w:rPr>
          <w:w w:val="105"/>
        </w:rPr>
        <w:t>into</w:t>
      </w:r>
      <w:r>
        <w:rPr>
          <w:spacing w:val="-7"/>
          <w:w w:val="105"/>
        </w:rPr>
        <w:t> </w:t>
      </w:r>
      <w:r>
        <w:rPr>
          <w:w w:val="105"/>
        </w:rPr>
        <w:t>115</w:t>
      </w:r>
      <w:r>
        <w:rPr>
          <w:spacing w:val="-7"/>
          <w:w w:val="105"/>
        </w:rPr>
        <w:t> </w:t>
      </w:r>
      <w:r>
        <w:rPr>
          <w:w w:val="105"/>
        </w:rPr>
        <w:t>million</w:t>
      </w:r>
      <w:r>
        <w:rPr>
          <w:spacing w:val="-7"/>
          <w:w w:val="105"/>
        </w:rPr>
        <w:t> </w:t>
      </w:r>
      <w:r>
        <w:rPr>
          <w:w w:val="105"/>
        </w:rPr>
        <w:t>Common</w:t>
      </w:r>
      <w:r>
        <w:rPr>
          <w:spacing w:val="-7"/>
          <w:w w:val="105"/>
        </w:rPr>
        <w:t> </w:t>
      </w:r>
      <w:r>
        <w:rPr>
          <w:w w:val="105"/>
        </w:rPr>
        <w:t>Shares,</w:t>
      </w:r>
      <w:r>
        <w:rPr>
          <w:spacing w:val="-7"/>
          <w:w w:val="105"/>
        </w:rPr>
        <w:t> </w:t>
      </w:r>
      <w:r>
        <w:rPr>
          <w:w w:val="105"/>
        </w:rPr>
        <w:t>in</w:t>
      </w:r>
      <w:r>
        <w:rPr>
          <w:spacing w:val="-7"/>
          <w:w w:val="105"/>
        </w:rPr>
        <w:t> </w:t>
      </w:r>
      <w:r>
        <w:rPr>
          <w:w w:val="105"/>
        </w:rPr>
        <w:t>whole</w:t>
      </w:r>
      <w:r>
        <w:rPr>
          <w:spacing w:val="-7"/>
          <w:w w:val="105"/>
        </w:rPr>
        <w:t> </w:t>
      </w:r>
      <w:r>
        <w:rPr>
          <w:w w:val="105"/>
        </w:rPr>
        <w:t>or</w:t>
      </w:r>
      <w:r>
        <w:rPr>
          <w:spacing w:val="-7"/>
          <w:w w:val="105"/>
        </w:rPr>
        <w:t> </w:t>
      </w:r>
      <w:r>
        <w:rPr>
          <w:w w:val="105"/>
        </w:rPr>
        <w:t>in</w:t>
      </w:r>
      <w:r>
        <w:rPr>
          <w:spacing w:val="-7"/>
          <w:w w:val="105"/>
        </w:rPr>
        <w:t> </w:t>
      </w:r>
      <w:r>
        <w:rPr>
          <w:w w:val="105"/>
        </w:rPr>
        <w:t>part,</w:t>
      </w:r>
      <w:r>
        <w:rPr>
          <w:spacing w:val="-5"/>
          <w:w w:val="105"/>
        </w:rPr>
        <w:t> </w:t>
      </w:r>
      <w:r>
        <w:rPr>
          <w:w w:val="105"/>
        </w:rPr>
        <w:t>at</w:t>
      </w:r>
      <w:r>
        <w:rPr>
          <w:spacing w:val="-7"/>
          <w:w w:val="105"/>
        </w:rPr>
        <w:t> </w:t>
      </w:r>
      <w:r>
        <w:rPr>
          <w:w w:val="105"/>
        </w:rPr>
        <w:t>the</w:t>
      </w:r>
      <w:r>
        <w:rPr>
          <w:spacing w:val="-7"/>
          <w:w w:val="105"/>
        </w:rPr>
        <w:t> </w:t>
      </w:r>
      <w:r>
        <w:rPr>
          <w:w w:val="105"/>
        </w:rPr>
        <w:t>option</w:t>
      </w:r>
      <w:r>
        <w:rPr>
          <w:spacing w:val="-7"/>
          <w:w w:val="105"/>
        </w:rPr>
        <w:t> </w:t>
      </w:r>
      <w:r>
        <w:rPr>
          <w:w w:val="105"/>
        </w:rPr>
        <w:t>of</w:t>
      </w:r>
      <w:r>
        <w:rPr>
          <w:spacing w:val="-7"/>
          <w:w w:val="105"/>
        </w:rPr>
        <w:t> </w:t>
      </w:r>
      <w:r>
        <w:rPr>
          <w:w w:val="105"/>
        </w:rPr>
        <w:t>the</w:t>
      </w:r>
      <w:r>
        <w:rPr>
          <w:spacing w:val="-7"/>
          <w:w w:val="105"/>
        </w:rPr>
        <w:t> </w:t>
      </w:r>
      <w:r>
        <w:rPr>
          <w:w w:val="105"/>
        </w:rPr>
        <w:t>holder,</w:t>
      </w:r>
      <w:r>
        <w:rPr>
          <w:spacing w:val="-7"/>
          <w:w w:val="105"/>
        </w:rPr>
        <w:t> </w:t>
      </w:r>
      <w:r>
        <w:rPr>
          <w:w w:val="105"/>
        </w:rPr>
        <w:t>SDC.</w:t>
      </w:r>
      <w:r>
        <w:rPr>
          <w:spacing w:val="29"/>
          <w:w w:val="105"/>
        </w:rPr>
        <w:t> </w:t>
      </w:r>
      <w:r>
        <w:rPr>
          <w:w w:val="105"/>
        </w:rPr>
        <w:t>On</w:t>
      </w:r>
      <w:r>
        <w:rPr>
          <w:spacing w:val="-7"/>
          <w:w w:val="105"/>
        </w:rPr>
        <w:t> </w:t>
      </w:r>
      <w:r>
        <w:rPr>
          <w:w w:val="105"/>
        </w:rPr>
        <w:t>April</w:t>
      </w:r>
      <w:r>
        <w:rPr>
          <w:spacing w:val="-7"/>
          <w:w w:val="105"/>
        </w:rPr>
        <w:t> </w:t>
      </w:r>
      <w:r>
        <w:rPr>
          <w:w w:val="105"/>
        </w:rPr>
        <w:t>5,</w:t>
      </w:r>
      <w:r>
        <w:rPr>
          <w:spacing w:val="-7"/>
          <w:w w:val="105"/>
        </w:rPr>
        <w:t> </w:t>
      </w:r>
      <w:r>
        <w:rPr>
          <w:w w:val="105"/>
        </w:rPr>
        <w:t>2021, Corning and SDC executed an SRA.</w:t>
      </w:r>
    </w:p>
    <w:p>
      <w:pPr>
        <w:pStyle w:val="BodyText"/>
        <w:spacing w:before="19"/>
      </w:pPr>
    </w:p>
    <w:p>
      <w:pPr>
        <w:pStyle w:val="BodyText"/>
        <w:spacing w:line="266" w:lineRule="auto"/>
        <w:ind w:left="156"/>
      </w:pPr>
      <w:r>
        <w:rPr>
          <w:w w:val="105"/>
        </w:rPr>
        <w:t>Pursuant</w:t>
      </w:r>
      <w:r>
        <w:rPr>
          <w:spacing w:val="-2"/>
          <w:w w:val="105"/>
        </w:rPr>
        <w:t> </w:t>
      </w:r>
      <w:r>
        <w:rPr>
          <w:w w:val="105"/>
        </w:rPr>
        <w:t>to</w:t>
      </w:r>
      <w:r>
        <w:rPr>
          <w:spacing w:val="-2"/>
          <w:w w:val="105"/>
        </w:rPr>
        <w:t> </w:t>
      </w:r>
      <w:r>
        <w:rPr>
          <w:w w:val="105"/>
        </w:rPr>
        <w:t>the</w:t>
      </w:r>
      <w:r>
        <w:rPr>
          <w:spacing w:val="-2"/>
          <w:w w:val="105"/>
        </w:rPr>
        <w:t> </w:t>
      </w:r>
      <w:r>
        <w:rPr>
          <w:w w:val="105"/>
        </w:rPr>
        <w:t>SRA,</w:t>
      </w:r>
      <w:r>
        <w:rPr>
          <w:spacing w:val="-2"/>
          <w:w w:val="105"/>
        </w:rPr>
        <w:t> </w:t>
      </w:r>
      <w:r>
        <w:rPr>
          <w:w w:val="105"/>
        </w:rPr>
        <w:t>on</w:t>
      </w:r>
      <w:r>
        <w:rPr>
          <w:spacing w:val="-2"/>
          <w:w w:val="105"/>
        </w:rPr>
        <w:t> </w:t>
      </w:r>
      <w:r>
        <w:rPr>
          <w:w w:val="105"/>
        </w:rPr>
        <w:t>the</w:t>
      </w:r>
      <w:r>
        <w:rPr>
          <w:spacing w:val="-2"/>
          <w:w w:val="105"/>
        </w:rPr>
        <w:t> </w:t>
      </w:r>
      <w:r>
        <w:rPr>
          <w:w w:val="105"/>
        </w:rPr>
        <w:t>Initial</w:t>
      </w:r>
      <w:r>
        <w:rPr>
          <w:spacing w:val="-2"/>
          <w:w w:val="105"/>
        </w:rPr>
        <w:t> </w:t>
      </w:r>
      <w:r>
        <w:rPr>
          <w:w w:val="105"/>
        </w:rPr>
        <w:t>Closing</w:t>
      </w:r>
      <w:r>
        <w:rPr>
          <w:spacing w:val="-2"/>
          <w:w w:val="105"/>
        </w:rPr>
        <w:t> </w:t>
      </w:r>
      <w:r>
        <w:rPr>
          <w:w w:val="105"/>
        </w:rPr>
        <w:t>Date,</w:t>
      </w:r>
      <w:r>
        <w:rPr>
          <w:spacing w:val="-2"/>
          <w:w w:val="105"/>
        </w:rPr>
        <w:t> </w:t>
      </w:r>
      <w:r>
        <w:rPr>
          <w:w w:val="105"/>
        </w:rPr>
        <w:t>the</w:t>
      </w:r>
      <w:r>
        <w:rPr>
          <w:spacing w:val="-2"/>
          <w:w w:val="105"/>
        </w:rPr>
        <w:t> </w:t>
      </w:r>
      <w:r>
        <w:rPr>
          <w:w w:val="105"/>
        </w:rPr>
        <w:t>Preferred</w:t>
      </w:r>
      <w:r>
        <w:rPr>
          <w:spacing w:val="-2"/>
          <w:w w:val="105"/>
        </w:rPr>
        <w:t> </w:t>
      </w:r>
      <w:r>
        <w:rPr>
          <w:w w:val="105"/>
        </w:rPr>
        <w:t>Stock</w:t>
      </w:r>
      <w:r>
        <w:rPr>
          <w:spacing w:val="-2"/>
          <w:w w:val="105"/>
        </w:rPr>
        <w:t> </w:t>
      </w:r>
      <w:r>
        <w:rPr>
          <w:w w:val="105"/>
        </w:rPr>
        <w:t>was</w:t>
      </w:r>
      <w:r>
        <w:rPr>
          <w:spacing w:val="-2"/>
          <w:w w:val="105"/>
        </w:rPr>
        <w:t> </w:t>
      </w:r>
      <w:r>
        <w:rPr>
          <w:w w:val="105"/>
        </w:rPr>
        <w:t>fully converted</w:t>
      </w:r>
      <w:r>
        <w:rPr>
          <w:spacing w:val="-2"/>
          <w:w w:val="105"/>
        </w:rPr>
        <w:t> </w:t>
      </w:r>
      <w:r>
        <w:rPr>
          <w:w w:val="105"/>
        </w:rPr>
        <w:t>into</w:t>
      </w:r>
      <w:r>
        <w:rPr>
          <w:spacing w:val="-2"/>
          <w:w w:val="105"/>
        </w:rPr>
        <w:t> </w:t>
      </w:r>
      <w:r>
        <w:rPr>
          <w:w w:val="105"/>
        </w:rPr>
        <w:t>115</w:t>
      </w:r>
      <w:r>
        <w:rPr>
          <w:spacing w:val="-2"/>
          <w:w w:val="105"/>
        </w:rPr>
        <w:t> </w:t>
      </w:r>
      <w:r>
        <w:rPr>
          <w:w w:val="105"/>
        </w:rPr>
        <w:t>million</w:t>
      </w:r>
      <w:r>
        <w:rPr>
          <w:spacing w:val="-2"/>
          <w:w w:val="105"/>
        </w:rPr>
        <w:t> </w:t>
      </w:r>
      <w:r>
        <w:rPr>
          <w:w w:val="105"/>
        </w:rPr>
        <w:t>Common</w:t>
      </w:r>
      <w:r>
        <w:rPr>
          <w:spacing w:val="-2"/>
          <w:w w:val="105"/>
        </w:rPr>
        <w:t> </w:t>
      </w:r>
      <w:r>
        <w:rPr>
          <w:w w:val="105"/>
        </w:rPr>
        <w:t>Shares.</w:t>
      </w:r>
      <w:r>
        <w:rPr>
          <w:spacing w:val="39"/>
          <w:w w:val="105"/>
        </w:rPr>
        <w:t> </w:t>
      </w:r>
      <w:r>
        <w:rPr>
          <w:w w:val="105"/>
        </w:rPr>
        <w:t>The</w:t>
      </w:r>
      <w:r>
        <w:rPr>
          <w:spacing w:val="-2"/>
          <w:w w:val="105"/>
        </w:rPr>
        <w:t> </w:t>
      </w:r>
      <w:r>
        <w:rPr>
          <w:w w:val="105"/>
        </w:rPr>
        <w:t>Company</w:t>
      </w:r>
      <w:r>
        <w:rPr>
          <w:spacing w:val="-2"/>
          <w:w w:val="105"/>
        </w:rPr>
        <w:t> </w:t>
      </w:r>
      <w:r>
        <w:rPr>
          <w:w w:val="105"/>
        </w:rPr>
        <w:t>repurchased</w:t>
      </w:r>
      <w:r>
        <w:rPr>
          <w:spacing w:val="-2"/>
          <w:w w:val="105"/>
        </w:rPr>
        <w:t> </w:t>
      </w:r>
      <w:r>
        <w:rPr>
          <w:w w:val="105"/>
        </w:rPr>
        <w:t>35</w:t>
      </w:r>
      <w:r>
        <w:rPr>
          <w:spacing w:val="-2"/>
          <w:w w:val="105"/>
        </w:rPr>
        <w:t> </w:t>
      </w:r>
      <w:r>
        <w:rPr>
          <w:w w:val="105"/>
        </w:rPr>
        <w:t>million</w:t>
      </w:r>
      <w:r>
        <w:rPr>
          <w:spacing w:val="-2"/>
          <w:w w:val="105"/>
        </w:rPr>
        <w:t> </w:t>
      </w:r>
      <w:r>
        <w:rPr>
          <w:w w:val="105"/>
        </w:rPr>
        <w:t>of</w:t>
      </w:r>
      <w:r>
        <w:rPr>
          <w:spacing w:val="-2"/>
          <w:w w:val="105"/>
        </w:rPr>
        <w:t> </w:t>
      </w:r>
      <w:r>
        <w:rPr>
          <w:w w:val="105"/>
        </w:rPr>
        <w:t>the converted</w:t>
      </w:r>
      <w:r>
        <w:rPr>
          <w:spacing w:val="-7"/>
          <w:w w:val="105"/>
        </w:rPr>
        <w:t> </w:t>
      </w:r>
      <w:r>
        <w:rPr>
          <w:w w:val="105"/>
        </w:rPr>
        <w:t>Common</w:t>
      </w:r>
      <w:r>
        <w:rPr>
          <w:spacing w:val="-7"/>
          <w:w w:val="105"/>
        </w:rPr>
        <w:t> </w:t>
      </w:r>
      <w:r>
        <w:rPr>
          <w:w w:val="105"/>
        </w:rPr>
        <w:t>Shares</w:t>
      </w:r>
      <w:r>
        <w:rPr>
          <w:spacing w:val="-7"/>
          <w:w w:val="105"/>
        </w:rPr>
        <w:t> </w:t>
      </w:r>
      <w:r>
        <w:rPr>
          <w:w w:val="105"/>
        </w:rPr>
        <w:t>pursuant</w:t>
      </w:r>
      <w:r>
        <w:rPr>
          <w:spacing w:val="-7"/>
          <w:w w:val="105"/>
        </w:rPr>
        <w:t> </w:t>
      </w:r>
      <w:r>
        <w:rPr>
          <w:w w:val="105"/>
        </w:rPr>
        <w:t>to</w:t>
      </w:r>
      <w:r>
        <w:rPr>
          <w:spacing w:val="-5"/>
          <w:w w:val="105"/>
        </w:rPr>
        <w:t> </w:t>
      </w:r>
      <w:r>
        <w:rPr>
          <w:w w:val="105"/>
        </w:rPr>
        <w:t>the</w:t>
      </w:r>
      <w:r>
        <w:rPr>
          <w:spacing w:val="-7"/>
          <w:w w:val="105"/>
        </w:rPr>
        <w:t> </w:t>
      </w:r>
      <w:r>
        <w:rPr>
          <w:w w:val="105"/>
        </w:rPr>
        <w:t>SRA</w:t>
      </w:r>
      <w:r>
        <w:rPr>
          <w:spacing w:val="-7"/>
          <w:w w:val="105"/>
        </w:rPr>
        <w:t> </w:t>
      </w:r>
      <w:r>
        <w:rPr>
          <w:w w:val="105"/>
        </w:rPr>
        <w:t>and</w:t>
      </w:r>
      <w:r>
        <w:rPr>
          <w:spacing w:val="-7"/>
          <w:w w:val="105"/>
        </w:rPr>
        <w:t> </w:t>
      </w:r>
      <w:r>
        <w:rPr>
          <w:w w:val="105"/>
        </w:rPr>
        <w:t>excluded</w:t>
      </w:r>
      <w:r>
        <w:rPr>
          <w:spacing w:val="-7"/>
          <w:w w:val="105"/>
        </w:rPr>
        <w:t> </w:t>
      </w:r>
      <w:r>
        <w:rPr>
          <w:w w:val="105"/>
        </w:rPr>
        <w:t>them</w:t>
      </w:r>
      <w:r>
        <w:rPr>
          <w:spacing w:val="-7"/>
          <w:w w:val="105"/>
        </w:rPr>
        <w:t> </w:t>
      </w:r>
      <w:r>
        <w:rPr>
          <w:w w:val="105"/>
        </w:rPr>
        <w:t>from</w:t>
      </w:r>
      <w:r>
        <w:rPr>
          <w:spacing w:val="-7"/>
          <w:w w:val="105"/>
        </w:rPr>
        <w:t> </w:t>
      </w:r>
      <w:r>
        <w:rPr>
          <w:w w:val="105"/>
        </w:rPr>
        <w:t>the</w:t>
      </w:r>
      <w:r>
        <w:rPr>
          <w:spacing w:val="-7"/>
          <w:w w:val="105"/>
        </w:rPr>
        <w:t> </w:t>
      </w:r>
      <w:r>
        <w:rPr>
          <w:w w:val="105"/>
        </w:rPr>
        <w:t>weighted-average</w:t>
      </w:r>
      <w:r>
        <w:rPr>
          <w:spacing w:val="-7"/>
          <w:w w:val="105"/>
        </w:rPr>
        <w:t> </w:t>
      </w:r>
      <w:r>
        <w:rPr>
          <w:w w:val="105"/>
        </w:rPr>
        <w:t>common</w:t>
      </w:r>
      <w:r>
        <w:rPr>
          <w:spacing w:val="-7"/>
          <w:w w:val="105"/>
        </w:rPr>
        <w:t> </w:t>
      </w:r>
      <w:r>
        <w:rPr>
          <w:w w:val="105"/>
        </w:rPr>
        <w:t>shares</w:t>
      </w:r>
      <w:r>
        <w:rPr>
          <w:spacing w:val="-7"/>
          <w:w w:val="105"/>
        </w:rPr>
        <w:t> </w:t>
      </w:r>
      <w:r>
        <w:rPr>
          <w:w w:val="105"/>
        </w:rPr>
        <w:t>outstanding</w:t>
      </w:r>
      <w:r>
        <w:rPr>
          <w:spacing w:val="-7"/>
          <w:w w:val="105"/>
        </w:rPr>
        <w:t> </w:t>
      </w:r>
      <w:r>
        <w:rPr>
          <w:w w:val="105"/>
        </w:rPr>
        <w:t>for</w:t>
      </w:r>
      <w:r>
        <w:rPr>
          <w:spacing w:val="-7"/>
          <w:w w:val="105"/>
        </w:rPr>
        <w:t> </w:t>
      </w:r>
      <w:r>
        <w:rPr>
          <w:w w:val="105"/>
        </w:rPr>
        <w:t>the</w:t>
      </w:r>
      <w:r>
        <w:rPr>
          <w:spacing w:val="-7"/>
          <w:w w:val="105"/>
        </w:rPr>
        <w:t> </w:t>
      </w:r>
      <w:r>
        <w:rPr>
          <w:w w:val="105"/>
        </w:rPr>
        <w:t>calculation</w:t>
      </w:r>
      <w:r>
        <w:rPr>
          <w:spacing w:val="-7"/>
          <w:w w:val="105"/>
        </w:rPr>
        <w:t> </w:t>
      </w:r>
      <w:r>
        <w:rPr>
          <w:w w:val="105"/>
        </w:rPr>
        <w:t>of</w:t>
      </w:r>
      <w:r>
        <w:rPr>
          <w:spacing w:val="-7"/>
          <w:w w:val="105"/>
        </w:rPr>
        <w:t> </w:t>
      </w:r>
      <w:r>
        <w:rPr>
          <w:w w:val="105"/>
        </w:rPr>
        <w:t>the</w:t>
      </w:r>
      <w:r>
        <w:rPr>
          <w:spacing w:val="-7"/>
          <w:w w:val="105"/>
        </w:rPr>
        <w:t> </w:t>
      </w:r>
      <w:r>
        <w:rPr>
          <w:w w:val="105"/>
        </w:rPr>
        <w:t>Company’s</w:t>
      </w:r>
      <w:r>
        <w:rPr>
          <w:spacing w:val="-7"/>
          <w:w w:val="105"/>
        </w:rPr>
        <w:t> </w:t>
      </w:r>
      <w:r>
        <w:rPr>
          <w:w w:val="105"/>
        </w:rPr>
        <w:t>basic</w:t>
      </w:r>
      <w:r>
        <w:rPr>
          <w:spacing w:val="-7"/>
          <w:w w:val="105"/>
        </w:rPr>
        <w:t> </w:t>
      </w:r>
      <w:r>
        <w:rPr>
          <w:w w:val="105"/>
        </w:rPr>
        <w:t>and diluted</w:t>
      </w:r>
      <w:r>
        <w:rPr>
          <w:spacing w:val="-8"/>
          <w:w w:val="105"/>
        </w:rPr>
        <w:t> </w:t>
      </w:r>
      <w:r>
        <w:rPr>
          <w:w w:val="105"/>
        </w:rPr>
        <w:t>earnings</w:t>
      </w:r>
      <w:r>
        <w:rPr>
          <w:spacing w:val="-8"/>
          <w:w w:val="105"/>
        </w:rPr>
        <w:t> </w:t>
      </w:r>
      <w:r>
        <w:rPr>
          <w:w w:val="105"/>
        </w:rPr>
        <w:t>per</w:t>
      </w:r>
      <w:r>
        <w:rPr>
          <w:spacing w:val="-8"/>
          <w:w w:val="105"/>
        </w:rPr>
        <w:t> </w:t>
      </w:r>
      <w:r>
        <w:rPr>
          <w:w w:val="105"/>
        </w:rPr>
        <w:t>share.</w:t>
      </w:r>
      <w:r>
        <w:rPr>
          <w:spacing w:val="27"/>
          <w:w w:val="105"/>
        </w:rPr>
        <w:t> </w:t>
      </w:r>
      <w:r>
        <w:rPr>
          <w:w w:val="105"/>
        </w:rPr>
        <w:t>The</w:t>
      </w:r>
      <w:r>
        <w:rPr>
          <w:spacing w:val="-8"/>
          <w:w w:val="105"/>
        </w:rPr>
        <w:t> </w:t>
      </w:r>
      <w:r>
        <w:rPr>
          <w:w w:val="105"/>
        </w:rPr>
        <w:t>redemption</w:t>
      </w:r>
      <w:r>
        <w:rPr>
          <w:spacing w:val="-8"/>
          <w:w w:val="105"/>
        </w:rPr>
        <w:t> </w:t>
      </w:r>
      <w:r>
        <w:rPr>
          <w:w w:val="105"/>
        </w:rPr>
        <w:t>of</w:t>
      </w:r>
      <w:r>
        <w:rPr>
          <w:spacing w:val="-8"/>
          <w:w w:val="105"/>
        </w:rPr>
        <w:t> </w:t>
      </w:r>
      <w:r>
        <w:rPr>
          <w:w w:val="105"/>
        </w:rPr>
        <w:t>these</w:t>
      </w:r>
      <w:r>
        <w:rPr>
          <w:spacing w:val="-8"/>
          <w:w w:val="105"/>
        </w:rPr>
        <w:t> </w:t>
      </w:r>
      <w:r>
        <w:rPr>
          <w:w w:val="105"/>
        </w:rPr>
        <w:t>Common</w:t>
      </w:r>
      <w:r>
        <w:rPr>
          <w:spacing w:val="-8"/>
          <w:w w:val="105"/>
        </w:rPr>
        <w:t> </w:t>
      </w:r>
      <w:r>
        <w:rPr>
          <w:w w:val="105"/>
        </w:rPr>
        <w:t>Shares</w:t>
      </w:r>
      <w:r>
        <w:rPr>
          <w:spacing w:val="-8"/>
          <w:w w:val="105"/>
        </w:rPr>
        <w:t> </w:t>
      </w:r>
      <w:r>
        <w:rPr>
          <w:w w:val="105"/>
        </w:rPr>
        <w:t>resulted</w:t>
      </w:r>
      <w:r>
        <w:rPr>
          <w:spacing w:val="-8"/>
          <w:w w:val="105"/>
        </w:rPr>
        <w:t> </w:t>
      </w:r>
      <w:r>
        <w:rPr>
          <w:w w:val="105"/>
        </w:rPr>
        <w:t>in</w:t>
      </w:r>
      <w:r>
        <w:rPr>
          <w:spacing w:val="-8"/>
          <w:w w:val="105"/>
        </w:rPr>
        <w:t> </w:t>
      </w:r>
      <w:r>
        <w:rPr>
          <w:w w:val="105"/>
        </w:rPr>
        <w:t>a</w:t>
      </w:r>
      <w:r>
        <w:rPr>
          <w:spacing w:val="-8"/>
          <w:w w:val="105"/>
        </w:rPr>
        <w:t> </w:t>
      </w:r>
      <w:r>
        <w:rPr>
          <w:w w:val="105"/>
        </w:rPr>
        <w:t>reduction</w:t>
      </w:r>
      <w:r>
        <w:rPr>
          <w:spacing w:val="-8"/>
          <w:w w:val="105"/>
        </w:rPr>
        <w:t> </w:t>
      </w:r>
      <w:r>
        <w:rPr>
          <w:w w:val="105"/>
        </w:rPr>
        <w:t>of</w:t>
      </w:r>
      <w:r>
        <w:rPr>
          <w:spacing w:val="-8"/>
          <w:w w:val="105"/>
        </w:rPr>
        <w:t> </w:t>
      </w:r>
      <w:r>
        <w:rPr>
          <w:w w:val="105"/>
        </w:rPr>
        <w:t>retained</w:t>
      </w:r>
      <w:r>
        <w:rPr>
          <w:spacing w:val="-8"/>
          <w:w w:val="105"/>
        </w:rPr>
        <w:t> </w:t>
      </w:r>
      <w:r>
        <w:rPr>
          <w:w w:val="105"/>
        </w:rPr>
        <w:t>earnings</w:t>
      </w:r>
      <w:r>
        <w:rPr>
          <w:spacing w:val="-8"/>
          <w:w w:val="105"/>
        </w:rPr>
        <w:t> </w:t>
      </w:r>
      <w:r>
        <w:rPr>
          <w:w w:val="105"/>
        </w:rPr>
        <w:t>of</w:t>
      </w:r>
      <w:r>
        <w:rPr>
          <w:spacing w:val="-8"/>
          <w:w w:val="105"/>
        </w:rPr>
        <w:t> </w:t>
      </w:r>
      <w:r>
        <w:rPr>
          <w:w w:val="105"/>
        </w:rPr>
        <w:t>$803</w:t>
      </w:r>
      <w:r>
        <w:rPr>
          <w:spacing w:val="-6"/>
          <w:w w:val="105"/>
        </w:rPr>
        <w:t> </w:t>
      </w:r>
      <w:r>
        <w:rPr>
          <w:w w:val="105"/>
        </w:rPr>
        <w:t>million</w:t>
      </w:r>
      <w:r>
        <w:rPr>
          <w:spacing w:val="-8"/>
          <w:w w:val="105"/>
        </w:rPr>
        <w:t> </w:t>
      </w:r>
      <w:r>
        <w:rPr>
          <w:w w:val="105"/>
        </w:rPr>
        <w:t>which</w:t>
      </w:r>
      <w:r>
        <w:rPr>
          <w:spacing w:val="-8"/>
          <w:w w:val="105"/>
        </w:rPr>
        <w:t> </w:t>
      </w:r>
      <w:r>
        <w:rPr>
          <w:w w:val="105"/>
        </w:rPr>
        <w:t>reduced</w:t>
      </w:r>
      <w:r>
        <w:rPr>
          <w:spacing w:val="-8"/>
          <w:w w:val="105"/>
        </w:rPr>
        <w:t> </w:t>
      </w:r>
      <w:r>
        <w:rPr>
          <w:w w:val="105"/>
        </w:rPr>
        <w:t>the</w:t>
      </w:r>
      <w:r>
        <w:rPr>
          <w:spacing w:val="-8"/>
          <w:w w:val="105"/>
        </w:rPr>
        <w:t> </w:t>
      </w:r>
      <w:r>
        <w:rPr>
          <w:w w:val="105"/>
        </w:rPr>
        <w:t>net</w:t>
      </w:r>
      <w:r>
        <w:rPr>
          <w:spacing w:val="-8"/>
          <w:w w:val="105"/>
        </w:rPr>
        <w:t> </w:t>
      </w:r>
      <w:r>
        <w:rPr>
          <w:w w:val="105"/>
        </w:rPr>
        <w:t>income</w:t>
      </w:r>
      <w:r>
        <w:rPr>
          <w:spacing w:val="-8"/>
          <w:w w:val="105"/>
        </w:rPr>
        <w:t> </w:t>
      </w:r>
      <w:r>
        <w:rPr>
          <w:w w:val="105"/>
        </w:rPr>
        <w:t>available</w:t>
      </w:r>
      <w:r>
        <w:rPr>
          <w:spacing w:val="-8"/>
          <w:w w:val="105"/>
        </w:rPr>
        <w:t> </w:t>
      </w:r>
      <w:r>
        <w:rPr>
          <w:w w:val="105"/>
        </w:rPr>
        <w:t>to common</w:t>
      </w:r>
      <w:r>
        <w:rPr>
          <w:spacing w:val="-1"/>
          <w:w w:val="105"/>
        </w:rPr>
        <w:t> </w:t>
      </w:r>
      <w:r>
        <w:rPr>
          <w:w w:val="105"/>
        </w:rPr>
        <w:t>shareholders.</w:t>
      </w:r>
    </w:p>
    <w:p>
      <w:pPr>
        <w:pStyle w:val="BodyText"/>
        <w:spacing w:before="18"/>
      </w:pPr>
    </w:p>
    <w:p>
      <w:pPr>
        <w:pStyle w:val="BodyText"/>
        <w:spacing w:line="266" w:lineRule="auto"/>
        <w:ind w:left="156" w:right="117"/>
      </w:pPr>
      <w:r>
        <w:rPr>
          <w:w w:val="105"/>
        </w:rPr>
        <w:t>The</w:t>
      </w:r>
      <w:r>
        <w:rPr>
          <w:spacing w:val="-9"/>
          <w:w w:val="105"/>
        </w:rPr>
        <w:t> </w:t>
      </w:r>
      <w:r>
        <w:rPr>
          <w:w w:val="105"/>
        </w:rPr>
        <w:t>remaining</w:t>
      </w:r>
      <w:r>
        <w:rPr>
          <w:spacing w:val="-9"/>
          <w:w w:val="105"/>
        </w:rPr>
        <w:t> </w:t>
      </w:r>
      <w:r>
        <w:rPr>
          <w:w w:val="105"/>
        </w:rPr>
        <w:t>80</w:t>
      </w:r>
      <w:r>
        <w:rPr>
          <w:spacing w:val="-9"/>
          <w:w w:val="105"/>
        </w:rPr>
        <w:t> </w:t>
      </w:r>
      <w:r>
        <w:rPr>
          <w:w w:val="105"/>
        </w:rPr>
        <w:t>million</w:t>
      </w:r>
      <w:r>
        <w:rPr>
          <w:spacing w:val="-9"/>
          <w:w w:val="105"/>
        </w:rPr>
        <w:t> </w:t>
      </w:r>
      <w:r>
        <w:rPr>
          <w:w w:val="105"/>
        </w:rPr>
        <w:t>Common</w:t>
      </w:r>
      <w:r>
        <w:rPr>
          <w:spacing w:val="-9"/>
          <w:w w:val="105"/>
        </w:rPr>
        <w:t> </w:t>
      </w:r>
      <w:r>
        <w:rPr>
          <w:w w:val="105"/>
        </w:rPr>
        <w:t>Shares</w:t>
      </w:r>
      <w:r>
        <w:rPr>
          <w:spacing w:val="-9"/>
          <w:w w:val="105"/>
        </w:rPr>
        <w:t> </w:t>
      </w:r>
      <w:r>
        <w:rPr>
          <w:w w:val="105"/>
        </w:rPr>
        <w:t>are</w:t>
      </w:r>
      <w:r>
        <w:rPr>
          <w:spacing w:val="-9"/>
          <w:w w:val="105"/>
        </w:rPr>
        <w:t> </w:t>
      </w:r>
      <w:r>
        <w:rPr>
          <w:w w:val="105"/>
        </w:rPr>
        <w:t>outstanding</w:t>
      </w:r>
      <w:r>
        <w:rPr>
          <w:spacing w:val="-9"/>
          <w:w w:val="105"/>
        </w:rPr>
        <w:t> </w:t>
      </w:r>
      <w:r>
        <w:rPr>
          <w:w w:val="105"/>
        </w:rPr>
        <w:t>and</w:t>
      </w:r>
      <w:r>
        <w:rPr>
          <w:spacing w:val="-9"/>
          <w:w w:val="105"/>
        </w:rPr>
        <w:t> </w:t>
      </w:r>
      <w:r>
        <w:rPr>
          <w:w w:val="105"/>
        </w:rPr>
        <w:t>are</w:t>
      </w:r>
      <w:r>
        <w:rPr>
          <w:spacing w:val="-9"/>
          <w:w w:val="105"/>
        </w:rPr>
        <w:t> </w:t>
      </w:r>
      <w:r>
        <w:rPr>
          <w:w w:val="105"/>
        </w:rPr>
        <w:t>included</w:t>
      </w:r>
      <w:r>
        <w:rPr>
          <w:spacing w:val="-9"/>
          <w:w w:val="105"/>
        </w:rPr>
        <w:t> </w:t>
      </w:r>
      <w:r>
        <w:rPr>
          <w:w w:val="105"/>
        </w:rPr>
        <w:t>in</w:t>
      </w:r>
      <w:r>
        <w:rPr>
          <w:spacing w:val="-9"/>
          <w:w w:val="105"/>
        </w:rPr>
        <w:t> </w:t>
      </w:r>
      <w:r>
        <w:rPr>
          <w:w w:val="105"/>
        </w:rPr>
        <w:t>the</w:t>
      </w:r>
      <w:r>
        <w:rPr>
          <w:spacing w:val="-9"/>
          <w:w w:val="105"/>
        </w:rPr>
        <w:t> </w:t>
      </w:r>
      <w:r>
        <w:rPr>
          <w:w w:val="105"/>
        </w:rPr>
        <w:t>weighted-average</w:t>
      </w:r>
      <w:r>
        <w:rPr>
          <w:spacing w:val="-9"/>
          <w:w w:val="105"/>
        </w:rPr>
        <w:t> </w:t>
      </w:r>
      <w:r>
        <w:rPr>
          <w:w w:val="105"/>
        </w:rPr>
        <w:t>common</w:t>
      </w:r>
      <w:r>
        <w:rPr>
          <w:spacing w:val="-9"/>
          <w:w w:val="105"/>
        </w:rPr>
        <w:t> </w:t>
      </w:r>
      <w:r>
        <w:rPr>
          <w:w w:val="105"/>
        </w:rPr>
        <w:t>shares</w:t>
      </w:r>
      <w:r>
        <w:rPr>
          <w:spacing w:val="-9"/>
          <w:w w:val="105"/>
        </w:rPr>
        <w:t> </w:t>
      </w:r>
      <w:r>
        <w:rPr>
          <w:w w:val="105"/>
        </w:rPr>
        <w:t>outstanding</w:t>
      </w:r>
      <w:r>
        <w:rPr>
          <w:spacing w:val="-9"/>
          <w:w w:val="105"/>
        </w:rPr>
        <w:t> </w:t>
      </w:r>
      <w:r>
        <w:rPr>
          <w:w w:val="105"/>
        </w:rPr>
        <w:t>for</w:t>
      </w:r>
      <w:r>
        <w:rPr>
          <w:spacing w:val="-9"/>
          <w:w w:val="105"/>
        </w:rPr>
        <w:t> </w:t>
      </w:r>
      <w:r>
        <w:rPr>
          <w:w w:val="105"/>
        </w:rPr>
        <w:t>the</w:t>
      </w:r>
      <w:r>
        <w:rPr>
          <w:spacing w:val="-9"/>
          <w:w w:val="105"/>
        </w:rPr>
        <w:t> </w:t>
      </w:r>
      <w:r>
        <w:rPr>
          <w:w w:val="105"/>
        </w:rPr>
        <w:t>calculation</w:t>
      </w:r>
      <w:r>
        <w:rPr>
          <w:spacing w:val="-9"/>
          <w:w w:val="105"/>
        </w:rPr>
        <w:t> </w:t>
      </w:r>
      <w:r>
        <w:rPr>
          <w:w w:val="105"/>
        </w:rPr>
        <w:t>of</w:t>
      </w:r>
      <w:r>
        <w:rPr>
          <w:spacing w:val="-9"/>
          <w:w w:val="105"/>
        </w:rPr>
        <w:t> </w:t>
      </w:r>
      <w:r>
        <w:rPr>
          <w:w w:val="105"/>
        </w:rPr>
        <w:t>the</w:t>
      </w:r>
      <w:r>
        <w:rPr>
          <w:spacing w:val="-9"/>
          <w:w w:val="105"/>
        </w:rPr>
        <w:t> </w:t>
      </w:r>
      <w:r>
        <w:rPr>
          <w:w w:val="105"/>
        </w:rPr>
        <w:t>Company’s</w:t>
      </w:r>
      <w:r>
        <w:rPr>
          <w:spacing w:val="-9"/>
          <w:w w:val="105"/>
        </w:rPr>
        <w:t> </w:t>
      </w:r>
      <w:r>
        <w:rPr>
          <w:w w:val="105"/>
        </w:rPr>
        <w:t>basic and diluted earnings per share.</w:t>
      </w:r>
    </w:p>
    <w:p>
      <w:pPr>
        <w:pStyle w:val="BodyText"/>
        <w:spacing w:before="19"/>
      </w:pPr>
    </w:p>
    <w:p>
      <w:pPr>
        <w:pStyle w:val="BodyText"/>
        <w:ind w:left="156"/>
      </w:pPr>
      <w:r>
        <w:rPr>
          <w:w w:val="105"/>
        </w:rPr>
        <w:t>Refer</w:t>
      </w:r>
      <w:r>
        <w:rPr>
          <w:spacing w:val="-10"/>
          <w:w w:val="105"/>
        </w:rPr>
        <w:t> </w:t>
      </w:r>
      <w:r>
        <w:rPr>
          <w:w w:val="105"/>
        </w:rPr>
        <w:t>to</w:t>
      </w:r>
      <w:r>
        <w:rPr>
          <w:spacing w:val="-9"/>
          <w:w w:val="105"/>
        </w:rPr>
        <w:t> </w:t>
      </w:r>
      <w:r>
        <w:rPr>
          <w:w w:val="105"/>
        </w:rPr>
        <w:t>Note</w:t>
      </w:r>
      <w:r>
        <w:rPr>
          <w:spacing w:val="-9"/>
          <w:w w:val="105"/>
        </w:rPr>
        <w:t> </w:t>
      </w:r>
      <w:r>
        <w:rPr>
          <w:w w:val="105"/>
        </w:rPr>
        <w:t>17</w:t>
      </w:r>
      <w:r>
        <w:rPr>
          <w:spacing w:val="-9"/>
          <w:w w:val="105"/>
        </w:rPr>
        <w:t> </w:t>
      </w:r>
      <w:r>
        <w:rPr>
          <w:w w:val="105"/>
        </w:rPr>
        <w:t>(Shareholders’</w:t>
      </w:r>
      <w:r>
        <w:rPr>
          <w:spacing w:val="-10"/>
          <w:w w:val="105"/>
        </w:rPr>
        <w:t> </w:t>
      </w:r>
      <w:r>
        <w:rPr>
          <w:w w:val="105"/>
        </w:rPr>
        <w:t>Equity)</w:t>
      </w:r>
      <w:r>
        <w:rPr>
          <w:spacing w:val="-9"/>
          <w:w w:val="105"/>
        </w:rPr>
        <w:t> </w:t>
      </w:r>
      <w:r>
        <w:rPr>
          <w:w w:val="105"/>
        </w:rPr>
        <w:t>to</w:t>
      </w:r>
      <w:r>
        <w:rPr>
          <w:spacing w:val="-10"/>
          <w:w w:val="105"/>
        </w:rPr>
        <w:t> </w:t>
      </w:r>
      <w:r>
        <w:rPr>
          <w:w w:val="105"/>
        </w:rPr>
        <w:t>the</w:t>
      </w:r>
      <w:r>
        <w:rPr>
          <w:spacing w:val="-9"/>
          <w:w w:val="105"/>
        </w:rPr>
        <w:t> </w:t>
      </w:r>
      <w:r>
        <w:rPr>
          <w:w w:val="105"/>
        </w:rPr>
        <w:t>consolidated</w:t>
      </w:r>
      <w:r>
        <w:rPr>
          <w:spacing w:val="-9"/>
          <w:w w:val="105"/>
        </w:rPr>
        <w:t> </w:t>
      </w:r>
      <w:r>
        <w:rPr>
          <w:w w:val="105"/>
        </w:rPr>
        <w:t>financial</w:t>
      </w:r>
      <w:r>
        <w:rPr>
          <w:spacing w:val="-10"/>
          <w:w w:val="105"/>
        </w:rPr>
        <w:t> </w:t>
      </w:r>
      <w:r>
        <w:rPr>
          <w:w w:val="105"/>
        </w:rPr>
        <w:t>statements</w:t>
      </w:r>
      <w:r>
        <w:rPr>
          <w:spacing w:val="-9"/>
          <w:w w:val="105"/>
        </w:rPr>
        <w:t> </w:t>
      </w:r>
      <w:r>
        <w:rPr>
          <w:w w:val="105"/>
        </w:rPr>
        <w:t>for</w:t>
      </w:r>
      <w:r>
        <w:rPr>
          <w:spacing w:val="-10"/>
          <w:w w:val="105"/>
        </w:rPr>
        <w:t> </w:t>
      </w:r>
      <w:r>
        <w:rPr>
          <w:w w:val="105"/>
        </w:rPr>
        <w:t>more</w:t>
      </w:r>
      <w:r>
        <w:rPr>
          <w:spacing w:val="-8"/>
          <w:w w:val="105"/>
        </w:rPr>
        <w:t> </w:t>
      </w:r>
      <w:r>
        <w:rPr>
          <w:spacing w:val="-2"/>
          <w:w w:val="105"/>
        </w:rPr>
        <w:t>information.</w:t>
      </w:r>
    </w:p>
    <w:p>
      <w:pPr>
        <w:pStyle w:val="BodyText"/>
        <w:spacing w:before="39"/>
      </w:pPr>
    </w:p>
    <w:p>
      <w:pPr>
        <w:pStyle w:val="BodyText"/>
        <w:spacing w:before="1"/>
        <w:ind w:left="48"/>
        <w:jc w:val="center"/>
      </w:pPr>
      <w:r>
        <w:rPr>
          <w:spacing w:val="-5"/>
          <w:w w:val="105"/>
        </w:rPr>
        <w:t>110</w:t>
      </w:r>
    </w:p>
    <w:p>
      <w:pPr>
        <w:pStyle w:val="BodyText"/>
        <w:spacing w:before="11"/>
        <w:rPr>
          <w:sz w:val="5"/>
        </w:rPr>
      </w:pPr>
      <w:r>
        <w:rPr/>
        <mc:AlternateContent>
          <mc:Choice Requires="wps">
            <w:drawing>
              <wp:anchor distT="0" distB="0" distL="0" distR="0" allowOverlap="1" layoutInCell="1" locked="0" behindDoc="1" simplePos="0" relativeHeight="487748608">
                <wp:simplePos x="0" y="0"/>
                <wp:positionH relativeFrom="page">
                  <wp:posOffset>226488</wp:posOffset>
                </wp:positionH>
                <wp:positionV relativeFrom="paragraph">
                  <wp:posOffset>58734</wp:posOffset>
                </wp:positionV>
                <wp:extent cx="7312659" cy="16510"/>
                <wp:effectExtent l="0" t="0" r="0" b="0"/>
                <wp:wrapTopAndBottom/>
                <wp:docPr id="1075" name="Graphic 1075"/>
                <wp:cNvGraphicFramePr>
                  <a:graphicFrameLocks/>
                </wp:cNvGraphicFramePr>
                <a:graphic>
                  <a:graphicData uri="http://schemas.microsoft.com/office/word/2010/wordprocessingShape">
                    <wps:wsp>
                      <wps:cNvPr id="1075" name="Graphic 1075"/>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567872;mso-wrap-distance-left:0;mso-wrap-distance-right:0" id="docshape1074"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pPr>
    </w:p>
    <w:p>
      <w:pPr>
        <w:pStyle w:val="BodyText"/>
        <w:spacing w:before="58"/>
      </w:pPr>
    </w:p>
    <w:p>
      <w:pPr>
        <w:pStyle w:val="Heading2"/>
        <w:numPr>
          <w:ilvl w:val="0"/>
          <w:numId w:val="57"/>
        </w:numPr>
        <w:tabs>
          <w:tab w:pos="445" w:val="left" w:leader="none"/>
        </w:tabs>
        <w:spacing w:line="240" w:lineRule="auto" w:before="0" w:after="0"/>
        <w:ind w:left="445" w:right="0" w:hanging="289"/>
        <w:jc w:val="left"/>
      </w:pPr>
      <w:bookmarkStart w:name="_bookmark27" w:id="28"/>
      <w:bookmarkEnd w:id="28"/>
      <w:r>
        <w:rPr>
          <w:b w:val="0"/>
        </w:rPr>
      </w:r>
      <w:r>
        <w:rPr/>
        <w:t>Share-Based</w:t>
      </w:r>
      <w:r>
        <w:rPr>
          <w:spacing w:val="16"/>
        </w:rPr>
        <w:t> </w:t>
      </w:r>
      <w:r>
        <w:rPr>
          <w:spacing w:val="-2"/>
        </w:rPr>
        <w:t>Compensation</w:t>
      </w:r>
    </w:p>
    <w:p>
      <w:pPr>
        <w:pStyle w:val="BodyText"/>
        <w:spacing w:before="39"/>
        <w:rPr>
          <w:b/>
        </w:rPr>
      </w:pPr>
    </w:p>
    <w:p>
      <w:pPr>
        <w:pStyle w:val="BodyText"/>
        <w:spacing w:line="266" w:lineRule="auto" w:before="1"/>
        <w:ind w:left="156"/>
      </w:pPr>
      <w:r>
        <w:rPr>
          <w:w w:val="105"/>
        </w:rPr>
        <w:t>Corning</w:t>
      </w:r>
      <w:r>
        <w:rPr>
          <w:spacing w:val="-9"/>
          <w:w w:val="105"/>
        </w:rPr>
        <w:t> </w:t>
      </w:r>
      <w:r>
        <w:rPr>
          <w:w w:val="105"/>
        </w:rPr>
        <w:t>maintains</w:t>
      </w:r>
      <w:r>
        <w:rPr>
          <w:spacing w:val="-9"/>
          <w:w w:val="105"/>
        </w:rPr>
        <w:t> </w:t>
      </w:r>
      <w:r>
        <w:rPr>
          <w:w w:val="105"/>
        </w:rPr>
        <w:t>long-term</w:t>
      </w:r>
      <w:r>
        <w:rPr>
          <w:spacing w:val="-9"/>
          <w:w w:val="105"/>
        </w:rPr>
        <w:t> </w:t>
      </w:r>
      <w:r>
        <w:rPr>
          <w:w w:val="105"/>
        </w:rPr>
        <w:t>incentive</w:t>
      </w:r>
      <w:r>
        <w:rPr>
          <w:spacing w:val="-9"/>
          <w:w w:val="105"/>
        </w:rPr>
        <w:t> </w:t>
      </w:r>
      <w:r>
        <w:rPr>
          <w:w w:val="105"/>
        </w:rPr>
        <w:t>plans</w:t>
      </w:r>
      <w:r>
        <w:rPr>
          <w:spacing w:val="-9"/>
          <w:w w:val="105"/>
        </w:rPr>
        <w:t> </w:t>
      </w:r>
      <w:r>
        <w:rPr>
          <w:w w:val="105"/>
        </w:rPr>
        <w:t>(the</w:t>
      </w:r>
      <w:r>
        <w:rPr>
          <w:spacing w:val="-9"/>
          <w:w w:val="105"/>
        </w:rPr>
        <w:t> </w:t>
      </w:r>
      <w:r>
        <w:rPr>
          <w:w w:val="105"/>
        </w:rPr>
        <w:t>“Plans”)</w:t>
      </w:r>
      <w:r>
        <w:rPr>
          <w:spacing w:val="-9"/>
          <w:w w:val="105"/>
        </w:rPr>
        <w:t> </w:t>
      </w:r>
      <w:r>
        <w:rPr>
          <w:w w:val="105"/>
        </w:rPr>
        <w:t>for</w:t>
      </w:r>
      <w:r>
        <w:rPr>
          <w:spacing w:val="-9"/>
          <w:w w:val="105"/>
        </w:rPr>
        <w:t> </w:t>
      </w:r>
      <w:r>
        <w:rPr>
          <w:w w:val="105"/>
        </w:rPr>
        <w:t>key</w:t>
      </w:r>
      <w:r>
        <w:rPr>
          <w:spacing w:val="-9"/>
          <w:w w:val="105"/>
        </w:rPr>
        <w:t> </w:t>
      </w:r>
      <w:r>
        <w:rPr>
          <w:w w:val="105"/>
        </w:rPr>
        <w:t>employees</w:t>
      </w:r>
      <w:r>
        <w:rPr>
          <w:spacing w:val="-9"/>
          <w:w w:val="105"/>
        </w:rPr>
        <w:t> </w:t>
      </w:r>
      <w:r>
        <w:rPr>
          <w:w w:val="105"/>
        </w:rPr>
        <w:t>and</w:t>
      </w:r>
      <w:r>
        <w:rPr>
          <w:spacing w:val="-9"/>
          <w:w w:val="105"/>
        </w:rPr>
        <w:t> </w:t>
      </w:r>
      <w:r>
        <w:rPr>
          <w:w w:val="105"/>
        </w:rPr>
        <w:t>non-employee</w:t>
      </w:r>
      <w:r>
        <w:rPr>
          <w:spacing w:val="-9"/>
          <w:w w:val="105"/>
        </w:rPr>
        <w:t> </w:t>
      </w:r>
      <w:r>
        <w:rPr>
          <w:w w:val="105"/>
        </w:rPr>
        <w:t>members</w:t>
      </w:r>
      <w:r>
        <w:rPr>
          <w:spacing w:val="-9"/>
          <w:w w:val="105"/>
        </w:rPr>
        <w:t> </w:t>
      </w:r>
      <w:r>
        <w:rPr>
          <w:w w:val="105"/>
        </w:rPr>
        <w:t>of</w:t>
      </w:r>
      <w:r>
        <w:rPr>
          <w:spacing w:val="-9"/>
          <w:w w:val="105"/>
        </w:rPr>
        <w:t> </w:t>
      </w:r>
      <w:r>
        <w:rPr>
          <w:w w:val="105"/>
        </w:rPr>
        <w:t>its</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The</w:t>
      </w:r>
      <w:r>
        <w:rPr>
          <w:spacing w:val="-9"/>
          <w:w w:val="105"/>
        </w:rPr>
        <w:t> </w:t>
      </w:r>
      <w:r>
        <w:rPr>
          <w:w w:val="105"/>
        </w:rPr>
        <w:t>Plans</w:t>
      </w:r>
      <w:r>
        <w:rPr>
          <w:spacing w:val="-9"/>
          <w:w w:val="105"/>
        </w:rPr>
        <w:t> </w:t>
      </w:r>
      <w:r>
        <w:rPr>
          <w:w w:val="105"/>
        </w:rPr>
        <w:t>allow</w:t>
      </w:r>
      <w:r>
        <w:rPr>
          <w:spacing w:val="-9"/>
          <w:w w:val="105"/>
        </w:rPr>
        <w:t> </w:t>
      </w:r>
      <w:r>
        <w:rPr>
          <w:w w:val="105"/>
        </w:rPr>
        <w:t>us</w:t>
      </w:r>
      <w:r>
        <w:rPr>
          <w:spacing w:val="-9"/>
          <w:w w:val="105"/>
        </w:rPr>
        <w:t> </w:t>
      </w:r>
      <w:r>
        <w:rPr>
          <w:w w:val="105"/>
        </w:rPr>
        <w:t>to</w:t>
      </w:r>
      <w:r>
        <w:rPr>
          <w:spacing w:val="-9"/>
          <w:w w:val="105"/>
        </w:rPr>
        <w:t> </w:t>
      </w:r>
      <w:r>
        <w:rPr>
          <w:w w:val="105"/>
        </w:rPr>
        <w:t>grant</w:t>
      </w:r>
      <w:r>
        <w:rPr>
          <w:spacing w:val="-9"/>
          <w:w w:val="105"/>
        </w:rPr>
        <w:t> </w:t>
      </w:r>
      <w:r>
        <w:rPr>
          <w:w w:val="105"/>
        </w:rPr>
        <w:t>equity-based compensation</w:t>
      </w:r>
      <w:r>
        <w:rPr>
          <w:spacing w:val="-3"/>
          <w:w w:val="105"/>
        </w:rPr>
        <w:t> </w:t>
      </w:r>
      <w:r>
        <w:rPr>
          <w:w w:val="105"/>
        </w:rPr>
        <w:t>awards,</w:t>
      </w:r>
      <w:r>
        <w:rPr>
          <w:spacing w:val="-3"/>
          <w:w w:val="105"/>
        </w:rPr>
        <w:t> </w:t>
      </w:r>
      <w:r>
        <w:rPr>
          <w:w w:val="105"/>
        </w:rPr>
        <w:t>including</w:t>
      </w:r>
      <w:r>
        <w:rPr>
          <w:spacing w:val="-3"/>
          <w:w w:val="105"/>
        </w:rPr>
        <w:t> </w:t>
      </w:r>
      <w:r>
        <w:rPr>
          <w:w w:val="105"/>
        </w:rPr>
        <w:t>stock</w:t>
      </w:r>
      <w:r>
        <w:rPr>
          <w:spacing w:val="-3"/>
          <w:w w:val="105"/>
        </w:rPr>
        <w:t> </w:t>
      </w:r>
      <w:r>
        <w:rPr>
          <w:w w:val="105"/>
        </w:rPr>
        <w:t>options,</w:t>
      </w:r>
      <w:r>
        <w:rPr>
          <w:spacing w:val="-3"/>
          <w:w w:val="105"/>
        </w:rPr>
        <w:t> </w:t>
      </w:r>
      <w:r>
        <w:rPr>
          <w:w w:val="105"/>
        </w:rPr>
        <w:t>stock</w:t>
      </w:r>
      <w:r>
        <w:rPr>
          <w:spacing w:val="-3"/>
          <w:w w:val="105"/>
        </w:rPr>
        <w:t> </w:t>
      </w:r>
      <w:r>
        <w:rPr>
          <w:w w:val="105"/>
        </w:rPr>
        <w:t>appreciation</w:t>
      </w:r>
      <w:r>
        <w:rPr>
          <w:spacing w:val="-3"/>
          <w:w w:val="105"/>
        </w:rPr>
        <w:t> </w:t>
      </w:r>
      <w:r>
        <w:rPr>
          <w:w w:val="105"/>
        </w:rPr>
        <w:t>rights,</w:t>
      </w:r>
      <w:r>
        <w:rPr>
          <w:spacing w:val="-3"/>
          <w:w w:val="105"/>
        </w:rPr>
        <w:t> </w:t>
      </w:r>
      <w:r>
        <w:rPr>
          <w:w w:val="105"/>
        </w:rPr>
        <w:t>performance</w:t>
      </w:r>
      <w:r>
        <w:rPr>
          <w:spacing w:val="-3"/>
          <w:w w:val="105"/>
        </w:rPr>
        <w:t> </w:t>
      </w:r>
      <w:r>
        <w:rPr>
          <w:w w:val="105"/>
        </w:rPr>
        <w:t>share</w:t>
      </w:r>
      <w:r>
        <w:rPr>
          <w:spacing w:val="-3"/>
          <w:w w:val="105"/>
        </w:rPr>
        <w:t> </w:t>
      </w:r>
      <w:r>
        <w:rPr>
          <w:w w:val="105"/>
        </w:rPr>
        <w:t>units,</w:t>
      </w:r>
      <w:r>
        <w:rPr>
          <w:spacing w:val="-3"/>
          <w:w w:val="105"/>
        </w:rPr>
        <w:t> </w:t>
      </w:r>
      <w:r>
        <w:rPr>
          <w:w w:val="105"/>
        </w:rPr>
        <w:t>restricted</w:t>
      </w:r>
      <w:r>
        <w:rPr>
          <w:spacing w:val="-3"/>
          <w:w w:val="105"/>
        </w:rPr>
        <w:t> </w:t>
      </w:r>
      <w:r>
        <w:rPr>
          <w:w w:val="105"/>
        </w:rPr>
        <w:t>stock</w:t>
      </w:r>
      <w:r>
        <w:rPr>
          <w:spacing w:val="-3"/>
          <w:w w:val="105"/>
        </w:rPr>
        <w:t> </w:t>
      </w:r>
      <w:r>
        <w:rPr>
          <w:w w:val="105"/>
        </w:rPr>
        <w:t>units,</w:t>
      </w:r>
      <w:r>
        <w:rPr>
          <w:spacing w:val="-3"/>
          <w:w w:val="105"/>
        </w:rPr>
        <w:t> </w:t>
      </w:r>
      <w:r>
        <w:rPr>
          <w:w w:val="105"/>
        </w:rPr>
        <w:t>restricted</w:t>
      </w:r>
      <w:r>
        <w:rPr>
          <w:spacing w:val="-3"/>
          <w:w w:val="105"/>
        </w:rPr>
        <w:t> </w:t>
      </w:r>
      <w:r>
        <w:rPr>
          <w:w w:val="105"/>
        </w:rPr>
        <w:t>stock</w:t>
      </w:r>
      <w:r>
        <w:rPr>
          <w:spacing w:val="-1"/>
          <w:w w:val="105"/>
        </w:rPr>
        <w:t> </w:t>
      </w:r>
      <w:r>
        <w:rPr>
          <w:w w:val="105"/>
        </w:rPr>
        <w:t>awards</w:t>
      </w:r>
      <w:r>
        <w:rPr>
          <w:spacing w:val="-3"/>
          <w:w w:val="105"/>
        </w:rPr>
        <w:t> </w:t>
      </w:r>
      <w:r>
        <w:rPr>
          <w:w w:val="105"/>
        </w:rPr>
        <w:t>or</w:t>
      </w:r>
      <w:r>
        <w:rPr>
          <w:spacing w:val="-3"/>
          <w:w w:val="105"/>
        </w:rPr>
        <w:t> </w:t>
      </w:r>
      <w:r>
        <w:rPr>
          <w:w w:val="105"/>
        </w:rPr>
        <w:t>a</w:t>
      </w:r>
      <w:r>
        <w:rPr>
          <w:spacing w:val="-3"/>
          <w:w w:val="105"/>
        </w:rPr>
        <w:t> </w:t>
      </w:r>
      <w:r>
        <w:rPr>
          <w:w w:val="105"/>
        </w:rPr>
        <w:t>combination</w:t>
      </w:r>
      <w:r>
        <w:rPr>
          <w:spacing w:val="-3"/>
          <w:w w:val="105"/>
        </w:rPr>
        <w:t> </w:t>
      </w:r>
      <w:r>
        <w:rPr>
          <w:w w:val="105"/>
        </w:rPr>
        <w:t>of</w:t>
      </w:r>
      <w:r>
        <w:rPr>
          <w:spacing w:val="-3"/>
          <w:w w:val="105"/>
        </w:rPr>
        <w:t> </w:t>
      </w:r>
      <w:r>
        <w:rPr>
          <w:w w:val="105"/>
        </w:rPr>
        <w:t>awards (collectively,</w:t>
      </w:r>
      <w:r>
        <w:rPr>
          <w:spacing w:val="-2"/>
          <w:w w:val="105"/>
        </w:rPr>
        <w:t> </w:t>
      </w:r>
      <w:r>
        <w:rPr>
          <w:w w:val="105"/>
        </w:rPr>
        <w:t>share-based</w:t>
      </w:r>
      <w:r>
        <w:rPr>
          <w:spacing w:val="-2"/>
          <w:w w:val="105"/>
        </w:rPr>
        <w:t> </w:t>
      </w:r>
      <w:r>
        <w:rPr>
          <w:w w:val="105"/>
        </w:rPr>
        <w:t>awards).</w:t>
      </w:r>
      <w:r>
        <w:rPr>
          <w:spacing w:val="-2"/>
          <w:w w:val="105"/>
        </w:rPr>
        <w:t> </w:t>
      </w:r>
      <w:r>
        <w:rPr>
          <w:w w:val="105"/>
        </w:rPr>
        <w:t>At</w:t>
      </w:r>
      <w:r>
        <w:rPr>
          <w:spacing w:val="-1"/>
          <w:w w:val="105"/>
        </w:rPr>
        <w:t> </w:t>
      </w:r>
      <w:r>
        <w:rPr>
          <w:w w:val="105"/>
        </w:rPr>
        <w:t>December</w:t>
      </w:r>
      <w:r>
        <w:rPr>
          <w:spacing w:val="-2"/>
          <w:w w:val="105"/>
        </w:rPr>
        <w:t> </w:t>
      </w:r>
      <w:r>
        <w:rPr>
          <w:w w:val="105"/>
        </w:rPr>
        <w:t>31,</w:t>
      </w:r>
      <w:r>
        <w:rPr>
          <w:spacing w:val="-2"/>
          <w:w w:val="105"/>
        </w:rPr>
        <w:t> </w:t>
      </w:r>
      <w:r>
        <w:rPr>
          <w:w w:val="105"/>
        </w:rPr>
        <w:t>2021,</w:t>
      </w:r>
      <w:r>
        <w:rPr>
          <w:spacing w:val="-2"/>
          <w:w w:val="105"/>
        </w:rPr>
        <w:t> </w:t>
      </w:r>
      <w:r>
        <w:rPr>
          <w:w w:val="105"/>
        </w:rPr>
        <w:t>there</w:t>
      </w:r>
      <w:r>
        <w:rPr>
          <w:spacing w:val="-2"/>
          <w:w w:val="105"/>
        </w:rPr>
        <w:t> </w:t>
      </w:r>
      <w:r>
        <w:rPr>
          <w:w w:val="105"/>
        </w:rPr>
        <w:t>were</w:t>
      </w:r>
      <w:r>
        <w:rPr>
          <w:spacing w:val="-2"/>
          <w:w w:val="105"/>
        </w:rPr>
        <w:t> </w:t>
      </w:r>
      <w:r>
        <w:rPr>
          <w:w w:val="105"/>
        </w:rPr>
        <w:t>approximately</w:t>
      </w:r>
      <w:r>
        <w:rPr>
          <w:spacing w:val="-2"/>
          <w:w w:val="105"/>
        </w:rPr>
        <w:t> </w:t>
      </w:r>
      <w:r>
        <w:rPr>
          <w:w w:val="105"/>
        </w:rPr>
        <w:t>39</w:t>
      </w:r>
      <w:r>
        <w:rPr>
          <w:spacing w:val="-2"/>
          <w:w w:val="105"/>
        </w:rPr>
        <w:t> </w:t>
      </w:r>
      <w:r>
        <w:rPr>
          <w:w w:val="105"/>
        </w:rPr>
        <w:t>million</w:t>
      </w:r>
      <w:r>
        <w:rPr>
          <w:spacing w:val="-2"/>
          <w:w w:val="105"/>
        </w:rPr>
        <w:t> </w:t>
      </w:r>
      <w:r>
        <w:rPr>
          <w:w w:val="105"/>
        </w:rPr>
        <w:t>unissued</w:t>
      </w:r>
      <w:r>
        <w:rPr>
          <w:spacing w:val="-2"/>
          <w:w w:val="105"/>
        </w:rPr>
        <w:t> </w:t>
      </w:r>
      <w:r>
        <w:rPr>
          <w:w w:val="105"/>
        </w:rPr>
        <w:t>common</w:t>
      </w:r>
      <w:r>
        <w:rPr>
          <w:spacing w:val="-2"/>
          <w:w w:val="105"/>
        </w:rPr>
        <w:t> </w:t>
      </w:r>
      <w:r>
        <w:rPr>
          <w:w w:val="105"/>
        </w:rPr>
        <w:t>shares</w:t>
      </w:r>
      <w:r>
        <w:rPr>
          <w:spacing w:val="-2"/>
          <w:w w:val="105"/>
        </w:rPr>
        <w:t> </w:t>
      </w:r>
      <w:r>
        <w:rPr>
          <w:w w:val="105"/>
        </w:rPr>
        <w:t>available</w:t>
      </w:r>
      <w:r>
        <w:rPr>
          <w:spacing w:val="-2"/>
          <w:w w:val="105"/>
        </w:rPr>
        <w:t> </w:t>
      </w:r>
      <w:r>
        <w:rPr>
          <w:w w:val="105"/>
        </w:rPr>
        <w:t>for</w:t>
      </w:r>
      <w:r>
        <w:rPr>
          <w:spacing w:val="-2"/>
          <w:w w:val="105"/>
        </w:rPr>
        <w:t> </w:t>
      </w:r>
      <w:r>
        <w:rPr>
          <w:w w:val="105"/>
        </w:rPr>
        <w:t>future</w:t>
      </w:r>
      <w:r>
        <w:rPr>
          <w:spacing w:val="-2"/>
          <w:w w:val="105"/>
        </w:rPr>
        <w:t> </w:t>
      </w:r>
      <w:r>
        <w:rPr>
          <w:w w:val="105"/>
        </w:rPr>
        <w:t>grants</w:t>
      </w:r>
      <w:r>
        <w:rPr>
          <w:spacing w:val="-2"/>
          <w:w w:val="105"/>
        </w:rPr>
        <w:t> </w:t>
      </w:r>
      <w:r>
        <w:rPr>
          <w:w w:val="105"/>
        </w:rPr>
        <w:t>authorized</w:t>
      </w:r>
      <w:r>
        <w:rPr>
          <w:spacing w:val="-2"/>
          <w:w w:val="105"/>
        </w:rPr>
        <w:t> </w:t>
      </w:r>
      <w:r>
        <w:rPr>
          <w:w w:val="105"/>
        </w:rPr>
        <w:t>under the </w:t>
      </w:r>
      <w:r>
        <w:rPr>
          <w:spacing w:val="-2"/>
          <w:w w:val="105"/>
        </w:rPr>
        <w:t>Plans.</w:t>
      </w:r>
    </w:p>
    <w:p>
      <w:pPr>
        <w:pStyle w:val="BodyText"/>
        <w:spacing w:before="18"/>
      </w:pPr>
    </w:p>
    <w:p>
      <w:pPr>
        <w:pStyle w:val="BodyText"/>
        <w:spacing w:line="266" w:lineRule="auto"/>
        <w:ind w:left="156" w:right="328"/>
      </w:pPr>
      <w:r>
        <w:rPr>
          <w:w w:val="105"/>
        </w:rPr>
        <w:t>Share-based</w:t>
      </w:r>
      <w:r>
        <w:rPr>
          <w:spacing w:val="-9"/>
          <w:w w:val="105"/>
        </w:rPr>
        <w:t> </w:t>
      </w:r>
      <w:r>
        <w:rPr>
          <w:w w:val="105"/>
        </w:rPr>
        <w:t>compensation</w:t>
      </w:r>
      <w:r>
        <w:rPr>
          <w:spacing w:val="-9"/>
          <w:w w:val="105"/>
        </w:rPr>
        <w:t> </w:t>
      </w:r>
      <w:r>
        <w:rPr>
          <w:w w:val="105"/>
        </w:rPr>
        <w:t>cost</w:t>
      </w:r>
      <w:r>
        <w:rPr>
          <w:spacing w:val="-9"/>
          <w:w w:val="105"/>
        </w:rPr>
        <w:t> </w:t>
      </w:r>
      <w:r>
        <w:rPr>
          <w:w w:val="105"/>
        </w:rPr>
        <w:t>is</w:t>
      </w:r>
      <w:r>
        <w:rPr>
          <w:spacing w:val="-9"/>
          <w:w w:val="105"/>
        </w:rPr>
        <w:t> </w:t>
      </w:r>
      <w:r>
        <w:rPr>
          <w:w w:val="105"/>
        </w:rPr>
        <w:t>allocated</w:t>
      </w:r>
      <w:r>
        <w:rPr>
          <w:spacing w:val="-9"/>
          <w:w w:val="105"/>
        </w:rPr>
        <w:t> </w:t>
      </w:r>
      <w:r>
        <w:rPr>
          <w:w w:val="105"/>
        </w:rPr>
        <w:t>to</w:t>
      </w:r>
      <w:r>
        <w:rPr>
          <w:spacing w:val="-9"/>
          <w:w w:val="105"/>
        </w:rPr>
        <w:t> </w:t>
      </w:r>
      <w:r>
        <w:rPr>
          <w:w w:val="105"/>
        </w:rPr>
        <w:t>the</w:t>
      </w:r>
      <w:r>
        <w:rPr>
          <w:spacing w:val="-9"/>
          <w:w w:val="105"/>
        </w:rPr>
        <w:t> </w:t>
      </w:r>
      <w:r>
        <w:rPr>
          <w:w w:val="105"/>
        </w:rPr>
        <w:t>selling,</w:t>
      </w:r>
      <w:r>
        <w:rPr>
          <w:spacing w:val="-9"/>
          <w:w w:val="105"/>
        </w:rPr>
        <w:t> </w:t>
      </w:r>
      <w:r>
        <w:rPr>
          <w:w w:val="105"/>
        </w:rPr>
        <w:t>general</w:t>
      </w:r>
      <w:r>
        <w:rPr>
          <w:spacing w:val="-9"/>
          <w:w w:val="105"/>
        </w:rPr>
        <w:t> </w:t>
      </w:r>
      <w:r>
        <w:rPr>
          <w:w w:val="105"/>
        </w:rPr>
        <w:t>and</w:t>
      </w:r>
      <w:r>
        <w:rPr>
          <w:spacing w:val="-9"/>
          <w:w w:val="105"/>
        </w:rPr>
        <w:t> </w:t>
      </w:r>
      <w:r>
        <w:rPr>
          <w:w w:val="105"/>
        </w:rPr>
        <w:t>administrative,</w:t>
      </w:r>
      <w:r>
        <w:rPr>
          <w:spacing w:val="-9"/>
          <w:w w:val="105"/>
        </w:rPr>
        <w:t> </w:t>
      </w:r>
      <w:r>
        <w:rPr>
          <w:w w:val="105"/>
        </w:rPr>
        <w:t>research,</w:t>
      </w:r>
      <w:r>
        <w:rPr>
          <w:spacing w:val="-9"/>
          <w:w w:val="105"/>
        </w:rPr>
        <w:t> </w:t>
      </w:r>
      <w:r>
        <w:rPr>
          <w:w w:val="105"/>
        </w:rPr>
        <w:t>development</w:t>
      </w:r>
      <w:r>
        <w:rPr>
          <w:spacing w:val="-9"/>
          <w:w w:val="105"/>
        </w:rPr>
        <w:t> </w:t>
      </w:r>
      <w:r>
        <w:rPr>
          <w:w w:val="105"/>
        </w:rPr>
        <w:t>and</w:t>
      </w:r>
      <w:r>
        <w:rPr>
          <w:spacing w:val="-9"/>
          <w:w w:val="105"/>
        </w:rPr>
        <w:t> </w:t>
      </w:r>
      <w:r>
        <w:rPr>
          <w:w w:val="105"/>
        </w:rPr>
        <w:t>engineering,</w:t>
      </w:r>
      <w:r>
        <w:rPr>
          <w:spacing w:val="-9"/>
          <w:w w:val="105"/>
        </w:rPr>
        <w:t> </w:t>
      </w:r>
      <w:r>
        <w:rPr>
          <w:w w:val="105"/>
        </w:rPr>
        <w:t>and</w:t>
      </w:r>
      <w:r>
        <w:rPr>
          <w:spacing w:val="-7"/>
          <w:w w:val="105"/>
        </w:rPr>
        <w:t> </w:t>
      </w:r>
      <w:r>
        <w:rPr>
          <w:w w:val="105"/>
        </w:rPr>
        <w:t>cost</w:t>
      </w:r>
      <w:r>
        <w:rPr>
          <w:spacing w:val="-9"/>
          <w:w w:val="105"/>
        </w:rPr>
        <w:t> </w:t>
      </w:r>
      <w:r>
        <w:rPr>
          <w:w w:val="105"/>
        </w:rPr>
        <w:t>of</w:t>
      </w:r>
      <w:r>
        <w:rPr>
          <w:spacing w:val="-9"/>
          <w:w w:val="105"/>
        </w:rPr>
        <w:t> </w:t>
      </w:r>
      <w:r>
        <w:rPr>
          <w:w w:val="105"/>
        </w:rPr>
        <w:t>sales</w:t>
      </w:r>
      <w:r>
        <w:rPr>
          <w:spacing w:val="-9"/>
          <w:w w:val="105"/>
        </w:rPr>
        <w:t> </w:t>
      </w:r>
      <w:r>
        <w:rPr>
          <w:w w:val="105"/>
        </w:rPr>
        <w:t>expense</w:t>
      </w:r>
      <w:r>
        <w:rPr>
          <w:spacing w:val="-9"/>
          <w:w w:val="105"/>
        </w:rPr>
        <w:t> </w:t>
      </w:r>
      <w:r>
        <w:rPr>
          <w:w w:val="105"/>
        </w:rPr>
        <w:t>lines</w:t>
      </w:r>
      <w:r>
        <w:rPr>
          <w:spacing w:val="-9"/>
          <w:w w:val="105"/>
        </w:rPr>
        <w:t> </w:t>
      </w:r>
      <w:r>
        <w:rPr>
          <w:w w:val="105"/>
        </w:rPr>
        <w:t>in</w:t>
      </w:r>
      <w:r>
        <w:rPr>
          <w:spacing w:val="-7"/>
          <w:w w:val="105"/>
        </w:rPr>
        <w:t> </w:t>
      </w:r>
      <w:r>
        <w:rPr>
          <w:w w:val="105"/>
        </w:rPr>
        <w:t>the consolidated statements of income.</w:t>
      </w:r>
    </w:p>
    <w:p>
      <w:pPr>
        <w:pStyle w:val="BodyText"/>
        <w:spacing w:before="19"/>
      </w:pPr>
    </w:p>
    <w:p>
      <w:pPr>
        <w:pStyle w:val="Heading2"/>
      </w:pPr>
      <w:r>
        <w:rPr/>
        <w:t>Stock</w:t>
      </w:r>
      <w:r>
        <w:rPr>
          <w:spacing w:val="14"/>
        </w:rPr>
        <w:t> </w:t>
      </w:r>
      <w:r>
        <w:rPr/>
        <w:t>Compensation</w:t>
      </w:r>
      <w:r>
        <w:rPr>
          <w:spacing w:val="14"/>
        </w:rPr>
        <w:t> </w:t>
      </w:r>
      <w:r>
        <w:rPr>
          <w:spacing w:val="-2"/>
        </w:rPr>
        <w:t>Plans</w:t>
      </w:r>
    </w:p>
    <w:p>
      <w:pPr>
        <w:pStyle w:val="BodyText"/>
        <w:spacing w:before="39"/>
        <w:rPr>
          <w:b/>
        </w:rPr>
      </w:pPr>
    </w:p>
    <w:p>
      <w:pPr>
        <w:pStyle w:val="BodyText"/>
        <w:spacing w:before="1"/>
        <w:ind w:left="156"/>
      </w:pPr>
      <w:r>
        <w:rPr>
          <w:w w:val="105"/>
        </w:rPr>
        <w:t>The</w:t>
      </w:r>
      <w:r>
        <w:rPr>
          <w:spacing w:val="-11"/>
          <w:w w:val="105"/>
        </w:rPr>
        <w:t> </w:t>
      </w:r>
      <w:r>
        <w:rPr>
          <w:w w:val="105"/>
        </w:rPr>
        <w:t>Company</w:t>
      </w:r>
      <w:r>
        <w:rPr>
          <w:spacing w:val="-10"/>
          <w:w w:val="105"/>
        </w:rPr>
        <w:t> </w:t>
      </w:r>
      <w:r>
        <w:rPr>
          <w:w w:val="105"/>
        </w:rPr>
        <w:t>measures</w:t>
      </w:r>
      <w:r>
        <w:rPr>
          <w:spacing w:val="-10"/>
          <w:w w:val="105"/>
        </w:rPr>
        <w:t> </w:t>
      </w:r>
      <w:r>
        <w:rPr>
          <w:w w:val="105"/>
        </w:rPr>
        <w:t>and</w:t>
      </w:r>
      <w:r>
        <w:rPr>
          <w:spacing w:val="-11"/>
          <w:w w:val="105"/>
        </w:rPr>
        <w:t> </w:t>
      </w:r>
      <w:r>
        <w:rPr>
          <w:w w:val="105"/>
        </w:rPr>
        <w:t>recognizes</w:t>
      </w:r>
      <w:r>
        <w:rPr>
          <w:spacing w:val="-10"/>
          <w:w w:val="105"/>
        </w:rPr>
        <w:t> </w:t>
      </w:r>
      <w:r>
        <w:rPr>
          <w:w w:val="105"/>
        </w:rPr>
        <w:t>compensation</w:t>
      </w:r>
      <w:r>
        <w:rPr>
          <w:spacing w:val="-10"/>
          <w:w w:val="105"/>
        </w:rPr>
        <w:t> </w:t>
      </w:r>
      <w:r>
        <w:rPr>
          <w:w w:val="105"/>
        </w:rPr>
        <w:t>cost</w:t>
      </w:r>
      <w:r>
        <w:rPr>
          <w:spacing w:val="-10"/>
          <w:w w:val="105"/>
        </w:rPr>
        <w:t> </w:t>
      </w:r>
      <w:r>
        <w:rPr>
          <w:w w:val="105"/>
        </w:rPr>
        <w:t>for</w:t>
      </w:r>
      <w:r>
        <w:rPr>
          <w:spacing w:val="-11"/>
          <w:w w:val="105"/>
        </w:rPr>
        <w:t> </w:t>
      </w:r>
      <w:r>
        <w:rPr>
          <w:w w:val="105"/>
        </w:rPr>
        <w:t>all</w:t>
      </w:r>
      <w:r>
        <w:rPr>
          <w:spacing w:val="-10"/>
          <w:w w:val="105"/>
        </w:rPr>
        <w:t> </w:t>
      </w:r>
      <w:r>
        <w:rPr>
          <w:w w:val="105"/>
        </w:rPr>
        <w:t>share-based</w:t>
      </w:r>
      <w:r>
        <w:rPr>
          <w:spacing w:val="-10"/>
          <w:w w:val="105"/>
        </w:rPr>
        <w:t> </w:t>
      </w:r>
      <w:r>
        <w:rPr>
          <w:w w:val="105"/>
        </w:rPr>
        <w:t>payment</w:t>
      </w:r>
      <w:r>
        <w:rPr>
          <w:spacing w:val="-10"/>
          <w:w w:val="105"/>
        </w:rPr>
        <w:t> </w:t>
      </w:r>
      <w:r>
        <w:rPr>
          <w:w w:val="105"/>
        </w:rPr>
        <w:t>awards</w:t>
      </w:r>
      <w:r>
        <w:rPr>
          <w:spacing w:val="-11"/>
          <w:w w:val="105"/>
        </w:rPr>
        <w:t> </w:t>
      </w:r>
      <w:r>
        <w:rPr>
          <w:w w:val="105"/>
        </w:rPr>
        <w:t>made</w:t>
      </w:r>
      <w:r>
        <w:rPr>
          <w:spacing w:val="-10"/>
          <w:w w:val="105"/>
        </w:rPr>
        <w:t> </w:t>
      </w:r>
      <w:r>
        <w:rPr>
          <w:w w:val="105"/>
        </w:rPr>
        <w:t>to</w:t>
      </w:r>
      <w:r>
        <w:rPr>
          <w:spacing w:val="-10"/>
          <w:w w:val="105"/>
        </w:rPr>
        <w:t> </w:t>
      </w:r>
      <w:r>
        <w:rPr>
          <w:w w:val="105"/>
        </w:rPr>
        <w:t>employees</w:t>
      </w:r>
      <w:r>
        <w:rPr>
          <w:spacing w:val="-10"/>
          <w:w w:val="105"/>
        </w:rPr>
        <w:t> </w:t>
      </w:r>
      <w:r>
        <w:rPr>
          <w:w w:val="105"/>
        </w:rPr>
        <w:t>and</w:t>
      </w:r>
      <w:r>
        <w:rPr>
          <w:spacing w:val="-11"/>
          <w:w w:val="105"/>
        </w:rPr>
        <w:t> </w:t>
      </w:r>
      <w:r>
        <w:rPr>
          <w:w w:val="105"/>
        </w:rPr>
        <w:t>directors</w:t>
      </w:r>
      <w:r>
        <w:rPr>
          <w:spacing w:val="-10"/>
          <w:w w:val="105"/>
        </w:rPr>
        <w:t> </w:t>
      </w:r>
      <w:r>
        <w:rPr>
          <w:w w:val="105"/>
        </w:rPr>
        <w:t>based</w:t>
      </w:r>
      <w:r>
        <w:rPr>
          <w:spacing w:val="-10"/>
          <w:w w:val="105"/>
        </w:rPr>
        <w:t> </w:t>
      </w:r>
      <w:r>
        <w:rPr>
          <w:w w:val="105"/>
        </w:rPr>
        <w:t>on</w:t>
      </w:r>
      <w:r>
        <w:rPr>
          <w:spacing w:val="-10"/>
          <w:w w:val="105"/>
        </w:rPr>
        <w:t> </w:t>
      </w:r>
      <w:r>
        <w:rPr>
          <w:w w:val="105"/>
        </w:rPr>
        <w:t>estimated</w:t>
      </w:r>
      <w:r>
        <w:rPr>
          <w:spacing w:val="-9"/>
          <w:w w:val="105"/>
        </w:rPr>
        <w:t> </w:t>
      </w:r>
      <w:r>
        <w:rPr>
          <w:w w:val="105"/>
        </w:rPr>
        <w:t>fair</w:t>
      </w:r>
      <w:r>
        <w:rPr>
          <w:spacing w:val="-10"/>
          <w:w w:val="105"/>
        </w:rPr>
        <w:t> </w:t>
      </w:r>
      <w:r>
        <w:rPr>
          <w:spacing w:val="-2"/>
          <w:w w:val="105"/>
        </w:rPr>
        <w:t>values.</w:t>
      </w:r>
    </w:p>
    <w:p>
      <w:pPr>
        <w:pStyle w:val="BodyText"/>
        <w:spacing w:before="39"/>
      </w:pPr>
    </w:p>
    <w:p>
      <w:pPr>
        <w:pStyle w:val="BodyText"/>
        <w:spacing w:line="266" w:lineRule="auto"/>
        <w:ind w:left="156" w:right="328"/>
      </w:pP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of</w:t>
      </w:r>
      <w:r>
        <w:rPr>
          <w:spacing w:val="-7"/>
          <w:w w:val="105"/>
        </w:rPr>
        <w:t> </w:t>
      </w:r>
      <w:r>
        <w:rPr>
          <w:w w:val="105"/>
        </w:rPr>
        <w:t>awards</w:t>
      </w:r>
      <w:r>
        <w:rPr>
          <w:spacing w:val="-7"/>
          <w:w w:val="105"/>
        </w:rPr>
        <w:t> </w:t>
      </w:r>
      <w:r>
        <w:rPr>
          <w:w w:val="105"/>
        </w:rPr>
        <w:t>granted</w:t>
      </w:r>
      <w:r>
        <w:rPr>
          <w:spacing w:val="-7"/>
          <w:w w:val="105"/>
        </w:rPr>
        <w:t> </w:t>
      </w:r>
      <w:r>
        <w:rPr>
          <w:w w:val="105"/>
        </w:rPr>
        <w:t>that</w:t>
      </w:r>
      <w:r>
        <w:rPr>
          <w:spacing w:val="-7"/>
          <w:w w:val="105"/>
        </w:rPr>
        <w:t> </w:t>
      </w:r>
      <w:r>
        <w:rPr>
          <w:w w:val="105"/>
        </w:rPr>
        <w:t>are</w:t>
      </w:r>
      <w:r>
        <w:rPr>
          <w:spacing w:val="-7"/>
          <w:w w:val="105"/>
        </w:rPr>
        <w:t> </w:t>
      </w:r>
      <w:r>
        <w:rPr>
          <w:w w:val="105"/>
        </w:rPr>
        <w:t>expected</w:t>
      </w:r>
      <w:r>
        <w:rPr>
          <w:spacing w:val="-7"/>
          <w:w w:val="105"/>
        </w:rPr>
        <w:t> </w:t>
      </w:r>
      <w:r>
        <w:rPr>
          <w:w w:val="105"/>
        </w:rPr>
        <w:t>to</w:t>
      </w:r>
      <w:r>
        <w:rPr>
          <w:spacing w:val="-7"/>
          <w:w w:val="105"/>
        </w:rPr>
        <w:t> </w:t>
      </w:r>
      <w:r>
        <w:rPr>
          <w:w w:val="105"/>
        </w:rPr>
        <w:t>ultimately</w:t>
      </w:r>
      <w:r>
        <w:rPr>
          <w:spacing w:val="-7"/>
          <w:w w:val="105"/>
        </w:rPr>
        <w:t> </w:t>
      </w:r>
      <w:r>
        <w:rPr>
          <w:w w:val="105"/>
        </w:rPr>
        <w:t>vest</w:t>
      </w:r>
      <w:r>
        <w:rPr>
          <w:spacing w:val="-7"/>
          <w:w w:val="105"/>
        </w:rPr>
        <w:t> </w:t>
      </w:r>
      <w:r>
        <w:rPr>
          <w:w w:val="105"/>
        </w:rPr>
        <w:t>is</w:t>
      </w:r>
      <w:r>
        <w:rPr>
          <w:spacing w:val="-6"/>
          <w:w w:val="105"/>
        </w:rPr>
        <w:t> </w:t>
      </w:r>
      <w:r>
        <w:rPr>
          <w:w w:val="105"/>
        </w:rPr>
        <w:t>recognized</w:t>
      </w:r>
      <w:r>
        <w:rPr>
          <w:spacing w:val="-7"/>
          <w:w w:val="105"/>
        </w:rPr>
        <w:t> </w:t>
      </w:r>
      <w:r>
        <w:rPr>
          <w:w w:val="105"/>
        </w:rPr>
        <w:t>as</w:t>
      </w:r>
      <w:r>
        <w:rPr>
          <w:spacing w:val="-7"/>
          <w:w w:val="105"/>
        </w:rPr>
        <w:t> </w:t>
      </w:r>
      <w:r>
        <w:rPr>
          <w:w w:val="105"/>
        </w:rPr>
        <w:t>expense</w:t>
      </w:r>
      <w:r>
        <w:rPr>
          <w:spacing w:val="-7"/>
          <w:w w:val="105"/>
        </w:rPr>
        <w:t> </w:t>
      </w:r>
      <w:r>
        <w:rPr>
          <w:w w:val="105"/>
        </w:rPr>
        <w:t>over</w:t>
      </w:r>
      <w:r>
        <w:rPr>
          <w:spacing w:val="-7"/>
          <w:w w:val="105"/>
        </w:rPr>
        <w:t> </w:t>
      </w:r>
      <w:r>
        <w:rPr>
          <w:w w:val="105"/>
        </w:rPr>
        <w:t>the</w:t>
      </w:r>
      <w:r>
        <w:rPr>
          <w:spacing w:val="-7"/>
          <w:w w:val="105"/>
        </w:rPr>
        <w:t> </w:t>
      </w:r>
      <w:r>
        <w:rPr>
          <w:w w:val="105"/>
        </w:rPr>
        <w:t>requisite</w:t>
      </w:r>
      <w:r>
        <w:rPr>
          <w:spacing w:val="-7"/>
          <w:w w:val="105"/>
        </w:rPr>
        <w:t> </w:t>
      </w:r>
      <w:r>
        <w:rPr>
          <w:w w:val="105"/>
        </w:rPr>
        <w:t>service</w:t>
      </w:r>
      <w:r>
        <w:rPr>
          <w:spacing w:val="-7"/>
          <w:w w:val="105"/>
        </w:rPr>
        <w:t> </w:t>
      </w:r>
      <w:r>
        <w:rPr>
          <w:w w:val="105"/>
        </w:rPr>
        <w:t>periods.</w:t>
      </w:r>
      <w:r>
        <w:rPr>
          <w:spacing w:val="-7"/>
          <w:w w:val="105"/>
        </w:rPr>
        <w:t> </w:t>
      </w:r>
      <w:r>
        <w:rPr>
          <w:w w:val="105"/>
        </w:rPr>
        <w:t>The</w:t>
      </w:r>
      <w:r>
        <w:rPr>
          <w:spacing w:val="-7"/>
          <w:w w:val="105"/>
        </w:rPr>
        <w:t> </w:t>
      </w:r>
      <w:r>
        <w:rPr>
          <w:w w:val="105"/>
        </w:rPr>
        <w:t>number</w:t>
      </w:r>
      <w:r>
        <w:rPr>
          <w:spacing w:val="-7"/>
          <w:w w:val="105"/>
        </w:rPr>
        <w:t> </w:t>
      </w:r>
      <w:r>
        <w:rPr>
          <w:w w:val="105"/>
        </w:rPr>
        <w:t>of</w:t>
      </w:r>
      <w:r>
        <w:rPr>
          <w:spacing w:val="-7"/>
          <w:w w:val="105"/>
        </w:rPr>
        <w:t> </w:t>
      </w:r>
      <w:r>
        <w:rPr>
          <w:w w:val="105"/>
        </w:rPr>
        <w:t>options</w:t>
      </w:r>
      <w:r>
        <w:rPr>
          <w:spacing w:val="-7"/>
          <w:w w:val="105"/>
        </w:rPr>
        <w:t> </w:t>
      </w:r>
      <w:r>
        <w:rPr>
          <w:w w:val="105"/>
        </w:rPr>
        <w:t>expected</w:t>
      </w:r>
      <w:r>
        <w:rPr>
          <w:spacing w:val="-7"/>
          <w:w w:val="105"/>
        </w:rPr>
        <w:t> </w:t>
      </w:r>
      <w:r>
        <w:rPr>
          <w:w w:val="105"/>
        </w:rPr>
        <w:t>to</w:t>
      </w:r>
      <w:r>
        <w:rPr>
          <w:spacing w:val="-7"/>
          <w:w w:val="105"/>
        </w:rPr>
        <w:t> </w:t>
      </w:r>
      <w:r>
        <w:rPr>
          <w:w w:val="105"/>
        </w:rPr>
        <w:t>vest equals</w:t>
      </w:r>
      <w:r>
        <w:rPr>
          <w:spacing w:val="-3"/>
          <w:w w:val="105"/>
        </w:rPr>
        <w:t> </w:t>
      </w:r>
      <w:r>
        <w:rPr>
          <w:w w:val="105"/>
        </w:rPr>
        <w:t>the</w:t>
      </w:r>
      <w:r>
        <w:rPr>
          <w:spacing w:val="-3"/>
          <w:w w:val="105"/>
        </w:rPr>
        <w:t> </w:t>
      </w:r>
      <w:r>
        <w:rPr>
          <w:w w:val="105"/>
        </w:rPr>
        <w:t>total</w:t>
      </w:r>
      <w:r>
        <w:rPr>
          <w:spacing w:val="-3"/>
          <w:w w:val="105"/>
        </w:rPr>
        <w:t> </w:t>
      </w:r>
      <w:r>
        <w:rPr>
          <w:w w:val="105"/>
        </w:rPr>
        <w:t>options</w:t>
      </w:r>
      <w:r>
        <w:rPr>
          <w:spacing w:val="-3"/>
          <w:w w:val="105"/>
        </w:rPr>
        <w:t> </w:t>
      </w:r>
      <w:r>
        <w:rPr>
          <w:w w:val="105"/>
        </w:rPr>
        <w:t>granted</w:t>
      </w:r>
      <w:r>
        <w:rPr>
          <w:spacing w:val="-3"/>
          <w:w w:val="105"/>
        </w:rPr>
        <w:t> </w:t>
      </w:r>
      <w:r>
        <w:rPr>
          <w:w w:val="105"/>
        </w:rPr>
        <w:t>less</w:t>
      </w:r>
      <w:r>
        <w:rPr>
          <w:spacing w:val="-3"/>
          <w:w w:val="105"/>
        </w:rPr>
        <w:t> </w:t>
      </w:r>
      <w:r>
        <w:rPr>
          <w:w w:val="105"/>
        </w:rPr>
        <w:t>an</w:t>
      </w:r>
      <w:r>
        <w:rPr>
          <w:spacing w:val="-3"/>
          <w:w w:val="105"/>
        </w:rPr>
        <w:t> </w:t>
      </w:r>
      <w:r>
        <w:rPr>
          <w:w w:val="105"/>
        </w:rPr>
        <w:t>estimation</w:t>
      </w:r>
      <w:r>
        <w:rPr>
          <w:spacing w:val="-3"/>
          <w:w w:val="105"/>
        </w:rPr>
        <w:t> </w:t>
      </w:r>
      <w:r>
        <w:rPr>
          <w:w w:val="105"/>
        </w:rPr>
        <w:t>of</w:t>
      </w:r>
      <w:r>
        <w:rPr>
          <w:spacing w:val="-3"/>
          <w:w w:val="105"/>
        </w:rPr>
        <w:t> </w:t>
      </w:r>
      <w:r>
        <w:rPr>
          <w:w w:val="105"/>
        </w:rPr>
        <w:t>the</w:t>
      </w:r>
      <w:r>
        <w:rPr>
          <w:spacing w:val="-3"/>
          <w:w w:val="105"/>
        </w:rPr>
        <w:t> </w:t>
      </w:r>
      <w:r>
        <w:rPr>
          <w:w w:val="105"/>
        </w:rPr>
        <w:t>number</w:t>
      </w:r>
      <w:r>
        <w:rPr>
          <w:spacing w:val="-3"/>
          <w:w w:val="105"/>
        </w:rPr>
        <w:t> </w:t>
      </w:r>
      <w:r>
        <w:rPr>
          <w:w w:val="105"/>
        </w:rPr>
        <w:t>of</w:t>
      </w:r>
      <w:r>
        <w:rPr>
          <w:spacing w:val="-3"/>
          <w:w w:val="105"/>
        </w:rPr>
        <w:t> </w:t>
      </w:r>
      <w:r>
        <w:rPr>
          <w:w w:val="105"/>
        </w:rPr>
        <w:t>forfeitures</w:t>
      </w:r>
      <w:r>
        <w:rPr>
          <w:spacing w:val="-3"/>
          <w:w w:val="105"/>
        </w:rPr>
        <w:t> </w:t>
      </w:r>
      <w:r>
        <w:rPr>
          <w:w w:val="105"/>
        </w:rPr>
        <w:t>expected</w:t>
      </w:r>
      <w:r>
        <w:rPr>
          <w:spacing w:val="-3"/>
          <w:w w:val="105"/>
        </w:rPr>
        <w:t> </w:t>
      </w:r>
      <w:r>
        <w:rPr>
          <w:w w:val="105"/>
        </w:rPr>
        <w:t>to</w:t>
      </w:r>
      <w:r>
        <w:rPr>
          <w:spacing w:val="-3"/>
          <w:w w:val="105"/>
        </w:rPr>
        <w:t> </w:t>
      </w:r>
      <w:r>
        <w:rPr>
          <w:w w:val="105"/>
        </w:rPr>
        <w:t>occur</w:t>
      </w:r>
      <w:r>
        <w:rPr>
          <w:spacing w:val="-3"/>
          <w:w w:val="105"/>
        </w:rPr>
        <w:t> </w:t>
      </w:r>
      <w:r>
        <w:rPr>
          <w:w w:val="105"/>
        </w:rPr>
        <w:t>prior</w:t>
      </w:r>
      <w:r>
        <w:rPr>
          <w:spacing w:val="-3"/>
          <w:w w:val="105"/>
        </w:rPr>
        <w:t> </w:t>
      </w:r>
      <w:r>
        <w:rPr>
          <w:w w:val="105"/>
        </w:rPr>
        <w:t>to</w:t>
      </w:r>
      <w:r>
        <w:rPr>
          <w:spacing w:val="-3"/>
          <w:w w:val="105"/>
        </w:rPr>
        <w:t> </w:t>
      </w:r>
      <w:r>
        <w:rPr>
          <w:w w:val="105"/>
        </w:rPr>
        <w:t>vesting.</w:t>
      </w:r>
      <w:r>
        <w:rPr>
          <w:spacing w:val="-3"/>
          <w:w w:val="105"/>
        </w:rPr>
        <w:t> </w:t>
      </w:r>
      <w:r>
        <w:rPr>
          <w:w w:val="105"/>
        </w:rPr>
        <w:t>The</w:t>
      </w:r>
      <w:r>
        <w:rPr>
          <w:spacing w:val="-3"/>
          <w:w w:val="105"/>
        </w:rPr>
        <w:t> </w:t>
      </w:r>
      <w:r>
        <w:rPr>
          <w:w w:val="105"/>
        </w:rPr>
        <w:t>forfeiture</w:t>
      </w:r>
      <w:r>
        <w:rPr>
          <w:spacing w:val="-3"/>
          <w:w w:val="105"/>
        </w:rPr>
        <w:t> </w:t>
      </w:r>
      <w:r>
        <w:rPr>
          <w:w w:val="105"/>
        </w:rPr>
        <w:t>rate</w:t>
      </w:r>
      <w:r>
        <w:rPr>
          <w:spacing w:val="-3"/>
          <w:w w:val="105"/>
        </w:rPr>
        <w:t> </w:t>
      </w:r>
      <w:r>
        <w:rPr>
          <w:w w:val="105"/>
        </w:rPr>
        <w:t>is</w:t>
      </w:r>
      <w:r>
        <w:rPr>
          <w:spacing w:val="-3"/>
          <w:w w:val="105"/>
        </w:rPr>
        <w:t> </w:t>
      </w:r>
      <w:r>
        <w:rPr>
          <w:w w:val="105"/>
        </w:rPr>
        <w:t>calculated</w:t>
      </w:r>
      <w:r>
        <w:rPr>
          <w:spacing w:val="-3"/>
          <w:w w:val="105"/>
        </w:rPr>
        <w:t> </w:t>
      </w:r>
      <w:r>
        <w:rPr>
          <w:w w:val="105"/>
        </w:rPr>
        <w:t>based</w:t>
      </w:r>
      <w:r>
        <w:rPr>
          <w:spacing w:val="-3"/>
          <w:w w:val="105"/>
        </w:rPr>
        <w:t> </w:t>
      </w:r>
      <w:r>
        <w:rPr>
          <w:w w:val="105"/>
        </w:rPr>
        <w:t>on</w:t>
      </w:r>
      <w:r>
        <w:rPr>
          <w:spacing w:val="-3"/>
          <w:w w:val="105"/>
        </w:rPr>
        <w:t> </w:t>
      </w:r>
      <w:r>
        <w:rPr>
          <w:w w:val="105"/>
        </w:rPr>
        <w:t>15</w:t>
      </w:r>
      <w:r>
        <w:rPr>
          <w:spacing w:val="-3"/>
          <w:w w:val="105"/>
        </w:rPr>
        <w:t> </w:t>
      </w:r>
      <w:r>
        <w:rPr>
          <w:w w:val="105"/>
        </w:rPr>
        <w:t>years</w:t>
      </w:r>
      <w:r>
        <w:rPr>
          <w:spacing w:val="-3"/>
          <w:w w:val="105"/>
        </w:rPr>
        <w:t> </w:t>
      </w:r>
      <w:r>
        <w:rPr>
          <w:w w:val="105"/>
        </w:rPr>
        <w:t>of historical</w:t>
      </w:r>
      <w:r>
        <w:rPr>
          <w:spacing w:val="-7"/>
          <w:w w:val="105"/>
        </w:rPr>
        <w:t> </w:t>
      </w:r>
      <w:r>
        <w:rPr>
          <w:w w:val="105"/>
        </w:rPr>
        <w:t>data</w:t>
      </w:r>
      <w:r>
        <w:rPr>
          <w:spacing w:val="-7"/>
          <w:w w:val="105"/>
        </w:rPr>
        <w:t> </w:t>
      </w:r>
      <w:r>
        <w:rPr>
          <w:w w:val="105"/>
        </w:rPr>
        <w:t>and</w:t>
      </w:r>
      <w:r>
        <w:rPr>
          <w:spacing w:val="-7"/>
          <w:w w:val="105"/>
        </w:rPr>
        <w:t> </w:t>
      </w:r>
      <w:r>
        <w:rPr>
          <w:w w:val="105"/>
        </w:rPr>
        <w:t>is</w:t>
      </w:r>
      <w:r>
        <w:rPr>
          <w:spacing w:val="-7"/>
          <w:w w:val="105"/>
        </w:rPr>
        <w:t> </w:t>
      </w:r>
      <w:r>
        <w:rPr>
          <w:w w:val="105"/>
        </w:rPr>
        <w:t>adjusted</w:t>
      </w:r>
      <w:r>
        <w:rPr>
          <w:spacing w:val="-7"/>
          <w:w w:val="105"/>
        </w:rPr>
        <w:t> </w:t>
      </w:r>
      <w:r>
        <w:rPr>
          <w:w w:val="105"/>
        </w:rPr>
        <w:t>if</w:t>
      </w:r>
      <w:r>
        <w:rPr>
          <w:spacing w:val="-7"/>
          <w:w w:val="105"/>
        </w:rPr>
        <w:t> </w:t>
      </w:r>
      <w:r>
        <w:rPr>
          <w:w w:val="105"/>
        </w:rPr>
        <w:t>actual</w:t>
      </w:r>
      <w:r>
        <w:rPr>
          <w:spacing w:val="-7"/>
          <w:w w:val="105"/>
        </w:rPr>
        <w:t> </w:t>
      </w:r>
      <w:r>
        <w:rPr>
          <w:w w:val="105"/>
        </w:rPr>
        <w:t>forfeitures</w:t>
      </w:r>
      <w:r>
        <w:rPr>
          <w:spacing w:val="-7"/>
          <w:w w:val="105"/>
        </w:rPr>
        <w:t> </w:t>
      </w:r>
      <w:r>
        <w:rPr>
          <w:w w:val="105"/>
        </w:rPr>
        <w:t>differ</w:t>
      </w:r>
      <w:r>
        <w:rPr>
          <w:spacing w:val="-9"/>
          <w:w w:val="105"/>
        </w:rPr>
        <w:t> </w:t>
      </w:r>
      <w:r>
        <w:rPr>
          <w:w w:val="105"/>
        </w:rPr>
        <w:t>significantly</w:t>
      </w:r>
      <w:r>
        <w:rPr>
          <w:spacing w:val="-7"/>
          <w:w w:val="105"/>
        </w:rPr>
        <w:t> </w:t>
      </w:r>
      <w:r>
        <w:rPr>
          <w:w w:val="105"/>
        </w:rPr>
        <w:t>from</w:t>
      </w:r>
      <w:r>
        <w:rPr>
          <w:spacing w:val="-7"/>
          <w:w w:val="105"/>
        </w:rPr>
        <w:t> </w:t>
      </w:r>
      <w:r>
        <w:rPr>
          <w:w w:val="105"/>
        </w:rPr>
        <w:t>the</w:t>
      </w:r>
      <w:r>
        <w:rPr>
          <w:spacing w:val="-7"/>
          <w:w w:val="105"/>
        </w:rPr>
        <w:t> </w:t>
      </w:r>
      <w:r>
        <w:rPr>
          <w:w w:val="105"/>
        </w:rPr>
        <w:t>original</w:t>
      </w:r>
      <w:r>
        <w:rPr>
          <w:spacing w:val="-9"/>
          <w:w w:val="105"/>
        </w:rPr>
        <w:t> </w:t>
      </w:r>
      <w:r>
        <w:rPr>
          <w:w w:val="105"/>
        </w:rPr>
        <w:t>estimates.</w:t>
      </w:r>
      <w:r>
        <w:rPr>
          <w:spacing w:val="-7"/>
          <w:w w:val="105"/>
        </w:rPr>
        <w:t> </w:t>
      </w:r>
      <w:r>
        <w:rPr>
          <w:w w:val="105"/>
        </w:rPr>
        <w:t>The</w:t>
      </w:r>
      <w:r>
        <w:rPr>
          <w:spacing w:val="-7"/>
          <w:w w:val="105"/>
        </w:rPr>
        <w:t> </w:t>
      </w:r>
      <w:r>
        <w:rPr>
          <w:w w:val="105"/>
        </w:rPr>
        <w:t>effect</w:t>
      </w:r>
      <w:r>
        <w:rPr>
          <w:spacing w:val="-7"/>
          <w:w w:val="105"/>
        </w:rPr>
        <w:t> </w:t>
      </w:r>
      <w:r>
        <w:rPr>
          <w:w w:val="105"/>
        </w:rPr>
        <w:t>of</w:t>
      </w:r>
      <w:r>
        <w:rPr>
          <w:spacing w:val="-7"/>
          <w:w w:val="105"/>
        </w:rPr>
        <w:t> </w:t>
      </w:r>
      <w:r>
        <w:rPr>
          <w:w w:val="105"/>
        </w:rPr>
        <w:t>any</w:t>
      </w:r>
      <w:r>
        <w:rPr>
          <w:spacing w:val="-9"/>
          <w:w w:val="105"/>
        </w:rPr>
        <w:t> </w:t>
      </w:r>
      <w:r>
        <w:rPr>
          <w:w w:val="105"/>
        </w:rPr>
        <w:t>change</w:t>
      </w:r>
      <w:r>
        <w:rPr>
          <w:spacing w:val="-7"/>
          <w:w w:val="105"/>
        </w:rPr>
        <w:t> </w:t>
      </w:r>
      <w:r>
        <w:rPr>
          <w:w w:val="105"/>
        </w:rPr>
        <w:t>in</w:t>
      </w:r>
      <w:r>
        <w:rPr>
          <w:spacing w:val="-7"/>
          <w:w w:val="105"/>
        </w:rPr>
        <w:t> </w:t>
      </w:r>
      <w:r>
        <w:rPr>
          <w:w w:val="105"/>
        </w:rPr>
        <w:t>estimated</w:t>
      </w:r>
      <w:r>
        <w:rPr>
          <w:spacing w:val="-7"/>
          <w:w w:val="105"/>
        </w:rPr>
        <w:t> </w:t>
      </w:r>
      <w:r>
        <w:rPr>
          <w:w w:val="105"/>
        </w:rPr>
        <w:t>forfeitures</w:t>
      </w:r>
      <w:r>
        <w:rPr>
          <w:spacing w:val="-9"/>
          <w:w w:val="105"/>
        </w:rPr>
        <w:t> </w:t>
      </w:r>
      <w:r>
        <w:rPr>
          <w:w w:val="105"/>
        </w:rPr>
        <w:t>would</w:t>
      </w:r>
      <w:r>
        <w:rPr>
          <w:spacing w:val="-7"/>
          <w:w w:val="105"/>
        </w:rPr>
        <w:t> </w:t>
      </w:r>
      <w:r>
        <w:rPr>
          <w:w w:val="105"/>
        </w:rPr>
        <w:t>be</w:t>
      </w:r>
      <w:r>
        <w:rPr>
          <w:spacing w:val="-7"/>
          <w:w w:val="105"/>
        </w:rPr>
        <w:t> </w:t>
      </w:r>
      <w:r>
        <w:rPr>
          <w:w w:val="105"/>
        </w:rPr>
        <w:t>recognized through a cumulative adjustment that would be included in compensation cost in the period of the change in estimate.</w:t>
      </w:r>
    </w:p>
    <w:p>
      <w:pPr>
        <w:pStyle w:val="BodyText"/>
        <w:spacing w:before="18"/>
      </w:pPr>
    </w:p>
    <w:p>
      <w:pPr>
        <w:pStyle w:val="BodyText"/>
        <w:ind w:left="156"/>
      </w:pPr>
      <w:r>
        <w:rPr>
          <w:w w:val="105"/>
        </w:rPr>
        <w:t>Total</w:t>
      </w:r>
      <w:r>
        <w:rPr>
          <w:spacing w:val="-10"/>
          <w:w w:val="105"/>
        </w:rPr>
        <w:t> </w:t>
      </w:r>
      <w:r>
        <w:rPr>
          <w:w w:val="105"/>
        </w:rPr>
        <w:t>share-based</w:t>
      </w:r>
      <w:r>
        <w:rPr>
          <w:spacing w:val="-10"/>
          <w:w w:val="105"/>
        </w:rPr>
        <w:t> </w:t>
      </w:r>
      <w:r>
        <w:rPr>
          <w:w w:val="105"/>
        </w:rPr>
        <w:t>compensation</w:t>
      </w:r>
      <w:r>
        <w:rPr>
          <w:spacing w:val="-10"/>
          <w:w w:val="105"/>
        </w:rPr>
        <w:t> </w:t>
      </w:r>
      <w:r>
        <w:rPr>
          <w:w w:val="105"/>
        </w:rPr>
        <w:t>cost</w:t>
      </w:r>
      <w:r>
        <w:rPr>
          <w:spacing w:val="-9"/>
          <w:w w:val="105"/>
        </w:rPr>
        <w:t> </w:t>
      </w:r>
      <w:r>
        <w:rPr>
          <w:w w:val="105"/>
        </w:rPr>
        <w:t>was</w:t>
      </w:r>
      <w:r>
        <w:rPr>
          <w:spacing w:val="-10"/>
          <w:w w:val="105"/>
        </w:rPr>
        <w:t> </w:t>
      </w:r>
      <w:r>
        <w:rPr>
          <w:w w:val="105"/>
        </w:rPr>
        <w:t>approximately</w:t>
      </w:r>
      <w:r>
        <w:rPr>
          <w:spacing w:val="-10"/>
          <w:w w:val="105"/>
        </w:rPr>
        <w:t> </w:t>
      </w:r>
      <w:r>
        <w:rPr>
          <w:w w:val="105"/>
        </w:rPr>
        <w:t>$190</w:t>
      </w:r>
      <w:r>
        <w:rPr>
          <w:spacing w:val="-8"/>
          <w:w w:val="105"/>
        </w:rPr>
        <w:t> </w:t>
      </w:r>
      <w:r>
        <w:rPr>
          <w:w w:val="105"/>
        </w:rPr>
        <w:t>million,</w:t>
      </w:r>
      <w:r>
        <w:rPr>
          <w:spacing w:val="-10"/>
          <w:w w:val="105"/>
        </w:rPr>
        <w:t> </w:t>
      </w:r>
      <w:r>
        <w:rPr>
          <w:w w:val="105"/>
        </w:rPr>
        <w:t>$207</w:t>
      </w:r>
      <w:r>
        <w:rPr>
          <w:spacing w:val="-9"/>
          <w:w w:val="105"/>
        </w:rPr>
        <w:t> </w:t>
      </w:r>
      <w:r>
        <w:rPr>
          <w:w w:val="105"/>
        </w:rPr>
        <w:t>million</w:t>
      </w:r>
      <w:r>
        <w:rPr>
          <w:spacing w:val="-10"/>
          <w:w w:val="105"/>
        </w:rPr>
        <w:t> </w:t>
      </w:r>
      <w:r>
        <w:rPr>
          <w:w w:val="105"/>
        </w:rPr>
        <w:t>and</w:t>
      </w:r>
      <w:r>
        <w:rPr>
          <w:spacing w:val="-10"/>
          <w:w w:val="105"/>
        </w:rPr>
        <w:t> </w:t>
      </w:r>
      <w:r>
        <w:rPr>
          <w:w w:val="105"/>
        </w:rPr>
        <w:t>$56</w:t>
      </w:r>
      <w:r>
        <w:rPr>
          <w:spacing w:val="-9"/>
          <w:w w:val="105"/>
        </w:rPr>
        <w:t> </w:t>
      </w:r>
      <w:r>
        <w:rPr>
          <w:w w:val="105"/>
        </w:rPr>
        <w:t>million,</w:t>
      </w:r>
      <w:r>
        <w:rPr>
          <w:spacing w:val="-10"/>
          <w:w w:val="105"/>
        </w:rPr>
        <w:t> </w:t>
      </w:r>
      <w:r>
        <w:rPr>
          <w:w w:val="105"/>
        </w:rPr>
        <w:t>respectively,</w:t>
      </w:r>
      <w:r>
        <w:rPr>
          <w:spacing w:val="-10"/>
          <w:w w:val="105"/>
        </w:rPr>
        <w:t> </w:t>
      </w:r>
      <w:r>
        <w:rPr>
          <w:w w:val="105"/>
        </w:rPr>
        <w:t>for</w:t>
      </w:r>
      <w:r>
        <w:rPr>
          <w:spacing w:val="-8"/>
          <w:w w:val="105"/>
        </w:rPr>
        <w:t> </w:t>
      </w:r>
      <w:r>
        <w:rPr>
          <w:w w:val="105"/>
        </w:rPr>
        <w:t>the</w:t>
      </w:r>
      <w:r>
        <w:rPr>
          <w:spacing w:val="-10"/>
          <w:w w:val="105"/>
        </w:rPr>
        <w:t> </w:t>
      </w:r>
      <w:r>
        <w:rPr>
          <w:w w:val="105"/>
        </w:rPr>
        <w:t>years</w:t>
      </w:r>
      <w:r>
        <w:rPr>
          <w:spacing w:val="-9"/>
          <w:w w:val="105"/>
        </w:rPr>
        <w:t> </w:t>
      </w:r>
      <w:r>
        <w:rPr>
          <w:w w:val="105"/>
        </w:rPr>
        <w:t>ended</w:t>
      </w:r>
      <w:r>
        <w:rPr>
          <w:spacing w:val="-9"/>
          <w:w w:val="105"/>
        </w:rPr>
        <w:t> </w:t>
      </w:r>
      <w:r>
        <w:rPr>
          <w:w w:val="105"/>
        </w:rPr>
        <w:t>December</w:t>
      </w:r>
      <w:r>
        <w:rPr>
          <w:spacing w:val="-10"/>
          <w:w w:val="105"/>
        </w:rPr>
        <w:t> </w:t>
      </w:r>
      <w:r>
        <w:rPr>
          <w:w w:val="105"/>
        </w:rPr>
        <w:t>31,</w:t>
      </w:r>
      <w:r>
        <w:rPr>
          <w:spacing w:val="-10"/>
          <w:w w:val="105"/>
        </w:rPr>
        <w:t> </w:t>
      </w:r>
      <w:r>
        <w:rPr>
          <w:w w:val="105"/>
        </w:rPr>
        <w:t>2021,</w:t>
      </w:r>
      <w:r>
        <w:rPr>
          <w:spacing w:val="-9"/>
          <w:w w:val="105"/>
        </w:rPr>
        <w:t> </w:t>
      </w:r>
      <w:r>
        <w:rPr>
          <w:w w:val="105"/>
        </w:rPr>
        <w:t>2020</w:t>
      </w:r>
      <w:r>
        <w:rPr>
          <w:spacing w:val="-9"/>
          <w:w w:val="105"/>
        </w:rPr>
        <w:t> </w:t>
      </w:r>
      <w:r>
        <w:rPr>
          <w:w w:val="105"/>
        </w:rPr>
        <w:t>and</w:t>
      </w:r>
      <w:r>
        <w:rPr>
          <w:spacing w:val="-10"/>
          <w:w w:val="105"/>
        </w:rPr>
        <w:t> </w:t>
      </w:r>
      <w:r>
        <w:rPr>
          <w:spacing w:val="-2"/>
          <w:w w:val="105"/>
        </w:rPr>
        <w:t>2019.</w:t>
      </w:r>
    </w:p>
    <w:p>
      <w:pPr>
        <w:pStyle w:val="BodyText"/>
        <w:spacing w:before="40"/>
      </w:pPr>
    </w:p>
    <w:p>
      <w:pPr>
        <w:pStyle w:val="BodyText"/>
        <w:spacing w:line="266" w:lineRule="auto"/>
        <w:ind w:left="156"/>
      </w:pPr>
      <w:r>
        <w:rPr>
          <w:w w:val="105"/>
        </w:rPr>
        <w:t>The</w:t>
      </w:r>
      <w:r>
        <w:rPr>
          <w:spacing w:val="-8"/>
          <w:w w:val="105"/>
        </w:rPr>
        <w:t> </w:t>
      </w:r>
      <w:r>
        <w:rPr>
          <w:w w:val="105"/>
        </w:rPr>
        <w:t>income</w:t>
      </w:r>
      <w:r>
        <w:rPr>
          <w:spacing w:val="-8"/>
          <w:w w:val="105"/>
        </w:rPr>
        <w:t> </w:t>
      </w:r>
      <w:r>
        <w:rPr>
          <w:w w:val="105"/>
        </w:rPr>
        <w:t>tax</w:t>
      </w:r>
      <w:r>
        <w:rPr>
          <w:spacing w:val="-8"/>
          <w:w w:val="105"/>
        </w:rPr>
        <w:t> </w:t>
      </w:r>
      <w:r>
        <w:rPr>
          <w:w w:val="105"/>
        </w:rPr>
        <w:t>benefit</w:t>
      </w:r>
      <w:r>
        <w:rPr>
          <w:spacing w:val="-7"/>
          <w:w w:val="105"/>
        </w:rPr>
        <w:t> </w:t>
      </w:r>
      <w:r>
        <w:rPr>
          <w:w w:val="105"/>
        </w:rPr>
        <w:t>realized</w:t>
      </w:r>
      <w:r>
        <w:rPr>
          <w:spacing w:val="-8"/>
          <w:w w:val="105"/>
        </w:rPr>
        <w:t> </w:t>
      </w:r>
      <w:r>
        <w:rPr>
          <w:w w:val="105"/>
        </w:rPr>
        <w:t>from</w:t>
      </w:r>
      <w:r>
        <w:rPr>
          <w:spacing w:val="-8"/>
          <w:w w:val="105"/>
        </w:rPr>
        <w:t> </w:t>
      </w:r>
      <w:r>
        <w:rPr>
          <w:w w:val="105"/>
        </w:rPr>
        <w:t>share-based</w:t>
      </w:r>
      <w:r>
        <w:rPr>
          <w:spacing w:val="-8"/>
          <w:w w:val="105"/>
        </w:rPr>
        <w:t> </w:t>
      </w:r>
      <w:r>
        <w:rPr>
          <w:w w:val="105"/>
        </w:rPr>
        <w:t>compensation</w:t>
      </w:r>
      <w:r>
        <w:rPr>
          <w:spacing w:val="-8"/>
          <w:w w:val="105"/>
        </w:rPr>
        <w:t> </w:t>
      </w:r>
      <w:r>
        <w:rPr>
          <w:w w:val="105"/>
        </w:rPr>
        <w:t>was</w:t>
      </w:r>
      <w:r>
        <w:rPr>
          <w:spacing w:val="-8"/>
          <w:w w:val="105"/>
        </w:rPr>
        <w:t> </w:t>
      </w:r>
      <w:r>
        <w:rPr>
          <w:w w:val="105"/>
        </w:rPr>
        <w:t>$37</w:t>
      </w:r>
      <w:r>
        <w:rPr>
          <w:spacing w:val="-8"/>
          <w:w w:val="105"/>
        </w:rPr>
        <w:t> </w:t>
      </w:r>
      <w:r>
        <w:rPr>
          <w:w w:val="105"/>
        </w:rPr>
        <w:t>million,</w:t>
      </w:r>
      <w:r>
        <w:rPr>
          <w:spacing w:val="-8"/>
          <w:w w:val="105"/>
        </w:rPr>
        <w:t> </w:t>
      </w:r>
      <w:r>
        <w:rPr>
          <w:w w:val="105"/>
        </w:rPr>
        <w:t>$12</w:t>
      </w:r>
      <w:r>
        <w:rPr>
          <w:spacing w:val="-8"/>
          <w:w w:val="105"/>
        </w:rPr>
        <w:t> </w:t>
      </w:r>
      <w:r>
        <w:rPr>
          <w:w w:val="105"/>
        </w:rPr>
        <w:t>million</w:t>
      </w:r>
      <w:r>
        <w:rPr>
          <w:spacing w:val="-8"/>
          <w:w w:val="105"/>
        </w:rPr>
        <w:t> </w:t>
      </w:r>
      <w:r>
        <w:rPr>
          <w:w w:val="105"/>
        </w:rPr>
        <w:t>and</w:t>
      </w:r>
      <w:r>
        <w:rPr>
          <w:spacing w:val="-8"/>
          <w:w w:val="105"/>
        </w:rPr>
        <w:t> </w:t>
      </w:r>
      <w:r>
        <w:rPr>
          <w:w w:val="105"/>
        </w:rPr>
        <w:t>$9</w:t>
      </w:r>
      <w:r>
        <w:rPr>
          <w:spacing w:val="-8"/>
          <w:w w:val="105"/>
        </w:rPr>
        <w:t> </w:t>
      </w:r>
      <w:r>
        <w:rPr>
          <w:w w:val="105"/>
        </w:rPr>
        <w:t>million,</w:t>
      </w:r>
      <w:r>
        <w:rPr>
          <w:spacing w:val="-8"/>
          <w:w w:val="105"/>
        </w:rPr>
        <w:t> </w:t>
      </w:r>
      <w:r>
        <w:rPr>
          <w:w w:val="105"/>
        </w:rPr>
        <w:t>respectively,</w:t>
      </w:r>
      <w:r>
        <w:rPr>
          <w:spacing w:val="-8"/>
          <w:w w:val="105"/>
        </w:rPr>
        <w:t> </w:t>
      </w:r>
      <w:r>
        <w:rPr>
          <w:w w:val="105"/>
        </w:rPr>
        <w:t>for</w:t>
      </w:r>
      <w:r>
        <w:rPr>
          <w:spacing w:val="-8"/>
          <w:w w:val="105"/>
        </w:rPr>
        <w:t> </w:t>
      </w:r>
      <w:r>
        <w:rPr>
          <w:w w:val="105"/>
        </w:rPr>
        <w:t>the</w:t>
      </w:r>
      <w:r>
        <w:rPr>
          <w:spacing w:val="-8"/>
          <w:w w:val="105"/>
        </w:rPr>
        <w:t> </w:t>
      </w:r>
      <w:r>
        <w:rPr>
          <w:w w:val="105"/>
        </w:rPr>
        <w:t>years</w:t>
      </w:r>
      <w:r>
        <w:rPr>
          <w:spacing w:val="-8"/>
          <w:w w:val="105"/>
        </w:rPr>
        <w:t> </w:t>
      </w:r>
      <w:r>
        <w:rPr>
          <w:w w:val="105"/>
        </w:rPr>
        <w:t>ended</w:t>
      </w:r>
      <w:r>
        <w:rPr>
          <w:spacing w:val="-9"/>
          <w:w w:val="105"/>
        </w:rPr>
        <w:t> </w:t>
      </w:r>
      <w:r>
        <w:rPr>
          <w:w w:val="105"/>
        </w:rPr>
        <w:t>December</w:t>
      </w:r>
      <w:r>
        <w:rPr>
          <w:spacing w:val="-8"/>
          <w:w w:val="105"/>
        </w:rPr>
        <w:t> </w:t>
      </w:r>
      <w:r>
        <w:rPr>
          <w:w w:val="105"/>
        </w:rPr>
        <w:t>31,</w:t>
      </w:r>
      <w:r>
        <w:rPr>
          <w:spacing w:val="-8"/>
          <w:w w:val="105"/>
        </w:rPr>
        <w:t> </w:t>
      </w:r>
      <w:r>
        <w:rPr>
          <w:w w:val="105"/>
        </w:rPr>
        <w:t>2021,</w:t>
      </w:r>
      <w:r>
        <w:rPr>
          <w:spacing w:val="-7"/>
          <w:w w:val="105"/>
        </w:rPr>
        <w:t> </w:t>
      </w:r>
      <w:r>
        <w:rPr>
          <w:w w:val="105"/>
        </w:rPr>
        <w:t>2020</w:t>
      </w:r>
      <w:r>
        <w:rPr>
          <w:spacing w:val="-8"/>
          <w:w w:val="105"/>
        </w:rPr>
        <w:t> </w:t>
      </w:r>
      <w:r>
        <w:rPr>
          <w:w w:val="105"/>
        </w:rPr>
        <w:t>and 2019. Refer to Note 8 (Income Taxes) to the consolidated financial statements for additional information.</w:t>
      </w:r>
    </w:p>
    <w:p>
      <w:pPr>
        <w:pStyle w:val="BodyText"/>
        <w:spacing w:before="19"/>
      </w:pPr>
    </w:p>
    <w:p>
      <w:pPr>
        <w:pStyle w:val="Heading3"/>
      </w:pPr>
      <w:r>
        <w:rPr>
          <w:w w:val="105"/>
        </w:rPr>
        <w:t>Stock</w:t>
      </w:r>
      <w:r>
        <w:rPr>
          <w:spacing w:val="-9"/>
          <w:w w:val="105"/>
        </w:rPr>
        <w:t> </w:t>
      </w:r>
      <w:r>
        <w:rPr>
          <w:spacing w:val="-2"/>
          <w:w w:val="105"/>
        </w:rPr>
        <w:t>Options</w:t>
      </w:r>
    </w:p>
    <w:p>
      <w:pPr>
        <w:pStyle w:val="BodyText"/>
        <w:spacing w:before="40"/>
        <w:rPr>
          <w:b/>
          <w:i/>
        </w:rPr>
      </w:pPr>
    </w:p>
    <w:p>
      <w:pPr>
        <w:pStyle w:val="BodyText"/>
        <w:spacing w:line="266" w:lineRule="auto"/>
        <w:ind w:left="156" w:right="228"/>
      </w:pPr>
      <w:r>
        <w:rPr>
          <w:w w:val="105"/>
        </w:rPr>
        <w:t>Corning’s</w:t>
      </w:r>
      <w:r>
        <w:rPr>
          <w:spacing w:val="-6"/>
          <w:w w:val="105"/>
        </w:rPr>
        <w:t> </w:t>
      </w:r>
      <w:r>
        <w:rPr>
          <w:w w:val="105"/>
        </w:rPr>
        <w:t>stock</w:t>
      </w:r>
      <w:r>
        <w:rPr>
          <w:spacing w:val="-6"/>
          <w:w w:val="105"/>
        </w:rPr>
        <w:t> </w:t>
      </w:r>
      <w:r>
        <w:rPr>
          <w:w w:val="105"/>
        </w:rPr>
        <w:t>option</w:t>
      </w:r>
      <w:r>
        <w:rPr>
          <w:spacing w:val="-6"/>
          <w:w w:val="105"/>
        </w:rPr>
        <w:t> </w:t>
      </w:r>
      <w:r>
        <w:rPr>
          <w:w w:val="105"/>
        </w:rPr>
        <w:t>plans</w:t>
      </w:r>
      <w:r>
        <w:rPr>
          <w:spacing w:val="-6"/>
          <w:w w:val="105"/>
        </w:rPr>
        <w:t> </w:t>
      </w:r>
      <w:r>
        <w:rPr>
          <w:w w:val="105"/>
        </w:rPr>
        <w:t>provide</w:t>
      </w:r>
      <w:r>
        <w:rPr>
          <w:spacing w:val="-6"/>
          <w:w w:val="105"/>
        </w:rPr>
        <w:t> </w:t>
      </w:r>
      <w:r>
        <w:rPr>
          <w:w w:val="105"/>
        </w:rPr>
        <w:t>non-qualified</w:t>
      </w:r>
      <w:r>
        <w:rPr>
          <w:spacing w:val="-6"/>
          <w:w w:val="105"/>
        </w:rPr>
        <w:t> </w:t>
      </w:r>
      <w:r>
        <w:rPr>
          <w:w w:val="105"/>
        </w:rPr>
        <w:t>and</w:t>
      </w:r>
      <w:r>
        <w:rPr>
          <w:spacing w:val="-6"/>
          <w:w w:val="105"/>
        </w:rPr>
        <w:t> </w:t>
      </w:r>
      <w:r>
        <w:rPr>
          <w:w w:val="105"/>
        </w:rPr>
        <w:t>incentive</w:t>
      </w:r>
      <w:r>
        <w:rPr>
          <w:spacing w:val="-6"/>
          <w:w w:val="105"/>
        </w:rPr>
        <w:t> </w:t>
      </w:r>
      <w:r>
        <w:rPr>
          <w:w w:val="105"/>
        </w:rPr>
        <w:t>stock</w:t>
      </w:r>
      <w:r>
        <w:rPr>
          <w:spacing w:val="-6"/>
          <w:w w:val="105"/>
        </w:rPr>
        <w:t> </w:t>
      </w:r>
      <w:r>
        <w:rPr>
          <w:w w:val="105"/>
        </w:rPr>
        <w:t>options</w:t>
      </w:r>
      <w:r>
        <w:rPr>
          <w:spacing w:val="-6"/>
          <w:w w:val="105"/>
        </w:rPr>
        <w:t> </w:t>
      </w:r>
      <w:r>
        <w:rPr>
          <w:w w:val="105"/>
        </w:rPr>
        <w:t>to</w:t>
      </w:r>
      <w:r>
        <w:rPr>
          <w:spacing w:val="-6"/>
          <w:w w:val="105"/>
        </w:rPr>
        <w:t> </w:t>
      </w:r>
      <w:r>
        <w:rPr>
          <w:w w:val="105"/>
        </w:rPr>
        <w:t>purchase</w:t>
      </w:r>
      <w:r>
        <w:rPr>
          <w:spacing w:val="-6"/>
          <w:w w:val="105"/>
        </w:rPr>
        <w:t> </w:t>
      </w:r>
      <w:r>
        <w:rPr>
          <w:w w:val="105"/>
        </w:rPr>
        <w:t>authorized</w:t>
      </w:r>
      <w:r>
        <w:rPr>
          <w:spacing w:val="-6"/>
          <w:w w:val="105"/>
        </w:rPr>
        <w:t> </w:t>
      </w:r>
      <w:r>
        <w:rPr>
          <w:w w:val="105"/>
        </w:rPr>
        <w:t>but</w:t>
      </w:r>
      <w:r>
        <w:rPr>
          <w:spacing w:val="-6"/>
          <w:w w:val="105"/>
        </w:rPr>
        <w:t> </w:t>
      </w:r>
      <w:r>
        <w:rPr>
          <w:w w:val="105"/>
        </w:rPr>
        <w:t>unissued</w:t>
      </w:r>
      <w:r>
        <w:rPr>
          <w:spacing w:val="-6"/>
          <w:w w:val="105"/>
        </w:rPr>
        <w:t> </w:t>
      </w:r>
      <w:r>
        <w:rPr>
          <w:w w:val="105"/>
        </w:rPr>
        <w:t>common</w:t>
      </w:r>
      <w:r>
        <w:rPr>
          <w:spacing w:val="-6"/>
          <w:w w:val="105"/>
        </w:rPr>
        <w:t> </w:t>
      </w:r>
      <w:r>
        <w:rPr>
          <w:w w:val="105"/>
        </w:rPr>
        <w:t>shares,</w:t>
      </w:r>
      <w:r>
        <w:rPr>
          <w:spacing w:val="-6"/>
          <w:w w:val="105"/>
        </w:rPr>
        <w:t> </w:t>
      </w:r>
      <w:r>
        <w:rPr>
          <w:w w:val="105"/>
        </w:rPr>
        <w:t>or</w:t>
      </w:r>
      <w:r>
        <w:rPr>
          <w:spacing w:val="-6"/>
          <w:w w:val="105"/>
        </w:rPr>
        <w:t> </w:t>
      </w:r>
      <w:r>
        <w:rPr>
          <w:w w:val="105"/>
        </w:rPr>
        <w:t>treasury</w:t>
      </w:r>
      <w:r>
        <w:rPr>
          <w:spacing w:val="-6"/>
          <w:w w:val="105"/>
        </w:rPr>
        <w:t> </w:t>
      </w:r>
      <w:r>
        <w:rPr>
          <w:w w:val="105"/>
        </w:rPr>
        <w:t>shares,</w:t>
      </w:r>
      <w:r>
        <w:rPr>
          <w:spacing w:val="-6"/>
          <w:w w:val="105"/>
        </w:rPr>
        <w:t> </w:t>
      </w:r>
      <w:r>
        <w:rPr>
          <w:w w:val="105"/>
        </w:rPr>
        <w:t>at</w:t>
      </w:r>
      <w:r>
        <w:rPr>
          <w:spacing w:val="-6"/>
          <w:w w:val="105"/>
        </w:rPr>
        <w:t> </w:t>
      </w:r>
      <w:r>
        <w:rPr>
          <w:w w:val="105"/>
        </w:rPr>
        <w:t>the</w:t>
      </w:r>
      <w:r>
        <w:rPr>
          <w:spacing w:val="-6"/>
          <w:w w:val="105"/>
        </w:rPr>
        <w:t> </w:t>
      </w:r>
      <w:r>
        <w:rPr>
          <w:w w:val="105"/>
        </w:rPr>
        <w:t>market</w:t>
      </w:r>
      <w:r>
        <w:rPr>
          <w:spacing w:val="-6"/>
          <w:w w:val="105"/>
        </w:rPr>
        <w:t> </w:t>
      </w:r>
      <w:r>
        <w:rPr>
          <w:w w:val="105"/>
        </w:rPr>
        <w:t>price on</w:t>
      </w:r>
      <w:r>
        <w:rPr>
          <w:spacing w:val="-7"/>
          <w:w w:val="105"/>
        </w:rPr>
        <w:t> </w:t>
      </w:r>
      <w:r>
        <w:rPr>
          <w:w w:val="105"/>
        </w:rPr>
        <w:t>the</w:t>
      </w:r>
      <w:r>
        <w:rPr>
          <w:spacing w:val="-7"/>
          <w:w w:val="105"/>
        </w:rPr>
        <w:t> </w:t>
      </w:r>
      <w:r>
        <w:rPr>
          <w:w w:val="105"/>
        </w:rPr>
        <w:t>grant</w:t>
      </w:r>
      <w:r>
        <w:rPr>
          <w:spacing w:val="-7"/>
          <w:w w:val="105"/>
        </w:rPr>
        <w:t> </w:t>
      </w:r>
      <w:r>
        <w:rPr>
          <w:w w:val="105"/>
        </w:rPr>
        <w:t>date</w:t>
      </w:r>
      <w:r>
        <w:rPr>
          <w:spacing w:val="-7"/>
          <w:w w:val="105"/>
        </w:rPr>
        <w:t> </w:t>
      </w:r>
      <w:r>
        <w:rPr>
          <w:w w:val="105"/>
        </w:rPr>
        <w:t>and</w:t>
      </w:r>
      <w:r>
        <w:rPr>
          <w:spacing w:val="-9"/>
          <w:w w:val="105"/>
        </w:rPr>
        <w:t> </w:t>
      </w:r>
      <w:r>
        <w:rPr>
          <w:w w:val="105"/>
        </w:rPr>
        <w:t>generally</w:t>
      </w:r>
      <w:r>
        <w:rPr>
          <w:spacing w:val="-7"/>
          <w:w w:val="105"/>
        </w:rPr>
        <w:t> </w:t>
      </w:r>
      <w:r>
        <w:rPr>
          <w:w w:val="105"/>
        </w:rPr>
        <w:t>become</w:t>
      </w:r>
      <w:r>
        <w:rPr>
          <w:spacing w:val="-7"/>
          <w:w w:val="105"/>
        </w:rPr>
        <w:t> </w:t>
      </w:r>
      <w:r>
        <w:rPr>
          <w:w w:val="105"/>
        </w:rPr>
        <w:t>exercisable</w:t>
      </w:r>
      <w:r>
        <w:rPr>
          <w:spacing w:val="-7"/>
          <w:w w:val="105"/>
        </w:rPr>
        <w:t> </w:t>
      </w:r>
      <w:r>
        <w:rPr>
          <w:w w:val="105"/>
        </w:rPr>
        <w:t>in</w:t>
      </w:r>
      <w:r>
        <w:rPr>
          <w:spacing w:val="-9"/>
          <w:w w:val="105"/>
        </w:rPr>
        <w:t> </w:t>
      </w:r>
      <w:r>
        <w:rPr>
          <w:w w:val="105"/>
        </w:rPr>
        <w:t>installments</w:t>
      </w:r>
      <w:r>
        <w:rPr>
          <w:spacing w:val="-7"/>
          <w:w w:val="105"/>
        </w:rPr>
        <w:t> </w:t>
      </w:r>
      <w:r>
        <w:rPr>
          <w:w w:val="105"/>
        </w:rPr>
        <w:t>from</w:t>
      </w:r>
      <w:r>
        <w:rPr>
          <w:spacing w:val="-9"/>
          <w:w w:val="105"/>
        </w:rPr>
        <w:t> </w:t>
      </w:r>
      <w:r>
        <w:rPr>
          <w:w w:val="105"/>
        </w:rPr>
        <w:t>one</w:t>
      </w:r>
      <w:r>
        <w:rPr>
          <w:spacing w:val="-7"/>
          <w:w w:val="105"/>
        </w:rPr>
        <w:t> </w:t>
      </w:r>
      <w:r>
        <w:rPr>
          <w:w w:val="105"/>
        </w:rPr>
        <w:t>year</w:t>
      </w:r>
      <w:r>
        <w:rPr>
          <w:spacing w:val="-7"/>
          <w:w w:val="105"/>
        </w:rPr>
        <w:t> </w:t>
      </w:r>
      <w:r>
        <w:rPr>
          <w:w w:val="105"/>
        </w:rPr>
        <w:t>to</w:t>
      </w:r>
      <w:r>
        <w:rPr>
          <w:spacing w:val="-6"/>
          <w:w w:val="105"/>
        </w:rPr>
        <w:t> </w:t>
      </w:r>
      <w:r>
        <w:rPr>
          <w:w w:val="105"/>
        </w:rPr>
        <w:t>five</w:t>
      </w:r>
      <w:r>
        <w:rPr>
          <w:spacing w:val="-7"/>
          <w:w w:val="105"/>
        </w:rPr>
        <w:t> </w:t>
      </w:r>
      <w:r>
        <w:rPr>
          <w:w w:val="105"/>
        </w:rPr>
        <w:t>years</w:t>
      </w:r>
      <w:r>
        <w:rPr>
          <w:spacing w:val="-7"/>
          <w:w w:val="105"/>
        </w:rPr>
        <w:t> </w:t>
      </w:r>
      <w:r>
        <w:rPr>
          <w:w w:val="105"/>
        </w:rPr>
        <w:t>from</w:t>
      </w:r>
      <w:r>
        <w:rPr>
          <w:spacing w:val="-7"/>
          <w:w w:val="105"/>
        </w:rPr>
        <w:t> </w:t>
      </w:r>
      <w:r>
        <w:rPr>
          <w:w w:val="105"/>
        </w:rPr>
        <w:t>the</w:t>
      </w:r>
      <w:r>
        <w:rPr>
          <w:spacing w:val="-7"/>
          <w:w w:val="105"/>
        </w:rPr>
        <w:t> </w:t>
      </w:r>
      <w:r>
        <w:rPr>
          <w:w w:val="105"/>
        </w:rPr>
        <w:t>grant</w:t>
      </w:r>
      <w:r>
        <w:rPr>
          <w:spacing w:val="-7"/>
          <w:w w:val="105"/>
        </w:rPr>
        <w:t> </w:t>
      </w:r>
      <w:r>
        <w:rPr>
          <w:w w:val="105"/>
        </w:rPr>
        <w:t>date.</w:t>
      </w:r>
      <w:r>
        <w:rPr>
          <w:spacing w:val="-7"/>
          <w:w w:val="105"/>
        </w:rPr>
        <w:t> </w:t>
      </w:r>
      <w:r>
        <w:rPr>
          <w:w w:val="105"/>
        </w:rPr>
        <w:t>The</w:t>
      </w:r>
      <w:r>
        <w:rPr>
          <w:spacing w:val="-7"/>
          <w:w w:val="105"/>
        </w:rPr>
        <w:t> </w:t>
      </w:r>
      <w:r>
        <w:rPr>
          <w:w w:val="105"/>
        </w:rPr>
        <w:t>maximum</w:t>
      </w:r>
      <w:r>
        <w:rPr>
          <w:spacing w:val="-7"/>
          <w:w w:val="105"/>
        </w:rPr>
        <w:t> </w:t>
      </w:r>
      <w:r>
        <w:rPr>
          <w:w w:val="105"/>
        </w:rPr>
        <w:t>term</w:t>
      </w:r>
      <w:r>
        <w:rPr>
          <w:spacing w:val="-7"/>
          <w:w w:val="105"/>
        </w:rPr>
        <w:t> </w:t>
      </w:r>
      <w:r>
        <w:rPr>
          <w:w w:val="105"/>
        </w:rPr>
        <w:t>of</w:t>
      </w:r>
      <w:r>
        <w:rPr>
          <w:spacing w:val="-7"/>
          <w:w w:val="105"/>
        </w:rPr>
        <w:t> </w:t>
      </w:r>
      <w:r>
        <w:rPr>
          <w:w w:val="105"/>
        </w:rPr>
        <w:t>non-qualified</w:t>
      </w:r>
      <w:r>
        <w:rPr>
          <w:spacing w:val="-7"/>
          <w:w w:val="105"/>
        </w:rPr>
        <w:t> </w:t>
      </w:r>
      <w:r>
        <w:rPr>
          <w:w w:val="105"/>
        </w:rPr>
        <w:t>and</w:t>
      </w:r>
      <w:r>
        <w:rPr>
          <w:spacing w:val="-7"/>
          <w:w w:val="105"/>
        </w:rPr>
        <w:t> </w:t>
      </w:r>
      <w:r>
        <w:rPr>
          <w:w w:val="105"/>
        </w:rPr>
        <w:t>incentive</w:t>
      </w:r>
      <w:r>
        <w:rPr>
          <w:spacing w:val="-7"/>
          <w:w w:val="105"/>
        </w:rPr>
        <w:t> </w:t>
      </w:r>
      <w:r>
        <w:rPr>
          <w:w w:val="105"/>
        </w:rPr>
        <w:t>stock options</w:t>
      </w:r>
      <w:r>
        <w:rPr>
          <w:spacing w:val="-6"/>
          <w:w w:val="105"/>
        </w:rPr>
        <w:t> </w:t>
      </w:r>
      <w:r>
        <w:rPr>
          <w:w w:val="105"/>
        </w:rPr>
        <w:t>is</w:t>
      </w:r>
      <w:r>
        <w:rPr>
          <w:spacing w:val="-6"/>
          <w:w w:val="105"/>
        </w:rPr>
        <w:t> </w:t>
      </w:r>
      <w:r>
        <w:rPr>
          <w:w w:val="105"/>
        </w:rPr>
        <w:t>10</w:t>
      </w:r>
      <w:r>
        <w:rPr>
          <w:spacing w:val="-6"/>
          <w:w w:val="105"/>
        </w:rPr>
        <w:t> </w:t>
      </w:r>
      <w:r>
        <w:rPr>
          <w:w w:val="105"/>
        </w:rPr>
        <w:t>years</w:t>
      </w:r>
      <w:r>
        <w:rPr>
          <w:spacing w:val="-6"/>
          <w:w w:val="105"/>
        </w:rPr>
        <w:t> </w:t>
      </w:r>
      <w:r>
        <w:rPr>
          <w:w w:val="105"/>
        </w:rPr>
        <w:t>from</w:t>
      </w:r>
      <w:r>
        <w:rPr>
          <w:spacing w:val="-6"/>
          <w:w w:val="105"/>
        </w:rPr>
        <w:t> </w:t>
      </w:r>
      <w:r>
        <w:rPr>
          <w:w w:val="105"/>
        </w:rPr>
        <w:t>the</w:t>
      </w:r>
      <w:r>
        <w:rPr>
          <w:spacing w:val="-6"/>
          <w:w w:val="105"/>
        </w:rPr>
        <w:t> </w:t>
      </w:r>
      <w:r>
        <w:rPr>
          <w:w w:val="105"/>
        </w:rPr>
        <w:t>grant</w:t>
      </w:r>
      <w:r>
        <w:rPr>
          <w:spacing w:val="-6"/>
          <w:w w:val="105"/>
        </w:rPr>
        <w:t> </w:t>
      </w:r>
      <w:r>
        <w:rPr>
          <w:w w:val="105"/>
        </w:rPr>
        <w:t>date.</w:t>
      </w:r>
      <w:r>
        <w:rPr>
          <w:spacing w:val="-6"/>
          <w:w w:val="105"/>
        </w:rPr>
        <w:t> </w:t>
      </w:r>
      <w:r>
        <w:rPr>
          <w:w w:val="105"/>
        </w:rPr>
        <w:t>An</w:t>
      </w:r>
      <w:r>
        <w:rPr>
          <w:spacing w:val="-6"/>
          <w:w w:val="105"/>
        </w:rPr>
        <w:t> </w:t>
      </w:r>
      <w:r>
        <w:rPr>
          <w:w w:val="105"/>
        </w:rPr>
        <w:t>award</w:t>
      </w:r>
      <w:r>
        <w:rPr>
          <w:spacing w:val="-6"/>
          <w:w w:val="105"/>
        </w:rPr>
        <w:t> </w:t>
      </w:r>
      <w:r>
        <w:rPr>
          <w:w w:val="105"/>
        </w:rPr>
        <w:t>is</w:t>
      </w:r>
      <w:r>
        <w:rPr>
          <w:spacing w:val="-6"/>
          <w:w w:val="105"/>
        </w:rPr>
        <w:t> </w:t>
      </w:r>
      <w:r>
        <w:rPr>
          <w:w w:val="105"/>
        </w:rPr>
        <w:t>considered</w:t>
      </w:r>
      <w:r>
        <w:rPr>
          <w:spacing w:val="-6"/>
          <w:w w:val="105"/>
        </w:rPr>
        <w:t> </w:t>
      </w:r>
      <w:r>
        <w:rPr>
          <w:w w:val="105"/>
        </w:rPr>
        <w:t>vested</w:t>
      </w:r>
      <w:r>
        <w:rPr>
          <w:spacing w:val="-6"/>
          <w:w w:val="105"/>
        </w:rPr>
        <w:t> </w:t>
      </w:r>
      <w:r>
        <w:rPr>
          <w:w w:val="105"/>
        </w:rPr>
        <w:t>when</w:t>
      </w:r>
      <w:r>
        <w:rPr>
          <w:spacing w:val="-6"/>
          <w:w w:val="105"/>
        </w:rPr>
        <w:t> </w:t>
      </w:r>
      <w:r>
        <w:rPr>
          <w:w w:val="105"/>
        </w:rPr>
        <w:t>the</w:t>
      </w:r>
      <w:r>
        <w:rPr>
          <w:spacing w:val="-6"/>
          <w:w w:val="105"/>
        </w:rPr>
        <w:t> </w:t>
      </w:r>
      <w:r>
        <w:rPr>
          <w:w w:val="105"/>
        </w:rPr>
        <w:t>employee’s</w:t>
      </w:r>
      <w:r>
        <w:rPr>
          <w:spacing w:val="-6"/>
          <w:w w:val="105"/>
        </w:rPr>
        <w:t> </w:t>
      </w:r>
      <w:r>
        <w:rPr>
          <w:w w:val="105"/>
        </w:rPr>
        <w:t>retention</w:t>
      </w:r>
      <w:r>
        <w:rPr>
          <w:spacing w:val="-6"/>
          <w:w w:val="105"/>
        </w:rPr>
        <w:t> </w:t>
      </w:r>
      <w:r>
        <w:rPr>
          <w:w w:val="105"/>
        </w:rPr>
        <w:t>of</w:t>
      </w:r>
      <w:r>
        <w:rPr>
          <w:spacing w:val="-6"/>
          <w:w w:val="105"/>
        </w:rPr>
        <w:t> </w:t>
      </w:r>
      <w:r>
        <w:rPr>
          <w:w w:val="105"/>
        </w:rPr>
        <w:t>the</w:t>
      </w:r>
      <w:r>
        <w:rPr>
          <w:spacing w:val="-6"/>
          <w:w w:val="105"/>
        </w:rPr>
        <w:t> </w:t>
      </w:r>
      <w:r>
        <w:rPr>
          <w:w w:val="105"/>
        </w:rPr>
        <w:t>award</w:t>
      </w:r>
      <w:r>
        <w:rPr>
          <w:spacing w:val="-6"/>
          <w:w w:val="105"/>
        </w:rPr>
        <w:t> </w:t>
      </w:r>
      <w:r>
        <w:rPr>
          <w:w w:val="105"/>
        </w:rPr>
        <w:t>is</w:t>
      </w:r>
      <w:r>
        <w:rPr>
          <w:spacing w:val="-5"/>
          <w:w w:val="105"/>
        </w:rPr>
        <w:t> </w:t>
      </w:r>
      <w:r>
        <w:rPr>
          <w:w w:val="105"/>
        </w:rPr>
        <w:t>no</w:t>
      </w:r>
      <w:r>
        <w:rPr>
          <w:spacing w:val="-6"/>
          <w:w w:val="105"/>
        </w:rPr>
        <w:t> </w:t>
      </w:r>
      <w:r>
        <w:rPr>
          <w:w w:val="105"/>
        </w:rPr>
        <w:t>longer</w:t>
      </w:r>
      <w:r>
        <w:rPr>
          <w:spacing w:val="-6"/>
          <w:w w:val="105"/>
        </w:rPr>
        <w:t> </w:t>
      </w:r>
      <w:r>
        <w:rPr>
          <w:w w:val="105"/>
        </w:rPr>
        <w:t>contingent</w:t>
      </w:r>
      <w:r>
        <w:rPr>
          <w:spacing w:val="-6"/>
          <w:w w:val="105"/>
        </w:rPr>
        <w:t> </w:t>
      </w:r>
      <w:r>
        <w:rPr>
          <w:w w:val="105"/>
        </w:rPr>
        <w:t>on</w:t>
      </w:r>
      <w:r>
        <w:rPr>
          <w:spacing w:val="-6"/>
          <w:w w:val="105"/>
        </w:rPr>
        <w:t> </w:t>
      </w:r>
      <w:r>
        <w:rPr>
          <w:w w:val="105"/>
        </w:rPr>
        <w:t>providing</w:t>
      </w:r>
      <w:r>
        <w:rPr>
          <w:spacing w:val="-6"/>
          <w:w w:val="105"/>
        </w:rPr>
        <w:t> </w:t>
      </w:r>
      <w:r>
        <w:rPr>
          <w:w w:val="105"/>
        </w:rPr>
        <w:t>subsequent</w:t>
      </w:r>
      <w:r>
        <w:rPr>
          <w:spacing w:val="-6"/>
          <w:w w:val="105"/>
        </w:rPr>
        <w:t> </w:t>
      </w:r>
      <w:r>
        <w:rPr>
          <w:w w:val="105"/>
        </w:rPr>
        <w:t>service (the “non-substantive vesting period approach”).</w:t>
      </w:r>
    </w:p>
    <w:p>
      <w:pPr>
        <w:pStyle w:val="BodyText"/>
        <w:spacing w:before="18"/>
      </w:pPr>
    </w:p>
    <w:p>
      <w:pPr>
        <w:pStyle w:val="BodyText"/>
        <w:spacing w:line="266" w:lineRule="auto"/>
        <w:ind w:left="156" w:right="328"/>
      </w:pPr>
      <w:r>
        <w:rPr>
          <w:w w:val="105"/>
        </w:rPr>
        <w:t>The</w:t>
      </w:r>
      <w:r>
        <w:rPr>
          <w:spacing w:val="-9"/>
          <w:w w:val="105"/>
        </w:rPr>
        <w:t> </w:t>
      </w:r>
      <w:r>
        <w:rPr>
          <w:w w:val="105"/>
        </w:rPr>
        <w:t>following</w:t>
      </w:r>
      <w:r>
        <w:rPr>
          <w:spacing w:val="-9"/>
          <w:w w:val="105"/>
        </w:rPr>
        <w:t> </w:t>
      </w:r>
      <w:r>
        <w:rPr>
          <w:w w:val="105"/>
        </w:rPr>
        <w:t>table</w:t>
      </w:r>
      <w:r>
        <w:rPr>
          <w:spacing w:val="-9"/>
          <w:w w:val="105"/>
        </w:rPr>
        <w:t> </w:t>
      </w:r>
      <w:r>
        <w:rPr>
          <w:w w:val="105"/>
        </w:rPr>
        <w:t>summarizes</w:t>
      </w:r>
      <w:r>
        <w:rPr>
          <w:spacing w:val="-9"/>
          <w:w w:val="105"/>
        </w:rPr>
        <w:t> </w:t>
      </w:r>
      <w:r>
        <w:rPr>
          <w:w w:val="105"/>
        </w:rPr>
        <w:t>information</w:t>
      </w:r>
      <w:r>
        <w:rPr>
          <w:spacing w:val="-9"/>
          <w:w w:val="105"/>
        </w:rPr>
        <w:t> </w:t>
      </w:r>
      <w:r>
        <w:rPr>
          <w:w w:val="105"/>
        </w:rPr>
        <w:t>concerning</w:t>
      </w:r>
      <w:r>
        <w:rPr>
          <w:spacing w:val="-9"/>
          <w:w w:val="105"/>
        </w:rPr>
        <w:t> </w:t>
      </w:r>
      <w:r>
        <w:rPr>
          <w:w w:val="105"/>
        </w:rPr>
        <w:t>stock</w:t>
      </w:r>
      <w:r>
        <w:rPr>
          <w:spacing w:val="-9"/>
          <w:w w:val="105"/>
        </w:rPr>
        <w:t> </w:t>
      </w:r>
      <w:r>
        <w:rPr>
          <w:w w:val="105"/>
        </w:rPr>
        <w:t>options</w:t>
      </w:r>
      <w:r>
        <w:rPr>
          <w:spacing w:val="-9"/>
          <w:w w:val="105"/>
        </w:rPr>
        <w:t> </w:t>
      </w:r>
      <w:r>
        <w:rPr>
          <w:w w:val="105"/>
        </w:rPr>
        <w:t>outstanding,</w:t>
      </w:r>
      <w:r>
        <w:rPr>
          <w:spacing w:val="-9"/>
          <w:w w:val="105"/>
        </w:rPr>
        <w:t> </w:t>
      </w:r>
      <w:r>
        <w:rPr>
          <w:w w:val="105"/>
        </w:rPr>
        <w:t>including</w:t>
      </w:r>
      <w:r>
        <w:rPr>
          <w:spacing w:val="-9"/>
          <w:w w:val="105"/>
        </w:rPr>
        <w:t> </w:t>
      </w:r>
      <w:r>
        <w:rPr>
          <w:w w:val="105"/>
        </w:rPr>
        <w:t>the</w:t>
      </w:r>
      <w:r>
        <w:rPr>
          <w:spacing w:val="-9"/>
          <w:w w:val="105"/>
        </w:rPr>
        <w:t> </w:t>
      </w:r>
      <w:r>
        <w:rPr>
          <w:w w:val="105"/>
        </w:rPr>
        <w:t>related</w:t>
      </w:r>
      <w:r>
        <w:rPr>
          <w:spacing w:val="-9"/>
          <w:w w:val="105"/>
        </w:rPr>
        <w:t> </w:t>
      </w:r>
      <w:r>
        <w:rPr>
          <w:w w:val="105"/>
        </w:rPr>
        <w:t>transactions</w:t>
      </w:r>
      <w:r>
        <w:rPr>
          <w:spacing w:val="-9"/>
          <w:w w:val="105"/>
        </w:rPr>
        <w:t> </w:t>
      </w:r>
      <w:r>
        <w:rPr>
          <w:w w:val="105"/>
        </w:rPr>
        <w:t>under</w:t>
      </w:r>
      <w:r>
        <w:rPr>
          <w:spacing w:val="-9"/>
          <w:w w:val="105"/>
        </w:rPr>
        <w:t> </w:t>
      </w:r>
      <w:r>
        <w:rPr>
          <w:w w:val="105"/>
        </w:rPr>
        <w:t>the</w:t>
      </w:r>
      <w:r>
        <w:rPr>
          <w:spacing w:val="-9"/>
          <w:w w:val="105"/>
        </w:rPr>
        <w:t> </w:t>
      </w:r>
      <w:r>
        <w:rPr>
          <w:w w:val="105"/>
        </w:rPr>
        <w:t>stock</w:t>
      </w:r>
      <w:r>
        <w:rPr>
          <w:spacing w:val="-9"/>
          <w:w w:val="105"/>
        </w:rPr>
        <w:t> </w:t>
      </w:r>
      <w:r>
        <w:rPr>
          <w:w w:val="105"/>
        </w:rPr>
        <w:t>option</w:t>
      </w:r>
      <w:r>
        <w:rPr>
          <w:spacing w:val="-9"/>
          <w:w w:val="105"/>
        </w:rPr>
        <w:t> </w:t>
      </w:r>
      <w:r>
        <w:rPr>
          <w:w w:val="105"/>
        </w:rPr>
        <w:t>plans</w:t>
      </w:r>
      <w:r>
        <w:rPr>
          <w:spacing w:val="-8"/>
          <w:w w:val="105"/>
        </w:rPr>
        <w:t> </w:t>
      </w:r>
      <w:r>
        <w:rPr>
          <w:w w:val="105"/>
        </w:rPr>
        <w:t>for</w:t>
      </w:r>
      <w:r>
        <w:rPr>
          <w:spacing w:val="-9"/>
          <w:w w:val="105"/>
        </w:rPr>
        <w:t> </w:t>
      </w:r>
      <w:r>
        <w:rPr>
          <w:w w:val="105"/>
        </w:rPr>
        <w:t>the</w:t>
      </w:r>
      <w:r>
        <w:rPr>
          <w:spacing w:val="-9"/>
          <w:w w:val="105"/>
        </w:rPr>
        <w:t> </w:t>
      </w:r>
      <w:r>
        <w:rPr>
          <w:w w:val="105"/>
        </w:rPr>
        <w:t>year</w:t>
      </w:r>
      <w:r>
        <w:rPr>
          <w:spacing w:val="-9"/>
          <w:w w:val="105"/>
        </w:rPr>
        <w:t> </w:t>
      </w:r>
      <w:r>
        <w:rPr>
          <w:w w:val="105"/>
        </w:rPr>
        <w:t>ended December 31, 2021:</w:t>
      </w:r>
    </w:p>
    <w:p>
      <w:pPr>
        <w:pStyle w:val="BodyText"/>
        <w:spacing w:before="8"/>
        <w:rPr>
          <w:sz w:val="1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9"/>
        <w:gridCol w:w="2312"/>
        <w:gridCol w:w="1715"/>
        <w:gridCol w:w="1710"/>
        <w:gridCol w:w="1720"/>
      </w:tblGrid>
      <w:tr>
        <w:trPr>
          <w:trHeight w:val="608" w:hRule="atLeast"/>
        </w:trPr>
        <w:tc>
          <w:tcPr>
            <w:tcW w:w="4059" w:type="dxa"/>
            <w:tcBorders>
              <w:top w:val="single" w:sz="12" w:space="0" w:color="000000"/>
              <w:bottom w:val="single" w:sz="6" w:space="0" w:color="000000"/>
            </w:tcBorders>
          </w:tcPr>
          <w:p>
            <w:pPr>
              <w:pStyle w:val="TableParagraph"/>
              <w:rPr>
                <w:sz w:val="16"/>
              </w:rPr>
            </w:pPr>
          </w:p>
        </w:tc>
        <w:tc>
          <w:tcPr>
            <w:tcW w:w="2312" w:type="dxa"/>
            <w:tcBorders>
              <w:top w:val="single" w:sz="12" w:space="0" w:color="000000"/>
              <w:bottom w:val="single" w:sz="6" w:space="0" w:color="000000"/>
            </w:tcBorders>
          </w:tcPr>
          <w:p>
            <w:pPr>
              <w:pStyle w:val="TableParagraph"/>
              <w:spacing w:before="4"/>
              <w:rPr>
                <w:sz w:val="16"/>
              </w:rPr>
            </w:pPr>
          </w:p>
          <w:p>
            <w:pPr>
              <w:pStyle w:val="TableParagraph"/>
              <w:spacing w:line="200" w:lineRule="atLeast"/>
              <w:ind w:left="1065" w:right="184" w:hanging="343"/>
              <w:rPr>
                <w:sz w:val="16"/>
              </w:rPr>
            </w:pPr>
            <w:r>
              <w:rPr>
                <w:w w:val="105"/>
                <w:sz w:val="16"/>
              </w:rPr>
              <w:t>Number</w:t>
            </w:r>
            <w:r>
              <w:rPr>
                <w:spacing w:val="-11"/>
                <w:w w:val="105"/>
                <w:sz w:val="16"/>
              </w:rPr>
              <w:t> </w:t>
            </w:r>
            <w:r>
              <w:rPr>
                <w:w w:val="105"/>
                <w:sz w:val="16"/>
              </w:rPr>
              <w:t>of</w:t>
            </w:r>
            <w:r>
              <w:rPr>
                <w:spacing w:val="-10"/>
                <w:w w:val="105"/>
                <w:sz w:val="16"/>
              </w:rPr>
              <w:t> </w:t>
            </w:r>
            <w:r>
              <w:rPr>
                <w:w w:val="105"/>
                <w:sz w:val="16"/>
              </w:rPr>
              <w:t>shares</w:t>
            </w:r>
            <w:r>
              <w:rPr>
                <w:spacing w:val="-11"/>
                <w:w w:val="105"/>
                <w:sz w:val="16"/>
              </w:rPr>
              <w:t> </w:t>
            </w:r>
            <w:r>
              <w:rPr>
                <w:w w:val="105"/>
                <w:sz w:val="16"/>
              </w:rPr>
              <w:t>(in </w:t>
            </w:r>
            <w:r>
              <w:rPr>
                <w:spacing w:val="-2"/>
                <w:w w:val="105"/>
                <w:sz w:val="16"/>
              </w:rPr>
              <w:t>thousands)</w:t>
            </w:r>
          </w:p>
        </w:tc>
        <w:tc>
          <w:tcPr>
            <w:tcW w:w="1715" w:type="dxa"/>
            <w:tcBorders>
              <w:top w:val="single" w:sz="12" w:space="0" w:color="000000"/>
              <w:bottom w:val="single" w:sz="6" w:space="0" w:color="000000"/>
            </w:tcBorders>
          </w:tcPr>
          <w:p>
            <w:pPr>
              <w:pStyle w:val="TableParagraph"/>
              <w:spacing w:before="4"/>
              <w:rPr>
                <w:sz w:val="16"/>
              </w:rPr>
            </w:pPr>
          </w:p>
          <w:p>
            <w:pPr>
              <w:pStyle w:val="TableParagraph"/>
              <w:spacing w:line="200" w:lineRule="atLeast"/>
              <w:ind w:left="380" w:right="265" w:hanging="150"/>
              <w:rPr>
                <w:sz w:val="16"/>
              </w:rPr>
            </w:pPr>
            <w:r>
              <w:rPr>
                <w:spacing w:val="-2"/>
                <w:w w:val="105"/>
                <w:sz w:val="16"/>
              </w:rPr>
              <w:t>Weighted-</w:t>
            </w:r>
            <w:r>
              <w:rPr>
                <w:spacing w:val="-2"/>
                <w:w w:val="105"/>
                <w:sz w:val="16"/>
              </w:rPr>
              <w:t>average</w:t>
            </w:r>
            <w:r>
              <w:rPr>
                <w:w w:val="105"/>
                <w:sz w:val="16"/>
              </w:rPr>
              <w:t> exercise</w:t>
            </w:r>
            <w:r>
              <w:rPr>
                <w:spacing w:val="-1"/>
                <w:w w:val="105"/>
                <w:sz w:val="16"/>
              </w:rPr>
              <w:t> </w:t>
            </w:r>
            <w:r>
              <w:rPr>
                <w:w w:val="105"/>
                <w:sz w:val="16"/>
              </w:rPr>
              <w:t>price</w:t>
            </w:r>
          </w:p>
        </w:tc>
        <w:tc>
          <w:tcPr>
            <w:tcW w:w="1710" w:type="dxa"/>
            <w:tcBorders>
              <w:top w:val="single" w:sz="12" w:space="0" w:color="000000"/>
              <w:bottom w:val="single" w:sz="6" w:space="0" w:color="000000"/>
            </w:tcBorders>
          </w:tcPr>
          <w:p>
            <w:pPr>
              <w:pStyle w:val="TableParagraph"/>
              <w:spacing w:line="266" w:lineRule="auto" w:before="1"/>
              <w:ind w:left="124" w:right="131" w:hanging="3"/>
              <w:jc w:val="center"/>
              <w:rPr>
                <w:sz w:val="16"/>
              </w:rPr>
            </w:pPr>
            <w:r>
              <w:rPr>
                <w:spacing w:val="-2"/>
                <w:w w:val="105"/>
                <w:sz w:val="16"/>
              </w:rPr>
              <w:t>Weighted-average</w:t>
            </w:r>
            <w:r>
              <w:rPr>
                <w:spacing w:val="40"/>
                <w:w w:val="105"/>
                <w:sz w:val="16"/>
              </w:rPr>
              <w:t> </w:t>
            </w:r>
            <w:r>
              <w:rPr>
                <w:spacing w:val="-2"/>
                <w:w w:val="105"/>
                <w:sz w:val="16"/>
              </w:rPr>
              <w:t>remaining</w:t>
            </w:r>
            <w:r>
              <w:rPr>
                <w:spacing w:val="-9"/>
                <w:w w:val="105"/>
                <w:sz w:val="16"/>
              </w:rPr>
              <w:t> </w:t>
            </w:r>
            <w:r>
              <w:rPr>
                <w:spacing w:val="-2"/>
                <w:w w:val="105"/>
                <w:sz w:val="16"/>
              </w:rPr>
              <w:t>contractual</w:t>
            </w:r>
          </w:p>
          <w:p>
            <w:pPr>
              <w:pStyle w:val="TableParagraph"/>
              <w:spacing w:line="178" w:lineRule="exact"/>
              <w:ind w:right="9"/>
              <w:jc w:val="center"/>
              <w:rPr>
                <w:sz w:val="16"/>
              </w:rPr>
            </w:pPr>
            <w:r>
              <w:rPr>
                <w:w w:val="105"/>
                <w:sz w:val="16"/>
              </w:rPr>
              <w:t>term</w:t>
            </w:r>
            <w:r>
              <w:rPr>
                <w:spacing w:val="-6"/>
                <w:w w:val="105"/>
                <w:sz w:val="16"/>
              </w:rPr>
              <w:t> </w:t>
            </w:r>
            <w:r>
              <w:rPr>
                <w:w w:val="105"/>
                <w:sz w:val="16"/>
              </w:rPr>
              <w:t>in</w:t>
            </w:r>
            <w:r>
              <w:rPr>
                <w:spacing w:val="-5"/>
                <w:w w:val="105"/>
                <w:sz w:val="16"/>
              </w:rPr>
              <w:t> </w:t>
            </w:r>
            <w:r>
              <w:rPr>
                <w:spacing w:val="-4"/>
                <w:w w:val="105"/>
                <w:sz w:val="16"/>
              </w:rPr>
              <w:t>years</w:t>
            </w:r>
          </w:p>
        </w:tc>
        <w:tc>
          <w:tcPr>
            <w:tcW w:w="1720" w:type="dxa"/>
            <w:tcBorders>
              <w:top w:val="single" w:sz="12" w:space="0" w:color="000000"/>
              <w:bottom w:val="single" w:sz="6" w:space="0" w:color="000000"/>
            </w:tcBorders>
          </w:tcPr>
          <w:p>
            <w:pPr>
              <w:pStyle w:val="TableParagraph"/>
              <w:spacing w:before="4"/>
              <w:rPr>
                <w:sz w:val="16"/>
              </w:rPr>
            </w:pPr>
          </w:p>
          <w:p>
            <w:pPr>
              <w:pStyle w:val="TableParagraph"/>
              <w:spacing w:line="200" w:lineRule="atLeast"/>
              <w:ind w:left="187" w:right="183" w:firstLine="34"/>
              <w:rPr>
                <w:sz w:val="16"/>
              </w:rPr>
            </w:pPr>
            <w:r>
              <w:rPr>
                <w:w w:val="105"/>
                <w:sz w:val="16"/>
              </w:rPr>
              <w:t>Aggregate</w:t>
            </w:r>
            <w:r>
              <w:rPr>
                <w:spacing w:val="-11"/>
                <w:w w:val="105"/>
                <w:sz w:val="16"/>
              </w:rPr>
              <w:t> </w:t>
            </w:r>
            <w:r>
              <w:rPr>
                <w:w w:val="105"/>
                <w:sz w:val="16"/>
              </w:rPr>
              <w:t>intrinsic value</w:t>
            </w:r>
            <w:r>
              <w:rPr>
                <w:spacing w:val="-7"/>
                <w:w w:val="105"/>
                <w:sz w:val="16"/>
              </w:rPr>
              <w:t> </w:t>
            </w:r>
            <w:r>
              <w:rPr>
                <w:w w:val="105"/>
                <w:sz w:val="16"/>
              </w:rPr>
              <w:t>(in</w:t>
            </w:r>
            <w:r>
              <w:rPr>
                <w:spacing w:val="-6"/>
                <w:w w:val="105"/>
                <w:sz w:val="16"/>
              </w:rPr>
              <w:t> </w:t>
            </w:r>
            <w:r>
              <w:rPr>
                <w:spacing w:val="-2"/>
                <w:w w:val="105"/>
                <w:sz w:val="16"/>
              </w:rPr>
              <w:t>thousands)</w:t>
            </w:r>
          </w:p>
        </w:tc>
      </w:tr>
      <w:tr>
        <w:trPr>
          <w:trHeight w:val="202" w:hRule="atLeast"/>
        </w:trPr>
        <w:tc>
          <w:tcPr>
            <w:tcW w:w="4059" w:type="dxa"/>
            <w:tcBorders>
              <w:top w:val="single" w:sz="6" w:space="0" w:color="000000"/>
            </w:tcBorders>
            <w:shd w:val="clear" w:color="auto" w:fill="CCEDFF"/>
          </w:tcPr>
          <w:p>
            <w:pPr>
              <w:pStyle w:val="TableParagraph"/>
              <w:spacing w:line="180" w:lineRule="exact" w:before="2"/>
              <w:rPr>
                <w:sz w:val="16"/>
              </w:rPr>
            </w:pPr>
            <w:r>
              <w:rPr>
                <w:w w:val="105"/>
                <w:sz w:val="16"/>
              </w:rPr>
              <w:t>Options</w:t>
            </w:r>
            <w:r>
              <w:rPr>
                <w:spacing w:val="-11"/>
                <w:w w:val="105"/>
                <w:sz w:val="16"/>
              </w:rPr>
              <w:t> </w:t>
            </w:r>
            <w:r>
              <w:rPr>
                <w:w w:val="105"/>
                <w:sz w:val="16"/>
              </w:rPr>
              <w:t>Outstanding</w:t>
            </w:r>
            <w:r>
              <w:rPr>
                <w:spacing w:val="-10"/>
                <w:w w:val="105"/>
                <w:sz w:val="16"/>
              </w:rPr>
              <w:t> </w:t>
            </w:r>
            <w:r>
              <w:rPr>
                <w:w w:val="105"/>
                <w:sz w:val="16"/>
              </w:rPr>
              <w:t>as</w:t>
            </w:r>
            <w:r>
              <w:rPr>
                <w:spacing w:val="-10"/>
                <w:w w:val="105"/>
                <w:sz w:val="16"/>
              </w:rPr>
              <w:t> </w:t>
            </w:r>
            <w:r>
              <w:rPr>
                <w:w w:val="105"/>
                <w:sz w:val="16"/>
              </w:rPr>
              <w:t>of</w:t>
            </w:r>
            <w:r>
              <w:rPr>
                <w:spacing w:val="-10"/>
                <w:w w:val="105"/>
                <w:sz w:val="16"/>
              </w:rPr>
              <w:t> </w:t>
            </w:r>
            <w:r>
              <w:rPr>
                <w:w w:val="105"/>
                <w:sz w:val="16"/>
              </w:rPr>
              <w:t>December</w:t>
            </w:r>
            <w:r>
              <w:rPr>
                <w:spacing w:val="-11"/>
                <w:w w:val="105"/>
                <w:sz w:val="16"/>
              </w:rPr>
              <w:t> </w:t>
            </w:r>
            <w:r>
              <w:rPr>
                <w:w w:val="105"/>
                <w:sz w:val="16"/>
              </w:rPr>
              <w:t>31,</w:t>
            </w:r>
            <w:r>
              <w:rPr>
                <w:spacing w:val="-10"/>
                <w:w w:val="105"/>
                <w:sz w:val="16"/>
              </w:rPr>
              <w:t> </w:t>
            </w:r>
            <w:r>
              <w:rPr>
                <w:spacing w:val="-4"/>
                <w:w w:val="105"/>
                <w:sz w:val="16"/>
              </w:rPr>
              <w:t>2020</w:t>
            </w:r>
          </w:p>
        </w:tc>
        <w:tc>
          <w:tcPr>
            <w:tcW w:w="2312" w:type="dxa"/>
            <w:tcBorders>
              <w:top w:val="single" w:sz="6" w:space="0" w:color="000000"/>
            </w:tcBorders>
            <w:shd w:val="clear" w:color="auto" w:fill="CCEDFF"/>
          </w:tcPr>
          <w:p>
            <w:pPr>
              <w:pStyle w:val="TableParagraph"/>
              <w:spacing w:line="180" w:lineRule="exact" w:before="2"/>
              <w:ind w:right="139"/>
              <w:jc w:val="right"/>
              <w:rPr>
                <w:sz w:val="16"/>
              </w:rPr>
            </w:pPr>
            <w:r>
              <w:rPr>
                <w:spacing w:val="-2"/>
                <w:w w:val="105"/>
                <w:sz w:val="16"/>
              </w:rPr>
              <w:t>17,095</w:t>
            </w:r>
          </w:p>
        </w:tc>
        <w:tc>
          <w:tcPr>
            <w:tcW w:w="1715" w:type="dxa"/>
            <w:tcBorders>
              <w:top w:val="single" w:sz="6" w:space="0" w:color="000000"/>
            </w:tcBorders>
            <w:shd w:val="clear" w:color="auto" w:fill="CCEDFF"/>
          </w:tcPr>
          <w:p>
            <w:pPr>
              <w:pStyle w:val="TableParagraph"/>
              <w:tabs>
                <w:tab w:pos="1130" w:val="left" w:leader="none"/>
              </w:tabs>
              <w:spacing w:line="180" w:lineRule="exact" w:before="2"/>
              <w:ind w:right="122"/>
              <w:jc w:val="right"/>
              <w:rPr>
                <w:sz w:val="16"/>
              </w:rPr>
            </w:pPr>
            <w:r>
              <w:rPr>
                <w:spacing w:val="-10"/>
                <w:w w:val="105"/>
                <w:sz w:val="16"/>
              </w:rPr>
              <w:t>$</w:t>
            </w:r>
            <w:r>
              <w:rPr>
                <w:sz w:val="16"/>
              </w:rPr>
              <w:tab/>
            </w:r>
            <w:r>
              <w:rPr>
                <w:spacing w:val="-4"/>
                <w:w w:val="105"/>
                <w:sz w:val="16"/>
              </w:rPr>
              <w:t>21.60</w:t>
            </w:r>
          </w:p>
        </w:tc>
        <w:tc>
          <w:tcPr>
            <w:tcW w:w="1710" w:type="dxa"/>
            <w:tcBorders>
              <w:top w:val="single" w:sz="6" w:space="0" w:color="000000"/>
            </w:tcBorders>
            <w:shd w:val="clear" w:color="auto" w:fill="CCEDFF"/>
          </w:tcPr>
          <w:p>
            <w:pPr>
              <w:pStyle w:val="TableParagraph"/>
              <w:rPr>
                <w:sz w:val="14"/>
              </w:rPr>
            </w:pPr>
          </w:p>
        </w:tc>
        <w:tc>
          <w:tcPr>
            <w:tcW w:w="1720" w:type="dxa"/>
            <w:tcBorders>
              <w:top w:val="single" w:sz="6" w:space="0" w:color="000000"/>
            </w:tcBorders>
            <w:shd w:val="clear" w:color="auto" w:fill="CCEDFF"/>
          </w:tcPr>
          <w:p>
            <w:pPr>
              <w:pStyle w:val="TableParagraph"/>
              <w:rPr>
                <w:sz w:val="14"/>
              </w:rPr>
            </w:pPr>
          </w:p>
        </w:tc>
      </w:tr>
      <w:tr>
        <w:trPr>
          <w:trHeight w:val="203" w:hRule="atLeast"/>
        </w:trPr>
        <w:tc>
          <w:tcPr>
            <w:tcW w:w="4059" w:type="dxa"/>
          </w:tcPr>
          <w:p>
            <w:pPr>
              <w:pStyle w:val="TableParagraph"/>
              <w:spacing w:line="180" w:lineRule="exact" w:before="3"/>
              <w:ind w:left="152"/>
              <w:rPr>
                <w:sz w:val="16"/>
              </w:rPr>
            </w:pPr>
            <w:r>
              <w:rPr>
                <w:spacing w:val="-2"/>
                <w:w w:val="105"/>
                <w:sz w:val="16"/>
              </w:rPr>
              <w:t>Exercised</w:t>
            </w:r>
          </w:p>
        </w:tc>
        <w:tc>
          <w:tcPr>
            <w:tcW w:w="2312" w:type="dxa"/>
          </w:tcPr>
          <w:p>
            <w:pPr>
              <w:pStyle w:val="TableParagraph"/>
              <w:spacing w:line="180" w:lineRule="exact" w:before="3"/>
              <w:ind w:right="84"/>
              <w:jc w:val="right"/>
              <w:rPr>
                <w:sz w:val="16"/>
              </w:rPr>
            </w:pPr>
            <w:r>
              <w:rPr>
                <w:spacing w:val="-2"/>
                <w:w w:val="105"/>
                <w:sz w:val="16"/>
              </w:rPr>
              <w:t>(4,818)</w:t>
            </w:r>
          </w:p>
        </w:tc>
        <w:tc>
          <w:tcPr>
            <w:tcW w:w="1715" w:type="dxa"/>
          </w:tcPr>
          <w:p>
            <w:pPr>
              <w:pStyle w:val="TableParagraph"/>
              <w:spacing w:line="180" w:lineRule="exact" w:before="3"/>
              <w:ind w:right="122"/>
              <w:jc w:val="right"/>
              <w:rPr>
                <w:sz w:val="16"/>
              </w:rPr>
            </w:pPr>
            <w:r>
              <w:rPr>
                <w:spacing w:val="-4"/>
                <w:w w:val="105"/>
                <w:sz w:val="16"/>
              </w:rPr>
              <w:t>19.85</w:t>
            </w:r>
          </w:p>
        </w:tc>
        <w:tc>
          <w:tcPr>
            <w:tcW w:w="1710" w:type="dxa"/>
          </w:tcPr>
          <w:p>
            <w:pPr>
              <w:pStyle w:val="TableParagraph"/>
              <w:rPr>
                <w:sz w:val="14"/>
              </w:rPr>
            </w:pPr>
          </w:p>
        </w:tc>
        <w:tc>
          <w:tcPr>
            <w:tcW w:w="1720" w:type="dxa"/>
          </w:tcPr>
          <w:p>
            <w:pPr>
              <w:pStyle w:val="TableParagraph"/>
              <w:rPr>
                <w:sz w:val="14"/>
              </w:rPr>
            </w:pPr>
          </w:p>
        </w:tc>
      </w:tr>
      <w:tr>
        <w:trPr>
          <w:trHeight w:val="202" w:hRule="atLeast"/>
        </w:trPr>
        <w:tc>
          <w:tcPr>
            <w:tcW w:w="4059" w:type="dxa"/>
            <w:tcBorders>
              <w:bottom w:val="single" w:sz="6" w:space="0" w:color="000000"/>
            </w:tcBorders>
            <w:shd w:val="clear" w:color="auto" w:fill="CCEDFF"/>
          </w:tcPr>
          <w:p>
            <w:pPr>
              <w:pStyle w:val="TableParagraph"/>
              <w:spacing w:line="179" w:lineRule="exact" w:before="3"/>
              <w:ind w:left="152"/>
              <w:rPr>
                <w:sz w:val="16"/>
              </w:rPr>
            </w:pPr>
            <w:r>
              <w:rPr>
                <w:w w:val="105"/>
                <w:sz w:val="16"/>
              </w:rPr>
              <w:t>Forfeited</w:t>
            </w:r>
            <w:r>
              <w:rPr>
                <w:spacing w:val="-10"/>
                <w:w w:val="105"/>
                <w:sz w:val="16"/>
              </w:rPr>
              <w:t> </w:t>
            </w:r>
            <w:r>
              <w:rPr>
                <w:w w:val="105"/>
                <w:sz w:val="16"/>
              </w:rPr>
              <w:t>and</w:t>
            </w:r>
            <w:r>
              <w:rPr>
                <w:spacing w:val="-9"/>
                <w:w w:val="105"/>
                <w:sz w:val="16"/>
              </w:rPr>
              <w:t> </w:t>
            </w:r>
            <w:r>
              <w:rPr>
                <w:spacing w:val="-2"/>
                <w:w w:val="105"/>
                <w:sz w:val="16"/>
              </w:rPr>
              <w:t>expired</w:t>
            </w:r>
          </w:p>
        </w:tc>
        <w:tc>
          <w:tcPr>
            <w:tcW w:w="2312" w:type="dxa"/>
            <w:tcBorders>
              <w:bottom w:val="single" w:sz="6" w:space="0" w:color="000000"/>
            </w:tcBorders>
            <w:shd w:val="clear" w:color="auto" w:fill="CCEDFF"/>
          </w:tcPr>
          <w:p>
            <w:pPr>
              <w:pStyle w:val="TableParagraph"/>
              <w:spacing w:line="179" w:lineRule="exact" w:before="3"/>
              <w:ind w:right="84"/>
              <w:jc w:val="right"/>
              <w:rPr>
                <w:sz w:val="16"/>
              </w:rPr>
            </w:pPr>
            <w:r>
              <w:rPr>
                <w:spacing w:val="-2"/>
                <w:w w:val="105"/>
                <w:sz w:val="16"/>
              </w:rPr>
              <w:t>(373)</w:t>
            </w:r>
          </w:p>
        </w:tc>
        <w:tc>
          <w:tcPr>
            <w:tcW w:w="1715" w:type="dxa"/>
            <w:tcBorders>
              <w:bottom w:val="single" w:sz="6" w:space="0" w:color="000000"/>
            </w:tcBorders>
            <w:shd w:val="clear" w:color="auto" w:fill="CCEDFF"/>
          </w:tcPr>
          <w:p>
            <w:pPr>
              <w:pStyle w:val="TableParagraph"/>
              <w:spacing w:line="179" w:lineRule="exact" w:before="3"/>
              <w:ind w:right="122"/>
              <w:jc w:val="right"/>
              <w:rPr>
                <w:sz w:val="16"/>
              </w:rPr>
            </w:pPr>
            <w:r>
              <w:rPr>
                <w:spacing w:val="-4"/>
                <w:w w:val="105"/>
                <w:sz w:val="16"/>
              </w:rPr>
              <w:t>21.40</w:t>
            </w:r>
          </w:p>
        </w:tc>
        <w:tc>
          <w:tcPr>
            <w:tcW w:w="1710" w:type="dxa"/>
            <w:tcBorders>
              <w:bottom w:val="single" w:sz="6" w:space="0" w:color="000000"/>
            </w:tcBorders>
            <w:shd w:val="clear" w:color="auto" w:fill="CCEDFF"/>
          </w:tcPr>
          <w:p>
            <w:pPr>
              <w:pStyle w:val="TableParagraph"/>
              <w:rPr>
                <w:sz w:val="14"/>
              </w:rPr>
            </w:pPr>
          </w:p>
        </w:tc>
        <w:tc>
          <w:tcPr>
            <w:tcW w:w="1720" w:type="dxa"/>
            <w:tcBorders>
              <w:bottom w:val="single" w:sz="6" w:space="0" w:color="000000"/>
            </w:tcBorders>
            <w:shd w:val="clear" w:color="auto" w:fill="CCEDFF"/>
          </w:tcPr>
          <w:p>
            <w:pPr>
              <w:pStyle w:val="TableParagraph"/>
              <w:rPr>
                <w:sz w:val="14"/>
              </w:rPr>
            </w:pPr>
          </w:p>
        </w:tc>
      </w:tr>
      <w:tr>
        <w:trPr>
          <w:trHeight w:val="202" w:hRule="atLeast"/>
        </w:trPr>
        <w:tc>
          <w:tcPr>
            <w:tcW w:w="4059" w:type="dxa"/>
            <w:tcBorders>
              <w:top w:val="single" w:sz="6" w:space="0" w:color="000000"/>
            </w:tcBorders>
          </w:tcPr>
          <w:p>
            <w:pPr>
              <w:pStyle w:val="TableParagraph"/>
              <w:spacing w:line="180" w:lineRule="exact" w:before="2"/>
              <w:rPr>
                <w:sz w:val="16"/>
              </w:rPr>
            </w:pPr>
            <w:r>
              <w:rPr>
                <w:w w:val="105"/>
                <w:sz w:val="16"/>
              </w:rPr>
              <w:t>Options</w:t>
            </w:r>
            <w:r>
              <w:rPr>
                <w:spacing w:val="-11"/>
                <w:w w:val="105"/>
                <w:sz w:val="16"/>
              </w:rPr>
              <w:t> </w:t>
            </w:r>
            <w:r>
              <w:rPr>
                <w:w w:val="105"/>
                <w:sz w:val="16"/>
              </w:rPr>
              <w:t>outstanding</w:t>
            </w:r>
            <w:r>
              <w:rPr>
                <w:spacing w:val="-10"/>
                <w:w w:val="105"/>
                <w:sz w:val="16"/>
              </w:rPr>
              <w:t> </w:t>
            </w:r>
            <w:r>
              <w:rPr>
                <w:w w:val="105"/>
                <w:sz w:val="16"/>
              </w:rPr>
              <w:t>as</w:t>
            </w:r>
            <w:r>
              <w:rPr>
                <w:spacing w:val="-10"/>
                <w:w w:val="105"/>
                <w:sz w:val="16"/>
              </w:rPr>
              <w:t> </w:t>
            </w:r>
            <w:r>
              <w:rPr>
                <w:w w:val="105"/>
                <w:sz w:val="16"/>
              </w:rPr>
              <w:t>of</w:t>
            </w:r>
            <w:r>
              <w:rPr>
                <w:spacing w:val="-10"/>
                <w:w w:val="105"/>
                <w:sz w:val="16"/>
              </w:rPr>
              <w:t> </w:t>
            </w:r>
            <w:r>
              <w:rPr>
                <w:w w:val="105"/>
                <w:sz w:val="16"/>
              </w:rPr>
              <w:t>December</w:t>
            </w:r>
            <w:r>
              <w:rPr>
                <w:spacing w:val="-10"/>
                <w:w w:val="105"/>
                <w:sz w:val="16"/>
              </w:rPr>
              <w:t> </w:t>
            </w:r>
            <w:r>
              <w:rPr>
                <w:w w:val="105"/>
                <w:sz w:val="16"/>
              </w:rPr>
              <w:t>31,</w:t>
            </w:r>
            <w:r>
              <w:rPr>
                <w:spacing w:val="-10"/>
                <w:w w:val="105"/>
                <w:sz w:val="16"/>
              </w:rPr>
              <w:t> </w:t>
            </w:r>
            <w:r>
              <w:rPr>
                <w:spacing w:val="-4"/>
                <w:w w:val="105"/>
                <w:sz w:val="16"/>
              </w:rPr>
              <w:t>2021</w:t>
            </w:r>
          </w:p>
        </w:tc>
        <w:tc>
          <w:tcPr>
            <w:tcW w:w="2312" w:type="dxa"/>
            <w:tcBorders>
              <w:top w:val="single" w:sz="6" w:space="0" w:color="000000"/>
            </w:tcBorders>
          </w:tcPr>
          <w:p>
            <w:pPr>
              <w:pStyle w:val="TableParagraph"/>
              <w:spacing w:line="180" w:lineRule="exact" w:before="2"/>
              <w:ind w:right="139"/>
              <w:jc w:val="right"/>
              <w:rPr>
                <w:sz w:val="16"/>
              </w:rPr>
            </w:pPr>
            <w:r>
              <w:rPr>
                <w:spacing w:val="-2"/>
                <w:w w:val="105"/>
                <w:sz w:val="16"/>
              </w:rPr>
              <w:t>11,904</w:t>
            </w:r>
          </w:p>
        </w:tc>
        <w:tc>
          <w:tcPr>
            <w:tcW w:w="1715" w:type="dxa"/>
            <w:tcBorders>
              <w:top w:val="single" w:sz="6" w:space="0" w:color="000000"/>
            </w:tcBorders>
          </w:tcPr>
          <w:p>
            <w:pPr>
              <w:pStyle w:val="TableParagraph"/>
              <w:spacing w:line="180" w:lineRule="exact" w:before="2"/>
              <w:ind w:right="122"/>
              <w:jc w:val="right"/>
              <w:rPr>
                <w:sz w:val="16"/>
              </w:rPr>
            </w:pPr>
            <w:r>
              <w:rPr>
                <w:spacing w:val="-4"/>
                <w:w w:val="105"/>
                <w:sz w:val="16"/>
              </w:rPr>
              <w:t>22.31</w:t>
            </w:r>
          </w:p>
        </w:tc>
        <w:tc>
          <w:tcPr>
            <w:tcW w:w="1710" w:type="dxa"/>
            <w:tcBorders>
              <w:top w:val="single" w:sz="6" w:space="0" w:color="000000"/>
            </w:tcBorders>
          </w:tcPr>
          <w:p>
            <w:pPr>
              <w:pStyle w:val="TableParagraph"/>
              <w:spacing w:line="180" w:lineRule="exact" w:before="2"/>
              <w:ind w:right="112"/>
              <w:jc w:val="right"/>
              <w:rPr>
                <w:sz w:val="16"/>
              </w:rPr>
            </w:pPr>
            <w:r>
              <w:rPr>
                <w:spacing w:val="-4"/>
                <w:w w:val="105"/>
                <w:sz w:val="16"/>
              </w:rPr>
              <w:t>6.59</w:t>
            </w:r>
          </w:p>
        </w:tc>
        <w:tc>
          <w:tcPr>
            <w:tcW w:w="1720" w:type="dxa"/>
            <w:tcBorders>
              <w:top w:val="single" w:sz="6" w:space="0" w:color="000000"/>
            </w:tcBorders>
          </w:tcPr>
          <w:p>
            <w:pPr>
              <w:pStyle w:val="TableParagraph"/>
              <w:tabs>
                <w:tab w:pos="952" w:val="left" w:leader="none"/>
              </w:tabs>
              <w:spacing w:line="180" w:lineRule="exact" w:before="2"/>
              <w:ind w:right="113"/>
              <w:jc w:val="right"/>
              <w:rPr>
                <w:sz w:val="16"/>
              </w:rPr>
            </w:pPr>
            <w:r>
              <w:rPr>
                <w:spacing w:val="-10"/>
                <w:w w:val="105"/>
                <w:sz w:val="16"/>
              </w:rPr>
              <w:t>$</w:t>
            </w:r>
            <w:r>
              <w:rPr>
                <w:sz w:val="16"/>
              </w:rPr>
              <w:tab/>
            </w:r>
            <w:r>
              <w:rPr>
                <w:spacing w:val="-2"/>
                <w:w w:val="105"/>
                <w:sz w:val="16"/>
              </w:rPr>
              <w:t>177,634</w:t>
            </w:r>
          </w:p>
        </w:tc>
      </w:tr>
      <w:tr>
        <w:trPr>
          <w:trHeight w:val="203" w:hRule="atLeast"/>
        </w:trPr>
        <w:tc>
          <w:tcPr>
            <w:tcW w:w="4059" w:type="dxa"/>
            <w:shd w:val="clear" w:color="auto" w:fill="CCEDFF"/>
          </w:tcPr>
          <w:p>
            <w:pPr>
              <w:pStyle w:val="TableParagraph"/>
              <w:spacing w:line="180" w:lineRule="exact" w:before="3"/>
              <w:rPr>
                <w:sz w:val="16"/>
              </w:rPr>
            </w:pPr>
            <w:r>
              <w:rPr>
                <w:w w:val="105"/>
                <w:sz w:val="16"/>
              </w:rPr>
              <w:t>Options</w:t>
            </w:r>
            <w:r>
              <w:rPr>
                <w:spacing w:val="-9"/>
                <w:w w:val="105"/>
                <w:sz w:val="16"/>
              </w:rPr>
              <w:t> </w:t>
            </w:r>
            <w:r>
              <w:rPr>
                <w:w w:val="105"/>
                <w:sz w:val="16"/>
              </w:rPr>
              <w:t>expected</w:t>
            </w:r>
            <w:r>
              <w:rPr>
                <w:spacing w:val="-8"/>
                <w:w w:val="105"/>
                <w:sz w:val="16"/>
              </w:rPr>
              <w:t> </w:t>
            </w:r>
            <w:r>
              <w:rPr>
                <w:w w:val="105"/>
                <w:sz w:val="16"/>
              </w:rPr>
              <w:t>to</w:t>
            </w:r>
            <w:r>
              <w:rPr>
                <w:spacing w:val="-8"/>
                <w:w w:val="105"/>
                <w:sz w:val="16"/>
              </w:rPr>
              <w:t> </w:t>
            </w:r>
            <w:r>
              <w:rPr>
                <w:w w:val="105"/>
                <w:sz w:val="16"/>
              </w:rPr>
              <w:t>vest</w:t>
            </w:r>
            <w:r>
              <w:rPr>
                <w:spacing w:val="-8"/>
                <w:w w:val="105"/>
                <w:sz w:val="16"/>
              </w:rPr>
              <w:t> </w:t>
            </w:r>
            <w:r>
              <w:rPr>
                <w:w w:val="105"/>
                <w:sz w:val="16"/>
              </w:rPr>
              <w:t>as</w:t>
            </w:r>
            <w:r>
              <w:rPr>
                <w:spacing w:val="-8"/>
                <w:w w:val="105"/>
                <w:sz w:val="16"/>
              </w:rPr>
              <w:t> </w:t>
            </w:r>
            <w:r>
              <w:rPr>
                <w:w w:val="105"/>
                <w:sz w:val="16"/>
              </w:rPr>
              <w:t>of</w:t>
            </w:r>
            <w:r>
              <w:rPr>
                <w:spacing w:val="-8"/>
                <w:w w:val="105"/>
                <w:sz w:val="16"/>
              </w:rPr>
              <w:t> </w:t>
            </w:r>
            <w:r>
              <w:rPr>
                <w:w w:val="105"/>
                <w:sz w:val="16"/>
              </w:rPr>
              <w:t>December</w:t>
            </w:r>
            <w:r>
              <w:rPr>
                <w:spacing w:val="-8"/>
                <w:w w:val="105"/>
                <w:sz w:val="16"/>
              </w:rPr>
              <w:t> </w:t>
            </w:r>
            <w:r>
              <w:rPr>
                <w:w w:val="105"/>
                <w:sz w:val="16"/>
              </w:rPr>
              <w:t>31,</w:t>
            </w:r>
            <w:r>
              <w:rPr>
                <w:spacing w:val="-8"/>
                <w:w w:val="105"/>
                <w:sz w:val="16"/>
              </w:rPr>
              <w:t> </w:t>
            </w:r>
            <w:r>
              <w:rPr>
                <w:spacing w:val="-4"/>
                <w:w w:val="105"/>
                <w:sz w:val="16"/>
              </w:rPr>
              <w:t>2021</w:t>
            </w:r>
          </w:p>
        </w:tc>
        <w:tc>
          <w:tcPr>
            <w:tcW w:w="2312" w:type="dxa"/>
            <w:shd w:val="clear" w:color="auto" w:fill="CCEDFF"/>
          </w:tcPr>
          <w:p>
            <w:pPr>
              <w:pStyle w:val="TableParagraph"/>
              <w:spacing w:line="180" w:lineRule="exact" w:before="3"/>
              <w:ind w:right="139"/>
              <w:jc w:val="right"/>
              <w:rPr>
                <w:sz w:val="16"/>
              </w:rPr>
            </w:pPr>
            <w:r>
              <w:rPr>
                <w:spacing w:val="-2"/>
                <w:w w:val="105"/>
                <w:sz w:val="16"/>
              </w:rPr>
              <w:t>11,830</w:t>
            </w:r>
          </w:p>
        </w:tc>
        <w:tc>
          <w:tcPr>
            <w:tcW w:w="1715" w:type="dxa"/>
            <w:shd w:val="clear" w:color="auto" w:fill="CCEDFF"/>
          </w:tcPr>
          <w:p>
            <w:pPr>
              <w:pStyle w:val="TableParagraph"/>
              <w:spacing w:line="180" w:lineRule="exact" w:before="3"/>
              <w:ind w:right="122"/>
              <w:jc w:val="right"/>
              <w:rPr>
                <w:sz w:val="16"/>
              </w:rPr>
            </w:pPr>
            <w:r>
              <w:rPr>
                <w:spacing w:val="-4"/>
                <w:w w:val="105"/>
                <w:sz w:val="16"/>
              </w:rPr>
              <w:t>22.32</w:t>
            </w:r>
          </w:p>
        </w:tc>
        <w:tc>
          <w:tcPr>
            <w:tcW w:w="1710" w:type="dxa"/>
            <w:shd w:val="clear" w:color="auto" w:fill="CCEDFF"/>
          </w:tcPr>
          <w:p>
            <w:pPr>
              <w:pStyle w:val="TableParagraph"/>
              <w:spacing w:line="180" w:lineRule="exact" w:before="3"/>
              <w:ind w:right="112"/>
              <w:jc w:val="right"/>
              <w:rPr>
                <w:sz w:val="16"/>
              </w:rPr>
            </w:pPr>
            <w:r>
              <w:rPr>
                <w:spacing w:val="-4"/>
                <w:w w:val="105"/>
                <w:sz w:val="16"/>
              </w:rPr>
              <w:t>6.57</w:t>
            </w:r>
          </w:p>
        </w:tc>
        <w:tc>
          <w:tcPr>
            <w:tcW w:w="1720" w:type="dxa"/>
            <w:shd w:val="clear" w:color="auto" w:fill="CCEDFF"/>
          </w:tcPr>
          <w:p>
            <w:pPr>
              <w:pStyle w:val="TableParagraph"/>
              <w:spacing w:line="180" w:lineRule="exact" w:before="3"/>
              <w:ind w:right="113"/>
              <w:jc w:val="right"/>
              <w:rPr>
                <w:sz w:val="16"/>
              </w:rPr>
            </w:pPr>
            <w:r>
              <w:rPr>
                <w:spacing w:val="-2"/>
                <w:w w:val="105"/>
                <w:sz w:val="16"/>
              </w:rPr>
              <w:t>176,328</w:t>
            </w:r>
          </w:p>
        </w:tc>
      </w:tr>
      <w:tr>
        <w:trPr>
          <w:trHeight w:val="200" w:hRule="atLeast"/>
        </w:trPr>
        <w:tc>
          <w:tcPr>
            <w:tcW w:w="4059" w:type="dxa"/>
            <w:tcBorders>
              <w:bottom w:val="double" w:sz="6" w:space="0" w:color="000000"/>
            </w:tcBorders>
          </w:tcPr>
          <w:p>
            <w:pPr>
              <w:pStyle w:val="TableParagraph"/>
              <w:spacing w:line="177" w:lineRule="exact" w:before="3"/>
              <w:rPr>
                <w:sz w:val="16"/>
              </w:rPr>
            </w:pPr>
            <w:r>
              <w:rPr>
                <w:w w:val="105"/>
                <w:sz w:val="16"/>
              </w:rPr>
              <w:t>Options</w:t>
            </w:r>
            <w:r>
              <w:rPr>
                <w:spacing w:val="-12"/>
                <w:w w:val="105"/>
                <w:sz w:val="16"/>
              </w:rPr>
              <w:t> </w:t>
            </w:r>
            <w:r>
              <w:rPr>
                <w:w w:val="105"/>
                <w:sz w:val="16"/>
              </w:rPr>
              <w:t>exercisable</w:t>
            </w:r>
            <w:r>
              <w:rPr>
                <w:spacing w:val="-10"/>
                <w:w w:val="105"/>
                <w:sz w:val="16"/>
              </w:rPr>
              <w:t> </w:t>
            </w:r>
            <w:r>
              <w:rPr>
                <w:w w:val="105"/>
                <w:sz w:val="16"/>
              </w:rPr>
              <w:t>as</w:t>
            </w:r>
            <w:r>
              <w:rPr>
                <w:spacing w:val="-9"/>
                <w:w w:val="105"/>
                <w:sz w:val="16"/>
              </w:rPr>
              <w:t> </w:t>
            </w:r>
            <w:r>
              <w:rPr>
                <w:w w:val="105"/>
                <w:sz w:val="16"/>
              </w:rPr>
              <w:t>of</w:t>
            </w:r>
            <w:r>
              <w:rPr>
                <w:spacing w:val="-10"/>
                <w:w w:val="105"/>
                <w:sz w:val="16"/>
              </w:rPr>
              <w:t> </w:t>
            </w:r>
            <w:r>
              <w:rPr>
                <w:w w:val="105"/>
                <w:sz w:val="16"/>
              </w:rPr>
              <w:t>December</w:t>
            </w:r>
            <w:r>
              <w:rPr>
                <w:spacing w:val="-10"/>
                <w:w w:val="105"/>
                <w:sz w:val="16"/>
              </w:rPr>
              <w:t> </w:t>
            </w:r>
            <w:r>
              <w:rPr>
                <w:w w:val="105"/>
                <w:sz w:val="16"/>
              </w:rPr>
              <w:t>31,</w:t>
            </w:r>
            <w:r>
              <w:rPr>
                <w:spacing w:val="-9"/>
                <w:w w:val="105"/>
                <w:sz w:val="16"/>
              </w:rPr>
              <w:t> </w:t>
            </w:r>
            <w:r>
              <w:rPr>
                <w:spacing w:val="-4"/>
                <w:w w:val="105"/>
                <w:sz w:val="16"/>
              </w:rPr>
              <w:t>2021</w:t>
            </w:r>
          </w:p>
        </w:tc>
        <w:tc>
          <w:tcPr>
            <w:tcW w:w="2312" w:type="dxa"/>
            <w:tcBorders>
              <w:bottom w:val="double" w:sz="6" w:space="0" w:color="000000"/>
            </w:tcBorders>
          </w:tcPr>
          <w:p>
            <w:pPr>
              <w:pStyle w:val="TableParagraph"/>
              <w:spacing w:line="177" w:lineRule="exact" w:before="3"/>
              <w:ind w:right="139"/>
              <w:jc w:val="right"/>
              <w:rPr>
                <w:sz w:val="16"/>
              </w:rPr>
            </w:pPr>
            <w:r>
              <w:rPr>
                <w:spacing w:val="-4"/>
                <w:w w:val="105"/>
                <w:sz w:val="16"/>
              </w:rPr>
              <w:t>6,573</w:t>
            </w:r>
          </w:p>
        </w:tc>
        <w:tc>
          <w:tcPr>
            <w:tcW w:w="1715" w:type="dxa"/>
            <w:tcBorders>
              <w:bottom w:val="double" w:sz="6" w:space="0" w:color="000000"/>
            </w:tcBorders>
          </w:tcPr>
          <w:p>
            <w:pPr>
              <w:pStyle w:val="TableParagraph"/>
              <w:spacing w:line="177" w:lineRule="exact" w:before="3"/>
              <w:ind w:right="122"/>
              <w:jc w:val="right"/>
              <w:rPr>
                <w:sz w:val="16"/>
              </w:rPr>
            </w:pPr>
            <w:r>
              <w:rPr>
                <w:spacing w:val="-4"/>
                <w:w w:val="105"/>
                <w:sz w:val="16"/>
              </w:rPr>
              <w:t>21.19</w:t>
            </w:r>
          </w:p>
        </w:tc>
        <w:tc>
          <w:tcPr>
            <w:tcW w:w="1710" w:type="dxa"/>
            <w:tcBorders>
              <w:bottom w:val="double" w:sz="6" w:space="0" w:color="000000"/>
            </w:tcBorders>
          </w:tcPr>
          <w:p>
            <w:pPr>
              <w:pStyle w:val="TableParagraph"/>
              <w:spacing w:line="177" w:lineRule="exact" w:before="3"/>
              <w:ind w:right="112"/>
              <w:jc w:val="right"/>
              <w:rPr>
                <w:sz w:val="16"/>
              </w:rPr>
            </w:pPr>
            <w:r>
              <w:rPr>
                <w:spacing w:val="-4"/>
                <w:w w:val="105"/>
                <w:sz w:val="16"/>
              </w:rPr>
              <w:t>5.42</w:t>
            </w:r>
          </w:p>
        </w:tc>
        <w:tc>
          <w:tcPr>
            <w:tcW w:w="1720" w:type="dxa"/>
            <w:tcBorders>
              <w:bottom w:val="double" w:sz="6" w:space="0" w:color="000000"/>
            </w:tcBorders>
          </w:tcPr>
          <w:p>
            <w:pPr>
              <w:pStyle w:val="TableParagraph"/>
              <w:spacing w:line="177" w:lineRule="exact" w:before="3"/>
              <w:ind w:right="113"/>
              <w:jc w:val="right"/>
              <w:rPr>
                <w:sz w:val="16"/>
              </w:rPr>
            </w:pPr>
            <w:r>
              <w:rPr>
                <w:spacing w:val="-2"/>
                <w:w w:val="105"/>
                <w:sz w:val="16"/>
              </w:rPr>
              <w:t>105,412</w:t>
            </w:r>
          </w:p>
        </w:tc>
      </w:tr>
    </w:tbl>
    <w:p>
      <w:pPr>
        <w:pStyle w:val="BodyText"/>
        <w:spacing w:before="9"/>
      </w:pPr>
    </w:p>
    <w:p>
      <w:pPr>
        <w:pStyle w:val="BodyText"/>
        <w:ind w:left="48"/>
        <w:jc w:val="center"/>
      </w:pPr>
      <w:r>
        <w:rPr>
          <w:spacing w:val="-5"/>
          <w:w w:val="105"/>
        </w:rPr>
        <w:t>111</w:t>
      </w:r>
    </w:p>
    <w:p>
      <w:pPr>
        <w:pStyle w:val="BodyText"/>
        <w:spacing w:before="11"/>
        <w:rPr>
          <w:sz w:val="5"/>
        </w:rPr>
      </w:pPr>
      <w:r>
        <w:rPr/>
        <mc:AlternateContent>
          <mc:Choice Requires="wps">
            <w:drawing>
              <wp:anchor distT="0" distB="0" distL="0" distR="0" allowOverlap="1" layoutInCell="1" locked="0" behindDoc="1" simplePos="0" relativeHeight="487749120">
                <wp:simplePos x="0" y="0"/>
                <wp:positionH relativeFrom="page">
                  <wp:posOffset>226488</wp:posOffset>
                </wp:positionH>
                <wp:positionV relativeFrom="paragraph">
                  <wp:posOffset>58734</wp:posOffset>
                </wp:positionV>
                <wp:extent cx="7312659" cy="16510"/>
                <wp:effectExtent l="0" t="0" r="0" b="0"/>
                <wp:wrapTopAndBottom/>
                <wp:docPr id="1076" name="Graphic 1076"/>
                <wp:cNvGraphicFramePr>
                  <a:graphicFrameLocks/>
                </wp:cNvGraphicFramePr>
                <a:graphic>
                  <a:graphicData uri="http://schemas.microsoft.com/office/word/2010/wordprocessingShape">
                    <wps:wsp>
                      <wps:cNvPr id="1076" name="Graphic 1076"/>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567360;mso-wrap-distance-left:0;mso-wrap-distance-right:0" id="docshape1075"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pPr>
      <w:r>
        <w:rPr>
          <w:spacing w:val="-2"/>
          <w:w w:val="105"/>
        </w:rPr>
        <w:t>19.</w:t>
      </w:r>
      <w:r>
        <w:rPr>
          <w:spacing w:val="35"/>
          <w:w w:val="105"/>
        </w:rPr>
        <w:t> </w:t>
      </w:r>
      <w:r>
        <w:rPr>
          <w:spacing w:val="-2"/>
          <w:w w:val="105"/>
        </w:rPr>
        <w:t>Share-Based</w:t>
      </w:r>
      <w:r>
        <w:rPr>
          <w:spacing w:val="-4"/>
          <w:w w:val="105"/>
        </w:rPr>
        <w:t> </w:t>
      </w:r>
      <w:r>
        <w:rPr>
          <w:spacing w:val="-2"/>
          <w:w w:val="105"/>
        </w:rPr>
        <w:t>Compensation</w:t>
      </w:r>
      <w:r>
        <w:rPr>
          <w:spacing w:val="-3"/>
          <w:w w:val="105"/>
        </w:rPr>
        <w:t> </w:t>
      </w:r>
      <w:r>
        <w:rPr>
          <w:spacing w:val="-2"/>
          <w:w w:val="105"/>
        </w:rPr>
        <w:t>(Continued)</w:t>
      </w:r>
    </w:p>
    <w:p>
      <w:pPr>
        <w:pStyle w:val="BodyText"/>
        <w:spacing w:before="40"/>
        <w:rPr>
          <w:b/>
        </w:rPr>
      </w:pPr>
    </w:p>
    <w:p>
      <w:pPr>
        <w:pStyle w:val="BodyText"/>
        <w:spacing w:line="266" w:lineRule="auto"/>
        <w:ind w:left="156" w:right="328"/>
      </w:pPr>
      <w:r>
        <w:rPr>
          <w:w w:val="105"/>
        </w:rPr>
        <w:t>The</w:t>
      </w:r>
      <w:r>
        <w:rPr>
          <w:spacing w:val="-4"/>
          <w:w w:val="105"/>
        </w:rPr>
        <w:t> </w:t>
      </w:r>
      <w:r>
        <w:rPr>
          <w:w w:val="105"/>
        </w:rPr>
        <w:t>aggregate</w:t>
      </w:r>
      <w:r>
        <w:rPr>
          <w:spacing w:val="-4"/>
          <w:w w:val="105"/>
        </w:rPr>
        <w:t> </w:t>
      </w:r>
      <w:r>
        <w:rPr>
          <w:w w:val="105"/>
        </w:rPr>
        <w:t>intrinsic</w:t>
      </w:r>
      <w:r>
        <w:rPr>
          <w:spacing w:val="-4"/>
          <w:w w:val="105"/>
        </w:rPr>
        <w:t> </w:t>
      </w:r>
      <w:r>
        <w:rPr>
          <w:w w:val="105"/>
        </w:rPr>
        <w:t>value</w:t>
      </w:r>
      <w:r>
        <w:rPr>
          <w:spacing w:val="-4"/>
          <w:w w:val="105"/>
        </w:rPr>
        <w:t> </w:t>
      </w:r>
      <w:r>
        <w:rPr>
          <w:w w:val="105"/>
        </w:rPr>
        <w:t>(market</w:t>
      </w:r>
      <w:r>
        <w:rPr>
          <w:spacing w:val="-4"/>
          <w:w w:val="105"/>
        </w:rPr>
        <w:t> </w:t>
      </w:r>
      <w:r>
        <w:rPr>
          <w:w w:val="105"/>
        </w:rPr>
        <w:t>value</w:t>
      </w:r>
      <w:r>
        <w:rPr>
          <w:spacing w:val="-4"/>
          <w:w w:val="105"/>
        </w:rPr>
        <w:t> </w:t>
      </w:r>
      <w:r>
        <w:rPr>
          <w:w w:val="105"/>
        </w:rPr>
        <w:t>of</w:t>
      </w:r>
      <w:r>
        <w:rPr>
          <w:spacing w:val="-4"/>
          <w:w w:val="105"/>
        </w:rPr>
        <w:t> </w:t>
      </w:r>
      <w:r>
        <w:rPr>
          <w:w w:val="105"/>
        </w:rPr>
        <w:t>stock</w:t>
      </w:r>
      <w:r>
        <w:rPr>
          <w:spacing w:val="-4"/>
          <w:w w:val="105"/>
        </w:rPr>
        <w:t> </w:t>
      </w:r>
      <w:r>
        <w:rPr>
          <w:w w:val="105"/>
        </w:rPr>
        <w:t>less</w:t>
      </w:r>
      <w:r>
        <w:rPr>
          <w:spacing w:val="-4"/>
          <w:w w:val="105"/>
        </w:rPr>
        <w:t> </w:t>
      </w:r>
      <w:r>
        <w:rPr>
          <w:w w:val="105"/>
        </w:rPr>
        <w:t>option</w:t>
      </w:r>
      <w:r>
        <w:rPr>
          <w:spacing w:val="-4"/>
          <w:w w:val="105"/>
        </w:rPr>
        <w:t> </w:t>
      </w:r>
      <w:r>
        <w:rPr>
          <w:w w:val="105"/>
        </w:rPr>
        <w:t>exercise</w:t>
      </w:r>
      <w:r>
        <w:rPr>
          <w:spacing w:val="-4"/>
          <w:w w:val="105"/>
        </w:rPr>
        <w:t> </w:t>
      </w:r>
      <w:r>
        <w:rPr>
          <w:w w:val="105"/>
        </w:rPr>
        <w:t>price)</w:t>
      </w:r>
      <w:r>
        <w:rPr>
          <w:spacing w:val="-4"/>
          <w:w w:val="105"/>
        </w:rPr>
        <w:t> </w:t>
      </w:r>
      <w:r>
        <w:rPr>
          <w:w w:val="105"/>
        </w:rPr>
        <w:t>in</w:t>
      </w:r>
      <w:r>
        <w:rPr>
          <w:spacing w:val="-4"/>
          <w:w w:val="105"/>
        </w:rPr>
        <w:t> </w:t>
      </w:r>
      <w:r>
        <w:rPr>
          <w:w w:val="105"/>
        </w:rPr>
        <w:t>the</w:t>
      </w:r>
      <w:r>
        <w:rPr>
          <w:spacing w:val="-4"/>
          <w:w w:val="105"/>
        </w:rPr>
        <w:t> </w:t>
      </w:r>
      <w:r>
        <w:rPr>
          <w:w w:val="105"/>
        </w:rPr>
        <w:t>preceding</w:t>
      </w:r>
      <w:r>
        <w:rPr>
          <w:spacing w:val="-2"/>
          <w:w w:val="105"/>
        </w:rPr>
        <w:t> </w:t>
      </w:r>
      <w:r>
        <w:rPr>
          <w:w w:val="105"/>
        </w:rPr>
        <w:t>table</w:t>
      </w:r>
      <w:r>
        <w:rPr>
          <w:spacing w:val="-4"/>
          <w:w w:val="105"/>
        </w:rPr>
        <w:t> </w:t>
      </w:r>
      <w:r>
        <w:rPr>
          <w:w w:val="105"/>
        </w:rPr>
        <w:t>represents</w:t>
      </w:r>
      <w:r>
        <w:rPr>
          <w:spacing w:val="-4"/>
          <w:w w:val="105"/>
        </w:rPr>
        <w:t> </w:t>
      </w:r>
      <w:r>
        <w:rPr>
          <w:w w:val="105"/>
        </w:rPr>
        <w:t>the</w:t>
      </w:r>
      <w:r>
        <w:rPr>
          <w:spacing w:val="-4"/>
          <w:w w:val="105"/>
        </w:rPr>
        <w:t> </w:t>
      </w:r>
      <w:r>
        <w:rPr>
          <w:w w:val="105"/>
        </w:rPr>
        <w:t>total</w:t>
      </w:r>
      <w:r>
        <w:rPr>
          <w:spacing w:val="-4"/>
          <w:w w:val="105"/>
        </w:rPr>
        <w:t> </w:t>
      </w:r>
      <w:r>
        <w:rPr>
          <w:w w:val="105"/>
        </w:rPr>
        <w:t>pretax</w:t>
      </w:r>
      <w:r>
        <w:rPr>
          <w:spacing w:val="-4"/>
          <w:w w:val="105"/>
        </w:rPr>
        <w:t> </w:t>
      </w:r>
      <w:r>
        <w:rPr>
          <w:w w:val="105"/>
        </w:rPr>
        <w:t>intrinsic</w:t>
      </w:r>
      <w:r>
        <w:rPr>
          <w:spacing w:val="-4"/>
          <w:w w:val="105"/>
        </w:rPr>
        <w:t> </w:t>
      </w:r>
      <w:r>
        <w:rPr>
          <w:w w:val="105"/>
        </w:rPr>
        <w:t>value,</w:t>
      </w:r>
      <w:r>
        <w:rPr>
          <w:spacing w:val="-4"/>
          <w:w w:val="105"/>
        </w:rPr>
        <w:t> </w:t>
      </w:r>
      <w:r>
        <w:rPr>
          <w:w w:val="105"/>
        </w:rPr>
        <w:t>based</w:t>
      </w:r>
      <w:r>
        <w:rPr>
          <w:spacing w:val="-4"/>
          <w:w w:val="105"/>
        </w:rPr>
        <w:t> </w:t>
      </w:r>
      <w:r>
        <w:rPr>
          <w:w w:val="105"/>
        </w:rPr>
        <w:t>on</w:t>
      </w:r>
      <w:r>
        <w:rPr>
          <w:spacing w:val="-4"/>
          <w:w w:val="105"/>
        </w:rPr>
        <w:t> </w:t>
      </w:r>
      <w:r>
        <w:rPr>
          <w:w w:val="105"/>
        </w:rPr>
        <w:t>the</w:t>
      </w:r>
      <w:r>
        <w:rPr>
          <w:spacing w:val="-4"/>
          <w:w w:val="105"/>
        </w:rPr>
        <w:t> </w:t>
      </w:r>
      <w:r>
        <w:rPr>
          <w:w w:val="105"/>
        </w:rPr>
        <w:t>Company’s closing</w:t>
      </w:r>
      <w:r>
        <w:rPr>
          <w:spacing w:val="-8"/>
          <w:w w:val="105"/>
        </w:rPr>
        <w:t> </w:t>
      </w:r>
      <w:r>
        <w:rPr>
          <w:w w:val="105"/>
        </w:rPr>
        <w:t>stock</w:t>
      </w:r>
      <w:r>
        <w:rPr>
          <w:spacing w:val="-8"/>
          <w:w w:val="105"/>
        </w:rPr>
        <w:t> </w:t>
      </w:r>
      <w:r>
        <w:rPr>
          <w:w w:val="105"/>
        </w:rPr>
        <w:t>price</w:t>
      </w:r>
      <w:r>
        <w:rPr>
          <w:spacing w:val="-8"/>
          <w:w w:val="105"/>
        </w:rPr>
        <w:t> </w:t>
      </w:r>
      <w:r>
        <w:rPr>
          <w:w w:val="105"/>
        </w:rPr>
        <w:t>on</w:t>
      </w:r>
      <w:r>
        <w:rPr>
          <w:spacing w:val="-7"/>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which</w:t>
      </w:r>
      <w:r>
        <w:rPr>
          <w:spacing w:val="-8"/>
          <w:w w:val="105"/>
        </w:rPr>
        <w:t> </w:t>
      </w:r>
      <w:r>
        <w:rPr>
          <w:w w:val="105"/>
        </w:rPr>
        <w:t>would</w:t>
      </w:r>
      <w:r>
        <w:rPr>
          <w:spacing w:val="-8"/>
          <w:w w:val="105"/>
        </w:rPr>
        <w:t> </w:t>
      </w:r>
      <w:r>
        <w:rPr>
          <w:w w:val="105"/>
        </w:rPr>
        <w:t>have</w:t>
      </w:r>
      <w:r>
        <w:rPr>
          <w:spacing w:val="-8"/>
          <w:w w:val="105"/>
        </w:rPr>
        <w:t> </w:t>
      </w:r>
      <w:r>
        <w:rPr>
          <w:w w:val="105"/>
        </w:rPr>
        <w:t>been</w:t>
      </w:r>
      <w:r>
        <w:rPr>
          <w:spacing w:val="-8"/>
          <w:w w:val="105"/>
        </w:rPr>
        <w:t> </w:t>
      </w:r>
      <w:r>
        <w:rPr>
          <w:w w:val="105"/>
        </w:rPr>
        <w:t>received</w:t>
      </w:r>
      <w:r>
        <w:rPr>
          <w:spacing w:val="-8"/>
          <w:w w:val="105"/>
        </w:rPr>
        <w:t> </w:t>
      </w:r>
      <w:r>
        <w:rPr>
          <w:w w:val="105"/>
        </w:rPr>
        <w:t>by</w:t>
      </w:r>
      <w:r>
        <w:rPr>
          <w:spacing w:val="-8"/>
          <w:w w:val="105"/>
        </w:rPr>
        <w:t> </w:t>
      </w:r>
      <w:r>
        <w:rPr>
          <w:w w:val="105"/>
        </w:rPr>
        <w:t>the</w:t>
      </w:r>
      <w:r>
        <w:rPr>
          <w:spacing w:val="-8"/>
          <w:w w:val="105"/>
        </w:rPr>
        <w:t> </w:t>
      </w:r>
      <w:r>
        <w:rPr>
          <w:w w:val="105"/>
        </w:rPr>
        <w:t>option</w:t>
      </w:r>
      <w:r>
        <w:rPr>
          <w:spacing w:val="-8"/>
          <w:w w:val="105"/>
        </w:rPr>
        <w:t> </w:t>
      </w:r>
      <w:r>
        <w:rPr>
          <w:w w:val="105"/>
        </w:rPr>
        <w:t>holders</w:t>
      </w:r>
      <w:r>
        <w:rPr>
          <w:spacing w:val="-8"/>
          <w:w w:val="105"/>
        </w:rPr>
        <w:t> </w:t>
      </w:r>
      <w:r>
        <w:rPr>
          <w:w w:val="105"/>
        </w:rPr>
        <w:t>had</w:t>
      </w:r>
      <w:r>
        <w:rPr>
          <w:spacing w:val="-8"/>
          <w:w w:val="105"/>
        </w:rPr>
        <w:t> </w:t>
      </w:r>
      <w:r>
        <w:rPr>
          <w:w w:val="105"/>
        </w:rPr>
        <w:t>all</w:t>
      </w:r>
      <w:r>
        <w:rPr>
          <w:spacing w:val="-8"/>
          <w:w w:val="105"/>
        </w:rPr>
        <w:t> </w:t>
      </w:r>
      <w:r>
        <w:rPr>
          <w:w w:val="105"/>
        </w:rPr>
        <w:t>option</w:t>
      </w:r>
      <w:r>
        <w:rPr>
          <w:spacing w:val="-8"/>
          <w:w w:val="105"/>
        </w:rPr>
        <w:t> </w:t>
      </w:r>
      <w:r>
        <w:rPr>
          <w:w w:val="105"/>
        </w:rPr>
        <w:t>holders</w:t>
      </w:r>
      <w:r>
        <w:rPr>
          <w:spacing w:val="-8"/>
          <w:w w:val="105"/>
        </w:rPr>
        <w:t> </w:t>
      </w:r>
      <w:r>
        <w:rPr>
          <w:w w:val="105"/>
        </w:rPr>
        <w:t>exercised</w:t>
      </w:r>
      <w:r>
        <w:rPr>
          <w:spacing w:val="-8"/>
          <w:w w:val="105"/>
        </w:rPr>
        <w:t> </w:t>
      </w:r>
      <w:r>
        <w:rPr>
          <w:w w:val="105"/>
        </w:rPr>
        <w:t>their</w:t>
      </w:r>
      <w:r>
        <w:rPr>
          <w:spacing w:val="-8"/>
          <w:w w:val="105"/>
        </w:rPr>
        <w:t> </w:t>
      </w:r>
      <w:r>
        <w:rPr>
          <w:w w:val="105"/>
        </w:rPr>
        <w:t>“in-the-money”</w:t>
      </w:r>
      <w:r>
        <w:rPr>
          <w:spacing w:val="-8"/>
          <w:w w:val="105"/>
        </w:rPr>
        <w:t> </w:t>
      </w:r>
      <w:r>
        <w:rPr>
          <w:w w:val="105"/>
        </w:rPr>
        <w:t>options</w:t>
      </w:r>
      <w:r>
        <w:rPr>
          <w:spacing w:val="-8"/>
          <w:w w:val="105"/>
        </w:rPr>
        <w:t> </w:t>
      </w:r>
      <w:r>
        <w:rPr>
          <w:w w:val="105"/>
        </w:rPr>
        <w:t>as</w:t>
      </w:r>
      <w:r>
        <w:rPr>
          <w:spacing w:val="-8"/>
          <w:w w:val="105"/>
        </w:rPr>
        <w:t> </w:t>
      </w:r>
      <w:r>
        <w:rPr>
          <w:w w:val="105"/>
        </w:rPr>
        <w:t>of</w:t>
      </w:r>
      <w:r>
        <w:rPr>
          <w:spacing w:val="-8"/>
          <w:w w:val="105"/>
        </w:rPr>
        <w:t> </w:t>
      </w:r>
      <w:r>
        <w:rPr>
          <w:w w:val="105"/>
        </w:rPr>
        <w:t>that date. There were approximately 7 million “in-the-money” options exercisable on December 31, 2021.</w:t>
      </w:r>
    </w:p>
    <w:p>
      <w:pPr>
        <w:pStyle w:val="BodyText"/>
        <w:spacing w:before="18"/>
      </w:pPr>
    </w:p>
    <w:p>
      <w:pPr>
        <w:pStyle w:val="BodyText"/>
        <w:ind w:left="156"/>
      </w:pPr>
      <w:r>
        <w:rPr>
          <w:w w:val="105"/>
        </w:rPr>
        <w:t>There</w:t>
      </w:r>
      <w:r>
        <w:rPr>
          <w:spacing w:val="-9"/>
          <w:w w:val="105"/>
        </w:rPr>
        <w:t> </w:t>
      </w:r>
      <w:r>
        <w:rPr>
          <w:w w:val="105"/>
        </w:rPr>
        <w:t>were</w:t>
      </w:r>
      <w:r>
        <w:rPr>
          <w:spacing w:val="-8"/>
          <w:w w:val="105"/>
        </w:rPr>
        <w:t> </w:t>
      </w:r>
      <w:r>
        <w:rPr>
          <w:w w:val="105"/>
        </w:rPr>
        <w:t>no</w:t>
      </w:r>
      <w:r>
        <w:rPr>
          <w:spacing w:val="-8"/>
          <w:w w:val="105"/>
        </w:rPr>
        <w:t> </w:t>
      </w:r>
      <w:r>
        <w:rPr>
          <w:w w:val="105"/>
        </w:rPr>
        <w:t>options</w:t>
      </w:r>
      <w:r>
        <w:rPr>
          <w:spacing w:val="-8"/>
          <w:w w:val="105"/>
        </w:rPr>
        <w:t> </w:t>
      </w:r>
      <w:r>
        <w:rPr>
          <w:w w:val="105"/>
        </w:rPr>
        <w:t>granted</w:t>
      </w:r>
      <w:r>
        <w:rPr>
          <w:spacing w:val="-8"/>
          <w:w w:val="105"/>
        </w:rPr>
        <w:t> </w:t>
      </w:r>
      <w:r>
        <w:rPr>
          <w:w w:val="105"/>
        </w:rPr>
        <w:t>in</w:t>
      </w:r>
      <w:r>
        <w:rPr>
          <w:spacing w:val="-6"/>
          <w:w w:val="105"/>
        </w:rPr>
        <w:t> </w:t>
      </w:r>
      <w:r>
        <w:rPr>
          <w:w w:val="105"/>
        </w:rPr>
        <w:t>2021.</w:t>
      </w:r>
      <w:r>
        <w:rPr>
          <w:spacing w:val="26"/>
          <w:w w:val="105"/>
        </w:rPr>
        <w:t> </w:t>
      </w:r>
      <w:r>
        <w:rPr>
          <w:w w:val="105"/>
        </w:rPr>
        <w:t>The</w:t>
      </w:r>
      <w:r>
        <w:rPr>
          <w:spacing w:val="-8"/>
          <w:w w:val="105"/>
        </w:rPr>
        <w:t> </w:t>
      </w:r>
      <w:r>
        <w:rPr>
          <w:w w:val="105"/>
        </w:rPr>
        <w:t>weighted-average</w:t>
      </w:r>
      <w:r>
        <w:rPr>
          <w:spacing w:val="-8"/>
          <w:w w:val="105"/>
        </w:rPr>
        <w:t> </w:t>
      </w:r>
      <w:r>
        <w:rPr>
          <w:w w:val="105"/>
        </w:rPr>
        <w:t>grant-date</w:t>
      </w:r>
      <w:r>
        <w:rPr>
          <w:spacing w:val="-8"/>
          <w:w w:val="105"/>
        </w:rPr>
        <w:t> </w:t>
      </w:r>
      <w:r>
        <w:rPr>
          <w:w w:val="105"/>
        </w:rPr>
        <w:t>fair</w:t>
      </w:r>
      <w:r>
        <w:rPr>
          <w:spacing w:val="-9"/>
          <w:w w:val="105"/>
        </w:rPr>
        <w:t> </w:t>
      </w:r>
      <w:r>
        <w:rPr>
          <w:w w:val="105"/>
        </w:rPr>
        <w:t>value</w:t>
      </w:r>
      <w:r>
        <w:rPr>
          <w:spacing w:val="-8"/>
          <w:w w:val="105"/>
        </w:rPr>
        <w:t> </w:t>
      </w:r>
      <w:r>
        <w:rPr>
          <w:w w:val="105"/>
        </w:rPr>
        <w:t>for</w:t>
      </w:r>
      <w:r>
        <w:rPr>
          <w:spacing w:val="-8"/>
          <w:w w:val="105"/>
        </w:rPr>
        <w:t> </w:t>
      </w:r>
      <w:r>
        <w:rPr>
          <w:w w:val="105"/>
        </w:rPr>
        <w:t>options</w:t>
      </w:r>
      <w:r>
        <w:rPr>
          <w:spacing w:val="-8"/>
          <w:w w:val="105"/>
        </w:rPr>
        <w:t> </w:t>
      </w:r>
      <w:r>
        <w:rPr>
          <w:w w:val="105"/>
        </w:rPr>
        <w:t>granted</w:t>
      </w:r>
      <w:r>
        <w:rPr>
          <w:spacing w:val="-8"/>
          <w:w w:val="105"/>
        </w:rPr>
        <w:t> </w:t>
      </w:r>
      <w:r>
        <w:rPr>
          <w:w w:val="105"/>
        </w:rPr>
        <w:t>for</w:t>
      </w:r>
      <w:r>
        <w:rPr>
          <w:spacing w:val="-8"/>
          <w:w w:val="105"/>
        </w:rPr>
        <w:t> </w:t>
      </w:r>
      <w:r>
        <w:rPr>
          <w:w w:val="105"/>
        </w:rPr>
        <w:t>the</w:t>
      </w:r>
      <w:r>
        <w:rPr>
          <w:spacing w:val="-8"/>
          <w:w w:val="105"/>
        </w:rPr>
        <w:t> </w:t>
      </w:r>
      <w:r>
        <w:rPr>
          <w:w w:val="105"/>
        </w:rPr>
        <w:t>years</w:t>
      </w:r>
      <w:r>
        <w:rPr>
          <w:spacing w:val="-8"/>
          <w:w w:val="105"/>
        </w:rPr>
        <w:t> </w:t>
      </w:r>
      <w:r>
        <w:rPr>
          <w:w w:val="105"/>
        </w:rPr>
        <w:t>ended</w:t>
      </w:r>
      <w:r>
        <w:rPr>
          <w:spacing w:val="26"/>
          <w:w w:val="105"/>
        </w:rPr>
        <w:t> </w:t>
      </w:r>
      <w:r>
        <w:rPr>
          <w:w w:val="105"/>
        </w:rPr>
        <w:t>December</w:t>
      </w:r>
      <w:r>
        <w:rPr>
          <w:spacing w:val="-8"/>
          <w:w w:val="105"/>
        </w:rPr>
        <w:t> </w:t>
      </w:r>
      <w:r>
        <w:rPr>
          <w:w w:val="105"/>
        </w:rPr>
        <w:t>31,</w:t>
      </w:r>
      <w:r>
        <w:rPr>
          <w:spacing w:val="-7"/>
          <w:w w:val="105"/>
        </w:rPr>
        <w:t> </w:t>
      </w:r>
      <w:r>
        <w:rPr>
          <w:w w:val="105"/>
        </w:rPr>
        <w:t>2020</w:t>
      </w:r>
      <w:r>
        <w:rPr>
          <w:spacing w:val="-8"/>
          <w:w w:val="105"/>
        </w:rPr>
        <w:t> </w:t>
      </w:r>
      <w:r>
        <w:rPr>
          <w:w w:val="105"/>
        </w:rPr>
        <w:t>and</w:t>
      </w:r>
      <w:r>
        <w:rPr>
          <w:spacing w:val="-8"/>
          <w:w w:val="105"/>
        </w:rPr>
        <w:t> </w:t>
      </w:r>
      <w:r>
        <w:rPr>
          <w:w w:val="105"/>
        </w:rPr>
        <w:t>2019</w:t>
      </w:r>
      <w:r>
        <w:rPr>
          <w:spacing w:val="-9"/>
          <w:w w:val="105"/>
        </w:rPr>
        <w:t> </w:t>
      </w:r>
      <w:r>
        <w:rPr>
          <w:w w:val="105"/>
        </w:rPr>
        <w:t>was</w:t>
      </w:r>
      <w:r>
        <w:rPr>
          <w:spacing w:val="-8"/>
          <w:w w:val="105"/>
        </w:rPr>
        <w:t> </w:t>
      </w:r>
      <w:r>
        <w:rPr>
          <w:w w:val="105"/>
        </w:rPr>
        <w:t>$3.67</w:t>
      </w:r>
      <w:r>
        <w:rPr>
          <w:spacing w:val="-8"/>
          <w:w w:val="105"/>
        </w:rPr>
        <w:t> </w:t>
      </w:r>
      <w:r>
        <w:rPr>
          <w:spacing w:val="-5"/>
          <w:w w:val="105"/>
        </w:rPr>
        <w:t>and</w:t>
      </w:r>
    </w:p>
    <w:p>
      <w:pPr>
        <w:pStyle w:val="BodyText"/>
        <w:spacing w:before="20"/>
        <w:ind w:left="156"/>
      </w:pPr>
      <w:r>
        <w:rPr>
          <w:w w:val="105"/>
        </w:rPr>
        <w:t>$8.78,</w:t>
      </w:r>
      <w:r>
        <w:rPr>
          <w:spacing w:val="-9"/>
          <w:w w:val="105"/>
        </w:rPr>
        <w:t> </w:t>
      </w:r>
      <w:r>
        <w:rPr>
          <w:w w:val="105"/>
        </w:rPr>
        <w:t>respectively.</w:t>
      </w:r>
      <w:r>
        <w:rPr>
          <w:spacing w:val="26"/>
          <w:w w:val="105"/>
        </w:rPr>
        <w:t> </w:t>
      </w:r>
      <w:r>
        <w:rPr>
          <w:w w:val="105"/>
        </w:rPr>
        <w:t>The</w:t>
      </w:r>
      <w:r>
        <w:rPr>
          <w:spacing w:val="-9"/>
          <w:w w:val="105"/>
        </w:rPr>
        <w:t> </w:t>
      </w:r>
      <w:r>
        <w:rPr>
          <w:w w:val="105"/>
        </w:rPr>
        <w:t>total</w:t>
      </w:r>
      <w:r>
        <w:rPr>
          <w:spacing w:val="-8"/>
          <w:w w:val="105"/>
        </w:rPr>
        <w:t> </w:t>
      </w:r>
      <w:r>
        <w:rPr>
          <w:w w:val="105"/>
        </w:rPr>
        <w:t>fair</w:t>
      </w:r>
      <w:r>
        <w:rPr>
          <w:spacing w:val="-8"/>
          <w:w w:val="105"/>
        </w:rPr>
        <w:t> </w:t>
      </w:r>
      <w:r>
        <w:rPr>
          <w:w w:val="105"/>
        </w:rPr>
        <w:t>value</w:t>
      </w:r>
      <w:r>
        <w:rPr>
          <w:spacing w:val="-9"/>
          <w:w w:val="105"/>
        </w:rPr>
        <w:t> </w:t>
      </w:r>
      <w:r>
        <w:rPr>
          <w:w w:val="105"/>
        </w:rPr>
        <w:t>of</w:t>
      </w:r>
      <w:r>
        <w:rPr>
          <w:spacing w:val="-8"/>
          <w:w w:val="105"/>
        </w:rPr>
        <w:t> </w:t>
      </w:r>
      <w:r>
        <w:rPr>
          <w:w w:val="105"/>
        </w:rPr>
        <w:t>options</w:t>
      </w:r>
      <w:r>
        <w:rPr>
          <w:spacing w:val="-8"/>
          <w:w w:val="105"/>
        </w:rPr>
        <w:t> </w:t>
      </w:r>
      <w:r>
        <w:rPr>
          <w:w w:val="105"/>
        </w:rPr>
        <w:t>that</w:t>
      </w:r>
      <w:r>
        <w:rPr>
          <w:spacing w:val="-9"/>
          <w:w w:val="105"/>
        </w:rPr>
        <w:t> </w:t>
      </w:r>
      <w:r>
        <w:rPr>
          <w:w w:val="105"/>
        </w:rPr>
        <w:t>vested</w:t>
      </w:r>
      <w:r>
        <w:rPr>
          <w:spacing w:val="-8"/>
          <w:w w:val="105"/>
        </w:rPr>
        <w:t> </w:t>
      </w:r>
      <w:r>
        <w:rPr>
          <w:w w:val="105"/>
        </w:rPr>
        <w:t>during</w:t>
      </w:r>
      <w:r>
        <w:rPr>
          <w:spacing w:val="-8"/>
          <w:w w:val="105"/>
        </w:rPr>
        <w:t> </w:t>
      </w:r>
      <w:r>
        <w:rPr>
          <w:w w:val="105"/>
        </w:rPr>
        <w:t>the</w:t>
      </w:r>
      <w:r>
        <w:rPr>
          <w:spacing w:val="-9"/>
          <w:w w:val="105"/>
        </w:rPr>
        <w:t> </w:t>
      </w:r>
      <w:r>
        <w:rPr>
          <w:w w:val="105"/>
        </w:rPr>
        <w:t>years</w:t>
      </w:r>
      <w:r>
        <w:rPr>
          <w:spacing w:val="-8"/>
          <w:w w:val="105"/>
        </w:rPr>
        <w:t> </w:t>
      </w:r>
      <w:r>
        <w:rPr>
          <w:w w:val="105"/>
        </w:rPr>
        <w:t>ended</w:t>
      </w:r>
      <w:r>
        <w:rPr>
          <w:spacing w:val="-7"/>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2020</w:t>
      </w:r>
      <w:r>
        <w:rPr>
          <w:spacing w:val="-8"/>
          <w:w w:val="105"/>
        </w:rPr>
        <w:t> </w:t>
      </w:r>
      <w:r>
        <w:rPr>
          <w:w w:val="105"/>
        </w:rPr>
        <w:t>and</w:t>
      </w:r>
      <w:r>
        <w:rPr>
          <w:spacing w:val="-8"/>
          <w:w w:val="105"/>
        </w:rPr>
        <w:t> </w:t>
      </w:r>
      <w:r>
        <w:rPr>
          <w:w w:val="105"/>
        </w:rPr>
        <w:t>2019</w:t>
      </w:r>
      <w:r>
        <w:rPr>
          <w:spacing w:val="-9"/>
          <w:w w:val="105"/>
        </w:rPr>
        <w:t> </w:t>
      </w:r>
      <w:r>
        <w:rPr>
          <w:w w:val="105"/>
        </w:rPr>
        <w:t>was</w:t>
      </w:r>
      <w:r>
        <w:rPr>
          <w:spacing w:val="-8"/>
          <w:w w:val="105"/>
        </w:rPr>
        <w:t> </w:t>
      </w:r>
      <w:r>
        <w:rPr>
          <w:w w:val="105"/>
        </w:rPr>
        <w:t>approximately</w:t>
      </w:r>
      <w:r>
        <w:rPr>
          <w:spacing w:val="-8"/>
          <w:w w:val="105"/>
        </w:rPr>
        <w:t> </w:t>
      </w:r>
      <w:r>
        <w:rPr>
          <w:w w:val="105"/>
        </w:rPr>
        <w:t>$16</w:t>
      </w:r>
      <w:r>
        <w:rPr>
          <w:spacing w:val="-9"/>
          <w:w w:val="105"/>
        </w:rPr>
        <w:t> </w:t>
      </w:r>
      <w:r>
        <w:rPr>
          <w:w w:val="105"/>
        </w:rPr>
        <w:t>million,</w:t>
      </w:r>
      <w:r>
        <w:rPr>
          <w:spacing w:val="-8"/>
          <w:w w:val="105"/>
        </w:rPr>
        <w:t> </w:t>
      </w:r>
      <w:r>
        <w:rPr>
          <w:w w:val="105"/>
        </w:rPr>
        <w:t>$31</w:t>
      </w:r>
      <w:r>
        <w:rPr>
          <w:spacing w:val="-8"/>
          <w:w w:val="105"/>
        </w:rPr>
        <w:t> </w:t>
      </w:r>
      <w:r>
        <w:rPr>
          <w:w w:val="105"/>
        </w:rPr>
        <w:t>million</w:t>
      </w:r>
      <w:r>
        <w:rPr>
          <w:spacing w:val="-9"/>
          <w:w w:val="105"/>
        </w:rPr>
        <w:t> </w:t>
      </w:r>
      <w:r>
        <w:rPr>
          <w:spacing w:val="-5"/>
          <w:w w:val="105"/>
        </w:rPr>
        <w:t>and</w:t>
      </w:r>
    </w:p>
    <w:p>
      <w:pPr>
        <w:pStyle w:val="BodyText"/>
        <w:spacing w:before="20"/>
        <w:ind w:left="156"/>
      </w:pPr>
      <w:r>
        <w:rPr>
          <w:w w:val="105"/>
        </w:rPr>
        <w:t>$10</w:t>
      </w:r>
      <w:r>
        <w:rPr>
          <w:spacing w:val="-10"/>
          <w:w w:val="105"/>
        </w:rPr>
        <w:t> </w:t>
      </w:r>
      <w:r>
        <w:rPr>
          <w:w w:val="105"/>
        </w:rPr>
        <w:t>million,</w:t>
      </w:r>
      <w:r>
        <w:rPr>
          <w:spacing w:val="-9"/>
          <w:w w:val="105"/>
        </w:rPr>
        <w:t> </w:t>
      </w:r>
      <w:r>
        <w:rPr>
          <w:w w:val="105"/>
        </w:rPr>
        <w:t>respectively.</w:t>
      </w:r>
      <w:r>
        <w:rPr>
          <w:spacing w:val="-9"/>
          <w:w w:val="105"/>
        </w:rPr>
        <w:t> </w:t>
      </w:r>
      <w:r>
        <w:rPr>
          <w:w w:val="105"/>
        </w:rPr>
        <w:t>Compensation</w:t>
      </w:r>
      <w:r>
        <w:rPr>
          <w:spacing w:val="-9"/>
          <w:w w:val="105"/>
        </w:rPr>
        <w:t> </w:t>
      </w:r>
      <w:r>
        <w:rPr>
          <w:w w:val="105"/>
        </w:rPr>
        <w:t>cost</w:t>
      </w:r>
      <w:r>
        <w:rPr>
          <w:spacing w:val="-9"/>
          <w:w w:val="105"/>
        </w:rPr>
        <w:t> </w:t>
      </w:r>
      <w:r>
        <w:rPr>
          <w:w w:val="105"/>
        </w:rPr>
        <w:t>related</w:t>
      </w:r>
      <w:r>
        <w:rPr>
          <w:spacing w:val="-8"/>
          <w:w w:val="105"/>
        </w:rPr>
        <w:t> </w:t>
      </w:r>
      <w:r>
        <w:rPr>
          <w:w w:val="105"/>
        </w:rPr>
        <w:t>to</w:t>
      </w:r>
      <w:r>
        <w:rPr>
          <w:spacing w:val="-9"/>
          <w:w w:val="105"/>
        </w:rPr>
        <w:t> </w:t>
      </w:r>
      <w:r>
        <w:rPr>
          <w:w w:val="105"/>
        </w:rPr>
        <w:t>stock</w:t>
      </w:r>
      <w:r>
        <w:rPr>
          <w:spacing w:val="-9"/>
          <w:w w:val="105"/>
        </w:rPr>
        <w:t> </w:t>
      </w:r>
      <w:r>
        <w:rPr>
          <w:w w:val="105"/>
        </w:rPr>
        <w:t>options</w:t>
      </w:r>
      <w:r>
        <w:rPr>
          <w:spacing w:val="-9"/>
          <w:w w:val="105"/>
        </w:rPr>
        <w:t> </w:t>
      </w:r>
      <w:r>
        <w:rPr>
          <w:w w:val="105"/>
        </w:rPr>
        <w:t>for</w:t>
      </w:r>
      <w:r>
        <w:rPr>
          <w:spacing w:val="-9"/>
          <w:w w:val="105"/>
        </w:rPr>
        <w:t> </w:t>
      </w:r>
      <w:r>
        <w:rPr>
          <w:w w:val="105"/>
        </w:rPr>
        <w:t>the</w:t>
      </w:r>
      <w:r>
        <w:rPr>
          <w:spacing w:val="-9"/>
          <w:w w:val="105"/>
        </w:rPr>
        <w:t> </w:t>
      </w:r>
      <w:r>
        <w:rPr>
          <w:w w:val="105"/>
        </w:rPr>
        <w:t>years</w:t>
      </w:r>
      <w:r>
        <w:rPr>
          <w:spacing w:val="-9"/>
          <w:w w:val="105"/>
        </w:rPr>
        <w:t> </w:t>
      </w:r>
      <w:r>
        <w:rPr>
          <w:w w:val="105"/>
        </w:rPr>
        <w:t>ended</w:t>
      </w:r>
      <w:r>
        <w:rPr>
          <w:spacing w:val="-9"/>
          <w:w w:val="105"/>
        </w:rPr>
        <w:t> </w:t>
      </w:r>
      <w:r>
        <w:rPr>
          <w:w w:val="105"/>
        </w:rPr>
        <w:t>December</w:t>
      </w:r>
      <w:r>
        <w:rPr>
          <w:spacing w:val="-9"/>
          <w:w w:val="105"/>
        </w:rPr>
        <w:t> </w:t>
      </w:r>
      <w:r>
        <w:rPr>
          <w:w w:val="105"/>
        </w:rPr>
        <w:t>31,</w:t>
      </w:r>
      <w:r>
        <w:rPr>
          <w:spacing w:val="-10"/>
          <w:w w:val="105"/>
        </w:rPr>
        <w:t> </w:t>
      </w:r>
      <w:r>
        <w:rPr>
          <w:w w:val="105"/>
        </w:rPr>
        <w:t>2021,</w:t>
      </w:r>
      <w:r>
        <w:rPr>
          <w:spacing w:val="-8"/>
          <w:w w:val="105"/>
        </w:rPr>
        <w:t> </w:t>
      </w:r>
      <w:r>
        <w:rPr>
          <w:w w:val="105"/>
        </w:rPr>
        <w:t>2020</w:t>
      </w:r>
      <w:r>
        <w:rPr>
          <w:spacing w:val="-9"/>
          <w:w w:val="105"/>
        </w:rPr>
        <w:t> </w:t>
      </w:r>
      <w:r>
        <w:rPr>
          <w:w w:val="105"/>
        </w:rPr>
        <w:t>and</w:t>
      </w:r>
      <w:r>
        <w:rPr>
          <w:spacing w:val="-9"/>
          <w:w w:val="105"/>
        </w:rPr>
        <w:t> </w:t>
      </w:r>
      <w:r>
        <w:rPr>
          <w:w w:val="105"/>
        </w:rPr>
        <w:t>2019,</w:t>
      </w:r>
      <w:r>
        <w:rPr>
          <w:spacing w:val="-9"/>
          <w:w w:val="105"/>
        </w:rPr>
        <w:t> </w:t>
      </w:r>
      <w:r>
        <w:rPr>
          <w:w w:val="105"/>
        </w:rPr>
        <w:t>was</w:t>
      </w:r>
      <w:r>
        <w:rPr>
          <w:spacing w:val="-9"/>
          <w:w w:val="105"/>
        </w:rPr>
        <w:t> </w:t>
      </w:r>
      <w:r>
        <w:rPr>
          <w:w w:val="105"/>
        </w:rPr>
        <w:t>approximately</w:t>
      </w:r>
      <w:r>
        <w:rPr>
          <w:spacing w:val="-9"/>
          <w:w w:val="105"/>
        </w:rPr>
        <w:t> </w:t>
      </w:r>
      <w:r>
        <w:rPr>
          <w:w w:val="105"/>
        </w:rPr>
        <w:t>$9</w:t>
      </w:r>
      <w:r>
        <w:rPr>
          <w:spacing w:val="-10"/>
          <w:w w:val="105"/>
        </w:rPr>
        <w:t> </w:t>
      </w:r>
      <w:r>
        <w:rPr>
          <w:w w:val="105"/>
        </w:rPr>
        <w:t>million,</w:t>
      </w:r>
      <w:r>
        <w:rPr>
          <w:spacing w:val="-9"/>
          <w:w w:val="105"/>
        </w:rPr>
        <w:t> </w:t>
      </w:r>
      <w:r>
        <w:rPr>
          <w:w w:val="105"/>
        </w:rPr>
        <w:t>$23</w:t>
      </w:r>
      <w:r>
        <w:rPr>
          <w:spacing w:val="-9"/>
          <w:w w:val="105"/>
        </w:rPr>
        <w:t> </w:t>
      </w:r>
      <w:r>
        <w:rPr>
          <w:w w:val="105"/>
        </w:rPr>
        <w:t>million</w:t>
      </w:r>
      <w:r>
        <w:rPr>
          <w:spacing w:val="-9"/>
          <w:w w:val="105"/>
        </w:rPr>
        <w:t> </w:t>
      </w:r>
      <w:r>
        <w:rPr>
          <w:spacing w:val="-5"/>
          <w:w w:val="105"/>
        </w:rPr>
        <w:t>and</w:t>
      </w:r>
    </w:p>
    <w:p>
      <w:pPr>
        <w:pStyle w:val="BodyText"/>
        <w:spacing w:before="20"/>
        <w:ind w:left="156"/>
      </w:pPr>
      <w:r>
        <w:rPr>
          <w:w w:val="105"/>
        </w:rPr>
        <w:t>$13</w:t>
      </w:r>
      <w:r>
        <w:rPr>
          <w:spacing w:val="-9"/>
          <w:w w:val="105"/>
        </w:rPr>
        <w:t> </w:t>
      </w:r>
      <w:r>
        <w:rPr>
          <w:w w:val="105"/>
        </w:rPr>
        <w:t>million,</w:t>
      </w:r>
      <w:r>
        <w:rPr>
          <w:spacing w:val="-8"/>
          <w:w w:val="105"/>
        </w:rPr>
        <w:t> </w:t>
      </w:r>
      <w:r>
        <w:rPr>
          <w:spacing w:val="-2"/>
          <w:w w:val="105"/>
        </w:rPr>
        <w:t>respectively.</w:t>
      </w:r>
    </w:p>
    <w:p>
      <w:pPr>
        <w:pStyle w:val="BodyText"/>
        <w:spacing w:before="39"/>
      </w:pPr>
    </w:p>
    <w:p>
      <w:pPr>
        <w:pStyle w:val="BodyText"/>
        <w:spacing w:line="266" w:lineRule="auto" w:before="1"/>
        <w:ind w:left="156" w:right="228"/>
      </w:pPr>
      <w:r>
        <w:rPr>
          <w:w w:val="105"/>
        </w:rPr>
        <w:t>As</w:t>
      </w:r>
      <w:r>
        <w:rPr>
          <w:spacing w:val="-8"/>
          <w:w w:val="105"/>
        </w:rPr>
        <w:t> </w:t>
      </w:r>
      <w:r>
        <w:rPr>
          <w:w w:val="105"/>
        </w:rPr>
        <w:t>of</w:t>
      </w:r>
      <w:r>
        <w:rPr>
          <w:spacing w:val="-7"/>
          <w:w w:val="105"/>
        </w:rPr>
        <w:t> </w:t>
      </w:r>
      <w:r>
        <w:rPr>
          <w:w w:val="105"/>
        </w:rPr>
        <w:t>December</w:t>
      </w:r>
      <w:r>
        <w:rPr>
          <w:spacing w:val="-8"/>
          <w:w w:val="105"/>
        </w:rPr>
        <w:t> </w:t>
      </w:r>
      <w:r>
        <w:rPr>
          <w:w w:val="105"/>
        </w:rPr>
        <w:t>31,</w:t>
      </w:r>
      <w:r>
        <w:rPr>
          <w:spacing w:val="-8"/>
          <w:w w:val="105"/>
        </w:rPr>
        <w:t> </w:t>
      </w:r>
      <w:r>
        <w:rPr>
          <w:w w:val="105"/>
        </w:rPr>
        <w:t>2021,</w:t>
      </w:r>
      <w:r>
        <w:rPr>
          <w:spacing w:val="-8"/>
          <w:w w:val="105"/>
        </w:rPr>
        <w:t> </w:t>
      </w:r>
      <w:r>
        <w:rPr>
          <w:w w:val="105"/>
        </w:rPr>
        <w:t>there</w:t>
      </w:r>
      <w:r>
        <w:rPr>
          <w:spacing w:val="-8"/>
          <w:w w:val="105"/>
        </w:rPr>
        <w:t> </w:t>
      </w:r>
      <w:r>
        <w:rPr>
          <w:w w:val="105"/>
        </w:rPr>
        <w:t>was</w:t>
      </w:r>
      <w:r>
        <w:rPr>
          <w:spacing w:val="-8"/>
          <w:w w:val="105"/>
        </w:rPr>
        <w:t> </w:t>
      </w:r>
      <w:r>
        <w:rPr>
          <w:w w:val="105"/>
        </w:rPr>
        <w:t>approximately</w:t>
      </w:r>
      <w:r>
        <w:rPr>
          <w:spacing w:val="-8"/>
          <w:w w:val="105"/>
        </w:rPr>
        <w:t> </w:t>
      </w:r>
      <w:r>
        <w:rPr>
          <w:w w:val="105"/>
        </w:rPr>
        <w:t>$10</w:t>
      </w:r>
      <w:r>
        <w:rPr>
          <w:spacing w:val="-6"/>
          <w:w w:val="105"/>
        </w:rPr>
        <w:t> </w:t>
      </w:r>
      <w:r>
        <w:rPr>
          <w:w w:val="105"/>
        </w:rPr>
        <w:t>million</w:t>
      </w:r>
      <w:r>
        <w:rPr>
          <w:spacing w:val="-8"/>
          <w:w w:val="105"/>
        </w:rPr>
        <w:t> </w:t>
      </w:r>
      <w:r>
        <w:rPr>
          <w:w w:val="105"/>
        </w:rPr>
        <w:t>of</w:t>
      </w:r>
      <w:r>
        <w:rPr>
          <w:spacing w:val="-8"/>
          <w:w w:val="105"/>
        </w:rPr>
        <w:t> </w:t>
      </w:r>
      <w:r>
        <w:rPr>
          <w:w w:val="105"/>
        </w:rPr>
        <w:t>unrecognized</w:t>
      </w:r>
      <w:r>
        <w:rPr>
          <w:spacing w:val="-8"/>
          <w:w w:val="105"/>
        </w:rPr>
        <w:t> </w:t>
      </w:r>
      <w:r>
        <w:rPr>
          <w:w w:val="105"/>
        </w:rPr>
        <w:t>compensation</w:t>
      </w:r>
      <w:r>
        <w:rPr>
          <w:spacing w:val="-8"/>
          <w:w w:val="105"/>
        </w:rPr>
        <w:t> </w:t>
      </w:r>
      <w:r>
        <w:rPr>
          <w:w w:val="105"/>
        </w:rPr>
        <w:t>cost</w:t>
      </w:r>
      <w:r>
        <w:rPr>
          <w:spacing w:val="-8"/>
          <w:w w:val="105"/>
        </w:rPr>
        <w:t> </w:t>
      </w:r>
      <w:r>
        <w:rPr>
          <w:w w:val="105"/>
        </w:rPr>
        <w:t>related</w:t>
      </w:r>
      <w:r>
        <w:rPr>
          <w:spacing w:val="-6"/>
          <w:w w:val="105"/>
        </w:rPr>
        <w:t> </w:t>
      </w:r>
      <w:r>
        <w:rPr>
          <w:w w:val="105"/>
        </w:rPr>
        <w:t>to</w:t>
      </w:r>
      <w:r>
        <w:rPr>
          <w:spacing w:val="-8"/>
          <w:w w:val="105"/>
        </w:rPr>
        <w:t> </w:t>
      </w:r>
      <w:r>
        <w:rPr>
          <w:w w:val="105"/>
        </w:rPr>
        <w:t>stock</w:t>
      </w:r>
      <w:r>
        <w:rPr>
          <w:spacing w:val="-8"/>
          <w:w w:val="105"/>
        </w:rPr>
        <w:t> </w:t>
      </w:r>
      <w:r>
        <w:rPr>
          <w:w w:val="105"/>
        </w:rPr>
        <w:t>options</w:t>
      </w:r>
      <w:r>
        <w:rPr>
          <w:spacing w:val="-8"/>
          <w:w w:val="105"/>
        </w:rPr>
        <w:t> </w:t>
      </w:r>
      <w:r>
        <w:rPr>
          <w:w w:val="105"/>
        </w:rPr>
        <w:t>granted</w:t>
      </w:r>
      <w:r>
        <w:rPr>
          <w:spacing w:val="-8"/>
          <w:w w:val="105"/>
        </w:rPr>
        <w:t> </w:t>
      </w:r>
      <w:r>
        <w:rPr>
          <w:w w:val="105"/>
        </w:rPr>
        <w:t>under</w:t>
      </w:r>
      <w:r>
        <w:rPr>
          <w:spacing w:val="-8"/>
          <w:w w:val="105"/>
        </w:rPr>
        <w:t> </w:t>
      </w:r>
      <w:r>
        <w:rPr>
          <w:w w:val="105"/>
        </w:rPr>
        <w:t>the</w:t>
      </w:r>
      <w:r>
        <w:rPr>
          <w:spacing w:val="-8"/>
          <w:w w:val="105"/>
        </w:rPr>
        <w:t> </w:t>
      </w:r>
      <w:r>
        <w:rPr>
          <w:w w:val="105"/>
        </w:rPr>
        <w:t>Plans.</w:t>
      </w:r>
      <w:r>
        <w:rPr>
          <w:spacing w:val="-8"/>
          <w:w w:val="105"/>
        </w:rPr>
        <w:t> </w:t>
      </w:r>
      <w:r>
        <w:rPr>
          <w:w w:val="105"/>
        </w:rPr>
        <w:t>The</w:t>
      </w:r>
      <w:r>
        <w:rPr>
          <w:spacing w:val="-8"/>
          <w:w w:val="105"/>
        </w:rPr>
        <w:t> </w:t>
      </w:r>
      <w:r>
        <w:rPr>
          <w:w w:val="105"/>
        </w:rPr>
        <w:t>cost</w:t>
      </w:r>
      <w:r>
        <w:rPr>
          <w:spacing w:val="-8"/>
          <w:w w:val="105"/>
        </w:rPr>
        <w:t> </w:t>
      </w:r>
      <w:r>
        <w:rPr>
          <w:w w:val="105"/>
        </w:rPr>
        <w:t>is</w:t>
      </w:r>
      <w:r>
        <w:rPr>
          <w:spacing w:val="-8"/>
          <w:w w:val="105"/>
        </w:rPr>
        <w:t> </w:t>
      </w:r>
      <w:r>
        <w:rPr>
          <w:w w:val="105"/>
        </w:rPr>
        <w:t>expected</w:t>
      </w:r>
      <w:r>
        <w:rPr>
          <w:spacing w:val="-8"/>
          <w:w w:val="105"/>
        </w:rPr>
        <w:t> </w:t>
      </w:r>
      <w:r>
        <w:rPr>
          <w:w w:val="105"/>
        </w:rPr>
        <w:t>to be recognized over a weighted-average period of 1.3 years.</w:t>
      </w:r>
    </w:p>
    <w:p>
      <w:pPr>
        <w:pStyle w:val="BodyText"/>
        <w:spacing w:before="18"/>
      </w:pPr>
    </w:p>
    <w:p>
      <w:pPr>
        <w:pStyle w:val="BodyText"/>
        <w:spacing w:line="266" w:lineRule="auto" w:before="1"/>
        <w:ind w:left="156"/>
      </w:pPr>
      <w:r>
        <w:rPr>
          <w:w w:val="105"/>
        </w:rPr>
        <w:t>Proceeds</w:t>
      </w:r>
      <w:r>
        <w:rPr>
          <w:spacing w:val="-7"/>
          <w:w w:val="105"/>
        </w:rPr>
        <w:t> </w:t>
      </w:r>
      <w:r>
        <w:rPr>
          <w:w w:val="105"/>
        </w:rPr>
        <w:t>received</w:t>
      </w:r>
      <w:r>
        <w:rPr>
          <w:spacing w:val="-7"/>
          <w:w w:val="105"/>
        </w:rPr>
        <w:t> </w:t>
      </w:r>
      <w:r>
        <w:rPr>
          <w:w w:val="105"/>
        </w:rPr>
        <w:t>from</w:t>
      </w:r>
      <w:r>
        <w:rPr>
          <w:spacing w:val="-5"/>
          <w:w w:val="105"/>
        </w:rPr>
        <w:t> </w:t>
      </w:r>
      <w:r>
        <w:rPr>
          <w:w w:val="105"/>
        </w:rPr>
        <w:t>the</w:t>
      </w:r>
      <w:r>
        <w:rPr>
          <w:spacing w:val="-7"/>
          <w:w w:val="105"/>
        </w:rPr>
        <w:t> </w:t>
      </w:r>
      <w:r>
        <w:rPr>
          <w:w w:val="105"/>
        </w:rPr>
        <w:t>exercise</w:t>
      </w:r>
      <w:r>
        <w:rPr>
          <w:spacing w:val="-7"/>
          <w:w w:val="105"/>
        </w:rPr>
        <w:t> </w:t>
      </w:r>
      <w:r>
        <w:rPr>
          <w:w w:val="105"/>
        </w:rPr>
        <w:t>of</w:t>
      </w:r>
      <w:r>
        <w:rPr>
          <w:spacing w:val="-7"/>
          <w:w w:val="105"/>
        </w:rPr>
        <w:t> </w:t>
      </w:r>
      <w:r>
        <w:rPr>
          <w:w w:val="105"/>
        </w:rPr>
        <w:t>stock</w:t>
      </w:r>
      <w:r>
        <w:rPr>
          <w:spacing w:val="-7"/>
          <w:w w:val="105"/>
        </w:rPr>
        <w:t> </w:t>
      </w:r>
      <w:r>
        <w:rPr>
          <w:w w:val="105"/>
        </w:rPr>
        <w:t>options</w:t>
      </w:r>
      <w:r>
        <w:rPr>
          <w:spacing w:val="-7"/>
          <w:w w:val="105"/>
        </w:rPr>
        <w:t> </w:t>
      </w:r>
      <w:r>
        <w:rPr>
          <w:w w:val="105"/>
        </w:rPr>
        <w:t>were</w:t>
      </w:r>
      <w:r>
        <w:rPr>
          <w:spacing w:val="-7"/>
          <w:w w:val="105"/>
        </w:rPr>
        <w:t> </w:t>
      </w:r>
      <w:r>
        <w:rPr>
          <w:w w:val="105"/>
        </w:rPr>
        <w:t>$97</w:t>
      </w:r>
      <w:r>
        <w:rPr>
          <w:spacing w:val="-7"/>
          <w:w w:val="105"/>
        </w:rPr>
        <w:t> </w:t>
      </w:r>
      <w:r>
        <w:rPr>
          <w:w w:val="105"/>
        </w:rPr>
        <w:t>million,</w:t>
      </w:r>
      <w:r>
        <w:rPr>
          <w:spacing w:val="-7"/>
          <w:w w:val="105"/>
        </w:rPr>
        <w:t> </w:t>
      </w:r>
      <w:r>
        <w:rPr>
          <w:w w:val="105"/>
        </w:rPr>
        <w:t>with</w:t>
      </w:r>
      <w:r>
        <w:rPr>
          <w:spacing w:val="-7"/>
          <w:w w:val="105"/>
        </w:rPr>
        <w:t> </w:t>
      </w:r>
      <w:r>
        <w:rPr>
          <w:w w:val="105"/>
        </w:rPr>
        <w:t>a</w:t>
      </w:r>
      <w:r>
        <w:rPr>
          <w:spacing w:val="-7"/>
          <w:w w:val="105"/>
        </w:rPr>
        <w:t> </w:t>
      </w:r>
      <w:r>
        <w:rPr>
          <w:w w:val="105"/>
        </w:rPr>
        <w:t>corresponding</w:t>
      </w:r>
      <w:r>
        <w:rPr>
          <w:spacing w:val="-7"/>
          <w:w w:val="105"/>
        </w:rPr>
        <w:t> </w:t>
      </w:r>
      <w:r>
        <w:rPr>
          <w:w w:val="105"/>
        </w:rPr>
        <w:t>realized</w:t>
      </w:r>
      <w:r>
        <w:rPr>
          <w:spacing w:val="-7"/>
          <w:w w:val="105"/>
        </w:rPr>
        <w:t> </w:t>
      </w:r>
      <w:r>
        <w:rPr>
          <w:w w:val="105"/>
        </w:rPr>
        <w:t>tax</w:t>
      </w:r>
      <w:r>
        <w:rPr>
          <w:spacing w:val="-7"/>
          <w:w w:val="105"/>
        </w:rPr>
        <w:t> </w:t>
      </w:r>
      <w:r>
        <w:rPr>
          <w:w w:val="105"/>
        </w:rPr>
        <w:t>benefit</w:t>
      </w:r>
      <w:r>
        <w:rPr>
          <w:spacing w:val="-7"/>
          <w:w w:val="105"/>
        </w:rPr>
        <w:t> </w:t>
      </w:r>
      <w:r>
        <w:rPr>
          <w:w w:val="105"/>
        </w:rPr>
        <w:t>of</w:t>
      </w:r>
      <w:r>
        <w:rPr>
          <w:spacing w:val="-7"/>
          <w:w w:val="105"/>
        </w:rPr>
        <w:t> </w:t>
      </w:r>
      <w:r>
        <w:rPr>
          <w:w w:val="105"/>
        </w:rPr>
        <w:t>$15</w:t>
      </w:r>
      <w:r>
        <w:rPr>
          <w:spacing w:val="-7"/>
          <w:w w:val="105"/>
        </w:rPr>
        <w:t> </w:t>
      </w:r>
      <w:r>
        <w:rPr>
          <w:w w:val="105"/>
        </w:rPr>
        <w:t>million,</w:t>
      </w:r>
      <w:r>
        <w:rPr>
          <w:spacing w:val="-7"/>
          <w:w w:val="105"/>
        </w:rPr>
        <w:t> </w:t>
      </w:r>
      <w:r>
        <w:rPr>
          <w:w w:val="105"/>
        </w:rPr>
        <w:t>for</w:t>
      </w:r>
      <w:r>
        <w:rPr>
          <w:spacing w:val="-7"/>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2021.</w:t>
      </w:r>
      <w:r>
        <w:rPr>
          <w:spacing w:val="-7"/>
          <w:w w:val="105"/>
        </w:rPr>
        <w:t> </w:t>
      </w:r>
      <w:r>
        <w:rPr>
          <w:w w:val="105"/>
        </w:rPr>
        <w:t>The total</w:t>
      </w:r>
      <w:r>
        <w:rPr>
          <w:spacing w:val="-9"/>
          <w:w w:val="105"/>
        </w:rPr>
        <w:t> </w:t>
      </w:r>
      <w:r>
        <w:rPr>
          <w:w w:val="105"/>
        </w:rPr>
        <w:t>intrinsic</w:t>
      </w:r>
      <w:r>
        <w:rPr>
          <w:spacing w:val="-9"/>
          <w:w w:val="105"/>
        </w:rPr>
        <w:t> </w:t>
      </w:r>
      <w:r>
        <w:rPr>
          <w:w w:val="105"/>
        </w:rPr>
        <w:t>value</w:t>
      </w:r>
      <w:r>
        <w:rPr>
          <w:spacing w:val="-8"/>
          <w:w w:val="105"/>
        </w:rPr>
        <w:t> </w:t>
      </w:r>
      <w:r>
        <w:rPr>
          <w:w w:val="105"/>
        </w:rPr>
        <w:t>of</w:t>
      </w:r>
      <w:r>
        <w:rPr>
          <w:spacing w:val="-9"/>
          <w:w w:val="105"/>
        </w:rPr>
        <w:t> </w:t>
      </w:r>
      <w:r>
        <w:rPr>
          <w:w w:val="105"/>
        </w:rPr>
        <w:t>options</w:t>
      </w:r>
      <w:r>
        <w:rPr>
          <w:spacing w:val="-9"/>
          <w:w w:val="105"/>
        </w:rPr>
        <w:t> </w:t>
      </w:r>
      <w:r>
        <w:rPr>
          <w:w w:val="105"/>
        </w:rPr>
        <w:t>exercised</w:t>
      </w:r>
      <w:r>
        <w:rPr>
          <w:spacing w:val="-8"/>
          <w:w w:val="105"/>
        </w:rPr>
        <w:t> </w:t>
      </w:r>
      <w:r>
        <w:rPr>
          <w:w w:val="105"/>
        </w:rPr>
        <w:t>for</w:t>
      </w:r>
      <w:r>
        <w:rPr>
          <w:spacing w:val="-9"/>
          <w:w w:val="105"/>
        </w:rPr>
        <w:t> </w:t>
      </w:r>
      <w:r>
        <w:rPr>
          <w:w w:val="105"/>
        </w:rPr>
        <w:t>the</w:t>
      </w:r>
      <w:r>
        <w:rPr>
          <w:spacing w:val="-8"/>
          <w:w w:val="105"/>
        </w:rPr>
        <w:t> </w:t>
      </w:r>
      <w:r>
        <w:rPr>
          <w:w w:val="105"/>
        </w:rPr>
        <w:t>years</w:t>
      </w:r>
      <w:r>
        <w:rPr>
          <w:spacing w:val="-9"/>
          <w:w w:val="105"/>
        </w:rPr>
        <w:t> </w:t>
      </w:r>
      <w:r>
        <w:rPr>
          <w:w w:val="105"/>
        </w:rPr>
        <w:t>ended</w:t>
      </w:r>
      <w:r>
        <w:rPr>
          <w:spacing w:val="-8"/>
          <w:w w:val="105"/>
        </w:rPr>
        <w:t> </w:t>
      </w:r>
      <w:r>
        <w:rPr>
          <w:w w:val="105"/>
        </w:rPr>
        <w:t>December</w:t>
      </w:r>
      <w:r>
        <w:rPr>
          <w:spacing w:val="-8"/>
          <w:w w:val="105"/>
        </w:rPr>
        <w:t> </w:t>
      </w:r>
      <w:r>
        <w:rPr>
          <w:w w:val="105"/>
        </w:rPr>
        <w:t>31,</w:t>
      </w:r>
      <w:r>
        <w:rPr>
          <w:spacing w:val="-9"/>
          <w:w w:val="105"/>
        </w:rPr>
        <w:t> </w:t>
      </w:r>
      <w:r>
        <w:rPr>
          <w:w w:val="105"/>
        </w:rPr>
        <w:t>2021,</w:t>
      </w:r>
      <w:r>
        <w:rPr>
          <w:spacing w:val="-8"/>
          <w:w w:val="105"/>
        </w:rPr>
        <w:t> </w:t>
      </w:r>
      <w:r>
        <w:rPr>
          <w:w w:val="105"/>
        </w:rPr>
        <w:t>2020</w:t>
      </w:r>
      <w:r>
        <w:rPr>
          <w:spacing w:val="-8"/>
          <w:w w:val="105"/>
        </w:rPr>
        <w:t> </w:t>
      </w:r>
      <w:r>
        <w:rPr>
          <w:w w:val="105"/>
        </w:rPr>
        <w:t>and</w:t>
      </w:r>
      <w:r>
        <w:rPr>
          <w:spacing w:val="-9"/>
          <w:w w:val="105"/>
        </w:rPr>
        <w:t> </w:t>
      </w:r>
      <w:r>
        <w:rPr>
          <w:w w:val="105"/>
        </w:rPr>
        <w:t>2019</w:t>
      </w:r>
      <w:r>
        <w:rPr>
          <w:spacing w:val="-9"/>
          <w:w w:val="105"/>
        </w:rPr>
        <w:t> </w:t>
      </w:r>
      <w:r>
        <w:rPr>
          <w:w w:val="105"/>
        </w:rPr>
        <w:t>was</w:t>
      </w:r>
      <w:r>
        <w:rPr>
          <w:spacing w:val="-8"/>
          <w:w w:val="105"/>
        </w:rPr>
        <w:t> </w:t>
      </w:r>
      <w:r>
        <w:rPr>
          <w:w w:val="105"/>
        </w:rPr>
        <w:t>approximately</w:t>
      </w:r>
      <w:r>
        <w:rPr>
          <w:spacing w:val="-9"/>
          <w:w w:val="105"/>
        </w:rPr>
        <w:t> </w:t>
      </w:r>
      <w:r>
        <w:rPr>
          <w:w w:val="105"/>
        </w:rPr>
        <w:t>$100</w:t>
      </w:r>
      <w:r>
        <w:rPr>
          <w:spacing w:val="-8"/>
          <w:w w:val="105"/>
        </w:rPr>
        <w:t> </w:t>
      </w:r>
      <w:r>
        <w:rPr>
          <w:w w:val="105"/>
        </w:rPr>
        <w:t>million,</w:t>
      </w:r>
      <w:r>
        <w:rPr>
          <w:spacing w:val="-9"/>
          <w:w w:val="105"/>
        </w:rPr>
        <w:t> </w:t>
      </w:r>
      <w:r>
        <w:rPr>
          <w:w w:val="105"/>
        </w:rPr>
        <w:t>$99</w:t>
      </w:r>
      <w:r>
        <w:rPr>
          <w:spacing w:val="-9"/>
          <w:w w:val="105"/>
        </w:rPr>
        <w:t> </w:t>
      </w:r>
      <w:r>
        <w:rPr>
          <w:w w:val="105"/>
        </w:rPr>
        <w:t>million</w:t>
      </w:r>
      <w:r>
        <w:rPr>
          <w:spacing w:val="-8"/>
          <w:w w:val="105"/>
        </w:rPr>
        <w:t> </w:t>
      </w:r>
      <w:r>
        <w:rPr>
          <w:w w:val="105"/>
        </w:rPr>
        <w:t>and</w:t>
      </w:r>
      <w:r>
        <w:rPr>
          <w:spacing w:val="-9"/>
          <w:w w:val="105"/>
        </w:rPr>
        <w:t> </w:t>
      </w:r>
      <w:r>
        <w:rPr>
          <w:w w:val="105"/>
        </w:rPr>
        <w:t>$47</w:t>
      </w:r>
      <w:r>
        <w:rPr>
          <w:spacing w:val="-8"/>
          <w:w w:val="105"/>
        </w:rPr>
        <w:t> </w:t>
      </w:r>
      <w:r>
        <w:rPr>
          <w:w w:val="105"/>
        </w:rPr>
        <w:t>million,</w:t>
      </w:r>
      <w:r>
        <w:rPr>
          <w:spacing w:val="-9"/>
          <w:w w:val="105"/>
        </w:rPr>
        <w:t> </w:t>
      </w:r>
      <w:r>
        <w:rPr>
          <w:spacing w:val="-2"/>
          <w:w w:val="105"/>
        </w:rPr>
        <w:t>respectively.</w:t>
      </w:r>
    </w:p>
    <w:p>
      <w:pPr>
        <w:pStyle w:val="BodyText"/>
        <w:spacing w:before="18"/>
      </w:pPr>
    </w:p>
    <w:p>
      <w:pPr>
        <w:pStyle w:val="BodyText"/>
        <w:spacing w:line="266" w:lineRule="auto" w:before="1"/>
        <w:ind w:left="156"/>
      </w:pPr>
      <w:r>
        <w:rPr>
          <w:w w:val="105"/>
        </w:rPr>
        <w:t>Corning</w:t>
      </w:r>
      <w:r>
        <w:rPr>
          <w:spacing w:val="-2"/>
          <w:w w:val="105"/>
        </w:rPr>
        <w:t> </w:t>
      </w:r>
      <w:r>
        <w:rPr>
          <w:w w:val="105"/>
        </w:rPr>
        <w:t>uses</w:t>
      </w:r>
      <w:r>
        <w:rPr>
          <w:spacing w:val="-2"/>
          <w:w w:val="105"/>
        </w:rPr>
        <w:t> </w:t>
      </w:r>
      <w:r>
        <w:rPr>
          <w:w w:val="105"/>
        </w:rPr>
        <w:t>a</w:t>
      </w:r>
      <w:r>
        <w:rPr>
          <w:spacing w:val="-2"/>
          <w:w w:val="105"/>
        </w:rPr>
        <w:t> </w:t>
      </w:r>
      <w:r>
        <w:rPr>
          <w:w w:val="105"/>
        </w:rPr>
        <w:t>multiple-point</w:t>
      </w:r>
      <w:r>
        <w:rPr>
          <w:spacing w:val="-2"/>
          <w:w w:val="105"/>
        </w:rPr>
        <w:t> </w:t>
      </w:r>
      <w:r>
        <w:rPr>
          <w:w w:val="105"/>
        </w:rPr>
        <w:t>Black-Scholes</w:t>
      </w:r>
      <w:r>
        <w:rPr>
          <w:spacing w:val="-2"/>
          <w:w w:val="105"/>
        </w:rPr>
        <w:t> </w:t>
      </w:r>
      <w:r>
        <w:rPr>
          <w:w w:val="105"/>
        </w:rPr>
        <w:t>valuation</w:t>
      </w:r>
      <w:r>
        <w:rPr>
          <w:spacing w:val="-2"/>
          <w:w w:val="105"/>
        </w:rPr>
        <w:t> </w:t>
      </w:r>
      <w:r>
        <w:rPr>
          <w:w w:val="105"/>
        </w:rPr>
        <w:t>model to</w:t>
      </w:r>
      <w:r>
        <w:rPr>
          <w:spacing w:val="-2"/>
          <w:w w:val="105"/>
        </w:rPr>
        <w:t> </w:t>
      </w:r>
      <w:r>
        <w:rPr>
          <w:w w:val="105"/>
        </w:rPr>
        <w:t>estimate</w:t>
      </w:r>
      <w:r>
        <w:rPr>
          <w:spacing w:val="-2"/>
          <w:w w:val="105"/>
        </w:rPr>
        <w:t> </w:t>
      </w:r>
      <w:r>
        <w:rPr>
          <w:w w:val="105"/>
        </w:rPr>
        <w:t>the</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stock</w:t>
      </w:r>
      <w:r>
        <w:rPr>
          <w:spacing w:val="-2"/>
          <w:w w:val="105"/>
        </w:rPr>
        <w:t> </w:t>
      </w:r>
      <w:r>
        <w:rPr>
          <w:w w:val="105"/>
        </w:rPr>
        <w:t>option</w:t>
      </w:r>
      <w:r>
        <w:rPr>
          <w:spacing w:val="-2"/>
          <w:w w:val="105"/>
        </w:rPr>
        <w:t> </w:t>
      </w:r>
      <w:r>
        <w:rPr>
          <w:w w:val="105"/>
        </w:rPr>
        <w:t>grants.</w:t>
      </w:r>
      <w:r>
        <w:rPr>
          <w:spacing w:val="-2"/>
          <w:w w:val="105"/>
        </w:rPr>
        <w:t> </w:t>
      </w:r>
      <w:r>
        <w:rPr>
          <w:w w:val="105"/>
        </w:rPr>
        <w:t>Corning</w:t>
      </w:r>
      <w:r>
        <w:rPr>
          <w:spacing w:val="-2"/>
          <w:w w:val="105"/>
        </w:rPr>
        <w:t> </w:t>
      </w:r>
      <w:r>
        <w:rPr>
          <w:w w:val="105"/>
        </w:rPr>
        <w:t>utilizes</w:t>
      </w:r>
      <w:r>
        <w:rPr>
          <w:spacing w:val="-2"/>
          <w:w w:val="105"/>
        </w:rPr>
        <w:t> </w:t>
      </w:r>
      <w:r>
        <w:rPr>
          <w:w w:val="105"/>
        </w:rPr>
        <w:t>a</w:t>
      </w:r>
      <w:r>
        <w:rPr>
          <w:spacing w:val="-2"/>
          <w:w w:val="105"/>
        </w:rPr>
        <w:t> </w:t>
      </w:r>
      <w:r>
        <w:rPr>
          <w:w w:val="105"/>
        </w:rPr>
        <w:t>blended</w:t>
      </w:r>
      <w:r>
        <w:rPr>
          <w:spacing w:val="-2"/>
          <w:w w:val="105"/>
        </w:rPr>
        <w:t> </w:t>
      </w:r>
      <w:r>
        <w:rPr>
          <w:w w:val="105"/>
        </w:rPr>
        <w:t>approach</w:t>
      </w:r>
      <w:r>
        <w:rPr>
          <w:spacing w:val="-2"/>
          <w:w w:val="105"/>
        </w:rPr>
        <w:t> </w:t>
      </w:r>
      <w:r>
        <w:rPr>
          <w:w w:val="105"/>
        </w:rPr>
        <w:t>for</w:t>
      </w:r>
      <w:r>
        <w:rPr>
          <w:spacing w:val="-2"/>
          <w:w w:val="105"/>
        </w:rPr>
        <w:t> </w:t>
      </w:r>
      <w:r>
        <w:rPr>
          <w:w w:val="105"/>
        </w:rPr>
        <w:t>calculating</w:t>
      </w:r>
      <w:r>
        <w:rPr>
          <w:spacing w:val="-2"/>
          <w:w w:val="105"/>
        </w:rPr>
        <w:t> </w:t>
      </w:r>
      <w:r>
        <w:rPr>
          <w:w w:val="105"/>
        </w:rPr>
        <w:t>the volatility</w:t>
      </w:r>
      <w:r>
        <w:rPr>
          <w:spacing w:val="-9"/>
          <w:w w:val="105"/>
        </w:rPr>
        <w:t> </w:t>
      </w:r>
      <w:r>
        <w:rPr>
          <w:w w:val="105"/>
        </w:rPr>
        <w:t>assumption</w:t>
      </w:r>
      <w:r>
        <w:rPr>
          <w:spacing w:val="-9"/>
          <w:w w:val="105"/>
        </w:rPr>
        <w:t> </w:t>
      </w:r>
      <w:r>
        <w:rPr>
          <w:w w:val="105"/>
        </w:rPr>
        <w:t>used</w:t>
      </w:r>
      <w:r>
        <w:rPr>
          <w:spacing w:val="-8"/>
          <w:w w:val="105"/>
        </w:rPr>
        <w:t> </w:t>
      </w:r>
      <w:r>
        <w:rPr>
          <w:w w:val="105"/>
        </w:rPr>
        <w:t>in</w:t>
      </w:r>
      <w:r>
        <w:rPr>
          <w:spacing w:val="-9"/>
          <w:w w:val="105"/>
        </w:rPr>
        <w:t> </w:t>
      </w:r>
      <w:r>
        <w:rPr>
          <w:w w:val="105"/>
        </w:rPr>
        <w:t>the</w:t>
      </w:r>
      <w:r>
        <w:rPr>
          <w:spacing w:val="-9"/>
          <w:w w:val="105"/>
        </w:rPr>
        <w:t> </w:t>
      </w:r>
      <w:r>
        <w:rPr>
          <w:w w:val="105"/>
        </w:rPr>
        <w:t>multiple-point</w:t>
      </w:r>
      <w:r>
        <w:rPr>
          <w:spacing w:val="-9"/>
          <w:w w:val="105"/>
        </w:rPr>
        <w:t> </w:t>
      </w:r>
      <w:r>
        <w:rPr>
          <w:w w:val="105"/>
        </w:rPr>
        <w:t>Black-Scholes</w:t>
      </w:r>
      <w:r>
        <w:rPr>
          <w:spacing w:val="-9"/>
          <w:w w:val="105"/>
        </w:rPr>
        <w:t> </w:t>
      </w:r>
      <w:r>
        <w:rPr>
          <w:w w:val="105"/>
        </w:rPr>
        <w:t>valuation</w:t>
      </w:r>
      <w:r>
        <w:rPr>
          <w:spacing w:val="-9"/>
          <w:w w:val="105"/>
        </w:rPr>
        <w:t> </w:t>
      </w:r>
      <w:r>
        <w:rPr>
          <w:w w:val="105"/>
        </w:rPr>
        <w:t>model</w:t>
      </w:r>
      <w:r>
        <w:rPr>
          <w:spacing w:val="-9"/>
          <w:w w:val="105"/>
        </w:rPr>
        <w:t> </w:t>
      </w:r>
      <w:r>
        <w:rPr>
          <w:w w:val="105"/>
        </w:rPr>
        <w:t>defined</w:t>
      </w:r>
      <w:r>
        <w:rPr>
          <w:spacing w:val="-9"/>
          <w:w w:val="105"/>
        </w:rPr>
        <w:t> </w:t>
      </w:r>
      <w:r>
        <w:rPr>
          <w:w w:val="105"/>
        </w:rPr>
        <w:t>as</w:t>
      </w:r>
      <w:r>
        <w:rPr>
          <w:spacing w:val="-9"/>
          <w:w w:val="105"/>
        </w:rPr>
        <w:t> </w:t>
      </w:r>
      <w:r>
        <w:rPr>
          <w:w w:val="105"/>
        </w:rPr>
        <w:t>the</w:t>
      </w:r>
      <w:r>
        <w:rPr>
          <w:spacing w:val="-9"/>
          <w:w w:val="105"/>
        </w:rPr>
        <w:t> </w:t>
      </w:r>
      <w:r>
        <w:rPr>
          <w:w w:val="105"/>
        </w:rPr>
        <w:t>weighted</w:t>
      </w:r>
      <w:r>
        <w:rPr>
          <w:spacing w:val="-9"/>
          <w:w w:val="105"/>
        </w:rPr>
        <w:t> </w:t>
      </w:r>
      <w:r>
        <w:rPr>
          <w:w w:val="105"/>
        </w:rPr>
        <w:t>average</w:t>
      </w:r>
      <w:r>
        <w:rPr>
          <w:spacing w:val="-9"/>
          <w:w w:val="105"/>
        </w:rPr>
        <w:t> </w:t>
      </w:r>
      <w:r>
        <w:rPr>
          <w:w w:val="105"/>
        </w:rPr>
        <w:t>of</w:t>
      </w:r>
      <w:r>
        <w:rPr>
          <w:spacing w:val="-9"/>
          <w:w w:val="105"/>
        </w:rPr>
        <w:t> </w:t>
      </w:r>
      <w:r>
        <w:rPr>
          <w:w w:val="105"/>
        </w:rPr>
        <w:t>the</w:t>
      </w:r>
      <w:r>
        <w:rPr>
          <w:spacing w:val="-9"/>
          <w:w w:val="105"/>
        </w:rPr>
        <w:t> </w:t>
      </w:r>
      <w:r>
        <w:rPr>
          <w:w w:val="105"/>
        </w:rPr>
        <w:t>short-term</w:t>
      </w:r>
      <w:r>
        <w:rPr>
          <w:spacing w:val="-9"/>
          <w:w w:val="105"/>
        </w:rPr>
        <w:t> </w:t>
      </w:r>
      <w:r>
        <w:rPr>
          <w:w w:val="105"/>
        </w:rPr>
        <w:t>implied</w:t>
      </w:r>
      <w:r>
        <w:rPr>
          <w:spacing w:val="-9"/>
          <w:w w:val="105"/>
        </w:rPr>
        <w:t> </w:t>
      </w:r>
      <w:r>
        <w:rPr>
          <w:w w:val="105"/>
        </w:rPr>
        <w:t>volatility,</w:t>
      </w:r>
      <w:r>
        <w:rPr>
          <w:spacing w:val="-9"/>
          <w:w w:val="105"/>
        </w:rPr>
        <w:t> </w:t>
      </w:r>
      <w:r>
        <w:rPr>
          <w:w w:val="105"/>
        </w:rPr>
        <w:t>the</w:t>
      </w:r>
      <w:r>
        <w:rPr>
          <w:spacing w:val="-9"/>
          <w:w w:val="105"/>
        </w:rPr>
        <w:t> </w:t>
      </w:r>
      <w:r>
        <w:rPr>
          <w:w w:val="105"/>
        </w:rPr>
        <w:t>most</w:t>
      </w:r>
      <w:r>
        <w:rPr>
          <w:spacing w:val="-9"/>
          <w:w w:val="105"/>
        </w:rPr>
        <w:t> </w:t>
      </w:r>
      <w:r>
        <w:rPr>
          <w:w w:val="105"/>
        </w:rPr>
        <w:t>recent</w:t>
      </w:r>
      <w:r>
        <w:rPr>
          <w:spacing w:val="-9"/>
          <w:w w:val="105"/>
        </w:rPr>
        <w:t> </w:t>
      </w:r>
      <w:r>
        <w:rPr>
          <w:w w:val="105"/>
        </w:rPr>
        <w:t>volatility for</w:t>
      </w:r>
      <w:r>
        <w:rPr>
          <w:spacing w:val="-2"/>
          <w:w w:val="105"/>
        </w:rPr>
        <w:t> </w:t>
      </w:r>
      <w:r>
        <w:rPr>
          <w:w w:val="105"/>
        </w:rPr>
        <w:t>the</w:t>
      </w:r>
      <w:r>
        <w:rPr>
          <w:spacing w:val="-2"/>
          <w:w w:val="105"/>
        </w:rPr>
        <w:t> </w:t>
      </w:r>
      <w:r>
        <w:rPr>
          <w:w w:val="105"/>
        </w:rPr>
        <w:t>period</w:t>
      </w:r>
      <w:r>
        <w:rPr>
          <w:spacing w:val="-2"/>
          <w:w w:val="105"/>
        </w:rPr>
        <w:t> </w:t>
      </w:r>
      <w:r>
        <w:rPr>
          <w:w w:val="105"/>
        </w:rPr>
        <w:t>equal</w:t>
      </w:r>
      <w:r>
        <w:rPr>
          <w:spacing w:val="-2"/>
          <w:w w:val="105"/>
        </w:rPr>
        <w:t> </w:t>
      </w:r>
      <w:r>
        <w:rPr>
          <w:w w:val="105"/>
        </w:rPr>
        <w:t>to</w:t>
      </w:r>
      <w:r>
        <w:rPr>
          <w:spacing w:val="-2"/>
          <w:w w:val="105"/>
        </w:rPr>
        <w:t> </w:t>
      </w:r>
      <w:r>
        <w:rPr>
          <w:w w:val="105"/>
        </w:rPr>
        <w:t>the</w:t>
      </w:r>
      <w:r>
        <w:rPr>
          <w:spacing w:val="-2"/>
          <w:w w:val="105"/>
        </w:rPr>
        <w:t> </w:t>
      </w:r>
      <w:r>
        <w:rPr>
          <w:w w:val="105"/>
        </w:rPr>
        <w:t>expected</w:t>
      </w:r>
      <w:r>
        <w:rPr>
          <w:spacing w:val="-2"/>
          <w:w w:val="105"/>
        </w:rPr>
        <w:t> </w:t>
      </w:r>
      <w:r>
        <w:rPr>
          <w:w w:val="105"/>
        </w:rPr>
        <w:t>term,</w:t>
      </w:r>
      <w:r>
        <w:rPr>
          <w:spacing w:val="-2"/>
          <w:w w:val="105"/>
        </w:rPr>
        <w:t> </w:t>
      </w:r>
      <w:r>
        <w:rPr>
          <w:w w:val="105"/>
        </w:rPr>
        <w:t>and</w:t>
      </w:r>
      <w:r>
        <w:rPr>
          <w:spacing w:val="-2"/>
          <w:w w:val="105"/>
        </w:rPr>
        <w:t> </w:t>
      </w:r>
      <w:r>
        <w:rPr>
          <w:w w:val="105"/>
        </w:rPr>
        <w:t>the most</w:t>
      </w:r>
      <w:r>
        <w:rPr>
          <w:spacing w:val="-2"/>
          <w:w w:val="105"/>
        </w:rPr>
        <w:t> </w:t>
      </w:r>
      <w:r>
        <w:rPr>
          <w:w w:val="105"/>
        </w:rPr>
        <w:t>recent</w:t>
      </w:r>
      <w:r>
        <w:rPr>
          <w:spacing w:val="-2"/>
          <w:w w:val="105"/>
        </w:rPr>
        <w:t> </w:t>
      </w:r>
      <w:r>
        <w:rPr>
          <w:w w:val="105"/>
        </w:rPr>
        <w:t>15-year</w:t>
      </w:r>
      <w:r>
        <w:rPr>
          <w:spacing w:val="-2"/>
          <w:w w:val="105"/>
        </w:rPr>
        <w:t> </w:t>
      </w:r>
      <w:r>
        <w:rPr>
          <w:w w:val="105"/>
        </w:rPr>
        <w:t>historical</w:t>
      </w:r>
      <w:r>
        <w:rPr>
          <w:spacing w:val="-2"/>
          <w:w w:val="105"/>
        </w:rPr>
        <w:t> </w:t>
      </w:r>
      <w:r>
        <w:rPr>
          <w:w w:val="105"/>
        </w:rPr>
        <w:t>volatility.</w:t>
      </w:r>
      <w:r>
        <w:rPr>
          <w:spacing w:val="-2"/>
          <w:w w:val="105"/>
        </w:rPr>
        <w:t> </w:t>
      </w:r>
      <w:r>
        <w:rPr>
          <w:w w:val="105"/>
        </w:rPr>
        <w:t>The</w:t>
      </w:r>
      <w:r>
        <w:rPr>
          <w:spacing w:val="-2"/>
          <w:w w:val="105"/>
        </w:rPr>
        <w:t> </w:t>
      </w:r>
      <w:r>
        <w:rPr>
          <w:w w:val="105"/>
        </w:rPr>
        <w:t>expected</w:t>
      </w:r>
      <w:r>
        <w:rPr>
          <w:spacing w:val="-2"/>
          <w:w w:val="105"/>
        </w:rPr>
        <w:t> </w:t>
      </w:r>
      <w:r>
        <w:rPr>
          <w:w w:val="105"/>
        </w:rPr>
        <w:t>term</w:t>
      </w:r>
      <w:r>
        <w:rPr>
          <w:spacing w:val="-2"/>
          <w:w w:val="105"/>
        </w:rPr>
        <w:t> </w:t>
      </w:r>
      <w:r>
        <w:rPr>
          <w:w w:val="105"/>
        </w:rPr>
        <w:t>is</w:t>
      </w:r>
      <w:r>
        <w:rPr>
          <w:spacing w:val="-2"/>
          <w:w w:val="105"/>
        </w:rPr>
        <w:t> </w:t>
      </w:r>
      <w:r>
        <w:rPr>
          <w:w w:val="105"/>
        </w:rPr>
        <w:t>the</w:t>
      </w:r>
      <w:r>
        <w:rPr>
          <w:spacing w:val="-2"/>
          <w:w w:val="105"/>
        </w:rPr>
        <w:t> </w:t>
      </w:r>
      <w:r>
        <w:rPr>
          <w:w w:val="105"/>
        </w:rPr>
        <w:t>period</w:t>
      </w:r>
      <w:r>
        <w:rPr>
          <w:spacing w:val="-2"/>
          <w:w w:val="105"/>
        </w:rPr>
        <w:t> </w:t>
      </w:r>
      <w:r>
        <w:rPr>
          <w:w w:val="105"/>
        </w:rPr>
        <w:t>the</w:t>
      </w:r>
      <w:r>
        <w:rPr>
          <w:spacing w:val="-2"/>
          <w:w w:val="105"/>
        </w:rPr>
        <w:t> </w:t>
      </w:r>
      <w:r>
        <w:rPr>
          <w:w w:val="105"/>
        </w:rPr>
        <w:t>options are</w:t>
      </w:r>
      <w:r>
        <w:rPr>
          <w:spacing w:val="-2"/>
          <w:w w:val="105"/>
        </w:rPr>
        <w:t> </w:t>
      </w:r>
      <w:r>
        <w:rPr>
          <w:w w:val="105"/>
        </w:rPr>
        <w:t>expected</w:t>
      </w:r>
      <w:r>
        <w:rPr>
          <w:spacing w:val="-2"/>
          <w:w w:val="105"/>
        </w:rPr>
        <w:t> </w:t>
      </w:r>
      <w:r>
        <w:rPr>
          <w:w w:val="105"/>
        </w:rPr>
        <w:t>to</w:t>
      </w:r>
      <w:r>
        <w:rPr>
          <w:spacing w:val="-2"/>
          <w:w w:val="105"/>
        </w:rPr>
        <w:t> </w:t>
      </w:r>
      <w:r>
        <w:rPr>
          <w:w w:val="105"/>
        </w:rPr>
        <w:t>be</w:t>
      </w:r>
      <w:r>
        <w:rPr>
          <w:spacing w:val="-2"/>
          <w:w w:val="105"/>
        </w:rPr>
        <w:t> </w:t>
      </w:r>
      <w:r>
        <w:rPr>
          <w:w w:val="105"/>
        </w:rPr>
        <w:t>outstanding</w:t>
      </w:r>
      <w:r>
        <w:rPr>
          <w:spacing w:val="-2"/>
          <w:w w:val="105"/>
        </w:rPr>
        <w:t> </w:t>
      </w:r>
      <w:r>
        <w:rPr>
          <w:w w:val="105"/>
        </w:rPr>
        <w:t>and</w:t>
      </w:r>
      <w:r>
        <w:rPr>
          <w:spacing w:val="-2"/>
          <w:w w:val="105"/>
        </w:rPr>
        <w:t> </w:t>
      </w:r>
      <w:r>
        <w:rPr>
          <w:w w:val="105"/>
        </w:rPr>
        <w:t>is calculated</w:t>
      </w:r>
      <w:r>
        <w:rPr>
          <w:spacing w:val="-2"/>
          <w:w w:val="105"/>
        </w:rPr>
        <w:t> </w:t>
      </w:r>
      <w:r>
        <w:rPr>
          <w:w w:val="105"/>
        </w:rPr>
        <w:t>using</w:t>
      </w:r>
      <w:r>
        <w:rPr>
          <w:spacing w:val="-2"/>
          <w:w w:val="105"/>
        </w:rPr>
        <w:t> </w:t>
      </w:r>
      <w:r>
        <w:rPr>
          <w:w w:val="105"/>
        </w:rPr>
        <w:t>a</w:t>
      </w:r>
      <w:r>
        <w:rPr>
          <w:spacing w:val="-2"/>
          <w:w w:val="105"/>
        </w:rPr>
        <w:t> </w:t>
      </w:r>
      <w:r>
        <w:rPr>
          <w:w w:val="105"/>
        </w:rPr>
        <w:t>combination</w:t>
      </w:r>
      <w:r>
        <w:rPr>
          <w:spacing w:val="-2"/>
          <w:w w:val="105"/>
        </w:rPr>
        <w:t> </w:t>
      </w:r>
      <w:r>
        <w:rPr>
          <w:w w:val="105"/>
        </w:rPr>
        <w:t>of</w:t>
      </w:r>
      <w:r>
        <w:rPr>
          <w:spacing w:val="-2"/>
          <w:w w:val="105"/>
        </w:rPr>
        <w:t> </w:t>
      </w:r>
      <w:r>
        <w:rPr>
          <w:w w:val="105"/>
        </w:rPr>
        <w:t>historical</w:t>
      </w:r>
      <w:r>
        <w:rPr>
          <w:spacing w:val="-2"/>
          <w:w w:val="105"/>
        </w:rPr>
        <w:t> </w:t>
      </w:r>
      <w:r>
        <w:rPr>
          <w:w w:val="105"/>
        </w:rPr>
        <w:t>exercise</w:t>
      </w:r>
      <w:r>
        <w:rPr>
          <w:spacing w:val="-2"/>
          <w:w w:val="105"/>
        </w:rPr>
        <w:t> </w:t>
      </w:r>
      <w:r>
        <w:rPr>
          <w:w w:val="105"/>
        </w:rPr>
        <w:t>experience</w:t>
      </w:r>
      <w:r>
        <w:rPr>
          <w:spacing w:val="-2"/>
          <w:w w:val="105"/>
        </w:rPr>
        <w:t> </w:t>
      </w:r>
      <w:r>
        <w:rPr>
          <w:w w:val="105"/>
        </w:rPr>
        <w:t>adjusted</w:t>
      </w:r>
      <w:r>
        <w:rPr>
          <w:spacing w:val="-2"/>
          <w:w w:val="105"/>
        </w:rPr>
        <w:t> </w:t>
      </w:r>
      <w:r>
        <w:rPr>
          <w:w w:val="105"/>
        </w:rPr>
        <w:t>to</w:t>
      </w:r>
      <w:r>
        <w:rPr>
          <w:spacing w:val="-2"/>
          <w:w w:val="105"/>
        </w:rPr>
        <w:t> </w:t>
      </w:r>
      <w:r>
        <w:rPr>
          <w:w w:val="105"/>
        </w:rPr>
        <w:t>reflect</w:t>
      </w:r>
      <w:r>
        <w:rPr>
          <w:spacing w:val="-2"/>
          <w:w w:val="105"/>
        </w:rPr>
        <w:t> </w:t>
      </w:r>
      <w:r>
        <w:rPr>
          <w:w w:val="105"/>
        </w:rPr>
        <w:t>the current</w:t>
      </w:r>
      <w:r>
        <w:rPr>
          <w:spacing w:val="-2"/>
          <w:w w:val="105"/>
        </w:rPr>
        <w:t> </w:t>
      </w:r>
      <w:r>
        <w:rPr>
          <w:w w:val="105"/>
        </w:rPr>
        <w:t>vesting</w:t>
      </w:r>
      <w:r>
        <w:rPr>
          <w:spacing w:val="-2"/>
          <w:w w:val="105"/>
        </w:rPr>
        <w:t> </w:t>
      </w:r>
      <w:r>
        <w:rPr>
          <w:w w:val="105"/>
        </w:rPr>
        <w:t>period</w:t>
      </w:r>
      <w:r>
        <w:rPr>
          <w:spacing w:val="-2"/>
          <w:w w:val="105"/>
        </w:rPr>
        <w:t> </w:t>
      </w:r>
      <w:r>
        <w:rPr>
          <w:w w:val="105"/>
        </w:rPr>
        <w:t>of</w:t>
      </w:r>
      <w:r>
        <w:rPr>
          <w:spacing w:val="-2"/>
          <w:w w:val="105"/>
        </w:rPr>
        <w:t> </w:t>
      </w:r>
      <w:r>
        <w:rPr>
          <w:w w:val="105"/>
        </w:rPr>
        <w:t>options</w:t>
      </w:r>
      <w:r>
        <w:rPr>
          <w:spacing w:val="-2"/>
          <w:w w:val="105"/>
        </w:rPr>
        <w:t> </w:t>
      </w:r>
      <w:r>
        <w:rPr>
          <w:w w:val="105"/>
        </w:rPr>
        <w:t>being</w:t>
      </w:r>
      <w:r>
        <w:rPr>
          <w:spacing w:val="-2"/>
          <w:w w:val="105"/>
        </w:rPr>
        <w:t> </w:t>
      </w:r>
      <w:r>
        <w:rPr>
          <w:w w:val="105"/>
        </w:rPr>
        <w:t>valued,</w:t>
      </w:r>
      <w:r>
        <w:rPr>
          <w:spacing w:val="-2"/>
          <w:w w:val="105"/>
        </w:rPr>
        <w:t> </w:t>
      </w:r>
      <w:r>
        <w:rPr>
          <w:w w:val="105"/>
        </w:rPr>
        <w:t>and</w:t>
      </w:r>
      <w:r>
        <w:rPr>
          <w:spacing w:val="-2"/>
          <w:w w:val="105"/>
        </w:rPr>
        <w:t> </w:t>
      </w:r>
      <w:r>
        <w:rPr>
          <w:w w:val="105"/>
        </w:rPr>
        <w:t>partial life</w:t>
      </w:r>
      <w:r>
        <w:rPr>
          <w:spacing w:val="-2"/>
          <w:w w:val="105"/>
        </w:rPr>
        <w:t> </w:t>
      </w:r>
      <w:r>
        <w:rPr>
          <w:w w:val="105"/>
        </w:rPr>
        <w:t>cycles</w:t>
      </w:r>
      <w:r>
        <w:rPr>
          <w:spacing w:val="-2"/>
          <w:w w:val="105"/>
        </w:rPr>
        <w:t> </w:t>
      </w:r>
      <w:r>
        <w:rPr>
          <w:w w:val="105"/>
        </w:rPr>
        <w:t>of</w:t>
      </w:r>
      <w:r>
        <w:rPr>
          <w:spacing w:val="-2"/>
          <w:w w:val="105"/>
        </w:rPr>
        <w:t> </w:t>
      </w:r>
      <w:r>
        <w:rPr>
          <w:w w:val="105"/>
        </w:rPr>
        <w:t>outstanding options.</w:t>
      </w:r>
      <w:r>
        <w:rPr>
          <w:spacing w:val="-2"/>
          <w:w w:val="105"/>
        </w:rPr>
        <w:t> </w:t>
      </w:r>
      <w:r>
        <w:rPr>
          <w:w w:val="105"/>
        </w:rPr>
        <w:t>The</w:t>
      </w:r>
      <w:r>
        <w:rPr>
          <w:spacing w:val="-2"/>
          <w:w w:val="105"/>
        </w:rPr>
        <w:t> </w:t>
      </w:r>
      <w:r>
        <w:rPr>
          <w:w w:val="105"/>
        </w:rPr>
        <w:t>risk-free</w:t>
      </w:r>
      <w:r>
        <w:rPr>
          <w:spacing w:val="-2"/>
          <w:w w:val="105"/>
        </w:rPr>
        <w:t> </w:t>
      </w:r>
      <w:r>
        <w:rPr>
          <w:w w:val="105"/>
        </w:rPr>
        <w:t>rates</w:t>
      </w:r>
      <w:r>
        <w:rPr>
          <w:spacing w:val="-2"/>
          <w:w w:val="105"/>
        </w:rPr>
        <w:t> </w:t>
      </w:r>
      <w:r>
        <w:rPr>
          <w:w w:val="105"/>
        </w:rPr>
        <w:t>used</w:t>
      </w:r>
      <w:r>
        <w:rPr>
          <w:spacing w:val="-2"/>
          <w:w w:val="105"/>
        </w:rPr>
        <w:t> </w:t>
      </w:r>
      <w:r>
        <w:rPr>
          <w:w w:val="105"/>
        </w:rPr>
        <w:t>in</w:t>
      </w:r>
      <w:r>
        <w:rPr>
          <w:spacing w:val="-2"/>
          <w:w w:val="105"/>
        </w:rPr>
        <w:t> </w:t>
      </w:r>
      <w:r>
        <w:rPr>
          <w:w w:val="105"/>
        </w:rPr>
        <w:t>the</w:t>
      </w:r>
      <w:r>
        <w:rPr>
          <w:spacing w:val="-2"/>
          <w:w w:val="105"/>
        </w:rPr>
        <w:t> </w:t>
      </w:r>
      <w:r>
        <w:rPr>
          <w:w w:val="105"/>
        </w:rPr>
        <w:t>multiple-point</w:t>
      </w:r>
      <w:r>
        <w:rPr>
          <w:spacing w:val="-2"/>
          <w:w w:val="105"/>
        </w:rPr>
        <w:t> </w:t>
      </w:r>
      <w:r>
        <w:rPr>
          <w:w w:val="105"/>
        </w:rPr>
        <w:t>Black-Scholes</w:t>
      </w:r>
      <w:r>
        <w:rPr>
          <w:spacing w:val="-2"/>
          <w:w w:val="105"/>
        </w:rPr>
        <w:t> </w:t>
      </w:r>
      <w:r>
        <w:rPr>
          <w:w w:val="105"/>
        </w:rPr>
        <w:t>valuation</w:t>
      </w:r>
      <w:r>
        <w:rPr>
          <w:spacing w:val="-2"/>
          <w:w w:val="105"/>
        </w:rPr>
        <w:t> </w:t>
      </w:r>
      <w:r>
        <w:rPr>
          <w:w w:val="105"/>
        </w:rPr>
        <w:t>model</w:t>
      </w:r>
      <w:r>
        <w:rPr>
          <w:spacing w:val="-2"/>
          <w:w w:val="105"/>
        </w:rPr>
        <w:t> </w:t>
      </w:r>
      <w:r>
        <w:rPr>
          <w:w w:val="105"/>
        </w:rPr>
        <w:t>are</w:t>
      </w:r>
      <w:r>
        <w:rPr>
          <w:spacing w:val="-2"/>
          <w:w w:val="105"/>
        </w:rPr>
        <w:t> </w:t>
      </w:r>
      <w:r>
        <w:rPr>
          <w:w w:val="105"/>
        </w:rPr>
        <w:t>the</w:t>
      </w:r>
      <w:r>
        <w:rPr>
          <w:spacing w:val="-2"/>
          <w:w w:val="105"/>
        </w:rPr>
        <w:t> </w:t>
      </w:r>
      <w:r>
        <w:rPr>
          <w:w w:val="105"/>
        </w:rPr>
        <w:t>implied</w:t>
      </w:r>
      <w:r>
        <w:rPr>
          <w:spacing w:val="-2"/>
          <w:w w:val="105"/>
        </w:rPr>
        <w:t> </w:t>
      </w:r>
      <w:r>
        <w:rPr>
          <w:w w:val="105"/>
        </w:rPr>
        <w:t>rates</w:t>
      </w:r>
      <w:r>
        <w:rPr>
          <w:spacing w:val="-2"/>
          <w:w w:val="105"/>
        </w:rPr>
        <w:t> </w:t>
      </w:r>
      <w:r>
        <w:rPr>
          <w:w w:val="105"/>
        </w:rPr>
        <w:t>for</w:t>
      </w:r>
      <w:r>
        <w:rPr>
          <w:spacing w:val="-2"/>
          <w:w w:val="105"/>
        </w:rPr>
        <w:t> </w:t>
      </w:r>
      <w:r>
        <w:rPr>
          <w:w w:val="105"/>
        </w:rPr>
        <w:t>a</w:t>
      </w:r>
      <w:r>
        <w:rPr>
          <w:spacing w:val="-1"/>
          <w:w w:val="105"/>
        </w:rPr>
        <w:t> </w:t>
      </w:r>
      <w:r>
        <w:rPr>
          <w:w w:val="105"/>
        </w:rPr>
        <w:t>zero-coupon</w:t>
      </w:r>
      <w:r>
        <w:rPr>
          <w:spacing w:val="-2"/>
          <w:w w:val="105"/>
        </w:rPr>
        <w:t> </w:t>
      </w:r>
      <w:r>
        <w:rPr>
          <w:w w:val="105"/>
        </w:rPr>
        <w:t>U.S.</w:t>
      </w:r>
      <w:r>
        <w:rPr>
          <w:spacing w:val="-2"/>
          <w:w w:val="105"/>
        </w:rPr>
        <w:t> </w:t>
      </w:r>
      <w:r>
        <w:rPr>
          <w:w w:val="105"/>
        </w:rPr>
        <w:t>Treasury</w:t>
      </w:r>
      <w:r>
        <w:rPr>
          <w:spacing w:val="-2"/>
          <w:w w:val="105"/>
        </w:rPr>
        <w:t> </w:t>
      </w:r>
      <w:r>
        <w:rPr>
          <w:w w:val="105"/>
        </w:rPr>
        <w:t>bond</w:t>
      </w:r>
      <w:r>
        <w:rPr>
          <w:spacing w:val="-2"/>
          <w:w w:val="105"/>
        </w:rPr>
        <w:t> </w:t>
      </w:r>
      <w:r>
        <w:rPr>
          <w:w w:val="105"/>
        </w:rPr>
        <w:t>with</w:t>
      </w:r>
      <w:r>
        <w:rPr>
          <w:spacing w:val="-2"/>
          <w:w w:val="105"/>
        </w:rPr>
        <w:t> </w:t>
      </w:r>
      <w:r>
        <w:rPr>
          <w:w w:val="105"/>
        </w:rPr>
        <w:t>a</w:t>
      </w:r>
      <w:r>
        <w:rPr>
          <w:spacing w:val="-2"/>
          <w:w w:val="105"/>
        </w:rPr>
        <w:t> </w:t>
      </w:r>
      <w:r>
        <w:rPr>
          <w:w w:val="105"/>
        </w:rPr>
        <w:t>term</w:t>
      </w:r>
      <w:r>
        <w:rPr>
          <w:spacing w:val="-2"/>
          <w:w w:val="105"/>
        </w:rPr>
        <w:t> </w:t>
      </w:r>
      <w:r>
        <w:rPr>
          <w:w w:val="105"/>
        </w:rPr>
        <w:t>equal</w:t>
      </w:r>
      <w:r>
        <w:rPr>
          <w:spacing w:val="-2"/>
          <w:w w:val="105"/>
        </w:rPr>
        <w:t> </w:t>
      </w:r>
      <w:r>
        <w:rPr>
          <w:w w:val="105"/>
        </w:rPr>
        <w:t>to</w:t>
      </w:r>
      <w:r>
        <w:rPr>
          <w:spacing w:val="-2"/>
          <w:w w:val="105"/>
        </w:rPr>
        <w:t> </w:t>
      </w:r>
      <w:r>
        <w:rPr>
          <w:w w:val="105"/>
        </w:rPr>
        <w:t>the option’s</w:t>
      </w:r>
      <w:r>
        <w:rPr>
          <w:spacing w:val="-2"/>
          <w:w w:val="105"/>
        </w:rPr>
        <w:t> </w:t>
      </w:r>
      <w:r>
        <w:rPr>
          <w:w w:val="105"/>
        </w:rPr>
        <w:t>expected</w:t>
      </w:r>
      <w:r>
        <w:rPr>
          <w:spacing w:val="-2"/>
          <w:w w:val="105"/>
        </w:rPr>
        <w:t> </w:t>
      </w:r>
      <w:r>
        <w:rPr>
          <w:w w:val="105"/>
        </w:rPr>
        <w:t>term.</w:t>
      </w:r>
      <w:r>
        <w:rPr>
          <w:spacing w:val="-2"/>
          <w:w w:val="105"/>
        </w:rPr>
        <w:t> </w:t>
      </w:r>
      <w:r>
        <w:rPr>
          <w:w w:val="105"/>
        </w:rPr>
        <w:t>The</w:t>
      </w:r>
      <w:r>
        <w:rPr>
          <w:spacing w:val="-2"/>
          <w:w w:val="105"/>
        </w:rPr>
        <w:t> </w:t>
      </w:r>
      <w:r>
        <w:rPr>
          <w:w w:val="105"/>
        </w:rPr>
        <w:t>ranges</w:t>
      </w:r>
      <w:r>
        <w:rPr>
          <w:spacing w:val="-2"/>
          <w:w w:val="105"/>
        </w:rPr>
        <w:t> </w:t>
      </w:r>
      <w:r>
        <w:rPr>
          <w:w w:val="105"/>
        </w:rPr>
        <w:t>given</w:t>
      </w:r>
      <w:r>
        <w:rPr>
          <w:spacing w:val="-2"/>
          <w:w w:val="105"/>
        </w:rPr>
        <w:t> </w:t>
      </w:r>
      <w:r>
        <w:rPr>
          <w:w w:val="105"/>
        </w:rPr>
        <w:t>below</w:t>
      </w:r>
      <w:r>
        <w:rPr>
          <w:spacing w:val="-2"/>
          <w:w w:val="105"/>
        </w:rPr>
        <w:t> </w:t>
      </w:r>
      <w:r>
        <w:rPr>
          <w:w w:val="105"/>
        </w:rPr>
        <w:t>reflect</w:t>
      </w:r>
      <w:r>
        <w:rPr>
          <w:spacing w:val="-2"/>
          <w:w w:val="105"/>
        </w:rPr>
        <w:t> </w:t>
      </w:r>
      <w:r>
        <w:rPr>
          <w:w w:val="105"/>
        </w:rPr>
        <w:t>results</w:t>
      </w:r>
      <w:r>
        <w:rPr>
          <w:spacing w:val="-2"/>
          <w:w w:val="105"/>
        </w:rPr>
        <w:t> </w:t>
      </w:r>
      <w:r>
        <w:rPr>
          <w:w w:val="105"/>
        </w:rPr>
        <w:t>from</w:t>
      </w:r>
      <w:r>
        <w:rPr>
          <w:spacing w:val="-2"/>
          <w:w w:val="105"/>
        </w:rPr>
        <w:t> </w:t>
      </w:r>
      <w:r>
        <w:rPr>
          <w:w w:val="105"/>
        </w:rPr>
        <w:t>separate</w:t>
      </w:r>
      <w:r>
        <w:rPr>
          <w:spacing w:val="-2"/>
          <w:w w:val="105"/>
        </w:rPr>
        <w:t> </w:t>
      </w:r>
      <w:r>
        <w:rPr>
          <w:w w:val="105"/>
        </w:rPr>
        <w:t>groups</w:t>
      </w:r>
      <w:r>
        <w:rPr>
          <w:spacing w:val="-2"/>
          <w:w w:val="105"/>
        </w:rPr>
        <w:t> </w:t>
      </w:r>
      <w:r>
        <w:rPr>
          <w:w w:val="105"/>
        </w:rPr>
        <w:t>of</w:t>
      </w:r>
      <w:r>
        <w:rPr>
          <w:spacing w:val="-2"/>
          <w:w w:val="105"/>
        </w:rPr>
        <w:t> </w:t>
      </w:r>
      <w:r>
        <w:rPr>
          <w:w w:val="105"/>
        </w:rPr>
        <w:t>employees</w:t>
      </w:r>
      <w:r>
        <w:rPr>
          <w:spacing w:val="-2"/>
          <w:w w:val="105"/>
        </w:rPr>
        <w:t> </w:t>
      </w:r>
      <w:r>
        <w:rPr>
          <w:w w:val="105"/>
        </w:rPr>
        <w:t>exhibiting</w:t>
      </w:r>
      <w:r>
        <w:rPr>
          <w:spacing w:val="-2"/>
          <w:w w:val="105"/>
        </w:rPr>
        <w:t> </w:t>
      </w:r>
      <w:r>
        <w:rPr>
          <w:w w:val="105"/>
        </w:rPr>
        <w:t>different</w:t>
      </w:r>
      <w:r>
        <w:rPr>
          <w:spacing w:val="-2"/>
          <w:w w:val="105"/>
        </w:rPr>
        <w:t> </w:t>
      </w:r>
      <w:r>
        <w:rPr>
          <w:w w:val="105"/>
        </w:rPr>
        <w:t>exercise</w:t>
      </w:r>
      <w:r>
        <w:rPr>
          <w:spacing w:val="-2"/>
          <w:w w:val="105"/>
        </w:rPr>
        <w:t> </w:t>
      </w:r>
      <w:r>
        <w:rPr>
          <w:w w:val="105"/>
        </w:rPr>
        <w:t>behavior.</w:t>
      </w:r>
    </w:p>
    <w:p>
      <w:pPr>
        <w:pStyle w:val="BodyText"/>
        <w:spacing w:before="7"/>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0"/>
        <w:gridCol w:w="1088"/>
        <w:gridCol w:w="803"/>
        <w:gridCol w:w="587"/>
        <w:gridCol w:w="490"/>
      </w:tblGrid>
      <w:tr>
        <w:trPr>
          <w:trHeight w:val="400" w:hRule="atLeast"/>
        </w:trPr>
        <w:tc>
          <w:tcPr>
            <w:tcW w:w="8550" w:type="dxa"/>
            <w:tcBorders>
              <w:bottom w:val="single" w:sz="12" w:space="0" w:color="000000"/>
            </w:tcBorders>
          </w:tcPr>
          <w:p>
            <w:pPr>
              <w:pStyle w:val="TableParagraph"/>
              <w:spacing w:line="182" w:lineRule="exact"/>
              <w:rPr>
                <w:sz w:val="16"/>
              </w:rPr>
            </w:pPr>
            <w:r>
              <w:rPr>
                <w:w w:val="105"/>
                <w:sz w:val="16"/>
              </w:rPr>
              <w:t>The</w:t>
            </w:r>
            <w:r>
              <w:rPr>
                <w:spacing w:val="-9"/>
                <w:w w:val="105"/>
                <w:sz w:val="16"/>
              </w:rPr>
              <w:t> </w:t>
            </w:r>
            <w:r>
              <w:rPr>
                <w:w w:val="105"/>
                <w:sz w:val="16"/>
              </w:rPr>
              <w:t>following</w:t>
            </w:r>
            <w:r>
              <w:rPr>
                <w:spacing w:val="-8"/>
                <w:w w:val="105"/>
                <w:sz w:val="16"/>
              </w:rPr>
              <w:t> </w:t>
            </w:r>
            <w:r>
              <w:rPr>
                <w:w w:val="105"/>
                <w:sz w:val="16"/>
              </w:rPr>
              <w:t>inputs</w:t>
            </w:r>
            <w:r>
              <w:rPr>
                <w:spacing w:val="-8"/>
                <w:w w:val="105"/>
                <w:sz w:val="16"/>
              </w:rPr>
              <w:t> </w:t>
            </w:r>
            <w:r>
              <w:rPr>
                <w:w w:val="105"/>
                <w:sz w:val="16"/>
              </w:rPr>
              <w:t>were</w:t>
            </w:r>
            <w:r>
              <w:rPr>
                <w:spacing w:val="-9"/>
                <w:w w:val="105"/>
                <w:sz w:val="16"/>
              </w:rPr>
              <w:t> </w:t>
            </w:r>
            <w:r>
              <w:rPr>
                <w:w w:val="105"/>
                <w:sz w:val="16"/>
              </w:rPr>
              <w:t>used</w:t>
            </w:r>
            <w:r>
              <w:rPr>
                <w:spacing w:val="-8"/>
                <w:w w:val="105"/>
                <w:sz w:val="16"/>
              </w:rPr>
              <w:t> </w:t>
            </w:r>
            <w:r>
              <w:rPr>
                <w:w w:val="105"/>
                <w:sz w:val="16"/>
              </w:rPr>
              <w:t>for</w:t>
            </w:r>
            <w:r>
              <w:rPr>
                <w:spacing w:val="-8"/>
                <w:w w:val="105"/>
                <w:sz w:val="16"/>
              </w:rPr>
              <w:t> </w:t>
            </w:r>
            <w:r>
              <w:rPr>
                <w:w w:val="105"/>
                <w:sz w:val="16"/>
              </w:rPr>
              <w:t>the</w:t>
            </w:r>
            <w:r>
              <w:rPr>
                <w:spacing w:val="-9"/>
                <w:w w:val="105"/>
                <w:sz w:val="16"/>
              </w:rPr>
              <w:t> </w:t>
            </w:r>
            <w:r>
              <w:rPr>
                <w:w w:val="105"/>
                <w:sz w:val="16"/>
              </w:rPr>
              <w:t>valuation</w:t>
            </w:r>
            <w:r>
              <w:rPr>
                <w:spacing w:val="-8"/>
                <w:w w:val="105"/>
                <w:sz w:val="16"/>
              </w:rPr>
              <w:t> </w:t>
            </w:r>
            <w:r>
              <w:rPr>
                <w:w w:val="105"/>
                <w:sz w:val="16"/>
              </w:rPr>
              <w:t>of</w:t>
            </w:r>
            <w:r>
              <w:rPr>
                <w:spacing w:val="-8"/>
                <w:w w:val="105"/>
                <w:sz w:val="16"/>
              </w:rPr>
              <w:t> </w:t>
            </w:r>
            <w:r>
              <w:rPr>
                <w:w w:val="105"/>
                <w:sz w:val="16"/>
              </w:rPr>
              <w:t>option</w:t>
            </w:r>
            <w:r>
              <w:rPr>
                <w:spacing w:val="-9"/>
                <w:w w:val="105"/>
                <w:sz w:val="16"/>
              </w:rPr>
              <w:t> </w:t>
            </w:r>
            <w:r>
              <w:rPr>
                <w:w w:val="105"/>
                <w:sz w:val="16"/>
              </w:rPr>
              <w:t>grants</w:t>
            </w:r>
            <w:r>
              <w:rPr>
                <w:spacing w:val="-8"/>
                <w:w w:val="105"/>
                <w:sz w:val="16"/>
              </w:rPr>
              <w:t> </w:t>
            </w:r>
            <w:r>
              <w:rPr>
                <w:w w:val="105"/>
                <w:sz w:val="16"/>
              </w:rPr>
              <w:t>under</w:t>
            </w:r>
            <w:r>
              <w:rPr>
                <w:spacing w:val="-8"/>
                <w:w w:val="105"/>
                <w:sz w:val="16"/>
              </w:rPr>
              <w:t> </w:t>
            </w:r>
            <w:r>
              <w:rPr>
                <w:w w:val="105"/>
                <w:sz w:val="16"/>
              </w:rPr>
              <w:t>the</w:t>
            </w:r>
            <w:r>
              <w:rPr>
                <w:spacing w:val="-9"/>
                <w:w w:val="105"/>
                <w:sz w:val="16"/>
              </w:rPr>
              <w:t> </w:t>
            </w:r>
            <w:r>
              <w:rPr>
                <w:w w:val="105"/>
                <w:sz w:val="16"/>
              </w:rPr>
              <w:t>stock</w:t>
            </w:r>
            <w:r>
              <w:rPr>
                <w:spacing w:val="-8"/>
                <w:w w:val="105"/>
                <w:sz w:val="16"/>
              </w:rPr>
              <w:t> </w:t>
            </w:r>
            <w:r>
              <w:rPr>
                <w:w w:val="105"/>
                <w:sz w:val="16"/>
              </w:rPr>
              <w:t>option</w:t>
            </w:r>
            <w:r>
              <w:rPr>
                <w:spacing w:val="-8"/>
                <w:w w:val="105"/>
                <w:sz w:val="16"/>
              </w:rPr>
              <w:t> </w:t>
            </w:r>
            <w:r>
              <w:rPr>
                <w:w w:val="105"/>
                <w:sz w:val="16"/>
              </w:rPr>
              <w:t>plans</w:t>
            </w:r>
            <w:r>
              <w:rPr>
                <w:spacing w:val="-9"/>
                <w:w w:val="105"/>
                <w:sz w:val="16"/>
              </w:rPr>
              <w:t> </w:t>
            </w:r>
            <w:r>
              <w:rPr>
                <w:w w:val="105"/>
                <w:sz w:val="16"/>
              </w:rPr>
              <w:t>awarded</w:t>
            </w:r>
            <w:r>
              <w:rPr>
                <w:spacing w:val="-8"/>
                <w:w w:val="105"/>
                <w:sz w:val="16"/>
              </w:rPr>
              <w:t> </w:t>
            </w:r>
            <w:r>
              <w:rPr>
                <w:w w:val="105"/>
                <w:sz w:val="16"/>
              </w:rPr>
              <w:t>during</w:t>
            </w:r>
            <w:r>
              <w:rPr>
                <w:spacing w:val="-8"/>
                <w:w w:val="105"/>
                <w:sz w:val="16"/>
              </w:rPr>
              <w:t> </w:t>
            </w:r>
            <w:r>
              <w:rPr>
                <w:w w:val="105"/>
                <w:sz w:val="16"/>
              </w:rPr>
              <w:t>2020</w:t>
            </w:r>
            <w:r>
              <w:rPr>
                <w:spacing w:val="-9"/>
                <w:w w:val="105"/>
                <w:sz w:val="16"/>
              </w:rPr>
              <w:t> </w:t>
            </w:r>
            <w:r>
              <w:rPr>
                <w:w w:val="105"/>
                <w:sz w:val="16"/>
              </w:rPr>
              <w:t>and</w:t>
            </w:r>
            <w:r>
              <w:rPr>
                <w:spacing w:val="-8"/>
                <w:w w:val="105"/>
                <w:sz w:val="16"/>
              </w:rPr>
              <w:t> </w:t>
            </w:r>
            <w:r>
              <w:rPr>
                <w:spacing w:val="-2"/>
                <w:w w:val="105"/>
                <w:sz w:val="16"/>
              </w:rPr>
              <w:t>2019:</w:t>
            </w:r>
          </w:p>
        </w:tc>
        <w:tc>
          <w:tcPr>
            <w:tcW w:w="2968" w:type="dxa"/>
            <w:gridSpan w:val="4"/>
            <w:tcBorders>
              <w:bottom w:val="single" w:sz="12" w:space="0" w:color="000000"/>
            </w:tcBorders>
          </w:tcPr>
          <w:p>
            <w:pPr>
              <w:pStyle w:val="TableParagraph"/>
              <w:rPr>
                <w:sz w:val="16"/>
              </w:rPr>
            </w:pPr>
          </w:p>
        </w:tc>
      </w:tr>
      <w:tr>
        <w:trPr>
          <w:trHeight w:val="200" w:hRule="atLeast"/>
        </w:trPr>
        <w:tc>
          <w:tcPr>
            <w:tcW w:w="8550" w:type="dxa"/>
            <w:tcBorders>
              <w:top w:val="single" w:sz="12" w:space="0" w:color="000000"/>
              <w:bottom w:val="single" w:sz="6" w:space="0" w:color="000000"/>
            </w:tcBorders>
          </w:tcPr>
          <w:p>
            <w:pPr>
              <w:pStyle w:val="TableParagraph"/>
              <w:rPr>
                <w:sz w:val="12"/>
              </w:rPr>
            </w:pPr>
          </w:p>
        </w:tc>
        <w:tc>
          <w:tcPr>
            <w:tcW w:w="1088" w:type="dxa"/>
            <w:tcBorders>
              <w:top w:val="single" w:sz="12" w:space="0" w:color="000000"/>
              <w:bottom w:val="single" w:sz="6" w:space="0" w:color="000000"/>
            </w:tcBorders>
          </w:tcPr>
          <w:p>
            <w:pPr>
              <w:pStyle w:val="TableParagraph"/>
              <w:spacing w:line="179" w:lineRule="exact" w:before="1"/>
              <w:ind w:left="163"/>
              <w:rPr>
                <w:sz w:val="16"/>
              </w:rPr>
            </w:pPr>
            <w:r>
              <w:rPr>
                <w:spacing w:val="-4"/>
                <w:w w:val="105"/>
                <w:sz w:val="16"/>
              </w:rPr>
              <w:t>2020</w:t>
            </w:r>
          </w:p>
        </w:tc>
        <w:tc>
          <w:tcPr>
            <w:tcW w:w="803" w:type="dxa"/>
            <w:tcBorders>
              <w:top w:val="single" w:sz="12" w:space="0" w:color="000000"/>
              <w:bottom w:val="single" w:sz="6" w:space="0" w:color="000000"/>
            </w:tcBorders>
          </w:tcPr>
          <w:p>
            <w:pPr>
              <w:pStyle w:val="TableParagraph"/>
              <w:rPr>
                <w:sz w:val="12"/>
              </w:rPr>
            </w:pPr>
          </w:p>
        </w:tc>
        <w:tc>
          <w:tcPr>
            <w:tcW w:w="587" w:type="dxa"/>
            <w:tcBorders>
              <w:top w:val="single" w:sz="12" w:space="0" w:color="000000"/>
              <w:bottom w:val="single" w:sz="6" w:space="0" w:color="000000"/>
            </w:tcBorders>
          </w:tcPr>
          <w:p>
            <w:pPr>
              <w:pStyle w:val="TableParagraph"/>
              <w:spacing w:line="179" w:lineRule="exact" w:before="1"/>
              <w:ind w:left="55"/>
              <w:rPr>
                <w:sz w:val="16"/>
              </w:rPr>
            </w:pPr>
            <w:r>
              <w:rPr>
                <w:spacing w:val="-4"/>
                <w:w w:val="105"/>
                <w:sz w:val="16"/>
              </w:rPr>
              <w:t>2019</w:t>
            </w:r>
          </w:p>
        </w:tc>
        <w:tc>
          <w:tcPr>
            <w:tcW w:w="490" w:type="dxa"/>
            <w:tcBorders>
              <w:top w:val="single" w:sz="12" w:space="0" w:color="000000"/>
              <w:bottom w:val="single" w:sz="6" w:space="0" w:color="000000"/>
            </w:tcBorders>
          </w:tcPr>
          <w:p>
            <w:pPr>
              <w:pStyle w:val="TableParagraph"/>
              <w:rPr>
                <w:sz w:val="12"/>
              </w:rPr>
            </w:pPr>
          </w:p>
        </w:tc>
      </w:tr>
      <w:tr>
        <w:trPr>
          <w:trHeight w:val="202" w:hRule="atLeast"/>
        </w:trPr>
        <w:tc>
          <w:tcPr>
            <w:tcW w:w="8550" w:type="dxa"/>
            <w:tcBorders>
              <w:top w:val="single" w:sz="6" w:space="0" w:color="000000"/>
            </w:tcBorders>
            <w:shd w:val="clear" w:color="auto" w:fill="CCEDFF"/>
          </w:tcPr>
          <w:p>
            <w:pPr>
              <w:pStyle w:val="TableParagraph"/>
              <w:spacing w:line="180" w:lineRule="exact" w:before="2"/>
              <w:rPr>
                <w:sz w:val="16"/>
              </w:rPr>
            </w:pPr>
            <w:r>
              <w:rPr>
                <w:sz w:val="16"/>
              </w:rPr>
              <w:t>Expected</w:t>
            </w:r>
            <w:r>
              <w:rPr>
                <w:spacing w:val="18"/>
                <w:sz w:val="16"/>
              </w:rPr>
              <w:t> </w:t>
            </w:r>
            <w:r>
              <w:rPr>
                <w:spacing w:val="-2"/>
                <w:sz w:val="16"/>
              </w:rPr>
              <w:t>volatility</w:t>
            </w:r>
          </w:p>
        </w:tc>
        <w:tc>
          <w:tcPr>
            <w:tcW w:w="1088" w:type="dxa"/>
            <w:tcBorders>
              <w:top w:val="single" w:sz="6" w:space="0" w:color="000000"/>
            </w:tcBorders>
            <w:shd w:val="clear" w:color="auto" w:fill="CCEDFF"/>
          </w:tcPr>
          <w:p>
            <w:pPr>
              <w:pStyle w:val="TableParagraph"/>
              <w:spacing w:line="180" w:lineRule="exact" w:before="2"/>
              <w:ind w:left="204"/>
              <w:rPr>
                <w:sz w:val="16"/>
              </w:rPr>
            </w:pPr>
            <w:r>
              <w:rPr>
                <w:spacing w:val="-2"/>
                <w:w w:val="105"/>
                <w:sz w:val="16"/>
              </w:rPr>
              <w:t>32.9%</w:t>
            </w:r>
          </w:p>
        </w:tc>
        <w:tc>
          <w:tcPr>
            <w:tcW w:w="803" w:type="dxa"/>
            <w:tcBorders>
              <w:top w:val="single" w:sz="6" w:space="0" w:color="000000"/>
            </w:tcBorders>
            <w:shd w:val="clear" w:color="auto" w:fill="CCEDFF"/>
          </w:tcPr>
          <w:p>
            <w:pPr>
              <w:pStyle w:val="TableParagraph"/>
              <w:spacing w:line="180" w:lineRule="exact" w:before="2"/>
              <w:ind w:right="57"/>
              <w:jc w:val="right"/>
              <w:rPr>
                <w:sz w:val="16"/>
              </w:rPr>
            </w:pPr>
            <w:r>
              <w:rPr>
                <w:spacing w:val="-4"/>
                <w:w w:val="105"/>
                <w:sz w:val="16"/>
              </w:rPr>
              <w:t>29.5</w:t>
            </w:r>
          </w:p>
        </w:tc>
        <w:tc>
          <w:tcPr>
            <w:tcW w:w="587" w:type="dxa"/>
            <w:tcBorders>
              <w:top w:val="single" w:sz="6" w:space="0" w:color="000000"/>
            </w:tcBorders>
            <w:shd w:val="clear" w:color="auto" w:fill="CCEDFF"/>
          </w:tcPr>
          <w:p>
            <w:pPr>
              <w:pStyle w:val="TableParagraph"/>
              <w:spacing w:line="180" w:lineRule="exact" w:before="2"/>
              <w:ind w:left="130"/>
              <w:jc w:val="center"/>
              <w:rPr>
                <w:sz w:val="16"/>
              </w:rPr>
            </w:pPr>
            <w:r>
              <w:rPr>
                <w:spacing w:val="-10"/>
                <w:w w:val="105"/>
                <w:sz w:val="16"/>
              </w:rPr>
              <w:t>-</w:t>
            </w:r>
          </w:p>
        </w:tc>
        <w:tc>
          <w:tcPr>
            <w:tcW w:w="490" w:type="dxa"/>
            <w:tcBorders>
              <w:top w:val="single" w:sz="6" w:space="0" w:color="000000"/>
            </w:tcBorders>
            <w:shd w:val="clear" w:color="auto" w:fill="CCEDFF"/>
          </w:tcPr>
          <w:p>
            <w:pPr>
              <w:pStyle w:val="TableParagraph"/>
              <w:spacing w:line="180" w:lineRule="exact" w:before="2"/>
              <w:ind w:left="52"/>
              <w:jc w:val="center"/>
              <w:rPr>
                <w:sz w:val="16"/>
              </w:rPr>
            </w:pPr>
            <w:r>
              <w:rPr>
                <w:spacing w:val="-2"/>
                <w:w w:val="105"/>
                <w:sz w:val="16"/>
              </w:rPr>
              <w:t>29.9%</w:t>
            </w:r>
          </w:p>
        </w:tc>
      </w:tr>
      <w:tr>
        <w:trPr>
          <w:trHeight w:val="203" w:hRule="atLeast"/>
        </w:trPr>
        <w:tc>
          <w:tcPr>
            <w:tcW w:w="8550" w:type="dxa"/>
          </w:tcPr>
          <w:p>
            <w:pPr>
              <w:pStyle w:val="TableParagraph"/>
              <w:spacing w:line="180" w:lineRule="exact" w:before="3"/>
              <w:rPr>
                <w:sz w:val="16"/>
              </w:rPr>
            </w:pPr>
            <w:r>
              <w:rPr>
                <w:sz w:val="16"/>
              </w:rPr>
              <w:t>Weighted-average</w:t>
            </w:r>
            <w:r>
              <w:rPr>
                <w:spacing w:val="36"/>
                <w:sz w:val="16"/>
              </w:rPr>
              <w:t> </w:t>
            </w:r>
            <w:r>
              <w:rPr>
                <w:spacing w:val="-2"/>
                <w:sz w:val="16"/>
              </w:rPr>
              <w:t>volatility</w:t>
            </w:r>
          </w:p>
        </w:tc>
        <w:tc>
          <w:tcPr>
            <w:tcW w:w="1088" w:type="dxa"/>
          </w:tcPr>
          <w:p>
            <w:pPr>
              <w:pStyle w:val="TableParagraph"/>
              <w:spacing w:line="180" w:lineRule="exact" w:before="3"/>
              <w:ind w:left="204"/>
              <w:rPr>
                <w:sz w:val="16"/>
              </w:rPr>
            </w:pPr>
            <w:r>
              <w:rPr>
                <w:spacing w:val="-2"/>
                <w:w w:val="105"/>
                <w:sz w:val="16"/>
              </w:rPr>
              <w:t>32.9%</w:t>
            </w:r>
          </w:p>
        </w:tc>
        <w:tc>
          <w:tcPr>
            <w:tcW w:w="803" w:type="dxa"/>
          </w:tcPr>
          <w:p>
            <w:pPr>
              <w:pStyle w:val="TableParagraph"/>
              <w:spacing w:line="180" w:lineRule="exact" w:before="3"/>
              <w:ind w:right="57"/>
              <w:jc w:val="right"/>
              <w:rPr>
                <w:sz w:val="16"/>
              </w:rPr>
            </w:pPr>
            <w:r>
              <w:rPr>
                <w:spacing w:val="-4"/>
                <w:w w:val="105"/>
                <w:sz w:val="16"/>
              </w:rPr>
              <w:t>29.5</w:t>
            </w:r>
          </w:p>
        </w:tc>
        <w:tc>
          <w:tcPr>
            <w:tcW w:w="587" w:type="dxa"/>
          </w:tcPr>
          <w:p>
            <w:pPr>
              <w:pStyle w:val="TableParagraph"/>
              <w:spacing w:line="180" w:lineRule="exact" w:before="3"/>
              <w:ind w:left="130"/>
              <w:jc w:val="center"/>
              <w:rPr>
                <w:sz w:val="16"/>
              </w:rPr>
            </w:pPr>
            <w:r>
              <w:rPr>
                <w:spacing w:val="-10"/>
                <w:w w:val="105"/>
                <w:sz w:val="16"/>
              </w:rPr>
              <w:t>-</w:t>
            </w:r>
          </w:p>
        </w:tc>
        <w:tc>
          <w:tcPr>
            <w:tcW w:w="490" w:type="dxa"/>
          </w:tcPr>
          <w:p>
            <w:pPr>
              <w:pStyle w:val="TableParagraph"/>
              <w:spacing w:line="180" w:lineRule="exact" w:before="3"/>
              <w:ind w:left="52"/>
              <w:jc w:val="center"/>
              <w:rPr>
                <w:sz w:val="16"/>
              </w:rPr>
            </w:pPr>
            <w:r>
              <w:rPr>
                <w:spacing w:val="-2"/>
                <w:w w:val="105"/>
                <w:sz w:val="16"/>
              </w:rPr>
              <w:t>29.9%</w:t>
            </w:r>
          </w:p>
        </w:tc>
      </w:tr>
      <w:tr>
        <w:trPr>
          <w:trHeight w:val="203" w:hRule="atLeast"/>
        </w:trPr>
        <w:tc>
          <w:tcPr>
            <w:tcW w:w="8550" w:type="dxa"/>
            <w:shd w:val="clear" w:color="auto" w:fill="CCEDFF"/>
          </w:tcPr>
          <w:p>
            <w:pPr>
              <w:pStyle w:val="TableParagraph"/>
              <w:spacing w:line="180" w:lineRule="exact" w:before="3"/>
              <w:rPr>
                <w:sz w:val="16"/>
              </w:rPr>
            </w:pPr>
            <w:r>
              <w:rPr>
                <w:sz w:val="16"/>
              </w:rPr>
              <w:t>Expected</w:t>
            </w:r>
            <w:r>
              <w:rPr>
                <w:spacing w:val="18"/>
                <w:sz w:val="16"/>
              </w:rPr>
              <w:t> </w:t>
            </w:r>
            <w:r>
              <w:rPr>
                <w:spacing w:val="-2"/>
                <w:sz w:val="16"/>
              </w:rPr>
              <w:t>dividends</w:t>
            </w:r>
          </w:p>
        </w:tc>
        <w:tc>
          <w:tcPr>
            <w:tcW w:w="1088" w:type="dxa"/>
            <w:shd w:val="clear" w:color="auto" w:fill="CCEDFF"/>
          </w:tcPr>
          <w:p>
            <w:pPr>
              <w:pStyle w:val="TableParagraph"/>
              <w:spacing w:line="180" w:lineRule="exact" w:before="3"/>
              <w:ind w:left="204"/>
              <w:rPr>
                <w:sz w:val="16"/>
              </w:rPr>
            </w:pPr>
            <w:r>
              <w:rPr>
                <w:spacing w:val="-2"/>
                <w:w w:val="105"/>
                <w:sz w:val="16"/>
              </w:rPr>
              <w:t>4.48%</w:t>
            </w:r>
          </w:p>
        </w:tc>
        <w:tc>
          <w:tcPr>
            <w:tcW w:w="803" w:type="dxa"/>
            <w:shd w:val="clear" w:color="auto" w:fill="CCEDFF"/>
          </w:tcPr>
          <w:p>
            <w:pPr>
              <w:pStyle w:val="TableParagraph"/>
              <w:spacing w:line="180" w:lineRule="exact" w:before="3"/>
              <w:ind w:right="57"/>
              <w:jc w:val="right"/>
              <w:rPr>
                <w:sz w:val="16"/>
              </w:rPr>
            </w:pPr>
            <w:r>
              <w:rPr>
                <w:spacing w:val="-4"/>
                <w:w w:val="105"/>
                <w:sz w:val="16"/>
              </w:rPr>
              <w:t>2.36</w:t>
            </w:r>
          </w:p>
        </w:tc>
        <w:tc>
          <w:tcPr>
            <w:tcW w:w="587" w:type="dxa"/>
            <w:shd w:val="clear" w:color="auto" w:fill="CCEDFF"/>
          </w:tcPr>
          <w:p>
            <w:pPr>
              <w:pStyle w:val="TableParagraph"/>
              <w:spacing w:line="180" w:lineRule="exact" w:before="3"/>
              <w:ind w:left="130"/>
              <w:jc w:val="center"/>
              <w:rPr>
                <w:sz w:val="16"/>
              </w:rPr>
            </w:pPr>
            <w:r>
              <w:rPr>
                <w:spacing w:val="-10"/>
                <w:w w:val="105"/>
                <w:sz w:val="16"/>
              </w:rPr>
              <w:t>-</w:t>
            </w:r>
          </w:p>
        </w:tc>
        <w:tc>
          <w:tcPr>
            <w:tcW w:w="490" w:type="dxa"/>
            <w:shd w:val="clear" w:color="auto" w:fill="CCEDFF"/>
          </w:tcPr>
          <w:p>
            <w:pPr>
              <w:pStyle w:val="TableParagraph"/>
              <w:spacing w:line="180" w:lineRule="exact" w:before="3"/>
              <w:ind w:left="52"/>
              <w:jc w:val="center"/>
              <w:rPr>
                <w:sz w:val="16"/>
              </w:rPr>
            </w:pPr>
            <w:r>
              <w:rPr>
                <w:spacing w:val="-2"/>
                <w:w w:val="105"/>
                <w:sz w:val="16"/>
              </w:rPr>
              <w:t>2.95%</w:t>
            </w:r>
          </w:p>
        </w:tc>
      </w:tr>
      <w:tr>
        <w:trPr>
          <w:trHeight w:val="203" w:hRule="atLeast"/>
        </w:trPr>
        <w:tc>
          <w:tcPr>
            <w:tcW w:w="8550" w:type="dxa"/>
          </w:tcPr>
          <w:p>
            <w:pPr>
              <w:pStyle w:val="TableParagraph"/>
              <w:spacing w:line="180" w:lineRule="exact" w:before="3"/>
              <w:rPr>
                <w:sz w:val="16"/>
              </w:rPr>
            </w:pPr>
            <w:r>
              <w:rPr>
                <w:sz w:val="16"/>
              </w:rPr>
              <w:t>Risk-free</w:t>
            </w:r>
            <w:r>
              <w:rPr>
                <w:spacing w:val="18"/>
                <w:sz w:val="16"/>
              </w:rPr>
              <w:t> </w:t>
            </w:r>
            <w:r>
              <w:rPr>
                <w:spacing w:val="-4"/>
                <w:sz w:val="16"/>
              </w:rPr>
              <w:t>rate</w:t>
            </w:r>
          </w:p>
        </w:tc>
        <w:tc>
          <w:tcPr>
            <w:tcW w:w="1088" w:type="dxa"/>
          </w:tcPr>
          <w:p>
            <w:pPr>
              <w:pStyle w:val="TableParagraph"/>
              <w:spacing w:line="180" w:lineRule="exact" w:before="3"/>
              <w:ind w:right="453"/>
              <w:jc w:val="right"/>
              <w:rPr>
                <w:sz w:val="16"/>
              </w:rPr>
            </w:pPr>
            <w:r>
              <w:rPr>
                <w:spacing w:val="-4"/>
                <w:w w:val="105"/>
                <w:sz w:val="16"/>
              </w:rPr>
              <w:t>0.5%</w:t>
            </w:r>
          </w:p>
        </w:tc>
        <w:tc>
          <w:tcPr>
            <w:tcW w:w="803" w:type="dxa"/>
          </w:tcPr>
          <w:p>
            <w:pPr>
              <w:pStyle w:val="TableParagraph"/>
              <w:spacing w:line="180" w:lineRule="exact" w:before="3"/>
              <w:ind w:right="57"/>
              <w:jc w:val="right"/>
              <w:rPr>
                <w:sz w:val="16"/>
              </w:rPr>
            </w:pPr>
            <w:r>
              <w:rPr>
                <w:spacing w:val="-5"/>
                <w:w w:val="105"/>
                <w:sz w:val="16"/>
              </w:rPr>
              <w:t>1.5</w:t>
            </w:r>
          </w:p>
        </w:tc>
        <w:tc>
          <w:tcPr>
            <w:tcW w:w="587" w:type="dxa"/>
          </w:tcPr>
          <w:p>
            <w:pPr>
              <w:pStyle w:val="TableParagraph"/>
              <w:spacing w:line="180" w:lineRule="exact" w:before="3"/>
              <w:ind w:left="130"/>
              <w:jc w:val="center"/>
              <w:rPr>
                <w:sz w:val="16"/>
              </w:rPr>
            </w:pPr>
            <w:r>
              <w:rPr>
                <w:spacing w:val="-10"/>
                <w:w w:val="105"/>
                <w:sz w:val="16"/>
              </w:rPr>
              <w:t>-</w:t>
            </w:r>
          </w:p>
        </w:tc>
        <w:tc>
          <w:tcPr>
            <w:tcW w:w="490" w:type="dxa"/>
          </w:tcPr>
          <w:p>
            <w:pPr>
              <w:pStyle w:val="TableParagraph"/>
              <w:spacing w:line="180" w:lineRule="exact" w:before="3"/>
              <w:ind w:left="135"/>
              <w:jc w:val="center"/>
              <w:rPr>
                <w:sz w:val="16"/>
              </w:rPr>
            </w:pPr>
            <w:r>
              <w:rPr>
                <w:spacing w:val="-4"/>
                <w:w w:val="105"/>
                <w:sz w:val="16"/>
              </w:rPr>
              <w:t>2.4%</w:t>
            </w:r>
          </w:p>
        </w:tc>
      </w:tr>
      <w:tr>
        <w:trPr>
          <w:trHeight w:val="203" w:hRule="atLeast"/>
        </w:trPr>
        <w:tc>
          <w:tcPr>
            <w:tcW w:w="8550" w:type="dxa"/>
            <w:shd w:val="clear" w:color="auto" w:fill="CCEDFF"/>
          </w:tcPr>
          <w:p>
            <w:pPr>
              <w:pStyle w:val="TableParagraph"/>
              <w:spacing w:line="180" w:lineRule="exact" w:before="3"/>
              <w:rPr>
                <w:sz w:val="16"/>
              </w:rPr>
            </w:pPr>
            <w:r>
              <w:rPr>
                <w:sz w:val="16"/>
              </w:rPr>
              <w:t>Average</w:t>
            </w:r>
            <w:r>
              <w:rPr>
                <w:spacing w:val="17"/>
                <w:sz w:val="16"/>
              </w:rPr>
              <w:t> </w:t>
            </w:r>
            <w:r>
              <w:rPr>
                <w:sz w:val="16"/>
              </w:rPr>
              <w:t>risk-free</w:t>
            </w:r>
            <w:r>
              <w:rPr>
                <w:spacing w:val="17"/>
                <w:sz w:val="16"/>
              </w:rPr>
              <w:t> </w:t>
            </w:r>
            <w:r>
              <w:rPr>
                <w:spacing w:val="-4"/>
                <w:sz w:val="16"/>
              </w:rPr>
              <w:t>rate</w:t>
            </w:r>
          </w:p>
        </w:tc>
        <w:tc>
          <w:tcPr>
            <w:tcW w:w="1088" w:type="dxa"/>
            <w:shd w:val="clear" w:color="auto" w:fill="CCEDFF"/>
          </w:tcPr>
          <w:p>
            <w:pPr>
              <w:pStyle w:val="TableParagraph"/>
              <w:spacing w:line="180" w:lineRule="exact" w:before="3"/>
              <w:ind w:right="453"/>
              <w:jc w:val="right"/>
              <w:rPr>
                <w:sz w:val="16"/>
              </w:rPr>
            </w:pPr>
            <w:r>
              <w:rPr>
                <w:spacing w:val="-4"/>
                <w:w w:val="105"/>
                <w:sz w:val="16"/>
              </w:rPr>
              <w:t>0.5%</w:t>
            </w:r>
          </w:p>
        </w:tc>
        <w:tc>
          <w:tcPr>
            <w:tcW w:w="803" w:type="dxa"/>
            <w:shd w:val="clear" w:color="auto" w:fill="CCEDFF"/>
          </w:tcPr>
          <w:p>
            <w:pPr>
              <w:pStyle w:val="TableParagraph"/>
              <w:spacing w:line="180" w:lineRule="exact" w:before="3"/>
              <w:ind w:right="57"/>
              <w:jc w:val="right"/>
              <w:rPr>
                <w:sz w:val="16"/>
              </w:rPr>
            </w:pPr>
            <w:r>
              <w:rPr>
                <w:spacing w:val="-5"/>
                <w:w w:val="105"/>
                <w:sz w:val="16"/>
              </w:rPr>
              <w:t>1.5</w:t>
            </w:r>
          </w:p>
        </w:tc>
        <w:tc>
          <w:tcPr>
            <w:tcW w:w="587" w:type="dxa"/>
            <w:shd w:val="clear" w:color="auto" w:fill="CCEDFF"/>
          </w:tcPr>
          <w:p>
            <w:pPr>
              <w:pStyle w:val="TableParagraph"/>
              <w:spacing w:line="180" w:lineRule="exact" w:before="3"/>
              <w:ind w:left="130"/>
              <w:jc w:val="center"/>
              <w:rPr>
                <w:sz w:val="16"/>
              </w:rPr>
            </w:pPr>
            <w:r>
              <w:rPr>
                <w:spacing w:val="-10"/>
                <w:w w:val="105"/>
                <w:sz w:val="16"/>
              </w:rPr>
              <w:t>-</w:t>
            </w:r>
          </w:p>
        </w:tc>
        <w:tc>
          <w:tcPr>
            <w:tcW w:w="490" w:type="dxa"/>
            <w:shd w:val="clear" w:color="auto" w:fill="CCEDFF"/>
          </w:tcPr>
          <w:p>
            <w:pPr>
              <w:pStyle w:val="TableParagraph"/>
              <w:spacing w:line="180" w:lineRule="exact" w:before="3"/>
              <w:ind w:left="135"/>
              <w:jc w:val="center"/>
              <w:rPr>
                <w:sz w:val="16"/>
              </w:rPr>
            </w:pPr>
            <w:r>
              <w:rPr>
                <w:spacing w:val="-4"/>
                <w:w w:val="105"/>
                <w:sz w:val="16"/>
              </w:rPr>
              <w:t>2.4%</w:t>
            </w:r>
          </w:p>
        </w:tc>
      </w:tr>
      <w:tr>
        <w:trPr>
          <w:trHeight w:val="203" w:hRule="atLeast"/>
        </w:trPr>
        <w:tc>
          <w:tcPr>
            <w:tcW w:w="8550" w:type="dxa"/>
          </w:tcPr>
          <w:p>
            <w:pPr>
              <w:pStyle w:val="TableParagraph"/>
              <w:spacing w:line="180" w:lineRule="exact" w:before="3"/>
              <w:rPr>
                <w:sz w:val="16"/>
              </w:rPr>
            </w:pPr>
            <w:r>
              <w:rPr>
                <w:w w:val="105"/>
                <w:sz w:val="16"/>
              </w:rPr>
              <w:t>Expected</w:t>
            </w:r>
            <w:r>
              <w:rPr>
                <w:spacing w:val="-9"/>
                <w:w w:val="105"/>
                <w:sz w:val="16"/>
              </w:rPr>
              <w:t> </w:t>
            </w:r>
            <w:r>
              <w:rPr>
                <w:w w:val="105"/>
                <w:sz w:val="16"/>
              </w:rPr>
              <w:t>term</w:t>
            </w:r>
            <w:r>
              <w:rPr>
                <w:spacing w:val="-8"/>
                <w:w w:val="105"/>
                <w:sz w:val="16"/>
              </w:rPr>
              <w:t> </w:t>
            </w:r>
            <w:r>
              <w:rPr>
                <w:w w:val="105"/>
                <w:sz w:val="16"/>
              </w:rPr>
              <w:t>(in</w:t>
            </w:r>
            <w:r>
              <w:rPr>
                <w:spacing w:val="-8"/>
                <w:w w:val="105"/>
                <w:sz w:val="16"/>
              </w:rPr>
              <w:t> </w:t>
            </w:r>
            <w:r>
              <w:rPr>
                <w:spacing w:val="-2"/>
                <w:w w:val="105"/>
                <w:sz w:val="16"/>
              </w:rPr>
              <w:t>years)</w:t>
            </w:r>
          </w:p>
        </w:tc>
        <w:tc>
          <w:tcPr>
            <w:tcW w:w="1088" w:type="dxa"/>
          </w:tcPr>
          <w:p>
            <w:pPr>
              <w:pStyle w:val="TableParagraph"/>
              <w:spacing w:line="180" w:lineRule="exact" w:before="3"/>
              <w:ind w:left="287"/>
              <w:rPr>
                <w:sz w:val="16"/>
              </w:rPr>
            </w:pPr>
            <w:r>
              <w:rPr>
                <w:spacing w:val="-5"/>
                <w:w w:val="105"/>
                <w:sz w:val="16"/>
              </w:rPr>
              <w:t>7.4</w:t>
            </w:r>
          </w:p>
        </w:tc>
        <w:tc>
          <w:tcPr>
            <w:tcW w:w="803" w:type="dxa"/>
          </w:tcPr>
          <w:p>
            <w:pPr>
              <w:pStyle w:val="TableParagraph"/>
              <w:rPr>
                <w:sz w:val="14"/>
              </w:rPr>
            </w:pPr>
          </w:p>
        </w:tc>
        <w:tc>
          <w:tcPr>
            <w:tcW w:w="587" w:type="dxa"/>
          </w:tcPr>
          <w:p>
            <w:pPr>
              <w:pStyle w:val="TableParagraph"/>
              <w:spacing w:line="180" w:lineRule="exact" w:before="3"/>
              <w:ind w:left="179"/>
              <w:rPr>
                <w:sz w:val="16"/>
              </w:rPr>
            </w:pPr>
            <w:r>
              <w:rPr>
                <w:spacing w:val="-5"/>
                <w:w w:val="105"/>
                <w:sz w:val="16"/>
              </w:rPr>
              <w:t>7.4</w:t>
            </w:r>
          </w:p>
        </w:tc>
        <w:tc>
          <w:tcPr>
            <w:tcW w:w="490" w:type="dxa"/>
          </w:tcPr>
          <w:p>
            <w:pPr>
              <w:pStyle w:val="TableParagraph"/>
              <w:rPr>
                <w:sz w:val="14"/>
              </w:rPr>
            </w:pPr>
          </w:p>
        </w:tc>
      </w:tr>
      <w:tr>
        <w:trPr>
          <w:trHeight w:val="203" w:hRule="atLeast"/>
        </w:trPr>
        <w:tc>
          <w:tcPr>
            <w:tcW w:w="8550" w:type="dxa"/>
            <w:shd w:val="clear" w:color="auto" w:fill="CCEDFF"/>
          </w:tcPr>
          <w:p>
            <w:pPr>
              <w:pStyle w:val="TableParagraph"/>
              <w:spacing w:line="180" w:lineRule="exact" w:before="3"/>
              <w:rPr>
                <w:sz w:val="16"/>
              </w:rPr>
            </w:pPr>
            <w:r>
              <w:rPr>
                <w:sz w:val="16"/>
              </w:rPr>
              <w:t>Pre-vesting</w:t>
            </w:r>
            <w:r>
              <w:rPr>
                <w:spacing w:val="21"/>
                <w:sz w:val="16"/>
              </w:rPr>
              <w:t> </w:t>
            </w:r>
            <w:r>
              <w:rPr>
                <w:sz w:val="16"/>
              </w:rPr>
              <w:t>executive</w:t>
            </w:r>
            <w:r>
              <w:rPr>
                <w:spacing w:val="21"/>
                <w:sz w:val="16"/>
              </w:rPr>
              <w:t> </w:t>
            </w:r>
            <w:r>
              <w:rPr>
                <w:sz w:val="16"/>
              </w:rPr>
              <w:t>departure</w:t>
            </w:r>
            <w:r>
              <w:rPr>
                <w:spacing w:val="21"/>
                <w:sz w:val="16"/>
              </w:rPr>
              <w:t> </w:t>
            </w:r>
            <w:r>
              <w:rPr>
                <w:spacing w:val="-4"/>
                <w:sz w:val="16"/>
              </w:rPr>
              <w:t>rate</w:t>
            </w:r>
          </w:p>
        </w:tc>
        <w:tc>
          <w:tcPr>
            <w:tcW w:w="1088" w:type="dxa"/>
            <w:shd w:val="clear" w:color="auto" w:fill="CCEDFF"/>
          </w:tcPr>
          <w:p>
            <w:pPr>
              <w:pStyle w:val="TableParagraph"/>
              <w:spacing w:line="180" w:lineRule="exact" w:before="3"/>
              <w:ind w:right="453"/>
              <w:jc w:val="right"/>
              <w:rPr>
                <w:sz w:val="16"/>
              </w:rPr>
            </w:pPr>
            <w:r>
              <w:rPr>
                <w:spacing w:val="-4"/>
                <w:w w:val="105"/>
                <w:sz w:val="16"/>
              </w:rPr>
              <w:t>0.6%</w:t>
            </w:r>
          </w:p>
        </w:tc>
        <w:tc>
          <w:tcPr>
            <w:tcW w:w="803" w:type="dxa"/>
            <w:shd w:val="clear" w:color="auto" w:fill="CCEDFF"/>
          </w:tcPr>
          <w:p>
            <w:pPr>
              <w:pStyle w:val="TableParagraph"/>
              <w:rPr>
                <w:sz w:val="14"/>
              </w:rPr>
            </w:pPr>
          </w:p>
        </w:tc>
        <w:tc>
          <w:tcPr>
            <w:tcW w:w="587" w:type="dxa"/>
            <w:shd w:val="clear" w:color="auto" w:fill="CCEDFF"/>
          </w:tcPr>
          <w:p>
            <w:pPr>
              <w:pStyle w:val="TableParagraph"/>
              <w:spacing w:line="180" w:lineRule="exact" w:before="3"/>
              <w:ind w:left="179"/>
              <w:rPr>
                <w:sz w:val="16"/>
              </w:rPr>
            </w:pPr>
            <w:r>
              <w:rPr>
                <w:spacing w:val="-4"/>
                <w:w w:val="105"/>
                <w:sz w:val="16"/>
              </w:rPr>
              <w:t>0.6%</w:t>
            </w:r>
          </w:p>
        </w:tc>
        <w:tc>
          <w:tcPr>
            <w:tcW w:w="490" w:type="dxa"/>
            <w:shd w:val="clear" w:color="auto" w:fill="CCEDFF"/>
          </w:tcPr>
          <w:p>
            <w:pPr>
              <w:pStyle w:val="TableParagraph"/>
              <w:rPr>
                <w:sz w:val="14"/>
              </w:rPr>
            </w:pPr>
          </w:p>
        </w:tc>
      </w:tr>
      <w:tr>
        <w:trPr>
          <w:trHeight w:val="238" w:hRule="atLeast"/>
        </w:trPr>
        <w:tc>
          <w:tcPr>
            <w:tcW w:w="8550" w:type="dxa"/>
            <w:tcBorders>
              <w:bottom w:val="double" w:sz="6" w:space="0" w:color="000000"/>
            </w:tcBorders>
          </w:tcPr>
          <w:p>
            <w:pPr>
              <w:pStyle w:val="TableParagraph"/>
              <w:spacing w:line="177" w:lineRule="exact" w:before="41"/>
              <w:rPr>
                <w:sz w:val="16"/>
              </w:rPr>
            </w:pPr>
            <w:r>
              <w:rPr>
                <w:sz w:val="16"/>
              </w:rPr>
              <w:t>Pre-vesting</w:t>
            </w:r>
            <w:r>
              <w:rPr>
                <w:spacing w:val="24"/>
                <w:sz w:val="16"/>
              </w:rPr>
              <w:t> </w:t>
            </w:r>
            <w:r>
              <w:rPr>
                <w:sz w:val="16"/>
              </w:rPr>
              <w:t>non-executive</w:t>
            </w:r>
            <w:r>
              <w:rPr>
                <w:spacing w:val="24"/>
                <w:sz w:val="16"/>
              </w:rPr>
              <w:t> </w:t>
            </w:r>
            <w:r>
              <w:rPr>
                <w:sz w:val="16"/>
              </w:rPr>
              <w:t>departure</w:t>
            </w:r>
            <w:r>
              <w:rPr>
                <w:spacing w:val="24"/>
                <w:sz w:val="16"/>
              </w:rPr>
              <w:t> </w:t>
            </w:r>
            <w:r>
              <w:rPr>
                <w:spacing w:val="-4"/>
                <w:sz w:val="16"/>
              </w:rPr>
              <w:t>rate</w:t>
            </w:r>
          </w:p>
        </w:tc>
        <w:tc>
          <w:tcPr>
            <w:tcW w:w="1088" w:type="dxa"/>
            <w:tcBorders>
              <w:bottom w:val="double" w:sz="6" w:space="0" w:color="000000"/>
            </w:tcBorders>
          </w:tcPr>
          <w:p>
            <w:pPr>
              <w:pStyle w:val="TableParagraph"/>
              <w:spacing w:line="217" w:lineRule="exact" w:before="1"/>
              <w:ind w:right="453"/>
              <w:jc w:val="right"/>
              <w:rPr>
                <w:sz w:val="16"/>
              </w:rPr>
            </w:pPr>
            <w:r>
              <w:rPr>
                <w:spacing w:val="-4"/>
                <w:w w:val="105"/>
                <w:sz w:val="16"/>
              </w:rPr>
              <w:t>2.5</w:t>
            </w:r>
            <w:r>
              <w:rPr>
                <w:spacing w:val="-4"/>
                <w:w w:val="105"/>
                <w:position w:val="4"/>
                <w:sz w:val="16"/>
              </w:rPr>
              <w:t>%</w:t>
            </w:r>
          </w:p>
        </w:tc>
        <w:tc>
          <w:tcPr>
            <w:tcW w:w="803" w:type="dxa"/>
            <w:tcBorders>
              <w:bottom w:val="double" w:sz="6" w:space="0" w:color="000000"/>
            </w:tcBorders>
          </w:tcPr>
          <w:p>
            <w:pPr>
              <w:pStyle w:val="TableParagraph"/>
              <w:rPr>
                <w:sz w:val="16"/>
              </w:rPr>
            </w:pPr>
          </w:p>
        </w:tc>
        <w:tc>
          <w:tcPr>
            <w:tcW w:w="587" w:type="dxa"/>
            <w:tcBorders>
              <w:bottom w:val="double" w:sz="6" w:space="0" w:color="000000"/>
            </w:tcBorders>
          </w:tcPr>
          <w:p>
            <w:pPr>
              <w:pStyle w:val="TableParagraph"/>
              <w:rPr>
                <w:sz w:val="16"/>
              </w:rPr>
            </w:pPr>
          </w:p>
        </w:tc>
        <w:tc>
          <w:tcPr>
            <w:tcW w:w="490" w:type="dxa"/>
            <w:tcBorders>
              <w:bottom w:val="double" w:sz="6" w:space="0" w:color="000000"/>
            </w:tcBorders>
          </w:tcPr>
          <w:p>
            <w:pPr>
              <w:pStyle w:val="TableParagraph"/>
              <w:rPr>
                <w:sz w:val="16"/>
              </w:rPr>
            </w:pPr>
          </w:p>
        </w:tc>
      </w:tr>
      <w:tr>
        <w:trPr>
          <w:trHeight w:val="389" w:hRule="atLeast"/>
        </w:trPr>
        <w:tc>
          <w:tcPr>
            <w:tcW w:w="8550" w:type="dxa"/>
            <w:tcBorders>
              <w:top w:val="double" w:sz="6" w:space="0" w:color="000000"/>
            </w:tcBorders>
          </w:tcPr>
          <w:p>
            <w:pPr>
              <w:pStyle w:val="TableParagraph"/>
              <w:spacing w:before="19"/>
              <w:rPr>
                <w:sz w:val="16"/>
              </w:rPr>
            </w:pPr>
          </w:p>
          <w:p>
            <w:pPr>
              <w:pStyle w:val="TableParagraph"/>
              <w:spacing w:line="165" w:lineRule="exact" w:before="1"/>
              <w:rPr>
                <w:b/>
                <w:i/>
                <w:sz w:val="16"/>
              </w:rPr>
            </w:pPr>
            <w:r>
              <w:rPr>
                <w:b/>
                <w:i/>
                <w:sz w:val="16"/>
              </w:rPr>
              <w:t>Incentive</w:t>
            </w:r>
            <w:r>
              <w:rPr>
                <w:b/>
                <w:i/>
                <w:spacing w:val="15"/>
                <w:sz w:val="16"/>
              </w:rPr>
              <w:t> </w:t>
            </w:r>
            <w:r>
              <w:rPr>
                <w:b/>
                <w:i/>
                <w:sz w:val="16"/>
              </w:rPr>
              <w:t>Stock</w:t>
            </w:r>
            <w:r>
              <w:rPr>
                <w:b/>
                <w:i/>
                <w:spacing w:val="16"/>
                <w:sz w:val="16"/>
              </w:rPr>
              <w:t> </w:t>
            </w:r>
            <w:r>
              <w:rPr>
                <w:b/>
                <w:i/>
                <w:spacing w:val="-2"/>
                <w:sz w:val="16"/>
              </w:rPr>
              <w:t>Plans</w:t>
            </w:r>
          </w:p>
        </w:tc>
        <w:tc>
          <w:tcPr>
            <w:tcW w:w="1088" w:type="dxa"/>
            <w:tcBorders>
              <w:top w:val="double" w:sz="6" w:space="0" w:color="000000"/>
            </w:tcBorders>
          </w:tcPr>
          <w:p>
            <w:pPr>
              <w:pStyle w:val="TableParagraph"/>
              <w:rPr>
                <w:sz w:val="16"/>
              </w:rPr>
            </w:pPr>
          </w:p>
        </w:tc>
        <w:tc>
          <w:tcPr>
            <w:tcW w:w="803" w:type="dxa"/>
            <w:tcBorders>
              <w:top w:val="double" w:sz="6" w:space="0" w:color="000000"/>
            </w:tcBorders>
          </w:tcPr>
          <w:p>
            <w:pPr>
              <w:pStyle w:val="TableParagraph"/>
              <w:rPr>
                <w:sz w:val="16"/>
              </w:rPr>
            </w:pPr>
          </w:p>
        </w:tc>
        <w:tc>
          <w:tcPr>
            <w:tcW w:w="587" w:type="dxa"/>
            <w:tcBorders>
              <w:top w:val="double" w:sz="6" w:space="0" w:color="000000"/>
            </w:tcBorders>
          </w:tcPr>
          <w:p>
            <w:pPr>
              <w:pStyle w:val="TableParagraph"/>
              <w:rPr>
                <w:sz w:val="16"/>
              </w:rPr>
            </w:pPr>
          </w:p>
        </w:tc>
        <w:tc>
          <w:tcPr>
            <w:tcW w:w="490" w:type="dxa"/>
            <w:tcBorders>
              <w:top w:val="double" w:sz="6" w:space="0" w:color="000000"/>
            </w:tcBorders>
          </w:tcPr>
          <w:p>
            <w:pPr>
              <w:pStyle w:val="TableParagraph"/>
              <w:rPr>
                <w:sz w:val="16"/>
              </w:rPr>
            </w:pPr>
          </w:p>
        </w:tc>
      </w:tr>
    </w:tbl>
    <w:p>
      <w:pPr>
        <w:pStyle w:val="BodyText"/>
        <w:spacing w:before="45"/>
      </w:pPr>
    </w:p>
    <w:p>
      <w:pPr>
        <w:pStyle w:val="BodyText"/>
        <w:spacing w:line="266" w:lineRule="auto"/>
        <w:ind w:left="156" w:right="117"/>
      </w:pPr>
      <w:r>
        <w:rPr>
          <w:w w:val="105"/>
        </w:rPr>
        <w:t>The</w:t>
      </w:r>
      <w:r>
        <w:rPr>
          <w:spacing w:val="-1"/>
          <w:w w:val="105"/>
        </w:rPr>
        <w:t> </w:t>
      </w:r>
      <w:r>
        <w:rPr>
          <w:w w:val="105"/>
        </w:rPr>
        <w:t>Corning</w:t>
      </w:r>
      <w:r>
        <w:rPr>
          <w:spacing w:val="-1"/>
          <w:w w:val="105"/>
        </w:rPr>
        <w:t> </w:t>
      </w:r>
      <w:r>
        <w:rPr>
          <w:w w:val="105"/>
        </w:rPr>
        <w:t>Incentive</w:t>
      </w:r>
      <w:r>
        <w:rPr>
          <w:spacing w:val="-1"/>
          <w:w w:val="105"/>
        </w:rPr>
        <w:t> </w:t>
      </w:r>
      <w:r>
        <w:rPr>
          <w:w w:val="105"/>
        </w:rPr>
        <w:t>Stock</w:t>
      </w:r>
      <w:r>
        <w:rPr>
          <w:spacing w:val="-1"/>
          <w:w w:val="105"/>
        </w:rPr>
        <w:t> </w:t>
      </w:r>
      <w:r>
        <w:rPr>
          <w:w w:val="105"/>
        </w:rPr>
        <w:t>Plan</w:t>
      </w:r>
      <w:r>
        <w:rPr>
          <w:spacing w:val="-1"/>
          <w:w w:val="105"/>
        </w:rPr>
        <w:t> </w:t>
      </w:r>
      <w:r>
        <w:rPr>
          <w:w w:val="105"/>
        </w:rPr>
        <w:t>permits</w:t>
      </w:r>
      <w:r>
        <w:rPr>
          <w:spacing w:val="-1"/>
          <w:w w:val="105"/>
        </w:rPr>
        <w:t> </w:t>
      </w:r>
      <w:r>
        <w:rPr>
          <w:w w:val="105"/>
        </w:rPr>
        <w:t>restricted</w:t>
      </w:r>
      <w:r>
        <w:rPr>
          <w:spacing w:val="-1"/>
          <w:w w:val="105"/>
        </w:rPr>
        <w:t> </w:t>
      </w:r>
      <w:r>
        <w:rPr>
          <w:w w:val="105"/>
        </w:rPr>
        <w:t>stock and</w:t>
      </w:r>
      <w:r>
        <w:rPr>
          <w:spacing w:val="-1"/>
          <w:w w:val="105"/>
        </w:rPr>
        <w:t> </w:t>
      </w:r>
      <w:r>
        <w:rPr>
          <w:w w:val="105"/>
        </w:rPr>
        <w:t>restricted</w:t>
      </w:r>
      <w:r>
        <w:rPr>
          <w:spacing w:val="-1"/>
          <w:w w:val="105"/>
        </w:rPr>
        <w:t> </w:t>
      </w:r>
      <w:r>
        <w:rPr>
          <w:w w:val="105"/>
        </w:rPr>
        <w:t>stock</w:t>
      </w:r>
      <w:r>
        <w:rPr>
          <w:spacing w:val="-1"/>
          <w:w w:val="105"/>
        </w:rPr>
        <w:t> </w:t>
      </w:r>
      <w:r>
        <w:rPr>
          <w:w w:val="105"/>
        </w:rPr>
        <w:t>unit</w:t>
      </w:r>
      <w:r>
        <w:rPr>
          <w:spacing w:val="-1"/>
          <w:w w:val="105"/>
        </w:rPr>
        <w:t> </w:t>
      </w:r>
      <w:r>
        <w:rPr>
          <w:w w:val="105"/>
        </w:rPr>
        <w:t>grants,</w:t>
      </w:r>
      <w:r>
        <w:rPr>
          <w:spacing w:val="-1"/>
          <w:w w:val="105"/>
        </w:rPr>
        <w:t> </w:t>
      </w:r>
      <w:r>
        <w:rPr>
          <w:w w:val="105"/>
        </w:rPr>
        <w:t>either</w:t>
      </w:r>
      <w:r>
        <w:rPr>
          <w:spacing w:val="-1"/>
          <w:w w:val="105"/>
        </w:rPr>
        <w:t> </w:t>
      </w:r>
      <w:r>
        <w:rPr>
          <w:w w:val="105"/>
        </w:rPr>
        <w:t>determined</w:t>
      </w:r>
      <w:r>
        <w:rPr>
          <w:spacing w:val="-1"/>
          <w:w w:val="105"/>
        </w:rPr>
        <w:t> </w:t>
      </w:r>
      <w:r>
        <w:rPr>
          <w:w w:val="105"/>
        </w:rPr>
        <w:t>by</w:t>
      </w:r>
      <w:r>
        <w:rPr>
          <w:spacing w:val="-1"/>
          <w:w w:val="105"/>
        </w:rPr>
        <w:t> </w:t>
      </w:r>
      <w:r>
        <w:rPr>
          <w:w w:val="105"/>
        </w:rPr>
        <w:t>specific</w:t>
      </w:r>
      <w:r>
        <w:rPr>
          <w:spacing w:val="-1"/>
          <w:w w:val="105"/>
        </w:rPr>
        <w:t> </w:t>
      </w:r>
      <w:r>
        <w:rPr>
          <w:w w:val="105"/>
        </w:rPr>
        <w:t>performance</w:t>
      </w:r>
      <w:r>
        <w:rPr>
          <w:spacing w:val="-1"/>
          <w:w w:val="105"/>
        </w:rPr>
        <w:t> </w:t>
      </w:r>
      <w:r>
        <w:rPr>
          <w:w w:val="105"/>
        </w:rPr>
        <w:t>goals</w:t>
      </w:r>
      <w:r>
        <w:rPr>
          <w:spacing w:val="-1"/>
          <w:w w:val="105"/>
        </w:rPr>
        <w:t> </w:t>
      </w:r>
      <w:r>
        <w:rPr>
          <w:w w:val="105"/>
        </w:rPr>
        <w:t>or</w:t>
      </w:r>
      <w:r>
        <w:rPr>
          <w:spacing w:val="-1"/>
          <w:w w:val="105"/>
        </w:rPr>
        <w:t> </w:t>
      </w:r>
      <w:r>
        <w:rPr>
          <w:w w:val="105"/>
        </w:rPr>
        <w:t>issued</w:t>
      </w:r>
      <w:r>
        <w:rPr>
          <w:spacing w:val="-1"/>
          <w:w w:val="105"/>
        </w:rPr>
        <w:t> </w:t>
      </w:r>
      <w:r>
        <w:rPr>
          <w:w w:val="105"/>
        </w:rPr>
        <w:t>directly,</w:t>
      </w:r>
      <w:r>
        <w:rPr>
          <w:spacing w:val="-1"/>
          <w:w w:val="105"/>
        </w:rPr>
        <w:t> </w:t>
      </w:r>
      <w:r>
        <w:rPr>
          <w:w w:val="105"/>
        </w:rPr>
        <w:t>in</w:t>
      </w:r>
      <w:r>
        <w:rPr>
          <w:spacing w:val="-1"/>
          <w:w w:val="105"/>
        </w:rPr>
        <w:t> </w:t>
      </w:r>
      <w:r>
        <w:rPr>
          <w:w w:val="105"/>
        </w:rPr>
        <w:t>most instances,</w:t>
      </w:r>
      <w:r>
        <w:rPr>
          <w:spacing w:val="-8"/>
          <w:w w:val="105"/>
        </w:rPr>
        <w:t> </w:t>
      </w:r>
      <w:r>
        <w:rPr>
          <w:w w:val="105"/>
        </w:rPr>
        <w:t>subject</w:t>
      </w:r>
      <w:r>
        <w:rPr>
          <w:spacing w:val="-8"/>
          <w:w w:val="105"/>
        </w:rPr>
        <w:t> </w:t>
      </w:r>
      <w:r>
        <w:rPr>
          <w:w w:val="105"/>
        </w:rPr>
        <w:t>to</w:t>
      </w:r>
      <w:r>
        <w:rPr>
          <w:spacing w:val="-8"/>
          <w:w w:val="105"/>
        </w:rPr>
        <w:t> </w:t>
      </w:r>
      <w:r>
        <w:rPr>
          <w:w w:val="105"/>
        </w:rPr>
        <w:t>the</w:t>
      </w:r>
      <w:r>
        <w:rPr>
          <w:spacing w:val="-8"/>
          <w:w w:val="105"/>
        </w:rPr>
        <w:t> </w:t>
      </w:r>
      <w:r>
        <w:rPr>
          <w:w w:val="105"/>
        </w:rPr>
        <w:t>possibility</w:t>
      </w:r>
      <w:r>
        <w:rPr>
          <w:spacing w:val="-8"/>
          <w:w w:val="105"/>
        </w:rPr>
        <w:t> </w:t>
      </w:r>
      <w:r>
        <w:rPr>
          <w:w w:val="105"/>
        </w:rPr>
        <w:t>of</w:t>
      </w:r>
      <w:r>
        <w:rPr>
          <w:spacing w:val="-8"/>
          <w:w w:val="105"/>
        </w:rPr>
        <w:t> </w:t>
      </w:r>
      <w:r>
        <w:rPr>
          <w:w w:val="105"/>
        </w:rPr>
        <w:t>forfeiture</w:t>
      </w:r>
      <w:r>
        <w:rPr>
          <w:spacing w:val="-8"/>
          <w:w w:val="105"/>
        </w:rPr>
        <w:t> </w:t>
      </w:r>
      <w:r>
        <w:rPr>
          <w:w w:val="105"/>
        </w:rPr>
        <w:t>and</w:t>
      </w:r>
      <w:r>
        <w:rPr>
          <w:spacing w:val="-8"/>
          <w:w w:val="105"/>
        </w:rPr>
        <w:t> </w:t>
      </w:r>
      <w:r>
        <w:rPr>
          <w:w w:val="105"/>
        </w:rPr>
        <w:t>without</w:t>
      </w:r>
      <w:r>
        <w:rPr>
          <w:spacing w:val="-8"/>
          <w:w w:val="105"/>
        </w:rPr>
        <w:t> </w:t>
      </w:r>
      <w:r>
        <w:rPr>
          <w:w w:val="105"/>
        </w:rPr>
        <w:t>cash</w:t>
      </w:r>
      <w:r>
        <w:rPr>
          <w:spacing w:val="-8"/>
          <w:w w:val="105"/>
        </w:rPr>
        <w:t> </w:t>
      </w:r>
      <w:r>
        <w:rPr>
          <w:w w:val="105"/>
        </w:rPr>
        <w:t>consideration.</w:t>
      </w:r>
      <w:r>
        <w:rPr>
          <w:spacing w:val="-8"/>
          <w:w w:val="105"/>
        </w:rPr>
        <w:t> </w:t>
      </w:r>
      <w:r>
        <w:rPr>
          <w:w w:val="105"/>
        </w:rPr>
        <w:t>Restricted</w:t>
      </w:r>
      <w:r>
        <w:rPr>
          <w:spacing w:val="-8"/>
          <w:w w:val="105"/>
        </w:rPr>
        <w:t> </w:t>
      </w:r>
      <w:r>
        <w:rPr>
          <w:w w:val="105"/>
        </w:rPr>
        <w:t>stock</w:t>
      </w:r>
      <w:r>
        <w:rPr>
          <w:spacing w:val="-8"/>
          <w:w w:val="105"/>
        </w:rPr>
        <w:t> </w:t>
      </w:r>
      <w:r>
        <w:rPr>
          <w:w w:val="105"/>
        </w:rPr>
        <w:t>and</w:t>
      </w:r>
      <w:r>
        <w:rPr>
          <w:spacing w:val="-8"/>
          <w:w w:val="105"/>
        </w:rPr>
        <w:t> </w:t>
      </w:r>
      <w:r>
        <w:rPr>
          <w:w w:val="105"/>
        </w:rPr>
        <w:t>restricted</w:t>
      </w:r>
      <w:r>
        <w:rPr>
          <w:spacing w:val="-8"/>
          <w:w w:val="105"/>
        </w:rPr>
        <w:t> </w:t>
      </w:r>
      <w:r>
        <w:rPr>
          <w:w w:val="105"/>
        </w:rPr>
        <w:t>stock</w:t>
      </w:r>
      <w:r>
        <w:rPr>
          <w:spacing w:val="-8"/>
          <w:w w:val="105"/>
        </w:rPr>
        <w:t> </w:t>
      </w:r>
      <w:r>
        <w:rPr>
          <w:w w:val="105"/>
        </w:rPr>
        <w:t>units</w:t>
      </w:r>
      <w:r>
        <w:rPr>
          <w:spacing w:val="-8"/>
          <w:w w:val="105"/>
        </w:rPr>
        <w:t> </w:t>
      </w:r>
      <w:r>
        <w:rPr>
          <w:w w:val="105"/>
        </w:rPr>
        <w:t>under</w:t>
      </w:r>
      <w:r>
        <w:rPr>
          <w:spacing w:val="-8"/>
          <w:w w:val="105"/>
        </w:rPr>
        <w:t> </w:t>
      </w:r>
      <w:r>
        <w:rPr>
          <w:w w:val="105"/>
        </w:rPr>
        <w:t>the</w:t>
      </w:r>
      <w:r>
        <w:rPr>
          <w:spacing w:val="-8"/>
          <w:w w:val="105"/>
        </w:rPr>
        <w:t> </w:t>
      </w:r>
      <w:r>
        <w:rPr>
          <w:w w:val="105"/>
        </w:rPr>
        <w:t>Incentive</w:t>
      </w:r>
      <w:r>
        <w:rPr>
          <w:spacing w:val="-8"/>
          <w:w w:val="105"/>
        </w:rPr>
        <w:t> </w:t>
      </w:r>
      <w:r>
        <w:rPr>
          <w:w w:val="105"/>
        </w:rPr>
        <w:t>Stock</w:t>
      </w:r>
      <w:r>
        <w:rPr>
          <w:spacing w:val="-8"/>
          <w:w w:val="105"/>
        </w:rPr>
        <w:t> </w:t>
      </w:r>
      <w:r>
        <w:rPr>
          <w:w w:val="105"/>
        </w:rPr>
        <w:t>Plan</w:t>
      </w:r>
      <w:r>
        <w:rPr>
          <w:spacing w:val="-8"/>
          <w:w w:val="105"/>
        </w:rPr>
        <w:t> </w:t>
      </w:r>
      <w:r>
        <w:rPr>
          <w:w w:val="105"/>
        </w:rPr>
        <w:t>are</w:t>
      </w:r>
      <w:r>
        <w:rPr>
          <w:spacing w:val="-8"/>
          <w:w w:val="105"/>
        </w:rPr>
        <w:t> </w:t>
      </w:r>
      <w:r>
        <w:rPr>
          <w:w w:val="105"/>
        </w:rPr>
        <w:t>granted</w:t>
      </w:r>
      <w:r>
        <w:rPr>
          <w:spacing w:val="-8"/>
          <w:w w:val="105"/>
        </w:rPr>
        <w:t> </w:t>
      </w:r>
      <w:r>
        <w:rPr>
          <w:w w:val="105"/>
        </w:rPr>
        <w:t>at</w:t>
      </w:r>
      <w:r>
        <w:rPr>
          <w:spacing w:val="-8"/>
          <w:w w:val="105"/>
        </w:rPr>
        <w:t> </w:t>
      </w:r>
      <w:r>
        <w:rPr>
          <w:w w:val="105"/>
        </w:rPr>
        <w:t>the closing</w:t>
      </w:r>
      <w:r>
        <w:rPr>
          <w:spacing w:val="-5"/>
          <w:w w:val="105"/>
        </w:rPr>
        <w:t> </w:t>
      </w:r>
      <w:r>
        <w:rPr>
          <w:w w:val="105"/>
        </w:rPr>
        <w:t>market</w:t>
      </w:r>
      <w:r>
        <w:rPr>
          <w:spacing w:val="-5"/>
          <w:w w:val="105"/>
        </w:rPr>
        <w:t> </w:t>
      </w:r>
      <w:r>
        <w:rPr>
          <w:w w:val="105"/>
        </w:rPr>
        <w:t>price</w:t>
      </w:r>
      <w:r>
        <w:rPr>
          <w:spacing w:val="-5"/>
          <w:w w:val="105"/>
        </w:rPr>
        <w:t> </w:t>
      </w:r>
      <w:r>
        <w:rPr>
          <w:w w:val="105"/>
        </w:rPr>
        <w:t>on</w:t>
      </w:r>
      <w:r>
        <w:rPr>
          <w:spacing w:val="-3"/>
          <w:w w:val="105"/>
        </w:rPr>
        <w:t> </w:t>
      </w:r>
      <w:r>
        <w:rPr>
          <w:w w:val="105"/>
        </w:rPr>
        <w:t>the</w:t>
      </w:r>
      <w:r>
        <w:rPr>
          <w:spacing w:val="-5"/>
          <w:w w:val="105"/>
        </w:rPr>
        <w:t> </w:t>
      </w:r>
      <w:r>
        <w:rPr>
          <w:w w:val="105"/>
        </w:rPr>
        <w:t>grant</w:t>
      </w:r>
      <w:r>
        <w:rPr>
          <w:spacing w:val="-5"/>
          <w:w w:val="105"/>
        </w:rPr>
        <w:t> </w:t>
      </w:r>
      <w:r>
        <w:rPr>
          <w:w w:val="105"/>
        </w:rPr>
        <w:t>date,</w:t>
      </w:r>
      <w:r>
        <w:rPr>
          <w:spacing w:val="-5"/>
          <w:w w:val="105"/>
        </w:rPr>
        <w:t> </w:t>
      </w:r>
      <w:r>
        <w:rPr>
          <w:w w:val="105"/>
        </w:rPr>
        <w:t>contingently</w:t>
      </w:r>
      <w:r>
        <w:rPr>
          <w:spacing w:val="-5"/>
          <w:w w:val="105"/>
        </w:rPr>
        <w:t> </w:t>
      </w:r>
      <w:r>
        <w:rPr>
          <w:w w:val="105"/>
        </w:rPr>
        <w:t>vest</w:t>
      </w:r>
      <w:r>
        <w:rPr>
          <w:spacing w:val="-5"/>
          <w:w w:val="105"/>
        </w:rPr>
        <w:t> </w:t>
      </w:r>
      <w:r>
        <w:rPr>
          <w:w w:val="105"/>
        </w:rPr>
        <w:t>over</w:t>
      </w:r>
      <w:r>
        <w:rPr>
          <w:spacing w:val="-5"/>
          <w:w w:val="105"/>
        </w:rPr>
        <w:t> </w:t>
      </w:r>
      <w:r>
        <w:rPr>
          <w:w w:val="105"/>
        </w:rPr>
        <w:t>a</w:t>
      </w:r>
      <w:r>
        <w:rPr>
          <w:spacing w:val="-5"/>
          <w:w w:val="105"/>
        </w:rPr>
        <w:t> </w:t>
      </w:r>
      <w:r>
        <w:rPr>
          <w:w w:val="105"/>
        </w:rPr>
        <w:t>period</w:t>
      </w:r>
      <w:r>
        <w:rPr>
          <w:spacing w:val="-5"/>
          <w:w w:val="105"/>
        </w:rPr>
        <w:t> </w:t>
      </w:r>
      <w:r>
        <w:rPr>
          <w:w w:val="105"/>
        </w:rPr>
        <w:t>of</w:t>
      </w:r>
      <w:r>
        <w:rPr>
          <w:spacing w:val="-5"/>
          <w:w w:val="105"/>
        </w:rPr>
        <w:t> </w:t>
      </w:r>
      <w:r>
        <w:rPr>
          <w:w w:val="105"/>
        </w:rPr>
        <w:t>generally</w:t>
      </w:r>
      <w:r>
        <w:rPr>
          <w:spacing w:val="-6"/>
          <w:w w:val="105"/>
        </w:rPr>
        <w:t> </w:t>
      </w:r>
      <w:r>
        <w:rPr>
          <w:w w:val="105"/>
        </w:rPr>
        <w:t>one</w:t>
      </w:r>
      <w:r>
        <w:rPr>
          <w:spacing w:val="-5"/>
          <w:w w:val="105"/>
        </w:rPr>
        <w:t> </w:t>
      </w:r>
      <w:r>
        <w:rPr>
          <w:w w:val="105"/>
        </w:rPr>
        <w:t>year</w:t>
      </w:r>
      <w:r>
        <w:rPr>
          <w:spacing w:val="-5"/>
          <w:w w:val="105"/>
        </w:rPr>
        <w:t> </w:t>
      </w:r>
      <w:r>
        <w:rPr>
          <w:w w:val="105"/>
        </w:rPr>
        <w:t>to</w:t>
      </w:r>
      <w:r>
        <w:rPr>
          <w:spacing w:val="-4"/>
          <w:w w:val="105"/>
        </w:rPr>
        <w:t> </w:t>
      </w:r>
      <w:r>
        <w:rPr>
          <w:w w:val="105"/>
        </w:rPr>
        <w:t>ten</w:t>
      </w:r>
      <w:r>
        <w:rPr>
          <w:spacing w:val="-5"/>
          <w:w w:val="105"/>
        </w:rPr>
        <w:t> </w:t>
      </w:r>
      <w:r>
        <w:rPr>
          <w:w w:val="105"/>
        </w:rPr>
        <w:t>years,</w:t>
      </w:r>
      <w:r>
        <w:rPr>
          <w:spacing w:val="-5"/>
          <w:w w:val="105"/>
        </w:rPr>
        <w:t> </w:t>
      </w:r>
      <w:r>
        <w:rPr>
          <w:w w:val="105"/>
        </w:rPr>
        <w:t>and</w:t>
      </w:r>
      <w:r>
        <w:rPr>
          <w:spacing w:val="-5"/>
          <w:w w:val="105"/>
        </w:rPr>
        <w:t> </w:t>
      </w:r>
      <w:r>
        <w:rPr>
          <w:w w:val="105"/>
        </w:rPr>
        <w:t>generally</w:t>
      </w:r>
      <w:r>
        <w:rPr>
          <w:spacing w:val="-5"/>
          <w:w w:val="105"/>
        </w:rPr>
        <w:t> </w:t>
      </w:r>
      <w:r>
        <w:rPr>
          <w:w w:val="105"/>
        </w:rPr>
        <w:t>have</w:t>
      </w:r>
      <w:r>
        <w:rPr>
          <w:spacing w:val="-3"/>
          <w:w w:val="105"/>
        </w:rPr>
        <w:t> </w:t>
      </w:r>
      <w:r>
        <w:rPr>
          <w:w w:val="105"/>
        </w:rPr>
        <w:t>contractual</w:t>
      </w:r>
      <w:r>
        <w:rPr>
          <w:spacing w:val="-5"/>
          <w:w w:val="105"/>
        </w:rPr>
        <w:t> </w:t>
      </w:r>
      <w:r>
        <w:rPr>
          <w:w w:val="105"/>
        </w:rPr>
        <w:t>lives</w:t>
      </w:r>
      <w:r>
        <w:rPr>
          <w:spacing w:val="-5"/>
          <w:w w:val="105"/>
        </w:rPr>
        <w:t> </w:t>
      </w:r>
      <w:r>
        <w:rPr>
          <w:w w:val="105"/>
        </w:rPr>
        <w:t>of</w:t>
      </w:r>
      <w:r>
        <w:rPr>
          <w:spacing w:val="-4"/>
          <w:w w:val="105"/>
        </w:rPr>
        <w:t> </w:t>
      </w:r>
      <w:r>
        <w:rPr>
          <w:w w:val="105"/>
        </w:rPr>
        <w:t>one</w:t>
      </w:r>
      <w:r>
        <w:rPr>
          <w:spacing w:val="-5"/>
          <w:w w:val="105"/>
        </w:rPr>
        <w:t> </w:t>
      </w:r>
      <w:r>
        <w:rPr>
          <w:w w:val="105"/>
        </w:rPr>
        <w:t>year</w:t>
      </w:r>
      <w:r>
        <w:rPr>
          <w:spacing w:val="-5"/>
          <w:w w:val="105"/>
        </w:rPr>
        <w:t> </w:t>
      </w:r>
      <w:r>
        <w:rPr>
          <w:w w:val="105"/>
        </w:rPr>
        <w:t>to</w:t>
      </w:r>
      <w:r>
        <w:rPr>
          <w:spacing w:val="-4"/>
          <w:w w:val="105"/>
        </w:rPr>
        <w:t> </w:t>
      </w:r>
      <w:r>
        <w:rPr>
          <w:w w:val="105"/>
        </w:rPr>
        <w:t>ten</w:t>
      </w:r>
      <w:r>
        <w:rPr>
          <w:spacing w:val="-5"/>
          <w:w w:val="105"/>
        </w:rPr>
        <w:t> </w:t>
      </w:r>
      <w:r>
        <w:rPr>
          <w:w w:val="105"/>
        </w:rPr>
        <w:t>years.</w:t>
      </w:r>
      <w:r>
        <w:rPr>
          <w:spacing w:val="-5"/>
          <w:w w:val="105"/>
        </w:rPr>
        <w:t> </w:t>
      </w:r>
      <w:r>
        <w:rPr>
          <w:w w:val="105"/>
        </w:rPr>
        <w:t>The fair</w:t>
      </w:r>
      <w:r>
        <w:rPr>
          <w:spacing w:val="-2"/>
          <w:w w:val="105"/>
        </w:rPr>
        <w:t> </w:t>
      </w:r>
      <w:r>
        <w:rPr>
          <w:w w:val="105"/>
        </w:rPr>
        <w:t>value</w:t>
      </w:r>
      <w:r>
        <w:rPr>
          <w:spacing w:val="-2"/>
          <w:w w:val="105"/>
        </w:rPr>
        <w:t> </w:t>
      </w:r>
      <w:r>
        <w:rPr>
          <w:w w:val="105"/>
        </w:rPr>
        <w:t>of</w:t>
      </w:r>
      <w:r>
        <w:rPr>
          <w:spacing w:val="-2"/>
          <w:w w:val="105"/>
        </w:rPr>
        <w:t> </w:t>
      </w:r>
      <w:r>
        <w:rPr>
          <w:w w:val="105"/>
        </w:rPr>
        <w:t>each</w:t>
      </w:r>
      <w:r>
        <w:rPr>
          <w:spacing w:val="-2"/>
          <w:w w:val="105"/>
        </w:rPr>
        <w:t> </w:t>
      </w:r>
      <w:r>
        <w:rPr>
          <w:w w:val="105"/>
        </w:rPr>
        <w:t>restricted</w:t>
      </w:r>
      <w:r>
        <w:rPr>
          <w:spacing w:val="-2"/>
          <w:w w:val="105"/>
        </w:rPr>
        <w:t> </w:t>
      </w:r>
      <w:r>
        <w:rPr>
          <w:w w:val="105"/>
        </w:rPr>
        <w:t>stock</w:t>
      </w:r>
      <w:r>
        <w:rPr>
          <w:spacing w:val="-2"/>
          <w:w w:val="105"/>
        </w:rPr>
        <w:t> </w:t>
      </w:r>
      <w:r>
        <w:rPr>
          <w:w w:val="105"/>
        </w:rPr>
        <w:t>grant</w:t>
      </w:r>
      <w:r>
        <w:rPr>
          <w:spacing w:val="-2"/>
          <w:w w:val="105"/>
        </w:rPr>
        <w:t> </w:t>
      </w:r>
      <w:r>
        <w:rPr>
          <w:w w:val="105"/>
        </w:rPr>
        <w:t>or restricted</w:t>
      </w:r>
      <w:r>
        <w:rPr>
          <w:spacing w:val="-2"/>
          <w:w w:val="105"/>
        </w:rPr>
        <w:t> </w:t>
      </w:r>
      <w:r>
        <w:rPr>
          <w:w w:val="105"/>
        </w:rPr>
        <w:t>stock</w:t>
      </w:r>
      <w:r>
        <w:rPr>
          <w:spacing w:val="-2"/>
          <w:w w:val="105"/>
        </w:rPr>
        <w:t> </w:t>
      </w:r>
      <w:r>
        <w:rPr>
          <w:w w:val="105"/>
        </w:rPr>
        <w:t>unit</w:t>
      </w:r>
      <w:r>
        <w:rPr>
          <w:spacing w:val="-2"/>
          <w:w w:val="105"/>
        </w:rPr>
        <w:t> </w:t>
      </w:r>
      <w:r>
        <w:rPr>
          <w:w w:val="105"/>
        </w:rPr>
        <w:t>awarded</w:t>
      </w:r>
      <w:r>
        <w:rPr>
          <w:spacing w:val="-2"/>
          <w:w w:val="105"/>
        </w:rPr>
        <w:t> </w:t>
      </w:r>
      <w:r>
        <w:rPr>
          <w:w w:val="105"/>
        </w:rPr>
        <w:t>under</w:t>
      </w:r>
      <w:r>
        <w:rPr>
          <w:spacing w:val="-2"/>
          <w:w w:val="105"/>
        </w:rPr>
        <w:t> </w:t>
      </w:r>
      <w:r>
        <w:rPr>
          <w:w w:val="105"/>
        </w:rPr>
        <w:t>the</w:t>
      </w:r>
      <w:r>
        <w:rPr>
          <w:spacing w:val="-2"/>
          <w:w w:val="105"/>
        </w:rPr>
        <w:t> </w:t>
      </w:r>
      <w:r>
        <w:rPr>
          <w:w w:val="105"/>
        </w:rPr>
        <w:t>Incentive</w:t>
      </w:r>
      <w:r>
        <w:rPr>
          <w:spacing w:val="-2"/>
          <w:w w:val="105"/>
        </w:rPr>
        <w:t> </w:t>
      </w:r>
      <w:r>
        <w:rPr>
          <w:w w:val="105"/>
        </w:rPr>
        <w:t>Stock</w:t>
      </w:r>
      <w:r>
        <w:rPr>
          <w:spacing w:val="-2"/>
          <w:w w:val="105"/>
        </w:rPr>
        <w:t> </w:t>
      </w:r>
      <w:r>
        <w:rPr>
          <w:w w:val="105"/>
        </w:rPr>
        <w:t>Plan</w:t>
      </w:r>
      <w:r>
        <w:rPr>
          <w:spacing w:val="-2"/>
          <w:w w:val="105"/>
        </w:rPr>
        <w:t> </w:t>
      </w:r>
      <w:r>
        <w:rPr>
          <w:w w:val="105"/>
        </w:rPr>
        <w:t>is</w:t>
      </w:r>
      <w:r>
        <w:rPr>
          <w:spacing w:val="-2"/>
          <w:w w:val="105"/>
        </w:rPr>
        <w:t> </w:t>
      </w:r>
      <w:r>
        <w:rPr>
          <w:w w:val="105"/>
        </w:rPr>
        <w:t>based</w:t>
      </w:r>
      <w:r>
        <w:rPr>
          <w:spacing w:val="-2"/>
          <w:w w:val="105"/>
        </w:rPr>
        <w:t> </w:t>
      </w:r>
      <w:r>
        <w:rPr>
          <w:w w:val="105"/>
        </w:rPr>
        <w:t>on</w:t>
      </w:r>
      <w:r>
        <w:rPr>
          <w:spacing w:val="-2"/>
          <w:w w:val="105"/>
        </w:rPr>
        <w:t> </w:t>
      </w:r>
      <w:r>
        <w:rPr>
          <w:w w:val="105"/>
        </w:rPr>
        <w:t>the</w:t>
      </w:r>
      <w:r>
        <w:rPr>
          <w:spacing w:val="-2"/>
          <w:w w:val="105"/>
        </w:rPr>
        <w:t> </w:t>
      </w:r>
      <w:r>
        <w:rPr>
          <w:w w:val="105"/>
        </w:rPr>
        <w:t>grant</w:t>
      </w:r>
      <w:r>
        <w:rPr>
          <w:spacing w:val="-2"/>
          <w:w w:val="105"/>
        </w:rPr>
        <w:t> </w:t>
      </w:r>
      <w:r>
        <w:rPr>
          <w:w w:val="105"/>
        </w:rPr>
        <w:t>date</w:t>
      </w:r>
      <w:r>
        <w:rPr>
          <w:spacing w:val="-2"/>
          <w:w w:val="105"/>
        </w:rPr>
        <w:t> </w:t>
      </w:r>
      <w:r>
        <w:rPr>
          <w:w w:val="105"/>
        </w:rPr>
        <w:t>closing</w:t>
      </w:r>
      <w:r>
        <w:rPr>
          <w:spacing w:val="-2"/>
          <w:w w:val="105"/>
        </w:rPr>
        <w:t> </w:t>
      </w:r>
      <w:r>
        <w:rPr>
          <w:w w:val="105"/>
        </w:rPr>
        <w:t>price</w:t>
      </w:r>
      <w:r>
        <w:rPr>
          <w:spacing w:val="-2"/>
          <w:w w:val="105"/>
        </w:rPr>
        <w:t> </w:t>
      </w:r>
      <w:r>
        <w:rPr>
          <w:w w:val="105"/>
        </w:rPr>
        <w:t>of</w:t>
      </w:r>
      <w:r>
        <w:rPr>
          <w:spacing w:val="-2"/>
          <w:w w:val="105"/>
        </w:rPr>
        <w:t> </w:t>
      </w:r>
      <w:r>
        <w:rPr>
          <w:w w:val="105"/>
        </w:rPr>
        <w:t>the</w:t>
      </w:r>
      <w:r>
        <w:rPr>
          <w:spacing w:val="-2"/>
          <w:w w:val="105"/>
        </w:rPr>
        <w:t> </w:t>
      </w:r>
      <w:r>
        <w:rPr>
          <w:w w:val="105"/>
        </w:rPr>
        <w:t>Company’s</w:t>
      </w:r>
      <w:r>
        <w:rPr>
          <w:spacing w:val="-2"/>
          <w:w w:val="105"/>
        </w:rPr>
        <w:t> </w:t>
      </w:r>
      <w:r>
        <w:rPr>
          <w:w w:val="105"/>
        </w:rPr>
        <w:t>stock.</w:t>
      </w:r>
    </w:p>
    <w:p>
      <w:pPr>
        <w:pStyle w:val="BodyText"/>
        <w:spacing w:before="18"/>
      </w:pPr>
    </w:p>
    <w:p>
      <w:pPr>
        <w:pStyle w:val="BodyText"/>
        <w:ind w:left="156"/>
      </w:pPr>
      <w:r>
        <w:rPr>
          <w:u w:val="single"/>
        </w:rPr>
        <w:t>Time-Based</w:t>
      </w:r>
      <w:r>
        <w:rPr>
          <w:spacing w:val="16"/>
          <w:u w:val="single"/>
        </w:rPr>
        <w:t> </w:t>
      </w:r>
      <w:r>
        <w:rPr>
          <w:u w:val="single"/>
        </w:rPr>
        <w:t>Restricted</w:t>
      </w:r>
      <w:r>
        <w:rPr>
          <w:spacing w:val="16"/>
          <w:u w:val="single"/>
        </w:rPr>
        <w:t> </w:t>
      </w:r>
      <w:r>
        <w:rPr>
          <w:u w:val="single"/>
        </w:rPr>
        <w:t>Stock</w:t>
      </w:r>
      <w:r>
        <w:rPr>
          <w:spacing w:val="18"/>
          <w:u w:val="single"/>
        </w:rPr>
        <w:t> </w:t>
      </w:r>
      <w:r>
        <w:rPr>
          <w:u w:val="single"/>
        </w:rPr>
        <w:t>and</w:t>
      </w:r>
      <w:r>
        <w:rPr>
          <w:spacing w:val="17"/>
          <w:u w:val="single"/>
        </w:rPr>
        <w:t> </w:t>
      </w:r>
      <w:r>
        <w:rPr>
          <w:u w:val="single"/>
        </w:rPr>
        <w:t>Restricted</w:t>
      </w:r>
      <w:r>
        <w:rPr>
          <w:spacing w:val="16"/>
          <w:u w:val="single"/>
        </w:rPr>
        <w:t> </w:t>
      </w:r>
      <w:r>
        <w:rPr>
          <w:u w:val="single"/>
        </w:rPr>
        <w:t>Stock</w:t>
      </w:r>
      <w:r>
        <w:rPr>
          <w:spacing w:val="16"/>
          <w:u w:val="single"/>
        </w:rPr>
        <w:t> </w:t>
      </w:r>
      <w:r>
        <w:rPr>
          <w:spacing w:val="-2"/>
          <w:u w:val="single"/>
        </w:rPr>
        <w:t>Units</w:t>
      </w:r>
    </w:p>
    <w:p>
      <w:pPr>
        <w:pStyle w:val="BodyText"/>
        <w:spacing w:before="40"/>
      </w:pPr>
    </w:p>
    <w:p>
      <w:pPr>
        <w:pStyle w:val="BodyText"/>
        <w:spacing w:line="266" w:lineRule="auto"/>
        <w:ind w:left="156"/>
      </w:pPr>
      <w:r>
        <w:rPr>
          <w:w w:val="105"/>
        </w:rPr>
        <w:t>Time-based</w:t>
      </w:r>
      <w:r>
        <w:rPr>
          <w:spacing w:val="-5"/>
          <w:w w:val="105"/>
        </w:rPr>
        <w:t> </w:t>
      </w:r>
      <w:r>
        <w:rPr>
          <w:w w:val="105"/>
        </w:rPr>
        <w:t>restricted</w:t>
      </w:r>
      <w:r>
        <w:rPr>
          <w:spacing w:val="-5"/>
          <w:w w:val="105"/>
        </w:rPr>
        <w:t> </w:t>
      </w:r>
      <w:r>
        <w:rPr>
          <w:w w:val="105"/>
        </w:rPr>
        <w:t>stock</w:t>
      </w:r>
      <w:r>
        <w:rPr>
          <w:spacing w:val="-5"/>
          <w:w w:val="105"/>
        </w:rPr>
        <w:t> </w:t>
      </w:r>
      <w:r>
        <w:rPr>
          <w:w w:val="105"/>
        </w:rPr>
        <w:t>and</w:t>
      </w:r>
      <w:r>
        <w:rPr>
          <w:spacing w:val="-5"/>
          <w:w w:val="105"/>
        </w:rPr>
        <w:t> </w:t>
      </w:r>
      <w:r>
        <w:rPr>
          <w:w w:val="105"/>
        </w:rPr>
        <w:t>restricted</w:t>
      </w:r>
      <w:r>
        <w:rPr>
          <w:spacing w:val="-5"/>
          <w:w w:val="105"/>
        </w:rPr>
        <w:t> </w:t>
      </w:r>
      <w:r>
        <w:rPr>
          <w:w w:val="105"/>
        </w:rPr>
        <w:t>stock</w:t>
      </w:r>
      <w:r>
        <w:rPr>
          <w:spacing w:val="-5"/>
          <w:w w:val="105"/>
        </w:rPr>
        <w:t> </w:t>
      </w:r>
      <w:r>
        <w:rPr>
          <w:w w:val="105"/>
        </w:rPr>
        <w:t>units</w:t>
      </w:r>
      <w:r>
        <w:rPr>
          <w:spacing w:val="-5"/>
          <w:w w:val="105"/>
        </w:rPr>
        <w:t> </w:t>
      </w:r>
      <w:r>
        <w:rPr>
          <w:w w:val="105"/>
        </w:rPr>
        <w:t>are</w:t>
      </w:r>
      <w:r>
        <w:rPr>
          <w:spacing w:val="-5"/>
          <w:w w:val="105"/>
        </w:rPr>
        <w:t> </w:t>
      </w:r>
      <w:r>
        <w:rPr>
          <w:w w:val="105"/>
        </w:rPr>
        <w:t>issued</w:t>
      </w:r>
      <w:r>
        <w:rPr>
          <w:spacing w:val="-5"/>
          <w:w w:val="105"/>
        </w:rPr>
        <w:t> </w:t>
      </w:r>
      <w:r>
        <w:rPr>
          <w:w w:val="105"/>
        </w:rPr>
        <w:t>by</w:t>
      </w:r>
      <w:r>
        <w:rPr>
          <w:spacing w:val="-5"/>
          <w:w w:val="105"/>
        </w:rPr>
        <w:t> </w:t>
      </w:r>
      <w:r>
        <w:rPr>
          <w:w w:val="105"/>
        </w:rPr>
        <w:t>the</w:t>
      </w:r>
      <w:r>
        <w:rPr>
          <w:spacing w:val="-5"/>
          <w:w w:val="105"/>
        </w:rPr>
        <w:t> </w:t>
      </w:r>
      <w:r>
        <w:rPr>
          <w:w w:val="105"/>
        </w:rPr>
        <w:t>Company</w:t>
      </w:r>
      <w:r>
        <w:rPr>
          <w:spacing w:val="-5"/>
          <w:w w:val="105"/>
        </w:rPr>
        <w:t> </w:t>
      </w:r>
      <w:r>
        <w:rPr>
          <w:w w:val="105"/>
        </w:rPr>
        <w:t>on</w:t>
      </w:r>
      <w:r>
        <w:rPr>
          <w:spacing w:val="-5"/>
          <w:w w:val="105"/>
        </w:rPr>
        <w:t> </w:t>
      </w:r>
      <w:r>
        <w:rPr>
          <w:w w:val="105"/>
        </w:rPr>
        <w:t>a</w:t>
      </w:r>
      <w:r>
        <w:rPr>
          <w:spacing w:val="-5"/>
          <w:w w:val="105"/>
        </w:rPr>
        <w:t> </w:t>
      </w:r>
      <w:r>
        <w:rPr>
          <w:w w:val="105"/>
        </w:rPr>
        <w:t>discretionary</w:t>
      </w:r>
      <w:r>
        <w:rPr>
          <w:spacing w:val="-5"/>
          <w:w w:val="105"/>
        </w:rPr>
        <w:t> </w:t>
      </w:r>
      <w:r>
        <w:rPr>
          <w:w w:val="105"/>
        </w:rPr>
        <w:t>basis,</w:t>
      </w:r>
      <w:r>
        <w:rPr>
          <w:spacing w:val="-5"/>
          <w:w w:val="105"/>
        </w:rPr>
        <w:t> </w:t>
      </w:r>
      <w:r>
        <w:rPr>
          <w:w w:val="105"/>
        </w:rPr>
        <w:t>and</w:t>
      </w:r>
      <w:r>
        <w:rPr>
          <w:spacing w:val="-5"/>
          <w:w w:val="105"/>
        </w:rPr>
        <w:t> </w:t>
      </w:r>
      <w:r>
        <w:rPr>
          <w:w w:val="105"/>
        </w:rPr>
        <w:t>are</w:t>
      </w:r>
      <w:r>
        <w:rPr>
          <w:spacing w:val="-5"/>
          <w:w w:val="105"/>
        </w:rPr>
        <w:t> </w:t>
      </w:r>
      <w:r>
        <w:rPr>
          <w:w w:val="105"/>
        </w:rPr>
        <w:t>payable</w:t>
      </w:r>
      <w:r>
        <w:rPr>
          <w:spacing w:val="-5"/>
          <w:w w:val="105"/>
        </w:rPr>
        <w:t> </w:t>
      </w:r>
      <w:r>
        <w:rPr>
          <w:w w:val="105"/>
        </w:rPr>
        <w:t>in</w:t>
      </w:r>
      <w:r>
        <w:rPr>
          <w:spacing w:val="-5"/>
          <w:w w:val="105"/>
        </w:rPr>
        <w:t> </w:t>
      </w:r>
      <w:r>
        <w:rPr>
          <w:w w:val="105"/>
        </w:rPr>
        <w:t>shares</w:t>
      </w:r>
      <w:r>
        <w:rPr>
          <w:spacing w:val="-5"/>
          <w:w w:val="105"/>
        </w:rPr>
        <w:t> </w:t>
      </w:r>
      <w:r>
        <w:rPr>
          <w:w w:val="105"/>
        </w:rPr>
        <w:t>of</w:t>
      </w:r>
      <w:r>
        <w:rPr>
          <w:spacing w:val="-5"/>
          <w:w w:val="105"/>
        </w:rPr>
        <w:t> </w:t>
      </w:r>
      <w:r>
        <w:rPr>
          <w:w w:val="105"/>
        </w:rPr>
        <w:t>the</w:t>
      </w:r>
      <w:r>
        <w:rPr>
          <w:spacing w:val="-5"/>
          <w:w w:val="105"/>
        </w:rPr>
        <w:t> </w:t>
      </w:r>
      <w:r>
        <w:rPr>
          <w:w w:val="105"/>
        </w:rPr>
        <w:t>Company’s</w:t>
      </w:r>
      <w:r>
        <w:rPr>
          <w:spacing w:val="-5"/>
          <w:w w:val="105"/>
        </w:rPr>
        <w:t> </w:t>
      </w:r>
      <w:r>
        <w:rPr>
          <w:w w:val="105"/>
        </w:rPr>
        <w:t>common</w:t>
      </w:r>
      <w:r>
        <w:rPr>
          <w:spacing w:val="-5"/>
          <w:w w:val="105"/>
        </w:rPr>
        <w:t> </w:t>
      </w:r>
      <w:r>
        <w:rPr>
          <w:w w:val="105"/>
        </w:rPr>
        <w:t>stock</w:t>
      </w:r>
      <w:r>
        <w:rPr>
          <w:spacing w:val="-5"/>
          <w:w w:val="105"/>
        </w:rPr>
        <w:t> </w:t>
      </w:r>
      <w:r>
        <w:rPr>
          <w:w w:val="105"/>
        </w:rPr>
        <w:t>upon vesting.</w:t>
      </w:r>
      <w:r>
        <w:rPr>
          <w:spacing w:val="-7"/>
          <w:w w:val="105"/>
        </w:rPr>
        <w:t> </w:t>
      </w:r>
      <w:r>
        <w:rPr>
          <w:w w:val="105"/>
        </w:rPr>
        <w:t>The</w:t>
      </w:r>
      <w:r>
        <w:rPr>
          <w:spacing w:val="-7"/>
          <w:w w:val="105"/>
        </w:rPr>
        <w:t> </w:t>
      </w:r>
      <w:r>
        <w:rPr>
          <w:w w:val="105"/>
        </w:rPr>
        <w:t>fair</w:t>
      </w:r>
      <w:r>
        <w:rPr>
          <w:spacing w:val="-7"/>
          <w:w w:val="105"/>
        </w:rPr>
        <w:t> </w:t>
      </w:r>
      <w:r>
        <w:rPr>
          <w:w w:val="105"/>
        </w:rPr>
        <w:t>value</w:t>
      </w:r>
      <w:r>
        <w:rPr>
          <w:spacing w:val="-7"/>
          <w:w w:val="105"/>
        </w:rPr>
        <w:t> </w:t>
      </w:r>
      <w:r>
        <w:rPr>
          <w:w w:val="105"/>
        </w:rPr>
        <w:t>is</w:t>
      </w:r>
      <w:r>
        <w:rPr>
          <w:spacing w:val="-7"/>
          <w:w w:val="105"/>
        </w:rPr>
        <w:t> </w:t>
      </w:r>
      <w:r>
        <w:rPr>
          <w:w w:val="105"/>
        </w:rPr>
        <w:t>based</w:t>
      </w:r>
      <w:r>
        <w:rPr>
          <w:spacing w:val="-7"/>
          <w:w w:val="105"/>
        </w:rPr>
        <w:t> </w:t>
      </w:r>
      <w:r>
        <w:rPr>
          <w:w w:val="105"/>
        </w:rPr>
        <w:t>on</w:t>
      </w:r>
      <w:r>
        <w:rPr>
          <w:spacing w:val="-7"/>
          <w:w w:val="105"/>
        </w:rPr>
        <w:t> </w:t>
      </w:r>
      <w:r>
        <w:rPr>
          <w:w w:val="105"/>
        </w:rPr>
        <w:t>the</w:t>
      </w:r>
      <w:r>
        <w:rPr>
          <w:spacing w:val="-7"/>
          <w:w w:val="105"/>
        </w:rPr>
        <w:t> </w:t>
      </w:r>
      <w:r>
        <w:rPr>
          <w:w w:val="105"/>
        </w:rPr>
        <w:t>closing</w:t>
      </w:r>
      <w:r>
        <w:rPr>
          <w:spacing w:val="-7"/>
          <w:w w:val="105"/>
        </w:rPr>
        <w:t> </w:t>
      </w:r>
      <w:r>
        <w:rPr>
          <w:w w:val="105"/>
        </w:rPr>
        <w:t>market</w:t>
      </w:r>
      <w:r>
        <w:rPr>
          <w:spacing w:val="-7"/>
          <w:w w:val="105"/>
        </w:rPr>
        <w:t> </w:t>
      </w:r>
      <w:r>
        <w:rPr>
          <w:w w:val="105"/>
        </w:rPr>
        <w:t>price</w:t>
      </w:r>
      <w:r>
        <w:rPr>
          <w:spacing w:val="-7"/>
          <w:w w:val="105"/>
        </w:rPr>
        <w:t> </w:t>
      </w:r>
      <w:r>
        <w:rPr>
          <w:w w:val="105"/>
        </w:rPr>
        <w:t>of</w:t>
      </w:r>
      <w:r>
        <w:rPr>
          <w:spacing w:val="-7"/>
          <w:w w:val="105"/>
        </w:rPr>
        <w:t> </w:t>
      </w:r>
      <w:r>
        <w:rPr>
          <w:w w:val="105"/>
        </w:rPr>
        <w:t>the</w:t>
      </w:r>
      <w:r>
        <w:rPr>
          <w:spacing w:val="-7"/>
          <w:w w:val="105"/>
        </w:rPr>
        <w:t> </w:t>
      </w:r>
      <w:r>
        <w:rPr>
          <w:w w:val="105"/>
        </w:rPr>
        <w:t>Company’s</w:t>
      </w:r>
      <w:r>
        <w:rPr>
          <w:spacing w:val="-7"/>
          <w:w w:val="105"/>
        </w:rPr>
        <w:t> </w:t>
      </w:r>
      <w:r>
        <w:rPr>
          <w:w w:val="105"/>
        </w:rPr>
        <w:t>stock</w:t>
      </w:r>
      <w:r>
        <w:rPr>
          <w:spacing w:val="-7"/>
          <w:w w:val="105"/>
        </w:rPr>
        <w:t> </w:t>
      </w:r>
      <w:r>
        <w:rPr>
          <w:w w:val="105"/>
        </w:rPr>
        <w:t>on</w:t>
      </w:r>
      <w:r>
        <w:rPr>
          <w:spacing w:val="-7"/>
          <w:w w:val="105"/>
        </w:rPr>
        <w:t> </w:t>
      </w:r>
      <w:r>
        <w:rPr>
          <w:w w:val="105"/>
        </w:rPr>
        <w:t>the</w:t>
      </w:r>
      <w:r>
        <w:rPr>
          <w:spacing w:val="-7"/>
          <w:w w:val="105"/>
        </w:rPr>
        <w:t> </w:t>
      </w:r>
      <w:r>
        <w:rPr>
          <w:w w:val="105"/>
        </w:rPr>
        <w:t>grant</w:t>
      </w:r>
      <w:r>
        <w:rPr>
          <w:spacing w:val="-7"/>
          <w:w w:val="105"/>
        </w:rPr>
        <w:t> </w:t>
      </w:r>
      <w:r>
        <w:rPr>
          <w:w w:val="105"/>
        </w:rPr>
        <w:t>date.</w:t>
      </w:r>
      <w:r>
        <w:rPr>
          <w:spacing w:val="-7"/>
          <w:w w:val="105"/>
        </w:rPr>
        <w:t> </w:t>
      </w:r>
      <w:r>
        <w:rPr>
          <w:w w:val="105"/>
        </w:rPr>
        <w:t>Compensation</w:t>
      </w:r>
      <w:r>
        <w:rPr>
          <w:spacing w:val="-7"/>
          <w:w w:val="105"/>
        </w:rPr>
        <w:t> </w:t>
      </w:r>
      <w:r>
        <w:rPr>
          <w:w w:val="105"/>
        </w:rPr>
        <w:t>cost</w:t>
      </w:r>
      <w:r>
        <w:rPr>
          <w:spacing w:val="-7"/>
          <w:w w:val="105"/>
        </w:rPr>
        <w:t> </w:t>
      </w:r>
      <w:r>
        <w:rPr>
          <w:w w:val="105"/>
        </w:rPr>
        <w:t>is</w:t>
      </w:r>
      <w:r>
        <w:rPr>
          <w:spacing w:val="-7"/>
          <w:w w:val="105"/>
        </w:rPr>
        <w:t> </w:t>
      </w:r>
      <w:r>
        <w:rPr>
          <w:w w:val="105"/>
        </w:rPr>
        <w:t>recognized</w:t>
      </w:r>
      <w:r>
        <w:rPr>
          <w:spacing w:val="-7"/>
          <w:w w:val="105"/>
        </w:rPr>
        <w:t> </w:t>
      </w:r>
      <w:r>
        <w:rPr>
          <w:w w:val="105"/>
        </w:rPr>
        <w:t>over</w:t>
      </w:r>
      <w:r>
        <w:rPr>
          <w:spacing w:val="-7"/>
          <w:w w:val="105"/>
        </w:rPr>
        <w:t> </w:t>
      </w:r>
      <w:r>
        <w:rPr>
          <w:w w:val="105"/>
        </w:rPr>
        <w:t>the</w:t>
      </w:r>
      <w:r>
        <w:rPr>
          <w:spacing w:val="-7"/>
          <w:w w:val="105"/>
        </w:rPr>
        <w:t> </w:t>
      </w:r>
      <w:r>
        <w:rPr>
          <w:w w:val="105"/>
        </w:rPr>
        <w:t>requisite</w:t>
      </w:r>
      <w:r>
        <w:rPr>
          <w:spacing w:val="-7"/>
          <w:w w:val="105"/>
        </w:rPr>
        <w:t> </w:t>
      </w:r>
      <w:r>
        <w:rPr>
          <w:w w:val="105"/>
        </w:rPr>
        <w:t>vesting</w:t>
      </w:r>
      <w:r>
        <w:rPr>
          <w:spacing w:val="-7"/>
          <w:w w:val="105"/>
        </w:rPr>
        <w:t> </w:t>
      </w:r>
      <w:r>
        <w:rPr>
          <w:w w:val="105"/>
        </w:rPr>
        <w:t>period</w:t>
      </w:r>
      <w:r>
        <w:rPr>
          <w:spacing w:val="-7"/>
          <w:w w:val="105"/>
        </w:rPr>
        <w:t> </w:t>
      </w:r>
      <w:r>
        <w:rPr>
          <w:w w:val="105"/>
        </w:rPr>
        <w:t>and adjusted for actual forfeitures before vesting.</w:t>
      </w:r>
    </w:p>
    <w:p>
      <w:pPr>
        <w:pStyle w:val="BodyText"/>
        <w:spacing w:before="18"/>
      </w:pPr>
    </w:p>
    <w:p>
      <w:pPr>
        <w:pStyle w:val="BodyText"/>
        <w:ind w:left="48"/>
        <w:jc w:val="center"/>
      </w:pPr>
      <w:r>
        <w:rPr>
          <w:spacing w:val="-5"/>
          <w:w w:val="105"/>
        </w:rPr>
        <w:t>112</w:t>
      </w:r>
    </w:p>
    <w:p>
      <w:pPr>
        <w:pStyle w:val="BodyText"/>
        <w:rPr>
          <w:sz w:val="6"/>
        </w:rPr>
      </w:pPr>
      <w:r>
        <w:rPr/>
        <mc:AlternateContent>
          <mc:Choice Requires="wps">
            <w:drawing>
              <wp:anchor distT="0" distB="0" distL="0" distR="0" allowOverlap="1" layoutInCell="1" locked="0" behindDoc="1" simplePos="0" relativeHeight="487749632">
                <wp:simplePos x="0" y="0"/>
                <wp:positionH relativeFrom="page">
                  <wp:posOffset>226488</wp:posOffset>
                </wp:positionH>
                <wp:positionV relativeFrom="paragraph">
                  <wp:posOffset>59051</wp:posOffset>
                </wp:positionV>
                <wp:extent cx="7312659" cy="16510"/>
                <wp:effectExtent l="0" t="0" r="0" b="0"/>
                <wp:wrapTopAndBottom/>
                <wp:docPr id="1077" name="Graphic 1077"/>
                <wp:cNvGraphicFramePr>
                  <a:graphicFrameLocks/>
                </wp:cNvGraphicFramePr>
                <a:graphic>
                  <a:graphicData uri="http://schemas.microsoft.com/office/word/2010/wordprocessingShape">
                    <wps:wsp>
                      <wps:cNvPr id="1077" name="Graphic 107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566848;mso-wrap-distance-left:0;mso-wrap-distance-right:0" id="docshape1076"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pPr>
      <w:r>
        <w:rPr>
          <w:spacing w:val="-2"/>
          <w:w w:val="105"/>
        </w:rPr>
        <w:t>19.</w:t>
      </w:r>
      <w:r>
        <w:rPr>
          <w:spacing w:val="35"/>
          <w:w w:val="105"/>
        </w:rPr>
        <w:t> </w:t>
      </w:r>
      <w:r>
        <w:rPr>
          <w:spacing w:val="-2"/>
          <w:w w:val="105"/>
        </w:rPr>
        <w:t>Share-Based</w:t>
      </w:r>
      <w:r>
        <w:rPr>
          <w:spacing w:val="-4"/>
          <w:w w:val="105"/>
        </w:rPr>
        <w:t> </w:t>
      </w:r>
      <w:r>
        <w:rPr>
          <w:spacing w:val="-2"/>
          <w:w w:val="105"/>
        </w:rPr>
        <w:t>Compensation</w:t>
      </w:r>
      <w:r>
        <w:rPr>
          <w:spacing w:val="-3"/>
          <w:w w:val="105"/>
        </w:rPr>
        <w:t> </w:t>
      </w:r>
      <w:r>
        <w:rPr>
          <w:spacing w:val="-2"/>
          <w:w w:val="105"/>
        </w:rPr>
        <w:t>(Continued)</w:t>
      </w:r>
    </w:p>
    <w:p>
      <w:pPr>
        <w:pStyle w:val="BodyText"/>
        <w:spacing w:before="40"/>
        <w:rPr>
          <w:b/>
        </w:rPr>
      </w:pPr>
    </w:p>
    <w:p>
      <w:pPr>
        <w:pStyle w:val="BodyText"/>
        <w:spacing w:line="266" w:lineRule="auto"/>
        <w:ind w:left="156" w:right="328"/>
      </w:pPr>
      <w:r>
        <w:rPr>
          <w:w w:val="105"/>
        </w:rPr>
        <w:t>The</w:t>
      </w:r>
      <w:r>
        <w:rPr>
          <w:spacing w:val="-8"/>
          <w:w w:val="105"/>
        </w:rPr>
        <w:t> </w:t>
      </w:r>
      <w:r>
        <w:rPr>
          <w:w w:val="105"/>
        </w:rPr>
        <w:t>following</w:t>
      </w:r>
      <w:r>
        <w:rPr>
          <w:spacing w:val="-8"/>
          <w:w w:val="105"/>
        </w:rPr>
        <w:t> </w:t>
      </w:r>
      <w:r>
        <w:rPr>
          <w:w w:val="105"/>
        </w:rPr>
        <w:t>table</w:t>
      </w:r>
      <w:r>
        <w:rPr>
          <w:spacing w:val="-8"/>
          <w:w w:val="105"/>
        </w:rPr>
        <w:t> </w:t>
      </w:r>
      <w:r>
        <w:rPr>
          <w:w w:val="105"/>
        </w:rPr>
        <w:t>represents</w:t>
      </w:r>
      <w:r>
        <w:rPr>
          <w:spacing w:val="-8"/>
          <w:w w:val="105"/>
        </w:rPr>
        <w:t> </w:t>
      </w:r>
      <w:r>
        <w:rPr>
          <w:w w:val="105"/>
        </w:rPr>
        <w:t>a</w:t>
      </w:r>
      <w:r>
        <w:rPr>
          <w:spacing w:val="-8"/>
          <w:w w:val="105"/>
        </w:rPr>
        <w:t> </w:t>
      </w:r>
      <w:r>
        <w:rPr>
          <w:w w:val="105"/>
        </w:rPr>
        <w:t>summary</w:t>
      </w:r>
      <w:r>
        <w:rPr>
          <w:spacing w:val="-8"/>
          <w:w w:val="105"/>
        </w:rPr>
        <w:t> </w:t>
      </w:r>
      <w:r>
        <w:rPr>
          <w:w w:val="105"/>
        </w:rPr>
        <w:t>of</w:t>
      </w:r>
      <w:r>
        <w:rPr>
          <w:spacing w:val="-8"/>
          <w:w w:val="105"/>
        </w:rPr>
        <w:t> </w:t>
      </w:r>
      <w:r>
        <w:rPr>
          <w:w w:val="105"/>
        </w:rPr>
        <w:t>the</w:t>
      </w:r>
      <w:r>
        <w:rPr>
          <w:spacing w:val="-8"/>
          <w:w w:val="105"/>
        </w:rPr>
        <w:t> </w:t>
      </w:r>
      <w:r>
        <w:rPr>
          <w:w w:val="105"/>
        </w:rPr>
        <w:t>status</w:t>
      </w:r>
      <w:r>
        <w:rPr>
          <w:spacing w:val="-8"/>
          <w:w w:val="105"/>
        </w:rPr>
        <w:t> </w:t>
      </w:r>
      <w:r>
        <w:rPr>
          <w:w w:val="105"/>
        </w:rPr>
        <w:t>of</w:t>
      </w:r>
      <w:r>
        <w:rPr>
          <w:spacing w:val="-8"/>
          <w:w w:val="105"/>
        </w:rPr>
        <w:t> </w:t>
      </w:r>
      <w:r>
        <w:rPr>
          <w:w w:val="105"/>
        </w:rPr>
        <w:t>the</w:t>
      </w:r>
      <w:r>
        <w:rPr>
          <w:spacing w:val="-8"/>
          <w:w w:val="105"/>
        </w:rPr>
        <w:t> </w:t>
      </w:r>
      <w:r>
        <w:rPr>
          <w:w w:val="105"/>
        </w:rPr>
        <w:t>Company’s</w:t>
      </w:r>
      <w:r>
        <w:rPr>
          <w:spacing w:val="-8"/>
          <w:w w:val="105"/>
        </w:rPr>
        <w:t> </w:t>
      </w:r>
      <w:r>
        <w:rPr>
          <w:w w:val="105"/>
        </w:rPr>
        <w:t>non-vested</w:t>
      </w:r>
      <w:r>
        <w:rPr>
          <w:spacing w:val="-8"/>
          <w:w w:val="105"/>
        </w:rPr>
        <w:t> </w:t>
      </w:r>
      <w:r>
        <w:rPr>
          <w:w w:val="105"/>
        </w:rPr>
        <w:t>time-based</w:t>
      </w:r>
      <w:r>
        <w:rPr>
          <w:spacing w:val="-8"/>
          <w:w w:val="105"/>
        </w:rPr>
        <w:t> </w:t>
      </w:r>
      <w:r>
        <w:rPr>
          <w:w w:val="105"/>
        </w:rPr>
        <w:t>restricted</w:t>
      </w:r>
      <w:r>
        <w:rPr>
          <w:spacing w:val="-8"/>
          <w:w w:val="105"/>
        </w:rPr>
        <w:t> </w:t>
      </w:r>
      <w:r>
        <w:rPr>
          <w:w w:val="105"/>
        </w:rPr>
        <w:t>stock</w:t>
      </w:r>
      <w:r>
        <w:rPr>
          <w:spacing w:val="-6"/>
          <w:w w:val="105"/>
        </w:rPr>
        <w:t> </w:t>
      </w:r>
      <w:r>
        <w:rPr>
          <w:w w:val="105"/>
        </w:rPr>
        <w:t>and</w:t>
      </w:r>
      <w:r>
        <w:rPr>
          <w:spacing w:val="-8"/>
          <w:w w:val="105"/>
        </w:rPr>
        <w:t> </w:t>
      </w:r>
      <w:r>
        <w:rPr>
          <w:w w:val="105"/>
        </w:rPr>
        <w:t>restricted</w:t>
      </w:r>
      <w:r>
        <w:rPr>
          <w:spacing w:val="-8"/>
          <w:w w:val="105"/>
        </w:rPr>
        <w:t> </w:t>
      </w:r>
      <w:r>
        <w:rPr>
          <w:w w:val="105"/>
        </w:rPr>
        <w:t>stock</w:t>
      </w:r>
      <w:r>
        <w:rPr>
          <w:spacing w:val="-8"/>
          <w:w w:val="105"/>
        </w:rPr>
        <w:t> </w:t>
      </w:r>
      <w:r>
        <w:rPr>
          <w:w w:val="105"/>
        </w:rPr>
        <w:t>units</w:t>
      </w:r>
      <w:r>
        <w:rPr>
          <w:spacing w:val="-6"/>
          <w:w w:val="105"/>
        </w:rPr>
        <w:t> </w:t>
      </w:r>
      <w:r>
        <w:rPr>
          <w:w w:val="105"/>
        </w:rPr>
        <w:t>as</w:t>
      </w:r>
      <w:r>
        <w:rPr>
          <w:spacing w:val="-8"/>
          <w:w w:val="105"/>
        </w:rPr>
        <w:t> </w:t>
      </w:r>
      <w:r>
        <w:rPr>
          <w:w w:val="105"/>
        </w:rPr>
        <w:t>of</w:t>
      </w:r>
      <w:r>
        <w:rPr>
          <w:spacing w:val="-7"/>
          <w:w w:val="105"/>
        </w:rPr>
        <w:t> </w:t>
      </w:r>
      <w:r>
        <w:rPr>
          <w:w w:val="105"/>
        </w:rPr>
        <w:t>December</w:t>
      </w:r>
      <w:r>
        <w:rPr>
          <w:spacing w:val="-8"/>
          <w:w w:val="105"/>
        </w:rPr>
        <w:t> </w:t>
      </w:r>
      <w:r>
        <w:rPr>
          <w:w w:val="105"/>
        </w:rPr>
        <w:t>31,</w:t>
      </w:r>
      <w:r>
        <w:rPr>
          <w:spacing w:val="-8"/>
          <w:w w:val="105"/>
        </w:rPr>
        <w:t> </w:t>
      </w:r>
      <w:r>
        <w:rPr>
          <w:w w:val="105"/>
        </w:rPr>
        <w:t>2020</w:t>
      </w:r>
      <w:r>
        <w:rPr>
          <w:spacing w:val="-7"/>
          <w:w w:val="105"/>
        </w:rPr>
        <w:t> </w:t>
      </w:r>
      <w:r>
        <w:rPr>
          <w:w w:val="105"/>
        </w:rPr>
        <w:t>and changes which occurred during the year ended December 31, 2021:</w:t>
      </w:r>
    </w:p>
    <w:p>
      <w:pPr>
        <w:pStyle w:val="BodyText"/>
        <w:spacing w:before="8"/>
        <w:rPr>
          <w:sz w:val="1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0"/>
        <w:gridCol w:w="3820"/>
        <w:gridCol w:w="1704"/>
      </w:tblGrid>
      <w:tr>
        <w:trPr>
          <w:trHeight w:val="404" w:hRule="atLeast"/>
        </w:trPr>
        <w:tc>
          <w:tcPr>
            <w:tcW w:w="5990" w:type="dxa"/>
            <w:tcBorders>
              <w:top w:val="single" w:sz="12" w:space="0" w:color="000000"/>
              <w:bottom w:val="single" w:sz="6" w:space="0" w:color="000000"/>
            </w:tcBorders>
          </w:tcPr>
          <w:p>
            <w:pPr>
              <w:pStyle w:val="TableParagraph"/>
              <w:rPr>
                <w:sz w:val="16"/>
              </w:rPr>
            </w:pPr>
          </w:p>
        </w:tc>
        <w:tc>
          <w:tcPr>
            <w:tcW w:w="3820" w:type="dxa"/>
            <w:tcBorders>
              <w:top w:val="single" w:sz="12" w:space="0" w:color="000000"/>
              <w:bottom w:val="single" w:sz="6" w:space="0" w:color="000000"/>
            </w:tcBorders>
          </w:tcPr>
          <w:p>
            <w:pPr>
              <w:pStyle w:val="TableParagraph"/>
              <w:spacing w:before="1"/>
              <w:ind w:left="2045"/>
              <w:jc w:val="center"/>
              <w:rPr>
                <w:sz w:val="16"/>
              </w:rPr>
            </w:pPr>
            <w:r>
              <w:rPr>
                <w:w w:val="105"/>
                <w:sz w:val="16"/>
              </w:rPr>
              <w:t>Number</w:t>
            </w:r>
            <w:r>
              <w:rPr>
                <w:spacing w:val="-10"/>
                <w:w w:val="105"/>
                <w:sz w:val="16"/>
              </w:rPr>
              <w:t> </w:t>
            </w:r>
            <w:r>
              <w:rPr>
                <w:w w:val="105"/>
                <w:sz w:val="16"/>
              </w:rPr>
              <w:t>of</w:t>
            </w:r>
            <w:r>
              <w:rPr>
                <w:spacing w:val="-10"/>
                <w:w w:val="105"/>
                <w:sz w:val="16"/>
              </w:rPr>
              <w:t> </w:t>
            </w:r>
            <w:r>
              <w:rPr>
                <w:w w:val="105"/>
                <w:sz w:val="16"/>
              </w:rPr>
              <w:t>shares</w:t>
            </w:r>
            <w:r>
              <w:rPr>
                <w:spacing w:val="-10"/>
                <w:w w:val="105"/>
                <w:sz w:val="16"/>
              </w:rPr>
              <w:t> </w:t>
            </w:r>
            <w:r>
              <w:rPr>
                <w:spacing w:val="-5"/>
                <w:w w:val="105"/>
                <w:sz w:val="16"/>
              </w:rPr>
              <w:t>(in</w:t>
            </w:r>
          </w:p>
          <w:p>
            <w:pPr>
              <w:pStyle w:val="TableParagraph"/>
              <w:spacing w:line="179" w:lineRule="exact" w:before="20"/>
              <w:ind w:left="2045"/>
              <w:jc w:val="center"/>
              <w:rPr>
                <w:sz w:val="16"/>
              </w:rPr>
            </w:pPr>
            <w:r>
              <w:rPr>
                <w:spacing w:val="-2"/>
                <w:w w:val="105"/>
                <w:sz w:val="16"/>
              </w:rPr>
              <w:t>thousands)</w:t>
            </w:r>
          </w:p>
        </w:tc>
        <w:tc>
          <w:tcPr>
            <w:tcW w:w="1704" w:type="dxa"/>
            <w:tcBorders>
              <w:top w:val="single" w:sz="12" w:space="0" w:color="000000"/>
              <w:bottom w:val="single" w:sz="6" w:space="0" w:color="000000"/>
            </w:tcBorders>
          </w:tcPr>
          <w:p>
            <w:pPr>
              <w:pStyle w:val="TableParagraph"/>
              <w:spacing w:before="1"/>
              <w:ind w:left="231"/>
              <w:rPr>
                <w:sz w:val="16"/>
              </w:rPr>
            </w:pPr>
            <w:r>
              <w:rPr>
                <w:sz w:val="16"/>
              </w:rPr>
              <w:t>Weighted-</w:t>
            </w:r>
            <w:r>
              <w:rPr>
                <w:spacing w:val="-2"/>
                <w:sz w:val="16"/>
              </w:rPr>
              <w:t>average</w:t>
            </w:r>
          </w:p>
          <w:p>
            <w:pPr>
              <w:pStyle w:val="TableParagraph"/>
              <w:spacing w:line="179" w:lineRule="exact" w:before="20"/>
              <w:ind w:left="166"/>
              <w:rPr>
                <w:sz w:val="16"/>
              </w:rPr>
            </w:pPr>
            <w:r>
              <w:rPr>
                <w:w w:val="105"/>
                <w:sz w:val="16"/>
              </w:rPr>
              <w:t>grant-date</w:t>
            </w:r>
            <w:r>
              <w:rPr>
                <w:spacing w:val="-10"/>
                <w:w w:val="105"/>
                <w:sz w:val="16"/>
              </w:rPr>
              <w:t> </w:t>
            </w:r>
            <w:r>
              <w:rPr>
                <w:w w:val="105"/>
                <w:sz w:val="16"/>
              </w:rPr>
              <w:t>fair</w:t>
            </w:r>
            <w:r>
              <w:rPr>
                <w:spacing w:val="-10"/>
                <w:w w:val="105"/>
                <w:sz w:val="16"/>
              </w:rPr>
              <w:t> </w:t>
            </w:r>
            <w:r>
              <w:rPr>
                <w:spacing w:val="-4"/>
                <w:w w:val="105"/>
                <w:sz w:val="16"/>
              </w:rPr>
              <w:t>value</w:t>
            </w:r>
          </w:p>
        </w:tc>
      </w:tr>
      <w:tr>
        <w:trPr>
          <w:trHeight w:val="202" w:hRule="atLeast"/>
        </w:trPr>
        <w:tc>
          <w:tcPr>
            <w:tcW w:w="5990" w:type="dxa"/>
            <w:tcBorders>
              <w:top w:val="single" w:sz="6" w:space="0" w:color="000000"/>
            </w:tcBorders>
            <w:shd w:val="clear" w:color="auto" w:fill="CCEDFF"/>
          </w:tcPr>
          <w:p>
            <w:pPr>
              <w:pStyle w:val="TableParagraph"/>
              <w:spacing w:line="180" w:lineRule="exact" w:before="2"/>
              <w:rPr>
                <w:sz w:val="16"/>
              </w:rPr>
            </w:pPr>
            <w:r>
              <w:rPr>
                <w:w w:val="105"/>
                <w:sz w:val="16"/>
              </w:rPr>
              <w:t>Non-vested</w:t>
            </w:r>
            <w:r>
              <w:rPr>
                <w:spacing w:val="-10"/>
                <w:w w:val="105"/>
                <w:sz w:val="16"/>
              </w:rPr>
              <w:t> </w:t>
            </w:r>
            <w:r>
              <w:rPr>
                <w:w w:val="105"/>
                <w:sz w:val="16"/>
              </w:rPr>
              <w:t>shares</w:t>
            </w:r>
            <w:r>
              <w:rPr>
                <w:spacing w:val="-10"/>
                <w:w w:val="105"/>
                <w:sz w:val="16"/>
              </w:rPr>
              <w:t> </w:t>
            </w:r>
            <w:r>
              <w:rPr>
                <w:w w:val="105"/>
                <w:sz w:val="16"/>
              </w:rPr>
              <w:t>and</w:t>
            </w:r>
            <w:r>
              <w:rPr>
                <w:spacing w:val="-9"/>
                <w:w w:val="105"/>
                <w:sz w:val="16"/>
              </w:rPr>
              <w:t> </w:t>
            </w:r>
            <w:r>
              <w:rPr>
                <w:w w:val="105"/>
                <w:sz w:val="16"/>
              </w:rPr>
              <w:t>share</w:t>
            </w:r>
            <w:r>
              <w:rPr>
                <w:spacing w:val="-10"/>
                <w:w w:val="105"/>
                <w:sz w:val="16"/>
              </w:rPr>
              <w:t> </w:t>
            </w:r>
            <w:r>
              <w:rPr>
                <w:w w:val="105"/>
                <w:sz w:val="16"/>
              </w:rPr>
              <w:t>units</w:t>
            </w:r>
            <w:r>
              <w:rPr>
                <w:spacing w:val="-8"/>
                <w:w w:val="105"/>
                <w:sz w:val="16"/>
              </w:rPr>
              <w:t> </w:t>
            </w:r>
            <w:r>
              <w:rPr>
                <w:w w:val="105"/>
                <w:sz w:val="16"/>
              </w:rPr>
              <w:t>at</w:t>
            </w:r>
            <w:r>
              <w:rPr>
                <w:spacing w:val="-9"/>
                <w:w w:val="105"/>
                <w:sz w:val="16"/>
              </w:rPr>
              <w:t> </w:t>
            </w:r>
            <w:r>
              <w:rPr>
                <w:w w:val="105"/>
                <w:sz w:val="16"/>
              </w:rPr>
              <w:t>December</w:t>
            </w:r>
            <w:r>
              <w:rPr>
                <w:spacing w:val="-10"/>
                <w:w w:val="105"/>
                <w:sz w:val="16"/>
              </w:rPr>
              <w:t> </w:t>
            </w:r>
            <w:r>
              <w:rPr>
                <w:w w:val="105"/>
                <w:sz w:val="16"/>
              </w:rPr>
              <w:t>31,</w:t>
            </w:r>
            <w:r>
              <w:rPr>
                <w:spacing w:val="-9"/>
                <w:w w:val="105"/>
                <w:sz w:val="16"/>
              </w:rPr>
              <w:t> </w:t>
            </w:r>
            <w:r>
              <w:rPr>
                <w:spacing w:val="-4"/>
                <w:w w:val="105"/>
                <w:sz w:val="16"/>
              </w:rPr>
              <w:t>2020</w:t>
            </w:r>
          </w:p>
        </w:tc>
        <w:tc>
          <w:tcPr>
            <w:tcW w:w="3820" w:type="dxa"/>
            <w:tcBorders>
              <w:top w:val="single" w:sz="6" w:space="0" w:color="000000"/>
            </w:tcBorders>
            <w:shd w:val="clear" w:color="auto" w:fill="CCEDFF"/>
          </w:tcPr>
          <w:p>
            <w:pPr>
              <w:pStyle w:val="TableParagraph"/>
              <w:spacing w:line="180" w:lineRule="exact" w:before="2"/>
              <w:ind w:right="139"/>
              <w:jc w:val="right"/>
              <w:rPr>
                <w:sz w:val="16"/>
              </w:rPr>
            </w:pPr>
            <w:r>
              <w:rPr>
                <w:spacing w:val="-2"/>
                <w:w w:val="105"/>
                <w:sz w:val="16"/>
              </w:rPr>
              <w:t>12,943</w:t>
            </w:r>
          </w:p>
        </w:tc>
        <w:tc>
          <w:tcPr>
            <w:tcW w:w="1704" w:type="dxa"/>
            <w:tcBorders>
              <w:top w:val="single" w:sz="6" w:space="0" w:color="000000"/>
            </w:tcBorders>
            <w:shd w:val="clear" w:color="auto" w:fill="CCEDFF"/>
          </w:tcPr>
          <w:p>
            <w:pPr>
              <w:pStyle w:val="TableParagraph"/>
              <w:tabs>
                <w:tab w:pos="1130" w:val="left" w:leader="none"/>
              </w:tabs>
              <w:spacing w:line="180" w:lineRule="exact" w:before="2"/>
              <w:ind w:right="111"/>
              <w:jc w:val="right"/>
              <w:rPr>
                <w:sz w:val="16"/>
              </w:rPr>
            </w:pPr>
            <w:r>
              <w:rPr>
                <w:spacing w:val="-10"/>
                <w:w w:val="105"/>
                <w:sz w:val="16"/>
              </w:rPr>
              <w:t>$</w:t>
            </w:r>
            <w:r>
              <w:rPr>
                <w:sz w:val="16"/>
              </w:rPr>
              <w:tab/>
            </w:r>
            <w:r>
              <w:rPr>
                <w:spacing w:val="-4"/>
                <w:w w:val="105"/>
                <w:sz w:val="16"/>
              </w:rPr>
              <w:t>22.87</w:t>
            </w:r>
          </w:p>
        </w:tc>
      </w:tr>
      <w:tr>
        <w:trPr>
          <w:trHeight w:val="203" w:hRule="atLeast"/>
        </w:trPr>
        <w:tc>
          <w:tcPr>
            <w:tcW w:w="5990" w:type="dxa"/>
          </w:tcPr>
          <w:p>
            <w:pPr>
              <w:pStyle w:val="TableParagraph"/>
              <w:spacing w:line="180" w:lineRule="exact" w:before="3"/>
              <w:rPr>
                <w:sz w:val="16"/>
              </w:rPr>
            </w:pPr>
            <w:r>
              <w:rPr>
                <w:spacing w:val="-2"/>
                <w:w w:val="105"/>
                <w:sz w:val="16"/>
              </w:rPr>
              <w:t>Granted</w:t>
            </w:r>
          </w:p>
        </w:tc>
        <w:tc>
          <w:tcPr>
            <w:tcW w:w="3820" w:type="dxa"/>
          </w:tcPr>
          <w:p>
            <w:pPr>
              <w:pStyle w:val="TableParagraph"/>
              <w:spacing w:line="180" w:lineRule="exact" w:before="3"/>
              <w:ind w:right="139"/>
              <w:jc w:val="right"/>
              <w:rPr>
                <w:sz w:val="16"/>
              </w:rPr>
            </w:pPr>
            <w:r>
              <w:rPr>
                <w:spacing w:val="-4"/>
                <w:w w:val="105"/>
                <w:sz w:val="16"/>
              </w:rPr>
              <w:t>1,890</w:t>
            </w:r>
          </w:p>
        </w:tc>
        <w:tc>
          <w:tcPr>
            <w:tcW w:w="1704" w:type="dxa"/>
          </w:tcPr>
          <w:p>
            <w:pPr>
              <w:pStyle w:val="TableParagraph"/>
              <w:spacing w:line="180" w:lineRule="exact" w:before="3"/>
              <w:ind w:right="111"/>
              <w:jc w:val="right"/>
              <w:rPr>
                <w:sz w:val="16"/>
              </w:rPr>
            </w:pPr>
            <w:r>
              <w:rPr>
                <w:spacing w:val="-4"/>
                <w:w w:val="105"/>
                <w:sz w:val="16"/>
              </w:rPr>
              <w:t>40.77</w:t>
            </w:r>
          </w:p>
        </w:tc>
      </w:tr>
      <w:tr>
        <w:trPr>
          <w:trHeight w:val="203" w:hRule="atLeast"/>
        </w:trPr>
        <w:tc>
          <w:tcPr>
            <w:tcW w:w="5990" w:type="dxa"/>
            <w:shd w:val="clear" w:color="auto" w:fill="CCEDFF"/>
          </w:tcPr>
          <w:p>
            <w:pPr>
              <w:pStyle w:val="TableParagraph"/>
              <w:spacing w:line="180" w:lineRule="exact" w:before="3"/>
              <w:rPr>
                <w:sz w:val="16"/>
              </w:rPr>
            </w:pPr>
            <w:r>
              <w:rPr>
                <w:spacing w:val="-2"/>
                <w:w w:val="105"/>
                <w:sz w:val="16"/>
              </w:rPr>
              <w:t>Vested</w:t>
            </w:r>
          </w:p>
        </w:tc>
        <w:tc>
          <w:tcPr>
            <w:tcW w:w="3820" w:type="dxa"/>
            <w:shd w:val="clear" w:color="auto" w:fill="CCEDFF"/>
          </w:tcPr>
          <w:p>
            <w:pPr>
              <w:pStyle w:val="TableParagraph"/>
              <w:spacing w:line="180" w:lineRule="exact" w:before="3"/>
              <w:ind w:right="84"/>
              <w:jc w:val="right"/>
              <w:rPr>
                <w:sz w:val="16"/>
              </w:rPr>
            </w:pPr>
            <w:r>
              <w:rPr>
                <w:spacing w:val="-2"/>
                <w:w w:val="105"/>
                <w:sz w:val="16"/>
              </w:rPr>
              <w:t>(3,774)</w:t>
            </w:r>
          </w:p>
        </w:tc>
        <w:tc>
          <w:tcPr>
            <w:tcW w:w="1704" w:type="dxa"/>
            <w:shd w:val="clear" w:color="auto" w:fill="CCEDFF"/>
          </w:tcPr>
          <w:p>
            <w:pPr>
              <w:pStyle w:val="TableParagraph"/>
              <w:spacing w:line="180" w:lineRule="exact" w:before="3"/>
              <w:ind w:right="111"/>
              <w:jc w:val="right"/>
              <w:rPr>
                <w:sz w:val="16"/>
              </w:rPr>
            </w:pPr>
            <w:r>
              <w:rPr>
                <w:spacing w:val="-4"/>
                <w:w w:val="105"/>
                <w:sz w:val="16"/>
              </w:rPr>
              <w:t>23.40</w:t>
            </w:r>
          </w:p>
        </w:tc>
      </w:tr>
      <w:tr>
        <w:trPr>
          <w:trHeight w:val="202" w:hRule="atLeast"/>
        </w:trPr>
        <w:tc>
          <w:tcPr>
            <w:tcW w:w="5990" w:type="dxa"/>
            <w:tcBorders>
              <w:bottom w:val="single" w:sz="6" w:space="0" w:color="000000"/>
            </w:tcBorders>
          </w:tcPr>
          <w:p>
            <w:pPr>
              <w:pStyle w:val="TableParagraph"/>
              <w:spacing w:line="179" w:lineRule="exact" w:before="3"/>
              <w:rPr>
                <w:sz w:val="16"/>
              </w:rPr>
            </w:pPr>
            <w:r>
              <w:rPr>
                <w:spacing w:val="-2"/>
                <w:w w:val="105"/>
                <w:sz w:val="16"/>
              </w:rPr>
              <w:t>Forfeited</w:t>
            </w:r>
          </w:p>
        </w:tc>
        <w:tc>
          <w:tcPr>
            <w:tcW w:w="3820" w:type="dxa"/>
            <w:tcBorders>
              <w:bottom w:val="single" w:sz="6" w:space="0" w:color="000000"/>
            </w:tcBorders>
          </w:tcPr>
          <w:p>
            <w:pPr>
              <w:pStyle w:val="TableParagraph"/>
              <w:spacing w:line="179" w:lineRule="exact" w:before="3"/>
              <w:ind w:right="84"/>
              <w:jc w:val="right"/>
              <w:rPr>
                <w:sz w:val="16"/>
              </w:rPr>
            </w:pPr>
            <w:r>
              <w:rPr>
                <w:spacing w:val="-2"/>
                <w:w w:val="105"/>
                <w:sz w:val="16"/>
              </w:rPr>
              <w:t>(465)</w:t>
            </w:r>
          </w:p>
        </w:tc>
        <w:tc>
          <w:tcPr>
            <w:tcW w:w="1704" w:type="dxa"/>
            <w:tcBorders>
              <w:bottom w:val="single" w:sz="6" w:space="0" w:color="000000"/>
            </w:tcBorders>
          </w:tcPr>
          <w:p>
            <w:pPr>
              <w:pStyle w:val="TableParagraph"/>
              <w:spacing w:line="179" w:lineRule="exact" w:before="3"/>
              <w:ind w:right="111"/>
              <w:jc w:val="right"/>
              <w:rPr>
                <w:sz w:val="16"/>
              </w:rPr>
            </w:pPr>
            <w:r>
              <w:rPr>
                <w:spacing w:val="-4"/>
                <w:w w:val="105"/>
                <w:sz w:val="16"/>
              </w:rPr>
              <w:t>23.74</w:t>
            </w:r>
          </w:p>
        </w:tc>
      </w:tr>
      <w:tr>
        <w:trPr>
          <w:trHeight w:val="199" w:hRule="atLeast"/>
        </w:trPr>
        <w:tc>
          <w:tcPr>
            <w:tcW w:w="5990"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Non-vested</w:t>
            </w:r>
            <w:r>
              <w:rPr>
                <w:spacing w:val="-10"/>
                <w:w w:val="105"/>
                <w:sz w:val="16"/>
              </w:rPr>
              <w:t> </w:t>
            </w:r>
            <w:r>
              <w:rPr>
                <w:w w:val="105"/>
                <w:sz w:val="16"/>
              </w:rPr>
              <w:t>shares</w:t>
            </w:r>
            <w:r>
              <w:rPr>
                <w:spacing w:val="-10"/>
                <w:w w:val="105"/>
                <w:sz w:val="16"/>
              </w:rPr>
              <w:t> </w:t>
            </w:r>
            <w:r>
              <w:rPr>
                <w:w w:val="105"/>
                <w:sz w:val="16"/>
              </w:rPr>
              <w:t>and</w:t>
            </w:r>
            <w:r>
              <w:rPr>
                <w:spacing w:val="-9"/>
                <w:w w:val="105"/>
                <w:sz w:val="16"/>
              </w:rPr>
              <w:t> </w:t>
            </w:r>
            <w:r>
              <w:rPr>
                <w:w w:val="105"/>
                <w:sz w:val="16"/>
              </w:rPr>
              <w:t>share</w:t>
            </w:r>
            <w:r>
              <w:rPr>
                <w:spacing w:val="-10"/>
                <w:w w:val="105"/>
                <w:sz w:val="16"/>
              </w:rPr>
              <w:t> </w:t>
            </w:r>
            <w:r>
              <w:rPr>
                <w:w w:val="105"/>
                <w:sz w:val="16"/>
              </w:rPr>
              <w:t>units</w:t>
            </w:r>
            <w:r>
              <w:rPr>
                <w:spacing w:val="-8"/>
                <w:w w:val="105"/>
                <w:sz w:val="16"/>
              </w:rPr>
              <w:t> </w:t>
            </w:r>
            <w:r>
              <w:rPr>
                <w:w w:val="105"/>
                <w:sz w:val="16"/>
              </w:rPr>
              <w:t>at</w:t>
            </w:r>
            <w:r>
              <w:rPr>
                <w:spacing w:val="-9"/>
                <w:w w:val="105"/>
                <w:sz w:val="16"/>
              </w:rPr>
              <w:t> </w:t>
            </w:r>
            <w:r>
              <w:rPr>
                <w:w w:val="105"/>
                <w:sz w:val="16"/>
              </w:rPr>
              <w:t>December</w:t>
            </w:r>
            <w:r>
              <w:rPr>
                <w:spacing w:val="-10"/>
                <w:w w:val="105"/>
                <w:sz w:val="16"/>
              </w:rPr>
              <w:t> </w:t>
            </w:r>
            <w:r>
              <w:rPr>
                <w:w w:val="105"/>
                <w:sz w:val="16"/>
              </w:rPr>
              <w:t>31,</w:t>
            </w:r>
            <w:r>
              <w:rPr>
                <w:spacing w:val="-9"/>
                <w:w w:val="105"/>
                <w:sz w:val="16"/>
              </w:rPr>
              <w:t> </w:t>
            </w:r>
            <w:r>
              <w:rPr>
                <w:spacing w:val="-4"/>
                <w:w w:val="105"/>
                <w:sz w:val="16"/>
              </w:rPr>
              <w:t>2021</w:t>
            </w:r>
          </w:p>
        </w:tc>
        <w:tc>
          <w:tcPr>
            <w:tcW w:w="3820" w:type="dxa"/>
            <w:tcBorders>
              <w:top w:val="single" w:sz="6" w:space="0" w:color="000000"/>
              <w:bottom w:val="double" w:sz="6" w:space="0" w:color="000000"/>
            </w:tcBorders>
            <w:shd w:val="clear" w:color="auto" w:fill="CCEDFF"/>
          </w:tcPr>
          <w:p>
            <w:pPr>
              <w:pStyle w:val="TableParagraph"/>
              <w:spacing w:line="177" w:lineRule="exact" w:before="2"/>
              <w:ind w:right="139"/>
              <w:jc w:val="right"/>
              <w:rPr>
                <w:b/>
                <w:sz w:val="16"/>
              </w:rPr>
            </w:pPr>
            <w:r>
              <w:rPr>
                <w:b/>
                <w:spacing w:val="-2"/>
                <w:w w:val="105"/>
                <w:sz w:val="16"/>
              </w:rPr>
              <w:t>10,594</w:t>
            </w:r>
          </w:p>
        </w:tc>
        <w:tc>
          <w:tcPr>
            <w:tcW w:w="1704" w:type="dxa"/>
            <w:tcBorders>
              <w:top w:val="single" w:sz="6" w:space="0" w:color="000000"/>
              <w:bottom w:val="double" w:sz="6" w:space="0" w:color="000000"/>
            </w:tcBorders>
            <w:shd w:val="clear" w:color="auto" w:fill="CCEDFF"/>
          </w:tcPr>
          <w:p>
            <w:pPr>
              <w:pStyle w:val="TableParagraph"/>
              <w:tabs>
                <w:tab w:pos="1130" w:val="left" w:leader="none"/>
              </w:tabs>
              <w:spacing w:line="177" w:lineRule="exact" w:before="2"/>
              <w:ind w:right="111"/>
              <w:jc w:val="right"/>
              <w:rPr>
                <w:b/>
                <w:sz w:val="16"/>
              </w:rPr>
            </w:pPr>
            <w:r>
              <w:rPr>
                <w:b/>
                <w:spacing w:val="-10"/>
                <w:w w:val="105"/>
                <w:sz w:val="16"/>
              </w:rPr>
              <w:t>$</w:t>
            </w:r>
            <w:r>
              <w:rPr>
                <w:b/>
                <w:sz w:val="16"/>
              </w:rPr>
              <w:tab/>
            </w:r>
            <w:r>
              <w:rPr>
                <w:b/>
                <w:spacing w:val="-4"/>
                <w:w w:val="105"/>
                <w:sz w:val="16"/>
              </w:rPr>
              <w:t>25.83</w:t>
            </w:r>
          </w:p>
        </w:tc>
      </w:tr>
    </w:tbl>
    <w:p>
      <w:pPr>
        <w:pStyle w:val="BodyText"/>
        <w:spacing w:before="8"/>
      </w:pPr>
    </w:p>
    <w:p>
      <w:pPr>
        <w:pStyle w:val="BodyText"/>
        <w:spacing w:line="266" w:lineRule="auto"/>
        <w:ind w:left="156"/>
      </w:pPr>
      <w:r>
        <w:rPr>
          <w:w w:val="105"/>
        </w:rPr>
        <w:t>As</w:t>
      </w:r>
      <w:r>
        <w:rPr>
          <w:spacing w:val="-2"/>
          <w:w w:val="105"/>
        </w:rPr>
        <w:t> </w:t>
      </w:r>
      <w:r>
        <w:rPr>
          <w:w w:val="105"/>
        </w:rPr>
        <w:t>of</w:t>
      </w:r>
      <w:r>
        <w:rPr>
          <w:spacing w:val="-1"/>
          <w:w w:val="105"/>
        </w:rPr>
        <w:t> </w:t>
      </w:r>
      <w:r>
        <w:rPr>
          <w:w w:val="105"/>
        </w:rPr>
        <w:t>December</w:t>
      </w:r>
      <w:r>
        <w:rPr>
          <w:spacing w:val="-2"/>
          <w:w w:val="105"/>
        </w:rPr>
        <w:t> </w:t>
      </w:r>
      <w:r>
        <w:rPr>
          <w:w w:val="105"/>
        </w:rPr>
        <w:t>31,</w:t>
      </w:r>
      <w:r>
        <w:rPr>
          <w:spacing w:val="-2"/>
          <w:w w:val="105"/>
        </w:rPr>
        <w:t> </w:t>
      </w:r>
      <w:r>
        <w:rPr>
          <w:w w:val="105"/>
        </w:rPr>
        <w:t>2021,</w:t>
      </w:r>
      <w:r>
        <w:rPr>
          <w:spacing w:val="-2"/>
          <w:w w:val="105"/>
        </w:rPr>
        <w:t> </w:t>
      </w:r>
      <w:r>
        <w:rPr>
          <w:w w:val="105"/>
        </w:rPr>
        <w:t>there</w:t>
      </w:r>
      <w:r>
        <w:rPr>
          <w:spacing w:val="-2"/>
          <w:w w:val="105"/>
        </w:rPr>
        <w:t> </w:t>
      </w:r>
      <w:r>
        <w:rPr>
          <w:w w:val="105"/>
        </w:rPr>
        <w:t>was</w:t>
      </w:r>
      <w:r>
        <w:rPr>
          <w:spacing w:val="-2"/>
          <w:w w:val="105"/>
        </w:rPr>
        <w:t> </w:t>
      </w:r>
      <w:r>
        <w:rPr>
          <w:w w:val="105"/>
        </w:rPr>
        <w:t>approximately</w:t>
      </w:r>
      <w:r>
        <w:rPr>
          <w:spacing w:val="-2"/>
          <w:w w:val="105"/>
        </w:rPr>
        <w:t> </w:t>
      </w:r>
      <w:r>
        <w:rPr>
          <w:w w:val="105"/>
        </w:rPr>
        <w:t>$117 million</w:t>
      </w:r>
      <w:r>
        <w:rPr>
          <w:spacing w:val="-2"/>
          <w:w w:val="105"/>
        </w:rPr>
        <w:t> </w:t>
      </w:r>
      <w:r>
        <w:rPr>
          <w:w w:val="105"/>
        </w:rPr>
        <w:t>of</w:t>
      </w:r>
      <w:r>
        <w:rPr>
          <w:spacing w:val="-2"/>
          <w:w w:val="105"/>
        </w:rPr>
        <w:t> </w:t>
      </w:r>
      <w:r>
        <w:rPr>
          <w:w w:val="105"/>
        </w:rPr>
        <w:t>unrecognized</w:t>
      </w:r>
      <w:r>
        <w:rPr>
          <w:spacing w:val="-2"/>
          <w:w w:val="105"/>
        </w:rPr>
        <w:t> </w:t>
      </w:r>
      <w:r>
        <w:rPr>
          <w:w w:val="105"/>
        </w:rPr>
        <w:t>compensation</w:t>
      </w:r>
      <w:r>
        <w:rPr>
          <w:spacing w:val="-2"/>
          <w:w w:val="105"/>
        </w:rPr>
        <w:t> </w:t>
      </w:r>
      <w:r>
        <w:rPr>
          <w:w w:val="105"/>
        </w:rPr>
        <w:t>cost</w:t>
      </w:r>
      <w:r>
        <w:rPr>
          <w:spacing w:val="-2"/>
          <w:w w:val="105"/>
        </w:rPr>
        <w:t> </w:t>
      </w:r>
      <w:r>
        <w:rPr>
          <w:w w:val="105"/>
        </w:rPr>
        <w:t>related to</w:t>
      </w:r>
      <w:r>
        <w:rPr>
          <w:spacing w:val="-2"/>
          <w:w w:val="105"/>
        </w:rPr>
        <w:t> </w:t>
      </w:r>
      <w:r>
        <w:rPr>
          <w:w w:val="105"/>
        </w:rPr>
        <w:t>non-vested</w:t>
      </w:r>
      <w:r>
        <w:rPr>
          <w:spacing w:val="-2"/>
          <w:w w:val="105"/>
        </w:rPr>
        <w:t> </w:t>
      </w:r>
      <w:r>
        <w:rPr>
          <w:w w:val="105"/>
        </w:rPr>
        <w:t>time-based</w:t>
      </w:r>
      <w:r>
        <w:rPr>
          <w:spacing w:val="-2"/>
          <w:w w:val="105"/>
        </w:rPr>
        <w:t> </w:t>
      </w:r>
      <w:r>
        <w:rPr>
          <w:w w:val="105"/>
        </w:rPr>
        <w:t>restricted</w:t>
      </w:r>
      <w:r>
        <w:rPr>
          <w:spacing w:val="-2"/>
          <w:w w:val="105"/>
        </w:rPr>
        <w:t> </w:t>
      </w:r>
      <w:r>
        <w:rPr>
          <w:w w:val="105"/>
        </w:rPr>
        <w:t>stock</w:t>
      </w:r>
      <w:r>
        <w:rPr>
          <w:spacing w:val="-2"/>
          <w:w w:val="105"/>
        </w:rPr>
        <w:t> </w:t>
      </w:r>
      <w:r>
        <w:rPr>
          <w:w w:val="105"/>
        </w:rPr>
        <w:t>and</w:t>
      </w:r>
      <w:r>
        <w:rPr>
          <w:spacing w:val="-2"/>
          <w:w w:val="105"/>
        </w:rPr>
        <w:t> </w:t>
      </w:r>
      <w:r>
        <w:rPr>
          <w:w w:val="105"/>
        </w:rPr>
        <w:t>restricted</w:t>
      </w:r>
      <w:r>
        <w:rPr>
          <w:spacing w:val="-2"/>
          <w:w w:val="105"/>
        </w:rPr>
        <w:t> </w:t>
      </w:r>
      <w:r>
        <w:rPr>
          <w:w w:val="105"/>
        </w:rPr>
        <w:t>stock unit</w:t>
      </w:r>
      <w:r>
        <w:rPr>
          <w:spacing w:val="-8"/>
          <w:w w:val="105"/>
        </w:rPr>
        <w:t> </w:t>
      </w:r>
      <w:r>
        <w:rPr>
          <w:w w:val="105"/>
        </w:rPr>
        <w:t>compensation</w:t>
      </w:r>
      <w:r>
        <w:rPr>
          <w:spacing w:val="-8"/>
          <w:w w:val="105"/>
        </w:rPr>
        <w:t> </w:t>
      </w:r>
      <w:r>
        <w:rPr>
          <w:w w:val="105"/>
        </w:rPr>
        <w:t>arrangements</w:t>
      </w:r>
      <w:r>
        <w:rPr>
          <w:spacing w:val="-8"/>
          <w:w w:val="105"/>
        </w:rPr>
        <w:t> </w:t>
      </w:r>
      <w:r>
        <w:rPr>
          <w:w w:val="105"/>
        </w:rPr>
        <w:t>granted</w:t>
      </w:r>
      <w:r>
        <w:rPr>
          <w:spacing w:val="-8"/>
          <w:w w:val="105"/>
        </w:rPr>
        <w:t> </w:t>
      </w:r>
      <w:r>
        <w:rPr>
          <w:w w:val="105"/>
        </w:rPr>
        <w:t>under</w:t>
      </w:r>
      <w:r>
        <w:rPr>
          <w:spacing w:val="-8"/>
          <w:w w:val="105"/>
        </w:rPr>
        <w:t> </w:t>
      </w:r>
      <w:r>
        <w:rPr>
          <w:w w:val="105"/>
        </w:rPr>
        <w:t>the</w:t>
      </w:r>
      <w:r>
        <w:rPr>
          <w:spacing w:val="-8"/>
          <w:w w:val="105"/>
        </w:rPr>
        <w:t> </w:t>
      </w:r>
      <w:r>
        <w:rPr>
          <w:w w:val="105"/>
        </w:rPr>
        <w:t>Plan.</w:t>
      </w:r>
      <w:r>
        <w:rPr>
          <w:spacing w:val="-8"/>
          <w:w w:val="105"/>
        </w:rPr>
        <w:t> </w:t>
      </w:r>
      <w:r>
        <w:rPr>
          <w:w w:val="105"/>
        </w:rPr>
        <w:t>The</w:t>
      </w:r>
      <w:r>
        <w:rPr>
          <w:spacing w:val="-8"/>
          <w:w w:val="105"/>
        </w:rPr>
        <w:t> </w:t>
      </w:r>
      <w:r>
        <w:rPr>
          <w:w w:val="105"/>
        </w:rPr>
        <w:t>cost</w:t>
      </w:r>
      <w:r>
        <w:rPr>
          <w:spacing w:val="-8"/>
          <w:w w:val="105"/>
        </w:rPr>
        <w:t> </w:t>
      </w:r>
      <w:r>
        <w:rPr>
          <w:w w:val="105"/>
        </w:rPr>
        <w:t>is</w:t>
      </w:r>
      <w:r>
        <w:rPr>
          <w:spacing w:val="-8"/>
          <w:w w:val="105"/>
        </w:rPr>
        <w:t> </w:t>
      </w:r>
      <w:r>
        <w:rPr>
          <w:w w:val="105"/>
        </w:rPr>
        <w:t>expected</w:t>
      </w:r>
      <w:r>
        <w:rPr>
          <w:spacing w:val="-8"/>
          <w:w w:val="105"/>
        </w:rPr>
        <w:t> </w:t>
      </w:r>
      <w:r>
        <w:rPr>
          <w:w w:val="105"/>
        </w:rPr>
        <w:t>to</w:t>
      </w:r>
      <w:r>
        <w:rPr>
          <w:spacing w:val="-8"/>
          <w:w w:val="105"/>
        </w:rPr>
        <w:t> </w:t>
      </w:r>
      <w:r>
        <w:rPr>
          <w:w w:val="105"/>
        </w:rPr>
        <w:t>be</w:t>
      </w:r>
      <w:r>
        <w:rPr>
          <w:spacing w:val="-8"/>
          <w:w w:val="105"/>
        </w:rPr>
        <w:t> </w:t>
      </w:r>
      <w:r>
        <w:rPr>
          <w:w w:val="105"/>
        </w:rPr>
        <w:t>recognized</w:t>
      </w:r>
      <w:r>
        <w:rPr>
          <w:spacing w:val="-8"/>
          <w:w w:val="105"/>
        </w:rPr>
        <w:t> </w:t>
      </w:r>
      <w:r>
        <w:rPr>
          <w:w w:val="105"/>
        </w:rPr>
        <w:t>over</w:t>
      </w:r>
      <w:r>
        <w:rPr>
          <w:spacing w:val="-8"/>
          <w:w w:val="105"/>
        </w:rPr>
        <w:t> </w:t>
      </w:r>
      <w:r>
        <w:rPr>
          <w:w w:val="105"/>
        </w:rPr>
        <w:t>a</w:t>
      </w:r>
      <w:r>
        <w:rPr>
          <w:spacing w:val="-8"/>
          <w:w w:val="105"/>
        </w:rPr>
        <w:t> </w:t>
      </w:r>
      <w:r>
        <w:rPr>
          <w:w w:val="105"/>
        </w:rPr>
        <w:t>weighted-average</w:t>
      </w:r>
      <w:r>
        <w:rPr>
          <w:spacing w:val="-8"/>
          <w:w w:val="105"/>
        </w:rPr>
        <w:t> </w:t>
      </w:r>
      <w:r>
        <w:rPr>
          <w:w w:val="105"/>
        </w:rPr>
        <w:t>period</w:t>
      </w:r>
      <w:r>
        <w:rPr>
          <w:spacing w:val="-8"/>
          <w:w w:val="105"/>
        </w:rPr>
        <w:t> </w:t>
      </w:r>
      <w:r>
        <w:rPr>
          <w:w w:val="105"/>
        </w:rPr>
        <w:t>of</w:t>
      </w:r>
      <w:r>
        <w:rPr>
          <w:spacing w:val="-8"/>
          <w:w w:val="105"/>
        </w:rPr>
        <w:t> </w:t>
      </w:r>
      <w:r>
        <w:rPr>
          <w:w w:val="105"/>
        </w:rPr>
        <w:t>2.1</w:t>
      </w:r>
      <w:r>
        <w:rPr>
          <w:spacing w:val="-8"/>
          <w:w w:val="105"/>
        </w:rPr>
        <w:t> </w:t>
      </w:r>
      <w:r>
        <w:rPr>
          <w:w w:val="105"/>
        </w:rPr>
        <w:t>years.</w:t>
      </w:r>
      <w:r>
        <w:rPr>
          <w:spacing w:val="-8"/>
          <w:w w:val="105"/>
        </w:rPr>
        <w:t> </w:t>
      </w:r>
      <w:r>
        <w:rPr>
          <w:w w:val="105"/>
        </w:rPr>
        <w:t>The</w:t>
      </w:r>
      <w:r>
        <w:rPr>
          <w:spacing w:val="-8"/>
          <w:w w:val="105"/>
        </w:rPr>
        <w:t> </w:t>
      </w:r>
      <w:r>
        <w:rPr>
          <w:w w:val="105"/>
        </w:rPr>
        <w:t>total</w:t>
      </w:r>
      <w:r>
        <w:rPr>
          <w:spacing w:val="-8"/>
          <w:w w:val="105"/>
        </w:rPr>
        <w:t> </w:t>
      </w:r>
      <w:r>
        <w:rPr>
          <w:w w:val="105"/>
        </w:rPr>
        <w:t>fair</w:t>
      </w:r>
      <w:r>
        <w:rPr>
          <w:spacing w:val="-8"/>
          <w:w w:val="105"/>
        </w:rPr>
        <w:t> </w:t>
      </w:r>
      <w:r>
        <w:rPr>
          <w:w w:val="105"/>
        </w:rPr>
        <w:t>value</w:t>
      </w:r>
      <w:r>
        <w:rPr>
          <w:spacing w:val="-8"/>
          <w:w w:val="105"/>
        </w:rPr>
        <w:t> </w:t>
      </w:r>
      <w:r>
        <w:rPr>
          <w:w w:val="105"/>
        </w:rPr>
        <w:t>of</w:t>
      </w:r>
      <w:r>
        <w:rPr>
          <w:spacing w:val="-8"/>
          <w:w w:val="105"/>
        </w:rPr>
        <w:t> </w:t>
      </w:r>
      <w:r>
        <w:rPr>
          <w:w w:val="105"/>
        </w:rPr>
        <w:t>time-based restricted</w:t>
      </w:r>
      <w:r>
        <w:rPr>
          <w:spacing w:val="-8"/>
          <w:w w:val="105"/>
        </w:rPr>
        <w:t> </w:t>
      </w:r>
      <w:r>
        <w:rPr>
          <w:w w:val="105"/>
        </w:rPr>
        <w:t>stock</w:t>
      </w:r>
      <w:r>
        <w:rPr>
          <w:spacing w:val="-8"/>
          <w:w w:val="105"/>
        </w:rPr>
        <w:t> </w:t>
      </w:r>
      <w:r>
        <w:rPr>
          <w:w w:val="105"/>
        </w:rPr>
        <w:t>and</w:t>
      </w:r>
      <w:r>
        <w:rPr>
          <w:spacing w:val="-8"/>
          <w:w w:val="105"/>
        </w:rPr>
        <w:t> </w:t>
      </w:r>
      <w:r>
        <w:rPr>
          <w:w w:val="105"/>
        </w:rPr>
        <w:t>restricted</w:t>
      </w:r>
      <w:r>
        <w:rPr>
          <w:spacing w:val="-8"/>
          <w:w w:val="105"/>
        </w:rPr>
        <w:t> </w:t>
      </w:r>
      <w:r>
        <w:rPr>
          <w:w w:val="105"/>
        </w:rPr>
        <w:t>stock</w:t>
      </w:r>
      <w:r>
        <w:rPr>
          <w:spacing w:val="-8"/>
          <w:w w:val="105"/>
        </w:rPr>
        <w:t> </w:t>
      </w:r>
      <w:r>
        <w:rPr>
          <w:w w:val="105"/>
        </w:rPr>
        <w:t>units</w:t>
      </w:r>
      <w:r>
        <w:rPr>
          <w:spacing w:val="-8"/>
          <w:w w:val="105"/>
        </w:rPr>
        <w:t> </w:t>
      </w:r>
      <w:r>
        <w:rPr>
          <w:w w:val="105"/>
        </w:rPr>
        <w:t>that</w:t>
      </w:r>
      <w:r>
        <w:rPr>
          <w:spacing w:val="-8"/>
          <w:w w:val="105"/>
        </w:rPr>
        <w:t> </w:t>
      </w:r>
      <w:r>
        <w:rPr>
          <w:w w:val="105"/>
        </w:rPr>
        <w:t>vested</w:t>
      </w:r>
      <w:r>
        <w:rPr>
          <w:spacing w:val="-8"/>
          <w:w w:val="105"/>
        </w:rPr>
        <w:t> </w:t>
      </w:r>
      <w:r>
        <w:rPr>
          <w:w w:val="105"/>
        </w:rPr>
        <w:t>during</w:t>
      </w:r>
      <w:r>
        <w:rPr>
          <w:spacing w:val="-8"/>
          <w:w w:val="105"/>
        </w:rPr>
        <w:t> </w:t>
      </w:r>
      <w:r>
        <w:rPr>
          <w:w w:val="105"/>
        </w:rPr>
        <w:t>the</w:t>
      </w:r>
      <w:r>
        <w:rPr>
          <w:spacing w:val="-8"/>
          <w:w w:val="105"/>
        </w:rPr>
        <w:t> </w:t>
      </w:r>
      <w:r>
        <w:rPr>
          <w:w w:val="105"/>
        </w:rPr>
        <w:t>years</w:t>
      </w:r>
      <w:r>
        <w:rPr>
          <w:spacing w:val="-8"/>
          <w:w w:val="105"/>
        </w:rPr>
        <w:t> </w:t>
      </w:r>
      <w:r>
        <w:rPr>
          <w:w w:val="105"/>
        </w:rPr>
        <w:t>ended</w:t>
      </w:r>
      <w:r>
        <w:rPr>
          <w:spacing w:val="-6"/>
          <w:w w:val="105"/>
        </w:rPr>
        <w:t> </w:t>
      </w:r>
      <w:r>
        <w:rPr>
          <w:w w:val="105"/>
        </w:rPr>
        <w:t>December</w:t>
      </w:r>
      <w:r>
        <w:rPr>
          <w:spacing w:val="-8"/>
          <w:w w:val="105"/>
        </w:rPr>
        <w:t> </w:t>
      </w:r>
      <w:r>
        <w:rPr>
          <w:w w:val="105"/>
        </w:rPr>
        <w:t>31,</w:t>
      </w:r>
      <w:r>
        <w:rPr>
          <w:spacing w:val="-8"/>
          <w:w w:val="105"/>
        </w:rPr>
        <w:t> </w:t>
      </w:r>
      <w:r>
        <w:rPr>
          <w:w w:val="105"/>
        </w:rPr>
        <w:t>2021,</w:t>
      </w:r>
      <w:r>
        <w:rPr>
          <w:spacing w:val="-7"/>
          <w:w w:val="105"/>
        </w:rPr>
        <w:t> </w:t>
      </w:r>
      <w:r>
        <w:rPr>
          <w:w w:val="105"/>
        </w:rPr>
        <w:t>2020</w:t>
      </w:r>
      <w:r>
        <w:rPr>
          <w:spacing w:val="-8"/>
          <w:w w:val="105"/>
        </w:rPr>
        <w:t> </w:t>
      </w:r>
      <w:r>
        <w:rPr>
          <w:w w:val="105"/>
        </w:rPr>
        <w:t>and</w:t>
      </w:r>
      <w:r>
        <w:rPr>
          <w:spacing w:val="-8"/>
          <w:w w:val="105"/>
        </w:rPr>
        <w:t> </w:t>
      </w:r>
      <w:r>
        <w:rPr>
          <w:w w:val="105"/>
        </w:rPr>
        <w:t>2019</w:t>
      </w:r>
      <w:r>
        <w:rPr>
          <w:spacing w:val="-8"/>
          <w:w w:val="105"/>
        </w:rPr>
        <w:t> </w:t>
      </w:r>
      <w:r>
        <w:rPr>
          <w:w w:val="105"/>
        </w:rPr>
        <w:t>was</w:t>
      </w:r>
      <w:r>
        <w:rPr>
          <w:spacing w:val="-8"/>
          <w:w w:val="105"/>
        </w:rPr>
        <w:t> </w:t>
      </w:r>
      <w:r>
        <w:rPr>
          <w:w w:val="105"/>
        </w:rPr>
        <w:t>approximately</w:t>
      </w:r>
      <w:r>
        <w:rPr>
          <w:spacing w:val="-8"/>
          <w:w w:val="105"/>
        </w:rPr>
        <w:t> </w:t>
      </w:r>
      <w:r>
        <w:rPr>
          <w:w w:val="105"/>
        </w:rPr>
        <w:t>$88</w:t>
      </w:r>
      <w:r>
        <w:rPr>
          <w:spacing w:val="-8"/>
          <w:w w:val="105"/>
        </w:rPr>
        <w:t> </w:t>
      </w:r>
      <w:r>
        <w:rPr>
          <w:w w:val="105"/>
        </w:rPr>
        <w:t>million,</w:t>
      </w:r>
      <w:r>
        <w:rPr>
          <w:spacing w:val="-8"/>
          <w:w w:val="105"/>
        </w:rPr>
        <w:t> </w:t>
      </w:r>
      <w:r>
        <w:rPr>
          <w:w w:val="105"/>
        </w:rPr>
        <w:t>$38</w:t>
      </w:r>
      <w:r>
        <w:rPr>
          <w:spacing w:val="-8"/>
          <w:w w:val="105"/>
        </w:rPr>
        <w:t> </w:t>
      </w:r>
      <w:r>
        <w:rPr>
          <w:w w:val="105"/>
        </w:rPr>
        <w:t>million</w:t>
      </w:r>
      <w:r>
        <w:rPr>
          <w:spacing w:val="-8"/>
          <w:w w:val="105"/>
        </w:rPr>
        <w:t> </w:t>
      </w:r>
      <w:r>
        <w:rPr>
          <w:w w:val="105"/>
        </w:rPr>
        <w:t>and</w:t>
      </w:r>
      <w:r>
        <w:rPr>
          <w:spacing w:val="-8"/>
          <w:w w:val="105"/>
        </w:rPr>
        <w:t> </w:t>
      </w:r>
      <w:r>
        <w:rPr>
          <w:w w:val="105"/>
        </w:rPr>
        <w:t>$33</w:t>
      </w:r>
      <w:r>
        <w:rPr>
          <w:spacing w:val="-8"/>
          <w:w w:val="105"/>
        </w:rPr>
        <w:t> </w:t>
      </w:r>
      <w:r>
        <w:rPr>
          <w:w w:val="105"/>
        </w:rPr>
        <w:t>million, respectively.</w:t>
      </w:r>
      <w:r>
        <w:rPr>
          <w:spacing w:val="-2"/>
          <w:w w:val="105"/>
        </w:rPr>
        <w:t> </w:t>
      </w:r>
      <w:r>
        <w:rPr>
          <w:w w:val="105"/>
        </w:rPr>
        <w:t>Compensation cost</w:t>
      </w:r>
      <w:r>
        <w:rPr>
          <w:spacing w:val="-2"/>
          <w:w w:val="105"/>
        </w:rPr>
        <w:t> </w:t>
      </w:r>
      <w:r>
        <w:rPr>
          <w:w w:val="105"/>
        </w:rPr>
        <w:t>related</w:t>
      </w:r>
      <w:r>
        <w:rPr>
          <w:spacing w:val="-2"/>
          <w:w w:val="105"/>
        </w:rPr>
        <w:t> </w:t>
      </w:r>
      <w:r>
        <w:rPr>
          <w:w w:val="105"/>
        </w:rPr>
        <w:t>to</w:t>
      </w:r>
      <w:r>
        <w:rPr>
          <w:spacing w:val="-2"/>
          <w:w w:val="105"/>
        </w:rPr>
        <w:t> </w:t>
      </w:r>
      <w:r>
        <w:rPr>
          <w:w w:val="105"/>
        </w:rPr>
        <w:t>time-based</w:t>
      </w:r>
      <w:r>
        <w:rPr>
          <w:spacing w:val="-2"/>
          <w:w w:val="105"/>
        </w:rPr>
        <w:t> </w:t>
      </w:r>
      <w:r>
        <w:rPr>
          <w:w w:val="105"/>
        </w:rPr>
        <w:t>restricted</w:t>
      </w:r>
      <w:r>
        <w:rPr>
          <w:spacing w:val="-2"/>
          <w:w w:val="105"/>
        </w:rPr>
        <w:t> </w:t>
      </w:r>
      <w:r>
        <w:rPr>
          <w:w w:val="105"/>
        </w:rPr>
        <w:t>stock and</w:t>
      </w:r>
      <w:r>
        <w:rPr>
          <w:spacing w:val="-2"/>
          <w:w w:val="105"/>
        </w:rPr>
        <w:t> </w:t>
      </w:r>
      <w:r>
        <w:rPr>
          <w:w w:val="105"/>
        </w:rPr>
        <w:t>restricted</w:t>
      </w:r>
      <w:r>
        <w:rPr>
          <w:spacing w:val="-2"/>
          <w:w w:val="105"/>
        </w:rPr>
        <w:t> </w:t>
      </w:r>
      <w:r>
        <w:rPr>
          <w:w w:val="105"/>
        </w:rPr>
        <w:t>stock</w:t>
      </w:r>
      <w:r>
        <w:rPr>
          <w:spacing w:val="-2"/>
          <w:w w:val="105"/>
        </w:rPr>
        <w:t> </w:t>
      </w:r>
      <w:r>
        <w:rPr>
          <w:w w:val="105"/>
        </w:rPr>
        <w:t>units</w:t>
      </w:r>
      <w:r>
        <w:rPr>
          <w:spacing w:val="-2"/>
          <w:w w:val="105"/>
        </w:rPr>
        <w:t> </w:t>
      </w:r>
      <w:r>
        <w:rPr>
          <w:w w:val="105"/>
        </w:rPr>
        <w:t>was approximately</w:t>
      </w:r>
      <w:r>
        <w:rPr>
          <w:spacing w:val="-2"/>
          <w:w w:val="105"/>
        </w:rPr>
        <w:t> </w:t>
      </w:r>
      <w:r>
        <w:rPr>
          <w:w w:val="105"/>
        </w:rPr>
        <w:t>$94</w:t>
      </w:r>
      <w:r>
        <w:rPr>
          <w:spacing w:val="-2"/>
          <w:w w:val="105"/>
        </w:rPr>
        <w:t> </w:t>
      </w:r>
      <w:r>
        <w:rPr>
          <w:w w:val="105"/>
        </w:rPr>
        <w:t>million,</w:t>
      </w:r>
      <w:r>
        <w:rPr>
          <w:spacing w:val="-2"/>
          <w:w w:val="105"/>
        </w:rPr>
        <w:t> </w:t>
      </w:r>
      <w:r>
        <w:rPr>
          <w:w w:val="105"/>
        </w:rPr>
        <w:t>$95 million</w:t>
      </w:r>
      <w:r>
        <w:rPr>
          <w:spacing w:val="-2"/>
          <w:w w:val="105"/>
        </w:rPr>
        <w:t> </w:t>
      </w:r>
      <w:r>
        <w:rPr>
          <w:w w:val="105"/>
        </w:rPr>
        <w:t>and</w:t>
      </w:r>
      <w:r>
        <w:rPr>
          <w:spacing w:val="-2"/>
          <w:w w:val="105"/>
        </w:rPr>
        <w:t> </w:t>
      </w:r>
      <w:r>
        <w:rPr>
          <w:w w:val="105"/>
        </w:rPr>
        <w:t>$43</w:t>
      </w:r>
      <w:r>
        <w:rPr>
          <w:spacing w:val="-2"/>
          <w:w w:val="105"/>
        </w:rPr>
        <w:t> </w:t>
      </w:r>
      <w:r>
        <w:rPr>
          <w:w w:val="105"/>
        </w:rPr>
        <w:t>million</w:t>
      </w:r>
      <w:r>
        <w:rPr>
          <w:spacing w:val="-2"/>
          <w:w w:val="105"/>
        </w:rPr>
        <w:t> </w:t>
      </w:r>
      <w:r>
        <w:rPr>
          <w:w w:val="105"/>
        </w:rPr>
        <w:t>for the</w:t>
      </w:r>
      <w:r>
        <w:rPr>
          <w:spacing w:val="-2"/>
          <w:w w:val="105"/>
        </w:rPr>
        <w:t> </w:t>
      </w:r>
      <w:r>
        <w:rPr>
          <w:w w:val="105"/>
        </w:rPr>
        <w:t>years ended December 31, 2021, 2020 and 2019, respectively.</w:t>
      </w:r>
    </w:p>
    <w:p>
      <w:pPr>
        <w:pStyle w:val="BodyText"/>
        <w:spacing w:before="18"/>
      </w:pPr>
    </w:p>
    <w:p>
      <w:pPr>
        <w:pStyle w:val="BodyText"/>
        <w:ind w:left="156"/>
      </w:pPr>
      <w:r>
        <w:rPr>
          <w:u w:val="single"/>
        </w:rPr>
        <w:t>Performance-Based</w:t>
      </w:r>
      <w:r>
        <w:rPr>
          <w:spacing w:val="24"/>
          <w:u w:val="single"/>
        </w:rPr>
        <w:t> </w:t>
      </w:r>
      <w:r>
        <w:rPr>
          <w:u w:val="single"/>
        </w:rPr>
        <w:t>Restricted</w:t>
      </w:r>
      <w:r>
        <w:rPr>
          <w:spacing w:val="24"/>
          <w:u w:val="single"/>
        </w:rPr>
        <w:t> </w:t>
      </w:r>
      <w:r>
        <w:rPr>
          <w:u w:val="single"/>
        </w:rPr>
        <w:t>Stock</w:t>
      </w:r>
      <w:r>
        <w:rPr>
          <w:spacing w:val="25"/>
          <w:u w:val="single"/>
        </w:rPr>
        <w:t> </w:t>
      </w:r>
      <w:r>
        <w:rPr>
          <w:spacing w:val="-2"/>
          <w:u w:val="single"/>
        </w:rPr>
        <w:t>Units</w:t>
      </w:r>
    </w:p>
    <w:p>
      <w:pPr>
        <w:pStyle w:val="BodyText"/>
        <w:spacing w:before="39"/>
      </w:pPr>
    </w:p>
    <w:p>
      <w:pPr>
        <w:pStyle w:val="BodyText"/>
        <w:spacing w:line="266" w:lineRule="auto" w:before="1"/>
        <w:ind w:left="156" w:right="328"/>
      </w:pPr>
      <w:r>
        <w:rPr>
          <w:w w:val="105"/>
        </w:rPr>
        <w:t>Performance-based</w:t>
      </w:r>
      <w:r>
        <w:rPr>
          <w:spacing w:val="-2"/>
          <w:w w:val="105"/>
        </w:rPr>
        <w:t> </w:t>
      </w:r>
      <w:r>
        <w:rPr>
          <w:w w:val="105"/>
        </w:rPr>
        <w:t>restricted</w:t>
      </w:r>
      <w:r>
        <w:rPr>
          <w:spacing w:val="-2"/>
          <w:w w:val="105"/>
        </w:rPr>
        <w:t> </w:t>
      </w:r>
      <w:r>
        <w:rPr>
          <w:w w:val="105"/>
        </w:rPr>
        <w:t>stock</w:t>
      </w:r>
      <w:r>
        <w:rPr>
          <w:spacing w:val="-2"/>
          <w:w w:val="105"/>
        </w:rPr>
        <w:t> </w:t>
      </w:r>
      <w:r>
        <w:rPr>
          <w:w w:val="105"/>
        </w:rPr>
        <w:t>units</w:t>
      </w:r>
      <w:r>
        <w:rPr>
          <w:spacing w:val="-2"/>
          <w:w w:val="105"/>
        </w:rPr>
        <w:t> </w:t>
      </w:r>
      <w:r>
        <w:rPr>
          <w:w w:val="105"/>
        </w:rPr>
        <w:t>are earned</w:t>
      </w:r>
      <w:r>
        <w:rPr>
          <w:spacing w:val="-2"/>
          <w:w w:val="105"/>
        </w:rPr>
        <w:t> </w:t>
      </w:r>
      <w:r>
        <w:rPr>
          <w:w w:val="105"/>
        </w:rPr>
        <w:t>upon</w:t>
      </w:r>
      <w:r>
        <w:rPr>
          <w:spacing w:val="-2"/>
          <w:w w:val="105"/>
        </w:rPr>
        <w:t> </w:t>
      </w:r>
      <w:r>
        <w:rPr>
          <w:w w:val="105"/>
        </w:rPr>
        <w:t>the</w:t>
      </w:r>
      <w:r>
        <w:rPr>
          <w:spacing w:val="-2"/>
          <w:w w:val="105"/>
        </w:rPr>
        <w:t> </w:t>
      </w:r>
      <w:r>
        <w:rPr>
          <w:w w:val="105"/>
        </w:rPr>
        <w:t>achievement</w:t>
      </w:r>
      <w:r>
        <w:rPr>
          <w:spacing w:val="-2"/>
          <w:w w:val="105"/>
        </w:rPr>
        <w:t> </w:t>
      </w:r>
      <w:r>
        <w:rPr>
          <w:w w:val="105"/>
        </w:rPr>
        <w:t>of</w:t>
      </w:r>
      <w:r>
        <w:rPr>
          <w:spacing w:val="-2"/>
          <w:w w:val="105"/>
        </w:rPr>
        <w:t> </w:t>
      </w:r>
      <w:r>
        <w:rPr>
          <w:w w:val="105"/>
        </w:rPr>
        <w:t>certain</w:t>
      </w:r>
      <w:r>
        <w:rPr>
          <w:spacing w:val="-2"/>
          <w:w w:val="105"/>
        </w:rPr>
        <w:t> </w:t>
      </w:r>
      <w:r>
        <w:rPr>
          <w:w w:val="105"/>
        </w:rPr>
        <w:t>targets, and</w:t>
      </w:r>
      <w:r>
        <w:rPr>
          <w:spacing w:val="-2"/>
          <w:w w:val="105"/>
        </w:rPr>
        <w:t> </w:t>
      </w:r>
      <w:r>
        <w:rPr>
          <w:w w:val="105"/>
        </w:rPr>
        <w:t>are</w:t>
      </w:r>
      <w:r>
        <w:rPr>
          <w:spacing w:val="-2"/>
          <w:w w:val="105"/>
        </w:rPr>
        <w:t> </w:t>
      </w:r>
      <w:r>
        <w:rPr>
          <w:w w:val="105"/>
        </w:rPr>
        <w:t>payable</w:t>
      </w:r>
      <w:r>
        <w:rPr>
          <w:spacing w:val="-2"/>
          <w:w w:val="105"/>
        </w:rPr>
        <w:t> </w:t>
      </w:r>
      <w:r>
        <w:rPr>
          <w:w w:val="105"/>
        </w:rPr>
        <w:t>in</w:t>
      </w:r>
      <w:r>
        <w:rPr>
          <w:spacing w:val="-2"/>
          <w:w w:val="105"/>
        </w:rPr>
        <w:t> </w:t>
      </w:r>
      <w:r>
        <w:rPr>
          <w:w w:val="105"/>
        </w:rPr>
        <w:t>shares</w:t>
      </w:r>
      <w:r>
        <w:rPr>
          <w:spacing w:val="-2"/>
          <w:w w:val="105"/>
        </w:rPr>
        <w:t> </w:t>
      </w:r>
      <w:r>
        <w:rPr>
          <w:w w:val="105"/>
        </w:rPr>
        <w:t>of the</w:t>
      </w:r>
      <w:r>
        <w:rPr>
          <w:spacing w:val="-2"/>
          <w:w w:val="105"/>
        </w:rPr>
        <w:t> </w:t>
      </w:r>
      <w:r>
        <w:rPr>
          <w:w w:val="105"/>
        </w:rPr>
        <w:t>Company’s</w:t>
      </w:r>
      <w:r>
        <w:rPr>
          <w:spacing w:val="-2"/>
          <w:w w:val="105"/>
        </w:rPr>
        <w:t> </w:t>
      </w:r>
      <w:r>
        <w:rPr>
          <w:w w:val="105"/>
        </w:rPr>
        <w:t>common</w:t>
      </w:r>
      <w:r>
        <w:rPr>
          <w:spacing w:val="-2"/>
          <w:w w:val="105"/>
        </w:rPr>
        <w:t> </w:t>
      </w:r>
      <w:r>
        <w:rPr>
          <w:w w:val="105"/>
        </w:rPr>
        <w:t>stock</w:t>
      </w:r>
      <w:r>
        <w:rPr>
          <w:spacing w:val="-2"/>
          <w:w w:val="105"/>
        </w:rPr>
        <w:t> </w:t>
      </w:r>
      <w:r>
        <w:rPr>
          <w:w w:val="105"/>
        </w:rPr>
        <w:t>upon</w:t>
      </w:r>
      <w:r>
        <w:rPr>
          <w:spacing w:val="-2"/>
          <w:w w:val="105"/>
        </w:rPr>
        <w:t> </w:t>
      </w:r>
      <w:r>
        <w:rPr>
          <w:w w:val="105"/>
        </w:rPr>
        <w:t>vesting typically</w:t>
      </w:r>
      <w:r>
        <w:rPr>
          <w:spacing w:val="-7"/>
          <w:w w:val="105"/>
        </w:rPr>
        <w:t> </w:t>
      </w:r>
      <w:r>
        <w:rPr>
          <w:w w:val="105"/>
        </w:rPr>
        <w:t>over</w:t>
      </w:r>
      <w:r>
        <w:rPr>
          <w:spacing w:val="-7"/>
          <w:w w:val="105"/>
        </w:rPr>
        <w:t> </w:t>
      </w:r>
      <w:r>
        <w:rPr>
          <w:w w:val="105"/>
        </w:rPr>
        <w:t>a</w:t>
      </w:r>
      <w:r>
        <w:rPr>
          <w:spacing w:val="-6"/>
          <w:w w:val="105"/>
        </w:rPr>
        <w:t> </w:t>
      </w:r>
      <w:r>
        <w:rPr>
          <w:w w:val="105"/>
        </w:rPr>
        <w:t>three</w:t>
      </w:r>
      <w:r>
        <w:rPr>
          <w:spacing w:val="-7"/>
          <w:w w:val="105"/>
        </w:rPr>
        <w:t> </w:t>
      </w:r>
      <w:r>
        <w:rPr>
          <w:w w:val="105"/>
        </w:rPr>
        <w:t>year</w:t>
      </w:r>
      <w:r>
        <w:rPr>
          <w:spacing w:val="-7"/>
          <w:w w:val="105"/>
        </w:rPr>
        <w:t> </w:t>
      </w:r>
      <w:r>
        <w:rPr>
          <w:w w:val="105"/>
        </w:rPr>
        <w:t>period.</w:t>
      </w:r>
      <w:r>
        <w:rPr>
          <w:spacing w:val="-7"/>
          <w:w w:val="105"/>
        </w:rPr>
        <w:t> </w:t>
      </w:r>
      <w:r>
        <w:rPr>
          <w:w w:val="105"/>
        </w:rPr>
        <w:t>The</w:t>
      </w:r>
      <w:r>
        <w:rPr>
          <w:spacing w:val="-7"/>
          <w:w w:val="105"/>
        </w:rPr>
        <w:t> </w:t>
      </w:r>
      <w:r>
        <w:rPr>
          <w:w w:val="105"/>
        </w:rPr>
        <w:t>weighted-average</w:t>
      </w:r>
      <w:r>
        <w:rPr>
          <w:spacing w:val="-7"/>
          <w:w w:val="105"/>
        </w:rPr>
        <w:t> </w:t>
      </w:r>
      <w:r>
        <w:rPr>
          <w:w w:val="105"/>
        </w:rPr>
        <w:t>grant</w:t>
      </w:r>
      <w:r>
        <w:rPr>
          <w:spacing w:val="-7"/>
          <w:w w:val="105"/>
        </w:rPr>
        <w:t> </w:t>
      </w:r>
      <w:r>
        <w:rPr>
          <w:w w:val="105"/>
        </w:rPr>
        <w:t>date</w:t>
      </w:r>
      <w:r>
        <w:rPr>
          <w:spacing w:val="-7"/>
          <w:w w:val="105"/>
        </w:rPr>
        <w:t> </w:t>
      </w:r>
      <w:r>
        <w:rPr>
          <w:w w:val="105"/>
        </w:rPr>
        <w:t>fair</w:t>
      </w:r>
      <w:r>
        <w:rPr>
          <w:spacing w:val="-7"/>
          <w:w w:val="105"/>
        </w:rPr>
        <w:t> </w:t>
      </w:r>
      <w:r>
        <w:rPr>
          <w:w w:val="105"/>
        </w:rPr>
        <w:t>value</w:t>
      </w:r>
      <w:r>
        <w:rPr>
          <w:spacing w:val="-7"/>
          <w:w w:val="105"/>
        </w:rPr>
        <w:t> </w:t>
      </w:r>
      <w:r>
        <w:rPr>
          <w:w w:val="105"/>
        </w:rPr>
        <w:t>is</w:t>
      </w:r>
      <w:r>
        <w:rPr>
          <w:spacing w:val="-7"/>
          <w:w w:val="105"/>
        </w:rPr>
        <w:t> </w:t>
      </w:r>
      <w:r>
        <w:rPr>
          <w:w w:val="105"/>
        </w:rPr>
        <w:t>based</w:t>
      </w:r>
      <w:r>
        <w:rPr>
          <w:spacing w:val="-7"/>
          <w:w w:val="105"/>
        </w:rPr>
        <w:t> </w:t>
      </w:r>
      <w:r>
        <w:rPr>
          <w:w w:val="105"/>
        </w:rPr>
        <w:t>on</w:t>
      </w:r>
      <w:r>
        <w:rPr>
          <w:spacing w:val="-7"/>
          <w:w w:val="105"/>
        </w:rPr>
        <w:t> </w:t>
      </w:r>
      <w:r>
        <w:rPr>
          <w:w w:val="105"/>
        </w:rPr>
        <w:t>the</w:t>
      </w:r>
      <w:r>
        <w:rPr>
          <w:spacing w:val="-7"/>
          <w:w w:val="105"/>
        </w:rPr>
        <w:t> </w:t>
      </w:r>
      <w:r>
        <w:rPr>
          <w:w w:val="105"/>
        </w:rPr>
        <w:t>market</w:t>
      </w:r>
      <w:r>
        <w:rPr>
          <w:spacing w:val="-7"/>
          <w:w w:val="105"/>
        </w:rPr>
        <w:t> </w:t>
      </w:r>
      <w:r>
        <w:rPr>
          <w:w w:val="105"/>
        </w:rPr>
        <w:t>price</w:t>
      </w:r>
      <w:r>
        <w:rPr>
          <w:spacing w:val="-7"/>
          <w:w w:val="105"/>
        </w:rPr>
        <w:t> </w:t>
      </w:r>
      <w:r>
        <w:rPr>
          <w:w w:val="105"/>
        </w:rPr>
        <w:t>of</w:t>
      </w:r>
      <w:r>
        <w:rPr>
          <w:spacing w:val="-7"/>
          <w:w w:val="105"/>
        </w:rPr>
        <w:t> </w:t>
      </w:r>
      <w:r>
        <w:rPr>
          <w:w w:val="105"/>
        </w:rPr>
        <w:t>the</w:t>
      </w:r>
      <w:r>
        <w:rPr>
          <w:spacing w:val="-7"/>
          <w:w w:val="105"/>
        </w:rPr>
        <w:t> </w:t>
      </w:r>
      <w:r>
        <w:rPr>
          <w:w w:val="105"/>
        </w:rPr>
        <w:t>Company’s</w:t>
      </w:r>
      <w:r>
        <w:rPr>
          <w:spacing w:val="-7"/>
          <w:w w:val="105"/>
        </w:rPr>
        <w:t> </w:t>
      </w:r>
      <w:r>
        <w:rPr>
          <w:w w:val="105"/>
        </w:rPr>
        <w:t>stock</w:t>
      </w:r>
      <w:r>
        <w:rPr>
          <w:spacing w:val="-7"/>
          <w:w w:val="105"/>
        </w:rPr>
        <w:t> </w:t>
      </w:r>
      <w:r>
        <w:rPr>
          <w:w w:val="105"/>
        </w:rPr>
        <w:t>on</w:t>
      </w:r>
      <w:r>
        <w:rPr>
          <w:spacing w:val="-7"/>
          <w:w w:val="105"/>
        </w:rPr>
        <w:t> </w:t>
      </w:r>
      <w:r>
        <w:rPr>
          <w:w w:val="105"/>
        </w:rPr>
        <w:t>the</w:t>
      </w:r>
      <w:r>
        <w:rPr>
          <w:spacing w:val="-7"/>
          <w:w w:val="105"/>
        </w:rPr>
        <w:t> </w:t>
      </w:r>
      <w:r>
        <w:rPr>
          <w:w w:val="105"/>
        </w:rPr>
        <w:t>grant</w:t>
      </w:r>
      <w:r>
        <w:rPr>
          <w:spacing w:val="-7"/>
          <w:w w:val="105"/>
        </w:rPr>
        <w:t> </w:t>
      </w:r>
      <w:r>
        <w:rPr>
          <w:w w:val="105"/>
        </w:rPr>
        <w:t>date</w:t>
      </w:r>
      <w:r>
        <w:rPr>
          <w:spacing w:val="-7"/>
          <w:w w:val="105"/>
        </w:rPr>
        <w:t> </w:t>
      </w:r>
      <w:r>
        <w:rPr>
          <w:w w:val="105"/>
        </w:rPr>
        <w:t>and</w:t>
      </w:r>
      <w:r>
        <w:rPr>
          <w:spacing w:val="-7"/>
          <w:w w:val="105"/>
        </w:rPr>
        <w:t> </w:t>
      </w:r>
      <w:r>
        <w:rPr>
          <w:w w:val="105"/>
        </w:rPr>
        <w:t>assumes</w:t>
      </w:r>
      <w:r>
        <w:rPr>
          <w:spacing w:val="-7"/>
          <w:w w:val="105"/>
        </w:rPr>
        <w:t> </w:t>
      </w:r>
      <w:r>
        <w:rPr>
          <w:w w:val="105"/>
        </w:rPr>
        <w:t>that</w:t>
      </w:r>
      <w:r>
        <w:rPr>
          <w:spacing w:val="-7"/>
          <w:w w:val="105"/>
        </w:rPr>
        <w:t> </w:t>
      </w:r>
      <w:r>
        <w:rPr>
          <w:w w:val="105"/>
        </w:rPr>
        <w:t>the target</w:t>
      </w:r>
      <w:r>
        <w:rPr>
          <w:spacing w:val="-2"/>
          <w:w w:val="105"/>
        </w:rPr>
        <w:t> </w:t>
      </w:r>
      <w:r>
        <w:rPr>
          <w:w w:val="105"/>
        </w:rPr>
        <w:t>payout</w:t>
      </w:r>
      <w:r>
        <w:rPr>
          <w:spacing w:val="-2"/>
          <w:w w:val="105"/>
        </w:rPr>
        <w:t> </w:t>
      </w:r>
      <w:r>
        <w:rPr>
          <w:w w:val="105"/>
        </w:rPr>
        <w:t>level</w:t>
      </w:r>
      <w:r>
        <w:rPr>
          <w:spacing w:val="-2"/>
          <w:w w:val="105"/>
        </w:rPr>
        <w:t> </w:t>
      </w:r>
      <w:r>
        <w:rPr>
          <w:w w:val="105"/>
        </w:rPr>
        <w:t>will</w:t>
      </w:r>
      <w:r>
        <w:rPr>
          <w:spacing w:val="-2"/>
          <w:w w:val="105"/>
        </w:rPr>
        <w:t> </w:t>
      </w:r>
      <w:r>
        <w:rPr>
          <w:w w:val="105"/>
        </w:rPr>
        <w:t>be</w:t>
      </w:r>
      <w:r>
        <w:rPr>
          <w:spacing w:val="-2"/>
          <w:w w:val="105"/>
        </w:rPr>
        <w:t> </w:t>
      </w:r>
      <w:r>
        <w:rPr>
          <w:w w:val="105"/>
        </w:rPr>
        <w:t>achieved.</w:t>
      </w:r>
      <w:r>
        <w:rPr>
          <w:spacing w:val="-2"/>
          <w:w w:val="105"/>
        </w:rPr>
        <w:t> </w:t>
      </w:r>
      <w:r>
        <w:rPr>
          <w:w w:val="105"/>
        </w:rPr>
        <w:t>Compensation</w:t>
      </w:r>
      <w:r>
        <w:rPr>
          <w:spacing w:val="-2"/>
          <w:w w:val="105"/>
        </w:rPr>
        <w:t> </w:t>
      </w:r>
      <w:r>
        <w:rPr>
          <w:w w:val="105"/>
        </w:rPr>
        <w:t>cost is</w:t>
      </w:r>
      <w:r>
        <w:rPr>
          <w:spacing w:val="-2"/>
          <w:w w:val="105"/>
        </w:rPr>
        <w:t> </w:t>
      </w:r>
      <w:r>
        <w:rPr>
          <w:w w:val="105"/>
        </w:rPr>
        <w:t>recognized</w:t>
      </w:r>
      <w:r>
        <w:rPr>
          <w:spacing w:val="-2"/>
          <w:w w:val="105"/>
        </w:rPr>
        <w:t> </w:t>
      </w:r>
      <w:r>
        <w:rPr>
          <w:w w:val="105"/>
        </w:rPr>
        <w:t>over</w:t>
      </w:r>
      <w:r>
        <w:rPr>
          <w:spacing w:val="-2"/>
          <w:w w:val="105"/>
        </w:rPr>
        <w:t> </w:t>
      </w:r>
      <w:r>
        <w:rPr>
          <w:w w:val="105"/>
        </w:rPr>
        <w:t>the</w:t>
      </w:r>
      <w:r>
        <w:rPr>
          <w:spacing w:val="-2"/>
          <w:w w:val="105"/>
        </w:rPr>
        <w:t> </w:t>
      </w:r>
      <w:r>
        <w:rPr>
          <w:w w:val="105"/>
        </w:rPr>
        <w:t>requisite</w:t>
      </w:r>
      <w:r>
        <w:rPr>
          <w:spacing w:val="-2"/>
          <w:w w:val="105"/>
        </w:rPr>
        <w:t> </w:t>
      </w:r>
      <w:r>
        <w:rPr>
          <w:w w:val="105"/>
        </w:rPr>
        <w:t>vesting</w:t>
      </w:r>
      <w:r>
        <w:rPr>
          <w:spacing w:val="-2"/>
          <w:w w:val="105"/>
        </w:rPr>
        <w:t> </w:t>
      </w:r>
      <w:r>
        <w:rPr>
          <w:w w:val="105"/>
        </w:rPr>
        <w:t>period</w:t>
      </w:r>
      <w:r>
        <w:rPr>
          <w:spacing w:val="-2"/>
          <w:w w:val="105"/>
        </w:rPr>
        <w:t> </w:t>
      </w:r>
      <w:r>
        <w:rPr>
          <w:w w:val="105"/>
        </w:rPr>
        <w:t>and</w:t>
      </w:r>
      <w:r>
        <w:rPr>
          <w:spacing w:val="-2"/>
          <w:w w:val="105"/>
        </w:rPr>
        <w:t> </w:t>
      </w:r>
      <w:r>
        <w:rPr>
          <w:w w:val="105"/>
        </w:rPr>
        <w:t>adjusted</w:t>
      </w:r>
      <w:r>
        <w:rPr>
          <w:spacing w:val="-2"/>
          <w:w w:val="105"/>
        </w:rPr>
        <w:t> </w:t>
      </w:r>
      <w:r>
        <w:rPr>
          <w:w w:val="105"/>
        </w:rPr>
        <w:t>for</w:t>
      </w:r>
      <w:r>
        <w:rPr>
          <w:spacing w:val="-2"/>
          <w:w w:val="105"/>
        </w:rPr>
        <w:t> </w:t>
      </w:r>
      <w:r>
        <w:rPr>
          <w:w w:val="105"/>
        </w:rPr>
        <w:t>actual</w:t>
      </w:r>
      <w:r>
        <w:rPr>
          <w:spacing w:val="-2"/>
          <w:w w:val="105"/>
        </w:rPr>
        <w:t> </w:t>
      </w:r>
      <w:r>
        <w:rPr>
          <w:w w:val="105"/>
        </w:rPr>
        <w:t>forfeitures</w:t>
      </w:r>
      <w:r>
        <w:rPr>
          <w:spacing w:val="-2"/>
          <w:w w:val="105"/>
        </w:rPr>
        <w:t> </w:t>
      </w:r>
      <w:r>
        <w:rPr>
          <w:w w:val="105"/>
        </w:rPr>
        <w:t>before</w:t>
      </w:r>
      <w:r>
        <w:rPr>
          <w:spacing w:val="-2"/>
          <w:w w:val="105"/>
        </w:rPr>
        <w:t> </w:t>
      </w:r>
      <w:r>
        <w:rPr>
          <w:w w:val="105"/>
        </w:rPr>
        <w:t>vesting.</w:t>
      </w:r>
      <w:r>
        <w:rPr>
          <w:spacing w:val="-2"/>
          <w:w w:val="105"/>
        </w:rPr>
        <w:t> </w:t>
      </w:r>
      <w:r>
        <w:rPr>
          <w:w w:val="105"/>
        </w:rPr>
        <w:t>During</w:t>
      </w:r>
      <w:r>
        <w:rPr>
          <w:spacing w:val="-2"/>
          <w:w w:val="105"/>
        </w:rPr>
        <w:t> </w:t>
      </w:r>
      <w:r>
        <w:rPr>
          <w:w w:val="105"/>
        </w:rPr>
        <w:t>the performance period, compensation cost may be adjusted based on changes in the expected outcome of the performance-related target.</w:t>
      </w:r>
    </w:p>
    <w:p>
      <w:pPr>
        <w:pStyle w:val="BodyText"/>
        <w:spacing w:before="18"/>
      </w:pPr>
    </w:p>
    <w:p>
      <w:pPr>
        <w:pStyle w:val="BodyText"/>
        <w:ind w:left="48"/>
        <w:jc w:val="center"/>
      </w:pPr>
      <w:r>
        <w:rPr>
          <w:spacing w:val="-5"/>
          <w:w w:val="105"/>
        </w:rPr>
        <w:t>113</w:t>
      </w:r>
    </w:p>
    <w:p>
      <w:pPr>
        <w:pStyle w:val="BodyText"/>
        <w:spacing w:before="11"/>
        <w:rPr>
          <w:sz w:val="5"/>
        </w:rPr>
      </w:pPr>
      <w:r>
        <w:rPr/>
        <mc:AlternateContent>
          <mc:Choice Requires="wps">
            <w:drawing>
              <wp:anchor distT="0" distB="0" distL="0" distR="0" allowOverlap="1" layoutInCell="1" locked="0" behindDoc="1" simplePos="0" relativeHeight="487750144">
                <wp:simplePos x="0" y="0"/>
                <wp:positionH relativeFrom="page">
                  <wp:posOffset>226488</wp:posOffset>
                </wp:positionH>
                <wp:positionV relativeFrom="paragraph">
                  <wp:posOffset>58734</wp:posOffset>
                </wp:positionV>
                <wp:extent cx="7312659" cy="16510"/>
                <wp:effectExtent l="0" t="0" r="0" b="0"/>
                <wp:wrapTopAndBottom/>
                <wp:docPr id="1078" name="Graphic 1078"/>
                <wp:cNvGraphicFramePr>
                  <a:graphicFrameLocks/>
                </wp:cNvGraphicFramePr>
                <a:graphic>
                  <a:graphicData uri="http://schemas.microsoft.com/office/word/2010/wordprocessingShape">
                    <wps:wsp>
                      <wps:cNvPr id="1078" name="Graphic 1078"/>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566336;mso-wrap-distance-left:0;mso-wrap-distance-right:0" id="docshape1077"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numPr>
          <w:ilvl w:val="0"/>
          <w:numId w:val="59"/>
        </w:numPr>
        <w:tabs>
          <w:tab w:pos="445" w:val="left" w:leader="none"/>
        </w:tabs>
        <w:spacing w:line="240" w:lineRule="auto" w:before="0" w:after="0"/>
        <w:ind w:left="445" w:right="0" w:hanging="289"/>
        <w:jc w:val="left"/>
      </w:pPr>
      <w:r>
        <w:rPr/>
        <w:t>Share-Based</w:t>
      </w:r>
      <w:r>
        <w:rPr>
          <w:spacing w:val="18"/>
        </w:rPr>
        <w:t> </w:t>
      </w:r>
      <w:r>
        <w:rPr/>
        <w:t>Compensation</w:t>
      </w:r>
      <w:r>
        <w:rPr>
          <w:spacing w:val="18"/>
        </w:rPr>
        <w:t> </w:t>
      </w:r>
      <w:r>
        <w:rPr>
          <w:spacing w:val="-2"/>
        </w:rPr>
        <w:t>(Continued)</w:t>
      </w:r>
    </w:p>
    <w:p>
      <w:pPr>
        <w:pStyle w:val="BodyText"/>
        <w:spacing w:before="40"/>
        <w:rPr>
          <w:b/>
        </w:rPr>
      </w:pPr>
    </w:p>
    <w:p>
      <w:pPr>
        <w:pStyle w:val="BodyText"/>
        <w:spacing w:line="266" w:lineRule="auto"/>
        <w:ind w:left="156" w:right="392"/>
      </w:pPr>
      <w:r>
        <w:rPr>
          <w:w w:val="105"/>
        </w:rPr>
        <w:t>The</w:t>
      </w:r>
      <w:r>
        <w:rPr>
          <w:spacing w:val="-11"/>
          <w:w w:val="105"/>
        </w:rPr>
        <w:t> </w:t>
      </w:r>
      <w:r>
        <w:rPr>
          <w:w w:val="105"/>
        </w:rPr>
        <w:t>following</w:t>
      </w:r>
      <w:r>
        <w:rPr>
          <w:spacing w:val="-10"/>
          <w:w w:val="105"/>
        </w:rPr>
        <w:t> </w:t>
      </w:r>
      <w:r>
        <w:rPr>
          <w:w w:val="105"/>
        </w:rPr>
        <w:t>table</w:t>
      </w:r>
      <w:r>
        <w:rPr>
          <w:spacing w:val="-11"/>
          <w:w w:val="105"/>
        </w:rPr>
        <w:t> </w:t>
      </w:r>
      <w:r>
        <w:rPr>
          <w:w w:val="105"/>
        </w:rPr>
        <w:t>summarizes</w:t>
      </w:r>
      <w:r>
        <w:rPr>
          <w:spacing w:val="-10"/>
          <w:w w:val="105"/>
        </w:rPr>
        <w:t> </w:t>
      </w:r>
      <w:r>
        <w:rPr>
          <w:w w:val="105"/>
        </w:rPr>
        <w:t>information</w:t>
      </w:r>
      <w:r>
        <w:rPr>
          <w:spacing w:val="-11"/>
          <w:w w:val="105"/>
        </w:rPr>
        <w:t> </w:t>
      </w:r>
      <w:r>
        <w:rPr>
          <w:w w:val="105"/>
        </w:rPr>
        <w:t>concerning</w:t>
      </w:r>
      <w:r>
        <w:rPr>
          <w:spacing w:val="-10"/>
          <w:w w:val="105"/>
        </w:rPr>
        <w:t> </w:t>
      </w:r>
      <w:r>
        <w:rPr>
          <w:w w:val="105"/>
        </w:rPr>
        <w:t>the</w:t>
      </w:r>
      <w:r>
        <w:rPr>
          <w:spacing w:val="-11"/>
          <w:w w:val="105"/>
        </w:rPr>
        <w:t> </w:t>
      </w:r>
      <w:r>
        <w:rPr>
          <w:w w:val="105"/>
        </w:rPr>
        <w:t>Company’s</w:t>
      </w:r>
      <w:r>
        <w:rPr>
          <w:spacing w:val="-10"/>
          <w:w w:val="105"/>
        </w:rPr>
        <w:t> </w:t>
      </w:r>
      <w:r>
        <w:rPr>
          <w:w w:val="105"/>
        </w:rPr>
        <w:t>non-vested</w:t>
      </w:r>
      <w:r>
        <w:rPr>
          <w:spacing w:val="-11"/>
          <w:w w:val="105"/>
        </w:rPr>
        <w:t> </w:t>
      </w:r>
      <w:r>
        <w:rPr>
          <w:w w:val="105"/>
        </w:rPr>
        <w:t>performance-based</w:t>
      </w:r>
      <w:r>
        <w:rPr>
          <w:spacing w:val="-10"/>
          <w:w w:val="105"/>
        </w:rPr>
        <w:t> </w:t>
      </w:r>
      <w:r>
        <w:rPr>
          <w:w w:val="105"/>
        </w:rPr>
        <w:t>restricted</w:t>
      </w:r>
      <w:r>
        <w:rPr>
          <w:spacing w:val="-11"/>
          <w:w w:val="105"/>
        </w:rPr>
        <w:t> </w:t>
      </w:r>
      <w:r>
        <w:rPr>
          <w:w w:val="105"/>
        </w:rPr>
        <w:t>stock</w:t>
      </w:r>
      <w:r>
        <w:rPr>
          <w:spacing w:val="-10"/>
          <w:w w:val="105"/>
        </w:rPr>
        <w:t> </w:t>
      </w:r>
      <w:r>
        <w:rPr>
          <w:w w:val="105"/>
        </w:rPr>
        <w:t>units,</w:t>
      </w:r>
      <w:r>
        <w:rPr>
          <w:spacing w:val="-11"/>
          <w:w w:val="105"/>
        </w:rPr>
        <w:t> </w:t>
      </w:r>
      <w:r>
        <w:rPr>
          <w:w w:val="105"/>
        </w:rPr>
        <w:t>including</w:t>
      </w:r>
      <w:r>
        <w:rPr>
          <w:spacing w:val="-10"/>
          <w:w w:val="105"/>
        </w:rPr>
        <w:t> </w:t>
      </w:r>
      <w:r>
        <w:rPr>
          <w:w w:val="105"/>
        </w:rPr>
        <w:t>the</w:t>
      </w:r>
      <w:r>
        <w:rPr>
          <w:spacing w:val="-9"/>
          <w:w w:val="105"/>
        </w:rPr>
        <w:t> </w:t>
      </w:r>
      <w:r>
        <w:rPr>
          <w:w w:val="105"/>
        </w:rPr>
        <w:t>related</w:t>
      </w:r>
      <w:r>
        <w:rPr>
          <w:spacing w:val="-11"/>
          <w:w w:val="105"/>
        </w:rPr>
        <w:t> </w:t>
      </w:r>
      <w:r>
        <w:rPr>
          <w:w w:val="105"/>
        </w:rPr>
        <w:t>transactions</w:t>
      </w:r>
      <w:r>
        <w:rPr>
          <w:spacing w:val="-10"/>
          <w:w w:val="105"/>
        </w:rPr>
        <w:t> </w:t>
      </w:r>
      <w:r>
        <w:rPr>
          <w:w w:val="105"/>
        </w:rPr>
        <w:t>under</w:t>
      </w:r>
      <w:r>
        <w:rPr>
          <w:spacing w:val="-11"/>
          <w:w w:val="105"/>
        </w:rPr>
        <w:t> </w:t>
      </w:r>
      <w:r>
        <w:rPr>
          <w:w w:val="105"/>
        </w:rPr>
        <w:t>the performance-based restricted stock units plan for the year ended December 31, 2021:</w:t>
      </w:r>
    </w:p>
    <w:p>
      <w:pPr>
        <w:pStyle w:val="BodyText"/>
        <w:spacing w:before="8"/>
        <w:rPr>
          <w:sz w:val="1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3"/>
        <w:gridCol w:w="4189"/>
        <w:gridCol w:w="1706"/>
      </w:tblGrid>
      <w:tr>
        <w:trPr>
          <w:trHeight w:val="404" w:hRule="atLeast"/>
        </w:trPr>
        <w:tc>
          <w:tcPr>
            <w:tcW w:w="5623" w:type="dxa"/>
            <w:tcBorders>
              <w:top w:val="single" w:sz="12" w:space="0" w:color="000000"/>
              <w:bottom w:val="single" w:sz="6" w:space="0" w:color="000000"/>
            </w:tcBorders>
          </w:tcPr>
          <w:p>
            <w:pPr>
              <w:pStyle w:val="TableParagraph"/>
              <w:rPr>
                <w:sz w:val="16"/>
              </w:rPr>
            </w:pPr>
          </w:p>
        </w:tc>
        <w:tc>
          <w:tcPr>
            <w:tcW w:w="4189" w:type="dxa"/>
            <w:tcBorders>
              <w:top w:val="single" w:sz="12" w:space="0" w:color="000000"/>
              <w:bottom w:val="single" w:sz="6" w:space="0" w:color="000000"/>
            </w:tcBorders>
          </w:tcPr>
          <w:p>
            <w:pPr>
              <w:pStyle w:val="TableParagraph"/>
              <w:spacing w:before="1"/>
              <w:ind w:left="2410"/>
              <w:jc w:val="center"/>
              <w:rPr>
                <w:sz w:val="16"/>
              </w:rPr>
            </w:pPr>
            <w:r>
              <w:rPr>
                <w:w w:val="105"/>
                <w:sz w:val="16"/>
              </w:rPr>
              <w:t>Number</w:t>
            </w:r>
            <w:r>
              <w:rPr>
                <w:spacing w:val="-10"/>
                <w:w w:val="105"/>
                <w:sz w:val="16"/>
              </w:rPr>
              <w:t> </w:t>
            </w:r>
            <w:r>
              <w:rPr>
                <w:w w:val="105"/>
                <w:sz w:val="16"/>
              </w:rPr>
              <w:t>of</w:t>
            </w:r>
            <w:r>
              <w:rPr>
                <w:spacing w:val="-10"/>
                <w:w w:val="105"/>
                <w:sz w:val="16"/>
              </w:rPr>
              <w:t> </w:t>
            </w:r>
            <w:r>
              <w:rPr>
                <w:w w:val="105"/>
                <w:sz w:val="16"/>
              </w:rPr>
              <w:t>shares</w:t>
            </w:r>
            <w:r>
              <w:rPr>
                <w:spacing w:val="-10"/>
                <w:w w:val="105"/>
                <w:sz w:val="16"/>
              </w:rPr>
              <w:t> </w:t>
            </w:r>
            <w:r>
              <w:rPr>
                <w:spacing w:val="-5"/>
                <w:w w:val="105"/>
                <w:sz w:val="16"/>
              </w:rPr>
              <w:t>(in</w:t>
            </w:r>
          </w:p>
          <w:p>
            <w:pPr>
              <w:pStyle w:val="TableParagraph"/>
              <w:spacing w:line="179" w:lineRule="exact" w:before="20"/>
              <w:ind w:left="2410"/>
              <w:jc w:val="center"/>
              <w:rPr>
                <w:sz w:val="16"/>
              </w:rPr>
            </w:pPr>
            <w:r>
              <w:rPr>
                <w:spacing w:val="-2"/>
                <w:w w:val="105"/>
                <w:sz w:val="16"/>
              </w:rPr>
              <w:t>thousands)</w:t>
            </w:r>
          </w:p>
        </w:tc>
        <w:tc>
          <w:tcPr>
            <w:tcW w:w="1706" w:type="dxa"/>
            <w:tcBorders>
              <w:top w:val="single" w:sz="12" w:space="0" w:color="000000"/>
              <w:bottom w:val="single" w:sz="6" w:space="0" w:color="000000"/>
            </w:tcBorders>
          </w:tcPr>
          <w:p>
            <w:pPr>
              <w:pStyle w:val="TableParagraph"/>
              <w:spacing w:before="1"/>
              <w:ind w:left="229"/>
              <w:rPr>
                <w:sz w:val="16"/>
              </w:rPr>
            </w:pPr>
            <w:r>
              <w:rPr>
                <w:sz w:val="16"/>
              </w:rPr>
              <w:t>Weighted-</w:t>
            </w:r>
            <w:r>
              <w:rPr>
                <w:spacing w:val="-2"/>
                <w:sz w:val="16"/>
              </w:rPr>
              <w:t>average</w:t>
            </w:r>
          </w:p>
          <w:p>
            <w:pPr>
              <w:pStyle w:val="TableParagraph"/>
              <w:spacing w:line="179" w:lineRule="exact" w:before="20"/>
              <w:ind w:left="164"/>
              <w:rPr>
                <w:sz w:val="16"/>
              </w:rPr>
            </w:pPr>
            <w:r>
              <w:rPr>
                <w:w w:val="105"/>
                <w:sz w:val="16"/>
              </w:rPr>
              <w:t>grant-date</w:t>
            </w:r>
            <w:r>
              <w:rPr>
                <w:spacing w:val="-10"/>
                <w:w w:val="105"/>
                <w:sz w:val="16"/>
              </w:rPr>
              <w:t> </w:t>
            </w:r>
            <w:r>
              <w:rPr>
                <w:w w:val="105"/>
                <w:sz w:val="16"/>
              </w:rPr>
              <w:t>fair</w:t>
            </w:r>
            <w:r>
              <w:rPr>
                <w:spacing w:val="-10"/>
                <w:w w:val="105"/>
                <w:sz w:val="16"/>
              </w:rPr>
              <w:t> </w:t>
            </w:r>
            <w:r>
              <w:rPr>
                <w:spacing w:val="-4"/>
                <w:w w:val="105"/>
                <w:sz w:val="16"/>
              </w:rPr>
              <w:t>value</w:t>
            </w:r>
          </w:p>
        </w:tc>
      </w:tr>
      <w:tr>
        <w:trPr>
          <w:trHeight w:val="202" w:hRule="atLeast"/>
        </w:trPr>
        <w:tc>
          <w:tcPr>
            <w:tcW w:w="5623" w:type="dxa"/>
            <w:tcBorders>
              <w:top w:val="single" w:sz="6" w:space="0" w:color="000000"/>
            </w:tcBorders>
            <w:shd w:val="clear" w:color="auto" w:fill="CCEDFF"/>
          </w:tcPr>
          <w:p>
            <w:pPr>
              <w:pStyle w:val="TableParagraph"/>
              <w:spacing w:line="180" w:lineRule="exact" w:before="2"/>
              <w:rPr>
                <w:sz w:val="16"/>
              </w:rPr>
            </w:pPr>
            <w:r>
              <w:rPr>
                <w:w w:val="105"/>
                <w:sz w:val="16"/>
              </w:rPr>
              <w:t>Non-vested</w:t>
            </w:r>
            <w:r>
              <w:rPr>
                <w:spacing w:val="-10"/>
                <w:w w:val="105"/>
                <w:sz w:val="16"/>
              </w:rPr>
              <w:t> </w:t>
            </w:r>
            <w:r>
              <w:rPr>
                <w:w w:val="105"/>
                <w:sz w:val="16"/>
              </w:rPr>
              <w:t>share</w:t>
            </w:r>
            <w:r>
              <w:rPr>
                <w:spacing w:val="-9"/>
                <w:w w:val="105"/>
                <w:sz w:val="16"/>
              </w:rPr>
              <w:t> </w:t>
            </w:r>
            <w:r>
              <w:rPr>
                <w:w w:val="105"/>
                <w:sz w:val="16"/>
              </w:rPr>
              <w:t>units</w:t>
            </w:r>
            <w:r>
              <w:rPr>
                <w:spacing w:val="-9"/>
                <w:w w:val="105"/>
                <w:sz w:val="16"/>
              </w:rPr>
              <w:t> </w:t>
            </w:r>
            <w:r>
              <w:rPr>
                <w:w w:val="105"/>
                <w:sz w:val="16"/>
              </w:rPr>
              <w:t>at</w:t>
            </w:r>
            <w:r>
              <w:rPr>
                <w:spacing w:val="-9"/>
                <w:w w:val="105"/>
                <w:sz w:val="16"/>
              </w:rPr>
              <w:t> </w:t>
            </w:r>
            <w:r>
              <w:rPr>
                <w:w w:val="105"/>
                <w:sz w:val="16"/>
              </w:rPr>
              <w:t>December</w:t>
            </w:r>
            <w:r>
              <w:rPr>
                <w:spacing w:val="-9"/>
                <w:w w:val="105"/>
                <w:sz w:val="16"/>
              </w:rPr>
              <w:t> </w:t>
            </w:r>
            <w:r>
              <w:rPr>
                <w:w w:val="105"/>
                <w:sz w:val="16"/>
              </w:rPr>
              <w:t>31,</w:t>
            </w:r>
            <w:r>
              <w:rPr>
                <w:spacing w:val="-10"/>
                <w:w w:val="105"/>
                <w:sz w:val="16"/>
              </w:rPr>
              <w:t> </w:t>
            </w:r>
            <w:r>
              <w:rPr>
                <w:spacing w:val="-4"/>
                <w:w w:val="105"/>
                <w:sz w:val="16"/>
              </w:rPr>
              <w:t>2020</w:t>
            </w:r>
          </w:p>
        </w:tc>
        <w:tc>
          <w:tcPr>
            <w:tcW w:w="4189" w:type="dxa"/>
            <w:tcBorders>
              <w:top w:val="single" w:sz="6" w:space="0" w:color="000000"/>
            </w:tcBorders>
            <w:shd w:val="clear" w:color="auto" w:fill="CCEDFF"/>
          </w:tcPr>
          <w:p>
            <w:pPr>
              <w:pStyle w:val="TableParagraph"/>
              <w:spacing w:line="180" w:lineRule="exact" w:before="2"/>
              <w:ind w:right="141"/>
              <w:jc w:val="right"/>
              <w:rPr>
                <w:sz w:val="16"/>
              </w:rPr>
            </w:pPr>
            <w:r>
              <w:rPr>
                <w:spacing w:val="-4"/>
                <w:w w:val="105"/>
                <w:sz w:val="16"/>
              </w:rPr>
              <w:t>1,765</w:t>
            </w:r>
          </w:p>
        </w:tc>
        <w:tc>
          <w:tcPr>
            <w:tcW w:w="1706" w:type="dxa"/>
            <w:tcBorders>
              <w:top w:val="single" w:sz="6" w:space="0" w:color="000000"/>
            </w:tcBorders>
            <w:shd w:val="clear" w:color="auto" w:fill="CCEDFF"/>
          </w:tcPr>
          <w:p>
            <w:pPr>
              <w:pStyle w:val="TableParagraph"/>
              <w:tabs>
                <w:tab w:pos="1130" w:val="left" w:leader="none"/>
              </w:tabs>
              <w:spacing w:line="180" w:lineRule="exact" w:before="2"/>
              <w:ind w:right="115"/>
              <w:jc w:val="right"/>
              <w:rPr>
                <w:sz w:val="16"/>
              </w:rPr>
            </w:pPr>
            <w:r>
              <w:rPr>
                <w:spacing w:val="-10"/>
                <w:w w:val="105"/>
                <w:sz w:val="16"/>
              </w:rPr>
              <w:t>$</w:t>
            </w:r>
            <w:r>
              <w:rPr>
                <w:sz w:val="16"/>
              </w:rPr>
              <w:tab/>
            </w:r>
            <w:r>
              <w:rPr>
                <w:spacing w:val="-4"/>
                <w:w w:val="105"/>
                <w:sz w:val="16"/>
              </w:rPr>
              <w:t>28.06</w:t>
            </w:r>
          </w:p>
        </w:tc>
      </w:tr>
      <w:tr>
        <w:trPr>
          <w:trHeight w:val="203" w:hRule="atLeast"/>
        </w:trPr>
        <w:tc>
          <w:tcPr>
            <w:tcW w:w="5623" w:type="dxa"/>
          </w:tcPr>
          <w:p>
            <w:pPr>
              <w:pStyle w:val="TableParagraph"/>
              <w:spacing w:line="180" w:lineRule="exact" w:before="3"/>
              <w:rPr>
                <w:sz w:val="16"/>
              </w:rPr>
            </w:pPr>
            <w:r>
              <w:rPr>
                <w:spacing w:val="-2"/>
                <w:w w:val="105"/>
                <w:sz w:val="16"/>
              </w:rPr>
              <w:t>Granted</w:t>
            </w:r>
          </w:p>
        </w:tc>
        <w:tc>
          <w:tcPr>
            <w:tcW w:w="4189" w:type="dxa"/>
          </w:tcPr>
          <w:p>
            <w:pPr>
              <w:pStyle w:val="TableParagraph"/>
              <w:spacing w:line="180" w:lineRule="exact" w:before="3"/>
              <w:ind w:right="141"/>
              <w:jc w:val="right"/>
              <w:rPr>
                <w:sz w:val="16"/>
              </w:rPr>
            </w:pPr>
            <w:r>
              <w:rPr>
                <w:spacing w:val="-4"/>
                <w:w w:val="105"/>
                <w:sz w:val="16"/>
              </w:rPr>
              <w:t>1,222</w:t>
            </w:r>
          </w:p>
        </w:tc>
        <w:tc>
          <w:tcPr>
            <w:tcW w:w="1706" w:type="dxa"/>
          </w:tcPr>
          <w:p>
            <w:pPr>
              <w:pStyle w:val="TableParagraph"/>
              <w:spacing w:line="180" w:lineRule="exact" w:before="3"/>
              <w:ind w:right="115"/>
              <w:jc w:val="right"/>
              <w:rPr>
                <w:sz w:val="16"/>
              </w:rPr>
            </w:pPr>
            <w:r>
              <w:rPr>
                <w:spacing w:val="-4"/>
                <w:w w:val="105"/>
                <w:sz w:val="16"/>
              </w:rPr>
              <w:t>38.82</w:t>
            </w:r>
          </w:p>
        </w:tc>
      </w:tr>
      <w:tr>
        <w:trPr>
          <w:trHeight w:val="203" w:hRule="atLeast"/>
        </w:trPr>
        <w:tc>
          <w:tcPr>
            <w:tcW w:w="5623" w:type="dxa"/>
            <w:shd w:val="clear" w:color="auto" w:fill="CCEDFF"/>
          </w:tcPr>
          <w:p>
            <w:pPr>
              <w:pStyle w:val="TableParagraph"/>
              <w:spacing w:line="180" w:lineRule="exact" w:before="3"/>
              <w:rPr>
                <w:sz w:val="16"/>
              </w:rPr>
            </w:pPr>
            <w:r>
              <w:rPr>
                <w:spacing w:val="-2"/>
                <w:w w:val="105"/>
                <w:sz w:val="16"/>
              </w:rPr>
              <w:t>Vested</w:t>
            </w:r>
          </w:p>
        </w:tc>
        <w:tc>
          <w:tcPr>
            <w:tcW w:w="4189" w:type="dxa"/>
            <w:shd w:val="clear" w:color="auto" w:fill="CCEDFF"/>
          </w:tcPr>
          <w:p>
            <w:pPr>
              <w:pStyle w:val="TableParagraph"/>
              <w:spacing w:line="180" w:lineRule="exact" w:before="3"/>
              <w:ind w:right="86"/>
              <w:jc w:val="right"/>
              <w:rPr>
                <w:sz w:val="16"/>
              </w:rPr>
            </w:pPr>
            <w:r>
              <w:rPr>
                <w:spacing w:val="-2"/>
                <w:w w:val="105"/>
                <w:sz w:val="16"/>
              </w:rPr>
              <w:t>(119)</w:t>
            </w:r>
          </w:p>
        </w:tc>
        <w:tc>
          <w:tcPr>
            <w:tcW w:w="1706" w:type="dxa"/>
            <w:shd w:val="clear" w:color="auto" w:fill="CCEDFF"/>
          </w:tcPr>
          <w:p>
            <w:pPr>
              <w:pStyle w:val="TableParagraph"/>
              <w:spacing w:line="180" w:lineRule="exact" w:before="3"/>
              <w:ind w:right="115"/>
              <w:jc w:val="right"/>
              <w:rPr>
                <w:sz w:val="16"/>
              </w:rPr>
            </w:pPr>
            <w:r>
              <w:rPr>
                <w:spacing w:val="-4"/>
                <w:w w:val="105"/>
                <w:sz w:val="16"/>
              </w:rPr>
              <w:t>28.06</w:t>
            </w:r>
          </w:p>
        </w:tc>
      </w:tr>
      <w:tr>
        <w:trPr>
          <w:trHeight w:val="203" w:hRule="atLeast"/>
        </w:trPr>
        <w:tc>
          <w:tcPr>
            <w:tcW w:w="5623" w:type="dxa"/>
          </w:tcPr>
          <w:p>
            <w:pPr>
              <w:pStyle w:val="TableParagraph"/>
              <w:spacing w:line="180" w:lineRule="exact" w:before="3"/>
              <w:rPr>
                <w:sz w:val="16"/>
              </w:rPr>
            </w:pPr>
            <w:r>
              <w:rPr>
                <w:sz w:val="16"/>
              </w:rPr>
              <w:t>Performance</w:t>
            </w:r>
            <w:r>
              <w:rPr>
                <w:spacing w:val="25"/>
                <w:sz w:val="16"/>
              </w:rPr>
              <w:t> </w:t>
            </w:r>
            <w:r>
              <w:rPr>
                <w:spacing w:val="-2"/>
                <w:sz w:val="16"/>
              </w:rPr>
              <w:t>adjustments</w:t>
            </w:r>
          </w:p>
        </w:tc>
        <w:tc>
          <w:tcPr>
            <w:tcW w:w="4189" w:type="dxa"/>
          </w:tcPr>
          <w:p>
            <w:pPr>
              <w:pStyle w:val="TableParagraph"/>
              <w:spacing w:line="180" w:lineRule="exact" w:before="3"/>
              <w:ind w:right="141"/>
              <w:jc w:val="right"/>
              <w:rPr>
                <w:sz w:val="16"/>
              </w:rPr>
            </w:pPr>
            <w:r>
              <w:rPr>
                <w:spacing w:val="-5"/>
                <w:w w:val="105"/>
                <w:sz w:val="16"/>
              </w:rPr>
              <w:t>917</w:t>
            </w:r>
          </w:p>
        </w:tc>
        <w:tc>
          <w:tcPr>
            <w:tcW w:w="1706" w:type="dxa"/>
          </w:tcPr>
          <w:p>
            <w:pPr>
              <w:pStyle w:val="TableParagraph"/>
              <w:spacing w:line="180" w:lineRule="exact" w:before="3"/>
              <w:ind w:right="115"/>
              <w:jc w:val="right"/>
              <w:rPr>
                <w:sz w:val="16"/>
              </w:rPr>
            </w:pPr>
            <w:r>
              <w:rPr>
                <w:spacing w:val="-4"/>
                <w:w w:val="105"/>
                <w:sz w:val="16"/>
              </w:rPr>
              <w:t>38.82</w:t>
            </w:r>
          </w:p>
        </w:tc>
      </w:tr>
      <w:tr>
        <w:trPr>
          <w:trHeight w:val="202" w:hRule="atLeast"/>
        </w:trPr>
        <w:tc>
          <w:tcPr>
            <w:tcW w:w="5623" w:type="dxa"/>
            <w:tcBorders>
              <w:bottom w:val="single" w:sz="6" w:space="0" w:color="000000"/>
            </w:tcBorders>
            <w:shd w:val="clear" w:color="auto" w:fill="CCEDFF"/>
          </w:tcPr>
          <w:p>
            <w:pPr>
              <w:pStyle w:val="TableParagraph"/>
              <w:spacing w:line="179" w:lineRule="exact" w:before="3"/>
              <w:rPr>
                <w:sz w:val="16"/>
              </w:rPr>
            </w:pPr>
            <w:r>
              <w:rPr>
                <w:spacing w:val="-2"/>
                <w:w w:val="105"/>
                <w:sz w:val="16"/>
              </w:rPr>
              <w:t>Forfeited</w:t>
            </w:r>
          </w:p>
        </w:tc>
        <w:tc>
          <w:tcPr>
            <w:tcW w:w="4189" w:type="dxa"/>
            <w:tcBorders>
              <w:bottom w:val="single" w:sz="6" w:space="0" w:color="000000"/>
            </w:tcBorders>
            <w:shd w:val="clear" w:color="auto" w:fill="CCEDFF"/>
          </w:tcPr>
          <w:p>
            <w:pPr>
              <w:pStyle w:val="TableParagraph"/>
              <w:spacing w:line="179" w:lineRule="exact" w:before="3"/>
              <w:ind w:right="86"/>
              <w:jc w:val="right"/>
              <w:rPr>
                <w:sz w:val="16"/>
              </w:rPr>
            </w:pPr>
            <w:r>
              <w:rPr>
                <w:spacing w:val="-2"/>
                <w:w w:val="105"/>
                <w:sz w:val="16"/>
              </w:rPr>
              <w:t>(101)</w:t>
            </w:r>
          </w:p>
        </w:tc>
        <w:tc>
          <w:tcPr>
            <w:tcW w:w="1706" w:type="dxa"/>
            <w:tcBorders>
              <w:bottom w:val="single" w:sz="6" w:space="0" w:color="000000"/>
            </w:tcBorders>
            <w:shd w:val="clear" w:color="auto" w:fill="CCEDFF"/>
          </w:tcPr>
          <w:p>
            <w:pPr>
              <w:pStyle w:val="TableParagraph"/>
              <w:spacing w:line="179" w:lineRule="exact" w:before="3"/>
              <w:ind w:right="115"/>
              <w:jc w:val="right"/>
              <w:rPr>
                <w:sz w:val="16"/>
              </w:rPr>
            </w:pPr>
            <w:r>
              <w:rPr>
                <w:spacing w:val="-4"/>
                <w:w w:val="105"/>
                <w:sz w:val="16"/>
              </w:rPr>
              <w:t>33.25</w:t>
            </w:r>
          </w:p>
        </w:tc>
      </w:tr>
      <w:tr>
        <w:trPr>
          <w:trHeight w:val="199" w:hRule="atLeast"/>
        </w:trPr>
        <w:tc>
          <w:tcPr>
            <w:tcW w:w="5623" w:type="dxa"/>
            <w:tcBorders>
              <w:top w:val="single" w:sz="6" w:space="0" w:color="000000"/>
              <w:bottom w:val="double" w:sz="6" w:space="0" w:color="000000"/>
            </w:tcBorders>
          </w:tcPr>
          <w:p>
            <w:pPr>
              <w:pStyle w:val="TableParagraph"/>
              <w:spacing w:line="177" w:lineRule="exact" w:before="2"/>
              <w:rPr>
                <w:sz w:val="16"/>
              </w:rPr>
            </w:pPr>
            <w:r>
              <w:rPr>
                <w:w w:val="105"/>
                <w:sz w:val="16"/>
              </w:rPr>
              <w:t>Non-vested</w:t>
            </w:r>
            <w:r>
              <w:rPr>
                <w:spacing w:val="-10"/>
                <w:w w:val="105"/>
                <w:sz w:val="16"/>
              </w:rPr>
              <w:t> </w:t>
            </w:r>
            <w:r>
              <w:rPr>
                <w:w w:val="105"/>
                <w:sz w:val="16"/>
              </w:rPr>
              <w:t>share</w:t>
            </w:r>
            <w:r>
              <w:rPr>
                <w:spacing w:val="-9"/>
                <w:w w:val="105"/>
                <w:sz w:val="16"/>
              </w:rPr>
              <w:t> </w:t>
            </w:r>
            <w:r>
              <w:rPr>
                <w:w w:val="105"/>
                <w:sz w:val="16"/>
              </w:rPr>
              <w:t>units</w:t>
            </w:r>
            <w:r>
              <w:rPr>
                <w:spacing w:val="-9"/>
                <w:w w:val="105"/>
                <w:sz w:val="16"/>
              </w:rPr>
              <w:t> </w:t>
            </w:r>
            <w:r>
              <w:rPr>
                <w:w w:val="105"/>
                <w:sz w:val="16"/>
              </w:rPr>
              <w:t>at</w:t>
            </w:r>
            <w:r>
              <w:rPr>
                <w:spacing w:val="-9"/>
                <w:w w:val="105"/>
                <w:sz w:val="16"/>
              </w:rPr>
              <w:t> </w:t>
            </w:r>
            <w:r>
              <w:rPr>
                <w:w w:val="105"/>
                <w:sz w:val="16"/>
              </w:rPr>
              <w:t>December</w:t>
            </w:r>
            <w:r>
              <w:rPr>
                <w:spacing w:val="-9"/>
                <w:w w:val="105"/>
                <w:sz w:val="16"/>
              </w:rPr>
              <w:t> </w:t>
            </w:r>
            <w:r>
              <w:rPr>
                <w:w w:val="105"/>
                <w:sz w:val="16"/>
              </w:rPr>
              <w:t>31,</w:t>
            </w:r>
            <w:r>
              <w:rPr>
                <w:spacing w:val="-10"/>
                <w:w w:val="105"/>
                <w:sz w:val="16"/>
              </w:rPr>
              <w:t> </w:t>
            </w:r>
            <w:r>
              <w:rPr>
                <w:spacing w:val="-4"/>
                <w:w w:val="105"/>
                <w:sz w:val="16"/>
              </w:rPr>
              <w:t>2021</w:t>
            </w:r>
          </w:p>
        </w:tc>
        <w:tc>
          <w:tcPr>
            <w:tcW w:w="4189" w:type="dxa"/>
            <w:tcBorders>
              <w:top w:val="single" w:sz="6" w:space="0" w:color="000000"/>
              <w:bottom w:val="double" w:sz="6" w:space="0" w:color="000000"/>
            </w:tcBorders>
          </w:tcPr>
          <w:p>
            <w:pPr>
              <w:pStyle w:val="TableParagraph"/>
              <w:spacing w:line="177" w:lineRule="exact" w:before="2"/>
              <w:ind w:right="141"/>
              <w:jc w:val="right"/>
              <w:rPr>
                <w:b/>
                <w:sz w:val="16"/>
              </w:rPr>
            </w:pPr>
            <w:r>
              <w:rPr>
                <w:b/>
                <w:spacing w:val="-4"/>
                <w:w w:val="105"/>
                <w:sz w:val="16"/>
              </w:rPr>
              <w:t>3,684</w:t>
            </w:r>
          </w:p>
        </w:tc>
        <w:tc>
          <w:tcPr>
            <w:tcW w:w="1706" w:type="dxa"/>
            <w:tcBorders>
              <w:top w:val="single" w:sz="6" w:space="0" w:color="000000"/>
              <w:bottom w:val="double" w:sz="6" w:space="0" w:color="000000"/>
            </w:tcBorders>
          </w:tcPr>
          <w:p>
            <w:pPr>
              <w:pStyle w:val="TableParagraph"/>
              <w:tabs>
                <w:tab w:pos="1130" w:val="left" w:leader="none"/>
              </w:tabs>
              <w:spacing w:line="177" w:lineRule="exact" w:before="2"/>
              <w:ind w:right="115"/>
              <w:jc w:val="right"/>
              <w:rPr>
                <w:sz w:val="16"/>
              </w:rPr>
            </w:pPr>
            <w:r>
              <w:rPr>
                <w:spacing w:val="-10"/>
                <w:w w:val="105"/>
                <w:sz w:val="16"/>
              </w:rPr>
              <w:t>$</w:t>
            </w:r>
            <w:r>
              <w:rPr>
                <w:sz w:val="16"/>
              </w:rPr>
              <w:tab/>
            </w:r>
            <w:r>
              <w:rPr>
                <w:spacing w:val="-4"/>
                <w:w w:val="105"/>
                <w:sz w:val="16"/>
              </w:rPr>
              <w:t>34.17</w:t>
            </w:r>
          </w:p>
        </w:tc>
      </w:tr>
    </w:tbl>
    <w:p>
      <w:pPr>
        <w:pStyle w:val="BodyText"/>
        <w:spacing w:before="9"/>
      </w:pPr>
    </w:p>
    <w:p>
      <w:pPr>
        <w:pStyle w:val="BodyText"/>
        <w:ind w:left="156"/>
      </w:pPr>
      <w:r>
        <w:rPr>
          <w:w w:val="105"/>
        </w:rPr>
        <w:t>As</w:t>
      </w:r>
      <w:r>
        <w:rPr>
          <w:spacing w:val="-11"/>
          <w:w w:val="105"/>
        </w:rPr>
        <w:t> </w:t>
      </w:r>
      <w:r>
        <w:rPr>
          <w:w w:val="105"/>
        </w:rPr>
        <w:t>of</w:t>
      </w:r>
      <w:r>
        <w:rPr>
          <w:spacing w:val="-9"/>
          <w:w w:val="105"/>
        </w:rPr>
        <w:t> </w:t>
      </w:r>
      <w:r>
        <w:rPr>
          <w:w w:val="105"/>
        </w:rPr>
        <w:t>December</w:t>
      </w:r>
      <w:r>
        <w:rPr>
          <w:spacing w:val="-11"/>
          <w:w w:val="105"/>
        </w:rPr>
        <w:t> </w:t>
      </w:r>
      <w:r>
        <w:rPr>
          <w:w w:val="105"/>
        </w:rPr>
        <w:t>31,</w:t>
      </w:r>
      <w:r>
        <w:rPr>
          <w:spacing w:val="-10"/>
          <w:w w:val="105"/>
        </w:rPr>
        <w:t> </w:t>
      </w:r>
      <w:r>
        <w:rPr>
          <w:w w:val="105"/>
        </w:rPr>
        <w:t>2021,</w:t>
      </w:r>
      <w:r>
        <w:rPr>
          <w:spacing w:val="-11"/>
          <w:w w:val="105"/>
        </w:rPr>
        <w:t> </w:t>
      </w:r>
      <w:r>
        <w:rPr>
          <w:w w:val="105"/>
        </w:rPr>
        <w:t>there</w:t>
      </w:r>
      <w:r>
        <w:rPr>
          <w:spacing w:val="-10"/>
          <w:w w:val="105"/>
        </w:rPr>
        <w:t> </w:t>
      </w:r>
      <w:r>
        <w:rPr>
          <w:w w:val="105"/>
        </w:rPr>
        <w:t>was</w:t>
      </w:r>
      <w:r>
        <w:rPr>
          <w:spacing w:val="-10"/>
          <w:w w:val="105"/>
        </w:rPr>
        <w:t> </w:t>
      </w:r>
      <w:r>
        <w:rPr>
          <w:w w:val="105"/>
        </w:rPr>
        <w:t>approximately</w:t>
      </w:r>
      <w:r>
        <w:rPr>
          <w:spacing w:val="-11"/>
          <w:w w:val="105"/>
        </w:rPr>
        <w:t> </w:t>
      </w:r>
      <w:r>
        <w:rPr>
          <w:w w:val="105"/>
        </w:rPr>
        <w:t>$30</w:t>
      </w:r>
      <w:r>
        <w:rPr>
          <w:spacing w:val="-8"/>
          <w:w w:val="105"/>
        </w:rPr>
        <w:t> </w:t>
      </w:r>
      <w:r>
        <w:rPr>
          <w:w w:val="105"/>
        </w:rPr>
        <w:t>million</w:t>
      </w:r>
      <w:r>
        <w:rPr>
          <w:spacing w:val="-11"/>
          <w:w w:val="105"/>
        </w:rPr>
        <w:t> </w:t>
      </w:r>
      <w:r>
        <w:rPr>
          <w:w w:val="105"/>
        </w:rPr>
        <w:t>of</w:t>
      </w:r>
      <w:r>
        <w:rPr>
          <w:spacing w:val="-10"/>
          <w:w w:val="105"/>
        </w:rPr>
        <w:t> </w:t>
      </w:r>
      <w:r>
        <w:rPr>
          <w:w w:val="105"/>
        </w:rPr>
        <w:t>unrecognized</w:t>
      </w:r>
      <w:r>
        <w:rPr>
          <w:spacing w:val="-10"/>
          <w:w w:val="105"/>
        </w:rPr>
        <w:t> </w:t>
      </w:r>
      <w:r>
        <w:rPr>
          <w:w w:val="105"/>
        </w:rPr>
        <w:t>compensation</w:t>
      </w:r>
      <w:r>
        <w:rPr>
          <w:spacing w:val="-11"/>
          <w:w w:val="105"/>
        </w:rPr>
        <w:t> </w:t>
      </w:r>
      <w:r>
        <w:rPr>
          <w:w w:val="105"/>
        </w:rPr>
        <w:t>cost</w:t>
      </w:r>
      <w:r>
        <w:rPr>
          <w:spacing w:val="-10"/>
          <w:w w:val="105"/>
        </w:rPr>
        <w:t> </w:t>
      </w:r>
      <w:r>
        <w:rPr>
          <w:w w:val="105"/>
        </w:rPr>
        <w:t>related</w:t>
      </w:r>
      <w:r>
        <w:rPr>
          <w:spacing w:val="-9"/>
          <w:w w:val="105"/>
        </w:rPr>
        <w:t> </w:t>
      </w:r>
      <w:r>
        <w:rPr>
          <w:w w:val="105"/>
        </w:rPr>
        <w:t>to</w:t>
      </w:r>
      <w:r>
        <w:rPr>
          <w:spacing w:val="-10"/>
          <w:w w:val="105"/>
        </w:rPr>
        <w:t> </w:t>
      </w:r>
      <w:r>
        <w:rPr>
          <w:w w:val="105"/>
        </w:rPr>
        <w:t>non-vested</w:t>
      </w:r>
      <w:r>
        <w:rPr>
          <w:spacing w:val="-11"/>
          <w:w w:val="105"/>
        </w:rPr>
        <w:t> </w:t>
      </w:r>
      <w:r>
        <w:rPr>
          <w:w w:val="105"/>
        </w:rPr>
        <w:t>performance-based</w:t>
      </w:r>
      <w:r>
        <w:rPr>
          <w:spacing w:val="-10"/>
          <w:w w:val="105"/>
        </w:rPr>
        <w:t> </w:t>
      </w:r>
      <w:r>
        <w:rPr>
          <w:w w:val="105"/>
        </w:rPr>
        <w:t>restricted</w:t>
      </w:r>
      <w:r>
        <w:rPr>
          <w:spacing w:val="-10"/>
          <w:w w:val="105"/>
        </w:rPr>
        <w:t> </w:t>
      </w:r>
      <w:r>
        <w:rPr>
          <w:spacing w:val="-2"/>
          <w:w w:val="105"/>
        </w:rPr>
        <w:t>stock</w:t>
      </w:r>
    </w:p>
    <w:p>
      <w:pPr>
        <w:pStyle w:val="BodyText"/>
        <w:spacing w:line="266" w:lineRule="auto" w:before="20"/>
        <w:ind w:left="156" w:right="334"/>
      </w:pPr>
      <w:r>
        <w:rPr>
          <w:w w:val="105"/>
        </w:rPr>
        <w:t>unit</w:t>
      </w:r>
      <w:r>
        <w:rPr>
          <w:spacing w:val="-6"/>
          <w:w w:val="105"/>
        </w:rPr>
        <w:t> </w:t>
      </w:r>
      <w:r>
        <w:rPr>
          <w:w w:val="105"/>
        </w:rPr>
        <w:t>compensation</w:t>
      </w:r>
      <w:r>
        <w:rPr>
          <w:spacing w:val="-6"/>
          <w:w w:val="105"/>
        </w:rPr>
        <w:t> </w:t>
      </w:r>
      <w:r>
        <w:rPr>
          <w:w w:val="105"/>
        </w:rPr>
        <w:t>arrangements</w:t>
      </w:r>
      <w:r>
        <w:rPr>
          <w:spacing w:val="-6"/>
          <w:w w:val="105"/>
        </w:rPr>
        <w:t> </w:t>
      </w:r>
      <w:r>
        <w:rPr>
          <w:w w:val="105"/>
        </w:rPr>
        <w:t>granted</w:t>
      </w:r>
      <w:r>
        <w:rPr>
          <w:spacing w:val="-6"/>
          <w:w w:val="105"/>
        </w:rPr>
        <w:t> </w:t>
      </w:r>
      <w:r>
        <w:rPr>
          <w:w w:val="105"/>
        </w:rPr>
        <w:t>under</w:t>
      </w:r>
      <w:r>
        <w:rPr>
          <w:spacing w:val="-6"/>
          <w:w w:val="105"/>
        </w:rPr>
        <w:t> </w:t>
      </w:r>
      <w:r>
        <w:rPr>
          <w:w w:val="105"/>
        </w:rPr>
        <w:t>the</w:t>
      </w:r>
      <w:r>
        <w:rPr>
          <w:spacing w:val="-6"/>
          <w:w w:val="105"/>
        </w:rPr>
        <w:t> </w:t>
      </w:r>
      <w:r>
        <w:rPr>
          <w:w w:val="105"/>
        </w:rPr>
        <w:t>Plan.</w:t>
      </w:r>
      <w:r>
        <w:rPr>
          <w:spacing w:val="-6"/>
          <w:w w:val="105"/>
        </w:rPr>
        <w:t> </w:t>
      </w:r>
      <w:r>
        <w:rPr>
          <w:w w:val="105"/>
        </w:rPr>
        <w:t>The</w:t>
      </w:r>
      <w:r>
        <w:rPr>
          <w:spacing w:val="-6"/>
          <w:w w:val="105"/>
        </w:rPr>
        <w:t> </w:t>
      </w:r>
      <w:r>
        <w:rPr>
          <w:w w:val="105"/>
        </w:rPr>
        <w:t>cost</w:t>
      </w:r>
      <w:r>
        <w:rPr>
          <w:spacing w:val="-6"/>
          <w:w w:val="105"/>
        </w:rPr>
        <w:t> </w:t>
      </w:r>
      <w:r>
        <w:rPr>
          <w:w w:val="105"/>
        </w:rPr>
        <w:t>is</w:t>
      </w:r>
      <w:r>
        <w:rPr>
          <w:spacing w:val="-6"/>
          <w:w w:val="105"/>
        </w:rPr>
        <w:t> </w:t>
      </w:r>
      <w:r>
        <w:rPr>
          <w:w w:val="105"/>
        </w:rPr>
        <w:t>expected</w:t>
      </w:r>
      <w:r>
        <w:rPr>
          <w:spacing w:val="-6"/>
          <w:w w:val="105"/>
        </w:rPr>
        <w:t> </w:t>
      </w:r>
      <w:r>
        <w:rPr>
          <w:w w:val="105"/>
        </w:rPr>
        <w:t>to</w:t>
      </w:r>
      <w:r>
        <w:rPr>
          <w:spacing w:val="-6"/>
          <w:w w:val="105"/>
        </w:rPr>
        <w:t> </w:t>
      </w:r>
      <w:r>
        <w:rPr>
          <w:w w:val="105"/>
        </w:rPr>
        <w:t>be</w:t>
      </w:r>
      <w:r>
        <w:rPr>
          <w:spacing w:val="-6"/>
          <w:w w:val="105"/>
        </w:rPr>
        <w:t> </w:t>
      </w:r>
      <w:r>
        <w:rPr>
          <w:w w:val="105"/>
        </w:rPr>
        <w:t>recognized</w:t>
      </w:r>
      <w:r>
        <w:rPr>
          <w:spacing w:val="-6"/>
          <w:w w:val="105"/>
        </w:rPr>
        <w:t> </w:t>
      </w:r>
      <w:r>
        <w:rPr>
          <w:w w:val="105"/>
        </w:rPr>
        <w:t>over</w:t>
      </w:r>
      <w:r>
        <w:rPr>
          <w:spacing w:val="-6"/>
          <w:w w:val="105"/>
        </w:rPr>
        <w:t> </w:t>
      </w:r>
      <w:r>
        <w:rPr>
          <w:w w:val="105"/>
        </w:rPr>
        <w:t>a</w:t>
      </w:r>
      <w:r>
        <w:rPr>
          <w:spacing w:val="-6"/>
          <w:w w:val="105"/>
        </w:rPr>
        <w:t> </w:t>
      </w:r>
      <w:r>
        <w:rPr>
          <w:w w:val="105"/>
        </w:rPr>
        <w:t>weighted-average</w:t>
      </w:r>
      <w:r>
        <w:rPr>
          <w:spacing w:val="-6"/>
          <w:w w:val="105"/>
        </w:rPr>
        <w:t> </w:t>
      </w:r>
      <w:r>
        <w:rPr>
          <w:w w:val="105"/>
        </w:rPr>
        <w:t>period</w:t>
      </w:r>
      <w:r>
        <w:rPr>
          <w:spacing w:val="-6"/>
          <w:w w:val="105"/>
        </w:rPr>
        <w:t> </w:t>
      </w:r>
      <w:r>
        <w:rPr>
          <w:w w:val="105"/>
        </w:rPr>
        <w:t>of</w:t>
      </w:r>
      <w:r>
        <w:rPr>
          <w:spacing w:val="-6"/>
          <w:w w:val="105"/>
        </w:rPr>
        <w:t> </w:t>
      </w:r>
      <w:r>
        <w:rPr>
          <w:w w:val="105"/>
        </w:rPr>
        <w:t>1.4</w:t>
      </w:r>
      <w:r>
        <w:rPr>
          <w:spacing w:val="-6"/>
          <w:w w:val="105"/>
        </w:rPr>
        <w:t> </w:t>
      </w:r>
      <w:r>
        <w:rPr>
          <w:w w:val="105"/>
        </w:rPr>
        <w:t>years.</w:t>
      </w:r>
      <w:r>
        <w:rPr>
          <w:spacing w:val="-6"/>
          <w:w w:val="105"/>
        </w:rPr>
        <w:t> </w:t>
      </w:r>
      <w:r>
        <w:rPr>
          <w:w w:val="105"/>
        </w:rPr>
        <w:t>Compensation</w:t>
      </w:r>
      <w:r>
        <w:rPr>
          <w:spacing w:val="-6"/>
          <w:w w:val="105"/>
        </w:rPr>
        <w:t> </w:t>
      </w:r>
      <w:r>
        <w:rPr>
          <w:w w:val="105"/>
        </w:rPr>
        <w:t>cost</w:t>
      </w:r>
      <w:r>
        <w:rPr>
          <w:spacing w:val="-6"/>
          <w:w w:val="105"/>
        </w:rPr>
        <w:t> </w:t>
      </w:r>
      <w:r>
        <w:rPr>
          <w:w w:val="105"/>
        </w:rPr>
        <w:t>related</w:t>
      </w:r>
      <w:r>
        <w:rPr>
          <w:spacing w:val="-6"/>
          <w:w w:val="105"/>
        </w:rPr>
        <w:t> </w:t>
      </w:r>
      <w:r>
        <w:rPr>
          <w:w w:val="105"/>
        </w:rPr>
        <w:t>to performance-based</w:t>
      </w:r>
      <w:r>
        <w:rPr>
          <w:spacing w:val="-9"/>
          <w:w w:val="105"/>
        </w:rPr>
        <w:t> </w:t>
      </w:r>
      <w:r>
        <w:rPr>
          <w:w w:val="105"/>
        </w:rPr>
        <w:t>restricted</w:t>
      </w:r>
      <w:r>
        <w:rPr>
          <w:spacing w:val="-9"/>
          <w:w w:val="105"/>
        </w:rPr>
        <w:t> </w:t>
      </w:r>
      <w:r>
        <w:rPr>
          <w:w w:val="105"/>
        </w:rPr>
        <w:t>stock</w:t>
      </w:r>
      <w:r>
        <w:rPr>
          <w:spacing w:val="-9"/>
          <w:w w:val="105"/>
        </w:rPr>
        <w:t> </w:t>
      </w:r>
      <w:r>
        <w:rPr>
          <w:w w:val="105"/>
        </w:rPr>
        <w:t>units</w:t>
      </w:r>
      <w:r>
        <w:rPr>
          <w:spacing w:val="-9"/>
          <w:w w:val="105"/>
        </w:rPr>
        <w:t> </w:t>
      </w:r>
      <w:r>
        <w:rPr>
          <w:w w:val="105"/>
        </w:rPr>
        <w:t>for</w:t>
      </w:r>
      <w:r>
        <w:rPr>
          <w:spacing w:val="-7"/>
          <w:w w:val="105"/>
        </w:rPr>
        <w:t> </w:t>
      </w:r>
      <w:r>
        <w:rPr>
          <w:w w:val="105"/>
        </w:rPr>
        <w:t>the</w:t>
      </w:r>
      <w:r>
        <w:rPr>
          <w:spacing w:val="-9"/>
          <w:w w:val="105"/>
        </w:rPr>
        <w:t> </w:t>
      </w:r>
      <w:r>
        <w:rPr>
          <w:w w:val="105"/>
        </w:rPr>
        <w:t>years</w:t>
      </w:r>
      <w:r>
        <w:rPr>
          <w:spacing w:val="-9"/>
          <w:w w:val="105"/>
        </w:rPr>
        <w:t> </w:t>
      </w:r>
      <w:r>
        <w:rPr>
          <w:w w:val="105"/>
        </w:rPr>
        <w:t>ended</w:t>
      </w:r>
      <w:r>
        <w:rPr>
          <w:spacing w:val="-8"/>
          <w:w w:val="105"/>
        </w:rPr>
        <w:t> </w:t>
      </w:r>
      <w:r>
        <w:rPr>
          <w:w w:val="105"/>
        </w:rPr>
        <w:t>December</w:t>
      </w:r>
      <w:r>
        <w:rPr>
          <w:spacing w:val="-9"/>
          <w:w w:val="105"/>
        </w:rPr>
        <w:t> </w:t>
      </w:r>
      <w:r>
        <w:rPr>
          <w:w w:val="105"/>
        </w:rPr>
        <w:t>31,</w:t>
      </w:r>
      <w:r>
        <w:rPr>
          <w:spacing w:val="-9"/>
          <w:w w:val="105"/>
        </w:rPr>
        <w:t> </w:t>
      </w:r>
      <w:r>
        <w:rPr>
          <w:w w:val="105"/>
        </w:rPr>
        <w:t>2021</w:t>
      </w:r>
      <w:r>
        <w:rPr>
          <w:spacing w:val="-8"/>
          <w:w w:val="105"/>
        </w:rPr>
        <w:t> </w:t>
      </w:r>
      <w:r>
        <w:rPr>
          <w:w w:val="105"/>
        </w:rPr>
        <w:t>and</w:t>
      </w:r>
      <w:r>
        <w:rPr>
          <w:spacing w:val="-9"/>
          <w:w w:val="105"/>
        </w:rPr>
        <w:t> </w:t>
      </w:r>
      <w:r>
        <w:rPr>
          <w:w w:val="105"/>
        </w:rPr>
        <w:t>2020</w:t>
      </w:r>
      <w:r>
        <w:rPr>
          <w:spacing w:val="-9"/>
          <w:w w:val="105"/>
        </w:rPr>
        <w:t> </w:t>
      </w:r>
      <w:r>
        <w:rPr>
          <w:w w:val="105"/>
        </w:rPr>
        <w:t>was</w:t>
      </w:r>
      <w:r>
        <w:rPr>
          <w:spacing w:val="-9"/>
          <w:w w:val="105"/>
        </w:rPr>
        <w:t> </w:t>
      </w:r>
      <w:r>
        <w:rPr>
          <w:w w:val="105"/>
        </w:rPr>
        <w:t>approximately</w:t>
      </w:r>
      <w:r>
        <w:rPr>
          <w:spacing w:val="-9"/>
          <w:w w:val="105"/>
        </w:rPr>
        <w:t> </w:t>
      </w:r>
      <w:r>
        <w:rPr>
          <w:w w:val="105"/>
        </w:rPr>
        <w:t>$79</w:t>
      </w:r>
      <w:r>
        <w:rPr>
          <w:spacing w:val="-9"/>
          <w:w w:val="105"/>
        </w:rPr>
        <w:t> </w:t>
      </w:r>
      <w:r>
        <w:rPr>
          <w:w w:val="105"/>
        </w:rPr>
        <w:t>million</w:t>
      </w:r>
      <w:r>
        <w:rPr>
          <w:spacing w:val="-9"/>
          <w:w w:val="105"/>
        </w:rPr>
        <w:t> </w:t>
      </w:r>
      <w:r>
        <w:rPr>
          <w:w w:val="105"/>
        </w:rPr>
        <w:t>and</w:t>
      </w:r>
      <w:r>
        <w:rPr>
          <w:spacing w:val="-9"/>
          <w:w w:val="105"/>
        </w:rPr>
        <w:t> </w:t>
      </w:r>
      <w:r>
        <w:rPr>
          <w:w w:val="105"/>
        </w:rPr>
        <w:t>$81</w:t>
      </w:r>
      <w:r>
        <w:rPr>
          <w:spacing w:val="-9"/>
          <w:w w:val="105"/>
        </w:rPr>
        <w:t> </w:t>
      </w:r>
      <w:r>
        <w:rPr>
          <w:w w:val="105"/>
        </w:rPr>
        <w:t>million,</w:t>
      </w:r>
      <w:r>
        <w:rPr>
          <w:spacing w:val="-9"/>
          <w:w w:val="105"/>
        </w:rPr>
        <w:t> </w:t>
      </w:r>
      <w:r>
        <w:rPr>
          <w:w w:val="105"/>
        </w:rPr>
        <w:t>respectively,</w:t>
      </w:r>
      <w:r>
        <w:rPr>
          <w:spacing w:val="-9"/>
          <w:w w:val="105"/>
        </w:rPr>
        <w:t> </w:t>
      </w:r>
      <w:r>
        <w:rPr>
          <w:w w:val="105"/>
        </w:rPr>
        <w:t>largely</w:t>
      </w:r>
      <w:r>
        <w:rPr>
          <w:spacing w:val="-9"/>
          <w:w w:val="105"/>
        </w:rPr>
        <w:t> </w:t>
      </w:r>
      <w:r>
        <w:rPr>
          <w:w w:val="105"/>
        </w:rPr>
        <w:t>driven</w:t>
      </w:r>
      <w:r>
        <w:rPr>
          <w:spacing w:val="-9"/>
          <w:w w:val="105"/>
        </w:rPr>
        <w:t> </w:t>
      </w:r>
      <w:r>
        <w:rPr>
          <w:w w:val="105"/>
        </w:rPr>
        <w:t>by retirement-eligible</w:t>
      </w:r>
      <w:r>
        <w:rPr>
          <w:spacing w:val="-1"/>
          <w:w w:val="105"/>
        </w:rPr>
        <w:t> </w:t>
      </w:r>
      <w:r>
        <w:rPr>
          <w:w w:val="105"/>
        </w:rPr>
        <w:t>employees.</w:t>
      </w:r>
    </w:p>
    <w:p>
      <w:pPr>
        <w:pStyle w:val="BodyText"/>
      </w:pPr>
    </w:p>
    <w:p>
      <w:pPr>
        <w:pStyle w:val="BodyText"/>
        <w:spacing w:before="38"/>
      </w:pPr>
    </w:p>
    <w:p>
      <w:pPr>
        <w:pStyle w:val="Heading2"/>
        <w:numPr>
          <w:ilvl w:val="0"/>
          <w:numId w:val="59"/>
        </w:numPr>
        <w:tabs>
          <w:tab w:pos="445" w:val="left" w:leader="none"/>
        </w:tabs>
        <w:spacing w:line="240" w:lineRule="auto" w:before="0" w:after="0"/>
        <w:ind w:left="445" w:right="0" w:hanging="289"/>
        <w:jc w:val="left"/>
      </w:pPr>
      <w:bookmarkStart w:name="_bookmark28" w:id="29"/>
      <w:bookmarkEnd w:id="29"/>
      <w:r>
        <w:rPr>
          <w:b w:val="0"/>
        </w:rPr>
      </w:r>
      <w:r>
        <w:rPr/>
        <w:t>Reportable</w:t>
      </w:r>
      <w:r>
        <w:rPr>
          <w:spacing w:val="23"/>
        </w:rPr>
        <w:t> </w:t>
      </w:r>
      <w:r>
        <w:rPr>
          <w:spacing w:val="-2"/>
        </w:rPr>
        <w:t>Segments</w:t>
      </w:r>
    </w:p>
    <w:p>
      <w:pPr>
        <w:pStyle w:val="BodyText"/>
        <w:spacing w:before="40"/>
        <w:rPr>
          <w:b/>
        </w:rPr>
      </w:pPr>
    </w:p>
    <w:p>
      <w:pPr>
        <w:pStyle w:val="BodyText"/>
        <w:ind w:left="156"/>
      </w:pPr>
      <w:r>
        <w:rPr>
          <w:spacing w:val="-2"/>
          <w:w w:val="105"/>
        </w:rPr>
        <w:t>Reportable</w:t>
      </w:r>
      <w:r>
        <w:rPr>
          <w:w w:val="105"/>
        </w:rPr>
        <w:t> </w:t>
      </w:r>
      <w:r>
        <w:rPr>
          <w:spacing w:val="-2"/>
          <w:w w:val="105"/>
        </w:rPr>
        <w:t>segments</w:t>
      </w:r>
      <w:r>
        <w:rPr>
          <w:w w:val="105"/>
        </w:rPr>
        <w:t> </w:t>
      </w:r>
      <w:r>
        <w:rPr>
          <w:spacing w:val="-2"/>
          <w:w w:val="105"/>
        </w:rPr>
        <w:t>are</w:t>
      </w:r>
      <w:r>
        <w:rPr>
          <w:spacing w:val="3"/>
          <w:w w:val="105"/>
        </w:rPr>
        <w:t> </w:t>
      </w:r>
      <w:r>
        <w:rPr>
          <w:spacing w:val="-2"/>
          <w:w w:val="105"/>
        </w:rPr>
        <w:t>as</w:t>
      </w:r>
      <w:r>
        <w:rPr>
          <w:w w:val="105"/>
        </w:rPr>
        <w:t> </w:t>
      </w:r>
      <w:r>
        <w:rPr>
          <w:spacing w:val="-2"/>
          <w:w w:val="105"/>
        </w:rPr>
        <w:t>follows:</w:t>
      </w:r>
    </w:p>
    <w:p>
      <w:pPr>
        <w:pStyle w:val="BodyText"/>
        <w:spacing w:before="32"/>
      </w:pPr>
    </w:p>
    <w:p>
      <w:pPr>
        <w:pStyle w:val="ListParagraph"/>
        <w:numPr>
          <w:ilvl w:val="1"/>
          <w:numId w:val="59"/>
        </w:numPr>
        <w:tabs>
          <w:tab w:pos="462" w:val="left" w:leader="none"/>
        </w:tabs>
        <w:spacing w:line="230" w:lineRule="exact" w:before="0" w:after="0"/>
        <w:ind w:left="462" w:right="0" w:hanging="306"/>
        <w:jc w:val="left"/>
        <w:rPr>
          <w:sz w:val="16"/>
        </w:rPr>
      </w:pPr>
      <w:r>
        <w:rPr>
          <w:sz w:val="16"/>
        </w:rPr>
        <w:t>Display</w:t>
      </w:r>
      <w:r>
        <w:rPr>
          <w:spacing w:val="13"/>
          <w:sz w:val="16"/>
        </w:rPr>
        <w:t> </w:t>
      </w:r>
      <w:r>
        <w:rPr>
          <w:sz w:val="16"/>
        </w:rPr>
        <w:t>Technologies</w:t>
      </w:r>
      <w:r>
        <w:rPr>
          <w:spacing w:val="13"/>
          <w:sz w:val="16"/>
        </w:rPr>
        <w:t> </w:t>
      </w:r>
      <w:r>
        <w:rPr>
          <w:sz w:val="16"/>
        </w:rPr>
        <w:t>–</w:t>
      </w:r>
      <w:r>
        <w:rPr>
          <w:spacing w:val="14"/>
          <w:sz w:val="16"/>
        </w:rPr>
        <w:t> </w:t>
      </w:r>
      <w:r>
        <w:rPr>
          <w:sz w:val="16"/>
        </w:rPr>
        <w:t>manufactures</w:t>
      </w:r>
      <w:r>
        <w:rPr>
          <w:spacing w:val="13"/>
          <w:sz w:val="16"/>
        </w:rPr>
        <w:t> </w:t>
      </w:r>
      <w:r>
        <w:rPr>
          <w:sz w:val="16"/>
        </w:rPr>
        <w:t>glass</w:t>
      </w:r>
      <w:r>
        <w:rPr>
          <w:spacing w:val="13"/>
          <w:sz w:val="16"/>
        </w:rPr>
        <w:t> </w:t>
      </w:r>
      <w:r>
        <w:rPr>
          <w:sz w:val="16"/>
        </w:rPr>
        <w:t>substrates</w:t>
      </w:r>
      <w:r>
        <w:rPr>
          <w:spacing w:val="14"/>
          <w:sz w:val="16"/>
        </w:rPr>
        <w:t> </w:t>
      </w:r>
      <w:r>
        <w:rPr>
          <w:sz w:val="16"/>
        </w:rPr>
        <w:t>for</w:t>
      </w:r>
      <w:r>
        <w:rPr>
          <w:spacing w:val="13"/>
          <w:sz w:val="16"/>
        </w:rPr>
        <w:t> </w:t>
      </w:r>
      <w:r>
        <w:rPr>
          <w:sz w:val="16"/>
        </w:rPr>
        <w:t>flat</w:t>
      </w:r>
      <w:r>
        <w:rPr>
          <w:spacing w:val="13"/>
          <w:sz w:val="16"/>
        </w:rPr>
        <w:t> </w:t>
      </w:r>
      <w:r>
        <w:rPr>
          <w:sz w:val="16"/>
        </w:rPr>
        <w:t>panel</w:t>
      </w:r>
      <w:r>
        <w:rPr>
          <w:spacing w:val="14"/>
          <w:sz w:val="16"/>
        </w:rPr>
        <w:t> </w:t>
      </w:r>
      <w:r>
        <w:rPr>
          <w:sz w:val="16"/>
        </w:rPr>
        <w:t>liquid</w:t>
      </w:r>
      <w:r>
        <w:rPr>
          <w:spacing w:val="13"/>
          <w:sz w:val="16"/>
        </w:rPr>
        <w:t> </w:t>
      </w:r>
      <w:r>
        <w:rPr>
          <w:sz w:val="16"/>
        </w:rPr>
        <w:t>crystal</w:t>
      </w:r>
      <w:r>
        <w:rPr>
          <w:spacing w:val="13"/>
          <w:sz w:val="16"/>
        </w:rPr>
        <w:t> </w:t>
      </w:r>
      <w:r>
        <w:rPr>
          <w:sz w:val="16"/>
        </w:rPr>
        <w:t>displays</w:t>
      </w:r>
      <w:r>
        <w:rPr>
          <w:spacing w:val="14"/>
          <w:sz w:val="16"/>
        </w:rPr>
        <w:t> </w:t>
      </w:r>
      <w:r>
        <w:rPr>
          <w:sz w:val="16"/>
        </w:rPr>
        <w:t>and</w:t>
      </w:r>
      <w:r>
        <w:rPr>
          <w:spacing w:val="13"/>
          <w:sz w:val="16"/>
        </w:rPr>
        <w:t> </w:t>
      </w:r>
      <w:r>
        <w:rPr>
          <w:sz w:val="16"/>
        </w:rPr>
        <w:t>other</w:t>
      </w:r>
      <w:r>
        <w:rPr>
          <w:spacing w:val="14"/>
          <w:sz w:val="16"/>
        </w:rPr>
        <w:t> </w:t>
      </w:r>
      <w:r>
        <w:rPr>
          <w:sz w:val="16"/>
        </w:rPr>
        <w:t>high-performance</w:t>
      </w:r>
      <w:r>
        <w:rPr>
          <w:spacing w:val="13"/>
          <w:sz w:val="16"/>
        </w:rPr>
        <w:t> </w:t>
      </w:r>
      <w:r>
        <w:rPr>
          <w:sz w:val="16"/>
        </w:rPr>
        <w:t>display</w:t>
      </w:r>
      <w:r>
        <w:rPr>
          <w:spacing w:val="13"/>
          <w:sz w:val="16"/>
        </w:rPr>
        <w:t> </w:t>
      </w:r>
      <w:r>
        <w:rPr>
          <w:spacing w:val="-2"/>
          <w:sz w:val="16"/>
        </w:rPr>
        <w:t>panels.</w:t>
      </w:r>
    </w:p>
    <w:p>
      <w:pPr>
        <w:pStyle w:val="ListParagraph"/>
        <w:numPr>
          <w:ilvl w:val="1"/>
          <w:numId w:val="59"/>
        </w:numPr>
        <w:tabs>
          <w:tab w:pos="462" w:val="left" w:leader="none"/>
        </w:tabs>
        <w:spacing w:line="229" w:lineRule="exact" w:before="0" w:after="0"/>
        <w:ind w:left="462" w:right="0" w:hanging="306"/>
        <w:jc w:val="left"/>
        <w:rPr>
          <w:sz w:val="16"/>
        </w:rPr>
      </w:pPr>
      <w:r>
        <w:rPr>
          <w:sz w:val="16"/>
        </w:rPr>
        <w:t>Optical</w:t>
      </w:r>
      <w:r>
        <w:rPr>
          <w:spacing w:val="15"/>
          <w:sz w:val="16"/>
        </w:rPr>
        <w:t> </w:t>
      </w:r>
      <w:r>
        <w:rPr>
          <w:sz w:val="16"/>
        </w:rPr>
        <w:t>Communications</w:t>
      </w:r>
      <w:r>
        <w:rPr>
          <w:spacing w:val="16"/>
          <w:sz w:val="16"/>
        </w:rPr>
        <w:t> </w:t>
      </w:r>
      <w:r>
        <w:rPr>
          <w:sz w:val="16"/>
        </w:rPr>
        <w:t>–</w:t>
      </w:r>
      <w:r>
        <w:rPr>
          <w:spacing w:val="15"/>
          <w:sz w:val="16"/>
        </w:rPr>
        <w:t> </w:t>
      </w:r>
      <w:r>
        <w:rPr>
          <w:sz w:val="16"/>
        </w:rPr>
        <w:t>manufactures</w:t>
      </w:r>
      <w:r>
        <w:rPr>
          <w:spacing w:val="16"/>
          <w:sz w:val="16"/>
        </w:rPr>
        <w:t> </w:t>
      </w:r>
      <w:r>
        <w:rPr>
          <w:sz w:val="16"/>
        </w:rPr>
        <w:t>carrier</w:t>
      </w:r>
      <w:r>
        <w:rPr>
          <w:spacing w:val="15"/>
          <w:sz w:val="16"/>
        </w:rPr>
        <w:t> </w:t>
      </w:r>
      <w:r>
        <w:rPr>
          <w:sz w:val="16"/>
        </w:rPr>
        <w:t>network</w:t>
      </w:r>
      <w:r>
        <w:rPr>
          <w:spacing w:val="16"/>
          <w:sz w:val="16"/>
        </w:rPr>
        <w:t> </w:t>
      </w:r>
      <w:r>
        <w:rPr>
          <w:sz w:val="16"/>
        </w:rPr>
        <w:t>and</w:t>
      </w:r>
      <w:r>
        <w:rPr>
          <w:spacing w:val="15"/>
          <w:sz w:val="16"/>
        </w:rPr>
        <w:t> </w:t>
      </w:r>
      <w:r>
        <w:rPr>
          <w:sz w:val="16"/>
        </w:rPr>
        <w:t>enterprise</w:t>
      </w:r>
      <w:r>
        <w:rPr>
          <w:spacing w:val="16"/>
          <w:sz w:val="16"/>
        </w:rPr>
        <w:t> </w:t>
      </w:r>
      <w:r>
        <w:rPr>
          <w:sz w:val="16"/>
        </w:rPr>
        <w:t>network</w:t>
      </w:r>
      <w:r>
        <w:rPr>
          <w:spacing w:val="16"/>
          <w:sz w:val="16"/>
        </w:rPr>
        <w:t> </w:t>
      </w:r>
      <w:r>
        <w:rPr>
          <w:sz w:val="16"/>
        </w:rPr>
        <w:t>components</w:t>
      </w:r>
      <w:r>
        <w:rPr>
          <w:spacing w:val="15"/>
          <w:sz w:val="16"/>
        </w:rPr>
        <w:t> </w:t>
      </w:r>
      <w:r>
        <w:rPr>
          <w:sz w:val="16"/>
        </w:rPr>
        <w:t>for</w:t>
      </w:r>
      <w:r>
        <w:rPr>
          <w:spacing w:val="16"/>
          <w:sz w:val="16"/>
        </w:rPr>
        <w:t> </w:t>
      </w:r>
      <w:r>
        <w:rPr>
          <w:sz w:val="16"/>
        </w:rPr>
        <w:t>the</w:t>
      </w:r>
      <w:r>
        <w:rPr>
          <w:spacing w:val="15"/>
          <w:sz w:val="16"/>
        </w:rPr>
        <w:t> </w:t>
      </w:r>
      <w:r>
        <w:rPr>
          <w:sz w:val="16"/>
        </w:rPr>
        <w:t>telecommunications</w:t>
      </w:r>
      <w:r>
        <w:rPr>
          <w:spacing w:val="16"/>
          <w:sz w:val="16"/>
        </w:rPr>
        <w:t> </w:t>
      </w:r>
      <w:r>
        <w:rPr>
          <w:spacing w:val="-2"/>
          <w:sz w:val="16"/>
        </w:rPr>
        <w:t>industry.</w:t>
      </w:r>
    </w:p>
    <w:p>
      <w:pPr>
        <w:pStyle w:val="ListParagraph"/>
        <w:numPr>
          <w:ilvl w:val="1"/>
          <w:numId w:val="59"/>
        </w:numPr>
        <w:tabs>
          <w:tab w:pos="462" w:val="left" w:leader="none"/>
        </w:tabs>
        <w:spacing w:line="220" w:lineRule="auto" w:before="12" w:after="0"/>
        <w:ind w:left="462" w:right="174" w:hanging="306"/>
        <w:jc w:val="left"/>
        <w:rPr>
          <w:sz w:val="16"/>
        </w:rPr>
      </w:pPr>
      <w:r>
        <w:rPr>
          <w:w w:val="105"/>
          <w:sz w:val="16"/>
        </w:rPr>
        <w:t>Specialty</w:t>
      </w:r>
      <w:r>
        <w:rPr>
          <w:spacing w:val="-9"/>
          <w:w w:val="105"/>
          <w:sz w:val="16"/>
        </w:rPr>
        <w:t> </w:t>
      </w:r>
      <w:r>
        <w:rPr>
          <w:w w:val="105"/>
          <w:sz w:val="16"/>
        </w:rPr>
        <w:t>Materials</w:t>
      </w:r>
      <w:r>
        <w:rPr>
          <w:spacing w:val="-9"/>
          <w:w w:val="105"/>
          <w:sz w:val="16"/>
        </w:rPr>
        <w:t> </w:t>
      </w:r>
      <w:r>
        <w:rPr>
          <w:w w:val="105"/>
          <w:sz w:val="16"/>
        </w:rPr>
        <w:t>–</w:t>
      </w:r>
      <w:r>
        <w:rPr>
          <w:spacing w:val="-7"/>
          <w:w w:val="105"/>
          <w:sz w:val="16"/>
        </w:rPr>
        <w:t> </w:t>
      </w:r>
      <w:r>
        <w:rPr>
          <w:w w:val="105"/>
          <w:sz w:val="16"/>
        </w:rPr>
        <w:t>manufactures</w:t>
      </w:r>
      <w:r>
        <w:rPr>
          <w:spacing w:val="-9"/>
          <w:w w:val="105"/>
          <w:sz w:val="16"/>
        </w:rPr>
        <w:t> </w:t>
      </w:r>
      <w:r>
        <w:rPr>
          <w:w w:val="105"/>
          <w:sz w:val="16"/>
        </w:rPr>
        <w:t>products</w:t>
      </w:r>
      <w:r>
        <w:rPr>
          <w:spacing w:val="-9"/>
          <w:w w:val="105"/>
          <w:sz w:val="16"/>
        </w:rPr>
        <w:t> </w:t>
      </w:r>
      <w:r>
        <w:rPr>
          <w:w w:val="105"/>
          <w:sz w:val="16"/>
        </w:rPr>
        <w:t>that</w:t>
      </w:r>
      <w:r>
        <w:rPr>
          <w:spacing w:val="-9"/>
          <w:w w:val="105"/>
          <w:sz w:val="16"/>
        </w:rPr>
        <w:t> </w:t>
      </w:r>
      <w:r>
        <w:rPr>
          <w:w w:val="105"/>
          <w:sz w:val="16"/>
        </w:rPr>
        <w:t>provide</w:t>
      </w:r>
      <w:r>
        <w:rPr>
          <w:spacing w:val="-9"/>
          <w:w w:val="105"/>
          <w:sz w:val="16"/>
        </w:rPr>
        <w:t> </w:t>
      </w:r>
      <w:r>
        <w:rPr>
          <w:w w:val="105"/>
          <w:sz w:val="16"/>
        </w:rPr>
        <w:t>more</w:t>
      </w:r>
      <w:r>
        <w:rPr>
          <w:spacing w:val="-9"/>
          <w:w w:val="105"/>
          <w:sz w:val="16"/>
        </w:rPr>
        <w:t> </w:t>
      </w:r>
      <w:r>
        <w:rPr>
          <w:w w:val="105"/>
          <w:sz w:val="16"/>
        </w:rPr>
        <w:t>than</w:t>
      </w:r>
      <w:r>
        <w:rPr>
          <w:spacing w:val="-9"/>
          <w:w w:val="105"/>
          <w:sz w:val="16"/>
        </w:rPr>
        <w:t> </w:t>
      </w:r>
      <w:r>
        <w:rPr>
          <w:w w:val="105"/>
          <w:sz w:val="16"/>
        </w:rPr>
        <w:t>150</w:t>
      </w:r>
      <w:r>
        <w:rPr>
          <w:spacing w:val="-9"/>
          <w:w w:val="105"/>
          <w:sz w:val="16"/>
        </w:rPr>
        <w:t> </w:t>
      </w:r>
      <w:r>
        <w:rPr>
          <w:w w:val="105"/>
          <w:sz w:val="16"/>
        </w:rPr>
        <w:t>material</w:t>
      </w:r>
      <w:r>
        <w:rPr>
          <w:spacing w:val="-9"/>
          <w:w w:val="105"/>
          <w:sz w:val="16"/>
        </w:rPr>
        <w:t> </w:t>
      </w:r>
      <w:r>
        <w:rPr>
          <w:w w:val="105"/>
          <w:sz w:val="16"/>
        </w:rPr>
        <w:t>formulations</w:t>
      </w:r>
      <w:r>
        <w:rPr>
          <w:spacing w:val="-9"/>
          <w:w w:val="105"/>
          <w:sz w:val="16"/>
        </w:rPr>
        <w:t> </w:t>
      </w:r>
      <w:r>
        <w:rPr>
          <w:w w:val="105"/>
          <w:sz w:val="16"/>
        </w:rPr>
        <w:t>for</w:t>
      </w:r>
      <w:r>
        <w:rPr>
          <w:spacing w:val="-9"/>
          <w:w w:val="105"/>
          <w:sz w:val="16"/>
        </w:rPr>
        <w:t> </w:t>
      </w:r>
      <w:r>
        <w:rPr>
          <w:w w:val="105"/>
          <w:sz w:val="16"/>
        </w:rPr>
        <w:t>glass,</w:t>
      </w:r>
      <w:r>
        <w:rPr>
          <w:spacing w:val="-9"/>
          <w:w w:val="105"/>
          <w:sz w:val="16"/>
        </w:rPr>
        <w:t> </w:t>
      </w:r>
      <w:r>
        <w:rPr>
          <w:w w:val="105"/>
          <w:sz w:val="16"/>
        </w:rPr>
        <w:t>glass</w:t>
      </w:r>
      <w:r>
        <w:rPr>
          <w:spacing w:val="-9"/>
          <w:w w:val="105"/>
          <w:sz w:val="16"/>
        </w:rPr>
        <w:t> </w:t>
      </w:r>
      <w:r>
        <w:rPr>
          <w:w w:val="105"/>
          <w:sz w:val="16"/>
        </w:rPr>
        <w:t>ceramics</w:t>
      </w:r>
      <w:r>
        <w:rPr>
          <w:spacing w:val="-9"/>
          <w:w w:val="105"/>
          <w:sz w:val="16"/>
        </w:rPr>
        <w:t> </w:t>
      </w:r>
      <w:r>
        <w:rPr>
          <w:w w:val="105"/>
          <w:sz w:val="16"/>
        </w:rPr>
        <w:t>and</w:t>
      </w:r>
      <w:r>
        <w:rPr>
          <w:spacing w:val="-9"/>
          <w:w w:val="105"/>
          <w:sz w:val="16"/>
        </w:rPr>
        <w:t> </w:t>
      </w:r>
      <w:r>
        <w:rPr>
          <w:w w:val="105"/>
          <w:sz w:val="16"/>
        </w:rPr>
        <w:t>fluoride</w:t>
      </w:r>
      <w:r>
        <w:rPr>
          <w:spacing w:val="-9"/>
          <w:w w:val="105"/>
          <w:sz w:val="16"/>
        </w:rPr>
        <w:t> </w:t>
      </w:r>
      <w:r>
        <w:rPr>
          <w:w w:val="105"/>
          <w:sz w:val="16"/>
        </w:rPr>
        <w:t>crystals</w:t>
      </w:r>
      <w:r>
        <w:rPr>
          <w:spacing w:val="-9"/>
          <w:w w:val="105"/>
          <w:sz w:val="16"/>
        </w:rPr>
        <w:t> </w:t>
      </w:r>
      <w:r>
        <w:rPr>
          <w:w w:val="105"/>
          <w:sz w:val="16"/>
        </w:rPr>
        <w:t>to</w:t>
      </w:r>
      <w:r>
        <w:rPr>
          <w:spacing w:val="-9"/>
          <w:w w:val="105"/>
          <w:sz w:val="16"/>
        </w:rPr>
        <w:t> </w:t>
      </w:r>
      <w:r>
        <w:rPr>
          <w:w w:val="105"/>
          <w:sz w:val="16"/>
        </w:rPr>
        <w:t>meet</w:t>
      </w:r>
      <w:r>
        <w:rPr>
          <w:spacing w:val="-9"/>
          <w:w w:val="105"/>
          <w:sz w:val="16"/>
        </w:rPr>
        <w:t> </w:t>
      </w:r>
      <w:r>
        <w:rPr>
          <w:w w:val="105"/>
          <w:sz w:val="16"/>
        </w:rPr>
        <w:t>demand</w:t>
      </w:r>
      <w:r>
        <w:rPr>
          <w:spacing w:val="-9"/>
          <w:w w:val="105"/>
          <w:sz w:val="16"/>
        </w:rPr>
        <w:t> </w:t>
      </w:r>
      <w:r>
        <w:rPr>
          <w:w w:val="105"/>
          <w:sz w:val="16"/>
        </w:rPr>
        <w:t>for</w:t>
      </w:r>
      <w:r>
        <w:rPr>
          <w:spacing w:val="-9"/>
          <w:w w:val="105"/>
          <w:sz w:val="16"/>
        </w:rPr>
        <w:t> </w:t>
      </w:r>
      <w:r>
        <w:rPr>
          <w:w w:val="105"/>
          <w:sz w:val="16"/>
        </w:rPr>
        <w:t>unique customer</w:t>
      </w:r>
      <w:r>
        <w:rPr>
          <w:spacing w:val="-1"/>
          <w:w w:val="105"/>
          <w:sz w:val="16"/>
        </w:rPr>
        <w:t> </w:t>
      </w:r>
      <w:r>
        <w:rPr>
          <w:w w:val="105"/>
          <w:sz w:val="16"/>
        </w:rPr>
        <w:t>needs.</w:t>
      </w:r>
    </w:p>
    <w:p>
      <w:pPr>
        <w:pStyle w:val="ListParagraph"/>
        <w:numPr>
          <w:ilvl w:val="1"/>
          <w:numId w:val="59"/>
        </w:numPr>
        <w:tabs>
          <w:tab w:pos="462" w:val="left" w:leader="none"/>
        </w:tabs>
        <w:spacing w:line="230" w:lineRule="exact" w:before="15" w:after="0"/>
        <w:ind w:left="462" w:right="0" w:hanging="306"/>
        <w:jc w:val="left"/>
        <w:rPr>
          <w:sz w:val="16"/>
        </w:rPr>
      </w:pPr>
      <w:r>
        <w:rPr>
          <w:sz w:val="16"/>
        </w:rPr>
        <w:t>Environmental</w:t>
      </w:r>
      <w:r>
        <w:rPr>
          <w:spacing w:val="13"/>
          <w:sz w:val="16"/>
        </w:rPr>
        <w:t> </w:t>
      </w:r>
      <w:r>
        <w:rPr>
          <w:sz w:val="16"/>
        </w:rPr>
        <w:t>Technologies</w:t>
      </w:r>
      <w:r>
        <w:rPr>
          <w:spacing w:val="14"/>
          <w:sz w:val="16"/>
        </w:rPr>
        <w:t> </w:t>
      </w:r>
      <w:r>
        <w:rPr>
          <w:sz w:val="16"/>
        </w:rPr>
        <w:t>–</w:t>
      </w:r>
      <w:r>
        <w:rPr>
          <w:spacing w:val="17"/>
          <w:sz w:val="16"/>
        </w:rPr>
        <w:t> </w:t>
      </w:r>
      <w:r>
        <w:rPr>
          <w:sz w:val="16"/>
        </w:rPr>
        <w:t>manufactures</w:t>
      </w:r>
      <w:r>
        <w:rPr>
          <w:spacing w:val="13"/>
          <w:sz w:val="16"/>
        </w:rPr>
        <w:t> </w:t>
      </w:r>
      <w:r>
        <w:rPr>
          <w:sz w:val="16"/>
        </w:rPr>
        <w:t>ceramic</w:t>
      </w:r>
      <w:r>
        <w:rPr>
          <w:spacing w:val="14"/>
          <w:sz w:val="16"/>
        </w:rPr>
        <w:t> </w:t>
      </w:r>
      <w:r>
        <w:rPr>
          <w:sz w:val="16"/>
        </w:rPr>
        <w:t>substrates</w:t>
      </w:r>
      <w:r>
        <w:rPr>
          <w:spacing w:val="14"/>
          <w:sz w:val="16"/>
        </w:rPr>
        <w:t> </w:t>
      </w:r>
      <w:r>
        <w:rPr>
          <w:sz w:val="16"/>
        </w:rPr>
        <w:t>and</w:t>
      </w:r>
      <w:r>
        <w:rPr>
          <w:spacing w:val="14"/>
          <w:sz w:val="16"/>
        </w:rPr>
        <w:t> </w:t>
      </w:r>
      <w:r>
        <w:rPr>
          <w:sz w:val="16"/>
        </w:rPr>
        <w:t>filters</w:t>
      </w:r>
      <w:r>
        <w:rPr>
          <w:spacing w:val="14"/>
          <w:sz w:val="16"/>
        </w:rPr>
        <w:t> </w:t>
      </w:r>
      <w:r>
        <w:rPr>
          <w:sz w:val="16"/>
        </w:rPr>
        <w:t>for</w:t>
      </w:r>
      <w:r>
        <w:rPr>
          <w:spacing w:val="13"/>
          <w:sz w:val="16"/>
        </w:rPr>
        <w:t> </w:t>
      </w:r>
      <w:r>
        <w:rPr>
          <w:sz w:val="16"/>
        </w:rPr>
        <w:t>automotive</w:t>
      </w:r>
      <w:r>
        <w:rPr>
          <w:spacing w:val="14"/>
          <w:sz w:val="16"/>
        </w:rPr>
        <w:t> </w:t>
      </w:r>
      <w:r>
        <w:rPr>
          <w:sz w:val="16"/>
        </w:rPr>
        <w:t>and</w:t>
      </w:r>
      <w:r>
        <w:rPr>
          <w:spacing w:val="14"/>
          <w:sz w:val="16"/>
        </w:rPr>
        <w:t> </w:t>
      </w:r>
      <w:r>
        <w:rPr>
          <w:sz w:val="16"/>
        </w:rPr>
        <w:t>diesel</w:t>
      </w:r>
      <w:r>
        <w:rPr>
          <w:spacing w:val="14"/>
          <w:sz w:val="16"/>
        </w:rPr>
        <w:t> </w:t>
      </w:r>
      <w:r>
        <w:rPr>
          <w:spacing w:val="-2"/>
          <w:sz w:val="16"/>
        </w:rPr>
        <w:t>applications.</w:t>
      </w:r>
    </w:p>
    <w:p>
      <w:pPr>
        <w:pStyle w:val="ListParagraph"/>
        <w:numPr>
          <w:ilvl w:val="1"/>
          <w:numId w:val="59"/>
        </w:numPr>
        <w:tabs>
          <w:tab w:pos="462" w:val="left" w:leader="none"/>
        </w:tabs>
        <w:spacing w:line="230" w:lineRule="exact" w:before="0" w:after="0"/>
        <w:ind w:left="462" w:right="0" w:hanging="306"/>
        <w:jc w:val="left"/>
        <w:rPr>
          <w:sz w:val="16"/>
        </w:rPr>
      </w:pPr>
      <w:r>
        <w:rPr>
          <w:spacing w:val="-2"/>
          <w:w w:val="105"/>
          <w:sz w:val="16"/>
        </w:rPr>
        <w:t>Life</w:t>
      </w:r>
      <w:r>
        <w:rPr>
          <w:spacing w:val="1"/>
          <w:w w:val="105"/>
          <w:sz w:val="16"/>
        </w:rPr>
        <w:t> </w:t>
      </w:r>
      <w:r>
        <w:rPr>
          <w:spacing w:val="-2"/>
          <w:w w:val="105"/>
          <w:sz w:val="16"/>
        </w:rPr>
        <w:t>Sciences</w:t>
      </w:r>
      <w:r>
        <w:rPr>
          <w:spacing w:val="1"/>
          <w:w w:val="105"/>
          <w:sz w:val="16"/>
        </w:rPr>
        <w:t> </w:t>
      </w:r>
      <w:r>
        <w:rPr>
          <w:spacing w:val="-2"/>
          <w:w w:val="105"/>
          <w:sz w:val="16"/>
        </w:rPr>
        <w:t>–</w:t>
      </w:r>
      <w:r>
        <w:rPr>
          <w:spacing w:val="2"/>
          <w:w w:val="105"/>
          <w:sz w:val="16"/>
        </w:rPr>
        <w:t> </w:t>
      </w:r>
      <w:r>
        <w:rPr>
          <w:spacing w:val="-2"/>
          <w:w w:val="105"/>
          <w:sz w:val="16"/>
        </w:rPr>
        <w:t>manufactures</w:t>
      </w:r>
      <w:r>
        <w:rPr>
          <w:spacing w:val="1"/>
          <w:w w:val="105"/>
          <w:sz w:val="16"/>
        </w:rPr>
        <w:t> </w:t>
      </w:r>
      <w:r>
        <w:rPr>
          <w:spacing w:val="-2"/>
          <w:w w:val="105"/>
          <w:sz w:val="16"/>
        </w:rPr>
        <w:t>glass</w:t>
      </w:r>
      <w:r>
        <w:rPr>
          <w:spacing w:val="2"/>
          <w:w w:val="105"/>
          <w:sz w:val="16"/>
        </w:rPr>
        <w:t> </w:t>
      </w:r>
      <w:r>
        <w:rPr>
          <w:spacing w:val="-2"/>
          <w:w w:val="105"/>
          <w:sz w:val="16"/>
        </w:rPr>
        <w:t>and</w:t>
      </w:r>
      <w:r>
        <w:rPr>
          <w:spacing w:val="1"/>
          <w:w w:val="105"/>
          <w:sz w:val="16"/>
        </w:rPr>
        <w:t> </w:t>
      </w:r>
      <w:r>
        <w:rPr>
          <w:spacing w:val="-2"/>
          <w:w w:val="105"/>
          <w:sz w:val="16"/>
        </w:rPr>
        <w:t>plastic</w:t>
      </w:r>
      <w:r>
        <w:rPr>
          <w:spacing w:val="2"/>
          <w:w w:val="105"/>
          <w:sz w:val="16"/>
        </w:rPr>
        <w:t> </w:t>
      </w:r>
      <w:r>
        <w:rPr>
          <w:spacing w:val="-2"/>
          <w:w w:val="105"/>
          <w:sz w:val="16"/>
        </w:rPr>
        <w:t>labware,</w:t>
      </w:r>
      <w:r>
        <w:rPr>
          <w:spacing w:val="1"/>
          <w:w w:val="105"/>
          <w:sz w:val="16"/>
        </w:rPr>
        <w:t> </w:t>
      </w:r>
      <w:r>
        <w:rPr>
          <w:spacing w:val="-2"/>
          <w:w w:val="105"/>
          <w:sz w:val="16"/>
        </w:rPr>
        <w:t>equipment,</w:t>
      </w:r>
      <w:r>
        <w:rPr>
          <w:spacing w:val="2"/>
          <w:w w:val="105"/>
          <w:sz w:val="16"/>
        </w:rPr>
        <w:t> </w:t>
      </w:r>
      <w:r>
        <w:rPr>
          <w:spacing w:val="-2"/>
          <w:w w:val="105"/>
          <w:sz w:val="16"/>
        </w:rPr>
        <w:t>media,</w:t>
      </w:r>
      <w:r>
        <w:rPr>
          <w:spacing w:val="1"/>
          <w:w w:val="105"/>
          <w:sz w:val="16"/>
        </w:rPr>
        <w:t> </w:t>
      </w:r>
      <w:r>
        <w:rPr>
          <w:spacing w:val="-2"/>
          <w:w w:val="105"/>
          <w:sz w:val="16"/>
        </w:rPr>
        <w:t>serum</w:t>
      </w:r>
      <w:r>
        <w:rPr>
          <w:spacing w:val="2"/>
          <w:w w:val="105"/>
          <w:sz w:val="16"/>
        </w:rPr>
        <w:t> </w:t>
      </w:r>
      <w:r>
        <w:rPr>
          <w:spacing w:val="-2"/>
          <w:w w:val="105"/>
          <w:sz w:val="16"/>
        </w:rPr>
        <w:t>and</w:t>
      </w:r>
      <w:r>
        <w:rPr>
          <w:spacing w:val="1"/>
          <w:w w:val="105"/>
          <w:sz w:val="16"/>
        </w:rPr>
        <w:t> </w:t>
      </w:r>
      <w:r>
        <w:rPr>
          <w:spacing w:val="-2"/>
          <w:w w:val="105"/>
          <w:sz w:val="16"/>
        </w:rPr>
        <w:t>reagents</w:t>
      </w:r>
      <w:r>
        <w:rPr>
          <w:spacing w:val="2"/>
          <w:w w:val="105"/>
          <w:sz w:val="16"/>
        </w:rPr>
        <w:t> </w:t>
      </w:r>
      <w:r>
        <w:rPr>
          <w:spacing w:val="-2"/>
          <w:w w:val="105"/>
          <w:sz w:val="16"/>
        </w:rPr>
        <w:t>enabling</w:t>
      </w:r>
      <w:r>
        <w:rPr>
          <w:spacing w:val="1"/>
          <w:w w:val="105"/>
          <w:sz w:val="16"/>
        </w:rPr>
        <w:t> </w:t>
      </w:r>
      <w:r>
        <w:rPr>
          <w:spacing w:val="-2"/>
          <w:w w:val="105"/>
          <w:sz w:val="16"/>
        </w:rPr>
        <w:t>workflow</w:t>
      </w:r>
      <w:r>
        <w:rPr>
          <w:spacing w:val="2"/>
          <w:w w:val="105"/>
          <w:sz w:val="16"/>
        </w:rPr>
        <w:t> </w:t>
      </w:r>
      <w:r>
        <w:rPr>
          <w:spacing w:val="-2"/>
          <w:w w:val="105"/>
          <w:sz w:val="16"/>
        </w:rPr>
        <w:t>solutions</w:t>
      </w:r>
      <w:r>
        <w:rPr>
          <w:spacing w:val="1"/>
          <w:w w:val="105"/>
          <w:sz w:val="16"/>
        </w:rPr>
        <w:t> </w:t>
      </w:r>
      <w:r>
        <w:rPr>
          <w:spacing w:val="-2"/>
          <w:w w:val="105"/>
          <w:sz w:val="16"/>
        </w:rPr>
        <w:t>for</w:t>
      </w:r>
      <w:r>
        <w:rPr>
          <w:spacing w:val="2"/>
          <w:w w:val="105"/>
          <w:sz w:val="16"/>
        </w:rPr>
        <w:t> </w:t>
      </w:r>
      <w:r>
        <w:rPr>
          <w:spacing w:val="-2"/>
          <w:w w:val="105"/>
          <w:sz w:val="16"/>
        </w:rPr>
        <w:t>drug</w:t>
      </w:r>
      <w:r>
        <w:rPr>
          <w:spacing w:val="1"/>
          <w:w w:val="105"/>
          <w:sz w:val="16"/>
        </w:rPr>
        <w:t> </w:t>
      </w:r>
      <w:r>
        <w:rPr>
          <w:spacing w:val="-2"/>
          <w:w w:val="105"/>
          <w:sz w:val="16"/>
        </w:rPr>
        <w:t>discovery</w:t>
      </w:r>
      <w:r>
        <w:rPr>
          <w:spacing w:val="2"/>
          <w:w w:val="105"/>
          <w:sz w:val="16"/>
        </w:rPr>
        <w:t> </w:t>
      </w:r>
      <w:r>
        <w:rPr>
          <w:spacing w:val="-2"/>
          <w:w w:val="105"/>
          <w:sz w:val="16"/>
        </w:rPr>
        <w:t>and</w:t>
      </w:r>
      <w:r>
        <w:rPr>
          <w:spacing w:val="1"/>
          <w:w w:val="105"/>
          <w:sz w:val="16"/>
        </w:rPr>
        <w:t> </w:t>
      </w:r>
      <w:r>
        <w:rPr>
          <w:spacing w:val="-2"/>
          <w:w w:val="105"/>
          <w:sz w:val="16"/>
        </w:rPr>
        <w:t>bioproduction.</w:t>
      </w:r>
    </w:p>
    <w:p>
      <w:pPr>
        <w:pStyle w:val="BodyText"/>
        <w:spacing w:before="26"/>
      </w:pPr>
    </w:p>
    <w:p>
      <w:pPr>
        <w:pStyle w:val="BodyText"/>
        <w:spacing w:line="266" w:lineRule="auto"/>
        <w:ind w:left="156"/>
      </w:pPr>
      <w:r>
        <w:rPr>
          <w:w w:val="105"/>
        </w:rPr>
        <w:t>All</w:t>
      </w:r>
      <w:r>
        <w:rPr>
          <w:spacing w:val="-8"/>
          <w:w w:val="105"/>
        </w:rPr>
        <w:t> </w:t>
      </w:r>
      <w:r>
        <w:rPr>
          <w:w w:val="105"/>
        </w:rPr>
        <w:t>other</w:t>
      </w:r>
      <w:r>
        <w:rPr>
          <w:spacing w:val="-8"/>
          <w:w w:val="105"/>
        </w:rPr>
        <w:t> </w:t>
      </w:r>
      <w:r>
        <w:rPr>
          <w:w w:val="105"/>
        </w:rPr>
        <w:t>businesses</w:t>
      </w:r>
      <w:r>
        <w:rPr>
          <w:spacing w:val="-8"/>
          <w:w w:val="105"/>
        </w:rPr>
        <w:t> </w:t>
      </w:r>
      <w:r>
        <w:rPr>
          <w:w w:val="105"/>
        </w:rPr>
        <w:t>that</w:t>
      </w:r>
      <w:r>
        <w:rPr>
          <w:spacing w:val="-8"/>
          <w:w w:val="105"/>
        </w:rPr>
        <w:t> </w:t>
      </w:r>
      <w:r>
        <w:rPr>
          <w:w w:val="105"/>
        </w:rPr>
        <w:t>do</w:t>
      </w:r>
      <w:r>
        <w:rPr>
          <w:spacing w:val="-6"/>
          <w:w w:val="105"/>
        </w:rPr>
        <w:t> </w:t>
      </w:r>
      <w:r>
        <w:rPr>
          <w:w w:val="105"/>
        </w:rPr>
        <w:t>not</w:t>
      </w:r>
      <w:r>
        <w:rPr>
          <w:spacing w:val="-8"/>
          <w:w w:val="105"/>
        </w:rPr>
        <w:t> </w:t>
      </w:r>
      <w:r>
        <w:rPr>
          <w:w w:val="105"/>
        </w:rPr>
        <w:t>meet</w:t>
      </w:r>
      <w:r>
        <w:rPr>
          <w:spacing w:val="-8"/>
          <w:w w:val="105"/>
        </w:rPr>
        <w:t> </w:t>
      </w:r>
      <w:r>
        <w:rPr>
          <w:w w:val="105"/>
        </w:rPr>
        <w:t>the</w:t>
      </w:r>
      <w:r>
        <w:rPr>
          <w:spacing w:val="-8"/>
          <w:w w:val="105"/>
        </w:rPr>
        <w:t> </w:t>
      </w:r>
      <w:r>
        <w:rPr>
          <w:w w:val="105"/>
        </w:rPr>
        <w:t>quantitative</w:t>
      </w:r>
      <w:r>
        <w:rPr>
          <w:spacing w:val="-8"/>
          <w:w w:val="105"/>
        </w:rPr>
        <w:t> </w:t>
      </w:r>
      <w:r>
        <w:rPr>
          <w:w w:val="105"/>
        </w:rPr>
        <w:t>threshold</w:t>
      </w:r>
      <w:r>
        <w:rPr>
          <w:spacing w:val="-8"/>
          <w:w w:val="105"/>
        </w:rPr>
        <w:t> </w:t>
      </w:r>
      <w:r>
        <w:rPr>
          <w:w w:val="105"/>
        </w:rPr>
        <w:t>for</w:t>
      </w:r>
      <w:r>
        <w:rPr>
          <w:spacing w:val="-8"/>
          <w:w w:val="105"/>
        </w:rPr>
        <w:t> </w:t>
      </w:r>
      <w:r>
        <w:rPr>
          <w:w w:val="105"/>
        </w:rPr>
        <w:t>separate</w:t>
      </w:r>
      <w:r>
        <w:rPr>
          <w:spacing w:val="-8"/>
          <w:w w:val="105"/>
        </w:rPr>
        <w:t> </w:t>
      </w:r>
      <w:r>
        <w:rPr>
          <w:w w:val="105"/>
        </w:rPr>
        <w:t>reporting</w:t>
      </w:r>
      <w:r>
        <w:rPr>
          <w:spacing w:val="-8"/>
          <w:w w:val="105"/>
        </w:rPr>
        <w:t> </w:t>
      </w:r>
      <w:r>
        <w:rPr>
          <w:w w:val="105"/>
        </w:rPr>
        <w:t>have</w:t>
      </w:r>
      <w:r>
        <w:rPr>
          <w:spacing w:val="-8"/>
          <w:w w:val="105"/>
        </w:rPr>
        <w:t> </w:t>
      </w:r>
      <w:r>
        <w:rPr>
          <w:w w:val="105"/>
        </w:rPr>
        <w:t>been</w:t>
      </w:r>
      <w:r>
        <w:rPr>
          <w:spacing w:val="-8"/>
          <w:w w:val="105"/>
        </w:rPr>
        <w:t> </w:t>
      </w:r>
      <w:r>
        <w:rPr>
          <w:w w:val="105"/>
        </w:rPr>
        <w:t>grouped</w:t>
      </w:r>
      <w:r>
        <w:rPr>
          <w:spacing w:val="-8"/>
          <w:w w:val="105"/>
        </w:rPr>
        <w:t> </w:t>
      </w:r>
      <w:r>
        <w:rPr>
          <w:w w:val="105"/>
        </w:rPr>
        <w:t>as</w:t>
      </w:r>
      <w:r>
        <w:rPr>
          <w:spacing w:val="-6"/>
          <w:w w:val="105"/>
        </w:rPr>
        <w:t> </w:t>
      </w:r>
      <w:r>
        <w:rPr>
          <w:w w:val="105"/>
        </w:rPr>
        <w:t>“All</w:t>
      </w:r>
      <w:r>
        <w:rPr>
          <w:spacing w:val="-8"/>
          <w:w w:val="105"/>
        </w:rPr>
        <w:t> </w:t>
      </w:r>
      <w:r>
        <w:rPr>
          <w:w w:val="105"/>
        </w:rPr>
        <w:t>Other.”</w:t>
      </w:r>
      <w:r>
        <w:rPr>
          <w:spacing w:val="-8"/>
          <w:w w:val="105"/>
        </w:rPr>
        <w:t> </w:t>
      </w:r>
      <w:r>
        <w:rPr>
          <w:w w:val="105"/>
        </w:rPr>
        <w:t>This</w:t>
      </w:r>
      <w:r>
        <w:rPr>
          <w:spacing w:val="-8"/>
          <w:w w:val="105"/>
        </w:rPr>
        <w:t> </w:t>
      </w:r>
      <w:r>
        <w:rPr>
          <w:w w:val="105"/>
        </w:rPr>
        <w:t>group</w:t>
      </w:r>
      <w:r>
        <w:rPr>
          <w:spacing w:val="-8"/>
          <w:w w:val="105"/>
        </w:rPr>
        <w:t> </w:t>
      </w:r>
      <w:r>
        <w:rPr>
          <w:w w:val="105"/>
        </w:rPr>
        <w:t>is</w:t>
      </w:r>
      <w:r>
        <w:rPr>
          <w:spacing w:val="-8"/>
          <w:w w:val="105"/>
        </w:rPr>
        <w:t> </w:t>
      </w:r>
      <w:r>
        <w:rPr>
          <w:w w:val="105"/>
        </w:rPr>
        <w:t>primarily</w:t>
      </w:r>
      <w:r>
        <w:rPr>
          <w:spacing w:val="-8"/>
          <w:w w:val="105"/>
        </w:rPr>
        <w:t> </w:t>
      </w:r>
      <w:r>
        <w:rPr>
          <w:w w:val="105"/>
        </w:rPr>
        <w:t>comprised</w:t>
      </w:r>
      <w:r>
        <w:rPr>
          <w:spacing w:val="-8"/>
          <w:w w:val="105"/>
        </w:rPr>
        <w:t> </w:t>
      </w:r>
      <w:r>
        <w:rPr>
          <w:w w:val="105"/>
        </w:rPr>
        <w:t>of</w:t>
      </w:r>
      <w:r>
        <w:rPr>
          <w:spacing w:val="-8"/>
          <w:w w:val="105"/>
        </w:rPr>
        <w:t> </w:t>
      </w:r>
      <w:r>
        <w:rPr>
          <w:w w:val="105"/>
        </w:rPr>
        <w:t>the</w:t>
      </w:r>
      <w:r>
        <w:rPr>
          <w:spacing w:val="-8"/>
          <w:w w:val="105"/>
        </w:rPr>
        <w:t> </w:t>
      </w:r>
      <w:r>
        <w:rPr>
          <w:w w:val="105"/>
        </w:rPr>
        <w:t>results</w:t>
      </w:r>
      <w:r>
        <w:rPr>
          <w:spacing w:val="-8"/>
          <w:w w:val="105"/>
        </w:rPr>
        <w:t> </w:t>
      </w:r>
      <w:r>
        <w:rPr>
          <w:w w:val="105"/>
        </w:rPr>
        <w:t>of HSG,</w:t>
      </w:r>
      <w:r>
        <w:rPr>
          <w:spacing w:val="-1"/>
          <w:w w:val="105"/>
        </w:rPr>
        <w:t> </w:t>
      </w:r>
      <w:r>
        <w:rPr>
          <w:w w:val="105"/>
        </w:rPr>
        <w:t>pharmaceutical</w:t>
      </w:r>
      <w:r>
        <w:rPr>
          <w:spacing w:val="-1"/>
          <w:w w:val="105"/>
        </w:rPr>
        <w:t> </w:t>
      </w:r>
      <w:r>
        <w:rPr>
          <w:w w:val="105"/>
        </w:rPr>
        <w:t>technologies,</w:t>
      </w:r>
      <w:r>
        <w:rPr>
          <w:spacing w:val="-1"/>
          <w:w w:val="105"/>
        </w:rPr>
        <w:t> </w:t>
      </w:r>
      <w:r>
        <w:rPr>
          <w:w w:val="105"/>
        </w:rPr>
        <w:t>auto</w:t>
      </w:r>
      <w:r>
        <w:rPr>
          <w:spacing w:val="-1"/>
          <w:w w:val="105"/>
        </w:rPr>
        <w:t> </w:t>
      </w:r>
      <w:r>
        <w:rPr>
          <w:w w:val="105"/>
        </w:rPr>
        <w:t>glass,</w:t>
      </w:r>
      <w:r>
        <w:rPr>
          <w:spacing w:val="-1"/>
          <w:w w:val="105"/>
        </w:rPr>
        <w:t> </w:t>
      </w:r>
      <w:r>
        <w:rPr>
          <w:w w:val="105"/>
        </w:rPr>
        <w:t>new</w:t>
      </w:r>
      <w:r>
        <w:rPr>
          <w:spacing w:val="-1"/>
          <w:w w:val="105"/>
        </w:rPr>
        <w:t> </w:t>
      </w:r>
      <w:r>
        <w:rPr>
          <w:w w:val="105"/>
        </w:rPr>
        <w:t>product</w:t>
      </w:r>
      <w:r>
        <w:rPr>
          <w:spacing w:val="-1"/>
          <w:w w:val="105"/>
        </w:rPr>
        <w:t> </w:t>
      </w:r>
      <w:r>
        <w:rPr>
          <w:w w:val="105"/>
        </w:rPr>
        <w:t>lines</w:t>
      </w:r>
      <w:r>
        <w:rPr>
          <w:spacing w:val="-1"/>
          <w:w w:val="105"/>
        </w:rPr>
        <w:t> </w:t>
      </w:r>
      <w:r>
        <w:rPr>
          <w:w w:val="105"/>
        </w:rPr>
        <w:t>and</w:t>
      </w:r>
      <w:r>
        <w:rPr>
          <w:spacing w:val="-1"/>
          <w:w w:val="105"/>
        </w:rPr>
        <w:t> </w:t>
      </w:r>
      <w:r>
        <w:rPr>
          <w:w w:val="105"/>
        </w:rPr>
        <w:t>development</w:t>
      </w:r>
      <w:r>
        <w:rPr>
          <w:spacing w:val="-1"/>
          <w:w w:val="105"/>
        </w:rPr>
        <w:t> </w:t>
      </w:r>
      <w:r>
        <w:rPr>
          <w:w w:val="105"/>
        </w:rPr>
        <w:t>projects,</w:t>
      </w:r>
      <w:r>
        <w:rPr>
          <w:spacing w:val="-1"/>
          <w:w w:val="105"/>
        </w:rPr>
        <w:t> </w:t>
      </w:r>
      <w:r>
        <w:rPr>
          <w:w w:val="105"/>
        </w:rPr>
        <w:t>as</w:t>
      </w:r>
      <w:r>
        <w:rPr>
          <w:spacing w:val="-1"/>
          <w:w w:val="105"/>
        </w:rPr>
        <w:t> </w:t>
      </w:r>
      <w:r>
        <w:rPr>
          <w:w w:val="105"/>
        </w:rPr>
        <w:t>well</w:t>
      </w:r>
      <w:r>
        <w:rPr>
          <w:spacing w:val="-1"/>
          <w:w w:val="105"/>
        </w:rPr>
        <w:t> </w:t>
      </w:r>
      <w:r>
        <w:rPr>
          <w:w w:val="105"/>
        </w:rPr>
        <w:t>as</w:t>
      </w:r>
      <w:r>
        <w:rPr>
          <w:spacing w:val="-1"/>
          <w:w w:val="105"/>
        </w:rPr>
        <w:t> </w:t>
      </w:r>
      <w:r>
        <w:rPr>
          <w:w w:val="105"/>
        </w:rPr>
        <w:t>other</w:t>
      </w:r>
      <w:r>
        <w:rPr>
          <w:spacing w:val="-1"/>
          <w:w w:val="105"/>
        </w:rPr>
        <w:t> </w:t>
      </w:r>
      <w:r>
        <w:rPr>
          <w:w w:val="105"/>
        </w:rPr>
        <w:t>businesses</w:t>
      </w:r>
      <w:r>
        <w:rPr>
          <w:spacing w:val="-1"/>
          <w:w w:val="105"/>
        </w:rPr>
        <w:t> </w:t>
      </w:r>
      <w:r>
        <w:rPr>
          <w:w w:val="105"/>
        </w:rPr>
        <w:t>and</w:t>
      </w:r>
      <w:r>
        <w:rPr>
          <w:spacing w:val="-1"/>
          <w:w w:val="105"/>
        </w:rPr>
        <w:t> </w:t>
      </w:r>
      <w:r>
        <w:rPr>
          <w:w w:val="105"/>
        </w:rPr>
        <w:t>certain</w:t>
      </w:r>
      <w:r>
        <w:rPr>
          <w:spacing w:val="-1"/>
          <w:w w:val="105"/>
        </w:rPr>
        <w:t> </w:t>
      </w:r>
      <w:r>
        <w:rPr>
          <w:w w:val="105"/>
        </w:rPr>
        <w:t>corporate</w:t>
      </w:r>
      <w:r>
        <w:rPr>
          <w:spacing w:val="-1"/>
          <w:w w:val="105"/>
        </w:rPr>
        <w:t> </w:t>
      </w:r>
      <w:r>
        <w:rPr>
          <w:w w:val="105"/>
        </w:rPr>
        <w:t>investments.</w:t>
      </w:r>
    </w:p>
    <w:p>
      <w:pPr>
        <w:pStyle w:val="BodyText"/>
        <w:spacing w:before="19"/>
      </w:pPr>
    </w:p>
    <w:p>
      <w:pPr>
        <w:pStyle w:val="BodyText"/>
        <w:spacing w:line="266" w:lineRule="auto"/>
        <w:ind w:left="156"/>
      </w:pPr>
      <w:r>
        <w:rPr>
          <w:w w:val="105"/>
        </w:rPr>
        <w:t>The</w:t>
      </w:r>
      <w:r>
        <w:rPr>
          <w:spacing w:val="-7"/>
          <w:w w:val="105"/>
        </w:rPr>
        <w:t> </w:t>
      </w:r>
      <w:r>
        <w:rPr>
          <w:w w:val="105"/>
        </w:rPr>
        <w:t>Company</w:t>
      </w:r>
      <w:r>
        <w:rPr>
          <w:spacing w:val="-7"/>
          <w:w w:val="105"/>
        </w:rPr>
        <w:t> </w:t>
      </w:r>
      <w:r>
        <w:rPr>
          <w:w w:val="105"/>
        </w:rPr>
        <w:t>obtained</w:t>
      </w:r>
      <w:r>
        <w:rPr>
          <w:spacing w:val="-7"/>
          <w:w w:val="105"/>
        </w:rPr>
        <w:t> </w:t>
      </w:r>
      <w:r>
        <w:rPr>
          <w:w w:val="105"/>
        </w:rPr>
        <w:t>a</w:t>
      </w:r>
      <w:r>
        <w:rPr>
          <w:spacing w:val="-7"/>
          <w:w w:val="105"/>
        </w:rPr>
        <w:t> </w:t>
      </w:r>
      <w:r>
        <w:rPr>
          <w:w w:val="105"/>
        </w:rPr>
        <w:t>controlling</w:t>
      </w:r>
      <w:r>
        <w:rPr>
          <w:spacing w:val="-7"/>
          <w:w w:val="105"/>
        </w:rPr>
        <w:t> </w:t>
      </w:r>
      <w:r>
        <w:rPr>
          <w:w w:val="105"/>
        </w:rPr>
        <w:t>interest</w:t>
      </w:r>
      <w:r>
        <w:rPr>
          <w:spacing w:val="-7"/>
          <w:w w:val="105"/>
        </w:rPr>
        <w:t> </w:t>
      </w:r>
      <w:r>
        <w:rPr>
          <w:w w:val="105"/>
        </w:rPr>
        <w:t>in</w:t>
      </w:r>
      <w:r>
        <w:rPr>
          <w:spacing w:val="-7"/>
          <w:w w:val="105"/>
        </w:rPr>
        <w:t> </w:t>
      </w:r>
      <w:r>
        <w:rPr>
          <w:w w:val="105"/>
        </w:rPr>
        <w:t>HSG</w:t>
      </w:r>
      <w:r>
        <w:rPr>
          <w:spacing w:val="-7"/>
          <w:w w:val="105"/>
        </w:rPr>
        <w:t> </w:t>
      </w:r>
      <w:r>
        <w:rPr>
          <w:w w:val="105"/>
        </w:rPr>
        <w:t>during</w:t>
      </w:r>
      <w:r>
        <w:rPr>
          <w:spacing w:val="-7"/>
          <w:w w:val="105"/>
        </w:rPr>
        <w:t> </w:t>
      </w:r>
      <w:r>
        <w:rPr>
          <w:w w:val="105"/>
        </w:rPr>
        <w:t>the</w:t>
      </w:r>
      <w:r>
        <w:rPr>
          <w:spacing w:val="-6"/>
          <w:w w:val="105"/>
        </w:rPr>
        <w:t> </w:t>
      </w:r>
      <w:r>
        <w:rPr>
          <w:w w:val="105"/>
        </w:rPr>
        <w:t>third</w:t>
      </w:r>
      <w:r>
        <w:rPr>
          <w:spacing w:val="-7"/>
          <w:w w:val="105"/>
        </w:rPr>
        <w:t> </w:t>
      </w:r>
      <w:r>
        <w:rPr>
          <w:w w:val="105"/>
        </w:rPr>
        <w:t>quarter</w:t>
      </w:r>
      <w:r>
        <w:rPr>
          <w:spacing w:val="-7"/>
          <w:w w:val="105"/>
        </w:rPr>
        <w:t> </w:t>
      </w:r>
      <w:r>
        <w:rPr>
          <w:w w:val="105"/>
        </w:rPr>
        <w:t>of</w:t>
      </w:r>
      <w:r>
        <w:rPr>
          <w:spacing w:val="-6"/>
          <w:w w:val="105"/>
        </w:rPr>
        <w:t> </w:t>
      </w:r>
      <w:r>
        <w:rPr>
          <w:w w:val="105"/>
        </w:rPr>
        <w:t>2020</w:t>
      </w:r>
      <w:r>
        <w:rPr>
          <w:spacing w:val="-7"/>
          <w:w w:val="105"/>
        </w:rPr>
        <w:t> </w:t>
      </w:r>
      <w:r>
        <w:rPr>
          <w:w w:val="105"/>
        </w:rPr>
        <w:t>and</w:t>
      </w:r>
      <w:r>
        <w:rPr>
          <w:spacing w:val="-7"/>
          <w:w w:val="105"/>
        </w:rPr>
        <w:t> </w:t>
      </w:r>
      <w:r>
        <w:rPr>
          <w:w w:val="105"/>
        </w:rPr>
        <w:t>has</w:t>
      </w:r>
      <w:r>
        <w:rPr>
          <w:spacing w:val="-7"/>
          <w:w w:val="105"/>
        </w:rPr>
        <w:t> </w:t>
      </w:r>
      <w:r>
        <w:rPr>
          <w:w w:val="105"/>
        </w:rPr>
        <w:t>consolidated</w:t>
      </w:r>
      <w:r>
        <w:rPr>
          <w:spacing w:val="-7"/>
          <w:w w:val="105"/>
        </w:rPr>
        <w:t> </w:t>
      </w:r>
      <w:r>
        <w:rPr>
          <w:w w:val="105"/>
        </w:rPr>
        <w:t>results</w:t>
      </w:r>
      <w:r>
        <w:rPr>
          <w:spacing w:val="-6"/>
          <w:w w:val="105"/>
        </w:rPr>
        <w:t> </w:t>
      </w:r>
      <w:r>
        <w:rPr>
          <w:w w:val="105"/>
        </w:rPr>
        <w:t>in</w:t>
      </w:r>
      <w:r>
        <w:rPr>
          <w:spacing w:val="-7"/>
          <w:w w:val="105"/>
        </w:rPr>
        <w:t> </w:t>
      </w:r>
      <w:r>
        <w:rPr>
          <w:w w:val="105"/>
        </w:rPr>
        <w:t>“All</w:t>
      </w:r>
      <w:r>
        <w:rPr>
          <w:spacing w:val="-7"/>
          <w:w w:val="105"/>
        </w:rPr>
        <w:t> </w:t>
      </w:r>
      <w:r>
        <w:rPr>
          <w:w w:val="105"/>
        </w:rPr>
        <w:t>Other”</w:t>
      </w:r>
      <w:r>
        <w:rPr>
          <w:spacing w:val="-7"/>
          <w:w w:val="105"/>
        </w:rPr>
        <w:t> </w:t>
      </w:r>
      <w:r>
        <w:rPr>
          <w:w w:val="105"/>
        </w:rPr>
        <w:t>since</w:t>
      </w:r>
      <w:r>
        <w:rPr>
          <w:spacing w:val="-6"/>
          <w:w w:val="105"/>
        </w:rPr>
        <w:t> </w:t>
      </w:r>
      <w:r>
        <w:rPr>
          <w:w w:val="105"/>
        </w:rPr>
        <w:t>September</w:t>
      </w:r>
      <w:r>
        <w:rPr>
          <w:spacing w:val="-7"/>
          <w:w w:val="105"/>
        </w:rPr>
        <w:t> </w:t>
      </w:r>
      <w:r>
        <w:rPr>
          <w:w w:val="105"/>
        </w:rPr>
        <w:t>9,</w:t>
      </w:r>
      <w:r>
        <w:rPr>
          <w:spacing w:val="-7"/>
          <w:w w:val="105"/>
        </w:rPr>
        <w:t> </w:t>
      </w:r>
      <w:r>
        <w:rPr>
          <w:w w:val="105"/>
        </w:rPr>
        <w:t>2020.</w:t>
      </w:r>
      <w:r>
        <w:rPr>
          <w:spacing w:val="29"/>
          <w:w w:val="105"/>
        </w:rPr>
        <w:t> </w:t>
      </w:r>
      <w:r>
        <w:rPr>
          <w:w w:val="105"/>
        </w:rPr>
        <w:t>Refer</w:t>
      </w:r>
      <w:r>
        <w:rPr>
          <w:spacing w:val="-7"/>
          <w:w w:val="105"/>
        </w:rPr>
        <w:t> </w:t>
      </w:r>
      <w:r>
        <w:rPr>
          <w:w w:val="105"/>
        </w:rPr>
        <w:t>to</w:t>
      </w:r>
      <w:r>
        <w:rPr>
          <w:spacing w:val="-7"/>
          <w:w w:val="105"/>
        </w:rPr>
        <w:t> </w:t>
      </w:r>
      <w:r>
        <w:rPr>
          <w:w w:val="105"/>
        </w:rPr>
        <w:t>Note</w:t>
      </w:r>
      <w:r>
        <w:rPr>
          <w:spacing w:val="-6"/>
          <w:w w:val="105"/>
        </w:rPr>
        <w:t> </w:t>
      </w:r>
      <w:r>
        <w:rPr>
          <w:w w:val="105"/>
        </w:rPr>
        <w:t>4 (HSG Transactions and Acquisitions) to the consolidated financial statements for additional information on this transaction.</w:t>
      </w:r>
    </w:p>
    <w:p>
      <w:pPr>
        <w:pStyle w:val="BodyText"/>
        <w:spacing w:before="19"/>
      </w:pPr>
    </w:p>
    <w:p>
      <w:pPr>
        <w:pStyle w:val="BodyText"/>
        <w:spacing w:line="266" w:lineRule="auto"/>
        <w:ind w:left="156" w:right="117"/>
      </w:pPr>
      <w:r>
        <w:rPr>
          <w:w w:val="105"/>
        </w:rPr>
        <w:t>Financial</w:t>
      </w:r>
      <w:r>
        <w:rPr>
          <w:spacing w:val="-2"/>
          <w:w w:val="105"/>
        </w:rPr>
        <w:t> </w:t>
      </w:r>
      <w:r>
        <w:rPr>
          <w:w w:val="105"/>
        </w:rPr>
        <w:t>results</w:t>
      </w:r>
      <w:r>
        <w:rPr>
          <w:spacing w:val="-2"/>
          <w:w w:val="105"/>
        </w:rPr>
        <w:t> </w:t>
      </w:r>
      <w:r>
        <w:rPr>
          <w:w w:val="105"/>
        </w:rPr>
        <w:t>for</w:t>
      </w:r>
      <w:r>
        <w:rPr>
          <w:spacing w:val="-2"/>
          <w:w w:val="105"/>
        </w:rPr>
        <w:t> </w:t>
      </w:r>
      <w:r>
        <w:rPr>
          <w:w w:val="105"/>
        </w:rPr>
        <w:t>the</w:t>
      </w:r>
      <w:r>
        <w:rPr>
          <w:spacing w:val="-2"/>
          <w:w w:val="105"/>
        </w:rPr>
        <w:t> </w:t>
      </w:r>
      <w:r>
        <w:rPr>
          <w:w w:val="105"/>
        </w:rPr>
        <w:t>reportable</w:t>
      </w:r>
      <w:r>
        <w:rPr>
          <w:spacing w:val="-2"/>
          <w:w w:val="105"/>
        </w:rPr>
        <w:t> </w:t>
      </w:r>
      <w:r>
        <w:rPr>
          <w:w w:val="105"/>
        </w:rPr>
        <w:t>segments</w:t>
      </w:r>
      <w:r>
        <w:rPr>
          <w:spacing w:val="-2"/>
          <w:w w:val="105"/>
        </w:rPr>
        <w:t> </w:t>
      </w:r>
      <w:r>
        <w:rPr>
          <w:w w:val="105"/>
        </w:rPr>
        <w:t>are</w:t>
      </w:r>
      <w:r>
        <w:rPr>
          <w:spacing w:val="-2"/>
          <w:w w:val="105"/>
        </w:rPr>
        <w:t> </w:t>
      </w:r>
      <w:r>
        <w:rPr>
          <w:w w:val="105"/>
        </w:rPr>
        <w:t>prepared</w:t>
      </w:r>
      <w:r>
        <w:rPr>
          <w:spacing w:val="-2"/>
          <w:w w:val="105"/>
        </w:rPr>
        <w:t> </w:t>
      </w:r>
      <w:r>
        <w:rPr>
          <w:w w:val="105"/>
        </w:rPr>
        <w:t>on</w:t>
      </w:r>
      <w:r>
        <w:rPr>
          <w:spacing w:val="-2"/>
          <w:w w:val="105"/>
        </w:rPr>
        <w:t> </w:t>
      </w:r>
      <w:r>
        <w:rPr>
          <w:w w:val="105"/>
        </w:rPr>
        <w:t>a</w:t>
      </w:r>
      <w:r>
        <w:rPr>
          <w:spacing w:val="-2"/>
          <w:w w:val="105"/>
        </w:rPr>
        <w:t> </w:t>
      </w:r>
      <w:r>
        <w:rPr>
          <w:w w:val="105"/>
        </w:rPr>
        <w:t>basis</w:t>
      </w:r>
      <w:r>
        <w:rPr>
          <w:spacing w:val="-2"/>
          <w:w w:val="105"/>
        </w:rPr>
        <w:t> </w:t>
      </w:r>
      <w:r>
        <w:rPr>
          <w:w w:val="105"/>
        </w:rPr>
        <w:t>consistent</w:t>
      </w:r>
      <w:r>
        <w:rPr>
          <w:spacing w:val="-2"/>
          <w:w w:val="105"/>
        </w:rPr>
        <w:t> </w:t>
      </w:r>
      <w:r>
        <w:rPr>
          <w:w w:val="105"/>
        </w:rPr>
        <w:t>with</w:t>
      </w:r>
      <w:r>
        <w:rPr>
          <w:spacing w:val="-2"/>
          <w:w w:val="105"/>
        </w:rPr>
        <w:t> </w:t>
      </w:r>
      <w:r>
        <w:rPr>
          <w:w w:val="105"/>
        </w:rPr>
        <w:t>the</w:t>
      </w:r>
      <w:r>
        <w:rPr>
          <w:spacing w:val="-2"/>
          <w:w w:val="105"/>
        </w:rPr>
        <w:t> </w:t>
      </w:r>
      <w:r>
        <w:rPr>
          <w:w w:val="105"/>
        </w:rPr>
        <w:t>internal</w:t>
      </w:r>
      <w:r>
        <w:rPr>
          <w:spacing w:val="-2"/>
          <w:w w:val="105"/>
        </w:rPr>
        <w:t> </w:t>
      </w:r>
      <w:r>
        <w:rPr>
          <w:w w:val="105"/>
        </w:rPr>
        <w:t>disaggregation</w:t>
      </w:r>
      <w:r>
        <w:rPr>
          <w:spacing w:val="-2"/>
          <w:w w:val="105"/>
        </w:rPr>
        <w:t> </w:t>
      </w:r>
      <w:r>
        <w:rPr>
          <w:w w:val="105"/>
        </w:rPr>
        <w:t>of</w:t>
      </w:r>
      <w:r>
        <w:rPr>
          <w:spacing w:val="-2"/>
          <w:w w:val="105"/>
        </w:rPr>
        <w:t> </w:t>
      </w:r>
      <w:r>
        <w:rPr>
          <w:w w:val="105"/>
        </w:rPr>
        <w:t>financial information</w:t>
      </w:r>
      <w:r>
        <w:rPr>
          <w:spacing w:val="-2"/>
          <w:w w:val="105"/>
        </w:rPr>
        <w:t> </w:t>
      </w:r>
      <w:r>
        <w:rPr>
          <w:w w:val="105"/>
        </w:rPr>
        <w:t>to</w:t>
      </w:r>
      <w:r>
        <w:rPr>
          <w:spacing w:val="-2"/>
          <w:w w:val="105"/>
        </w:rPr>
        <w:t> </w:t>
      </w:r>
      <w:r>
        <w:rPr>
          <w:w w:val="105"/>
        </w:rPr>
        <w:t>assist</w:t>
      </w:r>
      <w:r>
        <w:rPr>
          <w:spacing w:val="-2"/>
          <w:w w:val="105"/>
        </w:rPr>
        <w:t> </w:t>
      </w:r>
      <w:r>
        <w:rPr>
          <w:w w:val="105"/>
        </w:rPr>
        <w:t>the</w:t>
      </w:r>
      <w:r>
        <w:rPr>
          <w:spacing w:val="-2"/>
          <w:w w:val="105"/>
        </w:rPr>
        <w:t> </w:t>
      </w:r>
      <w:r>
        <w:rPr>
          <w:w w:val="105"/>
        </w:rPr>
        <w:t>CODM</w:t>
      </w:r>
      <w:r>
        <w:rPr>
          <w:spacing w:val="-2"/>
          <w:w w:val="105"/>
        </w:rPr>
        <w:t> </w:t>
      </w:r>
      <w:r>
        <w:rPr>
          <w:w w:val="105"/>
        </w:rPr>
        <w:t>in</w:t>
      </w:r>
      <w:r>
        <w:rPr>
          <w:spacing w:val="-2"/>
          <w:w w:val="105"/>
        </w:rPr>
        <w:t> </w:t>
      </w:r>
      <w:r>
        <w:rPr>
          <w:w w:val="105"/>
        </w:rPr>
        <w:t>making internal</w:t>
      </w:r>
      <w:r>
        <w:rPr>
          <w:spacing w:val="-2"/>
          <w:w w:val="105"/>
        </w:rPr>
        <w:t> </w:t>
      </w:r>
      <w:r>
        <w:rPr>
          <w:w w:val="105"/>
        </w:rPr>
        <w:t>operating</w:t>
      </w:r>
      <w:r>
        <w:rPr>
          <w:spacing w:val="-2"/>
          <w:w w:val="105"/>
        </w:rPr>
        <w:t> </w:t>
      </w:r>
      <w:r>
        <w:rPr>
          <w:w w:val="105"/>
        </w:rPr>
        <w:t>decisions.</w:t>
      </w:r>
      <w:r>
        <w:rPr>
          <w:spacing w:val="-2"/>
          <w:w w:val="105"/>
        </w:rPr>
        <w:t> </w:t>
      </w:r>
      <w:r>
        <w:rPr>
          <w:w w:val="105"/>
        </w:rPr>
        <w:t>The</w:t>
      </w:r>
      <w:r>
        <w:rPr>
          <w:spacing w:val="-2"/>
          <w:w w:val="105"/>
        </w:rPr>
        <w:t> </w:t>
      </w:r>
      <w:r>
        <w:rPr>
          <w:w w:val="105"/>
        </w:rPr>
        <w:t>impact</w:t>
      </w:r>
      <w:r>
        <w:rPr>
          <w:spacing w:val="-2"/>
          <w:w w:val="105"/>
        </w:rPr>
        <w:t> </w:t>
      </w:r>
      <w:r>
        <w:rPr>
          <w:w w:val="105"/>
        </w:rPr>
        <w:t>of</w:t>
      </w:r>
      <w:r>
        <w:rPr>
          <w:spacing w:val="-2"/>
          <w:w w:val="105"/>
        </w:rPr>
        <w:t> </w:t>
      </w:r>
      <w:r>
        <w:rPr>
          <w:w w:val="105"/>
        </w:rPr>
        <w:t>changes in</w:t>
      </w:r>
      <w:r>
        <w:rPr>
          <w:spacing w:val="-2"/>
          <w:w w:val="105"/>
        </w:rPr>
        <w:t> </w:t>
      </w:r>
      <w:r>
        <w:rPr>
          <w:w w:val="105"/>
        </w:rPr>
        <w:t>the</w:t>
      </w:r>
      <w:r>
        <w:rPr>
          <w:spacing w:val="-2"/>
          <w:w w:val="105"/>
        </w:rPr>
        <w:t> </w:t>
      </w:r>
      <w:r>
        <w:rPr>
          <w:w w:val="105"/>
        </w:rPr>
        <w:t>Japanese</w:t>
      </w:r>
      <w:r>
        <w:rPr>
          <w:spacing w:val="-2"/>
          <w:w w:val="105"/>
        </w:rPr>
        <w:t> </w:t>
      </w:r>
      <w:r>
        <w:rPr>
          <w:w w:val="105"/>
        </w:rPr>
        <w:t>yen,</w:t>
      </w:r>
      <w:r>
        <w:rPr>
          <w:spacing w:val="-2"/>
          <w:w w:val="105"/>
        </w:rPr>
        <w:t> </w:t>
      </w:r>
      <w:r>
        <w:rPr>
          <w:w w:val="105"/>
        </w:rPr>
        <w:t>South</w:t>
      </w:r>
      <w:r>
        <w:rPr>
          <w:spacing w:val="-2"/>
          <w:w w:val="105"/>
        </w:rPr>
        <w:t> </w:t>
      </w:r>
      <w:r>
        <w:rPr>
          <w:w w:val="105"/>
        </w:rPr>
        <w:t>Korean</w:t>
      </w:r>
      <w:r>
        <w:rPr>
          <w:spacing w:val="-2"/>
          <w:w w:val="105"/>
        </w:rPr>
        <w:t> </w:t>
      </w:r>
      <w:r>
        <w:rPr>
          <w:w w:val="105"/>
        </w:rPr>
        <w:t>won,</w:t>
      </w:r>
      <w:r>
        <w:rPr>
          <w:spacing w:val="-2"/>
          <w:w w:val="105"/>
        </w:rPr>
        <w:t> </w:t>
      </w:r>
      <w:r>
        <w:rPr>
          <w:w w:val="105"/>
        </w:rPr>
        <w:t>Chinese</w:t>
      </w:r>
      <w:r>
        <w:rPr>
          <w:spacing w:val="-2"/>
          <w:w w:val="105"/>
        </w:rPr>
        <w:t> </w:t>
      </w:r>
      <w:r>
        <w:rPr>
          <w:w w:val="105"/>
        </w:rPr>
        <w:t>yuan</w:t>
      </w:r>
      <w:r>
        <w:rPr>
          <w:spacing w:val="-2"/>
          <w:w w:val="105"/>
        </w:rPr>
        <w:t> </w:t>
      </w:r>
      <w:r>
        <w:rPr>
          <w:w w:val="105"/>
        </w:rPr>
        <w:t>and</w:t>
      </w:r>
      <w:r>
        <w:rPr>
          <w:spacing w:val="-2"/>
          <w:w w:val="105"/>
        </w:rPr>
        <w:t> </w:t>
      </w:r>
      <w:r>
        <w:rPr>
          <w:w w:val="105"/>
        </w:rPr>
        <w:t>new</w:t>
      </w:r>
      <w:r>
        <w:rPr>
          <w:spacing w:val="-2"/>
          <w:w w:val="105"/>
        </w:rPr>
        <w:t> </w:t>
      </w:r>
      <w:r>
        <w:rPr>
          <w:w w:val="105"/>
        </w:rPr>
        <w:t>Taiwan</w:t>
      </w:r>
      <w:r>
        <w:rPr>
          <w:spacing w:val="-2"/>
          <w:w w:val="105"/>
        </w:rPr>
        <w:t> </w:t>
      </w:r>
      <w:r>
        <w:rPr>
          <w:w w:val="105"/>
        </w:rPr>
        <w:t>dollar</w:t>
      </w:r>
      <w:r>
        <w:rPr>
          <w:spacing w:val="-2"/>
          <w:w w:val="105"/>
        </w:rPr>
        <w:t> </w:t>
      </w:r>
      <w:r>
        <w:rPr>
          <w:w w:val="105"/>
        </w:rPr>
        <w:t>are</w:t>
      </w:r>
      <w:r>
        <w:rPr>
          <w:spacing w:val="-2"/>
          <w:w w:val="105"/>
        </w:rPr>
        <w:t> </w:t>
      </w:r>
      <w:r>
        <w:rPr>
          <w:w w:val="105"/>
        </w:rPr>
        <w:t>excluded from</w:t>
      </w:r>
      <w:r>
        <w:rPr>
          <w:spacing w:val="-2"/>
          <w:w w:val="105"/>
        </w:rPr>
        <w:t> </w:t>
      </w:r>
      <w:r>
        <w:rPr>
          <w:w w:val="105"/>
        </w:rPr>
        <w:t>segment</w:t>
      </w:r>
      <w:r>
        <w:rPr>
          <w:spacing w:val="-2"/>
          <w:w w:val="105"/>
        </w:rPr>
        <w:t> </w:t>
      </w:r>
      <w:r>
        <w:rPr>
          <w:w w:val="105"/>
        </w:rPr>
        <w:t>sales</w:t>
      </w:r>
      <w:r>
        <w:rPr>
          <w:spacing w:val="-2"/>
          <w:w w:val="105"/>
        </w:rPr>
        <w:t> </w:t>
      </w:r>
      <w:r>
        <w:rPr>
          <w:w w:val="105"/>
        </w:rPr>
        <w:t>and segment</w:t>
      </w:r>
      <w:r>
        <w:rPr>
          <w:spacing w:val="-5"/>
          <w:w w:val="105"/>
        </w:rPr>
        <w:t> </w:t>
      </w:r>
      <w:r>
        <w:rPr>
          <w:w w:val="105"/>
        </w:rPr>
        <w:t>net</w:t>
      </w:r>
      <w:r>
        <w:rPr>
          <w:spacing w:val="-5"/>
          <w:w w:val="105"/>
        </w:rPr>
        <w:t> </w:t>
      </w:r>
      <w:r>
        <w:rPr>
          <w:w w:val="105"/>
        </w:rPr>
        <w:t>income</w:t>
      </w:r>
      <w:r>
        <w:rPr>
          <w:spacing w:val="-5"/>
          <w:w w:val="105"/>
        </w:rPr>
        <w:t> </w:t>
      </w:r>
      <w:r>
        <w:rPr>
          <w:w w:val="105"/>
        </w:rPr>
        <w:t>for</w:t>
      </w:r>
      <w:r>
        <w:rPr>
          <w:spacing w:val="-3"/>
          <w:w w:val="105"/>
        </w:rPr>
        <w:t> </w:t>
      </w:r>
      <w:r>
        <w:rPr>
          <w:w w:val="105"/>
        </w:rPr>
        <w:t>the</w:t>
      </w:r>
      <w:r>
        <w:rPr>
          <w:spacing w:val="-5"/>
          <w:w w:val="105"/>
        </w:rPr>
        <w:t> </w:t>
      </w:r>
      <w:r>
        <w:rPr>
          <w:w w:val="105"/>
        </w:rPr>
        <w:t>Display</w:t>
      </w:r>
      <w:r>
        <w:rPr>
          <w:spacing w:val="-5"/>
          <w:w w:val="105"/>
        </w:rPr>
        <w:t> </w:t>
      </w:r>
      <w:r>
        <w:rPr>
          <w:w w:val="105"/>
        </w:rPr>
        <w:t>Technologies</w:t>
      </w:r>
      <w:r>
        <w:rPr>
          <w:spacing w:val="-5"/>
          <w:w w:val="105"/>
        </w:rPr>
        <w:t> </w:t>
      </w:r>
      <w:r>
        <w:rPr>
          <w:w w:val="105"/>
        </w:rPr>
        <w:t>and</w:t>
      </w:r>
      <w:r>
        <w:rPr>
          <w:spacing w:val="-5"/>
          <w:w w:val="105"/>
        </w:rPr>
        <w:t> </w:t>
      </w:r>
      <w:r>
        <w:rPr>
          <w:w w:val="105"/>
        </w:rPr>
        <w:t>Specialty</w:t>
      </w:r>
      <w:r>
        <w:rPr>
          <w:spacing w:val="-5"/>
          <w:w w:val="105"/>
        </w:rPr>
        <w:t> </w:t>
      </w:r>
      <w:r>
        <w:rPr>
          <w:w w:val="105"/>
        </w:rPr>
        <w:t>Materials</w:t>
      </w:r>
      <w:r>
        <w:rPr>
          <w:spacing w:val="-5"/>
          <w:w w:val="105"/>
        </w:rPr>
        <w:t> </w:t>
      </w:r>
      <w:r>
        <w:rPr>
          <w:w w:val="105"/>
        </w:rPr>
        <w:t>segments.</w:t>
      </w:r>
      <w:r>
        <w:rPr>
          <w:spacing w:val="-5"/>
          <w:w w:val="105"/>
        </w:rPr>
        <w:t> </w:t>
      </w:r>
      <w:r>
        <w:rPr>
          <w:w w:val="105"/>
        </w:rPr>
        <w:t>The</w:t>
      </w:r>
      <w:r>
        <w:rPr>
          <w:spacing w:val="-5"/>
          <w:w w:val="105"/>
        </w:rPr>
        <w:t> </w:t>
      </w:r>
      <w:r>
        <w:rPr>
          <w:w w:val="105"/>
        </w:rPr>
        <w:t>impact</w:t>
      </w:r>
      <w:r>
        <w:rPr>
          <w:spacing w:val="-5"/>
          <w:w w:val="105"/>
        </w:rPr>
        <w:t> </w:t>
      </w:r>
      <w:r>
        <w:rPr>
          <w:w w:val="105"/>
        </w:rPr>
        <w:t>of</w:t>
      </w:r>
      <w:r>
        <w:rPr>
          <w:spacing w:val="-5"/>
          <w:w w:val="105"/>
        </w:rPr>
        <w:t> </w:t>
      </w:r>
      <w:r>
        <w:rPr>
          <w:w w:val="105"/>
        </w:rPr>
        <w:t>changes</w:t>
      </w:r>
      <w:r>
        <w:rPr>
          <w:spacing w:val="-5"/>
          <w:w w:val="105"/>
        </w:rPr>
        <w:t> </w:t>
      </w:r>
      <w:r>
        <w:rPr>
          <w:w w:val="105"/>
        </w:rPr>
        <w:t>in</w:t>
      </w:r>
      <w:r>
        <w:rPr>
          <w:spacing w:val="-5"/>
          <w:w w:val="105"/>
        </w:rPr>
        <w:t> </w:t>
      </w:r>
      <w:r>
        <w:rPr>
          <w:w w:val="105"/>
        </w:rPr>
        <w:t>the</w:t>
      </w:r>
      <w:r>
        <w:rPr>
          <w:spacing w:val="-3"/>
          <w:w w:val="105"/>
        </w:rPr>
        <w:t> </w:t>
      </w:r>
      <w:r>
        <w:rPr>
          <w:w w:val="105"/>
        </w:rPr>
        <w:t>euro</w:t>
      </w:r>
      <w:r>
        <w:rPr>
          <w:spacing w:val="-5"/>
          <w:w w:val="105"/>
        </w:rPr>
        <w:t> </w:t>
      </w:r>
      <w:r>
        <w:rPr>
          <w:w w:val="105"/>
        </w:rPr>
        <w:t>and</w:t>
      </w:r>
      <w:r>
        <w:rPr>
          <w:spacing w:val="-5"/>
          <w:w w:val="105"/>
        </w:rPr>
        <w:t> </w:t>
      </w:r>
      <w:r>
        <w:rPr>
          <w:w w:val="105"/>
        </w:rPr>
        <w:t>Chinese</w:t>
      </w:r>
      <w:r>
        <w:rPr>
          <w:spacing w:val="-5"/>
          <w:w w:val="105"/>
        </w:rPr>
        <w:t> </w:t>
      </w:r>
      <w:r>
        <w:rPr>
          <w:w w:val="105"/>
        </w:rPr>
        <w:t>yuan</w:t>
      </w:r>
      <w:r>
        <w:rPr>
          <w:spacing w:val="-5"/>
          <w:w w:val="105"/>
        </w:rPr>
        <w:t> </w:t>
      </w:r>
      <w:r>
        <w:rPr>
          <w:w w:val="105"/>
        </w:rPr>
        <w:t>are</w:t>
      </w:r>
      <w:r>
        <w:rPr>
          <w:spacing w:val="-5"/>
          <w:w w:val="105"/>
        </w:rPr>
        <w:t> </w:t>
      </w:r>
      <w:r>
        <w:rPr>
          <w:w w:val="105"/>
        </w:rPr>
        <w:t>excluded</w:t>
      </w:r>
      <w:r>
        <w:rPr>
          <w:spacing w:val="-3"/>
          <w:w w:val="105"/>
        </w:rPr>
        <w:t> </w:t>
      </w:r>
      <w:r>
        <w:rPr>
          <w:w w:val="105"/>
        </w:rPr>
        <w:t>from</w:t>
      </w:r>
      <w:r>
        <w:rPr>
          <w:spacing w:val="-5"/>
          <w:w w:val="105"/>
        </w:rPr>
        <w:t> </w:t>
      </w:r>
      <w:r>
        <w:rPr>
          <w:w w:val="105"/>
        </w:rPr>
        <w:t>segment</w:t>
      </w:r>
      <w:r>
        <w:rPr>
          <w:spacing w:val="-5"/>
          <w:w w:val="105"/>
        </w:rPr>
        <w:t> </w:t>
      </w:r>
      <w:r>
        <w:rPr>
          <w:w w:val="105"/>
        </w:rPr>
        <w:t>sales and</w:t>
      </w:r>
      <w:r>
        <w:rPr>
          <w:spacing w:val="-2"/>
          <w:w w:val="105"/>
        </w:rPr>
        <w:t> </w:t>
      </w:r>
      <w:r>
        <w:rPr>
          <w:w w:val="105"/>
        </w:rPr>
        <w:t>segment</w:t>
      </w:r>
      <w:r>
        <w:rPr>
          <w:spacing w:val="-2"/>
          <w:w w:val="105"/>
        </w:rPr>
        <w:t> </w:t>
      </w:r>
      <w:r>
        <w:rPr>
          <w:w w:val="105"/>
        </w:rPr>
        <w:t>net</w:t>
      </w:r>
      <w:r>
        <w:rPr>
          <w:spacing w:val="-2"/>
          <w:w w:val="105"/>
        </w:rPr>
        <w:t> </w:t>
      </w:r>
      <w:r>
        <w:rPr>
          <w:w w:val="105"/>
        </w:rPr>
        <w:t>income</w:t>
      </w:r>
      <w:r>
        <w:rPr>
          <w:spacing w:val="-2"/>
          <w:w w:val="105"/>
        </w:rPr>
        <w:t> </w:t>
      </w:r>
      <w:r>
        <w:rPr>
          <w:w w:val="105"/>
        </w:rPr>
        <w:t>for</w:t>
      </w:r>
      <w:r>
        <w:rPr>
          <w:spacing w:val="-2"/>
          <w:w w:val="105"/>
        </w:rPr>
        <w:t> </w:t>
      </w:r>
      <w:r>
        <w:rPr>
          <w:w w:val="105"/>
        </w:rPr>
        <w:t>the</w:t>
      </w:r>
      <w:r>
        <w:rPr>
          <w:spacing w:val="-2"/>
          <w:w w:val="105"/>
        </w:rPr>
        <w:t> </w:t>
      </w:r>
      <w:r>
        <w:rPr>
          <w:w w:val="105"/>
        </w:rPr>
        <w:t>Environment</w:t>
      </w:r>
      <w:r>
        <w:rPr>
          <w:spacing w:val="-2"/>
          <w:w w:val="105"/>
        </w:rPr>
        <w:t> </w:t>
      </w:r>
      <w:r>
        <w:rPr>
          <w:w w:val="105"/>
        </w:rPr>
        <w:t>Technologies</w:t>
      </w:r>
      <w:r>
        <w:rPr>
          <w:spacing w:val="-2"/>
          <w:w w:val="105"/>
        </w:rPr>
        <w:t> </w:t>
      </w:r>
      <w:r>
        <w:rPr>
          <w:w w:val="105"/>
        </w:rPr>
        <w:t>segment.</w:t>
      </w:r>
      <w:r>
        <w:rPr>
          <w:spacing w:val="-2"/>
          <w:w w:val="105"/>
        </w:rPr>
        <w:t> </w:t>
      </w:r>
      <w:r>
        <w:rPr>
          <w:w w:val="105"/>
        </w:rPr>
        <w:t>The</w:t>
      </w:r>
      <w:r>
        <w:rPr>
          <w:spacing w:val="-2"/>
          <w:w w:val="105"/>
        </w:rPr>
        <w:t> </w:t>
      </w:r>
      <w:r>
        <w:rPr>
          <w:w w:val="105"/>
        </w:rPr>
        <w:t>impact</w:t>
      </w:r>
      <w:r>
        <w:rPr>
          <w:spacing w:val="-2"/>
          <w:w w:val="105"/>
        </w:rPr>
        <w:t> </w:t>
      </w:r>
      <w:r>
        <w:rPr>
          <w:w w:val="105"/>
        </w:rPr>
        <w:t>of</w:t>
      </w:r>
      <w:r>
        <w:rPr>
          <w:spacing w:val="-2"/>
          <w:w w:val="105"/>
        </w:rPr>
        <w:t> </w:t>
      </w:r>
      <w:r>
        <w:rPr>
          <w:w w:val="105"/>
        </w:rPr>
        <w:t>changes</w:t>
      </w:r>
      <w:r>
        <w:rPr>
          <w:spacing w:val="-2"/>
          <w:w w:val="105"/>
        </w:rPr>
        <w:t> </w:t>
      </w:r>
      <w:r>
        <w:rPr>
          <w:w w:val="105"/>
        </w:rPr>
        <w:t>in</w:t>
      </w:r>
      <w:r>
        <w:rPr>
          <w:spacing w:val="-2"/>
          <w:w w:val="105"/>
        </w:rPr>
        <w:t> </w:t>
      </w:r>
      <w:r>
        <w:rPr>
          <w:w w:val="105"/>
        </w:rPr>
        <w:t>the</w:t>
      </w:r>
      <w:r>
        <w:rPr>
          <w:spacing w:val="-2"/>
          <w:w w:val="105"/>
        </w:rPr>
        <w:t> </w:t>
      </w:r>
      <w:r>
        <w:rPr>
          <w:w w:val="105"/>
        </w:rPr>
        <w:t>euro,</w:t>
      </w:r>
      <w:r>
        <w:rPr>
          <w:spacing w:val="-2"/>
          <w:w w:val="105"/>
        </w:rPr>
        <w:t> </w:t>
      </w:r>
      <w:r>
        <w:rPr>
          <w:w w:val="105"/>
        </w:rPr>
        <w:t>Chinese</w:t>
      </w:r>
      <w:r>
        <w:rPr>
          <w:spacing w:val="-2"/>
          <w:w w:val="105"/>
        </w:rPr>
        <w:t> </w:t>
      </w:r>
      <w:r>
        <w:rPr>
          <w:w w:val="105"/>
        </w:rPr>
        <w:t>yuan</w:t>
      </w:r>
      <w:r>
        <w:rPr>
          <w:spacing w:val="-2"/>
          <w:w w:val="105"/>
        </w:rPr>
        <w:t> </w:t>
      </w:r>
      <w:r>
        <w:rPr>
          <w:w w:val="105"/>
        </w:rPr>
        <w:t>and</w:t>
      </w:r>
      <w:r>
        <w:rPr>
          <w:spacing w:val="-2"/>
          <w:w w:val="105"/>
        </w:rPr>
        <w:t> </w:t>
      </w:r>
      <w:r>
        <w:rPr>
          <w:w w:val="105"/>
        </w:rPr>
        <w:t>Japanese</w:t>
      </w:r>
      <w:r>
        <w:rPr>
          <w:spacing w:val="-2"/>
          <w:w w:val="105"/>
        </w:rPr>
        <w:t> </w:t>
      </w:r>
      <w:r>
        <w:rPr>
          <w:w w:val="105"/>
        </w:rPr>
        <w:t>yen</w:t>
      </w:r>
      <w:r>
        <w:rPr>
          <w:spacing w:val="-2"/>
          <w:w w:val="105"/>
        </w:rPr>
        <w:t> </w:t>
      </w:r>
      <w:r>
        <w:rPr>
          <w:w w:val="105"/>
        </w:rPr>
        <w:t>are</w:t>
      </w:r>
      <w:r>
        <w:rPr>
          <w:spacing w:val="-2"/>
          <w:w w:val="105"/>
        </w:rPr>
        <w:t> </w:t>
      </w:r>
      <w:r>
        <w:rPr>
          <w:w w:val="105"/>
        </w:rPr>
        <w:t>excluded</w:t>
      </w:r>
      <w:r>
        <w:rPr>
          <w:spacing w:val="-2"/>
          <w:w w:val="105"/>
        </w:rPr>
        <w:t> </w:t>
      </w:r>
      <w:r>
        <w:rPr>
          <w:w w:val="105"/>
        </w:rPr>
        <w:t>from</w:t>
      </w:r>
      <w:r>
        <w:rPr>
          <w:spacing w:val="-2"/>
          <w:w w:val="105"/>
        </w:rPr>
        <w:t> </w:t>
      </w:r>
      <w:r>
        <w:rPr>
          <w:w w:val="105"/>
        </w:rPr>
        <w:t>segment</w:t>
      </w:r>
      <w:r>
        <w:rPr>
          <w:spacing w:val="-2"/>
          <w:w w:val="105"/>
        </w:rPr>
        <w:t> </w:t>
      </w:r>
      <w:r>
        <w:rPr>
          <w:w w:val="105"/>
        </w:rPr>
        <w:t>sales and</w:t>
      </w:r>
      <w:r>
        <w:rPr>
          <w:spacing w:val="-8"/>
          <w:w w:val="105"/>
        </w:rPr>
        <w:t> </w:t>
      </w:r>
      <w:r>
        <w:rPr>
          <w:w w:val="105"/>
        </w:rPr>
        <w:t>segment</w:t>
      </w:r>
      <w:r>
        <w:rPr>
          <w:spacing w:val="-8"/>
          <w:w w:val="105"/>
        </w:rPr>
        <w:t> </w:t>
      </w:r>
      <w:r>
        <w:rPr>
          <w:w w:val="105"/>
        </w:rPr>
        <w:t>net</w:t>
      </w:r>
      <w:r>
        <w:rPr>
          <w:spacing w:val="-8"/>
          <w:w w:val="105"/>
        </w:rPr>
        <w:t> </w:t>
      </w:r>
      <w:r>
        <w:rPr>
          <w:w w:val="105"/>
        </w:rPr>
        <w:t>income</w:t>
      </w:r>
      <w:r>
        <w:rPr>
          <w:spacing w:val="-8"/>
          <w:w w:val="105"/>
        </w:rPr>
        <w:t> </w:t>
      </w:r>
      <w:r>
        <w:rPr>
          <w:w w:val="105"/>
        </w:rPr>
        <w:t>for</w:t>
      </w:r>
      <w:r>
        <w:rPr>
          <w:spacing w:val="-8"/>
          <w:w w:val="105"/>
        </w:rPr>
        <w:t> </w:t>
      </w:r>
      <w:r>
        <w:rPr>
          <w:w w:val="105"/>
        </w:rPr>
        <w:t>the</w:t>
      </w:r>
      <w:r>
        <w:rPr>
          <w:spacing w:val="-8"/>
          <w:w w:val="105"/>
        </w:rPr>
        <w:t> </w:t>
      </w:r>
      <w:r>
        <w:rPr>
          <w:w w:val="105"/>
        </w:rPr>
        <w:t>Life</w:t>
      </w:r>
      <w:r>
        <w:rPr>
          <w:spacing w:val="-8"/>
          <w:w w:val="105"/>
        </w:rPr>
        <w:t> </w:t>
      </w:r>
      <w:r>
        <w:rPr>
          <w:w w:val="105"/>
        </w:rPr>
        <w:t>Sciences</w:t>
      </w:r>
      <w:r>
        <w:rPr>
          <w:spacing w:val="-8"/>
          <w:w w:val="105"/>
        </w:rPr>
        <w:t> </w:t>
      </w:r>
      <w:r>
        <w:rPr>
          <w:w w:val="105"/>
        </w:rPr>
        <w:t>segment.</w:t>
      </w:r>
      <w:r>
        <w:rPr>
          <w:spacing w:val="-8"/>
          <w:w w:val="105"/>
        </w:rPr>
        <w:t> </w:t>
      </w:r>
      <w:r>
        <w:rPr>
          <w:w w:val="105"/>
        </w:rPr>
        <w:t>Certain</w:t>
      </w:r>
      <w:r>
        <w:rPr>
          <w:spacing w:val="-8"/>
          <w:w w:val="105"/>
        </w:rPr>
        <w:t> </w:t>
      </w:r>
      <w:r>
        <w:rPr>
          <w:w w:val="105"/>
        </w:rPr>
        <w:t>income</w:t>
      </w:r>
      <w:r>
        <w:rPr>
          <w:spacing w:val="-8"/>
          <w:w w:val="105"/>
        </w:rPr>
        <w:t> </w:t>
      </w:r>
      <w:r>
        <w:rPr>
          <w:w w:val="105"/>
        </w:rPr>
        <w:t>and</w:t>
      </w:r>
      <w:r>
        <w:rPr>
          <w:spacing w:val="-8"/>
          <w:w w:val="105"/>
        </w:rPr>
        <w:t> </w:t>
      </w:r>
      <w:r>
        <w:rPr>
          <w:w w:val="105"/>
        </w:rPr>
        <w:t>expenses</w:t>
      </w:r>
      <w:r>
        <w:rPr>
          <w:spacing w:val="-6"/>
          <w:w w:val="105"/>
        </w:rPr>
        <w:t> </w:t>
      </w:r>
      <w:r>
        <w:rPr>
          <w:w w:val="105"/>
        </w:rPr>
        <w:t>are</w:t>
      </w:r>
      <w:r>
        <w:rPr>
          <w:spacing w:val="-8"/>
          <w:w w:val="105"/>
        </w:rPr>
        <w:t> </w:t>
      </w:r>
      <w:r>
        <w:rPr>
          <w:w w:val="105"/>
        </w:rPr>
        <w:t>included</w:t>
      </w:r>
      <w:r>
        <w:rPr>
          <w:spacing w:val="-8"/>
          <w:w w:val="105"/>
        </w:rPr>
        <w:t> </w:t>
      </w:r>
      <w:r>
        <w:rPr>
          <w:w w:val="105"/>
        </w:rPr>
        <w:t>in</w:t>
      </w:r>
      <w:r>
        <w:rPr>
          <w:spacing w:val="-8"/>
          <w:w w:val="105"/>
        </w:rPr>
        <w:t> </w:t>
      </w:r>
      <w:r>
        <w:rPr>
          <w:w w:val="105"/>
        </w:rPr>
        <w:t>the</w:t>
      </w:r>
      <w:r>
        <w:rPr>
          <w:spacing w:val="-8"/>
          <w:w w:val="105"/>
        </w:rPr>
        <w:t> </w:t>
      </w:r>
      <w:r>
        <w:rPr>
          <w:w w:val="105"/>
        </w:rPr>
        <w:t>unallocated</w:t>
      </w:r>
      <w:r>
        <w:rPr>
          <w:spacing w:val="-8"/>
          <w:w w:val="105"/>
        </w:rPr>
        <w:t> </w:t>
      </w:r>
      <w:r>
        <w:rPr>
          <w:w w:val="105"/>
        </w:rPr>
        <w:t>amounts</w:t>
      </w:r>
      <w:r>
        <w:rPr>
          <w:spacing w:val="-8"/>
          <w:w w:val="105"/>
        </w:rPr>
        <w:t> </w:t>
      </w:r>
      <w:r>
        <w:rPr>
          <w:w w:val="105"/>
        </w:rPr>
        <w:t>in</w:t>
      </w:r>
      <w:r>
        <w:rPr>
          <w:spacing w:val="-8"/>
          <w:w w:val="105"/>
        </w:rPr>
        <w:t> </w:t>
      </w:r>
      <w:r>
        <w:rPr>
          <w:w w:val="105"/>
        </w:rPr>
        <w:t>the</w:t>
      </w:r>
      <w:r>
        <w:rPr>
          <w:spacing w:val="-8"/>
          <w:w w:val="105"/>
        </w:rPr>
        <w:t> </w:t>
      </w:r>
      <w:r>
        <w:rPr>
          <w:w w:val="105"/>
        </w:rPr>
        <w:t>reconciliation</w:t>
      </w:r>
      <w:r>
        <w:rPr>
          <w:spacing w:val="-8"/>
          <w:w w:val="105"/>
        </w:rPr>
        <w:t> </w:t>
      </w:r>
      <w:r>
        <w:rPr>
          <w:w w:val="105"/>
        </w:rPr>
        <w:t>of</w:t>
      </w:r>
      <w:r>
        <w:rPr>
          <w:spacing w:val="-8"/>
          <w:w w:val="105"/>
        </w:rPr>
        <w:t> </w:t>
      </w:r>
      <w:r>
        <w:rPr>
          <w:w w:val="105"/>
        </w:rPr>
        <w:t>reportable</w:t>
      </w:r>
      <w:r>
        <w:rPr>
          <w:spacing w:val="-8"/>
          <w:w w:val="105"/>
        </w:rPr>
        <w:t> </w:t>
      </w:r>
      <w:r>
        <w:rPr>
          <w:w w:val="105"/>
        </w:rPr>
        <w:t>segment</w:t>
      </w:r>
      <w:r>
        <w:rPr>
          <w:spacing w:val="-8"/>
          <w:w w:val="105"/>
        </w:rPr>
        <w:t> </w:t>
      </w:r>
      <w:r>
        <w:rPr>
          <w:w w:val="105"/>
        </w:rPr>
        <w:t>net income</w:t>
      </w:r>
      <w:r>
        <w:rPr>
          <w:spacing w:val="-2"/>
          <w:w w:val="105"/>
        </w:rPr>
        <w:t> </w:t>
      </w:r>
      <w:r>
        <w:rPr>
          <w:w w:val="105"/>
        </w:rPr>
        <w:t>(loss)</w:t>
      </w:r>
      <w:r>
        <w:rPr>
          <w:spacing w:val="-2"/>
          <w:w w:val="105"/>
        </w:rPr>
        <w:t> </w:t>
      </w:r>
      <w:r>
        <w:rPr>
          <w:w w:val="105"/>
        </w:rPr>
        <w:t>to</w:t>
      </w:r>
      <w:r>
        <w:rPr>
          <w:spacing w:val="-2"/>
          <w:w w:val="105"/>
        </w:rPr>
        <w:t> </w:t>
      </w:r>
      <w:r>
        <w:rPr>
          <w:w w:val="105"/>
        </w:rPr>
        <w:t>consolidated</w:t>
      </w:r>
      <w:r>
        <w:rPr>
          <w:spacing w:val="-2"/>
          <w:w w:val="105"/>
        </w:rPr>
        <w:t> </w:t>
      </w:r>
      <w:r>
        <w:rPr>
          <w:w w:val="105"/>
        </w:rPr>
        <w:t>net</w:t>
      </w:r>
      <w:r>
        <w:rPr>
          <w:spacing w:val="-2"/>
          <w:w w:val="105"/>
        </w:rPr>
        <w:t> </w:t>
      </w:r>
      <w:r>
        <w:rPr>
          <w:w w:val="105"/>
        </w:rPr>
        <w:t>income.</w:t>
      </w:r>
      <w:r>
        <w:rPr>
          <w:spacing w:val="-2"/>
          <w:w w:val="105"/>
        </w:rPr>
        <w:t> </w:t>
      </w:r>
      <w:r>
        <w:rPr>
          <w:w w:val="105"/>
        </w:rPr>
        <w:t>These</w:t>
      </w:r>
      <w:r>
        <w:rPr>
          <w:spacing w:val="-2"/>
          <w:w w:val="105"/>
        </w:rPr>
        <w:t> </w:t>
      </w:r>
      <w:r>
        <w:rPr>
          <w:w w:val="105"/>
        </w:rPr>
        <w:t>include</w:t>
      </w:r>
      <w:r>
        <w:rPr>
          <w:spacing w:val="-2"/>
          <w:w w:val="105"/>
        </w:rPr>
        <w:t> </w:t>
      </w:r>
      <w:r>
        <w:rPr>
          <w:w w:val="105"/>
        </w:rPr>
        <w:t>items</w:t>
      </w:r>
      <w:r>
        <w:rPr>
          <w:spacing w:val="-2"/>
          <w:w w:val="105"/>
        </w:rPr>
        <w:t> </w:t>
      </w:r>
      <w:r>
        <w:rPr>
          <w:w w:val="105"/>
        </w:rPr>
        <w:t>that</w:t>
      </w:r>
      <w:r>
        <w:rPr>
          <w:spacing w:val="-2"/>
          <w:w w:val="105"/>
        </w:rPr>
        <w:t> </w:t>
      </w:r>
      <w:r>
        <w:rPr>
          <w:w w:val="105"/>
        </w:rPr>
        <w:t>are</w:t>
      </w:r>
      <w:r>
        <w:rPr>
          <w:spacing w:val="-1"/>
          <w:w w:val="105"/>
        </w:rPr>
        <w:t> </w:t>
      </w:r>
      <w:r>
        <w:rPr>
          <w:w w:val="105"/>
        </w:rPr>
        <w:t>not</w:t>
      </w:r>
      <w:r>
        <w:rPr>
          <w:spacing w:val="-2"/>
          <w:w w:val="105"/>
        </w:rPr>
        <w:t> </w:t>
      </w:r>
      <w:r>
        <w:rPr>
          <w:w w:val="105"/>
        </w:rPr>
        <w:t>used</w:t>
      </w:r>
      <w:r>
        <w:rPr>
          <w:spacing w:val="-2"/>
          <w:w w:val="105"/>
        </w:rPr>
        <w:t> </w:t>
      </w:r>
      <w:r>
        <w:rPr>
          <w:w w:val="105"/>
        </w:rPr>
        <w:t>by</w:t>
      </w:r>
      <w:r>
        <w:rPr>
          <w:spacing w:val="-2"/>
          <w:w w:val="105"/>
        </w:rPr>
        <w:t> </w:t>
      </w:r>
      <w:r>
        <w:rPr>
          <w:w w:val="105"/>
        </w:rPr>
        <w:t>the</w:t>
      </w:r>
      <w:r>
        <w:rPr>
          <w:spacing w:val="-2"/>
          <w:w w:val="105"/>
        </w:rPr>
        <w:t> </w:t>
      </w:r>
      <w:r>
        <w:rPr>
          <w:w w:val="105"/>
        </w:rPr>
        <w:t>CODM</w:t>
      </w:r>
      <w:r>
        <w:rPr>
          <w:spacing w:val="-2"/>
          <w:w w:val="105"/>
        </w:rPr>
        <w:t> </w:t>
      </w:r>
      <w:r>
        <w:rPr>
          <w:w w:val="105"/>
        </w:rPr>
        <w:t>in</w:t>
      </w:r>
      <w:r>
        <w:rPr>
          <w:spacing w:val="-2"/>
          <w:w w:val="105"/>
        </w:rPr>
        <w:t> </w:t>
      </w:r>
      <w:r>
        <w:rPr>
          <w:w w:val="105"/>
        </w:rPr>
        <w:t>evaluating</w:t>
      </w:r>
      <w:r>
        <w:rPr>
          <w:spacing w:val="-2"/>
          <w:w w:val="105"/>
        </w:rPr>
        <w:t> </w:t>
      </w:r>
      <w:r>
        <w:rPr>
          <w:w w:val="105"/>
        </w:rPr>
        <w:t>the</w:t>
      </w:r>
      <w:r>
        <w:rPr>
          <w:spacing w:val="-2"/>
          <w:w w:val="105"/>
        </w:rPr>
        <w:t> </w:t>
      </w:r>
      <w:r>
        <w:rPr>
          <w:w w:val="105"/>
        </w:rPr>
        <w:t>results</w:t>
      </w:r>
      <w:r>
        <w:rPr>
          <w:spacing w:val="-2"/>
          <w:w w:val="105"/>
        </w:rPr>
        <w:t> </w:t>
      </w:r>
      <w:r>
        <w:rPr>
          <w:w w:val="105"/>
        </w:rPr>
        <w:t>of</w:t>
      </w:r>
      <w:r>
        <w:rPr>
          <w:spacing w:val="-2"/>
          <w:w w:val="105"/>
        </w:rPr>
        <w:t> </w:t>
      </w:r>
      <w:r>
        <w:rPr>
          <w:w w:val="105"/>
        </w:rPr>
        <w:t>or</w:t>
      </w:r>
      <w:r>
        <w:rPr>
          <w:spacing w:val="-2"/>
          <w:w w:val="105"/>
        </w:rPr>
        <w:t> </w:t>
      </w:r>
      <w:r>
        <w:rPr>
          <w:w w:val="105"/>
        </w:rPr>
        <w:t>in</w:t>
      </w:r>
      <w:r>
        <w:rPr>
          <w:spacing w:val="-2"/>
          <w:w w:val="105"/>
        </w:rPr>
        <w:t> </w:t>
      </w:r>
      <w:r>
        <w:rPr>
          <w:w w:val="105"/>
        </w:rPr>
        <w:t>allocating</w:t>
      </w:r>
      <w:r>
        <w:rPr>
          <w:spacing w:val="-2"/>
          <w:w w:val="105"/>
        </w:rPr>
        <w:t> </w:t>
      </w:r>
      <w:r>
        <w:rPr>
          <w:w w:val="105"/>
        </w:rPr>
        <w:t>resources</w:t>
      </w:r>
      <w:r>
        <w:rPr>
          <w:spacing w:val="-2"/>
          <w:w w:val="105"/>
        </w:rPr>
        <w:t> </w:t>
      </w:r>
      <w:r>
        <w:rPr>
          <w:w w:val="105"/>
        </w:rPr>
        <w:t>to</w:t>
      </w:r>
      <w:r>
        <w:rPr>
          <w:spacing w:val="-2"/>
          <w:w w:val="105"/>
        </w:rPr>
        <w:t> </w:t>
      </w:r>
      <w:r>
        <w:rPr>
          <w:w w:val="105"/>
        </w:rPr>
        <w:t>the</w:t>
      </w:r>
      <w:r>
        <w:rPr>
          <w:spacing w:val="-2"/>
          <w:w w:val="105"/>
        </w:rPr>
        <w:t> </w:t>
      </w:r>
      <w:r>
        <w:rPr>
          <w:w w:val="105"/>
        </w:rPr>
        <w:t>segments</w:t>
      </w:r>
      <w:r>
        <w:rPr>
          <w:spacing w:val="-2"/>
          <w:w w:val="105"/>
        </w:rPr>
        <w:t> </w:t>
      </w:r>
      <w:r>
        <w:rPr>
          <w:w w:val="105"/>
        </w:rPr>
        <w:t>and include</w:t>
      </w:r>
      <w:r>
        <w:rPr>
          <w:spacing w:val="-7"/>
          <w:w w:val="105"/>
        </w:rPr>
        <w:t> </w:t>
      </w:r>
      <w:r>
        <w:rPr>
          <w:w w:val="105"/>
        </w:rPr>
        <w:t>the</w:t>
      </w:r>
      <w:r>
        <w:rPr>
          <w:spacing w:val="-7"/>
          <w:w w:val="105"/>
        </w:rPr>
        <w:t> </w:t>
      </w:r>
      <w:r>
        <w:rPr>
          <w:w w:val="105"/>
        </w:rPr>
        <w:t>following</w:t>
      </w:r>
      <w:r>
        <w:rPr>
          <w:spacing w:val="-8"/>
          <w:w w:val="105"/>
        </w:rPr>
        <w:t> </w:t>
      </w:r>
      <w:r>
        <w:rPr>
          <w:w w:val="105"/>
        </w:rPr>
        <w:t>items:</w:t>
      </w:r>
      <w:r>
        <w:rPr>
          <w:spacing w:val="-7"/>
          <w:w w:val="105"/>
        </w:rPr>
        <w:t> </w:t>
      </w:r>
      <w:r>
        <w:rPr>
          <w:w w:val="105"/>
        </w:rPr>
        <w:t>the</w:t>
      </w:r>
      <w:r>
        <w:rPr>
          <w:spacing w:val="-7"/>
          <w:w w:val="105"/>
        </w:rPr>
        <w:t> </w:t>
      </w:r>
      <w:r>
        <w:rPr>
          <w:w w:val="105"/>
        </w:rPr>
        <w:t>impact</w:t>
      </w:r>
      <w:r>
        <w:rPr>
          <w:spacing w:val="-7"/>
          <w:w w:val="105"/>
        </w:rPr>
        <w:t> </w:t>
      </w:r>
      <w:r>
        <w:rPr>
          <w:w w:val="105"/>
        </w:rPr>
        <w:t>of</w:t>
      </w:r>
      <w:r>
        <w:rPr>
          <w:spacing w:val="-7"/>
          <w:w w:val="105"/>
        </w:rPr>
        <w:t> </w:t>
      </w:r>
      <w:r>
        <w:rPr>
          <w:w w:val="105"/>
        </w:rPr>
        <w:t>the</w:t>
      </w:r>
      <w:r>
        <w:rPr>
          <w:spacing w:val="-7"/>
          <w:w w:val="105"/>
        </w:rPr>
        <w:t> </w:t>
      </w:r>
      <w:r>
        <w:rPr>
          <w:w w:val="105"/>
        </w:rPr>
        <w:t>translated</w:t>
      </w:r>
      <w:r>
        <w:rPr>
          <w:spacing w:val="-7"/>
          <w:w w:val="105"/>
        </w:rPr>
        <w:t> </w:t>
      </w:r>
      <w:r>
        <w:rPr>
          <w:w w:val="105"/>
        </w:rPr>
        <w:t>earnings</w:t>
      </w:r>
      <w:r>
        <w:rPr>
          <w:spacing w:val="-7"/>
          <w:w w:val="105"/>
        </w:rPr>
        <w:t> </w:t>
      </w:r>
      <w:r>
        <w:rPr>
          <w:w w:val="105"/>
        </w:rPr>
        <w:t>contracts;</w:t>
      </w:r>
      <w:r>
        <w:rPr>
          <w:spacing w:val="-7"/>
          <w:w w:val="105"/>
        </w:rPr>
        <w:t> </w:t>
      </w:r>
      <w:r>
        <w:rPr>
          <w:w w:val="105"/>
        </w:rPr>
        <w:t>acquisition-related</w:t>
      </w:r>
      <w:r>
        <w:rPr>
          <w:spacing w:val="-7"/>
          <w:w w:val="105"/>
        </w:rPr>
        <w:t> </w:t>
      </w:r>
      <w:r>
        <w:rPr>
          <w:w w:val="105"/>
        </w:rPr>
        <w:t>costs;</w:t>
      </w:r>
      <w:r>
        <w:rPr>
          <w:spacing w:val="-7"/>
          <w:w w:val="105"/>
        </w:rPr>
        <w:t> </w:t>
      </w:r>
      <w:r>
        <w:rPr>
          <w:w w:val="105"/>
        </w:rPr>
        <w:t>discrete</w:t>
      </w:r>
      <w:r>
        <w:rPr>
          <w:spacing w:val="-7"/>
          <w:w w:val="105"/>
        </w:rPr>
        <w:t> </w:t>
      </w:r>
      <w:r>
        <w:rPr>
          <w:w w:val="105"/>
        </w:rPr>
        <w:t>tax</w:t>
      </w:r>
      <w:r>
        <w:rPr>
          <w:spacing w:val="-8"/>
          <w:w w:val="105"/>
        </w:rPr>
        <w:t> </w:t>
      </w:r>
      <w:r>
        <w:rPr>
          <w:w w:val="105"/>
        </w:rPr>
        <w:t>items</w:t>
      </w:r>
      <w:r>
        <w:rPr>
          <w:spacing w:val="-7"/>
          <w:w w:val="105"/>
        </w:rPr>
        <w:t> </w:t>
      </w:r>
      <w:r>
        <w:rPr>
          <w:w w:val="105"/>
        </w:rPr>
        <w:t>and</w:t>
      </w:r>
      <w:r>
        <w:rPr>
          <w:spacing w:val="-7"/>
          <w:w w:val="105"/>
        </w:rPr>
        <w:t> </w:t>
      </w:r>
      <w:r>
        <w:rPr>
          <w:w w:val="105"/>
        </w:rPr>
        <w:t>other</w:t>
      </w:r>
      <w:r>
        <w:rPr>
          <w:spacing w:val="-7"/>
          <w:w w:val="105"/>
        </w:rPr>
        <w:t> </w:t>
      </w:r>
      <w:r>
        <w:rPr>
          <w:w w:val="105"/>
        </w:rPr>
        <w:t>tax-related</w:t>
      </w:r>
      <w:r>
        <w:rPr>
          <w:spacing w:val="-7"/>
          <w:w w:val="105"/>
        </w:rPr>
        <w:t> </w:t>
      </w:r>
      <w:r>
        <w:rPr>
          <w:w w:val="105"/>
        </w:rPr>
        <w:t>adjustments;</w:t>
      </w:r>
      <w:r>
        <w:rPr>
          <w:spacing w:val="-7"/>
          <w:w w:val="105"/>
        </w:rPr>
        <w:t> </w:t>
      </w:r>
      <w:r>
        <w:rPr>
          <w:w w:val="105"/>
        </w:rPr>
        <w:t>certain</w:t>
      </w:r>
      <w:r>
        <w:rPr>
          <w:spacing w:val="-7"/>
          <w:w w:val="105"/>
        </w:rPr>
        <w:t> </w:t>
      </w:r>
      <w:r>
        <w:rPr>
          <w:w w:val="105"/>
        </w:rPr>
        <w:t>litigation, regulatory</w:t>
      </w:r>
      <w:r>
        <w:rPr>
          <w:spacing w:val="-2"/>
          <w:w w:val="105"/>
        </w:rPr>
        <w:t> </w:t>
      </w:r>
      <w:r>
        <w:rPr>
          <w:w w:val="105"/>
        </w:rPr>
        <w:t>and</w:t>
      </w:r>
      <w:r>
        <w:rPr>
          <w:spacing w:val="-2"/>
          <w:w w:val="105"/>
        </w:rPr>
        <w:t> </w:t>
      </w:r>
      <w:r>
        <w:rPr>
          <w:w w:val="105"/>
        </w:rPr>
        <w:t>other</w:t>
      </w:r>
      <w:r>
        <w:rPr>
          <w:spacing w:val="-2"/>
          <w:w w:val="105"/>
        </w:rPr>
        <w:t> </w:t>
      </w:r>
      <w:r>
        <w:rPr>
          <w:w w:val="105"/>
        </w:rPr>
        <w:t>legal</w:t>
      </w:r>
      <w:r>
        <w:rPr>
          <w:spacing w:val="-2"/>
          <w:w w:val="105"/>
        </w:rPr>
        <w:t> </w:t>
      </w:r>
      <w:r>
        <w:rPr>
          <w:w w:val="105"/>
        </w:rPr>
        <w:t>matters;</w:t>
      </w:r>
      <w:r>
        <w:rPr>
          <w:spacing w:val="-2"/>
          <w:w w:val="105"/>
        </w:rPr>
        <w:t> </w:t>
      </w:r>
      <w:r>
        <w:rPr>
          <w:w w:val="105"/>
        </w:rPr>
        <w:t>restructuring,</w:t>
      </w:r>
      <w:r>
        <w:rPr>
          <w:spacing w:val="-2"/>
          <w:w w:val="105"/>
        </w:rPr>
        <w:t> </w:t>
      </w:r>
      <w:r>
        <w:rPr>
          <w:w w:val="105"/>
        </w:rPr>
        <w:t>impairment</w:t>
      </w:r>
      <w:r>
        <w:rPr>
          <w:spacing w:val="-2"/>
          <w:w w:val="105"/>
        </w:rPr>
        <w:t> </w:t>
      </w:r>
      <w:r>
        <w:rPr>
          <w:w w:val="105"/>
        </w:rPr>
        <w:t>losses</w:t>
      </w:r>
      <w:r>
        <w:rPr>
          <w:spacing w:val="-2"/>
          <w:w w:val="105"/>
        </w:rPr>
        <w:t> </w:t>
      </w:r>
      <w:r>
        <w:rPr>
          <w:w w:val="105"/>
        </w:rPr>
        <w:t>and</w:t>
      </w:r>
      <w:r>
        <w:rPr>
          <w:spacing w:val="-2"/>
          <w:w w:val="105"/>
        </w:rPr>
        <w:t> </w:t>
      </w:r>
      <w:r>
        <w:rPr>
          <w:w w:val="105"/>
        </w:rPr>
        <w:t>other</w:t>
      </w:r>
      <w:r>
        <w:rPr>
          <w:spacing w:val="-2"/>
          <w:w w:val="105"/>
        </w:rPr>
        <w:t> </w:t>
      </w:r>
      <w:r>
        <w:rPr>
          <w:w w:val="105"/>
        </w:rPr>
        <w:t>charges</w:t>
      </w:r>
      <w:r>
        <w:rPr>
          <w:spacing w:val="-2"/>
          <w:w w:val="105"/>
        </w:rPr>
        <w:t> </w:t>
      </w:r>
      <w:r>
        <w:rPr>
          <w:w w:val="105"/>
        </w:rPr>
        <w:t>and</w:t>
      </w:r>
      <w:r>
        <w:rPr>
          <w:spacing w:val="-2"/>
          <w:w w:val="105"/>
        </w:rPr>
        <w:t> </w:t>
      </w:r>
      <w:r>
        <w:rPr>
          <w:w w:val="105"/>
        </w:rPr>
        <w:t>credits;</w:t>
      </w:r>
      <w:r>
        <w:rPr>
          <w:spacing w:val="-2"/>
          <w:w w:val="105"/>
        </w:rPr>
        <w:t> </w:t>
      </w:r>
      <w:r>
        <w:rPr>
          <w:w w:val="105"/>
        </w:rPr>
        <w:t>adjustments</w:t>
      </w:r>
      <w:r>
        <w:rPr>
          <w:spacing w:val="-2"/>
          <w:w w:val="105"/>
        </w:rPr>
        <w:t> </w:t>
      </w:r>
      <w:r>
        <w:rPr>
          <w:w w:val="105"/>
        </w:rPr>
        <w:t>relating</w:t>
      </w:r>
      <w:r>
        <w:rPr>
          <w:spacing w:val="-2"/>
          <w:w w:val="105"/>
        </w:rPr>
        <w:t> </w:t>
      </w:r>
      <w:r>
        <w:rPr>
          <w:w w:val="105"/>
        </w:rPr>
        <w:t>to</w:t>
      </w:r>
      <w:r>
        <w:rPr>
          <w:spacing w:val="-2"/>
          <w:w w:val="105"/>
        </w:rPr>
        <w:t> </w:t>
      </w:r>
      <w:r>
        <w:rPr>
          <w:w w:val="105"/>
        </w:rPr>
        <w:t>acquisitions;</w:t>
      </w:r>
      <w:r>
        <w:rPr>
          <w:spacing w:val="-2"/>
          <w:w w:val="105"/>
        </w:rPr>
        <w:t> </w:t>
      </w:r>
      <w:r>
        <w:rPr>
          <w:w w:val="105"/>
        </w:rPr>
        <w:t>and</w:t>
      </w:r>
      <w:r>
        <w:rPr>
          <w:spacing w:val="-2"/>
          <w:w w:val="105"/>
        </w:rPr>
        <w:t> </w:t>
      </w:r>
      <w:r>
        <w:rPr>
          <w:w w:val="105"/>
        </w:rPr>
        <w:t>other</w:t>
      </w:r>
      <w:r>
        <w:rPr>
          <w:spacing w:val="-2"/>
          <w:w w:val="105"/>
        </w:rPr>
        <w:t> </w:t>
      </w:r>
      <w:r>
        <w:rPr>
          <w:w w:val="105"/>
        </w:rPr>
        <w:t>non-recurring</w:t>
      </w:r>
      <w:r>
        <w:rPr>
          <w:spacing w:val="-2"/>
          <w:w w:val="105"/>
        </w:rPr>
        <w:t> </w:t>
      </w:r>
      <w:r>
        <w:rPr>
          <w:w w:val="105"/>
        </w:rPr>
        <w:t>non- operational items. Although these amounts are excluded from segment results, they are included in reported consolidated results.</w:t>
      </w:r>
    </w:p>
    <w:p>
      <w:pPr>
        <w:pStyle w:val="BodyText"/>
        <w:spacing w:before="16"/>
      </w:pPr>
    </w:p>
    <w:p>
      <w:pPr>
        <w:pStyle w:val="BodyText"/>
        <w:ind w:left="48"/>
        <w:jc w:val="center"/>
      </w:pPr>
      <w:r>
        <w:rPr>
          <w:spacing w:val="-5"/>
          <w:w w:val="105"/>
        </w:rPr>
        <w:t>114</w:t>
      </w:r>
    </w:p>
    <w:p>
      <w:pPr>
        <w:pStyle w:val="BodyText"/>
        <w:rPr>
          <w:sz w:val="6"/>
        </w:rPr>
      </w:pPr>
      <w:r>
        <w:rPr/>
        <mc:AlternateContent>
          <mc:Choice Requires="wps">
            <w:drawing>
              <wp:anchor distT="0" distB="0" distL="0" distR="0" allowOverlap="1" layoutInCell="1" locked="0" behindDoc="1" simplePos="0" relativeHeight="487750656">
                <wp:simplePos x="0" y="0"/>
                <wp:positionH relativeFrom="page">
                  <wp:posOffset>226488</wp:posOffset>
                </wp:positionH>
                <wp:positionV relativeFrom="paragraph">
                  <wp:posOffset>59051</wp:posOffset>
                </wp:positionV>
                <wp:extent cx="7312659" cy="16510"/>
                <wp:effectExtent l="0" t="0" r="0" b="0"/>
                <wp:wrapTopAndBottom/>
                <wp:docPr id="1079" name="Graphic 1079"/>
                <wp:cNvGraphicFramePr>
                  <a:graphicFrameLocks/>
                </wp:cNvGraphicFramePr>
                <a:graphic>
                  <a:graphicData uri="http://schemas.microsoft.com/office/word/2010/wordprocessingShape">
                    <wps:wsp>
                      <wps:cNvPr id="1079" name="Graphic 1079"/>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565824;mso-wrap-distance-left:0;mso-wrap-distance-right:0" id="docshape1078"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pPr>
      <w:r>
        <w:rPr>
          <w:w w:val="105"/>
        </w:rPr>
        <w:t>20.</w:t>
      </w:r>
      <w:r>
        <w:rPr>
          <w:spacing w:val="19"/>
          <w:w w:val="105"/>
        </w:rPr>
        <w:t> </w:t>
      </w:r>
      <w:r>
        <w:rPr>
          <w:w w:val="105"/>
        </w:rPr>
        <w:t>Reportable</w:t>
      </w:r>
      <w:r>
        <w:rPr>
          <w:spacing w:val="-10"/>
          <w:w w:val="105"/>
        </w:rPr>
        <w:t> </w:t>
      </w:r>
      <w:r>
        <w:rPr>
          <w:w w:val="105"/>
        </w:rPr>
        <w:t>Segments</w:t>
      </w:r>
      <w:r>
        <w:rPr>
          <w:spacing w:val="-11"/>
          <w:w w:val="105"/>
        </w:rPr>
        <w:t> </w:t>
      </w:r>
      <w:r>
        <w:rPr>
          <w:spacing w:val="-2"/>
          <w:w w:val="105"/>
        </w:rPr>
        <w:t>(Continued)</w:t>
      </w:r>
    </w:p>
    <w:p>
      <w:pPr>
        <w:pStyle w:val="BodyText"/>
        <w:spacing w:before="40"/>
        <w:rPr>
          <w:b/>
        </w:rPr>
      </w:pPr>
    </w:p>
    <w:p>
      <w:pPr>
        <w:pStyle w:val="BodyText"/>
        <w:spacing w:line="266" w:lineRule="auto"/>
        <w:ind w:left="156"/>
      </w:pPr>
      <w:r>
        <w:rPr>
          <w:w w:val="105"/>
        </w:rPr>
        <w:t>Earnings</w:t>
      </w:r>
      <w:r>
        <w:rPr>
          <w:spacing w:val="-9"/>
          <w:w w:val="105"/>
        </w:rPr>
        <w:t> </w:t>
      </w:r>
      <w:r>
        <w:rPr>
          <w:w w:val="105"/>
        </w:rPr>
        <w:t>of</w:t>
      </w:r>
      <w:r>
        <w:rPr>
          <w:spacing w:val="-9"/>
          <w:w w:val="105"/>
        </w:rPr>
        <w:t> </w:t>
      </w:r>
      <w:r>
        <w:rPr>
          <w:w w:val="105"/>
        </w:rPr>
        <w:t>equity</w:t>
      </w:r>
      <w:r>
        <w:rPr>
          <w:spacing w:val="-9"/>
          <w:w w:val="105"/>
        </w:rPr>
        <w:t> </w:t>
      </w:r>
      <w:r>
        <w:rPr>
          <w:w w:val="105"/>
        </w:rPr>
        <w:t>affiliates</w:t>
      </w:r>
      <w:r>
        <w:rPr>
          <w:spacing w:val="-9"/>
          <w:w w:val="105"/>
        </w:rPr>
        <w:t> </w:t>
      </w:r>
      <w:r>
        <w:rPr>
          <w:w w:val="105"/>
        </w:rPr>
        <w:t>that</w:t>
      </w:r>
      <w:r>
        <w:rPr>
          <w:spacing w:val="-9"/>
          <w:w w:val="105"/>
        </w:rPr>
        <w:t> </w:t>
      </w:r>
      <w:r>
        <w:rPr>
          <w:w w:val="105"/>
        </w:rPr>
        <w:t>are</w:t>
      </w:r>
      <w:r>
        <w:rPr>
          <w:spacing w:val="-9"/>
          <w:w w:val="105"/>
        </w:rPr>
        <w:t> </w:t>
      </w:r>
      <w:r>
        <w:rPr>
          <w:w w:val="105"/>
        </w:rPr>
        <w:t>closely</w:t>
      </w:r>
      <w:r>
        <w:rPr>
          <w:spacing w:val="-9"/>
          <w:w w:val="105"/>
        </w:rPr>
        <w:t> </w:t>
      </w:r>
      <w:r>
        <w:rPr>
          <w:w w:val="105"/>
        </w:rPr>
        <w:t>associated</w:t>
      </w:r>
      <w:r>
        <w:rPr>
          <w:spacing w:val="-9"/>
          <w:w w:val="105"/>
        </w:rPr>
        <w:t> </w:t>
      </w:r>
      <w:r>
        <w:rPr>
          <w:w w:val="105"/>
        </w:rPr>
        <w:t>with</w:t>
      </w:r>
      <w:r>
        <w:rPr>
          <w:spacing w:val="-9"/>
          <w:w w:val="105"/>
        </w:rPr>
        <w:t> </w:t>
      </w:r>
      <w:r>
        <w:rPr>
          <w:w w:val="105"/>
        </w:rPr>
        <w:t>the</w:t>
      </w:r>
      <w:r>
        <w:rPr>
          <w:spacing w:val="-9"/>
          <w:w w:val="105"/>
        </w:rPr>
        <w:t> </w:t>
      </w:r>
      <w:r>
        <w:rPr>
          <w:w w:val="105"/>
        </w:rPr>
        <w:t>reportable</w:t>
      </w:r>
      <w:r>
        <w:rPr>
          <w:spacing w:val="-9"/>
          <w:w w:val="105"/>
        </w:rPr>
        <w:t> </w:t>
      </w:r>
      <w:r>
        <w:rPr>
          <w:w w:val="105"/>
        </w:rPr>
        <w:t>segments</w:t>
      </w:r>
      <w:r>
        <w:rPr>
          <w:spacing w:val="-9"/>
          <w:w w:val="105"/>
        </w:rPr>
        <w:t> </w:t>
      </w:r>
      <w:r>
        <w:rPr>
          <w:w w:val="105"/>
        </w:rPr>
        <w:t>are</w:t>
      </w:r>
      <w:r>
        <w:rPr>
          <w:spacing w:val="-9"/>
          <w:w w:val="105"/>
        </w:rPr>
        <w:t> </w:t>
      </w:r>
      <w:r>
        <w:rPr>
          <w:w w:val="105"/>
        </w:rPr>
        <w:t>included</w:t>
      </w:r>
      <w:r>
        <w:rPr>
          <w:spacing w:val="-9"/>
          <w:w w:val="105"/>
        </w:rPr>
        <w:t> </w:t>
      </w:r>
      <w:r>
        <w:rPr>
          <w:w w:val="105"/>
        </w:rPr>
        <w:t>in</w:t>
      </w:r>
      <w:r>
        <w:rPr>
          <w:spacing w:val="-9"/>
          <w:w w:val="105"/>
        </w:rPr>
        <w:t> </w:t>
      </w:r>
      <w:r>
        <w:rPr>
          <w:w w:val="105"/>
        </w:rPr>
        <w:t>the</w:t>
      </w:r>
      <w:r>
        <w:rPr>
          <w:spacing w:val="-9"/>
          <w:w w:val="105"/>
        </w:rPr>
        <w:t> </w:t>
      </w:r>
      <w:r>
        <w:rPr>
          <w:w w:val="105"/>
        </w:rPr>
        <w:t>respective</w:t>
      </w:r>
      <w:r>
        <w:rPr>
          <w:spacing w:val="-9"/>
          <w:w w:val="105"/>
        </w:rPr>
        <w:t> </w:t>
      </w:r>
      <w:r>
        <w:rPr>
          <w:w w:val="105"/>
        </w:rPr>
        <w:t>segment’s</w:t>
      </w:r>
      <w:r>
        <w:rPr>
          <w:spacing w:val="-9"/>
          <w:w w:val="105"/>
        </w:rPr>
        <w:t> </w:t>
      </w:r>
      <w:r>
        <w:rPr>
          <w:w w:val="105"/>
        </w:rPr>
        <w:t>net</w:t>
      </w:r>
      <w:r>
        <w:rPr>
          <w:spacing w:val="-9"/>
          <w:w w:val="105"/>
        </w:rPr>
        <w:t> </w:t>
      </w:r>
      <w:r>
        <w:rPr>
          <w:w w:val="105"/>
        </w:rPr>
        <w:t>income</w:t>
      </w:r>
      <w:r>
        <w:rPr>
          <w:spacing w:val="-9"/>
          <w:w w:val="105"/>
        </w:rPr>
        <w:t> </w:t>
      </w:r>
      <w:r>
        <w:rPr>
          <w:w w:val="105"/>
        </w:rPr>
        <w:t>(loss).</w:t>
      </w:r>
      <w:r>
        <w:rPr>
          <w:spacing w:val="-9"/>
          <w:w w:val="105"/>
        </w:rPr>
        <w:t> </w:t>
      </w:r>
      <w:r>
        <w:rPr>
          <w:w w:val="105"/>
        </w:rPr>
        <w:t>Certain</w:t>
      </w:r>
      <w:r>
        <w:rPr>
          <w:spacing w:val="-9"/>
          <w:w w:val="105"/>
        </w:rPr>
        <w:t> </w:t>
      </w:r>
      <w:r>
        <w:rPr>
          <w:w w:val="105"/>
        </w:rPr>
        <w:t>common</w:t>
      </w:r>
      <w:r>
        <w:rPr>
          <w:spacing w:val="-9"/>
          <w:w w:val="105"/>
        </w:rPr>
        <w:t> </w:t>
      </w:r>
      <w:r>
        <w:rPr>
          <w:w w:val="105"/>
        </w:rPr>
        <w:t>expenses among</w:t>
      </w:r>
      <w:r>
        <w:rPr>
          <w:spacing w:val="-4"/>
          <w:w w:val="105"/>
        </w:rPr>
        <w:t> </w:t>
      </w:r>
      <w:r>
        <w:rPr>
          <w:w w:val="105"/>
        </w:rPr>
        <w:t>reportable</w:t>
      </w:r>
      <w:r>
        <w:rPr>
          <w:spacing w:val="-4"/>
          <w:w w:val="105"/>
        </w:rPr>
        <w:t> </w:t>
      </w:r>
      <w:r>
        <w:rPr>
          <w:w w:val="105"/>
        </w:rPr>
        <w:t>segments</w:t>
      </w:r>
      <w:r>
        <w:rPr>
          <w:spacing w:val="-4"/>
          <w:w w:val="105"/>
        </w:rPr>
        <w:t> </w:t>
      </w:r>
      <w:r>
        <w:rPr>
          <w:w w:val="105"/>
        </w:rPr>
        <w:t>have</w:t>
      </w:r>
      <w:r>
        <w:rPr>
          <w:spacing w:val="-4"/>
          <w:w w:val="105"/>
        </w:rPr>
        <w:t> </w:t>
      </w:r>
      <w:r>
        <w:rPr>
          <w:w w:val="105"/>
        </w:rPr>
        <w:t>been</w:t>
      </w:r>
      <w:r>
        <w:rPr>
          <w:spacing w:val="-4"/>
          <w:w w:val="105"/>
        </w:rPr>
        <w:t> </w:t>
      </w:r>
      <w:r>
        <w:rPr>
          <w:w w:val="105"/>
        </w:rPr>
        <w:t>allocated</w:t>
      </w:r>
      <w:r>
        <w:rPr>
          <w:spacing w:val="-4"/>
          <w:w w:val="105"/>
        </w:rPr>
        <w:t> </w:t>
      </w:r>
      <w:r>
        <w:rPr>
          <w:w w:val="105"/>
        </w:rPr>
        <w:t>differently</w:t>
      </w:r>
      <w:r>
        <w:rPr>
          <w:spacing w:val="-4"/>
          <w:w w:val="105"/>
        </w:rPr>
        <w:t> </w:t>
      </w:r>
      <w:r>
        <w:rPr>
          <w:w w:val="105"/>
        </w:rPr>
        <w:t>than</w:t>
      </w:r>
      <w:r>
        <w:rPr>
          <w:spacing w:val="-4"/>
          <w:w w:val="105"/>
        </w:rPr>
        <w:t> </w:t>
      </w:r>
      <w:r>
        <w:rPr>
          <w:w w:val="105"/>
        </w:rPr>
        <w:t>they</w:t>
      </w:r>
      <w:r>
        <w:rPr>
          <w:spacing w:val="-4"/>
          <w:w w:val="105"/>
        </w:rPr>
        <w:t> </w:t>
      </w:r>
      <w:r>
        <w:rPr>
          <w:w w:val="105"/>
        </w:rPr>
        <w:t>would</w:t>
      </w:r>
      <w:r>
        <w:rPr>
          <w:spacing w:val="-4"/>
          <w:w w:val="105"/>
        </w:rPr>
        <w:t> </w:t>
      </w:r>
      <w:r>
        <w:rPr>
          <w:w w:val="105"/>
        </w:rPr>
        <w:t>for</w:t>
      </w:r>
      <w:r>
        <w:rPr>
          <w:spacing w:val="-4"/>
          <w:w w:val="105"/>
        </w:rPr>
        <w:t> </w:t>
      </w:r>
      <w:r>
        <w:rPr>
          <w:w w:val="105"/>
        </w:rPr>
        <w:t>stand-alone</w:t>
      </w:r>
      <w:r>
        <w:rPr>
          <w:spacing w:val="-4"/>
          <w:w w:val="105"/>
        </w:rPr>
        <w:t> </w:t>
      </w:r>
      <w:r>
        <w:rPr>
          <w:w w:val="105"/>
        </w:rPr>
        <w:t>financial</w:t>
      </w:r>
      <w:r>
        <w:rPr>
          <w:spacing w:val="-2"/>
          <w:w w:val="105"/>
        </w:rPr>
        <w:t> </w:t>
      </w:r>
      <w:r>
        <w:rPr>
          <w:w w:val="105"/>
        </w:rPr>
        <w:t>information.</w:t>
      </w:r>
      <w:r>
        <w:rPr>
          <w:spacing w:val="-4"/>
          <w:w w:val="105"/>
        </w:rPr>
        <w:t> </w:t>
      </w:r>
      <w:r>
        <w:rPr>
          <w:w w:val="105"/>
        </w:rPr>
        <w:t>Segment</w:t>
      </w:r>
      <w:r>
        <w:rPr>
          <w:spacing w:val="-4"/>
          <w:w w:val="105"/>
        </w:rPr>
        <w:t> </w:t>
      </w:r>
      <w:r>
        <w:rPr>
          <w:w w:val="105"/>
        </w:rPr>
        <w:t>net</w:t>
      </w:r>
      <w:r>
        <w:rPr>
          <w:spacing w:val="-4"/>
          <w:w w:val="105"/>
        </w:rPr>
        <w:t> </w:t>
      </w:r>
      <w:r>
        <w:rPr>
          <w:w w:val="105"/>
        </w:rPr>
        <w:t>income</w:t>
      </w:r>
      <w:r>
        <w:rPr>
          <w:spacing w:val="-4"/>
          <w:w w:val="105"/>
        </w:rPr>
        <w:t> </w:t>
      </w:r>
      <w:r>
        <w:rPr>
          <w:w w:val="105"/>
        </w:rPr>
        <w:t>(loss)</w:t>
      </w:r>
      <w:r>
        <w:rPr>
          <w:spacing w:val="-5"/>
          <w:w w:val="105"/>
        </w:rPr>
        <w:t> </w:t>
      </w:r>
      <w:r>
        <w:rPr>
          <w:w w:val="105"/>
        </w:rPr>
        <w:t>may</w:t>
      </w:r>
      <w:r>
        <w:rPr>
          <w:spacing w:val="-4"/>
          <w:w w:val="105"/>
        </w:rPr>
        <w:t> </w:t>
      </w:r>
      <w:r>
        <w:rPr>
          <w:w w:val="105"/>
        </w:rPr>
        <w:t>not</w:t>
      </w:r>
      <w:r>
        <w:rPr>
          <w:spacing w:val="-4"/>
          <w:w w:val="105"/>
        </w:rPr>
        <w:t> </w:t>
      </w:r>
      <w:r>
        <w:rPr>
          <w:w w:val="105"/>
        </w:rPr>
        <w:t>be</w:t>
      </w:r>
      <w:r>
        <w:rPr>
          <w:spacing w:val="-4"/>
          <w:w w:val="105"/>
        </w:rPr>
        <w:t> </w:t>
      </w:r>
      <w:r>
        <w:rPr>
          <w:w w:val="105"/>
        </w:rPr>
        <w:t>consistent</w:t>
      </w:r>
      <w:r>
        <w:rPr>
          <w:spacing w:val="-4"/>
          <w:w w:val="105"/>
        </w:rPr>
        <w:t> </w:t>
      </w:r>
      <w:r>
        <w:rPr>
          <w:w w:val="105"/>
        </w:rPr>
        <w:t>with measures used by other companies.</w:t>
      </w:r>
    </w:p>
    <w:p>
      <w:pPr>
        <w:pStyle w:val="BodyText"/>
        <w:spacing w:before="18"/>
      </w:pPr>
    </w:p>
    <w:p>
      <w:pPr>
        <w:pStyle w:val="BodyText"/>
        <w:ind w:left="156"/>
      </w:pPr>
      <w:r>
        <w:rPr/>
        <w:t>The</w:t>
      </w:r>
      <w:r>
        <w:rPr>
          <w:spacing w:val="15"/>
        </w:rPr>
        <w:t> </w:t>
      </w:r>
      <w:r>
        <w:rPr/>
        <w:t>following</w:t>
      </w:r>
      <w:r>
        <w:rPr>
          <w:spacing w:val="15"/>
        </w:rPr>
        <w:t> </w:t>
      </w:r>
      <w:r>
        <w:rPr/>
        <w:t>provides</w:t>
      </w:r>
      <w:r>
        <w:rPr>
          <w:spacing w:val="16"/>
        </w:rPr>
        <w:t> </w:t>
      </w:r>
      <w:r>
        <w:rPr/>
        <w:t>historical</w:t>
      </w:r>
      <w:r>
        <w:rPr>
          <w:spacing w:val="15"/>
        </w:rPr>
        <w:t> </w:t>
      </w:r>
      <w:r>
        <w:rPr/>
        <w:t>segment</w:t>
      </w:r>
      <w:r>
        <w:rPr>
          <w:spacing w:val="15"/>
        </w:rPr>
        <w:t> </w:t>
      </w:r>
      <w:r>
        <w:rPr/>
        <w:t>information</w:t>
      </w:r>
      <w:r>
        <w:rPr>
          <w:spacing w:val="18"/>
        </w:rPr>
        <w:t> </w:t>
      </w:r>
      <w:r>
        <w:rPr/>
        <w:t>as</w:t>
      </w:r>
      <w:r>
        <w:rPr>
          <w:spacing w:val="16"/>
        </w:rPr>
        <w:t> </w:t>
      </w:r>
      <w:r>
        <w:rPr/>
        <w:t>described</w:t>
      </w:r>
      <w:r>
        <w:rPr>
          <w:spacing w:val="15"/>
        </w:rPr>
        <w:t> </w:t>
      </w:r>
      <w:r>
        <w:rPr>
          <w:spacing w:val="-2"/>
        </w:rPr>
        <w:t>above:</w:t>
      </w:r>
    </w:p>
    <w:p>
      <w:pPr>
        <w:pStyle w:val="BodyText"/>
        <w:spacing w:before="7"/>
        <w:rPr>
          <w:sz w:val="19"/>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0"/>
        <w:gridCol w:w="1268"/>
        <w:gridCol w:w="1210"/>
        <w:gridCol w:w="1146"/>
        <w:gridCol w:w="1184"/>
        <w:gridCol w:w="1146"/>
        <w:gridCol w:w="1146"/>
        <w:gridCol w:w="1123"/>
      </w:tblGrid>
      <w:tr>
        <w:trPr>
          <w:trHeight w:val="310" w:hRule="atLeast"/>
        </w:trPr>
        <w:tc>
          <w:tcPr>
            <w:tcW w:w="3290" w:type="dxa"/>
            <w:tcBorders>
              <w:bottom w:val="single" w:sz="12" w:space="0" w:color="000000"/>
            </w:tcBorders>
          </w:tcPr>
          <w:p>
            <w:pPr>
              <w:pStyle w:val="TableParagraph"/>
              <w:spacing w:line="182" w:lineRule="exact"/>
              <w:rPr>
                <w:sz w:val="16"/>
              </w:rPr>
            </w:pPr>
            <w:r>
              <w:rPr>
                <w:b/>
                <w:sz w:val="16"/>
              </w:rPr>
              <w:t>Segment</w:t>
            </w:r>
            <w:r>
              <w:rPr>
                <w:b/>
                <w:spacing w:val="11"/>
                <w:sz w:val="16"/>
              </w:rPr>
              <w:t> </w:t>
            </w:r>
            <w:r>
              <w:rPr>
                <w:b/>
                <w:sz w:val="16"/>
              </w:rPr>
              <w:t>Information</w:t>
            </w:r>
            <w:r>
              <w:rPr>
                <w:b/>
                <w:spacing w:val="15"/>
                <w:sz w:val="16"/>
              </w:rPr>
              <w:t> </w:t>
            </w:r>
            <w:r>
              <w:rPr>
                <w:sz w:val="16"/>
              </w:rPr>
              <w:t>(in</w:t>
            </w:r>
            <w:r>
              <w:rPr>
                <w:spacing w:val="14"/>
                <w:sz w:val="16"/>
              </w:rPr>
              <w:t> </w:t>
            </w:r>
            <w:r>
              <w:rPr>
                <w:spacing w:val="-2"/>
                <w:sz w:val="16"/>
              </w:rPr>
              <w:t>millions)</w:t>
            </w:r>
          </w:p>
        </w:tc>
        <w:tc>
          <w:tcPr>
            <w:tcW w:w="8223" w:type="dxa"/>
            <w:gridSpan w:val="7"/>
            <w:tcBorders>
              <w:bottom w:val="single" w:sz="12" w:space="0" w:color="000000"/>
            </w:tcBorders>
          </w:tcPr>
          <w:p>
            <w:pPr>
              <w:pStyle w:val="TableParagraph"/>
              <w:rPr>
                <w:sz w:val="14"/>
              </w:rPr>
            </w:pPr>
          </w:p>
        </w:tc>
      </w:tr>
      <w:tr>
        <w:trPr>
          <w:trHeight w:val="302" w:hRule="atLeast"/>
        </w:trPr>
        <w:tc>
          <w:tcPr>
            <w:tcW w:w="3290" w:type="dxa"/>
            <w:tcBorders>
              <w:top w:val="single" w:sz="12" w:space="0" w:color="000000"/>
              <w:bottom w:val="single" w:sz="6" w:space="0" w:color="000000"/>
            </w:tcBorders>
          </w:tcPr>
          <w:p>
            <w:pPr>
              <w:pStyle w:val="TableParagraph"/>
              <w:rPr>
                <w:sz w:val="14"/>
              </w:rPr>
            </w:pPr>
          </w:p>
        </w:tc>
        <w:tc>
          <w:tcPr>
            <w:tcW w:w="1268" w:type="dxa"/>
            <w:tcBorders>
              <w:top w:val="single" w:sz="12" w:space="0" w:color="000000"/>
              <w:bottom w:val="single" w:sz="6" w:space="0" w:color="000000"/>
            </w:tcBorders>
          </w:tcPr>
          <w:p>
            <w:pPr>
              <w:pStyle w:val="TableParagraph"/>
              <w:spacing w:line="152" w:lineRule="exact"/>
              <w:ind w:left="281" w:firstLine="159"/>
              <w:rPr>
                <w:sz w:val="14"/>
              </w:rPr>
            </w:pPr>
            <w:r>
              <w:rPr>
                <w:spacing w:val="-2"/>
                <w:sz w:val="14"/>
              </w:rPr>
              <w:t>Display</w:t>
            </w:r>
            <w:r>
              <w:rPr>
                <w:spacing w:val="40"/>
                <w:sz w:val="14"/>
              </w:rPr>
              <w:t> </w:t>
            </w:r>
            <w:r>
              <w:rPr>
                <w:spacing w:val="-2"/>
                <w:sz w:val="14"/>
              </w:rPr>
              <w:t>Technologies</w:t>
            </w:r>
          </w:p>
        </w:tc>
        <w:tc>
          <w:tcPr>
            <w:tcW w:w="1210" w:type="dxa"/>
            <w:tcBorders>
              <w:top w:val="single" w:sz="12" w:space="0" w:color="000000"/>
              <w:bottom w:val="single" w:sz="6" w:space="0" w:color="000000"/>
            </w:tcBorders>
          </w:tcPr>
          <w:p>
            <w:pPr>
              <w:pStyle w:val="TableParagraph"/>
              <w:spacing w:line="152" w:lineRule="exact"/>
              <w:ind w:left="103" w:right="45" w:firstLine="272"/>
              <w:rPr>
                <w:sz w:val="14"/>
              </w:rPr>
            </w:pPr>
            <w:r>
              <w:rPr>
                <w:spacing w:val="-2"/>
                <w:sz w:val="14"/>
              </w:rPr>
              <w:t>Optical</w:t>
            </w:r>
            <w:r>
              <w:rPr>
                <w:spacing w:val="40"/>
                <w:sz w:val="14"/>
              </w:rPr>
              <w:t> </w:t>
            </w:r>
            <w:r>
              <w:rPr>
                <w:spacing w:val="-2"/>
                <w:sz w:val="14"/>
              </w:rPr>
              <w:t>Communications</w:t>
            </w:r>
          </w:p>
        </w:tc>
        <w:tc>
          <w:tcPr>
            <w:tcW w:w="1146" w:type="dxa"/>
            <w:tcBorders>
              <w:top w:val="single" w:sz="12" w:space="0" w:color="000000"/>
              <w:bottom w:val="single" w:sz="6" w:space="0" w:color="000000"/>
            </w:tcBorders>
          </w:tcPr>
          <w:p>
            <w:pPr>
              <w:pStyle w:val="TableParagraph"/>
              <w:spacing w:line="152" w:lineRule="exact"/>
              <w:ind w:left="285" w:firstLine="3"/>
              <w:rPr>
                <w:sz w:val="14"/>
              </w:rPr>
            </w:pPr>
            <w:r>
              <w:rPr>
                <w:spacing w:val="-2"/>
                <w:sz w:val="14"/>
              </w:rPr>
              <w:t>Specialty</w:t>
            </w:r>
            <w:r>
              <w:rPr>
                <w:spacing w:val="40"/>
                <w:sz w:val="14"/>
              </w:rPr>
              <w:t> </w:t>
            </w:r>
            <w:r>
              <w:rPr>
                <w:spacing w:val="-2"/>
                <w:sz w:val="14"/>
              </w:rPr>
              <w:t>Materials</w:t>
            </w:r>
          </w:p>
        </w:tc>
        <w:tc>
          <w:tcPr>
            <w:tcW w:w="1184" w:type="dxa"/>
            <w:tcBorders>
              <w:top w:val="single" w:sz="12" w:space="0" w:color="000000"/>
              <w:bottom w:val="single" w:sz="6" w:space="0" w:color="000000"/>
            </w:tcBorders>
          </w:tcPr>
          <w:p>
            <w:pPr>
              <w:pStyle w:val="TableParagraph"/>
              <w:spacing w:line="152" w:lineRule="exact"/>
              <w:ind w:left="192" w:hanging="40"/>
              <w:rPr>
                <w:sz w:val="14"/>
              </w:rPr>
            </w:pPr>
            <w:r>
              <w:rPr>
                <w:spacing w:val="-2"/>
                <w:sz w:val="14"/>
              </w:rPr>
              <w:t>Environmental</w:t>
            </w:r>
            <w:r>
              <w:rPr>
                <w:spacing w:val="40"/>
                <w:sz w:val="14"/>
              </w:rPr>
              <w:t> </w:t>
            </w:r>
            <w:r>
              <w:rPr>
                <w:spacing w:val="-2"/>
                <w:sz w:val="14"/>
              </w:rPr>
              <w:t>Technologies</w:t>
            </w:r>
          </w:p>
        </w:tc>
        <w:tc>
          <w:tcPr>
            <w:tcW w:w="1146" w:type="dxa"/>
            <w:tcBorders>
              <w:top w:val="single" w:sz="12" w:space="0" w:color="000000"/>
              <w:bottom w:val="single" w:sz="6" w:space="0" w:color="000000"/>
            </w:tcBorders>
          </w:tcPr>
          <w:p>
            <w:pPr>
              <w:pStyle w:val="TableParagraph"/>
              <w:spacing w:line="135" w:lineRule="exact" w:before="147"/>
              <w:ind w:left="137" w:right="177"/>
              <w:jc w:val="center"/>
              <w:rPr>
                <w:sz w:val="14"/>
              </w:rPr>
            </w:pPr>
            <w:r>
              <w:rPr>
                <w:sz w:val="14"/>
              </w:rPr>
              <w:t>Life </w:t>
            </w:r>
            <w:r>
              <w:rPr>
                <w:spacing w:val="-2"/>
                <w:sz w:val="14"/>
              </w:rPr>
              <w:t>Sciences</w:t>
            </w:r>
          </w:p>
        </w:tc>
        <w:tc>
          <w:tcPr>
            <w:tcW w:w="1146" w:type="dxa"/>
            <w:tcBorders>
              <w:top w:val="single" w:sz="12" w:space="0" w:color="000000"/>
              <w:bottom w:val="single" w:sz="6" w:space="0" w:color="000000"/>
            </w:tcBorders>
          </w:tcPr>
          <w:p>
            <w:pPr>
              <w:pStyle w:val="TableParagraph"/>
              <w:spacing w:line="135" w:lineRule="exact" w:before="147"/>
              <w:ind w:left="136" w:right="177"/>
              <w:jc w:val="center"/>
              <w:rPr>
                <w:sz w:val="14"/>
              </w:rPr>
            </w:pPr>
            <w:r>
              <w:rPr>
                <w:sz w:val="14"/>
              </w:rPr>
              <w:t>All</w:t>
            </w:r>
            <w:r>
              <w:rPr>
                <w:spacing w:val="-3"/>
                <w:sz w:val="14"/>
              </w:rPr>
              <w:t> </w:t>
            </w:r>
            <w:r>
              <w:rPr>
                <w:spacing w:val="-4"/>
                <w:sz w:val="14"/>
              </w:rPr>
              <w:t>Other</w:t>
            </w:r>
          </w:p>
        </w:tc>
        <w:tc>
          <w:tcPr>
            <w:tcW w:w="1123" w:type="dxa"/>
            <w:tcBorders>
              <w:top w:val="single" w:sz="12" w:space="0" w:color="000000"/>
              <w:bottom w:val="single" w:sz="6" w:space="0" w:color="000000"/>
            </w:tcBorders>
          </w:tcPr>
          <w:p>
            <w:pPr>
              <w:pStyle w:val="TableParagraph"/>
              <w:spacing w:line="135" w:lineRule="exact" w:before="147"/>
              <w:ind w:right="17"/>
              <w:jc w:val="center"/>
              <w:rPr>
                <w:sz w:val="14"/>
              </w:rPr>
            </w:pPr>
            <w:r>
              <w:rPr>
                <w:spacing w:val="-4"/>
                <w:sz w:val="14"/>
              </w:rPr>
              <w:t>Total</w:t>
            </w:r>
          </w:p>
        </w:tc>
      </w:tr>
      <w:tr>
        <w:trPr>
          <w:trHeight w:val="149" w:hRule="atLeast"/>
        </w:trPr>
        <w:tc>
          <w:tcPr>
            <w:tcW w:w="3290" w:type="dxa"/>
            <w:tcBorders>
              <w:top w:val="single" w:sz="6" w:space="0" w:color="000000"/>
            </w:tcBorders>
          </w:tcPr>
          <w:p>
            <w:pPr>
              <w:pStyle w:val="TableParagraph"/>
              <w:rPr>
                <w:sz w:val="8"/>
              </w:rPr>
            </w:pPr>
          </w:p>
        </w:tc>
        <w:tc>
          <w:tcPr>
            <w:tcW w:w="1268" w:type="dxa"/>
            <w:tcBorders>
              <w:top w:val="single" w:sz="6" w:space="0" w:color="000000"/>
            </w:tcBorders>
          </w:tcPr>
          <w:p>
            <w:pPr>
              <w:pStyle w:val="TableParagraph"/>
              <w:rPr>
                <w:sz w:val="8"/>
              </w:rPr>
            </w:pPr>
          </w:p>
        </w:tc>
        <w:tc>
          <w:tcPr>
            <w:tcW w:w="1210" w:type="dxa"/>
            <w:tcBorders>
              <w:top w:val="single" w:sz="6" w:space="0" w:color="000000"/>
            </w:tcBorders>
          </w:tcPr>
          <w:p>
            <w:pPr>
              <w:pStyle w:val="TableParagraph"/>
              <w:rPr>
                <w:sz w:val="8"/>
              </w:rPr>
            </w:pPr>
          </w:p>
        </w:tc>
        <w:tc>
          <w:tcPr>
            <w:tcW w:w="1146" w:type="dxa"/>
            <w:tcBorders>
              <w:top w:val="single" w:sz="6" w:space="0" w:color="000000"/>
            </w:tcBorders>
          </w:tcPr>
          <w:p>
            <w:pPr>
              <w:pStyle w:val="TableParagraph"/>
              <w:rPr>
                <w:sz w:val="8"/>
              </w:rPr>
            </w:pPr>
          </w:p>
        </w:tc>
        <w:tc>
          <w:tcPr>
            <w:tcW w:w="1184" w:type="dxa"/>
            <w:tcBorders>
              <w:top w:val="single" w:sz="6" w:space="0" w:color="000000"/>
            </w:tcBorders>
          </w:tcPr>
          <w:p>
            <w:pPr>
              <w:pStyle w:val="TableParagraph"/>
              <w:rPr>
                <w:sz w:val="8"/>
              </w:rPr>
            </w:pPr>
          </w:p>
        </w:tc>
        <w:tc>
          <w:tcPr>
            <w:tcW w:w="1146" w:type="dxa"/>
            <w:tcBorders>
              <w:top w:val="single" w:sz="6" w:space="0" w:color="000000"/>
            </w:tcBorders>
          </w:tcPr>
          <w:p>
            <w:pPr>
              <w:pStyle w:val="TableParagraph"/>
              <w:rPr>
                <w:sz w:val="8"/>
              </w:rPr>
            </w:pPr>
          </w:p>
        </w:tc>
        <w:tc>
          <w:tcPr>
            <w:tcW w:w="1146" w:type="dxa"/>
            <w:tcBorders>
              <w:top w:val="single" w:sz="6" w:space="0" w:color="000000"/>
            </w:tcBorders>
          </w:tcPr>
          <w:p>
            <w:pPr>
              <w:pStyle w:val="TableParagraph"/>
              <w:rPr>
                <w:sz w:val="8"/>
              </w:rPr>
            </w:pPr>
          </w:p>
        </w:tc>
        <w:tc>
          <w:tcPr>
            <w:tcW w:w="1123" w:type="dxa"/>
            <w:tcBorders>
              <w:top w:val="single" w:sz="6" w:space="0" w:color="000000"/>
            </w:tcBorders>
          </w:tcPr>
          <w:p>
            <w:pPr>
              <w:pStyle w:val="TableParagraph"/>
              <w:rPr>
                <w:sz w:val="8"/>
              </w:rPr>
            </w:pPr>
          </w:p>
        </w:tc>
      </w:tr>
      <w:tr>
        <w:trPr>
          <w:trHeight w:val="157" w:hRule="atLeast"/>
        </w:trPr>
        <w:tc>
          <w:tcPr>
            <w:tcW w:w="3290" w:type="dxa"/>
            <w:shd w:val="clear" w:color="auto" w:fill="CCEDFF"/>
          </w:tcPr>
          <w:p>
            <w:pPr>
              <w:pStyle w:val="TableParagraph"/>
              <w:spacing w:line="133" w:lineRule="exact"/>
              <w:rPr>
                <w:sz w:val="14"/>
              </w:rPr>
            </w:pPr>
            <w:r>
              <w:rPr>
                <w:sz w:val="14"/>
              </w:rPr>
              <w:t>For the year ended December 31, </w:t>
            </w:r>
            <w:r>
              <w:rPr>
                <w:spacing w:val="-4"/>
                <w:sz w:val="14"/>
              </w:rPr>
              <w:t>2021</w:t>
            </w:r>
          </w:p>
        </w:tc>
        <w:tc>
          <w:tcPr>
            <w:tcW w:w="1268" w:type="dxa"/>
            <w:shd w:val="clear" w:color="auto" w:fill="CCEDFF"/>
          </w:tcPr>
          <w:p>
            <w:pPr>
              <w:pStyle w:val="TableParagraph"/>
              <w:rPr>
                <w:sz w:val="8"/>
              </w:rPr>
            </w:pPr>
          </w:p>
        </w:tc>
        <w:tc>
          <w:tcPr>
            <w:tcW w:w="1210" w:type="dxa"/>
            <w:shd w:val="clear" w:color="auto" w:fill="CCEDFF"/>
          </w:tcPr>
          <w:p>
            <w:pPr>
              <w:pStyle w:val="TableParagraph"/>
              <w:rPr>
                <w:sz w:val="8"/>
              </w:rPr>
            </w:pPr>
          </w:p>
        </w:tc>
        <w:tc>
          <w:tcPr>
            <w:tcW w:w="1146" w:type="dxa"/>
            <w:shd w:val="clear" w:color="auto" w:fill="CCEDFF"/>
          </w:tcPr>
          <w:p>
            <w:pPr>
              <w:pStyle w:val="TableParagraph"/>
              <w:rPr>
                <w:sz w:val="8"/>
              </w:rPr>
            </w:pPr>
          </w:p>
        </w:tc>
        <w:tc>
          <w:tcPr>
            <w:tcW w:w="1184" w:type="dxa"/>
            <w:shd w:val="clear" w:color="auto" w:fill="CCEDFF"/>
          </w:tcPr>
          <w:p>
            <w:pPr>
              <w:pStyle w:val="TableParagraph"/>
              <w:rPr>
                <w:sz w:val="8"/>
              </w:rPr>
            </w:pPr>
          </w:p>
        </w:tc>
        <w:tc>
          <w:tcPr>
            <w:tcW w:w="1146" w:type="dxa"/>
            <w:shd w:val="clear" w:color="auto" w:fill="CCEDFF"/>
          </w:tcPr>
          <w:p>
            <w:pPr>
              <w:pStyle w:val="TableParagraph"/>
              <w:rPr>
                <w:sz w:val="8"/>
              </w:rPr>
            </w:pPr>
          </w:p>
        </w:tc>
        <w:tc>
          <w:tcPr>
            <w:tcW w:w="1146" w:type="dxa"/>
            <w:shd w:val="clear" w:color="auto" w:fill="CCEDFF"/>
          </w:tcPr>
          <w:p>
            <w:pPr>
              <w:pStyle w:val="TableParagraph"/>
              <w:rPr>
                <w:sz w:val="8"/>
              </w:rPr>
            </w:pPr>
          </w:p>
        </w:tc>
        <w:tc>
          <w:tcPr>
            <w:tcW w:w="1123" w:type="dxa"/>
            <w:shd w:val="clear" w:color="auto" w:fill="CCEDFF"/>
          </w:tcPr>
          <w:p>
            <w:pPr>
              <w:pStyle w:val="TableParagraph"/>
              <w:rPr>
                <w:sz w:val="8"/>
              </w:rPr>
            </w:pPr>
          </w:p>
        </w:tc>
      </w:tr>
      <w:tr>
        <w:trPr>
          <w:trHeight w:val="152" w:hRule="atLeast"/>
        </w:trPr>
        <w:tc>
          <w:tcPr>
            <w:tcW w:w="3290" w:type="dxa"/>
          </w:tcPr>
          <w:p>
            <w:pPr>
              <w:pStyle w:val="TableParagraph"/>
              <w:spacing w:line="133" w:lineRule="exact"/>
              <w:ind w:left="152"/>
              <w:rPr>
                <w:sz w:val="14"/>
              </w:rPr>
            </w:pPr>
            <w:r>
              <w:rPr>
                <w:sz w:val="14"/>
              </w:rPr>
              <w:t>Segment net </w:t>
            </w:r>
            <w:r>
              <w:rPr>
                <w:spacing w:val="-2"/>
                <w:sz w:val="14"/>
              </w:rPr>
              <w:t>sales</w:t>
            </w:r>
          </w:p>
        </w:tc>
        <w:tc>
          <w:tcPr>
            <w:tcW w:w="1268" w:type="dxa"/>
          </w:tcPr>
          <w:p>
            <w:pPr>
              <w:pStyle w:val="TableParagraph"/>
              <w:tabs>
                <w:tab w:pos="677" w:val="left" w:leader="none"/>
              </w:tabs>
              <w:spacing w:line="133" w:lineRule="exact"/>
              <w:ind w:left="49"/>
              <w:jc w:val="center"/>
              <w:rPr>
                <w:sz w:val="14"/>
              </w:rPr>
            </w:pPr>
            <w:r>
              <w:rPr>
                <w:spacing w:val="-10"/>
                <w:sz w:val="14"/>
              </w:rPr>
              <w:t>$</w:t>
            </w:r>
            <w:r>
              <w:rPr>
                <w:sz w:val="14"/>
              </w:rPr>
              <w:tab/>
            </w:r>
            <w:r>
              <w:rPr>
                <w:spacing w:val="-2"/>
                <w:sz w:val="14"/>
              </w:rPr>
              <w:t>3,700</w:t>
            </w:r>
          </w:p>
        </w:tc>
        <w:tc>
          <w:tcPr>
            <w:tcW w:w="1210" w:type="dxa"/>
          </w:tcPr>
          <w:p>
            <w:pPr>
              <w:pStyle w:val="TableParagraph"/>
              <w:tabs>
                <w:tab w:pos="665" w:val="left" w:leader="none"/>
              </w:tabs>
              <w:spacing w:line="133" w:lineRule="exact"/>
              <w:ind w:right="44"/>
              <w:jc w:val="center"/>
              <w:rPr>
                <w:sz w:val="14"/>
              </w:rPr>
            </w:pPr>
            <w:r>
              <w:rPr>
                <w:spacing w:val="-10"/>
                <w:sz w:val="14"/>
              </w:rPr>
              <w:t>$</w:t>
            </w:r>
            <w:r>
              <w:rPr>
                <w:sz w:val="14"/>
              </w:rPr>
              <w:tab/>
            </w:r>
            <w:r>
              <w:rPr>
                <w:spacing w:val="-2"/>
                <w:sz w:val="14"/>
              </w:rPr>
              <w:t>4,349</w:t>
            </w:r>
          </w:p>
        </w:tc>
        <w:tc>
          <w:tcPr>
            <w:tcW w:w="1146" w:type="dxa"/>
          </w:tcPr>
          <w:p>
            <w:pPr>
              <w:pStyle w:val="TableParagraph"/>
              <w:tabs>
                <w:tab w:pos="601" w:val="left" w:leader="none"/>
              </w:tabs>
              <w:spacing w:line="133" w:lineRule="exact"/>
              <w:ind w:right="43"/>
              <w:jc w:val="center"/>
              <w:rPr>
                <w:sz w:val="14"/>
              </w:rPr>
            </w:pPr>
            <w:r>
              <w:rPr>
                <w:spacing w:val="-10"/>
                <w:sz w:val="14"/>
              </w:rPr>
              <w:t>$</w:t>
            </w:r>
            <w:r>
              <w:rPr>
                <w:sz w:val="14"/>
              </w:rPr>
              <w:tab/>
            </w:r>
            <w:r>
              <w:rPr>
                <w:spacing w:val="-2"/>
                <w:sz w:val="14"/>
              </w:rPr>
              <w:t>2,008</w:t>
            </w:r>
          </w:p>
        </w:tc>
        <w:tc>
          <w:tcPr>
            <w:tcW w:w="1184" w:type="dxa"/>
          </w:tcPr>
          <w:p>
            <w:pPr>
              <w:pStyle w:val="TableParagraph"/>
              <w:tabs>
                <w:tab w:pos="640" w:val="left" w:leader="none"/>
              </w:tabs>
              <w:spacing w:line="133" w:lineRule="exact"/>
              <w:ind w:right="42"/>
              <w:jc w:val="center"/>
              <w:rPr>
                <w:sz w:val="14"/>
              </w:rPr>
            </w:pPr>
            <w:r>
              <w:rPr>
                <w:spacing w:val="-10"/>
                <w:sz w:val="14"/>
              </w:rPr>
              <w:t>$</w:t>
            </w:r>
            <w:r>
              <w:rPr>
                <w:sz w:val="14"/>
              </w:rPr>
              <w:tab/>
            </w:r>
            <w:r>
              <w:rPr>
                <w:spacing w:val="-2"/>
                <w:sz w:val="14"/>
              </w:rPr>
              <w:t>1,586</w:t>
            </w:r>
          </w:p>
        </w:tc>
        <w:tc>
          <w:tcPr>
            <w:tcW w:w="1146" w:type="dxa"/>
          </w:tcPr>
          <w:p>
            <w:pPr>
              <w:pStyle w:val="TableParagraph"/>
              <w:tabs>
                <w:tab w:pos="601" w:val="left" w:leader="none"/>
              </w:tabs>
              <w:spacing w:line="133" w:lineRule="exact"/>
              <w:ind w:right="41"/>
              <w:jc w:val="center"/>
              <w:rPr>
                <w:sz w:val="14"/>
              </w:rPr>
            </w:pPr>
            <w:r>
              <w:rPr>
                <w:spacing w:val="-10"/>
                <w:sz w:val="14"/>
              </w:rPr>
              <w:t>$</w:t>
            </w:r>
            <w:r>
              <w:rPr>
                <w:sz w:val="14"/>
              </w:rPr>
              <w:tab/>
            </w:r>
            <w:r>
              <w:rPr>
                <w:spacing w:val="-2"/>
                <w:sz w:val="14"/>
              </w:rPr>
              <w:t>1,234</w:t>
            </w:r>
          </w:p>
        </w:tc>
        <w:tc>
          <w:tcPr>
            <w:tcW w:w="1146" w:type="dxa"/>
          </w:tcPr>
          <w:p>
            <w:pPr>
              <w:pStyle w:val="TableParagraph"/>
              <w:tabs>
                <w:tab w:pos="601" w:val="left" w:leader="none"/>
              </w:tabs>
              <w:spacing w:line="133" w:lineRule="exact"/>
              <w:ind w:right="40"/>
              <w:jc w:val="center"/>
              <w:rPr>
                <w:sz w:val="14"/>
              </w:rPr>
            </w:pPr>
            <w:r>
              <w:rPr>
                <w:spacing w:val="-10"/>
                <w:sz w:val="14"/>
              </w:rPr>
              <w:t>$</w:t>
            </w:r>
            <w:r>
              <w:rPr>
                <w:sz w:val="14"/>
              </w:rPr>
              <w:tab/>
            </w:r>
            <w:r>
              <w:rPr>
                <w:spacing w:val="-2"/>
                <w:sz w:val="14"/>
              </w:rPr>
              <w:t>1,243</w:t>
            </w:r>
          </w:p>
        </w:tc>
        <w:tc>
          <w:tcPr>
            <w:tcW w:w="1123" w:type="dxa"/>
          </w:tcPr>
          <w:p>
            <w:pPr>
              <w:pStyle w:val="TableParagraph"/>
              <w:tabs>
                <w:tab w:pos="625" w:val="left" w:leader="none"/>
              </w:tabs>
              <w:spacing w:line="133" w:lineRule="exact"/>
              <w:ind w:left="93"/>
              <w:rPr>
                <w:sz w:val="14"/>
              </w:rPr>
            </w:pPr>
            <w:r>
              <w:rPr>
                <w:spacing w:val="-10"/>
                <w:sz w:val="14"/>
              </w:rPr>
              <w:t>$</w:t>
            </w:r>
            <w:r>
              <w:rPr>
                <w:sz w:val="14"/>
              </w:rPr>
              <w:tab/>
            </w:r>
            <w:r>
              <w:rPr>
                <w:spacing w:val="-2"/>
                <w:sz w:val="14"/>
              </w:rPr>
              <w:t>14,120</w:t>
            </w:r>
          </w:p>
        </w:tc>
      </w:tr>
      <w:tr>
        <w:trPr>
          <w:trHeight w:val="152" w:hRule="atLeast"/>
        </w:trPr>
        <w:tc>
          <w:tcPr>
            <w:tcW w:w="3290" w:type="dxa"/>
            <w:shd w:val="clear" w:color="auto" w:fill="CCEDFF"/>
          </w:tcPr>
          <w:p>
            <w:pPr>
              <w:pStyle w:val="TableParagraph"/>
              <w:spacing w:line="133" w:lineRule="exact"/>
              <w:ind w:left="152"/>
              <w:rPr>
                <w:sz w:val="11"/>
              </w:rPr>
            </w:pPr>
            <w:r>
              <w:rPr>
                <w:sz w:val="14"/>
              </w:rPr>
              <w:t>Depreciation</w:t>
            </w:r>
            <w:r>
              <w:rPr>
                <w:spacing w:val="-1"/>
                <w:sz w:val="14"/>
              </w:rPr>
              <w:t> </w:t>
            </w:r>
            <w:r>
              <w:rPr>
                <w:spacing w:val="-5"/>
                <w:position w:val="3"/>
                <w:sz w:val="11"/>
              </w:rPr>
              <w:t>(1)</w:t>
            </w:r>
          </w:p>
        </w:tc>
        <w:tc>
          <w:tcPr>
            <w:tcW w:w="1268" w:type="dxa"/>
            <w:shd w:val="clear" w:color="auto" w:fill="CCEDFF"/>
          </w:tcPr>
          <w:p>
            <w:pPr>
              <w:pStyle w:val="TableParagraph"/>
              <w:tabs>
                <w:tab w:pos="782" w:val="left" w:leader="none"/>
              </w:tabs>
              <w:spacing w:line="133" w:lineRule="exact"/>
              <w:ind w:left="49"/>
              <w:jc w:val="center"/>
              <w:rPr>
                <w:sz w:val="14"/>
              </w:rPr>
            </w:pPr>
            <w:r>
              <w:rPr>
                <w:spacing w:val="-10"/>
                <w:sz w:val="14"/>
              </w:rPr>
              <w:t>$</w:t>
            </w:r>
            <w:r>
              <w:rPr>
                <w:sz w:val="14"/>
              </w:rPr>
              <w:tab/>
            </w:r>
            <w:r>
              <w:rPr>
                <w:spacing w:val="-5"/>
                <w:sz w:val="14"/>
              </w:rPr>
              <w:t>605</w:t>
            </w:r>
          </w:p>
        </w:tc>
        <w:tc>
          <w:tcPr>
            <w:tcW w:w="1210" w:type="dxa"/>
            <w:shd w:val="clear" w:color="auto" w:fill="CCEDFF"/>
          </w:tcPr>
          <w:p>
            <w:pPr>
              <w:pStyle w:val="TableParagraph"/>
              <w:tabs>
                <w:tab w:pos="770" w:val="left" w:leader="none"/>
              </w:tabs>
              <w:spacing w:line="133" w:lineRule="exact"/>
              <w:ind w:right="44"/>
              <w:jc w:val="center"/>
              <w:rPr>
                <w:sz w:val="14"/>
              </w:rPr>
            </w:pPr>
            <w:r>
              <w:rPr>
                <w:spacing w:val="-10"/>
                <w:sz w:val="14"/>
              </w:rPr>
              <w:t>$</w:t>
            </w:r>
            <w:r>
              <w:rPr>
                <w:sz w:val="14"/>
              </w:rPr>
              <w:tab/>
            </w:r>
            <w:r>
              <w:rPr>
                <w:spacing w:val="-5"/>
                <w:sz w:val="14"/>
              </w:rPr>
              <w:t>224</w:t>
            </w:r>
          </w:p>
        </w:tc>
        <w:tc>
          <w:tcPr>
            <w:tcW w:w="1146" w:type="dxa"/>
            <w:shd w:val="clear" w:color="auto" w:fill="CCEDFF"/>
          </w:tcPr>
          <w:p>
            <w:pPr>
              <w:pStyle w:val="TableParagraph"/>
              <w:tabs>
                <w:tab w:pos="706" w:val="left" w:leader="none"/>
              </w:tabs>
              <w:spacing w:line="133" w:lineRule="exact"/>
              <w:ind w:right="43"/>
              <w:jc w:val="center"/>
              <w:rPr>
                <w:sz w:val="14"/>
              </w:rPr>
            </w:pPr>
            <w:r>
              <w:rPr>
                <w:spacing w:val="-10"/>
                <w:sz w:val="14"/>
              </w:rPr>
              <w:t>$</w:t>
            </w:r>
            <w:r>
              <w:rPr>
                <w:sz w:val="14"/>
              </w:rPr>
              <w:tab/>
            </w:r>
            <w:r>
              <w:rPr>
                <w:spacing w:val="-5"/>
                <w:sz w:val="14"/>
              </w:rPr>
              <w:t>161</w:t>
            </w:r>
          </w:p>
        </w:tc>
        <w:tc>
          <w:tcPr>
            <w:tcW w:w="1184" w:type="dxa"/>
            <w:shd w:val="clear" w:color="auto" w:fill="CCEDFF"/>
          </w:tcPr>
          <w:p>
            <w:pPr>
              <w:pStyle w:val="TableParagraph"/>
              <w:tabs>
                <w:tab w:pos="745" w:val="left" w:leader="none"/>
              </w:tabs>
              <w:spacing w:line="133" w:lineRule="exact"/>
              <w:ind w:right="42"/>
              <w:jc w:val="center"/>
              <w:rPr>
                <w:sz w:val="14"/>
              </w:rPr>
            </w:pPr>
            <w:r>
              <w:rPr>
                <w:spacing w:val="-10"/>
                <w:sz w:val="14"/>
              </w:rPr>
              <w:t>$</w:t>
            </w:r>
            <w:r>
              <w:rPr>
                <w:sz w:val="14"/>
              </w:rPr>
              <w:tab/>
            </w:r>
            <w:r>
              <w:rPr>
                <w:spacing w:val="-5"/>
                <w:sz w:val="14"/>
              </w:rPr>
              <w:t>139</w:t>
            </w:r>
          </w:p>
        </w:tc>
        <w:tc>
          <w:tcPr>
            <w:tcW w:w="1146" w:type="dxa"/>
            <w:shd w:val="clear" w:color="auto" w:fill="CCEDFF"/>
          </w:tcPr>
          <w:p>
            <w:pPr>
              <w:pStyle w:val="TableParagraph"/>
              <w:tabs>
                <w:tab w:pos="776" w:val="left" w:leader="none"/>
              </w:tabs>
              <w:spacing w:line="133" w:lineRule="exact"/>
              <w:ind w:right="41"/>
              <w:jc w:val="center"/>
              <w:rPr>
                <w:sz w:val="14"/>
              </w:rPr>
            </w:pPr>
            <w:r>
              <w:rPr>
                <w:spacing w:val="-10"/>
                <w:sz w:val="14"/>
              </w:rPr>
              <w:t>$</w:t>
            </w:r>
            <w:r>
              <w:rPr>
                <w:sz w:val="14"/>
              </w:rPr>
              <w:tab/>
            </w:r>
            <w:r>
              <w:rPr>
                <w:spacing w:val="-5"/>
                <w:sz w:val="14"/>
              </w:rPr>
              <w:t>52</w:t>
            </w:r>
          </w:p>
        </w:tc>
        <w:tc>
          <w:tcPr>
            <w:tcW w:w="1146" w:type="dxa"/>
            <w:shd w:val="clear" w:color="auto" w:fill="CCEDFF"/>
          </w:tcPr>
          <w:p>
            <w:pPr>
              <w:pStyle w:val="TableParagraph"/>
              <w:tabs>
                <w:tab w:pos="706" w:val="left" w:leader="none"/>
              </w:tabs>
              <w:spacing w:line="133" w:lineRule="exact"/>
              <w:ind w:right="40"/>
              <w:jc w:val="center"/>
              <w:rPr>
                <w:sz w:val="14"/>
              </w:rPr>
            </w:pPr>
            <w:r>
              <w:rPr>
                <w:spacing w:val="-10"/>
                <w:sz w:val="14"/>
              </w:rPr>
              <w:t>$</w:t>
            </w:r>
            <w:r>
              <w:rPr>
                <w:sz w:val="14"/>
              </w:rPr>
              <w:tab/>
            </w:r>
            <w:r>
              <w:rPr>
                <w:spacing w:val="-5"/>
                <w:sz w:val="14"/>
              </w:rPr>
              <w:t>134</w:t>
            </w:r>
          </w:p>
        </w:tc>
        <w:tc>
          <w:tcPr>
            <w:tcW w:w="1123" w:type="dxa"/>
            <w:shd w:val="clear" w:color="auto" w:fill="CCEDFF"/>
          </w:tcPr>
          <w:p>
            <w:pPr>
              <w:pStyle w:val="TableParagraph"/>
              <w:tabs>
                <w:tab w:pos="695" w:val="left" w:leader="none"/>
              </w:tabs>
              <w:spacing w:line="133" w:lineRule="exact"/>
              <w:ind w:left="93"/>
              <w:rPr>
                <w:sz w:val="14"/>
              </w:rPr>
            </w:pPr>
            <w:r>
              <w:rPr>
                <w:spacing w:val="-10"/>
                <w:sz w:val="14"/>
              </w:rPr>
              <w:t>$</w:t>
            </w:r>
            <w:r>
              <w:rPr>
                <w:sz w:val="14"/>
              </w:rPr>
              <w:tab/>
            </w:r>
            <w:r>
              <w:rPr>
                <w:spacing w:val="-2"/>
                <w:sz w:val="14"/>
              </w:rPr>
              <w:t>1,315</w:t>
            </w:r>
          </w:p>
        </w:tc>
      </w:tr>
      <w:tr>
        <w:trPr>
          <w:trHeight w:val="152" w:hRule="atLeast"/>
        </w:trPr>
        <w:tc>
          <w:tcPr>
            <w:tcW w:w="3290" w:type="dxa"/>
          </w:tcPr>
          <w:p>
            <w:pPr>
              <w:pStyle w:val="TableParagraph"/>
              <w:spacing w:line="133" w:lineRule="exact"/>
              <w:ind w:right="185"/>
              <w:jc w:val="right"/>
              <w:rPr>
                <w:sz w:val="11"/>
              </w:rPr>
            </w:pPr>
            <w:r>
              <w:rPr>
                <w:sz w:val="14"/>
              </w:rPr>
              <w:t>Research,</w:t>
            </w:r>
            <w:r>
              <w:rPr>
                <w:spacing w:val="-2"/>
                <w:sz w:val="14"/>
              </w:rPr>
              <w:t> </w:t>
            </w:r>
            <w:r>
              <w:rPr>
                <w:sz w:val="14"/>
              </w:rPr>
              <w:t>development</w:t>
            </w:r>
            <w:r>
              <w:rPr>
                <w:spacing w:val="-1"/>
                <w:sz w:val="14"/>
              </w:rPr>
              <w:t> </w:t>
            </w:r>
            <w:r>
              <w:rPr>
                <w:sz w:val="14"/>
              </w:rPr>
              <w:t>and</w:t>
            </w:r>
            <w:r>
              <w:rPr>
                <w:spacing w:val="-2"/>
                <w:sz w:val="14"/>
              </w:rPr>
              <w:t> </w:t>
            </w:r>
            <w:r>
              <w:rPr>
                <w:sz w:val="14"/>
              </w:rPr>
              <w:t>engineering</w:t>
            </w:r>
            <w:r>
              <w:rPr>
                <w:spacing w:val="-1"/>
                <w:sz w:val="14"/>
              </w:rPr>
              <w:t> </w:t>
            </w:r>
            <w:r>
              <w:rPr>
                <w:sz w:val="14"/>
              </w:rPr>
              <w:t>expenses</w:t>
            </w:r>
            <w:r>
              <w:rPr>
                <w:spacing w:val="-3"/>
                <w:sz w:val="14"/>
              </w:rPr>
              <w:t> </w:t>
            </w:r>
            <w:r>
              <w:rPr>
                <w:spacing w:val="-5"/>
                <w:position w:val="3"/>
                <w:sz w:val="11"/>
              </w:rPr>
              <w:t>(2)</w:t>
            </w:r>
          </w:p>
        </w:tc>
        <w:tc>
          <w:tcPr>
            <w:tcW w:w="1268" w:type="dxa"/>
          </w:tcPr>
          <w:p>
            <w:pPr>
              <w:pStyle w:val="TableParagraph"/>
              <w:tabs>
                <w:tab w:pos="782" w:val="left" w:leader="none"/>
              </w:tabs>
              <w:spacing w:line="133" w:lineRule="exact"/>
              <w:ind w:left="49"/>
              <w:jc w:val="center"/>
              <w:rPr>
                <w:sz w:val="14"/>
              </w:rPr>
            </w:pPr>
            <w:r>
              <w:rPr>
                <w:spacing w:val="-10"/>
                <w:sz w:val="14"/>
              </w:rPr>
              <w:t>$</w:t>
            </w:r>
            <w:r>
              <w:rPr>
                <w:sz w:val="14"/>
              </w:rPr>
              <w:tab/>
            </w:r>
            <w:r>
              <w:rPr>
                <w:spacing w:val="-5"/>
                <w:sz w:val="14"/>
              </w:rPr>
              <w:t>110</w:t>
            </w:r>
          </w:p>
        </w:tc>
        <w:tc>
          <w:tcPr>
            <w:tcW w:w="1210" w:type="dxa"/>
          </w:tcPr>
          <w:p>
            <w:pPr>
              <w:pStyle w:val="TableParagraph"/>
              <w:tabs>
                <w:tab w:pos="770" w:val="left" w:leader="none"/>
              </w:tabs>
              <w:spacing w:line="133" w:lineRule="exact"/>
              <w:ind w:right="44"/>
              <w:jc w:val="center"/>
              <w:rPr>
                <w:sz w:val="14"/>
              </w:rPr>
            </w:pPr>
            <w:r>
              <w:rPr>
                <w:spacing w:val="-10"/>
                <w:sz w:val="14"/>
              </w:rPr>
              <w:t>$</w:t>
            </w:r>
            <w:r>
              <w:rPr>
                <w:sz w:val="14"/>
              </w:rPr>
              <w:tab/>
            </w:r>
            <w:r>
              <w:rPr>
                <w:spacing w:val="-5"/>
                <w:sz w:val="14"/>
              </w:rPr>
              <w:t>216</w:t>
            </w:r>
          </w:p>
        </w:tc>
        <w:tc>
          <w:tcPr>
            <w:tcW w:w="1146" w:type="dxa"/>
          </w:tcPr>
          <w:p>
            <w:pPr>
              <w:pStyle w:val="TableParagraph"/>
              <w:tabs>
                <w:tab w:pos="706" w:val="left" w:leader="none"/>
              </w:tabs>
              <w:spacing w:line="133" w:lineRule="exact"/>
              <w:ind w:right="43"/>
              <w:jc w:val="center"/>
              <w:rPr>
                <w:sz w:val="14"/>
              </w:rPr>
            </w:pPr>
            <w:r>
              <w:rPr>
                <w:spacing w:val="-10"/>
                <w:sz w:val="14"/>
              </w:rPr>
              <w:t>$</w:t>
            </w:r>
            <w:r>
              <w:rPr>
                <w:sz w:val="14"/>
              </w:rPr>
              <w:tab/>
            </w:r>
            <w:r>
              <w:rPr>
                <w:spacing w:val="-5"/>
                <w:sz w:val="14"/>
              </w:rPr>
              <w:t>208</w:t>
            </w:r>
          </w:p>
        </w:tc>
        <w:tc>
          <w:tcPr>
            <w:tcW w:w="1184" w:type="dxa"/>
          </w:tcPr>
          <w:p>
            <w:pPr>
              <w:pStyle w:val="TableParagraph"/>
              <w:tabs>
                <w:tab w:pos="745" w:val="left" w:leader="none"/>
              </w:tabs>
              <w:spacing w:line="133" w:lineRule="exact"/>
              <w:ind w:right="42"/>
              <w:jc w:val="center"/>
              <w:rPr>
                <w:sz w:val="14"/>
              </w:rPr>
            </w:pPr>
            <w:r>
              <w:rPr>
                <w:spacing w:val="-10"/>
                <w:sz w:val="14"/>
              </w:rPr>
              <w:t>$</w:t>
            </w:r>
            <w:r>
              <w:rPr>
                <w:sz w:val="14"/>
              </w:rPr>
              <w:tab/>
            </w:r>
            <w:r>
              <w:rPr>
                <w:spacing w:val="-5"/>
                <w:sz w:val="14"/>
              </w:rPr>
              <w:t>111</w:t>
            </w:r>
          </w:p>
        </w:tc>
        <w:tc>
          <w:tcPr>
            <w:tcW w:w="1146" w:type="dxa"/>
          </w:tcPr>
          <w:p>
            <w:pPr>
              <w:pStyle w:val="TableParagraph"/>
              <w:tabs>
                <w:tab w:pos="776" w:val="left" w:leader="none"/>
              </w:tabs>
              <w:spacing w:line="133" w:lineRule="exact"/>
              <w:ind w:right="41"/>
              <w:jc w:val="center"/>
              <w:rPr>
                <w:sz w:val="14"/>
              </w:rPr>
            </w:pPr>
            <w:r>
              <w:rPr>
                <w:spacing w:val="-10"/>
                <w:sz w:val="14"/>
              </w:rPr>
              <w:t>$</w:t>
            </w:r>
            <w:r>
              <w:rPr>
                <w:sz w:val="14"/>
              </w:rPr>
              <w:tab/>
            </w:r>
            <w:r>
              <w:rPr>
                <w:spacing w:val="-5"/>
                <w:sz w:val="14"/>
              </w:rPr>
              <w:t>33</w:t>
            </w:r>
          </w:p>
        </w:tc>
        <w:tc>
          <w:tcPr>
            <w:tcW w:w="1146" w:type="dxa"/>
          </w:tcPr>
          <w:p>
            <w:pPr>
              <w:pStyle w:val="TableParagraph"/>
              <w:tabs>
                <w:tab w:pos="706" w:val="left" w:leader="none"/>
              </w:tabs>
              <w:spacing w:line="133" w:lineRule="exact"/>
              <w:ind w:right="40"/>
              <w:jc w:val="center"/>
              <w:rPr>
                <w:sz w:val="14"/>
              </w:rPr>
            </w:pPr>
            <w:r>
              <w:rPr>
                <w:spacing w:val="-10"/>
                <w:sz w:val="14"/>
              </w:rPr>
              <w:t>$</w:t>
            </w:r>
            <w:r>
              <w:rPr>
                <w:sz w:val="14"/>
              </w:rPr>
              <w:tab/>
            </w:r>
            <w:r>
              <w:rPr>
                <w:spacing w:val="-5"/>
                <w:sz w:val="14"/>
              </w:rPr>
              <w:t>160</w:t>
            </w:r>
          </w:p>
        </w:tc>
        <w:tc>
          <w:tcPr>
            <w:tcW w:w="1123" w:type="dxa"/>
          </w:tcPr>
          <w:p>
            <w:pPr>
              <w:pStyle w:val="TableParagraph"/>
              <w:tabs>
                <w:tab w:pos="800" w:val="left" w:leader="none"/>
              </w:tabs>
              <w:spacing w:line="133" w:lineRule="exact"/>
              <w:ind w:left="93"/>
              <w:rPr>
                <w:sz w:val="14"/>
              </w:rPr>
            </w:pPr>
            <w:r>
              <w:rPr>
                <w:spacing w:val="-10"/>
                <w:sz w:val="14"/>
              </w:rPr>
              <w:t>$</w:t>
            </w:r>
            <w:r>
              <w:rPr>
                <w:sz w:val="14"/>
              </w:rPr>
              <w:tab/>
            </w:r>
            <w:r>
              <w:rPr>
                <w:spacing w:val="-5"/>
                <w:sz w:val="14"/>
              </w:rPr>
              <w:t>838</w:t>
            </w:r>
          </w:p>
        </w:tc>
      </w:tr>
      <w:tr>
        <w:trPr>
          <w:trHeight w:val="152" w:hRule="atLeast"/>
        </w:trPr>
        <w:tc>
          <w:tcPr>
            <w:tcW w:w="3290" w:type="dxa"/>
            <w:shd w:val="clear" w:color="auto" w:fill="CCEDFF"/>
          </w:tcPr>
          <w:p>
            <w:pPr>
              <w:pStyle w:val="TableParagraph"/>
              <w:spacing w:line="133" w:lineRule="exact"/>
              <w:ind w:left="152"/>
              <w:rPr>
                <w:sz w:val="11"/>
              </w:rPr>
            </w:pPr>
            <w:r>
              <w:rPr>
                <w:sz w:val="14"/>
              </w:rPr>
              <w:t>Income tax (provision) benefit</w:t>
            </w:r>
            <w:r>
              <w:rPr>
                <w:spacing w:val="-1"/>
                <w:sz w:val="14"/>
              </w:rPr>
              <w:t> </w:t>
            </w:r>
            <w:r>
              <w:rPr>
                <w:spacing w:val="-5"/>
                <w:position w:val="3"/>
                <w:sz w:val="11"/>
              </w:rPr>
              <w:t>(3)</w:t>
            </w:r>
          </w:p>
        </w:tc>
        <w:tc>
          <w:tcPr>
            <w:tcW w:w="1268" w:type="dxa"/>
            <w:shd w:val="clear" w:color="auto" w:fill="CCEDFF"/>
          </w:tcPr>
          <w:p>
            <w:pPr>
              <w:pStyle w:val="TableParagraph"/>
              <w:tabs>
                <w:tab w:pos="782" w:val="left" w:leader="none"/>
              </w:tabs>
              <w:spacing w:line="133" w:lineRule="exact"/>
              <w:ind w:left="96"/>
              <w:jc w:val="center"/>
              <w:rPr>
                <w:sz w:val="14"/>
              </w:rPr>
            </w:pPr>
            <w:r>
              <w:rPr>
                <w:spacing w:val="-10"/>
                <w:sz w:val="14"/>
              </w:rPr>
              <w:t>$</w:t>
            </w:r>
            <w:r>
              <w:rPr>
                <w:sz w:val="14"/>
              </w:rPr>
              <w:tab/>
            </w:r>
            <w:r>
              <w:rPr>
                <w:spacing w:val="-2"/>
                <w:sz w:val="14"/>
              </w:rPr>
              <w:t>(249)</w:t>
            </w:r>
          </w:p>
        </w:tc>
        <w:tc>
          <w:tcPr>
            <w:tcW w:w="1210" w:type="dxa"/>
            <w:shd w:val="clear" w:color="auto" w:fill="CCEDFF"/>
          </w:tcPr>
          <w:p>
            <w:pPr>
              <w:pStyle w:val="TableParagraph"/>
              <w:tabs>
                <w:tab w:pos="724" w:val="left" w:leader="none"/>
              </w:tabs>
              <w:spacing w:line="133" w:lineRule="exact"/>
              <w:jc w:val="center"/>
              <w:rPr>
                <w:sz w:val="14"/>
              </w:rPr>
            </w:pPr>
            <w:r>
              <w:rPr>
                <w:spacing w:val="-10"/>
                <w:sz w:val="14"/>
              </w:rPr>
              <w:t>$</w:t>
            </w:r>
            <w:r>
              <w:rPr>
                <w:sz w:val="14"/>
              </w:rPr>
              <w:tab/>
            </w:r>
            <w:r>
              <w:rPr>
                <w:spacing w:val="-2"/>
                <w:sz w:val="14"/>
              </w:rPr>
              <w:t>(152)</w:t>
            </w:r>
          </w:p>
        </w:tc>
        <w:tc>
          <w:tcPr>
            <w:tcW w:w="1146" w:type="dxa"/>
            <w:shd w:val="clear" w:color="auto" w:fill="CCEDFF"/>
          </w:tcPr>
          <w:p>
            <w:pPr>
              <w:pStyle w:val="TableParagraph"/>
              <w:tabs>
                <w:tab w:pos="731" w:val="left" w:leader="none"/>
              </w:tabs>
              <w:spacing w:line="133" w:lineRule="exact"/>
              <w:ind w:left="1"/>
              <w:jc w:val="center"/>
              <w:rPr>
                <w:sz w:val="14"/>
              </w:rPr>
            </w:pPr>
            <w:r>
              <w:rPr>
                <w:spacing w:val="-10"/>
                <w:sz w:val="14"/>
              </w:rPr>
              <w:t>$</w:t>
            </w:r>
            <w:r>
              <w:rPr>
                <w:sz w:val="14"/>
              </w:rPr>
              <w:tab/>
            </w:r>
            <w:r>
              <w:rPr>
                <w:spacing w:val="-4"/>
                <w:sz w:val="14"/>
              </w:rPr>
              <w:t>(99)</w:t>
            </w:r>
          </w:p>
        </w:tc>
        <w:tc>
          <w:tcPr>
            <w:tcW w:w="1184" w:type="dxa"/>
            <w:shd w:val="clear" w:color="auto" w:fill="CCEDFF"/>
          </w:tcPr>
          <w:p>
            <w:pPr>
              <w:pStyle w:val="TableParagraph"/>
              <w:tabs>
                <w:tab w:pos="770" w:val="left" w:leader="none"/>
              </w:tabs>
              <w:spacing w:line="133" w:lineRule="exact"/>
              <w:ind w:left="2"/>
              <w:jc w:val="center"/>
              <w:rPr>
                <w:sz w:val="14"/>
              </w:rPr>
            </w:pPr>
            <w:r>
              <w:rPr>
                <w:spacing w:val="-10"/>
                <w:sz w:val="14"/>
              </w:rPr>
              <w:t>$</w:t>
            </w:r>
            <w:r>
              <w:rPr>
                <w:sz w:val="14"/>
              </w:rPr>
              <w:tab/>
            </w:r>
            <w:r>
              <w:rPr>
                <w:spacing w:val="-4"/>
                <w:sz w:val="14"/>
              </w:rPr>
              <w:t>(72)</w:t>
            </w:r>
          </w:p>
        </w:tc>
        <w:tc>
          <w:tcPr>
            <w:tcW w:w="1146" w:type="dxa"/>
            <w:shd w:val="clear" w:color="auto" w:fill="CCEDFF"/>
          </w:tcPr>
          <w:p>
            <w:pPr>
              <w:pStyle w:val="TableParagraph"/>
              <w:tabs>
                <w:tab w:pos="733" w:val="left" w:leader="none"/>
              </w:tabs>
              <w:spacing w:line="133" w:lineRule="exact"/>
              <w:ind w:left="3"/>
              <w:jc w:val="center"/>
              <w:rPr>
                <w:sz w:val="14"/>
              </w:rPr>
            </w:pPr>
            <w:r>
              <w:rPr>
                <w:spacing w:val="-10"/>
                <w:sz w:val="14"/>
              </w:rPr>
              <w:t>$</w:t>
            </w:r>
            <w:r>
              <w:rPr>
                <w:sz w:val="14"/>
              </w:rPr>
              <w:tab/>
            </w:r>
            <w:r>
              <w:rPr>
                <w:spacing w:val="-4"/>
                <w:sz w:val="14"/>
              </w:rPr>
              <w:t>(51)</w:t>
            </w:r>
          </w:p>
        </w:tc>
        <w:tc>
          <w:tcPr>
            <w:tcW w:w="1146" w:type="dxa"/>
            <w:shd w:val="clear" w:color="auto" w:fill="CCEDFF"/>
          </w:tcPr>
          <w:p>
            <w:pPr>
              <w:pStyle w:val="TableParagraph"/>
              <w:tabs>
                <w:tab w:pos="776" w:val="left" w:leader="none"/>
              </w:tabs>
              <w:spacing w:line="133" w:lineRule="exact"/>
              <w:ind w:right="40"/>
              <w:jc w:val="center"/>
              <w:rPr>
                <w:sz w:val="14"/>
              </w:rPr>
            </w:pPr>
            <w:r>
              <w:rPr>
                <w:spacing w:val="-10"/>
                <w:sz w:val="14"/>
              </w:rPr>
              <w:t>$</w:t>
            </w:r>
            <w:r>
              <w:rPr>
                <w:sz w:val="14"/>
              </w:rPr>
              <w:tab/>
            </w:r>
            <w:r>
              <w:rPr>
                <w:spacing w:val="-5"/>
                <w:sz w:val="14"/>
              </w:rPr>
              <w:t>11</w:t>
            </w:r>
          </w:p>
        </w:tc>
        <w:tc>
          <w:tcPr>
            <w:tcW w:w="1123" w:type="dxa"/>
            <w:shd w:val="clear" w:color="auto" w:fill="CCEDFF"/>
          </w:tcPr>
          <w:p>
            <w:pPr>
              <w:pStyle w:val="TableParagraph"/>
              <w:tabs>
                <w:tab w:pos="754" w:val="left" w:leader="none"/>
              </w:tabs>
              <w:spacing w:line="133" w:lineRule="exact"/>
              <w:ind w:left="93"/>
              <w:rPr>
                <w:sz w:val="14"/>
              </w:rPr>
            </w:pPr>
            <w:r>
              <w:rPr>
                <w:spacing w:val="-10"/>
                <w:sz w:val="14"/>
              </w:rPr>
              <w:t>$</w:t>
            </w:r>
            <w:r>
              <w:rPr>
                <w:sz w:val="14"/>
              </w:rPr>
              <w:tab/>
            </w:r>
            <w:r>
              <w:rPr>
                <w:spacing w:val="-2"/>
                <w:sz w:val="14"/>
              </w:rPr>
              <w:t>(612)</w:t>
            </w:r>
          </w:p>
        </w:tc>
      </w:tr>
      <w:tr>
        <w:trPr>
          <w:trHeight w:val="144" w:hRule="atLeast"/>
        </w:trPr>
        <w:tc>
          <w:tcPr>
            <w:tcW w:w="3290" w:type="dxa"/>
            <w:tcBorders>
              <w:bottom w:val="double" w:sz="6" w:space="0" w:color="000000"/>
            </w:tcBorders>
          </w:tcPr>
          <w:p>
            <w:pPr>
              <w:pStyle w:val="TableParagraph"/>
              <w:spacing w:line="129" w:lineRule="exact"/>
              <w:ind w:left="152"/>
              <w:rPr>
                <w:sz w:val="11"/>
              </w:rPr>
            </w:pPr>
            <w:r>
              <w:rPr>
                <w:sz w:val="14"/>
              </w:rPr>
              <w:t>Net income (loss)</w:t>
            </w:r>
            <w:r>
              <w:rPr>
                <w:spacing w:val="-1"/>
                <w:sz w:val="14"/>
              </w:rPr>
              <w:t> </w:t>
            </w:r>
            <w:r>
              <w:rPr>
                <w:spacing w:val="-5"/>
                <w:position w:val="3"/>
                <w:sz w:val="11"/>
              </w:rPr>
              <w:t>(4)</w:t>
            </w:r>
          </w:p>
        </w:tc>
        <w:tc>
          <w:tcPr>
            <w:tcW w:w="1268" w:type="dxa"/>
            <w:tcBorders>
              <w:bottom w:val="double" w:sz="6" w:space="0" w:color="000000"/>
            </w:tcBorders>
          </w:tcPr>
          <w:p>
            <w:pPr>
              <w:pStyle w:val="TableParagraph"/>
              <w:tabs>
                <w:tab w:pos="782" w:val="left" w:leader="none"/>
              </w:tabs>
              <w:spacing w:line="129" w:lineRule="exact"/>
              <w:ind w:left="49"/>
              <w:jc w:val="center"/>
              <w:rPr>
                <w:sz w:val="14"/>
              </w:rPr>
            </w:pPr>
            <w:r>
              <w:rPr>
                <w:spacing w:val="-10"/>
                <w:sz w:val="14"/>
              </w:rPr>
              <w:t>$</w:t>
            </w:r>
            <w:r>
              <w:rPr>
                <w:sz w:val="14"/>
              </w:rPr>
              <w:tab/>
            </w:r>
            <w:r>
              <w:rPr>
                <w:spacing w:val="-5"/>
                <w:sz w:val="14"/>
              </w:rPr>
              <w:t>960</w:t>
            </w:r>
          </w:p>
        </w:tc>
        <w:tc>
          <w:tcPr>
            <w:tcW w:w="1210" w:type="dxa"/>
            <w:tcBorders>
              <w:bottom w:val="double" w:sz="6" w:space="0" w:color="000000"/>
            </w:tcBorders>
          </w:tcPr>
          <w:p>
            <w:pPr>
              <w:pStyle w:val="TableParagraph"/>
              <w:tabs>
                <w:tab w:pos="770" w:val="left" w:leader="none"/>
              </w:tabs>
              <w:spacing w:line="129" w:lineRule="exact"/>
              <w:ind w:right="44"/>
              <w:jc w:val="center"/>
              <w:rPr>
                <w:sz w:val="14"/>
              </w:rPr>
            </w:pPr>
            <w:r>
              <w:rPr>
                <w:spacing w:val="-10"/>
                <w:sz w:val="14"/>
              </w:rPr>
              <w:t>$</w:t>
            </w:r>
            <w:r>
              <w:rPr>
                <w:sz w:val="14"/>
              </w:rPr>
              <w:tab/>
            </w:r>
            <w:r>
              <w:rPr>
                <w:spacing w:val="-5"/>
                <w:sz w:val="14"/>
              </w:rPr>
              <w:t>553</w:t>
            </w:r>
          </w:p>
        </w:tc>
        <w:tc>
          <w:tcPr>
            <w:tcW w:w="1146" w:type="dxa"/>
            <w:tcBorders>
              <w:bottom w:val="double" w:sz="6" w:space="0" w:color="000000"/>
            </w:tcBorders>
          </w:tcPr>
          <w:p>
            <w:pPr>
              <w:pStyle w:val="TableParagraph"/>
              <w:tabs>
                <w:tab w:pos="706" w:val="left" w:leader="none"/>
              </w:tabs>
              <w:spacing w:line="129" w:lineRule="exact"/>
              <w:ind w:right="43"/>
              <w:jc w:val="center"/>
              <w:rPr>
                <w:sz w:val="14"/>
              </w:rPr>
            </w:pPr>
            <w:r>
              <w:rPr>
                <w:spacing w:val="-10"/>
                <w:sz w:val="14"/>
              </w:rPr>
              <w:t>$</w:t>
            </w:r>
            <w:r>
              <w:rPr>
                <w:sz w:val="14"/>
              </w:rPr>
              <w:tab/>
            </w:r>
            <w:r>
              <w:rPr>
                <w:spacing w:val="-5"/>
                <w:sz w:val="14"/>
              </w:rPr>
              <w:t>371</w:t>
            </w:r>
          </w:p>
        </w:tc>
        <w:tc>
          <w:tcPr>
            <w:tcW w:w="1184" w:type="dxa"/>
            <w:tcBorders>
              <w:bottom w:val="double" w:sz="6" w:space="0" w:color="000000"/>
            </w:tcBorders>
          </w:tcPr>
          <w:p>
            <w:pPr>
              <w:pStyle w:val="TableParagraph"/>
              <w:tabs>
                <w:tab w:pos="745" w:val="left" w:leader="none"/>
              </w:tabs>
              <w:spacing w:line="129" w:lineRule="exact"/>
              <w:ind w:right="42"/>
              <w:jc w:val="center"/>
              <w:rPr>
                <w:sz w:val="14"/>
              </w:rPr>
            </w:pPr>
            <w:r>
              <w:rPr>
                <w:spacing w:val="-10"/>
                <w:sz w:val="14"/>
              </w:rPr>
              <w:t>$</w:t>
            </w:r>
            <w:r>
              <w:rPr>
                <w:sz w:val="14"/>
              </w:rPr>
              <w:tab/>
            </w:r>
            <w:r>
              <w:rPr>
                <w:spacing w:val="-5"/>
                <w:sz w:val="14"/>
              </w:rPr>
              <w:t>269</w:t>
            </w:r>
          </w:p>
        </w:tc>
        <w:tc>
          <w:tcPr>
            <w:tcW w:w="1146" w:type="dxa"/>
            <w:tcBorders>
              <w:bottom w:val="double" w:sz="6" w:space="0" w:color="000000"/>
            </w:tcBorders>
          </w:tcPr>
          <w:p>
            <w:pPr>
              <w:pStyle w:val="TableParagraph"/>
              <w:tabs>
                <w:tab w:pos="706" w:val="left" w:leader="none"/>
              </w:tabs>
              <w:spacing w:line="129" w:lineRule="exact"/>
              <w:ind w:right="41"/>
              <w:jc w:val="center"/>
              <w:rPr>
                <w:sz w:val="14"/>
              </w:rPr>
            </w:pPr>
            <w:r>
              <w:rPr>
                <w:spacing w:val="-10"/>
                <w:sz w:val="14"/>
              </w:rPr>
              <w:t>$</w:t>
            </w:r>
            <w:r>
              <w:rPr>
                <w:sz w:val="14"/>
              </w:rPr>
              <w:tab/>
            </w:r>
            <w:r>
              <w:rPr>
                <w:spacing w:val="-5"/>
                <w:sz w:val="14"/>
              </w:rPr>
              <w:t>194</w:t>
            </w:r>
          </w:p>
        </w:tc>
        <w:tc>
          <w:tcPr>
            <w:tcW w:w="1146" w:type="dxa"/>
            <w:tcBorders>
              <w:bottom w:val="double" w:sz="6" w:space="0" w:color="000000"/>
            </w:tcBorders>
          </w:tcPr>
          <w:p>
            <w:pPr>
              <w:pStyle w:val="TableParagraph"/>
              <w:tabs>
                <w:tab w:pos="734" w:val="left" w:leader="none"/>
              </w:tabs>
              <w:spacing w:line="129" w:lineRule="exact"/>
              <w:ind w:left="4"/>
              <w:jc w:val="center"/>
              <w:rPr>
                <w:sz w:val="14"/>
              </w:rPr>
            </w:pPr>
            <w:r>
              <w:rPr>
                <w:spacing w:val="-10"/>
                <w:sz w:val="14"/>
              </w:rPr>
              <w:t>$</w:t>
            </w:r>
            <w:r>
              <w:rPr>
                <w:sz w:val="14"/>
              </w:rPr>
              <w:tab/>
            </w:r>
            <w:r>
              <w:rPr>
                <w:spacing w:val="-4"/>
                <w:sz w:val="14"/>
              </w:rPr>
              <w:t>(51)</w:t>
            </w:r>
          </w:p>
        </w:tc>
        <w:tc>
          <w:tcPr>
            <w:tcW w:w="1123" w:type="dxa"/>
            <w:tcBorders>
              <w:bottom w:val="double" w:sz="6" w:space="0" w:color="000000"/>
            </w:tcBorders>
          </w:tcPr>
          <w:p>
            <w:pPr>
              <w:pStyle w:val="TableParagraph"/>
              <w:tabs>
                <w:tab w:pos="695" w:val="left" w:leader="none"/>
              </w:tabs>
              <w:spacing w:line="129" w:lineRule="exact"/>
              <w:ind w:left="93"/>
              <w:rPr>
                <w:sz w:val="14"/>
              </w:rPr>
            </w:pPr>
            <w:r>
              <w:rPr>
                <w:spacing w:val="-10"/>
                <w:sz w:val="14"/>
              </w:rPr>
              <w:t>$</w:t>
            </w:r>
            <w:r>
              <w:rPr>
                <w:sz w:val="14"/>
              </w:rPr>
              <w:tab/>
            </w:r>
            <w:r>
              <w:rPr>
                <w:spacing w:val="-2"/>
                <w:sz w:val="14"/>
              </w:rPr>
              <w:t>2,296</w:t>
            </w:r>
          </w:p>
        </w:tc>
      </w:tr>
      <w:tr>
        <w:trPr>
          <w:trHeight w:val="154" w:hRule="atLeast"/>
        </w:trPr>
        <w:tc>
          <w:tcPr>
            <w:tcW w:w="3290" w:type="dxa"/>
            <w:tcBorders>
              <w:top w:val="double" w:sz="6" w:space="0" w:color="000000"/>
            </w:tcBorders>
            <w:shd w:val="clear" w:color="auto" w:fill="CCEDFF"/>
          </w:tcPr>
          <w:p>
            <w:pPr>
              <w:pStyle w:val="TableParagraph"/>
              <w:spacing w:line="129" w:lineRule="exact"/>
              <w:ind w:left="152"/>
              <w:rPr>
                <w:sz w:val="14"/>
              </w:rPr>
            </w:pPr>
            <w:r>
              <w:rPr>
                <w:sz w:val="14"/>
              </w:rPr>
              <w:t>Investment in affiliated companies, at </w:t>
            </w:r>
            <w:r>
              <w:rPr>
                <w:spacing w:val="-2"/>
                <w:sz w:val="14"/>
              </w:rPr>
              <w:t>equity</w:t>
            </w:r>
          </w:p>
        </w:tc>
        <w:tc>
          <w:tcPr>
            <w:tcW w:w="1268" w:type="dxa"/>
            <w:tcBorders>
              <w:top w:val="double" w:sz="6" w:space="0" w:color="000000"/>
            </w:tcBorders>
            <w:shd w:val="clear" w:color="auto" w:fill="CCEDFF"/>
          </w:tcPr>
          <w:p>
            <w:pPr>
              <w:pStyle w:val="TableParagraph"/>
              <w:tabs>
                <w:tab w:pos="782" w:val="left" w:leader="none"/>
              </w:tabs>
              <w:spacing w:line="129" w:lineRule="exact"/>
              <w:ind w:left="49"/>
              <w:jc w:val="center"/>
              <w:rPr>
                <w:sz w:val="14"/>
              </w:rPr>
            </w:pPr>
            <w:r>
              <w:rPr>
                <w:spacing w:val="-10"/>
                <w:sz w:val="14"/>
              </w:rPr>
              <w:t>$</w:t>
            </w:r>
            <w:r>
              <w:rPr>
                <w:sz w:val="14"/>
              </w:rPr>
              <w:tab/>
            </w:r>
            <w:r>
              <w:rPr>
                <w:spacing w:val="-5"/>
                <w:sz w:val="14"/>
              </w:rPr>
              <w:t>109</w:t>
            </w:r>
          </w:p>
        </w:tc>
        <w:tc>
          <w:tcPr>
            <w:tcW w:w="1210" w:type="dxa"/>
            <w:tcBorders>
              <w:top w:val="double" w:sz="6" w:space="0" w:color="000000"/>
            </w:tcBorders>
            <w:shd w:val="clear" w:color="auto" w:fill="CCEDFF"/>
          </w:tcPr>
          <w:p>
            <w:pPr>
              <w:pStyle w:val="TableParagraph"/>
              <w:tabs>
                <w:tab w:pos="910" w:val="left" w:leader="none"/>
              </w:tabs>
              <w:spacing w:line="129" w:lineRule="exact"/>
              <w:ind w:right="44"/>
              <w:jc w:val="center"/>
              <w:rPr>
                <w:sz w:val="14"/>
              </w:rPr>
            </w:pPr>
            <w:r>
              <w:rPr>
                <w:spacing w:val="-10"/>
                <w:sz w:val="14"/>
              </w:rPr>
              <w:t>$</w:t>
            </w:r>
            <w:r>
              <w:rPr>
                <w:sz w:val="14"/>
              </w:rPr>
              <w:tab/>
            </w:r>
            <w:r>
              <w:rPr>
                <w:spacing w:val="-10"/>
                <w:sz w:val="14"/>
              </w:rPr>
              <w:t>3</w:t>
            </w:r>
          </w:p>
        </w:tc>
        <w:tc>
          <w:tcPr>
            <w:tcW w:w="1146" w:type="dxa"/>
            <w:tcBorders>
              <w:top w:val="double" w:sz="6" w:space="0" w:color="000000"/>
            </w:tcBorders>
            <w:shd w:val="clear" w:color="auto" w:fill="CCEDFF"/>
          </w:tcPr>
          <w:p>
            <w:pPr>
              <w:pStyle w:val="TableParagraph"/>
              <w:tabs>
                <w:tab w:pos="847" w:val="left" w:leader="none"/>
              </w:tabs>
              <w:spacing w:line="129" w:lineRule="exact"/>
              <w:ind w:right="43"/>
              <w:jc w:val="center"/>
              <w:rPr>
                <w:sz w:val="14"/>
              </w:rPr>
            </w:pPr>
            <w:r>
              <w:rPr>
                <w:spacing w:val="-10"/>
                <w:sz w:val="14"/>
              </w:rPr>
              <w:t>$</w:t>
            </w:r>
            <w:r>
              <w:rPr>
                <w:sz w:val="14"/>
              </w:rPr>
              <w:tab/>
            </w:r>
            <w:r>
              <w:rPr>
                <w:spacing w:val="-10"/>
                <w:sz w:val="14"/>
              </w:rPr>
              <w:t>6</w:t>
            </w:r>
          </w:p>
        </w:tc>
        <w:tc>
          <w:tcPr>
            <w:tcW w:w="1184" w:type="dxa"/>
            <w:tcBorders>
              <w:top w:val="double" w:sz="6" w:space="0" w:color="000000"/>
            </w:tcBorders>
            <w:shd w:val="clear" w:color="auto" w:fill="CCEDFF"/>
          </w:tcPr>
          <w:p>
            <w:pPr>
              <w:pStyle w:val="TableParagraph"/>
              <w:rPr>
                <w:sz w:val="8"/>
              </w:rPr>
            </w:pPr>
          </w:p>
        </w:tc>
        <w:tc>
          <w:tcPr>
            <w:tcW w:w="1146" w:type="dxa"/>
            <w:tcBorders>
              <w:top w:val="double" w:sz="6" w:space="0" w:color="000000"/>
            </w:tcBorders>
            <w:shd w:val="clear" w:color="auto" w:fill="CCEDFF"/>
          </w:tcPr>
          <w:p>
            <w:pPr>
              <w:pStyle w:val="TableParagraph"/>
              <w:tabs>
                <w:tab w:pos="847" w:val="left" w:leader="none"/>
              </w:tabs>
              <w:spacing w:line="129" w:lineRule="exact"/>
              <w:ind w:right="41"/>
              <w:jc w:val="center"/>
              <w:rPr>
                <w:sz w:val="14"/>
              </w:rPr>
            </w:pPr>
            <w:r>
              <w:rPr>
                <w:spacing w:val="-10"/>
                <w:sz w:val="14"/>
              </w:rPr>
              <w:t>$</w:t>
            </w:r>
            <w:r>
              <w:rPr>
                <w:sz w:val="14"/>
              </w:rPr>
              <w:tab/>
            </w:r>
            <w:r>
              <w:rPr>
                <w:spacing w:val="-10"/>
                <w:sz w:val="14"/>
              </w:rPr>
              <w:t>4</w:t>
            </w:r>
          </w:p>
        </w:tc>
        <w:tc>
          <w:tcPr>
            <w:tcW w:w="1146" w:type="dxa"/>
            <w:tcBorders>
              <w:top w:val="double" w:sz="6" w:space="0" w:color="000000"/>
            </w:tcBorders>
            <w:shd w:val="clear" w:color="auto" w:fill="CCEDFF"/>
          </w:tcPr>
          <w:p>
            <w:pPr>
              <w:pStyle w:val="TableParagraph"/>
              <w:tabs>
                <w:tab w:pos="706" w:val="left" w:leader="none"/>
              </w:tabs>
              <w:spacing w:line="129" w:lineRule="exact"/>
              <w:ind w:right="40"/>
              <w:jc w:val="center"/>
              <w:rPr>
                <w:sz w:val="14"/>
              </w:rPr>
            </w:pPr>
            <w:r>
              <w:rPr>
                <w:spacing w:val="-10"/>
                <w:sz w:val="14"/>
              </w:rPr>
              <w:t>$</w:t>
            </w:r>
            <w:r>
              <w:rPr>
                <w:sz w:val="14"/>
              </w:rPr>
              <w:tab/>
            </w:r>
            <w:r>
              <w:rPr>
                <w:spacing w:val="-5"/>
                <w:sz w:val="14"/>
              </w:rPr>
              <w:t>142</w:t>
            </w:r>
          </w:p>
        </w:tc>
        <w:tc>
          <w:tcPr>
            <w:tcW w:w="1123" w:type="dxa"/>
            <w:tcBorders>
              <w:top w:val="double" w:sz="6" w:space="0" w:color="000000"/>
            </w:tcBorders>
            <w:shd w:val="clear" w:color="auto" w:fill="CCEDFF"/>
          </w:tcPr>
          <w:p>
            <w:pPr>
              <w:pStyle w:val="TableParagraph"/>
              <w:tabs>
                <w:tab w:pos="800" w:val="left" w:leader="none"/>
              </w:tabs>
              <w:spacing w:line="129" w:lineRule="exact"/>
              <w:ind w:left="93"/>
              <w:rPr>
                <w:sz w:val="14"/>
              </w:rPr>
            </w:pPr>
            <w:r>
              <w:rPr>
                <w:spacing w:val="-10"/>
                <w:sz w:val="14"/>
              </w:rPr>
              <w:t>$</w:t>
            </w:r>
            <w:r>
              <w:rPr>
                <w:sz w:val="14"/>
              </w:rPr>
              <w:tab/>
            </w:r>
            <w:r>
              <w:rPr>
                <w:spacing w:val="-5"/>
                <w:sz w:val="14"/>
              </w:rPr>
              <w:t>264</w:t>
            </w:r>
          </w:p>
        </w:tc>
      </w:tr>
      <w:tr>
        <w:trPr>
          <w:trHeight w:val="152" w:hRule="atLeast"/>
        </w:trPr>
        <w:tc>
          <w:tcPr>
            <w:tcW w:w="3290" w:type="dxa"/>
          </w:tcPr>
          <w:p>
            <w:pPr>
              <w:pStyle w:val="TableParagraph"/>
              <w:spacing w:line="133" w:lineRule="exact"/>
              <w:ind w:left="152"/>
              <w:rPr>
                <w:sz w:val="11"/>
              </w:rPr>
            </w:pPr>
            <w:r>
              <w:rPr>
                <w:sz w:val="14"/>
              </w:rPr>
              <w:t>Segment</w:t>
            </w:r>
            <w:r>
              <w:rPr>
                <w:spacing w:val="-3"/>
                <w:sz w:val="14"/>
              </w:rPr>
              <w:t> </w:t>
            </w:r>
            <w:r>
              <w:rPr>
                <w:sz w:val="14"/>
              </w:rPr>
              <w:t>assets</w:t>
            </w:r>
            <w:r>
              <w:rPr>
                <w:spacing w:val="-3"/>
                <w:sz w:val="14"/>
              </w:rPr>
              <w:t> </w:t>
            </w:r>
            <w:r>
              <w:rPr>
                <w:spacing w:val="-5"/>
                <w:position w:val="3"/>
                <w:sz w:val="11"/>
              </w:rPr>
              <w:t>(5)</w:t>
            </w:r>
          </w:p>
        </w:tc>
        <w:tc>
          <w:tcPr>
            <w:tcW w:w="1268" w:type="dxa"/>
          </w:tcPr>
          <w:p>
            <w:pPr>
              <w:pStyle w:val="TableParagraph"/>
              <w:tabs>
                <w:tab w:pos="677" w:val="left" w:leader="none"/>
              </w:tabs>
              <w:spacing w:line="133" w:lineRule="exact"/>
              <w:ind w:left="49"/>
              <w:jc w:val="center"/>
              <w:rPr>
                <w:sz w:val="14"/>
              </w:rPr>
            </w:pPr>
            <w:r>
              <w:rPr>
                <w:spacing w:val="-10"/>
                <w:sz w:val="14"/>
              </w:rPr>
              <w:t>$</w:t>
            </w:r>
            <w:r>
              <w:rPr>
                <w:sz w:val="14"/>
              </w:rPr>
              <w:tab/>
            </w:r>
            <w:r>
              <w:rPr>
                <w:spacing w:val="-2"/>
                <w:sz w:val="14"/>
              </w:rPr>
              <w:t>8,498</w:t>
            </w:r>
          </w:p>
        </w:tc>
        <w:tc>
          <w:tcPr>
            <w:tcW w:w="1210" w:type="dxa"/>
          </w:tcPr>
          <w:p>
            <w:pPr>
              <w:pStyle w:val="TableParagraph"/>
              <w:tabs>
                <w:tab w:pos="665" w:val="left" w:leader="none"/>
              </w:tabs>
              <w:spacing w:line="133" w:lineRule="exact"/>
              <w:ind w:right="44"/>
              <w:jc w:val="center"/>
              <w:rPr>
                <w:sz w:val="14"/>
              </w:rPr>
            </w:pPr>
            <w:r>
              <w:rPr>
                <w:spacing w:val="-10"/>
                <w:sz w:val="14"/>
              </w:rPr>
              <w:t>$</w:t>
            </w:r>
            <w:r>
              <w:rPr>
                <w:sz w:val="14"/>
              </w:rPr>
              <w:tab/>
            </w:r>
            <w:r>
              <w:rPr>
                <w:spacing w:val="-2"/>
                <w:sz w:val="14"/>
              </w:rPr>
              <w:t>3,183</w:t>
            </w:r>
          </w:p>
        </w:tc>
        <w:tc>
          <w:tcPr>
            <w:tcW w:w="1146" w:type="dxa"/>
          </w:tcPr>
          <w:p>
            <w:pPr>
              <w:pStyle w:val="TableParagraph"/>
              <w:tabs>
                <w:tab w:pos="601" w:val="left" w:leader="none"/>
              </w:tabs>
              <w:spacing w:line="133" w:lineRule="exact"/>
              <w:ind w:right="43"/>
              <w:jc w:val="center"/>
              <w:rPr>
                <w:sz w:val="14"/>
              </w:rPr>
            </w:pPr>
            <w:r>
              <w:rPr>
                <w:spacing w:val="-10"/>
                <w:sz w:val="14"/>
              </w:rPr>
              <w:t>$</w:t>
            </w:r>
            <w:r>
              <w:rPr>
                <w:sz w:val="14"/>
              </w:rPr>
              <w:tab/>
            </w:r>
            <w:r>
              <w:rPr>
                <w:spacing w:val="-2"/>
                <w:sz w:val="14"/>
              </w:rPr>
              <w:t>2,308</w:t>
            </w:r>
          </w:p>
        </w:tc>
        <w:tc>
          <w:tcPr>
            <w:tcW w:w="1184" w:type="dxa"/>
          </w:tcPr>
          <w:p>
            <w:pPr>
              <w:pStyle w:val="TableParagraph"/>
              <w:tabs>
                <w:tab w:pos="640" w:val="left" w:leader="none"/>
              </w:tabs>
              <w:spacing w:line="133" w:lineRule="exact"/>
              <w:ind w:right="42"/>
              <w:jc w:val="center"/>
              <w:rPr>
                <w:sz w:val="14"/>
              </w:rPr>
            </w:pPr>
            <w:r>
              <w:rPr>
                <w:spacing w:val="-10"/>
                <w:sz w:val="14"/>
              </w:rPr>
              <w:t>$</w:t>
            </w:r>
            <w:r>
              <w:rPr>
                <w:sz w:val="14"/>
              </w:rPr>
              <w:tab/>
            </w:r>
            <w:r>
              <w:rPr>
                <w:spacing w:val="-2"/>
                <w:sz w:val="14"/>
              </w:rPr>
              <w:t>2,150</w:t>
            </w:r>
          </w:p>
        </w:tc>
        <w:tc>
          <w:tcPr>
            <w:tcW w:w="1146" w:type="dxa"/>
          </w:tcPr>
          <w:p>
            <w:pPr>
              <w:pStyle w:val="TableParagraph"/>
              <w:tabs>
                <w:tab w:pos="706" w:val="left" w:leader="none"/>
              </w:tabs>
              <w:spacing w:line="133" w:lineRule="exact"/>
              <w:ind w:right="41"/>
              <w:jc w:val="center"/>
              <w:rPr>
                <w:sz w:val="14"/>
              </w:rPr>
            </w:pPr>
            <w:r>
              <w:rPr>
                <w:spacing w:val="-10"/>
                <w:sz w:val="14"/>
              </w:rPr>
              <w:t>$</w:t>
            </w:r>
            <w:r>
              <w:rPr>
                <w:sz w:val="14"/>
              </w:rPr>
              <w:tab/>
            </w:r>
            <w:r>
              <w:rPr>
                <w:spacing w:val="-5"/>
                <w:sz w:val="14"/>
              </w:rPr>
              <w:t>791</w:t>
            </w:r>
          </w:p>
        </w:tc>
        <w:tc>
          <w:tcPr>
            <w:tcW w:w="1146" w:type="dxa"/>
          </w:tcPr>
          <w:p>
            <w:pPr>
              <w:pStyle w:val="TableParagraph"/>
              <w:tabs>
                <w:tab w:pos="601" w:val="left" w:leader="none"/>
              </w:tabs>
              <w:spacing w:line="133" w:lineRule="exact"/>
              <w:ind w:right="40"/>
              <w:jc w:val="center"/>
              <w:rPr>
                <w:sz w:val="14"/>
              </w:rPr>
            </w:pPr>
            <w:r>
              <w:rPr>
                <w:spacing w:val="-10"/>
                <w:sz w:val="14"/>
              </w:rPr>
              <w:t>$</w:t>
            </w:r>
            <w:r>
              <w:rPr>
                <w:sz w:val="14"/>
              </w:rPr>
              <w:tab/>
            </w:r>
            <w:r>
              <w:rPr>
                <w:spacing w:val="-2"/>
                <w:sz w:val="14"/>
              </w:rPr>
              <w:t>2,024</w:t>
            </w:r>
          </w:p>
        </w:tc>
        <w:tc>
          <w:tcPr>
            <w:tcW w:w="1123" w:type="dxa"/>
          </w:tcPr>
          <w:p>
            <w:pPr>
              <w:pStyle w:val="TableParagraph"/>
              <w:tabs>
                <w:tab w:pos="625" w:val="left" w:leader="none"/>
              </w:tabs>
              <w:spacing w:line="133" w:lineRule="exact"/>
              <w:ind w:left="93"/>
              <w:rPr>
                <w:sz w:val="14"/>
              </w:rPr>
            </w:pPr>
            <w:r>
              <w:rPr>
                <w:spacing w:val="-10"/>
                <w:sz w:val="14"/>
              </w:rPr>
              <w:t>$</w:t>
            </w:r>
            <w:r>
              <w:rPr>
                <w:sz w:val="14"/>
              </w:rPr>
              <w:tab/>
            </w:r>
            <w:r>
              <w:rPr>
                <w:spacing w:val="-2"/>
                <w:sz w:val="14"/>
              </w:rPr>
              <w:t>18,954</w:t>
            </w:r>
          </w:p>
        </w:tc>
      </w:tr>
      <w:tr>
        <w:trPr>
          <w:trHeight w:val="144" w:hRule="atLeast"/>
        </w:trPr>
        <w:tc>
          <w:tcPr>
            <w:tcW w:w="3290" w:type="dxa"/>
            <w:tcBorders>
              <w:bottom w:val="double" w:sz="6" w:space="0" w:color="000000"/>
            </w:tcBorders>
            <w:shd w:val="clear" w:color="auto" w:fill="CCEDFF"/>
          </w:tcPr>
          <w:p>
            <w:pPr>
              <w:pStyle w:val="TableParagraph"/>
              <w:spacing w:line="129" w:lineRule="exact"/>
              <w:ind w:left="152"/>
              <w:rPr>
                <w:sz w:val="14"/>
              </w:rPr>
            </w:pPr>
            <w:r>
              <w:rPr>
                <w:sz w:val="14"/>
              </w:rPr>
              <w:t>Capital </w:t>
            </w:r>
            <w:r>
              <w:rPr>
                <w:spacing w:val="-2"/>
                <w:sz w:val="14"/>
              </w:rPr>
              <w:t>expenditures</w:t>
            </w:r>
          </w:p>
        </w:tc>
        <w:tc>
          <w:tcPr>
            <w:tcW w:w="1268" w:type="dxa"/>
            <w:tcBorders>
              <w:bottom w:val="double" w:sz="6" w:space="0" w:color="000000"/>
            </w:tcBorders>
            <w:shd w:val="clear" w:color="auto" w:fill="CCEDFF"/>
          </w:tcPr>
          <w:p>
            <w:pPr>
              <w:pStyle w:val="TableParagraph"/>
              <w:tabs>
                <w:tab w:pos="782" w:val="left" w:leader="none"/>
              </w:tabs>
              <w:spacing w:line="129" w:lineRule="exact"/>
              <w:ind w:left="49"/>
              <w:jc w:val="center"/>
              <w:rPr>
                <w:sz w:val="14"/>
              </w:rPr>
            </w:pPr>
            <w:r>
              <w:rPr>
                <w:spacing w:val="-10"/>
                <w:sz w:val="14"/>
              </w:rPr>
              <w:t>$</w:t>
            </w:r>
            <w:r>
              <w:rPr>
                <w:sz w:val="14"/>
              </w:rPr>
              <w:tab/>
            </w:r>
            <w:r>
              <w:rPr>
                <w:spacing w:val="-5"/>
                <w:sz w:val="14"/>
              </w:rPr>
              <w:t>710</w:t>
            </w:r>
          </w:p>
        </w:tc>
        <w:tc>
          <w:tcPr>
            <w:tcW w:w="1210" w:type="dxa"/>
            <w:tcBorders>
              <w:bottom w:val="double" w:sz="6" w:space="0" w:color="000000"/>
            </w:tcBorders>
            <w:shd w:val="clear" w:color="auto" w:fill="CCEDFF"/>
          </w:tcPr>
          <w:p>
            <w:pPr>
              <w:pStyle w:val="TableParagraph"/>
              <w:tabs>
                <w:tab w:pos="770" w:val="left" w:leader="none"/>
              </w:tabs>
              <w:spacing w:line="129" w:lineRule="exact"/>
              <w:ind w:right="44"/>
              <w:jc w:val="center"/>
              <w:rPr>
                <w:sz w:val="14"/>
              </w:rPr>
            </w:pPr>
            <w:r>
              <w:rPr>
                <w:spacing w:val="-10"/>
                <w:sz w:val="14"/>
              </w:rPr>
              <w:t>$</w:t>
            </w:r>
            <w:r>
              <w:rPr>
                <w:sz w:val="14"/>
              </w:rPr>
              <w:tab/>
            </w:r>
            <w:r>
              <w:rPr>
                <w:spacing w:val="-5"/>
                <w:sz w:val="14"/>
              </w:rPr>
              <w:t>301</w:t>
            </w:r>
          </w:p>
        </w:tc>
        <w:tc>
          <w:tcPr>
            <w:tcW w:w="1146" w:type="dxa"/>
            <w:tcBorders>
              <w:bottom w:val="double" w:sz="6" w:space="0" w:color="000000"/>
            </w:tcBorders>
            <w:shd w:val="clear" w:color="auto" w:fill="CCEDFF"/>
          </w:tcPr>
          <w:p>
            <w:pPr>
              <w:pStyle w:val="TableParagraph"/>
              <w:tabs>
                <w:tab w:pos="706" w:val="left" w:leader="none"/>
              </w:tabs>
              <w:spacing w:line="129" w:lineRule="exact"/>
              <w:ind w:right="43"/>
              <w:jc w:val="center"/>
              <w:rPr>
                <w:sz w:val="14"/>
              </w:rPr>
            </w:pPr>
            <w:r>
              <w:rPr>
                <w:spacing w:val="-10"/>
                <w:sz w:val="14"/>
              </w:rPr>
              <w:t>$</w:t>
            </w:r>
            <w:r>
              <w:rPr>
                <w:sz w:val="14"/>
              </w:rPr>
              <w:tab/>
            </w:r>
            <w:r>
              <w:rPr>
                <w:spacing w:val="-5"/>
                <w:sz w:val="14"/>
              </w:rPr>
              <w:t>183</w:t>
            </w:r>
          </w:p>
        </w:tc>
        <w:tc>
          <w:tcPr>
            <w:tcW w:w="1184" w:type="dxa"/>
            <w:tcBorders>
              <w:bottom w:val="double" w:sz="6" w:space="0" w:color="000000"/>
            </w:tcBorders>
            <w:shd w:val="clear" w:color="auto" w:fill="CCEDFF"/>
          </w:tcPr>
          <w:p>
            <w:pPr>
              <w:pStyle w:val="TableParagraph"/>
              <w:tabs>
                <w:tab w:pos="745" w:val="left" w:leader="none"/>
              </w:tabs>
              <w:spacing w:line="129" w:lineRule="exact"/>
              <w:ind w:right="42"/>
              <w:jc w:val="center"/>
              <w:rPr>
                <w:sz w:val="14"/>
              </w:rPr>
            </w:pPr>
            <w:r>
              <w:rPr>
                <w:spacing w:val="-10"/>
                <w:sz w:val="14"/>
              </w:rPr>
              <w:t>$</w:t>
            </w:r>
            <w:r>
              <w:rPr>
                <w:sz w:val="14"/>
              </w:rPr>
              <w:tab/>
            </w:r>
            <w:r>
              <w:rPr>
                <w:spacing w:val="-5"/>
                <w:sz w:val="14"/>
              </w:rPr>
              <w:t>228</w:t>
            </w:r>
          </w:p>
        </w:tc>
        <w:tc>
          <w:tcPr>
            <w:tcW w:w="1146" w:type="dxa"/>
            <w:tcBorders>
              <w:bottom w:val="double" w:sz="6" w:space="0" w:color="000000"/>
            </w:tcBorders>
            <w:shd w:val="clear" w:color="auto" w:fill="CCEDFF"/>
          </w:tcPr>
          <w:p>
            <w:pPr>
              <w:pStyle w:val="TableParagraph"/>
              <w:tabs>
                <w:tab w:pos="706" w:val="left" w:leader="none"/>
              </w:tabs>
              <w:spacing w:line="129" w:lineRule="exact"/>
              <w:ind w:right="41"/>
              <w:jc w:val="center"/>
              <w:rPr>
                <w:sz w:val="14"/>
              </w:rPr>
            </w:pPr>
            <w:r>
              <w:rPr>
                <w:spacing w:val="-10"/>
                <w:sz w:val="14"/>
              </w:rPr>
              <w:t>$</w:t>
            </w:r>
            <w:r>
              <w:rPr>
                <w:sz w:val="14"/>
              </w:rPr>
              <w:tab/>
            </w:r>
            <w:r>
              <w:rPr>
                <w:spacing w:val="-5"/>
                <w:sz w:val="14"/>
              </w:rPr>
              <w:t>128</w:t>
            </w:r>
          </w:p>
        </w:tc>
        <w:tc>
          <w:tcPr>
            <w:tcW w:w="1146" w:type="dxa"/>
            <w:tcBorders>
              <w:bottom w:val="double" w:sz="6" w:space="0" w:color="000000"/>
            </w:tcBorders>
            <w:shd w:val="clear" w:color="auto" w:fill="CCEDFF"/>
          </w:tcPr>
          <w:p>
            <w:pPr>
              <w:pStyle w:val="TableParagraph"/>
              <w:tabs>
                <w:tab w:pos="706" w:val="left" w:leader="none"/>
              </w:tabs>
              <w:spacing w:line="129" w:lineRule="exact"/>
              <w:ind w:right="40"/>
              <w:jc w:val="center"/>
              <w:rPr>
                <w:sz w:val="14"/>
              </w:rPr>
            </w:pPr>
            <w:r>
              <w:rPr>
                <w:spacing w:val="-10"/>
                <w:sz w:val="14"/>
              </w:rPr>
              <w:t>$</w:t>
            </w:r>
            <w:r>
              <w:rPr>
                <w:sz w:val="14"/>
              </w:rPr>
              <w:tab/>
            </w:r>
            <w:r>
              <w:rPr>
                <w:spacing w:val="-5"/>
                <w:sz w:val="14"/>
              </w:rPr>
              <w:t>149</w:t>
            </w:r>
          </w:p>
        </w:tc>
        <w:tc>
          <w:tcPr>
            <w:tcW w:w="1123" w:type="dxa"/>
            <w:tcBorders>
              <w:bottom w:val="double" w:sz="6" w:space="0" w:color="000000"/>
            </w:tcBorders>
            <w:shd w:val="clear" w:color="auto" w:fill="CCEDFF"/>
          </w:tcPr>
          <w:p>
            <w:pPr>
              <w:pStyle w:val="TableParagraph"/>
              <w:tabs>
                <w:tab w:pos="695" w:val="left" w:leader="none"/>
              </w:tabs>
              <w:spacing w:line="129" w:lineRule="exact"/>
              <w:ind w:left="93"/>
              <w:rPr>
                <w:sz w:val="14"/>
              </w:rPr>
            </w:pPr>
            <w:r>
              <w:rPr>
                <w:spacing w:val="-10"/>
                <w:sz w:val="14"/>
              </w:rPr>
              <w:t>$</w:t>
            </w:r>
            <w:r>
              <w:rPr>
                <w:sz w:val="14"/>
              </w:rPr>
              <w:tab/>
            </w:r>
            <w:r>
              <w:rPr>
                <w:spacing w:val="-2"/>
                <w:sz w:val="14"/>
              </w:rPr>
              <w:t>1,699</w:t>
            </w:r>
          </w:p>
        </w:tc>
      </w:tr>
      <w:tr>
        <w:trPr>
          <w:trHeight w:val="460" w:hRule="atLeast"/>
        </w:trPr>
        <w:tc>
          <w:tcPr>
            <w:tcW w:w="3290" w:type="dxa"/>
          </w:tcPr>
          <w:p>
            <w:pPr>
              <w:pStyle w:val="TableParagraph"/>
              <w:spacing w:line="152" w:lineRule="exact" w:before="131"/>
              <w:ind w:left="152" w:right="676" w:hanging="153"/>
              <w:rPr>
                <w:sz w:val="14"/>
              </w:rPr>
            </w:pPr>
            <w:r>
              <w:rPr/>
              <mc:AlternateContent>
                <mc:Choice Requires="wps">
                  <w:drawing>
                    <wp:anchor distT="0" distB="0" distL="0" distR="0" allowOverlap="1" layoutInCell="1" locked="0" behindDoc="1" simplePos="0" relativeHeight="474181120">
                      <wp:simplePos x="0" y="0"/>
                      <wp:positionH relativeFrom="column">
                        <wp:posOffset>0</wp:posOffset>
                      </wp:positionH>
                      <wp:positionV relativeFrom="paragraph">
                        <wp:posOffset>94791</wp:posOffset>
                      </wp:positionV>
                      <wp:extent cx="7312659" cy="97155"/>
                      <wp:effectExtent l="0" t="0" r="0" b="0"/>
                      <wp:wrapNone/>
                      <wp:docPr id="1080" name="Group 1080"/>
                      <wp:cNvGraphicFramePr>
                        <a:graphicFrameLocks/>
                      </wp:cNvGraphicFramePr>
                      <a:graphic>
                        <a:graphicData uri="http://schemas.microsoft.com/office/word/2010/wordprocessingGroup">
                          <wpg:wgp>
                            <wpg:cNvPr id="1080" name="Group 1080"/>
                            <wpg:cNvGrpSpPr/>
                            <wpg:grpSpPr>
                              <a:xfrm>
                                <a:off x="0" y="0"/>
                                <a:ext cx="7312659" cy="97155"/>
                                <a:chExt cx="7312659" cy="97155"/>
                              </a:xfrm>
                            </wpg:grpSpPr>
                            <wps:wsp>
                              <wps:cNvPr id="1081" name="Graphic 1081"/>
                              <wps:cNvSpPr/>
                              <wps:spPr>
                                <a:xfrm>
                                  <a:off x="-9" y="7"/>
                                  <a:ext cx="7312659" cy="97155"/>
                                </a:xfrm>
                                <a:custGeom>
                                  <a:avLst/>
                                  <a:gdLst/>
                                  <a:ahLst/>
                                  <a:cxnLst/>
                                  <a:rect l="l" t="t" r="r" b="b"/>
                                  <a:pathLst>
                                    <a:path w="7312659" h="97155">
                                      <a:moveTo>
                                        <a:pt x="7312342" y="0"/>
                                      </a:moveTo>
                                      <a:lnTo>
                                        <a:pt x="7312342" y="0"/>
                                      </a:lnTo>
                                      <a:lnTo>
                                        <a:pt x="0" y="0"/>
                                      </a:lnTo>
                                      <a:lnTo>
                                        <a:pt x="0" y="97066"/>
                                      </a:lnTo>
                                      <a:lnTo>
                                        <a:pt x="7312342" y="97066"/>
                                      </a:lnTo>
                                      <a:lnTo>
                                        <a:pt x="7312342"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7.463937pt;width:575.8pt;height:7.65pt;mso-position-horizontal-relative:column;mso-position-vertical-relative:paragraph;z-index:-29135360" id="docshapegroup1079" coordorigin="0,149" coordsize="11516,153">
                      <v:rect style="position:absolute;left:-1;top:149;width:11516;height:153" id="docshape1080" filled="true" fillcolor="#ccedff" stroked="false">
                        <v:fill type="solid"/>
                      </v:rect>
                      <w10:wrap type="none"/>
                    </v:group>
                  </w:pict>
                </mc:Fallback>
              </mc:AlternateContent>
            </w:r>
            <w:r>
              <w:rPr>
                <w:sz w:val="14"/>
              </w:rPr>
              <w:t>For</w:t>
            </w:r>
            <w:r>
              <w:rPr>
                <w:spacing w:val="-6"/>
                <w:sz w:val="14"/>
              </w:rPr>
              <w:t> </w:t>
            </w:r>
            <w:r>
              <w:rPr>
                <w:sz w:val="14"/>
              </w:rPr>
              <w:t>the</w:t>
            </w:r>
            <w:r>
              <w:rPr>
                <w:spacing w:val="-6"/>
                <w:sz w:val="14"/>
              </w:rPr>
              <w:t> </w:t>
            </w:r>
            <w:r>
              <w:rPr>
                <w:sz w:val="14"/>
              </w:rPr>
              <w:t>year</w:t>
            </w:r>
            <w:r>
              <w:rPr>
                <w:spacing w:val="-6"/>
                <w:sz w:val="14"/>
              </w:rPr>
              <w:t> </w:t>
            </w:r>
            <w:r>
              <w:rPr>
                <w:sz w:val="14"/>
              </w:rPr>
              <w:t>ended</w:t>
            </w:r>
            <w:r>
              <w:rPr>
                <w:spacing w:val="-6"/>
                <w:sz w:val="14"/>
              </w:rPr>
              <w:t> </w:t>
            </w:r>
            <w:r>
              <w:rPr>
                <w:sz w:val="14"/>
              </w:rPr>
              <w:t>December</w:t>
            </w:r>
            <w:r>
              <w:rPr>
                <w:spacing w:val="-6"/>
                <w:sz w:val="14"/>
              </w:rPr>
              <w:t> </w:t>
            </w:r>
            <w:r>
              <w:rPr>
                <w:sz w:val="14"/>
              </w:rPr>
              <w:t>31,</w:t>
            </w:r>
            <w:r>
              <w:rPr>
                <w:spacing w:val="-6"/>
                <w:sz w:val="14"/>
              </w:rPr>
              <w:t> </w:t>
            </w:r>
            <w:r>
              <w:rPr>
                <w:sz w:val="14"/>
              </w:rPr>
              <w:t>2020</w:t>
            </w:r>
            <w:r>
              <w:rPr>
                <w:spacing w:val="40"/>
                <w:sz w:val="14"/>
              </w:rPr>
              <w:t> </w:t>
            </w:r>
            <w:r>
              <w:rPr>
                <w:sz w:val="14"/>
              </w:rPr>
              <w:t>Segment net sales</w:t>
            </w:r>
          </w:p>
        </w:tc>
        <w:tc>
          <w:tcPr>
            <w:tcW w:w="1268" w:type="dxa"/>
          </w:tcPr>
          <w:p>
            <w:pPr>
              <w:pStyle w:val="TableParagraph"/>
              <w:spacing w:before="138"/>
              <w:rPr>
                <w:sz w:val="14"/>
              </w:rPr>
            </w:pPr>
          </w:p>
          <w:p>
            <w:pPr>
              <w:pStyle w:val="TableParagraph"/>
              <w:tabs>
                <w:tab w:pos="677" w:val="left" w:leader="none"/>
              </w:tabs>
              <w:spacing w:line="136" w:lineRule="exact"/>
              <w:ind w:left="49"/>
              <w:jc w:val="center"/>
              <w:rPr>
                <w:sz w:val="14"/>
              </w:rPr>
            </w:pPr>
            <w:r>
              <w:rPr>
                <w:spacing w:val="-10"/>
                <w:sz w:val="14"/>
              </w:rPr>
              <w:t>$</w:t>
            </w:r>
            <w:r>
              <w:rPr>
                <w:sz w:val="14"/>
              </w:rPr>
              <w:tab/>
            </w:r>
            <w:r>
              <w:rPr>
                <w:spacing w:val="-2"/>
                <w:sz w:val="14"/>
              </w:rPr>
              <w:t>3,172</w:t>
            </w:r>
          </w:p>
        </w:tc>
        <w:tc>
          <w:tcPr>
            <w:tcW w:w="1210" w:type="dxa"/>
          </w:tcPr>
          <w:p>
            <w:pPr>
              <w:pStyle w:val="TableParagraph"/>
              <w:spacing w:before="138"/>
              <w:rPr>
                <w:sz w:val="14"/>
              </w:rPr>
            </w:pPr>
          </w:p>
          <w:p>
            <w:pPr>
              <w:pStyle w:val="TableParagraph"/>
              <w:tabs>
                <w:tab w:pos="665" w:val="left" w:leader="none"/>
              </w:tabs>
              <w:spacing w:line="136" w:lineRule="exact"/>
              <w:ind w:right="44"/>
              <w:jc w:val="center"/>
              <w:rPr>
                <w:sz w:val="14"/>
              </w:rPr>
            </w:pPr>
            <w:r>
              <w:rPr>
                <w:spacing w:val="-10"/>
                <w:sz w:val="14"/>
              </w:rPr>
              <w:t>$</w:t>
            </w:r>
            <w:r>
              <w:rPr>
                <w:sz w:val="14"/>
              </w:rPr>
              <w:tab/>
            </w:r>
            <w:r>
              <w:rPr>
                <w:spacing w:val="-2"/>
                <w:sz w:val="14"/>
              </w:rPr>
              <w:t>3,563</w:t>
            </w:r>
          </w:p>
        </w:tc>
        <w:tc>
          <w:tcPr>
            <w:tcW w:w="1146" w:type="dxa"/>
          </w:tcPr>
          <w:p>
            <w:pPr>
              <w:pStyle w:val="TableParagraph"/>
              <w:spacing w:before="138"/>
              <w:rPr>
                <w:sz w:val="14"/>
              </w:rPr>
            </w:pPr>
          </w:p>
          <w:p>
            <w:pPr>
              <w:pStyle w:val="TableParagraph"/>
              <w:tabs>
                <w:tab w:pos="601" w:val="left" w:leader="none"/>
              </w:tabs>
              <w:spacing w:line="136" w:lineRule="exact"/>
              <w:ind w:right="43"/>
              <w:jc w:val="center"/>
              <w:rPr>
                <w:sz w:val="14"/>
              </w:rPr>
            </w:pPr>
            <w:r>
              <w:rPr>
                <w:spacing w:val="-10"/>
                <w:sz w:val="14"/>
              </w:rPr>
              <w:t>$</w:t>
            </w:r>
            <w:r>
              <w:rPr>
                <w:sz w:val="14"/>
              </w:rPr>
              <w:tab/>
            </w:r>
            <w:r>
              <w:rPr>
                <w:spacing w:val="-2"/>
                <w:sz w:val="14"/>
              </w:rPr>
              <w:t>1,884</w:t>
            </w:r>
          </w:p>
        </w:tc>
        <w:tc>
          <w:tcPr>
            <w:tcW w:w="1184" w:type="dxa"/>
          </w:tcPr>
          <w:p>
            <w:pPr>
              <w:pStyle w:val="TableParagraph"/>
              <w:spacing w:before="138"/>
              <w:rPr>
                <w:sz w:val="14"/>
              </w:rPr>
            </w:pPr>
          </w:p>
          <w:p>
            <w:pPr>
              <w:pStyle w:val="TableParagraph"/>
              <w:tabs>
                <w:tab w:pos="640" w:val="left" w:leader="none"/>
              </w:tabs>
              <w:spacing w:line="136" w:lineRule="exact"/>
              <w:ind w:right="42"/>
              <w:jc w:val="center"/>
              <w:rPr>
                <w:sz w:val="14"/>
              </w:rPr>
            </w:pPr>
            <w:r>
              <w:rPr>
                <w:spacing w:val="-10"/>
                <w:sz w:val="14"/>
              </w:rPr>
              <w:t>$</w:t>
            </w:r>
            <w:r>
              <w:rPr>
                <w:sz w:val="14"/>
              </w:rPr>
              <w:tab/>
            </w:r>
            <w:r>
              <w:rPr>
                <w:spacing w:val="-2"/>
                <w:sz w:val="14"/>
              </w:rPr>
              <w:t>1,370</w:t>
            </w:r>
          </w:p>
        </w:tc>
        <w:tc>
          <w:tcPr>
            <w:tcW w:w="1146" w:type="dxa"/>
          </w:tcPr>
          <w:p>
            <w:pPr>
              <w:pStyle w:val="TableParagraph"/>
              <w:spacing w:before="138"/>
              <w:rPr>
                <w:sz w:val="14"/>
              </w:rPr>
            </w:pPr>
          </w:p>
          <w:p>
            <w:pPr>
              <w:pStyle w:val="TableParagraph"/>
              <w:tabs>
                <w:tab w:pos="706" w:val="left" w:leader="none"/>
              </w:tabs>
              <w:spacing w:line="136" w:lineRule="exact"/>
              <w:ind w:right="41"/>
              <w:jc w:val="center"/>
              <w:rPr>
                <w:sz w:val="14"/>
              </w:rPr>
            </w:pPr>
            <w:r>
              <w:rPr>
                <w:spacing w:val="-10"/>
                <w:sz w:val="14"/>
              </w:rPr>
              <w:t>$</w:t>
            </w:r>
            <w:r>
              <w:rPr>
                <w:sz w:val="14"/>
              </w:rPr>
              <w:tab/>
            </w:r>
            <w:r>
              <w:rPr>
                <w:spacing w:val="-5"/>
                <w:sz w:val="14"/>
              </w:rPr>
              <w:t>998</w:t>
            </w:r>
          </w:p>
        </w:tc>
        <w:tc>
          <w:tcPr>
            <w:tcW w:w="1146" w:type="dxa"/>
          </w:tcPr>
          <w:p>
            <w:pPr>
              <w:pStyle w:val="TableParagraph"/>
              <w:spacing w:before="138"/>
              <w:rPr>
                <w:sz w:val="14"/>
              </w:rPr>
            </w:pPr>
          </w:p>
          <w:p>
            <w:pPr>
              <w:pStyle w:val="TableParagraph"/>
              <w:tabs>
                <w:tab w:pos="706" w:val="left" w:leader="none"/>
              </w:tabs>
              <w:spacing w:line="136" w:lineRule="exact"/>
              <w:ind w:right="40"/>
              <w:jc w:val="center"/>
              <w:rPr>
                <w:sz w:val="14"/>
              </w:rPr>
            </w:pPr>
            <w:r>
              <w:rPr>
                <w:spacing w:val="-10"/>
                <w:sz w:val="14"/>
              </w:rPr>
              <w:t>$</w:t>
            </w:r>
            <w:r>
              <w:rPr>
                <w:sz w:val="14"/>
              </w:rPr>
              <w:tab/>
            </w:r>
            <w:r>
              <w:rPr>
                <w:spacing w:val="-5"/>
                <w:sz w:val="14"/>
              </w:rPr>
              <w:t>465</w:t>
            </w:r>
          </w:p>
        </w:tc>
        <w:tc>
          <w:tcPr>
            <w:tcW w:w="1123" w:type="dxa"/>
          </w:tcPr>
          <w:p>
            <w:pPr>
              <w:pStyle w:val="TableParagraph"/>
              <w:spacing w:before="138"/>
              <w:rPr>
                <w:sz w:val="14"/>
              </w:rPr>
            </w:pPr>
          </w:p>
          <w:p>
            <w:pPr>
              <w:pStyle w:val="TableParagraph"/>
              <w:tabs>
                <w:tab w:pos="625" w:val="left" w:leader="none"/>
              </w:tabs>
              <w:spacing w:line="136" w:lineRule="exact"/>
              <w:ind w:left="93"/>
              <w:rPr>
                <w:sz w:val="14"/>
              </w:rPr>
            </w:pPr>
            <w:r>
              <w:rPr>
                <w:spacing w:val="-10"/>
                <w:sz w:val="14"/>
              </w:rPr>
              <w:t>$</w:t>
            </w:r>
            <w:r>
              <w:rPr>
                <w:sz w:val="14"/>
              </w:rPr>
              <w:tab/>
            </w:r>
            <w:r>
              <w:rPr>
                <w:spacing w:val="-2"/>
                <w:sz w:val="14"/>
              </w:rPr>
              <w:t>11,452</w:t>
            </w:r>
          </w:p>
        </w:tc>
      </w:tr>
      <w:tr>
        <w:trPr>
          <w:trHeight w:val="152" w:hRule="atLeast"/>
        </w:trPr>
        <w:tc>
          <w:tcPr>
            <w:tcW w:w="3290" w:type="dxa"/>
            <w:shd w:val="clear" w:color="auto" w:fill="CCEDFF"/>
          </w:tcPr>
          <w:p>
            <w:pPr>
              <w:pStyle w:val="TableParagraph"/>
              <w:spacing w:line="133" w:lineRule="exact"/>
              <w:ind w:left="152"/>
              <w:rPr>
                <w:sz w:val="11"/>
              </w:rPr>
            </w:pPr>
            <w:r>
              <w:rPr>
                <w:sz w:val="14"/>
              </w:rPr>
              <w:t>Depreciation</w:t>
            </w:r>
            <w:r>
              <w:rPr>
                <w:spacing w:val="-1"/>
                <w:sz w:val="14"/>
              </w:rPr>
              <w:t> </w:t>
            </w:r>
            <w:r>
              <w:rPr>
                <w:spacing w:val="-5"/>
                <w:position w:val="3"/>
                <w:sz w:val="11"/>
              </w:rPr>
              <w:t>(1)</w:t>
            </w:r>
          </w:p>
        </w:tc>
        <w:tc>
          <w:tcPr>
            <w:tcW w:w="1268" w:type="dxa"/>
            <w:shd w:val="clear" w:color="auto" w:fill="CCEDFF"/>
          </w:tcPr>
          <w:p>
            <w:pPr>
              <w:pStyle w:val="TableParagraph"/>
              <w:tabs>
                <w:tab w:pos="782" w:val="left" w:leader="none"/>
              </w:tabs>
              <w:spacing w:line="133" w:lineRule="exact"/>
              <w:ind w:left="49"/>
              <w:jc w:val="center"/>
              <w:rPr>
                <w:sz w:val="14"/>
              </w:rPr>
            </w:pPr>
            <w:r>
              <w:rPr>
                <w:spacing w:val="-10"/>
                <w:sz w:val="14"/>
              </w:rPr>
              <w:t>$</w:t>
            </w:r>
            <w:r>
              <w:rPr>
                <w:sz w:val="14"/>
              </w:rPr>
              <w:tab/>
            </w:r>
            <w:r>
              <w:rPr>
                <w:spacing w:val="-5"/>
                <w:sz w:val="14"/>
              </w:rPr>
              <w:t>548</w:t>
            </w:r>
          </w:p>
        </w:tc>
        <w:tc>
          <w:tcPr>
            <w:tcW w:w="1210" w:type="dxa"/>
            <w:shd w:val="clear" w:color="auto" w:fill="CCEDFF"/>
          </w:tcPr>
          <w:p>
            <w:pPr>
              <w:pStyle w:val="TableParagraph"/>
              <w:tabs>
                <w:tab w:pos="770" w:val="left" w:leader="none"/>
              </w:tabs>
              <w:spacing w:line="133" w:lineRule="exact"/>
              <w:ind w:right="44"/>
              <w:jc w:val="center"/>
              <w:rPr>
                <w:sz w:val="14"/>
              </w:rPr>
            </w:pPr>
            <w:r>
              <w:rPr>
                <w:spacing w:val="-10"/>
                <w:sz w:val="14"/>
              </w:rPr>
              <w:t>$</w:t>
            </w:r>
            <w:r>
              <w:rPr>
                <w:sz w:val="14"/>
              </w:rPr>
              <w:tab/>
            </w:r>
            <w:r>
              <w:rPr>
                <w:spacing w:val="-5"/>
                <w:sz w:val="14"/>
              </w:rPr>
              <w:t>242</w:t>
            </w:r>
          </w:p>
        </w:tc>
        <w:tc>
          <w:tcPr>
            <w:tcW w:w="1146" w:type="dxa"/>
            <w:shd w:val="clear" w:color="auto" w:fill="CCEDFF"/>
          </w:tcPr>
          <w:p>
            <w:pPr>
              <w:pStyle w:val="TableParagraph"/>
              <w:tabs>
                <w:tab w:pos="706" w:val="left" w:leader="none"/>
              </w:tabs>
              <w:spacing w:line="133" w:lineRule="exact"/>
              <w:ind w:right="43"/>
              <w:jc w:val="center"/>
              <w:rPr>
                <w:sz w:val="14"/>
              </w:rPr>
            </w:pPr>
            <w:r>
              <w:rPr>
                <w:spacing w:val="-10"/>
                <w:sz w:val="14"/>
              </w:rPr>
              <w:t>$</w:t>
            </w:r>
            <w:r>
              <w:rPr>
                <w:sz w:val="14"/>
              </w:rPr>
              <w:tab/>
            </w:r>
            <w:r>
              <w:rPr>
                <w:spacing w:val="-5"/>
                <w:sz w:val="14"/>
              </w:rPr>
              <w:t>162</w:t>
            </w:r>
          </w:p>
        </w:tc>
        <w:tc>
          <w:tcPr>
            <w:tcW w:w="1184" w:type="dxa"/>
            <w:shd w:val="clear" w:color="auto" w:fill="CCEDFF"/>
          </w:tcPr>
          <w:p>
            <w:pPr>
              <w:pStyle w:val="TableParagraph"/>
              <w:tabs>
                <w:tab w:pos="745" w:val="left" w:leader="none"/>
              </w:tabs>
              <w:spacing w:line="133" w:lineRule="exact"/>
              <w:ind w:right="42"/>
              <w:jc w:val="center"/>
              <w:rPr>
                <w:sz w:val="14"/>
              </w:rPr>
            </w:pPr>
            <w:r>
              <w:rPr>
                <w:spacing w:val="-10"/>
                <w:sz w:val="14"/>
              </w:rPr>
              <w:t>$</w:t>
            </w:r>
            <w:r>
              <w:rPr>
                <w:sz w:val="14"/>
              </w:rPr>
              <w:tab/>
            </w:r>
            <w:r>
              <w:rPr>
                <w:spacing w:val="-5"/>
                <w:sz w:val="14"/>
              </w:rPr>
              <w:t>132</w:t>
            </w:r>
          </w:p>
        </w:tc>
        <w:tc>
          <w:tcPr>
            <w:tcW w:w="1146" w:type="dxa"/>
            <w:shd w:val="clear" w:color="auto" w:fill="CCEDFF"/>
          </w:tcPr>
          <w:p>
            <w:pPr>
              <w:pStyle w:val="TableParagraph"/>
              <w:tabs>
                <w:tab w:pos="776" w:val="left" w:leader="none"/>
              </w:tabs>
              <w:spacing w:line="133" w:lineRule="exact"/>
              <w:ind w:right="41"/>
              <w:jc w:val="center"/>
              <w:rPr>
                <w:sz w:val="14"/>
              </w:rPr>
            </w:pPr>
            <w:r>
              <w:rPr>
                <w:spacing w:val="-10"/>
                <w:sz w:val="14"/>
              </w:rPr>
              <w:t>$</w:t>
            </w:r>
            <w:r>
              <w:rPr>
                <w:sz w:val="14"/>
              </w:rPr>
              <w:tab/>
            </w:r>
            <w:r>
              <w:rPr>
                <w:spacing w:val="-5"/>
                <w:sz w:val="14"/>
              </w:rPr>
              <w:t>50</w:t>
            </w:r>
          </w:p>
        </w:tc>
        <w:tc>
          <w:tcPr>
            <w:tcW w:w="1146" w:type="dxa"/>
            <w:shd w:val="clear" w:color="auto" w:fill="CCEDFF"/>
          </w:tcPr>
          <w:p>
            <w:pPr>
              <w:pStyle w:val="TableParagraph"/>
              <w:tabs>
                <w:tab w:pos="776" w:val="left" w:leader="none"/>
              </w:tabs>
              <w:spacing w:line="133" w:lineRule="exact"/>
              <w:ind w:right="40"/>
              <w:jc w:val="center"/>
              <w:rPr>
                <w:sz w:val="14"/>
              </w:rPr>
            </w:pPr>
            <w:r>
              <w:rPr>
                <w:spacing w:val="-10"/>
                <w:sz w:val="14"/>
              </w:rPr>
              <w:t>$</w:t>
            </w:r>
            <w:r>
              <w:rPr>
                <w:sz w:val="14"/>
              </w:rPr>
              <w:tab/>
            </w:r>
            <w:r>
              <w:rPr>
                <w:spacing w:val="-5"/>
                <w:sz w:val="14"/>
              </w:rPr>
              <w:t>81</w:t>
            </w:r>
          </w:p>
        </w:tc>
        <w:tc>
          <w:tcPr>
            <w:tcW w:w="1123" w:type="dxa"/>
            <w:shd w:val="clear" w:color="auto" w:fill="CCEDFF"/>
          </w:tcPr>
          <w:p>
            <w:pPr>
              <w:pStyle w:val="TableParagraph"/>
              <w:tabs>
                <w:tab w:pos="695" w:val="left" w:leader="none"/>
              </w:tabs>
              <w:spacing w:line="133" w:lineRule="exact"/>
              <w:ind w:left="93"/>
              <w:rPr>
                <w:sz w:val="14"/>
              </w:rPr>
            </w:pPr>
            <w:r>
              <w:rPr>
                <w:spacing w:val="-10"/>
                <w:sz w:val="14"/>
              </w:rPr>
              <w:t>$</w:t>
            </w:r>
            <w:r>
              <w:rPr>
                <w:sz w:val="14"/>
              </w:rPr>
              <w:tab/>
            </w:r>
            <w:r>
              <w:rPr>
                <w:spacing w:val="-2"/>
                <w:sz w:val="14"/>
              </w:rPr>
              <w:t>1,215</w:t>
            </w:r>
          </w:p>
        </w:tc>
      </w:tr>
      <w:tr>
        <w:trPr>
          <w:trHeight w:val="152" w:hRule="atLeast"/>
        </w:trPr>
        <w:tc>
          <w:tcPr>
            <w:tcW w:w="3290" w:type="dxa"/>
          </w:tcPr>
          <w:p>
            <w:pPr>
              <w:pStyle w:val="TableParagraph"/>
              <w:spacing w:line="133" w:lineRule="exact"/>
              <w:ind w:right="185"/>
              <w:jc w:val="right"/>
              <w:rPr>
                <w:sz w:val="11"/>
              </w:rPr>
            </w:pPr>
            <w:r>
              <w:rPr>
                <w:sz w:val="14"/>
              </w:rPr>
              <w:t>Research,</w:t>
            </w:r>
            <w:r>
              <w:rPr>
                <w:spacing w:val="-2"/>
                <w:sz w:val="14"/>
              </w:rPr>
              <w:t> </w:t>
            </w:r>
            <w:r>
              <w:rPr>
                <w:sz w:val="14"/>
              </w:rPr>
              <w:t>development</w:t>
            </w:r>
            <w:r>
              <w:rPr>
                <w:spacing w:val="-1"/>
                <w:sz w:val="14"/>
              </w:rPr>
              <w:t> </w:t>
            </w:r>
            <w:r>
              <w:rPr>
                <w:sz w:val="14"/>
              </w:rPr>
              <w:t>and</w:t>
            </w:r>
            <w:r>
              <w:rPr>
                <w:spacing w:val="-2"/>
                <w:sz w:val="14"/>
              </w:rPr>
              <w:t> </w:t>
            </w:r>
            <w:r>
              <w:rPr>
                <w:sz w:val="14"/>
              </w:rPr>
              <w:t>engineering</w:t>
            </w:r>
            <w:r>
              <w:rPr>
                <w:spacing w:val="-1"/>
                <w:sz w:val="14"/>
              </w:rPr>
              <w:t> </w:t>
            </w:r>
            <w:r>
              <w:rPr>
                <w:sz w:val="14"/>
              </w:rPr>
              <w:t>expenses</w:t>
            </w:r>
            <w:r>
              <w:rPr>
                <w:spacing w:val="-3"/>
                <w:sz w:val="14"/>
              </w:rPr>
              <w:t> </w:t>
            </w:r>
            <w:r>
              <w:rPr>
                <w:spacing w:val="-5"/>
                <w:position w:val="3"/>
                <w:sz w:val="11"/>
              </w:rPr>
              <w:t>(2)</w:t>
            </w:r>
          </w:p>
        </w:tc>
        <w:tc>
          <w:tcPr>
            <w:tcW w:w="1268" w:type="dxa"/>
          </w:tcPr>
          <w:p>
            <w:pPr>
              <w:pStyle w:val="TableParagraph"/>
              <w:tabs>
                <w:tab w:pos="852" w:val="left" w:leader="none"/>
              </w:tabs>
              <w:spacing w:line="133" w:lineRule="exact"/>
              <w:ind w:left="49"/>
              <w:jc w:val="center"/>
              <w:rPr>
                <w:sz w:val="14"/>
              </w:rPr>
            </w:pPr>
            <w:r>
              <w:rPr>
                <w:spacing w:val="-10"/>
                <w:sz w:val="14"/>
              </w:rPr>
              <w:t>$</w:t>
            </w:r>
            <w:r>
              <w:rPr>
                <w:sz w:val="14"/>
              </w:rPr>
              <w:tab/>
            </w:r>
            <w:r>
              <w:rPr>
                <w:spacing w:val="-5"/>
                <w:sz w:val="14"/>
              </w:rPr>
              <w:t>99</w:t>
            </w:r>
          </w:p>
        </w:tc>
        <w:tc>
          <w:tcPr>
            <w:tcW w:w="1210" w:type="dxa"/>
          </w:tcPr>
          <w:p>
            <w:pPr>
              <w:pStyle w:val="TableParagraph"/>
              <w:tabs>
                <w:tab w:pos="770" w:val="left" w:leader="none"/>
              </w:tabs>
              <w:spacing w:line="133" w:lineRule="exact"/>
              <w:ind w:right="44"/>
              <w:jc w:val="center"/>
              <w:rPr>
                <w:sz w:val="14"/>
              </w:rPr>
            </w:pPr>
            <w:r>
              <w:rPr>
                <w:spacing w:val="-10"/>
                <w:sz w:val="14"/>
              </w:rPr>
              <w:t>$</w:t>
            </w:r>
            <w:r>
              <w:rPr>
                <w:sz w:val="14"/>
              </w:rPr>
              <w:tab/>
            </w:r>
            <w:r>
              <w:rPr>
                <w:spacing w:val="-5"/>
                <w:sz w:val="14"/>
              </w:rPr>
              <w:t>204</w:t>
            </w:r>
          </w:p>
        </w:tc>
        <w:tc>
          <w:tcPr>
            <w:tcW w:w="1146" w:type="dxa"/>
          </w:tcPr>
          <w:p>
            <w:pPr>
              <w:pStyle w:val="TableParagraph"/>
              <w:tabs>
                <w:tab w:pos="706" w:val="left" w:leader="none"/>
              </w:tabs>
              <w:spacing w:line="133" w:lineRule="exact"/>
              <w:ind w:right="43"/>
              <w:jc w:val="center"/>
              <w:rPr>
                <w:sz w:val="14"/>
              </w:rPr>
            </w:pPr>
            <w:r>
              <w:rPr>
                <w:spacing w:val="-10"/>
                <w:sz w:val="14"/>
              </w:rPr>
              <w:t>$</w:t>
            </w:r>
            <w:r>
              <w:rPr>
                <w:sz w:val="14"/>
              </w:rPr>
              <w:tab/>
            </w:r>
            <w:r>
              <w:rPr>
                <w:spacing w:val="-5"/>
                <w:sz w:val="14"/>
              </w:rPr>
              <w:t>155</w:t>
            </w:r>
          </w:p>
        </w:tc>
        <w:tc>
          <w:tcPr>
            <w:tcW w:w="1184" w:type="dxa"/>
          </w:tcPr>
          <w:p>
            <w:pPr>
              <w:pStyle w:val="TableParagraph"/>
              <w:tabs>
                <w:tab w:pos="745" w:val="left" w:leader="none"/>
              </w:tabs>
              <w:spacing w:line="133" w:lineRule="exact"/>
              <w:ind w:right="42"/>
              <w:jc w:val="center"/>
              <w:rPr>
                <w:sz w:val="14"/>
              </w:rPr>
            </w:pPr>
            <w:r>
              <w:rPr>
                <w:spacing w:val="-10"/>
                <w:sz w:val="14"/>
              </w:rPr>
              <w:t>$</w:t>
            </w:r>
            <w:r>
              <w:rPr>
                <w:sz w:val="14"/>
              </w:rPr>
              <w:tab/>
            </w:r>
            <w:r>
              <w:rPr>
                <w:spacing w:val="-5"/>
                <w:sz w:val="14"/>
              </w:rPr>
              <w:t>100</w:t>
            </w:r>
          </w:p>
        </w:tc>
        <w:tc>
          <w:tcPr>
            <w:tcW w:w="1146" w:type="dxa"/>
          </w:tcPr>
          <w:p>
            <w:pPr>
              <w:pStyle w:val="TableParagraph"/>
              <w:tabs>
                <w:tab w:pos="776" w:val="left" w:leader="none"/>
              </w:tabs>
              <w:spacing w:line="133" w:lineRule="exact"/>
              <w:ind w:right="41"/>
              <w:jc w:val="center"/>
              <w:rPr>
                <w:sz w:val="14"/>
              </w:rPr>
            </w:pPr>
            <w:r>
              <w:rPr>
                <w:spacing w:val="-10"/>
                <w:sz w:val="14"/>
              </w:rPr>
              <w:t>$</w:t>
            </w:r>
            <w:r>
              <w:rPr>
                <w:sz w:val="14"/>
              </w:rPr>
              <w:tab/>
            </w:r>
            <w:r>
              <w:rPr>
                <w:spacing w:val="-5"/>
                <w:sz w:val="14"/>
              </w:rPr>
              <w:t>26</w:t>
            </w:r>
          </w:p>
        </w:tc>
        <w:tc>
          <w:tcPr>
            <w:tcW w:w="1146" w:type="dxa"/>
          </w:tcPr>
          <w:p>
            <w:pPr>
              <w:pStyle w:val="TableParagraph"/>
              <w:tabs>
                <w:tab w:pos="706" w:val="left" w:leader="none"/>
              </w:tabs>
              <w:spacing w:line="133" w:lineRule="exact"/>
              <w:ind w:right="40"/>
              <w:jc w:val="center"/>
              <w:rPr>
                <w:sz w:val="14"/>
              </w:rPr>
            </w:pPr>
            <w:r>
              <w:rPr>
                <w:spacing w:val="-10"/>
                <w:sz w:val="14"/>
              </w:rPr>
              <w:t>$</w:t>
            </w:r>
            <w:r>
              <w:rPr>
                <w:sz w:val="14"/>
              </w:rPr>
              <w:tab/>
            </w:r>
            <w:r>
              <w:rPr>
                <w:spacing w:val="-5"/>
                <w:sz w:val="14"/>
              </w:rPr>
              <w:t>170</w:t>
            </w:r>
          </w:p>
        </w:tc>
        <w:tc>
          <w:tcPr>
            <w:tcW w:w="1123" w:type="dxa"/>
          </w:tcPr>
          <w:p>
            <w:pPr>
              <w:pStyle w:val="TableParagraph"/>
              <w:tabs>
                <w:tab w:pos="800" w:val="left" w:leader="none"/>
              </w:tabs>
              <w:spacing w:line="133" w:lineRule="exact"/>
              <w:ind w:left="93"/>
              <w:rPr>
                <w:sz w:val="14"/>
              </w:rPr>
            </w:pPr>
            <w:r>
              <w:rPr>
                <w:spacing w:val="-10"/>
                <w:sz w:val="14"/>
              </w:rPr>
              <w:t>$</w:t>
            </w:r>
            <w:r>
              <w:rPr>
                <w:sz w:val="14"/>
              </w:rPr>
              <w:tab/>
            </w:r>
            <w:r>
              <w:rPr>
                <w:spacing w:val="-5"/>
                <w:sz w:val="14"/>
              </w:rPr>
              <w:t>754</w:t>
            </w:r>
          </w:p>
        </w:tc>
      </w:tr>
      <w:tr>
        <w:trPr>
          <w:trHeight w:val="152" w:hRule="atLeast"/>
        </w:trPr>
        <w:tc>
          <w:tcPr>
            <w:tcW w:w="3290" w:type="dxa"/>
            <w:shd w:val="clear" w:color="auto" w:fill="CCEDFF"/>
          </w:tcPr>
          <w:p>
            <w:pPr>
              <w:pStyle w:val="TableParagraph"/>
              <w:spacing w:line="133" w:lineRule="exact"/>
              <w:ind w:left="152"/>
              <w:rPr>
                <w:sz w:val="11"/>
              </w:rPr>
            </w:pPr>
            <w:r>
              <w:rPr>
                <w:sz w:val="14"/>
              </w:rPr>
              <w:t>Income tax (provision) benefit</w:t>
            </w:r>
            <w:r>
              <w:rPr>
                <w:spacing w:val="-1"/>
                <w:sz w:val="14"/>
              </w:rPr>
              <w:t> </w:t>
            </w:r>
            <w:r>
              <w:rPr>
                <w:spacing w:val="-5"/>
                <w:position w:val="3"/>
                <w:sz w:val="11"/>
              </w:rPr>
              <w:t>(3)</w:t>
            </w:r>
          </w:p>
        </w:tc>
        <w:tc>
          <w:tcPr>
            <w:tcW w:w="1268" w:type="dxa"/>
            <w:shd w:val="clear" w:color="auto" w:fill="CCEDFF"/>
          </w:tcPr>
          <w:p>
            <w:pPr>
              <w:pStyle w:val="TableParagraph"/>
              <w:tabs>
                <w:tab w:pos="782" w:val="left" w:leader="none"/>
              </w:tabs>
              <w:spacing w:line="133" w:lineRule="exact"/>
              <w:ind w:left="96"/>
              <w:jc w:val="center"/>
              <w:rPr>
                <w:sz w:val="14"/>
              </w:rPr>
            </w:pPr>
            <w:r>
              <w:rPr>
                <w:spacing w:val="-10"/>
                <w:sz w:val="14"/>
              </w:rPr>
              <w:t>$</w:t>
            </w:r>
            <w:r>
              <w:rPr>
                <w:sz w:val="14"/>
              </w:rPr>
              <w:tab/>
            </w:r>
            <w:r>
              <w:rPr>
                <w:spacing w:val="-2"/>
                <w:sz w:val="14"/>
              </w:rPr>
              <w:t>(190)</w:t>
            </w:r>
          </w:p>
        </w:tc>
        <w:tc>
          <w:tcPr>
            <w:tcW w:w="1210" w:type="dxa"/>
            <w:shd w:val="clear" w:color="auto" w:fill="CCEDFF"/>
          </w:tcPr>
          <w:p>
            <w:pPr>
              <w:pStyle w:val="TableParagraph"/>
              <w:tabs>
                <w:tab w:pos="724" w:val="left" w:leader="none"/>
              </w:tabs>
              <w:spacing w:line="133" w:lineRule="exact"/>
              <w:jc w:val="center"/>
              <w:rPr>
                <w:sz w:val="14"/>
              </w:rPr>
            </w:pPr>
            <w:r>
              <w:rPr>
                <w:spacing w:val="-10"/>
                <w:sz w:val="14"/>
              </w:rPr>
              <w:t>$</w:t>
            </w:r>
            <w:r>
              <w:rPr>
                <w:sz w:val="14"/>
              </w:rPr>
              <w:tab/>
            </w:r>
            <w:r>
              <w:rPr>
                <w:spacing w:val="-2"/>
                <w:sz w:val="14"/>
              </w:rPr>
              <w:t>(101)</w:t>
            </w:r>
          </w:p>
        </w:tc>
        <w:tc>
          <w:tcPr>
            <w:tcW w:w="1146" w:type="dxa"/>
            <w:shd w:val="clear" w:color="auto" w:fill="CCEDFF"/>
          </w:tcPr>
          <w:p>
            <w:pPr>
              <w:pStyle w:val="TableParagraph"/>
              <w:tabs>
                <w:tab w:pos="661" w:val="left" w:leader="none"/>
              </w:tabs>
              <w:spacing w:line="133" w:lineRule="exact"/>
              <w:ind w:left="1"/>
              <w:jc w:val="center"/>
              <w:rPr>
                <w:sz w:val="14"/>
              </w:rPr>
            </w:pPr>
            <w:r>
              <w:rPr>
                <w:spacing w:val="-10"/>
                <w:sz w:val="14"/>
              </w:rPr>
              <w:t>$</w:t>
            </w:r>
            <w:r>
              <w:rPr>
                <w:sz w:val="14"/>
              </w:rPr>
              <w:tab/>
            </w:r>
            <w:r>
              <w:rPr>
                <w:spacing w:val="-2"/>
                <w:sz w:val="14"/>
              </w:rPr>
              <w:t>(113)</w:t>
            </w:r>
          </w:p>
        </w:tc>
        <w:tc>
          <w:tcPr>
            <w:tcW w:w="1184" w:type="dxa"/>
            <w:shd w:val="clear" w:color="auto" w:fill="CCEDFF"/>
          </w:tcPr>
          <w:p>
            <w:pPr>
              <w:pStyle w:val="TableParagraph"/>
              <w:tabs>
                <w:tab w:pos="770" w:val="left" w:leader="none"/>
              </w:tabs>
              <w:spacing w:line="133" w:lineRule="exact"/>
              <w:ind w:left="2"/>
              <w:jc w:val="center"/>
              <w:rPr>
                <w:sz w:val="14"/>
              </w:rPr>
            </w:pPr>
            <w:r>
              <w:rPr>
                <w:spacing w:val="-10"/>
                <w:sz w:val="14"/>
              </w:rPr>
              <w:t>$</w:t>
            </w:r>
            <w:r>
              <w:rPr>
                <w:sz w:val="14"/>
              </w:rPr>
              <w:tab/>
            </w:r>
            <w:r>
              <w:rPr>
                <w:spacing w:val="-4"/>
                <w:sz w:val="14"/>
              </w:rPr>
              <w:t>(52)</w:t>
            </w:r>
          </w:p>
        </w:tc>
        <w:tc>
          <w:tcPr>
            <w:tcW w:w="1146" w:type="dxa"/>
            <w:shd w:val="clear" w:color="auto" w:fill="CCEDFF"/>
          </w:tcPr>
          <w:p>
            <w:pPr>
              <w:pStyle w:val="TableParagraph"/>
              <w:tabs>
                <w:tab w:pos="733" w:val="left" w:leader="none"/>
              </w:tabs>
              <w:spacing w:line="133" w:lineRule="exact"/>
              <w:ind w:left="3"/>
              <w:jc w:val="center"/>
              <w:rPr>
                <w:sz w:val="14"/>
              </w:rPr>
            </w:pPr>
            <w:r>
              <w:rPr>
                <w:spacing w:val="-10"/>
                <w:sz w:val="14"/>
              </w:rPr>
              <w:t>$</w:t>
            </w:r>
            <w:r>
              <w:rPr>
                <w:sz w:val="14"/>
              </w:rPr>
              <w:tab/>
            </w:r>
            <w:r>
              <w:rPr>
                <w:spacing w:val="-4"/>
                <w:sz w:val="14"/>
              </w:rPr>
              <w:t>(37)</w:t>
            </w:r>
          </w:p>
        </w:tc>
        <w:tc>
          <w:tcPr>
            <w:tcW w:w="1146" w:type="dxa"/>
            <w:shd w:val="clear" w:color="auto" w:fill="CCEDFF"/>
          </w:tcPr>
          <w:p>
            <w:pPr>
              <w:pStyle w:val="TableParagraph"/>
              <w:tabs>
                <w:tab w:pos="776" w:val="left" w:leader="none"/>
              </w:tabs>
              <w:spacing w:line="133" w:lineRule="exact"/>
              <w:ind w:right="40"/>
              <w:jc w:val="center"/>
              <w:rPr>
                <w:sz w:val="14"/>
              </w:rPr>
            </w:pPr>
            <w:r>
              <w:rPr>
                <w:spacing w:val="-10"/>
                <w:sz w:val="14"/>
              </w:rPr>
              <w:t>$</w:t>
            </w:r>
            <w:r>
              <w:rPr>
                <w:sz w:val="14"/>
              </w:rPr>
              <w:tab/>
            </w:r>
            <w:r>
              <w:rPr>
                <w:spacing w:val="-5"/>
                <w:sz w:val="14"/>
              </w:rPr>
              <w:t>58</w:t>
            </w:r>
          </w:p>
        </w:tc>
        <w:tc>
          <w:tcPr>
            <w:tcW w:w="1123" w:type="dxa"/>
            <w:shd w:val="clear" w:color="auto" w:fill="CCEDFF"/>
          </w:tcPr>
          <w:p>
            <w:pPr>
              <w:pStyle w:val="TableParagraph"/>
              <w:tabs>
                <w:tab w:pos="754" w:val="left" w:leader="none"/>
              </w:tabs>
              <w:spacing w:line="133" w:lineRule="exact"/>
              <w:ind w:left="93"/>
              <w:rPr>
                <w:sz w:val="14"/>
              </w:rPr>
            </w:pPr>
            <w:r>
              <w:rPr>
                <w:spacing w:val="-10"/>
                <w:sz w:val="14"/>
              </w:rPr>
              <w:t>$</w:t>
            </w:r>
            <w:r>
              <w:rPr>
                <w:sz w:val="14"/>
              </w:rPr>
              <w:tab/>
            </w:r>
            <w:r>
              <w:rPr>
                <w:spacing w:val="-2"/>
                <w:sz w:val="14"/>
              </w:rPr>
              <w:t>(435)</w:t>
            </w:r>
          </w:p>
        </w:tc>
      </w:tr>
      <w:tr>
        <w:trPr>
          <w:trHeight w:val="144" w:hRule="atLeast"/>
        </w:trPr>
        <w:tc>
          <w:tcPr>
            <w:tcW w:w="3290" w:type="dxa"/>
            <w:tcBorders>
              <w:bottom w:val="double" w:sz="6" w:space="0" w:color="000000"/>
            </w:tcBorders>
          </w:tcPr>
          <w:p>
            <w:pPr>
              <w:pStyle w:val="TableParagraph"/>
              <w:spacing w:line="129" w:lineRule="exact"/>
              <w:ind w:left="152"/>
              <w:rPr>
                <w:sz w:val="11"/>
              </w:rPr>
            </w:pPr>
            <w:r>
              <w:rPr>
                <w:sz w:val="14"/>
              </w:rPr>
              <w:t>Net income (loss)</w:t>
            </w:r>
            <w:r>
              <w:rPr>
                <w:spacing w:val="-1"/>
                <w:sz w:val="14"/>
              </w:rPr>
              <w:t> </w:t>
            </w:r>
            <w:r>
              <w:rPr>
                <w:spacing w:val="-5"/>
                <w:position w:val="3"/>
                <w:sz w:val="11"/>
              </w:rPr>
              <w:t>(4)</w:t>
            </w:r>
          </w:p>
        </w:tc>
        <w:tc>
          <w:tcPr>
            <w:tcW w:w="1268" w:type="dxa"/>
            <w:tcBorders>
              <w:bottom w:val="double" w:sz="6" w:space="0" w:color="000000"/>
            </w:tcBorders>
          </w:tcPr>
          <w:p>
            <w:pPr>
              <w:pStyle w:val="TableParagraph"/>
              <w:tabs>
                <w:tab w:pos="782" w:val="left" w:leader="none"/>
              </w:tabs>
              <w:spacing w:line="129" w:lineRule="exact"/>
              <w:ind w:left="49"/>
              <w:jc w:val="center"/>
              <w:rPr>
                <w:sz w:val="14"/>
              </w:rPr>
            </w:pPr>
            <w:r>
              <w:rPr>
                <w:spacing w:val="-10"/>
                <w:sz w:val="14"/>
              </w:rPr>
              <w:t>$</w:t>
            </w:r>
            <w:r>
              <w:rPr>
                <w:sz w:val="14"/>
              </w:rPr>
              <w:tab/>
            </w:r>
            <w:r>
              <w:rPr>
                <w:spacing w:val="-5"/>
                <w:sz w:val="14"/>
              </w:rPr>
              <w:t>717</w:t>
            </w:r>
          </w:p>
        </w:tc>
        <w:tc>
          <w:tcPr>
            <w:tcW w:w="1210" w:type="dxa"/>
            <w:tcBorders>
              <w:bottom w:val="double" w:sz="6" w:space="0" w:color="000000"/>
            </w:tcBorders>
          </w:tcPr>
          <w:p>
            <w:pPr>
              <w:pStyle w:val="TableParagraph"/>
              <w:tabs>
                <w:tab w:pos="770" w:val="left" w:leader="none"/>
              </w:tabs>
              <w:spacing w:line="129" w:lineRule="exact"/>
              <w:ind w:right="44"/>
              <w:jc w:val="center"/>
              <w:rPr>
                <w:sz w:val="14"/>
              </w:rPr>
            </w:pPr>
            <w:r>
              <w:rPr>
                <w:spacing w:val="-10"/>
                <w:sz w:val="14"/>
              </w:rPr>
              <w:t>$</w:t>
            </w:r>
            <w:r>
              <w:rPr>
                <w:sz w:val="14"/>
              </w:rPr>
              <w:tab/>
            </w:r>
            <w:r>
              <w:rPr>
                <w:spacing w:val="-5"/>
                <w:sz w:val="14"/>
              </w:rPr>
              <w:t>366</w:t>
            </w:r>
          </w:p>
        </w:tc>
        <w:tc>
          <w:tcPr>
            <w:tcW w:w="1146" w:type="dxa"/>
            <w:tcBorders>
              <w:bottom w:val="double" w:sz="6" w:space="0" w:color="000000"/>
            </w:tcBorders>
          </w:tcPr>
          <w:p>
            <w:pPr>
              <w:pStyle w:val="TableParagraph"/>
              <w:tabs>
                <w:tab w:pos="706" w:val="left" w:leader="none"/>
              </w:tabs>
              <w:spacing w:line="129" w:lineRule="exact"/>
              <w:ind w:right="43"/>
              <w:jc w:val="center"/>
              <w:rPr>
                <w:sz w:val="14"/>
              </w:rPr>
            </w:pPr>
            <w:r>
              <w:rPr>
                <w:spacing w:val="-10"/>
                <w:sz w:val="14"/>
              </w:rPr>
              <w:t>$</w:t>
            </w:r>
            <w:r>
              <w:rPr>
                <w:sz w:val="14"/>
              </w:rPr>
              <w:tab/>
            </w:r>
            <w:r>
              <w:rPr>
                <w:spacing w:val="-5"/>
                <w:sz w:val="14"/>
              </w:rPr>
              <w:t>423</w:t>
            </w:r>
          </w:p>
        </w:tc>
        <w:tc>
          <w:tcPr>
            <w:tcW w:w="1184" w:type="dxa"/>
            <w:tcBorders>
              <w:bottom w:val="double" w:sz="6" w:space="0" w:color="000000"/>
            </w:tcBorders>
          </w:tcPr>
          <w:p>
            <w:pPr>
              <w:pStyle w:val="TableParagraph"/>
              <w:tabs>
                <w:tab w:pos="745" w:val="left" w:leader="none"/>
              </w:tabs>
              <w:spacing w:line="129" w:lineRule="exact"/>
              <w:ind w:right="42"/>
              <w:jc w:val="center"/>
              <w:rPr>
                <w:sz w:val="14"/>
              </w:rPr>
            </w:pPr>
            <w:r>
              <w:rPr>
                <w:spacing w:val="-10"/>
                <w:sz w:val="14"/>
              </w:rPr>
              <w:t>$</w:t>
            </w:r>
            <w:r>
              <w:rPr>
                <w:sz w:val="14"/>
              </w:rPr>
              <w:tab/>
            </w:r>
            <w:r>
              <w:rPr>
                <w:spacing w:val="-5"/>
                <w:sz w:val="14"/>
              </w:rPr>
              <w:t>197</w:t>
            </w:r>
          </w:p>
        </w:tc>
        <w:tc>
          <w:tcPr>
            <w:tcW w:w="1146" w:type="dxa"/>
            <w:tcBorders>
              <w:bottom w:val="double" w:sz="6" w:space="0" w:color="000000"/>
            </w:tcBorders>
          </w:tcPr>
          <w:p>
            <w:pPr>
              <w:pStyle w:val="TableParagraph"/>
              <w:tabs>
                <w:tab w:pos="706" w:val="left" w:leader="none"/>
              </w:tabs>
              <w:spacing w:line="129" w:lineRule="exact"/>
              <w:ind w:right="41"/>
              <w:jc w:val="center"/>
              <w:rPr>
                <w:sz w:val="14"/>
              </w:rPr>
            </w:pPr>
            <w:r>
              <w:rPr>
                <w:spacing w:val="-10"/>
                <w:sz w:val="14"/>
              </w:rPr>
              <w:t>$</w:t>
            </w:r>
            <w:r>
              <w:rPr>
                <w:sz w:val="14"/>
              </w:rPr>
              <w:tab/>
            </w:r>
            <w:r>
              <w:rPr>
                <w:spacing w:val="-5"/>
                <w:sz w:val="14"/>
              </w:rPr>
              <w:t>139</w:t>
            </w:r>
          </w:p>
        </w:tc>
        <w:tc>
          <w:tcPr>
            <w:tcW w:w="1146" w:type="dxa"/>
            <w:tcBorders>
              <w:bottom w:val="double" w:sz="6" w:space="0" w:color="000000"/>
            </w:tcBorders>
          </w:tcPr>
          <w:p>
            <w:pPr>
              <w:pStyle w:val="TableParagraph"/>
              <w:tabs>
                <w:tab w:pos="664" w:val="left" w:leader="none"/>
              </w:tabs>
              <w:spacing w:line="129" w:lineRule="exact"/>
              <w:ind w:left="4"/>
              <w:jc w:val="center"/>
              <w:rPr>
                <w:sz w:val="14"/>
              </w:rPr>
            </w:pPr>
            <w:r>
              <w:rPr>
                <w:spacing w:val="-10"/>
                <w:sz w:val="14"/>
              </w:rPr>
              <w:t>$</w:t>
            </w:r>
            <w:r>
              <w:rPr>
                <w:sz w:val="14"/>
              </w:rPr>
              <w:tab/>
            </w:r>
            <w:r>
              <w:rPr>
                <w:spacing w:val="-2"/>
                <w:sz w:val="14"/>
              </w:rPr>
              <w:t>(214)</w:t>
            </w:r>
          </w:p>
        </w:tc>
        <w:tc>
          <w:tcPr>
            <w:tcW w:w="1123" w:type="dxa"/>
            <w:tcBorders>
              <w:bottom w:val="double" w:sz="6" w:space="0" w:color="000000"/>
            </w:tcBorders>
          </w:tcPr>
          <w:p>
            <w:pPr>
              <w:pStyle w:val="TableParagraph"/>
              <w:tabs>
                <w:tab w:pos="695" w:val="left" w:leader="none"/>
              </w:tabs>
              <w:spacing w:line="129" w:lineRule="exact"/>
              <w:ind w:left="93"/>
              <w:rPr>
                <w:sz w:val="14"/>
              </w:rPr>
            </w:pPr>
            <w:r>
              <w:rPr>
                <w:spacing w:val="-10"/>
                <w:sz w:val="14"/>
              </w:rPr>
              <w:t>$</w:t>
            </w:r>
            <w:r>
              <w:rPr>
                <w:sz w:val="14"/>
              </w:rPr>
              <w:tab/>
            </w:r>
            <w:r>
              <w:rPr>
                <w:spacing w:val="-2"/>
                <w:sz w:val="14"/>
              </w:rPr>
              <w:t>1,628</w:t>
            </w:r>
          </w:p>
        </w:tc>
      </w:tr>
      <w:tr>
        <w:trPr>
          <w:trHeight w:val="154" w:hRule="atLeast"/>
        </w:trPr>
        <w:tc>
          <w:tcPr>
            <w:tcW w:w="3290" w:type="dxa"/>
            <w:tcBorders>
              <w:top w:val="double" w:sz="6" w:space="0" w:color="000000"/>
            </w:tcBorders>
            <w:shd w:val="clear" w:color="auto" w:fill="CCEDFF"/>
          </w:tcPr>
          <w:p>
            <w:pPr>
              <w:pStyle w:val="TableParagraph"/>
              <w:spacing w:line="129" w:lineRule="exact"/>
              <w:ind w:left="152"/>
              <w:rPr>
                <w:sz w:val="14"/>
              </w:rPr>
            </w:pPr>
            <w:r>
              <w:rPr>
                <w:sz w:val="14"/>
              </w:rPr>
              <w:t>Investment in affiliated companies, at </w:t>
            </w:r>
            <w:r>
              <w:rPr>
                <w:spacing w:val="-2"/>
                <w:sz w:val="14"/>
              </w:rPr>
              <w:t>equity</w:t>
            </w:r>
          </w:p>
        </w:tc>
        <w:tc>
          <w:tcPr>
            <w:tcW w:w="1268" w:type="dxa"/>
            <w:tcBorders>
              <w:top w:val="double" w:sz="6" w:space="0" w:color="000000"/>
            </w:tcBorders>
            <w:shd w:val="clear" w:color="auto" w:fill="CCEDFF"/>
          </w:tcPr>
          <w:p>
            <w:pPr>
              <w:pStyle w:val="TableParagraph"/>
              <w:tabs>
                <w:tab w:pos="782" w:val="left" w:leader="none"/>
              </w:tabs>
              <w:spacing w:line="129" w:lineRule="exact"/>
              <w:ind w:left="49"/>
              <w:jc w:val="center"/>
              <w:rPr>
                <w:sz w:val="14"/>
              </w:rPr>
            </w:pPr>
            <w:r>
              <w:rPr>
                <w:spacing w:val="-10"/>
                <w:sz w:val="14"/>
              </w:rPr>
              <w:t>$</w:t>
            </w:r>
            <w:r>
              <w:rPr>
                <w:sz w:val="14"/>
              </w:rPr>
              <w:tab/>
            </w:r>
            <w:r>
              <w:rPr>
                <w:spacing w:val="-5"/>
                <w:sz w:val="14"/>
              </w:rPr>
              <w:t>107</w:t>
            </w:r>
          </w:p>
        </w:tc>
        <w:tc>
          <w:tcPr>
            <w:tcW w:w="1210" w:type="dxa"/>
            <w:tcBorders>
              <w:top w:val="double" w:sz="6" w:space="0" w:color="000000"/>
            </w:tcBorders>
            <w:shd w:val="clear" w:color="auto" w:fill="CCEDFF"/>
          </w:tcPr>
          <w:p>
            <w:pPr>
              <w:pStyle w:val="TableParagraph"/>
              <w:tabs>
                <w:tab w:pos="910" w:val="left" w:leader="none"/>
              </w:tabs>
              <w:spacing w:line="129" w:lineRule="exact"/>
              <w:ind w:right="44"/>
              <w:jc w:val="center"/>
              <w:rPr>
                <w:sz w:val="14"/>
              </w:rPr>
            </w:pPr>
            <w:r>
              <w:rPr>
                <w:spacing w:val="-10"/>
                <w:sz w:val="14"/>
              </w:rPr>
              <w:t>$</w:t>
            </w:r>
            <w:r>
              <w:rPr>
                <w:sz w:val="14"/>
              </w:rPr>
              <w:tab/>
            </w:r>
            <w:r>
              <w:rPr>
                <w:spacing w:val="-10"/>
                <w:sz w:val="14"/>
              </w:rPr>
              <w:t>3</w:t>
            </w:r>
          </w:p>
        </w:tc>
        <w:tc>
          <w:tcPr>
            <w:tcW w:w="1146" w:type="dxa"/>
            <w:tcBorders>
              <w:top w:val="double" w:sz="6" w:space="0" w:color="000000"/>
            </w:tcBorders>
            <w:shd w:val="clear" w:color="auto" w:fill="CCEDFF"/>
          </w:tcPr>
          <w:p>
            <w:pPr>
              <w:pStyle w:val="TableParagraph"/>
              <w:tabs>
                <w:tab w:pos="847" w:val="left" w:leader="none"/>
              </w:tabs>
              <w:spacing w:line="129" w:lineRule="exact"/>
              <w:ind w:right="43"/>
              <w:jc w:val="center"/>
              <w:rPr>
                <w:sz w:val="14"/>
              </w:rPr>
            </w:pPr>
            <w:r>
              <w:rPr>
                <w:spacing w:val="-10"/>
                <w:sz w:val="14"/>
              </w:rPr>
              <w:t>$</w:t>
            </w:r>
            <w:r>
              <w:rPr>
                <w:sz w:val="14"/>
              </w:rPr>
              <w:tab/>
            </w:r>
            <w:r>
              <w:rPr>
                <w:spacing w:val="-10"/>
                <w:sz w:val="14"/>
              </w:rPr>
              <w:t>4</w:t>
            </w:r>
          </w:p>
        </w:tc>
        <w:tc>
          <w:tcPr>
            <w:tcW w:w="1184" w:type="dxa"/>
            <w:tcBorders>
              <w:top w:val="double" w:sz="6" w:space="0" w:color="000000"/>
            </w:tcBorders>
            <w:shd w:val="clear" w:color="auto" w:fill="CCEDFF"/>
          </w:tcPr>
          <w:p>
            <w:pPr>
              <w:pStyle w:val="TableParagraph"/>
              <w:rPr>
                <w:sz w:val="8"/>
              </w:rPr>
            </w:pPr>
          </w:p>
        </w:tc>
        <w:tc>
          <w:tcPr>
            <w:tcW w:w="1146" w:type="dxa"/>
            <w:tcBorders>
              <w:top w:val="double" w:sz="6" w:space="0" w:color="000000"/>
            </w:tcBorders>
            <w:shd w:val="clear" w:color="auto" w:fill="CCEDFF"/>
          </w:tcPr>
          <w:p>
            <w:pPr>
              <w:pStyle w:val="TableParagraph"/>
              <w:tabs>
                <w:tab w:pos="847" w:val="left" w:leader="none"/>
              </w:tabs>
              <w:spacing w:line="129" w:lineRule="exact"/>
              <w:ind w:right="41"/>
              <w:jc w:val="center"/>
              <w:rPr>
                <w:sz w:val="14"/>
              </w:rPr>
            </w:pPr>
            <w:r>
              <w:rPr>
                <w:spacing w:val="-10"/>
                <w:sz w:val="14"/>
              </w:rPr>
              <w:t>$</w:t>
            </w:r>
            <w:r>
              <w:rPr>
                <w:sz w:val="14"/>
              </w:rPr>
              <w:tab/>
            </w:r>
            <w:r>
              <w:rPr>
                <w:spacing w:val="-10"/>
                <w:sz w:val="14"/>
              </w:rPr>
              <w:t>2</w:t>
            </w:r>
          </w:p>
        </w:tc>
        <w:tc>
          <w:tcPr>
            <w:tcW w:w="1146" w:type="dxa"/>
            <w:tcBorders>
              <w:top w:val="double" w:sz="6" w:space="0" w:color="000000"/>
            </w:tcBorders>
            <w:shd w:val="clear" w:color="auto" w:fill="CCEDFF"/>
          </w:tcPr>
          <w:p>
            <w:pPr>
              <w:pStyle w:val="TableParagraph"/>
              <w:tabs>
                <w:tab w:pos="706" w:val="left" w:leader="none"/>
              </w:tabs>
              <w:spacing w:line="129" w:lineRule="exact"/>
              <w:ind w:right="40"/>
              <w:jc w:val="center"/>
              <w:rPr>
                <w:sz w:val="14"/>
              </w:rPr>
            </w:pPr>
            <w:r>
              <w:rPr>
                <w:spacing w:val="-10"/>
                <w:sz w:val="14"/>
              </w:rPr>
              <w:t>$</w:t>
            </w:r>
            <w:r>
              <w:rPr>
                <w:sz w:val="14"/>
              </w:rPr>
              <w:tab/>
            </w:r>
            <w:r>
              <w:rPr>
                <w:spacing w:val="-5"/>
                <w:sz w:val="14"/>
              </w:rPr>
              <w:t>142</w:t>
            </w:r>
          </w:p>
        </w:tc>
        <w:tc>
          <w:tcPr>
            <w:tcW w:w="1123" w:type="dxa"/>
            <w:tcBorders>
              <w:top w:val="double" w:sz="6" w:space="0" w:color="000000"/>
            </w:tcBorders>
            <w:shd w:val="clear" w:color="auto" w:fill="CCEDFF"/>
          </w:tcPr>
          <w:p>
            <w:pPr>
              <w:pStyle w:val="TableParagraph"/>
              <w:tabs>
                <w:tab w:pos="800" w:val="left" w:leader="none"/>
              </w:tabs>
              <w:spacing w:line="129" w:lineRule="exact"/>
              <w:ind w:left="93"/>
              <w:rPr>
                <w:sz w:val="14"/>
              </w:rPr>
            </w:pPr>
            <w:r>
              <w:rPr>
                <w:spacing w:val="-10"/>
                <w:sz w:val="14"/>
              </w:rPr>
              <w:t>$</w:t>
            </w:r>
            <w:r>
              <w:rPr>
                <w:sz w:val="14"/>
              </w:rPr>
              <w:tab/>
            </w:r>
            <w:r>
              <w:rPr>
                <w:spacing w:val="-5"/>
                <w:sz w:val="14"/>
              </w:rPr>
              <w:t>258</w:t>
            </w:r>
          </w:p>
        </w:tc>
      </w:tr>
      <w:tr>
        <w:trPr>
          <w:trHeight w:val="152" w:hRule="atLeast"/>
        </w:trPr>
        <w:tc>
          <w:tcPr>
            <w:tcW w:w="3290" w:type="dxa"/>
          </w:tcPr>
          <w:p>
            <w:pPr>
              <w:pStyle w:val="TableParagraph"/>
              <w:spacing w:line="133" w:lineRule="exact"/>
              <w:ind w:left="152"/>
              <w:rPr>
                <w:sz w:val="11"/>
              </w:rPr>
            </w:pPr>
            <w:r>
              <w:rPr>
                <w:sz w:val="14"/>
              </w:rPr>
              <w:t>Segment</w:t>
            </w:r>
            <w:r>
              <w:rPr>
                <w:spacing w:val="-3"/>
                <w:sz w:val="14"/>
              </w:rPr>
              <w:t> </w:t>
            </w:r>
            <w:r>
              <w:rPr>
                <w:sz w:val="14"/>
              </w:rPr>
              <w:t>assets</w:t>
            </w:r>
            <w:r>
              <w:rPr>
                <w:spacing w:val="-3"/>
                <w:sz w:val="14"/>
              </w:rPr>
              <w:t> </w:t>
            </w:r>
            <w:r>
              <w:rPr>
                <w:spacing w:val="-5"/>
                <w:position w:val="3"/>
                <w:sz w:val="11"/>
              </w:rPr>
              <w:t>(5)</w:t>
            </w:r>
          </w:p>
        </w:tc>
        <w:tc>
          <w:tcPr>
            <w:tcW w:w="1268" w:type="dxa"/>
          </w:tcPr>
          <w:p>
            <w:pPr>
              <w:pStyle w:val="TableParagraph"/>
              <w:tabs>
                <w:tab w:pos="677" w:val="left" w:leader="none"/>
              </w:tabs>
              <w:spacing w:line="133" w:lineRule="exact"/>
              <w:ind w:left="49"/>
              <w:jc w:val="center"/>
              <w:rPr>
                <w:sz w:val="14"/>
              </w:rPr>
            </w:pPr>
            <w:r>
              <w:rPr>
                <w:spacing w:val="-10"/>
                <w:sz w:val="14"/>
              </w:rPr>
              <w:t>$</w:t>
            </w:r>
            <w:r>
              <w:rPr>
                <w:sz w:val="14"/>
              </w:rPr>
              <w:tab/>
            </w:r>
            <w:r>
              <w:rPr>
                <w:spacing w:val="-2"/>
                <w:sz w:val="14"/>
              </w:rPr>
              <w:t>8,777</w:t>
            </w:r>
          </w:p>
        </w:tc>
        <w:tc>
          <w:tcPr>
            <w:tcW w:w="1210" w:type="dxa"/>
          </w:tcPr>
          <w:p>
            <w:pPr>
              <w:pStyle w:val="TableParagraph"/>
              <w:tabs>
                <w:tab w:pos="665" w:val="left" w:leader="none"/>
              </w:tabs>
              <w:spacing w:line="133" w:lineRule="exact"/>
              <w:ind w:right="44"/>
              <w:jc w:val="center"/>
              <w:rPr>
                <w:sz w:val="14"/>
              </w:rPr>
            </w:pPr>
            <w:r>
              <w:rPr>
                <w:spacing w:val="-10"/>
                <w:sz w:val="14"/>
              </w:rPr>
              <w:t>$</w:t>
            </w:r>
            <w:r>
              <w:rPr>
                <w:sz w:val="14"/>
              </w:rPr>
              <w:tab/>
            </w:r>
            <w:r>
              <w:rPr>
                <w:spacing w:val="-2"/>
                <w:sz w:val="14"/>
              </w:rPr>
              <w:t>2,868</w:t>
            </w:r>
          </w:p>
        </w:tc>
        <w:tc>
          <w:tcPr>
            <w:tcW w:w="1146" w:type="dxa"/>
          </w:tcPr>
          <w:p>
            <w:pPr>
              <w:pStyle w:val="TableParagraph"/>
              <w:tabs>
                <w:tab w:pos="601" w:val="left" w:leader="none"/>
              </w:tabs>
              <w:spacing w:line="133" w:lineRule="exact"/>
              <w:ind w:right="43"/>
              <w:jc w:val="center"/>
              <w:rPr>
                <w:sz w:val="14"/>
              </w:rPr>
            </w:pPr>
            <w:r>
              <w:rPr>
                <w:spacing w:val="-10"/>
                <w:sz w:val="14"/>
              </w:rPr>
              <w:t>$</w:t>
            </w:r>
            <w:r>
              <w:rPr>
                <w:sz w:val="14"/>
              </w:rPr>
              <w:tab/>
            </w:r>
            <w:r>
              <w:rPr>
                <w:spacing w:val="-2"/>
                <w:sz w:val="14"/>
              </w:rPr>
              <w:t>2,551</w:t>
            </w:r>
          </w:p>
        </w:tc>
        <w:tc>
          <w:tcPr>
            <w:tcW w:w="1184" w:type="dxa"/>
          </w:tcPr>
          <w:p>
            <w:pPr>
              <w:pStyle w:val="TableParagraph"/>
              <w:tabs>
                <w:tab w:pos="640" w:val="left" w:leader="none"/>
              </w:tabs>
              <w:spacing w:line="133" w:lineRule="exact"/>
              <w:ind w:right="42"/>
              <w:jc w:val="center"/>
              <w:rPr>
                <w:sz w:val="14"/>
              </w:rPr>
            </w:pPr>
            <w:r>
              <w:rPr>
                <w:spacing w:val="-10"/>
                <w:sz w:val="14"/>
              </w:rPr>
              <w:t>$</w:t>
            </w:r>
            <w:r>
              <w:rPr>
                <w:sz w:val="14"/>
              </w:rPr>
              <w:tab/>
            </w:r>
            <w:r>
              <w:rPr>
                <w:spacing w:val="-2"/>
                <w:sz w:val="14"/>
              </w:rPr>
              <w:t>1,986</w:t>
            </w:r>
          </w:p>
        </w:tc>
        <w:tc>
          <w:tcPr>
            <w:tcW w:w="1146" w:type="dxa"/>
          </w:tcPr>
          <w:p>
            <w:pPr>
              <w:pStyle w:val="TableParagraph"/>
              <w:tabs>
                <w:tab w:pos="706" w:val="left" w:leader="none"/>
              </w:tabs>
              <w:spacing w:line="133" w:lineRule="exact"/>
              <w:ind w:right="41"/>
              <w:jc w:val="center"/>
              <w:rPr>
                <w:sz w:val="14"/>
              </w:rPr>
            </w:pPr>
            <w:r>
              <w:rPr>
                <w:spacing w:val="-10"/>
                <w:sz w:val="14"/>
              </w:rPr>
              <w:t>$</w:t>
            </w:r>
            <w:r>
              <w:rPr>
                <w:sz w:val="14"/>
              </w:rPr>
              <w:tab/>
            </w:r>
            <w:r>
              <w:rPr>
                <w:spacing w:val="-5"/>
                <w:sz w:val="14"/>
              </w:rPr>
              <w:t>683</w:t>
            </w:r>
          </w:p>
        </w:tc>
        <w:tc>
          <w:tcPr>
            <w:tcW w:w="1146" w:type="dxa"/>
          </w:tcPr>
          <w:p>
            <w:pPr>
              <w:pStyle w:val="TableParagraph"/>
              <w:tabs>
                <w:tab w:pos="601" w:val="left" w:leader="none"/>
              </w:tabs>
              <w:spacing w:line="133" w:lineRule="exact"/>
              <w:ind w:right="40"/>
              <w:jc w:val="center"/>
              <w:rPr>
                <w:sz w:val="14"/>
              </w:rPr>
            </w:pPr>
            <w:r>
              <w:rPr>
                <w:spacing w:val="-10"/>
                <w:sz w:val="14"/>
              </w:rPr>
              <w:t>$</w:t>
            </w:r>
            <w:r>
              <w:rPr>
                <w:sz w:val="14"/>
              </w:rPr>
              <w:tab/>
            </w:r>
            <w:r>
              <w:rPr>
                <w:spacing w:val="-2"/>
                <w:sz w:val="14"/>
              </w:rPr>
              <w:t>2,157</w:t>
            </w:r>
          </w:p>
        </w:tc>
        <w:tc>
          <w:tcPr>
            <w:tcW w:w="1123" w:type="dxa"/>
          </w:tcPr>
          <w:p>
            <w:pPr>
              <w:pStyle w:val="TableParagraph"/>
              <w:tabs>
                <w:tab w:pos="625" w:val="left" w:leader="none"/>
              </w:tabs>
              <w:spacing w:line="133" w:lineRule="exact"/>
              <w:ind w:left="93"/>
              <w:rPr>
                <w:sz w:val="14"/>
              </w:rPr>
            </w:pPr>
            <w:r>
              <w:rPr>
                <w:spacing w:val="-10"/>
                <w:sz w:val="14"/>
              </w:rPr>
              <w:t>$</w:t>
            </w:r>
            <w:r>
              <w:rPr>
                <w:sz w:val="14"/>
              </w:rPr>
              <w:tab/>
            </w:r>
            <w:r>
              <w:rPr>
                <w:spacing w:val="-2"/>
                <w:sz w:val="14"/>
              </w:rPr>
              <w:t>19,022</w:t>
            </w:r>
          </w:p>
        </w:tc>
      </w:tr>
      <w:tr>
        <w:trPr>
          <w:trHeight w:val="144" w:hRule="atLeast"/>
        </w:trPr>
        <w:tc>
          <w:tcPr>
            <w:tcW w:w="3290" w:type="dxa"/>
            <w:tcBorders>
              <w:bottom w:val="double" w:sz="6" w:space="0" w:color="000000"/>
            </w:tcBorders>
            <w:shd w:val="clear" w:color="auto" w:fill="CCEDFF"/>
          </w:tcPr>
          <w:p>
            <w:pPr>
              <w:pStyle w:val="TableParagraph"/>
              <w:spacing w:line="129" w:lineRule="exact"/>
              <w:ind w:left="152"/>
              <w:rPr>
                <w:sz w:val="14"/>
              </w:rPr>
            </w:pPr>
            <w:r>
              <w:rPr>
                <w:sz w:val="14"/>
              </w:rPr>
              <w:t>Capital </w:t>
            </w:r>
            <w:r>
              <w:rPr>
                <w:spacing w:val="-2"/>
                <w:sz w:val="14"/>
              </w:rPr>
              <w:t>expenditures</w:t>
            </w:r>
          </w:p>
        </w:tc>
        <w:tc>
          <w:tcPr>
            <w:tcW w:w="1268" w:type="dxa"/>
            <w:tcBorders>
              <w:bottom w:val="double" w:sz="6" w:space="0" w:color="000000"/>
            </w:tcBorders>
            <w:shd w:val="clear" w:color="auto" w:fill="CCEDFF"/>
          </w:tcPr>
          <w:p>
            <w:pPr>
              <w:pStyle w:val="TableParagraph"/>
              <w:tabs>
                <w:tab w:pos="782" w:val="left" w:leader="none"/>
              </w:tabs>
              <w:spacing w:line="129" w:lineRule="exact"/>
              <w:ind w:left="49"/>
              <w:jc w:val="center"/>
              <w:rPr>
                <w:sz w:val="14"/>
              </w:rPr>
            </w:pPr>
            <w:r>
              <w:rPr>
                <w:spacing w:val="-10"/>
                <w:sz w:val="14"/>
              </w:rPr>
              <w:t>$</w:t>
            </w:r>
            <w:r>
              <w:rPr>
                <w:sz w:val="14"/>
              </w:rPr>
              <w:tab/>
            </w:r>
            <w:r>
              <w:rPr>
                <w:spacing w:val="-5"/>
                <w:sz w:val="14"/>
              </w:rPr>
              <w:t>311</w:t>
            </w:r>
          </w:p>
        </w:tc>
        <w:tc>
          <w:tcPr>
            <w:tcW w:w="1210" w:type="dxa"/>
            <w:tcBorders>
              <w:bottom w:val="double" w:sz="6" w:space="0" w:color="000000"/>
            </w:tcBorders>
            <w:shd w:val="clear" w:color="auto" w:fill="CCEDFF"/>
          </w:tcPr>
          <w:p>
            <w:pPr>
              <w:pStyle w:val="TableParagraph"/>
              <w:tabs>
                <w:tab w:pos="770" w:val="left" w:leader="none"/>
              </w:tabs>
              <w:spacing w:line="129" w:lineRule="exact"/>
              <w:ind w:right="44"/>
              <w:jc w:val="center"/>
              <w:rPr>
                <w:sz w:val="14"/>
              </w:rPr>
            </w:pPr>
            <w:r>
              <w:rPr>
                <w:spacing w:val="-10"/>
                <w:sz w:val="14"/>
              </w:rPr>
              <w:t>$</w:t>
            </w:r>
            <w:r>
              <w:rPr>
                <w:sz w:val="14"/>
              </w:rPr>
              <w:tab/>
            </w:r>
            <w:r>
              <w:rPr>
                <w:spacing w:val="-5"/>
                <w:sz w:val="14"/>
              </w:rPr>
              <w:t>127</w:t>
            </w:r>
          </w:p>
        </w:tc>
        <w:tc>
          <w:tcPr>
            <w:tcW w:w="1146" w:type="dxa"/>
            <w:tcBorders>
              <w:bottom w:val="double" w:sz="6" w:space="0" w:color="000000"/>
            </w:tcBorders>
            <w:shd w:val="clear" w:color="auto" w:fill="CCEDFF"/>
          </w:tcPr>
          <w:p>
            <w:pPr>
              <w:pStyle w:val="TableParagraph"/>
              <w:tabs>
                <w:tab w:pos="706" w:val="left" w:leader="none"/>
              </w:tabs>
              <w:spacing w:line="129" w:lineRule="exact"/>
              <w:ind w:right="43"/>
              <w:jc w:val="center"/>
              <w:rPr>
                <w:sz w:val="14"/>
              </w:rPr>
            </w:pPr>
            <w:r>
              <w:rPr>
                <w:spacing w:val="-10"/>
                <w:sz w:val="14"/>
              </w:rPr>
              <w:t>$</w:t>
            </w:r>
            <w:r>
              <w:rPr>
                <w:sz w:val="14"/>
              </w:rPr>
              <w:tab/>
            </w:r>
            <w:r>
              <w:rPr>
                <w:spacing w:val="-5"/>
                <w:sz w:val="14"/>
              </w:rPr>
              <w:t>125</w:t>
            </w:r>
          </w:p>
        </w:tc>
        <w:tc>
          <w:tcPr>
            <w:tcW w:w="1184" w:type="dxa"/>
            <w:tcBorders>
              <w:bottom w:val="double" w:sz="6" w:space="0" w:color="000000"/>
            </w:tcBorders>
            <w:shd w:val="clear" w:color="auto" w:fill="CCEDFF"/>
          </w:tcPr>
          <w:p>
            <w:pPr>
              <w:pStyle w:val="TableParagraph"/>
              <w:tabs>
                <w:tab w:pos="745" w:val="left" w:leader="none"/>
              </w:tabs>
              <w:spacing w:line="129" w:lineRule="exact"/>
              <w:ind w:right="42"/>
              <w:jc w:val="center"/>
              <w:rPr>
                <w:sz w:val="14"/>
              </w:rPr>
            </w:pPr>
            <w:r>
              <w:rPr>
                <w:spacing w:val="-10"/>
                <w:sz w:val="14"/>
              </w:rPr>
              <w:t>$</w:t>
            </w:r>
            <w:r>
              <w:rPr>
                <w:sz w:val="14"/>
              </w:rPr>
              <w:tab/>
            </w:r>
            <w:r>
              <w:rPr>
                <w:spacing w:val="-5"/>
                <w:sz w:val="14"/>
              </w:rPr>
              <w:t>159</w:t>
            </w:r>
          </w:p>
        </w:tc>
        <w:tc>
          <w:tcPr>
            <w:tcW w:w="1146" w:type="dxa"/>
            <w:tcBorders>
              <w:bottom w:val="double" w:sz="6" w:space="0" w:color="000000"/>
            </w:tcBorders>
            <w:shd w:val="clear" w:color="auto" w:fill="CCEDFF"/>
          </w:tcPr>
          <w:p>
            <w:pPr>
              <w:pStyle w:val="TableParagraph"/>
              <w:tabs>
                <w:tab w:pos="776" w:val="left" w:leader="none"/>
              </w:tabs>
              <w:spacing w:line="129" w:lineRule="exact"/>
              <w:ind w:right="41"/>
              <w:jc w:val="center"/>
              <w:rPr>
                <w:sz w:val="14"/>
              </w:rPr>
            </w:pPr>
            <w:r>
              <w:rPr>
                <w:spacing w:val="-10"/>
                <w:sz w:val="14"/>
              </w:rPr>
              <w:t>$</w:t>
            </w:r>
            <w:r>
              <w:rPr>
                <w:sz w:val="14"/>
              </w:rPr>
              <w:tab/>
            </w:r>
            <w:r>
              <w:rPr>
                <w:spacing w:val="-5"/>
                <w:sz w:val="14"/>
              </w:rPr>
              <w:t>83</w:t>
            </w:r>
          </w:p>
        </w:tc>
        <w:tc>
          <w:tcPr>
            <w:tcW w:w="1146" w:type="dxa"/>
            <w:tcBorders>
              <w:bottom w:val="double" w:sz="6" w:space="0" w:color="000000"/>
            </w:tcBorders>
            <w:shd w:val="clear" w:color="auto" w:fill="CCEDFF"/>
          </w:tcPr>
          <w:p>
            <w:pPr>
              <w:pStyle w:val="TableParagraph"/>
              <w:tabs>
                <w:tab w:pos="706" w:val="left" w:leader="none"/>
              </w:tabs>
              <w:spacing w:line="129" w:lineRule="exact"/>
              <w:ind w:right="40"/>
              <w:jc w:val="center"/>
              <w:rPr>
                <w:sz w:val="14"/>
              </w:rPr>
            </w:pPr>
            <w:r>
              <w:rPr>
                <w:spacing w:val="-10"/>
                <w:sz w:val="14"/>
              </w:rPr>
              <w:t>$</w:t>
            </w:r>
            <w:r>
              <w:rPr>
                <w:sz w:val="14"/>
              </w:rPr>
              <w:tab/>
            </w:r>
            <w:r>
              <w:rPr>
                <w:spacing w:val="-5"/>
                <w:sz w:val="14"/>
              </w:rPr>
              <w:t>123</w:t>
            </w:r>
          </w:p>
        </w:tc>
        <w:tc>
          <w:tcPr>
            <w:tcW w:w="1123" w:type="dxa"/>
            <w:tcBorders>
              <w:bottom w:val="double" w:sz="6" w:space="0" w:color="000000"/>
            </w:tcBorders>
            <w:shd w:val="clear" w:color="auto" w:fill="CCEDFF"/>
          </w:tcPr>
          <w:p>
            <w:pPr>
              <w:pStyle w:val="TableParagraph"/>
              <w:tabs>
                <w:tab w:pos="800" w:val="left" w:leader="none"/>
              </w:tabs>
              <w:spacing w:line="129" w:lineRule="exact"/>
              <w:ind w:left="93"/>
              <w:rPr>
                <w:sz w:val="14"/>
              </w:rPr>
            </w:pPr>
            <w:r>
              <w:rPr>
                <w:spacing w:val="-10"/>
                <w:sz w:val="14"/>
              </w:rPr>
              <w:t>$</w:t>
            </w:r>
            <w:r>
              <w:rPr>
                <w:sz w:val="14"/>
              </w:rPr>
              <w:tab/>
            </w:r>
            <w:r>
              <w:rPr>
                <w:spacing w:val="-5"/>
                <w:sz w:val="14"/>
              </w:rPr>
              <w:t>928</w:t>
            </w:r>
          </w:p>
        </w:tc>
      </w:tr>
      <w:tr>
        <w:trPr>
          <w:trHeight w:val="460" w:hRule="atLeast"/>
        </w:trPr>
        <w:tc>
          <w:tcPr>
            <w:tcW w:w="3290" w:type="dxa"/>
          </w:tcPr>
          <w:p>
            <w:pPr>
              <w:pStyle w:val="TableParagraph"/>
              <w:spacing w:line="152" w:lineRule="exact" w:before="131"/>
              <w:ind w:left="152" w:right="676" w:hanging="153"/>
              <w:rPr>
                <w:sz w:val="14"/>
              </w:rPr>
            </w:pPr>
            <w:r>
              <w:rPr/>
              <mc:AlternateContent>
                <mc:Choice Requires="wps">
                  <w:drawing>
                    <wp:anchor distT="0" distB="0" distL="0" distR="0" allowOverlap="1" layoutInCell="1" locked="0" behindDoc="1" simplePos="0" relativeHeight="474181632">
                      <wp:simplePos x="0" y="0"/>
                      <wp:positionH relativeFrom="column">
                        <wp:posOffset>0</wp:posOffset>
                      </wp:positionH>
                      <wp:positionV relativeFrom="paragraph">
                        <wp:posOffset>94791</wp:posOffset>
                      </wp:positionV>
                      <wp:extent cx="7312659" cy="97155"/>
                      <wp:effectExtent l="0" t="0" r="0" b="0"/>
                      <wp:wrapNone/>
                      <wp:docPr id="1082" name="Group 1082"/>
                      <wp:cNvGraphicFramePr>
                        <a:graphicFrameLocks/>
                      </wp:cNvGraphicFramePr>
                      <a:graphic>
                        <a:graphicData uri="http://schemas.microsoft.com/office/word/2010/wordprocessingGroup">
                          <wpg:wgp>
                            <wpg:cNvPr id="1082" name="Group 1082"/>
                            <wpg:cNvGrpSpPr/>
                            <wpg:grpSpPr>
                              <a:xfrm>
                                <a:off x="0" y="0"/>
                                <a:ext cx="7312659" cy="97155"/>
                                <a:chExt cx="7312659" cy="97155"/>
                              </a:xfrm>
                            </wpg:grpSpPr>
                            <wps:wsp>
                              <wps:cNvPr id="1083" name="Graphic 1083"/>
                              <wps:cNvSpPr/>
                              <wps:spPr>
                                <a:xfrm>
                                  <a:off x="-9" y="9"/>
                                  <a:ext cx="7312659" cy="97155"/>
                                </a:xfrm>
                                <a:custGeom>
                                  <a:avLst/>
                                  <a:gdLst/>
                                  <a:ahLst/>
                                  <a:cxnLst/>
                                  <a:rect l="l" t="t" r="r" b="b"/>
                                  <a:pathLst>
                                    <a:path w="7312659" h="97155">
                                      <a:moveTo>
                                        <a:pt x="7312342" y="0"/>
                                      </a:moveTo>
                                      <a:lnTo>
                                        <a:pt x="7312342" y="0"/>
                                      </a:lnTo>
                                      <a:lnTo>
                                        <a:pt x="0" y="0"/>
                                      </a:lnTo>
                                      <a:lnTo>
                                        <a:pt x="0" y="97066"/>
                                      </a:lnTo>
                                      <a:lnTo>
                                        <a:pt x="7312342" y="97066"/>
                                      </a:lnTo>
                                      <a:lnTo>
                                        <a:pt x="7312342"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7.463937pt;width:575.8pt;height:7.65pt;mso-position-horizontal-relative:column;mso-position-vertical-relative:paragraph;z-index:-29134848" id="docshapegroup1081" coordorigin="0,149" coordsize="11516,153">
                      <v:rect style="position:absolute;left:-1;top:149;width:11516;height:153" id="docshape1082" filled="true" fillcolor="#ccedff" stroked="false">
                        <v:fill type="solid"/>
                      </v:rect>
                      <w10:wrap type="none"/>
                    </v:group>
                  </w:pict>
                </mc:Fallback>
              </mc:AlternateContent>
            </w:r>
            <w:r>
              <w:rPr>
                <w:sz w:val="14"/>
              </w:rPr>
              <w:t>For</w:t>
            </w:r>
            <w:r>
              <w:rPr>
                <w:spacing w:val="-6"/>
                <w:sz w:val="14"/>
              </w:rPr>
              <w:t> </w:t>
            </w:r>
            <w:r>
              <w:rPr>
                <w:sz w:val="14"/>
              </w:rPr>
              <w:t>the</w:t>
            </w:r>
            <w:r>
              <w:rPr>
                <w:spacing w:val="-6"/>
                <w:sz w:val="14"/>
              </w:rPr>
              <w:t> </w:t>
            </w:r>
            <w:r>
              <w:rPr>
                <w:sz w:val="14"/>
              </w:rPr>
              <w:t>year</w:t>
            </w:r>
            <w:r>
              <w:rPr>
                <w:spacing w:val="-6"/>
                <w:sz w:val="14"/>
              </w:rPr>
              <w:t> </w:t>
            </w:r>
            <w:r>
              <w:rPr>
                <w:sz w:val="14"/>
              </w:rPr>
              <w:t>ended</w:t>
            </w:r>
            <w:r>
              <w:rPr>
                <w:spacing w:val="-6"/>
                <w:sz w:val="14"/>
              </w:rPr>
              <w:t> </w:t>
            </w:r>
            <w:r>
              <w:rPr>
                <w:sz w:val="14"/>
              </w:rPr>
              <w:t>December</w:t>
            </w:r>
            <w:r>
              <w:rPr>
                <w:spacing w:val="-6"/>
                <w:sz w:val="14"/>
              </w:rPr>
              <w:t> </w:t>
            </w:r>
            <w:r>
              <w:rPr>
                <w:sz w:val="14"/>
              </w:rPr>
              <w:t>31,</w:t>
            </w:r>
            <w:r>
              <w:rPr>
                <w:spacing w:val="-6"/>
                <w:sz w:val="14"/>
              </w:rPr>
              <w:t> </w:t>
            </w:r>
            <w:r>
              <w:rPr>
                <w:sz w:val="14"/>
              </w:rPr>
              <w:t>2019</w:t>
            </w:r>
            <w:r>
              <w:rPr>
                <w:spacing w:val="40"/>
                <w:sz w:val="14"/>
              </w:rPr>
              <w:t> </w:t>
            </w:r>
            <w:r>
              <w:rPr>
                <w:sz w:val="14"/>
              </w:rPr>
              <w:t>Segment net sales</w:t>
            </w:r>
          </w:p>
        </w:tc>
        <w:tc>
          <w:tcPr>
            <w:tcW w:w="1268" w:type="dxa"/>
          </w:tcPr>
          <w:p>
            <w:pPr>
              <w:pStyle w:val="TableParagraph"/>
              <w:spacing w:before="138"/>
              <w:rPr>
                <w:sz w:val="14"/>
              </w:rPr>
            </w:pPr>
          </w:p>
          <w:p>
            <w:pPr>
              <w:pStyle w:val="TableParagraph"/>
              <w:tabs>
                <w:tab w:pos="677" w:val="left" w:leader="none"/>
              </w:tabs>
              <w:spacing w:line="136" w:lineRule="exact"/>
              <w:ind w:left="49"/>
              <w:jc w:val="center"/>
              <w:rPr>
                <w:sz w:val="14"/>
              </w:rPr>
            </w:pPr>
            <w:r>
              <w:rPr>
                <w:spacing w:val="-10"/>
                <w:sz w:val="14"/>
              </w:rPr>
              <w:t>$</w:t>
            </w:r>
            <w:r>
              <w:rPr>
                <w:sz w:val="14"/>
              </w:rPr>
              <w:tab/>
            </w:r>
            <w:r>
              <w:rPr>
                <w:spacing w:val="-2"/>
                <w:sz w:val="14"/>
              </w:rPr>
              <w:t>3,254</w:t>
            </w:r>
          </w:p>
        </w:tc>
        <w:tc>
          <w:tcPr>
            <w:tcW w:w="1210" w:type="dxa"/>
          </w:tcPr>
          <w:p>
            <w:pPr>
              <w:pStyle w:val="TableParagraph"/>
              <w:spacing w:before="138"/>
              <w:rPr>
                <w:sz w:val="14"/>
              </w:rPr>
            </w:pPr>
          </w:p>
          <w:p>
            <w:pPr>
              <w:pStyle w:val="TableParagraph"/>
              <w:tabs>
                <w:tab w:pos="665" w:val="left" w:leader="none"/>
              </w:tabs>
              <w:spacing w:line="136" w:lineRule="exact"/>
              <w:ind w:right="44"/>
              <w:jc w:val="center"/>
              <w:rPr>
                <w:sz w:val="14"/>
              </w:rPr>
            </w:pPr>
            <w:r>
              <w:rPr>
                <w:spacing w:val="-10"/>
                <w:sz w:val="14"/>
              </w:rPr>
              <w:t>$</w:t>
            </w:r>
            <w:r>
              <w:rPr>
                <w:sz w:val="14"/>
              </w:rPr>
              <w:tab/>
            </w:r>
            <w:r>
              <w:rPr>
                <w:spacing w:val="-2"/>
                <w:sz w:val="14"/>
              </w:rPr>
              <w:t>4,064</w:t>
            </w:r>
          </w:p>
        </w:tc>
        <w:tc>
          <w:tcPr>
            <w:tcW w:w="1146" w:type="dxa"/>
          </w:tcPr>
          <w:p>
            <w:pPr>
              <w:pStyle w:val="TableParagraph"/>
              <w:spacing w:before="138"/>
              <w:rPr>
                <w:sz w:val="14"/>
              </w:rPr>
            </w:pPr>
          </w:p>
          <w:p>
            <w:pPr>
              <w:pStyle w:val="TableParagraph"/>
              <w:tabs>
                <w:tab w:pos="601" w:val="left" w:leader="none"/>
              </w:tabs>
              <w:spacing w:line="136" w:lineRule="exact"/>
              <w:ind w:right="43"/>
              <w:jc w:val="center"/>
              <w:rPr>
                <w:sz w:val="14"/>
              </w:rPr>
            </w:pPr>
            <w:r>
              <w:rPr>
                <w:spacing w:val="-10"/>
                <w:sz w:val="14"/>
              </w:rPr>
              <w:t>$</w:t>
            </w:r>
            <w:r>
              <w:rPr>
                <w:sz w:val="14"/>
              </w:rPr>
              <w:tab/>
            </w:r>
            <w:r>
              <w:rPr>
                <w:spacing w:val="-2"/>
                <w:sz w:val="14"/>
              </w:rPr>
              <w:t>1,594</w:t>
            </w:r>
          </w:p>
        </w:tc>
        <w:tc>
          <w:tcPr>
            <w:tcW w:w="1184" w:type="dxa"/>
          </w:tcPr>
          <w:p>
            <w:pPr>
              <w:pStyle w:val="TableParagraph"/>
              <w:spacing w:before="138"/>
              <w:rPr>
                <w:sz w:val="14"/>
              </w:rPr>
            </w:pPr>
          </w:p>
          <w:p>
            <w:pPr>
              <w:pStyle w:val="TableParagraph"/>
              <w:tabs>
                <w:tab w:pos="640" w:val="left" w:leader="none"/>
              </w:tabs>
              <w:spacing w:line="136" w:lineRule="exact"/>
              <w:ind w:right="42"/>
              <w:jc w:val="center"/>
              <w:rPr>
                <w:sz w:val="14"/>
              </w:rPr>
            </w:pPr>
            <w:r>
              <w:rPr>
                <w:spacing w:val="-10"/>
                <w:sz w:val="14"/>
              </w:rPr>
              <w:t>$</w:t>
            </w:r>
            <w:r>
              <w:rPr>
                <w:sz w:val="14"/>
              </w:rPr>
              <w:tab/>
            </w:r>
            <w:r>
              <w:rPr>
                <w:spacing w:val="-2"/>
                <w:sz w:val="14"/>
              </w:rPr>
              <w:t>1,499</w:t>
            </w:r>
          </w:p>
        </w:tc>
        <w:tc>
          <w:tcPr>
            <w:tcW w:w="1146" w:type="dxa"/>
          </w:tcPr>
          <w:p>
            <w:pPr>
              <w:pStyle w:val="TableParagraph"/>
              <w:spacing w:before="138"/>
              <w:rPr>
                <w:sz w:val="14"/>
              </w:rPr>
            </w:pPr>
          </w:p>
          <w:p>
            <w:pPr>
              <w:pStyle w:val="TableParagraph"/>
              <w:tabs>
                <w:tab w:pos="601" w:val="left" w:leader="none"/>
              </w:tabs>
              <w:spacing w:line="136" w:lineRule="exact"/>
              <w:ind w:right="41"/>
              <w:jc w:val="center"/>
              <w:rPr>
                <w:sz w:val="14"/>
              </w:rPr>
            </w:pPr>
            <w:r>
              <w:rPr>
                <w:spacing w:val="-10"/>
                <w:sz w:val="14"/>
              </w:rPr>
              <w:t>$</w:t>
            </w:r>
            <w:r>
              <w:rPr>
                <w:sz w:val="14"/>
              </w:rPr>
              <w:tab/>
            </w:r>
            <w:r>
              <w:rPr>
                <w:spacing w:val="-2"/>
                <w:sz w:val="14"/>
              </w:rPr>
              <w:t>1,015</w:t>
            </w:r>
          </w:p>
        </w:tc>
        <w:tc>
          <w:tcPr>
            <w:tcW w:w="1146" w:type="dxa"/>
          </w:tcPr>
          <w:p>
            <w:pPr>
              <w:pStyle w:val="TableParagraph"/>
              <w:spacing w:before="138"/>
              <w:rPr>
                <w:sz w:val="14"/>
              </w:rPr>
            </w:pPr>
          </w:p>
          <w:p>
            <w:pPr>
              <w:pStyle w:val="TableParagraph"/>
              <w:tabs>
                <w:tab w:pos="706" w:val="left" w:leader="none"/>
              </w:tabs>
              <w:spacing w:line="136" w:lineRule="exact"/>
              <w:ind w:right="40"/>
              <w:jc w:val="center"/>
              <w:rPr>
                <w:sz w:val="14"/>
              </w:rPr>
            </w:pPr>
            <w:r>
              <w:rPr>
                <w:spacing w:val="-10"/>
                <w:sz w:val="14"/>
              </w:rPr>
              <w:t>$</w:t>
            </w:r>
            <w:r>
              <w:rPr>
                <w:sz w:val="14"/>
              </w:rPr>
              <w:tab/>
            </w:r>
            <w:r>
              <w:rPr>
                <w:spacing w:val="-5"/>
                <w:sz w:val="14"/>
              </w:rPr>
              <w:t>230</w:t>
            </w:r>
          </w:p>
        </w:tc>
        <w:tc>
          <w:tcPr>
            <w:tcW w:w="1123" w:type="dxa"/>
          </w:tcPr>
          <w:p>
            <w:pPr>
              <w:pStyle w:val="TableParagraph"/>
              <w:spacing w:before="138"/>
              <w:rPr>
                <w:sz w:val="14"/>
              </w:rPr>
            </w:pPr>
          </w:p>
          <w:p>
            <w:pPr>
              <w:pStyle w:val="TableParagraph"/>
              <w:tabs>
                <w:tab w:pos="625" w:val="left" w:leader="none"/>
              </w:tabs>
              <w:spacing w:line="136" w:lineRule="exact"/>
              <w:ind w:left="93"/>
              <w:rPr>
                <w:sz w:val="14"/>
              </w:rPr>
            </w:pPr>
            <w:r>
              <w:rPr>
                <w:spacing w:val="-10"/>
                <w:sz w:val="14"/>
              </w:rPr>
              <w:t>$</w:t>
            </w:r>
            <w:r>
              <w:rPr>
                <w:sz w:val="14"/>
              </w:rPr>
              <w:tab/>
            </w:r>
            <w:r>
              <w:rPr>
                <w:spacing w:val="-2"/>
                <w:sz w:val="14"/>
              </w:rPr>
              <w:t>11,656</w:t>
            </w:r>
          </w:p>
        </w:tc>
      </w:tr>
      <w:tr>
        <w:trPr>
          <w:trHeight w:val="152" w:hRule="atLeast"/>
        </w:trPr>
        <w:tc>
          <w:tcPr>
            <w:tcW w:w="3290" w:type="dxa"/>
            <w:shd w:val="clear" w:color="auto" w:fill="CCEDFF"/>
          </w:tcPr>
          <w:p>
            <w:pPr>
              <w:pStyle w:val="TableParagraph"/>
              <w:spacing w:line="133" w:lineRule="exact"/>
              <w:ind w:left="152"/>
              <w:rPr>
                <w:sz w:val="11"/>
              </w:rPr>
            </w:pPr>
            <w:r>
              <w:rPr>
                <w:sz w:val="14"/>
              </w:rPr>
              <w:t>Depreciation</w:t>
            </w:r>
            <w:r>
              <w:rPr>
                <w:spacing w:val="-1"/>
                <w:sz w:val="14"/>
              </w:rPr>
              <w:t> </w:t>
            </w:r>
            <w:r>
              <w:rPr>
                <w:spacing w:val="-5"/>
                <w:position w:val="3"/>
                <w:sz w:val="11"/>
              </w:rPr>
              <w:t>(1)</w:t>
            </w:r>
          </w:p>
        </w:tc>
        <w:tc>
          <w:tcPr>
            <w:tcW w:w="1268" w:type="dxa"/>
            <w:shd w:val="clear" w:color="auto" w:fill="CCEDFF"/>
          </w:tcPr>
          <w:p>
            <w:pPr>
              <w:pStyle w:val="TableParagraph"/>
              <w:tabs>
                <w:tab w:pos="782" w:val="left" w:leader="none"/>
              </w:tabs>
              <w:spacing w:line="133" w:lineRule="exact"/>
              <w:ind w:left="49"/>
              <w:jc w:val="center"/>
              <w:rPr>
                <w:sz w:val="14"/>
              </w:rPr>
            </w:pPr>
            <w:r>
              <w:rPr>
                <w:spacing w:val="-10"/>
                <w:sz w:val="14"/>
              </w:rPr>
              <w:t>$</w:t>
            </w:r>
            <w:r>
              <w:rPr>
                <w:sz w:val="14"/>
              </w:rPr>
              <w:tab/>
            </w:r>
            <w:r>
              <w:rPr>
                <w:spacing w:val="-5"/>
                <w:sz w:val="14"/>
              </w:rPr>
              <w:t>583</w:t>
            </w:r>
          </w:p>
        </w:tc>
        <w:tc>
          <w:tcPr>
            <w:tcW w:w="1210" w:type="dxa"/>
            <w:shd w:val="clear" w:color="auto" w:fill="CCEDFF"/>
          </w:tcPr>
          <w:p>
            <w:pPr>
              <w:pStyle w:val="TableParagraph"/>
              <w:tabs>
                <w:tab w:pos="770" w:val="left" w:leader="none"/>
              </w:tabs>
              <w:spacing w:line="133" w:lineRule="exact"/>
              <w:ind w:right="44"/>
              <w:jc w:val="center"/>
              <w:rPr>
                <w:sz w:val="14"/>
              </w:rPr>
            </w:pPr>
            <w:r>
              <w:rPr>
                <w:spacing w:val="-10"/>
                <w:sz w:val="14"/>
              </w:rPr>
              <w:t>$</w:t>
            </w:r>
            <w:r>
              <w:rPr>
                <w:sz w:val="14"/>
              </w:rPr>
              <w:tab/>
            </w:r>
            <w:r>
              <w:rPr>
                <w:spacing w:val="-5"/>
                <w:sz w:val="14"/>
              </w:rPr>
              <w:t>237</w:t>
            </w:r>
          </w:p>
        </w:tc>
        <w:tc>
          <w:tcPr>
            <w:tcW w:w="1146" w:type="dxa"/>
            <w:shd w:val="clear" w:color="auto" w:fill="CCEDFF"/>
          </w:tcPr>
          <w:p>
            <w:pPr>
              <w:pStyle w:val="TableParagraph"/>
              <w:tabs>
                <w:tab w:pos="706" w:val="left" w:leader="none"/>
              </w:tabs>
              <w:spacing w:line="133" w:lineRule="exact"/>
              <w:ind w:right="43"/>
              <w:jc w:val="center"/>
              <w:rPr>
                <w:sz w:val="14"/>
              </w:rPr>
            </w:pPr>
            <w:r>
              <w:rPr>
                <w:spacing w:val="-10"/>
                <w:sz w:val="14"/>
              </w:rPr>
              <w:t>$</w:t>
            </w:r>
            <w:r>
              <w:rPr>
                <w:sz w:val="14"/>
              </w:rPr>
              <w:tab/>
            </w:r>
            <w:r>
              <w:rPr>
                <w:spacing w:val="-5"/>
                <w:sz w:val="14"/>
              </w:rPr>
              <w:t>145</w:t>
            </w:r>
          </w:p>
        </w:tc>
        <w:tc>
          <w:tcPr>
            <w:tcW w:w="1184" w:type="dxa"/>
            <w:shd w:val="clear" w:color="auto" w:fill="CCEDFF"/>
          </w:tcPr>
          <w:p>
            <w:pPr>
              <w:pStyle w:val="TableParagraph"/>
              <w:tabs>
                <w:tab w:pos="745" w:val="left" w:leader="none"/>
              </w:tabs>
              <w:spacing w:line="133" w:lineRule="exact"/>
              <w:ind w:right="42"/>
              <w:jc w:val="center"/>
              <w:rPr>
                <w:sz w:val="14"/>
              </w:rPr>
            </w:pPr>
            <w:r>
              <w:rPr>
                <w:spacing w:val="-10"/>
                <w:sz w:val="14"/>
              </w:rPr>
              <w:t>$</w:t>
            </w:r>
            <w:r>
              <w:rPr>
                <w:sz w:val="14"/>
              </w:rPr>
              <w:tab/>
            </w:r>
            <w:r>
              <w:rPr>
                <w:spacing w:val="-5"/>
                <w:sz w:val="14"/>
              </w:rPr>
              <w:t>128</w:t>
            </w:r>
          </w:p>
        </w:tc>
        <w:tc>
          <w:tcPr>
            <w:tcW w:w="1146" w:type="dxa"/>
            <w:shd w:val="clear" w:color="auto" w:fill="CCEDFF"/>
          </w:tcPr>
          <w:p>
            <w:pPr>
              <w:pStyle w:val="TableParagraph"/>
              <w:tabs>
                <w:tab w:pos="776" w:val="left" w:leader="none"/>
              </w:tabs>
              <w:spacing w:line="133" w:lineRule="exact"/>
              <w:ind w:right="41"/>
              <w:jc w:val="center"/>
              <w:rPr>
                <w:sz w:val="14"/>
              </w:rPr>
            </w:pPr>
            <w:r>
              <w:rPr>
                <w:spacing w:val="-10"/>
                <w:sz w:val="14"/>
              </w:rPr>
              <w:t>$</w:t>
            </w:r>
            <w:r>
              <w:rPr>
                <w:sz w:val="14"/>
              </w:rPr>
              <w:tab/>
            </w:r>
            <w:r>
              <w:rPr>
                <w:spacing w:val="-5"/>
                <w:sz w:val="14"/>
              </w:rPr>
              <w:t>49</w:t>
            </w:r>
          </w:p>
        </w:tc>
        <w:tc>
          <w:tcPr>
            <w:tcW w:w="1146" w:type="dxa"/>
            <w:shd w:val="clear" w:color="auto" w:fill="CCEDFF"/>
          </w:tcPr>
          <w:p>
            <w:pPr>
              <w:pStyle w:val="TableParagraph"/>
              <w:tabs>
                <w:tab w:pos="776" w:val="left" w:leader="none"/>
              </w:tabs>
              <w:spacing w:line="133" w:lineRule="exact"/>
              <w:ind w:right="40"/>
              <w:jc w:val="center"/>
              <w:rPr>
                <w:sz w:val="14"/>
              </w:rPr>
            </w:pPr>
            <w:r>
              <w:rPr>
                <w:spacing w:val="-10"/>
                <w:sz w:val="14"/>
              </w:rPr>
              <w:t>$</w:t>
            </w:r>
            <w:r>
              <w:rPr>
                <w:sz w:val="14"/>
              </w:rPr>
              <w:tab/>
            </w:r>
            <w:r>
              <w:rPr>
                <w:spacing w:val="-5"/>
                <w:sz w:val="14"/>
              </w:rPr>
              <w:t>50</w:t>
            </w:r>
          </w:p>
        </w:tc>
        <w:tc>
          <w:tcPr>
            <w:tcW w:w="1123" w:type="dxa"/>
            <w:shd w:val="clear" w:color="auto" w:fill="CCEDFF"/>
          </w:tcPr>
          <w:p>
            <w:pPr>
              <w:pStyle w:val="TableParagraph"/>
              <w:tabs>
                <w:tab w:pos="695" w:val="left" w:leader="none"/>
              </w:tabs>
              <w:spacing w:line="133" w:lineRule="exact"/>
              <w:ind w:left="93"/>
              <w:rPr>
                <w:sz w:val="14"/>
              </w:rPr>
            </w:pPr>
            <w:r>
              <w:rPr>
                <w:spacing w:val="-10"/>
                <w:sz w:val="14"/>
              </w:rPr>
              <w:t>$</w:t>
            </w:r>
            <w:r>
              <w:rPr>
                <w:sz w:val="14"/>
              </w:rPr>
              <w:tab/>
            </w:r>
            <w:r>
              <w:rPr>
                <w:spacing w:val="-2"/>
                <w:sz w:val="14"/>
              </w:rPr>
              <w:t>1,192</w:t>
            </w:r>
          </w:p>
        </w:tc>
      </w:tr>
      <w:tr>
        <w:trPr>
          <w:trHeight w:val="152" w:hRule="atLeast"/>
        </w:trPr>
        <w:tc>
          <w:tcPr>
            <w:tcW w:w="3290" w:type="dxa"/>
          </w:tcPr>
          <w:p>
            <w:pPr>
              <w:pStyle w:val="TableParagraph"/>
              <w:spacing w:line="133" w:lineRule="exact"/>
              <w:ind w:right="185"/>
              <w:jc w:val="right"/>
              <w:rPr>
                <w:sz w:val="11"/>
              </w:rPr>
            </w:pPr>
            <w:r>
              <w:rPr>
                <w:sz w:val="14"/>
              </w:rPr>
              <w:t>Research,</w:t>
            </w:r>
            <w:r>
              <w:rPr>
                <w:spacing w:val="-2"/>
                <w:sz w:val="14"/>
              </w:rPr>
              <w:t> </w:t>
            </w:r>
            <w:r>
              <w:rPr>
                <w:sz w:val="14"/>
              </w:rPr>
              <w:t>development</w:t>
            </w:r>
            <w:r>
              <w:rPr>
                <w:spacing w:val="-1"/>
                <w:sz w:val="14"/>
              </w:rPr>
              <w:t> </w:t>
            </w:r>
            <w:r>
              <w:rPr>
                <w:sz w:val="14"/>
              </w:rPr>
              <w:t>and</w:t>
            </w:r>
            <w:r>
              <w:rPr>
                <w:spacing w:val="-2"/>
                <w:sz w:val="14"/>
              </w:rPr>
              <w:t> </w:t>
            </w:r>
            <w:r>
              <w:rPr>
                <w:sz w:val="14"/>
              </w:rPr>
              <w:t>engineering</w:t>
            </w:r>
            <w:r>
              <w:rPr>
                <w:spacing w:val="-1"/>
                <w:sz w:val="14"/>
              </w:rPr>
              <w:t> </w:t>
            </w:r>
            <w:r>
              <w:rPr>
                <w:sz w:val="14"/>
              </w:rPr>
              <w:t>expenses</w:t>
            </w:r>
            <w:r>
              <w:rPr>
                <w:spacing w:val="-3"/>
                <w:sz w:val="14"/>
              </w:rPr>
              <w:t> </w:t>
            </w:r>
            <w:r>
              <w:rPr>
                <w:spacing w:val="-5"/>
                <w:position w:val="3"/>
                <w:sz w:val="11"/>
              </w:rPr>
              <w:t>(2)</w:t>
            </w:r>
          </w:p>
        </w:tc>
        <w:tc>
          <w:tcPr>
            <w:tcW w:w="1268" w:type="dxa"/>
          </w:tcPr>
          <w:p>
            <w:pPr>
              <w:pStyle w:val="TableParagraph"/>
              <w:tabs>
                <w:tab w:pos="782" w:val="left" w:leader="none"/>
              </w:tabs>
              <w:spacing w:line="133" w:lineRule="exact"/>
              <w:ind w:left="49"/>
              <w:jc w:val="center"/>
              <w:rPr>
                <w:sz w:val="14"/>
              </w:rPr>
            </w:pPr>
            <w:r>
              <w:rPr>
                <w:spacing w:val="-10"/>
                <w:sz w:val="14"/>
              </w:rPr>
              <w:t>$</w:t>
            </w:r>
            <w:r>
              <w:rPr>
                <w:sz w:val="14"/>
              </w:rPr>
              <w:tab/>
            </w:r>
            <w:r>
              <w:rPr>
                <w:spacing w:val="-5"/>
                <w:sz w:val="14"/>
              </w:rPr>
              <w:t>119</w:t>
            </w:r>
          </w:p>
        </w:tc>
        <w:tc>
          <w:tcPr>
            <w:tcW w:w="1210" w:type="dxa"/>
          </w:tcPr>
          <w:p>
            <w:pPr>
              <w:pStyle w:val="TableParagraph"/>
              <w:tabs>
                <w:tab w:pos="770" w:val="left" w:leader="none"/>
              </w:tabs>
              <w:spacing w:line="133" w:lineRule="exact"/>
              <w:ind w:right="44"/>
              <w:jc w:val="center"/>
              <w:rPr>
                <w:sz w:val="14"/>
              </w:rPr>
            </w:pPr>
            <w:r>
              <w:rPr>
                <w:spacing w:val="-10"/>
                <w:sz w:val="14"/>
              </w:rPr>
              <w:t>$</w:t>
            </w:r>
            <w:r>
              <w:rPr>
                <w:sz w:val="14"/>
              </w:rPr>
              <w:tab/>
            </w:r>
            <w:r>
              <w:rPr>
                <w:spacing w:val="-5"/>
                <w:sz w:val="14"/>
              </w:rPr>
              <w:t>218</w:t>
            </w:r>
          </w:p>
        </w:tc>
        <w:tc>
          <w:tcPr>
            <w:tcW w:w="1146" w:type="dxa"/>
          </w:tcPr>
          <w:p>
            <w:pPr>
              <w:pStyle w:val="TableParagraph"/>
              <w:tabs>
                <w:tab w:pos="706" w:val="left" w:leader="none"/>
              </w:tabs>
              <w:spacing w:line="133" w:lineRule="exact"/>
              <w:ind w:right="43"/>
              <w:jc w:val="center"/>
              <w:rPr>
                <w:sz w:val="14"/>
              </w:rPr>
            </w:pPr>
            <w:r>
              <w:rPr>
                <w:spacing w:val="-10"/>
                <w:sz w:val="14"/>
              </w:rPr>
              <w:t>$</w:t>
            </w:r>
            <w:r>
              <w:rPr>
                <w:sz w:val="14"/>
              </w:rPr>
              <w:tab/>
            </w:r>
            <w:r>
              <w:rPr>
                <w:spacing w:val="-5"/>
                <w:sz w:val="14"/>
              </w:rPr>
              <w:t>154</w:t>
            </w:r>
          </w:p>
        </w:tc>
        <w:tc>
          <w:tcPr>
            <w:tcW w:w="1184" w:type="dxa"/>
          </w:tcPr>
          <w:p>
            <w:pPr>
              <w:pStyle w:val="TableParagraph"/>
              <w:tabs>
                <w:tab w:pos="745" w:val="left" w:leader="none"/>
              </w:tabs>
              <w:spacing w:line="133" w:lineRule="exact"/>
              <w:ind w:right="42"/>
              <w:jc w:val="center"/>
              <w:rPr>
                <w:sz w:val="14"/>
              </w:rPr>
            </w:pPr>
            <w:r>
              <w:rPr>
                <w:spacing w:val="-10"/>
                <w:sz w:val="14"/>
              </w:rPr>
              <w:t>$</w:t>
            </w:r>
            <w:r>
              <w:rPr>
                <w:sz w:val="14"/>
              </w:rPr>
              <w:tab/>
            </w:r>
            <w:r>
              <w:rPr>
                <w:spacing w:val="-5"/>
                <w:sz w:val="14"/>
              </w:rPr>
              <w:t>118</w:t>
            </w:r>
          </w:p>
        </w:tc>
        <w:tc>
          <w:tcPr>
            <w:tcW w:w="1146" w:type="dxa"/>
          </w:tcPr>
          <w:p>
            <w:pPr>
              <w:pStyle w:val="TableParagraph"/>
              <w:tabs>
                <w:tab w:pos="776" w:val="left" w:leader="none"/>
              </w:tabs>
              <w:spacing w:line="133" w:lineRule="exact"/>
              <w:ind w:right="41"/>
              <w:jc w:val="center"/>
              <w:rPr>
                <w:sz w:val="14"/>
              </w:rPr>
            </w:pPr>
            <w:r>
              <w:rPr>
                <w:spacing w:val="-10"/>
                <w:sz w:val="14"/>
              </w:rPr>
              <w:t>$</w:t>
            </w:r>
            <w:r>
              <w:rPr>
                <w:sz w:val="14"/>
              </w:rPr>
              <w:tab/>
            </w:r>
            <w:r>
              <w:rPr>
                <w:spacing w:val="-5"/>
                <w:sz w:val="14"/>
              </w:rPr>
              <w:t>21</w:t>
            </w:r>
          </w:p>
        </w:tc>
        <w:tc>
          <w:tcPr>
            <w:tcW w:w="1146" w:type="dxa"/>
          </w:tcPr>
          <w:p>
            <w:pPr>
              <w:pStyle w:val="TableParagraph"/>
              <w:tabs>
                <w:tab w:pos="706" w:val="left" w:leader="none"/>
              </w:tabs>
              <w:spacing w:line="133" w:lineRule="exact"/>
              <w:ind w:right="40"/>
              <w:jc w:val="center"/>
              <w:rPr>
                <w:sz w:val="14"/>
              </w:rPr>
            </w:pPr>
            <w:r>
              <w:rPr>
                <w:spacing w:val="-10"/>
                <w:sz w:val="14"/>
              </w:rPr>
              <w:t>$</w:t>
            </w:r>
            <w:r>
              <w:rPr>
                <w:sz w:val="14"/>
              </w:rPr>
              <w:tab/>
            </w:r>
            <w:r>
              <w:rPr>
                <w:spacing w:val="-5"/>
                <w:sz w:val="14"/>
              </w:rPr>
              <w:t>237</w:t>
            </w:r>
          </w:p>
        </w:tc>
        <w:tc>
          <w:tcPr>
            <w:tcW w:w="1123" w:type="dxa"/>
          </w:tcPr>
          <w:p>
            <w:pPr>
              <w:pStyle w:val="TableParagraph"/>
              <w:tabs>
                <w:tab w:pos="800" w:val="left" w:leader="none"/>
              </w:tabs>
              <w:spacing w:line="133" w:lineRule="exact"/>
              <w:ind w:left="93"/>
              <w:rPr>
                <w:sz w:val="14"/>
              </w:rPr>
            </w:pPr>
            <w:r>
              <w:rPr>
                <w:spacing w:val="-10"/>
                <w:sz w:val="14"/>
              </w:rPr>
              <w:t>$</w:t>
            </w:r>
            <w:r>
              <w:rPr>
                <w:sz w:val="14"/>
              </w:rPr>
              <w:tab/>
            </w:r>
            <w:r>
              <w:rPr>
                <w:spacing w:val="-5"/>
                <w:sz w:val="14"/>
              </w:rPr>
              <w:t>867</w:t>
            </w:r>
          </w:p>
        </w:tc>
      </w:tr>
      <w:tr>
        <w:trPr>
          <w:trHeight w:val="152" w:hRule="atLeast"/>
        </w:trPr>
        <w:tc>
          <w:tcPr>
            <w:tcW w:w="3290" w:type="dxa"/>
            <w:shd w:val="clear" w:color="auto" w:fill="CCEDFF"/>
          </w:tcPr>
          <w:p>
            <w:pPr>
              <w:pStyle w:val="TableParagraph"/>
              <w:spacing w:line="133" w:lineRule="exact"/>
              <w:ind w:left="152"/>
              <w:rPr>
                <w:sz w:val="11"/>
              </w:rPr>
            </w:pPr>
            <w:r>
              <w:rPr>
                <w:sz w:val="14"/>
              </w:rPr>
              <w:t>Income tax (provision) benefit</w:t>
            </w:r>
            <w:r>
              <w:rPr>
                <w:spacing w:val="-1"/>
                <w:sz w:val="14"/>
              </w:rPr>
              <w:t> </w:t>
            </w:r>
            <w:r>
              <w:rPr>
                <w:spacing w:val="-5"/>
                <w:position w:val="3"/>
                <w:sz w:val="11"/>
              </w:rPr>
              <w:t>(3)</w:t>
            </w:r>
          </w:p>
        </w:tc>
        <w:tc>
          <w:tcPr>
            <w:tcW w:w="1268" w:type="dxa"/>
            <w:shd w:val="clear" w:color="auto" w:fill="CCEDFF"/>
          </w:tcPr>
          <w:p>
            <w:pPr>
              <w:pStyle w:val="TableParagraph"/>
              <w:tabs>
                <w:tab w:pos="782" w:val="left" w:leader="none"/>
              </w:tabs>
              <w:spacing w:line="133" w:lineRule="exact"/>
              <w:ind w:left="96"/>
              <w:jc w:val="center"/>
              <w:rPr>
                <w:sz w:val="14"/>
              </w:rPr>
            </w:pPr>
            <w:r>
              <w:rPr>
                <w:spacing w:val="-10"/>
                <w:sz w:val="14"/>
              </w:rPr>
              <w:t>$</w:t>
            </w:r>
            <w:r>
              <w:rPr>
                <w:sz w:val="14"/>
              </w:rPr>
              <w:tab/>
            </w:r>
            <w:r>
              <w:rPr>
                <w:spacing w:val="-2"/>
                <w:sz w:val="14"/>
              </w:rPr>
              <w:t>(206)</w:t>
            </w:r>
          </w:p>
        </w:tc>
        <w:tc>
          <w:tcPr>
            <w:tcW w:w="1210" w:type="dxa"/>
            <w:shd w:val="clear" w:color="auto" w:fill="CCEDFF"/>
          </w:tcPr>
          <w:p>
            <w:pPr>
              <w:pStyle w:val="TableParagraph"/>
              <w:tabs>
                <w:tab w:pos="724" w:val="left" w:leader="none"/>
              </w:tabs>
              <w:spacing w:line="133" w:lineRule="exact"/>
              <w:jc w:val="center"/>
              <w:rPr>
                <w:sz w:val="14"/>
              </w:rPr>
            </w:pPr>
            <w:r>
              <w:rPr>
                <w:spacing w:val="-10"/>
                <w:sz w:val="14"/>
              </w:rPr>
              <w:t>$</w:t>
            </w:r>
            <w:r>
              <w:rPr>
                <w:sz w:val="14"/>
              </w:rPr>
              <w:tab/>
            </w:r>
            <w:r>
              <w:rPr>
                <w:spacing w:val="-2"/>
                <w:sz w:val="14"/>
              </w:rPr>
              <w:t>(134)</w:t>
            </w:r>
          </w:p>
        </w:tc>
        <w:tc>
          <w:tcPr>
            <w:tcW w:w="1146" w:type="dxa"/>
            <w:shd w:val="clear" w:color="auto" w:fill="CCEDFF"/>
          </w:tcPr>
          <w:p>
            <w:pPr>
              <w:pStyle w:val="TableParagraph"/>
              <w:tabs>
                <w:tab w:pos="731" w:val="left" w:leader="none"/>
              </w:tabs>
              <w:spacing w:line="133" w:lineRule="exact"/>
              <w:ind w:left="1"/>
              <w:jc w:val="center"/>
              <w:rPr>
                <w:sz w:val="14"/>
              </w:rPr>
            </w:pPr>
            <w:r>
              <w:rPr>
                <w:spacing w:val="-10"/>
                <w:sz w:val="14"/>
              </w:rPr>
              <w:t>$</w:t>
            </w:r>
            <w:r>
              <w:rPr>
                <w:sz w:val="14"/>
              </w:rPr>
              <w:tab/>
            </w:r>
            <w:r>
              <w:rPr>
                <w:spacing w:val="-4"/>
                <w:sz w:val="14"/>
              </w:rPr>
              <w:t>(81)</w:t>
            </w:r>
          </w:p>
        </w:tc>
        <w:tc>
          <w:tcPr>
            <w:tcW w:w="1184" w:type="dxa"/>
            <w:shd w:val="clear" w:color="auto" w:fill="CCEDFF"/>
          </w:tcPr>
          <w:p>
            <w:pPr>
              <w:pStyle w:val="TableParagraph"/>
              <w:tabs>
                <w:tab w:pos="770" w:val="left" w:leader="none"/>
              </w:tabs>
              <w:spacing w:line="133" w:lineRule="exact"/>
              <w:ind w:left="2"/>
              <w:jc w:val="center"/>
              <w:rPr>
                <w:sz w:val="14"/>
              </w:rPr>
            </w:pPr>
            <w:r>
              <w:rPr>
                <w:spacing w:val="-10"/>
                <w:sz w:val="14"/>
              </w:rPr>
              <w:t>$</w:t>
            </w:r>
            <w:r>
              <w:rPr>
                <w:sz w:val="14"/>
              </w:rPr>
              <w:tab/>
            </w:r>
            <w:r>
              <w:rPr>
                <w:spacing w:val="-4"/>
                <w:sz w:val="14"/>
              </w:rPr>
              <w:t>(70)</w:t>
            </w:r>
          </w:p>
        </w:tc>
        <w:tc>
          <w:tcPr>
            <w:tcW w:w="1146" w:type="dxa"/>
            <w:shd w:val="clear" w:color="auto" w:fill="CCEDFF"/>
          </w:tcPr>
          <w:p>
            <w:pPr>
              <w:pStyle w:val="TableParagraph"/>
              <w:tabs>
                <w:tab w:pos="733" w:val="left" w:leader="none"/>
              </w:tabs>
              <w:spacing w:line="133" w:lineRule="exact"/>
              <w:ind w:left="3"/>
              <w:jc w:val="center"/>
              <w:rPr>
                <w:sz w:val="14"/>
              </w:rPr>
            </w:pPr>
            <w:r>
              <w:rPr>
                <w:spacing w:val="-10"/>
                <w:sz w:val="14"/>
              </w:rPr>
              <w:t>$</w:t>
            </w:r>
            <w:r>
              <w:rPr>
                <w:sz w:val="14"/>
              </w:rPr>
              <w:tab/>
            </w:r>
            <w:r>
              <w:rPr>
                <w:spacing w:val="-4"/>
                <w:sz w:val="14"/>
              </w:rPr>
              <w:t>(40)</w:t>
            </w:r>
          </w:p>
        </w:tc>
        <w:tc>
          <w:tcPr>
            <w:tcW w:w="1146" w:type="dxa"/>
            <w:shd w:val="clear" w:color="auto" w:fill="CCEDFF"/>
          </w:tcPr>
          <w:p>
            <w:pPr>
              <w:pStyle w:val="TableParagraph"/>
              <w:tabs>
                <w:tab w:pos="776" w:val="left" w:leader="none"/>
              </w:tabs>
              <w:spacing w:line="133" w:lineRule="exact"/>
              <w:ind w:right="40"/>
              <w:jc w:val="center"/>
              <w:rPr>
                <w:sz w:val="14"/>
              </w:rPr>
            </w:pPr>
            <w:r>
              <w:rPr>
                <w:spacing w:val="-10"/>
                <w:sz w:val="14"/>
              </w:rPr>
              <w:t>$</w:t>
            </w:r>
            <w:r>
              <w:rPr>
                <w:sz w:val="14"/>
              </w:rPr>
              <w:tab/>
            </w:r>
            <w:r>
              <w:rPr>
                <w:spacing w:val="-5"/>
                <w:sz w:val="14"/>
              </w:rPr>
              <w:t>80</w:t>
            </w:r>
          </w:p>
        </w:tc>
        <w:tc>
          <w:tcPr>
            <w:tcW w:w="1123" w:type="dxa"/>
            <w:shd w:val="clear" w:color="auto" w:fill="CCEDFF"/>
          </w:tcPr>
          <w:p>
            <w:pPr>
              <w:pStyle w:val="TableParagraph"/>
              <w:tabs>
                <w:tab w:pos="754" w:val="left" w:leader="none"/>
              </w:tabs>
              <w:spacing w:line="133" w:lineRule="exact"/>
              <w:ind w:left="93"/>
              <w:rPr>
                <w:sz w:val="14"/>
              </w:rPr>
            </w:pPr>
            <w:r>
              <w:rPr>
                <w:spacing w:val="-10"/>
                <w:sz w:val="14"/>
              </w:rPr>
              <w:t>$</w:t>
            </w:r>
            <w:r>
              <w:rPr>
                <w:sz w:val="14"/>
              </w:rPr>
              <w:tab/>
            </w:r>
            <w:r>
              <w:rPr>
                <w:spacing w:val="-2"/>
                <w:sz w:val="14"/>
              </w:rPr>
              <w:t>(451)</w:t>
            </w:r>
          </w:p>
        </w:tc>
      </w:tr>
      <w:tr>
        <w:trPr>
          <w:trHeight w:val="144" w:hRule="atLeast"/>
        </w:trPr>
        <w:tc>
          <w:tcPr>
            <w:tcW w:w="3290" w:type="dxa"/>
            <w:tcBorders>
              <w:bottom w:val="double" w:sz="6" w:space="0" w:color="000000"/>
            </w:tcBorders>
          </w:tcPr>
          <w:p>
            <w:pPr>
              <w:pStyle w:val="TableParagraph"/>
              <w:spacing w:line="129" w:lineRule="exact"/>
              <w:ind w:left="152"/>
              <w:rPr>
                <w:sz w:val="11"/>
              </w:rPr>
            </w:pPr>
            <w:r>
              <w:rPr>
                <w:sz w:val="14"/>
              </w:rPr>
              <w:t>Net income (loss)</w:t>
            </w:r>
            <w:r>
              <w:rPr>
                <w:spacing w:val="-1"/>
                <w:sz w:val="14"/>
              </w:rPr>
              <w:t> </w:t>
            </w:r>
            <w:r>
              <w:rPr>
                <w:spacing w:val="-5"/>
                <w:position w:val="3"/>
                <w:sz w:val="11"/>
              </w:rPr>
              <w:t>(4)</w:t>
            </w:r>
          </w:p>
        </w:tc>
        <w:tc>
          <w:tcPr>
            <w:tcW w:w="1268" w:type="dxa"/>
            <w:tcBorders>
              <w:bottom w:val="double" w:sz="6" w:space="0" w:color="000000"/>
            </w:tcBorders>
          </w:tcPr>
          <w:p>
            <w:pPr>
              <w:pStyle w:val="TableParagraph"/>
              <w:tabs>
                <w:tab w:pos="782" w:val="left" w:leader="none"/>
              </w:tabs>
              <w:spacing w:line="129" w:lineRule="exact"/>
              <w:ind w:left="49"/>
              <w:jc w:val="center"/>
              <w:rPr>
                <w:sz w:val="14"/>
              </w:rPr>
            </w:pPr>
            <w:r>
              <w:rPr>
                <w:spacing w:val="-10"/>
                <w:sz w:val="14"/>
              </w:rPr>
              <w:t>$</w:t>
            </w:r>
            <w:r>
              <w:rPr>
                <w:sz w:val="14"/>
              </w:rPr>
              <w:tab/>
            </w:r>
            <w:r>
              <w:rPr>
                <w:spacing w:val="-5"/>
                <w:sz w:val="14"/>
              </w:rPr>
              <w:t>786</w:t>
            </w:r>
          </w:p>
        </w:tc>
        <w:tc>
          <w:tcPr>
            <w:tcW w:w="1210" w:type="dxa"/>
            <w:tcBorders>
              <w:bottom w:val="double" w:sz="6" w:space="0" w:color="000000"/>
            </w:tcBorders>
          </w:tcPr>
          <w:p>
            <w:pPr>
              <w:pStyle w:val="TableParagraph"/>
              <w:tabs>
                <w:tab w:pos="770" w:val="left" w:leader="none"/>
              </w:tabs>
              <w:spacing w:line="129" w:lineRule="exact"/>
              <w:ind w:right="44"/>
              <w:jc w:val="center"/>
              <w:rPr>
                <w:sz w:val="14"/>
              </w:rPr>
            </w:pPr>
            <w:r>
              <w:rPr>
                <w:spacing w:val="-10"/>
                <w:sz w:val="14"/>
              </w:rPr>
              <w:t>$</w:t>
            </w:r>
            <w:r>
              <w:rPr>
                <w:sz w:val="14"/>
              </w:rPr>
              <w:tab/>
            </w:r>
            <w:r>
              <w:rPr>
                <w:spacing w:val="-5"/>
                <w:sz w:val="14"/>
              </w:rPr>
              <w:t>489</w:t>
            </w:r>
          </w:p>
        </w:tc>
        <w:tc>
          <w:tcPr>
            <w:tcW w:w="1146" w:type="dxa"/>
            <w:tcBorders>
              <w:bottom w:val="double" w:sz="6" w:space="0" w:color="000000"/>
            </w:tcBorders>
          </w:tcPr>
          <w:p>
            <w:pPr>
              <w:pStyle w:val="TableParagraph"/>
              <w:tabs>
                <w:tab w:pos="706" w:val="left" w:leader="none"/>
              </w:tabs>
              <w:spacing w:line="129" w:lineRule="exact"/>
              <w:ind w:right="43"/>
              <w:jc w:val="center"/>
              <w:rPr>
                <w:sz w:val="14"/>
              </w:rPr>
            </w:pPr>
            <w:r>
              <w:rPr>
                <w:spacing w:val="-10"/>
                <w:sz w:val="14"/>
              </w:rPr>
              <w:t>$</w:t>
            </w:r>
            <w:r>
              <w:rPr>
                <w:sz w:val="14"/>
              </w:rPr>
              <w:tab/>
            </w:r>
            <w:r>
              <w:rPr>
                <w:spacing w:val="-5"/>
                <w:sz w:val="14"/>
              </w:rPr>
              <w:t>302</w:t>
            </w:r>
          </w:p>
        </w:tc>
        <w:tc>
          <w:tcPr>
            <w:tcW w:w="1184" w:type="dxa"/>
            <w:tcBorders>
              <w:bottom w:val="double" w:sz="6" w:space="0" w:color="000000"/>
            </w:tcBorders>
          </w:tcPr>
          <w:p>
            <w:pPr>
              <w:pStyle w:val="TableParagraph"/>
              <w:tabs>
                <w:tab w:pos="745" w:val="left" w:leader="none"/>
              </w:tabs>
              <w:spacing w:line="129" w:lineRule="exact"/>
              <w:ind w:right="42"/>
              <w:jc w:val="center"/>
              <w:rPr>
                <w:sz w:val="14"/>
              </w:rPr>
            </w:pPr>
            <w:r>
              <w:rPr>
                <w:spacing w:val="-10"/>
                <w:sz w:val="14"/>
              </w:rPr>
              <w:t>$</w:t>
            </w:r>
            <w:r>
              <w:rPr>
                <w:sz w:val="14"/>
              </w:rPr>
              <w:tab/>
            </w:r>
            <w:r>
              <w:rPr>
                <w:spacing w:val="-5"/>
                <w:sz w:val="14"/>
              </w:rPr>
              <w:t>263</w:t>
            </w:r>
          </w:p>
        </w:tc>
        <w:tc>
          <w:tcPr>
            <w:tcW w:w="1146" w:type="dxa"/>
            <w:tcBorders>
              <w:bottom w:val="double" w:sz="6" w:space="0" w:color="000000"/>
            </w:tcBorders>
          </w:tcPr>
          <w:p>
            <w:pPr>
              <w:pStyle w:val="TableParagraph"/>
              <w:tabs>
                <w:tab w:pos="706" w:val="left" w:leader="none"/>
              </w:tabs>
              <w:spacing w:line="129" w:lineRule="exact"/>
              <w:ind w:right="41"/>
              <w:jc w:val="center"/>
              <w:rPr>
                <w:sz w:val="14"/>
              </w:rPr>
            </w:pPr>
            <w:r>
              <w:rPr>
                <w:spacing w:val="-10"/>
                <w:sz w:val="14"/>
              </w:rPr>
              <w:t>$</w:t>
            </w:r>
            <w:r>
              <w:rPr>
                <w:sz w:val="14"/>
              </w:rPr>
              <w:tab/>
            </w:r>
            <w:r>
              <w:rPr>
                <w:spacing w:val="-5"/>
                <w:sz w:val="14"/>
              </w:rPr>
              <w:t>150</w:t>
            </w:r>
          </w:p>
        </w:tc>
        <w:tc>
          <w:tcPr>
            <w:tcW w:w="1146" w:type="dxa"/>
            <w:tcBorders>
              <w:bottom w:val="double" w:sz="6" w:space="0" w:color="000000"/>
            </w:tcBorders>
          </w:tcPr>
          <w:p>
            <w:pPr>
              <w:pStyle w:val="TableParagraph"/>
              <w:tabs>
                <w:tab w:pos="664" w:val="left" w:leader="none"/>
              </w:tabs>
              <w:spacing w:line="129" w:lineRule="exact"/>
              <w:ind w:left="4"/>
              <w:jc w:val="center"/>
              <w:rPr>
                <w:sz w:val="14"/>
              </w:rPr>
            </w:pPr>
            <w:r>
              <w:rPr>
                <w:spacing w:val="-10"/>
                <w:sz w:val="14"/>
              </w:rPr>
              <w:t>$</w:t>
            </w:r>
            <w:r>
              <w:rPr>
                <w:sz w:val="14"/>
              </w:rPr>
              <w:tab/>
            </w:r>
            <w:r>
              <w:rPr>
                <w:spacing w:val="-2"/>
                <w:sz w:val="14"/>
              </w:rPr>
              <w:t>(289)</w:t>
            </w:r>
          </w:p>
        </w:tc>
        <w:tc>
          <w:tcPr>
            <w:tcW w:w="1123" w:type="dxa"/>
            <w:tcBorders>
              <w:bottom w:val="double" w:sz="6" w:space="0" w:color="000000"/>
            </w:tcBorders>
          </w:tcPr>
          <w:p>
            <w:pPr>
              <w:pStyle w:val="TableParagraph"/>
              <w:tabs>
                <w:tab w:pos="695" w:val="left" w:leader="none"/>
              </w:tabs>
              <w:spacing w:line="129" w:lineRule="exact"/>
              <w:ind w:left="93"/>
              <w:rPr>
                <w:sz w:val="14"/>
              </w:rPr>
            </w:pPr>
            <w:r>
              <w:rPr>
                <w:spacing w:val="-10"/>
                <w:sz w:val="14"/>
              </w:rPr>
              <w:t>$</w:t>
            </w:r>
            <w:r>
              <w:rPr>
                <w:sz w:val="14"/>
              </w:rPr>
              <w:tab/>
            </w:r>
            <w:r>
              <w:rPr>
                <w:spacing w:val="-2"/>
                <w:sz w:val="14"/>
              </w:rPr>
              <w:t>1,701</w:t>
            </w:r>
          </w:p>
        </w:tc>
      </w:tr>
      <w:tr>
        <w:trPr>
          <w:trHeight w:val="154" w:hRule="atLeast"/>
        </w:trPr>
        <w:tc>
          <w:tcPr>
            <w:tcW w:w="3290" w:type="dxa"/>
            <w:tcBorders>
              <w:top w:val="double" w:sz="6" w:space="0" w:color="000000"/>
            </w:tcBorders>
            <w:shd w:val="clear" w:color="auto" w:fill="CCEDFF"/>
          </w:tcPr>
          <w:p>
            <w:pPr>
              <w:pStyle w:val="TableParagraph"/>
              <w:spacing w:line="129" w:lineRule="exact"/>
              <w:ind w:left="152"/>
              <w:rPr>
                <w:sz w:val="14"/>
              </w:rPr>
            </w:pPr>
            <w:r>
              <w:rPr>
                <w:sz w:val="14"/>
              </w:rPr>
              <w:t>Investment in affiliated companies, at </w:t>
            </w:r>
            <w:r>
              <w:rPr>
                <w:spacing w:val="-2"/>
                <w:sz w:val="14"/>
              </w:rPr>
              <w:t>equity</w:t>
            </w:r>
          </w:p>
        </w:tc>
        <w:tc>
          <w:tcPr>
            <w:tcW w:w="1268" w:type="dxa"/>
            <w:tcBorders>
              <w:top w:val="double" w:sz="6" w:space="0" w:color="000000"/>
            </w:tcBorders>
            <w:shd w:val="clear" w:color="auto" w:fill="CCEDFF"/>
          </w:tcPr>
          <w:p>
            <w:pPr>
              <w:pStyle w:val="TableParagraph"/>
              <w:tabs>
                <w:tab w:pos="782" w:val="left" w:leader="none"/>
              </w:tabs>
              <w:spacing w:line="129" w:lineRule="exact"/>
              <w:ind w:left="49"/>
              <w:jc w:val="center"/>
              <w:rPr>
                <w:sz w:val="14"/>
              </w:rPr>
            </w:pPr>
            <w:r>
              <w:rPr>
                <w:spacing w:val="-10"/>
                <w:sz w:val="14"/>
              </w:rPr>
              <w:t>$</w:t>
            </w:r>
            <w:r>
              <w:rPr>
                <w:sz w:val="14"/>
              </w:rPr>
              <w:tab/>
            </w:r>
            <w:r>
              <w:rPr>
                <w:spacing w:val="-5"/>
                <w:sz w:val="14"/>
              </w:rPr>
              <w:t>145</w:t>
            </w:r>
          </w:p>
        </w:tc>
        <w:tc>
          <w:tcPr>
            <w:tcW w:w="1210" w:type="dxa"/>
            <w:tcBorders>
              <w:top w:val="double" w:sz="6" w:space="0" w:color="000000"/>
            </w:tcBorders>
            <w:shd w:val="clear" w:color="auto" w:fill="CCEDFF"/>
          </w:tcPr>
          <w:p>
            <w:pPr>
              <w:pStyle w:val="TableParagraph"/>
              <w:tabs>
                <w:tab w:pos="910" w:val="left" w:leader="none"/>
              </w:tabs>
              <w:spacing w:line="129" w:lineRule="exact"/>
              <w:ind w:right="44"/>
              <w:jc w:val="center"/>
              <w:rPr>
                <w:sz w:val="14"/>
              </w:rPr>
            </w:pPr>
            <w:r>
              <w:rPr>
                <w:spacing w:val="-10"/>
                <w:sz w:val="14"/>
              </w:rPr>
              <w:t>$</w:t>
            </w:r>
            <w:r>
              <w:rPr>
                <w:sz w:val="14"/>
              </w:rPr>
              <w:tab/>
            </w:r>
            <w:r>
              <w:rPr>
                <w:spacing w:val="-10"/>
                <w:sz w:val="14"/>
              </w:rPr>
              <w:t>3</w:t>
            </w:r>
          </w:p>
        </w:tc>
        <w:tc>
          <w:tcPr>
            <w:tcW w:w="1146" w:type="dxa"/>
            <w:tcBorders>
              <w:top w:val="double" w:sz="6" w:space="0" w:color="000000"/>
            </w:tcBorders>
            <w:shd w:val="clear" w:color="auto" w:fill="CCEDFF"/>
          </w:tcPr>
          <w:p>
            <w:pPr>
              <w:pStyle w:val="TableParagraph"/>
              <w:tabs>
                <w:tab w:pos="847" w:val="left" w:leader="none"/>
              </w:tabs>
              <w:spacing w:line="129" w:lineRule="exact"/>
              <w:ind w:right="43"/>
              <w:jc w:val="center"/>
              <w:rPr>
                <w:sz w:val="14"/>
              </w:rPr>
            </w:pPr>
            <w:r>
              <w:rPr>
                <w:spacing w:val="-10"/>
                <w:sz w:val="14"/>
              </w:rPr>
              <w:t>$</w:t>
            </w:r>
            <w:r>
              <w:rPr>
                <w:sz w:val="14"/>
              </w:rPr>
              <w:tab/>
            </w:r>
            <w:r>
              <w:rPr>
                <w:spacing w:val="-10"/>
                <w:sz w:val="14"/>
              </w:rPr>
              <w:t>3</w:t>
            </w:r>
          </w:p>
        </w:tc>
        <w:tc>
          <w:tcPr>
            <w:tcW w:w="1184" w:type="dxa"/>
            <w:tcBorders>
              <w:top w:val="double" w:sz="6" w:space="0" w:color="000000"/>
            </w:tcBorders>
            <w:shd w:val="clear" w:color="auto" w:fill="CCEDFF"/>
          </w:tcPr>
          <w:p>
            <w:pPr>
              <w:pStyle w:val="TableParagraph"/>
              <w:rPr>
                <w:sz w:val="8"/>
              </w:rPr>
            </w:pPr>
          </w:p>
        </w:tc>
        <w:tc>
          <w:tcPr>
            <w:tcW w:w="1146" w:type="dxa"/>
            <w:tcBorders>
              <w:top w:val="double" w:sz="6" w:space="0" w:color="000000"/>
            </w:tcBorders>
            <w:shd w:val="clear" w:color="auto" w:fill="CCEDFF"/>
          </w:tcPr>
          <w:p>
            <w:pPr>
              <w:pStyle w:val="TableParagraph"/>
              <w:tabs>
                <w:tab w:pos="847" w:val="left" w:leader="none"/>
              </w:tabs>
              <w:spacing w:line="129" w:lineRule="exact"/>
              <w:ind w:right="41"/>
              <w:jc w:val="center"/>
              <w:rPr>
                <w:sz w:val="14"/>
              </w:rPr>
            </w:pPr>
            <w:r>
              <w:rPr>
                <w:spacing w:val="-10"/>
                <w:sz w:val="14"/>
              </w:rPr>
              <w:t>$</w:t>
            </w:r>
            <w:r>
              <w:rPr>
                <w:sz w:val="14"/>
              </w:rPr>
              <w:tab/>
            </w:r>
            <w:r>
              <w:rPr>
                <w:spacing w:val="-10"/>
                <w:sz w:val="14"/>
              </w:rPr>
              <w:t>3</w:t>
            </w:r>
          </w:p>
        </w:tc>
        <w:tc>
          <w:tcPr>
            <w:tcW w:w="1146" w:type="dxa"/>
            <w:tcBorders>
              <w:top w:val="double" w:sz="6" w:space="0" w:color="000000"/>
            </w:tcBorders>
            <w:shd w:val="clear" w:color="auto" w:fill="CCEDFF"/>
          </w:tcPr>
          <w:p>
            <w:pPr>
              <w:pStyle w:val="TableParagraph"/>
              <w:tabs>
                <w:tab w:pos="706" w:val="left" w:leader="none"/>
              </w:tabs>
              <w:spacing w:line="129" w:lineRule="exact"/>
              <w:ind w:right="40"/>
              <w:jc w:val="center"/>
              <w:rPr>
                <w:sz w:val="14"/>
              </w:rPr>
            </w:pPr>
            <w:r>
              <w:rPr>
                <w:spacing w:val="-10"/>
                <w:sz w:val="14"/>
              </w:rPr>
              <w:t>$</w:t>
            </w:r>
            <w:r>
              <w:rPr>
                <w:sz w:val="14"/>
              </w:rPr>
              <w:tab/>
            </w:r>
            <w:r>
              <w:rPr>
                <w:spacing w:val="-5"/>
                <w:sz w:val="14"/>
              </w:rPr>
              <w:t>137</w:t>
            </w:r>
          </w:p>
        </w:tc>
        <w:tc>
          <w:tcPr>
            <w:tcW w:w="1123" w:type="dxa"/>
            <w:tcBorders>
              <w:top w:val="double" w:sz="6" w:space="0" w:color="000000"/>
            </w:tcBorders>
            <w:shd w:val="clear" w:color="auto" w:fill="CCEDFF"/>
          </w:tcPr>
          <w:p>
            <w:pPr>
              <w:pStyle w:val="TableParagraph"/>
              <w:tabs>
                <w:tab w:pos="800" w:val="left" w:leader="none"/>
              </w:tabs>
              <w:spacing w:line="129" w:lineRule="exact"/>
              <w:ind w:left="93"/>
              <w:rPr>
                <w:sz w:val="14"/>
              </w:rPr>
            </w:pPr>
            <w:r>
              <w:rPr>
                <w:spacing w:val="-10"/>
                <w:sz w:val="14"/>
              </w:rPr>
              <w:t>$</w:t>
            </w:r>
            <w:r>
              <w:rPr>
                <w:sz w:val="14"/>
              </w:rPr>
              <w:tab/>
            </w:r>
            <w:r>
              <w:rPr>
                <w:spacing w:val="-5"/>
                <w:sz w:val="14"/>
              </w:rPr>
              <w:t>291</w:t>
            </w:r>
          </w:p>
        </w:tc>
      </w:tr>
      <w:tr>
        <w:trPr>
          <w:trHeight w:val="152" w:hRule="atLeast"/>
        </w:trPr>
        <w:tc>
          <w:tcPr>
            <w:tcW w:w="3290" w:type="dxa"/>
          </w:tcPr>
          <w:p>
            <w:pPr>
              <w:pStyle w:val="TableParagraph"/>
              <w:spacing w:line="133" w:lineRule="exact"/>
              <w:ind w:left="152"/>
              <w:rPr>
                <w:sz w:val="11"/>
              </w:rPr>
            </w:pPr>
            <w:r>
              <w:rPr>
                <w:sz w:val="14"/>
              </w:rPr>
              <w:t>Segment</w:t>
            </w:r>
            <w:r>
              <w:rPr>
                <w:spacing w:val="-3"/>
                <w:sz w:val="14"/>
              </w:rPr>
              <w:t> </w:t>
            </w:r>
            <w:r>
              <w:rPr>
                <w:sz w:val="14"/>
              </w:rPr>
              <w:t>assets</w:t>
            </w:r>
            <w:r>
              <w:rPr>
                <w:spacing w:val="-3"/>
                <w:sz w:val="14"/>
              </w:rPr>
              <w:t> </w:t>
            </w:r>
            <w:r>
              <w:rPr>
                <w:spacing w:val="-5"/>
                <w:position w:val="3"/>
                <w:sz w:val="11"/>
              </w:rPr>
              <w:t>(5)</w:t>
            </w:r>
          </w:p>
        </w:tc>
        <w:tc>
          <w:tcPr>
            <w:tcW w:w="1268" w:type="dxa"/>
          </w:tcPr>
          <w:p>
            <w:pPr>
              <w:pStyle w:val="TableParagraph"/>
              <w:tabs>
                <w:tab w:pos="677" w:val="left" w:leader="none"/>
              </w:tabs>
              <w:spacing w:line="133" w:lineRule="exact"/>
              <w:ind w:left="49"/>
              <w:jc w:val="center"/>
              <w:rPr>
                <w:sz w:val="14"/>
              </w:rPr>
            </w:pPr>
            <w:r>
              <w:rPr>
                <w:spacing w:val="-10"/>
                <w:sz w:val="14"/>
              </w:rPr>
              <w:t>$</w:t>
            </w:r>
            <w:r>
              <w:rPr>
                <w:sz w:val="14"/>
              </w:rPr>
              <w:tab/>
            </w:r>
            <w:r>
              <w:rPr>
                <w:spacing w:val="-2"/>
                <w:sz w:val="14"/>
              </w:rPr>
              <w:t>9,022</w:t>
            </w:r>
          </w:p>
        </w:tc>
        <w:tc>
          <w:tcPr>
            <w:tcW w:w="1210" w:type="dxa"/>
          </w:tcPr>
          <w:p>
            <w:pPr>
              <w:pStyle w:val="TableParagraph"/>
              <w:tabs>
                <w:tab w:pos="665" w:val="left" w:leader="none"/>
              </w:tabs>
              <w:spacing w:line="133" w:lineRule="exact"/>
              <w:ind w:right="44"/>
              <w:jc w:val="center"/>
              <w:rPr>
                <w:sz w:val="14"/>
              </w:rPr>
            </w:pPr>
            <w:r>
              <w:rPr>
                <w:spacing w:val="-10"/>
                <w:sz w:val="14"/>
              </w:rPr>
              <w:t>$</w:t>
            </w:r>
            <w:r>
              <w:rPr>
                <w:sz w:val="14"/>
              </w:rPr>
              <w:tab/>
            </w:r>
            <w:r>
              <w:rPr>
                <w:spacing w:val="-2"/>
                <w:sz w:val="14"/>
              </w:rPr>
              <w:t>3,004</w:t>
            </w:r>
          </w:p>
        </w:tc>
        <w:tc>
          <w:tcPr>
            <w:tcW w:w="1146" w:type="dxa"/>
          </w:tcPr>
          <w:p>
            <w:pPr>
              <w:pStyle w:val="TableParagraph"/>
              <w:tabs>
                <w:tab w:pos="601" w:val="left" w:leader="none"/>
              </w:tabs>
              <w:spacing w:line="133" w:lineRule="exact"/>
              <w:ind w:right="43"/>
              <w:jc w:val="center"/>
              <w:rPr>
                <w:sz w:val="14"/>
              </w:rPr>
            </w:pPr>
            <w:r>
              <w:rPr>
                <w:spacing w:val="-10"/>
                <w:sz w:val="14"/>
              </w:rPr>
              <w:t>$</w:t>
            </w:r>
            <w:r>
              <w:rPr>
                <w:sz w:val="14"/>
              </w:rPr>
              <w:tab/>
            </w:r>
            <w:r>
              <w:rPr>
                <w:spacing w:val="-2"/>
                <w:sz w:val="14"/>
              </w:rPr>
              <w:t>2,433</w:t>
            </w:r>
          </w:p>
        </w:tc>
        <w:tc>
          <w:tcPr>
            <w:tcW w:w="1184" w:type="dxa"/>
          </w:tcPr>
          <w:p>
            <w:pPr>
              <w:pStyle w:val="TableParagraph"/>
              <w:tabs>
                <w:tab w:pos="640" w:val="left" w:leader="none"/>
              </w:tabs>
              <w:spacing w:line="133" w:lineRule="exact"/>
              <w:ind w:right="42"/>
              <w:jc w:val="center"/>
              <w:rPr>
                <w:sz w:val="14"/>
              </w:rPr>
            </w:pPr>
            <w:r>
              <w:rPr>
                <w:spacing w:val="-10"/>
                <w:sz w:val="14"/>
              </w:rPr>
              <w:t>$</w:t>
            </w:r>
            <w:r>
              <w:rPr>
                <w:sz w:val="14"/>
              </w:rPr>
              <w:tab/>
            </w:r>
            <w:r>
              <w:rPr>
                <w:spacing w:val="-2"/>
                <w:sz w:val="14"/>
              </w:rPr>
              <w:t>1,912</w:t>
            </w:r>
          </w:p>
        </w:tc>
        <w:tc>
          <w:tcPr>
            <w:tcW w:w="1146" w:type="dxa"/>
          </w:tcPr>
          <w:p>
            <w:pPr>
              <w:pStyle w:val="TableParagraph"/>
              <w:tabs>
                <w:tab w:pos="706" w:val="left" w:leader="none"/>
              </w:tabs>
              <w:spacing w:line="133" w:lineRule="exact"/>
              <w:ind w:right="41"/>
              <w:jc w:val="center"/>
              <w:rPr>
                <w:sz w:val="14"/>
              </w:rPr>
            </w:pPr>
            <w:r>
              <w:rPr>
                <w:spacing w:val="-10"/>
                <w:sz w:val="14"/>
              </w:rPr>
              <w:t>$</w:t>
            </w:r>
            <w:r>
              <w:rPr>
                <w:sz w:val="14"/>
              </w:rPr>
              <w:tab/>
            </w:r>
            <w:r>
              <w:rPr>
                <w:spacing w:val="-5"/>
                <w:sz w:val="14"/>
              </w:rPr>
              <w:t>627</w:t>
            </w:r>
          </w:p>
        </w:tc>
        <w:tc>
          <w:tcPr>
            <w:tcW w:w="1146" w:type="dxa"/>
          </w:tcPr>
          <w:p>
            <w:pPr>
              <w:pStyle w:val="TableParagraph"/>
              <w:tabs>
                <w:tab w:pos="601" w:val="left" w:leader="none"/>
              </w:tabs>
              <w:spacing w:line="133" w:lineRule="exact"/>
              <w:ind w:right="40"/>
              <w:jc w:val="center"/>
              <w:rPr>
                <w:sz w:val="14"/>
              </w:rPr>
            </w:pPr>
            <w:r>
              <w:rPr>
                <w:spacing w:val="-10"/>
                <w:sz w:val="14"/>
              </w:rPr>
              <w:t>$</w:t>
            </w:r>
            <w:r>
              <w:rPr>
                <w:sz w:val="14"/>
              </w:rPr>
              <w:tab/>
            </w:r>
            <w:r>
              <w:rPr>
                <w:spacing w:val="-2"/>
                <w:sz w:val="14"/>
              </w:rPr>
              <w:t>1,028</w:t>
            </w:r>
          </w:p>
        </w:tc>
        <w:tc>
          <w:tcPr>
            <w:tcW w:w="1123" w:type="dxa"/>
          </w:tcPr>
          <w:p>
            <w:pPr>
              <w:pStyle w:val="TableParagraph"/>
              <w:tabs>
                <w:tab w:pos="625" w:val="left" w:leader="none"/>
              </w:tabs>
              <w:spacing w:line="133" w:lineRule="exact"/>
              <w:ind w:left="93"/>
              <w:rPr>
                <w:sz w:val="14"/>
              </w:rPr>
            </w:pPr>
            <w:r>
              <w:rPr>
                <w:spacing w:val="-10"/>
                <w:sz w:val="14"/>
              </w:rPr>
              <w:t>$</w:t>
            </w:r>
            <w:r>
              <w:rPr>
                <w:sz w:val="14"/>
              </w:rPr>
              <w:tab/>
            </w:r>
            <w:r>
              <w:rPr>
                <w:spacing w:val="-2"/>
                <w:sz w:val="14"/>
              </w:rPr>
              <w:t>18,026</w:t>
            </w:r>
          </w:p>
        </w:tc>
      </w:tr>
      <w:tr>
        <w:trPr>
          <w:trHeight w:val="144" w:hRule="atLeast"/>
        </w:trPr>
        <w:tc>
          <w:tcPr>
            <w:tcW w:w="3290" w:type="dxa"/>
            <w:tcBorders>
              <w:bottom w:val="double" w:sz="6" w:space="0" w:color="000000"/>
            </w:tcBorders>
            <w:shd w:val="clear" w:color="auto" w:fill="CCEDFF"/>
          </w:tcPr>
          <w:p>
            <w:pPr>
              <w:pStyle w:val="TableParagraph"/>
              <w:spacing w:line="129" w:lineRule="exact"/>
              <w:ind w:left="152"/>
              <w:rPr>
                <w:sz w:val="14"/>
              </w:rPr>
            </w:pPr>
            <w:r>
              <w:rPr>
                <w:sz w:val="14"/>
              </w:rPr>
              <w:t>Capital </w:t>
            </w:r>
            <w:r>
              <w:rPr>
                <w:spacing w:val="-2"/>
                <w:sz w:val="14"/>
              </w:rPr>
              <w:t>expenditures</w:t>
            </w:r>
          </w:p>
        </w:tc>
        <w:tc>
          <w:tcPr>
            <w:tcW w:w="1268" w:type="dxa"/>
            <w:tcBorders>
              <w:bottom w:val="double" w:sz="6" w:space="0" w:color="000000"/>
            </w:tcBorders>
            <w:shd w:val="clear" w:color="auto" w:fill="CCEDFF"/>
          </w:tcPr>
          <w:p>
            <w:pPr>
              <w:pStyle w:val="TableParagraph"/>
              <w:tabs>
                <w:tab w:pos="782" w:val="left" w:leader="none"/>
              </w:tabs>
              <w:spacing w:line="129" w:lineRule="exact"/>
              <w:ind w:left="49"/>
              <w:jc w:val="center"/>
              <w:rPr>
                <w:sz w:val="14"/>
              </w:rPr>
            </w:pPr>
            <w:r>
              <w:rPr>
                <w:spacing w:val="-10"/>
                <w:sz w:val="14"/>
              </w:rPr>
              <w:t>$</w:t>
            </w:r>
            <w:r>
              <w:rPr>
                <w:sz w:val="14"/>
              </w:rPr>
              <w:tab/>
            </w:r>
            <w:r>
              <w:rPr>
                <w:spacing w:val="-5"/>
                <w:sz w:val="14"/>
              </w:rPr>
              <w:t>872</w:t>
            </w:r>
          </w:p>
        </w:tc>
        <w:tc>
          <w:tcPr>
            <w:tcW w:w="1210" w:type="dxa"/>
            <w:tcBorders>
              <w:bottom w:val="double" w:sz="6" w:space="0" w:color="000000"/>
            </w:tcBorders>
            <w:shd w:val="clear" w:color="auto" w:fill="CCEDFF"/>
          </w:tcPr>
          <w:p>
            <w:pPr>
              <w:pStyle w:val="TableParagraph"/>
              <w:tabs>
                <w:tab w:pos="770" w:val="left" w:leader="none"/>
              </w:tabs>
              <w:spacing w:line="129" w:lineRule="exact"/>
              <w:ind w:right="44"/>
              <w:jc w:val="center"/>
              <w:rPr>
                <w:sz w:val="14"/>
              </w:rPr>
            </w:pPr>
            <w:r>
              <w:rPr>
                <w:spacing w:val="-10"/>
                <w:sz w:val="14"/>
              </w:rPr>
              <w:t>$</w:t>
            </w:r>
            <w:r>
              <w:rPr>
                <w:sz w:val="14"/>
              </w:rPr>
              <w:tab/>
            </w:r>
            <w:r>
              <w:rPr>
                <w:spacing w:val="-5"/>
                <w:sz w:val="14"/>
              </w:rPr>
              <w:t>329</w:t>
            </w:r>
          </w:p>
        </w:tc>
        <w:tc>
          <w:tcPr>
            <w:tcW w:w="1146" w:type="dxa"/>
            <w:tcBorders>
              <w:bottom w:val="double" w:sz="6" w:space="0" w:color="000000"/>
            </w:tcBorders>
            <w:shd w:val="clear" w:color="auto" w:fill="CCEDFF"/>
          </w:tcPr>
          <w:p>
            <w:pPr>
              <w:pStyle w:val="TableParagraph"/>
              <w:tabs>
                <w:tab w:pos="706" w:val="left" w:leader="none"/>
              </w:tabs>
              <w:spacing w:line="129" w:lineRule="exact"/>
              <w:ind w:right="43"/>
              <w:jc w:val="center"/>
              <w:rPr>
                <w:sz w:val="14"/>
              </w:rPr>
            </w:pPr>
            <w:r>
              <w:rPr>
                <w:spacing w:val="-10"/>
                <w:sz w:val="14"/>
              </w:rPr>
              <w:t>$</w:t>
            </w:r>
            <w:r>
              <w:rPr>
                <w:sz w:val="14"/>
              </w:rPr>
              <w:tab/>
            </w:r>
            <w:r>
              <w:rPr>
                <w:spacing w:val="-5"/>
                <w:sz w:val="14"/>
              </w:rPr>
              <w:t>176</w:t>
            </w:r>
          </w:p>
        </w:tc>
        <w:tc>
          <w:tcPr>
            <w:tcW w:w="1184" w:type="dxa"/>
            <w:tcBorders>
              <w:bottom w:val="double" w:sz="6" w:space="0" w:color="000000"/>
            </w:tcBorders>
            <w:shd w:val="clear" w:color="auto" w:fill="CCEDFF"/>
          </w:tcPr>
          <w:p>
            <w:pPr>
              <w:pStyle w:val="TableParagraph"/>
              <w:tabs>
                <w:tab w:pos="745" w:val="left" w:leader="none"/>
              </w:tabs>
              <w:spacing w:line="129" w:lineRule="exact"/>
              <w:ind w:right="42"/>
              <w:jc w:val="center"/>
              <w:rPr>
                <w:sz w:val="14"/>
              </w:rPr>
            </w:pPr>
            <w:r>
              <w:rPr>
                <w:spacing w:val="-10"/>
                <w:sz w:val="14"/>
              </w:rPr>
              <w:t>$</w:t>
            </w:r>
            <w:r>
              <w:rPr>
                <w:sz w:val="14"/>
              </w:rPr>
              <w:tab/>
            </w:r>
            <w:r>
              <w:rPr>
                <w:spacing w:val="-5"/>
                <w:sz w:val="14"/>
              </w:rPr>
              <w:t>287</w:t>
            </w:r>
          </w:p>
        </w:tc>
        <w:tc>
          <w:tcPr>
            <w:tcW w:w="1146" w:type="dxa"/>
            <w:tcBorders>
              <w:bottom w:val="double" w:sz="6" w:space="0" w:color="000000"/>
            </w:tcBorders>
            <w:shd w:val="clear" w:color="auto" w:fill="CCEDFF"/>
          </w:tcPr>
          <w:p>
            <w:pPr>
              <w:pStyle w:val="TableParagraph"/>
              <w:tabs>
                <w:tab w:pos="776" w:val="left" w:leader="none"/>
              </w:tabs>
              <w:spacing w:line="129" w:lineRule="exact"/>
              <w:ind w:right="41"/>
              <w:jc w:val="center"/>
              <w:rPr>
                <w:sz w:val="14"/>
              </w:rPr>
            </w:pPr>
            <w:r>
              <w:rPr>
                <w:spacing w:val="-10"/>
                <w:sz w:val="14"/>
              </w:rPr>
              <w:t>$</w:t>
            </w:r>
            <w:r>
              <w:rPr>
                <w:sz w:val="14"/>
              </w:rPr>
              <w:tab/>
            </w:r>
            <w:r>
              <w:rPr>
                <w:spacing w:val="-5"/>
                <w:sz w:val="14"/>
              </w:rPr>
              <w:t>80</w:t>
            </w:r>
          </w:p>
        </w:tc>
        <w:tc>
          <w:tcPr>
            <w:tcW w:w="1146" w:type="dxa"/>
            <w:tcBorders>
              <w:bottom w:val="double" w:sz="6" w:space="0" w:color="000000"/>
            </w:tcBorders>
            <w:shd w:val="clear" w:color="auto" w:fill="CCEDFF"/>
          </w:tcPr>
          <w:p>
            <w:pPr>
              <w:pStyle w:val="TableParagraph"/>
              <w:tabs>
                <w:tab w:pos="706" w:val="left" w:leader="none"/>
              </w:tabs>
              <w:spacing w:line="129" w:lineRule="exact"/>
              <w:ind w:right="40"/>
              <w:jc w:val="center"/>
              <w:rPr>
                <w:sz w:val="14"/>
              </w:rPr>
            </w:pPr>
            <w:r>
              <w:rPr>
                <w:spacing w:val="-10"/>
                <w:sz w:val="14"/>
              </w:rPr>
              <w:t>$</w:t>
            </w:r>
            <w:r>
              <w:rPr>
                <w:sz w:val="14"/>
              </w:rPr>
              <w:tab/>
            </w:r>
            <w:r>
              <w:rPr>
                <w:spacing w:val="-5"/>
                <w:sz w:val="14"/>
              </w:rPr>
              <w:t>155</w:t>
            </w:r>
          </w:p>
        </w:tc>
        <w:tc>
          <w:tcPr>
            <w:tcW w:w="1123" w:type="dxa"/>
            <w:tcBorders>
              <w:bottom w:val="double" w:sz="6" w:space="0" w:color="000000"/>
            </w:tcBorders>
            <w:shd w:val="clear" w:color="auto" w:fill="CCEDFF"/>
          </w:tcPr>
          <w:p>
            <w:pPr>
              <w:pStyle w:val="TableParagraph"/>
              <w:tabs>
                <w:tab w:pos="695" w:val="left" w:leader="none"/>
              </w:tabs>
              <w:spacing w:line="129" w:lineRule="exact"/>
              <w:ind w:left="93"/>
              <w:rPr>
                <w:sz w:val="14"/>
              </w:rPr>
            </w:pPr>
            <w:r>
              <w:rPr>
                <w:spacing w:val="-10"/>
                <w:sz w:val="14"/>
              </w:rPr>
              <w:t>$</w:t>
            </w:r>
            <w:r>
              <w:rPr>
                <w:sz w:val="14"/>
              </w:rPr>
              <w:tab/>
            </w:r>
            <w:r>
              <w:rPr>
                <w:spacing w:val="-2"/>
                <w:sz w:val="14"/>
              </w:rPr>
              <w:t>1,899</w:t>
            </w:r>
          </w:p>
        </w:tc>
      </w:tr>
    </w:tbl>
    <w:p>
      <w:pPr>
        <w:pStyle w:val="BodyText"/>
        <w:spacing w:before="31"/>
      </w:pPr>
    </w:p>
    <w:p>
      <w:pPr>
        <w:pStyle w:val="ListParagraph"/>
        <w:numPr>
          <w:ilvl w:val="0"/>
          <w:numId w:val="60"/>
        </w:numPr>
        <w:tabs>
          <w:tab w:pos="460" w:val="left" w:leader="none"/>
        </w:tabs>
        <w:spacing w:line="157" w:lineRule="exact" w:before="0" w:after="0"/>
        <w:ind w:left="460" w:right="0" w:hanging="304"/>
        <w:jc w:val="left"/>
        <w:rPr>
          <w:sz w:val="14"/>
        </w:rPr>
      </w:pPr>
      <w:r>
        <w:rPr>
          <w:sz w:val="14"/>
        </w:rPr>
        <w:t>Depreciation</w:t>
      </w:r>
      <w:r>
        <w:rPr>
          <w:spacing w:val="-2"/>
          <w:sz w:val="14"/>
        </w:rPr>
        <w:t> </w:t>
      </w:r>
      <w:r>
        <w:rPr>
          <w:sz w:val="14"/>
        </w:rPr>
        <w:t>expense</w:t>
      </w:r>
      <w:r>
        <w:rPr>
          <w:spacing w:val="-1"/>
          <w:sz w:val="14"/>
        </w:rPr>
        <w:t> </w:t>
      </w:r>
      <w:r>
        <w:rPr>
          <w:sz w:val="14"/>
        </w:rPr>
        <w:t>for</w:t>
      </w:r>
      <w:r>
        <w:rPr>
          <w:spacing w:val="-1"/>
          <w:sz w:val="14"/>
        </w:rPr>
        <w:t> </w:t>
      </w:r>
      <w:r>
        <w:rPr>
          <w:sz w:val="14"/>
        </w:rPr>
        <w:t>Corning’s</w:t>
      </w:r>
      <w:r>
        <w:rPr>
          <w:spacing w:val="-1"/>
          <w:sz w:val="14"/>
        </w:rPr>
        <w:t> </w:t>
      </w:r>
      <w:r>
        <w:rPr>
          <w:sz w:val="14"/>
        </w:rPr>
        <w:t>reportable</w:t>
      </w:r>
      <w:r>
        <w:rPr>
          <w:spacing w:val="-1"/>
          <w:sz w:val="14"/>
        </w:rPr>
        <w:t> </w:t>
      </w:r>
      <w:r>
        <w:rPr>
          <w:sz w:val="14"/>
        </w:rPr>
        <w:t>segments</w:t>
      </w:r>
      <w:r>
        <w:rPr>
          <w:spacing w:val="-1"/>
          <w:sz w:val="14"/>
        </w:rPr>
        <w:t> </w:t>
      </w:r>
      <w:r>
        <w:rPr>
          <w:sz w:val="14"/>
        </w:rPr>
        <w:t>includes</w:t>
      </w:r>
      <w:r>
        <w:rPr>
          <w:spacing w:val="-2"/>
          <w:sz w:val="14"/>
        </w:rPr>
        <w:t> </w:t>
      </w:r>
      <w:r>
        <w:rPr>
          <w:sz w:val="14"/>
        </w:rPr>
        <w:t>an</w:t>
      </w:r>
      <w:r>
        <w:rPr>
          <w:spacing w:val="-1"/>
          <w:sz w:val="14"/>
        </w:rPr>
        <w:t> </w:t>
      </w:r>
      <w:r>
        <w:rPr>
          <w:sz w:val="14"/>
        </w:rPr>
        <w:t>allocation</w:t>
      </w:r>
      <w:r>
        <w:rPr>
          <w:spacing w:val="-1"/>
          <w:sz w:val="14"/>
        </w:rPr>
        <w:t> </w:t>
      </w:r>
      <w:r>
        <w:rPr>
          <w:sz w:val="14"/>
        </w:rPr>
        <w:t>of</w:t>
      </w:r>
      <w:r>
        <w:rPr>
          <w:spacing w:val="-1"/>
          <w:sz w:val="14"/>
        </w:rPr>
        <w:t> </w:t>
      </w:r>
      <w:r>
        <w:rPr>
          <w:sz w:val="14"/>
        </w:rPr>
        <w:t>depreciation</w:t>
      </w:r>
      <w:r>
        <w:rPr>
          <w:spacing w:val="-1"/>
          <w:sz w:val="14"/>
        </w:rPr>
        <w:t> </w:t>
      </w:r>
      <w:r>
        <w:rPr>
          <w:sz w:val="14"/>
        </w:rPr>
        <w:t>of</w:t>
      </w:r>
      <w:r>
        <w:rPr>
          <w:spacing w:val="-1"/>
          <w:sz w:val="14"/>
        </w:rPr>
        <w:t> </w:t>
      </w:r>
      <w:r>
        <w:rPr>
          <w:sz w:val="14"/>
        </w:rPr>
        <w:t>corporate</w:t>
      </w:r>
      <w:r>
        <w:rPr>
          <w:spacing w:val="-2"/>
          <w:sz w:val="14"/>
        </w:rPr>
        <w:t> </w:t>
      </w:r>
      <w:r>
        <w:rPr>
          <w:sz w:val="14"/>
        </w:rPr>
        <w:t>property</w:t>
      </w:r>
      <w:r>
        <w:rPr>
          <w:spacing w:val="-4"/>
          <w:sz w:val="14"/>
        </w:rPr>
        <w:t> </w:t>
      </w:r>
      <w:r>
        <w:rPr>
          <w:sz w:val="14"/>
        </w:rPr>
        <w:t>not</w:t>
      </w:r>
      <w:r>
        <w:rPr>
          <w:spacing w:val="-1"/>
          <w:sz w:val="14"/>
        </w:rPr>
        <w:t> </w:t>
      </w:r>
      <w:r>
        <w:rPr>
          <w:sz w:val="14"/>
        </w:rPr>
        <w:t>specifically</w:t>
      </w:r>
      <w:r>
        <w:rPr>
          <w:spacing w:val="-1"/>
          <w:sz w:val="14"/>
        </w:rPr>
        <w:t> </w:t>
      </w:r>
      <w:r>
        <w:rPr>
          <w:sz w:val="14"/>
        </w:rPr>
        <w:t>identifiable</w:t>
      </w:r>
      <w:r>
        <w:rPr>
          <w:spacing w:val="-1"/>
          <w:sz w:val="14"/>
        </w:rPr>
        <w:t> </w:t>
      </w:r>
      <w:r>
        <w:rPr>
          <w:sz w:val="14"/>
        </w:rPr>
        <w:t>to</w:t>
      </w:r>
      <w:r>
        <w:rPr>
          <w:spacing w:val="-1"/>
          <w:sz w:val="14"/>
        </w:rPr>
        <w:t> </w:t>
      </w:r>
      <w:r>
        <w:rPr>
          <w:sz w:val="14"/>
        </w:rPr>
        <w:t>a</w:t>
      </w:r>
      <w:r>
        <w:rPr>
          <w:spacing w:val="-1"/>
          <w:sz w:val="14"/>
        </w:rPr>
        <w:t> </w:t>
      </w:r>
      <w:r>
        <w:rPr>
          <w:spacing w:val="-2"/>
          <w:sz w:val="14"/>
        </w:rPr>
        <w:t>segment.</w:t>
      </w:r>
    </w:p>
    <w:p>
      <w:pPr>
        <w:pStyle w:val="ListParagraph"/>
        <w:numPr>
          <w:ilvl w:val="0"/>
          <w:numId w:val="60"/>
        </w:numPr>
        <w:tabs>
          <w:tab w:pos="460" w:val="left" w:leader="none"/>
        </w:tabs>
        <w:spacing w:line="153" w:lineRule="exact" w:before="0" w:after="0"/>
        <w:ind w:left="460" w:right="0" w:hanging="304"/>
        <w:jc w:val="left"/>
        <w:rPr>
          <w:sz w:val="14"/>
        </w:rPr>
      </w:pPr>
      <w:r>
        <w:rPr>
          <w:sz w:val="14"/>
        </w:rPr>
        <w:t>Research,</w:t>
      </w:r>
      <w:r>
        <w:rPr>
          <w:spacing w:val="-1"/>
          <w:sz w:val="14"/>
        </w:rPr>
        <w:t> </w:t>
      </w:r>
      <w:r>
        <w:rPr>
          <w:sz w:val="14"/>
        </w:rPr>
        <w:t>development</w:t>
      </w:r>
      <w:r>
        <w:rPr>
          <w:spacing w:val="-1"/>
          <w:sz w:val="14"/>
        </w:rPr>
        <w:t> </w:t>
      </w:r>
      <w:r>
        <w:rPr>
          <w:sz w:val="14"/>
        </w:rPr>
        <w:t>and engineering</w:t>
      </w:r>
      <w:r>
        <w:rPr>
          <w:spacing w:val="-1"/>
          <w:sz w:val="14"/>
        </w:rPr>
        <w:t> </w:t>
      </w:r>
      <w:r>
        <w:rPr>
          <w:sz w:val="14"/>
        </w:rPr>
        <w:t>expenses include</w:t>
      </w:r>
      <w:r>
        <w:rPr>
          <w:spacing w:val="-1"/>
          <w:sz w:val="14"/>
        </w:rPr>
        <w:t> </w:t>
      </w:r>
      <w:r>
        <w:rPr>
          <w:sz w:val="14"/>
        </w:rPr>
        <w:t>direct project</w:t>
      </w:r>
      <w:r>
        <w:rPr>
          <w:spacing w:val="-1"/>
          <w:sz w:val="14"/>
        </w:rPr>
        <w:t> </w:t>
      </w:r>
      <w:r>
        <w:rPr>
          <w:sz w:val="14"/>
        </w:rPr>
        <w:t>spending</w:t>
      </w:r>
      <w:r>
        <w:rPr>
          <w:spacing w:val="-1"/>
          <w:sz w:val="14"/>
        </w:rPr>
        <w:t> </w:t>
      </w:r>
      <w:r>
        <w:rPr>
          <w:sz w:val="14"/>
        </w:rPr>
        <w:t>that is identifiable to</w:t>
      </w:r>
      <w:r>
        <w:rPr>
          <w:spacing w:val="-1"/>
          <w:sz w:val="14"/>
        </w:rPr>
        <w:t> </w:t>
      </w:r>
      <w:r>
        <w:rPr>
          <w:sz w:val="14"/>
        </w:rPr>
        <w:t>a </w:t>
      </w:r>
      <w:r>
        <w:rPr>
          <w:spacing w:val="-2"/>
          <w:sz w:val="14"/>
        </w:rPr>
        <w:t>segment.</w:t>
      </w:r>
    </w:p>
    <w:p>
      <w:pPr>
        <w:pStyle w:val="ListParagraph"/>
        <w:numPr>
          <w:ilvl w:val="0"/>
          <w:numId w:val="60"/>
        </w:numPr>
        <w:tabs>
          <w:tab w:pos="460" w:val="left" w:leader="none"/>
        </w:tabs>
        <w:spacing w:line="153" w:lineRule="exact" w:before="0" w:after="0"/>
        <w:ind w:left="460" w:right="0" w:hanging="304"/>
        <w:jc w:val="left"/>
        <w:rPr>
          <w:sz w:val="14"/>
        </w:rPr>
      </w:pPr>
      <w:r>
        <w:rPr>
          <w:sz w:val="14"/>
        </w:rPr>
        <w:t>Income</w:t>
      </w:r>
      <w:r>
        <w:rPr>
          <w:spacing w:val="-1"/>
          <w:sz w:val="14"/>
        </w:rPr>
        <w:t> </w:t>
      </w:r>
      <w:r>
        <w:rPr>
          <w:sz w:val="14"/>
        </w:rPr>
        <w:t>tax</w:t>
      </w:r>
      <w:r>
        <w:rPr>
          <w:spacing w:val="-1"/>
          <w:sz w:val="14"/>
        </w:rPr>
        <w:t> </w:t>
      </w:r>
      <w:r>
        <w:rPr>
          <w:sz w:val="14"/>
        </w:rPr>
        <w:t>(provision)</w:t>
      </w:r>
      <w:r>
        <w:rPr>
          <w:spacing w:val="-1"/>
          <w:sz w:val="14"/>
        </w:rPr>
        <w:t> </w:t>
      </w:r>
      <w:r>
        <w:rPr>
          <w:sz w:val="14"/>
        </w:rPr>
        <w:t>benefit</w:t>
      </w:r>
      <w:r>
        <w:rPr>
          <w:spacing w:val="-1"/>
          <w:sz w:val="14"/>
        </w:rPr>
        <w:t> </w:t>
      </w:r>
      <w:r>
        <w:rPr>
          <w:sz w:val="14"/>
        </w:rPr>
        <w:t>reflects a</w:t>
      </w:r>
      <w:r>
        <w:rPr>
          <w:spacing w:val="-1"/>
          <w:sz w:val="14"/>
        </w:rPr>
        <w:t> </w:t>
      </w:r>
      <w:r>
        <w:rPr>
          <w:sz w:val="14"/>
        </w:rPr>
        <w:t>tax</w:t>
      </w:r>
      <w:r>
        <w:rPr>
          <w:spacing w:val="-1"/>
          <w:sz w:val="14"/>
        </w:rPr>
        <w:t> </w:t>
      </w:r>
      <w:r>
        <w:rPr>
          <w:sz w:val="14"/>
        </w:rPr>
        <w:t>rate</w:t>
      </w:r>
      <w:r>
        <w:rPr>
          <w:spacing w:val="-1"/>
          <w:sz w:val="14"/>
        </w:rPr>
        <w:t> </w:t>
      </w:r>
      <w:r>
        <w:rPr>
          <w:sz w:val="14"/>
        </w:rPr>
        <w:t>of </w:t>
      </w:r>
      <w:r>
        <w:rPr>
          <w:spacing w:val="-4"/>
          <w:sz w:val="14"/>
        </w:rPr>
        <w:t>21%.</w:t>
      </w:r>
    </w:p>
    <w:p>
      <w:pPr>
        <w:pStyle w:val="ListParagraph"/>
        <w:numPr>
          <w:ilvl w:val="0"/>
          <w:numId w:val="60"/>
        </w:numPr>
        <w:tabs>
          <w:tab w:pos="460" w:val="left" w:leader="none"/>
          <w:tab w:pos="462" w:val="left" w:leader="none"/>
        </w:tabs>
        <w:spacing w:line="228" w:lineRule="auto" w:before="3" w:after="0"/>
        <w:ind w:left="462" w:right="351" w:hanging="306"/>
        <w:jc w:val="left"/>
        <w:rPr>
          <w:sz w:val="14"/>
        </w:rPr>
      </w:pPr>
      <w:r>
        <w:rPr>
          <w:sz w:val="14"/>
        </w:rPr>
        <w:t>Many of Corning’s administrative and staff functions are performed on a centralized basis. Where practicable, Corning charges these expenses to segments based upon the extent to which each</w:t>
      </w:r>
      <w:r>
        <w:rPr>
          <w:spacing w:val="40"/>
          <w:sz w:val="14"/>
        </w:rPr>
        <w:t> </w:t>
      </w:r>
      <w:r>
        <w:rPr>
          <w:sz w:val="14"/>
        </w:rPr>
        <w:t>business</w:t>
      </w:r>
      <w:r>
        <w:rPr>
          <w:spacing w:val="-1"/>
          <w:sz w:val="14"/>
        </w:rPr>
        <w:t> </w:t>
      </w:r>
      <w:r>
        <w:rPr>
          <w:sz w:val="14"/>
        </w:rPr>
        <w:t>uses</w:t>
      </w:r>
      <w:r>
        <w:rPr>
          <w:spacing w:val="-1"/>
          <w:sz w:val="14"/>
        </w:rPr>
        <w:t> </w:t>
      </w:r>
      <w:r>
        <w:rPr>
          <w:sz w:val="14"/>
        </w:rPr>
        <w:t>a</w:t>
      </w:r>
      <w:r>
        <w:rPr>
          <w:spacing w:val="-1"/>
          <w:sz w:val="14"/>
        </w:rPr>
        <w:t> </w:t>
      </w:r>
      <w:r>
        <w:rPr>
          <w:sz w:val="14"/>
        </w:rPr>
        <w:t>centralized</w:t>
      </w:r>
      <w:r>
        <w:rPr>
          <w:spacing w:val="-1"/>
          <w:sz w:val="14"/>
        </w:rPr>
        <w:t> </w:t>
      </w:r>
      <w:r>
        <w:rPr>
          <w:sz w:val="14"/>
        </w:rPr>
        <w:t>function.</w:t>
      </w:r>
      <w:r>
        <w:rPr>
          <w:spacing w:val="-1"/>
          <w:sz w:val="14"/>
        </w:rPr>
        <w:t> </w:t>
      </w:r>
      <w:r>
        <w:rPr>
          <w:sz w:val="14"/>
        </w:rPr>
        <w:t>Other</w:t>
      </w:r>
      <w:r>
        <w:rPr>
          <w:spacing w:val="-1"/>
          <w:sz w:val="14"/>
        </w:rPr>
        <w:t> </w:t>
      </w:r>
      <w:r>
        <w:rPr>
          <w:sz w:val="14"/>
        </w:rPr>
        <w:t>staff</w:t>
      </w:r>
      <w:r>
        <w:rPr>
          <w:spacing w:val="-1"/>
          <w:sz w:val="14"/>
        </w:rPr>
        <w:t> </w:t>
      </w:r>
      <w:r>
        <w:rPr>
          <w:sz w:val="14"/>
        </w:rPr>
        <w:t>functions,</w:t>
      </w:r>
      <w:r>
        <w:rPr>
          <w:spacing w:val="-1"/>
          <w:sz w:val="14"/>
        </w:rPr>
        <w:t> </w:t>
      </w:r>
      <w:r>
        <w:rPr>
          <w:sz w:val="14"/>
        </w:rPr>
        <w:t>such</w:t>
      </w:r>
      <w:r>
        <w:rPr>
          <w:spacing w:val="-1"/>
          <w:sz w:val="14"/>
        </w:rPr>
        <w:t> </w:t>
      </w:r>
      <w:r>
        <w:rPr>
          <w:sz w:val="14"/>
        </w:rPr>
        <w:t>as</w:t>
      </w:r>
      <w:r>
        <w:rPr>
          <w:spacing w:val="-1"/>
          <w:sz w:val="14"/>
        </w:rPr>
        <w:t> </w:t>
      </w:r>
      <w:r>
        <w:rPr>
          <w:sz w:val="14"/>
        </w:rPr>
        <w:t>corporate</w:t>
      </w:r>
      <w:r>
        <w:rPr>
          <w:spacing w:val="-1"/>
          <w:sz w:val="14"/>
        </w:rPr>
        <w:t> </w:t>
      </w:r>
      <w:r>
        <w:rPr>
          <w:sz w:val="14"/>
        </w:rPr>
        <w:t>finance,</w:t>
      </w:r>
      <w:r>
        <w:rPr>
          <w:spacing w:val="-1"/>
          <w:sz w:val="14"/>
        </w:rPr>
        <w:t> </w:t>
      </w:r>
      <w:r>
        <w:rPr>
          <w:sz w:val="14"/>
        </w:rPr>
        <w:t>human</w:t>
      </w:r>
      <w:r>
        <w:rPr>
          <w:spacing w:val="-1"/>
          <w:sz w:val="14"/>
        </w:rPr>
        <w:t> </w:t>
      </w:r>
      <w:r>
        <w:rPr>
          <w:sz w:val="14"/>
        </w:rPr>
        <w:t>resources</w:t>
      </w:r>
      <w:r>
        <w:rPr>
          <w:spacing w:val="-1"/>
          <w:sz w:val="14"/>
        </w:rPr>
        <w:t> </w:t>
      </w:r>
      <w:r>
        <w:rPr>
          <w:sz w:val="14"/>
        </w:rPr>
        <w:t>and</w:t>
      </w:r>
      <w:r>
        <w:rPr>
          <w:spacing w:val="-1"/>
          <w:sz w:val="14"/>
        </w:rPr>
        <w:t> </w:t>
      </w:r>
      <w:r>
        <w:rPr>
          <w:sz w:val="14"/>
        </w:rPr>
        <w:t>legal,</w:t>
      </w:r>
      <w:r>
        <w:rPr>
          <w:spacing w:val="-1"/>
          <w:sz w:val="14"/>
        </w:rPr>
        <w:t> </w:t>
      </w:r>
      <w:r>
        <w:rPr>
          <w:sz w:val="14"/>
        </w:rPr>
        <w:t>are</w:t>
      </w:r>
      <w:r>
        <w:rPr>
          <w:spacing w:val="-1"/>
          <w:sz w:val="14"/>
        </w:rPr>
        <w:t> </w:t>
      </w:r>
      <w:r>
        <w:rPr>
          <w:sz w:val="14"/>
        </w:rPr>
        <w:t>allocated</w:t>
      </w:r>
      <w:r>
        <w:rPr>
          <w:spacing w:val="-1"/>
          <w:sz w:val="14"/>
        </w:rPr>
        <w:t> </w:t>
      </w:r>
      <w:r>
        <w:rPr>
          <w:sz w:val="14"/>
        </w:rPr>
        <w:t>to</w:t>
      </w:r>
      <w:r>
        <w:rPr>
          <w:spacing w:val="-1"/>
          <w:sz w:val="14"/>
        </w:rPr>
        <w:t> </w:t>
      </w:r>
      <w:r>
        <w:rPr>
          <w:sz w:val="14"/>
        </w:rPr>
        <w:t>segments,</w:t>
      </w:r>
      <w:r>
        <w:rPr>
          <w:spacing w:val="-1"/>
          <w:sz w:val="14"/>
        </w:rPr>
        <w:t> </w:t>
      </w:r>
      <w:r>
        <w:rPr>
          <w:sz w:val="14"/>
        </w:rPr>
        <w:t>primarily</w:t>
      </w:r>
      <w:r>
        <w:rPr>
          <w:spacing w:val="-1"/>
          <w:sz w:val="14"/>
        </w:rPr>
        <w:t> </w:t>
      </w:r>
      <w:r>
        <w:rPr>
          <w:sz w:val="14"/>
        </w:rPr>
        <w:t>as</w:t>
      </w:r>
      <w:r>
        <w:rPr>
          <w:spacing w:val="-1"/>
          <w:sz w:val="14"/>
        </w:rPr>
        <w:t> </w:t>
      </w:r>
      <w:r>
        <w:rPr>
          <w:sz w:val="14"/>
        </w:rPr>
        <w:t>a</w:t>
      </w:r>
      <w:r>
        <w:rPr>
          <w:spacing w:val="-1"/>
          <w:sz w:val="14"/>
        </w:rPr>
        <w:t> </w:t>
      </w:r>
      <w:r>
        <w:rPr>
          <w:sz w:val="14"/>
        </w:rPr>
        <w:t>percentage</w:t>
      </w:r>
      <w:r>
        <w:rPr>
          <w:spacing w:val="-1"/>
          <w:sz w:val="14"/>
        </w:rPr>
        <w:t> </w:t>
      </w:r>
      <w:r>
        <w:rPr>
          <w:sz w:val="14"/>
        </w:rPr>
        <w:t>of</w:t>
      </w:r>
      <w:r>
        <w:rPr>
          <w:spacing w:val="-1"/>
          <w:sz w:val="14"/>
        </w:rPr>
        <w:t> </w:t>
      </w:r>
      <w:r>
        <w:rPr>
          <w:sz w:val="14"/>
        </w:rPr>
        <w:t>sales.</w:t>
      </w:r>
      <w:r>
        <w:rPr>
          <w:spacing w:val="-1"/>
          <w:sz w:val="14"/>
        </w:rPr>
        <w:t> </w:t>
      </w:r>
      <w:r>
        <w:rPr>
          <w:sz w:val="14"/>
        </w:rPr>
        <w:t>Expenses</w:t>
      </w:r>
      <w:r>
        <w:rPr>
          <w:spacing w:val="-1"/>
          <w:sz w:val="14"/>
        </w:rPr>
        <w:t> </w:t>
      </w:r>
      <w:r>
        <w:rPr>
          <w:sz w:val="14"/>
        </w:rPr>
        <w:t>that</w:t>
      </w:r>
      <w:r>
        <w:rPr>
          <w:spacing w:val="-1"/>
          <w:sz w:val="14"/>
        </w:rPr>
        <w:t> </w:t>
      </w:r>
      <w:r>
        <w:rPr>
          <w:sz w:val="14"/>
        </w:rPr>
        <w:t>are</w:t>
      </w:r>
      <w:r>
        <w:rPr>
          <w:spacing w:val="-5"/>
          <w:sz w:val="14"/>
        </w:rPr>
        <w:t> </w:t>
      </w:r>
      <w:r>
        <w:rPr>
          <w:sz w:val="14"/>
        </w:rPr>
        <w:t>not</w:t>
      </w:r>
      <w:r>
        <w:rPr>
          <w:spacing w:val="40"/>
          <w:sz w:val="14"/>
        </w:rPr>
        <w:t> </w:t>
      </w:r>
      <w:r>
        <w:rPr>
          <w:sz w:val="14"/>
        </w:rPr>
        <w:t>allocated to the segments are included in the reconciliation of reportable segment net income (loss) to consolidated net income.</w:t>
      </w:r>
    </w:p>
    <w:p>
      <w:pPr>
        <w:pStyle w:val="ListParagraph"/>
        <w:numPr>
          <w:ilvl w:val="0"/>
          <w:numId w:val="60"/>
        </w:numPr>
        <w:tabs>
          <w:tab w:pos="460" w:val="left" w:leader="none"/>
          <w:tab w:pos="462" w:val="left" w:leader="none"/>
        </w:tabs>
        <w:spacing w:line="228" w:lineRule="auto" w:before="0" w:after="0"/>
        <w:ind w:left="462" w:right="191" w:hanging="306"/>
        <w:jc w:val="left"/>
        <w:rPr>
          <w:sz w:val="14"/>
        </w:rPr>
      </w:pPr>
      <w:r>
        <w:rPr>
          <w:sz w:val="14"/>
        </w:rPr>
        <w:t>Segment</w:t>
      </w:r>
      <w:r>
        <w:rPr>
          <w:spacing w:val="-1"/>
          <w:sz w:val="14"/>
        </w:rPr>
        <w:t> </w:t>
      </w:r>
      <w:r>
        <w:rPr>
          <w:sz w:val="14"/>
        </w:rPr>
        <w:t>assets</w:t>
      </w:r>
      <w:r>
        <w:rPr>
          <w:spacing w:val="-1"/>
          <w:sz w:val="14"/>
        </w:rPr>
        <w:t> </w:t>
      </w:r>
      <w:r>
        <w:rPr>
          <w:sz w:val="14"/>
        </w:rPr>
        <w:t>include</w:t>
      </w:r>
      <w:r>
        <w:rPr>
          <w:spacing w:val="-1"/>
          <w:sz w:val="14"/>
        </w:rPr>
        <w:t> </w:t>
      </w:r>
      <w:r>
        <w:rPr>
          <w:sz w:val="14"/>
        </w:rPr>
        <w:t>inventory,</w:t>
      </w:r>
      <w:r>
        <w:rPr>
          <w:spacing w:val="-1"/>
          <w:sz w:val="14"/>
        </w:rPr>
        <w:t> </w:t>
      </w:r>
      <w:r>
        <w:rPr>
          <w:sz w:val="14"/>
        </w:rPr>
        <w:t>accounts</w:t>
      </w:r>
      <w:r>
        <w:rPr>
          <w:spacing w:val="-1"/>
          <w:sz w:val="14"/>
        </w:rPr>
        <w:t> </w:t>
      </w:r>
      <w:r>
        <w:rPr>
          <w:sz w:val="14"/>
        </w:rPr>
        <w:t>receivable,</w:t>
      </w:r>
      <w:r>
        <w:rPr>
          <w:spacing w:val="-1"/>
          <w:sz w:val="14"/>
        </w:rPr>
        <w:t> </w:t>
      </w:r>
      <w:r>
        <w:rPr>
          <w:sz w:val="14"/>
        </w:rPr>
        <w:t>property,</w:t>
      </w:r>
      <w:r>
        <w:rPr>
          <w:spacing w:val="-1"/>
          <w:sz w:val="14"/>
        </w:rPr>
        <w:t> </w:t>
      </w:r>
      <w:r>
        <w:rPr>
          <w:sz w:val="14"/>
        </w:rPr>
        <w:t>plant</w:t>
      </w:r>
      <w:r>
        <w:rPr>
          <w:spacing w:val="-1"/>
          <w:sz w:val="14"/>
        </w:rPr>
        <w:t> </w:t>
      </w:r>
      <w:r>
        <w:rPr>
          <w:sz w:val="14"/>
        </w:rPr>
        <w:t>and</w:t>
      </w:r>
      <w:r>
        <w:rPr>
          <w:spacing w:val="-1"/>
          <w:sz w:val="14"/>
        </w:rPr>
        <w:t> </w:t>
      </w:r>
      <w:r>
        <w:rPr>
          <w:sz w:val="14"/>
        </w:rPr>
        <w:t>equipment,</w:t>
      </w:r>
      <w:r>
        <w:rPr>
          <w:spacing w:val="-1"/>
          <w:sz w:val="14"/>
        </w:rPr>
        <w:t> </w:t>
      </w:r>
      <w:r>
        <w:rPr>
          <w:sz w:val="14"/>
        </w:rPr>
        <w:t>net</w:t>
      </w:r>
      <w:r>
        <w:rPr>
          <w:spacing w:val="-1"/>
          <w:sz w:val="14"/>
        </w:rPr>
        <w:t> </w:t>
      </w:r>
      <w:r>
        <w:rPr>
          <w:sz w:val="14"/>
        </w:rPr>
        <w:t>of</w:t>
      </w:r>
      <w:r>
        <w:rPr>
          <w:spacing w:val="-1"/>
          <w:sz w:val="14"/>
        </w:rPr>
        <w:t> </w:t>
      </w:r>
      <w:r>
        <w:rPr>
          <w:sz w:val="14"/>
        </w:rPr>
        <w:t>accumulated</w:t>
      </w:r>
      <w:r>
        <w:rPr>
          <w:spacing w:val="-1"/>
          <w:sz w:val="14"/>
        </w:rPr>
        <w:t> </w:t>
      </w:r>
      <w:r>
        <w:rPr>
          <w:sz w:val="14"/>
        </w:rPr>
        <w:t>depreciation,</w:t>
      </w:r>
      <w:r>
        <w:rPr>
          <w:spacing w:val="-1"/>
          <w:sz w:val="14"/>
        </w:rPr>
        <w:t> </w:t>
      </w:r>
      <w:r>
        <w:rPr>
          <w:sz w:val="14"/>
        </w:rPr>
        <w:t>and</w:t>
      </w:r>
      <w:r>
        <w:rPr>
          <w:spacing w:val="-1"/>
          <w:sz w:val="14"/>
        </w:rPr>
        <w:t> </w:t>
      </w:r>
      <w:r>
        <w:rPr>
          <w:sz w:val="14"/>
        </w:rPr>
        <w:t>associated</w:t>
      </w:r>
      <w:r>
        <w:rPr>
          <w:spacing w:val="-1"/>
          <w:sz w:val="14"/>
        </w:rPr>
        <w:t> </w:t>
      </w:r>
      <w:r>
        <w:rPr>
          <w:sz w:val="14"/>
        </w:rPr>
        <w:t>equity</w:t>
      </w:r>
      <w:r>
        <w:rPr>
          <w:spacing w:val="-1"/>
          <w:sz w:val="14"/>
        </w:rPr>
        <w:t> </w:t>
      </w:r>
      <w:r>
        <w:rPr>
          <w:sz w:val="14"/>
        </w:rPr>
        <w:t>companies.</w:t>
      </w:r>
      <w:r>
        <w:rPr>
          <w:spacing w:val="-1"/>
          <w:sz w:val="14"/>
        </w:rPr>
        <w:t> </w:t>
      </w:r>
      <w:r>
        <w:rPr>
          <w:sz w:val="14"/>
        </w:rPr>
        <w:t>HSG</w:t>
      </w:r>
      <w:r>
        <w:rPr>
          <w:spacing w:val="-1"/>
          <w:sz w:val="14"/>
        </w:rPr>
        <w:t> </w:t>
      </w:r>
      <w:r>
        <w:rPr>
          <w:sz w:val="14"/>
        </w:rPr>
        <w:t>assets</w:t>
      </w:r>
      <w:r>
        <w:rPr>
          <w:spacing w:val="-1"/>
          <w:sz w:val="14"/>
        </w:rPr>
        <w:t> </w:t>
      </w:r>
      <w:r>
        <w:rPr>
          <w:sz w:val="14"/>
        </w:rPr>
        <w:t>are</w:t>
      </w:r>
      <w:r>
        <w:rPr>
          <w:spacing w:val="-1"/>
          <w:sz w:val="14"/>
        </w:rPr>
        <w:t> </w:t>
      </w:r>
      <w:r>
        <w:rPr>
          <w:sz w:val="14"/>
        </w:rPr>
        <w:t>included</w:t>
      </w:r>
      <w:r>
        <w:rPr>
          <w:spacing w:val="-1"/>
          <w:sz w:val="14"/>
        </w:rPr>
        <w:t> </w:t>
      </w:r>
      <w:r>
        <w:rPr>
          <w:sz w:val="14"/>
        </w:rPr>
        <w:t>as</w:t>
      </w:r>
      <w:r>
        <w:rPr>
          <w:spacing w:val="-1"/>
          <w:sz w:val="14"/>
        </w:rPr>
        <w:t> </w:t>
      </w:r>
      <w:r>
        <w:rPr>
          <w:sz w:val="14"/>
        </w:rPr>
        <w:t>of</w:t>
      </w:r>
      <w:r>
        <w:rPr>
          <w:spacing w:val="-6"/>
          <w:sz w:val="14"/>
        </w:rPr>
        <w:t> </w:t>
      </w:r>
      <w:r>
        <w:rPr>
          <w:sz w:val="14"/>
        </w:rPr>
        <w:t>December</w:t>
      </w:r>
      <w:r>
        <w:rPr>
          <w:spacing w:val="-2"/>
          <w:sz w:val="14"/>
        </w:rPr>
        <w:t> </w:t>
      </w:r>
      <w:r>
        <w:rPr>
          <w:sz w:val="14"/>
        </w:rPr>
        <w:t>31,</w:t>
      </w:r>
      <w:r>
        <w:rPr>
          <w:spacing w:val="40"/>
          <w:sz w:val="14"/>
        </w:rPr>
        <w:t> </w:t>
      </w:r>
      <w:r>
        <w:rPr>
          <w:sz w:val="14"/>
        </w:rPr>
        <w:t>2021 and 2020.</w:t>
      </w:r>
    </w:p>
    <w:p>
      <w:pPr>
        <w:pStyle w:val="BodyText"/>
        <w:spacing w:before="42"/>
        <w:rPr>
          <w:sz w:val="14"/>
        </w:rPr>
      </w:pPr>
    </w:p>
    <w:p>
      <w:pPr>
        <w:pStyle w:val="BodyText"/>
        <w:spacing w:before="1"/>
        <w:ind w:left="48"/>
        <w:jc w:val="center"/>
      </w:pPr>
      <w:r>
        <w:rPr>
          <w:spacing w:val="-5"/>
          <w:w w:val="105"/>
        </w:rPr>
        <w:t>115</w:t>
      </w:r>
    </w:p>
    <w:p>
      <w:pPr>
        <w:pStyle w:val="BodyText"/>
        <w:spacing w:before="11"/>
        <w:rPr>
          <w:sz w:val="5"/>
        </w:rPr>
      </w:pPr>
      <w:r>
        <w:rPr/>
        <mc:AlternateContent>
          <mc:Choice Requires="wps">
            <w:drawing>
              <wp:anchor distT="0" distB="0" distL="0" distR="0" allowOverlap="1" layoutInCell="1" locked="0" behindDoc="1" simplePos="0" relativeHeight="487751168">
                <wp:simplePos x="0" y="0"/>
                <wp:positionH relativeFrom="page">
                  <wp:posOffset>226488</wp:posOffset>
                </wp:positionH>
                <wp:positionV relativeFrom="paragraph">
                  <wp:posOffset>58855</wp:posOffset>
                </wp:positionV>
                <wp:extent cx="7312659" cy="16510"/>
                <wp:effectExtent l="0" t="0" r="0" b="0"/>
                <wp:wrapTopAndBottom/>
                <wp:docPr id="1084" name="Graphic 1084"/>
                <wp:cNvGraphicFramePr>
                  <a:graphicFrameLocks/>
                </wp:cNvGraphicFramePr>
                <a:graphic>
                  <a:graphicData uri="http://schemas.microsoft.com/office/word/2010/wordprocessingShape">
                    <wps:wsp>
                      <wps:cNvPr id="1084" name="Graphic 1084"/>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34313pt;width:575.775087pt;height:1.273839pt;mso-position-horizontal-relative:page;mso-position-vertical-relative:paragraph;z-index:-15565312;mso-wrap-distance-left:0;mso-wrap-distance-right:0" id="docshape1083" filled="true" fillcolor="#000000" stroked="false">
                <v:fill type="solid"/>
                <w10:wrap type="topAndBottom"/>
              </v:rect>
            </w:pict>
          </mc:Fallback>
        </mc:AlternateContent>
      </w:r>
    </w:p>
    <w:p>
      <w:pPr>
        <w:spacing w:after="0"/>
        <w:rPr>
          <w:sz w:val="5"/>
        </w:rPr>
        <w:sectPr>
          <w:pgSz w:w="12240" w:h="15840"/>
          <w:pgMar w:header="428" w:footer="0" w:top="620" w:bottom="280" w:left="200" w:right="260"/>
        </w:sectPr>
      </w:pPr>
    </w:p>
    <w:p>
      <w:pPr>
        <w:pStyle w:val="BodyText"/>
        <w:spacing w:before="38"/>
      </w:pPr>
    </w:p>
    <w:p>
      <w:pPr>
        <w:pStyle w:val="Heading2"/>
      </w:pPr>
      <w:r>
        <w:rPr>
          <w:w w:val="105"/>
        </w:rPr>
        <w:t>20.</w:t>
      </w:r>
      <w:r>
        <w:rPr>
          <w:spacing w:val="19"/>
          <w:w w:val="105"/>
        </w:rPr>
        <w:t> </w:t>
      </w:r>
      <w:r>
        <w:rPr>
          <w:w w:val="105"/>
        </w:rPr>
        <w:t>Reportable</w:t>
      </w:r>
      <w:r>
        <w:rPr>
          <w:spacing w:val="-10"/>
          <w:w w:val="105"/>
        </w:rPr>
        <w:t> </w:t>
      </w:r>
      <w:r>
        <w:rPr>
          <w:w w:val="105"/>
        </w:rPr>
        <w:t>Segments</w:t>
      </w:r>
      <w:r>
        <w:rPr>
          <w:spacing w:val="-11"/>
          <w:w w:val="105"/>
        </w:rPr>
        <w:t> </w:t>
      </w:r>
      <w:r>
        <w:rPr>
          <w:spacing w:val="-2"/>
          <w:w w:val="105"/>
        </w:rPr>
        <w:t>(Continued)</w:t>
      </w:r>
    </w:p>
    <w:p>
      <w:pPr>
        <w:pStyle w:val="BodyText"/>
        <w:spacing w:before="40"/>
        <w:rPr>
          <w:b/>
        </w:rPr>
      </w:pPr>
    </w:p>
    <w:p>
      <w:pPr>
        <w:pStyle w:val="BodyText"/>
        <w:ind w:left="156"/>
      </w:pPr>
      <w:r>
        <w:rPr>
          <w:w w:val="105"/>
        </w:rPr>
        <w:t>A</w:t>
      </w:r>
      <w:r>
        <w:rPr>
          <w:spacing w:val="-9"/>
          <w:w w:val="105"/>
        </w:rPr>
        <w:t> </w:t>
      </w:r>
      <w:r>
        <w:rPr>
          <w:w w:val="105"/>
        </w:rPr>
        <w:t>reconciliation</w:t>
      </w:r>
      <w:r>
        <w:rPr>
          <w:spacing w:val="-9"/>
          <w:w w:val="105"/>
        </w:rPr>
        <w:t> </w:t>
      </w:r>
      <w:r>
        <w:rPr>
          <w:w w:val="105"/>
        </w:rPr>
        <w:t>of</w:t>
      </w:r>
      <w:r>
        <w:rPr>
          <w:spacing w:val="-9"/>
          <w:w w:val="105"/>
        </w:rPr>
        <w:t> </w:t>
      </w:r>
      <w:r>
        <w:rPr>
          <w:w w:val="105"/>
        </w:rPr>
        <w:t>reportable</w:t>
      </w:r>
      <w:r>
        <w:rPr>
          <w:spacing w:val="-9"/>
          <w:w w:val="105"/>
        </w:rPr>
        <w:t> </w:t>
      </w:r>
      <w:r>
        <w:rPr>
          <w:w w:val="105"/>
        </w:rPr>
        <w:t>segments</w:t>
      </w:r>
      <w:r>
        <w:rPr>
          <w:spacing w:val="-8"/>
          <w:w w:val="105"/>
        </w:rPr>
        <w:t> </w:t>
      </w:r>
      <w:r>
        <w:rPr>
          <w:w w:val="105"/>
        </w:rPr>
        <w:t>and</w:t>
      </w:r>
      <w:r>
        <w:rPr>
          <w:spacing w:val="-9"/>
          <w:w w:val="105"/>
        </w:rPr>
        <w:t> </w:t>
      </w:r>
      <w:r>
        <w:rPr>
          <w:w w:val="105"/>
        </w:rPr>
        <w:t>“All</w:t>
      </w:r>
      <w:r>
        <w:rPr>
          <w:spacing w:val="-9"/>
          <w:w w:val="105"/>
        </w:rPr>
        <w:t> </w:t>
      </w:r>
      <w:r>
        <w:rPr>
          <w:w w:val="105"/>
        </w:rPr>
        <w:t>Other”</w:t>
      </w:r>
      <w:r>
        <w:rPr>
          <w:spacing w:val="-9"/>
          <w:w w:val="105"/>
        </w:rPr>
        <w:t> </w:t>
      </w:r>
      <w:r>
        <w:rPr>
          <w:w w:val="105"/>
        </w:rPr>
        <w:t>net</w:t>
      </w:r>
      <w:r>
        <w:rPr>
          <w:spacing w:val="-9"/>
          <w:w w:val="105"/>
        </w:rPr>
        <w:t> </w:t>
      </w:r>
      <w:r>
        <w:rPr>
          <w:w w:val="105"/>
        </w:rPr>
        <w:t>sales</w:t>
      </w:r>
      <w:r>
        <w:rPr>
          <w:spacing w:val="-8"/>
          <w:w w:val="105"/>
        </w:rPr>
        <w:t> </w:t>
      </w:r>
      <w:r>
        <w:rPr>
          <w:w w:val="105"/>
        </w:rPr>
        <w:t>to</w:t>
      </w:r>
      <w:r>
        <w:rPr>
          <w:spacing w:val="-9"/>
          <w:w w:val="105"/>
        </w:rPr>
        <w:t> </w:t>
      </w:r>
      <w:r>
        <w:rPr>
          <w:w w:val="105"/>
        </w:rPr>
        <w:t>consolidated</w:t>
      </w:r>
      <w:r>
        <w:rPr>
          <w:spacing w:val="-9"/>
          <w:w w:val="105"/>
        </w:rPr>
        <w:t> </w:t>
      </w:r>
      <w:r>
        <w:rPr>
          <w:w w:val="105"/>
        </w:rPr>
        <w:t>net</w:t>
      </w:r>
      <w:r>
        <w:rPr>
          <w:spacing w:val="-9"/>
          <w:w w:val="105"/>
        </w:rPr>
        <w:t> </w:t>
      </w:r>
      <w:r>
        <w:rPr>
          <w:w w:val="105"/>
        </w:rPr>
        <w:t>sales</w:t>
      </w:r>
      <w:r>
        <w:rPr>
          <w:spacing w:val="-9"/>
          <w:w w:val="105"/>
        </w:rPr>
        <w:t> </w:t>
      </w:r>
      <w:r>
        <w:rPr>
          <w:w w:val="105"/>
        </w:rPr>
        <w:t>is</w:t>
      </w:r>
      <w:r>
        <w:rPr>
          <w:spacing w:val="-8"/>
          <w:w w:val="105"/>
        </w:rPr>
        <w:t> </w:t>
      </w:r>
      <w:r>
        <w:rPr>
          <w:w w:val="105"/>
        </w:rPr>
        <w:t>as</w:t>
      </w:r>
      <w:r>
        <w:rPr>
          <w:spacing w:val="-9"/>
          <w:w w:val="105"/>
        </w:rPr>
        <w:t> </w:t>
      </w:r>
      <w:r>
        <w:rPr>
          <w:w w:val="105"/>
        </w:rPr>
        <w:t>follows</w:t>
      </w:r>
      <w:r>
        <w:rPr>
          <w:spacing w:val="-9"/>
          <w:w w:val="105"/>
        </w:rPr>
        <w:t> </w:t>
      </w:r>
      <w:r>
        <w:rPr>
          <w:w w:val="105"/>
        </w:rPr>
        <w:t>(in</w:t>
      </w:r>
      <w:r>
        <w:rPr>
          <w:spacing w:val="-9"/>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752704">
                <wp:simplePos x="0" y="0"/>
                <wp:positionH relativeFrom="page">
                  <wp:posOffset>226479</wp:posOffset>
                </wp:positionH>
                <wp:positionV relativeFrom="paragraph">
                  <wp:posOffset>83253</wp:posOffset>
                </wp:positionV>
                <wp:extent cx="7312659" cy="16510"/>
                <wp:effectExtent l="0" t="0" r="0" b="0"/>
                <wp:wrapTopAndBottom/>
                <wp:docPr id="1085" name="Graphic 1085"/>
                <wp:cNvGraphicFramePr>
                  <a:graphicFrameLocks/>
                </wp:cNvGraphicFramePr>
                <a:graphic>
                  <a:graphicData uri="http://schemas.microsoft.com/office/word/2010/wordprocessingShape">
                    <wps:wsp>
                      <wps:cNvPr id="1085" name="Graphic 1085"/>
                      <wps:cNvSpPr/>
                      <wps:spPr>
                        <a:xfrm>
                          <a:off x="0" y="0"/>
                          <a:ext cx="7312659" cy="16510"/>
                        </a:xfrm>
                        <a:custGeom>
                          <a:avLst/>
                          <a:gdLst/>
                          <a:ahLst/>
                          <a:cxnLst/>
                          <a:rect l="l" t="t" r="r" b="b"/>
                          <a:pathLst>
                            <a:path w="7312659" h="16510">
                              <a:moveTo>
                                <a:pt x="7312342" y="0"/>
                              </a:moveTo>
                              <a:lnTo>
                                <a:pt x="7239546" y="0"/>
                              </a:lnTo>
                              <a:lnTo>
                                <a:pt x="4109148" y="0"/>
                              </a:lnTo>
                              <a:lnTo>
                                <a:pt x="4028262" y="0"/>
                              </a:lnTo>
                              <a:lnTo>
                                <a:pt x="0" y="0"/>
                              </a:lnTo>
                              <a:lnTo>
                                <a:pt x="0" y="16179"/>
                              </a:lnTo>
                              <a:lnTo>
                                <a:pt x="4028262" y="16179"/>
                              </a:lnTo>
                              <a:lnTo>
                                <a:pt x="4109148"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6.555419pt;width:575.8pt;height:1.3pt;mso-position-horizontal-relative:page;mso-position-vertical-relative:paragraph;z-index:-15563776;mso-wrap-distance-left:0;mso-wrap-distance-right:0" id="docshape1084" coordorigin="357,131" coordsize="11516,26" path="m11872,131l11758,131,6828,131,6700,131,357,131,357,157,6700,157,6828,157,11758,157,11872,157,11872,131xe" filled="true" fillcolor="#000000" stroked="false">
                <v:path arrowok="t"/>
                <v:fill type="solid"/>
                <w10:wrap type="topAndBottom"/>
              </v:shape>
            </w:pict>
          </mc:Fallback>
        </mc:AlternateContent>
      </w:r>
    </w:p>
    <w:p>
      <w:pPr>
        <w:pStyle w:val="BodyText"/>
        <w:spacing w:before="3" w:after="23"/>
        <w:ind w:right="1821"/>
        <w:jc w:val="right"/>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1"/>
        <w:gridCol w:w="973"/>
        <w:gridCol w:w="660"/>
        <w:gridCol w:w="1060"/>
        <w:gridCol w:w="660"/>
        <w:gridCol w:w="1060"/>
        <w:gridCol w:w="632"/>
      </w:tblGrid>
      <w:tr>
        <w:trPr>
          <w:trHeight w:val="201" w:hRule="atLeast"/>
        </w:trPr>
        <w:tc>
          <w:tcPr>
            <w:tcW w:w="6471" w:type="dxa"/>
            <w:tcBorders>
              <w:bottom w:val="single" w:sz="6" w:space="0" w:color="000000"/>
            </w:tcBorders>
          </w:tcPr>
          <w:p>
            <w:pPr>
              <w:pStyle w:val="TableParagraph"/>
              <w:rPr>
                <w:sz w:val="14"/>
              </w:rPr>
            </w:pPr>
          </w:p>
        </w:tc>
        <w:tc>
          <w:tcPr>
            <w:tcW w:w="973" w:type="dxa"/>
            <w:tcBorders>
              <w:top w:val="single" w:sz="6" w:space="0" w:color="000000"/>
              <w:bottom w:val="single" w:sz="6" w:space="0" w:color="000000"/>
            </w:tcBorders>
          </w:tcPr>
          <w:p>
            <w:pPr>
              <w:pStyle w:val="TableParagraph"/>
              <w:spacing w:line="179" w:lineRule="exact" w:before="2"/>
              <w:ind w:left="579"/>
              <w:rPr>
                <w:b/>
                <w:sz w:val="16"/>
              </w:rPr>
            </w:pPr>
            <w:r>
              <w:rPr>
                <w:b/>
                <w:spacing w:val="-4"/>
                <w:w w:val="105"/>
                <w:sz w:val="16"/>
              </w:rPr>
              <w:t>2021</w:t>
            </w:r>
          </w:p>
        </w:tc>
        <w:tc>
          <w:tcPr>
            <w:tcW w:w="660" w:type="dxa"/>
            <w:tcBorders>
              <w:top w:val="single" w:sz="6" w:space="0" w:color="000000"/>
              <w:bottom w:val="single" w:sz="6" w:space="0" w:color="000000"/>
            </w:tcBorders>
          </w:tcPr>
          <w:p>
            <w:pPr>
              <w:pStyle w:val="TableParagraph"/>
              <w:rPr>
                <w:sz w:val="14"/>
              </w:rPr>
            </w:pPr>
          </w:p>
        </w:tc>
        <w:tc>
          <w:tcPr>
            <w:tcW w:w="1060" w:type="dxa"/>
            <w:tcBorders>
              <w:top w:val="single" w:sz="6" w:space="0" w:color="000000"/>
              <w:bottom w:val="single" w:sz="6" w:space="0" w:color="000000"/>
            </w:tcBorders>
          </w:tcPr>
          <w:p>
            <w:pPr>
              <w:pStyle w:val="TableParagraph"/>
              <w:spacing w:line="179" w:lineRule="exact" w:before="2"/>
              <w:ind w:left="666"/>
              <w:rPr>
                <w:sz w:val="16"/>
              </w:rPr>
            </w:pPr>
            <w:r>
              <w:rPr>
                <w:spacing w:val="-4"/>
                <w:w w:val="105"/>
                <w:sz w:val="16"/>
              </w:rPr>
              <w:t>2020</w:t>
            </w:r>
          </w:p>
        </w:tc>
        <w:tc>
          <w:tcPr>
            <w:tcW w:w="660" w:type="dxa"/>
            <w:tcBorders>
              <w:top w:val="single" w:sz="6" w:space="0" w:color="000000"/>
              <w:bottom w:val="single" w:sz="6" w:space="0" w:color="000000"/>
            </w:tcBorders>
          </w:tcPr>
          <w:p>
            <w:pPr>
              <w:pStyle w:val="TableParagraph"/>
              <w:rPr>
                <w:sz w:val="14"/>
              </w:rPr>
            </w:pPr>
          </w:p>
        </w:tc>
        <w:tc>
          <w:tcPr>
            <w:tcW w:w="1060" w:type="dxa"/>
            <w:tcBorders>
              <w:top w:val="single" w:sz="6" w:space="0" w:color="000000"/>
              <w:bottom w:val="single" w:sz="6" w:space="0" w:color="000000"/>
            </w:tcBorders>
          </w:tcPr>
          <w:p>
            <w:pPr>
              <w:pStyle w:val="TableParagraph"/>
              <w:spacing w:line="179" w:lineRule="exact" w:before="2"/>
              <w:ind w:left="666"/>
              <w:rPr>
                <w:sz w:val="16"/>
              </w:rPr>
            </w:pPr>
            <w:r>
              <w:rPr>
                <w:spacing w:val="-4"/>
                <w:w w:val="105"/>
                <w:sz w:val="16"/>
              </w:rPr>
              <w:t>2019</w:t>
            </w:r>
          </w:p>
        </w:tc>
        <w:tc>
          <w:tcPr>
            <w:tcW w:w="632" w:type="dxa"/>
            <w:tcBorders>
              <w:top w:val="single" w:sz="6" w:space="0" w:color="000000"/>
              <w:bottom w:val="single" w:sz="6" w:space="0" w:color="000000"/>
            </w:tcBorders>
          </w:tcPr>
          <w:p>
            <w:pPr>
              <w:pStyle w:val="TableParagraph"/>
              <w:rPr>
                <w:sz w:val="14"/>
              </w:rPr>
            </w:pPr>
          </w:p>
        </w:tc>
      </w:tr>
      <w:tr>
        <w:trPr>
          <w:trHeight w:val="202" w:hRule="atLeast"/>
        </w:trPr>
        <w:tc>
          <w:tcPr>
            <w:tcW w:w="6471" w:type="dxa"/>
            <w:tcBorders>
              <w:top w:val="single" w:sz="6" w:space="0" w:color="000000"/>
            </w:tcBorders>
            <w:shd w:val="clear" w:color="auto" w:fill="CCEDFF"/>
          </w:tcPr>
          <w:p>
            <w:pPr>
              <w:pStyle w:val="TableParagraph"/>
              <w:spacing w:line="180" w:lineRule="exact" w:before="2"/>
              <w:rPr>
                <w:sz w:val="16"/>
              </w:rPr>
            </w:pPr>
            <w:r>
              <w:rPr>
                <w:w w:val="105"/>
                <w:sz w:val="16"/>
              </w:rPr>
              <w:t>Net</w:t>
            </w:r>
            <w:r>
              <w:rPr>
                <w:spacing w:val="-9"/>
                <w:w w:val="105"/>
                <w:sz w:val="16"/>
              </w:rPr>
              <w:t> </w:t>
            </w:r>
            <w:r>
              <w:rPr>
                <w:w w:val="105"/>
                <w:sz w:val="16"/>
              </w:rPr>
              <w:t>sales</w:t>
            </w:r>
            <w:r>
              <w:rPr>
                <w:spacing w:val="-9"/>
                <w:w w:val="105"/>
                <w:sz w:val="16"/>
              </w:rPr>
              <w:t> </w:t>
            </w:r>
            <w:r>
              <w:rPr>
                <w:w w:val="105"/>
                <w:sz w:val="16"/>
              </w:rPr>
              <w:t>of</w:t>
            </w:r>
            <w:r>
              <w:rPr>
                <w:spacing w:val="-9"/>
                <w:w w:val="105"/>
                <w:sz w:val="16"/>
              </w:rPr>
              <w:t> </w:t>
            </w:r>
            <w:r>
              <w:rPr>
                <w:w w:val="105"/>
                <w:sz w:val="16"/>
              </w:rPr>
              <w:t>reportable</w:t>
            </w:r>
            <w:r>
              <w:rPr>
                <w:spacing w:val="-9"/>
                <w:w w:val="105"/>
                <w:sz w:val="16"/>
              </w:rPr>
              <w:t> </w:t>
            </w:r>
            <w:r>
              <w:rPr>
                <w:w w:val="105"/>
                <w:sz w:val="16"/>
              </w:rPr>
              <w:t>segments</w:t>
            </w:r>
            <w:r>
              <w:rPr>
                <w:spacing w:val="-9"/>
                <w:w w:val="105"/>
                <w:sz w:val="16"/>
              </w:rPr>
              <w:t> </w:t>
            </w:r>
            <w:r>
              <w:rPr>
                <w:w w:val="105"/>
                <w:sz w:val="16"/>
              </w:rPr>
              <w:t>and</w:t>
            </w:r>
            <w:r>
              <w:rPr>
                <w:spacing w:val="-9"/>
                <w:w w:val="105"/>
                <w:sz w:val="16"/>
              </w:rPr>
              <w:t> </w:t>
            </w:r>
            <w:r>
              <w:rPr>
                <w:w w:val="105"/>
                <w:sz w:val="16"/>
              </w:rPr>
              <w:t>All</w:t>
            </w:r>
            <w:r>
              <w:rPr>
                <w:spacing w:val="-9"/>
                <w:w w:val="105"/>
                <w:sz w:val="16"/>
              </w:rPr>
              <w:t> </w:t>
            </w:r>
            <w:r>
              <w:rPr>
                <w:spacing w:val="-2"/>
                <w:w w:val="105"/>
                <w:sz w:val="16"/>
              </w:rPr>
              <w:t>Other</w:t>
            </w:r>
          </w:p>
        </w:tc>
        <w:tc>
          <w:tcPr>
            <w:tcW w:w="973"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660" w:type="dxa"/>
            <w:tcBorders>
              <w:top w:val="single" w:sz="6" w:space="0" w:color="000000"/>
            </w:tcBorders>
            <w:shd w:val="clear" w:color="auto" w:fill="CCEDFF"/>
          </w:tcPr>
          <w:p>
            <w:pPr>
              <w:pStyle w:val="TableParagraph"/>
              <w:spacing w:line="180" w:lineRule="exact" w:before="2"/>
              <w:ind w:left="62"/>
              <w:rPr>
                <w:b/>
                <w:sz w:val="16"/>
              </w:rPr>
            </w:pPr>
            <w:r>
              <w:rPr>
                <w:b/>
                <w:spacing w:val="-2"/>
                <w:w w:val="105"/>
                <w:sz w:val="16"/>
              </w:rPr>
              <w:t>14,120</w:t>
            </w:r>
          </w:p>
        </w:tc>
        <w:tc>
          <w:tcPr>
            <w:tcW w:w="1060" w:type="dxa"/>
            <w:tcBorders>
              <w:top w:val="single" w:sz="6" w:space="0" w:color="000000"/>
            </w:tcBorders>
            <w:shd w:val="clear" w:color="auto" w:fill="CCEDFF"/>
          </w:tcPr>
          <w:p>
            <w:pPr>
              <w:pStyle w:val="TableParagraph"/>
              <w:spacing w:line="180" w:lineRule="exact" w:before="2"/>
              <w:ind w:left="86"/>
              <w:rPr>
                <w:sz w:val="16"/>
              </w:rPr>
            </w:pPr>
            <w:r>
              <w:rPr>
                <w:spacing w:val="-10"/>
                <w:w w:val="105"/>
                <w:sz w:val="16"/>
              </w:rPr>
              <w:t>$</w:t>
            </w:r>
          </w:p>
        </w:tc>
        <w:tc>
          <w:tcPr>
            <w:tcW w:w="660" w:type="dxa"/>
            <w:tcBorders>
              <w:top w:val="single" w:sz="6" w:space="0" w:color="000000"/>
            </w:tcBorders>
            <w:shd w:val="clear" w:color="auto" w:fill="CCEDFF"/>
          </w:tcPr>
          <w:p>
            <w:pPr>
              <w:pStyle w:val="TableParagraph"/>
              <w:spacing w:line="180" w:lineRule="exact" w:before="2"/>
              <w:ind w:left="61"/>
              <w:rPr>
                <w:sz w:val="16"/>
              </w:rPr>
            </w:pPr>
            <w:r>
              <w:rPr>
                <w:spacing w:val="-2"/>
                <w:w w:val="105"/>
                <w:sz w:val="16"/>
              </w:rPr>
              <w:t>11,452</w:t>
            </w:r>
          </w:p>
        </w:tc>
        <w:tc>
          <w:tcPr>
            <w:tcW w:w="1060" w:type="dxa"/>
            <w:tcBorders>
              <w:top w:val="single" w:sz="6" w:space="0" w:color="000000"/>
            </w:tcBorders>
            <w:shd w:val="clear" w:color="auto" w:fill="CCEDFF"/>
          </w:tcPr>
          <w:p>
            <w:pPr>
              <w:pStyle w:val="TableParagraph"/>
              <w:spacing w:line="180" w:lineRule="exact" w:before="2"/>
              <w:ind w:left="86"/>
              <w:rPr>
                <w:sz w:val="16"/>
              </w:rPr>
            </w:pPr>
            <w:r>
              <w:rPr>
                <w:spacing w:val="-10"/>
                <w:w w:val="105"/>
                <w:sz w:val="16"/>
              </w:rPr>
              <w:t>$</w:t>
            </w:r>
          </w:p>
        </w:tc>
        <w:tc>
          <w:tcPr>
            <w:tcW w:w="632" w:type="dxa"/>
            <w:tcBorders>
              <w:top w:val="single" w:sz="6" w:space="0" w:color="000000"/>
            </w:tcBorders>
            <w:shd w:val="clear" w:color="auto" w:fill="CCEDFF"/>
          </w:tcPr>
          <w:p>
            <w:pPr>
              <w:pStyle w:val="TableParagraph"/>
              <w:spacing w:line="180" w:lineRule="exact" w:before="2"/>
              <w:ind w:left="61"/>
              <w:rPr>
                <w:sz w:val="16"/>
              </w:rPr>
            </w:pPr>
            <w:r>
              <w:rPr>
                <w:spacing w:val="-2"/>
                <w:w w:val="105"/>
                <w:sz w:val="16"/>
              </w:rPr>
              <w:t>11,656</w:t>
            </w:r>
          </w:p>
        </w:tc>
      </w:tr>
      <w:tr>
        <w:trPr>
          <w:trHeight w:val="203" w:hRule="atLeast"/>
        </w:trPr>
        <w:tc>
          <w:tcPr>
            <w:tcW w:w="6471" w:type="dxa"/>
          </w:tcPr>
          <w:p>
            <w:pPr>
              <w:pStyle w:val="TableParagraph"/>
              <w:spacing w:line="184" w:lineRule="exact"/>
              <w:rPr>
                <w:sz w:val="14"/>
              </w:rPr>
            </w:pPr>
            <w:r>
              <w:rPr>
                <w:spacing w:val="-2"/>
                <w:w w:val="105"/>
                <w:sz w:val="16"/>
              </w:rPr>
              <w:t>Impact</w:t>
            </w:r>
            <w:r>
              <w:rPr>
                <w:spacing w:val="1"/>
                <w:w w:val="105"/>
                <w:sz w:val="16"/>
              </w:rPr>
              <w:t> </w:t>
            </w:r>
            <w:r>
              <w:rPr>
                <w:spacing w:val="-2"/>
                <w:w w:val="105"/>
                <w:sz w:val="16"/>
              </w:rPr>
              <w:t>of</w:t>
            </w:r>
            <w:r>
              <w:rPr>
                <w:spacing w:val="1"/>
                <w:w w:val="105"/>
                <w:sz w:val="16"/>
              </w:rPr>
              <w:t> </w:t>
            </w:r>
            <w:r>
              <w:rPr>
                <w:spacing w:val="-2"/>
                <w:w w:val="105"/>
                <w:sz w:val="16"/>
              </w:rPr>
              <w:t>foreign</w:t>
            </w:r>
            <w:r>
              <w:rPr>
                <w:spacing w:val="1"/>
                <w:w w:val="105"/>
                <w:sz w:val="16"/>
              </w:rPr>
              <w:t> </w:t>
            </w:r>
            <w:r>
              <w:rPr>
                <w:spacing w:val="-2"/>
                <w:w w:val="105"/>
                <w:sz w:val="16"/>
              </w:rPr>
              <w:t>currency</w:t>
            </w:r>
            <w:r>
              <w:rPr>
                <w:spacing w:val="1"/>
                <w:w w:val="105"/>
                <w:sz w:val="16"/>
              </w:rPr>
              <w:t> </w:t>
            </w:r>
            <w:r>
              <w:rPr>
                <w:spacing w:val="-2"/>
                <w:w w:val="105"/>
                <w:sz w:val="16"/>
              </w:rPr>
              <w:t>movements</w:t>
            </w:r>
            <w:r>
              <w:rPr>
                <w:spacing w:val="3"/>
                <w:w w:val="105"/>
                <w:sz w:val="16"/>
              </w:rPr>
              <w:t> </w:t>
            </w:r>
            <w:r>
              <w:rPr>
                <w:spacing w:val="-5"/>
                <w:w w:val="105"/>
                <w:position w:val="3"/>
                <w:sz w:val="14"/>
              </w:rPr>
              <w:t>(1)</w:t>
            </w:r>
          </w:p>
        </w:tc>
        <w:tc>
          <w:tcPr>
            <w:tcW w:w="973" w:type="dxa"/>
          </w:tcPr>
          <w:p>
            <w:pPr>
              <w:pStyle w:val="TableParagraph"/>
              <w:rPr>
                <w:sz w:val="14"/>
              </w:rPr>
            </w:pPr>
          </w:p>
        </w:tc>
        <w:tc>
          <w:tcPr>
            <w:tcW w:w="660" w:type="dxa"/>
          </w:tcPr>
          <w:p>
            <w:pPr>
              <w:pStyle w:val="TableParagraph"/>
              <w:spacing w:line="180" w:lineRule="exact" w:before="3"/>
              <w:ind w:left="296"/>
              <w:rPr>
                <w:b/>
                <w:sz w:val="16"/>
              </w:rPr>
            </w:pPr>
            <w:r>
              <w:rPr>
                <w:b/>
                <w:spacing w:val="-4"/>
                <w:w w:val="105"/>
                <w:sz w:val="16"/>
              </w:rPr>
              <w:t>(38)</w:t>
            </w:r>
          </w:p>
        </w:tc>
        <w:tc>
          <w:tcPr>
            <w:tcW w:w="1060" w:type="dxa"/>
          </w:tcPr>
          <w:p>
            <w:pPr>
              <w:pStyle w:val="TableParagraph"/>
              <w:rPr>
                <w:sz w:val="14"/>
              </w:rPr>
            </w:pPr>
          </w:p>
        </w:tc>
        <w:tc>
          <w:tcPr>
            <w:tcW w:w="660" w:type="dxa"/>
          </w:tcPr>
          <w:p>
            <w:pPr>
              <w:pStyle w:val="TableParagraph"/>
              <w:spacing w:line="180" w:lineRule="exact" w:before="3"/>
              <w:ind w:right="85"/>
              <w:jc w:val="right"/>
              <w:rPr>
                <w:sz w:val="16"/>
              </w:rPr>
            </w:pPr>
            <w:r>
              <w:rPr>
                <w:spacing w:val="-4"/>
                <w:w w:val="105"/>
                <w:sz w:val="16"/>
              </w:rPr>
              <w:t>(44)</w:t>
            </w:r>
          </w:p>
        </w:tc>
        <w:tc>
          <w:tcPr>
            <w:tcW w:w="1060" w:type="dxa"/>
          </w:tcPr>
          <w:p>
            <w:pPr>
              <w:pStyle w:val="TableParagraph"/>
              <w:rPr>
                <w:sz w:val="14"/>
              </w:rPr>
            </w:pPr>
          </w:p>
        </w:tc>
        <w:tc>
          <w:tcPr>
            <w:tcW w:w="632" w:type="dxa"/>
          </w:tcPr>
          <w:p>
            <w:pPr>
              <w:pStyle w:val="TableParagraph"/>
              <w:spacing w:line="180" w:lineRule="exact" w:before="3"/>
              <w:ind w:left="213"/>
              <w:rPr>
                <w:sz w:val="16"/>
              </w:rPr>
            </w:pPr>
            <w:r>
              <w:rPr>
                <w:spacing w:val="-2"/>
                <w:w w:val="105"/>
                <w:sz w:val="16"/>
              </w:rPr>
              <w:t>(153)</w:t>
            </w:r>
          </w:p>
        </w:tc>
      </w:tr>
      <w:tr>
        <w:trPr>
          <w:trHeight w:val="202" w:hRule="atLeast"/>
        </w:trPr>
        <w:tc>
          <w:tcPr>
            <w:tcW w:w="6471" w:type="dxa"/>
            <w:tcBorders>
              <w:bottom w:val="single" w:sz="6" w:space="0" w:color="000000"/>
            </w:tcBorders>
            <w:shd w:val="clear" w:color="auto" w:fill="CCEDFF"/>
          </w:tcPr>
          <w:p>
            <w:pPr>
              <w:pStyle w:val="TableParagraph"/>
              <w:spacing w:line="183" w:lineRule="exact"/>
              <w:rPr>
                <w:sz w:val="14"/>
              </w:rPr>
            </w:pPr>
            <w:r>
              <w:rPr>
                <w:sz w:val="16"/>
              </w:rPr>
              <w:t>Cumulative</w:t>
            </w:r>
            <w:r>
              <w:rPr>
                <w:spacing w:val="16"/>
                <w:sz w:val="16"/>
              </w:rPr>
              <w:t> </w:t>
            </w:r>
            <w:r>
              <w:rPr>
                <w:sz w:val="16"/>
              </w:rPr>
              <w:t>adjustment</w:t>
            </w:r>
            <w:r>
              <w:rPr>
                <w:spacing w:val="17"/>
                <w:sz w:val="16"/>
              </w:rPr>
              <w:t> </w:t>
            </w:r>
            <w:r>
              <w:rPr>
                <w:sz w:val="16"/>
              </w:rPr>
              <w:t>related</w:t>
            </w:r>
            <w:r>
              <w:rPr>
                <w:spacing w:val="14"/>
                <w:sz w:val="16"/>
              </w:rPr>
              <w:t> </w:t>
            </w:r>
            <w:r>
              <w:rPr>
                <w:sz w:val="16"/>
              </w:rPr>
              <w:t>to</w:t>
            </w:r>
            <w:r>
              <w:rPr>
                <w:spacing w:val="17"/>
                <w:sz w:val="16"/>
              </w:rPr>
              <w:t> </w:t>
            </w:r>
            <w:r>
              <w:rPr>
                <w:sz w:val="16"/>
              </w:rPr>
              <w:t>customer</w:t>
            </w:r>
            <w:r>
              <w:rPr>
                <w:spacing w:val="17"/>
                <w:sz w:val="16"/>
              </w:rPr>
              <w:t> </w:t>
            </w:r>
            <w:r>
              <w:rPr>
                <w:sz w:val="16"/>
              </w:rPr>
              <w:t>contract</w:t>
            </w:r>
            <w:r>
              <w:rPr>
                <w:spacing w:val="14"/>
                <w:sz w:val="16"/>
              </w:rPr>
              <w:t> </w:t>
            </w:r>
            <w:r>
              <w:rPr>
                <w:spacing w:val="-5"/>
                <w:position w:val="3"/>
                <w:sz w:val="14"/>
              </w:rPr>
              <w:t>(2)</w:t>
            </w:r>
          </w:p>
        </w:tc>
        <w:tc>
          <w:tcPr>
            <w:tcW w:w="973" w:type="dxa"/>
            <w:tcBorders>
              <w:bottom w:val="single" w:sz="6" w:space="0" w:color="000000"/>
            </w:tcBorders>
            <w:shd w:val="clear" w:color="auto" w:fill="CCEDFF"/>
          </w:tcPr>
          <w:p>
            <w:pPr>
              <w:pStyle w:val="TableParagraph"/>
              <w:rPr>
                <w:sz w:val="14"/>
              </w:rPr>
            </w:pPr>
          </w:p>
        </w:tc>
        <w:tc>
          <w:tcPr>
            <w:tcW w:w="660" w:type="dxa"/>
            <w:tcBorders>
              <w:bottom w:val="single" w:sz="6" w:space="0" w:color="000000"/>
            </w:tcBorders>
            <w:shd w:val="clear" w:color="auto" w:fill="CCEDFF"/>
          </w:tcPr>
          <w:p>
            <w:pPr>
              <w:pStyle w:val="TableParagraph"/>
              <w:rPr>
                <w:sz w:val="14"/>
              </w:rPr>
            </w:pPr>
          </w:p>
        </w:tc>
        <w:tc>
          <w:tcPr>
            <w:tcW w:w="1060" w:type="dxa"/>
            <w:tcBorders>
              <w:bottom w:val="single" w:sz="6" w:space="0" w:color="000000"/>
            </w:tcBorders>
            <w:shd w:val="clear" w:color="auto" w:fill="CCEDFF"/>
          </w:tcPr>
          <w:p>
            <w:pPr>
              <w:pStyle w:val="TableParagraph"/>
              <w:rPr>
                <w:sz w:val="14"/>
              </w:rPr>
            </w:pPr>
          </w:p>
        </w:tc>
        <w:tc>
          <w:tcPr>
            <w:tcW w:w="660" w:type="dxa"/>
            <w:tcBorders>
              <w:bottom w:val="single" w:sz="6" w:space="0" w:color="000000"/>
            </w:tcBorders>
            <w:shd w:val="clear" w:color="auto" w:fill="CCEDFF"/>
          </w:tcPr>
          <w:p>
            <w:pPr>
              <w:pStyle w:val="TableParagraph"/>
              <w:spacing w:line="179" w:lineRule="exact" w:before="3"/>
              <w:ind w:right="85"/>
              <w:jc w:val="right"/>
              <w:rPr>
                <w:sz w:val="16"/>
              </w:rPr>
            </w:pPr>
            <w:r>
              <w:rPr>
                <w:spacing w:val="-2"/>
                <w:w w:val="105"/>
                <w:sz w:val="16"/>
              </w:rPr>
              <w:t>(105)</w:t>
            </w:r>
          </w:p>
        </w:tc>
        <w:tc>
          <w:tcPr>
            <w:tcW w:w="1060" w:type="dxa"/>
            <w:tcBorders>
              <w:bottom w:val="single" w:sz="6" w:space="0" w:color="000000"/>
            </w:tcBorders>
            <w:shd w:val="clear" w:color="auto" w:fill="CCEDFF"/>
          </w:tcPr>
          <w:p>
            <w:pPr>
              <w:pStyle w:val="TableParagraph"/>
              <w:rPr>
                <w:sz w:val="14"/>
              </w:rPr>
            </w:pPr>
          </w:p>
        </w:tc>
        <w:tc>
          <w:tcPr>
            <w:tcW w:w="632" w:type="dxa"/>
            <w:tcBorders>
              <w:bottom w:val="single" w:sz="6" w:space="0" w:color="000000"/>
            </w:tcBorders>
            <w:shd w:val="clear" w:color="auto" w:fill="CCEDFF"/>
          </w:tcPr>
          <w:p>
            <w:pPr>
              <w:pStyle w:val="TableParagraph"/>
              <w:rPr>
                <w:sz w:val="14"/>
              </w:rPr>
            </w:pPr>
          </w:p>
        </w:tc>
      </w:tr>
      <w:tr>
        <w:trPr>
          <w:trHeight w:val="199" w:hRule="atLeast"/>
        </w:trPr>
        <w:tc>
          <w:tcPr>
            <w:tcW w:w="6471" w:type="dxa"/>
            <w:tcBorders>
              <w:top w:val="single" w:sz="6" w:space="0" w:color="000000"/>
              <w:bottom w:val="double" w:sz="6" w:space="0" w:color="000000"/>
            </w:tcBorders>
          </w:tcPr>
          <w:p>
            <w:pPr>
              <w:pStyle w:val="TableParagraph"/>
              <w:spacing w:line="177" w:lineRule="exact" w:before="2"/>
              <w:rPr>
                <w:sz w:val="16"/>
              </w:rPr>
            </w:pPr>
            <w:r>
              <w:rPr>
                <w:sz w:val="16"/>
              </w:rPr>
              <w:t>Consolidated</w:t>
            </w:r>
            <w:r>
              <w:rPr>
                <w:spacing w:val="16"/>
                <w:sz w:val="16"/>
              </w:rPr>
              <w:t> </w:t>
            </w:r>
            <w:r>
              <w:rPr>
                <w:sz w:val="16"/>
              </w:rPr>
              <w:t>net</w:t>
            </w:r>
            <w:r>
              <w:rPr>
                <w:spacing w:val="17"/>
                <w:sz w:val="16"/>
              </w:rPr>
              <w:t> </w:t>
            </w:r>
            <w:r>
              <w:rPr>
                <w:spacing w:val="-2"/>
                <w:sz w:val="16"/>
              </w:rPr>
              <w:t>sales</w:t>
            </w:r>
          </w:p>
        </w:tc>
        <w:tc>
          <w:tcPr>
            <w:tcW w:w="973" w:type="dxa"/>
            <w:tcBorders>
              <w:top w:val="single" w:sz="6" w:space="0" w:color="000000"/>
              <w:bottom w:val="double" w:sz="6" w:space="0" w:color="000000"/>
            </w:tcBorders>
          </w:tcPr>
          <w:p>
            <w:pPr>
              <w:pStyle w:val="TableParagraph"/>
              <w:spacing w:line="177" w:lineRule="exact" w:before="2"/>
              <w:rPr>
                <w:b/>
                <w:sz w:val="16"/>
              </w:rPr>
            </w:pPr>
            <w:r>
              <w:rPr>
                <w:b/>
                <w:spacing w:val="-10"/>
                <w:w w:val="105"/>
                <w:sz w:val="16"/>
              </w:rPr>
              <w:t>$</w:t>
            </w:r>
          </w:p>
        </w:tc>
        <w:tc>
          <w:tcPr>
            <w:tcW w:w="660" w:type="dxa"/>
            <w:tcBorders>
              <w:top w:val="single" w:sz="6" w:space="0" w:color="000000"/>
              <w:bottom w:val="double" w:sz="6" w:space="0" w:color="000000"/>
            </w:tcBorders>
          </w:tcPr>
          <w:p>
            <w:pPr>
              <w:pStyle w:val="TableParagraph"/>
              <w:spacing w:line="177" w:lineRule="exact" w:before="2"/>
              <w:ind w:left="62"/>
              <w:rPr>
                <w:b/>
                <w:sz w:val="16"/>
              </w:rPr>
            </w:pPr>
            <w:r>
              <w:rPr>
                <w:b/>
                <w:spacing w:val="-2"/>
                <w:w w:val="105"/>
                <w:sz w:val="16"/>
              </w:rPr>
              <w:t>14,082</w:t>
            </w:r>
          </w:p>
        </w:tc>
        <w:tc>
          <w:tcPr>
            <w:tcW w:w="1060" w:type="dxa"/>
            <w:tcBorders>
              <w:top w:val="single" w:sz="6" w:space="0" w:color="000000"/>
              <w:bottom w:val="double" w:sz="6" w:space="0" w:color="000000"/>
            </w:tcBorders>
          </w:tcPr>
          <w:p>
            <w:pPr>
              <w:pStyle w:val="TableParagraph"/>
              <w:spacing w:line="177" w:lineRule="exact" w:before="2"/>
              <w:ind w:left="86"/>
              <w:rPr>
                <w:sz w:val="16"/>
              </w:rPr>
            </w:pPr>
            <w:r>
              <w:rPr>
                <w:spacing w:val="-10"/>
                <w:w w:val="105"/>
                <w:sz w:val="16"/>
              </w:rPr>
              <w:t>$</w:t>
            </w:r>
          </w:p>
        </w:tc>
        <w:tc>
          <w:tcPr>
            <w:tcW w:w="660" w:type="dxa"/>
            <w:tcBorders>
              <w:top w:val="single" w:sz="6" w:space="0" w:color="000000"/>
              <w:bottom w:val="double" w:sz="6" w:space="0" w:color="000000"/>
            </w:tcBorders>
          </w:tcPr>
          <w:p>
            <w:pPr>
              <w:pStyle w:val="TableParagraph"/>
              <w:spacing w:line="177" w:lineRule="exact" w:before="2"/>
              <w:ind w:left="61"/>
              <w:rPr>
                <w:sz w:val="16"/>
              </w:rPr>
            </w:pPr>
            <w:r>
              <w:rPr>
                <w:spacing w:val="-2"/>
                <w:w w:val="105"/>
                <w:sz w:val="16"/>
              </w:rPr>
              <w:t>11,303</w:t>
            </w:r>
          </w:p>
        </w:tc>
        <w:tc>
          <w:tcPr>
            <w:tcW w:w="1060" w:type="dxa"/>
            <w:tcBorders>
              <w:top w:val="single" w:sz="6" w:space="0" w:color="000000"/>
              <w:bottom w:val="double" w:sz="6" w:space="0" w:color="000000"/>
            </w:tcBorders>
          </w:tcPr>
          <w:p>
            <w:pPr>
              <w:pStyle w:val="TableParagraph"/>
              <w:spacing w:line="177" w:lineRule="exact" w:before="2"/>
              <w:ind w:left="86"/>
              <w:rPr>
                <w:sz w:val="16"/>
              </w:rPr>
            </w:pPr>
            <w:r>
              <w:rPr>
                <w:spacing w:val="-10"/>
                <w:w w:val="105"/>
                <w:sz w:val="16"/>
              </w:rPr>
              <w:t>$</w:t>
            </w:r>
          </w:p>
        </w:tc>
        <w:tc>
          <w:tcPr>
            <w:tcW w:w="632" w:type="dxa"/>
            <w:tcBorders>
              <w:top w:val="single" w:sz="6" w:space="0" w:color="000000"/>
              <w:bottom w:val="double" w:sz="6" w:space="0" w:color="000000"/>
            </w:tcBorders>
          </w:tcPr>
          <w:p>
            <w:pPr>
              <w:pStyle w:val="TableParagraph"/>
              <w:spacing w:line="177" w:lineRule="exact" w:before="2"/>
              <w:ind w:left="61"/>
              <w:rPr>
                <w:sz w:val="16"/>
              </w:rPr>
            </w:pPr>
            <w:r>
              <w:rPr>
                <w:spacing w:val="-2"/>
                <w:w w:val="105"/>
                <w:sz w:val="16"/>
              </w:rPr>
              <w:t>11,503</w:t>
            </w:r>
          </w:p>
        </w:tc>
      </w:tr>
    </w:tbl>
    <w:p>
      <w:pPr>
        <w:pStyle w:val="BodyText"/>
        <w:spacing w:before="31"/>
        <w:rPr>
          <w:sz w:val="14"/>
        </w:rPr>
      </w:pPr>
    </w:p>
    <w:p>
      <w:pPr>
        <w:pStyle w:val="ListParagraph"/>
        <w:numPr>
          <w:ilvl w:val="0"/>
          <w:numId w:val="61"/>
        </w:numPr>
        <w:tabs>
          <w:tab w:pos="460" w:val="left" w:leader="none"/>
        </w:tabs>
        <w:spacing w:line="157" w:lineRule="exact" w:before="0" w:after="0"/>
        <w:ind w:left="460" w:right="0" w:hanging="304"/>
        <w:jc w:val="left"/>
        <w:rPr>
          <w:sz w:val="14"/>
        </w:rPr>
      </w:pPr>
      <w:r>
        <w:rPr>
          <w:sz w:val="14"/>
        </w:rPr>
        <w:t>This</w:t>
      </w:r>
      <w:r>
        <w:rPr>
          <w:spacing w:val="-2"/>
          <w:sz w:val="14"/>
        </w:rPr>
        <w:t> </w:t>
      </w:r>
      <w:r>
        <w:rPr>
          <w:sz w:val="14"/>
        </w:rPr>
        <w:t>amount</w:t>
      </w:r>
      <w:r>
        <w:rPr>
          <w:spacing w:val="-2"/>
          <w:sz w:val="14"/>
        </w:rPr>
        <w:t> </w:t>
      </w:r>
      <w:r>
        <w:rPr>
          <w:sz w:val="14"/>
        </w:rPr>
        <w:t>primarily</w:t>
      </w:r>
      <w:r>
        <w:rPr>
          <w:spacing w:val="-1"/>
          <w:sz w:val="14"/>
        </w:rPr>
        <w:t> </w:t>
      </w:r>
      <w:r>
        <w:rPr>
          <w:sz w:val="14"/>
        </w:rPr>
        <w:t>represents</w:t>
      </w:r>
      <w:r>
        <w:rPr>
          <w:spacing w:val="-2"/>
          <w:sz w:val="14"/>
        </w:rPr>
        <w:t> </w:t>
      </w:r>
      <w:r>
        <w:rPr>
          <w:sz w:val="14"/>
        </w:rPr>
        <w:t>the</w:t>
      </w:r>
      <w:r>
        <w:rPr>
          <w:spacing w:val="-2"/>
          <w:sz w:val="14"/>
        </w:rPr>
        <w:t> </w:t>
      </w:r>
      <w:r>
        <w:rPr>
          <w:sz w:val="14"/>
        </w:rPr>
        <w:t>impact</w:t>
      </w:r>
      <w:r>
        <w:rPr>
          <w:spacing w:val="-1"/>
          <w:sz w:val="14"/>
        </w:rPr>
        <w:t> </w:t>
      </w:r>
      <w:r>
        <w:rPr>
          <w:sz w:val="14"/>
        </w:rPr>
        <w:t>of</w:t>
      </w:r>
      <w:r>
        <w:rPr>
          <w:spacing w:val="-2"/>
          <w:sz w:val="14"/>
        </w:rPr>
        <w:t> </w:t>
      </w:r>
      <w:r>
        <w:rPr>
          <w:sz w:val="14"/>
        </w:rPr>
        <w:t>foreign</w:t>
      </w:r>
      <w:r>
        <w:rPr>
          <w:spacing w:val="-2"/>
          <w:sz w:val="14"/>
        </w:rPr>
        <w:t> </w:t>
      </w:r>
      <w:r>
        <w:rPr>
          <w:sz w:val="14"/>
        </w:rPr>
        <w:t>currency</w:t>
      </w:r>
      <w:r>
        <w:rPr>
          <w:spacing w:val="-1"/>
          <w:sz w:val="14"/>
        </w:rPr>
        <w:t> </w:t>
      </w:r>
      <w:r>
        <w:rPr>
          <w:sz w:val="14"/>
        </w:rPr>
        <w:t>adjustments</w:t>
      </w:r>
      <w:r>
        <w:rPr>
          <w:spacing w:val="-2"/>
          <w:sz w:val="14"/>
        </w:rPr>
        <w:t> </w:t>
      </w:r>
      <w:r>
        <w:rPr>
          <w:sz w:val="14"/>
        </w:rPr>
        <w:t>in</w:t>
      </w:r>
      <w:r>
        <w:rPr>
          <w:spacing w:val="-2"/>
          <w:sz w:val="14"/>
        </w:rPr>
        <w:t> </w:t>
      </w:r>
      <w:r>
        <w:rPr>
          <w:sz w:val="14"/>
        </w:rPr>
        <w:t>the</w:t>
      </w:r>
      <w:r>
        <w:rPr>
          <w:spacing w:val="-1"/>
          <w:sz w:val="14"/>
        </w:rPr>
        <w:t> </w:t>
      </w:r>
      <w:r>
        <w:rPr>
          <w:sz w:val="14"/>
        </w:rPr>
        <w:t>Display</w:t>
      </w:r>
      <w:r>
        <w:rPr>
          <w:spacing w:val="-2"/>
          <w:sz w:val="14"/>
        </w:rPr>
        <w:t> </w:t>
      </w:r>
      <w:r>
        <w:rPr>
          <w:sz w:val="14"/>
        </w:rPr>
        <w:t>Technologies</w:t>
      </w:r>
      <w:r>
        <w:rPr>
          <w:spacing w:val="-1"/>
          <w:sz w:val="14"/>
        </w:rPr>
        <w:t> </w:t>
      </w:r>
      <w:r>
        <w:rPr>
          <w:spacing w:val="-2"/>
          <w:sz w:val="14"/>
        </w:rPr>
        <w:t>segment.</w:t>
      </w:r>
    </w:p>
    <w:p>
      <w:pPr>
        <w:pStyle w:val="ListParagraph"/>
        <w:numPr>
          <w:ilvl w:val="0"/>
          <w:numId w:val="61"/>
        </w:numPr>
        <w:tabs>
          <w:tab w:pos="460" w:val="left" w:leader="none"/>
          <w:tab w:pos="462" w:val="left" w:leader="none"/>
        </w:tabs>
        <w:spacing w:line="228" w:lineRule="auto" w:before="3" w:after="0"/>
        <w:ind w:left="462" w:right="345" w:hanging="306"/>
        <w:jc w:val="left"/>
        <w:rPr>
          <w:sz w:val="14"/>
        </w:rPr>
      </w:pPr>
      <w:r>
        <w:rPr>
          <w:sz w:val="14"/>
        </w:rPr>
        <w:t>Amount</w:t>
      </w:r>
      <w:r>
        <w:rPr>
          <w:spacing w:val="-1"/>
          <w:sz w:val="14"/>
        </w:rPr>
        <w:t> </w:t>
      </w:r>
      <w:r>
        <w:rPr>
          <w:sz w:val="14"/>
        </w:rPr>
        <w:t>represents</w:t>
      </w:r>
      <w:r>
        <w:rPr>
          <w:spacing w:val="-1"/>
          <w:sz w:val="14"/>
        </w:rPr>
        <w:t> </w:t>
      </w:r>
      <w:r>
        <w:rPr>
          <w:sz w:val="14"/>
        </w:rPr>
        <w:t>the</w:t>
      </w:r>
      <w:r>
        <w:rPr>
          <w:spacing w:val="-1"/>
          <w:sz w:val="14"/>
        </w:rPr>
        <w:t> </w:t>
      </w:r>
      <w:r>
        <w:rPr>
          <w:sz w:val="14"/>
        </w:rPr>
        <w:t>negative</w:t>
      </w:r>
      <w:r>
        <w:rPr>
          <w:spacing w:val="-1"/>
          <w:sz w:val="14"/>
        </w:rPr>
        <w:t> </w:t>
      </w:r>
      <w:r>
        <w:rPr>
          <w:sz w:val="14"/>
        </w:rPr>
        <w:t>impact</w:t>
      </w:r>
      <w:r>
        <w:rPr>
          <w:spacing w:val="-1"/>
          <w:sz w:val="14"/>
        </w:rPr>
        <w:t> </w:t>
      </w:r>
      <w:r>
        <w:rPr>
          <w:sz w:val="14"/>
        </w:rPr>
        <w:t>of</w:t>
      </w:r>
      <w:r>
        <w:rPr>
          <w:spacing w:val="-1"/>
          <w:sz w:val="14"/>
        </w:rPr>
        <w:t> </w:t>
      </w:r>
      <w:r>
        <w:rPr>
          <w:sz w:val="14"/>
        </w:rPr>
        <w:t>a</w:t>
      </w:r>
      <w:r>
        <w:rPr>
          <w:spacing w:val="-1"/>
          <w:sz w:val="14"/>
        </w:rPr>
        <w:t> </w:t>
      </w:r>
      <w:r>
        <w:rPr>
          <w:sz w:val="14"/>
        </w:rPr>
        <w:t>cumulative</w:t>
      </w:r>
      <w:r>
        <w:rPr>
          <w:spacing w:val="-1"/>
          <w:sz w:val="14"/>
        </w:rPr>
        <w:t> </w:t>
      </w:r>
      <w:r>
        <w:rPr>
          <w:sz w:val="14"/>
        </w:rPr>
        <w:t>adjustment</w:t>
      </w:r>
      <w:r>
        <w:rPr>
          <w:spacing w:val="-1"/>
          <w:sz w:val="14"/>
        </w:rPr>
        <w:t> </w:t>
      </w:r>
      <w:r>
        <w:rPr>
          <w:sz w:val="14"/>
        </w:rPr>
        <w:t>recorded</w:t>
      </w:r>
      <w:r>
        <w:rPr>
          <w:spacing w:val="-1"/>
          <w:sz w:val="14"/>
        </w:rPr>
        <w:t> </w:t>
      </w:r>
      <w:r>
        <w:rPr>
          <w:sz w:val="14"/>
        </w:rPr>
        <w:t>during</w:t>
      </w:r>
      <w:r>
        <w:rPr>
          <w:spacing w:val="-1"/>
          <w:sz w:val="14"/>
        </w:rPr>
        <w:t> </w:t>
      </w:r>
      <w:r>
        <w:rPr>
          <w:sz w:val="14"/>
        </w:rPr>
        <w:t>the</w:t>
      </w:r>
      <w:r>
        <w:rPr>
          <w:spacing w:val="-5"/>
          <w:sz w:val="14"/>
        </w:rPr>
        <w:t> </w:t>
      </w:r>
      <w:r>
        <w:rPr>
          <w:sz w:val="14"/>
        </w:rPr>
        <w:t>first</w:t>
      </w:r>
      <w:r>
        <w:rPr>
          <w:spacing w:val="-1"/>
          <w:sz w:val="14"/>
        </w:rPr>
        <w:t> </w:t>
      </w:r>
      <w:r>
        <w:rPr>
          <w:sz w:val="14"/>
        </w:rPr>
        <w:t>quarter</w:t>
      </w:r>
      <w:r>
        <w:rPr>
          <w:spacing w:val="-2"/>
          <w:sz w:val="14"/>
        </w:rPr>
        <w:t> </w:t>
      </w:r>
      <w:r>
        <w:rPr>
          <w:sz w:val="14"/>
        </w:rPr>
        <w:t>of 2020</w:t>
      </w:r>
      <w:r>
        <w:rPr>
          <w:spacing w:val="-1"/>
          <w:sz w:val="14"/>
        </w:rPr>
        <w:t> </w:t>
      </w:r>
      <w:r>
        <w:rPr>
          <w:sz w:val="14"/>
        </w:rPr>
        <w:t>to</w:t>
      </w:r>
      <w:r>
        <w:rPr>
          <w:spacing w:val="-1"/>
          <w:sz w:val="14"/>
        </w:rPr>
        <w:t> </w:t>
      </w:r>
      <w:r>
        <w:rPr>
          <w:sz w:val="14"/>
        </w:rPr>
        <w:t>reduce</w:t>
      </w:r>
      <w:r>
        <w:rPr>
          <w:spacing w:val="-1"/>
          <w:sz w:val="14"/>
        </w:rPr>
        <w:t> </w:t>
      </w:r>
      <w:r>
        <w:rPr>
          <w:sz w:val="14"/>
        </w:rPr>
        <w:t>revenue</w:t>
      </w:r>
      <w:r>
        <w:rPr>
          <w:spacing w:val="-1"/>
          <w:sz w:val="14"/>
        </w:rPr>
        <w:t> </w:t>
      </w:r>
      <w:r>
        <w:rPr>
          <w:sz w:val="14"/>
        </w:rPr>
        <w:t>in</w:t>
      </w:r>
      <w:r>
        <w:rPr>
          <w:spacing w:val="-1"/>
          <w:sz w:val="14"/>
        </w:rPr>
        <w:t> </w:t>
      </w:r>
      <w:r>
        <w:rPr>
          <w:sz w:val="14"/>
        </w:rPr>
        <w:t>the</w:t>
      </w:r>
      <w:r>
        <w:rPr>
          <w:spacing w:val="-1"/>
          <w:sz w:val="14"/>
        </w:rPr>
        <w:t> </w:t>
      </w:r>
      <w:r>
        <w:rPr>
          <w:sz w:val="14"/>
        </w:rPr>
        <w:t>amount</w:t>
      </w:r>
      <w:r>
        <w:rPr>
          <w:spacing w:val="-1"/>
          <w:sz w:val="14"/>
        </w:rPr>
        <w:t> </w:t>
      </w:r>
      <w:r>
        <w:rPr>
          <w:sz w:val="14"/>
        </w:rPr>
        <w:t>of</w:t>
      </w:r>
      <w:r>
        <w:rPr>
          <w:spacing w:val="-1"/>
          <w:sz w:val="14"/>
        </w:rPr>
        <w:t> </w:t>
      </w:r>
      <w:r>
        <w:rPr>
          <w:sz w:val="14"/>
        </w:rPr>
        <w:t>$105</w:t>
      </w:r>
      <w:r>
        <w:rPr>
          <w:spacing w:val="-1"/>
          <w:sz w:val="14"/>
        </w:rPr>
        <w:t> </w:t>
      </w:r>
      <w:r>
        <w:rPr>
          <w:sz w:val="14"/>
        </w:rPr>
        <w:t>million.</w:t>
      </w:r>
      <w:r>
        <w:rPr>
          <w:spacing w:val="-1"/>
          <w:sz w:val="14"/>
        </w:rPr>
        <w:t> </w:t>
      </w:r>
      <w:r>
        <w:rPr>
          <w:sz w:val="14"/>
        </w:rPr>
        <w:t>The</w:t>
      </w:r>
      <w:r>
        <w:rPr>
          <w:spacing w:val="-1"/>
          <w:sz w:val="14"/>
        </w:rPr>
        <w:t> </w:t>
      </w:r>
      <w:r>
        <w:rPr>
          <w:sz w:val="14"/>
        </w:rPr>
        <w:t>adjustment</w:t>
      </w:r>
      <w:r>
        <w:rPr>
          <w:spacing w:val="-1"/>
          <w:sz w:val="14"/>
        </w:rPr>
        <w:t> </w:t>
      </w:r>
      <w:r>
        <w:rPr>
          <w:sz w:val="14"/>
        </w:rPr>
        <w:t>was</w:t>
      </w:r>
      <w:r>
        <w:rPr>
          <w:spacing w:val="-1"/>
          <w:sz w:val="14"/>
        </w:rPr>
        <w:t> </w:t>
      </w:r>
      <w:r>
        <w:rPr>
          <w:sz w:val="14"/>
        </w:rPr>
        <w:t>associated</w:t>
      </w:r>
      <w:r>
        <w:rPr>
          <w:spacing w:val="-1"/>
          <w:sz w:val="14"/>
        </w:rPr>
        <w:t> </w:t>
      </w:r>
      <w:r>
        <w:rPr>
          <w:sz w:val="14"/>
        </w:rPr>
        <w:t>with</w:t>
      </w:r>
      <w:r>
        <w:rPr>
          <w:spacing w:val="-1"/>
          <w:sz w:val="14"/>
        </w:rPr>
        <w:t> </w:t>
      </w:r>
      <w:r>
        <w:rPr>
          <w:sz w:val="14"/>
        </w:rPr>
        <w:t>a</w:t>
      </w:r>
      <w:r>
        <w:rPr>
          <w:spacing w:val="40"/>
          <w:sz w:val="14"/>
        </w:rPr>
        <w:t> </w:t>
      </w:r>
      <w:r>
        <w:rPr>
          <w:sz w:val="14"/>
        </w:rPr>
        <w:t>previously recorded commercial benefit asset, reflected as a prepayment, to a customer with a long-term supply agreement that substantially exited its production of LCD panels. Refer to Note</w:t>
      </w:r>
      <w:r>
        <w:rPr>
          <w:spacing w:val="-2"/>
          <w:sz w:val="14"/>
        </w:rPr>
        <w:t> </w:t>
      </w:r>
      <w:r>
        <w:rPr>
          <w:sz w:val="14"/>
        </w:rPr>
        <w:t>5</w:t>
      </w:r>
      <w:r>
        <w:rPr>
          <w:spacing w:val="40"/>
          <w:sz w:val="14"/>
        </w:rPr>
        <w:t> </w:t>
      </w:r>
      <w:r>
        <w:rPr>
          <w:sz w:val="14"/>
        </w:rPr>
        <w:t>(Revenue) to the consolidated financial statements for additional information.</w:t>
      </w:r>
    </w:p>
    <w:p>
      <w:pPr>
        <w:pStyle w:val="BodyText"/>
        <w:spacing w:before="19"/>
      </w:pPr>
    </w:p>
    <w:p>
      <w:pPr>
        <w:pStyle w:val="BodyText"/>
        <w:spacing w:before="1"/>
        <w:ind w:left="156"/>
      </w:pPr>
      <w:r>
        <w:rPr>
          <w:w w:val="105"/>
        </w:rPr>
        <w:t>A</w:t>
      </w:r>
      <w:r>
        <w:rPr>
          <w:spacing w:val="-9"/>
          <w:w w:val="105"/>
        </w:rPr>
        <w:t> </w:t>
      </w:r>
      <w:r>
        <w:rPr>
          <w:w w:val="105"/>
        </w:rPr>
        <w:t>reconciliation</w:t>
      </w:r>
      <w:r>
        <w:rPr>
          <w:spacing w:val="-9"/>
          <w:w w:val="105"/>
        </w:rPr>
        <w:t> </w:t>
      </w:r>
      <w:r>
        <w:rPr>
          <w:w w:val="105"/>
        </w:rPr>
        <w:t>of</w:t>
      </w:r>
      <w:r>
        <w:rPr>
          <w:spacing w:val="-9"/>
          <w:w w:val="105"/>
        </w:rPr>
        <w:t> </w:t>
      </w:r>
      <w:r>
        <w:rPr>
          <w:w w:val="105"/>
        </w:rPr>
        <w:t>reportable</w:t>
      </w:r>
      <w:r>
        <w:rPr>
          <w:spacing w:val="-9"/>
          <w:w w:val="105"/>
        </w:rPr>
        <w:t> </w:t>
      </w:r>
      <w:r>
        <w:rPr>
          <w:w w:val="105"/>
        </w:rPr>
        <w:t>segment</w:t>
      </w:r>
      <w:r>
        <w:rPr>
          <w:spacing w:val="-9"/>
          <w:w w:val="105"/>
        </w:rPr>
        <w:t> </w:t>
      </w:r>
      <w:r>
        <w:rPr>
          <w:w w:val="105"/>
        </w:rPr>
        <w:t>net</w:t>
      </w:r>
      <w:r>
        <w:rPr>
          <w:spacing w:val="-9"/>
          <w:w w:val="105"/>
        </w:rPr>
        <w:t> </w:t>
      </w:r>
      <w:r>
        <w:rPr>
          <w:w w:val="105"/>
        </w:rPr>
        <w:t>income</w:t>
      </w:r>
      <w:r>
        <w:rPr>
          <w:spacing w:val="-9"/>
          <w:w w:val="105"/>
        </w:rPr>
        <w:t> </w:t>
      </w:r>
      <w:r>
        <w:rPr>
          <w:w w:val="105"/>
        </w:rPr>
        <w:t>(loss)</w:t>
      </w:r>
      <w:r>
        <w:rPr>
          <w:spacing w:val="-9"/>
          <w:w w:val="105"/>
        </w:rPr>
        <w:t> </w:t>
      </w:r>
      <w:r>
        <w:rPr>
          <w:w w:val="105"/>
        </w:rPr>
        <w:t>to</w:t>
      </w:r>
      <w:r>
        <w:rPr>
          <w:spacing w:val="-9"/>
          <w:w w:val="105"/>
        </w:rPr>
        <w:t> </w:t>
      </w:r>
      <w:r>
        <w:rPr>
          <w:w w:val="105"/>
        </w:rPr>
        <w:t>consolidated</w:t>
      </w:r>
      <w:r>
        <w:rPr>
          <w:spacing w:val="-9"/>
          <w:w w:val="105"/>
        </w:rPr>
        <w:t> </w:t>
      </w:r>
      <w:r>
        <w:rPr>
          <w:w w:val="105"/>
        </w:rPr>
        <w:t>net</w:t>
      </w:r>
      <w:r>
        <w:rPr>
          <w:spacing w:val="-9"/>
          <w:w w:val="105"/>
        </w:rPr>
        <w:t> </w:t>
      </w:r>
      <w:r>
        <w:rPr>
          <w:w w:val="105"/>
        </w:rPr>
        <w:t>income</w:t>
      </w:r>
      <w:r>
        <w:rPr>
          <w:spacing w:val="-9"/>
          <w:w w:val="105"/>
        </w:rPr>
        <w:t> </w:t>
      </w:r>
      <w:r>
        <w:rPr>
          <w:w w:val="105"/>
        </w:rPr>
        <w:t>follows</w:t>
      </w:r>
      <w:r>
        <w:rPr>
          <w:spacing w:val="-9"/>
          <w:w w:val="105"/>
        </w:rPr>
        <w:t> </w:t>
      </w:r>
      <w:r>
        <w:rPr>
          <w:w w:val="105"/>
        </w:rPr>
        <w:t>(in</w:t>
      </w:r>
      <w:r>
        <w:rPr>
          <w:spacing w:val="-9"/>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753216">
                <wp:simplePos x="0" y="0"/>
                <wp:positionH relativeFrom="page">
                  <wp:posOffset>226479</wp:posOffset>
                </wp:positionH>
                <wp:positionV relativeFrom="paragraph">
                  <wp:posOffset>83173</wp:posOffset>
                </wp:positionV>
                <wp:extent cx="7312659" cy="16510"/>
                <wp:effectExtent l="0" t="0" r="0" b="0"/>
                <wp:wrapTopAndBottom/>
                <wp:docPr id="1086" name="Graphic 1086"/>
                <wp:cNvGraphicFramePr>
                  <a:graphicFrameLocks/>
                </wp:cNvGraphicFramePr>
                <a:graphic>
                  <a:graphicData uri="http://schemas.microsoft.com/office/word/2010/wordprocessingShape">
                    <wps:wsp>
                      <wps:cNvPr id="1086" name="Graphic 1086"/>
                      <wps:cNvSpPr/>
                      <wps:spPr>
                        <a:xfrm>
                          <a:off x="0" y="0"/>
                          <a:ext cx="7312659" cy="16510"/>
                        </a:xfrm>
                        <a:custGeom>
                          <a:avLst/>
                          <a:gdLst/>
                          <a:ahLst/>
                          <a:cxnLst/>
                          <a:rect l="l" t="t" r="r" b="b"/>
                          <a:pathLst>
                            <a:path w="7312659" h="16510">
                              <a:moveTo>
                                <a:pt x="7312342" y="0"/>
                              </a:moveTo>
                              <a:lnTo>
                                <a:pt x="7239546" y="0"/>
                              </a:lnTo>
                              <a:lnTo>
                                <a:pt x="4764354" y="0"/>
                              </a:lnTo>
                              <a:lnTo>
                                <a:pt x="4683468" y="0"/>
                              </a:lnTo>
                              <a:lnTo>
                                <a:pt x="0" y="0"/>
                              </a:lnTo>
                              <a:lnTo>
                                <a:pt x="0" y="16179"/>
                              </a:lnTo>
                              <a:lnTo>
                                <a:pt x="4683468" y="16179"/>
                              </a:lnTo>
                              <a:lnTo>
                                <a:pt x="4764354"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6.549065pt;width:575.8pt;height:1.3pt;mso-position-horizontal-relative:page;mso-position-vertical-relative:paragraph;z-index:-15563264;mso-wrap-distance-left:0;mso-wrap-distance-right:0" id="docshape1085" coordorigin="357,131" coordsize="11516,26" path="m11872,131l11758,131,7860,131,7732,131,357,131,357,156,7732,156,7860,156,11758,156,11872,156,11872,131xe" filled="true" fillcolor="#000000" stroked="false">
                <v:path arrowok="t"/>
                <v:fill type="solid"/>
                <w10:wrap type="topAndBottom"/>
              </v:shape>
            </w:pict>
          </mc:Fallback>
        </mc:AlternateContent>
      </w:r>
    </w:p>
    <w:p>
      <w:pPr>
        <w:pStyle w:val="BodyText"/>
        <w:spacing w:before="3" w:after="23"/>
        <w:ind w:right="1305"/>
        <w:jc w:val="right"/>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3"/>
        <w:gridCol w:w="756"/>
        <w:gridCol w:w="532"/>
        <w:gridCol w:w="843"/>
        <w:gridCol w:w="532"/>
        <w:gridCol w:w="843"/>
        <w:gridCol w:w="504"/>
      </w:tblGrid>
      <w:tr>
        <w:trPr>
          <w:trHeight w:val="201" w:hRule="atLeast"/>
        </w:trPr>
        <w:tc>
          <w:tcPr>
            <w:tcW w:w="7503" w:type="dxa"/>
            <w:tcBorders>
              <w:bottom w:val="single" w:sz="6" w:space="0" w:color="000000"/>
            </w:tcBorders>
          </w:tcPr>
          <w:p>
            <w:pPr>
              <w:pStyle w:val="TableParagraph"/>
              <w:rPr>
                <w:sz w:val="14"/>
              </w:rPr>
            </w:pPr>
          </w:p>
        </w:tc>
        <w:tc>
          <w:tcPr>
            <w:tcW w:w="756" w:type="dxa"/>
            <w:tcBorders>
              <w:top w:val="single" w:sz="6" w:space="0" w:color="000000"/>
              <w:bottom w:val="single" w:sz="6" w:space="0" w:color="000000"/>
            </w:tcBorders>
          </w:tcPr>
          <w:p>
            <w:pPr>
              <w:pStyle w:val="TableParagraph"/>
              <w:spacing w:line="179" w:lineRule="exact" w:before="2"/>
              <w:ind w:left="407"/>
              <w:rPr>
                <w:b/>
                <w:sz w:val="16"/>
              </w:rPr>
            </w:pPr>
            <w:r>
              <w:rPr>
                <w:b/>
                <w:spacing w:val="-4"/>
                <w:w w:val="105"/>
                <w:sz w:val="16"/>
              </w:rPr>
              <w:t>2021</w:t>
            </w:r>
          </w:p>
        </w:tc>
        <w:tc>
          <w:tcPr>
            <w:tcW w:w="532" w:type="dxa"/>
            <w:tcBorders>
              <w:top w:val="single" w:sz="6" w:space="0" w:color="000000"/>
              <w:bottom w:val="single" w:sz="6" w:space="0" w:color="000000"/>
            </w:tcBorders>
          </w:tcPr>
          <w:p>
            <w:pPr>
              <w:pStyle w:val="TableParagraph"/>
              <w:rPr>
                <w:sz w:val="14"/>
              </w:rPr>
            </w:pPr>
          </w:p>
        </w:tc>
        <w:tc>
          <w:tcPr>
            <w:tcW w:w="843" w:type="dxa"/>
            <w:tcBorders>
              <w:top w:val="single" w:sz="6" w:space="0" w:color="000000"/>
              <w:bottom w:val="single" w:sz="6" w:space="0" w:color="000000"/>
            </w:tcBorders>
          </w:tcPr>
          <w:p>
            <w:pPr>
              <w:pStyle w:val="TableParagraph"/>
              <w:spacing w:line="179" w:lineRule="exact" w:before="2"/>
              <w:ind w:left="495"/>
              <w:rPr>
                <w:sz w:val="16"/>
              </w:rPr>
            </w:pPr>
            <w:r>
              <w:rPr>
                <w:spacing w:val="-4"/>
                <w:w w:val="105"/>
                <w:sz w:val="16"/>
              </w:rPr>
              <w:t>2020</w:t>
            </w:r>
          </w:p>
        </w:tc>
        <w:tc>
          <w:tcPr>
            <w:tcW w:w="532" w:type="dxa"/>
            <w:tcBorders>
              <w:top w:val="single" w:sz="6" w:space="0" w:color="000000"/>
              <w:bottom w:val="single" w:sz="6" w:space="0" w:color="000000"/>
            </w:tcBorders>
          </w:tcPr>
          <w:p>
            <w:pPr>
              <w:pStyle w:val="TableParagraph"/>
              <w:rPr>
                <w:sz w:val="14"/>
              </w:rPr>
            </w:pPr>
          </w:p>
        </w:tc>
        <w:tc>
          <w:tcPr>
            <w:tcW w:w="843" w:type="dxa"/>
            <w:tcBorders>
              <w:top w:val="single" w:sz="6" w:space="0" w:color="000000"/>
              <w:bottom w:val="single" w:sz="6" w:space="0" w:color="000000"/>
            </w:tcBorders>
          </w:tcPr>
          <w:p>
            <w:pPr>
              <w:pStyle w:val="TableParagraph"/>
              <w:spacing w:line="179" w:lineRule="exact" w:before="2"/>
              <w:ind w:left="496"/>
              <w:rPr>
                <w:sz w:val="16"/>
              </w:rPr>
            </w:pPr>
            <w:r>
              <w:rPr>
                <w:spacing w:val="-4"/>
                <w:w w:val="105"/>
                <w:sz w:val="16"/>
              </w:rPr>
              <w:t>2019</w:t>
            </w:r>
          </w:p>
        </w:tc>
        <w:tc>
          <w:tcPr>
            <w:tcW w:w="504" w:type="dxa"/>
            <w:tcBorders>
              <w:top w:val="single" w:sz="6" w:space="0" w:color="000000"/>
              <w:bottom w:val="single" w:sz="6" w:space="0" w:color="000000"/>
            </w:tcBorders>
          </w:tcPr>
          <w:p>
            <w:pPr>
              <w:pStyle w:val="TableParagraph"/>
              <w:rPr>
                <w:sz w:val="14"/>
              </w:rPr>
            </w:pPr>
          </w:p>
        </w:tc>
      </w:tr>
      <w:tr>
        <w:trPr>
          <w:trHeight w:val="202" w:hRule="atLeast"/>
        </w:trPr>
        <w:tc>
          <w:tcPr>
            <w:tcW w:w="7503" w:type="dxa"/>
            <w:tcBorders>
              <w:top w:val="single" w:sz="6" w:space="0" w:color="000000"/>
            </w:tcBorders>
            <w:shd w:val="clear" w:color="auto" w:fill="CCEDFF"/>
          </w:tcPr>
          <w:p>
            <w:pPr>
              <w:pStyle w:val="TableParagraph"/>
              <w:spacing w:line="180" w:lineRule="exact" w:before="2"/>
              <w:rPr>
                <w:sz w:val="16"/>
              </w:rPr>
            </w:pPr>
            <w:r>
              <w:rPr>
                <w:w w:val="105"/>
                <w:sz w:val="16"/>
              </w:rPr>
              <w:t>Net</w:t>
            </w:r>
            <w:r>
              <w:rPr>
                <w:spacing w:val="-8"/>
                <w:w w:val="105"/>
                <w:sz w:val="16"/>
              </w:rPr>
              <w:t> </w:t>
            </w:r>
            <w:r>
              <w:rPr>
                <w:w w:val="105"/>
                <w:sz w:val="16"/>
              </w:rPr>
              <w:t>income</w:t>
            </w:r>
            <w:r>
              <w:rPr>
                <w:spacing w:val="-8"/>
                <w:w w:val="105"/>
                <w:sz w:val="16"/>
              </w:rPr>
              <w:t> </w:t>
            </w:r>
            <w:r>
              <w:rPr>
                <w:w w:val="105"/>
                <w:sz w:val="16"/>
              </w:rPr>
              <w:t>of</w:t>
            </w:r>
            <w:r>
              <w:rPr>
                <w:spacing w:val="-8"/>
                <w:w w:val="105"/>
                <w:sz w:val="16"/>
              </w:rPr>
              <w:t> </w:t>
            </w:r>
            <w:r>
              <w:rPr>
                <w:w w:val="105"/>
                <w:sz w:val="16"/>
              </w:rPr>
              <w:t>reportable</w:t>
            </w:r>
            <w:r>
              <w:rPr>
                <w:spacing w:val="-8"/>
                <w:w w:val="105"/>
                <w:sz w:val="16"/>
              </w:rPr>
              <w:t> </w:t>
            </w:r>
            <w:r>
              <w:rPr>
                <w:spacing w:val="-2"/>
                <w:w w:val="105"/>
                <w:sz w:val="16"/>
              </w:rPr>
              <w:t>segments</w:t>
            </w:r>
          </w:p>
        </w:tc>
        <w:tc>
          <w:tcPr>
            <w:tcW w:w="756" w:type="dxa"/>
            <w:tcBorders>
              <w:top w:val="single" w:sz="6" w:space="0" w:color="000000"/>
            </w:tcBorders>
            <w:shd w:val="clear" w:color="auto" w:fill="CCEDFF"/>
          </w:tcPr>
          <w:p>
            <w:pPr>
              <w:pStyle w:val="TableParagraph"/>
              <w:spacing w:line="180" w:lineRule="exact" w:before="2"/>
              <w:ind w:left="-1"/>
              <w:rPr>
                <w:b/>
                <w:sz w:val="16"/>
              </w:rPr>
            </w:pPr>
            <w:r>
              <w:rPr>
                <w:b/>
                <w:spacing w:val="-10"/>
                <w:w w:val="105"/>
                <w:sz w:val="16"/>
              </w:rPr>
              <w:t>$</w:t>
            </w:r>
          </w:p>
        </w:tc>
        <w:tc>
          <w:tcPr>
            <w:tcW w:w="532" w:type="dxa"/>
            <w:tcBorders>
              <w:top w:val="single" w:sz="6" w:space="0" w:color="000000"/>
            </w:tcBorders>
            <w:shd w:val="clear" w:color="auto" w:fill="CCEDFF"/>
          </w:tcPr>
          <w:p>
            <w:pPr>
              <w:pStyle w:val="TableParagraph"/>
              <w:spacing w:line="180" w:lineRule="exact" w:before="2"/>
              <w:ind w:right="139"/>
              <w:jc w:val="right"/>
              <w:rPr>
                <w:b/>
                <w:sz w:val="16"/>
              </w:rPr>
            </w:pPr>
            <w:r>
              <w:rPr>
                <w:b/>
                <w:spacing w:val="-4"/>
                <w:w w:val="105"/>
                <w:sz w:val="16"/>
              </w:rPr>
              <w:t>2,347</w:t>
            </w:r>
          </w:p>
        </w:tc>
        <w:tc>
          <w:tcPr>
            <w:tcW w:w="843" w:type="dxa"/>
            <w:tcBorders>
              <w:top w:val="single" w:sz="6" w:space="0" w:color="000000"/>
            </w:tcBorders>
            <w:shd w:val="clear" w:color="auto" w:fill="CCEDFF"/>
          </w:tcPr>
          <w:p>
            <w:pPr>
              <w:pStyle w:val="TableParagraph"/>
              <w:spacing w:line="180" w:lineRule="exact" w:before="2"/>
              <w:ind w:left="87"/>
              <w:rPr>
                <w:sz w:val="16"/>
              </w:rPr>
            </w:pPr>
            <w:r>
              <w:rPr>
                <w:spacing w:val="-10"/>
                <w:w w:val="105"/>
                <w:sz w:val="16"/>
              </w:rPr>
              <w:t>$</w:t>
            </w:r>
          </w:p>
        </w:tc>
        <w:tc>
          <w:tcPr>
            <w:tcW w:w="532" w:type="dxa"/>
            <w:tcBorders>
              <w:top w:val="single" w:sz="6" w:space="0" w:color="000000"/>
            </w:tcBorders>
            <w:shd w:val="clear" w:color="auto" w:fill="CCEDFF"/>
          </w:tcPr>
          <w:p>
            <w:pPr>
              <w:pStyle w:val="TableParagraph"/>
              <w:spacing w:line="180" w:lineRule="exact" w:before="2"/>
              <w:ind w:right="138"/>
              <w:jc w:val="right"/>
              <w:rPr>
                <w:sz w:val="16"/>
              </w:rPr>
            </w:pPr>
            <w:r>
              <w:rPr>
                <w:spacing w:val="-4"/>
                <w:w w:val="105"/>
                <w:sz w:val="16"/>
              </w:rPr>
              <w:t>1,842</w:t>
            </w:r>
          </w:p>
        </w:tc>
        <w:tc>
          <w:tcPr>
            <w:tcW w:w="843" w:type="dxa"/>
            <w:tcBorders>
              <w:top w:val="single" w:sz="6" w:space="0" w:color="000000"/>
            </w:tcBorders>
            <w:shd w:val="clear" w:color="auto" w:fill="CCEDFF"/>
          </w:tcPr>
          <w:p>
            <w:pPr>
              <w:pStyle w:val="TableParagraph"/>
              <w:spacing w:line="180" w:lineRule="exact" w:before="2"/>
              <w:ind w:left="88"/>
              <w:rPr>
                <w:sz w:val="16"/>
              </w:rPr>
            </w:pPr>
            <w:r>
              <w:rPr>
                <w:spacing w:val="-10"/>
                <w:w w:val="105"/>
                <w:sz w:val="16"/>
              </w:rPr>
              <w:t>$</w:t>
            </w:r>
          </w:p>
        </w:tc>
        <w:tc>
          <w:tcPr>
            <w:tcW w:w="504" w:type="dxa"/>
            <w:tcBorders>
              <w:top w:val="single" w:sz="6" w:space="0" w:color="000000"/>
            </w:tcBorders>
            <w:shd w:val="clear" w:color="auto" w:fill="CCEDFF"/>
          </w:tcPr>
          <w:p>
            <w:pPr>
              <w:pStyle w:val="TableParagraph"/>
              <w:spacing w:line="180" w:lineRule="exact" w:before="2"/>
              <w:ind w:left="19"/>
              <w:rPr>
                <w:sz w:val="16"/>
              </w:rPr>
            </w:pPr>
            <w:r>
              <w:rPr>
                <w:spacing w:val="-4"/>
                <w:w w:val="105"/>
                <w:sz w:val="16"/>
              </w:rPr>
              <w:t>1,990</w:t>
            </w:r>
          </w:p>
        </w:tc>
      </w:tr>
      <w:tr>
        <w:trPr>
          <w:trHeight w:val="203" w:hRule="atLeast"/>
        </w:trPr>
        <w:tc>
          <w:tcPr>
            <w:tcW w:w="7503" w:type="dxa"/>
          </w:tcPr>
          <w:p>
            <w:pPr>
              <w:pStyle w:val="TableParagraph"/>
              <w:spacing w:line="184" w:lineRule="exact"/>
              <w:rPr>
                <w:sz w:val="14"/>
              </w:rPr>
            </w:pPr>
            <w:r>
              <w:rPr>
                <w:w w:val="105"/>
                <w:sz w:val="16"/>
              </w:rPr>
              <w:t>Net</w:t>
            </w:r>
            <w:r>
              <w:rPr>
                <w:spacing w:val="-7"/>
                <w:w w:val="105"/>
                <w:sz w:val="16"/>
              </w:rPr>
              <w:t> </w:t>
            </w:r>
            <w:r>
              <w:rPr>
                <w:w w:val="105"/>
                <w:sz w:val="16"/>
              </w:rPr>
              <w:t>loss</w:t>
            </w:r>
            <w:r>
              <w:rPr>
                <w:spacing w:val="-6"/>
                <w:w w:val="105"/>
                <w:sz w:val="16"/>
              </w:rPr>
              <w:t> </w:t>
            </w:r>
            <w:r>
              <w:rPr>
                <w:w w:val="105"/>
                <w:sz w:val="16"/>
              </w:rPr>
              <w:t>of</w:t>
            </w:r>
            <w:r>
              <w:rPr>
                <w:spacing w:val="-6"/>
                <w:w w:val="105"/>
                <w:sz w:val="16"/>
              </w:rPr>
              <w:t> </w:t>
            </w:r>
            <w:r>
              <w:rPr>
                <w:w w:val="105"/>
                <w:sz w:val="16"/>
              </w:rPr>
              <w:t>All</w:t>
            </w:r>
            <w:r>
              <w:rPr>
                <w:spacing w:val="-7"/>
                <w:w w:val="105"/>
                <w:sz w:val="16"/>
              </w:rPr>
              <w:t> </w:t>
            </w:r>
            <w:r>
              <w:rPr>
                <w:w w:val="105"/>
                <w:sz w:val="16"/>
              </w:rPr>
              <w:t>Other</w:t>
            </w:r>
            <w:r>
              <w:rPr>
                <w:spacing w:val="-5"/>
                <w:w w:val="105"/>
                <w:sz w:val="16"/>
              </w:rPr>
              <w:t> </w:t>
            </w:r>
            <w:r>
              <w:rPr>
                <w:spacing w:val="-5"/>
                <w:w w:val="105"/>
                <w:position w:val="3"/>
                <w:sz w:val="14"/>
              </w:rPr>
              <w:t>(1)</w:t>
            </w:r>
          </w:p>
        </w:tc>
        <w:tc>
          <w:tcPr>
            <w:tcW w:w="756" w:type="dxa"/>
          </w:tcPr>
          <w:p>
            <w:pPr>
              <w:pStyle w:val="TableParagraph"/>
              <w:rPr>
                <w:sz w:val="14"/>
              </w:rPr>
            </w:pPr>
          </w:p>
        </w:tc>
        <w:tc>
          <w:tcPr>
            <w:tcW w:w="532" w:type="dxa"/>
          </w:tcPr>
          <w:p>
            <w:pPr>
              <w:pStyle w:val="TableParagraph"/>
              <w:spacing w:line="180" w:lineRule="exact" w:before="3"/>
              <w:ind w:right="84"/>
              <w:jc w:val="right"/>
              <w:rPr>
                <w:b/>
                <w:sz w:val="16"/>
              </w:rPr>
            </w:pPr>
            <w:r>
              <w:rPr>
                <w:b/>
                <w:spacing w:val="-4"/>
                <w:w w:val="105"/>
                <w:sz w:val="16"/>
              </w:rPr>
              <w:t>(51)</w:t>
            </w:r>
          </w:p>
        </w:tc>
        <w:tc>
          <w:tcPr>
            <w:tcW w:w="843" w:type="dxa"/>
          </w:tcPr>
          <w:p>
            <w:pPr>
              <w:pStyle w:val="TableParagraph"/>
              <w:rPr>
                <w:sz w:val="14"/>
              </w:rPr>
            </w:pPr>
          </w:p>
        </w:tc>
        <w:tc>
          <w:tcPr>
            <w:tcW w:w="532" w:type="dxa"/>
          </w:tcPr>
          <w:p>
            <w:pPr>
              <w:pStyle w:val="TableParagraph"/>
              <w:spacing w:line="180" w:lineRule="exact" w:before="3"/>
              <w:ind w:right="83"/>
              <w:jc w:val="right"/>
              <w:rPr>
                <w:sz w:val="16"/>
              </w:rPr>
            </w:pPr>
            <w:r>
              <w:rPr>
                <w:spacing w:val="-2"/>
                <w:w w:val="105"/>
                <w:sz w:val="16"/>
              </w:rPr>
              <w:t>(214)</w:t>
            </w:r>
          </w:p>
        </w:tc>
        <w:tc>
          <w:tcPr>
            <w:tcW w:w="843" w:type="dxa"/>
          </w:tcPr>
          <w:p>
            <w:pPr>
              <w:pStyle w:val="TableParagraph"/>
              <w:rPr>
                <w:sz w:val="14"/>
              </w:rPr>
            </w:pPr>
          </w:p>
        </w:tc>
        <w:tc>
          <w:tcPr>
            <w:tcW w:w="504" w:type="dxa"/>
          </w:tcPr>
          <w:p>
            <w:pPr>
              <w:pStyle w:val="TableParagraph"/>
              <w:spacing w:line="180" w:lineRule="exact" w:before="3"/>
              <w:ind w:right="56"/>
              <w:jc w:val="right"/>
              <w:rPr>
                <w:sz w:val="16"/>
              </w:rPr>
            </w:pPr>
            <w:r>
              <w:rPr>
                <w:spacing w:val="-2"/>
                <w:w w:val="105"/>
                <w:sz w:val="16"/>
              </w:rPr>
              <w:t>(289)</w:t>
            </w:r>
          </w:p>
        </w:tc>
      </w:tr>
      <w:tr>
        <w:trPr>
          <w:trHeight w:val="203" w:hRule="atLeast"/>
        </w:trPr>
        <w:tc>
          <w:tcPr>
            <w:tcW w:w="7503" w:type="dxa"/>
            <w:shd w:val="clear" w:color="auto" w:fill="CCEDFF"/>
          </w:tcPr>
          <w:p>
            <w:pPr>
              <w:pStyle w:val="TableParagraph"/>
              <w:spacing w:line="180" w:lineRule="exact" w:before="3"/>
              <w:rPr>
                <w:sz w:val="16"/>
              </w:rPr>
            </w:pPr>
            <w:r>
              <w:rPr>
                <w:sz w:val="16"/>
              </w:rPr>
              <w:t>Unallocated</w:t>
            </w:r>
            <w:r>
              <w:rPr>
                <w:spacing w:val="24"/>
                <w:sz w:val="16"/>
              </w:rPr>
              <w:t> </w:t>
            </w:r>
            <w:r>
              <w:rPr>
                <w:spacing w:val="-2"/>
                <w:sz w:val="16"/>
              </w:rPr>
              <w:t>amounts:</w:t>
            </w:r>
          </w:p>
        </w:tc>
        <w:tc>
          <w:tcPr>
            <w:tcW w:w="756" w:type="dxa"/>
            <w:shd w:val="clear" w:color="auto" w:fill="CCEDFF"/>
          </w:tcPr>
          <w:p>
            <w:pPr>
              <w:pStyle w:val="TableParagraph"/>
              <w:rPr>
                <w:sz w:val="14"/>
              </w:rPr>
            </w:pPr>
          </w:p>
        </w:tc>
        <w:tc>
          <w:tcPr>
            <w:tcW w:w="532" w:type="dxa"/>
            <w:shd w:val="clear" w:color="auto" w:fill="CCEDFF"/>
          </w:tcPr>
          <w:p>
            <w:pPr>
              <w:pStyle w:val="TableParagraph"/>
              <w:rPr>
                <w:sz w:val="14"/>
              </w:rPr>
            </w:pPr>
          </w:p>
        </w:tc>
        <w:tc>
          <w:tcPr>
            <w:tcW w:w="843" w:type="dxa"/>
            <w:shd w:val="clear" w:color="auto" w:fill="CCEDFF"/>
          </w:tcPr>
          <w:p>
            <w:pPr>
              <w:pStyle w:val="TableParagraph"/>
              <w:rPr>
                <w:sz w:val="14"/>
              </w:rPr>
            </w:pPr>
          </w:p>
        </w:tc>
        <w:tc>
          <w:tcPr>
            <w:tcW w:w="532" w:type="dxa"/>
            <w:shd w:val="clear" w:color="auto" w:fill="CCEDFF"/>
          </w:tcPr>
          <w:p>
            <w:pPr>
              <w:pStyle w:val="TableParagraph"/>
              <w:rPr>
                <w:sz w:val="14"/>
              </w:rPr>
            </w:pPr>
          </w:p>
        </w:tc>
        <w:tc>
          <w:tcPr>
            <w:tcW w:w="843" w:type="dxa"/>
            <w:shd w:val="clear" w:color="auto" w:fill="CCEDFF"/>
          </w:tcPr>
          <w:p>
            <w:pPr>
              <w:pStyle w:val="TableParagraph"/>
              <w:rPr>
                <w:sz w:val="14"/>
              </w:rPr>
            </w:pPr>
          </w:p>
        </w:tc>
        <w:tc>
          <w:tcPr>
            <w:tcW w:w="504" w:type="dxa"/>
            <w:shd w:val="clear" w:color="auto" w:fill="CCEDFF"/>
          </w:tcPr>
          <w:p>
            <w:pPr>
              <w:pStyle w:val="TableParagraph"/>
              <w:rPr>
                <w:sz w:val="14"/>
              </w:rPr>
            </w:pPr>
          </w:p>
        </w:tc>
      </w:tr>
      <w:tr>
        <w:trPr>
          <w:trHeight w:val="203" w:hRule="atLeast"/>
        </w:trPr>
        <w:tc>
          <w:tcPr>
            <w:tcW w:w="7503" w:type="dxa"/>
          </w:tcPr>
          <w:p>
            <w:pPr>
              <w:pStyle w:val="TableParagraph"/>
              <w:spacing w:line="180" w:lineRule="exact" w:before="3"/>
              <w:ind w:left="152"/>
              <w:rPr>
                <w:sz w:val="16"/>
              </w:rPr>
            </w:pPr>
            <w:r>
              <w:rPr>
                <w:w w:val="105"/>
                <w:sz w:val="16"/>
              </w:rPr>
              <w:t>Impact</w:t>
            </w:r>
            <w:r>
              <w:rPr>
                <w:spacing w:val="-10"/>
                <w:w w:val="105"/>
                <w:sz w:val="16"/>
              </w:rPr>
              <w:t> </w:t>
            </w:r>
            <w:r>
              <w:rPr>
                <w:w w:val="105"/>
                <w:sz w:val="16"/>
              </w:rPr>
              <w:t>of</w:t>
            </w:r>
            <w:r>
              <w:rPr>
                <w:spacing w:val="-9"/>
                <w:w w:val="105"/>
                <w:sz w:val="16"/>
              </w:rPr>
              <w:t> </w:t>
            </w:r>
            <w:r>
              <w:rPr>
                <w:w w:val="105"/>
                <w:sz w:val="16"/>
              </w:rPr>
              <w:t>foreign</w:t>
            </w:r>
            <w:r>
              <w:rPr>
                <w:spacing w:val="-10"/>
                <w:w w:val="105"/>
                <w:sz w:val="16"/>
              </w:rPr>
              <w:t> </w:t>
            </w:r>
            <w:r>
              <w:rPr>
                <w:w w:val="105"/>
                <w:sz w:val="16"/>
              </w:rPr>
              <w:t>currency</w:t>
            </w:r>
            <w:r>
              <w:rPr>
                <w:spacing w:val="-9"/>
                <w:w w:val="105"/>
                <w:sz w:val="16"/>
              </w:rPr>
              <w:t> </w:t>
            </w:r>
            <w:r>
              <w:rPr>
                <w:w w:val="105"/>
                <w:sz w:val="16"/>
              </w:rPr>
              <w:t>movements</w:t>
            </w:r>
            <w:r>
              <w:rPr>
                <w:spacing w:val="-10"/>
                <w:w w:val="105"/>
                <w:sz w:val="16"/>
              </w:rPr>
              <w:t> </w:t>
            </w:r>
            <w:r>
              <w:rPr>
                <w:w w:val="105"/>
                <w:sz w:val="16"/>
              </w:rPr>
              <w:t>not</w:t>
            </w:r>
            <w:r>
              <w:rPr>
                <w:spacing w:val="-9"/>
                <w:w w:val="105"/>
                <w:sz w:val="16"/>
              </w:rPr>
              <w:t> </w:t>
            </w:r>
            <w:r>
              <w:rPr>
                <w:w w:val="105"/>
                <w:sz w:val="16"/>
              </w:rPr>
              <w:t>included</w:t>
            </w:r>
            <w:r>
              <w:rPr>
                <w:spacing w:val="-8"/>
                <w:w w:val="105"/>
                <w:sz w:val="16"/>
              </w:rPr>
              <w:t> </w:t>
            </w:r>
            <w:r>
              <w:rPr>
                <w:w w:val="105"/>
                <w:sz w:val="16"/>
              </w:rPr>
              <w:t>in</w:t>
            </w:r>
            <w:r>
              <w:rPr>
                <w:spacing w:val="-9"/>
                <w:w w:val="105"/>
                <w:sz w:val="16"/>
              </w:rPr>
              <w:t> </w:t>
            </w:r>
            <w:r>
              <w:rPr>
                <w:w w:val="105"/>
                <w:sz w:val="16"/>
              </w:rPr>
              <w:t>segment</w:t>
            </w:r>
            <w:r>
              <w:rPr>
                <w:spacing w:val="-10"/>
                <w:w w:val="105"/>
                <w:sz w:val="16"/>
              </w:rPr>
              <w:t> </w:t>
            </w:r>
            <w:r>
              <w:rPr>
                <w:w w:val="105"/>
                <w:sz w:val="16"/>
              </w:rPr>
              <w:t>net</w:t>
            </w:r>
            <w:r>
              <w:rPr>
                <w:spacing w:val="-9"/>
                <w:w w:val="105"/>
                <w:sz w:val="16"/>
              </w:rPr>
              <w:t> </w:t>
            </w:r>
            <w:r>
              <w:rPr>
                <w:spacing w:val="-4"/>
                <w:w w:val="105"/>
                <w:sz w:val="16"/>
              </w:rPr>
              <w:t>loss</w:t>
            </w:r>
          </w:p>
        </w:tc>
        <w:tc>
          <w:tcPr>
            <w:tcW w:w="756" w:type="dxa"/>
          </w:tcPr>
          <w:p>
            <w:pPr>
              <w:pStyle w:val="TableParagraph"/>
              <w:rPr>
                <w:sz w:val="14"/>
              </w:rPr>
            </w:pPr>
          </w:p>
        </w:tc>
        <w:tc>
          <w:tcPr>
            <w:tcW w:w="532" w:type="dxa"/>
          </w:tcPr>
          <w:p>
            <w:pPr>
              <w:pStyle w:val="TableParagraph"/>
              <w:spacing w:line="180" w:lineRule="exact" w:before="3"/>
              <w:ind w:right="84"/>
              <w:jc w:val="right"/>
              <w:rPr>
                <w:b/>
                <w:sz w:val="16"/>
              </w:rPr>
            </w:pPr>
            <w:r>
              <w:rPr>
                <w:b/>
                <w:spacing w:val="-4"/>
                <w:w w:val="105"/>
                <w:sz w:val="16"/>
              </w:rPr>
              <w:t>(87)</w:t>
            </w:r>
          </w:p>
        </w:tc>
        <w:tc>
          <w:tcPr>
            <w:tcW w:w="843" w:type="dxa"/>
          </w:tcPr>
          <w:p>
            <w:pPr>
              <w:pStyle w:val="TableParagraph"/>
              <w:rPr>
                <w:sz w:val="14"/>
              </w:rPr>
            </w:pPr>
          </w:p>
        </w:tc>
        <w:tc>
          <w:tcPr>
            <w:tcW w:w="532" w:type="dxa"/>
          </w:tcPr>
          <w:p>
            <w:pPr>
              <w:pStyle w:val="TableParagraph"/>
              <w:spacing w:line="180" w:lineRule="exact" w:before="3"/>
              <w:ind w:right="83"/>
              <w:jc w:val="right"/>
              <w:rPr>
                <w:sz w:val="16"/>
              </w:rPr>
            </w:pPr>
            <w:r>
              <w:rPr>
                <w:spacing w:val="-4"/>
                <w:w w:val="105"/>
                <w:sz w:val="16"/>
              </w:rPr>
              <w:t>(22)</w:t>
            </w:r>
          </w:p>
        </w:tc>
        <w:tc>
          <w:tcPr>
            <w:tcW w:w="843" w:type="dxa"/>
          </w:tcPr>
          <w:p>
            <w:pPr>
              <w:pStyle w:val="TableParagraph"/>
              <w:rPr>
                <w:sz w:val="14"/>
              </w:rPr>
            </w:pPr>
          </w:p>
        </w:tc>
        <w:tc>
          <w:tcPr>
            <w:tcW w:w="504" w:type="dxa"/>
          </w:tcPr>
          <w:p>
            <w:pPr>
              <w:pStyle w:val="TableParagraph"/>
              <w:spacing w:line="180" w:lineRule="exact" w:before="3"/>
              <w:ind w:right="56"/>
              <w:jc w:val="right"/>
              <w:rPr>
                <w:sz w:val="16"/>
              </w:rPr>
            </w:pPr>
            <w:r>
              <w:rPr>
                <w:spacing w:val="-2"/>
                <w:w w:val="105"/>
                <w:sz w:val="16"/>
              </w:rPr>
              <w:t>(115)</w:t>
            </w:r>
          </w:p>
        </w:tc>
      </w:tr>
      <w:tr>
        <w:trPr>
          <w:trHeight w:val="203" w:hRule="atLeast"/>
        </w:trPr>
        <w:tc>
          <w:tcPr>
            <w:tcW w:w="7503" w:type="dxa"/>
            <w:shd w:val="clear" w:color="auto" w:fill="CCEDFF"/>
          </w:tcPr>
          <w:p>
            <w:pPr>
              <w:pStyle w:val="TableParagraph"/>
              <w:spacing w:line="180" w:lineRule="exact" w:before="3"/>
              <w:ind w:left="152"/>
              <w:rPr>
                <w:sz w:val="16"/>
              </w:rPr>
            </w:pPr>
            <w:r>
              <w:rPr>
                <w:w w:val="105"/>
                <w:sz w:val="16"/>
              </w:rPr>
              <w:t>Gain</w:t>
            </w:r>
            <w:r>
              <w:rPr>
                <w:spacing w:val="-10"/>
                <w:w w:val="105"/>
                <w:sz w:val="16"/>
              </w:rPr>
              <w:t> </w:t>
            </w:r>
            <w:r>
              <w:rPr>
                <w:w w:val="105"/>
                <w:sz w:val="16"/>
              </w:rPr>
              <w:t>(loss)</w:t>
            </w:r>
            <w:r>
              <w:rPr>
                <w:spacing w:val="-9"/>
                <w:w w:val="105"/>
                <w:sz w:val="16"/>
              </w:rPr>
              <w:t> </w:t>
            </w:r>
            <w:r>
              <w:rPr>
                <w:w w:val="105"/>
                <w:sz w:val="16"/>
              </w:rPr>
              <w:t>on</w:t>
            </w:r>
            <w:r>
              <w:rPr>
                <w:spacing w:val="-9"/>
                <w:w w:val="105"/>
                <w:sz w:val="16"/>
              </w:rPr>
              <w:t> </w:t>
            </w:r>
            <w:r>
              <w:rPr>
                <w:w w:val="105"/>
                <w:sz w:val="16"/>
              </w:rPr>
              <w:t>foreign</w:t>
            </w:r>
            <w:r>
              <w:rPr>
                <w:spacing w:val="-10"/>
                <w:w w:val="105"/>
                <w:sz w:val="16"/>
              </w:rPr>
              <w:t> </w:t>
            </w:r>
            <w:r>
              <w:rPr>
                <w:w w:val="105"/>
                <w:sz w:val="16"/>
              </w:rPr>
              <w:t>currency</w:t>
            </w:r>
            <w:r>
              <w:rPr>
                <w:spacing w:val="-9"/>
                <w:w w:val="105"/>
                <w:sz w:val="16"/>
              </w:rPr>
              <w:t> </w:t>
            </w:r>
            <w:r>
              <w:rPr>
                <w:w w:val="105"/>
                <w:sz w:val="16"/>
              </w:rPr>
              <w:t>hedges</w:t>
            </w:r>
            <w:r>
              <w:rPr>
                <w:spacing w:val="-9"/>
                <w:w w:val="105"/>
                <w:sz w:val="16"/>
              </w:rPr>
              <w:t> </w:t>
            </w:r>
            <w:r>
              <w:rPr>
                <w:w w:val="105"/>
                <w:sz w:val="16"/>
              </w:rPr>
              <w:t>related</w:t>
            </w:r>
            <w:r>
              <w:rPr>
                <w:spacing w:val="-9"/>
                <w:w w:val="105"/>
                <w:sz w:val="16"/>
              </w:rPr>
              <w:t> </w:t>
            </w:r>
            <w:r>
              <w:rPr>
                <w:w w:val="105"/>
                <w:sz w:val="16"/>
              </w:rPr>
              <w:t>to</w:t>
            </w:r>
            <w:r>
              <w:rPr>
                <w:spacing w:val="-10"/>
                <w:w w:val="105"/>
                <w:sz w:val="16"/>
              </w:rPr>
              <w:t> </w:t>
            </w:r>
            <w:r>
              <w:rPr>
                <w:w w:val="105"/>
                <w:sz w:val="16"/>
              </w:rPr>
              <w:t>translated</w:t>
            </w:r>
            <w:r>
              <w:rPr>
                <w:spacing w:val="-9"/>
                <w:w w:val="105"/>
                <w:sz w:val="16"/>
              </w:rPr>
              <w:t> </w:t>
            </w:r>
            <w:r>
              <w:rPr>
                <w:spacing w:val="-2"/>
                <w:w w:val="105"/>
                <w:sz w:val="16"/>
              </w:rPr>
              <w:t>earnings</w:t>
            </w:r>
          </w:p>
        </w:tc>
        <w:tc>
          <w:tcPr>
            <w:tcW w:w="756"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139"/>
              <w:jc w:val="right"/>
              <w:rPr>
                <w:b/>
                <w:sz w:val="16"/>
              </w:rPr>
            </w:pPr>
            <w:r>
              <w:rPr>
                <w:b/>
                <w:spacing w:val="-5"/>
                <w:w w:val="105"/>
                <w:sz w:val="16"/>
              </w:rPr>
              <w:t>354</w:t>
            </w:r>
          </w:p>
        </w:tc>
        <w:tc>
          <w:tcPr>
            <w:tcW w:w="843"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83"/>
              <w:jc w:val="right"/>
              <w:rPr>
                <w:sz w:val="16"/>
              </w:rPr>
            </w:pPr>
            <w:r>
              <w:rPr>
                <w:spacing w:val="-4"/>
                <w:w w:val="105"/>
                <w:sz w:val="16"/>
              </w:rPr>
              <w:t>(46)</w:t>
            </w:r>
          </w:p>
        </w:tc>
        <w:tc>
          <w:tcPr>
            <w:tcW w:w="843" w:type="dxa"/>
            <w:shd w:val="clear" w:color="auto" w:fill="CCEDFF"/>
          </w:tcPr>
          <w:p>
            <w:pPr>
              <w:pStyle w:val="TableParagraph"/>
              <w:rPr>
                <w:sz w:val="14"/>
              </w:rPr>
            </w:pPr>
          </w:p>
        </w:tc>
        <w:tc>
          <w:tcPr>
            <w:tcW w:w="504" w:type="dxa"/>
            <w:shd w:val="clear" w:color="auto" w:fill="CCEDFF"/>
          </w:tcPr>
          <w:p>
            <w:pPr>
              <w:pStyle w:val="TableParagraph"/>
              <w:spacing w:line="180" w:lineRule="exact" w:before="3"/>
              <w:ind w:left="143"/>
              <w:rPr>
                <w:sz w:val="16"/>
              </w:rPr>
            </w:pPr>
            <w:r>
              <w:rPr>
                <w:spacing w:val="-5"/>
                <w:w w:val="105"/>
                <w:sz w:val="16"/>
              </w:rPr>
              <w:t>245</w:t>
            </w:r>
          </w:p>
        </w:tc>
      </w:tr>
      <w:tr>
        <w:trPr>
          <w:trHeight w:val="203" w:hRule="atLeast"/>
        </w:trPr>
        <w:tc>
          <w:tcPr>
            <w:tcW w:w="7503" w:type="dxa"/>
          </w:tcPr>
          <w:p>
            <w:pPr>
              <w:pStyle w:val="TableParagraph"/>
              <w:spacing w:line="180" w:lineRule="exact" w:before="3"/>
              <w:ind w:left="152"/>
              <w:rPr>
                <w:sz w:val="16"/>
              </w:rPr>
            </w:pPr>
            <w:r>
              <w:rPr>
                <w:sz w:val="16"/>
              </w:rPr>
              <w:t>Translation</w:t>
            </w:r>
            <w:r>
              <w:rPr>
                <w:spacing w:val="17"/>
                <w:sz w:val="16"/>
              </w:rPr>
              <w:t> </w:t>
            </w:r>
            <w:r>
              <w:rPr>
                <w:sz w:val="16"/>
              </w:rPr>
              <w:t>gain</w:t>
            </w:r>
            <w:r>
              <w:rPr>
                <w:spacing w:val="17"/>
                <w:sz w:val="16"/>
              </w:rPr>
              <w:t> </w:t>
            </w:r>
            <w:r>
              <w:rPr>
                <w:sz w:val="16"/>
              </w:rPr>
              <w:t>(loss)</w:t>
            </w:r>
            <w:r>
              <w:rPr>
                <w:spacing w:val="17"/>
                <w:sz w:val="16"/>
              </w:rPr>
              <w:t> </w:t>
            </w:r>
            <w:r>
              <w:rPr>
                <w:sz w:val="16"/>
              </w:rPr>
              <w:t>on</w:t>
            </w:r>
            <w:r>
              <w:rPr>
                <w:spacing w:val="18"/>
                <w:sz w:val="16"/>
              </w:rPr>
              <w:t> </w:t>
            </w:r>
            <w:r>
              <w:rPr>
                <w:sz w:val="16"/>
              </w:rPr>
              <w:t>Japanese</w:t>
            </w:r>
            <w:r>
              <w:rPr>
                <w:spacing w:val="17"/>
                <w:sz w:val="16"/>
              </w:rPr>
              <w:t> </w:t>
            </w:r>
            <w:r>
              <w:rPr>
                <w:sz w:val="16"/>
              </w:rPr>
              <w:t>yen-denominated</w:t>
            </w:r>
            <w:r>
              <w:rPr>
                <w:spacing w:val="17"/>
                <w:sz w:val="16"/>
              </w:rPr>
              <w:t> </w:t>
            </w:r>
            <w:r>
              <w:rPr>
                <w:spacing w:val="-4"/>
                <w:sz w:val="16"/>
              </w:rPr>
              <w:t>debt</w:t>
            </w:r>
          </w:p>
        </w:tc>
        <w:tc>
          <w:tcPr>
            <w:tcW w:w="756" w:type="dxa"/>
          </w:tcPr>
          <w:p>
            <w:pPr>
              <w:pStyle w:val="TableParagraph"/>
              <w:rPr>
                <w:sz w:val="14"/>
              </w:rPr>
            </w:pPr>
          </w:p>
        </w:tc>
        <w:tc>
          <w:tcPr>
            <w:tcW w:w="532" w:type="dxa"/>
          </w:tcPr>
          <w:p>
            <w:pPr>
              <w:pStyle w:val="TableParagraph"/>
              <w:spacing w:line="180" w:lineRule="exact" w:before="3"/>
              <w:ind w:right="139"/>
              <w:jc w:val="right"/>
              <w:rPr>
                <w:b/>
                <w:sz w:val="16"/>
              </w:rPr>
            </w:pPr>
            <w:r>
              <w:rPr>
                <w:b/>
                <w:spacing w:val="-5"/>
                <w:w w:val="105"/>
                <w:sz w:val="16"/>
              </w:rPr>
              <w:t>180</w:t>
            </w:r>
          </w:p>
        </w:tc>
        <w:tc>
          <w:tcPr>
            <w:tcW w:w="843" w:type="dxa"/>
          </w:tcPr>
          <w:p>
            <w:pPr>
              <w:pStyle w:val="TableParagraph"/>
              <w:rPr>
                <w:sz w:val="14"/>
              </w:rPr>
            </w:pPr>
          </w:p>
        </w:tc>
        <w:tc>
          <w:tcPr>
            <w:tcW w:w="532" w:type="dxa"/>
          </w:tcPr>
          <w:p>
            <w:pPr>
              <w:pStyle w:val="TableParagraph"/>
              <w:spacing w:line="180" w:lineRule="exact" w:before="3"/>
              <w:ind w:right="83"/>
              <w:jc w:val="right"/>
              <w:rPr>
                <w:sz w:val="16"/>
              </w:rPr>
            </w:pPr>
            <w:r>
              <w:rPr>
                <w:spacing w:val="-4"/>
                <w:w w:val="105"/>
                <w:sz w:val="16"/>
              </w:rPr>
              <w:t>(86)</w:t>
            </w:r>
          </w:p>
        </w:tc>
        <w:tc>
          <w:tcPr>
            <w:tcW w:w="843" w:type="dxa"/>
          </w:tcPr>
          <w:p>
            <w:pPr>
              <w:pStyle w:val="TableParagraph"/>
              <w:rPr>
                <w:sz w:val="14"/>
              </w:rPr>
            </w:pPr>
          </w:p>
        </w:tc>
        <w:tc>
          <w:tcPr>
            <w:tcW w:w="504" w:type="dxa"/>
          </w:tcPr>
          <w:p>
            <w:pPr>
              <w:pStyle w:val="TableParagraph"/>
              <w:spacing w:line="180" w:lineRule="exact" w:before="3"/>
              <w:ind w:right="56"/>
              <w:jc w:val="right"/>
              <w:rPr>
                <w:sz w:val="16"/>
              </w:rPr>
            </w:pPr>
            <w:r>
              <w:rPr>
                <w:spacing w:val="-5"/>
                <w:w w:val="105"/>
                <w:sz w:val="16"/>
              </w:rPr>
              <w:t>(3)</w:t>
            </w:r>
          </w:p>
        </w:tc>
      </w:tr>
      <w:tr>
        <w:trPr>
          <w:trHeight w:val="203" w:hRule="atLeast"/>
        </w:trPr>
        <w:tc>
          <w:tcPr>
            <w:tcW w:w="7503" w:type="dxa"/>
            <w:shd w:val="clear" w:color="auto" w:fill="CCEDFF"/>
          </w:tcPr>
          <w:p>
            <w:pPr>
              <w:pStyle w:val="TableParagraph"/>
              <w:spacing w:line="180" w:lineRule="exact" w:before="3"/>
              <w:ind w:left="152"/>
              <w:rPr>
                <w:sz w:val="16"/>
              </w:rPr>
            </w:pPr>
            <w:r>
              <w:rPr>
                <w:w w:val="105"/>
                <w:sz w:val="16"/>
              </w:rPr>
              <w:t>Litigation,</w:t>
            </w:r>
            <w:r>
              <w:rPr>
                <w:spacing w:val="-11"/>
                <w:w w:val="105"/>
                <w:sz w:val="16"/>
              </w:rPr>
              <w:t> </w:t>
            </w:r>
            <w:r>
              <w:rPr>
                <w:w w:val="105"/>
                <w:sz w:val="16"/>
              </w:rPr>
              <w:t>regulatory</w:t>
            </w:r>
            <w:r>
              <w:rPr>
                <w:spacing w:val="-10"/>
                <w:w w:val="105"/>
                <w:sz w:val="16"/>
              </w:rPr>
              <w:t> </w:t>
            </w:r>
            <w:r>
              <w:rPr>
                <w:w w:val="105"/>
                <w:sz w:val="16"/>
              </w:rPr>
              <w:t>and</w:t>
            </w:r>
            <w:r>
              <w:rPr>
                <w:spacing w:val="-10"/>
                <w:w w:val="105"/>
                <w:sz w:val="16"/>
              </w:rPr>
              <w:t> </w:t>
            </w:r>
            <w:r>
              <w:rPr>
                <w:w w:val="105"/>
                <w:sz w:val="16"/>
              </w:rPr>
              <w:t>other</w:t>
            </w:r>
            <w:r>
              <w:rPr>
                <w:spacing w:val="-10"/>
                <w:w w:val="105"/>
                <w:sz w:val="16"/>
              </w:rPr>
              <w:t> </w:t>
            </w:r>
            <w:r>
              <w:rPr>
                <w:w w:val="105"/>
                <w:sz w:val="16"/>
              </w:rPr>
              <w:t>legal</w:t>
            </w:r>
            <w:r>
              <w:rPr>
                <w:spacing w:val="-10"/>
                <w:w w:val="105"/>
                <w:sz w:val="16"/>
              </w:rPr>
              <w:t> </w:t>
            </w:r>
            <w:r>
              <w:rPr>
                <w:spacing w:val="-2"/>
                <w:w w:val="105"/>
                <w:sz w:val="16"/>
              </w:rPr>
              <w:t>matters</w:t>
            </w:r>
          </w:p>
        </w:tc>
        <w:tc>
          <w:tcPr>
            <w:tcW w:w="756"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84"/>
              <w:jc w:val="right"/>
              <w:rPr>
                <w:b/>
                <w:sz w:val="16"/>
              </w:rPr>
            </w:pPr>
            <w:r>
              <w:rPr>
                <w:b/>
                <w:spacing w:val="-4"/>
                <w:w w:val="105"/>
                <w:sz w:val="16"/>
              </w:rPr>
              <w:t>(16)</w:t>
            </w:r>
          </w:p>
        </w:tc>
        <w:tc>
          <w:tcPr>
            <w:tcW w:w="843"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83"/>
              <w:jc w:val="right"/>
              <w:rPr>
                <w:sz w:val="16"/>
              </w:rPr>
            </w:pPr>
            <w:r>
              <w:rPr>
                <w:spacing w:val="-2"/>
                <w:w w:val="105"/>
                <w:sz w:val="16"/>
              </w:rPr>
              <w:t>(144)</w:t>
            </w:r>
          </w:p>
        </w:tc>
        <w:tc>
          <w:tcPr>
            <w:tcW w:w="843" w:type="dxa"/>
            <w:shd w:val="clear" w:color="auto" w:fill="CCEDFF"/>
          </w:tcPr>
          <w:p>
            <w:pPr>
              <w:pStyle w:val="TableParagraph"/>
              <w:rPr>
                <w:sz w:val="14"/>
              </w:rPr>
            </w:pPr>
          </w:p>
        </w:tc>
        <w:tc>
          <w:tcPr>
            <w:tcW w:w="504" w:type="dxa"/>
            <w:shd w:val="clear" w:color="auto" w:fill="CCEDFF"/>
          </w:tcPr>
          <w:p>
            <w:pPr>
              <w:pStyle w:val="TableParagraph"/>
              <w:spacing w:line="180" w:lineRule="exact" w:before="3"/>
              <w:ind w:left="226"/>
              <w:rPr>
                <w:sz w:val="16"/>
              </w:rPr>
            </w:pPr>
            <w:r>
              <w:rPr>
                <w:spacing w:val="-5"/>
                <w:w w:val="105"/>
                <w:sz w:val="16"/>
              </w:rPr>
              <w:t>17</w:t>
            </w:r>
          </w:p>
        </w:tc>
      </w:tr>
      <w:tr>
        <w:trPr>
          <w:trHeight w:val="203" w:hRule="atLeast"/>
        </w:trPr>
        <w:tc>
          <w:tcPr>
            <w:tcW w:w="7503" w:type="dxa"/>
          </w:tcPr>
          <w:p>
            <w:pPr>
              <w:pStyle w:val="TableParagraph"/>
              <w:spacing w:line="184" w:lineRule="exact"/>
              <w:ind w:left="152"/>
              <w:rPr>
                <w:sz w:val="14"/>
              </w:rPr>
            </w:pPr>
            <w:r>
              <w:rPr>
                <w:sz w:val="16"/>
              </w:rPr>
              <w:t>Research,</w:t>
            </w:r>
            <w:r>
              <w:rPr>
                <w:spacing w:val="19"/>
                <w:sz w:val="16"/>
              </w:rPr>
              <w:t> </w:t>
            </w:r>
            <w:r>
              <w:rPr>
                <w:sz w:val="16"/>
              </w:rPr>
              <w:t>development,</w:t>
            </w:r>
            <w:r>
              <w:rPr>
                <w:spacing w:val="19"/>
                <w:sz w:val="16"/>
              </w:rPr>
              <w:t> </w:t>
            </w:r>
            <w:r>
              <w:rPr>
                <w:sz w:val="16"/>
              </w:rPr>
              <w:t>and</w:t>
            </w:r>
            <w:r>
              <w:rPr>
                <w:spacing w:val="19"/>
                <w:sz w:val="16"/>
              </w:rPr>
              <w:t> </w:t>
            </w:r>
            <w:r>
              <w:rPr>
                <w:sz w:val="16"/>
              </w:rPr>
              <w:t>engineering</w:t>
            </w:r>
            <w:r>
              <w:rPr>
                <w:spacing w:val="20"/>
                <w:sz w:val="16"/>
              </w:rPr>
              <w:t> </w:t>
            </w:r>
            <w:r>
              <w:rPr>
                <w:sz w:val="16"/>
              </w:rPr>
              <w:t>expense</w:t>
            </w:r>
            <w:r>
              <w:rPr>
                <w:spacing w:val="20"/>
                <w:sz w:val="16"/>
              </w:rPr>
              <w:t> </w:t>
            </w:r>
            <w:r>
              <w:rPr>
                <w:spacing w:val="-2"/>
                <w:position w:val="3"/>
                <w:sz w:val="14"/>
              </w:rPr>
              <w:t>(2)(3)</w:t>
            </w:r>
          </w:p>
        </w:tc>
        <w:tc>
          <w:tcPr>
            <w:tcW w:w="756" w:type="dxa"/>
          </w:tcPr>
          <w:p>
            <w:pPr>
              <w:pStyle w:val="TableParagraph"/>
              <w:rPr>
                <w:sz w:val="14"/>
              </w:rPr>
            </w:pPr>
          </w:p>
        </w:tc>
        <w:tc>
          <w:tcPr>
            <w:tcW w:w="532" w:type="dxa"/>
          </w:tcPr>
          <w:p>
            <w:pPr>
              <w:pStyle w:val="TableParagraph"/>
              <w:spacing w:line="180" w:lineRule="exact" w:before="3"/>
              <w:ind w:right="84"/>
              <w:jc w:val="right"/>
              <w:rPr>
                <w:b/>
                <w:sz w:val="16"/>
              </w:rPr>
            </w:pPr>
            <w:r>
              <w:rPr>
                <w:b/>
                <w:spacing w:val="-2"/>
                <w:w w:val="105"/>
                <w:sz w:val="16"/>
              </w:rPr>
              <w:t>(149)</w:t>
            </w:r>
          </w:p>
        </w:tc>
        <w:tc>
          <w:tcPr>
            <w:tcW w:w="843" w:type="dxa"/>
          </w:tcPr>
          <w:p>
            <w:pPr>
              <w:pStyle w:val="TableParagraph"/>
              <w:rPr>
                <w:sz w:val="14"/>
              </w:rPr>
            </w:pPr>
          </w:p>
        </w:tc>
        <w:tc>
          <w:tcPr>
            <w:tcW w:w="532" w:type="dxa"/>
          </w:tcPr>
          <w:p>
            <w:pPr>
              <w:pStyle w:val="TableParagraph"/>
              <w:spacing w:line="180" w:lineRule="exact" w:before="3"/>
              <w:ind w:right="83"/>
              <w:jc w:val="right"/>
              <w:rPr>
                <w:sz w:val="16"/>
              </w:rPr>
            </w:pPr>
            <w:r>
              <w:rPr>
                <w:spacing w:val="-2"/>
                <w:w w:val="105"/>
                <w:sz w:val="16"/>
              </w:rPr>
              <w:t>(153)</w:t>
            </w:r>
          </w:p>
        </w:tc>
        <w:tc>
          <w:tcPr>
            <w:tcW w:w="843" w:type="dxa"/>
          </w:tcPr>
          <w:p>
            <w:pPr>
              <w:pStyle w:val="TableParagraph"/>
              <w:rPr>
                <w:sz w:val="14"/>
              </w:rPr>
            </w:pPr>
          </w:p>
        </w:tc>
        <w:tc>
          <w:tcPr>
            <w:tcW w:w="504" w:type="dxa"/>
          </w:tcPr>
          <w:p>
            <w:pPr>
              <w:pStyle w:val="TableParagraph"/>
              <w:spacing w:line="180" w:lineRule="exact" w:before="3"/>
              <w:ind w:right="56"/>
              <w:jc w:val="right"/>
              <w:rPr>
                <w:sz w:val="16"/>
              </w:rPr>
            </w:pPr>
            <w:r>
              <w:rPr>
                <w:spacing w:val="-2"/>
                <w:w w:val="105"/>
                <w:sz w:val="16"/>
              </w:rPr>
              <w:t>(134)</w:t>
            </w:r>
          </w:p>
        </w:tc>
      </w:tr>
      <w:tr>
        <w:trPr>
          <w:trHeight w:val="203" w:hRule="atLeast"/>
        </w:trPr>
        <w:tc>
          <w:tcPr>
            <w:tcW w:w="7503" w:type="dxa"/>
            <w:shd w:val="clear" w:color="auto" w:fill="CCEDFF"/>
          </w:tcPr>
          <w:p>
            <w:pPr>
              <w:pStyle w:val="TableParagraph"/>
              <w:spacing w:line="184" w:lineRule="exact"/>
              <w:ind w:left="152"/>
              <w:rPr>
                <w:sz w:val="14"/>
              </w:rPr>
            </w:pPr>
            <w:r>
              <w:rPr>
                <w:sz w:val="16"/>
              </w:rPr>
              <w:t>Transaction-related</w:t>
            </w:r>
            <w:r>
              <w:rPr>
                <w:spacing w:val="18"/>
                <w:sz w:val="16"/>
              </w:rPr>
              <w:t> </w:t>
            </w:r>
            <w:r>
              <w:rPr>
                <w:sz w:val="16"/>
              </w:rPr>
              <w:t>gain,</w:t>
            </w:r>
            <w:r>
              <w:rPr>
                <w:spacing w:val="19"/>
                <w:sz w:val="16"/>
              </w:rPr>
              <w:t> </w:t>
            </w:r>
            <w:r>
              <w:rPr>
                <w:sz w:val="16"/>
              </w:rPr>
              <w:t>net</w:t>
            </w:r>
            <w:r>
              <w:rPr>
                <w:spacing w:val="16"/>
                <w:sz w:val="16"/>
              </w:rPr>
              <w:t> </w:t>
            </w:r>
            <w:r>
              <w:rPr>
                <w:spacing w:val="-5"/>
                <w:position w:val="3"/>
                <w:sz w:val="14"/>
              </w:rPr>
              <w:t>(4)</w:t>
            </w:r>
          </w:p>
        </w:tc>
        <w:tc>
          <w:tcPr>
            <w:tcW w:w="756" w:type="dxa"/>
            <w:shd w:val="clear" w:color="auto" w:fill="CCEDFF"/>
          </w:tcPr>
          <w:p>
            <w:pPr>
              <w:pStyle w:val="TableParagraph"/>
              <w:rPr>
                <w:sz w:val="14"/>
              </w:rPr>
            </w:pPr>
          </w:p>
        </w:tc>
        <w:tc>
          <w:tcPr>
            <w:tcW w:w="532" w:type="dxa"/>
            <w:shd w:val="clear" w:color="auto" w:fill="CCEDFF"/>
          </w:tcPr>
          <w:p>
            <w:pPr>
              <w:pStyle w:val="TableParagraph"/>
              <w:rPr>
                <w:sz w:val="14"/>
              </w:rPr>
            </w:pPr>
          </w:p>
        </w:tc>
        <w:tc>
          <w:tcPr>
            <w:tcW w:w="843"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138"/>
              <w:jc w:val="right"/>
              <w:rPr>
                <w:sz w:val="16"/>
              </w:rPr>
            </w:pPr>
            <w:r>
              <w:rPr>
                <w:spacing w:val="-5"/>
                <w:w w:val="105"/>
                <w:sz w:val="16"/>
              </w:rPr>
              <w:t>498</w:t>
            </w:r>
          </w:p>
        </w:tc>
        <w:tc>
          <w:tcPr>
            <w:tcW w:w="843" w:type="dxa"/>
            <w:shd w:val="clear" w:color="auto" w:fill="CCEDFF"/>
          </w:tcPr>
          <w:p>
            <w:pPr>
              <w:pStyle w:val="TableParagraph"/>
              <w:rPr>
                <w:sz w:val="14"/>
              </w:rPr>
            </w:pPr>
          </w:p>
        </w:tc>
        <w:tc>
          <w:tcPr>
            <w:tcW w:w="504" w:type="dxa"/>
            <w:shd w:val="clear" w:color="auto" w:fill="CCEDFF"/>
          </w:tcPr>
          <w:p>
            <w:pPr>
              <w:pStyle w:val="TableParagraph"/>
              <w:rPr>
                <w:sz w:val="14"/>
              </w:rPr>
            </w:pPr>
          </w:p>
        </w:tc>
      </w:tr>
      <w:tr>
        <w:trPr>
          <w:trHeight w:val="203" w:hRule="atLeast"/>
        </w:trPr>
        <w:tc>
          <w:tcPr>
            <w:tcW w:w="7503" w:type="dxa"/>
          </w:tcPr>
          <w:p>
            <w:pPr>
              <w:pStyle w:val="TableParagraph"/>
              <w:spacing w:line="184" w:lineRule="exact"/>
              <w:ind w:left="152"/>
              <w:rPr>
                <w:sz w:val="14"/>
              </w:rPr>
            </w:pPr>
            <w:r>
              <w:rPr>
                <w:w w:val="105"/>
                <w:sz w:val="16"/>
              </w:rPr>
              <w:t>Equity</w:t>
            </w:r>
            <w:r>
              <w:rPr>
                <w:spacing w:val="-10"/>
                <w:w w:val="105"/>
                <w:sz w:val="16"/>
              </w:rPr>
              <w:t> </w:t>
            </w:r>
            <w:r>
              <w:rPr>
                <w:w w:val="105"/>
                <w:sz w:val="16"/>
              </w:rPr>
              <w:t>in</w:t>
            </w:r>
            <w:r>
              <w:rPr>
                <w:spacing w:val="-10"/>
                <w:w w:val="105"/>
                <w:sz w:val="16"/>
              </w:rPr>
              <w:t> </w:t>
            </w:r>
            <w:r>
              <w:rPr>
                <w:w w:val="105"/>
                <w:sz w:val="16"/>
              </w:rPr>
              <w:t>earnings</w:t>
            </w:r>
            <w:r>
              <w:rPr>
                <w:spacing w:val="-10"/>
                <w:w w:val="105"/>
                <w:sz w:val="16"/>
              </w:rPr>
              <w:t> </w:t>
            </w:r>
            <w:r>
              <w:rPr>
                <w:w w:val="105"/>
                <w:sz w:val="16"/>
              </w:rPr>
              <w:t>(losses)</w:t>
            </w:r>
            <w:r>
              <w:rPr>
                <w:spacing w:val="-10"/>
                <w:w w:val="105"/>
                <w:sz w:val="16"/>
              </w:rPr>
              <w:t> </w:t>
            </w:r>
            <w:r>
              <w:rPr>
                <w:w w:val="105"/>
                <w:sz w:val="16"/>
              </w:rPr>
              <w:t>of</w:t>
            </w:r>
            <w:r>
              <w:rPr>
                <w:spacing w:val="-10"/>
                <w:w w:val="105"/>
                <w:sz w:val="16"/>
              </w:rPr>
              <w:t> </w:t>
            </w:r>
            <w:r>
              <w:rPr>
                <w:w w:val="105"/>
                <w:sz w:val="16"/>
              </w:rPr>
              <w:t>affiliated</w:t>
            </w:r>
            <w:r>
              <w:rPr>
                <w:spacing w:val="-10"/>
                <w:w w:val="105"/>
                <w:sz w:val="16"/>
              </w:rPr>
              <w:t> </w:t>
            </w:r>
            <w:r>
              <w:rPr>
                <w:w w:val="105"/>
                <w:sz w:val="16"/>
              </w:rPr>
              <w:t>companies</w:t>
            </w:r>
            <w:r>
              <w:rPr>
                <w:spacing w:val="-10"/>
                <w:w w:val="105"/>
                <w:sz w:val="16"/>
              </w:rPr>
              <w:t> </w:t>
            </w:r>
            <w:r>
              <w:rPr>
                <w:spacing w:val="-5"/>
                <w:w w:val="105"/>
                <w:position w:val="3"/>
                <w:sz w:val="14"/>
              </w:rPr>
              <w:t>(5)</w:t>
            </w:r>
          </w:p>
        </w:tc>
        <w:tc>
          <w:tcPr>
            <w:tcW w:w="756" w:type="dxa"/>
          </w:tcPr>
          <w:p>
            <w:pPr>
              <w:pStyle w:val="TableParagraph"/>
              <w:rPr>
                <w:sz w:val="14"/>
              </w:rPr>
            </w:pPr>
          </w:p>
        </w:tc>
        <w:tc>
          <w:tcPr>
            <w:tcW w:w="532" w:type="dxa"/>
          </w:tcPr>
          <w:p>
            <w:pPr>
              <w:pStyle w:val="TableParagraph"/>
              <w:spacing w:line="180" w:lineRule="exact" w:before="3"/>
              <w:ind w:right="139"/>
              <w:jc w:val="right"/>
              <w:rPr>
                <w:b/>
                <w:sz w:val="16"/>
              </w:rPr>
            </w:pPr>
            <w:r>
              <w:rPr>
                <w:b/>
                <w:spacing w:val="-10"/>
                <w:w w:val="105"/>
                <w:sz w:val="16"/>
              </w:rPr>
              <w:t>5</w:t>
            </w:r>
          </w:p>
        </w:tc>
        <w:tc>
          <w:tcPr>
            <w:tcW w:w="843" w:type="dxa"/>
          </w:tcPr>
          <w:p>
            <w:pPr>
              <w:pStyle w:val="TableParagraph"/>
              <w:rPr>
                <w:sz w:val="14"/>
              </w:rPr>
            </w:pPr>
          </w:p>
        </w:tc>
        <w:tc>
          <w:tcPr>
            <w:tcW w:w="532" w:type="dxa"/>
          </w:tcPr>
          <w:p>
            <w:pPr>
              <w:pStyle w:val="TableParagraph"/>
              <w:spacing w:line="180" w:lineRule="exact" w:before="3"/>
              <w:ind w:right="83"/>
              <w:jc w:val="right"/>
              <w:rPr>
                <w:sz w:val="16"/>
              </w:rPr>
            </w:pPr>
            <w:r>
              <w:rPr>
                <w:spacing w:val="-4"/>
                <w:w w:val="105"/>
                <w:sz w:val="16"/>
              </w:rPr>
              <w:t>(24)</w:t>
            </w:r>
          </w:p>
        </w:tc>
        <w:tc>
          <w:tcPr>
            <w:tcW w:w="843" w:type="dxa"/>
          </w:tcPr>
          <w:p>
            <w:pPr>
              <w:pStyle w:val="TableParagraph"/>
              <w:rPr>
                <w:sz w:val="14"/>
              </w:rPr>
            </w:pPr>
          </w:p>
        </w:tc>
        <w:tc>
          <w:tcPr>
            <w:tcW w:w="504" w:type="dxa"/>
          </w:tcPr>
          <w:p>
            <w:pPr>
              <w:pStyle w:val="TableParagraph"/>
              <w:spacing w:line="180" w:lineRule="exact" w:before="3"/>
              <w:ind w:left="226"/>
              <w:rPr>
                <w:sz w:val="16"/>
              </w:rPr>
            </w:pPr>
            <w:r>
              <w:rPr>
                <w:spacing w:val="-5"/>
                <w:w w:val="105"/>
                <w:sz w:val="16"/>
              </w:rPr>
              <w:t>15</w:t>
            </w:r>
          </w:p>
        </w:tc>
      </w:tr>
      <w:tr>
        <w:trPr>
          <w:trHeight w:val="203" w:hRule="atLeast"/>
        </w:trPr>
        <w:tc>
          <w:tcPr>
            <w:tcW w:w="7503" w:type="dxa"/>
            <w:shd w:val="clear" w:color="auto" w:fill="CCEDFF"/>
          </w:tcPr>
          <w:p>
            <w:pPr>
              <w:pStyle w:val="TableParagraph"/>
              <w:spacing w:line="180" w:lineRule="exact" w:before="3"/>
              <w:ind w:left="152"/>
              <w:rPr>
                <w:sz w:val="16"/>
              </w:rPr>
            </w:pPr>
            <w:r>
              <w:rPr>
                <w:sz w:val="16"/>
              </w:rPr>
              <w:t>Amortization</w:t>
            </w:r>
            <w:r>
              <w:rPr>
                <w:spacing w:val="15"/>
                <w:sz w:val="16"/>
              </w:rPr>
              <w:t> </w:t>
            </w:r>
            <w:r>
              <w:rPr>
                <w:sz w:val="16"/>
              </w:rPr>
              <w:t>of</w:t>
            </w:r>
            <w:r>
              <w:rPr>
                <w:spacing w:val="16"/>
                <w:sz w:val="16"/>
              </w:rPr>
              <w:t> </w:t>
            </w:r>
            <w:r>
              <w:rPr>
                <w:spacing w:val="-2"/>
                <w:sz w:val="16"/>
              </w:rPr>
              <w:t>intangibles</w:t>
            </w:r>
          </w:p>
        </w:tc>
        <w:tc>
          <w:tcPr>
            <w:tcW w:w="756"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84"/>
              <w:jc w:val="right"/>
              <w:rPr>
                <w:b/>
                <w:sz w:val="16"/>
              </w:rPr>
            </w:pPr>
            <w:r>
              <w:rPr>
                <w:b/>
                <w:spacing w:val="-2"/>
                <w:w w:val="105"/>
                <w:sz w:val="16"/>
              </w:rPr>
              <w:t>(129)</w:t>
            </w:r>
          </w:p>
        </w:tc>
        <w:tc>
          <w:tcPr>
            <w:tcW w:w="843"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83"/>
              <w:jc w:val="right"/>
              <w:rPr>
                <w:sz w:val="16"/>
              </w:rPr>
            </w:pPr>
            <w:r>
              <w:rPr>
                <w:spacing w:val="-2"/>
                <w:w w:val="105"/>
                <w:sz w:val="16"/>
              </w:rPr>
              <w:t>(121)</w:t>
            </w:r>
          </w:p>
        </w:tc>
        <w:tc>
          <w:tcPr>
            <w:tcW w:w="843" w:type="dxa"/>
            <w:shd w:val="clear" w:color="auto" w:fill="CCEDFF"/>
          </w:tcPr>
          <w:p>
            <w:pPr>
              <w:pStyle w:val="TableParagraph"/>
              <w:rPr>
                <w:sz w:val="14"/>
              </w:rPr>
            </w:pPr>
          </w:p>
        </w:tc>
        <w:tc>
          <w:tcPr>
            <w:tcW w:w="504" w:type="dxa"/>
            <w:shd w:val="clear" w:color="auto" w:fill="CCEDFF"/>
          </w:tcPr>
          <w:p>
            <w:pPr>
              <w:pStyle w:val="TableParagraph"/>
              <w:spacing w:line="180" w:lineRule="exact" w:before="3"/>
              <w:ind w:right="56"/>
              <w:jc w:val="right"/>
              <w:rPr>
                <w:sz w:val="16"/>
              </w:rPr>
            </w:pPr>
            <w:r>
              <w:rPr>
                <w:spacing w:val="-2"/>
                <w:w w:val="105"/>
                <w:sz w:val="16"/>
              </w:rPr>
              <w:t>(113)</w:t>
            </w:r>
          </w:p>
        </w:tc>
      </w:tr>
      <w:tr>
        <w:trPr>
          <w:trHeight w:val="203" w:hRule="atLeast"/>
        </w:trPr>
        <w:tc>
          <w:tcPr>
            <w:tcW w:w="7503" w:type="dxa"/>
          </w:tcPr>
          <w:p>
            <w:pPr>
              <w:pStyle w:val="TableParagraph"/>
              <w:spacing w:line="180" w:lineRule="exact" w:before="3"/>
              <w:ind w:left="152"/>
              <w:rPr>
                <w:sz w:val="16"/>
              </w:rPr>
            </w:pPr>
            <w:r>
              <w:rPr>
                <w:sz w:val="16"/>
              </w:rPr>
              <w:t>Interest</w:t>
            </w:r>
            <w:r>
              <w:rPr>
                <w:spacing w:val="16"/>
                <w:sz w:val="16"/>
              </w:rPr>
              <w:t> </w:t>
            </w:r>
            <w:r>
              <w:rPr>
                <w:sz w:val="16"/>
              </w:rPr>
              <w:t>expense,</w:t>
            </w:r>
            <w:r>
              <w:rPr>
                <w:spacing w:val="17"/>
                <w:sz w:val="16"/>
              </w:rPr>
              <w:t> </w:t>
            </w:r>
            <w:r>
              <w:rPr>
                <w:spacing w:val="-5"/>
                <w:sz w:val="16"/>
              </w:rPr>
              <w:t>net</w:t>
            </w:r>
          </w:p>
        </w:tc>
        <w:tc>
          <w:tcPr>
            <w:tcW w:w="756" w:type="dxa"/>
          </w:tcPr>
          <w:p>
            <w:pPr>
              <w:pStyle w:val="TableParagraph"/>
              <w:rPr>
                <w:sz w:val="14"/>
              </w:rPr>
            </w:pPr>
          </w:p>
        </w:tc>
        <w:tc>
          <w:tcPr>
            <w:tcW w:w="532" w:type="dxa"/>
          </w:tcPr>
          <w:p>
            <w:pPr>
              <w:pStyle w:val="TableParagraph"/>
              <w:spacing w:line="180" w:lineRule="exact" w:before="3"/>
              <w:ind w:right="84"/>
              <w:jc w:val="right"/>
              <w:rPr>
                <w:b/>
                <w:sz w:val="16"/>
              </w:rPr>
            </w:pPr>
            <w:r>
              <w:rPr>
                <w:b/>
                <w:spacing w:val="-2"/>
                <w:w w:val="105"/>
                <w:sz w:val="16"/>
              </w:rPr>
              <w:t>(265)</w:t>
            </w:r>
          </w:p>
        </w:tc>
        <w:tc>
          <w:tcPr>
            <w:tcW w:w="843" w:type="dxa"/>
          </w:tcPr>
          <w:p>
            <w:pPr>
              <w:pStyle w:val="TableParagraph"/>
              <w:rPr>
                <w:sz w:val="14"/>
              </w:rPr>
            </w:pPr>
          </w:p>
        </w:tc>
        <w:tc>
          <w:tcPr>
            <w:tcW w:w="532" w:type="dxa"/>
          </w:tcPr>
          <w:p>
            <w:pPr>
              <w:pStyle w:val="TableParagraph"/>
              <w:spacing w:line="180" w:lineRule="exact" w:before="3"/>
              <w:ind w:right="83"/>
              <w:jc w:val="right"/>
              <w:rPr>
                <w:sz w:val="16"/>
              </w:rPr>
            </w:pPr>
            <w:r>
              <w:rPr>
                <w:spacing w:val="-2"/>
                <w:w w:val="105"/>
                <w:sz w:val="16"/>
              </w:rPr>
              <w:t>(261)</w:t>
            </w:r>
          </w:p>
        </w:tc>
        <w:tc>
          <w:tcPr>
            <w:tcW w:w="843" w:type="dxa"/>
          </w:tcPr>
          <w:p>
            <w:pPr>
              <w:pStyle w:val="TableParagraph"/>
              <w:rPr>
                <w:sz w:val="14"/>
              </w:rPr>
            </w:pPr>
          </w:p>
        </w:tc>
        <w:tc>
          <w:tcPr>
            <w:tcW w:w="504" w:type="dxa"/>
          </w:tcPr>
          <w:p>
            <w:pPr>
              <w:pStyle w:val="TableParagraph"/>
              <w:spacing w:line="180" w:lineRule="exact" w:before="3"/>
              <w:ind w:right="56"/>
              <w:jc w:val="right"/>
              <w:rPr>
                <w:sz w:val="16"/>
              </w:rPr>
            </w:pPr>
            <w:r>
              <w:rPr>
                <w:spacing w:val="-2"/>
                <w:w w:val="105"/>
                <w:sz w:val="16"/>
              </w:rPr>
              <w:t>(200)</w:t>
            </w:r>
          </w:p>
        </w:tc>
      </w:tr>
      <w:tr>
        <w:trPr>
          <w:trHeight w:val="203" w:hRule="atLeast"/>
        </w:trPr>
        <w:tc>
          <w:tcPr>
            <w:tcW w:w="7503" w:type="dxa"/>
            <w:shd w:val="clear" w:color="auto" w:fill="CCEDFF"/>
          </w:tcPr>
          <w:p>
            <w:pPr>
              <w:pStyle w:val="TableParagraph"/>
              <w:spacing w:line="180" w:lineRule="exact" w:before="3"/>
              <w:ind w:left="152"/>
              <w:rPr>
                <w:sz w:val="16"/>
              </w:rPr>
            </w:pPr>
            <w:r>
              <w:rPr>
                <w:w w:val="105"/>
                <w:sz w:val="16"/>
              </w:rPr>
              <w:t>Income</w:t>
            </w:r>
            <w:r>
              <w:rPr>
                <w:spacing w:val="-8"/>
                <w:w w:val="105"/>
                <w:sz w:val="16"/>
              </w:rPr>
              <w:t> </w:t>
            </w:r>
            <w:r>
              <w:rPr>
                <w:w w:val="105"/>
                <w:sz w:val="16"/>
              </w:rPr>
              <w:t>tax</w:t>
            </w:r>
            <w:r>
              <w:rPr>
                <w:spacing w:val="-8"/>
                <w:w w:val="105"/>
                <w:sz w:val="16"/>
              </w:rPr>
              <w:t> </w:t>
            </w:r>
            <w:r>
              <w:rPr>
                <w:spacing w:val="-2"/>
                <w:w w:val="105"/>
                <w:sz w:val="16"/>
              </w:rPr>
              <w:t>benefit</w:t>
            </w:r>
          </w:p>
        </w:tc>
        <w:tc>
          <w:tcPr>
            <w:tcW w:w="756"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139"/>
              <w:jc w:val="right"/>
              <w:rPr>
                <w:b/>
                <w:sz w:val="16"/>
              </w:rPr>
            </w:pPr>
            <w:r>
              <w:rPr>
                <w:b/>
                <w:spacing w:val="-5"/>
                <w:w w:val="105"/>
                <w:sz w:val="16"/>
              </w:rPr>
              <w:t>120</w:t>
            </w:r>
          </w:p>
        </w:tc>
        <w:tc>
          <w:tcPr>
            <w:tcW w:w="843"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138"/>
              <w:jc w:val="right"/>
              <w:rPr>
                <w:sz w:val="16"/>
              </w:rPr>
            </w:pPr>
            <w:r>
              <w:rPr>
                <w:spacing w:val="-5"/>
                <w:w w:val="105"/>
                <w:sz w:val="16"/>
              </w:rPr>
              <w:t>324</w:t>
            </w:r>
          </w:p>
        </w:tc>
        <w:tc>
          <w:tcPr>
            <w:tcW w:w="843" w:type="dxa"/>
            <w:shd w:val="clear" w:color="auto" w:fill="CCEDFF"/>
          </w:tcPr>
          <w:p>
            <w:pPr>
              <w:pStyle w:val="TableParagraph"/>
              <w:rPr>
                <w:sz w:val="14"/>
              </w:rPr>
            </w:pPr>
          </w:p>
        </w:tc>
        <w:tc>
          <w:tcPr>
            <w:tcW w:w="504" w:type="dxa"/>
            <w:shd w:val="clear" w:color="auto" w:fill="CCEDFF"/>
          </w:tcPr>
          <w:p>
            <w:pPr>
              <w:pStyle w:val="TableParagraph"/>
              <w:spacing w:line="180" w:lineRule="exact" w:before="3"/>
              <w:ind w:left="143"/>
              <w:rPr>
                <w:sz w:val="16"/>
              </w:rPr>
            </w:pPr>
            <w:r>
              <w:rPr>
                <w:spacing w:val="-5"/>
                <w:w w:val="105"/>
                <w:sz w:val="16"/>
              </w:rPr>
              <w:t>195</w:t>
            </w:r>
          </w:p>
        </w:tc>
      </w:tr>
      <w:tr>
        <w:trPr>
          <w:trHeight w:val="203" w:hRule="atLeast"/>
        </w:trPr>
        <w:tc>
          <w:tcPr>
            <w:tcW w:w="7503" w:type="dxa"/>
          </w:tcPr>
          <w:p>
            <w:pPr>
              <w:pStyle w:val="TableParagraph"/>
              <w:spacing w:line="180" w:lineRule="exact" w:before="3"/>
              <w:ind w:left="152"/>
              <w:rPr>
                <w:sz w:val="16"/>
              </w:rPr>
            </w:pPr>
            <w:r>
              <w:rPr>
                <w:sz w:val="16"/>
              </w:rPr>
              <w:t>Pension</w:t>
            </w:r>
            <w:r>
              <w:rPr>
                <w:spacing w:val="31"/>
                <w:sz w:val="16"/>
              </w:rPr>
              <w:t> </w:t>
            </w:r>
            <w:r>
              <w:rPr>
                <w:sz w:val="16"/>
              </w:rPr>
              <w:t>mark-to-</w:t>
            </w:r>
            <w:r>
              <w:rPr>
                <w:spacing w:val="-2"/>
                <w:sz w:val="16"/>
              </w:rPr>
              <w:t>market</w:t>
            </w:r>
          </w:p>
        </w:tc>
        <w:tc>
          <w:tcPr>
            <w:tcW w:w="756" w:type="dxa"/>
          </w:tcPr>
          <w:p>
            <w:pPr>
              <w:pStyle w:val="TableParagraph"/>
              <w:rPr>
                <w:sz w:val="14"/>
              </w:rPr>
            </w:pPr>
          </w:p>
        </w:tc>
        <w:tc>
          <w:tcPr>
            <w:tcW w:w="532" w:type="dxa"/>
          </w:tcPr>
          <w:p>
            <w:pPr>
              <w:pStyle w:val="TableParagraph"/>
              <w:spacing w:line="180" w:lineRule="exact" w:before="3"/>
              <w:ind w:right="84"/>
              <w:jc w:val="right"/>
              <w:rPr>
                <w:b/>
                <w:sz w:val="16"/>
              </w:rPr>
            </w:pPr>
            <w:r>
              <w:rPr>
                <w:b/>
                <w:spacing w:val="-4"/>
                <w:w w:val="105"/>
                <w:sz w:val="16"/>
              </w:rPr>
              <w:t>(32)</w:t>
            </w:r>
          </w:p>
        </w:tc>
        <w:tc>
          <w:tcPr>
            <w:tcW w:w="843" w:type="dxa"/>
          </w:tcPr>
          <w:p>
            <w:pPr>
              <w:pStyle w:val="TableParagraph"/>
              <w:rPr>
                <w:sz w:val="14"/>
              </w:rPr>
            </w:pPr>
          </w:p>
        </w:tc>
        <w:tc>
          <w:tcPr>
            <w:tcW w:w="532" w:type="dxa"/>
          </w:tcPr>
          <w:p>
            <w:pPr>
              <w:pStyle w:val="TableParagraph"/>
              <w:spacing w:line="180" w:lineRule="exact" w:before="3"/>
              <w:ind w:right="83"/>
              <w:jc w:val="right"/>
              <w:rPr>
                <w:sz w:val="16"/>
              </w:rPr>
            </w:pPr>
            <w:r>
              <w:rPr>
                <w:spacing w:val="-4"/>
                <w:w w:val="105"/>
                <w:sz w:val="16"/>
              </w:rPr>
              <w:t>(31)</w:t>
            </w:r>
          </w:p>
        </w:tc>
        <w:tc>
          <w:tcPr>
            <w:tcW w:w="843" w:type="dxa"/>
          </w:tcPr>
          <w:p>
            <w:pPr>
              <w:pStyle w:val="TableParagraph"/>
              <w:rPr>
                <w:sz w:val="14"/>
              </w:rPr>
            </w:pPr>
          </w:p>
        </w:tc>
        <w:tc>
          <w:tcPr>
            <w:tcW w:w="504" w:type="dxa"/>
          </w:tcPr>
          <w:p>
            <w:pPr>
              <w:pStyle w:val="TableParagraph"/>
              <w:spacing w:line="180" w:lineRule="exact" w:before="3"/>
              <w:ind w:right="56"/>
              <w:jc w:val="right"/>
              <w:rPr>
                <w:sz w:val="16"/>
              </w:rPr>
            </w:pPr>
            <w:r>
              <w:rPr>
                <w:spacing w:val="-4"/>
                <w:w w:val="105"/>
                <w:sz w:val="16"/>
              </w:rPr>
              <w:t>(95)</w:t>
            </w:r>
          </w:p>
        </w:tc>
      </w:tr>
      <w:tr>
        <w:trPr>
          <w:trHeight w:val="203" w:hRule="atLeast"/>
        </w:trPr>
        <w:tc>
          <w:tcPr>
            <w:tcW w:w="7503" w:type="dxa"/>
            <w:shd w:val="clear" w:color="auto" w:fill="CCEDFF"/>
          </w:tcPr>
          <w:p>
            <w:pPr>
              <w:pStyle w:val="TableParagraph"/>
              <w:spacing w:line="184" w:lineRule="exact"/>
              <w:ind w:left="152"/>
              <w:rPr>
                <w:sz w:val="14"/>
              </w:rPr>
            </w:pPr>
            <w:r>
              <w:rPr>
                <w:sz w:val="16"/>
              </w:rPr>
              <w:t>Cumulative</w:t>
            </w:r>
            <w:r>
              <w:rPr>
                <w:spacing w:val="16"/>
                <w:sz w:val="16"/>
              </w:rPr>
              <w:t> </w:t>
            </w:r>
            <w:r>
              <w:rPr>
                <w:sz w:val="16"/>
              </w:rPr>
              <w:t>adjustment</w:t>
            </w:r>
            <w:r>
              <w:rPr>
                <w:spacing w:val="17"/>
                <w:sz w:val="16"/>
              </w:rPr>
              <w:t> </w:t>
            </w:r>
            <w:r>
              <w:rPr>
                <w:sz w:val="16"/>
              </w:rPr>
              <w:t>related</w:t>
            </w:r>
            <w:r>
              <w:rPr>
                <w:spacing w:val="14"/>
                <w:sz w:val="16"/>
              </w:rPr>
              <w:t> </w:t>
            </w:r>
            <w:r>
              <w:rPr>
                <w:sz w:val="16"/>
              </w:rPr>
              <w:t>to</w:t>
            </w:r>
            <w:r>
              <w:rPr>
                <w:spacing w:val="17"/>
                <w:sz w:val="16"/>
              </w:rPr>
              <w:t> </w:t>
            </w:r>
            <w:r>
              <w:rPr>
                <w:sz w:val="16"/>
              </w:rPr>
              <w:t>customer</w:t>
            </w:r>
            <w:r>
              <w:rPr>
                <w:spacing w:val="17"/>
                <w:sz w:val="16"/>
              </w:rPr>
              <w:t> </w:t>
            </w:r>
            <w:r>
              <w:rPr>
                <w:sz w:val="16"/>
              </w:rPr>
              <w:t>contract</w:t>
            </w:r>
            <w:r>
              <w:rPr>
                <w:spacing w:val="14"/>
                <w:sz w:val="16"/>
              </w:rPr>
              <w:t> </w:t>
            </w:r>
            <w:r>
              <w:rPr>
                <w:spacing w:val="-5"/>
                <w:position w:val="3"/>
                <w:sz w:val="14"/>
              </w:rPr>
              <w:t>(6)</w:t>
            </w:r>
          </w:p>
        </w:tc>
        <w:tc>
          <w:tcPr>
            <w:tcW w:w="756" w:type="dxa"/>
            <w:shd w:val="clear" w:color="auto" w:fill="CCEDFF"/>
          </w:tcPr>
          <w:p>
            <w:pPr>
              <w:pStyle w:val="TableParagraph"/>
              <w:rPr>
                <w:sz w:val="14"/>
              </w:rPr>
            </w:pPr>
          </w:p>
        </w:tc>
        <w:tc>
          <w:tcPr>
            <w:tcW w:w="532" w:type="dxa"/>
            <w:shd w:val="clear" w:color="auto" w:fill="CCEDFF"/>
          </w:tcPr>
          <w:p>
            <w:pPr>
              <w:pStyle w:val="TableParagraph"/>
              <w:rPr>
                <w:sz w:val="14"/>
              </w:rPr>
            </w:pPr>
          </w:p>
        </w:tc>
        <w:tc>
          <w:tcPr>
            <w:tcW w:w="843"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83"/>
              <w:jc w:val="right"/>
              <w:rPr>
                <w:sz w:val="16"/>
              </w:rPr>
            </w:pPr>
            <w:r>
              <w:rPr>
                <w:spacing w:val="-2"/>
                <w:w w:val="105"/>
                <w:sz w:val="16"/>
              </w:rPr>
              <w:t>(105)</w:t>
            </w:r>
          </w:p>
        </w:tc>
        <w:tc>
          <w:tcPr>
            <w:tcW w:w="843" w:type="dxa"/>
            <w:shd w:val="clear" w:color="auto" w:fill="CCEDFF"/>
          </w:tcPr>
          <w:p>
            <w:pPr>
              <w:pStyle w:val="TableParagraph"/>
              <w:rPr>
                <w:sz w:val="14"/>
              </w:rPr>
            </w:pPr>
          </w:p>
        </w:tc>
        <w:tc>
          <w:tcPr>
            <w:tcW w:w="504" w:type="dxa"/>
            <w:shd w:val="clear" w:color="auto" w:fill="CCEDFF"/>
          </w:tcPr>
          <w:p>
            <w:pPr>
              <w:pStyle w:val="TableParagraph"/>
              <w:rPr>
                <w:sz w:val="14"/>
              </w:rPr>
            </w:pPr>
          </w:p>
        </w:tc>
      </w:tr>
      <w:tr>
        <w:trPr>
          <w:trHeight w:val="203" w:hRule="atLeast"/>
        </w:trPr>
        <w:tc>
          <w:tcPr>
            <w:tcW w:w="7503" w:type="dxa"/>
          </w:tcPr>
          <w:p>
            <w:pPr>
              <w:pStyle w:val="TableParagraph"/>
              <w:spacing w:line="184" w:lineRule="exact"/>
              <w:ind w:left="152"/>
              <w:rPr>
                <w:sz w:val="14"/>
              </w:rPr>
            </w:pPr>
            <w:r>
              <w:rPr>
                <w:sz w:val="16"/>
              </w:rPr>
              <w:t>Severance</w:t>
            </w:r>
            <w:r>
              <w:rPr>
                <w:spacing w:val="15"/>
                <w:sz w:val="16"/>
              </w:rPr>
              <w:t> </w:t>
            </w:r>
            <w:r>
              <w:rPr>
                <w:sz w:val="16"/>
              </w:rPr>
              <w:t>charges</w:t>
            </w:r>
            <w:r>
              <w:rPr>
                <w:spacing w:val="16"/>
                <w:sz w:val="16"/>
              </w:rPr>
              <w:t> </w:t>
            </w:r>
            <w:r>
              <w:rPr>
                <w:spacing w:val="-5"/>
                <w:position w:val="3"/>
                <w:sz w:val="14"/>
              </w:rPr>
              <w:t>(3)</w:t>
            </w:r>
          </w:p>
        </w:tc>
        <w:tc>
          <w:tcPr>
            <w:tcW w:w="756" w:type="dxa"/>
          </w:tcPr>
          <w:p>
            <w:pPr>
              <w:pStyle w:val="TableParagraph"/>
              <w:rPr>
                <w:sz w:val="14"/>
              </w:rPr>
            </w:pPr>
          </w:p>
        </w:tc>
        <w:tc>
          <w:tcPr>
            <w:tcW w:w="532" w:type="dxa"/>
          </w:tcPr>
          <w:p>
            <w:pPr>
              <w:pStyle w:val="TableParagraph"/>
              <w:spacing w:line="180" w:lineRule="exact" w:before="3"/>
              <w:ind w:right="139"/>
              <w:jc w:val="right"/>
              <w:rPr>
                <w:b/>
                <w:sz w:val="16"/>
              </w:rPr>
            </w:pPr>
            <w:r>
              <w:rPr>
                <w:b/>
                <w:spacing w:val="-5"/>
                <w:w w:val="105"/>
                <w:sz w:val="16"/>
              </w:rPr>
              <w:t>13</w:t>
            </w:r>
          </w:p>
        </w:tc>
        <w:tc>
          <w:tcPr>
            <w:tcW w:w="843" w:type="dxa"/>
          </w:tcPr>
          <w:p>
            <w:pPr>
              <w:pStyle w:val="TableParagraph"/>
              <w:rPr>
                <w:sz w:val="14"/>
              </w:rPr>
            </w:pPr>
          </w:p>
        </w:tc>
        <w:tc>
          <w:tcPr>
            <w:tcW w:w="532" w:type="dxa"/>
          </w:tcPr>
          <w:p>
            <w:pPr>
              <w:pStyle w:val="TableParagraph"/>
              <w:spacing w:line="180" w:lineRule="exact" w:before="3"/>
              <w:ind w:right="83"/>
              <w:jc w:val="right"/>
              <w:rPr>
                <w:sz w:val="16"/>
              </w:rPr>
            </w:pPr>
            <w:r>
              <w:rPr>
                <w:spacing w:val="-2"/>
                <w:w w:val="105"/>
                <w:sz w:val="16"/>
              </w:rPr>
              <w:t>(148)</w:t>
            </w:r>
          </w:p>
        </w:tc>
        <w:tc>
          <w:tcPr>
            <w:tcW w:w="843" w:type="dxa"/>
          </w:tcPr>
          <w:p>
            <w:pPr>
              <w:pStyle w:val="TableParagraph"/>
              <w:rPr>
                <w:sz w:val="14"/>
              </w:rPr>
            </w:pPr>
          </w:p>
        </w:tc>
        <w:tc>
          <w:tcPr>
            <w:tcW w:w="504" w:type="dxa"/>
          </w:tcPr>
          <w:p>
            <w:pPr>
              <w:pStyle w:val="TableParagraph"/>
              <w:spacing w:line="180" w:lineRule="exact" w:before="3"/>
              <w:ind w:right="56"/>
              <w:jc w:val="right"/>
              <w:rPr>
                <w:sz w:val="16"/>
              </w:rPr>
            </w:pPr>
            <w:r>
              <w:rPr>
                <w:spacing w:val="-4"/>
                <w:w w:val="105"/>
                <w:sz w:val="16"/>
              </w:rPr>
              <w:t>(63)</w:t>
            </w:r>
          </w:p>
        </w:tc>
      </w:tr>
      <w:tr>
        <w:trPr>
          <w:trHeight w:val="203" w:hRule="atLeast"/>
        </w:trPr>
        <w:tc>
          <w:tcPr>
            <w:tcW w:w="7503" w:type="dxa"/>
            <w:shd w:val="clear" w:color="auto" w:fill="CCEDFF"/>
          </w:tcPr>
          <w:p>
            <w:pPr>
              <w:pStyle w:val="TableParagraph"/>
              <w:spacing w:line="184" w:lineRule="exact"/>
              <w:ind w:left="152"/>
              <w:rPr>
                <w:sz w:val="14"/>
              </w:rPr>
            </w:pPr>
            <w:r>
              <w:rPr>
                <w:sz w:val="16"/>
              </w:rPr>
              <w:t>Asset</w:t>
            </w:r>
            <w:r>
              <w:rPr>
                <w:spacing w:val="17"/>
                <w:sz w:val="16"/>
              </w:rPr>
              <w:t> </w:t>
            </w:r>
            <w:r>
              <w:rPr>
                <w:sz w:val="16"/>
              </w:rPr>
              <w:t>impairment</w:t>
            </w:r>
            <w:r>
              <w:rPr>
                <w:spacing w:val="18"/>
                <w:sz w:val="16"/>
              </w:rPr>
              <w:t> </w:t>
            </w:r>
            <w:r>
              <w:rPr>
                <w:spacing w:val="-5"/>
                <w:position w:val="3"/>
                <w:sz w:val="14"/>
              </w:rPr>
              <w:t>(3)</w:t>
            </w:r>
          </w:p>
        </w:tc>
        <w:tc>
          <w:tcPr>
            <w:tcW w:w="756" w:type="dxa"/>
            <w:shd w:val="clear" w:color="auto" w:fill="CCEDFF"/>
          </w:tcPr>
          <w:p>
            <w:pPr>
              <w:pStyle w:val="TableParagraph"/>
              <w:rPr>
                <w:sz w:val="14"/>
              </w:rPr>
            </w:pPr>
          </w:p>
        </w:tc>
        <w:tc>
          <w:tcPr>
            <w:tcW w:w="532" w:type="dxa"/>
            <w:shd w:val="clear" w:color="auto" w:fill="CCEDFF"/>
          </w:tcPr>
          <w:p>
            <w:pPr>
              <w:pStyle w:val="TableParagraph"/>
              <w:rPr>
                <w:sz w:val="14"/>
              </w:rPr>
            </w:pPr>
          </w:p>
        </w:tc>
        <w:tc>
          <w:tcPr>
            <w:tcW w:w="843"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83"/>
              <w:jc w:val="right"/>
              <w:rPr>
                <w:sz w:val="16"/>
              </w:rPr>
            </w:pPr>
            <w:r>
              <w:rPr>
                <w:spacing w:val="-2"/>
                <w:w w:val="105"/>
                <w:sz w:val="16"/>
              </w:rPr>
              <w:t>(217)</w:t>
            </w:r>
          </w:p>
        </w:tc>
        <w:tc>
          <w:tcPr>
            <w:tcW w:w="843" w:type="dxa"/>
            <w:shd w:val="clear" w:color="auto" w:fill="CCEDFF"/>
          </w:tcPr>
          <w:p>
            <w:pPr>
              <w:pStyle w:val="TableParagraph"/>
              <w:rPr>
                <w:sz w:val="14"/>
              </w:rPr>
            </w:pPr>
          </w:p>
        </w:tc>
        <w:tc>
          <w:tcPr>
            <w:tcW w:w="504" w:type="dxa"/>
            <w:shd w:val="clear" w:color="auto" w:fill="CCEDFF"/>
          </w:tcPr>
          <w:p>
            <w:pPr>
              <w:pStyle w:val="TableParagraph"/>
              <w:rPr>
                <w:sz w:val="14"/>
              </w:rPr>
            </w:pPr>
          </w:p>
        </w:tc>
      </w:tr>
      <w:tr>
        <w:trPr>
          <w:trHeight w:val="203" w:hRule="atLeast"/>
        </w:trPr>
        <w:tc>
          <w:tcPr>
            <w:tcW w:w="7503" w:type="dxa"/>
          </w:tcPr>
          <w:p>
            <w:pPr>
              <w:pStyle w:val="TableParagraph"/>
              <w:spacing w:line="184" w:lineRule="exact"/>
              <w:ind w:left="152"/>
              <w:rPr>
                <w:sz w:val="14"/>
              </w:rPr>
            </w:pPr>
            <w:r>
              <w:rPr>
                <w:w w:val="105"/>
                <w:sz w:val="16"/>
              </w:rPr>
              <w:t>Capacity</w:t>
            </w:r>
            <w:r>
              <w:rPr>
                <w:spacing w:val="-11"/>
                <w:w w:val="105"/>
                <w:sz w:val="16"/>
              </w:rPr>
              <w:t> </w:t>
            </w:r>
            <w:r>
              <w:rPr>
                <w:w w:val="105"/>
                <w:sz w:val="16"/>
              </w:rPr>
              <w:t>realignment</w:t>
            </w:r>
            <w:r>
              <w:rPr>
                <w:spacing w:val="-10"/>
                <w:w w:val="105"/>
                <w:sz w:val="16"/>
              </w:rPr>
              <w:t> </w:t>
            </w:r>
            <w:r>
              <w:rPr>
                <w:w w:val="105"/>
                <w:sz w:val="16"/>
              </w:rPr>
              <w:t>and</w:t>
            </w:r>
            <w:r>
              <w:rPr>
                <w:spacing w:val="-11"/>
                <w:w w:val="105"/>
                <w:sz w:val="16"/>
              </w:rPr>
              <w:t> </w:t>
            </w:r>
            <w:r>
              <w:rPr>
                <w:w w:val="105"/>
                <w:sz w:val="16"/>
              </w:rPr>
              <w:t>other</w:t>
            </w:r>
            <w:r>
              <w:rPr>
                <w:spacing w:val="-10"/>
                <w:w w:val="105"/>
                <w:sz w:val="16"/>
              </w:rPr>
              <w:t> </w:t>
            </w:r>
            <w:r>
              <w:rPr>
                <w:w w:val="105"/>
                <w:sz w:val="16"/>
              </w:rPr>
              <w:t>charges</w:t>
            </w:r>
            <w:r>
              <w:rPr>
                <w:spacing w:val="-10"/>
                <w:w w:val="105"/>
                <w:sz w:val="16"/>
              </w:rPr>
              <w:t> </w:t>
            </w:r>
            <w:r>
              <w:rPr>
                <w:w w:val="105"/>
                <w:sz w:val="16"/>
              </w:rPr>
              <w:t>and</w:t>
            </w:r>
            <w:r>
              <w:rPr>
                <w:spacing w:val="-10"/>
                <w:w w:val="105"/>
                <w:sz w:val="16"/>
              </w:rPr>
              <w:t> </w:t>
            </w:r>
            <w:r>
              <w:rPr>
                <w:w w:val="105"/>
                <w:sz w:val="16"/>
              </w:rPr>
              <w:t>credits</w:t>
            </w:r>
            <w:r>
              <w:rPr>
                <w:spacing w:val="-10"/>
                <w:w w:val="105"/>
                <w:sz w:val="16"/>
              </w:rPr>
              <w:t> </w:t>
            </w:r>
            <w:r>
              <w:rPr>
                <w:spacing w:val="-5"/>
                <w:w w:val="105"/>
                <w:position w:val="3"/>
                <w:sz w:val="14"/>
              </w:rPr>
              <w:t>(3)</w:t>
            </w:r>
          </w:p>
        </w:tc>
        <w:tc>
          <w:tcPr>
            <w:tcW w:w="756" w:type="dxa"/>
          </w:tcPr>
          <w:p>
            <w:pPr>
              <w:pStyle w:val="TableParagraph"/>
              <w:rPr>
                <w:sz w:val="14"/>
              </w:rPr>
            </w:pPr>
          </w:p>
        </w:tc>
        <w:tc>
          <w:tcPr>
            <w:tcW w:w="532" w:type="dxa"/>
          </w:tcPr>
          <w:p>
            <w:pPr>
              <w:pStyle w:val="TableParagraph"/>
              <w:spacing w:line="180" w:lineRule="exact" w:before="3"/>
              <w:ind w:right="84"/>
              <w:jc w:val="right"/>
              <w:rPr>
                <w:b/>
                <w:sz w:val="16"/>
              </w:rPr>
            </w:pPr>
            <w:r>
              <w:rPr>
                <w:b/>
                <w:spacing w:val="-2"/>
                <w:w w:val="105"/>
                <w:sz w:val="16"/>
              </w:rPr>
              <w:t>(123)</w:t>
            </w:r>
          </w:p>
        </w:tc>
        <w:tc>
          <w:tcPr>
            <w:tcW w:w="843" w:type="dxa"/>
          </w:tcPr>
          <w:p>
            <w:pPr>
              <w:pStyle w:val="TableParagraph"/>
              <w:rPr>
                <w:sz w:val="14"/>
              </w:rPr>
            </w:pPr>
          </w:p>
        </w:tc>
        <w:tc>
          <w:tcPr>
            <w:tcW w:w="532" w:type="dxa"/>
          </w:tcPr>
          <w:p>
            <w:pPr>
              <w:pStyle w:val="TableParagraph"/>
              <w:spacing w:line="180" w:lineRule="exact" w:before="3"/>
              <w:ind w:right="83"/>
              <w:jc w:val="right"/>
              <w:rPr>
                <w:sz w:val="16"/>
              </w:rPr>
            </w:pPr>
            <w:r>
              <w:rPr>
                <w:spacing w:val="-2"/>
                <w:w w:val="105"/>
                <w:sz w:val="16"/>
              </w:rPr>
              <w:t>(462)</w:t>
            </w:r>
          </w:p>
        </w:tc>
        <w:tc>
          <w:tcPr>
            <w:tcW w:w="843" w:type="dxa"/>
          </w:tcPr>
          <w:p>
            <w:pPr>
              <w:pStyle w:val="TableParagraph"/>
              <w:rPr>
                <w:sz w:val="14"/>
              </w:rPr>
            </w:pPr>
          </w:p>
        </w:tc>
        <w:tc>
          <w:tcPr>
            <w:tcW w:w="504" w:type="dxa"/>
          </w:tcPr>
          <w:p>
            <w:pPr>
              <w:pStyle w:val="TableParagraph"/>
              <w:spacing w:line="180" w:lineRule="exact" w:before="3"/>
              <w:ind w:right="56"/>
              <w:jc w:val="right"/>
              <w:rPr>
                <w:sz w:val="16"/>
              </w:rPr>
            </w:pPr>
            <w:r>
              <w:rPr>
                <w:spacing w:val="-2"/>
                <w:w w:val="105"/>
                <w:sz w:val="16"/>
              </w:rPr>
              <w:t>(376)</w:t>
            </w:r>
          </w:p>
        </w:tc>
      </w:tr>
      <w:tr>
        <w:trPr>
          <w:trHeight w:val="203" w:hRule="atLeast"/>
        </w:trPr>
        <w:tc>
          <w:tcPr>
            <w:tcW w:w="7503" w:type="dxa"/>
            <w:shd w:val="clear" w:color="auto" w:fill="CCEDFF"/>
          </w:tcPr>
          <w:p>
            <w:pPr>
              <w:pStyle w:val="TableParagraph"/>
              <w:spacing w:line="184" w:lineRule="exact"/>
              <w:ind w:left="152"/>
              <w:rPr>
                <w:sz w:val="14"/>
              </w:rPr>
            </w:pPr>
            <w:r>
              <w:rPr>
                <w:sz w:val="16"/>
              </w:rPr>
              <w:t>Bond</w:t>
            </w:r>
            <w:r>
              <w:rPr>
                <w:spacing w:val="13"/>
                <w:sz w:val="16"/>
              </w:rPr>
              <w:t> </w:t>
            </w:r>
            <w:r>
              <w:rPr>
                <w:sz w:val="16"/>
              </w:rPr>
              <w:t>redemption</w:t>
            </w:r>
            <w:r>
              <w:rPr>
                <w:spacing w:val="13"/>
                <w:sz w:val="16"/>
              </w:rPr>
              <w:t> </w:t>
            </w:r>
            <w:r>
              <w:rPr>
                <w:sz w:val="16"/>
              </w:rPr>
              <w:t>loss</w:t>
            </w:r>
            <w:r>
              <w:rPr>
                <w:spacing w:val="14"/>
                <w:sz w:val="16"/>
              </w:rPr>
              <w:t> </w:t>
            </w:r>
            <w:r>
              <w:rPr>
                <w:spacing w:val="-5"/>
                <w:position w:val="3"/>
                <w:sz w:val="14"/>
              </w:rPr>
              <w:t>(7)</w:t>
            </w:r>
          </w:p>
        </w:tc>
        <w:tc>
          <w:tcPr>
            <w:tcW w:w="756"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84"/>
              <w:jc w:val="right"/>
              <w:rPr>
                <w:b/>
                <w:sz w:val="16"/>
              </w:rPr>
            </w:pPr>
            <w:r>
              <w:rPr>
                <w:b/>
                <w:spacing w:val="-4"/>
                <w:w w:val="105"/>
                <w:sz w:val="16"/>
              </w:rPr>
              <w:t>(31)</w:t>
            </w:r>
          </w:p>
        </w:tc>
        <w:tc>
          <w:tcPr>
            <w:tcW w:w="843"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83"/>
              <w:jc w:val="right"/>
              <w:rPr>
                <w:sz w:val="16"/>
              </w:rPr>
            </w:pPr>
            <w:r>
              <w:rPr>
                <w:spacing w:val="-4"/>
                <w:w w:val="105"/>
                <w:sz w:val="16"/>
              </w:rPr>
              <w:t>(22)</w:t>
            </w:r>
          </w:p>
        </w:tc>
        <w:tc>
          <w:tcPr>
            <w:tcW w:w="843" w:type="dxa"/>
            <w:shd w:val="clear" w:color="auto" w:fill="CCEDFF"/>
          </w:tcPr>
          <w:p>
            <w:pPr>
              <w:pStyle w:val="TableParagraph"/>
              <w:rPr>
                <w:sz w:val="14"/>
              </w:rPr>
            </w:pPr>
          </w:p>
        </w:tc>
        <w:tc>
          <w:tcPr>
            <w:tcW w:w="504" w:type="dxa"/>
            <w:shd w:val="clear" w:color="auto" w:fill="CCEDFF"/>
          </w:tcPr>
          <w:p>
            <w:pPr>
              <w:pStyle w:val="TableParagraph"/>
              <w:rPr>
                <w:sz w:val="14"/>
              </w:rPr>
            </w:pPr>
          </w:p>
        </w:tc>
      </w:tr>
      <w:tr>
        <w:trPr>
          <w:trHeight w:val="203" w:hRule="atLeast"/>
        </w:trPr>
        <w:tc>
          <w:tcPr>
            <w:tcW w:w="7503" w:type="dxa"/>
          </w:tcPr>
          <w:p>
            <w:pPr>
              <w:pStyle w:val="TableParagraph"/>
              <w:spacing w:line="184" w:lineRule="exact"/>
              <w:ind w:left="152"/>
              <w:rPr>
                <w:sz w:val="14"/>
              </w:rPr>
            </w:pPr>
            <w:r>
              <w:rPr>
                <w:sz w:val="16"/>
              </w:rPr>
              <w:t>(Loss)</w:t>
            </w:r>
            <w:r>
              <w:rPr>
                <w:spacing w:val="12"/>
                <w:sz w:val="16"/>
              </w:rPr>
              <w:t> </w:t>
            </w:r>
            <w:r>
              <w:rPr>
                <w:sz w:val="16"/>
              </w:rPr>
              <w:t>gain</w:t>
            </w:r>
            <w:r>
              <w:rPr>
                <w:spacing w:val="13"/>
                <w:sz w:val="16"/>
              </w:rPr>
              <w:t> </w:t>
            </w:r>
            <w:r>
              <w:rPr>
                <w:sz w:val="16"/>
              </w:rPr>
              <w:t>on</w:t>
            </w:r>
            <w:r>
              <w:rPr>
                <w:spacing w:val="12"/>
                <w:sz w:val="16"/>
              </w:rPr>
              <w:t> </w:t>
            </w:r>
            <w:r>
              <w:rPr>
                <w:sz w:val="16"/>
              </w:rPr>
              <w:t>investment</w:t>
            </w:r>
            <w:r>
              <w:rPr>
                <w:spacing w:val="14"/>
                <w:sz w:val="16"/>
              </w:rPr>
              <w:t> </w:t>
            </w:r>
            <w:r>
              <w:rPr>
                <w:spacing w:val="-5"/>
                <w:position w:val="3"/>
                <w:sz w:val="14"/>
              </w:rPr>
              <w:t>(8)</w:t>
            </w:r>
          </w:p>
        </w:tc>
        <w:tc>
          <w:tcPr>
            <w:tcW w:w="756" w:type="dxa"/>
          </w:tcPr>
          <w:p>
            <w:pPr>
              <w:pStyle w:val="TableParagraph"/>
              <w:rPr>
                <w:sz w:val="14"/>
              </w:rPr>
            </w:pPr>
          </w:p>
        </w:tc>
        <w:tc>
          <w:tcPr>
            <w:tcW w:w="532" w:type="dxa"/>
          </w:tcPr>
          <w:p>
            <w:pPr>
              <w:pStyle w:val="TableParagraph"/>
              <w:spacing w:line="180" w:lineRule="exact" w:before="3"/>
              <w:ind w:right="84"/>
              <w:jc w:val="right"/>
              <w:rPr>
                <w:b/>
                <w:sz w:val="16"/>
              </w:rPr>
            </w:pPr>
            <w:r>
              <w:rPr>
                <w:b/>
                <w:spacing w:val="-4"/>
                <w:w w:val="105"/>
                <w:sz w:val="16"/>
              </w:rPr>
              <w:t>(23)</w:t>
            </w:r>
          </w:p>
        </w:tc>
        <w:tc>
          <w:tcPr>
            <w:tcW w:w="843" w:type="dxa"/>
          </w:tcPr>
          <w:p>
            <w:pPr>
              <w:pStyle w:val="TableParagraph"/>
              <w:rPr>
                <w:sz w:val="14"/>
              </w:rPr>
            </w:pPr>
          </w:p>
        </w:tc>
        <w:tc>
          <w:tcPr>
            <w:tcW w:w="532" w:type="dxa"/>
          </w:tcPr>
          <w:p>
            <w:pPr>
              <w:pStyle w:val="TableParagraph"/>
              <w:spacing w:line="180" w:lineRule="exact" w:before="3"/>
              <w:ind w:right="138"/>
              <w:jc w:val="right"/>
              <w:rPr>
                <w:sz w:val="16"/>
              </w:rPr>
            </w:pPr>
            <w:r>
              <w:rPr>
                <w:spacing w:val="-5"/>
                <w:w w:val="105"/>
                <w:sz w:val="16"/>
              </w:rPr>
              <w:t>107</w:t>
            </w:r>
          </w:p>
        </w:tc>
        <w:tc>
          <w:tcPr>
            <w:tcW w:w="843" w:type="dxa"/>
          </w:tcPr>
          <w:p>
            <w:pPr>
              <w:pStyle w:val="TableParagraph"/>
              <w:rPr>
                <w:sz w:val="14"/>
              </w:rPr>
            </w:pPr>
          </w:p>
        </w:tc>
        <w:tc>
          <w:tcPr>
            <w:tcW w:w="504" w:type="dxa"/>
          </w:tcPr>
          <w:p>
            <w:pPr>
              <w:pStyle w:val="TableParagraph"/>
              <w:rPr>
                <w:sz w:val="14"/>
              </w:rPr>
            </w:pPr>
          </w:p>
        </w:tc>
      </w:tr>
      <w:tr>
        <w:trPr>
          <w:trHeight w:val="203" w:hRule="atLeast"/>
        </w:trPr>
        <w:tc>
          <w:tcPr>
            <w:tcW w:w="7503" w:type="dxa"/>
            <w:shd w:val="clear" w:color="auto" w:fill="CCEDFF"/>
          </w:tcPr>
          <w:p>
            <w:pPr>
              <w:pStyle w:val="TableParagraph"/>
              <w:spacing w:line="180" w:lineRule="exact" w:before="3"/>
              <w:ind w:left="152"/>
              <w:rPr>
                <w:sz w:val="16"/>
              </w:rPr>
            </w:pPr>
            <w:r>
              <w:rPr>
                <w:w w:val="105"/>
                <w:sz w:val="16"/>
              </w:rPr>
              <w:t>Gain</w:t>
            </w:r>
            <w:r>
              <w:rPr>
                <w:spacing w:val="-6"/>
                <w:w w:val="105"/>
                <w:sz w:val="16"/>
              </w:rPr>
              <w:t> </w:t>
            </w:r>
            <w:r>
              <w:rPr>
                <w:w w:val="105"/>
                <w:sz w:val="16"/>
              </w:rPr>
              <w:t>on</w:t>
            </w:r>
            <w:r>
              <w:rPr>
                <w:spacing w:val="-5"/>
                <w:w w:val="105"/>
                <w:sz w:val="16"/>
              </w:rPr>
              <w:t> </w:t>
            </w:r>
            <w:r>
              <w:rPr>
                <w:w w:val="105"/>
                <w:sz w:val="16"/>
              </w:rPr>
              <w:t>sale</w:t>
            </w:r>
            <w:r>
              <w:rPr>
                <w:spacing w:val="-5"/>
                <w:w w:val="105"/>
                <w:sz w:val="16"/>
              </w:rPr>
              <w:t> </w:t>
            </w:r>
            <w:r>
              <w:rPr>
                <w:w w:val="105"/>
                <w:sz w:val="16"/>
              </w:rPr>
              <w:t>of</w:t>
            </w:r>
            <w:r>
              <w:rPr>
                <w:spacing w:val="-6"/>
                <w:w w:val="105"/>
                <w:sz w:val="16"/>
              </w:rPr>
              <w:t> </w:t>
            </w:r>
            <w:r>
              <w:rPr>
                <w:spacing w:val="-2"/>
                <w:w w:val="105"/>
                <w:sz w:val="16"/>
              </w:rPr>
              <w:t>business</w:t>
            </w:r>
          </w:p>
        </w:tc>
        <w:tc>
          <w:tcPr>
            <w:tcW w:w="756" w:type="dxa"/>
            <w:shd w:val="clear" w:color="auto" w:fill="CCEDFF"/>
          </w:tcPr>
          <w:p>
            <w:pPr>
              <w:pStyle w:val="TableParagraph"/>
              <w:rPr>
                <w:sz w:val="14"/>
              </w:rPr>
            </w:pPr>
          </w:p>
        </w:tc>
        <w:tc>
          <w:tcPr>
            <w:tcW w:w="532" w:type="dxa"/>
            <w:shd w:val="clear" w:color="auto" w:fill="CCEDFF"/>
          </w:tcPr>
          <w:p>
            <w:pPr>
              <w:pStyle w:val="TableParagraph"/>
              <w:spacing w:line="180" w:lineRule="exact" w:before="3"/>
              <w:ind w:right="139"/>
              <w:jc w:val="right"/>
              <w:rPr>
                <w:b/>
                <w:sz w:val="16"/>
              </w:rPr>
            </w:pPr>
            <w:r>
              <w:rPr>
                <w:b/>
                <w:spacing w:val="-5"/>
                <w:w w:val="105"/>
                <w:sz w:val="16"/>
              </w:rPr>
              <w:t>54</w:t>
            </w:r>
          </w:p>
        </w:tc>
        <w:tc>
          <w:tcPr>
            <w:tcW w:w="843" w:type="dxa"/>
            <w:shd w:val="clear" w:color="auto" w:fill="CCEDFF"/>
          </w:tcPr>
          <w:p>
            <w:pPr>
              <w:pStyle w:val="TableParagraph"/>
              <w:rPr>
                <w:sz w:val="14"/>
              </w:rPr>
            </w:pPr>
          </w:p>
        </w:tc>
        <w:tc>
          <w:tcPr>
            <w:tcW w:w="532" w:type="dxa"/>
            <w:shd w:val="clear" w:color="auto" w:fill="CCEDFF"/>
          </w:tcPr>
          <w:p>
            <w:pPr>
              <w:pStyle w:val="TableParagraph"/>
              <w:rPr>
                <w:sz w:val="14"/>
              </w:rPr>
            </w:pPr>
          </w:p>
        </w:tc>
        <w:tc>
          <w:tcPr>
            <w:tcW w:w="843" w:type="dxa"/>
            <w:shd w:val="clear" w:color="auto" w:fill="CCEDFF"/>
          </w:tcPr>
          <w:p>
            <w:pPr>
              <w:pStyle w:val="TableParagraph"/>
              <w:rPr>
                <w:sz w:val="14"/>
              </w:rPr>
            </w:pPr>
          </w:p>
        </w:tc>
        <w:tc>
          <w:tcPr>
            <w:tcW w:w="504" w:type="dxa"/>
            <w:shd w:val="clear" w:color="auto" w:fill="CCEDFF"/>
          </w:tcPr>
          <w:p>
            <w:pPr>
              <w:pStyle w:val="TableParagraph"/>
              <w:rPr>
                <w:sz w:val="14"/>
              </w:rPr>
            </w:pPr>
          </w:p>
        </w:tc>
      </w:tr>
      <w:tr>
        <w:trPr>
          <w:trHeight w:val="202" w:hRule="atLeast"/>
        </w:trPr>
        <w:tc>
          <w:tcPr>
            <w:tcW w:w="7503" w:type="dxa"/>
            <w:tcBorders>
              <w:bottom w:val="single" w:sz="6" w:space="0" w:color="000000"/>
            </w:tcBorders>
          </w:tcPr>
          <w:p>
            <w:pPr>
              <w:pStyle w:val="TableParagraph"/>
              <w:spacing w:line="179" w:lineRule="exact" w:before="3"/>
              <w:ind w:left="152"/>
              <w:rPr>
                <w:sz w:val="16"/>
              </w:rPr>
            </w:pPr>
            <w:r>
              <w:rPr>
                <w:sz w:val="16"/>
              </w:rPr>
              <w:t>Other</w:t>
            </w:r>
            <w:r>
              <w:rPr>
                <w:spacing w:val="15"/>
                <w:sz w:val="16"/>
              </w:rPr>
              <w:t> </w:t>
            </w:r>
            <w:r>
              <w:rPr>
                <w:sz w:val="16"/>
              </w:rPr>
              <w:t>corporate</w:t>
            </w:r>
            <w:r>
              <w:rPr>
                <w:spacing w:val="16"/>
                <w:sz w:val="16"/>
              </w:rPr>
              <w:t> </w:t>
            </w:r>
            <w:r>
              <w:rPr>
                <w:spacing w:val="-2"/>
                <w:sz w:val="16"/>
              </w:rPr>
              <w:t>items</w:t>
            </w:r>
          </w:p>
        </w:tc>
        <w:tc>
          <w:tcPr>
            <w:tcW w:w="756" w:type="dxa"/>
            <w:tcBorders>
              <w:bottom w:val="single" w:sz="6" w:space="0" w:color="000000"/>
            </w:tcBorders>
          </w:tcPr>
          <w:p>
            <w:pPr>
              <w:pStyle w:val="TableParagraph"/>
              <w:rPr>
                <w:sz w:val="14"/>
              </w:rPr>
            </w:pPr>
          </w:p>
        </w:tc>
        <w:tc>
          <w:tcPr>
            <w:tcW w:w="532" w:type="dxa"/>
            <w:tcBorders>
              <w:bottom w:val="single" w:sz="6" w:space="0" w:color="000000"/>
            </w:tcBorders>
          </w:tcPr>
          <w:p>
            <w:pPr>
              <w:pStyle w:val="TableParagraph"/>
              <w:spacing w:line="179" w:lineRule="exact" w:before="3"/>
              <w:ind w:right="84"/>
              <w:jc w:val="right"/>
              <w:rPr>
                <w:b/>
                <w:sz w:val="16"/>
              </w:rPr>
            </w:pPr>
            <w:r>
              <w:rPr>
                <w:b/>
                <w:spacing w:val="-2"/>
                <w:w w:val="105"/>
                <w:sz w:val="16"/>
              </w:rPr>
              <w:t>(261)</w:t>
            </w:r>
          </w:p>
        </w:tc>
        <w:tc>
          <w:tcPr>
            <w:tcW w:w="843" w:type="dxa"/>
            <w:tcBorders>
              <w:bottom w:val="single" w:sz="6" w:space="0" w:color="000000"/>
            </w:tcBorders>
          </w:tcPr>
          <w:p>
            <w:pPr>
              <w:pStyle w:val="TableParagraph"/>
              <w:rPr>
                <w:sz w:val="14"/>
              </w:rPr>
            </w:pPr>
          </w:p>
        </w:tc>
        <w:tc>
          <w:tcPr>
            <w:tcW w:w="532" w:type="dxa"/>
            <w:tcBorders>
              <w:bottom w:val="single" w:sz="6" w:space="0" w:color="000000"/>
            </w:tcBorders>
          </w:tcPr>
          <w:p>
            <w:pPr>
              <w:pStyle w:val="TableParagraph"/>
              <w:spacing w:line="179" w:lineRule="exact" w:before="3"/>
              <w:ind w:right="83"/>
              <w:jc w:val="right"/>
              <w:rPr>
                <w:sz w:val="16"/>
              </w:rPr>
            </w:pPr>
            <w:r>
              <w:rPr>
                <w:spacing w:val="-2"/>
                <w:w w:val="105"/>
                <w:sz w:val="16"/>
              </w:rPr>
              <w:t>(203)</w:t>
            </w:r>
          </w:p>
        </w:tc>
        <w:tc>
          <w:tcPr>
            <w:tcW w:w="843" w:type="dxa"/>
            <w:tcBorders>
              <w:bottom w:val="single" w:sz="6" w:space="0" w:color="000000"/>
            </w:tcBorders>
          </w:tcPr>
          <w:p>
            <w:pPr>
              <w:pStyle w:val="TableParagraph"/>
              <w:rPr>
                <w:sz w:val="14"/>
              </w:rPr>
            </w:pPr>
          </w:p>
        </w:tc>
        <w:tc>
          <w:tcPr>
            <w:tcW w:w="504" w:type="dxa"/>
            <w:tcBorders>
              <w:bottom w:val="single" w:sz="6" w:space="0" w:color="000000"/>
            </w:tcBorders>
          </w:tcPr>
          <w:p>
            <w:pPr>
              <w:pStyle w:val="TableParagraph"/>
              <w:spacing w:line="179" w:lineRule="exact" w:before="3"/>
              <w:ind w:right="56"/>
              <w:jc w:val="right"/>
              <w:rPr>
                <w:sz w:val="16"/>
              </w:rPr>
            </w:pPr>
            <w:r>
              <w:rPr>
                <w:spacing w:val="-2"/>
                <w:w w:val="105"/>
                <w:sz w:val="16"/>
              </w:rPr>
              <w:t>(114)</w:t>
            </w:r>
          </w:p>
        </w:tc>
      </w:tr>
      <w:tr>
        <w:trPr>
          <w:trHeight w:val="199" w:hRule="atLeast"/>
        </w:trPr>
        <w:tc>
          <w:tcPr>
            <w:tcW w:w="7503" w:type="dxa"/>
            <w:tcBorders>
              <w:top w:val="single" w:sz="6" w:space="0" w:color="000000"/>
              <w:bottom w:val="double" w:sz="6" w:space="0" w:color="000000"/>
            </w:tcBorders>
            <w:shd w:val="clear" w:color="auto" w:fill="CCEDFF"/>
          </w:tcPr>
          <w:p>
            <w:pPr>
              <w:pStyle w:val="TableParagraph"/>
              <w:spacing w:line="177" w:lineRule="exact" w:before="2"/>
              <w:rPr>
                <w:sz w:val="16"/>
              </w:rPr>
            </w:pPr>
            <w:r>
              <w:rPr>
                <w:w w:val="105"/>
                <w:sz w:val="16"/>
              </w:rPr>
              <w:t>Net</w:t>
            </w:r>
            <w:r>
              <w:rPr>
                <w:spacing w:val="-6"/>
                <w:w w:val="105"/>
                <w:sz w:val="16"/>
              </w:rPr>
              <w:t> </w:t>
            </w:r>
            <w:r>
              <w:rPr>
                <w:spacing w:val="-2"/>
                <w:w w:val="105"/>
                <w:sz w:val="16"/>
              </w:rPr>
              <w:t>income</w:t>
            </w:r>
          </w:p>
        </w:tc>
        <w:tc>
          <w:tcPr>
            <w:tcW w:w="756" w:type="dxa"/>
            <w:tcBorders>
              <w:top w:val="single" w:sz="6" w:space="0" w:color="000000"/>
              <w:bottom w:val="double" w:sz="6" w:space="0" w:color="000000"/>
            </w:tcBorders>
            <w:shd w:val="clear" w:color="auto" w:fill="CCEDFF"/>
          </w:tcPr>
          <w:p>
            <w:pPr>
              <w:pStyle w:val="TableParagraph"/>
              <w:spacing w:line="177" w:lineRule="exact" w:before="2"/>
              <w:ind w:left="-1"/>
              <w:rPr>
                <w:b/>
                <w:sz w:val="16"/>
              </w:rPr>
            </w:pPr>
            <w:r>
              <w:rPr>
                <w:b/>
                <w:spacing w:val="-10"/>
                <w:w w:val="105"/>
                <w:sz w:val="16"/>
              </w:rPr>
              <w:t>$</w:t>
            </w:r>
          </w:p>
        </w:tc>
        <w:tc>
          <w:tcPr>
            <w:tcW w:w="532" w:type="dxa"/>
            <w:tcBorders>
              <w:top w:val="single" w:sz="6" w:space="0" w:color="000000"/>
              <w:bottom w:val="double" w:sz="6" w:space="0" w:color="000000"/>
            </w:tcBorders>
            <w:shd w:val="clear" w:color="auto" w:fill="CCEDFF"/>
          </w:tcPr>
          <w:p>
            <w:pPr>
              <w:pStyle w:val="TableParagraph"/>
              <w:spacing w:line="177" w:lineRule="exact" w:before="2"/>
              <w:ind w:right="139"/>
              <w:jc w:val="right"/>
              <w:rPr>
                <w:b/>
                <w:sz w:val="16"/>
              </w:rPr>
            </w:pPr>
            <w:r>
              <w:rPr>
                <w:b/>
                <w:spacing w:val="-4"/>
                <w:w w:val="105"/>
                <w:sz w:val="16"/>
              </w:rPr>
              <w:t>1,906</w:t>
            </w:r>
          </w:p>
        </w:tc>
        <w:tc>
          <w:tcPr>
            <w:tcW w:w="843" w:type="dxa"/>
            <w:tcBorders>
              <w:top w:val="single" w:sz="6" w:space="0" w:color="000000"/>
              <w:bottom w:val="double" w:sz="6" w:space="0" w:color="000000"/>
            </w:tcBorders>
            <w:shd w:val="clear" w:color="auto" w:fill="CCEDFF"/>
          </w:tcPr>
          <w:p>
            <w:pPr>
              <w:pStyle w:val="TableParagraph"/>
              <w:spacing w:line="177" w:lineRule="exact" w:before="2"/>
              <w:ind w:left="87"/>
              <w:rPr>
                <w:sz w:val="16"/>
              </w:rPr>
            </w:pPr>
            <w:r>
              <w:rPr>
                <w:spacing w:val="-10"/>
                <w:w w:val="105"/>
                <w:sz w:val="16"/>
              </w:rPr>
              <w:t>$</w:t>
            </w:r>
          </w:p>
        </w:tc>
        <w:tc>
          <w:tcPr>
            <w:tcW w:w="532" w:type="dxa"/>
            <w:tcBorders>
              <w:top w:val="single" w:sz="6" w:space="0" w:color="000000"/>
              <w:bottom w:val="double" w:sz="6" w:space="0" w:color="000000"/>
            </w:tcBorders>
            <w:shd w:val="clear" w:color="auto" w:fill="CCEDFF"/>
          </w:tcPr>
          <w:p>
            <w:pPr>
              <w:pStyle w:val="TableParagraph"/>
              <w:spacing w:line="177" w:lineRule="exact" w:before="2"/>
              <w:ind w:right="138"/>
              <w:jc w:val="right"/>
              <w:rPr>
                <w:sz w:val="16"/>
              </w:rPr>
            </w:pPr>
            <w:r>
              <w:rPr>
                <w:spacing w:val="-5"/>
                <w:w w:val="105"/>
                <w:sz w:val="16"/>
              </w:rPr>
              <w:t>512</w:t>
            </w:r>
          </w:p>
        </w:tc>
        <w:tc>
          <w:tcPr>
            <w:tcW w:w="843" w:type="dxa"/>
            <w:tcBorders>
              <w:top w:val="single" w:sz="6" w:space="0" w:color="000000"/>
              <w:bottom w:val="double" w:sz="6" w:space="0" w:color="000000"/>
            </w:tcBorders>
            <w:shd w:val="clear" w:color="auto" w:fill="CCEDFF"/>
          </w:tcPr>
          <w:p>
            <w:pPr>
              <w:pStyle w:val="TableParagraph"/>
              <w:spacing w:line="177" w:lineRule="exact" w:before="2"/>
              <w:ind w:left="88"/>
              <w:rPr>
                <w:sz w:val="16"/>
              </w:rPr>
            </w:pPr>
            <w:r>
              <w:rPr>
                <w:spacing w:val="-10"/>
                <w:w w:val="105"/>
                <w:sz w:val="16"/>
              </w:rPr>
              <w:t>$</w:t>
            </w:r>
          </w:p>
        </w:tc>
        <w:tc>
          <w:tcPr>
            <w:tcW w:w="504" w:type="dxa"/>
            <w:tcBorders>
              <w:top w:val="single" w:sz="6" w:space="0" w:color="000000"/>
              <w:bottom w:val="double" w:sz="6" w:space="0" w:color="000000"/>
            </w:tcBorders>
            <w:shd w:val="clear" w:color="auto" w:fill="CCEDFF"/>
          </w:tcPr>
          <w:p>
            <w:pPr>
              <w:pStyle w:val="TableParagraph"/>
              <w:spacing w:line="177" w:lineRule="exact" w:before="2"/>
              <w:ind w:left="143"/>
              <w:rPr>
                <w:sz w:val="16"/>
              </w:rPr>
            </w:pPr>
            <w:r>
              <w:rPr>
                <w:spacing w:val="-5"/>
                <w:w w:val="105"/>
                <w:sz w:val="16"/>
              </w:rPr>
              <w:t>960</w:t>
            </w:r>
          </w:p>
        </w:tc>
      </w:tr>
    </w:tbl>
    <w:p>
      <w:pPr>
        <w:pStyle w:val="BodyText"/>
        <w:spacing w:before="47"/>
        <w:rPr>
          <w:sz w:val="14"/>
        </w:rPr>
      </w:pPr>
    </w:p>
    <w:p>
      <w:pPr>
        <w:pStyle w:val="ListParagraph"/>
        <w:numPr>
          <w:ilvl w:val="0"/>
          <w:numId w:val="62"/>
        </w:numPr>
        <w:tabs>
          <w:tab w:pos="460" w:val="left" w:leader="none"/>
        </w:tabs>
        <w:spacing w:line="157" w:lineRule="exact" w:before="0" w:after="0"/>
        <w:ind w:left="460" w:right="0" w:hanging="304"/>
        <w:jc w:val="left"/>
        <w:rPr>
          <w:sz w:val="14"/>
        </w:rPr>
      </w:pPr>
      <w:r>
        <w:rPr>
          <w:sz w:val="14"/>
        </w:rPr>
        <w:t>The</w:t>
      </w:r>
      <w:r>
        <w:rPr>
          <w:spacing w:val="-1"/>
          <w:sz w:val="14"/>
        </w:rPr>
        <w:t> </w:t>
      </w:r>
      <w:r>
        <w:rPr>
          <w:sz w:val="14"/>
        </w:rPr>
        <w:t>Company</w:t>
      </w:r>
      <w:r>
        <w:rPr>
          <w:spacing w:val="-1"/>
          <w:sz w:val="14"/>
        </w:rPr>
        <w:t> </w:t>
      </w:r>
      <w:r>
        <w:rPr>
          <w:sz w:val="14"/>
        </w:rPr>
        <w:t>obtained</w:t>
      </w:r>
      <w:r>
        <w:rPr>
          <w:spacing w:val="-1"/>
          <w:sz w:val="14"/>
        </w:rPr>
        <w:t> </w:t>
      </w:r>
      <w:r>
        <w:rPr>
          <w:sz w:val="14"/>
        </w:rPr>
        <w:t>a</w:t>
      </w:r>
      <w:r>
        <w:rPr>
          <w:spacing w:val="-1"/>
          <w:sz w:val="14"/>
        </w:rPr>
        <w:t> </w:t>
      </w:r>
      <w:r>
        <w:rPr>
          <w:sz w:val="14"/>
        </w:rPr>
        <w:t>controlling</w:t>
      </w:r>
      <w:r>
        <w:rPr>
          <w:spacing w:val="-1"/>
          <w:sz w:val="14"/>
        </w:rPr>
        <w:t> </w:t>
      </w:r>
      <w:r>
        <w:rPr>
          <w:sz w:val="14"/>
        </w:rPr>
        <w:t>interest</w:t>
      </w:r>
      <w:r>
        <w:rPr>
          <w:spacing w:val="-1"/>
          <w:sz w:val="14"/>
        </w:rPr>
        <w:t> </w:t>
      </w:r>
      <w:r>
        <w:rPr>
          <w:sz w:val="14"/>
        </w:rPr>
        <w:t>in</w:t>
      </w:r>
      <w:r>
        <w:rPr>
          <w:spacing w:val="-1"/>
          <w:sz w:val="14"/>
        </w:rPr>
        <w:t> </w:t>
      </w:r>
      <w:r>
        <w:rPr>
          <w:sz w:val="14"/>
        </w:rPr>
        <w:t>HSG</w:t>
      </w:r>
      <w:r>
        <w:rPr>
          <w:spacing w:val="-1"/>
          <w:sz w:val="14"/>
        </w:rPr>
        <w:t> </w:t>
      </w:r>
      <w:r>
        <w:rPr>
          <w:sz w:val="14"/>
        </w:rPr>
        <w:t>during the</w:t>
      </w:r>
      <w:r>
        <w:rPr>
          <w:spacing w:val="-2"/>
          <w:sz w:val="14"/>
        </w:rPr>
        <w:t> </w:t>
      </w:r>
      <w:r>
        <w:rPr>
          <w:sz w:val="14"/>
        </w:rPr>
        <w:t>third</w:t>
      </w:r>
      <w:r>
        <w:rPr>
          <w:spacing w:val="-1"/>
          <w:sz w:val="14"/>
        </w:rPr>
        <w:t> </w:t>
      </w:r>
      <w:r>
        <w:rPr>
          <w:sz w:val="14"/>
        </w:rPr>
        <w:t>quarter</w:t>
      </w:r>
      <w:r>
        <w:rPr>
          <w:spacing w:val="-2"/>
          <w:sz w:val="14"/>
        </w:rPr>
        <w:t> </w:t>
      </w:r>
      <w:r>
        <w:rPr>
          <w:sz w:val="14"/>
        </w:rPr>
        <w:t>of 2020</w:t>
      </w:r>
      <w:r>
        <w:rPr>
          <w:spacing w:val="-1"/>
          <w:sz w:val="14"/>
        </w:rPr>
        <w:t> </w:t>
      </w:r>
      <w:r>
        <w:rPr>
          <w:sz w:val="14"/>
        </w:rPr>
        <w:t>and</w:t>
      </w:r>
      <w:r>
        <w:rPr>
          <w:spacing w:val="-1"/>
          <w:sz w:val="14"/>
        </w:rPr>
        <w:t> </w:t>
      </w:r>
      <w:r>
        <w:rPr>
          <w:sz w:val="14"/>
        </w:rPr>
        <w:t>has consolidated</w:t>
      </w:r>
      <w:r>
        <w:rPr>
          <w:spacing w:val="-1"/>
          <w:sz w:val="14"/>
        </w:rPr>
        <w:t> </w:t>
      </w:r>
      <w:r>
        <w:rPr>
          <w:sz w:val="14"/>
        </w:rPr>
        <w:t>results</w:t>
      </w:r>
      <w:r>
        <w:rPr>
          <w:spacing w:val="-1"/>
          <w:sz w:val="14"/>
        </w:rPr>
        <w:t> </w:t>
      </w:r>
      <w:r>
        <w:rPr>
          <w:sz w:val="14"/>
        </w:rPr>
        <w:t>in</w:t>
      </w:r>
      <w:r>
        <w:rPr>
          <w:spacing w:val="-1"/>
          <w:sz w:val="14"/>
        </w:rPr>
        <w:t> </w:t>
      </w:r>
      <w:r>
        <w:rPr>
          <w:sz w:val="14"/>
        </w:rPr>
        <w:t>“All</w:t>
      </w:r>
      <w:r>
        <w:rPr>
          <w:spacing w:val="-1"/>
          <w:sz w:val="14"/>
        </w:rPr>
        <w:t> </w:t>
      </w:r>
      <w:r>
        <w:rPr>
          <w:sz w:val="14"/>
        </w:rPr>
        <w:t>Other”</w:t>
      </w:r>
      <w:r>
        <w:rPr>
          <w:spacing w:val="-1"/>
          <w:sz w:val="14"/>
        </w:rPr>
        <w:t> </w:t>
      </w:r>
      <w:r>
        <w:rPr>
          <w:sz w:val="14"/>
        </w:rPr>
        <w:t>since</w:t>
      </w:r>
      <w:r>
        <w:rPr>
          <w:spacing w:val="-2"/>
          <w:sz w:val="14"/>
        </w:rPr>
        <w:t> </w:t>
      </w:r>
      <w:r>
        <w:rPr>
          <w:sz w:val="14"/>
        </w:rPr>
        <w:t>September</w:t>
      </w:r>
      <w:r>
        <w:rPr>
          <w:spacing w:val="-1"/>
          <w:sz w:val="14"/>
        </w:rPr>
        <w:t> </w:t>
      </w:r>
      <w:r>
        <w:rPr>
          <w:sz w:val="14"/>
        </w:rPr>
        <w:t>9, </w:t>
      </w:r>
      <w:r>
        <w:rPr>
          <w:spacing w:val="-2"/>
          <w:sz w:val="14"/>
        </w:rPr>
        <w:t>2020.</w:t>
      </w:r>
    </w:p>
    <w:p>
      <w:pPr>
        <w:pStyle w:val="ListParagraph"/>
        <w:numPr>
          <w:ilvl w:val="0"/>
          <w:numId w:val="62"/>
        </w:numPr>
        <w:tabs>
          <w:tab w:pos="460" w:val="left" w:leader="none"/>
        </w:tabs>
        <w:spacing w:line="153" w:lineRule="exact" w:before="0" w:after="0"/>
        <w:ind w:left="460" w:right="0" w:hanging="304"/>
        <w:jc w:val="left"/>
        <w:rPr>
          <w:sz w:val="14"/>
        </w:rPr>
      </w:pPr>
      <w:r>
        <w:rPr>
          <w:sz w:val="14"/>
        </w:rPr>
        <w:t>Amount</w:t>
      </w:r>
      <w:r>
        <w:rPr>
          <w:spacing w:val="-2"/>
          <w:sz w:val="14"/>
        </w:rPr>
        <w:t> </w:t>
      </w:r>
      <w:r>
        <w:rPr>
          <w:sz w:val="14"/>
        </w:rPr>
        <w:t>does not</w:t>
      </w:r>
      <w:r>
        <w:rPr>
          <w:spacing w:val="-1"/>
          <w:sz w:val="14"/>
        </w:rPr>
        <w:t> </w:t>
      </w:r>
      <w:r>
        <w:rPr>
          <w:sz w:val="14"/>
        </w:rPr>
        <w:t>include</w:t>
      </w:r>
      <w:r>
        <w:rPr>
          <w:spacing w:val="-1"/>
          <w:sz w:val="14"/>
        </w:rPr>
        <w:t> </w:t>
      </w:r>
      <w:r>
        <w:rPr>
          <w:sz w:val="14"/>
        </w:rPr>
        <w:t>research,</w:t>
      </w:r>
      <w:r>
        <w:rPr>
          <w:spacing w:val="-1"/>
          <w:sz w:val="14"/>
        </w:rPr>
        <w:t> </w:t>
      </w:r>
      <w:r>
        <w:rPr>
          <w:sz w:val="14"/>
        </w:rPr>
        <w:t>development, and</w:t>
      </w:r>
      <w:r>
        <w:rPr>
          <w:spacing w:val="-1"/>
          <w:sz w:val="14"/>
        </w:rPr>
        <w:t> </w:t>
      </w:r>
      <w:r>
        <w:rPr>
          <w:sz w:val="14"/>
        </w:rPr>
        <w:t>engineering</w:t>
      </w:r>
      <w:r>
        <w:rPr>
          <w:spacing w:val="-1"/>
          <w:sz w:val="14"/>
        </w:rPr>
        <w:t> </w:t>
      </w:r>
      <w:r>
        <w:rPr>
          <w:sz w:val="14"/>
        </w:rPr>
        <w:t>expense</w:t>
      </w:r>
      <w:r>
        <w:rPr>
          <w:spacing w:val="-1"/>
          <w:sz w:val="14"/>
        </w:rPr>
        <w:t> </w:t>
      </w:r>
      <w:r>
        <w:rPr>
          <w:sz w:val="14"/>
        </w:rPr>
        <w:t>related</w:t>
      </w:r>
      <w:r>
        <w:rPr>
          <w:spacing w:val="-1"/>
          <w:sz w:val="14"/>
        </w:rPr>
        <w:t> </w:t>
      </w:r>
      <w:r>
        <w:rPr>
          <w:sz w:val="14"/>
        </w:rPr>
        <w:t>to</w:t>
      </w:r>
      <w:r>
        <w:rPr>
          <w:spacing w:val="-1"/>
          <w:sz w:val="14"/>
        </w:rPr>
        <w:t> </w:t>
      </w:r>
      <w:r>
        <w:rPr>
          <w:sz w:val="14"/>
        </w:rPr>
        <w:t>restructuring, impairment</w:t>
      </w:r>
      <w:r>
        <w:rPr>
          <w:spacing w:val="-1"/>
          <w:sz w:val="14"/>
        </w:rPr>
        <w:t> </w:t>
      </w:r>
      <w:r>
        <w:rPr>
          <w:sz w:val="14"/>
        </w:rPr>
        <w:t>and</w:t>
      </w:r>
      <w:r>
        <w:rPr>
          <w:spacing w:val="-1"/>
          <w:sz w:val="14"/>
        </w:rPr>
        <w:t> </w:t>
      </w:r>
      <w:r>
        <w:rPr>
          <w:sz w:val="14"/>
        </w:rPr>
        <w:t>other</w:t>
      </w:r>
      <w:r>
        <w:rPr>
          <w:spacing w:val="-1"/>
          <w:sz w:val="14"/>
        </w:rPr>
        <w:t> </w:t>
      </w:r>
      <w:r>
        <w:rPr>
          <w:sz w:val="14"/>
        </w:rPr>
        <w:t>charges</w:t>
      </w:r>
      <w:r>
        <w:rPr>
          <w:spacing w:val="-1"/>
          <w:sz w:val="14"/>
        </w:rPr>
        <w:t> </w:t>
      </w:r>
      <w:r>
        <w:rPr>
          <w:sz w:val="14"/>
        </w:rPr>
        <w:t>and </w:t>
      </w:r>
      <w:r>
        <w:rPr>
          <w:spacing w:val="-2"/>
          <w:sz w:val="14"/>
        </w:rPr>
        <w:t>credits.</w:t>
      </w:r>
    </w:p>
    <w:p>
      <w:pPr>
        <w:pStyle w:val="ListParagraph"/>
        <w:numPr>
          <w:ilvl w:val="0"/>
          <w:numId w:val="62"/>
        </w:numPr>
        <w:tabs>
          <w:tab w:pos="460" w:val="left" w:leader="none"/>
        </w:tabs>
        <w:spacing w:line="153" w:lineRule="exact" w:before="0" w:after="0"/>
        <w:ind w:left="460" w:right="0" w:hanging="304"/>
        <w:jc w:val="left"/>
        <w:rPr>
          <w:sz w:val="14"/>
        </w:rPr>
      </w:pPr>
      <w:r>
        <w:rPr>
          <w:sz w:val="14"/>
        </w:rPr>
        <w:t>Refer</w:t>
      </w:r>
      <w:r>
        <w:rPr>
          <w:spacing w:val="-1"/>
          <w:sz w:val="14"/>
        </w:rPr>
        <w:t> </w:t>
      </w:r>
      <w:r>
        <w:rPr>
          <w:sz w:val="14"/>
        </w:rPr>
        <w:t>to</w:t>
      </w:r>
      <w:r>
        <w:rPr>
          <w:spacing w:val="-1"/>
          <w:sz w:val="14"/>
        </w:rPr>
        <w:t> </w:t>
      </w:r>
      <w:r>
        <w:rPr>
          <w:sz w:val="14"/>
        </w:rPr>
        <w:t>Note</w:t>
      </w:r>
      <w:r>
        <w:rPr>
          <w:spacing w:val="-2"/>
          <w:sz w:val="14"/>
        </w:rPr>
        <w:t> </w:t>
      </w:r>
      <w:r>
        <w:rPr>
          <w:sz w:val="14"/>
        </w:rPr>
        <w:t>2</w:t>
      </w:r>
      <w:r>
        <w:rPr>
          <w:spacing w:val="-1"/>
          <w:sz w:val="14"/>
        </w:rPr>
        <w:t> </w:t>
      </w:r>
      <w:r>
        <w:rPr>
          <w:sz w:val="14"/>
        </w:rPr>
        <w:t>(Restructuring, Impairment</w:t>
      </w:r>
      <w:r>
        <w:rPr>
          <w:spacing w:val="-1"/>
          <w:sz w:val="14"/>
        </w:rPr>
        <w:t> </w:t>
      </w:r>
      <w:r>
        <w:rPr>
          <w:sz w:val="14"/>
        </w:rPr>
        <w:t>and</w:t>
      </w:r>
      <w:r>
        <w:rPr>
          <w:spacing w:val="-1"/>
          <w:sz w:val="14"/>
        </w:rPr>
        <w:t> </w:t>
      </w:r>
      <w:r>
        <w:rPr>
          <w:sz w:val="14"/>
        </w:rPr>
        <w:t>Other</w:t>
      </w:r>
      <w:r>
        <w:rPr>
          <w:spacing w:val="-1"/>
          <w:sz w:val="14"/>
        </w:rPr>
        <w:t> </w:t>
      </w:r>
      <w:r>
        <w:rPr>
          <w:sz w:val="14"/>
        </w:rPr>
        <w:t>Charges</w:t>
      </w:r>
      <w:r>
        <w:rPr>
          <w:spacing w:val="-1"/>
          <w:sz w:val="14"/>
        </w:rPr>
        <w:t> </w:t>
      </w:r>
      <w:r>
        <w:rPr>
          <w:sz w:val="14"/>
        </w:rPr>
        <w:t>and Credits)</w:t>
      </w:r>
      <w:r>
        <w:rPr>
          <w:spacing w:val="-1"/>
          <w:sz w:val="14"/>
        </w:rPr>
        <w:t> </w:t>
      </w:r>
      <w:r>
        <w:rPr>
          <w:sz w:val="14"/>
        </w:rPr>
        <w:t>to</w:t>
      </w:r>
      <w:r>
        <w:rPr>
          <w:spacing w:val="-1"/>
          <w:sz w:val="14"/>
        </w:rPr>
        <w:t> </w:t>
      </w:r>
      <w:r>
        <w:rPr>
          <w:sz w:val="14"/>
        </w:rPr>
        <w:t>the</w:t>
      </w:r>
      <w:r>
        <w:rPr>
          <w:spacing w:val="-1"/>
          <w:sz w:val="14"/>
        </w:rPr>
        <w:t> </w:t>
      </w:r>
      <w:r>
        <w:rPr>
          <w:sz w:val="14"/>
        </w:rPr>
        <w:t>consolidated financial</w:t>
      </w:r>
      <w:r>
        <w:rPr>
          <w:spacing w:val="-1"/>
          <w:sz w:val="14"/>
        </w:rPr>
        <w:t> </w:t>
      </w:r>
      <w:r>
        <w:rPr>
          <w:sz w:val="14"/>
        </w:rPr>
        <w:t>statements</w:t>
      </w:r>
      <w:r>
        <w:rPr>
          <w:spacing w:val="-1"/>
          <w:sz w:val="14"/>
        </w:rPr>
        <w:t> </w:t>
      </w:r>
      <w:r>
        <w:rPr>
          <w:sz w:val="14"/>
        </w:rPr>
        <w:t>for</w:t>
      </w:r>
      <w:r>
        <w:rPr>
          <w:spacing w:val="-1"/>
          <w:sz w:val="14"/>
        </w:rPr>
        <w:t> </w:t>
      </w:r>
      <w:r>
        <w:rPr>
          <w:sz w:val="14"/>
        </w:rPr>
        <w:t>additional</w:t>
      </w:r>
      <w:r>
        <w:rPr>
          <w:spacing w:val="-1"/>
          <w:sz w:val="14"/>
        </w:rPr>
        <w:t> </w:t>
      </w:r>
      <w:r>
        <w:rPr>
          <w:sz w:val="14"/>
        </w:rPr>
        <w:t>information on</w:t>
      </w:r>
      <w:r>
        <w:rPr>
          <w:spacing w:val="-1"/>
          <w:sz w:val="14"/>
        </w:rPr>
        <w:t> </w:t>
      </w:r>
      <w:r>
        <w:rPr>
          <w:sz w:val="14"/>
        </w:rPr>
        <w:t>restructuring</w:t>
      </w:r>
      <w:r>
        <w:rPr>
          <w:spacing w:val="-1"/>
          <w:sz w:val="14"/>
        </w:rPr>
        <w:t> </w:t>
      </w:r>
      <w:r>
        <w:rPr>
          <w:sz w:val="14"/>
        </w:rPr>
        <w:t>activities</w:t>
      </w:r>
      <w:r>
        <w:rPr>
          <w:spacing w:val="-1"/>
          <w:sz w:val="14"/>
        </w:rPr>
        <w:t> </w:t>
      </w:r>
      <w:r>
        <w:rPr>
          <w:sz w:val="14"/>
        </w:rPr>
        <w:t>and </w:t>
      </w:r>
      <w:r>
        <w:rPr>
          <w:spacing w:val="-2"/>
          <w:sz w:val="14"/>
        </w:rPr>
        <w:t>impairment.</w:t>
      </w:r>
    </w:p>
    <w:p>
      <w:pPr>
        <w:pStyle w:val="ListParagraph"/>
        <w:numPr>
          <w:ilvl w:val="0"/>
          <w:numId w:val="62"/>
        </w:numPr>
        <w:tabs>
          <w:tab w:pos="460" w:val="left" w:leader="none"/>
          <w:tab w:pos="462" w:val="left" w:leader="none"/>
        </w:tabs>
        <w:spacing w:line="228" w:lineRule="auto" w:before="2" w:after="0"/>
        <w:ind w:left="462" w:right="491" w:hanging="306"/>
        <w:jc w:val="left"/>
        <w:rPr>
          <w:sz w:val="14"/>
        </w:rPr>
      </w:pPr>
      <w:r>
        <w:rPr>
          <w:sz w:val="14"/>
        </w:rPr>
        <w:t>Amount</w:t>
      </w:r>
      <w:r>
        <w:rPr>
          <w:spacing w:val="-1"/>
          <w:sz w:val="14"/>
        </w:rPr>
        <w:t> </w:t>
      </w:r>
      <w:r>
        <w:rPr>
          <w:sz w:val="14"/>
        </w:rPr>
        <w:t>represents</w:t>
      </w:r>
      <w:r>
        <w:rPr>
          <w:spacing w:val="-1"/>
          <w:sz w:val="14"/>
        </w:rPr>
        <w:t> </w:t>
      </w:r>
      <w:r>
        <w:rPr>
          <w:sz w:val="14"/>
        </w:rPr>
        <w:t>the</w:t>
      </w:r>
      <w:r>
        <w:rPr>
          <w:spacing w:val="-1"/>
          <w:sz w:val="14"/>
        </w:rPr>
        <w:t> </w:t>
      </w:r>
      <w:r>
        <w:rPr>
          <w:sz w:val="14"/>
        </w:rPr>
        <w:t>pre-tax</w:t>
      </w:r>
      <w:r>
        <w:rPr>
          <w:spacing w:val="-1"/>
          <w:sz w:val="14"/>
        </w:rPr>
        <w:t> </w:t>
      </w:r>
      <w:r>
        <w:rPr>
          <w:sz w:val="14"/>
        </w:rPr>
        <w:t>gain</w:t>
      </w:r>
      <w:r>
        <w:rPr>
          <w:spacing w:val="-1"/>
          <w:sz w:val="14"/>
        </w:rPr>
        <w:t> </w:t>
      </w:r>
      <w:r>
        <w:rPr>
          <w:sz w:val="14"/>
        </w:rPr>
        <w:t>recorded</w:t>
      </w:r>
      <w:r>
        <w:rPr>
          <w:spacing w:val="-1"/>
          <w:sz w:val="14"/>
        </w:rPr>
        <w:t> </w:t>
      </w:r>
      <w:r>
        <w:rPr>
          <w:sz w:val="14"/>
        </w:rPr>
        <w:t>on</w:t>
      </w:r>
      <w:r>
        <w:rPr>
          <w:spacing w:val="-1"/>
          <w:sz w:val="14"/>
        </w:rPr>
        <w:t> </w:t>
      </w:r>
      <w:r>
        <w:rPr>
          <w:sz w:val="14"/>
        </w:rPr>
        <w:t>Corning’s</w:t>
      </w:r>
      <w:r>
        <w:rPr>
          <w:spacing w:val="-1"/>
          <w:sz w:val="14"/>
        </w:rPr>
        <w:t> </w:t>
      </w:r>
      <w:r>
        <w:rPr>
          <w:sz w:val="14"/>
        </w:rPr>
        <w:t>previously</w:t>
      </w:r>
      <w:r>
        <w:rPr>
          <w:spacing w:val="-1"/>
          <w:sz w:val="14"/>
        </w:rPr>
        <w:t> </w:t>
      </w:r>
      <w:r>
        <w:rPr>
          <w:sz w:val="14"/>
        </w:rPr>
        <w:t>held</w:t>
      </w:r>
      <w:r>
        <w:rPr>
          <w:spacing w:val="-1"/>
          <w:sz w:val="14"/>
        </w:rPr>
        <w:t> </w:t>
      </w:r>
      <w:r>
        <w:rPr>
          <w:sz w:val="14"/>
        </w:rPr>
        <w:t>equity</w:t>
      </w:r>
      <w:r>
        <w:rPr>
          <w:spacing w:val="-1"/>
          <w:sz w:val="14"/>
        </w:rPr>
        <w:t> </w:t>
      </w:r>
      <w:r>
        <w:rPr>
          <w:sz w:val="14"/>
        </w:rPr>
        <w:t>investment</w:t>
      </w:r>
      <w:r>
        <w:rPr>
          <w:spacing w:val="-1"/>
          <w:sz w:val="14"/>
        </w:rPr>
        <w:t> </w:t>
      </w:r>
      <w:r>
        <w:rPr>
          <w:sz w:val="14"/>
        </w:rPr>
        <w:t>in</w:t>
      </w:r>
      <w:r>
        <w:rPr>
          <w:spacing w:val="-1"/>
          <w:sz w:val="14"/>
        </w:rPr>
        <w:t> </w:t>
      </w:r>
      <w:r>
        <w:rPr>
          <w:sz w:val="14"/>
        </w:rPr>
        <w:t>HSG</w:t>
      </w:r>
      <w:r>
        <w:rPr>
          <w:spacing w:val="-1"/>
          <w:sz w:val="14"/>
        </w:rPr>
        <w:t> </w:t>
      </w:r>
      <w:r>
        <w:rPr>
          <w:sz w:val="14"/>
        </w:rPr>
        <w:t>recorded</w:t>
      </w:r>
      <w:r>
        <w:rPr>
          <w:spacing w:val="-1"/>
          <w:sz w:val="14"/>
        </w:rPr>
        <w:t> </w:t>
      </w:r>
      <w:r>
        <w:rPr>
          <w:sz w:val="14"/>
        </w:rPr>
        <w:t>in</w:t>
      </w:r>
      <w:r>
        <w:rPr>
          <w:spacing w:val="-3"/>
          <w:sz w:val="14"/>
        </w:rPr>
        <w:t> </w:t>
      </w:r>
      <w:r>
        <w:rPr>
          <w:sz w:val="14"/>
        </w:rPr>
        <w:t>2020.</w:t>
      </w:r>
      <w:r>
        <w:rPr>
          <w:spacing w:val="-1"/>
          <w:sz w:val="14"/>
        </w:rPr>
        <w:t> </w:t>
      </w:r>
      <w:r>
        <w:rPr>
          <w:sz w:val="14"/>
        </w:rPr>
        <w:t>Refer</w:t>
      </w:r>
      <w:r>
        <w:rPr>
          <w:spacing w:val="-1"/>
          <w:sz w:val="14"/>
        </w:rPr>
        <w:t> </w:t>
      </w:r>
      <w:r>
        <w:rPr>
          <w:sz w:val="14"/>
        </w:rPr>
        <w:t>to</w:t>
      </w:r>
      <w:r>
        <w:rPr>
          <w:spacing w:val="-1"/>
          <w:sz w:val="14"/>
        </w:rPr>
        <w:t> </w:t>
      </w:r>
      <w:r>
        <w:rPr>
          <w:sz w:val="14"/>
        </w:rPr>
        <w:t>Note</w:t>
      </w:r>
      <w:r>
        <w:rPr>
          <w:spacing w:val="-2"/>
          <w:sz w:val="14"/>
        </w:rPr>
        <w:t> </w:t>
      </w:r>
      <w:r>
        <w:rPr>
          <w:sz w:val="14"/>
        </w:rPr>
        <w:t>4</w:t>
      </w:r>
      <w:r>
        <w:rPr>
          <w:spacing w:val="-1"/>
          <w:sz w:val="14"/>
        </w:rPr>
        <w:t> </w:t>
      </w:r>
      <w:r>
        <w:rPr>
          <w:sz w:val="14"/>
        </w:rPr>
        <w:t>(HSG</w:t>
      </w:r>
      <w:r>
        <w:rPr>
          <w:spacing w:val="-1"/>
          <w:sz w:val="14"/>
        </w:rPr>
        <w:t> </w:t>
      </w:r>
      <w:r>
        <w:rPr>
          <w:sz w:val="14"/>
        </w:rPr>
        <w:t>Transactions</w:t>
      </w:r>
      <w:r>
        <w:rPr>
          <w:spacing w:val="-1"/>
          <w:sz w:val="14"/>
        </w:rPr>
        <w:t> </w:t>
      </w:r>
      <w:r>
        <w:rPr>
          <w:sz w:val="14"/>
        </w:rPr>
        <w:t>and</w:t>
      </w:r>
      <w:r>
        <w:rPr>
          <w:spacing w:val="-1"/>
          <w:sz w:val="14"/>
        </w:rPr>
        <w:t> </w:t>
      </w:r>
      <w:r>
        <w:rPr>
          <w:sz w:val="14"/>
        </w:rPr>
        <w:t>Acquisitions)</w:t>
      </w:r>
      <w:r>
        <w:rPr>
          <w:spacing w:val="-1"/>
          <w:sz w:val="14"/>
        </w:rPr>
        <w:t> </w:t>
      </w:r>
      <w:r>
        <w:rPr>
          <w:sz w:val="14"/>
        </w:rPr>
        <w:t>to</w:t>
      </w:r>
      <w:r>
        <w:rPr>
          <w:spacing w:val="-1"/>
          <w:sz w:val="14"/>
        </w:rPr>
        <w:t> </w:t>
      </w:r>
      <w:r>
        <w:rPr>
          <w:sz w:val="14"/>
        </w:rPr>
        <w:t>the</w:t>
      </w:r>
      <w:r>
        <w:rPr>
          <w:spacing w:val="-1"/>
          <w:sz w:val="14"/>
        </w:rPr>
        <w:t> </w:t>
      </w:r>
      <w:r>
        <w:rPr>
          <w:sz w:val="14"/>
        </w:rPr>
        <w:t>consolidated</w:t>
      </w:r>
      <w:r>
        <w:rPr>
          <w:spacing w:val="40"/>
          <w:sz w:val="14"/>
        </w:rPr>
        <w:t> </w:t>
      </w:r>
      <w:r>
        <w:rPr>
          <w:sz w:val="14"/>
        </w:rPr>
        <w:t>financial statements for additional information on this transaction.</w:t>
      </w:r>
    </w:p>
    <w:p>
      <w:pPr>
        <w:pStyle w:val="ListParagraph"/>
        <w:numPr>
          <w:ilvl w:val="0"/>
          <w:numId w:val="62"/>
        </w:numPr>
        <w:tabs>
          <w:tab w:pos="460" w:val="left" w:leader="none"/>
          <w:tab w:pos="462" w:val="left" w:leader="none"/>
        </w:tabs>
        <w:spacing w:line="228" w:lineRule="auto" w:before="0" w:after="0"/>
        <w:ind w:left="462" w:right="296" w:hanging="306"/>
        <w:jc w:val="left"/>
        <w:rPr>
          <w:sz w:val="14"/>
        </w:rPr>
      </w:pPr>
      <w:r>
        <w:rPr>
          <w:sz w:val="14"/>
        </w:rPr>
        <w:t>Primarily</w:t>
      </w:r>
      <w:r>
        <w:rPr>
          <w:spacing w:val="-1"/>
          <w:sz w:val="14"/>
        </w:rPr>
        <w:t> </w:t>
      </w:r>
      <w:r>
        <w:rPr>
          <w:sz w:val="14"/>
        </w:rPr>
        <w:t>represents</w:t>
      </w:r>
      <w:r>
        <w:rPr>
          <w:spacing w:val="-1"/>
          <w:sz w:val="14"/>
        </w:rPr>
        <w:t> </w:t>
      </w:r>
      <w:r>
        <w:rPr>
          <w:sz w:val="14"/>
        </w:rPr>
        <w:t>the</w:t>
      </w:r>
      <w:r>
        <w:rPr>
          <w:spacing w:val="-1"/>
          <w:sz w:val="14"/>
        </w:rPr>
        <w:t> </w:t>
      </w:r>
      <w:r>
        <w:rPr>
          <w:sz w:val="14"/>
        </w:rPr>
        <w:t>equity</w:t>
      </w:r>
      <w:r>
        <w:rPr>
          <w:spacing w:val="-1"/>
          <w:sz w:val="14"/>
        </w:rPr>
        <w:t> </w:t>
      </w:r>
      <w:r>
        <w:rPr>
          <w:sz w:val="14"/>
        </w:rPr>
        <w:t>earnings</w:t>
      </w:r>
      <w:r>
        <w:rPr>
          <w:spacing w:val="-1"/>
          <w:sz w:val="14"/>
        </w:rPr>
        <w:t> </w:t>
      </w:r>
      <w:r>
        <w:rPr>
          <w:sz w:val="14"/>
        </w:rPr>
        <w:t>of</w:t>
      </w:r>
      <w:r>
        <w:rPr>
          <w:spacing w:val="-1"/>
          <w:sz w:val="14"/>
        </w:rPr>
        <w:t> </w:t>
      </w:r>
      <w:r>
        <w:rPr>
          <w:sz w:val="14"/>
        </w:rPr>
        <w:t>HSG</w:t>
      </w:r>
      <w:r>
        <w:rPr>
          <w:spacing w:val="-1"/>
          <w:sz w:val="14"/>
        </w:rPr>
        <w:t> </w:t>
      </w:r>
      <w:r>
        <w:rPr>
          <w:sz w:val="14"/>
        </w:rPr>
        <w:t>prior</w:t>
      </w:r>
      <w:r>
        <w:rPr>
          <w:spacing w:val="-1"/>
          <w:sz w:val="14"/>
        </w:rPr>
        <w:t> </w:t>
      </w:r>
      <w:r>
        <w:rPr>
          <w:sz w:val="14"/>
        </w:rPr>
        <w:t>to</w:t>
      </w:r>
      <w:r>
        <w:rPr>
          <w:spacing w:val="-2"/>
          <w:sz w:val="14"/>
        </w:rPr>
        <w:t> </w:t>
      </w:r>
      <w:r>
        <w:rPr>
          <w:sz w:val="14"/>
        </w:rPr>
        <w:t>September</w:t>
      </w:r>
      <w:r>
        <w:rPr>
          <w:spacing w:val="-1"/>
          <w:sz w:val="14"/>
        </w:rPr>
        <w:t> </w:t>
      </w:r>
      <w:r>
        <w:rPr>
          <w:sz w:val="14"/>
        </w:rPr>
        <w:t>9,</w:t>
      </w:r>
      <w:r>
        <w:rPr>
          <w:spacing w:val="-1"/>
          <w:sz w:val="14"/>
        </w:rPr>
        <w:t> </w:t>
      </w:r>
      <w:r>
        <w:rPr>
          <w:sz w:val="14"/>
        </w:rPr>
        <w:t>2020.</w:t>
      </w:r>
      <w:r>
        <w:rPr>
          <w:spacing w:val="-2"/>
          <w:sz w:val="14"/>
        </w:rPr>
        <w:t> </w:t>
      </w:r>
      <w:r>
        <w:rPr>
          <w:sz w:val="14"/>
        </w:rPr>
        <w:t>Refer</w:t>
      </w:r>
      <w:r>
        <w:rPr>
          <w:spacing w:val="-1"/>
          <w:sz w:val="14"/>
        </w:rPr>
        <w:t> </w:t>
      </w:r>
      <w:r>
        <w:rPr>
          <w:sz w:val="14"/>
        </w:rPr>
        <w:t>to</w:t>
      </w:r>
      <w:r>
        <w:rPr>
          <w:spacing w:val="-1"/>
          <w:sz w:val="14"/>
        </w:rPr>
        <w:t> </w:t>
      </w:r>
      <w:r>
        <w:rPr>
          <w:sz w:val="14"/>
        </w:rPr>
        <w:t>Note</w:t>
      </w:r>
      <w:r>
        <w:rPr>
          <w:spacing w:val="-2"/>
          <w:sz w:val="14"/>
        </w:rPr>
        <w:t> </w:t>
      </w:r>
      <w:r>
        <w:rPr>
          <w:sz w:val="14"/>
        </w:rPr>
        <w:t>3</w:t>
      </w:r>
      <w:r>
        <w:rPr>
          <w:spacing w:val="-1"/>
          <w:sz w:val="14"/>
        </w:rPr>
        <w:t> </w:t>
      </w:r>
      <w:r>
        <w:rPr>
          <w:sz w:val="14"/>
        </w:rPr>
        <w:t>(Investments)</w:t>
      </w:r>
      <w:r>
        <w:rPr>
          <w:spacing w:val="-1"/>
          <w:sz w:val="14"/>
        </w:rPr>
        <w:t> </w:t>
      </w:r>
      <w:r>
        <w:rPr>
          <w:sz w:val="14"/>
        </w:rPr>
        <w:t>and</w:t>
      </w:r>
      <w:r>
        <w:rPr>
          <w:spacing w:val="-1"/>
          <w:sz w:val="14"/>
        </w:rPr>
        <w:t> </w:t>
      </w:r>
      <w:r>
        <w:rPr>
          <w:sz w:val="14"/>
        </w:rPr>
        <w:t>Note</w:t>
      </w:r>
      <w:r>
        <w:rPr>
          <w:spacing w:val="-2"/>
          <w:sz w:val="14"/>
        </w:rPr>
        <w:t> </w:t>
      </w:r>
      <w:r>
        <w:rPr>
          <w:sz w:val="14"/>
        </w:rPr>
        <w:t>4</w:t>
      </w:r>
      <w:r>
        <w:rPr>
          <w:spacing w:val="-1"/>
          <w:sz w:val="14"/>
        </w:rPr>
        <w:t> </w:t>
      </w:r>
      <w:r>
        <w:rPr>
          <w:sz w:val="14"/>
        </w:rPr>
        <w:t>(HSG</w:t>
      </w:r>
      <w:r>
        <w:rPr>
          <w:spacing w:val="-1"/>
          <w:sz w:val="14"/>
        </w:rPr>
        <w:t> </w:t>
      </w:r>
      <w:r>
        <w:rPr>
          <w:sz w:val="14"/>
        </w:rPr>
        <w:t>Transactions</w:t>
      </w:r>
      <w:r>
        <w:rPr>
          <w:spacing w:val="-1"/>
          <w:sz w:val="14"/>
        </w:rPr>
        <w:t> </w:t>
      </w:r>
      <w:r>
        <w:rPr>
          <w:sz w:val="14"/>
        </w:rPr>
        <w:t>and</w:t>
      </w:r>
      <w:r>
        <w:rPr>
          <w:spacing w:val="-1"/>
          <w:sz w:val="14"/>
        </w:rPr>
        <w:t> </w:t>
      </w:r>
      <w:r>
        <w:rPr>
          <w:sz w:val="14"/>
        </w:rPr>
        <w:t>Acquisitions)</w:t>
      </w:r>
      <w:r>
        <w:rPr>
          <w:spacing w:val="-1"/>
          <w:sz w:val="14"/>
        </w:rPr>
        <w:t> </w:t>
      </w:r>
      <w:r>
        <w:rPr>
          <w:sz w:val="14"/>
        </w:rPr>
        <w:t>to</w:t>
      </w:r>
      <w:r>
        <w:rPr>
          <w:spacing w:val="-1"/>
          <w:sz w:val="14"/>
        </w:rPr>
        <w:t> </w:t>
      </w:r>
      <w:r>
        <w:rPr>
          <w:sz w:val="14"/>
        </w:rPr>
        <w:t>the</w:t>
      </w:r>
      <w:r>
        <w:rPr>
          <w:spacing w:val="-1"/>
          <w:sz w:val="14"/>
        </w:rPr>
        <w:t> </w:t>
      </w:r>
      <w:r>
        <w:rPr>
          <w:sz w:val="14"/>
        </w:rPr>
        <w:t>consolidated</w:t>
      </w:r>
      <w:r>
        <w:rPr>
          <w:spacing w:val="-1"/>
          <w:sz w:val="14"/>
        </w:rPr>
        <w:t> </w:t>
      </w:r>
      <w:r>
        <w:rPr>
          <w:sz w:val="14"/>
        </w:rPr>
        <w:t>financial</w:t>
      </w:r>
      <w:r>
        <w:rPr>
          <w:spacing w:val="-1"/>
          <w:sz w:val="14"/>
        </w:rPr>
        <w:t> </w:t>
      </w:r>
      <w:r>
        <w:rPr>
          <w:sz w:val="14"/>
        </w:rPr>
        <w:t>statements</w:t>
      </w:r>
      <w:r>
        <w:rPr>
          <w:spacing w:val="40"/>
          <w:sz w:val="14"/>
        </w:rPr>
        <w:t> </w:t>
      </w:r>
      <w:r>
        <w:rPr>
          <w:sz w:val="14"/>
        </w:rPr>
        <w:t>for more information.</w:t>
      </w:r>
    </w:p>
    <w:p>
      <w:pPr>
        <w:pStyle w:val="ListParagraph"/>
        <w:numPr>
          <w:ilvl w:val="0"/>
          <w:numId w:val="62"/>
        </w:numPr>
        <w:tabs>
          <w:tab w:pos="460" w:val="left" w:leader="none"/>
          <w:tab w:pos="462" w:val="left" w:leader="none"/>
        </w:tabs>
        <w:spacing w:line="228" w:lineRule="auto" w:before="0" w:after="0"/>
        <w:ind w:left="462" w:right="347" w:hanging="306"/>
        <w:jc w:val="left"/>
        <w:rPr>
          <w:sz w:val="14"/>
        </w:rPr>
      </w:pPr>
      <w:r>
        <w:rPr>
          <w:sz w:val="14"/>
        </w:rPr>
        <w:t>Amount</w:t>
      </w:r>
      <w:r>
        <w:rPr>
          <w:spacing w:val="-1"/>
          <w:sz w:val="14"/>
        </w:rPr>
        <w:t> </w:t>
      </w:r>
      <w:r>
        <w:rPr>
          <w:sz w:val="14"/>
        </w:rPr>
        <w:t>represents</w:t>
      </w:r>
      <w:r>
        <w:rPr>
          <w:spacing w:val="-1"/>
          <w:sz w:val="14"/>
        </w:rPr>
        <w:t> </w:t>
      </w:r>
      <w:r>
        <w:rPr>
          <w:sz w:val="14"/>
        </w:rPr>
        <w:t>the</w:t>
      </w:r>
      <w:r>
        <w:rPr>
          <w:spacing w:val="-1"/>
          <w:sz w:val="14"/>
        </w:rPr>
        <w:t> </w:t>
      </w:r>
      <w:r>
        <w:rPr>
          <w:sz w:val="14"/>
        </w:rPr>
        <w:t>negative</w:t>
      </w:r>
      <w:r>
        <w:rPr>
          <w:spacing w:val="-1"/>
          <w:sz w:val="14"/>
        </w:rPr>
        <w:t> </w:t>
      </w:r>
      <w:r>
        <w:rPr>
          <w:sz w:val="14"/>
        </w:rPr>
        <w:t>impact</w:t>
      </w:r>
      <w:r>
        <w:rPr>
          <w:spacing w:val="-1"/>
          <w:sz w:val="14"/>
        </w:rPr>
        <w:t> </w:t>
      </w:r>
      <w:r>
        <w:rPr>
          <w:sz w:val="14"/>
        </w:rPr>
        <w:t>of</w:t>
      </w:r>
      <w:r>
        <w:rPr>
          <w:spacing w:val="-1"/>
          <w:sz w:val="14"/>
        </w:rPr>
        <w:t> </w:t>
      </w:r>
      <w:r>
        <w:rPr>
          <w:sz w:val="14"/>
        </w:rPr>
        <w:t>a</w:t>
      </w:r>
      <w:r>
        <w:rPr>
          <w:spacing w:val="-1"/>
          <w:sz w:val="14"/>
        </w:rPr>
        <w:t> </w:t>
      </w:r>
      <w:r>
        <w:rPr>
          <w:sz w:val="14"/>
        </w:rPr>
        <w:t>cumulative</w:t>
      </w:r>
      <w:r>
        <w:rPr>
          <w:spacing w:val="-1"/>
          <w:sz w:val="14"/>
        </w:rPr>
        <w:t> </w:t>
      </w:r>
      <w:r>
        <w:rPr>
          <w:sz w:val="14"/>
        </w:rPr>
        <w:t>adjustment</w:t>
      </w:r>
      <w:r>
        <w:rPr>
          <w:spacing w:val="-1"/>
          <w:sz w:val="14"/>
        </w:rPr>
        <w:t> </w:t>
      </w:r>
      <w:r>
        <w:rPr>
          <w:sz w:val="14"/>
        </w:rPr>
        <w:t>to</w:t>
      </w:r>
      <w:r>
        <w:rPr>
          <w:spacing w:val="-1"/>
          <w:sz w:val="14"/>
        </w:rPr>
        <w:t> </w:t>
      </w:r>
      <w:r>
        <w:rPr>
          <w:sz w:val="14"/>
        </w:rPr>
        <w:t>reduce</w:t>
      </w:r>
      <w:r>
        <w:rPr>
          <w:spacing w:val="-1"/>
          <w:sz w:val="14"/>
        </w:rPr>
        <w:t> </w:t>
      </w:r>
      <w:r>
        <w:rPr>
          <w:sz w:val="14"/>
        </w:rPr>
        <w:t>revenue</w:t>
      </w:r>
      <w:r>
        <w:rPr>
          <w:spacing w:val="-1"/>
          <w:sz w:val="14"/>
        </w:rPr>
        <w:t> </w:t>
      </w:r>
      <w:r>
        <w:rPr>
          <w:sz w:val="14"/>
        </w:rPr>
        <w:t>in</w:t>
      </w:r>
      <w:r>
        <w:rPr>
          <w:spacing w:val="-1"/>
          <w:sz w:val="14"/>
        </w:rPr>
        <w:t> </w:t>
      </w:r>
      <w:r>
        <w:rPr>
          <w:sz w:val="14"/>
        </w:rPr>
        <w:t>the</w:t>
      </w:r>
      <w:r>
        <w:rPr>
          <w:spacing w:val="-1"/>
          <w:sz w:val="14"/>
        </w:rPr>
        <w:t> </w:t>
      </w:r>
      <w:r>
        <w:rPr>
          <w:sz w:val="14"/>
        </w:rPr>
        <w:t>amount</w:t>
      </w:r>
      <w:r>
        <w:rPr>
          <w:spacing w:val="-1"/>
          <w:sz w:val="14"/>
        </w:rPr>
        <w:t> </w:t>
      </w:r>
      <w:r>
        <w:rPr>
          <w:sz w:val="14"/>
        </w:rPr>
        <w:t>of</w:t>
      </w:r>
      <w:r>
        <w:rPr>
          <w:spacing w:val="-1"/>
          <w:sz w:val="14"/>
        </w:rPr>
        <w:t> </w:t>
      </w:r>
      <w:r>
        <w:rPr>
          <w:sz w:val="14"/>
        </w:rPr>
        <w:t>$105</w:t>
      </w:r>
      <w:r>
        <w:rPr>
          <w:spacing w:val="-1"/>
          <w:sz w:val="14"/>
        </w:rPr>
        <w:t> </w:t>
      </w:r>
      <w:r>
        <w:rPr>
          <w:sz w:val="14"/>
        </w:rPr>
        <w:t>million</w:t>
      </w:r>
      <w:r>
        <w:rPr>
          <w:spacing w:val="-1"/>
          <w:sz w:val="14"/>
        </w:rPr>
        <w:t> </w:t>
      </w:r>
      <w:r>
        <w:rPr>
          <w:sz w:val="14"/>
        </w:rPr>
        <w:t>recorded</w:t>
      </w:r>
      <w:r>
        <w:rPr>
          <w:spacing w:val="-1"/>
          <w:sz w:val="14"/>
        </w:rPr>
        <w:t> </w:t>
      </w:r>
      <w:r>
        <w:rPr>
          <w:sz w:val="14"/>
        </w:rPr>
        <w:t>during</w:t>
      </w:r>
      <w:r>
        <w:rPr>
          <w:spacing w:val="-1"/>
          <w:sz w:val="14"/>
        </w:rPr>
        <w:t> </w:t>
      </w:r>
      <w:r>
        <w:rPr>
          <w:sz w:val="14"/>
        </w:rPr>
        <w:t>the</w:t>
      </w:r>
      <w:r>
        <w:rPr>
          <w:spacing w:val="-5"/>
          <w:sz w:val="14"/>
        </w:rPr>
        <w:t> </w:t>
      </w:r>
      <w:r>
        <w:rPr>
          <w:sz w:val="14"/>
        </w:rPr>
        <w:t>first</w:t>
      </w:r>
      <w:r>
        <w:rPr>
          <w:spacing w:val="-1"/>
          <w:sz w:val="14"/>
        </w:rPr>
        <w:t> </w:t>
      </w:r>
      <w:r>
        <w:rPr>
          <w:sz w:val="14"/>
        </w:rPr>
        <w:t>quarter</w:t>
      </w:r>
      <w:r>
        <w:rPr>
          <w:spacing w:val="-2"/>
          <w:sz w:val="14"/>
        </w:rPr>
        <w:t> </w:t>
      </w:r>
      <w:r>
        <w:rPr>
          <w:sz w:val="14"/>
        </w:rPr>
        <w:t>of 2020.</w:t>
      </w:r>
      <w:r>
        <w:rPr>
          <w:spacing w:val="-1"/>
          <w:sz w:val="14"/>
        </w:rPr>
        <w:t> </w:t>
      </w:r>
      <w:r>
        <w:rPr>
          <w:sz w:val="14"/>
        </w:rPr>
        <w:t>The</w:t>
      </w:r>
      <w:r>
        <w:rPr>
          <w:spacing w:val="-1"/>
          <w:sz w:val="14"/>
        </w:rPr>
        <w:t> </w:t>
      </w:r>
      <w:r>
        <w:rPr>
          <w:sz w:val="14"/>
        </w:rPr>
        <w:t>adjustment</w:t>
      </w:r>
      <w:r>
        <w:rPr>
          <w:spacing w:val="-1"/>
          <w:sz w:val="14"/>
        </w:rPr>
        <w:t> </w:t>
      </w:r>
      <w:r>
        <w:rPr>
          <w:sz w:val="14"/>
        </w:rPr>
        <w:t>was</w:t>
      </w:r>
      <w:r>
        <w:rPr>
          <w:spacing w:val="-1"/>
          <w:sz w:val="14"/>
        </w:rPr>
        <w:t> </w:t>
      </w:r>
      <w:r>
        <w:rPr>
          <w:sz w:val="14"/>
        </w:rPr>
        <w:t>associated</w:t>
      </w:r>
      <w:r>
        <w:rPr>
          <w:spacing w:val="-1"/>
          <w:sz w:val="14"/>
        </w:rPr>
        <w:t> </w:t>
      </w:r>
      <w:r>
        <w:rPr>
          <w:sz w:val="14"/>
        </w:rPr>
        <w:t>with</w:t>
      </w:r>
      <w:r>
        <w:rPr>
          <w:spacing w:val="-1"/>
          <w:sz w:val="14"/>
        </w:rPr>
        <w:t> </w:t>
      </w:r>
      <w:r>
        <w:rPr>
          <w:sz w:val="14"/>
        </w:rPr>
        <w:t>a</w:t>
      </w:r>
      <w:r>
        <w:rPr>
          <w:spacing w:val="40"/>
          <w:sz w:val="14"/>
        </w:rPr>
        <w:t> </w:t>
      </w:r>
      <w:r>
        <w:rPr>
          <w:sz w:val="14"/>
        </w:rPr>
        <w:t>previously recorded commercial benefit asset, reflected as a prepayment, to a customer with a long-term supply agreement that substantially exited its production of LCD panels. Refer to Note</w:t>
      </w:r>
      <w:r>
        <w:rPr>
          <w:spacing w:val="-2"/>
          <w:sz w:val="14"/>
        </w:rPr>
        <w:t> </w:t>
      </w:r>
      <w:r>
        <w:rPr>
          <w:sz w:val="14"/>
        </w:rPr>
        <w:t>5</w:t>
      </w:r>
      <w:r>
        <w:rPr>
          <w:spacing w:val="40"/>
          <w:sz w:val="14"/>
        </w:rPr>
        <w:t> </w:t>
      </w:r>
      <w:r>
        <w:rPr>
          <w:sz w:val="14"/>
        </w:rPr>
        <w:t>(Revenue) to the consolidated financial statements for additional information.</w:t>
      </w:r>
    </w:p>
    <w:p>
      <w:pPr>
        <w:pStyle w:val="ListParagraph"/>
        <w:numPr>
          <w:ilvl w:val="0"/>
          <w:numId w:val="62"/>
        </w:numPr>
        <w:tabs>
          <w:tab w:pos="460" w:val="left" w:leader="none"/>
        </w:tabs>
        <w:spacing w:line="150" w:lineRule="exact" w:before="0" w:after="0"/>
        <w:ind w:left="460" w:right="0" w:hanging="304"/>
        <w:jc w:val="left"/>
        <w:rPr>
          <w:sz w:val="14"/>
        </w:rPr>
      </w:pPr>
      <w:r>
        <w:rPr>
          <w:sz w:val="14"/>
        </w:rPr>
        <w:t>Refer</w:t>
      </w:r>
      <w:r>
        <w:rPr>
          <w:spacing w:val="-1"/>
          <w:sz w:val="14"/>
        </w:rPr>
        <w:t> </w:t>
      </w:r>
      <w:r>
        <w:rPr>
          <w:sz w:val="14"/>
        </w:rPr>
        <w:t>to Note</w:t>
      </w:r>
      <w:r>
        <w:rPr>
          <w:spacing w:val="-2"/>
          <w:sz w:val="14"/>
        </w:rPr>
        <w:t> </w:t>
      </w:r>
      <w:r>
        <w:rPr>
          <w:sz w:val="14"/>
        </w:rPr>
        <w:t>12 (Debt)</w:t>
      </w:r>
      <w:r>
        <w:rPr>
          <w:spacing w:val="-1"/>
          <w:sz w:val="14"/>
        </w:rPr>
        <w:t> </w:t>
      </w:r>
      <w:r>
        <w:rPr>
          <w:sz w:val="14"/>
        </w:rPr>
        <w:t>to the</w:t>
      </w:r>
      <w:r>
        <w:rPr>
          <w:spacing w:val="-1"/>
          <w:sz w:val="14"/>
        </w:rPr>
        <w:t> </w:t>
      </w:r>
      <w:r>
        <w:rPr>
          <w:sz w:val="14"/>
        </w:rPr>
        <w:t>consolidated financial</w:t>
      </w:r>
      <w:r>
        <w:rPr>
          <w:spacing w:val="-1"/>
          <w:sz w:val="14"/>
        </w:rPr>
        <w:t> </w:t>
      </w:r>
      <w:r>
        <w:rPr>
          <w:sz w:val="14"/>
        </w:rPr>
        <w:t>statements for</w:t>
      </w:r>
      <w:r>
        <w:rPr>
          <w:spacing w:val="-1"/>
          <w:sz w:val="14"/>
        </w:rPr>
        <w:t> </w:t>
      </w:r>
      <w:r>
        <w:rPr>
          <w:sz w:val="14"/>
        </w:rPr>
        <w:t>additional information</w:t>
      </w:r>
      <w:r>
        <w:rPr>
          <w:spacing w:val="-1"/>
          <w:sz w:val="14"/>
        </w:rPr>
        <w:t> </w:t>
      </w:r>
      <w:r>
        <w:rPr>
          <w:sz w:val="14"/>
        </w:rPr>
        <w:t>on the</w:t>
      </w:r>
      <w:r>
        <w:rPr>
          <w:spacing w:val="-1"/>
          <w:sz w:val="14"/>
        </w:rPr>
        <w:t> </w:t>
      </w:r>
      <w:r>
        <w:rPr>
          <w:sz w:val="14"/>
        </w:rPr>
        <w:t>bond redemption </w:t>
      </w:r>
      <w:r>
        <w:rPr>
          <w:spacing w:val="-2"/>
          <w:sz w:val="14"/>
        </w:rPr>
        <w:t>loss.</w:t>
      </w:r>
    </w:p>
    <w:p>
      <w:pPr>
        <w:pStyle w:val="ListParagraph"/>
        <w:numPr>
          <w:ilvl w:val="0"/>
          <w:numId w:val="62"/>
        </w:numPr>
        <w:tabs>
          <w:tab w:pos="460" w:val="left" w:leader="none"/>
        </w:tabs>
        <w:spacing w:line="157" w:lineRule="exact" w:before="0" w:after="0"/>
        <w:ind w:left="460" w:right="0" w:hanging="304"/>
        <w:jc w:val="left"/>
        <w:rPr>
          <w:sz w:val="14"/>
        </w:rPr>
      </w:pPr>
      <w:r>
        <w:rPr>
          <w:sz w:val="14"/>
        </w:rPr>
        <w:t>Primarily</w:t>
      </w:r>
      <w:r>
        <w:rPr>
          <w:spacing w:val="-2"/>
          <w:sz w:val="14"/>
        </w:rPr>
        <w:t> </w:t>
      </w:r>
      <w:r>
        <w:rPr>
          <w:sz w:val="14"/>
        </w:rPr>
        <w:t>represents</w:t>
      </w:r>
      <w:r>
        <w:rPr>
          <w:spacing w:val="-1"/>
          <w:sz w:val="14"/>
        </w:rPr>
        <w:t> </w:t>
      </w:r>
      <w:r>
        <w:rPr>
          <w:sz w:val="14"/>
        </w:rPr>
        <w:t>the</w:t>
      </w:r>
      <w:r>
        <w:rPr>
          <w:spacing w:val="-1"/>
          <w:sz w:val="14"/>
        </w:rPr>
        <w:t> </w:t>
      </w:r>
      <w:r>
        <w:rPr>
          <w:sz w:val="14"/>
        </w:rPr>
        <w:t>gain</w:t>
      </w:r>
      <w:r>
        <w:rPr>
          <w:spacing w:val="-1"/>
          <w:sz w:val="14"/>
        </w:rPr>
        <w:t> </w:t>
      </w:r>
      <w:r>
        <w:rPr>
          <w:sz w:val="14"/>
        </w:rPr>
        <w:t>recognized</w:t>
      </w:r>
      <w:r>
        <w:rPr>
          <w:spacing w:val="-1"/>
          <w:sz w:val="14"/>
        </w:rPr>
        <w:t> </w:t>
      </w:r>
      <w:r>
        <w:rPr>
          <w:sz w:val="14"/>
        </w:rPr>
        <w:t>from</w:t>
      </w:r>
      <w:r>
        <w:rPr>
          <w:spacing w:val="-2"/>
          <w:sz w:val="14"/>
        </w:rPr>
        <w:t> </w:t>
      </w:r>
      <w:r>
        <w:rPr>
          <w:sz w:val="14"/>
        </w:rPr>
        <w:t>the</w:t>
      </w:r>
      <w:r>
        <w:rPr>
          <w:spacing w:val="-1"/>
          <w:sz w:val="14"/>
        </w:rPr>
        <w:t> </w:t>
      </w:r>
      <w:r>
        <w:rPr>
          <w:sz w:val="14"/>
        </w:rPr>
        <w:t>initial</w:t>
      </w:r>
      <w:r>
        <w:rPr>
          <w:spacing w:val="-1"/>
          <w:sz w:val="14"/>
        </w:rPr>
        <w:t> </w:t>
      </w:r>
      <w:r>
        <w:rPr>
          <w:sz w:val="14"/>
        </w:rPr>
        <w:t>public</w:t>
      </w:r>
      <w:r>
        <w:rPr>
          <w:spacing w:val="-1"/>
          <w:sz w:val="14"/>
        </w:rPr>
        <w:t> </w:t>
      </w:r>
      <w:r>
        <w:rPr>
          <w:sz w:val="14"/>
        </w:rPr>
        <w:t>offering</w:t>
      </w:r>
      <w:r>
        <w:rPr>
          <w:spacing w:val="-1"/>
          <w:sz w:val="14"/>
        </w:rPr>
        <w:t> </w:t>
      </w:r>
      <w:r>
        <w:rPr>
          <w:sz w:val="14"/>
        </w:rPr>
        <w:t>of</w:t>
      </w:r>
      <w:r>
        <w:rPr>
          <w:spacing w:val="-1"/>
          <w:sz w:val="14"/>
        </w:rPr>
        <w:t> </w:t>
      </w:r>
      <w:r>
        <w:rPr>
          <w:sz w:val="14"/>
        </w:rPr>
        <w:t>an</w:t>
      </w:r>
      <w:r>
        <w:rPr>
          <w:spacing w:val="-2"/>
          <w:sz w:val="14"/>
        </w:rPr>
        <w:t> </w:t>
      </w:r>
      <w:r>
        <w:rPr>
          <w:sz w:val="14"/>
        </w:rPr>
        <w:t>investment</w:t>
      </w:r>
      <w:r>
        <w:rPr>
          <w:spacing w:val="-1"/>
          <w:sz w:val="14"/>
        </w:rPr>
        <w:t> </w:t>
      </w:r>
      <w:r>
        <w:rPr>
          <w:sz w:val="14"/>
        </w:rPr>
        <w:t>in the</w:t>
      </w:r>
      <w:r>
        <w:rPr>
          <w:spacing w:val="-4"/>
          <w:sz w:val="14"/>
        </w:rPr>
        <w:t> </w:t>
      </w:r>
      <w:r>
        <w:rPr>
          <w:sz w:val="14"/>
        </w:rPr>
        <w:t>fourth</w:t>
      </w:r>
      <w:r>
        <w:rPr>
          <w:spacing w:val="-1"/>
          <w:sz w:val="14"/>
        </w:rPr>
        <w:t> </w:t>
      </w:r>
      <w:r>
        <w:rPr>
          <w:sz w:val="14"/>
        </w:rPr>
        <w:t>quarter</w:t>
      </w:r>
      <w:r>
        <w:rPr>
          <w:spacing w:val="-2"/>
          <w:sz w:val="14"/>
        </w:rPr>
        <w:t> </w:t>
      </w:r>
      <w:r>
        <w:rPr>
          <w:sz w:val="14"/>
        </w:rPr>
        <w:t>of </w:t>
      </w:r>
      <w:r>
        <w:rPr>
          <w:spacing w:val="-2"/>
          <w:sz w:val="14"/>
        </w:rPr>
        <w:t>2020.</w:t>
      </w:r>
    </w:p>
    <w:p>
      <w:pPr>
        <w:pStyle w:val="BodyText"/>
        <w:spacing w:before="41"/>
        <w:rPr>
          <w:sz w:val="14"/>
        </w:rPr>
      </w:pPr>
    </w:p>
    <w:p>
      <w:pPr>
        <w:pStyle w:val="BodyText"/>
        <w:ind w:left="48"/>
        <w:jc w:val="center"/>
      </w:pPr>
      <w:r>
        <w:rPr>
          <w:spacing w:val="-5"/>
          <w:w w:val="105"/>
        </w:rPr>
        <w:t>116</w:t>
      </w:r>
    </w:p>
    <w:p>
      <w:pPr>
        <w:pStyle w:val="BodyText"/>
        <w:rPr>
          <w:sz w:val="6"/>
        </w:rPr>
      </w:pPr>
      <w:r>
        <w:rPr/>
        <mc:AlternateContent>
          <mc:Choice Requires="wps">
            <w:drawing>
              <wp:anchor distT="0" distB="0" distL="0" distR="0" allowOverlap="1" layoutInCell="1" locked="0" behindDoc="1" simplePos="0" relativeHeight="487753728">
                <wp:simplePos x="0" y="0"/>
                <wp:positionH relativeFrom="page">
                  <wp:posOffset>226488</wp:posOffset>
                </wp:positionH>
                <wp:positionV relativeFrom="paragraph">
                  <wp:posOffset>59051</wp:posOffset>
                </wp:positionV>
                <wp:extent cx="7312659" cy="16510"/>
                <wp:effectExtent l="0" t="0" r="0" b="0"/>
                <wp:wrapTopAndBottom/>
                <wp:docPr id="1087" name="Graphic 1087"/>
                <wp:cNvGraphicFramePr>
                  <a:graphicFrameLocks/>
                </wp:cNvGraphicFramePr>
                <a:graphic>
                  <a:graphicData uri="http://schemas.microsoft.com/office/word/2010/wordprocessingShape">
                    <wps:wsp>
                      <wps:cNvPr id="1087" name="Graphic 1087"/>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562752;mso-wrap-distance-left:0;mso-wrap-distance-right:0" id="docshape1086"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5"/>
        <w:rPr>
          <w:sz w:val="19"/>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1"/>
        <w:gridCol w:w="331"/>
        <w:gridCol w:w="641"/>
        <w:gridCol w:w="631"/>
        <w:gridCol w:w="295"/>
        <w:gridCol w:w="1422"/>
        <w:gridCol w:w="445"/>
        <w:gridCol w:w="641"/>
        <w:gridCol w:w="631"/>
      </w:tblGrid>
      <w:tr>
        <w:trPr>
          <w:trHeight w:val="718" w:hRule="atLeast"/>
        </w:trPr>
        <w:tc>
          <w:tcPr>
            <w:tcW w:w="6471" w:type="dxa"/>
            <w:tcBorders>
              <w:bottom w:val="single" w:sz="12" w:space="0" w:color="000000"/>
            </w:tcBorders>
          </w:tcPr>
          <w:p>
            <w:pPr>
              <w:pStyle w:val="TableParagraph"/>
              <w:spacing w:line="182" w:lineRule="exact"/>
              <w:rPr>
                <w:b/>
                <w:sz w:val="16"/>
              </w:rPr>
            </w:pPr>
            <w:r>
              <w:rPr>
                <w:b/>
                <w:w w:val="105"/>
                <w:sz w:val="16"/>
              </w:rPr>
              <w:t>20.</w:t>
            </w:r>
            <w:r>
              <w:rPr>
                <w:b/>
                <w:spacing w:val="19"/>
                <w:w w:val="105"/>
                <w:sz w:val="16"/>
              </w:rPr>
              <w:t> </w:t>
            </w:r>
            <w:r>
              <w:rPr>
                <w:b/>
                <w:w w:val="105"/>
                <w:sz w:val="16"/>
              </w:rPr>
              <w:t>Reportable</w:t>
            </w:r>
            <w:r>
              <w:rPr>
                <w:b/>
                <w:spacing w:val="-10"/>
                <w:w w:val="105"/>
                <w:sz w:val="16"/>
              </w:rPr>
              <w:t> </w:t>
            </w:r>
            <w:r>
              <w:rPr>
                <w:b/>
                <w:w w:val="105"/>
                <w:sz w:val="16"/>
              </w:rPr>
              <w:t>Segments</w:t>
            </w:r>
            <w:r>
              <w:rPr>
                <w:b/>
                <w:spacing w:val="-11"/>
                <w:w w:val="105"/>
                <w:sz w:val="16"/>
              </w:rPr>
              <w:t> </w:t>
            </w:r>
            <w:r>
              <w:rPr>
                <w:b/>
                <w:spacing w:val="-2"/>
                <w:w w:val="105"/>
                <w:sz w:val="16"/>
              </w:rPr>
              <w:t>(Continued)</w:t>
            </w:r>
          </w:p>
          <w:p>
            <w:pPr>
              <w:pStyle w:val="TableParagraph"/>
              <w:spacing w:before="39"/>
              <w:rPr>
                <w:sz w:val="16"/>
              </w:rPr>
            </w:pPr>
          </w:p>
          <w:p>
            <w:pPr>
              <w:pStyle w:val="TableParagraph"/>
              <w:rPr>
                <w:sz w:val="16"/>
              </w:rPr>
            </w:pPr>
            <w:r>
              <w:rPr>
                <w:w w:val="105"/>
                <w:sz w:val="16"/>
              </w:rPr>
              <w:t>A</w:t>
            </w:r>
            <w:r>
              <w:rPr>
                <w:spacing w:val="-11"/>
                <w:w w:val="105"/>
                <w:sz w:val="16"/>
              </w:rPr>
              <w:t> </w:t>
            </w:r>
            <w:r>
              <w:rPr>
                <w:w w:val="105"/>
                <w:sz w:val="16"/>
              </w:rPr>
              <w:t>reconciliation</w:t>
            </w:r>
            <w:r>
              <w:rPr>
                <w:spacing w:val="-10"/>
                <w:w w:val="105"/>
                <w:sz w:val="16"/>
              </w:rPr>
              <w:t> </w:t>
            </w:r>
            <w:r>
              <w:rPr>
                <w:w w:val="105"/>
                <w:sz w:val="16"/>
              </w:rPr>
              <w:t>of</w:t>
            </w:r>
            <w:r>
              <w:rPr>
                <w:spacing w:val="-10"/>
                <w:w w:val="105"/>
                <w:sz w:val="16"/>
              </w:rPr>
              <w:t> </w:t>
            </w:r>
            <w:r>
              <w:rPr>
                <w:w w:val="105"/>
                <w:sz w:val="16"/>
              </w:rPr>
              <w:t>reportable</w:t>
            </w:r>
            <w:r>
              <w:rPr>
                <w:spacing w:val="-11"/>
                <w:w w:val="105"/>
                <w:sz w:val="16"/>
              </w:rPr>
              <w:t> </w:t>
            </w:r>
            <w:r>
              <w:rPr>
                <w:w w:val="105"/>
                <w:sz w:val="16"/>
              </w:rPr>
              <w:t>segment</w:t>
            </w:r>
            <w:r>
              <w:rPr>
                <w:spacing w:val="-10"/>
                <w:w w:val="105"/>
                <w:sz w:val="16"/>
              </w:rPr>
              <w:t> </w:t>
            </w:r>
            <w:r>
              <w:rPr>
                <w:w w:val="105"/>
                <w:sz w:val="16"/>
              </w:rPr>
              <w:t>assets</w:t>
            </w:r>
            <w:r>
              <w:rPr>
                <w:spacing w:val="-10"/>
                <w:w w:val="105"/>
                <w:sz w:val="16"/>
              </w:rPr>
              <w:t> </w:t>
            </w:r>
            <w:r>
              <w:rPr>
                <w:w w:val="105"/>
                <w:sz w:val="16"/>
              </w:rPr>
              <w:t>to</w:t>
            </w:r>
            <w:r>
              <w:rPr>
                <w:spacing w:val="-9"/>
                <w:w w:val="105"/>
                <w:sz w:val="16"/>
              </w:rPr>
              <w:t> </w:t>
            </w:r>
            <w:r>
              <w:rPr>
                <w:w w:val="105"/>
                <w:sz w:val="16"/>
              </w:rPr>
              <w:t>consolidated</w:t>
            </w:r>
            <w:r>
              <w:rPr>
                <w:spacing w:val="-10"/>
                <w:w w:val="105"/>
                <w:sz w:val="16"/>
              </w:rPr>
              <w:t> </w:t>
            </w:r>
            <w:r>
              <w:rPr>
                <w:w w:val="105"/>
                <w:sz w:val="16"/>
              </w:rPr>
              <w:t>total</w:t>
            </w:r>
            <w:r>
              <w:rPr>
                <w:spacing w:val="-11"/>
                <w:w w:val="105"/>
                <w:sz w:val="16"/>
              </w:rPr>
              <w:t> </w:t>
            </w:r>
            <w:r>
              <w:rPr>
                <w:w w:val="105"/>
                <w:sz w:val="16"/>
              </w:rPr>
              <w:t>assets</w:t>
            </w:r>
            <w:r>
              <w:rPr>
                <w:spacing w:val="-9"/>
                <w:w w:val="105"/>
                <w:sz w:val="16"/>
              </w:rPr>
              <w:t> </w:t>
            </w:r>
            <w:r>
              <w:rPr>
                <w:w w:val="105"/>
                <w:sz w:val="16"/>
              </w:rPr>
              <w:t>follows</w:t>
            </w:r>
            <w:r>
              <w:rPr>
                <w:spacing w:val="-10"/>
                <w:w w:val="105"/>
                <w:sz w:val="16"/>
              </w:rPr>
              <w:t> </w:t>
            </w:r>
            <w:r>
              <w:rPr>
                <w:w w:val="105"/>
                <w:sz w:val="16"/>
              </w:rPr>
              <w:t>(in</w:t>
            </w:r>
            <w:r>
              <w:rPr>
                <w:spacing w:val="-10"/>
                <w:w w:val="105"/>
                <w:sz w:val="16"/>
              </w:rPr>
              <w:t> </w:t>
            </w:r>
            <w:r>
              <w:rPr>
                <w:spacing w:val="-2"/>
                <w:w w:val="105"/>
                <w:sz w:val="16"/>
              </w:rPr>
              <w:t>millions):</w:t>
            </w:r>
          </w:p>
        </w:tc>
        <w:tc>
          <w:tcPr>
            <w:tcW w:w="5037" w:type="dxa"/>
            <w:gridSpan w:val="8"/>
            <w:tcBorders>
              <w:bottom w:val="single" w:sz="12" w:space="0" w:color="000000"/>
            </w:tcBorders>
          </w:tcPr>
          <w:p>
            <w:pPr>
              <w:pStyle w:val="TableParagraph"/>
              <w:rPr>
                <w:sz w:val="14"/>
              </w:rPr>
            </w:pPr>
          </w:p>
        </w:tc>
      </w:tr>
      <w:tr>
        <w:trPr>
          <w:trHeight w:val="200" w:hRule="atLeast"/>
        </w:trPr>
        <w:tc>
          <w:tcPr>
            <w:tcW w:w="6471" w:type="dxa"/>
            <w:tcBorders>
              <w:top w:val="single" w:sz="12" w:space="0" w:color="000000"/>
            </w:tcBorders>
          </w:tcPr>
          <w:p>
            <w:pPr>
              <w:pStyle w:val="TableParagraph"/>
              <w:rPr>
                <w:sz w:val="12"/>
              </w:rPr>
            </w:pPr>
          </w:p>
        </w:tc>
        <w:tc>
          <w:tcPr>
            <w:tcW w:w="331" w:type="dxa"/>
            <w:tcBorders>
              <w:top w:val="single" w:sz="12" w:space="0" w:color="000000"/>
              <w:bottom w:val="single" w:sz="6" w:space="0" w:color="000000"/>
            </w:tcBorders>
          </w:tcPr>
          <w:p>
            <w:pPr>
              <w:pStyle w:val="TableParagraph"/>
              <w:rPr>
                <w:sz w:val="12"/>
              </w:rPr>
            </w:pPr>
          </w:p>
        </w:tc>
        <w:tc>
          <w:tcPr>
            <w:tcW w:w="641" w:type="dxa"/>
            <w:tcBorders>
              <w:top w:val="single" w:sz="12" w:space="0" w:color="000000"/>
              <w:bottom w:val="single" w:sz="6" w:space="0" w:color="000000"/>
            </w:tcBorders>
          </w:tcPr>
          <w:p>
            <w:pPr>
              <w:pStyle w:val="TableParagraph"/>
              <w:rPr>
                <w:sz w:val="12"/>
              </w:rPr>
            </w:pPr>
          </w:p>
        </w:tc>
        <w:tc>
          <w:tcPr>
            <w:tcW w:w="631" w:type="dxa"/>
            <w:tcBorders>
              <w:top w:val="single" w:sz="12" w:space="0" w:color="000000"/>
              <w:bottom w:val="single" w:sz="6" w:space="0" w:color="000000"/>
            </w:tcBorders>
          </w:tcPr>
          <w:p>
            <w:pPr>
              <w:pStyle w:val="TableParagraph"/>
              <w:rPr>
                <w:sz w:val="12"/>
              </w:rPr>
            </w:pPr>
          </w:p>
        </w:tc>
        <w:tc>
          <w:tcPr>
            <w:tcW w:w="295" w:type="dxa"/>
            <w:tcBorders>
              <w:top w:val="single" w:sz="12" w:space="0" w:color="000000"/>
              <w:bottom w:val="single" w:sz="6" w:space="0" w:color="000000"/>
            </w:tcBorders>
          </w:tcPr>
          <w:p>
            <w:pPr>
              <w:pStyle w:val="TableParagraph"/>
              <w:rPr>
                <w:sz w:val="12"/>
              </w:rPr>
            </w:pPr>
          </w:p>
        </w:tc>
        <w:tc>
          <w:tcPr>
            <w:tcW w:w="1422" w:type="dxa"/>
            <w:tcBorders>
              <w:top w:val="single" w:sz="12" w:space="0" w:color="000000"/>
              <w:bottom w:val="single" w:sz="6" w:space="0" w:color="000000"/>
            </w:tcBorders>
          </w:tcPr>
          <w:p>
            <w:pPr>
              <w:pStyle w:val="TableParagraph"/>
              <w:spacing w:line="179" w:lineRule="exact" w:before="1"/>
              <w:ind w:left="102"/>
              <w:rPr>
                <w:sz w:val="16"/>
              </w:rPr>
            </w:pPr>
            <w:r>
              <w:rPr>
                <w:sz w:val="16"/>
              </w:rPr>
              <w:t>December</w:t>
            </w:r>
            <w:r>
              <w:rPr>
                <w:spacing w:val="20"/>
                <w:sz w:val="16"/>
              </w:rPr>
              <w:t> </w:t>
            </w:r>
            <w:r>
              <w:rPr>
                <w:spacing w:val="-5"/>
                <w:sz w:val="16"/>
              </w:rPr>
              <w:t>31,</w:t>
            </w:r>
          </w:p>
        </w:tc>
        <w:tc>
          <w:tcPr>
            <w:tcW w:w="445" w:type="dxa"/>
            <w:tcBorders>
              <w:top w:val="single" w:sz="12" w:space="0" w:color="000000"/>
              <w:bottom w:val="single" w:sz="6" w:space="0" w:color="000000"/>
            </w:tcBorders>
          </w:tcPr>
          <w:p>
            <w:pPr>
              <w:pStyle w:val="TableParagraph"/>
              <w:rPr>
                <w:sz w:val="12"/>
              </w:rPr>
            </w:pPr>
          </w:p>
        </w:tc>
        <w:tc>
          <w:tcPr>
            <w:tcW w:w="641" w:type="dxa"/>
            <w:tcBorders>
              <w:top w:val="single" w:sz="12" w:space="0" w:color="000000"/>
              <w:bottom w:val="single" w:sz="6" w:space="0" w:color="000000"/>
            </w:tcBorders>
          </w:tcPr>
          <w:p>
            <w:pPr>
              <w:pStyle w:val="TableParagraph"/>
              <w:rPr>
                <w:sz w:val="12"/>
              </w:rPr>
            </w:pPr>
          </w:p>
        </w:tc>
        <w:tc>
          <w:tcPr>
            <w:tcW w:w="631" w:type="dxa"/>
            <w:tcBorders>
              <w:top w:val="single" w:sz="12" w:space="0" w:color="000000"/>
              <w:bottom w:val="single" w:sz="6" w:space="0" w:color="000000"/>
            </w:tcBorders>
          </w:tcPr>
          <w:p>
            <w:pPr>
              <w:pStyle w:val="TableParagraph"/>
              <w:rPr>
                <w:sz w:val="12"/>
              </w:rPr>
            </w:pPr>
          </w:p>
        </w:tc>
      </w:tr>
      <w:tr>
        <w:trPr>
          <w:trHeight w:val="201" w:hRule="atLeast"/>
        </w:trPr>
        <w:tc>
          <w:tcPr>
            <w:tcW w:w="6471" w:type="dxa"/>
            <w:tcBorders>
              <w:bottom w:val="single" w:sz="6" w:space="0" w:color="000000"/>
            </w:tcBorders>
          </w:tcPr>
          <w:p>
            <w:pPr>
              <w:pStyle w:val="TableParagraph"/>
              <w:rPr>
                <w:sz w:val="14"/>
              </w:rPr>
            </w:pPr>
          </w:p>
        </w:tc>
        <w:tc>
          <w:tcPr>
            <w:tcW w:w="331" w:type="dxa"/>
            <w:tcBorders>
              <w:top w:val="single" w:sz="6" w:space="0" w:color="000000"/>
              <w:bottom w:val="single" w:sz="6" w:space="0" w:color="000000"/>
            </w:tcBorders>
          </w:tcPr>
          <w:p>
            <w:pPr>
              <w:pStyle w:val="TableParagraph"/>
              <w:rPr>
                <w:sz w:val="14"/>
              </w:rPr>
            </w:pPr>
          </w:p>
        </w:tc>
        <w:tc>
          <w:tcPr>
            <w:tcW w:w="641" w:type="dxa"/>
            <w:tcBorders>
              <w:top w:val="single" w:sz="6" w:space="0" w:color="000000"/>
              <w:bottom w:val="single" w:sz="6" w:space="0" w:color="000000"/>
            </w:tcBorders>
          </w:tcPr>
          <w:p>
            <w:pPr>
              <w:pStyle w:val="TableParagraph"/>
              <w:spacing w:line="179" w:lineRule="exact" w:before="2"/>
              <w:ind w:left="248"/>
              <w:rPr>
                <w:b/>
                <w:sz w:val="16"/>
              </w:rPr>
            </w:pPr>
            <w:r>
              <w:rPr>
                <w:b/>
                <w:spacing w:val="-4"/>
                <w:w w:val="105"/>
                <w:sz w:val="16"/>
              </w:rPr>
              <w:t>2021</w:t>
            </w:r>
          </w:p>
        </w:tc>
        <w:tc>
          <w:tcPr>
            <w:tcW w:w="631" w:type="dxa"/>
            <w:tcBorders>
              <w:top w:val="single" w:sz="6" w:space="0" w:color="000000"/>
              <w:bottom w:val="single" w:sz="6" w:space="0" w:color="000000"/>
            </w:tcBorders>
          </w:tcPr>
          <w:p>
            <w:pPr>
              <w:pStyle w:val="TableParagraph"/>
              <w:rPr>
                <w:sz w:val="14"/>
              </w:rPr>
            </w:pPr>
          </w:p>
        </w:tc>
        <w:tc>
          <w:tcPr>
            <w:tcW w:w="295" w:type="dxa"/>
            <w:tcBorders>
              <w:top w:val="single" w:sz="6" w:space="0" w:color="000000"/>
              <w:bottom w:val="single" w:sz="6" w:space="0" w:color="000000"/>
            </w:tcBorders>
          </w:tcPr>
          <w:p>
            <w:pPr>
              <w:pStyle w:val="TableParagraph"/>
              <w:rPr>
                <w:sz w:val="14"/>
              </w:rPr>
            </w:pPr>
          </w:p>
        </w:tc>
        <w:tc>
          <w:tcPr>
            <w:tcW w:w="1422" w:type="dxa"/>
            <w:tcBorders>
              <w:top w:val="single" w:sz="6" w:space="0" w:color="000000"/>
              <w:bottom w:val="single" w:sz="6" w:space="0" w:color="000000"/>
            </w:tcBorders>
          </w:tcPr>
          <w:p>
            <w:pPr>
              <w:pStyle w:val="TableParagraph"/>
              <w:spacing w:line="179" w:lineRule="exact" w:before="2"/>
              <w:ind w:left="401"/>
              <w:rPr>
                <w:sz w:val="16"/>
              </w:rPr>
            </w:pPr>
            <w:r>
              <w:rPr>
                <w:spacing w:val="-4"/>
                <w:w w:val="105"/>
                <w:sz w:val="16"/>
              </w:rPr>
              <w:t>2020</w:t>
            </w:r>
          </w:p>
        </w:tc>
        <w:tc>
          <w:tcPr>
            <w:tcW w:w="445" w:type="dxa"/>
            <w:tcBorders>
              <w:top w:val="single" w:sz="6" w:space="0" w:color="000000"/>
              <w:bottom w:val="single" w:sz="6" w:space="0" w:color="000000"/>
            </w:tcBorders>
          </w:tcPr>
          <w:p>
            <w:pPr>
              <w:pStyle w:val="TableParagraph"/>
              <w:rPr>
                <w:sz w:val="14"/>
              </w:rPr>
            </w:pPr>
          </w:p>
        </w:tc>
        <w:tc>
          <w:tcPr>
            <w:tcW w:w="641" w:type="dxa"/>
            <w:tcBorders>
              <w:top w:val="single" w:sz="6" w:space="0" w:color="000000"/>
              <w:bottom w:val="single" w:sz="6" w:space="0" w:color="000000"/>
            </w:tcBorders>
          </w:tcPr>
          <w:p>
            <w:pPr>
              <w:pStyle w:val="TableParagraph"/>
              <w:spacing w:line="179" w:lineRule="exact" w:before="2"/>
              <w:ind w:left="254"/>
              <w:rPr>
                <w:sz w:val="16"/>
              </w:rPr>
            </w:pPr>
            <w:r>
              <w:rPr>
                <w:spacing w:val="-4"/>
                <w:w w:val="105"/>
                <w:sz w:val="16"/>
              </w:rPr>
              <w:t>2019</w:t>
            </w:r>
          </w:p>
        </w:tc>
        <w:tc>
          <w:tcPr>
            <w:tcW w:w="631" w:type="dxa"/>
            <w:tcBorders>
              <w:top w:val="single" w:sz="6" w:space="0" w:color="000000"/>
              <w:bottom w:val="single" w:sz="6" w:space="0" w:color="000000"/>
            </w:tcBorders>
          </w:tcPr>
          <w:p>
            <w:pPr>
              <w:pStyle w:val="TableParagraph"/>
              <w:rPr>
                <w:sz w:val="14"/>
              </w:rPr>
            </w:pPr>
          </w:p>
        </w:tc>
      </w:tr>
      <w:tr>
        <w:trPr>
          <w:trHeight w:val="202" w:hRule="atLeast"/>
        </w:trPr>
        <w:tc>
          <w:tcPr>
            <w:tcW w:w="6471" w:type="dxa"/>
            <w:tcBorders>
              <w:top w:val="single" w:sz="6" w:space="0" w:color="000000"/>
            </w:tcBorders>
            <w:shd w:val="clear" w:color="auto" w:fill="CCEDFF"/>
          </w:tcPr>
          <w:p>
            <w:pPr>
              <w:pStyle w:val="TableParagraph"/>
              <w:spacing w:line="180" w:lineRule="exact" w:before="2"/>
              <w:rPr>
                <w:sz w:val="16"/>
              </w:rPr>
            </w:pPr>
            <w:r>
              <w:rPr>
                <w:w w:val="105"/>
                <w:sz w:val="16"/>
              </w:rPr>
              <w:t>Total</w:t>
            </w:r>
            <w:r>
              <w:rPr>
                <w:spacing w:val="-10"/>
                <w:w w:val="105"/>
                <w:sz w:val="16"/>
              </w:rPr>
              <w:t> </w:t>
            </w:r>
            <w:r>
              <w:rPr>
                <w:w w:val="105"/>
                <w:sz w:val="16"/>
              </w:rPr>
              <w:t>assets</w:t>
            </w:r>
            <w:r>
              <w:rPr>
                <w:spacing w:val="-9"/>
                <w:w w:val="105"/>
                <w:sz w:val="16"/>
              </w:rPr>
              <w:t> </w:t>
            </w:r>
            <w:r>
              <w:rPr>
                <w:w w:val="105"/>
                <w:sz w:val="16"/>
              </w:rPr>
              <w:t>of</w:t>
            </w:r>
            <w:r>
              <w:rPr>
                <w:spacing w:val="-9"/>
                <w:w w:val="105"/>
                <w:sz w:val="16"/>
              </w:rPr>
              <w:t> </w:t>
            </w:r>
            <w:r>
              <w:rPr>
                <w:w w:val="105"/>
                <w:sz w:val="16"/>
              </w:rPr>
              <w:t>reportable</w:t>
            </w:r>
            <w:r>
              <w:rPr>
                <w:spacing w:val="-9"/>
                <w:w w:val="105"/>
                <w:sz w:val="16"/>
              </w:rPr>
              <w:t> </w:t>
            </w:r>
            <w:r>
              <w:rPr>
                <w:spacing w:val="-2"/>
                <w:w w:val="105"/>
                <w:sz w:val="16"/>
              </w:rPr>
              <w:t>segments</w:t>
            </w:r>
          </w:p>
        </w:tc>
        <w:tc>
          <w:tcPr>
            <w:tcW w:w="331" w:type="dxa"/>
            <w:tcBorders>
              <w:top w:val="single" w:sz="6" w:space="0" w:color="000000"/>
            </w:tcBorders>
            <w:shd w:val="clear" w:color="auto" w:fill="CCEDFF"/>
          </w:tcPr>
          <w:p>
            <w:pPr>
              <w:pStyle w:val="TableParagraph"/>
              <w:spacing w:line="180" w:lineRule="exact" w:before="2"/>
              <w:rPr>
                <w:b/>
                <w:sz w:val="16"/>
              </w:rPr>
            </w:pPr>
            <w:r>
              <w:rPr>
                <w:b/>
                <w:spacing w:val="-10"/>
                <w:w w:val="105"/>
                <w:sz w:val="16"/>
              </w:rPr>
              <w:t>$</w:t>
            </w:r>
          </w:p>
        </w:tc>
        <w:tc>
          <w:tcPr>
            <w:tcW w:w="641" w:type="dxa"/>
            <w:tcBorders>
              <w:top w:val="single" w:sz="6" w:space="0" w:color="000000"/>
            </w:tcBorders>
            <w:shd w:val="clear" w:color="auto" w:fill="CCEDFF"/>
          </w:tcPr>
          <w:p>
            <w:pPr>
              <w:pStyle w:val="TableParagraph"/>
              <w:rPr>
                <w:sz w:val="14"/>
              </w:rPr>
            </w:pPr>
          </w:p>
        </w:tc>
        <w:tc>
          <w:tcPr>
            <w:tcW w:w="631" w:type="dxa"/>
            <w:tcBorders>
              <w:top w:val="single" w:sz="6" w:space="0" w:color="000000"/>
            </w:tcBorders>
            <w:shd w:val="clear" w:color="auto" w:fill="CCEDFF"/>
          </w:tcPr>
          <w:p>
            <w:pPr>
              <w:pStyle w:val="TableParagraph"/>
              <w:spacing w:line="180" w:lineRule="exact" w:before="2"/>
              <w:ind w:right="110"/>
              <w:jc w:val="right"/>
              <w:rPr>
                <w:b/>
                <w:sz w:val="16"/>
              </w:rPr>
            </w:pPr>
            <w:r>
              <w:rPr>
                <w:b/>
                <w:spacing w:val="-2"/>
                <w:w w:val="105"/>
                <w:sz w:val="16"/>
              </w:rPr>
              <w:t>16,930</w:t>
            </w:r>
          </w:p>
        </w:tc>
        <w:tc>
          <w:tcPr>
            <w:tcW w:w="295" w:type="dxa"/>
            <w:tcBorders>
              <w:top w:val="single" w:sz="6" w:space="0" w:color="000000"/>
            </w:tcBorders>
            <w:shd w:val="clear" w:color="auto" w:fill="CCEDFF"/>
          </w:tcPr>
          <w:p>
            <w:pPr>
              <w:pStyle w:val="TableParagraph"/>
              <w:spacing w:line="180" w:lineRule="exact" w:before="2"/>
              <w:ind w:left="21"/>
              <w:jc w:val="center"/>
              <w:rPr>
                <w:sz w:val="16"/>
              </w:rPr>
            </w:pPr>
            <w:r>
              <w:rPr>
                <w:spacing w:val="-10"/>
                <w:w w:val="105"/>
                <w:sz w:val="16"/>
              </w:rPr>
              <w:t>$</w:t>
            </w:r>
          </w:p>
        </w:tc>
        <w:tc>
          <w:tcPr>
            <w:tcW w:w="1422" w:type="dxa"/>
            <w:tcBorders>
              <w:top w:val="single" w:sz="6" w:space="0" w:color="000000"/>
            </w:tcBorders>
            <w:shd w:val="clear" w:color="auto" w:fill="CCEDFF"/>
          </w:tcPr>
          <w:p>
            <w:pPr>
              <w:pStyle w:val="TableParagraph"/>
              <w:spacing w:line="180" w:lineRule="exact" w:before="2"/>
              <w:ind w:right="107"/>
              <w:jc w:val="right"/>
              <w:rPr>
                <w:sz w:val="16"/>
              </w:rPr>
            </w:pPr>
            <w:r>
              <w:rPr>
                <w:spacing w:val="-2"/>
                <w:w w:val="105"/>
                <w:sz w:val="16"/>
              </w:rPr>
              <w:t>16,865</w:t>
            </w:r>
          </w:p>
        </w:tc>
        <w:tc>
          <w:tcPr>
            <w:tcW w:w="445" w:type="dxa"/>
            <w:tcBorders>
              <w:top w:val="single" w:sz="6" w:space="0" w:color="000000"/>
            </w:tcBorders>
            <w:shd w:val="clear" w:color="auto" w:fill="CCEDFF"/>
          </w:tcPr>
          <w:p>
            <w:pPr>
              <w:pStyle w:val="TableParagraph"/>
              <w:spacing w:line="180" w:lineRule="exact" w:before="2"/>
              <w:ind w:left="119"/>
              <w:rPr>
                <w:sz w:val="16"/>
              </w:rPr>
            </w:pPr>
            <w:r>
              <w:rPr>
                <w:spacing w:val="-10"/>
                <w:w w:val="105"/>
                <w:sz w:val="16"/>
              </w:rPr>
              <w:t>$</w:t>
            </w:r>
          </w:p>
        </w:tc>
        <w:tc>
          <w:tcPr>
            <w:tcW w:w="641" w:type="dxa"/>
            <w:tcBorders>
              <w:top w:val="single" w:sz="6" w:space="0" w:color="000000"/>
            </w:tcBorders>
            <w:shd w:val="clear" w:color="auto" w:fill="CCEDFF"/>
          </w:tcPr>
          <w:p>
            <w:pPr>
              <w:pStyle w:val="TableParagraph"/>
              <w:rPr>
                <w:sz w:val="14"/>
              </w:rPr>
            </w:pPr>
          </w:p>
        </w:tc>
        <w:tc>
          <w:tcPr>
            <w:tcW w:w="631" w:type="dxa"/>
            <w:tcBorders>
              <w:top w:val="single" w:sz="6" w:space="0" w:color="000000"/>
            </w:tcBorders>
            <w:shd w:val="clear" w:color="auto" w:fill="CCEDFF"/>
          </w:tcPr>
          <w:p>
            <w:pPr>
              <w:pStyle w:val="TableParagraph"/>
              <w:spacing w:line="180" w:lineRule="exact" w:before="2"/>
              <w:ind w:right="105"/>
              <w:jc w:val="right"/>
              <w:rPr>
                <w:sz w:val="16"/>
              </w:rPr>
            </w:pPr>
            <w:r>
              <w:rPr>
                <w:spacing w:val="-2"/>
                <w:w w:val="105"/>
                <w:sz w:val="16"/>
              </w:rPr>
              <w:t>16,998</w:t>
            </w:r>
          </w:p>
        </w:tc>
      </w:tr>
      <w:tr>
        <w:trPr>
          <w:trHeight w:val="203" w:hRule="atLeast"/>
        </w:trPr>
        <w:tc>
          <w:tcPr>
            <w:tcW w:w="6471" w:type="dxa"/>
          </w:tcPr>
          <w:p>
            <w:pPr>
              <w:pStyle w:val="TableParagraph"/>
              <w:spacing w:line="180" w:lineRule="exact" w:before="3"/>
              <w:rPr>
                <w:sz w:val="16"/>
              </w:rPr>
            </w:pPr>
            <w:r>
              <w:rPr>
                <w:w w:val="105"/>
                <w:sz w:val="16"/>
              </w:rPr>
              <w:t>Total</w:t>
            </w:r>
            <w:r>
              <w:rPr>
                <w:spacing w:val="-8"/>
                <w:w w:val="105"/>
                <w:sz w:val="16"/>
              </w:rPr>
              <w:t> </w:t>
            </w:r>
            <w:r>
              <w:rPr>
                <w:w w:val="105"/>
                <w:sz w:val="16"/>
              </w:rPr>
              <w:t>assets</w:t>
            </w:r>
            <w:r>
              <w:rPr>
                <w:spacing w:val="-7"/>
                <w:w w:val="105"/>
                <w:sz w:val="16"/>
              </w:rPr>
              <w:t> </w:t>
            </w:r>
            <w:r>
              <w:rPr>
                <w:w w:val="105"/>
                <w:sz w:val="16"/>
              </w:rPr>
              <w:t>of</w:t>
            </w:r>
            <w:r>
              <w:rPr>
                <w:spacing w:val="-8"/>
                <w:w w:val="105"/>
                <w:sz w:val="16"/>
              </w:rPr>
              <w:t> </w:t>
            </w:r>
            <w:r>
              <w:rPr>
                <w:w w:val="105"/>
                <w:sz w:val="16"/>
              </w:rPr>
              <w:t>All</w:t>
            </w:r>
            <w:r>
              <w:rPr>
                <w:spacing w:val="-7"/>
                <w:w w:val="105"/>
                <w:sz w:val="16"/>
              </w:rPr>
              <w:t> </w:t>
            </w:r>
            <w:r>
              <w:rPr>
                <w:spacing w:val="-2"/>
                <w:w w:val="105"/>
                <w:sz w:val="16"/>
              </w:rPr>
              <w:t>Other</w:t>
            </w:r>
          </w:p>
        </w:tc>
        <w:tc>
          <w:tcPr>
            <w:tcW w:w="331" w:type="dxa"/>
          </w:tcPr>
          <w:p>
            <w:pPr>
              <w:pStyle w:val="TableParagraph"/>
              <w:rPr>
                <w:sz w:val="14"/>
              </w:rPr>
            </w:pPr>
          </w:p>
        </w:tc>
        <w:tc>
          <w:tcPr>
            <w:tcW w:w="641" w:type="dxa"/>
          </w:tcPr>
          <w:p>
            <w:pPr>
              <w:pStyle w:val="TableParagraph"/>
              <w:rPr>
                <w:sz w:val="14"/>
              </w:rPr>
            </w:pPr>
          </w:p>
        </w:tc>
        <w:tc>
          <w:tcPr>
            <w:tcW w:w="631" w:type="dxa"/>
          </w:tcPr>
          <w:p>
            <w:pPr>
              <w:pStyle w:val="TableParagraph"/>
              <w:spacing w:line="180" w:lineRule="exact" w:before="3"/>
              <w:ind w:right="110"/>
              <w:jc w:val="right"/>
              <w:rPr>
                <w:b/>
                <w:sz w:val="16"/>
              </w:rPr>
            </w:pPr>
            <w:r>
              <w:rPr>
                <w:b/>
                <w:spacing w:val="-4"/>
                <w:w w:val="105"/>
                <w:sz w:val="16"/>
              </w:rPr>
              <w:t>2,024</w:t>
            </w:r>
          </w:p>
        </w:tc>
        <w:tc>
          <w:tcPr>
            <w:tcW w:w="295" w:type="dxa"/>
          </w:tcPr>
          <w:p>
            <w:pPr>
              <w:pStyle w:val="TableParagraph"/>
              <w:rPr>
                <w:sz w:val="14"/>
              </w:rPr>
            </w:pPr>
          </w:p>
        </w:tc>
        <w:tc>
          <w:tcPr>
            <w:tcW w:w="1422" w:type="dxa"/>
          </w:tcPr>
          <w:p>
            <w:pPr>
              <w:pStyle w:val="TableParagraph"/>
              <w:spacing w:line="180" w:lineRule="exact" w:before="3"/>
              <w:ind w:right="107"/>
              <w:jc w:val="right"/>
              <w:rPr>
                <w:sz w:val="16"/>
              </w:rPr>
            </w:pPr>
            <w:r>
              <w:rPr>
                <w:spacing w:val="-4"/>
                <w:w w:val="105"/>
                <w:sz w:val="16"/>
              </w:rPr>
              <w:t>2,157</w:t>
            </w:r>
          </w:p>
        </w:tc>
        <w:tc>
          <w:tcPr>
            <w:tcW w:w="445" w:type="dxa"/>
          </w:tcPr>
          <w:p>
            <w:pPr>
              <w:pStyle w:val="TableParagraph"/>
              <w:rPr>
                <w:sz w:val="14"/>
              </w:rPr>
            </w:pPr>
          </w:p>
        </w:tc>
        <w:tc>
          <w:tcPr>
            <w:tcW w:w="641" w:type="dxa"/>
          </w:tcPr>
          <w:p>
            <w:pPr>
              <w:pStyle w:val="TableParagraph"/>
              <w:rPr>
                <w:sz w:val="14"/>
              </w:rPr>
            </w:pPr>
          </w:p>
        </w:tc>
        <w:tc>
          <w:tcPr>
            <w:tcW w:w="631" w:type="dxa"/>
          </w:tcPr>
          <w:p>
            <w:pPr>
              <w:pStyle w:val="TableParagraph"/>
              <w:spacing w:line="180" w:lineRule="exact" w:before="3"/>
              <w:ind w:right="105"/>
              <w:jc w:val="right"/>
              <w:rPr>
                <w:sz w:val="16"/>
              </w:rPr>
            </w:pPr>
            <w:r>
              <w:rPr>
                <w:spacing w:val="-4"/>
                <w:w w:val="105"/>
                <w:sz w:val="16"/>
              </w:rPr>
              <w:t>1,028</w:t>
            </w:r>
          </w:p>
        </w:tc>
      </w:tr>
      <w:tr>
        <w:trPr>
          <w:trHeight w:val="203" w:hRule="atLeast"/>
        </w:trPr>
        <w:tc>
          <w:tcPr>
            <w:tcW w:w="6471" w:type="dxa"/>
            <w:shd w:val="clear" w:color="auto" w:fill="CCEDFF"/>
          </w:tcPr>
          <w:p>
            <w:pPr>
              <w:pStyle w:val="TableParagraph"/>
              <w:spacing w:line="180" w:lineRule="exact" w:before="3"/>
              <w:rPr>
                <w:sz w:val="16"/>
              </w:rPr>
            </w:pPr>
            <w:r>
              <w:rPr>
                <w:sz w:val="16"/>
              </w:rPr>
              <w:t>Unallocated</w:t>
            </w:r>
            <w:r>
              <w:rPr>
                <w:spacing w:val="24"/>
                <w:sz w:val="16"/>
              </w:rPr>
              <w:t> </w:t>
            </w:r>
            <w:r>
              <w:rPr>
                <w:spacing w:val="-2"/>
                <w:sz w:val="16"/>
              </w:rPr>
              <w:t>amounts:</w:t>
            </w:r>
          </w:p>
        </w:tc>
        <w:tc>
          <w:tcPr>
            <w:tcW w:w="331" w:type="dxa"/>
            <w:shd w:val="clear" w:color="auto" w:fill="CCEDFF"/>
          </w:tcPr>
          <w:p>
            <w:pPr>
              <w:pStyle w:val="TableParagraph"/>
              <w:rPr>
                <w:sz w:val="14"/>
              </w:rPr>
            </w:pPr>
          </w:p>
        </w:tc>
        <w:tc>
          <w:tcPr>
            <w:tcW w:w="641" w:type="dxa"/>
            <w:shd w:val="clear" w:color="auto" w:fill="CCEDFF"/>
          </w:tcPr>
          <w:p>
            <w:pPr>
              <w:pStyle w:val="TableParagraph"/>
              <w:rPr>
                <w:sz w:val="14"/>
              </w:rPr>
            </w:pPr>
          </w:p>
        </w:tc>
        <w:tc>
          <w:tcPr>
            <w:tcW w:w="631" w:type="dxa"/>
            <w:shd w:val="clear" w:color="auto" w:fill="CCEDFF"/>
          </w:tcPr>
          <w:p>
            <w:pPr>
              <w:pStyle w:val="TableParagraph"/>
              <w:rPr>
                <w:sz w:val="14"/>
              </w:rPr>
            </w:pPr>
          </w:p>
        </w:tc>
        <w:tc>
          <w:tcPr>
            <w:tcW w:w="295" w:type="dxa"/>
            <w:shd w:val="clear" w:color="auto" w:fill="CCEDFF"/>
          </w:tcPr>
          <w:p>
            <w:pPr>
              <w:pStyle w:val="TableParagraph"/>
              <w:rPr>
                <w:sz w:val="14"/>
              </w:rPr>
            </w:pPr>
          </w:p>
        </w:tc>
        <w:tc>
          <w:tcPr>
            <w:tcW w:w="1422" w:type="dxa"/>
            <w:shd w:val="clear" w:color="auto" w:fill="CCEDFF"/>
          </w:tcPr>
          <w:p>
            <w:pPr>
              <w:pStyle w:val="TableParagraph"/>
              <w:rPr>
                <w:sz w:val="14"/>
              </w:rPr>
            </w:pPr>
          </w:p>
        </w:tc>
        <w:tc>
          <w:tcPr>
            <w:tcW w:w="445" w:type="dxa"/>
            <w:shd w:val="clear" w:color="auto" w:fill="CCEDFF"/>
          </w:tcPr>
          <w:p>
            <w:pPr>
              <w:pStyle w:val="TableParagraph"/>
              <w:rPr>
                <w:sz w:val="14"/>
              </w:rPr>
            </w:pPr>
          </w:p>
        </w:tc>
        <w:tc>
          <w:tcPr>
            <w:tcW w:w="641" w:type="dxa"/>
            <w:shd w:val="clear" w:color="auto" w:fill="CCEDFF"/>
          </w:tcPr>
          <w:p>
            <w:pPr>
              <w:pStyle w:val="TableParagraph"/>
              <w:rPr>
                <w:sz w:val="14"/>
              </w:rPr>
            </w:pPr>
          </w:p>
        </w:tc>
        <w:tc>
          <w:tcPr>
            <w:tcW w:w="631" w:type="dxa"/>
            <w:shd w:val="clear" w:color="auto" w:fill="CCEDFF"/>
          </w:tcPr>
          <w:p>
            <w:pPr>
              <w:pStyle w:val="TableParagraph"/>
              <w:rPr>
                <w:sz w:val="14"/>
              </w:rPr>
            </w:pPr>
          </w:p>
        </w:tc>
      </w:tr>
      <w:tr>
        <w:trPr>
          <w:trHeight w:val="203" w:hRule="atLeast"/>
        </w:trPr>
        <w:tc>
          <w:tcPr>
            <w:tcW w:w="6471" w:type="dxa"/>
          </w:tcPr>
          <w:p>
            <w:pPr>
              <w:pStyle w:val="TableParagraph"/>
              <w:spacing w:line="184" w:lineRule="exact"/>
              <w:ind w:left="152"/>
              <w:rPr>
                <w:sz w:val="14"/>
              </w:rPr>
            </w:pPr>
            <w:r>
              <w:rPr>
                <w:sz w:val="16"/>
              </w:rPr>
              <w:t>Current</w:t>
            </w:r>
            <w:r>
              <w:rPr>
                <w:spacing w:val="11"/>
                <w:sz w:val="16"/>
              </w:rPr>
              <w:t> </w:t>
            </w:r>
            <w:r>
              <w:rPr>
                <w:sz w:val="16"/>
              </w:rPr>
              <w:t>assets</w:t>
            </w:r>
            <w:r>
              <w:rPr>
                <w:spacing w:val="12"/>
                <w:sz w:val="16"/>
              </w:rPr>
              <w:t> </w:t>
            </w:r>
            <w:r>
              <w:rPr>
                <w:spacing w:val="-5"/>
                <w:position w:val="3"/>
                <w:sz w:val="14"/>
              </w:rPr>
              <w:t>(1)</w:t>
            </w:r>
          </w:p>
        </w:tc>
        <w:tc>
          <w:tcPr>
            <w:tcW w:w="331" w:type="dxa"/>
          </w:tcPr>
          <w:p>
            <w:pPr>
              <w:pStyle w:val="TableParagraph"/>
              <w:rPr>
                <w:sz w:val="14"/>
              </w:rPr>
            </w:pPr>
          </w:p>
        </w:tc>
        <w:tc>
          <w:tcPr>
            <w:tcW w:w="641" w:type="dxa"/>
          </w:tcPr>
          <w:p>
            <w:pPr>
              <w:pStyle w:val="TableParagraph"/>
              <w:rPr>
                <w:sz w:val="14"/>
              </w:rPr>
            </w:pPr>
          </w:p>
        </w:tc>
        <w:tc>
          <w:tcPr>
            <w:tcW w:w="631" w:type="dxa"/>
          </w:tcPr>
          <w:p>
            <w:pPr>
              <w:pStyle w:val="TableParagraph"/>
              <w:spacing w:line="180" w:lineRule="exact" w:before="3"/>
              <w:ind w:right="110"/>
              <w:jc w:val="right"/>
              <w:rPr>
                <w:b/>
                <w:sz w:val="16"/>
              </w:rPr>
            </w:pPr>
            <w:r>
              <w:rPr>
                <w:b/>
                <w:spacing w:val="-4"/>
                <w:w w:val="105"/>
                <w:sz w:val="16"/>
              </w:rPr>
              <w:t>3,163</w:t>
            </w:r>
          </w:p>
        </w:tc>
        <w:tc>
          <w:tcPr>
            <w:tcW w:w="295" w:type="dxa"/>
          </w:tcPr>
          <w:p>
            <w:pPr>
              <w:pStyle w:val="TableParagraph"/>
              <w:rPr>
                <w:sz w:val="14"/>
              </w:rPr>
            </w:pPr>
          </w:p>
        </w:tc>
        <w:tc>
          <w:tcPr>
            <w:tcW w:w="1422" w:type="dxa"/>
          </w:tcPr>
          <w:p>
            <w:pPr>
              <w:pStyle w:val="TableParagraph"/>
              <w:spacing w:line="180" w:lineRule="exact" w:before="3"/>
              <w:ind w:right="107"/>
              <w:jc w:val="right"/>
              <w:rPr>
                <w:sz w:val="16"/>
              </w:rPr>
            </w:pPr>
            <w:r>
              <w:rPr>
                <w:spacing w:val="-4"/>
                <w:w w:val="105"/>
                <w:sz w:val="16"/>
              </w:rPr>
              <w:t>3,434</w:t>
            </w:r>
          </w:p>
        </w:tc>
        <w:tc>
          <w:tcPr>
            <w:tcW w:w="445" w:type="dxa"/>
          </w:tcPr>
          <w:p>
            <w:pPr>
              <w:pStyle w:val="TableParagraph"/>
              <w:rPr>
                <w:sz w:val="14"/>
              </w:rPr>
            </w:pPr>
          </w:p>
        </w:tc>
        <w:tc>
          <w:tcPr>
            <w:tcW w:w="641" w:type="dxa"/>
          </w:tcPr>
          <w:p>
            <w:pPr>
              <w:pStyle w:val="TableParagraph"/>
              <w:rPr>
                <w:sz w:val="14"/>
              </w:rPr>
            </w:pPr>
          </w:p>
        </w:tc>
        <w:tc>
          <w:tcPr>
            <w:tcW w:w="631" w:type="dxa"/>
          </w:tcPr>
          <w:p>
            <w:pPr>
              <w:pStyle w:val="TableParagraph"/>
              <w:spacing w:line="180" w:lineRule="exact" w:before="3"/>
              <w:ind w:right="105"/>
              <w:jc w:val="right"/>
              <w:rPr>
                <w:sz w:val="16"/>
              </w:rPr>
            </w:pPr>
            <w:r>
              <w:rPr>
                <w:spacing w:val="-4"/>
                <w:w w:val="105"/>
                <w:sz w:val="16"/>
              </w:rPr>
              <w:t>3,301</w:t>
            </w:r>
          </w:p>
        </w:tc>
      </w:tr>
      <w:tr>
        <w:trPr>
          <w:trHeight w:val="203" w:hRule="atLeast"/>
        </w:trPr>
        <w:tc>
          <w:tcPr>
            <w:tcW w:w="6471" w:type="dxa"/>
            <w:shd w:val="clear" w:color="auto" w:fill="CCEDFF"/>
          </w:tcPr>
          <w:p>
            <w:pPr>
              <w:pStyle w:val="TableParagraph"/>
              <w:spacing w:line="184" w:lineRule="exact"/>
              <w:ind w:left="152"/>
              <w:rPr>
                <w:sz w:val="14"/>
              </w:rPr>
            </w:pPr>
            <w:r>
              <w:rPr>
                <w:sz w:val="16"/>
              </w:rPr>
              <w:t>Investments</w:t>
            </w:r>
            <w:r>
              <w:rPr>
                <w:spacing w:val="15"/>
                <w:sz w:val="16"/>
              </w:rPr>
              <w:t> </w:t>
            </w:r>
            <w:r>
              <w:rPr>
                <w:spacing w:val="-5"/>
                <w:position w:val="3"/>
                <w:sz w:val="14"/>
              </w:rPr>
              <w:t>(2)</w:t>
            </w:r>
          </w:p>
        </w:tc>
        <w:tc>
          <w:tcPr>
            <w:tcW w:w="331" w:type="dxa"/>
            <w:shd w:val="clear" w:color="auto" w:fill="CCEDFF"/>
          </w:tcPr>
          <w:p>
            <w:pPr>
              <w:pStyle w:val="TableParagraph"/>
              <w:rPr>
                <w:sz w:val="14"/>
              </w:rPr>
            </w:pPr>
          </w:p>
        </w:tc>
        <w:tc>
          <w:tcPr>
            <w:tcW w:w="641" w:type="dxa"/>
            <w:shd w:val="clear" w:color="auto" w:fill="CCEDFF"/>
          </w:tcPr>
          <w:p>
            <w:pPr>
              <w:pStyle w:val="TableParagraph"/>
              <w:rPr>
                <w:sz w:val="14"/>
              </w:rPr>
            </w:pPr>
          </w:p>
        </w:tc>
        <w:tc>
          <w:tcPr>
            <w:tcW w:w="631" w:type="dxa"/>
            <w:shd w:val="clear" w:color="auto" w:fill="CCEDFF"/>
          </w:tcPr>
          <w:p>
            <w:pPr>
              <w:pStyle w:val="TableParagraph"/>
              <w:spacing w:line="180" w:lineRule="exact" w:before="3"/>
              <w:ind w:right="110"/>
              <w:jc w:val="right"/>
              <w:rPr>
                <w:b/>
                <w:sz w:val="16"/>
              </w:rPr>
            </w:pPr>
            <w:r>
              <w:rPr>
                <w:b/>
                <w:spacing w:val="-5"/>
                <w:w w:val="105"/>
                <w:sz w:val="16"/>
              </w:rPr>
              <w:t>54</w:t>
            </w:r>
          </w:p>
        </w:tc>
        <w:tc>
          <w:tcPr>
            <w:tcW w:w="295" w:type="dxa"/>
            <w:shd w:val="clear" w:color="auto" w:fill="CCEDFF"/>
          </w:tcPr>
          <w:p>
            <w:pPr>
              <w:pStyle w:val="TableParagraph"/>
              <w:rPr>
                <w:sz w:val="14"/>
              </w:rPr>
            </w:pPr>
          </w:p>
        </w:tc>
        <w:tc>
          <w:tcPr>
            <w:tcW w:w="1422" w:type="dxa"/>
            <w:shd w:val="clear" w:color="auto" w:fill="CCEDFF"/>
          </w:tcPr>
          <w:p>
            <w:pPr>
              <w:pStyle w:val="TableParagraph"/>
              <w:spacing w:line="180" w:lineRule="exact" w:before="3"/>
              <w:ind w:right="107"/>
              <w:jc w:val="right"/>
              <w:rPr>
                <w:sz w:val="16"/>
              </w:rPr>
            </w:pPr>
            <w:r>
              <w:rPr>
                <w:spacing w:val="-5"/>
                <w:w w:val="105"/>
                <w:sz w:val="16"/>
              </w:rPr>
              <w:t>177</w:t>
            </w:r>
          </w:p>
        </w:tc>
        <w:tc>
          <w:tcPr>
            <w:tcW w:w="445" w:type="dxa"/>
            <w:shd w:val="clear" w:color="auto" w:fill="CCEDFF"/>
          </w:tcPr>
          <w:p>
            <w:pPr>
              <w:pStyle w:val="TableParagraph"/>
              <w:rPr>
                <w:sz w:val="14"/>
              </w:rPr>
            </w:pPr>
          </w:p>
        </w:tc>
        <w:tc>
          <w:tcPr>
            <w:tcW w:w="641" w:type="dxa"/>
            <w:shd w:val="clear" w:color="auto" w:fill="CCEDFF"/>
          </w:tcPr>
          <w:p>
            <w:pPr>
              <w:pStyle w:val="TableParagraph"/>
              <w:rPr>
                <w:sz w:val="14"/>
              </w:rPr>
            </w:pPr>
          </w:p>
        </w:tc>
        <w:tc>
          <w:tcPr>
            <w:tcW w:w="631" w:type="dxa"/>
            <w:shd w:val="clear" w:color="auto" w:fill="CCEDFF"/>
          </w:tcPr>
          <w:p>
            <w:pPr>
              <w:pStyle w:val="TableParagraph"/>
              <w:spacing w:line="180" w:lineRule="exact" w:before="3"/>
              <w:ind w:right="105"/>
              <w:jc w:val="right"/>
              <w:rPr>
                <w:sz w:val="16"/>
              </w:rPr>
            </w:pPr>
            <w:r>
              <w:rPr>
                <w:spacing w:val="-5"/>
                <w:w w:val="105"/>
                <w:sz w:val="16"/>
              </w:rPr>
              <w:t>43</w:t>
            </w:r>
          </w:p>
        </w:tc>
      </w:tr>
      <w:tr>
        <w:trPr>
          <w:trHeight w:val="203" w:hRule="atLeast"/>
        </w:trPr>
        <w:tc>
          <w:tcPr>
            <w:tcW w:w="6471" w:type="dxa"/>
          </w:tcPr>
          <w:p>
            <w:pPr>
              <w:pStyle w:val="TableParagraph"/>
              <w:spacing w:line="184" w:lineRule="exact"/>
              <w:ind w:left="152"/>
              <w:rPr>
                <w:sz w:val="14"/>
              </w:rPr>
            </w:pPr>
            <w:r>
              <w:rPr>
                <w:w w:val="105"/>
                <w:sz w:val="16"/>
              </w:rPr>
              <w:t>Property,</w:t>
            </w:r>
            <w:r>
              <w:rPr>
                <w:spacing w:val="-9"/>
                <w:w w:val="105"/>
                <w:sz w:val="16"/>
              </w:rPr>
              <w:t> </w:t>
            </w:r>
            <w:r>
              <w:rPr>
                <w:w w:val="105"/>
                <w:sz w:val="16"/>
              </w:rPr>
              <w:t>plant</w:t>
            </w:r>
            <w:r>
              <w:rPr>
                <w:spacing w:val="-9"/>
                <w:w w:val="105"/>
                <w:sz w:val="16"/>
              </w:rPr>
              <w:t> </w:t>
            </w:r>
            <w:r>
              <w:rPr>
                <w:w w:val="105"/>
                <w:sz w:val="16"/>
              </w:rPr>
              <w:t>and</w:t>
            </w:r>
            <w:r>
              <w:rPr>
                <w:spacing w:val="-9"/>
                <w:w w:val="105"/>
                <w:sz w:val="16"/>
              </w:rPr>
              <w:t> </w:t>
            </w:r>
            <w:r>
              <w:rPr>
                <w:w w:val="105"/>
                <w:sz w:val="16"/>
              </w:rPr>
              <w:t>equipment,</w:t>
            </w:r>
            <w:r>
              <w:rPr>
                <w:spacing w:val="-9"/>
                <w:w w:val="105"/>
                <w:sz w:val="16"/>
              </w:rPr>
              <w:t> </w:t>
            </w:r>
            <w:r>
              <w:rPr>
                <w:w w:val="105"/>
                <w:sz w:val="16"/>
              </w:rPr>
              <w:t>net</w:t>
            </w:r>
            <w:r>
              <w:rPr>
                <w:spacing w:val="-9"/>
                <w:w w:val="105"/>
                <w:sz w:val="16"/>
              </w:rPr>
              <w:t> </w:t>
            </w:r>
            <w:r>
              <w:rPr>
                <w:spacing w:val="-5"/>
                <w:w w:val="105"/>
                <w:position w:val="3"/>
                <w:sz w:val="14"/>
              </w:rPr>
              <w:t>(3)</w:t>
            </w:r>
          </w:p>
        </w:tc>
        <w:tc>
          <w:tcPr>
            <w:tcW w:w="331" w:type="dxa"/>
          </w:tcPr>
          <w:p>
            <w:pPr>
              <w:pStyle w:val="TableParagraph"/>
              <w:rPr>
                <w:sz w:val="14"/>
              </w:rPr>
            </w:pPr>
          </w:p>
        </w:tc>
        <w:tc>
          <w:tcPr>
            <w:tcW w:w="641" w:type="dxa"/>
          </w:tcPr>
          <w:p>
            <w:pPr>
              <w:pStyle w:val="TableParagraph"/>
              <w:rPr>
                <w:sz w:val="14"/>
              </w:rPr>
            </w:pPr>
          </w:p>
        </w:tc>
        <w:tc>
          <w:tcPr>
            <w:tcW w:w="631" w:type="dxa"/>
          </w:tcPr>
          <w:p>
            <w:pPr>
              <w:pStyle w:val="TableParagraph"/>
              <w:spacing w:line="180" w:lineRule="exact" w:before="3"/>
              <w:ind w:right="110"/>
              <w:jc w:val="right"/>
              <w:rPr>
                <w:b/>
                <w:sz w:val="16"/>
              </w:rPr>
            </w:pPr>
            <w:r>
              <w:rPr>
                <w:b/>
                <w:spacing w:val="-4"/>
                <w:w w:val="105"/>
                <w:sz w:val="16"/>
              </w:rPr>
              <w:t>1,620</w:t>
            </w:r>
          </w:p>
        </w:tc>
        <w:tc>
          <w:tcPr>
            <w:tcW w:w="295" w:type="dxa"/>
          </w:tcPr>
          <w:p>
            <w:pPr>
              <w:pStyle w:val="TableParagraph"/>
              <w:rPr>
                <w:sz w:val="14"/>
              </w:rPr>
            </w:pPr>
          </w:p>
        </w:tc>
        <w:tc>
          <w:tcPr>
            <w:tcW w:w="1422" w:type="dxa"/>
          </w:tcPr>
          <w:p>
            <w:pPr>
              <w:pStyle w:val="TableParagraph"/>
              <w:spacing w:line="180" w:lineRule="exact" w:before="3"/>
              <w:ind w:right="107"/>
              <w:jc w:val="right"/>
              <w:rPr>
                <w:sz w:val="16"/>
              </w:rPr>
            </w:pPr>
            <w:r>
              <w:rPr>
                <w:spacing w:val="-4"/>
                <w:w w:val="105"/>
                <w:sz w:val="16"/>
              </w:rPr>
              <w:t>1,548</w:t>
            </w:r>
          </w:p>
        </w:tc>
        <w:tc>
          <w:tcPr>
            <w:tcW w:w="445" w:type="dxa"/>
          </w:tcPr>
          <w:p>
            <w:pPr>
              <w:pStyle w:val="TableParagraph"/>
              <w:rPr>
                <w:sz w:val="14"/>
              </w:rPr>
            </w:pPr>
          </w:p>
        </w:tc>
        <w:tc>
          <w:tcPr>
            <w:tcW w:w="641" w:type="dxa"/>
          </w:tcPr>
          <w:p>
            <w:pPr>
              <w:pStyle w:val="TableParagraph"/>
              <w:rPr>
                <w:sz w:val="14"/>
              </w:rPr>
            </w:pPr>
          </w:p>
        </w:tc>
        <w:tc>
          <w:tcPr>
            <w:tcW w:w="631" w:type="dxa"/>
          </w:tcPr>
          <w:p>
            <w:pPr>
              <w:pStyle w:val="TableParagraph"/>
              <w:spacing w:line="180" w:lineRule="exact" w:before="3"/>
              <w:ind w:right="105"/>
              <w:jc w:val="right"/>
              <w:rPr>
                <w:sz w:val="16"/>
              </w:rPr>
            </w:pPr>
            <w:r>
              <w:rPr>
                <w:spacing w:val="-4"/>
                <w:w w:val="105"/>
                <w:sz w:val="16"/>
              </w:rPr>
              <w:t>1,764</w:t>
            </w:r>
          </w:p>
        </w:tc>
      </w:tr>
      <w:tr>
        <w:trPr>
          <w:trHeight w:val="202" w:hRule="atLeast"/>
        </w:trPr>
        <w:tc>
          <w:tcPr>
            <w:tcW w:w="6471" w:type="dxa"/>
            <w:tcBorders>
              <w:bottom w:val="single" w:sz="6" w:space="0" w:color="000000"/>
            </w:tcBorders>
            <w:shd w:val="clear" w:color="auto" w:fill="CCEDFF"/>
          </w:tcPr>
          <w:p>
            <w:pPr>
              <w:pStyle w:val="TableParagraph"/>
              <w:spacing w:line="183" w:lineRule="exact"/>
              <w:ind w:left="152"/>
              <w:rPr>
                <w:sz w:val="14"/>
              </w:rPr>
            </w:pPr>
            <w:r>
              <w:rPr>
                <w:sz w:val="16"/>
              </w:rPr>
              <w:t>Other</w:t>
            </w:r>
            <w:r>
              <w:rPr>
                <w:spacing w:val="13"/>
                <w:sz w:val="16"/>
              </w:rPr>
              <w:t> </w:t>
            </w:r>
            <w:r>
              <w:rPr>
                <w:sz w:val="16"/>
              </w:rPr>
              <w:t>non-current</w:t>
            </w:r>
            <w:r>
              <w:rPr>
                <w:spacing w:val="14"/>
                <w:sz w:val="16"/>
              </w:rPr>
              <w:t> </w:t>
            </w:r>
            <w:r>
              <w:rPr>
                <w:sz w:val="16"/>
              </w:rPr>
              <w:t>assets</w:t>
            </w:r>
            <w:r>
              <w:rPr>
                <w:spacing w:val="17"/>
                <w:sz w:val="16"/>
              </w:rPr>
              <w:t> </w:t>
            </w:r>
            <w:r>
              <w:rPr>
                <w:spacing w:val="-5"/>
                <w:position w:val="3"/>
                <w:sz w:val="14"/>
              </w:rPr>
              <w:t>(4)</w:t>
            </w:r>
          </w:p>
        </w:tc>
        <w:tc>
          <w:tcPr>
            <w:tcW w:w="331" w:type="dxa"/>
            <w:tcBorders>
              <w:bottom w:val="single" w:sz="6" w:space="0" w:color="000000"/>
            </w:tcBorders>
            <w:shd w:val="clear" w:color="auto" w:fill="CCEDFF"/>
          </w:tcPr>
          <w:p>
            <w:pPr>
              <w:pStyle w:val="TableParagraph"/>
              <w:rPr>
                <w:sz w:val="14"/>
              </w:rPr>
            </w:pPr>
          </w:p>
        </w:tc>
        <w:tc>
          <w:tcPr>
            <w:tcW w:w="641" w:type="dxa"/>
            <w:tcBorders>
              <w:bottom w:val="single" w:sz="6" w:space="0" w:color="000000"/>
            </w:tcBorders>
            <w:shd w:val="clear" w:color="auto" w:fill="CCEDFF"/>
          </w:tcPr>
          <w:p>
            <w:pPr>
              <w:pStyle w:val="TableParagraph"/>
              <w:rPr>
                <w:sz w:val="14"/>
              </w:rPr>
            </w:pPr>
          </w:p>
        </w:tc>
        <w:tc>
          <w:tcPr>
            <w:tcW w:w="631" w:type="dxa"/>
            <w:tcBorders>
              <w:bottom w:val="single" w:sz="6" w:space="0" w:color="000000"/>
            </w:tcBorders>
            <w:shd w:val="clear" w:color="auto" w:fill="CCEDFF"/>
          </w:tcPr>
          <w:p>
            <w:pPr>
              <w:pStyle w:val="TableParagraph"/>
              <w:spacing w:line="179" w:lineRule="exact" w:before="3"/>
              <w:ind w:right="110"/>
              <w:jc w:val="right"/>
              <w:rPr>
                <w:b/>
                <w:sz w:val="16"/>
              </w:rPr>
            </w:pPr>
            <w:r>
              <w:rPr>
                <w:b/>
                <w:spacing w:val="-4"/>
                <w:w w:val="105"/>
                <w:sz w:val="16"/>
              </w:rPr>
              <w:t>6,363</w:t>
            </w:r>
          </w:p>
        </w:tc>
        <w:tc>
          <w:tcPr>
            <w:tcW w:w="295" w:type="dxa"/>
            <w:tcBorders>
              <w:bottom w:val="single" w:sz="6" w:space="0" w:color="000000"/>
            </w:tcBorders>
            <w:shd w:val="clear" w:color="auto" w:fill="CCEDFF"/>
          </w:tcPr>
          <w:p>
            <w:pPr>
              <w:pStyle w:val="TableParagraph"/>
              <w:rPr>
                <w:sz w:val="14"/>
              </w:rPr>
            </w:pPr>
          </w:p>
        </w:tc>
        <w:tc>
          <w:tcPr>
            <w:tcW w:w="1422" w:type="dxa"/>
            <w:tcBorders>
              <w:bottom w:val="single" w:sz="6" w:space="0" w:color="000000"/>
            </w:tcBorders>
            <w:shd w:val="clear" w:color="auto" w:fill="CCEDFF"/>
          </w:tcPr>
          <w:p>
            <w:pPr>
              <w:pStyle w:val="TableParagraph"/>
              <w:spacing w:line="179" w:lineRule="exact" w:before="3"/>
              <w:ind w:right="107"/>
              <w:jc w:val="right"/>
              <w:rPr>
                <w:sz w:val="16"/>
              </w:rPr>
            </w:pPr>
            <w:r>
              <w:rPr>
                <w:spacing w:val="-4"/>
                <w:w w:val="105"/>
                <w:sz w:val="16"/>
              </w:rPr>
              <w:t>6,594</w:t>
            </w:r>
          </w:p>
        </w:tc>
        <w:tc>
          <w:tcPr>
            <w:tcW w:w="445" w:type="dxa"/>
            <w:tcBorders>
              <w:bottom w:val="single" w:sz="6" w:space="0" w:color="000000"/>
            </w:tcBorders>
            <w:shd w:val="clear" w:color="auto" w:fill="CCEDFF"/>
          </w:tcPr>
          <w:p>
            <w:pPr>
              <w:pStyle w:val="TableParagraph"/>
              <w:rPr>
                <w:sz w:val="14"/>
              </w:rPr>
            </w:pPr>
          </w:p>
        </w:tc>
        <w:tc>
          <w:tcPr>
            <w:tcW w:w="641" w:type="dxa"/>
            <w:tcBorders>
              <w:bottom w:val="single" w:sz="6" w:space="0" w:color="000000"/>
            </w:tcBorders>
            <w:shd w:val="clear" w:color="auto" w:fill="CCEDFF"/>
          </w:tcPr>
          <w:p>
            <w:pPr>
              <w:pStyle w:val="TableParagraph"/>
              <w:rPr>
                <w:sz w:val="14"/>
              </w:rPr>
            </w:pPr>
          </w:p>
        </w:tc>
        <w:tc>
          <w:tcPr>
            <w:tcW w:w="631" w:type="dxa"/>
            <w:tcBorders>
              <w:bottom w:val="single" w:sz="6" w:space="0" w:color="000000"/>
            </w:tcBorders>
            <w:shd w:val="clear" w:color="auto" w:fill="CCEDFF"/>
          </w:tcPr>
          <w:p>
            <w:pPr>
              <w:pStyle w:val="TableParagraph"/>
              <w:spacing w:line="179" w:lineRule="exact" w:before="3"/>
              <w:ind w:right="105"/>
              <w:jc w:val="right"/>
              <w:rPr>
                <w:sz w:val="16"/>
              </w:rPr>
            </w:pPr>
            <w:r>
              <w:rPr>
                <w:spacing w:val="-4"/>
                <w:w w:val="105"/>
                <w:sz w:val="16"/>
              </w:rPr>
              <w:t>5,764</w:t>
            </w:r>
          </w:p>
        </w:tc>
      </w:tr>
      <w:tr>
        <w:trPr>
          <w:trHeight w:val="199" w:hRule="atLeast"/>
        </w:trPr>
        <w:tc>
          <w:tcPr>
            <w:tcW w:w="6471" w:type="dxa"/>
            <w:tcBorders>
              <w:top w:val="single" w:sz="6" w:space="0" w:color="000000"/>
              <w:bottom w:val="double" w:sz="6" w:space="0" w:color="000000"/>
            </w:tcBorders>
          </w:tcPr>
          <w:p>
            <w:pPr>
              <w:pStyle w:val="TableParagraph"/>
              <w:spacing w:line="177" w:lineRule="exact" w:before="2"/>
              <w:rPr>
                <w:sz w:val="16"/>
              </w:rPr>
            </w:pPr>
            <w:r>
              <w:rPr>
                <w:w w:val="105"/>
                <w:sz w:val="16"/>
              </w:rPr>
              <w:t>Total</w:t>
            </w:r>
            <w:r>
              <w:rPr>
                <w:spacing w:val="-8"/>
                <w:w w:val="105"/>
                <w:sz w:val="16"/>
              </w:rPr>
              <w:t> </w:t>
            </w:r>
            <w:r>
              <w:rPr>
                <w:spacing w:val="-2"/>
                <w:w w:val="105"/>
                <w:sz w:val="16"/>
              </w:rPr>
              <w:t>assets</w:t>
            </w:r>
          </w:p>
        </w:tc>
        <w:tc>
          <w:tcPr>
            <w:tcW w:w="331" w:type="dxa"/>
            <w:tcBorders>
              <w:top w:val="single" w:sz="6" w:space="0" w:color="000000"/>
              <w:bottom w:val="double" w:sz="6" w:space="0" w:color="000000"/>
            </w:tcBorders>
          </w:tcPr>
          <w:p>
            <w:pPr>
              <w:pStyle w:val="TableParagraph"/>
              <w:spacing w:line="177" w:lineRule="exact" w:before="2"/>
              <w:rPr>
                <w:b/>
                <w:sz w:val="16"/>
              </w:rPr>
            </w:pPr>
            <w:r>
              <w:rPr>
                <w:b/>
                <w:spacing w:val="-10"/>
                <w:w w:val="105"/>
                <w:sz w:val="16"/>
              </w:rPr>
              <w:t>$</w:t>
            </w:r>
          </w:p>
        </w:tc>
        <w:tc>
          <w:tcPr>
            <w:tcW w:w="641" w:type="dxa"/>
            <w:tcBorders>
              <w:top w:val="single" w:sz="6" w:space="0" w:color="000000"/>
              <w:bottom w:val="double" w:sz="6" w:space="0" w:color="000000"/>
            </w:tcBorders>
          </w:tcPr>
          <w:p>
            <w:pPr>
              <w:pStyle w:val="TableParagraph"/>
              <w:rPr>
                <w:sz w:val="12"/>
              </w:rPr>
            </w:pPr>
          </w:p>
        </w:tc>
        <w:tc>
          <w:tcPr>
            <w:tcW w:w="631" w:type="dxa"/>
            <w:tcBorders>
              <w:top w:val="single" w:sz="6" w:space="0" w:color="000000"/>
              <w:bottom w:val="double" w:sz="6" w:space="0" w:color="000000"/>
            </w:tcBorders>
          </w:tcPr>
          <w:p>
            <w:pPr>
              <w:pStyle w:val="TableParagraph"/>
              <w:spacing w:line="177" w:lineRule="exact" w:before="2"/>
              <w:ind w:right="110"/>
              <w:jc w:val="right"/>
              <w:rPr>
                <w:b/>
                <w:sz w:val="16"/>
              </w:rPr>
            </w:pPr>
            <w:r>
              <w:rPr>
                <w:b/>
                <w:spacing w:val="-2"/>
                <w:w w:val="105"/>
                <w:sz w:val="16"/>
              </w:rPr>
              <w:t>30,154</w:t>
            </w:r>
          </w:p>
        </w:tc>
        <w:tc>
          <w:tcPr>
            <w:tcW w:w="295" w:type="dxa"/>
            <w:tcBorders>
              <w:top w:val="single" w:sz="6" w:space="0" w:color="000000"/>
              <w:bottom w:val="double" w:sz="6" w:space="0" w:color="000000"/>
            </w:tcBorders>
          </w:tcPr>
          <w:p>
            <w:pPr>
              <w:pStyle w:val="TableParagraph"/>
              <w:spacing w:line="177" w:lineRule="exact" w:before="2"/>
              <w:ind w:left="21"/>
              <w:jc w:val="center"/>
              <w:rPr>
                <w:sz w:val="16"/>
              </w:rPr>
            </w:pPr>
            <w:r>
              <w:rPr>
                <w:spacing w:val="-10"/>
                <w:w w:val="105"/>
                <w:sz w:val="16"/>
              </w:rPr>
              <w:t>$</w:t>
            </w:r>
          </w:p>
        </w:tc>
        <w:tc>
          <w:tcPr>
            <w:tcW w:w="1422" w:type="dxa"/>
            <w:tcBorders>
              <w:top w:val="single" w:sz="6" w:space="0" w:color="000000"/>
              <w:bottom w:val="double" w:sz="6" w:space="0" w:color="000000"/>
            </w:tcBorders>
          </w:tcPr>
          <w:p>
            <w:pPr>
              <w:pStyle w:val="TableParagraph"/>
              <w:spacing w:line="177" w:lineRule="exact" w:before="2"/>
              <w:ind w:right="107"/>
              <w:jc w:val="right"/>
              <w:rPr>
                <w:sz w:val="16"/>
              </w:rPr>
            </w:pPr>
            <w:r>
              <w:rPr>
                <w:spacing w:val="-2"/>
                <w:w w:val="105"/>
                <w:sz w:val="16"/>
              </w:rPr>
              <w:t>30,775</w:t>
            </w:r>
          </w:p>
        </w:tc>
        <w:tc>
          <w:tcPr>
            <w:tcW w:w="445" w:type="dxa"/>
            <w:tcBorders>
              <w:top w:val="single" w:sz="6" w:space="0" w:color="000000"/>
              <w:bottom w:val="double" w:sz="6" w:space="0" w:color="000000"/>
            </w:tcBorders>
          </w:tcPr>
          <w:p>
            <w:pPr>
              <w:pStyle w:val="TableParagraph"/>
              <w:spacing w:line="177" w:lineRule="exact" w:before="2"/>
              <w:ind w:left="119"/>
              <w:rPr>
                <w:sz w:val="16"/>
              </w:rPr>
            </w:pPr>
            <w:r>
              <w:rPr>
                <w:spacing w:val="-10"/>
                <w:w w:val="105"/>
                <w:sz w:val="16"/>
              </w:rPr>
              <w:t>$</w:t>
            </w:r>
          </w:p>
        </w:tc>
        <w:tc>
          <w:tcPr>
            <w:tcW w:w="641" w:type="dxa"/>
            <w:tcBorders>
              <w:top w:val="single" w:sz="6" w:space="0" w:color="000000"/>
              <w:bottom w:val="double" w:sz="6" w:space="0" w:color="000000"/>
            </w:tcBorders>
          </w:tcPr>
          <w:p>
            <w:pPr>
              <w:pStyle w:val="TableParagraph"/>
              <w:rPr>
                <w:sz w:val="12"/>
              </w:rPr>
            </w:pPr>
          </w:p>
        </w:tc>
        <w:tc>
          <w:tcPr>
            <w:tcW w:w="631" w:type="dxa"/>
            <w:tcBorders>
              <w:top w:val="single" w:sz="6" w:space="0" w:color="000000"/>
              <w:bottom w:val="double" w:sz="6" w:space="0" w:color="000000"/>
            </w:tcBorders>
          </w:tcPr>
          <w:p>
            <w:pPr>
              <w:pStyle w:val="TableParagraph"/>
              <w:spacing w:line="177" w:lineRule="exact" w:before="2"/>
              <w:ind w:right="105"/>
              <w:jc w:val="right"/>
              <w:rPr>
                <w:sz w:val="16"/>
              </w:rPr>
            </w:pPr>
            <w:r>
              <w:rPr>
                <w:spacing w:val="-2"/>
                <w:w w:val="105"/>
                <w:sz w:val="16"/>
              </w:rPr>
              <w:t>28,898</w:t>
            </w:r>
          </w:p>
        </w:tc>
      </w:tr>
    </w:tbl>
    <w:p>
      <w:pPr>
        <w:pStyle w:val="BodyText"/>
        <w:spacing w:before="43"/>
        <w:rPr>
          <w:sz w:val="14"/>
        </w:rPr>
      </w:pPr>
    </w:p>
    <w:p>
      <w:pPr>
        <w:pStyle w:val="ListParagraph"/>
        <w:numPr>
          <w:ilvl w:val="0"/>
          <w:numId w:val="63"/>
        </w:numPr>
        <w:tabs>
          <w:tab w:pos="460" w:val="left" w:leader="none"/>
        </w:tabs>
        <w:spacing w:line="157" w:lineRule="exact" w:before="0" w:after="0"/>
        <w:ind w:left="460" w:right="0" w:hanging="304"/>
        <w:jc w:val="left"/>
        <w:rPr>
          <w:sz w:val="14"/>
        </w:rPr>
      </w:pPr>
      <w:r>
        <w:rPr>
          <w:sz w:val="14"/>
        </w:rPr>
        <w:t>Includes</w:t>
      </w:r>
      <w:r>
        <w:rPr>
          <w:spacing w:val="-1"/>
          <w:sz w:val="14"/>
        </w:rPr>
        <w:t> </w:t>
      </w:r>
      <w:r>
        <w:rPr>
          <w:sz w:val="14"/>
        </w:rPr>
        <w:t>current</w:t>
      </w:r>
      <w:r>
        <w:rPr>
          <w:spacing w:val="-1"/>
          <w:sz w:val="14"/>
        </w:rPr>
        <w:t> </w:t>
      </w:r>
      <w:r>
        <w:rPr>
          <w:sz w:val="14"/>
        </w:rPr>
        <w:t>corporate</w:t>
      </w:r>
      <w:r>
        <w:rPr>
          <w:spacing w:val="-1"/>
          <w:sz w:val="14"/>
        </w:rPr>
        <w:t> </w:t>
      </w:r>
      <w:r>
        <w:rPr>
          <w:sz w:val="14"/>
        </w:rPr>
        <w:t>assets,</w:t>
      </w:r>
      <w:r>
        <w:rPr>
          <w:spacing w:val="-1"/>
          <w:sz w:val="14"/>
        </w:rPr>
        <w:t> </w:t>
      </w:r>
      <w:r>
        <w:rPr>
          <w:sz w:val="14"/>
        </w:rPr>
        <w:t>including</w:t>
      </w:r>
      <w:r>
        <w:rPr>
          <w:spacing w:val="-1"/>
          <w:sz w:val="14"/>
        </w:rPr>
        <w:t> </w:t>
      </w:r>
      <w:r>
        <w:rPr>
          <w:sz w:val="14"/>
        </w:rPr>
        <w:t>cash,</w:t>
      </w:r>
      <w:r>
        <w:rPr>
          <w:spacing w:val="-1"/>
          <w:sz w:val="14"/>
        </w:rPr>
        <w:t> </w:t>
      </w:r>
      <w:r>
        <w:rPr>
          <w:sz w:val="14"/>
        </w:rPr>
        <w:t>other</w:t>
      </w:r>
      <w:r>
        <w:rPr>
          <w:spacing w:val="-1"/>
          <w:sz w:val="14"/>
        </w:rPr>
        <w:t> </w:t>
      </w:r>
      <w:r>
        <w:rPr>
          <w:sz w:val="14"/>
        </w:rPr>
        <w:t>receivables, prepaid</w:t>
      </w:r>
      <w:r>
        <w:rPr>
          <w:spacing w:val="-1"/>
          <w:sz w:val="14"/>
        </w:rPr>
        <w:t> </w:t>
      </w:r>
      <w:r>
        <w:rPr>
          <w:sz w:val="14"/>
        </w:rPr>
        <w:t>expenses</w:t>
      </w:r>
      <w:r>
        <w:rPr>
          <w:spacing w:val="-1"/>
          <w:sz w:val="14"/>
        </w:rPr>
        <w:t> </w:t>
      </w:r>
      <w:r>
        <w:rPr>
          <w:sz w:val="14"/>
        </w:rPr>
        <w:t>and</w:t>
      </w:r>
      <w:r>
        <w:rPr>
          <w:spacing w:val="-1"/>
          <w:sz w:val="14"/>
        </w:rPr>
        <w:t> </w:t>
      </w:r>
      <w:r>
        <w:rPr>
          <w:sz w:val="14"/>
        </w:rPr>
        <w:t>current</w:t>
      </w:r>
      <w:r>
        <w:rPr>
          <w:spacing w:val="-1"/>
          <w:sz w:val="14"/>
        </w:rPr>
        <w:t> </w:t>
      </w:r>
      <w:r>
        <w:rPr>
          <w:sz w:val="14"/>
        </w:rPr>
        <w:t>portion</w:t>
      </w:r>
      <w:r>
        <w:rPr>
          <w:spacing w:val="-1"/>
          <w:sz w:val="14"/>
        </w:rPr>
        <w:t> </w:t>
      </w:r>
      <w:r>
        <w:rPr>
          <w:sz w:val="14"/>
        </w:rPr>
        <w:t>of</w:t>
      </w:r>
      <w:r>
        <w:rPr>
          <w:spacing w:val="-1"/>
          <w:sz w:val="14"/>
        </w:rPr>
        <w:t> </w:t>
      </w:r>
      <w:r>
        <w:rPr>
          <w:sz w:val="14"/>
        </w:rPr>
        <w:t>long-term</w:t>
      </w:r>
      <w:r>
        <w:rPr>
          <w:spacing w:val="-1"/>
          <w:sz w:val="14"/>
        </w:rPr>
        <w:t> </w:t>
      </w:r>
      <w:r>
        <w:rPr>
          <w:sz w:val="14"/>
        </w:rPr>
        <w:t>derivative </w:t>
      </w:r>
      <w:r>
        <w:rPr>
          <w:spacing w:val="-2"/>
          <w:sz w:val="14"/>
        </w:rPr>
        <w:t>assets.</w:t>
      </w:r>
    </w:p>
    <w:p>
      <w:pPr>
        <w:pStyle w:val="ListParagraph"/>
        <w:numPr>
          <w:ilvl w:val="0"/>
          <w:numId w:val="63"/>
        </w:numPr>
        <w:tabs>
          <w:tab w:pos="460" w:val="left" w:leader="none"/>
          <w:tab w:pos="462" w:val="left" w:leader="none"/>
        </w:tabs>
        <w:spacing w:line="228" w:lineRule="auto" w:before="3" w:after="0"/>
        <w:ind w:left="462" w:right="471" w:hanging="306"/>
        <w:jc w:val="left"/>
        <w:rPr>
          <w:sz w:val="14"/>
        </w:rPr>
      </w:pPr>
      <w:r>
        <w:rPr>
          <w:sz w:val="14"/>
        </w:rPr>
        <w:t>Represents</w:t>
      </w:r>
      <w:r>
        <w:rPr>
          <w:spacing w:val="-1"/>
          <w:sz w:val="14"/>
        </w:rPr>
        <w:t> </w:t>
      </w:r>
      <w:r>
        <w:rPr>
          <w:sz w:val="14"/>
        </w:rPr>
        <w:t>other</w:t>
      </w:r>
      <w:r>
        <w:rPr>
          <w:spacing w:val="-1"/>
          <w:sz w:val="14"/>
        </w:rPr>
        <w:t> </w:t>
      </w:r>
      <w:r>
        <w:rPr>
          <w:sz w:val="14"/>
        </w:rPr>
        <w:t>corporate</w:t>
      </w:r>
      <w:r>
        <w:rPr>
          <w:spacing w:val="-1"/>
          <w:sz w:val="14"/>
        </w:rPr>
        <w:t> </w:t>
      </w:r>
      <w:r>
        <w:rPr>
          <w:sz w:val="14"/>
        </w:rPr>
        <w:t>investments.</w:t>
      </w:r>
      <w:r>
        <w:rPr>
          <w:spacing w:val="-1"/>
          <w:sz w:val="14"/>
        </w:rPr>
        <w:t> </w:t>
      </w:r>
      <w:r>
        <w:rPr>
          <w:sz w:val="14"/>
        </w:rPr>
        <w:t>Asset</w:t>
      </w:r>
      <w:r>
        <w:rPr>
          <w:spacing w:val="-1"/>
          <w:sz w:val="14"/>
        </w:rPr>
        <w:t> </w:t>
      </w:r>
      <w:r>
        <w:rPr>
          <w:sz w:val="14"/>
        </w:rPr>
        <w:t>balance</w:t>
      </w:r>
      <w:r>
        <w:rPr>
          <w:spacing w:val="-1"/>
          <w:sz w:val="14"/>
        </w:rPr>
        <w:t> </w:t>
      </w:r>
      <w:r>
        <w:rPr>
          <w:sz w:val="14"/>
        </w:rPr>
        <w:t>does</w:t>
      </w:r>
      <w:r>
        <w:rPr>
          <w:spacing w:val="-3"/>
          <w:sz w:val="14"/>
        </w:rPr>
        <w:t> </w:t>
      </w:r>
      <w:r>
        <w:rPr>
          <w:sz w:val="14"/>
        </w:rPr>
        <w:t>not</w:t>
      </w:r>
      <w:r>
        <w:rPr>
          <w:spacing w:val="-1"/>
          <w:sz w:val="14"/>
        </w:rPr>
        <w:t> </w:t>
      </w:r>
      <w:r>
        <w:rPr>
          <w:sz w:val="14"/>
        </w:rPr>
        <w:t>include</w:t>
      </w:r>
      <w:r>
        <w:rPr>
          <w:spacing w:val="-1"/>
          <w:sz w:val="14"/>
        </w:rPr>
        <w:t> </w:t>
      </w:r>
      <w:r>
        <w:rPr>
          <w:sz w:val="14"/>
        </w:rPr>
        <w:t>equity</w:t>
      </w:r>
      <w:r>
        <w:rPr>
          <w:spacing w:val="-1"/>
          <w:sz w:val="14"/>
        </w:rPr>
        <w:t> </w:t>
      </w:r>
      <w:r>
        <w:rPr>
          <w:sz w:val="14"/>
        </w:rPr>
        <w:t>method</w:t>
      </w:r>
      <w:r>
        <w:rPr>
          <w:spacing w:val="-1"/>
          <w:sz w:val="14"/>
        </w:rPr>
        <w:t> </w:t>
      </w:r>
      <w:r>
        <w:rPr>
          <w:sz w:val="14"/>
        </w:rPr>
        <w:t>affiliate</w:t>
      </w:r>
      <w:r>
        <w:rPr>
          <w:spacing w:val="-1"/>
          <w:sz w:val="14"/>
        </w:rPr>
        <w:t> </w:t>
      </w:r>
      <w:r>
        <w:rPr>
          <w:sz w:val="14"/>
        </w:rPr>
        <w:t>liability</w:t>
      </w:r>
      <w:r>
        <w:rPr>
          <w:spacing w:val="-1"/>
          <w:sz w:val="14"/>
        </w:rPr>
        <w:t> </w:t>
      </w:r>
      <w:r>
        <w:rPr>
          <w:sz w:val="14"/>
        </w:rPr>
        <w:t>balance</w:t>
      </w:r>
      <w:r>
        <w:rPr>
          <w:spacing w:val="-1"/>
          <w:sz w:val="14"/>
        </w:rPr>
        <w:t> </w:t>
      </w:r>
      <w:r>
        <w:rPr>
          <w:sz w:val="14"/>
        </w:rPr>
        <w:t>of</w:t>
      </w:r>
      <w:r>
        <w:rPr>
          <w:spacing w:val="-1"/>
          <w:sz w:val="14"/>
        </w:rPr>
        <w:t> </w:t>
      </w:r>
      <w:r>
        <w:rPr>
          <w:sz w:val="14"/>
        </w:rPr>
        <w:t>$270</w:t>
      </w:r>
      <w:r>
        <w:rPr>
          <w:spacing w:val="-1"/>
          <w:sz w:val="14"/>
        </w:rPr>
        <w:t> </w:t>
      </w:r>
      <w:r>
        <w:rPr>
          <w:sz w:val="14"/>
        </w:rPr>
        <w:t>million</w:t>
      </w:r>
      <w:r>
        <w:rPr>
          <w:spacing w:val="-1"/>
          <w:sz w:val="14"/>
        </w:rPr>
        <w:t> </w:t>
      </w:r>
      <w:r>
        <w:rPr>
          <w:sz w:val="14"/>
        </w:rPr>
        <w:t>for</w:t>
      </w:r>
      <w:r>
        <w:rPr>
          <w:spacing w:val="-1"/>
          <w:sz w:val="14"/>
        </w:rPr>
        <w:t> </w:t>
      </w:r>
      <w:r>
        <w:rPr>
          <w:sz w:val="14"/>
        </w:rPr>
        <w:t>HSG</w:t>
      </w:r>
      <w:r>
        <w:rPr>
          <w:spacing w:val="-1"/>
          <w:sz w:val="14"/>
        </w:rPr>
        <w:t> </w:t>
      </w:r>
      <w:r>
        <w:rPr>
          <w:sz w:val="14"/>
        </w:rPr>
        <w:t>in</w:t>
      </w:r>
      <w:r>
        <w:rPr>
          <w:spacing w:val="-4"/>
          <w:sz w:val="14"/>
        </w:rPr>
        <w:t> </w:t>
      </w:r>
      <w:r>
        <w:rPr>
          <w:sz w:val="14"/>
        </w:rPr>
        <w:t>2019.</w:t>
      </w:r>
      <w:r>
        <w:rPr>
          <w:spacing w:val="-1"/>
          <w:sz w:val="14"/>
        </w:rPr>
        <w:t> </w:t>
      </w:r>
      <w:r>
        <w:rPr>
          <w:sz w:val="14"/>
        </w:rPr>
        <w:t>HSG</w:t>
      </w:r>
      <w:r>
        <w:rPr>
          <w:spacing w:val="-1"/>
          <w:sz w:val="14"/>
        </w:rPr>
        <w:t> </w:t>
      </w:r>
      <w:r>
        <w:rPr>
          <w:sz w:val="14"/>
        </w:rPr>
        <w:t>became</w:t>
      </w:r>
      <w:r>
        <w:rPr>
          <w:spacing w:val="-1"/>
          <w:sz w:val="14"/>
        </w:rPr>
        <w:t> </w:t>
      </w:r>
      <w:r>
        <w:rPr>
          <w:sz w:val="14"/>
        </w:rPr>
        <w:t>a</w:t>
      </w:r>
      <w:r>
        <w:rPr>
          <w:spacing w:val="-1"/>
          <w:sz w:val="14"/>
        </w:rPr>
        <w:t> </w:t>
      </w:r>
      <w:r>
        <w:rPr>
          <w:sz w:val="14"/>
        </w:rPr>
        <w:t>fully</w:t>
      </w:r>
      <w:r>
        <w:rPr>
          <w:spacing w:val="-1"/>
          <w:sz w:val="14"/>
        </w:rPr>
        <w:t> </w:t>
      </w:r>
      <w:r>
        <w:rPr>
          <w:sz w:val="14"/>
        </w:rPr>
        <w:t>consolidated</w:t>
      </w:r>
      <w:r>
        <w:rPr>
          <w:spacing w:val="-1"/>
          <w:sz w:val="14"/>
        </w:rPr>
        <w:t> </w:t>
      </w:r>
      <w:r>
        <w:rPr>
          <w:sz w:val="14"/>
        </w:rPr>
        <w:t>subsidiary</w:t>
      </w:r>
      <w:r>
        <w:rPr>
          <w:spacing w:val="-1"/>
          <w:sz w:val="14"/>
        </w:rPr>
        <w:t> </w:t>
      </w:r>
      <w:r>
        <w:rPr>
          <w:sz w:val="14"/>
        </w:rPr>
        <w:t>of</w:t>
      </w:r>
      <w:r>
        <w:rPr>
          <w:spacing w:val="40"/>
          <w:sz w:val="14"/>
        </w:rPr>
        <w:t> </w:t>
      </w:r>
      <w:r>
        <w:rPr>
          <w:sz w:val="14"/>
        </w:rPr>
        <w:t>Corning on September 9, 2020.</w:t>
      </w:r>
    </w:p>
    <w:p>
      <w:pPr>
        <w:pStyle w:val="ListParagraph"/>
        <w:numPr>
          <w:ilvl w:val="0"/>
          <w:numId w:val="63"/>
        </w:numPr>
        <w:tabs>
          <w:tab w:pos="460" w:val="left" w:leader="none"/>
        </w:tabs>
        <w:spacing w:line="150" w:lineRule="exact" w:before="0" w:after="0"/>
        <w:ind w:left="460" w:right="0" w:hanging="304"/>
        <w:jc w:val="left"/>
        <w:rPr>
          <w:sz w:val="14"/>
        </w:rPr>
      </w:pPr>
      <w:r>
        <w:rPr>
          <w:sz w:val="14"/>
        </w:rPr>
        <w:t>Represents</w:t>
      </w:r>
      <w:r>
        <w:rPr>
          <w:spacing w:val="-1"/>
          <w:sz w:val="14"/>
        </w:rPr>
        <w:t> </w:t>
      </w:r>
      <w:r>
        <w:rPr>
          <w:sz w:val="14"/>
        </w:rPr>
        <w:t>corporate</w:t>
      </w:r>
      <w:r>
        <w:rPr>
          <w:spacing w:val="-1"/>
          <w:sz w:val="14"/>
        </w:rPr>
        <w:t> </w:t>
      </w:r>
      <w:r>
        <w:rPr>
          <w:sz w:val="14"/>
        </w:rPr>
        <w:t>property</w:t>
      </w:r>
      <w:r>
        <w:rPr>
          <w:spacing w:val="-2"/>
          <w:sz w:val="14"/>
        </w:rPr>
        <w:t> </w:t>
      </w:r>
      <w:r>
        <w:rPr>
          <w:sz w:val="14"/>
        </w:rPr>
        <w:t>not</w:t>
      </w:r>
      <w:r>
        <w:rPr>
          <w:spacing w:val="-1"/>
          <w:sz w:val="14"/>
        </w:rPr>
        <w:t> </w:t>
      </w:r>
      <w:r>
        <w:rPr>
          <w:sz w:val="14"/>
        </w:rPr>
        <w:t>specifically</w:t>
      </w:r>
      <w:r>
        <w:rPr>
          <w:spacing w:val="-1"/>
          <w:sz w:val="14"/>
        </w:rPr>
        <w:t> </w:t>
      </w:r>
      <w:r>
        <w:rPr>
          <w:sz w:val="14"/>
        </w:rPr>
        <w:t>identifiable</w:t>
      </w:r>
      <w:r>
        <w:rPr>
          <w:spacing w:val="-1"/>
          <w:sz w:val="14"/>
        </w:rPr>
        <w:t> </w:t>
      </w:r>
      <w:r>
        <w:rPr>
          <w:sz w:val="14"/>
        </w:rPr>
        <w:t>to</w:t>
      </w:r>
      <w:r>
        <w:rPr>
          <w:spacing w:val="-1"/>
          <w:sz w:val="14"/>
        </w:rPr>
        <w:t> </w:t>
      </w:r>
      <w:r>
        <w:rPr>
          <w:sz w:val="14"/>
        </w:rPr>
        <w:t>an</w:t>
      </w:r>
      <w:r>
        <w:rPr>
          <w:spacing w:val="-1"/>
          <w:sz w:val="14"/>
        </w:rPr>
        <w:t> </w:t>
      </w:r>
      <w:r>
        <w:rPr>
          <w:sz w:val="14"/>
        </w:rPr>
        <w:t>operating</w:t>
      </w:r>
      <w:r>
        <w:rPr>
          <w:spacing w:val="-1"/>
          <w:sz w:val="14"/>
        </w:rPr>
        <w:t> </w:t>
      </w:r>
      <w:r>
        <w:rPr>
          <w:spacing w:val="-2"/>
          <w:sz w:val="14"/>
        </w:rPr>
        <w:t>segment.</w:t>
      </w:r>
    </w:p>
    <w:p>
      <w:pPr>
        <w:pStyle w:val="ListParagraph"/>
        <w:numPr>
          <w:ilvl w:val="0"/>
          <w:numId w:val="63"/>
        </w:numPr>
        <w:tabs>
          <w:tab w:pos="460" w:val="left" w:leader="none"/>
        </w:tabs>
        <w:spacing w:line="157" w:lineRule="exact" w:before="0" w:after="0"/>
        <w:ind w:left="460" w:right="0" w:hanging="304"/>
        <w:jc w:val="left"/>
        <w:rPr>
          <w:sz w:val="14"/>
        </w:rPr>
      </w:pPr>
      <w:r>
        <w:rPr>
          <w:sz w:val="14"/>
        </w:rPr>
        <w:t>Includes</w:t>
      </w:r>
      <w:r>
        <w:rPr>
          <w:spacing w:val="-1"/>
          <w:sz w:val="14"/>
        </w:rPr>
        <w:t> </w:t>
      </w:r>
      <w:r>
        <w:rPr>
          <w:sz w:val="14"/>
        </w:rPr>
        <w:t>non-current</w:t>
      </w:r>
      <w:r>
        <w:rPr>
          <w:spacing w:val="-1"/>
          <w:sz w:val="14"/>
        </w:rPr>
        <w:t> </w:t>
      </w:r>
      <w:r>
        <w:rPr>
          <w:sz w:val="14"/>
        </w:rPr>
        <w:t>corporate assets,</w:t>
      </w:r>
      <w:r>
        <w:rPr>
          <w:spacing w:val="-1"/>
          <w:sz w:val="14"/>
        </w:rPr>
        <w:t> </w:t>
      </w:r>
      <w:r>
        <w:rPr>
          <w:sz w:val="14"/>
        </w:rPr>
        <w:t>including goodwill,</w:t>
      </w:r>
      <w:r>
        <w:rPr>
          <w:spacing w:val="-1"/>
          <w:sz w:val="14"/>
        </w:rPr>
        <w:t> </w:t>
      </w:r>
      <w:r>
        <w:rPr>
          <w:sz w:val="14"/>
        </w:rPr>
        <w:t>other</w:t>
      </w:r>
      <w:r>
        <w:rPr>
          <w:spacing w:val="-1"/>
          <w:sz w:val="14"/>
        </w:rPr>
        <w:t> </w:t>
      </w:r>
      <w:r>
        <w:rPr>
          <w:sz w:val="14"/>
        </w:rPr>
        <w:t>intangible assets,</w:t>
      </w:r>
      <w:r>
        <w:rPr>
          <w:spacing w:val="-1"/>
          <w:sz w:val="14"/>
        </w:rPr>
        <w:t> </w:t>
      </w:r>
      <w:r>
        <w:rPr>
          <w:sz w:val="14"/>
        </w:rPr>
        <w:t>pension assets,</w:t>
      </w:r>
      <w:r>
        <w:rPr>
          <w:spacing w:val="-1"/>
          <w:sz w:val="14"/>
        </w:rPr>
        <w:t> </w:t>
      </w:r>
      <w:r>
        <w:rPr>
          <w:sz w:val="14"/>
        </w:rPr>
        <w:t>long-term derivative</w:t>
      </w:r>
      <w:r>
        <w:rPr>
          <w:spacing w:val="-1"/>
          <w:sz w:val="14"/>
        </w:rPr>
        <w:t> </w:t>
      </w:r>
      <w:r>
        <w:rPr>
          <w:sz w:val="14"/>
        </w:rPr>
        <w:t>assets,</w:t>
      </w:r>
      <w:r>
        <w:rPr>
          <w:spacing w:val="-1"/>
          <w:sz w:val="14"/>
        </w:rPr>
        <w:t> </w:t>
      </w:r>
      <w:r>
        <w:rPr>
          <w:sz w:val="14"/>
        </w:rPr>
        <w:t>operating leases</w:t>
      </w:r>
      <w:r>
        <w:rPr>
          <w:spacing w:val="-1"/>
          <w:sz w:val="14"/>
        </w:rPr>
        <w:t> </w:t>
      </w:r>
      <w:r>
        <w:rPr>
          <w:sz w:val="14"/>
        </w:rPr>
        <w:t>and deferred</w:t>
      </w:r>
      <w:r>
        <w:rPr>
          <w:spacing w:val="-1"/>
          <w:sz w:val="14"/>
        </w:rPr>
        <w:t> </w:t>
      </w:r>
      <w:r>
        <w:rPr>
          <w:sz w:val="14"/>
        </w:rPr>
        <w:t>income </w:t>
      </w:r>
      <w:r>
        <w:rPr>
          <w:spacing w:val="-2"/>
          <w:sz w:val="14"/>
        </w:rPr>
        <w:t>taxes.</w:t>
      </w:r>
    </w:p>
    <w:p>
      <w:pPr>
        <w:pStyle w:val="BodyText"/>
        <w:spacing w:before="41"/>
        <w:rPr>
          <w:sz w:val="14"/>
        </w:rPr>
      </w:pPr>
    </w:p>
    <w:p>
      <w:pPr>
        <w:pStyle w:val="BodyText"/>
        <w:ind w:left="48"/>
        <w:jc w:val="center"/>
      </w:pPr>
      <w:r>
        <w:rPr>
          <w:spacing w:val="-5"/>
          <w:w w:val="105"/>
        </w:rPr>
        <w:t>117</w:t>
      </w:r>
    </w:p>
    <w:p>
      <w:pPr>
        <w:pStyle w:val="BodyText"/>
        <w:rPr>
          <w:sz w:val="6"/>
        </w:rPr>
      </w:pPr>
      <w:r>
        <w:rPr/>
        <mc:AlternateContent>
          <mc:Choice Requires="wps">
            <w:drawing>
              <wp:anchor distT="0" distB="0" distL="0" distR="0" allowOverlap="1" layoutInCell="1" locked="0" behindDoc="1" simplePos="0" relativeHeight="487754240">
                <wp:simplePos x="0" y="0"/>
                <wp:positionH relativeFrom="page">
                  <wp:posOffset>226488</wp:posOffset>
                </wp:positionH>
                <wp:positionV relativeFrom="paragraph">
                  <wp:posOffset>59122</wp:posOffset>
                </wp:positionV>
                <wp:extent cx="7312659" cy="16510"/>
                <wp:effectExtent l="0" t="0" r="0" b="0"/>
                <wp:wrapTopAndBottom/>
                <wp:docPr id="1088" name="Graphic 1088"/>
                <wp:cNvGraphicFramePr>
                  <a:graphicFrameLocks/>
                </wp:cNvGraphicFramePr>
                <a:graphic>
                  <a:graphicData uri="http://schemas.microsoft.com/office/word/2010/wordprocessingShape">
                    <wps:wsp>
                      <wps:cNvPr id="1088" name="Graphic 1088"/>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55307pt;width:575.775087pt;height:1.273839pt;mso-position-horizontal-relative:page;mso-position-vertical-relative:paragraph;z-index:-15562240;mso-wrap-distance-left:0;mso-wrap-distance-right:0" id="docshape1087"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pPr>
      <w:r>
        <w:rPr>
          <w:w w:val="105"/>
        </w:rPr>
        <w:t>20.</w:t>
      </w:r>
      <w:r>
        <w:rPr>
          <w:spacing w:val="19"/>
          <w:w w:val="105"/>
        </w:rPr>
        <w:t> </w:t>
      </w:r>
      <w:r>
        <w:rPr>
          <w:w w:val="105"/>
        </w:rPr>
        <w:t>Reportable</w:t>
      </w:r>
      <w:r>
        <w:rPr>
          <w:spacing w:val="-10"/>
          <w:w w:val="105"/>
        </w:rPr>
        <w:t> </w:t>
      </w:r>
      <w:r>
        <w:rPr>
          <w:w w:val="105"/>
        </w:rPr>
        <w:t>Segments</w:t>
      </w:r>
      <w:r>
        <w:rPr>
          <w:spacing w:val="-11"/>
          <w:w w:val="105"/>
        </w:rPr>
        <w:t> </w:t>
      </w:r>
      <w:r>
        <w:rPr>
          <w:spacing w:val="-2"/>
          <w:w w:val="105"/>
        </w:rPr>
        <w:t>(Continued)</w:t>
      </w:r>
    </w:p>
    <w:p>
      <w:pPr>
        <w:pStyle w:val="BodyText"/>
        <w:spacing w:before="40"/>
        <w:rPr>
          <w:b/>
        </w:rPr>
      </w:pPr>
    </w:p>
    <w:p>
      <w:pPr>
        <w:pStyle w:val="BodyText"/>
        <w:ind w:left="156"/>
      </w:pPr>
      <w:r>
        <w:rPr/>
        <w:t>Selected</w:t>
      </w:r>
      <w:r>
        <w:rPr>
          <w:spacing w:val="14"/>
        </w:rPr>
        <w:t> </w:t>
      </w:r>
      <w:r>
        <w:rPr/>
        <w:t>financial</w:t>
      </w:r>
      <w:r>
        <w:rPr>
          <w:spacing w:val="16"/>
        </w:rPr>
        <w:t> </w:t>
      </w:r>
      <w:r>
        <w:rPr/>
        <w:t>information</w:t>
      </w:r>
      <w:r>
        <w:rPr>
          <w:spacing w:val="14"/>
        </w:rPr>
        <w:t> </w:t>
      </w:r>
      <w:r>
        <w:rPr/>
        <w:t>concerning</w:t>
      </w:r>
      <w:r>
        <w:rPr>
          <w:spacing w:val="15"/>
        </w:rPr>
        <w:t> </w:t>
      </w:r>
      <w:r>
        <w:rPr/>
        <w:t>the</w:t>
      </w:r>
      <w:r>
        <w:rPr>
          <w:spacing w:val="14"/>
        </w:rPr>
        <w:t> </w:t>
      </w:r>
      <w:r>
        <w:rPr/>
        <w:t>Company’s</w:t>
      </w:r>
      <w:r>
        <w:rPr>
          <w:spacing w:val="14"/>
        </w:rPr>
        <w:t> </w:t>
      </w:r>
      <w:r>
        <w:rPr/>
        <w:t>product</w:t>
      </w:r>
      <w:r>
        <w:rPr>
          <w:spacing w:val="14"/>
        </w:rPr>
        <w:t> </w:t>
      </w:r>
      <w:r>
        <w:rPr/>
        <w:t>lines</w:t>
      </w:r>
      <w:r>
        <w:rPr>
          <w:spacing w:val="14"/>
        </w:rPr>
        <w:t> </w:t>
      </w:r>
      <w:r>
        <w:rPr/>
        <w:t>and</w:t>
      </w:r>
      <w:r>
        <w:rPr>
          <w:spacing w:val="14"/>
        </w:rPr>
        <w:t> </w:t>
      </w:r>
      <w:r>
        <w:rPr/>
        <w:t>reportable</w:t>
      </w:r>
      <w:r>
        <w:rPr>
          <w:spacing w:val="14"/>
        </w:rPr>
        <w:t> </w:t>
      </w:r>
      <w:r>
        <w:rPr/>
        <w:t>segments</w:t>
      </w:r>
      <w:r>
        <w:rPr>
          <w:spacing w:val="14"/>
        </w:rPr>
        <w:t> </w:t>
      </w:r>
      <w:r>
        <w:rPr/>
        <w:t>follow</w:t>
      </w:r>
      <w:r>
        <w:rPr>
          <w:spacing w:val="14"/>
        </w:rPr>
        <w:t> </w:t>
      </w:r>
      <w:r>
        <w:rPr/>
        <w:t>(in</w:t>
      </w:r>
      <w:r>
        <w:rPr>
          <w:spacing w:val="14"/>
        </w:rPr>
        <w:t> </w:t>
      </w:r>
      <w:r>
        <w:rPr>
          <w:spacing w:val="-2"/>
        </w:rPr>
        <w:t>millions):</w:t>
      </w:r>
    </w:p>
    <w:p>
      <w:pPr>
        <w:pStyle w:val="BodyText"/>
        <w:spacing w:before="3"/>
        <w:rPr>
          <w:sz w:val="9"/>
        </w:rPr>
      </w:pPr>
      <w:r>
        <w:rPr/>
        <mc:AlternateContent>
          <mc:Choice Requires="wps">
            <w:drawing>
              <wp:anchor distT="0" distB="0" distL="0" distR="0" allowOverlap="1" layoutInCell="1" locked="0" behindDoc="1" simplePos="0" relativeHeight="487754752">
                <wp:simplePos x="0" y="0"/>
                <wp:positionH relativeFrom="page">
                  <wp:posOffset>226479</wp:posOffset>
                </wp:positionH>
                <wp:positionV relativeFrom="paragraph">
                  <wp:posOffset>82868</wp:posOffset>
                </wp:positionV>
                <wp:extent cx="7312659" cy="16510"/>
                <wp:effectExtent l="0" t="0" r="0" b="0"/>
                <wp:wrapTopAndBottom/>
                <wp:docPr id="1089" name="Graphic 1089"/>
                <wp:cNvGraphicFramePr>
                  <a:graphicFrameLocks/>
                </wp:cNvGraphicFramePr>
                <a:graphic>
                  <a:graphicData uri="http://schemas.microsoft.com/office/word/2010/wordprocessingShape">
                    <wps:wsp>
                      <wps:cNvPr id="1089" name="Graphic 1089"/>
                      <wps:cNvSpPr/>
                      <wps:spPr>
                        <a:xfrm>
                          <a:off x="0" y="0"/>
                          <a:ext cx="7312659" cy="16510"/>
                        </a:xfrm>
                        <a:custGeom>
                          <a:avLst/>
                          <a:gdLst/>
                          <a:ahLst/>
                          <a:cxnLst/>
                          <a:rect l="l" t="t" r="r" b="b"/>
                          <a:pathLst>
                            <a:path w="7312659" h="16510">
                              <a:moveTo>
                                <a:pt x="7312342" y="0"/>
                              </a:moveTo>
                              <a:lnTo>
                                <a:pt x="7239546" y="0"/>
                              </a:lnTo>
                              <a:lnTo>
                                <a:pt x="4109148" y="0"/>
                              </a:lnTo>
                              <a:lnTo>
                                <a:pt x="4028262" y="0"/>
                              </a:lnTo>
                              <a:lnTo>
                                <a:pt x="0" y="0"/>
                              </a:lnTo>
                              <a:lnTo>
                                <a:pt x="0" y="16179"/>
                              </a:lnTo>
                              <a:lnTo>
                                <a:pt x="4028262" y="16179"/>
                              </a:lnTo>
                              <a:lnTo>
                                <a:pt x="4109148" y="16179"/>
                              </a:lnTo>
                              <a:lnTo>
                                <a:pt x="7239546"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33pt;margin-top:6.525093pt;width:575.8pt;height:1.3pt;mso-position-horizontal-relative:page;mso-position-vertical-relative:paragraph;z-index:-15561728;mso-wrap-distance-left:0;mso-wrap-distance-right:0" id="docshape1088" coordorigin="357,131" coordsize="11516,26" path="m11872,131l11758,131,6828,131,6700,131,357,131,357,156,6700,156,6828,156,11758,156,11872,156,11872,131xe" filled="true" fillcolor="#000000" stroked="false">
                <v:path arrowok="t"/>
                <v:fill type="solid"/>
                <w10:wrap type="topAndBottom"/>
              </v:shape>
            </w:pict>
          </mc:Fallback>
        </mc:AlternateContent>
      </w:r>
    </w:p>
    <w:p>
      <w:pPr>
        <w:pStyle w:val="BodyText"/>
        <w:spacing w:before="4" w:after="16"/>
        <w:ind w:right="1821"/>
        <w:jc w:val="right"/>
      </w:pPr>
      <w:r>
        <w:rPr>
          <w:w w:val="105"/>
        </w:rPr>
        <w:t>Year</w:t>
      </w:r>
      <w:r>
        <w:rPr>
          <w:spacing w:val="-12"/>
          <w:w w:val="105"/>
        </w:rPr>
        <w:t> </w:t>
      </w:r>
      <w:r>
        <w:rPr>
          <w:w w:val="105"/>
        </w:rPr>
        <w:t>ended</w:t>
      </w:r>
      <w:r>
        <w:rPr>
          <w:spacing w:val="-10"/>
          <w:w w:val="105"/>
        </w:rPr>
        <w:t> </w:t>
      </w:r>
      <w:r>
        <w:rPr>
          <w:w w:val="105"/>
        </w:rPr>
        <w:t>December</w:t>
      </w:r>
      <w:r>
        <w:rPr>
          <w:spacing w:val="-10"/>
          <w:w w:val="105"/>
        </w:rPr>
        <w:t> </w:t>
      </w:r>
      <w:r>
        <w:rPr>
          <w:spacing w:val="-5"/>
          <w:w w:val="105"/>
        </w:rPr>
        <w:t>31,</w:t>
      </w:r>
    </w:p>
    <w:p>
      <w:pPr>
        <w:pStyle w:val="BodyText"/>
        <w:spacing w:line="20" w:lineRule="exact"/>
        <w:ind w:left="6627"/>
        <w:rPr>
          <w:sz w:val="2"/>
        </w:rPr>
      </w:pPr>
      <w:r>
        <w:rPr>
          <w:sz w:val="2"/>
        </w:rPr>
        <mc:AlternateContent>
          <mc:Choice Requires="wps">
            <w:drawing>
              <wp:inline distT="0" distB="0" distL="0" distR="0">
                <wp:extent cx="3203575" cy="8255"/>
                <wp:effectExtent l="0" t="0" r="0" b="0"/>
                <wp:docPr id="1090" name="Group 1090"/>
                <wp:cNvGraphicFramePr>
                  <a:graphicFrameLocks/>
                </wp:cNvGraphicFramePr>
                <a:graphic>
                  <a:graphicData uri="http://schemas.microsoft.com/office/word/2010/wordprocessingGroup">
                    <wpg:wgp>
                      <wpg:cNvPr id="1090" name="Group 1090"/>
                      <wpg:cNvGrpSpPr/>
                      <wpg:grpSpPr>
                        <a:xfrm>
                          <a:off x="0" y="0"/>
                          <a:ext cx="3203575" cy="8255"/>
                          <a:chExt cx="3203575" cy="8255"/>
                        </a:xfrm>
                      </wpg:grpSpPr>
                      <wps:wsp>
                        <wps:cNvPr id="1091" name="Graphic 1091"/>
                        <wps:cNvSpPr/>
                        <wps:spPr>
                          <a:xfrm>
                            <a:off x="-9" y="0"/>
                            <a:ext cx="3203575" cy="8255"/>
                          </a:xfrm>
                          <a:custGeom>
                            <a:avLst/>
                            <a:gdLst/>
                            <a:ahLst/>
                            <a:cxnLst/>
                            <a:rect l="l" t="t" r="r" b="b"/>
                            <a:pathLst>
                              <a:path w="3203575" h="8255">
                                <a:moveTo>
                                  <a:pt x="3203194" y="0"/>
                                </a:moveTo>
                                <a:lnTo>
                                  <a:pt x="3130397" y="0"/>
                                </a:lnTo>
                                <a:lnTo>
                                  <a:pt x="0" y="0"/>
                                </a:lnTo>
                                <a:lnTo>
                                  <a:pt x="0" y="8089"/>
                                </a:lnTo>
                                <a:lnTo>
                                  <a:pt x="3130397" y="8089"/>
                                </a:lnTo>
                                <a:lnTo>
                                  <a:pt x="3203194" y="8089"/>
                                </a:lnTo>
                                <a:lnTo>
                                  <a:pt x="32031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2.25pt;height:.65pt;mso-position-horizontal-relative:char;mso-position-vertical-relative:line" id="docshapegroup1089" coordorigin="0,0" coordsize="5045,13">
                <v:shape style="position:absolute;left:-1;top:0;width:5045;height:13" id="docshape1090" coordorigin="0,0" coordsize="5045,13" path="m5044,0l4930,0,0,0,0,13,4930,13,5044,13,5044,0xe" filled="true" fillcolor="#000000" stroked="false">
                  <v:path arrowok="t"/>
                  <v:fill type="solid"/>
                </v:shape>
              </v:group>
            </w:pict>
          </mc:Fallback>
        </mc:AlternateContent>
      </w:r>
      <w:r>
        <w:rPr>
          <w:sz w:val="2"/>
        </w:rPr>
      </w:r>
    </w:p>
    <w:p>
      <w:pPr>
        <w:pStyle w:val="BodyText"/>
        <w:tabs>
          <w:tab w:pos="7207" w:val="left" w:leader="none"/>
          <w:tab w:pos="8926" w:val="left" w:leader="none"/>
          <w:tab w:pos="10646" w:val="left" w:leader="none"/>
        </w:tabs>
        <w:ind w:left="156"/>
      </w:pPr>
      <w:r>
        <w:rPr/>
        <mc:AlternateContent>
          <mc:Choice Requires="wps">
            <w:drawing>
              <wp:anchor distT="0" distB="0" distL="0" distR="0" allowOverlap="1" layoutInCell="1" locked="0" behindDoc="1" simplePos="0" relativeHeight="487755776">
                <wp:simplePos x="0" y="0"/>
                <wp:positionH relativeFrom="page">
                  <wp:posOffset>226479</wp:posOffset>
                </wp:positionH>
                <wp:positionV relativeFrom="paragraph">
                  <wp:posOffset>124815</wp:posOffset>
                </wp:positionV>
                <wp:extent cx="7312659" cy="8255"/>
                <wp:effectExtent l="0" t="0" r="0" b="0"/>
                <wp:wrapTopAndBottom/>
                <wp:docPr id="1092" name="Graphic 1092"/>
                <wp:cNvGraphicFramePr>
                  <a:graphicFrameLocks/>
                </wp:cNvGraphicFramePr>
                <a:graphic>
                  <a:graphicData uri="http://schemas.microsoft.com/office/word/2010/wordprocessingShape">
                    <wps:wsp>
                      <wps:cNvPr id="1092" name="Graphic 1092"/>
                      <wps:cNvSpPr/>
                      <wps:spPr>
                        <a:xfrm>
                          <a:off x="0" y="0"/>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9.827987pt;width:575.775027pt;height:.637pt;mso-position-horizontal-relative:page;mso-position-vertical-relative:paragraph;z-index:-15560704;mso-wrap-distance-left:0;mso-wrap-distance-right:0" id="docshape1091" filled="true" fillcolor="#000000" stroked="false">
                <v:fill type="solid"/>
                <w10:wrap type="topAndBottom"/>
              </v:rect>
            </w:pict>
          </mc:Fallback>
        </mc:AlternateContent>
      </w:r>
      <w:r>
        <w:rPr>
          <w:w w:val="105"/>
        </w:rPr>
        <w:t>Revenue</w:t>
      </w:r>
      <w:r>
        <w:rPr>
          <w:spacing w:val="-11"/>
          <w:w w:val="105"/>
        </w:rPr>
        <w:t> </w:t>
      </w:r>
      <w:r>
        <w:rPr>
          <w:w w:val="105"/>
        </w:rPr>
        <w:t>from</w:t>
      </w:r>
      <w:r>
        <w:rPr>
          <w:spacing w:val="-10"/>
          <w:w w:val="105"/>
        </w:rPr>
        <w:t> </w:t>
      </w:r>
      <w:r>
        <w:rPr>
          <w:w w:val="105"/>
        </w:rPr>
        <w:t>external</w:t>
      </w:r>
      <w:r>
        <w:rPr>
          <w:spacing w:val="-10"/>
          <w:w w:val="105"/>
        </w:rPr>
        <w:t> </w:t>
      </w:r>
      <w:r>
        <w:rPr>
          <w:spacing w:val="-2"/>
          <w:w w:val="105"/>
        </w:rPr>
        <w:t>customers</w:t>
      </w:r>
      <w:r>
        <w:rPr/>
        <w:tab/>
      </w:r>
      <w:r>
        <w:rPr>
          <w:b/>
          <w:spacing w:val="-4"/>
          <w:w w:val="105"/>
        </w:rPr>
        <w:t>2021</w:t>
      </w:r>
      <w:r>
        <w:rPr>
          <w:b/>
        </w:rPr>
        <w:tab/>
      </w:r>
      <w:r>
        <w:rPr>
          <w:spacing w:val="-4"/>
          <w:w w:val="105"/>
        </w:rPr>
        <w:t>2020</w:t>
      </w:r>
      <w:r>
        <w:rPr/>
        <w:tab/>
      </w:r>
      <w:r>
        <w:rPr>
          <w:spacing w:val="-4"/>
          <w:w w:val="105"/>
        </w:rPr>
        <w:t>2019</w:t>
      </w:r>
    </w:p>
    <w:p>
      <w:pPr>
        <w:pStyle w:val="BodyText"/>
        <w:spacing w:before="8"/>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1"/>
        <w:gridCol w:w="973"/>
        <w:gridCol w:w="660"/>
        <w:gridCol w:w="1060"/>
        <w:gridCol w:w="660"/>
        <w:gridCol w:w="1060"/>
        <w:gridCol w:w="632"/>
      </w:tblGrid>
      <w:tr>
        <w:trPr>
          <w:trHeight w:val="203" w:hRule="atLeast"/>
        </w:trPr>
        <w:tc>
          <w:tcPr>
            <w:tcW w:w="6471" w:type="dxa"/>
            <w:shd w:val="clear" w:color="auto" w:fill="CCEDFF"/>
          </w:tcPr>
          <w:p>
            <w:pPr>
              <w:pStyle w:val="TableParagraph"/>
              <w:spacing w:line="180" w:lineRule="exact" w:before="3"/>
              <w:rPr>
                <w:sz w:val="16"/>
              </w:rPr>
            </w:pPr>
            <w:r>
              <w:rPr>
                <w:sz w:val="16"/>
              </w:rPr>
              <w:t>Display</w:t>
            </w:r>
            <w:r>
              <w:rPr>
                <w:spacing w:val="15"/>
                <w:sz w:val="16"/>
              </w:rPr>
              <w:t> </w:t>
            </w:r>
            <w:r>
              <w:rPr>
                <w:spacing w:val="-2"/>
                <w:sz w:val="16"/>
              </w:rPr>
              <w:t>Technologies</w:t>
            </w:r>
          </w:p>
        </w:tc>
        <w:tc>
          <w:tcPr>
            <w:tcW w:w="973" w:type="dxa"/>
            <w:shd w:val="clear" w:color="auto" w:fill="CCEDFF"/>
          </w:tcPr>
          <w:p>
            <w:pPr>
              <w:pStyle w:val="TableParagraph"/>
              <w:spacing w:line="180" w:lineRule="exact" w:before="3"/>
              <w:rPr>
                <w:b/>
                <w:sz w:val="16"/>
              </w:rPr>
            </w:pPr>
            <w:r>
              <w:rPr>
                <w:b/>
                <w:spacing w:val="-10"/>
                <w:w w:val="105"/>
                <w:sz w:val="16"/>
              </w:rPr>
              <w:t>$</w:t>
            </w:r>
          </w:p>
        </w:tc>
        <w:tc>
          <w:tcPr>
            <w:tcW w:w="660" w:type="dxa"/>
            <w:shd w:val="clear" w:color="auto" w:fill="CCEDFF"/>
          </w:tcPr>
          <w:p>
            <w:pPr>
              <w:pStyle w:val="TableParagraph"/>
              <w:spacing w:line="180" w:lineRule="exact" w:before="3"/>
              <w:ind w:left="144"/>
              <w:rPr>
                <w:b/>
                <w:sz w:val="16"/>
              </w:rPr>
            </w:pPr>
            <w:r>
              <w:rPr>
                <w:b/>
                <w:spacing w:val="-4"/>
                <w:w w:val="105"/>
                <w:sz w:val="16"/>
              </w:rPr>
              <w:t>3,700</w:t>
            </w:r>
          </w:p>
        </w:tc>
        <w:tc>
          <w:tcPr>
            <w:tcW w:w="1060" w:type="dxa"/>
            <w:shd w:val="clear" w:color="auto" w:fill="CCEDFF"/>
          </w:tcPr>
          <w:p>
            <w:pPr>
              <w:pStyle w:val="TableParagraph"/>
              <w:spacing w:line="180" w:lineRule="exact" w:before="3"/>
              <w:ind w:left="86"/>
              <w:rPr>
                <w:sz w:val="16"/>
              </w:rPr>
            </w:pPr>
            <w:r>
              <w:rPr>
                <w:spacing w:val="-10"/>
                <w:w w:val="105"/>
                <w:sz w:val="16"/>
              </w:rPr>
              <w:t>$</w:t>
            </w:r>
          </w:p>
        </w:tc>
        <w:tc>
          <w:tcPr>
            <w:tcW w:w="660" w:type="dxa"/>
            <w:shd w:val="clear" w:color="auto" w:fill="CCEDFF"/>
          </w:tcPr>
          <w:p>
            <w:pPr>
              <w:pStyle w:val="TableParagraph"/>
              <w:spacing w:line="180" w:lineRule="exact" w:before="3"/>
              <w:ind w:left="144"/>
              <w:rPr>
                <w:sz w:val="16"/>
              </w:rPr>
            </w:pPr>
            <w:r>
              <w:rPr>
                <w:spacing w:val="-4"/>
                <w:w w:val="105"/>
                <w:sz w:val="16"/>
              </w:rPr>
              <w:t>3,172</w:t>
            </w:r>
          </w:p>
        </w:tc>
        <w:tc>
          <w:tcPr>
            <w:tcW w:w="1060" w:type="dxa"/>
            <w:shd w:val="clear" w:color="auto" w:fill="CCEDFF"/>
          </w:tcPr>
          <w:p>
            <w:pPr>
              <w:pStyle w:val="TableParagraph"/>
              <w:spacing w:line="180" w:lineRule="exact" w:before="3"/>
              <w:ind w:left="86"/>
              <w:rPr>
                <w:sz w:val="16"/>
              </w:rPr>
            </w:pPr>
            <w:r>
              <w:rPr>
                <w:spacing w:val="-10"/>
                <w:w w:val="105"/>
                <w:sz w:val="16"/>
              </w:rPr>
              <w:t>$</w:t>
            </w:r>
          </w:p>
        </w:tc>
        <w:tc>
          <w:tcPr>
            <w:tcW w:w="632" w:type="dxa"/>
            <w:shd w:val="clear" w:color="auto" w:fill="CCEDFF"/>
          </w:tcPr>
          <w:p>
            <w:pPr>
              <w:pStyle w:val="TableParagraph"/>
              <w:spacing w:line="180" w:lineRule="exact" w:before="3"/>
              <w:ind w:left="144"/>
              <w:rPr>
                <w:sz w:val="16"/>
              </w:rPr>
            </w:pPr>
            <w:r>
              <w:rPr>
                <w:spacing w:val="-4"/>
                <w:w w:val="105"/>
                <w:sz w:val="16"/>
              </w:rPr>
              <w:t>3,254</w:t>
            </w:r>
          </w:p>
        </w:tc>
      </w:tr>
      <w:tr>
        <w:trPr>
          <w:trHeight w:val="203" w:hRule="atLeast"/>
        </w:trPr>
        <w:tc>
          <w:tcPr>
            <w:tcW w:w="6471" w:type="dxa"/>
          </w:tcPr>
          <w:p>
            <w:pPr>
              <w:pStyle w:val="TableParagraph"/>
              <w:rPr>
                <w:sz w:val="14"/>
              </w:rPr>
            </w:pPr>
          </w:p>
        </w:tc>
        <w:tc>
          <w:tcPr>
            <w:tcW w:w="973" w:type="dxa"/>
          </w:tcPr>
          <w:p>
            <w:pPr>
              <w:pStyle w:val="TableParagraph"/>
              <w:rPr>
                <w:sz w:val="14"/>
              </w:rPr>
            </w:pPr>
          </w:p>
        </w:tc>
        <w:tc>
          <w:tcPr>
            <w:tcW w:w="660"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60" w:type="dxa"/>
          </w:tcPr>
          <w:p>
            <w:pPr>
              <w:pStyle w:val="TableParagraph"/>
              <w:rPr>
                <w:sz w:val="14"/>
              </w:rPr>
            </w:pPr>
          </w:p>
        </w:tc>
        <w:tc>
          <w:tcPr>
            <w:tcW w:w="632" w:type="dxa"/>
          </w:tcPr>
          <w:p>
            <w:pPr>
              <w:pStyle w:val="TableParagraph"/>
              <w:rPr>
                <w:sz w:val="14"/>
              </w:rPr>
            </w:pPr>
          </w:p>
        </w:tc>
      </w:tr>
      <w:tr>
        <w:trPr>
          <w:trHeight w:val="203" w:hRule="atLeast"/>
        </w:trPr>
        <w:tc>
          <w:tcPr>
            <w:tcW w:w="6471" w:type="dxa"/>
            <w:shd w:val="clear" w:color="auto" w:fill="CCEDFF"/>
          </w:tcPr>
          <w:p>
            <w:pPr>
              <w:pStyle w:val="TableParagraph"/>
              <w:spacing w:line="180" w:lineRule="exact" w:before="3"/>
              <w:rPr>
                <w:sz w:val="16"/>
              </w:rPr>
            </w:pPr>
            <w:r>
              <w:rPr>
                <w:w w:val="105"/>
                <w:sz w:val="16"/>
              </w:rPr>
              <w:t>Optical</w:t>
            </w:r>
            <w:r>
              <w:rPr>
                <w:spacing w:val="-11"/>
                <w:w w:val="105"/>
                <w:sz w:val="16"/>
              </w:rPr>
              <w:t> </w:t>
            </w:r>
            <w:r>
              <w:rPr>
                <w:spacing w:val="-2"/>
                <w:w w:val="105"/>
                <w:sz w:val="16"/>
              </w:rPr>
              <w:t>Communications</w:t>
            </w:r>
          </w:p>
        </w:tc>
        <w:tc>
          <w:tcPr>
            <w:tcW w:w="973"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32" w:type="dxa"/>
            <w:shd w:val="clear" w:color="auto" w:fill="CCEDFF"/>
          </w:tcPr>
          <w:p>
            <w:pPr>
              <w:pStyle w:val="TableParagraph"/>
              <w:rPr>
                <w:sz w:val="14"/>
              </w:rPr>
            </w:pPr>
          </w:p>
        </w:tc>
      </w:tr>
      <w:tr>
        <w:trPr>
          <w:trHeight w:val="203" w:hRule="atLeast"/>
        </w:trPr>
        <w:tc>
          <w:tcPr>
            <w:tcW w:w="6471" w:type="dxa"/>
          </w:tcPr>
          <w:p>
            <w:pPr>
              <w:pStyle w:val="TableParagraph"/>
              <w:spacing w:line="180" w:lineRule="exact" w:before="3"/>
              <w:ind w:left="152"/>
              <w:rPr>
                <w:sz w:val="16"/>
              </w:rPr>
            </w:pPr>
            <w:r>
              <w:rPr>
                <w:w w:val="105"/>
                <w:sz w:val="16"/>
              </w:rPr>
              <w:t>Carrier</w:t>
            </w:r>
            <w:r>
              <w:rPr>
                <w:spacing w:val="-11"/>
                <w:w w:val="105"/>
                <w:sz w:val="16"/>
              </w:rPr>
              <w:t> </w:t>
            </w:r>
            <w:r>
              <w:rPr>
                <w:spacing w:val="-2"/>
                <w:w w:val="105"/>
                <w:sz w:val="16"/>
              </w:rPr>
              <w:t>network</w:t>
            </w:r>
          </w:p>
        </w:tc>
        <w:tc>
          <w:tcPr>
            <w:tcW w:w="973" w:type="dxa"/>
          </w:tcPr>
          <w:p>
            <w:pPr>
              <w:pStyle w:val="TableParagraph"/>
              <w:rPr>
                <w:sz w:val="14"/>
              </w:rPr>
            </w:pPr>
          </w:p>
        </w:tc>
        <w:tc>
          <w:tcPr>
            <w:tcW w:w="660" w:type="dxa"/>
          </w:tcPr>
          <w:p>
            <w:pPr>
              <w:pStyle w:val="TableParagraph"/>
              <w:spacing w:line="180" w:lineRule="exact" w:before="3"/>
              <w:ind w:left="144"/>
              <w:rPr>
                <w:b/>
                <w:sz w:val="16"/>
              </w:rPr>
            </w:pPr>
            <w:r>
              <w:rPr>
                <w:b/>
                <w:spacing w:val="-4"/>
                <w:w w:val="105"/>
                <w:sz w:val="16"/>
              </w:rPr>
              <w:t>3,200</w:t>
            </w:r>
          </w:p>
        </w:tc>
        <w:tc>
          <w:tcPr>
            <w:tcW w:w="1060" w:type="dxa"/>
          </w:tcPr>
          <w:p>
            <w:pPr>
              <w:pStyle w:val="TableParagraph"/>
              <w:rPr>
                <w:sz w:val="14"/>
              </w:rPr>
            </w:pPr>
          </w:p>
        </w:tc>
        <w:tc>
          <w:tcPr>
            <w:tcW w:w="660" w:type="dxa"/>
          </w:tcPr>
          <w:p>
            <w:pPr>
              <w:pStyle w:val="TableParagraph"/>
              <w:spacing w:line="180" w:lineRule="exact" w:before="3"/>
              <w:ind w:left="144"/>
              <w:rPr>
                <w:sz w:val="16"/>
              </w:rPr>
            </w:pPr>
            <w:r>
              <w:rPr>
                <w:spacing w:val="-4"/>
                <w:w w:val="105"/>
                <w:sz w:val="16"/>
              </w:rPr>
              <w:t>2,612</w:t>
            </w:r>
          </w:p>
        </w:tc>
        <w:tc>
          <w:tcPr>
            <w:tcW w:w="1060" w:type="dxa"/>
          </w:tcPr>
          <w:p>
            <w:pPr>
              <w:pStyle w:val="TableParagraph"/>
              <w:rPr>
                <w:sz w:val="14"/>
              </w:rPr>
            </w:pPr>
          </w:p>
        </w:tc>
        <w:tc>
          <w:tcPr>
            <w:tcW w:w="632" w:type="dxa"/>
          </w:tcPr>
          <w:p>
            <w:pPr>
              <w:pStyle w:val="TableParagraph"/>
              <w:spacing w:line="180" w:lineRule="exact" w:before="3"/>
              <w:ind w:left="144"/>
              <w:rPr>
                <w:sz w:val="16"/>
              </w:rPr>
            </w:pPr>
            <w:r>
              <w:rPr>
                <w:spacing w:val="-4"/>
                <w:w w:val="105"/>
                <w:sz w:val="16"/>
              </w:rPr>
              <w:t>2,885</w:t>
            </w:r>
          </w:p>
        </w:tc>
      </w:tr>
      <w:tr>
        <w:trPr>
          <w:trHeight w:val="202" w:hRule="atLeast"/>
        </w:trPr>
        <w:tc>
          <w:tcPr>
            <w:tcW w:w="6471" w:type="dxa"/>
            <w:tcBorders>
              <w:bottom w:val="single" w:sz="6" w:space="0" w:color="000000"/>
            </w:tcBorders>
            <w:shd w:val="clear" w:color="auto" w:fill="CCEDFF"/>
          </w:tcPr>
          <w:p>
            <w:pPr>
              <w:pStyle w:val="TableParagraph"/>
              <w:spacing w:line="179" w:lineRule="exact" w:before="3"/>
              <w:ind w:left="152"/>
              <w:rPr>
                <w:sz w:val="16"/>
              </w:rPr>
            </w:pPr>
            <w:r>
              <w:rPr>
                <w:sz w:val="16"/>
              </w:rPr>
              <w:t>Enterprise</w:t>
            </w:r>
            <w:r>
              <w:rPr>
                <w:spacing w:val="20"/>
                <w:sz w:val="16"/>
              </w:rPr>
              <w:t> </w:t>
            </w:r>
            <w:r>
              <w:rPr>
                <w:spacing w:val="-2"/>
                <w:sz w:val="16"/>
              </w:rPr>
              <w:t>network</w:t>
            </w:r>
          </w:p>
        </w:tc>
        <w:tc>
          <w:tcPr>
            <w:tcW w:w="973" w:type="dxa"/>
            <w:tcBorders>
              <w:bottom w:val="single" w:sz="6" w:space="0" w:color="000000"/>
            </w:tcBorders>
            <w:shd w:val="clear" w:color="auto" w:fill="CCEDFF"/>
          </w:tcPr>
          <w:p>
            <w:pPr>
              <w:pStyle w:val="TableParagraph"/>
              <w:rPr>
                <w:sz w:val="14"/>
              </w:rPr>
            </w:pPr>
          </w:p>
        </w:tc>
        <w:tc>
          <w:tcPr>
            <w:tcW w:w="660" w:type="dxa"/>
            <w:tcBorders>
              <w:bottom w:val="single" w:sz="6" w:space="0" w:color="000000"/>
            </w:tcBorders>
            <w:shd w:val="clear" w:color="auto" w:fill="CCEDFF"/>
          </w:tcPr>
          <w:p>
            <w:pPr>
              <w:pStyle w:val="TableParagraph"/>
              <w:spacing w:line="179" w:lineRule="exact" w:before="3"/>
              <w:ind w:left="144"/>
              <w:rPr>
                <w:b/>
                <w:sz w:val="16"/>
              </w:rPr>
            </w:pPr>
            <w:r>
              <w:rPr>
                <w:b/>
                <w:spacing w:val="-4"/>
                <w:w w:val="105"/>
                <w:sz w:val="16"/>
              </w:rPr>
              <w:t>1,149</w:t>
            </w:r>
          </w:p>
        </w:tc>
        <w:tc>
          <w:tcPr>
            <w:tcW w:w="1060" w:type="dxa"/>
            <w:tcBorders>
              <w:bottom w:val="single" w:sz="6" w:space="0" w:color="000000"/>
            </w:tcBorders>
            <w:shd w:val="clear" w:color="auto" w:fill="CCEDFF"/>
          </w:tcPr>
          <w:p>
            <w:pPr>
              <w:pStyle w:val="TableParagraph"/>
              <w:rPr>
                <w:sz w:val="14"/>
              </w:rPr>
            </w:pPr>
          </w:p>
        </w:tc>
        <w:tc>
          <w:tcPr>
            <w:tcW w:w="660" w:type="dxa"/>
            <w:tcBorders>
              <w:bottom w:val="single" w:sz="6" w:space="0" w:color="000000"/>
            </w:tcBorders>
            <w:shd w:val="clear" w:color="auto" w:fill="CCEDFF"/>
          </w:tcPr>
          <w:p>
            <w:pPr>
              <w:pStyle w:val="TableParagraph"/>
              <w:spacing w:line="179" w:lineRule="exact" w:before="3"/>
              <w:ind w:left="268"/>
              <w:rPr>
                <w:sz w:val="16"/>
              </w:rPr>
            </w:pPr>
            <w:r>
              <w:rPr>
                <w:spacing w:val="-5"/>
                <w:w w:val="105"/>
                <w:sz w:val="16"/>
              </w:rPr>
              <w:t>951</w:t>
            </w:r>
          </w:p>
        </w:tc>
        <w:tc>
          <w:tcPr>
            <w:tcW w:w="1060" w:type="dxa"/>
            <w:tcBorders>
              <w:bottom w:val="single" w:sz="6" w:space="0" w:color="000000"/>
            </w:tcBorders>
            <w:shd w:val="clear" w:color="auto" w:fill="CCEDFF"/>
          </w:tcPr>
          <w:p>
            <w:pPr>
              <w:pStyle w:val="TableParagraph"/>
              <w:rPr>
                <w:sz w:val="14"/>
              </w:rPr>
            </w:pPr>
          </w:p>
        </w:tc>
        <w:tc>
          <w:tcPr>
            <w:tcW w:w="632" w:type="dxa"/>
            <w:tcBorders>
              <w:bottom w:val="single" w:sz="6" w:space="0" w:color="000000"/>
            </w:tcBorders>
            <w:shd w:val="clear" w:color="auto" w:fill="CCEDFF"/>
          </w:tcPr>
          <w:p>
            <w:pPr>
              <w:pStyle w:val="TableParagraph"/>
              <w:spacing w:line="179" w:lineRule="exact" w:before="3"/>
              <w:ind w:left="144"/>
              <w:rPr>
                <w:sz w:val="16"/>
              </w:rPr>
            </w:pPr>
            <w:r>
              <w:rPr>
                <w:spacing w:val="-4"/>
                <w:w w:val="105"/>
                <w:sz w:val="16"/>
              </w:rPr>
              <w:t>1,179</w:t>
            </w:r>
          </w:p>
        </w:tc>
      </w:tr>
      <w:tr>
        <w:trPr>
          <w:trHeight w:val="202" w:hRule="atLeast"/>
        </w:trPr>
        <w:tc>
          <w:tcPr>
            <w:tcW w:w="6471" w:type="dxa"/>
            <w:tcBorders>
              <w:top w:val="single" w:sz="6" w:space="0" w:color="000000"/>
            </w:tcBorders>
          </w:tcPr>
          <w:p>
            <w:pPr>
              <w:pStyle w:val="TableParagraph"/>
              <w:spacing w:line="180" w:lineRule="exact" w:before="2"/>
              <w:rPr>
                <w:sz w:val="16"/>
              </w:rPr>
            </w:pPr>
            <w:r>
              <w:rPr>
                <w:w w:val="105"/>
                <w:sz w:val="16"/>
              </w:rPr>
              <w:t>Total</w:t>
            </w:r>
            <w:r>
              <w:rPr>
                <w:spacing w:val="-10"/>
                <w:w w:val="105"/>
                <w:sz w:val="16"/>
              </w:rPr>
              <w:t> </w:t>
            </w:r>
            <w:r>
              <w:rPr>
                <w:w w:val="105"/>
                <w:sz w:val="16"/>
              </w:rPr>
              <w:t>Optical</w:t>
            </w:r>
            <w:r>
              <w:rPr>
                <w:spacing w:val="-9"/>
                <w:w w:val="105"/>
                <w:sz w:val="16"/>
              </w:rPr>
              <w:t> </w:t>
            </w:r>
            <w:r>
              <w:rPr>
                <w:spacing w:val="-2"/>
                <w:w w:val="105"/>
                <w:sz w:val="16"/>
              </w:rPr>
              <w:t>Communications</w:t>
            </w:r>
          </w:p>
        </w:tc>
        <w:tc>
          <w:tcPr>
            <w:tcW w:w="973" w:type="dxa"/>
            <w:tcBorders>
              <w:top w:val="single" w:sz="6" w:space="0" w:color="000000"/>
            </w:tcBorders>
          </w:tcPr>
          <w:p>
            <w:pPr>
              <w:pStyle w:val="TableParagraph"/>
              <w:rPr>
                <w:sz w:val="14"/>
              </w:rPr>
            </w:pPr>
          </w:p>
        </w:tc>
        <w:tc>
          <w:tcPr>
            <w:tcW w:w="660" w:type="dxa"/>
            <w:tcBorders>
              <w:top w:val="single" w:sz="6" w:space="0" w:color="000000"/>
            </w:tcBorders>
          </w:tcPr>
          <w:p>
            <w:pPr>
              <w:pStyle w:val="TableParagraph"/>
              <w:spacing w:line="180" w:lineRule="exact" w:before="2"/>
              <w:ind w:left="144"/>
              <w:rPr>
                <w:b/>
                <w:sz w:val="16"/>
              </w:rPr>
            </w:pPr>
            <w:r>
              <w:rPr>
                <w:b/>
                <w:spacing w:val="-4"/>
                <w:w w:val="105"/>
                <w:sz w:val="16"/>
              </w:rPr>
              <w:t>4,349</w:t>
            </w:r>
          </w:p>
        </w:tc>
        <w:tc>
          <w:tcPr>
            <w:tcW w:w="1060" w:type="dxa"/>
            <w:tcBorders>
              <w:top w:val="single" w:sz="6" w:space="0" w:color="000000"/>
            </w:tcBorders>
          </w:tcPr>
          <w:p>
            <w:pPr>
              <w:pStyle w:val="TableParagraph"/>
              <w:rPr>
                <w:sz w:val="14"/>
              </w:rPr>
            </w:pPr>
          </w:p>
        </w:tc>
        <w:tc>
          <w:tcPr>
            <w:tcW w:w="660" w:type="dxa"/>
            <w:tcBorders>
              <w:top w:val="single" w:sz="6" w:space="0" w:color="000000"/>
            </w:tcBorders>
          </w:tcPr>
          <w:p>
            <w:pPr>
              <w:pStyle w:val="TableParagraph"/>
              <w:spacing w:line="180" w:lineRule="exact" w:before="2"/>
              <w:ind w:left="144"/>
              <w:rPr>
                <w:sz w:val="16"/>
              </w:rPr>
            </w:pPr>
            <w:r>
              <w:rPr>
                <w:spacing w:val="-4"/>
                <w:w w:val="105"/>
                <w:sz w:val="16"/>
              </w:rPr>
              <w:t>3,563</w:t>
            </w:r>
          </w:p>
        </w:tc>
        <w:tc>
          <w:tcPr>
            <w:tcW w:w="1060" w:type="dxa"/>
            <w:tcBorders>
              <w:top w:val="single" w:sz="6" w:space="0" w:color="000000"/>
            </w:tcBorders>
          </w:tcPr>
          <w:p>
            <w:pPr>
              <w:pStyle w:val="TableParagraph"/>
              <w:rPr>
                <w:sz w:val="14"/>
              </w:rPr>
            </w:pPr>
          </w:p>
        </w:tc>
        <w:tc>
          <w:tcPr>
            <w:tcW w:w="632" w:type="dxa"/>
            <w:tcBorders>
              <w:top w:val="single" w:sz="6" w:space="0" w:color="000000"/>
            </w:tcBorders>
          </w:tcPr>
          <w:p>
            <w:pPr>
              <w:pStyle w:val="TableParagraph"/>
              <w:spacing w:line="180" w:lineRule="exact" w:before="2"/>
              <w:ind w:left="144"/>
              <w:rPr>
                <w:sz w:val="16"/>
              </w:rPr>
            </w:pPr>
            <w:r>
              <w:rPr>
                <w:spacing w:val="-4"/>
                <w:w w:val="105"/>
                <w:sz w:val="16"/>
              </w:rPr>
              <w:t>4,064</w:t>
            </w:r>
          </w:p>
        </w:tc>
      </w:tr>
      <w:tr>
        <w:trPr>
          <w:trHeight w:val="203" w:hRule="atLeast"/>
        </w:trPr>
        <w:tc>
          <w:tcPr>
            <w:tcW w:w="6471" w:type="dxa"/>
            <w:shd w:val="clear" w:color="auto" w:fill="CCEDFF"/>
          </w:tcPr>
          <w:p>
            <w:pPr>
              <w:pStyle w:val="TableParagraph"/>
              <w:rPr>
                <w:sz w:val="14"/>
              </w:rPr>
            </w:pPr>
          </w:p>
        </w:tc>
        <w:tc>
          <w:tcPr>
            <w:tcW w:w="973"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32" w:type="dxa"/>
            <w:shd w:val="clear" w:color="auto" w:fill="CCEDFF"/>
          </w:tcPr>
          <w:p>
            <w:pPr>
              <w:pStyle w:val="TableParagraph"/>
              <w:rPr>
                <w:sz w:val="14"/>
              </w:rPr>
            </w:pPr>
          </w:p>
        </w:tc>
      </w:tr>
      <w:tr>
        <w:trPr>
          <w:trHeight w:val="203" w:hRule="atLeast"/>
        </w:trPr>
        <w:tc>
          <w:tcPr>
            <w:tcW w:w="6471" w:type="dxa"/>
          </w:tcPr>
          <w:p>
            <w:pPr>
              <w:pStyle w:val="TableParagraph"/>
              <w:spacing w:line="180" w:lineRule="exact" w:before="3"/>
              <w:rPr>
                <w:sz w:val="16"/>
              </w:rPr>
            </w:pPr>
            <w:r>
              <w:rPr>
                <w:sz w:val="16"/>
              </w:rPr>
              <w:t>Specialty</w:t>
            </w:r>
            <w:r>
              <w:rPr>
                <w:spacing w:val="18"/>
                <w:sz w:val="16"/>
              </w:rPr>
              <w:t> </w:t>
            </w:r>
            <w:r>
              <w:rPr>
                <w:spacing w:val="-2"/>
                <w:sz w:val="16"/>
              </w:rPr>
              <w:t>Materials</w:t>
            </w:r>
          </w:p>
        </w:tc>
        <w:tc>
          <w:tcPr>
            <w:tcW w:w="973" w:type="dxa"/>
          </w:tcPr>
          <w:p>
            <w:pPr>
              <w:pStyle w:val="TableParagraph"/>
              <w:rPr>
                <w:sz w:val="14"/>
              </w:rPr>
            </w:pPr>
          </w:p>
        </w:tc>
        <w:tc>
          <w:tcPr>
            <w:tcW w:w="660"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60" w:type="dxa"/>
          </w:tcPr>
          <w:p>
            <w:pPr>
              <w:pStyle w:val="TableParagraph"/>
              <w:rPr>
                <w:sz w:val="14"/>
              </w:rPr>
            </w:pPr>
          </w:p>
        </w:tc>
        <w:tc>
          <w:tcPr>
            <w:tcW w:w="632" w:type="dxa"/>
          </w:tcPr>
          <w:p>
            <w:pPr>
              <w:pStyle w:val="TableParagraph"/>
              <w:rPr>
                <w:sz w:val="14"/>
              </w:rPr>
            </w:pPr>
          </w:p>
        </w:tc>
      </w:tr>
      <w:tr>
        <w:trPr>
          <w:trHeight w:val="203" w:hRule="atLeast"/>
        </w:trPr>
        <w:tc>
          <w:tcPr>
            <w:tcW w:w="6471" w:type="dxa"/>
            <w:shd w:val="clear" w:color="auto" w:fill="CCEDFF"/>
          </w:tcPr>
          <w:p>
            <w:pPr>
              <w:pStyle w:val="TableParagraph"/>
              <w:spacing w:line="180" w:lineRule="exact" w:before="3"/>
              <w:ind w:left="152"/>
              <w:rPr>
                <w:sz w:val="16"/>
              </w:rPr>
            </w:pPr>
            <w:r>
              <w:rPr>
                <w:sz w:val="16"/>
              </w:rPr>
              <w:t>Corning®</w:t>
            </w:r>
            <w:r>
              <w:rPr>
                <w:spacing w:val="19"/>
                <w:sz w:val="16"/>
              </w:rPr>
              <w:t> </w:t>
            </w:r>
            <w:r>
              <w:rPr>
                <w:sz w:val="16"/>
              </w:rPr>
              <w:t>Gorilla®</w:t>
            </w:r>
            <w:r>
              <w:rPr>
                <w:spacing w:val="19"/>
                <w:sz w:val="16"/>
              </w:rPr>
              <w:t> </w:t>
            </w:r>
            <w:r>
              <w:rPr>
                <w:spacing w:val="-2"/>
                <w:sz w:val="16"/>
              </w:rPr>
              <w:t>Glass</w:t>
            </w:r>
          </w:p>
        </w:tc>
        <w:tc>
          <w:tcPr>
            <w:tcW w:w="973" w:type="dxa"/>
            <w:shd w:val="clear" w:color="auto" w:fill="CCEDFF"/>
          </w:tcPr>
          <w:p>
            <w:pPr>
              <w:pStyle w:val="TableParagraph"/>
              <w:rPr>
                <w:sz w:val="14"/>
              </w:rPr>
            </w:pPr>
          </w:p>
        </w:tc>
        <w:tc>
          <w:tcPr>
            <w:tcW w:w="660" w:type="dxa"/>
            <w:shd w:val="clear" w:color="auto" w:fill="CCEDFF"/>
          </w:tcPr>
          <w:p>
            <w:pPr>
              <w:pStyle w:val="TableParagraph"/>
              <w:spacing w:line="180" w:lineRule="exact" w:before="3"/>
              <w:ind w:left="144"/>
              <w:rPr>
                <w:b/>
                <w:sz w:val="16"/>
              </w:rPr>
            </w:pPr>
            <w:r>
              <w:rPr>
                <w:b/>
                <w:spacing w:val="-4"/>
                <w:w w:val="105"/>
                <w:sz w:val="16"/>
              </w:rPr>
              <w:t>1,403</w:t>
            </w:r>
          </w:p>
        </w:tc>
        <w:tc>
          <w:tcPr>
            <w:tcW w:w="1060" w:type="dxa"/>
            <w:shd w:val="clear" w:color="auto" w:fill="CCEDFF"/>
          </w:tcPr>
          <w:p>
            <w:pPr>
              <w:pStyle w:val="TableParagraph"/>
              <w:rPr>
                <w:sz w:val="14"/>
              </w:rPr>
            </w:pPr>
          </w:p>
        </w:tc>
        <w:tc>
          <w:tcPr>
            <w:tcW w:w="660" w:type="dxa"/>
            <w:shd w:val="clear" w:color="auto" w:fill="CCEDFF"/>
          </w:tcPr>
          <w:p>
            <w:pPr>
              <w:pStyle w:val="TableParagraph"/>
              <w:spacing w:line="180" w:lineRule="exact" w:before="3"/>
              <w:ind w:left="144"/>
              <w:rPr>
                <w:sz w:val="16"/>
              </w:rPr>
            </w:pPr>
            <w:r>
              <w:rPr>
                <w:spacing w:val="-4"/>
                <w:w w:val="105"/>
                <w:sz w:val="16"/>
              </w:rPr>
              <w:t>1,420</w:t>
            </w:r>
          </w:p>
        </w:tc>
        <w:tc>
          <w:tcPr>
            <w:tcW w:w="1060" w:type="dxa"/>
            <w:shd w:val="clear" w:color="auto" w:fill="CCEDFF"/>
          </w:tcPr>
          <w:p>
            <w:pPr>
              <w:pStyle w:val="TableParagraph"/>
              <w:rPr>
                <w:sz w:val="14"/>
              </w:rPr>
            </w:pPr>
          </w:p>
        </w:tc>
        <w:tc>
          <w:tcPr>
            <w:tcW w:w="632" w:type="dxa"/>
            <w:shd w:val="clear" w:color="auto" w:fill="CCEDFF"/>
          </w:tcPr>
          <w:p>
            <w:pPr>
              <w:pStyle w:val="TableParagraph"/>
              <w:spacing w:line="180" w:lineRule="exact" w:before="3"/>
              <w:ind w:left="144"/>
              <w:rPr>
                <w:sz w:val="16"/>
              </w:rPr>
            </w:pPr>
            <w:r>
              <w:rPr>
                <w:spacing w:val="-4"/>
                <w:w w:val="105"/>
                <w:sz w:val="16"/>
              </w:rPr>
              <w:t>1,180</w:t>
            </w:r>
          </w:p>
        </w:tc>
      </w:tr>
      <w:tr>
        <w:trPr>
          <w:trHeight w:val="202" w:hRule="atLeast"/>
        </w:trPr>
        <w:tc>
          <w:tcPr>
            <w:tcW w:w="6471" w:type="dxa"/>
            <w:tcBorders>
              <w:bottom w:val="single" w:sz="6" w:space="0" w:color="000000"/>
            </w:tcBorders>
          </w:tcPr>
          <w:p>
            <w:pPr>
              <w:pStyle w:val="TableParagraph"/>
              <w:spacing w:line="179" w:lineRule="exact" w:before="3"/>
              <w:ind w:left="152"/>
              <w:rPr>
                <w:sz w:val="16"/>
              </w:rPr>
            </w:pPr>
            <w:r>
              <w:rPr>
                <w:w w:val="105"/>
                <w:sz w:val="16"/>
              </w:rPr>
              <w:t>Advanced</w:t>
            </w:r>
            <w:r>
              <w:rPr>
                <w:spacing w:val="-11"/>
                <w:w w:val="105"/>
                <w:sz w:val="16"/>
              </w:rPr>
              <w:t> </w:t>
            </w:r>
            <w:r>
              <w:rPr>
                <w:w w:val="105"/>
                <w:sz w:val="16"/>
              </w:rPr>
              <w:t>optics</w:t>
            </w:r>
            <w:r>
              <w:rPr>
                <w:spacing w:val="-10"/>
                <w:w w:val="105"/>
                <w:sz w:val="16"/>
              </w:rPr>
              <w:t> </w:t>
            </w:r>
            <w:r>
              <w:rPr>
                <w:w w:val="105"/>
                <w:sz w:val="16"/>
              </w:rPr>
              <w:t>and</w:t>
            </w:r>
            <w:r>
              <w:rPr>
                <w:spacing w:val="-10"/>
                <w:w w:val="105"/>
                <w:sz w:val="16"/>
              </w:rPr>
              <w:t> </w:t>
            </w:r>
            <w:r>
              <w:rPr>
                <w:w w:val="105"/>
                <w:sz w:val="16"/>
              </w:rPr>
              <w:t>other</w:t>
            </w:r>
            <w:r>
              <w:rPr>
                <w:spacing w:val="-10"/>
                <w:w w:val="105"/>
                <w:sz w:val="16"/>
              </w:rPr>
              <w:t> </w:t>
            </w:r>
            <w:r>
              <w:rPr>
                <w:w w:val="105"/>
                <w:sz w:val="16"/>
              </w:rPr>
              <w:t>specialty</w:t>
            </w:r>
            <w:r>
              <w:rPr>
                <w:spacing w:val="-11"/>
                <w:w w:val="105"/>
                <w:sz w:val="16"/>
              </w:rPr>
              <w:t> </w:t>
            </w:r>
            <w:r>
              <w:rPr>
                <w:spacing w:val="-2"/>
                <w:w w:val="105"/>
                <w:sz w:val="16"/>
              </w:rPr>
              <w:t>glass</w:t>
            </w:r>
          </w:p>
        </w:tc>
        <w:tc>
          <w:tcPr>
            <w:tcW w:w="973" w:type="dxa"/>
            <w:tcBorders>
              <w:bottom w:val="single" w:sz="6" w:space="0" w:color="000000"/>
            </w:tcBorders>
          </w:tcPr>
          <w:p>
            <w:pPr>
              <w:pStyle w:val="TableParagraph"/>
              <w:rPr>
                <w:sz w:val="14"/>
              </w:rPr>
            </w:pPr>
          </w:p>
        </w:tc>
        <w:tc>
          <w:tcPr>
            <w:tcW w:w="660" w:type="dxa"/>
            <w:tcBorders>
              <w:bottom w:val="single" w:sz="6" w:space="0" w:color="000000"/>
            </w:tcBorders>
          </w:tcPr>
          <w:p>
            <w:pPr>
              <w:pStyle w:val="TableParagraph"/>
              <w:spacing w:line="179" w:lineRule="exact" w:before="3"/>
              <w:ind w:left="269"/>
              <w:rPr>
                <w:b/>
                <w:sz w:val="16"/>
              </w:rPr>
            </w:pPr>
            <w:r>
              <w:rPr>
                <w:b/>
                <w:spacing w:val="-5"/>
                <w:w w:val="105"/>
                <w:sz w:val="16"/>
              </w:rPr>
              <w:t>605</w:t>
            </w:r>
          </w:p>
        </w:tc>
        <w:tc>
          <w:tcPr>
            <w:tcW w:w="1060" w:type="dxa"/>
            <w:tcBorders>
              <w:bottom w:val="single" w:sz="6" w:space="0" w:color="000000"/>
            </w:tcBorders>
          </w:tcPr>
          <w:p>
            <w:pPr>
              <w:pStyle w:val="TableParagraph"/>
              <w:rPr>
                <w:sz w:val="14"/>
              </w:rPr>
            </w:pPr>
          </w:p>
        </w:tc>
        <w:tc>
          <w:tcPr>
            <w:tcW w:w="660" w:type="dxa"/>
            <w:tcBorders>
              <w:bottom w:val="single" w:sz="6" w:space="0" w:color="000000"/>
            </w:tcBorders>
          </w:tcPr>
          <w:p>
            <w:pPr>
              <w:pStyle w:val="TableParagraph"/>
              <w:spacing w:line="179" w:lineRule="exact" w:before="3"/>
              <w:ind w:left="268"/>
              <w:rPr>
                <w:sz w:val="16"/>
              </w:rPr>
            </w:pPr>
            <w:r>
              <w:rPr>
                <w:spacing w:val="-5"/>
                <w:w w:val="105"/>
                <w:sz w:val="16"/>
              </w:rPr>
              <w:t>464</w:t>
            </w:r>
          </w:p>
        </w:tc>
        <w:tc>
          <w:tcPr>
            <w:tcW w:w="1060" w:type="dxa"/>
            <w:tcBorders>
              <w:bottom w:val="single" w:sz="6" w:space="0" w:color="000000"/>
            </w:tcBorders>
          </w:tcPr>
          <w:p>
            <w:pPr>
              <w:pStyle w:val="TableParagraph"/>
              <w:rPr>
                <w:sz w:val="14"/>
              </w:rPr>
            </w:pPr>
          </w:p>
        </w:tc>
        <w:tc>
          <w:tcPr>
            <w:tcW w:w="632" w:type="dxa"/>
            <w:tcBorders>
              <w:bottom w:val="single" w:sz="6" w:space="0" w:color="000000"/>
            </w:tcBorders>
          </w:tcPr>
          <w:p>
            <w:pPr>
              <w:pStyle w:val="TableParagraph"/>
              <w:spacing w:line="179" w:lineRule="exact" w:before="3"/>
              <w:ind w:left="268"/>
              <w:rPr>
                <w:sz w:val="16"/>
              </w:rPr>
            </w:pPr>
            <w:r>
              <w:rPr>
                <w:spacing w:val="-5"/>
                <w:w w:val="105"/>
                <w:sz w:val="16"/>
              </w:rPr>
              <w:t>414</w:t>
            </w:r>
          </w:p>
        </w:tc>
      </w:tr>
      <w:tr>
        <w:trPr>
          <w:trHeight w:val="202" w:hRule="atLeast"/>
        </w:trPr>
        <w:tc>
          <w:tcPr>
            <w:tcW w:w="6471" w:type="dxa"/>
            <w:tcBorders>
              <w:top w:val="single" w:sz="6" w:space="0" w:color="000000"/>
            </w:tcBorders>
            <w:shd w:val="clear" w:color="auto" w:fill="CCEDFF"/>
          </w:tcPr>
          <w:p>
            <w:pPr>
              <w:pStyle w:val="TableParagraph"/>
              <w:spacing w:line="180" w:lineRule="exact" w:before="2"/>
              <w:rPr>
                <w:sz w:val="16"/>
              </w:rPr>
            </w:pPr>
            <w:r>
              <w:rPr>
                <w:w w:val="105"/>
                <w:sz w:val="16"/>
              </w:rPr>
              <w:t>Total</w:t>
            </w:r>
            <w:r>
              <w:rPr>
                <w:spacing w:val="-11"/>
                <w:w w:val="105"/>
                <w:sz w:val="16"/>
              </w:rPr>
              <w:t> </w:t>
            </w:r>
            <w:r>
              <w:rPr>
                <w:w w:val="105"/>
                <w:sz w:val="16"/>
              </w:rPr>
              <w:t>Specialty</w:t>
            </w:r>
            <w:r>
              <w:rPr>
                <w:spacing w:val="-10"/>
                <w:w w:val="105"/>
                <w:sz w:val="16"/>
              </w:rPr>
              <w:t> </w:t>
            </w:r>
            <w:r>
              <w:rPr>
                <w:spacing w:val="-2"/>
                <w:w w:val="105"/>
                <w:sz w:val="16"/>
              </w:rPr>
              <w:t>Materials</w:t>
            </w:r>
          </w:p>
        </w:tc>
        <w:tc>
          <w:tcPr>
            <w:tcW w:w="973" w:type="dxa"/>
            <w:tcBorders>
              <w:top w:val="single" w:sz="6" w:space="0" w:color="000000"/>
            </w:tcBorders>
            <w:shd w:val="clear" w:color="auto" w:fill="CCEDFF"/>
          </w:tcPr>
          <w:p>
            <w:pPr>
              <w:pStyle w:val="TableParagraph"/>
              <w:rPr>
                <w:sz w:val="14"/>
              </w:rPr>
            </w:pPr>
          </w:p>
        </w:tc>
        <w:tc>
          <w:tcPr>
            <w:tcW w:w="660" w:type="dxa"/>
            <w:tcBorders>
              <w:top w:val="single" w:sz="6" w:space="0" w:color="000000"/>
            </w:tcBorders>
            <w:shd w:val="clear" w:color="auto" w:fill="CCEDFF"/>
          </w:tcPr>
          <w:p>
            <w:pPr>
              <w:pStyle w:val="TableParagraph"/>
              <w:spacing w:line="180" w:lineRule="exact" w:before="2"/>
              <w:ind w:left="144"/>
              <w:rPr>
                <w:b/>
                <w:sz w:val="16"/>
              </w:rPr>
            </w:pPr>
            <w:r>
              <w:rPr>
                <w:b/>
                <w:spacing w:val="-4"/>
                <w:w w:val="105"/>
                <w:sz w:val="16"/>
              </w:rPr>
              <w:t>2,008</w:t>
            </w:r>
          </w:p>
        </w:tc>
        <w:tc>
          <w:tcPr>
            <w:tcW w:w="1060" w:type="dxa"/>
            <w:tcBorders>
              <w:top w:val="single" w:sz="6" w:space="0" w:color="000000"/>
            </w:tcBorders>
            <w:shd w:val="clear" w:color="auto" w:fill="CCEDFF"/>
          </w:tcPr>
          <w:p>
            <w:pPr>
              <w:pStyle w:val="TableParagraph"/>
              <w:rPr>
                <w:sz w:val="14"/>
              </w:rPr>
            </w:pPr>
          </w:p>
        </w:tc>
        <w:tc>
          <w:tcPr>
            <w:tcW w:w="660" w:type="dxa"/>
            <w:tcBorders>
              <w:top w:val="single" w:sz="6" w:space="0" w:color="000000"/>
            </w:tcBorders>
            <w:shd w:val="clear" w:color="auto" w:fill="CCEDFF"/>
          </w:tcPr>
          <w:p>
            <w:pPr>
              <w:pStyle w:val="TableParagraph"/>
              <w:spacing w:line="180" w:lineRule="exact" w:before="2"/>
              <w:ind w:left="144"/>
              <w:rPr>
                <w:sz w:val="16"/>
              </w:rPr>
            </w:pPr>
            <w:r>
              <w:rPr>
                <w:spacing w:val="-4"/>
                <w:w w:val="105"/>
                <w:sz w:val="16"/>
              </w:rPr>
              <w:t>1,884</w:t>
            </w:r>
          </w:p>
        </w:tc>
        <w:tc>
          <w:tcPr>
            <w:tcW w:w="1060" w:type="dxa"/>
            <w:tcBorders>
              <w:top w:val="single" w:sz="6" w:space="0" w:color="000000"/>
            </w:tcBorders>
            <w:shd w:val="clear" w:color="auto" w:fill="CCEDFF"/>
          </w:tcPr>
          <w:p>
            <w:pPr>
              <w:pStyle w:val="TableParagraph"/>
              <w:rPr>
                <w:sz w:val="14"/>
              </w:rPr>
            </w:pPr>
          </w:p>
        </w:tc>
        <w:tc>
          <w:tcPr>
            <w:tcW w:w="632" w:type="dxa"/>
            <w:tcBorders>
              <w:top w:val="single" w:sz="6" w:space="0" w:color="000000"/>
            </w:tcBorders>
            <w:shd w:val="clear" w:color="auto" w:fill="CCEDFF"/>
          </w:tcPr>
          <w:p>
            <w:pPr>
              <w:pStyle w:val="TableParagraph"/>
              <w:spacing w:line="180" w:lineRule="exact" w:before="2"/>
              <w:ind w:left="144"/>
              <w:rPr>
                <w:sz w:val="16"/>
              </w:rPr>
            </w:pPr>
            <w:r>
              <w:rPr>
                <w:spacing w:val="-4"/>
                <w:w w:val="105"/>
                <w:sz w:val="16"/>
              </w:rPr>
              <w:t>1,594</w:t>
            </w:r>
          </w:p>
        </w:tc>
      </w:tr>
      <w:tr>
        <w:trPr>
          <w:trHeight w:val="203" w:hRule="atLeast"/>
        </w:trPr>
        <w:tc>
          <w:tcPr>
            <w:tcW w:w="6471" w:type="dxa"/>
          </w:tcPr>
          <w:p>
            <w:pPr>
              <w:pStyle w:val="TableParagraph"/>
              <w:rPr>
                <w:sz w:val="14"/>
              </w:rPr>
            </w:pPr>
          </w:p>
        </w:tc>
        <w:tc>
          <w:tcPr>
            <w:tcW w:w="973" w:type="dxa"/>
          </w:tcPr>
          <w:p>
            <w:pPr>
              <w:pStyle w:val="TableParagraph"/>
              <w:rPr>
                <w:sz w:val="14"/>
              </w:rPr>
            </w:pPr>
          </w:p>
        </w:tc>
        <w:tc>
          <w:tcPr>
            <w:tcW w:w="660"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60" w:type="dxa"/>
          </w:tcPr>
          <w:p>
            <w:pPr>
              <w:pStyle w:val="TableParagraph"/>
              <w:rPr>
                <w:sz w:val="14"/>
              </w:rPr>
            </w:pPr>
          </w:p>
        </w:tc>
        <w:tc>
          <w:tcPr>
            <w:tcW w:w="632" w:type="dxa"/>
          </w:tcPr>
          <w:p>
            <w:pPr>
              <w:pStyle w:val="TableParagraph"/>
              <w:rPr>
                <w:sz w:val="14"/>
              </w:rPr>
            </w:pPr>
          </w:p>
        </w:tc>
      </w:tr>
      <w:tr>
        <w:trPr>
          <w:trHeight w:val="203" w:hRule="atLeast"/>
        </w:trPr>
        <w:tc>
          <w:tcPr>
            <w:tcW w:w="6471" w:type="dxa"/>
            <w:shd w:val="clear" w:color="auto" w:fill="CCEDFF"/>
          </w:tcPr>
          <w:p>
            <w:pPr>
              <w:pStyle w:val="TableParagraph"/>
              <w:spacing w:line="180" w:lineRule="exact" w:before="3"/>
              <w:rPr>
                <w:sz w:val="16"/>
              </w:rPr>
            </w:pPr>
            <w:r>
              <w:rPr>
                <w:sz w:val="16"/>
              </w:rPr>
              <w:t>Environmental</w:t>
            </w:r>
            <w:r>
              <w:rPr>
                <w:spacing w:val="29"/>
                <w:sz w:val="16"/>
              </w:rPr>
              <w:t> </w:t>
            </w:r>
            <w:r>
              <w:rPr>
                <w:spacing w:val="-2"/>
                <w:sz w:val="16"/>
              </w:rPr>
              <w:t>Technologies</w:t>
            </w:r>
          </w:p>
        </w:tc>
        <w:tc>
          <w:tcPr>
            <w:tcW w:w="973"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32" w:type="dxa"/>
            <w:shd w:val="clear" w:color="auto" w:fill="CCEDFF"/>
          </w:tcPr>
          <w:p>
            <w:pPr>
              <w:pStyle w:val="TableParagraph"/>
              <w:rPr>
                <w:sz w:val="14"/>
              </w:rPr>
            </w:pPr>
          </w:p>
        </w:tc>
      </w:tr>
      <w:tr>
        <w:trPr>
          <w:trHeight w:val="203" w:hRule="atLeast"/>
        </w:trPr>
        <w:tc>
          <w:tcPr>
            <w:tcW w:w="6471" w:type="dxa"/>
          </w:tcPr>
          <w:p>
            <w:pPr>
              <w:pStyle w:val="TableParagraph"/>
              <w:spacing w:line="180" w:lineRule="exact" w:before="3"/>
              <w:ind w:left="152"/>
              <w:rPr>
                <w:sz w:val="16"/>
              </w:rPr>
            </w:pPr>
            <w:r>
              <w:rPr>
                <w:sz w:val="16"/>
              </w:rPr>
              <w:t>Automotive</w:t>
            </w:r>
            <w:r>
              <w:rPr>
                <w:spacing w:val="15"/>
                <w:sz w:val="16"/>
              </w:rPr>
              <w:t> </w:t>
            </w:r>
            <w:r>
              <w:rPr>
                <w:sz w:val="16"/>
              </w:rPr>
              <w:t>and</w:t>
            </w:r>
            <w:r>
              <w:rPr>
                <w:spacing w:val="16"/>
                <w:sz w:val="16"/>
              </w:rPr>
              <w:t> </w:t>
            </w:r>
            <w:r>
              <w:rPr>
                <w:spacing w:val="-2"/>
                <w:sz w:val="16"/>
              </w:rPr>
              <w:t>other</w:t>
            </w:r>
          </w:p>
        </w:tc>
        <w:tc>
          <w:tcPr>
            <w:tcW w:w="973" w:type="dxa"/>
          </w:tcPr>
          <w:p>
            <w:pPr>
              <w:pStyle w:val="TableParagraph"/>
              <w:rPr>
                <w:sz w:val="14"/>
              </w:rPr>
            </w:pPr>
          </w:p>
        </w:tc>
        <w:tc>
          <w:tcPr>
            <w:tcW w:w="660" w:type="dxa"/>
          </w:tcPr>
          <w:p>
            <w:pPr>
              <w:pStyle w:val="TableParagraph"/>
              <w:spacing w:line="180" w:lineRule="exact" w:before="3"/>
              <w:ind w:left="269"/>
              <w:rPr>
                <w:b/>
                <w:sz w:val="16"/>
              </w:rPr>
            </w:pPr>
            <w:r>
              <w:rPr>
                <w:b/>
                <w:spacing w:val="-5"/>
                <w:w w:val="105"/>
                <w:sz w:val="16"/>
              </w:rPr>
              <w:t>936</w:t>
            </w:r>
          </w:p>
        </w:tc>
        <w:tc>
          <w:tcPr>
            <w:tcW w:w="1060" w:type="dxa"/>
          </w:tcPr>
          <w:p>
            <w:pPr>
              <w:pStyle w:val="TableParagraph"/>
              <w:rPr>
                <w:sz w:val="14"/>
              </w:rPr>
            </w:pPr>
          </w:p>
        </w:tc>
        <w:tc>
          <w:tcPr>
            <w:tcW w:w="660" w:type="dxa"/>
          </w:tcPr>
          <w:p>
            <w:pPr>
              <w:pStyle w:val="TableParagraph"/>
              <w:spacing w:line="180" w:lineRule="exact" w:before="3"/>
              <w:ind w:left="268"/>
              <w:rPr>
                <w:sz w:val="16"/>
              </w:rPr>
            </w:pPr>
            <w:r>
              <w:rPr>
                <w:spacing w:val="-5"/>
                <w:w w:val="105"/>
                <w:sz w:val="16"/>
              </w:rPr>
              <w:t>883</w:t>
            </w:r>
          </w:p>
        </w:tc>
        <w:tc>
          <w:tcPr>
            <w:tcW w:w="1060" w:type="dxa"/>
          </w:tcPr>
          <w:p>
            <w:pPr>
              <w:pStyle w:val="TableParagraph"/>
              <w:rPr>
                <w:sz w:val="14"/>
              </w:rPr>
            </w:pPr>
          </w:p>
        </w:tc>
        <w:tc>
          <w:tcPr>
            <w:tcW w:w="632" w:type="dxa"/>
          </w:tcPr>
          <w:p>
            <w:pPr>
              <w:pStyle w:val="TableParagraph"/>
              <w:spacing w:line="180" w:lineRule="exact" w:before="3"/>
              <w:ind w:left="268"/>
              <w:rPr>
                <w:sz w:val="16"/>
              </w:rPr>
            </w:pPr>
            <w:r>
              <w:rPr>
                <w:spacing w:val="-5"/>
                <w:w w:val="105"/>
                <w:sz w:val="16"/>
              </w:rPr>
              <w:t>907</w:t>
            </w:r>
          </w:p>
        </w:tc>
      </w:tr>
      <w:tr>
        <w:trPr>
          <w:trHeight w:val="202" w:hRule="atLeast"/>
        </w:trPr>
        <w:tc>
          <w:tcPr>
            <w:tcW w:w="6471" w:type="dxa"/>
            <w:tcBorders>
              <w:bottom w:val="single" w:sz="6" w:space="0" w:color="000000"/>
            </w:tcBorders>
            <w:shd w:val="clear" w:color="auto" w:fill="CCEDFF"/>
          </w:tcPr>
          <w:p>
            <w:pPr>
              <w:pStyle w:val="TableParagraph"/>
              <w:spacing w:line="179" w:lineRule="exact" w:before="3"/>
              <w:ind w:left="152"/>
              <w:rPr>
                <w:sz w:val="16"/>
              </w:rPr>
            </w:pPr>
            <w:r>
              <w:rPr>
                <w:spacing w:val="-2"/>
                <w:w w:val="105"/>
                <w:sz w:val="16"/>
              </w:rPr>
              <w:t>Diesel</w:t>
            </w:r>
          </w:p>
        </w:tc>
        <w:tc>
          <w:tcPr>
            <w:tcW w:w="973" w:type="dxa"/>
            <w:tcBorders>
              <w:bottom w:val="single" w:sz="6" w:space="0" w:color="000000"/>
            </w:tcBorders>
            <w:shd w:val="clear" w:color="auto" w:fill="CCEDFF"/>
          </w:tcPr>
          <w:p>
            <w:pPr>
              <w:pStyle w:val="TableParagraph"/>
              <w:rPr>
                <w:sz w:val="14"/>
              </w:rPr>
            </w:pPr>
          </w:p>
        </w:tc>
        <w:tc>
          <w:tcPr>
            <w:tcW w:w="660" w:type="dxa"/>
            <w:tcBorders>
              <w:bottom w:val="single" w:sz="6" w:space="0" w:color="000000"/>
            </w:tcBorders>
            <w:shd w:val="clear" w:color="auto" w:fill="CCEDFF"/>
          </w:tcPr>
          <w:p>
            <w:pPr>
              <w:pStyle w:val="TableParagraph"/>
              <w:spacing w:line="179" w:lineRule="exact" w:before="3"/>
              <w:ind w:left="269"/>
              <w:rPr>
                <w:b/>
                <w:sz w:val="16"/>
              </w:rPr>
            </w:pPr>
            <w:r>
              <w:rPr>
                <w:b/>
                <w:spacing w:val="-5"/>
                <w:w w:val="105"/>
                <w:sz w:val="16"/>
              </w:rPr>
              <w:t>650</w:t>
            </w:r>
          </w:p>
        </w:tc>
        <w:tc>
          <w:tcPr>
            <w:tcW w:w="1060" w:type="dxa"/>
            <w:tcBorders>
              <w:bottom w:val="single" w:sz="6" w:space="0" w:color="000000"/>
            </w:tcBorders>
            <w:shd w:val="clear" w:color="auto" w:fill="CCEDFF"/>
          </w:tcPr>
          <w:p>
            <w:pPr>
              <w:pStyle w:val="TableParagraph"/>
              <w:rPr>
                <w:sz w:val="14"/>
              </w:rPr>
            </w:pPr>
          </w:p>
        </w:tc>
        <w:tc>
          <w:tcPr>
            <w:tcW w:w="660" w:type="dxa"/>
            <w:tcBorders>
              <w:bottom w:val="single" w:sz="6" w:space="0" w:color="000000"/>
            </w:tcBorders>
            <w:shd w:val="clear" w:color="auto" w:fill="CCEDFF"/>
          </w:tcPr>
          <w:p>
            <w:pPr>
              <w:pStyle w:val="TableParagraph"/>
              <w:spacing w:line="179" w:lineRule="exact" w:before="3"/>
              <w:ind w:left="268"/>
              <w:rPr>
                <w:sz w:val="16"/>
              </w:rPr>
            </w:pPr>
            <w:r>
              <w:rPr>
                <w:spacing w:val="-5"/>
                <w:w w:val="105"/>
                <w:sz w:val="16"/>
              </w:rPr>
              <w:t>487</w:t>
            </w:r>
          </w:p>
        </w:tc>
        <w:tc>
          <w:tcPr>
            <w:tcW w:w="1060" w:type="dxa"/>
            <w:tcBorders>
              <w:bottom w:val="single" w:sz="6" w:space="0" w:color="000000"/>
            </w:tcBorders>
            <w:shd w:val="clear" w:color="auto" w:fill="CCEDFF"/>
          </w:tcPr>
          <w:p>
            <w:pPr>
              <w:pStyle w:val="TableParagraph"/>
              <w:rPr>
                <w:sz w:val="14"/>
              </w:rPr>
            </w:pPr>
          </w:p>
        </w:tc>
        <w:tc>
          <w:tcPr>
            <w:tcW w:w="632" w:type="dxa"/>
            <w:tcBorders>
              <w:bottom w:val="single" w:sz="6" w:space="0" w:color="000000"/>
            </w:tcBorders>
            <w:shd w:val="clear" w:color="auto" w:fill="CCEDFF"/>
          </w:tcPr>
          <w:p>
            <w:pPr>
              <w:pStyle w:val="TableParagraph"/>
              <w:spacing w:line="179" w:lineRule="exact" w:before="3"/>
              <w:ind w:left="268"/>
              <w:rPr>
                <w:sz w:val="16"/>
              </w:rPr>
            </w:pPr>
            <w:r>
              <w:rPr>
                <w:spacing w:val="-5"/>
                <w:w w:val="105"/>
                <w:sz w:val="16"/>
              </w:rPr>
              <w:t>592</w:t>
            </w:r>
          </w:p>
        </w:tc>
      </w:tr>
      <w:tr>
        <w:trPr>
          <w:trHeight w:val="202" w:hRule="atLeast"/>
        </w:trPr>
        <w:tc>
          <w:tcPr>
            <w:tcW w:w="6471" w:type="dxa"/>
            <w:tcBorders>
              <w:top w:val="single" w:sz="6" w:space="0" w:color="000000"/>
            </w:tcBorders>
          </w:tcPr>
          <w:p>
            <w:pPr>
              <w:pStyle w:val="TableParagraph"/>
              <w:spacing w:line="180" w:lineRule="exact" w:before="2"/>
              <w:rPr>
                <w:sz w:val="16"/>
              </w:rPr>
            </w:pPr>
            <w:r>
              <w:rPr>
                <w:sz w:val="16"/>
              </w:rPr>
              <w:t>Total</w:t>
            </w:r>
            <w:r>
              <w:rPr>
                <w:spacing w:val="20"/>
                <w:sz w:val="16"/>
              </w:rPr>
              <w:t> </w:t>
            </w:r>
            <w:r>
              <w:rPr>
                <w:sz w:val="16"/>
              </w:rPr>
              <w:t>Environmental</w:t>
            </w:r>
            <w:r>
              <w:rPr>
                <w:spacing w:val="20"/>
                <w:sz w:val="16"/>
              </w:rPr>
              <w:t> </w:t>
            </w:r>
            <w:r>
              <w:rPr>
                <w:spacing w:val="-2"/>
                <w:sz w:val="16"/>
              </w:rPr>
              <w:t>Technologies</w:t>
            </w:r>
          </w:p>
        </w:tc>
        <w:tc>
          <w:tcPr>
            <w:tcW w:w="973" w:type="dxa"/>
            <w:tcBorders>
              <w:top w:val="single" w:sz="6" w:space="0" w:color="000000"/>
            </w:tcBorders>
          </w:tcPr>
          <w:p>
            <w:pPr>
              <w:pStyle w:val="TableParagraph"/>
              <w:rPr>
                <w:sz w:val="14"/>
              </w:rPr>
            </w:pPr>
          </w:p>
        </w:tc>
        <w:tc>
          <w:tcPr>
            <w:tcW w:w="660" w:type="dxa"/>
            <w:tcBorders>
              <w:top w:val="single" w:sz="6" w:space="0" w:color="000000"/>
            </w:tcBorders>
          </w:tcPr>
          <w:p>
            <w:pPr>
              <w:pStyle w:val="TableParagraph"/>
              <w:spacing w:line="180" w:lineRule="exact" w:before="2"/>
              <w:ind w:left="144"/>
              <w:rPr>
                <w:b/>
                <w:sz w:val="16"/>
              </w:rPr>
            </w:pPr>
            <w:r>
              <w:rPr>
                <w:b/>
                <w:spacing w:val="-4"/>
                <w:w w:val="105"/>
                <w:sz w:val="16"/>
              </w:rPr>
              <w:t>1,586</w:t>
            </w:r>
          </w:p>
        </w:tc>
        <w:tc>
          <w:tcPr>
            <w:tcW w:w="1060" w:type="dxa"/>
            <w:tcBorders>
              <w:top w:val="single" w:sz="6" w:space="0" w:color="000000"/>
            </w:tcBorders>
          </w:tcPr>
          <w:p>
            <w:pPr>
              <w:pStyle w:val="TableParagraph"/>
              <w:rPr>
                <w:sz w:val="14"/>
              </w:rPr>
            </w:pPr>
          </w:p>
        </w:tc>
        <w:tc>
          <w:tcPr>
            <w:tcW w:w="660" w:type="dxa"/>
            <w:tcBorders>
              <w:top w:val="single" w:sz="6" w:space="0" w:color="000000"/>
            </w:tcBorders>
          </w:tcPr>
          <w:p>
            <w:pPr>
              <w:pStyle w:val="TableParagraph"/>
              <w:spacing w:line="180" w:lineRule="exact" w:before="2"/>
              <w:ind w:left="144"/>
              <w:rPr>
                <w:sz w:val="16"/>
              </w:rPr>
            </w:pPr>
            <w:r>
              <w:rPr>
                <w:spacing w:val="-4"/>
                <w:w w:val="105"/>
                <w:sz w:val="16"/>
              </w:rPr>
              <w:t>1,370</w:t>
            </w:r>
          </w:p>
        </w:tc>
        <w:tc>
          <w:tcPr>
            <w:tcW w:w="1060" w:type="dxa"/>
            <w:tcBorders>
              <w:top w:val="single" w:sz="6" w:space="0" w:color="000000"/>
            </w:tcBorders>
          </w:tcPr>
          <w:p>
            <w:pPr>
              <w:pStyle w:val="TableParagraph"/>
              <w:rPr>
                <w:sz w:val="14"/>
              </w:rPr>
            </w:pPr>
          </w:p>
        </w:tc>
        <w:tc>
          <w:tcPr>
            <w:tcW w:w="632" w:type="dxa"/>
            <w:tcBorders>
              <w:top w:val="single" w:sz="6" w:space="0" w:color="000000"/>
            </w:tcBorders>
          </w:tcPr>
          <w:p>
            <w:pPr>
              <w:pStyle w:val="TableParagraph"/>
              <w:spacing w:line="180" w:lineRule="exact" w:before="2"/>
              <w:ind w:left="144"/>
              <w:rPr>
                <w:sz w:val="16"/>
              </w:rPr>
            </w:pPr>
            <w:r>
              <w:rPr>
                <w:spacing w:val="-4"/>
                <w:w w:val="105"/>
                <w:sz w:val="16"/>
              </w:rPr>
              <w:t>1,499</w:t>
            </w:r>
          </w:p>
        </w:tc>
      </w:tr>
      <w:tr>
        <w:trPr>
          <w:trHeight w:val="203" w:hRule="atLeast"/>
        </w:trPr>
        <w:tc>
          <w:tcPr>
            <w:tcW w:w="6471" w:type="dxa"/>
            <w:shd w:val="clear" w:color="auto" w:fill="CCEDFF"/>
          </w:tcPr>
          <w:p>
            <w:pPr>
              <w:pStyle w:val="TableParagraph"/>
              <w:rPr>
                <w:sz w:val="14"/>
              </w:rPr>
            </w:pPr>
          </w:p>
        </w:tc>
        <w:tc>
          <w:tcPr>
            <w:tcW w:w="973"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32" w:type="dxa"/>
            <w:shd w:val="clear" w:color="auto" w:fill="CCEDFF"/>
          </w:tcPr>
          <w:p>
            <w:pPr>
              <w:pStyle w:val="TableParagraph"/>
              <w:rPr>
                <w:sz w:val="14"/>
              </w:rPr>
            </w:pPr>
          </w:p>
        </w:tc>
      </w:tr>
      <w:tr>
        <w:trPr>
          <w:trHeight w:val="203" w:hRule="atLeast"/>
        </w:trPr>
        <w:tc>
          <w:tcPr>
            <w:tcW w:w="6471" w:type="dxa"/>
          </w:tcPr>
          <w:p>
            <w:pPr>
              <w:pStyle w:val="TableParagraph"/>
              <w:spacing w:line="180" w:lineRule="exact" w:before="3"/>
              <w:rPr>
                <w:sz w:val="16"/>
              </w:rPr>
            </w:pPr>
            <w:r>
              <w:rPr>
                <w:w w:val="105"/>
                <w:sz w:val="16"/>
              </w:rPr>
              <w:t>Life</w:t>
            </w:r>
            <w:r>
              <w:rPr>
                <w:spacing w:val="-7"/>
                <w:w w:val="105"/>
                <w:sz w:val="16"/>
              </w:rPr>
              <w:t> </w:t>
            </w:r>
            <w:r>
              <w:rPr>
                <w:spacing w:val="-2"/>
                <w:w w:val="105"/>
                <w:sz w:val="16"/>
              </w:rPr>
              <w:t>Sciences</w:t>
            </w:r>
          </w:p>
        </w:tc>
        <w:tc>
          <w:tcPr>
            <w:tcW w:w="973" w:type="dxa"/>
          </w:tcPr>
          <w:p>
            <w:pPr>
              <w:pStyle w:val="TableParagraph"/>
              <w:rPr>
                <w:sz w:val="14"/>
              </w:rPr>
            </w:pPr>
          </w:p>
        </w:tc>
        <w:tc>
          <w:tcPr>
            <w:tcW w:w="660"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60" w:type="dxa"/>
          </w:tcPr>
          <w:p>
            <w:pPr>
              <w:pStyle w:val="TableParagraph"/>
              <w:rPr>
                <w:sz w:val="14"/>
              </w:rPr>
            </w:pPr>
          </w:p>
        </w:tc>
        <w:tc>
          <w:tcPr>
            <w:tcW w:w="632" w:type="dxa"/>
          </w:tcPr>
          <w:p>
            <w:pPr>
              <w:pStyle w:val="TableParagraph"/>
              <w:rPr>
                <w:sz w:val="14"/>
              </w:rPr>
            </w:pPr>
          </w:p>
        </w:tc>
      </w:tr>
      <w:tr>
        <w:trPr>
          <w:trHeight w:val="203" w:hRule="atLeast"/>
        </w:trPr>
        <w:tc>
          <w:tcPr>
            <w:tcW w:w="6471" w:type="dxa"/>
            <w:shd w:val="clear" w:color="auto" w:fill="CCEDFF"/>
          </w:tcPr>
          <w:p>
            <w:pPr>
              <w:pStyle w:val="TableParagraph"/>
              <w:spacing w:line="180" w:lineRule="exact" w:before="3"/>
              <w:ind w:left="152"/>
              <w:rPr>
                <w:sz w:val="16"/>
              </w:rPr>
            </w:pPr>
            <w:r>
              <w:rPr>
                <w:spacing w:val="-2"/>
                <w:w w:val="105"/>
                <w:sz w:val="16"/>
              </w:rPr>
              <w:t>Labware</w:t>
            </w:r>
          </w:p>
        </w:tc>
        <w:tc>
          <w:tcPr>
            <w:tcW w:w="973" w:type="dxa"/>
            <w:shd w:val="clear" w:color="auto" w:fill="CCEDFF"/>
          </w:tcPr>
          <w:p>
            <w:pPr>
              <w:pStyle w:val="TableParagraph"/>
              <w:rPr>
                <w:sz w:val="14"/>
              </w:rPr>
            </w:pPr>
          </w:p>
        </w:tc>
        <w:tc>
          <w:tcPr>
            <w:tcW w:w="660" w:type="dxa"/>
            <w:shd w:val="clear" w:color="auto" w:fill="CCEDFF"/>
          </w:tcPr>
          <w:p>
            <w:pPr>
              <w:pStyle w:val="TableParagraph"/>
              <w:spacing w:line="180" w:lineRule="exact" w:before="3"/>
              <w:ind w:left="269"/>
              <w:rPr>
                <w:b/>
                <w:sz w:val="16"/>
              </w:rPr>
            </w:pPr>
            <w:r>
              <w:rPr>
                <w:b/>
                <w:spacing w:val="-5"/>
                <w:w w:val="105"/>
                <w:sz w:val="16"/>
              </w:rPr>
              <w:t>671</w:t>
            </w:r>
          </w:p>
        </w:tc>
        <w:tc>
          <w:tcPr>
            <w:tcW w:w="1060" w:type="dxa"/>
            <w:shd w:val="clear" w:color="auto" w:fill="CCEDFF"/>
          </w:tcPr>
          <w:p>
            <w:pPr>
              <w:pStyle w:val="TableParagraph"/>
              <w:rPr>
                <w:sz w:val="14"/>
              </w:rPr>
            </w:pPr>
          </w:p>
        </w:tc>
        <w:tc>
          <w:tcPr>
            <w:tcW w:w="660" w:type="dxa"/>
            <w:shd w:val="clear" w:color="auto" w:fill="CCEDFF"/>
          </w:tcPr>
          <w:p>
            <w:pPr>
              <w:pStyle w:val="TableParagraph"/>
              <w:spacing w:line="180" w:lineRule="exact" w:before="3"/>
              <w:ind w:left="268"/>
              <w:rPr>
                <w:sz w:val="16"/>
              </w:rPr>
            </w:pPr>
            <w:r>
              <w:rPr>
                <w:spacing w:val="-5"/>
                <w:w w:val="105"/>
                <w:sz w:val="16"/>
              </w:rPr>
              <w:t>552</w:t>
            </w:r>
          </w:p>
        </w:tc>
        <w:tc>
          <w:tcPr>
            <w:tcW w:w="1060" w:type="dxa"/>
            <w:shd w:val="clear" w:color="auto" w:fill="CCEDFF"/>
          </w:tcPr>
          <w:p>
            <w:pPr>
              <w:pStyle w:val="TableParagraph"/>
              <w:rPr>
                <w:sz w:val="14"/>
              </w:rPr>
            </w:pPr>
          </w:p>
        </w:tc>
        <w:tc>
          <w:tcPr>
            <w:tcW w:w="632" w:type="dxa"/>
            <w:shd w:val="clear" w:color="auto" w:fill="CCEDFF"/>
          </w:tcPr>
          <w:p>
            <w:pPr>
              <w:pStyle w:val="TableParagraph"/>
              <w:spacing w:line="180" w:lineRule="exact" w:before="3"/>
              <w:ind w:left="268"/>
              <w:rPr>
                <w:sz w:val="16"/>
              </w:rPr>
            </w:pPr>
            <w:r>
              <w:rPr>
                <w:spacing w:val="-5"/>
                <w:w w:val="105"/>
                <w:sz w:val="16"/>
              </w:rPr>
              <w:t>550</w:t>
            </w:r>
          </w:p>
        </w:tc>
      </w:tr>
      <w:tr>
        <w:trPr>
          <w:trHeight w:val="202" w:hRule="atLeast"/>
        </w:trPr>
        <w:tc>
          <w:tcPr>
            <w:tcW w:w="6471" w:type="dxa"/>
            <w:tcBorders>
              <w:bottom w:val="single" w:sz="6" w:space="0" w:color="000000"/>
            </w:tcBorders>
          </w:tcPr>
          <w:p>
            <w:pPr>
              <w:pStyle w:val="TableParagraph"/>
              <w:spacing w:line="179" w:lineRule="exact" w:before="3"/>
              <w:ind w:left="152"/>
              <w:rPr>
                <w:sz w:val="16"/>
              </w:rPr>
            </w:pPr>
            <w:r>
              <w:rPr>
                <w:w w:val="105"/>
                <w:sz w:val="16"/>
              </w:rPr>
              <w:t>Cell</w:t>
            </w:r>
            <w:r>
              <w:rPr>
                <w:spacing w:val="-9"/>
                <w:w w:val="105"/>
                <w:sz w:val="16"/>
              </w:rPr>
              <w:t> </w:t>
            </w:r>
            <w:r>
              <w:rPr>
                <w:w w:val="105"/>
                <w:sz w:val="16"/>
              </w:rPr>
              <w:t>culture</w:t>
            </w:r>
            <w:r>
              <w:rPr>
                <w:spacing w:val="-8"/>
                <w:w w:val="105"/>
                <w:sz w:val="16"/>
              </w:rPr>
              <w:t> </w:t>
            </w:r>
            <w:r>
              <w:rPr>
                <w:spacing w:val="-2"/>
                <w:w w:val="105"/>
                <w:sz w:val="16"/>
              </w:rPr>
              <w:t>products</w:t>
            </w:r>
          </w:p>
        </w:tc>
        <w:tc>
          <w:tcPr>
            <w:tcW w:w="973" w:type="dxa"/>
            <w:tcBorders>
              <w:bottom w:val="single" w:sz="6" w:space="0" w:color="000000"/>
            </w:tcBorders>
          </w:tcPr>
          <w:p>
            <w:pPr>
              <w:pStyle w:val="TableParagraph"/>
              <w:rPr>
                <w:sz w:val="14"/>
              </w:rPr>
            </w:pPr>
          </w:p>
        </w:tc>
        <w:tc>
          <w:tcPr>
            <w:tcW w:w="660" w:type="dxa"/>
            <w:tcBorders>
              <w:bottom w:val="single" w:sz="6" w:space="0" w:color="000000"/>
            </w:tcBorders>
          </w:tcPr>
          <w:p>
            <w:pPr>
              <w:pStyle w:val="TableParagraph"/>
              <w:spacing w:line="179" w:lineRule="exact" w:before="3"/>
              <w:ind w:left="269"/>
              <w:rPr>
                <w:b/>
                <w:sz w:val="16"/>
              </w:rPr>
            </w:pPr>
            <w:r>
              <w:rPr>
                <w:b/>
                <w:spacing w:val="-5"/>
                <w:w w:val="105"/>
                <w:sz w:val="16"/>
              </w:rPr>
              <w:t>563</w:t>
            </w:r>
          </w:p>
        </w:tc>
        <w:tc>
          <w:tcPr>
            <w:tcW w:w="1060" w:type="dxa"/>
            <w:tcBorders>
              <w:bottom w:val="single" w:sz="6" w:space="0" w:color="000000"/>
            </w:tcBorders>
          </w:tcPr>
          <w:p>
            <w:pPr>
              <w:pStyle w:val="TableParagraph"/>
              <w:rPr>
                <w:sz w:val="14"/>
              </w:rPr>
            </w:pPr>
          </w:p>
        </w:tc>
        <w:tc>
          <w:tcPr>
            <w:tcW w:w="660" w:type="dxa"/>
            <w:tcBorders>
              <w:bottom w:val="single" w:sz="6" w:space="0" w:color="000000"/>
            </w:tcBorders>
          </w:tcPr>
          <w:p>
            <w:pPr>
              <w:pStyle w:val="TableParagraph"/>
              <w:spacing w:line="179" w:lineRule="exact" w:before="3"/>
              <w:ind w:left="268"/>
              <w:rPr>
                <w:sz w:val="16"/>
              </w:rPr>
            </w:pPr>
            <w:r>
              <w:rPr>
                <w:spacing w:val="-5"/>
                <w:w w:val="105"/>
                <w:sz w:val="16"/>
              </w:rPr>
              <w:t>446</w:t>
            </w:r>
          </w:p>
        </w:tc>
        <w:tc>
          <w:tcPr>
            <w:tcW w:w="1060" w:type="dxa"/>
            <w:tcBorders>
              <w:bottom w:val="single" w:sz="6" w:space="0" w:color="000000"/>
            </w:tcBorders>
          </w:tcPr>
          <w:p>
            <w:pPr>
              <w:pStyle w:val="TableParagraph"/>
              <w:rPr>
                <w:sz w:val="14"/>
              </w:rPr>
            </w:pPr>
          </w:p>
        </w:tc>
        <w:tc>
          <w:tcPr>
            <w:tcW w:w="632" w:type="dxa"/>
            <w:tcBorders>
              <w:bottom w:val="single" w:sz="6" w:space="0" w:color="000000"/>
            </w:tcBorders>
          </w:tcPr>
          <w:p>
            <w:pPr>
              <w:pStyle w:val="TableParagraph"/>
              <w:spacing w:line="179" w:lineRule="exact" w:before="3"/>
              <w:ind w:left="268"/>
              <w:rPr>
                <w:sz w:val="16"/>
              </w:rPr>
            </w:pPr>
            <w:r>
              <w:rPr>
                <w:spacing w:val="-5"/>
                <w:w w:val="105"/>
                <w:sz w:val="16"/>
              </w:rPr>
              <w:t>465</w:t>
            </w:r>
          </w:p>
        </w:tc>
      </w:tr>
      <w:tr>
        <w:trPr>
          <w:trHeight w:val="202" w:hRule="atLeast"/>
        </w:trPr>
        <w:tc>
          <w:tcPr>
            <w:tcW w:w="6471" w:type="dxa"/>
            <w:tcBorders>
              <w:top w:val="single" w:sz="6" w:space="0" w:color="000000"/>
            </w:tcBorders>
            <w:shd w:val="clear" w:color="auto" w:fill="CCEDFF"/>
          </w:tcPr>
          <w:p>
            <w:pPr>
              <w:pStyle w:val="TableParagraph"/>
              <w:spacing w:line="180" w:lineRule="exact" w:before="2"/>
              <w:rPr>
                <w:sz w:val="16"/>
              </w:rPr>
            </w:pPr>
            <w:r>
              <w:rPr>
                <w:w w:val="105"/>
                <w:sz w:val="16"/>
              </w:rPr>
              <w:t>Total</w:t>
            </w:r>
            <w:r>
              <w:rPr>
                <w:spacing w:val="-8"/>
                <w:w w:val="105"/>
                <w:sz w:val="16"/>
              </w:rPr>
              <w:t> </w:t>
            </w:r>
            <w:r>
              <w:rPr>
                <w:w w:val="105"/>
                <w:sz w:val="16"/>
              </w:rPr>
              <w:t>Life</w:t>
            </w:r>
            <w:r>
              <w:rPr>
                <w:spacing w:val="-7"/>
                <w:w w:val="105"/>
                <w:sz w:val="16"/>
              </w:rPr>
              <w:t> </w:t>
            </w:r>
            <w:r>
              <w:rPr>
                <w:spacing w:val="-2"/>
                <w:w w:val="105"/>
                <w:sz w:val="16"/>
              </w:rPr>
              <w:t>Science</w:t>
            </w:r>
          </w:p>
        </w:tc>
        <w:tc>
          <w:tcPr>
            <w:tcW w:w="973" w:type="dxa"/>
            <w:tcBorders>
              <w:top w:val="single" w:sz="6" w:space="0" w:color="000000"/>
            </w:tcBorders>
            <w:shd w:val="clear" w:color="auto" w:fill="CCEDFF"/>
          </w:tcPr>
          <w:p>
            <w:pPr>
              <w:pStyle w:val="TableParagraph"/>
              <w:rPr>
                <w:sz w:val="14"/>
              </w:rPr>
            </w:pPr>
          </w:p>
        </w:tc>
        <w:tc>
          <w:tcPr>
            <w:tcW w:w="660" w:type="dxa"/>
            <w:tcBorders>
              <w:top w:val="single" w:sz="6" w:space="0" w:color="000000"/>
            </w:tcBorders>
            <w:shd w:val="clear" w:color="auto" w:fill="CCEDFF"/>
          </w:tcPr>
          <w:p>
            <w:pPr>
              <w:pStyle w:val="TableParagraph"/>
              <w:spacing w:line="180" w:lineRule="exact" w:before="2"/>
              <w:ind w:left="144"/>
              <w:rPr>
                <w:b/>
                <w:sz w:val="16"/>
              </w:rPr>
            </w:pPr>
            <w:r>
              <w:rPr>
                <w:b/>
                <w:spacing w:val="-4"/>
                <w:w w:val="105"/>
                <w:sz w:val="16"/>
              </w:rPr>
              <w:t>1,234</w:t>
            </w:r>
          </w:p>
        </w:tc>
        <w:tc>
          <w:tcPr>
            <w:tcW w:w="1060" w:type="dxa"/>
            <w:tcBorders>
              <w:top w:val="single" w:sz="6" w:space="0" w:color="000000"/>
            </w:tcBorders>
            <w:shd w:val="clear" w:color="auto" w:fill="CCEDFF"/>
          </w:tcPr>
          <w:p>
            <w:pPr>
              <w:pStyle w:val="TableParagraph"/>
              <w:rPr>
                <w:sz w:val="14"/>
              </w:rPr>
            </w:pPr>
          </w:p>
        </w:tc>
        <w:tc>
          <w:tcPr>
            <w:tcW w:w="660" w:type="dxa"/>
            <w:tcBorders>
              <w:top w:val="single" w:sz="6" w:space="0" w:color="000000"/>
            </w:tcBorders>
            <w:shd w:val="clear" w:color="auto" w:fill="CCEDFF"/>
          </w:tcPr>
          <w:p>
            <w:pPr>
              <w:pStyle w:val="TableParagraph"/>
              <w:spacing w:line="180" w:lineRule="exact" w:before="2"/>
              <w:ind w:left="268"/>
              <w:rPr>
                <w:sz w:val="16"/>
              </w:rPr>
            </w:pPr>
            <w:r>
              <w:rPr>
                <w:spacing w:val="-5"/>
                <w:w w:val="105"/>
                <w:sz w:val="16"/>
              </w:rPr>
              <w:t>998</w:t>
            </w:r>
          </w:p>
        </w:tc>
        <w:tc>
          <w:tcPr>
            <w:tcW w:w="1060" w:type="dxa"/>
            <w:tcBorders>
              <w:top w:val="single" w:sz="6" w:space="0" w:color="000000"/>
            </w:tcBorders>
            <w:shd w:val="clear" w:color="auto" w:fill="CCEDFF"/>
          </w:tcPr>
          <w:p>
            <w:pPr>
              <w:pStyle w:val="TableParagraph"/>
              <w:rPr>
                <w:sz w:val="14"/>
              </w:rPr>
            </w:pPr>
          </w:p>
        </w:tc>
        <w:tc>
          <w:tcPr>
            <w:tcW w:w="632" w:type="dxa"/>
            <w:tcBorders>
              <w:top w:val="single" w:sz="6" w:space="0" w:color="000000"/>
            </w:tcBorders>
            <w:shd w:val="clear" w:color="auto" w:fill="CCEDFF"/>
          </w:tcPr>
          <w:p>
            <w:pPr>
              <w:pStyle w:val="TableParagraph"/>
              <w:spacing w:line="180" w:lineRule="exact" w:before="2"/>
              <w:ind w:left="144"/>
              <w:rPr>
                <w:sz w:val="16"/>
              </w:rPr>
            </w:pPr>
            <w:r>
              <w:rPr>
                <w:spacing w:val="-4"/>
                <w:w w:val="105"/>
                <w:sz w:val="16"/>
              </w:rPr>
              <w:t>1,015</w:t>
            </w:r>
          </w:p>
        </w:tc>
      </w:tr>
      <w:tr>
        <w:trPr>
          <w:trHeight w:val="203" w:hRule="atLeast"/>
        </w:trPr>
        <w:tc>
          <w:tcPr>
            <w:tcW w:w="6471" w:type="dxa"/>
          </w:tcPr>
          <w:p>
            <w:pPr>
              <w:pStyle w:val="TableParagraph"/>
              <w:rPr>
                <w:sz w:val="14"/>
              </w:rPr>
            </w:pPr>
          </w:p>
        </w:tc>
        <w:tc>
          <w:tcPr>
            <w:tcW w:w="973" w:type="dxa"/>
          </w:tcPr>
          <w:p>
            <w:pPr>
              <w:pStyle w:val="TableParagraph"/>
              <w:rPr>
                <w:sz w:val="14"/>
              </w:rPr>
            </w:pPr>
          </w:p>
        </w:tc>
        <w:tc>
          <w:tcPr>
            <w:tcW w:w="660" w:type="dxa"/>
          </w:tcPr>
          <w:p>
            <w:pPr>
              <w:pStyle w:val="TableParagraph"/>
              <w:rPr>
                <w:sz w:val="14"/>
              </w:rPr>
            </w:pPr>
          </w:p>
        </w:tc>
        <w:tc>
          <w:tcPr>
            <w:tcW w:w="1060" w:type="dxa"/>
          </w:tcPr>
          <w:p>
            <w:pPr>
              <w:pStyle w:val="TableParagraph"/>
              <w:rPr>
                <w:sz w:val="14"/>
              </w:rPr>
            </w:pPr>
          </w:p>
        </w:tc>
        <w:tc>
          <w:tcPr>
            <w:tcW w:w="660" w:type="dxa"/>
          </w:tcPr>
          <w:p>
            <w:pPr>
              <w:pStyle w:val="TableParagraph"/>
              <w:rPr>
                <w:sz w:val="14"/>
              </w:rPr>
            </w:pPr>
          </w:p>
        </w:tc>
        <w:tc>
          <w:tcPr>
            <w:tcW w:w="1060" w:type="dxa"/>
          </w:tcPr>
          <w:p>
            <w:pPr>
              <w:pStyle w:val="TableParagraph"/>
              <w:rPr>
                <w:sz w:val="14"/>
              </w:rPr>
            </w:pPr>
          </w:p>
        </w:tc>
        <w:tc>
          <w:tcPr>
            <w:tcW w:w="632" w:type="dxa"/>
          </w:tcPr>
          <w:p>
            <w:pPr>
              <w:pStyle w:val="TableParagraph"/>
              <w:rPr>
                <w:sz w:val="14"/>
              </w:rPr>
            </w:pPr>
          </w:p>
        </w:tc>
      </w:tr>
      <w:tr>
        <w:trPr>
          <w:trHeight w:val="203" w:hRule="atLeast"/>
        </w:trPr>
        <w:tc>
          <w:tcPr>
            <w:tcW w:w="6471" w:type="dxa"/>
            <w:shd w:val="clear" w:color="auto" w:fill="CCEDFF"/>
          </w:tcPr>
          <w:p>
            <w:pPr>
              <w:pStyle w:val="TableParagraph"/>
              <w:spacing w:line="180" w:lineRule="exact" w:before="3"/>
              <w:rPr>
                <w:sz w:val="16"/>
              </w:rPr>
            </w:pPr>
            <w:r>
              <w:rPr>
                <w:w w:val="105"/>
                <w:sz w:val="16"/>
              </w:rPr>
              <w:t>All</w:t>
            </w:r>
            <w:r>
              <w:rPr>
                <w:spacing w:val="-8"/>
                <w:w w:val="105"/>
                <w:sz w:val="16"/>
              </w:rPr>
              <w:t> </w:t>
            </w:r>
            <w:r>
              <w:rPr>
                <w:spacing w:val="-2"/>
                <w:w w:val="105"/>
                <w:sz w:val="16"/>
              </w:rPr>
              <w:t>Other</w:t>
            </w:r>
          </w:p>
        </w:tc>
        <w:tc>
          <w:tcPr>
            <w:tcW w:w="973"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32" w:type="dxa"/>
            <w:shd w:val="clear" w:color="auto" w:fill="CCEDFF"/>
          </w:tcPr>
          <w:p>
            <w:pPr>
              <w:pStyle w:val="TableParagraph"/>
              <w:rPr>
                <w:sz w:val="14"/>
              </w:rPr>
            </w:pPr>
          </w:p>
        </w:tc>
      </w:tr>
      <w:tr>
        <w:trPr>
          <w:trHeight w:val="203" w:hRule="atLeast"/>
        </w:trPr>
        <w:tc>
          <w:tcPr>
            <w:tcW w:w="6471" w:type="dxa"/>
          </w:tcPr>
          <w:p>
            <w:pPr>
              <w:pStyle w:val="TableParagraph"/>
              <w:spacing w:line="180" w:lineRule="exact" w:before="3"/>
              <w:ind w:left="152"/>
              <w:rPr>
                <w:sz w:val="16"/>
              </w:rPr>
            </w:pPr>
            <w:r>
              <w:rPr>
                <w:sz w:val="16"/>
              </w:rPr>
              <w:t>Polycrystalline</w:t>
            </w:r>
            <w:r>
              <w:rPr>
                <w:spacing w:val="29"/>
                <w:sz w:val="16"/>
              </w:rPr>
              <w:t> </w:t>
            </w:r>
            <w:r>
              <w:rPr>
                <w:spacing w:val="-2"/>
                <w:sz w:val="16"/>
              </w:rPr>
              <w:t>Silicon</w:t>
            </w:r>
          </w:p>
        </w:tc>
        <w:tc>
          <w:tcPr>
            <w:tcW w:w="973" w:type="dxa"/>
          </w:tcPr>
          <w:p>
            <w:pPr>
              <w:pStyle w:val="TableParagraph"/>
              <w:rPr>
                <w:sz w:val="14"/>
              </w:rPr>
            </w:pPr>
          </w:p>
        </w:tc>
        <w:tc>
          <w:tcPr>
            <w:tcW w:w="660" w:type="dxa"/>
          </w:tcPr>
          <w:p>
            <w:pPr>
              <w:pStyle w:val="TableParagraph"/>
              <w:spacing w:line="180" w:lineRule="exact" w:before="3"/>
              <w:ind w:left="269"/>
              <w:rPr>
                <w:b/>
                <w:sz w:val="16"/>
              </w:rPr>
            </w:pPr>
            <w:r>
              <w:rPr>
                <w:b/>
                <w:spacing w:val="-5"/>
                <w:w w:val="105"/>
                <w:sz w:val="16"/>
              </w:rPr>
              <w:t>892</w:t>
            </w:r>
          </w:p>
        </w:tc>
        <w:tc>
          <w:tcPr>
            <w:tcW w:w="1060" w:type="dxa"/>
          </w:tcPr>
          <w:p>
            <w:pPr>
              <w:pStyle w:val="TableParagraph"/>
              <w:rPr>
                <w:sz w:val="14"/>
              </w:rPr>
            </w:pPr>
          </w:p>
        </w:tc>
        <w:tc>
          <w:tcPr>
            <w:tcW w:w="660" w:type="dxa"/>
          </w:tcPr>
          <w:p>
            <w:pPr>
              <w:pStyle w:val="TableParagraph"/>
              <w:spacing w:line="180" w:lineRule="exact" w:before="3"/>
              <w:ind w:left="268"/>
              <w:rPr>
                <w:sz w:val="16"/>
              </w:rPr>
            </w:pPr>
            <w:r>
              <w:rPr>
                <w:spacing w:val="-5"/>
                <w:w w:val="105"/>
                <w:sz w:val="16"/>
              </w:rPr>
              <w:t>194</w:t>
            </w:r>
          </w:p>
        </w:tc>
        <w:tc>
          <w:tcPr>
            <w:tcW w:w="1060" w:type="dxa"/>
          </w:tcPr>
          <w:p>
            <w:pPr>
              <w:pStyle w:val="TableParagraph"/>
              <w:rPr>
                <w:sz w:val="14"/>
              </w:rPr>
            </w:pPr>
          </w:p>
        </w:tc>
        <w:tc>
          <w:tcPr>
            <w:tcW w:w="632" w:type="dxa"/>
          </w:tcPr>
          <w:p>
            <w:pPr>
              <w:pStyle w:val="TableParagraph"/>
              <w:rPr>
                <w:sz w:val="14"/>
              </w:rPr>
            </w:pPr>
          </w:p>
        </w:tc>
      </w:tr>
      <w:tr>
        <w:trPr>
          <w:trHeight w:val="202" w:hRule="atLeast"/>
        </w:trPr>
        <w:tc>
          <w:tcPr>
            <w:tcW w:w="6471" w:type="dxa"/>
            <w:tcBorders>
              <w:bottom w:val="single" w:sz="6" w:space="0" w:color="000000"/>
            </w:tcBorders>
            <w:shd w:val="clear" w:color="auto" w:fill="CCEDFF"/>
          </w:tcPr>
          <w:p>
            <w:pPr>
              <w:pStyle w:val="TableParagraph"/>
              <w:spacing w:line="179" w:lineRule="exact" w:before="3"/>
              <w:ind w:left="152"/>
              <w:rPr>
                <w:sz w:val="16"/>
              </w:rPr>
            </w:pPr>
            <w:r>
              <w:rPr>
                <w:spacing w:val="-2"/>
                <w:w w:val="105"/>
                <w:sz w:val="16"/>
              </w:rPr>
              <w:t>Other</w:t>
            </w:r>
          </w:p>
        </w:tc>
        <w:tc>
          <w:tcPr>
            <w:tcW w:w="973" w:type="dxa"/>
            <w:tcBorders>
              <w:bottom w:val="single" w:sz="6" w:space="0" w:color="000000"/>
            </w:tcBorders>
            <w:shd w:val="clear" w:color="auto" w:fill="CCEDFF"/>
          </w:tcPr>
          <w:p>
            <w:pPr>
              <w:pStyle w:val="TableParagraph"/>
              <w:rPr>
                <w:sz w:val="14"/>
              </w:rPr>
            </w:pPr>
          </w:p>
        </w:tc>
        <w:tc>
          <w:tcPr>
            <w:tcW w:w="660" w:type="dxa"/>
            <w:tcBorders>
              <w:bottom w:val="single" w:sz="6" w:space="0" w:color="000000"/>
            </w:tcBorders>
            <w:shd w:val="clear" w:color="auto" w:fill="CCEDFF"/>
          </w:tcPr>
          <w:p>
            <w:pPr>
              <w:pStyle w:val="TableParagraph"/>
              <w:spacing w:line="179" w:lineRule="exact" w:before="3"/>
              <w:ind w:left="269"/>
              <w:rPr>
                <w:b/>
                <w:sz w:val="16"/>
              </w:rPr>
            </w:pPr>
            <w:r>
              <w:rPr>
                <w:b/>
                <w:spacing w:val="-5"/>
                <w:w w:val="105"/>
                <w:sz w:val="16"/>
              </w:rPr>
              <w:t>351</w:t>
            </w:r>
          </w:p>
        </w:tc>
        <w:tc>
          <w:tcPr>
            <w:tcW w:w="1060" w:type="dxa"/>
            <w:tcBorders>
              <w:bottom w:val="single" w:sz="6" w:space="0" w:color="000000"/>
            </w:tcBorders>
            <w:shd w:val="clear" w:color="auto" w:fill="CCEDFF"/>
          </w:tcPr>
          <w:p>
            <w:pPr>
              <w:pStyle w:val="TableParagraph"/>
              <w:rPr>
                <w:sz w:val="14"/>
              </w:rPr>
            </w:pPr>
          </w:p>
        </w:tc>
        <w:tc>
          <w:tcPr>
            <w:tcW w:w="660" w:type="dxa"/>
            <w:tcBorders>
              <w:bottom w:val="single" w:sz="6" w:space="0" w:color="000000"/>
            </w:tcBorders>
            <w:shd w:val="clear" w:color="auto" w:fill="CCEDFF"/>
          </w:tcPr>
          <w:p>
            <w:pPr>
              <w:pStyle w:val="TableParagraph"/>
              <w:spacing w:line="179" w:lineRule="exact" w:before="3"/>
              <w:ind w:left="268"/>
              <w:rPr>
                <w:sz w:val="16"/>
              </w:rPr>
            </w:pPr>
            <w:r>
              <w:rPr>
                <w:spacing w:val="-5"/>
                <w:w w:val="105"/>
                <w:sz w:val="16"/>
              </w:rPr>
              <w:t>271</w:t>
            </w:r>
          </w:p>
        </w:tc>
        <w:tc>
          <w:tcPr>
            <w:tcW w:w="1060" w:type="dxa"/>
            <w:tcBorders>
              <w:bottom w:val="single" w:sz="6" w:space="0" w:color="000000"/>
            </w:tcBorders>
            <w:shd w:val="clear" w:color="auto" w:fill="CCEDFF"/>
          </w:tcPr>
          <w:p>
            <w:pPr>
              <w:pStyle w:val="TableParagraph"/>
              <w:rPr>
                <w:sz w:val="14"/>
              </w:rPr>
            </w:pPr>
          </w:p>
        </w:tc>
        <w:tc>
          <w:tcPr>
            <w:tcW w:w="632" w:type="dxa"/>
            <w:tcBorders>
              <w:bottom w:val="single" w:sz="6" w:space="0" w:color="000000"/>
            </w:tcBorders>
            <w:shd w:val="clear" w:color="auto" w:fill="CCEDFF"/>
          </w:tcPr>
          <w:p>
            <w:pPr>
              <w:pStyle w:val="TableParagraph"/>
              <w:spacing w:line="179" w:lineRule="exact" w:before="3"/>
              <w:ind w:left="268"/>
              <w:rPr>
                <w:sz w:val="16"/>
              </w:rPr>
            </w:pPr>
            <w:r>
              <w:rPr>
                <w:spacing w:val="-5"/>
                <w:w w:val="105"/>
                <w:sz w:val="16"/>
              </w:rPr>
              <w:t>230</w:t>
            </w:r>
          </w:p>
        </w:tc>
      </w:tr>
      <w:tr>
        <w:trPr>
          <w:trHeight w:val="202" w:hRule="atLeast"/>
        </w:trPr>
        <w:tc>
          <w:tcPr>
            <w:tcW w:w="6471" w:type="dxa"/>
            <w:tcBorders>
              <w:top w:val="single" w:sz="6" w:space="0" w:color="000000"/>
            </w:tcBorders>
          </w:tcPr>
          <w:p>
            <w:pPr>
              <w:pStyle w:val="TableParagraph"/>
              <w:spacing w:line="180" w:lineRule="exact" w:before="2"/>
              <w:rPr>
                <w:sz w:val="16"/>
              </w:rPr>
            </w:pPr>
            <w:r>
              <w:rPr>
                <w:w w:val="105"/>
                <w:sz w:val="16"/>
              </w:rPr>
              <w:t>Total</w:t>
            </w:r>
            <w:r>
              <w:rPr>
                <w:spacing w:val="-7"/>
                <w:w w:val="105"/>
                <w:sz w:val="16"/>
              </w:rPr>
              <w:t> </w:t>
            </w:r>
            <w:r>
              <w:rPr>
                <w:w w:val="105"/>
                <w:sz w:val="16"/>
              </w:rPr>
              <w:t>All</w:t>
            </w:r>
            <w:r>
              <w:rPr>
                <w:spacing w:val="-6"/>
                <w:w w:val="105"/>
                <w:sz w:val="16"/>
              </w:rPr>
              <w:t> </w:t>
            </w:r>
            <w:r>
              <w:rPr>
                <w:spacing w:val="-4"/>
                <w:w w:val="105"/>
                <w:sz w:val="16"/>
              </w:rPr>
              <w:t>Other</w:t>
            </w:r>
          </w:p>
        </w:tc>
        <w:tc>
          <w:tcPr>
            <w:tcW w:w="973" w:type="dxa"/>
            <w:tcBorders>
              <w:top w:val="single" w:sz="6" w:space="0" w:color="000000"/>
            </w:tcBorders>
          </w:tcPr>
          <w:p>
            <w:pPr>
              <w:pStyle w:val="TableParagraph"/>
              <w:rPr>
                <w:sz w:val="14"/>
              </w:rPr>
            </w:pPr>
          </w:p>
        </w:tc>
        <w:tc>
          <w:tcPr>
            <w:tcW w:w="660" w:type="dxa"/>
            <w:tcBorders>
              <w:top w:val="single" w:sz="6" w:space="0" w:color="000000"/>
            </w:tcBorders>
          </w:tcPr>
          <w:p>
            <w:pPr>
              <w:pStyle w:val="TableParagraph"/>
              <w:spacing w:line="180" w:lineRule="exact" w:before="2"/>
              <w:ind w:left="144"/>
              <w:rPr>
                <w:b/>
                <w:sz w:val="16"/>
              </w:rPr>
            </w:pPr>
            <w:r>
              <w:rPr>
                <w:b/>
                <w:spacing w:val="-4"/>
                <w:w w:val="105"/>
                <w:sz w:val="16"/>
              </w:rPr>
              <w:t>1,243</w:t>
            </w:r>
          </w:p>
        </w:tc>
        <w:tc>
          <w:tcPr>
            <w:tcW w:w="1060" w:type="dxa"/>
            <w:tcBorders>
              <w:top w:val="single" w:sz="6" w:space="0" w:color="000000"/>
            </w:tcBorders>
          </w:tcPr>
          <w:p>
            <w:pPr>
              <w:pStyle w:val="TableParagraph"/>
              <w:rPr>
                <w:sz w:val="14"/>
              </w:rPr>
            </w:pPr>
          </w:p>
        </w:tc>
        <w:tc>
          <w:tcPr>
            <w:tcW w:w="660" w:type="dxa"/>
            <w:tcBorders>
              <w:top w:val="single" w:sz="6" w:space="0" w:color="000000"/>
            </w:tcBorders>
          </w:tcPr>
          <w:p>
            <w:pPr>
              <w:pStyle w:val="TableParagraph"/>
              <w:spacing w:line="180" w:lineRule="exact" w:before="2"/>
              <w:ind w:left="268"/>
              <w:rPr>
                <w:sz w:val="16"/>
              </w:rPr>
            </w:pPr>
            <w:r>
              <w:rPr>
                <w:spacing w:val="-5"/>
                <w:w w:val="105"/>
                <w:sz w:val="16"/>
              </w:rPr>
              <w:t>465</w:t>
            </w:r>
          </w:p>
        </w:tc>
        <w:tc>
          <w:tcPr>
            <w:tcW w:w="1060" w:type="dxa"/>
            <w:tcBorders>
              <w:top w:val="single" w:sz="6" w:space="0" w:color="000000"/>
            </w:tcBorders>
          </w:tcPr>
          <w:p>
            <w:pPr>
              <w:pStyle w:val="TableParagraph"/>
              <w:rPr>
                <w:sz w:val="14"/>
              </w:rPr>
            </w:pPr>
          </w:p>
        </w:tc>
        <w:tc>
          <w:tcPr>
            <w:tcW w:w="632" w:type="dxa"/>
            <w:tcBorders>
              <w:top w:val="single" w:sz="6" w:space="0" w:color="000000"/>
            </w:tcBorders>
          </w:tcPr>
          <w:p>
            <w:pPr>
              <w:pStyle w:val="TableParagraph"/>
              <w:spacing w:line="180" w:lineRule="exact" w:before="2"/>
              <w:ind w:left="268"/>
              <w:rPr>
                <w:sz w:val="16"/>
              </w:rPr>
            </w:pPr>
            <w:r>
              <w:rPr>
                <w:spacing w:val="-5"/>
                <w:w w:val="105"/>
                <w:sz w:val="16"/>
              </w:rPr>
              <w:t>230</w:t>
            </w:r>
          </w:p>
        </w:tc>
      </w:tr>
      <w:tr>
        <w:trPr>
          <w:trHeight w:val="203" w:hRule="atLeast"/>
        </w:trPr>
        <w:tc>
          <w:tcPr>
            <w:tcW w:w="6471" w:type="dxa"/>
            <w:shd w:val="clear" w:color="auto" w:fill="CCEDFF"/>
          </w:tcPr>
          <w:p>
            <w:pPr>
              <w:pStyle w:val="TableParagraph"/>
              <w:rPr>
                <w:sz w:val="14"/>
              </w:rPr>
            </w:pPr>
          </w:p>
        </w:tc>
        <w:tc>
          <w:tcPr>
            <w:tcW w:w="973"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60" w:type="dxa"/>
            <w:shd w:val="clear" w:color="auto" w:fill="CCEDFF"/>
          </w:tcPr>
          <w:p>
            <w:pPr>
              <w:pStyle w:val="TableParagraph"/>
              <w:rPr>
                <w:sz w:val="14"/>
              </w:rPr>
            </w:pPr>
          </w:p>
        </w:tc>
        <w:tc>
          <w:tcPr>
            <w:tcW w:w="1060" w:type="dxa"/>
            <w:shd w:val="clear" w:color="auto" w:fill="CCEDFF"/>
          </w:tcPr>
          <w:p>
            <w:pPr>
              <w:pStyle w:val="TableParagraph"/>
              <w:rPr>
                <w:sz w:val="14"/>
              </w:rPr>
            </w:pPr>
          </w:p>
        </w:tc>
        <w:tc>
          <w:tcPr>
            <w:tcW w:w="632" w:type="dxa"/>
            <w:shd w:val="clear" w:color="auto" w:fill="CCEDFF"/>
          </w:tcPr>
          <w:p>
            <w:pPr>
              <w:pStyle w:val="TableParagraph"/>
              <w:rPr>
                <w:sz w:val="14"/>
              </w:rPr>
            </w:pPr>
          </w:p>
        </w:tc>
      </w:tr>
      <w:tr>
        <w:trPr>
          <w:trHeight w:val="203" w:hRule="atLeast"/>
        </w:trPr>
        <w:tc>
          <w:tcPr>
            <w:tcW w:w="6471" w:type="dxa"/>
          </w:tcPr>
          <w:p>
            <w:pPr>
              <w:pStyle w:val="TableParagraph"/>
              <w:spacing w:line="180" w:lineRule="exact" w:before="3"/>
              <w:rPr>
                <w:sz w:val="16"/>
              </w:rPr>
            </w:pPr>
            <w:r>
              <w:rPr>
                <w:w w:val="105"/>
                <w:sz w:val="16"/>
              </w:rPr>
              <w:t>Net</w:t>
            </w:r>
            <w:r>
              <w:rPr>
                <w:spacing w:val="-9"/>
                <w:w w:val="105"/>
                <w:sz w:val="16"/>
              </w:rPr>
              <w:t> </w:t>
            </w:r>
            <w:r>
              <w:rPr>
                <w:w w:val="105"/>
                <w:sz w:val="16"/>
              </w:rPr>
              <w:t>sales</w:t>
            </w:r>
            <w:r>
              <w:rPr>
                <w:spacing w:val="-9"/>
                <w:w w:val="105"/>
                <w:sz w:val="16"/>
              </w:rPr>
              <w:t> </w:t>
            </w:r>
            <w:r>
              <w:rPr>
                <w:w w:val="105"/>
                <w:sz w:val="16"/>
              </w:rPr>
              <w:t>of</w:t>
            </w:r>
            <w:r>
              <w:rPr>
                <w:spacing w:val="-9"/>
                <w:w w:val="105"/>
                <w:sz w:val="16"/>
              </w:rPr>
              <w:t> </w:t>
            </w:r>
            <w:r>
              <w:rPr>
                <w:w w:val="105"/>
                <w:sz w:val="16"/>
              </w:rPr>
              <w:t>reportable</w:t>
            </w:r>
            <w:r>
              <w:rPr>
                <w:spacing w:val="-9"/>
                <w:w w:val="105"/>
                <w:sz w:val="16"/>
              </w:rPr>
              <w:t> </w:t>
            </w:r>
            <w:r>
              <w:rPr>
                <w:w w:val="105"/>
                <w:sz w:val="16"/>
              </w:rPr>
              <w:t>segments</w:t>
            </w:r>
            <w:r>
              <w:rPr>
                <w:spacing w:val="-9"/>
                <w:w w:val="105"/>
                <w:sz w:val="16"/>
              </w:rPr>
              <w:t> </w:t>
            </w:r>
            <w:r>
              <w:rPr>
                <w:w w:val="105"/>
                <w:sz w:val="16"/>
              </w:rPr>
              <w:t>and</w:t>
            </w:r>
            <w:r>
              <w:rPr>
                <w:spacing w:val="-9"/>
                <w:w w:val="105"/>
                <w:sz w:val="16"/>
              </w:rPr>
              <w:t> </w:t>
            </w:r>
            <w:r>
              <w:rPr>
                <w:w w:val="105"/>
                <w:sz w:val="16"/>
              </w:rPr>
              <w:t>All</w:t>
            </w:r>
            <w:r>
              <w:rPr>
                <w:spacing w:val="-9"/>
                <w:w w:val="105"/>
                <w:sz w:val="16"/>
              </w:rPr>
              <w:t> </w:t>
            </w:r>
            <w:r>
              <w:rPr>
                <w:spacing w:val="-2"/>
                <w:w w:val="105"/>
                <w:sz w:val="16"/>
              </w:rPr>
              <w:t>Other</w:t>
            </w:r>
          </w:p>
        </w:tc>
        <w:tc>
          <w:tcPr>
            <w:tcW w:w="973" w:type="dxa"/>
          </w:tcPr>
          <w:p>
            <w:pPr>
              <w:pStyle w:val="TableParagraph"/>
              <w:rPr>
                <w:sz w:val="14"/>
              </w:rPr>
            </w:pPr>
          </w:p>
        </w:tc>
        <w:tc>
          <w:tcPr>
            <w:tcW w:w="660" w:type="dxa"/>
          </w:tcPr>
          <w:p>
            <w:pPr>
              <w:pStyle w:val="TableParagraph"/>
              <w:spacing w:line="180" w:lineRule="exact" w:before="3"/>
              <w:ind w:left="62"/>
              <w:rPr>
                <w:b/>
                <w:sz w:val="16"/>
              </w:rPr>
            </w:pPr>
            <w:r>
              <w:rPr>
                <w:b/>
                <w:spacing w:val="-2"/>
                <w:w w:val="105"/>
                <w:sz w:val="16"/>
              </w:rPr>
              <w:t>14,120</w:t>
            </w:r>
          </w:p>
        </w:tc>
        <w:tc>
          <w:tcPr>
            <w:tcW w:w="1060" w:type="dxa"/>
          </w:tcPr>
          <w:p>
            <w:pPr>
              <w:pStyle w:val="TableParagraph"/>
              <w:rPr>
                <w:sz w:val="14"/>
              </w:rPr>
            </w:pPr>
          </w:p>
        </w:tc>
        <w:tc>
          <w:tcPr>
            <w:tcW w:w="660" w:type="dxa"/>
          </w:tcPr>
          <w:p>
            <w:pPr>
              <w:pStyle w:val="TableParagraph"/>
              <w:spacing w:line="180" w:lineRule="exact" w:before="3"/>
              <w:ind w:left="61"/>
              <w:rPr>
                <w:sz w:val="16"/>
              </w:rPr>
            </w:pPr>
            <w:r>
              <w:rPr>
                <w:spacing w:val="-2"/>
                <w:w w:val="105"/>
                <w:sz w:val="16"/>
              </w:rPr>
              <w:t>11,452</w:t>
            </w:r>
          </w:p>
        </w:tc>
        <w:tc>
          <w:tcPr>
            <w:tcW w:w="1060" w:type="dxa"/>
          </w:tcPr>
          <w:p>
            <w:pPr>
              <w:pStyle w:val="TableParagraph"/>
              <w:rPr>
                <w:sz w:val="14"/>
              </w:rPr>
            </w:pPr>
          </w:p>
        </w:tc>
        <w:tc>
          <w:tcPr>
            <w:tcW w:w="632" w:type="dxa"/>
          </w:tcPr>
          <w:p>
            <w:pPr>
              <w:pStyle w:val="TableParagraph"/>
              <w:spacing w:line="180" w:lineRule="exact" w:before="3"/>
              <w:ind w:left="61"/>
              <w:rPr>
                <w:sz w:val="16"/>
              </w:rPr>
            </w:pPr>
            <w:r>
              <w:rPr>
                <w:spacing w:val="-2"/>
                <w:w w:val="105"/>
                <w:sz w:val="16"/>
              </w:rPr>
              <w:t>11,656</w:t>
            </w:r>
          </w:p>
        </w:tc>
      </w:tr>
      <w:tr>
        <w:trPr>
          <w:trHeight w:val="203" w:hRule="atLeast"/>
        </w:trPr>
        <w:tc>
          <w:tcPr>
            <w:tcW w:w="6471" w:type="dxa"/>
            <w:shd w:val="clear" w:color="auto" w:fill="CCEDFF"/>
          </w:tcPr>
          <w:p>
            <w:pPr>
              <w:pStyle w:val="TableParagraph"/>
              <w:spacing w:line="184" w:lineRule="exact"/>
              <w:rPr>
                <w:sz w:val="14"/>
              </w:rPr>
            </w:pPr>
            <w:r>
              <w:rPr>
                <w:spacing w:val="-2"/>
                <w:w w:val="105"/>
                <w:sz w:val="16"/>
              </w:rPr>
              <w:t>Impact</w:t>
            </w:r>
            <w:r>
              <w:rPr>
                <w:spacing w:val="1"/>
                <w:w w:val="105"/>
                <w:sz w:val="16"/>
              </w:rPr>
              <w:t> </w:t>
            </w:r>
            <w:r>
              <w:rPr>
                <w:spacing w:val="-2"/>
                <w:w w:val="105"/>
                <w:sz w:val="16"/>
              </w:rPr>
              <w:t>of</w:t>
            </w:r>
            <w:r>
              <w:rPr>
                <w:spacing w:val="1"/>
                <w:w w:val="105"/>
                <w:sz w:val="16"/>
              </w:rPr>
              <w:t> </w:t>
            </w:r>
            <w:r>
              <w:rPr>
                <w:spacing w:val="-2"/>
                <w:w w:val="105"/>
                <w:sz w:val="16"/>
              </w:rPr>
              <w:t>foreign</w:t>
            </w:r>
            <w:r>
              <w:rPr>
                <w:spacing w:val="1"/>
                <w:w w:val="105"/>
                <w:sz w:val="16"/>
              </w:rPr>
              <w:t> </w:t>
            </w:r>
            <w:r>
              <w:rPr>
                <w:spacing w:val="-2"/>
                <w:w w:val="105"/>
                <w:sz w:val="16"/>
              </w:rPr>
              <w:t>currency</w:t>
            </w:r>
            <w:r>
              <w:rPr>
                <w:spacing w:val="1"/>
                <w:w w:val="105"/>
                <w:sz w:val="16"/>
              </w:rPr>
              <w:t> </w:t>
            </w:r>
            <w:r>
              <w:rPr>
                <w:spacing w:val="-2"/>
                <w:w w:val="105"/>
                <w:sz w:val="16"/>
              </w:rPr>
              <w:t>movements</w:t>
            </w:r>
            <w:r>
              <w:rPr>
                <w:spacing w:val="3"/>
                <w:w w:val="105"/>
                <w:sz w:val="16"/>
              </w:rPr>
              <w:t> </w:t>
            </w:r>
            <w:r>
              <w:rPr>
                <w:spacing w:val="-5"/>
                <w:w w:val="105"/>
                <w:position w:val="3"/>
                <w:sz w:val="14"/>
              </w:rPr>
              <w:t>(1)</w:t>
            </w:r>
          </w:p>
        </w:tc>
        <w:tc>
          <w:tcPr>
            <w:tcW w:w="973" w:type="dxa"/>
            <w:shd w:val="clear" w:color="auto" w:fill="CCEDFF"/>
          </w:tcPr>
          <w:p>
            <w:pPr>
              <w:pStyle w:val="TableParagraph"/>
              <w:rPr>
                <w:sz w:val="14"/>
              </w:rPr>
            </w:pPr>
          </w:p>
        </w:tc>
        <w:tc>
          <w:tcPr>
            <w:tcW w:w="660" w:type="dxa"/>
            <w:shd w:val="clear" w:color="auto" w:fill="CCEDFF"/>
          </w:tcPr>
          <w:p>
            <w:pPr>
              <w:pStyle w:val="TableParagraph"/>
              <w:spacing w:line="180" w:lineRule="exact" w:before="3"/>
              <w:ind w:left="296"/>
              <w:rPr>
                <w:b/>
                <w:sz w:val="16"/>
              </w:rPr>
            </w:pPr>
            <w:r>
              <w:rPr>
                <w:b/>
                <w:spacing w:val="-4"/>
                <w:w w:val="105"/>
                <w:sz w:val="16"/>
              </w:rPr>
              <w:t>(38)</w:t>
            </w:r>
          </w:p>
        </w:tc>
        <w:tc>
          <w:tcPr>
            <w:tcW w:w="1060" w:type="dxa"/>
            <w:shd w:val="clear" w:color="auto" w:fill="CCEDFF"/>
          </w:tcPr>
          <w:p>
            <w:pPr>
              <w:pStyle w:val="TableParagraph"/>
              <w:rPr>
                <w:sz w:val="14"/>
              </w:rPr>
            </w:pPr>
          </w:p>
        </w:tc>
        <w:tc>
          <w:tcPr>
            <w:tcW w:w="660" w:type="dxa"/>
            <w:shd w:val="clear" w:color="auto" w:fill="CCEDFF"/>
          </w:tcPr>
          <w:p>
            <w:pPr>
              <w:pStyle w:val="TableParagraph"/>
              <w:spacing w:line="180" w:lineRule="exact" w:before="3"/>
              <w:ind w:right="85"/>
              <w:jc w:val="right"/>
              <w:rPr>
                <w:sz w:val="16"/>
              </w:rPr>
            </w:pPr>
            <w:r>
              <w:rPr>
                <w:spacing w:val="-4"/>
                <w:w w:val="105"/>
                <w:sz w:val="16"/>
              </w:rPr>
              <w:t>(44)</w:t>
            </w:r>
          </w:p>
        </w:tc>
        <w:tc>
          <w:tcPr>
            <w:tcW w:w="1060" w:type="dxa"/>
            <w:shd w:val="clear" w:color="auto" w:fill="CCEDFF"/>
          </w:tcPr>
          <w:p>
            <w:pPr>
              <w:pStyle w:val="TableParagraph"/>
              <w:rPr>
                <w:sz w:val="14"/>
              </w:rPr>
            </w:pPr>
          </w:p>
        </w:tc>
        <w:tc>
          <w:tcPr>
            <w:tcW w:w="632" w:type="dxa"/>
            <w:shd w:val="clear" w:color="auto" w:fill="CCEDFF"/>
          </w:tcPr>
          <w:p>
            <w:pPr>
              <w:pStyle w:val="TableParagraph"/>
              <w:spacing w:line="180" w:lineRule="exact" w:before="3"/>
              <w:ind w:left="213"/>
              <w:rPr>
                <w:sz w:val="16"/>
              </w:rPr>
            </w:pPr>
            <w:r>
              <w:rPr>
                <w:spacing w:val="-2"/>
                <w:w w:val="105"/>
                <w:sz w:val="16"/>
              </w:rPr>
              <w:t>(153)</w:t>
            </w:r>
          </w:p>
        </w:tc>
      </w:tr>
      <w:tr>
        <w:trPr>
          <w:trHeight w:val="202" w:hRule="atLeast"/>
        </w:trPr>
        <w:tc>
          <w:tcPr>
            <w:tcW w:w="6471" w:type="dxa"/>
            <w:tcBorders>
              <w:bottom w:val="single" w:sz="6" w:space="0" w:color="000000"/>
            </w:tcBorders>
          </w:tcPr>
          <w:p>
            <w:pPr>
              <w:pStyle w:val="TableParagraph"/>
              <w:spacing w:line="183" w:lineRule="exact"/>
              <w:rPr>
                <w:sz w:val="14"/>
              </w:rPr>
            </w:pPr>
            <w:r>
              <w:rPr>
                <w:sz w:val="16"/>
              </w:rPr>
              <w:t>Cumulative</w:t>
            </w:r>
            <w:r>
              <w:rPr>
                <w:spacing w:val="16"/>
                <w:sz w:val="16"/>
              </w:rPr>
              <w:t> </w:t>
            </w:r>
            <w:r>
              <w:rPr>
                <w:sz w:val="16"/>
              </w:rPr>
              <w:t>adjustment</w:t>
            </w:r>
            <w:r>
              <w:rPr>
                <w:spacing w:val="17"/>
                <w:sz w:val="16"/>
              </w:rPr>
              <w:t> </w:t>
            </w:r>
            <w:r>
              <w:rPr>
                <w:sz w:val="16"/>
              </w:rPr>
              <w:t>related</w:t>
            </w:r>
            <w:r>
              <w:rPr>
                <w:spacing w:val="14"/>
                <w:sz w:val="16"/>
              </w:rPr>
              <w:t> </w:t>
            </w:r>
            <w:r>
              <w:rPr>
                <w:sz w:val="16"/>
              </w:rPr>
              <w:t>to</w:t>
            </w:r>
            <w:r>
              <w:rPr>
                <w:spacing w:val="17"/>
                <w:sz w:val="16"/>
              </w:rPr>
              <w:t> </w:t>
            </w:r>
            <w:r>
              <w:rPr>
                <w:sz w:val="16"/>
              </w:rPr>
              <w:t>customer</w:t>
            </w:r>
            <w:r>
              <w:rPr>
                <w:spacing w:val="17"/>
                <w:sz w:val="16"/>
              </w:rPr>
              <w:t> </w:t>
            </w:r>
            <w:r>
              <w:rPr>
                <w:sz w:val="16"/>
              </w:rPr>
              <w:t>contract</w:t>
            </w:r>
            <w:r>
              <w:rPr>
                <w:spacing w:val="14"/>
                <w:sz w:val="16"/>
              </w:rPr>
              <w:t> </w:t>
            </w:r>
            <w:r>
              <w:rPr>
                <w:spacing w:val="-5"/>
                <w:position w:val="3"/>
                <w:sz w:val="14"/>
              </w:rPr>
              <w:t>(2)</w:t>
            </w:r>
          </w:p>
        </w:tc>
        <w:tc>
          <w:tcPr>
            <w:tcW w:w="973" w:type="dxa"/>
            <w:tcBorders>
              <w:bottom w:val="single" w:sz="6" w:space="0" w:color="000000"/>
            </w:tcBorders>
          </w:tcPr>
          <w:p>
            <w:pPr>
              <w:pStyle w:val="TableParagraph"/>
              <w:rPr>
                <w:sz w:val="14"/>
              </w:rPr>
            </w:pPr>
          </w:p>
        </w:tc>
        <w:tc>
          <w:tcPr>
            <w:tcW w:w="660" w:type="dxa"/>
            <w:tcBorders>
              <w:bottom w:val="single" w:sz="6" w:space="0" w:color="000000"/>
            </w:tcBorders>
          </w:tcPr>
          <w:p>
            <w:pPr>
              <w:pStyle w:val="TableParagraph"/>
              <w:rPr>
                <w:sz w:val="14"/>
              </w:rPr>
            </w:pPr>
          </w:p>
        </w:tc>
        <w:tc>
          <w:tcPr>
            <w:tcW w:w="1060" w:type="dxa"/>
            <w:tcBorders>
              <w:bottom w:val="single" w:sz="6" w:space="0" w:color="000000"/>
            </w:tcBorders>
          </w:tcPr>
          <w:p>
            <w:pPr>
              <w:pStyle w:val="TableParagraph"/>
              <w:rPr>
                <w:sz w:val="14"/>
              </w:rPr>
            </w:pPr>
          </w:p>
        </w:tc>
        <w:tc>
          <w:tcPr>
            <w:tcW w:w="660" w:type="dxa"/>
            <w:tcBorders>
              <w:bottom w:val="single" w:sz="6" w:space="0" w:color="000000"/>
            </w:tcBorders>
          </w:tcPr>
          <w:p>
            <w:pPr>
              <w:pStyle w:val="TableParagraph"/>
              <w:spacing w:line="179" w:lineRule="exact" w:before="3"/>
              <w:ind w:right="85"/>
              <w:jc w:val="right"/>
              <w:rPr>
                <w:sz w:val="16"/>
              </w:rPr>
            </w:pPr>
            <w:r>
              <w:rPr>
                <w:spacing w:val="-2"/>
                <w:w w:val="105"/>
                <w:sz w:val="16"/>
              </w:rPr>
              <w:t>(105)</w:t>
            </w:r>
          </w:p>
        </w:tc>
        <w:tc>
          <w:tcPr>
            <w:tcW w:w="1060" w:type="dxa"/>
            <w:tcBorders>
              <w:bottom w:val="single" w:sz="6" w:space="0" w:color="000000"/>
            </w:tcBorders>
          </w:tcPr>
          <w:p>
            <w:pPr>
              <w:pStyle w:val="TableParagraph"/>
              <w:rPr>
                <w:sz w:val="14"/>
              </w:rPr>
            </w:pPr>
          </w:p>
        </w:tc>
        <w:tc>
          <w:tcPr>
            <w:tcW w:w="632" w:type="dxa"/>
            <w:tcBorders>
              <w:bottom w:val="single" w:sz="6" w:space="0" w:color="000000"/>
            </w:tcBorders>
          </w:tcPr>
          <w:p>
            <w:pPr>
              <w:pStyle w:val="TableParagraph"/>
              <w:rPr>
                <w:sz w:val="14"/>
              </w:rPr>
            </w:pPr>
          </w:p>
        </w:tc>
      </w:tr>
      <w:tr>
        <w:trPr>
          <w:trHeight w:val="199" w:hRule="atLeast"/>
        </w:trPr>
        <w:tc>
          <w:tcPr>
            <w:tcW w:w="6471" w:type="dxa"/>
            <w:tcBorders>
              <w:top w:val="single" w:sz="6" w:space="0" w:color="000000"/>
              <w:bottom w:val="double" w:sz="6" w:space="0" w:color="000000"/>
            </w:tcBorders>
            <w:shd w:val="clear" w:color="auto" w:fill="CCEDFF"/>
          </w:tcPr>
          <w:p>
            <w:pPr>
              <w:pStyle w:val="TableParagraph"/>
              <w:spacing w:line="177" w:lineRule="exact" w:before="2"/>
              <w:rPr>
                <w:sz w:val="16"/>
              </w:rPr>
            </w:pPr>
            <w:r>
              <w:rPr>
                <w:sz w:val="16"/>
              </w:rPr>
              <w:t>Consolidated</w:t>
            </w:r>
            <w:r>
              <w:rPr>
                <w:spacing w:val="16"/>
                <w:sz w:val="16"/>
              </w:rPr>
              <w:t> </w:t>
            </w:r>
            <w:r>
              <w:rPr>
                <w:sz w:val="16"/>
              </w:rPr>
              <w:t>net</w:t>
            </w:r>
            <w:r>
              <w:rPr>
                <w:spacing w:val="17"/>
                <w:sz w:val="16"/>
              </w:rPr>
              <w:t> </w:t>
            </w:r>
            <w:r>
              <w:rPr>
                <w:spacing w:val="-2"/>
                <w:sz w:val="16"/>
              </w:rPr>
              <w:t>sales</w:t>
            </w:r>
          </w:p>
        </w:tc>
        <w:tc>
          <w:tcPr>
            <w:tcW w:w="973" w:type="dxa"/>
            <w:tcBorders>
              <w:top w:val="single" w:sz="6" w:space="0" w:color="000000"/>
              <w:bottom w:val="double" w:sz="6" w:space="0" w:color="000000"/>
            </w:tcBorders>
            <w:shd w:val="clear" w:color="auto" w:fill="CCEDFF"/>
          </w:tcPr>
          <w:p>
            <w:pPr>
              <w:pStyle w:val="TableParagraph"/>
              <w:spacing w:line="177" w:lineRule="exact" w:before="2"/>
              <w:rPr>
                <w:b/>
                <w:sz w:val="16"/>
              </w:rPr>
            </w:pPr>
            <w:r>
              <w:rPr>
                <w:b/>
                <w:spacing w:val="-10"/>
                <w:w w:val="105"/>
                <w:sz w:val="16"/>
              </w:rPr>
              <w:t>$</w:t>
            </w:r>
          </w:p>
        </w:tc>
        <w:tc>
          <w:tcPr>
            <w:tcW w:w="660" w:type="dxa"/>
            <w:tcBorders>
              <w:top w:val="single" w:sz="6" w:space="0" w:color="000000"/>
              <w:bottom w:val="double" w:sz="6" w:space="0" w:color="000000"/>
            </w:tcBorders>
            <w:shd w:val="clear" w:color="auto" w:fill="CCEDFF"/>
          </w:tcPr>
          <w:p>
            <w:pPr>
              <w:pStyle w:val="TableParagraph"/>
              <w:spacing w:line="177" w:lineRule="exact" w:before="2"/>
              <w:ind w:left="62"/>
              <w:rPr>
                <w:b/>
                <w:sz w:val="16"/>
              </w:rPr>
            </w:pPr>
            <w:r>
              <w:rPr>
                <w:b/>
                <w:spacing w:val="-2"/>
                <w:w w:val="105"/>
                <w:sz w:val="16"/>
              </w:rPr>
              <w:t>14,082</w:t>
            </w:r>
          </w:p>
        </w:tc>
        <w:tc>
          <w:tcPr>
            <w:tcW w:w="1060" w:type="dxa"/>
            <w:tcBorders>
              <w:top w:val="single" w:sz="6" w:space="0" w:color="000000"/>
              <w:bottom w:val="double" w:sz="6" w:space="0" w:color="000000"/>
            </w:tcBorders>
            <w:shd w:val="clear" w:color="auto" w:fill="CCEDFF"/>
          </w:tcPr>
          <w:p>
            <w:pPr>
              <w:pStyle w:val="TableParagraph"/>
              <w:spacing w:line="177" w:lineRule="exact" w:before="2"/>
              <w:ind w:left="86"/>
              <w:rPr>
                <w:sz w:val="16"/>
              </w:rPr>
            </w:pPr>
            <w:r>
              <w:rPr>
                <w:spacing w:val="-10"/>
                <w:w w:val="105"/>
                <w:sz w:val="16"/>
              </w:rPr>
              <w:t>$</w:t>
            </w:r>
          </w:p>
        </w:tc>
        <w:tc>
          <w:tcPr>
            <w:tcW w:w="660" w:type="dxa"/>
            <w:tcBorders>
              <w:top w:val="single" w:sz="6" w:space="0" w:color="000000"/>
              <w:bottom w:val="double" w:sz="6" w:space="0" w:color="000000"/>
            </w:tcBorders>
            <w:shd w:val="clear" w:color="auto" w:fill="CCEDFF"/>
          </w:tcPr>
          <w:p>
            <w:pPr>
              <w:pStyle w:val="TableParagraph"/>
              <w:spacing w:line="177" w:lineRule="exact" w:before="2"/>
              <w:ind w:left="61"/>
              <w:rPr>
                <w:sz w:val="16"/>
              </w:rPr>
            </w:pPr>
            <w:r>
              <w:rPr>
                <w:spacing w:val="-2"/>
                <w:w w:val="105"/>
                <w:sz w:val="16"/>
              </w:rPr>
              <w:t>11,303</w:t>
            </w:r>
          </w:p>
        </w:tc>
        <w:tc>
          <w:tcPr>
            <w:tcW w:w="1060" w:type="dxa"/>
            <w:tcBorders>
              <w:top w:val="single" w:sz="6" w:space="0" w:color="000000"/>
              <w:bottom w:val="double" w:sz="6" w:space="0" w:color="000000"/>
            </w:tcBorders>
            <w:shd w:val="clear" w:color="auto" w:fill="CCEDFF"/>
          </w:tcPr>
          <w:p>
            <w:pPr>
              <w:pStyle w:val="TableParagraph"/>
              <w:spacing w:line="177" w:lineRule="exact" w:before="2"/>
              <w:ind w:left="86"/>
              <w:rPr>
                <w:sz w:val="16"/>
              </w:rPr>
            </w:pPr>
            <w:r>
              <w:rPr>
                <w:spacing w:val="-10"/>
                <w:w w:val="105"/>
                <w:sz w:val="16"/>
              </w:rPr>
              <w:t>$</w:t>
            </w:r>
          </w:p>
        </w:tc>
        <w:tc>
          <w:tcPr>
            <w:tcW w:w="632" w:type="dxa"/>
            <w:tcBorders>
              <w:top w:val="single" w:sz="6" w:space="0" w:color="000000"/>
              <w:bottom w:val="double" w:sz="6" w:space="0" w:color="000000"/>
            </w:tcBorders>
            <w:shd w:val="clear" w:color="auto" w:fill="CCEDFF"/>
          </w:tcPr>
          <w:p>
            <w:pPr>
              <w:pStyle w:val="TableParagraph"/>
              <w:spacing w:line="177" w:lineRule="exact" w:before="2"/>
              <w:ind w:left="61"/>
              <w:rPr>
                <w:sz w:val="16"/>
              </w:rPr>
            </w:pPr>
            <w:r>
              <w:rPr>
                <w:spacing w:val="-2"/>
                <w:w w:val="105"/>
                <w:sz w:val="16"/>
              </w:rPr>
              <w:t>11,503</w:t>
            </w:r>
          </w:p>
        </w:tc>
      </w:tr>
    </w:tbl>
    <w:p>
      <w:pPr>
        <w:pStyle w:val="BodyText"/>
        <w:spacing w:before="36"/>
      </w:pPr>
    </w:p>
    <w:p>
      <w:pPr>
        <w:pStyle w:val="ListParagraph"/>
        <w:numPr>
          <w:ilvl w:val="0"/>
          <w:numId w:val="64"/>
        </w:numPr>
        <w:tabs>
          <w:tab w:pos="460" w:val="left" w:leader="none"/>
        </w:tabs>
        <w:spacing w:line="157" w:lineRule="exact" w:before="0" w:after="0"/>
        <w:ind w:left="460" w:right="0" w:hanging="304"/>
        <w:jc w:val="left"/>
        <w:rPr>
          <w:sz w:val="14"/>
        </w:rPr>
      </w:pPr>
      <w:r>
        <w:rPr>
          <w:sz w:val="14"/>
        </w:rPr>
        <w:t>This</w:t>
      </w:r>
      <w:r>
        <w:rPr>
          <w:spacing w:val="-2"/>
          <w:sz w:val="14"/>
        </w:rPr>
        <w:t> </w:t>
      </w:r>
      <w:r>
        <w:rPr>
          <w:sz w:val="14"/>
        </w:rPr>
        <w:t>amount</w:t>
      </w:r>
      <w:r>
        <w:rPr>
          <w:spacing w:val="-2"/>
          <w:sz w:val="14"/>
        </w:rPr>
        <w:t> </w:t>
      </w:r>
      <w:r>
        <w:rPr>
          <w:sz w:val="14"/>
        </w:rPr>
        <w:t>primarily</w:t>
      </w:r>
      <w:r>
        <w:rPr>
          <w:spacing w:val="-1"/>
          <w:sz w:val="14"/>
        </w:rPr>
        <w:t> </w:t>
      </w:r>
      <w:r>
        <w:rPr>
          <w:sz w:val="14"/>
        </w:rPr>
        <w:t>represents</w:t>
      </w:r>
      <w:r>
        <w:rPr>
          <w:spacing w:val="-2"/>
          <w:sz w:val="14"/>
        </w:rPr>
        <w:t> </w:t>
      </w:r>
      <w:r>
        <w:rPr>
          <w:sz w:val="14"/>
        </w:rPr>
        <w:t>the</w:t>
      </w:r>
      <w:r>
        <w:rPr>
          <w:spacing w:val="-2"/>
          <w:sz w:val="14"/>
        </w:rPr>
        <w:t> </w:t>
      </w:r>
      <w:r>
        <w:rPr>
          <w:sz w:val="14"/>
        </w:rPr>
        <w:t>impact</w:t>
      </w:r>
      <w:r>
        <w:rPr>
          <w:spacing w:val="-1"/>
          <w:sz w:val="14"/>
        </w:rPr>
        <w:t> </w:t>
      </w:r>
      <w:r>
        <w:rPr>
          <w:sz w:val="14"/>
        </w:rPr>
        <w:t>of</w:t>
      </w:r>
      <w:r>
        <w:rPr>
          <w:spacing w:val="-2"/>
          <w:sz w:val="14"/>
        </w:rPr>
        <w:t> </w:t>
      </w:r>
      <w:r>
        <w:rPr>
          <w:sz w:val="14"/>
        </w:rPr>
        <w:t>foreign</w:t>
      </w:r>
      <w:r>
        <w:rPr>
          <w:spacing w:val="-2"/>
          <w:sz w:val="14"/>
        </w:rPr>
        <w:t> </w:t>
      </w:r>
      <w:r>
        <w:rPr>
          <w:sz w:val="14"/>
        </w:rPr>
        <w:t>currency</w:t>
      </w:r>
      <w:r>
        <w:rPr>
          <w:spacing w:val="-1"/>
          <w:sz w:val="14"/>
        </w:rPr>
        <w:t> </w:t>
      </w:r>
      <w:r>
        <w:rPr>
          <w:sz w:val="14"/>
        </w:rPr>
        <w:t>adjustments</w:t>
      </w:r>
      <w:r>
        <w:rPr>
          <w:spacing w:val="-2"/>
          <w:sz w:val="14"/>
        </w:rPr>
        <w:t> </w:t>
      </w:r>
      <w:r>
        <w:rPr>
          <w:sz w:val="14"/>
        </w:rPr>
        <w:t>in</w:t>
      </w:r>
      <w:r>
        <w:rPr>
          <w:spacing w:val="-2"/>
          <w:sz w:val="14"/>
        </w:rPr>
        <w:t> </w:t>
      </w:r>
      <w:r>
        <w:rPr>
          <w:sz w:val="14"/>
        </w:rPr>
        <w:t>the</w:t>
      </w:r>
      <w:r>
        <w:rPr>
          <w:spacing w:val="-1"/>
          <w:sz w:val="14"/>
        </w:rPr>
        <w:t> </w:t>
      </w:r>
      <w:r>
        <w:rPr>
          <w:sz w:val="14"/>
        </w:rPr>
        <w:t>Display</w:t>
      </w:r>
      <w:r>
        <w:rPr>
          <w:spacing w:val="-2"/>
          <w:sz w:val="14"/>
        </w:rPr>
        <w:t> </w:t>
      </w:r>
      <w:r>
        <w:rPr>
          <w:sz w:val="14"/>
        </w:rPr>
        <w:t>Technologies</w:t>
      </w:r>
      <w:r>
        <w:rPr>
          <w:spacing w:val="-1"/>
          <w:sz w:val="14"/>
        </w:rPr>
        <w:t> </w:t>
      </w:r>
      <w:r>
        <w:rPr>
          <w:spacing w:val="-2"/>
          <w:sz w:val="14"/>
        </w:rPr>
        <w:t>segment.</w:t>
      </w:r>
    </w:p>
    <w:p>
      <w:pPr>
        <w:pStyle w:val="ListParagraph"/>
        <w:numPr>
          <w:ilvl w:val="0"/>
          <w:numId w:val="64"/>
        </w:numPr>
        <w:tabs>
          <w:tab w:pos="460" w:val="left" w:leader="none"/>
          <w:tab w:pos="462" w:val="left" w:leader="none"/>
        </w:tabs>
        <w:spacing w:line="228" w:lineRule="auto" w:before="3" w:after="0"/>
        <w:ind w:left="462" w:right="280" w:hanging="306"/>
        <w:jc w:val="left"/>
        <w:rPr>
          <w:sz w:val="14"/>
        </w:rPr>
      </w:pPr>
      <w:r>
        <w:rPr>
          <w:sz w:val="14"/>
        </w:rPr>
        <w:t>Amount represents the negative impact of a cumulative adjustment recorded during the</w:t>
      </w:r>
      <w:r>
        <w:rPr>
          <w:spacing w:val="-3"/>
          <w:sz w:val="14"/>
        </w:rPr>
        <w:t> </w:t>
      </w:r>
      <w:r>
        <w:rPr>
          <w:sz w:val="14"/>
        </w:rPr>
        <w:t>first quarter of 2020 to reduce revenue in the amount of $105 million. The adjustment was associated with a</w:t>
      </w:r>
      <w:r>
        <w:rPr>
          <w:spacing w:val="40"/>
          <w:sz w:val="14"/>
        </w:rPr>
        <w:t> </w:t>
      </w:r>
      <w:r>
        <w:rPr>
          <w:sz w:val="14"/>
        </w:rPr>
        <w:t>previously</w:t>
      </w:r>
      <w:r>
        <w:rPr>
          <w:spacing w:val="-1"/>
          <w:sz w:val="14"/>
        </w:rPr>
        <w:t> </w:t>
      </w:r>
      <w:r>
        <w:rPr>
          <w:sz w:val="14"/>
        </w:rPr>
        <w:t>recorded</w:t>
      </w:r>
      <w:r>
        <w:rPr>
          <w:spacing w:val="-1"/>
          <w:sz w:val="14"/>
        </w:rPr>
        <w:t> </w:t>
      </w:r>
      <w:r>
        <w:rPr>
          <w:sz w:val="14"/>
        </w:rPr>
        <w:t>commercial</w:t>
      </w:r>
      <w:r>
        <w:rPr>
          <w:spacing w:val="-1"/>
          <w:sz w:val="14"/>
        </w:rPr>
        <w:t> </w:t>
      </w:r>
      <w:r>
        <w:rPr>
          <w:sz w:val="14"/>
        </w:rPr>
        <w:t>benefit</w:t>
      </w:r>
      <w:r>
        <w:rPr>
          <w:spacing w:val="-1"/>
          <w:sz w:val="14"/>
        </w:rPr>
        <w:t> </w:t>
      </w:r>
      <w:r>
        <w:rPr>
          <w:sz w:val="14"/>
        </w:rPr>
        <w:t>asset,</w:t>
      </w:r>
      <w:r>
        <w:rPr>
          <w:spacing w:val="-1"/>
          <w:sz w:val="14"/>
        </w:rPr>
        <w:t> </w:t>
      </w:r>
      <w:r>
        <w:rPr>
          <w:sz w:val="14"/>
        </w:rPr>
        <w:t>reflected</w:t>
      </w:r>
      <w:r>
        <w:rPr>
          <w:spacing w:val="-1"/>
          <w:sz w:val="14"/>
        </w:rPr>
        <w:t> </w:t>
      </w:r>
      <w:r>
        <w:rPr>
          <w:sz w:val="14"/>
        </w:rPr>
        <w:t>as</w:t>
      </w:r>
      <w:r>
        <w:rPr>
          <w:spacing w:val="-1"/>
          <w:sz w:val="14"/>
        </w:rPr>
        <w:t> </w:t>
      </w:r>
      <w:r>
        <w:rPr>
          <w:sz w:val="14"/>
        </w:rPr>
        <w:t>a</w:t>
      </w:r>
      <w:r>
        <w:rPr>
          <w:spacing w:val="-1"/>
          <w:sz w:val="14"/>
        </w:rPr>
        <w:t> </w:t>
      </w:r>
      <w:r>
        <w:rPr>
          <w:sz w:val="14"/>
        </w:rPr>
        <w:t>prepayment,</w:t>
      </w:r>
      <w:r>
        <w:rPr>
          <w:spacing w:val="-1"/>
          <w:sz w:val="14"/>
        </w:rPr>
        <w:t> </w:t>
      </w:r>
      <w:r>
        <w:rPr>
          <w:sz w:val="14"/>
        </w:rPr>
        <w:t>to</w:t>
      </w:r>
      <w:r>
        <w:rPr>
          <w:spacing w:val="-1"/>
          <w:sz w:val="14"/>
        </w:rPr>
        <w:t> </w:t>
      </w:r>
      <w:r>
        <w:rPr>
          <w:sz w:val="14"/>
        </w:rPr>
        <w:t>a</w:t>
      </w:r>
      <w:r>
        <w:rPr>
          <w:spacing w:val="-1"/>
          <w:sz w:val="14"/>
        </w:rPr>
        <w:t> </w:t>
      </w:r>
      <w:r>
        <w:rPr>
          <w:sz w:val="14"/>
        </w:rPr>
        <w:t>customer</w:t>
      </w:r>
      <w:r>
        <w:rPr>
          <w:spacing w:val="-1"/>
          <w:sz w:val="14"/>
        </w:rPr>
        <w:t> </w:t>
      </w:r>
      <w:r>
        <w:rPr>
          <w:sz w:val="14"/>
        </w:rPr>
        <w:t>with</w:t>
      </w:r>
      <w:r>
        <w:rPr>
          <w:spacing w:val="-1"/>
          <w:sz w:val="14"/>
        </w:rPr>
        <w:t> </w:t>
      </w:r>
      <w:r>
        <w:rPr>
          <w:sz w:val="14"/>
        </w:rPr>
        <w:t>a</w:t>
      </w:r>
      <w:r>
        <w:rPr>
          <w:spacing w:val="-1"/>
          <w:sz w:val="14"/>
        </w:rPr>
        <w:t> </w:t>
      </w:r>
      <w:r>
        <w:rPr>
          <w:sz w:val="14"/>
        </w:rPr>
        <w:t>long-term</w:t>
      </w:r>
      <w:r>
        <w:rPr>
          <w:spacing w:val="-1"/>
          <w:sz w:val="14"/>
        </w:rPr>
        <w:t> </w:t>
      </w:r>
      <w:r>
        <w:rPr>
          <w:sz w:val="14"/>
        </w:rPr>
        <w:t>supply</w:t>
      </w:r>
      <w:r>
        <w:rPr>
          <w:spacing w:val="-1"/>
          <w:sz w:val="14"/>
        </w:rPr>
        <w:t> </w:t>
      </w:r>
      <w:r>
        <w:rPr>
          <w:sz w:val="14"/>
        </w:rPr>
        <w:t>agreement</w:t>
      </w:r>
      <w:r>
        <w:rPr>
          <w:spacing w:val="-1"/>
          <w:sz w:val="14"/>
        </w:rPr>
        <w:t> </w:t>
      </w:r>
      <w:r>
        <w:rPr>
          <w:sz w:val="14"/>
        </w:rPr>
        <w:t>that</w:t>
      </w:r>
      <w:r>
        <w:rPr>
          <w:spacing w:val="-1"/>
          <w:sz w:val="14"/>
        </w:rPr>
        <w:t> </w:t>
      </w:r>
      <w:r>
        <w:rPr>
          <w:sz w:val="14"/>
        </w:rPr>
        <w:t>is</w:t>
      </w:r>
      <w:r>
        <w:rPr>
          <w:spacing w:val="-1"/>
          <w:sz w:val="14"/>
        </w:rPr>
        <w:t> </w:t>
      </w:r>
      <w:r>
        <w:rPr>
          <w:sz w:val="14"/>
        </w:rPr>
        <w:t>exiting</w:t>
      </w:r>
      <w:r>
        <w:rPr>
          <w:spacing w:val="-1"/>
          <w:sz w:val="14"/>
        </w:rPr>
        <w:t> </w:t>
      </w:r>
      <w:r>
        <w:rPr>
          <w:sz w:val="14"/>
        </w:rPr>
        <w:t>its</w:t>
      </w:r>
      <w:r>
        <w:rPr>
          <w:spacing w:val="-1"/>
          <w:sz w:val="14"/>
        </w:rPr>
        <w:t> </w:t>
      </w:r>
      <w:r>
        <w:rPr>
          <w:sz w:val="14"/>
        </w:rPr>
        <w:t>production</w:t>
      </w:r>
      <w:r>
        <w:rPr>
          <w:spacing w:val="-1"/>
          <w:sz w:val="14"/>
        </w:rPr>
        <w:t> </w:t>
      </w:r>
      <w:r>
        <w:rPr>
          <w:sz w:val="14"/>
        </w:rPr>
        <w:t>of</w:t>
      </w:r>
      <w:r>
        <w:rPr>
          <w:spacing w:val="-1"/>
          <w:sz w:val="14"/>
        </w:rPr>
        <w:t> </w:t>
      </w:r>
      <w:r>
        <w:rPr>
          <w:sz w:val="14"/>
        </w:rPr>
        <w:t>LCD</w:t>
      </w:r>
      <w:r>
        <w:rPr>
          <w:spacing w:val="-1"/>
          <w:sz w:val="14"/>
        </w:rPr>
        <w:t> </w:t>
      </w:r>
      <w:r>
        <w:rPr>
          <w:sz w:val="14"/>
        </w:rPr>
        <w:t>panels.</w:t>
      </w:r>
      <w:r>
        <w:rPr>
          <w:spacing w:val="-1"/>
          <w:sz w:val="14"/>
        </w:rPr>
        <w:t> </w:t>
      </w:r>
      <w:r>
        <w:rPr>
          <w:sz w:val="14"/>
        </w:rPr>
        <w:t>Refer</w:t>
      </w:r>
      <w:r>
        <w:rPr>
          <w:spacing w:val="-1"/>
          <w:sz w:val="14"/>
        </w:rPr>
        <w:t> </w:t>
      </w:r>
      <w:r>
        <w:rPr>
          <w:sz w:val="14"/>
        </w:rPr>
        <w:t>to</w:t>
      </w:r>
      <w:r>
        <w:rPr>
          <w:spacing w:val="-1"/>
          <w:sz w:val="14"/>
        </w:rPr>
        <w:t> </w:t>
      </w:r>
      <w:r>
        <w:rPr>
          <w:sz w:val="14"/>
        </w:rPr>
        <w:t>Note</w:t>
      </w:r>
      <w:r>
        <w:rPr>
          <w:spacing w:val="-6"/>
          <w:sz w:val="14"/>
        </w:rPr>
        <w:t> </w:t>
      </w:r>
      <w:r>
        <w:rPr>
          <w:sz w:val="14"/>
        </w:rPr>
        <w:t>5</w:t>
      </w:r>
      <w:r>
        <w:rPr>
          <w:spacing w:val="-2"/>
          <w:sz w:val="14"/>
        </w:rPr>
        <w:t> </w:t>
      </w:r>
      <w:r>
        <w:rPr>
          <w:sz w:val="14"/>
        </w:rPr>
        <w:t>(Revenue)</w:t>
      </w:r>
      <w:r>
        <w:rPr>
          <w:spacing w:val="-2"/>
          <w:sz w:val="14"/>
        </w:rPr>
        <w:t> </w:t>
      </w:r>
      <w:r>
        <w:rPr>
          <w:sz w:val="14"/>
        </w:rPr>
        <w:t>to</w:t>
      </w:r>
      <w:r>
        <w:rPr>
          <w:spacing w:val="40"/>
          <w:sz w:val="14"/>
        </w:rPr>
        <w:t> </w:t>
      </w:r>
      <w:r>
        <w:rPr>
          <w:sz w:val="14"/>
        </w:rPr>
        <w:t>the consolidated financial statements for additional information.</w:t>
      </w:r>
    </w:p>
    <w:p>
      <w:pPr>
        <w:pStyle w:val="BodyText"/>
        <w:spacing w:before="42"/>
        <w:rPr>
          <w:sz w:val="14"/>
        </w:rPr>
      </w:pPr>
    </w:p>
    <w:p>
      <w:pPr>
        <w:pStyle w:val="BodyText"/>
        <w:ind w:left="48"/>
        <w:jc w:val="center"/>
      </w:pPr>
      <w:r>
        <w:rPr>
          <w:spacing w:val="-5"/>
          <w:w w:val="105"/>
        </w:rPr>
        <w:t>118</w:t>
      </w:r>
    </w:p>
    <w:p>
      <w:pPr>
        <w:pStyle w:val="BodyText"/>
        <w:rPr>
          <w:sz w:val="6"/>
        </w:rPr>
      </w:pPr>
      <w:r>
        <w:rPr/>
        <mc:AlternateContent>
          <mc:Choice Requires="wps">
            <w:drawing>
              <wp:anchor distT="0" distB="0" distL="0" distR="0" allowOverlap="1" layoutInCell="1" locked="0" behindDoc="1" simplePos="0" relativeHeight="487756288">
                <wp:simplePos x="0" y="0"/>
                <wp:positionH relativeFrom="page">
                  <wp:posOffset>226488</wp:posOffset>
                </wp:positionH>
                <wp:positionV relativeFrom="paragraph">
                  <wp:posOffset>59051</wp:posOffset>
                </wp:positionV>
                <wp:extent cx="7312659" cy="16510"/>
                <wp:effectExtent l="0" t="0" r="0" b="0"/>
                <wp:wrapTopAndBottom/>
                <wp:docPr id="1093" name="Graphic 1093"/>
                <wp:cNvGraphicFramePr>
                  <a:graphicFrameLocks/>
                </wp:cNvGraphicFramePr>
                <a:graphic>
                  <a:graphicData uri="http://schemas.microsoft.com/office/word/2010/wordprocessingShape">
                    <wps:wsp>
                      <wps:cNvPr id="1093" name="Graphic 1093"/>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49707pt;width:575.775087pt;height:1.273839pt;mso-position-horizontal-relative:page;mso-position-vertical-relative:paragraph;z-index:-15560192;mso-wrap-distance-left:0;mso-wrap-distance-right:0" id="docshape1092" filled="true" fillcolor="#000000" stroked="false">
                <v:fill type="solid"/>
                <w10:wrap type="topAndBottom"/>
              </v:rect>
            </w:pict>
          </mc:Fallback>
        </mc:AlternateContent>
      </w:r>
    </w:p>
    <w:p>
      <w:pPr>
        <w:spacing w:after="0"/>
        <w:rPr>
          <w:sz w:val="6"/>
        </w:rPr>
        <w:sectPr>
          <w:pgSz w:w="12240" w:h="15840"/>
          <w:pgMar w:header="428" w:footer="0" w:top="620" w:bottom="280" w:left="200" w:right="260"/>
        </w:sectPr>
      </w:pPr>
    </w:p>
    <w:p>
      <w:pPr>
        <w:pStyle w:val="BodyText"/>
        <w:spacing w:before="38"/>
      </w:pPr>
    </w:p>
    <w:p>
      <w:pPr>
        <w:pStyle w:val="Heading2"/>
      </w:pPr>
      <w:r>
        <w:rPr>
          <w:w w:val="105"/>
        </w:rPr>
        <w:t>20.</w:t>
      </w:r>
      <w:r>
        <w:rPr>
          <w:spacing w:val="19"/>
          <w:w w:val="105"/>
        </w:rPr>
        <w:t> </w:t>
      </w:r>
      <w:r>
        <w:rPr>
          <w:w w:val="105"/>
        </w:rPr>
        <w:t>Reportable</w:t>
      </w:r>
      <w:r>
        <w:rPr>
          <w:spacing w:val="-10"/>
          <w:w w:val="105"/>
        </w:rPr>
        <w:t> </w:t>
      </w:r>
      <w:r>
        <w:rPr>
          <w:w w:val="105"/>
        </w:rPr>
        <w:t>Segments</w:t>
      </w:r>
      <w:r>
        <w:rPr>
          <w:spacing w:val="-11"/>
          <w:w w:val="105"/>
        </w:rPr>
        <w:t> </w:t>
      </w:r>
      <w:r>
        <w:rPr>
          <w:spacing w:val="-2"/>
          <w:w w:val="105"/>
        </w:rPr>
        <w:t>(Continued)</w:t>
      </w:r>
    </w:p>
    <w:p>
      <w:pPr>
        <w:pStyle w:val="BodyText"/>
        <w:spacing w:before="40"/>
        <w:rPr>
          <w:b/>
        </w:rPr>
      </w:pPr>
    </w:p>
    <w:p>
      <w:pPr>
        <w:pStyle w:val="BodyText"/>
        <w:ind w:left="156"/>
      </w:pPr>
      <w:r>
        <w:rPr>
          <w:spacing w:val="-2"/>
          <w:w w:val="105"/>
        </w:rPr>
        <w:t>Information</w:t>
      </w:r>
      <w:r>
        <w:rPr>
          <w:spacing w:val="2"/>
          <w:w w:val="105"/>
        </w:rPr>
        <w:t> </w:t>
      </w:r>
      <w:r>
        <w:rPr>
          <w:spacing w:val="-2"/>
          <w:w w:val="105"/>
        </w:rPr>
        <w:t>concerning</w:t>
      </w:r>
      <w:r>
        <w:rPr>
          <w:spacing w:val="2"/>
          <w:w w:val="105"/>
        </w:rPr>
        <w:t> </w:t>
      </w:r>
      <w:r>
        <w:rPr>
          <w:spacing w:val="-2"/>
          <w:w w:val="105"/>
        </w:rPr>
        <w:t>principal</w:t>
      </w:r>
      <w:r>
        <w:rPr>
          <w:spacing w:val="2"/>
          <w:w w:val="105"/>
        </w:rPr>
        <w:t> </w:t>
      </w:r>
      <w:r>
        <w:rPr>
          <w:spacing w:val="-2"/>
          <w:w w:val="105"/>
        </w:rPr>
        <w:t>geographic</w:t>
      </w:r>
      <w:r>
        <w:rPr>
          <w:spacing w:val="2"/>
          <w:w w:val="105"/>
        </w:rPr>
        <w:t> </w:t>
      </w:r>
      <w:r>
        <w:rPr>
          <w:spacing w:val="-2"/>
          <w:w w:val="105"/>
        </w:rPr>
        <w:t>areas</w:t>
      </w:r>
      <w:r>
        <w:rPr>
          <w:spacing w:val="2"/>
          <w:w w:val="105"/>
        </w:rPr>
        <w:t> </w:t>
      </w:r>
      <w:r>
        <w:rPr>
          <w:spacing w:val="-2"/>
          <w:w w:val="105"/>
        </w:rPr>
        <w:t>for</w:t>
      </w:r>
      <w:r>
        <w:rPr>
          <w:spacing w:val="2"/>
          <w:w w:val="105"/>
        </w:rPr>
        <w:t> </w:t>
      </w:r>
      <w:r>
        <w:rPr>
          <w:spacing w:val="-2"/>
          <w:w w:val="105"/>
        </w:rPr>
        <w:t>reportable</w:t>
      </w:r>
      <w:r>
        <w:rPr>
          <w:spacing w:val="2"/>
          <w:w w:val="105"/>
        </w:rPr>
        <w:t> </w:t>
      </w:r>
      <w:r>
        <w:rPr>
          <w:spacing w:val="-2"/>
          <w:w w:val="105"/>
        </w:rPr>
        <w:t>segments</w:t>
      </w:r>
      <w:r>
        <w:rPr>
          <w:spacing w:val="2"/>
          <w:w w:val="105"/>
        </w:rPr>
        <w:t> </w:t>
      </w:r>
      <w:r>
        <w:rPr>
          <w:spacing w:val="-2"/>
          <w:w w:val="105"/>
        </w:rPr>
        <w:t>and</w:t>
      </w:r>
      <w:r>
        <w:rPr>
          <w:spacing w:val="2"/>
          <w:w w:val="105"/>
        </w:rPr>
        <w:t> </w:t>
      </w:r>
      <w:r>
        <w:rPr>
          <w:spacing w:val="-2"/>
          <w:w w:val="105"/>
        </w:rPr>
        <w:t>"All</w:t>
      </w:r>
      <w:r>
        <w:rPr>
          <w:spacing w:val="2"/>
          <w:w w:val="105"/>
        </w:rPr>
        <w:t> </w:t>
      </w:r>
      <w:r>
        <w:rPr>
          <w:spacing w:val="-2"/>
          <w:w w:val="105"/>
        </w:rPr>
        <w:t>Other"</w:t>
      </w:r>
      <w:r>
        <w:rPr>
          <w:spacing w:val="2"/>
          <w:w w:val="105"/>
        </w:rPr>
        <w:t> </w:t>
      </w:r>
      <w:r>
        <w:rPr>
          <w:spacing w:val="-2"/>
          <w:w w:val="105"/>
        </w:rPr>
        <w:t>was</w:t>
      </w:r>
      <w:r>
        <w:rPr>
          <w:spacing w:val="2"/>
          <w:w w:val="105"/>
        </w:rPr>
        <w:t> </w:t>
      </w:r>
      <w:r>
        <w:rPr>
          <w:spacing w:val="-2"/>
          <w:w w:val="105"/>
        </w:rPr>
        <w:t>as</w:t>
      </w:r>
      <w:r>
        <w:rPr>
          <w:spacing w:val="2"/>
          <w:w w:val="105"/>
        </w:rPr>
        <w:t> </w:t>
      </w:r>
      <w:r>
        <w:rPr>
          <w:spacing w:val="-2"/>
          <w:w w:val="105"/>
        </w:rPr>
        <w:t>follows</w:t>
      </w:r>
      <w:r>
        <w:rPr>
          <w:spacing w:val="2"/>
          <w:w w:val="105"/>
        </w:rPr>
        <w:t> </w:t>
      </w:r>
      <w:r>
        <w:rPr>
          <w:spacing w:val="-2"/>
          <w:w w:val="105"/>
        </w:rPr>
        <w:t>(in</w:t>
      </w:r>
      <w:r>
        <w:rPr>
          <w:spacing w:val="2"/>
          <w:w w:val="105"/>
        </w:rPr>
        <w:t> </w:t>
      </w:r>
      <w:r>
        <w:rPr>
          <w:spacing w:val="-2"/>
          <w:w w:val="105"/>
        </w:rPr>
        <w:t>millions):</w:t>
      </w:r>
    </w:p>
    <w:p>
      <w:pPr>
        <w:pStyle w:val="BodyText"/>
        <w:spacing w:before="3"/>
        <w:rPr>
          <w:sz w:val="9"/>
        </w:rPr>
      </w:pPr>
      <w:r>
        <w:rPr/>
        <mc:AlternateContent>
          <mc:Choice Requires="wps">
            <w:drawing>
              <wp:anchor distT="0" distB="0" distL="0" distR="0" allowOverlap="1" layoutInCell="1" locked="0" behindDoc="1" simplePos="0" relativeHeight="487756800">
                <wp:simplePos x="0" y="0"/>
                <wp:positionH relativeFrom="page">
                  <wp:posOffset>226479</wp:posOffset>
                </wp:positionH>
                <wp:positionV relativeFrom="paragraph">
                  <wp:posOffset>82868</wp:posOffset>
                </wp:positionV>
                <wp:extent cx="7312659" cy="16510"/>
                <wp:effectExtent l="0" t="0" r="0" b="0"/>
                <wp:wrapTopAndBottom/>
                <wp:docPr id="1094" name="Graphic 1094"/>
                <wp:cNvGraphicFramePr>
                  <a:graphicFrameLocks/>
                </wp:cNvGraphicFramePr>
                <a:graphic>
                  <a:graphicData uri="http://schemas.microsoft.com/office/word/2010/wordprocessingShape">
                    <wps:wsp>
                      <wps:cNvPr id="1094" name="Graphic 1094"/>
                      <wps:cNvSpPr/>
                      <wps:spPr>
                        <a:xfrm>
                          <a:off x="0" y="0"/>
                          <a:ext cx="7312659" cy="16510"/>
                        </a:xfrm>
                        <a:custGeom>
                          <a:avLst/>
                          <a:gdLst/>
                          <a:ahLst/>
                          <a:cxnLst/>
                          <a:rect l="l" t="t" r="r" b="b"/>
                          <a:pathLst>
                            <a:path w="7312659" h="16510">
                              <a:moveTo>
                                <a:pt x="7312342" y="0"/>
                              </a:moveTo>
                              <a:lnTo>
                                <a:pt x="7312342" y="0"/>
                              </a:lnTo>
                              <a:lnTo>
                                <a:pt x="0" y="0"/>
                              </a:lnTo>
                              <a:lnTo>
                                <a:pt x="0" y="16179"/>
                              </a:lnTo>
                              <a:lnTo>
                                <a:pt x="7312342" y="16179"/>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pt;margin-top:6.525093pt;width:575.775027pt;height:1.274pt;mso-position-horizontal-relative:page;mso-position-vertical-relative:paragraph;z-index:-15559680;mso-wrap-distance-left:0;mso-wrap-distance-right:0" id="docshape1093" filled="true" fillcolor="#000000" stroked="false">
                <v:fill type="solid"/>
                <w10:wrap type="topAndBottom"/>
              </v:rect>
            </w:pict>
          </mc:Fallback>
        </mc:AlternateContent>
      </w:r>
    </w:p>
    <w:p>
      <w:pPr>
        <w:tabs>
          <w:tab w:pos="7379" w:val="left" w:leader="none"/>
          <w:tab w:pos="10130" w:val="left" w:leader="none"/>
        </w:tabs>
        <w:spacing w:before="4"/>
        <w:ind w:left="4621" w:right="0" w:firstLine="0"/>
        <w:jc w:val="left"/>
        <w:rPr>
          <w:sz w:val="16"/>
        </w:rPr>
      </w:pPr>
      <w:r>
        <w:rPr>
          <w:b/>
          <w:spacing w:val="-4"/>
          <w:w w:val="105"/>
          <w:sz w:val="16"/>
        </w:rPr>
        <w:t>2021</w:t>
      </w:r>
      <w:r>
        <w:rPr>
          <w:b/>
          <w:sz w:val="16"/>
        </w:rPr>
        <w:tab/>
      </w:r>
      <w:r>
        <w:rPr>
          <w:spacing w:val="-4"/>
          <w:w w:val="105"/>
          <w:sz w:val="16"/>
        </w:rPr>
        <w:t>2020</w:t>
      </w:r>
      <w:r>
        <w:rPr>
          <w:sz w:val="16"/>
        </w:rPr>
        <w:tab/>
      </w:r>
      <w:r>
        <w:rPr>
          <w:spacing w:val="-4"/>
          <w:w w:val="105"/>
          <w:sz w:val="16"/>
        </w:rPr>
        <w:t>2019</w:t>
      </w:r>
    </w:p>
    <w:p>
      <w:pPr>
        <w:spacing w:after="0"/>
        <w:jc w:val="left"/>
        <w:rPr>
          <w:sz w:val="16"/>
        </w:rPr>
        <w:sectPr>
          <w:pgSz w:w="12240" w:h="15840"/>
          <w:pgMar w:header="428" w:footer="0" w:top="620" w:bottom="280" w:left="200" w:right="260"/>
        </w:sectPr>
      </w:pPr>
    </w:p>
    <w:p>
      <w:pPr>
        <w:pStyle w:val="BodyText"/>
        <w:spacing w:before="52"/>
      </w:pPr>
    </w:p>
    <w:p>
      <w:pPr>
        <w:pStyle w:val="Heading2"/>
        <w:ind w:left="0"/>
        <w:jc w:val="right"/>
      </w:pPr>
      <w:r>
        <w:rPr>
          <w:w w:val="105"/>
        </w:rPr>
        <w:t>Net</w:t>
      </w:r>
      <w:r>
        <w:rPr>
          <w:spacing w:val="-9"/>
          <w:w w:val="105"/>
        </w:rPr>
        <w:t> </w:t>
      </w:r>
      <w:r>
        <w:rPr>
          <w:w w:val="105"/>
        </w:rPr>
        <w:t>sales</w:t>
      </w:r>
      <w:r>
        <w:rPr>
          <w:spacing w:val="-9"/>
          <w:w w:val="105"/>
        </w:rPr>
        <w:t> </w:t>
      </w:r>
      <w:r>
        <w:rPr>
          <w:spacing w:val="-2"/>
          <w:w w:val="105"/>
        </w:rPr>
        <w:t>(1)(3)</w:t>
      </w:r>
    </w:p>
    <w:p>
      <w:pPr>
        <w:spacing w:before="32"/>
        <w:ind w:left="436" w:right="0" w:firstLine="0"/>
        <w:jc w:val="left"/>
        <w:rPr>
          <w:b/>
          <w:sz w:val="16"/>
        </w:rPr>
      </w:pPr>
      <w:r>
        <w:rPr/>
        <w:br w:type="column"/>
      </w:r>
      <w:r>
        <w:rPr>
          <w:b/>
          <w:sz w:val="16"/>
        </w:rPr>
        <w:t>Long-</w:t>
      </w:r>
      <w:r>
        <w:rPr>
          <w:b/>
          <w:spacing w:val="-2"/>
          <w:sz w:val="16"/>
        </w:rPr>
        <w:t>lived</w:t>
      </w:r>
    </w:p>
    <w:p>
      <w:pPr>
        <w:tabs>
          <w:tab w:pos="1678" w:val="left" w:leader="none"/>
        </w:tabs>
        <w:spacing w:before="20"/>
        <w:ind w:left="401" w:right="0" w:firstLine="0"/>
        <w:jc w:val="left"/>
        <w:rPr>
          <w:sz w:val="16"/>
        </w:rPr>
      </w:pPr>
      <w:r>
        <w:rPr/>
        <mc:AlternateContent>
          <mc:Choice Requires="wps">
            <w:drawing>
              <wp:anchor distT="0" distB="0" distL="0" distR="0" allowOverlap="1" layoutInCell="1" locked="0" behindDoc="0" simplePos="0" relativeHeight="15898624">
                <wp:simplePos x="0" y="0"/>
                <wp:positionH relativeFrom="page">
                  <wp:posOffset>2361946</wp:posOffset>
                </wp:positionH>
                <wp:positionV relativeFrom="paragraph">
                  <wp:posOffset>-126713</wp:posOffset>
                </wp:positionV>
                <wp:extent cx="1682750" cy="8255"/>
                <wp:effectExtent l="0" t="0" r="0" b="0"/>
                <wp:wrapNone/>
                <wp:docPr id="1095" name="Graphic 1095"/>
                <wp:cNvGraphicFramePr>
                  <a:graphicFrameLocks/>
                </wp:cNvGraphicFramePr>
                <a:graphic>
                  <a:graphicData uri="http://schemas.microsoft.com/office/word/2010/wordprocessingShape">
                    <wps:wsp>
                      <wps:cNvPr id="1095" name="Graphic 1095"/>
                      <wps:cNvSpPr/>
                      <wps:spPr>
                        <a:xfrm>
                          <a:off x="0" y="0"/>
                          <a:ext cx="1682750" cy="8255"/>
                        </a:xfrm>
                        <a:custGeom>
                          <a:avLst/>
                          <a:gdLst/>
                          <a:ahLst/>
                          <a:cxnLst/>
                          <a:rect l="l" t="t" r="r" b="b"/>
                          <a:pathLst>
                            <a:path w="1682750" h="8255">
                              <a:moveTo>
                                <a:pt x="1682483" y="0"/>
                              </a:moveTo>
                              <a:lnTo>
                                <a:pt x="1609686" y="0"/>
                              </a:lnTo>
                              <a:lnTo>
                                <a:pt x="0" y="0"/>
                              </a:lnTo>
                              <a:lnTo>
                                <a:pt x="0" y="8089"/>
                              </a:lnTo>
                              <a:lnTo>
                                <a:pt x="1609686" y="8089"/>
                              </a:lnTo>
                              <a:lnTo>
                                <a:pt x="1682483" y="8089"/>
                              </a:lnTo>
                              <a:lnTo>
                                <a:pt x="1682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5.980011pt;margin-top:-9.977417pt;width:132.5pt;height:.65pt;mso-position-horizontal-relative:page;mso-position-vertical-relative:paragraph;z-index:15898624" id="docshape1094" coordorigin="3720,-200" coordsize="2650,13" path="m6369,-200l6255,-200,3720,-200,3720,-187,6255,-187,6369,-187,6369,-20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99136">
                <wp:simplePos x="0" y="0"/>
                <wp:positionH relativeFrom="page">
                  <wp:posOffset>4117225</wp:posOffset>
                </wp:positionH>
                <wp:positionV relativeFrom="paragraph">
                  <wp:posOffset>-126713</wp:posOffset>
                </wp:positionV>
                <wp:extent cx="1674495" cy="8255"/>
                <wp:effectExtent l="0" t="0" r="0" b="0"/>
                <wp:wrapNone/>
                <wp:docPr id="1096" name="Graphic 1096"/>
                <wp:cNvGraphicFramePr>
                  <a:graphicFrameLocks/>
                </wp:cNvGraphicFramePr>
                <a:graphic>
                  <a:graphicData uri="http://schemas.microsoft.com/office/word/2010/wordprocessingShape">
                    <wps:wsp>
                      <wps:cNvPr id="1096" name="Graphic 1096"/>
                      <wps:cNvSpPr/>
                      <wps:spPr>
                        <a:xfrm>
                          <a:off x="0" y="0"/>
                          <a:ext cx="1674495" cy="8255"/>
                        </a:xfrm>
                        <a:custGeom>
                          <a:avLst/>
                          <a:gdLst/>
                          <a:ahLst/>
                          <a:cxnLst/>
                          <a:rect l="l" t="t" r="r" b="b"/>
                          <a:pathLst>
                            <a:path w="1674495" h="8255">
                              <a:moveTo>
                                <a:pt x="1674406" y="0"/>
                              </a:moveTo>
                              <a:lnTo>
                                <a:pt x="1601597" y="0"/>
                              </a:lnTo>
                              <a:lnTo>
                                <a:pt x="0" y="0"/>
                              </a:lnTo>
                              <a:lnTo>
                                <a:pt x="0" y="8089"/>
                              </a:lnTo>
                              <a:lnTo>
                                <a:pt x="1601597" y="8089"/>
                              </a:lnTo>
                              <a:lnTo>
                                <a:pt x="1674406" y="8089"/>
                              </a:lnTo>
                              <a:lnTo>
                                <a:pt x="16744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4.19101pt;margin-top:-9.977417pt;width:131.85pt;height:.65pt;mso-position-horizontal-relative:page;mso-position-vertical-relative:paragraph;z-index:15899136" id="docshape1095" coordorigin="6484,-200" coordsize="2637,13" path="m9121,-200l9006,-200,6484,-200,6484,-187,9006,-187,9121,-187,9121,-200xe" filled="true" fillcolor="#000000" stroked="false">
                <v:path arrowok="t"/>
                <v:fill type="solid"/>
                <w10:wrap type="none"/>
              </v:shape>
            </w:pict>
          </mc:Fallback>
        </mc:AlternateContent>
      </w:r>
      <w:r>
        <w:rPr>
          <w:b/>
          <w:spacing w:val="-2"/>
          <w:w w:val="105"/>
          <w:sz w:val="16"/>
        </w:rPr>
        <w:t>assets (2)(3)</w:t>
      </w:r>
      <w:r>
        <w:rPr>
          <w:b/>
          <w:sz w:val="16"/>
        </w:rPr>
        <w:tab/>
      </w:r>
      <w:r>
        <w:rPr>
          <w:w w:val="105"/>
          <w:sz w:val="16"/>
        </w:rPr>
        <w:t>Net</w:t>
      </w:r>
      <w:r>
        <w:rPr>
          <w:spacing w:val="-9"/>
          <w:w w:val="105"/>
          <w:sz w:val="16"/>
        </w:rPr>
        <w:t> </w:t>
      </w:r>
      <w:r>
        <w:rPr>
          <w:w w:val="105"/>
          <w:sz w:val="16"/>
        </w:rPr>
        <w:t>sales</w:t>
      </w:r>
      <w:r>
        <w:rPr>
          <w:spacing w:val="-8"/>
          <w:w w:val="105"/>
          <w:sz w:val="16"/>
        </w:rPr>
        <w:t> </w:t>
      </w:r>
      <w:r>
        <w:rPr>
          <w:spacing w:val="-2"/>
          <w:w w:val="105"/>
          <w:sz w:val="16"/>
        </w:rPr>
        <w:t>(1)(3)</w:t>
      </w:r>
    </w:p>
    <w:p>
      <w:pPr>
        <w:pStyle w:val="BodyText"/>
        <w:spacing w:before="32"/>
        <w:ind w:left="453"/>
      </w:pPr>
      <w:r>
        <w:rPr/>
        <w:br w:type="column"/>
      </w:r>
      <w:r>
        <w:rPr/>
        <w:t>Long-</w:t>
      </w:r>
      <w:r>
        <w:rPr>
          <w:spacing w:val="-2"/>
        </w:rPr>
        <w:t>lived</w:t>
      </w:r>
    </w:p>
    <w:p>
      <w:pPr>
        <w:pStyle w:val="BodyText"/>
        <w:tabs>
          <w:tab w:pos="1778" w:val="left" w:leader="none"/>
        </w:tabs>
        <w:spacing w:before="20"/>
        <w:ind w:left="413"/>
      </w:pPr>
      <w:r>
        <w:rPr/>
        <mc:AlternateContent>
          <mc:Choice Requires="wps">
            <w:drawing>
              <wp:anchor distT="0" distB="0" distL="0" distR="0" allowOverlap="1" layoutInCell="1" locked="0" behindDoc="0" simplePos="0" relativeHeight="15899648">
                <wp:simplePos x="0" y="0"/>
                <wp:positionH relativeFrom="page">
                  <wp:posOffset>5864428</wp:posOffset>
                </wp:positionH>
                <wp:positionV relativeFrom="paragraph">
                  <wp:posOffset>-126713</wp:posOffset>
                </wp:positionV>
                <wp:extent cx="1674495" cy="8255"/>
                <wp:effectExtent l="0" t="0" r="0" b="0"/>
                <wp:wrapNone/>
                <wp:docPr id="1097" name="Graphic 1097"/>
                <wp:cNvGraphicFramePr>
                  <a:graphicFrameLocks/>
                </wp:cNvGraphicFramePr>
                <a:graphic>
                  <a:graphicData uri="http://schemas.microsoft.com/office/word/2010/wordprocessingShape">
                    <wps:wsp>
                      <wps:cNvPr id="1097" name="Graphic 1097"/>
                      <wps:cNvSpPr/>
                      <wps:spPr>
                        <a:xfrm>
                          <a:off x="0" y="0"/>
                          <a:ext cx="1674495" cy="8255"/>
                        </a:xfrm>
                        <a:custGeom>
                          <a:avLst/>
                          <a:gdLst/>
                          <a:ahLst/>
                          <a:cxnLst/>
                          <a:rect l="l" t="t" r="r" b="b"/>
                          <a:pathLst>
                            <a:path w="1674495" h="8255">
                              <a:moveTo>
                                <a:pt x="1674393" y="0"/>
                              </a:moveTo>
                              <a:lnTo>
                                <a:pt x="1601597" y="0"/>
                              </a:lnTo>
                              <a:lnTo>
                                <a:pt x="0" y="0"/>
                              </a:lnTo>
                              <a:lnTo>
                                <a:pt x="0" y="8089"/>
                              </a:lnTo>
                              <a:lnTo>
                                <a:pt x="1601597" y="8089"/>
                              </a:lnTo>
                              <a:lnTo>
                                <a:pt x="1674393" y="8089"/>
                              </a:lnTo>
                              <a:lnTo>
                                <a:pt x="16743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1.766022pt;margin-top:-9.977417pt;width:131.85pt;height:.65pt;mso-position-horizontal-relative:page;mso-position-vertical-relative:paragraph;z-index:15899648" id="docshape1096" coordorigin="9235,-200" coordsize="2637,13" path="m11872,-200l11758,-200,9235,-200,9235,-187,11758,-187,11872,-187,11872,-200xe" filled="true" fillcolor="#000000" stroked="false">
                <v:path arrowok="t"/>
                <v:fill type="solid"/>
                <w10:wrap type="none"/>
              </v:shape>
            </w:pict>
          </mc:Fallback>
        </mc:AlternateContent>
      </w:r>
      <w:r>
        <w:rPr>
          <w:spacing w:val="-2"/>
          <w:w w:val="105"/>
        </w:rPr>
        <w:t>assets (2)(3)</w:t>
      </w:r>
      <w:r>
        <w:rPr/>
        <w:tab/>
      </w:r>
      <w:r>
        <w:rPr>
          <w:w w:val="105"/>
        </w:rPr>
        <w:t>Net</w:t>
      </w:r>
      <w:r>
        <w:rPr>
          <w:spacing w:val="-9"/>
          <w:w w:val="105"/>
        </w:rPr>
        <w:t> </w:t>
      </w:r>
      <w:r>
        <w:rPr>
          <w:w w:val="105"/>
        </w:rPr>
        <w:t>sales</w:t>
      </w:r>
      <w:r>
        <w:rPr>
          <w:spacing w:val="-8"/>
          <w:w w:val="105"/>
        </w:rPr>
        <w:t> </w:t>
      </w:r>
      <w:r>
        <w:rPr>
          <w:spacing w:val="-5"/>
          <w:w w:val="105"/>
        </w:rPr>
        <w:t>(1)</w:t>
      </w:r>
    </w:p>
    <w:p>
      <w:pPr>
        <w:pStyle w:val="BodyText"/>
        <w:spacing w:line="266" w:lineRule="auto" w:before="32"/>
        <w:ind w:left="606" w:right="426" w:hanging="58"/>
      </w:pPr>
      <w:r>
        <w:rPr/>
        <w:br w:type="column"/>
      </w:r>
      <w:r>
        <w:rPr>
          <w:spacing w:val="-2"/>
          <w:w w:val="105"/>
        </w:rPr>
        <w:t>Long-</w:t>
      </w:r>
      <w:r>
        <w:rPr>
          <w:spacing w:val="-2"/>
          <w:w w:val="105"/>
        </w:rPr>
        <w:t>lived</w:t>
      </w:r>
      <w:r>
        <w:rPr>
          <w:w w:val="105"/>
        </w:rPr>
        <w:t> assets</w:t>
      </w:r>
      <w:r>
        <w:rPr>
          <w:spacing w:val="-1"/>
          <w:w w:val="105"/>
        </w:rPr>
        <w:t> </w:t>
      </w:r>
      <w:r>
        <w:rPr>
          <w:w w:val="105"/>
        </w:rPr>
        <w:t>(2)</w:t>
      </w:r>
    </w:p>
    <w:p>
      <w:pPr>
        <w:spacing w:after="0" w:line="266" w:lineRule="auto"/>
        <w:sectPr>
          <w:type w:val="continuous"/>
          <w:pgSz w:w="12240" w:h="15840"/>
          <w:pgMar w:header="428" w:footer="0" w:top="700" w:bottom="280" w:left="200" w:right="260"/>
          <w:cols w:num="4" w:equalWidth="0">
            <w:col w:w="4623" w:space="40"/>
            <w:col w:w="2709" w:space="39"/>
            <w:col w:w="2616" w:space="40"/>
            <w:col w:w="1713"/>
          </w:cols>
        </w:sectPr>
      </w:pPr>
    </w:p>
    <w:p>
      <w:pPr>
        <w:pStyle w:val="BodyText"/>
        <w:spacing w:line="20" w:lineRule="exact"/>
        <w:ind w:left="156"/>
        <w:rPr>
          <w:sz w:val="2"/>
        </w:rPr>
      </w:pPr>
      <w:r>
        <w:rPr>
          <w:sz w:val="2"/>
        </w:rPr>
        <mc:AlternateContent>
          <mc:Choice Requires="wps">
            <w:drawing>
              <wp:inline distT="0" distB="0" distL="0" distR="0">
                <wp:extent cx="7312659" cy="8255"/>
                <wp:effectExtent l="0" t="0" r="0" b="0"/>
                <wp:docPr id="1098" name="Group 1098"/>
                <wp:cNvGraphicFramePr>
                  <a:graphicFrameLocks/>
                </wp:cNvGraphicFramePr>
                <a:graphic>
                  <a:graphicData uri="http://schemas.microsoft.com/office/word/2010/wordprocessingGroup">
                    <wpg:wgp>
                      <wpg:cNvPr id="1098" name="Group 1098"/>
                      <wpg:cNvGrpSpPr/>
                      <wpg:grpSpPr>
                        <a:xfrm>
                          <a:off x="0" y="0"/>
                          <a:ext cx="7312659" cy="8255"/>
                          <a:chExt cx="7312659" cy="8255"/>
                        </a:xfrm>
                      </wpg:grpSpPr>
                      <wps:wsp>
                        <wps:cNvPr id="1099" name="Graphic 1099"/>
                        <wps:cNvSpPr/>
                        <wps:spPr>
                          <a:xfrm>
                            <a:off x="-9" y="8"/>
                            <a:ext cx="7312659" cy="8255"/>
                          </a:xfrm>
                          <a:custGeom>
                            <a:avLst/>
                            <a:gdLst/>
                            <a:ahLst/>
                            <a:cxnLst/>
                            <a:rect l="l" t="t" r="r" b="b"/>
                            <a:pathLst>
                              <a:path w="7312659" h="8255">
                                <a:moveTo>
                                  <a:pt x="7312342" y="0"/>
                                </a:moveTo>
                                <a:lnTo>
                                  <a:pt x="7312342" y="0"/>
                                </a:lnTo>
                                <a:lnTo>
                                  <a:pt x="0" y="0"/>
                                </a:lnTo>
                                <a:lnTo>
                                  <a:pt x="0" y="8089"/>
                                </a:lnTo>
                                <a:lnTo>
                                  <a:pt x="7312342" y="8089"/>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65pt;mso-position-horizontal-relative:char;mso-position-vertical-relative:line" id="docshapegroup1097" coordorigin="0,0" coordsize="11516,13">
                <v:rect style="position:absolute;left:-1;top:0;width:11516;height:13" id="docshape1098" filled="true" fillcolor="#000000" stroked="false">
                  <v:fill type="solid"/>
                </v:rect>
              </v:group>
            </w:pict>
          </mc:Fallback>
        </mc:AlternateContent>
      </w:r>
      <w:r>
        <w:rPr>
          <w:sz w:val="2"/>
        </w:rPr>
      </w:r>
    </w:p>
    <w:p>
      <w:pPr>
        <w:pStyle w:val="BodyText"/>
        <w:spacing w:before="8" w:after="1"/>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9"/>
        <w:gridCol w:w="2108"/>
        <w:gridCol w:w="1376"/>
        <w:gridCol w:w="1376"/>
        <w:gridCol w:w="1376"/>
        <w:gridCol w:w="1376"/>
        <w:gridCol w:w="1376"/>
      </w:tblGrid>
      <w:tr>
        <w:trPr>
          <w:trHeight w:val="203" w:hRule="atLeast"/>
        </w:trPr>
        <w:tc>
          <w:tcPr>
            <w:tcW w:w="2529" w:type="dxa"/>
            <w:shd w:val="clear" w:color="auto" w:fill="CCEDFF"/>
          </w:tcPr>
          <w:p>
            <w:pPr>
              <w:pStyle w:val="TableParagraph"/>
              <w:spacing w:line="180" w:lineRule="exact" w:before="3"/>
              <w:rPr>
                <w:sz w:val="16"/>
              </w:rPr>
            </w:pPr>
            <w:r>
              <w:rPr>
                <w:w w:val="105"/>
                <w:sz w:val="16"/>
              </w:rPr>
              <w:t>North</w:t>
            </w:r>
            <w:r>
              <w:rPr>
                <w:spacing w:val="-9"/>
                <w:w w:val="105"/>
                <w:sz w:val="16"/>
              </w:rPr>
              <w:t> </w:t>
            </w:r>
            <w:r>
              <w:rPr>
                <w:spacing w:val="-2"/>
                <w:w w:val="105"/>
                <w:sz w:val="16"/>
              </w:rPr>
              <w:t>America:</w:t>
            </w:r>
          </w:p>
        </w:tc>
        <w:tc>
          <w:tcPr>
            <w:tcW w:w="8988" w:type="dxa"/>
            <w:gridSpan w:val="6"/>
            <w:shd w:val="clear" w:color="auto" w:fill="CCEDFF"/>
          </w:tcPr>
          <w:p>
            <w:pPr>
              <w:pStyle w:val="TableParagraph"/>
              <w:rPr>
                <w:sz w:val="14"/>
              </w:rPr>
            </w:pPr>
          </w:p>
        </w:tc>
      </w:tr>
      <w:tr>
        <w:trPr>
          <w:trHeight w:val="203" w:hRule="atLeast"/>
        </w:trPr>
        <w:tc>
          <w:tcPr>
            <w:tcW w:w="2529" w:type="dxa"/>
          </w:tcPr>
          <w:p>
            <w:pPr>
              <w:pStyle w:val="TableParagraph"/>
              <w:spacing w:line="180" w:lineRule="exact" w:before="3"/>
              <w:ind w:left="152"/>
              <w:rPr>
                <w:sz w:val="16"/>
              </w:rPr>
            </w:pPr>
            <w:r>
              <w:rPr>
                <w:w w:val="105"/>
                <w:sz w:val="16"/>
              </w:rPr>
              <w:t>United</w:t>
            </w:r>
            <w:r>
              <w:rPr>
                <w:spacing w:val="-10"/>
                <w:w w:val="105"/>
                <w:sz w:val="16"/>
              </w:rPr>
              <w:t> </w:t>
            </w:r>
            <w:r>
              <w:rPr>
                <w:spacing w:val="-2"/>
                <w:w w:val="105"/>
                <w:sz w:val="16"/>
              </w:rPr>
              <w:t>States</w:t>
            </w:r>
          </w:p>
        </w:tc>
        <w:tc>
          <w:tcPr>
            <w:tcW w:w="2108" w:type="dxa"/>
          </w:tcPr>
          <w:p>
            <w:pPr>
              <w:pStyle w:val="TableParagraph"/>
              <w:tabs>
                <w:tab w:pos="786" w:val="left" w:leader="none"/>
              </w:tabs>
              <w:spacing w:line="180" w:lineRule="exact" w:before="3"/>
              <w:ind w:right="112"/>
              <w:jc w:val="right"/>
              <w:rPr>
                <w:b/>
                <w:sz w:val="16"/>
              </w:rPr>
            </w:pPr>
            <w:r>
              <w:rPr>
                <w:b/>
                <w:spacing w:val="-10"/>
                <w:w w:val="105"/>
                <w:sz w:val="16"/>
              </w:rPr>
              <w:t>$</w:t>
            </w:r>
            <w:r>
              <w:rPr>
                <w:b/>
                <w:sz w:val="16"/>
              </w:rPr>
              <w:tab/>
            </w:r>
            <w:r>
              <w:rPr>
                <w:b/>
                <w:spacing w:val="-4"/>
                <w:w w:val="105"/>
                <w:sz w:val="16"/>
              </w:rPr>
              <w:t>4,539</w:t>
            </w:r>
          </w:p>
        </w:tc>
        <w:tc>
          <w:tcPr>
            <w:tcW w:w="1376" w:type="dxa"/>
          </w:tcPr>
          <w:p>
            <w:pPr>
              <w:pStyle w:val="TableParagraph"/>
              <w:tabs>
                <w:tab w:pos="773" w:val="left" w:leader="none"/>
              </w:tabs>
              <w:spacing w:line="180" w:lineRule="exact" w:before="3"/>
              <w:ind w:right="113"/>
              <w:jc w:val="right"/>
              <w:rPr>
                <w:b/>
                <w:sz w:val="16"/>
              </w:rPr>
            </w:pPr>
            <w:r>
              <w:rPr>
                <w:b/>
                <w:spacing w:val="-10"/>
                <w:w w:val="105"/>
                <w:sz w:val="16"/>
              </w:rPr>
              <w:t>$</w:t>
            </w:r>
            <w:r>
              <w:rPr>
                <w:b/>
                <w:sz w:val="16"/>
              </w:rPr>
              <w:tab/>
            </w:r>
            <w:r>
              <w:rPr>
                <w:b/>
                <w:spacing w:val="-2"/>
                <w:w w:val="105"/>
                <w:sz w:val="16"/>
              </w:rPr>
              <w:t>8,600</w:t>
            </w:r>
          </w:p>
        </w:tc>
        <w:tc>
          <w:tcPr>
            <w:tcW w:w="1376" w:type="dxa"/>
          </w:tcPr>
          <w:p>
            <w:pPr>
              <w:pStyle w:val="TableParagraph"/>
              <w:tabs>
                <w:tab w:pos="773" w:val="left" w:leader="none"/>
              </w:tabs>
              <w:spacing w:line="180" w:lineRule="exact" w:before="3"/>
              <w:ind w:right="113"/>
              <w:jc w:val="right"/>
              <w:rPr>
                <w:sz w:val="16"/>
              </w:rPr>
            </w:pPr>
            <w:r>
              <w:rPr>
                <w:spacing w:val="-10"/>
                <w:w w:val="105"/>
                <w:sz w:val="16"/>
              </w:rPr>
              <w:t>$</w:t>
            </w:r>
            <w:r>
              <w:rPr>
                <w:sz w:val="16"/>
              </w:rPr>
              <w:tab/>
            </w:r>
            <w:r>
              <w:rPr>
                <w:spacing w:val="-2"/>
                <w:w w:val="105"/>
                <w:sz w:val="16"/>
              </w:rPr>
              <w:t>3,412</w:t>
            </w:r>
          </w:p>
        </w:tc>
        <w:tc>
          <w:tcPr>
            <w:tcW w:w="1376" w:type="dxa"/>
          </w:tcPr>
          <w:p>
            <w:pPr>
              <w:pStyle w:val="TableParagraph"/>
              <w:tabs>
                <w:tab w:pos="773" w:val="left" w:leader="none"/>
              </w:tabs>
              <w:spacing w:line="180" w:lineRule="exact" w:before="3"/>
              <w:ind w:right="113"/>
              <w:jc w:val="right"/>
              <w:rPr>
                <w:sz w:val="16"/>
              </w:rPr>
            </w:pPr>
            <w:r>
              <w:rPr>
                <w:spacing w:val="-10"/>
                <w:w w:val="105"/>
                <w:sz w:val="16"/>
              </w:rPr>
              <w:t>$</w:t>
            </w:r>
            <w:r>
              <w:rPr>
                <w:sz w:val="16"/>
              </w:rPr>
              <w:tab/>
            </w:r>
            <w:r>
              <w:rPr>
                <w:spacing w:val="-2"/>
                <w:w w:val="105"/>
                <w:sz w:val="16"/>
              </w:rPr>
              <w:t>8,718</w:t>
            </w:r>
          </w:p>
        </w:tc>
        <w:tc>
          <w:tcPr>
            <w:tcW w:w="1376" w:type="dxa"/>
          </w:tcPr>
          <w:p>
            <w:pPr>
              <w:pStyle w:val="TableParagraph"/>
              <w:tabs>
                <w:tab w:pos="773" w:val="left" w:leader="none"/>
              </w:tabs>
              <w:spacing w:line="180" w:lineRule="exact" w:before="3"/>
              <w:ind w:right="113"/>
              <w:jc w:val="right"/>
              <w:rPr>
                <w:sz w:val="16"/>
              </w:rPr>
            </w:pPr>
            <w:r>
              <w:rPr>
                <w:spacing w:val="-10"/>
                <w:w w:val="105"/>
                <w:sz w:val="16"/>
              </w:rPr>
              <w:t>$</w:t>
            </w:r>
            <w:r>
              <w:rPr>
                <w:sz w:val="16"/>
              </w:rPr>
              <w:tab/>
            </w:r>
            <w:r>
              <w:rPr>
                <w:spacing w:val="-2"/>
                <w:w w:val="105"/>
                <w:sz w:val="16"/>
              </w:rPr>
              <w:t>3,760</w:t>
            </w:r>
          </w:p>
        </w:tc>
        <w:tc>
          <w:tcPr>
            <w:tcW w:w="1376" w:type="dxa"/>
          </w:tcPr>
          <w:p>
            <w:pPr>
              <w:pStyle w:val="TableParagraph"/>
              <w:tabs>
                <w:tab w:pos="773" w:val="left" w:leader="none"/>
              </w:tabs>
              <w:spacing w:line="180" w:lineRule="exact" w:before="3"/>
              <w:ind w:right="114"/>
              <w:jc w:val="right"/>
              <w:rPr>
                <w:sz w:val="16"/>
              </w:rPr>
            </w:pPr>
            <w:r>
              <w:rPr>
                <w:spacing w:val="-10"/>
                <w:w w:val="105"/>
                <w:sz w:val="16"/>
              </w:rPr>
              <w:t>$</w:t>
            </w:r>
            <w:r>
              <w:rPr>
                <w:sz w:val="16"/>
              </w:rPr>
              <w:tab/>
            </w:r>
            <w:r>
              <w:rPr>
                <w:spacing w:val="-2"/>
                <w:w w:val="105"/>
                <w:sz w:val="16"/>
              </w:rPr>
              <w:t>7,654</w:t>
            </w:r>
          </w:p>
        </w:tc>
      </w:tr>
      <w:tr>
        <w:trPr>
          <w:trHeight w:val="203" w:hRule="atLeast"/>
        </w:trPr>
        <w:tc>
          <w:tcPr>
            <w:tcW w:w="2529" w:type="dxa"/>
            <w:shd w:val="clear" w:color="auto" w:fill="CCEDFF"/>
          </w:tcPr>
          <w:p>
            <w:pPr>
              <w:pStyle w:val="TableParagraph"/>
              <w:spacing w:line="180" w:lineRule="exact" w:before="3"/>
              <w:ind w:left="152"/>
              <w:rPr>
                <w:sz w:val="16"/>
              </w:rPr>
            </w:pPr>
            <w:r>
              <w:rPr>
                <w:spacing w:val="-2"/>
                <w:w w:val="105"/>
                <w:sz w:val="16"/>
              </w:rPr>
              <w:t>Canada</w:t>
            </w:r>
          </w:p>
        </w:tc>
        <w:tc>
          <w:tcPr>
            <w:tcW w:w="2108" w:type="dxa"/>
            <w:shd w:val="clear" w:color="auto" w:fill="CCEDFF"/>
          </w:tcPr>
          <w:p>
            <w:pPr>
              <w:pStyle w:val="TableParagraph"/>
              <w:spacing w:line="180" w:lineRule="exact" w:before="3"/>
              <w:ind w:right="112"/>
              <w:jc w:val="right"/>
              <w:rPr>
                <w:b/>
                <w:sz w:val="16"/>
              </w:rPr>
            </w:pPr>
            <w:r>
              <w:rPr>
                <w:b/>
                <w:spacing w:val="-5"/>
                <w:w w:val="105"/>
                <w:sz w:val="16"/>
              </w:rPr>
              <w:t>472</w:t>
            </w:r>
          </w:p>
        </w:tc>
        <w:tc>
          <w:tcPr>
            <w:tcW w:w="1376" w:type="dxa"/>
            <w:shd w:val="clear" w:color="auto" w:fill="CCEDFF"/>
          </w:tcPr>
          <w:p>
            <w:pPr>
              <w:pStyle w:val="TableParagraph"/>
              <w:spacing w:line="180" w:lineRule="exact" w:before="3"/>
              <w:ind w:right="113"/>
              <w:jc w:val="right"/>
              <w:rPr>
                <w:b/>
                <w:sz w:val="16"/>
              </w:rPr>
            </w:pPr>
            <w:r>
              <w:rPr>
                <w:b/>
                <w:spacing w:val="-5"/>
                <w:w w:val="105"/>
                <w:sz w:val="16"/>
              </w:rPr>
              <w:t>114</w:t>
            </w:r>
          </w:p>
        </w:tc>
        <w:tc>
          <w:tcPr>
            <w:tcW w:w="1376" w:type="dxa"/>
            <w:shd w:val="clear" w:color="auto" w:fill="CCEDFF"/>
          </w:tcPr>
          <w:p>
            <w:pPr>
              <w:pStyle w:val="TableParagraph"/>
              <w:spacing w:line="180" w:lineRule="exact" w:before="3"/>
              <w:ind w:right="113"/>
              <w:jc w:val="right"/>
              <w:rPr>
                <w:sz w:val="16"/>
              </w:rPr>
            </w:pPr>
            <w:r>
              <w:rPr>
                <w:spacing w:val="-5"/>
                <w:w w:val="105"/>
                <w:sz w:val="16"/>
              </w:rPr>
              <w:t>274</w:t>
            </w:r>
          </w:p>
        </w:tc>
        <w:tc>
          <w:tcPr>
            <w:tcW w:w="1376" w:type="dxa"/>
            <w:shd w:val="clear" w:color="auto" w:fill="CCEDFF"/>
          </w:tcPr>
          <w:p>
            <w:pPr>
              <w:pStyle w:val="TableParagraph"/>
              <w:spacing w:line="180" w:lineRule="exact" w:before="3"/>
              <w:ind w:right="113"/>
              <w:jc w:val="right"/>
              <w:rPr>
                <w:sz w:val="16"/>
              </w:rPr>
            </w:pPr>
            <w:r>
              <w:rPr>
                <w:spacing w:val="-5"/>
                <w:w w:val="105"/>
                <w:sz w:val="16"/>
              </w:rPr>
              <w:t>121</w:t>
            </w:r>
          </w:p>
        </w:tc>
        <w:tc>
          <w:tcPr>
            <w:tcW w:w="1376" w:type="dxa"/>
            <w:shd w:val="clear" w:color="auto" w:fill="CCEDFF"/>
          </w:tcPr>
          <w:p>
            <w:pPr>
              <w:pStyle w:val="TableParagraph"/>
              <w:spacing w:line="180" w:lineRule="exact" w:before="3"/>
              <w:ind w:right="113"/>
              <w:jc w:val="right"/>
              <w:rPr>
                <w:sz w:val="16"/>
              </w:rPr>
            </w:pPr>
            <w:r>
              <w:rPr>
                <w:spacing w:val="-5"/>
                <w:w w:val="105"/>
                <w:sz w:val="16"/>
              </w:rPr>
              <w:t>277</w:t>
            </w:r>
          </w:p>
        </w:tc>
        <w:tc>
          <w:tcPr>
            <w:tcW w:w="1376" w:type="dxa"/>
            <w:shd w:val="clear" w:color="auto" w:fill="CCEDFF"/>
          </w:tcPr>
          <w:p>
            <w:pPr>
              <w:pStyle w:val="TableParagraph"/>
              <w:spacing w:line="180" w:lineRule="exact" w:before="3"/>
              <w:ind w:right="114"/>
              <w:jc w:val="right"/>
              <w:rPr>
                <w:sz w:val="16"/>
              </w:rPr>
            </w:pPr>
            <w:r>
              <w:rPr>
                <w:spacing w:val="-5"/>
                <w:w w:val="105"/>
                <w:sz w:val="16"/>
              </w:rPr>
              <w:t>126</w:t>
            </w:r>
          </w:p>
        </w:tc>
      </w:tr>
      <w:tr>
        <w:trPr>
          <w:trHeight w:val="202" w:hRule="atLeast"/>
        </w:trPr>
        <w:tc>
          <w:tcPr>
            <w:tcW w:w="2529" w:type="dxa"/>
            <w:tcBorders>
              <w:bottom w:val="single" w:sz="6" w:space="0" w:color="000000"/>
            </w:tcBorders>
          </w:tcPr>
          <w:p>
            <w:pPr>
              <w:pStyle w:val="TableParagraph"/>
              <w:spacing w:line="179" w:lineRule="exact" w:before="3"/>
              <w:ind w:left="152"/>
              <w:rPr>
                <w:sz w:val="16"/>
              </w:rPr>
            </w:pPr>
            <w:r>
              <w:rPr>
                <w:spacing w:val="-2"/>
                <w:w w:val="105"/>
                <w:sz w:val="16"/>
              </w:rPr>
              <w:t>Mexico</w:t>
            </w:r>
          </w:p>
        </w:tc>
        <w:tc>
          <w:tcPr>
            <w:tcW w:w="2108" w:type="dxa"/>
            <w:tcBorders>
              <w:bottom w:val="single" w:sz="6" w:space="0" w:color="000000"/>
            </w:tcBorders>
          </w:tcPr>
          <w:p>
            <w:pPr>
              <w:pStyle w:val="TableParagraph"/>
              <w:spacing w:line="179" w:lineRule="exact" w:before="3"/>
              <w:ind w:right="112"/>
              <w:jc w:val="right"/>
              <w:rPr>
                <w:b/>
                <w:sz w:val="16"/>
              </w:rPr>
            </w:pPr>
            <w:r>
              <w:rPr>
                <w:b/>
                <w:spacing w:val="-5"/>
                <w:w w:val="105"/>
                <w:sz w:val="16"/>
              </w:rPr>
              <w:t>93</w:t>
            </w:r>
          </w:p>
        </w:tc>
        <w:tc>
          <w:tcPr>
            <w:tcW w:w="1376" w:type="dxa"/>
            <w:tcBorders>
              <w:bottom w:val="single" w:sz="6" w:space="0" w:color="000000"/>
            </w:tcBorders>
          </w:tcPr>
          <w:p>
            <w:pPr>
              <w:pStyle w:val="TableParagraph"/>
              <w:spacing w:line="179" w:lineRule="exact" w:before="3"/>
              <w:ind w:right="113"/>
              <w:jc w:val="right"/>
              <w:rPr>
                <w:b/>
                <w:sz w:val="16"/>
              </w:rPr>
            </w:pPr>
            <w:r>
              <w:rPr>
                <w:b/>
                <w:spacing w:val="-5"/>
                <w:w w:val="105"/>
                <w:sz w:val="16"/>
              </w:rPr>
              <w:t>289</w:t>
            </w:r>
          </w:p>
        </w:tc>
        <w:tc>
          <w:tcPr>
            <w:tcW w:w="1376" w:type="dxa"/>
            <w:tcBorders>
              <w:bottom w:val="single" w:sz="6" w:space="0" w:color="000000"/>
            </w:tcBorders>
          </w:tcPr>
          <w:p>
            <w:pPr>
              <w:pStyle w:val="TableParagraph"/>
              <w:spacing w:line="179" w:lineRule="exact" w:before="3"/>
              <w:ind w:right="113"/>
              <w:jc w:val="right"/>
              <w:rPr>
                <w:sz w:val="16"/>
              </w:rPr>
            </w:pPr>
            <w:r>
              <w:rPr>
                <w:spacing w:val="-5"/>
                <w:w w:val="105"/>
                <w:sz w:val="16"/>
              </w:rPr>
              <w:t>75</w:t>
            </w:r>
          </w:p>
        </w:tc>
        <w:tc>
          <w:tcPr>
            <w:tcW w:w="1376" w:type="dxa"/>
            <w:tcBorders>
              <w:bottom w:val="single" w:sz="6" w:space="0" w:color="000000"/>
            </w:tcBorders>
          </w:tcPr>
          <w:p>
            <w:pPr>
              <w:pStyle w:val="TableParagraph"/>
              <w:spacing w:line="179" w:lineRule="exact" w:before="3"/>
              <w:ind w:right="113"/>
              <w:jc w:val="right"/>
              <w:rPr>
                <w:sz w:val="16"/>
              </w:rPr>
            </w:pPr>
            <w:r>
              <w:rPr>
                <w:spacing w:val="-5"/>
                <w:w w:val="105"/>
                <w:sz w:val="16"/>
              </w:rPr>
              <w:t>239</w:t>
            </w:r>
          </w:p>
        </w:tc>
        <w:tc>
          <w:tcPr>
            <w:tcW w:w="1376" w:type="dxa"/>
            <w:tcBorders>
              <w:bottom w:val="single" w:sz="6" w:space="0" w:color="000000"/>
            </w:tcBorders>
          </w:tcPr>
          <w:p>
            <w:pPr>
              <w:pStyle w:val="TableParagraph"/>
              <w:spacing w:line="179" w:lineRule="exact" w:before="3"/>
              <w:ind w:right="113"/>
              <w:jc w:val="right"/>
              <w:rPr>
                <w:sz w:val="16"/>
              </w:rPr>
            </w:pPr>
            <w:r>
              <w:rPr>
                <w:spacing w:val="-5"/>
                <w:w w:val="105"/>
                <w:sz w:val="16"/>
              </w:rPr>
              <w:t>55</w:t>
            </w:r>
          </w:p>
        </w:tc>
        <w:tc>
          <w:tcPr>
            <w:tcW w:w="1376" w:type="dxa"/>
            <w:tcBorders>
              <w:bottom w:val="single" w:sz="6" w:space="0" w:color="000000"/>
            </w:tcBorders>
          </w:tcPr>
          <w:p>
            <w:pPr>
              <w:pStyle w:val="TableParagraph"/>
              <w:spacing w:line="179" w:lineRule="exact" w:before="3"/>
              <w:ind w:right="114"/>
              <w:jc w:val="right"/>
              <w:rPr>
                <w:sz w:val="16"/>
              </w:rPr>
            </w:pPr>
            <w:r>
              <w:rPr>
                <w:spacing w:val="-5"/>
                <w:w w:val="105"/>
                <w:sz w:val="16"/>
              </w:rPr>
              <w:t>267</w:t>
            </w:r>
          </w:p>
        </w:tc>
      </w:tr>
      <w:tr>
        <w:trPr>
          <w:trHeight w:val="201" w:hRule="atLeast"/>
        </w:trPr>
        <w:tc>
          <w:tcPr>
            <w:tcW w:w="2529" w:type="dxa"/>
            <w:tcBorders>
              <w:top w:val="single" w:sz="6" w:space="0" w:color="000000"/>
              <w:bottom w:val="single" w:sz="6" w:space="0" w:color="000000"/>
            </w:tcBorders>
            <w:shd w:val="clear" w:color="auto" w:fill="CCEDFF"/>
          </w:tcPr>
          <w:p>
            <w:pPr>
              <w:pStyle w:val="TableParagraph"/>
              <w:spacing w:line="179" w:lineRule="exact" w:before="2"/>
              <w:ind w:left="305"/>
              <w:rPr>
                <w:sz w:val="16"/>
              </w:rPr>
            </w:pPr>
            <w:r>
              <w:rPr>
                <w:w w:val="105"/>
                <w:sz w:val="16"/>
              </w:rPr>
              <w:t>Total</w:t>
            </w:r>
            <w:r>
              <w:rPr>
                <w:spacing w:val="-9"/>
                <w:w w:val="105"/>
                <w:sz w:val="16"/>
              </w:rPr>
              <w:t> </w:t>
            </w:r>
            <w:r>
              <w:rPr>
                <w:w w:val="105"/>
                <w:sz w:val="16"/>
              </w:rPr>
              <w:t>North</w:t>
            </w:r>
            <w:r>
              <w:rPr>
                <w:spacing w:val="-8"/>
                <w:w w:val="105"/>
                <w:sz w:val="16"/>
              </w:rPr>
              <w:t> </w:t>
            </w:r>
            <w:r>
              <w:rPr>
                <w:spacing w:val="-2"/>
                <w:w w:val="105"/>
                <w:sz w:val="16"/>
              </w:rPr>
              <w:t>America</w:t>
            </w:r>
          </w:p>
        </w:tc>
        <w:tc>
          <w:tcPr>
            <w:tcW w:w="2108" w:type="dxa"/>
            <w:tcBorders>
              <w:top w:val="single" w:sz="6" w:space="0" w:color="000000"/>
              <w:bottom w:val="single" w:sz="6" w:space="0" w:color="000000"/>
            </w:tcBorders>
            <w:shd w:val="clear" w:color="auto" w:fill="CCEDFF"/>
          </w:tcPr>
          <w:p>
            <w:pPr>
              <w:pStyle w:val="TableParagraph"/>
              <w:spacing w:line="179" w:lineRule="exact" w:before="2"/>
              <w:ind w:right="112"/>
              <w:jc w:val="right"/>
              <w:rPr>
                <w:b/>
                <w:sz w:val="16"/>
              </w:rPr>
            </w:pPr>
            <w:r>
              <w:rPr>
                <w:b/>
                <w:spacing w:val="-4"/>
                <w:w w:val="105"/>
                <w:sz w:val="16"/>
              </w:rPr>
              <w:t>5,104</w:t>
            </w:r>
          </w:p>
        </w:tc>
        <w:tc>
          <w:tcPr>
            <w:tcW w:w="1376" w:type="dxa"/>
            <w:tcBorders>
              <w:top w:val="single" w:sz="6" w:space="0" w:color="000000"/>
              <w:bottom w:val="single" w:sz="6" w:space="0" w:color="000000"/>
            </w:tcBorders>
            <w:shd w:val="clear" w:color="auto" w:fill="CCEDFF"/>
          </w:tcPr>
          <w:p>
            <w:pPr>
              <w:pStyle w:val="TableParagraph"/>
              <w:spacing w:line="179" w:lineRule="exact" w:before="2"/>
              <w:ind w:right="113"/>
              <w:jc w:val="right"/>
              <w:rPr>
                <w:b/>
                <w:sz w:val="16"/>
              </w:rPr>
            </w:pPr>
            <w:r>
              <w:rPr>
                <w:b/>
                <w:spacing w:val="-4"/>
                <w:w w:val="105"/>
                <w:sz w:val="16"/>
              </w:rPr>
              <w:t>9,003</w:t>
            </w:r>
          </w:p>
        </w:tc>
        <w:tc>
          <w:tcPr>
            <w:tcW w:w="1376" w:type="dxa"/>
            <w:tcBorders>
              <w:top w:val="single" w:sz="6" w:space="0" w:color="000000"/>
              <w:bottom w:val="single" w:sz="6" w:space="0" w:color="000000"/>
            </w:tcBorders>
            <w:shd w:val="clear" w:color="auto" w:fill="CCEDFF"/>
          </w:tcPr>
          <w:p>
            <w:pPr>
              <w:pStyle w:val="TableParagraph"/>
              <w:spacing w:line="179" w:lineRule="exact" w:before="2"/>
              <w:ind w:right="113"/>
              <w:jc w:val="right"/>
              <w:rPr>
                <w:sz w:val="16"/>
              </w:rPr>
            </w:pPr>
            <w:r>
              <w:rPr>
                <w:spacing w:val="-4"/>
                <w:w w:val="105"/>
                <w:sz w:val="16"/>
              </w:rPr>
              <w:t>3,761</w:t>
            </w:r>
          </w:p>
        </w:tc>
        <w:tc>
          <w:tcPr>
            <w:tcW w:w="1376" w:type="dxa"/>
            <w:tcBorders>
              <w:top w:val="single" w:sz="6" w:space="0" w:color="000000"/>
              <w:bottom w:val="single" w:sz="6" w:space="0" w:color="000000"/>
            </w:tcBorders>
            <w:shd w:val="clear" w:color="auto" w:fill="CCEDFF"/>
          </w:tcPr>
          <w:p>
            <w:pPr>
              <w:pStyle w:val="TableParagraph"/>
              <w:spacing w:line="179" w:lineRule="exact" w:before="2"/>
              <w:ind w:right="113"/>
              <w:jc w:val="right"/>
              <w:rPr>
                <w:sz w:val="16"/>
              </w:rPr>
            </w:pPr>
            <w:r>
              <w:rPr>
                <w:spacing w:val="-4"/>
                <w:w w:val="105"/>
                <w:sz w:val="16"/>
              </w:rPr>
              <w:t>9,078</w:t>
            </w:r>
          </w:p>
        </w:tc>
        <w:tc>
          <w:tcPr>
            <w:tcW w:w="1376" w:type="dxa"/>
            <w:tcBorders>
              <w:top w:val="single" w:sz="6" w:space="0" w:color="000000"/>
              <w:bottom w:val="single" w:sz="6" w:space="0" w:color="000000"/>
            </w:tcBorders>
            <w:shd w:val="clear" w:color="auto" w:fill="CCEDFF"/>
          </w:tcPr>
          <w:p>
            <w:pPr>
              <w:pStyle w:val="TableParagraph"/>
              <w:spacing w:line="179" w:lineRule="exact" w:before="2"/>
              <w:ind w:right="113"/>
              <w:jc w:val="right"/>
              <w:rPr>
                <w:sz w:val="16"/>
              </w:rPr>
            </w:pPr>
            <w:r>
              <w:rPr>
                <w:spacing w:val="-4"/>
                <w:w w:val="105"/>
                <w:sz w:val="16"/>
              </w:rPr>
              <w:t>4,092</w:t>
            </w:r>
          </w:p>
        </w:tc>
        <w:tc>
          <w:tcPr>
            <w:tcW w:w="1376" w:type="dxa"/>
            <w:tcBorders>
              <w:top w:val="single" w:sz="6" w:space="0" w:color="000000"/>
              <w:bottom w:val="single" w:sz="6" w:space="0" w:color="000000"/>
            </w:tcBorders>
            <w:shd w:val="clear" w:color="auto" w:fill="CCEDFF"/>
          </w:tcPr>
          <w:p>
            <w:pPr>
              <w:pStyle w:val="TableParagraph"/>
              <w:spacing w:line="179" w:lineRule="exact" w:before="2"/>
              <w:ind w:right="114"/>
              <w:jc w:val="right"/>
              <w:rPr>
                <w:sz w:val="16"/>
              </w:rPr>
            </w:pPr>
            <w:r>
              <w:rPr>
                <w:spacing w:val="-4"/>
                <w:w w:val="105"/>
                <w:sz w:val="16"/>
              </w:rPr>
              <w:t>8,047</w:t>
            </w:r>
          </w:p>
        </w:tc>
      </w:tr>
    </w:tbl>
    <w:p>
      <w:pPr>
        <w:pStyle w:val="BodyText"/>
        <w:spacing w:before="10" w:after="1"/>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9"/>
        <w:gridCol w:w="2108"/>
        <w:gridCol w:w="1376"/>
        <w:gridCol w:w="1376"/>
        <w:gridCol w:w="1376"/>
        <w:gridCol w:w="1376"/>
        <w:gridCol w:w="1376"/>
      </w:tblGrid>
      <w:tr>
        <w:trPr>
          <w:trHeight w:val="203" w:hRule="atLeast"/>
        </w:trPr>
        <w:tc>
          <w:tcPr>
            <w:tcW w:w="2529" w:type="dxa"/>
            <w:shd w:val="clear" w:color="auto" w:fill="CCEDFF"/>
          </w:tcPr>
          <w:p>
            <w:pPr>
              <w:pStyle w:val="TableParagraph"/>
              <w:spacing w:line="180" w:lineRule="exact" w:before="3"/>
              <w:rPr>
                <w:sz w:val="16"/>
              </w:rPr>
            </w:pPr>
            <w:r>
              <w:rPr>
                <w:w w:val="105"/>
                <w:sz w:val="16"/>
              </w:rPr>
              <w:t>Asia</w:t>
            </w:r>
            <w:r>
              <w:rPr>
                <w:spacing w:val="-7"/>
                <w:w w:val="105"/>
                <w:sz w:val="16"/>
              </w:rPr>
              <w:t> </w:t>
            </w:r>
            <w:r>
              <w:rPr>
                <w:spacing w:val="-2"/>
                <w:w w:val="105"/>
                <w:sz w:val="16"/>
              </w:rPr>
              <w:t>Pacific:</w:t>
            </w:r>
          </w:p>
        </w:tc>
        <w:tc>
          <w:tcPr>
            <w:tcW w:w="8988" w:type="dxa"/>
            <w:gridSpan w:val="6"/>
            <w:shd w:val="clear" w:color="auto" w:fill="CCEDFF"/>
          </w:tcPr>
          <w:p>
            <w:pPr>
              <w:pStyle w:val="TableParagraph"/>
              <w:rPr>
                <w:sz w:val="14"/>
              </w:rPr>
            </w:pPr>
          </w:p>
        </w:tc>
      </w:tr>
      <w:tr>
        <w:trPr>
          <w:trHeight w:val="203" w:hRule="atLeast"/>
        </w:trPr>
        <w:tc>
          <w:tcPr>
            <w:tcW w:w="2529" w:type="dxa"/>
          </w:tcPr>
          <w:p>
            <w:pPr>
              <w:pStyle w:val="TableParagraph"/>
              <w:spacing w:line="180" w:lineRule="exact" w:before="3"/>
              <w:ind w:left="152"/>
              <w:rPr>
                <w:sz w:val="16"/>
              </w:rPr>
            </w:pPr>
            <w:r>
              <w:rPr>
                <w:spacing w:val="-2"/>
                <w:w w:val="105"/>
                <w:sz w:val="16"/>
              </w:rPr>
              <w:t>Japan</w:t>
            </w:r>
          </w:p>
        </w:tc>
        <w:tc>
          <w:tcPr>
            <w:tcW w:w="2108" w:type="dxa"/>
          </w:tcPr>
          <w:p>
            <w:pPr>
              <w:pStyle w:val="TableParagraph"/>
              <w:spacing w:line="180" w:lineRule="exact" w:before="3"/>
              <w:ind w:right="112"/>
              <w:jc w:val="right"/>
              <w:rPr>
                <w:b/>
                <w:sz w:val="16"/>
              </w:rPr>
            </w:pPr>
            <w:r>
              <w:rPr>
                <w:b/>
                <w:spacing w:val="-5"/>
                <w:w w:val="105"/>
                <w:sz w:val="16"/>
              </w:rPr>
              <w:t>780</w:t>
            </w:r>
          </w:p>
        </w:tc>
        <w:tc>
          <w:tcPr>
            <w:tcW w:w="1376" w:type="dxa"/>
          </w:tcPr>
          <w:p>
            <w:pPr>
              <w:pStyle w:val="TableParagraph"/>
              <w:spacing w:line="180" w:lineRule="exact" w:before="3"/>
              <w:ind w:right="113"/>
              <w:jc w:val="right"/>
              <w:rPr>
                <w:b/>
                <w:sz w:val="16"/>
              </w:rPr>
            </w:pPr>
            <w:r>
              <w:rPr>
                <w:b/>
                <w:spacing w:val="-5"/>
                <w:w w:val="105"/>
                <w:sz w:val="16"/>
              </w:rPr>
              <w:t>496</w:t>
            </w:r>
          </w:p>
        </w:tc>
        <w:tc>
          <w:tcPr>
            <w:tcW w:w="1376" w:type="dxa"/>
          </w:tcPr>
          <w:p>
            <w:pPr>
              <w:pStyle w:val="TableParagraph"/>
              <w:spacing w:line="180" w:lineRule="exact" w:before="3"/>
              <w:ind w:right="113"/>
              <w:jc w:val="right"/>
              <w:rPr>
                <w:sz w:val="16"/>
              </w:rPr>
            </w:pPr>
            <w:r>
              <w:rPr>
                <w:spacing w:val="-5"/>
                <w:w w:val="105"/>
                <w:sz w:val="16"/>
              </w:rPr>
              <w:t>505</w:t>
            </w:r>
          </w:p>
        </w:tc>
        <w:tc>
          <w:tcPr>
            <w:tcW w:w="1376" w:type="dxa"/>
          </w:tcPr>
          <w:p>
            <w:pPr>
              <w:pStyle w:val="TableParagraph"/>
              <w:spacing w:line="180" w:lineRule="exact" w:before="3"/>
              <w:ind w:right="113"/>
              <w:jc w:val="right"/>
              <w:rPr>
                <w:sz w:val="16"/>
              </w:rPr>
            </w:pPr>
            <w:r>
              <w:rPr>
                <w:spacing w:val="-5"/>
                <w:w w:val="105"/>
                <w:sz w:val="16"/>
              </w:rPr>
              <w:t>583</w:t>
            </w:r>
          </w:p>
        </w:tc>
        <w:tc>
          <w:tcPr>
            <w:tcW w:w="1376" w:type="dxa"/>
          </w:tcPr>
          <w:p>
            <w:pPr>
              <w:pStyle w:val="TableParagraph"/>
              <w:spacing w:line="180" w:lineRule="exact" w:before="3"/>
              <w:ind w:right="113"/>
              <w:jc w:val="right"/>
              <w:rPr>
                <w:sz w:val="16"/>
              </w:rPr>
            </w:pPr>
            <w:r>
              <w:rPr>
                <w:spacing w:val="-5"/>
                <w:w w:val="105"/>
                <w:sz w:val="16"/>
              </w:rPr>
              <w:t>441</w:t>
            </w:r>
          </w:p>
        </w:tc>
        <w:tc>
          <w:tcPr>
            <w:tcW w:w="1376" w:type="dxa"/>
          </w:tcPr>
          <w:p>
            <w:pPr>
              <w:pStyle w:val="TableParagraph"/>
              <w:spacing w:line="180" w:lineRule="exact" w:before="3"/>
              <w:ind w:right="114"/>
              <w:jc w:val="right"/>
              <w:rPr>
                <w:sz w:val="16"/>
              </w:rPr>
            </w:pPr>
            <w:r>
              <w:rPr>
                <w:spacing w:val="-5"/>
                <w:w w:val="105"/>
                <w:sz w:val="16"/>
              </w:rPr>
              <w:t>893</w:t>
            </w:r>
          </w:p>
        </w:tc>
      </w:tr>
      <w:tr>
        <w:trPr>
          <w:trHeight w:val="203" w:hRule="atLeast"/>
        </w:trPr>
        <w:tc>
          <w:tcPr>
            <w:tcW w:w="2529" w:type="dxa"/>
            <w:shd w:val="clear" w:color="auto" w:fill="CCEDFF"/>
          </w:tcPr>
          <w:p>
            <w:pPr>
              <w:pStyle w:val="TableParagraph"/>
              <w:spacing w:line="180" w:lineRule="exact" w:before="3"/>
              <w:ind w:left="152"/>
              <w:rPr>
                <w:sz w:val="16"/>
              </w:rPr>
            </w:pPr>
            <w:r>
              <w:rPr>
                <w:spacing w:val="-2"/>
                <w:w w:val="105"/>
                <w:sz w:val="16"/>
              </w:rPr>
              <w:t>Taiwan</w:t>
            </w:r>
          </w:p>
        </w:tc>
        <w:tc>
          <w:tcPr>
            <w:tcW w:w="2108" w:type="dxa"/>
            <w:shd w:val="clear" w:color="auto" w:fill="CCEDFF"/>
          </w:tcPr>
          <w:p>
            <w:pPr>
              <w:pStyle w:val="TableParagraph"/>
              <w:spacing w:line="180" w:lineRule="exact" w:before="3"/>
              <w:ind w:right="112"/>
              <w:jc w:val="right"/>
              <w:rPr>
                <w:b/>
                <w:sz w:val="16"/>
              </w:rPr>
            </w:pPr>
            <w:r>
              <w:rPr>
                <w:b/>
                <w:spacing w:val="-5"/>
                <w:w w:val="105"/>
                <w:sz w:val="16"/>
              </w:rPr>
              <w:t>983</w:t>
            </w:r>
          </w:p>
        </w:tc>
        <w:tc>
          <w:tcPr>
            <w:tcW w:w="1376" w:type="dxa"/>
            <w:shd w:val="clear" w:color="auto" w:fill="CCEDFF"/>
          </w:tcPr>
          <w:p>
            <w:pPr>
              <w:pStyle w:val="TableParagraph"/>
              <w:spacing w:line="180" w:lineRule="exact" w:before="3"/>
              <w:ind w:right="113"/>
              <w:jc w:val="right"/>
              <w:rPr>
                <w:b/>
                <w:sz w:val="16"/>
              </w:rPr>
            </w:pPr>
            <w:r>
              <w:rPr>
                <w:b/>
                <w:spacing w:val="-4"/>
                <w:w w:val="105"/>
                <w:sz w:val="16"/>
              </w:rPr>
              <w:t>1,923</w:t>
            </w:r>
          </w:p>
        </w:tc>
        <w:tc>
          <w:tcPr>
            <w:tcW w:w="1376" w:type="dxa"/>
            <w:shd w:val="clear" w:color="auto" w:fill="CCEDFF"/>
          </w:tcPr>
          <w:p>
            <w:pPr>
              <w:pStyle w:val="TableParagraph"/>
              <w:spacing w:line="180" w:lineRule="exact" w:before="3"/>
              <w:ind w:right="113"/>
              <w:jc w:val="right"/>
              <w:rPr>
                <w:sz w:val="16"/>
              </w:rPr>
            </w:pPr>
            <w:r>
              <w:rPr>
                <w:spacing w:val="-5"/>
                <w:w w:val="105"/>
                <w:sz w:val="16"/>
              </w:rPr>
              <w:t>887</w:t>
            </w:r>
          </w:p>
        </w:tc>
        <w:tc>
          <w:tcPr>
            <w:tcW w:w="1376" w:type="dxa"/>
            <w:shd w:val="clear" w:color="auto" w:fill="CCEDFF"/>
          </w:tcPr>
          <w:p>
            <w:pPr>
              <w:pStyle w:val="TableParagraph"/>
              <w:spacing w:line="180" w:lineRule="exact" w:before="3"/>
              <w:ind w:right="113"/>
              <w:jc w:val="right"/>
              <w:rPr>
                <w:sz w:val="16"/>
              </w:rPr>
            </w:pPr>
            <w:r>
              <w:rPr>
                <w:spacing w:val="-4"/>
                <w:w w:val="105"/>
                <w:sz w:val="16"/>
              </w:rPr>
              <w:t>2,247</w:t>
            </w:r>
          </w:p>
        </w:tc>
        <w:tc>
          <w:tcPr>
            <w:tcW w:w="1376" w:type="dxa"/>
            <w:shd w:val="clear" w:color="auto" w:fill="CCEDFF"/>
          </w:tcPr>
          <w:p>
            <w:pPr>
              <w:pStyle w:val="TableParagraph"/>
              <w:spacing w:line="180" w:lineRule="exact" w:before="3"/>
              <w:ind w:right="113"/>
              <w:jc w:val="right"/>
              <w:rPr>
                <w:sz w:val="16"/>
              </w:rPr>
            </w:pPr>
            <w:r>
              <w:rPr>
                <w:spacing w:val="-5"/>
                <w:w w:val="105"/>
                <w:sz w:val="16"/>
              </w:rPr>
              <w:t>880</w:t>
            </w:r>
          </w:p>
        </w:tc>
        <w:tc>
          <w:tcPr>
            <w:tcW w:w="1376" w:type="dxa"/>
            <w:shd w:val="clear" w:color="auto" w:fill="CCEDFF"/>
          </w:tcPr>
          <w:p>
            <w:pPr>
              <w:pStyle w:val="TableParagraph"/>
              <w:spacing w:line="180" w:lineRule="exact" w:before="3"/>
              <w:ind w:right="114"/>
              <w:jc w:val="right"/>
              <w:rPr>
                <w:sz w:val="16"/>
              </w:rPr>
            </w:pPr>
            <w:r>
              <w:rPr>
                <w:spacing w:val="-4"/>
                <w:w w:val="105"/>
                <w:sz w:val="16"/>
              </w:rPr>
              <w:t>2,280</w:t>
            </w:r>
          </w:p>
        </w:tc>
      </w:tr>
      <w:tr>
        <w:trPr>
          <w:trHeight w:val="203" w:hRule="atLeast"/>
        </w:trPr>
        <w:tc>
          <w:tcPr>
            <w:tcW w:w="2529" w:type="dxa"/>
          </w:tcPr>
          <w:p>
            <w:pPr>
              <w:pStyle w:val="TableParagraph"/>
              <w:spacing w:line="180" w:lineRule="exact" w:before="3"/>
              <w:ind w:left="152"/>
              <w:rPr>
                <w:sz w:val="16"/>
              </w:rPr>
            </w:pPr>
            <w:r>
              <w:rPr>
                <w:spacing w:val="-4"/>
                <w:w w:val="105"/>
                <w:sz w:val="16"/>
              </w:rPr>
              <w:t>China</w:t>
            </w:r>
          </w:p>
        </w:tc>
        <w:tc>
          <w:tcPr>
            <w:tcW w:w="2108" w:type="dxa"/>
          </w:tcPr>
          <w:p>
            <w:pPr>
              <w:pStyle w:val="TableParagraph"/>
              <w:spacing w:line="180" w:lineRule="exact" w:before="3"/>
              <w:ind w:right="112"/>
              <w:jc w:val="right"/>
              <w:rPr>
                <w:b/>
                <w:sz w:val="16"/>
              </w:rPr>
            </w:pPr>
            <w:r>
              <w:rPr>
                <w:b/>
                <w:spacing w:val="-4"/>
                <w:w w:val="105"/>
                <w:sz w:val="16"/>
              </w:rPr>
              <w:t>4,495</w:t>
            </w:r>
          </w:p>
        </w:tc>
        <w:tc>
          <w:tcPr>
            <w:tcW w:w="1376" w:type="dxa"/>
          </w:tcPr>
          <w:p>
            <w:pPr>
              <w:pStyle w:val="TableParagraph"/>
              <w:spacing w:line="180" w:lineRule="exact" w:before="3"/>
              <w:ind w:right="113"/>
              <w:jc w:val="right"/>
              <w:rPr>
                <w:b/>
                <w:sz w:val="16"/>
              </w:rPr>
            </w:pPr>
            <w:r>
              <w:rPr>
                <w:b/>
                <w:spacing w:val="-4"/>
                <w:w w:val="105"/>
                <w:sz w:val="16"/>
              </w:rPr>
              <w:t>4,966</w:t>
            </w:r>
          </w:p>
        </w:tc>
        <w:tc>
          <w:tcPr>
            <w:tcW w:w="1376" w:type="dxa"/>
          </w:tcPr>
          <w:p>
            <w:pPr>
              <w:pStyle w:val="TableParagraph"/>
              <w:spacing w:line="180" w:lineRule="exact" w:before="3"/>
              <w:ind w:right="113"/>
              <w:jc w:val="right"/>
              <w:rPr>
                <w:sz w:val="16"/>
              </w:rPr>
            </w:pPr>
            <w:r>
              <w:rPr>
                <w:spacing w:val="-4"/>
                <w:w w:val="105"/>
                <w:sz w:val="16"/>
              </w:rPr>
              <w:t>3,734</w:t>
            </w:r>
          </w:p>
        </w:tc>
        <w:tc>
          <w:tcPr>
            <w:tcW w:w="1376" w:type="dxa"/>
          </w:tcPr>
          <w:p>
            <w:pPr>
              <w:pStyle w:val="TableParagraph"/>
              <w:spacing w:line="180" w:lineRule="exact" w:before="3"/>
              <w:ind w:right="113"/>
              <w:jc w:val="right"/>
              <w:rPr>
                <w:sz w:val="16"/>
              </w:rPr>
            </w:pPr>
            <w:r>
              <w:rPr>
                <w:spacing w:val="-4"/>
                <w:w w:val="105"/>
                <w:sz w:val="16"/>
              </w:rPr>
              <w:t>4,469</w:t>
            </w:r>
          </w:p>
        </w:tc>
        <w:tc>
          <w:tcPr>
            <w:tcW w:w="1376" w:type="dxa"/>
          </w:tcPr>
          <w:p>
            <w:pPr>
              <w:pStyle w:val="TableParagraph"/>
              <w:spacing w:line="180" w:lineRule="exact" w:before="3"/>
              <w:ind w:right="113"/>
              <w:jc w:val="right"/>
              <w:rPr>
                <w:sz w:val="16"/>
              </w:rPr>
            </w:pPr>
            <w:r>
              <w:rPr>
                <w:spacing w:val="-4"/>
                <w:w w:val="105"/>
                <w:sz w:val="16"/>
              </w:rPr>
              <w:t>3,096</w:t>
            </w:r>
          </w:p>
        </w:tc>
        <w:tc>
          <w:tcPr>
            <w:tcW w:w="1376" w:type="dxa"/>
          </w:tcPr>
          <w:p>
            <w:pPr>
              <w:pStyle w:val="TableParagraph"/>
              <w:spacing w:line="180" w:lineRule="exact" w:before="3"/>
              <w:ind w:right="114"/>
              <w:jc w:val="right"/>
              <w:rPr>
                <w:sz w:val="16"/>
              </w:rPr>
            </w:pPr>
            <w:r>
              <w:rPr>
                <w:spacing w:val="-4"/>
                <w:w w:val="105"/>
                <w:sz w:val="16"/>
              </w:rPr>
              <w:t>3,816</w:t>
            </w:r>
          </w:p>
        </w:tc>
      </w:tr>
      <w:tr>
        <w:trPr>
          <w:trHeight w:val="203" w:hRule="atLeast"/>
        </w:trPr>
        <w:tc>
          <w:tcPr>
            <w:tcW w:w="2529" w:type="dxa"/>
            <w:shd w:val="clear" w:color="auto" w:fill="CCEDFF"/>
          </w:tcPr>
          <w:p>
            <w:pPr>
              <w:pStyle w:val="TableParagraph"/>
              <w:spacing w:line="180" w:lineRule="exact" w:before="3"/>
              <w:ind w:left="152"/>
              <w:rPr>
                <w:sz w:val="16"/>
              </w:rPr>
            </w:pPr>
            <w:r>
              <w:rPr>
                <w:spacing w:val="-4"/>
                <w:w w:val="105"/>
                <w:sz w:val="16"/>
              </w:rPr>
              <w:t>Korea</w:t>
            </w:r>
          </w:p>
        </w:tc>
        <w:tc>
          <w:tcPr>
            <w:tcW w:w="2108" w:type="dxa"/>
            <w:shd w:val="clear" w:color="auto" w:fill="CCEDFF"/>
          </w:tcPr>
          <w:p>
            <w:pPr>
              <w:pStyle w:val="TableParagraph"/>
              <w:spacing w:line="180" w:lineRule="exact" w:before="3"/>
              <w:ind w:right="112"/>
              <w:jc w:val="right"/>
              <w:rPr>
                <w:b/>
                <w:sz w:val="16"/>
              </w:rPr>
            </w:pPr>
            <w:r>
              <w:rPr>
                <w:b/>
                <w:spacing w:val="-5"/>
                <w:w w:val="105"/>
                <w:sz w:val="16"/>
              </w:rPr>
              <w:t>640</w:t>
            </w:r>
          </w:p>
        </w:tc>
        <w:tc>
          <w:tcPr>
            <w:tcW w:w="1376" w:type="dxa"/>
            <w:shd w:val="clear" w:color="auto" w:fill="CCEDFF"/>
          </w:tcPr>
          <w:p>
            <w:pPr>
              <w:pStyle w:val="TableParagraph"/>
              <w:spacing w:line="180" w:lineRule="exact" w:before="3"/>
              <w:ind w:right="113"/>
              <w:jc w:val="right"/>
              <w:rPr>
                <w:b/>
                <w:sz w:val="16"/>
              </w:rPr>
            </w:pPr>
            <w:r>
              <w:rPr>
                <w:b/>
                <w:spacing w:val="-4"/>
                <w:w w:val="105"/>
                <w:sz w:val="16"/>
              </w:rPr>
              <w:t>3,479</w:t>
            </w:r>
          </w:p>
        </w:tc>
        <w:tc>
          <w:tcPr>
            <w:tcW w:w="1376" w:type="dxa"/>
            <w:shd w:val="clear" w:color="auto" w:fill="CCEDFF"/>
          </w:tcPr>
          <w:p>
            <w:pPr>
              <w:pStyle w:val="TableParagraph"/>
              <w:spacing w:line="180" w:lineRule="exact" w:before="3"/>
              <w:ind w:right="113"/>
              <w:jc w:val="right"/>
              <w:rPr>
                <w:sz w:val="16"/>
              </w:rPr>
            </w:pPr>
            <w:r>
              <w:rPr>
                <w:spacing w:val="-5"/>
                <w:w w:val="105"/>
                <w:sz w:val="16"/>
              </w:rPr>
              <w:t>748</w:t>
            </w:r>
          </w:p>
        </w:tc>
        <w:tc>
          <w:tcPr>
            <w:tcW w:w="1376" w:type="dxa"/>
            <w:shd w:val="clear" w:color="auto" w:fill="CCEDFF"/>
          </w:tcPr>
          <w:p>
            <w:pPr>
              <w:pStyle w:val="TableParagraph"/>
              <w:spacing w:line="180" w:lineRule="exact" w:before="3"/>
              <w:ind w:right="113"/>
              <w:jc w:val="right"/>
              <w:rPr>
                <w:sz w:val="16"/>
              </w:rPr>
            </w:pPr>
            <w:r>
              <w:rPr>
                <w:spacing w:val="-4"/>
                <w:w w:val="105"/>
                <w:sz w:val="16"/>
              </w:rPr>
              <w:t>3,597</w:t>
            </w:r>
          </w:p>
        </w:tc>
        <w:tc>
          <w:tcPr>
            <w:tcW w:w="1376" w:type="dxa"/>
            <w:shd w:val="clear" w:color="auto" w:fill="CCEDFF"/>
          </w:tcPr>
          <w:p>
            <w:pPr>
              <w:pStyle w:val="TableParagraph"/>
              <w:spacing w:line="180" w:lineRule="exact" w:before="3"/>
              <w:ind w:right="113"/>
              <w:jc w:val="right"/>
              <w:rPr>
                <w:sz w:val="16"/>
              </w:rPr>
            </w:pPr>
            <w:r>
              <w:rPr>
                <w:spacing w:val="-4"/>
                <w:w w:val="105"/>
                <w:sz w:val="16"/>
              </w:rPr>
              <w:t>1,051</w:t>
            </w:r>
          </w:p>
        </w:tc>
        <w:tc>
          <w:tcPr>
            <w:tcW w:w="1376" w:type="dxa"/>
            <w:shd w:val="clear" w:color="auto" w:fill="CCEDFF"/>
          </w:tcPr>
          <w:p>
            <w:pPr>
              <w:pStyle w:val="TableParagraph"/>
              <w:spacing w:line="180" w:lineRule="exact" w:before="3"/>
              <w:ind w:right="114"/>
              <w:jc w:val="right"/>
              <w:rPr>
                <w:sz w:val="16"/>
              </w:rPr>
            </w:pPr>
            <w:r>
              <w:rPr>
                <w:spacing w:val="-4"/>
                <w:w w:val="105"/>
                <w:sz w:val="16"/>
              </w:rPr>
              <w:t>3,625</w:t>
            </w:r>
          </w:p>
        </w:tc>
      </w:tr>
      <w:tr>
        <w:trPr>
          <w:trHeight w:val="202" w:hRule="atLeast"/>
        </w:trPr>
        <w:tc>
          <w:tcPr>
            <w:tcW w:w="2529" w:type="dxa"/>
            <w:tcBorders>
              <w:bottom w:val="single" w:sz="6" w:space="0" w:color="000000"/>
            </w:tcBorders>
          </w:tcPr>
          <w:p>
            <w:pPr>
              <w:pStyle w:val="TableParagraph"/>
              <w:spacing w:line="179" w:lineRule="exact" w:before="3"/>
              <w:ind w:left="152"/>
              <w:rPr>
                <w:sz w:val="16"/>
              </w:rPr>
            </w:pPr>
            <w:r>
              <w:rPr>
                <w:spacing w:val="-2"/>
                <w:w w:val="105"/>
                <w:sz w:val="16"/>
              </w:rPr>
              <w:t>Other</w:t>
            </w:r>
          </w:p>
        </w:tc>
        <w:tc>
          <w:tcPr>
            <w:tcW w:w="2108" w:type="dxa"/>
            <w:tcBorders>
              <w:bottom w:val="single" w:sz="6" w:space="0" w:color="000000"/>
            </w:tcBorders>
          </w:tcPr>
          <w:p>
            <w:pPr>
              <w:pStyle w:val="TableParagraph"/>
              <w:spacing w:line="179" w:lineRule="exact" w:before="3"/>
              <w:ind w:right="112"/>
              <w:jc w:val="right"/>
              <w:rPr>
                <w:b/>
                <w:sz w:val="16"/>
              </w:rPr>
            </w:pPr>
            <w:r>
              <w:rPr>
                <w:b/>
                <w:spacing w:val="-5"/>
                <w:w w:val="105"/>
                <w:sz w:val="16"/>
              </w:rPr>
              <w:t>459</w:t>
            </w:r>
          </w:p>
        </w:tc>
        <w:tc>
          <w:tcPr>
            <w:tcW w:w="1376" w:type="dxa"/>
            <w:tcBorders>
              <w:bottom w:val="single" w:sz="6" w:space="0" w:color="000000"/>
            </w:tcBorders>
          </w:tcPr>
          <w:p>
            <w:pPr>
              <w:pStyle w:val="TableParagraph"/>
              <w:spacing w:line="179" w:lineRule="exact" w:before="3"/>
              <w:ind w:right="113"/>
              <w:jc w:val="right"/>
              <w:rPr>
                <w:b/>
                <w:sz w:val="16"/>
              </w:rPr>
            </w:pPr>
            <w:r>
              <w:rPr>
                <w:b/>
                <w:spacing w:val="-5"/>
                <w:w w:val="105"/>
                <w:sz w:val="16"/>
              </w:rPr>
              <w:t>84</w:t>
            </w:r>
          </w:p>
        </w:tc>
        <w:tc>
          <w:tcPr>
            <w:tcW w:w="1376" w:type="dxa"/>
            <w:tcBorders>
              <w:bottom w:val="single" w:sz="6" w:space="0" w:color="000000"/>
            </w:tcBorders>
          </w:tcPr>
          <w:p>
            <w:pPr>
              <w:pStyle w:val="TableParagraph"/>
              <w:spacing w:line="179" w:lineRule="exact" w:before="3"/>
              <w:ind w:right="113"/>
              <w:jc w:val="right"/>
              <w:rPr>
                <w:sz w:val="16"/>
              </w:rPr>
            </w:pPr>
            <w:r>
              <w:rPr>
                <w:spacing w:val="-5"/>
                <w:w w:val="105"/>
                <w:sz w:val="16"/>
              </w:rPr>
              <w:t>340</w:t>
            </w:r>
          </w:p>
        </w:tc>
        <w:tc>
          <w:tcPr>
            <w:tcW w:w="1376" w:type="dxa"/>
            <w:tcBorders>
              <w:bottom w:val="single" w:sz="6" w:space="0" w:color="000000"/>
            </w:tcBorders>
          </w:tcPr>
          <w:p>
            <w:pPr>
              <w:pStyle w:val="TableParagraph"/>
              <w:spacing w:line="179" w:lineRule="exact" w:before="3"/>
              <w:ind w:right="113"/>
              <w:jc w:val="right"/>
              <w:rPr>
                <w:sz w:val="16"/>
              </w:rPr>
            </w:pPr>
            <w:r>
              <w:rPr>
                <w:spacing w:val="-5"/>
                <w:w w:val="105"/>
                <w:sz w:val="16"/>
              </w:rPr>
              <w:t>83</w:t>
            </w:r>
          </w:p>
        </w:tc>
        <w:tc>
          <w:tcPr>
            <w:tcW w:w="1376" w:type="dxa"/>
            <w:tcBorders>
              <w:bottom w:val="single" w:sz="6" w:space="0" w:color="000000"/>
            </w:tcBorders>
          </w:tcPr>
          <w:p>
            <w:pPr>
              <w:pStyle w:val="TableParagraph"/>
              <w:spacing w:line="179" w:lineRule="exact" w:before="3"/>
              <w:ind w:right="113"/>
              <w:jc w:val="right"/>
              <w:rPr>
                <w:sz w:val="16"/>
              </w:rPr>
            </w:pPr>
            <w:r>
              <w:rPr>
                <w:spacing w:val="-5"/>
                <w:w w:val="105"/>
                <w:sz w:val="16"/>
              </w:rPr>
              <w:t>401</w:t>
            </w:r>
          </w:p>
        </w:tc>
        <w:tc>
          <w:tcPr>
            <w:tcW w:w="1376" w:type="dxa"/>
            <w:tcBorders>
              <w:bottom w:val="single" w:sz="6" w:space="0" w:color="000000"/>
            </w:tcBorders>
          </w:tcPr>
          <w:p>
            <w:pPr>
              <w:pStyle w:val="TableParagraph"/>
              <w:spacing w:line="179" w:lineRule="exact" w:before="3"/>
              <w:ind w:right="114"/>
              <w:jc w:val="right"/>
              <w:rPr>
                <w:sz w:val="16"/>
              </w:rPr>
            </w:pPr>
            <w:r>
              <w:rPr>
                <w:spacing w:val="-5"/>
                <w:w w:val="105"/>
                <w:sz w:val="16"/>
              </w:rPr>
              <w:t>86</w:t>
            </w:r>
          </w:p>
        </w:tc>
      </w:tr>
      <w:tr>
        <w:trPr>
          <w:trHeight w:val="201" w:hRule="atLeast"/>
        </w:trPr>
        <w:tc>
          <w:tcPr>
            <w:tcW w:w="2529" w:type="dxa"/>
            <w:tcBorders>
              <w:top w:val="single" w:sz="6" w:space="0" w:color="000000"/>
              <w:bottom w:val="single" w:sz="6" w:space="0" w:color="000000"/>
            </w:tcBorders>
            <w:shd w:val="clear" w:color="auto" w:fill="CCEDFF"/>
          </w:tcPr>
          <w:p>
            <w:pPr>
              <w:pStyle w:val="TableParagraph"/>
              <w:spacing w:line="179" w:lineRule="exact" w:before="2"/>
              <w:ind w:left="305"/>
              <w:rPr>
                <w:sz w:val="16"/>
              </w:rPr>
            </w:pPr>
            <w:r>
              <w:rPr>
                <w:w w:val="105"/>
                <w:sz w:val="16"/>
              </w:rPr>
              <w:t>Total</w:t>
            </w:r>
            <w:r>
              <w:rPr>
                <w:spacing w:val="-8"/>
                <w:w w:val="105"/>
                <w:sz w:val="16"/>
              </w:rPr>
              <w:t> </w:t>
            </w:r>
            <w:r>
              <w:rPr>
                <w:w w:val="105"/>
                <w:sz w:val="16"/>
              </w:rPr>
              <w:t>Asia</w:t>
            </w:r>
            <w:r>
              <w:rPr>
                <w:spacing w:val="-7"/>
                <w:w w:val="105"/>
                <w:sz w:val="16"/>
              </w:rPr>
              <w:t> </w:t>
            </w:r>
            <w:r>
              <w:rPr>
                <w:spacing w:val="-2"/>
                <w:w w:val="105"/>
                <w:sz w:val="16"/>
              </w:rPr>
              <w:t>Pacific</w:t>
            </w:r>
          </w:p>
        </w:tc>
        <w:tc>
          <w:tcPr>
            <w:tcW w:w="2108" w:type="dxa"/>
            <w:tcBorders>
              <w:top w:val="single" w:sz="6" w:space="0" w:color="000000"/>
              <w:bottom w:val="single" w:sz="6" w:space="0" w:color="000000"/>
            </w:tcBorders>
            <w:shd w:val="clear" w:color="auto" w:fill="CCEDFF"/>
          </w:tcPr>
          <w:p>
            <w:pPr>
              <w:pStyle w:val="TableParagraph"/>
              <w:spacing w:line="179" w:lineRule="exact" w:before="2"/>
              <w:ind w:right="112"/>
              <w:jc w:val="right"/>
              <w:rPr>
                <w:b/>
                <w:sz w:val="16"/>
              </w:rPr>
            </w:pPr>
            <w:r>
              <w:rPr>
                <w:b/>
                <w:spacing w:val="-4"/>
                <w:w w:val="105"/>
                <w:sz w:val="16"/>
              </w:rPr>
              <w:t>7,357</w:t>
            </w:r>
          </w:p>
        </w:tc>
        <w:tc>
          <w:tcPr>
            <w:tcW w:w="1376" w:type="dxa"/>
            <w:tcBorders>
              <w:top w:val="single" w:sz="6" w:space="0" w:color="000000"/>
              <w:bottom w:val="single" w:sz="6" w:space="0" w:color="000000"/>
            </w:tcBorders>
            <w:shd w:val="clear" w:color="auto" w:fill="CCEDFF"/>
          </w:tcPr>
          <w:p>
            <w:pPr>
              <w:pStyle w:val="TableParagraph"/>
              <w:spacing w:line="179" w:lineRule="exact" w:before="2"/>
              <w:ind w:right="113"/>
              <w:jc w:val="right"/>
              <w:rPr>
                <w:b/>
                <w:sz w:val="16"/>
              </w:rPr>
            </w:pPr>
            <w:r>
              <w:rPr>
                <w:b/>
                <w:spacing w:val="-2"/>
                <w:w w:val="105"/>
                <w:sz w:val="16"/>
              </w:rPr>
              <w:t>10,948</w:t>
            </w:r>
          </w:p>
        </w:tc>
        <w:tc>
          <w:tcPr>
            <w:tcW w:w="1376" w:type="dxa"/>
            <w:tcBorders>
              <w:top w:val="single" w:sz="6" w:space="0" w:color="000000"/>
              <w:bottom w:val="single" w:sz="6" w:space="0" w:color="000000"/>
            </w:tcBorders>
            <w:shd w:val="clear" w:color="auto" w:fill="CCEDFF"/>
          </w:tcPr>
          <w:p>
            <w:pPr>
              <w:pStyle w:val="TableParagraph"/>
              <w:spacing w:line="179" w:lineRule="exact" w:before="2"/>
              <w:ind w:right="113"/>
              <w:jc w:val="right"/>
              <w:rPr>
                <w:sz w:val="16"/>
              </w:rPr>
            </w:pPr>
            <w:r>
              <w:rPr>
                <w:spacing w:val="-4"/>
                <w:w w:val="105"/>
                <w:sz w:val="16"/>
              </w:rPr>
              <w:t>6,214</w:t>
            </w:r>
          </w:p>
        </w:tc>
        <w:tc>
          <w:tcPr>
            <w:tcW w:w="1376" w:type="dxa"/>
            <w:tcBorders>
              <w:top w:val="single" w:sz="6" w:space="0" w:color="000000"/>
              <w:bottom w:val="single" w:sz="6" w:space="0" w:color="000000"/>
            </w:tcBorders>
            <w:shd w:val="clear" w:color="auto" w:fill="CCEDFF"/>
          </w:tcPr>
          <w:p>
            <w:pPr>
              <w:pStyle w:val="TableParagraph"/>
              <w:spacing w:line="179" w:lineRule="exact" w:before="2"/>
              <w:ind w:right="113"/>
              <w:jc w:val="right"/>
              <w:rPr>
                <w:sz w:val="16"/>
              </w:rPr>
            </w:pPr>
            <w:r>
              <w:rPr>
                <w:spacing w:val="-2"/>
                <w:w w:val="105"/>
                <w:sz w:val="16"/>
              </w:rPr>
              <w:t>10,979</w:t>
            </w:r>
          </w:p>
        </w:tc>
        <w:tc>
          <w:tcPr>
            <w:tcW w:w="1376" w:type="dxa"/>
            <w:tcBorders>
              <w:top w:val="single" w:sz="6" w:space="0" w:color="000000"/>
              <w:bottom w:val="single" w:sz="6" w:space="0" w:color="000000"/>
            </w:tcBorders>
            <w:shd w:val="clear" w:color="auto" w:fill="CCEDFF"/>
          </w:tcPr>
          <w:p>
            <w:pPr>
              <w:pStyle w:val="TableParagraph"/>
              <w:spacing w:line="179" w:lineRule="exact" w:before="2"/>
              <w:ind w:right="113"/>
              <w:jc w:val="right"/>
              <w:rPr>
                <w:sz w:val="16"/>
              </w:rPr>
            </w:pPr>
            <w:r>
              <w:rPr>
                <w:spacing w:val="-4"/>
                <w:w w:val="105"/>
                <w:sz w:val="16"/>
              </w:rPr>
              <w:t>5,869</w:t>
            </w:r>
          </w:p>
        </w:tc>
        <w:tc>
          <w:tcPr>
            <w:tcW w:w="1376" w:type="dxa"/>
            <w:tcBorders>
              <w:top w:val="single" w:sz="6" w:space="0" w:color="000000"/>
              <w:bottom w:val="single" w:sz="6" w:space="0" w:color="000000"/>
            </w:tcBorders>
            <w:shd w:val="clear" w:color="auto" w:fill="CCEDFF"/>
          </w:tcPr>
          <w:p>
            <w:pPr>
              <w:pStyle w:val="TableParagraph"/>
              <w:spacing w:line="179" w:lineRule="exact" w:before="2"/>
              <w:ind w:right="114"/>
              <w:jc w:val="right"/>
              <w:rPr>
                <w:sz w:val="16"/>
              </w:rPr>
            </w:pPr>
            <w:r>
              <w:rPr>
                <w:spacing w:val="-2"/>
                <w:w w:val="105"/>
                <w:sz w:val="16"/>
              </w:rPr>
              <w:t>10,700</w:t>
            </w:r>
          </w:p>
        </w:tc>
      </w:tr>
    </w:tbl>
    <w:p>
      <w:pPr>
        <w:pStyle w:val="BodyText"/>
        <w:spacing w:before="1"/>
        <w:rPr>
          <w:sz w:val="18"/>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9"/>
        <w:gridCol w:w="2108"/>
        <w:gridCol w:w="1376"/>
        <w:gridCol w:w="1376"/>
        <w:gridCol w:w="1376"/>
        <w:gridCol w:w="1376"/>
        <w:gridCol w:w="1376"/>
      </w:tblGrid>
      <w:tr>
        <w:trPr>
          <w:trHeight w:val="203" w:hRule="atLeast"/>
        </w:trPr>
        <w:tc>
          <w:tcPr>
            <w:tcW w:w="2529" w:type="dxa"/>
            <w:shd w:val="clear" w:color="auto" w:fill="CCEDFF"/>
          </w:tcPr>
          <w:p>
            <w:pPr>
              <w:pStyle w:val="TableParagraph"/>
              <w:spacing w:line="180" w:lineRule="exact" w:before="3"/>
              <w:rPr>
                <w:sz w:val="16"/>
              </w:rPr>
            </w:pPr>
            <w:r>
              <w:rPr>
                <w:spacing w:val="-2"/>
                <w:w w:val="105"/>
                <w:sz w:val="16"/>
              </w:rPr>
              <w:t>Europe:</w:t>
            </w:r>
          </w:p>
        </w:tc>
        <w:tc>
          <w:tcPr>
            <w:tcW w:w="8988" w:type="dxa"/>
            <w:gridSpan w:val="6"/>
            <w:shd w:val="clear" w:color="auto" w:fill="CCEDFF"/>
          </w:tcPr>
          <w:p>
            <w:pPr>
              <w:pStyle w:val="TableParagraph"/>
              <w:rPr>
                <w:sz w:val="14"/>
              </w:rPr>
            </w:pPr>
          </w:p>
        </w:tc>
      </w:tr>
      <w:tr>
        <w:trPr>
          <w:trHeight w:val="203" w:hRule="atLeast"/>
        </w:trPr>
        <w:tc>
          <w:tcPr>
            <w:tcW w:w="2529" w:type="dxa"/>
          </w:tcPr>
          <w:p>
            <w:pPr>
              <w:pStyle w:val="TableParagraph"/>
              <w:spacing w:line="180" w:lineRule="exact" w:before="3"/>
              <w:ind w:left="152"/>
              <w:rPr>
                <w:sz w:val="16"/>
              </w:rPr>
            </w:pPr>
            <w:r>
              <w:rPr>
                <w:spacing w:val="-2"/>
                <w:w w:val="105"/>
                <w:sz w:val="16"/>
              </w:rPr>
              <w:t>Germany</w:t>
            </w:r>
          </w:p>
        </w:tc>
        <w:tc>
          <w:tcPr>
            <w:tcW w:w="2108" w:type="dxa"/>
          </w:tcPr>
          <w:p>
            <w:pPr>
              <w:pStyle w:val="TableParagraph"/>
              <w:spacing w:line="180" w:lineRule="exact" w:before="3"/>
              <w:ind w:right="112"/>
              <w:jc w:val="right"/>
              <w:rPr>
                <w:b/>
                <w:sz w:val="16"/>
              </w:rPr>
            </w:pPr>
            <w:r>
              <w:rPr>
                <w:b/>
                <w:spacing w:val="-5"/>
                <w:w w:val="105"/>
                <w:sz w:val="16"/>
              </w:rPr>
              <w:t>462</w:t>
            </w:r>
          </w:p>
        </w:tc>
        <w:tc>
          <w:tcPr>
            <w:tcW w:w="1376" w:type="dxa"/>
          </w:tcPr>
          <w:p>
            <w:pPr>
              <w:pStyle w:val="TableParagraph"/>
              <w:spacing w:line="180" w:lineRule="exact" w:before="3"/>
              <w:ind w:right="113"/>
              <w:jc w:val="right"/>
              <w:rPr>
                <w:b/>
                <w:sz w:val="16"/>
              </w:rPr>
            </w:pPr>
            <w:r>
              <w:rPr>
                <w:b/>
                <w:spacing w:val="-5"/>
                <w:w w:val="105"/>
                <w:sz w:val="16"/>
              </w:rPr>
              <w:t>500</w:t>
            </w:r>
          </w:p>
        </w:tc>
        <w:tc>
          <w:tcPr>
            <w:tcW w:w="1376" w:type="dxa"/>
          </w:tcPr>
          <w:p>
            <w:pPr>
              <w:pStyle w:val="TableParagraph"/>
              <w:spacing w:line="180" w:lineRule="exact" w:before="3"/>
              <w:ind w:right="113"/>
              <w:jc w:val="right"/>
              <w:rPr>
                <w:sz w:val="16"/>
              </w:rPr>
            </w:pPr>
            <w:r>
              <w:rPr>
                <w:spacing w:val="-5"/>
                <w:w w:val="105"/>
                <w:sz w:val="16"/>
              </w:rPr>
              <w:t>378</w:t>
            </w:r>
          </w:p>
        </w:tc>
        <w:tc>
          <w:tcPr>
            <w:tcW w:w="1376" w:type="dxa"/>
          </w:tcPr>
          <w:p>
            <w:pPr>
              <w:pStyle w:val="TableParagraph"/>
              <w:spacing w:line="180" w:lineRule="exact" w:before="3"/>
              <w:ind w:right="113"/>
              <w:jc w:val="right"/>
              <w:rPr>
                <w:sz w:val="16"/>
              </w:rPr>
            </w:pPr>
            <w:r>
              <w:rPr>
                <w:spacing w:val="-5"/>
                <w:w w:val="105"/>
                <w:sz w:val="16"/>
              </w:rPr>
              <w:t>579</w:t>
            </w:r>
          </w:p>
        </w:tc>
        <w:tc>
          <w:tcPr>
            <w:tcW w:w="1376" w:type="dxa"/>
          </w:tcPr>
          <w:p>
            <w:pPr>
              <w:pStyle w:val="TableParagraph"/>
              <w:spacing w:line="180" w:lineRule="exact" w:before="3"/>
              <w:ind w:right="113"/>
              <w:jc w:val="right"/>
              <w:rPr>
                <w:sz w:val="16"/>
              </w:rPr>
            </w:pPr>
            <w:r>
              <w:rPr>
                <w:spacing w:val="-5"/>
                <w:w w:val="105"/>
                <w:sz w:val="16"/>
              </w:rPr>
              <w:t>435</w:t>
            </w:r>
          </w:p>
        </w:tc>
        <w:tc>
          <w:tcPr>
            <w:tcW w:w="1376" w:type="dxa"/>
          </w:tcPr>
          <w:p>
            <w:pPr>
              <w:pStyle w:val="TableParagraph"/>
              <w:spacing w:line="180" w:lineRule="exact" w:before="3"/>
              <w:ind w:right="114"/>
              <w:jc w:val="right"/>
              <w:rPr>
                <w:sz w:val="16"/>
              </w:rPr>
            </w:pPr>
            <w:r>
              <w:rPr>
                <w:spacing w:val="-5"/>
                <w:w w:val="105"/>
                <w:sz w:val="16"/>
              </w:rPr>
              <w:t>546</w:t>
            </w:r>
          </w:p>
        </w:tc>
      </w:tr>
      <w:tr>
        <w:trPr>
          <w:trHeight w:val="202" w:hRule="atLeast"/>
        </w:trPr>
        <w:tc>
          <w:tcPr>
            <w:tcW w:w="2529" w:type="dxa"/>
            <w:tcBorders>
              <w:bottom w:val="single" w:sz="6" w:space="0" w:color="000000"/>
            </w:tcBorders>
            <w:shd w:val="clear" w:color="auto" w:fill="CCEDFF"/>
          </w:tcPr>
          <w:p>
            <w:pPr>
              <w:pStyle w:val="TableParagraph"/>
              <w:spacing w:line="179" w:lineRule="exact" w:before="3"/>
              <w:ind w:left="152"/>
              <w:rPr>
                <w:sz w:val="16"/>
              </w:rPr>
            </w:pPr>
            <w:r>
              <w:rPr>
                <w:spacing w:val="-2"/>
                <w:w w:val="105"/>
                <w:sz w:val="16"/>
              </w:rPr>
              <w:t>Other</w:t>
            </w:r>
          </w:p>
        </w:tc>
        <w:tc>
          <w:tcPr>
            <w:tcW w:w="2108" w:type="dxa"/>
            <w:tcBorders>
              <w:bottom w:val="single" w:sz="6" w:space="0" w:color="000000"/>
            </w:tcBorders>
            <w:shd w:val="clear" w:color="auto" w:fill="CCEDFF"/>
          </w:tcPr>
          <w:p>
            <w:pPr>
              <w:pStyle w:val="TableParagraph"/>
              <w:spacing w:line="179" w:lineRule="exact" w:before="3"/>
              <w:ind w:right="112"/>
              <w:jc w:val="right"/>
              <w:rPr>
                <w:b/>
                <w:sz w:val="16"/>
              </w:rPr>
            </w:pPr>
            <w:r>
              <w:rPr>
                <w:b/>
                <w:spacing w:val="-5"/>
                <w:w w:val="105"/>
                <w:sz w:val="16"/>
              </w:rPr>
              <w:t>925</w:t>
            </w:r>
          </w:p>
        </w:tc>
        <w:tc>
          <w:tcPr>
            <w:tcW w:w="1376" w:type="dxa"/>
            <w:tcBorders>
              <w:bottom w:val="single" w:sz="6" w:space="0" w:color="000000"/>
            </w:tcBorders>
            <w:shd w:val="clear" w:color="auto" w:fill="CCEDFF"/>
          </w:tcPr>
          <w:p>
            <w:pPr>
              <w:pStyle w:val="TableParagraph"/>
              <w:spacing w:line="179" w:lineRule="exact" w:before="3"/>
              <w:ind w:right="113"/>
              <w:jc w:val="right"/>
              <w:rPr>
                <w:b/>
                <w:sz w:val="16"/>
              </w:rPr>
            </w:pPr>
            <w:r>
              <w:rPr>
                <w:b/>
                <w:spacing w:val="-5"/>
                <w:w w:val="105"/>
                <w:sz w:val="16"/>
              </w:rPr>
              <w:t>910</w:t>
            </w:r>
          </w:p>
        </w:tc>
        <w:tc>
          <w:tcPr>
            <w:tcW w:w="1376" w:type="dxa"/>
            <w:tcBorders>
              <w:bottom w:val="single" w:sz="6" w:space="0" w:color="000000"/>
            </w:tcBorders>
            <w:shd w:val="clear" w:color="auto" w:fill="CCEDFF"/>
          </w:tcPr>
          <w:p>
            <w:pPr>
              <w:pStyle w:val="TableParagraph"/>
              <w:spacing w:line="179" w:lineRule="exact" w:before="3"/>
              <w:ind w:right="113"/>
              <w:jc w:val="right"/>
              <w:rPr>
                <w:sz w:val="16"/>
              </w:rPr>
            </w:pPr>
            <w:r>
              <w:rPr>
                <w:spacing w:val="-5"/>
                <w:w w:val="105"/>
                <w:sz w:val="16"/>
              </w:rPr>
              <w:t>838</w:t>
            </w:r>
          </w:p>
        </w:tc>
        <w:tc>
          <w:tcPr>
            <w:tcW w:w="1376" w:type="dxa"/>
            <w:tcBorders>
              <w:bottom w:val="single" w:sz="6" w:space="0" w:color="000000"/>
            </w:tcBorders>
            <w:shd w:val="clear" w:color="auto" w:fill="CCEDFF"/>
          </w:tcPr>
          <w:p>
            <w:pPr>
              <w:pStyle w:val="TableParagraph"/>
              <w:spacing w:line="179" w:lineRule="exact" w:before="3"/>
              <w:ind w:right="113"/>
              <w:jc w:val="right"/>
              <w:rPr>
                <w:sz w:val="16"/>
              </w:rPr>
            </w:pPr>
            <w:r>
              <w:rPr>
                <w:spacing w:val="-5"/>
                <w:w w:val="105"/>
                <w:sz w:val="16"/>
              </w:rPr>
              <w:t>931</w:t>
            </w:r>
          </w:p>
        </w:tc>
        <w:tc>
          <w:tcPr>
            <w:tcW w:w="1376" w:type="dxa"/>
            <w:tcBorders>
              <w:bottom w:val="single" w:sz="6" w:space="0" w:color="000000"/>
            </w:tcBorders>
            <w:shd w:val="clear" w:color="auto" w:fill="CCEDFF"/>
          </w:tcPr>
          <w:p>
            <w:pPr>
              <w:pStyle w:val="TableParagraph"/>
              <w:spacing w:line="179" w:lineRule="exact" w:before="3"/>
              <w:ind w:right="113"/>
              <w:jc w:val="right"/>
              <w:rPr>
                <w:sz w:val="16"/>
              </w:rPr>
            </w:pPr>
            <w:r>
              <w:rPr>
                <w:spacing w:val="-5"/>
                <w:w w:val="105"/>
                <w:sz w:val="16"/>
              </w:rPr>
              <w:t>886</w:t>
            </w:r>
          </w:p>
        </w:tc>
        <w:tc>
          <w:tcPr>
            <w:tcW w:w="1376" w:type="dxa"/>
            <w:tcBorders>
              <w:bottom w:val="single" w:sz="6" w:space="0" w:color="000000"/>
            </w:tcBorders>
            <w:shd w:val="clear" w:color="auto" w:fill="CCEDFF"/>
          </w:tcPr>
          <w:p>
            <w:pPr>
              <w:pStyle w:val="TableParagraph"/>
              <w:spacing w:line="179" w:lineRule="exact" w:before="3"/>
              <w:ind w:right="114"/>
              <w:jc w:val="right"/>
              <w:rPr>
                <w:sz w:val="16"/>
              </w:rPr>
            </w:pPr>
            <w:r>
              <w:rPr>
                <w:spacing w:val="-5"/>
                <w:w w:val="105"/>
                <w:sz w:val="16"/>
              </w:rPr>
              <w:t>914</w:t>
            </w:r>
          </w:p>
        </w:tc>
      </w:tr>
      <w:tr>
        <w:trPr>
          <w:trHeight w:val="201" w:hRule="atLeast"/>
        </w:trPr>
        <w:tc>
          <w:tcPr>
            <w:tcW w:w="2529" w:type="dxa"/>
            <w:tcBorders>
              <w:top w:val="single" w:sz="6" w:space="0" w:color="000000"/>
              <w:bottom w:val="single" w:sz="6" w:space="0" w:color="000000"/>
            </w:tcBorders>
          </w:tcPr>
          <w:p>
            <w:pPr>
              <w:pStyle w:val="TableParagraph"/>
              <w:spacing w:line="179" w:lineRule="exact" w:before="2"/>
              <w:ind w:left="305"/>
              <w:rPr>
                <w:sz w:val="16"/>
              </w:rPr>
            </w:pPr>
            <w:r>
              <w:rPr>
                <w:w w:val="105"/>
                <w:sz w:val="16"/>
              </w:rPr>
              <w:t>Total</w:t>
            </w:r>
            <w:r>
              <w:rPr>
                <w:spacing w:val="-8"/>
                <w:w w:val="105"/>
                <w:sz w:val="16"/>
              </w:rPr>
              <w:t> </w:t>
            </w:r>
            <w:r>
              <w:rPr>
                <w:spacing w:val="-2"/>
                <w:w w:val="105"/>
                <w:sz w:val="16"/>
              </w:rPr>
              <w:t>Europe</w:t>
            </w:r>
          </w:p>
        </w:tc>
        <w:tc>
          <w:tcPr>
            <w:tcW w:w="2108" w:type="dxa"/>
            <w:tcBorders>
              <w:top w:val="single" w:sz="6" w:space="0" w:color="000000"/>
              <w:bottom w:val="single" w:sz="6" w:space="0" w:color="000000"/>
            </w:tcBorders>
          </w:tcPr>
          <w:p>
            <w:pPr>
              <w:pStyle w:val="TableParagraph"/>
              <w:spacing w:line="179" w:lineRule="exact" w:before="2"/>
              <w:ind w:right="112"/>
              <w:jc w:val="right"/>
              <w:rPr>
                <w:b/>
                <w:sz w:val="16"/>
              </w:rPr>
            </w:pPr>
            <w:r>
              <w:rPr>
                <w:b/>
                <w:spacing w:val="-4"/>
                <w:w w:val="105"/>
                <w:sz w:val="16"/>
              </w:rPr>
              <w:t>1,387</w:t>
            </w:r>
          </w:p>
        </w:tc>
        <w:tc>
          <w:tcPr>
            <w:tcW w:w="1376" w:type="dxa"/>
            <w:tcBorders>
              <w:top w:val="single" w:sz="6" w:space="0" w:color="000000"/>
              <w:bottom w:val="single" w:sz="6" w:space="0" w:color="000000"/>
            </w:tcBorders>
          </w:tcPr>
          <w:p>
            <w:pPr>
              <w:pStyle w:val="TableParagraph"/>
              <w:spacing w:line="179" w:lineRule="exact" w:before="2"/>
              <w:ind w:right="113"/>
              <w:jc w:val="right"/>
              <w:rPr>
                <w:b/>
                <w:sz w:val="16"/>
              </w:rPr>
            </w:pPr>
            <w:r>
              <w:rPr>
                <w:b/>
                <w:spacing w:val="-4"/>
                <w:w w:val="105"/>
                <w:sz w:val="16"/>
              </w:rPr>
              <w:t>1,410</w:t>
            </w:r>
          </w:p>
        </w:tc>
        <w:tc>
          <w:tcPr>
            <w:tcW w:w="1376" w:type="dxa"/>
            <w:tcBorders>
              <w:top w:val="single" w:sz="6" w:space="0" w:color="000000"/>
              <w:bottom w:val="single" w:sz="6" w:space="0" w:color="000000"/>
            </w:tcBorders>
          </w:tcPr>
          <w:p>
            <w:pPr>
              <w:pStyle w:val="TableParagraph"/>
              <w:spacing w:line="179" w:lineRule="exact" w:before="2"/>
              <w:ind w:right="113"/>
              <w:jc w:val="right"/>
              <w:rPr>
                <w:sz w:val="16"/>
              </w:rPr>
            </w:pPr>
            <w:r>
              <w:rPr>
                <w:spacing w:val="-4"/>
                <w:w w:val="105"/>
                <w:sz w:val="16"/>
              </w:rPr>
              <w:t>1,216</w:t>
            </w:r>
          </w:p>
        </w:tc>
        <w:tc>
          <w:tcPr>
            <w:tcW w:w="1376" w:type="dxa"/>
            <w:tcBorders>
              <w:top w:val="single" w:sz="6" w:space="0" w:color="000000"/>
              <w:bottom w:val="single" w:sz="6" w:space="0" w:color="000000"/>
            </w:tcBorders>
          </w:tcPr>
          <w:p>
            <w:pPr>
              <w:pStyle w:val="TableParagraph"/>
              <w:spacing w:line="179" w:lineRule="exact" w:before="2"/>
              <w:ind w:right="113"/>
              <w:jc w:val="right"/>
              <w:rPr>
                <w:sz w:val="16"/>
              </w:rPr>
            </w:pPr>
            <w:r>
              <w:rPr>
                <w:spacing w:val="-4"/>
                <w:w w:val="105"/>
                <w:sz w:val="16"/>
              </w:rPr>
              <w:t>1,510</w:t>
            </w:r>
          </w:p>
        </w:tc>
        <w:tc>
          <w:tcPr>
            <w:tcW w:w="1376" w:type="dxa"/>
            <w:tcBorders>
              <w:top w:val="single" w:sz="6" w:space="0" w:color="000000"/>
              <w:bottom w:val="single" w:sz="6" w:space="0" w:color="000000"/>
            </w:tcBorders>
          </w:tcPr>
          <w:p>
            <w:pPr>
              <w:pStyle w:val="TableParagraph"/>
              <w:spacing w:line="179" w:lineRule="exact" w:before="2"/>
              <w:ind w:right="113"/>
              <w:jc w:val="right"/>
              <w:rPr>
                <w:sz w:val="16"/>
              </w:rPr>
            </w:pPr>
            <w:r>
              <w:rPr>
                <w:spacing w:val="-4"/>
                <w:w w:val="105"/>
                <w:sz w:val="16"/>
              </w:rPr>
              <w:t>1,321</w:t>
            </w:r>
          </w:p>
        </w:tc>
        <w:tc>
          <w:tcPr>
            <w:tcW w:w="1376" w:type="dxa"/>
            <w:tcBorders>
              <w:top w:val="single" w:sz="6" w:space="0" w:color="000000"/>
              <w:bottom w:val="single" w:sz="6" w:space="0" w:color="000000"/>
            </w:tcBorders>
          </w:tcPr>
          <w:p>
            <w:pPr>
              <w:pStyle w:val="TableParagraph"/>
              <w:spacing w:line="179" w:lineRule="exact" w:before="2"/>
              <w:ind w:right="114"/>
              <w:jc w:val="right"/>
              <w:rPr>
                <w:sz w:val="16"/>
              </w:rPr>
            </w:pPr>
            <w:r>
              <w:rPr>
                <w:spacing w:val="-4"/>
                <w:w w:val="105"/>
                <w:sz w:val="16"/>
              </w:rPr>
              <w:t>1,460</w:t>
            </w:r>
          </w:p>
        </w:tc>
      </w:tr>
      <w:tr>
        <w:trPr>
          <w:trHeight w:val="202" w:hRule="atLeast"/>
        </w:trPr>
        <w:tc>
          <w:tcPr>
            <w:tcW w:w="2529" w:type="dxa"/>
            <w:tcBorders>
              <w:top w:val="single" w:sz="6" w:space="0" w:color="000000"/>
            </w:tcBorders>
            <w:shd w:val="clear" w:color="auto" w:fill="CCEDFF"/>
          </w:tcPr>
          <w:p>
            <w:pPr>
              <w:pStyle w:val="TableParagraph"/>
              <w:rPr>
                <w:sz w:val="14"/>
              </w:rPr>
            </w:pPr>
          </w:p>
        </w:tc>
        <w:tc>
          <w:tcPr>
            <w:tcW w:w="2108" w:type="dxa"/>
            <w:tcBorders>
              <w:top w:val="single" w:sz="6" w:space="0" w:color="000000"/>
            </w:tcBorders>
            <w:shd w:val="clear" w:color="auto" w:fill="CCEDFF"/>
          </w:tcPr>
          <w:p>
            <w:pPr>
              <w:pStyle w:val="TableParagraph"/>
              <w:rPr>
                <w:sz w:val="14"/>
              </w:rPr>
            </w:pPr>
          </w:p>
        </w:tc>
        <w:tc>
          <w:tcPr>
            <w:tcW w:w="1376" w:type="dxa"/>
            <w:tcBorders>
              <w:top w:val="single" w:sz="6" w:space="0" w:color="000000"/>
            </w:tcBorders>
            <w:shd w:val="clear" w:color="auto" w:fill="CCEDFF"/>
          </w:tcPr>
          <w:p>
            <w:pPr>
              <w:pStyle w:val="TableParagraph"/>
              <w:rPr>
                <w:sz w:val="14"/>
              </w:rPr>
            </w:pPr>
          </w:p>
        </w:tc>
        <w:tc>
          <w:tcPr>
            <w:tcW w:w="1376" w:type="dxa"/>
            <w:tcBorders>
              <w:top w:val="single" w:sz="6" w:space="0" w:color="000000"/>
            </w:tcBorders>
            <w:shd w:val="clear" w:color="auto" w:fill="CCEDFF"/>
          </w:tcPr>
          <w:p>
            <w:pPr>
              <w:pStyle w:val="TableParagraph"/>
              <w:rPr>
                <w:sz w:val="14"/>
              </w:rPr>
            </w:pPr>
          </w:p>
        </w:tc>
        <w:tc>
          <w:tcPr>
            <w:tcW w:w="1376" w:type="dxa"/>
            <w:tcBorders>
              <w:top w:val="single" w:sz="6" w:space="0" w:color="000000"/>
            </w:tcBorders>
            <w:shd w:val="clear" w:color="auto" w:fill="CCEDFF"/>
          </w:tcPr>
          <w:p>
            <w:pPr>
              <w:pStyle w:val="TableParagraph"/>
              <w:rPr>
                <w:sz w:val="14"/>
              </w:rPr>
            </w:pPr>
          </w:p>
        </w:tc>
        <w:tc>
          <w:tcPr>
            <w:tcW w:w="1376" w:type="dxa"/>
            <w:tcBorders>
              <w:top w:val="single" w:sz="6" w:space="0" w:color="000000"/>
            </w:tcBorders>
            <w:shd w:val="clear" w:color="auto" w:fill="CCEDFF"/>
          </w:tcPr>
          <w:p>
            <w:pPr>
              <w:pStyle w:val="TableParagraph"/>
              <w:rPr>
                <w:sz w:val="14"/>
              </w:rPr>
            </w:pPr>
          </w:p>
        </w:tc>
        <w:tc>
          <w:tcPr>
            <w:tcW w:w="1376" w:type="dxa"/>
            <w:tcBorders>
              <w:top w:val="single" w:sz="6" w:space="0" w:color="000000"/>
            </w:tcBorders>
            <w:shd w:val="clear" w:color="auto" w:fill="CCEDFF"/>
          </w:tcPr>
          <w:p>
            <w:pPr>
              <w:pStyle w:val="TableParagraph"/>
              <w:rPr>
                <w:sz w:val="14"/>
              </w:rPr>
            </w:pPr>
          </w:p>
        </w:tc>
      </w:tr>
      <w:tr>
        <w:trPr>
          <w:trHeight w:val="202" w:hRule="atLeast"/>
        </w:trPr>
        <w:tc>
          <w:tcPr>
            <w:tcW w:w="2529" w:type="dxa"/>
            <w:tcBorders>
              <w:bottom w:val="single" w:sz="6" w:space="0" w:color="000000"/>
            </w:tcBorders>
          </w:tcPr>
          <w:p>
            <w:pPr>
              <w:pStyle w:val="TableParagraph"/>
              <w:spacing w:line="179" w:lineRule="exact" w:before="3"/>
              <w:rPr>
                <w:sz w:val="16"/>
              </w:rPr>
            </w:pPr>
            <w:r>
              <w:rPr>
                <w:w w:val="105"/>
                <w:sz w:val="16"/>
              </w:rPr>
              <w:t>All</w:t>
            </w:r>
            <w:r>
              <w:rPr>
                <w:spacing w:val="-8"/>
                <w:w w:val="105"/>
                <w:sz w:val="16"/>
              </w:rPr>
              <w:t> </w:t>
            </w:r>
            <w:r>
              <w:rPr>
                <w:spacing w:val="-2"/>
                <w:w w:val="105"/>
                <w:sz w:val="16"/>
              </w:rPr>
              <w:t>Other</w:t>
            </w:r>
          </w:p>
        </w:tc>
        <w:tc>
          <w:tcPr>
            <w:tcW w:w="2108" w:type="dxa"/>
            <w:tcBorders>
              <w:bottom w:val="single" w:sz="6" w:space="0" w:color="000000"/>
            </w:tcBorders>
          </w:tcPr>
          <w:p>
            <w:pPr>
              <w:pStyle w:val="TableParagraph"/>
              <w:spacing w:line="179" w:lineRule="exact" w:before="3"/>
              <w:ind w:right="112"/>
              <w:jc w:val="right"/>
              <w:rPr>
                <w:b/>
                <w:sz w:val="16"/>
              </w:rPr>
            </w:pPr>
            <w:r>
              <w:rPr>
                <w:b/>
                <w:spacing w:val="-5"/>
                <w:w w:val="105"/>
                <w:sz w:val="16"/>
              </w:rPr>
              <w:t>272</w:t>
            </w:r>
          </w:p>
        </w:tc>
        <w:tc>
          <w:tcPr>
            <w:tcW w:w="1376" w:type="dxa"/>
            <w:tcBorders>
              <w:bottom w:val="single" w:sz="6" w:space="0" w:color="000000"/>
            </w:tcBorders>
          </w:tcPr>
          <w:p>
            <w:pPr>
              <w:pStyle w:val="TableParagraph"/>
              <w:spacing w:line="179" w:lineRule="exact" w:before="3"/>
              <w:ind w:right="113"/>
              <w:jc w:val="right"/>
              <w:rPr>
                <w:b/>
                <w:sz w:val="16"/>
              </w:rPr>
            </w:pPr>
            <w:r>
              <w:rPr>
                <w:b/>
                <w:spacing w:val="-5"/>
                <w:w w:val="105"/>
                <w:sz w:val="16"/>
              </w:rPr>
              <w:t>68</w:t>
            </w:r>
          </w:p>
        </w:tc>
        <w:tc>
          <w:tcPr>
            <w:tcW w:w="1376" w:type="dxa"/>
            <w:tcBorders>
              <w:bottom w:val="single" w:sz="6" w:space="0" w:color="000000"/>
            </w:tcBorders>
          </w:tcPr>
          <w:p>
            <w:pPr>
              <w:pStyle w:val="TableParagraph"/>
              <w:spacing w:line="179" w:lineRule="exact" w:before="3"/>
              <w:ind w:right="113"/>
              <w:jc w:val="right"/>
              <w:rPr>
                <w:sz w:val="16"/>
              </w:rPr>
            </w:pPr>
            <w:r>
              <w:rPr>
                <w:spacing w:val="-5"/>
                <w:w w:val="105"/>
                <w:sz w:val="16"/>
              </w:rPr>
              <w:t>261</w:t>
            </w:r>
          </w:p>
        </w:tc>
        <w:tc>
          <w:tcPr>
            <w:tcW w:w="1376" w:type="dxa"/>
            <w:tcBorders>
              <w:bottom w:val="single" w:sz="6" w:space="0" w:color="000000"/>
            </w:tcBorders>
          </w:tcPr>
          <w:p>
            <w:pPr>
              <w:pStyle w:val="TableParagraph"/>
              <w:spacing w:line="179" w:lineRule="exact" w:before="3"/>
              <w:ind w:right="113"/>
              <w:jc w:val="right"/>
              <w:rPr>
                <w:sz w:val="16"/>
              </w:rPr>
            </w:pPr>
            <w:r>
              <w:rPr>
                <w:spacing w:val="-5"/>
                <w:w w:val="105"/>
                <w:sz w:val="16"/>
              </w:rPr>
              <w:t>83</w:t>
            </w:r>
          </w:p>
        </w:tc>
        <w:tc>
          <w:tcPr>
            <w:tcW w:w="1376" w:type="dxa"/>
            <w:tcBorders>
              <w:bottom w:val="single" w:sz="6" w:space="0" w:color="000000"/>
            </w:tcBorders>
          </w:tcPr>
          <w:p>
            <w:pPr>
              <w:pStyle w:val="TableParagraph"/>
              <w:spacing w:line="179" w:lineRule="exact" w:before="3"/>
              <w:ind w:right="113"/>
              <w:jc w:val="right"/>
              <w:rPr>
                <w:sz w:val="16"/>
              </w:rPr>
            </w:pPr>
            <w:r>
              <w:rPr>
                <w:spacing w:val="-5"/>
                <w:w w:val="105"/>
                <w:sz w:val="16"/>
              </w:rPr>
              <w:t>374</w:t>
            </w:r>
          </w:p>
        </w:tc>
        <w:tc>
          <w:tcPr>
            <w:tcW w:w="1376" w:type="dxa"/>
            <w:tcBorders>
              <w:bottom w:val="single" w:sz="6" w:space="0" w:color="000000"/>
            </w:tcBorders>
          </w:tcPr>
          <w:p>
            <w:pPr>
              <w:pStyle w:val="TableParagraph"/>
              <w:spacing w:line="179" w:lineRule="exact" w:before="3"/>
              <w:ind w:right="114"/>
              <w:jc w:val="right"/>
              <w:rPr>
                <w:sz w:val="16"/>
              </w:rPr>
            </w:pPr>
            <w:r>
              <w:rPr>
                <w:spacing w:val="-5"/>
                <w:w w:val="105"/>
                <w:sz w:val="16"/>
              </w:rPr>
              <w:t>71</w:t>
            </w:r>
          </w:p>
        </w:tc>
      </w:tr>
      <w:tr>
        <w:trPr>
          <w:trHeight w:val="199" w:hRule="atLeast"/>
        </w:trPr>
        <w:tc>
          <w:tcPr>
            <w:tcW w:w="2529" w:type="dxa"/>
            <w:tcBorders>
              <w:top w:val="single" w:sz="6" w:space="0" w:color="000000"/>
              <w:bottom w:val="double" w:sz="6" w:space="0" w:color="000000"/>
            </w:tcBorders>
            <w:shd w:val="clear" w:color="auto" w:fill="CCEDFF"/>
          </w:tcPr>
          <w:p>
            <w:pPr>
              <w:pStyle w:val="TableParagraph"/>
              <w:spacing w:line="177" w:lineRule="exact" w:before="2"/>
              <w:ind w:left="305"/>
              <w:rPr>
                <w:sz w:val="16"/>
              </w:rPr>
            </w:pPr>
            <w:r>
              <w:rPr>
                <w:spacing w:val="-4"/>
                <w:w w:val="105"/>
                <w:sz w:val="16"/>
              </w:rPr>
              <w:t>Total</w:t>
            </w:r>
          </w:p>
        </w:tc>
        <w:tc>
          <w:tcPr>
            <w:tcW w:w="2108" w:type="dxa"/>
            <w:tcBorders>
              <w:top w:val="single" w:sz="6" w:space="0" w:color="000000"/>
              <w:bottom w:val="double" w:sz="6" w:space="0" w:color="000000"/>
            </w:tcBorders>
            <w:shd w:val="clear" w:color="auto" w:fill="CCEDFF"/>
          </w:tcPr>
          <w:p>
            <w:pPr>
              <w:pStyle w:val="TableParagraph"/>
              <w:tabs>
                <w:tab w:pos="703" w:val="left" w:leader="none"/>
              </w:tabs>
              <w:spacing w:line="177" w:lineRule="exact" w:before="2"/>
              <w:ind w:right="112"/>
              <w:jc w:val="right"/>
              <w:rPr>
                <w:b/>
                <w:sz w:val="16"/>
              </w:rPr>
            </w:pPr>
            <w:r>
              <w:rPr>
                <w:b/>
                <w:spacing w:val="-10"/>
                <w:w w:val="105"/>
                <w:sz w:val="16"/>
              </w:rPr>
              <w:t>$</w:t>
            </w:r>
            <w:r>
              <w:rPr>
                <w:b/>
                <w:sz w:val="16"/>
              </w:rPr>
              <w:tab/>
            </w:r>
            <w:r>
              <w:rPr>
                <w:b/>
                <w:spacing w:val="-2"/>
                <w:w w:val="105"/>
                <w:sz w:val="16"/>
              </w:rPr>
              <w:t>14,120</w:t>
            </w:r>
          </w:p>
        </w:tc>
        <w:tc>
          <w:tcPr>
            <w:tcW w:w="1376" w:type="dxa"/>
            <w:tcBorders>
              <w:top w:val="single" w:sz="6" w:space="0" w:color="000000"/>
              <w:bottom w:val="double" w:sz="6" w:space="0" w:color="000000"/>
            </w:tcBorders>
            <w:shd w:val="clear" w:color="auto" w:fill="CCEDFF"/>
          </w:tcPr>
          <w:p>
            <w:pPr>
              <w:pStyle w:val="TableParagraph"/>
              <w:tabs>
                <w:tab w:pos="690" w:val="left" w:leader="none"/>
              </w:tabs>
              <w:spacing w:line="177" w:lineRule="exact" w:before="2"/>
              <w:ind w:right="113"/>
              <w:jc w:val="right"/>
              <w:rPr>
                <w:b/>
                <w:sz w:val="16"/>
              </w:rPr>
            </w:pPr>
            <w:r>
              <w:rPr>
                <w:b/>
                <w:spacing w:val="-10"/>
                <w:w w:val="105"/>
                <w:sz w:val="16"/>
              </w:rPr>
              <w:t>$</w:t>
            </w:r>
            <w:r>
              <w:rPr>
                <w:b/>
                <w:sz w:val="16"/>
              </w:rPr>
              <w:tab/>
            </w:r>
            <w:r>
              <w:rPr>
                <w:b/>
                <w:spacing w:val="-2"/>
                <w:w w:val="105"/>
                <w:sz w:val="16"/>
              </w:rPr>
              <w:t>21,429</w:t>
            </w:r>
          </w:p>
        </w:tc>
        <w:tc>
          <w:tcPr>
            <w:tcW w:w="1376" w:type="dxa"/>
            <w:tcBorders>
              <w:top w:val="single" w:sz="6" w:space="0" w:color="000000"/>
              <w:bottom w:val="double" w:sz="6" w:space="0" w:color="000000"/>
            </w:tcBorders>
            <w:shd w:val="clear" w:color="auto" w:fill="CCEDFF"/>
          </w:tcPr>
          <w:p>
            <w:pPr>
              <w:pStyle w:val="TableParagraph"/>
              <w:tabs>
                <w:tab w:pos="690" w:val="left" w:leader="none"/>
              </w:tabs>
              <w:spacing w:line="177" w:lineRule="exact" w:before="2"/>
              <w:ind w:right="113"/>
              <w:jc w:val="right"/>
              <w:rPr>
                <w:sz w:val="16"/>
              </w:rPr>
            </w:pPr>
            <w:r>
              <w:rPr>
                <w:spacing w:val="-10"/>
                <w:w w:val="105"/>
                <w:sz w:val="16"/>
              </w:rPr>
              <w:t>$</w:t>
            </w:r>
            <w:r>
              <w:rPr>
                <w:sz w:val="16"/>
              </w:rPr>
              <w:tab/>
            </w:r>
            <w:r>
              <w:rPr>
                <w:spacing w:val="-2"/>
                <w:w w:val="105"/>
                <w:sz w:val="16"/>
              </w:rPr>
              <w:t>11,452</w:t>
            </w:r>
          </w:p>
        </w:tc>
        <w:tc>
          <w:tcPr>
            <w:tcW w:w="1376" w:type="dxa"/>
            <w:tcBorders>
              <w:top w:val="single" w:sz="6" w:space="0" w:color="000000"/>
              <w:bottom w:val="double" w:sz="6" w:space="0" w:color="000000"/>
            </w:tcBorders>
            <w:shd w:val="clear" w:color="auto" w:fill="CCEDFF"/>
          </w:tcPr>
          <w:p>
            <w:pPr>
              <w:pStyle w:val="TableParagraph"/>
              <w:tabs>
                <w:tab w:pos="690" w:val="left" w:leader="none"/>
              </w:tabs>
              <w:spacing w:line="177" w:lineRule="exact" w:before="2"/>
              <w:ind w:right="113"/>
              <w:jc w:val="right"/>
              <w:rPr>
                <w:sz w:val="16"/>
              </w:rPr>
            </w:pPr>
            <w:r>
              <w:rPr>
                <w:spacing w:val="-10"/>
                <w:w w:val="105"/>
                <w:sz w:val="16"/>
              </w:rPr>
              <w:t>$</w:t>
            </w:r>
            <w:r>
              <w:rPr>
                <w:sz w:val="16"/>
              </w:rPr>
              <w:tab/>
            </w:r>
            <w:r>
              <w:rPr>
                <w:spacing w:val="-2"/>
                <w:w w:val="105"/>
                <w:sz w:val="16"/>
              </w:rPr>
              <w:t>21,650</w:t>
            </w:r>
          </w:p>
        </w:tc>
        <w:tc>
          <w:tcPr>
            <w:tcW w:w="1376" w:type="dxa"/>
            <w:tcBorders>
              <w:top w:val="single" w:sz="6" w:space="0" w:color="000000"/>
              <w:bottom w:val="double" w:sz="6" w:space="0" w:color="000000"/>
            </w:tcBorders>
            <w:shd w:val="clear" w:color="auto" w:fill="CCEDFF"/>
          </w:tcPr>
          <w:p>
            <w:pPr>
              <w:pStyle w:val="TableParagraph"/>
              <w:tabs>
                <w:tab w:pos="690" w:val="left" w:leader="none"/>
              </w:tabs>
              <w:spacing w:line="177" w:lineRule="exact" w:before="2"/>
              <w:ind w:right="113"/>
              <w:jc w:val="right"/>
              <w:rPr>
                <w:sz w:val="16"/>
              </w:rPr>
            </w:pPr>
            <w:r>
              <w:rPr>
                <w:spacing w:val="-10"/>
                <w:w w:val="105"/>
                <w:sz w:val="16"/>
              </w:rPr>
              <w:t>$</w:t>
            </w:r>
            <w:r>
              <w:rPr>
                <w:sz w:val="16"/>
              </w:rPr>
              <w:tab/>
            </w:r>
            <w:r>
              <w:rPr>
                <w:spacing w:val="-2"/>
                <w:w w:val="105"/>
                <w:sz w:val="16"/>
              </w:rPr>
              <w:t>11,656</w:t>
            </w:r>
          </w:p>
        </w:tc>
        <w:tc>
          <w:tcPr>
            <w:tcW w:w="1376" w:type="dxa"/>
            <w:tcBorders>
              <w:top w:val="single" w:sz="6" w:space="0" w:color="000000"/>
              <w:bottom w:val="double" w:sz="6" w:space="0" w:color="000000"/>
            </w:tcBorders>
            <w:shd w:val="clear" w:color="auto" w:fill="CCEDFF"/>
          </w:tcPr>
          <w:p>
            <w:pPr>
              <w:pStyle w:val="TableParagraph"/>
              <w:tabs>
                <w:tab w:pos="690" w:val="left" w:leader="none"/>
              </w:tabs>
              <w:spacing w:line="177" w:lineRule="exact" w:before="2"/>
              <w:ind w:right="114"/>
              <w:jc w:val="right"/>
              <w:rPr>
                <w:sz w:val="16"/>
              </w:rPr>
            </w:pPr>
            <w:r>
              <w:rPr>
                <w:spacing w:val="-10"/>
                <w:w w:val="105"/>
                <w:sz w:val="16"/>
              </w:rPr>
              <w:t>$</w:t>
            </w:r>
            <w:r>
              <w:rPr>
                <w:sz w:val="16"/>
              </w:rPr>
              <w:tab/>
            </w:r>
            <w:r>
              <w:rPr>
                <w:spacing w:val="-2"/>
                <w:w w:val="105"/>
                <w:sz w:val="16"/>
              </w:rPr>
              <w:t>20,278</w:t>
            </w:r>
          </w:p>
        </w:tc>
      </w:tr>
    </w:tbl>
    <w:p>
      <w:pPr>
        <w:pStyle w:val="BodyText"/>
        <w:spacing w:before="40"/>
        <w:rPr>
          <w:sz w:val="14"/>
        </w:rPr>
      </w:pPr>
    </w:p>
    <w:p>
      <w:pPr>
        <w:pStyle w:val="ListParagraph"/>
        <w:numPr>
          <w:ilvl w:val="0"/>
          <w:numId w:val="65"/>
        </w:numPr>
        <w:tabs>
          <w:tab w:pos="460" w:val="left" w:leader="none"/>
        </w:tabs>
        <w:spacing w:line="157" w:lineRule="exact" w:before="0" w:after="0"/>
        <w:ind w:left="460" w:right="0" w:hanging="304"/>
        <w:jc w:val="left"/>
        <w:rPr>
          <w:sz w:val="14"/>
        </w:rPr>
      </w:pPr>
      <w:r>
        <w:rPr>
          <w:sz w:val="14"/>
        </w:rPr>
        <w:t>Net</w:t>
      </w:r>
      <w:r>
        <w:rPr>
          <w:spacing w:val="-2"/>
          <w:sz w:val="14"/>
        </w:rPr>
        <w:t> </w:t>
      </w:r>
      <w:r>
        <w:rPr>
          <w:sz w:val="14"/>
        </w:rPr>
        <w:t>sales</w:t>
      </w:r>
      <w:r>
        <w:rPr>
          <w:spacing w:val="-1"/>
          <w:sz w:val="14"/>
        </w:rPr>
        <w:t> </w:t>
      </w:r>
      <w:r>
        <w:rPr>
          <w:sz w:val="14"/>
        </w:rPr>
        <w:t>are</w:t>
      </w:r>
      <w:r>
        <w:rPr>
          <w:spacing w:val="-1"/>
          <w:sz w:val="14"/>
        </w:rPr>
        <w:t> </w:t>
      </w:r>
      <w:r>
        <w:rPr>
          <w:sz w:val="14"/>
        </w:rPr>
        <w:t>attributed</w:t>
      </w:r>
      <w:r>
        <w:rPr>
          <w:spacing w:val="-1"/>
          <w:sz w:val="14"/>
        </w:rPr>
        <w:t> </w:t>
      </w:r>
      <w:r>
        <w:rPr>
          <w:sz w:val="14"/>
        </w:rPr>
        <w:t>to</w:t>
      </w:r>
      <w:r>
        <w:rPr>
          <w:spacing w:val="-1"/>
          <w:sz w:val="14"/>
        </w:rPr>
        <w:t> </w:t>
      </w:r>
      <w:r>
        <w:rPr>
          <w:sz w:val="14"/>
        </w:rPr>
        <w:t>countries</w:t>
      </w:r>
      <w:r>
        <w:rPr>
          <w:spacing w:val="-2"/>
          <w:sz w:val="14"/>
        </w:rPr>
        <w:t> </w:t>
      </w:r>
      <w:r>
        <w:rPr>
          <w:sz w:val="14"/>
        </w:rPr>
        <w:t>based</w:t>
      </w:r>
      <w:r>
        <w:rPr>
          <w:spacing w:val="-1"/>
          <w:sz w:val="14"/>
        </w:rPr>
        <w:t> </w:t>
      </w:r>
      <w:r>
        <w:rPr>
          <w:sz w:val="14"/>
        </w:rPr>
        <w:t>on</w:t>
      </w:r>
      <w:r>
        <w:rPr>
          <w:spacing w:val="-1"/>
          <w:sz w:val="14"/>
        </w:rPr>
        <w:t> </w:t>
      </w:r>
      <w:r>
        <w:rPr>
          <w:sz w:val="14"/>
        </w:rPr>
        <w:t>location</w:t>
      </w:r>
      <w:r>
        <w:rPr>
          <w:spacing w:val="-1"/>
          <w:sz w:val="14"/>
        </w:rPr>
        <w:t> </w:t>
      </w:r>
      <w:r>
        <w:rPr>
          <w:sz w:val="14"/>
        </w:rPr>
        <w:t>of</w:t>
      </w:r>
      <w:r>
        <w:rPr>
          <w:spacing w:val="-1"/>
          <w:sz w:val="14"/>
        </w:rPr>
        <w:t> </w:t>
      </w:r>
      <w:r>
        <w:rPr>
          <w:spacing w:val="-2"/>
          <w:sz w:val="14"/>
        </w:rPr>
        <w:t>customer.</w:t>
      </w:r>
    </w:p>
    <w:p>
      <w:pPr>
        <w:pStyle w:val="ListParagraph"/>
        <w:numPr>
          <w:ilvl w:val="0"/>
          <w:numId w:val="65"/>
        </w:numPr>
        <w:tabs>
          <w:tab w:pos="460" w:val="left" w:leader="none"/>
        </w:tabs>
        <w:spacing w:line="153" w:lineRule="exact" w:before="0" w:after="0"/>
        <w:ind w:left="460" w:right="0" w:hanging="304"/>
        <w:jc w:val="left"/>
        <w:rPr>
          <w:sz w:val="14"/>
        </w:rPr>
      </w:pPr>
      <w:r>
        <w:rPr>
          <w:sz w:val="14"/>
        </w:rPr>
        <w:t>Long-lived</w:t>
      </w:r>
      <w:r>
        <w:rPr>
          <w:spacing w:val="-1"/>
          <w:sz w:val="14"/>
        </w:rPr>
        <w:t> </w:t>
      </w:r>
      <w:r>
        <w:rPr>
          <w:sz w:val="14"/>
        </w:rPr>
        <w:t>assets primarily include</w:t>
      </w:r>
      <w:r>
        <w:rPr>
          <w:spacing w:val="-1"/>
          <w:sz w:val="14"/>
        </w:rPr>
        <w:t> </w:t>
      </w:r>
      <w:r>
        <w:rPr>
          <w:sz w:val="14"/>
        </w:rPr>
        <w:t>investments, plant and</w:t>
      </w:r>
      <w:r>
        <w:rPr>
          <w:spacing w:val="-1"/>
          <w:sz w:val="14"/>
        </w:rPr>
        <w:t> </w:t>
      </w:r>
      <w:r>
        <w:rPr>
          <w:sz w:val="14"/>
        </w:rPr>
        <w:t>equipment, goodwill and</w:t>
      </w:r>
      <w:r>
        <w:rPr>
          <w:spacing w:val="-1"/>
          <w:sz w:val="14"/>
        </w:rPr>
        <w:t> </w:t>
      </w:r>
      <w:r>
        <w:rPr>
          <w:sz w:val="14"/>
        </w:rPr>
        <w:t>other intangible </w:t>
      </w:r>
      <w:r>
        <w:rPr>
          <w:spacing w:val="-2"/>
          <w:sz w:val="14"/>
        </w:rPr>
        <w:t>assets.</w:t>
      </w:r>
    </w:p>
    <w:p>
      <w:pPr>
        <w:pStyle w:val="ListParagraph"/>
        <w:numPr>
          <w:ilvl w:val="0"/>
          <w:numId w:val="65"/>
        </w:numPr>
        <w:tabs>
          <w:tab w:pos="460" w:val="left" w:leader="none"/>
          <w:tab w:pos="462" w:val="left" w:leader="none"/>
        </w:tabs>
        <w:spacing w:line="228" w:lineRule="auto" w:before="3" w:after="0"/>
        <w:ind w:left="462" w:right="348" w:hanging="306"/>
        <w:jc w:val="left"/>
        <w:rPr>
          <w:sz w:val="14"/>
        </w:rPr>
      </w:pPr>
      <w:r>
        <w:rPr>
          <w:sz w:val="14"/>
        </w:rPr>
        <w:t>Includes</w:t>
      </w:r>
      <w:r>
        <w:rPr>
          <w:spacing w:val="-1"/>
          <w:sz w:val="14"/>
        </w:rPr>
        <w:t> </w:t>
      </w:r>
      <w:r>
        <w:rPr>
          <w:sz w:val="14"/>
        </w:rPr>
        <w:t>HSG’s</w:t>
      </w:r>
      <w:r>
        <w:rPr>
          <w:spacing w:val="-1"/>
          <w:sz w:val="14"/>
        </w:rPr>
        <w:t> </w:t>
      </w:r>
      <w:r>
        <w:rPr>
          <w:sz w:val="14"/>
        </w:rPr>
        <w:t>net</w:t>
      </w:r>
      <w:r>
        <w:rPr>
          <w:spacing w:val="-1"/>
          <w:sz w:val="14"/>
        </w:rPr>
        <w:t> </w:t>
      </w:r>
      <w:r>
        <w:rPr>
          <w:sz w:val="14"/>
        </w:rPr>
        <w:t>sales</w:t>
      </w:r>
      <w:r>
        <w:rPr>
          <w:spacing w:val="-1"/>
          <w:sz w:val="14"/>
        </w:rPr>
        <w:t> </w:t>
      </w:r>
      <w:r>
        <w:rPr>
          <w:sz w:val="14"/>
        </w:rPr>
        <w:t>and</w:t>
      </w:r>
      <w:r>
        <w:rPr>
          <w:spacing w:val="-1"/>
          <w:sz w:val="14"/>
        </w:rPr>
        <w:t> </w:t>
      </w:r>
      <w:r>
        <w:rPr>
          <w:sz w:val="14"/>
        </w:rPr>
        <w:t>long-lived</w:t>
      </w:r>
      <w:r>
        <w:rPr>
          <w:spacing w:val="-1"/>
          <w:sz w:val="14"/>
        </w:rPr>
        <w:t> </w:t>
      </w:r>
      <w:r>
        <w:rPr>
          <w:sz w:val="14"/>
        </w:rPr>
        <w:t>assets</w:t>
      </w:r>
      <w:r>
        <w:rPr>
          <w:spacing w:val="-1"/>
          <w:sz w:val="14"/>
        </w:rPr>
        <w:t> </w:t>
      </w:r>
      <w:r>
        <w:rPr>
          <w:sz w:val="14"/>
        </w:rPr>
        <w:t>as</w:t>
      </w:r>
      <w:r>
        <w:rPr>
          <w:spacing w:val="-1"/>
          <w:sz w:val="14"/>
        </w:rPr>
        <w:t> </w:t>
      </w:r>
      <w:r>
        <w:rPr>
          <w:sz w:val="14"/>
        </w:rPr>
        <w:t>of</w:t>
      </w:r>
      <w:r>
        <w:rPr>
          <w:spacing w:val="-2"/>
          <w:sz w:val="14"/>
        </w:rPr>
        <w:t> </w:t>
      </w:r>
      <w:r>
        <w:rPr>
          <w:sz w:val="14"/>
        </w:rPr>
        <w:t>December</w:t>
      </w:r>
      <w:r>
        <w:rPr>
          <w:spacing w:val="-1"/>
          <w:sz w:val="14"/>
        </w:rPr>
        <w:t> </w:t>
      </w:r>
      <w:r>
        <w:rPr>
          <w:sz w:val="14"/>
        </w:rPr>
        <w:t>31,</w:t>
      </w:r>
      <w:r>
        <w:rPr>
          <w:spacing w:val="-1"/>
          <w:sz w:val="14"/>
        </w:rPr>
        <w:t> </w:t>
      </w:r>
      <w:r>
        <w:rPr>
          <w:sz w:val="14"/>
        </w:rPr>
        <w:t>2021</w:t>
      </w:r>
      <w:r>
        <w:rPr>
          <w:spacing w:val="-2"/>
          <w:sz w:val="14"/>
        </w:rPr>
        <w:t> </w:t>
      </w:r>
      <w:r>
        <w:rPr>
          <w:sz w:val="14"/>
        </w:rPr>
        <w:t>and</w:t>
      </w:r>
      <w:r>
        <w:rPr>
          <w:spacing w:val="-1"/>
          <w:sz w:val="14"/>
        </w:rPr>
        <w:t> </w:t>
      </w:r>
      <w:r>
        <w:rPr>
          <w:sz w:val="14"/>
        </w:rPr>
        <w:t>on</w:t>
      </w:r>
      <w:r>
        <w:rPr>
          <w:spacing w:val="-1"/>
          <w:sz w:val="14"/>
        </w:rPr>
        <w:t> </w:t>
      </w:r>
      <w:r>
        <w:rPr>
          <w:sz w:val="14"/>
        </w:rPr>
        <w:t>and</w:t>
      </w:r>
      <w:r>
        <w:rPr>
          <w:spacing w:val="-1"/>
          <w:sz w:val="14"/>
        </w:rPr>
        <w:t> </w:t>
      </w:r>
      <w:r>
        <w:rPr>
          <w:sz w:val="14"/>
        </w:rPr>
        <w:t>after</w:t>
      </w:r>
      <w:r>
        <w:rPr>
          <w:spacing w:val="-2"/>
          <w:sz w:val="14"/>
        </w:rPr>
        <w:t> </w:t>
      </w:r>
      <w:r>
        <w:rPr>
          <w:sz w:val="14"/>
        </w:rPr>
        <w:t>September</w:t>
      </w:r>
      <w:r>
        <w:rPr>
          <w:spacing w:val="-1"/>
          <w:sz w:val="14"/>
        </w:rPr>
        <w:t> </w:t>
      </w:r>
      <w:r>
        <w:rPr>
          <w:sz w:val="14"/>
        </w:rPr>
        <w:t>9,</w:t>
      </w:r>
      <w:r>
        <w:rPr>
          <w:spacing w:val="-2"/>
          <w:sz w:val="14"/>
        </w:rPr>
        <w:t> </w:t>
      </w:r>
      <w:r>
        <w:rPr>
          <w:sz w:val="14"/>
        </w:rPr>
        <w:t>2020.</w:t>
      </w:r>
      <w:r>
        <w:rPr>
          <w:spacing w:val="-1"/>
          <w:sz w:val="14"/>
        </w:rPr>
        <w:t> </w:t>
      </w:r>
      <w:r>
        <w:rPr>
          <w:sz w:val="14"/>
        </w:rPr>
        <w:t>Refer</w:t>
      </w:r>
      <w:r>
        <w:rPr>
          <w:spacing w:val="-1"/>
          <w:sz w:val="14"/>
        </w:rPr>
        <w:t> </w:t>
      </w:r>
      <w:r>
        <w:rPr>
          <w:sz w:val="14"/>
        </w:rPr>
        <w:t>to</w:t>
      </w:r>
      <w:r>
        <w:rPr>
          <w:spacing w:val="-1"/>
          <w:sz w:val="14"/>
        </w:rPr>
        <w:t> </w:t>
      </w:r>
      <w:r>
        <w:rPr>
          <w:sz w:val="14"/>
        </w:rPr>
        <w:t>Note</w:t>
      </w:r>
      <w:r>
        <w:rPr>
          <w:spacing w:val="-2"/>
          <w:sz w:val="14"/>
        </w:rPr>
        <w:t> </w:t>
      </w:r>
      <w:r>
        <w:rPr>
          <w:sz w:val="14"/>
        </w:rPr>
        <w:t>3</w:t>
      </w:r>
      <w:r>
        <w:rPr>
          <w:spacing w:val="-1"/>
          <w:sz w:val="14"/>
        </w:rPr>
        <w:t> </w:t>
      </w:r>
      <w:r>
        <w:rPr>
          <w:sz w:val="14"/>
        </w:rPr>
        <w:t>(Investments)</w:t>
      </w:r>
      <w:r>
        <w:rPr>
          <w:spacing w:val="-1"/>
          <w:sz w:val="14"/>
        </w:rPr>
        <w:t> </w:t>
      </w:r>
      <w:r>
        <w:rPr>
          <w:sz w:val="14"/>
        </w:rPr>
        <w:t>and</w:t>
      </w:r>
      <w:r>
        <w:rPr>
          <w:spacing w:val="-1"/>
          <w:sz w:val="14"/>
        </w:rPr>
        <w:t> </w:t>
      </w:r>
      <w:r>
        <w:rPr>
          <w:sz w:val="14"/>
        </w:rPr>
        <w:t>Note</w:t>
      </w:r>
      <w:r>
        <w:rPr>
          <w:spacing w:val="-2"/>
          <w:sz w:val="14"/>
        </w:rPr>
        <w:t> </w:t>
      </w:r>
      <w:r>
        <w:rPr>
          <w:sz w:val="14"/>
        </w:rPr>
        <w:t>4</w:t>
      </w:r>
      <w:r>
        <w:rPr>
          <w:spacing w:val="-1"/>
          <w:sz w:val="14"/>
        </w:rPr>
        <w:t> </w:t>
      </w:r>
      <w:r>
        <w:rPr>
          <w:sz w:val="14"/>
        </w:rPr>
        <w:t>(HSG</w:t>
      </w:r>
      <w:r>
        <w:rPr>
          <w:spacing w:val="-1"/>
          <w:sz w:val="14"/>
        </w:rPr>
        <w:t> </w:t>
      </w:r>
      <w:r>
        <w:rPr>
          <w:sz w:val="14"/>
        </w:rPr>
        <w:t>Transactions</w:t>
      </w:r>
      <w:r>
        <w:rPr>
          <w:spacing w:val="-1"/>
          <w:sz w:val="14"/>
        </w:rPr>
        <w:t> </w:t>
      </w:r>
      <w:r>
        <w:rPr>
          <w:sz w:val="14"/>
        </w:rPr>
        <w:t>and</w:t>
      </w:r>
      <w:r>
        <w:rPr>
          <w:spacing w:val="-1"/>
          <w:sz w:val="14"/>
        </w:rPr>
        <w:t> </w:t>
      </w:r>
      <w:r>
        <w:rPr>
          <w:sz w:val="14"/>
        </w:rPr>
        <w:t>Acquisitions)</w:t>
      </w:r>
      <w:r>
        <w:rPr>
          <w:spacing w:val="-1"/>
          <w:sz w:val="14"/>
        </w:rPr>
        <w:t> </w:t>
      </w:r>
      <w:r>
        <w:rPr>
          <w:sz w:val="14"/>
        </w:rPr>
        <w:t>to</w:t>
      </w:r>
      <w:r>
        <w:rPr>
          <w:spacing w:val="-1"/>
          <w:sz w:val="14"/>
        </w:rPr>
        <w:t> </w:t>
      </w:r>
      <w:r>
        <w:rPr>
          <w:sz w:val="14"/>
        </w:rPr>
        <w:t>the</w:t>
      </w:r>
      <w:r>
        <w:rPr>
          <w:spacing w:val="40"/>
          <w:sz w:val="14"/>
        </w:rPr>
        <w:t> </w:t>
      </w:r>
      <w:r>
        <w:rPr>
          <w:sz w:val="14"/>
        </w:rPr>
        <w:t>consolidated financial statements for more information.</w:t>
      </w:r>
    </w:p>
    <w:p>
      <w:pPr>
        <w:pStyle w:val="BodyText"/>
        <w:spacing w:before="43"/>
        <w:rPr>
          <w:sz w:val="14"/>
        </w:rPr>
      </w:pPr>
    </w:p>
    <w:p>
      <w:pPr>
        <w:pStyle w:val="BodyText"/>
        <w:ind w:left="48"/>
        <w:jc w:val="center"/>
      </w:pPr>
      <w:r>
        <w:rPr>
          <w:spacing w:val="-5"/>
          <w:w w:val="105"/>
        </w:rPr>
        <w:t>119</w:t>
      </w:r>
    </w:p>
    <w:p>
      <w:pPr>
        <w:spacing w:after="0"/>
        <w:jc w:val="center"/>
        <w:sectPr>
          <w:type w:val="continuous"/>
          <w:pgSz w:w="12240" w:h="15840"/>
          <w:pgMar w:header="428" w:footer="0" w:top="700" w:bottom="280" w:left="200" w:right="260"/>
        </w:sectPr>
      </w:pPr>
    </w:p>
    <w:p>
      <w:pPr>
        <w:pStyle w:val="Heading2"/>
        <w:spacing w:before="70"/>
        <w:ind w:left="0" w:right="107"/>
        <w:jc w:val="right"/>
      </w:pPr>
      <w:bookmarkStart w:name="_bookmark29" w:id="30"/>
      <w:bookmarkEnd w:id="30"/>
      <w:r>
        <w:rPr>
          <w:b w:val="0"/>
        </w:rPr>
      </w:r>
      <w:r>
        <w:rPr/>
        <w:t>Exhibit</w:t>
      </w:r>
      <w:r>
        <w:rPr>
          <w:spacing w:val="10"/>
        </w:rPr>
        <w:t> </w:t>
      </w:r>
      <w:r>
        <w:rPr>
          <w:spacing w:val="-5"/>
        </w:rPr>
        <w:t>21</w:t>
      </w:r>
    </w:p>
    <w:p>
      <w:pPr>
        <w:pStyle w:val="BodyText"/>
        <w:rPr>
          <w:b/>
        </w:rPr>
      </w:pPr>
    </w:p>
    <w:p>
      <w:pPr>
        <w:pStyle w:val="BodyText"/>
        <w:spacing w:before="59"/>
        <w:rPr>
          <w:b/>
        </w:rPr>
      </w:pPr>
    </w:p>
    <w:p>
      <w:pPr>
        <w:spacing w:line="532" w:lineRule="auto" w:before="0"/>
        <w:ind w:left="3392" w:right="3136" w:firstLine="828"/>
        <w:jc w:val="left"/>
        <w:rPr>
          <w:b/>
          <w:sz w:val="16"/>
        </w:rPr>
      </w:pPr>
      <w:r>
        <w:rPr>
          <w:b/>
          <w:w w:val="105"/>
          <w:sz w:val="16"/>
        </w:rPr>
        <w:t>Corning Incorporated and Subsidiary Companies Subsidiaries</w:t>
      </w:r>
      <w:r>
        <w:rPr>
          <w:b/>
          <w:spacing w:val="-10"/>
          <w:w w:val="105"/>
          <w:sz w:val="16"/>
        </w:rPr>
        <w:t> </w:t>
      </w:r>
      <w:r>
        <w:rPr>
          <w:b/>
          <w:w w:val="105"/>
          <w:sz w:val="16"/>
        </w:rPr>
        <w:t>of</w:t>
      </w:r>
      <w:r>
        <w:rPr>
          <w:b/>
          <w:spacing w:val="-10"/>
          <w:w w:val="105"/>
          <w:sz w:val="16"/>
        </w:rPr>
        <w:t> </w:t>
      </w:r>
      <w:r>
        <w:rPr>
          <w:b/>
          <w:w w:val="105"/>
          <w:sz w:val="16"/>
        </w:rPr>
        <w:t>the</w:t>
      </w:r>
      <w:r>
        <w:rPr>
          <w:b/>
          <w:spacing w:val="-10"/>
          <w:w w:val="105"/>
          <w:sz w:val="16"/>
        </w:rPr>
        <w:t> </w:t>
      </w:r>
      <w:r>
        <w:rPr>
          <w:b/>
          <w:w w:val="105"/>
          <w:sz w:val="16"/>
        </w:rPr>
        <w:t>Registrant</w:t>
      </w:r>
      <w:r>
        <w:rPr>
          <w:b/>
          <w:spacing w:val="-10"/>
          <w:w w:val="105"/>
          <w:sz w:val="16"/>
        </w:rPr>
        <w:t> </w:t>
      </w:r>
      <w:r>
        <w:rPr>
          <w:b/>
          <w:w w:val="105"/>
          <w:sz w:val="16"/>
        </w:rPr>
        <w:t>as</w:t>
      </w:r>
      <w:r>
        <w:rPr>
          <w:b/>
          <w:spacing w:val="-10"/>
          <w:w w:val="105"/>
          <w:sz w:val="16"/>
        </w:rPr>
        <w:t> </w:t>
      </w:r>
      <w:r>
        <w:rPr>
          <w:b/>
          <w:w w:val="105"/>
          <w:sz w:val="16"/>
        </w:rPr>
        <w:t>of</w:t>
      </w:r>
      <w:r>
        <w:rPr>
          <w:b/>
          <w:spacing w:val="-10"/>
          <w:w w:val="105"/>
          <w:sz w:val="16"/>
        </w:rPr>
        <w:t> </w:t>
      </w:r>
      <w:r>
        <w:rPr>
          <w:b/>
          <w:w w:val="105"/>
          <w:sz w:val="16"/>
        </w:rPr>
        <w:t>December</w:t>
      </w:r>
      <w:r>
        <w:rPr>
          <w:b/>
          <w:spacing w:val="-10"/>
          <w:w w:val="105"/>
          <w:sz w:val="16"/>
        </w:rPr>
        <w:t> </w:t>
      </w:r>
      <w:r>
        <w:rPr>
          <w:b/>
          <w:w w:val="105"/>
          <w:sz w:val="16"/>
        </w:rPr>
        <w:t>31,</w:t>
      </w:r>
      <w:r>
        <w:rPr>
          <w:b/>
          <w:spacing w:val="-10"/>
          <w:w w:val="105"/>
          <w:sz w:val="16"/>
        </w:rPr>
        <w:t> </w:t>
      </w:r>
      <w:r>
        <w:rPr>
          <w:b/>
          <w:w w:val="105"/>
          <w:sz w:val="16"/>
        </w:rPr>
        <w:t>2021</w:t>
      </w:r>
      <w:r>
        <w:rPr>
          <w:b/>
          <w:spacing w:val="-10"/>
          <w:w w:val="105"/>
          <w:sz w:val="16"/>
        </w:rPr>
        <w:t> </w:t>
      </w:r>
      <w:r>
        <w:rPr>
          <w:b/>
          <w:w w:val="105"/>
          <w:sz w:val="16"/>
        </w:rPr>
        <w:t>are</w:t>
      </w:r>
      <w:r>
        <w:rPr>
          <w:b/>
          <w:spacing w:val="-10"/>
          <w:w w:val="105"/>
          <w:sz w:val="16"/>
        </w:rPr>
        <w:t> </w:t>
      </w:r>
      <w:r>
        <w:rPr>
          <w:b/>
          <w:w w:val="105"/>
          <w:sz w:val="16"/>
        </w:rPr>
        <w:t>listed</w:t>
      </w:r>
      <w:r>
        <w:rPr>
          <w:b/>
          <w:spacing w:val="-10"/>
          <w:w w:val="105"/>
          <w:sz w:val="16"/>
        </w:rPr>
        <w:t> </w:t>
      </w:r>
      <w:r>
        <w:rPr>
          <w:b/>
          <w:w w:val="105"/>
          <w:sz w:val="16"/>
        </w:rPr>
        <w:t>below:</w:t>
      </w:r>
    </w:p>
    <w:p>
      <w:pPr>
        <w:pStyle w:val="BodyText"/>
        <w:tabs>
          <w:tab w:pos="9532" w:val="left" w:leader="none"/>
        </w:tabs>
        <w:spacing w:line="182" w:lineRule="exact"/>
        <w:ind w:left="156"/>
      </w:pPr>
      <w:r>
        <w:rPr>
          <w:w w:val="105"/>
        </w:rPr>
        <w:t>Alliance</w:t>
      </w:r>
      <w:r>
        <w:rPr>
          <w:spacing w:val="-11"/>
          <w:w w:val="105"/>
        </w:rPr>
        <w:t> </w:t>
      </w:r>
      <w:r>
        <w:rPr>
          <w:w w:val="105"/>
        </w:rPr>
        <w:t>Fiber</w:t>
      </w:r>
      <w:r>
        <w:rPr>
          <w:spacing w:val="-10"/>
          <w:w w:val="105"/>
        </w:rPr>
        <w:t> </w:t>
      </w:r>
      <w:r>
        <w:rPr>
          <w:w w:val="105"/>
        </w:rPr>
        <w:t>Optic</w:t>
      </w:r>
      <w:r>
        <w:rPr>
          <w:spacing w:val="-10"/>
          <w:w w:val="105"/>
        </w:rPr>
        <w:t> </w:t>
      </w:r>
      <w:r>
        <w:rPr>
          <w:w w:val="105"/>
        </w:rPr>
        <w:t>Products,</w:t>
      </w:r>
      <w:r>
        <w:rPr>
          <w:spacing w:val="-10"/>
          <w:w w:val="105"/>
        </w:rPr>
        <w:t> </w:t>
      </w:r>
      <w:r>
        <w:rPr>
          <w:spacing w:val="-4"/>
          <w:w w:val="105"/>
        </w:rPr>
        <w:t>Inc.</w:t>
      </w:r>
      <w:r>
        <w:rPr/>
        <w:tab/>
      </w:r>
      <w:r>
        <w:rPr>
          <w:spacing w:val="-2"/>
          <w:w w:val="105"/>
        </w:rPr>
        <w:t>Delaware</w:t>
      </w:r>
    </w:p>
    <w:p>
      <w:pPr>
        <w:pStyle w:val="BodyText"/>
        <w:tabs>
          <w:tab w:pos="9532" w:val="left" w:leader="none"/>
        </w:tabs>
        <w:spacing w:before="20"/>
        <w:ind w:left="156"/>
      </w:pPr>
      <w:r>
        <w:rPr/>
        <w:t>Axygen</w:t>
      </w:r>
      <w:r>
        <w:rPr>
          <w:spacing w:val="19"/>
        </w:rPr>
        <w:t> </w:t>
      </w:r>
      <w:r>
        <w:rPr/>
        <w:t>Bioscience,</w:t>
      </w:r>
      <w:r>
        <w:rPr>
          <w:spacing w:val="20"/>
        </w:rPr>
        <w:t> </w:t>
      </w:r>
      <w:r>
        <w:rPr>
          <w:spacing w:val="-4"/>
        </w:rPr>
        <w:t>Inc.</w:t>
      </w:r>
      <w:r>
        <w:rPr/>
        <w:tab/>
      </w:r>
      <w:r>
        <w:rPr>
          <w:spacing w:val="-2"/>
        </w:rPr>
        <w:t>Delaware</w:t>
      </w:r>
    </w:p>
    <w:p>
      <w:pPr>
        <w:pStyle w:val="BodyText"/>
        <w:tabs>
          <w:tab w:pos="9532" w:val="left" w:leader="none"/>
        </w:tabs>
        <w:spacing w:before="20"/>
        <w:ind w:left="156"/>
      </w:pPr>
      <w:r>
        <w:rPr/>
        <w:t>Axygen</w:t>
      </w:r>
      <w:r>
        <w:rPr>
          <w:spacing w:val="13"/>
        </w:rPr>
        <w:t> </w:t>
      </w:r>
      <w:r>
        <w:rPr/>
        <w:t>Holdings</w:t>
      </w:r>
      <w:r>
        <w:rPr>
          <w:spacing w:val="14"/>
        </w:rPr>
        <w:t> </w:t>
      </w:r>
      <w:r>
        <w:rPr>
          <w:spacing w:val="-2"/>
        </w:rPr>
        <w:t>Corporation</w:t>
      </w:r>
      <w:r>
        <w:rPr/>
        <w:tab/>
      </w:r>
      <w:r>
        <w:rPr>
          <w:spacing w:val="-2"/>
        </w:rPr>
        <w:t>Delaware</w:t>
      </w:r>
    </w:p>
    <w:p>
      <w:pPr>
        <w:pStyle w:val="BodyText"/>
        <w:tabs>
          <w:tab w:pos="9532" w:val="left" w:leader="none"/>
        </w:tabs>
        <w:spacing w:before="20"/>
        <w:ind w:left="156"/>
      </w:pPr>
      <w:r>
        <w:rPr/>
        <w:t>Axygen,</w:t>
      </w:r>
      <w:r>
        <w:rPr>
          <w:spacing w:val="17"/>
        </w:rPr>
        <w:t> </w:t>
      </w:r>
      <w:r>
        <w:rPr>
          <w:spacing w:val="-4"/>
        </w:rPr>
        <w:t>Inc.</w:t>
      </w:r>
      <w:r>
        <w:rPr/>
        <w:tab/>
      </w:r>
      <w:r>
        <w:rPr>
          <w:spacing w:val="-2"/>
        </w:rPr>
        <w:t>California</w:t>
      </w:r>
    </w:p>
    <w:p>
      <w:pPr>
        <w:pStyle w:val="BodyText"/>
        <w:tabs>
          <w:tab w:pos="9532" w:val="left" w:leader="none"/>
        </w:tabs>
        <w:spacing w:before="20"/>
        <w:ind w:left="156"/>
      </w:pPr>
      <w:r>
        <w:rPr/>
        <w:t>Corning</w:t>
      </w:r>
      <w:r>
        <w:rPr>
          <w:spacing w:val="17"/>
        </w:rPr>
        <w:t> </w:t>
      </w:r>
      <w:r>
        <w:rPr/>
        <w:t>(Hainan)</w:t>
      </w:r>
      <w:r>
        <w:rPr>
          <w:spacing w:val="18"/>
        </w:rPr>
        <w:t> </w:t>
      </w:r>
      <w:r>
        <w:rPr/>
        <w:t>Optical</w:t>
      </w:r>
      <w:r>
        <w:rPr>
          <w:spacing w:val="18"/>
        </w:rPr>
        <w:t> </w:t>
      </w:r>
      <w:r>
        <w:rPr/>
        <w:t>Communications</w:t>
      </w:r>
      <w:r>
        <w:rPr>
          <w:spacing w:val="18"/>
        </w:rPr>
        <w:t> </w:t>
      </w:r>
      <w:r>
        <w:rPr/>
        <w:t>Co.,</w:t>
      </w:r>
      <w:r>
        <w:rPr>
          <w:spacing w:val="18"/>
        </w:rPr>
        <w:t> </w:t>
      </w:r>
      <w:r>
        <w:rPr>
          <w:spacing w:val="-4"/>
        </w:rPr>
        <w:t>Ltd.</w:t>
      </w:r>
      <w:r>
        <w:rPr/>
        <w:tab/>
      </w:r>
      <w:r>
        <w:rPr>
          <w:spacing w:val="-2"/>
        </w:rPr>
        <w:t>China</w:t>
      </w:r>
    </w:p>
    <w:p>
      <w:pPr>
        <w:pStyle w:val="BodyText"/>
        <w:tabs>
          <w:tab w:pos="9532" w:val="left" w:leader="none"/>
        </w:tabs>
        <w:spacing w:before="19"/>
        <w:ind w:left="156"/>
      </w:pPr>
      <w:r>
        <w:rPr/>
        <w:t>Corning</w:t>
      </w:r>
      <w:r>
        <w:rPr>
          <w:spacing w:val="15"/>
        </w:rPr>
        <w:t> </w:t>
      </w:r>
      <w:r>
        <w:rPr/>
        <w:t>(Shanghai)</w:t>
      </w:r>
      <w:r>
        <w:rPr>
          <w:spacing w:val="16"/>
        </w:rPr>
        <w:t> </w:t>
      </w:r>
      <w:r>
        <w:rPr/>
        <w:t>Co.,</w:t>
      </w:r>
      <w:r>
        <w:rPr>
          <w:spacing w:val="16"/>
        </w:rPr>
        <w:t> </w:t>
      </w:r>
      <w:r>
        <w:rPr>
          <w:spacing w:val="-4"/>
        </w:rPr>
        <w:t>Ltd.</w:t>
      </w:r>
      <w:r>
        <w:rPr/>
        <w:tab/>
      </w:r>
      <w:r>
        <w:rPr>
          <w:spacing w:val="-2"/>
        </w:rPr>
        <w:t>China</w:t>
      </w:r>
    </w:p>
    <w:p>
      <w:pPr>
        <w:pStyle w:val="BodyText"/>
        <w:tabs>
          <w:tab w:pos="9532" w:val="left" w:leader="none"/>
        </w:tabs>
        <w:spacing w:before="20"/>
        <w:ind w:left="156"/>
      </w:pPr>
      <w:r>
        <w:rPr/>
        <w:t>Corning</w:t>
      </w:r>
      <w:r>
        <w:rPr>
          <w:spacing w:val="14"/>
        </w:rPr>
        <w:t> </w:t>
      </w:r>
      <w:r>
        <w:rPr/>
        <w:t>Automotive</w:t>
      </w:r>
      <w:r>
        <w:rPr>
          <w:spacing w:val="14"/>
        </w:rPr>
        <w:t> </w:t>
      </w:r>
      <w:r>
        <w:rPr/>
        <w:t>Glass</w:t>
      </w:r>
      <w:r>
        <w:rPr>
          <w:spacing w:val="14"/>
        </w:rPr>
        <w:t> </w:t>
      </w:r>
      <w:r>
        <w:rPr/>
        <w:t>Solutions</w:t>
      </w:r>
      <w:r>
        <w:rPr>
          <w:spacing w:val="14"/>
        </w:rPr>
        <w:t> </w:t>
      </w:r>
      <w:r>
        <w:rPr/>
        <w:t>(Hefei)</w:t>
      </w:r>
      <w:r>
        <w:rPr>
          <w:spacing w:val="15"/>
        </w:rPr>
        <w:t> </w:t>
      </w:r>
      <w:r>
        <w:rPr/>
        <w:t>Co.,</w:t>
      </w:r>
      <w:r>
        <w:rPr>
          <w:spacing w:val="14"/>
        </w:rPr>
        <w:t> </w:t>
      </w:r>
      <w:r>
        <w:rPr>
          <w:spacing w:val="-4"/>
        </w:rPr>
        <w:t>Ltd.</w:t>
      </w:r>
      <w:r>
        <w:rPr/>
        <w:tab/>
      </w:r>
      <w:r>
        <w:rPr>
          <w:spacing w:val="-2"/>
        </w:rPr>
        <w:t>China</w:t>
      </w:r>
    </w:p>
    <w:p>
      <w:pPr>
        <w:pStyle w:val="BodyText"/>
        <w:tabs>
          <w:tab w:pos="9532" w:val="left" w:leader="none"/>
        </w:tabs>
        <w:spacing w:before="20"/>
        <w:ind w:left="156"/>
      </w:pPr>
      <w:r>
        <w:rPr/>
        <w:t>Corning</w:t>
      </w:r>
      <w:r>
        <w:rPr>
          <w:spacing w:val="10"/>
        </w:rPr>
        <w:t> </w:t>
      </w:r>
      <w:r>
        <w:rPr>
          <w:spacing w:val="-4"/>
        </w:rPr>
        <w:t>B.V.</w:t>
      </w:r>
      <w:r>
        <w:rPr/>
        <w:tab/>
      </w:r>
      <w:r>
        <w:rPr>
          <w:spacing w:val="-2"/>
        </w:rPr>
        <w:t>Netherlands</w:t>
      </w:r>
    </w:p>
    <w:p>
      <w:pPr>
        <w:pStyle w:val="BodyText"/>
        <w:tabs>
          <w:tab w:pos="9532" w:val="left" w:leader="none"/>
        </w:tabs>
        <w:spacing w:before="20"/>
        <w:ind w:left="156"/>
      </w:pPr>
      <w:r>
        <w:rPr/>
        <w:t>Corning</w:t>
      </w:r>
      <w:r>
        <w:rPr>
          <w:spacing w:val="17"/>
        </w:rPr>
        <w:t> </w:t>
      </w:r>
      <w:r>
        <w:rPr/>
        <w:t>China</w:t>
      </w:r>
      <w:r>
        <w:rPr>
          <w:spacing w:val="17"/>
        </w:rPr>
        <w:t> </w:t>
      </w:r>
      <w:r>
        <w:rPr/>
        <w:t>(Shanghai)</w:t>
      </w:r>
      <w:r>
        <w:rPr>
          <w:spacing w:val="18"/>
        </w:rPr>
        <w:t> </w:t>
      </w:r>
      <w:r>
        <w:rPr/>
        <w:t>Regional</w:t>
      </w:r>
      <w:r>
        <w:rPr>
          <w:spacing w:val="17"/>
        </w:rPr>
        <w:t> </w:t>
      </w:r>
      <w:r>
        <w:rPr>
          <w:spacing w:val="-2"/>
        </w:rPr>
        <w:t>Headquarter</w:t>
      </w:r>
      <w:r>
        <w:rPr/>
        <w:tab/>
      </w:r>
      <w:r>
        <w:rPr>
          <w:spacing w:val="-2"/>
        </w:rPr>
        <w:t>China</w:t>
      </w:r>
    </w:p>
    <w:p>
      <w:pPr>
        <w:pStyle w:val="BodyText"/>
        <w:tabs>
          <w:tab w:pos="9532" w:val="left" w:leader="none"/>
        </w:tabs>
        <w:spacing w:before="20"/>
        <w:ind w:left="156"/>
      </w:pPr>
      <w:r>
        <w:rPr/>
        <w:t>Corning</w:t>
      </w:r>
      <w:r>
        <w:rPr>
          <w:spacing w:val="14"/>
        </w:rPr>
        <w:t> </w:t>
      </w:r>
      <w:r>
        <w:rPr/>
        <w:t>Display</w:t>
      </w:r>
      <w:r>
        <w:rPr>
          <w:spacing w:val="15"/>
        </w:rPr>
        <w:t> </w:t>
      </w:r>
      <w:r>
        <w:rPr/>
        <w:t>Technologies</w:t>
      </w:r>
      <w:r>
        <w:rPr>
          <w:spacing w:val="14"/>
        </w:rPr>
        <w:t> </w:t>
      </w:r>
      <w:r>
        <w:rPr/>
        <w:t>(China)</w:t>
      </w:r>
      <w:r>
        <w:rPr>
          <w:spacing w:val="15"/>
        </w:rPr>
        <w:t> </w:t>
      </w:r>
      <w:r>
        <w:rPr/>
        <w:t>Co.,</w:t>
      </w:r>
      <w:r>
        <w:rPr>
          <w:spacing w:val="15"/>
        </w:rPr>
        <w:t> </w:t>
      </w:r>
      <w:r>
        <w:rPr>
          <w:spacing w:val="-4"/>
        </w:rPr>
        <w:t>Ltd.</w:t>
      </w:r>
      <w:r>
        <w:rPr/>
        <w:tab/>
      </w:r>
      <w:r>
        <w:rPr>
          <w:spacing w:val="-4"/>
        </w:rPr>
        <w:t>China</w:t>
      </w:r>
    </w:p>
    <w:p>
      <w:pPr>
        <w:pStyle w:val="BodyText"/>
        <w:tabs>
          <w:tab w:pos="9532" w:val="left" w:leader="none"/>
        </w:tabs>
        <w:spacing w:before="20"/>
        <w:ind w:left="156"/>
      </w:pPr>
      <w:r>
        <w:rPr/>
        <w:t>Corning</w:t>
      </w:r>
      <w:r>
        <w:rPr>
          <w:spacing w:val="16"/>
        </w:rPr>
        <w:t> </w:t>
      </w:r>
      <w:r>
        <w:rPr/>
        <w:t>Display</w:t>
      </w:r>
      <w:r>
        <w:rPr>
          <w:spacing w:val="17"/>
        </w:rPr>
        <w:t> </w:t>
      </w:r>
      <w:r>
        <w:rPr/>
        <w:t>Technologies</w:t>
      </w:r>
      <w:r>
        <w:rPr>
          <w:spacing w:val="16"/>
        </w:rPr>
        <w:t> </w:t>
      </w:r>
      <w:r>
        <w:rPr/>
        <w:t>(Chongqing)</w:t>
      </w:r>
      <w:r>
        <w:rPr>
          <w:spacing w:val="17"/>
        </w:rPr>
        <w:t> </w:t>
      </w:r>
      <w:r>
        <w:rPr/>
        <w:t>Co.,</w:t>
      </w:r>
      <w:r>
        <w:rPr>
          <w:spacing w:val="17"/>
        </w:rPr>
        <w:t> </w:t>
      </w:r>
      <w:r>
        <w:rPr>
          <w:spacing w:val="-4"/>
        </w:rPr>
        <w:t>Ltd.</w:t>
      </w:r>
      <w:r>
        <w:rPr/>
        <w:tab/>
      </w:r>
      <w:r>
        <w:rPr>
          <w:spacing w:val="-2"/>
        </w:rPr>
        <w:t>China</w:t>
      </w:r>
    </w:p>
    <w:p>
      <w:pPr>
        <w:pStyle w:val="BodyText"/>
        <w:tabs>
          <w:tab w:pos="9532" w:val="left" w:leader="none"/>
        </w:tabs>
        <w:spacing w:before="19"/>
        <w:ind w:left="156"/>
      </w:pPr>
      <w:r>
        <w:rPr/>
        <w:t>Corning</w:t>
      </w:r>
      <w:r>
        <w:rPr>
          <w:spacing w:val="16"/>
        </w:rPr>
        <w:t> </w:t>
      </w:r>
      <w:r>
        <w:rPr/>
        <w:t>Display</w:t>
      </w:r>
      <w:r>
        <w:rPr>
          <w:spacing w:val="17"/>
        </w:rPr>
        <w:t> </w:t>
      </w:r>
      <w:r>
        <w:rPr/>
        <w:t>Technologies</w:t>
      </w:r>
      <w:r>
        <w:rPr>
          <w:spacing w:val="17"/>
        </w:rPr>
        <w:t> </w:t>
      </w:r>
      <w:r>
        <w:rPr/>
        <w:t>(Guangzhou)</w:t>
      </w:r>
      <w:r>
        <w:rPr>
          <w:spacing w:val="17"/>
        </w:rPr>
        <w:t> </w:t>
      </w:r>
      <w:r>
        <w:rPr/>
        <w:t>Co.,</w:t>
      </w:r>
      <w:r>
        <w:rPr>
          <w:spacing w:val="16"/>
        </w:rPr>
        <w:t> </w:t>
      </w:r>
      <w:r>
        <w:rPr>
          <w:spacing w:val="-4"/>
        </w:rPr>
        <w:t>Ltd.</w:t>
      </w:r>
      <w:r>
        <w:rPr/>
        <w:tab/>
      </w:r>
      <w:r>
        <w:rPr>
          <w:spacing w:val="-2"/>
        </w:rPr>
        <w:t>China</w:t>
      </w:r>
    </w:p>
    <w:p>
      <w:pPr>
        <w:pStyle w:val="BodyText"/>
        <w:tabs>
          <w:tab w:pos="9532" w:val="left" w:leader="none"/>
        </w:tabs>
        <w:spacing w:before="20"/>
        <w:ind w:left="156"/>
      </w:pPr>
      <w:r>
        <w:rPr/>
        <w:t>Corning</w:t>
      </w:r>
      <w:r>
        <w:rPr>
          <w:spacing w:val="14"/>
        </w:rPr>
        <w:t> </w:t>
      </w:r>
      <w:r>
        <w:rPr/>
        <w:t>Display</w:t>
      </w:r>
      <w:r>
        <w:rPr>
          <w:spacing w:val="15"/>
        </w:rPr>
        <w:t> </w:t>
      </w:r>
      <w:r>
        <w:rPr/>
        <w:t>Technologies</w:t>
      </w:r>
      <w:r>
        <w:rPr>
          <w:spacing w:val="15"/>
        </w:rPr>
        <w:t> </w:t>
      </w:r>
      <w:r>
        <w:rPr/>
        <w:t>(Hefei)</w:t>
      </w:r>
      <w:r>
        <w:rPr>
          <w:spacing w:val="15"/>
        </w:rPr>
        <w:t> </w:t>
      </w:r>
      <w:r>
        <w:rPr/>
        <w:t>Co.,</w:t>
      </w:r>
      <w:r>
        <w:rPr>
          <w:spacing w:val="15"/>
        </w:rPr>
        <w:t> </w:t>
      </w:r>
      <w:r>
        <w:rPr>
          <w:spacing w:val="-4"/>
        </w:rPr>
        <w:t>Ltd.</w:t>
      </w:r>
      <w:r>
        <w:rPr/>
        <w:tab/>
      </w:r>
      <w:r>
        <w:rPr>
          <w:spacing w:val="-4"/>
        </w:rPr>
        <w:t>China</w:t>
      </w:r>
    </w:p>
    <w:p>
      <w:pPr>
        <w:pStyle w:val="BodyText"/>
        <w:tabs>
          <w:tab w:pos="9532" w:val="left" w:leader="none"/>
        </w:tabs>
        <w:spacing w:before="20"/>
        <w:ind w:left="156"/>
      </w:pPr>
      <w:r>
        <w:rPr/>
        <w:t>Corning</w:t>
      </w:r>
      <w:r>
        <w:rPr>
          <w:spacing w:val="15"/>
        </w:rPr>
        <w:t> </w:t>
      </w:r>
      <w:r>
        <w:rPr/>
        <w:t>Display</w:t>
      </w:r>
      <w:r>
        <w:rPr>
          <w:spacing w:val="15"/>
        </w:rPr>
        <w:t> </w:t>
      </w:r>
      <w:r>
        <w:rPr/>
        <w:t>Technologies</w:t>
      </w:r>
      <w:r>
        <w:rPr>
          <w:spacing w:val="15"/>
        </w:rPr>
        <w:t> </w:t>
      </w:r>
      <w:r>
        <w:rPr/>
        <w:t>(Wuhan)</w:t>
      </w:r>
      <w:r>
        <w:rPr>
          <w:spacing w:val="15"/>
        </w:rPr>
        <w:t> </w:t>
      </w:r>
      <w:r>
        <w:rPr/>
        <w:t>Co.,</w:t>
      </w:r>
      <w:r>
        <w:rPr>
          <w:spacing w:val="15"/>
        </w:rPr>
        <w:t> </w:t>
      </w:r>
      <w:r>
        <w:rPr>
          <w:spacing w:val="-4"/>
        </w:rPr>
        <w:t>Ltd.</w:t>
      </w:r>
      <w:r>
        <w:rPr/>
        <w:tab/>
      </w:r>
      <w:r>
        <w:rPr>
          <w:spacing w:val="-2"/>
        </w:rPr>
        <w:t>China</w:t>
      </w:r>
    </w:p>
    <w:p>
      <w:pPr>
        <w:pStyle w:val="BodyText"/>
        <w:tabs>
          <w:tab w:pos="9532" w:val="left" w:leader="none"/>
        </w:tabs>
        <w:spacing w:before="20"/>
        <w:ind w:left="156"/>
      </w:pPr>
      <w:r>
        <w:rPr/>
        <w:t>Corning</w:t>
      </w:r>
      <w:r>
        <w:rPr>
          <w:spacing w:val="16"/>
        </w:rPr>
        <w:t> </w:t>
      </w:r>
      <w:r>
        <w:rPr/>
        <w:t>Display</w:t>
      </w:r>
      <w:r>
        <w:rPr>
          <w:spacing w:val="17"/>
        </w:rPr>
        <w:t> </w:t>
      </w:r>
      <w:r>
        <w:rPr/>
        <w:t>Technologies</w:t>
      </w:r>
      <w:r>
        <w:rPr>
          <w:spacing w:val="17"/>
        </w:rPr>
        <w:t> </w:t>
      </w:r>
      <w:r>
        <w:rPr/>
        <w:t>Materials</w:t>
      </w:r>
      <w:r>
        <w:rPr>
          <w:spacing w:val="17"/>
        </w:rPr>
        <w:t> </w:t>
      </w:r>
      <w:r>
        <w:rPr/>
        <w:t>(Chongqing)</w:t>
      </w:r>
      <w:r>
        <w:rPr>
          <w:spacing w:val="17"/>
        </w:rPr>
        <w:t> </w:t>
      </w:r>
      <w:r>
        <w:rPr/>
        <w:t>Co.,</w:t>
      </w:r>
      <w:r>
        <w:rPr>
          <w:spacing w:val="17"/>
        </w:rPr>
        <w:t> </w:t>
      </w:r>
      <w:r>
        <w:rPr>
          <w:spacing w:val="-5"/>
        </w:rPr>
        <w:t>Ltd</w:t>
      </w:r>
      <w:r>
        <w:rPr/>
        <w:tab/>
      </w:r>
      <w:r>
        <w:rPr>
          <w:spacing w:val="-2"/>
        </w:rPr>
        <w:t>China</w:t>
      </w:r>
    </w:p>
    <w:p>
      <w:pPr>
        <w:pStyle w:val="BodyText"/>
        <w:tabs>
          <w:tab w:pos="9532" w:val="left" w:leader="none"/>
        </w:tabs>
        <w:spacing w:before="20"/>
        <w:ind w:left="156"/>
      </w:pPr>
      <w:r>
        <w:rPr/>
        <w:t>Corning</w:t>
      </w:r>
      <w:r>
        <w:rPr>
          <w:spacing w:val="14"/>
        </w:rPr>
        <w:t> </w:t>
      </w:r>
      <w:r>
        <w:rPr/>
        <w:t>Display</w:t>
      </w:r>
      <w:r>
        <w:rPr>
          <w:spacing w:val="15"/>
        </w:rPr>
        <w:t> </w:t>
      </w:r>
      <w:r>
        <w:rPr/>
        <w:t>Technologies</w:t>
      </w:r>
      <w:r>
        <w:rPr>
          <w:spacing w:val="14"/>
        </w:rPr>
        <w:t> </w:t>
      </w:r>
      <w:r>
        <w:rPr/>
        <w:t>Taiwan</w:t>
      </w:r>
      <w:r>
        <w:rPr>
          <w:spacing w:val="15"/>
        </w:rPr>
        <w:t> </w:t>
      </w:r>
      <w:r>
        <w:rPr/>
        <w:t>Co.,</w:t>
      </w:r>
      <w:r>
        <w:rPr>
          <w:spacing w:val="14"/>
        </w:rPr>
        <w:t> </w:t>
      </w:r>
      <w:r>
        <w:rPr>
          <w:spacing w:val="-4"/>
        </w:rPr>
        <w:t>Ltd.</w:t>
      </w:r>
      <w:r>
        <w:rPr/>
        <w:tab/>
      </w:r>
      <w:r>
        <w:rPr>
          <w:spacing w:val="-2"/>
        </w:rPr>
        <w:t>Taiwan</w:t>
      </w:r>
    </w:p>
    <w:p>
      <w:pPr>
        <w:pStyle w:val="BodyText"/>
        <w:tabs>
          <w:tab w:pos="9532" w:val="left" w:leader="none"/>
        </w:tabs>
        <w:spacing w:before="20"/>
        <w:ind w:left="156"/>
      </w:pPr>
      <w:r>
        <w:rPr/>
        <w:t>Corning</w:t>
      </w:r>
      <w:r>
        <w:rPr>
          <w:spacing w:val="19"/>
        </w:rPr>
        <w:t> </w:t>
      </w:r>
      <w:r>
        <w:rPr/>
        <w:t>Environmental</w:t>
      </w:r>
      <w:r>
        <w:rPr>
          <w:spacing w:val="20"/>
        </w:rPr>
        <w:t> </w:t>
      </w:r>
      <w:r>
        <w:rPr/>
        <w:t>Technologies</w:t>
      </w:r>
      <w:r>
        <w:rPr>
          <w:spacing w:val="19"/>
        </w:rPr>
        <w:t> </w:t>
      </w:r>
      <w:r>
        <w:rPr/>
        <w:t>(Hefei)</w:t>
      </w:r>
      <w:r>
        <w:rPr>
          <w:spacing w:val="20"/>
        </w:rPr>
        <w:t> </w:t>
      </w:r>
      <w:r>
        <w:rPr/>
        <w:t>Co.,</w:t>
      </w:r>
      <w:r>
        <w:rPr>
          <w:spacing w:val="19"/>
        </w:rPr>
        <w:t> </w:t>
      </w:r>
      <w:r>
        <w:rPr>
          <w:spacing w:val="-4"/>
        </w:rPr>
        <w:t>Ltd.</w:t>
      </w:r>
      <w:r>
        <w:rPr/>
        <w:tab/>
      </w:r>
      <w:r>
        <w:rPr>
          <w:spacing w:val="-4"/>
        </w:rPr>
        <w:t>China</w:t>
      </w:r>
    </w:p>
    <w:p>
      <w:pPr>
        <w:pStyle w:val="BodyText"/>
        <w:tabs>
          <w:tab w:pos="9532" w:val="left" w:leader="none"/>
        </w:tabs>
        <w:spacing w:before="19"/>
        <w:ind w:left="156"/>
      </w:pPr>
      <w:r>
        <w:rPr/>
        <w:t>Corning</w:t>
      </w:r>
      <w:r>
        <w:rPr>
          <w:spacing w:val="16"/>
        </w:rPr>
        <w:t> </w:t>
      </w:r>
      <w:r>
        <w:rPr/>
        <w:t>Finance</w:t>
      </w:r>
      <w:r>
        <w:rPr>
          <w:spacing w:val="16"/>
        </w:rPr>
        <w:t> </w:t>
      </w:r>
      <w:r>
        <w:rPr>
          <w:spacing w:val="-4"/>
        </w:rPr>
        <w:t>B.V.</w:t>
      </w:r>
      <w:r>
        <w:rPr/>
        <w:tab/>
      </w:r>
      <w:r>
        <w:rPr>
          <w:spacing w:val="-2"/>
        </w:rPr>
        <w:t>Netherlands</w:t>
      </w:r>
    </w:p>
    <w:p>
      <w:pPr>
        <w:pStyle w:val="BodyText"/>
        <w:tabs>
          <w:tab w:pos="9532" w:val="left" w:leader="none"/>
        </w:tabs>
        <w:spacing w:before="20"/>
        <w:ind w:left="156"/>
      </w:pPr>
      <w:r>
        <w:rPr/>
        <w:t>Corning</w:t>
      </w:r>
      <w:r>
        <w:rPr>
          <w:spacing w:val="19"/>
        </w:rPr>
        <w:t> </w:t>
      </w:r>
      <w:r>
        <w:rPr/>
        <w:t>Finance</w:t>
      </w:r>
      <w:r>
        <w:rPr>
          <w:spacing w:val="20"/>
        </w:rPr>
        <w:t> </w:t>
      </w:r>
      <w:r>
        <w:rPr/>
        <w:t>Luxembourg</w:t>
      </w:r>
      <w:r>
        <w:rPr>
          <w:spacing w:val="19"/>
        </w:rPr>
        <w:t> </w:t>
      </w:r>
      <w:r>
        <w:rPr>
          <w:spacing w:val="-2"/>
        </w:rPr>
        <w:t>S.à.r.l.</w:t>
      </w:r>
      <w:r>
        <w:rPr/>
        <w:tab/>
      </w:r>
      <w:r>
        <w:rPr>
          <w:spacing w:val="-2"/>
        </w:rPr>
        <w:t>Luxembourg</w:t>
      </w:r>
    </w:p>
    <w:p>
      <w:pPr>
        <w:pStyle w:val="BodyText"/>
        <w:tabs>
          <w:tab w:pos="9532" w:val="left" w:leader="none"/>
        </w:tabs>
        <w:spacing w:before="20"/>
        <w:ind w:left="156"/>
      </w:pPr>
      <w:r>
        <w:rPr/>
        <w:t>Corning</w:t>
      </w:r>
      <w:r>
        <w:rPr>
          <w:spacing w:val="10"/>
        </w:rPr>
        <w:t> </w:t>
      </w:r>
      <w:r>
        <w:rPr>
          <w:spacing w:val="-4"/>
        </w:rPr>
        <w:t>GmbH</w:t>
      </w:r>
      <w:r>
        <w:rPr/>
        <w:tab/>
      </w:r>
      <w:r>
        <w:rPr>
          <w:spacing w:val="-2"/>
        </w:rPr>
        <w:t>Germany</w:t>
      </w:r>
    </w:p>
    <w:p>
      <w:pPr>
        <w:pStyle w:val="BodyText"/>
        <w:tabs>
          <w:tab w:pos="9532" w:val="left" w:leader="none"/>
        </w:tabs>
        <w:spacing w:before="20"/>
        <w:ind w:left="156"/>
      </w:pPr>
      <w:r>
        <w:rPr/>
        <w:t>Corning</w:t>
      </w:r>
      <w:r>
        <w:rPr>
          <w:spacing w:val="16"/>
        </w:rPr>
        <w:t> </w:t>
      </w:r>
      <w:r>
        <w:rPr/>
        <w:t>Holding</w:t>
      </w:r>
      <w:r>
        <w:rPr>
          <w:spacing w:val="17"/>
        </w:rPr>
        <w:t> </w:t>
      </w:r>
      <w:r>
        <w:rPr>
          <w:spacing w:val="-4"/>
        </w:rPr>
        <w:t>GmbH</w:t>
      </w:r>
      <w:r>
        <w:rPr/>
        <w:tab/>
      </w:r>
      <w:r>
        <w:rPr>
          <w:spacing w:val="-2"/>
        </w:rPr>
        <w:t>Germany</w:t>
      </w:r>
    </w:p>
    <w:p>
      <w:pPr>
        <w:pStyle w:val="BodyText"/>
        <w:tabs>
          <w:tab w:pos="9532" w:val="left" w:leader="none"/>
        </w:tabs>
        <w:spacing w:before="20"/>
        <w:ind w:left="156"/>
      </w:pPr>
      <w:r>
        <w:rPr/>
        <w:t>Corning</w:t>
      </w:r>
      <w:r>
        <w:rPr>
          <w:spacing w:val="15"/>
        </w:rPr>
        <w:t> </w:t>
      </w:r>
      <w:r>
        <w:rPr/>
        <w:t>Hungary</w:t>
      </w:r>
      <w:r>
        <w:rPr>
          <w:spacing w:val="15"/>
        </w:rPr>
        <w:t> </w:t>
      </w:r>
      <w:r>
        <w:rPr/>
        <w:t>Data</w:t>
      </w:r>
      <w:r>
        <w:rPr>
          <w:spacing w:val="15"/>
        </w:rPr>
        <w:t> </w:t>
      </w:r>
      <w:r>
        <w:rPr/>
        <w:t>Services</w:t>
      </w:r>
      <w:r>
        <w:rPr>
          <w:spacing w:val="15"/>
        </w:rPr>
        <w:t> </w:t>
      </w:r>
      <w:r>
        <w:rPr/>
        <w:t>Limited</w:t>
      </w:r>
      <w:r>
        <w:rPr>
          <w:spacing w:val="15"/>
        </w:rPr>
        <w:t> </w:t>
      </w:r>
      <w:r>
        <w:rPr/>
        <w:t>Liability</w:t>
      </w:r>
      <w:r>
        <w:rPr>
          <w:spacing w:val="15"/>
        </w:rPr>
        <w:t> </w:t>
      </w:r>
      <w:r>
        <w:rPr>
          <w:spacing w:val="-2"/>
        </w:rPr>
        <w:t>Company</w:t>
      </w:r>
      <w:r>
        <w:rPr/>
        <w:tab/>
      </w:r>
      <w:r>
        <w:rPr>
          <w:spacing w:val="-2"/>
        </w:rPr>
        <w:t>Hungary</w:t>
      </w:r>
    </w:p>
    <w:p>
      <w:pPr>
        <w:pStyle w:val="BodyText"/>
        <w:tabs>
          <w:tab w:pos="9532" w:val="left" w:leader="none"/>
        </w:tabs>
        <w:spacing w:before="20"/>
        <w:ind w:left="156"/>
      </w:pPr>
      <w:r>
        <w:rPr/>
        <w:t>Corning</w:t>
      </w:r>
      <w:r>
        <w:rPr>
          <w:spacing w:val="16"/>
        </w:rPr>
        <w:t> </w:t>
      </w:r>
      <w:r>
        <w:rPr>
          <w:spacing w:val="-2"/>
        </w:rPr>
        <w:t>Incorporated</w:t>
      </w:r>
      <w:r>
        <w:rPr/>
        <w:tab/>
        <w:t>New</w:t>
      </w:r>
      <w:r>
        <w:rPr>
          <w:spacing w:val="8"/>
        </w:rPr>
        <w:t> </w:t>
      </w:r>
      <w:r>
        <w:rPr>
          <w:spacing w:val="-4"/>
        </w:rPr>
        <w:t>York</w:t>
      </w:r>
    </w:p>
    <w:p>
      <w:pPr>
        <w:pStyle w:val="BodyText"/>
        <w:tabs>
          <w:tab w:pos="9532" w:val="left" w:leader="none"/>
        </w:tabs>
        <w:spacing w:before="19"/>
        <w:ind w:left="156"/>
      </w:pPr>
      <w:r>
        <w:rPr/>
        <w:t>Corning</w:t>
      </w:r>
      <w:r>
        <w:rPr>
          <w:spacing w:val="21"/>
        </w:rPr>
        <w:t> </w:t>
      </w:r>
      <w:r>
        <w:rPr/>
        <w:t>International</w:t>
      </w:r>
      <w:r>
        <w:rPr>
          <w:spacing w:val="21"/>
        </w:rPr>
        <w:t> </w:t>
      </w:r>
      <w:r>
        <w:rPr>
          <w:spacing w:val="-2"/>
        </w:rPr>
        <w:t>Corporation</w:t>
      </w:r>
      <w:r>
        <w:rPr/>
        <w:tab/>
      </w:r>
      <w:r>
        <w:rPr>
          <w:spacing w:val="-2"/>
        </w:rPr>
        <w:t>Delaware</w:t>
      </w:r>
    </w:p>
    <w:p>
      <w:pPr>
        <w:pStyle w:val="BodyText"/>
        <w:tabs>
          <w:tab w:pos="9532" w:val="left" w:leader="none"/>
        </w:tabs>
        <w:spacing w:before="20"/>
        <w:ind w:left="156"/>
      </w:pPr>
      <w:r>
        <w:rPr>
          <w:w w:val="105"/>
        </w:rPr>
        <w:t>Corning</w:t>
      </w:r>
      <w:r>
        <w:rPr>
          <w:spacing w:val="-10"/>
          <w:w w:val="105"/>
        </w:rPr>
        <w:t> </w:t>
      </w:r>
      <w:r>
        <w:rPr>
          <w:w w:val="105"/>
        </w:rPr>
        <w:t>Japan</w:t>
      </w:r>
      <w:r>
        <w:rPr>
          <w:spacing w:val="-10"/>
          <w:w w:val="105"/>
        </w:rPr>
        <w:t> </w:t>
      </w:r>
      <w:r>
        <w:rPr>
          <w:spacing w:val="-4"/>
          <w:w w:val="105"/>
        </w:rPr>
        <w:t>K.K.</w:t>
      </w:r>
      <w:r>
        <w:rPr/>
        <w:tab/>
      </w:r>
      <w:r>
        <w:rPr>
          <w:spacing w:val="-2"/>
          <w:w w:val="105"/>
        </w:rPr>
        <w:t>Japan</w:t>
      </w:r>
    </w:p>
    <w:p>
      <w:pPr>
        <w:pStyle w:val="BodyText"/>
        <w:tabs>
          <w:tab w:pos="9532" w:val="left" w:leader="none"/>
        </w:tabs>
        <w:spacing w:before="20"/>
        <w:ind w:left="156"/>
      </w:pPr>
      <w:r>
        <w:rPr>
          <w:spacing w:val="-2"/>
          <w:w w:val="105"/>
        </w:rPr>
        <w:t>Corning</w:t>
      </w:r>
      <w:r>
        <w:rPr>
          <w:spacing w:val="1"/>
          <w:w w:val="105"/>
        </w:rPr>
        <w:t> </w:t>
      </w:r>
      <w:r>
        <w:rPr>
          <w:spacing w:val="-2"/>
          <w:w w:val="105"/>
        </w:rPr>
        <w:t>Life</w:t>
      </w:r>
      <w:r>
        <w:rPr>
          <w:spacing w:val="2"/>
          <w:w w:val="105"/>
        </w:rPr>
        <w:t> </w:t>
      </w:r>
      <w:r>
        <w:rPr>
          <w:spacing w:val="-2"/>
          <w:w w:val="105"/>
        </w:rPr>
        <w:t>Sciences</w:t>
      </w:r>
      <w:r>
        <w:rPr>
          <w:spacing w:val="2"/>
          <w:w w:val="105"/>
        </w:rPr>
        <w:t> </w:t>
      </w:r>
      <w:r>
        <w:rPr>
          <w:spacing w:val="-2"/>
          <w:w w:val="105"/>
        </w:rPr>
        <w:t>(Wujiang)</w:t>
      </w:r>
      <w:r>
        <w:rPr>
          <w:spacing w:val="1"/>
          <w:w w:val="105"/>
        </w:rPr>
        <w:t> </w:t>
      </w:r>
      <w:r>
        <w:rPr>
          <w:spacing w:val="-2"/>
          <w:w w:val="105"/>
        </w:rPr>
        <w:t>Co.,</w:t>
      </w:r>
      <w:r>
        <w:rPr>
          <w:spacing w:val="2"/>
          <w:w w:val="105"/>
        </w:rPr>
        <w:t> </w:t>
      </w:r>
      <w:r>
        <w:rPr>
          <w:spacing w:val="-4"/>
          <w:w w:val="105"/>
        </w:rPr>
        <w:t>Ltd.</w:t>
      </w:r>
      <w:r>
        <w:rPr/>
        <w:tab/>
      </w:r>
      <w:r>
        <w:rPr>
          <w:spacing w:val="-4"/>
          <w:w w:val="105"/>
        </w:rPr>
        <w:t>China</w:t>
      </w:r>
    </w:p>
    <w:p>
      <w:pPr>
        <w:pStyle w:val="BodyText"/>
        <w:tabs>
          <w:tab w:pos="9532" w:val="left" w:leader="none"/>
        </w:tabs>
        <w:spacing w:before="20"/>
        <w:ind w:left="156"/>
      </w:pPr>
      <w:r>
        <w:rPr/>
        <w:t>Corning</w:t>
      </w:r>
      <w:r>
        <w:rPr>
          <w:spacing w:val="21"/>
        </w:rPr>
        <w:t> </w:t>
      </w:r>
      <w:r>
        <w:rPr/>
        <w:t>Luxembourg</w:t>
      </w:r>
      <w:r>
        <w:rPr>
          <w:spacing w:val="21"/>
        </w:rPr>
        <w:t> </w:t>
      </w:r>
      <w:r>
        <w:rPr>
          <w:spacing w:val="-2"/>
        </w:rPr>
        <w:t>S.à.r.l.</w:t>
      </w:r>
      <w:r>
        <w:rPr/>
        <w:tab/>
      </w:r>
      <w:r>
        <w:rPr>
          <w:spacing w:val="-2"/>
        </w:rPr>
        <w:t>Luxembourg</w:t>
      </w:r>
    </w:p>
    <w:p>
      <w:pPr>
        <w:pStyle w:val="BodyText"/>
        <w:tabs>
          <w:tab w:pos="9532" w:val="left" w:leader="none"/>
        </w:tabs>
        <w:spacing w:before="20"/>
        <w:ind w:left="156"/>
      </w:pPr>
      <w:r>
        <w:rPr/>
        <w:t>Corning</w:t>
      </w:r>
      <w:r>
        <w:rPr>
          <w:spacing w:val="17"/>
        </w:rPr>
        <w:t> </w:t>
      </w:r>
      <w:r>
        <w:rPr/>
        <w:t>Netoptix,</w:t>
      </w:r>
      <w:r>
        <w:rPr>
          <w:spacing w:val="18"/>
        </w:rPr>
        <w:t> </w:t>
      </w:r>
      <w:r>
        <w:rPr>
          <w:spacing w:val="-4"/>
        </w:rPr>
        <w:t>Inc.</w:t>
      </w:r>
      <w:r>
        <w:rPr/>
        <w:tab/>
      </w:r>
      <w:r>
        <w:rPr>
          <w:spacing w:val="-2"/>
        </w:rPr>
        <w:t>Delaware</w:t>
      </w:r>
    </w:p>
    <w:p>
      <w:pPr>
        <w:pStyle w:val="BodyText"/>
        <w:tabs>
          <w:tab w:pos="9532" w:val="left" w:leader="none"/>
        </w:tabs>
        <w:spacing w:before="20"/>
        <w:ind w:left="156"/>
      </w:pPr>
      <w:r>
        <w:rPr>
          <w:w w:val="105"/>
        </w:rPr>
        <w:t>Corning</w:t>
      </w:r>
      <w:r>
        <w:rPr>
          <w:spacing w:val="-10"/>
          <w:w w:val="105"/>
        </w:rPr>
        <w:t> </w:t>
      </w:r>
      <w:r>
        <w:rPr>
          <w:w w:val="105"/>
        </w:rPr>
        <w:t>Oak</w:t>
      </w:r>
      <w:r>
        <w:rPr>
          <w:spacing w:val="-10"/>
          <w:w w:val="105"/>
        </w:rPr>
        <w:t> </w:t>
      </w:r>
      <w:r>
        <w:rPr>
          <w:w w:val="105"/>
        </w:rPr>
        <w:t>Holding</w:t>
      </w:r>
      <w:r>
        <w:rPr>
          <w:spacing w:val="-10"/>
          <w:w w:val="105"/>
        </w:rPr>
        <w:t> </w:t>
      </w:r>
      <w:r>
        <w:rPr>
          <w:spacing w:val="-5"/>
          <w:w w:val="105"/>
        </w:rPr>
        <w:t>LLC</w:t>
      </w:r>
      <w:r>
        <w:rPr/>
        <w:tab/>
      </w:r>
      <w:r>
        <w:rPr>
          <w:spacing w:val="-2"/>
          <w:w w:val="105"/>
        </w:rPr>
        <w:t>Delaware</w:t>
      </w:r>
    </w:p>
    <w:p>
      <w:pPr>
        <w:pStyle w:val="BodyText"/>
        <w:tabs>
          <w:tab w:pos="9532" w:val="left" w:leader="none"/>
        </w:tabs>
        <w:spacing w:before="19"/>
        <w:ind w:left="156"/>
      </w:pPr>
      <w:r>
        <w:rPr/>
        <w:t>Corning</w:t>
      </w:r>
      <w:r>
        <w:rPr>
          <w:spacing w:val="12"/>
        </w:rPr>
        <w:t> </w:t>
      </w:r>
      <w:r>
        <w:rPr/>
        <w:t>Optical</w:t>
      </w:r>
      <w:r>
        <w:rPr>
          <w:spacing w:val="13"/>
        </w:rPr>
        <w:t> </w:t>
      </w:r>
      <w:r>
        <w:rPr/>
        <w:t>Communications</w:t>
      </w:r>
      <w:r>
        <w:rPr>
          <w:spacing w:val="13"/>
        </w:rPr>
        <w:t> </w:t>
      </w:r>
      <w:r>
        <w:rPr/>
        <w:t>GmbH</w:t>
      </w:r>
      <w:r>
        <w:rPr>
          <w:spacing w:val="12"/>
        </w:rPr>
        <w:t> </w:t>
      </w:r>
      <w:r>
        <w:rPr/>
        <w:t>&amp;</w:t>
      </w:r>
      <w:r>
        <w:rPr>
          <w:spacing w:val="13"/>
        </w:rPr>
        <w:t> </w:t>
      </w:r>
      <w:r>
        <w:rPr/>
        <w:t>Co.</w:t>
      </w:r>
      <w:r>
        <w:rPr>
          <w:spacing w:val="13"/>
        </w:rPr>
        <w:t> </w:t>
      </w:r>
      <w:r>
        <w:rPr>
          <w:spacing w:val="-5"/>
        </w:rPr>
        <w:t>KG</w:t>
      </w:r>
      <w:r>
        <w:rPr/>
        <w:tab/>
      </w:r>
      <w:r>
        <w:rPr>
          <w:spacing w:val="-2"/>
        </w:rPr>
        <w:t>Germany</w:t>
      </w:r>
    </w:p>
    <w:p>
      <w:pPr>
        <w:pStyle w:val="BodyText"/>
        <w:tabs>
          <w:tab w:pos="9532" w:val="left" w:leader="none"/>
        </w:tabs>
        <w:spacing w:before="20"/>
        <w:ind w:left="156"/>
      </w:pPr>
      <w:r>
        <w:rPr/>
        <w:t>Corning</w:t>
      </w:r>
      <w:r>
        <w:rPr>
          <w:spacing w:val="17"/>
        </w:rPr>
        <w:t> </w:t>
      </w:r>
      <w:r>
        <w:rPr/>
        <w:t>Optical</w:t>
      </w:r>
      <w:r>
        <w:rPr>
          <w:spacing w:val="18"/>
        </w:rPr>
        <w:t> </w:t>
      </w:r>
      <w:r>
        <w:rPr/>
        <w:t>Communications</w:t>
      </w:r>
      <w:r>
        <w:rPr>
          <w:spacing w:val="17"/>
        </w:rPr>
        <w:t> </w:t>
      </w:r>
      <w:r>
        <w:rPr>
          <w:spacing w:val="-5"/>
        </w:rPr>
        <w:t>LLC</w:t>
      </w:r>
      <w:r>
        <w:rPr/>
        <w:tab/>
        <w:t>North</w:t>
      </w:r>
      <w:r>
        <w:rPr>
          <w:spacing w:val="12"/>
        </w:rPr>
        <w:t> </w:t>
      </w:r>
      <w:r>
        <w:rPr>
          <w:spacing w:val="-2"/>
        </w:rPr>
        <w:t>Carolina</w:t>
      </w:r>
    </w:p>
    <w:p>
      <w:pPr>
        <w:pStyle w:val="BodyText"/>
        <w:tabs>
          <w:tab w:pos="9532" w:val="left" w:leader="none"/>
        </w:tabs>
        <w:spacing w:before="20"/>
        <w:ind w:left="156"/>
      </w:pPr>
      <w:r>
        <w:rPr>
          <w:spacing w:val="-2"/>
          <w:w w:val="105"/>
        </w:rPr>
        <w:t>Corning</w:t>
      </w:r>
      <w:r>
        <w:rPr>
          <w:w w:val="105"/>
        </w:rPr>
        <w:t> </w:t>
      </w:r>
      <w:r>
        <w:rPr>
          <w:spacing w:val="-2"/>
          <w:w w:val="105"/>
        </w:rPr>
        <w:t>Optical</w:t>
      </w:r>
      <w:r>
        <w:rPr>
          <w:w w:val="105"/>
        </w:rPr>
        <w:t> </w:t>
      </w:r>
      <w:r>
        <w:rPr>
          <w:spacing w:val="-2"/>
          <w:w w:val="105"/>
        </w:rPr>
        <w:t>Communications</w:t>
      </w:r>
      <w:r>
        <w:rPr>
          <w:w w:val="105"/>
        </w:rPr>
        <w:t> </w:t>
      </w:r>
      <w:r>
        <w:rPr>
          <w:spacing w:val="-2"/>
          <w:w w:val="105"/>
        </w:rPr>
        <w:t>Polska</w:t>
      </w:r>
      <w:r>
        <w:rPr>
          <w:w w:val="105"/>
        </w:rPr>
        <w:t> </w:t>
      </w:r>
      <w:r>
        <w:rPr>
          <w:spacing w:val="-2"/>
          <w:w w:val="105"/>
        </w:rPr>
        <w:t>Sp.</w:t>
      </w:r>
      <w:r>
        <w:rPr>
          <w:spacing w:val="1"/>
          <w:w w:val="105"/>
        </w:rPr>
        <w:t> </w:t>
      </w:r>
      <w:r>
        <w:rPr>
          <w:spacing w:val="-2"/>
          <w:w w:val="105"/>
        </w:rPr>
        <w:t>z</w:t>
      </w:r>
      <w:r>
        <w:rPr>
          <w:w w:val="105"/>
        </w:rPr>
        <w:t> </w:t>
      </w:r>
      <w:r>
        <w:rPr>
          <w:spacing w:val="-2"/>
          <w:w w:val="105"/>
        </w:rPr>
        <w:t>o.</w:t>
      </w:r>
      <w:r>
        <w:rPr>
          <w:w w:val="105"/>
        </w:rPr>
        <w:t> </w:t>
      </w:r>
      <w:r>
        <w:rPr>
          <w:spacing w:val="-5"/>
          <w:w w:val="105"/>
        </w:rPr>
        <w:t>o.</w:t>
      </w:r>
      <w:r>
        <w:rPr/>
        <w:tab/>
      </w:r>
      <w:r>
        <w:rPr>
          <w:spacing w:val="-2"/>
          <w:w w:val="105"/>
        </w:rPr>
        <w:t>Poland</w:t>
      </w:r>
    </w:p>
    <w:p>
      <w:pPr>
        <w:pStyle w:val="BodyText"/>
        <w:tabs>
          <w:tab w:pos="9532" w:val="left" w:leader="none"/>
        </w:tabs>
        <w:spacing w:before="20"/>
        <w:ind w:left="156"/>
      </w:pPr>
      <w:r>
        <w:rPr/>
        <w:t>Corning</w:t>
      </w:r>
      <w:r>
        <w:rPr>
          <w:spacing w:val="14"/>
        </w:rPr>
        <w:t> </w:t>
      </w:r>
      <w:r>
        <w:rPr/>
        <w:t>Optical</w:t>
      </w:r>
      <w:r>
        <w:rPr>
          <w:spacing w:val="15"/>
        </w:rPr>
        <w:t> </w:t>
      </w:r>
      <w:r>
        <w:rPr/>
        <w:t>Communications</w:t>
      </w:r>
      <w:r>
        <w:rPr>
          <w:spacing w:val="14"/>
        </w:rPr>
        <w:t> </w:t>
      </w:r>
      <w:r>
        <w:rPr/>
        <w:t>RF</w:t>
      </w:r>
      <w:r>
        <w:rPr>
          <w:spacing w:val="15"/>
        </w:rPr>
        <w:t> </w:t>
      </w:r>
      <w:r>
        <w:rPr>
          <w:spacing w:val="-5"/>
        </w:rPr>
        <w:t>LLC</w:t>
      </w:r>
      <w:r>
        <w:rPr/>
        <w:tab/>
      </w:r>
      <w:r>
        <w:rPr>
          <w:spacing w:val="-2"/>
        </w:rPr>
        <w:t>Delaware</w:t>
      </w:r>
    </w:p>
    <w:p>
      <w:pPr>
        <w:pStyle w:val="BodyText"/>
        <w:tabs>
          <w:tab w:pos="9532" w:val="left" w:leader="none"/>
        </w:tabs>
        <w:spacing w:before="20"/>
        <w:ind w:left="156"/>
      </w:pPr>
      <w:r>
        <w:rPr>
          <w:spacing w:val="-2"/>
          <w:w w:val="105"/>
        </w:rPr>
        <w:t>Corning</w:t>
      </w:r>
      <w:r>
        <w:rPr>
          <w:spacing w:val="-1"/>
          <w:w w:val="105"/>
        </w:rPr>
        <w:t> </w:t>
      </w:r>
      <w:r>
        <w:rPr>
          <w:spacing w:val="-2"/>
          <w:w w:val="105"/>
        </w:rPr>
        <w:t>Optical</w:t>
      </w:r>
      <w:r>
        <w:rPr>
          <w:w w:val="105"/>
        </w:rPr>
        <w:t> </w:t>
      </w:r>
      <w:r>
        <w:rPr>
          <w:spacing w:val="-2"/>
          <w:w w:val="105"/>
        </w:rPr>
        <w:t>Communications</w:t>
      </w:r>
      <w:r>
        <w:rPr>
          <w:w w:val="105"/>
        </w:rPr>
        <w:t> </w:t>
      </w:r>
      <w:r>
        <w:rPr>
          <w:spacing w:val="-2"/>
          <w:w w:val="105"/>
        </w:rPr>
        <w:t>S.</w:t>
      </w:r>
      <w:r>
        <w:rPr>
          <w:w w:val="105"/>
        </w:rPr>
        <w:t> </w:t>
      </w:r>
      <w:r>
        <w:rPr>
          <w:spacing w:val="-2"/>
          <w:w w:val="105"/>
        </w:rPr>
        <w:t>de</w:t>
      </w:r>
      <w:r>
        <w:rPr>
          <w:w w:val="105"/>
        </w:rPr>
        <w:t> </w:t>
      </w:r>
      <w:r>
        <w:rPr>
          <w:spacing w:val="-2"/>
          <w:w w:val="105"/>
        </w:rPr>
        <w:t>R.L.</w:t>
      </w:r>
      <w:r>
        <w:rPr>
          <w:w w:val="105"/>
        </w:rPr>
        <w:t> </w:t>
      </w:r>
      <w:r>
        <w:rPr>
          <w:spacing w:val="-2"/>
          <w:w w:val="105"/>
        </w:rPr>
        <w:t>de</w:t>
      </w:r>
      <w:r>
        <w:rPr>
          <w:w w:val="105"/>
        </w:rPr>
        <w:t> </w:t>
      </w:r>
      <w:r>
        <w:rPr>
          <w:spacing w:val="-4"/>
          <w:w w:val="105"/>
        </w:rPr>
        <w:t>C.V.</w:t>
      </w:r>
      <w:r>
        <w:rPr/>
        <w:tab/>
      </w:r>
      <w:r>
        <w:rPr>
          <w:spacing w:val="-2"/>
          <w:w w:val="105"/>
        </w:rPr>
        <w:t>Mexico</w:t>
      </w:r>
    </w:p>
    <w:p>
      <w:pPr>
        <w:pStyle w:val="BodyText"/>
        <w:tabs>
          <w:tab w:pos="9532" w:val="left" w:leader="none"/>
        </w:tabs>
        <w:spacing w:before="20"/>
        <w:ind w:left="156"/>
      </w:pPr>
      <w:r>
        <w:rPr/>
        <w:t>Corning</w:t>
      </w:r>
      <w:r>
        <w:rPr>
          <w:spacing w:val="21"/>
        </w:rPr>
        <w:t> </w:t>
      </w:r>
      <w:r>
        <w:rPr/>
        <w:t>Optical</w:t>
      </w:r>
      <w:r>
        <w:rPr>
          <w:spacing w:val="22"/>
        </w:rPr>
        <w:t> </w:t>
      </w:r>
      <w:r>
        <w:rPr/>
        <w:t>Communications</w:t>
      </w:r>
      <w:r>
        <w:rPr>
          <w:spacing w:val="21"/>
        </w:rPr>
        <w:t> </w:t>
      </w:r>
      <w:r>
        <w:rPr/>
        <w:t>Vermoegensverwaltungs</w:t>
      </w:r>
      <w:r>
        <w:rPr>
          <w:spacing w:val="22"/>
        </w:rPr>
        <w:t> </w:t>
      </w:r>
      <w:r>
        <w:rPr>
          <w:spacing w:val="-4"/>
        </w:rPr>
        <w:t>GmbH</w:t>
      </w:r>
      <w:r>
        <w:rPr/>
        <w:tab/>
      </w:r>
      <w:r>
        <w:rPr>
          <w:spacing w:val="-2"/>
        </w:rPr>
        <w:t>Germany</w:t>
      </w:r>
    </w:p>
    <w:p>
      <w:pPr>
        <w:pStyle w:val="BodyText"/>
        <w:tabs>
          <w:tab w:pos="9532" w:val="left" w:leader="none"/>
        </w:tabs>
        <w:spacing w:before="19"/>
        <w:ind w:left="156"/>
      </w:pPr>
      <w:r>
        <w:rPr/>
        <w:t>Corning</w:t>
      </w:r>
      <w:r>
        <w:rPr>
          <w:spacing w:val="20"/>
        </w:rPr>
        <w:t> </w:t>
      </w:r>
      <w:r>
        <w:rPr/>
        <w:t>Pharmaceutical</w:t>
      </w:r>
      <w:r>
        <w:rPr>
          <w:spacing w:val="20"/>
        </w:rPr>
        <w:t> </w:t>
      </w:r>
      <w:r>
        <w:rPr/>
        <w:t>Glass,</w:t>
      </w:r>
      <w:r>
        <w:rPr>
          <w:spacing w:val="20"/>
        </w:rPr>
        <w:t> </w:t>
      </w:r>
      <w:r>
        <w:rPr>
          <w:spacing w:val="-5"/>
        </w:rPr>
        <w:t>LLC</w:t>
      </w:r>
      <w:r>
        <w:rPr/>
        <w:tab/>
      </w:r>
      <w:r>
        <w:rPr>
          <w:spacing w:val="-2"/>
        </w:rPr>
        <w:t>Delaware</w:t>
      </w:r>
    </w:p>
    <w:p>
      <w:pPr>
        <w:pStyle w:val="BodyText"/>
        <w:tabs>
          <w:tab w:pos="9532" w:val="left" w:leader="none"/>
        </w:tabs>
        <w:spacing w:before="20"/>
        <w:ind w:left="156"/>
      </w:pPr>
      <w:r>
        <w:rPr/>
        <w:t>Corning</w:t>
      </w:r>
      <w:r>
        <w:rPr>
          <w:spacing w:val="13"/>
        </w:rPr>
        <w:t> </w:t>
      </w:r>
      <w:r>
        <w:rPr/>
        <w:t>Precision</w:t>
      </w:r>
      <w:r>
        <w:rPr>
          <w:spacing w:val="14"/>
        </w:rPr>
        <w:t> </w:t>
      </w:r>
      <w:r>
        <w:rPr/>
        <w:t>Materials</w:t>
      </w:r>
      <w:r>
        <w:rPr>
          <w:spacing w:val="14"/>
        </w:rPr>
        <w:t> </w:t>
      </w:r>
      <w:r>
        <w:rPr/>
        <w:t>Co.,</w:t>
      </w:r>
      <w:r>
        <w:rPr>
          <w:spacing w:val="14"/>
        </w:rPr>
        <w:t> </w:t>
      </w:r>
      <w:r>
        <w:rPr>
          <w:spacing w:val="-4"/>
        </w:rPr>
        <w:t>Ltd.</w:t>
      </w:r>
      <w:r>
        <w:rPr/>
        <w:tab/>
      </w:r>
      <w:r>
        <w:rPr>
          <w:spacing w:val="-2"/>
        </w:rPr>
        <w:t>Korea</w:t>
      </w:r>
    </w:p>
    <w:p>
      <w:pPr>
        <w:pStyle w:val="BodyText"/>
        <w:tabs>
          <w:tab w:pos="9532" w:val="left" w:leader="none"/>
        </w:tabs>
        <w:spacing w:before="20"/>
        <w:ind w:left="156"/>
      </w:pPr>
      <w:r>
        <w:rPr/>
        <w:t>Corning</w:t>
      </w:r>
      <w:r>
        <w:rPr>
          <w:spacing w:val="20"/>
        </w:rPr>
        <w:t> </w:t>
      </w:r>
      <w:r>
        <w:rPr/>
        <w:t>Property</w:t>
      </w:r>
      <w:r>
        <w:rPr>
          <w:spacing w:val="20"/>
        </w:rPr>
        <w:t> </w:t>
      </w:r>
      <w:r>
        <w:rPr/>
        <w:t>Management</w:t>
      </w:r>
      <w:r>
        <w:rPr>
          <w:spacing w:val="20"/>
        </w:rPr>
        <w:t> </w:t>
      </w:r>
      <w:r>
        <w:rPr>
          <w:spacing w:val="-2"/>
        </w:rPr>
        <w:t>Corporation</w:t>
      </w:r>
      <w:r>
        <w:rPr/>
        <w:tab/>
      </w:r>
      <w:r>
        <w:rPr>
          <w:spacing w:val="-2"/>
        </w:rPr>
        <w:t>Delaware</w:t>
      </w:r>
    </w:p>
    <w:p>
      <w:pPr>
        <w:pStyle w:val="BodyText"/>
        <w:tabs>
          <w:tab w:pos="9532" w:val="left" w:leader="none"/>
        </w:tabs>
        <w:spacing w:before="20"/>
        <w:ind w:left="156"/>
      </w:pPr>
      <w:r>
        <w:rPr/>
        <w:t>Corning</w:t>
      </w:r>
      <w:r>
        <w:rPr>
          <w:spacing w:val="16"/>
        </w:rPr>
        <w:t> </w:t>
      </w:r>
      <w:r>
        <w:rPr/>
        <w:t>Research</w:t>
      </w:r>
      <w:r>
        <w:rPr>
          <w:spacing w:val="17"/>
        </w:rPr>
        <w:t> </w:t>
      </w:r>
      <w:r>
        <w:rPr/>
        <w:t>&amp;</w:t>
      </w:r>
      <w:r>
        <w:rPr>
          <w:spacing w:val="17"/>
        </w:rPr>
        <w:t> </w:t>
      </w:r>
      <w:r>
        <w:rPr/>
        <w:t>Development</w:t>
      </w:r>
      <w:r>
        <w:rPr>
          <w:spacing w:val="16"/>
        </w:rPr>
        <w:t> </w:t>
      </w:r>
      <w:r>
        <w:rPr>
          <w:spacing w:val="-2"/>
        </w:rPr>
        <w:t>Corporation</w:t>
      </w:r>
      <w:r>
        <w:rPr/>
        <w:tab/>
      </w:r>
      <w:r>
        <w:rPr>
          <w:spacing w:val="-2"/>
        </w:rPr>
        <w:t>Delaware</w:t>
      </w:r>
    </w:p>
    <w:p>
      <w:pPr>
        <w:pStyle w:val="BodyText"/>
        <w:tabs>
          <w:tab w:pos="9532" w:val="left" w:leader="none"/>
        </w:tabs>
        <w:spacing w:before="20"/>
        <w:ind w:left="156"/>
      </w:pPr>
      <w:r>
        <w:rPr/>
        <w:t>Corning</w:t>
      </w:r>
      <w:r>
        <w:rPr>
          <w:spacing w:val="10"/>
        </w:rPr>
        <w:t> </w:t>
      </w:r>
      <w:r>
        <w:rPr>
          <w:spacing w:val="-5"/>
        </w:rPr>
        <w:t>SAS</w:t>
      </w:r>
      <w:r>
        <w:rPr/>
        <w:tab/>
      </w:r>
      <w:r>
        <w:rPr>
          <w:spacing w:val="-2"/>
        </w:rPr>
        <w:t>France</w:t>
      </w:r>
    </w:p>
    <w:p>
      <w:pPr>
        <w:pStyle w:val="BodyText"/>
        <w:tabs>
          <w:tab w:pos="9532" w:val="left" w:leader="none"/>
        </w:tabs>
        <w:spacing w:before="20"/>
        <w:ind w:left="156"/>
      </w:pPr>
      <w:r>
        <w:rPr/>
        <w:t>Corning</w:t>
      </w:r>
      <w:r>
        <w:rPr>
          <w:spacing w:val="13"/>
        </w:rPr>
        <w:t> </w:t>
      </w:r>
      <w:r>
        <w:rPr/>
        <w:t>Singapore</w:t>
      </w:r>
      <w:r>
        <w:rPr>
          <w:spacing w:val="14"/>
        </w:rPr>
        <w:t> </w:t>
      </w:r>
      <w:r>
        <w:rPr/>
        <w:t>Holdings</w:t>
      </w:r>
      <w:r>
        <w:rPr>
          <w:spacing w:val="14"/>
        </w:rPr>
        <w:t> </w:t>
      </w:r>
      <w:r>
        <w:rPr/>
        <w:t>Pte</w:t>
      </w:r>
      <w:r>
        <w:rPr>
          <w:spacing w:val="14"/>
        </w:rPr>
        <w:t> </w:t>
      </w:r>
      <w:r>
        <w:rPr>
          <w:spacing w:val="-5"/>
        </w:rPr>
        <w:t>Ltd</w:t>
      </w:r>
      <w:r>
        <w:rPr/>
        <w:tab/>
      </w:r>
      <w:r>
        <w:rPr>
          <w:spacing w:val="-2"/>
        </w:rPr>
        <w:t>Indonesia</w:t>
      </w:r>
    </w:p>
    <w:p>
      <w:pPr>
        <w:pStyle w:val="BodyText"/>
        <w:tabs>
          <w:tab w:pos="9532" w:val="left" w:leader="none"/>
        </w:tabs>
        <w:spacing w:before="19"/>
        <w:ind w:left="156"/>
      </w:pPr>
      <w:r>
        <w:rPr/>
        <w:t>Corning</w:t>
      </w:r>
      <w:r>
        <w:rPr>
          <w:spacing w:val="16"/>
        </w:rPr>
        <w:t> </w:t>
      </w:r>
      <w:r>
        <w:rPr/>
        <w:t>SK</w:t>
      </w:r>
      <w:r>
        <w:rPr>
          <w:spacing w:val="16"/>
        </w:rPr>
        <w:t> </w:t>
      </w:r>
      <w:r>
        <w:rPr/>
        <w:t>Luxembourg</w:t>
      </w:r>
      <w:r>
        <w:rPr>
          <w:spacing w:val="16"/>
        </w:rPr>
        <w:t> </w:t>
      </w:r>
      <w:r>
        <w:rPr>
          <w:spacing w:val="-2"/>
        </w:rPr>
        <w:t>S.à.r.l.</w:t>
      </w:r>
      <w:r>
        <w:rPr/>
        <w:tab/>
      </w:r>
      <w:r>
        <w:rPr>
          <w:spacing w:val="-2"/>
        </w:rPr>
        <w:t>Luxembourg</w:t>
      </w:r>
    </w:p>
    <w:p>
      <w:pPr>
        <w:pStyle w:val="BodyText"/>
        <w:tabs>
          <w:tab w:pos="9532" w:val="left" w:leader="none"/>
        </w:tabs>
        <w:spacing w:before="20"/>
        <w:ind w:left="156"/>
      </w:pPr>
      <w:r>
        <w:rPr/>
        <w:t>Corning</w:t>
      </w:r>
      <w:r>
        <w:rPr>
          <w:spacing w:val="19"/>
        </w:rPr>
        <w:t> </w:t>
      </w:r>
      <w:r>
        <w:rPr/>
        <w:t>Specialty</w:t>
      </w:r>
      <w:r>
        <w:rPr>
          <w:spacing w:val="19"/>
        </w:rPr>
        <w:t> </w:t>
      </w:r>
      <w:r>
        <w:rPr/>
        <w:t>Materials,</w:t>
      </w:r>
      <w:r>
        <w:rPr>
          <w:spacing w:val="19"/>
        </w:rPr>
        <w:t> </w:t>
      </w:r>
      <w:r>
        <w:rPr>
          <w:spacing w:val="-4"/>
        </w:rPr>
        <w:t>Inc.</w:t>
      </w:r>
      <w:r>
        <w:rPr/>
        <w:tab/>
      </w:r>
      <w:r>
        <w:rPr>
          <w:spacing w:val="-2"/>
        </w:rPr>
        <w:t>Delaware</w:t>
      </w:r>
    </w:p>
    <w:p>
      <w:pPr>
        <w:pStyle w:val="BodyText"/>
        <w:tabs>
          <w:tab w:pos="9532" w:val="left" w:leader="none"/>
        </w:tabs>
        <w:spacing w:before="20"/>
        <w:ind w:left="156"/>
      </w:pPr>
      <w:r>
        <w:rPr/>
        <w:t>Corning</w:t>
      </w:r>
      <w:r>
        <w:rPr>
          <w:spacing w:val="15"/>
        </w:rPr>
        <w:t> </w:t>
      </w:r>
      <w:r>
        <w:rPr/>
        <w:t>Technologies</w:t>
      </w:r>
      <w:r>
        <w:rPr>
          <w:spacing w:val="15"/>
        </w:rPr>
        <w:t> </w:t>
      </w:r>
      <w:r>
        <w:rPr/>
        <w:t>(H.K.)</w:t>
      </w:r>
      <w:r>
        <w:rPr>
          <w:spacing w:val="16"/>
        </w:rPr>
        <w:t> </w:t>
      </w:r>
      <w:r>
        <w:rPr>
          <w:spacing w:val="-2"/>
        </w:rPr>
        <w:t>Limited</w:t>
      </w:r>
      <w:r>
        <w:rPr/>
        <w:tab/>
        <w:t>Hong</w:t>
      </w:r>
      <w:r>
        <w:rPr>
          <w:spacing w:val="8"/>
        </w:rPr>
        <w:t> </w:t>
      </w:r>
      <w:r>
        <w:rPr>
          <w:spacing w:val="-4"/>
        </w:rPr>
        <w:t>Kong</w:t>
      </w:r>
    </w:p>
    <w:p>
      <w:pPr>
        <w:pStyle w:val="BodyText"/>
        <w:tabs>
          <w:tab w:pos="9532" w:val="left" w:leader="none"/>
        </w:tabs>
        <w:spacing w:before="20"/>
        <w:ind w:left="156"/>
      </w:pPr>
      <w:r>
        <w:rPr/>
        <w:t>Corning</w:t>
      </w:r>
      <w:r>
        <w:rPr>
          <w:spacing w:val="16"/>
        </w:rPr>
        <w:t> </w:t>
      </w:r>
      <w:r>
        <w:rPr/>
        <w:t>Technologies</w:t>
      </w:r>
      <w:r>
        <w:rPr>
          <w:spacing w:val="16"/>
        </w:rPr>
        <w:t> </w:t>
      </w:r>
      <w:r>
        <w:rPr>
          <w:spacing w:val="-4"/>
        </w:rPr>
        <w:t>SARL</w:t>
      </w:r>
      <w:r>
        <w:rPr/>
        <w:tab/>
      </w:r>
      <w:r>
        <w:rPr>
          <w:spacing w:val="-2"/>
        </w:rPr>
        <w:t>Luxembourg</w:t>
      </w:r>
    </w:p>
    <w:p>
      <w:pPr>
        <w:pStyle w:val="BodyText"/>
        <w:tabs>
          <w:tab w:pos="9532" w:val="left" w:leader="none"/>
        </w:tabs>
        <w:spacing w:before="20"/>
        <w:ind w:left="156"/>
      </w:pPr>
      <w:r>
        <w:rPr/>
        <w:t>Corning</w:t>
      </w:r>
      <w:r>
        <w:rPr>
          <w:spacing w:val="22"/>
        </w:rPr>
        <w:t> </w:t>
      </w:r>
      <w:r>
        <w:rPr/>
        <w:t>Telecommunications</w:t>
      </w:r>
      <w:r>
        <w:rPr>
          <w:spacing w:val="23"/>
        </w:rPr>
        <w:t> </w:t>
      </w:r>
      <w:r>
        <w:rPr/>
        <w:t>Luxembourg</w:t>
      </w:r>
      <w:r>
        <w:rPr>
          <w:spacing w:val="23"/>
        </w:rPr>
        <w:t> </w:t>
      </w:r>
      <w:r>
        <w:rPr>
          <w:spacing w:val="-2"/>
        </w:rPr>
        <w:t>S.à.r.l.</w:t>
      </w:r>
      <w:r>
        <w:rPr/>
        <w:tab/>
      </w:r>
      <w:r>
        <w:rPr>
          <w:spacing w:val="-2"/>
        </w:rPr>
        <w:t>Luxembourg</w:t>
      </w:r>
    </w:p>
    <w:p>
      <w:pPr>
        <w:pStyle w:val="BodyText"/>
        <w:tabs>
          <w:tab w:pos="9532" w:val="left" w:leader="none"/>
        </w:tabs>
        <w:spacing w:before="20"/>
        <w:ind w:left="156"/>
      </w:pPr>
      <w:r>
        <w:rPr/>
        <w:t>Corning</w:t>
      </w:r>
      <w:r>
        <w:rPr>
          <w:spacing w:val="15"/>
        </w:rPr>
        <w:t> </w:t>
      </w:r>
      <w:r>
        <w:rPr/>
        <w:t>Tropel</w:t>
      </w:r>
      <w:r>
        <w:rPr>
          <w:spacing w:val="15"/>
        </w:rPr>
        <w:t> </w:t>
      </w:r>
      <w:r>
        <w:rPr>
          <w:spacing w:val="-2"/>
        </w:rPr>
        <w:t>Corporation</w:t>
      </w:r>
      <w:r>
        <w:rPr/>
        <w:tab/>
      </w:r>
      <w:r>
        <w:rPr>
          <w:spacing w:val="-2"/>
        </w:rPr>
        <w:t>Delaware</w:t>
      </w:r>
    </w:p>
    <w:p>
      <w:pPr>
        <w:pStyle w:val="BodyText"/>
        <w:tabs>
          <w:tab w:pos="9532" w:val="left" w:leader="none"/>
        </w:tabs>
        <w:spacing w:before="19"/>
        <w:ind w:left="156"/>
      </w:pPr>
      <w:r>
        <w:rPr/>
        <w:t>Corning</w:t>
      </w:r>
      <w:r>
        <w:rPr>
          <w:spacing w:val="14"/>
        </w:rPr>
        <w:t> </w:t>
      </w:r>
      <w:r>
        <w:rPr/>
        <w:t>Ventures</w:t>
      </w:r>
      <w:r>
        <w:rPr>
          <w:spacing w:val="14"/>
        </w:rPr>
        <w:t> </w:t>
      </w:r>
      <w:r>
        <w:rPr/>
        <w:t>France</w:t>
      </w:r>
      <w:r>
        <w:rPr>
          <w:spacing w:val="14"/>
        </w:rPr>
        <w:t> </w:t>
      </w:r>
      <w:r>
        <w:rPr>
          <w:spacing w:val="-5"/>
        </w:rPr>
        <w:t>SAS</w:t>
      </w:r>
      <w:r>
        <w:rPr/>
        <w:tab/>
      </w:r>
      <w:r>
        <w:rPr>
          <w:spacing w:val="-2"/>
        </w:rPr>
        <w:t>France</w:t>
      </w:r>
    </w:p>
    <w:p>
      <w:pPr>
        <w:pStyle w:val="BodyText"/>
      </w:pPr>
    </w:p>
    <w:p>
      <w:pPr>
        <w:pStyle w:val="BodyText"/>
        <w:spacing w:before="60"/>
      </w:pPr>
    </w:p>
    <w:p>
      <w:pPr>
        <w:pStyle w:val="BodyText"/>
        <w:ind w:left="48"/>
        <w:jc w:val="center"/>
      </w:pPr>
      <w:r>
        <w:rPr>
          <w:w w:val="105"/>
        </w:rPr>
        <w:t>-</w:t>
      </w:r>
      <w:r>
        <w:rPr>
          <w:spacing w:val="-3"/>
          <w:w w:val="105"/>
        </w:rPr>
        <w:t> </w:t>
      </w:r>
      <w:r>
        <w:rPr>
          <w:w w:val="105"/>
        </w:rPr>
        <w:t>1</w:t>
      </w:r>
      <w:r>
        <w:rPr>
          <w:spacing w:val="-2"/>
          <w:w w:val="105"/>
        </w:rPr>
        <w:t> </w:t>
      </w:r>
      <w:r>
        <w:rPr>
          <w:spacing w:val="-10"/>
          <w:w w:val="105"/>
        </w:rPr>
        <w:t>-</w:t>
      </w:r>
    </w:p>
    <w:p>
      <w:pPr>
        <w:pStyle w:val="BodyText"/>
        <w:spacing w:before="11"/>
        <w:rPr>
          <w:sz w:val="5"/>
        </w:rPr>
      </w:pPr>
      <w:r>
        <w:rPr/>
        <mc:AlternateContent>
          <mc:Choice Requires="wps">
            <w:drawing>
              <wp:anchor distT="0" distB="0" distL="0" distR="0" allowOverlap="1" layoutInCell="1" locked="0" behindDoc="1" simplePos="0" relativeHeight="487759360">
                <wp:simplePos x="0" y="0"/>
                <wp:positionH relativeFrom="page">
                  <wp:posOffset>226488</wp:posOffset>
                </wp:positionH>
                <wp:positionV relativeFrom="paragraph">
                  <wp:posOffset>58734</wp:posOffset>
                </wp:positionV>
                <wp:extent cx="7312659" cy="16510"/>
                <wp:effectExtent l="0" t="0" r="0" b="0"/>
                <wp:wrapTopAndBottom/>
                <wp:docPr id="1100" name="Graphic 1100"/>
                <wp:cNvGraphicFramePr>
                  <a:graphicFrameLocks/>
                </wp:cNvGraphicFramePr>
                <a:graphic>
                  <a:graphicData uri="http://schemas.microsoft.com/office/word/2010/wordprocessingShape">
                    <wps:wsp>
                      <wps:cNvPr id="1100" name="Graphic 1100"/>
                      <wps:cNvSpPr/>
                      <wps:spPr>
                        <a:xfrm>
                          <a:off x="0" y="0"/>
                          <a:ext cx="7312659" cy="16510"/>
                        </a:xfrm>
                        <a:custGeom>
                          <a:avLst/>
                          <a:gdLst/>
                          <a:ahLst/>
                          <a:cxnLst/>
                          <a:rect l="l" t="t" r="r" b="b"/>
                          <a:pathLst>
                            <a:path w="7312659" h="16510">
                              <a:moveTo>
                                <a:pt x="0" y="0"/>
                              </a:moveTo>
                              <a:lnTo>
                                <a:pt x="7312343" y="0"/>
                              </a:lnTo>
                              <a:lnTo>
                                <a:pt x="7312343" y="16177"/>
                              </a:lnTo>
                              <a:lnTo>
                                <a:pt x="0" y="161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4.624756pt;width:575.775087pt;height:1.273839pt;mso-position-horizontal-relative:page;mso-position-vertical-relative:paragraph;z-index:-15557120;mso-wrap-distance-left:0;mso-wrap-distance-right:0" id="docshape1099" filled="true" fillcolor="#000000" stroked="false">
                <v:fill type="solid"/>
                <w10:wrap type="topAndBottom"/>
              </v:rect>
            </w:pict>
          </mc:Fallback>
        </mc:AlternateContent>
      </w:r>
    </w:p>
    <w:p>
      <w:pPr>
        <w:spacing w:after="0"/>
        <w:rPr>
          <w:sz w:val="5"/>
        </w:rPr>
        <w:sectPr>
          <w:headerReference w:type="default" r:id="rId103"/>
          <w:pgSz w:w="12240" w:h="15840"/>
          <w:pgMar w:header="0" w:footer="0" w:top="500" w:bottom="280" w:left="200" w:right="260"/>
        </w:sectPr>
      </w:pPr>
    </w:p>
    <w:p>
      <w:pPr>
        <w:pStyle w:val="BodyText"/>
        <w:tabs>
          <w:tab w:pos="9519" w:val="left" w:leader="none"/>
        </w:tabs>
        <w:spacing w:before="74"/>
        <w:ind w:left="156"/>
      </w:pPr>
      <w:r>
        <w:rPr>
          <w:spacing w:val="-2"/>
          <w:w w:val="105"/>
        </w:rPr>
        <w:t>DC</w:t>
      </w:r>
      <w:r>
        <w:rPr>
          <w:spacing w:val="-3"/>
          <w:w w:val="105"/>
        </w:rPr>
        <w:t> </w:t>
      </w:r>
      <w:r>
        <w:rPr>
          <w:spacing w:val="-2"/>
          <w:w w:val="105"/>
        </w:rPr>
        <w:t>HSC Holdings </w:t>
      </w:r>
      <w:r>
        <w:rPr>
          <w:spacing w:val="-5"/>
          <w:w w:val="105"/>
        </w:rPr>
        <w:t>LLC</w:t>
      </w:r>
      <w:r>
        <w:rPr/>
        <w:tab/>
      </w:r>
      <w:r>
        <w:rPr>
          <w:spacing w:val="-2"/>
          <w:w w:val="105"/>
        </w:rPr>
        <w:t>Delaware</w:t>
      </w:r>
    </w:p>
    <w:p>
      <w:pPr>
        <w:pStyle w:val="BodyText"/>
        <w:tabs>
          <w:tab w:pos="9519" w:val="left" w:leader="none"/>
        </w:tabs>
        <w:spacing w:before="20"/>
        <w:ind w:left="156"/>
      </w:pPr>
      <w:r>
        <w:rPr/>
        <w:t>Discovery</w:t>
      </w:r>
      <w:r>
        <w:rPr>
          <w:spacing w:val="19"/>
        </w:rPr>
        <w:t> </w:t>
      </w:r>
      <w:r>
        <w:rPr/>
        <w:t>Labware,</w:t>
      </w:r>
      <w:r>
        <w:rPr>
          <w:spacing w:val="20"/>
        </w:rPr>
        <w:t> </w:t>
      </w:r>
      <w:r>
        <w:rPr>
          <w:spacing w:val="-4"/>
        </w:rPr>
        <w:t>Inc.</w:t>
      </w:r>
      <w:r>
        <w:rPr/>
        <w:tab/>
      </w:r>
      <w:r>
        <w:rPr>
          <w:spacing w:val="-2"/>
        </w:rPr>
        <w:t>Delaware</w:t>
      </w:r>
    </w:p>
    <w:p>
      <w:pPr>
        <w:pStyle w:val="BodyText"/>
        <w:tabs>
          <w:tab w:pos="9519" w:val="left" w:leader="none"/>
        </w:tabs>
        <w:spacing w:before="20"/>
        <w:ind w:left="156"/>
      </w:pPr>
      <w:r>
        <w:rPr/>
        <w:t>Hemlock</w:t>
      </w:r>
      <w:r>
        <w:rPr>
          <w:spacing w:val="15"/>
        </w:rPr>
        <w:t> </w:t>
      </w:r>
      <w:r>
        <w:rPr/>
        <w:t>Holdings</w:t>
      </w:r>
      <w:r>
        <w:rPr>
          <w:spacing w:val="15"/>
        </w:rPr>
        <w:t> </w:t>
      </w:r>
      <w:r>
        <w:rPr>
          <w:spacing w:val="-5"/>
        </w:rPr>
        <w:t>LLC</w:t>
      </w:r>
      <w:r>
        <w:rPr/>
        <w:tab/>
      </w:r>
      <w:r>
        <w:rPr>
          <w:spacing w:val="-2"/>
        </w:rPr>
        <w:t>Delaware</w:t>
      </w:r>
    </w:p>
    <w:p>
      <w:pPr>
        <w:pStyle w:val="BodyText"/>
        <w:tabs>
          <w:tab w:pos="9519" w:val="left" w:leader="none"/>
        </w:tabs>
        <w:spacing w:before="19"/>
        <w:ind w:left="156"/>
      </w:pPr>
      <w:r>
        <w:rPr/>
        <w:t>Hemlock</w:t>
      </w:r>
      <w:r>
        <w:rPr>
          <w:spacing w:val="23"/>
        </w:rPr>
        <w:t> </w:t>
      </w:r>
      <w:r>
        <w:rPr/>
        <w:t>Semiconductor</w:t>
      </w:r>
      <w:r>
        <w:rPr>
          <w:spacing w:val="23"/>
        </w:rPr>
        <w:t> </w:t>
      </w:r>
      <w:r>
        <w:rPr/>
        <w:t>Operations</w:t>
      </w:r>
      <w:r>
        <w:rPr>
          <w:spacing w:val="23"/>
        </w:rPr>
        <w:t> </w:t>
      </w:r>
      <w:r>
        <w:rPr>
          <w:spacing w:val="-5"/>
        </w:rPr>
        <w:t>LLC</w:t>
      </w:r>
      <w:r>
        <w:rPr/>
        <w:tab/>
      </w:r>
      <w:r>
        <w:rPr>
          <w:spacing w:val="-2"/>
        </w:rPr>
        <w:t>Michigan</w:t>
      </w:r>
    </w:p>
    <w:p>
      <w:pPr>
        <w:pStyle w:val="BodyText"/>
        <w:tabs>
          <w:tab w:pos="9519" w:val="left" w:leader="none"/>
        </w:tabs>
        <w:spacing w:before="20"/>
        <w:ind w:left="156"/>
      </w:pPr>
      <w:r>
        <w:rPr/>
        <w:t>Hemlock</w:t>
      </w:r>
      <w:r>
        <w:rPr>
          <w:spacing w:val="24"/>
        </w:rPr>
        <w:t> </w:t>
      </w:r>
      <w:r>
        <w:rPr/>
        <w:t>Semiconductor,</w:t>
      </w:r>
      <w:r>
        <w:rPr>
          <w:spacing w:val="25"/>
        </w:rPr>
        <w:t> </w:t>
      </w:r>
      <w:r>
        <w:rPr>
          <w:spacing w:val="-2"/>
        </w:rPr>
        <w:t>L.L.C.</w:t>
      </w:r>
      <w:r>
        <w:rPr/>
        <w:tab/>
      </w:r>
      <w:r>
        <w:rPr>
          <w:spacing w:val="-2"/>
        </w:rPr>
        <w:t>Delaware</w:t>
      </w:r>
    </w:p>
    <w:p>
      <w:pPr>
        <w:pStyle w:val="BodyText"/>
        <w:tabs>
          <w:tab w:pos="9519" w:val="left" w:leader="none"/>
        </w:tabs>
        <w:spacing w:before="20"/>
        <w:ind w:left="156"/>
      </w:pPr>
      <w:r>
        <w:rPr>
          <w:spacing w:val="-2"/>
          <w:w w:val="105"/>
        </w:rPr>
        <w:t>HSC</w:t>
      </w:r>
      <w:r>
        <w:rPr>
          <w:spacing w:val="-3"/>
          <w:w w:val="105"/>
        </w:rPr>
        <w:t> </w:t>
      </w:r>
      <w:r>
        <w:rPr>
          <w:spacing w:val="-2"/>
          <w:w w:val="105"/>
        </w:rPr>
        <w:t>Holdings </w:t>
      </w:r>
      <w:r>
        <w:rPr>
          <w:spacing w:val="-5"/>
          <w:w w:val="105"/>
        </w:rPr>
        <w:t>LLC</w:t>
      </w:r>
      <w:r>
        <w:rPr/>
        <w:tab/>
      </w:r>
      <w:r>
        <w:rPr>
          <w:spacing w:val="-2"/>
          <w:w w:val="105"/>
        </w:rPr>
        <w:t>Delaware</w:t>
      </w:r>
    </w:p>
    <w:p>
      <w:pPr>
        <w:pStyle w:val="BodyText"/>
        <w:tabs>
          <w:tab w:pos="9519" w:val="left" w:leader="none"/>
        </w:tabs>
        <w:spacing w:before="20"/>
        <w:ind w:left="156"/>
      </w:pPr>
      <w:r>
        <w:rPr/>
        <w:t>Mediatech,</w:t>
      </w:r>
      <w:r>
        <w:rPr>
          <w:spacing w:val="22"/>
        </w:rPr>
        <w:t> </w:t>
      </w:r>
      <w:r>
        <w:rPr>
          <w:spacing w:val="-4"/>
        </w:rPr>
        <w:t>Inc.</w:t>
      </w:r>
      <w:r>
        <w:rPr/>
        <w:tab/>
      </w:r>
      <w:r>
        <w:rPr>
          <w:spacing w:val="-2"/>
        </w:rPr>
        <w:t>Virginia</w:t>
      </w:r>
    </w:p>
    <w:p>
      <w:pPr>
        <w:pStyle w:val="BodyText"/>
        <w:tabs>
          <w:tab w:pos="9519" w:val="left" w:leader="none"/>
        </w:tabs>
        <w:spacing w:before="20"/>
        <w:ind w:left="156"/>
      </w:pPr>
      <w:r>
        <w:rPr/>
        <w:t>TR</w:t>
      </w:r>
      <w:r>
        <w:rPr>
          <w:spacing w:val="18"/>
        </w:rPr>
        <w:t> </w:t>
      </w:r>
      <w:r>
        <w:rPr/>
        <w:t>Manufacturing,</w:t>
      </w:r>
      <w:r>
        <w:rPr>
          <w:spacing w:val="19"/>
        </w:rPr>
        <w:t> </w:t>
      </w:r>
      <w:r>
        <w:rPr>
          <w:spacing w:val="-5"/>
        </w:rPr>
        <w:t>LLC</w:t>
      </w:r>
      <w:r>
        <w:rPr/>
        <w:tab/>
      </w:r>
      <w:r>
        <w:rPr>
          <w:spacing w:val="-2"/>
        </w:rPr>
        <w:t>Delaware</w:t>
      </w:r>
    </w:p>
    <w:p>
      <w:pPr>
        <w:pStyle w:val="BodyText"/>
        <w:spacing w:before="39"/>
      </w:pPr>
    </w:p>
    <w:p>
      <w:pPr>
        <w:pStyle w:val="Heading2"/>
        <w:ind w:left="47"/>
        <w:jc w:val="center"/>
      </w:pPr>
      <w:r>
        <w:rPr>
          <w:w w:val="105"/>
        </w:rPr>
        <w:t>Companies</w:t>
      </w:r>
      <w:r>
        <w:rPr>
          <w:spacing w:val="-11"/>
          <w:w w:val="105"/>
        </w:rPr>
        <w:t> </w:t>
      </w:r>
      <w:r>
        <w:rPr>
          <w:w w:val="105"/>
        </w:rPr>
        <w:t>accounted</w:t>
      </w:r>
      <w:r>
        <w:rPr>
          <w:spacing w:val="-10"/>
          <w:w w:val="105"/>
        </w:rPr>
        <w:t> </w:t>
      </w:r>
      <w:r>
        <w:rPr>
          <w:w w:val="105"/>
        </w:rPr>
        <w:t>for</w:t>
      </w:r>
      <w:r>
        <w:rPr>
          <w:spacing w:val="-11"/>
          <w:w w:val="105"/>
        </w:rPr>
        <w:t> </w:t>
      </w:r>
      <w:r>
        <w:rPr>
          <w:w w:val="105"/>
        </w:rPr>
        <w:t>under</w:t>
      </w:r>
      <w:r>
        <w:rPr>
          <w:spacing w:val="-10"/>
          <w:w w:val="105"/>
        </w:rPr>
        <w:t> </w:t>
      </w:r>
      <w:r>
        <w:rPr>
          <w:w w:val="105"/>
        </w:rPr>
        <w:t>the</w:t>
      </w:r>
      <w:r>
        <w:rPr>
          <w:spacing w:val="-11"/>
          <w:w w:val="105"/>
        </w:rPr>
        <w:t> </w:t>
      </w:r>
      <w:r>
        <w:rPr>
          <w:w w:val="105"/>
        </w:rPr>
        <w:t>equity</w:t>
      </w:r>
      <w:r>
        <w:rPr>
          <w:spacing w:val="-10"/>
          <w:w w:val="105"/>
        </w:rPr>
        <w:t> </w:t>
      </w:r>
      <w:r>
        <w:rPr>
          <w:w w:val="105"/>
        </w:rPr>
        <w:t>method</w:t>
      </w:r>
      <w:r>
        <w:rPr>
          <w:spacing w:val="-11"/>
          <w:w w:val="105"/>
        </w:rPr>
        <w:t> </w:t>
      </w:r>
      <w:r>
        <w:rPr>
          <w:w w:val="105"/>
        </w:rPr>
        <w:t>as</w:t>
      </w:r>
      <w:r>
        <w:rPr>
          <w:spacing w:val="-10"/>
          <w:w w:val="105"/>
        </w:rPr>
        <w:t> </w:t>
      </w:r>
      <w:r>
        <w:rPr>
          <w:w w:val="105"/>
        </w:rPr>
        <w:t>of</w:t>
      </w:r>
      <w:r>
        <w:rPr>
          <w:spacing w:val="-11"/>
          <w:w w:val="105"/>
        </w:rPr>
        <w:t> </w:t>
      </w:r>
      <w:r>
        <w:rPr>
          <w:w w:val="105"/>
        </w:rPr>
        <w:t>December</w:t>
      </w:r>
      <w:r>
        <w:rPr>
          <w:spacing w:val="-10"/>
          <w:w w:val="105"/>
        </w:rPr>
        <w:t> </w:t>
      </w:r>
      <w:r>
        <w:rPr>
          <w:w w:val="105"/>
        </w:rPr>
        <w:t>31,</w:t>
      </w:r>
      <w:r>
        <w:rPr>
          <w:spacing w:val="-11"/>
          <w:w w:val="105"/>
        </w:rPr>
        <w:t> </w:t>
      </w:r>
      <w:r>
        <w:rPr>
          <w:w w:val="105"/>
        </w:rPr>
        <w:t>2021</w:t>
      </w:r>
      <w:r>
        <w:rPr>
          <w:spacing w:val="-10"/>
          <w:w w:val="105"/>
        </w:rPr>
        <w:t> </w:t>
      </w:r>
      <w:r>
        <w:rPr>
          <w:w w:val="105"/>
        </w:rPr>
        <w:t>are</w:t>
      </w:r>
      <w:r>
        <w:rPr>
          <w:spacing w:val="-9"/>
          <w:w w:val="105"/>
        </w:rPr>
        <w:t> </w:t>
      </w:r>
      <w:r>
        <w:rPr>
          <w:w w:val="105"/>
        </w:rPr>
        <w:t>listed</w:t>
      </w:r>
      <w:r>
        <w:rPr>
          <w:spacing w:val="-11"/>
          <w:w w:val="105"/>
        </w:rPr>
        <w:t> </w:t>
      </w:r>
      <w:r>
        <w:rPr>
          <w:spacing w:val="-2"/>
          <w:w w:val="105"/>
        </w:rPr>
        <w:t>below:</w:t>
      </w:r>
    </w:p>
    <w:p>
      <w:pPr>
        <w:pStyle w:val="BodyText"/>
        <w:spacing w:before="40"/>
        <w:rPr>
          <w:b/>
        </w:rPr>
      </w:pPr>
    </w:p>
    <w:p>
      <w:pPr>
        <w:pStyle w:val="BodyText"/>
        <w:tabs>
          <w:tab w:pos="9493" w:val="left" w:leader="none"/>
        </w:tabs>
        <w:ind w:left="156"/>
      </w:pPr>
      <w:r>
        <w:rPr>
          <w:spacing w:val="-2"/>
          <w:w w:val="105"/>
        </w:rPr>
        <w:t>Chengdu</w:t>
      </w:r>
      <w:r>
        <w:rPr>
          <w:spacing w:val="1"/>
          <w:w w:val="105"/>
        </w:rPr>
        <w:t> </w:t>
      </w:r>
      <w:r>
        <w:rPr>
          <w:spacing w:val="-2"/>
          <w:w w:val="105"/>
        </w:rPr>
        <w:t>Honing</w:t>
      </w:r>
      <w:r>
        <w:rPr>
          <w:spacing w:val="1"/>
          <w:w w:val="105"/>
        </w:rPr>
        <w:t> </w:t>
      </w:r>
      <w:r>
        <w:rPr>
          <w:spacing w:val="-2"/>
          <w:w w:val="105"/>
        </w:rPr>
        <w:t>Display</w:t>
      </w:r>
      <w:r>
        <w:rPr>
          <w:spacing w:val="1"/>
          <w:w w:val="105"/>
        </w:rPr>
        <w:t> </w:t>
      </w:r>
      <w:r>
        <w:rPr>
          <w:spacing w:val="-2"/>
          <w:w w:val="105"/>
        </w:rPr>
        <w:t>Glass</w:t>
      </w:r>
      <w:r>
        <w:rPr>
          <w:spacing w:val="1"/>
          <w:w w:val="105"/>
        </w:rPr>
        <w:t> </w:t>
      </w:r>
      <w:r>
        <w:rPr>
          <w:spacing w:val="-2"/>
          <w:w w:val="105"/>
        </w:rPr>
        <w:t>Co.,</w:t>
      </w:r>
      <w:r>
        <w:rPr>
          <w:spacing w:val="1"/>
          <w:w w:val="105"/>
        </w:rPr>
        <w:t> </w:t>
      </w:r>
      <w:r>
        <w:rPr>
          <w:spacing w:val="-4"/>
          <w:w w:val="105"/>
        </w:rPr>
        <w:t>Ltd.</w:t>
      </w:r>
      <w:r>
        <w:rPr/>
        <w:tab/>
      </w:r>
      <w:r>
        <w:rPr>
          <w:spacing w:val="-4"/>
          <w:w w:val="105"/>
        </w:rPr>
        <w:t>China</w:t>
      </w:r>
    </w:p>
    <w:p>
      <w:pPr>
        <w:pStyle w:val="BodyText"/>
        <w:tabs>
          <w:tab w:pos="9493" w:val="left" w:leader="none"/>
        </w:tabs>
        <w:spacing w:before="20"/>
        <w:ind w:left="156"/>
      </w:pPr>
      <w:r>
        <w:rPr/>
        <w:t>China</w:t>
      </w:r>
      <w:r>
        <w:rPr>
          <w:spacing w:val="15"/>
        </w:rPr>
        <w:t> </w:t>
      </w:r>
      <w:r>
        <w:rPr/>
        <w:t>Renewable</w:t>
      </w:r>
      <w:r>
        <w:rPr>
          <w:spacing w:val="15"/>
        </w:rPr>
        <w:t> </w:t>
      </w:r>
      <w:r>
        <w:rPr/>
        <w:t>Energy</w:t>
      </w:r>
      <w:r>
        <w:rPr>
          <w:spacing w:val="16"/>
        </w:rPr>
        <w:t> </w:t>
      </w:r>
      <w:r>
        <w:rPr/>
        <w:t>Fund,</w:t>
      </w:r>
      <w:r>
        <w:rPr>
          <w:spacing w:val="15"/>
        </w:rPr>
        <w:t> </w:t>
      </w:r>
      <w:r>
        <w:rPr>
          <w:spacing w:val="-5"/>
        </w:rPr>
        <w:t>LP</w:t>
      </w:r>
      <w:r>
        <w:rPr/>
        <w:tab/>
      </w:r>
      <w:r>
        <w:rPr>
          <w:spacing w:val="-2"/>
        </w:rPr>
        <w:t>Singapore</w:t>
      </w:r>
    </w:p>
    <w:p>
      <w:pPr>
        <w:pStyle w:val="BodyText"/>
        <w:tabs>
          <w:tab w:pos="9493" w:val="left" w:leader="none"/>
        </w:tabs>
        <w:spacing w:before="20"/>
        <w:ind w:left="156"/>
      </w:pPr>
      <w:r>
        <w:rPr/>
        <w:t>Eurokera</w:t>
      </w:r>
      <w:r>
        <w:rPr>
          <w:spacing w:val="19"/>
        </w:rPr>
        <w:t> </w:t>
      </w:r>
      <w:r>
        <w:rPr/>
        <w:t>(Thailand)</w:t>
      </w:r>
      <w:r>
        <w:rPr>
          <w:spacing w:val="20"/>
        </w:rPr>
        <w:t> </w:t>
      </w:r>
      <w:r>
        <w:rPr>
          <w:spacing w:val="-2"/>
        </w:rPr>
        <w:t>Limited</w:t>
      </w:r>
      <w:r>
        <w:rPr/>
        <w:tab/>
      </w:r>
      <w:r>
        <w:rPr>
          <w:spacing w:val="-2"/>
        </w:rPr>
        <w:t>Thailand</w:t>
      </w:r>
    </w:p>
    <w:p>
      <w:pPr>
        <w:pStyle w:val="BodyText"/>
        <w:tabs>
          <w:tab w:pos="9493" w:val="left" w:leader="none"/>
        </w:tabs>
        <w:spacing w:before="20"/>
        <w:ind w:left="156"/>
      </w:pPr>
      <w:r>
        <w:rPr/>
        <w:t>Eurokera</w:t>
      </w:r>
      <w:r>
        <w:rPr>
          <w:spacing w:val="16"/>
        </w:rPr>
        <w:t> </w:t>
      </w:r>
      <w:r>
        <w:rPr/>
        <w:t>Guangzhou</w:t>
      </w:r>
      <w:r>
        <w:rPr>
          <w:spacing w:val="17"/>
        </w:rPr>
        <w:t> </w:t>
      </w:r>
      <w:r>
        <w:rPr/>
        <w:t>Co.,</w:t>
      </w:r>
      <w:r>
        <w:rPr>
          <w:spacing w:val="17"/>
        </w:rPr>
        <w:t> </w:t>
      </w:r>
      <w:r>
        <w:rPr>
          <w:spacing w:val="-4"/>
        </w:rPr>
        <w:t>Ltd.</w:t>
      </w:r>
      <w:r>
        <w:rPr/>
        <w:tab/>
      </w:r>
      <w:r>
        <w:rPr>
          <w:spacing w:val="-2"/>
        </w:rPr>
        <w:t>China</w:t>
      </w:r>
    </w:p>
    <w:p>
      <w:pPr>
        <w:pStyle w:val="BodyText"/>
        <w:tabs>
          <w:tab w:pos="9493" w:val="left" w:leader="none"/>
        </w:tabs>
        <w:spacing w:before="19"/>
        <w:ind w:left="156"/>
      </w:pPr>
      <w:r>
        <w:rPr/>
        <w:t>Eurokera</w:t>
      </w:r>
      <w:r>
        <w:rPr>
          <w:spacing w:val="16"/>
        </w:rPr>
        <w:t> </w:t>
      </w:r>
      <w:r>
        <w:rPr/>
        <w:t>North</w:t>
      </w:r>
      <w:r>
        <w:rPr>
          <w:spacing w:val="17"/>
        </w:rPr>
        <w:t> </w:t>
      </w:r>
      <w:r>
        <w:rPr/>
        <w:t>America,</w:t>
      </w:r>
      <w:r>
        <w:rPr>
          <w:spacing w:val="16"/>
        </w:rPr>
        <w:t> </w:t>
      </w:r>
      <w:r>
        <w:rPr>
          <w:spacing w:val="-4"/>
        </w:rPr>
        <w:t>Inc.</w:t>
      </w:r>
      <w:r>
        <w:rPr/>
        <w:tab/>
      </w:r>
      <w:r>
        <w:rPr>
          <w:spacing w:val="-2"/>
        </w:rPr>
        <w:t>Delaware</w:t>
      </w:r>
    </w:p>
    <w:p>
      <w:pPr>
        <w:pStyle w:val="BodyText"/>
        <w:tabs>
          <w:tab w:pos="9493" w:val="left" w:leader="none"/>
        </w:tabs>
        <w:spacing w:before="20"/>
        <w:ind w:left="156"/>
      </w:pPr>
      <w:r>
        <w:rPr/>
        <w:t>Eurokera</w:t>
      </w:r>
      <w:r>
        <w:rPr>
          <w:spacing w:val="18"/>
        </w:rPr>
        <w:t> </w:t>
      </w:r>
      <w:r>
        <w:rPr>
          <w:spacing w:val="-2"/>
        </w:rPr>
        <w:t>S.N.C.</w:t>
      </w:r>
      <w:r>
        <w:rPr/>
        <w:tab/>
      </w:r>
      <w:r>
        <w:rPr>
          <w:spacing w:val="-2"/>
        </w:rPr>
        <w:t>France</w:t>
      </w:r>
    </w:p>
    <w:p>
      <w:pPr>
        <w:pStyle w:val="BodyText"/>
        <w:tabs>
          <w:tab w:pos="9493" w:val="left" w:leader="none"/>
        </w:tabs>
        <w:spacing w:before="20"/>
        <w:ind w:left="156"/>
      </w:pPr>
      <w:r>
        <w:rPr/>
        <w:t>Keraglass</w:t>
      </w:r>
      <w:r>
        <w:rPr>
          <w:spacing w:val="11"/>
        </w:rPr>
        <w:t> </w:t>
      </w:r>
      <w:r>
        <w:rPr>
          <w:spacing w:val="-2"/>
        </w:rPr>
        <w:t>S.N.C.</w:t>
      </w:r>
      <w:r>
        <w:rPr/>
        <w:tab/>
      </w:r>
      <w:r>
        <w:rPr>
          <w:spacing w:val="-2"/>
        </w:rPr>
        <w:t>France</w:t>
      </w:r>
    </w:p>
    <w:p>
      <w:pPr>
        <w:pStyle w:val="BodyText"/>
        <w:tabs>
          <w:tab w:pos="9493" w:val="left" w:leader="none"/>
        </w:tabs>
        <w:spacing w:before="20"/>
        <w:ind w:left="156"/>
      </w:pPr>
      <w:r>
        <w:rPr>
          <w:spacing w:val="-2"/>
          <w:w w:val="105"/>
        </w:rPr>
        <w:t>Phoenix</w:t>
      </w:r>
      <w:r>
        <w:rPr>
          <w:w w:val="105"/>
        </w:rPr>
        <w:t> </w:t>
      </w:r>
      <w:r>
        <w:rPr>
          <w:spacing w:val="-2"/>
          <w:w w:val="105"/>
        </w:rPr>
        <w:t>Venture</w:t>
      </w:r>
      <w:r>
        <w:rPr>
          <w:spacing w:val="1"/>
          <w:w w:val="105"/>
        </w:rPr>
        <w:t> </w:t>
      </w:r>
      <w:r>
        <w:rPr>
          <w:spacing w:val="-2"/>
          <w:w w:val="105"/>
        </w:rPr>
        <w:t>Partners</w:t>
      </w:r>
      <w:r>
        <w:rPr>
          <w:spacing w:val="1"/>
          <w:w w:val="105"/>
        </w:rPr>
        <w:t> </w:t>
      </w:r>
      <w:r>
        <w:rPr>
          <w:spacing w:val="-2"/>
          <w:w w:val="105"/>
        </w:rPr>
        <w:t>II</w:t>
      </w:r>
      <w:r>
        <w:rPr>
          <w:spacing w:val="1"/>
          <w:w w:val="105"/>
        </w:rPr>
        <w:t> </w:t>
      </w:r>
      <w:r>
        <w:rPr>
          <w:spacing w:val="-5"/>
          <w:w w:val="105"/>
        </w:rPr>
        <w:t>LP</w:t>
      </w:r>
      <w:r>
        <w:rPr/>
        <w:tab/>
      </w:r>
      <w:r>
        <w:rPr>
          <w:spacing w:val="-2"/>
          <w:w w:val="105"/>
        </w:rPr>
        <w:t>Delaware</w:t>
      </w:r>
    </w:p>
    <w:p>
      <w:pPr>
        <w:pStyle w:val="BodyText"/>
        <w:tabs>
          <w:tab w:pos="9493" w:val="left" w:leader="none"/>
        </w:tabs>
        <w:spacing w:before="20"/>
        <w:ind w:left="156"/>
      </w:pPr>
      <w:r>
        <w:rPr/>
        <w:t>Samsung</w:t>
      </w:r>
      <w:r>
        <w:rPr>
          <w:spacing w:val="15"/>
        </w:rPr>
        <w:t> </w:t>
      </w:r>
      <w:r>
        <w:rPr/>
        <w:t>Corning</w:t>
      </w:r>
      <w:r>
        <w:rPr>
          <w:spacing w:val="16"/>
        </w:rPr>
        <w:t> </w:t>
      </w:r>
      <w:r>
        <w:rPr/>
        <w:t>Advanced</w:t>
      </w:r>
      <w:r>
        <w:rPr>
          <w:spacing w:val="16"/>
        </w:rPr>
        <w:t> </w:t>
      </w:r>
      <w:r>
        <w:rPr/>
        <w:t>Glass</w:t>
      </w:r>
      <w:r>
        <w:rPr>
          <w:spacing w:val="16"/>
        </w:rPr>
        <w:t> </w:t>
      </w:r>
      <w:r>
        <w:rPr>
          <w:spacing w:val="-5"/>
        </w:rPr>
        <w:t>LLC</w:t>
      </w:r>
      <w:r>
        <w:rPr/>
        <w:tab/>
      </w:r>
      <w:r>
        <w:rPr>
          <w:spacing w:val="-2"/>
        </w:rPr>
        <w:t>Korea</w:t>
      </w:r>
    </w:p>
    <w:p>
      <w:pPr>
        <w:pStyle w:val="BodyText"/>
        <w:tabs>
          <w:tab w:pos="9493" w:val="left" w:leader="none"/>
        </w:tabs>
        <w:spacing w:before="20"/>
        <w:ind w:left="156"/>
      </w:pPr>
      <w:r>
        <w:rPr>
          <w:spacing w:val="-2"/>
          <w:w w:val="105"/>
        </w:rPr>
        <w:t>Xianyang</w:t>
      </w:r>
      <w:r>
        <w:rPr>
          <w:spacing w:val="1"/>
          <w:w w:val="105"/>
        </w:rPr>
        <w:t> </w:t>
      </w:r>
      <w:r>
        <w:rPr>
          <w:spacing w:val="-2"/>
          <w:w w:val="105"/>
        </w:rPr>
        <w:t>Honing</w:t>
      </w:r>
      <w:r>
        <w:rPr>
          <w:spacing w:val="1"/>
          <w:w w:val="105"/>
        </w:rPr>
        <w:t> </w:t>
      </w:r>
      <w:r>
        <w:rPr>
          <w:spacing w:val="-2"/>
          <w:w w:val="105"/>
        </w:rPr>
        <w:t>Display</w:t>
      </w:r>
      <w:r>
        <w:rPr>
          <w:spacing w:val="1"/>
          <w:w w:val="105"/>
        </w:rPr>
        <w:t> </w:t>
      </w:r>
      <w:r>
        <w:rPr>
          <w:spacing w:val="-2"/>
          <w:w w:val="105"/>
        </w:rPr>
        <w:t>Glass</w:t>
      </w:r>
      <w:r>
        <w:rPr>
          <w:spacing w:val="2"/>
          <w:w w:val="105"/>
        </w:rPr>
        <w:t> </w:t>
      </w:r>
      <w:r>
        <w:rPr>
          <w:spacing w:val="-2"/>
          <w:w w:val="105"/>
        </w:rPr>
        <w:t>Co.,</w:t>
      </w:r>
      <w:r>
        <w:rPr>
          <w:spacing w:val="1"/>
          <w:w w:val="105"/>
        </w:rPr>
        <w:t> </w:t>
      </w:r>
      <w:r>
        <w:rPr>
          <w:spacing w:val="-4"/>
          <w:w w:val="105"/>
        </w:rPr>
        <w:t>Ltd.</w:t>
      </w:r>
      <w:r>
        <w:rPr/>
        <w:tab/>
      </w:r>
      <w:r>
        <w:rPr>
          <w:spacing w:val="-4"/>
          <w:w w:val="105"/>
        </w:rPr>
        <w:t>China</w:t>
      </w:r>
    </w:p>
    <w:p>
      <w:pPr>
        <w:pStyle w:val="BodyText"/>
        <w:spacing w:before="39"/>
      </w:pPr>
    </w:p>
    <w:p>
      <w:pPr>
        <w:pStyle w:val="BodyText"/>
        <w:spacing w:line="266" w:lineRule="auto"/>
        <w:ind w:left="156" w:right="227"/>
        <w:jc w:val="both"/>
      </w:pPr>
      <w:r>
        <w:rPr>
          <w:w w:val="105"/>
        </w:rPr>
        <w:t>Summary</w:t>
      </w:r>
      <w:r>
        <w:rPr>
          <w:spacing w:val="-9"/>
          <w:w w:val="105"/>
        </w:rPr>
        <w:t> </w:t>
      </w:r>
      <w:r>
        <w:rPr>
          <w:w w:val="105"/>
        </w:rPr>
        <w:t>financial</w:t>
      </w:r>
      <w:r>
        <w:rPr>
          <w:spacing w:val="-9"/>
          <w:w w:val="105"/>
        </w:rPr>
        <w:t> </w:t>
      </w:r>
      <w:r>
        <w:rPr>
          <w:w w:val="105"/>
        </w:rPr>
        <w:t>information</w:t>
      </w:r>
      <w:r>
        <w:rPr>
          <w:spacing w:val="-9"/>
          <w:w w:val="105"/>
        </w:rPr>
        <w:t> </w:t>
      </w:r>
      <w:r>
        <w:rPr>
          <w:w w:val="105"/>
        </w:rPr>
        <w:t>on</w:t>
      </w:r>
      <w:r>
        <w:rPr>
          <w:spacing w:val="-9"/>
          <w:w w:val="105"/>
        </w:rPr>
        <w:t> </w:t>
      </w:r>
      <w:r>
        <w:rPr>
          <w:w w:val="105"/>
        </w:rPr>
        <w:t>Corning’s</w:t>
      </w:r>
      <w:r>
        <w:rPr>
          <w:spacing w:val="-9"/>
          <w:w w:val="105"/>
        </w:rPr>
        <w:t> </w:t>
      </w:r>
      <w:r>
        <w:rPr>
          <w:w w:val="105"/>
        </w:rPr>
        <w:t>equity</w:t>
      </w:r>
      <w:r>
        <w:rPr>
          <w:spacing w:val="-9"/>
          <w:w w:val="105"/>
        </w:rPr>
        <w:t> </w:t>
      </w:r>
      <w:r>
        <w:rPr>
          <w:w w:val="105"/>
        </w:rPr>
        <w:t>basis</w:t>
      </w:r>
      <w:r>
        <w:rPr>
          <w:spacing w:val="-9"/>
          <w:w w:val="105"/>
        </w:rPr>
        <w:t> </w:t>
      </w:r>
      <w:r>
        <w:rPr>
          <w:w w:val="105"/>
        </w:rPr>
        <w:t>companies</w:t>
      </w:r>
      <w:r>
        <w:rPr>
          <w:spacing w:val="-9"/>
          <w:w w:val="105"/>
        </w:rPr>
        <w:t> </w:t>
      </w:r>
      <w:r>
        <w:rPr>
          <w:w w:val="105"/>
        </w:rPr>
        <w:t>is</w:t>
      </w:r>
      <w:r>
        <w:rPr>
          <w:spacing w:val="-9"/>
          <w:w w:val="105"/>
        </w:rPr>
        <w:t> </w:t>
      </w:r>
      <w:r>
        <w:rPr>
          <w:w w:val="105"/>
        </w:rPr>
        <w:t>included</w:t>
      </w:r>
      <w:r>
        <w:rPr>
          <w:spacing w:val="-9"/>
          <w:w w:val="105"/>
        </w:rPr>
        <w:t> </w:t>
      </w:r>
      <w:r>
        <w:rPr>
          <w:w w:val="105"/>
        </w:rPr>
        <w:t>in</w:t>
      </w:r>
      <w:r>
        <w:rPr>
          <w:spacing w:val="-9"/>
          <w:w w:val="105"/>
        </w:rPr>
        <w:t> </w:t>
      </w:r>
      <w:r>
        <w:rPr>
          <w:w w:val="105"/>
        </w:rPr>
        <w:t>Note</w:t>
      </w:r>
      <w:r>
        <w:rPr>
          <w:spacing w:val="-9"/>
          <w:w w:val="105"/>
        </w:rPr>
        <w:t> </w:t>
      </w:r>
      <w:r>
        <w:rPr>
          <w:w w:val="105"/>
        </w:rPr>
        <w:t>3</w:t>
      </w:r>
      <w:r>
        <w:rPr>
          <w:spacing w:val="-9"/>
          <w:w w:val="105"/>
        </w:rPr>
        <w:t> </w:t>
      </w:r>
      <w:r>
        <w:rPr>
          <w:w w:val="105"/>
        </w:rPr>
        <w:t>(Investments)</w:t>
      </w:r>
      <w:r>
        <w:rPr>
          <w:spacing w:val="-9"/>
          <w:w w:val="105"/>
        </w:rPr>
        <w:t> </w:t>
      </w:r>
      <w:r>
        <w:rPr>
          <w:w w:val="105"/>
        </w:rPr>
        <w:t>to</w:t>
      </w:r>
      <w:r>
        <w:rPr>
          <w:spacing w:val="-9"/>
          <w:w w:val="105"/>
        </w:rPr>
        <w:t> </w:t>
      </w:r>
      <w:r>
        <w:rPr>
          <w:w w:val="105"/>
        </w:rPr>
        <w:t>the</w:t>
      </w:r>
      <w:r>
        <w:rPr>
          <w:spacing w:val="-9"/>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in</w:t>
      </w:r>
      <w:r>
        <w:rPr>
          <w:spacing w:val="-9"/>
          <w:w w:val="105"/>
        </w:rPr>
        <w:t> </w:t>
      </w:r>
      <w:r>
        <w:rPr>
          <w:w w:val="105"/>
        </w:rPr>
        <w:t>this</w:t>
      </w:r>
      <w:r>
        <w:rPr>
          <w:spacing w:val="-9"/>
          <w:w w:val="105"/>
        </w:rPr>
        <w:t> </w:t>
      </w:r>
      <w:r>
        <w:rPr>
          <w:w w:val="105"/>
        </w:rPr>
        <w:t>Annual</w:t>
      </w:r>
      <w:r>
        <w:rPr>
          <w:spacing w:val="-9"/>
          <w:w w:val="105"/>
        </w:rPr>
        <w:t> </w:t>
      </w:r>
      <w:r>
        <w:rPr>
          <w:w w:val="105"/>
        </w:rPr>
        <w:t>Report</w:t>
      </w:r>
      <w:r>
        <w:rPr>
          <w:spacing w:val="-9"/>
          <w:w w:val="105"/>
        </w:rPr>
        <w:t> </w:t>
      </w:r>
      <w:r>
        <w:rPr>
          <w:w w:val="105"/>
        </w:rPr>
        <w:t>on Form</w:t>
      </w:r>
      <w:r>
        <w:rPr>
          <w:spacing w:val="-7"/>
          <w:w w:val="105"/>
        </w:rPr>
        <w:t> </w:t>
      </w:r>
      <w:r>
        <w:rPr>
          <w:w w:val="105"/>
        </w:rPr>
        <w:t>10-K.</w:t>
      </w:r>
      <w:r>
        <w:rPr>
          <w:spacing w:val="28"/>
          <w:w w:val="105"/>
        </w:rPr>
        <w:t> </w:t>
      </w:r>
      <w:r>
        <w:rPr>
          <w:w w:val="105"/>
        </w:rPr>
        <w:t>Certain</w:t>
      </w:r>
      <w:r>
        <w:rPr>
          <w:spacing w:val="-7"/>
          <w:w w:val="105"/>
        </w:rPr>
        <w:t> </w:t>
      </w:r>
      <w:r>
        <w:rPr>
          <w:w w:val="105"/>
        </w:rPr>
        <w:t>subsidiaries,</w:t>
      </w:r>
      <w:r>
        <w:rPr>
          <w:spacing w:val="-7"/>
          <w:w w:val="105"/>
        </w:rPr>
        <w:t> </w:t>
      </w:r>
      <w:r>
        <w:rPr>
          <w:w w:val="105"/>
        </w:rPr>
        <w:t>which</w:t>
      </w:r>
      <w:r>
        <w:rPr>
          <w:spacing w:val="-5"/>
          <w:w w:val="105"/>
        </w:rPr>
        <w:t> </w:t>
      </w:r>
      <w:r>
        <w:rPr>
          <w:w w:val="105"/>
        </w:rPr>
        <w:t>considered</w:t>
      </w:r>
      <w:r>
        <w:rPr>
          <w:spacing w:val="-7"/>
          <w:w w:val="105"/>
        </w:rPr>
        <w:t> </w:t>
      </w:r>
      <w:r>
        <w:rPr>
          <w:w w:val="105"/>
        </w:rPr>
        <w:t>in</w:t>
      </w:r>
      <w:r>
        <w:rPr>
          <w:spacing w:val="-7"/>
          <w:w w:val="105"/>
        </w:rPr>
        <w:t> </w:t>
      </w:r>
      <w:r>
        <w:rPr>
          <w:w w:val="105"/>
        </w:rPr>
        <w:t>the</w:t>
      </w:r>
      <w:r>
        <w:rPr>
          <w:spacing w:val="-7"/>
          <w:w w:val="105"/>
        </w:rPr>
        <w:t> </w:t>
      </w:r>
      <w:r>
        <w:rPr>
          <w:w w:val="105"/>
        </w:rPr>
        <w:t>aggregate</w:t>
      </w:r>
      <w:r>
        <w:rPr>
          <w:spacing w:val="-7"/>
          <w:w w:val="105"/>
        </w:rPr>
        <w:t> </w:t>
      </w:r>
      <w:r>
        <w:rPr>
          <w:w w:val="105"/>
        </w:rPr>
        <w:t>as</w:t>
      </w:r>
      <w:r>
        <w:rPr>
          <w:spacing w:val="-7"/>
          <w:w w:val="105"/>
        </w:rPr>
        <w:t> </w:t>
      </w:r>
      <w:r>
        <w:rPr>
          <w:w w:val="105"/>
        </w:rPr>
        <w:t>a</w:t>
      </w:r>
      <w:r>
        <w:rPr>
          <w:spacing w:val="-7"/>
          <w:w w:val="105"/>
        </w:rPr>
        <w:t> </w:t>
      </w:r>
      <w:r>
        <w:rPr>
          <w:w w:val="105"/>
        </w:rPr>
        <w:t>single</w:t>
      </w:r>
      <w:r>
        <w:rPr>
          <w:spacing w:val="-7"/>
          <w:w w:val="105"/>
        </w:rPr>
        <w:t> </w:t>
      </w:r>
      <w:r>
        <w:rPr>
          <w:w w:val="105"/>
        </w:rPr>
        <w:t>subsidiary,</w:t>
      </w:r>
      <w:r>
        <w:rPr>
          <w:spacing w:val="-7"/>
          <w:w w:val="105"/>
        </w:rPr>
        <w:t> </w:t>
      </w:r>
      <w:r>
        <w:rPr>
          <w:w w:val="105"/>
        </w:rPr>
        <w:t>that</w:t>
      </w:r>
      <w:r>
        <w:rPr>
          <w:spacing w:val="-7"/>
          <w:w w:val="105"/>
        </w:rPr>
        <w:t> </w:t>
      </w:r>
      <w:r>
        <w:rPr>
          <w:w w:val="105"/>
        </w:rPr>
        <w:t>would</w:t>
      </w:r>
      <w:r>
        <w:rPr>
          <w:spacing w:val="-7"/>
          <w:w w:val="105"/>
        </w:rPr>
        <w:t> </w:t>
      </w:r>
      <w:r>
        <w:rPr>
          <w:w w:val="105"/>
        </w:rPr>
        <w:t>not</w:t>
      </w:r>
      <w:r>
        <w:rPr>
          <w:spacing w:val="-7"/>
          <w:w w:val="105"/>
        </w:rPr>
        <w:t> </w:t>
      </w:r>
      <w:r>
        <w:rPr>
          <w:w w:val="105"/>
        </w:rPr>
        <w:t>constitute</w:t>
      </w:r>
      <w:r>
        <w:rPr>
          <w:spacing w:val="-7"/>
          <w:w w:val="105"/>
        </w:rPr>
        <w:t> </w:t>
      </w:r>
      <w:r>
        <w:rPr>
          <w:w w:val="105"/>
        </w:rPr>
        <w:t>a</w:t>
      </w:r>
      <w:r>
        <w:rPr>
          <w:spacing w:val="-7"/>
          <w:w w:val="105"/>
        </w:rPr>
        <w:t> </w:t>
      </w:r>
      <w:r>
        <w:rPr>
          <w:w w:val="105"/>
        </w:rPr>
        <w:t>significant</w:t>
      </w:r>
      <w:r>
        <w:rPr>
          <w:spacing w:val="-7"/>
          <w:w w:val="105"/>
        </w:rPr>
        <w:t> </w:t>
      </w:r>
      <w:r>
        <w:rPr>
          <w:w w:val="105"/>
        </w:rPr>
        <w:t>subsidiary,</w:t>
      </w:r>
      <w:r>
        <w:rPr>
          <w:spacing w:val="-7"/>
          <w:w w:val="105"/>
        </w:rPr>
        <w:t> </w:t>
      </w:r>
      <w:r>
        <w:rPr>
          <w:w w:val="105"/>
        </w:rPr>
        <w:t>per</w:t>
      </w:r>
      <w:r>
        <w:rPr>
          <w:spacing w:val="-7"/>
          <w:w w:val="105"/>
        </w:rPr>
        <w:t> </w:t>
      </w:r>
      <w:r>
        <w:rPr>
          <w:w w:val="105"/>
        </w:rPr>
        <w:t>Regulation</w:t>
      </w:r>
      <w:r>
        <w:rPr>
          <w:spacing w:val="-7"/>
          <w:w w:val="105"/>
        </w:rPr>
        <w:t> </w:t>
      </w:r>
      <w:r>
        <w:rPr>
          <w:w w:val="105"/>
        </w:rPr>
        <w:t>S-X,</w:t>
      </w:r>
      <w:r>
        <w:rPr>
          <w:spacing w:val="-7"/>
          <w:w w:val="105"/>
        </w:rPr>
        <w:t> </w:t>
      </w:r>
      <w:r>
        <w:rPr>
          <w:w w:val="105"/>
        </w:rPr>
        <w:t>Article</w:t>
      </w:r>
      <w:r>
        <w:rPr>
          <w:spacing w:val="-7"/>
          <w:w w:val="105"/>
        </w:rPr>
        <w:t> </w:t>
      </w:r>
      <w:r>
        <w:rPr>
          <w:w w:val="105"/>
        </w:rPr>
        <w:t>1, as of December 31, 2021, have been omitted from this exhibit.</w:t>
      </w:r>
    </w:p>
    <w:p>
      <w:pPr>
        <w:pStyle w:val="BodyText"/>
      </w:pPr>
    </w:p>
    <w:p>
      <w:pPr>
        <w:pStyle w:val="BodyText"/>
        <w:spacing w:before="38"/>
      </w:pPr>
    </w:p>
    <w:p>
      <w:pPr>
        <w:pStyle w:val="BodyText"/>
        <w:spacing w:before="1"/>
        <w:ind w:left="48"/>
        <w:jc w:val="center"/>
      </w:pPr>
      <w:r>
        <w:rPr>
          <w:w w:val="105"/>
        </w:rPr>
        <w:t>-</w:t>
      </w:r>
      <w:r>
        <w:rPr>
          <w:spacing w:val="-3"/>
          <w:w w:val="105"/>
        </w:rPr>
        <w:t> </w:t>
      </w:r>
      <w:r>
        <w:rPr>
          <w:w w:val="105"/>
        </w:rPr>
        <w:t>2</w:t>
      </w:r>
      <w:r>
        <w:rPr>
          <w:spacing w:val="-2"/>
          <w:w w:val="105"/>
        </w:rPr>
        <w:t> </w:t>
      </w:r>
      <w:r>
        <w:rPr>
          <w:spacing w:val="-10"/>
          <w:w w:val="105"/>
        </w:rPr>
        <w:t>-</w:t>
      </w:r>
    </w:p>
    <w:p>
      <w:pPr>
        <w:spacing w:after="0"/>
        <w:jc w:val="center"/>
        <w:sectPr>
          <w:headerReference w:type="default" r:id="rId104"/>
          <w:pgSz w:w="12240" w:h="15840"/>
          <w:pgMar w:header="0" w:footer="0" w:top="980" w:bottom="280" w:left="200" w:right="260"/>
        </w:sectPr>
      </w:pPr>
    </w:p>
    <w:p>
      <w:pPr>
        <w:pStyle w:val="BodyText"/>
      </w:pPr>
    </w:p>
    <w:p>
      <w:pPr>
        <w:pStyle w:val="BodyText"/>
        <w:spacing w:before="58"/>
      </w:pPr>
    </w:p>
    <w:p>
      <w:pPr>
        <w:pStyle w:val="Heading1"/>
        <w:ind w:left="46"/>
        <w:jc w:val="center"/>
      </w:pPr>
      <w:bookmarkStart w:name="_bookmark30" w:id="31"/>
      <w:bookmarkEnd w:id="31"/>
      <w:r>
        <w:rPr>
          <w:b w:val="0"/>
        </w:rPr>
      </w:r>
      <w:r>
        <w:rPr/>
        <w:t>CONSENT</w:t>
      </w:r>
      <w:r>
        <w:rPr>
          <w:spacing w:val="19"/>
        </w:rPr>
        <w:t> </w:t>
      </w:r>
      <w:r>
        <w:rPr/>
        <w:t>OF</w:t>
      </w:r>
      <w:r>
        <w:rPr>
          <w:spacing w:val="19"/>
        </w:rPr>
        <w:t> </w:t>
      </w:r>
      <w:r>
        <w:rPr/>
        <w:t>INDEPENDENT</w:t>
      </w:r>
      <w:r>
        <w:rPr>
          <w:spacing w:val="20"/>
        </w:rPr>
        <w:t> </w:t>
      </w:r>
      <w:r>
        <w:rPr/>
        <w:t>REGISTERED</w:t>
      </w:r>
      <w:r>
        <w:rPr>
          <w:spacing w:val="19"/>
        </w:rPr>
        <w:t> </w:t>
      </w:r>
      <w:r>
        <w:rPr/>
        <w:t>PUBLIC</w:t>
      </w:r>
      <w:r>
        <w:rPr>
          <w:spacing w:val="20"/>
        </w:rPr>
        <w:t> </w:t>
      </w:r>
      <w:r>
        <w:rPr/>
        <w:t>ACCOUNTING</w:t>
      </w:r>
      <w:r>
        <w:rPr>
          <w:spacing w:val="19"/>
        </w:rPr>
        <w:t> </w:t>
      </w:r>
      <w:r>
        <w:rPr>
          <w:spacing w:val="-4"/>
        </w:rPr>
        <w:t>FIRM</w:t>
      </w:r>
    </w:p>
    <w:p>
      <w:pPr>
        <w:pStyle w:val="BodyText"/>
        <w:rPr>
          <w:b/>
        </w:rPr>
      </w:pPr>
    </w:p>
    <w:p>
      <w:pPr>
        <w:pStyle w:val="BodyText"/>
        <w:rPr>
          <w:b/>
        </w:rPr>
      </w:pPr>
    </w:p>
    <w:p>
      <w:pPr>
        <w:pStyle w:val="BodyText"/>
        <w:rPr>
          <w:b/>
        </w:rPr>
      </w:pPr>
    </w:p>
    <w:p>
      <w:pPr>
        <w:pStyle w:val="BodyText"/>
        <w:rPr>
          <w:b/>
        </w:rPr>
      </w:pPr>
    </w:p>
    <w:p>
      <w:pPr>
        <w:pStyle w:val="BodyText"/>
        <w:spacing w:before="119"/>
        <w:rPr>
          <w:b/>
        </w:rPr>
      </w:pPr>
    </w:p>
    <w:p>
      <w:pPr>
        <w:pStyle w:val="BodyText"/>
        <w:spacing w:line="266" w:lineRule="auto"/>
        <w:ind w:left="233"/>
      </w:pPr>
      <w:r>
        <w:rPr>
          <w:w w:val="105"/>
        </w:rPr>
        <w:t>We</w:t>
      </w:r>
      <w:r>
        <w:rPr>
          <w:spacing w:val="-9"/>
          <w:w w:val="105"/>
        </w:rPr>
        <w:t> </w:t>
      </w:r>
      <w:r>
        <w:rPr>
          <w:w w:val="105"/>
        </w:rPr>
        <w:t>hereby</w:t>
      </w:r>
      <w:r>
        <w:rPr>
          <w:spacing w:val="-9"/>
          <w:w w:val="105"/>
        </w:rPr>
        <w:t> </w:t>
      </w:r>
      <w:r>
        <w:rPr>
          <w:w w:val="105"/>
        </w:rPr>
        <w:t>consent</w:t>
      </w:r>
      <w:r>
        <w:rPr>
          <w:spacing w:val="-9"/>
          <w:w w:val="105"/>
        </w:rPr>
        <w:t> </w:t>
      </w:r>
      <w:r>
        <w:rPr>
          <w:w w:val="105"/>
        </w:rPr>
        <w:t>to</w:t>
      </w:r>
      <w:r>
        <w:rPr>
          <w:spacing w:val="-9"/>
          <w:w w:val="105"/>
        </w:rPr>
        <w:t> </w:t>
      </w:r>
      <w:r>
        <w:rPr>
          <w:w w:val="105"/>
        </w:rPr>
        <w:t>the</w:t>
      </w:r>
      <w:r>
        <w:rPr>
          <w:spacing w:val="-9"/>
          <w:w w:val="105"/>
        </w:rPr>
        <w:t> </w:t>
      </w:r>
      <w:r>
        <w:rPr>
          <w:w w:val="105"/>
        </w:rPr>
        <w:t>incorporation</w:t>
      </w:r>
      <w:r>
        <w:rPr>
          <w:spacing w:val="-9"/>
          <w:w w:val="105"/>
        </w:rPr>
        <w:t> </w:t>
      </w:r>
      <w:r>
        <w:rPr>
          <w:w w:val="105"/>
        </w:rPr>
        <w:t>by</w:t>
      </w:r>
      <w:r>
        <w:rPr>
          <w:spacing w:val="-9"/>
          <w:w w:val="105"/>
        </w:rPr>
        <w:t> </w:t>
      </w:r>
      <w:r>
        <w:rPr>
          <w:w w:val="105"/>
        </w:rPr>
        <w:t>reference</w:t>
      </w:r>
      <w:r>
        <w:rPr>
          <w:spacing w:val="-9"/>
          <w:w w:val="105"/>
        </w:rPr>
        <w:t> </w:t>
      </w:r>
      <w:r>
        <w:rPr>
          <w:w w:val="105"/>
        </w:rPr>
        <w:t>in</w:t>
      </w:r>
      <w:r>
        <w:rPr>
          <w:spacing w:val="-9"/>
          <w:w w:val="105"/>
        </w:rPr>
        <w:t> </w:t>
      </w:r>
      <w:r>
        <w:rPr>
          <w:w w:val="105"/>
        </w:rPr>
        <w:t>the</w:t>
      </w:r>
      <w:r>
        <w:rPr>
          <w:spacing w:val="-9"/>
          <w:w w:val="105"/>
        </w:rPr>
        <w:t> </w:t>
      </w:r>
      <w:r>
        <w:rPr>
          <w:w w:val="105"/>
        </w:rPr>
        <w:t>Registration</w:t>
      </w:r>
      <w:r>
        <w:rPr>
          <w:spacing w:val="-9"/>
          <w:w w:val="105"/>
        </w:rPr>
        <w:t> </w:t>
      </w:r>
      <w:r>
        <w:rPr>
          <w:w w:val="105"/>
        </w:rPr>
        <w:t>Statements</w:t>
      </w:r>
      <w:r>
        <w:rPr>
          <w:spacing w:val="-9"/>
          <w:w w:val="105"/>
        </w:rPr>
        <w:t> </w:t>
      </w:r>
      <w:r>
        <w:rPr>
          <w:w w:val="105"/>
        </w:rPr>
        <w:t>on</w:t>
      </w:r>
      <w:r>
        <w:rPr>
          <w:spacing w:val="-9"/>
          <w:w w:val="105"/>
        </w:rPr>
        <w:t> </w:t>
      </w:r>
      <w:r>
        <w:rPr>
          <w:w w:val="105"/>
        </w:rPr>
        <w:t>Form</w:t>
      </w:r>
      <w:r>
        <w:rPr>
          <w:spacing w:val="-9"/>
          <w:w w:val="105"/>
        </w:rPr>
        <w:t> </w:t>
      </w:r>
      <w:r>
        <w:rPr>
          <w:w w:val="105"/>
        </w:rPr>
        <w:t>S-3</w:t>
      </w:r>
      <w:r>
        <w:rPr>
          <w:spacing w:val="-9"/>
          <w:w w:val="105"/>
        </w:rPr>
        <w:t> </w:t>
      </w:r>
      <w:r>
        <w:rPr>
          <w:w w:val="105"/>
        </w:rPr>
        <w:t>(No.</w:t>
      </w:r>
      <w:r>
        <w:rPr>
          <w:spacing w:val="-9"/>
          <w:w w:val="105"/>
        </w:rPr>
        <w:t> </w:t>
      </w:r>
      <w:r>
        <w:rPr>
          <w:w w:val="105"/>
        </w:rPr>
        <w:t>333-251135)</w:t>
      </w:r>
      <w:r>
        <w:rPr>
          <w:spacing w:val="-9"/>
          <w:w w:val="105"/>
        </w:rPr>
        <w:t> </w:t>
      </w:r>
      <w:r>
        <w:rPr>
          <w:w w:val="105"/>
        </w:rPr>
        <w:t>and</w:t>
      </w:r>
      <w:r>
        <w:rPr>
          <w:spacing w:val="-9"/>
          <w:w w:val="105"/>
        </w:rPr>
        <w:t> </w:t>
      </w:r>
      <w:r>
        <w:rPr>
          <w:w w:val="105"/>
        </w:rPr>
        <w:t>Form</w:t>
      </w:r>
      <w:r>
        <w:rPr>
          <w:spacing w:val="-9"/>
          <w:w w:val="105"/>
        </w:rPr>
        <w:t> </w:t>
      </w:r>
      <w:r>
        <w:rPr>
          <w:w w:val="105"/>
        </w:rPr>
        <w:t>S-8</w:t>
      </w:r>
      <w:r>
        <w:rPr>
          <w:spacing w:val="-9"/>
          <w:w w:val="105"/>
        </w:rPr>
        <w:t> </w:t>
      </w:r>
      <w:r>
        <w:rPr>
          <w:w w:val="105"/>
        </w:rPr>
        <w:t>(Nos.</w:t>
      </w:r>
      <w:r>
        <w:rPr>
          <w:spacing w:val="-9"/>
          <w:w w:val="105"/>
        </w:rPr>
        <w:t> </w:t>
      </w:r>
      <w:r>
        <w:rPr>
          <w:w w:val="105"/>
        </w:rPr>
        <w:t>333-255652,</w:t>
      </w:r>
      <w:r>
        <w:rPr>
          <w:spacing w:val="-9"/>
          <w:w w:val="105"/>
        </w:rPr>
        <w:t> </w:t>
      </w:r>
      <w:r>
        <w:rPr>
          <w:w w:val="105"/>
        </w:rPr>
        <w:t>333-231238,</w:t>
      </w:r>
      <w:r>
        <w:rPr>
          <w:spacing w:val="-9"/>
          <w:w w:val="105"/>
        </w:rPr>
        <w:t> </w:t>
      </w:r>
      <w:r>
        <w:rPr>
          <w:w w:val="105"/>
        </w:rPr>
        <w:t>333- 181075,</w:t>
      </w:r>
      <w:r>
        <w:rPr>
          <w:spacing w:val="-1"/>
          <w:w w:val="105"/>
        </w:rPr>
        <w:t> </w:t>
      </w:r>
      <w:r>
        <w:rPr>
          <w:w w:val="105"/>
        </w:rPr>
        <w:t>333-26049,</w:t>
      </w:r>
      <w:r>
        <w:rPr>
          <w:spacing w:val="-1"/>
          <w:w w:val="105"/>
        </w:rPr>
        <w:t> </w:t>
      </w:r>
      <w:r>
        <w:rPr>
          <w:w w:val="105"/>
        </w:rPr>
        <w:t>333-91879,</w:t>
      </w:r>
      <w:r>
        <w:rPr>
          <w:spacing w:val="-1"/>
          <w:w w:val="105"/>
        </w:rPr>
        <w:t> </w:t>
      </w:r>
      <w:r>
        <w:rPr>
          <w:w w:val="105"/>
        </w:rPr>
        <w:t>333-82926,</w:t>
      </w:r>
      <w:r>
        <w:rPr>
          <w:spacing w:val="-1"/>
          <w:w w:val="105"/>
        </w:rPr>
        <w:t> </w:t>
      </w:r>
      <w:r>
        <w:rPr>
          <w:w w:val="105"/>
        </w:rPr>
        <w:t>333-106265,</w:t>
      </w:r>
      <w:r>
        <w:rPr>
          <w:spacing w:val="-1"/>
          <w:w w:val="105"/>
        </w:rPr>
        <w:t> </w:t>
      </w:r>
      <w:r>
        <w:rPr>
          <w:w w:val="105"/>
        </w:rPr>
        <w:t>and</w:t>
      </w:r>
      <w:r>
        <w:rPr>
          <w:spacing w:val="-1"/>
          <w:w w:val="105"/>
        </w:rPr>
        <w:t> </w:t>
      </w:r>
      <w:r>
        <w:rPr>
          <w:w w:val="105"/>
        </w:rPr>
        <w:t>333-166642)</w:t>
      </w:r>
      <w:r>
        <w:rPr>
          <w:spacing w:val="-1"/>
          <w:w w:val="105"/>
        </w:rPr>
        <w:t> </w:t>
      </w:r>
      <w:r>
        <w:rPr>
          <w:w w:val="105"/>
        </w:rPr>
        <w:t>of</w:t>
      </w:r>
      <w:r>
        <w:rPr>
          <w:spacing w:val="-1"/>
          <w:w w:val="105"/>
        </w:rPr>
        <w:t> </w:t>
      </w:r>
      <w:r>
        <w:rPr>
          <w:w w:val="105"/>
        </w:rPr>
        <w:t>Corning</w:t>
      </w:r>
      <w:r>
        <w:rPr>
          <w:spacing w:val="-1"/>
          <w:w w:val="105"/>
        </w:rPr>
        <w:t> </w:t>
      </w:r>
      <w:r>
        <w:rPr>
          <w:w w:val="105"/>
        </w:rPr>
        <w:t>Incorporated</w:t>
      </w:r>
      <w:r>
        <w:rPr>
          <w:spacing w:val="-1"/>
          <w:w w:val="105"/>
        </w:rPr>
        <w:t> </w:t>
      </w:r>
      <w:r>
        <w:rPr>
          <w:w w:val="105"/>
        </w:rPr>
        <w:t>of</w:t>
      </w:r>
      <w:r>
        <w:rPr>
          <w:spacing w:val="-1"/>
          <w:w w:val="105"/>
        </w:rPr>
        <w:t> </w:t>
      </w:r>
      <w:r>
        <w:rPr>
          <w:w w:val="105"/>
        </w:rPr>
        <w:t>our</w:t>
      </w:r>
      <w:r>
        <w:rPr>
          <w:spacing w:val="-1"/>
          <w:w w:val="105"/>
        </w:rPr>
        <w:t> </w:t>
      </w:r>
      <w:r>
        <w:rPr>
          <w:w w:val="105"/>
        </w:rPr>
        <w:t>report</w:t>
      </w:r>
      <w:r>
        <w:rPr>
          <w:spacing w:val="-1"/>
          <w:w w:val="105"/>
        </w:rPr>
        <w:t> </w:t>
      </w:r>
      <w:r>
        <w:rPr>
          <w:w w:val="105"/>
        </w:rPr>
        <w:t>dated</w:t>
      </w:r>
      <w:r>
        <w:rPr>
          <w:spacing w:val="-1"/>
          <w:w w:val="105"/>
        </w:rPr>
        <w:t> </w:t>
      </w:r>
      <w:r>
        <w:rPr>
          <w:w w:val="105"/>
        </w:rPr>
        <w:t>February</w:t>
      </w:r>
      <w:r>
        <w:rPr>
          <w:spacing w:val="-1"/>
          <w:w w:val="105"/>
        </w:rPr>
        <w:t> </w:t>
      </w:r>
      <w:r>
        <w:rPr>
          <w:w w:val="105"/>
        </w:rPr>
        <w:t>14,</w:t>
      </w:r>
      <w:r>
        <w:rPr>
          <w:spacing w:val="-1"/>
          <w:w w:val="105"/>
        </w:rPr>
        <w:t> </w:t>
      </w:r>
      <w:r>
        <w:rPr>
          <w:w w:val="105"/>
        </w:rPr>
        <w:t>2022</w:t>
      </w:r>
      <w:r>
        <w:rPr>
          <w:spacing w:val="-1"/>
          <w:w w:val="105"/>
        </w:rPr>
        <w:t> </w:t>
      </w:r>
      <w:r>
        <w:rPr>
          <w:w w:val="105"/>
        </w:rPr>
        <w:t>relating</w:t>
      </w:r>
      <w:r>
        <w:rPr>
          <w:spacing w:val="-1"/>
          <w:w w:val="105"/>
        </w:rPr>
        <w:t> </w:t>
      </w:r>
      <w:r>
        <w:rPr>
          <w:w w:val="105"/>
        </w:rPr>
        <w:t>to</w:t>
      </w:r>
      <w:r>
        <w:rPr>
          <w:spacing w:val="-1"/>
          <w:w w:val="105"/>
        </w:rPr>
        <w:t> </w:t>
      </w:r>
      <w:r>
        <w:rPr>
          <w:w w:val="105"/>
        </w:rPr>
        <w:t>the</w:t>
      </w:r>
      <w:r>
        <w:rPr>
          <w:spacing w:val="-1"/>
          <w:w w:val="105"/>
        </w:rPr>
        <w:t> </w:t>
      </w:r>
      <w:r>
        <w:rPr>
          <w:w w:val="105"/>
        </w:rPr>
        <w:t>financial statements and the effectiveness of internal control over financial reporting, which appears in this Form 10-K.</w:t>
      </w:r>
    </w:p>
    <w:p>
      <w:pPr>
        <w:pStyle w:val="BodyText"/>
      </w:pPr>
    </w:p>
    <w:p>
      <w:pPr>
        <w:pStyle w:val="BodyText"/>
      </w:pPr>
    </w:p>
    <w:p>
      <w:pPr>
        <w:pStyle w:val="BodyText"/>
      </w:pPr>
    </w:p>
    <w:p>
      <w:pPr>
        <w:pStyle w:val="BodyText"/>
      </w:pPr>
    </w:p>
    <w:p>
      <w:pPr>
        <w:pStyle w:val="BodyText"/>
      </w:pPr>
    </w:p>
    <w:p>
      <w:pPr>
        <w:pStyle w:val="BodyText"/>
        <w:spacing w:before="41"/>
      </w:pPr>
    </w:p>
    <w:p>
      <w:pPr>
        <w:pStyle w:val="BodyText"/>
        <w:spacing w:line="266" w:lineRule="auto"/>
        <w:ind w:left="156" w:right="9392"/>
      </w:pPr>
      <w:r>
        <w:rPr>
          <w:w w:val="105"/>
        </w:rPr>
        <w:t>/s/</w:t>
      </w:r>
      <w:r>
        <w:rPr>
          <w:spacing w:val="11"/>
          <w:w w:val="105"/>
        </w:rPr>
        <w:t> </w:t>
      </w:r>
      <w:r>
        <w:rPr>
          <w:w w:val="105"/>
        </w:rPr>
        <w:t>PricewaterhouseCoopers</w:t>
      </w:r>
      <w:r>
        <w:rPr>
          <w:spacing w:val="-11"/>
          <w:w w:val="105"/>
        </w:rPr>
        <w:t> </w:t>
      </w:r>
      <w:r>
        <w:rPr>
          <w:w w:val="105"/>
        </w:rPr>
        <w:t>LLP New York, New York</w:t>
      </w:r>
    </w:p>
    <w:p>
      <w:pPr>
        <w:pStyle w:val="BodyText"/>
        <w:spacing w:line="183" w:lineRule="exact"/>
        <w:ind w:left="156"/>
      </w:pPr>
      <w:r>
        <w:rPr>
          <w:w w:val="105"/>
        </w:rPr>
        <w:t>February</w:t>
      </w:r>
      <w:r>
        <w:rPr>
          <w:spacing w:val="-9"/>
          <w:w w:val="105"/>
        </w:rPr>
        <w:t> </w:t>
      </w:r>
      <w:r>
        <w:rPr>
          <w:w w:val="105"/>
        </w:rPr>
        <w:t>14,</w:t>
      </w:r>
      <w:r>
        <w:rPr>
          <w:spacing w:val="-9"/>
          <w:w w:val="105"/>
        </w:rPr>
        <w:t> </w:t>
      </w:r>
      <w:r>
        <w:rPr>
          <w:spacing w:val="-4"/>
          <w:w w:val="105"/>
        </w:rPr>
        <w:t>2022</w:t>
      </w:r>
    </w:p>
    <w:p>
      <w:pPr>
        <w:pStyle w:val="BodyText"/>
        <w:spacing w:before="40"/>
      </w:pPr>
    </w:p>
    <w:p>
      <w:pPr>
        <w:pStyle w:val="BodyText"/>
        <w:ind w:left="7"/>
        <w:jc w:val="center"/>
      </w:pPr>
      <w:r>
        <w:rPr>
          <w:w w:val="105"/>
        </w:rPr>
        <w:t>©</w:t>
      </w:r>
      <w:r>
        <w:rPr>
          <w:spacing w:val="-10"/>
          <w:w w:val="105"/>
        </w:rPr>
        <w:t> </w:t>
      </w:r>
      <w:r>
        <w:rPr>
          <w:w w:val="105"/>
        </w:rPr>
        <w:t>2022</w:t>
      </w:r>
      <w:r>
        <w:rPr>
          <w:spacing w:val="-10"/>
          <w:w w:val="105"/>
        </w:rPr>
        <w:t> </w:t>
      </w:r>
      <w:r>
        <w:rPr>
          <w:w w:val="105"/>
        </w:rPr>
        <w:t>Corning</w:t>
      </w:r>
      <w:r>
        <w:rPr>
          <w:spacing w:val="-10"/>
          <w:w w:val="105"/>
        </w:rPr>
        <w:t> </w:t>
      </w:r>
      <w:r>
        <w:rPr>
          <w:w w:val="105"/>
        </w:rPr>
        <w:t>Incorporated.</w:t>
      </w:r>
      <w:r>
        <w:rPr>
          <w:spacing w:val="-10"/>
          <w:w w:val="105"/>
        </w:rPr>
        <w:t> </w:t>
      </w:r>
      <w:r>
        <w:rPr>
          <w:w w:val="105"/>
        </w:rPr>
        <w:t>All</w:t>
      </w:r>
      <w:r>
        <w:rPr>
          <w:spacing w:val="-10"/>
          <w:w w:val="105"/>
        </w:rPr>
        <w:t> </w:t>
      </w:r>
      <w:r>
        <w:rPr>
          <w:w w:val="105"/>
        </w:rPr>
        <w:t>Rights</w:t>
      </w:r>
      <w:r>
        <w:rPr>
          <w:spacing w:val="-10"/>
          <w:w w:val="105"/>
        </w:rPr>
        <w:t> </w:t>
      </w:r>
      <w:r>
        <w:rPr>
          <w:spacing w:val="-2"/>
          <w:w w:val="105"/>
        </w:rPr>
        <w:t>Reserved.</w:t>
      </w:r>
    </w:p>
    <w:p>
      <w:pPr>
        <w:spacing w:after="0"/>
        <w:jc w:val="center"/>
        <w:sectPr>
          <w:headerReference w:type="default" r:id="rId105"/>
          <w:pgSz w:w="12240" w:h="15840"/>
          <w:pgMar w:header="352" w:footer="0" w:top="540" w:bottom="280" w:left="200" w:right="260"/>
        </w:sectPr>
      </w:pPr>
    </w:p>
    <w:p>
      <w:pPr>
        <w:pStyle w:val="BodyText"/>
        <w:spacing w:before="38"/>
      </w:pPr>
    </w:p>
    <w:p>
      <w:pPr>
        <w:pStyle w:val="BodyText"/>
        <w:spacing w:line="266" w:lineRule="auto"/>
        <w:ind w:left="4676" w:right="2503" w:hanging="2122"/>
      </w:pPr>
      <w:bookmarkStart w:name="_bookmark31" w:id="32"/>
      <w:bookmarkEnd w:id="32"/>
      <w:r>
        <w:rPr/>
      </w:r>
      <w:r>
        <w:rPr>
          <w:spacing w:val="-2"/>
          <w:w w:val="105"/>
        </w:rPr>
        <w:t>CERTIFICATION OF CHIEF EXECUTIVE OFFICER PURSUANT TO SECTION 302(a) OF THE</w:t>
      </w:r>
      <w:r>
        <w:rPr>
          <w:w w:val="105"/>
        </w:rPr>
        <w:t> SARBANES-OXLEY ACT OF 2002</w:t>
      </w:r>
    </w:p>
    <w:p>
      <w:pPr>
        <w:pStyle w:val="BodyText"/>
        <w:spacing w:before="19"/>
      </w:pPr>
    </w:p>
    <w:p>
      <w:pPr>
        <w:pStyle w:val="BodyText"/>
        <w:ind w:left="156"/>
      </w:pPr>
      <w:r>
        <w:rPr>
          <w:w w:val="105"/>
        </w:rPr>
        <w:t>I,</w:t>
      </w:r>
      <w:r>
        <w:rPr>
          <w:spacing w:val="-8"/>
          <w:w w:val="105"/>
        </w:rPr>
        <w:t> </w:t>
      </w:r>
      <w:r>
        <w:rPr>
          <w:w w:val="105"/>
        </w:rPr>
        <w:t>Wendell</w:t>
      </w:r>
      <w:r>
        <w:rPr>
          <w:spacing w:val="-7"/>
          <w:w w:val="105"/>
        </w:rPr>
        <w:t> </w:t>
      </w:r>
      <w:r>
        <w:rPr>
          <w:w w:val="105"/>
        </w:rPr>
        <w:t>P.</w:t>
      </w:r>
      <w:r>
        <w:rPr>
          <w:spacing w:val="-7"/>
          <w:w w:val="105"/>
        </w:rPr>
        <w:t> </w:t>
      </w:r>
      <w:r>
        <w:rPr>
          <w:w w:val="105"/>
        </w:rPr>
        <w:t>Weeks,</w:t>
      </w:r>
      <w:r>
        <w:rPr>
          <w:spacing w:val="-7"/>
          <w:w w:val="105"/>
        </w:rPr>
        <w:t> </w:t>
      </w:r>
      <w:r>
        <w:rPr>
          <w:w w:val="105"/>
        </w:rPr>
        <w:t>certify</w:t>
      </w:r>
      <w:r>
        <w:rPr>
          <w:spacing w:val="-8"/>
          <w:w w:val="105"/>
        </w:rPr>
        <w:t> </w:t>
      </w:r>
      <w:r>
        <w:rPr>
          <w:spacing w:val="-2"/>
          <w:w w:val="105"/>
        </w:rPr>
        <w:t>that:</w:t>
      </w:r>
    </w:p>
    <w:p>
      <w:pPr>
        <w:pStyle w:val="BodyText"/>
        <w:spacing w:before="40"/>
      </w:pPr>
    </w:p>
    <w:p>
      <w:pPr>
        <w:pStyle w:val="ListParagraph"/>
        <w:numPr>
          <w:ilvl w:val="0"/>
          <w:numId w:val="66"/>
        </w:numPr>
        <w:tabs>
          <w:tab w:pos="461" w:val="left" w:leader="none"/>
        </w:tabs>
        <w:spacing w:line="240" w:lineRule="auto" w:before="0" w:after="0"/>
        <w:ind w:left="461" w:right="0" w:hanging="305"/>
        <w:jc w:val="left"/>
        <w:rPr>
          <w:sz w:val="16"/>
        </w:rPr>
      </w:pPr>
      <w:r>
        <w:rPr>
          <w:w w:val="105"/>
          <w:sz w:val="16"/>
        </w:rPr>
        <w:t>I</w:t>
      </w:r>
      <w:r>
        <w:rPr>
          <w:spacing w:val="-8"/>
          <w:w w:val="105"/>
          <w:sz w:val="16"/>
        </w:rPr>
        <w:t> </w:t>
      </w:r>
      <w:r>
        <w:rPr>
          <w:w w:val="105"/>
          <w:sz w:val="16"/>
        </w:rPr>
        <w:t>have</w:t>
      </w:r>
      <w:r>
        <w:rPr>
          <w:spacing w:val="-8"/>
          <w:w w:val="105"/>
          <w:sz w:val="16"/>
        </w:rPr>
        <w:t> </w:t>
      </w:r>
      <w:r>
        <w:rPr>
          <w:w w:val="105"/>
          <w:sz w:val="16"/>
        </w:rPr>
        <w:t>reviewed</w:t>
      </w:r>
      <w:r>
        <w:rPr>
          <w:spacing w:val="-8"/>
          <w:w w:val="105"/>
          <w:sz w:val="16"/>
        </w:rPr>
        <w:t> </w:t>
      </w:r>
      <w:r>
        <w:rPr>
          <w:w w:val="105"/>
          <w:sz w:val="16"/>
        </w:rPr>
        <w:t>this</w:t>
      </w:r>
      <w:r>
        <w:rPr>
          <w:spacing w:val="-8"/>
          <w:w w:val="105"/>
          <w:sz w:val="16"/>
        </w:rPr>
        <w:t> </w:t>
      </w:r>
      <w:r>
        <w:rPr>
          <w:w w:val="105"/>
          <w:sz w:val="16"/>
        </w:rPr>
        <w:t>Annual</w:t>
      </w:r>
      <w:r>
        <w:rPr>
          <w:spacing w:val="-8"/>
          <w:w w:val="105"/>
          <w:sz w:val="16"/>
        </w:rPr>
        <w:t> </w:t>
      </w:r>
      <w:r>
        <w:rPr>
          <w:w w:val="105"/>
          <w:sz w:val="16"/>
        </w:rPr>
        <w:t>Report</w:t>
      </w:r>
      <w:r>
        <w:rPr>
          <w:spacing w:val="-8"/>
          <w:w w:val="105"/>
          <w:sz w:val="16"/>
        </w:rPr>
        <w:t> </w:t>
      </w:r>
      <w:r>
        <w:rPr>
          <w:w w:val="105"/>
          <w:sz w:val="16"/>
        </w:rPr>
        <w:t>on</w:t>
      </w:r>
      <w:r>
        <w:rPr>
          <w:spacing w:val="-8"/>
          <w:w w:val="105"/>
          <w:sz w:val="16"/>
        </w:rPr>
        <w:t> </w:t>
      </w:r>
      <w:r>
        <w:rPr>
          <w:w w:val="105"/>
          <w:sz w:val="16"/>
        </w:rPr>
        <w:t>Form</w:t>
      </w:r>
      <w:r>
        <w:rPr>
          <w:spacing w:val="-7"/>
          <w:w w:val="105"/>
          <w:sz w:val="16"/>
        </w:rPr>
        <w:t> </w:t>
      </w:r>
      <w:r>
        <w:rPr>
          <w:w w:val="105"/>
          <w:sz w:val="16"/>
        </w:rPr>
        <w:t>10-K</w:t>
      </w:r>
      <w:r>
        <w:rPr>
          <w:spacing w:val="-8"/>
          <w:w w:val="105"/>
          <w:sz w:val="16"/>
        </w:rPr>
        <w:t> </w:t>
      </w:r>
      <w:r>
        <w:rPr>
          <w:w w:val="105"/>
          <w:sz w:val="16"/>
        </w:rPr>
        <w:t>of</w:t>
      </w:r>
      <w:r>
        <w:rPr>
          <w:spacing w:val="-8"/>
          <w:w w:val="105"/>
          <w:sz w:val="16"/>
        </w:rPr>
        <w:t> </w:t>
      </w:r>
      <w:r>
        <w:rPr>
          <w:w w:val="105"/>
          <w:sz w:val="16"/>
        </w:rPr>
        <w:t>Corning</w:t>
      </w:r>
      <w:r>
        <w:rPr>
          <w:spacing w:val="-8"/>
          <w:w w:val="105"/>
          <w:sz w:val="16"/>
        </w:rPr>
        <w:t> </w:t>
      </w:r>
      <w:r>
        <w:rPr>
          <w:spacing w:val="-2"/>
          <w:w w:val="105"/>
          <w:sz w:val="16"/>
        </w:rPr>
        <w:t>Incorporated;</w:t>
      </w:r>
    </w:p>
    <w:p>
      <w:pPr>
        <w:pStyle w:val="BodyText"/>
        <w:spacing w:before="39"/>
      </w:pPr>
    </w:p>
    <w:p>
      <w:pPr>
        <w:pStyle w:val="ListParagraph"/>
        <w:numPr>
          <w:ilvl w:val="0"/>
          <w:numId w:val="66"/>
        </w:numPr>
        <w:tabs>
          <w:tab w:pos="462" w:val="left" w:leader="none"/>
        </w:tabs>
        <w:spacing w:line="266" w:lineRule="auto" w:before="0" w:after="0"/>
        <w:ind w:left="462" w:right="315" w:hanging="306"/>
        <w:jc w:val="left"/>
        <w:rPr>
          <w:sz w:val="16"/>
        </w:rPr>
      </w:pPr>
      <w:r>
        <w:rPr>
          <w:w w:val="105"/>
          <w:sz w:val="16"/>
        </w:rPr>
        <w:t>Based</w:t>
      </w:r>
      <w:r>
        <w:rPr>
          <w:spacing w:val="-7"/>
          <w:w w:val="105"/>
          <w:sz w:val="16"/>
        </w:rPr>
        <w:t> </w:t>
      </w:r>
      <w:r>
        <w:rPr>
          <w:w w:val="105"/>
          <w:sz w:val="16"/>
        </w:rPr>
        <w:t>on</w:t>
      </w:r>
      <w:r>
        <w:rPr>
          <w:spacing w:val="-7"/>
          <w:w w:val="105"/>
          <w:sz w:val="16"/>
        </w:rPr>
        <w:t> </w:t>
      </w:r>
      <w:r>
        <w:rPr>
          <w:w w:val="105"/>
          <w:sz w:val="16"/>
        </w:rPr>
        <w:t>my</w:t>
      </w:r>
      <w:r>
        <w:rPr>
          <w:spacing w:val="-7"/>
          <w:w w:val="105"/>
          <w:sz w:val="16"/>
        </w:rPr>
        <w:t> </w:t>
      </w:r>
      <w:r>
        <w:rPr>
          <w:w w:val="105"/>
          <w:sz w:val="16"/>
        </w:rPr>
        <w:t>knowledge,</w:t>
      </w:r>
      <w:r>
        <w:rPr>
          <w:spacing w:val="-7"/>
          <w:w w:val="105"/>
          <w:sz w:val="16"/>
        </w:rPr>
        <w:t> </w:t>
      </w:r>
      <w:r>
        <w:rPr>
          <w:w w:val="105"/>
          <w:sz w:val="16"/>
        </w:rPr>
        <w:t>this</w:t>
      </w:r>
      <w:r>
        <w:rPr>
          <w:spacing w:val="-7"/>
          <w:w w:val="105"/>
          <w:sz w:val="16"/>
        </w:rPr>
        <w:t> </w:t>
      </w:r>
      <w:r>
        <w:rPr>
          <w:w w:val="105"/>
          <w:sz w:val="16"/>
        </w:rPr>
        <w:t>report</w:t>
      </w:r>
      <w:r>
        <w:rPr>
          <w:spacing w:val="-7"/>
          <w:w w:val="105"/>
          <w:sz w:val="16"/>
        </w:rPr>
        <w:t> </w:t>
      </w:r>
      <w:r>
        <w:rPr>
          <w:w w:val="105"/>
          <w:sz w:val="16"/>
        </w:rPr>
        <w:t>does</w:t>
      </w:r>
      <w:r>
        <w:rPr>
          <w:spacing w:val="-7"/>
          <w:w w:val="105"/>
          <w:sz w:val="16"/>
        </w:rPr>
        <w:t> </w:t>
      </w:r>
      <w:r>
        <w:rPr>
          <w:w w:val="105"/>
          <w:sz w:val="16"/>
        </w:rPr>
        <w:t>not</w:t>
      </w:r>
      <w:r>
        <w:rPr>
          <w:spacing w:val="-5"/>
          <w:w w:val="105"/>
          <w:sz w:val="16"/>
        </w:rPr>
        <w:t> </w:t>
      </w:r>
      <w:r>
        <w:rPr>
          <w:w w:val="105"/>
          <w:sz w:val="16"/>
        </w:rPr>
        <w:t>contain</w:t>
      </w:r>
      <w:r>
        <w:rPr>
          <w:spacing w:val="-7"/>
          <w:w w:val="105"/>
          <w:sz w:val="16"/>
        </w:rPr>
        <w:t> </w:t>
      </w:r>
      <w:r>
        <w:rPr>
          <w:w w:val="105"/>
          <w:sz w:val="16"/>
        </w:rPr>
        <w:t>any</w:t>
      </w:r>
      <w:r>
        <w:rPr>
          <w:spacing w:val="-7"/>
          <w:w w:val="105"/>
          <w:sz w:val="16"/>
        </w:rPr>
        <w:t> </w:t>
      </w:r>
      <w:r>
        <w:rPr>
          <w:w w:val="105"/>
          <w:sz w:val="16"/>
        </w:rPr>
        <w:t>untrue</w:t>
      </w:r>
      <w:r>
        <w:rPr>
          <w:spacing w:val="-7"/>
          <w:w w:val="105"/>
          <w:sz w:val="16"/>
        </w:rPr>
        <w:t> </w:t>
      </w:r>
      <w:r>
        <w:rPr>
          <w:w w:val="105"/>
          <w:sz w:val="16"/>
        </w:rPr>
        <w:t>statement</w:t>
      </w:r>
      <w:r>
        <w:rPr>
          <w:spacing w:val="-7"/>
          <w:w w:val="105"/>
          <w:sz w:val="16"/>
        </w:rPr>
        <w:t> </w:t>
      </w:r>
      <w:r>
        <w:rPr>
          <w:w w:val="105"/>
          <w:sz w:val="16"/>
        </w:rPr>
        <w:t>of</w:t>
      </w:r>
      <w:r>
        <w:rPr>
          <w:spacing w:val="-7"/>
          <w:w w:val="105"/>
          <w:sz w:val="16"/>
        </w:rPr>
        <w:t> </w:t>
      </w:r>
      <w:r>
        <w:rPr>
          <w:w w:val="105"/>
          <w:sz w:val="16"/>
        </w:rPr>
        <w:t>a</w:t>
      </w:r>
      <w:r>
        <w:rPr>
          <w:spacing w:val="-7"/>
          <w:w w:val="105"/>
          <w:sz w:val="16"/>
        </w:rPr>
        <w:t> </w:t>
      </w:r>
      <w:r>
        <w:rPr>
          <w:w w:val="105"/>
          <w:sz w:val="16"/>
        </w:rPr>
        <w:t>material</w:t>
      </w:r>
      <w:r>
        <w:rPr>
          <w:spacing w:val="-7"/>
          <w:w w:val="105"/>
          <w:sz w:val="16"/>
        </w:rPr>
        <w:t> </w:t>
      </w:r>
      <w:r>
        <w:rPr>
          <w:w w:val="105"/>
          <w:sz w:val="16"/>
        </w:rPr>
        <w:t>fact</w:t>
      </w:r>
      <w:r>
        <w:rPr>
          <w:spacing w:val="-7"/>
          <w:w w:val="105"/>
          <w:sz w:val="16"/>
        </w:rPr>
        <w:t> </w:t>
      </w:r>
      <w:r>
        <w:rPr>
          <w:w w:val="105"/>
          <w:sz w:val="16"/>
        </w:rPr>
        <w:t>or</w:t>
      </w:r>
      <w:r>
        <w:rPr>
          <w:spacing w:val="-7"/>
          <w:w w:val="105"/>
          <w:sz w:val="16"/>
        </w:rPr>
        <w:t> </w:t>
      </w:r>
      <w:r>
        <w:rPr>
          <w:w w:val="105"/>
          <w:sz w:val="16"/>
        </w:rPr>
        <w:t>omit</w:t>
      </w:r>
      <w:r>
        <w:rPr>
          <w:spacing w:val="-7"/>
          <w:w w:val="105"/>
          <w:sz w:val="16"/>
        </w:rPr>
        <w:t> </w:t>
      </w:r>
      <w:r>
        <w:rPr>
          <w:w w:val="105"/>
          <w:sz w:val="16"/>
        </w:rPr>
        <w:t>to</w:t>
      </w:r>
      <w:r>
        <w:rPr>
          <w:spacing w:val="-7"/>
          <w:w w:val="105"/>
          <w:sz w:val="16"/>
        </w:rPr>
        <w:t> </w:t>
      </w:r>
      <w:r>
        <w:rPr>
          <w:w w:val="105"/>
          <w:sz w:val="16"/>
        </w:rPr>
        <w:t>state</w:t>
      </w:r>
      <w:r>
        <w:rPr>
          <w:spacing w:val="-7"/>
          <w:w w:val="105"/>
          <w:sz w:val="16"/>
        </w:rPr>
        <w:t> </w:t>
      </w:r>
      <w:r>
        <w:rPr>
          <w:w w:val="105"/>
          <w:sz w:val="16"/>
        </w:rPr>
        <w:t>a</w:t>
      </w:r>
      <w:r>
        <w:rPr>
          <w:spacing w:val="-5"/>
          <w:w w:val="105"/>
          <w:sz w:val="16"/>
        </w:rPr>
        <w:t> </w:t>
      </w:r>
      <w:r>
        <w:rPr>
          <w:w w:val="105"/>
          <w:sz w:val="16"/>
        </w:rPr>
        <w:t>material</w:t>
      </w:r>
      <w:r>
        <w:rPr>
          <w:spacing w:val="-7"/>
          <w:w w:val="105"/>
          <w:sz w:val="16"/>
        </w:rPr>
        <w:t> </w:t>
      </w:r>
      <w:r>
        <w:rPr>
          <w:w w:val="105"/>
          <w:sz w:val="16"/>
        </w:rPr>
        <w:t>fact</w:t>
      </w:r>
      <w:r>
        <w:rPr>
          <w:spacing w:val="-7"/>
          <w:w w:val="105"/>
          <w:sz w:val="16"/>
        </w:rPr>
        <w:t> </w:t>
      </w:r>
      <w:r>
        <w:rPr>
          <w:w w:val="105"/>
          <w:sz w:val="16"/>
        </w:rPr>
        <w:t>necessary</w:t>
      </w:r>
      <w:r>
        <w:rPr>
          <w:spacing w:val="-7"/>
          <w:w w:val="105"/>
          <w:sz w:val="16"/>
        </w:rPr>
        <w:t> </w:t>
      </w:r>
      <w:r>
        <w:rPr>
          <w:w w:val="105"/>
          <w:sz w:val="16"/>
        </w:rPr>
        <w:t>to</w:t>
      </w:r>
      <w:r>
        <w:rPr>
          <w:spacing w:val="-7"/>
          <w:w w:val="105"/>
          <w:sz w:val="16"/>
        </w:rPr>
        <w:t> </w:t>
      </w:r>
      <w:r>
        <w:rPr>
          <w:w w:val="105"/>
          <w:sz w:val="16"/>
        </w:rPr>
        <w:t>make</w:t>
      </w:r>
      <w:r>
        <w:rPr>
          <w:spacing w:val="-7"/>
          <w:w w:val="105"/>
          <w:sz w:val="16"/>
        </w:rPr>
        <w:t> </w:t>
      </w:r>
      <w:r>
        <w:rPr>
          <w:w w:val="105"/>
          <w:sz w:val="16"/>
        </w:rPr>
        <w:t>the</w:t>
      </w:r>
      <w:r>
        <w:rPr>
          <w:spacing w:val="-7"/>
          <w:w w:val="105"/>
          <w:sz w:val="16"/>
        </w:rPr>
        <w:t> </w:t>
      </w:r>
      <w:r>
        <w:rPr>
          <w:w w:val="105"/>
          <w:sz w:val="16"/>
        </w:rPr>
        <w:t>statements</w:t>
      </w:r>
      <w:r>
        <w:rPr>
          <w:spacing w:val="-7"/>
          <w:w w:val="105"/>
          <w:sz w:val="16"/>
        </w:rPr>
        <w:t> </w:t>
      </w:r>
      <w:r>
        <w:rPr>
          <w:w w:val="105"/>
          <w:sz w:val="16"/>
        </w:rPr>
        <w:t>made,</w:t>
      </w:r>
      <w:r>
        <w:rPr>
          <w:spacing w:val="-7"/>
          <w:w w:val="105"/>
          <w:sz w:val="16"/>
        </w:rPr>
        <w:t> </w:t>
      </w:r>
      <w:r>
        <w:rPr>
          <w:w w:val="105"/>
          <w:sz w:val="16"/>
        </w:rPr>
        <w:t>in light of the circumstances under which such statements were made, not misleading with respect to the period covered by this report;</w:t>
      </w:r>
    </w:p>
    <w:p>
      <w:pPr>
        <w:pStyle w:val="BodyText"/>
        <w:spacing w:before="19"/>
      </w:pPr>
    </w:p>
    <w:p>
      <w:pPr>
        <w:pStyle w:val="ListParagraph"/>
        <w:numPr>
          <w:ilvl w:val="0"/>
          <w:numId w:val="66"/>
        </w:numPr>
        <w:tabs>
          <w:tab w:pos="462" w:val="left" w:leader="none"/>
        </w:tabs>
        <w:spacing w:line="266" w:lineRule="auto" w:before="0" w:after="0"/>
        <w:ind w:left="462" w:right="306" w:hanging="306"/>
        <w:jc w:val="left"/>
        <w:rPr>
          <w:sz w:val="16"/>
        </w:rPr>
      </w:pPr>
      <w:r>
        <w:rPr>
          <w:w w:val="105"/>
          <w:sz w:val="16"/>
        </w:rPr>
        <w:t>Based</w:t>
      </w:r>
      <w:r>
        <w:rPr>
          <w:spacing w:val="-9"/>
          <w:w w:val="105"/>
          <w:sz w:val="16"/>
        </w:rPr>
        <w:t> </w:t>
      </w:r>
      <w:r>
        <w:rPr>
          <w:w w:val="105"/>
          <w:sz w:val="16"/>
        </w:rPr>
        <w:t>on</w:t>
      </w:r>
      <w:r>
        <w:rPr>
          <w:spacing w:val="-9"/>
          <w:w w:val="105"/>
          <w:sz w:val="16"/>
        </w:rPr>
        <w:t> </w:t>
      </w:r>
      <w:r>
        <w:rPr>
          <w:w w:val="105"/>
          <w:sz w:val="16"/>
        </w:rPr>
        <w:t>my</w:t>
      </w:r>
      <w:r>
        <w:rPr>
          <w:spacing w:val="-9"/>
          <w:w w:val="105"/>
          <w:sz w:val="16"/>
        </w:rPr>
        <w:t> </w:t>
      </w:r>
      <w:r>
        <w:rPr>
          <w:w w:val="105"/>
          <w:sz w:val="16"/>
        </w:rPr>
        <w:t>knowledge,</w:t>
      </w:r>
      <w:r>
        <w:rPr>
          <w:spacing w:val="-9"/>
          <w:w w:val="105"/>
          <w:sz w:val="16"/>
        </w:rPr>
        <w:t> </w:t>
      </w:r>
      <w:r>
        <w:rPr>
          <w:w w:val="105"/>
          <w:sz w:val="16"/>
        </w:rPr>
        <w:t>the</w:t>
      </w:r>
      <w:r>
        <w:rPr>
          <w:spacing w:val="-9"/>
          <w:w w:val="105"/>
          <w:sz w:val="16"/>
        </w:rPr>
        <w:t> </w:t>
      </w:r>
      <w:r>
        <w:rPr>
          <w:w w:val="105"/>
          <w:sz w:val="16"/>
        </w:rPr>
        <w:t>financial</w:t>
      </w:r>
      <w:r>
        <w:rPr>
          <w:spacing w:val="-9"/>
          <w:w w:val="105"/>
          <w:sz w:val="16"/>
        </w:rPr>
        <w:t> </w:t>
      </w:r>
      <w:r>
        <w:rPr>
          <w:w w:val="105"/>
          <w:sz w:val="16"/>
        </w:rPr>
        <w:t>statements,</w:t>
      </w:r>
      <w:r>
        <w:rPr>
          <w:spacing w:val="-9"/>
          <w:w w:val="105"/>
          <w:sz w:val="16"/>
        </w:rPr>
        <w:t> </w:t>
      </w:r>
      <w:r>
        <w:rPr>
          <w:w w:val="105"/>
          <w:sz w:val="16"/>
        </w:rPr>
        <w:t>and</w:t>
      </w:r>
      <w:r>
        <w:rPr>
          <w:spacing w:val="-9"/>
          <w:w w:val="105"/>
          <w:sz w:val="16"/>
        </w:rPr>
        <w:t> </w:t>
      </w:r>
      <w:r>
        <w:rPr>
          <w:w w:val="105"/>
          <w:sz w:val="16"/>
        </w:rPr>
        <w:t>other</w:t>
      </w:r>
      <w:r>
        <w:rPr>
          <w:spacing w:val="-9"/>
          <w:w w:val="105"/>
          <w:sz w:val="16"/>
        </w:rPr>
        <w:t> </w:t>
      </w:r>
      <w:r>
        <w:rPr>
          <w:w w:val="105"/>
          <w:sz w:val="16"/>
        </w:rPr>
        <w:t>financial</w:t>
      </w:r>
      <w:r>
        <w:rPr>
          <w:spacing w:val="-9"/>
          <w:w w:val="105"/>
          <w:sz w:val="16"/>
        </w:rPr>
        <w:t> </w:t>
      </w:r>
      <w:r>
        <w:rPr>
          <w:w w:val="105"/>
          <w:sz w:val="16"/>
        </w:rPr>
        <w:t>information</w:t>
      </w:r>
      <w:r>
        <w:rPr>
          <w:spacing w:val="-7"/>
          <w:w w:val="105"/>
          <w:sz w:val="16"/>
        </w:rPr>
        <w:t> </w:t>
      </w:r>
      <w:r>
        <w:rPr>
          <w:w w:val="105"/>
          <w:sz w:val="16"/>
        </w:rPr>
        <w:t>included</w:t>
      </w:r>
      <w:r>
        <w:rPr>
          <w:spacing w:val="-9"/>
          <w:w w:val="105"/>
          <w:sz w:val="16"/>
        </w:rPr>
        <w:t> </w:t>
      </w:r>
      <w:r>
        <w:rPr>
          <w:w w:val="105"/>
          <w:sz w:val="16"/>
        </w:rPr>
        <w:t>in</w:t>
      </w:r>
      <w:r>
        <w:rPr>
          <w:spacing w:val="-9"/>
          <w:w w:val="105"/>
          <w:sz w:val="16"/>
        </w:rPr>
        <w:t> </w:t>
      </w:r>
      <w:r>
        <w:rPr>
          <w:w w:val="105"/>
          <w:sz w:val="16"/>
        </w:rPr>
        <w:t>this</w:t>
      </w:r>
      <w:r>
        <w:rPr>
          <w:spacing w:val="-9"/>
          <w:w w:val="105"/>
          <w:sz w:val="16"/>
        </w:rPr>
        <w:t> </w:t>
      </w:r>
      <w:r>
        <w:rPr>
          <w:w w:val="105"/>
          <w:sz w:val="16"/>
        </w:rPr>
        <w:t>report,</w:t>
      </w:r>
      <w:r>
        <w:rPr>
          <w:spacing w:val="-9"/>
          <w:w w:val="105"/>
          <w:sz w:val="16"/>
        </w:rPr>
        <w:t> </w:t>
      </w:r>
      <w:r>
        <w:rPr>
          <w:w w:val="105"/>
          <w:sz w:val="16"/>
        </w:rPr>
        <w:t>fairly</w:t>
      </w:r>
      <w:r>
        <w:rPr>
          <w:spacing w:val="-9"/>
          <w:w w:val="105"/>
          <w:sz w:val="16"/>
        </w:rPr>
        <w:t> </w:t>
      </w:r>
      <w:r>
        <w:rPr>
          <w:w w:val="105"/>
          <w:sz w:val="16"/>
        </w:rPr>
        <w:t>present</w:t>
      </w:r>
      <w:r>
        <w:rPr>
          <w:spacing w:val="-9"/>
          <w:w w:val="105"/>
          <w:sz w:val="16"/>
        </w:rPr>
        <w:t> </w:t>
      </w:r>
      <w:r>
        <w:rPr>
          <w:w w:val="105"/>
          <w:sz w:val="16"/>
        </w:rPr>
        <w:t>in</w:t>
      </w:r>
      <w:r>
        <w:rPr>
          <w:spacing w:val="-9"/>
          <w:w w:val="105"/>
          <w:sz w:val="16"/>
        </w:rPr>
        <w:t> </w:t>
      </w:r>
      <w:r>
        <w:rPr>
          <w:w w:val="105"/>
          <w:sz w:val="16"/>
        </w:rPr>
        <w:t>all</w:t>
      </w:r>
      <w:r>
        <w:rPr>
          <w:spacing w:val="-9"/>
          <w:w w:val="105"/>
          <w:sz w:val="16"/>
        </w:rPr>
        <w:t> </w:t>
      </w:r>
      <w:r>
        <w:rPr>
          <w:w w:val="105"/>
          <w:sz w:val="16"/>
        </w:rPr>
        <w:t>material</w:t>
      </w:r>
      <w:r>
        <w:rPr>
          <w:spacing w:val="-9"/>
          <w:w w:val="105"/>
          <w:sz w:val="16"/>
        </w:rPr>
        <w:t> </w:t>
      </w:r>
      <w:r>
        <w:rPr>
          <w:w w:val="105"/>
          <w:sz w:val="16"/>
        </w:rPr>
        <w:t>respects</w:t>
      </w:r>
      <w:r>
        <w:rPr>
          <w:spacing w:val="-9"/>
          <w:w w:val="105"/>
          <w:sz w:val="16"/>
        </w:rPr>
        <w:t> </w:t>
      </w:r>
      <w:r>
        <w:rPr>
          <w:w w:val="105"/>
          <w:sz w:val="16"/>
        </w:rPr>
        <w:t>the</w:t>
      </w:r>
      <w:r>
        <w:rPr>
          <w:spacing w:val="-7"/>
          <w:w w:val="105"/>
          <w:sz w:val="16"/>
        </w:rPr>
        <w:t> </w:t>
      </w:r>
      <w:r>
        <w:rPr>
          <w:w w:val="105"/>
          <w:sz w:val="16"/>
        </w:rPr>
        <w:t>financial</w:t>
      </w:r>
      <w:r>
        <w:rPr>
          <w:spacing w:val="-9"/>
          <w:w w:val="105"/>
          <w:sz w:val="16"/>
        </w:rPr>
        <w:t> </w:t>
      </w:r>
      <w:r>
        <w:rPr>
          <w:w w:val="105"/>
          <w:sz w:val="16"/>
        </w:rPr>
        <w:t>condition, results of operations and cash flows of the registrant as of, and for, the periods presented in this report;</w:t>
      </w:r>
    </w:p>
    <w:p>
      <w:pPr>
        <w:pStyle w:val="BodyText"/>
        <w:spacing w:before="19"/>
      </w:pPr>
    </w:p>
    <w:p>
      <w:pPr>
        <w:pStyle w:val="ListParagraph"/>
        <w:numPr>
          <w:ilvl w:val="0"/>
          <w:numId w:val="66"/>
        </w:numPr>
        <w:tabs>
          <w:tab w:pos="462" w:val="left" w:leader="none"/>
        </w:tabs>
        <w:spacing w:line="266" w:lineRule="auto" w:before="1" w:after="0"/>
        <w:ind w:left="462" w:right="440" w:hanging="306"/>
        <w:jc w:val="left"/>
        <w:rPr>
          <w:sz w:val="16"/>
        </w:rPr>
      </w:pPr>
      <w:r>
        <w:rPr>
          <w:w w:val="105"/>
          <w:sz w:val="16"/>
        </w:rPr>
        <w:t>The</w:t>
      </w:r>
      <w:r>
        <w:rPr>
          <w:spacing w:val="-9"/>
          <w:w w:val="105"/>
          <w:sz w:val="16"/>
        </w:rPr>
        <w:t> </w:t>
      </w:r>
      <w:r>
        <w:rPr>
          <w:w w:val="105"/>
          <w:sz w:val="16"/>
        </w:rPr>
        <w:t>registrant’s</w:t>
      </w:r>
      <w:r>
        <w:rPr>
          <w:spacing w:val="-9"/>
          <w:w w:val="105"/>
          <w:sz w:val="16"/>
        </w:rPr>
        <w:t> </w:t>
      </w:r>
      <w:r>
        <w:rPr>
          <w:w w:val="105"/>
          <w:sz w:val="16"/>
        </w:rPr>
        <w:t>other</w:t>
      </w:r>
      <w:r>
        <w:rPr>
          <w:spacing w:val="-7"/>
          <w:w w:val="105"/>
          <w:sz w:val="16"/>
        </w:rPr>
        <w:t> </w:t>
      </w:r>
      <w:r>
        <w:rPr>
          <w:w w:val="105"/>
          <w:sz w:val="16"/>
        </w:rPr>
        <w:t>certifying</w:t>
      </w:r>
      <w:r>
        <w:rPr>
          <w:spacing w:val="-9"/>
          <w:w w:val="105"/>
          <w:sz w:val="16"/>
        </w:rPr>
        <w:t> </w:t>
      </w:r>
      <w:r>
        <w:rPr>
          <w:w w:val="105"/>
          <w:sz w:val="16"/>
        </w:rPr>
        <w:t>officer</w:t>
      </w:r>
      <w:r>
        <w:rPr>
          <w:spacing w:val="-7"/>
          <w:w w:val="105"/>
          <w:sz w:val="16"/>
        </w:rPr>
        <w:t> </w:t>
      </w:r>
      <w:r>
        <w:rPr>
          <w:w w:val="105"/>
          <w:sz w:val="16"/>
        </w:rPr>
        <w:t>and</w:t>
      </w:r>
      <w:r>
        <w:rPr>
          <w:spacing w:val="-9"/>
          <w:w w:val="105"/>
          <w:sz w:val="16"/>
        </w:rPr>
        <w:t> </w:t>
      </w:r>
      <w:r>
        <w:rPr>
          <w:w w:val="105"/>
          <w:sz w:val="16"/>
        </w:rPr>
        <w:t>I</w:t>
      </w:r>
      <w:r>
        <w:rPr>
          <w:spacing w:val="-9"/>
          <w:w w:val="105"/>
          <w:sz w:val="16"/>
        </w:rPr>
        <w:t> </w:t>
      </w:r>
      <w:r>
        <w:rPr>
          <w:w w:val="105"/>
          <w:sz w:val="16"/>
        </w:rPr>
        <w:t>are</w:t>
      </w:r>
      <w:r>
        <w:rPr>
          <w:spacing w:val="-9"/>
          <w:w w:val="105"/>
          <w:sz w:val="16"/>
        </w:rPr>
        <w:t> </w:t>
      </w:r>
      <w:r>
        <w:rPr>
          <w:w w:val="105"/>
          <w:sz w:val="16"/>
        </w:rPr>
        <w:t>responsible</w:t>
      </w:r>
      <w:r>
        <w:rPr>
          <w:spacing w:val="-9"/>
          <w:w w:val="105"/>
          <w:sz w:val="16"/>
        </w:rPr>
        <w:t> </w:t>
      </w:r>
      <w:r>
        <w:rPr>
          <w:w w:val="105"/>
          <w:sz w:val="16"/>
        </w:rPr>
        <w:t>for</w:t>
      </w:r>
      <w:r>
        <w:rPr>
          <w:spacing w:val="-9"/>
          <w:w w:val="105"/>
          <w:sz w:val="16"/>
        </w:rPr>
        <w:t> </w:t>
      </w:r>
      <w:r>
        <w:rPr>
          <w:w w:val="105"/>
          <w:sz w:val="16"/>
        </w:rPr>
        <w:t>establishing</w:t>
      </w:r>
      <w:r>
        <w:rPr>
          <w:spacing w:val="-9"/>
          <w:w w:val="105"/>
          <w:sz w:val="16"/>
        </w:rPr>
        <w:t> </w:t>
      </w:r>
      <w:r>
        <w:rPr>
          <w:w w:val="105"/>
          <w:sz w:val="16"/>
        </w:rPr>
        <w:t>and</w:t>
      </w:r>
      <w:r>
        <w:rPr>
          <w:spacing w:val="-9"/>
          <w:w w:val="105"/>
          <w:sz w:val="16"/>
        </w:rPr>
        <w:t> </w:t>
      </w:r>
      <w:r>
        <w:rPr>
          <w:w w:val="105"/>
          <w:sz w:val="16"/>
        </w:rPr>
        <w:t>maintaining</w:t>
      </w:r>
      <w:r>
        <w:rPr>
          <w:spacing w:val="-9"/>
          <w:w w:val="105"/>
          <w:sz w:val="16"/>
        </w:rPr>
        <w:t> </w:t>
      </w:r>
      <w:r>
        <w:rPr>
          <w:w w:val="105"/>
          <w:sz w:val="16"/>
        </w:rPr>
        <w:t>disclosure</w:t>
      </w:r>
      <w:r>
        <w:rPr>
          <w:spacing w:val="-9"/>
          <w:w w:val="105"/>
          <w:sz w:val="16"/>
        </w:rPr>
        <w:t> </w:t>
      </w:r>
      <w:r>
        <w:rPr>
          <w:w w:val="105"/>
          <w:sz w:val="16"/>
        </w:rPr>
        <w:t>controls</w:t>
      </w:r>
      <w:r>
        <w:rPr>
          <w:spacing w:val="-9"/>
          <w:w w:val="105"/>
          <w:sz w:val="16"/>
        </w:rPr>
        <w:t> </w:t>
      </w:r>
      <w:r>
        <w:rPr>
          <w:w w:val="105"/>
          <w:sz w:val="16"/>
        </w:rPr>
        <w:t>and</w:t>
      </w:r>
      <w:r>
        <w:rPr>
          <w:spacing w:val="-9"/>
          <w:w w:val="105"/>
          <w:sz w:val="16"/>
        </w:rPr>
        <w:t> </w:t>
      </w:r>
      <w:r>
        <w:rPr>
          <w:w w:val="105"/>
          <w:sz w:val="16"/>
        </w:rPr>
        <w:t>procedures</w:t>
      </w:r>
      <w:r>
        <w:rPr>
          <w:spacing w:val="-9"/>
          <w:w w:val="105"/>
          <w:sz w:val="16"/>
        </w:rPr>
        <w:t> </w:t>
      </w:r>
      <w:r>
        <w:rPr>
          <w:w w:val="105"/>
          <w:sz w:val="16"/>
        </w:rPr>
        <w:t>(as</w:t>
      </w:r>
      <w:r>
        <w:rPr>
          <w:spacing w:val="-9"/>
          <w:w w:val="105"/>
          <w:sz w:val="16"/>
        </w:rPr>
        <w:t> </w:t>
      </w:r>
      <w:r>
        <w:rPr>
          <w:w w:val="105"/>
          <w:sz w:val="16"/>
        </w:rPr>
        <w:t>defined</w:t>
      </w:r>
      <w:r>
        <w:rPr>
          <w:spacing w:val="-9"/>
          <w:w w:val="105"/>
          <w:sz w:val="16"/>
        </w:rPr>
        <w:t> </w:t>
      </w:r>
      <w:r>
        <w:rPr>
          <w:w w:val="105"/>
          <w:sz w:val="16"/>
        </w:rPr>
        <w:t>in</w:t>
      </w:r>
      <w:r>
        <w:rPr>
          <w:spacing w:val="-9"/>
          <w:w w:val="105"/>
          <w:sz w:val="16"/>
        </w:rPr>
        <w:t> </w:t>
      </w:r>
      <w:r>
        <w:rPr>
          <w:w w:val="105"/>
          <w:sz w:val="16"/>
        </w:rPr>
        <w:t>Exchange</w:t>
      </w:r>
      <w:r>
        <w:rPr>
          <w:spacing w:val="-9"/>
          <w:w w:val="105"/>
          <w:sz w:val="16"/>
        </w:rPr>
        <w:t> </w:t>
      </w:r>
      <w:r>
        <w:rPr>
          <w:w w:val="105"/>
          <w:sz w:val="16"/>
        </w:rPr>
        <w:t>Act</w:t>
      </w:r>
      <w:r>
        <w:rPr>
          <w:spacing w:val="-9"/>
          <w:w w:val="105"/>
          <w:sz w:val="16"/>
        </w:rPr>
        <w:t> </w:t>
      </w:r>
      <w:r>
        <w:rPr>
          <w:w w:val="105"/>
          <w:sz w:val="16"/>
        </w:rPr>
        <w:t>Rules 13a-15(e)</w:t>
      </w:r>
      <w:r>
        <w:rPr>
          <w:spacing w:val="-1"/>
          <w:w w:val="105"/>
          <w:sz w:val="16"/>
        </w:rPr>
        <w:t> </w:t>
      </w:r>
      <w:r>
        <w:rPr>
          <w:w w:val="105"/>
          <w:sz w:val="16"/>
        </w:rPr>
        <w:t>and</w:t>
      </w:r>
      <w:r>
        <w:rPr>
          <w:spacing w:val="-1"/>
          <w:w w:val="105"/>
          <w:sz w:val="16"/>
        </w:rPr>
        <w:t> </w:t>
      </w:r>
      <w:r>
        <w:rPr>
          <w:w w:val="105"/>
          <w:sz w:val="16"/>
        </w:rPr>
        <w:t>15d-15(e))</w:t>
      </w:r>
      <w:r>
        <w:rPr>
          <w:spacing w:val="-1"/>
          <w:w w:val="105"/>
          <w:sz w:val="16"/>
        </w:rPr>
        <w:t> </w:t>
      </w:r>
      <w:r>
        <w:rPr>
          <w:w w:val="105"/>
          <w:sz w:val="16"/>
        </w:rPr>
        <w:t>and internal</w:t>
      </w:r>
      <w:r>
        <w:rPr>
          <w:spacing w:val="-1"/>
          <w:w w:val="105"/>
          <w:sz w:val="16"/>
        </w:rPr>
        <w:t> </w:t>
      </w:r>
      <w:r>
        <w:rPr>
          <w:w w:val="105"/>
          <w:sz w:val="16"/>
        </w:rPr>
        <w:t>control</w:t>
      </w:r>
      <w:r>
        <w:rPr>
          <w:spacing w:val="-1"/>
          <w:w w:val="105"/>
          <w:sz w:val="16"/>
        </w:rPr>
        <w:t> </w:t>
      </w:r>
      <w:r>
        <w:rPr>
          <w:w w:val="105"/>
          <w:sz w:val="16"/>
        </w:rPr>
        <w:t>over</w:t>
      </w:r>
      <w:r>
        <w:rPr>
          <w:spacing w:val="-1"/>
          <w:w w:val="105"/>
          <w:sz w:val="16"/>
        </w:rPr>
        <w:t> </w:t>
      </w:r>
      <w:r>
        <w:rPr>
          <w:w w:val="105"/>
          <w:sz w:val="16"/>
        </w:rPr>
        <w:t>financial</w:t>
      </w:r>
      <w:r>
        <w:rPr>
          <w:spacing w:val="-1"/>
          <w:w w:val="105"/>
          <w:sz w:val="16"/>
        </w:rPr>
        <w:t> </w:t>
      </w:r>
      <w:r>
        <w:rPr>
          <w:w w:val="105"/>
          <w:sz w:val="16"/>
        </w:rPr>
        <w:t>reporting</w:t>
      </w:r>
      <w:r>
        <w:rPr>
          <w:spacing w:val="-1"/>
          <w:w w:val="105"/>
          <w:sz w:val="16"/>
        </w:rPr>
        <w:t> </w:t>
      </w:r>
      <w:r>
        <w:rPr>
          <w:w w:val="105"/>
          <w:sz w:val="16"/>
        </w:rPr>
        <w:t>(as</w:t>
      </w:r>
      <w:r>
        <w:rPr>
          <w:spacing w:val="-1"/>
          <w:w w:val="105"/>
          <w:sz w:val="16"/>
        </w:rPr>
        <w:t> </w:t>
      </w:r>
      <w:r>
        <w:rPr>
          <w:w w:val="105"/>
          <w:sz w:val="16"/>
        </w:rPr>
        <w:t>defined</w:t>
      </w:r>
      <w:r>
        <w:rPr>
          <w:spacing w:val="-1"/>
          <w:w w:val="105"/>
          <w:sz w:val="16"/>
        </w:rPr>
        <w:t> </w:t>
      </w:r>
      <w:r>
        <w:rPr>
          <w:w w:val="105"/>
          <w:sz w:val="16"/>
        </w:rPr>
        <w:t>in</w:t>
      </w:r>
      <w:r>
        <w:rPr>
          <w:spacing w:val="-1"/>
          <w:w w:val="105"/>
          <w:sz w:val="16"/>
        </w:rPr>
        <w:t> </w:t>
      </w:r>
      <w:r>
        <w:rPr>
          <w:w w:val="105"/>
          <w:sz w:val="16"/>
        </w:rPr>
        <w:t>Exchange</w:t>
      </w:r>
      <w:r>
        <w:rPr>
          <w:spacing w:val="-1"/>
          <w:w w:val="105"/>
          <w:sz w:val="16"/>
        </w:rPr>
        <w:t> </w:t>
      </w:r>
      <w:r>
        <w:rPr>
          <w:w w:val="105"/>
          <w:sz w:val="16"/>
        </w:rPr>
        <w:t>Act</w:t>
      </w:r>
      <w:r>
        <w:rPr>
          <w:spacing w:val="-1"/>
          <w:w w:val="105"/>
          <w:sz w:val="16"/>
        </w:rPr>
        <w:t> </w:t>
      </w:r>
      <w:r>
        <w:rPr>
          <w:w w:val="105"/>
          <w:sz w:val="16"/>
        </w:rPr>
        <w:t>Rules</w:t>
      </w:r>
      <w:r>
        <w:rPr>
          <w:spacing w:val="-1"/>
          <w:w w:val="105"/>
          <w:sz w:val="16"/>
        </w:rPr>
        <w:t> </w:t>
      </w:r>
      <w:r>
        <w:rPr>
          <w:w w:val="105"/>
          <w:sz w:val="16"/>
        </w:rPr>
        <w:t>13a-15(f)</w:t>
      </w:r>
      <w:r>
        <w:rPr>
          <w:spacing w:val="-1"/>
          <w:w w:val="105"/>
          <w:sz w:val="16"/>
        </w:rPr>
        <w:t> </w:t>
      </w:r>
      <w:r>
        <w:rPr>
          <w:w w:val="105"/>
          <w:sz w:val="16"/>
        </w:rPr>
        <w:t>and</w:t>
      </w:r>
      <w:r>
        <w:rPr>
          <w:spacing w:val="-1"/>
          <w:w w:val="105"/>
          <w:sz w:val="16"/>
        </w:rPr>
        <w:t> </w:t>
      </w:r>
      <w:r>
        <w:rPr>
          <w:w w:val="105"/>
          <w:sz w:val="16"/>
        </w:rPr>
        <w:t>15d-15(f))</w:t>
      </w:r>
      <w:r>
        <w:rPr>
          <w:spacing w:val="-1"/>
          <w:w w:val="105"/>
          <w:sz w:val="16"/>
        </w:rPr>
        <w:t> </w:t>
      </w:r>
      <w:r>
        <w:rPr>
          <w:w w:val="105"/>
          <w:sz w:val="16"/>
        </w:rPr>
        <w:t>for</w:t>
      </w:r>
      <w:r>
        <w:rPr>
          <w:spacing w:val="-1"/>
          <w:w w:val="105"/>
          <w:sz w:val="16"/>
        </w:rPr>
        <w:t> </w:t>
      </w:r>
      <w:r>
        <w:rPr>
          <w:w w:val="105"/>
          <w:sz w:val="16"/>
        </w:rPr>
        <w:t>the</w:t>
      </w:r>
      <w:r>
        <w:rPr>
          <w:spacing w:val="-1"/>
          <w:w w:val="105"/>
          <w:sz w:val="16"/>
        </w:rPr>
        <w:t> </w:t>
      </w:r>
      <w:r>
        <w:rPr>
          <w:w w:val="105"/>
          <w:sz w:val="16"/>
        </w:rPr>
        <w:t>registrant</w:t>
      </w:r>
      <w:r>
        <w:rPr>
          <w:spacing w:val="-1"/>
          <w:w w:val="105"/>
          <w:sz w:val="16"/>
        </w:rPr>
        <w:t> </w:t>
      </w:r>
      <w:r>
        <w:rPr>
          <w:w w:val="105"/>
          <w:sz w:val="16"/>
        </w:rPr>
        <w:t>and</w:t>
      </w:r>
      <w:r>
        <w:rPr>
          <w:spacing w:val="-1"/>
          <w:w w:val="105"/>
          <w:sz w:val="16"/>
        </w:rPr>
        <w:t> </w:t>
      </w:r>
      <w:r>
        <w:rPr>
          <w:w w:val="105"/>
          <w:sz w:val="16"/>
        </w:rPr>
        <w:t>have:</w:t>
      </w:r>
    </w:p>
    <w:p>
      <w:pPr>
        <w:pStyle w:val="BodyText"/>
        <w:spacing w:before="18"/>
      </w:pPr>
    </w:p>
    <w:p>
      <w:pPr>
        <w:pStyle w:val="ListParagraph"/>
        <w:numPr>
          <w:ilvl w:val="1"/>
          <w:numId w:val="66"/>
        </w:numPr>
        <w:tabs>
          <w:tab w:pos="766" w:val="left" w:leader="none"/>
          <w:tab w:pos="768" w:val="left" w:leader="none"/>
        </w:tabs>
        <w:spacing w:line="266" w:lineRule="auto" w:before="1" w:after="0"/>
        <w:ind w:left="768" w:right="258" w:hanging="306"/>
        <w:jc w:val="left"/>
        <w:rPr>
          <w:sz w:val="16"/>
        </w:rPr>
      </w:pPr>
      <w:r>
        <w:rPr>
          <w:w w:val="105"/>
          <w:sz w:val="16"/>
        </w:rPr>
        <w:t>Designed</w:t>
      </w:r>
      <w:r>
        <w:rPr>
          <w:spacing w:val="-9"/>
          <w:w w:val="105"/>
          <w:sz w:val="16"/>
        </w:rPr>
        <w:t> </w:t>
      </w:r>
      <w:r>
        <w:rPr>
          <w:w w:val="105"/>
          <w:sz w:val="16"/>
        </w:rPr>
        <w:t>such</w:t>
      </w:r>
      <w:r>
        <w:rPr>
          <w:spacing w:val="-9"/>
          <w:w w:val="105"/>
          <w:sz w:val="16"/>
        </w:rPr>
        <w:t> </w:t>
      </w:r>
      <w:r>
        <w:rPr>
          <w:w w:val="105"/>
          <w:sz w:val="16"/>
        </w:rPr>
        <w:t>disclosure</w:t>
      </w:r>
      <w:r>
        <w:rPr>
          <w:spacing w:val="-9"/>
          <w:w w:val="105"/>
          <w:sz w:val="16"/>
        </w:rPr>
        <w:t> </w:t>
      </w:r>
      <w:r>
        <w:rPr>
          <w:w w:val="105"/>
          <w:sz w:val="16"/>
        </w:rPr>
        <w:t>controls</w:t>
      </w:r>
      <w:r>
        <w:rPr>
          <w:spacing w:val="-7"/>
          <w:w w:val="105"/>
          <w:sz w:val="16"/>
        </w:rPr>
        <w:t> </w:t>
      </w:r>
      <w:r>
        <w:rPr>
          <w:w w:val="105"/>
          <w:sz w:val="16"/>
        </w:rPr>
        <w:t>and</w:t>
      </w:r>
      <w:r>
        <w:rPr>
          <w:spacing w:val="-9"/>
          <w:w w:val="105"/>
          <w:sz w:val="16"/>
        </w:rPr>
        <w:t> </w:t>
      </w:r>
      <w:r>
        <w:rPr>
          <w:w w:val="105"/>
          <w:sz w:val="16"/>
        </w:rPr>
        <w:t>procedures,</w:t>
      </w:r>
      <w:r>
        <w:rPr>
          <w:spacing w:val="-9"/>
          <w:w w:val="105"/>
          <w:sz w:val="16"/>
        </w:rPr>
        <w:t> </w:t>
      </w:r>
      <w:r>
        <w:rPr>
          <w:w w:val="105"/>
          <w:sz w:val="16"/>
        </w:rPr>
        <w:t>or</w:t>
      </w:r>
      <w:r>
        <w:rPr>
          <w:spacing w:val="-9"/>
          <w:w w:val="105"/>
          <w:sz w:val="16"/>
        </w:rPr>
        <w:t> </w:t>
      </w:r>
      <w:r>
        <w:rPr>
          <w:w w:val="105"/>
          <w:sz w:val="16"/>
        </w:rPr>
        <w:t>caused</w:t>
      </w:r>
      <w:r>
        <w:rPr>
          <w:spacing w:val="-9"/>
          <w:w w:val="105"/>
          <w:sz w:val="16"/>
        </w:rPr>
        <w:t> </w:t>
      </w:r>
      <w:r>
        <w:rPr>
          <w:w w:val="105"/>
          <w:sz w:val="16"/>
        </w:rPr>
        <w:t>such</w:t>
      </w:r>
      <w:r>
        <w:rPr>
          <w:spacing w:val="-9"/>
          <w:w w:val="105"/>
          <w:sz w:val="16"/>
        </w:rPr>
        <w:t> </w:t>
      </w:r>
      <w:r>
        <w:rPr>
          <w:w w:val="105"/>
          <w:sz w:val="16"/>
        </w:rPr>
        <w:t>disclosure</w:t>
      </w:r>
      <w:r>
        <w:rPr>
          <w:spacing w:val="-9"/>
          <w:w w:val="105"/>
          <w:sz w:val="16"/>
        </w:rPr>
        <w:t> </w:t>
      </w:r>
      <w:r>
        <w:rPr>
          <w:w w:val="105"/>
          <w:sz w:val="16"/>
        </w:rPr>
        <w:t>controls</w:t>
      </w:r>
      <w:r>
        <w:rPr>
          <w:spacing w:val="-9"/>
          <w:w w:val="105"/>
          <w:sz w:val="16"/>
        </w:rPr>
        <w:t> </w:t>
      </w:r>
      <w:r>
        <w:rPr>
          <w:w w:val="105"/>
          <w:sz w:val="16"/>
        </w:rPr>
        <w:t>and</w:t>
      </w:r>
      <w:r>
        <w:rPr>
          <w:spacing w:val="-9"/>
          <w:w w:val="105"/>
          <w:sz w:val="16"/>
        </w:rPr>
        <w:t> </w:t>
      </w:r>
      <w:r>
        <w:rPr>
          <w:w w:val="105"/>
          <w:sz w:val="16"/>
        </w:rPr>
        <w:t>procedures</w:t>
      </w:r>
      <w:r>
        <w:rPr>
          <w:spacing w:val="-7"/>
          <w:w w:val="105"/>
          <w:sz w:val="16"/>
        </w:rPr>
        <w:t> </w:t>
      </w:r>
      <w:r>
        <w:rPr>
          <w:w w:val="105"/>
          <w:sz w:val="16"/>
        </w:rPr>
        <w:t>to</w:t>
      </w:r>
      <w:r>
        <w:rPr>
          <w:spacing w:val="-9"/>
          <w:w w:val="105"/>
          <w:sz w:val="16"/>
        </w:rPr>
        <w:t> </w:t>
      </w:r>
      <w:r>
        <w:rPr>
          <w:w w:val="105"/>
          <w:sz w:val="16"/>
        </w:rPr>
        <w:t>be</w:t>
      </w:r>
      <w:r>
        <w:rPr>
          <w:spacing w:val="-9"/>
          <w:w w:val="105"/>
          <w:sz w:val="16"/>
        </w:rPr>
        <w:t> </w:t>
      </w:r>
      <w:r>
        <w:rPr>
          <w:w w:val="105"/>
          <w:sz w:val="16"/>
        </w:rPr>
        <w:t>designed</w:t>
      </w:r>
      <w:r>
        <w:rPr>
          <w:spacing w:val="-9"/>
          <w:w w:val="105"/>
          <w:sz w:val="16"/>
        </w:rPr>
        <w:t> </w:t>
      </w:r>
      <w:r>
        <w:rPr>
          <w:w w:val="105"/>
          <w:sz w:val="16"/>
        </w:rPr>
        <w:t>under</w:t>
      </w:r>
      <w:r>
        <w:rPr>
          <w:spacing w:val="-9"/>
          <w:w w:val="105"/>
          <w:sz w:val="16"/>
        </w:rPr>
        <w:t> </w:t>
      </w:r>
      <w:r>
        <w:rPr>
          <w:w w:val="105"/>
          <w:sz w:val="16"/>
        </w:rPr>
        <w:t>our</w:t>
      </w:r>
      <w:r>
        <w:rPr>
          <w:spacing w:val="-9"/>
          <w:w w:val="105"/>
          <w:sz w:val="16"/>
        </w:rPr>
        <w:t> </w:t>
      </w:r>
      <w:r>
        <w:rPr>
          <w:w w:val="105"/>
          <w:sz w:val="16"/>
        </w:rPr>
        <w:t>supervision,</w:t>
      </w:r>
      <w:r>
        <w:rPr>
          <w:spacing w:val="-9"/>
          <w:w w:val="105"/>
          <w:sz w:val="16"/>
        </w:rPr>
        <w:t> </w:t>
      </w:r>
      <w:r>
        <w:rPr>
          <w:w w:val="105"/>
          <w:sz w:val="16"/>
        </w:rPr>
        <w:t>to</w:t>
      </w:r>
      <w:r>
        <w:rPr>
          <w:spacing w:val="-7"/>
          <w:w w:val="105"/>
          <w:sz w:val="16"/>
        </w:rPr>
        <w:t> </w:t>
      </w:r>
      <w:r>
        <w:rPr>
          <w:w w:val="105"/>
          <w:sz w:val="16"/>
        </w:rPr>
        <w:t>ensure</w:t>
      </w:r>
      <w:r>
        <w:rPr>
          <w:spacing w:val="-9"/>
          <w:w w:val="105"/>
          <w:sz w:val="16"/>
        </w:rPr>
        <w:t> </w:t>
      </w:r>
      <w:r>
        <w:rPr>
          <w:w w:val="105"/>
          <w:sz w:val="16"/>
        </w:rPr>
        <w:t>that</w:t>
      </w:r>
      <w:r>
        <w:rPr>
          <w:spacing w:val="-9"/>
          <w:w w:val="105"/>
          <w:sz w:val="16"/>
        </w:rPr>
        <w:t> </w:t>
      </w:r>
      <w:r>
        <w:rPr>
          <w:w w:val="105"/>
          <w:sz w:val="16"/>
        </w:rPr>
        <w:t>material information</w:t>
      </w:r>
      <w:r>
        <w:rPr>
          <w:spacing w:val="-6"/>
          <w:w w:val="105"/>
          <w:sz w:val="16"/>
        </w:rPr>
        <w:t> </w:t>
      </w:r>
      <w:r>
        <w:rPr>
          <w:w w:val="105"/>
          <w:sz w:val="16"/>
        </w:rPr>
        <w:t>relating</w:t>
      </w:r>
      <w:r>
        <w:rPr>
          <w:spacing w:val="-6"/>
          <w:w w:val="105"/>
          <w:sz w:val="16"/>
        </w:rPr>
        <w:t> </w:t>
      </w:r>
      <w:r>
        <w:rPr>
          <w:w w:val="105"/>
          <w:sz w:val="16"/>
        </w:rPr>
        <w:t>to</w:t>
      </w:r>
      <w:r>
        <w:rPr>
          <w:spacing w:val="-6"/>
          <w:w w:val="105"/>
          <w:sz w:val="16"/>
        </w:rPr>
        <w:t> </w:t>
      </w:r>
      <w:r>
        <w:rPr>
          <w:w w:val="105"/>
          <w:sz w:val="16"/>
        </w:rPr>
        <w:t>the</w:t>
      </w:r>
      <w:r>
        <w:rPr>
          <w:spacing w:val="-6"/>
          <w:w w:val="105"/>
          <w:sz w:val="16"/>
        </w:rPr>
        <w:t> </w:t>
      </w:r>
      <w:r>
        <w:rPr>
          <w:w w:val="105"/>
          <w:sz w:val="16"/>
        </w:rPr>
        <w:t>registrant,</w:t>
      </w:r>
      <w:r>
        <w:rPr>
          <w:spacing w:val="-6"/>
          <w:w w:val="105"/>
          <w:sz w:val="16"/>
        </w:rPr>
        <w:t> </w:t>
      </w:r>
      <w:r>
        <w:rPr>
          <w:w w:val="105"/>
          <w:sz w:val="16"/>
        </w:rPr>
        <w:t>including</w:t>
      </w:r>
      <w:r>
        <w:rPr>
          <w:spacing w:val="-6"/>
          <w:w w:val="105"/>
          <w:sz w:val="16"/>
        </w:rPr>
        <w:t> </w:t>
      </w:r>
      <w:r>
        <w:rPr>
          <w:w w:val="105"/>
          <w:sz w:val="16"/>
        </w:rPr>
        <w:t>its</w:t>
      </w:r>
      <w:r>
        <w:rPr>
          <w:spacing w:val="-6"/>
          <w:w w:val="105"/>
          <w:sz w:val="16"/>
        </w:rPr>
        <w:t> </w:t>
      </w:r>
      <w:r>
        <w:rPr>
          <w:w w:val="105"/>
          <w:sz w:val="16"/>
        </w:rPr>
        <w:t>consolidated</w:t>
      </w:r>
      <w:r>
        <w:rPr>
          <w:spacing w:val="-6"/>
          <w:w w:val="105"/>
          <w:sz w:val="16"/>
        </w:rPr>
        <w:t> </w:t>
      </w:r>
      <w:r>
        <w:rPr>
          <w:w w:val="105"/>
          <w:sz w:val="16"/>
        </w:rPr>
        <w:t>subsidiaries,</w:t>
      </w:r>
      <w:r>
        <w:rPr>
          <w:spacing w:val="-6"/>
          <w:w w:val="105"/>
          <w:sz w:val="16"/>
        </w:rPr>
        <w:t> </w:t>
      </w:r>
      <w:r>
        <w:rPr>
          <w:w w:val="105"/>
          <w:sz w:val="16"/>
        </w:rPr>
        <w:t>is</w:t>
      </w:r>
      <w:r>
        <w:rPr>
          <w:spacing w:val="-6"/>
          <w:w w:val="105"/>
          <w:sz w:val="16"/>
        </w:rPr>
        <w:t> </w:t>
      </w:r>
      <w:r>
        <w:rPr>
          <w:w w:val="105"/>
          <w:sz w:val="16"/>
        </w:rPr>
        <w:t>made</w:t>
      </w:r>
      <w:r>
        <w:rPr>
          <w:spacing w:val="-6"/>
          <w:w w:val="105"/>
          <w:sz w:val="16"/>
        </w:rPr>
        <w:t> </w:t>
      </w:r>
      <w:r>
        <w:rPr>
          <w:w w:val="105"/>
          <w:sz w:val="16"/>
        </w:rPr>
        <w:t>known</w:t>
      </w:r>
      <w:r>
        <w:rPr>
          <w:spacing w:val="-6"/>
          <w:w w:val="105"/>
          <w:sz w:val="16"/>
        </w:rPr>
        <w:t> </w:t>
      </w:r>
      <w:r>
        <w:rPr>
          <w:w w:val="105"/>
          <w:sz w:val="16"/>
        </w:rPr>
        <w:t>to</w:t>
      </w:r>
      <w:r>
        <w:rPr>
          <w:spacing w:val="-6"/>
          <w:w w:val="105"/>
          <w:sz w:val="16"/>
        </w:rPr>
        <w:t> </w:t>
      </w:r>
      <w:r>
        <w:rPr>
          <w:w w:val="105"/>
          <w:sz w:val="16"/>
        </w:rPr>
        <w:t>us</w:t>
      </w:r>
      <w:r>
        <w:rPr>
          <w:spacing w:val="-6"/>
          <w:w w:val="105"/>
          <w:sz w:val="16"/>
        </w:rPr>
        <w:t> </w:t>
      </w:r>
      <w:r>
        <w:rPr>
          <w:w w:val="105"/>
          <w:sz w:val="16"/>
        </w:rPr>
        <w:t>by</w:t>
      </w:r>
      <w:r>
        <w:rPr>
          <w:spacing w:val="-6"/>
          <w:w w:val="105"/>
          <w:sz w:val="16"/>
        </w:rPr>
        <w:t> </w:t>
      </w:r>
      <w:r>
        <w:rPr>
          <w:w w:val="105"/>
          <w:sz w:val="16"/>
        </w:rPr>
        <w:t>others</w:t>
      </w:r>
      <w:r>
        <w:rPr>
          <w:spacing w:val="-6"/>
          <w:w w:val="105"/>
          <w:sz w:val="16"/>
        </w:rPr>
        <w:t> </w:t>
      </w:r>
      <w:r>
        <w:rPr>
          <w:w w:val="105"/>
          <w:sz w:val="16"/>
        </w:rPr>
        <w:t>within</w:t>
      </w:r>
      <w:r>
        <w:rPr>
          <w:spacing w:val="-6"/>
          <w:w w:val="105"/>
          <w:sz w:val="16"/>
        </w:rPr>
        <w:t> </w:t>
      </w:r>
      <w:r>
        <w:rPr>
          <w:w w:val="105"/>
          <w:sz w:val="16"/>
        </w:rPr>
        <w:t>those</w:t>
      </w:r>
      <w:r>
        <w:rPr>
          <w:spacing w:val="-6"/>
          <w:w w:val="105"/>
          <w:sz w:val="16"/>
        </w:rPr>
        <w:t> </w:t>
      </w:r>
      <w:r>
        <w:rPr>
          <w:w w:val="105"/>
          <w:sz w:val="16"/>
        </w:rPr>
        <w:t>entities,</w:t>
      </w:r>
      <w:r>
        <w:rPr>
          <w:spacing w:val="-6"/>
          <w:w w:val="105"/>
          <w:sz w:val="16"/>
        </w:rPr>
        <w:t> </w:t>
      </w:r>
      <w:r>
        <w:rPr>
          <w:w w:val="105"/>
          <w:sz w:val="16"/>
        </w:rPr>
        <w:t>particularly</w:t>
      </w:r>
      <w:r>
        <w:rPr>
          <w:spacing w:val="-6"/>
          <w:w w:val="105"/>
          <w:sz w:val="16"/>
        </w:rPr>
        <w:t> </w:t>
      </w:r>
      <w:r>
        <w:rPr>
          <w:w w:val="105"/>
          <w:sz w:val="16"/>
        </w:rPr>
        <w:t>during</w:t>
      </w:r>
      <w:r>
        <w:rPr>
          <w:spacing w:val="-6"/>
          <w:w w:val="105"/>
          <w:sz w:val="16"/>
        </w:rPr>
        <w:t> </w:t>
      </w:r>
      <w:r>
        <w:rPr>
          <w:w w:val="105"/>
          <w:sz w:val="16"/>
        </w:rPr>
        <w:t>the</w:t>
      </w:r>
      <w:r>
        <w:rPr>
          <w:spacing w:val="-6"/>
          <w:w w:val="105"/>
          <w:sz w:val="16"/>
        </w:rPr>
        <w:t> </w:t>
      </w:r>
      <w:r>
        <w:rPr>
          <w:w w:val="105"/>
          <w:sz w:val="16"/>
        </w:rPr>
        <w:t>period</w:t>
      </w:r>
      <w:r>
        <w:rPr>
          <w:spacing w:val="-6"/>
          <w:w w:val="105"/>
          <w:sz w:val="16"/>
        </w:rPr>
        <w:t> </w:t>
      </w:r>
      <w:r>
        <w:rPr>
          <w:w w:val="105"/>
          <w:sz w:val="16"/>
        </w:rPr>
        <w:t>in which this report is being prepared;</w:t>
      </w:r>
    </w:p>
    <w:p>
      <w:pPr>
        <w:pStyle w:val="BodyText"/>
        <w:spacing w:before="18"/>
      </w:pPr>
    </w:p>
    <w:p>
      <w:pPr>
        <w:pStyle w:val="ListParagraph"/>
        <w:numPr>
          <w:ilvl w:val="1"/>
          <w:numId w:val="66"/>
        </w:numPr>
        <w:tabs>
          <w:tab w:pos="768" w:val="left" w:leader="none"/>
        </w:tabs>
        <w:spacing w:line="266" w:lineRule="auto" w:before="0" w:after="0"/>
        <w:ind w:left="768" w:right="297" w:hanging="306"/>
        <w:jc w:val="left"/>
        <w:rPr>
          <w:sz w:val="16"/>
        </w:rPr>
      </w:pPr>
      <w:r>
        <w:rPr>
          <w:w w:val="105"/>
          <w:sz w:val="16"/>
        </w:rPr>
        <w:t>Designed</w:t>
      </w:r>
      <w:r>
        <w:rPr>
          <w:spacing w:val="-4"/>
          <w:w w:val="105"/>
          <w:sz w:val="16"/>
        </w:rPr>
        <w:t> </w:t>
      </w:r>
      <w:r>
        <w:rPr>
          <w:w w:val="105"/>
          <w:sz w:val="16"/>
        </w:rPr>
        <w:t>such</w:t>
      </w:r>
      <w:r>
        <w:rPr>
          <w:spacing w:val="-4"/>
          <w:w w:val="105"/>
          <w:sz w:val="16"/>
        </w:rPr>
        <w:t> </w:t>
      </w:r>
      <w:r>
        <w:rPr>
          <w:w w:val="105"/>
          <w:sz w:val="16"/>
        </w:rPr>
        <w:t>internal</w:t>
      </w:r>
      <w:r>
        <w:rPr>
          <w:spacing w:val="-4"/>
          <w:w w:val="105"/>
          <w:sz w:val="16"/>
        </w:rPr>
        <w:t> </w:t>
      </w:r>
      <w:r>
        <w:rPr>
          <w:w w:val="105"/>
          <w:sz w:val="16"/>
        </w:rPr>
        <w:t>control</w:t>
      </w:r>
      <w:r>
        <w:rPr>
          <w:spacing w:val="-4"/>
          <w:w w:val="105"/>
          <w:sz w:val="16"/>
        </w:rPr>
        <w:t> </w:t>
      </w:r>
      <w:r>
        <w:rPr>
          <w:w w:val="105"/>
          <w:sz w:val="16"/>
        </w:rPr>
        <w:t>over</w:t>
      </w:r>
      <w:r>
        <w:rPr>
          <w:spacing w:val="-4"/>
          <w:w w:val="105"/>
          <w:sz w:val="16"/>
        </w:rPr>
        <w:t> </w:t>
      </w:r>
      <w:r>
        <w:rPr>
          <w:w w:val="105"/>
          <w:sz w:val="16"/>
        </w:rPr>
        <w:t>financial</w:t>
      </w:r>
      <w:r>
        <w:rPr>
          <w:spacing w:val="-4"/>
          <w:w w:val="105"/>
          <w:sz w:val="16"/>
        </w:rPr>
        <w:t> </w:t>
      </w:r>
      <w:r>
        <w:rPr>
          <w:w w:val="105"/>
          <w:sz w:val="16"/>
        </w:rPr>
        <w:t>reporting,</w:t>
      </w:r>
      <w:r>
        <w:rPr>
          <w:spacing w:val="-4"/>
          <w:w w:val="105"/>
          <w:sz w:val="16"/>
        </w:rPr>
        <w:t> </w:t>
      </w:r>
      <w:r>
        <w:rPr>
          <w:w w:val="105"/>
          <w:sz w:val="16"/>
        </w:rPr>
        <w:t>or</w:t>
      </w:r>
      <w:r>
        <w:rPr>
          <w:spacing w:val="-4"/>
          <w:w w:val="105"/>
          <w:sz w:val="16"/>
        </w:rPr>
        <w:t> </w:t>
      </w:r>
      <w:r>
        <w:rPr>
          <w:w w:val="105"/>
          <w:sz w:val="16"/>
        </w:rPr>
        <w:t>caused</w:t>
      </w:r>
      <w:r>
        <w:rPr>
          <w:spacing w:val="-4"/>
          <w:w w:val="105"/>
          <w:sz w:val="16"/>
        </w:rPr>
        <w:t> </w:t>
      </w:r>
      <w:r>
        <w:rPr>
          <w:w w:val="105"/>
          <w:sz w:val="16"/>
        </w:rPr>
        <w:t>such</w:t>
      </w:r>
      <w:r>
        <w:rPr>
          <w:spacing w:val="-4"/>
          <w:w w:val="105"/>
          <w:sz w:val="16"/>
        </w:rPr>
        <w:t> </w:t>
      </w:r>
      <w:r>
        <w:rPr>
          <w:w w:val="105"/>
          <w:sz w:val="16"/>
        </w:rPr>
        <w:t>internal</w:t>
      </w:r>
      <w:r>
        <w:rPr>
          <w:spacing w:val="-2"/>
          <w:w w:val="105"/>
          <w:sz w:val="16"/>
        </w:rPr>
        <w:t> </w:t>
      </w:r>
      <w:r>
        <w:rPr>
          <w:w w:val="105"/>
          <w:sz w:val="16"/>
        </w:rPr>
        <w:t>control</w:t>
      </w:r>
      <w:r>
        <w:rPr>
          <w:spacing w:val="-4"/>
          <w:w w:val="105"/>
          <w:sz w:val="16"/>
        </w:rPr>
        <w:t> </w:t>
      </w:r>
      <w:r>
        <w:rPr>
          <w:w w:val="105"/>
          <w:sz w:val="16"/>
        </w:rPr>
        <w:t>over</w:t>
      </w:r>
      <w:r>
        <w:rPr>
          <w:spacing w:val="-4"/>
          <w:w w:val="105"/>
          <w:sz w:val="16"/>
        </w:rPr>
        <w:t> </w:t>
      </w:r>
      <w:r>
        <w:rPr>
          <w:w w:val="105"/>
          <w:sz w:val="16"/>
        </w:rPr>
        <w:t>financial</w:t>
      </w:r>
      <w:r>
        <w:rPr>
          <w:spacing w:val="-2"/>
          <w:w w:val="105"/>
          <w:sz w:val="16"/>
        </w:rPr>
        <w:t> </w:t>
      </w:r>
      <w:r>
        <w:rPr>
          <w:w w:val="105"/>
          <w:sz w:val="16"/>
        </w:rPr>
        <w:t>reporting</w:t>
      </w:r>
      <w:r>
        <w:rPr>
          <w:spacing w:val="-4"/>
          <w:w w:val="105"/>
          <w:sz w:val="16"/>
        </w:rPr>
        <w:t> </w:t>
      </w:r>
      <w:r>
        <w:rPr>
          <w:w w:val="105"/>
          <w:sz w:val="16"/>
        </w:rPr>
        <w:t>to</w:t>
      </w:r>
      <w:r>
        <w:rPr>
          <w:spacing w:val="-4"/>
          <w:w w:val="105"/>
          <w:sz w:val="16"/>
        </w:rPr>
        <w:t> </w:t>
      </w:r>
      <w:r>
        <w:rPr>
          <w:w w:val="105"/>
          <w:sz w:val="16"/>
        </w:rPr>
        <w:t>be</w:t>
      </w:r>
      <w:r>
        <w:rPr>
          <w:spacing w:val="-4"/>
          <w:w w:val="105"/>
          <w:sz w:val="16"/>
        </w:rPr>
        <w:t> </w:t>
      </w:r>
      <w:r>
        <w:rPr>
          <w:w w:val="105"/>
          <w:sz w:val="16"/>
        </w:rPr>
        <w:t>designed</w:t>
      </w:r>
      <w:r>
        <w:rPr>
          <w:spacing w:val="-4"/>
          <w:w w:val="105"/>
          <w:sz w:val="16"/>
        </w:rPr>
        <w:t> </w:t>
      </w:r>
      <w:r>
        <w:rPr>
          <w:w w:val="105"/>
          <w:sz w:val="16"/>
        </w:rPr>
        <w:t>under</w:t>
      </w:r>
      <w:r>
        <w:rPr>
          <w:spacing w:val="-4"/>
          <w:w w:val="105"/>
          <w:sz w:val="16"/>
        </w:rPr>
        <w:t> </w:t>
      </w:r>
      <w:r>
        <w:rPr>
          <w:w w:val="105"/>
          <w:sz w:val="16"/>
        </w:rPr>
        <w:t>our</w:t>
      </w:r>
      <w:r>
        <w:rPr>
          <w:spacing w:val="-4"/>
          <w:w w:val="105"/>
          <w:sz w:val="16"/>
        </w:rPr>
        <w:t> </w:t>
      </w:r>
      <w:r>
        <w:rPr>
          <w:w w:val="105"/>
          <w:sz w:val="16"/>
        </w:rPr>
        <w:t>supervision,</w:t>
      </w:r>
      <w:r>
        <w:rPr>
          <w:spacing w:val="-4"/>
          <w:w w:val="105"/>
          <w:sz w:val="16"/>
        </w:rPr>
        <w:t> </w:t>
      </w:r>
      <w:r>
        <w:rPr>
          <w:w w:val="105"/>
          <w:sz w:val="16"/>
        </w:rPr>
        <w:t>to</w:t>
      </w:r>
      <w:r>
        <w:rPr>
          <w:spacing w:val="-4"/>
          <w:w w:val="105"/>
          <w:sz w:val="16"/>
        </w:rPr>
        <w:t> </w:t>
      </w:r>
      <w:r>
        <w:rPr>
          <w:w w:val="105"/>
          <w:sz w:val="16"/>
        </w:rPr>
        <w:t>provide reasonable</w:t>
      </w:r>
      <w:r>
        <w:rPr>
          <w:spacing w:val="-9"/>
          <w:w w:val="105"/>
          <w:sz w:val="16"/>
        </w:rPr>
        <w:t> </w:t>
      </w:r>
      <w:r>
        <w:rPr>
          <w:w w:val="105"/>
          <w:sz w:val="16"/>
        </w:rPr>
        <w:t>assurance</w:t>
      </w:r>
      <w:r>
        <w:rPr>
          <w:spacing w:val="-9"/>
          <w:w w:val="105"/>
          <w:sz w:val="16"/>
        </w:rPr>
        <w:t> </w:t>
      </w:r>
      <w:r>
        <w:rPr>
          <w:w w:val="105"/>
          <w:sz w:val="16"/>
        </w:rPr>
        <w:t>regarding</w:t>
      </w:r>
      <w:r>
        <w:rPr>
          <w:spacing w:val="-9"/>
          <w:w w:val="105"/>
          <w:sz w:val="16"/>
        </w:rPr>
        <w:t> </w:t>
      </w:r>
      <w:r>
        <w:rPr>
          <w:w w:val="105"/>
          <w:sz w:val="16"/>
        </w:rPr>
        <w:t>the</w:t>
      </w:r>
      <w:r>
        <w:rPr>
          <w:spacing w:val="-9"/>
          <w:w w:val="105"/>
          <w:sz w:val="16"/>
        </w:rPr>
        <w:t> </w:t>
      </w:r>
      <w:r>
        <w:rPr>
          <w:w w:val="105"/>
          <w:sz w:val="16"/>
        </w:rPr>
        <w:t>reliability</w:t>
      </w:r>
      <w:r>
        <w:rPr>
          <w:spacing w:val="-9"/>
          <w:w w:val="105"/>
          <w:sz w:val="16"/>
        </w:rPr>
        <w:t> </w:t>
      </w:r>
      <w:r>
        <w:rPr>
          <w:w w:val="105"/>
          <w:sz w:val="16"/>
        </w:rPr>
        <w:t>of</w:t>
      </w:r>
      <w:r>
        <w:rPr>
          <w:spacing w:val="-9"/>
          <w:w w:val="105"/>
          <w:sz w:val="16"/>
        </w:rPr>
        <w:t> </w:t>
      </w:r>
      <w:r>
        <w:rPr>
          <w:w w:val="105"/>
          <w:sz w:val="16"/>
        </w:rPr>
        <w:t>financial</w:t>
      </w:r>
      <w:r>
        <w:rPr>
          <w:spacing w:val="-9"/>
          <w:w w:val="105"/>
          <w:sz w:val="16"/>
        </w:rPr>
        <w:t> </w:t>
      </w:r>
      <w:r>
        <w:rPr>
          <w:w w:val="105"/>
          <w:sz w:val="16"/>
        </w:rPr>
        <w:t>reporting</w:t>
      </w:r>
      <w:r>
        <w:rPr>
          <w:spacing w:val="-9"/>
          <w:w w:val="105"/>
          <w:sz w:val="16"/>
        </w:rPr>
        <w:t> </w:t>
      </w:r>
      <w:r>
        <w:rPr>
          <w:w w:val="105"/>
          <w:sz w:val="16"/>
        </w:rPr>
        <w:t>and</w:t>
      </w:r>
      <w:r>
        <w:rPr>
          <w:spacing w:val="-9"/>
          <w:w w:val="105"/>
          <w:sz w:val="16"/>
        </w:rPr>
        <w:t> </w:t>
      </w:r>
      <w:r>
        <w:rPr>
          <w:w w:val="105"/>
          <w:sz w:val="16"/>
        </w:rPr>
        <w:t>the</w:t>
      </w:r>
      <w:r>
        <w:rPr>
          <w:spacing w:val="-9"/>
          <w:w w:val="105"/>
          <w:sz w:val="16"/>
        </w:rPr>
        <w:t> </w:t>
      </w:r>
      <w:r>
        <w:rPr>
          <w:w w:val="105"/>
          <w:sz w:val="16"/>
        </w:rPr>
        <w:t>preparation</w:t>
      </w:r>
      <w:r>
        <w:rPr>
          <w:spacing w:val="-9"/>
          <w:w w:val="105"/>
          <w:sz w:val="16"/>
        </w:rPr>
        <w:t> </w:t>
      </w:r>
      <w:r>
        <w:rPr>
          <w:w w:val="105"/>
          <w:sz w:val="16"/>
        </w:rPr>
        <w:t>of</w:t>
      </w:r>
      <w:r>
        <w:rPr>
          <w:spacing w:val="-9"/>
          <w:w w:val="105"/>
          <w:sz w:val="16"/>
        </w:rPr>
        <w:t> </w:t>
      </w:r>
      <w:r>
        <w:rPr>
          <w:w w:val="105"/>
          <w:sz w:val="16"/>
        </w:rPr>
        <w:t>financial</w:t>
      </w:r>
      <w:r>
        <w:rPr>
          <w:spacing w:val="-9"/>
          <w:w w:val="105"/>
          <w:sz w:val="16"/>
        </w:rPr>
        <w:t> </w:t>
      </w:r>
      <w:r>
        <w:rPr>
          <w:w w:val="105"/>
          <w:sz w:val="16"/>
        </w:rPr>
        <w:t>statements</w:t>
      </w:r>
      <w:r>
        <w:rPr>
          <w:spacing w:val="-9"/>
          <w:w w:val="105"/>
          <w:sz w:val="16"/>
        </w:rPr>
        <w:t> </w:t>
      </w:r>
      <w:r>
        <w:rPr>
          <w:w w:val="105"/>
          <w:sz w:val="16"/>
        </w:rPr>
        <w:t>for</w:t>
      </w:r>
      <w:r>
        <w:rPr>
          <w:spacing w:val="-9"/>
          <w:w w:val="105"/>
          <w:sz w:val="16"/>
        </w:rPr>
        <w:t> </w:t>
      </w:r>
      <w:r>
        <w:rPr>
          <w:w w:val="105"/>
          <w:sz w:val="16"/>
        </w:rPr>
        <w:t>external</w:t>
      </w:r>
      <w:r>
        <w:rPr>
          <w:spacing w:val="-9"/>
          <w:w w:val="105"/>
          <w:sz w:val="16"/>
        </w:rPr>
        <w:t> </w:t>
      </w:r>
      <w:r>
        <w:rPr>
          <w:w w:val="105"/>
          <w:sz w:val="16"/>
        </w:rPr>
        <w:t>purposes</w:t>
      </w:r>
      <w:r>
        <w:rPr>
          <w:spacing w:val="-9"/>
          <w:w w:val="105"/>
          <w:sz w:val="16"/>
        </w:rPr>
        <w:t> </w:t>
      </w:r>
      <w:r>
        <w:rPr>
          <w:w w:val="105"/>
          <w:sz w:val="16"/>
        </w:rPr>
        <w:t>in</w:t>
      </w:r>
      <w:r>
        <w:rPr>
          <w:spacing w:val="-9"/>
          <w:w w:val="105"/>
          <w:sz w:val="16"/>
        </w:rPr>
        <w:t> </w:t>
      </w:r>
      <w:r>
        <w:rPr>
          <w:w w:val="105"/>
          <w:sz w:val="16"/>
        </w:rPr>
        <w:t>accordance</w:t>
      </w:r>
      <w:r>
        <w:rPr>
          <w:spacing w:val="-9"/>
          <w:w w:val="105"/>
          <w:sz w:val="16"/>
        </w:rPr>
        <w:t> </w:t>
      </w:r>
      <w:r>
        <w:rPr>
          <w:w w:val="105"/>
          <w:sz w:val="16"/>
        </w:rPr>
        <w:t>with</w:t>
      </w:r>
      <w:r>
        <w:rPr>
          <w:spacing w:val="-9"/>
          <w:w w:val="105"/>
          <w:sz w:val="16"/>
        </w:rPr>
        <w:t> </w:t>
      </w:r>
      <w:r>
        <w:rPr>
          <w:w w:val="105"/>
          <w:sz w:val="16"/>
        </w:rPr>
        <w:t>generally accepted accounting principles;</w:t>
      </w:r>
    </w:p>
    <w:p>
      <w:pPr>
        <w:pStyle w:val="BodyText"/>
        <w:spacing w:before="19"/>
      </w:pPr>
    </w:p>
    <w:p>
      <w:pPr>
        <w:pStyle w:val="ListParagraph"/>
        <w:numPr>
          <w:ilvl w:val="1"/>
          <w:numId w:val="66"/>
        </w:numPr>
        <w:tabs>
          <w:tab w:pos="766" w:val="left" w:leader="none"/>
          <w:tab w:pos="768" w:val="left" w:leader="none"/>
        </w:tabs>
        <w:spacing w:line="266" w:lineRule="auto" w:before="0" w:after="0"/>
        <w:ind w:left="768" w:right="731" w:hanging="306"/>
        <w:jc w:val="left"/>
        <w:rPr>
          <w:sz w:val="16"/>
        </w:rPr>
      </w:pPr>
      <w:r>
        <w:rPr>
          <w:w w:val="105"/>
          <w:sz w:val="16"/>
        </w:rPr>
        <w:t>Evaluated</w:t>
      </w:r>
      <w:r>
        <w:rPr>
          <w:spacing w:val="-9"/>
          <w:w w:val="105"/>
          <w:sz w:val="16"/>
        </w:rPr>
        <w:t> </w:t>
      </w:r>
      <w:r>
        <w:rPr>
          <w:w w:val="105"/>
          <w:sz w:val="16"/>
        </w:rPr>
        <w:t>the</w:t>
      </w:r>
      <w:r>
        <w:rPr>
          <w:spacing w:val="-9"/>
          <w:w w:val="105"/>
          <w:sz w:val="16"/>
        </w:rPr>
        <w:t> </w:t>
      </w:r>
      <w:r>
        <w:rPr>
          <w:w w:val="105"/>
          <w:sz w:val="16"/>
        </w:rPr>
        <w:t>effectiveness</w:t>
      </w:r>
      <w:r>
        <w:rPr>
          <w:spacing w:val="-9"/>
          <w:w w:val="105"/>
          <w:sz w:val="16"/>
        </w:rPr>
        <w:t> </w:t>
      </w:r>
      <w:r>
        <w:rPr>
          <w:w w:val="105"/>
          <w:sz w:val="16"/>
        </w:rPr>
        <w:t>of</w:t>
      </w:r>
      <w:r>
        <w:rPr>
          <w:spacing w:val="-9"/>
          <w:w w:val="105"/>
          <w:sz w:val="16"/>
        </w:rPr>
        <w:t> </w:t>
      </w:r>
      <w:r>
        <w:rPr>
          <w:w w:val="105"/>
          <w:sz w:val="16"/>
        </w:rPr>
        <w:t>the</w:t>
      </w:r>
      <w:r>
        <w:rPr>
          <w:spacing w:val="-9"/>
          <w:w w:val="105"/>
          <w:sz w:val="16"/>
        </w:rPr>
        <w:t> </w:t>
      </w:r>
      <w:r>
        <w:rPr>
          <w:w w:val="105"/>
          <w:sz w:val="16"/>
        </w:rPr>
        <w:t>registrant’s</w:t>
      </w:r>
      <w:r>
        <w:rPr>
          <w:spacing w:val="-9"/>
          <w:w w:val="105"/>
          <w:sz w:val="16"/>
        </w:rPr>
        <w:t> </w:t>
      </w:r>
      <w:r>
        <w:rPr>
          <w:w w:val="105"/>
          <w:sz w:val="16"/>
        </w:rPr>
        <w:t>disclosure</w:t>
      </w:r>
      <w:r>
        <w:rPr>
          <w:spacing w:val="-9"/>
          <w:w w:val="105"/>
          <w:sz w:val="16"/>
        </w:rPr>
        <w:t> </w:t>
      </w:r>
      <w:r>
        <w:rPr>
          <w:w w:val="105"/>
          <w:sz w:val="16"/>
        </w:rPr>
        <w:t>controls</w:t>
      </w:r>
      <w:r>
        <w:rPr>
          <w:spacing w:val="-9"/>
          <w:w w:val="105"/>
          <w:sz w:val="16"/>
        </w:rPr>
        <w:t> </w:t>
      </w:r>
      <w:r>
        <w:rPr>
          <w:w w:val="105"/>
          <w:sz w:val="16"/>
        </w:rPr>
        <w:t>and</w:t>
      </w:r>
      <w:r>
        <w:rPr>
          <w:spacing w:val="-9"/>
          <w:w w:val="105"/>
          <w:sz w:val="16"/>
        </w:rPr>
        <w:t> </w:t>
      </w:r>
      <w:r>
        <w:rPr>
          <w:w w:val="105"/>
          <w:sz w:val="16"/>
        </w:rPr>
        <w:t>procedures</w:t>
      </w:r>
      <w:r>
        <w:rPr>
          <w:spacing w:val="-9"/>
          <w:w w:val="105"/>
          <w:sz w:val="16"/>
        </w:rPr>
        <w:t> </w:t>
      </w:r>
      <w:r>
        <w:rPr>
          <w:w w:val="105"/>
          <w:sz w:val="16"/>
        </w:rPr>
        <w:t>and</w:t>
      </w:r>
      <w:r>
        <w:rPr>
          <w:spacing w:val="-9"/>
          <w:w w:val="105"/>
          <w:sz w:val="16"/>
        </w:rPr>
        <w:t> </w:t>
      </w:r>
      <w:r>
        <w:rPr>
          <w:w w:val="105"/>
          <w:sz w:val="16"/>
        </w:rPr>
        <w:t>presented</w:t>
      </w:r>
      <w:r>
        <w:rPr>
          <w:spacing w:val="-9"/>
          <w:w w:val="105"/>
          <w:sz w:val="16"/>
        </w:rPr>
        <w:t> </w:t>
      </w:r>
      <w:r>
        <w:rPr>
          <w:w w:val="105"/>
          <w:sz w:val="16"/>
        </w:rPr>
        <w:t>in</w:t>
      </w:r>
      <w:r>
        <w:rPr>
          <w:spacing w:val="-9"/>
          <w:w w:val="105"/>
          <w:sz w:val="16"/>
        </w:rPr>
        <w:t> </w:t>
      </w:r>
      <w:r>
        <w:rPr>
          <w:w w:val="105"/>
          <w:sz w:val="16"/>
        </w:rPr>
        <w:t>this</w:t>
      </w:r>
      <w:r>
        <w:rPr>
          <w:spacing w:val="-7"/>
          <w:w w:val="105"/>
          <w:sz w:val="16"/>
        </w:rPr>
        <w:t> </w:t>
      </w:r>
      <w:r>
        <w:rPr>
          <w:w w:val="105"/>
          <w:sz w:val="16"/>
        </w:rPr>
        <w:t>report</w:t>
      </w:r>
      <w:r>
        <w:rPr>
          <w:spacing w:val="-9"/>
          <w:w w:val="105"/>
          <w:sz w:val="16"/>
        </w:rPr>
        <w:t> </w:t>
      </w:r>
      <w:r>
        <w:rPr>
          <w:w w:val="105"/>
          <w:sz w:val="16"/>
        </w:rPr>
        <w:t>our</w:t>
      </w:r>
      <w:r>
        <w:rPr>
          <w:spacing w:val="-9"/>
          <w:w w:val="105"/>
          <w:sz w:val="16"/>
        </w:rPr>
        <w:t> </w:t>
      </w:r>
      <w:r>
        <w:rPr>
          <w:w w:val="105"/>
          <w:sz w:val="16"/>
        </w:rPr>
        <w:t>conclusions</w:t>
      </w:r>
      <w:r>
        <w:rPr>
          <w:spacing w:val="-9"/>
          <w:w w:val="105"/>
          <w:sz w:val="16"/>
        </w:rPr>
        <w:t> </w:t>
      </w:r>
      <w:r>
        <w:rPr>
          <w:w w:val="105"/>
          <w:sz w:val="16"/>
        </w:rPr>
        <w:t>about</w:t>
      </w:r>
      <w:r>
        <w:rPr>
          <w:spacing w:val="-9"/>
          <w:w w:val="105"/>
          <w:sz w:val="16"/>
        </w:rPr>
        <w:t> </w:t>
      </w:r>
      <w:r>
        <w:rPr>
          <w:w w:val="105"/>
          <w:sz w:val="16"/>
        </w:rPr>
        <w:t>the</w:t>
      </w:r>
      <w:r>
        <w:rPr>
          <w:spacing w:val="-7"/>
          <w:w w:val="105"/>
          <w:sz w:val="16"/>
        </w:rPr>
        <w:t> </w:t>
      </w:r>
      <w:r>
        <w:rPr>
          <w:w w:val="105"/>
          <w:sz w:val="16"/>
        </w:rPr>
        <w:t>effectiveness</w:t>
      </w:r>
      <w:r>
        <w:rPr>
          <w:spacing w:val="-9"/>
          <w:w w:val="105"/>
          <w:sz w:val="16"/>
        </w:rPr>
        <w:t> </w:t>
      </w:r>
      <w:r>
        <w:rPr>
          <w:w w:val="105"/>
          <w:sz w:val="16"/>
        </w:rPr>
        <w:t>of</w:t>
      </w:r>
      <w:r>
        <w:rPr>
          <w:spacing w:val="-9"/>
          <w:w w:val="105"/>
          <w:sz w:val="16"/>
        </w:rPr>
        <w:t> </w:t>
      </w:r>
      <w:r>
        <w:rPr>
          <w:w w:val="105"/>
          <w:sz w:val="16"/>
        </w:rPr>
        <w:t>the disclosure controls and procedures, as of the end of the period covered by this report based on such evaluation; and</w:t>
      </w:r>
    </w:p>
    <w:p>
      <w:pPr>
        <w:pStyle w:val="BodyText"/>
        <w:spacing w:before="19"/>
      </w:pPr>
    </w:p>
    <w:p>
      <w:pPr>
        <w:pStyle w:val="ListParagraph"/>
        <w:numPr>
          <w:ilvl w:val="1"/>
          <w:numId w:val="66"/>
        </w:numPr>
        <w:tabs>
          <w:tab w:pos="768" w:val="left" w:leader="none"/>
        </w:tabs>
        <w:spacing w:line="266" w:lineRule="auto" w:before="0" w:after="0"/>
        <w:ind w:left="768" w:right="369" w:hanging="306"/>
        <w:jc w:val="left"/>
        <w:rPr>
          <w:sz w:val="16"/>
        </w:rPr>
      </w:pPr>
      <w:r>
        <w:rPr>
          <w:w w:val="105"/>
          <w:sz w:val="16"/>
        </w:rPr>
        <w:t>Disclosed</w:t>
      </w:r>
      <w:r>
        <w:rPr>
          <w:spacing w:val="-8"/>
          <w:w w:val="105"/>
          <w:sz w:val="16"/>
        </w:rPr>
        <w:t> </w:t>
      </w:r>
      <w:r>
        <w:rPr>
          <w:w w:val="105"/>
          <w:sz w:val="16"/>
        </w:rPr>
        <w:t>in</w:t>
      </w:r>
      <w:r>
        <w:rPr>
          <w:spacing w:val="-8"/>
          <w:w w:val="105"/>
          <w:sz w:val="16"/>
        </w:rPr>
        <w:t> </w:t>
      </w:r>
      <w:r>
        <w:rPr>
          <w:w w:val="105"/>
          <w:sz w:val="16"/>
        </w:rPr>
        <w:t>this</w:t>
      </w:r>
      <w:r>
        <w:rPr>
          <w:spacing w:val="-8"/>
          <w:w w:val="105"/>
          <w:sz w:val="16"/>
        </w:rPr>
        <w:t> </w:t>
      </w:r>
      <w:r>
        <w:rPr>
          <w:w w:val="105"/>
          <w:sz w:val="16"/>
        </w:rPr>
        <w:t>report</w:t>
      </w:r>
      <w:r>
        <w:rPr>
          <w:spacing w:val="-8"/>
          <w:w w:val="105"/>
          <w:sz w:val="16"/>
        </w:rPr>
        <w:t> </w:t>
      </w:r>
      <w:r>
        <w:rPr>
          <w:w w:val="105"/>
          <w:sz w:val="16"/>
        </w:rPr>
        <w:t>any</w:t>
      </w:r>
      <w:r>
        <w:rPr>
          <w:spacing w:val="-8"/>
          <w:w w:val="105"/>
          <w:sz w:val="16"/>
        </w:rPr>
        <w:t> </w:t>
      </w:r>
      <w:r>
        <w:rPr>
          <w:w w:val="105"/>
          <w:sz w:val="16"/>
        </w:rPr>
        <w:t>change</w:t>
      </w:r>
      <w:r>
        <w:rPr>
          <w:spacing w:val="-8"/>
          <w:w w:val="105"/>
          <w:sz w:val="16"/>
        </w:rPr>
        <w:t> </w:t>
      </w:r>
      <w:r>
        <w:rPr>
          <w:w w:val="105"/>
          <w:sz w:val="16"/>
        </w:rPr>
        <w:t>in</w:t>
      </w:r>
      <w:r>
        <w:rPr>
          <w:spacing w:val="-8"/>
          <w:w w:val="105"/>
          <w:sz w:val="16"/>
        </w:rPr>
        <w:t> </w:t>
      </w:r>
      <w:r>
        <w:rPr>
          <w:w w:val="105"/>
          <w:sz w:val="16"/>
        </w:rPr>
        <w:t>the</w:t>
      </w:r>
      <w:r>
        <w:rPr>
          <w:spacing w:val="-8"/>
          <w:w w:val="105"/>
          <w:sz w:val="16"/>
        </w:rPr>
        <w:t> </w:t>
      </w:r>
      <w:r>
        <w:rPr>
          <w:w w:val="105"/>
          <w:sz w:val="16"/>
        </w:rPr>
        <w:t>registrant’s</w:t>
      </w:r>
      <w:r>
        <w:rPr>
          <w:spacing w:val="-7"/>
          <w:w w:val="105"/>
          <w:sz w:val="16"/>
        </w:rPr>
        <w:t> </w:t>
      </w:r>
      <w:r>
        <w:rPr>
          <w:w w:val="105"/>
          <w:sz w:val="16"/>
        </w:rPr>
        <w:t>internal</w:t>
      </w:r>
      <w:r>
        <w:rPr>
          <w:spacing w:val="-8"/>
          <w:w w:val="105"/>
          <w:sz w:val="16"/>
        </w:rPr>
        <w:t> </w:t>
      </w:r>
      <w:r>
        <w:rPr>
          <w:w w:val="105"/>
          <w:sz w:val="16"/>
        </w:rPr>
        <w:t>control</w:t>
      </w:r>
      <w:r>
        <w:rPr>
          <w:spacing w:val="-8"/>
          <w:w w:val="105"/>
          <w:sz w:val="16"/>
        </w:rPr>
        <w:t> </w:t>
      </w:r>
      <w:r>
        <w:rPr>
          <w:w w:val="105"/>
          <w:sz w:val="16"/>
        </w:rPr>
        <w:t>over</w:t>
      </w:r>
      <w:r>
        <w:rPr>
          <w:spacing w:val="-8"/>
          <w:w w:val="105"/>
          <w:sz w:val="16"/>
        </w:rPr>
        <w:t> </w:t>
      </w:r>
      <w:r>
        <w:rPr>
          <w:w w:val="105"/>
          <w:sz w:val="16"/>
        </w:rPr>
        <w:t>financial</w:t>
      </w:r>
      <w:r>
        <w:rPr>
          <w:spacing w:val="-8"/>
          <w:w w:val="105"/>
          <w:sz w:val="16"/>
        </w:rPr>
        <w:t> </w:t>
      </w:r>
      <w:r>
        <w:rPr>
          <w:w w:val="105"/>
          <w:sz w:val="16"/>
        </w:rPr>
        <w:t>reporting</w:t>
      </w:r>
      <w:r>
        <w:rPr>
          <w:spacing w:val="-8"/>
          <w:w w:val="105"/>
          <w:sz w:val="16"/>
        </w:rPr>
        <w:t> </w:t>
      </w:r>
      <w:r>
        <w:rPr>
          <w:w w:val="105"/>
          <w:sz w:val="16"/>
        </w:rPr>
        <w:t>that</w:t>
      </w:r>
      <w:r>
        <w:rPr>
          <w:spacing w:val="-8"/>
          <w:w w:val="105"/>
          <w:sz w:val="16"/>
        </w:rPr>
        <w:t> </w:t>
      </w:r>
      <w:r>
        <w:rPr>
          <w:w w:val="105"/>
          <w:sz w:val="16"/>
        </w:rPr>
        <w:t>occurred</w:t>
      </w:r>
      <w:r>
        <w:rPr>
          <w:spacing w:val="-8"/>
          <w:w w:val="105"/>
          <w:sz w:val="16"/>
        </w:rPr>
        <w:t> </w:t>
      </w:r>
      <w:r>
        <w:rPr>
          <w:w w:val="105"/>
          <w:sz w:val="16"/>
        </w:rPr>
        <w:t>during</w:t>
      </w:r>
      <w:r>
        <w:rPr>
          <w:spacing w:val="-8"/>
          <w:w w:val="105"/>
          <w:sz w:val="16"/>
        </w:rPr>
        <w:t> </w:t>
      </w:r>
      <w:r>
        <w:rPr>
          <w:w w:val="105"/>
          <w:sz w:val="16"/>
        </w:rPr>
        <w:t>the</w:t>
      </w:r>
      <w:r>
        <w:rPr>
          <w:spacing w:val="-8"/>
          <w:w w:val="105"/>
          <w:sz w:val="16"/>
        </w:rPr>
        <w:t> </w:t>
      </w:r>
      <w:r>
        <w:rPr>
          <w:w w:val="105"/>
          <w:sz w:val="16"/>
        </w:rPr>
        <w:t>registrant’s</w:t>
      </w:r>
      <w:r>
        <w:rPr>
          <w:spacing w:val="-8"/>
          <w:w w:val="105"/>
          <w:sz w:val="16"/>
        </w:rPr>
        <w:t> </w:t>
      </w:r>
      <w:r>
        <w:rPr>
          <w:w w:val="105"/>
          <w:sz w:val="16"/>
        </w:rPr>
        <w:t>most</w:t>
      </w:r>
      <w:r>
        <w:rPr>
          <w:spacing w:val="-8"/>
          <w:w w:val="105"/>
          <w:sz w:val="16"/>
        </w:rPr>
        <w:t> </w:t>
      </w:r>
      <w:r>
        <w:rPr>
          <w:w w:val="105"/>
          <w:sz w:val="16"/>
        </w:rPr>
        <w:t>recent</w:t>
      </w:r>
      <w:r>
        <w:rPr>
          <w:spacing w:val="-8"/>
          <w:w w:val="105"/>
          <w:sz w:val="16"/>
        </w:rPr>
        <w:t> </w:t>
      </w:r>
      <w:r>
        <w:rPr>
          <w:w w:val="105"/>
          <w:sz w:val="16"/>
        </w:rPr>
        <w:t>fiscal</w:t>
      </w:r>
      <w:r>
        <w:rPr>
          <w:spacing w:val="-8"/>
          <w:w w:val="105"/>
          <w:sz w:val="16"/>
        </w:rPr>
        <w:t> </w:t>
      </w:r>
      <w:r>
        <w:rPr>
          <w:w w:val="105"/>
          <w:sz w:val="16"/>
        </w:rPr>
        <w:t>quarter</w:t>
      </w:r>
      <w:r>
        <w:rPr>
          <w:spacing w:val="-8"/>
          <w:w w:val="105"/>
          <w:sz w:val="16"/>
        </w:rPr>
        <w:t> </w:t>
      </w:r>
      <w:r>
        <w:rPr>
          <w:w w:val="105"/>
          <w:sz w:val="16"/>
        </w:rPr>
        <w:t>(the registrant’s</w:t>
      </w:r>
      <w:r>
        <w:rPr>
          <w:spacing w:val="-3"/>
          <w:w w:val="105"/>
          <w:sz w:val="16"/>
        </w:rPr>
        <w:t> </w:t>
      </w:r>
      <w:r>
        <w:rPr>
          <w:w w:val="105"/>
          <w:sz w:val="16"/>
        </w:rPr>
        <w:t>fourth</w:t>
      </w:r>
      <w:r>
        <w:rPr>
          <w:spacing w:val="-3"/>
          <w:w w:val="105"/>
          <w:sz w:val="16"/>
        </w:rPr>
        <w:t> </w:t>
      </w:r>
      <w:r>
        <w:rPr>
          <w:w w:val="105"/>
          <w:sz w:val="16"/>
        </w:rPr>
        <w:t>fiscal</w:t>
      </w:r>
      <w:r>
        <w:rPr>
          <w:spacing w:val="-3"/>
          <w:w w:val="105"/>
          <w:sz w:val="16"/>
        </w:rPr>
        <w:t> </w:t>
      </w:r>
      <w:r>
        <w:rPr>
          <w:w w:val="105"/>
          <w:sz w:val="16"/>
        </w:rPr>
        <w:t>quarter</w:t>
      </w:r>
      <w:r>
        <w:rPr>
          <w:spacing w:val="-3"/>
          <w:w w:val="105"/>
          <w:sz w:val="16"/>
        </w:rPr>
        <w:t> </w:t>
      </w:r>
      <w:r>
        <w:rPr>
          <w:w w:val="105"/>
          <w:sz w:val="16"/>
        </w:rPr>
        <w:t>in</w:t>
      </w:r>
      <w:r>
        <w:rPr>
          <w:spacing w:val="-3"/>
          <w:w w:val="105"/>
          <w:sz w:val="16"/>
        </w:rPr>
        <w:t> </w:t>
      </w:r>
      <w:r>
        <w:rPr>
          <w:w w:val="105"/>
          <w:sz w:val="16"/>
        </w:rPr>
        <w:t>the</w:t>
      </w:r>
      <w:r>
        <w:rPr>
          <w:spacing w:val="-3"/>
          <w:w w:val="105"/>
          <w:sz w:val="16"/>
        </w:rPr>
        <w:t> </w:t>
      </w:r>
      <w:r>
        <w:rPr>
          <w:w w:val="105"/>
          <w:sz w:val="16"/>
        </w:rPr>
        <w:t>case</w:t>
      </w:r>
      <w:r>
        <w:rPr>
          <w:spacing w:val="-3"/>
          <w:w w:val="105"/>
          <w:sz w:val="16"/>
        </w:rPr>
        <w:t> </w:t>
      </w:r>
      <w:r>
        <w:rPr>
          <w:w w:val="105"/>
          <w:sz w:val="16"/>
        </w:rPr>
        <w:t>of</w:t>
      </w:r>
      <w:r>
        <w:rPr>
          <w:spacing w:val="-3"/>
          <w:w w:val="105"/>
          <w:sz w:val="16"/>
        </w:rPr>
        <w:t> </w:t>
      </w:r>
      <w:r>
        <w:rPr>
          <w:w w:val="105"/>
          <w:sz w:val="16"/>
        </w:rPr>
        <w:t>an</w:t>
      </w:r>
      <w:r>
        <w:rPr>
          <w:spacing w:val="-3"/>
          <w:w w:val="105"/>
          <w:sz w:val="16"/>
        </w:rPr>
        <w:t> </w:t>
      </w:r>
      <w:r>
        <w:rPr>
          <w:w w:val="105"/>
          <w:sz w:val="16"/>
        </w:rPr>
        <w:t>annual</w:t>
      </w:r>
      <w:r>
        <w:rPr>
          <w:spacing w:val="-3"/>
          <w:w w:val="105"/>
          <w:sz w:val="16"/>
        </w:rPr>
        <w:t> </w:t>
      </w:r>
      <w:r>
        <w:rPr>
          <w:w w:val="105"/>
          <w:sz w:val="16"/>
        </w:rPr>
        <w:t>report)</w:t>
      </w:r>
      <w:r>
        <w:rPr>
          <w:spacing w:val="-3"/>
          <w:w w:val="105"/>
          <w:sz w:val="16"/>
        </w:rPr>
        <w:t> </w:t>
      </w:r>
      <w:r>
        <w:rPr>
          <w:w w:val="105"/>
          <w:sz w:val="16"/>
        </w:rPr>
        <w:t>that</w:t>
      </w:r>
      <w:r>
        <w:rPr>
          <w:spacing w:val="-3"/>
          <w:w w:val="105"/>
          <w:sz w:val="16"/>
        </w:rPr>
        <w:t> </w:t>
      </w:r>
      <w:r>
        <w:rPr>
          <w:w w:val="105"/>
          <w:sz w:val="16"/>
        </w:rPr>
        <w:t>has</w:t>
      </w:r>
      <w:r>
        <w:rPr>
          <w:spacing w:val="-3"/>
          <w:w w:val="105"/>
          <w:sz w:val="16"/>
        </w:rPr>
        <w:t> </w:t>
      </w:r>
      <w:r>
        <w:rPr>
          <w:w w:val="105"/>
          <w:sz w:val="16"/>
        </w:rPr>
        <w:t>materially</w:t>
      </w:r>
      <w:r>
        <w:rPr>
          <w:spacing w:val="-3"/>
          <w:w w:val="105"/>
          <w:sz w:val="16"/>
        </w:rPr>
        <w:t> </w:t>
      </w:r>
      <w:r>
        <w:rPr>
          <w:w w:val="105"/>
          <w:sz w:val="16"/>
        </w:rPr>
        <w:t>affected,</w:t>
      </w:r>
      <w:r>
        <w:rPr>
          <w:spacing w:val="-3"/>
          <w:w w:val="105"/>
          <w:sz w:val="16"/>
        </w:rPr>
        <w:t> </w:t>
      </w:r>
      <w:r>
        <w:rPr>
          <w:w w:val="105"/>
          <w:sz w:val="16"/>
        </w:rPr>
        <w:t>or</w:t>
      </w:r>
      <w:r>
        <w:rPr>
          <w:spacing w:val="-3"/>
          <w:w w:val="105"/>
          <w:sz w:val="16"/>
        </w:rPr>
        <w:t> </w:t>
      </w:r>
      <w:r>
        <w:rPr>
          <w:w w:val="105"/>
          <w:sz w:val="16"/>
        </w:rPr>
        <w:t>is</w:t>
      </w:r>
      <w:r>
        <w:rPr>
          <w:spacing w:val="-3"/>
          <w:w w:val="105"/>
          <w:sz w:val="16"/>
        </w:rPr>
        <w:t> </w:t>
      </w:r>
      <w:r>
        <w:rPr>
          <w:w w:val="105"/>
          <w:sz w:val="16"/>
        </w:rPr>
        <w:t>reasonably</w:t>
      </w:r>
      <w:r>
        <w:rPr>
          <w:spacing w:val="-3"/>
          <w:w w:val="105"/>
          <w:sz w:val="16"/>
        </w:rPr>
        <w:t> </w:t>
      </w:r>
      <w:r>
        <w:rPr>
          <w:w w:val="105"/>
          <w:sz w:val="16"/>
        </w:rPr>
        <w:t>likely</w:t>
      </w:r>
      <w:r>
        <w:rPr>
          <w:spacing w:val="-3"/>
          <w:w w:val="105"/>
          <w:sz w:val="16"/>
        </w:rPr>
        <w:t> </w:t>
      </w:r>
      <w:r>
        <w:rPr>
          <w:w w:val="105"/>
          <w:sz w:val="16"/>
        </w:rPr>
        <w:t>to</w:t>
      </w:r>
      <w:r>
        <w:rPr>
          <w:spacing w:val="-3"/>
          <w:w w:val="105"/>
          <w:sz w:val="16"/>
        </w:rPr>
        <w:t> </w:t>
      </w:r>
      <w:r>
        <w:rPr>
          <w:w w:val="105"/>
          <w:sz w:val="16"/>
        </w:rPr>
        <w:t>materially</w:t>
      </w:r>
      <w:r>
        <w:rPr>
          <w:spacing w:val="-3"/>
          <w:w w:val="105"/>
          <w:sz w:val="16"/>
        </w:rPr>
        <w:t> </w:t>
      </w:r>
      <w:r>
        <w:rPr>
          <w:w w:val="105"/>
          <w:sz w:val="16"/>
        </w:rPr>
        <w:t>affect,</w:t>
      </w:r>
      <w:r>
        <w:rPr>
          <w:spacing w:val="-3"/>
          <w:w w:val="105"/>
          <w:sz w:val="16"/>
        </w:rPr>
        <w:t> </w:t>
      </w:r>
      <w:r>
        <w:rPr>
          <w:w w:val="105"/>
          <w:sz w:val="16"/>
        </w:rPr>
        <w:t>the</w:t>
      </w:r>
      <w:r>
        <w:rPr>
          <w:spacing w:val="-3"/>
          <w:w w:val="105"/>
          <w:sz w:val="16"/>
        </w:rPr>
        <w:t> </w:t>
      </w:r>
      <w:r>
        <w:rPr>
          <w:w w:val="105"/>
          <w:sz w:val="16"/>
        </w:rPr>
        <w:t>registrant’s</w:t>
      </w:r>
      <w:r>
        <w:rPr>
          <w:spacing w:val="-3"/>
          <w:w w:val="105"/>
          <w:sz w:val="16"/>
        </w:rPr>
        <w:t> </w:t>
      </w:r>
      <w:r>
        <w:rPr>
          <w:w w:val="105"/>
          <w:sz w:val="16"/>
        </w:rPr>
        <w:t>internal control over financial reporting; and</w:t>
      </w:r>
    </w:p>
    <w:p>
      <w:pPr>
        <w:pStyle w:val="BodyText"/>
        <w:spacing w:before="18"/>
      </w:pPr>
    </w:p>
    <w:p>
      <w:pPr>
        <w:pStyle w:val="ListParagraph"/>
        <w:numPr>
          <w:ilvl w:val="0"/>
          <w:numId w:val="66"/>
        </w:numPr>
        <w:tabs>
          <w:tab w:pos="462" w:val="left" w:leader="none"/>
        </w:tabs>
        <w:spacing w:line="266" w:lineRule="auto" w:before="0" w:after="0"/>
        <w:ind w:left="462" w:right="192" w:hanging="306"/>
        <w:jc w:val="left"/>
        <w:rPr>
          <w:sz w:val="16"/>
        </w:rPr>
      </w:pPr>
      <w:r>
        <w:rPr>
          <w:w w:val="105"/>
          <w:sz w:val="16"/>
        </w:rPr>
        <w:t>The</w:t>
      </w:r>
      <w:r>
        <w:rPr>
          <w:spacing w:val="-8"/>
          <w:w w:val="105"/>
          <w:sz w:val="16"/>
        </w:rPr>
        <w:t> </w:t>
      </w:r>
      <w:r>
        <w:rPr>
          <w:w w:val="105"/>
          <w:sz w:val="16"/>
        </w:rPr>
        <w:t>registrant’s</w:t>
      </w:r>
      <w:r>
        <w:rPr>
          <w:spacing w:val="-8"/>
          <w:w w:val="105"/>
          <w:sz w:val="16"/>
        </w:rPr>
        <w:t> </w:t>
      </w:r>
      <w:r>
        <w:rPr>
          <w:w w:val="105"/>
          <w:sz w:val="16"/>
        </w:rPr>
        <w:t>other</w:t>
      </w:r>
      <w:r>
        <w:rPr>
          <w:spacing w:val="-7"/>
          <w:w w:val="105"/>
          <w:sz w:val="16"/>
        </w:rPr>
        <w:t> </w:t>
      </w:r>
      <w:r>
        <w:rPr>
          <w:w w:val="105"/>
          <w:sz w:val="16"/>
        </w:rPr>
        <w:t>certifying</w:t>
      </w:r>
      <w:r>
        <w:rPr>
          <w:spacing w:val="-8"/>
          <w:w w:val="105"/>
          <w:sz w:val="16"/>
        </w:rPr>
        <w:t> </w:t>
      </w:r>
      <w:r>
        <w:rPr>
          <w:w w:val="105"/>
          <w:sz w:val="16"/>
        </w:rPr>
        <w:t>officer</w:t>
      </w:r>
      <w:r>
        <w:rPr>
          <w:spacing w:val="-7"/>
          <w:w w:val="105"/>
          <w:sz w:val="16"/>
        </w:rPr>
        <w:t> </w:t>
      </w:r>
      <w:r>
        <w:rPr>
          <w:w w:val="105"/>
          <w:sz w:val="16"/>
        </w:rPr>
        <w:t>and</w:t>
      </w:r>
      <w:r>
        <w:rPr>
          <w:spacing w:val="-8"/>
          <w:w w:val="105"/>
          <w:sz w:val="16"/>
        </w:rPr>
        <w:t> </w:t>
      </w:r>
      <w:r>
        <w:rPr>
          <w:w w:val="105"/>
          <w:sz w:val="16"/>
        </w:rPr>
        <w:t>I</w:t>
      </w:r>
      <w:r>
        <w:rPr>
          <w:spacing w:val="-8"/>
          <w:w w:val="105"/>
          <w:sz w:val="16"/>
        </w:rPr>
        <w:t> </w:t>
      </w:r>
      <w:r>
        <w:rPr>
          <w:w w:val="105"/>
          <w:sz w:val="16"/>
        </w:rPr>
        <w:t>have</w:t>
      </w:r>
      <w:r>
        <w:rPr>
          <w:spacing w:val="-8"/>
          <w:w w:val="105"/>
          <w:sz w:val="16"/>
        </w:rPr>
        <w:t> </w:t>
      </w:r>
      <w:r>
        <w:rPr>
          <w:w w:val="105"/>
          <w:sz w:val="16"/>
        </w:rPr>
        <w:t>disclosed,</w:t>
      </w:r>
      <w:r>
        <w:rPr>
          <w:spacing w:val="-8"/>
          <w:w w:val="105"/>
          <w:sz w:val="16"/>
        </w:rPr>
        <w:t> </w:t>
      </w:r>
      <w:r>
        <w:rPr>
          <w:w w:val="105"/>
          <w:sz w:val="16"/>
        </w:rPr>
        <w:t>based</w:t>
      </w:r>
      <w:r>
        <w:rPr>
          <w:spacing w:val="-8"/>
          <w:w w:val="105"/>
          <w:sz w:val="16"/>
        </w:rPr>
        <w:t> </w:t>
      </w:r>
      <w:r>
        <w:rPr>
          <w:w w:val="105"/>
          <w:sz w:val="16"/>
        </w:rPr>
        <w:t>on</w:t>
      </w:r>
      <w:r>
        <w:rPr>
          <w:spacing w:val="-8"/>
          <w:w w:val="105"/>
          <w:sz w:val="16"/>
        </w:rPr>
        <w:t> </w:t>
      </w:r>
      <w:r>
        <w:rPr>
          <w:w w:val="105"/>
          <w:sz w:val="16"/>
        </w:rPr>
        <w:t>our</w:t>
      </w:r>
      <w:r>
        <w:rPr>
          <w:spacing w:val="-8"/>
          <w:w w:val="105"/>
          <w:sz w:val="16"/>
        </w:rPr>
        <w:t> </w:t>
      </w:r>
      <w:r>
        <w:rPr>
          <w:w w:val="105"/>
          <w:sz w:val="16"/>
        </w:rPr>
        <w:t>most</w:t>
      </w:r>
      <w:r>
        <w:rPr>
          <w:spacing w:val="-7"/>
          <w:w w:val="105"/>
          <w:sz w:val="16"/>
        </w:rPr>
        <w:t> </w:t>
      </w:r>
      <w:r>
        <w:rPr>
          <w:w w:val="105"/>
          <w:sz w:val="16"/>
        </w:rPr>
        <w:t>recent</w:t>
      </w:r>
      <w:r>
        <w:rPr>
          <w:spacing w:val="-8"/>
          <w:w w:val="105"/>
          <w:sz w:val="16"/>
        </w:rPr>
        <w:t> </w:t>
      </w:r>
      <w:r>
        <w:rPr>
          <w:w w:val="105"/>
          <w:sz w:val="16"/>
        </w:rPr>
        <w:t>evaluation</w:t>
      </w:r>
      <w:r>
        <w:rPr>
          <w:spacing w:val="-8"/>
          <w:w w:val="105"/>
          <w:sz w:val="16"/>
        </w:rPr>
        <w:t> </w:t>
      </w:r>
      <w:r>
        <w:rPr>
          <w:w w:val="105"/>
          <w:sz w:val="16"/>
        </w:rPr>
        <w:t>of</w:t>
      </w:r>
      <w:r>
        <w:rPr>
          <w:spacing w:val="-8"/>
          <w:w w:val="105"/>
          <w:sz w:val="16"/>
        </w:rPr>
        <w:t> </w:t>
      </w:r>
      <w:r>
        <w:rPr>
          <w:w w:val="105"/>
          <w:sz w:val="16"/>
        </w:rPr>
        <w:t>internal</w:t>
      </w:r>
      <w:r>
        <w:rPr>
          <w:spacing w:val="-8"/>
          <w:w w:val="105"/>
          <w:sz w:val="16"/>
        </w:rPr>
        <w:t> </w:t>
      </w:r>
      <w:r>
        <w:rPr>
          <w:w w:val="105"/>
          <w:sz w:val="16"/>
        </w:rPr>
        <w:t>control</w:t>
      </w:r>
      <w:r>
        <w:rPr>
          <w:spacing w:val="-8"/>
          <w:w w:val="105"/>
          <w:sz w:val="16"/>
        </w:rPr>
        <w:t> </w:t>
      </w:r>
      <w:r>
        <w:rPr>
          <w:w w:val="105"/>
          <w:sz w:val="16"/>
        </w:rPr>
        <w:t>over</w:t>
      </w:r>
      <w:r>
        <w:rPr>
          <w:spacing w:val="-8"/>
          <w:w w:val="105"/>
          <w:sz w:val="16"/>
        </w:rPr>
        <w:t> </w:t>
      </w:r>
      <w:r>
        <w:rPr>
          <w:w w:val="105"/>
          <w:sz w:val="16"/>
        </w:rPr>
        <w:t>financial</w:t>
      </w:r>
      <w:r>
        <w:rPr>
          <w:spacing w:val="-8"/>
          <w:w w:val="105"/>
          <w:sz w:val="16"/>
        </w:rPr>
        <w:t> </w:t>
      </w:r>
      <w:r>
        <w:rPr>
          <w:w w:val="105"/>
          <w:sz w:val="16"/>
        </w:rPr>
        <w:t>reporting,</w:t>
      </w:r>
      <w:r>
        <w:rPr>
          <w:spacing w:val="-8"/>
          <w:w w:val="105"/>
          <w:sz w:val="16"/>
        </w:rPr>
        <w:t> </w:t>
      </w:r>
      <w:r>
        <w:rPr>
          <w:w w:val="105"/>
          <w:sz w:val="16"/>
        </w:rPr>
        <w:t>to</w:t>
      </w:r>
      <w:r>
        <w:rPr>
          <w:spacing w:val="-8"/>
          <w:w w:val="105"/>
          <w:sz w:val="16"/>
        </w:rPr>
        <w:t> </w:t>
      </w:r>
      <w:r>
        <w:rPr>
          <w:w w:val="105"/>
          <w:sz w:val="16"/>
        </w:rPr>
        <w:t>the</w:t>
      </w:r>
      <w:r>
        <w:rPr>
          <w:spacing w:val="-7"/>
          <w:w w:val="105"/>
          <w:sz w:val="16"/>
        </w:rPr>
        <w:t> </w:t>
      </w:r>
      <w:r>
        <w:rPr>
          <w:w w:val="105"/>
          <w:sz w:val="16"/>
        </w:rPr>
        <w:t>registrant’s</w:t>
      </w:r>
      <w:r>
        <w:rPr>
          <w:spacing w:val="-8"/>
          <w:w w:val="105"/>
          <w:sz w:val="16"/>
        </w:rPr>
        <w:t> </w:t>
      </w:r>
      <w:r>
        <w:rPr>
          <w:w w:val="105"/>
          <w:sz w:val="16"/>
        </w:rPr>
        <w:t>auditors and the audit committee of the registrant’s board of directors (or persons performing the equivalent functions):</w:t>
      </w:r>
    </w:p>
    <w:p>
      <w:pPr>
        <w:pStyle w:val="BodyText"/>
        <w:spacing w:before="19"/>
      </w:pPr>
    </w:p>
    <w:p>
      <w:pPr>
        <w:pStyle w:val="ListParagraph"/>
        <w:numPr>
          <w:ilvl w:val="1"/>
          <w:numId w:val="66"/>
        </w:numPr>
        <w:tabs>
          <w:tab w:pos="766" w:val="left" w:leader="none"/>
          <w:tab w:pos="768" w:val="left" w:leader="none"/>
        </w:tabs>
        <w:spacing w:line="266" w:lineRule="auto" w:before="0" w:after="0"/>
        <w:ind w:left="768" w:right="244" w:hanging="306"/>
        <w:jc w:val="left"/>
        <w:rPr>
          <w:sz w:val="16"/>
        </w:rPr>
      </w:pPr>
      <w:r>
        <w:rPr>
          <w:w w:val="105"/>
          <w:sz w:val="16"/>
        </w:rPr>
        <w:t>All</w:t>
      </w:r>
      <w:r>
        <w:rPr>
          <w:spacing w:val="-9"/>
          <w:w w:val="105"/>
          <w:sz w:val="16"/>
        </w:rPr>
        <w:t> </w:t>
      </w:r>
      <w:r>
        <w:rPr>
          <w:w w:val="105"/>
          <w:sz w:val="16"/>
        </w:rPr>
        <w:t>significant</w:t>
      </w:r>
      <w:r>
        <w:rPr>
          <w:spacing w:val="-9"/>
          <w:w w:val="105"/>
          <w:sz w:val="16"/>
        </w:rPr>
        <w:t> </w:t>
      </w:r>
      <w:r>
        <w:rPr>
          <w:w w:val="105"/>
          <w:sz w:val="16"/>
        </w:rPr>
        <w:t>deficiencies</w:t>
      </w:r>
      <w:r>
        <w:rPr>
          <w:spacing w:val="-9"/>
          <w:w w:val="105"/>
          <w:sz w:val="16"/>
        </w:rPr>
        <w:t> </w:t>
      </w:r>
      <w:r>
        <w:rPr>
          <w:w w:val="105"/>
          <w:sz w:val="16"/>
        </w:rPr>
        <w:t>and</w:t>
      </w:r>
      <w:r>
        <w:rPr>
          <w:spacing w:val="-9"/>
          <w:w w:val="105"/>
          <w:sz w:val="16"/>
        </w:rPr>
        <w:t> </w:t>
      </w:r>
      <w:r>
        <w:rPr>
          <w:w w:val="105"/>
          <w:sz w:val="16"/>
        </w:rPr>
        <w:t>material</w:t>
      </w:r>
      <w:r>
        <w:rPr>
          <w:spacing w:val="-9"/>
          <w:w w:val="105"/>
          <w:sz w:val="16"/>
        </w:rPr>
        <w:t> </w:t>
      </w:r>
      <w:r>
        <w:rPr>
          <w:w w:val="105"/>
          <w:sz w:val="16"/>
        </w:rPr>
        <w:t>weaknesses</w:t>
      </w:r>
      <w:r>
        <w:rPr>
          <w:spacing w:val="-9"/>
          <w:w w:val="105"/>
          <w:sz w:val="16"/>
        </w:rPr>
        <w:t> </w:t>
      </w:r>
      <w:r>
        <w:rPr>
          <w:w w:val="105"/>
          <w:sz w:val="16"/>
        </w:rPr>
        <w:t>in</w:t>
      </w:r>
      <w:r>
        <w:rPr>
          <w:spacing w:val="-9"/>
          <w:w w:val="105"/>
          <w:sz w:val="16"/>
        </w:rPr>
        <w:t> </w:t>
      </w:r>
      <w:r>
        <w:rPr>
          <w:w w:val="105"/>
          <w:sz w:val="16"/>
        </w:rPr>
        <w:t>the</w:t>
      </w:r>
      <w:r>
        <w:rPr>
          <w:spacing w:val="-9"/>
          <w:w w:val="105"/>
          <w:sz w:val="16"/>
        </w:rPr>
        <w:t> </w:t>
      </w:r>
      <w:r>
        <w:rPr>
          <w:w w:val="105"/>
          <w:sz w:val="16"/>
        </w:rPr>
        <w:t>design</w:t>
      </w:r>
      <w:r>
        <w:rPr>
          <w:spacing w:val="-9"/>
          <w:w w:val="105"/>
          <w:sz w:val="16"/>
        </w:rPr>
        <w:t> </w:t>
      </w:r>
      <w:r>
        <w:rPr>
          <w:w w:val="105"/>
          <w:sz w:val="16"/>
        </w:rPr>
        <w:t>or</w:t>
      </w:r>
      <w:r>
        <w:rPr>
          <w:spacing w:val="-9"/>
          <w:w w:val="105"/>
          <w:sz w:val="16"/>
        </w:rPr>
        <w:t> </w:t>
      </w:r>
      <w:r>
        <w:rPr>
          <w:w w:val="105"/>
          <w:sz w:val="16"/>
        </w:rPr>
        <w:t>operation</w:t>
      </w:r>
      <w:r>
        <w:rPr>
          <w:spacing w:val="-9"/>
          <w:w w:val="105"/>
          <w:sz w:val="16"/>
        </w:rPr>
        <w:t> </w:t>
      </w:r>
      <w:r>
        <w:rPr>
          <w:w w:val="105"/>
          <w:sz w:val="16"/>
        </w:rPr>
        <w:t>of</w:t>
      </w:r>
      <w:r>
        <w:rPr>
          <w:spacing w:val="-9"/>
          <w:w w:val="105"/>
          <w:sz w:val="16"/>
        </w:rPr>
        <w:t> </w:t>
      </w:r>
      <w:r>
        <w:rPr>
          <w:w w:val="105"/>
          <w:sz w:val="16"/>
        </w:rPr>
        <w:t>internal</w:t>
      </w:r>
      <w:r>
        <w:rPr>
          <w:spacing w:val="-9"/>
          <w:w w:val="105"/>
          <w:sz w:val="16"/>
        </w:rPr>
        <w:t> </w:t>
      </w:r>
      <w:r>
        <w:rPr>
          <w:w w:val="105"/>
          <w:sz w:val="16"/>
        </w:rPr>
        <w:t>control</w:t>
      </w:r>
      <w:r>
        <w:rPr>
          <w:spacing w:val="-9"/>
          <w:w w:val="105"/>
          <w:sz w:val="16"/>
        </w:rPr>
        <w:t> </w:t>
      </w:r>
      <w:r>
        <w:rPr>
          <w:w w:val="105"/>
          <w:sz w:val="16"/>
        </w:rPr>
        <w:t>over</w:t>
      </w:r>
      <w:r>
        <w:rPr>
          <w:spacing w:val="-9"/>
          <w:w w:val="105"/>
          <w:sz w:val="16"/>
        </w:rPr>
        <w:t> </w:t>
      </w:r>
      <w:r>
        <w:rPr>
          <w:w w:val="105"/>
          <w:sz w:val="16"/>
        </w:rPr>
        <w:t>financial</w:t>
      </w:r>
      <w:r>
        <w:rPr>
          <w:spacing w:val="-9"/>
          <w:w w:val="105"/>
          <w:sz w:val="16"/>
        </w:rPr>
        <w:t> </w:t>
      </w:r>
      <w:r>
        <w:rPr>
          <w:w w:val="105"/>
          <w:sz w:val="16"/>
        </w:rPr>
        <w:t>reporting</w:t>
      </w:r>
      <w:r>
        <w:rPr>
          <w:spacing w:val="-9"/>
          <w:w w:val="105"/>
          <w:sz w:val="16"/>
        </w:rPr>
        <w:t> </w:t>
      </w:r>
      <w:r>
        <w:rPr>
          <w:w w:val="105"/>
          <w:sz w:val="16"/>
        </w:rPr>
        <w:t>which</w:t>
      </w:r>
      <w:r>
        <w:rPr>
          <w:spacing w:val="-9"/>
          <w:w w:val="105"/>
          <w:sz w:val="16"/>
        </w:rPr>
        <w:t> </w:t>
      </w:r>
      <w:r>
        <w:rPr>
          <w:w w:val="105"/>
          <w:sz w:val="16"/>
        </w:rPr>
        <w:t>are</w:t>
      </w:r>
      <w:r>
        <w:rPr>
          <w:spacing w:val="-9"/>
          <w:w w:val="105"/>
          <w:sz w:val="16"/>
        </w:rPr>
        <w:t> </w:t>
      </w:r>
      <w:r>
        <w:rPr>
          <w:w w:val="105"/>
          <w:sz w:val="16"/>
        </w:rPr>
        <w:t>reasonably</w:t>
      </w:r>
      <w:r>
        <w:rPr>
          <w:spacing w:val="-9"/>
          <w:w w:val="105"/>
          <w:sz w:val="16"/>
        </w:rPr>
        <w:t> </w:t>
      </w:r>
      <w:r>
        <w:rPr>
          <w:w w:val="105"/>
          <w:sz w:val="16"/>
        </w:rPr>
        <w:t>likely</w:t>
      </w:r>
      <w:r>
        <w:rPr>
          <w:spacing w:val="-9"/>
          <w:w w:val="105"/>
          <w:sz w:val="16"/>
        </w:rPr>
        <w:t> </w:t>
      </w:r>
      <w:r>
        <w:rPr>
          <w:w w:val="105"/>
          <w:sz w:val="16"/>
        </w:rPr>
        <w:t>to</w:t>
      </w:r>
      <w:r>
        <w:rPr>
          <w:spacing w:val="-9"/>
          <w:w w:val="105"/>
          <w:sz w:val="16"/>
        </w:rPr>
        <w:t> </w:t>
      </w:r>
      <w:r>
        <w:rPr>
          <w:w w:val="105"/>
          <w:sz w:val="16"/>
        </w:rPr>
        <w:t>adversely affect the registrant’s ability to record, process, summarize and report financial information; and</w:t>
      </w:r>
    </w:p>
    <w:p>
      <w:pPr>
        <w:pStyle w:val="BodyText"/>
        <w:spacing w:before="19"/>
      </w:pPr>
    </w:p>
    <w:p>
      <w:pPr>
        <w:pStyle w:val="ListParagraph"/>
        <w:numPr>
          <w:ilvl w:val="1"/>
          <w:numId w:val="66"/>
        </w:numPr>
        <w:tabs>
          <w:tab w:pos="768" w:val="left" w:leader="none"/>
        </w:tabs>
        <w:spacing w:line="266" w:lineRule="auto" w:before="0" w:after="0"/>
        <w:ind w:left="768" w:right="507" w:hanging="306"/>
        <w:jc w:val="left"/>
        <w:rPr>
          <w:sz w:val="16"/>
        </w:rPr>
      </w:pPr>
      <w:r>
        <w:rPr>
          <w:w w:val="105"/>
          <w:sz w:val="16"/>
        </w:rPr>
        <w:t>Any</w:t>
      </w:r>
      <w:r>
        <w:rPr>
          <w:spacing w:val="-8"/>
          <w:w w:val="105"/>
          <w:sz w:val="16"/>
        </w:rPr>
        <w:t> </w:t>
      </w:r>
      <w:r>
        <w:rPr>
          <w:w w:val="105"/>
          <w:sz w:val="16"/>
        </w:rPr>
        <w:t>fraud,</w:t>
      </w:r>
      <w:r>
        <w:rPr>
          <w:spacing w:val="-8"/>
          <w:w w:val="105"/>
          <w:sz w:val="16"/>
        </w:rPr>
        <w:t> </w:t>
      </w:r>
      <w:r>
        <w:rPr>
          <w:w w:val="105"/>
          <w:sz w:val="16"/>
        </w:rPr>
        <w:t>whether</w:t>
      </w:r>
      <w:r>
        <w:rPr>
          <w:spacing w:val="-8"/>
          <w:w w:val="105"/>
          <w:sz w:val="16"/>
        </w:rPr>
        <w:t> </w:t>
      </w:r>
      <w:r>
        <w:rPr>
          <w:w w:val="105"/>
          <w:sz w:val="16"/>
        </w:rPr>
        <w:t>or</w:t>
      </w:r>
      <w:r>
        <w:rPr>
          <w:spacing w:val="-8"/>
          <w:w w:val="105"/>
          <w:sz w:val="16"/>
        </w:rPr>
        <w:t> </w:t>
      </w:r>
      <w:r>
        <w:rPr>
          <w:w w:val="105"/>
          <w:sz w:val="16"/>
        </w:rPr>
        <w:t>not</w:t>
      </w:r>
      <w:r>
        <w:rPr>
          <w:spacing w:val="-8"/>
          <w:w w:val="105"/>
          <w:sz w:val="16"/>
        </w:rPr>
        <w:t> </w:t>
      </w:r>
      <w:r>
        <w:rPr>
          <w:w w:val="105"/>
          <w:sz w:val="16"/>
        </w:rPr>
        <w:t>material,</w:t>
      </w:r>
      <w:r>
        <w:rPr>
          <w:spacing w:val="-8"/>
          <w:w w:val="105"/>
          <w:sz w:val="16"/>
        </w:rPr>
        <w:t> </w:t>
      </w:r>
      <w:r>
        <w:rPr>
          <w:w w:val="105"/>
          <w:sz w:val="16"/>
        </w:rPr>
        <w:t>that</w:t>
      </w:r>
      <w:r>
        <w:rPr>
          <w:spacing w:val="-8"/>
          <w:w w:val="105"/>
          <w:sz w:val="16"/>
        </w:rPr>
        <w:t> </w:t>
      </w:r>
      <w:r>
        <w:rPr>
          <w:w w:val="105"/>
          <w:sz w:val="16"/>
        </w:rPr>
        <w:t>involves</w:t>
      </w:r>
      <w:r>
        <w:rPr>
          <w:spacing w:val="-8"/>
          <w:w w:val="105"/>
          <w:sz w:val="16"/>
        </w:rPr>
        <w:t> </w:t>
      </w:r>
      <w:r>
        <w:rPr>
          <w:w w:val="105"/>
          <w:sz w:val="16"/>
        </w:rPr>
        <w:t>management</w:t>
      </w:r>
      <w:r>
        <w:rPr>
          <w:spacing w:val="-8"/>
          <w:w w:val="105"/>
          <w:sz w:val="16"/>
        </w:rPr>
        <w:t> </w:t>
      </w:r>
      <w:r>
        <w:rPr>
          <w:w w:val="105"/>
          <w:sz w:val="16"/>
        </w:rPr>
        <w:t>or</w:t>
      </w:r>
      <w:r>
        <w:rPr>
          <w:spacing w:val="-8"/>
          <w:w w:val="105"/>
          <w:sz w:val="16"/>
        </w:rPr>
        <w:t> </w:t>
      </w:r>
      <w:r>
        <w:rPr>
          <w:w w:val="105"/>
          <w:sz w:val="16"/>
        </w:rPr>
        <w:t>other</w:t>
      </w:r>
      <w:r>
        <w:rPr>
          <w:spacing w:val="-8"/>
          <w:w w:val="105"/>
          <w:sz w:val="16"/>
        </w:rPr>
        <w:t> </w:t>
      </w:r>
      <w:r>
        <w:rPr>
          <w:w w:val="105"/>
          <w:sz w:val="16"/>
        </w:rPr>
        <w:t>employees</w:t>
      </w:r>
      <w:r>
        <w:rPr>
          <w:spacing w:val="-8"/>
          <w:w w:val="105"/>
          <w:sz w:val="16"/>
        </w:rPr>
        <w:t> </w:t>
      </w:r>
      <w:r>
        <w:rPr>
          <w:w w:val="105"/>
          <w:sz w:val="16"/>
        </w:rPr>
        <w:t>who</w:t>
      </w:r>
      <w:r>
        <w:rPr>
          <w:spacing w:val="-8"/>
          <w:w w:val="105"/>
          <w:sz w:val="16"/>
        </w:rPr>
        <w:t> </w:t>
      </w:r>
      <w:r>
        <w:rPr>
          <w:w w:val="105"/>
          <w:sz w:val="16"/>
        </w:rPr>
        <w:t>have</w:t>
      </w:r>
      <w:r>
        <w:rPr>
          <w:spacing w:val="-7"/>
          <w:w w:val="105"/>
          <w:sz w:val="16"/>
        </w:rPr>
        <w:t> </w:t>
      </w:r>
      <w:r>
        <w:rPr>
          <w:w w:val="105"/>
          <w:sz w:val="16"/>
        </w:rPr>
        <w:t>a</w:t>
      </w:r>
      <w:r>
        <w:rPr>
          <w:spacing w:val="-8"/>
          <w:w w:val="105"/>
          <w:sz w:val="16"/>
        </w:rPr>
        <w:t> </w:t>
      </w:r>
      <w:r>
        <w:rPr>
          <w:w w:val="105"/>
          <w:sz w:val="16"/>
        </w:rPr>
        <w:t>significant</w:t>
      </w:r>
      <w:r>
        <w:rPr>
          <w:spacing w:val="-8"/>
          <w:w w:val="105"/>
          <w:sz w:val="16"/>
        </w:rPr>
        <w:t> </w:t>
      </w:r>
      <w:r>
        <w:rPr>
          <w:w w:val="105"/>
          <w:sz w:val="16"/>
        </w:rPr>
        <w:t>role</w:t>
      </w:r>
      <w:r>
        <w:rPr>
          <w:spacing w:val="-8"/>
          <w:w w:val="105"/>
          <w:sz w:val="16"/>
        </w:rPr>
        <w:t> </w:t>
      </w:r>
      <w:r>
        <w:rPr>
          <w:w w:val="105"/>
          <w:sz w:val="16"/>
        </w:rPr>
        <w:t>in</w:t>
      </w:r>
      <w:r>
        <w:rPr>
          <w:spacing w:val="-8"/>
          <w:w w:val="105"/>
          <w:sz w:val="16"/>
        </w:rPr>
        <w:t> </w:t>
      </w:r>
      <w:r>
        <w:rPr>
          <w:w w:val="105"/>
          <w:sz w:val="16"/>
        </w:rPr>
        <w:t>the</w:t>
      </w:r>
      <w:r>
        <w:rPr>
          <w:spacing w:val="-8"/>
          <w:w w:val="105"/>
          <w:sz w:val="16"/>
        </w:rPr>
        <w:t> </w:t>
      </w:r>
      <w:r>
        <w:rPr>
          <w:w w:val="105"/>
          <w:sz w:val="16"/>
        </w:rPr>
        <w:t>registrant’s</w:t>
      </w:r>
      <w:r>
        <w:rPr>
          <w:spacing w:val="-8"/>
          <w:w w:val="105"/>
          <w:sz w:val="16"/>
        </w:rPr>
        <w:t> </w:t>
      </w:r>
      <w:r>
        <w:rPr>
          <w:w w:val="105"/>
          <w:sz w:val="16"/>
        </w:rPr>
        <w:t>internal</w:t>
      </w:r>
      <w:r>
        <w:rPr>
          <w:spacing w:val="-8"/>
          <w:w w:val="105"/>
          <w:sz w:val="16"/>
        </w:rPr>
        <w:t> </w:t>
      </w:r>
      <w:r>
        <w:rPr>
          <w:w w:val="105"/>
          <w:sz w:val="16"/>
        </w:rPr>
        <w:t>control</w:t>
      </w:r>
      <w:r>
        <w:rPr>
          <w:spacing w:val="-8"/>
          <w:w w:val="105"/>
          <w:sz w:val="16"/>
        </w:rPr>
        <w:t> </w:t>
      </w:r>
      <w:r>
        <w:rPr>
          <w:w w:val="105"/>
          <w:sz w:val="16"/>
        </w:rPr>
        <w:t>over</w:t>
      </w:r>
      <w:r>
        <w:rPr>
          <w:spacing w:val="-8"/>
          <w:w w:val="105"/>
          <w:sz w:val="16"/>
        </w:rPr>
        <w:t> </w:t>
      </w:r>
      <w:r>
        <w:rPr>
          <w:w w:val="105"/>
          <w:sz w:val="16"/>
        </w:rPr>
        <w:t>financial </w:t>
      </w:r>
      <w:r>
        <w:rPr>
          <w:spacing w:val="-2"/>
          <w:w w:val="105"/>
          <w:sz w:val="16"/>
        </w:rPr>
        <w:t>reporting.</w:t>
      </w:r>
    </w:p>
    <w:p>
      <w:pPr>
        <w:pStyle w:val="BodyText"/>
      </w:pPr>
    </w:p>
    <w:p>
      <w:pPr>
        <w:pStyle w:val="BodyText"/>
        <w:spacing w:before="39"/>
      </w:pPr>
    </w:p>
    <w:p>
      <w:pPr>
        <w:pStyle w:val="BodyText"/>
        <w:ind w:left="156"/>
      </w:pPr>
      <w:r>
        <w:rPr>
          <w:w w:val="105"/>
        </w:rPr>
        <w:t>Date:</w:t>
      </w:r>
      <w:r>
        <w:rPr>
          <w:spacing w:val="28"/>
          <w:w w:val="105"/>
        </w:rPr>
        <w:t> </w:t>
      </w:r>
      <w:r>
        <w:rPr>
          <w:w w:val="105"/>
        </w:rPr>
        <w:t>February</w:t>
      </w:r>
      <w:r>
        <w:rPr>
          <w:spacing w:val="-6"/>
          <w:w w:val="105"/>
        </w:rPr>
        <w:t> </w:t>
      </w:r>
      <w:r>
        <w:rPr>
          <w:w w:val="105"/>
        </w:rPr>
        <w:t>14,</w:t>
      </w:r>
      <w:r>
        <w:rPr>
          <w:spacing w:val="-7"/>
          <w:w w:val="105"/>
        </w:rPr>
        <w:t> </w:t>
      </w:r>
      <w:r>
        <w:rPr>
          <w:spacing w:val="-4"/>
          <w:w w:val="105"/>
        </w:rPr>
        <w:t>2022</w:t>
      </w:r>
    </w:p>
    <w:p>
      <w:pPr>
        <w:pStyle w:val="BodyText"/>
      </w:pPr>
    </w:p>
    <w:p>
      <w:pPr>
        <w:pStyle w:val="BodyText"/>
      </w:pPr>
    </w:p>
    <w:p>
      <w:pPr>
        <w:pStyle w:val="BodyText"/>
      </w:pPr>
    </w:p>
    <w:p>
      <w:pPr>
        <w:pStyle w:val="BodyText"/>
        <w:spacing w:before="99"/>
      </w:pPr>
    </w:p>
    <w:p>
      <w:pPr>
        <w:pStyle w:val="BodyText"/>
        <w:spacing w:line="283" w:lineRule="auto"/>
        <w:ind w:left="156" w:right="9638"/>
      </w:pPr>
      <w:r>
        <w:rPr/>
        <mc:AlternateContent>
          <mc:Choice Requires="wps">
            <w:drawing>
              <wp:anchor distT="0" distB="0" distL="0" distR="0" allowOverlap="1" layoutInCell="1" locked="0" behindDoc="0" simplePos="0" relativeHeight="15900672">
                <wp:simplePos x="0" y="0"/>
                <wp:positionH relativeFrom="page">
                  <wp:posOffset>226488</wp:posOffset>
                </wp:positionH>
                <wp:positionV relativeFrom="paragraph">
                  <wp:posOffset>127629</wp:posOffset>
                </wp:positionV>
                <wp:extent cx="3405504" cy="8255"/>
                <wp:effectExtent l="0" t="0" r="0" b="0"/>
                <wp:wrapNone/>
                <wp:docPr id="1103" name="Graphic 1103"/>
                <wp:cNvGraphicFramePr>
                  <a:graphicFrameLocks/>
                </wp:cNvGraphicFramePr>
                <a:graphic>
                  <a:graphicData uri="http://schemas.microsoft.com/office/word/2010/wordprocessingShape">
                    <wps:wsp>
                      <wps:cNvPr id="1103" name="Graphic 1103"/>
                      <wps:cNvSpPr/>
                      <wps:spPr>
                        <a:xfrm>
                          <a:off x="0" y="0"/>
                          <a:ext cx="3405504" cy="8255"/>
                        </a:xfrm>
                        <a:custGeom>
                          <a:avLst/>
                          <a:gdLst/>
                          <a:ahLst/>
                          <a:cxnLst/>
                          <a:rect l="l" t="t" r="r" b="b"/>
                          <a:pathLst>
                            <a:path w="3405504" h="8255">
                              <a:moveTo>
                                <a:pt x="0" y="0"/>
                              </a:moveTo>
                              <a:lnTo>
                                <a:pt x="3405416" y="0"/>
                              </a:lnTo>
                              <a:lnTo>
                                <a:pt x="3405416"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49542pt;width:268.143044pt;height:.636919pt;mso-position-horizontal-relative:page;mso-position-vertical-relative:paragraph;z-index:15900672" id="docshape1102" filled="true" fillcolor="#000000" stroked="false">
                <v:fill type="solid"/>
                <w10:wrap type="none"/>
              </v:rect>
            </w:pict>
          </mc:Fallback>
        </mc:AlternateContent>
      </w:r>
      <w:r>
        <w:rPr>
          <w:w w:val="105"/>
        </w:rPr>
        <w:t>/s/</w:t>
      </w:r>
      <w:r>
        <w:rPr>
          <w:spacing w:val="11"/>
          <w:w w:val="105"/>
        </w:rPr>
        <w:t> </w:t>
      </w:r>
      <w:r>
        <w:rPr>
          <w:w w:val="105"/>
        </w:rPr>
        <w:t>Wendell</w:t>
      </w:r>
      <w:r>
        <w:rPr>
          <w:spacing w:val="-11"/>
          <w:w w:val="105"/>
        </w:rPr>
        <w:t> </w:t>
      </w:r>
      <w:r>
        <w:rPr>
          <w:w w:val="105"/>
        </w:rPr>
        <w:t>P.</w:t>
      </w:r>
      <w:r>
        <w:rPr>
          <w:spacing w:val="-10"/>
          <w:w w:val="105"/>
        </w:rPr>
        <w:t> </w:t>
      </w:r>
      <w:r>
        <w:rPr>
          <w:w w:val="105"/>
        </w:rPr>
        <w:t>Weeks Wendell P. Weeks</w:t>
      </w:r>
    </w:p>
    <w:p>
      <w:pPr>
        <w:pStyle w:val="BodyText"/>
        <w:spacing w:line="170" w:lineRule="exact"/>
        <w:ind w:left="156"/>
      </w:pPr>
      <w:r>
        <w:rPr>
          <w:w w:val="105"/>
        </w:rPr>
        <w:t>Chairman</w:t>
      </w:r>
      <w:r>
        <w:rPr>
          <w:spacing w:val="-11"/>
          <w:w w:val="105"/>
        </w:rPr>
        <w:t> </w:t>
      </w:r>
      <w:r>
        <w:rPr>
          <w:w w:val="105"/>
        </w:rPr>
        <w:t>and</w:t>
      </w:r>
      <w:r>
        <w:rPr>
          <w:spacing w:val="-10"/>
          <w:w w:val="105"/>
        </w:rPr>
        <w:t> </w:t>
      </w:r>
      <w:r>
        <w:rPr>
          <w:w w:val="105"/>
        </w:rPr>
        <w:t>Chief</w:t>
      </w:r>
      <w:r>
        <w:rPr>
          <w:spacing w:val="-10"/>
          <w:w w:val="105"/>
        </w:rPr>
        <w:t> </w:t>
      </w:r>
      <w:r>
        <w:rPr>
          <w:w w:val="105"/>
        </w:rPr>
        <w:t>Executive</w:t>
      </w:r>
      <w:r>
        <w:rPr>
          <w:spacing w:val="-11"/>
          <w:w w:val="105"/>
        </w:rPr>
        <w:t> </w:t>
      </w:r>
      <w:r>
        <w:rPr>
          <w:spacing w:val="-2"/>
          <w:w w:val="105"/>
        </w:rPr>
        <w:t>Officer</w:t>
      </w:r>
    </w:p>
    <w:p>
      <w:pPr>
        <w:pStyle w:val="BodyText"/>
        <w:spacing w:before="20"/>
        <w:ind w:left="156"/>
      </w:pPr>
      <w:r>
        <w:rPr/>
        <w:t>(Principal</w:t>
      </w:r>
      <w:r>
        <w:rPr>
          <w:spacing w:val="20"/>
        </w:rPr>
        <w:t> </w:t>
      </w:r>
      <w:r>
        <w:rPr/>
        <w:t>Executive</w:t>
      </w:r>
      <w:r>
        <w:rPr>
          <w:spacing w:val="20"/>
        </w:rPr>
        <w:t> </w:t>
      </w:r>
      <w:r>
        <w:rPr>
          <w:spacing w:val="-2"/>
        </w:rPr>
        <w:t>Officer)</w:t>
      </w:r>
    </w:p>
    <w:p>
      <w:pPr>
        <w:pStyle w:val="BodyText"/>
        <w:spacing w:before="40"/>
      </w:pPr>
    </w:p>
    <w:p>
      <w:pPr>
        <w:pStyle w:val="BodyText"/>
        <w:ind w:left="48"/>
        <w:jc w:val="center"/>
      </w:pPr>
      <w:r>
        <w:rPr>
          <w:w w:val="105"/>
        </w:rPr>
        <w:t>©</w:t>
      </w:r>
      <w:r>
        <w:rPr>
          <w:spacing w:val="-10"/>
          <w:w w:val="105"/>
        </w:rPr>
        <w:t> </w:t>
      </w:r>
      <w:r>
        <w:rPr>
          <w:w w:val="105"/>
        </w:rPr>
        <w:t>2022</w:t>
      </w:r>
      <w:r>
        <w:rPr>
          <w:spacing w:val="-10"/>
          <w:w w:val="105"/>
        </w:rPr>
        <w:t> </w:t>
      </w:r>
      <w:r>
        <w:rPr>
          <w:w w:val="105"/>
        </w:rPr>
        <w:t>Corning</w:t>
      </w:r>
      <w:r>
        <w:rPr>
          <w:spacing w:val="-10"/>
          <w:w w:val="105"/>
        </w:rPr>
        <w:t> </w:t>
      </w:r>
      <w:r>
        <w:rPr>
          <w:w w:val="105"/>
        </w:rPr>
        <w:t>Incorporated.</w:t>
      </w:r>
      <w:r>
        <w:rPr>
          <w:spacing w:val="-10"/>
          <w:w w:val="105"/>
        </w:rPr>
        <w:t> </w:t>
      </w:r>
      <w:r>
        <w:rPr>
          <w:w w:val="105"/>
        </w:rPr>
        <w:t>All</w:t>
      </w:r>
      <w:r>
        <w:rPr>
          <w:spacing w:val="-10"/>
          <w:w w:val="105"/>
        </w:rPr>
        <w:t> </w:t>
      </w:r>
      <w:r>
        <w:rPr>
          <w:w w:val="105"/>
        </w:rPr>
        <w:t>Rights</w:t>
      </w:r>
      <w:r>
        <w:rPr>
          <w:spacing w:val="-10"/>
          <w:w w:val="105"/>
        </w:rPr>
        <w:t> </w:t>
      </w:r>
      <w:r>
        <w:rPr>
          <w:spacing w:val="-2"/>
          <w:w w:val="105"/>
        </w:rPr>
        <w:t>Reserved.</w:t>
      </w:r>
    </w:p>
    <w:p>
      <w:pPr>
        <w:spacing w:after="0"/>
        <w:jc w:val="center"/>
        <w:sectPr>
          <w:headerReference w:type="default" r:id="rId106"/>
          <w:pgSz w:w="12240" w:h="15840"/>
          <w:pgMar w:header="352" w:footer="0" w:top="540" w:bottom="280" w:left="200" w:right="260"/>
          <w:pgNumType w:start="1"/>
        </w:sectPr>
      </w:pPr>
    </w:p>
    <w:p>
      <w:pPr>
        <w:pStyle w:val="BodyText"/>
        <w:spacing w:before="38"/>
      </w:pPr>
    </w:p>
    <w:p>
      <w:pPr>
        <w:pStyle w:val="BodyText"/>
        <w:spacing w:line="266" w:lineRule="auto"/>
        <w:ind w:left="4676" w:right="2521" w:hanging="2104"/>
      </w:pPr>
      <w:bookmarkStart w:name="_bookmark32" w:id="33"/>
      <w:bookmarkEnd w:id="33"/>
      <w:r>
        <w:rPr/>
      </w:r>
      <w:r>
        <w:rPr>
          <w:spacing w:val="-2"/>
          <w:w w:val="105"/>
        </w:rPr>
        <w:t>CERTIFICATION OF CHIEF FINANCIAL</w:t>
      </w:r>
      <w:r>
        <w:rPr>
          <w:spacing w:val="-3"/>
          <w:w w:val="105"/>
        </w:rPr>
        <w:t> </w:t>
      </w:r>
      <w:r>
        <w:rPr>
          <w:spacing w:val="-2"/>
          <w:w w:val="105"/>
        </w:rPr>
        <w:t>OFFICER PURSUANT TO SECTION 302(a) OF THE</w:t>
      </w:r>
      <w:r>
        <w:rPr>
          <w:w w:val="105"/>
        </w:rPr>
        <w:t> SARBANES-OXLEY ACT OF 2002</w:t>
      </w:r>
    </w:p>
    <w:p>
      <w:pPr>
        <w:pStyle w:val="BodyText"/>
        <w:spacing w:before="19"/>
      </w:pPr>
    </w:p>
    <w:p>
      <w:pPr>
        <w:pStyle w:val="BodyText"/>
        <w:ind w:left="156"/>
      </w:pPr>
      <w:r>
        <w:rPr>
          <w:w w:val="105"/>
        </w:rPr>
        <w:t>I,</w:t>
      </w:r>
      <w:r>
        <w:rPr>
          <w:spacing w:val="-8"/>
          <w:w w:val="105"/>
        </w:rPr>
        <w:t> </w:t>
      </w:r>
      <w:r>
        <w:rPr>
          <w:w w:val="105"/>
        </w:rPr>
        <w:t>R.</w:t>
      </w:r>
      <w:r>
        <w:rPr>
          <w:spacing w:val="-7"/>
          <w:w w:val="105"/>
        </w:rPr>
        <w:t> </w:t>
      </w:r>
      <w:r>
        <w:rPr>
          <w:w w:val="105"/>
        </w:rPr>
        <w:t>Tony</w:t>
      </w:r>
      <w:r>
        <w:rPr>
          <w:spacing w:val="-7"/>
          <w:w w:val="105"/>
        </w:rPr>
        <w:t> </w:t>
      </w:r>
      <w:r>
        <w:rPr>
          <w:w w:val="105"/>
        </w:rPr>
        <w:t>Tripeny,</w:t>
      </w:r>
      <w:r>
        <w:rPr>
          <w:spacing w:val="-7"/>
          <w:w w:val="105"/>
        </w:rPr>
        <w:t> </w:t>
      </w:r>
      <w:r>
        <w:rPr>
          <w:w w:val="105"/>
        </w:rPr>
        <w:t>certify</w:t>
      </w:r>
      <w:r>
        <w:rPr>
          <w:spacing w:val="-7"/>
          <w:w w:val="105"/>
        </w:rPr>
        <w:t> </w:t>
      </w:r>
      <w:r>
        <w:rPr>
          <w:spacing w:val="-2"/>
          <w:w w:val="105"/>
        </w:rPr>
        <w:t>that:</w:t>
      </w:r>
    </w:p>
    <w:p>
      <w:pPr>
        <w:pStyle w:val="BodyText"/>
        <w:spacing w:before="40"/>
      </w:pPr>
    </w:p>
    <w:p>
      <w:pPr>
        <w:pStyle w:val="ListParagraph"/>
        <w:numPr>
          <w:ilvl w:val="0"/>
          <w:numId w:val="67"/>
        </w:numPr>
        <w:tabs>
          <w:tab w:pos="461" w:val="left" w:leader="none"/>
        </w:tabs>
        <w:spacing w:line="240" w:lineRule="auto" w:before="0" w:after="0"/>
        <w:ind w:left="461" w:right="0" w:hanging="305"/>
        <w:jc w:val="left"/>
        <w:rPr>
          <w:sz w:val="16"/>
        </w:rPr>
      </w:pPr>
      <w:r>
        <w:rPr>
          <w:w w:val="105"/>
          <w:sz w:val="16"/>
        </w:rPr>
        <w:t>I</w:t>
      </w:r>
      <w:r>
        <w:rPr>
          <w:spacing w:val="-8"/>
          <w:w w:val="105"/>
          <w:sz w:val="16"/>
        </w:rPr>
        <w:t> </w:t>
      </w:r>
      <w:r>
        <w:rPr>
          <w:w w:val="105"/>
          <w:sz w:val="16"/>
        </w:rPr>
        <w:t>have</w:t>
      </w:r>
      <w:r>
        <w:rPr>
          <w:spacing w:val="-8"/>
          <w:w w:val="105"/>
          <w:sz w:val="16"/>
        </w:rPr>
        <w:t> </w:t>
      </w:r>
      <w:r>
        <w:rPr>
          <w:w w:val="105"/>
          <w:sz w:val="16"/>
        </w:rPr>
        <w:t>reviewed</w:t>
      </w:r>
      <w:r>
        <w:rPr>
          <w:spacing w:val="-8"/>
          <w:w w:val="105"/>
          <w:sz w:val="16"/>
        </w:rPr>
        <w:t> </w:t>
      </w:r>
      <w:r>
        <w:rPr>
          <w:w w:val="105"/>
          <w:sz w:val="16"/>
        </w:rPr>
        <w:t>this</w:t>
      </w:r>
      <w:r>
        <w:rPr>
          <w:spacing w:val="-8"/>
          <w:w w:val="105"/>
          <w:sz w:val="16"/>
        </w:rPr>
        <w:t> </w:t>
      </w:r>
      <w:r>
        <w:rPr>
          <w:w w:val="105"/>
          <w:sz w:val="16"/>
        </w:rPr>
        <w:t>annual</w:t>
      </w:r>
      <w:r>
        <w:rPr>
          <w:spacing w:val="-6"/>
          <w:w w:val="105"/>
          <w:sz w:val="16"/>
        </w:rPr>
        <w:t> </w:t>
      </w:r>
      <w:r>
        <w:rPr>
          <w:w w:val="105"/>
          <w:sz w:val="16"/>
        </w:rPr>
        <w:t>report</w:t>
      </w:r>
      <w:r>
        <w:rPr>
          <w:spacing w:val="-8"/>
          <w:w w:val="105"/>
          <w:sz w:val="16"/>
        </w:rPr>
        <w:t> </w:t>
      </w:r>
      <w:r>
        <w:rPr>
          <w:w w:val="105"/>
          <w:sz w:val="16"/>
        </w:rPr>
        <w:t>on</w:t>
      </w:r>
      <w:r>
        <w:rPr>
          <w:spacing w:val="-8"/>
          <w:w w:val="105"/>
          <w:sz w:val="16"/>
        </w:rPr>
        <w:t> </w:t>
      </w:r>
      <w:r>
        <w:rPr>
          <w:w w:val="105"/>
          <w:sz w:val="16"/>
        </w:rPr>
        <w:t>Form</w:t>
      </w:r>
      <w:r>
        <w:rPr>
          <w:spacing w:val="-7"/>
          <w:w w:val="105"/>
          <w:sz w:val="16"/>
        </w:rPr>
        <w:t> </w:t>
      </w:r>
      <w:r>
        <w:rPr>
          <w:w w:val="105"/>
          <w:sz w:val="16"/>
        </w:rPr>
        <w:t>10-K</w:t>
      </w:r>
      <w:r>
        <w:rPr>
          <w:spacing w:val="-8"/>
          <w:w w:val="105"/>
          <w:sz w:val="16"/>
        </w:rPr>
        <w:t> </w:t>
      </w:r>
      <w:r>
        <w:rPr>
          <w:w w:val="105"/>
          <w:sz w:val="16"/>
        </w:rPr>
        <w:t>of</w:t>
      </w:r>
      <w:r>
        <w:rPr>
          <w:spacing w:val="-8"/>
          <w:w w:val="105"/>
          <w:sz w:val="16"/>
        </w:rPr>
        <w:t> </w:t>
      </w:r>
      <w:r>
        <w:rPr>
          <w:w w:val="105"/>
          <w:sz w:val="16"/>
        </w:rPr>
        <w:t>Corning</w:t>
      </w:r>
      <w:r>
        <w:rPr>
          <w:spacing w:val="-8"/>
          <w:w w:val="105"/>
          <w:sz w:val="16"/>
        </w:rPr>
        <w:t> </w:t>
      </w:r>
      <w:r>
        <w:rPr>
          <w:spacing w:val="-2"/>
          <w:w w:val="105"/>
          <w:sz w:val="16"/>
        </w:rPr>
        <w:t>Incorporated;</w:t>
      </w:r>
    </w:p>
    <w:p>
      <w:pPr>
        <w:pStyle w:val="BodyText"/>
        <w:spacing w:before="39"/>
      </w:pPr>
    </w:p>
    <w:p>
      <w:pPr>
        <w:pStyle w:val="ListParagraph"/>
        <w:numPr>
          <w:ilvl w:val="0"/>
          <w:numId w:val="67"/>
        </w:numPr>
        <w:tabs>
          <w:tab w:pos="462" w:val="left" w:leader="none"/>
        </w:tabs>
        <w:spacing w:line="266" w:lineRule="auto" w:before="0" w:after="0"/>
        <w:ind w:left="462" w:right="315" w:hanging="306"/>
        <w:jc w:val="left"/>
        <w:rPr>
          <w:sz w:val="16"/>
        </w:rPr>
      </w:pPr>
      <w:r>
        <w:rPr>
          <w:w w:val="105"/>
          <w:sz w:val="16"/>
        </w:rPr>
        <w:t>Based</w:t>
      </w:r>
      <w:r>
        <w:rPr>
          <w:spacing w:val="-7"/>
          <w:w w:val="105"/>
          <w:sz w:val="16"/>
        </w:rPr>
        <w:t> </w:t>
      </w:r>
      <w:r>
        <w:rPr>
          <w:w w:val="105"/>
          <w:sz w:val="16"/>
        </w:rPr>
        <w:t>on</w:t>
      </w:r>
      <w:r>
        <w:rPr>
          <w:spacing w:val="-7"/>
          <w:w w:val="105"/>
          <w:sz w:val="16"/>
        </w:rPr>
        <w:t> </w:t>
      </w:r>
      <w:r>
        <w:rPr>
          <w:w w:val="105"/>
          <w:sz w:val="16"/>
        </w:rPr>
        <w:t>my</w:t>
      </w:r>
      <w:r>
        <w:rPr>
          <w:spacing w:val="-7"/>
          <w:w w:val="105"/>
          <w:sz w:val="16"/>
        </w:rPr>
        <w:t> </w:t>
      </w:r>
      <w:r>
        <w:rPr>
          <w:w w:val="105"/>
          <w:sz w:val="16"/>
        </w:rPr>
        <w:t>knowledge,</w:t>
      </w:r>
      <w:r>
        <w:rPr>
          <w:spacing w:val="-7"/>
          <w:w w:val="105"/>
          <w:sz w:val="16"/>
        </w:rPr>
        <w:t> </w:t>
      </w:r>
      <w:r>
        <w:rPr>
          <w:w w:val="105"/>
          <w:sz w:val="16"/>
        </w:rPr>
        <w:t>this</w:t>
      </w:r>
      <w:r>
        <w:rPr>
          <w:spacing w:val="-7"/>
          <w:w w:val="105"/>
          <w:sz w:val="16"/>
        </w:rPr>
        <w:t> </w:t>
      </w:r>
      <w:r>
        <w:rPr>
          <w:w w:val="105"/>
          <w:sz w:val="16"/>
        </w:rPr>
        <w:t>report</w:t>
      </w:r>
      <w:r>
        <w:rPr>
          <w:spacing w:val="-7"/>
          <w:w w:val="105"/>
          <w:sz w:val="16"/>
        </w:rPr>
        <w:t> </w:t>
      </w:r>
      <w:r>
        <w:rPr>
          <w:w w:val="105"/>
          <w:sz w:val="16"/>
        </w:rPr>
        <w:t>does</w:t>
      </w:r>
      <w:r>
        <w:rPr>
          <w:spacing w:val="-7"/>
          <w:w w:val="105"/>
          <w:sz w:val="16"/>
        </w:rPr>
        <w:t> </w:t>
      </w:r>
      <w:r>
        <w:rPr>
          <w:w w:val="105"/>
          <w:sz w:val="16"/>
        </w:rPr>
        <w:t>not</w:t>
      </w:r>
      <w:r>
        <w:rPr>
          <w:spacing w:val="-5"/>
          <w:w w:val="105"/>
          <w:sz w:val="16"/>
        </w:rPr>
        <w:t> </w:t>
      </w:r>
      <w:r>
        <w:rPr>
          <w:w w:val="105"/>
          <w:sz w:val="16"/>
        </w:rPr>
        <w:t>contain</w:t>
      </w:r>
      <w:r>
        <w:rPr>
          <w:spacing w:val="-7"/>
          <w:w w:val="105"/>
          <w:sz w:val="16"/>
        </w:rPr>
        <w:t> </w:t>
      </w:r>
      <w:r>
        <w:rPr>
          <w:w w:val="105"/>
          <w:sz w:val="16"/>
        </w:rPr>
        <w:t>any</w:t>
      </w:r>
      <w:r>
        <w:rPr>
          <w:spacing w:val="-7"/>
          <w:w w:val="105"/>
          <w:sz w:val="16"/>
        </w:rPr>
        <w:t> </w:t>
      </w:r>
      <w:r>
        <w:rPr>
          <w:w w:val="105"/>
          <w:sz w:val="16"/>
        </w:rPr>
        <w:t>untrue</w:t>
      </w:r>
      <w:r>
        <w:rPr>
          <w:spacing w:val="-7"/>
          <w:w w:val="105"/>
          <w:sz w:val="16"/>
        </w:rPr>
        <w:t> </w:t>
      </w:r>
      <w:r>
        <w:rPr>
          <w:w w:val="105"/>
          <w:sz w:val="16"/>
        </w:rPr>
        <w:t>statement</w:t>
      </w:r>
      <w:r>
        <w:rPr>
          <w:spacing w:val="-7"/>
          <w:w w:val="105"/>
          <w:sz w:val="16"/>
        </w:rPr>
        <w:t> </w:t>
      </w:r>
      <w:r>
        <w:rPr>
          <w:w w:val="105"/>
          <w:sz w:val="16"/>
        </w:rPr>
        <w:t>of</w:t>
      </w:r>
      <w:r>
        <w:rPr>
          <w:spacing w:val="-7"/>
          <w:w w:val="105"/>
          <w:sz w:val="16"/>
        </w:rPr>
        <w:t> </w:t>
      </w:r>
      <w:r>
        <w:rPr>
          <w:w w:val="105"/>
          <w:sz w:val="16"/>
        </w:rPr>
        <w:t>a</w:t>
      </w:r>
      <w:r>
        <w:rPr>
          <w:spacing w:val="-7"/>
          <w:w w:val="105"/>
          <w:sz w:val="16"/>
        </w:rPr>
        <w:t> </w:t>
      </w:r>
      <w:r>
        <w:rPr>
          <w:w w:val="105"/>
          <w:sz w:val="16"/>
        </w:rPr>
        <w:t>material</w:t>
      </w:r>
      <w:r>
        <w:rPr>
          <w:spacing w:val="-7"/>
          <w:w w:val="105"/>
          <w:sz w:val="16"/>
        </w:rPr>
        <w:t> </w:t>
      </w:r>
      <w:r>
        <w:rPr>
          <w:w w:val="105"/>
          <w:sz w:val="16"/>
        </w:rPr>
        <w:t>fact</w:t>
      </w:r>
      <w:r>
        <w:rPr>
          <w:spacing w:val="-7"/>
          <w:w w:val="105"/>
          <w:sz w:val="16"/>
        </w:rPr>
        <w:t> </w:t>
      </w:r>
      <w:r>
        <w:rPr>
          <w:w w:val="105"/>
          <w:sz w:val="16"/>
        </w:rPr>
        <w:t>or</w:t>
      </w:r>
      <w:r>
        <w:rPr>
          <w:spacing w:val="-7"/>
          <w:w w:val="105"/>
          <w:sz w:val="16"/>
        </w:rPr>
        <w:t> </w:t>
      </w:r>
      <w:r>
        <w:rPr>
          <w:w w:val="105"/>
          <w:sz w:val="16"/>
        </w:rPr>
        <w:t>omit</w:t>
      </w:r>
      <w:r>
        <w:rPr>
          <w:spacing w:val="-7"/>
          <w:w w:val="105"/>
          <w:sz w:val="16"/>
        </w:rPr>
        <w:t> </w:t>
      </w:r>
      <w:r>
        <w:rPr>
          <w:w w:val="105"/>
          <w:sz w:val="16"/>
        </w:rPr>
        <w:t>to</w:t>
      </w:r>
      <w:r>
        <w:rPr>
          <w:spacing w:val="-7"/>
          <w:w w:val="105"/>
          <w:sz w:val="16"/>
        </w:rPr>
        <w:t> </w:t>
      </w:r>
      <w:r>
        <w:rPr>
          <w:w w:val="105"/>
          <w:sz w:val="16"/>
        </w:rPr>
        <w:t>state</w:t>
      </w:r>
      <w:r>
        <w:rPr>
          <w:spacing w:val="-7"/>
          <w:w w:val="105"/>
          <w:sz w:val="16"/>
        </w:rPr>
        <w:t> </w:t>
      </w:r>
      <w:r>
        <w:rPr>
          <w:w w:val="105"/>
          <w:sz w:val="16"/>
        </w:rPr>
        <w:t>a</w:t>
      </w:r>
      <w:r>
        <w:rPr>
          <w:spacing w:val="-5"/>
          <w:w w:val="105"/>
          <w:sz w:val="16"/>
        </w:rPr>
        <w:t> </w:t>
      </w:r>
      <w:r>
        <w:rPr>
          <w:w w:val="105"/>
          <w:sz w:val="16"/>
        </w:rPr>
        <w:t>material</w:t>
      </w:r>
      <w:r>
        <w:rPr>
          <w:spacing w:val="-7"/>
          <w:w w:val="105"/>
          <w:sz w:val="16"/>
        </w:rPr>
        <w:t> </w:t>
      </w:r>
      <w:r>
        <w:rPr>
          <w:w w:val="105"/>
          <w:sz w:val="16"/>
        </w:rPr>
        <w:t>fact</w:t>
      </w:r>
      <w:r>
        <w:rPr>
          <w:spacing w:val="-7"/>
          <w:w w:val="105"/>
          <w:sz w:val="16"/>
        </w:rPr>
        <w:t> </w:t>
      </w:r>
      <w:r>
        <w:rPr>
          <w:w w:val="105"/>
          <w:sz w:val="16"/>
        </w:rPr>
        <w:t>necessary</w:t>
      </w:r>
      <w:r>
        <w:rPr>
          <w:spacing w:val="-7"/>
          <w:w w:val="105"/>
          <w:sz w:val="16"/>
        </w:rPr>
        <w:t> </w:t>
      </w:r>
      <w:r>
        <w:rPr>
          <w:w w:val="105"/>
          <w:sz w:val="16"/>
        </w:rPr>
        <w:t>to</w:t>
      </w:r>
      <w:r>
        <w:rPr>
          <w:spacing w:val="-7"/>
          <w:w w:val="105"/>
          <w:sz w:val="16"/>
        </w:rPr>
        <w:t> </w:t>
      </w:r>
      <w:r>
        <w:rPr>
          <w:w w:val="105"/>
          <w:sz w:val="16"/>
        </w:rPr>
        <w:t>make</w:t>
      </w:r>
      <w:r>
        <w:rPr>
          <w:spacing w:val="-7"/>
          <w:w w:val="105"/>
          <w:sz w:val="16"/>
        </w:rPr>
        <w:t> </w:t>
      </w:r>
      <w:r>
        <w:rPr>
          <w:w w:val="105"/>
          <w:sz w:val="16"/>
        </w:rPr>
        <w:t>the</w:t>
      </w:r>
      <w:r>
        <w:rPr>
          <w:spacing w:val="-7"/>
          <w:w w:val="105"/>
          <w:sz w:val="16"/>
        </w:rPr>
        <w:t> </w:t>
      </w:r>
      <w:r>
        <w:rPr>
          <w:w w:val="105"/>
          <w:sz w:val="16"/>
        </w:rPr>
        <w:t>statements</w:t>
      </w:r>
      <w:r>
        <w:rPr>
          <w:spacing w:val="-7"/>
          <w:w w:val="105"/>
          <w:sz w:val="16"/>
        </w:rPr>
        <w:t> </w:t>
      </w:r>
      <w:r>
        <w:rPr>
          <w:w w:val="105"/>
          <w:sz w:val="16"/>
        </w:rPr>
        <w:t>made,</w:t>
      </w:r>
      <w:r>
        <w:rPr>
          <w:spacing w:val="-7"/>
          <w:w w:val="105"/>
          <w:sz w:val="16"/>
        </w:rPr>
        <w:t> </w:t>
      </w:r>
      <w:r>
        <w:rPr>
          <w:w w:val="105"/>
          <w:sz w:val="16"/>
        </w:rPr>
        <w:t>in light of the circumstances under which such statements were made, not misleading with respect to the period covered by this report;</w:t>
      </w:r>
    </w:p>
    <w:p>
      <w:pPr>
        <w:pStyle w:val="BodyText"/>
        <w:spacing w:before="19"/>
      </w:pPr>
    </w:p>
    <w:p>
      <w:pPr>
        <w:pStyle w:val="ListParagraph"/>
        <w:numPr>
          <w:ilvl w:val="0"/>
          <w:numId w:val="67"/>
        </w:numPr>
        <w:tabs>
          <w:tab w:pos="462" w:val="left" w:leader="none"/>
        </w:tabs>
        <w:spacing w:line="266" w:lineRule="auto" w:before="0" w:after="0"/>
        <w:ind w:left="462" w:right="306" w:hanging="306"/>
        <w:jc w:val="left"/>
        <w:rPr>
          <w:sz w:val="16"/>
        </w:rPr>
      </w:pPr>
      <w:r>
        <w:rPr>
          <w:w w:val="105"/>
          <w:sz w:val="16"/>
        </w:rPr>
        <w:t>Based</w:t>
      </w:r>
      <w:r>
        <w:rPr>
          <w:spacing w:val="-9"/>
          <w:w w:val="105"/>
          <w:sz w:val="16"/>
        </w:rPr>
        <w:t> </w:t>
      </w:r>
      <w:r>
        <w:rPr>
          <w:w w:val="105"/>
          <w:sz w:val="16"/>
        </w:rPr>
        <w:t>on</w:t>
      </w:r>
      <w:r>
        <w:rPr>
          <w:spacing w:val="-9"/>
          <w:w w:val="105"/>
          <w:sz w:val="16"/>
        </w:rPr>
        <w:t> </w:t>
      </w:r>
      <w:r>
        <w:rPr>
          <w:w w:val="105"/>
          <w:sz w:val="16"/>
        </w:rPr>
        <w:t>my</w:t>
      </w:r>
      <w:r>
        <w:rPr>
          <w:spacing w:val="-9"/>
          <w:w w:val="105"/>
          <w:sz w:val="16"/>
        </w:rPr>
        <w:t> </w:t>
      </w:r>
      <w:r>
        <w:rPr>
          <w:w w:val="105"/>
          <w:sz w:val="16"/>
        </w:rPr>
        <w:t>knowledge,</w:t>
      </w:r>
      <w:r>
        <w:rPr>
          <w:spacing w:val="-9"/>
          <w:w w:val="105"/>
          <w:sz w:val="16"/>
        </w:rPr>
        <w:t> </w:t>
      </w:r>
      <w:r>
        <w:rPr>
          <w:w w:val="105"/>
          <w:sz w:val="16"/>
        </w:rPr>
        <w:t>the</w:t>
      </w:r>
      <w:r>
        <w:rPr>
          <w:spacing w:val="-9"/>
          <w:w w:val="105"/>
          <w:sz w:val="16"/>
        </w:rPr>
        <w:t> </w:t>
      </w:r>
      <w:r>
        <w:rPr>
          <w:w w:val="105"/>
          <w:sz w:val="16"/>
        </w:rPr>
        <w:t>financial</w:t>
      </w:r>
      <w:r>
        <w:rPr>
          <w:spacing w:val="-9"/>
          <w:w w:val="105"/>
          <w:sz w:val="16"/>
        </w:rPr>
        <w:t> </w:t>
      </w:r>
      <w:r>
        <w:rPr>
          <w:w w:val="105"/>
          <w:sz w:val="16"/>
        </w:rPr>
        <w:t>statements,</w:t>
      </w:r>
      <w:r>
        <w:rPr>
          <w:spacing w:val="-9"/>
          <w:w w:val="105"/>
          <w:sz w:val="16"/>
        </w:rPr>
        <w:t> </w:t>
      </w:r>
      <w:r>
        <w:rPr>
          <w:w w:val="105"/>
          <w:sz w:val="16"/>
        </w:rPr>
        <w:t>and</w:t>
      </w:r>
      <w:r>
        <w:rPr>
          <w:spacing w:val="-9"/>
          <w:w w:val="105"/>
          <w:sz w:val="16"/>
        </w:rPr>
        <w:t> </w:t>
      </w:r>
      <w:r>
        <w:rPr>
          <w:w w:val="105"/>
          <w:sz w:val="16"/>
        </w:rPr>
        <w:t>other</w:t>
      </w:r>
      <w:r>
        <w:rPr>
          <w:spacing w:val="-9"/>
          <w:w w:val="105"/>
          <w:sz w:val="16"/>
        </w:rPr>
        <w:t> </w:t>
      </w:r>
      <w:r>
        <w:rPr>
          <w:w w:val="105"/>
          <w:sz w:val="16"/>
        </w:rPr>
        <w:t>financial</w:t>
      </w:r>
      <w:r>
        <w:rPr>
          <w:spacing w:val="-9"/>
          <w:w w:val="105"/>
          <w:sz w:val="16"/>
        </w:rPr>
        <w:t> </w:t>
      </w:r>
      <w:r>
        <w:rPr>
          <w:w w:val="105"/>
          <w:sz w:val="16"/>
        </w:rPr>
        <w:t>information</w:t>
      </w:r>
      <w:r>
        <w:rPr>
          <w:spacing w:val="-7"/>
          <w:w w:val="105"/>
          <w:sz w:val="16"/>
        </w:rPr>
        <w:t> </w:t>
      </w:r>
      <w:r>
        <w:rPr>
          <w:w w:val="105"/>
          <w:sz w:val="16"/>
        </w:rPr>
        <w:t>included</w:t>
      </w:r>
      <w:r>
        <w:rPr>
          <w:spacing w:val="-9"/>
          <w:w w:val="105"/>
          <w:sz w:val="16"/>
        </w:rPr>
        <w:t> </w:t>
      </w:r>
      <w:r>
        <w:rPr>
          <w:w w:val="105"/>
          <w:sz w:val="16"/>
        </w:rPr>
        <w:t>in</w:t>
      </w:r>
      <w:r>
        <w:rPr>
          <w:spacing w:val="-9"/>
          <w:w w:val="105"/>
          <w:sz w:val="16"/>
        </w:rPr>
        <w:t> </w:t>
      </w:r>
      <w:r>
        <w:rPr>
          <w:w w:val="105"/>
          <w:sz w:val="16"/>
        </w:rPr>
        <w:t>this</w:t>
      </w:r>
      <w:r>
        <w:rPr>
          <w:spacing w:val="-9"/>
          <w:w w:val="105"/>
          <w:sz w:val="16"/>
        </w:rPr>
        <w:t> </w:t>
      </w:r>
      <w:r>
        <w:rPr>
          <w:w w:val="105"/>
          <w:sz w:val="16"/>
        </w:rPr>
        <w:t>report,</w:t>
      </w:r>
      <w:r>
        <w:rPr>
          <w:spacing w:val="-9"/>
          <w:w w:val="105"/>
          <w:sz w:val="16"/>
        </w:rPr>
        <w:t> </w:t>
      </w:r>
      <w:r>
        <w:rPr>
          <w:w w:val="105"/>
          <w:sz w:val="16"/>
        </w:rPr>
        <w:t>fairly</w:t>
      </w:r>
      <w:r>
        <w:rPr>
          <w:spacing w:val="-9"/>
          <w:w w:val="105"/>
          <w:sz w:val="16"/>
        </w:rPr>
        <w:t> </w:t>
      </w:r>
      <w:r>
        <w:rPr>
          <w:w w:val="105"/>
          <w:sz w:val="16"/>
        </w:rPr>
        <w:t>present</w:t>
      </w:r>
      <w:r>
        <w:rPr>
          <w:spacing w:val="-9"/>
          <w:w w:val="105"/>
          <w:sz w:val="16"/>
        </w:rPr>
        <w:t> </w:t>
      </w:r>
      <w:r>
        <w:rPr>
          <w:w w:val="105"/>
          <w:sz w:val="16"/>
        </w:rPr>
        <w:t>in</w:t>
      </w:r>
      <w:r>
        <w:rPr>
          <w:spacing w:val="-9"/>
          <w:w w:val="105"/>
          <w:sz w:val="16"/>
        </w:rPr>
        <w:t> </w:t>
      </w:r>
      <w:r>
        <w:rPr>
          <w:w w:val="105"/>
          <w:sz w:val="16"/>
        </w:rPr>
        <w:t>all</w:t>
      </w:r>
      <w:r>
        <w:rPr>
          <w:spacing w:val="-9"/>
          <w:w w:val="105"/>
          <w:sz w:val="16"/>
        </w:rPr>
        <w:t> </w:t>
      </w:r>
      <w:r>
        <w:rPr>
          <w:w w:val="105"/>
          <w:sz w:val="16"/>
        </w:rPr>
        <w:t>material</w:t>
      </w:r>
      <w:r>
        <w:rPr>
          <w:spacing w:val="-9"/>
          <w:w w:val="105"/>
          <w:sz w:val="16"/>
        </w:rPr>
        <w:t> </w:t>
      </w:r>
      <w:r>
        <w:rPr>
          <w:w w:val="105"/>
          <w:sz w:val="16"/>
        </w:rPr>
        <w:t>respects</w:t>
      </w:r>
      <w:r>
        <w:rPr>
          <w:spacing w:val="-9"/>
          <w:w w:val="105"/>
          <w:sz w:val="16"/>
        </w:rPr>
        <w:t> </w:t>
      </w:r>
      <w:r>
        <w:rPr>
          <w:w w:val="105"/>
          <w:sz w:val="16"/>
        </w:rPr>
        <w:t>the</w:t>
      </w:r>
      <w:r>
        <w:rPr>
          <w:spacing w:val="-7"/>
          <w:w w:val="105"/>
          <w:sz w:val="16"/>
        </w:rPr>
        <w:t> </w:t>
      </w:r>
      <w:r>
        <w:rPr>
          <w:w w:val="105"/>
          <w:sz w:val="16"/>
        </w:rPr>
        <w:t>financial</w:t>
      </w:r>
      <w:r>
        <w:rPr>
          <w:spacing w:val="-9"/>
          <w:w w:val="105"/>
          <w:sz w:val="16"/>
        </w:rPr>
        <w:t> </w:t>
      </w:r>
      <w:r>
        <w:rPr>
          <w:w w:val="105"/>
          <w:sz w:val="16"/>
        </w:rPr>
        <w:t>condition, results of operations and cash flows of the registrant as of, and for, the periods presented in this report;</w:t>
      </w:r>
    </w:p>
    <w:p>
      <w:pPr>
        <w:pStyle w:val="BodyText"/>
        <w:spacing w:before="19"/>
      </w:pPr>
    </w:p>
    <w:p>
      <w:pPr>
        <w:pStyle w:val="ListParagraph"/>
        <w:numPr>
          <w:ilvl w:val="0"/>
          <w:numId w:val="67"/>
        </w:numPr>
        <w:tabs>
          <w:tab w:pos="462" w:val="left" w:leader="none"/>
        </w:tabs>
        <w:spacing w:line="266" w:lineRule="auto" w:before="1" w:after="0"/>
        <w:ind w:left="462" w:right="440" w:hanging="306"/>
        <w:jc w:val="left"/>
        <w:rPr>
          <w:sz w:val="16"/>
        </w:rPr>
      </w:pPr>
      <w:r>
        <w:rPr>
          <w:w w:val="105"/>
          <w:sz w:val="16"/>
        </w:rPr>
        <w:t>The</w:t>
      </w:r>
      <w:r>
        <w:rPr>
          <w:spacing w:val="-9"/>
          <w:w w:val="105"/>
          <w:sz w:val="16"/>
        </w:rPr>
        <w:t> </w:t>
      </w:r>
      <w:r>
        <w:rPr>
          <w:w w:val="105"/>
          <w:sz w:val="16"/>
        </w:rPr>
        <w:t>registrant’s</w:t>
      </w:r>
      <w:r>
        <w:rPr>
          <w:spacing w:val="-9"/>
          <w:w w:val="105"/>
          <w:sz w:val="16"/>
        </w:rPr>
        <w:t> </w:t>
      </w:r>
      <w:r>
        <w:rPr>
          <w:w w:val="105"/>
          <w:sz w:val="16"/>
        </w:rPr>
        <w:t>other</w:t>
      </w:r>
      <w:r>
        <w:rPr>
          <w:spacing w:val="-7"/>
          <w:w w:val="105"/>
          <w:sz w:val="16"/>
        </w:rPr>
        <w:t> </w:t>
      </w:r>
      <w:r>
        <w:rPr>
          <w:w w:val="105"/>
          <w:sz w:val="16"/>
        </w:rPr>
        <w:t>certifying</w:t>
      </w:r>
      <w:r>
        <w:rPr>
          <w:spacing w:val="-9"/>
          <w:w w:val="105"/>
          <w:sz w:val="16"/>
        </w:rPr>
        <w:t> </w:t>
      </w:r>
      <w:r>
        <w:rPr>
          <w:w w:val="105"/>
          <w:sz w:val="16"/>
        </w:rPr>
        <w:t>officer</w:t>
      </w:r>
      <w:r>
        <w:rPr>
          <w:spacing w:val="-7"/>
          <w:w w:val="105"/>
          <w:sz w:val="16"/>
        </w:rPr>
        <w:t> </w:t>
      </w:r>
      <w:r>
        <w:rPr>
          <w:w w:val="105"/>
          <w:sz w:val="16"/>
        </w:rPr>
        <w:t>and</w:t>
      </w:r>
      <w:r>
        <w:rPr>
          <w:spacing w:val="-9"/>
          <w:w w:val="105"/>
          <w:sz w:val="16"/>
        </w:rPr>
        <w:t> </w:t>
      </w:r>
      <w:r>
        <w:rPr>
          <w:w w:val="105"/>
          <w:sz w:val="16"/>
        </w:rPr>
        <w:t>I</w:t>
      </w:r>
      <w:r>
        <w:rPr>
          <w:spacing w:val="-9"/>
          <w:w w:val="105"/>
          <w:sz w:val="16"/>
        </w:rPr>
        <w:t> </w:t>
      </w:r>
      <w:r>
        <w:rPr>
          <w:w w:val="105"/>
          <w:sz w:val="16"/>
        </w:rPr>
        <w:t>are</w:t>
      </w:r>
      <w:r>
        <w:rPr>
          <w:spacing w:val="-9"/>
          <w:w w:val="105"/>
          <w:sz w:val="16"/>
        </w:rPr>
        <w:t> </w:t>
      </w:r>
      <w:r>
        <w:rPr>
          <w:w w:val="105"/>
          <w:sz w:val="16"/>
        </w:rPr>
        <w:t>responsible</w:t>
      </w:r>
      <w:r>
        <w:rPr>
          <w:spacing w:val="-9"/>
          <w:w w:val="105"/>
          <w:sz w:val="16"/>
        </w:rPr>
        <w:t> </w:t>
      </w:r>
      <w:r>
        <w:rPr>
          <w:w w:val="105"/>
          <w:sz w:val="16"/>
        </w:rPr>
        <w:t>for</w:t>
      </w:r>
      <w:r>
        <w:rPr>
          <w:spacing w:val="-9"/>
          <w:w w:val="105"/>
          <w:sz w:val="16"/>
        </w:rPr>
        <w:t> </w:t>
      </w:r>
      <w:r>
        <w:rPr>
          <w:w w:val="105"/>
          <w:sz w:val="16"/>
        </w:rPr>
        <w:t>establishing</w:t>
      </w:r>
      <w:r>
        <w:rPr>
          <w:spacing w:val="-9"/>
          <w:w w:val="105"/>
          <w:sz w:val="16"/>
        </w:rPr>
        <w:t> </w:t>
      </w:r>
      <w:r>
        <w:rPr>
          <w:w w:val="105"/>
          <w:sz w:val="16"/>
        </w:rPr>
        <w:t>and</w:t>
      </w:r>
      <w:r>
        <w:rPr>
          <w:spacing w:val="-9"/>
          <w:w w:val="105"/>
          <w:sz w:val="16"/>
        </w:rPr>
        <w:t> </w:t>
      </w:r>
      <w:r>
        <w:rPr>
          <w:w w:val="105"/>
          <w:sz w:val="16"/>
        </w:rPr>
        <w:t>maintaining</w:t>
      </w:r>
      <w:r>
        <w:rPr>
          <w:spacing w:val="-9"/>
          <w:w w:val="105"/>
          <w:sz w:val="16"/>
        </w:rPr>
        <w:t> </w:t>
      </w:r>
      <w:r>
        <w:rPr>
          <w:w w:val="105"/>
          <w:sz w:val="16"/>
        </w:rPr>
        <w:t>disclosure</w:t>
      </w:r>
      <w:r>
        <w:rPr>
          <w:spacing w:val="-9"/>
          <w:w w:val="105"/>
          <w:sz w:val="16"/>
        </w:rPr>
        <w:t> </w:t>
      </w:r>
      <w:r>
        <w:rPr>
          <w:w w:val="105"/>
          <w:sz w:val="16"/>
        </w:rPr>
        <w:t>controls</w:t>
      </w:r>
      <w:r>
        <w:rPr>
          <w:spacing w:val="-9"/>
          <w:w w:val="105"/>
          <w:sz w:val="16"/>
        </w:rPr>
        <w:t> </w:t>
      </w:r>
      <w:r>
        <w:rPr>
          <w:w w:val="105"/>
          <w:sz w:val="16"/>
        </w:rPr>
        <w:t>and</w:t>
      </w:r>
      <w:r>
        <w:rPr>
          <w:spacing w:val="-9"/>
          <w:w w:val="105"/>
          <w:sz w:val="16"/>
        </w:rPr>
        <w:t> </w:t>
      </w:r>
      <w:r>
        <w:rPr>
          <w:w w:val="105"/>
          <w:sz w:val="16"/>
        </w:rPr>
        <w:t>procedures</w:t>
      </w:r>
      <w:r>
        <w:rPr>
          <w:spacing w:val="-9"/>
          <w:w w:val="105"/>
          <w:sz w:val="16"/>
        </w:rPr>
        <w:t> </w:t>
      </w:r>
      <w:r>
        <w:rPr>
          <w:w w:val="105"/>
          <w:sz w:val="16"/>
        </w:rPr>
        <w:t>(as</w:t>
      </w:r>
      <w:r>
        <w:rPr>
          <w:spacing w:val="-9"/>
          <w:w w:val="105"/>
          <w:sz w:val="16"/>
        </w:rPr>
        <w:t> </w:t>
      </w:r>
      <w:r>
        <w:rPr>
          <w:w w:val="105"/>
          <w:sz w:val="16"/>
        </w:rPr>
        <w:t>defined</w:t>
      </w:r>
      <w:r>
        <w:rPr>
          <w:spacing w:val="-9"/>
          <w:w w:val="105"/>
          <w:sz w:val="16"/>
        </w:rPr>
        <w:t> </w:t>
      </w:r>
      <w:r>
        <w:rPr>
          <w:w w:val="105"/>
          <w:sz w:val="16"/>
        </w:rPr>
        <w:t>in</w:t>
      </w:r>
      <w:r>
        <w:rPr>
          <w:spacing w:val="-9"/>
          <w:w w:val="105"/>
          <w:sz w:val="16"/>
        </w:rPr>
        <w:t> </w:t>
      </w:r>
      <w:r>
        <w:rPr>
          <w:w w:val="105"/>
          <w:sz w:val="16"/>
        </w:rPr>
        <w:t>Exchange</w:t>
      </w:r>
      <w:r>
        <w:rPr>
          <w:spacing w:val="-9"/>
          <w:w w:val="105"/>
          <w:sz w:val="16"/>
        </w:rPr>
        <w:t> </w:t>
      </w:r>
      <w:r>
        <w:rPr>
          <w:w w:val="105"/>
          <w:sz w:val="16"/>
        </w:rPr>
        <w:t>Act</w:t>
      </w:r>
      <w:r>
        <w:rPr>
          <w:spacing w:val="-9"/>
          <w:w w:val="105"/>
          <w:sz w:val="16"/>
        </w:rPr>
        <w:t> </w:t>
      </w:r>
      <w:r>
        <w:rPr>
          <w:w w:val="105"/>
          <w:sz w:val="16"/>
        </w:rPr>
        <w:t>Rules 13a-15(e)</w:t>
      </w:r>
      <w:r>
        <w:rPr>
          <w:spacing w:val="-1"/>
          <w:w w:val="105"/>
          <w:sz w:val="16"/>
        </w:rPr>
        <w:t> </w:t>
      </w:r>
      <w:r>
        <w:rPr>
          <w:w w:val="105"/>
          <w:sz w:val="16"/>
        </w:rPr>
        <w:t>and</w:t>
      </w:r>
      <w:r>
        <w:rPr>
          <w:spacing w:val="-1"/>
          <w:w w:val="105"/>
          <w:sz w:val="16"/>
        </w:rPr>
        <w:t> </w:t>
      </w:r>
      <w:r>
        <w:rPr>
          <w:w w:val="105"/>
          <w:sz w:val="16"/>
        </w:rPr>
        <w:t>15d-15(e))</w:t>
      </w:r>
      <w:r>
        <w:rPr>
          <w:spacing w:val="-1"/>
          <w:w w:val="105"/>
          <w:sz w:val="16"/>
        </w:rPr>
        <w:t> </w:t>
      </w:r>
      <w:r>
        <w:rPr>
          <w:w w:val="105"/>
          <w:sz w:val="16"/>
        </w:rPr>
        <w:t>and internal</w:t>
      </w:r>
      <w:r>
        <w:rPr>
          <w:spacing w:val="-1"/>
          <w:w w:val="105"/>
          <w:sz w:val="16"/>
        </w:rPr>
        <w:t> </w:t>
      </w:r>
      <w:r>
        <w:rPr>
          <w:w w:val="105"/>
          <w:sz w:val="16"/>
        </w:rPr>
        <w:t>control</w:t>
      </w:r>
      <w:r>
        <w:rPr>
          <w:spacing w:val="-1"/>
          <w:w w:val="105"/>
          <w:sz w:val="16"/>
        </w:rPr>
        <w:t> </w:t>
      </w:r>
      <w:r>
        <w:rPr>
          <w:w w:val="105"/>
          <w:sz w:val="16"/>
        </w:rPr>
        <w:t>over</w:t>
      </w:r>
      <w:r>
        <w:rPr>
          <w:spacing w:val="-1"/>
          <w:w w:val="105"/>
          <w:sz w:val="16"/>
        </w:rPr>
        <w:t> </w:t>
      </w:r>
      <w:r>
        <w:rPr>
          <w:w w:val="105"/>
          <w:sz w:val="16"/>
        </w:rPr>
        <w:t>financial</w:t>
      </w:r>
      <w:r>
        <w:rPr>
          <w:spacing w:val="-1"/>
          <w:w w:val="105"/>
          <w:sz w:val="16"/>
        </w:rPr>
        <w:t> </w:t>
      </w:r>
      <w:r>
        <w:rPr>
          <w:w w:val="105"/>
          <w:sz w:val="16"/>
        </w:rPr>
        <w:t>reporting</w:t>
      </w:r>
      <w:r>
        <w:rPr>
          <w:spacing w:val="-1"/>
          <w:w w:val="105"/>
          <w:sz w:val="16"/>
        </w:rPr>
        <w:t> </w:t>
      </w:r>
      <w:r>
        <w:rPr>
          <w:w w:val="105"/>
          <w:sz w:val="16"/>
        </w:rPr>
        <w:t>(as</w:t>
      </w:r>
      <w:r>
        <w:rPr>
          <w:spacing w:val="-1"/>
          <w:w w:val="105"/>
          <w:sz w:val="16"/>
        </w:rPr>
        <w:t> </w:t>
      </w:r>
      <w:r>
        <w:rPr>
          <w:w w:val="105"/>
          <w:sz w:val="16"/>
        </w:rPr>
        <w:t>defined</w:t>
      </w:r>
      <w:r>
        <w:rPr>
          <w:spacing w:val="-1"/>
          <w:w w:val="105"/>
          <w:sz w:val="16"/>
        </w:rPr>
        <w:t> </w:t>
      </w:r>
      <w:r>
        <w:rPr>
          <w:w w:val="105"/>
          <w:sz w:val="16"/>
        </w:rPr>
        <w:t>in</w:t>
      </w:r>
      <w:r>
        <w:rPr>
          <w:spacing w:val="-1"/>
          <w:w w:val="105"/>
          <w:sz w:val="16"/>
        </w:rPr>
        <w:t> </w:t>
      </w:r>
      <w:r>
        <w:rPr>
          <w:w w:val="105"/>
          <w:sz w:val="16"/>
        </w:rPr>
        <w:t>Exchange</w:t>
      </w:r>
      <w:r>
        <w:rPr>
          <w:spacing w:val="-1"/>
          <w:w w:val="105"/>
          <w:sz w:val="16"/>
        </w:rPr>
        <w:t> </w:t>
      </w:r>
      <w:r>
        <w:rPr>
          <w:w w:val="105"/>
          <w:sz w:val="16"/>
        </w:rPr>
        <w:t>Act</w:t>
      </w:r>
      <w:r>
        <w:rPr>
          <w:spacing w:val="-1"/>
          <w:w w:val="105"/>
          <w:sz w:val="16"/>
        </w:rPr>
        <w:t> </w:t>
      </w:r>
      <w:r>
        <w:rPr>
          <w:w w:val="105"/>
          <w:sz w:val="16"/>
        </w:rPr>
        <w:t>Rules</w:t>
      </w:r>
      <w:r>
        <w:rPr>
          <w:spacing w:val="-1"/>
          <w:w w:val="105"/>
          <w:sz w:val="16"/>
        </w:rPr>
        <w:t> </w:t>
      </w:r>
      <w:r>
        <w:rPr>
          <w:w w:val="105"/>
          <w:sz w:val="16"/>
        </w:rPr>
        <w:t>13a-15(f)</w:t>
      </w:r>
      <w:r>
        <w:rPr>
          <w:spacing w:val="-1"/>
          <w:w w:val="105"/>
          <w:sz w:val="16"/>
        </w:rPr>
        <w:t> </w:t>
      </w:r>
      <w:r>
        <w:rPr>
          <w:w w:val="105"/>
          <w:sz w:val="16"/>
        </w:rPr>
        <w:t>and</w:t>
      </w:r>
      <w:r>
        <w:rPr>
          <w:spacing w:val="-1"/>
          <w:w w:val="105"/>
          <w:sz w:val="16"/>
        </w:rPr>
        <w:t> </w:t>
      </w:r>
      <w:r>
        <w:rPr>
          <w:w w:val="105"/>
          <w:sz w:val="16"/>
        </w:rPr>
        <w:t>15d-15(f))</w:t>
      </w:r>
      <w:r>
        <w:rPr>
          <w:spacing w:val="-1"/>
          <w:w w:val="105"/>
          <w:sz w:val="16"/>
        </w:rPr>
        <w:t> </w:t>
      </w:r>
      <w:r>
        <w:rPr>
          <w:w w:val="105"/>
          <w:sz w:val="16"/>
        </w:rPr>
        <w:t>for</w:t>
      </w:r>
      <w:r>
        <w:rPr>
          <w:spacing w:val="-1"/>
          <w:w w:val="105"/>
          <w:sz w:val="16"/>
        </w:rPr>
        <w:t> </w:t>
      </w:r>
      <w:r>
        <w:rPr>
          <w:w w:val="105"/>
          <w:sz w:val="16"/>
        </w:rPr>
        <w:t>the</w:t>
      </w:r>
      <w:r>
        <w:rPr>
          <w:spacing w:val="-1"/>
          <w:w w:val="105"/>
          <w:sz w:val="16"/>
        </w:rPr>
        <w:t> </w:t>
      </w:r>
      <w:r>
        <w:rPr>
          <w:w w:val="105"/>
          <w:sz w:val="16"/>
        </w:rPr>
        <w:t>registrant</w:t>
      </w:r>
      <w:r>
        <w:rPr>
          <w:spacing w:val="-1"/>
          <w:w w:val="105"/>
          <w:sz w:val="16"/>
        </w:rPr>
        <w:t> </w:t>
      </w:r>
      <w:r>
        <w:rPr>
          <w:w w:val="105"/>
          <w:sz w:val="16"/>
        </w:rPr>
        <w:t>and</w:t>
      </w:r>
      <w:r>
        <w:rPr>
          <w:spacing w:val="-1"/>
          <w:w w:val="105"/>
          <w:sz w:val="16"/>
        </w:rPr>
        <w:t> </w:t>
      </w:r>
      <w:r>
        <w:rPr>
          <w:w w:val="105"/>
          <w:sz w:val="16"/>
        </w:rPr>
        <w:t>have:</w:t>
      </w:r>
    </w:p>
    <w:p>
      <w:pPr>
        <w:pStyle w:val="BodyText"/>
        <w:spacing w:before="18"/>
      </w:pPr>
    </w:p>
    <w:p>
      <w:pPr>
        <w:pStyle w:val="ListParagraph"/>
        <w:numPr>
          <w:ilvl w:val="1"/>
          <w:numId w:val="67"/>
        </w:numPr>
        <w:tabs>
          <w:tab w:pos="766" w:val="left" w:leader="none"/>
          <w:tab w:pos="768" w:val="left" w:leader="none"/>
        </w:tabs>
        <w:spacing w:line="266" w:lineRule="auto" w:before="1" w:after="0"/>
        <w:ind w:left="768" w:right="258" w:hanging="306"/>
        <w:jc w:val="left"/>
        <w:rPr>
          <w:sz w:val="16"/>
        </w:rPr>
      </w:pPr>
      <w:r>
        <w:rPr>
          <w:w w:val="105"/>
          <w:sz w:val="16"/>
        </w:rPr>
        <w:t>Designed</w:t>
      </w:r>
      <w:r>
        <w:rPr>
          <w:spacing w:val="-9"/>
          <w:w w:val="105"/>
          <w:sz w:val="16"/>
        </w:rPr>
        <w:t> </w:t>
      </w:r>
      <w:r>
        <w:rPr>
          <w:w w:val="105"/>
          <w:sz w:val="16"/>
        </w:rPr>
        <w:t>such</w:t>
      </w:r>
      <w:r>
        <w:rPr>
          <w:spacing w:val="-9"/>
          <w:w w:val="105"/>
          <w:sz w:val="16"/>
        </w:rPr>
        <w:t> </w:t>
      </w:r>
      <w:r>
        <w:rPr>
          <w:w w:val="105"/>
          <w:sz w:val="16"/>
        </w:rPr>
        <w:t>disclosure</w:t>
      </w:r>
      <w:r>
        <w:rPr>
          <w:spacing w:val="-9"/>
          <w:w w:val="105"/>
          <w:sz w:val="16"/>
        </w:rPr>
        <w:t> </w:t>
      </w:r>
      <w:r>
        <w:rPr>
          <w:w w:val="105"/>
          <w:sz w:val="16"/>
        </w:rPr>
        <w:t>controls</w:t>
      </w:r>
      <w:r>
        <w:rPr>
          <w:spacing w:val="-7"/>
          <w:w w:val="105"/>
          <w:sz w:val="16"/>
        </w:rPr>
        <w:t> </w:t>
      </w:r>
      <w:r>
        <w:rPr>
          <w:w w:val="105"/>
          <w:sz w:val="16"/>
        </w:rPr>
        <w:t>and</w:t>
      </w:r>
      <w:r>
        <w:rPr>
          <w:spacing w:val="-9"/>
          <w:w w:val="105"/>
          <w:sz w:val="16"/>
        </w:rPr>
        <w:t> </w:t>
      </w:r>
      <w:r>
        <w:rPr>
          <w:w w:val="105"/>
          <w:sz w:val="16"/>
        </w:rPr>
        <w:t>procedures,</w:t>
      </w:r>
      <w:r>
        <w:rPr>
          <w:spacing w:val="-9"/>
          <w:w w:val="105"/>
          <w:sz w:val="16"/>
        </w:rPr>
        <w:t> </w:t>
      </w:r>
      <w:r>
        <w:rPr>
          <w:w w:val="105"/>
          <w:sz w:val="16"/>
        </w:rPr>
        <w:t>or</w:t>
      </w:r>
      <w:r>
        <w:rPr>
          <w:spacing w:val="-9"/>
          <w:w w:val="105"/>
          <w:sz w:val="16"/>
        </w:rPr>
        <w:t> </w:t>
      </w:r>
      <w:r>
        <w:rPr>
          <w:w w:val="105"/>
          <w:sz w:val="16"/>
        </w:rPr>
        <w:t>caused</w:t>
      </w:r>
      <w:r>
        <w:rPr>
          <w:spacing w:val="-9"/>
          <w:w w:val="105"/>
          <w:sz w:val="16"/>
        </w:rPr>
        <w:t> </w:t>
      </w:r>
      <w:r>
        <w:rPr>
          <w:w w:val="105"/>
          <w:sz w:val="16"/>
        </w:rPr>
        <w:t>such</w:t>
      </w:r>
      <w:r>
        <w:rPr>
          <w:spacing w:val="-9"/>
          <w:w w:val="105"/>
          <w:sz w:val="16"/>
        </w:rPr>
        <w:t> </w:t>
      </w:r>
      <w:r>
        <w:rPr>
          <w:w w:val="105"/>
          <w:sz w:val="16"/>
        </w:rPr>
        <w:t>disclosure</w:t>
      </w:r>
      <w:r>
        <w:rPr>
          <w:spacing w:val="-9"/>
          <w:w w:val="105"/>
          <w:sz w:val="16"/>
        </w:rPr>
        <w:t> </w:t>
      </w:r>
      <w:r>
        <w:rPr>
          <w:w w:val="105"/>
          <w:sz w:val="16"/>
        </w:rPr>
        <w:t>controls</w:t>
      </w:r>
      <w:r>
        <w:rPr>
          <w:spacing w:val="-9"/>
          <w:w w:val="105"/>
          <w:sz w:val="16"/>
        </w:rPr>
        <w:t> </w:t>
      </w:r>
      <w:r>
        <w:rPr>
          <w:w w:val="105"/>
          <w:sz w:val="16"/>
        </w:rPr>
        <w:t>and</w:t>
      </w:r>
      <w:r>
        <w:rPr>
          <w:spacing w:val="-9"/>
          <w:w w:val="105"/>
          <w:sz w:val="16"/>
        </w:rPr>
        <w:t> </w:t>
      </w:r>
      <w:r>
        <w:rPr>
          <w:w w:val="105"/>
          <w:sz w:val="16"/>
        </w:rPr>
        <w:t>procedures</w:t>
      </w:r>
      <w:r>
        <w:rPr>
          <w:spacing w:val="-7"/>
          <w:w w:val="105"/>
          <w:sz w:val="16"/>
        </w:rPr>
        <w:t> </w:t>
      </w:r>
      <w:r>
        <w:rPr>
          <w:w w:val="105"/>
          <w:sz w:val="16"/>
        </w:rPr>
        <w:t>to</w:t>
      </w:r>
      <w:r>
        <w:rPr>
          <w:spacing w:val="-9"/>
          <w:w w:val="105"/>
          <w:sz w:val="16"/>
        </w:rPr>
        <w:t> </w:t>
      </w:r>
      <w:r>
        <w:rPr>
          <w:w w:val="105"/>
          <w:sz w:val="16"/>
        </w:rPr>
        <w:t>be</w:t>
      </w:r>
      <w:r>
        <w:rPr>
          <w:spacing w:val="-9"/>
          <w:w w:val="105"/>
          <w:sz w:val="16"/>
        </w:rPr>
        <w:t> </w:t>
      </w:r>
      <w:r>
        <w:rPr>
          <w:w w:val="105"/>
          <w:sz w:val="16"/>
        </w:rPr>
        <w:t>designed</w:t>
      </w:r>
      <w:r>
        <w:rPr>
          <w:spacing w:val="-9"/>
          <w:w w:val="105"/>
          <w:sz w:val="16"/>
        </w:rPr>
        <w:t> </w:t>
      </w:r>
      <w:r>
        <w:rPr>
          <w:w w:val="105"/>
          <w:sz w:val="16"/>
        </w:rPr>
        <w:t>under</w:t>
      </w:r>
      <w:r>
        <w:rPr>
          <w:spacing w:val="-9"/>
          <w:w w:val="105"/>
          <w:sz w:val="16"/>
        </w:rPr>
        <w:t> </w:t>
      </w:r>
      <w:r>
        <w:rPr>
          <w:w w:val="105"/>
          <w:sz w:val="16"/>
        </w:rPr>
        <w:t>our</w:t>
      </w:r>
      <w:r>
        <w:rPr>
          <w:spacing w:val="-9"/>
          <w:w w:val="105"/>
          <w:sz w:val="16"/>
        </w:rPr>
        <w:t> </w:t>
      </w:r>
      <w:r>
        <w:rPr>
          <w:w w:val="105"/>
          <w:sz w:val="16"/>
        </w:rPr>
        <w:t>supervision,</w:t>
      </w:r>
      <w:r>
        <w:rPr>
          <w:spacing w:val="-9"/>
          <w:w w:val="105"/>
          <w:sz w:val="16"/>
        </w:rPr>
        <w:t> </w:t>
      </w:r>
      <w:r>
        <w:rPr>
          <w:w w:val="105"/>
          <w:sz w:val="16"/>
        </w:rPr>
        <w:t>to</w:t>
      </w:r>
      <w:r>
        <w:rPr>
          <w:spacing w:val="-7"/>
          <w:w w:val="105"/>
          <w:sz w:val="16"/>
        </w:rPr>
        <w:t> </w:t>
      </w:r>
      <w:r>
        <w:rPr>
          <w:w w:val="105"/>
          <w:sz w:val="16"/>
        </w:rPr>
        <w:t>ensure</w:t>
      </w:r>
      <w:r>
        <w:rPr>
          <w:spacing w:val="-9"/>
          <w:w w:val="105"/>
          <w:sz w:val="16"/>
        </w:rPr>
        <w:t> </w:t>
      </w:r>
      <w:r>
        <w:rPr>
          <w:w w:val="105"/>
          <w:sz w:val="16"/>
        </w:rPr>
        <w:t>that</w:t>
      </w:r>
      <w:r>
        <w:rPr>
          <w:spacing w:val="-9"/>
          <w:w w:val="105"/>
          <w:sz w:val="16"/>
        </w:rPr>
        <w:t> </w:t>
      </w:r>
      <w:r>
        <w:rPr>
          <w:w w:val="105"/>
          <w:sz w:val="16"/>
        </w:rPr>
        <w:t>material information</w:t>
      </w:r>
      <w:r>
        <w:rPr>
          <w:spacing w:val="-6"/>
          <w:w w:val="105"/>
          <w:sz w:val="16"/>
        </w:rPr>
        <w:t> </w:t>
      </w:r>
      <w:r>
        <w:rPr>
          <w:w w:val="105"/>
          <w:sz w:val="16"/>
        </w:rPr>
        <w:t>relating</w:t>
      </w:r>
      <w:r>
        <w:rPr>
          <w:spacing w:val="-6"/>
          <w:w w:val="105"/>
          <w:sz w:val="16"/>
        </w:rPr>
        <w:t> </w:t>
      </w:r>
      <w:r>
        <w:rPr>
          <w:w w:val="105"/>
          <w:sz w:val="16"/>
        </w:rPr>
        <w:t>to</w:t>
      </w:r>
      <w:r>
        <w:rPr>
          <w:spacing w:val="-6"/>
          <w:w w:val="105"/>
          <w:sz w:val="16"/>
        </w:rPr>
        <w:t> </w:t>
      </w:r>
      <w:r>
        <w:rPr>
          <w:w w:val="105"/>
          <w:sz w:val="16"/>
        </w:rPr>
        <w:t>the</w:t>
      </w:r>
      <w:r>
        <w:rPr>
          <w:spacing w:val="-6"/>
          <w:w w:val="105"/>
          <w:sz w:val="16"/>
        </w:rPr>
        <w:t> </w:t>
      </w:r>
      <w:r>
        <w:rPr>
          <w:w w:val="105"/>
          <w:sz w:val="16"/>
        </w:rPr>
        <w:t>registrant,</w:t>
      </w:r>
      <w:r>
        <w:rPr>
          <w:spacing w:val="-6"/>
          <w:w w:val="105"/>
          <w:sz w:val="16"/>
        </w:rPr>
        <w:t> </w:t>
      </w:r>
      <w:r>
        <w:rPr>
          <w:w w:val="105"/>
          <w:sz w:val="16"/>
        </w:rPr>
        <w:t>including</w:t>
      </w:r>
      <w:r>
        <w:rPr>
          <w:spacing w:val="-6"/>
          <w:w w:val="105"/>
          <w:sz w:val="16"/>
        </w:rPr>
        <w:t> </w:t>
      </w:r>
      <w:r>
        <w:rPr>
          <w:w w:val="105"/>
          <w:sz w:val="16"/>
        </w:rPr>
        <w:t>its</w:t>
      </w:r>
      <w:r>
        <w:rPr>
          <w:spacing w:val="-6"/>
          <w:w w:val="105"/>
          <w:sz w:val="16"/>
        </w:rPr>
        <w:t> </w:t>
      </w:r>
      <w:r>
        <w:rPr>
          <w:w w:val="105"/>
          <w:sz w:val="16"/>
        </w:rPr>
        <w:t>consolidated</w:t>
      </w:r>
      <w:r>
        <w:rPr>
          <w:spacing w:val="-6"/>
          <w:w w:val="105"/>
          <w:sz w:val="16"/>
        </w:rPr>
        <w:t> </w:t>
      </w:r>
      <w:r>
        <w:rPr>
          <w:w w:val="105"/>
          <w:sz w:val="16"/>
        </w:rPr>
        <w:t>subsidiaries,</w:t>
      </w:r>
      <w:r>
        <w:rPr>
          <w:spacing w:val="-6"/>
          <w:w w:val="105"/>
          <w:sz w:val="16"/>
        </w:rPr>
        <w:t> </w:t>
      </w:r>
      <w:r>
        <w:rPr>
          <w:w w:val="105"/>
          <w:sz w:val="16"/>
        </w:rPr>
        <w:t>is</w:t>
      </w:r>
      <w:r>
        <w:rPr>
          <w:spacing w:val="-6"/>
          <w:w w:val="105"/>
          <w:sz w:val="16"/>
        </w:rPr>
        <w:t> </w:t>
      </w:r>
      <w:r>
        <w:rPr>
          <w:w w:val="105"/>
          <w:sz w:val="16"/>
        </w:rPr>
        <w:t>made</w:t>
      </w:r>
      <w:r>
        <w:rPr>
          <w:spacing w:val="-6"/>
          <w:w w:val="105"/>
          <w:sz w:val="16"/>
        </w:rPr>
        <w:t> </w:t>
      </w:r>
      <w:r>
        <w:rPr>
          <w:w w:val="105"/>
          <w:sz w:val="16"/>
        </w:rPr>
        <w:t>known</w:t>
      </w:r>
      <w:r>
        <w:rPr>
          <w:spacing w:val="-6"/>
          <w:w w:val="105"/>
          <w:sz w:val="16"/>
        </w:rPr>
        <w:t> </w:t>
      </w:r>
      <w:r>
        <w:rPr>
          <w:w w:val="105"/>
          <w:sz w:val="16"/>
        </w:rPr>
        <w:t>to</w:t>
      </w:r>
      <w:r>
        <w:rPr>
          <w:spacing w:val="-6"/>
          <w:w w:val="105"/>
          <w:sz w:val="16"/>
        </w:rPr>
        <w:t> </w:t>
      </w:r>
      <w:r>
        <w:rPr>
          <w:w w:val="105"/>
          <w:sz w:val="16"/>
        </w:rPr>
        <w:t>us</w:t>
      </w:r>
      <w:r>
        <w:rPr>
          <w:spacing w:val="-6"/>
          <w:w w:val="105"/>
          <w:sz w:val="16"/>
        </w:rPr>
        <w:t> </w:t>
      </w:r>
      <w:r>
        <w:rPr>
          <w:w w:val="105"/>
          <w:sz w:val="16"/>
        </w:rPr>
        <w:t>by</w:t>
      </w:r>
      <w:r>
        <w:rPr>
          <w:spacing w:val="-6"/>
          <w:w w:val="105"/>
          <w:sz w:val="16"/>
        </w:rPr>
        <w:t> </w:t>
      </w:r>
      <w:r>
        <w:rPr>
          <w:w w:val="105"/>
          <w:sz w:val="16"/>
        </w:rPr>
        <w:t>others</w:t>
      </w:r>
      <w:r>
        <w:rPr>
          <w:spacing w:val="-6"/>
          <w:w w:val="105"/>
          <w:sz w:val="16"/>
        </w:rPr>
        <w:t> </w:t>
      </w:r>
      <w:r>
        <w:rPr>
          <w:w w:val="105"/>
          <w:sz w:val="16"/>
        </w:rPr>
        <w:t>within</w:t>
      </w:r>
      <w:r>
        <w:rPr>
          <w:spacing w:val="-6"/>
          <w:w w:val="105"/>
          <w:sz w:val="16"/>
        </w:rPr>
        <w:t> </w:t>
      </w:r>
      <w:r>
        <w:rPr>
          <w:w w:val="105"/>
          <w:sz w:val="16"/>
        </w:rPr>
        <w:t>those</w:t>
      </w:r>
      <w:r>
        <w:rPr>
          <w:spacing w:val="-6"/>
          <w:w w:val="105"/>
          <w:sz w:val="16"/>
        </w:rPr>
        <w:t> </w:t>
      </w:r>
      <w:r>
        <w:rPr>
          <w:w w:val="105"/>
          <w:sz w:val="16"/>
        </w:rPr>
        <w:t>entities,</w:t>
      </w:r>
      <w:r>
        <w:rPr>
          <w:spacing w:val="-6"/>
          <w:w w:val="105"/>
          <w:sz w:val="16"/>
        </w:rPr>
        <w:t> </w:t>
      </w:r>
      <w:r>
        <w:rPr>
          <w:w w:val="105"/>
          <w:sz w:val="16"/>
        </w:rPr>
        <w:t>particularly</w:t>
      </w:r>
      <w:r>
        <w:rPr>
          <w:spacing w:val="-6"/>
          <w:w w:val="105"/>
          <w:sz w:val="16"/>
        </w:rPr>
        <w:t> </w:t>
      </w:r>
      <w:r>
        <w:rPr>
          <w:w w:val="105"/>
          <w:sz w:val="16"/>
        </w:rPr>
        <w:t>during</w:t>
      </w:r>
      <w:r>
        <w:rPr>
          <w:spacing w:val="-6"/>
          <w:w w:val="105"/>
          <w:sz w:val="16"/>
        </w:rPr>
        <w:t> </w:t>
      </w:r>
      <w:r>
        <w:rPr>
          <w:w w:val="105"/>
          <w:sz w:val="16"/>
        </w:rPr>
        <w:t>the</w:t>
      </w:r>
      <w:r>
        <w:rPr>
          <w:spacing w:val="-6"/>
          <w:w w:val="105"/>
          <w:sz w:val="16"/>
        </w:rPr>
        <w:t> </w:t>
      </w:r>
      <w:r>
        <w:rPr>
          <w:w w:val="105"/>
          <w:sz w:val="16"/>
        </w:rPr>
        <w:t>period</w:t>
      </w:r>
      <w:r>
        <w:rPr>
          <w:spacing w:val="-6"/>
          <w:w w:val="105"/>
          <w:sz w:val="16"/>
        </w:rPr>
        <w:t> </w:t>
      </w:r>
      <w:r>
        <w:rPr>
          <w:w w:val="105"/>
          <w:sz w:val="16"/>
        </w:rPr>
        <w:t>in which this report is being prepared;</w:t>
      </w:r>
    </w:p>
    <w:p>
      <w:pPr>
        <w:pStyle w:val="BodyText"/>
        <w:spacing w:before="18"/>
      </w:pPr>
    </w:p>
    <w:p>
      <w:pPr>
        <w:pStyle w:val="ListParagraph"/>
        <w:numPr>
          <w:ilvl w:val="1"/>
          <w:numId w:val="67"/>
        </w:numPr>
        <w:tabs>
          <w:tab w:pos="768" w:val="left" w:leader="none"/>
        </w:tabs>
        <w:spacing w:line="266" w:lineRule="auto" w:before="0" w:after="0"/>
        <w:ind w:left="768" w:right="297" w:hanging="306"/>
        <w:jc w:val="left"/>
        <w:rPr>
          <w:sz w:val="16"/>
        </w:rPr>
      </w:pPr>
      <w:r>
        <w:rPr>
          <w:w w:val="105"/>
          <w:sz w:val="16"/>
        </w:rPr>
        <w:t>Designed</w:t>
      </w:r>
      <w:r>
        <w:rPr>
          <w:spacing w:val="-4"/>
          <w:w w:val="105"/>
          <w:sz w:val="16"/>
        </w:rPr>
        <w:t> </w:t>
      </w:r>
      <w:r>
        <w:rPr>
          <w:w w:val="105"/>
          <w:sz w:val="16"/>
        </w:rPr>
        <w:t>such</w:t>
      </w:r>
      <w:r>
        <w:rPr>
          <w:spacing w:val="-4"/>
          <w:w w:val="105"/>
          <w:sz w:val="16"/>
        </w:rPr>
        <w:t> </w:t>
      </w:r>
      <w:r>
        <w:rPr>
          <w:w w:val="105"/>
          <w:sz w:val="16"/>
        </w:rPr>
        <w:t>internal</w:t>
      </w:r>
      <w:r>
        <w:rPr>
          <w:spacing w:val="-4"/>
          <w:w w:val="105"/>
          <w:sz w:val="16"/>
        </w:rPr>
        <w:t> </w:t>
      </w:r>
      <w:r>
        <w:rPr>
          <w:w w:val="105"/>
          <w:sz w:val="16"/>
        </w:rPr>
        <w:t>control</w:t>
      </w:r>
      <w:r>
        <w:rPr>
          <w:spacing w:val="-4"/>
          <w:w w:val="105"/>
          <w:sz w:val="16"/>
        </w:rPr>
        <w:t> </w:t>
      </w:r>
      <w:r>
        <w:rPr>
          <w:w w:val="105"/>
          <w:sz w:val="16"/>
        </w:rPr>
        <w:t>over</w:t>
      </w:r>
      <w:r>
        <w:rPr>
          <w:spacing w:val="-4"/>
          <w:w w:val="105"/>
          <w:sz w:val="16"/>
        </w:rPr>
        <w:t> </w:t>
      </w:r>
      <w:r>
        <w:rPr>
          <w:w w:val="105"/>
          <w:sz w:val="16"/>
        </w:rPr>
        <w:t>financial</w:t>
      </w:r>
      <w:r>
        <w:rPr>
          <w:spacing w:val="-4"/>
          <w:w w:val="105"/>
          <w:sz w:val="16"/>
        </w:rPr>
        <w:t> </w:t>
      </w:r>
      <w:r>
        <w:rPr>
          <w:w w:val="105"/>
          <w:sz w:val="16"/>
        </w:rPr>
        <w:t>reporting,</w:t>
      </w:r>
      <w:r>
        <w:rPr>
          <w:spacing w:val="-4"/>
          <w:w w:val="105"/>
          <w:sz w:val="16"/>
        </w:rPr>
        <w:t> </w:t>
      </w:r>
      <w:r>
        <w:rPr>
          <w:w w:val="105"/>
          <w:sz w:val="16"/>
        </w:rPr>
        <w:t>or</w:t>
      </w:r>
      <w:r>
        <w:rPr>
          <w:spacing w:val="-4"/>
          <w:w w:val="105"/>
          <w:sz w:val="16"/>
        </w:rPr>
        <w:t> </w:t>
      </w:r>
      <w:r>
        <w:rPr>
          <w:w w:val="105"/>
          <w:sz w:val="16"/>
        </w:rPr>
        <w:t>caused</w:t>
      </w:r>
      <w:r>
        <w:rPr>
          <w:spacing w:val="-4"/>
          <w:w w:val="105"/>
          <w:sz w:val="16"/>
        </w:rPr>
        <w:t> </w:t>
      </w:r>
      <w:r>
        <w:rPr>
          <w:w w:val="105"/>
          <w:sz w:val="16"/>
        </w:rPr>
        <w:t>such</w:t>
      </w:r>
      <w:r>
        <w:rPr>
          <w:spacing w:val="-4"/>
          <w:w w:val="105"/>
          <w:sz w:val="16"/>
        </w:rPr>
        <w:t> </w:t>
      </w:r>
      <w:r>
        <w:rPr>
          <w:w w:val="105"/>
          <w:sz w:val="16"/>
        </w:rPr>
        <w:t>internal</w:t>
      </w:r>
      <w:r>
        <w:rPr>
          <w:spacing w:val="-2"/>
          <w:w w:val="105"/>
          <w:sz w:val="16"/>
        </w:rPr>
        <w:t> </w:t>
      </w:r>
      <w:r>
        <w:rPr>
          <w:w w:val="105"/>
          <w:sz w:val="16"/>
        </w:rPr>
        <w:t>control</w:t>
      </w:r>
      <w:r>
        <w:rPr>
          <w:spacing w:val="-4"/>
          <w:w w:val="105"/>
          <w:sz w:val="16"/>
        </w:rPr>
        <w:t> </w:t>
      </w:r>
      <w:r>
        <w:rPr>
          <w:w w:val="105"/>
          <w:sz w:val="16"/>
        </w:rPr>
        <w:t>over</w:t>
      </w:r>
      <w:r>
        <w:rPr>
          <w:spacing w:val="-4"/>
          <w:w w:val="105"/>
          <w:sz w:val="16"/>
        </w:rPr>
        <w:t> </w:t>
      </w:r>
      <w:r>
        <w:rPr>
          <w:w w:val="105"/>
          <w:sz w:val="16"/>
        </w:rPr>
        <w:t>financial</w:t>
      </w:r>
      <w:r>
        <w:rPr>
          <w:spacing w:val="-2"/>
          <w:w w:val="105"/>
          <w:sz w:val="16"/>
        </w:rPr>
        <w:t> </w:t>
      </w:r>
      <w:r>
        <w:rPr>
          <w:w w:val="105"/>
          <w:sz w:val="16"/>
        </w:rPr>
        <w:t>reporting</w:t>
      </w:r>
      <w:r>
        <w:rPr>
          <w:spacing w:val="-4"/>
          <w:w w:val="105"/>
          <w:sz w:val="16"/>
        </w:rPr>
        <w:t> </w:t>
      </w:r>
      <w:r>
        <w:rPr>
          <w:w w:val="105"/>
          <w:sz w:val="16"/>
        </w:rPr>
        <w:t>to</w:t>
      </w:r>
      <w:r>
        <w:rPr>
          <w:spacing w:val="-4"/>
          <w:w w:val="105"/>
          <w:sz w:val="16"/>
        </w:rPr>
        <w:t> </w:t>
      </w:r>
      <w:r>
        <w:rPr>
          <w:w w:val="105"/>
          <w:sz w:val="16"/>
        </w:rPr>
        <w:t>be</w:t>
      </w:r>
      <w:r>
        <w:rPr>
          <w:spacing w:val="-4"/>
          <w:w w:val="105"/>
          <w:sz w:val="16"/>
        </w:rPr>
        <w:t> </w:t>
      </w:r>
      <w:r>
        <w:rPr>
          <w:w w:val="105"/>
          <w:sz w:val="16"/>
        </w:rPr>
        <w:t>designed</w:t>
      </w:r>
      <w:r>
        <w:rPr>
          <w:spacing w:val="-4"/>
          <w:w w:val="105"/>
          <w:sz w:val="16"/>
        </w:rPr>
        <w:t> </w:t>
      </w:r>
      <w:r>
        <w:rPr>
          <w:w w:val="105"/>
          <w:sz w:val="16"/>
        </w:rPr>
        <w:t>under</w:t>
      </w:r>
      <w:r>
        <w:rPr>
          <w:spacing w:val="-4"/>
          <w:w w:val="105"/>
          <w:sz w:val="16"/>
        </w:rPr>
        <w:t> </w:t>
      </w:r>
      <w:r>
        <w:rPr>
          <w:w w:val="105"/>
          <w:sz w:val="16"/>
        </w:rPr>
        <w:t>our</w:t>
      </w:r>
      <w:r>
        <w:rPr>
          <w:spacing w:val="-4"/>
          <w:w w:val="105"/>
          <w:sz w:val="16"/>
        </w:rPr>
        <w:t> </w:t>
      </w:r>
      <w:r>
        <w:rPr>
          <w:w w:val="105"/>
          <w:sz w:val="16"/>
        </w:rPr>
        <w:t>supervision,</w:t>
      </w:r>
      <w:r>
        <w:rPr>
          <w:spacing w:val="-4"/>
          <w:w w:val="105"/>
          <w:sz w:val="16"/>
        </w:rPr>
        <w:t> </w:t>
      </w:r>
      <w:r>
        <w:rPr>
          <w:w w:val="105"/>
          <w:sz w:val="16"/>
        </w:rPr>
        <w:t>to</w:t>
      </w:r>
      <w:r>
        <w:rPr>
          <w:spacing w:val="-4"/>
          <w:w w:val="105"/>
          <w:sz w:val="16"/>
        </w:rPr>
        <w:t> </w:t>
      </w:r>
      <w:r>
        <w:rPr>
          <w:w w:val="105"/>
          <w:sz w:val="16"/>
        </w:rPr>
        <w:t>provide reasonable</w:t>
      </w:r>
      <w:r>
        <w:rPr>
          <w:spacing w:val="-9"/>
          <w:w w:val="105"/>
          <w:sz w:val="16"/>
        </w:rPr>
        <w:t> </w:t>
      </w:r>
      <w:r>
        <w:rPr>
          <w:w w:val="105"/>
          <w:sz w:val="16"/>
        </w:rPr>
        <w:t>assurance</w:t>
      </w:r>
      <w:r>
        <w:rPr>
          <w:spacing w:val="-9"/>
          <w:w w:val="105"/>
          <w:sz w:val="16"/>
        </w:rPr>
        <w:t> </w:t>
      </w:r>
      <w:r>
        <w:rPr>
          <w:w w:val="105"/>
          <w:sz w:val="16"/>
        </w:rPr>
        <w:t>regarding</w:t>
      </w:r>
      <w:r>
        <w:rPr>
          <w:spacing w:val="-9"/>
          <w:w w:val="105"/>
          <w:sz w:val="16"/>
        </w:rPr>
        <w:t> </w:t>
      </w:r>
      <w:r>
        <w:rPr>
          <w:w w:val="105"/>
          <w:sz w:val="16"/>
        </w:rPr>
        <w:t>the</w:t>
      </w:r>
      <w:r>
        <w:rPr>
          <w:spacing w:val="-9"/>
          <w:w w:val="105"/>
          <w:sz w:val="16"/>
        </w:rPr>
        <w:t> </w:t>
      </w:r>
      <w:r>
        <w:rPr>
          <w:w w:val="105"/>
          <w:sz w:val="16"/>
        </w:rPr>
        <w:t>reliability</w:t>
      </w:r>
      <w:r>
        <w:rPr>
          <w:spacing w:val="-9"/>
          <w:w w:val="105"/>
          <w:sz w:val="16"/>
        </w:rPr>
        <w:t> </w:t>
      </w:r>
      <w:r>
        <w:rPr>
          <w:w w:val="105"/>
          <w:sz w:val="16"/>
        </w:rPr>
        <w:t>of</w:t>
      </w:r>
      <w:r>
        <w:rPr>
          <w:spacing w:val="-9"/>
          <w:w w:val="105"/>
          <w:sz w:val="16"/>
        </w:rPr>
        <w:t> </w:t>
      </w:r>
      <w:r>
        <w:rPr>
          <w:w w:val="105"/>
          <w:sz w:val="16"/>
        </w:rPr>
        <w:t>financial</w:t>
      </w:r>
      <w:r>
        <w:rPr>
          <w:spacing w:val="-9"/>
          <w:w w:val="105"/>
          <w:sz w:val="16"/>
        </w:rPr>
        <w:t> </w:t>
      </w:r>
      <w:r>
        <w:rPr>
          <w:w w:val="105"/>
          <w:sz w:val="16"/>
        </w:rPr>
        <w:t>reporting</w:t>
      </w:r>
      <w:r>
        <w:rPr>
          <w:spacing w:val="-9"/>
          <w:w w:val="105"/>
          <w:sz w:val="16"/>
        </w:rPr>
        <w:t> </w:t>
      </w:r>
      <w:r>
        <w:rPr>
          <w:w w:val="105"/>
          <w:sz w:val="16"/>
        </w:rPr>
        <w:t>and</w:t>
      </w:r>
      <w:r>
        <w:rPr>
          <w:spacing w:val="-9"/>
          <w:w w:val="105"/>
          <w:sz w:val="16"/>
        </w:rPr>
        <w:t> </w:t>
      </w:r>
      <w:r>
        <w:rPr>
          <w:w w:val="105"/>
          <w:sz w:val="16"/>
        </w:rPr>
        <w:t>the</w:t>
      </w:r>
      <w:r>
        <w:rPr>
          <w:spacing w:val="-9"/>
          <w:w w:val="105"/>
          <w:sz w:val="16"/>
        </w:rPr>
        <w:t> </w:t>
      </w:r>
      <w:r>
        <w:rPr>
          <w:w w:val="105"/>
          <w:sz w:val="16"/>
        </w:rPr>
        <w:t>preparation</w:t>
      </w:r>
      <w:r>
        <w:rPr>
          <w:spacing w:val="-9"/>
          <w:w w:val="105"/>
          <w:sz w:val="16"/>
        </w:rPr>
        <w:t> </w:t>
      </w:r>
      <w:r>
        <w:rPr>
          <w:w w:val="105"/>
          <w:sz w:val="16"/>
        </w:rPr>
        <w:t>of</w:t>
      </w:r>
      <w:r>
        <w:rPr>
          <w:spacing w:val="-9"/>
          <w:w w:val="105"/>
          <w:sz w:val="16"/>
        </w:rPr>
        <w:t> </w:t>
      </w:r>
      <w:r>
        <w:rPr>
          <w:w w:val="105"/>
          <w:sz w:val="16"/>
        </w:rPr>
        <w:t>financial</w:t>
      </w:r>
      <w:r>
        <w:rPr>
          <w:spacing w:val="-9"/>
          <w:w w:val="105"/>
          <w:sz w:val="16"/>
        </w:rPr>
        <w:t> </w:t>
      </w:r>
      <w:r>
        <w:rPr>
          <w:w w:val="105"/>
          <w:sz w:val="16"/>
        </w:rPr>
        <w:t>statements</w:t>
      </w:r>
      <w:r>
        <w:rPr>
          <w:spacing w:val="-9"/>
          <w:w w:val="105"/>
          <w:sz w:val="16"/>
        </w:rPr>
        <w:t> </w:t>
      </w:r>
      <w:r>
        <w:rPr>
          <w:w w:val="105"/>
          <w:sz w:val="16"/>
        </w:rPr>
        <w:t>for</w:t>
      </w:r>
      <w:r>
        <w:rPr>
          <w:spacing w:val="-9"/>
          <w:w w:val="105"/>
          <w:sz w:val="16"/>
        </w:rPr>
        <w:t> </w:t>
      </w:r>
      <w:r>
        <w:rPr>
          <w:w w:val="105"/>
          <w:sz w:val="16"/>
        </w:rPr>
        <w:t>external</w:t>
      </w:r>
      <w:r>
        <w:rPr>
          <w:spacing w:val="-9"/>
          <w:w w:val="105"/>
          <w:sz w:val="16"/>
        </w:rPr>
        <w:t> </w:t>
      </w:r>
      <w:r>
        <w:rPr>
          <w:w w:val="105"/>
          <w:sz w:val="16"/>
        </w:rPr>
        <w:t>purposes</w:t>
      </w:r>
      <w:r>
        <w:rPr>
          <w:spacing w:val="-9"/>
          <w:w w:val="105"/>
          <w:sz w:val="16"/>
        </w:rPr>
        <w:t> </w:t>
      </w:r>
      <w:r>
        <w:rPr>
          <w:w w:val="105"/>
          <w:sz w:val="16"/>
        </w:rPr>
        <w:t>in</w:t>
      </w:r>
      <w:r>
        <w:rPr>
          <w:spacing w:val="-9"/>
          <w:w w:val="105"/>
          <w:sz w:val="16"/>
        </w:rPr>
        <w:t> </w:t>
      </w:r>
      <w:r>
        <w:rPr>
          <w:w w:val="105"/>
          <w:sz w:val="16"/>
        </w:rPr>
        <w:t>accordance</w:t>
      </w:r>
      <w:r>
        <w:rPr>
          <w:spacing w:val="-9"/>
          <w:w w:val="105"/>
          <w:sz w:val="16"/>
        </w:rPr>
        <w:t> </w:t>
      </w:r>
      <w:r>
        <w:rPr>
          <w:w w:val="105"/>
          <w:sz w:val="16"/>
        </w:rPr>
        <w:t>with</w:t>
      </w:r>
      <w:r>
        <w:rPr>
          <w:spacing w:val="-9"/>
          <w:w w:val="105"/>
          <w:sz w:val="16"/>
        </w:rPr>
        <w:t> </w:t>
      </w:r>
      <w:r>
        <w:rPr>
          <w:w w:val="105"/>
          <w:sz w:val="16"/>
        </w:rPr>
        <w:t>generally accepted accounting principles;</w:t>
      </w:r>
    </w:p>
    <w:p>
      <w:pPr>
        <w:pStyle w:val="BodyText"/>
        <w:spacing w:before="19"/>
      </w:pPr>
    </w:p>
    <w:p>
      <w:pPr>
        <w:pStyle w:val="ListParagraph"/>
        <w:numPr>
          <w:ilvl w:val="1"/>
          <w:numId w:val="67"/>
        </w:numPr>
        <w:tabs>
          <w:tab w:pos="766" w:val="left" w:leader="none"/>
          <w:tab w:pos="768" w:val="left" w:leader="none"/>
        </w:tabs>
        <w:spacing w:line="266" w:lineRule="auto" w:before="0" w:after="0"/>
        <w:ind w:left="768" w:right="731" w:hanging="306"/>
        <w:jc w:val="left"/>
        <w:rPr>
          <w:sz w:val="16"/>
        </w:rPr>
      </w:pPr>
      <w:r>
        <w:rPr>
          <w:w w:val="105"/>
          <w:sz w:val="16"/>
        </w:rPr>
        <w:t>Evaluated</w:t>
      </w:r>
      <w:r>
        <w:rPr>
          <w:spacing w:val="-9"/>
          <w:w w:val="105"/>
          <w:sz w:val="16"/>
        </w:rPr>
        <w:t> </w:t>
      </w:r>
      <w:r>
        <w:rPr>
          <w:w w:val="105"/>
          <w:sz w:val="16"/>
        </w:rPr>
        <w:t>the</w:t>
      </w:r>
      <w:r>
        <w:rPr>
          <w:spacing w:val="-9"/>
          <w:w w:val="105"/>
          <w:sz w:val="16"/>
        </w:rPr>
        <w:t> </w:t>
      </w:r>
      <w:r>
        <w:rPr>
          <w:w w:val="105"/>
          <w:sz w:val="16"/>
        </w:rPr>
        <w:t>effectiveness</w:t>
      </w:r>
      <w:r>
        <w:rPr>
          <w:spacing w:val="-9"/>
          <w:w w:val="105"/>
          <w:sz w:val="16"/>
        </w:rPr>
        <w:t> </w:t>
      </w:r>
      <w:r>
        <w:rPr>
          <w:w w:val="105"/>
          <w:sz w:val="16"/>
        </w:rPr>
        <w:t>of</w:t>
      </w:r>
      <w:r>
        <w:rPr>
          <w:spacing w:val="-9"/>
          <w:w w:val="105"/>
          <w:sz w:val="16"/>
        </w:rPr>
        <w:t> </w:t>
      </w:r>
      <w:r>
        <w:rPr>
          <w:w w:val="105"/>
          <w:sz w:val="16"/>
        </w:rPr>
        <w:t>the</w:t>
      </w:r>
      <w:r>
        <w:rPr>
          <w:spacing w:val="-9"/>
          <w:w w:val="105"/>
          <w:sz w:val="16"/>
        </w:rPr>
        <w:t> </w:t>
      </w:r>
      <w:r>
        <w:rPr>
          <w:w w:val="105"/>
          <w:sz w:val="16"/>
        </w:rPr>
        <w:t>registrant’s</w:t>
      </w:r>
      <w:r>
        <w:rPr>
          <w:spacing w:val="-9"/>
          <w:w w:val="105"/>
          <w:sz w:val="16"/>
        </w:rPr>
        <w:t> </w:t>
      </w:r>
      <w:r>
        <w:rPr>
          <w:w w:val="105"/>
          <w:sz w:val="16"/>
        </w:rPr>
        <w:t>disclosure</w:t>
      </w:r>
      <w:r>
        <w:rPr>
          <w:spacing w:val="-9"/>
          <w:w w:val="105"/>
          <w:sz w:val="16"/>
        </w:rPr>
        <w:t> </w:t>
      </w:r>
      <w:r>
        <w:rPr>
          <w:w w:val="105"/>
          <w:sz w:val="16"/>
        </w:rPr>
        <w:t>controls</w:t>
      </w:r>
      <w:r>
        <w:rPr>
          <w:spacing w:val="-9"/>
          <w:w w:val="105"/>
          <w:sz w:val="16"/>
        </w:rPr>
        <w:t> </w:t>
      </w:r>
      <w:r>
        <w:rPr>
          <w:w w:val="105"/>
          <w:sz w:val="16"/>
        </w:rPr>
        <w:t>and</w:t>
      </w:r>
      <w:r>
        <w:rPr>
          <w:spacing w:val="-9"/>
          <w:w w:val="105"/>
          <w:sz w:val="16"/>
        </w:rPr>
        <w:t> </w:t>
      </w:r>
      <w:r>
        <w:rPr>
          <w:w w:val="105"/>
          <w:sz w:val="16"/>
        </w:rPr>
        <w:t>procedures</w:t>
      </w:r>
      <w:r>
        <w:rPr>
          <w:spacing w:val="-9"/>
          <w:w w:val="105"/>
          <w:sz w:val="16"/>
        </w:rPr>
        <w:t> </w:t>
      </w:r>
      <w:r>
        <w:rPr>
          <w:w w:val="105"/>
          <w:sz w:val="16"/>
        </w:rPr>
        <w:t>and</w:t>
      </w:r>
      <w:r>
        <w:rPr>
          <w:spacing w:val="-9"/>
          <w:w w:val="105"/>
          <w:sz w:val="16"/>
        </w:rPr>
        <w:t> </w:t>
      </w:r>
      <w:r>
        <w:rPr>
          <w:w w:val="105"/>
          <w:sz w:val="16"/>
        </w:rPr>
        <w:t>presented</w:t>
      </w:r>
      <w:r>
        <w:rPr>
          <w:spacing w:val="-9"/>
          <w:w w:val="105"/>
          <w:sz w:val="16"/>
        </w:rPr>
        <w:t> </w:t>
      </w:r>
      <w:r>
        <w:rPr>
          <w:w w:val="105"/>
          <w:sz w:val="16"/>
        </w:rPr>
        <w:t>in</w:t>
      </w:r>
      <w:r>
        <w:rPr>
          <w:spacing w:val="-9"/>
          <w:w w:val="105"/>
          <w:sz w:val="16"/>
        </w:rPr>
        <w:t> </w:t>
      </w:r>
      <w:r>
        <w:rPr>
          <w:w w:val="105"/>
          <w:sz w:val="16"/>
        </w:rPr>
        <w:t>this</w:t>
      </w:r>
      <w:r>
        <w:rPr>
          <w:spacing w:val="-7"/>
          <w:w w:val="105"/>
          <w:sz w:val="16"/>
        </w:rPr>
        <w:t> </w:t>
      </w:r>
      <w:r>
        <w:rPr>
          <w:w w:val="105"/>
          <w:sz w:val="16"/>
        </w:rPr>
        <w:t>report</w:t>
      </w:r>
      <w:r>
        <w:rPr>
          <w:spacing w:val="-9"/>
          <w:w w:val="105"/>
          <w:sz w:val="16"/>
        </w:rPr>
        <w:t> </w:t>
      </w:r>
      <w:r>
        <w:rPr>
          <w:w w:val="105"/>
          <w:sz w:val="16"/>
        </w:rPr>
        <w:t>our</w:t>
      </w:r>
      <w:r>
        <w:rPr>
          <w:spacing w:val="-9"/>
          <w:w w:val="105"/>
          <w:sz w:val="16"/>
        </w:rPr>
        <w:t> </w:t>
      </w:r>
      <w:r>
        <w:rPr>
          <w:w w:val="105"/>
          <w:sz w:val="16"/>
        </w:rPr>
        <w:t>conclusions</w:t>
      </w:r>
      <w:r>
        <w:rPr>
          <w:spacing w:val="-9"/>
          <w:w w:val="105"/>
          <w:sz w:val="16"/>
        </w:rPr>
        <w:t> </w:t>
      </w:r>
      <w:r>
        <w:rPr>
          <w:w w:val="105"/>
          <w:sz w:val="16"/>
        </w:rPr>
        <w:t>about</w:t>
      </w:r>
      <w:r>
        <w:rPr>
          <w:spacing w:val="-9"/>
          <w:w w:val="105"/>
          <w:sz w:val="16"/>
        </w:rPr>
        <w:t> </w:t>
      </w:r>
      <w:r>
        <w:rPr>
          <w:w w:val="105"/>
          <w:sz w:val="16"/>
        </w:rPr>
        <w:t>the</w:t>
      </w:r>
      <w:r>
        <w:rPr>
          <w:spacing w:val="-7"/>
          <w:w w:val="105"/>
          <w:sz w:val="16"/>
        </w:rPr>
        <w:t> </w:t>
      </w:r>
      <w:r>
        <w:rPr>
          <w:w w:val="105"/>
          <w:sz w:val="16"/>
        </w:rPr>
        <w:t>effectiveness</w:t>
      </w:r>
      <w:r>
        <w:rPr>
          <w:spacing w:val="-9"/>
          <w:w w:val="105"/>
          <w:sz w:val="16"/>
        </w:rPr>
        <w:t> </w:t>
      </w:r>
      <w:r>
        <w:rPr>
          <w:w w:val="105"/>
          <w:sz w:val="16"/>
        </w:rPr>
        <w:t>of</w:t>
      </w:r>
      <w:r>
        <w:rPr>
          <w:spacing w:val="-9"/>
          <w:w w:val="105"/>
          <w:sz w:val="16"/>
        </w:rPr>
        <w:t> </w:t>
      </w:r>
      <w:r>
        <w:rPr>
          <w:w w:val="105"/>
          <w:sz w:val="16"/>
        </w:rPr>
        <w:t>the disclosure controls and procedures, as of the end of the period covered by this report based on such evaluation; and</w:t>
      </w:r>
    </w:p>
    <w:p>
      <w:pPr>
        <w:pStyle w:val="BodyText"/>
        <w:spacing w:before="19"/>
      </w:pPr>
    </w:p>
    <w:p>
      <w:pPr>
        <w:pStyle w:val="ListParagraph"/>
        <w:numPr>
          <w:ilvl w:val="1"/>
          <w:numId w:val="67"/>
        </w:numPr>
        <w:tabs>
          <w:tab w:pos="768" w:val="left" w:leader="none"/>
        </w:tabs>
        <w:spacing w:line="266" w:lineRule="auto" w:before="0" w:after="0"/>
        <w:ind w:left="768" w:right="369" w:hanging="306"/>
        <w:jc w:val="left"/>
        <w:rPr>
          <w:sz w:val="16"/>
        </w:rPr>
      </w:pPr>
      <w:r>
        <w:rPr>
          <w:w w:val="105"/>
          <w:sz w:val="16"/>
        </w:rPr>
        <w:t>Disclosed</w:t>
      </w:r>
      <w:r>
        <w:rPr>
          <w:spacing w:val="-8"/>
          <w:w w:val="105"/>
          <w:sz w:val="16"/>
        </w:rPr>
        <w:t> </w:t>
      </w:r>
      <w:r>
        <w:rPr>
          <w:w w:val="105"/>
          <w:sz w:val="16"/>
        </w:rPr>
        <w:t>in</w:t>
      </w:r>
      <w:r>
        <w:rPr>
          <w:spacing w:val="-8"/>
          <w:w w:val="105"/>
          <w:sz w:val="16"/>
        </w:rPr>
        <w:t> </w:t>
      </w:r>
      <w:r>
        <w:rPr>
          <w:w w:val="105"/>
          <w:sz w:val="16"/>
        </w:rPr>
        <w:t>this</w:t>
      </w:r>
      <w:r>
        <w:rPr>
          <w:spacing w:val="-8"/>
          <w:w w:val="105"/>
          <w:sz w:val="16"/>
        </w:rPr>
        <w:t> </w:t>
      </w:r>
      <w:r>
        <w:rPr>
          <w:w w:val="105"/>
          <w:sz w:val="16"/>
        </w:rPr>
        <w:t>report</w:t>
      </w:r>
      <w:r>
        <w:rPr>
          <w:spacing w:val="-8"/>
          <w:w w:val="105"/>
          <w:sz w:val="16"/>
        </w:rPr>
        <w:t> </w:t>
      </w:r>
      <w:r>
        <w:rPr>
          <w:w w:val="105"/>
          <w:sz w:val="16"/>
        </w:rPr>
        <w:t>any</w:t>
      </w:r>
      <w:r>
        <w:rPr>
          <w:spacing w:val="-8"/>
          <w:w w:val="105"/>
          <w:sz w:val="16"/>
        </w:rPr>
        <w:t> </w:t>
      </w:r>
      <w:r>
        <w:rPr>
          <w:w w:val="105"/>
          <w:sz w:val="16"/>
        </w:rPr>
        <w:t>change</w:t>
      </w:r>
      <w:r>
        <w:rPr>
          <w:spacing w:val="-8"/>
          <w:w w:val="105"/>
          <w:sz w:val="16"/>
        </w:rPr>
        <w:t> </w:t>
      </w:r>
      <w:r>
        <w:rPr>
          <w:w w:val="105"/>
          <w:sz w:val="16"/>
        </w:rPr>
        <w:t>in</w:t>
      </w:r>
      <w:r>
        <w:rPr>
          <w:spacing w:val="-8"/>
          <w:w w:val="105"/>
          <w:sz w:val="16"/>
        </w:rPr>
        <w:t> </w:t>
      </w:r>
      <w:r>
        <w:rPr>
          <w:w w:val="105"/>
          <w:sz w:val="16"/>
        </w:rPr>
        <w:t>the</w:t>
      </w:r>
      <w:r>
        <w:rPr>
          <w:spacing w:val="-8"/>
          <w:w w:val="105"/>
          <w:sz w:val="16"/>
        </w:rPr>
        <w:t> </w:t>
      </w:r>
      <w:r>
        <w:rPr>
          <w:w w:val="105"/>
          <w:sz w:val="16"/>
        </w:rPr>
        <w:t>registrant’s</w:t>
      </w:r>
      <w:r>
        <w:rPr>
          <w:spacing w:val="-7"/>
          <w:w w:val="105"/>
          <w:sz w:val="16"/>
        </w:rPr>
        <w:t> </w:t>
      </w:r>
      <w:r>
        <w:rPr>
          <w:w w:val="105"/>
          <w:sz w:val="16"/>
        </w:rPr>
        <w:t>internal</w:t>
      </w:r>
      <w:r>
        <w:rPr>
          <w:spacing w:val="-8"/>
          <w:w w:val="105"/>
          <w:sz w:val="16"/>
        </w:rPr>
        <w:t> </w:t>
      </w:r>
      <w:r>
        <w:rPr>
          <w:w w:val="105"/>
          <w:sz w:val="16"/>
        </w:rPr>
        <w:t>control</w:t>
      </w:r>
      <w:r>
        <w:rPr>
          <w:spacing w:val="-8"/>
          <w:w w:val="105"/>
          <w:sz w:val="16"/>
        </w:rPr>
        <w:t> </w:t>
      </w:r>
      <w:r>
        <w:rPr>
          <w:w w:val="105"/>
          <w:sz w:val="16"/>
        </w:rPr>
        <w:t>over</w:t>
      </w:r>
      <w:r>
        <w:rPr>
          <w:spacing w:val="-8"/>
          <w:w w:val="105"/>
          <w:sz w:val="16"/>
        </w:rPr>
        <w:t> </w:t>
      </w:r>
      <w:r>
        <w:rPr>
          <w:w w:val="105"/>
          <w:sz w:val="16"/>
        </w:rPr>
        <w:t>financial</w:t>
      </w:r>
      <w:r>
        <w:rPr>
          <w:spacing w:val="-8"/>
          <w:w w:val="105"/>
          <w:sz w:val="16"/>
        </w:rPr>
        <w:t> </w:t>
      </w:r>
      <w:r>
        <w:rPr>
          <w:w w:val="105"/>
          <w:sz w:val="16"/>
        </w:rPr>
        <w:t>reporting</w:t>
      </w:r>
      <w:r>
        <w:rPr>
          <w:spacing w:val="-8"/>
          <w:w w:val="105"/>
          <w:sz w:val="16"/>
        </w:rPr>
        <w:t> </w:t>
      </w:r>
      <w:r>
        <w:rPr>
          <w:w w:val="105"/>
          <w:sz w:val="16"/>
        </w:rPr>
        <w:t>that</w:t>
      </w:r>
      <w:r>
        <w:rPr>
          <w:spacing w:val="-8"/>
          <w:w w:val="105"/>
          <w:sz w:val="16"/>
        </w:rPr>
        <w:t> </w:t>
      </w:r>
      <w:r>
        <w:rPr>
          <w:w w:val="105"/>
          <w:sz w:val="16"/>
        </w:rPr>
        <w:t>occurred</w:t>
      </w:r>
      <w:r>
        <w:rPr>
          <w:spacing w:val="-8"/>
          <w:w w:val="105"/>
          <w:sz w:val="16"/>
        </w:rPr>
        <w:t> </w:t>
      </w:r>
      <w:r>
        <w:rPr>
          <w:w w:val="105"/>
          <w:sz w:val="16"/>
        </w:rPr>
        <w:t>during</w:t>
      </w:r>
      <w:r>
        <w:rPr>
          <w:spacing w:val="-8"/>
          <w:w w:val="105"/>
          <w:sz w:val="16"/>
        </w:rPr>
        <w:t> </w:t>
      </w:r>
      <w:r>
        <w:rPr>
          <w:w w:val="105"/>
          <w:sz w:val="16"/>
        </w:rPr>
        <w:t>the</w:t>
      </w:r>
      <w:r>
        <w:rPr>
          <w:spacing w:val="-8"/>
          <w:w w:val="105"/>
          <w:sz w:val="16"/>
        </w:rPr>
        <w:t> </w:t>
      </w:r>
      <w:r>
        <w:rPr>
          <w:w w:val="105"/>
          <w:sz w:val="16"/>
        </w:rPr>
        <w:t>registrant’s</w:t>
      </w:r>
      <w:r>
        <w:rPr>
          <w:spacing w:val="-8"/>
          <w:w w:val="105"/>
          <w:sz w:val="16"/>
        </w:rPr>
        <w:t> </w:t>
      </w:r>
      <w:r>
        <w:rPr>
          <w:w w:val="105"/>
          <w:sz w:val="16"/>
        </w:rPr>
        <w:t>most</w:t>
      </w:r>
      <w:r>
        <w:rPr>
          <w:spacing w:val="-8"/>
          <w:w w:val="105"/>
          <w:sz w:val="16"/>
        </w:rPr>
        <w:t> </w:t>
      </w:r>
      <w:r>
        <w:rPr>
          <w:w w:val="105"/>
          <w:sz w:val="16"/>
        </w:rPr>
        <w:t>recent</w:t>
      </w:r>
      <w:r>
        <w:rPr>
          <w:spacing w:val="-8"/>
          <w:w w:val="105"/>
          <w:sz w:val="16"/>
        </w:rPr>
        <w:t> </w:t>
      </w:r>
      <w:r>
        <w:rPr>
          <w:w w:val="105"/>
          <w:sz w:val="16"/>
        </w:rPr>
        <w:t>fiscal</w:t>
      </w:r>
      <w:r>
        <w:rPr>
          <w:spacing w:val="-8"/>
          <w:w w:val="105"/>
          <w:sz w:val="16"/>
        </w:rPr>
        <w:t> </w:t>
      </w:r>
      <w:r>
        <w:rPr>
          <w:w w:val="105"/>
          <w:sz w:val="16"/>
        </w:rPr>
        <w:t>quarter</w:t>
      </w:r>
      <w:r>
        <w:rPr>
          <w:spacing w:val="-8"/>
          <w:w w:val="105"/>
          <w:sz w:val="16"/>
        </w:rPr>
        <w:t> </w:t>
      </w:r>
      <w:r>
        <w:rPr>
          <w:w w:val="105"/>
          <w:sz w:val="16"/>
        </w:rPr>
        <w:t>(the registrant’s</w:t>
      </w:r>
      <w:r>
        <w:rPr>
          <w:spacing w:val="-3"/>
          <w:w w:val="105"/>
          <w:sz w:val="16"/>
        </w:rPr>
        <w:t> </w:t>
      </w:r>
      <w:r>
        <w:rPr>
          <w:w w:val="105"/>
          <w:sz w:val="16"/>
        </w:rPr>
        <w:t>fourth</w:t>
      </w:r>
      <w:r>
        <w:rPr>
          <w:spacing w:val="-3"/>
          <w:w w:val="105"/>
          <w:sz w:val="16"/>
        </w:rPr>
        <w:t> </w:t>
      </w:r>
      <w:r>
        <w:rPr>
          <w:w w:val="105"/>
          <w:sz w:val="16"/>
        </w:rPr>
        <w:t>fiscal</w:t>
      </w:r>
      <w:r>
        <w:rPr>
          <w:spacing w:val="-3"/>
          <w:w w:val="105"/>
          <w:sz w:val="16"/>
        </w:rPr>
        <w:t> </w:t>
      </w:r>
      <w:r>
        <w:rPr>
          <w:w w:val="105"/>
          <w:sz w:val="16"/>
        </w:rPr>
        <w:t>quarter</w:t>
      </w:r>
      <w:r>
        <w:rPr>
          <w:spacing w:val="-3"/>
          <w:w w:val="105"/>
          <w:sz w:val="16"/>
        </w:rPr>
        <w:t> </w:t>
      </w:r>
      <w:r>
        <w:rPr>
          <w:w w:val="105"/>
          <w:sz w:val="16"/>
        </w:rPr>
        <w:t>in</w:t>
      </w:r>
      <w:r>
        <w:rPr>
          <w:spacing w:val="-3"/>
          <w:w w:val="105"/>
          <w:sz w:val="16"/>
        </w:rPr>
        <w:t> </w:t>
      </w:r>
      <w:r>
        <w:rPr>
          <w:w w:val="105"/>
          <w:sz w:val="16"/>
        </w:rPr>
        <w:t>the</w:t>
      </w:r>
      <w:r>
        <w:rPr>
          <w:spacing w:val="-3"/>
          <w:w w:val="105"/>
          <w:sz w:val="16"/>
        </w:rPr>
        <w:t> </w:t>
      </w:r>
      <w:r>
        <w:rPr>
          <w:w w:val="105"/>
          <w:sz w:val="16"/>
        </w:rPr>
        <w:t>case</w:t>
      </w:r>
      <w:r>
        <w:rPr>
          <w:spacing w:val="-3"/>
          <w:w w:val="105"/>
          <w:sz w:val="16"/>
        </w:rPr>
        <w:t> </w:t>
      </w:r>
      <w:r>
        <w:rPr>
          <w:w w:val="105"/>
          <w:sz w:val="16"/>
        </w:rPr>
        <w:t>of</w:t>
      </w:r>
      <w:r>
        <w:rPr>
          <w:spacing w:val="-3"/>
          <w:w w:val="105"/>
          <w:sz w:val="16"/>
        </w:rPr>
        <w:t> </w:t>
      </w:r>
      <w:r>
        <w:rPr>
          <w:w w:val="105"/>
          <w:sz w:val="16"/>
        </w:rPr>
        <w:t>an</w:t>
      </w:r>
      <w:r>
        <w:rPr>
          <w:spacing w:val="-3"/>
          <w:w w:val="105"/>
          <w:sz w:val="16"/>
        </w:rPr>
        <w:t> </w:t>
      </w:r>
      <w:r>
        <w:rPr>
          <w:w w:val="105"/>
          <w:sz w:val="16"/>
        </w:rPr>
        <w:t>annual</w:t>
      </w:r>
      <w:r>
        <w:rPr>
          <w:spacing w:val="-3"/>
          <w:w w:val="105"/>
          <w:sz w:val="16"/>
        </w:rPr>
        <w:t> </w:t>
      </w:r>
      <w:r>
        <w:rPr>
          <w:w w:val="105"/>
          <w:sz w:val="16"/>
        </w:rPr>
        <w:t>report)</w:t>
      </w:r>
      <w:r>
        <w:rPr>
          <w:spacing w:val="-3"/>
          <w:w w:val="105"/>
          <w:sz w:val="16"/>
        </w:rPr>
        <w:t> </w:t>
      </w:r>
      <w:r>
        <w:rPr>
          <w:w w:val="105"/>
          <w:sz w:val="16"/>
        </w:rPr>
        <w:t>that</w:t>
      </w:r>
      <w:r>
        <w:rPr>
          <w:spacing w:val="-3"/>
          <w:w w:val="105"/>
          <w:sz w:val="16"/>
        </w:rPr>
        <w:t> </w:t>
      </w:r>
      <w:r>
        <w:rPr>
          <w:w w:val="105"/>
          <w:sz w:val="16"/>
        </w:rPr>
        <w:t>has</w:t>
      </w:r>
      <w:r>
        <w:rPr>
          <w:spacing w:val="-3"/>
          <w:w w:val="105"/>
          <w:sz w:val="16"/>
        </w:rPr>
        <w:t> </w:t>
      </w:r>
      <w:r>
        <w:rPr>
          <w:w w:val="105"/>
          <w:sz w:val="16"/>
        </w:rPr>
        <w:t>materially</w:t>
      </w:r>
      <w:r>
        <w:rPr>
          <w:spacing w:val="-3"/>
          <w:w w:val="105"/>
          <w:sz w:val="16"/>
        </w:rPr>
        <w:t> </w:t>
      </w:r>
      <w:r>
        <w:rPr>
          <w:w w:val="105"/>
          <w:sz w:val="16"/>
        </w:rPr>
        <w:t>affected,</w:t>
      </w:r>
      <w:r>
        <w:rPr>
          <w:spacing w:val="-3"/>
          <w:w w:val="105"/>
          <w:sz w:val="16"/>
        </w:rPr>
        <w:t> </w:t>
      </w:r>
      <w:r>
        <w:rPr>
          <w:w w:val="105"/>
          <w:sz w:val="16"/>
        </w:rPr>
        <w:t>or</w:t>
      </w:r>
      <w:r>
        <w:rPr>
          <w:spacing w:val="-3"/>
          <w:w w:val="105"/>
          <w:sz w:val="16"/>
        </w:rPr>
        <w:t> </w:t>
      </w:r>
      <w:r>
        <w:rPr>
          <w:w w:val="105"/>
          <w:sz w:val="16"/>
        </w:rPr>
        <w:t>is</w:t>
      </w:r>
      <w:r>
        <w:rPr>
          <w:spacing w:val="-3"/>
          <w:w w:val="105"/>
          <w:sz w:val="16"/>
        </w:rPr>
        <w:t> </w:t>
      </w:r>
      <w:r>
        <w:rPr>
          <w:w w:val="105"/>
          <w:sz w:val="16"/>
        </w:rPr>
        <w:t>reasonably</w:t>
      </w:r>
      <w:r>
        <w:rPr>
          <w:spacing w:val="-3"/>
          <w:w w:val="105"/>
          <w:sz w:val="16"/>
        </w:rPr>
        <w:t> </w:t>
      </w:r>
      <w:r>
        <w:rPr>
          <w:w w:val="105"/>
          <w:sz w:val="16"/>
        </w:rPr>
        <w:t>likely</w:t>
      </w:r>
      <w:r>
        <w:rPr>
          <w:spacing w:val="-3"/>
          <w:w w:val="105"/>
          <w:sz w:val="16"/>
        </w:rPr>
        <w:t> </w:t>
      </w:r>
      <w:r>
        <w:rPr>
          <w:w w:val="105"/>
          <w:sz w:val="16"/>
        </w:rPr>
        <w:t>to</w:t>
      </w:r>
      <w:r>
        <w:rPr>
          <w:spacing w:val="-3"/>
          <w:w w:val="105"/>
          <w:sz w:val="16"/>
        </w:rPr>
        <w:t> </w:t>
      </w:r>
      <w:r>
        <w:rPr>
          <w:w w:val="105"/>
          <w:sz w:val="16"/>
        </w:rPr>
        <w:t>materially</w:t>
      </w:r>
      <w:r>
        <w:rPr>
          <w:spacing w:val="-3"/>
          <w:w w:val="105"/>
          <w:sz w:val="16"/>
        </w:rPr>
        <w:t> </w:t>
      </w:r>
      <w:r>
        <w:rPr>
          <w:w w:val="105"/>
          <w:sz w:val="16"/>
        </w:rPr>
        <w:t>affect,</w:t>
      </w:r>
      <w:r>
        <w:rPr>
          <w:spacing w:val="-3"/>
          <w:w w:val="105"/>
          <w:sz w:val="16"/>
        </w:rPr>
        <w:t> </w:t>
      </w:r>
      <w:r>
        <w:rPr>
          <w:w w:val="105"/>
          <w:sz w:val="16"/>
        </w:rPr>
        <w:t>the</w:t>
      </w:r>
      <w:r>
        <w:rPr>
          <w:spacing w:val="-3"/>
          <w:w w:val="105"/>
          <w:sz w:val="16"/>
        </w:rPr>
        <w:t> </w:t>
      </w:r>
      <w:r>
        <w:rPr>
          <w:w w:val="105"/>
          <w:sz w:val="16"/>
        </w:rPr>
        <w:t>registrant’s</w:t>
      </w:r>
      <w:r>
        <w:rPr>
          <w:spacing w:val="-3"/>
          <w:w w:val="105"/>
          <w:sz w:val="16"/>
        </w:rPr>
        <w:t> </w:t>
      </w:r>
      <w:r>
        <w:rPr>
          <w:w w:val="105"/>
          <w:sz w:val="16"/>
        </w:rPr>
        <w:t>internal control over financial reporting; and</w:t>
      </w:r>
    </w:p>
    <w:p>
      <w:pPr>
        <w:pStyle w:val="BodyText"/>
        <w:spacing w:before="18"/>
      </w:pPr>
    </w:p>
    <w:p>
      <w:pPr>
        <w:pStyle w:val="ListParagraph"/>
        <w:numPr>
          <w:ilvl w:val="0"/>
          <w:numId w:val="67"/>
        </w:numPr>
        <w:tabs>
          <w:tab w:pos="462" w:val="left" w:leader="none"/>
        </w:tabs>
        <w:spacing w:line="266" w:lineRule="auto" w:before="0" w:after="0"/>
        <w:ind w:left="462" w:right="192" w:hanging="306"/>
        <w:jc w:val="left"/>
        <w:rPr>
          <w:sz w:val="16"/>
        </w:rPr>
      </w:pPr>
      <w:r>
        <w:rPr>
          <w:w w:val="105"/>
          <w:sz w:val="16"/>
        </w:rPr>
        <w:t>The</w:t>
      </w:r>
      <w:r>
        <w:rPr>
          <w:spacing w:val="-8"/>
          <w:w w:val="105"/>
          <w:sz w:val="16"/>
        </w:rPr>
        <w:t> </w:t>
      </w:r>
      <w:r>
        <w:rPr>
          <w:w w:val="105"/>
          <w:sz w:val="16"/>
        </w:rPr>
        <w:t>registrant’s</w:t>
      </w:r>
      <w:r>
        <w:rPr>
          <w:spacing w:val="-8"/>
          <w:w w:val="105"/>
          <w:sz w:val="16"/>
        </w:rPr>
        <w:t> </w:t>
      </w:r>
      <w:r>
        <w:rPr>
          <w:w w:val="105"/>
          <w:sz w:val="16"/>
        </w:rPr>
        <w:t>other</w:t>
      </w:r>
      <w:r>
        <w:rPr>
          <w:spacing w:val="-7"/>
          <w:w w:val="105"/>
          <w:sz w:val="16"/>
        </w:rPr>
        <w:t> </w:t>
      </w:r>
      <w:r>
        <w:rPr>
          <w:w w:val="105"/>
          <w:sz w:val="16"/>
        </w:rPr>
        <w:t>certifying</w:t>
      </w:r>
      <w:r>
        <w:rPr>
          <w:spacing w:val="-8"/>
          <w:w w:val="105"/>
          <w:sz w:val="16"/>
        </w:rPr>
        <w:t> </w:t>
      </w:r>
      <w:r>
        <w:rPr>
          <w:w w:val="105"/>
          <w:sz w:val="16"/>
        </w:rPr>
        <w:t>officer</w:t>
      </w:r>
      <w:r>
        <w:rPr>
          <w:spacing w:val="-7"/>
          <w:w w:val="105"/>
          <w:sz w:val="16"/>
        </w:rPr>
        <w:t> </w:t>
      </w:r>
      <w:r>
        <w:rPr>
          <w:w w:val="105"/>
          <w:sz w:val="16"/>
        </w:rPr>
        <w:t>and</w:t>
      </w:r>
      <w:r>
        <w:rPr>
          <w:spacing w:val="-8"/>
          <w:w w:val="105"/>
          <w:sz w:val="16"/>
        </w:rPr>
        <w:t> </w:t>
      </w:r>
      <w:r>
        <w:rPr>
          <w:w w:val="105"/>
          <w:sz w:val="16"/>
        </w:rPr>
        <w:t>I</w:t>
      </w:r>
      <w:r>
        <w:rPr>
          <w:spacing w:val="-8"/>
          <w:w w:val="105"/>
          <w:sz w:val="16"/>
        </w:rPr>
        <w:t> </w:t>
      </w:r>
      <w:r>
        <w:rPr>
          <w:w w:val="105"/>
          <w:sz w:val="16"/>
        </w:rPr>
        <w:t>have</w:t>
      </w:r>
      <w:r>
        <w:rPr>
          <w:spacing w:val="-8"/>
          <w:w w:val="105"/>
          <w:sz w:val="16"/>
        </w:rPr>
        <w:t> </w:t>
      </w:r>
      <w:r>
        <w:rPr>
          <w:w w:val="105"/>
          <w:sz w:val="16"/>
        </w:rPr>
        <w:t>disclosed,</w:t>
      </w:r>
      <w:r>
        <w:rPr>
          <w:spacing w:val="-8"/>
          <w:w w:val="105"/>
          <w:sz w:val="16"/>
        </w:rPr>
        <w:t> </w:t>
      </w:r>
      <w:r>
        <w:rPr>
          <w:w w:val="105"/>
          <w:sz w:val="16"/>
        </w:rPr>
        <w:t>based</w:t>
      </w:r>
      <w:r>
        <w:rPr>
          <w:spacing w:val="-8"/>
          <w:w w:val="105"/>
          <w:sz w:val="16"/>
        </w:rPr>
        <w:t> </w:t>
      </w:r>
      <w:r>
        <w:rPr>
          <w:w w:val="105"/>
          <w:sz w:val="16"/>
        </w:rPr>
        <w:t>on</w:t>
      </w:r>
      <w:r>
        <w:rPr>
          <w:spacing w:val="-8"/>
          <w:w w:val="105"/>
          <w:sz w:val="16"/>
        </w:rPr>
        <w:t> </w:t>
      </w:r>
      <w:r>
        <w:rPr>
          <w:w w:val="105"/>
          <w:sz w:val="16"/>
        </w:rPr>
        <w:t>our</w:t>
      </w:r>
      <w:r>
        <w:rPr>
          <w:spacing w:val="-8"/>
          <w:w w:val="105"/>
          <w:sz w:val="16"/>
        </w:rPr>
        <w:t> </w:t>
      </w:r>
      <w:r>
        <w:rPr>
          <w:w w:val="105"/>
          <w:sz w:val="16"/>
        </w:rPr>
        <w:t>most</w:t>
      </w:r>
      <w:r>
        <w:rPr>
          <w:spacing w:val="-7"/>
          <w:w w:val="105"/>
          <w:sz w:val="16"/>
        </w:rPr>
        <w:t> </w:t>
      </w:r>
      <w:r>
        <w:rPr>
          <w:w w:val="105"/>
          <w:sz w:val="16"/>
        </w:rPr>
        <w:t>recent</w:t>
      </w:r>
      <w:r>
        <w:rPr>
          <w:spacing w:val="-8"/>
          <w:w w:val="105"/>
          <w:sz w:val="16"/>
        </w:rPr>
        <w:t> </w:t>
      </w:r>
      <w:r>
        <w:rPr>
          <w:w w:val="105"/>
          <w:sz w:val="16"/>
        </w:rPr>
        <w:t>evaluation</w:t>
      </w:r>
      <w:r>
        <w:rPr>
          <w:spacing w:val="-8"/>
          <w:w w:val="105"/>
          <w:sz w:val="16"/>
        </w:rPr>
        <w:t> </w:t>
      </w:r>
      <w:r>
        <w:rPr>
          <w:w w:val="105"/>
          <w:sz w:val="16"/>
        </w:rPr>
        <w:t>of</w:t>
      </w:r>
      <w:r>
        <w:rPr>
          <w:spacing w:val="-8"/>
          <w:w w:val="105"/>
          <w:sz w:val="16"/>
        </w:rPr>
        <w:t> </w:t>
      </w:r>
      <w:r>
        <w:rPr>
          <w:w w:val="105"/>
          <w:sz w:val="16"/>
        </w:rPr>
        <w:t>internal</w:t>
      </w:r>
      <w:r>
        <w:rPr>
          <w:spacing w:val="-8"/>
          <w:w w:val="105"/>
          <w:sz w:val="16"/>
        </w:rPr>
        <w:t> </w:t>
      </w:r>
      <w:r>
        <w:rPr>
          <w:w w:val="105"/>
          <w:sz w:val="16"/>
        </w:rPr>
        <w:t>control</w:t>
      </w:r>
      <w:r>
        <w:rPr>
          <w:spacing w:val="-8"/>
          <w:w w:val="105"/>
          <w:sz w:val="16"/>
        </w:rPr>
        <w:t> </w:t>
      </w:r>
      <w:r>
        <w:rPr>
          <w:w w:val="105"/>
          <w:sz w:val="16"/>
        </w:rPr>
        <w:t>over</w:t>
      </w:r>
      <w:r>
        <w:rPr>
          <w:spacing w:val="-8"/>
          <w:w w:val="105"/>
          <w:sz w:val="16"/>
        </w:rPr>
        <w:t> </w:t>
      </w:r>
      <w:r>
        <w:rPr>
          <w:w w:val="105"/>
          <w:sz w:val="16"/>
        </w:rPr>
        <w:t>financial</w:t>
      </w:r>
      <w:r>
        <w:rPr>
          <w:spacing w:val="-8"/>
          <w:w w:val="105"/>
          <w:sz w:val="16"/>
        </w:rPr>
        <w:t> </w:t>
      </w:r>
      <w:r>
        <w:rPr>
          <w:w w:val="105"/>
          <w:sz w:val="16"/>
        </w:rPr>
        <w:t>reporting,</w:t>
      </w:r>
      <w:r>
        <w:rPr>
          <w:spacing w:val="-8"/>
          <w:w w:val="105"/>
          <w:sz w:val="16"/>
        </w:rPr>
        <w:t> </w:t>
      </w:r>
      <w:r>
        <w:rPr>
          <w:w w:val="105"/>
          <w:sz w:val="16"/>
        </w:rPr>
        <w:t>to</w:t>
      </w:r>
      <w:r>
        <w:rPr>
          <w:spacing w:val="-8"/>
          <w:w w:val="105"/>
          <w:sz w:val="16"/>
        </w:rPr>
        <w:t> </w:t>
      </w:r>
      <w:r>
        <w:rPr>
          <w:w w:val="105"/>
          <w:sz w:val="16"/>
        </w:rPr>
        <w:t>the</w:t>
      </w:r>
      <w:r>
        <w:rPr>
          <w:spacing w:val="-7"/>
          <w:w w:val="105"/>
          <w:sz w:val="16"/>
        </w:rPr>
        <w:t> </w:t>
      </w:r>
      <w:r>
        <w:rPr>
          <w:w w:val="105"/>
          <w:sz w:val="16"/>
        </w:rPr>
        <w:t>registrant’s</w:t>
      </w:r>
      <w:r>
        <w:rPr>
          <w:spacing w:val="-8"/>
          <w:w w:val="105"/>
          <w:sz w:val="16"/>
        </w:rPr>
        <w:t> </w:t>
      </w:r>
      <w:r>
        <w:rPr>
          <w:w w:val="105"/>
          <w:sz w:val="16"/>
        </w:rPr>
        <w:t>auditors and the audit committee of the registrant’s board of directors (or persons performing the equivalent functions):</w:t>
      </w:r>
    </w:p>
    <w:p>
      <w:pPr>
        <w:pStyle w:val="BodyText"/>
        <w:spacing w:before="19"/>
      </w:pPr>
    </w:p>
    <w:p>
      <w:pPr>
        <w:pStyle w:val="ListParagraph"/>
        <w:numPr>
          <w:ilvl w:val="1"/>
          <w:numId w:val="67"/>
        </w:numPr>
        <w:tabs>
          <w:tab w:pos="766" w:val="left" w:leader="none"/>
          <w:tab w:pos="768" w:val="left" w:leader="none"/>
        </w:tabs>
        <w:spacing w:line="266" w:lineRule="auto" w:before="0" w:after="0"/>
        <w:ind w:left="768" w:right="244" w:hanging="306"/>
        <w:jc w:val="left"/>
        <w:rPr>
          <w:sz w:val="16"/>
        </w:rPr>
      </w:pPr>
      <w:r>
        <w:rPr>
          <w:w w:val="105"/>
          <w:sz w:val="16"/>
        </w:rPr>
        <w:t>All</w:t>
      </w:r>
      <w:r>
        <w:rPr>
          <w:spacing w:val="-9"/>
          <w:w w:val="105"/>
          <w:sz w:val="16"/>
        </w:rPr>
        <w:t> </w:t>
      </w:r>
      <w:r>
        <w:rPr>
          <w:w w:val="105"/>
          <w:sz w:val="16"/>
        </w:rPr>
        <w:t>significant</w:t>
      </w:r>
      <w:r>
        <w:rPr>
          <w:spacing w:val="-9"/>
          <w:w w:val="105"/>
          <w:sz w:val="16"/>
        </w:rPr>
        <w:t> </w:t>
      </w:r>
      <w:r>
        <w:rPr>
          <w:w w:val="105"/>
          <w:sz w:val="16"/>
        </w:rPr>
        <w:t>deficiencies</w:t>
      </w:r>
      <w:r>
        <w:rPr>
          <w:spacing w:val="-9"/>
          <w:w w:val="105"/>
          <w:sz w:val="16"/>
        </w:rPr>
        <w:t> </w:t>
      </w:r>
      <w:r>
        <w:rPr>
          <w:w w:val="105"/>
          <w:sz w:val="16"/>
        </w:rPr>
        <w:t>and</w:t>
      </w:r>
      <w:r>
        <w:rPr>
          <w:spacing w:val="-9"/>
          <w:w w:val="105"/>
          <w:sz w:val="16"/>
        </w:rPr>
        <w:t> </w:t>
      </w:r>
      <w:r>
        <w:rPr>
          <w:w w:val="105"/>
          <w:sz w:val="16"/>
        </w:rPr>
        <w:t>material</w:t>
      </w:r>
      <w:r>
        <w:rPr>
          <w:spacing w:val="-9"/>
          <w:w w:val="105"/>
          <w:sz w:val="16"/>
        </w:rPr>
        <w:t> </w:t>
      </w:r>
      <w:r>
        <w:rPr>
          <w:w w:val="105"/>
          <w:sz w:val="16"/>
        </w:rPr>
        <w:t>weaknesses</w:t>
      </w:r>
      <w:r>
        <w:rPr>
          <w:spacing w:val="-9"/>
          <w:w w:val="105"/>
          <w:sz w:val="16"/>
        </w:rPr>
        <w:t> </w:t>
      </w:r>
      <w:r>
        <w:rPr>
          <w:w w:val="105"/>
          <w:sz w:val="16"/>
        </w:rPr>
        <w:t>in</w:t>
      </w:r>
      <w:r>
        <w:rPr>
          <w:spacing w:val="-9"/>
          <w:w w:val="105"/>
          <w:sz w:val="16"/>
        </w:rPr>
        <w:t> </w:t>
      </w:r>
      <w:r>
        <w:rPr>
          <w:w w:val="105"/>
          <w:sz w:val="16"/>
        </w:rPr>
        <w:t>the</w:t>
      </w:r>
      <w:r>
        <w:rPr>
          <w:spacing w:val="-9"/>
          <w:w w:val="105"/>
          <w:sz w:val="16"/>
        </w:rPr>
        <w:t> </w:t>
      </w:r>
      <w:r>
        <w:rPr>
          <w:w w:val="105"/>
          <w:sz w:val="16"/>
        </w:rPr>
        <w:t>design</w:t>
      </w:r>
      <w:r>
        <w:rPr>
          <w:spacing w:val="-9"/>
          <w:w w:val="105"/>
          <w:sz w:val="16"/>
        </w:rPr>
        <w:t> </w:t>
      </w:r>
      <w:r>
        <w:rPr>
          <w:w w:val="105"/>
          <w:sz w:val="16"/>
        </w:rPr>
        <w:t>or</w:t>
      </w:r>
      <w:r>
        <w:rPr>
          <w:spacing w:val="-9"/>
          <w:w w:val="105"/>
          <w:sz w:val="16"/>
        </w:rPr>
        <w:t> </w:t>
      </w:r>
      <w:r>
        <w:rPr>
          <w:w w:val="105"/>
          <w:sz w:val="16"/>
        </w:rPr>
        <w:t>operation</w:t>
      </w:r>
      <w:r>
        <w:rPr>
          <w:spacing w:val="-9"/>
          <w:w w:val="105"/>
          <w:sz w:val="16"/>
        </w:rPr>
        <w:t> </w:t>
      </w:r>
      <w:r>
        <w:rPr>
          <w:w w:val="105"/>
          <w:sz w:val="16"/>
        </w:rPr>
        <w:t>of</w:t>
      </w:r>
      <w:r>
        <w:rPr>
          <w:spacing w:val="-9"/>
          <w:w w:val="105"/>
          <w:sz w:val="16"/>
        </w:rPr>
        <w:t> </w:t>
      </w:r>
      <w:r>
        <w:rPr>
          <w:w w:val="105"/>
          <w:sz w:val="16"/>
        </w:rPr>
        <w:t>internal</w:t>
      </w:r>
      <w:r>
        <w:rPr>
          <w:spacing w:val="-9"/>
          <w:w w:val="105"/>
          <w:sz w:val="16"/>
        </w:rPr>
        <w:t> </w:t>
      </w:r>
      <w:r>
        <w:rPr>
          <w:w w:val="105"/>
          <w:sz w:val="16"/>
        </w:rPr>
        <w:t>control</w:t>
      </w:r>
      <w:r>
        <w:rPr>
          <w:spacing w:val="-9"/>
          <w:w w:val="105"/>
          <w:sz w:val="16"/>
        </w:rPr>
        <w:t> </w:t>
      </w:r>
      <w:r>
        <w:rPr>
          <w:w w:val="105"/>
          <w:sz w:val="16"/>
        </w:rPr>
        <w:t>over</w:t>
      </w:r>
      <w:r>
        <w:rPr>
          <w:spacing w:val="-9"/>
          <w:w w:val="105"/>
          <w:sz w:val="16"/>
        </w:rPr>
        <w:t> </w:t>
      </w:r>
      <w:r>
        <w:rPr>
          <w:w w:val="105"/>
          <w:sz w:val="16"/>
        </w:rPr>
        <w:t>financial</w:t>
      </w:r>
      <w:r>
        <w:rPr>
          <w:spacing w:val="-9"/>
          <w:w w:val="105"/>
          <w:sz w:val="16"/>
        </w:rPr>
        <w:t> </w:t>
      </w:r>
      <w:r>
        <w:rPr>
          <w:w w:val="105"/>
          <w:sz w:val="16"/>
        </w:rPr>
        <w:t>reporting</w:t>
      </w:r>
      <w:r>
        <w:rPr>
          <w:spacing w:val="-9"/>
          <w:w w:val="105"/>
          <w:sz w:val="16"/>
        </w:rPr>
        <w:t> </w:t>
      </w:r>
      <w:r>
        <w:rPr>
          <w:w w:val="105"/>
          <w:sz w:val="16"/>
        </w:rPr>
        <w:t>which</w:t>
      </w:r>
      <w:r>
        <w:rPr>
          <w:spacing w:val="-9"/>
          <w:w w:val="105"/>
          <w:sz w:val="16"/>
        </w:rPr>
        <w:t> </w:t>
      </w:r>
      <w:r>
        <w:rPr>
          <w:w w:val="105"/>
          <w:sz w:val="16"/>
        </w:rPr>
        <w:t>are</w:t>
      </w:r>
      <w:r>
        <w:rPr>
          <w:spacing w:val="-9"/>
          <w:w w:val="105"/>
          <w:sz w:val="16"/>
        </w:rPr>
        <w:t> </w:t>
      </w:r>
      <w:r>
        <w:rPr>
          <w:w w:val="105"/>
          <w:sz w:val="16"/>
        </w:rPr>
        <w:t>reasonably</w:t>
      </w:r>
      <w:r>
        <w:rPr>
          <w:spacing w:val="-9"/>
          <w:w w:val="105"/>
          <w:sz w:val="16"/>
        </w:rPr>
        <w:t> </w:t>
      </w:r>
      <w:r>
        <w:rPr>
          <w:w w:val="105"/>
          <w:sz w:val="16"/>
        </w:rPr>
        <w:t>likely</w:t>
      </w:r>
      <w:r>
        <w:rPr>
          <w:spacing w:val="-9"/>
          <w:w w:val="105"/>
          <w:sz w:val="16"/>
        </w:rPr>
        <w:t> </w:t>
      </w:r>
      <w:r>
        <w:rPr>
          <w:w w:val="105"/>
          <w:sz w:val="16"/>
        </w:rPr>
        <w:t>to</w:t>
      </w:r>
      <w:r>
        <w:rPr>
          <w:spacing w:val="-9"/>
          <w:w w:val="105"/>
          <w:sz w:val="16"/>
        </w:rPr>
        <w:t> </w:t>
      </w:r>
      <w:r>
        <w:rPr>
          <w:w w:val="105"/>
          <w:sz w:val="16"/>
        </w:rPr>
        <w:t>adversely affect the registrant’s ability to record, process, summarize and report financial information; and</w:t>
      </w:r>
    </w:p>
    <w:p>
      <w:pPr>
        <w:pStyle w:val="BodyText"/>
        <w:spacing w:before="19"/>
      </w:pPr>
    </w:p>
    <w:p>
      <w:pPr>
        <w:pStyle w:val="ListParagraph"/>
        <w:numPr>
          <w:ilvl w:val="1"/>
          <w:numId w:val="67"/>
        </w:numPr>
        <w:tabs>
          <w:tab w:pos="768" w:val="left" w:leader="none"/>
        </w:tabs>
        <w:spacing w:line="266" w:lineRule="auto" w:before="0" w:after="0"/>
        <w:ind w:left="768" w:right="507" w:hanging="306"/>
        <w:jc w:val="left"/>
        <w:rPr>
          <w:sz w:val="16"/>
        </w:rPr>
      </w:pPr>
      <w:r>
        <w:rPr>
          <w:w w:val="105"/>
          <w:sz w:val="16"/>
        </w:rPr>
        <w:t>Any</w:t>
      </w:r>
      <w:r>
        <w:rPr>
          <w:spacing w:val="-8"/>
          <w:w w:val="105"/>
          <w:sz w:val="16"/>
        </w:rPr>
        <w:t> </w:t>
      </w:r>
      <w:r>
        <w:rPr>
          <w:w w:val="105"/>
          <w:sz w:val="16"/>
        </w:rPr>
        <w:t>fraud,</w:t>
      </w:r>
      <w:r>
        <w:rPr>
          <w:spacing w:val="-8"/>
          <w:w w:val="105"/>
          <w:sz w:val="16"/>
        </w:rPr>
        <w:t> </w:t>
      </w:r>
      <w:r>
        <w:rPr>
          <w:w w:val="105"/>
          <w:sz w:val="16"/>
        </w:rPr>
        <w:t>whether</w:t>
      </w:r>
      <w:r>
        <w:rPr>
          <w:spacing w:val="-8"/>
          <w:w w:val="105"/>
          <w:sz w:val="16"/>
        </w:rPr>
        <w:t> </w:t>
      </w:r>
      <w:r>
        <w:rPr>
          <w:w w:val="105"/>
          <w:sz w:val="16"/>
        </w:rPr>
        <w:t>or</w:t>
      </w:r>
      <w:r>
        <w:rPr>
          <w:spacing w:val="-8"/>
          <w:w w:val="105"/>
          <w:sz w:val="16"/>
        </w:rPr>
        <w:t> </w:t>
      </w:r>
      <w:r>
        <w:rPr>
          <w:w w:val="105"/>
          <w:sz w:val="16"/>
        </w:rPr>
        <w:t>not</w:t>
      </w:r>
      <w:r>
        <w:rPr>
          <w:spacing w:val="-8"/>
          <w:w w:val="105"/>
          <w:sz w:val="16"/>
        </w:rPr>
        <w:t> </w:t>
      </w:r>
      <w:r>
        <w:rPr>
          <w:w w:val="105"/>
          <w:sz w:val="16"/>
        </w:rPr>
        <w:t>material,</w:t>
      </w:r>
      <w:r>
        <w:rPr>
          <w:spacing w:val="-8"/>
          <w:w w:val="105"/>
          <w:sz w:val="16"/>
        </w:rPr>
        <w:t> </w:t>
      </w:r>
      <w:r>
        <w:rPr>
          <w:w w:val="105"/>
          <w:sz w:val="16"/>
        </w:rPr>
        <w:t>that</w:t>
      </w:r>
      <w:r>
        <w:rPr>
          <w:spacing w:val="-8"/>
          <w:w w:val="105"/>
          <w:sz w:val="16"/>
        </w:rPr>
        <w:t> </w:t>
      </w:r>
      <w:r>
        <w:rPr>
          <w:w w:val="105"/>
          <w:sz w:val="16"/>
        </w:rPr>
        <w:t>involves</w:t>
      </w:r>
      <w:r>
        <w:rPr>
          <w:spacing w:val="-8"/>
          <w:w w:val="105"/>
          <w:sz w:val="16"/>
        </w:rPr>
        <w:t> </w:t>
      </w:r>
      <w:r>
        <w:rPr>
          <w:w w:val="105"/>
          <w:sz w:val="16"/>
        </w:rPr>
        <w:t>management</w:t>
      </w:r>
      <w:r>
        <w:rPr>
          <w:spacing w:val="-8"/>
          <w:w w:val="105"/>
          <w:sz w:val="16"/>
        </w:rPr>
        <w:t> </w:t>
      </w:r>
      <w:r>
        <w:rPr>
          <w:w w:val="105"/>
          <w:sz w:val="16"/>
        </w:rPr>
        <w:t>or</w:t>
      </w:r>
      <w:r>
        <w:rPr>
          <w:spacing w:val="-8"/>
          <w:w w:val="105"/>
          <w:sz w:val="16"/>
        </w:rPr>
        <w:t> </w:t>
      </w:r>
      <w:r>
        <w:rPr>
          <w:w w:val="105"/>
          <w:sz w:val="16"/>
        </w:rPr>
        <w:t>other</w:t>
      </w:r>
      <w:r>
        <w:rPr>
          <w:spacing w:val="-8"/>
          <w:w w:val="105"/>
          <w:sz w:val="16"/>
        </w:rPr>
        <w:t> </w:t>
      </w:r>
      <w:r>
        <w:rPr>
          <w:w w:val="105"/>
          <w:sz w:val="16"/>
        </w:rPr>
        <w:t>employees</w:t>
      </w:r>
      <w:r>
        <w:rPr>
          <w:spacing w:val="-8"/>
          <w:w w:val="105"/>
          <w:sz w:val="16"/>
        </w:rPr>
        <w:t> </w:t>
      </w:r>
      <w:r>
        <w:rPr>
          <w:w w:val="105"/>
          <w:sz w:val="16"/>
        </w:rPr>
        <w:t>who</w:t>
      </w:r>
      <w:r>
        <w:rPr>
          <w:spacing w:val="-8"/>
          <w:w w:val="105"/>
          <w:sz w:val="16"/>
        </w:rPr>
        <w:t> </w:t>
      </w:r>
      <w:r>
        <w:rPr>
          <w:w w:val="105"/>
          <w:sz w:val="16"/>
        </w:rPr>
        <w:t>have</w:t>
      </w:r>
      <w:r>
        <w:rPr>
          <w:spacing w:val="-7"/>
          <w:w w:val="105"/>
          <w:sz w:val="16"/>
        </w:rPr>
        <w:t> </w:t>
      </w:r>
      <w:r>
        <w:rPr>
          <w:w w:val="105"/>
          <w:sz w:val="16"/>
        </w:rPr>
        <w:t>a</w:t>
      </w:r>
      <w:r>
        <w:rPr>
          <w:spacing w:val="-8"/>
          <w:w w:val="105"/>
          <w:sz w:val="16"/>
        </w:rPr>
        <w:t> </w:t>
      </w:r>
      <w:r>
        <w:rPr>
          <w:w w:val="105"/>
          <w:sz w:val="16"/>
        </w:rPr>
        <w:t>significant</w:t>
      </w:r>
      <w:r>
        <w:rPr>
          <w:spacing w:val="-8"/>
          <w:w w:val="105"/>
          <w:sz w:val="16"/>
        </w:rPr>
        <w:t> </w:t>
      </w:r>
      <w:r>
        <w:rPr>
          <w:w w:val="105"/>
          <w:sz w:val="16"/>
        </w:rPr>
        <w:t>role</w:t>
      </w:r>
      <w:r>
        <w:rPr>
          <w:spacing w:val="-8"/>
          <w:w w:val="105"/>
          <w:sz w:val="16"/>
        </w:rPr>
        <w:t> </w:t>
      </w:r>
      <w:r>
        <w:rPr>
          <w:w w:val="105"/>
          <w:sz w:val="16"/>
        </w:rPr>
        <w:t>in</w:t>
      </w:r>
      <w:r>
        <w:rPr>
          <w:spacing w:val="-8"/>
          <w:w w:val="105"/>
          <w:sz w:val="16"/>
        </w:rPr>
        <w:t> </w:t>
      </w:r>
      <w:r>
        <w:rPr>
          <w:w w:val="105"/>
          <w:sz w:val="16"/>
        </w:rPr>
        <w:t>the</w:t>
      </w:r>
      <w:r>
        <w:rPr>
          <w:spacing w:val="-8"/>
          <w:w w:val="105"/>
          <w:sz w:val="16"/>
        </w:rPr>
        <w:t> </w:t>
      </w:r>
      <w:r>
        <w:rPr>
          <w:w w:val="105"/>
          <w:sz w:val="16"/>
        </w:rPr>
        <w:t>registrant’s</w:t>
      </w:r>
      <w:r>
        <w:rPr>
          <w:spacing w:val="-8"/>
          <w:w w:val="105"/>
          <w:sz w:val="16"/>
        </w:rPr>
        <w:t> </w:t>
      </w:r>
      <w:r>
        <w:rPr>
          <w:w w:val="105"/>
          <w:sz w:val="16"/>
        </w:rPr>
        <w:t>internal</w:t>
      </w:r>
      <w:r>
        <w:rPr>
          <w:spacing w:val="-8"/>
          <w:w w:val="105"/>
          <w:sz w:val="16"/>
        </w:rPr>
        <w:t> </w:t>
      </w:r>
      <w:r>
        <w:rPr>
          <w:w w:val="105"/>
          <w:sz w:val="16"/>
        </w:rPr>
        <w:t>control</w:t>
      </w:r>
      <w:r>
        <w:rPr>
          <w:spacing w:val="-8"/>
          <w:w w:val="105"/>
          <w:sz w:val="16"/>
        </w:rPr>
        <w:t> </w:t>
      </w:r>
      <w:r>
        <w:rPr>
          <w:w w:val="105"/>
          <w:sz w:val="16"/>
        </w:rPr>
        <w:t>over</w:t>
      </w:r>
      <w:r>
        <w:rPr>
          <w:spacing w:val="-8"/>
          <w:w w:val="105"/>
          <w:sz w:val="16"/>
        </w:rPr>
        <w:t> </w:t>
      </w:r>
      <w:r>
        <w:rPr>
          <w:w w:val="105"/>
          <w:sz w:val="16"/>
        </w:rPr>
        <w:t>financial </w:t>
      </w:r>
      <w:r>
        <w:rPr>
          <w:spacing w:val="-2"/>
          <w:w w:val="105"/>
          <w:sz w:val="16"/>
        </w:rPr>
        <w:t>reporting.</w:t>
      </w:r>
    </w:p>
    <w:p>
      <w:pPr>
        <w:pStyle w:val="BodyText"/>
      </w:pPr>
    </w:p>
    <w:p>
      <w:pPr>
        <w:pStyle w:val="BodyText"/>
        <w:spacing w:before="39"/>
      </w:pPr>
    </w:p>
    <w:p>
      <w:pPr>
        <w:pStyle w:val="BodyText"/>
        <w:ind w:left="156"/>
      </w:pPr>
      <w:r>
        <w:rPr>
          <w:w w:val="105"/>
        </w:rPr>
        <w:t>Date:</w:t>
      </w:r>
      <w:r>
        <w:rPr>
          <w:spacing w:val="28"/>
          <w:w w:val="105"/>
        </w:rPr>
        <w:t> </w:t>
      </w:r>
      <w:r>
        <w:rPr>
          <w:w w:val="105"/>
        </w:rPr>
        <w:t>February</w:t>
      </w:r>
      <w:r>
        <w:rPr>
          <w:spacing w:val="-6"/>
          <w:w w:val="105"/>
        </w:rPr>
        <w:t> </w:t>
      </w:r>
      <w:r>
        <w:rPr>
          <w:w w:val="105"/>
        </w:rPr>
        <w:t>14,</w:t>
      </w:r>
      <w:r>
        <w:rPr>
          <w:spacing w:val="-7"/>
          <w:w w:val="105"/>
        </w:rPr>
        <w:t> </w:t>
      </w:r>
      <w:r>
        <w:rPr>
          <w:spacing w:val="-4"/>
          <w:w w:val="105"/>
        </w:rPr>
        <w:t>2022</w:t>
      </w:r>
    </w:p>
    <w:p>
      <w:pPr>
        <w:pStyle w:val="BodyText"/>
      </w:pPr>
    </w:p>
    <w:p>
      <w:pPr>
        <w:pStyle w:val="BodyText"/>
      </w:pPr>
    </w:p>
    <w:p>
      <w:pPr>
        <w:pStyle w:val="BodyText"/>
      </w:pPr>
    </w:p>
    <w:p>
      <w:pPr>
        <w:pStyle w:val="BodyText"/>
        <w:spacing w:before="99"/>
      </w:pPr>
    </w:p>
    <w:p>
      <w:pPr>
        <w:pStyle w:val="BodyText"/>
        <w:ind w:left="156"/>
      </w:pPr>
      <w:r>
        <w:rPr/>
        <mc:AlternateContent>
          <mc:Choice Requires="wps">
            <w:drawing>
              <wp:anchor distT="0" distB="0" distL="0" distR="0" allowOverlap="1" layoutInCell="1" locked="0" behindDoc="1" simplePos="0" relativeHeight="487760384">
                <wp:simplePos x="0" y="0"/>
                <wp:positionH relativeFrom="page">
                  <wp:posOffset>226488</wp:posOffset>
                </wp:positionH>
                <wp:positionV relativeFrom="paragraph">
                  <wp:posOffset>127629</wp:posOffset>
                </wp:positionV>
                <wp:extent cx="3413760" cy="8255"/>
                <wp:effectExtent l="0" t="0" r="0" b="0"/>
                <wp:wrapTopAndBottom/>
                <wp:docPr id="1104" name="Graphic 1104"/>
                <wp:cNvGraphicFramePr>
                  <a:graphicFrameLocks/>
                </wp:cNvGraphicFramePr>
                <a:graphic>
                  <a:graphicData uri="http://schemas.microsoft.com/office/word/2010/wordprocessingShape">
                    <wps:wsp>
                      <wps:cNvPr id="1104" name="Graphic 1104"/>
                      <wps:cNvSpPr/>
                      <wps:spPr>
                        <a:xfrm>
                          <a:off x="0" y="0"/>
                          <a:ext cx="3413760" cy="8255"/>
                        </a:xfrm>
                        <a:custGeom>
                          <a:avLst/>
                          <a:gdLst/>
                          <a:ahLst/>
                          <a:cxnLst/>
                          <a:rect l="l" t="t" r="r" b="b"/>
                          <a:pathLst>
                            <a:path w="3413760" h="8255">
                              <a:moveTo>
                                <a:pt x="0" y="0"/>
                              </a:moveTo>
                              <a:lnTo>
                                <a:pt x="3413505" y="0"/>
                              </a:lnTo>
                              <a:lnTo>
                                <a:pt x="3413505"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49542pt;width:268.779963pt;height:.636919pt;mso-position-horizontal-relative:page;mso-position-vertical-relative:paragraph;z-index:-15556096;mso-wrap-distance-left:0;mso-wrap-distance-right:0" id="docshape1103" filled="true" fillcolor="#000000" stroked="false">
                <v:fill type="solid"/>
                <w10:wrap type="topAndBottom"/>
              </v:rect>
            </w:pict>
          </mc:Fallback>
        </mc:AlternateContent>
      </w:r>
      <w:r>
        <w:rPr>
          <w:w w:val="105"/>
        </w:rPr>
        <w:t>/s/</w:t>
      </w:r>
      <w:r>
        <w:rPr>
          <w:spacing w:val="33"/>
          <w:w w:val="105"/>
        </w:rPr>
        <w:t> </w:t>
      </w:r>
      <w:r>
        <w:rPr>
          <w:w w:val="105"/>
        </w:rPr>
        <w:t>R.</w:t>
      </w:r>
      <w:r>
        <w:rPr>
          <w:spacing w:val="-4"/>
          <w:w w:val="105"/>
        </w:rPr>
        <w:t> </w:t>
      </w:r>
      <w:r>
        <w:rPr>
          <w:w w:val="105"/>
        </w:rPr>
        <w:t>Tony</w:t>
      </w:r>
      <w:r>
        <w:rPr>
          <w:spacing w:val="-4"/>
          <w:w w:val="105"/>
        </w:rPr>
        <w:t> </w:t>
      </w:r>
      <w:r>
        <w:rPr>
          <w:spacing w:val="-2"/>
          <w:w w:val="105"/>
        </w:rPr>
        <w:t>Tripeny</w:t>
      </w:r>
    </w:p>
    <w:p>
      <w:pPr>
        <w:pStyle w:val="BodyText"/>
        <w:spacing w:before="3"/>
        <w:ind w:left="156"/>
      </w:pPr>
      <w:r>
        <w:rPr>
          <w:w w:val="105"/>
        </w:rPr>
        <w:t>R.</w:t>
      </w:r>
      <w:r>
        <w:rPr>
          <w:spacing w:val="-6"/>
          <w:w w:val="105"/>
        </w:rPr>
        <w:t> </w:t>
      </w:r>
      <w:r>
        <w:rPr>
          <w:w w:val="105"/>
        </w:rPr>
        <w:t>Tony</w:t>
      </w:r>
      <w:r>
        <w:rPr>
          <w:spacing w:val="-6"/>
          <w:w w:val="105"/>
        </w:rPr>
        <w:t> </w:t>
      </w:r>
      <w:r>
        <w:rPr>
          <w:spacing w:val="-2"/>
          <w:w w:val="105"/>
        </w:rPr>
        <w:t>Tripeny</w:t>
      </w:r>
    </w:p>
    <w:p>
      <w:pPr>
        <w:pStyle w:val="BodyText"/>
        <w:spacing w:line="266" w:lineRule="auto" w:before="20"/>
        <w:ind w:left="156" w:right="8075"/>
      </w:pPr>
      <w:r>
        <w:rPr>
          <w:w w:val="105"/>
        </w:rPr>
        <w:t>Executive</w:t>
      </w:r>
      <w:r>
        <w:rPr>
          <w:spacing w:val="-11"/>
          <w:w w:val="105"/>
        </w:rPr>
        <w:t> </w:t>
      </w:r>
      <w:r>
        <w:rPr>
          <w:w w:val="105"/>
        </w:rPr>
        <w:t>Vice</w:t>
      </w:r>
      <w:r>
        <w:rPr>
          <w:spacing w:val="-10"/>
          <w:w w:val="105"/>
        </w:rPr>
        <w:t> </w:t>
      </w:r>
      <w:r>
        <w:rPr>
          <w:w w:val="105"/>
        </w:rPr>
        <w:t>President</w:t>
      </w:r>
      <w:r>
        <w:rPr>
          <w:spacing w:val="-11"/>
          <w:w w:val="105"/>
        </w:rPr>
        <w:t> </w:t>
      </w:r>
      <w:r>
        <w:rPr>
          <w:w w:val="105"/>
        </w:rPr>
        <w:t>and</w:t>
      </w:r>
      <w:r>
        <w:rPr>
          <w:spacing w:val="-10"/>
          <w:w w:val="105"/>
        </w:rPr>
        <w:t> </w:t>
      </w:r>
      <w:r>
        <w:rPr>
          <w:w w:val="105"/>
        </w:rPr>
        <w:t>Chief</w:t>
      </w:r>
      <w:r>
        <w:rPr>
          <w:spacing w:val="-11"/>
          <w:w w:val="105"/>
        </w:rPr>
        <w:t> </w:t>
      </w:r>
      <w:r>
        <w:rPr>
          <w:w w:val="105"/>
        </w:rPr>
        <w:t>Financial</w:t>
      </w:r>
      <w:r>
        <w:rPr>
          <w:spacing w:val="-10"/>
          <w:w w:val="105"/>
        </w:rPr>
        <w:t> </w:t>
      </w:r>
      <w:r>
        <w:rPr>
          <w:w w:val="105"/>
        </w:rPr>
        <w:t>Officer (Principal Financial Officer)</w:t>
      </w:r>
    </w:p>
    <w:p>
      <w:pPr>
        <w:pStyle w:val="BodyText"/>
      </w:pPr>
    </w:p>
    <w:p>
      <w:pPr>
        <w:pStyle w:val="BodyText"/>
      </w:pPr>
    </w:p>
    <w:p>
      <w:pPr>
        <w:pStyle w:val="BodyText"/>
        <w:spacing w:before="58"/>
      </w:pPr>
    </w:p>
    <w:p>
      <w:pPr>
        <w:pStyle w:val="BodyText"/>
        <w:spacing w:before="1"/>
        <w:ind w:left="7"/>
        <w:jc w:val="center"/>
      </w:pPr>
      <w:r>
        <w:rPr>
          <w:w w:val="105"/>
        </w:rPr>
        <w:t>©</w:t>
      </w:r>
      <w:r>
        <w:rPr>
          <w:spacing w:val="-10"/>
          <w:w w:val="105"/>
        </w:rPr>
        <w:t> </w:t>
      </w:r>
      <w:r>
        <w:rPr>
          <w:w w:val="105"/>
        </w:rPr>
        <w:t>2022</w:t>
      </w:r>
      <w:r>
        <w:rPr>
          <w:spacing w:val="-10"/>
          <w:w w:val="105"/>
        </w:rPr>
        <w:t> </w:t>
      </w:r>
      <w:r>
        <w:rPr>
          <w:w w:val="105"/>
        </w:rPr>
        <w:t>Corning</w:t>
      </w:r>
      <w:r>
        <w:rPr>
          <w:spacing w:val="-10"/>
          <w:w w:val="105"/>
        </w:rPr>
        <w:t> </w:t>
      </w:r>
      <w:r>
        <w:rPr>
          <w:w w:val="105"/>
        </w:rPr>
        <w:t>Incorporated.</w:t>
      </w:r>
      <w:r>
        <w:rPr>
          <w:spacing w:val="-10"/>
          <w:w w:val="105"/>
        </w:rPr>
        <w:t> </w:t>
      </w:r>
      <w:r>
        <w:rPr>
          <w:w w:val="105"/>
        </w:rPr>
        <w:t>All</w:t>
      </w:r>
      <w:r>
        <w:rPr>
          <w:spacing w:val="-10"/>
          <w:w w:val="105"/>
        </w:rPr>
        <w:t> </w:t>
      </w:r>
      <w:r>
        <w:rPr>
          <w:w w:val="105"/>
        </w:rPr>
        <w:t>Rights</w:t>
      </w:r>
      <w:r>
        <w:rPr>
          <w:spacing w:val="-10"/>
          <w:w w:val="105"/>
        </w:rPr>
        <w:t> </w:t>
      </w:r>
      <w:r>
        <w:rPr>
          <w:spacing w:val="-2"/>
          <w:w w:val="105"/>
        </w:rPr>
        <w:t>Reserved.</w:t>
      </w:r>
    </w:p>
    <w:p>
      <w:pPr>
        <w:spacing w:after="0"/>
        <w:jc w:val="center"/>
        <w:sectPr>
          <w:pgSz w:w="12240" w:h="15840"/>
          <w:pgMar w:header="352" w:footer="0" w:top="540" w:bottom="280" w:left="200" w:right="260"/>
        </w:sectPr>
      </w:pPr>
    </w:p>
    <w:p>
      <w:pPr>
        <w:pStyle w:val="Heading2"/>
        <w:spacing w:before="86"/>
        <w:ind w:left="0" w:right="107"/>
        <w:jc w:val="right"/>
      </w:pPr>
      <w:bookmarkStart w:name="_bookmark33" w:id="34"/>
      <w:bookmarkEnd w:id="34"/>
      <w:r>
        <w:rPr>
          <w:b w:val="0"/>
        </w:rPr>
      </w:r>
      <w:r>
        <w:rPr/>
        <w:t>Exhibit</w:t>
      </w:r>
      <w:r>
        <w:rPr>
          <w:spacing w:val="10"/>
        </w:rPr>
        <w:t> </w:t>
      </w:r>
      <w:r>
        <w:rPr>
          <w:spacing w:val="-5"/>
        </w:rPr>
        <w:t>32</w:t>
      </w:r>
    </w:p>
    <w:p>
      <w:pPr>
        <w:pStyle w:val="BodyText"/>
        <w:spacing w:before="40"/>
        <w:rPr>
          <w:b/>
        </w:rPr>
      </w:pPr>
    </w:p>
    <w:p>
      <w:pPr>
        <w:pStyle w:val="BodyText"/>
        <w:spacing w:line="266" w:lineRule="auto"/>
        <w:ind w:left="5347" w:right="2521" w:hanging="2577"/>
      </w:pPr>
      <w:r>
        <w:rPr>
          <w:spacing w:val="-2"/>
          <w:w w:val="105"/>
        </w:rPr>
        <w:t>CERTIFICATION OF CHIEF EXECUTIVE OFFICER AND CHIEF FINANCIAL OFFICER</w:t>
      </w:r>
      <w:r>
        <w:rPr>
          <w:w w:val="105"/>
        </w:rPr>
        <w:t> PURSUANT</w:t>
      </w:r>
      <w:r>
        <w:rPr>
          <w:spacing w:val="-1"/>
          <w:w w:val="105"/>
        </w:rPr>
        <w:t> </w:t>
      </w:r>
      <w:r>
        <w:rPr>
          <w:w w:val="105"/>
        </w:rPr>
        <w:t>TO</w:t>
      </w:r>
    </w:p>
    <w:p>
      <w:pPr>
        <w:pStyle w:val="BodyText"/>
        <w:spacing w:line="266" w:lineRule="auto"/>
        <w:ind w:left="4814" w:right="4744" w:firstLine="197"/>
      </w:pPr>
      <w:r>
        <w:rPr>
          <w:w w:val="105"/>
        </w:rPr>
        <w:t>18 U.S.C. SECTION 1350, </w:t>
      </w:r>
      <w:r>
        <w:rPr>
          <w:spacing w:val="-2"/>
          <w:w w:val="105"/>
        </w:rPr>
        <w:t>AS</w:t>
      </w:r>
      <w:r>
        <w:rPr>
          <w:spacing w:val="-9"/>
          <w:w w:val="105"/>
        </w:rPr>
        <w:t> </w:t>
      </w:r>
      <w:r>
        <w:rPr>
          <w:spacing w:val="-2"/>
          <w:w w:val="105"/>
        </w:rPr>
        <w:t>ADOPTED</w:t>
      </w:r>
      <w:r>
        <w:rPr>
          <w:spacing w:val="-8"/>
          <w:w w:val="105"/>
        </w:rPr>
        <w:t> </w:t>
      </w:r>
      <w:r>
        <w:rPr>
          <w:spacing w:val="-2"/>
          <w:w w:val="105"/>
        </w:rPr>
        <w:t>PURSUANT</w:t>
      </w:r>
      <w:r>
        <w:rPr>
          <w:spacing w:val="-9"/>
          <w:w w:val="105"/>
        </w:rPr>
        <w:t> </w:t>
      </w:r>
      <w:r>
        <w:rPr>
          <w:spacing w:val="-2"/>
          <w:w w:val="105"/>
        </w:rPr>
        <w:t>TO</w:t>
      </w:r>
    </w:p>
    <w:p>
      <w:pPr>
        <w:pStyle w:val="BodyText"/>
        <w:spacing w:line="183" w:lineRule="exact"/>
        <w:ind w:left="3853"/>
      </w:pPr>
      <w:r>
        <w:rPr/>
        <w:t>SECTION</w:t>
      </w:r>
      <w:r>
        <w:rPr>
          <w:spacing w:val="11"/>
        </w:rPr>
        <w:t> </w:t>
      </w:r>
      <w:r>
        <w:rPr/>
        <w:t>906</w:t>
      </w:r>
      <w:r>
        <w:rPr>
          <w:spacing w:val="12"/>
        </w:rPr>
        <w:t> </w:t>
      </w:r>
      <w:r>
        <w:rPr/>
        <w:t>OF</w:t>
      </w:r>
      <w:r>
        <w:rPr>
          <w:spacing w:val="11"/>
        </w:rPr>
        <w:t> </w:t>
      </w:r>
      <w:r>
        <w:rPr/>
        <w:t>THE</w:t>
      </w:r>
      <w:r>
        <w:rPr>
          <w:spacing w:val="14"/>
        </w:rPr>
        <w:t> </w:t>
      </w:r>
      <w:r>
        <w:rPr/>
        <w:t>SARBANES-OXLEY</w:t>
      </w:r>
      <w:r>
        <w:rPr>
          <w:spacing w:val="12"/>
        </w:rPr>
        <w:t> </w:t>
      </w:r>
      <w:r>
        <w:rPr/>
        <w:t>ACT</w:t>
      </w:r>
      <w:r>
        <w:rPr>
          <w:spacing w:val="12"/>
        </w:rPr>
        <w:t> </w:t>
      </w:r>
      <w:r>
        <w:rPr/>
        <w:t>OF</w:t>
      </w:r>
      <w:r>
        <w:rPr>
          <w:spacing w:val="11"/>
        </w:rPr>
        <w:t> </w:t>
      </w:r>
      <w:r>
        <w:rPr>
          <w:spacing w:val="-4"/>
        </w:rPr>
        <w:t>2002</w:t>
      </w:r>
    </w:p>
    <w:p>
      <w:pPr>
        <w:pStyle w:val="BodyText"/>
      </w:pPr>
    </w:p>
    <w:p>
      <w:pPr>
        <w:pStyle w:val="BodyText"/>
        <w:spacing w:before="58"/>
      </w:pPr>
    </w:p>
    <w:p>
      <w:pPr>
        <w:pStyle w:val="BodyText"/>
        <w:spacing w:line="266" w:lineRule="auto"/>
        <w:ind w:left="156"/>
      </w:pPr>
      <w:r>
        <w:rPr>
          <w:w w:val="105"/>
        </w:rPr>
        <w:t>The</w:t>
      </w:r>
      <w:r>
        <w:rPr>
          <w:spacing w:val="-9"/>
          <w:w w:val="105"/>
        </w:rPr>
        <w:t> </w:t>
      </w:r>
      <w:r>
        <w:rPr>
          <w:w w:val="105"/>
        </w:rPr>
        <w:t>undersigned,</w:t>
      </w:r>
      <w:r>
        <w:rPr>
          <w:spacing w:val="-9"/>
          <w:w w:val="105"/>
        </w:rPr>
        <w:t> </w:t>
      </w:r>
      <w:r>
        <w:rPr>
          <w:w w:val="105"/>
        </w:rPr>
        <w:t>Wendell</w:t>
      </w:r>
      <w:r>
        <w:rPr>
          <w:spacing w:val="-9"/>
          <w:w w:val="105"/>
        </w:rPr>
        <w:t> </w:t>
      </w:r>
      <w:r>
        <w:rPr>
          <w:w w:val="105"/>
        </w:rPr>
        <w:t>P.</w:t>
      </w:r>
      <w:r>
        <w:rPr>
          <w:spacing w:val="-9"/>
          <w:w w:val="105"/>
        </w:rPr>
        <w:t> </w:t>
      </w:r>
      <w:r>
        <w:rPr>
          <w:w w:val="105"/>
        </w:rPr>
        <w:t>Weeks,</w:t>
      </w:r>
      <w:r>
        <w:rPr>
          <w:spacing w:val="-9"/>
          <w:w w:val="105"/>
        </w:rPr>
        <w:t> </w:t>
      </w:r>
      <w:r>
        <w:rPr>
          <w:w w:val="105"/>
        </w:rPr>
        <w:t>Chairman</w:t>
      </w:r>
      <w:r>
        <w:rPr>
          <w:spacing w:val="-9"/>
          <w:w w:val="105"/>
        </w:rPr>
        <w:t> </w:t>
      </w:r>
      <w:r>
        <w:rPr>
          <w:w w:val="105"/>
        </w:rPr>
        <w:t>and</w:t>
      </w:r>
      <w:r>
        <w:rPr>
          <w:spacing w:val="-9"/>
          <w:w w:val="105"/>
        </w:rPr>
        <w:t> </w:t>
      </w:r>
      <w:r>
        <w:rPr>
          <w:w w:val="105"/>
        </w:rPr>
        <w:t>Chief</w:t>
      </w:r>
      <w:r>
        <w:rPr>
          <w:spacing w:val="-9"/>
          <w:w w:val="105"/>
        </w:rPr>
        <w:t> </w:t>
      </w:r>
      <w:r>
        <w:rPr>
          <w:w w:val="105"/>
        </w:rPr>
        <w:t>Executive</w:t>
      </w:r>
      <w:r>
        <w:rPr>
          <w:spacing w:val="-9"/>
          <w:w w:val="105"/>
        </w:rPr>
        <w:t> </w:t>
      </w:r>
      <w:r>
        <w:rPr>
          <w:w w:val="105"/>
        </w:rPr>
        <w:t>Officer</w:t>
      </w:r>
      <w:r>
        <w:rPr>
          <w:spacing w:val="-9"/>
          <w:w w:val="105"/>
        </w:rPr>
        <w:t> </w:t>
      </w:r>
      <w:r>
        <w:rPr>
          <w:w w:val="105"/>
        </w:rPr>
        <w:t>of</w:t>
      </w:r>
      <w:r>
        <w:rPr>
          <w:spacing w:val="-9"/>
          <w:w w:val="105"/>
        </w:rPr>
        <w:t> </w:t>
      </w:r>
      <w:r>
        <w:rPr>
          <w:w w:val="105"/>
        </w:rPr>
        <w:t>Corning</w:t>
      </w:r>
      <w:r>
        <w:rPr>
          <w:spacing w:val="-9"/>
          <w:w w:val="105"/>
        </w:rPr>
        <w:t> </w:t>
      </w:r>
      <w:r>
        <w:rPr>
          <w:w w:val="105"/>
        </w:rPr>
        <w:t>Incorporated</w:t>
      </w:r>
      <w:r>
        <w:rPr>
          <w:spacing w:val="-8"/>
          <w:w w:val="105"/>
        </w:rPr>
        <w:t> </w:t>
      </w:r>
      <w:r>
        <w:rPr>
          <w:w w:val="105"/>
        </w:rPr>
        <w:t>(the</w:t>
      </w:r>
      <w:r>
        <w:rPr>
          <w:spacing w:val="-9"/>
          <w:w w:val="105"/>
        </w:rPr>
        <w:t> </w:t>
      </w:r>
      <w:r>
        <w:rPr>
          <w:w w:val="105"/>
        </w:rPr>
        <w:t>“Company”)</w:t>
      </w:r>
      <w:r>
        <w:rPr>
          <w:spacing w:val="-9"/>
          <w:w w:val="105"/>
        </w:rPr>
        <w:t> </w:t>
      </w:r>
      <w:r>
        <w:rPr>
          <w:w w:val="105"/>
        </w:rPr>
        <w:t>and</w:t>
      </w:r>
      <w:r>
        <w:rPr>
          <w:spacing w:val="-9"/>
          <w:w w:val="105"/>
        </w:rPr>
        <w:t> </w:t>
      </w:r>
      <w:r>
        <w:rPr>
          <w:w w:val="105"/>
        </w:rPr>
        <w:t>R.</w:t>
      </w:r>
      <w:r>
        <w:rPr>
          <w:spacing w:val="-9"/>
          <w:w w:val="105"/>
        </w:rPr>
        <w:t> </w:t>
      </w:r>
      <w:r>
        <w:rPr>
          <w:w w:val="105"/>
        </w:rPr>
        <w:t>Tony</w:t>
      </w:r>
      <w:r>
        <w:rPr>
          <w:spacing w:val="-9"/>
          <w:w w:val="105"/>
        </w:rPr>
        <w:t> </w:t>
      </w:r>
      <w:r>
        <w:rPr>
          <w:w w:val="105"/>
        </w:rPr>
        <w:t>Tripeny,</w:t>
      </w:r>
      <w:r>
        <w:rPr>
          <w:spacing w:val="-9"/>
          <w:w w:val="105"/>
        </w:rPr>
        <w:t> </w:t>
      </w:r>
      <w:r>
        <w:rPr>
          <w:w w:val="105"/>
        </w:rPr>
        <w:t>Executive</w:t>
      </w:r>
      <w:r>
        <w:rPr>
          <w:spacing w:val="-9"/>
          <w:w w:val="105"/>
        </w:rPr>
        <w:t> </w:t>
      </w:r>
      <w:r>
        <w:rPr>
          <w:w w:val="105"/>
        </w:rPr>
        <w:t>Vice</w:t>
      </w:r>
      <w:r>
        <w:rPr>
          <w:spacing w:val="-9"/>
          <w:w w:val="105"/>
        </w:rPr>
        <w:t> </w:t>
      </w:r>
      <w:r>
        <w:rPr>
          <w:w w:val="105"/>
        </w:rPr>
        <w:t>President</w:t>
      </w:r>
      <w:r>
        <w:rPr>
          <w:spacing w:val="-9"/>
          <w:w w:val="105"/>
        </w:rPr>
        <w:t> </w:t>
      </w:r>
      <w:r>
        <w:rPr>
          <w:w w:val="105"/>
        </w:rPr>
        <w:t>and Chief</w:t>
      </w:r>
      <w:r>
        <w:rPr>
          <w:spacing w:val="-1"/>
          <w:w w:val="105"/>
        </w:rPr>
        <w:t> </w:t>
      </w:r>
      <w:r>
        <w:rPr>
          <w:w w:val="105"/>
        </w:rPr>
        <w:t>Financial</w:t>
      </w:r>
      <w:r>
        <w:rPr>
          <w:spacing w:val="-1"/>
          <w:w w:val="105"/>
        </w:rPr>
        <w:t> </w:t>
      </w:r>
      <w:r>
        <w:rPr>
          <w:w w:val="105"/>
        </w:rPr>
        <w:t>Officer, certify,</w:t>
      </w:r>
      <w:r>
        <w:rPr>
          <w:spacing w:val="-1"/>
          <w:w w:val="105"/>
        </w:rPr>
        <w:t> </w:t>
      </w:r>
      <w:r>
        <w:rPr>
          <w:w w:val="105"/>
        </w:rPr>
        <w:t>pursuant</w:t>
      </w:r>
      <w:r>
        <w:rPr>
          <w:spacing w:val="-1"/>
          <w:w w:val="105"/>
        </w:rPr>
        <w:t> </w:t>
      </w:r>
      <w:r>
        <w:rPr>
          <w:w w:val="105"/>
        </w:rPr>
        <w:t>to</w:t>
      </w:r>
      <w:r>
        <w:rPr>
          <w:spacing w:val="-1"/>
          <w:w w:val="105"/>
        </w:rPr>
        <w:t> </w:t>
      </w:r>
      <w:r>
        <w:rPr>
          <w:w w:val="105"/>
        </w:rPr>
        <w:t>18</w:t>
      </w:r>
      <w:r>
        <w:rPr>
          <w:spacing w:val="-1"/>
          <w:w w:val="105"/>
        </w:rPr>
        <w:t> </w:t>
      </w:r>
      <w:r>
        <w:rPr>
          <w:w w:val="105"/>
        </w:rPr>
        <w:t>U.S.C.</w:t>
      </w:r>
      <w:r>
        <w:rPr>
          <w:spacing w:val="-1"/>
          <w:w w:val="105"/>
        </w:rPr>
        <w:t> </w:t>
      </w:r>
      <w:r>
        <w:rPr>
          <w:w w:val="105"/>
        </w:rPr>
        <w:t>Section</w:t>
      </w:r>
      <w:r>
        <w:rPr>
          <w:spacing w:val="-1"/>
          <w:w w:val="105"/>
        </w:rPr>
        <w:t> </w:t>
      </w:r>
      <w:r>
        <w:rPr>
          <w:w w:val="105"/>
        </w:rPr>
        <w:t>1350,</w:t>
      </w:r>
      <w:r>
        <w:rPr>
          <w:spacing w:val="-1"/>
          <w:w w:val="105"/>
        </w:rPr>
        <w:t> </w:t>
      </w:r>
      <w:r>
        <w:rPr>
          <w:w w:val="105"/>
        </w:rPr>
        <w:t>as</w:t>
      </w:r>
      <w:r>
        <w:rPr>
          <w:spacing w:val="-1"/>
          <w:w w:val="105"/>
        </w:rPr>
        <w:t> </w:t>
      </w:r>
      <w:r>
        <w:rPr>
          <w:w w:val="105"/>
        </w:rPr>
        <w:t>adopted</w:t>
      </w:r>
      <w:r>
        <w:rPr>
          <w:spacing w:val="-1"/>
          <w:w w:val="105"/>
        </w:rPr>
        <w:t> </w:t>
      </w:r>
      <w:r>
        <w:rPr>
          <w:w w:val="105"/>
        </w:rPr>
        <w:t>pursuant</w:t>
      </w:r>
      <w:r>
        <w:rPr>
          <w:spacing w:val="-1"/>
          <w:w w:val="105"/>
        </w:rPr>
        <w:t> </w:t>
      </w:r>
      <w:r>
        <w:rPr>
          <w:w w:val="105"/>
        </w:rPr>
        <w:t>to</w:t>
      </w:r>
      <w:r>
        <w:rPr>
          <w:spacing w:val="-1"/>
          <w:w w:val="105"/>
        </w:rPr>
        <w:t> </w:t>
      </w:r>
      <w:r>
        <w:rPr>
          <w:w w:val="105"/>
        </w:rPr>
        <w:t>Section</w:t>
      </w:r>
      <w:r>
        <w:rPr>
          <w:spacing w:val="-1"/>
          <w:w w:val="105"/>
        </w:rPr>
        <w:t> </w:t>
      </w:r>
      <w:r>
        <w:rPr>
          <w:w w:val="105"/>
        </w:rPr>
        <w:t>906</w:t>
      </w:r>
      <w:r>
        <w:rPr>
          <w:spacing w:val="-1"/>
          <w:w w:val="105"/>
        </w:rPr>
        <w:t> </w:t>
      </w:r>
      <w:r>
        <w:rPr>
          <w:w w:val="105"/>
        </w:rPr>
        <w:t>of</w:t>
      </w:r>
      <w:r>
        <w:rPr>
          <w:spacing w:val="-1"/>
          <w:w w:val="105"/>
        </w:rPr>
        <w:t> </w:t>
      </w:r>
      <w:r>
        <w:rPr>
          <w:w w:val="105"/>
        </w:rPr>
        <w:t>the</w:t>
      </w:r>
      <w:r>
        <w:rPr>
          <w:spacing w:val="-1"/>
          <w:w w:val="105"/>
        </w:rPr>
        <w:t> </w:t>
      </w:r>
      <w:r>
        <w:rPr>
          <w:w w:val="105"/>
        </w:rPr>
        <w:t>Sarbanes-Oxley</w:t>
      </w:r>
      <w:r>
        <w:rPr>
          <w:spacing w:val="-1"/>
          <w:w w:val="105"/>
        </w:rPr>
        <w:t> </w:t>
      </w:r>
      <w:r>
        <w:rPr>
          <w:w w:val="105"/>
        </w:rPr>
        <w:t>Act</w:t>
      </w:r>
      <w:r>
        <w:rPr>
          <w:spacing w:val="-1"/>
          <w:w w:val="105"/>
        </w:rPr>
        <w:t> </w:t>
      </w:r>
      <w:r>
        <w:rPr>
          <w:w w:val="105"/>
        </w:rPr>
        <w:t>of</w:t>
      </w:r>
      <w:r>
        <w:rPr>
          <w:spacing w:val="-1"/>
          <w:w w:val="105"/>
        </w:rPr>
        <w:t> </w:t>
      </w:r>
      <w:r>
        <w:rPr>
          <w:w w:val="105"/>
        </w:rPr>
        <w:t>2002,</w:t>
      </w:r>
      <w:r>
        <w:rPr>
          <w:spacing w:val="-1"/>
          <w:w w:val="105"/>
        </w:rPr>
        <w:t> </w:t>
      </w:r>
      <w:r>
        <w:rPr>
          <w:w w:val="105"/>
        </w:rPr>
        <w:t>that:</w:t>
      </w:r>
    </w:p>
    <w:p>
      <w:pPr>
        <w:pStyle w:val="BodyText"/>
        <w:spacing w:before="19"/>
      </w:pPr>
    </w:p>
    <w:p>
      <w:pPr>
        <w:pStyle w:val="ListParagraph"/>
        <w:numPr>
          <w:ilvl w:val="0"/>
          <w:numId w:val="68"/>
        </w:numPr>
        <w:tabs>
          <w:tab w:pos="462" w:val="left" w:leader="none"/>
        </w:tabs>
        <w:spacing w:line="266" w:lineRule="auto" w:before="0" w:after="0"/>
        <w:ind w:left="462" w:right="191" w:hanging="306"/>
        <w:jc w:val="left"/>
        <w:rPr>
          <w:sz w:val="16"/>
        </w:rPr>
      </w:pPr>
      <w:r>
        <w:rPr>
          <w:w w:val="105"/>
          <w:sz w:val="16"/>
        </w:rPr>
        <w:t>the</w:t>
      </w:r>
      <w:r>
        <w:rPr>
          <w:spacing w:val="-7"/>
          <w:w w:val="105"/>
          <w:sz w:val="16"/>
        </w:rPr>
        <w:t> </w:t>
      </w:r>
      <w:r>
        <w:rPr>
          <w:w w:val="105"/>
          <w:sz w:val="16"/>
        </w:rPr>
        <w:t>Annual</w:t>
      </w:r>
      <w:r>
        <w:rPr>
          <w:spacing w:val="-7"/>
          <w:w w:val="105"/>
          <w:sz w:val="16"/>
        </w:rPr>
        <w:t> </w:t>
      </w:r>
      <w:r>
        <w:rPr>
          <w:w w:val="105"/>
          <w:sz w:val="16"/>
        </w:rPr>
        <w:t>Report</w:t>
      </w:r>
      <w:r>
        <w:rPr>
          <w:spacing w:val="-7"/>
          <w:w w:val="105"/>
          <w:sz w:val="16"/>
        </w:rPr>
        <w:t> </w:t>
      </w:r>
      <w:r>
        <w:rPr>
          <w:w w:val="105"/>
          <w:sz w:val="16"/>
        </w:rPr>
        <w:t>of</w:t>
      </w:r>
      <w:r>
        <w:rPr>
          <w:spacing w:val="-7"/>
          <w:w w:val="105"/>
          <w:sz w:val="16"/>
        </w:rPr>
        <w:t> </w:t>
      </w:r>
      <w:r>
        <w:rPr>
          <w:w w:val="105"/>
          <w:sz w:val="16"/>
        </w:rPr>
        <w:t>the</w:t>
      </w:r>
      <w:r>
        <w:rPr>
          <w:spacing w:val="-7"/>
          <w:w w:val="105"/>
          <w:sz w:val="16"/>
        </w:rPr>
        <w:t> </w:t>
      </w:r>
      <w:r>
        <w:rPr>
          <w:w w:val="105"/>
          <w:sz w:val="16"/>
        </w:rPr>
        <w:t>Company</w:t>
      </w:r>
      <w:r>
        <w:rPr>
          <w:spacing w:val="-7"/>
          <w:w w:val="105"/>
          <w:sz w:val="16"/>
        </w:rPr>
        <w:t> </w:t>
      </w:r>
      <w:r>
        <w:rPr>
          <w:w w:val="105"/>
          <w:sz w:val="16"/>
        </w:rPr>
        <w:t>on</w:t>
      </w:r>
      <w:r>
        <w:rPr>
          <w:spacing w:val="-7"/>
          <w:w w:val="105"/>
          <w:sz w:val="16"/>
        </w:rPr>
        <w:t> </w:t>
      </w:r>
      <w:r>
        <w:rPr>
          <w:w w:val="105"/>
          <w:sz w:val="16"/>
        </w:rPr>
        <w:t>Form</w:t>
      </w:r>
      <w:r>
        <w:rPr>
          <w:spacing w:val="-7"/>
          <w:w w:val="105"/>
          <w:sz w:val="16"/>
        </w:rPr>
        <w:t> </w:t>
      </w:r>
      <w:r>
        <w:rPr>
          <w:w w:val="105"/>
          <w:sz w:val="16"/>
        </w:rPr>
        <w:t>10-K</w:t>
      </w:r>
      <w:r>
        <w:rPr>
          <w:spacing w:val="-7"/>
          <w:w w:val="105"/>
          <w:sz w:val="16"/>
        </w:rPr>
        <w:t> </w:t>
      </w:r>
      <w:r>
        <w:rPr>
          <w:w w:val="105"/>
          <w:sz w:val="16"/>
        </w:rPr>
        <w:t>for</w:t>
      </w:r>
      <w:r>
        <w:rPr>
          <w:spacing w:val="-6"/>
          <w:w w:val="105"/>
          <w:sz w:val="16"/>
        </w:rPr>
        <w:t> </w:t>
      </w:r>
      <w:r>
        <w:rPr>
          <w:w w:val="105"/>
          <w:sz w:val="16"/>
        </w:rPr>
        <w:t>the</w:t>
      </w:r>
      <w:r>
        <w:rPr>
          <w:spacing w:val="-7"/>
          <w:w w:val="105"/>
          <w:sz w:val="16"/>
        </w:rPr>
        <w:t> </w:t>
      </w:r>
      <w:r>
        <w:rPr>
          <w:w w:val="105"/>
          <w:sz w:val="16"/>
        </w:rPr>
        <w:t>annual</w:t>
      </w:r>
      <w:r>
        <w:rPr>
          <w:spacing w:val="-7"/>
          <w:w w:val="105"/>
          <w:sz w:val="16"/>
        </w:rPr>
        <w:t> </w:t>
      </w:r>
      <w:r>
        <w:rPr>
          <w:w w:val="105"/>
          <w:sz w:val="16"/>
        </w:rPr>
        <w:t>period</w:t>
      </w:r>
      <w:r>
        <w:rPr>
          <w:spacing w:val="-7"/>
          <w:w w:val="105"/>
          <w:sz w:val="16"/>
        </w:rPr>
        <w:t> </w:t>
      </w:r>
      <w:r>
        <w:rPr>
          <w:w w:val="105"/>
          <w:sz w:val="16"/>
        </w:rPr>
        <w:t>ended</w:t>
      </w:r>
      <w:r>
        <w:rPr>
          <w:spacing w:val="-7"/>
          <w:w w:val="105"/>
          <w:sz w:val="16"/>
        </w:rPr>
        <w:t> </w:t>
      </w:r>
      <w:r>
        <w:rPr>
          <w:w w:val="105"/>
          <w:sz w:val="16"/>
        </w:rPr>
        <w:t>December</w:t>
      </w:r>
      <w:r>
        <w:rPr>
          <w:spacing w:val="-7"/>
          <w:w w:val="105"/>
          <w:sz w:val="16"/>
        </w:rPr>
        <w:t> </w:t>
      </w:r>
      <w:r>
        <w:rPr>
          <w:w w:val="105"/>
          <w:sz w:val="16"/>
        </w:rPr>
        <w:t>31,</w:t>
      </w:r>
      <w:r>
        <w:rPr>
          <w:spacing w:val="-7"/>
          <w:w w:val="105"/>
          <w:sz w:val="16"/>
        </w:rPr>
        <w:t> </w:t>
      </w:r>
      <w:r>
        <w:rPr>
          <w:w w:val="105"/>
          <w:sz w:val="16"/>
        </w:rPr>
        <w:t>2021</w:t>
      </w:r>
      <w:r>
        <w:rPr>
          <w:spacing w:val="-7"/>
          <w:w w:val="105"/>
          <w:sz w:val="16"/>
        </w:rPr>
        <w:t> </w:t>
      </w:r>
      <w:r>
        <w:rPr>
          <w:w w:val="105"/>
          <w:sz w:val="16"/>
        </w:rPr>
        <w:t>fully</w:t>
      </w:r>
      <w:r>
        <w:rPr>
          <w:spacing w:val="-7"/>
          <w:w w:val="105"/>
          <w:sz w:val="16"/>
        </w:rPr>
        <w:t> </w:t>
      </w:r>
      <w:r>
        <w:rPr>
          <w:w w:val="105"/>
          <w:sz w:val="16"/>
        </w:rPr>
        <w:t>complies</w:t>
      </w:r>
      <w:r>
        <w:rPr>
          <w:spacing w:val="-7"/>
          <w:w w:val="105"/>
          <w:sz w:val="16"/>
        </w:rPr>
        <w:t> </w:t>
      </w:r>
      <w:r>
        <w:rPr>
          <w:w w:val="105"/>
          <w:sz w:val="16"/>
        </w:rPr>
        <w:t>with</w:t>
      </w:r>
      <w:r>
        <w:rPr>
          <w:spacing w:val="-7"/>
          <w:w w:val="105"/>
          <w:sz w:val="16"/>
        </w:rPr>
        <w:t> </w:t>
      </w:r>
      <w:r>
        <w:rPr>
          <w:w w:val="105"/>
          <w:sz w:val="16"/>
        </w:rPr>
        <w:t>the</w:t>
      </w:r>
      <w:r>
        <w:rPr>
          <w:spacing w:val="-6"/>
          <w:w w:val="105"/>
          <w:sz w:val="16"/>
        </w:rPr>
        <w:t> </w:t>
      </w:r>
      <w:r>
        <w:rPr>
          <w:w w:val="105"/>
          <w:sz w:val="16"/>
        </w:rPr>
        <w:t>requirements</w:t>
      </w:r>
      <w:r>
        <w:rPr>
          <w:spacing w:val="-7"/>
          <w:w w:val="105"/>
          <w:sz w:val="16"/>
        </w:rPr>
        <w:t> </w:t>
      </w:r>
      <w:r>
        <w:rPr>
          <w:w w:val="105"/>
          <w:sz w:val="16"/>
        </w:rPr>
        <w:t>of</w:t>
      </w:r>
      <w:r>
        <w:rPr>
          <w:spacing w:val="-7"/>
          <w:w w:val="105"/>
          <w:sz w:val="16"/>
        </w:rPr>
        <w:t> </w:t>
      </w:r>
      <w:r>
        <w:rPr>
          <w:w w:val="105"/>
          <w:sz w:val="16"/>
        </w:rPr>
        <w:t>Section</w:t>
      </w:r>
      <w:r>
        <w:rPr>
          <w:spacing w:val="-7"/>
          <w:w w:val="105"/>
          <w:sz w:val="16"/>
        </w:rPr>
        <w:t> </w:t>
      </w:r>
      <w:r>
        <w:rPr>
          <w:w w:val="105"/>
          <w:sz w:val="16"/>
        </w:rPr>
        <w:t>13(a)</w:t>
      </w:r>
      <w:r>
        <w:rPr>
          <w:spacing w:val="-7"/>
          <w:w w:val="105"/>
          <w:sz w:val="16"/>
        </w:rPr>
        <w:t> </w:t>
      </w:r>
      <w:r>
        <w:rPr>
          <w:w w:val="105"/>
          <w:sz w:val="16"/>
        </w:rPr>
        <w:t>or</w:t>
      </w:r>
      <w:r>
        <w:rPr>
          <w:spacing w:val="-7"/>
          <w:w w:val="105"/>
          <w:sz w:val="16"/>
        </w:rPr>
        <w:t> </w:t>
      </w:r>
      <w:r>
        <w:rPr>
          <w:w w:val="105"/>
          <w:sz w:val="16"/>
        </w:rPr>
        <w:t>15(d)</w:t>
      </w:r>
      <w:r>
        <w:rPr>
          <w:spacing w:val="-7"/>
          <w:w w:val="105"/>
          <w:sz w:val="16"/>
        </w:rPr>
        <w:t> </w:t>
      </w:r>
      <w:r>
        <w:rPr>
          <w:w w:val="105"/>
          <w:sz w:val="16"/>
        </w:rPr>
        <w:t>of</w:t>
      </w:r>
      <w:r>
        <w:rPr>
          <w:spacing w:val="-7"/>
          <w:w w:val="105"/>
          <w:sz w:val="16"/>
        </w:rPr>
        <w:t> </w:t>
      </w:r>
      <w:r>
        <w:rPr>
          <w:w w:val="105"/>
          <w:sz w:val="16"/>
        </w:rPr>
        <w:t>the Securities Exchange Act of 1934; and</w:t>
      </w:r>
    </w:p>
    <w:p>
      <w:pPr>
        <w:pStyle w:val="BodyText"/>
        <w:spacing w:before="19"/>
      </w:pPr>
    </w:p>
    <w:p>
      <w:pPr>
        <w:pStyle w:val="ListParagraph"/>
        <w:numPr>
          <w:ilvl w:val="0"/>
          <w:numId w:val="68"/>
        </w:numPr>
        <w:tabs>
          <w:tab w:pos="461" w:val="left" w:leader="none"/>
        </w:tabs>
        <w:spacing w:line="240" w:lineRule="auto" w:before="0" w:after="0"/>
        <w:ind w:left="461" w:right="0" w:hanging="305"/>
        <w:jc w:val="left"/>
        <w:rPr>
          <w:sz w:val="16"/>
        </w:rPr>
      </w:pPr>
      <w:r>
        <w:rPr>
          <w:w w:val="105"/>
          <w:sz w:val="16"/>
        </w:rPr>
        <w:t>that</w:t>
      </w:r>
      <w:r>
        <w:rPr>
          <w:spacing w:val="-9"/>
          <w:w w:val="105"/>
          <w:sz w:val="16"/>
        </w:rPr>
        <w:t> </w:t>
      </w:r>
      <w:r>
        <w:rPr>
          <w:w w:val="105"/>
          <w:sz w:val="16"/>
        </w:rPr>
        <w:t>information</w:t>
      </w:r>
      <w:r>
        <w:rPr>
          <w:spacing w:val="-9"/>
          <w:w w:val="105"/>
          <w:sz w:val="16"/>
        </w:rPr>
        <w:t> </w:t>
      </w:r>
      <w:r>
        <w:rPr>
          <w:w w:val="105"/>
          <w:sz w:val="16"/>
        </w:rPr>
        <w:t>contained</w:t>
      </w:r>
      <w:r>
        <w:rPr>
          <w:spacing w:val="-9"/>
          <w:w w:val="105"/>
          <w:sz w:val="16"/>
        </w:rPr>
        <w:t> </w:t>
      </w:r>
      <w:r>
        <w:rPr>
          <w:w w:val="105"/>
          <w:sz w:val="16"/>
        </w:rPr>
        <w:t>in</w:t>
      </w:r>
      <w:r>
        <w:rPr>
          <w:spacing w:val="-8"/>
          <w:w w:val="105"/>
          <w:sz w:val="16"/>
        </w:rPr>
        <w:t> </w:t>
      </w:r>
      <w:r>
        <w:rPr>
          <w:w w:val="105"/>
          <w:sz w:val="16"/>
        </w:rPr>
        <w:t>such</w:t>
      </w:r>
      <w:r>
        <w:rPr>
          <w:spacing w:val="-9"/>
          <w:w w:val="105"/>
          <w:sz w:val="16"/>
        </w:rPr>
        <w:t> </w:t>
      </w:r>
      <w:r>
        <w:rPr>
          <w:w w:val="105"/>
          <w:sz w:val="16"/>
        </w:rPr>
        <w:t>Form</w:t>
      </w:r>
      <w:r>
        <w:rPr>
          <w:spacing w:val="-9"/>
          <w:w w:val="105"/>
          <w:sz w:val="16"/>
        </w:rPr>
        <w:t> </w:t>
      </w:r>
      <w:r>
        <w:rPr>
          <w:w w:val="105"/>
          <w:sz w:val="16"/>
        </w:rPr>
        <w:t>10-K</w:t>
      </w:r>
      <w:r>
        <w:rPr>
          <w:spacing w:val="-9"/>
          <w:w w:val="105"/>
          <w:sz w:val="16"/>
        </w:rPr>
        <w:t> </w:t>
      </w:r>
      <w:r>
        <w:rPr>
          <w:w w:val="105"/>
          <w:sz w:val="16"/>
        </w:rPr>
        <w:t>fairly</w:t>
      </w:r>
      <w:r>
        <w:rPr>
          <w:spacing w:val="-8"/>
          <w:w w:val="105"/>
          <w:sz w:val="16"/>
        </w:rPr>
        <w:t> </w:t>
      </w:r>
      <w:r>
        <w:rPr>
          <w:w w:val="105"/>
          <w:sz w:val="16"/>
        </w:rPr>
        <w:t>presents,</w:t>
      </w:r>
      <w:r>
        <w:rPr>
          <w:spacing w:val="-9"/>
          <w:w w:val="105"/>
          <w:sz w:val="16"/>
        </w:rPr>
        <w:t> </w:t>
      </w:r>
      <w:r>
        <w:rPr>
          <w:w w:val="105"/>
          <w:sz w:val="16"/>
        </w:rPr>
        <w:t>in</w:t>
      </w:r>
      <w:r>
        <w:rPr>
          <w:spacing w:val="-9"/>
          <w:w w:val="105"/>
          <w:sz w:val="16"/>
        </w:rPr>
        <w:t> </w:t>
      </w:r>
      <w:r>
        <w:rPr>
          <w:w w:val="105"/>
          <w:sz w:val="16"/>
        </w:rPr>
        <w:t>all</w:t>
      </w:r>
      <w:r>
        <w:rPr>
          <w:spacing w:val="-9"/>
          <w:w w:val="105"/>
          <w:sz w:val="16"/>
        </w:rPr>
        <w:t> </w:t>
      </w:r>
      <w:r>
        <w:rPr>
          <w:w w:val="105"/>
          <w:sz w:val="16"/>
        </w:rPr>
        <w:t>material</w:t>
      </w:r>
      <w:r>
        <w:rPr>
          <w:spacing w:val="-8"/>
          <w:w w:val="105"/>
          <w:sz w:val="16"/>
        </w:rPr>
        <w:t> </w:t>
      </w:r>
      <w:r>
        <w:rPr>
          <w:w w:val="105"/>
          <w:sz w:val="16"/>
        </w:rPr>
        <w:t>respects,</w:t>
      </w:r>
      <w:r>
        <w:rPr>
          <w:spacing w:val="-9"/>
          <w:w w:val="105"/>
          <w:sz w:val="16"/>
        </w:rPr>
        <w:t> </w:t>
      </w:r>
      <w:r>
        <w:rPr>
          <w:w w:val="105"/>
          <w:sz w:val="16"/>
        </w:rPr>
        <w:t>the</w:t>
      </w:r>
      <w:r>
        <w:rPr>
          <w:spacing w:val="-9"/>
          <w:w w:val="105"/>
          <w:sz w:val="16"/>
        </w:rPr>
        <w:t> </w:t>
      </w:r>
      <w:r>
        <w:rPr>
          <w:w w:val="105"/>
          <w:sz w:val="16"/>
        </w:rPr>
        <w:t>financial</w:t>
      </w:r>
      <w:r>
        <w:rPr>
          <w:spacing w:val="-9"/>
          <w:w w:val="105"/>
          <w:sz w:val="16"/>
        </w:rPr>
        <w:t> </w:t>
      </w:r>
      <w:r>
        <w:rPr>
          <w:w w:val="105"/>
          <w:sz w:val="16"/>
        </w:rPr>
        <w:t>condition</w:t>
      </w:r>
      <w:r>
        <w:rPr>
          <w:spacing w:val="-8"/>
          <w:w w:val="105"/>
          <w:sz w:val="16"/>
        </w:rPr>
        <w:t> </w:t>
      </w:r>
      <w:r>
        <w:rPr>
          <w:w w:val="105"/>
          <w:sz w:val="16"/>
        </w:rPr>
        <w:t>and</w:t>
      </w:r>
      <w:r>
        <w:rPr>
          <w:spacing w:val="-9"/>
          <w:w w:val="105"/>
          <w:sz w:val="16"/>
        </w:rPr>
        <w:t> </w:t>
      </w:r>
      <w:r>
        <w:rPr>
          <w:w w:val="105"/>
          <w:sz w:val="16"/>
        </w:rPr>
        <w:t>results</w:t>
      </w:r>
      <w:r>
        <w:rPr>
          <w:spacing w:val="-9"/>
          <w:w w:val="105"/>
          <w:sz w:val="16"/>
        </w:rPr>
        <w:t> </w:t>
      </w:r>
      <w:r>
        <w:rPr>
          <w:w w:val="105"/>
          <w:sz w:val="16"/>
        </w:rPr>
        <w:t>of</w:t>
      </w:r>
      <w:r>
        <w:rPr>
          <w:spacing w:val="-9"/>
          <w:w w:val="105"/>
          <w:sz w:val="16"/>
        </w:rPr>
        <w:t> </w:t>
      </w:r>
      <w:r>
        <w:rPr>
          <w:w w:val="105"/>
          <w:sz w:val="16"/>
        </w:rPr>
        <w:t>operations</w:t>
      </w:r>
      <w:r>
        <w:rPr>
          <w:spacing w:val="-8"/>
          <w:w w:val="105"/>
          <w:sz w:val="16"/>
        </w:rPr>
        <w:t> </w:t>
      </w:r>
      <w:r>
        <w:rPr>
          <w:w w:val="105"/>
          <w:sz w:val="16"/>
        </w:rPr>
        <w:t>of</w:t>
      </w:r>
      <w:r>
        <w:rPr>
          <w:spacing w:val="-9"/>
          <w:w w:val="105"/>
          <w:sz w:val="16"/>
        </w:rPr>
        <w:t> </w:t>
      </w:r>
      <w:r>
        <w:rPr>
          <w:w w:val="105"/>
          <w:sz w:val="16"/>
        </w:rPr>
        <w:t>the</w:t>
      </w:r>
      <w:r>
        <w:rPr>
          <w:spacing w:val="-9"/>
          <w:w w:val="105"/>
          <w:sz w:val="16"/>
        </w:rPr>
        <w:t> </w:t>
      </w:r>
      <w:r>
        <w:rPr>
          <w:spacing w:val="-2"/>
          <w:w w:val="105"/>
          <w:sz w:val="16"/>
        </w:rPr>
        <w:t>Company.</w:t>
      </w:r>
    </w:p>
    <w:p>
      <w:pPr>
        <w:pStyle w:val="BodyText"/>
      </w:pPr>
    </w:p>
    <w:p>
      <w:pPr>
        <w:pStyle w:val="BodyText"/>
      </w:pPr>
    </w:p>
    <w:p>
      <w:pPr>
        <w:pStyle w:val="BodyText"/>
        <w:spacing w:before="80"/>
      </w:pPr>
    </w:p>
    <w:p>
      <w:pPr>
        <w:pStyle w:val="BodyText"/>
        <w:ind w:left="156"/>
      </w:pPr>
      <w:r>
        <w:rPr>
          <w:w w:val="105"/>
        </w:rPr>
        <w:t>Date:</w:t>
      </w:r>
      <w:r>
        <w:rPr>
          <w:spacing w:val="28"/>
          <w:w w:val="105"/>
        </w:rPr>
        <w:t> </w:t>
      </w:r>
      <w:r>
        <w:rPr>
          <w:w w:val="105"/>
        </w:rPr>
        <w:t>February</w:t>
      </w:r>
      <w:r>
        <w:rPr>
          <w:spacing w:val="-6"/>
          <w:w w:val="105"/>
        </w:rPr>
        <w:t> </w:t>
      </w:r>
      <w:r>
        <w:rPr>
          <w:w w:val="105"/>
        </w:rPr>
        <w:t>14,</w:t>
      </w:r>
      <w:r>
        <w:rPr>
          <w:spacing w:val="-7"/>
          <w:w w:val="105"/>
        </w:rPr>
        <w:t> </w:t>
      </w:r>
      <w:r>
        <w:rPr>
          <w:spacing w:val="-4"/>
          <w:w w:val="105"/>
        </w:rPr>
        <w:t>2022</w:t>
      </w:r>
    </w:p>
    <w:p>
      <w:pPr>
        <w:pStyle w:val="BodyText"/>
      </w:pPr>
    </w:p>
    <w:p>
      <w:pPr>
        <w:pStyle w:val="BodyText"/>
      </w:pPr>
    </w:p>
    <w:p>
      <w:pPr>
        <w:pStyle w:val="BodyText"/>
        <w:spacing w:before="79"/>
      </w:pPr>
    </w:p>
    <w:p>
      <w:pPr>
        <w:pStyle w:val="BodyText"/>
        <w:spacing w:line="283" w:lineRule="auto"/>
        <w:ind w:left="156" w:right="9638"/>
      </w:pPr>
      <w:r>
        <w:rPr/>
        <mc:AlternateContent>
          <mc:Choice Requires="wps">
            <w:drawing>
              <wp:anchor distT="0" distB="0" distL="0" distR="0" allowOverlap="1" layoutInCell="1" locked="0" behindDoc="0" simplePos="0" relativeHeight="15902208">
                <wp:simplePos x="0" y="0"/>
                <wp:positionH relativeFrom="page">
                  <wp:posOffset>226488</wp:posOffset>
                </wp:positionH>
                <wp:positionV relativeFrom="paragraph">
                  <wp:posOffset>127427</wp:posOffset>
                </wp:positionV>
                <wp:extent cx="3712845" cy="8255"/>
                <wp:effectExtent l="0" t="0" r="0" b="0"/>
                <wp:wrapNone/>
                <wp:docPr id="1105" name="Graphic 1105"/>
                <wp:cNvGraphicFramePr>
                  <a:graphicFrameLocks/>
                </wp:cNvGraphicFramePr>
                <a:graphic>
                  <a:graphicData uri="http://schemas.microsoft.com/office/word/2010/wordprocessingShape">
                    <wps:wsp>
                      <wps:cNvPr id="1105" name="Graphic 1105"/>
                      <wps:cNvSpPr/>
                      <wps:spPr>
                        <a:xfrm>
                          <a:off x="0" y="0"/>
                          <a:ext cx="3712845" cy="8255"/>
                        </a:xfrm>
                        <a:custGeom>
                          <a:avLst/>
                          <a:gdLst/>
                          <a:ahLst/>
                          <a:cxnLst/>
                          <a:rect l="l" t="t" r="r" b="b"/>
                          <a:pathLst>
                            <a:path w="3712845" h="8255">
                              <a:moveTo>
                                <a:pt x="0" y="0"/>
                              </a:moveTo>
                              <a:lnTo>
                                <a:pt x="3712793" y="0"/>
                              </a:lnTo>
                              <a:lnTo>
                                <a:pt x="3712793"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33625pt;width:292.345979pt;height:.636919pt;mso-position-horizontal-relative:page;mso-position-vertical-relative:paragraph;z-index:15902208" id="docshape1104" filled="true" fillcolor="#000000" stroked="false">
                <v:fill type="solid"/>
                <w10:wrap type="none"/>
              </v:rect>
            </w:pict>
          </mc:Fallback>
        </mc:AlternateContent>
      </w:r>
      <w:r>
        <w:rPr>
          <w:w w:val="105"/>
        </w:rPr>
        <w:t>/s/</w:t>
      </w:r>
      <w:r>
        <w:rPr>
          <w:spacing w:val="11"/>
          <w:w w:val="105"/>
        </w:rPr>
        <w:t> </w:t>
      </w:r>
      <w:r>
        <w:rPr>
          <w:w w:val="105"/>
        </w:rPr>
        <w:t>Wendell</w:t>
      </w:r>
      <w:r>
        <w:rPr>
          <w:spacing w:val="-11"/>
          <w:w w:val="105"/>
        </w:rPr>
        <w:t> </w:t>
      </w:r>
      <w:r>
        <w:rPr>
          <w:w w:val="105"/>
        </w:rPr>
        <w:t>P.</w:t>
      </w:r>
      <w:r>
        <w:rPr>
          <w:spacing w:val="-10"/>
          <w:w w:val="105"/>
        </w:rPr>
        <w:t> </w:t>
      </w:r>
      <w:r>
        <w:rPr>
          <w:w w:val="105"/>
        </w:rPr>
        <w:t>Weeks Wendell P. Weeks</w:t>
      </w:r>
    </w:p>
    <w:p>
      <w:pPr>
        <w:pStyle w:val="BodyText"/>
        <w:spacing w:line="170" w:lineRule="exact"/>
        <w:ind w:left="156"/>
      </w:pPr>
      <w:r>
        <w:rPr>
          <w:w w:val="105"/>
        </w:rPr>
        <w:t>Chairman</w:t>
      </w:r>
      <w:r>
        <w:rPr>
          <w:spacing w:val="-11"/>
          <w:w w:val="105"/>
        </w:rPr>
        <w:t> </w:t>
      </w:r>
      <w:r>
        <w:rPr>
          <w:w w:val="105"/>
        </w:rPr>
        <w:t>and</w:t>
      </w:r>
      <w:r>
        <w:rPr>
          <w:spacing w:val="-10"/>
          <w:w w:val="105"/>
        </w:rPr>
        <w:t> </w:t>
      </w:r>
      <w:r>
        <w:rPr>
          <w:w w:val="105"/>
        </w:rPr>
        <w:t>Chief</w:t>
      </w:r>
      <w:r>
        <w:rPr>
          <w:spacing w:val="-10"/>
          <w:w w:val="105"/>
        </w:rPr>
        <w:t> </w:t>
      </w:r>
      <w:r>
        <w:rPr>
          <w:w w:val="105"/>
        </w:rPr>
        <w:t>Executive</w:t>
      </w:r>
      <w:r>
        <w:rPr>
          <w:spacing w:val="-11"/>
          <w:w w:val="105"/>
        </w:rPr>
        <w:t> </w:t>
      </w:r>
      <w:r>
        <w:rPr>
          <w:spacing w:val="-2"/>
          <w:w w:val="105"/>
        </w:rPr>
        <w:t>Officer</w:t>
      </w:r>
    </w:p>
    <w:p>
      <w:pPr>
        <w:pStyle w:val="BodyText"/>
      </w:pPr>
    </w:p>
    <w:p>
      <w:pPr>
        <w:pStyle w:val="BodyText"/>
      </w:pPr>
    </w:p>
    <w:p>
      <w:pPr>
        <w:pStyle w:val="BodyText"/>
        <w:spacing w:before="79"/>
      </w:pPr>
    </w:p>
    <w:p>
      <w:pPr>
        <w:pStyle w:val="BodyText"/>
        <w:ind w:left="156"/>
      </w:pPr>
      <w:r>
        <w:rPr/>
        <mc:AlternateContent>
          <mc:Choice Requires="wps">
            <w:drawing>
              <wp:anchor distT="0" distB="0" distL="0" distR="0" allowOverlap="1" layoutInCell="1" locked="0" behindDoc="1" simplePos="0" relativeHeight="487760896">
                <wp:simplePos x="0" y="0"/>
                <wp:positionH relativeFrom="page">
                  <wp:posOffset>226488</wp:posOffset>
                </wp:positionH>
                <wp:positionV relativeFrom="paragraph">
                  <wp:posOffset>127629</wp:posOffset>
                </wp:positionV>
                <wp:extent cx="3712845" cy="8255"/>
                <wp:effectExtent l="0" t="0" r="0" b="0"/>
                <wp:wrapTopAndBottom/>
                <wp:docPr id="1106" name="Graphic 1106"/>
                <wp:cNvGraphicFramePr>
                  <a:graphicFrameLocks/>
                </wp:cNvGraphicFramePr>
                <a:graphic>
                  <a:graphicData uri="http://schemas.microsoft.com/office/word/2010/wordprocessingShape">
                    <wps:wsp>
                      <wps:cNvPr id="1106" name="Graphic 1106"/>
                      <wps:cNvSpPr/>
                      <wps:spPr>
                        <a:xfrm>
                          <a:off x="0" y="0"/>
                          <a:ext cx="3712845" cy="8255"/>
                        </a:xfrm>
                        <a:custGeom>
                          <a:avLst/>
                          <a:gdLst/>
                          <a:ahLst/>
                          <a:cxnLst/>
                          <a:rect l="l" t="t" r="r" b="b"/>
                          <a:pathLst>
                            <a:path w="3712845" h="8255">
                              <a:moveTo>
                                <a:pt x="0" y="0"/>
                              </a:moveTo>
                              <a:lnTo>
                                <a:pt x="3712793" y="0"/>
                              </a:lnTo>
                              <a:lnTo>
                                <a:pt x="3712793" y="8088"/>
                              </a:lnTo>
                              <a:lnTo>
                                <a:pt x="0" y="808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33740pt;margin-top:10.049581pt;width:292.345979pt;height:.636919pt;mso-position-horizontal-relative:page;mso-position-vertical-relative:paragraph;z-index:-15555584;mso-wrap-distance-left:0;mso-wrap-distance-right:0" id="docshape1105" filled="true" fillcolor="#000000" stroked="false">
                <v:fill type="solid"/>
                <w10:wrap type="topAndBottom"/>
              </v:rect>
            </w:pict>
          </mc:Fallback>
        </mc:AlternateContent>
      </w:r>
      <w:r>
        <w:rPr>
          <w:w w:val="105"/>
        </w:rPr>
        <w:t>/s/</w:t>
      </w:r>
      <w:r>
        <w:rPr>
          <w:spacing w:val="33"/>
          <w:w w:val="105"/>
        </w:rPr>
        <w:t> </w:t>
      </w:r>
      <w:r>
        <w:rPr>
          <w:w w:val="105"/>
        </w:rPr>
        <w:t>R.</w:t>
      </w:r>
      <w:r>
        <w:rPr>
          <w:spacing w:val="-4"/>
          <w:w w:val="105"/>
        </w:rPr>
        <w:t> </w:t>
      </w:r>
      <w:r>
        <w:rPr>
          <w:w w:val="105"/>
        </w:rPr>
        <w:t>Tony</w:t>
      </w:r>
      <w:r>
        <w:rPr>
          <w:spacing w:val="-4"/>
          <w:w w:val="105"/>
        </w:rPr>
        <w:t> </w:t>
      </w:r>
      <w:r>
        <w:rPr>
          <w:spacing w:val="-2"/>
          <w:w w:val="105"/>
        </w:rPr>
        <w:t>Tripeny</w:t>
      </w:r>
    </w:p>
    <w:p>
      <w:pPr>
        <w:pStyle w:val="BodyText"/>
        <w:spacing w:before="3"/>
        <w:ind w:left="156"/>
      </w:pPr>
      <w:r>
        <w:rPr>
          <w:w w:val="105"/>
        </w:rPr>
        <w:t>R.</w:t>
      </w:r>
      <w:r>
        <w:rPr>
          <w:spacing w:val="-6"/>
          <w:w w:val="105"/>
        </w:rPr>
        <w:t> </w:t>
      </w:r>
      <w:r>
        <w:rPr>
          <w:w w:val="105"/>
        </w:rPr>
        <w:t>Tony</w:t>
      </w:r>
      <w:r>
        <w:rPr>
          <w:spacing w:val="-6"/>
          <w:w w:val="105"/>
        </w:rPr>
        <w:t> </w:t>
      </w:r>
      <w:r>
        <w:rPr>
          <w:spacing w:val="-2"/>
          <w:w w:val="105"/>
        </w:rPr>
        <w:t>Tripeny</w:t>
      </w:r>
    </w:p>
    <w:p>
      <w:pPr>
        <w:pStyle w:val="BodyText"/>
        <w:spacing w:before="20"/>
        <w:ind w:left="156"/>
      </w:pPr>
      <w:r>
        <w:rPr>
          <w:w w:val="105"/>
        </w:rPr>
        <w:t>Executive</w:t>
      </w:r>
      <w:r>
        <w:rPr>
          <w:spacing w:val="-10"/>
          <w:w w:val="105"/>
        </w:rPr>
        <w:t> </w:t>
      </w:r>
      <w:r>
        <w:rPr>
          <w:w w:val="105"/>
        </w:rPr>
        <w:t>Vice</w:t>
      </w:r>
      <w:r>
        <w:rPr>
          <w:spacing w:val="-10"/>
          <w:w w:val="105"/>
        </w:rPr>
        <w:t> </w:t>
      </w:r>
      <w:r>
        <w:rPr>
          <w:w w:val="105"/>
        </w:rPr>
        <w:t>President</w:t>
      </w:r>
      <w:r>
        <w:rPr>
          <w:spacing w:val="-10"/>
          <w:w w:val="105"/>
        </w:rPr>
        <w:t> </w:t>
      </w:r>
      <w:r>
        <w:rPr>
          <w:w w:val="105"/>
        </w:rPr>
        <w:t>and</w:t>
      </w:r>
      <w:r>
        <w:rPr>
          <w:spacing w:val="-9"/>
          <w:w w:val="105"/>
        </w:rPr>
        <w:t> </w:t>
      </w:r>
      <w:r>
        <w:rPr>
          <w:w w:val="105"/>
        </w:rPr>
        <w:t>Chief</w:t>
      </w:r>
      <w:r>
        <w:rPr>
          <w:spacing w:val="-10"/>
          <w:w w:val="105"/>
        </w:rPr>
        <w:t> </w:t>
      </w:r>
      <w:r>
        <w:rPr>
          <w:w w:val="105"/>
        </w:rPr>
        <w:t>Financial</w:t>
      </w:r>
      <w:r>
        <w:rPr>
          <w:spacing w:val="-10"/>
          <w:w w:val="105"/>
        </w:rPr>
        <w:t> </w:t>
      </w:r>
      <w:r>
        <w:rPr>
          <w:spacing w:val="-2"/>
          <w:w w:val="105"/>
        </w:rPr>
        <w:t>Officer</w:t>
      </w:r>
    </w:p>
    <w:p>
      <w:pPr>
        <w:pStyle w:val="BodyText"/>
      </w:pPr>
    </w:p>
    <w:p>
      <w:pPr>
        <w:pStyle w:val="BodyText"/>
      </w:pPr>
    </w:p>
    <w:p>
      <w:pPr>
        <w:pStyle w:val="BodyText"/>
      </w:pPr>
    </w:p>
    <w:p>
      <w:pPr>
        <w:pStyle w:val="BodyText"/>
      </w:pPr>
    </w:p>
    <w:p>
      <w:pPr>
        <w:pStyle w:val="BodyText"/>
      </w:pPr>
    </w:p>
    <w:p>
      <w:pPr>
        <w:pStyle w:val="BodyText"/>
        <w:spacing w:before="139"/>
      </w:pPr>
    </w:p>
    <w:p>
      <w:pPr>
        <w:pStyle w:val="BodyText"/>
        <w:ind w:left="48"/>
        <w:jc w:val="center"/>
      </w:pPr>
      <w:r>
        <w:rPr>
          <w:w w:val="105"/>
        </w:rPr>
        <w:t>©</w:t>
      </w:r>
      <w:r>
        <w:rPr>
          <w:spacing w:val="-10"/>
          <w:w w:val="105"/>
        </w:rPr>
        <w:t> </w:t>
      </w:r>
      <w:r>
        <w:rPr>
          <w:w w:val="105"/>
        </w:rPr>
        <w:t>2022</w:t>
      </w:r>
      <w:r>
        <w:rPr>
          <w:spacing w:val="-10"/>
          <w:w w:val="105"/>
        </w:rPr>
        <w:t> </w:t>
      </w:r>
      <w:r>
        <w:rPr>
          <w:w w:val="105"/>
        </w:rPr>
        <w:t>Corning</w:t>
      </w:r>
      <w:r>
        <w:rPr>
          <w:spacing w:val="-10"/>
          <w:w w:val="105"/>
        </w:rPr>
        <w:t> </w:t>
      </w:r>
      <w:r>
        <w:rPr>
          <w:w w:val="105"/>
        </w:rPr>
        <w:t>Incorporated.</w:t>
      </w:r>
      <w:r>
        <w:rPr>
          <w:spacing w:val="-10"/>
          <w:w w:val="105"/>
        </w:rPr>
        <w:t> </w:t>
      </w:r>
      <w:r>
        <w:rPr>
          <w:w w:val="105"/>
        </w:rPr>
        <w:t>All</w:t>
      </w:r>
      <w:r>
        <w:rPr>
          <w:spacing w:val="-10"/>
          <w:w w:val="105"/>
        </w:rPr>
        <w:t> </w:t>
      </w:r>
      <w:r>
        <w:rPr>
          <w:w w:val="105"/>
        </w:rPr>
        <w:t>Rights</w:t>
      </w:r>
      <w:r>
        <w:rPr>
          <w:spacing w:val="-10"/>
          <w:w w:val="105"/>
        </w:rPr>
        <w:t> </w:t>
      </w:r>
      <w:r>
        <w:rPr>
          <w:spacing w:val="-2"/>
          <w:w w:val="105"/>
        </w:rPr>
        <w:t>Reserved.</w:t>
      </w:r>
    </w:p>
    <w:sectPr>
      <w:headerReference w:type="default" r:id="rId107"/>
      <w:pgSz w:w="12240" w:h="15840"/>
      <w:pgMar w:header="0" w:footer="0" w:top="280" w:bottom="280" w:left="20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S Mincho">
    <w:altName w:val="MS Mincho"/>
    <w:charset w:val="1"/>
    <w:family w:val="modern"/>
    <w:pitch w:val="default"/>
  </w:font>
  <w:font w:name="MS PGothic">
    <w:altName w:val="MS PGothic"/>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017280">
              <wp:simplePos x="0" y="0"/>
              <wp:positionH relativeFrom="page">
                <wp:posOffset>213788</wp:posOffset>
              </wp:positionH>
              <wp:positionV relativeFrom="page">
                <wp:posOffset>269611</wp:posOffset>
              </wp:positionV>
              <wp:extent cx="779145" cy="1422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79145" cy="142240"/>
                      </a:xfrm>
                      <a:prstGeom prst="rect">
                        <a:avLst/>
                      </a:prstGeom>
                    </wps:spPr>
                    <wps:txbx>
                      <w:txbxContent>
                        <w:p>
                          <w:pPr>
                            <w:pStyle w:val="BodyText"/>
                            <w:spacing w:before="18"/>
                            <w:ind w:left="20"/>
                          </w:pPr>
                          <w:hyperlink w:history="true" w:anchor="_bookmark1">
                            <w:r>
                              <w:rPr>
                                <w:color w:val="0000FF"/>
                                <w:w w:val="105"/>
                                <w:u w:val="single" w:color="0000FF"/>
                              </w:rPr>
                              <w:t>Table</w:t>
                            </w:r>
                            <w:r>
                              <w:rPr>
                                <w:color w:val="0000FF"/>
                                <w:spacing w:val="-6"/>
                                <w:w w:val="105"/>
                                <w:u w:val="single" w:color="0000FF"/>
                              </w:rPr>
                              <w:t> </w:t>
                            </w:r>
                            <w:r>
                              <w:rPr>
                                <w:color w:val="0000FF"/>
                                <w:w w:val="105"/>
                                <w:u w:val="single" w:color="0000FF"/>
                              </w:rPr>
                              <w:t>of</w:t>
                            </w:r>
                            <w:r>
                              <w:rPr>
                                <w:color w:val="0000FF"/>
                                <w:spacing w:val="-6"/>
                                <w:w w:val="105"/>
                                <w:u w:val="single" w:color="0000FF"/>
                              </w:rPr>
                              <w:t> </w:t>
                            </w:r>
                            <w:r>
                              <w:rPr>
                                <w:color w:val="0000FF"/>
                                <w:spacing w:val="-2"/>
                                <w:w w:val="105"/>
                                <w:u w:val="single" w:color="0000FF"/>
                              </w:rPr>
                              <w:t>Contents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833740pt;margin-top:21.229273pt;width:61.35pt;height:11.2pt;mso-position-horizontal-relative:page;mso-position-vertical-relative:page;z-index:-29299200" type="#_x0000_t202" id="docshape5" filled="false" stroked="false">
              <v:textbox inset="0,0,0,0">
                <w:txbxContent>
                  <w:p>
                    <w:pPr>
                      <w:pStyle w:val="BodyText"/>
                      <w:spacing w:before="18"/>
                      <w:ind w:left="20"/>
                    </w:pPr>
                    <w:hyperlink w:history="true" w:anchor="_bookmark1">
                      <w:r>
                        <w:rPr>
                          <w:color w:val="0000FF"/>
                          <w:w w:val="105"/>
                          <w:u w:val="single" w:color="0000FF"/>
                        </w:rPr>
                        <w:t>Table</w:t>
                      </w:r>
                      <w:r>
                        <w:rPr>
                          <w:color w:val="0000FF"/>
                          <w:spacing w:val="-6"/>
                          <w:w w:val="105"/>
                          <w:u w:val="single" w:color="0000FF"/>
                        </w:rPr>
                        <w:t> </w:t>
                      </w:r>
                      <w:r>
                        <w:rPr>
                          <w:color w:val="0000FF"/>
                          <w:w w:val="105"/>
                          <w:u w:val="single" w:color="0000FF"/>
                        </w:rPr>
                        <w:t>of</w:t>
                      </w:r>
                      <w:r>
                        <w:rPr>
                          <w:color w:val="0000FF"/>
                          <w:spacing w:val="-6"/>
                          <w:w w:val="105"/>
                          <w:u w:val="single" w:color="0000FF"/>
                        </w:rPr>
                        <w:t> </w:t>
                      </w:r>
                      <w:r>
                        <w:rPr>
                          <w:color w:val="0000FF"/>
                          <w:spacing w:val="-2"/>
                          <w:w w:val="105"/>
                          <w:u w:val="single" w:color="0000FF"/>
                        </w:rPr>
                        <w:t>Contents</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017792">
              <wp:simplePos x="0" y="0"/>
              <wp:positionH relativeFrom="page">
                <wp:posOffset>7061527</wp:posOffset>
              </wp:positionH>
              <wp:positionV relativeFrom="page">
                <wp:posOffset>221078</wp:posOffset>
              </wp:positionV>
              <wp:extent cx="488950" cy="142240"/>
              <wp:effectExtent l="0" t="0" r="0" b="0"/>
              <wp:wrapNone/>
              <wp:docPr id="1101" name="Textbox 1101"/>
              <wp:cNvGraphicFramePr>
                <a:graphicFrameLocks/>
              </wp:cNvGraphicFramePr>
              <a:graphic>
                <a:graphicData uri="http://schemas.microsoft.com/office/word/2010/wordprocessingShape">
                  <wps:wsp>
                    <wps:cNvPr id="1101" name="Textbox 1101"/>
                    <wps:cNvSpPr txBox="1"/>
                    <wps:spPr>
                      <a:xfrm>
                        <a:off x="0" y="0"/>
                        <a:ext cx="488950" cy="142240"/>
                      </a:xfrm>
                      <a:prstGeom prst="rect">
                        <a:avLst/>
                      </a:prstGeom>
                    </wps:spPr>
                    <wps:txbx>
                      <w:txbxContent>
                        <w:p>
                          <w:pPr>
                            <w:spacing w:before="18"/>
                            <w:ind w:left="20" w:right="0" w:firstLine="0"/>
                            <w:jc w:val="left"/>
                            <w:rPr>
                              <w:b/>
                              <w:sz w:val="16"/>
                            </w:rPr>
                          </w:pPr>
                          <w:r>
                            <w:rPr>
                              <w:b/>
                              <w:sz w:val="16"/>
                            </w:rPr>
                            <w:t>Exhibit</w:t>
                          </w:r>
                          <w:r>
                            <w:rPr>
                              <w:b/>
                              <w:spacing w:val="10"/>
                              <w:sz w:val="16"/>
                            </w:rPr>
                            <w:t> </w:t>
                          </w:r>
                          <w:r>
                            <w:rPr>
                              <w:b/>
                              <w:spacing w:val="-5"/>
                              <w:sz w:val="16"/>
                            </w:rPr>
                            <w:t>23</w:t>
                          </w:r>
                        </w:p>
                      </w:txbxContent>
                    </wps:txbx>
                    <wps:bodyPr wrap="square" lIns="0" tIns="0" rIns="0" bIns="0" rtlCol="0">
                      <a:noAutofit/>
                    </wps:bodyPr>
                  </wps:wsp>
                </a:graphicData>
              </a:graphic>
            </wp:anchor>
          </w:drawing>
        </mc:Choice>
        <mc:Fallback>
          <w:pict>
            <v:shape style="position:absolute;margin-left:556.025757pt;margin-top:17.407757pt;width:38.5pt;height:11.2pt;mso-position-horizontal-relative:page;mso-position-vertical-relative:page;z-index:-29298688" type="#_x0000_t202" id="docshape1100" filled="false" stroked="false">
              <v:textbox inset="0,0,0,0">
                <w:txbxContent>
                  <w:p>
                    <w:pPr>
                      <w:spacing w:before="18"/>
                      <w:ind w:left="20" w:right="0" w:firstLine="0"/>
                      <w:jc w:val="left"/>
                      <w:rPr>
                        <w:b/>
                        <w:sz w:val="16"/>
                      </w:rPr>
                    </w:pPr>
                    <w:r>
                      <w:rPr>
                        <w:b/>
                        <w:sz w:val="16"/>
                      </w:rPr>
                      <w:t>Exhibit</w:t>
                    </w:r>
                    <w:r>
                      <w:rPr>
                        <w:b/>
                        <w:spacing w:val="10"/>
                        <w:sz w:val="16"/>
                      </w:rPr>
                      <w:t> </w:t>
                    </w:r>
                    <w:r>
                      <w:rPr>
                        <w:b/>
                        <w:spacing w:val="-5"/>
                        <w:sz w:val="16"/>
                      </w:rPr>
                      <w:t>23</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018304">
              <wp:simplePos x="0" y="0"/>
              <wp:positionH relativeFrom="page">
                <wp:posOffset>6982660</wp:posOffset>
              </wp:positionH>
              <wp:positionV relativeFrom="page">
                <wp:posOffset>221078</wp:posOffset>
              </wp:positionV>
              <wp:extent cx="605790" cy="142240"/>
              <wp:effectExtent l="0" t="0" r="0" b="0"/>
              <wp:wrapNone/>
              <wp:docPr id="1102" name="Textbox 1102"/>
              <wp:cNvGraphicFramePr>
                <a:graphicFrameLocks/>
              </wp:cNvGraphicFramePr>
              <a:graphic>
                <a:graphicData uri="http://schemas.microsoft.com/office/word/2010/wordprocessingShape">
                  <wps:wsp>
                    <wps:cNvPr id="1102" name="Textbox 1102"/>
                    <wps:cNvSpPr txBox="1"/>
                    <wps:spPr>
                      <a:xfrm>
                        <a:off x="0" y="0"/>
                        <a:ext cx="605790" cy="142240"/>
                      </a:xfrm>
                      <a:prstGeom prst="rect">
                        <a:avLst/>
                      </a:prstGeom>
                    </wps:spPr>
                    <wps:txbx>
                      <w:txbxContent>
                        <w:p>
                          <w:pPr>
                            <w:spacing w:before="18"/>
                            <w:ind w:left="20" w:right="0" w:firstLine="0"/>
                            <w:jc w:val="left"/>
                            <w:rPr>
                              <w:b/>
                              <w:sz w:val="16"/>
                            </w:rPr>
                          </w:pPr>
                          <w:r>
                            <w:rPr>
                              <w:b/>
                              <w:sz w:val="16"/>
                            </w:rPr>
                            <w:t>Exhibit</w:t>
                          </w:r>
                          <w:r>
                            <w:rPr>
                              <w:b/>
                              <w:spacing w:val="10"/>
                              <w:sz w:val="16"/>
                            </w:rPr>
                            <w:t> </w:t>
                          </w:r>
                          <w:r>
                            <w:rPr>
                              <w:b/>
                              <w:spacing w:val="-4"/>
                              <w:sz w:val="16"/>
                            </w:rPr>
                            <w:t>31.</w:t>
                          </w:r>
                          <w:r>
                            <w:rPr>
                              <w:b/>
                              <w:spacing w:val="-4"/>
                              <w:sz w:val="16"/>
                            </w:rPr>
                            <w:fldChar w:fldCharType="begin"/>
                          </w:r>
                          <w:r>
                            <w:rPr>
                              <w:b/>
                              <w:spacing w:val="-4"/>
                              <w:sz w:val="16"/>
                            </w:rPr>
                            <w:instrText> PAGE </w:instrText>
                          </w:r>
                          <w:r>
                            <w:rPr>
                              <w:b/>
                              <w:spacing w:val="-4"/>
                              <w:sz w:val="16"/>
                            </w:rPr>
                            <w:fldChar w:fldCharType="separate"/>
                          </w:r>
                          <w:r>
                            <w:rPr>
                              <w:b/>
                              <w:spacing w:val="-4"/>
                              <w:sz w:val="16"/>
                            </w:rPr>
                            <w:t>1</w:t>
                          </w:r>
                          <w:r>
                            <w:rPr>
                              <w:b/>
                              <w:spacing w:val="-4"/>
                              <w:sz w:val="16"/>
                            </w:rPr>
                            <w:fldChar w:fldCharType="end"/>
                          </w:r>
                        </w:p>
                      </w:txbxContent>
                    </wps:txbx>
                    <wps:bodyPr wrap="square" lIns="0" tIns="0" rIns="0" bIns="0" rtlCol="0">
                      <a:noAutofit/>
                    </wps:bodyPr>
                  </wps:wsp>
                </a:graphicData>
              </a:graphic>
            </wp:anchor>
          </w:drawing>
        </mc:Choice>
        <mc:Fallback>
          <w:pict>
            <v:shape style="position:absolute;margin-left:549.815796pt;margin-top:17.407757pt;width:47.7pt;height:11.2pt;mso-position-horizontal-relative:page;mso-position-vertical-relative:page;z-index:-29298176" type="#_x0000_t202" id="docshape1101" filled="false" stroked="false">
              <v:textbox inset="0,0,0,0">
                <w:txbxContent>
                  <w:p>
                    <w:pPr>
                      <w:spacing w:before="18"/>
                      <w:ind w:left="20" w:right="0" w:firstLine="0"/>
                      <w:jc w:val="left"/>
                      <w:rPr>
                        <w:b/>
                        <w:sz w:val="16"/>
                      </w:rPr>
                    </w:pPr>
                    <w:r>
                      <w:rPr>
                        <w:b/>
                        <w:sz w:val="16"/>
                      </w:rPr>
                      <w:t>Exhibit</w:t>
                    </w:r>
                    <w:r>
                      <w:rPr>
                        <w:b/>
                        <w:spacing w:val="10"/>
                        <w:sz w:val="16"/>
                      </w:rPr>
                      <w:t> </w:t>
                    </w:r>
                    <w:r>
                      <w:rPr>
                        <w:b/>
                        <w:spacing w:val="-4"/>
                        <w:sz w:val="16"/>
                      </w:rPr>
                      <w:t>31.</w:t>
                    </w:r>
                    <w:r>
                      <w:rPr>
                        <w:b/>
                        <w:spacing w:val="-4"/>
                        <w:sz w:val="16"/>
                      </w:rPr>
                      <w:fldChar w:fldCharType="begin"/>
                    </w:r>
                    <w:r>
                      <w:rPr>
                        <w:b/>
                        <w:spacing w:val="-4"/>
                        <w:sz w:val="16"/>
                      </w:rPr>
                      <w:instrText> PAGE </w:instrText>
                    </w:r>
                    <w:r>
                      <w:rPr>
                        <w:b/>
                        <w:spacing w:val="-4"/>
                        <w:sz w:val="16"/>
                      </w:rPr>
                      <w:fldChar w:fldCharType="separate"/>
                    </w:r>
                    <w:r>
                      <w:rPr>
                        <w:b/>
                        <w:spacing w:val="-4"/>
                        <w:sz w:val="16"/>
                      </w:rPr>
                      <w:t>1</w:t>
                    </w:r>
                    <w:r>
                      <w:rPr>
                        <w:b/>
                        <w:spacing w:val="-4"/>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7">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66">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1"/>
      <w:numFmt w:val="lowerLetter"/>
      <w:lvlText w:val="(%2)"/>
      <w:lvlJc w:val="left"/>
      <w:pPr>
        <w:ind w:left="768" w:hanging="306"/>
        <w:jc w:val="left"/>
      </w:pPr>
      <w:rPr>
        <w:rFonts w:hint="default" w:ascii="Times New Roman" w:hAnsi="Times New Roman" w:eastAsia="Times New Roman" w:cs="Times New Roman"/>
        <w:b w:val="0"/>
        <w:bCs w:val="0"/>
        <w:i w:val="0"/>
        <w:iCs w:val="0"/>
        <w:spacing w:val="0"/>
        <w:w w:val="103"/>
        <w:sz w:val="16"/>
        <w:szCs w:val="16"/>
        <w:lang w:val="en-US" w:eastAsia="en-US" w:bidi="ar-SA"/>
      </w:rPr>
    </w:lvl>
    <w:lvl w:ilvl="2">
      <w:start w:val="0"/>
      <w:numFmt w:val="bullet"/>
      <w:lvlText w:val="•"/>
      <w:lvlJc w:val="left"/>
      <w:pPr>
        <w:ind w:left="1984" w:hanging="306"/>
      </w:pPr>
      <w:rPr>
        <w:rFonts w:hint="default"/>
        <w:lang w:val="en-US" w:eastAsia="en-US" w:bidi="ar-SA"/>
      </w:rPr>
    </w:lvl>
    <w:lvl w:ilvl="3">
      <w:start w:val="0"/>
      <w:numFmt w:val="bullet"/>
      <w:lvlText w:val="•"/>
      <w:lvlJc w:val="left"/>
      <w:pPr>
        <w:ind w:left="3208" w:hanging="306"/>
      </w:pPr>
      <w:rPr>
        <w:rFonts w:hint="default"/>
        <w:lang w:val="en-US" w:eastAsia="en-US" w:bidi="ar-SA"/>
      </w:rPr>
    </w:lvl>
    <w:lvl w:ilvl="4">
      <w:start w:val="0"/>
      <w:numFmt w:val="bullet"/>
      <w:lvlText w:val="•"/>
      <w:lvlJc w:val="left"/>
      <w:pPr>
        <w:ind w:left="4433" w:hanging="306"/>
      </w:pPr>
      <w:rPr>
        <w:rFonts w:hint="default"/>
        <w:lang w:val="en-US" w:eastAsia="en-US" w:bidi="ar-SA"/>
      </w:rPr>
    </w:lvl>
    <w:lvl w:ilvl="5">
      <w:start w:val="0"/>
      <w:numFmt w:val="bullet"/>
      <w:lvlText w:val="•"/>
      <w:lvlJc w:val="left"/>
      <w:pPr>
        <w:ind w:left="5657" w:hanging="306"/>
      </w:pPr>
      <w:rPr>
        <w:rFonts w:hint="default"/>
        <w:lang w:val="en-US" w:eastAsia="en-US" w:bidi="ar-SA"/>
      </w:rPr>
    </w:lvl>
    <w:lvl w:ilvl="6">
      <w:start w:val="0"/>
      <w:numFmt w:val="bullet"/>
      <w:lvlText w:val="•"/>
      <w:lvlJc w:val="left"/>
      <w:pPr>
        <w:ind w:left="6882" w:hanging="306"/>
      </w:pPr>
      <w:rPr>
        <w:rFonts w:hint="default"/>
        <w:lang w:val="en-US" w:eastAsia="en-US" w:bidi="ar-SA"/>
      </w:rPr>
    </w:lvl>
    <w:lvl w:ilvl="7">
      <w:start w:val="0"/>
      <w:numFmt w:val="bullet"/>
      <w:lvlText w:val="•"/>
      <w:lvlJc w:val="left"/>
      <w:pPr>
        <w:ind w:left="8106" w:hanging="306"/>
      </w:pPr>
      <w:rPr>
        <w:rFonts w:hint="default"/>
        <w:lang w:val="en-US" w:eastAsia="en-US" w:bidi="ar-SA"/>
      </w:rPr>
    </w:lvl>
    <w:lvl w:ilvl="8">
      <w:start w:val="0"/>
      <w:numFmt w:val="bullet"/>
      <w:lvlText w:val="•"/>
      <w:lvlJc w:val="left"/>
      <w:pPr>
        <w:ind w:left="9331" w:hanging="306"/>
      </w:pPr>
      <w:rPr>
        <w:rFonts w:hint="default"/>
        <w:lang w:val="en-US" w:eastAsia="en-US" w:bidi="ar-SA"/>
      </w:rPr>
    </w:lvl>
  </w:abstractNum>
  <w:abstractNum w:abstractNumId="65">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1"/>
      <w:numFmt w:val="lowerLetter"/>
      <w:lvlText w:val="(%2)"/>
      <w:lvlJc w:val="left"/>
      <w:pPr>
        <w:ind w:left="768" w:hanging="306"/>
        <w:jc w:val="left"/>
      </w:pPr>
      <w:rPr>
        <w:rFonts w:hint="default" w:ascii="Times New Roman" w:hAnsi="Times New Roman" w:eastAsia="Times New Roman" w:cs="Times New Roman"/>
        <w:b w:val="0"/>
        <w:bCs w:val="0"/>
        <w:i w:val="0"/>
        <w:iCs w:val="0"/>
        <w:spacing w:val="0"/>
        <w:w w:val="103"/>
        <w:sz w:val="16"/>
        <w:szCs w:val="16"/>
        <w:lang w:val="en-US" w:eastAsia="en-US" w:bidi="ar-SA"/>
      </w:rPr>
    </w:lvl>
    <w:lvl w:ilvl="2">
      <w:start w:val="0"/>
      <w:numFmt w:val="bullet"/>
      <w:lvlText w:val="•"/>
      <w:lvlJc w:val="left"/>
      <w:pPr>
        <w:ind w:left="1984" w:hanging="306"/>
      </w:pPr>
      <w:rPr>
        <w:rFonts w:hint="default"/>
        <w:lang w:val="en-US" w:eastAsia="en-US" w:bidi="ar-SA"/>
      </w:rPr>
    </w:lvl>
    <w:lvl w:ilvl="3">
      <w:start w:val="0"/>
      <w:numFmt w:val="bullet"/>
      <w:lvlText w:val="•"/>
      <w:lvlJc w:val="left"/>
      <w:pPr>
        <w:ind w:left="3208" w:hanging="306"/>
      </w:pPr>
      <w:rPr>
        <w:rFonts w:hint="default"/>
        <w:lang w:val="en-US" w:eastAsia="en-US" w:bidi="ar-SA"/>
      </w:rPr>
    </w:lvl>
    <w:lvl w:ilvl="4">
      <w:start w:val="0"/>
      <w:numFmt w:val="bullet"/>
      <w:lvlText w:val="•"/>
      <w:lvlJc w:val="left"/>
      <w:pPr>
        <w:ind w:left="4433" w:hanging="306"/>
      </w:pPr>
      <w:rPr>
        <w:rFonts w:hint="default"/>
        <w:lang w:val="en-US" w:eastAsia="en-US" w:bidi="ar-SA"/>
      </w:rPr>
    </w:lvl>
    <w:lvl w:ilvl="5">
      <w:start w:val="0"/>
      <w:numFmt w:val="bullet"/>
      <w:lvlText w:val="•"/>
      <w:lvlJc w:val="left"/>
      <w:pPr>
        <w:ind w:left="5657" w:hanging="306"/>
      </w:pPr>
      <w:rPr>
        <w:rFonts w:hint="default"/>
        <w:lang w:val="en-US" w:eastAsia="en-US" w:bidi="ar-SA"/>
      </w:rPr>
    </w:lvl>
    <w:lvl w:ilvl="6">
      <w:start w:val="0"/>
      <w:numFmt w:val="bullet"/>
      <w:lvlText w:val="•"/>
      <w:lvlJc w:val="left"/>
      <w:pPr>
        <w:ind w:left="6882" w:hanging="306"/>
      </w:pPr>
      <w:rPr>
        <w:rFonts w:hint="default"/>
        <w:lang w:val="en-US" w:eastAsia="en-US" w:bidi="ar-SA"/>
      </w:rPr>
    </w:lvl>
    <w:lvl w:ilvl="7">
      <w:start w:val="0"/>
      <w:numFmt w:val="bullet"/>
      <w:lvlText w:val="•"/>
      <w:lvlJc w:val="left"/>
      <w:pPr>
        <w:ind w:left="8106" w:hanging="306"/>
      </w:pPr>
      <w:rPr>
        <w:rFonts w:hint="default"/>
        <w:lang w:val="en-US" w:eastAsia="en-US" w:bidi="ar-SA"/>
      </w:rPr>
    </w:lvl>
    <w:lvl w:ilvl="8">
      <w:start w:val="0"/>
      <w:numFmt w:val="bullet"/>
      <w:lvlText w:val="•"/>
      <w:lvlJc w:val="left"/>
      <w:pPr>
        <w:ind w:left="9331" w:hanging="306"/>
      </w:pPr>
      <w:rPr>
        <w:rFonts w:hint="default"/>
        <w:lang w:val="en-US" w:eastAsia="en-US" w:bidi="ar-SA"/>
      </w:rPr>
    </w:lvl>
  </w:abstractNum>
  <w:abstractNum w:abstractNumId="64">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63">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62">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61">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60">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59">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58">
    <w:multiLevelType w:val="hybridMultilevel"/>
    <w:lvl w:ilvl="0">
      <w:start w:val="19"/>
      <w:numFmt w:val="decimal"/>
      <w:lvlText w:val="%1."/>
      <w:lvlJc w:val="left"/>
      <w:pPr>
        <w:ind w:left="446" w:hanging="290"/>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462" w:hanging="306"/>
      </w:pPr>
      <w:rPr>
        <w:rFonts w:hint="default" w:ascii="Times New Roman" w:hAnsi="Times New Roman" w:eastAsia="Times New Roman" w:cs="Times New Roman"/>
        <w:b w:val="0"/>
        <w:bCs w:val="0"/>
        <w:i w:val="0"/>
        <w:iCs w:val="0"/>
        <w:spacing w:val="0"/>
        <w:w w:val="101"/>
        <w:position w:val="-2"/>
        <w:sz w:val="20"/>
        <w:szCs w:val="20"/>
        <w:lang w:val="en-US" w:eastAsia="en-US" w:bidi="ar-SA"/>
      </w:rPr>
    </w:lvl>
    <w:lvl w:ilvl="2">
      <w:start w:val="0"/>
      <w:numFmt w:val="bullet"/>
      <w:lvlText w:val="•"/>
      <w:lvlJc w:val="left"/>
      <w:pPr>
        <w:ind w:left="1717" w:hanging="306"/>
      </w:pPr>
      <w:rPr>
        <w:rFonts w:hint="default"/>
        <w:lang w:val="en-US" w:eastAsia="en-US" w:bidi="ar-SA"/>
      </w:rPr>
    </w:lvl>
    <w:lvl w:ilvl="3">
      <w:start w:val="0"/>
      <w:numFmt w:val="bullet"/>
      <w:lvlText w:val="•"/>
      <w:lvlJc w:val="left"/>
      <w:pPr>
        <w:ind w:left="2975" w:hanging="306"/>
      </w:pPr>
      <w:rPr>
        <w:rFonts w:hint="default"/>
        <w:lang w:val="en-US" w:eastAsia="en-US" w:bidi="ar-SA"/>
      </w:rPr>
    </w:lvl>
    <w:lvl w:ilvl="4">
      <w:start w:val="0"/>
      <w:numFmt w:val="bullet"/>
      <w:lvlText w:val="•"/>
      <w:lvlJc w:val="left"/>
      <w:pPr>
        <w:ind w:left="4233" w:hanging="306"/>
      </w:pPr>
      <w:rPr>
        <w:rFonts w:hint="default"/>
        <w:lang w:val="en-US" w:eastAsia="en-US" w:bidi="ar-SA"/>
      </w:rPr>
    </w:lvl>
    <w:lvl w:ilvl="5">
      <w:start w:val="0"/>
      <w:numFmt w:val="bullet"/>
      <w:lvlText w:val="•"/>
      <w:lvlJc w:val="left"/>
      <w:pPr>
        <w:ind w:left="5491" w:hanging="306"/>
      </w:pPr>
      <w:rPr>
        <w:rFonts w:hint="default"/>
        <w:lang w:val="en-US" w:eastAsia="en-US" w:bidi="ar-SA"/>
      </w:rPr>
    </w:lvl>
    <w:lvl w:ilvl="6">
      <w:start w:val="0"/>
      <w:numFmt w:val="bullet"/>
      <w:lvlText w:val="•"/>
      <w:lvlJc w:val="left"/>
      <w:pPr>
        <w:ind w:left="6748" w:hanging="306"/>
      </w:pPr>
      <w:rPr>
        <w:rFonts w:hint="default"/>
        <w:lang w:val="en-US" w:eastAsia="en-US" w:bidi="ar-SA"/>
      </w:rPr>
    </w:lvl>
    <w:lvl w:ilvl="7">
      <w:start w:val="0"/>
      <w:numFmt w:val="bullet"/>
      <w:lvlText w:val="•"/>
      <w:lvlJc w:val="left"/>
      <w:pPr>
        <w:ind w:left="8006" w:hanging="306"/>
      </w:pPr>
      <w:rPr>
        <w:rFonts w:hint="default"/>
        <w:lang w:val="en-US" w:eastAsia="en-US" w:bidi="ar-SA"/>
      </w:rPr>
    </w:lvl>
    <w:lvl w:ilvl="8">
      <w:start w:val="0"/>
      <w:numFmt w:val="bullet"/>
      <w:lvlText w:val="•"/>
      <w:lvlJc w:val="left"/>
      <w:pPr>
        <w:ind w:left="9264" w:hanging="306"/>
      </w:pPr>
      <w:rPr>
        <w:rFonts w:hint="default"/>
        <w:lang w:val="en-US" w:eastAsia="en-US" w:bidi="ar-SA"/>
      </w:rPr>
    </w:lvl>
  </w:abstractNum>
  <w:abstractNum w:abstractNumId="57">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56">
    <w:multiLevelType w:val="hybridMultilevel"/>
    <w:lvl w:ilvl="0">
      <w:start w:val="17"/>
      <w:numFmt w:val="decimal"/>
      <w:lvlText w:val="%1."/>
      <w:lvlJc w:val="left"/>
      <w:pPr>
        <w:ind w:left="446" w:hanging="290"/>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74" w:hanging="290"/>
      </w:pPr>
      <w:rPr>
        <w:rFonts w:hint="default"/>
        <w:lang w:val="en-US" w:eastAsia="en-US" w:bidi="ar-SA"/>
      </w:rPr>
    </w:lvl>
    <w:lvl w:ilvl="2">
      <w:start w:val="0"/>
      <w:numFmt w:val="bullet"/>
      <w:lvlText w:val="•"/>
      <w:lvlJc w:val="left"/>
      <w:pPr>
        <w:ind w:left="2708" w:hanging="290"/>
      </w:pPr>
      <w:rPr>
        <w:rFonts w:hint="default"/>
        <w:lang w:val="en-US" w:eastAsia="en-US" w:bidi="ar-SA"/>
      </w:rPr>
    </w:lvl>
    <w:lvl w:ilvl="3">
      <w:start w:val="0"/>
      <w:numFmt w:val="bullet"/>
      <w:lvlText w:val="•"/>
      <w:lvlJc w:val="left"/>
      <w:pPr>
        <w:ind w:left="3842" w:hanging="290"/>
      </w:pPr>
      <w:rPr>
        <w:rFonts w:hint="default"/>
        <w:lang w:val="en-US" w:eastAsia="en-US" w:bidi="ar-SA"/>
      </w:rPr>
    </w:lvl>
    <w:lvl w:ilvl="4">
      <w:start w:val="0"/>
      <w:numFmt w:val="bullet"/>
      <w:lvlText w:val="•"/>
      <w:lvlJc w:val="left"/>
      <w:pPr>
        <w:ind w:left="4976" w:hanging="290"/>
      </w:pPr>
      <w:rPr>
        <w:rFonts w:hint="default"/>
        <w:lang w:val="en-US" w:eastAsia="en-US" w:bidi="ar-SA"/>
      </w:rPr>
    </w:lvl>
    <w:lvl w:ilvl="5">
      <w:start w:val="0"/>
      <w:numFmt w:val="bullet"/>
      <w:lvlText w:val="•"/>
      <w:lvlJc w:val="left"/>
      <w:pPr>
        <w:ind w:left="6110" w:hanging="290"/>
      </w:pPr>
      <w:rPr>
        <w:rFonts w:hint="default"/>
        <w:lang w:val="en-US" w:eastAsia="en-US" w:bidi="ar-SA"/>
      </w:rPr>
    </w:lvl>
    <w:lvl w:ilvl="6">
      <w:start w:val="0"/>
      <w:numFmt w:val="bullet"/>
      <w:lvlText w:val="•"/>
      <w:lvlJc w:val="left"/>
      <w:pPr>
        <w:ind w:left="7244" w:hanging="290"/>
      </w:pPr>
      <w:rPr>
        <w:rFonts w:hint="default"/>
        <w:lang w:val="en-US" w:eastAsia="en-US" w:bidi="ar-SA"/>
      </w:rPr>
    </w:lvl>
    <w:lvl w:ilvl="7">
      <w:start w:val="0"/>
      <w:numFmt w:val="bullet"/>
      <w:lvlText w:val="•"/>
      <w:lvlJc w:val="left"/>
      <w:pPr>
        <w:ind w:left="8378" w:hanging="290"/>
      </w:pPr>
      <w:rPr>
        <w:rFonts w:hint="default"/>
        <w:lang w:val="en-US" w:eastAsia="en-US" w:bidi="ar-SA"/>
      </w:rPr>
    </w:lvl>
    <w:lvl w:ilvl="8">
      <w:start w:val="0"/>
      <w:numFmt w:val="bullet"/>
      <w:lvlText w:val="•"/>
      <w:lvlJc w:val="left"/>
      <w:pPr>
        <w:ind w:left="9512" w:hanging="290"/>
      </w:pPr>
      <w:rPr>
        <w:rFonts w:hint="default"/>
        <w:lang w:val="en-US" w:eastAsia="en-US" w:bidi="ar-SA"/>
      </w:rPr>
    </w:lvl>
  </w:abstractNum>
  <w:abstractNum w:abstractNumId="55">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54">
    <w:multiLevelType w:val="hybridMultilevel"/>
    <w:lvl w:ilvl="0">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53">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52">
    <w:multiLevelType w:val="hybridMultilevel"/>
    <w:lvl w:ilvl="0">
      <w:start w:val="15"/>
      <w:numFmt w:val="decimal"/>
      <w:lvlText w:val="%1."/>
      <w:lvlJc w:val="left"/>
      <w:pPr>
        <w:ind w:left="446" w:hanging="290"/>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74" w:hanging="290"/>
      </w:pPr>
      <w:rPr>
        <w:rFonts w:hint="default"/>
        <w:lang w:val="en-US" w:eastAsia="en-US" w:bidi="ar-SA"/>
      </w:rPr>
    </w:lvl>
    <w:lvl w:ilvl="2">
      <w:start w:val="0"/>
      <w:numFmt w:val="bullet"/>
      <w:lvlText w:val="•"/>
      <w:lvlJc w:val="left"/>
      <w:pPr>
        <w:ind w:left="2708" w:hanging="290"/>
      </w:pPr>
      <w:rPr>
        <w:rFonts w:hint="default"/>
        <w:lang w:val="en-US" w:eastAsia="en-US" w:bidi="ar-SA"/>
      </w:rPr>
    </w:lvl>
    <w:lvl w:ilvl="3">
      <w:start w:val="0"/>
      <w:numFmt w:val="bullet"/>
      <w:lvlText w:val="•"/>
      <w:lvlJc w:val="left"/>
      <w:pPr>
        <w:ind w:left="3842" w:hanging="290"/>
      </w:pPr>
      <w:rPr>
        <w:rFonts w:hint="default"/>
        <w:lang w:val="en-US" w:eastAsia="en-US" w:bidi="ar-SA"/>
      </w:rPr>
    </w:lvl>
    <w:lvl w:ilvl="4">
      <w:start w:val="0"/>
      <w:numFmt w:val="bullet"/>
      <w:lvlText w:val="•"/>
      <w:lvlJc w:val="left"/>
      <w:pPr>
        <w:ind w:left="4976" w:hanging="290"/>
      </w:pPr>
      <w:rPr>
        <w:rFonts w:hint="default"/>
        <w:lang w:val="en-US" w:eastAsia="en-US" w:bidi="ar-SA"/>
      </w:rPr>
    </w:lvl>
    <w:lvl w:ilvl="5">
      <w:start w:val="0"/>
      <w:numFmt w:val="bullet"/>
      <w:lvlText w:val="•"/>
      <w:lvlJc w:val="left"/>
      <w:pPr>
        <w:ind w:left="6110" w:hanging="290"/>
      </w:pPr>
      <w:rPr>
        <w:rFonts w:hint="default"/>
        <w:lang w:val="en-US" w:eastAsia="en-US" w:bidi="ar-SA"/>
      </w:rPr>
    </w:lvl>
    <w:lvl w:ilvl="6">
      <w:start w:val="0"/>
      <w:numFmt w:val="bullet"/>
      <w:lvlText w:val="•"/>
      <w:lvlJc w:val="left"/>
      <w:pPr>
        <w:ind w:left="7244" w:hanging="290"/>
      </w:pPr>
      <w:rPr>
        <w:rFonts w:hint="default"/>
        <w:lang w:val="en-US" w:eastAsia="en-US" w:bidi="ar-SA"/>
      </w:rPr>
    </w:lvl>
    <w:lvl w:ilvl="7">
      <w:start w:val="0"/>
      <w:numFmt w:val="bullet"/>
      <w:lvlText w:val="•"/>
      <w:lvlJc w:val="left"/>
      <w:pPr>
        <w:ind w:left="8378" w:hanging="290"/>
      </w:pPr>
      <w:rPr>
        <w:rFonts w:hint="default"/>
        <w:lang w:val="en-US" w:eastAsia="en-US" w:bidi="ar-SA"/>
      </w:rPr>
    </w:lvl>
    <w:lvl w:ilvl="8">
      <w:start w:val="0"/>
      <w:numFmt w:val="bullet"/>
      <w:lvlText w:val="•"/>
      <w:lvlJc w:val="left"/>
      <w:pPr>
        <w:ind w:left="9512" w:hanging="290"/>
      </w:pPr>
      <w:rPr>
        <w:rFonts w:hint="default"/>
        <w:lang w:val="en-US" w:eastAsia="en-US" w:bidi="ar-SA"/>
      </w:rPr>
    </w:lvl>
  </w:abstractNum>
  <w:abstractNum w:abstractNumId="51">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50">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49">
    <w:multiLevelType w:val="hybridMultilevel"/>
    <w:lvl w:ilvl="0">
      <w:start w:val="14"/>
      <w:numFmt w:val="decimal"/>
      <w:lvlText w:val="%1."/>
      <w:lvlJc w:val="left"/>
      <w:pPr>
        <w:ind w:left="446" w:hanging="290"/>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74" w:hanging="290"/>
      </w:pPr>
      <w:rPr>
        <w:rFonts w:hint="default"/>
        <w:lang w:val="en-US" w:eastAsia="en-US" w:bidi="ar-SA"/>
      </w:rPr>
    </w:lvl>
    <w:lvl w:ilvl="2">
      <w:start w:val="0"/>
      <w:numFmt w:val="bullet"/>
      <w:lvlText w:val="•"/>
      <w:lvlJc w:val="left"/>
      <w:pPr>
        <w:ind w:left="2708" w:hanging="290"/>
      </w:pPr>
      <w:rPr>
        <w:rFonts w:hint="default"/>
        <w:lang w:val="en-US" w:eastAsia="en-US" w:bidi="ar-SA"/>
      </w:rPr>
    </w:lvl>
    <w:lvl w:ilvl="3">
      <w:start w:val="0"/>
      <w:numFmt w:val="bullet"/>
      <w:lvlText w:val="•"/>
      <w:lvlJc w:val="left"/>
      <w:pPr>
        <w:ind w:left="3842" w:hanging="290"/>
      </w:pPr>
      <w:rPr>
        <w:rFonts w:hint="default"/>
        <w:lang w:val="en-US" w:eastAsia="en-US" w:bidi="ar-SA"/>
      </w:rPr>
    </w:lvl>
    <w:lvl w:ilvl="4">
      <w:start w:val="0"/>
      <w:numFmt w:val="bullet"/>
      <w:lvlText w:val="•"/>
      <w:lvlJc w:val="left"/>
      <w:pPr>
        <w:ind w:left="4976" w:hanging="290"/>
      </w:pPr>
      <w:rPr>
        <w:rFonts w:hint="default"/>
        <w:lang w:val="en-US" w:eastAsia="en-US" w:bidi="ar-SA"/>
      </w:rPr>
    </w:lvl>
    <w:lvl w:ilvl="5">
      <w:start w:val="0"/>
      <w:numFmt w:val="bullet"/>
      <w:lvlText w:val="•"/>
      <w:lvlJc w:val="left"/>
      <w:pPr>
        <w:ind w:left="6110" w:hanging="290"/>
      </w:pPr>
      <w:rPr>
        <w:rFonts w:hint="default"/>
        <w:lang w:val="en-US" w:eastAsia="en-US" w:bidi="ar-SA"/>
      </w:rPr>
    </w:lvl>
    <w:lvl w:ilvl="6">
      <w:start w:val="0"/>
      <w:numFmt w:val="bullet"/>
      <w:lvlText w:val="•"/>
      <w:lvlJc w:val="left"/>
      <w:pPr>
        <w:ind w:left="7244" w:hanging="290"/>
      </w:pPr>
      <w:rPr>
        <w:rFonts w:hint="default"/>
        <w:lang w:val="en-US" w:eastAsia="en-US" w:bidi="ar-SA"/>
      </w:rPr>
    </w:lvl>
    <w:lvl w:ilvl="7">
      <w:start w:val="0"/>
      <w:numFmt w:val="bullet"/>
      <w:lvlText w:val="•"/>
      <w:lvlJc w:val="left"/>
      <w:pPr>
        <w:ind w:left="8378" w:hanging="290"/>
      </w:pPr>
      <w:rPr>
        <w:rFonts w:hint="default"/>
        <w:lang w:val="en-US" w:eastAsia="en-US" w:bidi="ar-SA"/>
      </w:rPr>
    </w:lvl>
    <w:lvl w:ilvl="8">
      <w:start w:val="0"/>
      <w:numFmt w:val="bullet"/>
      <w:lvlText w:val="•"/>
      <w:lvlJc w:val="left"/>
      <w:pPr>
        <w:ind w:left="9512" w:hanging="290"/>
      </w:pPr>
      <w:rPr>
        <w:rFonts w:hint="default"/>
        <w:lang w:val="en-US" w:eastAsia="en-US" w:bidi="ar-SA"/>
      </w:rPr>
    </w:lvl>
  </w:abstractNum>
  <w:abstractNum w:abstractNumId="48">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47">
    <w:multiLevelType w:val="hybridMultilevel"/>
    <w:lvl w:ilvl="0">
      <w:start w:val="13"/>
      <w:numFmt w:val="decimal"/>
      <w:lvlText w:val="%1."/>
      <w:lvlJc w:val="left"/>
      <w:pPr>
        <w:ind w:left="446" w:hanging="290"/>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74" w:hanging="290"/>
      </w:pPr>
      <w:rPr>
        <w:rFonts w:hint="default"/>
        <w:lang w:val="en-US" w:eastAsia="en-US" w:bidi="ar-SA"/>
      </w:rPr>
    </w:lvl>
    <w:lvl w:ilvl="2">
      <w:start w:val="0"/>
      <w:numFmt w:val="bullet"/>
      <w:lvlText w:val="•"/>
      <w:lvlJc w:val="left"/>
      <w:pPr>
        <w:ind w:left="2708" w:hanging="290"/>
      </w:pPr>
      <w:rPr>
        <w:rFonts w:hint="default"/>
        <w:lang w:val="en-US" w:eastAsia="en-US" w:bidi="ar-SA"/>
      </w:rPr>
    </w:lvl>
    <w:lvl w:ilvl="3">
      <w:start w:val="0"/>
      <w:numFmt w:val="bullet"/>
      <w:lvlText w:val="•"/>
      <w:lvlJc w:val="left"/>
      <w:pPr>
        <w:ind w:left="3842" w:hanging="290"/>
      </w:pPr>
      <w:rPr>
        <w:rFonts w:hint="default"/>
        <w:lang w:val="en-US" w:eastAsia="en-US" w:bidi="ar-SA"/>
      </w:rPr>
    </w:lvl>
    <w:lvl w:ilvl="4">
      <w:start w:val="0"/>
      <w:numFmt w:val="bullet"/>
      <w:lvlText w:val="•"/>
      <w:lvlJc w:val="left"/>
      <w:pPr>
        <w:ind w:left="4976" w:hanging="290"/>
      </w:pPr>
      <w:rPr>
        <w:rFonts w:hint="default"/>
        <w:lang w:val="en-US" w:eastAsia="en-US" w:bidi="ar-SA"/>
      </w:rPr>
    </w:lvl>
    <w:lvl w:ilvl="5">
      <w:start w:val="0"/>
      <w:numFmt w:val="bullet"/>
      <w:lvlText w:val="•"/>
      <w:lvlJc w:val="left"/>
      <w:pPr>
        <w:ind w:left="6110" w:hanging="290"/>
      </w:pPr>
      <w:rPr>
        <w:rFonts w:hint="default"/>
        <w:lang w:val="en-US" w:eastAsia="en-US" w:bidi="ar-SA"/>
      </w:rPr>
    </w:lvl>
    <w:lvl w:ilvl="6">
      <w:start w:val="0"/>
      <w:numFmt w:val="bullet"/>
      <w:lvlText w:val="•"/>
      <w:lvlJc w:val="left"/>
      <w:pPr>
        <w:ind w:left="7244" w:hanging="290"/>
      </w:pPr>
      <w:rPr>
        <w:rFonts w:hint="default"/>
        <w:lang w:val="en-US" w:eastAsia="en-US" w:bidi="ar-SA"/>
      </w:rPr>
    </w:lvl>
    <w:lvl w:ilvl="7">
      <w:start w:val="0"/>
      <w:numFmt w:val="bullet"/>
      <w:lvlText w:val="•"/>
      <w:lvlJc w:val="left"/>
      <w:pPr>
        <w:ind w:left="8378" w:hanging="290"/>
      </w:pPr>
      <w:rPr>
        <w:rFonts w:hint="default"/>
        <w:lang w:val="en-US" w:eastAsia="en-US" w:bidi="ar-SA"/>
      </w:rPr>
    </w:lvl>
    <w:lvl w:ilvl="8">
      <w:start w:val="0"/>
      <w:numFmt w:val="bullet"/>
      <w:lvlText w:val="•"/>
      <w:lvlJc w:val="left"/>
      <w:pPr>
        <w:ind w:left="9512" w:hanging="290"/>
      </w:pPr>
      <w:rPr>
        <w:rFonts w:hint="default"/>
        <w:lang w:val="en-US" w:eastAsia="en-US" w:bidi="ar-SA"/>
      </w:rPr>
    </w:lvl>
  </w:abstractNum>
  <w:abstractNum w:abstractNumId="46">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45">
    <w:multiLevelType w:val="hybridMultilevel"/>
    <w:lvl w:ilvl="0">
      <w:start w:val="12"/>
      <w:numFmt w:val="decimal"/>
      <w:lvlText w:val="%1."/>
      <w:lvlJc w:val="left"/>
      <w:pPr>
        <w:ind w:left="446" w:hanging="290"/>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74" w:hanging="290"/>
      </w:pPr>
      <w:rPr>
        <w:rFonts w:hint="default"/>
        <w:lang w:val="en-US" w:eastAsia="en-US" w:bidi="ar-SA"/>
      </w:rPr>
    </w:lvl>
    <w:lvl w:ilvl="2">
      <w:start w:val="0"/>
      <w:numFmt w:val="bullet"/>
      <w:lvlText w:val="•"/>
      <w:lvlJc w:val="left"/>
      <w:pPr>
        <w:ind w:left="2708" w:hanging="290"/>
      </w:pPr>
      <w:rPr>
        <w:rFonts w:hint="default"/>
        <w:lang w:val="en-US" w:eastAsia="en-US" w:bidi="ar-SA"/>
      </w:rPr>
    </w:lvl>
    <w:lvl w:ilvl="3">
      <w:start w:val="0"/>
      <w:numFmt w:val="bullet"/>
      <w:lvlText w:val="•"/>
      <w:lvlJc w:val="left"/>
      <w:pPr>
        <w:ind w:left="3842" w:hanging="290"/>
      </w:pPr>
      <w:rPr>
        <w:rFonts w:hint="default"/>
        <w:lang w:val="en-US" w:eastAsia="en-US" w:bidi="ar-SA"/>
      </w:rPr>
    </w:lvl>
    <w:lvl w:ilvl="4">
      <w:start w:val="0"/>
      <w:numFmt w:val="bullet"/>
      <w:lvlText w:val="•"/>
      <w:lvlJc w:val="left"/>
      <w:pPr>
        <w:ind w:left="4976" w:hanging="290"/>
      </w:pPr>
      <w:rPr>
        <w:rFonts w:hint="default"/>
        <w:lang w:val="en-US" w:eastAsia="en-US" w:bidi="ar-SA"/>
      </w:rPr>
    </w:lvl>
    <w:lvl w:ilvl="5">
      <w:start w:val="0"/>
      <w:numFmt w:val="bullet"/>
      <w:lvlText w:val="•"/>
      <w:lvlJc w:val="left"/>
      <w:pPr>
        <w:ind w:left="6110" w:hanging="290"/>
      </w:pPr>
      <w:rPr>
        <w:rFonts w:hint="default"/>
        <w:lang w:val="en-US" w:eastAsia="en-US" w:bidi="ar-SA"/>
      </w:rPr>
    </w:lvl>
    <w:lvl w:ilvl="6">
      <w:start w:val="0"/>
      <w:numFmt w:val="bullet"/>
      <w:lvlText w:val="•"/>
      <w:lvlJc w:val="left"/>
      <w:pPr>
        <w:ind w:left="7244" w:hanging="290"/>
      </w:pPr>
      <w:rPr>
        <w:rFonts w:hint="default"/>
        <w:lang w:val="en-US" w:eastAsia="en-US" w:bidi="ar-SA"/>
      </w:rPr>
    </w:lvl>
    <w:lvl w:ilvl="7">
      <w:start w:val="0"/>
      <w:numFmt w:val="bullet"/>
      <w:lvlText w:val="•"/>
      <w:lvlJc w:val="left"/>
      <w:pPr>
        <w:ind w:left="8378" w:hanging="290"/>
      </w:pPr>
      <w:rPr>
        <w:rFonts w:hint="default"/>
        <w:lang w:val="en-US" w:eastAsia="en-US" w:bidi="ar-SA"/>
      </w:rPr>
    </w:lvl>
    <w:lvl w:ilvl="8">
      <w:start w:val="0"/>
      <w:numFmt w:val="bullet"/>
      <w:lvlText w:val="•"/>
      <w:lvlJc w:val="left"/>
      <w:pPr>
        <w:ind w:left="9512" w:hanging="290"/>
      </w:pPr>
      <w:rPr>
        <w:rFonts w:hint="default"/>
        <w:lang w:val="en-US" w:eastAsia="en-US" w:bidi="ar-SA"/>
      </w:rPr>
    </w:lvl>
  </w:abstractNum>
  <w:abstractNum w:abstractNumId="44">
    <w:multiLevelType w:val="hybridMultilevel"/>
    <w:lvl w:ilvl="0">
      <w:start w:val="10"/>
      <w:numFmt w:val="decimal"/>
      <w:lvlText w:val="%1."/>
      <w:lvlJc w:val="left"/>
      <w:pPr>
        <w:ind w:left="446" w:hanging="290"/>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74" w:hanging="290"/>
      </w:pPr>
      <w:rPr>
        <w:rFonts w:hint="default"/>
        <w:lang w:val="en-US" w:eastAsia="en-US" w:bidi="ar-SA"/>
      </w:rPr>
    </w:lvl>
    <w:lvl w:ilvl="2">
      <w:start w:val="0"/>
      <w:numFmt w:val="bullet"/>
      <w:lvlText w:val="•"/>
      <w:lvlJc w:val="left"/>
      <w:pPr>
        <w:ind w:left="2708" w:hanging="290"/>
      </w:pPr>
      <w:rPr>
        <w:rFonts w:hint="default"/>
        <w:lang w:val="en-US" w:eastAsia="en-US" w:bidi="ar-SA"/>
      </w:rPr>
    </w:lvl>
    <w:lvl w:ilvl="3">
      <w:start w:val="0"/>
      <w:numFmt w:val="bullet"/>
      <w:lvlText w:val="•"/>
      <w:lvlJc w:val="left"/>
      <w:pPr>
        <w:ind w:left="3842" w:hanging="290"/>
      </w:pPr>
      <w:rPr>
        <w:rFonts w:hint="default"/>
        <w:lang w:val="en-US" w:eastAsia="en-US" w:bidi="ar-SA"/>
      </w:rPr>
    </w:lvl>
    <w:lvl w:ilvl="4">
      <w:start w:val="0"/>
      <w:numFmt w:val="bullet"/>
      <w:lvlText w:val="•"/>
      <w:lvlJc w:val="left"/>
      <w:pPr>
        <w:ind w:left="4976" w:hanging="290"/>
      </w:pPr>
      <w:rPr>
        <w:rFonts w:hint="default"/>
        <w:lang w:val="en-US" w:eastAsia="en-US" w:bidi="ar-SA"/>
      </w:rPr>
    </w:lvl>
    <w:lvl w:ilvl="5">
      <w:start w:val="0"/>
      <w:numFmt w:val="bullet"/>
      <w:lvlText w:val="•"/>
      <w:lvlJc w:val="left"/>
      <w:pPr>
        <w:ind w:left="6110" w:hanging="290"/>
      </w:pPr>
      <w:rPr>
        <w:rFonts w:hint="default"/>
        <w:lang w:val="en-US" w:eastAsia="en-US" w:bidi="ar-SA"/>
      </w:rPr>
    </w:lvl>
    <w:lvl w:ilvl="6">
      <w:start w:val="0"/>
      <w:numFmt w:val="bullet"/>
      <w:lvlText w:val="•"/>
      <w:lvlJc w:val="left"/>
      <w:pPr>
        <w:ind w:left="7244" w:hanging="290"/>
      </w:pPr>
      <w:rPr>
        <w:rFonts w:hint="default"/>
        <w:lang w:val="en-US" w:eastAsia="en-US" w:bidi="ar-SA"/>
      </w:rPr>
    </w:lvl>
    <w:lvl w:ilvl="7">
      <w:start w:val="0"/>
      <w:numFmt w:val="bullet"/>
      <w:lvlText w:val="•"/>
      <w:lvlJc w:val="left"/>
      <w:pPr>
        <w:ind w:left="8378" w:hanging="290"/>
      </w:pPr>
      <w:rPr>
        <w:rFonts w:hint="default"/>
        <w:lang w:val="en-US" w:eastAsia="en-US" w:bidi="ar-SA"/>
      </w:rPr>
    </w:lvl>
    <w:lvl w:ilvl="8">
      <w:start w:val="0"/>
      <w:numFmt w:val="bullet"/>
      <w:lvlText w:val="•"/>
      <w:lvlJc w:val="left"/>
      <w:pPr>
        <w:ind w:left="9512" w:hanging="290"/>
      </w:pPr>
      <w:rPr>
        <w:rFonts w:hint="default"/>
        <w:lang w:val="en-US" w:eastAsia="en-US" w:bidi="ar-SA"/>
      </w:rPr>
    </w:lvl>
  </w:abstractNum>
  <w:abstractNum w:abstractNumId="43">
    <w:multiLevelType w:val="hybridMultilevel"/>
    <w:lvl w:ilvl="0">
      <w:start w:val="8"/>
      <w:numFmt w:val="decimal"/>
      <w:lvlText w:val="%1."/>
      <w:lvlJc w:val="left"/>
      <w:pPr>
        <w:ind w:left="363" w:hanging="207"/>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02" w:hanging="207"/>
      </w:pPr>
      <w:rPr>
        <w:rFonts w:hint="default"/>
        <w:lang w:val="en-US" w:eastAsia="en-US" w:bidi="ar-SA"/>
      </w:rPr>
    </w:lvl>
    <w:lvl w:ilvl="2">
      <w:start w:val="0"/>
      <w:numFmt w:val="bullet"/>
      <w:lvlText w:val="•"/>
      <w:lvlJc w:val="left"/>
      <w:pPr>
        <w:ind w:left="2644" w:hanging="207"/>
      </w:pPr>
      <w:rPr>
        <w:rFonts w:hint="default"/>
        <w:lang w:val="en-US" w:eastAsia="en-US" w:bidi="ar-SA"/>
      </w:rPr>
    </w:lvl>
    <w:lvl w:ilvl="3">
      <w:start w:val="0"/>
      <w:numFmt w:val="bullet"/>
      <w:lvlText w:val="•"/>
      <w:lvlJc w:val="left"/>
      <w:pPr>
        <w:ind w:left="3786" w:hanging="207"/>
      </w:pPr>
      <w:rPr>
        <w:rFonts w:hint="default"/>
        <w:lang w:val="en-US" w:eastAsia="en-US" w:bidi="ar-SA"/>
      </w:rPr>
    </w:lvl>
    <w:lvl w:ilvl="4">
      <w:start w:val="0"/>
      <w:numFmt w:val="bullet"/>
      <w:lvlText w:val="•"/>
      <w:lvlJc w:val="left"/>
      <w:pPr>
        <w:ind w:left="4928" w:hanging="207"/>
      </w:pPr>
      <w:rPr>
        <w:rFonts w:hint="default"/>
        <w:lang w:val="en-US" w:eastAsia="en-US" w:bidi="ar-SA"/>
      </w:rPr>
    </w:lvl>
    <w:lvl w:ilvl="5">
      <w:start w:val="0"/>
      <w:numFmt w:val="bullet"/>
      <w:lvlText w:val="•"/>
      <w:lvlJc w:val="left"/>
      <w:pPr>
        <w:ind w:left="6070" w:hanging="207"/>
      </w:pPr>
      <w:rPr>
        <w:rFonts w:hint="default"/>
        <w:lang w:val="en-US" w:eastAsia="en-US" w:bidi="ar-SA"/>
      </w:rPr>
    </w:lvl>
    <w:lvl w:ilvl="6">
      <w:start w:val="0"/>
      <w:numFmt w:val="bullet"/>
      <w:lvlText w:val="•"/>
      <w:lvlJc w:val="left"/>
      <w:pPr>
        <w:ind w:left="7212" w:hanging="207"/>
      </w:pPr>
      <w:rPr>
        <w:rFonts w:hint="default"/>
        <w:lang w:val="en-US" w:eastAsia="en-US" w:bidi="ar-SA"/>
      </w:rPr>
    </w:lvl>
    <w:lvl w:ilvl="7">
      <w:start w:val="0"/>
      <w:numFmt w:val="bullet"/>
      <w:lvlText w:val="•"/>
      <w:lvlJc w:val="left"/>
      <w:pPr>
        <w:ind w:left="8354" w:hanging="207"/>
      </w:pPr>
      <w:rPr>
        <w:rFonts w:hint="default"/>
        <w:lang w:val="en-US" w:eastAsia="en-US" w:bidi="ar-SA"/>
      </w:rPr>
    </w:lvl>
    <w:lvl w:ilvl="8">
      <w:start w:val="0"/>
      <w:numFmt w:val="bullet"/>
      <w:lvlText w:val="•"/>
      <w:lvlJc w:val="left"/>
      <w:pPr>
        <w:ind w:left="9496" w:hanging="207"/>
      </w:pPr>
      <w:rPr>
        <w:rFonts w:hint="default"/>
        <w:lang w:val="en-US" w:eastAsia="en-US" w:bidi="ar-SA"/>
      </w:rPr>
    </w:lvl>
  </w:abstractNum>
  <w:abstractNum w:abstractNumId="42">
    <w:multiLevelType w:val="hybridMultilevel"/>
    <w:lvl w:ilvl="0">
      <w:start w:val="1"/>
      <w:numFmt w:val="decimal"/>
      <w:lvlText w:val="(%1)"/>
      <w:lvlJc w:val="left"/>
      <w:pPr>
        <w:ind w:left="305"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692" w:hanging="306"/>
      </w:pPr>
      <w:rPr>
        <w:rFonts w:hint="default"/>
        <w:lang w:val="en-US" w:eastAsia="en-US" w:bidi="ar-SA"/>
      </w:rPr>
    </w:lvl>
    <w:lvl w:ilvl="2">
      <w:start w:val="0"/>
      <w:numFmt w:val="bullet"/>
      <w:lvlText w:val="•"/>
      <w:lvlJc w:val="left"/>
      <w:pPr>
        <w:ind w:left="1085" w:hanging="306"/>
      </w:pPr>
      <w:rPr>
        <w:rFonts w:hint="default"/>
        <w:lang w:val="en-US" w:eastAsia="en-US" w:bidi="ar-SA"/>
      </w:rPr>
    </w:lvl>
    <w:lvl w:ilvl="3">
      <w:start w:val="0"/>
      <w:numFmt w:val="bullet"/>
      <w:lvlText w:val="•"/>
      <w:lvlJc w:val="left"/>
      <w:pPr>
        <w:ind w:left="1478" w:hanging="306"/>
      </w:pPr>
      <w:rPr>
        <w:rFonts w:hint="default"/>
        <w:lang w:val="en-US" w:eastAsia="en-US" w:bidi="ar-SA"/>
      </w:rPr>
    </w:lvl>
    <w:lvl w:ilvl="4">
      <w:start w:val="0"/>
      <w:numFmt w:val="bullet"/>
      <w:lvlText w:val="•"/>
      <w:lvlJc w:val="left"/>
      <w:pPr>
        <w:ind w:left="1870" w:hanging="306"/>
      </w:pPr>
      <w:rPr>
        <w:rFonts w:hint="default"/>
        <w:lang w:val="en-US" w:eastAsia="en-US" w:bidi="ar-SA"/>
      </w:rPr>
    </w:lvl>
    <w:lvl w:ilvl="5">
      <w:start w:val="0"/>
      <w:numFmt w:val="bullet"/>
      <w:lvlText w:val="•"/>
      <w:lvlJc w:val="left"/>
      <w:pPr>
        <w:ind w:left="2263" w:hanging="306"/>
      </w:pPr>
      <w:rPr>
        <w:rFonts w:hint="default"/>
        <w:lang w:val="en-US" w:eastAsia="en-US" w:bidi="ar-SA"/>
      </w:rPr>
    </w:lvl>
    <w:lvl w:ilvl="6">
      <w:start w:val="0"/>
      <w:numFmt w:val="bullet"/>
      <w:lvlText w:val="•"/>
      <w:lvlJc w:val="left"/>
      <w:pPr>
        <w:ind w:left="2656" w:hanging="306"/>
      </w:pPr>
      <w:rPr>
        <w:rFonts w:hint="default"/>
        <w:lang w:val="en-US" w:eastAsia="en-US" w:bidi="ar-SA"/>
      </w:rPr>
    </w:lvl>
    <w:lvl w:ilvl="7">
      <w:start w:val="0"/>
      <w:numFmt w:val="bullet"/>
      <w:lvlText w:val="•"/>
      <w:lvlJc w:val="left"/>
      <w:pPr>
        <w:ind w:left="3048" w:hanging="306"/>
      </w:pPr>
      <w:rPr>
        <w:rFonts w:hint="default"/>
        <w:lang w:val="en-US" w:eastAsia="en-US" w:bidi="ar-SA"/>
      </w:rPr>
    </w:lvl>
    <w:lvl w:ilvl="8">
      <w:start w:val="0"/>
      <w:numFmt w:val="bullet"/>
      <w:lvlText w:val="•"/>
      <w:lvlJc w:val="left"/>
      <w:pPr>
        <w:ind w:left="3441" w:hanging="306"/>
      </w:pPr>
      <w:rPr>
        <w:rFonts w:hint="default"/>
        <w:lang w:val="en-US" w:eastAsia="en-US" w:bidi="ar-SA"/>
      </w:rPr>
    </w:lvl>
  </w:abstractNum>
  <w:abstractNum w:abstractNumId="41">
    <w:multiLevelType w:val="hybridMultilevel"/>
    <w:lvl w:ilvl="0">
      <w:start w:val="5"/>
      <w:numFmt w:val="decimal"/>
      <w:lvlText w:val="%1."/>
      <w:lvlJc w:val="left"/>
      <w:pPr>
        <w:ind w:left="363" w:hanging="207"/>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02" w:hanging="207"/>
      </w:pPr>
      <w:rPr>
        <w:rFonts w:hint="default"/>
        <w:lang w:val="en-US" w:eastAsia="en-US" w:bidi="ar-SA"/>
      </w:rPr>
    </w:lvl>
    <w:lvl w:ilvl="2">
      <w:start w:val="0"/>
      <w:numFmt w:val="bullet"/>
      <w:lvlText w:val="•"/>
      <w:lvlJc w:val="left"/>
      <w:pPr>
        <w:ind w:left="2644" w:hanging="207"/>
      </w:pPr>
      <w:rPr>
        <w:rFonts w:hint="default"/>
        <w:lang w:val="en-US" w:eastAsia="en-US" w:bidi="ar-SA"/>
      </w:rPr>
    </w:lvl>
    <w:lvl w:ilvl="3">
      <w:start w:val="0"/>
      <w:numFmt w:val="bullet"/>
      <w:lvlText w:val="•"/>
      <w:lvlJc w:val="left"/>
      <w:pPr>
        <w:ind w:left="3786" w:hanging="207"/>
      </w:pPr>
      <w:rPr>
        <w:rFonts w:hint="default"/>
        <w:lang w:val="en-US" w:eastAsia="en-US" w:bidi="ar-SA"/>
      </w:rPr>
    </w:lvl>
    <w:lvl w:ilvl="4">
      <w:start w:val="0"/>
      <w:numFmt w:val="bullet"/>
      <w:lvlText w:val="•"/>
      <w:lvlJc w:val="left"/>
      <w:pPr>
        <w:ind w:left="4928" w:hanging="207"/>
      </w:pPr>
      <w:rPr>
        <w:rFonts w:hint="default"/>
        <w:lang w:val="en-US" w:eastAsia="en-US" w:bidi="ar-SA"/>
      </w:rPr>
    </w:lvl>
    <w:lvl w:ilvl="5">
      <w:start w:val="0"/>
      <w:numFmt w:val="bullet"/>
      <w:lvlText w:val="•"/>
      <w:lvlJc w:val="left"/>
      <w:pPr>
        <w:ind w:left="6070" w:hanging="207"/>
      </w:pPr>
      <w:rPr>
        <w:rFonts w:hint="default"/>
        <w:lang w:val="en-US" w:eastAsia="en-US" w:bidi="ar-SA"/>
      </w:rPr>
    </w:lvl>
    <w:lvl w:ilvl="6">
      <w:start w:val="0"/>
      <w:numFmt w:val="bullet"/>
      <w:lvlText w:val="•"/>
      <w:lvlJc w:val="left"/>
      <w:pPr>
        <w:ind w:left="7212" w:hanging="207"/>
      </w:pPr>
      <w:rPr>
        <w:rFonts w:hint="default"/>
        <w:lang w:val="en-US" w:eastAsia="en-US" w:bidi="ar-SA"/>
      </w:rPr>
    </w:lvl>
    <w:lvl w:ilvl="7">
      <w:start w:val="0"/>
      <w:numFmt w:val="bullet"/>
      <w:lvlText w:val="•"/>
      <w:lvlJc w:val="left"/>
      <w:pPr>
        <w:ind w:left="8354" w:hanging="207"/>
      </w:pPr>
      <w:rPr>
        <w:rFonts w:hint="default"/>
        <w:lang w:val="en-US" w:eastAsia="en-US" w:bidi="ar-SA"/>
      </w:rPr>
    </w:lvl>
    <w:lvl w:ilvl="8">
      <w:start w:val="0"/>
      <w:numFmt w:val="bullet"/>
      <w:lvlText w:val="•"/>
      <w:lvlJc w:val="left"/>
      <w:pPr>
        <w:ind w:left="9496" w:hanging="207"/>
      </w:pPr>
      <w:rPr>
        <w:rFonts w:hint="default"/>
        <w:lang w:val="en-US" w:eastAsia="en-US" w:bidi="ar-SA"/>
      </w:rPr>
    </w:lvl>
  </w:abstractNum>
  <w:abstractNum w:abstractNumId="40">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39">
    <w:multiLevelType w:val="hybridMultilevel"/>
    <w:lvl w:ilvl="0">
      <w:start w:val="4"/>
      <w:numFmt w:val="decimal"/>
      <w:lvlText w:val="%1."/>
      <w:lvlJc w:val="left"/>
      <w:pPr>
        <w:ind w:left="363" w:hanging="207"/>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02" w:hanging="207"/>
      </w:pPr>
      <w:rPr>
        <w:rFonts w:hint="default"/>
        <w:lang w:val="en-US" w:eastAsia="en-US" w:bidi="ar-SA"/>
      </w:rPr>
    </w:lvl>
    <w:lvl w:ilvl="2">
      <w:start w:val="0"/>
      <w:numFmt w:val="bullet"/>
      <w:lvlText w:val="•"/>
      <w:lvlJc w:val="left"/>
      <w:pPr>
        <w:ind w:left="2644" w:hanging="207"/>
      </w:pPr>
      <w:rPr>
        <w:rFonts w:hint="default"/>
        <w:lang w:val="en-US" w:eastAsia="en-US" w:bidi="ar-SA"/>
      </w:rPr>
    </w:lvl>
    <w:lvl w:ilvl="3">
      <w:start w:val="0"/>
      <w:numFmt w:val="bullet"/>
      <w:lvlText w:val="•"/>
      <w:lvlJc w:val="left"/>
      <w:pPr>
        <w:ind w:left="3786" w:hanging="207"/>
      </w:pPr>
      <w:rPr>
        <w:rFonts w:hint="default"/>
        <w:lang w:val="en-US" w:eastAsia="en-US" w:bidi="ar-SA"/>
      </w:rPr>
    </w:lvl>
    <w:lvl w:ilvl="4">
      <w:start w:val="0"/>
      <w:numFmt w:val="bullet"/>
      <w:lvlText w:val="•"/>
      <w:lvlJc w:val="left"/>
      <w:pPr>
        <w:ind w:left="4928" w:hanging="207"/>
      </w:pPr>
      <w:rPr>
        <w:rFonts w:hint="default"/>
        <w:lang w:val="en-US" w:eastAsia="en-US" w:bidi="ar-SA"/>
      </w:rPr>
    </w:lvl>
    <w:lvl w:ilvl="5">
      <w:start w:val="0"/>
      <w:numFmt w:val="bullet"/>
      <w:lvlText w:val="•"/>
      <w:lvlJc w:val="left"/>
      <w:pPr>
        <w:ind w:left="6070" w:hanging="207"/>
      </w:pPr>
      <w:rPr>
        <w:rFonts w:hint="default"/>
        <w:lang w:val="en-US" w:eastAsia="en-US" w:bidi="ar-SA"/>
      </w:rPr>
    </w:lvl>
    <w:lvl w:ilvl="6">
      <w:start w:val="0"/>
      <w:numFmt w:val="bullet"/>
      <w:lvlText w:val="•"/>
      <w:lvlJc w:val="left"/>
      <w:pPr>
        <w:ind w:left="7212" w:hanging="207"/>
      </w:pPr>
      <w:rPr>
        <w:rFonts w:hint="default"/>
        <w:lang w:val="en-US" w:eastAsia="en-US" w:bidi="ar-SA"/>
      </w:rPr>
    </w:lvl>
    <w:lvl w:ilvl="7">
      <w:start w:val="0"/>
      <w:numFmt w:val="bullet"/>
      <w:lvlText w:val="•"/>
      <w:lvlJc w:val="left"/>
      <w:pPr>
        <w:ind w:left="8354" w:hanging="207"/>
      </w:pPr>
      <w:rPr>
        <w:rFonts w:hint="default"/>
        <w:lang w:val="en-US" w:eastAsia="en-US" w:bidi="ar-SA"/>
      </w:rPr>
    </w:lvl>
    <w:lvl w:ilvl="8">
      <w:start w:val="0"/>
      <w:numFmt w:val="bullet"/>
      <w:lvlText w:val="•"/>
      <w:lvlJc w:val="left"/>
      <w:pPr>
        <w:ind w:left="9496" w:hanging="207"/>
      </w:pPr>
      <w:rPr>
        <w:rFonts w:hint="default"/>
        <w:lang w:val="en-US" w:eastAsia="en-US" w:bidi="ar-SA"/>
      </w:rPr>
    </w:lvl>
  </w:abstractNum>
  <w:abstractNum w:abstractNumId="38">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37">
    <w:multiLevelType w:val="hybridMultilevel"/>
    <w:lvl w:ilvl="0">
      <w:start w:val="3"/>
      <w:numFmt w:val="decimal"/>
      <w:lvlText w:val="%1."/>
      <w:lvlJc w:val="left"/>
      <w:pPr>
        <w:ind w:left="363" w:hanging="207"/>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02" w:hanging="207"/>
      </w:pPr>
      <w:rPr>
        <w:rFonts w:hint="default"/>
        <w:lang w:val="en-US" w:eastAsia="en-US" w:bidi="ar-SA"/>
      </w:rPr>
    </w:lvl>
    <w:lvl w:ilvl="2">
      <w:start w:val="0"/>
      <w:numFmt w:val="bullet"/>
      <w:lvlText w:val="•"/>
      <w:lvlJc w:val="left"/>
      <w:pPr>
        <w:ind w:left="2644" w:hanging="207"/>
      </w:pPr>
      <w:rPr>
        <w:rFonts w:hint="default"/>
        <w:lang w:val="en-US" w:eastAsia="en-US" w:bidi="ar-SA"/>
      </w:rPr>
    </w:lvl>
    <w:lvl w:ilvl="3">
      <w:start w:val="0"/>
      <w:numFmt w:val="bullet"/>
      <w:lvlText w:val="•"/>
      <w:lvlJc w:val="left"/>
      <w:pPr>
        <w:ind w:left="3786" w:hanging="207"/>
      </w:pPr>
      <w:rPr>
        <w:rFonts w:hint="default"/>
        <w:lang w:val="en-US" w:eastAsia="en-US" w:bidi="ar-SA"/>
      </w:rPr>
    </w:lvl>
    <w:lvl w:ilvl="4">
      <w:start w:val="0"/>
      <w:numFmt w:val="bullet"/>
      <w:lvlText w:val="•"/>
      <w:lvlJc w:val="left"/>
      <w:pPr>
        <w:ind w:left="4928" w:hanging="207"/>
      </w:pPr>
      <w:rPr>
        <w:rFonts w:hint="default"/>
        <w:lang w:val="en-US" w:eastAsia="en-US" w:bidi="ar-SA"/>
      </w:rPr>
    </w:lvl>
    <w:lvl w:ilvl="5">
      <w:start w:val="0"/>
      <w:numFmt w:val="bullet"/>
      <w:lvlText w:val="•"/>
      <w:lvlJc w:val="left"/>
      <w:pPr>
        <w:ind w:left="6070" w:hanging="207"/>
      </w:pPr>
      <w:rPr>
        <w:rFonts w:hint="default"/>
        <w:lang w:val="en-US" w:eastAsia="en-US" w:bidi="ar-SA"/>
      </w:rPr>
    </w:lvl>
    <w:lvl w:ilvl="6">
      <w:start w:val="0"/>
      <w:numFmt w:val="bullet"/>
      <w:lvlText w:val="•"/>
      <w:lvlJc w:val="left"/>
      <w:pPr>
        <w:ind w:left="7212" w:hanging="207"/>
      </w:pPr>
      <w:rPr>
        <w:rFonts w:hint="default"/>
        <w:lang w:val="en-US" w:eastAsia="en-US" w:bidi="ar-SA"/>
      </w:rPr>
    </w:lvl>
    <w:lvl w:ilvl="7">
      <w:start w:val="0"/>
      <w:numFmt w:val="bullet"/>
      <w:lvlText w:val="•"/>
      <w:lvlJc w:val="left"/>
      <w:pPr>
        <w:ind w:left="8354" w:hanging="207"/>
      </w:pPr>
      <w:rPr>
        <w:rFonts w:hint="default"/>
        <w:lang w:val="en-US" w:eastAsia="en-US" w:bidi="ar-SA"/>
      </w:rPr>
    </w:lvl>
    <w:lvl w:ilvl="8">
      <w:start w:val="0"/>
      <w:numFmt w:val="bullet"/>
      <w:lvlText w:val="•"/>
      <w:lvlJc w:val="left"/>
      <w:pPr>
        <w:ind w:left="9496" w:hanging="207"/>
      </w:pPr>
      <w:rPr>
        <w:rFonts w:hint="default"/>
        <w:lang w:val="en-US" w:eastAsia="en-US" w:bidi="ar-SA"/>
      </w:rPr>
    </w:lvl>
  </w:abstractNum>
  <w:abstractNum w:abstractNumId="36">
    <w:multiLevelType w:val="hybridMultilevel"/>
    <w:lvl w:ilvl="0">
      <w:start w:val="3"/>
      <w:numFmt w:val="decimal"/>
      <w:lvlText w:val="%1."/>
      <w:lvlJc w:val="left"/>
      <w:pPr>
        <w:ind w:left="363" w:hanging="207"/>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02" w:hanging="207"/>
      </w:pPr>
      <w:rPr>
        <w:rFonts w:hint="default"/>
        <w:lang w:val="en-US" w:eastAsia="en-US" w:bidi="ar-SA"/>
      </w:rPr>
    </w:lvl>
    <w:lvl w:ilvl="2">
      <w:start w:val="0"/>
      <w:numFmt w:val="bullet"/>
      <w:lvlText w:val="•"/>
      <w:lvlJc w:val="left"/>
      <w:pPr>
        <w:ind w:left="2644" w:hanging="207"/>
      </w:pPr>
      <w:rPr>
        <w:rFonts w:hint="default"/>
        <w:lang w:val="en-US" w:eastAsia="en-US" w:bidi="ar-SA"/>
      </w:rPr>
    </w:lvl>
    <w:lvl w:ilvl="3">
      <w:start w:val="0"/>
      <w:numFmt w:val="bullet"/>
      <w:lvlText w:val="•"/>
      <w:lvlJc w:val="left"/>
      <w:pPr>
        <w:ind w:left="3786" w:hanging="207"/>
      </w:pPr>
      <w:rPr>
        <w:rFonts w:hint="default"/>
        <w:lang w:val="en-US" w:eastAsia="en-US" w:bidi="ar-SA"/>
      </w:rPr>
    </w:lvl>
    <w:lvl w:ilvl="4">
      <w:start w:val="0"/>
      <w:numFmt w:val="bullet"/>
      <w:lvlText w:val="•"/>
      <w:lvlJc w:val="left"/>
      <w:pPr>
        <w:ind w:left="4928" w:hanging="207"/>
      </w:pPr>
      <w:rPr>
        <w:rFonts w:hint="default"/>
        <w:lang w:val="en-US" w:eastAsia="en-US" w:bidi="ar-SA"/>
      </w:rPr>
    </w:lvl>
    <w:lvl w:ilvl="5">
      <w:start w:val="0"/>
      <w:numFmt w:val="bullet"/>
      <w:lvlText w:val="•"/>
      <w:lvlJc w:val="left"/>
      <w:pPr>
        <w:ind w:left="6070" w:hanging="207"/>
      </w:pPr>
      <w:rPr>
        <w:rFonts w:hint="default"/>
        <w:lang w:val="en-US" w:eastAsia="en-US" w:bidi="ar-SA"/>
      </w:rPr>
    </w:lvl>
    <w:lvl w:ilvl="6">
      <w:start w:val="0"/>
      <w:numFmt w:val="bullet"/>
      <w:lvlText w:val="•"/>
      <w:lvlJc w:val="left"/>
      <w:pPr>
        <w:ind w:left="7212" w:hanging="207"/>
      </w:pPr>
      <w:rPr>
        <w:rFonts w:hint="default"/>
        <w:lang w:val="en-US" w:eastAsia="en-US" w:bidi="ar-SA"/>
      </w:rPr>
    </w:lvl>
    <w:lvl w:ilvl="7">
      <w:start w:val="0"/>
      <w:numFmt w:val="bullet"/>
      <w:lvlText w:val="•"/>
      <w:lvlJc w:val="left"/>
      <w:pPr>
        <w:ind w:left="8354" w:hanging="207"/>
      </w:pPr>
      <w:rPr>
        <w:rFonts w:hint="default"/>
        <w:lang w:val="en-US" w:eastAsia="en-US" w:bidi="ar-SA"/>
      </w:rPr>
    </w:lvl>
    <w:lvl w:ilvl="8">
      <w:start w:val="0"/>
      <w:numFmt w:val="bullet"/>
      <w:lvlText w:val="•"/>
      <w:lvlJc w:val="left"/>
      <w:pPr>
        <w:ind w:left="9496" w:hanging="207"/>
      </w:pPr>
      <w:rPr>
        <w:rFonts w:hint="default"/>
        <w:lang w:val="en-US" w:eastAsia="en-US" w:bidi="ar-SA"/>
      </w:rPr>
    </w:lvl>
  </w:abstractNum>
  <w:abstractNum w:abstractNumId="35">
    <w:multiLevelType w:val="hybridMultilevel"/>
    <w:lvl w:ilvl="0">
      <w:start w:val="1"/>
      <w:numFmt w:val="decimal"/>
      <w:lvlText w:val="%1."/>
      <w:lvlJc w:val="left"/>
      <w:pPr>
        <w:ind w:left="363" w:hanging="207"/>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02" w:hanging="207"/>
      </w:pPr>
      <w:rPr>
        <w:rFonts w:hint="default"/>
        <w:lang w:val="en-US" w:eastAsia="en-US" w:bidi="ar-SA"/>
      </w:rPr>
    </w:lvl>
    <w:lvl w:ilvl="2">
      <w:start w:val="0"/>
      <w:numFmt w:val="bullet"/>
      <w:lvlText w:val="•"/>
      <w:lvlJc w:val="left"/>
      <w:pPr>
        <w:ind w:left="2644" w:hanging="207"/>
      </w:pPr>
      <w:rPr>
        <w:rFonts w:hint="default"/>
        <w:lang w:val="en-US" w:eastAsia="en-US" w:bidi="ar-SA"/>
      </w:rPr>
    </w:lvl>
    <w:lvl w:ilvl="3">
      <w:start w:val="0"/>
      <w:numFmt w:val="bullet"/>
      <w:lvlText w:val="•"/>
      <w:lvlJc w:val="left"/>
      <w:pPr>
        <w:ind w:left="3786" w:hanging="207"/>
      </w:pPr>
      <w:rPr>
        <w:rFonts w:hint="default"/>
        <w:lang w:val="en-US" w:eastAsia="en-US" w:bidi="ar-SA"/>
      </w:rPr>
    </w:lvl>
    <w:lvl w:ilvl="4">
      <w:start w:val="0"/>
      <w:numFmt w:val="bullet"/>
      <w:lvlText w:val="•"/>
      <w:lvlJc w:val="left"/>
      <w:pPr>
        <w:ind w:left="4928" w:hanging="207"/>
      </w:pPr>
      <w:rPr>
        <w:rFonts w:hint="default"/>
        <w:lang w:val="en-US" w:eastAsia="en-US" w:bidi="ar-SA"/>
      </w:rPr>
    </w:lvl>
    <w:lvl w:ilvl="5">
      <w:start w:val="0"/>
      <w:numFmt w:val="bullet"/>
      <w:lvlText w:val="•"/>
      <w:lvlJc w:val="left"/>
      <w:pPr>
        <w:ind w:left="6070" w:hanging="207"/>
      </w:pPr>
      <w:rPr>
        <w:rFonts w:hint="default"/>
        <w:lang w:val="en-US" w:eastAsia="en-US" w:bidi="ar-SA"/>
      </w:rPr>
    </w:lvl>
    <w:lvl w:ilvl="6">
      <w:start w:val="0"/>
      <w:numFmt w:val="bullet"/>
      <w:lvlText w:val="•"/>
      <w:lvlJc w:val="left"/>
      <w:pPr>
        <w:ind w:left="7212" w:hanging="207"/>
      </w:pPr>
      <w:rPr>
        <w:rFonts w:hint="default"/>
        <w:lang w:val="en-US" w:eastAsia="en-US" w:bidi="ar-SA"/>
      </w:rPr>
    </w:lvl>
    <w:lvl w:ilvl="7">
      <w:start w:val="0"/>
      <w:numFmt w:val="bullet"/>
      <w:lvlText w:val="•"/>
      <w:lvlJc w:val="left"/>
      <w:pPr>
        <w:ind w:left="8354" w:hanging="207"/>
      </w:pPr>
      <w:rPr>
        <w:rFonts w:hint="default"/>
        <w:lang w:val="en-US" w:eastAsia="en-US" w:bidi="ar-SA"/>
      </w:rPr>
    </w:lvl>
    <w:lvl w:ilvl="8">
      <w:start w:val="0"/>
      <w:numFmt w:val="bullet"/>
      <w:lvlText w:val="•"/>
      <w:lvlJc w:val="left"/>
      <w:pPr>
        <w:ind w:left="9496" w:hanging="207"/>
      </w:pPr>
      <w:rPr>
        <w:rFonts w:hint="default"/>
        <w:lang w:val="en-US" w:eastAsia="en-US" w:bidi="ar-SA"/>
      </w:rPr>
    </w:lvl>
  </w:abstractNum>
  <w:abstractNum w:abstractNumId="34">
    <w:multiLevelType w:val="hybridMultilevel"/>
    <w:lvl w:ilvl="0">
      <w:start w:val="1"/>
      <w:numFmt w:val="decimal"/>
      <w:lvlText w:val="%1."/>
      <w:lvlJc w:val="left"/>
      <w:pPr>
        <w:ind w:left="363" w:hanging="207"/>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02" w:hanging="207"/>
      </w:pPr>
      <w:rPr>
        <w:rFonts w:hint="default"/>
        <w:lang w:val="en-US" w:eastAsia="en-US" w:bidi="ar-SA"/>
      </w:rPr>
    </w:lvl>
    <w:lvl w:ilvl="2">
      <w:start w:val="0"/>
      <w:numFmt w:val="bullet"/>
      <w:lvlText w:val="•"/>
      <w:lvlJc w:val="left"/>
      <w:pPr>
        <w:ind w:left="2644" w:hanging="207"/>
      </w:pPr>
      <w:rPr>
        <w:rFonts w:hint="default"/>
        <w:lang w:val="en-US" w:eastAsia="en-US" w:bidi="ar-SA"/>
      </w:rPr>
    </w:lvl>
    <w:lvl w:ilvl="3">
      <w:start w:val="0"/>
      <w:numFmt w:val="bullet"/>
      <w:lvlText w:val="•"/>
      <w:lvlJc w:val="left"/>
      <w:pPr>
        <w:ind w:left="3786" w:hanging="207"/>
      </w:pPr>
      <w:rPr>
        <w:rFonts w:hint="default"/>
        <w:lang w:val="en-US" w:eastAsia="en-US" w:bidi="ar-SA"/>
      </w:rPr>
    </w:lvl>
    <w:lvl w:ilvl="4">
      <w:start w:val="0"/>
      <w:numFmt w:val="bullet"/>
      <w:lvlText w:val="•"/>
      <w:lvlJc w:val="left"/>
      <w:pPr>
        <w:ind w:left="4928" w:hanging="207"/>
      </w:pPr>
      <w:rPr>
        <w:rFonts w:hint="default"/>
        <w:lang w:val="en-US" w:eastAsia="en-US" w:bidi="ar-SA"/>
      </w:rPr>
    </w:lvl>
    <w:lvl w:ilvl="5">
      <w:start w:val="0"/>
      <w:numFmt w:val="bullet"/>
      <w:lvlText w:val="•"/>
      <w:lvlJc w:val="left"/>
      <w:pPr>
        <w:ind w:left="6070" w:hanging="207"/>
      </w:pPr>
      <w:rPr>
        <w:rFonts w:hint="default"/>
        <w:lang w:val="en-US" w:eastAsia="en-US" w:bidi="ar-SA"/>
      </w:rPr>
    </w:lvl>
    <w:lvl w:ilvl="6">
      <w:start w:val="0"/>
      <w:numFmt w:val="bullet"/>
      <w:lvlText w:val="•"/>
      <w:lvlJc w:val="left"/>
      <w:pPr>
        <w:ind w:left="7212" w:hanging="207"/>
      </w:pPr>
      <w:rPr>
        <w:rFonts w:hint="default"/>
        <w:lang w:val="en-US" w:eastAsia="en-US" w:bidi="ar-SA"/>
      </w:rPr>
    </w:lvl>
    <w:lvl w:ilvl="7">
      <w:start w:val="0"/>
      <w:numFmt w:val="bullet"/>
      <w:lvlText w:val="•"/>
      <w:lvlJc w:val="left"/>
      <w:pPr>
        <w:ind w:left="8354" w:hanging="207"/>
      </w:pPr>
      <w:rPr>
        <w:rFonts w:hint="default"/>
        <w:lang w:val="en-US" w:eastAsia="en-US" w:bidi="ar-SA"/>
      </w:rPr>
    </w:lvl>
    <w:lvl w:ilvl="8">
      <w:start w:val="0"/>
      <w:numFmt w:val="bullet"/>
      <w:lvlText w:val="•"/>
      <w:lvlJc w:val="left"/>
      <w:pPr>
        <w:ind w:left="9496" w:hanging="207"/>
      </w:pPr>
      <w:rPr>
        <w:rFonts w:hint="default"/>
        <w:lang w:val="en-US" w:eastAsia="en-US" w:bidi="ar-SA"/>
      </w:rPr>
    </w:lvl>
  </w:abstractNum>
  <w:abstractNum w:abstractNumId="33">
    <w:multiLevelType w:val="hybridMultilevel"/>
    <w:lvl w:ilvl="0">
      <w:start w:val="1"/>
      <w:numFmt w:val="decimal"/>
      <w:lvlText w:val="%1."/>
      <w:lvlJc w:val="left"/>
      <w:pPr>
        <w:ind w:left="363" w:hanging="207"/>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02" w:hanging="207"/>
      </w:pPr>
      <w:rPr>
        <w:rFonts w:hint="default"/>
        <w:lang w:val="en-US" w:eastAsia="en-US" w:bidi="ar-SA"/>
      </w:rPr>
    </w:lvl>
    <w:lvl w:ilvl="2">
      <w:start w:val="0"/>
      <w:numFmt w:val="bullet"/>
      <w:lvlText w:val="•"/>
      <w:lvlJc w:val="left"/>
      <w:pPr>
        <w:ind w:left="2644" w:hanging="207"/>
      </w:pPr>
      <w:rPr>
        <w:rFonts w:hint="default"/>
        <w:lang w:val="en-US" w:eastAsia="en-US" w:bidi="ar-SA"/>
      </w:rPr>
    </w:lvl>
    <w:lvl w:ilvl="3">
      <w:start w:val="0"/>
      <w:numFmt w:val="bullet"/>
      <w:lvlText w:val="•"/>
      <w:lvlJc w:val="left"/>
      <w:pPr>
        <w:ind w:left="3786" w:hanging="207"/>
      </w:pPr>
      <w:rPr>
        <w:rFonts w:hint="default"/>
        <w:lang w:val="en-US" w:eastAsia="en-US" w:bidi="ar-SA"/>
      </w:rPr>
    </w:lvl>
    <w:lvl w:ilvl="4">
      <w:start w:val="0"/>
      <w:numFmt w:val="bullet"/>
      <w:lvlText w:val="•"/>
      <w:lvlJc w:val="left"/>
      <w:pPr>
        <w:ind w:left="4928" w:hanging="207"/>
      </w:pPr>
      <w:rPr>
        <w:rFonts w:hint="default"/>
        <w:lang w:val="en-US" w:eastAsia="en-US" w:bidi="ar-SA"/>
      </w:rPr>
    </w:lvl>
    <w:lvl w:ilvl="5">
      <w:start w:val="0"/>
      <w:numFmt w:val="bullet"/>
      <w:lvlText w:val="•"/>
      <w:lvlJc w:val="left"/>
      <w:pPr>
        <w:ind w:left="6070" w:hanging="207"/>
      </w:pPr>
      <w:rPr>
        <w:rFonts w:hint="default"/>
        <w:lang w:val="en-US" w:eastAsia="en-US" w:bidi="ar-SA"/>
      </w:rPr>
    </w:lvl>
    <w:lvl w:ilvl="6">
      <w:start w:val="0"/>
      <w:numFmt w:val="bullet"/>
      <w:lvlText w:val="•"/>
      <w:lvlJc w:val="left"/>
      <w:pPr>
        <w:ind w:left="7212" w:hanging="207"/>
      </w:pPr>
      <w:rPr>
        <w:rFonts w:hint="default"/>
        <w:lang w:val="en-US" w:eastAsia="en-US" w:bidi="ar-SA"/>
      </w:rPr>
    </w:lvl>
    <w:lvl w:ilvl="7">
      <w:start w:val="0"/>
      <w:numFmt w:val="bullet"/>
      <w:lvlText w:val="•"/>
      <w:lvlJc w:val="left"/>
      <w:pPr>
        <w:ind w:left="8354" w:hanging="207"/>
      </w:pPr>
      <w:rPr>
        <w:rFonts w:hint="default"/>
        <w:lang w:val="en-US" w:eastAsia="en-US" w:bidi="ar-SA"/>
      </w:rPr>
    </w:lvl>
    <w:lvl w:ilvl="8">
      <w:start w:val="0"/>
      <w:numFmt w:val="bullet"/>
      <w:lvlText w:val="•"/>
      <w:lvlJc w:val="left"/>
      <w:pPr>
        <w:ind w:left="9496" w:hanging="207"/>
      </w:pPr>
      <w:rPr>
        <w:rFonts w:hint="default"/>
        <w:lang w:val="en-US" w:eastAsia="en-US" w:bidi="ar-SA"/>
      </w:rPr>
    </w:lvl>
  </w:abstractNum>
  <w:abstractNum w:abstractNumId="32">
    <w:multiLevelType w:val="hybridMultilevel"/>
    <w:lvl w:ilvl="0">
      <w:start w:val="1"/>
      <w:numFmt w:val="decimal"/>
      <w:lvlText w:val="%1."/>
      <w:lvlJc w:val="left"/>
      <w:pPr>
        <w:ind w:left="363" w:hanging="207"/>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02" w:hanging="207"/>
      </w:pPr>
      <w:rPr>
        <w:rFonts w:hint="default"/>
        <w:lang w:val="en-US" w:eastAsia="en-US" w:bidi="ar-SA"/>
      </w:rPr>
    </w:lvl>
    <w:lvl w:ilvl="2">
      <w:start w:val="0"/>
      <w:numFmt w:val="bullet"/>
      <w:lvlText w:val="•"/>
      <w:lvlJc w:val="left"/>
      <w:pPr>
        <w:ind w:left="2644" w:hanging="207"/>
      </w:pPr>
      <w:rPr>
        <w:rFonts w:hint="default"/>
        <w:lang w:val="en-US" w:eastAsia="en-US" w:bidi="ar-SA"/>
      </w:rPr>
    </w:lvl>
    <w:lvl w:ilvl="3">
      <w:start w:val="0"/>
      <w:numFmt w:val="bullet"/>
      <w:lvlText w:val="•"/>
      <w:lvlJc w:val="left"/>
      <w:pPr>
        <w:ind w:left="3786" w:hanging="207"/>
      </w:pPr>
      <w:rPr>
        <w:rFonts w:hint="default"/>
        <w:lang w:val="en-US" w:eastAsia="en-US" w:bidi="ar-SA"/>
      </w:rPr>
    </w:lvl>
    <w:lvl w:ilvl="4">
      <w:start w:val="0"/>
      <w:numFmt w:val="bullet"/>
      <w:lvlText w:val="•"/>
      <w:lvlJc w:val="left"/>
      <w:pPr>
        <w:ind w:left="4928" w:hanging="207"/>
      </w:pPr>
      <w:rPr>
        <w:rFonts w:hint="default"/>
        <w:lang w:val="en-US" w:eastAsia="en-US" w:bidi="ar-SA"/>
      </w:rPr>
    </w:lvl>
    <w:lvl w:ilvl="5">
      <w:start w:val="0"/>
      <w:numFmt w:val="bullet"/>
      <w:lvlText w:val="•"/>
      <w:lvlJc w:val="left"/>
      <w:pPr>
        <w:ind w:left="6070" w:hanging="207"/>
      </w:pPr>
      <w:rPr>
        <w:rFonts w:hint="default"/>
        <w:lang w:val="en-US" w:eastAsia="en-US" w:bidi="ar-SA"/>
      </w:rPr>
    </w:lvl>
    <w:lvl w:ilvl="6">
      <w:start w:val="0"/>
      <w:numFmt w:val="bullet"/>
      <w:lvlText w:val="•"/>
      <w:lvlJc w:val="left"/>
      <w:pPr>
        <w:ind w:left="7212" w:hanging="207"/>
      </w:pPr>
      <w:rPr>
        <w:rFonts w:hint="default"/>
        <w:lang w:val="en-US" w:eastAsia="en-US" w:bidi="ar-SA"/>
      </w:rPr>
    </w:lvl>
    <w:lvl w:ilvl="7">
      <w:start w:val="0"/>
      <w:numFmt w:val="bullet"/>
      <w:lvlText w:val="•"/>
      <w:lvlJc w:val="left"/>
      <w:pPr>
        <w:ind w:left="8354" w:hanging="207"/>
      </w:pPr>
      <w:rPr>
        <w:rFonts w:hint="default"/>
        <w:lang w:val="en-US" w:eastAsia="en-US" w:bidi="ar-SA"/>
      </w:rPr>
    </w:lvl>
    <w:lvl w:ilvl="8">
      <w:start w:val="0"/>
      <w:numFmt w:val="bullet"/>
      <w:lvlText w:val="•"/>
      <w:lvlJc w:val="left"/>
      <w:pPr>
        <w:ind w:left="9496" w:hanging="207"/>
      </w:pPr>
      <w:rPr>
        <w:rFonts w:hint="default"/>
        <w:lang w:val="en-US" w:eastAsia="en-US" w:bidi="ar-SA"/>
      </w:rPr>
    </w:lvl>
  </w:abstractNum>
  <w:abstractNum w:abstractNumId="31">
    <w:multiLevelType w:val="hybridMultilevel"/>
    <w:lvl w:ilvl="0">
      <w:start w:val="1"/>
      <w:numFmt w:val="decimal"/>
      <w:lvlText w:val="%1."/>
      <w:lvlJc w:val="left"/>
      <w:pPr>
        <w:ind w:left="363" w:hanging="207"/>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02" w:hanging="207"/>
      </w:pPr>
      <w:rPr>
        <w:rFonts w:hint="default"/>
        <w:lang w:val="en-US" w:eastAsia="en-US" w:bidi="ar-SA"/>
      </w:rPr>
    </w:lvl>
    <w:lvl w:ilvl="2">
      <w:start w:val="0"/>
      <w:numFmt w:val="bullet"/>
      <w:lvlText w:val="•"/>
      <w:lvlJc w:val="left"/>
      <w:pPr>
        <w:ind w:left="2644" w:hanging="207"/>
      </w:pPr>
      <w:rPr>
        <w:rFonts w:hint="default"/>
        <w:lang w:val="en-US" w:eastAsia="en-US" w:bidi="ar-SA"/>
      </w:rPr>
    </w:lvl>
    <w:lvl w:ilvl="3">
      <w:start w:val="0"/>
      <w:numFmt w:val="bullet"/>
      <w:lvlText w:val="•"/>
      <w:lvlJc w:val="left"/>
      <w:pPr>
        <w:ind w:left="3786" w:hanging="207"/>
      </w:pPr>
      <w:rPr>
        <w:rFonts w:hint="default"/>
        <w:lang w:val="en-US" w:eastAsia="en-US" w:bidi="ar-SA"/>
      </w:rPr>
    </w:lvl>
    <w:lvl w:ilvl="4">
      <w:start w:val="0"/>
      <w:numFmt w:val="bullet"/>
      <w:lvlText w:val="•"/>
      <w:lvlJc w:val="left"/>
      <w:pPr>
        <w:ind w:left="4928" w:hanging="207"/>
      </w:pPr>
      <w:rPr>
        <w:rFonts w:hint="default"/>
        <w:lang w:val="en-US" w:eastAsia="en-US" w:bidi="ar-SA"/>
      </w:rPr>
    </w:lvl>
    <w:lvl w:ilvl="5">
      <w:start w:val="0"/>
      <w:numFmt w:val="bullet"/>
      <w:lvlText w:val="•"/>
      <w:lvlJc w:val="left"/>
      <w:pPr>
        <w:ind w:left="6070" w:hanging="207"/>
      </w:pPr>
      <w:rPr>
        <w:rFonts w:hint="default"/>
        <w:lang w:val="en-US" w:eastAsia="en-US" w:bidi="ar-SA"/>
      </w:rPr>
    </w:lvl>
    <w:lvl w:ilvl="6">
      <w:start w:val="0"/>
      <w:numFmt w:val="bullet"/>
      <w:lvlText w:val="•"/>
      <w:lvlJc w:val="left"/>
      <w:pPr>
        <w:ind w:left="7212" w:hanging="207"/>
      </w:pPr>
      <w:rPr>
        <w:rFonts w:hint="default"/>
        <w:lang w:val="en-US" w:eastAsia="en-US" w:bidi="ar-SA"/>
      </w:rPr>
    </w:lvl>
    <w:lvl w:ilvl="7">
      <w:start w:val="0"/>
      <w:numFmt w:val="bullet"/>
      <w:lvlText w:val="•"/>
      <w:lvlJc w:val="left"/>
      <w:pPr>
        <w:ind w:left="8354" w:hanging="207"/>
      </w:pPr>
      <w:rPr>
        <w:rFonts w:hint="default"/>
        <w:lang w:val="en-US" w:eastAsia="en-US" w:bidi="ar-SA"/>
      </w:rPr>
    </w:lvl>
    <w:lvl w:ilvl="8">
      <w:start w:val="0"/>
      <w:numFmt w:val="bullet"/>
      <w:lvlText w:val="•"/>
      <w:lvlJc w:val="left"/>
      <w:pPr>
        <w:ind w:left="9496" w:hanging="207"/>
      </w:pPr>
      <w:rPr>
        <w:rFonts w:hint="default"/>
        <w:lang w:val="en-US" w:eastAsia="en-US" w:bidi="ar-SA"/>
      </w:rPr>
    </w:lvl>
  </w:abstractNum>
  <w:abstractNum w:abstractNumId="30">
    <w:multiLevelType w:val="hybridMultilevel"/>
    <w:lvl w:ilvl="0">
      <w:start w:val="1"/>
      <w:numFmt w:val="decimal"/>
      <w:lvlText w:val="%1."/>
      <w:lvlJc w:val="left"/>
      <w:pPr>
        <w:ind w:left="363" w:hanging="207"/>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02" w:hanging="207"/>
      </w:pPr>
      <w:rPr>
        <w:rFonts w:hint="default"/>
        <w:lang w:val="en-US" w:eastAsia="en-US" w:bidi="ar-SA"/>
      </w:rPr>
    </w:lvl>
    <w:lvl w:ilvl="2">
      <w:start w:val="0"/>
      <w:numFmt w:val="bullet"/>
      <w:lvlText w:val="•"/>
      <w:lvlJc w:val="left"/>
      <w:pPr>
        <w:ind w:left="2644" w:hanging="207"/>
      </w:pPr>
      <w:rPr>
        <w:rFonts w:hint="default"/>
        <w:lang w:val="en-US" w:eastAsia="en-US" w:bidi="ar-SA"/>
      </w:rPr>
    </w:lvl>
    <w:lvl w:ilvl="3">
      <w:start w:val="0"/>
      <w:numFmt w:val="bullet"/>
      <w:lvlText w:val="•"/>
      <w:lvlJc w:val="left"/>
      <w:pPr>
        <w:ind w:left="3786" w:hanging="207"/>
      </w:pPr>
      <w:rPr>
        <w:rFonts w:hint="default"/>
        <w:lang w:val="en-US" w:eastAsia="en-US" w:bidi="ar-SA"/>
      </w:rPr>
    </w:lvl>
    <w:lvl w:ilvl="4">
      <w:start w:val="0"/>
      <w:numFmt w:val="bullet"/>
      <w:lvlText w:val="•"/>
      <w:lvlJc w:val="left"/>
      <w:pPr>
        <w:ind w:left="4928" w:hanging="207"/>
      </w:pPr>
      <w:rPr>
        <w:rFonts w:hint="default"/>
        <w:lang w:val="en-US" w:eastAsia="en-US" w:bidi="ar-SA"/>
      </w:rPr>
    </w:lvl>
    <w:lvl w:ilvl="5">
      <w:start w:val="0"/>
      <w:numFmt w:val="bullet"/>
      <w:lvlText w:val="•"/>
      <w:lvlJc w:val="left"/>
      <w:pPr>
        <w:ind w:left="6070" w:hanging="207"/>
      </w:pPr>
      <w:rPr>
        <w:rFonts w:hint="default"/>
        <w:lang w:val="en-US" w:eastAsia="en-US" w:bidi="ar-SA"/>
      </w:rPr>
    </w:lvl>
    <w:lvl w:ilvl="6">
      <w:start w:val="0"/>
      <w:numFmt w:val="bullet"/>
      <w:lvlText w:val="•"/>
      <w:lvlJc w:val="left"/>
      <w:pPr>
        <w:ind w:left="7212" w:hanging="207"/>
      </w:pPr>
      <w:rPr>
        <w:rFonts w:hint="default"/>
        <w:lang w:val="en-US" w:eastAsia="en-US" w:bidi="ar-SA"/>
      </w:rPr>
    </w:lvl>
    <w:lvl w:ilvl="7">
      <w:start w:val="0"/>
      <w:numFmt w:val="bullet"/>
      <w:lvlText w:val="•"/>
      <w:lvlJc w:val="left"/>
      <w:pPr>
        <w:ind w:left="8354" w:hanging="207"/>
      </w:pPr>
      <w:rPr>
        <w:rFonts w:hint="default"/>
        <w:lang w:val="en-US" w:eastAsia="en-US" w:bidi="ar-SA"/>
      </w:rPr>
    </w:lvl>
    <w:lvl w:ilvl="8">
      <w:start w:val="0"/>
      <w:numFmt w:val="bullet"/>
      <w:lvlText w:val="•"/>
      <w:lvlJc w:val="left"/>
      <w:pPr>
        <w:ind w:left="9496" w:hanging="207"/>
      </w:pPr>
      <w:rPr>
        <w:rFonts w:hint="default"/>
        <w:lang w:val="en-US" w:eastAsia="en-US" w:bidi="ar-SA"/>
      </w:rPr>
    </w:lvl>
  </w:abstractNum>
  <w:abstractNum w:abstractNumId="29">
    <w:multiLevelType w:val="hybridMultilevel"/>
    <w:lvl w:ilvl="0">
      <w:start w:val="1"/>
      <w:numFmt w:val="decimal"/>
      <w:lvlText w:val="%1."/>
      <w:lvlJc w:val="left"/>
      <w:pPr>
        <w:ind w:left="363" w:hanging="207"/>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0"/>
      <w:numFmt w:val="bullet"/>
      <w:lvlText w:val="•"/>
      <w:lvlJc w:val="left"/>
      <w:pPr>
        <w:ind w:left="1502" w:hanging="207"/>
      </w:pPr>
      <w:rPr>
        <w:rFonts w:hint="default"/>
        <w:lang w:val="en-US" w:eastAsia="en-US" w:bidi="ar-SA"/>
      </w:rPr>
    </w:lvl>
    <w:lvl w:ilvl="2">
      <w:start w:val="0"/>
      <w:numFmt w:val="bullet"/>
      <w:lvlText w:val="•"/>
      <w:lvlJc w:val="left"/>
      <w:pPr>
        <w:ind w:left="2644" w:hanging="207"/>
      </w:pPr>
      <w:rPr>
        <w:rFonts w:hint="default"/>
        <w:lang w:val="en-US" w:eastAsia="en-US" w:bidi="ar-SA"/>
      </w:rPr>
    </w:lvl>
    <w:lvl w:ilvl="3">
      <w:start w:val="0"/>
      <w:numFmt w:val="bullet"/>
      <w:lvlText w:val="•"/>
      <w:lvlJc w:val="left"/>
      <w:pPr>
        <w:ind w:left="3786" w:hanging="207"/>
      </w:pPr>
      <w:rPr>
        <w:rFonts w:hint="default"/>
        <w:lang w:val="en-US" w:eastAsia="en-US" w:bidi="ar-SA"/>
      </w:rPr>
    </w:lvl>
    <w:lvl w:ilvl="4">
      <w:start w:val="0"/>
      <w:numFmt w:val="bullet"/>
      <w:lvlText w:val="•"/>
      <w:lvlJc w:val="left"/>
      <w:pPr>
        <w:ind w:left="4928" w:hanging="207"/>
      </w:pPr>
      <w:rPr>
        <w:rFonts w:hint="default"/>
        <w:lang w:val="en-US" w:eastAsia="en-US" w:bidi="ar-SA"/>
      </w:rPr>
    </w:lvl>
    <w:lvl w:ilvl="5">
      <w:start w:val="0"/>
      <w:numFmt w:val="bullet"/>
      <w:lvlText w:val="•"/>
      <w:lvlJc w:val="left"/>
      <w:pPr>
        <w:ind w:left="6070" w:hanging="207"/>
      </w:pPr>
      <w:rPr>
        <w:rFonts w:hint="default"/>
        <w:lang w:val="en-US" w:eastAsia="en-US" w:bidi="ar-SA"/>
      </w:rPr>
    </w:lvl>
    <w:lvl w:ilvl="6">
      <w:start w:val="0"/>
      <w:numFmt w:val="bullet"/>
      <w:lvlText w:val="•"/>
      <w:lvlJc w:val="left"/>
      <w:pPr>
        <w:ind w:left="7212" w:hanging="207"/>
      </w:pPr>
      <w:rPr>
        <w:rFonts w:hint="default"/>
        <w:lang w:val="en-US" w:eastAsia="en-US" w:bidi="ar-SA"/>
      </w:rPr>
    </w:lvl>
    <w:lvl w:ilvl="7">
      <w:start w:val="0"/>
      <w:numFmt w:val="bullet"/>
      <w:lvlText w:val="•"/>
      <w:lvlJc w:val="left"/>
      <w:pPr>
        <w:ind w:left="8354" w:hanging="207"/>
      </w:pPr>
      <w:rPr>
        <w:rFonts w:hint="default"/>
        <w:lang w:val="en-US" w:eastAsia="en-US" w:bidi="ar-SA"/>
      </w:rPr>
    </w:lvl>
    <w:lvl w:ilvl="8">
      <w:start w:val="0"/>
      <w:numFmt w:val="bullet"/>
      <w:lvlText w:val="•"/>
      <w:lvlJc w:val="left"/>
      <w:pPr>
        <w:ind w:left="9496" w:hanging="207"/>
      </w:pPr>
      <w:rPr>
        <w:rFonts w:hint="default"/>
        <w:lang w:val="en-US" w:eastAsia="en-US" w:bidi="ar-SA"/>
      </w:rPr>
    </w:lvl>
  </w:abstractNum>
  <w:abstractNum w:abstractNumId="28">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27">
    <w:multiLevelType w:val="hybridMultilevel"/>
    <w:lvl w:ilvl="0">
      <w:start w:val="1"/>
      <w:numFmt w:val="decimal"/>
      <w:lvlText w:val="%1."/>
      <w:lvlJc w:val="left"/>
      <w:pPr>
        <w:ind w:left="2029" w:hanging="574"/>
        <w:jc w:val="left"/>
      </w:pPr>
      <w:rPr>
        <w:rFonts w:hint="default" w:ascii="Times New Roman" w:hAnsi="Times New Roman" w:eastAsia="Times New Roman" w:cs="Times New Roman"/>
        <w:b w:val="0"/>
        <w:bCs w:val="0"/>
        <w:i w:val="0"/>
        <w:iCs w:val="0"/>
        <w:color w:val="0000FF"/>
        <w:spacing w:val="0"/>
        <w:w w:val="103"/>
        <w:sz w:val="16"/>
        <w:szCs w:val="16"/>
        <w:u w:val="single" w:color="0000FF"/>
        <w:lang w:val="en-US" w:eastAsia="en-US" w:bidi="ar-SA"/>
      </w:rPr>
    </w:lvl>
    <w:lvl w:ilvl="1">
      <w:start w:val="0"/>
      <w:numFmt w:val="bullet"/>
      <w:lvlText w:val="•"/>
      <w:lvlJc w:val="left"/>
      <w:pPr>
        <w:ind w:left="2996" w:hanging="574"/>
      </w:pPr>
      <w:rPr>
        <w:rFonts w:hint="default"/>
        <w:lang w:val="en-US" w:eastAsia="en-US" w:bidi="ar-SA"/>
      </w:rPr>
    </w:lvl>
    <w:lvl w:ilvl="2">
      <w:start w:val="0"/>
      <w:numFmt w:val="bullet"/>
      <w:lvlText w:val="•"/>
      <w:lvlJc w:val="left"/>
      <w:pPr>
        <w:ind w:left="3972" w:hanging="574"/>
      </w:pPr>
      <w:rPr>
        <w:rFonts w:hint="default"/>
        <w:lang w:val="en-US" w:eastAsia="en-US" w:bidi="ar-SA"/>
      </w:rPr>
    </w:lvl>
    <w:lvl w:ilvl="3">
      <w:start w:val="0"/>
      <w:numFmt w:val="bullet"/>
      <w:lvlText w:val="•"/>
      <w:lvlJc w:val="left"/>
      <w:pPr>
        <w:ind w:left="4948" w:hanging="574"/>
      </w:pPr>
      <w:rPr>
        <w:rFonts w:hint="default"/>
        <w:lang w:val="en-US" w:eastAsia="en-US" w:bidi="ar-SA"/>
      </w:rPr>
    </w:lvl>
    <w:lvl w:ilvl="4">
      <w:start w:val="0"/>
      <w:numFmt w:val="bullet"/>
      <w:lvlText w:val="•"/>
      <w:lvlJc w:val="left"/>
      <w:pPr>
        <w:ind w:left="5924" w:hanging="574"/>
      </w:pPr>
      <w:rPr>
        <w:rFonts w:hint="default"/>
        <w:lang w:val="en-US" w:eastAsia="en-US" w:bidi="ar-SA"/>
      </w:rPr>
    </w:lvl>
    <w:lvl w:ilvl="5">
      <w:start w:val="0"/>
      <w:numFmt w:val="bullet"/>
      <w:lvlText w:val="•"/>
      <w:lvlJc w:val="left"/>
      <w:pPr>
        <w:ind w:left="6900" w:hanging="574"/>
      </w:pPr>
      <w:rPr>
        <w:rFonts w:hint="default"/>
        <w:lang w:val="en-US" w:eastAsia="en-US" w:bidi="ar-SA"/>
      </w:rPr>
    </w:lvl>
    <w:lvl w:ilvl="6">
      <w:start w:val="0"/>
      <w:numFmt w:val="bullet"/>
      <w:lvlText w:val="•"/>
      <w:lvlJc w:val="left"/>
      <w:pPr>
        <w:ind w:left="7876" w:hanging="574"/>
      </w:pPr>
      <w:rPr>
        <w:rFonts w:hint="default"/>
        <w:lang w:val="en-US" w:eastAsia="en-US" w:bidi="ar-SA"/>
      </w:rPr>
    </w:lvl>
    <w:lvl w:ilvl="7">
      <w:start w:val="0"/>
      <w:numFmt w:val="bullet"/>
      <w:lvlText w:val="•"/>
      <w:lvlJc w:val="left"/>
      <w:pPr>
        <w:ind w:left="8852" w:hanging="574"/>
      </w:pPr>
      <w:rPr>
        <w:rFonts w:hint="default"/>
        <w:lang w:val="en-US" w:eastAsia="en-US" w:bidi="ar-SA"/>
      </w:rPr>
    </w:lvl>
    <w:lvl w:ilvl="8">
      <w:start w:val="0"/>
      <w:numFmt w:val="bullet"/>
      <w:lvlText w:val="•"/>
      <w:lvlJc w:val="left"/>
      <w:pPr>
        <w:ind w:left="9828" w:hanging="574"/>
      </w:pPr>
      <w:rPr>
        <w:rFonts w:hint="default"/>
        <w:lang w:val="en-US" w:eastAsia="en-US" w:bidi="ar-SA"/>
      </w:rPr>
    </w:lvl>
  </w:abstractNum>
  <w:abstractNum w:abstractNumId="26">
    <w:multiLevelType w:val="hybridMultilevel"/>
    <w:lvl w:ilvl="0">
      <w:start w:val="31"/>
      <w:numFmt w:val="decimal"/>
      <w:lvlText w:val="%1"/>
      <w:lvlJc w:val="left"/>
      <w:pPr>
        <w:ind w:left="1659" w:hanging="1032"/>
        <w:jc w:val="left"/>
      </w:pPr>
      <w:rPr>
        <w:rFonts w:hint="default"/>
        <w:lang w:val="en-US" w:eastAsia="en-US" w:bidi="ar-SA"/>
      </w:rPr>
    </w:lvl>
    <w:lvl w:ilvl="1">
      <w:start w:val="1"/>
      <w:numFmt w:val="decimal"/>
      <w:lvlText w:val="%1.%2"/>
      <w:lvlJc w:val="left"/>
      <w:pPr>
        <w:ind w:left="1659" w:hanging="1032"/>
        <w:jc w:val="left"/>
      </w:pPr>
      <w:rPr>
        <w:rFonts w:hint="default" w:ascii="Times New Roman" w:hAnsi="Times New Roman" w:eastAsia="Times New Roman" w:cs="Times New Roman"/>
        <w:b w:val="0"/>
        <w:bCs w:val="0"/>
        <w:i w:val="0"/>
        <w:iCs w:val="0"/>
        <w:color w:val="0000FF"/>
        <w:spacing w:val="0"/>
        <w:w w:val="103"/>
        <w:sz w:val="16"/>
        <w:szCs w:val="16"/>
        <w:u w:val="single" w:color="0000FF"/>
        <w:lang w:val="en-US" w:eastAsia="en-US" w:bidi="ar-SA"/>
      </w:rPr>
    </w:lvl>
    <w:lvl w:ilvl="2">
      <w:start w:val="0"/>
      <w:numFmt w:val="bullet"/>
      <w:lvlText w:val="•"/>
      <w:lvlJc w:val="left"/>
      <w:pPr>
        <w:ind w:left="3684" w:hanging="1032"/>
      </w:pPr>
      <w:rPr>
        <w:rFonts w:hint="default"/>
        <w:lang w:val="en-US" w:eastAsia="en-US" w:bidi="ar-SA"/>
      </w:rPr>
    </w:lvl>
    <w:lvl w:ilvl="3">
      <w:start w:val="0"/>
      <w:numFmt w:val="bullet"/>
      <w:lvlText w:val="•"/>
      <w:lvlJc w:val="left"/>
      <w:pPr>
        <w:ind w:left="4696" w:hanging="1032"/>
      </w:pPr>
      <w:rPr>
        <w:rFonts w:hint="default"/>
        <w:lang w:val="en-US" w:eastAsia="en-US" w:bidi="ar-SA"/>
      </w:rPr>
    </w:lvl>
    <w:lvl w:ilvl="4">
      <w:start w:val="0"/>
      <w:numFmt w:val="bullet"/>
      <w:lvlText w:val="•"/>
      <w:lvlJc w:val="left"/>
      <w:pPr>
        <w:ind w:left="5708" w:hanging="1032"/>
      </w:pPr>
      <w:rPr>
        <w:rFonts w:hint="default"/>
        <w:lang w:val="en-US" w:eastAsia="en-US" w:bidi="ar-SA"/>
      </w:rPr>
    </w:lvl>
    <w:lvl w:ilvl="5">
      <w:start w:val="0"/>
      <w:numFmt w:val="bullet"/>
      <w:lvlText w:val="•"/>
      <w:lvlJc w:val="left"/>
      <w:pPr>
        <w:ind w:left="6720" w:hanging="1032"/>
      </w:pPr>
      <w:rPr>
        <w:rFonts w:hint="default"/>
        <w:lang w:val="en-US" w:eastAsia="en-US" w:bidi="ar-SA"/>
      </w:rPr>
    </w:lvl>
    <w:lvl w:ilvl="6">
      <w:start w:val="0"/>
      <w:numFmt w:val="bullet"/>
      <w:lvlText w:val="•"/>
      <w:lvlJc w:val="left"/>
      <w:pPr>
        <w:ind w:left="7732" w:hanging="1032"/>
      </w:pPr>
      <w:rPr>
        <w:rFonts w:hint="default"/>
        <w:lang w:val="en-US" w:eastAsia="en-US" w:bidi="ar-SA"/>
      </w:rPr>
    </w:lvl>
    <w:lvl w:ilvl="7">
      <w:start w:val="0"/>
      <w:numFmt w:val="bullet"/>
      <w:lvlText w:val="•"/>
      <w:lvlJc w:val="left"/>
      <w:pPr>
        <w:ind w:left="8744" w:hanging="1032"/>
      </w:pPr>
      <w:rPr>
        <w:rFonts w:hint="default"/>
        <w:lang w:val="en-US" w:eastAsia="en-US" w:bidi="ar-SA"/>
      </w:rPr>
    </w:lvl>
    <w:lvl w:ilvl="8">
      <w:start w:val="0"/>
      <w:numFmt w:val="bullet"/>
      <w:lvlText w:val="•"/>
      <w:lvlJc w:val="left"/>
      <w:pPr>
        <w:ind w:left="9756" w:hanging="1032"/>
      </w:pPr>
      <w:rPr>
        <w:rFonts w:hint="default"/>
        <w:lang w:val="en-US" w:eastAsia="en-US" w:bidi="ar-SA"/>
      </w:rPr>
    </w:lvl>
  </w:abstractNum>
  <w:abstractNum w:abstractNumId="25">
    <w:multiLevelType w:val="hybridMultilevel"/>
    <w:lvl w:ilvl="0">
      <w:start w:val="23"/>
      <w:numFmt w:val="decimal"/>
      <w:lvlText w:val="%1"/>
      <w:lvlJc w:val="left"/>
      <w:pPr>
        <w:ind w:left="1659" w:hanging="1032"/>
        <w:jc w:val="left"/>
      </w:pPr>
      <w:rPr>
        <w:rFonts w:hint="default" w:ascii="Times New Roman" w:hAnsi="Times New Roman" w:eastAsia="Times New Roman" w:cs="Times New Roman"/>
        <w:b w:val="0"/>
        <w:bCs w:val="0"/>
        <w:i w:val="0"/>
        <w:iCs w:val="0"/>
        <w:color w:val="0000FF"/>
        <w:spacing w:val="0"/>
        <w:w w:val="103"/>
        <w:sz w:val="16"/>
        <w:szCs w:val="16"/>
        <w:u w:val="single" w:color="0000FF"/>
        <w:lang w:val="en-US" w:eastAsia="en-US" w:bidi="ar-SA"/>
      </w:rPr>
    </w:lvl>
    <w:lvl w:ilvl="1">
      <w:start w:val="0"/>
      <w:numFmt w:val="bullet"/>
      <w:lvlText w:val="•"/>
      <w:lvlJc w:val="left"/>
      <w:pPr>
        <w:ind w:left="2672" w:hanging="1032"/>
      </w:pPr>
      <w:rPr>
        <w:rFonts w:hint="default"/>
        <w:lang w:val="en-US" w:eastAsia="en-US" w:bidi="ar-SA"/>
      </w:rPr>
    </w:lvl>
    <w:lvl w:ilvl="2">
      <w:start w:val="0"/>
      <w:numFmt w:val="bullet"/>
      <w:lvlText w:val="•"/>
      <w:lvlJc w:val="left"/>
      <w:pPr>
        <w:ind w:left="3684" w:hanging="1032"/>
      </w:pPr>
      <w:rPr>
        <w:rFonts w:hint="default"/>
        <w:lang w:val="en-US" w:eastAsia="en-US" w:bidi="ar-SA"/>
      </w:rPr>
    </w:lvl>
    <w:lvl w:ilvl="3">
      <w:start w:val="0"/>
      <w:numFmt w:val="bullet"/>
      <w:lvlText w:val="•"/>
      <w:lvlJc w:val="left"/>
      <w:pPr>
        <w:ind w:left="4696" w:hanging="1032"/>
      </w:pPr>
      <w:rPr>
        <w:rFonts w:hint="default"/>
        <w:lang w:val="en-US" w:eastAsia="en-US" w:bidi="ar-SA"/>
      </w:rPr>
    </w:lvl>
    <w:lvl w:ilvl="4">
      <w:start w:val="0"/>
      <w:numFmt w:val="bullet"/>
      <w:lvlText w:val="•"/>
      <w:lvlJc w:val="left"/>
      <w:pPr>
        <w:ind w:left="5708" w:hanging="1032"/>
      </w:pPr>
      <w:rPr>
        <w:rFonts w:hint="default"/>
        <w:lang w:val="en-US" w:eastAsia="en-US" w:bidi="ar-SA"/>
      </w:rPr>
    </w:lvl>
    <w:lvl w:ilvl="5">
      <w:start w:val="0"/>
      <w:numFmt w:val="bullet"/>
      <w:lvlText w:val="•"/>
      <w:lvlJc w:val="left"/>
      <w:pPr>
        <w:ind w:left="6720" w:hanging="1032"/>
      </w:pPr>
      <w:rPr>
        <w:rFonts w:hint="default"/>
        <w:lang w:val="en-US" w:eastAsia="en-US" w:bidi="ar-SA"/>
      </w:rPr>
    </w:lvl>
    <w:lvl w:ilvl="6">
      <w:start w:val="0"/>
      <w:numFmt w:val="bullet"/>
      <w:lvlText w:val="•"/>
      <w:lvlJc w:val="left"/>
      <w:pPr>
        <w:ind w:left="7732" w:hanging="1032"/>
      </w:pPr>
      <w:rPr>
        <w:rFonts w:hint="default"/>
        <w:lang w:val="en-US" w:eastAsia="en-US" w:bidi="ar-SA"/>
      </w:rPr>
    </w:lvl>
    <w:lvl w:ilvl="7">
      <w:start w:val="0"/>
      <w:numFmt w:val="bullet"/>
      <w:lvlText w:val="•"/>
      <w:lvlJc w:val="left"/>
      <w:pPr>
        <w:ind w:left="8744" w:hanging="1032"/>
      </w:pPr>
      <w:rPr>
        <w:rFonts w:hint="default"/>
        <w:lang w:val="en-US" w:eastAsia="en-US" w:bidi="ar-SA"/>
      </w:rPr>
    </w:lvl>
    <w:lvl w:ilvl="8">
      <w:start w:val="0"/>
      <w:numFmt w:val="bullet"/>
      <w:lvlText w:val="•"/>
      <w:lvlJc w:val="left"/>
      <w:pPr>
        <w:ind w:left="9756" w:hanging="1032"/>
      </w:pPr>
      <w:rPr>
        <w:rFonts w:hint="default"/>
        <w:lang w:val="en-US" w:eastAsia="en-US" w:bidi="ar-SA"/>
      </w:rPr>
    </w:lvl>
  </w:abstractNum>
  <w:abstractNum w:abstractNumId="24">
    <w:multiLevelType w:val="hybridMultilevel"/>
    <w:lvl w:ilvl="0">
      <w:start w:val="10"/>
      <w:numFmt w:val="decimal"/>
      <w:lvlText w:val="%1"/>
      <w:lvlJc w:val="left"/>
      <w:pPr>
        <w:ind w:left="1659" w:hanging="1032"/>
        <w:jc w:val="left"/>
      </w:pPr>
      <w:rPr>
        <w:rFonts w:hint="default"/>
        <w:lang w:val="en-US" w:eastAsia="en-US" w:bidi="ar-SA"/>
      </w:rPr>
    </w:lvl>
    <w:lvl w:ilvl="1">
      <w:start w:val="1"/>
      <w:numFmt w:val="decimal"/>
      <w:lvlText w:val="%1.%2"/>
      <w:lvlJc w:val="left"/>
      <w:pPr>
        <w:ind w:left="1659" w:hanging="1032"/>
        <w:jc w:val="left"/>
      </w:pPr>
      <w:rPr>
        <w:rFonts w:hint="default" w:ascii="Times New Roman" w:hAnsi="Times New Roman" w:eastAsia="Times New Roman" w:cs="Times New Roman"/>
        <w:b w:val="0"/>
        <w:bCs w:val="0"/>
        <w:i w:val="0"/>
        <w:iCs w:val="0"/>
        <w:color w:val="0000FF"/>
        <w:spacing w:val="0"/>
        <w:w w:val="103"/>
        <w:sz w:val="16"/>
        <w:szCs w:val="16"/>
        <w:u w:val="single" w:color="0000FF"/>
        <w:lang w:val="en-US" w:eastAsia="en-US" w:bidi="ar-SA"/>
      </w:rPr>
    </w:lvl>
    <w:lvl w:ilvl="2">
      <w:start w:val="0"/>
      <w:numFmt w:val="bullet"/>
      <w:lvlText w:val="•"/>
      <w:lvlJc w:val="left"/>
      <w:pPr>
        <w:ind w:left="3684" w:hanging="1032"/>
      </w:pPr>
      <w:rPr>
        <w:rFonts w:hint="default"/>
        <w:lang w:val="en-US" w:eastAsia="en-US" w:bidi="ar-SA"/>
      </w:rPr>
    </w:lvl>
    <w:lvl w:ilvl="3">
      <w:start w:val="0"/>
      <w:numFmt w:val="bullet"/>
      <w:lvlText w:val="•"/>
      <w:lvlJc w:val="left"/>
      <w:pPr>
        <w:ind w:left="4696" w:hanging="1032"/>
      </w:pPr>
      <w:rPr>
        <w:rFonts w:hint="default"/>
        <w:lang w:val="en-US" w:eastAsia="en-US" w:bidi="ar-SA"/>
      </w:rPr>
    </w:lvl>
    <w:lvl w:ilvl="4">
      <w:start w:val="0"/>
      <w:numFmt w:val="bullet"/>
      <w:lvlText w:val="•"/>
      <w:lvlJc w:val="left"/>
      <w:pPr>
        <w:ind w:left="5708" w:hanging="1032"/>
      </w:pPr>
      <w:rPr>
        <w:rFonts w:hint="default"/>
        <w:lang w:val="en-US" w:eastAsia="en-US" w:bidi="ar-SA"/>
      </w:rPr>
    </w:lvl>
    <w:lvl w:ilvl="5">
      <w:start w:val="0"/>
      <w:numFmt w:val="bullet"/>
      <w:lvlText w:val="•"/>
      <w:lvlJc w:val="left"/>
      <w:pPr>
        <w:ind w:left="6720" w:hanging="1032"/>
      </w:pPr>
      <w:rPr>
        <w:rFonts w:hint="default"/>
        <w:lang w:val="en-US" w:eastAsia="en-US" w:bidi="ar-SA"/>
      </w:rPr>
    </w:lvl>
    <w:lvl w:ilvl="6">
      <w:start w:val="0"/>
      <w:numFmt w:val="bullet"/>
      <w:lvlText w:val="•"/>
      <w:lvlJc w:val="left"/>
      <w:pPr>
        <w:ind w:left="7732" w:hanging="1032"/>
      </w:pPr>
      <w:rPr>
        <w:rFonts w:hint="default"/>
        <w:lang w:val="en-US" w:eastAsia="en-US" w:bidi="ar-SA"/>
      </w:rPr>
    </w:lvl>
    <w:lvl w:ilvl="7">
      <w:start w:val="0"/>
      <w:numFmt w:val="bullet"/>
      <w:lvlText w:val="•"/>
      <w:lvlJc w:val="left"/>
      <w:pPr>
        <w:ind w:left="8744" w:hanging="1032"/>
      </w:pPr>
      <w:rPr>
        <w:rFonts w:hint="default"/>
        <w:lang w:val="en-US" w:eastAsia="en-US" w:bidi="ar-SA"/>
      </w:rPr>
    </w:lvl>
    <w:lvl w:ilvl="8">
      <w:start w:val="0"/>
      <w:numFmt w:val="bullet"/>
      <w:lvlText w:val="•"/>
      <w:lvlJc w:val="left"/>
      <w:pPr>
        <w:ind w:left="9756" w:hanging="1032"/>
      </w:pPr>
      <w:rPr>
        <w:rFonts w:hint="default"/>
        <w:lang w:val="en-US" w:eastAsia="en-US" w:bidi="ar-SA"/>
      </w:rPr>
    </w:lvl>
  </w:abstractNum>
  <w:abstractNum w:abstractNumId="23">
    <w:multiLevelType w:val="hybridMultilevel"/>
    <w:lvl w:ilvl="0">
      <w:start w:val="4"/>
      <w:numFmt w:val="decimal"/>
      <w:lvlText w:val="%1"/>
      <w:lvlJc w:val="left"/>
      <w:pPr>
        <w:ind w:left="1659" w:hanging="1032"/>
        <w:jc w:val="left"/>
      </w:pPr>
      <w:rPr>
        <w:rFonts w:hint="default"/>
        <w:lang w:val="en-US" w:eastAsia="en-US" w:bidi="ar-SA"/>
      </w:rPr>
    </w:lvl>
    <w:lvl w:ilvl="1">
      <w:start w:val="1"/>
      <w:numFmt w:val="decimal"/>
      <w:lvlText w:val="%1.%2"/>
      <w:lvlJc w:val="left"/>
      <w:pPr>
        <w:ind w:left="1659" w:hanging="1032"/>
        <w:jc w:val="left"/>
      </w:pPr>
      <w:rPr>
        <w:rFonts w:hint="default" w:ascii="Times New Roman" w:hAnsi="Times New Roman" w:eastAsia="Times New Roman" w:cs="Times New Roman"/>
        <w:b w:val="0"/>
        <w:bCs w:val="0"/>
        <w:i w:val="0"/>
        <w:iCs w:val="0"/>
        <w:color w:val="0000FF"/>
        <w:spacing w:val="0"/>
        <w:w w:val="103"/>
        <w:sz w:val="16"/>
        <w:szCs w:val="16"/>
        <w:u w:val="single" w:color="0000FF"/>
        <w:lang w:val="en-US" w:eastAsia="en-US" w:bidi="ar-SA"/>
      </w:rPr>
    </w:lvl>
    <w:lvl w:ilvl="2">
      <w:start w:val="0"/>
      <w:numFmt w:val="bullet"/>
      <w:lvlText w:val="•"/>
      <w:lvlJc w:val="left"/>
      <w:pPr>
        <w:ind w:left="3684" w:hanging="1032"/>
      </w:pPr>
      <w:rPr>
        <w:rFonts w:hint="default"/>
        <w:lang w:val="en-US" w:eastAsia="en-US" w:bidi="ar-SA"/>
      </w:rPr>
    </w:lvl>
    <w:lvl w:ilvl="3">
      <w:start w:val="0"/>
      <w:numFmt w:val="bullet"/>
      <w:lvlText w:val="•"/>
      <w:lvlJc w:val="left"/>
      <w:pPr>
        <w:ind w:left="4696" w:hanging="1032"/>
      </w:pPr>
      <w:rPr>
        <w:rFonts w:hint="default"/>
        <w:lang w:val="en-US" w:eastAsia="en-US" w:bidi="ar-SA"/>
      </w:rPr>
    </w:lvl>
    <w:lvl w:ilvl="4">
      <w:start w:val="0"/>
      <w:numFmt w:val="bullet"/>
      <w:lvlText w:val="•"/>
      <w:lvlJc w:val="left"/>
      <w:pPr>
        <w:ind w:left="5708" w:hanging="1032"/>
      </w:pPr>
      <w:rPr>
        <w:rFonts w:hint="default"/>
        <w:lang w:val="en-US" w:eastAsia="en-US" w:bidi="ar-SA"/>
      </w:rPr>
    </w:lvl>
    <w:lvl w:ilvl="5">
      <w:start w:val="0"/>
      <w:numFmt w:val="bullet"/>
      <w:lvlText w:val="•"/>
      <w:lvlJc w:val="left"/>
      <w:pPr>
        <w:ind w:left="6720" w:hanging="1032"/>
      </w:pPr>
      <w:rPr>
        <w:rFonts w:hint="default"/>
        <w:lang w:val="en-US" w:eastAsia="en-US" w:bidi="ar-SA"/>
      </w:rPr>
    </w:lvl>
    <w:lvl w:ilvl="6">
      <w:start w:val="0"/>
      <w:numFmt w:val="bullet"/>
      <w:lvlText w:val="•"/>
      <w:lvlJc w:val="left"/>
      <w:pPr>
        <w:ind w:left="7732" w:hanging="1032"/>
      </w:pPr>
      <w:rPr>
        <w:rFonts w:hint="default"/>
        <w:lang w:val="en-US" w:eastAsia="en-US" w:bidi="ar-SA"/>
      </w:rPr>
    </w:lvl>
    <w:lvl w:ilvl="7">
      <w:start w:val="0"/>
      <w:numFmt w:val="bullet"/>
      <w:lvlText w:val="•"/>
      <w:lvlJc w:val="left"/>
      <w:pPr>
        <w:ind w:left="8744" w:hanging="1032"/>
      </w:pPr>
      <w:rPr>
        <w:rFonts w:hint="default"/>
        <w:lang w:val="en-US" w:eastAsia="en-US" w:bidi="ar-SA"/>
      </w:rPr>
    </w:lvl>
    <w:lvl w:ilvl="8">
      <w:start w:val="0"/>
      <w:numFmt w:val="bullet"/>
      <w:lvlText w:val="•"/>
      <w:lvlJc w:val="left"/>
      <w:pPr>
        <w:ind w:left="9756" w:hanging="1032"/>
      </w:pPr>
      <w:rPr>
        <w:rFonts w:hint="default"/>
        <w:lang w:val="en-US" w:eastAsia="en-US" w:bidi="ar-SA"/>
      </w:rPr>
    </w:lvl>
  </w:abstractNum>
  <w:abstractNum w:abstractNumId="22">
    <w:multiLevelType w:val="hybridMultilevel"/>
    <w:lvl w:ilvl="0">
      <w:start w:val="3"/>
      <w:numFmt w:val="decimal"/>
      <w:lvlText w:val="%1"/>
      <w:lvlJc w:val="left"/>
      <w:pPr>
        <w:ind w:left="1659" w:hanging="1032"/>
        <w:jc w:val="left"/>
      </w:pPr>
      <w:rPr>
        <w:rFonts w:hint="default"/>
        <w:lang w:val="en-US" w:eastAsia="en-US" w:bidi="ar-SA"/>
      </w:rPr>
    </w:lvl>
    <w:lvl w:ilvl="1">
      <w:start w:val="1"/>
      <w:numFmt w:val="decimal"/>
      <w:lvlText w:val="%1.%2"/>
      <w:lvlJc w:val="left"/>
      <w:pPr>
        <w:ind w:left="1659" w:hanging="1032"/>
        <w:jc w:val="left"/>
      </w:pPr>
      <w:rPr>
        <w:rFonts w:hint="default" w:ascii="Times New Roman" w:hAnsi="Times New Roman" w:eastAsia="Times New Roman" w:cs="Times New Roman"/>
        <w:b w:val="0"/>
        <w:bCs w:val="0"/>
        <w:i w:val="0"/>
        <w:iCs w:val="0"/>
        <w:color w:val="0000FF"/>
        <w:spacing w:val="0"/>
        <w:w w:val="103"/>
        <w:sz w:val="16"/>
        <w:szCs w:val="16"/>
        <w:u w:val="single" w:color="0000FF"/>
        <w:lang w:val="en-US" w:eastAsia="en-US" w:bidi="ar-SA"/>
      </w:rPr>
    </w:lvl>
    <w:lvl w:ilvl="2">
      <w:start w:val="0"/>
      <w:numFmt w:val="bullet"/>
      <w:lvlText w:val="•"/>
      <w:lvlJc w:val="left"/>
      <w:pPr>
        <w:ind w:left="3684" w:hanging="1032"/>
      </w:pPr>
      <w:rPr>
        <w:rFonts w:hint="default"/>
        <w:lang w:val="en-US" w:eastAsia="en-US" w:bidi="ar-SA"/>
      </w:rPr>
    </w:lvl>
    <w:lvl w:ilvl="3">
      <w:start w:val="0"/>
      <w:numFmt w:val="bullet"/>
      <w:lvlText w:val="•"/>
      <w:lvlJc w:val="left"/>
      <w:pPr>
        <w:ind w:left="4696" w:hanging="1032"/>
      </w:pPr>
      <w:rPr>
        <w:rFonts w:hint="default"/>
        <w:lang w:val="en-US" w:eastAsia="en-US" w:bidi="ar-SA"/>
      </w:rPr>
    </w:lvl>
    <w:lvl w:ilvl="4">
      <w:start w:val="0"/>
      <w:numFmt w:val="bullet"/>
      <w:lvlText w:val="•"/>
      <w:lvlJc w:val="left"/>
      <w:pPr>
        <w:ind w:left="5708" w:hanging="1032"/>
      </w:pPr>
      <w:rPr>
        <w:rFonts w:hint="default"/>
        <w:lang w:val="en-US" w:eastAsia="en-US" w:bidi="ar-SA"/>
      </w:rPr>
    </w:lvl>
    <w:lvl w:ilvl="5">
      <w:start w:val="0"/>
      <w:numFmt w:val="bullet"/>
      <w:lvlText w:val="•"/>
      <w:lvlJc w:val="left"/>
      <w:pPr>
        <w:ind w:left="6720" w:hanging="1032"/>
      </w:pPr>
      <w:rPr>
        <w:rFonts w:hint="default"/>
        <w:lang w:val="en-US" w:eastAsia="en-US" w:bidi="ar-SA"/>
      </w:rPr>
    </w:lvl>
    <w:lvl w:ilvl="6">
      <w:start w:val="0"/>
      <w:numFmt w:val="bullet"/>
      <w:lvlText w:val="•"/>
      <w:lvlJc w:val="left"/>
      <w:pPr>
        <w:ind w:left="7732" w:hanging="1032"/>
      </w:pPr>
      <w:rPr>
        <w:rFonts w:hint="default"/>
        <w:lang w:val="en-US" w:eastAsia="en-US" w:bidi="ar-SA"/>
      </w:rPr>
    </w:lvl>
    <w:lvl w:ilvl="7">
      <w:start w:val="0"/>
      <w:numFmt w:val="bullet"/>
      <w:lvlText w:val="•"/>
      <w:lvlJc w:val="left"/>
      <w:pPr>
        <w:ind w:left="8744" w:hanging="1032"/>
      </w:pPr>
      <w:rPr>
        <w:rFonts w:hint="default"/>
        <w:lang w:val="en-US" w:eastAsia="en-US" w:bidi="ar-SA"/>
      </w:rPr>
    </w:lvl>
    <w:lvl w:ilvl="8">
      <w:start w:val="0"/>
      <w:numFmt w:val="bullet"/>
      <w:lvlText w:val="•"/>
      <w:lvlJc w:val="left"/>
      <w:pPr>
        <w:ind w:left="9756" w:hanging="1032"/>
      </w:pPr>
      <w:rPr>
        <w:rFonts w:hint="default"/>
        <w:lang w:val="en-US" w:eastAsia="en-US" w:bidi="ar-SA"/>
      </w:rPr>
    </w:lvl>
  </w:abstractNum>
  <w:abstractNum w:abstractNumId="21">
    <w:multiLevelType w:val="hybridMultilevel"/>
    <w:lvl w:ilvl="0">
      <w:start w:val="2"/>
      <w:numFmt w:val="decimal"/>
      <w:lvlText w:val="%1"/>
      <w:lvlJc w:val="left"/>
      <w:pPr>
        <w:ind w:left="1659" w:hanging="1032"/>
        <w:jc w:val="left"/>
      </w:pPr>
      <w:rPr>
        <w:rFonts w:hint="default"/>
        <w:lang w:val="en-US" w:eastAsia="en-US" w:bidi="ar-SA"/>
      </w:rPr>
    </w:lvl>
    <w:lvl w:ilvl="1">
      <w:start w:val="1"/>
      <w:numFmt w:val="decimal"/>
      <w:lvlText w:val="%1.%2"/>
      <w:lvlJc w:val="left"/>
      <w:pPr>
        <w:ind w:left="1659" w:hanging="1032"/>
        <w:jc w:val="left"/>
      </w:pPr>
      <w:rPr>
        <w:rFonts w:hint="default" w:ascii="Times New Roman" w:hAnsi="Times New Roman" w:eastAsia="Times New Roman" w:cs="Times New Roman"/>
        <w:b w:val="0"/>
        <w:bCs w:val="0"/>
        <w:i w:val="0"/>
        <w:iCs w:val="0"/>
        <w:color w:val="0000FF"/>
        <w:spacing w:val="0"/>
        <w:w w:val="103"/>
        <w:sz w:val="16"/>
        <w:szCs w:val="16"/>
        <w:u w:val="single" w:color="0000FF"/>
        <w:lang w:val="en-US" w:eastAsia="en-US" w:bidi="ar-SA"/>
      </w:rPr>
    </w:lvl>
    <w:lvl w:ilvl="2">
      <w:start w:val="0"/>
      <w:numFmt w:val="bullet"/>
      <w:lvlText w:val="•"/>
      <w:lvlJc w:val="left"/>
      <w:pPr>
        <w:ind w:left="3684" w:hanging="1032"/>
      </w:pPr>
      <w:rPr>
        <w:rFonts w:hint="default"/>
        <w:lang w:val="en-US" w:eastAsia="en-US" w:bidi="ar-SA"/>
      </w:rPr>
    </w:lvl>
    <w:lvl w:ilvl="3">
      <w:start w:val="0"/>
      <w:numFmt w:val="bullet"/>
      <w:lvlText w:val="•"/>
      <w:lvlJc w:val="left"/>
      <w:pPr>
        <w:ind w:left="4696" w:hanging="1032"/>
      </w:pPr>
      <w:rPr>
        <w:rFonts w:hint="default"/>
        <w:lang w:val="en-US" w:eastAsia="en-US" w:bidi="ar-SA"/>
      </w:rPr>
    </w:lvl>
    <w:lvl w:ilvl="4">
      <w:start w:val="0"/>
      <w:numFmt w:val="bullet"/>
      <w:lvlText w:val="•"/>
      <w:lvlJc w:val="left"/>
      <w:pPr>
        <w:ind w:left="5708" w:hanging="1032"/>
      </w:pPr>
      <w:rPr>
        <w:rFonts w:hint="default"/>
        <w:lang w:val="en-US" w:eastAsia="en-US" w:bidi="ar-SA"/>
      </w:rPr>
    </w:lvl>
    <w:lvl w:ilvl="5">
      <w:start w:val="0"/>
      <w:numFmt w:val="bullet"/>
      <w:lvlText w:val="•"/>
      <w:lvlJc w:val="left"/>
      <w:pPr>
        <w:ind w:left="6720" w:hanging="1032"/>
      </w:pPr>
      <w:rPr>
        <w:rFonts w:hint="default"/>
        <w:lang w:val="en-US" w:eastAsia="en-US" w:bidi="ar-SA"/>
      </w:rPr>
    </w:lvl>
    <w:lvl w:ilvl="6">
      <w:start w:val="0"/>
      <w:numFmt w:val="bullet"/>
      <w:lvlText w:val="•"/>
      <w:lvlJc w:val="left"/>
      <w:pPr>
        <w:ind w:left="7732" w:hanging="1032"/>
      </w:pPr>
      <w:rPr>
        <w:rFonts w:hint="default"/>
        <w:lang w:val="en-US" w:eastAsia="en-US" w:bidi="ar-SA"/>
      </w:rPr>
    </w:lvl>
    <w:lvl w:ilvl="7">
      <w:start w:val="0"/>
      <w:numFmt w:val="bullet"/>
      <w:lvlText w:val="•"/>
      <w:lvlJc w:val="left"/>
      <w:pPr>
        <w:ind w:left="8744" w:hanging="1032"/>
      </w:pPr>
      <w:rPr>
        <w:rFonts w:hint="default"/>
        <w:lang w:val="en-US" w:eastAsia="en-US" w:bidi="ar-SA"/>
      </w:rPr>
    </w:lvl>
    <w:lvl w:ilvl="8">
      <w:start w:val="0"/>
      <w:numFmt w:val="bullet"/>
      <w:lvlText w:val="•"/>
      <w:lvlJc w:val="left"/>
      <w:pPr>
        <w:ind w:left="9756" w:hanging="1032"/>
      </w:pPr>
      <w:rPr>
        <w:rFonts w:hint="default"/>
        <w:lang w:val="en-US" w:eastAsia="en-US" w:bidi="ar-SA"/>
      </w:rPr>
    </w:lvl>
  </w:abstractNum>
  <w:abstractNum w:abstractNumId="20">
    <w:multiLevelType w:val="hybridMultilevel"/>
    <w:lvl w:ilvl="0">
      <w:start w:val="1"/>
      <w:numFmt w:val="lowerLetter"/>
      <w:lvlText w:val="(%1)"/>
      <w:lvlJc w:val="left"/>
      <w:pPr>
        <w:ind w:left="513" w:hanging="357"/>
        <w:jc w:val="left"/>
      </w:pPr>
      <w:rPr>
        <w:rFonts w:hint="default" w:ascii="Times New Roman" w:hAnsi="Times New Roman" w:eastAsia="Times New Roman" w:cs="Times New Roman"/>
        <w:b/>
        <w:bCs/>
        <w:i w:val="0"/>
        <w:iCs w:val="0"/>
        <w:spacing w:val="0"/>
        <w:w w:val="103"/>
        <w:sz w:val="16"/>
        <w:szCs w:val="16"/>
        <w:lang w:val="en-US" w:eastAsia="en-US" w:bidi="ar-SA"/>
      </w:rPr>
    </w:lvl>
    <w:lvl w:ilvl="1">
      <w:start w:val="1"/>
      <w:numFmt w:val="decimal"/>
      <w:lvlText w:val="%2."/>
      <w:lvlJc w:val="left"/>
      <w:pPr>
        <w:ind w:left="857" w:hanging="344"/>
        <w:jc w:val="left"/>
      </w:pPr>
      <w:rPr>
        <w:rFonts w:hint="default" w:ascii="Times New Roman" w:hAnsi="Times New Roman" w:eastAsia="Times New Roman" w:cs="Times New Roman"/>
        <w:b w:val="0"/>
        <w:bCs w:val="0"/>
        <w:i w:val="0"/>
        <w:iCs w:val="0"/>
        <w:spacing w:val="0"/>
        <w:w w:val="103"/>
        <w:sz w:val="16"/>
        <w:szCs w:val="16"/>
        <w:lang w:val="en-US" w:eastAsia="en-US" w:bidi="ar-SA"/>
      </w:rPr>
    </w:lvl>
    <w:lvl w:ilvl="2">
      <w:start w:val="0"/>
      <w:numFmt w:val="bullet"/>
      <w:lvlText w:val="•"/>
      <w:lvlJc w:val="left"/>
      <w:pPr>
        <w:ind w:left="2073" w:hanging="344"/>
      </w:pPr>
      <w:rPr>
        <w:rFonts w:hint="default"/>
        <w:lang w:val="en-US" w:eastAsia="en-US" w:bidi="ar-SA"/>
      </w:rPr>
    </w:lvl>
    <w:lvl w:ilvl="3">
      <w:start w:val="0"/>
      <w:numFmt w:val="bullet"/>
      <w:lvlText w:val="•"/>
      <w:lvlJc w:val="left"/>
      <w:pPr>
        <w:ind w:left="3286" w:hanging="344"/>
      </w:pPr>
      <w:rPr>
        <w:rFonts w:hint="default"/>
        <w:lang w:val="en-US" w:eastAsia="en-US" w:bidi="ar-SA"/>
      </w:rPr>
    </w:lvl>
    <w:lvl w:ilvl="4">
      <w:start w:val="0"/>
      <w:numFmt w:val="bullet"/>
      <w:lvlText w:val="•"/>
      <w:lvlJc w:val="left"/>
      <w:pPr>
        <w:ind w:left="4500" w:hanging="344"/>
      </w:pPr>
      <w:rPr>
        <w:rFonts w:hint="default"/>
        <w:lang w:val="en-US" w:eastAsia="en-US" w:bidi="ar-SA"/>
      </w:rPr>
    </w:lvl>
    <w:lvl w:ilvl="5">
      <w:start w:val="0"/>
      <w:numFmt w:val="bullet"/>
      <w:lvlText w:val="•"/>
      <w:lvlJc w:val="left"/>
      <w:pPr>
        <w:ind w:left="5713" w:hanging="344"/>
      </w:pPr>
      <w:rPr>
        <w:rFonts w:hint="default"/>
        <w:lang w:val="en-US" w:eastAsia="en-US" w:bidi="ar-SA"/>
      </w:rPr>
    </w:lvl>
    <w:lvl w:ilvl="6">
      <w:start w:val="0"/>
      <w:numFmt w:val="bullet"/>
      <w:lvlText w:val="•"/>
      <w:lvlJc w:val="left"/>
      <w:pPr>
        <w:ind w:left="6926" w:hanging="344"/>
      </w:pPr>
      <w:rPr>
        <w:rFonts w:hint="default"/>
        <w:lang w:val="en-US" w:eastAsia="en-US" w:bidi="ar-SA"/>
      </w:rPr>
    </w:lvl>
    <w:lvl w:ilvl="7">
      <w:start w:val="0"/>
      <w:numFmt w:val="bullet"/>
      <w:lvlText w:val="•"/>
      <w:lvlJc w:val="left"/>
      <w:pPr>
        <w:ind w:left="8140" w:hanging="344"/>
      </w:pPr>
      <w:rPr>
        <w:rFonts w:hint="default"/>
        <w:lang w:val="en-US" w:eastAsia="en-US" w:bidi="ar-SA"/>
      </w:rPr>
    </w:lvl>
    <w:lvl w:ilvl="8">
      <w:start w:val="0"/>
      <w:numFmt w:val="bullet"/>
      <w:lvlText w:val="•"/>
      <w:lvlJc w:val="left"/>
      <w:pPr>
        <w:ind w:left="9353" w:hanging="344"/>
      </w:pPr>
      <w:rPr>
        <w:rFonts w:hint="default"/>
        <w:lang w:val="en-US" w:eastAsia="en-US" w:bidi="ar-SA"/>
      </w:rPr>
    </w:lvl>
  </w:abstractNum>
  <w:abstractNum w:abstractNumId="19">
    <w:multiLevelType w:val="hybridMultilevel"/>
    <w:lvl w:ilvl="0">
      <w:start w:val="1"/>
      <w:numFmt w:val="lowerLetter"/>
      <w:lvlText w:val="(%1)"/>
      <w:lvlJc w:val="left"/>
      <w:pPr>
        <w:ind w:left="462" w:hanging="306"/>
        <w:jc w:val="left"/>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18">
    <w:multiLevelType w:val="hybridMultilevel"/>
    <w:lvl w:ilvl="0">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17">
    <w:multiLevelType w:val="hybridMultilevel"/>
    <w:lvl w:ilvl="0">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16">
    <w:multiLevelType w:val="hybridMultilevel"/>
    <w:lvl w:ilvl="0">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15">
    <w:multiLevelType w:val="hybridMultilevel"/>
    <w:lvl w:ilvl="0">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14">
    <w:multiLevelType w:val="hybridMultilevel"/>
    <w:lvl w:ilvl="0">
      <w:start w:val="1"/>
      <w:numFmt w:val="decimal"/>
      <w:lvlText w:val="(%1)"/>
      <w:lvlJc w:val="left"/>
      <w:pPr>
        <w:ind w:left="742" w:hanging="586"/>
        <w:jc w:val="left"/>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2">
      <w:start w:val="0"/>
      <w:numFmt w:val="bullet"/>
      <w:lvlText w:val="•"/>
      <w:lvlJc w:val="left"/>
      <w:pPr>
        <w:ind w:left="1966" w:hanging="306"/>
      </w:pPr>
      <w:rPr>
        <w:rFonts w:hint="default"/>
        <w:lang w:val="en-US" w:eastAsia="en-US" w:bidi="ar-SA"/>
      </w:rPr>
    </w:lvl>
    <w:lvl w:ilvl="3">
      <w:start w:val="0"/>
      <w:numFmt w:val="bullet"/>
      <w:lvlText w:val="•"/>
      <w:lvlJc w:val="left"/>
      <w:pPr>
        <w:ind w:left="3193" w:hanging="306"/>
      </w:pPr>
      <w:rPr>
        <w:rFonts w:hint="default"/>
        <w:lang w:val="en-US" w:eastAsia="en-US" w:bidi="ar-SA"/>
      </w:rPr>
    </w:lvl>
    <w:lvl w:ilvl="4">
      <w:start w:val="0"/>
      <w:numFmt w:val="bullet"/>
      <w:lvlText w:val="•"/>
      <w:lvlJc w:val="left"/>
      <w:pPr>
        <w:ind w:left="4420" w:hanging="306"/>
      </w:pPr>
      <w:rPr>
        <w:rFonts w:hint="default"/>
        <w:lang w:val="en-US" w:eastAsia="en-US" w:bidi="ar-SA"/>
      </w:rPr>
    </w:lvl>
    <w:lvl w:ilvl="5">
      <w:start w:val="0"/>
      <w:numFmt w:val="bullet"/>
      <w:lvlText w:val="•"/>
      <w:lvlJc w:val="left"/>
      <w:pPr>
        <w:ind w:left="5646" w:hanging="306"/>
      </w:pPr>
      <w:rPr>
        <w:rFonts w:hint="default"/>
        <w:lang w:val="en-US" w:eastAsia="en-US" w:bidi="ar-SA"/>
      </w:rPr>
    </w:lvl>
    <w:lvl w:ilvl="6">
      <w:start w:val="0"/>
      <w:numFmt w:val="bullet"/>
      <w:lvlText w:val="•"/>
      <w:lvlJc w:val="left"/>
      <w:pPr>
        <w:ind w:left="6873" w:hanging="306"/>
      </w:pPr>
      <w:rPr>
        <w:rFonts w:hint="default"/>
        <w:lang w:val="en-US" w:eastAsia="en-US" w:bidi="ar-SA"/>
      </w:rPr>
    </w:lvl>
    <w:lvl w:ilvl="7">
      <w:start w:val="0"/>
      <w:numFmt w:val="bullet"/>
      <w:lvlText w:val="•"/>
      <w:lvlJc w:val="left"/>
      <w:pPr>
        <w:ind w:left="8100" w:hanging="306"/>
      </w:pPr>
      <w:rPr>
        <w:rFonts w:hint="default"/>
        <w:lang w:val="en-US" w:eastAsia="en-US" w:bidi="ar-SA"/>
      </w:rPr>
    </w:lvl>
    <w:lvl w:ilvl="8">
      <w:start w:val="0"/>
      <w:numFmt w:val="bullet"/>
      <w:lvlText w:val="•"/>
      <w:lvlJc w:val="left"/>
      <w:pPr>
        <w:ind w:left="9326" w:hanging="306"/>
      </w:pPr>
      <w:rPr>
        <w:rFonts w:hint="default"/>
        <w:lang w:val="en-US" w:eastAsia="en-US" w:bidi="ar-SA"/>
      </w:rPr>
    </w:lvl>
  </w:abstractNum>
  <w:abstractNum w:abstractNumId="13">
    <w:multiLevelType w:val="hybridMultilevel"/>
    <w:lvl w:ilvl="0">
      <w:start w:val="1"/>
      <w:numFmt w:val="lowerLetter"/>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12">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11">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10">
    <w:multiLevelType w:val="hybridMultilevel"/>
    <w:lvl w:ilvl="0">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9">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8">
    <w:multiLevelType w:val="hybridMultilevel"/>
    <w:lvl w:ilvl="0">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7">
    <w:multiLevelType w:val="hybridMultilevel"/>
    <w:lvl w:ilvl="0">
      <w:start w:val="1"/>
      <w:numFmt w:val="decimal"/>
      <w:lvlText w:val="(%1)"/>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6">
    <w:multiLevelType w:val="hybridMultilevel"/>
    <w:lvl w:ilvl="0">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5">
    <w:multiLevelType w:val="hybridMultilevel"/>
    <w:lvl w:ilvl="0">
      <w:start w:val="1"/>
      <w:numFmt w:val="lowerLetter"/>
      <w:lvlText w:val="(%1)"/>
      <w:lvlJc w:val="left"/>
      <w:pPr>
        <w:ind w:left="462" w:hanging="306"/>
        <w:jc w:val="left"/>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1"/>
      <w:numFmt w:val="decimal"/>
      <w:lvlText w:val="(%2)"/>
      <w:lvlJc w:val="left"/>
      <w:pPr>
        <w:ind w:left="462" w:hanging="306"/>
        <w:jc w:val="left"/>
      </w:pPr>
      <w:rPr>
        <w:rFonts w:hint="default" w:ascii="Times New Roman" w:hAnsi="Times New Roman" w:eastAsia="Times New Roman" w:cs="Times New Roman"/>
        <w:b w:val="0"/>
        <w:bCs w:val="0"/>
        <w:i w:val="0"/>
        <w:iCs w:val="0"/>
        <w:spacing w:val="-1"/>
        <w:w w:val="100"/>
        <w:sz w:val="14"/>
        <w:szCs w:val="14"/>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4">
    <w:multiLevelType w:val="hybridMultilevel"/>
    <w:lvl w:ilvl="0">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3">
    <w:multiLevelType w:val="hybridMultilevel"/>
    <w:lvl w:ilvl="0">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2">
    <w:multiLevelType w:val="hybridMultilevel"/>
    <w:lvl w:ilvl="0">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1">
    <w:multiLevelType w:val="hybridMultilevel"/>
    <w:lvl w:ilvl="0">
      <w:start w:val="0"/>
      <w:numFmt w:val="bullet"/>
      <w:lvlText w:val="•"/>
      <w:lvlJc w:val="left"/>
      <w:pPr>
        <w:ind w:left="462" w:hanging="306"/>
      </w:pPr>
      <w:rPr>
        <w:rFonts w:hint="default" w:ascii="Times New Roman" w:hAnsi="Times New Roman" w:eastAsia="Times New Roman" w:cs="Times New Roman"/>
        <w:b w:val="0"/>
        <w:bCs w:val="0"/>
        <w:i w:val="0"/>
        <w:iCs w:val="0"/>
        <w:spacing w:val="0"/>
        <w:w w:val="103"/>
        <w:sz w:val="16"/>
        <w:szCs w:val="16"/>
        <w:lang w:val="en-US" w:eastAsia="en-US" w:bidi="ar-SA"/>
      </w:rPr>
    </w:lvl>
    <w:lvl w:ilvl="1">
      <w:start w:val="0"/>
      <w:numFmt w:val="bullet"/>
      <w:lvlText w:val="•"/>
      <w:lvlJc w:val="left"/>
      <w:pPr>
        <w:ind w:left="1592" w:hanging="306"/>
      </w:pPr>
      <w:rPr>
        <w:rFonts w:hint="default"/>
        <w:lang w:val="en-US" w:eastAsia="en-US" w:bidi="ar-SA"/>
      </w:rPr>
    </w:lvl>
    <w:lvl w:ilvl="2">
      <w:start w:val="0"/>
      <w:numFmt w:val="bullet"/>
      <w:lvlText w:val="•"/>
      <w:lvlJc w:val="left"/>
      <w:pPr>
        <w:ind w:left="2724" w:hanging="306"/>
      </w:pPr>
      <w:rPr>
        <w:rFonts w:hint="default"/>
        <w:lang w:val="en-US" w:eastAsia="en-US" w:bidi="ar-SA"/>
      </w:rPr>
    </w:lvl>
    <w:lvl w:ilvl="3">
      <w:start w:val="0"/>
      <w:numFmt w:val="bullet"/>
      <w:lvlText w:val="•"/>
      <w:lvlJc w:val="left"/>
      <w:pPr>
        <w:ind w:left="3856" w:hanging="306"/>
      </w:pPr>
      <w:rPr>
        <w:rFonts w:hint="default"/>
        <w:lang w:val="en-US" w:eastAsia="en-US" w:bidi="ar-SA"/>
      </w:rPr>
    </w:lvl>
    <w:lvl w:ilvl="4">
      <w:start w:val="0"/>
      <w:numFmt w:val="bullet"/>
      <w:lvlText w:val="•"/>
      <w:lvlJc w:val="left"/>
      <w:pPr>
        <w:ind w:left="4988" w:hanging="306"/>
      </w:pPr>
      <w:rPr>
        <w:rFonts w:hint="default"/>
        <w:lang w:val="en-US" w:eastAsia="en-US" w:bidi="ar-SA"/>
      </w:rPr>
    </w:lvl>
    <w:lvl w:ilvl="5">
      <w:start w:val="0"/>
      <w:numFmt w:val="bullet"/>
      <w:lvlText w:val="•"/>
      <w:lvlJc w:val="left"/>
      <w:pPr>
        <w:ind w:left="6120" w:hanging="306"/>
      </w:pPr>
      <w:rPr>
        <w:rFonts w:hint="default"/>
        <w:lang w:val="en-US" w:eastAsia="en-US" w:bidi="ar-SA"/>
      </w:rPr>
    </w:lvl>
    <w:lvl w:ilvl="6">
      <w:start w:val="0"/>
      <w:numFmt w:val="bullet"/>
      <w:lvlText w:val="•"/>
      <w:lvlJc w:val="left"/>
      <w:pPr>
        <w:ind w:left="7252" w:hanging="306"/>
      </w:pPr>
      <w:rPr>
        <w:rFonts w:hint="default"/>
        <w:lang w:val="en-US" w:eastAsia="en-US" w:bidi="ar-SA"/>
      </w:rPr>
    </w:lvl>
    <w:lvl w:ilvl="7">
      <w:start w:val="0"/>
      <w:numFmt w:val="bullet"/>
      <w:lvlText w:val="•"/>
      <w:lvlJc w:val="left"/>
      <w:pPr>
        <w:ind w:left="8384" w:hanging="306"/>
      </w:pPr>
      <w:rPr>
        <w:rFonts w:hint="default"/>
        <w:lang w:val="en-US" w:eastAsia="en-US" w:bidi="ar-SA"/>
      </w:rPr>
    </w:lvl>
    <w:lvl w:ilvl="8">
      <w:start w:val="0"/>
      <w:numFmt w:val="bullet"/>
      <w:lvlText w:val="•"/>
      <w:lvlJc w:val="left"/>
      <w:pPr>
        <w:ind w:left="9516" w:hanging="306"/>
      </w:pPr>
      <w:rPr>
        <w:rFonts w:hint="default"/>
        <w:lang w:val="en-US" w:eastAsia="en-US" w:bidi="ar-SA"/>
      </w:rPr>
    </w:lvl>
  </w:abstractNum>
  <w:abstractNum w:abstractNumId="0">
    <w:multiLevelType w:val="hybridMultilevel"/>
    <w:lvl w:ilvl="0">
      <w:start w:val="0"/>
      <w:numFmt w:val="bullet"/>
      <w:lvlText w:val="☐"/>
      <w:lvlJc w:val="left"/>
      <w:pPr>
        <w:ind w:left="615" w:hanging="459"/>
      </w:pPr>
      <w:rPr>
        <w:rFonts w:hint="default" w:ascii="MS Mincho" w:hAnsi="MS Mincho" w:eastAsia="MS Mincho" w:cs="MS Mincho"/>
        <w:b w:val="0"/>
        <w:bCs w:val="0"/>
        <w:i w:val="0"/>
        <w:iCs w:val="0"/>
        <w:spacing w:val="0"/>
        <w:w w:val="103"/>
        <w:sz w:val="16"/>
        <w:szCs w:val="16"/>
        <w:lang w:val="en-US" w:eastAsia="en-US" w:bidi="ar-SA"/>
      </w:rPr>
    </w:lvl>
    <w:lvl w:ilvl="1">
      <w:start w:val="0"/>
      <w:numFmt w:val="bullet"/>
      <w:lvlText w:val="•"/>
      <w:lvlJc w:val="left"/>
      <w:pPr>
        <w:ind w:left="1736" w:hanging="459"/>
      </w:pPr>
      <w:rPr>
        <w:rFonts w:hint="default"/>
        <w:lang w:val="en-US" w:eastAsia="en-US" w:bidi="ar-SA"/>
      </w:rPr>
    </w:lvl>
    <w:lvl w:ilvl="2">
      <w:start w:val="0"/>
      <w:numFmt w:val="bullet"/>
      <w:lvlText w:val="•"/>
      <w:lvlJc w:val="left"/>
      <w:pPr>
        <w:ind w:left="2852" w:hanging="459"/>
      </w:pPr>
      <w:rPr>
        <w:rFonts w:hint="default"/>
        <w:lang w:val="en-US" w:eastAsia="en-US" w:bidi="ar-SA"/>
      </w:rPr>
    </w:lvl>
    <w:lvl w:ilvl="3">
      <w:start w:val="0"/>
      <w:numFmt w:val="bullet"/>
      <w:lvlText w:val="•"/>
      <w:lvlJc w:val="left"/>
      <w:pPr>
        <w:ind w:left="3968" w:hanging="459"/>
      </w:pPr>
      <w:rPr>
        <w:rFonts w:hint="default"/>
        <w:lang w:val="en-US" w:eastAsia="en-US" w:bidi="ar-SA"/>
      </w:rPr>
    </w:lvl>
    <w:lvl w:ilvl="4">
      <w:start w:val="0"/>
      <w:numFmt w:val="bullet"/>
      <w:lvlText w:val="•"/>
      <w:lvlJc w:val="left"/>
      <w:pPr>
        <w:ind w:left="5084" w:hanging="459"/>
      </w:pPr>
      <w:rPr>
        <w:rFonts w:hint="default"/>
        <w:lang w:val="en-US" w:eastAsia="en-US" w:bidi="ar-SA"/>
      </w:rPr>
    </w:lvl>
    <w:lvl w:ilvl="5">
      <w:start w:val="0"/>
      <w:numFmt w:val="bullet"/>
      <w:lvlText w:val="•"/>
      <w:lvlJc w:val="left"/>
      <w:pPr>
        <w:ind w:left="6200" w:hanging="459"/>
      </w:pPr>
      <w:rPr>
        <w:rFonts w:hint="default"/>
        <w:lang w:val="en-US" w:eastAsia="en-US" w:bidi="ar-SA"/>
      </w:rPr>
    </w:lvl>
    <w:lvl w:ilvl="6">
      <w:start w:val="0"/>
      <w:numFmt w:val="bullet"/>
      <w:lvlText w:val="•"/>
      <w:lvlJc w:val="left"/>
      <w:pPr>
        <w:ind w:left="7316" w:hanging="459"/>
      </w:pPr>
      <w:rPr>
        <w:rFonts w:hint="default"/>
        <w:lang w:val="en-US" w:eastAsia="en-US" w:bidi="ar-SA"/>
      </w:rPr>
    </w:lvl>
    <w:lvl w:ilvl="7">
      <w:start w:val="0"/>
      <w:numFmt w:val="bullet"/>
      <w:lvlText w:val="•"/>
      <w:lvlJc w:val="left"/>
      <w:pPr>
        <w:ind w:left="8432" w:hanging="459"/>
      </w:pPr>
      <w:rPr>
        <w:rFonts w:hint="default"/>
        <w:lang w:val="en-US" w:eastAsia="en-US" w:bidi="ar-SA"/>
      </w:rPr>
    </w:lvl>
    <w:lvl w:ilvl="8">
      <w:start w:val="0"/>
      <w:numFmt w:val="bullet"/>
      <w:lvlText w:val="•"/>
      <w:lvlJc w:val="left"/>
      <w:pPr>
        <w:ind w:left="9548" w:hanging="459"/>
      </w:pPr>
      <w:rPr>
        <w:rFonts w:hint="default"/>
        <w:lang w:val="en-US" w:eastAsia="en-US" w:bidi="ar-SA"/>
      </w:rPr>
    </w:lvl>
  </w:abstract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04"/>
      <w:ind w:left="48"/>
      <w:jc w:val="center"/>
    </w:pPr>
    <w:rPr>
      <w:rFonts w:ascii="Times New Roman" w:hAnsi="Times New Roman" w:eastAsia="Times New Roman" w:cs="Times New Roman"/>
      <w:sz w:val="16"/>
      <w:szCs w:val="16"/>
      <w:lang w:val="en-US" w:eastAsia="en-US" w:bidi="ar-SA"/>
    </w:rPr>
  </w:style>
  <w:style w:styleId="TOC2" w:type="paragraph">
    <w:name w:val="TOC 2"/>
    <w:basedOn w:val="Normal"/>
    <w:uiPriority w:val="1"/>
    <w:qFormat/>
    <w:pPr>
      <w:spacing w:before="71"/>
      <w:ind w:left="182"/>
    </w:pPr>
    <w:rPr>
      <w:rFonts w:ascii="Times New Roman" w:hAnsi="Times New Roman" w:eastAsia="Times New Roman" w:cs="Times New Roman"/>
      <w:sz w:val="16"/>
      <w:szCs w:val="16"/>
      <w:u w:val="single" w:color="000000"/>
      <w:lang w:val="en-US" w:eastAsia="en-US" w:bidi="ar-SA"/>
    </w:rPr>
  </w:style>
  <w:style w:styleId="TOC3" w:type="paragraph">
    <w:name w:val="TOC 3"/>
    <w:basedOn w:val="Normal"/>
    <w:uiPriority w:val="1"/>
    <w:qFormat/>
    <w:pPr>
      <w:spacing w:before="71"/>
      <w:ind w:left="2029" w:hanging="574"/>
    </w:pPr>
    <w:rPr>
      <w:rFonts w:ascii="Times New Roman" w:hAnsi="Times New Roman" w:eastAsia="Times New Roman" w:cs="Times New Roman"/>
      <w:sz w:val="16"/>
      <w:szCs w:val="16"/>
      <w:u w:val="single" w:color="000000"/>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56"/>
      <w:outlineLvl w:val="1"/>
    </w:pPr>
    <w:rPr>
      <w:rFonts w:ascii="Times New Roman" w:hAnsi="Times New Roman" w:eastAsia="Times New Roman" w:cs="Times New Roman"/>
      <w:b/>
      <w:bCs/>
      <w:sz w:val="16"/>
      <w:szCs w:val="16"/>
      <w:lang w:val="en-US" w:eastAsia="en-US" w:bidi="ar-SA"/>
    </w:rPr>
  </w:style>
  <w:style w:styleId="Heading2" w:type="paragraph">
    <w:name w:val="Heading 2"/>
    <w:basedOn w:val="Normal"/>
    <w:uiPriority w:val="1"/>
    <w:qFormat/>
    <w:pPr>
      <w:ind w:left="156"/>
      <w:outlineLvl w:val="2"/>
    </w:pPr>
    <w:rPr>
      <w:rFonts w:ascii="Times New Roman" w:hAnsi="Times New Roman" w:eastAsia="Times New Roman" w:cs="Times New Roman"/>
      <w:b/>
      <w:bCs/>
      <w:sz w:val="16"/>
      <w:szCs w:val="16"/>
      <w:lang w:val="en-US" w:eastAsia="en-US" w:bidi="ar-SA"/>
    </w:rPr>
  </w:style>
  <w:style w:styleId="Heading3" w:type="paragraph">
    <w:name w:val="Heading 3"/>
    <w:basedOn w:val="Normal"/>
    <w:uiPriority w:val="1"/>
    <w:qFormat/>
    <w:pPr>
      <w:ind w:left="156"/>
      <w:outlineLvl w:val="3"/>
    </w:pPr>
    <w:rPr>
      <w:rFonts w:ascii="Times New Roman" w:hAnsi="Times New Roman" w:eastAsia="Times New Roman" w:cs="Times New Roman"/>
      <w:b/>
      <w:bCs/>
      <w:i/>
      <w:iCs/>
      <w:sz w:val="16"/>
      <w:szCs w:val="16"/>
      <w:lang w:val="en-US" w:eastAsia="en-US" w:bidi="ar-SA"/>
    </w:rPr>
  </w:style>
  <w:style w:styleId="Title" w:type="paragraph">
    <w:name w:val="Title"/>
    <w:basedOn w:val="Normal"/>
    <w:uiPriority w:val="1"/>
    <w:qFormat/>
    <w:pPr>
      <w:ind w:left="48"/>
      <w:jc w:val="center"/>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ind w:left="462" w:hanging="30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SEC.gov/" TargetMode="External"/><Relationship Id="rId7" Type="http://schemas.openxmlformats.org/officeDocument/2006/relationships/hyperlink" Target="http://www.corning.com/"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www.corning.com/worldwide/en/about-us/investor-relations/codes-of-conduct-ethics.html" TargetMode="External"/><Relationship Id="rId12" Type="http://schemas.openxmlformats.org/officeDocument/2006/relationships/hyperlink" Target="https://content.edgar-online.com/ExternalLink/EDGAR/0001308179-14-000032.html?hash=aef32971abd7ae82ef2f35b860353653f77e06ae5ae11333e96d03915a862571&amp;dest=EXHIBIT_10_65_HTM" TargetMode="External"/><Relationship Id="rId13" Type="http://schemas.openxmlformats.org/officeDocument/2006/relationships/hyperlink" Target="https://content.edgar-online.com/ExternalLink/EDGAR/0000024741-15-000063.html?hash=61b87723d1ceb8dd45cc89a337661e15712f04c234445eb1cb566a0b8558af1e&amp;dest=EXHIBIT11_HTM" TargetMode="External"/><Relationship Id="rId14" Type="http://schemas.openxmlformats.org/officeDocument/2006/relationships/hyperlink" Target="https://content.edgar-online.com/ExternalLink/EDGAR/0001193125-15-416133.html?hash=9efa23b6d5395aa97392b2d703e3832fc2fa5fc7c034e828a034d6d12e04a730&amp;dest=D111176DEX21_HTM" TargetMode="External"/><Relationship Id="rId15" Type="http://schemas.openxmlformats.org/officeDocument/2006/relationships/hyperlink" Target="https://content.edgar-online.com/ExternalLink/EDGAR/0001193125-12-200173.html?hash=3b166e969ba79f617dad22c669c37d07776659d33b3a71feb356ce112193ea80&amp;dest=D339189DEX3I1_HTM" TargetMode="External"/><Relationship Id="rId16" Type="http://schemas.openxmlformats.org/officeDocument/2006/relationships/hyperlink" Target="https://content.edgar-online.com/ExternalLink/EDGAR/0001193125-14-012112.html?hash=8d2d4159d081e9692df7d906597fb9fc83103398ad18eb89070ec0e77836e11e&amp;dest=D658531DEX31_HTM" TargetMode="External"/><Relationship Id="rId17" Type="http://schemas.openxmlformats.org/officeDocument/2006/relationships/hyperlink" Target="https://content.edgar-online.com/ExternalLink/EDGAR/0001206774-22-000308.html?hash=9b6756be6781034703d454c805092646e17e10675c8ad7260edd48f6b8bcb972&amp;dest=GLW4017051-EX31_HTM" TargetMode="External"/><Relationship Id="rId18" Type="http://schemas.openxmlformats.org/officeDocument/2006/relationships/hyperlink" Target="https://content.edgar-online.com/ExternalLink/EDGAR/0000912057-01-007645.html?hash=5a0acfd0a2ee0eec625be3db29f3f6784aeb71c2a54cf43c77999b53a1d1efbb&amp;dest=A2040933ZEX-4_01_HTM" TargetMode="External"/><Relationship Id="rId19" Type="http://schemas.openxmlformats.org/officeDocument/2006/relationships/hyperlink" Target="https://content.edgar-online.com/ExternalLink/EDGAR/0001193125-10-112916.html?hash=31482ef080cbf16dbeb900d4ea65c4885350bff42eb84a4f613932926a509fe5&amp;dest=DEX44_HTM" TargetMode="External"/><Relationship Id="rId20" Type="http://schemas.openxmlformats.org/officeDocument/2006/relationships/hyperlink" Target="https://content.edgar-online.com/ExternalLink/EDGAR/0001308179-14-000032.html?hash=aef32971abd7ae82ef2f35b860353653f77e06ae5ae11333e96d03915a862571&amp;dest=EXHIBIT_10_66_HTM" TargetMode="External"/><Relationship Id="rId21" Type="http://schemas.openxmlformats.org/officeDocument/2006/relationships/hyperlink" Target="https://content.edgar-online.com/ExternalLink/EDGAR/0001308179-14-000032.html?hash=aef32971abd7ae82ef2f35b860353653f77e06ae5ae11333e96d03915a862571&amp;dest=EXHIBIT_10_67_HTM" TargetMode="External"/><Relationship Id="rId22" Type="http://schemas.openxmlformats.org/officeDocument/2006/relationships/hyperlink" Target="https://content.edgar-online.com/ExternalLink/EDGAR/0001562762-21-000023.html?hash=02a601a2b3b10ba0b843383fc7e9140cb9061561d602d8e909067b2604fb244c&amp;dest=GLW-20201231XEX4_5_HTM" TargetMode="External"/><Relationship Id="rId23" Type="http://schemas.openxmlformats.org/officeDocument/2006/relationships/hyperlink" Target="https://content.edgar-online.com/ExternalLink/EDGAR/0000912057-03-000144.html?hash=48ac4aebf977d07be8fb15d1db765d4f700eeeba84726c41f606d05016dac95b&amp;dest=A2104807ZDEF14A_HTM" TargetMode="External"/><Relationship Id="rId24" Type="http://schemas.openxmlformats.org/officeDocument/2006/relationships/hyperlink" Target="https://content.edgar-online.com/ExternalLink/EDGAR/0000024741-04-000274.html?hash=d6f4b047cad7c06e080c179fb20420db8d610b42e72b3b99ab20a82392fad14f&amp;dest=Q10410Q_TXT" TargetMode="External"/><Relationship Id="rId25" Type="http://schemas.openxmlformats.org/officeDocument/2006/relationships/hyperlink" Target="https://content.edgar-online.com/ExternalLink/EDGAR/0000024741-04-000497.html?hash=12f4fa60742abf21219cf0ddeaa9d010c3a8078cf9ae08938910f94e2c319cdc&amp;dest=Q310Q04_TXT" TargetMode="External"/><Relationship Id="rId26" Type="http://schemas.openxmlformats.org/officeDocument/2006/relationships/hyperlink" Target="https://content.edgar-online.com/ExternalLink/EDGAR/0001193125-05-039278.html?hash=42ffb11854bc9c47b4c52b820e818cf2f1484d4a5d1991dbf20505809241882a&amp;dest=DDEF14A_HTM" TargetMode="External"/><Relationship Id="rId27" Type="http://schemas.openxmlformats.org/officeDocument/2006/relationships/hyperlink" Target="https://content.edgar-online.com/ExternalLink/EDGAR/0001206774-06-000382.html?hash=89df59044b089e86c31ca3e5ac24f0c5506ee36ccaaa583cb7871ab112795d40&amp;dest=D17985_HTM" TargetMode="External"/><Relationship Id="rId28" Type="http://schemas.openxmlformats.org/officeDocument/2006/relationships/hyperlink" Target="https://content.edgar-online.com/ExternalLink/EDGAR/0001206774-07-000512.html?hash=2f04f0b2ebe4c4f6a57e0eb28553df0c5d4e19fcac2532dc71c47f97df07eec2&amp;dest=EXHIBIT10-28_HTM" TargetMode="External"/><Relationship Id="rId29" Type="http://schemas.openxmlformats.org/officeDocument/2006/relationships/hyperlink" Target="https://content.edgar-online.com/ExternalLink/EDGAR/0001206774-07-000512.html?hash=2f04f0b2ebe4c4f6a57e0eb28553df0c5d4e19fcac2532dc71c47f97df07eec2&amp;dest=EXHIBIT10-29_HTM" TargetMode="External"/><Relationship Id="rId30" Type="http://schemas.openxmlformats.org/officeDocument/2006/relationships/hyperlink" Target="https://content.edgar-online.com/ExternalLink/EDGAR/0001206774-07-000512.html?hash=2f04f0b2ebe4c4f6a57e0eb28553df0c5d4e19fcac2532dc71c47f97df07eec2&amp;dest=EXHIBIT10-30_HTM" TargetMode="External"/><Relationship Id="rId31" Type="http://schemas.openxmlformats.org/officeDocument/2006/relationships/hyperlink" Target="https://content.edgar-online.com/ExternalLink/EDGAR/0001206774-07-000512.html?hash=2f04f0b2ebe4c4f6a57e0eb28553df0c5d4e19fcac2532dc71c47f97df07eec2&amp;dest=EXHIBIT10-31_HTM" TargetMode="External"/><Relationship Id="rId32" Type="http://schemas.openxmlformats.org/officeDocument/2006/relationships/hyperlink" Target="https://content.edgar-online.com/ExternalLink/EDGAR/0000024741-07-000260.html?hash=81e2018a32692dd7a74a3dd657ac1d72be108f40336cb398773fba8165d9ba97&amp;dest=Q10710Q_HTM" TargetMode="External"/><Relationship Id="rId33" Type="http://schemas.openxmlformats.org/officeDocument/2006/relationships/hyperlink" Target="https://content.edgar-online.com/ExternalLink/EDGAR/0001193125-08-031868.html?hash=db81aa994332c2dc9a9154bb5fa0d4dd7896e82bd57914b2aec561e2998feb57&amp;dest=DEX1034_HTM" TargetMode="External"/><Relationship Id="rId34" Type="http://schemas.openxmlformats.org/officeDocument/2006/relationships/hyperlink" Target="https://content.edgar-online.com/ExternalLink/EDGAR/0001193125-08-031868.html?hash=db81aa994332c2dc9a9154bb5fa0d4dd7896e82bd57914b2aec561e2998feb57&amp;dest=DEX1035_HTM" TargetMode="External"/><Relationship Id="rId35" Type="http://schemas.openxmlformats.org/officeDocument/2006/relationships/hyperlink" Target="https://content.edgar-online.com/ExternalLink/EDGAR/0001193125-08-031868.html?hash=db81aa994332c2dc9a9154bb5fa0d4dd7896e82bd57914b2aec561e2998feb57&amp;dest=DEX1036_HTM" TargetMode="External"/><Relationship Id="rId36" Type="http://schemas.openxmlformats.org/officeDocument/2006/relationships/hyperlink" Target="https://content.edgar-online.com/ExternalLink/EDGAR/0001193125-08-031868.html?hash=db81aa994332c2dc9a9154bb5fa0d4dd7896e82bd57914b2aec561e2998feb57&amp;dest=DEX1037_HTM" TargetMode="External"/><Relationship Id="rId37" Type="http://schemas.openxmlformats.org/officeDocument/2006/relationships/hyperlink" Target="https://content.edgar-online.com/ExternalLink/EDGAR/0001193125-08-031868.html?hash=db81aa994332c2dc9a9154bb5fa0d4dd7896e82bd57914b2aec561e2998feb57&amp;dest=DEX1038_HTM" TargetMode="External"/><Relationship Id="rId38" Type="http://schemas.openxmlformats.org/officeDocument/2006/relationships/hyperlink" Target="https://content.edgar-online.com/ExternalLink/EDGAR/0001193125-08-031868.html?hash=db81aa994332c2dc9a9154bb5fa0d4dd7896e82bd57914b2aec561e2998feb57&amp;dest=DEX1039_HTM" TargetMode="External"/><Relationship Id="rId39" Type="http://schemas.openxmlformats.org/officeDocument/2006/relationships/hyperlink" Target="https://content.edgar-online.com/ExternalLink/EDGAR/0001193125-08-031868.html?hash=db81aa994332c2dc9a9154bb5fa0d4dd7896e82bd57914b2aec561e2998feb57&amp;dest=DEX1041_HTM" TargetMode="External"/><Relationship Id="rId40" Type="http://schemas.openxmlformats.org/officeDocument/2006/relationships/hyperlink" Target="https://content.edgar-online.com/ExternalLink/EDGAR/0001193125-08-031868.html?hash=db81aa994332c2dc9a9154bb5fa0d4dd7896e82bd57914b2aec561e2998feb57&amp;dest=DEX1042_HTM" TargetMode="External"/><Relationship Id="rId41" Type="http://schemas.openxmlformats.org/officeDocument/2006/relationships/hyperlink" Target="https://content.edgar-online.com/ExternalLink/EDGAR/0001193125-08-031868.html?hash=db81aa994332c2dc9a9154bb5fa0d4dd7896e82bd57914b2aec561e2998feb57&amp;dest=DEX1043_HTM" TargetMode="External"/><Relationship Id="rId42" Type="http://schemas.openxmlformats.org/officeDocument/2006/relationships/hyperlink" Target="https://content.edgar-online.com/ExternalLink/EDGAR/0001193125-08-031868.html?hash=db81aa994332c2dc9a9154bb5fa0d4dd7896e82bd57914b2aec561e2998feb57&amp;dest=DEX1044_HTM" TargetMode="External"/><Relationship Id="rId43" Type="http://schemas.openxmlformats.org/officeDocument/2006/relationships/hyperlink" Target="https://content.edgar-online.com/ExternalLink/EDGAR/0001193125-08-031868.html?hash=db81aa994332c2dc9a9154bb5fa0d4dd7896e82bd57914b2aec561e2998feb57&amp;dest=DEX1045_HTM" TargetMode="External"/><Relationship Id="rId44" Type="http://schemas.openxmlformats.org/officeDocument/2006/relationships/hyperlink" Target="https://content.edgar-online.com/ExternalLink/EDGAR/0001193125-08-031868.html?hash=db81aa994332c2dc9a9154bb5fa0d4dd7896e82bd57914b2aec561e2998feb57&amp;dest=DEX1046_HTM" TargetMode="External"/><Relationship Id="rId45" Type="http://schemas.openxmlformats.org/officeDocument/2006/relationships/hyperlink" Target="https://content.edgar-online.com/ExternalLink/EDGAR/0001193125-08-031868.html?hash=db81aa994332c2dc9a9154bb5fa0d4dd7896e82bd57914b2aec561e2998feb57&amp;dest=DEX1047_HTM" TargetMode="External"/><Relationship Id="rId46" Type="http://schemas.openxmlformats.org/officeDocument/2006/relationships/hyperlink" Target="https://content.edgar-online.com/ExternalLink/EDGAR/0001299933-08-002172.html?hash=6ee8e3ce878b1519b2f4dad978e9355dfcc8b4b8572b3433bdb7b7bc877c4ab0&amp;dest=EXHIBIT1_HTM" TargetMode="External"/><Relationship Id="rId47" Type="http://schemas.openxmlformats.org/officeDocument/2006/relationships/hyperlink" Target="https://content.edgar-online.com/ExternalLink/EDGAR/0000024741-08-000248.html?hash=2dea15892874742dbd37924adde91372e59851fbb130111f9b51362cc87c7a91&amp;dest=Q20810Q_HTM" TargetMode="External"/><Relationship Id="rId48" Type="http://schemas.openxmlformats.org/officeDocument/2006/relationships/hyperlink" Target="https://content.edgar-online.com/ExternalLink/EDGAR/0001193125-09-035649.html?hash=0a41699aac35f23a6bf596a12f924daf36b189719629e31d4165db9186a99389&amp;dest=DEX1050_HTM" TargetMode="External"/><Relationship Id="rId49" Type="http://schemas.openxmlformats.org/officeDocument/2006/relationships/hyperlink" Target="https://content.edgar-online.com/ExternalLink/EDGAR/0001193125-09-035649.html?hash=0a41699aac35f23a6bf596a12f924daf36b189719629e31d4165db9186a99389&amp;dest=DEX1053_HTM" TargetMode="External"/><Relationship Id="rId50" Type="http://schemas.openxmlformats.org/officeDocument/2006/relationships/hyperlink" Target="https://content.edgar-online.com/ExternalLink/EDGAR/0001193125-09-035649.html?hash=0a41699aac35f23a6bf596a12f924daf36b189719629e31d4165db9186a99389&amp;dest=DEX1054_HTM" TargetMode="External"/><Relationship Id="rId51" Type="http://schemas.openxmlformats.org/officeDocument/2006/relationships/hyperlink" Target="https://content.edgar-online.com/ExternalLink/EDGAR/0001193125-09-035649.html?hash=0a41699aac35f23a6bf596a12f924daf36b189719629e31d4165db9186a99389&amp;dest=DEX1055_HTM" TargetMode="External"/><Relationship Id="rId52" Type="http://schemas.openxmlformats.org/officeDocument/2006/relationships/hyperlink" Target="https://content.edgar-online.com/ExternalLink/EDGAR/0000024741-09-000027.html?hash=06ee825b6985466dd2adb30dd8b34e3a1b9e4dea4262d6a40c219493db01ed8d&amp;dest=Q20910Q_HTM" TargetMode="External"/><Relationship Id="rId53" Type="http://schemas.openxmlformats.org/officeDocument/2006/relationships/hyperlink" Target="https://content.edgar-online.com/ExternalLink/EDGAR/0001193125-10-027165.html?hash=82c3eb05af8e7e9241837c4b443b1f3819e7e811d04695e225a3c560cbb21fbc&amp;dest=DEX1058_HTM" TargetMode="External"/><Relationship Id="rId54" Type="http://schemas.openxmlformats.org/officeDocument/2006/relationships/hyperlink" Target="https://content.edgar-online.com/ExternalLink/EDGAR/0001193125-10-056283.html?hash=7217f15049aec22e20555e67d5e33df94974ebc3b63916f659fea9a9f8fb0303&amp;dest=DDEF14A_HTM" TargetMode="External"/><Relationship Id="rId55" Type="http://schemas.openxmlformats.org/officeDocument/2006/relationships/hyperlink" Target="https://content.edgar-online.com/ExternalLink/EDGAR/0001193125-11-030621.html?hash=1d8092ad41edaec81df39b58b87c629f32f0c079be251d9d6634568bf8d8d65d&amp;dest=DEX1066_HTM" TargetMode="External"/><Relationship Id="rId56" Type="http://schemas.openxmlformats.org/officeDocument/2006/relationships/hyperlink" Target="https://content.edgar-online.com/ExternalLink/EDGAR/0001193125-12-056163.html?hash=5f16171f6c868ac581e48ca729e59490ac04e2c424b9067fba7c2d75ce8535b1&amp;dest=D262610DEX1062_HTM" TargetMode="External"/><Relationship Id="rId57" Type="http://schemas.openxmlformats.org/officeDocument/2006/relationships/hyperlink" Target="https://content.edgar-online.com/ExternalLink/EDGAR/0001308179-13-000024.html?hash=943ce755c725ffc067398eb7c1702607d016273376672b342c46eb91e0456a56&amp;dest=EXHIBIT_10_59_HTM" TargetMode="External"/><Relationship Id="rId58" Type="http://schemas.openxmlformats.org/officeDocument/2006/relationships/hyperlink" Target="https://content.edgar-online.com/ExternalLink/EDGAR/0001193125-12-111012.html?hash=0bfdb494afd274d82054bf8d5bfce256e7f37978b70fc035381a305af26b4c3f&amp;dest=D285045DDEF14A_HTM" TargetMode="External"/><Relationship Id="rId59" Type="http://schemas.openxmlformats.org/officeDocument/2006/relationships/hyperlink" Target="https://content.edgar-online.com/ExternalLink/EDGAR/0001308179-13-000024.html?hash=943ce755c725ffc067398eb7c1702607d016273376672b342c46eb91e0456a56&amp;dest=EXHIBIT_10_61_HTM" TargetMode="External"/><Relationship Id="rId60" Type="http://schemas.openxmlformats.org/officeDocument/2006/relationships/hyperlink" Target="https://content.edgar-online.com/ExternalLink/EDGAR/0001308179-13-000024.html?hash=943ce755c725ffc067398eb7c1702607d016273376672b342c46eb91e0456a56&amp;dest=EXHIBIT_10_62_HTM" TargetMode="External"/><Relationship Id="rId61" Type="http://schemas.openxmlformats.org/officeDocument/2006/relationships/hyperlink" Target="https://content.edgar-online.com/ExternalLink/EDGAR/0001308179-14-000032.html?hash=aef32971abd7ae82ef2f35b860353653f77e06ae5ae11333e96d03915a862571&amp;dest=EXHIBIT_10_69_HTM" TargetMode="External"/><Relationship Id="rId62" Type="http://schemas.openxmlformats.org/officeDocument/2006/relationships/hyperlink" Target="https://content.edgar-online.com/ExternalLink/EDGAR/0000024741-14-000054.html?hash=033d17005bea18b8ca7f6cc0c721d7a4e089fa3607ff41bcffed86fb9a82d3e1&amp;dest=EXHIBIT10_HTM" TargetMode="External"/><Relationship Id="rId63" Type="http://schemas.openxmlformats.org/officeDocument/2006/relationships/hyperlink" Target="https://content.edgar-online.com/ExternalLink/EDGAR/0001308179-14-000058.html?hash=ee6deba4059d02d2d111f186a85d4e43b93298509796b38ed161cfcd0182bb90&amp;dest=LCORNING2014_DEF14A_HTM_LCORNINGA071" TargetMode="External"/><Relationship Id="rId64" Type="http://schemas.openxmlformats.org/officeDocument/2006/relationships/hyperlink" Target="https://content.edgar-online.com/ExternalLink/EDGAR/0000024741-15-000015.html?hash=10b14a922c6fa063825b69e6af032e716caa6d4f5eddca8af5cf6264fd272d08&amp;dest=EXHIBIT1064_HTM" TargetMode="External"/><Relationship Id="rId65" Type="http://schemas.openxmlformats.org/officeDocument/2006/relationships/hyperlink" Target="https://content.edgar-online.com/ExternalLink/EDGAR/0000024741-15-000015.html?hash=10b14a922c6fa063825b69e6af032e716caa6d4f5eddca8af5cf6264fd272d08&amp;dest=EXHIBIT1065_HTM" TargetMode="External"/><Relationship Id="rId66" Type="http://schemas.openxmlformats.org/officeDocument/2006/relationships/hyperlink" Target="https://content.edgar-online.com/ExternalLink/EDGAR/0000024741-15-000045.html?hash=ec90c0791e28bae227bb268eabe3d97986b229919a95aea61e4a44f353326c90&amp;dest=EXHIBIT101_HTM" TargetMode="External"/><Relationship Id="rId67" Type="http://schemas.openxmlformats.org/officeDocument/2006/relationships/hyperlink" Target="https://content.edgar-online.com/ExternalLink/EDGAR/0000024741-15-000045.html?hash=ec90c0791e28bae227bb268eabe3d97986b229919a95aea61e4a44f353326c90&amp;dest=EXHIBIT102_HTM" TargetMode="External"/><Relationship Id="rId68" Type="http://schemas.openxmlformats.org/officeDocument/2006/relationships/hyperlink" Target="https://content.edgar-online.com/ExternalLink/EDGAR/0000024741-15-000063.html?hash=61b87723d1ceb8dd45cc89a337661e15712f04c234445eb1cb566a0b8558af1e&amp;dest=EXHIBIT12_HTM" TargetMode="External"/><Relationship Id="rId69" Type="http://schemas.openxmlformats.org/officeDocument/2006/relationships/hyperlink" Target="https://content.edgar-online.com/ExternalLink/EDGAR/0000024741-16-000077.html?hash=e25e7d5854ec5a5ca07ce318ca3ea0744241f9db6e50103e4487ac9214458944&amp;dest=RSUAGREEMENT_HTM" TargetMode="External"/><Relationship Id="rId70" Type="http://schemas.openxmlformats.org/officeDocument/2006/relationships/hyperlink" Target="https://content.edgar-online.com/ExternalLink/EDGAR/0000024741-16-000077.html?hash=e25e7d5854ec5a5ca07ce318ca3ea0744241f9db6e50103e4487ac9214458944&amp;dest=CASHPERFAGREEMENT_HTM" TargetMode="External"/><Relationship Id="rId71" Type="http://schemas.openxmlformats.org/officeDocument/2006/relationships/hyperlink" Target="https://content.edgar-online.com/ExternalLink/EDGAR/0000024741-17-000011.html?hash=3a451c985552ceaef985963015ede7c797972c19063265814c97d35a536cd899&amp;dest=EXHIBIT10_72_HTM" TargetMode="External"/><Relationship Id="rId72" Type="http://schemas.openxmlformats.org/officeDocument/2006/relationships/hyperlink" Target="https://content.edgar-online.com/ExternalLink/EDGAR/0000024741-17-000011.html?hash=3a451c985552ceaef985963015ede7c797972c19063265814c97d35a536cd899&amp;dest=EXHIBIT10_73_HTM" TargetMode="External"/><Relationship Id="rId73" Type="http://schemas.openxmlformats.org/officeDocument/2006/relationships/hyperlink" Target="https://content.edgar-online.com/ExternalLink/EDGAR/0000024741-17-000011.html?hash=3a451c985552ceaef985963015ede7c797972c19063265814c97d35a536cd899&amp;dest=EXHIBIT10_74_HTM" TargetMode="External"/><Relationship Id="rId74" Type="http://schemas.openxmlformats.org/officeDocument/2006/relationships/hyperlink" Target="https://content.edgar-online.com/ExternalLink/EDGAR/0000024741-18-000010.html?hash=06aca20dd03dc7ed8dffd156c28435c486384c5e7b97a67413299f5cc9a2f126&amp;dest=GLW-20171231XEX10_74_HTM" TargetMode="External"/><Relationship Id="rId75" Type="http://schemas.openxmlformats.org/officeDocument/2006/relationships/hyperlink" Target="https://content.edgar-online.com/ExternalLink/EDGAR/0000024741-18-000010.html?hash=06aca20dd03dc7ed8dffd156c28435c486384c5e7b97a67413299f5cc9a2f126&amp;dest=GLW-20171231XEX10_75_HTM" TargetMode="External"/><Relationship Id="rId76" Type="http://schemas.openxmlformats.org/officeDocument/2006/relationships/hyperlink" Target="https://content.edgar-online.com/ExternalLink/EDGAR/0001193125-18-249805.html?hash=add848c25422ce9c951fbb1c8e2c1fa0d41fb13ec4821ca8cd69e903ddb5de8f&amp;dest=D550182DEX101_HTM" TargetMode="External"/><Relationship Id="rId77" Type="http://schemas.openxmlformats.org/officeDocument/2006/relationships/hyperlink" Target="https://content.edgar-online.com/ExternalLink/EDGAR/0000024741-20-000014.html?hash=81f574afae40857a47f3508b6aad80f26e2ea8bff22a04028e1d23c5f049363f&amp;dest=GLW-20191231XEX10_77_HTM" TargetMode="External"/><Relationship Id="rId78" Type="http://schemas.openxmlformats.org/officeDocument/2006/relationships/hyperlink" Target="https://content.edgar-online.com/ExternalLink/EDGAR/0001206774-19-000978.html?hash=38d2c24b47704e8d235cbbc665b6bb8438bb66eefbf293cb057e4094020df3a4&amp;dest=CORNING3492731-DEF14A_HTM_P90" TargetMode="External"/><Relationship Id="rId79" Type="http://schemas.openxmlformats.org/officeDocument/2006/relationships/hyperlink" Target="https://content.edgar-online.com/ExternalLink/EDGAR/0000024741-20-000014.html?hash=81f574afae40857a47f3508b6aad80f26e2ea8bff22a04028e1d23c5f049363f&amp;dest=GLW-20191231XEX10_79_HTM" TargetMode="External"/><Relationship Id="rId80" Type="http://schemas.openxmlformats.org/officeDocument/2006/relationships/hyperlink" Target="https://content.edgar-online.com/ExternalLink/EDGAR/0000024741-20-000014.html?hash=81f574afae40857a47f3508b6aad80f26e2ea8bff22a04028e1d23c5f049363f&amp;dest=GLW-20191231XEX10_80_HTM" TargetMode="External"/><Relationship Id="rId81" Type="http://schemas.openxmlformats.org/officeDocument/2006/relationships/hyperlink" Target="https://content.edgar-online.com/ExternalLink/EDGAR/0001193125-21-105621.html?hash=638444c274d16e794129e0cefc4f39032b357259b65fa34a8fcdffbf11997d59&amp;dest=D146015DEX101_HTM" TargetMode="External"/><Relationship Id="rId82" Type="http://schemas.openxmlformats.org/officeDocument/2006/relationships/image" Target="media/image4.png"/><Relationship Id="rId83" Type="http://schemas.openxmlformats.org/officeDocument/2006/relationships/image" Target="media/image5.png"/><Relationship Id="rId84" Type="http://schemas.openxmlformats.org/officeDocument/2006/relationships/image" Target="media/image6.png"/><Relationship Id="rId85" Type="http://schemas.openxmlformats.org/officeDocument/2006/relationships/image" Target="media/image7.png"/><Relationship Id="rId86" Type="http://schemas.openxmlformats.org/officeDocument/2006/relationships/image" Target="media/image8.png"/><Relationship Id="rId87" Type="http://schemas.openxmlformats.org/officeDocument/2006/relationships/image" Target="media/image9.png"/><Relationship Id="rId88" Type="http://schemas.openxmlformats.org/officeDocument/2006/relationships/image" Target="media/image10.png"/><Relationship Id="rId89" Type="http://schemas.openxmlformats.org/officeDocument/2006/relationships/image" Target="media/image11.png"/><Relationship Id="rId90" Type="http://schemas.openxmlformats.org/officeDocument/2006/relationships/image" Target="media/image12.png"/><Relationship Id="rId91" Type="http://schemas.openxmlformats.org/officeDocument/2006/relationships/image" Target="media/image13.png"/><Relationship Id="rId92" Type="http://schemas.openxmlformats.org/officeDocument/2006/relationships/image" Target="media/image14.png"/><Relationship Id="rId93" Type="http://schemas.openxmlformats.org/officeDocument/2006/relationships/image" Target="media/image15.png"/><Relationship Id="rId94" Type="http://schemas.openxmlformats.org/officeDocument/2006/relationships/image" Target="media/image16.png"/><Relationship Id="rId95" Type="http://schemas.openxmlformats.org/officeDocument/2006/relationships/image" Target="media/image17.png"/><Relationship Id="rId96" Type="http://schemas.openxmlformats.org/officeDocument/2006/relationships/image" Target="media/image18.png"/><Relationship Id="rId97" Type="http://schemas.openxmlformats.org/officeDocument/2006/relationships/image" Target="media/image19.png"/><Relationship Id="rId98" Type="http://schemas.openxmlformats.org/officeDocument/2006/relationships/image" Target="media/image20.png"/><Relationship Id="rId99" Type="http://schemas.openxmlformats.org/officeDocument/2006/relationships/image" Target="media/image21.png"/><Relationship Id="rId100" Type="http://schemas.openxmlformats.org/officeDocument/2006/relationships/image" Target="media/image22.png"/><Relationship Id="rId101" Type="http://schemas.openxmlformats.org/officeDocument/2006/relationships/image" Target="media/image23.png"/><Relationship Id="rId102" Type="http://schemas.openxmlformats.org/officeDocument/2006/relationships/image" Target="media/image24.png"/><Relationship Id="rId103" Type="http://schemas.openxmlformats.org/officeDocument/2006/relationships/header" Target="header2.xml"/><Relationship Id="rId104" Type="http://schemas.openxmlformats.org/officeDocument/2006/relationships/header" Target="header3.xml"/><Relationship Id="rId105" Type="http://schemas.openxmlformats.org/officeDocument/2006/relationships/header" Target="header4.xml"/><Relationship Id="rId106" Type="http://schemas.openxmlformats.org/officeDocument/2006/relationships/header" Target="header5.xml"/><Relationship Id="rId107" Type="http://schemas.openxmlformats.org/officeDocument/2006/relationships/header" Target="header6.xml"/><Relationship Id="rId10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0001437749-22-003247; ; 10-K</cp:keywords>
  <dc:subject>10-K</dc:subject>
  <dc:title>0001437749-22-003247</dc:title>
  <dcterms:created xsi:type="dcterms:W3CDTF">2024-04-02T14:56:18Z</dcterms:created>
  <dcterms:modified xsi:type="dcterms:W3CDTF">2024-04-02T14:56:18Z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EDGAR PDF Generator</vt:lpwstr>
  </property>
  <property fmtid="{D5CDD505-2E9C-101B-9397-08002B2CF9AE}" pid="4" name="LastSaved">
    <vt:filetime>2024-04-02T00:00:00Z</vt:filetime>
  </property>
  <property fmtid="{D5CDD505-2E9C-101B-9397-08002B2CF9AE}" pid="5" name="Producer">
    <vt:lpwstr>EDGAR PDF Generator</vt:lpwstr>
  </property>
</Properties>
</file>